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50381B" w14:textId="77777777" w:rsidR="00C2313B" w:rsidRPr="00925F26" w:rsidRDefault="00C2313B" w:rsidP="00925F26">
      <w:pPr>
        <w:autoSpaceDE w:val="0"/>
        <w:autoSpaceDN w:val="0"/>
        <w:adjustRightInd w:val="0"/>
        <w:jc w:val="both"/>
        <w:rPr>
          <w:b/>
          <w:bCs/>
          <w:color w:val="000000" w:themeColor="text1"/>
          <w:sz w:val="16"/>
          <w:szCs w:val="16"/>
        </w:rPr>
      </w:pPr>
      <w:r w:rsidRPr="00925F26">
        <w:rPr>
          <w:b/>
          <w:bCs/>
          <w:color w:val="000000" w:themeColor="text1"/>
          <w:sz w:val="16"/>
          <w:szCs w:val="16"/>
        </w:rPr>
        <w:t>1945</w:t>
      </w:r>
    </w:p>
    <w:p w14:paraId="21855DF2" w14:textId="77777777" w:rsidR="00CD7B36" w:rsidRPr="00925F26" w:rsidRDefault="00CD7B36" w:rsidP="00925F26">
      <w:pPr>
        <w:autoSpaceDE w:val="0"/>
        <w:autoSpaceDN w:val="0"/>
        <w:adjustRightInd w:val="0"/>
        <w:jc w:val="both"/>
        <w:rPr>
          <w:i/>
          <w:iCs/>
          <w:color w:val="000000" w:themeColor="text1"/>
          <w:sz w:val="16"/>
          <w:szCs w:val="16"/>
        </w:rPr>
      </w:pPr>
    </w:p>
    <w:p w14:paraId="1471C36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B6188D3" w14:textId="77777777" w:rsidR="00C2313B" w:rsidRPr="00925F26" w:rsidRDefault="00C2313B" w:rsidP="00925F26">
      <w:pPr>
        <w:autoSpaceDE w:val="0"/>
        <w:autoSpaceDN w:val="0"/>
        <w:adjustRightInd w:val="0"/>
        <w:jc w:val="both"/>
        <w:rPr>
          <w:iCs/>
          <w:color w:val="000000" w:themeColor="text1"/>
          <w:sz w:val="16"/>
          <w:szCs w:val="16"/>
        </w:rPr>
      </w:pPr>
    </w:p>
    <w:p w14:paraId="17CAFB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 1945 г. все авиационные РС и боеприпасы ГМЧ имели РЗ из </w:t>
      </w:r>
      <w:proofErr w:type="gramStart"/>
      <w:r w:rsidRPr="00925F26">
        <w:rPr>
          <w:color w:val="000000" w:themeColor="text1"/>
          <w:sz w:val="16"/>
          <w:szCs w:val="16"/>
        </w:rPr>
        <w:t>одно-канального</w:t>
      </w:r>
      <w:proofErr w:type="gramEnd"/>
      <w:r w:rsidRPr="00925F26">
        <w:rPr>
          <w:color w:val="000000" w:themeColor="text1"/>
          <w:sz w:val="16"/>
          <w:szCs w:val="16"/>
        </w:rPr>
        <w:t xml:space="preserve"> пороха. Исключение составлял РБС-82, у которого РЗ состо</w:t>
      </w:r>
      <w:r w:rsidRPr="00925F26">
        <w:rPr>
          <w:color w:val="000000" w:themeColor="text1"/>
          <w:sz w:val="16"/>
          <w:szCs w:val="16"/>
        </w:rPr>
        <w:softHyphen/>
        <w:t>ял из 2 последовательно расположенных зарядов, составленных из тол</w:t>
      </w:r>
      <w:r w:rsidRPr="00925F26">
        <w:rPr>
          <w:color w:val="000000" w:themeColor="text1"/>
          <w:sz w:val="16"/>
          <w:szCs w:val="16"/>
        </w:rPr>
        <w:softHyphen/>
        <w:t>стосводных шашек трехканального пороха (11402).</w:t>
      </w:r>
    </w:p>
    <w:p w14:paraId="610CA5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D3F22F8"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К 1945 г. - времени прекращения серийного производства - было построено 6784 ДБ-3/Ил-4, из них около 5300 составляли Ил-4. За время серийного производства затраты труда на постройку одного Ил-4 уменьшились с 20 тыс. чел.-ч в 1941 г. до 12,5 тыс. чел.-ч в 1943 г. и стали даже меньше, чем затраты труда на производство значительно более легкого и меньшего по размерам трехместного пикирующего бомбардировщика Пе-2.</w:t>
      </w:r>
    </w:p>
    <w:p w14:paraId="3A2D5FBB"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ДБ-3/Ил-4 явились этапными самолетами в развитии советских ВВС. На их основе в нашей стране впервые была создана дальнебомбардировочная и минно-торпедная авиация, вооруженная скоростными для своего времени самолетами средних высот, летно-технические данные и оборудование которых позволяли выполнять дальние боевые полеты над сушей и морем в сложных метеорологических условиях днем и ночью. Принимая активное участие в боевых действиях с первого и до последнего дня Великой Отечественной войны, самолеты ДБ-3/Ил-4 внесли достойный вклад в победу над Германией и Японией. После войны некоторое число Ил-4 использовалось в ВВС, а также в народном хозяйстве СССР (9528).</w:t>
      </w:r>
    </w:p>
    <w:p w14:paraId="79BE6864" w14:textId="77777777" w:rsidR="00C2313B" w:rsidRPr="00925F26" w:rsidRDefault="00C2313B" w:rsidP="00925F26">
      <w:pPr>
        <w:widowControl w:val="0"/>
        <w:autoSpaceDE w:val="0"/>
        <w:autoSpaceDN w:val="0"/>
        <w:adjustRightInd w:val="0"/>
        <w:jc w:val="both"/>
        <w:rPr>
          <w:color w:val="000000" w:themeColor="text1"/>
          <w:sz w:val="16"/>
          <w:szCs w:val="16"/>
        </w:rPr>
      </w:pPr>
    </w:p>
    <w:p w14:paraId="2D46E402" w14:textId="77777777" w:rsidR="00561F31" w:rsidRPr="00925F26" w:rsidRDefault="00561F31" w:rsidP="00925F26">
      <w:pPr>
        <w:jc w:val="both"/>
        <w:rPr>
          <w:color w:val="000000" w:themeColor="text1"/>
          <w:sz w:val="16"/>
          <w:szCs w:val="16"/>
        </w:rPr>
      </w:pPr>
      <w:r w:rsidRPr="00925F26">
        <w:rPr>
          <w:color w:val="000000" w:themeColor="text1"/>
          <w:sz w:val="16"/>
          <w:szCs w:val="16"/>
        </w:rPr>
        <w:t>На рубеже 1945 г. с серии 428 Пе-2 основной бомбардировочный прицел штурмана ОПБ-1Р заменили на ОПБ1Д системы Деренковского с гораздо более высокой точностью, на 431-й серии переделали электросистему управления стабилизатором. Это было оно из последних усовершенствований на бомбардировочных вариантах самолета — с серии 492 выпуска июня 1945 г. «Пешка» строилась только в учебной модификации (22828).</w:t>
      </w:r>
    </w:p>
    <w:p w14:paraId="13A5E55D" w14:textId="77777777" w:rsidR="00561F31" w:rsidRPr="00925F26" w:rsidRDefault="00561F31" w:rsidP="00925F26">
      <w:pPr>
        <w:jc w:val="both"/>
        <w:rPr>
          <w:i/>
          <w:iCs/>
          <w:color w:val="000000" w:themeColor="text1"/>
          <w:sz w:val="16"/>
          <w:szCs w:val="16"/>
          <w:lang w:bidi="ru-RU"/>
        </w:rPr>
      </w:pPr>
    </w:p>
    <w:p w14:paraId="18B7AD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1945 г. со</w:t>
      </w:r>
      <w:r w:rsidRPr="00925F26">
        <w:rPr>
          <w:color w:val="000000" w:themeColor="text1"/>
          <w:sz w:val="16"/>
          <w:szCs w:val="16"/>
        </w:rPr>
        <w:softHyphen/>
        <w:t>ветское авиастроение превратилось в мощное, хорошо осна</w:t>
      </w:r>
      <w:r w:rsidRPr="00925F26">
        <w:rPr>
          <w:color w:val="000000" w:themeColor="text1"/>
          <w:sz w:val="16"/>
          <w:szCs w:val="16"/>
        </w:rPr>
        <w:softHyphen/>
        <w:t>щённое техникой и обеспеченное персоналом, подразделение отечественной промышленности. Символом окончательной победы над трудностями военного времени стало принятое в мае 1945 г. решение руководства НКАП о начале производства на подсобных предприятиях наркомата стандартных деталей сборных жилых домов для индивидуального строительства</w:t>
      </w:r>
      <w:r w:rsidRPr="00925F26">
        <w:rPr>
          <w:color w:val="000000" w:themeColor="text1"/>
          <w:sz w:val="16"/>
          <w:szCs w:val="16"/>
          <w:vertAlign w:val="superscript"/>
        </w:rPr>
        <w:t>1</w:t>
      </w:r>
      <w:r w:rsidRPr="00925F26">
        <w:rPr>
          <w:color w:val="000000" w:themeColor="text1"/>
          <w:sz w:val="16"/>
          <w:szCs w:val="16"/>
        </w:rPr>
        <w:t>. По сравнению с 1940 г. численность персонала НКАП к кон</w:t>
      </w:r>
      <w:r w:rsidRPr="00925F26">
        <w:rPr>
          <w:color w:val="000000" w:themeColor="text1"/>
          <w:sz w:val="16"/>
          <w:szCs w:val="16"/>
        </w:rPr>
        <w:softHyphen/>
        <w:t>цу войны возросла на 23,8 %.</w:t>
      </w:r>
    </w:p>
    <w:p w14:paraId="59974E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Концентрация рабочей силы на предприятиях НКАП (РГАЭ. Ф. 8044. </w:t>
      </w:r>
      <w:r w:rsidRPr="00925F26">
        <w:rPr>
          <w:color w:val="000000" w:themeColor="text1"/>
          <w:sz w:val="16"/>
          <w:szCs w:val="16"/>
          <w:lang w:val="en-US"/>
        </w:rPr>
        <w:t xml:space="preserve">On. </w:t>
      </w:r>
      <w:r w:rsidRPr="00925F26">
        <w:rPr>
          <w:color w:val="000000" w:themeColor="text1"/>
          <w:sz w:val="16"/>
          <w:szCs w:val="16"/>
        </w:rPr>
        <w:t>1. Д. 2885. Л. 93)</w:t>
      </w:r>
    </w:p>
    <w:tbl>
      <w:tblPr>
        <w:tblW w:w="0" w:type="auto"/>
        <w:tblInd w:w="8" w:type="dxa"/>
        <w:tblLayout w:type="fixed"/>
        <w:tblCellMar>
          <w:left w:w="0" w:type="dxa"/>
          <w:right w:w="0" w:type="dxa"/>
        </w:tblCellMar>
        <w:tblLook w:val="0000" w:firstRow="0" w:lastRow="0" w:firstColumn="0" w:lastColumn="0" w:noHBand="0" w:noVBand="0"/>
      </w:tblPr>
      <w:tblGrid>
        <w:gridCol w:w="792"/>
        <w:gridCol w:w="518"/>
        <w:gridCol w:w="518"/>
        <w:gridCol w:w="768"/>
        <w:gridCol w:w="835"/>
        <w:gridCol w:w="648"/>
        <w:gridCol w:w="595"/>
        <w:gridCol w:w="586"/>
        <w:gridCol w:w="667"/>
      </w:tblGrid>
      <w:tr w:rsidR="000F5689" w:rsidRPr="00925F26" w14:paraId="76074DC9" w14:textId="77777777">
        <w:trPr>
          <w:trHeight w:val="547"/>
        </w:trPr>
        <w:tc>
          <w:tcPr>
            <w:tcW w:w="792" w:type="dxa"/>
            <w:tcBorders>
              <w:top w:val="single" w:sz="6" w:space="0" w:color="auto"/>
              <w:left w:val="single" w:sz="6" w:space="0" w:color="auto"/>
              <w:bottom w:val="nil"/>
              <w:right w:val="single" w:sz="6" w:space="0" w:color="auto"/>
            </w:tcBorders>
            <w:shd w:val="clear" w:color="auto" w:fill="FFFFFF"/>
          </w:tcPr>
          <w:p w14:paraId="1CA038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Кол-во чсломк</w:t>
            </w:r>
          </w:p>
        </w:tc>
        <w:tc>
          <w:tcPr>
            <w:tcW w:w="1036" w:type="dxa"/>
            <w:gridSpan w:val="2"/>
            <w:tcBorders>
              <w:top w:val="single" w:sz="6" w:space="0" w:color="auto"/>
              <w:left w:val="single" w:sz="6" w:space="0" w:color="auto"/>
              <w:bottom w:val="nil"/>
              <w:right w:val="single" w:sz="6" w:space="0" w:color="auto"/>
            </w:tcBorders>
            <w:shd w:val="clear" w:color="auto" w:fill="FFFFFF"/>
          </w:tcPr>
          <w:p w14:paraId="49A61E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Количество </w:t>
            </w:r>
            <w:proofErr w:type="gramStart"/>
            <w:r w:rsidRPr="00925F26">
              <w:rPr>
                <w:color w:val="000000" w:themeColor="text1"/>
                <w:sz w:val="16"/>
                <w:szCs w:val="16"/>
              </w:rPr>
              <w:t>иввдов,пкото</w:t>
            </w:r>
            <w:r w:rsidRPr="00925F26">
              <w:rPr>
                <w:color w:val="000000" w:themeColor="text1"/>
                <w:sz w:val="16"/>
                <w:szCs w:val="16"/>
              </w:rPr>
              <w:softHyphen/>
              <w:t>рых</w:t>
            </w:r>
            <w:proofErr w:type="gramEnd"/>
            <w:r w:rsidRPr="00925F26">
              <w:rPr>
                <w:color w:val="000000" w:themeColor="text1"/>
                <w:sz w:val="16"/>
                <w:szCs w:val="16"/>
              </w:rPr>
              <w:t xml:space="preserve"> работало... чел.</w:t>
            </w:r>
          </w:p>
        </w:tc>
        <w:tc>
          <w:tcPr>
            <w:tcW w:w="1603" w:type="dxa"/>
            <w:gridSpan w:val="2"/>
            <w:tcBorders>
              <w:top w:val="single" w:sz="6" w:space="0" w:color="auto"/>
              <w:left w:val="single" w:sz="6" w:space="0" w:color="auto"/>
              <w:bottom w:val="nil"/>
              <w:right w:val="single" w:sz="6" w:space="0" w:color="auto"/>
            </w:tcBorders>
            <w:shd w:val="clear" w:color="auto" w:fill="FFFFFF"/>
          </w:tcPr>
          <w:p w14:paraId="04FCB8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рабочих, работавших на заводах, относящихся к соответ</w:t>
            </w:r>
            <w:r w:rsidRPr="00925F26">
              <w:rPr>
                <w:color w:val="000000" w:themeColor="text1"/>
                <w:sz w:val="16"/>
                <w:szCs w:val="16"/>
              </w:rPr>
              <w:softHyphen/>
              <w:t>ствующей группе</w:t>
            </w:r>
          </w:p>
        </w:tc>
        <w:tc>
          <w:tcPr>
            <w:tcW w:w="2496" w:type="dxa"/>
            <w:gridSpan w:val="4"/>
            <w:tcBorders>
              <w:top w:val="single" w:sz="6" w:space="0" w:color="auto"/>
              <w:left w:val="single" w:sz="6" w:space="0" w:color="auto"/>
              <w:bottom w:val="single" w:sz="6" w:space="0" w:color="auto"/>
              <w:right w:val="single" w:sz="6" w:space="0" w:color="auto"/>
            </w:tcBorders>
            <w:shd w:val="clear" w:color="auto" w:fill="FFFFFF"/>
          </w:tcPr>
          <w:p w14:paraId="6E3EB0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Удельны! вес данной группы (в %) по отношению ко всем</w:t>
            </w:r>
          </w:p>
        </w:tc>
      </w:tr>
      <w:tr w:rsidR="000F5689" w:rsidRPr="00925F26" w14:paraId="5C634FF8" w14:textId="77777777">
        <w:trPr>
          <w:trHeight w:val="422"/>
        </w:trPr>
        <w:tc>
          <w:tcPr>
            <w:tcW w:w="792" w:type="dxa"/>
            <w:tcBorders>
              <w:top w:val="nil"/>
              <w:left w:val="single" w:sz="6" w:space="0" w:color="auto"/>
              <w:bottom w:val="nil"/>
              <w:right w:val="single" w:sz="6" w:space="0" w:color="auto"/>
            </w:tcBorders>
            <w:shd w:val="clear" w:color="auto" w:fill="FFFFFF"/>
          </w:tcPr>
          <w:p w14:paraId="114005F1" w14:textId="77777777" w:rsidR="00C2313B" w:rsidRPr="00925F26" w:rsidRDefault="00C2313B" w:rsidP="00925F26">
            <w:pPr>
              <w:autoSpaceDE w:val="0"/>
              <w:autoSpaceDN w:val="0"/>
              <w:adjustRightInd w:val="0"/>
              <w:jc w:val="both"/>
              <w:rPr>
                <w:color w:val="000000" w:themeColor="text1"/>
                <w:sz w:val="16"/>
                <w:szCs w:val="16"/>
              </w:rPr>
            </w:pPr>
          </w:p>
        </w:tc>
        <w:tc>
          <w:tcPr>
            <w:tcW w:w="1036" w:type="dxa"/>
            <w:gridSpan w:val="2"/>
            <w:tcBorders>
              <w:top w:val="nil"/>
              <w:left w:val="single" w:sz="6" w:space="0" w:color="auto"/>
              <w:bottom w:val="single" w:sz="6" w:space="0" w:color="auto"/>
              <w:right w:val="single" w:sz="6" w:space="0" w:color="auto"/>
            </w:tcBorders>
            <w:shd w:val="clear" w:color="auto" w:fill="FFFFFF"/>
          </w:tcPr>
          <w:p w14:paraId="6030B402" w14:textId="77777777" w:rsidR="00C2313B" w:rsidRPr="00925F26" w:rsidRDefault="00C2313B" w:rsidP="00925F26">
            <w:pPr>
              <w:autoSpaceDE w:val="0"/>
              <w:autoSpaceDN w:val="0"/>
              <w:adjustRightInd w:val="0"/>
              <w:jc w:val="both"/>
              <w:rPr>
                <w:color w:val="000000" w:themeColor="text1"/>
                <w:sz w:val="16"/>
                <w:szCs w:val="16"/>
              </w:rPr>
            </w:pPr>
          </w:p>
        </w:tc>
        <w:tc>
          <w:tcPr>
            <w:tcW w:w="1603" w:type="dxa"/>
            <w:gridSpan w:val="2"/>
            <w:tcBorders>
              <w:top w:val="nil"/>
              <w:left w:val="single" w:sz="6" w:space="0" w:color="auto"/>
              <w:bottom w:val="single" w:sz="6" w:space="0" w:color="auto"/>
              <w:right w:val="single" w:sz="6" w:space="0" w:color="auto"/>
            </w:tcBorders>
            <w:shd w:val="clear" w:color="auto" w:fill="FFFFFF"/>
          </w:tcPr>
          <w:p w14:paraId="4776992D" w14:textId="77777777" w:rsidR="00C2313B" w:rsidRPr="00925F26" w:rsidRDefault="00C2313B" w:rsidP="00925F26">
            <w:pPr>
              <w:autoSpaceDE w:val="0"/>
              <w:autoSpaceDN w:val="0"/>
              <w:adjustRightInd w:val="0"/>
              <w:jc w:val="both"/>
              <w:rPr>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shd w:val="clear" w:color="auto" w:fill="FFFFFF"/>
          </w:tcPr>
          <w:p w14:paraId="2BDF35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заводам</w:t>
            </w:r>
          </w:p>
        </w:tc>
        <w:tc>
          <w:tcPr>
            <w:tcW w:w="1253" w:type="dxa"/>
            <w:gridSpan w:val="2"/>
            <w:tcBorders>
              <w:top w:val="single" w:sz="6" w:space="0" w:color="auto"/>
              <w:left w:val="single" w:sz="6" w:space="0" w:color="auto"/>
              <w:bottom w:val="single" w:sz="6" w:space="0" w:color="auto"/>
              <w:right w:val="single" w:sz="6" w:space="0" w:color="auto"/>
            </w:tcBorders>
            <w:shd w:val="clear" w:color="auto" w:fill="FFFFFF"/>
          </w:tcPr>
          <w:p w14:paraId="2D060E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рабочим</w:t>
            </w:r>
          </w:p>
        </w:tc>
      </w:tr>
      <w:tr w:rsidR="000F5689" w:rsidRPr="00925F26" w14:paraId="7EE7781E" w14:textId="77777777">
        <w:trPr>
          <w:trHeight w:val="336"/>
        </w:trPr>
        <w:tc>
          <w:tcPr>
            <w:tcW w:w="792" w:type="dxa"/>
            <w:tcBorders>
              <w:top w:val="nil"/>
              <w:left w:val="single" w:sz="6" w:space="0" w:color="auto"/>
              <w:bottom w:val="single" w:sz="6" w:space="0" w:color="auto"/>
              <w:right w:val="single" w:sz="6" w:space="0" w:color="auto"/>
            </w:tcBorders>
            <w:shd w:val="clear" w:color="auto" w:fill="FFFFFF"/>
          </w:tcPr>
          <w:p w14:paraId="68FFD307" w14:textId="77777777" w:rsidR="00C2313B" w:rsidRPr="00925F26" w:rsidRDefault="00C2313B" w:rsidP="00925F26">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394FB0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11FBE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79DD02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EAE4C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FADD6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7B044F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F6112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7A0077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w:t>
            </w:r>
          </w:p>
        </w:tc>
      </w:tr>
      <w:tr w:rsidR="000F5689" w:rsidRPr="00925F26" w14:paraId="123EB75A" w14:textId="77777777">
        <w:trPr>
          <w:trHeight w:val="307"/>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10F801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 1000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553B7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7C4FA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51</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6ABAED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26491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04149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24814</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3A8F6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41,7</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40F7F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19E9B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6,7</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CB2CB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w:t>
            </w:r>
          </w:p>
        </w:tc>
      </w:tr>
      <w:tr w:rsidR="000F5689" w:rsidRPr="00925F26" w14:paraId="1669EE69" w14:textId="77777777">
        <w:trPr>
          <w:trHeight w:val="365"/>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0B0CB9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1000—3000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22910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C69C7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012989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71714</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1882A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85313</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FD814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2F98E4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7D87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18,1</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5B39B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20,8</w:t>
            </w:r>
          </w:p>
        </w:tc>
      </w:tr>
      <w:tr w:rsidR="000F5689" w:rsidRPr="00925F26" w14:paraId="45C6A36E" w14:textId="77777777">
        <w:trPr>
          <w:trHeight w:val="365"/>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78EC02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3001—5000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13024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EEBB7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33E93E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49092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600FD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48428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F0E15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1A4A63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2CD50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09A2CE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11,8</w:t>
            </w:r>
          </w:p>
        </w:tc>
      </w:tr>
      <w:tr w:rsidR="000F5689" w:rsidRPr="00925F26" w14:paraId="0A5CCDFE" w14:textId="77777777">
        <w:trPr>
          <w:trHeight w:val="398"/>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707898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Св.5000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5D7912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8BD25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5B6762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236756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474B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251016</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2371A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26FBF0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A3503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62,8</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ECF86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61Д</w:t>
            </w:r>
          </w:p>
        </w:tc>
      </w:tr>
    </w:tbl>
    <w:p w14:paraId="25572C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Как видим, тенденции, заложенные в предвоенный период, продолжали определять уровень концентрации рабочей силы и в годы войны. По-прежнему свыше половины рабочих ави</w:t>
      </w:r>
      <w:r w:rsidRPr="00925F26">
        <w:rPr>
          <w:color w:val="000000" w:themeColor="text1"/>
          <w:sz w:val="16"/>
          <w:szCs w:val="16"/>
        </w:rPr>
        <w:softHyphen/>
        <w:t>апромышленности были заняты на крупных предприятиях с численностью персонала более 5 тыс. человек (12011).</w:t>
      </w:r>
    </w:p>
    <w:p w14:paraId="1C60FED7" w14:textId="77777777" w:rsidR="00C2313B" w:rsidRPr="00925F26" w:rsidRDefault="00C2313B" w:rsidP="00925F26">
      <w:pPr>
        <w:autoSpaceDE w:val="0"/>
        <w:autoSpaceDN w:val="0"/>
        <w:adjustRightInd w:val="0"/>
        <w:jc w:val="both"/>
        <w:rPr>
          <w:color w:val="000000" w:themeColor="text1"/>
          <w:sz w:val="16"/>
          <w:szCs w:val="16"/>
        </w:rPr>
      </w:pPr>
    </w:p>
    <w:p w14:paraId="501D4ECD" w14:textId="77777777" w:rsidR="00C2313B" w:rsidRPr="00925F26" w:rsidRDefault="001561D1" w:rsidP="00925F26">
      <w:pPr>
        <w:widowControl w:val="0"/>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F65005E" w14:textId="77777777" w:rsidR="00C2313B" w:rsidRPr="00925F26" w:rsidRDefault="00C2313B" w:rsidP="00925F26">
      <w:pPr>
        <w:widowControl w:val="0"/>
        <w:autoSpaceDE w:val="0"/>
        <w:autoSpaceDN w:val="0"/>
        <w:adjustRightInd w:val="0"/>
        <w:jc w:val="both"/>
        <w:rPr>
          <w:iCs/>
          <w:color w:val="000000" w:themeColor="text1"/>
          <w:sz w:val="16"/>
          <w:szCs w:val="16"/>
        </w:rPr>
      </w:pPr>
    </w:p>
    <w:p w14:paraId="30CBCD39"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К 1945 году не были расстреляны даже старые 76-мм гранаты и использовались еще несколько послевоенных лет. Для пушек обр. 1900 г. и 1902 г. первоначально был принят метательный заряд весом 0,86-0,9 кг. В 1938 году он получил индекс Ж-354А. Вместе с 76-мм пушкой обр. 1902/30 г. был принят заряд весом 1,08 кг (Ж-354). Камора и прочность ствола у пушки обр. 1902/30 г. по сравнению с пушкой обр. 1902 г. не изменилась, а лишь немного упрочился лафет и усилены противооткатные устройства. До войны стрелять зарядом Ж-354 из пушек обр. 1902 г. формально было не положено. Но в войну не только стреляли, но и в таблицах стрельбы даже предписывалось это </w:t>
      </w:r>
      <w:proofErr w:type="gramStart"/>
      <w:r w:rsidRPr="00925F26">
        <w:rPr>
          <w:color w:val="000000" w:themeColor="text1"/>
          <w:sz w:val="16"/>
          <w:szCs w:val="16"/>
        </w:rPr>
        <w:t>делать, тем более, что</w:t>
      </w:r>
      <w:proofErr w:type="gramEnd"/>
      <w:r w:rsidRPr="00925F26">
        <w:rPr>
          <w:color w:val="000000" w:themeColor="text1"/>
          <w:sz w:val="16"/>
          <w:szCs w:val="16"/>
        </w:rPr>
        <w:t xml:space="preserve"> бронебойных выстрелов с зарядами 0,9 кг не было вообще. Заряды Ж-353 весом 0,455 кг от выстрелов полковых пушек обр. 1927 г. считались уменьшенными для дивизионных пушек. В 1914-1917 годах русская армия получила огромное количество 76-мм осколочных гранат, как русского, так и французского, английского, американского и японского изготовления. Многие из них были снаряжены суррогатными взрывчатыми веществами и имели суррогатные взрыватели военного времени (вплоть до ударных трубок обр. 1884 г). В 1933-1936 годах такие снаряды, а также довоенные, снаряженные мелинитом, были переоснащены тротилом. Постепенно суррогатные взрыватели были заменены более современными, типа КТМ-1, КТМ-3 и другими. Эти многочисленные типы гранат в РККА были сведены в две категории: старые русские гранаты Ф-354, Ф-354М и другие. Туда, кстати, попали и гранаты английского изготовления, и французские гранаты Ф-354Ф. Стрелять ими можно было только зарядом 0,9 кг Ж-354А (3861).</w:t>
      </w:r>
    </w:p>
    <w:p w14:paraId="158CCA98" w14:textId="77777777" w:rsidR="00C2313B" w:rsidRPr="00925F26" w:rsidRDefault="00C2313B" w:rsidP="00925F26">
      <w:pPr>
        <w:widowControl w:val="0"/>
        <w:autoSpaceDE w:val="0"/>
        <w:autoSpaceDN w:val="0"/>
        <w:adjustRightInd w:val="0"/>
        <w:jc w:val="both"/>
        <w:rPr>
          <w:color w:val="000000" w:themeColor="text1"/>
          <w:sz w:val="16"/>
          <w:szCs w:val="16"/>
        </w:rPr>
      </w:pPr>
    </w:p>
    <w:p w14:paraId="6667472D" w14:textId="77777777" w:rsidR="00645520" w:rsidRPr="00925F26" w:rsidRDefault="00645520" w:rsidP="00925F26">
      <w:pPr>
        <w:jc w:val="both"/>
        <w:rPr>
          <w:color w:val="000000" w:themeColor="text1"/>
          <w:sz w:val="16"/>
          <w:szCs w:val="16"/>
        </w:rPr>
      </w:pPr>
      <w:r w:rsidRPr="00925F26">
        <w:rPr>
          <w:color w:val="000000" w:themeColor="text1"/>
          <w:sz w:val="16"/>
          <w:szCs w:val="16"/>
        </w:rPr>
        <w:t>К 1945 г. на заводе «Красное Сормово» серьёзно увеличилось металлургическое производство. За время войны, удалось ввести новые печи и увеличить выплавку стали с 125,9 тыс. тонн за 1941 г. до 84,9 тыс. тонн за первое полугодие 1945 г. Первое полугодие 1945 г., дало выпуск 60,5 тыс. тонн проката и перекрыло результаты за весь 1941 г. - 60,3 тыс. тонн (ЦА МО РФ. Ф. 38. Оп. 11 355. Д. 661. Л. 8.). За годы войны в 2 раза выросло крановое оборудование завода с 17 до 32 единиц (ЦА МО РФ. Ф. 38. Оп. 11 355. Д. 661. Л. 15.).</w:t>
      </w:r>
    </w:p>
    <w:p w14:paraId="2322891A" w14:textId="77777777" w:rsidR="00645520" w:rsidRPr="00925F26" w:rsidRDefault="00645520" w:rsidP="00925F26">
      <w:pPr>
        <w:jc w:val="both"/>
        <w:rPr>
          <w:color w:val="000000" w:themeColor="text1"/>
          <w:sz w:val="16"/>
          <w:szCs w:val="16"/>
        </w:rPr>
      </w:pPr>
      <w:r w:rsidRPr="00925F26">
        <w:rPr>
          <w:color w:val="000000" w:themeColor="text1"/>
          <w:sz w:val="16"/>
          <w:szCs w:val="16"/>
        </w:rPr>
        <w:t>Была серьёзно снижена себестоимость танка Т-34 с 286,6 тыс. рублей в 1941г. до 171 тыс. рублей в первом полугодии 1945 г. Уменьшилась и трудоёмкость его производства с 14559 производственных часов в 1941 г. до 4423 п.ч. в первом полугодии 1945 г. Среднемесячная выработка на одного рабочего увеличилась с 1853 рублей в 1941 г. до 6229 рублей в первом полугодии 1945 г (ЦА МО РФ. Ф. 38. Оп. 11 355. Д. 661. Л. 8.). Если брать производительность труда в 1941 г. за 100%, то в первой половине 1945 г. она составила 335% (ЦА МО РФ. Ф. 38. Оп. 11 355. Д. 661. Л. 7.).</w:t>
      </w:r>
    </w:p>
    <w:p w14:paraId="7EF278AB" w14:textId="77777777" w:rsidR="00645520" w:rsidRPr="00925F26" w:rsidRDefault="00645520" w:rsidP="00925F26">
      <w:pPr>
        <w:jc w:val="both"/>
        <w:rPr>
          <w:color w:val="000000" w:themeColor="text1"/>
          <w:sz w:val="16"/>
          <w:szCs w:val="16"/>
        </w:rPr>
      </w:pPr>
      <w:r w:rsidRPr="00925F26">
        <w:rPr>
          <w:color w:val="000000" w:themeColor="text1"/>
          <w:sz w:val="16"/>
          <w:szCs w:val="16"/>
        </w:rPr>
        <w:t>Несмотря на достигнутые успехи, работа по совершенствованию производства не прекращалась. Основным направлением работы стало снижение трудоёмкости танка. Оно достигалось за счёт внедрения усовершенствованной технологии, новой оснастки, нового и модернизированного оборудования. «Было внедрено 281 мероприятие, сократившее трудоёмкость на 141,19 часов. Однако, ввиду имевшегося в течении полугодия сокращения кооперации и изменения конструкции, а также ужесточения технических условий, трудоёмкость машины по механосборочным цехам уменьшилась на 63,94 часа, а по всему заводу общая трудоёмкость танка снижена на 46,35 часа» (ЦА МО РФ. Ф. 38. Оп. 11 355. Д. 661. Л. 164-165.). В первом полугодии 1945 г. заводом «Красное Сормово» было выпущено 1860 танков Т-34-85.</w:t>
      </w:r>
    </w:p>
    <w:p w14:paraId="370C2A3D" w14:textId="77777777" w:rsidR="00645520" w:rsidRPr="00925F26" w:rsidRDefault="00645520" w:rsidP="00925F26">
      <w:pPr>
        <w:jc w:val="both"/>
        <w:rPr>
          <w:color w:val="000000" w:themeColor="text1"/>
          <w:sz w:val="16"/>
          <w:szCs w:val="16"/>
        </w:rPr>
      </w:pPr>
      <w:r w:rsidRPr="00925F26">
        <w:rPr>
          <w:color w:val="000000" w:themeColor="text1"/>
          <w:sz w:val="16"/>
          <w:szCs w:val="16"/>
        </w:rPr>
        <w:t>Точное время, когда завод № 112 прекратил выпуск танков, нам пока не известно. Попробуем вычислить эту дату. В книге М. Барятинского приведены данные по выпуску заводом №112 танков Т-34-85 (Барятинский М. Т-34 История танка // Бронеколлекция. 2003. Специальный выпуск №3. - С. 34.). В 1946 г. завод выпустил 1154 танка. Учитывая, что в последние месяцы войны завод выпускал по 315 машин (ЦА МО РФ. Ф. 38. Оп. 11 355. Д. 661. Л. 74.), поделив 1156 на 315, получаем 3,7 месяца, из чего можно сделать вывод, что выпуск танков он прекратил не ранее апреля 1946 г. (23540)</w:t>
      </w:r>
    </w:p>
    <w:p w14:paraId="68BD3236" w14:textId="77777777" w:rsidR="00645520" w:rsidRPr="00925F26" w:rsidRDefault="00645520" w:rsidP="00925F26">
      <w:pPr>
        <w:jc w:val="both"/>
        <w:rPr>
          <w:color w:val="000000" w:themeColor="text1"/>
          <w:sz w:val="16"/>
          <w:szCs w:val="16"/>
        </w:rPr>
      </w:pPr>
    </w:p>
    <w:p w14:paraId="5544D640" w14:textId="77777777" w:rsidR="003E545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CDC3575" w14:textId="77777777" w:rsidR="003E545E" w:rsidRPr="00925F26" w:rsidRDefault="003E545E" w:rsidP="00925F26">
      <w:pPr>
        <w:autoSpaceDE w:val="0"/>
        <w:autoSpaceDN w:val="0"/>
        <w:adjustRightInd w:val="0"/>
        <w:jc w:val="both"/>
        <w:rPr>
          <w:iCs/>
          <w:color w:val="000000" w:themeColor="text1"/>
          <w:sz w:val="16"/>
          <w:szCs w:val="16"/>
        </w:rPr>
      </w:pPr>
    </w:p>
    <w:p w14:paraId="36FBAC09" w14:textId="77777777" w:rsidR="003E545E" w:rsidRPr="00925F26" w:rsidRDefault="003E545E" w:rsidP="00925F26">
      <w:pPr>
        <w:jc w:val="both"/>
        <w:rPr>
          <w:color w:val="000000" w:themeColor="text1"/>
          <w:sz w:val="16"/>
          <w:szCs w:val="16"/>
        </w:rPr>
      </w:pPr>
      <w:r w:rsidRPr="00925F26">
        <w:rPr>
          <w:color w:val="000000" w:themeColor="text1"/>
          <w:sz w:val="16"/>
          <w:szCs w:val="16"/>
        </w:rPr>
        <w:t>К 1945 г. на Черноморском флоте удалось набрать 10 самолетов «Спитфайр» МК.УВ в разной степени исправности со следующими серийными номерами: №№ ВМ -185, ВМ-450. ВМ-771. ЕР-185, ЕР-256, ЕР-307, ЕР-358, ЕР- 400. ЕР-502, ЕР-758. Девять из них вошли в со</w:t>
      </w:r>
      <w:r w:rsidRPr="00925F26">
        <w:rPr>
          <w:color w:val="000000" w:themeColor="text1"/>
          <w:sz w:val="16"/>
          <w:szCs w:val="16"/>
        </w:rPr>
        <w:softHyphen/>
        <w:t>став 24-й оаэ, причем в начале 1945 г. в строю находилось 4 истребителя, 4 ремонтировались в 20 самолетных авиамастерских в Евпатории, и еще один имелся в ремонтном поезде в ме</w:t>
      </w:r>
      <w:r w:rsidRPr="00925F26">
        <w:rPr>
          <w:color w:val="000000" w:themeColor="text1"/>
          <w:sz w:val="16"/>
          <w:szCs w:val="16"/>
        </w:rPr>
        <w:softHyphen/>
        <w:t>стечке Сарабуз. В процессе ремонта на истре</w:t>
      </w:r>
      <w:r w:rsidRPr="00925F26">
        <w:rPr>
          <w:color w:val="000000" w:themeColor="text1"/>
          <w:sz w:val="16"/>
          <w:szCs w:val="16"/>
        </w:rPr>
        <w:softHyphen/>
        <w:t>бителях частично поменяли обшивку, перебра</w:t>
      </w:r>
      <w:r w:rsidRPr="00925F26">
        <w:rPr>
          <w:color w:val="000000" w:themeColor="text1"/>
          <w:sz w:val="16"/>
          <w:szCs w:val="16"/>
        </w:rPr>
        <w:softHyphen/>
        <w:t>ли шасси и перекрасили. Кроме этого, устано</w:t>
      </w:r>
      <w:r w:rsidRPr="00925F26">
        <w:rPr>
          <w:color w:val="000000" w:themeColor="text1"/>
          <w:sz w:val="16"/>
          <w:szCs w:val="16"/>
        </w:rPr>
        <w:softHyphen/>
        <w:t>вили некоторое советское оборудование и пи</w:t>
      </w:r>
      <w:r w:rsidRPr="00925F26">
        <w:rPr>
          <w:color w:val="000000" w:themeColor="text1"/>
          <w:sz w:val="16"/>
          <w:szCs w:val="16"/>
        </w:rPr>
        <w:softHyphen/>
        <w:t xml:space="preserve">лотажные приборы. На </w:t>
      </w:r>
      <w:r w:rsidRPr="00925F26">
        <w:rPr>
          <w:color w:val="000000" w:themeColor="text1"/>
          <w:sz w:val="16"/>
          <w:szCs w:val="16"/>
        </w:rPr>
        <w:lastRenderedPageBreak/>
        <w:t>нескольких машинах оборудовали узлы для крепления на катапуль</w:t>
      </w:r>
      <w:r w:rsidRPr="00925F26">
        <w:rPr>
          <w:color w:val="000000" w:themeColor="text1"/>
          <w:sz w:val="16"/>
          <w:szCs w:val="16"/>
        </w:rPr>
        <w:softHyphen/>
        <w:t>те. Самолеты базировались на сухопутном аэ</w:t>
      </w:r>
      <w:r w:rsidRPr="00925F26">
        <w:rPr>
          <w:color w:val="000000" w:themeColor="text1"/>
          <w:sz w:val="16"/>
          <w:szCs w:val="16"/>
        </w:rPr>
        <w:softHyphen/>
        <w:t>родроме Альма-Токмак в 30 км от Севастопо</w:t>
      </w:r>
      <w:r w:rsidRPr="00925F26">
        <w:rPr>
          <w:color w:val="000000" w:themeColor="text1"/>
          <w:sz w:val="16"/>
          <w:szCs w:val="16"/>
        </w:rPr>
        <w:softHyphen/>
        <w:t>ля. Известно, что эксплуатация английских ис</w:t>
      </w:r>
      <w:r w:rsidRPr="00925F26">
        <w:rPr>
          <w:color w:val="000000" w:themeColor="text1"/>
          <w:sz w:val="16"/>
          <w:szCs w:val="16"/>
        </w:rPr>
        <w:softHyphen/>
        <w:t>требителей осуществлялась в течение двух лет. за это время три самолета вышли из строя по причине аварий.</w:t>
      </w:r>
    </w:p>
    <w:p w14:paraId="7003A9A3" w14:textId="77777777" w:rsidR="003E545E" w:rsidRPr="00925F26" w:rsidRDefault="003E545E" w:rsidP="00925F26">
      <w:pPr>
        <w:jc w:val="both"/>
        <w:rPr>
          <w:color w:val="000000" w:themeColor="text1"/>
          <w:sz w:val="16"/>
          <w:szCs w:val="16"/>
        </w:rPr>
      </w:pPr>
      <w:r w:rsidRPr="00925F26">
        <w:rPr>
          <w:color w:val="000000" w:themeColor="text1"/>
          <w:sz w:val="16"/>
          <w:szCs w:val="16"/>
        </w:rPr>
        <w:t>В 1946 г., по крайней мере, один «Спитфайр» использовался совместно с КОР-2 для стартов с катапульты крейсера «Молотов». За проведе</w:t>
      </w:r>
      <w:r w:rsidRPr="00925F26">
        <w:rPr>
          <w:color w:val="000000" w:themeColor="text1"/>
          <w:sz w:val="16"/>
          <w:szCs w:val="16"/>
        </w:rPr>
        <w:softHyphen/>
        <w:t>ние удачных испытаний летчики ст. лейтенант В.Ф.Соколов, ст. лейтенант А.А.Пилюк и мл. лейтенант И.И.Шевченко были награждены командованием флота часами «Лонжин» (12301).</w:t>
      </w:r>
    </w:p>
    <w:p w14:paraId="578FC049" w14:textId="77777777" w:rsidR="003E545E" w:rsidRPr="00925F26" w:rsidRDefault="003E545E" w:rsidP="00925F26">
      <w:pPr>
        <w:jc w:val="both"/>
        <w:rPr>
          <w:color w:val="000000" w:themeColor="text1"/>
          <w:sz w:val="16"/>
          <w:szCs w:val="16"/>
        </w:rPr>
      </w:pPr>
    </w:p>
    <w:p w14:paraId="40D083EA" w14:textId="77777777" w:rsidR="003E545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A618838" w14:textId="77777777" w:rsidR="003E545E" w:rsidRPr="00925F26" w:rsidRDefault="003E545E" w:rsidP="00925F26">
      <w:pPr>
        <w:autoSpaceDE w:val="0"/>
        <w:autoSpaceDN w:val="0"/>
        <w:adjustRightInd w:val="0"/>
        <w:jc w:val="both"/>
        <w:rPr>
          <w:iCs/>
          <w:color w:val="000000" w:themeColor="text1"/>
          <w:sz w:val="16"/>
          <w:szCs w:val="16"/>
        </w:rPr>
      </w:pPr>
    </w:p>
    <w:p w14:paraId="2AB38883" w14:textId="77777777" w:rsidR="003E545E" w:rsidRPr="00925F26" w:rsidRDefault="003E545E"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К 1945 германская авиапромышленность была, как и у нас, размещена на тер</w:t>
      </w:r>
      <w:r w:rsidRPr="00925F26">
        <w:rPr>
          <w:rFonts w:ascii="Times New Roman" w:cs="Times New Roman"/>
          <w:color w:val="000000" w:themeColor="text1"/>
          <w:spacing w:val="0"/>
          <w:sz w:val="16"/>
          <w:szCs w:val="16"/>
        </w:rPr>
        <w:softHyphen/>
        <w:t>ритории Германии неравномерно. Постепенно под влиянием бомбардировок союзников немцы были вынуждены децентрализовать военную промышленность и разукрупнить свои заводы. Предприятия переводили в маленькие города и даже деревни, в основном, в восточные районы Германии, удаленные от воздушных баз союзников. Предприятия разукрупняли, размещали в помещениях мелких фабрик, в деревообрабатывающих ма</w:t>
      </w:r>
      <w:r w:rsidRPr="00925F26">
        <w:rPr>
          <w:rFonts w:ascii="Times New Roman" w:cs="Times New Roman"/>
          <w:color w:val="000000" w:themeColor="text1"/>
          <w:spacing w:val="0"/>
          <w:sz w:val="16"/>
          <w:szCs w:val="16"/>
        </w:rPr>
        <w:softHyphen/>
        <w:t>стерских, на предприятиях легкой промышленности. Начали создавать филиалы крупных авиационных фирм. Так, например, «Юнкере» переоборудовал на нужный ему профиль 19 предприятий в Саксонии. Заводы общего машиностроения срочно перепрофилиро</w:t>
      </w:r>
      <w:r w:rsidRPr="00925F26">
        <w:rPr>
          <w:rFonts w:ascii="Times New Roman" w:cs="Times New Roman"/>
          <w:color w:val="000000" w:themeColor="text1"/>
          <w:spacing w:val="0"/>
          <w:sz w:val="16"/>
          <w:szCs w:val="16"/>
        </w:rPr>
        <w:softHyphen/>
        <w:t>вали на авиационную продукцию.</w:t>
      </w:r>
    </w:p>
    <w:p w14:paraId="4488DDF6" w14:textId="77777777" w:rsidR="003E545E" w:rsidRPr="00925F26" w:rsidRDefault="003E545E"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Производство всё возраставшего количества самолётов на децентрализованных пред</w:t>
      </w:r>
      <w:r w:rsidRPr="00925F26">
        <w:rPr>
          <w:rFonts w:ascii="Times New Roman" w:cs="Times New Roman"/>
          <w:color w:val="000000" w:themeColor="text1"/>
          <w:spacing w:val="0"/>
          <w:sz w:val="16"/>
          <w:szCs w:val="16"/>
        </w:rPr>
        <w:softHyphen/>
        <w:t>приятиях могло осуществляться только при развитой кооперации производства и при превосходной транспортной системе. Такая транспортная система в Германии имелась, но из-за постоянных бомбёжек четкая работа транспорта в конце войны нарушилась, и она уже не могла справляться с необходимыми перевозками и ритмично питать сборку. Чтобы спасти положение, немцы начали дублировать изготовление деталей и узлов на нескольких предприятиях. Соответственно, на эти предприятия посылали и техническую документацию. Широкое распространение получило снабжение авиационных заводов полуфабрикатами и нормалями, общими для всей германской промышленности: ни одно авиационное предприятие не изготавливало у себя гайки, болты, шайбы и т.п.</w:t>
      </w:r>
    </w:p>
    <w:p w14:paraId="51B7EE13" w14:textId="77777777" w:rsidR="003E545E" w:rsidRPr="00925F26" w:rsidRDefault="003E545E"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конечной фазе войны, несмотря на огромные усилия министерства авиации Герма</w:t>
      </w:r>
      <w:r w:rsidRPr="00925F26">
        <w:rPr>
          <w:rFonts w:ascii="Times New Roman" w:cs="Times New Roman"/>
          <w:color w:val="000000" w:themeColor="text1"/>
          <w:spacing w:val="0"/>
          <w:sz w:val="16"/>
          <w:szCs w:val="16"/>
        </w:rPr>
        <w:softHyphen/>
        <w:t>нии, пытавшегося наладить выпуск уже разработанного нового секретного оружия — ракет ФАУ-1 и ФАУ-2, новых реактивных двигателей и самолётов, продукция авиапро</w:t>
      </w:r>
      <w:r w:rsidRPr="00925F26">
        <w:rPr>
          <w:rFonts w:ascii="Times New Roman" w:cs="Times New Roman"/>
          <w:color w:val="000000" w:themeColor="text1"/>
          <w:spacing w:val="0"/>
          <w:sz w:val="16"/>
          <w:szCs w:val="16"/>
        </w:rPr>
        <w:softHyphen/>
        <w:t>мышленности быстро сокращалась. Часть заводов располагалась на территории, уже занятой нашими войсками или союзниками, часть разрушили бомбардировки (15791).</w:t>
      </w:r>
    </w:p>
    <w:p w14:paraId="1835223A" w14:textId="77777777" w:rsidR="003E545E" w:rsidRPr="00925F26" w:rsidRDefault="003E545E" w:rsidP="00925F26">
      <w:pPr>
        <w:pStyle w:val="36"/>
        <w:shd w:val="clear" w:color="auto" w:fill="auto"/>
        <w:spacing w:after="0" w:line="240" w:lineRule="auto"/>
        <w:jc w:val="both"/>
        <w:rPr>
          <w:rFonts w:ascii="Times New Roman" w:cs="Times New Roman"/>
          <w:color w:val="000000" w:themeColor="text1"/>
          <w:spacing w:val="0"/>
          <w:sz w:val="16"/>
          <w:szCs w:val="16"/>
        </w:rPr>
      </w:pPr>
    </w:p>
    <w:p w14:paraId="496EBDF2" w14:textId="77777777" w:rsidR="00A96EA6"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879D391" w14:textId="77777777" w:rsidR="00A96EA6" w:rsidRPr="00925F26" w:rsidRDefault="00A96EA6" w:rsidP="00925F26">
      <w:pPr>
        <w:autoSpaceDE w:val="0"/>
        <w:autoSpaceDN w:val="0"/>
        <w:adjustRightInd w:val="0"/>
        <w:jc w:val="both"/>
        <w:rPr>
          <w:iCs/>
          <w:color w:val="000000" w:themeColor="text1"/>
          <w:sz w:val="16"/>
          <w:szCs w:val="16"/>
        </w:rPr>
      </w:pPr>
    </w:p>
    <w:p w14:paraId="34B635AC" w14:textId="77777777" w:rsidR="00A96EA6" w:rsidRPr="00925F26" w:rsidRDefault="00A96EA6"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 началу 1945 г. завершилось проектирование Ил-16 с двигателем АМ-43НВ мощ</w:t>
      </w:r>
      <w:r w:rsidRPr="00925F26">
        <w:rPr>
          <w:rFonts w:ascii="Times New Roman" w:hAnsi="Times New Roman" w:cs="Times New Roman"/>
          <w:color w:val="000000" w:themeColor="text1"/>
          <w:sz w:val="16"/>
          <w:szCs w:val="16"/>
        </w:rPr>
        <w:softHyphen/>
        <w:t>ностью 2300 л.с. (для достижения высоких летных качеств конструкция новой машины была максимально облегчена за счет не</w:t>
      </w:r>
      <w:r w:rsidRPr="00925F26">
        <w:rPr>
          <w:rFonts w:ascii="Times New Roman" w:hAnsi="Times New Roman" w:cs="Times New Roman"/>
          <w:color w:val="000000" w:themeColor="text1"/>
          <w:sz w:val="16"/>
          <w:szCs w:val="16"/>
        </w:rPr>
        <w:softHyphen/>
        <w:t>которого снижения массы бронекорпуса и уменьшения геометрических размеров планера), что позволило уже в феврале этого же года начать постройку опытного экземпляра. В первом же полете 10 июня испытатели столкнулись с непри</w:t>
      </w:r>
      <w:r w:rsidRPr="00925F26">
        <w:rPr>
          <w:rFonts w:ascii="Times New Roman" w:hAnsi="Times New Roman" w:cs="Times New Roman"/>
          <w:color w:val="000000" w:themeColor="text1"/>
          <w:sz w:val="16"/>
          <w:szCs w:val="16"/>
        </w:rPr>
        <w:softHyphen/>
        <w:t>ятным и достаточно заметно проявившим себя реактивным моментом воздушного винта, стремившимся уже на взлете са</w:t>
      </w:r>
      <w:r w:rsidRPr="00925F26">
        <w:rPr>
          <w:rFonts w:ascii="Times New Roman" w:hAnsi="Times New Roman" w:cs="Times New Roman"/>
          <w:color w:val="000000" w:themeColor="text1"/>
          <w:sz w:val="16"/>
          <w:szCs w:val="16"/>
        </w:rPr>
        <w:softHyphen/>
        <w:t>молета развернуть его вокруг продольной оси. Причиной этого явления были умень</w:t>
      </w:r>
      <w:r w:rsidRPr="00925F26">
        <w:rPr>
          <w:rFonts w:ascii="Times New Roman" w:hAnsi="Times New Roman" w:cs="Times New Roman"/>
          <w:color w:val="000000" w:themeColor="text1"/>
          <w:sz w:val="16"/>
          <w:szCs w:val="16"/>
        </w:rPr>
        <w:softHyphen/>
        <w:t>шенные геометрические размеры и уста</w:t>
      </w:r>
      <w:r w:rsidRPr="00925F26">
        <w:rPr>
          <w:rFonts w:ascii="Times New Roman" w:hAnsi="Times New Roman" w:cs="Times New Roman"/>
          <w:color w:val="000000" w:themeColor="text1"/>
          <w:sz w:val="16"/>
          <w:szCs w:val="16"/>
        </w:rPr>
        <w:softHyphen/>
        <w:t>новка мощного двигателя, в свою очередь доставившего испытателям немало непри</w:t>
      </w:r>
      <w:r w:rsidRPr="00925F26">
        <w:rPr>
          <w:rFonts w:ascii="Times New Roman" w:hAnsi="Times New Roman" w:cs="Times New Roman"/>
          <w:color w:val="000000" w:themeColor="text1"/>
          <w:sz w:val="16"/>
          <w:szCs w:val="16"/>
        </w:rPr>
        <w:softHyphen/>
        <w:t>ятностей. Все это привело к необходимости длительных доработок, в результате кото</w:t>
      </w:r>
      <w:r w:rsidRPr="00925F26">
        <w:rPr>
          <w:rFonts w:ascii="Times New Roman" w:hAnsi="Times New Roman" w:cs="Times New Roman"/>
          <w:color w:val="000000" w:themeColor="text1"/>
          <w:sz w:val="16"/>
          <w:szCs w:val="16"/>
        </w:rPr>
        <w:softHyphen/>
        <w:t>рых удалось избавиться от сваливания на крыло увеличением длины хвостовой части фюзеляжа и площади вертикального опере</w:t>
      </w:r>
      <w:r w:rsidRPr="00925F26">
        <w:rPr>
          <w:rFonts w:ascii="Times New Roman" w:hAnsi="Times New Roman" w:cs="Times New Roman"/>
          <w:color w:val="000000" w:themeColor="text1"/>
          <w:sz w:val="16"/>
          <w:szCs w:val="16"/>
        </w:rPr>
        <w:softHyphen/>
        <w:t>ния. Более трудоемкой оказалась доводка двигателя АМ-43НВ, в конечном итоге и ре</w:t>
      </w:r>
      <w:r w:rsidRPr="00925F26">
        <w:rPr>
          <w:rFonts w:ascii="Times New Roman" w:hAnsi="Times New Roman" w:cs="Times New Roman"/>
          <w:color w:val="000000" w:themeColor="text1"/>
          <w:sz w:val="16"/>
          <w:szCs w:val="16"/>
        </w:rPr>
        <w:softHyphen/>
        <w:t>шившая дальнейшую судьбу самолета.</w:t>
      </w:r>
    </w:p>
    <w:p w14:paraId="4D35D2B6" w14:textId="77777777" w:rsidR="00A96EA6" w:rsidRPr="00925F26" w:rsidRDefault="00A96EA6"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Установленное на этом штурмовике во</w:t>
      </w:r>
      <w:r w:rsidRPr="00925F26">
        <w:rPr>
          <w:rFonts w:ascii="Times New Roman" w:hAnsi="Times New Roman" w:cs="Times New Roman"/>
          <w:color w:val="000000" w:themeColor="text1"/>
          <w:sz w:val="16"/>
          <w:szCs w:val="16"/>
        </w:rPr>
        <w:softHyphen/>
        <w:t>оружение было представлено двумя пуш</w:t>
      </w:r>
      <w:r w:rsidRPr="00925F26">
        <w:rPr>
          <w:rFonts w:ascii="Times New Roman" w:hAnsi="Times New Roman" w:cs="Times New Roman"/>
          <w:color w:val="000000" w:themeColor="text1"/>
          <w:sz w:val="16"/>
          <w:szCs w:val="16"/>
        </w:rPr>
        <w:softHyphen/>
        <w:t>ками НС-23 и двумя пулеметами ШКАС, установленными в консолях крыла. Для обороны предназначались пушка УБ-20 в кабине стрелка, и гранаты АГ-2 в хвосте фюзеляжа. Нормальная бомбовая нагруз</w:t>
      </w:r>
      <w:r w:rsidRPr="00925F26">
        <w:rPr>
          <w:rFonts w:ascii="Times New Roman" w:hAnsi="Times New Roman" w:cs="Times New Roman"/>
          <w:color w:val="000000" w:themeColor="text1"/>
          <w:sz w:val="16"/>
          <w:szCs w:val="16"/>
        </w:rPr>
        <w:softHyphen/>
        <w:t>ка массой 200 кг размещалась в отсеках крыла, а при перегрузке массой 400 кг и на наружных подвесках. Проводившиеся во время испытаний доработки позволили в дальнейшем увеличить эти значения до 400 и 500 кг соответственно. На летных ис</w:t>
      </w:r>
      <w:r w:rsidRPr="00925F26">
        <w:rPr>
          <w:rFonts w:ascii="Times New Roman" w:hAnsi="Times New Roman" w:cs="Times New Roman"/>
          <w:color w:val="000000" w:themeColor="text1"/>
          <w:sz w:val="16"/>
          <w:szCs w:val="16"/>
        </w:rPr>
        <w:softHyphen/>
        <w:t xml:space="preserve">пытаниях, из-за плохой работы </w:t>
      </w:r>
      <w:proofErr w:type="gramStart"/>
      <w:r w:rsidRPr="00925F26">
        <w:rPr>
          <w:rFonts w:ascii="Times New Roman" w:hAnsi="Times New Roman" w:cs="Times New Roman"/>
          <w:color w:val="000000" w:themeColor="text1"/>
          <w:sz w:val="16"/>
          <w:szCs w:val="16"/>
        </w:rPr>
        <w:t>двигателей</w:t>
      </w:r>
      <w:proofErr w:type="gramEnd"/>
      <w:r w:rsidRPr="00925F26">
        <w:rPr>
          <w:rFonts w:ascii="Times New Roman" w:hAnsi="Times New Roman" w:cs="Times New Roman"/>
          <w:color w:val="000000" w:themeColor="text1"/>
          <w:sz w:val="16"/>
          <w:szCs w:val="16"/>
        </w:rPr>
        <w:t xml:space="preserve"> закончившихся с большими сложностями, самолет в полете у земли достиг скорости 525 км/ч, а на высоте 3000м - 575 км/ч. Дальность полета составила 700 км. Все дальнейшие работы по этому штурмовику были прекращены в 1946 г. (12734)</w:t>
      </w:r>
    </w:p>
    <w:p w14:paraId="24E1780B" w14:textId="77777777" w:rsidR="00A96EA6" w:rsidRPr="00925F26" w:rsidRDefault="00A96EA6"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8C7155C" w14:textId="77777777" w:rsidR="0032140A" w:rsidRPr="00925F26" w:rsidRDefault="0032140A" w:rsidP="00925F26">
      <w:pPr>
        <w:jc w:val="both"/>
        <w:rPr>
          <w:color w:val="000000" w:themeColor="text1"/>
          <w:sz w:val="16"/>
          <w:szCs w:val="16"/>
        </w:rPr>
      </w:pPr>
      <w:r w:rsidRPr="00925F26">
        <w:rPr>
          <w:color w:val="000000" w:themeColor="text1"/>
          <w:sz w:val="16"/>
          <w:szCs w:val="16"/>
        </w:rPr>
        <w:t>К началу 1945 г. ВВС КА пересмотрели требования к авиационной броне с учетом опыта боевых действий и эксплуатации само</w:t>
      </w:r>
      <w:r w:rsidRPr="00925F26">
        <w:rPr>
          <w:color w:val="000000" w:themeColor="text1"/>
          <w:sz w:val="16"/>
          <w:szCs w:val="16"/>
        </w:rPr>
        <w:softHyphen/>
        <w:t>летов на фронте, а также ужесточили приемку бронедеталей и конструкций из них. По мне</w:t>
      </w:r>
      <w:r w:rsidRPr="00925F26">
        <w:rPr>
          <w:color w:val="000000" w:themeColor="text1"/>
          <w:sz w:val="16"/>
          <w:szCs w:val="16"/>
        </w:rPr>
        <w:softHyphen/>
        <w:t>нию специалистов ГК НИИ ВВС, необходимо было</w:t>
      </w:r>
      <w:r w:rsidRPr="00925F26">
        <w:rPr>
          <w:iCs/>
          <w:color w:val="000000" w:themeColor="text1"/>
          <w:sz w:val="16"/>
          <w:szCs w:val="16"/>
          <w:shd w:val="clear" w:color="auto" w:fill="FFFFFF"/>
        </w:rPr>
        <w:t xml:space="preserve"> «дополнить существующие технические условия испытаниями на живучесть обстре</w:t>
      </w:r>
      <w:r w:rsidRPr="00925F26">
        <w:rPr>
          <w:iCs/>
          <w:color w:val="000000" w:themeColor="text1"/>
          <w:sz w:val="16"/>
          <w:szCs w:val="16"/>
          <w:shd w:val="clear" w:color="auto" w:fill="FFFFFF"/>
        </w:rPr>
        <w:softHyphen/>
        <w:t>лом снарядами крупного калибра (на бли</w:t>
      </w:r>
      <w:r w:rsidRPr="00925F26">
        <w:rPr>
          <w:iCs/>
          <w:color w:val="000000" w:themeColor="text1"/>
          <w:sz w:val="16"/>
          <w:szCs w:val="16"/>
          <w:shd w:val="clear" w:color="auto" w:fill="FFFFFF"/>
        </w:rPr>
        <w:softHyphen/>
        <w:t>жайшее время калибра 20 мм)».</w:t>
      </w:r>
      <w:r w:rsidRPr="00925F26">
        <w:rPr>
          <w:color w:val="000000" w:themeColor="text1"/>
          <w:sz w:val="16"/>
          <w:szCs w:val="16"/>
        </w:rPr>
        <w:t xml:space="preserve"> При этом не следовало снижать требования к бронестой- кости.</w:t>
      </w:r>
    </w:p>
    <w:p w14:paraId="088B62AF" w14:textId="77777777" w:rsidR="0032140A" w:rsidRPr="00925F26" w:rsidRDefault="0032140A" w:rsidP="00925F26">
      <w:pPr>
        <w:jc w:val="both"/>
        <w:rPr>
          <w:color w:val="000000" w:themeColor="text1"/>
          <w:sz w:val="16"/>
          <w:szCs w:val="16"/>
        </w:rPr>
      </w:pPr>
      <w:r w:rsidRPr="00925F26">
        <w:rPr>
          <w:color w:val="000000" w:themeColor="text1"/>
          <w:sz w:val="16"/>
          <w:szCs w:val="16"/>
        </w:rPr>
        <w:t>Дело в том, что существующие в серий</w:t>
      </w:r>
      <w:r w:rsidRPr="00925F26">
        <w:rPr>
          <w:color w:val="000000" w:themeColor="text1"/>
          <w:sz w:val="16"/>
          <w:szCs w:val="16"/>
        </w:rPr>
        <w:softHyphen/>
        <w:t>ном производстве стали АБ-2 (КП-2) и ХД не удовлетворяли в полной мере этим обоим требованиям. Сталь АБ-2 превосходила ХД по бронестойкости (в основном за счет более высокого содержания углерода и, соответст</w:t>
      </w:r>
      <w:r w:rsidRPr="00925F26">
        <w:rPr>
          <w:color w:val="000000" w:themeColor="text1"/>
          <w:sz w:val="16"/>
          <w:szCs w:val="16"/>
        </w:rPr>
        <w:softHyphen/>
        <w:t xml:space="preserve">венно, более высокого предела прочности), но несколько уступала ей по живучести; сталь ХД, </w:t>
      </w:r>
      <w:r w:rsidRPr="00925F26">
        <w:rPr>
          <w:iCs/>
          <w:color w:val="000000" w:themeColor="text1"/>
          <w:sz w:val="16"/>
          <w:szCs w:val="16"/>
          <w:shd w:val="clear" w:color="auto" w:fill="FFFFFF"/>
        </w:rPr>
        <w:t>«будучи мягче брони АБ-2»,</w:t>
      </w:r>
      <w:r w:rsidRPr="00925F26">
        <w:rPr>
          <w:color w:val="000000" w:themeColor="text1"/>
          <w:sz w:val="16"/>
          <w:szCs w:val="16"/>
        </w:rPr>
        <w:t xml:space="preserve"> разрушалась при прохождении через нее снаряда крупного ка</w:t>
      </w:r>
      <w:r w:rsidRPr="00925F26">
        <w:rPr>
          <w:color w:val="000000" w:themeColor="text1"/>
          <w:sz w:val="16"/>
          <w:szCs w:val="16"/>
        </w:rPr>
        <w:softHyphen/>
        <w:t>либра более пластично, чем АБ-2.</w:t>
      </w:r>
    </w:p>
    <w:p w14:paraId="66559B94" w14:textId="77777777" w:rsidR="0032140A" w:rsidRPr="00925F26" w:rsidRDefault="0032140A" w:rsidP="00925F26">
      <w:pPr>
        <w:jc w:val="both"/>
        <w:rPr>
          <w:color w:val="000000" w:themeColor="text1"/>
          <w:sz w:val="16"/>
          <w:szCs w:val="16"/>
        </w:rPr>
      </w:pPr>
      <w:r w:rsidRPr="00925F26">
        <w:rPr>
          <w:color w:val="000000" w:themeColor="text1"/>
          <w:sz w:val="16"/>
          <w:szCs w:val="16"/>
        </w:rPr>
        <w:t>В первую очередь, требовалось исключить возможность разрушения брони при попа</w:t>
      </w:r>
      <w:r w:rsidRPr="00925F26">
        <w:rPr>
          <w:color w:val="000000" w:themeColor="text1"/>
          <w:sz w:val="16"/>
          <w:szCs w:val="16"/>
        </w:rPr>
        <w:softHyphen/>
        <w:t>дании в нее крупнокалиберных пуль и снаря</w:t>
      </w:r>
      <w:r w:rsidRPr="00925F26">
        <w:rPr>
          <w:color w:val="000000" w:themeColor="text1"/>
          <w:sz w:val="16"/>
          <w:szCs w:val="16"/>
        </w:rPr>
        <w:softHyphen/>
        <w:t>дов калибра 20-23 мм. На языке прочности и пластичности это означает, что более высокая пластичность броневой стали не должна дос</w:t>
      </w:r>
      <w:r w:rsidRPr="00925F26">
        <w:rPr>
          <w:color w:val="000000" w:themeColor="text1"/>
          <w:sz w:val="16"/>
          <w:szCs w:val="16"/>
        </w:rPr>
        <w:softHyphen/>
        <w:t>тигаться ценой снижения ее прочности.</w:t>
      </w:r>
    </w:p>
    <w:p w14:paraId="7D3E6BF5" w14:textId="77777777" w:rsidR="0032140A" w:rsidRPr="00925F26" w:rsidRDefault="0032140A" w:rsidP="00925F26">
      <w:pPr>
        <w:jc w:val="both"/>
        <w:rPr>
          <w:color w:val="000000" w:themeColor="text1"/>
          <w:sz w:val="16"/>
          <w:szCs w:val="16"/>
        </w:rPr>
      </w:pPr>
      <w:r w:rsidRPr="00925F26">
        <w:rPr>
          <w:color w:val="000000" w:themeColor="text1"/>
          <w:sz w:val="16"/>
          <w:szCs w:val="16"/>
        </w:rPr>
        <w:t>Исследования ВИАМ убедительно показы</w:t>
      </w:r>
      <w:r w:rsidRPr="00925F26">
        <w:rPr>
          <w:color w:val="000000" w:themeColor="text1"/>
          <w:sz w:val="16"/>
          <w:szCs w:val="16"/>
        </w:rPr>
        <w:softHyphen/>
        <w:t>вали, что увеличение содержания никеля в ста</w:t>
      </w:r>
      <w:r w:rsidRPr="00925F26">
        <w:rPr>
          <w:color w:val="000000" w:themeColor="text1"/>
          <w:sz w:val="16"/>
          <w:szCs w:val="16"/>
        </w:rPr>
        <w:softHyphen/>
        <w:t>ли (было изучено содержание никеля до 5%) повышало ее прочность и пластичность однов</w:t>
      </w:r>
      <w:r w:rsidRPr="00925F26">
        <w:rPr>
          <w:color w:val="000000" w:themeColor="text1"/>
          <w:sz w:val="16"/>
          <w:szCs w:val="16"/>
        </w:rPr>
        <w:softHyphen/>
        <w:t>ременно. Все остальные элементы повышали пластичность только до определенного пре</w:t>
      </w:r>
      <w:r w:rsidRPr="00925F26">
        <w:rPr>
          <w:color w:val="000000" w:themeColor="text1"/>
          <w:sz w:val="16"/>
          <w:szCs w:val="16"/>
        </w:rPr>
        <w:softHyphen/>
        <w:t>дела своего содержания. Так, например, сталь с содержанием хрома, равным 3%, оказалась и по прочности, и по пластичности хуже, чем сталь, имеющая 1,5% хрома.</w:t>
      </w:r>
    </w:p>
    <w:p w14:paraId="5EC0851F" w14:textId="77777777" w:rsidR="0032140A" w:rsidRPr="00925F26" w:rsidRDefault="0032140A" w:rsidP="00925F26">
      <w:pPr>
        <w:jc w:val="both"/>
        <w:rPr>
          <w:color w:val="000000" w:themeColor="text1"/>
          <w:sz w:val="16"/>
          <w:szCs w:val="16"/>
        </w:rPr>
      </w:pPr>
      <w:r w:rsidRPr="00925F26">
        <w:rPr>
          <w:color w:val="000000" w:themeColor="text1"/>
          <w:sz w:val="16"/>
          <w:szCs w:val="16"/>
        </w:rPr>
        <w:t>Кроме того, повышенное содержание хро</w:t>
      </w:r>
      <w:r w:rsidRPr="00925F26">
        <w:rPr>
          <w:color w:val="000000" w:themeColor="text1"/>
          <w:sz w:val="16"/>
          <w:szCs w:val="16"/>
        </w:rPr>
        <w:softHyphen/>
        <w:t>ма крайне затрудняло изготовление брони ХД на металлургических заводах и ее переработку из возврата. По заключению Наркомата черной металлургии,</w:t>
      </w:r>
      <w:r w:rsidRPr="00925F26">
        <w:rPr>
          <w:iCs/>
          <w:color w:val="000000" w:themeColor="text1"/>
          <w:sz w:val="16"/>
          <w:szCs w:val="16"/>
          <w:shd w:val="clear" w:color="auto" w:fill="FFFFFF"/>
        </w:rPr>
        <w:t xml:space="preserve"> «изготовление стали марки ХД, в связи с высоким содержанием хрома, связано с большими трудностями. По этой же причине ограничивается возможность использования отходов».</w:t>
      </w:r>
    </w:p>
    <w:p w14:paraId="1ABFDE7D" w14:textId="77777777" w:rsidR="0032140A" w:rsidRPr="00925F26" w:rsidRDefault="0032140A" w:rsidP="00925F26">
      <w:pPr>
        <w:jc w:val="both"/>
        <w:rPr>
          <w:color w:val="000000" w:themeColor="text1"/>
          <w:sz w:val="16"/>
          <w:szCs w:val="16"/>
        </w:rPr>
      </w:pPr>
      <w:r w:rsidRPr="00925F26">
        <w:rPr>
          <w:iCs/>
          <w:color w:val="000000" w:themeColor="text1"/>
          <w:sz w:val="16"/>
          <w:szCs w:val="16"/>
          <w:shd w:val="clear" w:color="auto" w:fill="FFFFFF"/>
        </w:rPr>
        <w:t>Госплан СССР по поводу стали ХД в де</w:t>
      </w:r>
      <w:r w:rsidRPr="00925F26">
        <w:rPr>
          <w:iCs/>
          <w:color w:val="000000" w:themeColor="text1"/>
          <w:sz w:val="16"/>
          <w:szCs w:val="16"/>
          <w:shd w:val="clear" w:color="auto" w:fill="FFFFFF"/>
        </w:rPr>
        <w:softHyphen/>
        <w:t>кабре 1944 г. указывал:</w:t>
      </w:r>
      <w:r w:rsidRPr="00925F26">
        <w:rPr>
          <w:color w:val="000000" w:themeColor="text1"/>
          <w:sz w:val="16"/>
          <w:szCs w:val="16"/>
        </w:rPr>
        <w:t xml:space="preserve"> «В связи с внедрени</w:t>
      </w:r>
      <w:r w:rsidRPr="00925F26">
        <w:rPr>
          <w:color w:val="000000" w:themeColor="text1"/>
          <w:sz w:val="16"/>
          <w:szCs w:val="16"/>
        </w:rPr>
        <w:softHyphen/>
        <w:t>ем в производство авиационной броневой стали марки АБ-3 взамен стали марки АБ-2, отдел экономии и заменителей Госплана СССР считает нецелесообразным проводить работы по дальнейшей замене стали марки АБ-3 сталью марки ХД, так как эта сталь леги</w:t>
      </w:r>
      <w:r w:rsidRPr="00925F26">
        <w:rPr>
          <w:color w:val="000000" w:themeColor="text1"/>
          <w:sz w:val="16"/>
          <w:szCs w:val="16"/>
        </w:rPr>
        <w:softHyphen/>
        <w:t>рована дефицитным молибденом и ввиду вы</w:t>
      </w:r>
      <w:r w:rsidRPr="00925F26">
        <w:rPr>
          <w:color w:val="000000" w:themeColor="text1"/>
          <w:sz w:val="16"/>
          <w:szCs w:val="16"/>
        </w:rPr>
        <w:softHyphen/>
        <w:t>сокого содержания хрома (2,4-2,8%) трудна в производстве».</w:t>
      </w:r>
    </w:p>
    <w:p w14:paraId="4DC72E49" w14:textId="77777777" w:rsidR="0032140A" w:rsidRPr="00925F26" w:rsidRDefault="0032140A" w:rsidP="00925F26">
      <w:pPr>
        <w:jc w:val="both"/>
        <w:rPr>
          <w:color w:val="000000" w:themeColor="text1"/>
          <w:sz w:val="16"/>
          <w:szCs w:val="16"/>
        </w:rPr>
      </w:pPr>
      <w:r w:rsidRPr="00925F26">
        <w:rPr>
          <w:iCs/>
          <w:color w:val="000000" w:themeColor="text1"/>
          <w:sz w:val="16"/>
          <w:szCs w:val="16"/>
          <w:shd w:val="clear" w:color="auto" w:fill="FFFFFF"/>
        </w:rPr>
        <w:t>Именно по этим причинам НКАП и ВИАМ относились крайне сдержанно к стали ХД в гомогенном варианте. По мнению броневого отдела ВИАМ,</w:t>
      </w:r>
      <w:r w:rsidRPr="00925F26">
        <w:rPr>
          <w:color w:val="000000" w:themeColor="text1"/>
          <w:sz w:val="16"/>
          <w:szCs w:val="16"/>
        </w:rPr>
        <w:t xml:space="preserve"> «новые возросшие требования к авиационной броне необходимо</w:t>
      </w:r>
      <w:r w:rsidRPr="00925F26">
        <w:rPr>
          <w:color w:val="000000" w:themeColor="text1"/>
          <w:sz w:val="16"/>
          <w:szCs w:val="16"/>
          <w:shd w:val="clear" w:color="auto" w:fill="FFFFFF"/>
        </w:rPr>
        <w:t xml:space="preserve"> удовлетво</w:t>
      </w:r>
      <w:r w:rsidRPr="00925F26">
        <w:rPr>
          <w:color w:val="000000" w:themeColor="text1"/>
          <w:sz w:val="16"/>
          <w:szCs w:val="16"/>
          <w:shd w:val="clear" w:color="auto" w:fill="FFFFFF"/>
        </w:rPr>
        <w:softHyphen/>
      </w:r>
      <w:r w:rsidRPr="00925F26">
        <w:rPr>
          <w:color w:val="000000" w:themeColor="text1"/>
          <w:sz w:val="16"/>
          <w:szCs w:val="16"/>
        </w:rPr>
        <w:t>рять, не чураясь никеля, идя по пути</w:t>
      </w:r>
      <w:r w:rsidRPr="00925F26">
        <w:rPr>
          <w:color w:val="000000" w:themeColor="text1"/>
          <w:sz w:val="16"/>
          <w:szCs w:val="16"/>
          <w:shd w:val="clear" w:color="auto" w:fill="FFFFFF"/>
        </w:rPr>
        <w:t xml:space="preserve"> комплекс</w:t>
      </w:r>
      <w:r w:rsidRPr="00925F26">
        <w:rPr>
          <w:color w:val="000000" w:themeColor="text1"/>
          <w:sz w:val="16"/>
          <w:szCs w:val="16"/>
          <w:shd w:val="clear" w:color="auto" w:fill="FFFFFF"/>
        </w:rPr>
        <w:softHyphen/>
      </w:r>
      <w:r w:rsidRPr="00925F26">
        <w:rPr>
          <w:color w:val="000000" w:themeColor="text1"/>
          <w:sz w:val="16"/>
          <w:szCs w:val="16"/>
        </w:rPr>
        <w:t>ного легирования хромом,</w:t>
      </w:r>
      <w:r w:rsidRPr="00925F26">
        <w:rPr>
          <w:color w:val="000000" w:themeColor="text1"/>
          <w:sz w:val="16"/>
          <w:szCs w:val="16"/>
          <w:shd w:val="clear" w:color="auto" w:fill="FFFFFF"/>
        </w:rPr>
        <w:t xml:space="preserve"> марганцем и крем</w:t>
      </w:r>
      <w:r w:rsidRPr="00925F26">
        <w:rPr>
          <w:color w:val="000000" w:themeColor="text1"/>
          <w:sz w:val="16"/>
          <w:szCs w:val="16"/>
          <w:shd w:val="clear" w:color="auto" w:fill="FFFFFF"/>
        </w:rPr>
        <w:softHyphen/>
      </w:r>
      <w:r w:rsidRPr="00925F26">
        <w:rPr>
          <w:color w:val="000000" w:themeColor="text1"/>
          <w:sz w:val="16"/>
          <w:szCs w:val="16"/>
        </w:rPr>
        <w:t>нием, допуская при этом</w:t>
      </w:r>
      <w:r w:rsidRPr="00925F26">
        <w:rPr>
          <w:color w:val="000000" w:themeColor="text1"/>
          <w:sz w:val="16"/>
          <w:szCs w:val="16"/>
          <w:shd w:val="clear" w:color="auto" w:fill="FFFFFF"/>
        </w:rPr>
        <w:t xml:space="preserve"> и никель, несмотря </w:t>
      </w:r>
      <w:r w:rsidRPr="00925F26">
        <w:rPr>
          <w:color w:val="000000" w:themeColor="text1"/>
          <w:sz w:val="16"/>
          <w:szCs w:val="16"/>
        </w:rPr>
        <w:t>на его дефицитность».</w:t>
      </w:r>
      <w:r w:rsidRPr="00925F26">
        <w:rPr>
          <w:iCs/>
          <w:color w:val="000000" w:themeColor="text1"/>
          <w:sz w:val="16"/>
          <w:szCs w:val="16"/>
          <w:shd w:val="clear" w:color="auto" w:fill="FFFFFF"/>
        </w:rPr>
        <w:t xml:space="preserve"> Указывалось, что «опыт </w:t>
      </w:r>
      <w:r w:rsidRPr="00925F26">
        <w:rPr>
          <w:color w:val="000000" w:themeColor="text1"/>
          <w:sz w:val="16"/>
          <w:szCs w:val="16"/>
        </w:rPr>
        <w:t>США говорит</w:t>
      </w:r>
      <w:r w:rsidRPr="00925F26">
        <w:rPr>
          <w:color w:val="000000" w:themeColor="text1"/>
          <w:sz w:val="16"/>
          <w:szCs w:val="16"/>
          <w:shd w:val="clear" w:color="auto" w:fill="FFFFFF"/>
        </w:rPr>
        <w:t xml:space="preserve"> в</w:t>
      </w:r>
      <w:r w:rsidRPr="00925F26">
        <w:rPr>
          <w:color w:val="000000" w:themeColor="text1"/>
          <w:sz w:val="16"/>
          <w:szCs w:val="16"/>
        </w:rPr>
        <w:t xml:space="preserve"> пользу сложного</w:t>
      </w:r>
      <w:r w:rsidRPr="00925F26">
        <w:rPr>
          <w:color w:val="000000" w:themeColor="text1"/>
          <w:sz w:val="16"/>
          <w:szCs w:val="16"/>
          <w:shd w:val="clear" w:color="auto" w:fill="FFFFFF"/>
        </w:rPr>
        <w:t xml:space="preserve"> комплексного </w:t>
      </w:r>
      <w:r w:rsidRPr="00925F26">
        <w:rPr>
          <w:color w:val="000000" w:themeColor="text1"/>
          <w:sz w:val="16"/>
          <w:szCs w:val="16"/>
        </w:rPr>
        <w:t>легирования и в этом случае</w:t>
      </w:r>
      <w:r w:rsidRPr="00925F26">
        <w:rPr>
          <w:color w:val="000000" w:themeColor="text1"/>
          <w:sz w:val="16"/>
          <w:szCs w:val="16"/>
          <w:shd w:val="clear" w:color="auto" w:fill="FFFFFF"/>
        </w:rPr>
        <w:t xml:space="preserve"> расход</w:t>
      </w:r>
      <w:r w:rsidRPr="00925F26">
        <w:rPr>
          <w:iCs/>
          <w:color w:val="000000" w:themeColor="text1"/>
          <w:sz w:val="16"/>
          <w:szCs w:val="16"/>
          <w:shd w:val="clear" w:color="auto" w:fill="FFFFFF"/>
        </w:rPr>
        <w:t xml:space="preserve"> никеля </w:t>
      </w:r>
      <w:r w:rsidRPr="00925F26">
        <w:rPr>
          <w:color w:val="000000" w:themeColor="text1"/>
          <w:sz w:val="16"/>
          <w:szCs w:val="16"/>
        </w:rPr>
        <w:t>может быть минимальным».</w:t>
      </w:r>
    </w:p>
    <w:p w14:paraId="6D478E4B" w14:textId="77777777" w:rsidR="0032140A" w:rsidRPr="00925F26" w:rsidRDefault="0032140A" w:rsidP="00925F26">
      <w:pPr>
        <w:jc w:val="both"/>
        <w:rPr>
          <w:color w:val="000000" w:themeColor="text1"/>
          <w:sz w:val="16"/>
          <w:szCs w:val="16"/>
        </w:rPr>
      </w:pPr>
      <w:r w:rsidRPr="00925F26">
        <w:rPr>
          <w:iCs/>
          <w:color w:val="000000" w:themeColor="text1"/>
          <w:sz w:val="16"/>
          <w:szCs w:val="16"/>
          <w:shd w:val="clear" w:color="auto" w:fill="FFFFFF"/>
        </w:rPr>
        <w:t>При этом отмечалось, что «</w:t>
      </w:r>
      <w:r w:rsidRPr="00925F26">
        <w:rPr>
          <w:color w:val="000000" w:themeColor="text1"/>
          <w:sz w:val="16"/>
          <w:szCs w:val="16"/>
          <w:shd w:val="clear" w:color="auto" w:fill="FFFFFF"/>
        </w:rPr>
        <w:t xml:space="preserve">было бы в </w:t>
      </w:r>
      <w:r w:rsidRPr="00925F26">
        <w:rPr>
          <w:color w:val="000000" w:themeColor="text1"/>
          <w:sz w:val="16"/>
          <w:szCs w:val="16"/>
        </w:rPr>
        <w:t>высшей мере опрометчиво поиски</w:t>
      </w:r>
      <w:r w:rsidRPr="00925F26">
        <w:rPr>
          <w:color w:val="000000" w:themeColor="text1"/>
          <w:sz w:val="16"/>
          <w:szCs w:val="16"/>
          <w:shd w:val="clear" w:color="auto" w:fill="FFFFFF"/>
        </w:rPr>
        <w:t xml:space="preserve"> броневой </w:t>
      </w:r>
      <w:r w:rsidRPr="00925F26">
        <w:rPr>
          <w:color w:val="000000" w:themeColor="text1"/>
          <w:sz w:val="16"/>
          <w:szCs w:val="16"/>
        </w:rPr>
        <w:t>стали, отвечающей новым возросшим</w:t>
      </w:r>
      <w:r w:rsidRPr="00925F26">
        <w:rPr>
          <w:color w:val="000000" w:themeColor="text1"/>
          <w:sz w:val="16"/>
          <w:szCs w:val="16"/>
          <w:shd w:val="clear" w:color="auto" w:fill="FFFFFF"/>
        </w:rPr>
        <w:t xml:space="preserve"> требо</w:t>
      </w:r>
      <w:r w:rsidRPr="00925F26">
        <w:rPr>
          <w:color w:val="000000" w:themeColor="text1"/>
          <w:sz w:val="16"/>
          <w:szCs w:val="16"/>
          <w:shd w:val="clear" w:color="auto" w:fill="FFFFFF"/>
        </w:rPr>
        <w:softHyphen/>
      </w:r>
      <w:r w:rsidRPr="00925F26">
        <w:rPr>
          <w:color w:val="000000" w:themeColor="text1"/>
          <w:sz w:val="16"/>
          <w:szCs w:val="16"/>
        </w:rPr>
        <w:t>ваниям, ограничить сравнительным испытани</w:t>
      </w:r>
      <w:r w:rsidRPr="00925F26">
        <w:rPr>
          <w:color w:val="000000" w:themeColor="text1"/>
          <w:sz w:val="16"/>
          <w:szCs w:val="16"/>
        </w:rPr>
        <w:softHyphen/>
        <w:t>ям существующих марок броневой стали (ХД, АБ-2 и АБ-3, являющейся заменителем стали АБ-2)».</w:t>
      </w:r>
      <w:r w:rsidRPr="00925F26">
        <w:rPr>
          <w:iCs/>
          <w:color w:val="000000" w:themeColor="text1"/>
          <w:sz w:val="16"/>
          <w:szCs w:val="16"/>
          <w:shd w:val="clear" w:color="auto" w:fill="FFFFFF"/>
        </w:rPr>
        <w:t xml:space="preserve"> Считалось целесообразным</w:t>
      </w:r>
      <w:r w:rsidRPr="00925F26">
        <w:rPr>
          <w:color w:val="000000" w:themeColor="text1"/>
          <w:sz w:val="16"/>
          <w:szCs w:val="16"/>
        </w:rPr>
        <w:t xml:space="preserve"> «испытать и сталь АБ-1, содержащую 4% никеля, из ко</w:t>
      </w:r>
      <w:r w:rsidRPr="00925F26">
        <w:rPr>
          <w:color w:val="000000" w:themeColor="text1"/>
          <w:sz w:val="16"/>
          <w:szCs w:val="16"/>
        </w:rPr>
        <w:softHyphen/>
        <w:t>торой делались первые серии Ил-2, и другие детали».</w:t>
      </w:r>
      <w:r w:rsidRPr="00925F26">
        <w:rPr>
          <w:iCs/>
          <w:color w:val="000000" w:themeColor="text1"/>
          <w:sz w:val="16"/>
          <w:szCs w:val="16"/>
          <w:shd w:val="clear" w:color="auto" w:fill="FFFFFF"/>
        </w:rPr>
        <w:t xml:space="preserve"> Делалось предположение,</w:t>
      </w:r>
      <w:r w:rsidRPr="00925F26">
        <w:rPr>
          <w:color w:val="000000" w:themeColor="text1"/>
          <w:sz w:val="16"/>
          <w:szCs w:val="16"/>
        </w:rPr>
        <w:t xml:space="preserve"> «что на пути комплексного легирования удастся найти более дешевую сталь, чем АБ-1, и найти очень быстро».</w:t>
      </w:r>
    </w:p>
    <w:p w14:paraId="6D2AC309" w14:textId="77777777" w:rsidR="0032140A" w:rsidRPr="00925F26" w:rsidRDefault="0032140A" w:rsidP="00925F26">
      <w:pPr>
        <w:jc w:val="both"/>
        <w:rPr>
          <w:color w:val="000000" w:themeColor="text1"/>
          <w:sz w:val="16"/>
          <w:szCs w:val="16"/>
        </w:rPr>
      </w:pPr>
      <w:r w:rsidRPr="00925F26">
        <w:rPr>
          <w:rFonts w:eastAsia="Arial Unicode MS"/>
          <w:color w:val="000000" w:themeColor="text1"/>
          <w:sz w:val="16"/>
          <w:szCs w:val="16"/>
        </w:rPr>
        <w:t>Обращалось внимание еще на одно об</w:t>
      </w:r>
      <w:r w:rsidRPr="00925F26">
        <w:rPr>
          <w:rFonts w:eastAsia="Arial Unicode MS"/>
          <w:color w:val="000000" w:themeColor="text1"/>
          <w:sz w:val="16"/>
          <w:szCs w:val="16"/>
        </w:rPr>
        <w:softHyphen/>
        <w:t>стоятельство. За годы войны единственным поставщиком тонкой авиационной брони ока</w:t>
      </w:r>
      <w:r w:rsidRPr="00925F26">
        <w:rPr>
          <w:rFonts w:eastAsia="Arial Unicode MS"/>
          <w:color w:val="000000" w:themeColor="text1"/>
          <w:sz w:val="16"/>
          <w:szCs w:val="16"/>
        </w:rPr>
        <w:softHyphen/>
        <w:t xml:space="preserve">зался Кузнецкий металлургический комбинат, </w:t>
      </w:r>
      <w:r w:rsidRPr="00925F26">
        <w:rPr>
          <w:rFonts w:eastAsia="Arial Unicode MS"/>
          <w:iCs/>
          <w:color w:val="000000" w:themeColor="text1"/>
          <w:sz w:val="16"/>
          <w:szCs w:val="16"/>
          <w:shd w:val="clear" w:color="auto" w:fill="FFFFFF"/>
        </w:rPr>
        <w:t>«катающий эту броню из 6-ти тонных слит</w:t>
      </w:r>
      <w:r w:rsidRPr="00925F26">
        <w:rPr>
          <w:rFonts w:eastAsia="Arial Unicode MS"/>
          <w:iCs/>
          <w:color w:val="000000" w:themeColor="text1"/>
          <w:sz w:val="16"/>
          <w:szCs w:val="16"/>
          <w:shd w:val="clear" w:color="auto" w:fill="FFFFFF"/>
        </w:rPr>
        <w:softHyphen/>
        <w:t>ков».</w:t>
      </w:r>
      <w:r w:rsidRPr="00925F26">
        <w:rPr>
          <w:rFonts w:eastAsia="Arial Unicode MS"/>
          <w:color w:val="000000" w:themeColor="text1"/>
          <w:sz w:val="16"/>
          <w:szCs w:val="16"/>
        </w:rPr>
        <w:t xml:space="preserve"> Между тем,</w:t>
      </w:r>
      <w:r w:rsidRPr="00925F26">
        <w:rPr>
          <w:rFonts w:eastAsia="Arial Unicode MS"/>
          <w:iCs/>
          <w:color w:val="000000" w:themeColor="text1"/>
          <w:sz w:val="16"/>
          <w:szCs w:val="16"/>
          <w:shd w:val="clear" w:color="auto" w:fill="FFFFFF"/>
        </w:rPr>
        <w:t xml:space="preserve"> «старые поставщики тонкой танковой брони Кулебакский и Выксукский заводы катают из 1,5-2 тонных слитков тан</w:t>
      </w:r>
      <w:r w:rsidRPr="00925F26">
        <w:rPr>
          <w:rFonts w:eastAsia="Arial Unicode MS"/>
          <w:iCs/>
          <w:color w:val="000000" w:themeColor="text1"/>
          <w:sz w:val="16"/>
          <w:szCs w:val="16"/>
          <w:shd w:val="clear" w:color="auto" w:fill="FFFFFF"/>
        </w:rPr>
        <w:softHyphen/>
        <w:t>ковую броню с большей толщиной, чем авиа</w:t>
      </w:r>
      <w:r w:rsidRPr="00925F26">
        <w:rPr>
          <w:rFonts w:eastAsia="Arial Unicode MS"/>
          <w:iCs/>
          <w:color w:val="000000" w:themeColor="text1"/>
          <w:sz w:val="16"/>
          <w:szCs w:val="16"/>
          <w:shd w:val="clear" w:color="auto" w:fill="FFFFFF"/>
        </w:rPr>
        <w:softHyphen/>
        <w:t>ционная броня».</w:t>
      </w:r>
      <w:r w:rsidRPr="00925F26">
        <w:rPr>
          <w:rFonts w:eastAsia="Arial Unicode MS"/>
          <w:color w:val="000000" w:themeColor="text1"/>
          <w:sz w:val="16"/>
          <w:szCs w:val="16"/>
        </w:rPr>
        <w:t xml:space="preserve"> Очевидно, чем больше сли</w:t>
      </w:r>
      <w:r w:rsidRPr="00925F26">
        <w:rPr>
          <w:rFonts w:eastAsia="Arial Unicode MS"/>
          <w:color w:val="000000" w:themeColor="text1"/>
          <w:sz w:val="16"/>
          <w:szCs w:val="16"/>
        </w:rPr>
        <w:softHyphen/>
        <w:t>ток, тем труднее получить из него листовую сталь высокого качества. Таким образом, для производства авиационной брони высокой стойкости перед руководством страны и ВВС ставился вопрос «о</w:t>
      </w:r>
      <w:r w:rsidRPr="00925F26">
        <w:rPr>
          <w:rFonts w:eastAsia="Arial Unicode MS"/>
          <w:iCs/>
          <w:color w:val="000000" w:themeColor="text1"/>
          <w:sz w:val="16"/>
          <w:szCs w:val="16"/>
          <w:shd w:val="clear" w:color="auto" w:fill="FFFFFF"/>
        </w:rPr>
        <w:t xml:space="preserve"> новых дополнительных по</w:t>
      </w:r>
      <w:r w:rsidRPr="00925F26">
        <w:rPr>
          <w:rFonts w:eastAsia="Arial Unicode MS"/>
          <w:iCs/>
          <w:color w:val="000000" w:themeColor="text1"/>
          <w:sz w:val="16"/>
          <w:szCs w:val="16"/>
          <w:shd w:val="clear" w:color="auto" w:fill="FFFFFF"/>
        </w:rPr>
        <w:softHyphen/>
        <w:t>ставщиках авиационной брони, могущих катать сталь из малых слитков» (17479).</w:t>
      </w:r>
    </w:p>
    <w:p w14:paraId="1C8930C6" w14:textId="77777777" w:rsidR="0032140A" w:rsidRPr="00925F26" w:rsidRDefault="0032140A" w:rsidP="00925F26">
      <w:pPr>
        <w:jc w:val="both"/>
        <w:rPr>
          <w:color w:val="000000" w:themeColor="text1"/>
          <w:sz w:val="16"/>
          <w:szCs w:val="16"/>
        </w:rPr>
      </w:pPr>
    </w:p>
    <w:p w14:paraId="326E5BE8" w14:textId="77777777" w:rsidR="00925F26" w:rsidRPr="001A0BAA" w:rsidRDefault="00925F26" w:rsidP="00925F26">
      <w:pPr>
        <w:jc w:val="both"/>
        <w:rPr>
          <w:color w:val="0070C0"/>
          <w:sz w:val="16"/>
          <w:szCs w:val="16"/>
        </w:rPr>
      </w:pPr>
      <w:r w:rsidRPr="001A0BAA">
        <w:rPr>
          <w:color w:val="0070C0"/>
          <w:sz w:val="16"/>
          <w:szCs w:val="16"/>
        </w:rPr>
        <w:t>К началу 1945 года были выпущены рабочие чертежи, и началась постройка опытного образца бомбардировщика Ил-14 (25685).</w:t>
      </w:r>
    </w:p>
    <w:p w14:paraId="4EC8A10E" w14:textId="77777777" w:rsidR="00925F26" w:rsidRPr="001A0BAA" w:rsidRDefault="00925F26" w:rsidP="00925F26">
      <w:pPr>
        <w:jc w:val="both"/>
        <w:rPr>
          <w:color w:val="0070C0"/>
          <w:sz w:val="16"/>
          <w:szCs w:val="16"/>
        </w:rPr>
      </w:pPr>
    </w:p>
    <w:p w14:paraId="49B56C50" w14:textId="77777777" w:rsidR="002764C0" w:rsidRPr="00925F26" w:rsidRDefault="002764C0" w:rsidP="00925F26">
      <w:pPr>
        <w:jc w:val="both"/>
        <w:rPr>
          <w:color w:val="000000" w:themeColor="text1"/>
          <w:sz w:val="16"/>
          <w:szCs w:val="16"/>
        </w:rPr>
      </w:pPr>
      <w:r w:rsidRPr="00925F26">
        <w:rPr>
          <w:color w:val="000000" w:themeColor="text1"/>
          <w:sz w:val="16"/>
          <w:szCs w:val="16"/>
        </w:rPr>
        <w:t>К началу 1945 года производственные площади ОКБ-155 по сравнению с 1942 годом возрос</w:t>
      </w:r>
      <w:r w:rsidRPr="00925F26">
        <w:rPr>
          <w:color w:val="000000" w:themeColor="text1"/>
          <w:sz w:val="16"/>
          <w:szCs w:val="16"/>
        </w:rPr>
        <w:softHyphen/>
        <w:t>ли на 1650 м2, а количество оборудования — в полтора раза. Численность промышленно-производственного персонала, то есть специалистов, непосредственно занятых проектированием и постройкой опытных машин, составила 1412 человек (из них 307 — инженеры и тех</w:t>
      </w:r>
      <w:r w:rsidRPr="00925F26">
        <w:rPr>
          <w:color w:val="000000" w:themeColor="text1"/>
          <w:sz w:val="16"/>
          <w:szCs w:val="16"/>
        </w:rPr>
        <w:softHyphen/>
        <w:t>ники, а 838 — рабочие опытного производства) (23379).</w:t>
      </w:r>
    </w:p>
    <w:p w14:paraId="50090F61" w14:textId="77777777" w:rsidR="002764C0" w:rsidRPr="00925F26" w:rsidRDefault="002764C0" w:rsidP="00925F26">
      <w:pPr>
        <w:jc w:val="both"/>
        <w:rPr>
          <w:color w:val="000000" w:themeColor="text1"/>
          <w:sz w:val="16"/>
          <w:szCs w:val="16"/>
        </w:rPr>
      </w:pPr>
    </w:p>
    <w:p w14:paraId="5620E32F" w14:textId="77777777" w:rsidR="00C2313B" w:rsidRPr="00925F26" w:rsidRDefault="001561D1" w:rsidP="00925F26">
      <w:pPr>
        <w:widowControl w:val="0"/>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6B87850" w14:textId="77777777" w:rsidR="00C2313B" w:rsidRPr="00925F26" w:rsidRDefault="00C2313B" w:rsidP="00925F26">
      <w:pPr>
        <w:widowControl w:val="0"/>
        <w:autoSpaceDE w:val="0"/>
        <w:autoSpaceDN w:val="0"/>
        <w:adjustRightInd w:val="0"/>
        <w:jc w:val="both"/>
        <w:rPr>
          <w:iCs/>
          <w:color w:val="000000" w:themeColor="text1"/>
          <w:sz w:val="16"/>
          <w:szCs w:val="16"/>
        </w:rPr>
      </w:pPr>
    </w:p>
    <w:p w14:paraId="489974F5" w14:textId="77777777" w:rsidR="006F67C2" w:rsidRPr="00925F26" w:rsidRDefault="006F67C2" w:rsidP="00925F26">
      <w:pPr>
        <w:jc w:val="both"/>
        <w:rPr>
          <w:color w:val="000000" w:themeColor="text1"/>
          <w:sz w:val="16"/>
          <w:szCs w:val="16"/>
        </w:rPr>
      </w:pPr>
      <w:r w:rsidRPr="00925F26">
        <w:rPr>
          <w:color w:val="000000" w:themeColor="text1"/>
          <w:sz w:val="16"/>
          <w:szCs w:val="16"/>
        </w:rPr>
        <w:t>К началу 1945 года СУ-100М2, которая, по результатам рассмотрения проекта перерабатывалась, осталась единственным реализуемым сменщиком СУ-100 (23527).</w:t>
      </w:r>
    </w:p>
    <w:p w14:paraId="4228B8BD" w14:textId="77777777" w:rsidR="006F67C2" w:rsidRPr="00925F26" w:rsidRDefault="006F67C2" w:rsidP="00925F26">
      <w:pPr>
        <w:jc w:val="both"/>
        <w:rPr>
          <w:color w:val="000000" w:themeColor="text1"/>
          <w:sz w:val="16"/>
          <w:szCs w:val="16"/>
        </w:rPr>
      </w:pPr>
    </w:p>
    <w:p w14:paraId="2DEC60AB"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 завод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базировался на четырех площадках: по Иностранному пер., по Финляндскому пер., по Наличному пер., 7Б и по 18/19 линии Васильевского острова, 10.</w:t>
      </w:r>
    </w:p>
    <w:p w14:paraId="60453E29"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5B6E9404"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По приказу № 72с от 25.02.1946 г. завод с 1.02.1946 г. становится опытной базой гл. конструктора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Неусыпина, а по приказу № 430с от 4.07.1946 г. преобразуется в Опытный завод № 224 МАП. В 08.1957 г.- в ведении 4ГУ ГКАТ.</w:t>
      </w:r>
    </w:p>
    <w:p w14:paraId="3C315796"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4BF9F22E"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4ECC9CA3"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(2002 г.)- 350 чел.</w:t>
      </w:r>
    </w:p>
    <w:p w14:paraId="1AA1EF76"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516C37F7"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(2006 г.)- А. Иванов.</w:t>
      </w:r>
    </w:p>
    <w:p w14:paraId="3FABDE1D"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Зам. директора (02.1944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Неусыпин. Зам. гендиректора по экономике и финансам (2002 г.)- Д.А. Воробьев.</w:t>
      </w:r>
    </w:p>
    <w:p w14:paraId="3F74E124"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инженер (02.1944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Неусыпин, (2002 г.)- А.Е. Понкратов.</w:t>
      </w:r>
      <w:r w:rsidRPr="00925F26">
        <w:rPr>
          <w:color w:val="000000" w:themeColor="text1"/>
          <w:sz w:val="16"/>
          <w:szCs w:val="16"/>
          <w:vertAlign w:val="superscript"/>
        </w:rPr>
        <w:t>69</w:t>
      </w:r>
    </w:p>
    <w:p w14:paraId="01EDFD6B" w14:textId="77777777" w:rsidR="003E545E" w:rsidRPr="00925F26" w:rsidRDefault="003E545E"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сборочного (03.1937 г.-)</w:t>
      </w:r>
      <w:proofErr w:type="gramStart"/>
      <w:r w:rsidRPr="00925F26">
        <w:rPr>
          <w:color w:val="000000" w:themeColor="text1"/>
          <w:sz w:val="16"/>
          <w:szCs w:val="16"/>
        </w:rPr>
        <w:t>-  Г.К.</w:t>
      </w:r>
      <w:proofErr w:type="gramEnd"/>
      <w:r w:rsidRPr="00925F26">
        <w:rPr>
          <w:color w:val="000000" w:themeColor="text1"/>
          <w:sz w:val="16"/>
          <w:szCs w:val="16"/>
        </w:rPr>
        <w:t xml:space="preserve"> Петров.</w:t>
      </w:r>
    </w:p>
    <w:p w14:paraId="221FB575" w14:textId="77777777" w:rsidR="003E545E" w:rsidRPr="00925F26" w:rsidRDefault="003E545E"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визир НВ-56, барографы (1936);</w:t>
      </w:r>
      <w:r w:rsidRPr="00925F26">
        <w:rPr>
          <w:iCs/>
          <w:color w:val="000000" w:themeColor="text1"/>
          <w:sz w:val="16"/>
          <w:szCs w:val="16"/>
        </w:rPr>
        <w:t xml:space="preserve"> приборы:</w:t>
      </w:r>
      <w:r w:rsidRPr="00925F26">
        <w:rPr>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35811D34" w14:textId="77777777" w:rsidR="003E545E" w:rsidRPr="00925F26" w:rsidRDefault="003E545E" w:rsidP="00925F26">
      <w:pPr>
        <w:autoSpaceDE w:val="0"/>
        <w:autoSpaceDN w:val="0"/>
        <w:adjustRightInd w:val="0"/>
        <w:jc w:val="both"/>
        <w:rPr>
          <w:color w:val="000000" w:themeColor="text1"/>
          <w:sz w:val="16"/>
          <w:szCs w:val="16"/>
        </w:rPr>
      </w:pPr>
    </w:p>
    <w:p w14:paraId="354A1A40" w14:textId="77777777" w:rsidR="00573476" w:rsidRPr="00925F26" w:rsidRDefault="00573476" w:rsidP="00925F26">
      <w:pPr>
        <w:pStyle w:val="af2"/>
        <w:jc w:val="both"/>
        <w:rPr>
          <w:i w:val="0"/>
          <w:color w:val="000000" w:themeColor="text1"/>
          <w:spacing w:val="0"/>
          <w:kern w:val="0"/>
          <w:position w:val="0"/>
          <w:sz w:val="16"/>
          <w:szCs w:val="16"/>
          <w:lang w:val="ru-RU"/>
        </w:rPr>
      </w:pPr>
      <w:r w:rsidRPr="00925F26">
        <w:rPr>
          <w:i w:val="0"/>
          <w:color w:val="000000" w:themeColor="text1"/>
          <w:spacing w:val="0"/>
          <w:kern w:val="0"/>
          <w:position w:val="0"/>
          <w:sz w:val="16"/>
          <w:szCs w:val="16"/>
          <w:lang w:val="ru-RU"/>
        </w:rPr>
        <w:t>К началу 1945 года строительные организации НКВД сдали Наркомчермету предприятие годовой мощностью почти в 1 млн. тонн чугуна и около 450 тыс. тонн стали, обладавшее 2 коксовыми батареями и 2 электротурбинами (из них одна была поставлена из США) мощностью по 25 тыс. кВтч каждая. Всего в 1941-1945 годах НТМК произвел 4,3 млн. тонн чугуна, 0,925 млн. тонн стали и 530 тыс. тонн проката. В 1945 году, по официальной информации, комбинат произвел 965 тыс. тонн чугуна, 433 тыс. тонн стали и 170 тыс. тонн проката. Смены в мартеновском цехе НТМК длились во время войны по 12 часов, а сократить их благодаря автоматике не удалось, поскольку из-за сильной захламленности и загазованности помещения (не были продуманы системы принудительного отвода газов и уплотнение в печах) автоматику поставили только на два мартена из шести. Из-за дефицита рабочей силы на НТМК стали допускать до работ в горячем цехе женщин (так, первой женщиной-горновой в СССР стала Фаина Шарунова) (11514).</w:t>
      </w:r>
    </w:p>
    <w:p w14:paraId="76DDD23A" w14:textId="77777777" w:rsidR="00573476" w:rsidRPr="00925F26" w:rsidRDefault="00573476" w:rsidP="00925F26">
      <w:pPr>
        <w:pStyle w:val="1b"/>
        <w:widowControl/>
        <w:jc w:val="both"/>
        <w:rPr>
          <w:rFonts w:ascii="Times New Roman" w:hAnsi="Times New Roman"/>
          <w:color w:val="000000" w:themeColor="text1"/>
          <w:sz w:val="16"/>
          <w:szCs w:val="16"/>
          <w:lang w:val="ru-RU"/>
        </w:rPr>
      </w:pPr>
    </w:p>
    <w:p w14:paraId="36D6F820" w14:textId="77777777" w:rsidR="003056AF" w:rsidRPr="00925F26" w:rsidRDefault="003056AF" w:rsidP="00925F26">
      <w:pPr>
        <w:widowControl w:val="0"/>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FF9C39B" w14:textId="77777777" w:rsidR="003056AF" w:rsidRPr="00925F26" w:rsidRDefault="003056AF" w:rsidP="00925F26">
      <w:pPr>
        <w:widowControl w:val="0"/>
        <w:autoSpaceDE w:val="0"/>
        <w:autoSpaceDN w:val="0"/>
        <w:adjustRightInd w:val="0"/>
        <w:jc w:val="both"/>
        <w:rPr>
          <w:iCs/>
          <w:color w:val="000000" w:themeColor="text1"/>
          <w:sz w:val="16"/>
          <w:szCs w:val="16"/>
        </w:rPr>
      </w:pPr>
    </w:p>
    <w:p w14:paraId="122AB7D8" w14:textId="77777777" w:rsidR="006F67C2" w:rsidRPr="00925F26" w:rsidRDefault="006F67C2" w:rsidP="00925F26">
      <w:pPr>
        <w:jc w:val="both"/>
        <w:rPr>
          <w:color w:val="000000" w:themeColor="text1"/>
          <w:sz w:val="16"/>
          <w:szCs w:val="16"/>
        </w:rPr>
      </w:pPr>
      <w:r w:rsidRPr="00925F26">
        <w:rPr>
          <w:color w:val="000000" w:themeColor="text1"/>
          <w:sz w:val="16"/>
          <w:szCs w:val="16"/>
        </w:rPr>
        <w:t>К началу 1945 г. Люфтваффе располагали 1331 штурмовиком, из которых 1077 состав</w:t>
      </w:r>
      <w:r w:rsidRPr="00925F26">
        <w:rPr>
          <w:color w:val="000000" w:themeColor="text1"/>
          <w:sz w:val="16"/>
          <w:szCs w:val="16"/>
        </w:rPr>
        <w:softHyphen/>
        <w:t>ляли FW 190 (абсолютное большинство из них действовало на Восточном фронте). Ни</w:t>
      </w:r>
      <w:r w:rsidRPr="00925F26">
        <w:rPr>
          <w:color w:val="000000" w:themeColor="text1"/>
          <w:sz w:val="16"/>
          <w:szCs w:val="16"/>
        </w:rPr>
        <w:softHyphen/>
        <w:t>когда прежде в строю не было такого значи</w:t>
      </w:r>
      <w:r w:rsidRPr="00925F26">
        <w:rPr>
          <w:color w:val="000000" w:themeColor="text1"/>
          <w:sz w:val="16"/>
          <w:szCs w:val="16"/>
        </w:rPr>
        <w:softHyphen/>
        <w:t>тельного количества самолетов конструкции К. Танка. Они приняли участие во всех опе</w:t>
      </w:r>
      <w:r w:rsidRPr="00925F26">
        <w:rPr>
          <w:color w:val="000000" w:themeColor="text1"/>
          <w:sz w:val="16"/>
          <w:szCs w:val="16"/>
        </w:rPr>
        <w:softHyphen/>
        <w:t>рациях завершающего этапа Второй миро</w:t>
      </w:r>
      <w:r w:rsidRPr="00925F26">
        <w:rPr>
          <w:color w:val="000000" w:themeColor="text1"/>
          <w:sz w:val="16"/>
          <w:szCs w:val="16"/>
        </w:rPr>
        <w:softHyphen/>
        <w:t>вой войны и, конечно, Висло-Одерской, ставшей одной из крупнейших. Операция началась в сложных погодных условиях во второй половине января 1945 г. Первона</w:t>
      </w:r>
      <w:r w:rsidRPr="00925F26">
        <w:rPr>
          <w:color w:val="000000" w:themeColor="text1"/>
          <w:sz w:val="16"/>
          <w:szCs w:val="16"/>
        </w:rPr>
        <w:softHyphen/>
        <w:t>чально советская авиация действовала не</w:t>
      </w:r>
      <w:r w:rsidRPr="00925F26">
        <w:rPr>
          <w:color w:val="000000" w:themeColor="text1"/>
          <w:sz w:val="16"/>
          <w:szCs w:val="16"/>
        </w:rPr>
        <w:softHyphen/>
        <w:t>большими силами, да и немецкая особой ак</w:t>
      </w:r>
      <w:r w:rsidRPr="00925F26">
        <w:rPr>
          <w:color w:val="000000" w:themeColor="text1"/>
          <w:sz w:val="16"/>
          <w:szCs w:val="16"/>
        </w:rPr>
        <w:softHyphen/>
        <w:t>тивности не проявляла, быстро потеряв ряд передовых аэродромов. В условиях туманов, низкой сплошной облачности, мелкого сне</w:t>
      </w:r>
      <w:r w:rsidRPr="00925F26">
        <w:rPr>
          <w:color w:val="000000" w:themeColor="text1"/>
          <w:sz w:val="16"/>
          <w:szCs w:val="16"/>
        </w:rPr>
        <w:softHyphen/>
        <w:t>га, временами переходящего в дождь, по</w:t>
      </w:r>
      <w:r w:rsidRPr="00925F26">
        <w:rPr>
          <w:color w:val="000000" w:themeColor="text1"/>
          <w:sz w:val="16"/>
          <w:szCs w:val="16"/>
        </w:rPr>
        <w:softHyphen/>
        <w:t>движные группы 1-го Белорусского фронта стремительно прорвали оборону неприятеля и в последние дни января вышли к Одеру. Они с ходу форсировали реку и захватили плацдармы в районе Кюстрина.</w:t>
      </w:r>
    </w:p>
    <w:p w14:paraId="0BDB9F61" w14:textId="77777777" w:rsidR="006F67C2" w:rsidRPr="00925F26" w:rsidRDefault="006F67C2" w:rsidP="00925F26">
      <w:pPr>
        <w:jc w:val="both"/>
        <w:rPr>
          <w:color w:val="000000" w:themeColor="text1"/>
          <w:sz w:val="16"/>
          <w:szCs w:val="16"/>
        </w:rPr>
      </w:pPr>
      <w:r w:rsidRPr="00925F26">
        <w:rPr>
          <w:color w:val="000000" w:themeColor="text1"/>
          <w:sz w:val="16"/>
          <w:szCs w:val="16"/>
        </w:rPr>
        <w:t>Фактически в первой декаде февраля в ролях штурмовиков и истребителей-бомбардировщиков приме</w:t>
      </w:r>
      <w:r w:rsidRPr="00925F26">
        <w:rPr>
          <w:color w:val="000000" w:themeColor="text1"/>
          <w:sz w:val="16"/>
          <w:szCs w:val="16"/>
        </w:rPr>
        <w:softHyphen/>
        <w:t>нялись почти все группы и эскадры 6-го воз</w:t>
      </w:r>
      <w:r w:rsidRPr="00925F26">
        <w:rPr>
          <w:color w:val="000000" w:themeColor="text1"/>
          <w:sz w:val="16"/>
          <w:szCs w:val="16"/>
        </w:rPr>
        <w:softHyphen/>
        <w:t>душного флота, и прежде всего вооружен</w:t>
      </w:r>
      <w:r w:rsidRPr="00925F26">
        <w:rPr>
          <w:color w:val="000000" w:themeColor="text1"/>
          <w:sz w:val="16"/>
          <w:szCs w:val="16"/>
        </w:rPr>
        <w:softHyphen/>
        <w:t>ные самолетами FW 190.</w:t>
      </w:r>
    </w:p>
    <w:p w14:paraId="037E11C7" w14:textId="77777777" w:rsidR="006F67C2" w:rsidRPr="00925F26" w:rsidRDefault="006F67C2" w:rsidP="00925F26">
      <w:pPr>
        <w:jc w:val="both"/>
        <w:rPr>
          <w:color w:val="000000" w:themeColor="text1"/>
          <w:sz w:val="16"/>
          <w:szCs w:val="16"/>
        </w:rPr>
      </w:pPr>
      <w:r w:rsidRPr="00925F26">
        <w:rPr>
          <w:color w:val="000000" w:themeColor="text1"/>
          <w:sz w:val="16"/>
          <w:szCs w:val="16"/>
        </w:rPr>
        <w:t>Нашим войскам приходилось отражать массированные налеты «Фокке-Вульфов». Группы численностью 20—40 самолетов, а в отдельные дни до 60 FW 190 действовали по боевым и походным порядкам войск марша</w:t>
      </w:r>
      <w:r w:rsidRPr="00925F26">
        <w:rPr>
          <w:color w:val="000000" w:themeColor="text1"/>
          <w:sz w:val="16"/>
          <w:szCs w:val="16"/>
        </w:rPr>
        <w:softHyphen/>
        <w:t>ла Г. К. Жукова, по переправам через Одер, стремясь ликвидировать советские плацдар</w:t>
      </w:r>
      <w:r w:rsidRPr="00925F26">
        <w:rPr>
          <w:color w:val="000000" w:themeColor="text1"/>
          <w:sz w:val="16"/>
          <w:szCs w:val="16"/>
        </w:rPr>
        <w:softHyphen/>
        <w:t>мы на западном берегу в районах северо-за</w:t>
      </w:r>
      <w:r w:rsidRPr="00925F26">
        <w:rPr>
          <w:color w:val="000000" w:themeColor="text1"/>
          <w:sz w:val="16"/>
          <w:szCs w:val="16"/>
        </w:rPr>
        <w:softHyphen/>
        <w:t>паднее Кюстрина, севернее и южнее Франк</w:t>
      </w:r>
      <w:r w:rsidRPr="00925F26">
        <w:rPr>
          <w:color w:val="000000" w:themeColor="text1"/>
          <w:sz w:val="16"/>
          <w:szCs w:val="16"/>
        </w:rPr>
        <w:softHyphen/>
        <w:t>фурта-на-Одере. Обычно они приходили со стороны солнца на высоте 2500—3000 м, а при пасмурной погоде — за облаками, ши</w:t>
      </w:r>
      <w:r w:rsidRPr="00925F26">
        <w:rPr>
          <w:color w:val="000000" w:themeColor="text1"/>
          <w:sz w:val="16"/>
          <w:szCs w:val="16"/>
        </w:rPr>
        <w:softHyphen/>
        <w:t>роко используя противозенитный маневр по высоте, направлению и скорости. Бомбоме</w:t>
      </w:r>
      <w:r w:rsidRPr="00925F26">
        <w:rPr>
          <w:color w:val="000000" w:themeColor="text1"/>
          <w:sz w:val="16"/>
          <w:szCs w:val="16"/>
        </w:rPr>
        <w:softHyphen/>
        <w:t>тание производилось с двух—трех заходов с пикирования под углами 45—70° с 2500 м до высоты 1000—500 м. Практиковались заходы с востока с последующим уходом в сторону своих войск на бреющем. Освободившись от бомб, «Фокке-Вульфы» часто снижались до 20—40 м и штурмовали цели.</w:t>
      </w:r>
    </w:p>
    <w:p w14:paraId="167CA1FD" w14:textId="77777777" w:rsidR="006F67C2" w:rsidRPr="00925F26" w:rsidRDefault="006F67C2" w:rsidP="00925F26">
      <w:pPr>
        <w:jc w:val="both"/>
        <w:rPr>
          <w:color w:val="000000" w:themeColor="text1"/>
          <w:sz w:val="16"/>
          <w:szCs w:val="16"/>
        </w:rPr>
      </w:pPr>
      <w:r w:rsidRPr="00925F26">
        <w:rPr>
          <w:color w:val="000000" w:themeColor="text1"/>
          <w:sz w:val="16"/>
          <w:szCs w:val="16"/>
        </w:rPr>
        <w:t>Поданным штаба 16-й ВА, за первую де</w:t>
      </w:r>
      <w:r w:rsidRPr="00925F26">
        <w:rPr>
          <w:color w:val="000000" w:themeColor="text1"/>
          <w:sz w:val="16"/>
          <w:szCs w:val="16"/>
        </w:rPr>
        <w:softHyphen/>
        <w:t>каду февраля 1945 г., когда для войск фронта сложилась наиболее тревожная обстановка, посты ВНОС зафиксировали 13950 пролетов вражеских самолетов, две трети из которых выполнили FW 190 (еще недавно такого ко</w:t>
      </w:r>
      <w:r w:rsidRPr="00925F26">
        <w:rPr>
          <w:color w:val="000000" w:themeColor="text1"/>
          <w:sz w:val="16"/>
          <w:szCs w:val="16"/>
        </w:rPr>
        <w:softHyphen/>
        <w:t>личества этих самолетов не наблюдалось на всем советско-германском фронте за целый месяц!). Не располагая пригодными аэро</w:t>
      </w:r>
      <w:r w:rsidRPr="00925F26">
        <w:rPr>
          <w:color w:val="000000" w:themeColor="text1"/>
          <w:sz w:val="16"/>
          <w:szCs w:val="16"/>
        </w:rPr>
        <w:softHyphen/>
        <w:t>дромами вблизи Одера, 16-я воздушная ар</w:t>
      </w:r>
      <w:r w:rsidRPr="00925F26">
        <w:rPr>
          <w:color w:val="000000" w:themeColor="text1"/>
          <w:sz w:val="16"/>
          <w:szCs w:val="16"/>
        </w:rPr>
        <w:softHyphen/>
        <w:t xml:space="preserve">мия произвела за первые 10 дней февраля лишь 1530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(24190).</w:t>
      </w:r>
    </w:p>
    <w:p w14:paraId="465F1E35" w14:textId="77777777" w:rsidR="006F67C2" w:rsidRPr="00925F26" w:rsidRDefault="006F67C2" w:rsidP="00925F26">
      <w:pPr>
        <w:jc w:val="both"/>
        <w:rPr>
          <w:color w:val="000000" w:themeColor="text1"/>
          <w:sz w:val="16"/>
          <w:szCs w:val="16"/>
        </w:rPr>
      </w:pPr>
    </w:p>
    <w:p w14:paraId="5BD2054C" w14:textId="77777777" w:rsidR="003056AF" w:rsidRPr="00925F26" w:rsidRDefault="003056AF"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года американский флот имел в составе пятнадцати эскадрилий 141 патрульный и учебный воздушный корабль полужесткой конструкции, основу которых составлял известный дирижабль К-типа — это было наивысшей точкой американской программы строительства дирижаблей. Все эскадрильи, предназначенные для действий в Северной Атлантике, Южной Америке и Европе, оснащались и проходили обучение на станции Лейкхерста. Собственная 12-я патрульная эскадрилья воздушных кораблей (ZP-12) Лейкхерста была оснащена восемью дирижаблями К-типа, которые за время войны совершили 5261 рейс (11324).</w:t>
      </w:r>
    </w:p>
    <w:p w14:paraId="23221558" w14:textId="77777777" w:rsidR="003056AF" w:rsidRPr="00925F26" w:rsidRDefault="003056AF" w:rsidP="00925F26">
      <w:pPr>
        <w:autoSpaceDE w:val="0"/>
        <w:autoSpaceDN w:val="0"/>
        <w:adjustRightInd w:val="0"/>
        <w:jc w:val="both"/>
        <w:rPr>
          <w:color w:val="000000" w:themeColor="text1"/>
          <w:sz w:val="16"/>
          <w:szCs w:val="16"/>
        </w:rPr>
      </w:pPr>
    </w:p>
    <w:p w14:paraId="6D99978C" w14:textId="77777777" w:rsidR="003E545E" w:rsidRPr="00925F26" w:rsidRDefault="001561D1" w:rsidP="00925F26">
      <w:pPr>
        <w:widowControl w:val="0"/>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857DA1C" w14:textId="77777777" w:rsidR="003E545E" w:rsidRPr="00925F26" w:rsidRDefault="003E545E" w:rsidP="00925F26">
      <w:pPr>
        <w:widowControl w:val="0"/>
        <w:autoSpaceDE w:val="0"/>
        <w:autoSpaceDN w:val="0"/>
        <w:adjustRightInd w:val="0"/>
        <w:jc w:val="both"/>
        <w:rPr>
          <w:iCs/>
          <w:color w:val="000000" w:themeColor="text1"/>
          <w:sz w:val="16"/>
          <w:szCs w:val="16"/>
        </w:rPr>
      </w:pPr>
    </w:p>
    <w:p w14:paraId="1D572E94"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К январю 1945 года были выполнены Аванпроект, эскизный проект и рабочие чертежи 100-мм береговой установки на механической тяге С-65. Опытный образец АУ (3861).</w:t>
      </w:r>
    </w:p>
    <w:p w14:paraId="34A2A567" w14:textId="77777777" w:rsidR="00C2313B" w:rsidRPr="00925F26" w:rsidRDefault="00C2313B" w:rsidP="00925F26">
      <w:pPr>
        <w:widowControl w:val="0"/>
        <w:autoSpaceDE w:val="0"/>
        <w:autoSpaceDN w:val="0"/>
        <w:adjustRightInd w:val="0"/>
        <w:jc w:val="both"/>
        <w:rPr>
          <w:color w:val="000000" w:themeColor="text1"/>
          <w:sz w:val="16"/>
          <w:szCs w:val="16"/>
        </w:rPr>
      </w:pPr>
    </w:p>
    <w:p w14:paraId="5EB03EC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A643FE4" w14:textId="77777777" w:rsidR="00C2313B" w:rsidRPr="00925F26" w:rsidRDefault="00C2313B" w:rsidP="00925F26">
      <w:pPr>
        <w:autoSpaceDE w:val="0"/>
        <w:autoSpaceDN w:val="0"/>
        <w:adjustRightInd w:val="0"/>
        <w:jc w:val="both"/>
        <w:rPr>
          <w:iCs/>
          <w:color w:val="000000" w:themeColor="text1"/>
          <w:sz w:val="16"/>
          <w:szCs w:val="16"/>
        </w:rPr>
      </w:pPr>
    </w:p>
    <w:p w14:paraId="62F3D6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Удельный вес возрастных и тендерных групп работников НКАП на 01.01.1945 г. (РГАЭ, Ф. 8044. </w:t>
      </w:r>
      <w:r w:rsidRPr="00925F26">
        <w:rPr>
          <w:color w:val="000000" w:themeColor="text1"/>
          <w:sz w:val="16"/>
          <w:szCs w:val="16"/>
          <w:lang w:val="en-US"/>
        </w:rPr>
        <w:t xml:space="preserve">On. </w:t>
      </w:r>
      <w:r w:rsidRPr="00925F26">
        <w:rPr>
          <w:color w:val="000000" w:themeColor="text1"/>
          <w:sz w:val="16"/>
          <w:szCs w:val="16"/>
        </w:rPr>
        <w:t>1 Д. 2873. Л. 6)</w:t>
      </w:r>
    </w:p>
    <w:tbl>
      <w:tblPr>
        <w:tblW w:w="0" w:type="auto"/>
        <w:tblInd w:w="8" w:type="dxa"/>
        <w:tblLayout w:type="fixed"/>
        <w:tblCellMar>
          <w:left w:w="0" w:type="dxa"/>
          <w:right w:w="0" w:type="dxa"/>
        </w:tblCellMar>
        <w:tblLook w:val="0000" w:firstRow="0" w:lastRow="0" w:firstColumn="0" w:lastColumn="0" w:noHBand="0" w:noVBand="0"/>
      </w:tblPr>
      <w:tblGrid>
        <w:gridCol w:w="1157"/>
        <w:gridCol w:w="302"/>
        <w:gridCol w:w="758"/>
        <w:gridCol w:w="754"/>
        <w:gridCol w:w="806"/>
        <w:gridCol w:w="926"/>
        <w:gridCol w:w="1234"/>
      </w:tblGrid>
      <w:tr w:rsidR="000F5689" w:rsidRPr="00925F26" w14:paraId="5F3483D5" w14:textId="77777777">
        <w:trPr>
          <w:trHeight w:val="302"/>
        </w:trPr>
        <w:tc>
          <w:tcPr>
            <w:tcW w:w="1459" w:type="dxa"/>
            <w:gridSpan w:val="2"/>
            <w:tcBorders>
              <w:top w:val="single" w:sz="6" w:space="0" w:color="auto"/>
              <w:left w:val="single" w:sz="6" w:space="0" w:color="auto"/>
              <w:bottom w:val="single" w:sz="6" w:space="0" w:color="auto"/>
              <w:right w:val="single" w:sz="6" w:space="0" w:color="auto"/>
            </w:tcBorders>
            <w:shd w:val="clear" w:color="auto" w:fill="FFFFFF"/>
          </w:tcPr>
          <w:p w14:paraId="3F6ABB0E" w14:textId="77777777" w:rsidR="00C2313B" w:rsidRPr="00925F26" w:rsidRDefault="00C2313B" w:rsidP="00925F26">
            <w:pPr>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C96E6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 18</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441E0A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18—25</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F8562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26—35</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B1199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36-49</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7D4BC794" w14:textId="77777777" w:rsidR="00C2313B" w:rsidRPr="00925F26" w:rsidRDefault="00C2313B"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50 ?</w:t>
            </w:r>
            <w:proofErr w:type="gramEnd"/>
            <w:r w:rsidRPr="00925F26">
              <w:rPr>
                <w:color w:val="000000" w:themeColor="text1"/>
                <w:sz w:val="16"/>
                <w:szCs w:val="16"/>
              </w:rPr>
              <w:t xml:space="preserve"> старше</w:t>
            </w:r>
          </w:p>
        </w:tc>
      </w:tr>
      <w:tr w:rsidR="000F5689" w:rsidRPr="00925F26" w14:paraId="07BEC6E5" w14:textId="77777777">
        <w:trPr>
          <w:trHeight w:val="293"/>
        </w:trPr>
        <w:tc>
          <w:tcPr>
            <w:tcW w:w="1157" w:type="dxa"/>
            <w:tcBorders>
              <w:top w:val="single" w:sz="6" w:space="0" w:color="auto"/>
              <w:left w:val="single" w:sz="6" w:space="0" w:color="auto"/>
              <w:bottom w:val="nil"/>
              <w:right w:val="single" w:sz="6" w:space="0" w:color="auto"/>
            </w:tcBorders>
            <w:shd w:val="clear" w:color="auto" w:fill="FFFFFF"/>
          </w:tcPr>
          <w:p w14:paraId="7CB261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персонала</w:t>
            </w: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624099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356C5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12,1</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12F695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27,4</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18CECB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30,4</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506DCF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24,1</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FB542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w:t>
            </w:r>
          </w:p>
        </w:tc>
      </w:tr>
      <w:tr w:rsidR="000F5689" w:rsidRPr="00925F26" w14:paraId="7D5407F8" w14:textId="77777777">
        <w:trPr>
          <w:trHeight w:val="307"/>
        </w:trPr>
        <w:tc>
          <w:tcPr>
            <w:tcW w:w="1157" w:type="dxa"/>
            <w:tcBorders>
              <w:top w:val="nil"/>
              <w:left w:val="single" w:sz="6" w:space="0" w:color="auto"/>
              <w:bottom w:val="single" w:sz="6" w:space="0" w:color="auto"/>
              <w:right w:val="single" w:sz="6" w:space="0" w:color="auto"/>
            </w:tcBorders>
            <w:shd w:val="clear" w:color="auto" w:fill="FFFFFF"/>
          </w:tcPr>
          <w:p w14:paraId="3CE0F703" w14:textId="77777777" w:rsidR="00C2313B" w:rsidRPr="00925F26" w:rsidRDefault="00C2313B" w:rsidP="00925F26">
            <w:pPr>
              <w:autoSpaceDE w:val="0"/>
              <w:autoSpaceDN w:val="0"/>
              <w:adjustRightInd w:val="0"/>
              <w:jc w:val="both"/>
              <w:rPr>
                <w:color w:val="000000" w:themeColor="text1"/>
                <w:sz w:val="16"/>
                <w:szCs w:val="16"/>
              </w:rPr>
            </w:pP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1D7114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ж</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62451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10,9</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0A62BC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42,9</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08EE04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26,8</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2E3759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C8033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w:t>
            </w:r>
          </w:p>
        </w:tc>
      </w:tr>
      <w:tr w:rsidR="000F5689" w:rsidRPr="00925F26" w14:paraId="5DFAD5B8" w14:textId="77777777">
        <w:trPr>
          <w:trHeight w:val="293"/>
        </w:trPr>
        <w:tc>
          <w:tcPr>
            <w:tcW w:w="1157" w:type="dxa"/>
            <w:tcBorders>
              <w:top w:val="single" w:sz="6" w:space="0" w:color="auto"/>
              <w:left w:val="single" w:sz="6" w:space="0" w:color="auto"/>
              <w:bottom w:val="nil"/>
              <w:right w:val="single" w:sz="6" w:space="0" w:color="auto"/>
            </w:tcBorders>
            <w:shd w:val="clear" w:color="auto" w:fill="FFFFFF"/>
          </w:tcPr>
          <w:p w14:paraId="1BC2BA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Рабочих</w:t>
            </w: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186FAD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F6C2E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44353D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32,6</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97FBC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27,6</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467B3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21,0</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596049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5,8</w:t>
            </w:r>
          </w:p>
        </w:tc>
      </w:tr>
      <w:tr w:rsidR="000F5689" w:rsidRPr="00925F26" w14:paraId="5AFA7C5C" w14:textId="77777777">
        <w:trPr>
          <w:trHeight w:val="312"/>
        </w:trPr>
        <w:tc>
          <w:tcPr>
            <w:tcW w:w="1157" w:type="dxa"/>
            <w:tcBorders>
              <w:top w:val="nil"/>
              <w:left w:val="single" w:sz="6" w:space="0" w:color="auto"/>
              <w:bottom w:val="single" w:sz="6" w:space="0" w:color="auto"/>
              <w:right w:val="single" w:sz="6" w:space="0" w:color="auto"/>
            </w:tcBorders>
            <w:shd w:val="clear" w:color="auto" w:fill="FFFFFF"/>
          </w:tcPr>
          <w:p w14:paraId="7AE5D4CC" w14:textId="77777777" w:rsidR="00C2313B" w:rsidRPr="00925F26" w:rsidRDefault="00C2313B" w:rsidP="00925F26">
            <w:pPr>
              <w:autoSpaceDE w:val="0"/>
              <w:autoSpaceDN w:val="0"/>
              <w:adjustRightInd w:val="0"/>
              <w:jc w:val="both"/>
              <w:rPr>
                <w:color w:val="000000" w:themeColor="text1"/>
                <w:sz w:val="16"/>
                <w:szCs w:val="16"/>
              </w:rPr>
            </w:pP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5E2197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ж</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9CF89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11,2</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39EC9B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43,9</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508F9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25,4</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045908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16,5</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66A174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w:t>
            </w:r>
          </w:p>
        </w:tc>
      </w:tr>
    </w:tbl>
    <w:p w14:paraId="5681CE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Как видим, возрастной пик в масштабах всего персонала НКАП у мужчин наступает в 26—35 лет, а у женщин (при</w:t>
      </w:r>
      <w:r w:rsidRPr="00925F26">
        <w:rPr>
          <w:color w:val="000000" w:themeColor="text1"/>
          <w:sz w:val="16"/>
          <w:szCs w:val="16"/>
        </w:rPr>
        <w:softHyphen/>
        <w:t>чём в намного более выраженной форме) — в 18—25. Ве</w:t>
      </w:r>
      <w:r w:rsidRPr="00925F26">
        <w:rPr>
          <w:color w:val="000000" w:themeColor="text1"/>
          <w:sz w:val="16"/>
          <w:szCs w:val="16"/>
        </w:rPr>
        <w:softHyphen/>
        <w:t>роятно, это объясняется притоком на предприятия молодой, малоквалифицированной рабочей силы. Однако юноши этого возраста в своём большинстве призывались в армию, поэто</w:t>
      </w:r>
      <w:r w:rsidRPr="00925F26">
        <w:rPr>
          <w:color w:val="000000" w:themeColor="text1"/>
          <w:sz w:val="16"/>
          <w:szCs w:val="16"/>
        </w:rPr>
        <w:softHyphen/>
        <w:t>му среди молодёжи преобладали девушки. Анализ ситуации только среди рабочих подтверждает эту гипотезу — там пик мужской гендерной группы также наступает в 18—25 лет, но, как и для всего персонала в целом, имеет менее ярко выра</w:t>
      </w:r>
      <w:r w:rsidRPr="00925F26">
        <w:rPr>
          <w:color w:val="000000" w:themeColor="text1"/>
          <w:sz w:val="16"/>
          <w:szCs w:val="16"/>
        </w:rPr>
        <w:softHyphen/>
        <w:t>женный характер, чем аналогичный пик женской гендерной группы. Очевидно, сдвиг «мужского» пика в масштабах все</w:t>
      </w:r>
      <w:r w:rsidRPr="00925F26">
        <w:rPr>
          <w:color w:val="000000" w:themeColor="text1"/>
          <w:sz w:val="16"/>
          <w:szCs w:val="16"/>
        </w:rPr>
        <w:softHyphen/>
        <w:t>го Авиапрома объясняется ситуацией среди ИГР, служащих и непромышленном персонале. Надо учитывать, что категория «до 18 лет» включала в себя достаточно разнородные по воз</w:t>
      </w:r>
      <w:r w:rsidRPr="00925F26">
        <w:rPr>
          <w:color w:val="000000" w:themeColor="text1"/>
          <w:sz w:val="16"/>
          <w:szCs w:val="16"/>
        </w:rPr>
        <w:softHyphen/>
        <w:t>расту</w:t>
      </w:r>
      <w:r w:rsidRPr="00925F26">
        <w:rPr>
          <w:color w:val="000000" w:themeColor="text1"/>
          <w:sz w:val="16"/>
          <w:szCs w:val="16"/>
          <w:vertAlign w:val="superscript"/>
        </w:rPr>
        <w:t>2</w:t>
      </w:r>
      <w:r w:rsidRPr="00925F26">
        <w:rPr>
          <w:color w:val="000000" w:themeColor="text1"/>
          <w:sz w:val="16"/>
          <w:szCs w:val="16"/>
        </w:rPr>
        <w:t xml:space="preserve"> группы, занятые в самых разных отраслях хозяйствен</w:t>
      </w:r>
      <w:r w:rsidRPr="00925F26">
        <w:rPr>
          <w:color w:val="000000" w:themeColor="text1"/>
          <w:sz w:val="16"/>
          <w:szCs w:val="16"/>
        </w:rPr>
        <w:softHyphen/>
        <w:t>ной деятельности.</w:t>
      </w:r>
    </w:p>
    <w:p w14:paraId="4CD939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Наличие в НКАП работников моложе 17 лет на 01.01.1945 г. (РГАЭ, Ф. 8044. </w:t>
      </w:r>
      <w:r w:rsidRPr="00925F26">
        <w:rPr>
          <w:color w:val="000000" w:themeColor="text1"/>
          <w:sz w:val="16"/>
          <w:szCs w:val="16"/>
          <w:lang w:val="en-US"/>
        </w:rPr>
        <w:t xml:space="preserve">On. </w:t>
      </w:r>
      <w:r w:rsidRPr="00925F26">
        <w:rPr>
          <w:color w:val="000000" w:themeColor="text1"/>
          <w:sz w:val="16"/>
          <w:szCs w:val="16"/>
        </w:rPr>
        <w:t>1 Д. 2873. Л. 7)</w:t>
      </w:r>
    </w:p>
    <w:tbl>
      <w:tblPr>
        <w:tblW w:w="0" w:type="auto"/>
        <w:tblInd w:w="8" w:type="dxa"/>
        <w:tblLayout w:type="fixed"/>
        <w:tblCellMar>
          <w:left w:w="0" w:type="dxa"/>
          <w:right w:w="0" w:type="dxa"/>
        </w:tblCellMar>
        <w:tblLook w:val="0000" w:firstRow="0" w:lastRow="0" w:firstColumn="0" w:lastColumn="0" w:noHBand="0" w:noVBand="0"/>
      </w:tblPr>
      <w:tblGrid>
        <w:gridCol w:w="1493"/>
        <w:gridCol w:w="1474"/>
        <w:gridCol w:w="1478"/>
        <w:gridCol w:w="1493"/>
      </w:tblGrid>
      <w:tr w:rsidR="000F5689" w:rsidRPr="00925F26" w14:paraId="706AD60A" w14:textId="77777777">
        <w:trPr>
          <w:trHeight w:val="240"/>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4474B1FF" w14:textId="77777777" w:rsidR="00C2313B" w:rsidRPr="00925F26" w:rsidRDefault="00C2313B" w:rsidP="00925F26">
            <w:pPr>
              <w:autoSpaceDE w:val="0"/>
              <w:autoSpaceDN w:val="0"/>
              <w:adjustRightInd w:val="0"/>
              <w:jc w:val="both"/>
              <w:rPr>
                <w:color w:val="000000" w:themeColor="text1"/>
                <w:sz w:val="16"/>
                <w:szCs w:val="16"/>
              </w:rPr>
            </w:pP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4BDD54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 14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F652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8D723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16-17</w:t>
            </w:r>
          </w:p>
        </w:tc>
      </w:tr>
      <w:tr w:rsidR="000F5689" w:rsidRPr="00925F26" w14:paraId="05D63C98" w14:textId="77777777">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4DA23A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w:t>
            </w: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63BDD1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173F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5709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AFC22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26044</w:t>
            </w:r>
          </w:p>
        </w:tc>
      </w:tr>
      <w:tr w:rsidR="000F5689" w:rsidRPr="00925F26" w14:paraId="5F7C21E6" w14:textId="77777777">
        <w:trPr>
          <w:trHeight w:val="24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6DF45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Ж</w:t>
            </w: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3E68AF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1155F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2455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BEBC8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15643</w:t>
            </w:r>
          </w:p>
        </w:tc>
      </w:tr>
    </w:tbl>
    <w:p w14:paraId="382D5F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Распределение молодых (до 18 лет) работников НКАП по отраслям хозяйственной деятельности</w:t>
      </w:r>
      <w:r w:rsidRPr="00925F26">
        <w:rPr>
          <w:color w:val="000000" w:themeColor="text1"/>
          <w:sz w:val="16"/>
          <w:szCs w:val="16"/>
          <w:vertAlign w:val="superscript"/>
        </w:rPr>
        <w:t>1</w:t>
      </w:r>
    </w:p>
    <w:tbl>
      <w:tblPr>
        <w:tblW w:w="0" w:type="auto"/>
        <w:tblInd w:w="8" w:type="dxa"/>
        <w:tblLayout w:type="fixed"/>
        <w:tblCellMar>
          <w:left w:w="0" w:type="dxa"/>
          <w:right w:w="0" w:type="dxa"/>
        </w:tblCellMar>
        <w:tblLook w:val="0000" w:firstRow="0" w:lastRow="0" w:firstColumn="0" w:lastColumn="0" w:noHBand="0" w:noVBand="0"/>
      </w:tblPr>
      <w:tblGrid>
        <w:gridCol w:w="3590"/>
        <w:gridCol w:w="2338"/>
      </w:tblGrid>
      <w:tr w:rsidR="000F5689" w:rsidRPr="00925F26" w14:paraId="2E02AAD2" w14:textId="77777777">
        <w:trPr>
          <w:trHeight w:val="235"/>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3FC30C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Промьшленные предприятия</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38B90B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68348</w:t>
            </w:r>
          </w:p>
        </w:tc>
      </w:tr>
      <w:tr w:rsidR="000F5689" w:rsidRPr="00925F26" w14:paraId="344DA419"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375FF7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том числе—рабочие</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779899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50622</w:t>
            </w:r>
          </w:p>
        </w:tc>
      </w:tr>
      <w:tr w:rsidR="000F5689" w:rsidRPr="00925F26" w14:paraId="297A828C"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219D29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Строительство</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55E30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4833</w:t>
            </w:r>
          </w:p>
        </w:tc>
      </w:tr>
      <w:tr w:rsidR="000F5689" w:rsidRPr="00925F26" w14:paraId="0D49673C"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5BEEF4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Опытные в научно-исследовательские организации</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791748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4517</w:t>
            </w:r>
          </w:p>
        </w:tc>
      </w:tr>
      <w:tr w:rsidR="000F5689" w:rsidRPr="00925F26" w14:paraId="6FE010B6" w14:textId="77777777">
        <w:trPr>
          <w:trHeight w:val="226"/>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540A25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Учебные заведения</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4446B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445</w:t>
            </w:r>
          </w:p>
        </w:tc>
      </w:tr>
      <w:tr w:rsidR="000F5689" w:rsidRPr="00925F26" w14:paraId="04FEE697" w14:textId="77777777">
        <w:trPr>
          <w:trHeight w:val="235"/>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01EE11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ОРС-ы</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51A82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7590</w:t>
            </w:r>
          </w:p>
        </w:tc>
      </w:tr>
    </w:tbl>
    <w:p w14:paraId="41E0D4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(12011).</w:t>
      </w:r>
    </w:p>
    <w:p w14:paraId="6949A037" w14:textId="77777777" w:rsidR="00C2313B" w:rsidRPr="00925F26" w:rsidRDefault="00C2313B" w:rsidP="00925F26">
      <w:pPr>
        <w:autoSpaceDE w:val="0"/>
        <w:autoSpaceDN w:val="0"/>
        <w:adjustRightInd w:val="0"/>
        <w:jc w:val="both"/>
        <w:rPr>
          <w:color w:val="000000" w:themeColor="text1"/>
          <w:sz w:val="16"/>
          <w:szCs w:val="16"/>
        </w:rPr>
      </w:pPr>
    </w:p>
    <w:p w14:paraId="3921B012" w14:textId="77777777" w:rsidR="005A1318" w:rsidRPr="00925F26" w:rsidRDefault="005A1318" w:rsidP="00925F26">
      <w:pPr>
        <w:jc w:val="both"/>
        <w:rPr>
          <w:color w:val="000000" w:themeColor="text1"/>
          <w:sz w:val="16"/>
          <w:szCs w:val="16"/>
        </w:rPr>
      </w:pPr>
      <w:r w:rsidRPr="00925F26">
        <w:rPr>
          <w:color w:val="000000" w:themeColor="text1"/>
          <w:sz w:val="16"/>
          <w:szCs w:val="16"/>
        </w:rPr>
        <w:t>На 1 января 1945 года выпол</w:t>
      </w:r>
      <w:r w:rsidRPr="00925F26">
        <w:rPr>
          <w:color w:val="000000" w:themeColor="text1"/>
          <w:sz w:val="16"/>
          <w:szCs w:val="16"/>
        </w:rPr>
        <w:softHyphen/>
        <w:t>нено не более 18% проектных работ по Ил-14 (для замены Ил-4), в том числе изготовили модель для продувки в аэроди</w:t>
      </w:r>
      <w:r w:rsidRPr="00925F26">
        <w:rPr>
          <w:color w:val="000000" w:themeColor="text1"/>
          <w:sz w:val="16"/>
          <w:szCs w:val="16"/>
        </w:rPr>
        <w:softHyphen/>
        <w:t>намической трубе.</w:t>
      </w:r>
    </w:p>
    <w:p w14:paraId="5C6C64A0" w14:textId="77777777" w:rsidR="005A1318" w:rsidRPr="00925F26" w:rsidRDefault="005A1318" w:rsidP="00925F26">
      <w:pPr>
        <w:jc w:val="both"/>
        <w:rPr>
          <w:color w:val="000000" w:themeColor="text1"/>
          <w:sz w:val="16"/>
          <w:szCs w:val="16"/>
        </w:rPr>
      </w:pPr>
      <w:r w:rsidRPr="00925F26">
        <w:rPr>
          <w:color w:val="000000" w:themeColor="text1"/>
          <w:sz w:val="16"/>
          <w:szCs w:val="16"/>
        </w:rPr>
        <w:t>Самолет проектировался сначала с четырьмя двигате</w:t>
      </w:r>
      <w:r w:rsidRPr="00925F26">
        <w:rPr>
          <w:color w:val="000000" w:themeColor="text1"/>
          <w:sz w:val="16"/>
          <w:szCs w:val="16"/>
        </w:rPr>
        <w:softHyphen/>
        <w:t>лями жидкостного охлаждения М-43 НВ (1944 г.), а затем — с М-45. Особенностью машины было тандемное расположение моторов на уширенном центро</w:t>
      </w:r>
      <w:r w:rsidRPr="00925F26">
        <w:rPr>
          <w:color w:val="000000" w:themeColor="text1"/>
          <w:sz w:val="16"/>
          <w:szCs w:val="16"/>
        </w:rPr>
        <w:softHyphen/>
        <w:t>плане крыла. Отъемные же ча</w:t>
      </w:r>
      <w:r w:rsidRPr="00925F26">
        <w:rPr>
          <w:color w:val="000000" w:themeColor="text1"/>
          <w:sz w:val="16"/>
          <w:szCs w:val="16"/>
        </w:rPr>
        <w:softHyphen/>
        <w:t>сти несущей поверхности дела</w:t>
      </w:r>
      <w:r w:rsidRPr="00925F26">
        <w:rPr>
          <w:color w:val="000000" w:themeColor="text1"/>
          <w:sz w:val="16"/>
          <w:szCs w:val="16"/>
        </w:rPr>
        <w:softHyphen/>
        <w:t>лись по типу Ил-6, но с меньшим сужением.</w:t>
      </w:r>
    </w:p>
    <w:p w14:paraId="455D2FE8" w14:textId="77777777" w:rsidR="005A1318" w:rsidRPr="00925F26" w:rsidRDefault="005A1318" w:rsidP="00925F26">
      <w:pPr>
        <w:jc w:val="both"/>
        <w:rPr>
          <w:color w:val="000000" w:themeColor="text1"/>
          <w:sz w:val="16"/>
          <w:szCs w:val="16"/>
        </w:rPr>
      </w:pPr>
      <w:r w:rsidRPr="00925F26">
        <w:rPr>
          <w:color w:val="000000" w:themeColor="text1"/>
          <w:sz w:val="16"/>
          <w:szCs w:val="16"/>
        </w:rPr>
        <w:t>В 1946 году выполнена наполовину разра</w:t>
      </w:r>
      <w:r w:rsidRPr="00925F26">
        <w:rPr>
          <w:color w:val="000000" w:themeColor="text1"/>
          <w:sz w:val="16"/>
          <w:szCs w:val="16"/>
        </w:rPr>
        <w:softHyphen/>
        <w:t>ботка Ил-14 с двумя двигателя</w:t>
      </w:r>
      <w:r w:rsidRPr="00925F26">
        <w:rPr>
          <w:color w:val="000000" w:themeColor="text1"/>
          <w:sz w:val="16"/>
          <w:szCs w:val="16"/>
        </w:rPr>
        <w:softHyphen/>
        <w:t>ми АШ-73.</w:t>
      </w:r>
    </w:p>
    <w:p w14:paraId="2303B2B2" w14:textId="77777777" w:rsidR="005A1318" w:rsidRPr="00925F26" w:rsidRDefault="005A1318" w:rsidP="00925F26">
      <w:pPr>
        <w:jc w:val="both"/>
        <w:rPr>
          <w:color w:val="000000" w:themeColor="text1"/>
          <w:sz w:val="16"/>
          <w:szCs w:val="16"/>
        </w:rPr>
      </w:pPr>
      <w:r w:rsidRPr="00925F26">
        <w:rPr>
          <w:color w:val="000000" w:themeColor="text1"/>
          <w:sz w:val="16"/>
          <w:szCs w:val="16"/>
        </w:rPr>
        <w:t>Постройку Ил-14 с двигате</w:t>
      </w:r>
      <w:r w:rsidRPr="00925F26">
        <w:rPr>
          <w:color w:val="000000" w:themeColor="text1"/>
          <w:sz w:val="16"/>
          <w:szCs w:val="16"/>
        </w:rPr>
        <w:softHyphen/>
        <w:t>лями М-45 к концу 1946 года до</w:t>
      </w:r>
      <w:r w:rsidRPr="00925F26">
        <w:rPr>
          <w:color w:val="000000" w:themeColor="text1"/>
          <w:sz w:val="16"/>
          <w:szCs w:val="16"/>
        </w:rPr>
        <w:softHyphen/>
        <w:t xml:space="preserve"> вели до 23% и прекратили по приказу МАП ввиду со</w:t>
      </w:r>
      <w:r w:rsidRPr="00925F26">
        <w:rPr>
          <w:color w:val="000000" w:themeColor="text1"/>
          <w:sz w:val="16"/>
          <w:szCs w:val="16"/>
        </w:rPr>
        <w:softHyphen/>
        <w:t>средоточения усилий КБ на самолетах Ил-18 и Ил-22.</w:t>
      </w:r>
    </w:p>
    <w:p w14:paraId="5FEB2137" w14:textId="77777777" w:rsidR="005A1318" w:rsidRPr="00925F26" w:rsidRDefault="005A1318" w:rsidP="00925F26">
      <w:pPr>
        <w:jc w:val="both"/>
        <w:rPr>
          <w:color w:val="000000" w:themeColor="text1"/>
          <w:sz w:val="16"/>
          <w:szCs w:val="16"/>
        </w:rPr>
      </w:pPr>
      <w:r w:rsidRPr="00925F26">
        <w:rPr>
          <w:color w:val="000000" w:themeColor="text1"/>
          <w:sz w:val="16"/>
          <w:szCs w:val="16"/>
        </w:rPr>
        <w:t>Оборонительное вооружение самолета включало три орудия калибра 20 мм.</w:t>
      </w:r>
    </w:p>
    <w:p w14:paraId="5A6630EB" w14:textId="77777777" w:rsidR="005A1318" w:rsidRPr="00925F26" w:rsidRDefault="005A1318" w:rsidP="00925F26">
      <w:pPr>
        <w:jc w:val="both"/>
        <w:rPr>
          <w:color w:val="000000" w:themeColor="text1"/>
          <w:sz w:val="16"/>
          <w:szCs w:val="16"/>
        </w:rPr>
      </w:pPr>
      <w:r w:rsidRPr="00925F26">
        <w:rPr>
          <w:color w:val="000000" w:themeColor="text1"/>
          <w:sz w:val="16"/>
          <w:szCs w:val="16"/>
        </w:rPr>
        <w:t>На базе бомбардировщика проектировался даль</w:t>
      </w:r>
      <w:r w:rsidRPr="00925F26">
        <w:rPr>
          <w:color w:val="000000" w:themeColor="text1"/>
          <w:sz w:val="16"/>
          <w:szCs w:val="16"/>
        </w:rPr>
        <w:softHyphen/>
        <w:t>ний истребитель сопровождения. Его вооружение состояло из двух пушек калибра 45 мм для стрельбы вперед и двух 20-мм орудий для защиты самолета от истребителей противника сзади сверху и снизу. По расчетам, перегрузочный взлетный вес мог до</w:t>
      </w:r>
      <w:r w:rsidRPr="00925F26">
        <w:rPr>
          <w:color w:val="000000" w:themeColor="text1"/>
          <w:sz w:val="16"/>
          <w:szCs w:val="16"/>
        </w:rPr>
        <w:softHyphen/>
        <w:t>ходить до 24800 кг. При этом его максимальная ско</w:t>
      </w:r>
      <w:r w:rsidRPr="00925F26">
        <w:rPr>
          <w:color w:val="000000" w:themeColor="text1"/>
          <w:sz w:val="16"/>
          <w:szCs w:val="16"/>
        </w:rPr>
        <w:softHyphen/>
        <w:t>рость на высоте 9000 метров оценивалась в 730 км/ч, а дальность и продолжительность полета — 3000 км и 5,5 часов соответственно (23188).</w:t>
      </w:r>
    </w:p>
    <w:p w14:paraId="1D6F7D77" w14:textId="77777777" w:rsidR="005A1318" w:rsidRPr="00925F26" w:rsidRDefault="005A1318" w:rsidP="00925F26">
      <w:pPr>
        <w:jc w:val="both"/>
        <w:rPr>
          <w:color w:val="000000" w:themeColor="text1"/>
          <w:sz w:val="16"/>
          <w:szCs w:val="16"/>
          <w:lang w:bidi="ru-RU"/>
        </w:rPr>
      </w:pPr>
    </w:p>
    <w:p w14:paraId="093252BA" w14:textId="77777777" w:rsidR="005E77B1" w:rsidRPr="001A0BAA" w:rsidRDefault="005E77B1" w:rsidP="005E77B1">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 xml:space="preserve">На 1 января 1945 года по бомбардировщику Ил-14 было выполнено не более 18 процентов проектных работ, в том числе изготовили модель для продувки в аэродинамической трубе. </w:t>
      </w:r>
    </w:p>
    <w:p w14:paraId="6A9C691B" w14:textId="77777777" w:rsidR="005E77B1" w:rsidRPr="001A0BAA" w:rsidRDefault="005E77B1" w:rsidP="005E77B1">
      <w:pPr>
        <w:jc w:val="both"/>
        <w:rPr>
          <w:color w:val="0070C0"/>
          <w:sz w:val="16"/>
          <w:szCs w:val="16"/>
        </w:rPr>
      </w:pPr>
      <w:r w:rsidRPr="001A0BAA">
        <w:rPr>
          <w:rStyle w:val="aff0"/>
          <w:rFonts w:ascii="Times New Roman" w:hAnsi="Times New Roman" w:cs="Times New Roman"/>
          <w:color w:val="0070C0"/>
          <w:spacing w:val="0"/>
          <w:sz w:val="16"/>
          <w:szCs w:val="16"/>
        </w:rPr>
        <w:t>Самолет проектировался сначала с четырьмя двигателя</w:t>
      </w:r>
      <w:r w:rsidRPr="001A0BAA">
        <w:rPr>
          <w:rStyle w:val="aff0"/>
          <w:rFonts w:ascii="Times New Roman" w:hAnsi="Times New Roman" w:cs="Times New Roman"/>
          <w:color w:val="0070C0"/>
          <w:spacing w:val="0"/>
          <w:sz w:val="16"/>
          <w:szCs w:val="16"/>
        </w:rPr>
        <w:softHyphen/>
        <w:t>ми жидкостного охлаждения М-43НВ (1944 г.), а затем -</w:t>
      </w:r>
    </w:p>
    <w:p w14:paraId="0D793237" w14:textId="77777777" w:rsidR="005E77B1" w:rsidRPr="001A0BAA" w:rsidRDefault="005E77B1" w:rsidP="005E77B1">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с М-45. Особенностью машины было тандемное располо</w:t>
      </w:r>
      <w:r w:rsidRPr="001A0BAA">
        <w:rPr>
          <w:rStyle w:val="aff0"/>
          <w:rFonts w:ascii="Times New Roman" w:hAnsi="Times New Roman" w:cs="Times New Roman"/>
          <w:color w:val="0070C0"/>
          <w:spacing w:val="0"/>
          <w:sz w:val="16"/>
          <w:szCs w:val="16"/>
        </w:rPr>
        <w:softHyphen/>
        <w:t>жение моторов на уширенном центроплане крыла. Отъем</w:t>
      </w:r>
      <w:r w:rsidRPr="001A0BAA">
        <w:rPr>
          <w:rStyle w:val="aff0"/>
          <w:rFonts w:ascii="Times New Roman" w:hAnsi="Times New Roman" w:cs="Times New Roman"/>
          <w:color w:val="0070C0"/>
          <w:spacing w:val="0"/>
          <w:sz w:val="16"/>
          <w:szCs w:val="16"/>
        </w:rPr>
        <w:softHyphen/>
        <w:t>ные же части несущей поверхности делалисъ по типу Ил-6, но с меньшим сужением.</w:t>
      </w:r>
    </w:p>
    <w:p w14:paraId="7D880FB0" w14:textId="77777777" w:rsidR="005E77B1" w:rsidRPr="001A0BAA" w:rsidRDefault="005E77B1" w:rsidP="005E77B1">
      <w:pPr>
        <w:jc w:val="both"/>
        <w:rPr>
          <w:color w:val="0070C0"/>
          <w:sz w:val="16"/>
          <w:szCs w:val="16"/>
        </w:rPr>
      </w:pPr>
      <w:r w:rsidRPr="001A0BAA">
        <w:rPr>
          <w:rStyle w:val="aff0"/>
          <w:rFonts w:ascii="Times New Roman" w:hAnsi="Times New Roman" w:cs="Times New Roman"/>
          <w:color w:val="0070C0"/>
          <w:spacing w:val="0"/>
          <w:sz w:val="16"/>
          <w:szCs w:val="16"/>
        </w:rPr>
        <w:t>В 1946 году выполнена на</w:t>
      </w:r>
      <w:r w:rsidRPr="001A0BAA">
        <w:rPr>
          <w:rStyle w:val="aff0"/>
          <w:rFonts w:ascii="Times New Roman" w:hAnsi="Times New Roman" w:cs="Times New Roman"/>
          <w:color w:val="0070C0"/>
          <w:spacing w:val="0"/>
          <w:sz w:val="16"/>
          <w:szCs w:val="16"/>
        </w:rPr>
        <w:softHyphen/>
        <w:t>половину разработка Ил-14 с двумя двигателями АШ-73.</w:t>
      </w:r>
    </w:p>
    <w:p w14:paraId="67CEDD7A" w14:textId="77777777" w:rsidR="005E77B1" w:rsidRPr="001A0BAA" w:rsidRDefault="005E77B1" w:rsidP="005E77B1">
      <w:pPr>
        <w:jc w:val="both"/>
        <w:rPr>
          <w:color w:val="0070C0"/>
          <w:sz w:val="16"/>
          <w:szCs w:val="16"/>
        </w:rPr>
      </w:pPr>
      <w:r w:rsidRPr="001A0BAA">
        <w:rPr>
          <w:rStyle w:val="aff0"/>
          <w:rFonts w:ascii="Times New Roman" w:hAnsi="Times New Roman" w:cs="Times New Roman"/>
          <w:color w:val="0070C0"/>
          <w:spacing w:val="0"/>
          <w:sz w:val="16"/>
          <w:szCs w:val="16"/>
        </w:rPr>
        <w:t>Постройку Ил-14 с двигателями М-45 к концу 1946 года довели до 23 процентов и прекратили по приказу МАПа ввиду сосредоточения усилий КБ на самолетах Ил-18 и Ил-22.</w:t>
      </w:r>
    </w:p>
    <w:p w14:paraId="06138BFB" w14:textId="77777777" w:rsidR="005E77B1" w:rsidRPr="001A0BAA" w:rsidRDefault="005E77B1" w:rsidP="005E77B1">
      <w:pPr>
        <w:jc w:val="both"/>
        <w:rPr>
          <w:color w:val="0070C0"/>
          <w:sz w:val="16"/>
          <w:szCs w:val="16"/>
        </w:rPr>
      </w:pPr>
      <w:r w:rsidRPr="001A0BAA">
        <w:rPr>
          <w:rStyle w:val="aff0"/>
          <w:rFonts w:ascii="Times New Roman" w:hAnsi="Times New Roman" w:cs="Times New Roman"/>
          <w:color w:val="0070C0"/>
          <w:spacing w:val="0"/>
          <w:sz w:val="16"/>
          <w:szCs w:val="16"/>
        </w:rPr>
        <w:t>Оборонительное вооружение самолета включало три орудия калибра 20 мм.</w:t>
      </w:r>
    </w:p>
    <w:p w14:paraId="36EDDCEC" w14:textId="77777777" w:rsidR="005E77B1" w:rsidRPr="001A0BAA" w:rsidRDefault="005E77B1" w:rsidP="005E77B1">
      <w:pPr>
        <w:jc w:val="both"/>
        <w:rPr>
          <w:color w:val="0070C0"/>
          <w:sz w:val="16"/>
          <w:szCs w:val="16"/>
        </w:rPr>
      </w:pPr>
      <w:r w:rsidRPr="001A0BAA">
        <w:rPr>
          <w:rStyle w:val="aff0"/>
          <w:rFonts w:ascii="Times New Roman" w:hAnsi="Times New Roman" w:cs="Times New Roman"/>
          <w:color w:val="0070C0"/>
          <w:spacing w:val="0"/>
          <w:sz w:val="16"/>
          <w:szCs w:val="16"/>
        </w:rPr>
        <w:t>На базе бомбардировщика проектировался дальний ис</w:t>
      </w:r>
      <w:r w:rsidRPr="001A0BAA">
        <w:rPr>
          <w:rStyle w:val="aff0"/>
          <w:rFonts w:ascii="Times New Roman" w:hAnsi="Times New Roman" w:cs="Times New Roman"/>
          <w:color w:val="0070C0"/>
          <w:spacing w:val="0"/>
          <w:sz w:val="16"/>
          <w:szCs w:val="16"/>
        </w:rPr>
        <w:softHyphen/>
        <w:t>требитель сопровождения. Его вооружение состояло из двух пушек калибра 45 мм для стрельбы вперед и двух 20-миллиметровых орудий для защиты самолета от истре</w:t>
      </w:r>
      <w:r w:rsidRPr="001A0BAA">
        <w:rPr>
          <w:rStyle w:val="aff0"/>
          <w:rFonts w:ascii="Times New Roman" w:hAnsi="Times New Roman" w:cs="Times New Roman"/>
          <w:color w:val="0070C0"/>
          <w:spacing w:val="0"/>
          <w:sz w:val="16"/>
          <w:szCs w:val="16"/>
        </w:rPr>
        <w:softHyphen/>
        <w:t>бителей противника сзади, сверху и снизу. По расчетам пе</w:t>
      </w:r>
      <w:r w:rsidRPr="001A0BAA">
        <w:rPr>
          <w:rStyle w:val="aff0"/>
          <w:rFonts w:ascii="Times New Roman" w:hAnsi="Times New Roman" w:cs="Times New Roman"/>
          <w:color w:val="0070C0"/>
          <w:spacing w:val="0"/>
          <w:sz w:val="16"/>
          <w:szCs w:val="16"/>
        </w:rPr>
        <w:softHyphen/>
        <w:t>регрузочный взлетный вес мог доходить до 24 800 кг. При этом его максимальная скорость на высоте 9000 м оцени</w:t>
      </w:r>
      <w:r w:rsidRPr="001A0BAA">
        <w:rPr>
          <w:rStyle w:val="aff0"/>
          <w:rFonts w:ascii="Times New Roman" w:hAnsi="Times New Roman" w:cs="Times New Roman"/>
          <w:color w:val="0070C0"/>
          <w:spacing w:val="0"/>
          <w:sz w:val="16"/>
          <w:szCs w:val="16"/>
        </w:rPr>
        <w:softHyphen/>
        <w:t>валась в 730 кмjч, а дальность и продолжительность поле</w:t>
      </w:r>
      <w:r w:rsidRPr="001A0BAA">
        <w:rPr>
          <w:rStyle w:val="aff0"/>
          <w:rFonts w:ascii="Times New Roman" w:hAnsi="Times New Roman" w:cs="Times New Roman"/>
          <w:color w:val="0070C0"/>
          <w:spacing w:val="0"/>
          <w:sz w:val="16"/>
          <w:szCs w:val="16"/>
        </w:rPr>
        <w:softHyphen/>
        <w:t>та - 3000 км и 5,5 часа соответственно (25091).</w:t>
      </w:r>
    </w:p>
    <w:p w14:paraId="5E41212D" w14:textId="77777777" w:rsidR="005E77B1" w:rsidRPr="001A0BAA" w:rsidRDefault="005E77B1" w:rsidP="005E77B1">
      <w:pPr>
        <w:jc w:val="both"/>
        <w:rPr>
          <w:color w:val="0070C0"/>
          <w:sz w:val="16"/>
          <w:szCs w:val="16"/>
        </w:rPr>
      </w:pPr>
    </w:p>
    <w:p w14:paraId="03A29437" w14:textId="77777777" w:rsidR="005E77B1" w:rsidRPr="001A0BAA" w:rsidRDefault="005E77B1" w:rsidP="005E77B1">
      <w:pPr>
        <w:jc w:val="both"/>
        <w:rPr>
          <w:color w:val="0070C0"/>
          <w:sz w:val="16"/>
          <w:szCs w:val="16"/>
        </w:rPr>
      </w:pPr>
      <w:r w:rsidRPr="001A0BAA">
        <w:rPr>
          <w:rStyle w:val="aff0"/>
          <w:rFonts w:ascii="Times New Roman" w:hAnsi="Times New Roman" w:cs="Times New Roman"/>
          <w:color w:val="0070C0"/>
          <w:spacing w:val="0"/>
          <w:sz w:val="16"/>
          <w:szCs w:val="16"/>
        </w:rPr>
        <w:t>К 1 января 1945 года, как следует из отчета завода № 240, техни</w:t>
      </w:r>
      <w:r w:rsidRPr="001A0BAA">
        <w:rPr>
          <w:rStyle w:val="aff0"/>
          <w:rFonts w:ascii="Times New Roman" w:hAnsi="Times New Roman" w:cs="Times New Roman"/>
          <w:color w:val="0070C0"/>
          <w:spacing w:val="0"/>
          <w:sz w:val="16"/>
          <w:szCs w:val="16"/>
        </w:rPr>
        <w:softHyphen/>
        <w:t>ческая готовность двухдвигательного Ил-12 составила 30 процентов. Вто</w:t>
      </w:r>
      <w:r w:rsidRPr="001A0BAA">
        <w:rPr>
          <w:rStyle w:val="aff0"/>
          <w:rFonts w:ascii="Times New Roman" w:hAnsi="Times New Roman" w:cs="Times New Roman"/>
          <w:color w:val="0070C0"/>
          <w:spacing w:val="0"/>
          <w:sz w:val="16"/>
          <w:szCs w:val="16"/>
        </w:rPr>
        <w:softHyphen/>
        <w:t>рой экземпляр Ил- 12 с герметичной кабиной из-за отсут</w:t>
      </w:r>
      <w:r w:rsidRPr="001A0BAA">
        <w:rPr>
          <w:rStyle w:val="aff0"/>
          <w:rFonts w:ascii="Times New Roman" w:hAnsi="Times New Roman" w:cs="Times New Roman"/>
          <w:color w:val="0070C0"/>
          <w:spacing w:val="0"/>
          <w:sz w:val="16"/>
          <w:szCs w:val="16"/>
        </w:rPr>
        <w:softHyphen/>
        <w:t>ствия в заводских цехах свободной площади не строился (25091).</w:t>
      </w:r>
    </w:p>
    <w:p w14:paraId="0F1CC5CB" w14:textId="77777777" w:rsidR="005E77B1" w:rsidRPr="001A0BAA" w:rsidRDefault="005E77B1" w:rsidP="005E77B1">
      <w:pPr>
        <w:jc w:val="both"/>
        <w:rPr>
          <w:color w:val="0070C0"/>
          <w:sz w:val="16"/>
          <w:szCs w:val="16"/>
        </w:rPr>
      </w:pPr>
    </w:p>
    <w:p w14:paraId="4894509F" w14:textId="77777777" w:rsidR="00573476" w:rsidRPr="00925F26" w:rsidRDefault="00573476" w:rsidP="00925F26">
      <w:pPr>
        <w:jc w:val="both"/>
        <w:rPr>
          <w:color w:val="000000" w:themeColor="text1"/>
          <w:sz w:val="16"/>
          <w:szCs w:val="16"/>
        </w:rPr>
      </w:pPr>
      <w:r w:rsidRPr="00925F26">
        <w:rPr>
          <w:color w:val="000000" w:themeColor="text1"/>
          <w:sz w:val="16"/>
          <w:szCs w:val="16"/>
        </w:rPr>
        <w:t>За период по 1 января 1945 г. с 1 января 1941 г. мощности з-да № 126 выросли по производственным площадям — в 2,6 раза; по станочному оборудованию — в 1,9 раза. Объем производства за этот период увеличился в 2,6 раза, причем численность производственных рабочих в 1945 г. была на уровне 1941 г.</w:t>
      </w:r>
    </w:p>
    <w:p w14:paraId="7CE5BA27" w14:textId="77777777" w:rsidR="00573476" w:rsidRPr="00925F26" w:rsidRDefault="00573476" w:rsidP="00925F26">
      <w:pPr>
        <w:jc w:val="both"/>
        <w:rPr>
          <w:color w:val="000000" w:themeColor="text1"/>
          <w:sz w:val="16"/>
          <w:szCs w:val="16"/>
        </w:rPr>
      </w:pPr>
      <w:r w:rsidRPr="00925F26">
        <w:rPr>
          <w:color w:val="000000" w:themeColor="text1"/>
          <w:sz w:val="16"/>
          <w:szCs w:val="16"/>
        </w:rPr>
        <w:t>Это дало возможность поставить фронту 2757 самолетов Ил-4. В 1942 г. завод вдвое увеличил выпуск самолетов ИЛ-4 в сравнении с 1941 годом. За 1942 год комсомольскими авиастроителями было выпущено рекордное количество самолетов — 695! Это самая высокая цифра выпуска самолетов за все годы существования завода. И в течение всего военного периода завод не снижал выпуска необходимых фронту самолетов. В 1943 г. — 604, в 1943 г. — 616. И только в последний военный, 1945 год, выпуск самолетов несколько снизился — 459. А всего с 1938 г. по 1945 г. заводом было выпущено 3004 самолета ДБ-3 и ИЛ-4. Коллектив завода внес значительный вклад в победу над фашизмом (12211).</w:t>
      </w:r>
    </w:p>
    <w:p w14:paraId="14235492" w14:textId="77777777" w:rsidR="00573476" w:rsidRPr="00925F26" w:rsidRDefault="00573476" w:rsidP="00925F26">
      <w:pPr>
        <w:jc w:val="both"/>
        <w:rPr>
          <w:color w:val="000000" w:themeColor="text1"/>
          <w:sz w:val="16"/>
          <w:szCs w:val="16"/>
        </w:rPr>
      </w:pPr>
    </w:p>
    <w:p w14:paraId="6F60E6BE" w14:textId="77777777" w:rsidR="000F5689" w:rsidRPr="00925F26" w:rsidRDefault="000F5689" w:rsidP="00925F26">
      <w:pPr>
        <w:jc w:val="both"/>
        <w:rPr>
          <w:color w:val="000000" w:themeColor="text1"/>
          <w:sz w:val="16"/>
          <w:szCs w:val="16"/>
        </w:rPr>
      </w:pPr>
      <w:r w:rsidRPr="00925F26">
        <w:rPr>
          <w:color w:val="000000" w:themeColor="text1"/>
          <w:sz w:val="16"/>
          <w:szCs w:val="16"/>
        </w:rPr>
        <w:t>На 1 января 1945 г. два В-29 чи</w:t>
      </w:r>
      <w:r w:rsidRPr="00925F26">
        <w:rPr>
          <w:color w:val="000000" w:themeColor="text1"/>
          <w:sz w:val="16"/>
          <w:szCs w:val="16"/>
        </w:rPr>
        <w:softHyphen/>
        <w:t>слились в распоряжении штаба ВВС Тихоокеанского флота и один в 35-й от</w:t>
      </w:r>
      <w:r w:rsidRPr="00925F26">
        <w:rPr>
          <w:color w:val="000000" w:themeColor="text1"/>
          <w:sz w:val="16"/>
          <w:szCs w:val="16"/>
        </w:rPr>
        <w:softHyphen/>
        <w:t>дельной дальнебомбардировочной эска</w:t>
      </w:r>
      <w:r w:rsidRPr="00925F26">
        <w:rPr>
          <w:color w:val="000000" w:themeColor="text1"/>
          <w:sz w:val="16"/>
          <w:szCs w:val="16"/>
        </w:rPr>
        <w:softHyphen/>
        <w:t>дрилье, сформированной специально для проведения испытаний. Затем в послед</w:t>
      </w:r>
      <w:r w:rsidRPr="00925F26">
        <w:rPr>
          <w:color w:val="000000" w:themeColor="text1"/>
          <w:sz w:val="16"/>
          <w:szCs w:val="16"/>
        </w:rPr>
        <w:softHyphen/>
        <w:t>нюю передали еще один В-29 и один В-25, некогда участвовавший в рейде Дулиттла и севший на советской территории. Эскадрилью разместили на большом аэро</w:t>
      </w:r>
      <w:r w:rsidRPr="00925F26">
        <w:rPr>
          <w:color w:val="000000" w:themeColor="text1"/>
          <w:sz w:val="16"/>
          <w:szCs w:val="16"/>
        </w:rPr>
        <w:softHyphen/>
        <w:t>дроме Романовка, который не был окружен сопками и имел поэтому удобные подходы.</w:t>
      </w:r>
    </w:p>
    <w:p w14:paraId="73810367" w14:textId="77777777" w:rsidR="000F5689" w:rsidRPr="00925F26" w:rsidRDefault="000F5689" w:rsidP="00925F26">
      <w:pPr>
        <w:jc w:val="both"/>
        <w:rPr>
          <w:color w:val="000000" w:themeColor="text1"/>
          <w:sz w:val="16"/>
          <w:szCs w:val="16"/>
        </w:rPr>
      </w:pPr>
      <w:r w:rsidRPr="00925F26">
        <w:rPr>
          <w:color w:val="000000" w:themeColor="text1"/>
          <w:sz w:val="16"/>
          <w:szCs w:val="16"/>
        </w:rPr>
        <w:t>Первым освоил В-29 полковник С.Б. Рейдель, бывший испытатель с боль</w:t>
      </w:r>
      <w:r w:rsidRPr="00925F26">
        <w:rPr>
          <w:color w:val="000000" w:themeColor="text1"/>
          <w:sz w:val="16"/>
          <w:szCs w:val="16"/>
        </w:rPr>
        <w:softHyphen/>
        <w:t>шим опытом. Он изучил документацию, найденную в самолетах, затем стал рулить и делать подлеты и, наконец, поднялся в воздух. С 11 января начал самостоятель</w:t>
      </w:r>
      <w:r w:rsidRPr="00925F26">
        <w:rPr>
          <w:color w:val="000000" w:themeColor="text1"/>
          <w:sz w:val="16"/>
          <w:szCs w:val="16"/>
        </w:rPr>
        <w:softHyphen/>
        <w:t>но летать второй экипаж — В.П. Марунова. Ему пришлось посложнее, поскольку ни сам Марунов, ни приданный ему инженер Чернов английского языка не знали и лази</w:t>
      </w:r>
      <w:r w:rsidRPr="00925F26">
        <w:rPr>
          <w:color w:val="000000" w:themeColor="text1"/>
          <w:sz w:val="16"/>
          <w:szCs w:val="16"/>
        </w:rPr>
        <w:softHyphen/>
        <w:t>ли по машине с толстенным томом словаря. В качестве инструктора выступил Рейдель, который совершил с Маруновым четыре учебных полета. Испытания на Дальнем Востоке продолжались до 21 июня. В их ходе определили основные летные данные, изучили особенности пилотирования, со</w:t>
      </w:r>
      <w:r w:rsidRPr="00925F26">
        <w:rPr>
          <w:color w:val="000000" w:themeColor="text1"/>
          <w:sz w:val="16"/>
          <w:szCs w:val="16"/>
        </w:rPr>
        <w:softHyphen/>
        <w:t>вершили несколько высотных полетов. Также летали на предельную дальность по замкнутому маршруту и провели бомбо</w:t>
      </w:r>
      <w:r w:rsidRPr="00925F26">
        <w:rPr>
          <w:color w:val="000000" w:themeColor="text1"/>
          <w:sz w:val="16"/>
          <w:szCs w:val="16"/>
        </w:rPr>
        <w:softHyphen/>
        <w:t>метание на полигоне. В июне же Рейдель перегнал первый самолет в Москву. Садился он на ныне не существующем аэ</w:t>
      </w:r>
      <w:r w:rsidRPr="00925F26">
        <w:rPr>
          <w:color w:val="000000" w:themeColor="text1"/>
          <w:sz w:val="16"/>
          <w:szCs w:val="16"/>
        </w:rPr>
        <w:softHyphen/>
        <w:t>родроме Измайлово, где базировался 65-й полк морской авиации. Полоса там была коротковата, но, выработав остаток горю</w:t>
      </w:r>
      <w:r w:rsidRPr="00925F26">
        <w:rPr>
          <w:color w:val="000000" w:themeColor="text1"/>
          <w:sz w:val="16"/>
          <w:szCs w:val="16"/>
        </w:rPr>
        <w:softHyphen/>
        <w:t>чего, удалось сесть. В июле там же успеш</w:t>
      </w:r>
      <w:r w:rsidRPr="00925F26">
        <w:rPr>
          <w:color w:val="000000" w:themeColor="text1"/>
          <w:sz w:val="16"/>
          <w:szCs w:val="16"/>
        </w:rPr>
        <w:softHyphen/>
        <w:t>но приземлился Марунов. Позже в Москву перегнали и третий В-29.</w:t>
      </w:r>
    </w:p>
    <w:p w14:paraId="376C7457" w14:textId="77777777" w:rsidR="000F5689" w:rsidRPr="00925F26" w:rsidRDefault="000F5689" w:rsidP="00925F26">
      <w:pPr>
        <w:jc w:val="both"/>
        <w:rPr>
          <w:color w:val="000000" w:themeColor="text1"/>
          <w:sz w:val="16"/>
          <w:szCs w:val="16"/>
        </w:rPr>
      </w:pPr>
      <w:r w:rsidRPr="00925F26">
        <w:rPr>
          <w:color w:val="000000" w:themeColor="text1"/>
          <w:sz w:val="16"/>
          <w:szCs w:val="16"/>
        </w:rPr>
        <w:t>«Рэмп Трэмп» в столице не задержался и перелетел в Оршу, в 890-й полк 18-й воз</w:t>
      </w:r>
      <w:r w:rsidRPr="00925F26">
        <w:rPr>
          <w:color w:val="000000" w:themeColor="text1"/>
          <w:sz w:val="16"/>
          <w:szCs w:val="16"/>
        </w:rPr>
        <w:softHyphen/>
        <w:t>душной армии. На этом настоял команду</w:t>
      </w:r>
      <w:r w:rsidRPr="00925F26">
        <w:rPr>
          <w:color w:val="000000" w:themeColor="text1"/>
          <w:sz w:val="16"/>
          <w:szCs w:val="16"/>
        </w:rPr>
        <w:softHyphen/>
        <w:t>ющий последней маршал А.Е. Голованов. В 890-м полку на В-29 летал экипаж Н. Ищенко. Самолет получил советские опознавательные знаки и номер. А вот картинка с небритым бродягой летчикам понравилась, и ее стирать не стали.</w:t>
      </w:r>
    </w:p>
    <w:p w14:paraId="56B7F310" w14:textId="77777777" w:rsidR="000F5689" w:rsidRPr="00925F26" w:rsidRDefault="000F5689" w:rsidP="00925F26">
      <w:pPr>
        <w:jc w:val="both"/>
        <w:rPr>
          <w:color w:val="000000" w:themeColor="text1"/>
          <w:sz w:val="16"/>
          <w:szCs w:val="16"/>
        </w:rPr>
      </w:pPr>
      <w:r w:rsidRPr="00925F26">
        <w:rPr>
          <w:color w:val="000000" w:themeColor="text1"/>
          <w:sz w:val="16"/>
          <w:szCs w:val="16"/>
        </w:rPr>
        <w:t>Но в полку бомбардировщик про</w:t>
      </w:r>
      <w:r w:rsidRPr="00925F26">
        <w:rPr>
          <w:color w:val="000000" w:themeColor="text1"/>
          <w:sz w:val="16"/>
          <w:szCs w:val="16"/>
        </w:rPr>
        <w:softHyphen/>
        <w:t>был недолго. Еще 6 июня 1945 г. ГКО под председательством И.В. Сталина принял решение о копировании В-29. Через две недели последовал уточняющий приказ Наркомата авиационной промышленно</w:t>
      </w:r>
      <w:r w:rsidRPr="00925F26">
        <w:rPr>
          <w:color w:val="000000" w:themeColor="text1"/>
          <w:sz w:val="16"/>
          <w:szCs w:val="16"/>
        </w:rPr>
        <w:softHyphen/>
        <w:t>сти. Работу поручили конструкторскому бюро А.Н. Туполева. Копия, названная Б-4, должна была отличаться советски</w:t>
      </w:r>
      <w:r w:rsidRPr="00925F26">
        <w:rPr>
          <w:color w:val="000000" w:themeColor="text1"/>
          <w:sz w:val="16"/>
          <w:szCs w:val="16"/>
        </w:rPr>
        <w:softHyphen/>
        <w:t>ми моторами АШ-73ТК и пушками вме</w:t>
      </w:r>
      <w:r w:rsidRPr="00925F26">
        <w:rPr>
          <w:color w:val="000000" w:themeColor="text1"/>
          <w:sz w:val="16"/>
          <w:szCs w:val="16"/>
        </w:rPr>
        <w:softHyphen/>
        <w:t>сто пулеметов во всех огневых точках. Предусматривались также некоторые от</w:t>
      </w:r>
      <w:r w:rsidRPr="00925F26">
        <w:rPr>
          <w:color w:val="000000" w:themeColor="text1"/>
          <w:sz w:val="16"/>
          <w:szCs w:val="16"/>
        </w:rPr>
        <w:softHyphen/>
        <w:t>личия по оборудованию. Позже бомбар</w:t>
      </w:r>
      <w:r w:rsidRPr="00925F26">
        <w:rPr>
          <w:color w:val="000000" w:themeColor="text1"/>
          <w:sz w:val="16"/>
          <w:szCs w:val="16"/>
        </w:rPr>
        <w:softHyphen/>
        <w:t>дировщик приняли на вооружение ВВС как Ту-4 (23513).</w:t>
      </w:r>
    </w:p>
    <w:p w14:paraId="69F49543" w14:textId="77777777" w:rsidR="000F5689" w:rsidRPr="00925F26" w:rsidRDefault="000F5689" w:rsidP="00925F26">
      <w:pPr>
        <w:jc w:val="both"/>
        <w:rPr>
          <w:color w:val="000000" w:themeColor="text1"/>
          <w:sz w:val="16"/>
          <w:szCs w:val="16"/>
        </w:rPr>
      </w:pPr>
    </w:p>
    <w:p w14:paraId="71006F54" w14:textId="77777777" w:rsidR="000F5689" w:rsidRPr="00925F26" w:rsidRDefault="000F5689" w:rsidP="00925F26">
      <w:pPr>
        <w:jc w:val="both"/>
        <w:rPr>
          <w:color w:val="000000" w:themeColor="text1"/>
          <w:sz w:val="16"/>
          <w:szCs w:val="16"/>
        </w:rPr>
      </w:pPr>
      <w:r w:rsidRPr="00925F26">
        <w:rPr>
          <w:color w:val="000000" w:themeColor="text1"/>
          <w:sz w:val="16"/>
          <w:szCs w:val="16"/>
        </w:rPr>
        <w:t>На 1 января 1945 года ОКБ-155 и завода № 155 в целом располагали: площадь под цехами — 5029 м2, под общезаводскими складами — 1616,22 м2, под специальными общезаводскими помещения</w:t>
      </w:r>
      <w:r w:rsidRPr="00925F26">
        <w:rPr>
          <w:color w:val="000000" w:themeColor="text1"/>
          <w:sz w:val="16"/>
          <w:szCs w:val="16"/>
        </w:rPr>
        <w:softHyphen/>
        <w:t>ми — 564,07 м2. Завершалось строительство корпу</w:t>
      </w:r>
      <w:r w:rsidRPr="00925F26">
        <w:rPr>
          <w:color w:val="000000" w:themeColor="text1"/>
          <w:sz w:val="16"/>
          <w:szCs w:val="16"/>
        </w:rPr>
        <w:softHyphen/>
        <w:t>са № 4, который в 1943 году имел два законченных и используемых этажа (цокольный и первый). Ввод в эксплуатацию второго этажа предполагался в 1945 году. На цокольном этаже находились мастерские слесарно-медницких цеха, термическая мастерская, электро- и газосварочные мастерские и заводская ла</w:t>
      </w:r>
      <w:r w:rsidRPr="00925F26">
        <w:rPr>
          <w:color w:val="000000" w:themeColor="text1"/>
          <w:sz w:val="16"/>
          <w:szCs w:val="16"/>
        </w:rPr>
        <w:softHyphen/>
        <w:t>боратория.</w:t>
      </w:r>
    </w:p>
    <w:p w14:paraId="38BBD989" w14:textId="77777777" w:rsidR="000F5689" w:rsidRPr="00925F26" w:rsidRDefault="000F5689" w:rsidP="00925F26">
      <w:pPr>
        <w:jc w:val="both"/>
        <w:rPr>
          <w:color w:val="000000" w:themeColor="text1"/>
          <w:sz w:val="16"/>
          <w:szCs w:val="16"/>
        </w:rPr>
      </w:pPr>
      <w:r w:rsidRPr="00925F26">
        <w:rPr>
          <w:color w:val="000000" w:themeColor="text1"/>
          <w:sz w:val="16"/>
          <w:szCs w:val="16"/>
        </w:rPr>
        <w:t>В начале 1945 года станоч</w:t>
      </w:r>
      <w:r w:rsidRPr="00925F26">
        <w:rPr>
          <w:color w:val="000000" w:themeColor="text1"/>
          <w:sz w:val="16"/>
          <w:szCs w:val="16"/>
        </w:rPr>
        <w:softHyphen/>
        <w:t>ный парк завода № 155 на</w:t>
      </w:r>
      <w:r w:rsidRPr="00925F26">
        <w:rPr>
          <w:color w:val="000000" w:themeColor="text1"/>
          <w:sz w:val="16"/>
          <w:szCs w:val="16"/>
        </w:rPr>
        <w:softHyphen/>
        <w:t>считывал 144 единицы раз</w:t>
      </w:r>
      <w:r w:rsidRPr="00925F26">
        <w:rPr>
          <w:color w:val="000000" w:themeColor="text1"/>
          <w:sz w:val="16"/>
          <w:szCs w:val="16"/>
        </w:rPr>
        <w:softHyphen/>
        <w:t>нообразного оборудования, в том числе: металлорежу</w:t>
      </w:r>
      <w:r w:rsidRPr="00925F26">
        <w:rPr>
          <w:color w:val="000000" w:themeColor="text1"/>
          <w:sz w:val="16"/>
          <w:szCs w:val="16"/>
        </w:rPr>
        <w:softHyphen/>
        <w:t>щего — 88, кузнечно-прес</w:t>
      </w:r>
      <w:r w:rsidRPr="00925F26">
        <w:rPr>
          <w:color w:val="000000" w:themeColor="text1"/>
          <w:sz w:val="16"/>
          <w:szCs w:val="16"/>
        </w:rPr>
        <w:softHyphen/>
        <w:t xml:space="preserve"> сового — б, металлодавяще</w:t>
      </w:r>
      <w:r w:rsidRPr="00925F26">
        <w:rPr>
          <w:color w:val="000000" w:themeColor="text1"/>
          <w:sz w:val="16"/>
          <w:szCs w:val="16"/>
        </w:rPr>
        <w:softHyphen/>
        <w:t>го — 21, термического — 3, литейного — 2, сварочно</w:t>
      </w:r>
      <w:r w:rsidRPr="00925F26">
        <w:rPr>
          <w:color w:val="000000" w:themeColor="text1"/>
          <w:sz w:val="16"/>
          <w:szCs w:val="16"/>
        </w:rPr>
        <w:softHyphen/>
        <w:t>го — 10 и деревообрабаты</w:t>
      </w:r>
      <w:r w:rsidRPr="00925F26">
        <w:rPr>
          <w:color w:val="000000" w:themeColor="text1"/>
          <w:sz w:val="16"/>
          <w:szCs w:val="16"/>
        </w:rPr>
        <w:softHyphen/>
        <w:t>вающего — 13 (23379).</w:t>
      </w:r>
    </w:p>
    <w:p w14:paraId="19952587" w14:textId="77777777" w:rsidR="000F5689" w:rsidRPr="00925F26" w:rsidRDefault="000F5689" w:rsidP="00925F26">
      <w:pPr>
        <w:jc w:val="both"/>
        <w:rPr>
          <w:color w:val="000000" w:themeColor="text1"/>
          <w:sz w:val="16"/>
          <w:szCs w:val="16"/>
        </w:rPr>
      </w:pPr>
    </w:p>
    <w:p w14:paraId="2A7015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 января 1945 г. в состав завода № 150 НКАП по приказу № 9с от 16.01.1945 г. влит завод № 49 НКАП из Уфы. Далее по приказу № 161с от 20.04.1945 г. в состав завода № 150 влит опытный завод № 25 НКАП </w:t>
      </w:r>
      <w:proofErr w:type="gramStart"/>
      <w:r w:rsidRPr="00925F26">
        <w:rPr>
          <w:color w:val="000000" w:themeColor="text1"/>
          <w:sz w:val="16"/>
          <w:szCs w:val="16"/>
        </w:rPr>
        <w:t>( г.</w:t>
      </w:r>
      <w:proofErr w:type="gramEnd"/>
      <w:r w:rsidRPr="00925F26">
        <w:rPr>
          <w:color w:val="000000" w:themeColor="text1"/>
          <w:sz w:val="16"/>
          <w:szCs w:val="16"/>
        </w:rPr>
        <w:t xml:space="preserve">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2901D6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1946 г. заводу поставлено 764 трофейных металлорежущих станка.</w:t>
      </w:r>
    </w:p>
    <w:p w14:paraId="46865C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2B958E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(1990-е-2000-</w:t>
      </w:r>
      <w:proofErr w:type="gramStart"/>
      <w:r w:rsidRPr="00925F26">
        <w:rPr>
          <w:color w:val="000000" w:themeColor="text1"/>
          <w:sz w:val="16"/>
          <w:szCs w:val="16"/>
        </w:rPr>
        <w:t>е  г.</w:t>
      </w:r>
      <w:proofErr w:type="gramEnd"/>
      <w:r w:rsidRPr="00925F26">
        <w:rPr>
          <w:color w:val="000000" w:themeColor="text1"/>
          <w:sz w:val="16"/>
          <w:szCs w:val="16"/>
        </w:rPr>
        <w:t>):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925F26">
        <w:rPr>
          <w:color w:val="000000" w:themeColor="text1"/>
          <w:sz w:val="16"/>
          <w:szCs w:val="16"/>
          <w:vertAlign w:val="superscript"/>
        </w:rPr>
        <w:t>69</w:t>
      </w:r>
    </w:p>
    <w:p w14:paraId="239725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787A2E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925F26">
        <w:rPr>
          <w:color w:val="000000" w:themeColor="text1"/>
          <w:sz w:val="16"/>
          <w:szCs w:val="16"/>
          <w:vertAlign w:val="superscript"/>
        </w:rPr>
        <w:t>49</w:t>
      </w:r>
      <w:r w:rsidRPr="00925F26">
        <w:rPr>
          <w:color w:val="000000" w:themeColor="text1"/>
          <w:sz w:val="16"/>
          <w:szCs w:val="16"/>
        </w:rPr>
        <w:t xml:space="preserve"> Гендиректор (2003 г.)- В. Дмитрии, А. Черников.</w:t>
      </w:r>
    </w:p>
    <w:p w14:paraId="0259A7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(06.1937 г.)- В.В. Алле; по ПВО и охране (17.12.1938 г.-)- А.В. Волков.</w:t>
      </w:r>
    </w:p>
    <w:p w14:paraId="447E9B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исполнительный (2004 г.)- М. Корнеев; технический (2005 г.)- С. Кононов.</w:t>
      </w:r>
    </w:p>
    <w:p w14:paraId="48101E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Гл. инженер (1936-; 13.02.1938 г.-)- А.И. Еремеев, (-06.1937-19.01.1938 г.)- В.В. Алле (снят), (-10.1940 г.)- А.Х. Пивоварчук, (1941-45 г.)- В.К. Державцев, (1951-77 г.)- В.А. Ливанов.</w:t>
      </w:r>
    </w:p>
    <w:p w14:paraId="2D726C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К.И. Жданов.</w:t>
      </w:r>
    </w:p>
    <w:p w14:paraId="19C8E9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(1936 г.)- Н.П. Фирюбин, А.С. Штейнбер г. Начальник управления продаж (2005 г.)- А.А. Костин.</w:t>
      </w:r>
    </w:p>
    <w:p w14:paraId="4BA94E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инженер прокатного завода (11.1938 г.)- Ю. Г. Музалевский.</w:t>
      </w:r>
    </w:p>
    <w:p w14:paraId="394140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ОКБ комбината № 150 НКАП, ОКБ-150 НКАП гл. конструктора К.И. Жданова</w:t>
      </w:r>
    </w:p>
    <w:p w14:paraId="1745FF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ОКБ авиакомбината № 150 образовано 22.03.1939 г. по приказу НКАП № 80/к от 21.03.1939 г. на базе его опытного производства.</w:t>
      </w:r>
    </w:p>
    <w:p w14:paraId="735ACB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Его гл. конструктор в 1938-1972</w:t>
      </w:r>
      <w:proofErr w:type="gramStart"/>
      <w:r w:rsidRPr="00925F26">
        <w:rPr>
          <w:color w:val="000000" w:themeColor="text1"/>
          <w:sz w:val="16"/>
          <w:szCs w:val="16"/>
        </w:rPr>
        <w:t>г,-</w:t>
      </w:r>
      <w:proofErr w:type="gramEnd"/>
      <w:r w:rsidRPr="00925F26">
        <w:rPr>
          <w:color w:val="000000" w:themeColor="text1"/>
          <w:sz w:val="16"/>
          <w:szCs w:val="16"/>
        </w:rPr>
        <w:t xml:space="preserve">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D3F72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062424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ОКБ-150 МАП гл. конструктора К.И. Жданова</w:t>
      </w:r>
    </w:p>
    <w:p w14:paraId="339815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6C7D4C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161с от 20.04.1945 г. завод № 25 реорганизуется в ОКБ комбината № 150.</w:t>
      </w:r>
    </w:p>
    <w:p w14:paraId="1DFDFF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3448BA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65171828" w14:textId="77777777" w:rsidR="003E545E" w:rsidRPr="00925F26" w:rsidRDefault="003E545E" w:rsidP="00925F26">
      <w:pPr>
        <w:autoSpaceDE w:val="0"/>
        <w:autoSpaceDN w:val="0"/>
        <w:adjustRightInd w:val="0"/>
        <w:jc w:val="both"/>
        <w:rPr>
          <w:color w:val="000000" w:themeColor="text1"/>
          <w:sz w:val="16"/>
          <w:szCs w:val="16"/>
        </w:rPr>
      </w:pPr>
    </w:p>
    <w:p w14:paraId="4206AB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 имелось 31 Ю-52 (6393).</w:t>
      </w:r>
    </w:p>
    <w:p w14:paraId="14F3AF1D" w14:textId="77777777" w:rsidR="00C2313B" w:rsidRPr="00925F26" w:rsidRDefault="00C2313B" w:rsidP="00925F26">
      <w:pPr>
        <w:autoSpaceDE w:val="0"/>
        <w:autoSpaceDN w:val="0"/>
        <w:adjustRightInd w:val="0"/>
        <w:jc w:val="both"/>
        <w:rPr>
          <w:color w:val="000000" w:themeColor="text1"/>
          <w:sz w:val="16"/>
          <w:szCs w:val="16"/>
        </w:rPr>
      </w:pPr>
    </w:p>
    <w:p w14:paraId="65352AAC" w14:textId="77777777" w:rsidR="005A1318" w:rsidRPr="00925F26" w:rsidRDefault="005A1318" w:rsidP="00925F26">
      <w:pPr>
        <w:shd w:val="clear" w:color="auto" w:fill="FFFFFF"/>
        <w:jc w:val="both"/>
        <w:rPr>
          <w:color w:val="000000" w:themeColor="text1"/>
          <w:sz w:val="16"/>
          <w:szCs w:val="16"/>
        </w:rPr>
      </w:pPr>
      <w:r w:rsidRPr="00925F26">
        <w:rPr>
          <w:color w:val="000000" w:themeColor="text1"/>
          <w:sz w:val="16"/>
          <w:szCs w:val="16"/>
        </w:rPr>
        <w:t>На 1 января 1945 г. в ГВФ имелось 31 Ю-52.</w:t>
      </w:r>
    </w:p>
    <w:p w14:paraId="43B2FECC" w14:textId="77777777" w:rsidR="005A1318" w:rsidRPr="00925F26" w:rsidRDefault="005A1318" w:rsidP="00925F26">
      <w:pPr>
        <w:shd w:val="clear" w:color="auto" w:fill="FFFFFF"/>
        <w:jc w:val="both"/>
        <w:rPr>
          <w:color w:val="000000" w:themeColor="text1"/>
          <w:sz w:val="16"/>
          <w:szCs w:val="16"/>
        </w:rPr>
      </w:pPr>
      <w:r w:rsidRPr="00925F26">
        <w:rPr>
          <w:color w:val="000000" w:themeColor="text1"/>
          <w:sz w:val="16"/>
          <w:szCs w:val="16"/>
        </w:rPr>
        <w:t>Согласно постановлению ГКО от 12 декабря 1944 г.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эксплуатировапись после войны на Черном море. Они уничтожали магнитные мины у побережья Крыма, в районе Одессы и в устье Дуная.</w:t>
      </w:r>
    </w:p>
    <w:p w14:paraId="44E5AAAE" w14:textId="77777777" w:rsidR="005A1318" w:rsidRPr="00925F26" w:rsidRDefault="005A1318" w:rsidP="00925F26">
      <w:pPr>
        <w:shd w:val="clear" w:color="auto" w:fill="FFFFFF"/>
        <w:jc w:val="both"/>
        <w:rPr>
          <w:color w:val="000000" w:themeColor="text1"/>
          <w:sz w:val="16"/>
          <w:szCs w:val="16"/>
        </w:rPr>
      </w:pPr>
      <w:r w:rsidRPr="00925F26">
        <w:rPr>
          <w:color w:val="000000" w:themeColor="text1"/>
          <w:sz w:val="16"/>
          <w:szCs w:val="16"/>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39D1B57F" w14:textId="77777777" w:rsidR="005A1318" w:rsidRPr="00925F26" w:rsidRDefault="005A1318" w:rsidP="00925F26">
      <w:pPr>
        <w:jc w:val="both"/>
        <w:rPr>
          <w:color w:val="000000" w:themeColor="text1"/>
          <w:sz w:val="16"/>
          <w:szCs w:val="16"/>
        </w:rPr>
      </w:pPr>
    </w:p>
    <w:p w14:paraId="63919A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года Народный комиссариат Авиационной Промышленности СССР, в лице Заместителя Начальника Седьмого Главного Управления т. Долинского Алексея Семеновича, действующего на основании доверенности N 305 от 1 января 1945 года, настоящей доверенностью уполномочивает Главного Конструктора ОКБ завода N 477 НКАП т. Бериева назначенного на эту должность приказом НКАП N 267с от 3 мая 1943 года совершать следующие действия: Руководить всей работой ОКБ завода N 477 в соответствии с возложенными на ОКБ задачами. Распоряжаться в пределах установленных законом средствами и имуществом ОКБ и совершать от имени ОКБ все необходимые операции и действия, вытекающие из возложенного на ОКБ завода объема работ. Нанимать, сдавать в аренду, приобретать и отчуждать имущество в порядке и в пределах, установленными законом и приказами НКАП. Обеспечивать своевременное получение контингентов и фондов на общественное питание и снабжение работников ОКБ и членов их семей продуктами питания и промтоварами. Совершать от имени ОКБ все банковские и кредитные операции в Госбанке, Промбанке и прочих кредитных учреждениях, пользоваться банковским кредитом, открывать и надлежащих случаях закрывать расчетные, текущие и прочие счета в банковских учреждениях, распоряжаться ими, подписывать чеки, платежные поручения и акцептировать платежные требования, выставлять аккредитивы, получать ссуды, выдавать обязательства, а также получать деньги и ценности. Получать от всех учреждений, предприятий и лиц документы, заказную и денежную корреспонденцию, посылки и другие почтовые отправления, предназначенные ОКБ. Принимать, увольнять рабочих и служащих, а также назначать и освобождать руководящих работников ОКБ кроме номенклатурных, назначаемых и освобождаемых НКАП или Главным Управлением. Представительствовать во всех административных и общественных организациях и учреждениях, а также в судах и арбитражах со всеми правами, предоставленными законом сторонам в процессе, в частности, с правом отказываться от исков и кончать дело миром. Передоверять отдельные из числа предусмотренных настоящей доверенностью полномочия своему заместителю и порядке выдачи разовых доверенностей другим подчиненным работникам. Доверенность выдана сроком до 31 декабря 1945 года (451).</w:t>
      </w:r>
    </w:p>
    <w:p w14:paraId="63E74F43" w14:textId="77777777" w:rsidR="00C2313B" w:rsidRPr="00925F26" w:rsidRDefault="00C2313B" w:rsidP="00925F26">
      <w:pPr>
        <w:autoSpaceDE w:val="0"/>
        <w:autoSpaceDN w:val="0"/>
        <w:adjustRightInd w:val="0"/>
        <w:jc w:val="both"/>
        <w:rPr>
          <w:color w:val="000000" w:themeColor="text1"/>
          <w:sz w:val="16"/>
          <w:szCs w:val="16"/>
        </w:rPr>
      </w:pPr>
    </w:p>
    <w:p w14:paraId="3BD89F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 января 1945 была подготовлена:</w:t>
      </w:r>
    </w:p>
    <w:p w14:paraId="006E82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2AA089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Краткая характеристика авиазаводов Австрии, Венгрии и Чехословакии на 1.01.1945 г. (8993).</w:t>
      </w:r>
    </w:p>
    <w:p w14:paraId="6BD13635" w14:textId="77777777" w:rsidR="00C2313B" w:rsidRPr="00925F26" w:rsidRDefault="00C2313B" w:rsidP="00925F26">
      <w:pPr>
        <w:autoSpaceDE w:val="0"/>
        <w:autoSpaceDN w:val="0"/>
        <w:adjustRightInd w:val="0"/>
        <w:jc w:val="both"/>
        <w:rPr>
          <w:color w:val="000000" w:themeColor="text1"/>
          <w:sz w:val="16"/>
          <w:szCs w:val="16"/>
        </w:rPr>
      </w:pPr>
    </w:p>
    <w:p w14:paraId="5419821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1A0345F" w14:textId="77777777" w:rsidR="00C2313B" w:rsidRPr="00925F26" w:rsidRDefault="00C2313B" w:rsidP="00925F26">
      <w:pPr>
        <w:autoSpaceDE w:val="0"/>
        <w:autoSpaceDN w:val="0"/>
        <w:adjustRightInd w:val="0"/>
        <w:jc w:val="both"/>
        <w:rPr>
          <w:iCs/>
          <w:color w:val="000000" w:themeColor="text1"/>
          <w:sz w:val="16"/>
          <w:szCs w:val="16"/>
        </w:rPr>
      </w:pPr>
    </w:p>
    <w:p w14:paraId="2A060B10" w14:textId="77777777" w:rsidR="003E545E" w:rsidRPr="00925F26" w:rsidRDefault="003E545E" w:rsidP="00925F26">
      <w:pPr>
        <w:pStyle w:val="book"/>
        <w:ind w:firstLine="0"/>
        <w:jc w:val="both"/>
        <w:rPr>
          <w:color w:val="000000" w:themeColor="text1"/>
          <w:sz w:val="16"/>
          <w:szCs w:val="16"/>
        </w:rPr>
      </w:pPr>
      <w:r w:rsidRPr="00925F26">
        <w:rPr>
          <w:color w:val="000000" w:themeColor="text1"/>
          <w:sz w:val="16"/>
          <w:szCs w:val="16"/>
        </w:rPr>
        <w:t>На 1 января 1945 г. в секретном отчете по артиллерии фигурируют только восемь 211-мм (21-см) германских мортир обр. 18. На самом же деле к 1 января 1945 г. в Красной армии состояли сотни германских орудий калибров 75, 88, 105, 150 мм и других калибров (12225).</w:t>
      </w:r>
    </w:p>
    <w:p w14:paraId="44E323AD" w14:textId="77777777" w:rsidR="003E545E" w:rsidRPr="00925F26" w:rsidRDefault="003E545E" w:rsidP="00925F26">
      <w:pPr>
        <w:pStyle w:val="book"/>
        <w:ind w:firstLine="0"/>
        <w:jc w:val="both"/>
        <w:rPr>
          <w:color w:val="000000" w:themeColor="text1"/>
          <w:sz w:val="16"/>
          <w:szCs w:val="16"/>
        </w:rPr>
      </w:pPr>
    </w:p>
    <w:p w14:paraId="58DC8C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января 1945 г. были введены все внесенные изменения в танки Т-34 завода № 112. Летом-осенью 1944 одностворчатый люк командирской башенки, который был вве</w:t>
      </w:r>
      <w:r w:rsidRPr="00925F26">
        <w:rPr>
          <w:color w:val="000000" w:themeColor="text1"/>
          <w:sz w:val="16"/>
          <w:szCs w:val="16"/>
        </w:rPr>
        <w:softHyphen/>
        <w:t xml:space="preserve">ден еще на танке </w:t>
      </w:r>
      <w:proofErr w:type="gramStart"/>
      <w:r w:rsidRPr="00925F26">
        <w:rPr>
          <w:color w:val="000000" w:themeColor="text1"/>
          <w:sz w:val="16"/>
          <w:szCs w:val="16"/>
        </w:rPr>
        <w:t>Т-43, ввиду того, что</w:t>
      </w:r>
      <w:proofErr w:type="gramEnd"/>
      <w:r w:rsidRPr="00925F26">
        <w:rPr>
          <w:color w:val="000000" w:themeColor="text1"/>
          <w:sz w:val="16"/>
          <w:szCs w:val="16"/>
        </w:rPr>
        <w:t xml:space="preserve"> крышка люка ле</w:t>
      </w:r>
      <w:r w:rsidRPr="00925F26">
        <w:rPr>
          <w:color w:val="000000" w:themeColor="text1"/>
          <w:sz w:val="16"/>
          <w:szCs w:val="16"/>
        </w:rPr>
        <w:softHyphen/>
        <w:t>жала на вращающемся основании, сделать нормальное уравновешение ее не получилось и в серию был пущен дву</w:t>
      </w:r>
      <w:r w:rsidRPr="00925F26">
        <w:rPr>
          <w:color w:val="000000" w:themeColor="text1"/>
          <w:sz w:val="16"/>
          <w:szCs w:val="16"/>
        </w:rPr>
        <w:softHyphen/>
        <w:t>створчатый люк с прибором МК-1У в одной из створок. Открывать люк стало удобнее, но одной рукой делать это было почти невозможно. Кроме того, из-за вращающейся эыши башенки невозможно было предусмотреть стопоре створок в открытом положении, а при движении по пе-еченной местности случалось, что створки захлопыва</w:t>
      </w:r>
      <w:r w:rsidRPr="00925F26">
        <w:rPr>
          <w:color w:val="000000" w:themeColor="text1"/>
          <w:sz w:val="16"/>
          <w:szCs w:val="16"/>
        </w:rPr>
        <w:softHyphen/>
        <w:t>юсь самопроизвольно, порой раня командира танка. Кро-того, пользоваться прибором МК-1У командиру было йможно только при полностью закрытом люке. Устраняя эти недостатки, конструкторы завода № 112 вернулись к схеме Т-43, но отказались от вращающейся крыши башенки. Это позволило уравновесить большую крышку люка, для которой был разработан стопор крепления в от-эм положении. Смотровой прибор устанавливался в не-вижном секторе и мог вращаться командиром изнутри. Кроме того, в башне была сделана безрамная укладка р на 16 выстрелов снарядом на левый борт, вместо 12 выстрелов рамочной укладки, достать из которой последние 4 выстрела было крайне затруднительно.</w:t>
      </w:r>
    </w:p>
    <w:p w14:paraId="201620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последним нововведением башни Т-34-85 был пульт управления поворотом башни, которым мог пользоваться командир танка, что ускоряло целеуказание. Для ориентации командира в пространстве перед командирской башенкой была укреплена шкала часового типа с указателем угла пово</w:t>
      </w:r>
      <w:r w:rsidRPr="00925F26">
        <w:rPr>
          <w:color w:val="000000" w:themeColor="text1"/>
          <w:sz w:val="16"/>
          <w:szCs w:val="16"/>
        </w:rPr>
        <w:softHyphen/>
        <w:t>рота башни относительно направления движения. Кроме то</w:t>
      </w:r>
      <w:r w:rsidRPr="00925F26">
        <w:rPr>
          <w:color w:val="000000" w:themeColor="text1"/>
          <w:sz w:val="16"/>
          <w:szCs w:val="16"/>
        </w:rPr>
        <w:softHyphen/>
        <w:t xml:space="preserve">го, для полного уравновешения башни на заднюю стенку башни был укреплен груз массой 250—300 кг, в результате че-11|О </w:t>
      </w:r>
      <w:r w:rsidRPr="00925F26">
        <w:rPr>
          <w:smallCaps/>
          <w:color w:val="000000" w:themeColor="text1"/>
          <w:sz w:val="16"/>
          <w:szCs w:val="16"/>
        </w:rPr>
        <w:t xml:space="preserve">усилия </w:t>
      </w:r>
      <w:r w:rsidRPr="00925F26">
        <w:rPr>
          <w:color w:val="000000" w:themeColor="text1"/>
          <w:sz w:val="16"/>
          <w:szCs w:val="16"/>
        </w:rPr>
        <w:t>на маховиках поворотного механизма снизились до 1-4 кг, даже в случае крена танка в 15° (11135).</w:t>
      </w:r>
    </w:p>
    <w:p w14:paraId="0BE423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A40C9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января 1945 г. была подготовлена ДОКЛАДНАЯ ЗАПИСКА ЗАМЕСТИТЕЛЯ КОМАНДУЮЩЕГО БТ и МВ КА НАРКОМУ ВНЕШНЕЙ ТОРГОВЛИ СССР А.И. МИКОЯНУ О ПРИОБРЕТЕНИИ ИНОСТРАННЫХ БРОНЕАВТОМОБИЛЕЙ ДЛЯ ГБТУ КА №845120</w:t>
      </w:r>
    </w:p>
    <w:p w14:paraId="327383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изучения конструкции бронеавтомобилей, применяемых Союзными армиями в совре</w:t>
      </w:r>
      <w:r w:rsidRPr="00925F26">
        <w:rPr>
          <w:color w:val="000000" w:themeColor="text1"/>
          <w:sz w:val="16"/>
          <w:szCs w:val="16"/>
        </w:rPr>
        <w:softHyphen/>
        <w:t>менной войне, и использования отдельных технических новшеств при изготовлении отечественных бронеавтомобилей и бронетранспортеров прошу Вашего распоряжение о закупке для Главного бронетанкового управления Красной Армии бронеавтомобилей следующих марок:</w:t>
      </w:r>
    </w:p>
    <w:p w14:paraId="14809E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Легкий трехосный бронеавтомобиль М-8 (Форд) — 3 шт.</w:t>
      </w:r>
    </w:p>
    <w:p w14:paraId="255EADC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Средний двухосный бронеавтомобиль Т17Е1 — 3 шт.</w:t>
      </w:r>
    </w:p>
    <w:p w14:paraId="3C3DEC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Англии</w:t>
      </w:r>
    </w:p>
    <w:p w14:paraId="2E9C89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Бронеавтомобиль Даймлер М-1 — 3 шт.</w:t>
      </w:r>
    </w:p>
    <w:p w14:paraId="464358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краткие технические данные бронеавтомобилей на 3 листах, с фотографиями в адрес, не с фотографиями в дело.</w:t>
      </w:r>
    </w:p>
    <w:p w14:paraId="20987C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14E449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11358. Д. 412. Л. 3. Копия.</w:t>
      </w:r>
    </w:p>
    <w:p w14:paraId="14D8CC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не публикуется.</w:t>
      </w:r>
    </w:p>
    <w:p w14:paraId="5C337D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Член военного совета БТ и МВ КА генерал-полковник танковых войск Бирюков (11420).</w:t>
      </w:r>
    </w:p>
    <w:p w14:paraId="3E530D63" w14:textId="77777777" w:rsidR="00C2313B" w:rsidRPr="00925F26" w:rsidRDefault="00C2313B" w:rsidP="00925F26">
      <w:pPr>
        <w:autoSpaceDE w:val="0"/>
        <w:autoSpaceDN w:val="0"/>
        <w:adjustRightInd w:val="0"/>
        <w:jc w:val="both"/>
        <w:rPr>
          <w:color w:val="000000" w:themeColor="text1"/>
          <w:sz w:val="16"/>
          <w:szCs w:val="16"/>
        </w:rPr>
      </w:pPr>
    </w:p>
    <w:p w14:paraId="702E478E" w14:textId="77777777" w:rsidR="000F5689" w:rsidRPr="00925F26" w:rsidRDefault="000F5689" w:rsidP="00925F26">
      <w:pPr>
        <w:jc w:val="both"/>
        <w:rPr>
          <w:color w:val="000000" w:themeColor="text1"/>
          <w:sz w:val="16"/>
          <w:szCs w:val="16"/>
        </w:rPr>
      </w:pPr>
      <w:r w:rsidRPr="00925F26">
        <w:rPr>
          <w:color w:val="000000" w:themeColor="text1"/>
          <w:sz w:val="16"/>
          <w:szCs w:val="16"/>
        </w:rPr>
        <w:lastRenderedPageBreak/>
        <w:t xml:space="preserve">К 1 января 1945 года из 1754 танков Т-70 данного типа на фронте числилось всего 272 штуки. Тем не менее, последнее применение Т-70 случилось в районе Берлина. Вполне достойный о боевой путь для машины, которая фактически была эрзацем. Как и Т-60, в мирное время Т-70 и Т-70Б вряд ли бы появились на свет. Вскоре после окончания войны 70-ки списали, в основном сохранились танки-памятники. Также часть танков восстановили из кусков. Из более трех десятков Т-70 большинство </w:t>
      </w:r>
      <w:proofErr w:type="gramStart"/>
      <w:r w:rsidRPr="00925F26">
        <w:rPr>
          <w:color w:val="000000" w:themeColor="text1"/>
          <w:sz w:val="16"/>
          <w:szCs w:val="16"/>
        </w:rPr>
        <w:t>- это</w:t>
      </w:r>
      <w:proofErr w:type="gramEnd"/>
      <w:r w:rsidRPr="00925F26">
        <w:rPr>
          <w:color w:val="000000" w:themeColor="text1"/>
          <w:sz w:val="16"/>
          <w:szCs w:val="16"/>
        </w:rPr>
        <w:t xml:space="preserve"> как раз Т-70Б (23363).</w:t>
      </w:r>
    </w:p>
    <w:p w14:paraId="3A7C1676" w14:textId="77777777" w:rsidR="000F5689" w:rsidRPr="00925F26" w:rsidRDefault="000F5689" w:rsidP="00925F26">
      <w:pPr>
        <w:jc w:val="both"/>
        <w:rPr>
          <w:color w:val="000000" w:themeColor="text1"/>
          <w:sz w:val="16"/>
          <w:szCs w:val="16"/>
        </w:rPr>
      </w:pPr>
    </w:p>
    <w:p w14:paraId="133558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Отчет завода № 540 НКВ за 1944 год</w:t>
      </w:r>
    </w:p>
    <w:p w14:paraId="009594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Лобанов</w:t>
      </w:r>
    </w:p>
    <w:p w14:paraId="056C94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Иркутск, п/я 155 (10104).</w:t>
      </w:r>
    </w:p>
    <w:p w14:paraId="317F8BD4" w14:textId="77777777" w:rsidR="00C2313B" w:rsidRPr="00925F26" w:rsidRDefault="00C2313B" w:rsidP="00925F26">
      <w:pPr>
        <w:autoSpaceDE w:val="0"/>
        <w:autoSpaceDN w:val="0"/>
        <w:adjustRightInd w:val="0"/>
        <w:jc w:val="both"/>
        <w:rPr>
          <w:color w:val="000000" w:themeColor="text1"/>
          <w:sz w:val="16"/>
          <w:szCs w:val="16"/>
        </w:rPr>
      </w:pPr>
    </w:p>
    <w:p w14:paraId="052414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Отчет ЦКБ-3 НКВ за 1944 год</w:t>
      </w:r>
    </w:p>
    <w:p w14:paraId="5439DE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 Кошкин</w:t>
      </w:r>
    </w:p>
    <w:p w14:paraId="4B0910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Кунцево Московской области, п/я 99 (10099).</w:t>
      </w:r>
    </w:p>
    <w:p w14:paraId="35CF8F36" w14:textId="77777777" w:rsidR="00C2313B" w:rsidRPr="00925F26" w:rsidRDefault="00C2313B" w:rsidP="00925F26">
      <w:pPr>
        <w:autoSpaceDE w:val="0"/>
        <w:autoSpaceDN w:val="0"/>
        <w:adjustRightInd w:val="0"/>
        <w:jc w:val="both"/>
        <w:rPr>
          <w:color w:val="000000" w:themeColor="text1"/>
          <w:sz w:val="16"/>
          <w:szCs w:val="16"/>
        </w:rPr>
      </w:pPr>
    </w:p>
    <w:p w14:paraId="76B5D0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Отчет ОКБ-44 НКВ за 1944 год</w:t>
      </w:r>
    </w:p>
    <w:p w14:paraId="380211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Кунцево Московской области, п/я 95 (10100).</w:t>
      </w:r>
    </w:p>
    <w:p w14:paraId="42569F42" w14:textId="77777777" w:rsidR="00C2313B" w:rsidRPr="00925F26" w:rsidRDefault="00C2313B" w:rsidP="00925F26">
      <w:pPr>
        <w:autoSpaceDE w:val="0"/>
        <w:autoSpaceDN w:val="0"/>
        <w:adjustRightInd w:val="0"/>
        <w:jc w:val="both"/>
        <w:rPr>
          <w:color w:val="000000" w:themeColor="text1"/>
          <w:sz w:val="16"/>
          <w:szCs w:val="16"/>
        </w:rPr>
      </w:pPr>
    </w:p>
    <w:p w14:paraId="102883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был подготовлен Отчет завода № 503 НКБ за 1944 год</w:t>
      </w:r>
    </w:p>
    <w:p w14:paraId="7D3BBF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завода № 503 инженер-полковник ИАС Крысин.</w:t>
      </w:r>
    </w:p>
    <w:p w14:paraId="7831D0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Ввод в эксплуатацию – 1910 год</w:t>
      </w:r>
    </w:p>
    <w:p w14:paraId="2A1BBD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Чапаевск Куйбышевской области (10215).</w:t>
      </w:r>
    </w:p>
    <w:p w14:paraId="0553A4D8" w14:textId="77777777" w:rsidR="00C2313B" w:rsidRPr="00925F26" w:rsidRDefault="00C2313B" w:rsidP="00925F26">
      <w:pPr>
        <w:autoSpaceDE w:val="0"/>
        <w:autoSpaceDN w:val="0"/>
        <w:adjustRightInd w:val="0"/>
        <w:jc w:val="both"/>
        <w:rPr>
          <w:color w:val="000000" w:themeColor="text1"/>
          <w:sz w:val="16"/>
          <w:szCs w:val="16"/>
        </w:rPr>
      </w:pPr>
    </w:p>
    <w:p w14:paraId="74E7AC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был подготовлен Отчет завода № 502 НКБ за 1944 год</w:t>
      </w:r>
    </w:p>
    <w:p w14:paraId="76D01B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завода – Щекотихин С.А.</w:t>
      </w:r>
    </w:p>
    <w:p w14:paraId="28B57E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Дзержинск, Свердлвский район, Горьковская область</w:t>
      </w:r>
    </w:p>
    <w:p w14:paraId="55C0AA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Ввод в эксплуатацию – 1918 год (10216).</w:t>
      </w:r>
    </w:p>
    <w:p w14:paraId="5B69A221" w14:textId="77777777" w:rsidR="00C2313B" w:rsidRPr="00925F26" w:rsidRDefault="00C2313B" w:rsidP="00925F26">
      <w:pPr>
        <w:autoSpaceDE w:val="0"/>
        <w:autoSpaceDN w:val="0"/>
        <w:adjustRightInd w:val="0"/>
        <w:jc w:val="both"/>
        <w:rPr>
          <w:color w:val="000000" w:themeColor="text1"/>
          <w:sz w:val="16"/>
          <w:szCs w:val="16"/>
        </w:rPr>
      </w:pPr>
    </w:p>
    <w:p w14:paraId="7E7DC4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был подготовлен Отчет завода № 461 (снаряжательный) НКБ за 1944 год</w:t>
      </w:r>
    </w:p>
    <w:p w14:paraId="39FB51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Китин</w:t>
      </w:r>
    </w:p>
    <w:p w14:paraId="798156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Организационная деятельность завода в основном началась на основании приказа НКБ № 522с с 15 октября 1944 года на базе бывшего 5-го производства Комбината № 179, выделенный в самостоятельный завод № 461.</w:t>
      </w:r>
    </w:p>
    <w:p w14:paraId="71F32C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Основным производственным процессом завода является снаряжение 76 м ОФ снарядов путем шнекования амматолом 80/20 с доливкой тротиловой пробки.</w:t>
      </w:r>
    </w:p>
    <w:p w14:paraId="190BCA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15 октября 1944 года по 1 января 1945 года завод находился в стадии организации и выпуска продукции не производил.</w:t>
      </w:r>
    </w:p>
    <w:p w14:paraId="745943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Ввод в эксплуатацию – 1944 год</w:t>
      </w:r>
    </w:p>
    <w:p w14:paraId="1F821C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Новосибирск, Кировский район, п/я 153 (10217).</w:t>
      </w:r>
    </w:p>
    <w:p w14:paraId="5D8FC411" w14:textId="77777777" w:rsidR="00C2313B" w:rsidRPr="00925F26" w:rsidRDefault="00C2313B" w:rsidP="00925F26">
      <w:pPr>
        <w:autoSpaceDE w:val="0"/>
        <w:autoSpaceDN w:val="0"/>
        <w:adjustRightInd w:val="0"/>
        <w:jc w:val="both"/>
        <w:rPr>
          <w:color w:val="000000" w:themeColor="text1"/>
          <w:sz w:val="16"/>
          <w:szCs w:val="16"/>
        </w:rPr>
      </w:pPr>
    </w:p>
    <w:p w14:paraId="6F6199A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E4FFDC6" w14:textId="77777777" w:rsidR="00C2313B" w:rsidRPr="00925F26" w:rsidRDefault="00C2313B" w:rsidP="00925F26">
      <w:pPr>
        <w:autoSpaceDE w:val="0"/>
        <w:autoSpaceDN w:val="0"/>
        <w:adjustRightInd w:val="0"/>
        <w:jc w:val="both"/>
        <w:rPr>
          <w:iCs/>
          <w:color w:val="000000" w:themeColor="text1"/>
          <w:sz w:val="16"/>
          <w:szCs w:val="16"/>
        </w:rPr>
      </w:pPr>
    </w:p>
    <w:p w14:paraId="2DC75CA3" w14:textId="77777777" w:rsidR="003E545E" w:rsidRPr="00925F26" w:rsidRDefault="003E545E" w:rsidP="00925F26">
      <w:pPr>
        <w:jc w:val="both"/>
        <w:rPr>
          <w:color w:val="000000" w:themeColor="text1"/>
          <w:sz w:val="16"/>
          <w:szCs w:val="16"/>
        </w:rPr>
      </w:pPr>
      <w:r w:rsidRPr="00925F26">
        <w:rPr>
          <w:bCs/>
          <w:color w:val="000000" w:themeColor="text1"/>
          <w:sz w:val="16"/>
          <w:szCs w:val="16"/>
        </w:rPr>
        <w:t>1 января</w:t>
      </w:r>
      <w:r w:rsidRPr="00925F26">
        <w:rPr>
          <w:color w:val="000000" w:themeColor="text1"/>
          <w:sz w:val="16"/>
          <w:szCs w:val="16"/>
        </w:rPr>
        <w:t xml:space="preserve"> в 1945 году оперативная сводка Совинформбюро:</w:t>
      </w:r>
    </w:p>
    <w:p w14:paraId="5439AC89" w14:textId="77777777" w:rsidR="003E545E" w:rsidRPr="00925F26" w:rsidRDefault="003E545E" w:rsidP="00925F26">
      <w:pPr>
        <w:jc w:val="both"/>
        <w:rPr>
          <w:color w:val="000000" w:themeColor="text1"/>
          <w:sz w:val="16"/>
          <w:szCs w:val="16"/>
        </w:rPr>
      </w:pPr>
      <w:r w:rsidRPr="00925F26">
        <w:rPr>
          <w:color w:val="000000" w:themeColor="text1"/>
          <w:sz w:val="16"/>
          <w:szCs w:val="16"/>
        </w:rPr>
        <w:t>«В течение 1 января на территории Чехословакии наши войска, наступающие в направлении города Лученец, с боями заняли населённые пункты Великие Дравце, Больковце, Нитра, Галша, Тэрбеловце, Микушовце (3 километра южнее Лученец), Раповце, Панитске-Дравце, Тэринч, Бушинце, Малые Злевце, Малые и Великие Страцини, Плахтинце и железнодорожную станцию Раповце. В боях за 31 декабря в этом районе наши войска взяли в плен 515 немецких солдат и офицеров.</w:t>
      </w:r>
    </w:p>
    <w:p w14:paraId="439CDD02"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продолжая бои по уничтожению окружённой в городе группировки противника, заняли свыше 200 кварталов и железнодорожную станцию Ракош в восточной части города.</w:t>
      </w:r>
    </w:p>
    <w:p w14:paraId="73D77C60" w14:textId="77777777" w:rsidR="003E545E" w:rsidRPr="00925F26" w:rsidRDefault="003E545E"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2CCB693C" w14:textId="77777777" w:rsidR="003E545E" w:rsidRPr="00925F26" w:rsidRDefault="003E545E" w:rsidP="00925F26">
      <w:pPr>
        <w:jc w:val="both"/>
        <w:rPr>
          <w:color w:val="000000" w:themeColor="text1"/>
          <w:sz w:val="16"/>
          <w:szCs w:val="16"/>
        </w:rPr>
      </w:pPr>
      <w:r w:rsidRPr="00925F26">
        <w:rPr>
          <w:color w:val="000000" w:themeColor="text1"/>
          <w:sz w:val="16"/>
          <w:szCs w:val="16"/>
        </w:rPr>
        <w:t>За 31 декабря наши войска подбили и уничтожили 48 немецких танков. В воздушных боях и огнём зенитной артиллерии сбито 4 самолёта противника.</w:t>
      </w:r>
    </w:p>
    <w:p w14:paraId="1290EE1A" w14:textId="77777777" w:rsidR="003E545E" w:rsidRPr="00925F26" w:rsidRDefault="003E545E" w:rsidP="00925F26">
      <w:pPr>
        <w:jc w:val="both"/>
        <w:rPr>
          <w:color w:val="000000" w:themeColor="text1"/>
          <w:sz w:val="16"/>
          <w:szCs w:val="16"/>
        </w:rPr>
      </w:pPr>
      <w:r w:rsidRPr="00925F26">
        <w:rPr>
          <w:color w:val="000000" w:themeColor="text1"/>
          <w:sz w:val="16"/>
          <w:szCs w:val="16"/>
        </w:rPr>
        <w:t>В Чехословакии наши войска с боями заняли несколько населённых пунктов. Части Н-ского соединения в нескольких местах переправились через реку Ипель и овладели населённым пунктом Микушовце, находящимся в трёх километрах от города Лученец. За день боёв уничтожено свыше 400 вражеских солдат и офицеров, подбито и сожжено 6 немецких танков и самоходных орудий. Подразделения Н-ской стрелковой части выбили немцев из сильно укреплённых позиций и захватили 2 орудия, 14 пулеметов, 7 миномётов, 30 тысяч патронов и 35 тысяч ручных гранат. На другом участке командир пулемётного расчёта Ниякин огнём из пулемёта прижал к земле группу противника. Пятнадцать гитлеровцев прекратили сопротивление и сдались в плен. Батальон, которым командует офицер Петухов, ночью ворвался в населённый пункт, в котором закрепились гитлеровцы. Советские бойцы истребили до роты вражеской пехоты и к утру полностью очистили село от немецких захватчиков. После того как прекратился бой, местные жители вышли из укрытий и с радостью встретили наших бойцов.</w:t>
      </w:r>
    </w:p>
    <w:p w14:paraId="5D0B23F9"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вели бои по уничтожению окружённой группировки противника. В восточной части города наши подразделения, действуя небольшими штурмовыми группами, выбивают немцев из домов. Гитлеровцы засели в подвалах и на чердаках и ведут сильный артиллерийский и ружейно-пулемётный огонь. Советские бойцы проникают в тыл противника, врываются в дома и истребляют находящихся в них немецких солдат и офицеров. Подразделения Н-ской части за день заняли семь кварталов города, истребив при этом две роты гитлеровцев. Автоматчики под командованием сержанта Адавкина пробрались в сильно укреплённое здание и уничтожили орудие и пулемётную точку противника. Рядовой Шмелев подполз к дому, из которого немцы вели огонь из пулемёта. Бросив в дом гранату, Шмелев уничтожил пулемётный расчёт противника. Отважный боец проник внутрь здания. На втором этаже на него напали три гитлеровца. Тов. Шмелев застрелил двух немцев, а третьего разоружил и взял в плен.</w:t>
      </w:r>
    </w:p>
    <w:p w14:paraId="0F700112" w14:textId="77777777" w:rsidR="003E545E" w:rsidRPr="00925F26" w:rsidRDefault="003E545E" w:rsidP="00925F26">
      <w:pPr>
        <w:jc w:val="both"/>
        <w:rPr>
          <w:color w:val="000000" w:themeColor="text1"/>
          <w:sz w:val="16"/>
          <w:szCs w:val="16"/>
        </w:rPr>
      </w:pPr>
      <w:r w:rsidRPr="00925F26">
        <w:rPr>
          <w:color w:val="000000" w:themeColor="text1"/>
          <w:sz w:val="16"/>
          <w:szCs w:val="16"/>
        </w:rPr>
        <w:t>В западной части Будапешта наши войска штурмовали вражеские опорные пункты. В течение дня уничтожено свыше 1.000 немецких солдат и офицеров, подбито и сожжено 24 танка и 13 бронетранспортёров противника. Взято в плен 429 немецких солдат и офицеров.</w:t>
      </w:r>
    </w:p>
    <w:p w14:paraId="56E5BB72" w14:textId="77777777" w:rsidR="003E545E" w:rsidRPr="00925F26" w:rsidRDefault="003E545E" w:rsidP="00925F26">
      <w:pPr>
        <w:jc w:val="both"/>
        <w:rPr>
          <w:color w:val="000000" w:themeColor="text1"/>
          <w:sz w:val="16"/>
          <w:szCs w:val="16"/>
        </w:rPr>
      </w:pPr>
      <w:r w:rsidRPr="00925F26">
        <w:rPr>
          <w:color w:val="000000" w:themeColor="text1"/>
          <w:sz w:val="16"/>
          <w:szCs w:val="16"/>
        </w:rPr>
        <w:t>Ночью немецкие самолёты транспортировали грузы войскам противника, окружённым в городе Будапеште. Огнем нашей зенитной артиллерии сбито 2 немецких транспортных самолёта.</w:t>
      </w:r>
    </w:p>
    <w:p w14:paraId="4654EF30" w14:textId="77777777" w:rsidR="003E545E" w:rsidRPr="00925F26" w:rsidRDefault="003E545E" w:rsidP="00925F26">
      <w:pPr>
        <w:jc w:val="both"/>
        <w:rPr>
          <w:color w:val="000000" w:themeColor="text1"/>
          <w:sz w:val="16"/>
          <w:szCs w:val="16"/>
        </w:rPr>
      </w:pPr>
      <w:r w:rsidRPr="00925F26">
        <w:rPr>
          <w:color w:val="000000" w:themeColor="text1"/>
          <w:sz w:val="16"/>
          <w:szCs w:val="16"/>
        </w:rPr>
        <w:t>В Чехословакии, восточнее города Кошице, рота немецких автоматчиков пыталась лесом пробраться в расположение нашей обороны. Находившиеся в боевом охранении советские бойцы вовремя заметили гитлеровцев и встретили их ружейно-пулемётным огнём. Вскоре их поддержали артиллеристы и миномётчики. Отряд противника был рассеян. На подступах к нашим позициям осталось 40 убитых немцев.</w:t>
      </w:r>
    </w:p>
    <w:p w14:paraId="4368D80F" w14:textId="77777777" w:rsidR="003E545E" w:rsidRPr="00925F26" w:rsidRDefault="003E545E" w:rsidP="00925F26">
      <w:pPr>
        <w:jc w:val="both"/>
        <w:rPr>
          <w:color w:val="000000" w:themeColor="text1"/>
          <w:sz w:val="16"/>
          <w:szCs w:val="16"/>
        </w:rPr>
      </w:pPr>
      <w:r w:rsidRPr="00925F26">
        <w:rPr>
          <w:color w:val="000000" w:themeColor="text1"/>
          <w:sz w:val="16"/>
          <w:szCs w:val="16"/>
        </w:rPr>
        <w:t>На 1-м Украинском фронте наши разведчики проникли в расположение противника и уничтожили группу немецких солдат.</w:t>
      </w:r>
    </w:p>
    <w:p w14:paraId="28358633" w14:textId="77777777" w:rsidR="003E545E" w:rsidRPr="00925F26" w:rsidRDefault="003E545E" w:rsidP="00925F26">
      <w:pPr>
        <w:jc w:val="both"/>
        <w:rPr>
          <w:color w:val="000000" w:themeColor="text1"/>
          <w:sz w:val="16"/>
          <w:szCs w:val="16"/>
        </w:rPr>
      </w:pPr>
      <w:r w:rsidRPr="00925F26">
        <w:rPr>
          <w:color w:val="000000" w:themeColor="text1"/>
          <w:sz w:val="16"/>
          <w:szCs w:val="16"/>
        </w:rPr>
        <w:t>Снайперы во главе с Героем Советского Союза старшиной Соханом за месяц уничтожили 93 гитлеровца.</w:t>
      </w:r>
    </w:p>
    <w:p w14:paraId="286A28B2" w14:textId="77777777" w:rsidR="003E545E" w:rsidRPr="00925F26" w:rsidRDefault="003E545E" w:rsidP="00925F26">
      <w:pPr>
        <w:jc w:val="both"/>
        <w:rPr>
          <w:color w:val="000000" w:themeColor="text1"/>
          <w:sz w:val="16"/>
          <w:szCs w:val="16"/>
        </w:rPr>
      </w:pPr>
      <w:r w:rsidRPr="00925F26">
        <w:rPr>
          <w:color w:val="000000" w:themeColor="text1"/>
          <w:sz w:val="16"/>
          <w:szCs w:val="16"/>
        </w:rPr>
        <w:t>Истребители авиачасти трижды Героя Советского Союза Покрышкина за шесть лётных дней сбили 5 немецких самолётов, уничтожили 5 паровозов, а также несколько автомашин противника с грузами.» (14996).</w:t>
      </w:r>
    </w:p>
    <w:p w14:paraId="0BA80A29" w14:textId="77777777" w:rsidR="003E545E" w:rsidRPr="00925F26" w:rsidRDefault="003E545E" w:rsidP="00925F26">
      <w:pPr>
        <w:jc w:val="both"/>
        <w:rPr>
          <w:color w:val="000000" w:themeColor="text1"/>
          <w:sz w:val="16"/>
          <w:szCs w:val="16"/>
        </w:rPr>
      </w:pPr>
    </w:p>
    <w:p w14:paraId="489A84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 в ВВС насчитывалось 1314 в Пе-2 варианте бомбардировщика и 345 в варианте разведчика, но их доля в самолетном парке относительно других типов не возросла. Более того, появился мощный конкурент - бомбардировщик А.Н.Туполева Ту-2. Впервые несколько Ту-2 появилось на фронте еще в 1942 г. во время войсковых испытаний. На Курской дуге было всего 18 Ту-2 в 285-й бад полковника В.А.Сандалова, которые применялись в основном в качестве разведчиков. А в мае 1944 г. под Ленинградом 334-я бад полковника Н.П. Скока целиком состояла из этих самолетов. Ту-2 превосходил Пе-2 и по летным данным, и по вооружению, и по бомбовой нагрузке. Однако до самого конца войны самолет Петлякова оставался наиболее распространенным советским бомбардировщиком. Пе-2 действовали над всей Восточной Европой, сопровождая наступление советских войск. Большую роль сыграли Пе-2 в боевых операциях в Польше, Чехословакии, Венгрии (3542).</w:t>
      </w:r>
    </w:p>
    <w:p w14:paraId="6AC82F80" w14:textId="77777777" w:rsidR="00C2313B" w:rsidRPr="00925F26" w:rsidRDefault="00C2313B" w:rsidP="00925F26">
      <w:pPr>
        <w:autoSpaceDE w:val="0"/>
        <w:autoSpaceDN w:val="0"/>
        <w:adjustRightInd w:val="0"/>
        <w:jc w:val="both"/>
        <w:rPr>
          <w:color w:val="000000" w:themeColor="text1"/>
          <w:sz w:val="16"/>
          <w:szCs w:val="16"/>
        </w:rPr>
      </w:pPr>
    </w:p>
    <w:p w14:paraId="1CD320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0F5689" w:rsidRPr="00925F26" w14:paraId="521533E7" w14:textId="77777777">
        <w:tc>
          <w:tcPr>
            <w:tcW w:w="1019" w:type="dxa"/>
            <w:tcBorders>
              <w:top w:val="single" w:sz="12" w:space="0" w:color="auto"/>
            </w:tcBorders>
          </w:tcPr>
          <w:p w14:paraId="6A8D41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Объединение</w:t>
            </w:r>
          </w:p>
        </w:tc>
        <w:tc>
          <w:tcPr>
            <w:tcW w:w="1019" w:type="dxa"/>
            <w:tcBorders>
              <w:top w:val="single" w:sz="12" w:space="0" w:color="auto"/>
            </w:tcBorders>
          </w:tcPr>
          <w:p w14:paraId="4820B5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1019" w:type="dxa"/>
            <w:tcBorders>
              <w:top w:val="single" w:sz="12" w:space="0" w:color="auto"/>
            </w:tcBorders>
          </w:tcPr>
          <w:p w14:paraId="29E38DAB" w14:textId="77777777" w:rsidR="00C2313B" w:rsidRPr="00925F26" w:rsidRDefault="00C2313B" w:rsidP="00925F26">
            <w:pPr>
              <w:autoSpaceDE w:val="0"/>
              <w:autoSpaceDN w:val="0"/>
              <w:adjustRightInd w:val="0"/>
              <w:jc w:val="both"/>
              <w:rPr>
                <w:color w:val="000000" w:themeColor="text1"/>
                <w:sz w:val="16"/>
                <w:szCs w:val="16"/>
              </w:rPr>
            </w:pPr>
          </w:p>
        </w:tc>
        <w:tc>
          <w:tcPr>
            <w:tcW w:w="1019" w:type="dxa"/>
            <w:tcBorders>
              <w:top w:val="single" w:sz="12" w:space="0" w:color="auto"/>
            </w:tcBorders>
          </w:tcPr>
          <w:p w14:paraId="19BE9F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Разведчики</w:t>
            </w:r>
          </w:p>
        </w:tc>
        <w:tc>
          <w:tcPr>
            <w:tcW w:w="1019" w:type="dxa"/>
            <w:tcBorders>
              <w:top w:val="single" w:sz="12" w:space="0" w:color="auto"/>
            </w:tcBorders>
          </w:tcPr>
          <w:p w14:paraId="41075A04"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42F5FAB0" w14:textId="77777777">
        <w:tc>
          <w:tcPr>
            <w:tcW w:w="1019" w:type="dxa"/>
          </w:tcPr>
          <w:p w14:paraId="127506B4" w14:textId="77777777" w:rsidR="00C2313B" w:rsidRPr="00925F26" w:rsidRDefault="00C2313B" w:rsidP="00925F26">
            <w:pPr>
              <w:autoSpaceDE w:val="0"/>
              <w:autoSpaceDN w:val="0"/>
              <w:adjustRightInd w:val="0"/>
              <w:jc w:val="both"/>
              <w:rPr>
                <w:color w:val="000000" w:themeColor="text1"/>
                <w:sz w:val="16"/>
                <w:szCs w:val="16"/>
              </w:rPr>
            </w:pPr>
          </w:p>
        </w:tc>
        <w:tc>
          <w:tcPr>
            <w:tcW w:w="1019" w:type="dxa"/>
          </w:tcPr>
          <w:p w14:paraId="2E8EDC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019" w:type="dxa"/>
          </w:tcPr>
          <w:p w14:paraId="39ABA5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Неисправны</w:t>
            </w:r>
          </w:p>
        </w:tc>
        <w:tc>
          <w:tcPr>
            <w:tcW w:w="1019" w:type="dxa"/>
          </w:tcPr>
          <w:p w14:paraId="08FCFA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Всего </w:t>
            </w:r>
          </w:p>
        </w:tc>
        <w:tc>
          <w:tcPr>
            <w:tcW w:w="1019" w:type="dxa"/>
          </w:tcPr>
          <w:p w14:paraId="6C3186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 исправны</w:t>
            </w:r>
          </w:p>
        </w:tc>
      </w:tr>
      <w:tr w:rsidR="000F5689" w:rsidRPr="00925F26" w14:paraId="60E12151" w14:textId="77777777">
        <w:tc>
          <w:tcPr>
            <w:tcW w:w="1019" w:type="dxa"/>
          </w:tcPr>
          <w:p w14:paraId="719F19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1-я ВА</w:t>
            </w:r>
          </w:p>
        </w:tc>
        <w:tc>
          <w:tcPr>
            <w:tcW w:w="1019" w:type="dxa"/>
          </w:tcPr>
          <w:p w14:paraId="7FA48B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202</w:t>
            </w:r>
          </w:p>
        </w:tc>
        <w:tc>
          <w:tcPr>
            <w:tcW w:w="1019" w:type="dxa"/>
          </w:tcPr>
          <w:p w14:paraId="667BD3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019" w:type="dxa"/>
          </w:tcPr>
          <w:p w14:paraId="376053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1019" w:type="dxa"/>
          </w:tcPr>
          <w:p w14:paraId="05747C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624DCD3D" w14:textId="77777777">
        <w:tc>
          <w:tcPr>
            <w:tcW w:w="1019" w:type="dxa"/>
          </w:tcPr>
          <w:p w14:paraId="37C7FA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2-я ВА</w:t>
            </w:r>
          </w:p>
        </w:tc>
        <w:tc>
          <w:tcPr>
            <w:tcW w:w="1019" w:type="dxa"/>
          </w:tcPr>
          <w:p w14:paraId="0DD034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408</w:t>
            </w:r>
          </w:p>
        </w:tc>
        <w:tc>
          <w:tcPr>
            <w:tcW w:w="1019" w:type="dxa"/>
          </w:tcPr>
          <w:p w14:paraId="078502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019" w:type="dxa"/>
          </w:tcPr>
          <w:p w14:paraId="14C14E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1019" w:type="dxa"/>
          </w:tcPr>
          <w:p w14:paraId="56E676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6C00173A" w14:textId="77777777">
        <w:tc>
          <w:tcPr>
            <w:tcW w:w="1019" w:type="dxa"/>
          </w:tcPr>
          <w:p w14:paraId="5DC778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3-я ВА</w:t>
            </w:r>
          </w:p>
        </w:tc>
        <w:tc>
          <w:tcPr>
            <w:tcW w:w="1019" w:type="dxa"/>
          </w:tcPr>
          <w:p w14:paraId="4863AA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204</w:t>
            </w:r>
          </w:p>
        </w:tc>
        <w:tc>
          <w:tcPr>
            <w:tcW w:w="1019" w:type="dxa"/>
          </w:tcPr>
          <w:p w14:paraId="3285D7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019" w:type="dxa"/>
          </w:tcPr>
          <w:p w14:paraId="53B482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019" w:type="dxa"/>
          </w:tcPr>
          <w:p w14:paraId="4EFD71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0625CF62" w14:textId="77777777">
        <w:tc>
          <w:tcPr>
            <w:tcW w:w="1019" w:type="dxa"/>
          </w:tcPr>
          <w:p w14:paraId="5A87EA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4-я ВА</w:t>
            </w:r>
          </w:p>
        </w:tc>
        <w:tc>
          <w:tcPr>
            <w:tcW w:w="1019" w:type="dxa"/>
          </w:tcPr>
          <w:p w14:paraId="2B2FC5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2C9A9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D7B9C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019" w:type="dxa"/>
          </w:tcPr>
          <w:p w14:paraId="3A37B4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0F747451" w14:textId="77777777">
        <w:tc>
          <w:tcPr>
            <w:tcW w:w="1019" w:type="dxa"/>
          </w:tcPr>
          <w:p w14:paraId="739194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5-я ВА</w:t>
            </w:r>
          </w:p>
        </w:tc>
        <w:tc>
          <w:tcPr>
            <w:tcW w:w="1019" w:type="dxa"/>
          </w:tcPr>
          <w:p w14:paraId="330671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92F1E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FB256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019" w:type="dxa"/>
          </w:tcPr>
          <w:p w14:paraId="37A9FD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1B6A2FBF" w14:textId="77777777">
        <w:tc>
          <w:tcPr>
            <w:tcW w:w="1019" w:type="dxa"/>
          </w:tcPr>
          <w:p w14:paraId="019F04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6-я ВА'</w:t>
            </w:r>
          </w:p>
        </w:tc>
        <w:tc>
          <w:tcPr>
            <w:tcW w:w="1019" w:type="dxa"/>
          </w:tcPr>
          <w:p w14:paraId="4C8D70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1019" w:type="dxa"/>
          </w:tcPr>
          <w:p w14:paraId="691884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CA3A0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C5A9D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8ACB3A1" w14:textId="77777777">
        <w:tc>
          <w:tcPr>
            <w:tcW w:w="1019" w:type="dxa"/>
          </w:tcPr>
          <w:p w14:paraId="53B67C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7-я ВАг</w:t>
            </w:r>
          </w:p>
        </w:tc>
        <w:tc>
          <w:tcPr>
            <w:tcW w:w="1019" w:type="dxa"/>
          </w:tcPr>
          <w:p w14:paraId="1ACA1A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1019" w:type="dxa"/>
          </w:tcPr>
          <w:p w14:paraId="565F5D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019" w:type="dxa"/>
          </w:tcPr>
          <w:p w14:paraId="239A8D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1019" w:type="dxa"/>
          </w:tcPr>
          <w:p w14:paraId="7B34EE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5F09AB38" w14:textId="77777777">
        <w:tc>
          <w:tcPr>
            <w:tcW w:w="1019" w:type="dxa"/>
          </w:tcPr>
          <w:p w14:paraId="5473F9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8-я ВА</w:t>
            </w:r>
          </w:p>
        </w:tc>
        <w:tc>
          <w:tcPr>
            <w:tcW w:w="1019" w:type="dxa"/>
          </w:tcPr>
          <w:p w14:paraId="002793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094F1B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AEC6B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019" w:type="dxa"/>
          </w:tcPr>
          <w:p w14:paraId="1AF5B4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5FF4ED0B" w14:textId="77777777">
        <w:tc>
          <w:tcPr>
            <w:tcW w:w="1019" w:type="dxa"/>
          </w:tcPr>
          <w:p w14:paraId="10FA62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13-я ВА</w:t>
            </w:r>
          </w:p>
        </w:tc>
        <w:tc>
          <w:tcPr>
            <w:tcW w:w="1019" w:type="dxa"/>
          </w:tcPr>
          <w:p w14:paraId="70991C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019" w:type="dxa"/>
          </w:tcPr>
          <w:p w14:paraId="3CF88A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25E013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019" w:type="dxa"/>
          </w:tcPr>
          <w:p w14:paraId="205460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AA757AB" w14:textId="77777777">
        <w:tc>
          <w:tcPr>
            <w:tcW w:w="1019" w:type="dxa"/>
          </w:tcPr>
          <w:p w14:paraId="5236AC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14-я ВА</w:t>
            </w:r>
          </w:p>
        </w:tc>
        <w:tc>
          <w:tcPr>
            <w:tcW w:w="1019" w:type="dxa"/>
          </w:tcPr>
          <w:p w14:paraId="168619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1019" w:type="dxa"/>
          </w:tcPr>
          <w:p w14:paraId="318954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019" w:type="dxa"/>
          </w:tcPr>
          <w:p w14:paraId="7C6DCD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019" w:type="dxa"/>
          </w:tcPr>
          <w:p w14:paraId="1B6271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6F0B874E" w14:textId="77777777">
        <w:tc>
          <w:tcPr>
            <w:tcW w:w="1019" w:type="dxa"/>
          </w:tcPr>
          <w:p w14:paraId="70DAFD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15-я ВА</w:t>
            </w:r>
          </w:p>
        </w:tc>
        <w:tc>
          <w:tcPr>
            <w:tcW w:w="1019" w:type="dxa"/>
          </w:tcPr>
          <w:p w14:paraId="1C3C3B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66</w:t>
            </w:r>
          </w:p>
        </w:tc>
        <w:tc>
          <w:tcPr>
            <w:tcW w:w="1019" w:type="dxa"/>
          </w:tcPr>
          <w:p w14:paraId="4DC428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1019" w:type="dxa"/>
          </w:tcPr>
          <w:p w14:paraId="794BA4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019" w:type="dxa"/>
          </w:tcPr>
          <w:p w14:paraId="65FE7C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8BB4BF9" w14:textId="77777777">
        <w:tc>
          <w:tcPr>
            <w:tcW w:w="1019" w:type="dxa"/>
          </w:tcPr>
          <w:p w14:paraId="2852BB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16-я ВА</w:t>
            </w:r>
          </w:p>
        </w:tc>
        <w:tc>
          <w:tcPr>
            <w:tcW w:w="1019" w:type="dxa"/>
          </w:tcPr>
          <w:p w14:paraId="08E30F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289</w:t>
            </w:r>
          </w:p>
        </w:tc>
        <w:tc>
          <w:tcPr>
            <w:tcW w:w="1019" w:type="dxa"/>
          </w:tcPr>
          <w:p w14:paraId="09DA5C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019" w:type="dxa"/>
          </w:tcPr>
          <w:p w14:paraId="191BF8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019" w:type="dxa"/>
          </w:tcPr>
          <w:p w14:paraId="61085B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2BA967E0" w14:textId="77777777">
        <w:tc>
          <w:tcPr>
            <w:tcW w:w="1019" w:type="dxa"/>
          </w:tcPr>
          <w:p w14:paraId="645E3D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17-я ВА</w:t>
            </w:r>
          </w:p>
        </w:tc>
        <w:tc>
          <w:tcPr>
            <w:tcW w:w="1019" w:type="dxa"/>
          </w:tcPr>
          <w:p w14:paraId="0E7445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D9803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BBAA4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019" w:type="dxa"/>
          </w:tcPr>
          <w:p w14:paraId="723D105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w:t>
            </w:r>
          </w:p>
        </w:tc>
      </w:tr>
      <w:tr w:rsidR="000F5689" w:rsidRPr="00925F26" w14:paraId="16E8E538" w14:textId="77777777">
        <w:tc>
          <w:tcPr>
            <w:tcW w:w="1019" w:type="dxa"/>
            <w:tcBorders>
              <w:bottom w:val="single" w:sz="12" w:space="0" w:color="auto"/>
            </w:tcBorders>
          </w:tcPr>
          <w:p w14:paraId="1D02B6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019" w:type="dxa"/>
            <w:tcBorders>
              <w:bottom w:val="single" w:sz="12" w:space="0" w:color="auto"/>
            </w:tcBorders>
          </w:tcPr>
          <w:p w14:paraId="0C2983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1314</w:t>
            </w:r>
          </w:p>
        </w:tc>
        <w:tc>
          <w:tcPr>
            <w:tcW w:w="1019" w:type="dxa"/>
            <w:tcBorders>
              <w:bottom w:val="single" w:sz="12" w:space="0" w:color="auto"/>
            </w:tcBorders>
          </w:tcPr>
          <w:p w14:paraId="2FB89E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67</w:t>
            </w:r>
          </w:p>
        </w:tc>
        <w:tc>
          <w:tcPr>
            <w:tcW w:w="1019" w:type="dxa"/>
            <w:tcBorders>
              <w:bottom w:val="single" w:sz="12" w:space="0" w:color="auto"/>
            </w:tcBorders>
          </w:tcPr>
          <w:p w14:paraId="58B7CD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345</w:t>
            </w:r>
          </w:p>
        </w:tc>
        <w:tc>
          <w:tcPr>
            <w:tcW w:w="1019" w:type="dxa"/>
            <w:tcBorders>
              <w:bottom w:val="single" w:sz="12" w:space="0" w:color="auto"/>
            </w:tcBorders>
          </w:tcPr>
          <w:p w14:paraId="1E53FB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r>
    </w:tbl>
    <w:p w14:paraId="7FAE62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(12042).</w:t>
      </w:r>
    </w:p>
    <w:p w14:paraId="600F0536" w14:textId="77777777" w:rsidR="00C2313B" w:rsidRPr="00925F26" w:rsidRDefault="00C2313B" w:rsidP="00925F26">
      <w:pPr>
        <w:autoSpaceDE w:val="0"/>
        <w:autoSpaceDN w:val="0"/>
        <w:adjustRightInd w:val="0"/>
        <w:jc w:val="both"/>
        <w:rPr>
          <w:color w:val="000000" w:themeColor="text1"/>
          <w:sz w:val="16"/>
          <w:szCs w:val="16"/>
        </w:rPr>
      </w:pPr>
    </w:p>
    <w:p w14:paraId="3B47E1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 в боевом составе ВВС КБФ числились 78 Пе-2. Началось наращивание количества "пешек" и на Дальнем Востоке: с пяти единиц, имевшихся на 1 января 1944 г., оно выросло до 52 машин к началу 1945 г. Оставалась значительной и группировка "пешек" на Черном море (80 машин), а вот в составе ВВС СФ на эту дату сохранились всего пять Пе-2.</w:t>
      </w:r>
    </w:p>
    <w:p w14:paraId="4FB31D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Наличие самолетов Пе-2/Пе-З в авиации флотов на некоторые даты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F5689" w:rsidRPr="00925F26" w14:paraId="5000378D" w14:textId="77777777">
        <w:tc>
          <w:tcPr>
            <w:tcW w:w="1601" w:type="dxa"/>
            <w:tcBorders>
              <w:top w:val="single" w:sz="12" w:space="0" w:color="auto"/>
            </w:tcBorders>
          </w:tcPr>
          <w:p w14:paraId="258D55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ВВС флота</w:t>
            </w:r>
          </w:p>
        </w:tc>
        <w:tc>
          <w:tcPr>
            <w:tcW w:w="1601" w:type="dxa"/>
            <w:tcBorders>
              <w:top w:val="single" w:sz="12" w:space="0" w:color="auto"/>
            </w:tcBorders>
          </w:tcPr>
          <w:p w14:paraId="3A2205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01" w:type="dxa"/>
            <w:tcBorders>
              <w:top w:val="single" w:sz="12" w:space="0" w:color="auto"/>
            </w:tcBorders>
          </w:tcPr>
          <w:p w14:paraId="46287A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Неисправно</w:t>
            </w:r>
          </w:p>
        </w:tc>
        <w:tc>
          <w:tcPr>
            <w:tcW w:w="1601" w:type="dxa"/>
            <w:tcBorders>
              <w:top w:val="single" w:sz="12" w:space="0" w:color="auto"/>
            </w:tcBorders>
          </w:tcPr>
          <w:p w14:paraId="19E4AC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01" w:type="dxa"/>
            <w:tcBorders>
              <w:top w:val="single" w:sz="12" w:space="0" w:color="auto"/>
            </w:tcBorders>
          </w:tcPr>
          <w:p w14:paraId="74A856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Неисправно</w:t>
            </w:r>
          </w:p>
        </w:tc>
        <w:tc>
          <w:tcPr>
            <w:tcW w:w="1601" w:type="dxa"/>
            <w:tcBorders>
              <w:top w:val="single" w:sz="12" w:space="0" w:color="auto"/>
            </w:tcBorders>
          </w:tcPr>
          <w:p w14:paraId="790CEF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01" w:type="dxa"/>
            <w:tcBorders>
              <w:top w:val="single" w:sz="12" w:space="0" w:color="auto"/>
            </w:tcBorders>
          </w:tcPr>
          <w:p w14:paraId="0054CB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Неисправно</w:t>
            </w:r>
          </w:p>
        </w:tc>
      </w:tr>
      <w:tr w:rsidR="000F5689" w:rsidRPr="00925F26" w14:paraId="604984D7" w14:textId="77777777">
        <w:tc>
          <w:tcPr>
            <w:tcW w:w="1601" w:type="dxa"/>
          </w:tcPr>
          <w:p w14:paraId="33600247"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05442E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 июля 1941 г.</w:t>
            </w:r>
          </w:p>
        </w:tc>
        <w:tc>
          <w:tcPr>
            <w:tcW w:w="1601" w:type="dxa"/>
          </w:tcPr>
          <w:p w14:paraId="23C3E2C9"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2CE005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октября 1941 г.</w:t>
            </w:r>
          </w:p>
        </w:tc>
        <w:tc>
          <w:tcPr>
            <w:tcW w:w="1601" w:type="dxa"/>
          </w:tcPr>
          <w:p w14:paraId="2951E9D7"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4684A2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декабря 1941 г.</w:t>
            </w:r>
          </w:p>
        </w:tc>
        <w:tc>
          <w:tcPr>
            <w:tcW w:w="1601" w:type="dxa"/>
          </w:tcPr>
          <w:p w14:paraId="69579705"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33DB0952" w14:textId="77777777">
        <w:tc>
          <w:tcPr>
            <w:tcW w:w="1601" w:type="dxa"/>
          </w:tcPr>
          <w:p w14:paraId="7F7A06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Северного</w:t>
            </w:r>
          </w:p>
        </w:tc>
        <w:tc>
          <w:tcPr>
            <w:tcW w:w="1601" w:type="dxa"/>
          </w:tcPr>
          <w:p w14:paraId="076285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601" w:type="dxa"/>
          </w:tcPr>
          <w:p w14:paraId="699B6E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601" w:type="dxa"/>
          </w:tcPr>
          <w:p w14:paraId="0AF4BB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1601" w:type="dxa"/>
          </w:tcPr>
          <w:p w14:paraId="69C732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601" w:type="dxa"/>
          </w:tcPr>
          <w:p w14:paraId="19DE5E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601" w:type="dxa"/>
          </w:tcPr>
          <w:p w14:paraId="02D155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F4417A0" w14:textId="77777777">
        <w:tc>
          <w:tcPr>
            <w:tcW w:w="1601" w:type="dxa"/>
          </w:tcPr>
          <w:p w14:paraId="750151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Балтийского</w:t>
            </w:r>
          </w:p>
        </w:tc>
        <w:tc>
          <w:tcPr>
            <w:tcW w:w="1601" w:type="dxa"/>
          </w:tcPr>
          <w:p w14:paraId="4EA278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601" w:type="dxa"/>
          </w:tcPr>
          <w:p w14:paraId="4A08A2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601" w:type="dxa"/>
          </w:tcPr>
          <w:p w14:paraId="48486C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601" w:type="dxa"/>
          </w:tcPr>
          <w:p w14:paraId="1D7AFB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601" w:type="dxa"/>
          </w:tcPr>
          <w:p w14:paraId="121425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601" w:type="dxa"/>
          </w:tcPr>
          <w:p w14:paraId="29E9F4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62618CF6" w14:textId="77777777">
        <w:tc>
          <w:tcPr>
            <w:tcW w:w="1601" w:type="dxa"/>
          </w:tcPr>
          <w:p w14:paraId="424B0F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Черноморского</w:t>
            </w:r>
          </w:p>
        </w:tc>
        <w:tc>
          <w:tcPr>
            <w:tcW w:w="1601" w:type="dxa"/>
          </w:tcPr>
          <w:p w14:paraId="549E41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601" w:type="dxa"/>
          </w:tcPr>
          <w:p w14:paraId="564C0D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601" w:type="dxa"/>
          </w:tcPr>
          <w:p w14:paraId="3EB789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601" w:type="dxa"/>
          </w:tcPr>
          <w:p w14:paraId="2219B0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1601" w:type="dxa"/>
          </w:tcPr>
          <w:p w14:paraId="4E900E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601" w:type="dxa"/>
          </w:tcPr>
          <w:p w14:paraId="079B0D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033E4F76" w14:textId="77777777">
        <w:tc>
          <w:tcPr>
            <w:tcW w:w="1601" w:type="dxa"/>
          </w:tcPr>
          <w:p w14:paraId="5369B2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01" w:type="dxa"/>
          </w:tcPr>
          <w:p w14:paraId="18F873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1601" w:type="dxa"/>
          </w:tcPr>
          <w:p w14:paraId="0E77FC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601" w:type="dxa"/>
          </w:tcPr>
          <w:p w14:paraId="2C2118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601" w:type="dxa"/>
          </w:tcPr>
          <w:p w14:paraId="0CC126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601" w:type="dxa"/>
          </w:tcPr>
          <w:p w14:paraId="68FFED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601" w:type="dxa"/>
          </w:tcPr>
          <w:p w14:paraId="3D51B9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w:t>
            </w:r>
          </w:p>
        </w:tc>
      </w:tr>
      <w:tr w:rsidR="000F5689" w:rsidRPr="00925F26" w14:paraId="02C0650E" w14:textId="77777777">
        <w:tc>
          <w:tcPr>
            <w:tcW w:w="1601" w:type="dxa"/>
          </w:tcPr>
          <w:p w14:paraId="087B13D9"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74B525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мая 1942 г.</w:t>
            </w:r>
          </w:p>
        </w:tc>
        <w:tc>
          <w:tcPr>
            <w:tcW w:w="1601" w:type="dxa"/>
          </w:tcPr>
          <w:p w14:paraId="64621825"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22453E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ноября 1942 г.</w:t>
            </w:r>
          </w:p>
        </w:tc>
        <w:tc>
          <w:tcPr>
            <w:tcW w:w="1601" w:type="dxa"/>
          </w:tcPr>
          <w:p w14:paraId="55832B26"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241B2D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июля 1943 г.</w:t>
            </w:r>
          </w:p>
        </w:tc>
        <w:tc>
          <w:tcPr>
            <w:tcW w:w="1601" w:type="dxa"/>
          </w:tcPr>
          <w:p w14:paraId="41B2C871"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2CE28C09" w14:textId="77777777">
        <w:tc>
          <w:tcPr>
            <w:tcW w:w="1601" w:type="dxa"/>
          </w:tcPr>
          <w:p w14:paraId="29F180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Северного</w:t>
            </w:r>
          </w:p>
        </w:tc>
        <w:tc>
          <w:tcPr>
            <w:tcW w:w="1601" w:type="dxa"/>
          </w:tcPr>
          <w:p w14:paraId="30EC29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1601" w:type="dxa"/>
          </w:tcPr>
          <w:p w14:paraId="6EF427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601" w:type="dxa"/>
          </w:tcPr>
          <w:p w14:paraId="2789C0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601" w:type="dxa"/>
          </w:tcPr>
          <w:p w14:paraId="6AB799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601" w:type="dxa"/>
          </w:tcPr>
          <w:p w14:paraId="2080E4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1601" w:type="dxa"/>
          </w:tcPr>
          <w:p w14:paraId="0BC558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w:t>
            </w:r>
          </w:p>
        </w:tc>
      </w:tr>
      <w:tr w:rsidR="000F5689" w:rsidRPr="00925F26" w14:paraId="421894B6" w14:textId="77777777">
        <w:tc>
          <w:tcPr>
            <w:tcW w:w="1601" w:type="dxa"/>
          </w:tcPr>
          <w:p w14:paraId="0A2310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Балтийского</w:t>
            </w:r>
          </w:p>
        </w:tc>
        <w:tc>
          <w:tcPr>
            <w:tcW w:w="1601" w:type="dxa"/>
          </w:tcPr>
          <w:p w14:paraId="7E3574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601" w:type="dxa"/>
          </w:tcPr>
          <w:p w14:paraId="63CDB4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601" w:type="dxa"/>
          </w:tcPr>
          <w:p w14:paraId="65836A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601" w:type="dxa"/>
          </w:tcPr>
          <w:p w14:paraId="7D983E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601" w:type="dxa"/>
          </w:tcPr>
          <w:p w14:paraId="549C1A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1601" w:type="dxa"/>
          </w:tcPr>
          <w:p w14:paraId="03AA94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129E6696" w14:textId="77777777">
        <w:tc>
          <w:tcPr>
            <w:tcW w:w="1601" w:type="dxa"/>
          </w:tcPr>
          <w:p w14:paraId="440DEE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Черноморского</w:t>
            </w:r>
          </w:p>
        </w:tc>
        <w:tc>
          <w:tcPr>
            <w:tcW w:w="1601" w:type="dxa"/>
          </w:tcPr>
          <w:p w14:paraId="65872D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601" w:type="dxa"/>
          </w:tcPr>
          <w:p w14:paraId="0DE225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601" w:type="dxa"/>
          </w:tcPr>
          <w:p w14:paraId="37CD94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1601" w:type="dxa"/>
          </w:tcPr>
          <w:p w14:paraId="64BA73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601" w:type="dxa"/>
          </w:tcPr>
          <w:p w14:paraId="5FDF07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601" w:type="dxa"/>
          </w:tcPr>
          <w:p w14:paraId="0A30F1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r>
      <w:tr w:rsidR="000F5689" w:rsidRPr="00925F26" w14:paraId="77B674DF" w14:textId="77777777">
        <w:tc>
          <w:tcPr>
            <w:tcW w:w="1601" w:type="dxa"/>
          </w:tcPr>
          <w:p w14:paraId="61D250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01" w:type="dxa"/>
          </w:tcPr>
          <w:p w14:paraId="5C7286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601" w:type="dxa"/>
          </w:tcPr>
          <w:p w14:paraId="30AAB8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1601" w:type="dxa"/>
          </w:tcPr>
          <w:p w14:paraId="20693F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1601" w:type="dxa"/>
          </w:tcPr>
          <w:p w14:paraId="00C1EC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1601" w:type="dxa"/>
          </w:tcPr>
          <w:p w14:paraId="2AA441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601" w:type="dxa"/>
          </w:tcPr>
          <w:p w14:paraId="7A750E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w:t>
            </w:r>
          </w:p>
        </w:tc>
      </w:tr>
      <w:tr w:rsidR="000F5689" w:rsidRPr="00925F26" w14:paraId="0CA83C81" w14:textId="77777777">
        <w:tc>
          <w:tcPr>
            <w:tcW w:w="1601" w:type="dxa"/>
          </w:tcPr>
          <w:p w14:paraId="2DAE8360"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1AF2D7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1944 г.</w:t>
            </w:r>
          </w:p>
        </w:tc>
        <w:tc>
          <w:tcPr>
            <w:tcW w:w="1601" w:type="dxa"/>
          </w:tcPr>
          <w:p w14:paraId="71351F33"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1DFAE9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I945 г.</w:t>
            </w:r>
          </w:p>
        </w:tc>
        <w:tc>
          <w:tcPr>
            <w:tcW w:w="1601" w:type="dxa"/>
          </w:tcPr>
          <w:p w14:paraId="3DDDBF94" w14:textId="77777777" w:rsidR="00C2313B" w:rsidRPr="00925F26" w:rsidRDefault="00C2313B" w:rsidP="00925F26">
            <w:pPr>
              <w:autoSpaceDE w:val="0"/>
              <w:autoSpaceDN w:val="0"/>
              <w:adjustRightInd w:val="0"/>
              <w:jc w:val="both"/>
              <w:rPr>
                <w:color w:val="000000" w:themeColor="text1"/>
                <w:sz w:val="16"/>
                <w:szCs w:val="16"/>
              </w:rPr>
            </w:pPr>
          </w:p>
        </w:tc>
        <w:tc>
          <w:tcPr>
            <w:tcW w:w="1601" w:type="dxa"/>
          </w:tcPr>
          <w:p w14:paraId="7F0B5A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октября 1945 г.</w:t>
            </w:r>
          </w:p>
        </w:tc>
        <w:tc>
          <w:tcPr>
            <w:tcW w:w="1601" w:type="dxa"/>
          </w:tcPr>
          <w:p w14:paraId="71ACC902"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4A0C0DD9" w14:textId="77777777">
        <w:tc>
          <w:tcPr>
            <w:tcW w:w="1601" w:type="dxa"/>
          </w:tcPr>
          <w:p w14:paraId="2D25CE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Северного</w:t>
            </w:r>
          </w:p>
        </w:tc>
        <w:tc>
          <w:tcPr>
            <w:tcW w:w="1601" w:type="dxa"/>
          </w:tcPr>
          <w:p w14:paraId="1E6429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601" w:type="dxa"/>
          </w:tcPr>
          <w:p w14:paraId="03A795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601" w:type="dxa"/>
          </w:tcPr>
          <w:p w14:paraId="4F11A8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1601" w:type="dxa"/>
          </w:tcPr>
          <w:p w14:paraId="7380AE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601" w:type="dxa"/>
          </w:tcPr>
          <w:p w14:paraId="2AB1FF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601" w:type="dxa"/>
          </w:tcPr>
          <w:p w14:paraId="0998E8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17AD93AE" w14:textId="77777777">
        <w:tc>
          <w:tcPr>
            <w:tcW w:w="1601" w:type="dxa"/>
          </w:tcPr>
          <w:p w14:paraId="4B7C1B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Балтийского</w:t>
            </w:r>
          </w:p>
        </w:tc>
        <w:tc>
          <w:tcPr>
            <w:tcW w:w="1601" w:type="dxa"/>
          </w:tcPr>
          <w:p w14:paraId="73402C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1601" w:type="dxa"/>
          </w:tcPr>
          <w:p w14:paraId="7FEB75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601" w:type="dxa"/>
          </w:tcPr>
          <w:p w14:paraId="06F4FC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601" w:type="dxa"/>
          </w:tcPr>
          <w:p w14:paraId="7F9A23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1601" w:type="dxa"/>
          </w:tcPr>
          <w:p w14:paraId="576395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1601" w:type="dxa"/>
          </w:tcPr>
          <w:p w14:paraId="227C5A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w:t>
            </w:r>
          </w:p>
        </w:tc>
      </w:tr>
      <w:tr w:rsidR="000F5689" w:rsidRPr="00925F26" w14:paraId="217BB1C5" w14:textId="77777777">
        <w:tc>
          <w:tcPr>
            <w:tcW w:w="1601" w:type="dxa"/>
          </w:tcPr>
          <w:p w14:paraId="79072E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Черноморского</w:t>
            </w:r>
          </w:p>
        </w:tc>
        <w:tc>
          <w:tcPr>
            <w:tcW w:w="1601" w:type="dxa"/>
          </w:tcPr>
          <w:p w14:paraId="2398C8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601" w:type="dxa"/>
          </w:tcPr>
          <w:p w14:paraId="375C26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601" w:type="dxa"/>
          </w:tcPr>
          <w:p w14:paraId="653F02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1601" w:type="dxa"/>
          </w:tcPr>
          <w:p w14:paraId="3D5E32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1601" w:type="dxa"/>
          </w:tcPr>
          <w:p w14:paraId="61C629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79</w:t>
            </w:r>
          </w:p>
        </w:tc>
        <w:tc>
          <w:tcPr>
            <w:tcW w:w="1601" w:type="dxa"/>
          </w:tcPr>
          <w:p w14:paraId="0A3800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4D2E3C6" w14:textId="77777777">
        <w:tc>
          <w:tcPr>
            <w:tcW w:w="1601" w:type="dxa"/>
            <w:tcBorders>
              <w:bottom w:val="single" w:sz="12" w:space="0" w:color="auto"/>
            </w:tcBorders>
          </w:tcPr>
          <w:p w14:paraId="215F91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01" w:type="dxa"/>
            <w:tcBorders>
              <w:bottom w:val="single" w:sz="12" w:space="0" w:color="auto"/>
            </w:tcBorders>
          </w:tcPr>
          <w:p w14:paraId="6A5552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102</w:t>
            </w:r>
          </w:p>
        </w:tc>
        <w:tc>
          <w:tcPr>
            <w:tcW w:w="1601" w:type="dxa"/>
            <w:tcBorders>
              <w:bottom w:val="single" w:sz="12" w:space="0" w:color="auto"/>
            </w:tcBorders>
          </w:tcPr>
          <w:p w14:paraId="6641F6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601" w:type="dxa"/>
            <w:tcBorders>
              <w:bottom w:val="single" w:sz="12" w:space="0" w:color="auto"/>
            </w:tcBorders>
          </w:tcPr>
          <w:p w14:paraId="0B8B70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1601" w:type="dxa"/>
            <w:tcBorders>
              <w:bottom w:val="single" w:sz="12" w:space="0" w:color="auto"/>
            </w:tcBorders>
          </w:tcPr>
          <w:p w14:paraId="7F5D5C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601" w:type="dxa"/>
            <w:tcBorders>
              <w:bottom w:val="single" w:sz="12" w:space="0" w:color="auto"/>
            </w:tcBorders>
          </w:tcPr>
          <w:p w14:paraId="3BA055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139</w:t>
            </w:r>
          </w:p>
        </w:tc>
        <w:tc>
          <w:tcPr>
            <w:tcW w:w="1601" w:type="dxa"/>
            <w:tcBorders>
              <w:bottom w:val="single" w:sz="12" w:space="0" w:color="auto"/>
            </w:tcBorders>
          </w:tcPr>
          <w:p w14:paraId="10EFA6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w:t>
            </w:r>
          </w:p>
        </w:tc>
      </w:tr>
    </w:tbl>
    <w:p w14:paraId="3978FF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(12042).</w:t>
      </w:r>
    </w:p>
    <w:p w14:paraId="71DC1F5B" w14:textId="77777777" w:rsidR="00C2313B" w:rsidRPr="00925F26" w:rsidRDefault="00C2313B" w:rsidP="00925F26">
      <w:pPr>
        <w:autoSpaceDE w:val="0"/>
        <w:autoSpaceDN w:val="0"/>
        <w:adjustRightInd w:val="0"/>
        <w:jc w:val="both"/>
        <w:rPr>
          <w:color w:val="000000" w:themeColor="text1"/>
          <w:sz w:val="16"/>
          <w:szCs w:val="16"/>
        </w:rPr>
      </w:pPr>
    </w:p>
    <w:p w14:paraId="24ABDD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 на фронте уже имелось 220 Ту-2, из них 206 числились исправными. Еще 72 самолета имелись в 7-й воздушной армии, являвшейся резервом Верховного Главнокомандования (11988).</w:t>
      </w:r>
    </w:p>
    <w:p w14:paraId="7054799A" w14:textId="77777777" w:rsidR="00C2313B" w:rsidRPr="00925F26" w:rsidRDefault="00C2313B" w:rsidP="00925F26">
      <w:pPr>
        <w:autoSpaceDE w:val="0"/>
        <w:autoSpaceDN w:val="0"/>
        <w:adjustRightInd w:val="0"/>
        <w:jc w:val="both"/>
        <w:rPr>
          <w:color w:val="000000" w:themeColor="text1"/>
          <w:sz w:val="16"/>
          <w:szCs w:val="16"/>
        </w:rPr>
      </w:pPr>
    </w:p>
    <w:p w14:paraId="64B921D0"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На 1 января 1945 г. на фронте уже имелось 220 Ту-2, из них 206 числились исправными. Еще 72 самолета имелись в 7-й воздушной армии, являвшейся Ре</w:t>
      </w:r>
      <w:r w:rsidRPr="00925F26">
        <w:rPr>
          <w:color w:val="000000" w:themeColor="text1"/>
          <w:sz w:val="16"/>
          <w:szCs w:val="16"/>
          <w:lang w:bidi="ru-RU"/>
        </w:rPr>
        <w:softHyphen/>
        <w:t>зервом Верховного Главнокомандования.</w:t>
      </w:r>
    </w:p>
    <w:p w14:paraId="2D531210"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554-я дивизия продолжала боевые действия в Восточной Пруссии. 6-й бап с 14 декабря 1944 г. базировался в Шауляе. Оттуда самолеты летали бомбить Либаву (Лиепаю), Кенигсберг, Пиллау, Розенберг. С 20 марта 1945 г. полк на</w:t>
      </w:r>
      <w:r w:rsidRPr="00925F26">
        <w:rPr>
          <w:color w:val="000000" w:themeColor="text1"/>
          <w:sz w:val="16"/>
          <w:szCs w:val="16"/>
          <w:lang w:bidi="ru-RU"/>
        </w:rPr>
        <w:softHyphen/>
        <w:t>ходился уже на аэродроме Грислинген и наносил удары по Кенигсбергу и Дан</w:t>
      </w:r>
      <w:r w:rsidRPr="00925F26">
        <w:rPr>
          <w:color w:val="000000" w:themeColor="text1"/>
          <w:sz w:val="16"/>
          <w:szCs w:val="16"/>
          <w:lang w:bidi="ru-RU"/>
        </w:rPr>
        <w:softHyphen/>
        <w:t>цигу (Гданьску).</w:t>
      </w:r>
    </w:p>
    <w:p w14:paraId="66E8C00F"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526-я бад начала осваивать Ту-2 ле</w:t>
      </w:r>
      <w:r w:rsidRPr="00925F26">
        <w:rPr>
          <w:color w:val="000000" w:themeColor="text1"/>
          <w:sz w:val="16"/>
          <w:szCs w:val="16"/>
          <w:lang w:bidi="ru-RU"/>
        </w:rPr>
        <w:softHyphen/>
        <w:t>том 1944 г. До этого она являлась диви</w:t>
      </w:r>
      <w:r w:rsidRPr="00925F26">
        <w:rPr>
          <w:color w:val="000000" w:themeColor="text1"/>
          <w:sz w:val="16"/>
          <w:szCs w:val="16"/>
          <w:lang w:bidi="ru-RU"/>
        </w:rPr>
        <w:softHyphen/>
        <w:t>зией легких ночных бомбардировщиков и летала на У-2 (По-2). 1 июня ее коман</w:t>
      </w:r>
      <w:r w:rsidRPr="00925F26">
        <w:rPr>
          <w:color w:val="000000" w:themeColor="text1"/>
          <w:sz w:val="16"/>
          <w:szCs w:val="16"/>
          <w:lang w:bidi="ru-RU"/>
        </w:rPr>
        <w:softHyphen/>
        <w:t>дир получил приказ об отзыве дивизии в тыл для переучивания. Новую технику осваивали в Подмосковье. Дивизия пе</w:t>
      </w:r>
      <w:r w:rsidRPr="00925F26">
        <w:rPr>
          <w:color w:val="000000" w:themeColor="text1"/>
          <w:sz w:val="16"/>
          <w:szCs w:val="16"/>
          <w:lang w:bidi="ru-RU"/>
        </w:rPr>
        <w:softHyphen/>
        <w:t>реходила в основном на Пе-2, Ту-2 полу</w:t>
      </w:r>
      <w:r w:rsidRPr="00925F26">
        <w:rPr>
          <w:color w:val="000000" w:themeColor="text1"/>
          <w:sz w:val="16"/>
          <w:szCs w:val="16"/>
          <w:lang w:bidi="ru-RU"/>
        </w:rPr>
        <w:softHyphen/>
        <w:t>чил включенный в состав дивизии быв</w:t>
      </w:r>
      <w:r w:rsidRPr="00925F26">
        <w:rPr>
          <w:color w:val="000000" w:themeColor="text1"/>
          <w:sz w:val="16"/>
          <w:szCs w:val="16"/>
          <w:lang w:bidi="ru-RU"/>
        </w:rPr>
        <w:softHyphen/>
        <w:t>ший 6-й дальнебомбардировочный полк, сдавший немногие уцелевшие в боях Ил-4. Ему на аэродроме Малино пере</w:t>
      </w:r>
      <w:r w:rsidRPr="00925F26">
        <w:rPr>
          <w:color w:val="000000" w:themeColor="text1"/>
          <w:sz w:val="16"/>
          <w:szCs w:val="16"/>
          <w:lang w:bidi="ru-RU"/>
        </w:rPr>
        <w:softHyphen/>
        <w:t>дали 52 машины. В одной из эскадрилий они были именные - на борту каждого са</w:t>
      </w:r>
      <w:r w:rsidRPr="00925F26">
        <w:rPr>
          <w:color w:val="000000" w:themeColor="text1"/>
          <w:sz w:val="16"/>
          <w:szCs w:val="16"/>
          <w:lang w:bidi="ru-RU"/>
        </w:rPr>
        <w:softHyphen/>
        <w:t>молета наносилась красная надпись «Мо</w:t>
      </w:r>
      <w:r w:rsidRPr="00925F26">
        <w:rPr>
          <w:color w:val="000000" w:themeColor="text1"/>
          <w:sz w:val="16"/>
          <w:szCs w:val="16"/>
          <w:lang w:bidi="ru-RU"/>
        </w:rPr>
        <w:softHyphen/>
        <w:t>сква», окантованная белой полосой. Ниже мелкими буквами было написано «от тру</w:t>
      </w:r>
      <w:r w:rsidRPr="00925F26">
        <w:rPr>
          <w:color w:val="000000" w:themeColor="text1"/>
          <w:sz w:val="16"/>
          <w:szCs w:val="16"/>
          <w:lang w:bidi="ru-RU"/>
        </w:rPr>
        <w:softHyphen/>
        <w:t>дящихся Киевского района» - на их сред</w:t>
      </w:r>
      <w:r w:rsidRPr="00925F26">
        <w:rPr>
          <w:color w:val="000000" w:themeColor="text1"/>
          <w:sz w:val="16"/>
          <w:szCs w:val="16"/>
          <w:lang w:bidi="ru-RU"/>
        </w:rPr>
        <w:softHyphen/>
        <w:t>ства в подарок Красной армии были при</w:t>
      </w:r>
      <w:r w:rsidRPr="00925F26">
        <w:rPr>
          <w:color w:val="000000" w:themeColor="text1"/>
          <w:sz w:val="16"/>
          <w:szCs w:val="16"/>
          <w:lang w:bidi="ru-RU"/>
        </w:rPr>
        <w:softHyphen/>
        <w:t>обретены бомбардировщики.</w:t>
      </w:r>
    </w:p>
    <w:p w14:paraId="0A1CEDE6"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Дивизия завершила свою подготовку 21 октября. Ее отправили в распоряже</w:t>
      </w:r>
      <w:r w:rsidRPr="00925F26">
        <w:rPr>
          <w:color w:val="000000" w:themeColor="text1"/>
          <w:sz w:val="16"/>
          <w:szCs w:val="16"/>
          <w:lang w:bidi="ru-RU"/>
        </w:rPr>
        <w:softHyphen/>
        <w:t>ние 5-й воздушной армии на 1-м Прибал</w:t>
      </w:r>
      <w:r w:rsidRPr="00925F26">
        <w:rPr>
          <w:color w:val="000000" w:themeColor="text1"/>
          <w:sz w:val="16"/>
          <w:szCs w:val="16"/>
          <w:lang w:bidi="ru-RU"/>
        </w:rPr>
        <w:softHyphen/>
        <w:t>тийском фронте. Штаб соединения раз</w:t>
      </w:r>
      <w:r w:rsidRPr="00925F26">
        <w:rPr>
          <w:color w:val="000000" w:themeColor="text1"/>
          <w:sz w:val="16"/>
          <w:szCs w:val="16"/>
          <w:lang w:bidi="ru-RU"/>
        </w:rPr>
        <w:softHyphen/>
        <w:t>местился в Шауляе. Оттуда же 6-й бап со</w:t>
      </w:r>
      <w:r w:rsidRPr="00925F26">
        <w:rPr>
          <w:color w:val="000000" w:themeColor="text1"/>
          <w:sz w:val="16"/>
          <w:szCs w:val="16"/>
          <w:lang w:bidi="ru-RU"/>
        </w:rPr>
        <w:softHyphen/>
        <w:t>вершил первый боевой вылет на новых машинах 21 декабря 1944 г. Группу повел командир полка подполковник Г.П. Доро</w:t>
      </w:r>
      <w:r w:rsidRPr="00925F26">
        <w:rPr>
          <w:color w:val="000000" w:themeColor="text1"/>
          <w:sz w:val="16"/>
          <w:szCs w:val="16"/>
          <w:lang w:bidi="ru-RU"/>
        </w:rPr>
        <w:softHyphen/>
        <w:t>хов. Еще на взлете ее постигли неудачи. Один летчик ошибся и его самолет со</w:t>
      </w:r>
      <w:r w:rsidRPr="00925F26">
        <w:rPr>
          <w:color w:val="000000" w:themeColor="text1"/>
          <w:sz w:val="16"/>
          <w:szCs w:val="16"/>
          <w:lang w:bidi="ru-RU"/>
        </w:rPr>
        <w:softHyphen/>
        <w:t>рвался на крыло и упал. У другого бом</w:t>
      </w:r>
      <w:r w:rsidRPr="00925F26">
        <w:rPr>
          <w:color w:val="000000" w:themeColor="text1"/>
          <w:sz w:val="16"/>
          <w:szCs w:val="16"/>
          <w:lang w:bidi="ru-RU"/>
        </w:rPr>
        <w:softHyphen/>
        <w:t>бардировщика на небольшой высоте от</w:t>
      </w:r>
      <w:r w:rsidRPr="00925F26">
        <w:rPr>
          <w:color w:val="000000" w:themeColor="text1"/>
          <w:sz w:val="16"/>
          <w:szCs w:val="16"/>
          <w:lang w:bidi="ru-RU"/>
        </w:rPr>
        <w:softHyphen/>
        <w:t>казал двигатель. Еще два столкнулись в воздухе во время построения. Резуль</w:t>
      </w:r>
      <w:r w:rsidRPr="00925F26">
        <w:rPr>
          <w:color w:val="000000" w:themeColor="text1"/>
          <w:sz w:val="16"/>
          <w:szCs w:val="16"/>
          <w:lang w:bidi="ru-RU"/>
        </w:rPr>
        <w:softHyphen/>
        <w:t>тат - потеряно четыре самолета, погибли четыре человека. Остальные выполнили задание и без потерь вернулись домой.</w:t>
      </w:r>
    </w:p>
    <w:p w14:paraId="12DF39FE"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Параллельно продолжала действовать 554-я бад. Так, 16 января 1945 г. две де</w:t>
      </w:r>
      <w:r w:rsidRPr="00925F26">
        <w:rPr>
          <w:color w:val="000000" w:themeColor="text1"/>
          <w:sz w:val="16"/>
          <w:szCs w:val="16"/>
          <w:lang w:bidi="ru-RU"/>
        </w:rPr>
        <w:softHyphen/>
        <w:t>вятки Ту-2, ведомые командиром 454-го бап майором В.Г. Саловым, атаковали Кус- сен - один из основных опорных пунктов второй линии обороны немцев в Восточ</w:t>
      </w:r>
      <w:r w:rsidRPr="00925F26">
        <w:rPr>
          <w:color w:val="000000" w:themeColor="text1"/>
          <w:sz w:val="16"/>
          <w:szCs w:val="16"/>
          <w:lang w:bidi="ru-RU"/>
        </w:rPr>
        <w:softHyphen/>
        <w:t>ной Пруссии. Несмотря на отсутствие ис</w:t>
      </w:r>
      <w:r w:rsidRPr="00925F26">
        <w:rPr>
          <w:color w:val="000000" w:themeColor="text1"/>
          <w:sz w:val="16"/>
          <w:szCs w:val="16"/>
          <w:lang w:bidi="ru-RU"/>
        </w:rPr>
        <w:softHyphen/>
        <w:t>требительного прикрытия, цель была успешно поражена.</w:t>
      </w:r>
    </w:p>
    <w:p w14:paraId="18C089E9"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А вот 25 января ошибка командира группы прикрытия стала причиной по</w:t>
      </w:r>
      <w:r w:rsidRPr="00925F26">
        <w:rPr>
          <w:color w:val="000000" w:themeColor="text1"/>
          <w:sz w:val="16"/>
          <w:szCs w:val="16"/>
          <w:lang w:bidi="ru-RU"/>
        </w:rPr>
        <w:softHyphen/>
        <w:t>тери двух самолетов. 18 Ту-2, которые опять вел Салов, шли бомбить порт в Ли- баве (Лиепае). При входе в зону огня зе</w:t>
      </w:r>
      <w:r w:rsidRPr="00925F26">
        <w:rPr>
          <w:color w:val="000000" w:themeColor="text1"/>
          <w:sz w:val="16"/>
          <w:szCs w:val="16"/>
          <w:lang w:bidi="ru-RU"/>
        </w:rPr>
        <w:softHyphen/>
        <w:t>нитной артиллерии сопровождение ото</w:t>
      </w:r>
      <w:r w:rsidRPr="00925F26">
        <w:rPr>
          <w:color w:val="000000" w:themeColor="text1"/>
          <w:sz w:val="16"/>
          <w:szCs w:val="16"/>
          <w:lang w:bidi="ru-RU"/>
        </w:rPr>
        <w:softHyphen/>
        <w:t xml:space="preserve">шло от бомбардировщиков. И тут на них накинулись немецкие истребители </w:t>
      </w:r>
      <w:r w:rsidRPr="00925F26">
        <w:rPr>
          <w:color w:val="000000" w:themeColor="text1"/>
          <w:sz w:val="16"/>
          <w:szCs w:val="16"/>
          <w:lang w:val="en-US" w:bidi="en-US"/>
        </w:rPr>
        <w:t>FW</w:t>
      </w:r>
      <w:r w:rsidRPr="00925F26">
        <w:rPr>
          <w:color w:val="000000" w:themeColor="text1"/>
          <w:sz w:val="16"/>
          <w:szCs w:val="16"/>
          <w:lang w:bidi="en-US"/>
        </w:rPr>
        <w:t xml:space="preserve"> </w:t>
      </w:r>
      <w:r w:rsidRPr="00925F26">
        <w:rPr>
          <w:color w:val="000000" w:themeColor="text1"/>
          <w:sz w:val="16"/>
          <w:szCs w:val="16"/>
          <w:lang w:bidi="ru-RU"/>
        </w:rPr>
        <w:t>190. Они атаковали группу спереди- снизу. С первого же захода немцы подо</w:t>
      </w:r>
      <w:r w:rsidRPr="00925F26">
        <w:rPr>
          <w:color w:val="000000" w:themeColor="text1"/>
          <w:sz w:val="16"/>
          <w:szCs w:val="16"/>
          <w:lang w:bidi="ru-RU"/>
        </w:rPr>
        <w:softHyphen/>
        <w:t>жгли две машины - капитана Первушина и старшего лейтенанта Трифонова. Пер</w:t>
      </w:r>
      <w:r w:rsidRPr="00925F26">
        <w:rPr>
          <w:color w:val="000000" w:themeColor="text1"/>
          <w:sz w:val="16"/>
          <w:szCs w:val="16"/>
          <w:lang w:bidi="ru-RU"/>
        </w:rPr>
        <w:softHyphen/>
        <w:t>вушин дотянул до линии фронта и над своей территорией дал приказ экипажу прыгать. Но спастись удалось ему од</w:t>
      </w:r>
      <w:r w:rsidRPr="00925F26">
        <w:rPr>
          <w:color w:val="000000" w:themeColor="text1"/>
          <w:sz w:val="16"/>
          <w:szCs w:val="16"/>
          <w:lang w:bidi="ru-RU"/>
        </w:rPr>
        <w:softHyphen/>
        <w:t>ному; у стрелка и радиста захлестнулись стропы парашютов, а штурмана при поки</w:t>
      </w:r>
      <w:r w:rsidRPr="00925F26">
        <w:rPr>
          <w:color w:val="000000" w:themeColor="text1"/>
          <w:sz w:val="16"/>
          <w:szCs w:val="16"/>
          <w:lang w:bidi="ru-RU"/>
        </w:rPr>
        <w:softHyphen/>
        <w:t>дании самолета ударило о килевую шайбу. Трифонов на горящей машине сбросил бомбы, а затем направил Ту-2 на скопле</w:t>
      </w:r>
      <w:r w:rsidRPr="00925F26">
        <w:rPr>
          <w:color w:val="000000" w:themeColor="text1"/>
          <w:sz w:val="16"/>
          <w:szCs w:val="16"/>
          <w:lang w:bidi="ru-RU"/>
        </w:rPr>
        <w:softHyphen/>
        <w:t>ние немцев. При этом ему в последний момент удалось выбраться из самолета, и он остался жив. Группа Салова частично расквиталась с немцами: по советским данным, стрелки сбили два вражеских ис</w:t>
      </w:r>
      <w:r w:rsidRPr="00925F26">
        <w:rPr>
          <w:color w:val="000000" w:themeColor="text1"/>
          <w:sz w:val="16"/>
          <w:szCs w:val="16"/>
          <w:lang w:bidi="ru-RU"/>
        </w:rPr>
        <w:softHyphen/>
        <w:t>требителя.</w:t>
      </w:r>
    </w:p>
    <w:p w14:paraId="2D7771CF"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6-й бап поддерживал войска, штурму</w:t>
      </w:r>
      <w:r w:rsidRPr="00925F26">
        <w:rPr>
          <w:color w:val="000000" w:themeColor="text1"/>
          <w:sz w:val="16"/>
          <w:szCs w:val="16"/>
          <w:lang w:bidi="ru-RU"/>
        </w:rPr>
        <w:softHyphen/>
        <w:t>ющие Данциг (ныне Гданьск). Так, 27 марта две девятки бомбардировщиков нане</w:t>
      </w:r>
      <w:r w:rsidRPr="00925F26">
        <w:rPr>
          <w:color w:val="000000" w:themeColor="text1"/>
          <w:sz w:val="16"/>
          <w:szCs w:val="16"/>
          <w:lang w:bidi="ru-RU"/>
        </w:rPr>
        <w:softHyphen/>
        <w:t>сли удар по военно-морской базе. Потерь группа не имела (21060).</w:t>
      </w:r>
    </w:p>
    <w:p w14:paraId="5A55D496" w14:textId="77777777" w:rsidR="005A1318" w:rsidRPr="00925F26" w:rsidRDefault="005A1318" w:rsidP="00925F26">
      <w:pPr>
        <w:jc w:val="both"/>
        <w:rPr>
          <w:color w:val="000000" w:themeColor="text1"/>
          <w:sz w:val="16"/>
          <w:szCs w:val="16"/>
          <w:lang w:bidi="ru-RU"/>
        </w:rPr>
      </w:pPr>
    </w:p>
    <w:p w14:paraId="73CA0B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 января 1945 г. в 1-м гв. бак имелось 12 Ер-2 (а также 285 Ил-4 и 17 В-25). Вплоть до конца войны оба полка не успели полностью укомплектоваться и завершить подготовку, поэтому в боевых действиях они участия не принимали. В составе 2-го гвардейского Брянского бомбардировочного авиакорпуса в начале 1945 г. была сформирована единственная полнокровная дивизия, вооруженная бомбардировщиками Ер-2. В соответствии с решением командования ВВС КА она стала первоочередным "потребителем" продукции завода N 39 и ускоренно комплектовалась личным составом (3322,47).</w:t>
      </w:r>
    </w:p>
    <w:p w14:paraId="2926E49E" w14:textId="77777777" w:rsidR="00C2313B" w:rsidRPr="00925F26" w:rsidRDefault="00C2313B" w:rsidP="00925F26">
      <w:pPr>
        <w:autoSpaceDE w:val="0"/>
        <w:autoSpaceDN w:val="0"/>
        <w:adjustRightInd w:val="0"/>
        <w:jc w:val="both"/>
        <w:rPr>
          <w:color w:val="000000" w:themeColor="text1"/>
          <w:sz w:val="16"/>
          <w:szCs w:val="16"/>
        </w:rPr>
      </w:pPr>
    </w:p>
    <w:p w14:paraId="541D5C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 в составе 115-го морского ближнеразведывательного авиа</w:t>
      </w:r>
      <w:r w:rsidRPr="00925F26">
        <w:rPr>
          <w:color w:val="000000" w:themeColor="text1"/>
          <w:sz w:val="16"/>
          <w:szCs w:val="16"/>
        </w:rPr>
        <w:softHyphen/>
        <w:t>ционного полка ВВС ТОФ числилось четы</w:t>
      </w:r>
      <w:r w:rsidRPr="00925F26">
        <w:rPr>
          <w:color w:val="000000" w:themeColor="text1"/>
          <w:sz w:val="16"/>
          <w:szCs w:val="16"/>
        </w:rPr>
        <w:softHyphen/>
        <w:t>ре Бе-4 (№№28808, 28809, 4770201 и 4770203). В боевых действиях против Япо</w:t>
      </w:r>
      <w:r w:rsidRPr="00925F26">
        <w:rPr>
          <w:color w:val="000000" w:themeColor="text1"/>
          <w:sz w:val="16"/>
          <w:szCs w:val="16"/>
        </w:rPr>
        <w:softHyphen/>
        <w:t>нии они не участвовали, зато после оконча</w:t>
      </w:r>
      <w:r w:rsidRPr="00925F26">
        <w:rPr>
          <w:color w:val="000000" w:themeColor="text1"/>
          <w:sz w:val="16"/>
          <w:szCs w:val="16"/>
        </w:rPr>
        <w:softHyphen/>
        <w:t>ния войны подтвердили свое назначение как корабельных разведчиков полетами с катапульт тихоокеанских крейсеров «Кали</w:t>
      </w:r>
      <w:r w:rsidRPr="00925F26">
        <w:rPr>
          <w:color w:val="000000" w:themeColor="text1"/>
          <w:sz w:val="16"/>
          <w:szCs w:val="16"/>
        </w:rPr>
        <w:softHyphen/>
        <w:t>нин» и «Каганович» (10685).</w:t>
      </w:r>
    </w:p>
    <w:p w14:paraId="05648349" w14:textId="77777777" w:rsidR="00C2313B" w:rsidRPr="00925F26" w:rsidRDefault="00C2313B" w:rsidP="00925F26">
      <w:pPr>
        <w:autoSpaceDE w:val="0"/>
        <w:autoSpaceDN w:val="0"/>
        <w:adjustRightInd w:val="0"/>
        <w:jc w:val="both"/>
        <w:rPr>
          <w:color w:val="000000" w:themeColor="text1"/>
          <w:sz w:val="16"/>
          <w:szCs w:val="16"/>
        </w:rPr>
      </w:pPr>
    </w:p>
    <w:p w14:paraId="7C0D2F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два В-29 находились в распоряжении управления ВВС Тихоокеанского флота и еще один - в 35-й отдельной дальнебомбардировочной эскадрилье. Эту часть сформировали специально для испытаний В-29. В конечном итоге в нее вошли два В-29 и один В-25. Полеты проводились с аэродрома Романовка, имевшего хорошие подходы - он не был окружен сопками, как большинство других дальневосточных аэродромов. Один из В-29 поручили испытывать В.П.Марунову и А.Ф.Чернову. На освоение самолета отвели два дня. Поскольку с английским у обоих было не очень хорошо, по бомбардировщику они лазили с толстым томом англо-русского словаря. На третий день Рейдель официально принял у них зачет (3457,120).</w:t>
      </w:r>
    </w:p>
    <w:p w14:paraId="20E26E3A" w14:textId="77777777" w:rsidR="00C2313B" w:rsidRPr="00925F26" w:rsidRDefault="00C2313B" w:rsidP="00925F26">
      <w:pPr>
        <w:autoSpaceDE w:val="0"/>
        <w:autoSpaceDN w:val="0"/>
        <w:adjustRightInd w:val="0"/>
        <w:jc w:val="both"/>
        <w:rPr>
          <w:color w:val="000000" w:themeColor="text1"/>
          <w:sz w:val="16"/>
          <w:szCs w:val="16"/>
        </w:rPr>
      </w:pPr>
    </w:p>
    <w:p w14:paraId="29AB6E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К 1 января 1945 года 18-я воздушная армия (преемница АДД) обладала 320 "Митчеллами", которые составляли примерно пятую часть всей ее техники. В составе АДД "Митчеллы" применялись в основном в темное время суток, нанося удары по железнодорожным узлам, аэродромам, узлам сопротивления немцев. Всю вторую половину войны они совершали дальние рейды на Варшаву, Бреслау, Кенигсберг, Тильзит, Берлин, действовали под Брянском, Рославлем, Смоленском, Гомелем, Севастополем. В 1944 году 222-я дивизия разрушила железнодорожный узел Дебрецен в Венгрии. Более скоростные и маневренные, лучше вооруженные, чем Ил-4, В-25 часто использовались для обеспечения удара основной массы бомбардировщиков: поиска и обозначения </w:t>
      </w:r>
      <w:proofErr w:type="gramStart"/>
      <w:r w:rsidRPr="00925F26">
        <w:rPr>
          <w:color w:val="000000" w:themeColor="text1"/>
          <w:sz w:val="16"/>
          <w:szCs w:val="16"/>
        </w:rPr>
        <w:t>целей,.</w:t>
      </w:r>
      <w:proofErr w:type="gramEnd"/>
      <w:r w:rsidRPr="00925F26">
        <w:rPr>
          <w:color w:val="000000" w:themeColor="text1"/>
          <w:sz w:val="16"/>
          <w:szCs w:val="16"/>
        </w:rPr>
        <w:t>для подсветки, подавления наземных средств ПВО и блокировки аэродромов ночных истребителей. Так, например, действовал в 1944 году в Венгрии 251-й гвардейский полк, обеспечивавший функционирование остальных полков 15-й гвардейской дивизии. При организации массированных налетов обычно выделялись нары, звенья, отдельные экипажи для блокирования близлежащих аэродромов. По несколько часов они кружились над летным полем, время от времени сбрасывая одиночные бомбы или их небольшие серии. Кроме того, B-25J с усиленным передним стрелковым вооружением с пологого пикирования обстреливали стоянки самолетов и ангары. Во 2-м гвардейском полку B-25J с дополнительными пулеметами использовали для ночных штурмовых ударов по аэродромам противника (3457,93).</w:t>
      </w:r>
    </w:p>
    <w:p w14:paraId="30CB5B5B" w14:textId="77777777" w:rsidR="00C2313B" w:rsidRPr="00925F26" w:rsidRDefault="00C2313B" w:rsidP="00925F26">
      <w:pPr>
        <w:autoSpaceDE w:val="0"/>
        <w:autoSpaceDN w:val="0"/>
        <w:adjustRightInd w:val="0"/>
        <w:jc w:val="both"/>
        <w:rPr>
          <w:color w:val="000000" w:themeColor="text1"/>
          <w:sz w:val="16"/>
          <w:szCs w:val="16"/>
        </w:rPr>
      </w:pPr>
    </w:p>
    <w:p w14:paraId="047C83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 в ВВС Черноморского флота входили 7-й и 62-й иап и 2-й учебный полк. Ни один из них не был полностью укомплектован ЛаГГ-3, но в сумме там насчитывалось 46 машин этого типа.</w:t>
      </w:r>
    </w:p>
    <w:p w14:paraId="37BC977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Много ЛаГГ-3 сохранялось в полках ПВО. Например, на них летала вся 229-я иад. В Подмосковье с середины 1943 г. ЛаГГ-3 начали заменять на Ла-5. В частности, в 178-м иап к концу ноября остался всего один старый истребитель. Всего за период войны ЛаГГ-3, входившие в состав истребительной авиации ПВО, уничтожили 315 самолетов противника (11983).</w:t>
      </w:r>
    </w:p>
    <w:p w14:paraId="590C635C" w14:textId="77777777" w:rsidR="00C2313B" w:rsidRPr="00925F26" w:rsidRDefault="00C2313B" w:rsidP="00925F26">
      <w:pPr>
        <w:autoSpaceDE w:val="0"/>
        <w:autoSpaceDN w:val="0"/>
        <w:adjustRightInd w:val="0"/>
        <w:jc w:val="both"/>
        <w:rPr>
          <w:color w:val="000000" w:themeColor="text1"/>
          <w:sz w:val="16"/>
          <w:szCs w:val="16"/>
        </w:rPr>
      </w:pPr>
    </w:p>
    <w:p w14:paraId="4B4CAF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на флотах:</w:t>
      </w:r>
    </w:p>
    <w:p w14:paraId="57E8C9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0F5689" w:rsidRPr="00925F26" w14:paraId="198093ED" w14:textId="77777777">
        <w:tc>
          <w:tcPr>
            <w:tcW w:w="1401" w:type="dxa"/>
            <w:tcBorders>
              <w:top w:val="single" w:sz="12" w:space="0" w:color="auto"/>
            </w:tcBorders>
          </w:tcPr>
          <w:p w14:paraId="189789FA" w14:textId="77777777" w:rsidR="00C2313B" w:rsidRPr="00925F26" w:rsidRDefault="00C2313B" w:rsidP="00925F26">
            <w:pPr>
              <w:autoSpaceDE w:val="0"/>
              <w:autoSpaceDN w:val="0"/>
              <w:adjustRightInd w:val="0"/>
              <w:jc w:val="both"/>
              <w:rPr>
                <w:color w:val="000000" w:themeColor="text1"/>
                <w:sz w:val="16"/>
                <w:szCs w:val="16"/>
              </w:rPr>
            </w:pPr>
          </w:p>
        </w:tc>
        <w:tc>
          <w:tcPr>
            <w:tcW w:w="1401" w:type="dxa"/>
            <w:tcBorders>
              <w:top w:val="single" w:sz="12" w:space="0" w:color="auto"/>
            </w:tcBorders>
          </w:tcPr>
          <w:p w14:paraId="0894FF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1.05.42</w:t>
            </w:r>
          </w:p>
        </w:tc>
        <w:tc>
          <w:tcPr>
            <w:tcW w:w="1401" w:type="dxa"/>
            <w:tcBorders>
              <w:top w:val="single" w:sz="12" w:space="0" w:color="auto"/>
            </w:tcBorders>
          </w:tcPr>
          <w:p w14:paraId="5719EC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1.07.42</w:t>
            </w:r>
          </w:p>
        </w:tc>
        <w:tc>
          <w:tcPr>
            <w:tcW w:w="1401" w:type="dxa"/>
            <w:tcBorders>
              <w:top w:val="single" w:sz="12" w:space="0" w:color="auto"/>
            </w:tcBorders>
          </w:tcPr>
          <w:p w14:paraId="188CE3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18.11.42</w:t>
            </w:r>
          </w:p>
        </w:tc>
        <w:tc>
          <w:tcPr>
            <w:tcW w:w="1401" w:type="dxa"/>
            <w:tcBorders>
              <w:top w:val="single" w:sz="12" w:space="0" w:color="auto"/>
            </w:tcBorders>
          </w:tcPr>
          <w:p w14:paraId="7010F3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1.07.43</w:t>
            </w:r>
          </w:p>
        </w:tc>
        <w:tc>
          <w:tcPr>
            <w:tcW w:w="1401" w:type="dxa"/>
            <w:tcBorders>
              <w:top w:val="single" w:sz="12" w:space="0" w:color="auto"/>
            </w:tcBorders>
          </w:tcPr>
          <w:p w14:paraId="5568F7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1.01.44</w:t>
            </w:r>
          </w:p>
        </w:tc>
        <w:tc>
          <w:tcPr>
            <w:tcW w:w="1401" w:type="dxa"/>
            <w:tcBorders>
              <w:top w:val="single" w:sz="12" w:space="0" w:color="auto"/>
            </w:tcBorders>
          </w:tcPr>
          <w:p w14:paraId="36E9C2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1.06.44</w:t>
            </w:r>
          </w:p>
        </w:tc>
        <w:tc>
          <w:tcPr>
            <w:tcW w:w="1401" w:type="dxa"/>
            <w:tcBorders>
              <w:top w:val="single" w:sz="12" w:space="0" w:color="auto"/>
            </w:tcBorders>
          </w:tcPr>
          <w:p w14:paraId="40CD27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1.01.45</w:t>
            </w:r>
          </w:p>
        </w:tc>
      </w:tr>
      <w:tr w:rsidR="000F5689" w:rsidRPr="00925F26" w14:paraId="06C7E7A2" w14:textId="77777777">
        <w:tc>
          <w:tcPr>
            <w:tcW w:w="1401" w:type="dxa"/>
          </w:tcPr>
          <w:p w14:paraId="74B797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ВВС СФ</w:t>
            </w:r>
          </w:p>
        </w:tc>
        <w:tc>
          <w:tcPr>
            <w:tcW w:w="1401" w:type="dxa"/>
          </w:tcPr>
          <w:p w14:paraId="4245AA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12/3</w:t>
            </w:r>
          </w:p>
        </w:tc>
        <w:tc>
          <w:tcPr>
            <w:tcW w:w="1401" w:type="dxa"/>
          </w:tcPr>
          <w:p w14:paraId="05B7F1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8/3</w:t>
            </w:r>
          </w:p>
        </w:tc>
        <w:tc>
          <w:tcPr>
            <w:tcW w:w="1401" w:type="dxa"/>
          </w:tcPr>
          <w:p w14:paraId="7CB189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10/6</w:t>
            </w:r>
          </w:p>
        </w:tc>
        <w:tc>
          <w:tcPr>
            <w:tcW w:w="1401" w:type="dxa"/>
          </w:tcPr>
          <w:p w14:paraId="4203C5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1" w:type="dxa"/>
          </w:tcPr>
          <w:p w14:paraId="25AA3E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1" w:type="dxa"/>
          </w:tcPr>
          <w:p w14:paraId="0F3B5D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1401" w:type="dxa"/>
          </w:tcPr>
          <w:p w14:paraId="7389C1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58E6A59E" w14:textId="77777777">
        <w:tc>
          <w:tcPr>
            <w:tcW w:w="1401" w:type="dxa"/>
          </w:tcPr>
          <w:p w14:paraId="3E0DDF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ВВС КБФ</w:t>
            </w:r>
          </w:p>
        </w:tc>
        <w:tc>
          <w:tcPr>
            <w:tcW w:w="1401" w:type="dxa"/>
          </w:tcPr>
          <w:p w14:paraId="354923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52/17</w:t>
            </w:r>
          </w:p>
        </w:tc>
        <w:tc>
          <w:tcPr>
            <w:tcW w:w="1401" w:type="dxa"/>
          </w:tcPr>
          <w:p w14:paraId="51D130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23/7</w:t>
            </w:r>
          </w:p>
        </w:tc>
        <w:tc>
          <w:tcPr>
            <w:tcW w:w="1401" w:type="dxa"/>
          </w:tcPr>
          <w:p w14:paraId="613086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28/11</w:t>
            </w:r>
          </w:p>
        </w:tc>
        <w:tc>
          <w:tcPr>
            <w:tcW w:w="1401" w:type="dxa"/>
          </w:tcPr>
          <w:p w14:paraId="1DB164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1401" w:type="dxa"/>
          </w:tcPr>
          <w:p w14:paraId="395F16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8/1</w:t>
            </w:r>
          </w:p>
        </w:tc>
        <w:tc>
          <w:tcPr>
            <w:tcW w:w="1401" w:type="dxa"/>
          </w:tcPr>
          <w:p w14:paraId="0FFDA1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103193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4CB85E3" w14:textId="77777777">
        <w:tc>
          <w:tcPr>
            <w:tcW w:w="1401" w:type="dxa"/>
          </w:tcPr>
          <w:p w14:paraId="236C7A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ВВС ЧФ</w:t>
            </w:r>
          </w:p>
        </w:tc>
        <w:tc>
          <w:tcPr>
            <w:tcW w:w="1401" w:type="dxa"/>
          </w:tcPr>
          <w:p w14:paraId="13A6A9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1401" w:type="dxa"/>
          </w:tcPr>
          <w:p w14:paraId="7BCDD0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14/8</w:t>
            </w:r>
          </w:p>
        </w:tc>
        <w:tc>
          <w:tcPr>
            <w:tcW w:w="1401" w:type="dxa"/>
          </w:tcPr>
          <w:p w14:paraId="21BFF3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w:t>
            </w:r>
          </w:p>
        </w:tc>
        <w:tc>
          <w:tcPr>
            <w:tcW w:w="1401" w:type="dxa"/>
          </w:tcPr>
          <w:p w14:paraId="5BDD18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1401" w:type="dxa"/>
          </w:tcPr>
          <w:p w14:paraId="4BEF0B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1401" w:type="dxa"/>
          </w:tcPr>
          <w:p w14:paraId="2C9704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401" w:type="dxa"/>
          </w:tcPr>
          <w:p w14:paraId="38A31E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10A83EB" w14:textId="77777777">
        <w:tc>
          <w:tcPr>
            <w:tcW w:w="1401" w:type="dxa"/>
            <w:tcBorders>
              <w:bottom w:val="single" w:sz="12" w:space="0" w:color="auto"/>
            </w:tcBorders>
          </w:tcPr>
          <w:p w14:paraId="6EDC48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401" w:type="dxa"/>
            <w:tcBorders>
              <w:bottom w:val="single" w:sz="12" w:space="0" w:color="auto"/>
            </w:tcBorders>
          </w:tcPr>
          <w:p w14:paraId="13C70A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91/27</w:t>
            </w:r>
          </w:p>
        </w:tc>
        <w:tc>
          <w:tcPr>
            <w:tcW w:w="1401" w:type="dxa"/>
            <w:tcBorders>
              <w:bottom w:val="single" w:sz="12" w:space="0" w:color="auto"/>
            </w:tcBorders>
          </w:tcPr>
          <w:p w14:paraId="55DF31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45/18</w:t>
            </w:r>
          </w:p>
        </w:tc>
        <w:tc>
          <w:tcPr>
            <w:tcW w:w="1401" w:type="dxa"/>
            <w:tcBorders>
              <w:bottom w:val="single" w:sz="12" w:space="0" w:color="auto"/>
            </w:tcBorders>
          </w:tcPr>
          <w:p w14:paraId="6E67AB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46/19</w:t>
            </w:r>
          </w:p>
        </w:tc>
        <w:tc>
          <w:tcPr>
            <w:tcW w:w="1401" w:type="dxa"/>
            <w:tcBorders>
              <w:bottom w:val="single" w:sz="12" w:space="0" w:color="auto"/>
            </w:tcBorders>
          </w:tcPr>
          <w:p w14:paraId="1A1C30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29/4 1</w:t>
            </w:r>
          </w:p>
        </w:tc>
        <w:tc>
          <w:tcPr>
            <w:tcW w:w="1401" w:type="dxa"/>
            <w:tcBorders>
              <w:bottom w:val="single" w:sz="12" w:space="0" w:color="auto"/>
            </w:tcBorders>
          </w:tcPr>
          <w:p w14:paraId="4679DA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9/4</w:t>
            </w:r>
          </w:p>
        </w:tc>
        <w:tc>
          <w:tcPr>
            <w:tcW w:w="1401" w:type="dxa"/>
            <w:tcBorders>
              <w:bottom w:val="single" w:sz="12" w:space="0" w:color="auto"/>
            </w:tcBorders>
          </w:tcPr>
          <w:p w14:paraId="4BC131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15/1</w:t>
            </w:r>
          </w:p>
        </w:tc>
        <w:tc>
          <w:tcPr>
            <w:tcW w:w="1401" w:type="dxa"/>
            <w:tcBorders>
              <w:bottom w:val="single" w:sz="12" w:space="0" w:color="auto"/>
            </w:tcBorders>
          </w:tcPr>
          <w:p w14:paraId="4D8A63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bl>
    <w:p w14:paraId="1B73A3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числителе - всего машин; в знаменателе - в том числе неисправных на данный момент (12015).</w:t>
      </w:r>
    </w:p>
    <w:p w14:paraId="3E50F991" w14:textId="77777777" w:rsidR="00C2313B" w:rsidRPr="00925F26" w:rsidRDefault="00C2313B" w:rsidP="00925F26">
      <w:pPr>
        <w:autoSpaceDE w:val="0"/>
        <w:autoSpaceDN w:val="0"/>
        <w:adjustRightInd w:val="0"/>
        <w:jc w:val="both"/>
        <w:rPr>
          <w:color w:val="000000" w:themeColor="text1"/>
          <w:sz w:val="16"/>
          <w:szCs w:val="16"/>
        </w:rPr>
      </w:pPr>
    </w:p>
    <w:p w14:paraId="438304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года Тихоокеанский флот получил 28 PBN-1 (3457,130).</w:t>
      </w:r>
    </w:p>
    <w:p w14:paraId="1447A7AE" w14:textId="77777777" w:rsidR="00C2313B" w:rsidRPr="00925F26" w:rsidRDefault="00C2313B" w:rsidP="00925F26">
      <w:pPr>
        <w:autoSpaceDE w:val="0"/>
        <w:autoSpaceDN w:val="0"/>
        <w:adjustRightInd w:val="0"/>
        <w:jc w:val="both"/>
        <w:rPr>
          <w:color w:val="000000" w:themeColor="text1"/>
          <w:sz w:val="16"/>
          <w:szCs w:val="16"/>
        </w:rPr>
      </w:pPr>
    </w:p>
    <w:p w14:paraId="1BF885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года Северный флот обладал семью PBN-1 в 118-м полку. Еще 18 американских лодок находились в 44-м, 53-м, 54-м полках и 20-й эскадрилье ВВС Беломорской флотилии. Североморцы продолжали поиск немецких субмарин и после победы над Германией. Всего экипажи PBN-1 Северного флота п Беломорской флотилии совершили за войну 340 вылетов (3457,130).</w:t>
      </w:r>
    </w:p>
    <w:p w14:paraId="28199CFD" w14:textId="77777777" w:rsidR="00C2313B" w:rsidRPr="00925F26" w:rsidRDefault="00C2313B" w:rsidP="00925F26">
      <w:pPr>
        <w:autoSpaceDE w:val="0"/>
        <w:autoSpaceDN w:val="0"/>
        <w:adjustRightInd w:val="0"/>
        <w:jc w:val="both"/>
        <w:rPr>
          <w:color w:val="000000" w:themeColor="text1"/>
          <w:sz w:val="16"/>
          <w:szCs w:val="16"/>
        </w:rPr>
      </w:pPr>
    </w:p>
    <w:p w14:paraId="6B335E37" w14:textId="77777777" w:rsidR="000F5689" w:rsidRPr="00925F26" w:rsidRDefault="000F5689" w:rsidP="00925F26">
      <w:pPr>
        <w:jc w:val="both"/>
        <w:rPr>
          <w:color w:val="000000" w:themeColor="text1"/>
          <w:sz w:val="16"/>
          <w:szCs w:val="16"/>
        </w:rPr>
      </w:pPr>
      <w:bookmarkStart w:id="0" w:name="_Hlk119509354"/>
      <w:r w:rsidRPr="00925F26">
        <w:rPr>
          <w:color w:val="000000" w:themeColor="text1"/>
          <w:sz w:val="16"/>
          <w:szCs w:val="16"/>
        </w:rPr>
        <w:t>На 1 января 1945 г. Тихоокеанский флот получил 28 PBN-1, к 9 августа, ког</w:t>
      </w:r>
      <w:r w:rsidRPr="00925F26">
        <w:rPr>
          <w:color w:val="000000" w:themeColor="text1"/>
          <w:sz w:val="16"/>
          <w:szCs w:val="16"/>
        </w:rPr>
        <w:softHyphen/>
        <w:t>да Советский Союз начал боевые дейст</w:t>
      </w:r>
      <w:r w:rsidRPr="00925F26">
        <w:rPr>
          <w:color w:val="000000" w:themeColor="text1"/>
          <w:sz w:val="16"/>
          <w:szCs w:val="16"/>
        </w:rPr>
        <w:softHyphen/>
        <w:t>вия против Японии, в строю уже име</w:t>
      </w:r>
      <w:r w:rsidRPr="00925F26">
        <w:rPr>
          <w:color w:val="000000" w:themeColor="text1"/>
          <w:sz w:val="16"/>
          <w:szCs w:val="16"/>
        </w:rPr>
        <w:softHyphen/>
        <w:t>лось 49 лодок и 21 амфибия (31% состава гидроавиации флота). Новой техникой полностью перевооружили 16-й орап (он обладал и PBN-1, и PBY-6A), 48-й и 117-й орап только начали переоснащение, со</w:t>
      </w:r>
      <w:r w:rsidRPr="00925F26">
        <w:rPr>
          <w:color w:val="000000" w:themeColor="text1"/>
          <w:sz w:val="16"/>
          <w:szCs w:val="16"/>
        </w:rPr>
        <w:softHyphen/>
        <w:t>храняя устаревшие МБР-2, и закончили его уже в ходе боевых операций.</w:t>
      </w:r>
    </w:p>
    <w:p w14:paraId="2CB24623" w14:textId="77777777" w:rsidR="000F5689" w:rsidRPr="00925F26" w:rsidRDefault="000F5689" w:rsidP="00925F26">
      <w:pPr>
        <w:jc w:val="both"/>
        <w:rPr>
          <w:color w:val="000000" w:themeColor="text1"/>
          <w:sz w:val="16"/>
          <w:szCs w:val="16"/>
        </w:rPr>
      </w:pPr>
      <w:r w:rsidRPr="00925F26">
        <w:rPr>
          <w:color w:val="000000" w:themeColor="text1"/>
          <w:sz w:val="16"/>
          <w:szCs w:val="16"/>
        </w:rPr>
        <w:t>На 16-й полк, усиленный десятью ма</w:t>
      </w:r>
      <w:r w:rsidRPr="00925F26">
        <w:rPr>
          <w:color w:val="000000" w:themeColor="text1"/>
          <w:sz w:val="16"/>
          <w:szCs w:val="16"/>
        </w:rPr>
        <w:softHyphen/>
        <w:t>шинами из 117-го и тремя — из отдельно</w:t>
      </w:r>
      <w:r w:rsidRPr="00925F26">
        <w:rPr>
          <w:color w:val="000000" w:themeColor="text1"/>
          <w:sz w:val="16"/>
          <w:szCs w:val="16"/>
        </w:rPr>
        <w:softHyphen/>
        <w:t>го звена метеоразведки, была возложена разведка в Японском море, на 117-й и 48-й полки — ближняя разведка в Охотском море, Татарском проливе и Сахалинском заливе. Дальняя разведка фактически не проводилась, так как линия разграничения зон операций советского и американского флотов проходила всего в 15-120 милях от берега.</w:t>
      </w:r>
    </w:p>
    <w:p w14:paraId="4E3984C1" w14:textId="77777777" w:rsidR="000F5689" w:rsidRPr="00925F26" w:rsidRDefault="000F5689" w:rsidP="00925F26">
      <w:pPr>
        <w:jc w:val="both"/>
        <w:rPr>
          <w:color w:val="000000" w:themeColor="text1"/>
          <w:sz w:val="16"/>
          <w:szCs w:val="16"/>
        </w:rPr>
      </w:pPr>
      <w:r w:rsidRPr="00925F26">
        <w:rPr>
          <w:color w:val="000000" w:themeColor="text1"/>
          <w:sz w:val="16"/>
          <w:szCs w:val="16"/>
        </w:rPr>
        <w:t>Летающие лодки были задействованы уже в первые дни войны на Тихоокеанском театре. PBN-1 16-го орап совместно с тор</w:t>
      </w:r>
      <w:r w:rsidRPr="00925F26">
        <w:rPr>
          <w:color w:val="000000" w:themeColor="text1"/>
          <w:sz w:val="16"/>
          <w:szCs w:val="16"/>
        </w:rPr>
        <w:softHyphen/>
        <w:t>педными катерами подстраховывали лет</w:t>
      </w:r>
      <w:r w:rsidRPr="00925F26">
        <w:rPr>
          <w:color w:val="000000" w:themeColor="text1"/>
          <w:sz w:val="16"/>
          <w:szCs w:val="16"/>
        </w:rPr>
        <w:softHyphen/>
        <w:t>чиков бомбардировочных полков в нале</w:t>
      </w:r>
      <w:r w:rsidRPr="00925F26">
        <w:rPr>
          <w:color w:val="000000" w:themeColor="text1"/>
          <w:sz w:val="16"/>
          <w:szCs w:val="16"/>
        </w:rPr>
        <w:softHyphen/>
        <w:t>тах на Юки и Расин в ночь с 8 на 9 августа. Разведка в открытом море велась практи</w:t>
      </w:r>
      <w:r w:rsidRPr="00925F26">
        <w:rPr>
          <w:color w:val="000000" w:themeColor="text1"/>
          <w:sz w:val="16"/>
          <w:szCs w:val="16"/>
        </w:rPr>
        <w:softHyphen/>
        <w:t>чески безрезультатно (все силы японского флота уходили на борьбу с американца</w:t>
      </w:r>
      <w:r w:rsidRPr="00925F26">
        <w:rPr>
          <w:color w:val="000000" w:themeColor="text1"/>
          <w:sz w:val="16"/>
          <w:szCs w:val="16"/>
        </w:rPr>
        <w:softHyphen/>
        <w:t>ми), за исключением одного случая, когда при следовании десанта морской пехоты в Сейсин поблизости появилась груп</w:t>
      </w:r>
      <w:r w:rsidRPr="00925F26">
        <w:rPr>
          <w:color w:val="000000" w:themeColor="text1"/>
          <w:sz w:val="16"/>
          <w:szCs w:val="16"/>
        </w:rPr>
        <w:softHyphen/>
        <w:t>па кораблей противника. Гидроавиация следила за ней до момента возвращения японцев в свой порт.</w:t>
      </w:r>
    </w:p>
    <w:p w14:paraId="0FA6CA5D" w14:textId="77777777" w:rsidR="000F5689" w:rsidRPr="00925F26" w:rsidRDefault="000F5689" w:rsidP="00925F26">
      <w:pPr>
        <w:jc w:val="both"/>
        <w:rPr>
          <w:color w:val="000000" w:themeColor="text1"/>
          <w:sz w:val="16"/>
          <w:szCs w:val="16"/>
        </w:rPr>
      </w:pPr>
      <w:r w:rsidRPr="00925F26">
        <w:rPr>
          <w:color w:val="000000" w:themeColor="text1"/>
          <w:sz w:val="16"/>
          <w:szCs w:val="16"/>
        </w:rPr>
        <w:t>На Дальнем Востоке PBN-1 и PBY-6A широко использовали для высадки десан</w:t>
      </w:r>
      <w:r w:rsidRPr="00925F26">
        <w:rPr>
          <w:color w:val="000000" w:themeColor="text1"/>
          <w:sz w:val="16"/>
          <w:szCs w:val="16"/>
        </w:rPr>
        <w:softHyphen/>
        <w:t>тов. 21 августа два PBY-6A из 16-го полка доставили прямо на взлетно-посадочную полосу аэродрома в Гензане 32 автомат</w:t>
      </w:r>
      <w:r w:rsidRPr="00925F26">
        <w:rPr>
          <w:color w:val="000000" w:themeColor="text1"/>
          <w:sz w:val="16"/>
          <w:szCs w:val="16"/>
        </w:rPr>
        <w:softHyphen/>
        <w:t>чика. 24-го последовали десанты в Порт- Артур и Дайрен. В первом случае десять самолетов перебросили 135 морских пе</w:t>
      </w:r>
      <w:r w:rsidRPr="00925F26">
        <w:rPr>
          <w:color w:val="000000" w:themeColor="text1"/>
          <w:sz w:val="16"/>
          <w:szCs w:val="16"/>
        </w:rPr>
        <w:softHyphen/>
        <w:t>хотинцев, во втором — 90 человек при</w:t>
      </w:r>
      <w:r w:rsidRPr="00925F26">
        <w:rPr>
          <w:color w:val="000000" w:themeColor="text1"/>
          <w:sz w:val="16"/>
          <w:szCs w:val="16"/>
        </w:rPr>
        <w:softHyphen/>
        <w:t>были на семи лодках. Посадка и в Порт- Артуре, и в Дайрене осуществлялась на воду. Десантом в Порт-Артуре руководил генерал-лейтенант Е.Н. Преображенский, находившийся на одном из самолетовНебольшие группы десантников выса</w:t>
      </w:r>
      <w:r w:rsidRPr="00925F26">
        <w:rPr>
          <w:color w:val="000000" w:themeColor="text1"/>
          <w:sz w:val="16"/>
          <w:szCs w:val="16"/>
        </w:rPr>
        <w:softHyphen/>
        <w:t>живались с амфибий при захвате южной части Сахалина и Курильских островов. Десантникам, прилетевшим на PBY-6A 48- го полка, удалось взять под контроль аэро</w:t>
      </w:r>
      <w:r w:rsidRPr="00925F26">
        <w:rPr>
          <w:color w:val="000000" w:themeColor="text1"/>
          <w:sz w:val="16"/>
          <w:szCs w:val="16"/>
        </w:rPr>
        <w:softHyphen/>
        <w:t>дром Конторо на Сахалине и предотвра</w:t>
      </w:r>
      <w:r w:rsidRPr="00925F26">
        <w:rPr>
          <w:color w:val="000000" w:themeColor="text1"/>
          <w:sz w:val="16"/>
          <w:szCs w:val="16"/>
        </w:rPr>
        <w:softHyphen/>
        <w:t>тить разрушение его японцами. Подобная высадка готовилась и в Торо, но быстрое продвижение войск сделало ее ненужной. 27 августа амфибии А.Ф. Дворянского и П.И. Ивашина сели на один из аэро</w:t>
      </w:r>
      <w:r w:rsidRPr="00925F26">
        <w:rPr>
          <w:color w:val="000000" w:themeColor="text1"/>
          <w:sz w:val="16"/>
          <w:szCs w:val="16"/>
        </w:rPr>
        <w:softHyphen/>
        <w:t>дромов острова Итуруп, под прикрытием бортовых пулеметов выгрузив команду автоматчиков.</w:t>
      </w:r>
    </w:p>
    <w:p w14:paraId="0CAE1AFE" w14:textId="77777777" w:rsidR="000F5689" w:rsidRPr="00925F26" w:rsidRDefault="000F5689" w:rsidP="00925F26">
      <w:pPr>
        <w:jc w:val="both"/>
        <w:rPr>
          <w:color w:val="000000" w:themeColor="text1"/>
          <w:sz w:val="16"/>
          <w:szCs w:val="16"/>
        </w:rPr>
      </w:pPr>
      <w:r w:rsidRPr="00925F26">
        <w:rPr>
          <w:color w:val="000000" w:themeColor="text1"/>
          <w:sz w:val="16"/>
          <w:szCs w:val="16"/>
        </w:rPr>
        <w:t>Внесший наибольший вклад в дальне</w:t>
      </w:r>
      <w:r w:rsidRPr="00925F26">
        <w:rPr>
          <w:color w:val="000000" w:themeColor="text1"/>
          <w:sz w:val="16"/>
          <w:szCs w:val="16"/>
        </w:rPr>
        <w:softHyphen/>
        <w:t>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w:t>
      </w:r>
      <w:r w:rsidRPr="00925F26">
        <w:rPr>
          <w:color w:val="000000" w:themeColor="text1"/>
          <w:sz w:val="16"/>
          <w:szCs w:val="16"/>
        </w:rPr>
        <w:softHyphen/>
        <w:t>терял только один PBN-1, не вернувшийся с патрулирования; причины его исчезно</w:t>
      </w:r>
      <w:r w:rsidRPr="00925F26">
        <w:rPr>
          <w:color w:val="000000" w:themeColor="text1"/>
          <w:sz w:val="16"/>
          <w:szCs w:val="16"/>
        </w:rPr>
        <w:softHyphen/>
        <w:t>вения остались неизвестными.</w:t>
      </w:r>
    </w:p>
    <w:p w14:paraId="0E4E4783" w14:textId="77777777" w:rsidR="000F5689" w:rsidRPr="00925F26" w:rsidRDefault="000F5689" w:rsidP="00925F26">
      <w:pPr>
        <w:jc w:val="both"/>
        <w:rPr>
          <w:color w:val="000000" w:themeColor="text1"/>
          <w:sz w:val="16"/>
          <w:szCs w:val="16"/>
        </w:rPr>
      </w:pPr>
      <w:r w:rsidRPr="00925F26">
        <w:rPr>
          <w:color w:val="000000" w:themeColor="text1"/>
          <w:sz w:val="16"/>
          <w:szCs w:val="16"/>
        </w:rPr>
        <w:t>Американские летающие лодки поста</w:t>
      </w:r>
      <w:r w:rsidRPr="00925F26">
        <w:rPr>
          <w:color w:val="000000" w:themeColor="text1"/>
          <w:sz w:val="16"/>
          <w:szCs w:val="16"/>
        </w:rPr>
        <w:softHyphen/>
        <w:t>вили и последнюю точку в этой войне, доставив в Токийскую бухту миссию гене</w:t>
      </w:r>
      <w:r w:rsidRPr="00925F26">
        <w:rPr>
          <w:color w:val="000000" w:themeColor="text1"/>
          <w:sz w:val="16"/>
          <w:szCs w:val="16"/>
        </w:rPr>
        <w:softHyphen/>
        <w:t>рал-лейтенанта К.Н. Деревянко, подписав</w:t>
      </w:r>
      <w:r w:rsidRPr="00925F26">
        <w:rPr>
          <w:color w:val="000000" w:themeColor="text1"/>
          <w:sz w:val="16"/>
          <w:szCs w:val="16"/>
        </w:rPr>
        <w:softHyphen/>
        <w:t>шего от имени Советского Союза на борту линкора «Миссури» акт о капитуляции Японии (23513).</w:t>
      </w:r>
    </w:p>
    <w:p w14:paraId="6C1A19C5" w14:textId="77777777" w:rsidR="000F5689" w:rsidRPr="00925F26" w:rsidRDefault="000F5689" w:rsidP="00925F26">
      <w:pPr>
        <w:jc w:val="both"/>
        <w:rPr>
          <w:color w:val="000000" w:themeColor="text1"/>
          <w:sz w:val="16"/>
          <w:szCs w:val="16"/>
        </w:rPr>
      </w:pPr>
    </w:p>
    <w:bookmarkEnd w:id="0"/>
    <w:p w14:paraId="405B88B6" w14:textId="77777777" w:rsidR="000F5689" w:rsidRPr="00925F26" w:rsidRDefault="000F5689" w:rsidP="00925F26">
      <w:pPr>
        <w:jc w:val="both"/>
        <w:rPr>
          <w:color w:val="000000" w:themeColor="text1"/>
          <w:sz w:val="16"/>
          <w:szCs w:val="16"/>
        </w:rPr>
      </w:pPr>
      <w:r w:rsidRPr="00925F26">
        <w:rPr>
          <w:color w:val="000000" w:themeColor="text1"/>
          <w:sz w:val="16"/>
          <w:szCs w:val="16"/>
        </w:rPr>
        <w:t>На 1 января 1945 г. в составе 115-го морского ближнеразведывательного авиационного полка ВВС ТОФ числилось четыре гидросамолета Бе-4 (№ 28808, 28809, 4770201 и 4770203). В боевых действиях против Японии они не участвовали, зато после их окончания подтвердили свое назначение как корабельных разведчиков полетами с катапульт тихоокеанских крейсеров «Калинин» и «Каганович» (23541).</w:t>
      </w:r>
    </w:p>
    <w:p w14:paraId="1298888F" w14:textId="77777777" w:rsidR="000F5689" w:rsidRPr="00925F26" w:rsidRDefault="000F5689" w:rsidP="00925F26">
      <w:pPr>
        <w:jc w:val="both"/>
        <w:rPr>
          <w:color w:val="000000" w:themeColor="text1"/>
          <w:sz w:val="16"/>
          <w:szCs w:val="16"/>
        </w:rPr>
      </w:pPr>
    </w:p>
    <w:p w14:paraId="79A84BA1" w14:textId="77777777" w:rsidR="00573476" w:rsidRPr="00925F26" w:rsidRDefault="00573476" w:rsidP="00925F26">
      <w:pPr>
        <w:jc w:val="both"/>
        <w:rPr>
          <w:color w:val="000000" w:themeColor="text1"/>
          <w:sz w:val="16"/>
          <w:szCs w:val="16"/>
        </w:rPr>
      </w:pPr>
      <w:r w:rsidRPr="00925F26">
        <w:rPr>
          <w:color w:val="000000" w:themeColor="text1"/>
          <w:sz w:val="16"/>
          <w:szCs w:val="16"/>
        </w:rPr>
        <w:t>На 1 января 1945 г. в секретном отчете по артиллерии фигурируют только восемь 211-мм (21-см) германских мортир обр. 18. На самом же деле к 1 января 1945 г. в Красной армии состояли сотни германских орудии калибров 75,88,105,150 мм и других. Риторический вопрос: какой комполка или комдив откажется конфисковать несколько первоклассных автомобилей или мотоциклов для своей части? В результате к маю 1945 г. части Красной армии имели огромное количество неучтенной материальной части и оборудования. Чтобы изъять трофейные ценности из частей РККА, потребовались специальные постановления ГКО: Постановление № 7824 от 14 марта 1945 г. «О вывозе с трофейных складов 3-го Украинского фронта картона, бумаги и меховых шкурок». Постановление № 7893 от 21 марта 1945 г. «О вывозе трофейного имущества со складов 1-го Белорусского фронта». 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 Постановление № 9164 от 21 июня 1945 г. «О передаче 15 000 трофейных автомашин с 1 -го и 2-го Украинских, 2-го Белорусского и Ленинградского фронтов для народного хозяйства» (12687).</w:t>
      </w:r>
    </w:p>
    <w:p w14:paraId="486A68C2" w14:textId="77777777" w:rsidR="00573476" w:rsidRPr="00925F26" w:rsidRDefault="00573476" w:rsidP="00925F26">
      <w:pPr>
        <w:jc w:val="both"/>
        <w:rPr>
          <w:color w:val="000000" w:themeColor="text1"/>
          <w:sz w:val="16"/>
          <w:szCs w:val="16"/>
        </w:rPr>
      </w:pPr>
    </w:p>
    <w:p w14:paraId="69474CDD" w14:textId="77777777" w:rsidR="004D2A3F" w:rsidRPr="001A0BAA" w:rsidRDefault="004D2A3F" w:rsidP="004D2A3F">
      <w:pPr>
        <w:jc w:val="both"/>
        <w:rPr>
          <w:color w:val="0070C0"/>
          <w:sz w:val="16"/>
          <w:szCs w:val="16"/>
        </w:rPr>
      </w:pPr>
      <w:r w:rsidRPr="001A0BAA">
        <w:rPr>
          <w:color w:val="0070C0"/>
          <w:sz w:val="16"/>
          <w:szCs w:val="16"/>
        </w:rPr>
        <w:t>На 1 января 1945 г на фронте находи</w:t>
      </w:r>
      <w:r w:rsidRPr="001A0BAA">
        <w:rPr>
          <w:color w:val="0070C0"/>
          <w:sz w:val="16"/>
          <w:szCs w:val="16"/>
        </w:rPr>
        <w:softHyphen/>
        <w:t xml:space="preserve">лись 1314 Ла-5 разных </w:t>
      </w:r>
      <w:proofErr w:type="gramStart"/>
      <w:r w:rsidRPr="001A0BAA">
        <w:rPr>
          <w:color w:val="0070C0"/>
          <w:sz w:val="16"/>
          <w:szCs w:val="16"/>
        </w:rPr>
        <w:t>модификаций Их</w:t>
      </w:r>
      <w:proofErr w:type="gramEnd"/>
      <w:r w:rsidRPr="001A0BAA">
        <w:rPr>
          <w:color w:val="0070C0"/>
          <w:sz w:val="16"/>
          <w:szCs w:val="16"/>
        </w:rPr>
        <w:t xml:space="preserve"> начали постепенно вытеснять но</w:t>
      </w:r>
      <w:r w:rsidRPr="001A0BAA">
        <w:rPr>
          <w:color w:val="0070C0"/>
          <w:sz w:val="16"/>
          <w:szCs w:val="16"/>
        </w:rPr>
        <w:softHyphen/>
        <w:t xml:space="preserve">вые истребители Ла-7, Як-3 и </w:t>
      </w:r>
      <w:proofErr w:type="gramStart"/>
      <w:r w:rsidRPr="001A0BAA">
        <w:rPr>
          <w:color w:val="0070C0"/>
          <w:sz w:val="16"/>
          <w:szCs w:val="16"/>
        </w:rPr>
        <w:t>Як-9У Но</w:t>
      </w:r>
      <w:proofErr w:type="gramEnd"/>
      <w:r w:rsidRPr="001A0BAA">
        <w:rPr>
          <w:color w:val="0070C0"/>
          <w:sz w:val="16"/>
          <w:szCs w:val="16"/>
        </w:rPr>
        <w:t xml:space="preserve"> многие полки и дивизии действовали на них до конца войны 229-я иад вое</w:t>
      </w:r>
      <w:r w:rsidRPr="001A0BAA">
        <w:rPr>
          <w:color w:val="0070C0"/>
          <w:sz w:val="16"/>
          <w:szCs w:val="16"/>
        </w:rPr>
        <w:softHyphen/>
        <w:t>вала в Польше, 116-й иап - в Венгрии, 927-й иап и 18-й гв иап - в Восточной</w:t>
      </w:r>
    </w:p>
    <w:p w14:paraId="6F5CBA7C" w14:textId="77777777" w:rsidR="004D2A3F" w:rsidRPr="001A0BAA" w:rsidRDefault="004D2A3F" w:rsidP="004D2A3F">
      <w:pPr>
        <w:jc w:val="both"/>
        <w:rPr>
          <w:color w:val="0070C0"/>
          <w:sz w:val="16"/>
          <w:szCs w:val="16"/>
        </w:rPr>
      </w:pPr>
      <w:r w:rsidRPr="001A0BAA">
        <w:rPr>
          <w:color w:val="0070C0"/>
          <w:sz w:val="16"/>
          <w:szCs w:val="16"/>
        </w:rPr>
        <w:t>Пруссии. На Балтийском флоте Ла-5 сохранялись в 4-м и 10-м гв иап. Пос</w:t>
      </w:r>
      <w:r w:rsidRPr="001A0BAA">
        <w:rPr>
          <w:color w:val="0070C0"/>
          <w:sz w:val="16"/>
          <w:szCs w:val="16"/>
        </w:rPr>
        <w:softHyphen/>
        <w:t>ледний раз в крупных масштабах эти истребители применили в Берлинской операции В составе 17-й воздушной армии, поддерживавшей войска на этом направлении, числились 262 ма</w:t>
      </w:r>
      <w:r w:rsidRPr="001A0BAA">
        <w:rPr>
          <w:color w:val="0070C0"/>
          <w:sz w:val="16"/>
          <w:szCs w:val="16"/>
        </w:rPr>
        <w:softHyphen/>
        <w:t>шины данного типа Немного позже в Чехословакии в последние дни войны действовало не менее пяти полков на этих истребителях (24931).</w:t>
      </w:r>
    </w:p>
    <w:p w14:paraId="536B1F15" w14:textId="77777777" w:rsidR="004D2A3F" w:rsidRPr="001A0BAA" w:rsidRDefault="004D2A3F" w:rsidP="004D2A3F">
      <w:pPr>
        <w:jc w:val="both"/>
        <w:rPr>
          <w:color w:val="0070C0"/>
          <w:sz w:val="16"/>
          <w:szCs w:val="16"/>
        </w:rPr>
      </w:pPr>
    </w:p>
    <w:p w14:paraId="4F94422B" w14:textId="77777777" w:rsidR="004D2A3F" w:rsidRPr="001A0BAA" w:rsidRDefault="004D2A3F" w:rsidP="004D2A3F">
      <w:pPr>
        <w:jc w:val="both"/>
        <w:rPr>
          <w:color w:val="0070C0"/>
          <w:sz w:val="16"/>
          <w:szCs w:val="16"/>
        </w:rPr>
      </w:pPr>
      <w:bookmarkStart w:id="1" w:name="bookmark31"/>
      <w:bookmarkEnd w:id="1"/>
      <w:r w:rsidRPr="001A0BAA">
        <w:rPr>
          <w:color w:val="0070C0"/>
          <w:sz w:val="16"/>
          <w:szCs w:val="16"/>
        </w:rPr>
        <w:t>На 1 января 1945 г. ГВФ располагали десятью Г-2, на 1 июня остались два, а на 1 декабря - один, последний. Он, еще исправный, возил серу в Туркмении. Этот самолет списали в августе 1946 г. (24938)</w:t>
      </w:r>
    </w:p>
    <w:p w14:paraId="05BB47C9" w14:textId="77777777" w:rsidR="004D2A3F" w:rsidRPr="001A0BAA" w:rsidRDefault="004D2A3F" w:rsidP="004D2A3F">
      <w:pPr>
        <w:jc w:val="both"/>
        <w:rPr>
          <w:color w:val="0070C0"/>
          <w:sz w:val="16"/>
          <w:szCs w:val="16"/>
        </w:rPr>
      </w:pPr>
    </w:p>
    <w:p w14:paraId="7CBDAD87" w14:textId="77777777" w:rsidR="004D2A3F" w:rsidRPr="001A0BAA" w:rsidRDefault="004D2A3F" w:rsidP="004D2A3F">
      <w:pPr>
        <w:jc w:val="both"/>
        <w:rPr>
          <w:color w:val="0070C0"/>
          <w:sz w:val="16"/>
          <w:szCs w:val="16"/>
        </w:rPr>
      </w:pPr>
      <w:r w:rsidRPr="001A0BAA">
        <w:rPr>
          <w:color w:val="0070C0"/>
          <w:sz w:val="16"/>
          <w:szCs w:val="16"/>
        </w:rPr>
        <w:t>На 1 января 1945 г. в составе тихоокеанского 115-го морского ближне</w:t>
      </w:r>
      <w:r w:rsidRPr="001A0BAA">
        <w:rPr>
          <w:color w:val="0070C0"/>
          <w:sz w:val="16"/>
          <w:szCs w:val="16"/>
        </w:rPr>
        <w:softHyphen/>
        <w:t>разведывательного авиационного полка числились четыре корабельных разведчика Бе-4 (№ 28808, № 28809, № 4770201 и № 4770203). Они были приписаны к авиационным звеньям лёгких крейсеров «Каганович» и «Калинин». По другим данным, на 9 августа 1945 г. ВВС Тихоокеанского флота распо</w:t>
      </w:r>
      <w:r w:rsidRPr="001A0BAA">
        <w:rPr>
          <w:color w:val="0070C0"/>
          <w:sz w:val="16"/>
          <w:szCs w:val="16"/>
        </w:rPr>
        <w:softHyphen/>
        <w:t>лагали всего одной летающей лодкой данного типа. Но известные номера самолётов скорее подтверждают первую версию, поскольку два из них изготовили в Омске не позже 1943 г.</w:t>
      </w:r>
    </w:p>
    <w:p w14:paraId="13B70723" w14:textId="77777777" w:rsidR="004D2A3F" w:rsidRPr="001A0BAA" w:rsidRDefault="004D2A3F" w:rsidP="004D2A3F">
      <w:pPr>
        <w:jc w:val="both"/>
        <w:rPr>
          <w:color w:val="0070C0"/>
          <w:sz w:val="16"/>
          <w:szCs w:val="16"/>
        </w:rPr>
      </w:pPr>
      <w:r w:rsidRPr="001A0BAA">
        <w:rPr>
          <w:color w:val="0070C0"/>
          <w:sz w:val="16"/>
          <w:szCs w:val="16"/>
        </w:rPr>
        <w:t xml:space="preserve">В боевых действиях против Японии в августе 1945 г. тихоокеанские Бе-4 не участвовали. Зато в послевоенный период их эксплуатировали на Тихом океане именно по основному назначению, то есть в качестве корабельных катапультных разведчиков. Хотя крейсеры «Каганович» и «Калинин» получили первые самолёты в 1944 </w:t>
      </w:r>
      <w:r w:rsidRPr="001A0BAA">
        <w:rPr>
          <w:color w:val="0070C0"/>
          <w:sz w:val="16"/>
          <w:szCs w:val="16"/>
        </w:rPr>
        <w:lastRenderedPageBreak/>
        <w:t>г., штатных катапульт ЗК-2 на них первоначально не имелось. Первую катапульту доставили из Ленинграда и смонтировали на «Кагановиче» в 1945 г., вторую немного позже получил «Калинин» (25658).</w:t>
      </w:r>
    </w:p>
    <w:p w14:paraId="6F997D30" w14:textId="77777777" w:rsidR="004D2A3F" w:rsidRPr="001A0BAA" w:rsidRDefault="004D2A3F" w:rsidP="004D2A3F">
      <w:pPr>
        <w:jc w:val="both"/>
        <w:rPr>
          <w:color w:val="0070C0"/>
          <w:sz w:val="16"/>
          <w:szCs w:val="16"/>
        </w:rPr>
      </w:pPr>
    </w:p>
    <w:p w14:paraId="6E649278" w14:textId="77777777" w:rsidR="004D2A3F" w:rsidRPr="001A0BAA" w:rsidRDefault="004D2A3F" w:rsidP="004D2A3F">
      <w:pPr>
        <w:jc w:val="both"/>
        <w:rPr>
          <w:color w:val="0070C0"/>
          <w:sz w:val="16"/>
          <w:szCs w:val="16"/>
        </w:rPr>
      </w:pPr>
      <w:r w:rsidRPr="001A0BAA">
        <w:rPr>
          <w:color w:val="0070C0"/>
          <w:sz w:val="16"/>
          <w:szCs w:val="16"/>
        </w:rPr>
        <w:t>К 1 января 1945 года в войсках еще имелось 63 танка Churchill,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(25369).</w:t>
      </w:r>
    </w:p>
    <w:p w14:paraId="23540580" w14:textId="77777777" w:rsidR="004D2A3F" w:rsidRPr="001A0BAA" w:rsidRDefault="004D2A3F" w:rsidP="004D2A3F">
      <w:pPr>
        <w:jc w:val="both"/>
        <w:rPr>
          <w:color w:val="0070C0"/>
          <w:sz w:val="16"/>
          <w:szCs w:val="16"/>
        </w:rPr>
      </w:pPr>
    </w:p>
    <w:p w14:paraId="3541AB53" w14:textId="77777777" w:rsidR="00CD7B36" w:rsidRPr="00925F26" w:rsidRDefault="00CD7B36" w:rsidP="00925F26">
      <w:pPr>
        <w:shd w:val="clear" w:color="auto" w:fill="FFFFFF"/>
        <w:jc w:val="both"/>
        <w:rPr>
          <w:color w:val="000000" w:themeColor="text1"/>
          <w:sz w:val="16"/>
          <w:szCs w:val="16"/>
        </w:rPr>
      </w:pPr>
      <w:r w:rsidRPr="00925F26">
        <w:rPr>
          <w:color w:val="000000" w:themeColor="text1"/>
          <w:sz w:val="16"/>
          <w:szCs w:val="16"/>
        </w:rPr>
        <w:t>К 1 января 1945 года в войсках еще имелось 63 танка Черчиль,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3356689E" w14:textId="77777777" w:rsidR="00CD7B36" w:rsidRPr="00925F26" w:rsidRDefault="00CD7B36" w:rsidP="00925F26">
      <w:pPr>
        <w:jc w:val="both"/>
        <w:rPr>
          <w:color w:val="000000" w:themeColor="text1"/>
          <w:sz w:val="16"/>
          <w:szCs w:val="16"/>
        </w:rPr>
      </w:pPr>
    </w:p>
    <w:p w14:paraId="14F84A98" w14:textId="77777777" w:rsidR="00CD7B36" w:rsidRPr="00925F26" w:rsidRDefault="00CD7B36"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 1 января 1945 года в строю оставалось 118 М3Ср; из них до конца войны 16 штук было потеряно безвозвратно. Из имевшихся к 1 июня в Красной армии 102-х танков данного типа 4 закончили боевой путь в составе частей 1-го Белорусского фронта, 1 — в составе 2-го Белорусского фронта и 4 — на 3-м Белорусском фронте. Другими словами, М3Ср продолжали воевать до конца Великой Отечественной войны. Еще один М3Ср в составе Забайкальского фронта умудрился поучаствовать и в войне против Японии. Не таким уж и плохим танком оказался этот «американец». До наших дней сохранилась всего одна такая машина. Это тот самый танк, что испытывался в 1942-43 годах (17705).</w:t>
      </w:r>
    </w:p>
    <w:p w14:paraId="145270DA" w14:textId="77777777" w:rsidR="00CD7B36" w:rsidRPr="00925F26" w:rsidRDefault="00CD7B36" w:rsidP="00925F26">
      <w:pPr>
        <w:jc w:val="both"/>
        <w:rPr>
          <w:color w:val="000000" w:themeColor="text1"/>
          <w:sz w:val="16"/>
          <w:szCs w:val="16"/>
        </w:rPr>
      </w:pPr>
    </w:p>
    <w:p w14:paraId="39C0278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BBA0339" w14:textId="77777777" w:rsidR="00C2313B" w:rsidRPr="00925F26" w:rsidRDefault="00C2313B" w:rsidP="00925F26">
      <w:pPr>
        <w:autoSpaceDE w:val="0"/>
        <w:autoSpaceDN w:val="0"/>
        <w:adjustRightInd w:val="0"/>
        <w:jc w:val="both"/>
        <w:rPr>
          <w:iCs/>
          <w:color w:val="000000" w:themeColor="text1"/>
          <w:sz w:val="16"/>
          <w:szCs w:val="16"/>
        </w:rPr>
      </w:pPr>
    </w:p>
    <w:p w14:paraId="4A1A61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1 января 1945 года в ИТЛ содержалось 715 506 заключенных (7560).</w:t>
      </w:r>
    </w:p>
    <w:p w14:paraId="711FE8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Поквартальная численность заключенных ИТК (вместе с лаготделениями УИТЛК) в 1944 году составляла: на 1 января - 505 996 человек, на 1 апреля - 518 761, на 1 июля - 576 335, на 1 октября - 670 023 человека. Поквартальная численность заключенных тюрем: на 1 января - 151 296 человек, на 1 апреля - 179 802, на 1 июля - 204 290, на 1 октября - 270 743 человека (7560).</w:t>
      </w:r>
    </w:p>
    <w:p w14:paraId="701ECB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1945 году судебными органами и специальными судами (военными трибуналами, транспортными и лагерными судами) было приговорено к лишению свободы 899 613 человек; еще 297 человек было осуждено Военной коллегией Верховного суда СССР и 26 381 - Особым совещанием при НКВД СССР. В целом это на 259 228 человек меньше, чем в 1944-м, и если на 1 января 1945 года в ИТЛ и ИТК находилось 1 460 677 заключенных, то на 1 января 1946-го - 1 110 593 человека (7560).</w:t>
      </w:r>
    </w:p>
    <w:p w14:paraId="68769F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1945 года в ИТЛ и ИТК ГУЛАГа поступило около 850 тысяч вновь осужденных, а освобождено было 1 062 411 человек (в том числе по амнистии в связи с победой над гитлеровской Германией); бежало 5905 человек, умерло - 81 917, уровень смертности составил 5,96 процента от среднегодовой численности заключенных (7560).</w:t>
      </w:r>
    </w:p>
    <w:p w14:paraId="29C84A45" w14:textId="77777777" w:rsidR="00C2313B" w:rsidRPr="00925F26" w:rsidRDefault="00C2313B" w:rsidP="00925F26">
      <w:pPr>
        <w:autoSpaceDE w:val="0"/>
        <w:autoSpaceDN w:val="0"/>
        <w:adjustRightInd w:val="0"/>
        <w:jc w:val="both"/>
        <w:rPr>
          <w:color w:val="000000" w:themeColor="text1"/>
          <w:sz w:val="16"/>
          <w:szCs w:val="16"/>
        </w:rPr>
      </w:pPr>
    </w:p>
    <w:p w14:paraId="03D601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года списочное число (включая числившихся на этот момент в пересылках почти 18 тысяч человек) заключенных ИТЛ и ИТК составляло 1 478 622 человека, из них 937 846 мужчин (69,3 процента) и 415 630 женщин (30,7 процента). По возрастному составу они распределялись так: до 17 лет - 40 530 человек (3 процента), от 17 до 30 лет - 658 066 (48,6), от 31 до 50 лет - 542 172 (40,1), от 51 до 60 лет - 96 329 (7,1), старше 60 лет - 16 950 человек (1,2 процента) (7560).</w:t>
      </w:r>
    </w:p>
    <w:p w14:paraId="440DDD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“контрреволюционные преступления” было осуждено 392 621 человек (29 процентов), в том числе:</w:t>
      </w:r>
    </w:p>
    <w:p w14:paraId="62F9F4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измена родине - 77 067 человек (5,6 процента);</w:t>
      </w:r>
    </w:p>
    <w:p w14:paraId="2A151B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шпионаж - 16 014 (1,2);</w:t>
      </w:r>
    </w:p>
    <w:p w14:paraId="06D46E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террор и “тернамерения” - 10 245 (0,8);</w:t>
      </w:r>
    </w:p>
    <w:p w14:paraId="1EA3FC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диверсии - 3206 (0,2);</w:t>
      </w:r>
    </w:p>
    <w:p w14:paraId="140F7D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вредительство - 8175 (0,6);</w:t>
      </w:r>
    </w:p>
    <w:p w14:paraId="314FA3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к/р (контрреволюционный) саботаж - 24 567 (1,8);</w:t>
      </w:r>
    </w:p>
    <w:p w14:paraId="572ED8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участие в антисоветских заговорах - 31 298 (2,3);</w:t>
      </w:r>
    </w:p>
    <w:p w14:paraId="3B3967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антисоветская агитация - 130 969 (9,7);</w:t>
      </w:r>
    </w:p>
    <w:p w14:paraId="2434A5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политбандитизм и повстанчество - 7563 (0,5);</w:t>
      </w:r>
    </w:p>
    <w:p w14:paraId="12C149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нелегальный переход границы - 5585 (0,4);</w:t>
      </w:r>
    </w:p>
    <w:p w14:paraId="1C2318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контрабанда - 1266 (0,1);</w:t>
      </w:r>
    </w:p>
    <w:p w14:paraId="097C3F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ЧСИР (члены семей изменников родины) - 6449 (0,5);</w:t>
      </w:r>
    </w:p>
    <w:p w14:paraId="7EAD48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СОЭ (социально-опасные элементы) - 13 112 (0,9);</w:t>
      </w:r>
    </w:p>
    <w:p w14:paraId="58CEDB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прочие к/р преступления - 57 093 (4,4) (7560).</w:t>
      </w:r>
    </w:p>
    <w:p w14:paraId="12BF27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уголовные преступления было осуждено 960 687 человек (71 процент), в том числе:</w:t>
      </w:r>
    </w:p>
    <w:p w14:paraId="4A6AC5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по закону от 7 августа 1932-го (расхищение соцсобственности, в обиходе - “семь восьмых” или “закон о колосках”) - 45 717 человек (3,4 процента);</w:t>
      </w:r>
    </w:p>
    <w:p w14:paraId="7D25A2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спекуляция - 29 943 (2,2);</w:t>
      </w:r>
    </w:p>
    <w:p w14:paraId="27CF14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бандитизм, вооруженное ограбление - 53 289 (3,9);</w:t>
      </w:r>
    </w:p>
    <w:p w14:paraId="4E5507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“скотокрадство” - 22 715 (1,7);</w:t>
      </w:r>
    </w:p>
    <w:p w14:paraId="2F04C0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воры-рецидивисты - 61 388 (4,5);</w:t>
      </w:r>
    </w:p>
    <w:p w14:paraId="646A1C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имущественные преступления - 212 595 (15,7);</w:t>
      </w:r>
    </w:p>
    <w:p w14:paraId="55CC14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хулиганство - 25 656 (1,9);</w:t>
      </w:r>
    </w:p>
    <w:p w14:paraId="114324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нарушение закона о паспортизации - 11 945 (0,9);</w:t>
      </w:r>
    </w:p>
    <w:p w14:paraId="57E46C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СВЭ (социально-вредные элементы) - 11 627 (0,9);</w:t>
      </w:r>
    </w:p>
    <w:p w14:paraId="712FCD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дезертирство - 49 771 (3,7);</w:t>
      </w:r>
    </w:p>
    <w:p w14:paraId="51EC2C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членовредительство - 5010 (0,4);</w:t>
      </w:r>
    </w:p>
    <w:p w14:paraId="6C6A71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мародерство - 1743 (0,1);</w:t>
      </w:r>
    </w:p>
    <w:p w14:paraId="4A88D5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остальные воинские преступления - 33 330 (2,4);</w:t>
      </w:r>
    </w:p>
    <w:p w14:paraId="7E7E58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незаконное хранение оружия - 4258 (0,3);</w:t>
      </w:r>
    </w:p>
    <w:p w14:paraId="5027A0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должностные и хозяйственные преступления - 99 695 (7,4);</w:t>
      </w:r>
    </w:p>
    <w:p w14:paraId="1B3790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по указу от 26 декабря 1941-го (“самовольный уход” с предприятий военной промышленности и приравненных к ним) - 183 321 (13,5);</w:t>
      </w:r>
    </w:p>
    <w:p w14:paraId="3D9EDA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по другим указам Президиума Верховного Совета СССР (ПВС) - 25 069 (1,8);</w:t>
      </w:r>
    </w:p>
    <w:p w14:paraId="1225EA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прочие уголовные преступления - 83 799 (6,3) (7560).</w:t>
      </w:r>
    </w:p>
    <w:p w14:paraId="53A833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окраскам” общая масса заключенных распределялась так:</w:t>
      </w:r>
    </w:p>
    <w:p w14:paraId="76C13B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бывшие помещики, фабриканты, торговцы - 34 359 человек (2,5 процента);</w:t>
      </w:r>
    </w:p>
    <w:p w14:paraId="6E18DB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предатели и пособники фашистов - 39 500 (2,9);</w:t>
      </w:r>
    </w:p>
    <w:p w14:paraId="4A9DA2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троцкистско-бухаринская агентура - 5623 (0,4);</w:t>
      </w:r>
    </w:p>
    <w:p w14:paraId="1C7659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бывшие члены а/с (антисоветских) партий - 2765 (0,2);</w:t>
      </w:r>
    </w:p>
    <w:p w14:paraId="03434D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бывшие участники буржуазно-националистических партий - 3491 (0,3);</w:t>
      </w:r>
    </w:p>
    <w:p w14:paraId="47F737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бывшие участники антисоветских фашистских формирований - 715 человек;</w:t>
      </w:r>
    </w:p>
    <w:p w14:paraId="721C5D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бывшие участники антисоветских буржуазно-демократических формирований - 380 человек;</w:t>
      </w:r>
    </w:p>
    <w:p w14:paraId="453020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церковники и сектанты - 2371 человек (0,2 процента) (7560).</w:t>
      </w:r>
    </w:p>
    <w:p w14:paraId="626095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национальному составу среди заключенных было:</w:t>
      </w:r>
    </w:p>
    <w:p w14:paraId="2E60E1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русских - 871 497 человек (64,4 процента);</w:t>
      </w:r>
    </w:p>
    <w:p w14:paraId="55C8EB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украинцев - 149 478 (11);</w:t>
      </w:r>
    </w:p>
    <w:p w14:paraId="17FB13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белорусов - 27 250 (2);</w:t>
      </w:r>
    </w:p>
    <w:p w14:paraId="16179F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грузин - 12 581 (0,9);</w:t>
      </w:r>
    </w:p>
    <w:p w14:paraId="2340D6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армян - 15 005 (1,2);</w:t>
      </w:r>
    </w:p>
    <w:p w14:paraId="096D51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“тюрок” (азербайджанцев) - 12 954 (1);</w:t>
      </w:r>
    </w:p>
    <w:p w14:paraId="41D03A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казахов - 22 404 (1,7);</w:t>
      </w:r>
    </w:p>
    <w:p w14:paraId="6C70D7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туркмен - 7956 (0,6);</w:t>
      </w:r>
    </w:p>
    <w:p w14:paraId="4003A3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узбеков - 24 105 (1,8);</w:t>
      </w:r>
    </w:p>
    <w:p w14:paraId="669777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таджиков - 4702 (0,4);</w:t>
      </w:r>
    </w:p>
    <w:p w14:paraId="5BBFCE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киргизов - 5244 (0,4);</w:t>
      </w:r>
    </w:p>
    <w:p w14:paraId="68563A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татар - 38 366 (2,8);</w:t>
      </w:r>
    </w:p>
    <w:p w14:paraId="4F0159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башкир - 5678 (0,4);</w:t>
      </w:r>
    </w:p>
    <w:p w14:paraId="01C36A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молдаван - 3652 (0,3);</w:t>
      </w:r>
    </w:p>
    <w:p w14:paraId="40EAAA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финнов и карел - 3020 (0,2);</w:t>
      </w:r>
    </w:p>
    <w:p w14:paraId="059A8E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латышей - 4474 (0,3);</w:t>
      </w:r>
    </w:p>
    <w:p w14:paraId="1551B5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литовцев - 2224 (0,2);</w:t>
      </w:r>
    </w:p>
    <w:p w14:paraId="7AB767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эстонцев - 4017 (0,3);</w:t>
      </w:r>
    </w:p>
    <w:p w14:paraId="6910AC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евреев - 24 463 (1,8);</w:t>
      </w:r>
    </w:p>
    <w:p w14:paraId="3FB524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“прочих” (из народов СССР) - 54 235 (4,1);</w:t>
      </w:r>
    </w:p>
    <w:p w14:paraId="234AEE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немцев - 32 954 (2,4);</w:t>
      </w:r>
    </w:p>
    <w:p w14:paraId="0CA615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поляков - 11 917 (0,9);</w:t>
      </w:r>
    </w:p>
    <w:p w14:paraId="5A9031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румын - 987 человек;</w:t>
      </w:r>
    </w:p>
    <w:p w14:paraId="68C85C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“иранцев” - 1042 человек (0,1 процента);</w:t>
      </w:r>
    </w:p>
    <w:p w14:paraId="699792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афганцев - 95 человек;</w:t>
      </w:r>
    </w:p>
    <w:p w14:paraId="76E44F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монголов - 64 человека;</w:t>
      </w:r>
    </w:p>
    <w:p w14:paraId="2FD32C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китайцев - 3212 человека (0,2 процента);</w:t>
      </w:r>
    </w:p>
    <w:p w14:paraId="535ED8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японцев - 28 человек;</w:t>
      </w:r>
    </w:p>
    <w:p w14:paraId="789C1B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“иноподданных” (прочих) - 5151 человек (0,4 процента).</w:t>
      </w:r>
    </w:p>
    <w:p w14:paraId="17D0F8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Сроки до 6 месяцев имели 25 474 заключенных (1,9 процента), от 6 месяцев до 1 года - 72 605 (5,6), от 1 года до 3 лет - 224 343 (17,2), от 3 до 5 лет - 307 138 (23,5), от 5 до 10 лет - 663 641 (50,8), свыше 10 лет - 9943 (0,8); “задержано освобождением по директиве № 185” (от 29 апреля 1942-го) - 21 371 человек (1,6 процента) (7560).</w:t>
      </w:r>
    </w:p>
    <w:p w14:paraId="46D91226" w14:textId="77777777" w:rsidR="00C2313B" w:rsidRPr="00925F26" w:rsidRDefault="00C2313B" w:rsidP="00925F26">
      <w:pPr>
        <w:autoSpaceDE w:val="0"/>
        <w:autoSpaceDN w:val="0"/>
        <w:adjustRightInd w:val="0"/>
        <w:jc w:val="both"/>
        <w:rPr>
          <w:color w:val="000000" w:themeColor="text1"/>
          <w:sz w:val="16"/>
          <w:szCs w:val="16"/>
        </w:rPr>
      </w:pPr>
    </w:p>
    <w:p w14:paraId="109A0DA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1099A75" w14:textId="77777777" w:rsidR="00C2313B" w:rsidRPr="00925F26" w:rsidRDefault="00C2313B" w:rsidP="00925F26">
      <w:pPr>
        <w:autoSpaceDE w:val="0"/>
        <w:autoSpaceDN w:val="0"/>
        <w:adjustRightInd w:val="0"/>
        <w:jc w:val="both"/>
        <w:rPr>
          <w:iCs/>
          <w:color w:val="000000" w:themeColor="text1"/>
          <w:sz w:val="16"/>
          <w:szCs w:val="16"/>
        </w:rPr>
      </w:pPr>
    </w:p>
    <w:p w14:paraId="68771A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немцы перешли в наступление в Эльзасе. Тут то У.Ч. обратился к И.В.С. и 12013 КА начала наступление в Польше и Восточной Пруссии на 8 дней раньше намеченного срока (2438,61).</w:t>
      </w:r>
    </w:p>
    <w:p w14:paraId="3C320A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АДД нанесла удары по аэродромам (518,65).</w:t>
      </w:r>
    </w:p>
    <w:p w14:paraId="66BB6462" w14:textId="77777777" w:rsidR="00C2313B" w:rsidRPr="00925F26" w:rsidRDefault="00C2313B" w:rsidP="00925F26">
      <w:pPr>
        <w:autoSpaceDE w:val="0"/>
        <w:autoSpaceDN w:val="0"/>
        <w:adjustRightInd w:val="0"/>
        <w:jc w:val="both"/>
        <w:rPr>
          <w:color w:val="000000" w:themeColor="text1"/>
          <w:sz w:val="16"/>
          <w:szCs w:val="16"/>
        </w:rPr>
      </w:pPr>
    </w:p>
    <w:p w14:paraId="3E06FF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г. И.В.С. информировал Рузвельта, а 4 - Черчиля, что СССР признал КНО в качестве временного правительства Польши (3871).</w:t>
      </w:r>
    </w:p>
    <w:p w14:paraId="2D972E1B" w14:textId="77777777" w:rsidR="00C2313B" w:rsidRPr="00925F26" w:rsidRDefault="00C2313B" w:rsidP="00925F26">
      <w:pPr>
        <w:autoSpaceDE w:val="0"/>
        <w:autoSpaceDN w:val="0"/>
        <w:adjustRightInd w:val="0"/>
        <w:jc w:val="both"/>
        <w:rPr>
          <w:color w:val="000000" w:themeColor="text1"/>
          <w:sz w:val="16"/>
          <w:szCs w:val="16"/>
        </w:rPr>
      </w:pPr>
    </w:p>
    <w:p w14:paraId="1BD087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был образован Люблинский комитет, временное правительство Польши (2248,1).</w:t>
      </w:r>
    </w:p>
    <w:p w14:paraId="29DF4449" w14:textId="77777777" w:rsidR="00C2313B" w:rsidRPr="00925F26" w:rsidRDefault="00C2313B" w:rsidP="00925F26">
      <w:pPr>
        <w:autoSpaceDE w:val="0"/>
        <w:autoSpaceDN w:val="0"/>
        <w:adjustRightInd w:val="0"/>
        <w:jc w:val="both"/>
        <w:rPr>
          <w:color w:val="000000" w:themeColor="text1"/>
          <w:sz w:val="16"/>
          <w:szCs w:val="16"/>
        </w:rPr>
      </w:pPr>
    </w:p>
    <w:p w14:paraId="754B64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СПРАВКА О ВЫДАЧЕ АВТОМАШИН ПОЛЬСКИМ ЧАСТЯМ С НАЧАЛА ИХ ФОРМИРОВАНИЯ ДО 1.01.1945 г.</w:t>
      </w:r>
    </w:p>
    <w:tbl>
      <w:tblPr>
        <w:tblW w:w="0" w:type="auto"/>
        <w:tblInd w:w="40" w:type="dxa"/>
        <w:tblLayout w:type="fixed"/>
        <w:tblCellMar>
          <w:left w:w="40" w:type="dxa"/>
          <w:right w:w="40" w:type="dxa"/>
        </w:tblCellMar>
        <w:tblLook w:val="0000" w:firstRow="0" w:lastRow="0" w:firstColumn="0" w:lastColumn="0" w:noHBand="0" w:noVBand="0"/>
      </w:tblPr>
      <w:tblGrid>
        <w:gridCol w:w="902"/>
        <w:gridCol w:w="490"/>
        <w:gridCol w:w="432"/>
        <w:gridCol w:w="470"/>
        <w:gridCol w:w="461"/>
        <w:gridCol w:w="461"/>
        <w:gridCol w:w="442"/>
        <w:gridCol w:w="480"/>
        <w:gridCol w:w="461"/>
        <w:gridCol w:w="461"/>
        <w:gridCol w:w="480"/>
        <w:gridCol w:w="461"/>
        <w:gridCol w:w="461"/>
        <w:gridCol w:w="470"/>
        <w:gridCol w:w="442"/>
        <w:gridCol w:w="480"/>
        <w:gridCol w:w="509"/>
      </w:tblGrid>
      <w:tr w:rsidR="000F5689" w:rsidRPr="00925F26" w14:paraId="2D3F51AD" w14:textId="77777777">
        <w:trPr>
          <w:trHeight w:val="134"/>
        </w:trPr>
        <w:tc>
          <w:tcPr>
            <w:tcW w:w="902" w:type="dxa"/>
            <w:tcBorders>
              <w:top w:val="single" w:sz="6" w:space="0" w:color="auto"/>
              <w:left w:val="single" w:sz="6" w:space="0" w:color="auto"/>
              <w:bottom w:val="nil"/>
              <w:right w:val="single" w:sz="6" w:space="0" w:color="auto"/>
            </w:tcBorders>
          </w:tcPr>
          <w:p w14:paraId="684A6E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A7D7F9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0B937C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Студебекер</w:t>
            </w:r>
          </w:p>
          <w:p w14:paraId="340C9B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62AA14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Шевроле</w:t>
            </w:r>
          </w:p>
          <w:p w14:paraId="31D680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D0819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Додж 3/4</w:t>
            </w:r>
          </w:p>
          <w:p w14:paraId="0AD489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16A7F9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45214F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9E8B8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ЗИС-5</w:t>
            </w:r>
          </w:p>
          <w:p w14:paraId="6004EB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37BD26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ГАЗ-АА</w:t>
            </w:r>
          </w:p>
          <w:p w14:paraId="6E6BC0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36D1A2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Санавтобусы</w:t>
            </w:r>
          </w:p>
          <w:p w14:paraId="2348F5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0F051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Бензоцистерны</w:t>
            </w:r>
          </w:p>
          <w:p w14:paraId="5E6AA7F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CB9CD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 Летучка А</w:t>
            </w:r>
          </w:p>
          <w:p w14:paraId="3F123D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39C98C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Ремлетучка Б</w:t>
            </w:r>
          </w:p>
          <w:p w14:paraId="04184C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33D8A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ПЗС-4</w:t>
            </w:r>
          </w:p>
          <w:p w14:paraId="5AED88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59E3D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Виллисы</w:t>
            </w:r>
          </w:p>
          <w:p w14:paraId="029C1C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39F436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 Амфибия</w:t>
            </w:r>
          </w:p>
          <w:p w14:paraId="68E1DD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3C0785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ГАЗ-67</w:t>
            </w:r>
          </w:p>
          <w:p w14:paraId="079578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C2FC2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М-18</w:t>
            </w:r>
          </w:p>
          <w:p w14:paraId="1F4530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3C6042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53E903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0E13654" w14:textId="77777777">
        <w:trPr>
          <w:trHeight w:val="269"/>
        </w:trPr>
        <w:tc>
          <w:tcPr>
            <w:tcW w:w="902" w:type="dxa"/>
            <w:tcBorders>
              <w:top w:val="single" w:sz="6" w:space="0" w:color="auto"/>
              <w:left w:val="single" w:sz="6" w:space="0" w:color="auto"/>
              <w:bottom w:val="nil"/>
              <w:right w:val="single" w:sz="6" w:space="0" w:color="auto"/>
            </w:tcBorders>
          </w:tcPr>
          <w:p w14:paraId="712D32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6DF3DA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3F1E09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E724A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01A24D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A9257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6B3879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09564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E4C52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117F3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EECDA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F8029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2C1DF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2A699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C66D8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07DA2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ECD5B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732D2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3B456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86408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09EA2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0BAA1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2CA56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7764B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02F89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AB5AA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365D91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EA5F1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7F36E0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749EB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9EDFB3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9CBEF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4FB214B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DD1B38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FB437DB" w14:textId="77777777">
        <w:trPr>
          <w:trHeight w:val="221"/>
        </w:trPr>
        <w:tc>
          <w:tcPr>
            <w:tcW w:w="902" w:type="dxa"/>
            <w:tcBorders>
              <w:top w:val="nil"/>
              <w:left w:val="single" w:sz="6" w:space="0" w:color="auto"/>
              <w:bottom w:val="single" w:sz="6" w:space="0" w:color="auto"/>
              <w:right w:val="single" w:sz="6" w:space="0" w:color="auto"/>
            </w:tcBorders>
          </w:tcPr>
          <w:p w14:paraId="0AEE31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6EDF4E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07DECE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219</w:t>
            </w:r>
          </w:p>
          <w:p w14:paraId="09A363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5C2D0F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7AB02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069E8A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w:t>
            </w:r>
          </w:p>
          <w:p w14:paraId="0B254B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0BE48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w:t>
            </w:r>
          </w:p>
          <w:p w14:paraId="0EF361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9FC08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4D87F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409929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207</w:t>
            </w:r>
          </w:p>
          <w:p w14:paraId="4ED932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D71F6D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181685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31A7C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1A2DC9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69912B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014934B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078AF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60F8F7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A32A2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w:t>
            </w:r>
          </w:p>
          <w:p w14:paraId="1384743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5B6B09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w:t>
            </w:r>
          </w:p>
          <w:p w14:paraId="345CCF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67956C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A5D8E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223DF9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EA9731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05B198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92B51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5DD526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631</w:t>
            </w:r>
          </w:p>
          <w:p w14:paraId="554413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1F1C5F9" w14:textId="77777777">
        <w:trPr>
          <w:trHeight w:val="202"/>
        </w:trPr>
        <w:tc>
          <w:tcPr>
            <w:tcW w:w="902" w:type="dxa"/>
            <w:tcBorders>
              <w:top w:val="single" w:sz="6" w:space="0" w:color="auto"/>
              <w:left w:val="single" w:sz="6" w:space="0" w:color="auto"/>
              <w:bottom w:val="nil"/>
              <w:right w:val="single" w:sz="6" w:space="0" w:color="auto"/>
            </w:tcBorders>
          </w:tcPr>
          <w:p w14:paraId="2FCF9C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4AA59A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4E22D5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9763F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387AF0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661B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6B3053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7EEC3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DC780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99397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E1D24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169D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1B1B8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A10B0D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D5C35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587730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85395D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9A79CC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E36C2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5DD29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09BDE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6A164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8A2C1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6ED4FA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915CE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4964E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54EA23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4B24C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71E9B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C31E30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0DE89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43BF8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1BC3FA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874BF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24089AE" w14:textId="77777777">
        <w:trPr>
          <w:trHeight w:val="192"/>
        </w:trPr>
        <w:tc>
          <w:tcPr>
            <w:tcW w:w="902" w:type="dxa"/>
            <w:tcBorders>
              <w:top w:val="nil"/>
              <w:left w:val="single" w:sz="6" w:space="0" w:color="auto"/>
              <w:bottom w:val="nil"/>
              <w:right w:val="single" w:sz="6" w:space="0" w:color="auto"/>
            </w:tcBorders>
          </w:tcPr>
          <w:p w14:paraId="7344B3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2DB591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98BC4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2097</w:t>
            </w:r>
          </w:p>
          <w:p w14:paraId="71FC1F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nil"/>
              <w:right w:val="single" w:sz="6" w:space="0" w:color="auto"/>
            </w:tcBorders>
          </w:tcPr>
          <w:p w14:paraId="705FEC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774</w:t>
            </w:r>
          </w:p>
          <w:p w14:paraId="2AF19AE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1D07A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705</w:t>
            </w:r>
          </w:p>
          <w:p w14:paraId="05FFAB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3C734B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859</w:t>
            </w:r>
          </w:p>
          <w:p w14:paraId="2E23AA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2945D5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511</w:t>
            </w:r>
          </w:p>
          <w:p w14:paraId="771B66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71369F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w:t>
            </w:r>
          </w:p>
          <w:p w14:paraId="578261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D0B5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118</w:t>
            </w:r>
          </w:p>
          <w:p w14:paraId="44D6F5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05991E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w:t>
            </w:r>
          </w:p>
          <w:p w14:paraId="5E42D3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44BEFB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w:t>
            </w:r>
          </w:p>
          <w:p w14:paraId="6DC30F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F3E3A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415E6B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5E3F6C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4244BD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621E8D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329</w:t>
            </w:r>
          </w:p>
          <w:p w14:paraId="491935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72A56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5E4522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1D3BE7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1E3638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3541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131965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nil"/>
              <w:right w:val="single" w:sz="6" w:space="0" w:color="auto"/>
            </w:tcBorders>
          </w:tcPr>
          <w:p w14:paraId="5057BBB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5617</w:t>
            </w:r>
          </w:p>
          <w:p w14:paraId="50CA0C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9129EB7" w14:textId="77777777">
        <w:trPr>
          <w:trHeight w:val="240"/>
        </w:trPr>
        <w:tc>
          <w:tcPr>
            <w:tcW w:w="902" w:type="dxa"/>
            <w:tcBorders>
              <w:top w:val="nil"/>
              <w:left w:val="single" w:sz="6" w:space="0" w:color="auto"/>
              <w:bottom w:val="single" w:sz="6" w:space="0" w:color="auto"/>
              <w:right w:val="single" w:sz="6" w:space="0" w:color="auto"/>
            </w:tcBorders>
          </w:tcPr>
          <w:p w14:paraId="30EED8C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55FF8B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4798CB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2316</w:t>
            </w:r>
          </w:p>
          <w:p w14:paraId="4BC5D6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7FC9D8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774</w:t>
            </w:r>
          </w:p>
          <w:p w14:paraId="7D7375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51760B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787</w:t>
            </w:r>
          </w:p>
          <w:p w14:paraId="38A1E4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5CE15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892</w:t>
            </w:r>
          </w:p>
          <w:p w14:paraId="3E28A8E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8E490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511</w:t>
            </w:r>
          </w:p>
          <w:p w14:paraId="339849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7449CF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310</w:t>
            </w:r>
          </w:p>
          <w:p w14:paraId="4E9D08D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96851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128</w:t>
            </w:r>
          </w:p>
          <w:p w14:paraId="32116D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61916F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p w14:paraId="236D85E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BB734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p w14:paraId="7E6612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2CD435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64273B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5010E79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w:t>
            </w:r>
          </w:p>
          <w:p w14:paraId="339085F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A6FF1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380</w:t>
            </w:r>
          </w:p>
          <w:p w14:paraId="4390B2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210DCA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2922DF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39D96C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651749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496876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479B89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34E5A9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6248</w:t>
            </w:r>
          </w:p>
          <w:p w14:paraId="6991CA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7A5FA2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Примечание: по данным представителя автоуправления Польского Войска (майора т. Волкова), наличие машин в частях войска на 20.12.1944 г. составляло 7940 машин.</w:t>
      </w:r>
    </w:p>
    <w:p w14:paraId="41F867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ГАВТУ КА генерал-лейтенант технических войск Тягунов</w:t>
      </w:r>
    </w:p>
    <w:p w14:paraId="71B145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41. Оп. 11593. Д. 346. Л. 2, 3. Подлинник (11420).</w:t>
      </w:r>
    </w:p>
    <w:p w14:paraId="38B22F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6DAFB4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9E78673" w14:textId="77777777" w:rsidR="00C2313B" w:rsidRPr="00925F26" w:rsidRDefault="00C2313B" w:rsidP="00925F26">
      <w:pPr>
        <w:autoSpaceDE w:val="0"/>
        <w:autoSpaceDN w:val="0"/>
        <w:adjustRightInd w:val="0"/>
        <w:jc w:val="both"/>
        <w:rPr>
          <w:iCs/>
          <w:color w:val="000000" w:themeColor="text1"/>
          <w:sz w:val="16"/>
          <w:szCs w:val="16"/>
        </w:rPr>
      </w:pPr>
    </w:p>
    <w:p w14:paraId="021DBC9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января 1945 немцы начали операцию “Северный ветер” - атаку против союзников в Эльзас-Лотарингии (4962).</w:t>
      </w:r>
    </w:p>
    <w:p w14:paraId="49D8223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3A5E836" w14:textId="77777777" w:rsidR="003E545E" w:rsidRPr="00925F26" w:rsidRDefault="003E545E" w:rsidP="00925F26">
      <w:pPr>
        <w:jc w:val="both"/>
        <w:rPr>
          <w:color w:val="000000" w:themeColor="text1"/>
          <w:sz w:val="16"/>
          <w:szCs w:val="16"/>
        </w:rPr>
      </w:pPr>
      <w:r w:rsidRPr="00925F26">
        <w:rPr>
          <w:bCs/>
          <w:color w:val="000000" w:themeColor="text1"/>
          <w:sz w:val="16"/>
          <w:szCs w:val="16"/>
        </w:rPr>
        <w:t>1 января</w:t>
      </w:r>
      <w:r w:rsidRPr="00925F26">
        <w:rPr>
          <w:color w:val="000000" w:themeColor="text1"/>
          <w:sz w:val="16"/>
          <w:szCs w:val="16"/>
        </w:rPr>
        <w:t xml:space="preserve"> в 1945 году началось наступления немецко-фашистских войск в Эльзасе (операция "Северный ветер") (14996).</w:t>
      </w:r>
    </w:p>
    <w:p w14:paraId="0ECA21A2" w14:textId="77777777" w:rsidR="003E545E" w:rsidRPr="00925F26" w:rsidRDefault="003E545E" w:rsidP="00925F26">
      <w:pPr>
        <w:jc w:val="both"/>
        <w:rPr>
          <w:color w:val="000000" w:themeColor="text1"/>
          <w:sz w:val="16"/>
          <w:szCs w:val="16"/>
        </w:rPr>
      </w:pPr>
    </w:p>
    <w:p w14:paraId="7B78F84C" w14:textId="73957B34" w:rsidR="004A429A" w:rsidRPr="00925F26" w:rsidRDefault="004A429A" w:rsidP="00925F26">
      <w:pPr>
        <w:pStyle w:val="ae"/>
        <w:spacing w:before="0" w:after="0"/>
        <w:jc w:val="both"/>
        <w:textAlignment w:val="baseline"/>
        <w:rPr>
          <w:color w:val="000000" w:themeColor="text1"/>
          <w:sz w:val="16"/>
          <w:szCs w:val="16"/>
        </w:rPr>
      </w:pPr>
      <w:r w:rsidRPr="00925F26">
        <w:rPr>
          <w:color w:val="000000" w:themeColor="text1"/>
          <w:sz w:val="16"/>
          <w:szCs w:val="16"/>
        </w:rPr>
        <w:t>1 января 1945</w:t>
      </w:r>
      <w:r w:rsidR="00997EDF" w:rsidRPr="00925F26">
        <w:rPr>
          <w:color w:val="000000" w:themeColor="text1"/>
          <w:sz w:val="16"/>
          <w:szCs w:val="16"/>
        </w:rPr>
        <w:t xml:space="preserve">  </w:t>
      </w:r>
      <w:r w:rsidRPr="00925F26">
        <w:rPr>
          <w:color w:val="000000" w:themeColor="text1"/>
          <w:sz w:val="16"/>
          <w:szCs w:val="16"/>
        </w:rPr>
        <w:t>г. провели операцию «Боденплатте». Тогда около 900 самолетов атаковали шестнадцать основных аэродромов союзников во Франции, Бельгии и Голландии. Этот удар считается малоэффективным и принесшим люфтваффе катастрофические потери. И действительно, в ходе операции было потеряно около 300 истребителей и 227 пилотов. Но при всем этом немецким летчикам удалось за один раз уничтожить 228 американских и английских самолетов и еще 144 повредить (19522).</w:t>
      </w:r>
    </w:p>
    <w:p w14:paraId="6ADA8181" w14:textId="77777777" w:rsidR="004A429A" w:rsidRPr="00925F26" w:rsidRDefault="004A429A" w:rsidP="00925F26">
      <w:pPr>
        <w:pStyle w:val="ae"/>
        <w:spacing w:before="0" w:after="0"/>
        <w:jc w:val="both"/>
        <w:textAlignment w:val="baseline"/>
        <w:rPr>
          <w:color w:val="000000" w:themeColor="text1"/>
          <w:sz w:val="16"/>
          <w:szCs w:val="16"/>
        </w:rPr>
      </w:pPr>
    </w:p>
    <w:p w14:paraId="5BA722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немцы провели операцию "Боденплатте" - ровная земля попытавшись силами почти 800 истребителей, штурмовиков, бомбардировщиков разбомбить аэродромы союзников. Уничтожили 50 американских и 150 английских, плюс 100 были списаны, а 300 долго ремонтировали. Потеряли 200 машин, причем только 96 были сбиты. Не остановили, но сами летать на Западе прекратили (344,30).</w:t>
      </w:r>
    </w:p>
    <w:p w14:paraId="35E2A2D3" w14:textId="77777777" w:rsidR="00C2313B" w:rsidRPr="00925F26" w:rsidRDefault="00C2313B" w:rsidP="00925F26">
      <w:pPr>
        <w:autoSpaceDE w:val="0"/>
        <w:autoSpaceDN w:val="0"/>
        <w:adjustRightInd w:val="0"/>
        <w:jc w:val="both"/>
        <w:rPr>
          <w:color w:val="000000" w:themeColor="text1"/>
          <w:sz w:val="16"/>
          <w:szCs w:val="16"/>
        </w:rPr>
      </w:pPr>
    </w:p>
    <w:p w14:paraId="4761C04B" w14:textId="77777777" w:rsidR="005A1318" w:rsidRPr="00925F26" w:rsidRDefault="005A1318" w:rsidP="00925F26">
      <w:pPr>
        <w:jc w:val="both"/>
        <w:rPr>
          <w:color w:val="000000" w:themeColor="text1"/>
          <w:sz w:val="16"/>
          <w:szCs w:val="16"/>
        </w:rPr>
      </w:pPr>
      <w:r w:rsidRPr="00925F26">
        <w:rPr>
          <w:color w:val="000000" w:themeColor="text1"/>
          <w:sz w:val="16"/>
          <w:szCs w:val="16"/>
        </w:rPr>
        <w:t>1 января 1945 удары Люфтваффе нацелены на аэродромы союзников в Европе в рамках операции «Боденплатте, происходящей во время вывода немецких войск из битвы при Арденнах (20371).</w:t>
      </w:r>
    </w:p>
    <w:p w14:paraId="0C1ACD33" w14:textId="77777777" w:rsidR="005A1318" w:rsidRPr="00925F26" w:rsidRDefault="005A1318" w:rsidP="00925F26">
      <w:pPr>
        <w:jc w:val="both"/>
        <w:rPr>
          <w:color w:val="000000" w:themeColor="text1"/>
          <w:sz w:val="16"/>
          <w:szCs w:val="16"/>
        </w:rPr>
      </w:pPr>
    </w:p>
    <w:p w14:paraId="279504FE" w14:textId="77777777" w:rsidR="00B141BF" w:rsidRPr="00925F26" w:rsidRDefault="00B141BF" w:rsidP="00925F26">
      <w:pPr>
        <w:jc w:val="both"/>
        <w:rPr>
          <w:color w:val="000000" w:themeColor="text1"/>
          <w:sz w:val="16"/>
          <w:szCs w:val="16"/>
        </w:rPr>
      </w:pPr>
      <w:r w:rsidRPr="00925F26">
        <w:rPr>
          <w:color w:val="000000" w:themeColor="text1"/>
          <w:sz w:val="16"/>
          <w:szCs w:val="16"/>
        </w:rPr>
        <w:t>I января 1945 г. В ходе массированных налетов на аэродро</w:t>
      </w:r>
      <w:r w:rsidRPr="00925F26">
        <w:rPr>
          <w:color w:val="000000" w:themeColor="text1"/>
          <w:sz w:val="16"/>
          <w:szCs w:val="16"/>
        </w:rPr>
        <w:softHyphen/>
        <w:t>мы союзников, предпринятых Люфтваффе ранним утром, расчет делал</w:t>
      </w:r>
      <w:r w:rsidRPr="00925F26">
        <w:rPr>
          <w:color w:val="000000" w:themeColor="text1"/>
          <w:sz w:val="16"/>
          <w:szCs w:val="16"/>
        </w:rPr>
        <w:softHyphen/>
        <w:t>ся на внезапность: 33 истребительные и две штурмовые группы (в том числе 16 на «Фок- ке-Вульфах») должны были атаковать аэро</w:t>
      </w:r>
      <w:r w:rsidRPr="00925F26">
        <w:rPr>
          <w:color w:val="000000" w:themeColor="text1"/>
          <w:sz w:val="16"/>
          <w:szCs w:val="16"/>
        </w:rPr>
        <w:softHyphen/>
        <w:t>дромы противника и уничтожить вражеские самолеты на аэродромах. Однако операция «Боденплатте» (Bodcnplatte) не удалась, от</w:t>
      </w:r>
      <w:r w:rsidRPr="00925F26">
        <w:rPr>
          <w:color w:val="000000" w:themeColor="text1"/>
          <w:sz w:val="16"/>
          <w:szCs w:val="16"/>
        </w:rPr>
        <w:softHyphen/>
        <w:t>части из-за сложных метеоусловий, отчасти из-за высокой боеготовности средств радио</w:t>
      </w:r>
      <w:r w:rsidRPr="00925F26">
        <w:rPr>
          <w:color w:val="000000" w:themeColor="text1"/>
          <w:sz w:val="16"/>
          <w:szCs w:val="16"/>
        </w:rPr>
        <w:softHyphen/>
        <w:t>локационного обнаружения у союзников, но главным образом из-за того, что она была чистой воды авантюрой, на которую могли пойти лишь отчаявшиеся победить немцы. Многие германские зенитные части не были предупреждены о пролете своих самолетов, и они открыли ураганный огонь на пораже</w:t>
      </w:r>
      <w:r w:rsidRPr="00925F26">
        <w:rPr>
          <w:color w:val="000000" w:themeColor="text1"/>
          <w:sz w:val="16"/>
          <w:szCs w:val="16"/>
        </w:rPr>
        <w:softHyphen/>
        <w:t xml:space="preserve">ние по </w:t>
      </w:r>
      <w:proofErr w:type="gramStart"/>
      <w:r w:rsidRPr="00925F26">
        <w:rPr>
          <w:color w:val="000000" w:themeColor="text1"/>
          <w:sz w:val="16"/>
          <w:szCs w:val="16"/>
        </w:rPr>
        <w:t>низко летящим</w:t>
      </w:r>
      <w:proofErr w:type="gramEnd"/>
      <w:r w:rsidRPr="00925F26">
        <w:rPr>
          <w:color w:val="000000" w:themeColor="text1"/>
          <w:sz w:val="16"/>
          <w:szCs w:val="16"/>
        </w:rPr>
        <w:t xml:space="preserve"> FW 190 и Bf 109. На</w:t>
      </w:r>
      <w:r w:rsidRPr="00925F26">
        <w:rPr>
          <w:color w:val="000000" w:themeColor="text1"/>
          <w:sz w:val="16"/>
          <w:szCs w:val="16"/>
        </w:rPr>
        <w:softHyphen/>
        <w:t>иболее тяжелые потери понесла эскадра JG2, лишившаяся за один вылет 37 пилотов убитыми, ранеными и пропавшими без вес</w:t>
      </w:r>
      <w:r w:rsidRPr="00925F26">
        <w:rPr>
          <w:color w:val="000000" w:themeColor="text1"/>
          <w:sz w:val="16"/>
          <w:szCs w:val="16"/>
        </w:rPr>
        <w:softHyphen/>
        <w:t>ти. JG6 пострадала меньше (23 летчика вы</w:t>
      </w:r>
      <w:r w:rsidRPr="00925F26">
        <w:rPr>
          <w:color w:val="000000" w:themeColor="text1"/>
          <w:sz w:val="16"/>
          <w:szCs w:val="16"/>
        </w:rPr>
        <w:softHyphen/>
        <w:t>были из строя), но зато недосчиталась ко</w:t>
      </w:r>
      <w:r w:rsidRPr="00925F26">
        <w:rPr>
          <w:color w:val="000000" w:themeColor="text1"/>
          <w:sz w:val="16"/>
          <w:szCs w:val="16"/>
        </w:rPr>
        <w:softHyphen/>
        <w:t>мандира подполковника Й. Коглера, двух командиров групп и трех командиров отря</w:t>
      </w:r>
      <w:r w:rsidRPr="00925F26">
        <w:rPr>
          <w:color w:val="000000" w:themeColor="text1"/>
          <w:sz w:val="16"/>
          <w:szCs w:val="16"/>
        </w:rPr>
        <w:softHyphen/>
        <w:t>дов. Погибли еще два командира эскадр: майорГ. Шпехт из JG11 и полковник А. Дру- шель из SG4, а командир JGI подполковник Г. Илефельд едва избежал такой же судьбы, будучи сбитым «дружественным» зенитным огнем.</w:t>
      </w:r>
    </w:p>
    <w:p w14:paraId="1AED5B1E" w14:textId="77777777" w:rsidR="00B141BF" w:rsidRPr="00925F26" w:rsidRDefault="00B141BF" w:rsidP="00925F26">
      <w:pPr>
        <w:jc w:val="both"/>
        <w:rPr>
          <w:color w:val="000000" w:themeColor="text1"/>
          <w:sz w:val="16"/>
          <w:szCs w:val="16"/>
        </w:rPr>
      </w:pPr>
      <w:r w:rsidRPr="00925F26">
        <w:rPr>
          <w:color w:val="000000" w:themeColor="text1"/>
          <w:sz w:val="16"/>
          <w:szCs w:val="16"/>
        </w:rPr>
        <w:t>Суммарные потери Люфтваффе в тот день оказались огромными: выбыли из строя 255 летчиков, из которых 63 попали в плен. По докладам немецких пилотов, союзники лишились приблизительно 500 самолетов. Предпринятая в конце января 1945 г. фото</w:t>
      </w:r>
      <w:r w:rsidRPr="00925F26">
        <w:rPr>
          <w:color w:val="000000" w:themeColor="text1"/>
          <w:sz w:val="16"/>
          <w:szCs w:val="16"/>
        </w:rPr>
        <w:softHyphen/>
        <w:t>разведка восьми аэродромов позволила об</w:t>
      </w:r>
      <w:r w:rsidRPr="00925F26">
        <w:rPr>
          <w:color w:val="000000" w:themeColor="text1"/>
          <w:sz w:val="16"/>
          <w:szCs w:val="16"/>
        </w:rPr>
        <w:softHyphen/>
        <w:t>наружить 279 остовов разрушенных самоле</w:t>
      </w:r>
      <w:r w:rsidRPr="00925F26">
        <w:rPr>
          <w:color w:val="000000" w:themeColor="text1"/>
          <w:sz w:val="16"/>
          <w:szCs w:val="16"/>
        </w:rPr>
        <w:softHyphen/>
        <w:t>тов (из них 40 многомоторных). Однако анг</w:t>
      </w:r>
      <w:r w:rsidRPr="00925F26">
        <w:rPr>
          <w:color w:val="000000" w:themeColor="text1"/>
          <w:sz w:val="16"/>
          <w:szCs w:val="16"/>
        </w:rPr>
        <w:softHyphen/>
        <w:t>ло-американское командование сравнитель</w:t>
      </w:r>
      <w:r w:rsidRPr="00925F26">
        <w:rPr>
          <w:color w:val="000000" w:themeColor="text1"/>
          <w:sz w:val="16"/>
          <w:szCs w:val="16"/>
        </w:rPr>
        <w:softHyphen/>
        <w:t>но легко восполнило убыль. Поскольку главным богатством Люфтваффе во все вре</w:t>
      </w:r>
      <w:r w:rsidRPr="00925F26">
        <w:rPr>
          <w:color w:val="000000" w:themeColor="text1"/>
          <w:sz w:val="16"/>
          <w:szCs w:val="16"/>
        </w:rPr>
        <w:softHyphen/>
        <w:t>мена, а в 1945 г. в особенности, являлись опытные пилоты, то почти окончательная потеря этого «тонкого слоя» буквально под</w:t>
      </w:r>
      <w:r w:rsidRPr="00925F26">
        <w:rPr>
          <w:color w:val="000000" w:themeColor="text1"/>
          <w:sz w:val="16"/>
          <w:szCs w:val="16"/>
        </w:rPr>
        <w:softHyphen/>
        <w:t>косила германские ВВС на последнем этапе войны (24190).</w:t>
      </w:r>
    </w:p>
    <w:p w14:paraId="1ECD5562" w14:textId="77777777" w:rsidR="00B141BF" w:rsidRPr="00925F26" w:rsidRDefault="00B141BF" w:rsidP="00925F26">
      <w:pPr>
        <w:jc w:val="both"/>
        <w:rPr>
          <w:color w:val="000000" w:themeColor="text1"/>
          <w:sz w:val="16"/>
          <w:szCs w:val="16"/>
        </w:rPr>
      </w:pPr>
    </w:p>
    <w:p w14:paraId="528D3F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прервав пятимесячное молчание А.Гитлер обратился к немецкому народу и заявил, что война не окончится до победы Рейха. Приказал оставить Париж в виде дымящихся руин (2100).</w:t>
      </w:r>
    </w:p>
    <w:p w14:paraId="0FD6BDA7" w14:textId="77777777" w:rsidR="00C2313B" w:rsidRPr="00925F26" w:rsidRDefault="00C2313B" w:rsidP="00925F26">
      <w:pPr>
        <w:autoSpaceDE w:val="0"/>
        <w:autoSpaceDN w:val="0"/>
        <w:adjustRightInd w:val="0"/>
        <w:jc w:val="both"/>
        <w:rPr>
          <w:color w:val="000000" w:themeColor="text1"/>
          <w:sz w:val="16"/>
          <w:szCs w:val="16"/>
        </w:rPr>
      </w:pPr>
    </w:p>
    <w:p w14:paraId="3C3659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lang w:val="en-US"/>
        </w:rPr>
        <w:t>Jan</w:t>
      </w:r>
      <w:r w:rsidRPr="00925F26">
        <w:rPr>
          <w:color w:val="000000" w:themeColor="text1"/>
          <w:sz w:val="16"/>
          <w:szCs w:val="16"/>
        </w:rPr>
        <w:t xml:space="preserve"> 1-17 1945 </w:t>
      </w:r>
      <w:r w:rsidRPr="00925F26">
        <w:rPr>
          <w:color w:val="000000" w:themeColor="text1"/>
          <w:sz w:val="16"/>
          <w:szCs w:val="16"/>
          <w:lang w:val="en-US"/>
        </w:rPr>
        <w:t>Germans</w:t>
      </w:r>
      <w:r w:rsidRPr="00925F26">
        <w:rPr>
          <w:color w:val="000000" w:themeColor="text1"/>
          <w:sz w:val="16"/>
          <w:szCs w:val="16"/>
        </w:rPr>
        <w:t xml:space="preserve"> </w:t>
      </w:r>
      <w:r w:rsidRPr="00925F26">
        <w:rPr>
          <w:color w:val="000000" w:themeColor="text1"/>
          <w:sz w:val="16"/>
          <w:szCs w:val="16"/>
          <w:lang w:val="en-US"/>
        </w:rPr>
        <w:t>withdraw</w:t>
      </w:r>
      <w:r w:rsidRPr="00925F26">
        <w:rPr>
          <w:color w:val="000000" w:themeColor="text1"/>
          <w:sz w:val="16"/>
          <w:szCs w:val="16"/>
        </w:rPr>
        <w:t xml:space="preserve"> </w:t>
      </w:r>
      <w:r w:rsidRPr="00925F26">
        <w:rPr>
          <w:color w:val="000000" w:themeColor="text1"/>
          <w:sz w:val="16"/>
          <w:szCs w:val="16"/>
          <w:lang w:val="en-US"/>
        </w:rPr>
        <w:t>from</w:t>
      </w:r>
      <w:r w:rsidRPr="00925F26">
        <w:rPr>
          <w:color w:val="000000" w:themeColor="text1"/>
          <w:sz w:val="16"/>
          <w:szCs w:val="16"/>
        </w:rPr>
        <w:t xml:space="preserve"> </w:t>
      </w:r>
      <w:r w:rsidRPr="00925F26">
        <w:rPr>
          <w:color w:val="000000" w:themeColor="text1"/>
          <w:sz w:val="16"/>
          <w:szCs w:val="16"/>
          <w:lang w:val="en-US"/>
        </w:rPr>
        <w:t>the</w:t>
      </w:r>
      <w:r w:rsidRPr="00925F26">
        <w:rPr>
          <w:color w:val="000000" w:themeColor="text1"/>
          <w:sz w:val="16"/>
          <w:szCs w:val="16"/>
        </w:rPr>
        <w:t xml:space="preserve"> </w:t>
      </w:r>
      <w:r w:rsidRPr="00925F26">
        <w:rPr>
          <w:color w:val="000000" w:themeColor="text1"/>
          <w:sz w:val="16"/>
          <w:szCs w:val="16"/>
          <w:lang w:val="en-US"/>
        </w:rPr>
        <w:t>Ardennes</w:t>
      </w:r>
      <w:r w:rsidRPr="00925F26">
        <w:rPr>
          <w:color w:val="000000" w:themeColor="text1"/>
          <w:sz w:val="16"/>
          <w:szCs w:val="16"/>
        </w:rPr>
        <w:t xml:space="preserve"> (1050).</w:t>
      </w:r>
    </w:p>
    <w:p w14:paraId="0C024593" w14:textId="77777777" w:rsidR="00C2313B" w:rsidRPr="00925F26" w:rsidRDefault="00C2313B" w:rsidP="00925F26">
      <w:pPr>
        <w:autoSpaceDE w:val="0"/>
        <w:autoSpaceDN w:val="0"/>
        <w:adjustRightInd w:val="0"/>
        <w:jc w:val="both"/>
        <w:rPr>
          <w:color w:val="000000" w:themeColor="text1"/>
          <w:sz w:val="16"/>
          <w:szCs w:val="16"/>
        </w:rPr>
      </w:pPr>
    </w:p>
    <w:p w14:paraId="4E33DE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1-17 января 1945 немецкие войска потерпели поражение в Арденах (1050).</w:t>
      </w:r>
    </w:p>
    <w:p w14:paraId="36F2C7F3" w14:textId="77777777" w:rsidR="00C2313B" w:rsidRPr="00925F26" w:rsidRDefault="00C2313B" w:rsidP="00925F26">
      <w:pPr>
        <w:autoSpaceDE w:val="0"/>
        <w:autoSpaceDN w:val="0"/>
        <w:adjustRightInd w:val="0"/>
        <w:jc w:val="both"/>
        <w:rPr>
          <w:color w:val="000000" w:themeColor="text1"/>
          <w:sz w:val="16"/>
          <w:szCs w:val="16"/>
        </w:rPr>
      </w:pPr>
    </w:p>
    <w:p w14:paraId="1AED90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на ТО американские войска захватили о Миндоро, часть Филиппинских островов (3907,255).</w:t>
      </w:r>
    </w:p>
    <w:p w14:paraId="26BDA1E4" w14:textId="77777777" w:rsidR="00C2313B" w:rsidRPr="00925F26" w:rsidRDefault="00C2313B" w:rsidP="00925F26">
      <w:pPr>
        <w:autoSpaceDE w:val="0"/>
        <w:autoSpaceDN w:val="0"/>
        <w:adjustRightInd w:val="0"/>
        <w:jc w:val="both"/>
        <w:rPr>
          <w:color w:val="000000" w:themeColor="text1"/>
          <w:sz w:val="16"/>
          <w:szCs w:val="16"/>
        </w:rPr>
      </w:pPr>
    </w:p>
    <w:p w14:paraId="53F87202" w14:textId="77777777" w:rsidR="003E545E" w:rsidRPr="00925F26" w:rsidRDefault="003E545E" w:rsidP="00925F26">
      <w:pPr>
        <w:jc w:val="both"/>
        <w:rPr>
          <w:color w:val="000000" w:themeColor="text1"/>
          <w:sz w:val="16"/>
          <w:szCs w:val="16"/>
        </w:rPr>
      </w:pPr>
      <w:r w:rsidRPr="00925F26">
        <w:rPr>
          <w:bCs/>
          <w:color w:val="000000" w:themeColor="text1"/>
          <w:sz w:val="16"/>
          <w:szCs w:val="16"/>
        </w:rPr>
        <w:t>1 января</w:t>
      </w:r>
      <w:r w:rsidRPr="00925F26">
        <w:rPr>
          <w:color w:val="000000" w:themeColor="text1"/>
          <w:sz w:val="16"/>
          <w:szCs w:val="16"/>
        </w:rPr>
        <w:t xml:space="preserve"> в 1945 году на Тихом океане американские войска захватывают остров Миндоро, входящий в состав Филиппинских островов (бои продолжаются до 3 января) (14996).</w:t>
      </w:r>
    </w:p>
    <w:p w14:paraId="7D3A89D2" w14:textId="77777777" w:rsidR="003E545E" w:rsidRPr="00925F26" w:rsidRDefault="003E545E" w:rsidP="00925F26">
      <w:pPr>
        <w:jc w:val="both"/>
        <w:rPr>
          <w:color w:val="000000" w:themeColor="text1"/>
          <w:sz w:val="16"/>
          <w:szCs w:val="16"/>
        </w:rPr>
      </w:pPr>
    </w:p>
    <w:p w14:paraId="49C627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января 1945 части британской армии начали новую наступательную операцию в Бирме (3907,255).</w:t>
      </w:r>
    </w:p>
    <w:p w14:paraId="51F8E190" w14:textId="77777777" w:rsidR="00C2313B" w:rsidRPr="00925F26" w:rsidRDefault="00C2313B" w:rsidP="00925F26">
      <w:pPr>
        <w:autoSpaceDE w:val="0"/>
        <w:autoSpaceDN w:val="0"/>
        <w:adjustRightInd w:val="0"/>
        <w:jc w:val="both"/>
        <w:rPr>
          <w:color w:val="000000" w:themeColor="text1"/>
          <w:sz w:val="16"/>
          <w:szCs w:val="16"/>
        </w:rPr>
      </w:pPr>
    </w:p>
    <w:p w14:paraId="53F2242F" w14:textId="77777777" w:rsidR="003E545E" w:rsidRPr="00925F26" w:rsidRDefault="003E545E" w:rsidP="00925F26">
      <w:pPr>
        <w:jc w:val="both"/>
        <w:rPr>
          <w:color w:val="000000" w:themeColor="text1"/>
          <w:sz w:val="16"/>
          <w:szCs w:val="16"/>
        </w:rPr>
      </w:pPr>
      <w:r w:rsidRPr="00925F26">
        <w:rPr>
          <w:bCs/>
          <w:color w:val="000000" w:themeColor="text1"/>
          <w:sz w:val="16"/>
          <w:szCs w:val="16"/>
        </w:rPr>
        <w:t>1 января</w:t>
      </w:r>
      <w:r w:rsidRPr="00925F26">
        <w:rPr>
          <w:color w:val="000000" w:themeColor="text1"/>
          <w:sz w:val="16"/>
          <w:szCs w:val="16"/>
        </w:rPr>
        <w:t xml:space="preserve"> в 1945 году в Польше Люблинский комитет провозглашает себя временным правительством Польши (14996).</w:t>
      </w:r>
    </w:p>
    <w:p w14:paraId="0B62F4DF" w14:textId="77777777" w:rsidR="003E545E" w:rsidRPr="00925F26" w:rsidRDefault="003E545E" w:rsidP="00925F26">
      <w:pPr>
        <w:jc w:val="both"/>
        <w:rPr>
          <w:color w:val="000000" w:themeColor="text1"/>
          <w:sz w:val="16"/>
          <w:szCs w:val="16"/>
        </w:rPr>
      </w:pPr>
    </w:p>
    <w:p w14:paraId="6E58C1A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E0A6881" w14:textId="77777777" w:rsidR="00C2313B" w:rsidRPr="00925F26" w:rsidRDefault="00C2313B" w:rsidP="00925F26">
      <w:pPr>
        <w:autoSpaceDE w:val="0"/>
        <w:autoSpaceDN w:val="0"/>
        <w:adjustRightInd w:val="0"/>
        <w:jc w:val="both"/>
        <w:rPr>
          <w:iCs/>
          <w:color w:val="000000" w:themeColor="text1"/>
          <w:sz w:val="16"/>
          <w:szCs w:val="16"/>
        </w:rPr>
      </w:pPr>
    </w:p>
    <w:p w14:paraId="56949674" w14:textId="77777777" w:rsidR="005C5BB4" w:rsidRPr="001A0BAA" w:rsidRDefault="005C5BB4" w:rsidP="005C5BB4">
      <w:pPr>
        <w:jc w:val="both"/>
        <w:rPr>
          <w:color w:val="0070C0"/>
          <w:sz w:val="16"/>
          <w:szCs w:val="16"/>
        </w:rPr>
      </w:pPr>
      <w:r w:rsidRPr="001A0BAA">
        <w:rPr>
          <w:color w:val="0070C0"/>
          <w:sz w:val="16"/>
          <w:szCs w:val="16"/>
        </w:rPr>
        <w:t>2 января 1945 года состоялся первый полет машины «67». Первые испытания показали, что новые двигатели АЧ</w:t>
      </w:r>
      <w:r w:rsidRPr="001A0BAA">
        <w:rPr>
          <w:color w:val="0070C0"/>
          <w:sz w:val="16"/>
          <w:szCs w:val="16"/>
        </w:rPr>
        <w:noBreakHyphen/>
        <w:t>30БФ еще недоведены и часто выходят из строя. Поэтому на государственные испытания самолет не попал. Появление нового тяжелого четырехмоторного бомбардировщика Ту</w:t>
      </w:r>
      <w:r w:rsidRPr="001A0BAA">
        <w:rPr>
          <w:color w:val="0070C0"/>
          <w:sz w:val="16"/>
          <w:szCs w:val="16"/>
        </w:rPr>
        <w:noBreakHyphen/>
        <w:t>4 сделало дальнейшие работы над проектом «67» бесперспективными и их свернули (25073).</w:t>
      </w:r>
    </w:p>
    <w:p w14:paraId="1D5CCD8A" w14:textId="77777777" w:rsidR="005C5BB4" w:rsidRPr="001A0BAA" w:rsidRDefault="005C5BB4" w:rsidP="005C5BB4">
      <w:pPr>
        <w:jc w:val="both"/>
        <w:rPr>
          <w:color w:val="0070C0"/>
          <w:sz w:val="16"/>
          <w:szCs w:val="16"/>
        </w:rPr>
      </w:pPr>
    </w:p>
    <w:p w14:paraId="5057FD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января 1945 ГИ завода № 381 Трушиным был утвержден, а в/п з-да № 381 им Шапош..согласован Акт о результатах специальных испытаний Ла-7 N 38101356 с АШ-82ФН, оборудованного системой объединенного управления винтом и газом конструкции ЦИАМ, автоматом переключения скоростей нагнетателя Э-67 и автоматом регулирования температуры головок цилиндров АРГЦ, выпущенного в ноябре 1944 381 заводом.</w:t>
      </w:r>
    </w:p>
    <w:p w14:paraId="5A9D1D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 Ли Ермашенко, вед. И Ефимов, ви ЦИАМ Столяров</w:t>
      </w:r>
    </w:p>
    <w:p w14:paraId="58888A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Выполнил 6 полетов и налетали 4 час. 10 мин.</w:t>
      </w:r>
    </w:p>
    <w:p w14:paraId="09393E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74312C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 прошел госиспытания удовлетворительно</w:t>
      </w:r>
    </w:p>
    <w:p w14:paraId="1D7689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Считать с-т № 1356 эталоном для выпуска серии машин, предназначенных для войсковых испытаний (742,53).</w:t>
      </w:r>
    </w:p>
    <w:p w14:paraId="67826D90" w14:textId="77777777" w:rsidR="00C2313B" w:rsidRPr="00925F26" w:rsidRDefault="00C2313B" w:rsidP="00925F26">
      <w:pPr>
        <w:autoSpaceDE w:val="0"/>
        <w:autoSpaceDN w:val="0"/>
        <w:adjustRightInd w:val="0"/>
        <w:jc w:val="both"/>
        <w:rPr>
          <w:color w:val="000000" w:themeColor="text1"/>
          <w:sz w:val="16"/>
          <w:szCs w:val="16"/>
        </w:rPr>
      </w:pPr>
    </w:p>
    <w:p w14:paraId="11B2272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A949D9D" w14:textId="77777777" w:rsidR="00C2313B" w:rsidRPr="00925F26" w:rsidRDefault="00C2313B" w:rsidP="00925F26">
      <w:pPr>
        <w:autoSpaceDE w:val="0"/>
        <w:autoSpaceDN w:val="0"/>
        <w:adjustRightInd w:val="0"/>
        <w:jc w:val="both"/>
        <w:rPr>
          <w:iCs/>
          <w:color w:val="000000" w:themeColor="text1"/>
          <w:sz w:val="16"/>
          <w:szCs w:val="16"/>
        </w:rPr>
      </w:pPr>
    </w:p>
    <w:p w14:paraId="326F94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января 1945 г. был подготовлен ПЛАН ОСНОВНЫХ РАБОТ ГБТУ КА НА 1 -е ПОЛУГОДИЕ 1945 г.</w:t>
      </w:r>
    </w:p>
    <w:tbl>
      <w:tblPr>
        <w:tblW w:w="0" w:type="auto"/>
        <w:tblInd w:w="40" w:type="dxa"/>
        <w:tblLayout w:type="fixed"/>
        <w:tblCellMar>
          <w:left w:w="40" w:type="dxa"/>
          <w:right w:w="40" w:type="dxa"/>
        </w:tblCellMar>
        <w:tblLook w:val="0000" w:firstRow="0" w:lastRow="0" w:firstColumn="0" w:lastColumn="0" w:noHBand="0" w:noVBand="0"/>
      </w:tblPr>
      <w:tblGrid>
        <w:gridCol w:w="426"/>
        <w:gridCol w:w="6095"/>
        <w:gridCol w:w="1417"/>
        <w:gridCol w:w="1560"/>
      </w:tblGrid>
      <w:tr w:rsidR="000F5689" w:rsidRPr="00925F26" w14:paraId="11C5305D" w14:textId="77777777">
        <w:trPr>
          <w:trHeight w:val="442"/>
        </w:trPr>
        <w:tc>
          <w:tcPr>
            <w:tcW w:w="426" w:type="dxa"/>
            <w:tcBorders>
              <w:top w:val="single" w:sz="6" w:space="0" w:color="auto"/>
              <w:left w:val="single" w:sz="6" w:space="0" w:color="auto"/>
              <w:bottom w:val="single" w:sz="6" w:space="0" w:color="auto"/>
              <w:right w:val="single" w:sz="6" w:space="0" w:color="auto"/>
            </w:tcBorders>
          </w:tcPr>
          <w:p w14:paraId="7DAC9D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23411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п/п</w:t>
            </w:r>
          </w:p>
          <w:p w14:paraId="0280D1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single" w:sz="6" w:space="0" w:color="auto"/>
              <w:right w:val="single" w:sz="6" w:space="0" w:color="auto"/>
            </w:tcBorders>
          </w:tcPr>
          <w:p w14:paraId="22EAAC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работ</w:t>
            </w:r>
          </w:p>
          <w:p w14:paraId="1FF20E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4252F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Срок</w:t>
            </w:r>
          </w:p>
          <w:p w14:paraId="418A30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6D7D36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Исполнитель</w:t>
            </w:r>
          </w:p>
          <w:p w14:paraId="77A862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0031EDB" w14:textId="77777777">
        <w:trPr>
          <w:trHeight w:val="250"/>
        </w:trPr>
        <w:tc>
          <w:tcPr>
            <w:tcW w:w="9498" w:type="dxa"/>
            <w:gridSpan w:val="4"/>
            <w:tcBorders>
              <w:top w:val="single" w:sz="6" w:space="0" w:color="auto"/>
              <w:left w:val="single" w:sz="6" w:space="0" w:color="auto"/>
              <w:bottom w:val="single" w:sz="6" w:space="0" w:color="auto"/>
              <w:right w:val="single" w:sz="6" w:space="0" w:color="auto"/>
            </w:tcBorders>
          </w:tcPr>
          <w:p w14:paraId="54DD0B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r w:rsidRPr="00925F26">
              <w:rPr>
                <w:color w:val="000000" w:themeColor="text1"/>
                <w:sz w:val="16"/>
                <w:szCs w:val="16"/>
              </w:rPr>
              <w:t>. Улучшение качества материальной части</w:t>
            </w:r>
          </w:p>
          <w:p w14:paraId="3F0DD0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1F5097F" w14:textId="77777777">
        <w:trPr>
          <w:trHeight w:val="365"/>
        </w:trPr>
        <w:tc>
          <w:tcPr>
            <w:tcW w:w="426" w:type="dxa"/>
            <w:tcBorders>
              <w:top w:val="single" w:sz="6" w:space="0" w:color="auto"/>
              <w:left w:val="single" w:sz="6" w:space="0" w:color="auto"/>
              <w:bottom w:val="nil"/>
              <w:right w:val="single" w:sz="6" w:space="0" w:color="auto"/>
            </w:tcBorders>
          </w:tcPr>
          <w:p w14:paraId="62C35ED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C197F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792ACF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выполнением постановлений ГОКО о качестве танков и самоходных установок и прика</w:t>
            </w:r>
            <w:r w:rsidRPr="00925F26">
              <w:rPr>
                <w:color w:val="000000" w:themeColor="text1"/>
                <w:sz w:val="16"/>
                <w:szCs w:val="16"/>
              </w:rPr>
              <w:softHyphen/>
              <w:t>за №333/085.</w:t>
            </w:r>
          </w:p>
          <w:p w14:paraId="7A7149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672BEE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1B71C2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76385D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ТУиУСА</w:t>
            </w:r>
          </w:p>
          <w:p w14:paraId="6B590A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80E2CD1" w14:textId="77777777">
        <w:trPr>
          <w:trHeight w:val="365"/>
        </w:trPr>
        <w:tc>
          <w:tcPr>
            <w:tcW w:w="426" w:type="dxa"/>
            <w:tcBorders>
              <w:top w:val="nil"/>
              <w:left w:val="single" w:sz="6" w:space="0" w:color="auto"/>
              <w:bottom w:val="nil"/>
              <w:right w:val="single" w:sz="6" w:space="0" w:color="auto"/>
            </w:tcBorders>
          </w:tcPr>
          <w:p w14:paraId="407A39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2BEDB7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999D2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гарантийных испытаний и испытаний на 200-300 км танков и самоходных установок. Проведение гарантийных испытаний бронемашин, мотоциклов и велосипедов.</w:t>
            </w:r>
          </w:p>
          <w:p w14:paraId="7D351F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A084E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2BA8E1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8EE7B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УСА, УБП и БЫ-</w:t>
            </w:r>
          </w:p>
          <w:p w14:paraId="401747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8C21741" w14:textId="77777777">
        <w:trPr>
          <w:trHeight w:val="202"/>
        </w:trPr>
        <w:tc>
          <w:tcPr>
            <w:tcW w:w="426" w:type="dxa"/>
            <w:tcBorders>
              <w:top w:val="nil"/>
              <w:left w:val="single" w:sz="6" w:space="0" w:color="auto"/>
              <w:bottom w:val="nil"/>
              <w:right w:val="single" w:sz="6" w:space="0" w:color="auto"/>
            </w:tcBorders>
          </w:tcPr>
          <w:p w14:paraId="32DA3F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79BDD3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259C5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Рассмотрение и утверждение чертежей и ТУ танков и самоходных установок и дизельмоторов на 1945 год.</w:t>
            </w:r>
          </w:p>
          <w:p w14:paraId="48F3D2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CD7A2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07931F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23F13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УСА</w:t>
            </w:r>
          </w:p>
          <w:p w14:paraId="38D5AF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2926A67" w14:textId="77777777">
        <w:trPr>
          <w:trHeight w:val="192"/>
        </w:trPr>
        <w:tc>
          <w:tcPr>
            <w:tcW w:w="426" w:type="dxa"/>
            <w:tcBorders>
              <w:top w:val="nil"/>
              <w:left w:val="single" w:sz="6" w:space="0" w:color="auto"/>
              <w:bottom w:val="nil"/>
              <w:right w:val="single" w:sz="6" w:space="0" w:color="auto"/>
            </w:tcBorders>
          </w:tcPr>
          <w:p w14:paraId="4902FF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130D67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4461D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совместно с НКТП совещания СА специалистов по сварке с целью отработки новых техниче-</w:t>
            </w:r>
          </w:p>
          <w:p w14:paraId="10D4CA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E7A76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4B16D13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564D0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4797B8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9D65347" w14:textId="77777777">
        <w:trPr>
          <w:trHeight w:val="173"/>
        </w:trPr>
        <w:tc>
          <w:tcPr>
            <w:tcW w:w="426" w:type="dxa"/>
            <w:tcBorders>
              <w:top w:val="nil"/>
              <w:left w:val="single" w:sz="6" w:space="0" w:color="auto"/>
              <w:bottom w:val="nil"/>
              <w:right w:val="single" w:sz="6" w:space="0" w:color="auto"/>
            </w:tcBorders>
          </w:tcPr>
          <w:p w14:paraId="6608C5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98FFE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4226E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ских условий на сварку и улучшения технологии сварки.</w:t>
            </w:r>
          </w:p>
          <w:p w14:paraId="57E2F4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8CCBD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18B26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241C6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05BB9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8126820" w14:textId="77777777">
        <w:trPr>
          <w:trHeight w:val="365"/>
        </w:trPr>
        <w:tc>
          <w:tcPr>
            <w:tcW w:w="426" w:type="dxa"/>
            <w:tcBorders>
              <w:top w:val="nil"/>
              <w:left w:val="single" w:sz="6" w:space="0" w:color="auto"/>
              <w:bottom w:val="nil"/>
              <w:right w:val="single" w:sz="6" w:space="0" w:color="auto"/>
            </w:tcBorders>
          </w:tcPr>
          <w:p w14:paraId="6E45AF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0275F9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2E80B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работой танков Т-34 в войсках с бесструнной бортпередачей, механизмом поворота ВЭИ и новой командирской башенкой.</w:t>
            </w:r>
          </w:p>
          <w:p w14:paraId="1B1B90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B90BF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4B1BE2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7CE76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ТУиУЭТ</w:t>
            </w:r>
          </w:p>
          <w:p w14:paraId="169CCA8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4CA375F" w14:textId="77777777">
        <w:trPr>
          <w:trHeight w:val="202"/>
        </w:trPr>
        <w:tc>
          <w:tcPr>
            <w:tcW w:w="426" w:type="dxa"/>
            <w:tcBorders>
              <w:top w:val="nil"/>
              <w:left w:val="single" w:sz="6" w:space="0" w:color="auto"/>
              <w:bottom w:val="nil"/>
              <w:right w:val="single" w:sz="6" w:space="0" w:color="auto"/>
            </w:tcBorders>
          </w:tcPr>
          <w:p w14:paraId="153147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1E8741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5F666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работой военных приемок на заводах с целью обеспечения количественного и качест-</w:t>
            </w:r>
          </w:p>
          <w:p w14:paraId="18B68F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EAC7F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2AAA65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6139A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УСА, УБП и БМ</w:t>
            </w:r>
          </w:p>
          <w:p w14:paraId="190B62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0A6B721" w14:textId="77777777">
        <w:trPr>
          <w:trHeight w:val="163"/>
        </w:trPr>
        <w:tc>
          <w:tcPr>
            <w:tcW w:w="426" w:type="dxa"/>
            <w:tcBorders>
              <w:top w:val="nil"/>
              <w:left w:val="single" w:sz="6" w:space="0" w:color="auto"/>
              <w:bottom w:val="nil"/>
              <w:right w:val="single" w:sz="6" w:space="0" w:color="auto"/>
            </w:tcBorders>
          </w:tcPr>
          <w:p w14:paraId="3CBB15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02DD48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93E8A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венного выполнения плана заказов.</w:t>
            </w:r>
          </w:p>
          <w:p w14:paraId="5F5D7D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09B05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62DCB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5D742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E23DB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B379B47" w14:textId="77777777">
        <w:trPr>
          <w:trHeight w:val="374"/>
        </w:trPr>
        <w:tc>
          <w:tcPr>
            <w:tcW w:w="426" w:type="dxa"/>
            <w:tcBorders>
              <w:top w:val="nil"/>
              <w:left w:val="single" w:sz="6" w:space="0" w:color="auto"/>
              <w:bottom w:val="nil"/>
              <w:right w:val="single" w:sz="6" w:space="0" w:color="auto"/>
            </w:tcBorders>
          </w:tcPr>
          <w:p w14:paraId="16CC13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2E069D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EE550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проведением работ по улучшению качества: брони и бронекорпусов, радио- и электро</w:t>
            </w:r>
            <w:r w:rsidRPr="00925F26">
              <w:rPr>
                <w:color w:val="000000" w:themeColor="text1"/>
                <w:sz w:val="16"/>
                <w:szCs w:val="16"/>
              </w:rPr>
              <w:softHyphen/>
              <w:t>оборудования и резиновых катков для танков и самоходных установок.</w:t>
            </w:r>
          </w:p>
          <w:p w14:paraId="4E454D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3CD6F5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0B3589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FD636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ТУиУСА</w:t>
            </w:r>
          </w:p>
          <w:p w14:paraId="77F849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9A157B5" w14:textId="77777777">
        <w:trPr>
          <w:trHeight w:val="202"/>
        </w:trPr>
        <w:tc>
          <w:tcPr>
            <w:tcW w:w="426" w:type="dxa"/>
            <w:tcBorders>
              <w:top w:val="nil"/>
              <w:left w:val="single" w:sz="6" w:space="0" w:color="auto"/>
              <w:bottom w:val="nil"/>
              <w:right w:val="single" w:sz="6" w:space="0" w:color="auto"/>
            </w:tcBorders>
          </w:tcPr>
          <w:p w14:paraId="6F4CB8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6D50D7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15BF7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систематических отстрелов корпусов и башен с целью систематического выборочного</w:t>
            </w:r>
          </w:p>
          <w:p w14:paraId="503394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5CAC9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2FA95E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F9579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74674A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EEF96AF" w14:textId="77777777">
        <w:trPr>
          <w:trHeight w:val="211"/>
        </w:trPr>
        <w:tc>
          <w:tcPr>
            <w:tcW w:w="426" w:type="dxa"/>
            <w:tcBorders>
              <w:top w:val="nil"/>
              <w:left w:val="single" w:sz="6" w:space="0" w:color="auto"/>
              <w:bottom w:val="single" w:sz="6" w:space="0" w:color="auto"/>
              <w:right w:val="single" w:sz="6" w:space="0" w:color="auto"/>
            </w:tcBorders>
          </w:tcPr>
          <w:p w14:paraId="7DAE7A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99F09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554B7E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контроля за качеством их изготовления.</w:t>
            </w:r>
          </w:p>
          <w:p w14:paraId="4C3D9B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728CD6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000D2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5A9F84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49ABA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1AA23DD"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387487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w:t>
            </w:r>
            <w:r w:rsidRPr="00925F26">
              <w:rPr>
                <w:color w:val="000000" w:themeColor="text1"/>
                <w:sz w:val="16"/>
                <w:szCs w:val="16"/>
              </w:rPr>
              <w:t>. Снабжение материальной части войск</w:t>
            </w:r>
          </w:p>
          <w:p w14:paraId="697752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C81C52D" w14:textId="77777777">
        <w:trPr>
          <w:trHeight w:val="451"/>
        </w:trPr>
        <w:tc>
          <w:tcPr>
            <w:tcW w:w="426" w:type="dxa"/>
            <w:tcBorders>
              <w:top w:val="single" w:sz="6" w:space="0" w:color="auto"/>
              <w:left w:val="single" w:sz="6" w:space="0" w:color="auto"/>
              <w:bottom w:val="nil"/>
              <w:right w:val="single" w:sz="6" w:space="0" w:color="auto"/>
            </w:tcBorders>
          </w:tcPr>
          <w:p w14:paraId="172E97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16F19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4E2F23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Обеспечение выполнения планов военного совета по отправке танков, самоходных установок, бро</w:t>
            </w:r>
            <w:r w:rsidRPr="00925F26">
              <w:rPr>
                <w:color w:val="000000" w:themeColor="text1"/>
                <w:sz w:val="16"/>
                <w:szCs w:val="16"/>
              </w:rPr>
              <w:softHyphen/>
              <w:t>неавтомобилей и мотоциклов войскам с заводов.</w:t>
            </w:r>
          </w:p>
          <w:p w14:paraId="017C06D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0E1E80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432EE3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78D1CC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УСА, УБП и БМ</w:t>
            </w:r>
          </w:p>
          <w:p w14:paraId="23B0B0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02AEFB8" w14:textId="77777777">
        <w:trPr>
          <w:trHeight w:val="365"/>
        </w:trPr>
        <w:tc>
          <w:tcPr>
            <w:tcW w:w="426" w:type="dxa"/>
            <w:tcBorders>
              <w:top w:val="nil"/>
              <w:left w:val="single" w:sz="6" w:space="0" w:color="auto"/>
              <w:bottom w:val="nil"/>
              <w:right w:val="single" w:sz="6" w:space="0" w:color="auto"/>
            </w:tcBorders>
          </w:tcPr>
          <w:p w14:paraId="29763A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37A36A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34338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выполнением постановлений Правительства по выпуску танков, самоходных установок, бронемашин.</w:t>
            </w:r>
          </w:p>
          <w:p w14:paraId="14E4A7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2FD37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674CAA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32A710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УСА, УБПБМ</w:t>
            </w:r>
          </w:p>
          <w:p w14:paraId="0E3DB3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DD035C7" w14:textId="77777777">
        <w:trPr>
          <w:trHeight w:val="374"/>
        </w:trPr>
        <w:tc>
          <w:tcPr>
            <w:tcW w:w="426" w:type="dxa"/>
            <w:tcBorders>
              <w:top w:val="nil"/>
              <w:left w:val="single" w:sz="6" w:space="0" w:color="auto"/>
              <w:bottom w:val="nil"/>
              <w:right w:val="single" w:sz="6" w:space="0" w:color="auto"/>
            </w:tcBorders>
          </w:tcPr>
          <w:p w14:paraId="3A3B58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11AD24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A532E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Обеспечение своевременной разгрузки импортной материальной части танков, самоходных устано</w:t>
            </w:r>
            <w:r w:rsidRPr="00925F26">
              <w:rPr>
                <w:color w:val="000000" w:themeColor="text1"/>
                <w:sz w:val="16"/>
                <w:szCs w:val="16"/>
              </w:rPr>
              <w:softHyphen/>
              <w:t>вок, бронетранспортеров и мотоциклов в портах и отправки их в учебные части, склады и заводы.</w:t>
            </w:r>
          </w:p>
          <w:p w14:paraId="243503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0E420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6ABF5E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A9D62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УБП и БМ</w:t>
            </w:r>
          </w:p>
          <w:p w14:paraId="12D9EF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D53D11A" w14:textId="77777777">
        <w:trPr>
          <w:trHeight w:val="422"/>
        </w:trPr>
        <w:tc>
          <w:tcPr>
            <w:tcW w:w="426" w:type="dxa"/>
            <w:tcBorders>
              <w:top w:val="nil"/>
              <w:left w:val="single" w:sz="6" w:space="0" w:color="auto"/>
              <w:bottom w:val="single" w:sz="6" w:space="0" w:color="auto"/>
              <w:right w:val="single" w:sz="6" w:space="0" w:color="auto"/>
            </w:tcBorders>
          </w:tcPr>
          <w:p w14:paraId="47ABEB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4</w:t>
            </w:r>
          </w:p>
          <w:p w14:paraId="297B85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02C190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Помощь частям и соединениям в освоении материальной части и ее эксплуатации при формирова</w:t>
            </w:r>
            <w:r w:rsidRPr="00925F26">
              <w:rPr>
                <w:color w:val="000000" w:themeColor="text1"/>
                <w:sz w:val="16"/>
                <w:szCs w:val="16"/>
              </w:rPr>
              <w:softHyphen/>
              <w:t>ниях и переформированиях.</w:t>
            </w:r>
          </w:p>
          <w:p w14:paraId="56DB29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30C8C2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ежемесячно</w:t>
            </w:r>
          </w:p>
          <w:p w14:paraId="20CA52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0CC645C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полигон ГБТУ</w:t>
            </w:r>
          </w:p>
          <w:p w14:paraId="2D6F99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5529457"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03899B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III</w:t>
            </w:r>
            <w:r w:rsidRPr="00925F26">
              <w:rPr>
                <w:color w:val="000000" w:themeColor="text1"/>
                <w:sz w:val="16"/>
                <w:szCs w:val="16"/>
              </w:rPr>
              <w:t>. Опытные работы и модернизация</w:t>
            </w:r>
          </w:p>
          <w:p w14:paraId="510E1B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2D872E2" w14:textId="77777777">
        <w:trPr>
          <w:trHeight w:val="269"/>
        </w:trPr>
        <w:tc>
          <w:tcPr>
            <w:tcW w:w="426" w:type="dxa"/>
            <w:tcBorders>
              <w:top w:val="single" w:sz="6" w:space="0" w:color="auto"/>
              <w:left w:val="single" w:sz="6" w:space="0" w:color="auto"/>
              <w:bottom w:val="nil"/>
              <w:right w:val="single" w:sz="6" w:space="0" w:color="auto"/>
            </w:tcBorders>
          </w:tcPr>
          <w:p w14:paraId="6C1192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929D6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5513F4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Окончание проводимых испытаний объекта "701" и подготовка к введению в серийное производство.</w:t>
            </w:r>
          </w:p>
          <w:p w14:paraId="798B67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7419C3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1B7AFA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57F93E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полигон ГБТУ</w:t>
            </w:r>
          </w:p>
          <w:p w14:paraId="0FE442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091D34D" w14:textId="77777777">
        <w:trPr>
          <w:trHeight w:val="538"/>
        </w:trPr>
        <w:tc>
          <w:tcPr>
            <w:tcW w:w="426" w:type="dxa"/>
            <w:tcBorders>
              <w:top w:val="nil"/>
              <w:left w:val="single" w:sz="6" w:space="0" w:color="auto"/>
              <w:bottom w:val="nil"/>
              <w:right w:val="single" w:sz="6" w:space="0" w:color="auto"/>
            </w:tcBorders>
          </w:tcPr>
          <w:p w14:paraId="04BC13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3E32E5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1ACCF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изготовлением установочной партии модернизированного образца танка ИС ("Киро-вец" 1 ) и проведение испытаний обстрелом двух корпусов, один из которых оборудован всеми штатными приборами в боевом отделении управления и боеукладкой с частью снарядов.</w:t>
            </w:r>
          </w:p>
          <w:p w14:paraId="1DAED4F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72C91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63C45AB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ED9CA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0428E9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16DBAC1" w14:textId="77777777">
        <w:trPr>
          <w:trHeight w:val="202"/>
        </w:trPr>
        <w:tc>
          <w:tcPr>
            <w:tcW w:w="426" w:type="dxa"/>
            <w:tcBorders>
              <w:top w:val="nil"/>
              <w:left w:val="single" w:sz="6" w:space="0" w:color="auto"/>
              <w:bottom w:val="nil"/>
              <w:right w:val="single" w:sz="6" w:space="0" w:color="auto"/>
            </w:tcBorders>
          </w:tcPr>
          <w:p w14:paraId="6563EC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457933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5B3E8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изготовлением опытного образца танка ИС-6 с электротрансмиссией и проведение</w:t>
            </w:r>
          </w:p>
          <w:p w14:paraId="71E1AFF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A27C8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634F64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7C6986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18D0E8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4C9F053" w14:textId="77777777">
        <w:trPr>
          <w:trHeight w:val="163"/>
        </w:trPr>
        <w:tc>
          <w:tcPr>
            <w:tcW w:w="426" w:type="dxa"/>
            <w:tcBorders>
              <w:top w:val="nil"/>
              <w:left w:val="single" w:sz="6" w:space="0" w:color="auto"/>
              <w:bottom w:val="nil"/>
              <w:right w:val="single" w:sz="6" w:space="0" w:color="auto"/>
            </w:tcBorders>
          </w:tcPr>
          <w:p w14:paraId="09A248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1C7B7D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5E3F3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заводских полигонных испытаний.</w:t>
            </w:r>
          </w:p>
          <w:p w14:paraId="250F59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8F4D2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332FE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649FF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FD837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739860E" w14:textId="77777777">
        <w:trPr>
          <w:trHeight w:val="202"/>
        </w:trPr>
        <w:tc>
          <w:tcPr>
            <w:tcW w:w="426" w:type="dxa"/>
            <w:tcBorders>
              <w:top w:val="nil"/>
              <w:left w:val="single" w:sz="6" w:space="0" w:color="auto"/>
              <w:bottom w:val="nil"/>
              <w:right w:val="single" w:sz="6" w:space="0" w:color="auto"/>
            </w:tcBorders>
          </w:tcPr>
          <w:p w14:paraId="221569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2A77B3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D3407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испытаний нового среднего танка Т-54.</w:t>
            </w:r>
          </w:p>
          <w:p w14:paraId="601380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73755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50CA67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001AF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5BC09C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44B040A" w14:textId="77777777">
        <w:trPr>
          <w:trHeight w:val="365"/>
        </w:trPr>
        <w:tc>
          <w:tcPr>
            <w:tcW w:w="426" w:type="dxa"/>
            <w:tcBorders>
              <w:top w:val="nil"/>
              <w:left w:val="single" w:sz="6" w:space="0" w:color="auto"/>
              <w:bottom w:val="nil"/>
              <w:right w:val="single" w:sz="6" w:space="0" w:color="auto"/>
            </w:tcBorders>
          </w:tcPr>
          <w:p w14:paraId="44D872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3E9B06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C5DF0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разработкой, изготовлением и участие в испытаниях опытных отсеков танковых ди</w:t>
            </w:r>
            <w:r w:rsidRPr="00925F26">
              <w:rPr>
                <w:color w:val="000000" w:themeColor="text1"/>
                <w:sz w:val="16"/>
                <w:szCs w:val="16"/>
              </w:rPr>
              <w:softHyphen/>
              <w:t>зельмоторов мощностью 1000 л.с. по проектам КБ заводов, института Баумана и Проф. Бриллинга.</w:t>
            </w:r>
          </w:p>
          <w:p w14:paraId="1ADC69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4C066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июнь</w:t>
            </w:r>
          </w:p>
          <w:p w14:paraId="341D60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61E6E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3889A9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48DD97A" w14:textId="77777777">
        <w:trPr>
          <w:trHeight w:val="202"/>
        </w:trPr>
        <w:tc>
          <w:tcPr>
            <w:tcW w:w="426" w:type="dxa"/>
            <w:tcBorders>
              <w:top w:val="nil"/>
              <w:left w:val="single" w:sz="6" w:space="0" w:color="auto"/>
              <w:bottom w:val="nil"/>
              <w:right w:val="single" w:sz="6" w:space="0" w:color="auto"/>
            </w:tcBorders>
          </w:tcPr>
          <w:p w14:paraId="1CE69E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56669D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9A983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испытаний дизельмоторов: В- 14, В- 16.</w:t>
            </w:r>
          </w:p>
          <w:p w14:paraId="373998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7A19E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4E4E37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9ACC8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64A18C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3C73254" w14:textId="77777777">
        <w:trPr>
          <w:trHeight w:val="192"/>
        </w:trPr>
        <w:tc>
          <w:tcPr>
            <w:tcW w:w="426" w:type="dxa"/>
            <w:tcBorders>
              <w:top w:val="nil"/>
              <w:left w:val="single" w:sz="6" w:space="0" w:color="auto"/>
              <w:bottom w:val="nil"/>
              <w:right w:val="single" w:sz="6" w:space="0" w:color="auto"/>
            </w:tcBorders>
          </w:tcPr>
          <w:p w14:paraId="70DCE4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6539D1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62C4C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Изготовление установочной партии новой бортовой передачи для Т-34-85.</w:t>
            </w:r>
          </w:p>
          <w:p w14:paraId="1C7924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E87C6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69DA71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C39D7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52117B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BE8F9BB" w14:textId="77777777">
        <w:trPr>
          <w:trHeight w:val="374"/>
        </w:trPr>
        <w:tc>
          <w:tcPr>
            <w:tcW w:w="426" w:type="dxa"/>
            <w:tcBorders>
              <w:top w:val="nil"/>
              <w:left w:val="single" w:sz="6" w:space="0" w:color="auto"/>
              <w:bottom w:val="nil"/>
              <w:right w:val="single" w:sz="6" w:space="0" w:color="auto"/>
            </w:tcBorders>
          </w:tcPr>
          <w:p w14:paraId="0BE285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0C2C2A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56959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Изготовление установочной партии приборов управления огнем в командирской башенке, со следя</w:t>
            </w:r>
            <w:r w:rsidRPr="00925F26">
              <w:rPr>
                <w:color w:val="000000" w:themeColor="text1"/>
                <w:sz w:val="16"/>
                <w:szCs w:val="16"/>
              </w:rPr>
              <w:softHyphen/>
              <w:t>щей системой наводки орудия с места командира на ИС и Т-34.</w:t>
            </w:r>
          </w:p>
          <w:p w14:paraId="059F8F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545E6C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75B34A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A3120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49B2D0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49CBEC7" w14:textId="77777777">
        <w:trPr>
          <w:trHeight w:val="192"/>
        </w:trPr>
        <w:tc>
          <w:tcPr>
            <w:tcW w:w="426" w:type="dxa"/>
            <w:tcBorders>
              <w:top w:val="nil"/>
              <w:left w:val="single" w:sz="6" w:space="0" w:color="auto"/>
              <w:bottom w:val="nil"/>
              <w:right w:val="single" w:sz="6" w:space="0" w:color="auto"/>
            </w:tcBorders>
          </w:tcPr>
          <w:p w14:paraId="63C15B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0BD816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BE406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Изготовление опытной партии башен Т-34 с улучшенной системой вентиляции боевого отделения.</w:t>
            </w:r>
          </w:p>
          <w:p w14:paraId="75DCA8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D47FF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3E3223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4964C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35053A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D00C8DC" w14:textId="77777777">
        <w:trPr>
          <w:trHeight w:val="202"/>
        </w:trPr>
        <w:tc>
          <w:tcPr>
            <w:tcW w:w="426" w:type="dxa"/>
            <w:tcBorders>
              <w:top w:val="nil"/>
              <w:left w:val="single" w:sz="6" w:space="0" w:color="auto"/>
              <w:bottom w:val="nil"/>
              <w:right w:val="single" w:sz="6" w:space="0" w:color="auto"/>
            </w:tcBorders>
          </w:tcPr>
          <w:p w14:paraId="2C4FAC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079CDD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7EDE7A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отработкой и устранением конструктивных и производственных недостатков танка Т-44.</w:t>
            </w:r>
          </w:p>
          <w:p w14:paraId="6CDD17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8D229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31817F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004621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533395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4D741D8" w14:textId="77777777">
        <w:trPr>
          <w:trHeight w:val="202"/>
        </w:trPr>
        <w:tc>
          <w:tcPr>
            <w:tcW w:w="426" w:type="dxa"/>
            <w:tcBorders>
              <w:top w:val="nil"/>
              <w:left w:val="single" w:sz="6" w:space="0" w:color="auto"/>
              <w:bottom w:val="nil"/>
              <w:right w:val="single" w:sz="6" w:space="0" w:color="auto"/>
            </w:tcBorders>
          </w:tcPr>
          <w:p w14:paraId="22268B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w:t>
            </w:r>
          </w:p>
          <w:p w14:paraId="3BC900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92EB9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изготовлением и испытанием электропривода механизма поворота башни среднего</w:t>
            </w:r>
          </w:p>
          <w:p w14:paraId="0092A8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55CDD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26AA07E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3FE52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НИБТ полигона</w:t>
            </w:r>
          </w:p>
          <w:p w14:paraId="2EB084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D5E2802" w14:textId="77777777">
        <w:trPr>
          <w:trHeight w:val="154"/>
        </w:trPr>
        <w:tc>
          <w:tcPr>
            <w:tcW w:w="426" w:type="dxa"/>
            <w:tcBorders>
              <w:top w:val="nil"/>
              <w:left w:val="single" w:sz="6" w:space="0" w:color="auto"/>
              <w:bottom w:val="nil"/>
              <w:right w:val="single" w:sz="6" w:space="0" w:color="auto"/>
            </w:tcBorders>
          </w:tcPr>
          <w:p w14:paraId="1105C9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6035E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A4658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тяжелого танка.</w:t>
            </w:r>
          </w:p>
          <w:p w14:paraId="27C25D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681F3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2641C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59E73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AD2A0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AE12CC7" w14:textId="77777777">
        <w:trPr>
          <w:trHeight w:val="202"/>
        </w:trPr>
        <w:tc>
          <w:tcPr>
            <w:tcW w:w="426" w:type="dxa"/>
            <w:tcBorders>
              <w:top w:val="nil"/>
              <w:left w:val="single" w:sz="6" w:space="0" w:color="auto"/>
              <w:bottom w:val="nil"/>
              <w:right w:val="single" w:sz="6" w:space="0" w:color="auto"/>
            </w:tcBorders>
          </w:tcPr>
          <w:p w14:paraId="0031BE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w:t>
            </w:r>
          </w:p>
          <w:p w14:paraId="0F7846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4233F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испытаний: электротермометров воды и масла, счетчика моточасов.</w:t>
            </w:r>
          </w:p>
          <w:p w14:paraId="275297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67F97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07D41A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F0211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НИБТ полигона</w:t>
            </w:r>
          </w:p>
          <w:p w14:paraId="3D5617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D9E62E4" w14:textId="77777777">
        <w:trPr>
          <w:trHeight w:val="365"/>
        </w:trPr>
        <w:tc>
          <w:tcPr>
            <w:tcW w:w="426" w:type="dxa"/>
            <w:tcBorders>
              <w:top w:val="nil"/>
              <w:left w:val="single" w:sz="6" w:space="0" w:color="auto"/>
              <w:bottom w:val="nil"/>
              <w:right w:val="single" w:sz="6" w:space="0" w:color="auto"/>
            </w:tcBorders>
          </w:tcPr>
          <w:p w14:paraId="1B7F98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w:t>
            </w:r>
          </w:p>
          <w:p w14:paraId="091A6C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5B8B1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Разработка технических требований на радиооборудование по результатам работы совместной ко</w:t>
            </w:r>
            <w:r w:rsidRPr="00925F26">
              <w:rPr>
                <w:color w:val="000000" w:themeColor="text1"/>
                <w:sz w:val="16"/>
                <w:szCs w:val="16"/>
              </w:rPr>
              <w:softHyphen/>
              <w:t>миссии ГБТУ КА и ГУС КА.</w:t>
            </w:r>
          </w:p>
          <w:p w14:paraId="29887B1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3E778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февраль</w:t>
            </w:r>
          </w:p>
          <w:p w14:paraId="120886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C1BB4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НИБТ полигона</w:t>
            </w:r>
          </w:p>
          <w:p w14:paraId="7DE036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01C8CC8" w14:textId="77777777">
        <w:trPr>
          <w:trHeight w:val="202"/>
        </w:trPr>
        <w:tc>
          <w:tcPr>
            <w:tcW w:w="426" w:type="dxa"/>
            <w:tcBorders>
              <w:top w:val="nil"/>
              <w:left w:val="single" w:sz="6" w:space="0" w:color="auto"/>
              <w:bottom w:val="nil"/>
              <w:right w:val="single" w:sz="6" w:space="0" w:color="auto"/>
            </w:tcBorders>
          </w:tcPr>
          <w:p w14:paraId="604488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40407D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51D98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Внедрение в серийное производство нового типа автоматических огнетушителей.</w:t>
            </w:r>
          </w:p>
          <w:p w14:paraId="5B5F71B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79AFD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0FFE1C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29D49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072C78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0679CDF" w14:textId="77777777">
        <w:trPr>
          <w:trHeight w:val="202"/>
        </w:trPr>
        <w:tc>
          <w:tcPr>
            <w:tcW w:w="426" w:type="dxa"/>
            <w:tcBorders>
              <w:top w:val="nil"/>
              <w:left w:val="single" w:sz="6" w:space="0" w:color="auto"/>
              <w:bottom w:val="nil"/>
              <w:right w:val="single" w:sz="6" w:space="0" w:color="auto"/>
            </w:tcBorders>
          </w:tcPr>
          <w:p w14:paraId="7251BB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449CD8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03A88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Разработка новых ТТТ на танки и танковые агрегаты.</w:t>
            </w:r>
          </w:p>
          <w:p w14:paraId="708C2F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D142F9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1A7257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F8BD5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227FEB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AF90C54" w14:textId="77777777">
        <w:trPr>
          <w:trHeight w:val="365"/>
        </w:trPr>
        <w:tc>
          <w:tcPr>
            <w:tcW w:w="426" w:type="dxa"/>
            <w:tcBorders>
              <w:top w:val="nil"/>
              <w:left w:val="single" w:sz="6" w:space="0" w:color="auto"/>
              <w:bottom w:val="nil"/>
              <w:right w:val="single" w:sz="6" w:space="0" w:color="auto"/>
            </w:tcBorders>
          </w:tcPr>
          <w:p w14:paraId="41F9D5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w:t>
            </w:r>
          </w:p>
          <w:p w14:paraId="28721CB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CC48E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разработкой и изготовление опытных образцов самоходных установок со 122 и 152-мм пушками повышенной баллистики.</w:t>
            </w:r>
          </w:p>
          <w:p w14:paraId="5B9B54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11260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июнь</w:t>
            </w:r>
          </w:p>
          <w:p w14:paraId="68FF53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630F4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3F1C47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AEADA5D" w14:textId="77777777">
        <w:trPr>
          <w:trHeight w:val="384"/>
        </w:trPr>
        <w:tc>
          <w:tcPr>
            <w:tcW w:w="426" w:type="dxa"/>
            <w:tcBorders>
              <w:top w:val="nil"/>
              <w:left w:val="single" w:sz="6" w:space="0" w:color="auto"/>
              <w:bottom w:val="single" w:sz="6" w:space="0" w:color="auto"/>
              <w:right w:val="single" w:sz="6" w:space="0" w:color="auto"/>
            </w:tcBorders>
          </w:tcPr>
          <w:p w14:paraId="7F5AD7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w:t>
            </w:r>
          </w:p>
          <w:p w14:paraId="5AFF5D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11C529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изготовлением опытных образцов самоходных установок с передним и задним рас</w:t>
            </w:r>
            <w:r w:rsidRPr="00925F26">
              <w:rPr>
                <w:color w:val="000000" w:themeColor="text1"/>
                <w:sz w:val="16"/>
                <w:szCs w:val="16"/>
              </w:rPr>
              <w:softHyphen/>
              <w:t>положением боевых отделений (шасси Т-34).</w:t>
            </w:r>
          </w:p>
          <w:p w14:paraId="53D79E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11EE28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апрель</w:t>
            </w:r>
          </w:p>
          <w:p w14:paraId="78902EE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4E639A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5E3A3A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42710A5" w14:textId="77777777">
        <w:trPr>
          <w:trHeight w:val="202"/>
        </w:trPr>
        <w:tc>
          <w:tcPr>
            <w:tcW w:w="426" w:type="dxa"/>
            <w:tcBorders>
              <w:top w:val="single" w:sz="6" w:space="0" w:color="auto"/>
              <w:left w:val="single" w:sz="6" w:space="0" w:color="auto"/>
              <w:bottom w:val="nil"/>
              <w:right w:val="single" w:sz="6" w:space="0" w:color="auto"/>
            </w:tcBorders>
          </w:tcPr>
          <w:p w14:paraId="1EC80C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w:t>
            </w:r>
          </w:p>
          <w:p w14:paraId="7BA21D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154440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Организация и проведение испытаний самоходных установок с пушками: ЛБ-9, ЛБ-10, С-26 и С-26-</w:t>
            </w:r>
            <w:proofErr w:type="gramStart"/>
            <w:r w:rsidRPr="00925F26">
              <w:rPr>
                <w:color w:val="000000" w:themeColor="text1"/>
                <w:sz w:val="16"/>
                <w:szCs w:val="16"/>
              </w:rPr>
              <w:t>1 .</w:t>
            </w:r>
            <w:proofErr w:type="gramEnd"/>
          </w:p>
          <w:p w14:paraId="76609E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73A3EB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март</w:t>
            </w:r>
          </w:p>
          <w:p w14:paraId="728A5C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40FD41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4EB801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7A91D57" w14:textId="77777777">
        <w:trPr>
          <w:trHeight w:val="202"/>
        </w:trPr>
        <w:tc>
          <w:tcPr>
            <w:tcW w:w="426" w:type="dxa"/>
            <w:tcBorders>
              <w:top w:val="nil"/>
              <w:left w:val="single" w:sz="6" w:space="0" w:color="auto"/>
              <w:bottom w:val="nil"/>
              <w:right w:val="single" w:sz="6" w:space="0" w:color="auto"/>
            </w:tcBorders>
          </w:tcPr>
          <w:p w14:paraId="69B635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w:t>
            </w:r>
          </w:p>
          <w:p w14:paraId="0E39D0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B0994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изготовлением и испытанием опытного образца установки 122-мм пушки большой</w:t>
            </w:r>
          </w:p>
          <w:p w14:paraId="198112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79CB0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июнь</w:t>
            </w:r>
          </w:p>
          <w:p w14:paraId="2128BC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2D867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331856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8969DBC" w14:textId="77777777">
        <w:trPr>
          <w:trHeight w:val="163"/>
        </w:trPr>
        <w:tc>
          <w:tcPr>
            <w:tcW w:w="426" w:type="dxa"/>
            <w:tcBorders>
              <w:top w:val="nil"/>
              <w:left w:val="single" w:sz="6" w:space="0" w:color="auto"/>
              <w:bottom w:val="nil"/>
              <w:right w:val="single" w:sz="6" w:space="0" w:color="auto"/>
            </w:tcBorders>
          </w:tcPr>
          <w:p w14:paraId="3DD761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AC196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FA80E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мощности в тяжелом танке.</w:t>
            </w:r>
          </w:p>
          <w:p w14:paraId="2D3F5C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2BA0A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632A7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048E8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815D4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8735400" w14:textId="77777777">
        <w:trPr>
          <w:trHeight w:val="202"/>
        </w:trPr>
        <w:tc>
          <w:tcPr>
            <w:tcW w:w="426" w:type="dxa"/>
            <w:tcBorders>
              <w:top w:val="nil"/>
              <w:left w:val="single" w:sz="6" w:space="0" w:color="auto"/>
              <w:bottom w:val="nil"/>
              <w:right w:val="single" w:sz="6" w:space="0" w:color="auto"/>
            </w:tcBorders>
          </w:tcPr>
          <w:p w14:paraId="152DDEA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1BC3B7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E52A7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изготовлением и испытанием 5 образцов стабилизаторов СТП С-35 на танке Т-34.</w:t>
            </w:r>
          </w:p>
          <w:p w14:paraId="03E12C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0656F8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май</w:t>
            </w:r>
          </w:p>
          <w:p w14:paraId="7E7493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95C4E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45480E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1C957E5" w14:textId="77777777">
        <w:trPr>
          <w:trHeight w:val="192"/>
        </w:trPr>
        <w:tc>
          <w:tcPr>
            <w:tcW w:w="426" w:type="dxa"/>
            <w:tcBorders>
              <w:top w:val="nil"/>
              <w:left w:val="single" w:sz="6" w:space="0" w:color="auto"/>
              <w:bottom w:val="nil"/>
              <w:right w:val="single" w:sz="6" w:space="0" w:color="auto"/>
            </w:tcBorders>
          </w:tcPr>
          <w:p w14:paraId="7B6A73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w:t>
            </w:r>
          </w:p>
          <w:p w14:paraId="3DD4ED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CB622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отработкой систем для 85-мм и 100-мм пушек большой мощности.</w:t>
            </w:r>
          </w:p>
          <w:p w14:paraId="6250EC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58FC1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март - июнь</w:t>
            </w:r>
          </w:p>
          <w:p w14:paraId="070C9F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A5DA8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461D6C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DADF4C7" w14:textId="77777777">
        <w:trPr>
          <w:trHeight w:val="202"/>
        </w:trPr>
        <w:tc>
          <w:tcPr>
            <w:tcW w:w="426" w:type="dxa"/>
            <w:tcBorders>
              <w:top w:val="nil"/>
              <w:left w:val="single" w:sz="6" w:space="0" w:color="auto"/>
              <w:bottom w:val="nil"/>
              <w:right w:val="single" w:sz="6" w:space="0" w:color="auto"/>
            </w:tcBorders>
          </w:tcPr>
          <w:p w14:paraId="543DD1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w:t>
            </w:r>
          </w:p>
          <w:p w14:paraId="6294FF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90F26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сравнительными испытаниями маслофильтров и воздухоочистителей на НИБТ полигоне.</w:t>
            </w:r>
          </w:p>
          <w:p w14:paraId="25407C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5E7DC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1AFD50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2F3BC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5B8663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FAE1A01" w14:textId="77777777">
        <w:trPr>
          <w:trHeight w:val="202"/>
        </w:trPr>
        <w:tc>
          <w:tcPr>
            <w:tcW w:w="426" w:type="dxa"/>
            <w:tcBorders>
              <w:top w:val="nil"/>
              <w:left w:val="single" w:sz="6" w:space="0" w:color="auto"/>
              <w:bottom w:val="nil"/>
              <w:right w:val="single" w:sz="6" w:space="0" w:color="auto"/>
            </w:tcBorders>
          </w:tcPr>
          <w:p w14:paraId="259444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p w14:paraId="4426AD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AD2EF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Наблюдение за разработкой и изготовлением новых образцов бронеавтомобилей и бронетранспортеров.</w:t>
            </w:r>
          </w:p>
          <w:p w14:paraId="2948AE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44A0E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июнь</w:t>
            </w:r>
          </w:p>
          <w:p w14:paraId="081A2B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F00A4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 и БМ</w:t>
            </w:r>
          </w:p>
          <w:p w14:paraId="06B598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90ECF82" w14:textId="77777777">
        <w:trPr>
          <w:trHeight w:val="182"/>
        </w:trPr>
        <w:tc>
          <w:tcPr>
            <w:tcW w:w="426" w:type="dxa"/>
            <w:tcBorders>
              <w:top w:val="nil"/>
              <w:left w:val="single" w:sz="6" w:space="0" w:color="auto"/>
              <w:bottom w:val="nil"/>
              <w:right w:val="single" w:sz="6" w:space="0" w:color="auto"/>
            </w:tcBorders>
          </w:tcPr>
          <w:p w14:paraId="552882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w:t>
            </w:r>
          </w:p>
          <w:p w14:paraId="0E1C0A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4DB49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Получение и испытание установочной партии мотоциклов М-73 и опытных мотоциклов по плану</w:t>
            </w:r>
          </w:p>
          <w:p w14:paraId="4BB045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479F7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июнь</w:t>
            </w:r>
          </w:p>
          <w:p w14:paraId="1627BE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DCE565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 и БМ</w:t>
            </w:r>
          </w:p>
          <w:p w14:paraId="3FD352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1DB7A7B" w14:textId="77777777">
        <w:trPr>
          <w:trHeight w:val="173"/>
        </w:trPr>
        <w:tc>
          <w:tcPr>
            <w:tcW w:w="426" w:type="dxa"/>
            <w:tcBorders>
              <w:top w:val="nil"/>
              <w:left w:val="single" w:sz="6" w:space="0" w:color="auto"/>
              <w:bottom w:val="nil"/>
              <w:right w:val="single" w:sz="6" w:space="0" w:color="auto"/>
            </w:tcBorders>
          </w:tcPr>
          <w:p w14:paraId="383B7D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D58D76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44DAE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НКСМ и ГБТУ КА.</w:t>
            </w:r>
          </w:p>
          <w:p w14:paraId="231C90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9DAD1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A9FDD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2000C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6FBB8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CC4B816" w14:textId="77777777">
        <w:trPr>
          <w:trHeight w:val="211"/>
        </w:trPr>
        <w:tc>
          <w:tcPr>
            <w:tcW w:w="426" w:type="dxa"/>
            <w:tcBorders>
              <w:top w:val="nil"/>
              <w:left w:val="single" w:sz="6" w:space="0" w:color="auto"/>
              <w:bottom w:val="nil"/>
              <w:right w:val="single" w:sz="6" w:space="0" w:color="auto"/>
            </w:tcBorders>
          </w:tcPr>
          <w:p w14:paraId="0BF6A6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105344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56E34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работ по уменьшению габаритов 50 бронепоездов.</w:t>
            </w:r>
          </w:p>
          <w:p w14:paraId="4FF039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DE3ED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3C2907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D1E5A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 и БМ</w:t>
            </w:r>
          </w:p>
          <w:p w14:paraId="607C54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C21890F" w14:textId="77777777">
        <w:trPr>
          <w:trHeight w:val="192"/>
        </w:trPr>
        <w:tc>
          <w:tcPr>
            <w:tcW w:w="426" w:type="dxa"/>
            <w:tcBorders>
              <w:top w:val="nil"/>
              <w:left w:val="single" w:sz="6" w:space="0" w:color="auto"/>
              <w:bottom w:val="nil"/>
              <w:right w:val="single" w:sz="6" w:space="0" w:color="auto"/>
            </w:tcBorders>
          </w:tcPr>
          <w:p w14:paraId="41D6D8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p w14:paraId="6A2BE73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152A1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Унификация радиостанций на бронепоездах.</w:t>
            </w:r>
          </w:p>
          <w:p w14:paraId="49FFB29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1723A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июнь</w:t>
            </w:r>
          </w:p>
          <w:p w14:paraId="463FA6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2DD94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 и БМ</w:t>
            </w:r>
          </w:p>
          <w:p w14:paraId="599109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4C0999E" w14:textId="77777777">
        <w:trPr>
          <w:trHeight w:val="202"/>
        </w:trPr>
        <w:tc>
          <w:tcPr>
            <w:tcW w:w="426" w:type="dxa"/>
            <w:tcBorders>
              <w:top w:val="nil"/>
              <w:left w:val="single" w:sz="6" w:space="0" w:color="auto"/>
              <w:bottom w:val="nil"/>
              <w:right w:val="single" w:sz="6" w:space="0" w:color="auto"/>
            </w:tcBorders>
          </w:tcPr>
          <w:p w14:paraId="1D93CE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27</w:t>
            </w:r>
          </w:p>
          <w:p w14:paraId="4A6509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13770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испытаний электротрансмиссии.</w:t>
            </w:r>
          </w:p>
          <w:p w14:paraId="66D248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C2B0C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0A81F2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6377CE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НИБТ полигона</w:t>
            </w:r>
          </w:p>
          <w:p w14:paraId="09BEB8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644859E" w14:textId="77777777">
        <w:trPr>
          <w:trHeight w:val="182"/>
        </w:trPr>
        <w:tc>
          <w:tcPr>
            <w:tcW w:w="426" w:type="dxa"/>
            <w:tcBorders>
              <w:top w:val="nil"/>
              <w:left w:val="single" w:sz="6" w:space="0" w:color="auto"/>
              <w:bottom w:val="nil"/>
              <w:right w:val="single" w:sz="6" w:space="0" w:color="auto"/>
            </w:tcBorders>
          </w:tcPr>
          <w:p w14:paraId="1BD2468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w:t>
            </w:r>
          </w:p>
          <w:p w14:paraId="6CE758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24CEB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Контроль за разработкой шарнирных прицелов для 100-мм, 122 и 152-мм пушек </w:t>
            </w:r>
            <w:proofErr w:type="gramStart"/>
            <w:r w:rsidRPr="00925F26">
              <w:rPr>
                <w:color w:val="000000" w:themeColor="text1"/>
                <w:sz w:val="16"/>
                <w:szCs w:val="16"/>
              </w:rPr>
              <w:t>с переменным</w:t>
            </w:r>
            <w:proofErr w:type="gramEnd"/>
          </w:p>
          <w:p w14:paraId="5C058D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C0673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май</w:t>
            </w:r>
          </w:p>
          <w:p w14:paraId="7E8C0E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E230C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01B3B5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7B4BF1A" w14:textId="77777777">
        <w:trPr>
          <w:trHeight w:val="182"/>
        </w:trPr>
        <w:tc>
          <w:tcPr>
            <w:tcW w:w="426" w:type="dxa"/>
            <w:tcBorders>
              <w:top w:val="nil"/>
              <w:left w:val="single" w:sz="6" w:space="0" w:color="auto"/>
              <w:bottom w:val="nil"/>
              <w:right w:val="single" w:sz="6" w:space="0" w:color="auto"/>
            </w:tcBorders>
          </w:tcPr>
          <w:p w14:paraId="6DC6E8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2E0A8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F9EA9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увеличением (3 и 6).</w:t>
            </w:r>
          </w:p>
          <w:p w14:paraId="04E786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110D6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E06E5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999D2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D2BE3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403C16C" w14:textId="77777777">
        <w:trPr>
          <w:trHeight w:val="202"/>
        </w:trPr>
        <w:tc>
          <w:tcPr>
            <w:tcW w:w="426" w:type="dxa"/>
            <w:tcBorders>
              <w:top w:val="nil"/>
              <w:left w:val="single" w:sz="6" w:space="0" w:color="auto"/>
              <w:bottom w:val="nil"/>
              <w:right w:val="single" w:sz="6" w:space="0" w:color="auto"/>
            </w:tcBorders>
          </w:tcPr>
          <w:p w14:paraId="1C1434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w:t>
            </w:r>
          </w:p>
          <w:p w14:paraId="4E1D5D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79A65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разработкой и внедрением в производство единого образца боеукладки (стаканчики).</w:t>
            </w:r>
          </w:p>
          <w:p w14:paraId="592C2F1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F170D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02773F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3C895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 и УСА</w:t>
            </w:r>
          </w:p>
          <w:p w14:paraId="312E9B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AB4E7A9" w14:textId="77777777">
        <w:trPr>
          <w:trHeight w:val="230"/>
        </w:trPr>
        <w:tc>
          <w:tcPr>
            <w:tcW w:w="426" w:type="dxa"/>
            <w:tcBorders>
              <w:top w:val="nil"/>
              <w:left w:val="single" w:sz="6" w:space="0" w:color="auto"/>
              <w:bottom w:val="single" w:sz="6" w:space="0" w:color="auto"/>
              <w:right w:val="single" w:sz="6" w:space="0" w:color="auto"/>
            </w:tcBorders>
          </w:tcPr>
          <w:p w14:paraId="7F202F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10C308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253059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Испытание топлив и смазок для отечественных и импортных танков и СУ.</w:t>
            </w:r>
          </w:p>
          <w:p w14:paraId="4AE33A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0A52ED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2A6D9E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4A5E5A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20C182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D192B9A" w14:textId="77777777">
        <w:trPr>
          <w:trHeight w:val="250"/>
        </w:trPr>
        <w:tc>
          <w:tcPr>
            <w:tcW w:w="9498" w:type="dxa"/>
            <w:gridSpan w:val="4"/>
            <w:tcBorders>
              <w:top w:val="single" w:sz="6" w:space="0" w:color="auto"/>
              <w:left w:val="single" w:sz="6" w:space="0" w:color="auto"/>
              <w:bottom w:val="single" w:sz="6" w:space="0" w:color="auto"/>
              <w:right w:val="single" w:sz="6" w:space="0" w:color="auto"/>
            </w:tcBorders>
          </w:tcPr>
          <w:p w14:paraId="49281F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IV. </w:t>
            </w:r>
            <w:r w:rsidRPr="00925F26">
              <w:rPr>
                <w:color w:val="000000" w:themeColor="text1"/>
                <w:sz w:val="16"/>
                <w:szCs w:val="16"/>
              </w:rPr>
              <w:t>Техдокументация и издания</w:t>
            </w:r>
          </w:p>
          <w:p w14:paraId="23479B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5CC5305" w14:textId="77777777">
        <w:trPr>
          <w:trHeight w:val="269"/>
        </w:trPr>
        <w:tc>
          <w:tcPr>
            <w:tcW w:w="426" w:type="dxa"/>
            <w:tcBorders>
              <w:top w:val="single" w:sz="6" w:space="0" w:color="auto"/>
              <w:left w:val="single" w:sz="6" w:space="0" w:color="auto"/>
              <w:bottom w:val="nil"/>
              <w:right w:val="single" w:sz="6" w:space="0" w:color="auto"/>
            </w:tcBorders>
          </w:tcPr>
          <w:p w14:paraId="19AA58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370027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1C0148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Издание руководств и наставлений: по танку Т-44; по самоходным установкам: СУ-37, СУ- 100,</w:t>
            </w:r>
          </w:p>
          <w:p w14:paraId="784D74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4E85DA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0009E9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173D8B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2F0AA0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AF5601F" w14:textId="77777777">
        <w:trPr>
          <w:trHeight w:val="182"/>
        </w:trPr>
        <w:tc>
          <w:tcPr>
            <w:tcW w:w="426" w:type="dxa"/>
            <w:tcBorders>
              <w:top w:val="nil"/>
              <w:left w:val="single" w:sz="6" w:space="0" w:color="auto"/>
              <w:bottom w:val="nil"/>
              <w:right w:val="single" w:sz="6" w:space="0" w:color="auto"/>
            </w:tcBorders>
          </w:tcPr>
          <w:p w14:paraId="4A99D3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A637D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5D126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ИСУ-122 и ИСУ-152 большой мощности.</w:t>
            </w:r>
          </w:p>
          <w:p w14:paraId="63C5C2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4D665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007DB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87C40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1BD6C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EB50DF8" w14:textId="77777777">
        <w:trPr>
          <w:trHeight w:val="202"/>
        </w:trPr>
        <w:tc>
          <w:tcPr>
            <w:tcW w:w="426" w:type="dxa"/>
            <w:tcBorders>
              <w:top w:val="nil"/>
              <w:left w:val="single" w:sz="6" w:space="0" w:color="auto"/>
              <w:bottom w:val="nil"/>
              <w:right w:val="single" w:sz="6" w:space="0" w:color="auto"/>
            </w:tcBorders>
          </w:tcPr>
          <w:p w14:paraId="12756C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3DDF39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7A6FE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Издание наставления по эксплуатации танков и самоходных установок.</w:t>
            </w:r>
          </w:p>
          <w:p w14:paraId="1C7D08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3C963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5FEA75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09CCA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5A10B9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5D43AEB" w14:textId="77777777">
        <w:trPr>
          <w:trHeight w:val="202"/>
        </w:trPr>
        <w:tc>
          <w:tcPr>
            <w:tcW w:w="426" w:type="dxa"/>
            <w:tcBorders>
              <w:top w:val="nil"/>
              <w:left w:val="single" w:sz="6" w:space="0" w:color="auto"/>
              <w:bottom w:val="nil"/>
              <w:right w:val="single" w:sz="6" w:space="0" w:color="auto"/>
            </w:tcBorders>
          </w:tcPr>
          <w:p w14:paraId="12E5BF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12FB29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8770F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Издание иллюстрированных объемов работ по обслуживанию всех танков и самоходных установок.</w:t>
            </w:r>
          </w:p>
          <w:p w14:paraId="1A958B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627AE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февраль</w:t>
            </w:r>
          </w:p>
          <w:p w14:paraId="6B6B50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F0431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2EEA19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6853410" w14:textId="77777777">
        <w:trPr>
          <w:trHeight w:val="192"/>
        </w:trPr>
        <w:tc>
          <w:tcPr>
            <w:tcW w:w="426" w:type="dxa"/>
            <w:tcBorders>
              <w:top w:val="nil"/>
              <w:left w:val="single" w:sz="6" w:space="0" w:color="auto"/>
              <w:bottom w:val="nil"/>
              <w:right w:val="single" w:sz="6" w:space="0" w:color="auto"/>
            </w:tcBorders>
          </w:tcPr>
          <w:p w14:paraId="19E541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0B082C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39858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Издание листовок по маслоразжижающему устройству средних и тяжелых танков и самоходных ус-</w:t>
            </w:r>
          </w:p>
          <w:p w14:paraId="16810D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FE2FA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71A2466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97316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4F3745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BAC3326" w14:textId="77777777">
        <w:trPr>
          <w:trHeight w:val="163"/>
        </w:trPr>
        <w:tc>
          <w:tcPr>
            <w:tcW w:w="426" w:type="dxa"/>
            <w:tcBorders>
              <w:top w:val="nil"/>
              <w:left w:val="single" w:sz="6" w:space="0" w:color="auto"/>
              <w:bottom w:val="nil"/>
              <w:right w:val="single" w:sz="6" w:space="0" w:color="auto"/>
            </w:tcBorders>
          </w:tcPr>
          <w:p w14:paraId="0F2AF6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E4F7C8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A69E5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тановок.</w:t>
            </w:r>
          </w:p>
          <w:p w14:paraId="5B8D5C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92E5B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28293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66017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F6C60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B94ABF1" w14:textId="77777777">
        <w:trPr>
          <w:trHeight w:val="202"/>
        </w:trPr>
        <w:tc>
          <w:tcPr>
            <w:tcW w:w="426" w:type="dxa"/>
            <w:tcBorders>
              <w:top w:val="nil"/>
              <w:left w:val="single" w:sz="6" w:space="0" w:color="auto"/>
              <w:bottom w:val="nil"/>
              <w:right w:val="single" w:sz="6" w:space="0" w:color="auto"/>
            </w:tcBorders>
          </w:tcPr>
          <w:p w14:paraId="08330D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299B9E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218E0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Подготовка и издание инструкций по эксплуатации танков и самоходных установок в весенне-лет-</w:t>
            </w:r>
          </w:p>
          <w:p w14:paraId="1F7733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AEDB5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февраль</w:t>
            </w:r>
          </w:p>
          <w:p w14:paraId="4C519E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22BDF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1837B1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8AB525D" w14:textId="77777777">
        <w:trPr>
          <w:trHeight w:val="173"/>
        </w:trPr>
        <w:tc>
          <w:tcPr>
            <w:tcW w:w="426" w:type="dxa"/>
            <w:tcBorders>
              <w:top w:val="nil"/>
              <w:left w:val="single" w:sz="6" w:space="0" w:color="auto"/>
              <w:bottom w:val="nil"/>
              <w:right w:val="single" w:sz="6" w:space="0" w:color="auto"/>
            </w:tcBorders>
          </w:tcPr>
          <w:p w14:paraId="019516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F9CEB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1F3DA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ний период.</w:t>
            </w:r>
          </w:p>
          <w:p w14:paraId="131708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5AB82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FAC3D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DB4A8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6A811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64BEDBF" w14:textId="77777777">
        <w:trPr>
          <w:trHeight w:val="192"/>
        </w:trPr>
        <w:tc>
          <w:tcPr>
            <w:tcW w:w="426" w:type="dxa"/>
            <w:tcBorders>
              <w:top w:val="nil"/>
              <w:left w:val="single" w:sz="6" w:space="0" w:color="auto"/>
              <w:bottom w:val="nil"/>
              <w:right w:val="single" w:sz="6" w:space="0" w:color="auto"/>
            </w:tcBorders>
          </w:tcPr>
          <w:p w14:paraId="0F83B2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4A71DC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D3311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Издание наставлений по эксплуатации танка Т-44, самоходных установок СУ-35, СУ- 122.</w:t>
            </w:r>
          </w:p>
          <w:p w14:paraId="7B42C2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B2405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февраль и март</w:t>
            </w:r>
          </w:p>
          <w:p w14:paraId="3FE81C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68B73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6ED256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A0B4E2D" w14:textId="77777777">
        <w:trPr>
          <w:trHeight w:val="202"/>
        </w:trPr>
        <w:tc>
          <w:tcPr>
            <w:tcW w:w="426" w:type="dxa"/>
            <w:tcBorders>
              <w:top w:val="nil"/>
              <w:left w:val="single" w:sz="6" w:space="0" w:color="auto"/>
              <w:bottom w:val="nil"/>
              <w:right w:val="single" w:sz="6" w:space="0" w:color="auto"/>
            </w:tcBorders>
          </w:tcPr>
          <w:p w14:paraId="79EC7C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005FB3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263BE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Составление и издание руководства по применению ГСМ для боевых машин.</w:t>
            </w:r>
          </w:p>
          <w:p w14:paraId="77A06A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020E2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68B118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CF43B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70A737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E7BAFAE" w14:textId="77777777">
        <w:trPr>
          <w:trHeight w:val="192"/>
        </w:trPr>
        <w:tc>
          <w:tcPr>
            <w:tcW w:w="426" w:type="dxa"/>
            <w:tcBorders>
              <w:top w:val="nil"/>
              <w:left w:val="single" w:sz="6" w:space="0" w:color="auto"/>
              <w:bottom w:val="nil"/>
              <w:right w:val="single" w:sz="6" w:space="0" w:color="auto"/>
            </w:tcBorders>
          </w:tcPr>
          <w:p w14:paraId="7EC2FD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1982DEB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CA762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Разработка и утверждение совместно с ВОСО новых норм на подвижной состав для бронепоездных</w:t>
            </w:r>
          </w:p>
          <w:p w14:paraId="4C770B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E0686F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2B73A8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F1E19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 и БМ</w:t>
            </w:r>
          </w:p>
          <w:p w14:paraId="10B8D9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7425A96" w14:textId="77777777">
        <w:trPr>
          <w:trHeight w:val="163"/>
        </w:trPr>
        <w:tc>
          <w:tcPr>
            <w:tcW w:w="426" w:type="dxa"/>
            <w:tcBorders>
              <w:top w:val="nil"/>
              <w:left w:val="single" w:sz="6" w:space="0" w:color="auto"/>
              <w:bottom w:val="nil"/>
              <w:right w:val="single" w:sz="6" w:space="0" w:color="auto"/>
            </w:tcBorders>
          </w:tcPr>
          <w:p w14:paraId="0A0F6CF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CD345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01935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частей.</w:t>
            </w:r>
          </w:p>
          <w:p w14:paraId="023800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96A8D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7B867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876C9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00EEA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7B0BFF2" w14:textId="77777777">
        <w:trPr>
          <w:trHeight w:val="278"/>
        </w:trPr>
        <w:tc>
          <w:tcPr>
            <w:tcW w:w="426" w:type="dxa"/>
            <w:tcBorders>
              <w:top w:val="nil"/>
              <w:left w:val="single" w:sz="6" w:space="0" w:color="auto"/>
              <w:bottom w:val="single" w:sz="6" w:space="0" w:color="auto"/>
              <w:right w:val="single" w:sz="6" w:space="0" w:color="auto"/>
            </w:tcBorders>
          </w:tcPr>
          <w:p w14:paraId="779A14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6CFFC4E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2B30F8A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Разработка документации по переучету мотоциклов и велосипедов в войсках.</w:t>
            </w:r>
          </w:p>
          <w:p w14:paraId="10C0F8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5602EB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490CCB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0AEE3A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УБПиБМ</w:t>
            </w:r>
          </w:p>
          <w:p w14:paraId="7042A4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A864FF7"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62C07C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w:t>
            </w:r>
            <w:r w:rsidRPr="00925F26">
              <w:rPr>
                <w:color w:val="000000" w:themeColor="text1"/>
                <w:sz w:val="16"/>
                <w:szCs w:val="16"/>
              </w:rPr>
              <w:t>. Эксплуатация и помощь войскам</w:t>
            </w:r>
          </w:p>
          <w:p w14:paraId="0D6BC5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F13A336" w14:textId="77777777">
        <w:trPr>
          <w:trHeight w:val="269"/>
        </w:trPr>
        <w:tc>
          <w:tcPr>
            <w:tcW w:w="426" w:type="dxa"/>
            <w:tcBorders>
              <w:top w:val="single" w:sz="6" w:space="0" w:color="auto"/>
              <w:left w:val="single" w:sz="6" w:space="0" w:color="auto"/>
              <w:bottom w:val="nil"/>
              <w:right w:val="single" w:sz="6" w:space="0" w:color="auto"/>
            </w:tcBorders>
          </w:tcPr>
          <w:p w14:paraId="0DB6BB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363899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345735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Проверка танковых и механизированных частей и соединений фронтов и резерва по вопросам зим-</w:t>
            </w:r>
          </w:p>
          <w:p w14:paraId="10A461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0D49C4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март</w:t>
            </w:r>
          </w:p>
          <w:p w14:paraId="6211B9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5D16DE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515E70A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DE58C2F" w14:textId="77777777">
        <w:trPr>
          <w:trHeight w:val="163"/>
        </w:trPr>
        <w:tc>
          <w:tcPr>
            <w:tcW w:w="426" w:type="dxa"/>
            <w:tcBorders>
              <w:top w:val="nil"/>
              <w:left w:val="single" w:sz="6" w:space="0" w:color="auto"/>
              <w:bottom w:val="nil"/>
              <w:right w:val="single" w:sz="6" w:space="0" w:color="auto"/>
            </w:tcBorders>
          </w:tcPr>
          <w:p w14:paraId="1F6916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D9001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88B6B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ней эксплуатации.</w:t>
            </w:r>
          </w:p>
          <w:p w14:paraId="57BA3D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ECB80A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0139B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B4BE6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9DA7C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26F8CEB" w14:textId="77777777">
        <w:trPr>
          <w:trHeight w:val="192"/>
        </w:trPr>
        <w:tc>
          <w:tcPr>
            <w:tcW w:w="426" w:type="dxa"/>
            <w:tcBorders>
              <w:top w:val="nil"/>
              <w:left w:val="single" w:sz="6" w:space="0" w:color="auto"/>
              <w:bottom w:val="nil"/>
              <w:right w:val="single" w:sz="6" w:space="0" w:color="auto"/>
            </w:tcBorders>
          </w:tcPr>
          <w:p w14:paraId="7A3FBC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7A266A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ED821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Проверка танковых и механизированных частей и соединений по вопросам подготовки к весенне-</w:t>
            </w:r>
          </w:p>
          <w:p w14:paraId="348563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C4DAA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апрель - май</w:t>
            </w:r>
          </w:p>
          <w:p w14:paraId="4A9B9B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EA2C5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558B0C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53CA78D" w14:textId="77777777">
        <w:trPr>
          <w:trHeight w:val="173"/>
        </w:trPr>
        <w:tc>
          <w:tcPr>
            <w:tcW w:w="426" w:type="dxa"/>
            <w:tcBorders>
              <w:top w:val="nil"/>
              <w:left w:val="single" w:sz="6" w:space="0" w:color="auto"/>
              <w:bottom w:val="nil"/>
              <w:right w:val="single" w:sz="6" w:space="0" w:color="auto"/>
            </w:tcBorders>
          </w:tcPr>
          <w:p w14:paraId="1C7E01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9187E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BC26A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летней эксплуатации.</w:t>
            </w:r>
          </w:p>
          <w:p w14:paraId="5C7135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E1B0C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EB217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1337D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F51EE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9997488" w14:textId="77777777">
        <w:trPr>
          <w:trHeight w:val="202"/>
        </w:trPr>
        <w:tc>
          <w:tcPr>
            <w:tcW w:w="426" w:type="dxa"/>
            <w:tcBorders>
              <w:top w:val="nil"/>
              <w:left w:val="single" w:sz="6" w:space="0" w:color="auto"/>
              <w:bottom w:val="nil"/>
              <w:right w:val="single" w:sz="6" w:space="0" w:color="auto"/>
            </w:tcBorders>
          </w:tcPr>
          <w:p w14:paraId="72F498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2C999C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C0BF2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сборов зам. командиров танковых и механизированных корпусов.</w:t>
            </w:r>
          </w:p>
          <w:p w14:paraId="116F95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0D914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апрель</w:t>
            </w:r>
          </w:p>
          <w:p w14:paraId="22F812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1F1D3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55466B9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F34AED1" w14:textId="77777777">
        <w:trPr>
          <w:trHeight w:val="202"/>
        </w:trPr>
        <w:tc>
          <w:tcPr>
            <w:tcW w:w="426" w:type="dxa"/>
            <w:tcBorders>
              <w:top w:val="nil"/>
              <w:left w:val="single" w:sz="6" w:space="0" w:color="auto"/>
              <w:bottom w:val="nil"/>
              <w:right w:val="single" w:sz="6" w:space="0" w:color="auto"/>
            </w:tcBorders>
          </w:tcPr>
          <w:p w14:paraId="5F182EE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3DCCB8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1E10C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работой по изысканию новых сортов топлива и смазки для боевых машин.</w:t>
            </w:r>
          </w:p>
          <w:p w14:paraId="61B73D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DADC9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май</w:t>
            </w:r>
          </w:p>
          <w:p w14:paraId="1F0CB3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550CB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47A20F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9FC3353" w14:textId="77777777">
        <w:trPr>
          <w:trHeight w:val="192"/>
        </w:trPr>
        <w:tc>
          <w:tcPr>
            <w:tcW w:w="426" w:type="dxa"/>
            <w:tcBorders>
              <w:top w:val="nil"/>
              <w:left w:val="single" w:sz="6" w:space="0" w:color="auto"/>
              <w:bottom w:val="nil"/>
              <w:right w:val="single" w:sz="6" w:space="0" w:color="auto"/>
            </w:tcBorders>
          </w:tcPr>
          <w:p w14:paraId="132352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4D28A7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BBCDF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Проверка по вопросам эксплуатации танковых лагерей артцентра, учебных бригад и полков и тан-</w:t>
            </w:r>
          </w:p>
          <w:p w14:paraId="07E04B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2C3E2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июнь</w:t>
            </w:r>
          </w:p>
          <w:p w14:paraId="6FD6DF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13FF5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УЭТ</w:t>
            </w:r>
          </w:p>
          <w:p w14:paraId="2DB3E8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249602B" w14:textId="77777777">
        <w:trPr>
          <w:trHeight w:val="230"/>
        </w:trPr>
        <w:tc>
          <w:tcPr>
            <w:tcW w:w="426" w:type="dxa"/>
            <w:tcBorders>
              <w:top w:val="nil"/>
              <w:left w:val="single" w:sz="6" w:space="0" w:color="auto"/>
              <w:bottom w:val="single" w:sz="6" w:space="0" w:color="auto"/>
              <w:right w:val="single" w:sz="6" w:space="0" w:color="auto"/>
            </w:tcBorders>
          </w:tcPr>
          <w:p w14:paraId="0B49E5D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D028D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560E27E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ковых училищ.</w:t>
            </w:r>
          </w:p>
          <w:p w14:paraId="781DD8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2C1800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FDDA0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64585B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CC8E6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1DA77A5" w14:textId="77777777">
        <w:trPr>
          <w:trHeight w:val="250"/>
        </w:trPr>
        <w:tc>
          <w:tcPr>
            <w:tcW w:w="426" w:type="dxa"/>
            <w:tcBorders>
              <w:top w:val="single" w:sz="6" w:space="0" w:color="auto"/>
              <w:left w:val="single" w:sz="6" w:space="0" w:color="auto"/>
              <w:bottom w:val="single" w:sz="6" w:space="0" w:color="auto"/>
              <w:right w:val="nil"/>
            </w:tcBorders>
          </w:tcPr>
          <w:p w14:paraId="43FB14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24407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072" w:type="dxa"/>
            <w:gridSpan w:val="3"/>
            <w:tcBorders>
              <w:top w:val="single" w:sz="6" w:space="0" w:color="auto"/>
              <w:left w:val="nil"/>
              <w:bottom w:val="single" w:sz="6" w:space="0" w:color="auto"/>
              <w:right w:val="single" w:sz="6" w:space="0" w:color="auto"/>
            </w:tcBorders>
          </w:tcPr>
          <w:p w14:paraId="56E590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VI. </w:t>
            </w:r>
            <w:r w:rsidRPr="00925F26">
              <w:rPr>
                <w:color w:val="000000" w:themeColor="text1"/>
                <w:sz w:val="16"/>
                <w:szCs w:val="16"/>
              </w:rPr>
              <w:t>Разное</w:t>
            </w:r>
          </w:p>
          <w:p w14:paraId="3FE226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498E689" w14:textId="77777777">
        <w:trPr>
          <w:trHeight w:val="259"/>
        </w:trPr>
        <w:tc>
          <w:tcPr>
            <w:tcW w:w="426" w:type="dxa"/>
            <w:tcBorders>
              <w:top w:val="single" w:sz="6" w:space="0" w:color="auto"/>
              <w:left w:val="single" w:sz="6" w:space="0" w:color="auto"/>
              <w:bottom w:val="nil"/>
              <w:right w:val="single" w:sz="6" w:space="0" w:color="auto"/>
            </w:tcBorders>
          </w:tcPr>
          <w:p w14:paraId="152CD4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3D776E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2BF8C1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и руководство работы НИБТ полигона ГБТУ КА.</w:t>
            </w:r>
          </w:p>
          <w:p w14:paraId="013464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51FEC1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I </w:t>
            </w:r>
            <w:r w:rsidRPr="00925F26">
              <w:rPr>
                <w:color w:val="000000" w:themeColor="text1"/>
                <w:sz w:val="16"/>
                <w:szCs w:val="16"/>
              </w:rPr>
              <w:t xml:space="preserve">и </w:t>
            </w:r>
            <w:r w:rsidRPr="00925F26">
              <w:rPr>
                <w:color w:val="000000" w:themeColor="text1"/>
                <w:sz w:val="16"/>
                <w:szCs w:val="16"/>
                <w:lang w:val="en-US"/>
              </w:rPr>
              <w:t xml:space="preserve">II </w:t>
            </w:r>
            <w:r w:rsidRPr="00925F26">
              <w:rPr>
                <w:color w:val="000000" w:themeColor="text1"/>
                <w:sz w:val="16"/>
                <w:szCs w:val="16"/>
              </w:rPr>
              <w:t>кв.</w:t>
            </w:r>
          </w:p>
          <w:p w14:paraId="35582C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12A130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ГБТУ</w:t>
            </w:r>
          </w:p>
          <w:p w14:paraId="4CDEA6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F1FCB61" w14:textId="77777777">
        <w:trPr>
          <w:trHeight w:val="182"/>
        </w:trPr>
        <w:tc>
          <w:tcPr>
            <w:tcW w:w="426" w:type="dxa"/>
            <w:tcBorders>
              <w:top w:val="nil"/>
              <w:left w:val="single" w:sz="6" w:space="0" w:color="auto"/>
              <w:bottom w:val="nil"/>
              <w:right w:val="single" w:sz="6" w:space="0" w:color="auto"/>
            </w:tcBorders>
          </w:tcPr>
          <w:p w14:paraId="48D0CA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0CF065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D7746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сборов: военных представителей танковых заводов и заводов самоходной артиллерии,</w:t>
            </w:r>
          </w:p>
          <w:p w14:paraId="63E014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68D92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июнь</w:t>
            </w:r>
          </w:p>
          <w:p w14:paraId="204353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1F28B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60E292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786A23A" w14:textId="77777777">
        <w:trPr>
          <w:trHeight w:val="182"/>
        </w:trPr>
        <w:tc>
          <w:tcPr>
            <w:tcW w:w="426" w:type="dxa"/>
            <w:tcBorders>
              <w:top w:val="nil"/>
              <w:left w:val="single" w:sz="6" w:space="0" w:color="auto"/>
              <w:bottom w:val="nil"/>
              <w:right w:val="single" w:sz="6" w:space="0" w:color="auto"/>
            </w:tcBorders>
          </w:tcPr>
          <w:p w14:paraId="31CA3E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6CB9A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BE296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командиров бронемашин.</w:t>
            </w:r>
          </w:p>
          <w:p w14:paraId="7EC316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D47A6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0C2ED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1299C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467A7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5513F14" w14:textId="77777777">
        <w:trPr>
          <w:trHeight w:val="202"/>
        </w:trPr>
        <w:tc>
          <w:tcPr>
            <w:tcW w:w="426" w:type="dxa"/>
            <w:tcBorders>
              <w:top w:val="nil"/>
              <w:left w:val="single" w:sz="6" w:space="0" w:color="auto"/>
              <w:bottom w:val="nil"/>
              <w:right w:val="single" w:sz="6" w:space="0" w:color="auto"/>
            </w:tcBorders>
          </w:tcPr>
          <w:p w14:paraId="430A5C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7F809F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46CD1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Окончание строительства артскладов ГБТУ КА при танковых заводах и заводах самоходной</w:t>
            </w:r>
          </w:p>
          <w:p w14:paraId="5DADE4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32BB8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март</w:t>
            </w:r>
          </w:p>
          <w:p w14:paraId="6F6495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0C671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УСА</w:t>
            </w:r>
          </w:p>
          <w:p w14:paraId="57F7B7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D5BA32A" w14:textId="77777777">
        <w:trPr>
          <w:trHeight w:val="173"/>
        </w:trPr>
        <w:tc>
          <w:tcPr>
            <w:tcW w:w="426" w:type="dxa"/>
            <w:tcBorders>
              <w:top w:val="nil"/>
              <w:left w:val="single" w:sz="6" w:space="0" w:color="auto"/>
              <w:bottom w:val="nil"/>
              <w:right w:val="single" w:sz="6" w:space="0" w:color="auto"/>
            </w:tcBorders>
          </w:tcPr>
          <w:p w14:paraId="28EDD1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67825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A3F94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артиллерии.</w:t>
            </w:r>
          </w:p>
          <w:p w14:paraId="443368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34475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463D8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584C1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1127D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20A85BA" w14:textId="77777777">
        <w:trPr>
          <w:trHeight w:val="192"/>
        </w:trPr>
        <w:tc>
          <w:tcPr>
            <w:tcW w:w="426" w:type="dxa"/>
            <w:tcBorders>
              <w:top w:val="nil"/>
              <w:left w:val="single" w:sz="6" w:space="0" w:color="auto"/>
              <w:bottom w:val="nil"/>
              <w:right w:val="single" w:sz="6" w:space="0" w:color="auto"/>
            </w:tcBorders>
          </w:tcPr>
          <w:p w14:paraId="3F8F74D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D8192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ED0B1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выполнением плана строительства объектов НИБТ полигона.</w:t>
            </w:r>
          </w:p>
          <w:p w14:paraId="572E5C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8AE7E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I </w:t>
            </w:r>
            <w:r w:rsidRPr="00925F26">
              <w:rPr>
                <w:color w:val="000000" w:themeColor="text1"/>
                <w:sz w:val="16"/>
                <w:szCs w:val="16"/>
              </w:rPr>
              <w:t xml:space="preserve">и </w:t>
            </w:r>
            <w:r w:rsidRPr="00925F26">
              <w:rPr>
                <w:color w:val="000000" w:themeColor="text1"/>
                <w:sz w:val="16"/>
                <w:szCs w:val="16"/>
                <w:lang w:val="en-US"/>
              </w:rPr>
              <w:t xml:space="preserve">II </w:t>
            </w:r>
            <w:r w:rsidRPr="00925F26">
              <w:rPr>
                <w:color w:val="000000" w:themeColor="text1"/>
                <w:sz w:val="16"/>
                <w:szCs w:val="16"/>
              </w:rPr>
              <w:t>кв.</w:t>
            </w:r>
          </w:p>
          <w:p w14:paraId="492A8A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010B6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w:t>
            </w:r>
          </w:p>
          <w:p w14:paraId="1C346B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79B3F4F" w14:textId="77777777">
        <w:trPr>
          <w:trHeight w:val="202"/>
        </w:trPr>
        <w:tc>
          <w:tcPr>
            <w:tcW w:w="426" w:type="dxa"/>
            <w:tcBorders>
              <w:top w:val="nil"/>
              <w:left w:val="single" w:sz="6" w:space="0" w:color="auto"/>
              <w:bottom w:val="nil"/>
              <w:right w:val="single" w:sz="6" w:space="0" w:color="auto"/>
            </w:tcBorders>
          </w:tcPr>
          <w:p w14:paraId="08B8F0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5</w:t>
            </w:r>
          </w:p>
          <w:p w14:paraId="39E03D3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A990E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выполнением войсками указаний по использованию эксплуатации матчасти и</w:t>
            </w:r>
          </w:p>
          <w:p w14:paraId="0CD580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5AEC2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I </w:t>
            </w:r>
            <w:r w:rsidRPr="00925F26">
              <w:rPr>
                <w:color w:val="000000" w:themeColor="text1"/>
                <w:sz w:val="16"/>
                <w:szCs w:val="16"/>
              </w:rPr>
              <w:t xml:space="preserve">и </w:t>
            </w:r>
            <w:r w:rsidRPr="00925F26">
              <w:rPr>
                <w:color w:val="000000" w:themeColor="text1"/>
                <w:sz w:val="16"/>
                <w:szCs w:val="16"/>
                <w:lang w:val="en-US"/>
              </w:rPr>
              <w:t xml:space="preserve">II </w:t>
            </w:r>
            <w:r w:rsidRPr="00925F26">
              <w:rPr>
                <w:color w:val="000000" w:themeColor="text1"/>
                <w:sz w:val="16"/>
                <w:szCs w:val="16"/>
              </w:rPr>
              <w:t>кв.</w:t>
            </w:r>
          </w:p>
          <w:p w14:paraId="4C77F80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173E6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управления</w:t>
            </w:r>
          </w:p>
          <w:p w14:paraId="465936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871E305" w14:textId="77777777">
        <w:trPr>
          <w:trHeight w:val="163"/>
        </w:trPr>
        <w:tc>
          <w:tcPr>
            <w:tcW w:w="426" w:type="dxa"/>
            <w:tcBorders>
              <w:top w:val="nil"/>
              <w:left w:val="single" w:sz="6" w:space="0" w:color="auto"/>
              <w:bottom w:val="nil"/>
              <w:right w:val="single" w:sz="6" w:space="0" w:color="auto"/>
            </w:tcBorders>
          </w:tcPr>
          <w:p w14:paraId="49D8B7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9FC09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4F694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подготовке личного состава.</w:t>
            </w:r>
          </w:p>
          <w:p w14:paraId="329B5E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D7293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8F6E0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C7C04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CBD625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413E11E" w14:textId="77777777">
        <w:trPr>
          <w:trHeight w:val="288"/>
        </w:trPr>
        <w:tc>
          <w:tcPr>
            <w:tcW w:w="426" w:type="dxa"/>
            <w:tcBorders>
              <w:top w:val="nil"/>
              <w:left w:val="single" w:sz="6" w:space="0" w:color="auto"/>
              <w:bottom w:val="single" w:sz="6" w:space="0" w:color="auto"/>
              <w:right w:val="single" w:sz="6" w:space="0" w:color="auto"/>
            </w:tcBorders>
          </w:tcPr>
          <w:p w14:paraId="141EFA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038774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7E8BE0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Ремонт бронепоездов и бронепаровозов.</w:t>
            </w:r>
          </w:p>
          <w:p w14:paraId="573853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26EED8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 - июнь</w:t>
            </w:r>
          </w:p>
          <w:p w14:paraId="33E56F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0400FB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УБП и БМ</w:t>
            </w:r>
          </w:p>
          <w:p w14:paraId="34BF25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29AFFB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ГБТУ КА генерал-лейтенант инженерно-танковой службы Лебедев</w:t>
      </w:r>
    </w:p>
    <w:p w14:paraId="5F5F11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11353. Д. 1518. Л. 13-17. Подлинник (11420).</w:t>
      </w:r>
    </w:p>
    <w:p w14:paraId="5D4072FD" w14:textId="77777777" w:rsidR="00C2313B" w:rsidRPr="00925F26" w:rsidRDefault="00C2313B" w:rsidP="00925F26">
      <w:pPr>
        <w:autoSpaceDE w:val="0"/>
        <w:autoSpaceDN w:val="0"/>
        <w:adjustRightInd w:val="0"/>
        <w:jc w:val="both"/>
        <w:rPr>
          <w:color w:val="000000" w:themeColor="text1"/>
          <w:sz w:val="16"/>
          <w:szCs w:val="16"/>
        </w:rPr>
      </w:pPr>
    </w:p>
    <w:p w14:paraId="0C883A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января 1945 вышло Постановление ГКО № 7261 О восстановлении предприятий слюдяной промышленности в Карело-Финской ССР, Ленинградской и Мурманской областях. РГАНИР, Фонд ГКО, д. 348, лл. 32-35, 36-38 (11012).</w:t>
      </w:r>
    </w:p>
    <w:p w14:paraId="6132DAB2" w14:textId="77777777" w:rsidR="00C2313B" w:rsidRPr="00925F26" w:rsidRDefault="00C2313B" w:rsidP="00925F26">
      <w:pPr>
        <w:autoSpaceDE w:val="0"/>
        <w:autoSpaceDN w:val="0"/>
        <w:adjustRightInd w:val="0"/>
        <w:jc w:val="both"/>
        <w:rPr>
          <w:color w:val="000000" w:themeColor="text1"/>
          <w:sz w:val="16"/>
          <w:szCs w:val="16"/>
        </w:rPr>
      </w:pPr>
    </w:p>
    <w:p w14:paraId="76FCB6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января 1945 вышло Распоряжение ГКО № 7262. О мерах по обеспечению бесперебойной доставки сырья стекольным заводам НКПСМ. РГАНИР, Фонд ГКО, д. 348, лл. 39 (11012).</w:t>
      </w:r>
    </w:p>
    <w:p w14:paraId="57E8C26A" w14:textId="77777777" w:rsidR="00C2313B" w:rsidRPr="00925F26" w:rsidRDefault="00C2313B" w:rsidP="00925F26">
      <w:pPr>
        <w:autoSpaceDE w:val="0"/>
        <w:autoSpaceDN w:val="0"/>
        <w:adjustRightInd w:val="0"/>
        <w:jc w:val="both"/>
        <w:rPr>
          <w:color w:val="000000" w:themeColor="text1"/>
          <w:sz w:val="16"/>
          <w:szCs w:val="16"/>
        </w:rPr>
      </w:pPr>
    </w:p>
    <w:p w14:paraId="17773E71" w14:textId="77777777" w:rsidR="003E545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4A33809" w14:textId="77777777" w:rsidR="003E545E" w:rsidRPr="00925F26" w:rsidRDefault="003E545E" w:rsidP="00925F26">
      <w:pPr>
        <w:autoSpaceDE w:val="0"/>
        <w:autoSpaceDN w:val="0"/>
        <w:adjustRightInd w:val="0"/>
        <w:jc w:val="both"/>
        <w:rPr>
          <w:iCs/>
          <w:color w:val="000000" w:themeColor="text1"/>
          <w:sz w:val="16"/>
          <w:szCs w:val="16"/>
        </w:rPr>
      </w:pPr>
    </w:p>
    <w:p w14:paraId="14A999F3" w14:textId="77777777" w:rsidR="003E545E" w:rsidRPr="00925F26" w:rsidRDefault="003E545E" w:rsidP="00925F26">
      <w:pPr>
        <w:jc w:val="both"/>
        <w:rPr>
          <w:color w:val="000000" w:themeColor="text1"/>
          <w:sz w:val="16"/>
          <w:szCs w:val="16"/>
        </w:rPr>
      </w:pPr>
      <w:r w:rsidRPr="00925F26">
        <w:rPr>
          <w:bCs/>
          <w:color w:val="000000" w:themeColor="text1"/>
          <w:sz w:val="16"/>
          <w:szCs w:val="16"/>
        </w:rPr>
        <w:t>2 января</w:t>
      </w:r>
      <w:r w:rsidRPr="00925F26">
        <w:rPr>
          <w:color w:val="000000" w:themeColor="text1"/>
          <w:sz w:val="16"/>
          <w:szCs w:val="16"/>
        </w:rPr>
        <w:t xml:space="preserve"> в 1945 году оперативная сводка Совинформбюро:</w:t>
      </w:r>
    </w:p>
    <w:p w14:paraId="4983A93D" w14:textId="77777777" w:rsidR="003E545E" w:rsidRPr="00925F26" w:rsidRDefault="003E545E" w:rsidP="00925F26">
      <w:pPr>
        <w:jc w:val="both"/>
        <w:rPr>
          <w:color w:val="000000" w:themeColor="text1"/>
          <w:sz w:val="16"/>
          <w:szCs w:val="16"/>
        </w:rPr>
      </w:pPr>
      <w:r w:rsidRPr="00925F26">
        <w:rPr>
          <w:color w:val="000000" w:themeColor="text1"/>
          <w:sz w:val="16"/>
          <w:szCs w:val="16"/>
        </w:rPr>
        <w:t>«В течение 2 января в районе Будапешта наши войска вели бои по уничтожению окружённой группировки противника и заняли 232 квартала в восточной части и 63 квартала в западной части города.</w:t>
      </w:r>
    </w:p>
    <w:p w14:paraId="5B005835" w14:textId="77777777" w:rsidR="003E545E" w:rsidRPr="00925F26" w:rsidRDefault="003E545E" w:rsidP="00925F26">
      <w:pPr>
        <w:jc w:val="both"/>
        <w:rPr>
          <w:color w:val="000000" w:themeColor="text1"/>
          <w:sz w:val="16"/>
          <w:szCs w:val="16"/>
        </w:rPr>
      </w:pPr>
      <w:r w:rsidRPr="00925F26">
        <w:rPr>
          <w:color w:val="000000" w:themeColor="text1"/>
          <w:sz w:val="16"/>
          <w:szCs w:val="16"/>
        </w:rPr>
        <w:t>Юго-восточнее города Комарно наши войска отбивали атаки крупных сил пехоты и танков противника и нанесли ему большие потери в живой силе и технике.</w:t>
      </w:r>
    </w:p>
    <w:p w14:paraId="3744DB4C" w14:textId="77777777" w:rsidR="003E545E" w:rsidRPr="00925F26" w:rsidRDefault="003E545E"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679DB79E" w14:textId="77777777" w:rsidR="003E545E" w:rsidRPr="00925F26" w:rsidRDefault="003E545E" w:rsidP="00925F26">
      <w:pPr>
        <w:jc w:val="both"/>
        <w:rPr>
          <w:color w:val="000000" w:themeColor="text1"/>
          <w:sz w:val="16"/>
          <w:szCs w:val="16"/>
        </w:rPr>
      </w:pPr>
      <w:r w:rsidRPr="00925F26">
        <w:rPr>
          <w:color w:val="000000" w:themeColor="text1"/>
          <w:sz w:val="16"/>
          <w:szCs w:val="16"/>
        </w:rPr>
        <w:t>За 1 января наши войска подбили и уничтожили 19 немецких танков. В воздушных боях и огнём зенитной артиллерии сбито 4 самолёта противника.</w:t>
      </w:r>
    </w:p>
    <w:p w14:paraId="289A0D67"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продолжали вести бои по ликвидации окружённой группировки противника. В восточной части города советские штурмовые группы подавляют узлы вражеской обороны и очищают от немцев квартал за кварталом. Ожесточённые схватки происходят в укреплённых домах, во дворах и в подвалах. В течение дня наши части с боями заняли 232 квартала. Взято в плен свыше 1.000 немецких и венгерских солдат и офицеров.</w:t>
      </w:r>
    </w:p>
    <w:p w14:paraId="3900FC90" w14:textId="77777777" w:rsidR="003E545E" w:rsidRPr="00925F26" w:rsidRDefault="003E545E" w:rsidP="00925F26">
      <w:pPr>
        <w:jc w:val="both"/>
        <w:rPr>
          <w:color w:val="000000" w:themeColor="text1"/>
          <w:sz w:val="16"/>
          <w:szCs w:val="16"/>
        </w:rPr>
      </w:pPr>
      <w:r w:rsidRPr="00925F26">
        <w:rPr>
          <w:color w:val="000000" w:themeColor="text1"/>
          <w:sz w:val="16"/>
          <w:szCs w:val="16"/>
        </w:rPr>
        <w:t>В западной части Будапешта немецкая пехота, усиленная танками и самоходными орудиями, безуспешно пыталась вернуть потерянные накануне позиции. Советские части отразили все контратаки гитлеровцев и с боями продвигались вперёд. Подразделения Н-ской части за день истребили 300 гитлеровцев, уничтожили самоходное орудие и 23 пулемета. Захвачено у немцев 9 паровозов, 130 вагонов с грузами, много оружия и различных военных материалов.</w:t>
      </w:r>
    </w:p>
    <w:p w14:paraId="75E5F979" w14:textId="77777777" w:rsidR="003E545E" w:rsidRPr="00925F26" w:rsidRDefault="003E545E" w:rsidP="00925F26">
      <w:pPr>
        <w:jc w:val="both"/>
        <w:rPr>
          <w:color w:val="000000" w:themeColor="text1"/>
          <w:sz w:val="16"/>
          <w:szCs w:val="16"/>
        </w:rPr>
      </w:pPr>
      <w:r w:rsidRPr="00925F26">
        <w:rPr>
          <w:color w:val="000000" w:themeColor="text1"/>
          <w:sz w:val="16"/>
          <w:szCs w:val="16"/>
        </w:rPr>
        <w:t>В уличных боях советские воины проявляют героизм и высокое воинское умение. В одном районе немецкие пулеметы, установленные за каменным забором, вели сильный огонь, преграждая путь нашим подразделениям. Рядовой Розанов по-пластунски подполз к забору, быстро перепрыгнул через него и огнем из автомата уничтожил пулеметные расчёты противника. Вместе с подоспевшими к нему бойцами Розанов ворвался в дом и истребил находившихся в нём немцев. Сержант Мельфер, заметив, что командир взвода выбыл из строя, умело организовал штурм большого дома. Под руководством Мельфера бойцы уничтожили 40 гитлеровцев, захватили пять станковых пулемётов, противотанковое ружьё и взяли в плен семь немцев. Командир взвода лейтенант Шаустов и ефрейтор Кутуев незаметно подобрались к дому, в котором засели немцы, и забросали подвал гранатами. Взрывом было уничтожено несколько пулемётов противника вместе с их расчётами.</w:t>
      </w:r>
    </w:p>
    <w:p w14:paraId="12A09D02" w14:textId="77777777" w:rsidR="003E545E" w:rsidRPr="00925F26" w:rsidRDefault="003E545E" w:rsidP="00925F26">
      <w:pPr>
        <w:jc w:val="both"/>
        <w:rPr>
          <w:color w:val="000000" w:themeColor="text1"/>
          <w:sz w:val="16"/>
          <w:szCs w:val="16"/>
        </w:rPr>
      </w:pPr>
      <w:r w:rsidRPr="00925F26">
        <w:rPr>
          <w:color w:val="000000" w:themeColor="text1"/>
          <w:sz w:val="16"/>
          <w:szCs w:val="16"/>
        </w:rPr>
        <w:t>Юго-восточнее города Комарно противник, сосредоточив крупные силы пехоты и танков, сегодня рано утром атаковал наши позиции. На узком участке немцы ввели в бой две танковые дивизии. Советские пехотинцы и артиллеристы отражают атаки противника и наносят ему тяжёлые потери в живой силе и технике. Батальон немецкой пехоты, поддержанный семью танками, атаковал стрелковое подразделение гвардии старшего лейтенанта Ковтуна. При подходе к нашему переднему краю вражеская пехота была встречена губительным огнём и рассеяна. Прорвавшиеся немецкие танки уничтожены артиллеристами и бронебойщиками. Экипаж самоходного орудия гвардии младшего лейтенанта Емельянова подбил немецкий танк «Тигр». Орудийный расчет гвардии старшего сержанта Стогниева, отражая вражескую контратаку, выкатил своё орудие на открытую позицию и метким огнём истребил 60 немецких солдат. Самоходное орудие гвардии младшего лейтенанта Иванова и наводчика гвардии старшего сержанта Николаева уничтожило немецкую легковую машину, в которой находились немецкий полковник, его адъютант и шофёр.</w:t>
      </w:r>
    </w:p>
    <w:p w14:paraId="36B4078E" w14:textId="77777777" w:rsidR="003E545E" w:rsidRPr="00925F26" w:rsidRDefault="003E545E" w:rsidP="00925F26">
      <w:pPr>
        <w:jc w:val="both"/>
        <w:rPr>
          <w:color w:val="000000" w:themeColor="text1"/>
          <w:sz w:val="16"/>
          <w:szCs w:val="16"/>
        </w:rPr>
      </w:pPr>
      <w:r w:rsidRPr="00925F26">
        <w:rPr>
          <w:color w:val="000000" w:themeColor="text1"/>
          <w:sz w:val="16"/>
          <w:szCs w:val="16"/>
        </w:rPr>
        <w:t>В Восточной Пруссии мелкие группы нашей пехоты вели разведку и уничтожили до роты гитлеровцев. Лётчик-истребитель Герой Советского Союза гвардии капитан Головачёв, преследуя немецкий самолёт «Юнкерс-88», израсходовал боеприпасы. Тогда Головачёв вплотную приблизился к вражескому самолёту и ударом винта отрубил у него хвостовое оперение. «Юнкерс-88» рухнул на землю. Советский лётчик благополучно приземлился на своём аэродроме. Это уже двадцатая воздушная победа капитана Головачева.</w:t>
      </w:r>
    </w:p>
    <w:p w14:paraId="3392A469" w14:textId="77777777" w:rsidR="003E545E" w:rsidRPr="00925F26" w:rsidRDefault="003E545E" w:rsidP="00925F26">
      <w:pPr>
        <w:jc w:val="both"/>
        <w:rPr>
          <w:color w:val="000000" w:themeColor="text1"/>
          <w:sz w:val="16"/>
          <w:szCs w:val="16"/>
        </w:rPr>
      </w:pPr>
      <w:r w:rsidRPr="00925F26">
        <w:rPr>
          <w:color w:val="000000" w:themeColor="text1"/>
          <w:sz w:val="16"/>
          <w:szCs w:val="16"/>
        </w:rPr>
        <w:t>Корабли Краснознаменного Балтийского флота потопили в Балтийском море транспорт противника водоизмещением в 6 тысяч тонн.» (14997).</w:t>
      </w:r>
    </w:p>
    <w:p w14:paraId="1BBA111C" w14:textId="77777777" w:rsidR="003E545E" w:rsidRPr="00925F26" w:rsidRDefault="003E545E" w:rsidP="00925F26">
      <w:pPr>
        <w:jc w:val="both"/>
        <w:rPr>
          <w:color w:val="000000" w:themeColor="text1"/>
          <w:sz w:val="16"/>
          <w:szCs w:val="16"/>
        </w:rPr>
      </w:pPr>
    </w:p>
    <w:p w14:paraId="4C2F2528"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2 января 1945 года на аэродроме Смышляевка 108 полк приступил к укомплектованию самолетами Ил-10. На этом же аэродроме все полученные самолеты были доработаны бригадами заводов № 18 и № 24. На них устранялись выявленные в ходе перегонки машин с заводов дефекты и проводились обязательные доработки по опыту эксплуатации самолетов в других частях и заводских облетов.</w:t>
      </w:r>
    </w:p>
    <w:p w14:paraId="47B13C08"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Надо сказать, как только стало известно, что на базе 108 гшап пройдут войсковые испытания нового штурмовика, то пополнению полка самолетами было уделено самое пристальное внимание. Самолеты отбирались из числа имевших наименьшее количество производственных и конструктивных дефектов и тщательно проверялись как заводскими бригадами, так и техническим составом полка.</w:t>
      </w:r>
    </w:p>
    <w:p w14:paraId="7558EA33" w14:textId="77777777" w:rsidR="00CD7B36" w:rsidRPr="00925F26" w:rsidRDefault="00CD7B36"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общей сложности полк получил 42 Ил-10, в том числе 9 самолетов выпуска завода № 1 (зав. № 102012, 102021, 103029, 103031, 103051, 103059, 103071, 104062, 104077) и 33 «десятки» производства завода № 18 (две машины из 1-й серии - зав. № 1890801 и № 1890601, остальные 2-й и 3-й серий).</w:t>
      </w:r>
    </w:p>
    <w:p w14:paraId="6F1DAAEC"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 xml:space="preserve">После окончания доводочных работ и устранения дефектов самолеты перегнали на </w:t>
      </w:r>
      <w:proofErr w:type="gramStart"/>
      <w:r w:rsidRPr="00925F26">
        <w:rPr>
          <w:rStyle w:val="107"/>
          <w:rFonts w:eastAsiaTheme="minorHAnsi"/>
          <w:color w:val="000000" w:themeColor="text1"/>
          <w:sz w:val="16"/>
          <w:szCs w:val="16"/>
        </w:rPr>
        <w:t>аэродром</w:t>
      </w:r>
      <w:proofErr w:type="gramEnd"/>
      <w:r w:rsidRPr="00925F26">
        <w:rPr>
          <w:rStyle w:val="107"/>
          <w:rFonts w:eastAsiaTheme="minorHAnsi"/>
          <w:color w:val="000000" w:themeColor="text1"/>
          <w:sz w:val="16"/>
          <w:szCs w:val="16"/>
        </w:rPr>
        <w:t xml:space="preserve"> Толкай в 5-й запасной авиаполк 1 заб, где летный состав проходил «пересадку» на Ил-10.</w:t>
      </w:r>
    </w:p>
    <w:p w14:paraId="60331E70"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Официальное переучивание 108-го гвардейского шап завершилось в январе 1945 года. В Акте от 21 января констатировалось, что «полк в составе 41 летчика подготовлен к перелету на фронт на Ил-10 днем в простых метеоусловиях».</w:t>
      </w:r>
    </w:p>
    <w:p w14:paraId="24238E86"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К этому времени каждый летчик полка успел налетать на самолете Ил-10 по программе переучивания в среднем 2 ч 58 мин (10 посадок), в том числе около 2 ч на боевое применение. В то же время весь летный состав полка имел боевой опыт на самолете Ил-2: от 2 до 10 боевых вылетов - 3 летчика, от 11 до 30 - 14, от 31 до 50 - 10, от 51 до 70 - 5, от 71 до 100 - 6 и более 100 вылетов - 5 летчиков. В среднем боевой налет на одного летчика составлял 53 вылета.</w:t>
      </w:r>
    </w:p>
    <w:p w14:paraId="031F6A5F"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Отлет на фронт был назначен на 2 февраля. При этом с целью ускорения перебазирования полка инженеры и техники летели вместо стрелков, которых насчитывалось в полку всего 7 человек, и должны были самостоятельно готовить машины на всех промежуточных аэродромах.</w:t>
      </w:r>
    </w:p>
    <w:p w14:paraId="6740811F"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 xml:space="preserve">Несмотря на тщательность подготовки перелета, первый самостоятельный вылет полка закончился полной неудачей. В последний момент был сменен первый промежуточный аэродром перелета. Вместо аэродрома Разбойщина следовало лететь на аэродром Багай-Барановка. Естественно, летный состав к новому маршруту подготовиться должным образом не успел, а на аэродроме </w:t>
      </w:r>
      <w:proofErr w:type="gramStart"/>
      <w:r w:rsidRPr="00925F26">
        <w:rPr>
          <w:rStyle w:val="107"/>
          <w:rFonts w:eastAsiaTheme="minorHAnsi"/>
          <w:color w:val="000000" w:themeColor="text1"/>
          <w:sz w:val="16"/>
          <w:szCs w:val="16"/>
        </w:rPr>
        <w:t>вылета</w:t>
      </w:r>
      <w:proofErr w:type="gramEnd"/>
      <w:r w:rsidRPr="00925F26">
        <w:rPr>
          <w:rStyle w:val="107"/>
          <w:rFonts w:eastAsiaTheme="minorHAnsi"/>
          <w:color w:val="000000" w:themeColor="text1"/>
          <w:sz w:val="16"/>
          <w:szCs w:val="16"/>
        </w:rPr>
        <w:t xml:space="preserve"> Толкай не было подготовлено положения по организации перелета.</w:t>
      </w:r>
    </w:p>
    <w:p w14:paraId="30A66E76"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В результате первая группа в составе 5 Ил-10 (ведущий группы - помощник командира полка по воздушно-стрелковой службе капитан Сироткин), вылетев в 13.55 с базового аэродрома, благополучно добралась до нового аэродрома, выполнив в 15.05 посадку.</w:t>
      </w:r>
    </w:p>
    <w:p w14:paraId="7BE87A6F"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Из 7 Ил-10 второй группы долетела до нового аэродрома только четверка командира 3-й эскадрильи капитана Зиновьева.</w:t>
      </w:r>
    </w:p>
    <w:p w14:paraId="20ADDECD"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Звено во главе с замкомэска младшим лейтенантом Мазуром оторвалась от общей группы сразу же с места вылета. Затем летчики заблудились и, выработав горючее, сели в поле. В итоге: одна авария - Ил-10 зав. № 1890602 и одна поломка - Ил-10 зав. № 1891302.</w:t>
      </w:r>
    </w:p>
    <w:p w14:paraId="4949164B"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Третья группа из 10 Ил-10 (ведущий капитан Железняков), вылетевшая в 14.35, долетела до г. Балаково и возвратилась по метеоусловиям, совершив посадку в Чапаевске на аэродроме 12 зап.</w:t>
      </w:r>
    </w:p>
    <w:p w14:paraId="13E92174"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Из состава группы младший лейтенант Кирюшкин (Ил-10 зав. № 1891902) вынужденно сел по причине отказа мотора (АМ-42 зав. № 45315) - «самолет разбит при вынужденной посадке вне аэродрома». Из -за отсутствия давления масла разрушился ведущий валик маслонасоса.</w:t>
      </w:r>
    </w:p>
    <w:p w14:paraId="71B50953"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На самолете Ил-10 (зав. № 1890801) лейтенанта Максимова «в полете лопнула мембрана редуктора рабочей сети, воздух из системы стравился в атмосферу». Над аэродромом Чапаевск Максимов попытался выпустить шасси при помощи аварийной лебедки. Шасси вышло только наполовину, когда оборвались тросы лебедки. Пришлось садиться с наполовину выпущенным шасси. В результате погнут воздушный винт, сломаны шасси, но главное, деформировался центроплан. Самолет списали.</w:t>
      </w:r>
    </w:p>
    <w:p w14:paraId="4933991B"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Младший лейтенант Юдаев (Ил-10 зав. № 1891002) произвел посадку на одно колесо из -за невыхода шасси («по причине проскакивания обтекателя колеса в купол центроплана»). Самолет поломан, требует ремонта.</w:t>
      </w:r>
    </w:p>
    <w:p w14:paraId="5B8586A3"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lastRenderedPageBreak/>
        <w:t>Четвертая группа из 4 Ил-10 (ведущий командир 2-й эскадрильи капитан Новиков), вылетев в 14.45, возвратилась с маршрута и произвела посадку на аэродроме в Чапаевске.</w:t>
      </w:r>
    </w:p>
    <w:p w14:paraId="2C8AEF49"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 xml:space="preserve">Таким образом, из 26 Ил-10, вылетевших с </w:t>
      </w:r>
      <w:proofErr w:type="gramStart"/>
      <w:r w:rsidRPr="00925F26">
        <w:rPr>
          <w:rStyle w:val="107"/>
          <w:rFonts w:eastAsiaTheme="minorHAnsi"/>
          <w:color w:val="000000" w:themeColor="text1"/>
          <w:sz w:val="16"/>
          <w:szCs w:val="16"/>
        </w:rPr>
        <w:t>аэродрома</w:t>
      </w:r>
      <w:proofErr w:type="gramEnd"/>
      <w:r w:rsidRPr="00925F26">
        <w:rPr>
          <w:rStyle w:val="107"/>
          <w:rFonts w:eastAsiaTheme="minorHAnsi"/>
          <w:color w:val="000000" w:themeColor="text1"/>
          <w:sz w:val="16"/>
          <w:szCs w:val="16"/>
        </w:rPr>
        <w:t xml:space="preserve"> Толкай, на место назначения прибыло только 9 экипажей, 13 - сели в Чапаевске плюс три аварии и две поломки самолетов. Безвозвратные потери составили 2 Ил-10.</w:t>
      </w:r>
    </w:p>
    <w:p w14:paraId="690A95B7"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После «разбора полетов» и раздачи «слонов» всем «заинтересованным» лицам 108 гшап в два приема - 9 и 20 февраля - все же убыл оставшимся составом в действующую армию.</w:t>
      </w:r>
    </w:p>
    <w:p w14:paraId="561E7149" w14:textId="77777777" w:rsidR="00CD7B36" w:rsidRPr="00925F26" w:rsidRDefault="00CD7B36" w:rsidP="00925F26">
      <w:pPr>
        <w:jc w:val="both"/>
        <w:rPr>
          <w:color w:val="000000" w:themeColor="text1"/>
          <w:sz w:val="16"/>
          <w:szCs w:val="16"/>
        </w:rPr>
      </w:pPr>
      <w:r w:rsidRPr="00925F26">
        <w:rPr>
          <w:rStyle w:val="107"/>
          <w:rFonts w:eastAsiaTheme="minorHAnsi"/>
          <w:color w:val="000000" w:themeColor="text1"/>
          <w:sz w:val="16"/>
          <w:szCs w:val="16"/>
        </w:rPr>
        <w:t>Помимо двух лидерных маршевых авиаполков, в 1 заб в течение января было переучено на самолете Ил-10 20 летчиков-инструкторов для 43-го и 50-го запасных авиаполков, 12 экипажей перегоночных авиаполков, 10 инспекторов по летной подготовке (по одному для 3, 14 и 2 ВА, по одному - для Московского, Киевского, Белорусского и Одесского военных округов и три - для Инспекции ВВС КА), а также 51 летчик из постоянного состава бригады. Из этого числа два инспектора по технике пилотирования для 2-й воздушной армии и для Киевского военного округа убыли к месту назначения 26 января поездом, а остальные - 1 февраля, также поездом. Отправка инструкторов для 43 и 50 зап состоялась 7 и 9 февраля (поездом), а летчиков-перегонщиков для 245 (летом на Ил-10), 1000 и 217-го (поездом) перегоночных полков - 9, 15 и 16 февраля соответственно (17490).</w:t>
      </w:r>
    </w:p>
    <w:p w14:paraId="68ECD542" w14:textId="77777777" w:rsidR="00CD7B36" w:rsidRPr="00925F26" w:rsidRDefault="00CD7B36" w:rsidP="00925F26">
      <w:pPr>
        <w:jc w:val="both"/>
        <w:rPr>
          <w:rStyle w:val="107"/>
          <w:rFonts w:eastAsiaTheme="minorHAnsi"/>
          <w:color w:val="000000" w:themeColor="text1"/>
          <w:sz w:val="16"/>
          <w:szCs w:val="16"/>
        </w:rPr>
      </w:pPr>
    </w:p>
    <w:p w14:paraId="60BE39B7" w14:textId="77777777" w:rsidR="003E545E" w:rsidRPr="00925F26" w:rsidRDefault="003E545E" w:rsidP="00925F26">
      <w:pPr>
        <w:jc w:val="both"/>
        <w:rPr>
          <w:color w:val="000000" w:themeColor="text1"/>
          <w:sz w:val="16"/>
          <w:szCs w:val="16"/>
        </w:rPr>
      </w:pPr>
      <w:r w:rsidRPr="00925F26">
        <w:rPr>
          <w:bCs/>
          <w:color w:val="000000" w:themeColor="text1"/>
          <w:sz w:val="16"/>
          <w:szCs w:val="16"/>
        </w:rPr>
        <w:t>2 января</w:t>
      </w:r>
      <w:r w:rsidRPr="00925F26">
        <w:rPr>
          <w:color w:val="000000" w:themeColor="text1"/>
          <w:sz w:val="16"/>
          <w:szCs w:val="16"/>
        </w:rPr>
        <w:t xml:space="preserve"> в 1945 году в Восточной Пруссии летчик-истребитель Герой Советского Союза гвардии капитан Головачёв, преследуя немецкий самолет "Юнкерс-88", израсходовал боеприпасы. Тогда Головачев вплотную приблизился к вражескому самолету и ударом винта отрубил у него хвостовое оперение. "Юнкерс-88" рухнул на землю. Советский летчик благополучно приземлился на своем аэродроме. Это была уже двадцатая воздушная победа капитана Головачева (14997).</w:t>
      </w:r>
    </w:p>
    <w:p w14:paraId="7CB8FB2B" w14:textId="77777777" w:rsidR="003E545E" w:rsidRPr="00925F26" w:rsidRDefault="003E545E" w:rsidP="00925F26">
      <w:pPr>
        <w:jc w:val="both"/>
        <w:rPr>
          <w:color w:val="000000" w:themeColor="text1"/>
          <w:sz w:val="16"/>
          <w:szCs w:val="16"/>
        </w:rPr>
      </w:pPr>
    </w:p>
    <w:p w14:paraId="5F888AB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43E967A" w14:textId="77777777" w:rsidR="00C2313B" w:rsidRPr="00925F26" w:rsidRDefault="00C2313B" w:rsidP="00925F26">
      <w:pPr>
        <w:autoSpaceDE w:val="0"/>
        <w:autoSpaceDN w:val="0"/>
        <w:adjustRightInd w:val="0"/>
        <w:jc w:val="both"/>
        <w:rPr>
          <w:iCs/>
          <w:color w:val="000000" w:themeColor="text1"/>
          <w:sz w:val="16"/>
          <w:szCs w:val="16"/>
        </w:rPr>
      </w:pPr>
    </w:p>
    <w:p w14:paraId="401F93CC"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января 1945 бойцами датского Сопротивления взорвана фабрика, собиравшая запчасти к ракетам ФАУ-2 (4962).</w:t>
      </w:r>
    </w:p>
    <w:p w14:paraId="1675CBE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A9773BB" w14:textId="77777777" w:rsidR="005A1318" w:rsidRPr="00925F26" w:rsidRDefault="005A1318" w:rsidP="00925F26">
      <w:pPr>
        <w:jc w:val="both"/>
        <w:rPr>
          <w:color w:val="000000" w:themeColor="text1"/>
          <w:sz w:val="16"/>
          <w:szCs w:val="16"/>
        </w:rPr>
      </w:pPr>
      <w:r w:rsidRPr="00925F26">
        <w:rPr>
          <w:color w:val="000000" w:themeColor="text1"/>
          <w:sz w:val="16"/>
          <w:szCs w:val="16"/>
        </w:rPr>
        <w:t>2 января 1945 Адмирал сэр Бертрам Рамзи погибает в авиакатастрофе сразу после взлета Lockheed Hudson в Тусю-ле-Нобль, Франция (20371).</w:t>
      </w:r>
    </w:p>
    <w:p w14:paraId="3F3F7F70" w14:textId="77777777" w:rsidR="005A1318" w:rsidRPr="00925F26" w:rsidRDefault="005A1318" w:rsidP="00925F26">
      <w:pPr>
        <w:jc w:val="both"/>
        <w:rPr>
          <w:color w:val="000000" w:themeColor="text1"/>
          <w:sz w:val="16"/>
          <w:szCs w:val="16"/>
        </w:rPr>
      </w:pPr>
    </w:p>
    <w:p w14:paraId="401C521B"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января 1945 в Париже при взлете разбился самолет, в котором погиб английский адмирал Бертрам Рамсей, командующий ВМФ экспедиционного корпуса союзников (4962).</w:t>
      </w:r>
    </w:p>
    <w:p w14:paraId="1986B2F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F8BBF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января 1945 британские войска высадились в Бенгальском заливе (2248,1).</w:t>
      </w:r>
    </w:p>
    <w:p w14:paraId="0F363767" w14:textId="77777777" w:rsidR="00C2313B" w:rsidRPr="00925F26" w:rsidRDefault="00C2313B" w:rsidP="00925F26">
      <w:pPr>
        <w:autoSpaceDE w:val="0"/>
        <w:autoSpaceDN w:val="0"/>
        <w:adjustRightInd w:val="0"/>
        <w:jc w:val="both"/>
        <w:rPr>
          <w:color w:val="000000" w:themeColor="text1"/>
          <w:sz w:val="16"/>
          <w:szCs w:val="16"/>
        </w:rPr>
      </w:pPr>
    </w:p>
    <w:p w14:paraId="2DF822C4"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3-22 1945 Invasion of Luzon 1945 Southwest Pacific Force operations against Luzon were directly supported by Seventh Fleet escort carriers in Task Group 77.4 (Rear Admiral C. T. Durgin) and indirectly by the fast carriers in Task Force 38 (Vice Admiral J. S. McCain) of Third Fleet and Central Pacific Forces. Task Group 77.4, with 17 escort carriers, covered the approach of the Luzon Attack Force against serious enemy air opposition from Kamikaze pilots which sank Ommaney Bay (4 Jan), and damaged several ships including escort carriers Manila Bay and Savo Island (5 Jan). It conducted preliminary strikes in the assault area (7-9 Jan), covered the landings in Lingayen Gulf (9 Jan), and supported the inland advance of troops ashore (9-17 Jan). Among the ships damaged by Kamikaze pilots opposing the landings were the escort carriers Kadashan Bay and Kitkun Bay (8 Jan), and Salamaua (13 Jan). Task Force 38, with seven heavy and four light carriers in three groups and one heavy and one light carrier in a night group, and accompanied by a Replenishment Group with one hunter-killer and seven escort carriers, concentrated on the destruction of enemy air power and air installations in surrounding areas. In spite of almost continuous bad weather which hampered flight operations during the entire month, this force launched offensive strikes on Formosa and the Ryukyus (3-4 Jan), a 2-day attack on Luzon (6-7 Jan) and on fields in the Formosa-Pescadores-Ryukyus area (9 Jan), destroying over 100 enemy aircraft and sinking 40,000 tons of merchant and small combatant ships in 1 week of preliminary action. During the night (9-10 Jan) Task Force 38 made a high-speed run through Luzon Strait followed by the Replenishment Group which passed through Balintang Channel, for Operations in the South China Sea (9-20 Jan). Strikes (12 Jan), over 420 miles of the Indo-China coast, reached south to Saigon and caught ships in the harbor and in coastal convoys with devastating results, sinking 12 tankers, 20 passenger and cargo vessels and numerous small combatant ships, totalling 149,000 tons. Moving northward to evade a typhoon, the force hit targets at Hong Kong, the China Coast, and Formosa (15 Jan) and next day concentrated on the Hong Kong area damaging enemy shore installations and sinking another 62,000 tons of shipping. As inclement weather persisted, the force left the South China Sea with an after dark run through Balintang Channel (20 Jan) and hit Formosa, the Pescadores, and Okinawa against enemy air opposition which damaged the Ticonderoga and Langley (20 Jan) and repeated the attack in the Ryukyus next day to finish off 3 weeks of action with an aerial score of over 600 enemy aircraft destroyed and 325,000 tons of enemy shipping sunk.</w:t>
      </w:r>
    </w:p>
    <w:p w14:paraId="235A8376" w14:textId="77777777" w:rsidR="00C2313B" w:rsidRPr="00925F26" w:rsidRDefault="00C2313B" w:rsidP="00925F26">
      <w:pPr>
        <w:autoSpaceDE w:val="0"/>
        <w:autoSpaceDN w:val="0"/>
        <w:adjustRightInd w:val="0"/>
        <w:jc w:val="both"/>
        <w:rPr>
          <w:iCs/>
          <w:color w:val="000000" w:themeColor="text1"/>
          <w:sz w:val="16"/>
          <w:szCs w:val="16"/>
          <w:lang w:val="en-US"/>
        </w:rPr>
      </w:pPr>
    </w:p>
    <w:p w14:paraId="541204B9" w14:textId="77777777" w:rsidR="005A1318" w:rsidRPr="00925F26" w:rsidRDefault="005A1318" w:rsidP="00925F26">
      <w:pPr>
        <w:jc w:val="both"/>
        <w:rPr>
          <w:color w:val="000000" w:themeColor="text1"/>
          <w:sz w:val="16"/>
          <w:szCs w:val="16"/>
        </w:rPr>
      </w:pPr>
      <w:r w:rsidRPr="00925F26">
        <w:rPr>
          <w:color w:val="000000" w:themeColor="text1"/>
          <w:sz w:val="16"/>
          <w:szCs w:val="16"/>
        </w:rPr>
        <w:t>2 января 1945 японские самолеты в последний раз атаковали базы ВВС США B-29 Superfortress на Сайпане (20371).</w:t>
      </w:r>
    </w:p>
    <w:p w14:paraId="524C1CED" w14:textId="77777777" w:rsidR="005A1318" w:rsidRPr="00925F26" w:rsidRDefault="005A1318" w:rsidP="00925F26">
      <w:pPr>
        <w:jc w:val="both"/>
        <w:rPr>
          <w:color w:val="000000" w:themeColor="text1"/>
          <w:sz w:val="16"/>
          <w:szCs w:val="16"/>
        </w:rPr>
      </w:pPr>
    </w:p>
    <w:p w14:paraId="4CFE8345" w14:textId="77777777" w:rsidR="005A1318" w:rsidRPr="00925F26" w:rsidRDefault="005A1318" w:rsidP="00925F26">
      <w:pPr>
        <w:jc w:val="both"/>
        <w:rPr>
          <w:color w:val="000000" w:themeColor="text1"/>
          <w:sz w:val="16"/>
          <w:szCs w:val="16"/>
        </w:rPr>
      </w:pPr>
      <w:r w:rsidRPr="00925F26">
        <w:rPr>
          <w:color w:val="000000" w:themeColor="text1"/>
          <w:sz w:val="16"/>
          <w:szCs w:val="16"/>
        </w:rPr>
        <w:t>2 января 1945 B-29 ВВС США, базирующиеся в Калькутте, Индия, бомбят Бангкок, Сиам (20371).</w:t>
      </w:r>
    </w:p>
    <w:p w14:paraId="5AFEB95E" w14:textId="77777777" w:rsidR="005A1318" w:rsidRPr="00925F26" w:rsidRDefault="005A1318" w:rsidP="00925F26">
      <w:pPr>
        <w:jc w:val="both"/>
        <w:rPr>
          <w:color w:val="000000" w:themeColor="text1"/>
          <w:sz w:val="16"/>
          <w:szCs w:val="16"/>
        </w:rPr>
      </w:pPr>
    </w:p>
    <w:p w14:paraId="6271F99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9801641" w14:textId="77777777" w:rsidR="00C2313B" w:rsidRPr="00925F26" w:rsidRDefault="00C2313B" w:rsidP="00925F26">
      <w:pPr>
        <w:autoSpaceDE w:val="0"/>
        <w:autoSpaceDN w:val="0"/>
        <w:adjustRightInd w:val="0"/>
        <w:jc w:val="both"/>
        <w:rPr>
          <w:iCs/>
          <w:color w:val="000000" w:themeColor="text1"/>
          <w:sz w:val="16"/>
          <w:szCs w:val="16"/>
        </w:rPr>
      </w:pPr>
    </w:p>
    <w:p w14:paraId="51E288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года вышел приказ НКАП:</w:t>
      </w:r>
    </w:p>
    <w:p w14:paraId="7AA0CA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Утвердить Юфа Л.Д. директором завода № 287 (8958).</w:t>
      </w:r>
    </w:p>
    <w:p w14:paraId="0595CDA7" w14:textId="77777777" w:rsidR="00C2313B" w:rsidRPr="00925F26" w:rsidRDefault="00C2313B" w:rsidP="00925F26">
      <w:pPr>
        <w:autoSpaceDE w:val="0"/>
        <w:autoSpaceDN w:val="0"/>
        <w:adjustRightInd w:val="0"/>
        <w:jc w:val="both"/>
        <w:rPr>
          <w:iCs/>
          <w:color w:val="000000" w:themeColor="text1"/>
          <w:sz w:val="16"/>
          <w:szCs w:val="16"/>
        </w:rPr>
      </w:pPr>
    </w:p>
    <w:p w14:paraId="4C35A493" w14:textId="77777777" w:rsidR="00DC771B" w:rsidRPr="001A0BAA" w:rsidRDefault="00DC771B" w:rsidP="00DC771B">
      <w:pPr>
        <w:jc w:val="both"/>
        <w:rPr>
          <w:color w:val="0070C0"/>
          <w:sz w:val="16"/>
          <w:szCs w:val="16"/>
        </w:rPr>
      </w:pPr>
      <w:r w:rsidRPr="001A0BAA">
        <w:rPr>
          <w:color w:val="0070C0"/>
          <w:sz w:val="16"/>
          <w:szCs w:val="16"/>
        </w:rPr>
        <w:t>3 января 1945 года корабельные установки 16-М-13 с шестнадцатью направляющими СКБ «Компрессор» приняли на вооружение (25402).</w:t>
      </w:r>
    </w:p>
    <w:p w14:paraId="40F779F6" w14:textId="77777777" w:rsidR="00DC771B" w:rsidRPr="001A0BAA" w:rsidRDefault="00DC771B" w:rsidP="00DC771B">
      <w:pPr>
        <w:jc w:val="both"/>
        <w:rPr>
          <w:color w:val="0070C0"/>
          <w:sz w:val="16"/>
          <w:szCs w:val="16"/>
        </w:rPr>
      </w:pPr>
    </w:p>
    <w:p w14:paraId="5EFF345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F87E20A" w14:textId="77777777" w:rsidR="00C2313B" w:rsidRPr="00925F26" w:rsidRDefault="00C2313B" w:rsidP="00925F26">
      <w:pPr>
        <w:autoSpaceDE w:val="0"/>
        <w:autoSpaceDN w:val="0"/>
        <w:adjustRightInd w:val="0"/>
        <w:jc w:val="both"/>
        <w:rPr>
          <w:iCs/>
          <w:color w:val="000000" w:themeColor="text1"/>
          <w:sz w:val="16"/>
          <w:szCs w:val="16"/>
        </w:rPr>
      </w:pPr>
    </w:p>
    <w:p w14:paraId="1AF7A4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вышло Распоряжение ГКО № 7263. О направлении на предприятия НКБ 3 тыс. досрочно освобождаемых осужденных за самовольный уход с предприятий и бытовые преступления. РГАНИР, Фонд ГКО, д. 348, лл. 40 (11012).</w:t>
      </w:r>
    </w:p>
    <w:p w14:paraId="296226A5" w14:textId="77777777" w:rsidR="00C2313B" w:rsidRPr="00925F26" w:rsidRDefault="00C2313B" w:rsidP="00925F26">
      <w:pPr>
        <w:autoSpaceDE w:val="0"/>
        <w:autoSpaceDN w:val="0"/>
        <w:adjustRightInd w:val="0"/>
        <w:jc w:val="both"/>
        <w:rPr>
          <w:color w:val="000000" w:themeColor="text1"/>
          <w:sz w:val="16"/>
          <w:szCs w:val="16"/>
        </w:rPr>
      </w:pPr>
    </w:p>
    <w:p w14:paraId="357148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вышло Распоряжение ГКО № 7264. Об освобождении НКлеса Грузинской ССР от выполнения задания по заготовке и вывозке крепежного леса в I кв. 1945 г. РГАНИР, Фонд ГКО, д. 348, лл. 41 (11012).</w:t>
      </w:r>
    </w:p>
    <w:p w14:paraId="55FE12A7" w14:textId="77777777" w:rsidR="00C2313B" w:rsidRPr="00925F26" w:rsidRDefault="00C2313B" w:rsidP="00925F26">
      <w:pPr>
        <w:autoSpaceDE w:val="0"/>
        <w:autoSpaceDN w:val="0"/>
        <w:adjustRightInd w:val="0"/>
        <w:jc w:val="both"/>
        <w:rPr>
          <w:color w:val="000000" w:themeColor="text1"/>
          <w:sz w:val="16"/>
          <w:szCs w:val="16"/>
        </w:rPr>
      </w:pPr>
    </w:p>
    <w:p w14:paraId="0F1E69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вышло Постановление ГКО № 7265 Об энергоснабжении завода № 174 Наркомтанкопрома в г. Омске. РГАНИР, Фонд ГКО, д. 348, лл. 42 (11012).</w:t>
      </w:r>
    </w:p>
    <w:p w14:paraId="1CC37095" w14:textId="77777777" w:rsidR="00C2313B" w:rsidRPr="00925F26" w:rsidRDefault="00C2313B" w:rsidP="00925F26">
      <w:pPr>
        <w:autoSpaceDE w:val="0"/>
        <w:autoSpaceDN w:val="0"/>
        <w:adjustRightInd w:val="0"/>
        <w:jc w:val="both"/>
        <w:rPr>
          <w:color w:val="000000" w:themeColor="text1"/>
          <w:sz w:val="16"/>
          <w:szCs w:val="16"/>
        </w:rPr>
      </w:pPr>
    </w:p>
    <w:p w14:paraId="10C2C65E"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января 1945 вышло Распоряжение ГКО № 7266 [О мерах по обеспечению поставок колониями НКВД технических изделий из кожи и ее заменителей для НКАП, НКВ, НКПС и ГАУ КА.] (7295, 43-44).</w:t>
      </w:r>
    </w:p>
    <w:p w14:paraId="1B40CD8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018A10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января 1945 вышло Постановление ГКО № 7267 О сокращении производства артиллерийского, минометного и стрелкового вооружения. (7295, 45-46).</w:t>
      </w:r>
    </w:p>
    <w:p w14:paraId="6BE6A19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9D14C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г. вышло:</w:t>
      </w:r>
    </w:p>
    <w:p w14:paraId="3D814012" w14:textId="77777777" w:rsidR="00C2313B" w:rsidRPr="00925F26" w:rsidRDefault="00C2313B" w:rsidP="00925F26">
      <w:pPr>
        <w:jc w:val="both"/>
        <w:rPr>
          <w:color w:val="000000" w:themeColor="text1"/>
          <w:sz w:val="16"/>
          <w:szCs w:val="16"/>
        </w:rPr>
      </w:pPr>
      <w:r w:rsidRPr="00925F26">
        <w:rPr>
          <w:color w:val="000000" w:themeColor="text1"/>
          <w:sz w:val="16"/>
          <w:szCs w:val="16"/>
        </w:rPr>
        <w:t>ПОСТАНОВЛЕНИЕ ГОСУДАРСТВЕННОГО КОМИТЕТА ОБОРОНЫ № 7267сс</w:t>
      </w:r>
    </w:p>
    <w:p w14:paraId="2283C4D0" w14:textId="77777777" w:rsidR="00C2313B" w:rsidRPr="00925F26" w:rsidRDefault="00C2313B" w:rsidP="00925F26">
      <w:pPr>
        <w:jc w:val="both"/>
        <w:rPr>
          <w:color w:val="000000" w:themeColor="text1"/>
          <w:sz w:val="16"/>
          <w:szCs w:val="16"/>
        </w:rPr>
      </w:pPr>
      <w:r w:rsidRPr="00925F26">
        <w:rPr>
          <w:color w:val="000000" w:themeColor="text1"/>
          <w:sz w:val="16"/>
          <w:szCs w:val="16"/>
        </w:rPr>
        <w:t xml:space="preserve">О сокращении производства артиллерийского, минометного и стрелково-пулеметного вооружения </w:t>
      </w:r>
    </w:p>
    <w:p w14:paraId="342223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связи с полной обеспеченностью потребности Красной Армии и достаточных запасов в ГАУ КА, Государственный Комитет Обороны ПОСТАНОВЛЯЕТ:</w:t>
      </w:r>
    </w:p>
    <w:p w14:paraId="1CCADB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Прекратить с 1-го января 1945 г. производство следующих видов вооружения: 107 мм минометов на \иркутском заводе им. Куйбышева НКТМ; снайперских винтовок на заводе № 74 НКВ и самозарядных винтовок на заводе № 314 НКВ.</w:t>
      </w:r>
    </w:p>
    <w:p w14:paraId="2D435D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Установить с 1-го января 1945 г. уменьшенный ежемесячный план производства по:</w:t>
      </w:r>
    </w:p>
    <w:p w14:paraId="0C5438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Карабинам 100.000 штук</w:t>
      </w:r>
    </w:p>
    <w:p w14:paraId="160D01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Сигнальным пистолетам 14.000 "</w:t>
      </w:r>
    </w:p>
    <w:p w14:paraId="0BF5FE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Пистолетам-пулеметам Шпагина "ППШ" 100.000 "</w:t>
      </w:r>
    </w:p>
    <w:p w14:paraId="7722A7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Ручным пулеметам Дягтерева "ДП" 5.000 "</w:t>
      </w:r>
    </w:p>
    <w:p w14:paraId="07727B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 Станковым пулеметам "Максима" 1.000 "</w:t>
      </w:r>
    </w:p>
    <w:p w14:paraId="4E060C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 Станковым пулеметам Горюнова 1.000 "</w:t>
      </w:r>
    </w:p>
    <w:p w14:paraId="590DD3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ж) 37 мм зенитным пушкам 200 "</w:t>
      </w:r>
    </w:p>
    <w:p w14:paraId="0280FF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з) 85 мм зенитным пушкам 100 "</w:t>
      </w:r>
    </w:p>
    <w:p w14:paraId="29C79B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76 мм полковым пушкам 350 "</w:t>
      </w:r>
    </w:p>
    <w:p w14:paraId="69B4D8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Директорам заводов: им. Куйбышева НКТМ, № 74 и 314 НКВ сохранить оснастку производства по снимаемым с производства 107 мм минометам, снайперским и самозарядным винтовкам и заложить ее в мобрезерв.</w:t>
      </w:r>
    </w:p>
    <w:p w14:paraId="59EBCA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w:t>
      </w:r>
    </w:p>
    <w:p w14:paraId="45B593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(И. СТАЛИН) </w:t>
      </w:r>
    </w:p>
    <w:p w14:paraId="61DEDA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Берия (ГОКО), Вознесенскому, Булганину, Яковлеву (…), Устинову, Кирпичникову, Чадаеву - все, Казакову - 1,3 </w:t>
      </w:r>
    </w:p>
    <w:p w14:paraId="3D70B7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284B6E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ПРЕДСЕДАТЕЛЮ ГОСУДАРСТВЕННОГО КОМИТЕТА ОБОРОНЫ - </w:t>
      </w:r>
    </w:p>
    <w:p w14:paraId="70D872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Товарищу СТАЛИНУ И. В.</w:t>
      </w:r>
    </w:p>
    <w:p w14:paraId="3AAEE6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 исполнение постановления Государственного Комитета Обороны № 7249с от 30 декабря 1944 г., рассмотрен запасы артиллерийского, минометного и стрелково-пулеметного вооружения, имеющегося у ГАУ КА, а также ведомости обеспеченности и потребности в этих видах вооружения для Красной Армии, считаем возможным ввиду достаточных запасов - </w:t>
      </w:r>
    </w:p>
    <w:p w14:paraId="62C543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Прекратить совершенно производство</w:t>
      </w:r>
    </w:p>
    <w:p w14:paraId="44B6B7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штуках)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95"/>
        <w:gridCol w:w="3195"/>
        <w:gridCol w:w="3195"/>
      </w:tblGrid>
      <w:tr w:rsidR="000F5689" w:rsidRPr="00925F26" w14:paraId="75A12472" w14:textId="77777777">
        <w:trPr>
          <w:jc w:val="center"/>
        </w:trPr>
        <w:tc>
          <w:tcPr>
            <w:tcW w:w="3195" w:type="dxa"/>
            <w:tcBorders>
              <w:top w:val="single" w:sz="12" w:space="0" w:color="auto"/>
            </w:tcBorders>
          </w:tcPr>
          <w:p w14:paraId="30A307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вооружения</w:t>
            </w:r>
          </w:p>
        </w:tc>
        <w:tc>
          <w:tcPr>
            <w:tcW w:w="3195" w:type="dxa"/>
            <w:tcBorders>
              <w:top w:val="single" w:sz="12" w:space="0" w:color="auto"/>
            </w:tcBorders>
          </w:tcPr>
          <w:p w14:paraId="796C1C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Имеющийся запас в ГАУ КА</w:t>
            </w:r>
          </w:p>
        </w:tc>
        <w:tc>
          <w:tcPr>
            <w:tcW w:w="3195" w:type="dxa"/>
            <w:tcBorders>
              <w:top w:val="single" w:sz="12" w:space="0" w:color="auto"/>
            </w:tcBorders>
          </w:tcPr>
          <w:p w14:paraId="4392E67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Существующий размер месячного производства</w:t>
            </w:r>
          </w:p>
        </w:tc>
      </w:tr>
      <w:tr w:rsidR="000F5689" w:rsidRPr="00925F26" w14:paraId="621FDBC7" w14:textId="77777777">
        <w:trPr>
          <w:jc w:val="center"/>
        </w:trPr>
        <w:tc>
          <w:tcPr>
            <w:tcW w:w="3195" w:type="dxa"/>
            <w:tcBorders>
              <w:bottom w:val="single" w:sz="12" w:space="0" w:color="auto"/>
            </w:tcBorders>
          </w:tcPr>
          <w:p w14:paraId="42001D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 мм минометы</w:t>
            </w:r>
          </w:p>
          <w:p w14:paraId="198618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Снайперские винтовки</w:t>
            </w:r>
          </w:p>
          <w:p w14:paraId="4867AE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Самозарядные винтовки</w:t>
            </w:r>
          </w:p>
        </w:tc>
        <w:tc>
          <w:tcPr>
            <w:tcW w:w="3195" w:type="dxa"/>
            <w:tcBorders>
              <w:bottom w:val="single" w:sz="12" w:space="0" w:color="auto"/>
            </w:tcBorders>
          </w:tcPr>
          <w:p w14:paraId="4CAB1F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840</w:t>
            </w:r>
          </w:p>
          <w:p w14:paraId="5BE966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108.000</w:t>
            </w:r>
          </w:p>
          <w:p w14:paraId="24012A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145.000</w:t>
            </w:r>
          </w:p>
        </w:tc>
        <w:tc>
          <w:tcPr>
            <w:tcW w:w="3195" w:type="dxa"/>
            <w:tcBorders>
              <w:bottom w:val="single" w:sz="12" w:space="0" w:color="auto"/>
            </w:tcBorders>
          </w:tcPr>
          <w:p w14:paraId="5BD026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p w14:paraId="5B57CC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5.000</w:t>
            </w:r>
          </w:p>
          <w:p w14:paraId="5256AC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7.000</w:t>
            </w:r>
          </w:p>
        </w:tc>
      </w:tr>
    </w:tbl>
    <w:p w14:paraId="7B3F59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2. Уменьшить производство </w:t>
      </w:r>
    </w:p>
    <w:p w14:paraId="485E44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штуках)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60"/>
        <w:gridCol w:w="1485"/>
        <w:gridCol w:w="1920"/>
        <w:gridCol w:w="1800"/>
        <w:gridCol w:w="1590"/>
      </w:tblGrid>
      <w:tr w:rsidR="000F5689" w:rsidRPr="00925F26" w14:paraId="1AB1B3CF" w14:textId="77777777">
        <w:trPr>
          <w:jc w:val="center"/>
        </w:trPr>
        <w:tc>
          <w:tcPr>
            <w:tcW w:w="2760" w:type="dxa"/>
            <w:tcBorders>
              <w:top w:val="single" w:sz="12" w:space="0" w:color="auto"/>
            </w:tcBorders>
          </w:tcPr>
          <w:p w14:paraId="63726E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вооружения</w:t>
            </w:r>
          </w:p>
        </w:tc>
        <w:tc>
          <w:tcPr>
            <w:tcW w:w="1485" w:type="dxa"/>
            <w:tcBorders>
              <w:top w:val="single" w:sz="12" w:space="0" w:color="auto"/>
            </w:tcBorders>
          </w:tcPr>
          <w:p w14:paraId="37F855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Имеющийся запас в ГАУ КА</w:t>
            </w:r>
          </w:p>
        </w:tc>
        <w:tc>
          <w:tcPr>
            <w:tcW w:w="1920" w:type="dxa"/>
            <w:tcBorders>
              <w:top w:val="single" w:sz="12" w:space="0" w:color="auto"/>
            </w:tcBorders>
          </w:tcPr>
          <w:p w14:paraId="4CFB14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Существующий размер месяч. производ.</w:t>
            </w:r>
          </w:p>
        </w:tc>
        <w:tc>
          <w:tcPr>
            <w:tcW w:w="1800" w:type="dxa"/>
            <w:tcBorders>
              <w:top w:val="single" w:sz="12" w:space="0" w:color="auto"/>
            </w:tcBorders>
          </w:tcPr>
          <w:p w14:paraId="574F5A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Насколько предполагается сократить</w:t>
            </w:r>
          </w:p>
        </w:tc>
        <w:tc>
          <w:tcPr>
            <w:tcW w:w="1590" w:type="dxa"/>
            <w:tcBorders>
              <w:top w:val="single" w:sz="12" w:space="0" w:color="auto"/>
            </w:tcBorders>
          </w:tcPr>
          <w:p w14:paraId="1A53C4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Остается в производстве</w:t>
            </w:r>
          </w:p>
        </w:tc>
      </w:tr>
      <w:tr w:rsidR="000F5689" w:rsidRPr="00925F26" w14:paraId="3EDAFFFC" w14:textId="77777777">
        <w:trPr>
          <w:jc w:val="center"/>
        </w:trPr>
        <w:tc>
          <w:tcPr>
            <w:tcW w:w="2760" w:type="dxa"/>
          </w:tcPr>
          <w:p w14:paraId="2E4BBC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Карабины</w:t>
            </w:r>
          </w:p>
        </w:tc>
        <w:tc>
          <w:tcPr>
            <w:tcW w:w="1485" w:type="dxa"/>
          </w:tcPr>
          <w:p w14:paraId="2A9226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260.000</w:t>
            </w:r>
          </w:p>
        </w:tc>
        <w:tc>
          <w:tcPr>
            <w:tcW w:w="1920" w:type="dxa"/>
          </w:tcPr>
          <w:p w14:paraId="43E339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176.000</w:t>
            </w:r>
          </w:p>
        </w:tc>
        <w:tc>
          <w:tcPr>
            <w:tcW w:w="1800" w:type="dxa"/>
          </w:tcPr>
          <w:p w14:paraId="7F1199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76.000</w:t>
            </w:r>
          </w:p>
        </w:tc>
        <w:tc>
          <w:tcPr>
            <w:tcW w:w="1590" w:type="dxa"/>
          </w:tcPr>
          <w:p w14:paraId="6148BF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100.000</w:t>
            </w:r>
          </w:p>
        </w:tc>
      </w:tr>
      <w:tr w:rsidR="000F5689" w:rsidRPr="00925F26" w14:paraId="43B8EA05" w14:textId="77777777">
        <w:trPr>
          <w:jc w:val="center"/>
        </w:trPr>
        <w:tc>
          <w:tcPr>
            <w:tcW w:w="2760" w:type="dxa"/>
          </w:tcPr>
          <w:p w14:paraId="729B29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Сигнальные пистолеты</w:t>
            </w:r>
          </w:p>
        </w:tc>
        <w:tc>
          <w:tcPr>
            <w:tcW w:w="1485" w:type="dxa"/>
          </w:tcPr>
          <w:p w14:paraId="45A0AE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34.000</w:t>
            </w:r>
          </w:p>
        </w:tc>
        <w:tc>
          <w:tcPr>
            <w:tcW w:w="1920" w:type="dxa"/>
          </w:tcPr>
          <w:p w14:paraId="4055B0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18.000</w:t>
            </w:r>
          </w:p>
        </w:tc>
        <w:tc>
          <w:tcPr>
            <w:tcW w:w="1800" w:type="dxa"/>
          </w:tcPr>
          <w:p w14:paraId="326468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590" w:type="dxa"/>
          </w:tcPr>
          <w:p w14:paraId="5104E4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14.000</w:t>
            </w:r>
          </w:p>
        </w:tc>
      </w:tr>
      <w:tr w:rsidR="000F5689" w:rsidRPr="00925F26" w14:paraId="0BDA3AA4" w14:textId="77777777">
        <w:trPr>
          <w:jc w:val="center"/>
        </w:trPr>
        <w:tc>
          <w:tcPr>
            <w:tcW w:w="2760" w:type="dxa"/>
          </w:tcPr>
          <w:p w14:paraId="27F6AA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Пистолеты-пулеметы Шпагина «ППШ»</w:t>
            </w:r>
          </w:p>
        </w:tc>
        <w:tc>
          <w:tcPr>
            <w:tcW w:w="1485" w:type="dxa"/>
          </w:tcPr>
          <w:p w14:paraId="3D02F3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826.000</w:t>
            </w:r>
          </w:p>
        </w:tc>
        <w:tc>
          <w:tcPr>
            <w:tcW w:w="1920" w:type="dxa"/>
          </w:tcPr>
          <w:p w14:paraId="354759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153.500</w:t>
            </w:r>
          </w:p>
        </w:tc>
        <w:tc>
          <w:tcPr>
            <w:tcW w:w="1800" w:type="dxa"/>
          </w:tcPr>
          <w:p w14:paraId="0D48CE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53.500</w:t>
            </w:r>
          </w:p>
        </w:tc>
        <w:tc>
          <w:tcPr>
            <w:tcW w:w="1590" w:type="dxa"/>
          </w:tcPr>
          <w:p w14:paraId="3D33EB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100.000</w:t>
            </w:r>
          </w:p>
        </w:tc>
      </w:tr>
      <w:tr w:rsidR="000F5689" w:rsidRPr="00925F26" w14:paraId="1B96F4B9" w14:textId="77777777">
        <w:trPr>
          <w:jc w:val="center"/>
        </w:trPr>
        <w:tc>
          <w:tcPr>
            <w:tcW w:w="2760" w:type="dxa"/>
          </w:tcPr>
          <w:p w14:paraId="4E085A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Ручные пулеметы «ДП»</w:t>
            </w:r>
          </w:p>
        </w:tc>
        <w:tc>
          <w:tcPr>
            <w:tcW w:w="1485" w:type="dxa"/>
          </w:tcPr>
          <w:p w14:paraId="31923C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105.000</w:t>
            </w:r>
          </w:p>
        </w:tc>
        <w:tc>
          <w:tcPr>
            <w:tcW w:w="1920" w:type="dxa"/>
          </w:tcPr>
          <w:p w14:paraId="522DBC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15.000</w:t>
            </w:r>
          </w:p>
        </w:tc>
        <w:tc>
          <w:tcPr>
            <w:tcW w:w="1800" w:type="dxa"/>
          </w:tcPr>
          <w:p w14:paraId="3F9B6D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10.000</w:t>
            </w:r>
          </w:p>
        </w:tc>
        <w:tc>
          <w:tcPr>
            <w:tcW w:w="1590" w:type="dxa"/>
          </w:tcPr>
          <w:p w14:paraId="48CDD5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5.000</w:t>
            </w:r>
          </w:p>
        </w:tc>
      </w:tr>
      <w:tr w:rsidR="000F5689" w:rsidRPr="00925F26" w14:paraId="14423BBC" w14:textId="77777777">
        <w:trPr>
          <w:jc w:val="center"/>
        </w:trPr>
        <w:tc>
          <w:tcPr>
            <w:tcW w:w="2760" w:type="dxa"/>
          </w:tcPr>
          <w:p w14:paraId="09371E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Станковые пулеметы «Максима»</w:t>
            </w:r>
          </w:p>
        </w:tc>
        <w:tc>
          <w:tcPr>
            <w:tcW w:w="1485" w:type="dxa"/>
          </w:tcPr>
          <w:p w14:paraId="229303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54.000</w:t>
            </w:r>
          </w:p>
        </w:tc>
        <w:tc>
          <w:tcPr>
            <w:tcW w:w="1920" w:type="dxa"/>
          </w:tcPr>
          <w:p w14:paraId="7D0221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4.900</w:t>
            </w:r>
          </w:p>
        </w:tc>
        <w:tc>
          <w:tcPr>
            <w:tcW w:w="1800" w:type="dxa"/>
          </w:tcPr>
          <w:p w14:paraId="55C74B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3.900</w:t>
            </w:r>
          </w:p>
        </w:tc>
        <w:tc>
          <w:tcPr>
            <w:tcW w:w="1590" w:type="dxa"/>
          </w:tcPr>
          <w:p w14:paraId="59B873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w:t>
            </w:r>
          </w:p>
        </w:tc>
      </w:tr>
      <w:tr w:rsidR="000F5689" w:rsidRPr="00925F26" w14:paraId="68F4F33B" w14:textId="77777777">
        <w:trPr>
          <w:jc w:val="center"/>
        </w:trPr>
        <w:tc>
          <w:tcPr>
            <w:tcW w:w="2760" w:type="dxa"/>
          </w:tcPr>
          <w:p w14:paraId="4BFA49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Станковые пулеметы Горюнова</w:t>
            </w:r>
          </w:p>
        </w:tc>
        <w:tc>
          <w:tcPr>
            <w:tcW w:w="1485" w:type="dxa"/>
          </w:tcPr>
          <w:p w14:paraId="5BD81D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20.000</w:t>
            </w:r>
          </w:p>
        </w:tc>
        <w:tc>
          <w:tcPr>
            <w:tcW w:w="1920" w:type="dxa"/>
          </w:tcPr>
          <w:p w14:paraId="0CE3F8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2.700</w:t>
            </w:r>
          </w:p>
        </w:tc>
        <w:tc>
          <w:tcPr>
            <w:tcW w:w="1800" w:type="dxa"/>
          </w:tcPr>
          <w:p w14:paraId="20BE46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1.700</w:t>
            </w:r>
          </w:p>
        </w:tc>
        <w:tc>
          <w:tcPr>
            <w:tcW w:w="1590" w:type="dxa"/>
          </w:tcPr>
          <w:p w14:paraId="3EA207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w:t>
            </w:r>
          </w:p>
        </w:tc>
      </w:tr>
      <w:tr w:rsidR="000F5689" w:rsidRPr="00925F26" w14:paraId="3B34867E" w14:textId="77777777">
        <w:trPr>
          <w:jc w:val="center"/>
        </w:trPr>
        <w:tc>
          <w:tcPr>
            <w:tcW w:w="2760" w:type="dxa"/>
          </w:tcPr>
          <w:p w14:paraId="18240E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 мм зенитные пушки</w:t>
            </w:r>
          </w:p>
        </w:tc>
        <w:tc>
          <w:tcPr>
            <w:tcW w:w="1485" w:type="dxa"/>
          </w:tcPr>
          <w:p w14:paraId="3A3FC1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920" w:type="dxa"/>
          </w:tcPr>
          <w:p w14:paraId="3AE8F1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800" w:type="dxa"/>
          </w:tcPr>
          <w:p w14:paraId="159540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590" w:type="dxa"/>
          </w:tcPr>
          <w:p w14:paraId="19CBD1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w:t>
            </w:r>
          </w:p>
        </w:tc>
      </w:tr>
      <w:tr w:rsidR="000F5689" w:rsidRPr="00925F26" w14:paraId="59FC481C" w14:textId="77777777">
        <w:trPr>
          <w:jc w:val="center"/>
        </w:trPr>
        <w:tc>
          <w:tcPr>
            <w:tcW w:w="2760" w:type="dxa"/>
          </w:tcPr>
          <w:p w14:paraId="691854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85 мм зенитные пушки</w:t>
            </w:r>
          </w:p>
        </w:tc>
        <w:tc>
          <w:tcPr>
            <w:tcW w:w="1485" w:type="dxa"/>
          </w:tcPr>
          <w:p w14:paraId="656262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1920" w:type="dxa"/>
          </w:tcPr>
          <w:p w14:paraId="0A7115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800" w:type="dxa"/>
          </w:tcPr>
          <w:p w14:paraId="2F4F59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590" w:type="dxa"/>
          </w:tcPr>
          <w:p w14:paraId="123017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w:t>
            </w:r>
          </w:p>
        </w:tc>
      </w:tr>
      <w:tr w:rsidR="000F5689" w:rsidRPr="00925F26" w14:paraId="36E0954E" w14:textId="77777777">
        <w:trPr>
          <w:jc w:val="center"/>
        </w:trPr>
        <w:tc>
          <w:tcPr>
            <w:tcW w:w="2760" w:type="dxa"/>
            <w:tcBorders>
              <w:bottom w:val="single" w:sz="12" w:space="0" w:color="auto"/>
            </w:tcBorders>
          </w:tcPr>
          <w:p w14:paraId="3E673C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76 мм полновые пушки</w:t>
            </w:r>
          </w:p>
        </w:tc>
        <w:tc>
          <w:tcPr>
            <w:tcW w:w="1485" w:type="dxa"/>
            <w:tcBorders>
              <w:bottom w:val="single" w:sz="12" w:space="0" w:color="auto"/>
            </w:tcBorders>
          </w:tcPr>
          <w:p w14:paraId="19851A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920" w:type="dxa"/>
            <w:tcBorders>
              <w:bottom w:val="single" w:sz="12" w:space="0" w:color="auto"/>
            </w:tcBorders>
          </w:tcPr>
          <w:p w14:paraId="224DED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370</w:t>
            </w:r>
          </w:p>
        </w:tc>
        <w:tc>
          <w:tcPr>
            <w:tcW w:w="1800" w:type="dxa"/>
            <w:tcBorders>
              <w:bottom w:val="single" w:sz="12" w:space="0" w:color="auto"/>
            </w:tcBorders>
          </w:tcPr>
          <w:p w14:paraId="22AFAE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590" w:type="dxa"/>
            <w:tcBorders>
              <w:bottom w:val="single" w:sz="12" w:space="0" w:color="auto"/>
            </w:tcBorders>
          </w:tcPr>
          <w:p w14:paraId="48C133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350</w:t>
            </w:r>
          </w:p>
        </w:tc>
      </w:tr>
    </w:tbl>
    <w:p w14:paraId="60CC9D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Указанное Сокращение производства вооружения дает уменьшение потребности в прокате черного металла на 1 квартал 1945 г. на 9500 тонн, в том числе по Наркомату вооружения на 8100 тонн, по Наркомсредмашу, Наркомминвооружения, Наркомавиапрому и Наркомтяжмашу на 1400 тонн.</w:t>
      </w:r>
    </w:p>
    <w:p w14:paraId="24D006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Просим рассмотреть и утвердить прилагаемый проект постановления Государственного Комитета Обороны.</w:t>
      </w:r>
    </w:p>
    <w:p w14:paraId="5B848B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 БЕРИЯ</w:t>
      </w:r>
    </w:p>
    <w:p w14:paraId="06EEF7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 БУЛГАНИН</w:t>
      </w:r>
    </w:p>
    <w:p w14:paraId="189569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 ЯКОВЛЕВ (11813).</w:t>
      </w:r>
    </w:p>
    <w:p w14:paraId="3706F452" w14:textId="77777777" w:rsidR="003E545E" w:rsidRPr="00925F26" w:rsidRDefault="003E545E" w:rsidP="00925F26">
      <w:pPr>
        <w:autoSpaceDE w:val="0"/>
        <w:autoSpaceDN w:val="0"/>
        <w:adjustRightInd w:val="0"/>
        <w:jc w:val="both"/>
        <w:rPr>
          <w:color w:val="000000" w:themeColor="text1"/>
          <w:sz w:val="16"/>
          <w:szCs w:val="16"/>
        </w:rPr>
      </w:pPr>
    </w:p>
    <w:p w14:paraId="20D7B4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вышло Постановление ГКО № 7268 О Четвертом Протоколе по поставкам Советскому Союзу из США, Канады и Соединенного Королевства. РГАНИР, Фонд ГКО, д. 348, лл. 47-49, 50-81 (11012).</w:t>
      </w:r>
    </w:p>
    <w:p w14:paraId="0E26DECA" w14:textId="77777777" w:rsidR="00C2313B" w:rsidRPr="00925F26" w:rsidRDefault="00C2313B" w:rsidP="00925F26">
      <w:pPr>
        <w:autoSpaceDE w:val="0"/>
        <w:autoSpaceDN w:val="0"/>
        <w:adjustRightInd w:val="0"/>
        <w:jc w:val="both"/>
        <w:rPr>
          <w:color w:val="000000" w:themeColor="text1"/>
          <w:sz w:val="16"/>
          <w:szCs w:val="16"/>
        </w:rPr>
      </w:pPr>
    </w:p>
    <w:p w14:paraId="043D9BB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A8B7506" w14:textId="77777777" w:rsidR="00C2313B" w:rsidRPr="00925F26" w:rsidRDefault="00C2313B" w:rsidP="00925F26">
      <w:pPr>
        <w:autoSpaceDE w:val="0"/>
        <w:autoSpaceDN w:val="0"/>
        <w:adjustRightInd w:val="0"/>
        <w:jc w:val="both"/>
        <w:rPr>
          <w:iCs/>
          <w:color w:val="000000" w:themeColor="text1"/>
          <w:sz w:val="16"/>
          <w:szCs w:val="16"/>
        </w:rPr>
      </w:pPr>
    </w:p>
    <w:p w14:paraId="63155433" w14:textId="77777777" w:rsidR="003E545E" w:rsidRPr="00925F26" w:rsidRDefault="003E545E" w:rsidP="00925F26">
      <w:pPr>
        <w:jc w:val="both"/>
        <w:rPr>
          <w:color w:val="000000" w:themeColor="text1"/>
          <w:sz w:val="16"/>
          <w:szCs w:val="16"/>
        </w:rPr>
      </w:pPr>
      <w:r w:rsidRPr="00925F26">
        <w:rPr>
          <w:bCs/>
          <w:color w:val="000000" w:themeColor="text1"/>
          <w:sz w:val="16"/>
          <w:szCs w:val="16"/>
        </w:rPr>
        <w:t>3 января</w:t>
      </w:r>
      <w:r w:rsidRPr="00925F26">
        <w:rPr>
          <w:color w:val="000000" w:themeColor="text1"/>
          <w:sz w:val="16"/>
          <w:szCs w:val="16"/>
        </w:rPr>
        <w:t xml:space="preserve"> в 1945 году оперативная сводка Совинформбюро:</w:t>
      </w:r>
    </w:p>
    <w:p w14:paraId="444C0D62" w14:textId="77777777" w:rsidR="003E545E" w:rsidRPr="00925F26" w:rsidRDefault="003E545E" w:rsidP="00925F26">
      <w:pPr>
        <w:jc w:val="both"/>
        <w:rPr>
          <w:color w:val="000000" w:themeColor="text1"/>
          <w:sz w:val="16"/>
          <w:szCs w:val="16"/>
        </w:rPr>
      </w:pPr>
      <w:r w:rsidRPr="00925F26">
        <w:rPr>
          <w:color w:val="000000" w:themeColor="text1"/>
          <w:sz w:val="16"/>
          <w:szCs w:val="16"/>
        </w:rPr>
        <w:t>«В течение 3 января на территории Чехословакии наши войска, наступающие на город Лученец с востока и юга, овладели населёнными пунктами Ождяны, Двойкерестюр, Дола, Пинцина, Сахер, Калонда, Великий и Малый Далев, Парлаг, Рарошмулад, Великие Злевце и железнодорожной станцией Ождяны. В боях за 1 и 2 января в этом районе наши войска взяли в плен 2.320 немецких и венгерских солдат и офицеров.</w:t>
      </w:r>
    </w:p>
    <w:p w14:paraId="34AA2ECF"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продолжали вести бои по уничтожению окружённой группировки противника, в ходе которых заняли 136 кварталов в восточной части и 31 квартал в западной части города.</w:t>
      </w:r>
    </w:p>
    <w:p w14:paraId="7FD29C9A" w14:textId="77777777" w:rsidR="003E545E" w:rsidRPr="00925F26" w:rsidRDefault="003E545E" w:rsidP="00925F26">
      <w:pPr>
        <w:jc w:val="both"/>
        <w:rPr>
          <w:color w:val="000000" w:themeColor="text1"/>
          <w:sz w:val="16"/>
          <w:szCs w:val="16"/>
        </w:rPr>
      </w:pPr>
      <w:r w:rsidRPr="00925F26">
        <w:rPr>
          <w:color w:val="000000" w:themeColor="text1"/>
          <w:sz w:val="16"/>
          <w:szCs w:val="16"/>
        </w:rPr>
        <w:t>Юго-восточнее города Комарно наши войска отбивали атаки крупных сил пехоты и танков противника, стремящегося пробиться на помощь к своей окружённой группировке в городе Будапеште. Ценой больших потерь в живой силе и технике противнику удалось занять несколько населённых пунктов на южном берегу Дуная.</w:t>
      </w:r>
    </w:p>
    <w:p w14:paraId="4DCEC53E" w14:textId="77777777" w:rsidR="003E545E" w:rsidRPr="00925F26" w:rsidRDefault="003E545E"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1071BAC3" w14:textId="77777777" w:rsidR="003E545E" w:rsidRPr="00925F26" w:rsidRDefault="003E545E" w:rsidP="00925F26">
      <w:pPr>
        <w:jc w:val="both"/>
        <w:rPr>
          <w:color w:val="000000" w:themeColor="text1"/>
          <w:sz w:val="16"/>
          <w:szCs w:val="16"/>
        </w:rPr>
      </w:pPr>
      <w:r w:rsidRPr="00925F26">
        <w:rPr>
          <w:color w:val="000000" w:themeColor="text1"/>
          <w:sz w:val="16"/>
          <w:szCs w:val="16"/>
        </w:rPr>
        <w:t>За 2 января на всех фронтах наши войска подбили и уничтожили 61 немецкий танк. В воздушных боях и огнём зенитной артиллерии сбит 21 самолёт противника.</w:t>
      </w:r>
    </w:p>
    <w:p w14:paraId="76167924" w14:textId="77777777" w:rsidR="003E545E" w:rsidRPr="00925F26" w:rsidRDefault="003E545E" w:rsidP="00925F26">
      <w:pPr>
        <w:jc w:val="both"/>
        <w:rPr>
          <w:color w:val="000000" w:themeColor="text1"/>
          <w:sz w:val="16"/>
          <w:szCs w:val="16"/>
        </w:rPr>
      </w:pPr>
      <w:r w:rsidRPr="00925F26">
        <w:rPr>
          <w:color w:val="000000" w:themeColor="text1"/>
          <w:sz w:val="16"/>
          <w:szCs w:val="16"/>
        </w:rPr>
        <w:t>На территории Чехословакии наши войска с боями продвигались к городу Лученец. Противник, опираясь на заранее подготовленный оборонительный рубеж, оказывал упорное сопротивление. В результате стремительной атаки советские части овладели железнодорожной станцией Ождяны, находящейся в 16 километрах северо-восточнее пор. Лучемед. Другие наши части выбили немцев из населённого пункта Самер и завязали бои на ближних подступах к городу Лученец. За день боёв уничтожено более 400 немецких солдат и офицеров. Советские бронебойщики подбили 2 танка и 2 бронетранспортёра противника.</w:t>
      </w:r>
    </w:p>
    <w:p w14:paraId="57326405"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вели бои по ликвидации окружённой группировки противника. В восточной части города наши гвардейцы выбили немцев из укреплённых позиций в городском парке и с боями продвигаются к центральным кварталам венгерской столицы. Советские пехотинцы штурмом берут укреплённые здания и истребляют засевших в них гитлеровцев.</w:t>
      </w:r>
    </w:p>
    <w:p w14:paraId="4333FD17" w14:textId="77777777" w:rsidR="003E545E" w:rsidRPr="00925F26" w:rsidRDefault="003E545E" w:rsidP="00925F26">
      <w:pPr>
        <w:jc w:val="both"/>
        <w:rPr>
          <w:color w:val="000000" w:themeColor="text1"/>
          <w:sz w:val="16"/>
          <w:szCs w:val="16"/>
        </w:rPr>
      </w:pPr>
      <w:r w:rsidRPr="00925F26">
        <w:rPr>
          <w:color w:val="000000" w:themeColor="text1"/>
          <w:sz w:val="16"/>
          <w:szCs w:val="16"/>
        </w:rPr>
        <w:t>Во многих районах немцы взрывают здания, чтобы задержать продвижение наших подразделений. Стрелковый батальон капитана Сиротюка за день очистил от противника несколько кварталов и уничтожил до 600 вражеских солдат и офицеров. Особенно ожесточённые бои произошли в районе станции электрической железной дороги. Немцы здесь заранее соорудили шесть линий траншей. Все подходы к траншеям были прикрыты сетью проволочных заграждений, а через проволоку пропущен электрический ток. Одна группа наших бойцов атаковала вражеские позиции с фронта. Другие подразделения тем временем совершили обходный манёвр, ворвались на станцию с тыла и уничтожили вражеский гарнизон.</w:t>
      </w:r>
    </w:p>
    <w:p w14:paraId="3C813D10" w14:textId="77777777" w:rsidR="003E545E" w:rsidRPr="00925F26" w:rsidRDefault="003E545E" w:rsidP="00925F26">
      <w:pPr>
        <w:jc w:val="both"/>
        <w:rPr>
          <w:color w:val="000000" w:themeColor="text1"/>
          <w:sz w:val="16"/>
          <w:szCs w:val="16"/>
        </w:rPr>
      </w:pPr>
      <w:r w:rsidRPr="00925F26">
        <w:rPr>
          <w:color w:val="000000" w:themeColor="text1"/>
          <w:sz w:val="16"/>
          <w:szCs w:val="16"/>
        </w:rPr>
        <w:t>В западной части Будапешта противник неоднократно переходил в контратаки. Одна группа немецких войск пыталась вырваться из города. Артиллерийско-пулеметным огнём наши части отбросили гитлеровцев назад и, преследуя их, заняли несколько кварталов.</w:t>
      </w:r>
    </w:p>
    <w:p w14:paraId="45106342" w14:textId="77777777" w:rsidR="003E545E" w:rsidRPr="00925F26" w:rsidRDefault="003E545E" w:rsidP="00925F26">
      <w:pPr>
        <w:jc w:val="both"/>
        <w:rPr>
          <w:color w:val="000000" w:themeColor="text1"/>
          <w:sz w:val="16"/>
          <w:szCs w:val="16"/>
        </w:rPr>
      </w:pPr>
      <w:r w:rsidRPr="00925F26">
        <w:rPr>
          <w:color w:val="000000" w:themeColor="text1"/>
          <w:sz w:val="16"/>
          <w:szCs w:val="16"/>
        </w:rPr>
        <w:t>Юго-восточнее города Комарно крупные силы противника рано утром возобновили атаки. Немецкие танки и пехота двинулись на советские позиции с двух направлений. Завязались ожесточённые бои. На южном берегу Дуная противнику удалось занять несколько населённых пунктов, в боях за которые немцы понесли тяжелые потери. Уничтожено свыше 40 немецких танков и несколько тысяч гитлеровцев. Наши пехотинцы, артиллеристы и бронебойщики сильным огнём и контрударами отбивают атаки противника. Подразделения Н-ской гвардейской части за день отразили девять вражеских атак. На подступах к позициям гвардейцев осталось до 200 вражеских трупов и 6 сгоревших самоходных орудий. Немецкие танки атаковали артиллерийскую батарею гвардии капитана Жизлова. Советские артиллеристы открыли огонь и подбили два вражеских танка. Противник пытался обойти батарею с фланга. Манёвр гитлеровцев не застиг артиллеристов врасплох. Они подбили ещё два танка и истребили до роты немецкой пехоты. Гвардии старший сержант Уткельбаев, оставшись один у орудия, вывел из строя два танка противника. Гвардии красноармеец Панов противотанковой гранатой взорвал немецкий бронетранспортёр.</w:t>
      </w:r>
    </w:p>
    <w:p w14:paraId="20BCA9A7" w14:textId="77777777" w:rsidR="003E545E" w:rsidRPr="00925F26" w:rsidRDefault="003E545E" w:rsidP="00925F26">
      <w:pPr>
        <w:jc w:val="both"/>
        <w:rPr>
          <w:color w:val="000000" w:themeColor="text1"/>
          <w:sz w:val="16"/>
          <w:szCs w:val="16"/>
        </w:rPr>
      </w:pPr>
      <w:r w:rsidRPr="00925F26">
        <w:rPr>
          <w:color w:val="000000" w:themeColor="text1"/>
          <w:sz w:val="16"/>
          <w:szCs w:val="16"/>
        </w:rPr>
        <w:t>Наши лётчики в воздушных боях за день сбили 12 немецких самолётов.</w:t>
      </w:r>
    </w:p>
    <w:p w14:paraId="00C53ADF" w14:textId="77777777" w:rsidR="003E545E" w:rsidRPr="00925F26" w:rsidRDefault="003E545E" w:rsidP="00925F26">
      <w:pPr>
        <w:jc w:val="both"/>
        <w:rPr>
          <w:color w:val="000000" w:themeColor="text1"/>
          <w:sz w:val="16"/>
          <w:szCs w:val="16"/>
        </w:rPr>
      </w:pPr>
      <w:r w:rsidRPr="00925F26">
        <w:rPr>
          <w:color w:val="000000" w:themeColor="text1"/>
          <w:sz w:val="16"/>
          <w:szCs w:val="16"/>
        </w:rPr>
        <w:t>Юго-западнее города Остроленка пехота противника ночью пыталась вести разведку боем. Наше боевое охранение вовремя обнаружило гитлеровцев. Вражеская пехота была обстреляна сильным миномётным и пулемётным огнём. Затем советские бойцы предприняли контратаку и обратили немцев в бегство. Утром на подступах к нашим позициям было подсчитано 49 вражеских трупов.</w:t>
      </w:r>
    </w:p>
    <w:p w14:paraId="29703044" w14:textId="77777777" w:rsidR="003E545E" w:rsidRPr="00925F26" w:rsidRDefault="003E545E" w:rsidP="00925F26">
      <w:pPr>
        <w:jc w:val="both"/>
        <w:rPr>
          <w:color w:val="000000" w:themeColor="text1"/>
          <w:sz w:val="16"/>
          <w:szCs w:val="16"/>
        </w:rPr>
      </w:pPr>
      <w:r w:rsidRPr="00925F26">
        <w:rPr>
          <w:color w:val="000000" w:themeColor="text1"/>
          <w:sz w:val="16"/>
          <w:szCs w:val="16"/>
        </w:rPr>
        <w:lastRenderedPageBreak/>
        <w:t>На 1-м Украинском фронте действовали наши разведывательные группы. Двенадцать бойцов под командованием гвардии младшего лейтенанта Юрченко ворвались в траншеи противника и уничтожили немецкий пулемет вместе с расчётом. Другая группа бойцов под командованием лейтенанта Потелова проникла в расположение противника и истребила десять немцев. Советские разведчики захватили пленного и благополучно вернулись в расположение своей части.» (14998).</w:t>
      </w:r>
    </w:p>
    <w:p w14:paraId="4FF85D78" w14:textId="77777777" w:rsidR="003E545E" w:rsidRPr="00925F26" w:rsidRDefault="003E545E" w:rsidP="00925F26">
      <w:pPr>
        <w:jc w:val="both"/>
        <w:rPr>
          <w:color w:val="000000" w:themeColor="text1"/>
          <w:sz w:val="16"/>
          <w:szCs w:val="16"/>
        </w:rPr>
      </w:pPr>
    </w:p>
    <w:p w14:paraId="0626B5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года Циркуляром НГМШ ВМС № 038 был образован Научно-исследовательский институт Аварийно-спасательного управления ВМС, на базе которого в июне 1949 года создан Институт № 11 ВМС. Четвертый отдел водолазного дела Института занимался вопросами водолазного снаряжения (10679).</w:t>
      </w:r>
    </w:p>
    <w:p w14:paraId="161B218C" w14:textId="77777777" w:rsidR="00C2313B" w:rsidRPr="00925F26" w:rsidRDefault="00C2313B" w:rsidP="00925F26">
      <w:pPr>
        <w:autoSpaceDE w:val="0"/>
        <w:autoSpaceDN w:val="0"/>
        <w:adjustRightInd w:val="0"/>
        <w:jc w:val="both"/>
        <w:rPr>
          <w:color w:val="000000" w:themeColor="text1"/>
          <w:sz w:val="16"/>
          <w:szCs w:val="16"/>
        </w:rPr>
      </w:pPr>
    </w:p>
    <w:p w14:paraId="29E2B7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января 1945 года во исполнение приказа Народного Комиссара ВМФ от 15 ноября 1944 года № 00253 циркуляром начальника Главного морского штаба № 038 объявлен штат Научно-исследовательского института Аварийно-спасательной службы (АСС) ВМФ, Положением о НИИ АСС было определено: "Научно-исследовательский институт Аварийно-спасательной службы ВМФ является научно-исследовательским органом Военно-Морского Флота в области аварийно-спасательного дела, которое охватывает: - методы выполнения аварийно-спасательных, судоподъемных, подводно-технических и водолазных работ; - средства борьбы за живучесть корпуса и систем кораблей и судов ВМФ; - средства индивидуального и коллективного спасения личного состава подводных лодок; - противопожарные специальные и переносные средства кораблей и судов ВМФ; - технические средства, оборудование, снаряжение и имущество, применяемое при аварийно-спасательных, судоподъемных, подводно-технических и водолазных работах; - физиологию водолазного труда (10515).</w:t>
      </w:r>
    </w:p>
    <w:p w14:paraId="79B6BE2F" w14:textId="77777777" w:rsidR="00C2313B" w:rsidRPr="00925F26" w:rsidRDefault="00C2313B" w:rsidP="00925F26">
      <w:pPr>
        <w:autoSpaceDE w:val="0"/>
        <w:autoSpaceDN w:val="0"/>
        <w:adjustRightInd w:val="0"/>
        <w:jc w:val="both"/>
        <w:rPr>
          <w:color w:val="000000" w:themeColor="text1"/>
          <w:sz w:val="16"/>
          <w:szCs w:val="16"/>
        </w:rPr>
      </w:pPr>
    </w:p>
    <w:p w14:paraId="72AB0F0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76C666C" w14:textId="77777777" w:rsidR="00C2313B" w:rsidRPr="00925F26" w:rsidRDefault="00C2313B" w:rsidP="00925F26">
      <w:pPr>
        <w:autoSpaceDE w:val="0"/>
        <w:autoSpaceDN w:val="0"/>
        <w:adjustRightInd w:val="0"/>
        <w:jc w:val="both"/>
        <w:rPr>
          <w:iCs/>
          <w:color w:val="000000" w:themeColor="text1"/>
          <w:sz w:val="16"/>
          <w:szCs w:val="16"/>
        </w:rPr>
      </w:pPr>
    </w:p>
    <w:p w14:paraId="04A1FFD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января 1945 казнен А. Зубовский, работавший бургомистром Ворошиловграда во время фашистской оккупации города (4962).</w:t>
      </w:r>
    </w:p>
    <w:p w14:paraId="55E0EDA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10A77B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99E681C" w14:textId="77777777" w:rsidR="00C2313B" w:rsidRPr="00925F26" w:rsidRDefault="00C2313B" w:rsidP="00925F26">
      <w:pPr>
        <w:autoSpaceDE w:val="0"/>
        <w:autoSpaceDN w:val="0"/>
        <w:adjustRightInd w:val="0"/>
        <w:jc w:val="both"/>
        <w:rPr>
          <w:iCs/>
          <w:color w:val="000000" w:themeColor="text1"/>
          <w:sz w:val="16"/>
          <w:szCs w:val="16"/>
        </w:rPr>
      </w:pPr>
    </w:p>
    <w:p w14:paraId="4D0CFDD2" w14:textId="77777777" w:rsidR="003E545E" w:rsidRPr="00925F26" w:rsidRDefault="003E545E" w:rsidP="00925F26">
      <w:pPr>
        <w:jc w:val="both"/>
        <w:rPr>
          <w:color w:val="000000" w:themeColor="text1"/>
          <w:sz w:val="16"/>
          <w:szCs w:val="16"/>
        </w:rPr>
      </w:pPr>
      <w:r w:rsidRPr="00925F26">
        <w:rPr>
          <w:bCs/>
          <w:color w:val="000000" w:themeColor="text1"/>
          <w:sz w:val="16"/>
          <w:szCs w:val="16"/>
        </w:rPr>
        <w:t>3 января</w:t>
      </w:r>
      <w:r w:rsidRPr="00925F26">
        <w:rPr>
          <w:color w:val="000000" w:themeColor="text1"/>
          <w:sz w:val="16"/>
          <w:szCs w:val="16"/>
        </w:rPr>
        <w:t xml:space="preserve"> в 1945 году началоcь наступление войск 1-й американской армии на северном фасе арденнского выступа (14998).</w:t>
      </w:r>
    </w:p>
    <w:p w14:paraId="067240AD" w14:textId="77777777" w:rsidR="003E545E" w:rsidRPr="00925F26" w:rsidRDefault="003E545E" w:rsidP="00925F26">
      <w:pPr>
        <w:jc w:val="both"/>
        <w:rPr>
          <w:color w:val="000000" w:themeColor="text1"/>
          <w:sz w:val="16"/>
          <w:szCs w:val="16"/>
        </w:rPr>
      </w:pPr>
    </w:p>
    <w:p w14:paraId="0E83FCB3" w14:textId="77777777" w:rsidR="005A1318" w:rsidRPr="00925F26" w:rsidRDefault="005A1318" w:rsidP="00925F26">
      <w:pPr>
        <w:jc w:val="both"/>
        <w:rPr>
          <w:color w:val="000000" w:themeColor="text1"/>
          <w:sz w:val="16"/>
          <w:szCs w:val="16"/>
        </w:rPr>
      </w:pPr>
      <w:r w:rsidRPr="00925F26">
        <w:rPr>
          <w:color w:val="000000" w:themeColor="text1"/>
          <w:sz w:val="16"/>
          <w:szCs w:val="16"/>
        </w:rPr>
        <w:t>3 января 1945 ВМС США создают свою первую целевую группу авианосцев для ночных полетов, Task Group 38.5, состоящую из авианосцев USS Enterprise и USS Independence, а также шести эсминцев (20371).</w:t>
      </w:r>
    </w:p>
    <w:p w14:paraId="78822A07" w14:textId="77777777" w:rsidR="005A1318" w:rsidRPr="00925F26" w:rsidRDefault="005A1318" w:rsidP="00925F26">
      <w:pPr>
        <w:jc w:val="both"/>
        <w:rPr>
          <w:color w:val="000000" w:themeColor="text1"/>
          <w:sz w:val="16"/>
          <w:szCs w:val="16"/>
        </w:rPr>
      </w:pPr>
    </w:p>
    <w:p w14:paraId="349347EE" w14:textId="77777777" w:rsidR="005A1318" w:rsidRPr="00925F26" w:rsidRDefault="005A1318" w:rsidP="00925F26">
      <w:pPr>
        <w:jc w:val="both"/>
        <w:rPr>
          <w:color w:val="000000" w:themeColor="text1"/>
          <w:sz w:val="16"/>
          <w:szCs w:val="16"/>
        </w:rPr>
      </w:pPr>
      <w:r w:rsidRPr="00925F26">
        <w:rPr>
          <w:color w:val="000000" w:themeColor="text1"/>
          <w:sz w:val="16"/>
          <w:szCs w:val="16"/>
        </w:rPr>
        <w:t>3–4 января 1945 Оперативная группа 38 ВМС США начинает поддержку вторжения США в залив Лингайен с авианосных ударов по японским силам и объектам на Формозе, Пескадоре, Сакисима Гунто и Окинаве, в результате чего было потеряно 22 самолета США. Плохая погода сокращает количество ударов и делает невозможной оценку ущерба от бомб, хотя оперативная группа считает, что уничтожила около 100 японских самолетов (20371).</w:t>
      </w:r>
    </w:p>
    <w:p w14:paraId="113B32D5" w14:textId="77777777" w:rsidR="005A1318" w:rsidRPr="00925F26" w:rsidRDefault="005A1318" w:rsidP="00925F26">
      <w:pPr>
        <w:jc w:val="both"/>
        <w:rPr>
          <w:color w:val="000000" w:themeColor="text1"/>
          <w:sz w:val="16"/>
          <w:szCs w:val="16"/>
        </w:rPr>
      </w:pPr>
    </w:p>
    <w:p w14:paraId="6827E9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3-22 января 1945 состоялась высадка американцев на Люзоне (2248,1).</w:t>
      </w:r>
    </w:p>
    <w:p w14:paraId="5E25F2B1" w14:textId="77777777" w:rsidR="00C2313B" w:rsidRPr="00925F26" w:rsidRDefault="00C2313B" w:rsidP="00925F26">
      <w:pPr>
        <w:autoSpaceDE w:val="0"/>
        <w:autoSpaceDN w:val="0"/>
        <w:adjustRightInd w:val="0"/>
        <w:jc w:val="both"/>
        <w:rPr>
          <w:color w:val="000000" w:themeColor="text1"/>
          <w:sz w:val="16"/>
          <w:szCs w:val="16"/>
        </w:rPr>
      </w:pPr>
    </w:p>
    <w:p w14:paraId="70DC5A3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07F1CF2" w14:textId="77777777" w:rsidR="00C2313B" w:rsidRPr="00925F26" w:rsidRDefault="00C2313B" w:rsidP="00925F26">
      <w:pPr>
        <w:autoSpaceDE w:val="0"/>
        <w:autoSpaceDN w:val="0"/>
        <w:adjustRightInd w:val="0"/>
        <w:jc w:val="both"/>
        <w:rPr>
          <w:iCs/>
          <w:color w:val="000000" w:themeColor="text1"/>
          <w:sz w:val="16"/>
          <w:szCs w:val="16"/>
        </w:rPr>
      </w:pPr>
    </w:p>
    <w:p w14:paraId="378645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января 1945 года директор завода N 30 Ф. Нестеров писал письмо N 34/Д-1 Шахурину.</w:t>
      </w:r>
    </w:p>
    <w:p w14:paraId="352D09C5" w14:textId="77777777" w:rsidR="00C2313B" w:rsidRPr="00925F26" w:rsidRDefault="00C2313B"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Согласно порядка</w:t>
      </w:r>
      <w:proofErr w:type="gramEnd"/>
      <w:r w:rsidRPr="00925F26">
        <w:rPr>
          <w:color w:val="000000" w:themeColor="text1"/>
          <w:sz w:val="16"/>
          <w:szCs w:val="16"/>
        </w:rPr>
        <w:t xml:space="preserve"> установившегося на заводе N 1 с августа - сентября 1941 г. </w:t>
      </w:r>
      <w:proofErr w:type="gramStart"/>
      <w:r w:rsidRPr="00925F26">
        <w:rPr>
          <w:color w:val="000000" w:themeColor="text1"/>
          <w:sz w:val="16"/>
          <w:szCs w:val="16"/>
        </w:rPr>
        <w:t>все самолеты</w:t>
      </w:r>
      <w:proofErr w:type="gramEnd"/>
      <w:r w:rsidRPr="00925F26">
        <w:rPr>
          <w:color w:val="000000" w:themeColor="text1"/>
          <w:sz w:val="16"/>
          <w:szCs w:val="16"/>
        </w:rPr>
        <w:t xml:space="preserve"> направляемые в войсковые части снаряжаются заводом N 30 полным боекомплектом патрон и снарядов.</w:t>
      </w:r>
    </w:p>
    <w:p w14:paraId="1BDC9C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Указанный порядок был вызван необходимостью того времени (близость фронта) и совершенно необязателен сейчас, когда машины с завода идут не в войсковые части, а в ЗАП"ы.</w:t>
      </w:r>
    </w:p>
    <w:p w14:paraId="796589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Снаряжение боекомплектами отправляемых самолетов связано для завода с большими затруднениями:</w:t>
      </w:r>
    </w:p>
    <w:p w14:paraId="4755BE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Несвоевременная доставка Управлением боепитания ВВС патрон и снарядов на завод, вызывает зачастую задержки в отправке машин;</w:t>
      </w:r>
    </w:p>
    <w:p w14:paraId="3F73DB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Отсутствие на заводе приспособленных складов для боеприпасов вынуждает хранить патроны на открытых площадках внутри завода, чем создается опасность их возгорания и порчи.</w:t>
      </w:r>
    </w:p>
    <w:p w14:paraId="5AC463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Вас, по согласованию с командованием ВВС, изменить существующий порядок снаряжения боекомплектом отправляемых с завода в ЗАП"ы самолетов и разрешить их отправку с 1 января 1945 года без боекомплектов (1879).</w:t>
      </w:r>
    </w:p>
    <w:p w14:paraId="3B2EB948" w14:textId="77777777" w:rsidR="00C2313B" w:rsidRPr="00925F26" w:rsidRDefault="00C2313B" w:rsidP="00925F26">
      <w:pPr>
        <w:autoSpaceDE w:val="0"/>
        <w:autoSpaceDN w:val="0"/>
        <w:adjustRightInd w:val="0"/>
        <w:jc w:val="both"/>
        <w:rPr>
          <w:color w:val="000000" w:themeColor="text1"/>
          <w:sz w:val="16"/>
          <w:szCs w:val="16"/>
        </w:rPr>
      </w:pPr>
    </w:p>
    <w:p w14:paraId="0A86D5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января 1945 года П. Дементьев писал письмо председателю Комитета по делам физкультуры и спорта при СНК Снегову В.В.</w:t>
      </w:r>
    </w:p>
    <w:p w14:paraId="71C9A5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Деревообделочный филиал фабрики “Спортснабжение” (д. Н. Лужи Химкинского района) по решению Мособлисполкома в 1942 году передан заводу № 293. В настоящее время реконструирован и является деревообделочной базой НИИ-1 НКАП (8973).</w:t>
      </w:r>
    </w:p>
    <w:p w14:paraId="5FE33A92" w14:textId="77777777" w:rsidR="00C2313B" w:rsidRPr="00925F26" w:rsidRDefault="00C2313B" w:rsidP="00925F26">
      <w:pPr>
        <w:autoSpaceDE w:val="0"/>
        <w:autoSpaceDN w:val="0"/>
        <w:adjustRightInd w:val="0"/>
        <w:jc w:val="both"/>
        <w:rPr>
          <w:color w:val="000000" w:themeColor="text1"/>
          <w:sz w:val="16"/>
          <w:szCs w:val="16"/>
        </w:rPr>
      </w:pPr>
    </w:p>
    <w:p w14:paraId="2B4AD84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15791C0" w14:textId="77777777" w:rsidR="00C2313B" w:rsidRPr="00925F26" w:rsidRDefault="00C2313B" w:rsidP="00925F26">
      <w:pPr>
        <w:autoSpaceDE w:val="0"/>
        <w:autoSpaceDN w:val="0"/>
        <w:adjustRightInd w:val="0"/>
        <w:jc w:val="both"/>
        <w:rPr>
          <w:iCs/>
          <w:color w:val="000000" w:themeColor="text1"/>
          <w:sz w:val="16"/>
          <w:szCs w:val="16"/>
        </w:rPr>
      </w:pPr>
    </w:p>
    <w:p w14:paraId="477F65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января 1945 вышло Распоряжение ГКО № 7269. О мерах неотложной помощи шахтам Кузбасса крепежным лесом. РГАНИР, Фонд ГКО, д. 348, лл. 82-84 (11012).</w:t>
      </w:r>
    </w:p>
    <w:p w14:paraId="7D75A2E3" w14:textId="77777777" w:rsidR="00C2313B" w:rsidRPr="00925F26" w:rsidRDefault="00C2313B" w:rsidP="00925F26">
      <w:pPr>
        <w:autoSpaceDE w:val="0"/>
        <w:autoSpaceDN w:val="0"/>
        <w:adjustRightInd w:val="0"/>
        <w:jc w:val="both"/>
        <w:rPr>
          <w:color w:val="000000" w:themeColor="text1"/>
          <w:sz w:val="16"/>
          <w:szCs w:val="16"/>
        </w:rPr>
      </w:pPr>
    </w:p>
    <w:p w14:paraId="24F6D9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января 1945 вышло Постановление ГКО № 7270 О частичном изменении постановления ГОКО от 23 ноября 1944 г. № 6991сс и от 8 декабря 1944 г. № 7103с. РГАНИР, Фонд ГКО, д. 348, лл. 85 (11012).</w:t>
      </w:r>
    </w:p>
    <w:p w14:paraId="2CFD00FA" w14:textId="77777777" w:rsidR="00C2313B" w:rsidRPr="00925F26" w:rsidRDefault="00C2313B" w:rsidP="00925F26">
      <w:pPr>
        <w:autoSpaceDE w:val="0"/>
        <w:autoSpaceDN w:val="0"/>
        <w:adjustRightInd w:val="0"/>
        <w:jc w:val="both"/>
        <w:rPr>
          <w:color w:val="000000" w:themeColor="text1"/>
          <w:sz w:val="16"/>
          <w:szCs w:val="16"/>
        </w:rPr>
      </w:pPr>
    </w:p>
    <w:p w14:paraId="011B41E7" w14:textId="77777777" w:rsidR="003E545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DBBEE8C" w14:textId="77777777" w:rsidR="003E545E" w:rsidRPr="00925F26" w:rsidRDefault="003E545E" w:rsidP="00925F26">
      <w:pPr>
        <w:autoSpaceDE w:val="0"/>
        <w:autoSpaceDN w:val="0"/>
        <w:adjustRightInd w:val="0"/>
        <w:jc w:val="both"/>
        <w:rPr>
          <w:iCs/>
          <w:color w:val="000000" w:themeColor="text1"/>
          <w:sz w:val="16"/>
          <w:szCs w:val="16"/>
        </w:rPr>
      </w:pPr>
    </w:p>
    <w:p w14:paraId="7DBB2A1A" w14:textId="77777777" w:rsidR="003E545E" w:rsidRPr="00925F26" w:rsidRDefault="003E545E" w:rsidP="00925F26">
      <w:pPr>
        <w:jc w:val="both"/>
        <w:rPr>
          <w:color w:val="000000" w:themeColor="text1"/>
          <w:sz w:val="16"/>
          <w:szCs w:val="16"/>
        </w:rPr>
      </w:pPr>
      <w:r w:rsidRPr="00925F26">
        <w:rPr>
          <w:bCs/>
          <w:color w:val="000000" w:themeColor="text1"/>
          <w:sz w:val="16"/>
          <w:szCs w:val="16"/>
        </w:rPr>
        <w:t>4 января</w:t>
      </w:r>
      <w:r w:rsidRPr="00925F26">
        <w:rPr>
          <w:color w:val="000000" w:themeColor="text1"/>
          <w:sz w:val="16"/>
          <w:szCs w:val="16"/>
        </w:rPr>
        <w:t xml:space="preserve"> в 1945 году оперативная сводка Совинформбюро:</w:t>
      </w:r>
    </w:p>
    <w:p w14:paraId="104B2A76" w14:textId="77777777" w:rsidR="003E545E" w:rsidRPr="00925F26" w:rsidRDefault="003E545E" w:rsidP="00925F26">
      <w:pPr>
        <w:jc w:val="both"/>
        <w:rPr>
          <w:color w:val="000000" w:themeColor="text1"/>
          <w:sz w:val="16"/>
          <w:szCs w:val="16"/>
        </w:rPr>
      </w:pPr>
      <w:r w:rsidRPr="00925F26">
        <w:rPr>
          <w:color w:val="000000" w:themeColor="text1"/>
          <w:sz w:val="16"/>
          <w:szCs w:val="16"/>
        </w:rPr>
        <w:t>«В течение 4 января в районе Будапешта наши войска, продолжая бои по очищению города от противника, заняли 277 кварталов. Одновременно северо-западнее Будапешта наши войска отбивали атаки крупных сил пехоты и танков противника, стремящегося, несмотря на большие потери, прорваться на помощь к своей окружённой в городе Будапеште группировке. В боях за 3 января в этом районе наши войска подбили и уничтожили 78 немецких танков и взяли в плен 1.162 немецких и венгерских солдата и офицера. В воздушных боях и огнём зенитной артиллерии в районе северо-западнее Будапешта сбито 58 самолётов противника.</w:t>
      </w:r>
    </w:p>
    <w:p w14:paraId="2EA8A83E" w14:textId="77777777" w:rsidR="003E545E" w:rsidRPr="00925F26" w:rsidRDefault="003E545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бои местного значения.</w:t>
      </w:r>
    </w:p>
    <w:p w14:paraId="174B0EEB"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продолжали вести бои по ликвидации окруженной группировки немецких войск. Преодолевая упорное сопротивление противника, советские части очищают от немцев квартал за кварталом и настойчиво продвигаются к центральным районам венгерской столицы. Отступая под ударами наших войск, немцы взрывают дома и устраивают завалы на улицах. Ожесточённые бои произошли в районе текстильной фабрики и завода, расположенного рядом с этой фабрикой. Гитлеровцы превратили эти предприятия в узлы своей обороны, сосредоточив в них большое количество огневых средств. Ночью гвардейское подразделение майора Быкова блокировало завод. Артиллеристы выдвинули орудия на открытые позиции и подавили огневые точки противника. Затем советские пехотинцы предприняли стремительную атаку, ворвались в завод и истребили всех находившихся там гитлеровцев. Тем временем бойцы гвардейского подразделения майора Левченко вплотную приблизились к текстильной фабрике и штурмом овладели её корпусами. Противник понёс большие потери. Только на территории текстильной фабрики осталось до 600 трупов немецких солдат и офицеров. Ночью танкисты Н-ского подразделения пробились к подземным ангарам противника. Наши танки подошли к входу в ангары и отрезали пути отхода скрывавшимся в них гитлеровцам. Более 400 вражеских солдат и офицеров, преимущественно немцев, сложили оружие и сдались в плен. Нашими войсками захвачено много трофеев.</w:t>
      </w:r>
    </w:p>
    <w:p w14:paraId="35881048" w14:textId="77777777" w:rsidR="003E545E" w:rsidRPr="00925F26" w:rsidRDefault="003E545E" w:rsidP="00925F26">
      <w:pPr>
        <w:jc w:val="both"/>
        <w:rPr>
          <w:color w:val="000000" w:themeColor="text1"/>
          <w:sz w:val="16"/>
          <w:szCs w:val="16"/>
        </w:rPr>
      </w:pPr>
      <w:r w:rsidRPr="00925F26">
        <w:rPr>
          <w:color w:val="000000" w:themeColor="text1"/>
          <w:sz w:val="16"/>
          <w:szCs w:val="16"/>
        </w:rPr>
        <w:t>Советские воины проявляют самоотверженность и героизм в боях с врагом. Взвод сержанта Николая Михайлова штурмом овладел крупным домом. Пробравшись к дому, бойцы бросили в окна несколько гранат, а затем ворвались внутрь здания. В короткой схватке наши воины истребили 28 немцев. Красноармейцы Цыганов и Михайлов вывели из строя два вражеских пулемёта. Командир орудия сержант Фёдор Лисовой выкатил своё орудие на открытую позицию и прямой наводкой разрушил кирпичный склад, превращенный противником в дот. Под развалинами разрушенного здания похоронен отряд гитлеровцев с пятью пулемётами. Пулемётчик Миловидов, отражая вражескую контратаку, истребил 15 немцев. Рядовой Карташов поджёг вражеский бронетранспортёр и огнём из автомата истребил 7 гитлеровцев, выскочивших из бронетранспортёра.</w:t>
      </w:r>
    </w:p>
    <w:p w14:paraId="3FE57BDD" w14:textId="77777777" w:rsidR="003E545E" w:rsidRPr="00925F26" w:rsidRDefault="003E545E" w:rsidP="00925F26">
      <w:pPr>
        <w:jc w:val="both"/>
        <w:rPr>
          <w:color w:val="000000" w:themeColor="text1"/>
          <w:sz w:val="16"/>
          <w:szCs w:val="16"/>
        </w:rPr>
      </w:pPr>
      <w:r w:rsidRPr="00925F26">
        <w:rPr>
          <w:color w:val="000000" w:themeColor="text1"/>
          <w:sz w:val="16"/>
          <w:szCs w:val="16"/>
        </w:rPr>
        <w:t xml:space="preserve">Северо-западнее Будапешта наши войска отбивали атаки крупных сил танков и пехоты противника. Немцы бросили в атаки части шести танковых и нескольких пехотных дивизий и стремятся любой ценой прорваться к своей группировке, окружённой в городе Будапеште. Советские пехотинцы, артиллеристы и бронебойщики в ходе боёв отражают атаки вражеских танков, за которыми следуют цепи немецкой пехоты. Особенно ожесточённое сражение произошло на южном берегу Дуная. Наши танковые подразделения, подоспевшие к месту боя, контратаковали численно превосходящие силы противника. В многочасовом бою советские танкисты </w:t>
      </w:r>
      <w:r w:rsidRPr="00925F26">
        <w:rPr>
          <w:color w:val="000000" w:themeColor="text1"/>
          <w:sz w:val="16"/>
          <w:szCs w:val="16"/>
        </w:rPr>
        <w:lastRenderedPageBreak/>
        <w:t>истребили свыше 1.500 гитлеровцев, сожгли и подбили 53 немецких танка и самоходных орудия, 16 бронетранспортеров и уничтожили 50 автомашин с боеприпасами и горючим. На другом участке противник бросил в атаку 12 самоходных орудий и несколько бронетранспортеров. Советские бойцы, во главе с гвардии капитаном Аликовским, дали врагу жестокий отпор. Они подбили и сожгли 7 самоходных орудий, 2 бронетранспортёра и вынудили немцев отойти на исходные позиции.</w:t>
      </w:r>
    </w:p>
    <w:p w14:paraId="61CDA1BA" w14:textId="77777777" w:rsidR="003E545E" w:rsidRPr="00925F26" w:rsidRDefault="003E545E" w:rsidP="00925F26">
      <w:pPr>
        <w:jc w:val="both"/>
        <w:rPr>
          <w:color w:val="000000" w:themeColor="text1"/>
          <w:sz w:val="16"/>
          <w:szCs w:val="16"/>
        </w:rPr>
      </w:pPr>
      <w:r w:rsidRPr="00925F26">
        <w:rPr>
          <w:color w:val="000000" w:themeColor="text1"/>
          <w:sz w:val="16"/>
          <w:szCs w:val="16"/>
        </w:rPr>
        <w:t>Наша авиация наносила удары по скоплениям войск и техники противника. В течение дня советские лётчики уничтожили и повредили несколько десятков танков и до 200 немецких автомашин.</w:t>
      </w:r>
    </w:p>
    <w:p w14:paraId="28C2519C" w14:textId="77777777" w:rsidR="003E545E" w:rsidRPr="00925F26" w:rsidRDefault="003E545E" w:rsidP="00925F26">
      <w:pPr>
        <w:jc w:val="both"/>
        <w:rPr>
          <w:color w:val="000000" w:themeColor="text1"/>
          <w:sz w:val="16"/>
          <w:szCs w:val="16"/>
        </w:rPr>
      </w:pPr>
      <w:r w:rsidRPr="00925F26">
        <w:rPr>
          <w:color w:val="000000" w:themeColor="text1"/>
          <w:sz w:val="16"/>
          <w:szCs w:val="16"/>
        </w:rPr>
        <w:t>На 1-м Украинском фронте рота немецкой пехоты пыталась вести разведку боем. Наши передовые подразделения вовремя заметили гитлеровцев и контрударом отбросили их. Захвачено в плен 6 немецких солдат.</w:t>
      </w:r>
    </w:p>
    <w:p w14:paraId="41C19CDF" w14:textId="77777777" w:rsidR="003E545E" w:rsidRPr="00925F26" w:rsidRDefault="003E545E" w:rsidP="00925F26">
      <w:pPr>
        <w:jc w:val="both"/>
        <w:rPr>
          <w:color w:val="000000" w:themeColor="text1"/>
          <w:sz w:val="16"/>
          <w:szCs w:val="16"/>
        </w:rPr>
      </w:pPr>
      <w:r w:rsidRPr="00925F26">
        <w:rPr>
          <w:color w:val="000000" w:themeColor="text1"/>
          <w:sz w:val="16"/>
          <w:szCs w:val="16"/>
        </w:rPr>
        <w:t>Юго-западнее города Остроленка разведчики подразделения капитана Зубкова установили, что противник готовится к ночной атаке. Группа бойцов во главе с сержантом Байтимировым была послана в засаду за передний край нашей обороны. Когда стемнело, немецкий разведывательный отряд вплотную приблизился к нашим позициям. Советские пулемётчики встретили врага сильным огнём. Ошеломленные гитлеровцы повернули назад, но в это время были обстреляны бойцами, находившимися в засаде. Противник в беспорядке отступил, оставив перед нашими позициями до 40 трупов своих солдат и офицеров.» (14999).</w:t>
      </w:r>
    </w:p>
    <w:p w14:paraId="3BABF0A0" w14:textId="77777777" w:rsidR="003E545E" w:rsidRPr="00925F26" w:rsidRDefault="003E545E" w:rsidP="00925F26">
      <w:pPr>
        <w:jc w:val="both"/>
        <w:rPr>
          <w:color w:val="000000" w:themeColor="text1"/>
          <w:sz w:val="16"/>
          <w:szCs w:val="16"/>
        </w:rPr>
      </w:pPr>
    </w:p>
    <w:p w14:paraId="4E3B0D4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A785C5E" w14:textId="77777777" w:rsidR="00C2313B" w:rsidRPr="00925F26" w:rsidRDefault="00C2313B" w:rsidP="00925F26">
      <w:pPr>
        <w:autoSpaceDE w:val="0"/>
        <w:autoSpaceDN w:val="0"/>
        <w:adjustRightInd w:val="0"/>
        <w:jc w:val="both"/>
        <w:rPr>
          <w:iCs/>
          <w:color w:val="000000" w:themeColor="text1"/>
          <w:sz w:val="16"/>
          <w:szCs w:val="16"/>
        </w:rPr>
      </w:pPr>
    </w:p>
    <w:p w14:paraId="067C4F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января 1945 СССР признал Временное правительство Польши (1348,247), Люблинский комитет (3908,370).</w:t>
      </w:r>
    </w:p>
    <w:p w14:paraId="69F92091" w14:textId="77777777" w:rsidR="00C2313B" w:rsidRPr="00925F26" w:rsidRDefault="00C2313B" w:rsidP="00925F26">
      <w:pPr>
        <w:autoSpaceDE w:val="0"/>
        <w:autoSpaceDN w:val="0"/>
        <w:adjustRightInd w:val="0"/>
        <w:jc w:val="both"/>
        <w:rPr>
          <w:color w:val="000000" w:themeColor="text1"/>
          <w:sz w:val="16"/>
          <w:szCs w:val="16"/>
        </w:rPr>
      </w:pPr>
    </w:p>
    <w:p w14:paraId="15633E1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B526D13" w14:textId="77777777" w:rsidR="00C2313B" w:rsidRPr="00925F26" w:rsidRDefault="00C2313B" w:rsidP="00925F26">
      <w:pPr>
        <w:autoSpaceDE w:val="0"/>
        <w:autoSpaceDN w:val="0"/>
        <w:adjustRightInd w:val="0"/>
        <w:jc w:val="both"/>
        <w:rPr>
          <w:iCs/>
          <w:color w:val="000000" w:themeColor="text1"/>
          <w:sz w:val="16"/>
          <w:szCs w:val="16"/>
        </w:rPr>
      </w:pPr>
    </w:p>
    <w:p w14:paraId="442F2E85" w14:textId="77777777" w:rsidR="003E545E" w:rsidRPr="00925F26" w:rsidRDefault="003E545E" w:rsidP="00925F26">
      <w:pPr>
        <w:jc w:val="both"/>
        <w:rPr>
          <w:color w:val="000000" w:themeColor="text1"/>
          <w:sz w:val="16"/>
          <w:szCs w:val="16"/>
        </w:rPr>
      </w:pPr>
      <w:r w:rsidRPr="00925F26">
        <w:rPr>
          <w:bCs/>
          <w:color w:val="000000" w:themeColor="text1"/>
          <w:sz w:val="16"/>
          <w:szCs w:val="16"/>
        </w:rPr>
        <w:t>4 января</w:t>
      </w:r>
      <w:r w:rsidRPr="00925F26">
        <w:rPr>
          <w:color w:val="000000" w:themeColor="text1"/>
          <w:sz w:val="16"/>
          <w:szCs w:val="16"/>
        </w:rPr>
        <w:t xml:space="preserve"> в 1945 году первый полет транспортно-десантного планера «XCG-14» («X-eXperimental», «C-Cargo», «G-Glider»), который можно было бы буксировать за быстроходными самолетами. Планер сконструирован выходцем из России – Михаилом Струковым. В качестве производственной базы он использовал маленькую мебельную фабрику "Чейз Бразерс" на Манхеттене. 30 октября 1943 года, после того как крыло планера выдержало стендовые испытания, контракт был подписан. Фабрика превратилась в "Чейз Эркрафт Компани", ее президентом и главным конструктором стал Струков, а его заместителем - другой известный авиаконструктор из России М.Л.Грегор (Григорашвили).Он представлял собой цельнодеревянный высокоплан с крылом, имевшим "профиль Струкова", и несущей обшивкой из обычной фанеры. Поверхности управления были обтянуты тканью. 16 десантников размещались на откидных сиденьях в удобной грузовой кабине с боковыми дверями. Для загрузки и выгрузки техники задняя часть фюзеляжа откидывалась вбок. Двухместная кабина пилотов имела огромный фонарь "оранжерейного" типа. Шасси – не убираемое, трёхопорное с хвостовым колесом. Самолёт испытывался на аэродроме Нью-Арк, недалеко от Филадельфии. Струков лично принимал участие в испытаниях в качестве второго пилота. Истребитель «Р-47В» буксировал планер со скоростью до 360 км/ч. Однако, несмотря на хорошие результаты, заказов на «XCG-14» не поступило - легких планеров в американской армии уже было более чем достаточно. Аппаратов же среднего класса не имелось вообще, и фирма Струкова получила заказ на такой планер. Чтобы ускорить его постройку, использовали крыло от «XCG-14», а фюзеляж сделали новый. Вместо деревянной фермы Струков применил металлическую из стальных труб. Грузовая кабина вмещала 24-28 десантников или армейский грузовик. Для погрузки и выгрузки техники задняя часть фюзеляжа на шарнирах откидывалась вверх, а часть грузового пола опускалась, играя роль рампы. Трехопорное шасси имело убираемое переднее колесо. На носу опытного «XCG-14А» впервые появилась фирменная эмблема: изображение десантно-транспортного планера в круге, по ободу которого шли надписи "Stroukoff" и "Avitruk" (14999).</w:t>
      </w:r>
    </w:p>
    <w:p w14:paraId="61187C21" w14:textId="77777777" w:rsidR="003E545E" w:rsidRPr="00925F26" w:rsidRDefault="003E545E" w:rsidP="00925F26">
      <w:pPr>
        <w:jc w:val="both"/>
        <w:rPr>
          <w:color w:val="000000" w:themeColor="text1"/>
          <w:sz w:val="16"/>
          <w:szCs w:val="16"/>
        </w:rPr>
      </w:pPr>
    </w:p>
    <w:p w14:paraId="71CF6495" w14:textId="73AC18EA" w:rsidR="005A1318" w:rsidRPr="00925F26" w:rsidRDefault="005A1318" w:rsidP="00925F26">
      <w:pPr>
        <w:jc w:val="both"/>
        <w:rPr>
          <w:color w:val="000000" w:themeColor="text1"/>
          <w:sz w:val="16"/>
          <w:szCs w:val="16"/>
        </w:rPr>
      </w:pPr>
      <w:r w:rsidRPr="00925F26">
        <w:rPr>
          <w:color w:val="000000" w:themeColor="text1"/>
          <w:sz w:val="16"/>
          <w:szCs w:val="16"/>
        </w:rPr>
        <w:t xml:space="preserve">4 января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транспортно-десантного цельнодеревянного планера XCG-14 (X-eXperimental, C-Cargo, G-Glider), который можно было бы буксировать за быстроходными самолетами.</w:t>
      </w:r>
    </w:p>
    <w:p w14:paraId="3C5295E6" w14:textId="77777777" w:rsidR="005A1318" w:rsidRPr="00925F26" w:rsidRDefault="005A1318" w:rsidP="00925F26">
      <w:pPr>
        <w:jc w:val="both"/>
        <w:rPr>
          <w:color w:val="000000" w:themeColor="text1"/>
          <w:sz w:val="16"/>
          <w:szCs w:val="16"/>
        </w:rPr>
      </w:pPr>
      <w:r w:rsidRPr="00925F26">
        <w:rPr>
          <w:color w:val="000000" w:themeColor="text1"/>
          <w:sz w:val="16"/>
          <w:szCs w:val="16"/>
        </w:rPr>
        <w:t>Планер сконструирован выходцем из России – Михаилом Струковым. В качестве производственной базы он использовал маленькую мебельную фабрику "Чейз Бразерс" на Манхеттене. 30 октября 1943 года, после того как крыло планера выдержало стендовые испытания, контракт был подписан. Фабрика превратилась в "Чейз Эркрафт Компани", ее президентом и главным конструктором стал Струков, а его заместителем - другой известный авиаконструктор из России М.Л.Грегор (Григорашвили) (22680).</w:t>
      </w:r>
    </w:p>
    <w:p w14:paraId="474D7671" w14:textId="77777777" w:rsidR="005A1318" w:rsidRPr="00925F26" w:rsidRDefault="005A1318" w:rsidP="00925F26">
      <w:pPr>
        <w:jc w:val="both"/>
        <w:rPr>
          <w:color w:val="000000" w:themeColor="text1"/>
          <w:sz w:val="16"/>
          <w:szCs w:val="16"/>
        </w:rPr>
      </w:pPr>
    </w:p>
    <w:p w14:paraId="035EF9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4 по 8 января 1945 американский флот пострадал от ударов камикадзе. Японцы смогли потопить один авианосец и два постановщика мин, а два конвойных авианосца и два крейсера были сильно повреждены (2248,1).</w:t>
      </w:r>
    </w:p>
    <w:p w14:paraId="6D9DF73B" w14:textId="77777777" w:rsidR="00C2313B" w:rsidRPr="00925F26" w:rsidRDefault="00C2313B" w:rsidP="00925F26">
      <w:pPr>
        <w:autoSpaceDE w:val="0"/>
        <w:autoSpaceDN w:val="0"/>
        <w:adjustRightInd w:val="0"/>
        <w:jc w:val="both"/>
        <w:rPr>
          <w:color w:val="000000" w:themeColor="text1"/>
          <w:sz w:val="16"/>
          <w:szCs w:val="16"/>
        </w:rPr>
      </w:pPr>
    </w:p>
    <w:p w14:paraId="25F72FCD" w14:textId="77777777" w:rsidR="005A1318" w:rsidRPr="00925F26" w:rsidRDefault="005A1318" w:rsidP="00925F26">
      <w:pPr>
        <w:jc w:val="both"/>
        <w:rPr>
          <w:color w:val="000000" w:themeColor="text1"/>
          <w:sz w:val="16"/>
          <w:szCs w:val="16"/>
        </w:rPr>
      </w:pPr>
      <w:r w:rsidRPr="00925F26">
        <w:rPr>
          <w:color w:val="000000" w:themeColor="text1"/>
          <w:sz w:val="16"/>
          <w:szCs w:val="16"/>
        </w:rPr>
        <w:t>4 января 1945 один японский бомбардировщик уничтожил 11 патрульных самолетов ВМС США PV-1 Ventura, стоявших на аэродроме Таклобан на острове Лейте (20371).</w:t>
      </w:r>
    </w:p>
    <w:p w14:paraId="16F1A2C4" w14:textId="77777777" w:rsidR="005A1318" w:rsidRPr="00925F26" w:rsidRDefault="005A1318" w:rsidP="00925F26">
      <w:pPr>
        <w:jc w:val="both"/>
        <w:rPr>
          <w:color w:val="000000" w:themeColor="text1"/>
          <w:sz w:val="16"/>
          <w:szCs w:val="16"/>
        </w:rPr>
      </w:pPr>
    </w:p>
    <w:p w14:paraId="7264AADA" w14:textId="77777777" w:rsidR="005A1318" w:rsidRPr="00925F26" w:rsidRDefault="005A1318" w:rsidP="00925F26">
      <w:pPr>
        <w:jc w:val="both"/>
        <w:rPr>
          <w:color w:val="000000" w:themeColor="text1"/>
          <w:sz w:val="16"/>
          <w:szCs w:val="16"/>
        </w:rPr>
      </w:pPr>
      <w:r w:rsidRPr="00925F26">
        <w:rPr>
          <w:bCs/>
          <w:color w:val="000000" w:themeColor="text1"/>
          <w:sz w:val="16"/>
          <w:szCs w:val="16"/>
        </w:rPr>
        <w:t>4 января</w:t>
      </w:r>
      <w:r w:rsidRPr="00925F26">
        <w:rPr>
          <w:color w:val="000000" w:themeColor="text1"/>
          <w:sz w:val="16"/>
          <w:szCs w:val="16"/>
        </w:rPr>
        <w:t xml:space="preserve"> в 1945 году у мыса Миндоро камикадзе потопили авианосец «Оммани Бэй» (Ommaney Bay»), ещё 2 авианосца были повреждены (14999).</w:t>
      </w:r>
    </w:p>
    <w:p w14:paraId="1AFB72B8" w14:textId="77777777" w:rsidR="005A1318" w:rsidRPr="00925F26" w:rsidRDefault="005A1318" w:rsidP="00925F26">
      <w:pPr>
        <w:jc w:val="both"/>
        <w:rPr>
          <w:color w:val="000000" w:themeColor="text1"/>
          <w:sz w:val="16"/>
          <w:szCs w:val="16"/>
        </w:rPr>
      </w:pPr>
    </w:p>
    <w:p w14:paraId="4EFE0421" w14:textId="77777777" w:rsidR="005A1318" w:rsidRPr="00925F26" w:rsidRDefault="005A1318" w:rsidP="00925F26">
      <w:pPr>
        <w:jc w:val="both"/>
        <w:rPr>
          <w:color w:val="000000" w:themeColor="text1"/>
          <w:sz w:val="16"/>
          <w:szCs w:val="16"/>
        </w:rPr>
      </w:pPr>
      <w:r w:rsidRPr="00925F26">
        <w:rPr>
          <w:color w:val="000000" w:themeColor="text1"/>
          <w:sz w:val="16"/>
          <w:szCs w:val="16"/>
        </w:rPr>
        <w:t>4 января 1945 эскортный авианосец USS Ommaney Bay смертельно поврежден японским камикадзе в море Сулу и затопил позже в тот же день (20371).</w:t>
      </w:r>
    </w:p>
    <w:p w14:paraId="01F15868" w14:textId="77777777" w:rsidR="005A1318" w:rsidRPr="00925F26" w:rsidRDefault="005A1318" w:rsidP="00925F26">
      <w:pPr>
        <w:jc w:val="both"/>
        <w:rPr>
          <w:color w:val="000000" w:themeColor="text1"/>
          <w:sz w:val="16"/>
          <w:szCs w:val="16"/>
        </w:rPr>
      </w:pPr>
    </w:p>
    <w:p w14:paraId="22D94F45" w14:textId="6591B23E" w:rsidR="005A1318" w:rsidRPr="00925F26" w:rsidRDefault="005A1318" w:rsidP="00925F26">
      <w:pPr>
        <w:jc w:val="both"/>
        <w:rPr>
          <w:color w:val="000000" w:themeColor="text1"/>
          <w:sz w:val="16"/>
          <w:szCs w:val="16"/>
        </w:rPr>
      </w:pPr>
      <w:r w:rsidRPr="00925F26">
        <w:rPr>
          <w:color w:val="000000" w:themeColor="text1"/>
          <w:sz w:val="16"/>
          <w:szCs w:val="16"/>
        </w:rPr>
        <w:t>4 января 1945</w:t>
      </w:r>
      <w:r w:rsidR="00997EDF" w:rsidRPr="00925F26">
        <w:rPr>
          <w:color w:val="000000" w:themeColor="text1"/>
          <w:sz w:val="16"/>
          <w:szCs w:val="16"/>
        </w:rPr>
        <w:t xml:space="preserve">  </w:t>
      </w:r>
      <w:r w:rsidRPr="00925F26">
        <w:rPr>
          <w:color w:val="000000" w:themeColor="text1"/>
          <w:sz w:val="16"/>
          <w:szCs w:val="16"/>
        </w:rPr>
        <w:t>- У мыса Миндоро камикадзе потопили авианосец «Оммани Бэй», ещё 2 авианосца были повреждены (22680).</w:t>
      </w:r>
    </w:p>
    <w:p w14:paraId="05C2DA78" w14:textId="77777777" w:rsidR="005A1318" w:rsidRPr="00925F26" w:rsidRDefault="005A1318" w:rsidP="00925F26">
      <w:pPr>
        <w:jc w:val="both"/>
        <w:rPr>
          <w:color w:val="000000" w:themeColor="text1"/>
          <w:sz w:val="16"/>
          <w:szCs w:val="16"/>
        </w:rPr>
      </w:pPr>
    </w:p>
    <w:p w14:paraId="1F43F441" w14:textId="77777777" w:rsidR="005A1318" w:rsidRPr="00925F26" w:rsidRDefault="005A1318" w:rsidP="00925F26">
      <w:pPr>
        <w:jc w:val="both"/>
        <w:rPr>
          <w:color w:val="000000" w:themeColor="text1"/>
          <w:sz w:val="16"/>
          <w:szCs w:val="16"/>
        </w:rPr>
      </w:pPr>
      <w:r w:rsidRPr="00925F26">
        <w:rPr>
          <w:color w:val="000000" w:themeColor="text1"/>
          <w:sz w:val="16"/>
          <w:szCs w:val="16"/>
        </w:rPr>
        <w:t>4 января 1945 японцы совершают свою последнюю атаку камикадзе на силы вторжения США у Миндоро, в результате чего грузовое судно с боеприпасами взорвалось и погиб 71 торговый моряк на борту (20371).</w:t>
      </w:r>
    </w:p>
    <w:p w14:paraId="0CFE201B" w14:textId="77777777" w:rsidR="005A1318" w:rsidRPr="00925F26" w:rsidRDefault="005A1318" w:rsidP="00925F26">
      <w:pPr>
        <w:jc w:val="both"/>
        <w:rPr>
          <w:color w:val="000000" w:themeColor="text1"/>
          <w:sz w:val="16"/>
          <w:szCs w:val="16"/>
        </w:rPr>
      </w:pPr>
    </w:p>
    <w:p w14:paraId="0217F1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января 1945 прекратилось сопротивление немцев в Бельгии (2100).</w:t>
      </w:r>
    </w:p>
    <w:p w14:paraId="6B95FFDF" w14:textId="77777777" w:rsidR="00C2313B" w:rsidRPr="00925F26" w:rsidRDefault="00C2313B" w:rsidP="00925F26">
      <w:pPr>
        <w:autoSpaceDE w:val="0"/>
        <w:autoSpaceDN w:val="0"/>
        <w:adjustRightInd w:val="0"/>
        <w:jc w:val="both"/>
        <w:rPr>
          <w:color w:val="000000" w:themeColor="text1"/>
          <w:sz w:val="16"/>
          <w:szCs w:val="16"/>
        </w:rPr>
      </w:pPr>
    </w:p>
    <w:p w14:paraId="7485F1F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1A08D7C" w14:textId="77777777" w:rsidR="00C2313B" w:rsidRPr="00925F26" w:rsidRDefault="00C2313B" w:rsidP="00925F26">
      <w:pPr>
        <w:autoSpaceDE w:val="0"/>
        <w:autoSpaceDN w:val="0"/>
        <w:adjustRightInd w:val="0"/>
        <w:jc w:val="both"/>
        <w:rPr>
          <w:iCs/>
          <w:color w:val="000000" w:themeColor="text1"/>
          <w:sz w:val="16"/>
          <w:szCs w:val="16"/>
        </w:rPr>
      </w:pPr>
    </w:p>
    <w:p w14:paraId="1760B8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5 ян</w:t>
      </w:r>
      <w:r w:rsidRPr="00925F26">
        <w:rPr>
          <w:color w:val="000000" w:themeColor="text1"/>
          <w:sz w:val="16"/>
          <w:szCs w:val="16"/>
        </w:rPr>
        <w:softHyphen/>
        <w:t>варя 1945 г. закончили проектирование Ил-16, а 2 февраля вышел приказ НКАП о постройке на заводе № 30 в Москве трех опытных экземпляров. Пер-выи из них использовали для проведе</w:t>
      </w:r>
      <w:r w:rsidRPr="00925F26">
        <w:rPr>
          <w:color w:val="000000" w:themeColor="text1"/>
          <w:sz w:val="16"/>
          <w:szCs w:val="16"/>
        </w:rPr>
        <w:softHyphen/>
        <w:t>ния статических испытаний, а два других - для летных. Работы над Ил-16 как еще более эффективного бронированного штурмовика начались сразу же после принятия решения о запуске Ил-10 в серию. В первую очередь, планировали улуч</w:t>
      </w:r>
      <w:r w:rsidRPr="00925F26">
        <w:rPr>
          <w:color w:val="000000" w:themeColor="text1"/>
          <w:sz w:val="16"/>
          <w:szCs w:val="16"/>
        </w:rPr>
        <w:softHyphen/>
        <w:t>шить скоростные данные и маневрен</w:t>
      </w:r>
      <w:r w:rsidRPr="00925F26">
        <w:rPr>
          <w:color w:val="000000" w:themeColor="text1"/>
          <w:sz w:val="16"/>
          <w:szCs w:val="16"/>
        </w:rPr>
        <w:softHyphen/>
        <w:t>ность в вертикальной плоскости. Для этого требовалось снизить вес планера и поставить более мощный мотор АМ-43. Новый самолет по схеме и компоновке был подобен пред</w:t>
      </w:r>
      <w:r w:rsidRPr="00925F26">
        <w:rPr>
          <w:color w:val="000000" w:themeColor="text1"/>
          <w:sz w:val="16"/>
          <w:szCs w:val="16"/>
        </w:rPr>
        <w:softHyphen/>
        <w:t>шественнику, но меньше по размерам. Уменьшились размах и площадь крыла, а также длина фюзеляжа. Длина самоле</w:t>
      </w:r>
      <w:r w:rsidRPr="00925F26">
        <w:rPr>
          <w:color w:val="000000" w:themeColor="text1"/>
          <w:sz w:val="16"/>
          <w:szCs w:val="16"/>
        </w:rPr>
        <w:softHyphen/>
        <w:t>та составляла 10,19 м, размах крыла -12,5 м, площадь крыла - 24 м</w:t>
      </w:r>
      <w:r w:rsidRPr="00925F26">
        <w:rPr>
          <w:color w:val="000000" w:themeColor="text1"/>
          <w:sz w:val="16"/>
          <w:szCs w:val="16"/>
          <w:vertAlign w:val="superscript"/>
        </w:rPr>
        <w:t>2</w:t>
      </w:r>
      <w:r w:rsidRPr="00925F26">
        <w:rPr>
          <w:color w:val="000000" w:themeColor="text1"/>
          <w:sz w:val="16"/>
          <w:szCs w:val="16"/>
        </w:rPr>
        <w:t>. Стрело</w:t>
      </w:r>
      <w:r w:rsidRPr="00925F26">
        <w:rPr>
          <w:color w:val="000000" w:themeColor="text1"/>
          <w:sz w:val="16"/>
          <w:szCs w:val="16"/>
        </w:rPr>
        <w:softHyphen/>
        <w:t xml:space="preserve">видность крыла по передней кромке 65°. Предполагалось использовать </w:t>
      </w:r>
      <w:proofErr w:type="gramStart"/>
      <w:r w:rsidRPr="00925F26">
        <w:rPr>
          <w:color w:val="000000" w:themeColor="text1"/>
          <w:sz w:val="16"/>
          <w:szCs w:val="16"/>
        </w:rPr>
        <w:t>четырех-лопастный</w:t>
      </w:r>
      <w:proofErr w:type="gramEnd"/>
      <w:r w:rsidRPr="00925F26">
        <w:rPr>
          <w:color w:val="000000" w:themeColor="text1"/>
          <w:sz w:val="16"/>
          <w:szCs w:val="16"/>
        </w:rPr>
        <w:t xml:space="preserve"> винт диаметром 3,4 м. Экономия веса достигалась отчасти за счет изменения схемы бронирования. В верхней части капота площадь неза</w:t>
      </w:r>
      <w:r w:rsidRPr="00925F26">
        <w:rPr>
          <w:color w:val="000000" w:themeColor="text1"/>
          <w:sz w:val="16"/>
          <w:szCs w:val="16"/>
        </w:rPr>
        <w:softHyphen/>
        <w:t>бронированной части увеличили, а тол</w:t>
      </w:r>
      <w:r w:rsidRPr="00925F26">
        <w:rPr>
          <w:color w:val="000000" w:themeColor="text1"/>
          <w:sz w:val="16"/>
          <w:szCs w:val="16"/>
        </w:rPr>
        <w:softHyphen/>
        <w:t>щину боковых листов уменьшили. Ожидаемая скорость составляла 560 км/ч у земли, на высоте 3400 м - 625 км/ч, посадочная - 145 км/ч, дальность полета на высоте 500 м на скорости 375 км/ч -800 км, время подъема на высоту 5000 м -6,5 мин. Предполагалось вооружение из двух пушек НС-23 (боекомплект 280 снаря</w:t>
      </w:r>
      <w:r w:rsidRPr="00925F26">
        <w:rPr>
          <w:color w:val="000000" w:themeColor="text1"/>
          <w:sz w:val="16"/>
          <w:szCs w:val="16"/>
        </w:rPr>
        <w:softHyphen/>
        <w:t>дов), двух пулеметов ШКАС (1400 патро</w:t>
      </w:r>
      <w:r w:rsidRPr="00925F26">
        <w:rPr>
          <w:color w:val="000000" w:themeColor="text1"/>
          <w:sz w:val="16"/>
          <w:szCs w:val="16"/>
        </w:rPr>
        <w:softHyphen/>
        <w:t>нов), оборонительной пушки УБ-20 (150 снарядов), 10 авиационных гранат АГ-2; нормальная бомбовая нагрузка неболь</w:t>
      </w:r>
      <w:r w:rsidRPr="00925F26">
        <w:rPr>
          <w:color w:val="000000" w:themeColor="text1"/>
          <w:sz w:val="16"/>
          <w:szCs w:val="16"/>
        </w:rPr>
        <w:softHyphen/>
        <w:t xml:space="preserve">шая - 200 кг (в перегрузку 400 кг). Бомбы размещались в двух центропланных </w:t>
      </w:r>
      <w:proofErr w:type="gramStart"/>
      <w:r w:rsidRPr="00925F26">
        <w:rPr>
          <w:color w:val="000000" w:themeColor="text1"/>
          <w:sz w:val="16"/>
          <w:szCs w:val="16"/>
        </w:rPr>
        <w:t>бом-боотсеках</w:t>
      </w:r>
      <w:proofErr w:type="gramEnd"/>
      <w:r w:rsidRPr="00925F26">
        <w:rPr>
          <w:color w:val="000000" w:themeColor="text1"/>
          <w:sz w:val="16"/>
          <w:szCs w:val="16"/>
        </w:rPr>
        <w:t xml:space="preserve"> по типу Ил-10. Позднее вес бомбовой нагрузки увеличили до 400 кг в нормальном и 500 кг в перегрузочном ва</w:t>
      </w:r>
      <w:r w:rsidRPr="00925F26">
        <w:rPr>
          <w:color w:val="000000" w:themeColor="text1"/>
          <w:sz w:val="16"/>
          <w:szCs w:val="16"/>
        </w:rPr>
        <w:softHyphen/>
        <w:t>рианте (10681).</w:t>
      </w:r>
    </w:p>
    <w:p w14:paraId="7493A4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17C8D4"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 5 января 1945 г. проектирование Ил-16 закончили, а 6 февраля вышел при</w:t>
      </w:r>
      <w:r w:rsidRPr="00925F26">
        <w:rPr>
          <w:rFonts w:ascii="Times New Roman" w:hAnsi="Times New Roman" w:cs="Times New Roman"/>
          <w:color w:val="000000" w:themeColor="text1"/>
          <w:sz w:val="16"/>
          <w:szCs w:val="16"/>
        </w:rPr>
        <w:softHyphen/>
        <w:t>каз НКАП о постройке на заводе №30 в Москве трех опытных экземпляров. Вто</w:t>
      </w:r>
      <w:r w:rsidRPr="00925F26">
        <w:rPr>
          <w:rFonts w:ascii="Times New Roman" w:hAnsi="Times New Roman" w:cs="Times New Roman"/>
          <w:color w:val="000000" w:themeColor="text1"/>
          <w:sz w:val="16"/>
          <w:szCs w:val="16"/>
        </w:rPr>
        <w:softHyphen/>
        <w:t>рой экземпляр планировалось исполь</w:t>
      </w:r>
      <w:r w:rsidRPr="00925F26">
        <w:rPr>
          <w:rFonts w:ascii="Times New Roman" w:hAnsi="Times New Roman" w:cs="Times New Roman"/>
          <w:color w:val="000000" w:themeColor="text1"/>
          <w:sz w:val="16"/>
          <w:szCs w:val="16"/>
        </w:rPr>
        <w:softHyphen/>
        <w:t>зовать для проведения статических ис</w:t>
      </w:r>
      <w:r w:rsidRPr="00925F26">
        <w:rPr>
          <w:rFonts w:ascii="Times New Roman" w:hAnsi="Times New Roman" w:cs="Times New Roman"/>
          <w:color w:val="000000" w:themeColor="text1"/>
          <w:sz w:val="16"/>
          <w:szCs w:val="16"/>
        </w:rPr>
        <w:softHyphen/>
        <w:t>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w:t>
      </w:r>
      <w:r w:rsidRPr="00925F26">
        <w:rPr>
          <w:rFonts w:ascii="Times New Roman" w:hAnsi="Times New Roman" w:cs="Times New Roman"/>
          <w:color w:val="000000" w:themeColor="text1"/>
          <w:sz w:val="16"/>
          <w:szCs w:val="16"/>
        </w:rPr>
        <w:softHyphen/>
        <w:t>бы - 400 кг (500 кг в перегрузку). Мак</w:t>
      </w:r>
      <w:r w:rsidRPr="00925F26">
        <w:rPr>
          <w:rFonts w:ascii="Times New Roman" w:hAnsi="Times New Roman" w:cs="Times New Roman"/>
          <w:color w:val="000000" w:themeColor="text1"/>
          <w:sz w:val="16"/>
          <w:szCs w:val="16"/>
        </w:rPr>
        <w:softHyphen/>
        <w:t>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w:t>
      </w:r>
      <w:r w:rsidRPr="00925F26">
        <w:rPr>
          <w:rFonts w:ascii="Times New Roman" w:hAnsi="Times New Roman" w:cs="Times New Roman"/>
          <w:color w:val="000000" w:themeColor="text1"/>
          <w:sz w:val="16"/>
          <w:szCs w:val="16"/>
        </w:rPr>
        <w:softHyphen/>
        <w:t>навливался 15 июня 1945 г.</w:t>
      </w:r>
    </w:p>
    <w:p w14:paraId="2E806820"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 схеме и компоновке Ил-16 был подобен Ил-10, но меньше по разме</w:t>
      </w:r>
      <w:r w:rsidRPr="00925F26">
        <w:rPr>
          <w:rFonts w:ascii="Times New Roman" w:hAnsi="Times New Roman" w:cs="Times New Roman"/>
          <w:color w:val="000000" w:themeColor="text1"/>
          <w:sz w:val="16"/>
          <w:szCs w:val="16"/>
        </w:rPr>
        <w:softHyphen/>
        <w:t>рам. Уменьшились размах и площадь крыла, а также длина фюзеляжа. Длина самолета составляла 10,19 м, размах крыла - 12,5 м, площадь крыла - 24 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Использовался четырехлопастный винт серии Ф-1 диаметром 3,4 м.</w:t>
      </w:r>
    </w:p>
    <w:p w14:paraId="0F2757D0"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Некоторая экономия веса достига</w:t>
      </w:r>
      <w:r w:rsidRPr="00925F26">
        <w:rPr>
          <w:rFonts w:ascii="Times New Roman" w:hAnsi="Times New Roman" w:cs="Times New Roman"/>
          <w:color w:val="000000" w:themeColor="text1"/>
          <w:sz w:val="16"/>
          <w:szCs w:val="16"/>
        </w:rPr>
        <w:softHyphen/>
        <w:t>лась и за счет изменения схемы брони</w:t>
      </w:r>
      <w:r w:rsidRPr="00925F26">
        <w:rPr>
          <w:rFonts w:ascii="Times New Roman" w:hAnsi="Times New Roman" w:cs="Times New Roman"/>
          <w:color w:val="000000" w:themeColor="text1"/>
          <w:sz w:val="16"/>
          <w:szCs w:val="16"/>
        </w:rPr>
        <w:softHyphen/>
        <w:t>рования. В верхней части капота пло</w:t>
      </w:r>
      <w:r w:rsidRPr="00925F26">
        <w:rPr>
          <w:rFonts w:ascii="Times New Roman" w:hAnsi="Times New Roman" w:cs="Times New Roman"/>
          <w:color w:val="000000" w:themeColor="text1"/>
          <w:sz w:val="16"/>
          <w:szCs w:val="16"/>
        </w:rPr>
        <w:softHyphen/>
        <w:t>щадь незабронированной части увели</w:t>
      </w:r>
      <w:r w:rsidRPr="00925F26">
        <w:rPr>
          <w:rFonts w:ascii="Times New Roman" w:hAnsi="Times New Roman" w:cs="Times New Roman"/>
          <w:color w:val="000000" w:themeColor="text1"/>
          <w:sz w:val="16"/>
          <w:szCs w:val="16"/>
        </w:rPr>
        <w:softHyphen/>
        <w:t>чили, а толщину боковых листов умень</w:t>
      </w:r>
      <w:r w:rsidRPr="00925F26">
        <w:rPr>
          <w:rFonts w:ascii="Times New Roman" w:hAnsi="Times New Roman" w:cs="Times New Roman"/>
          <w:color w:val="000000" w:themeColor="text1"/>
          <w:sz w:val="16"/>
          <w:szCs w:val="16"/>
        </w:rPr>
        <w:softHyphen/>
        <w:t>шили (17469).</w:t>
      </w:r>
    </w:p>
    <w:p w14:paraId="73608546"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8E5CFE8"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 xml:space="preserve">К 5 января 1945 года закончили Проектирование Ил-16, а 6 февраля вышел приказ НКАП о постройке на заводе № 30 в Москве трех опытных экземпляров. Второй экземпляр планировалось использовать для проведения статических испытаний, а два других - для летных. При этом первый экземпляр предполагалось вооружить </w:t>
      </w:r>
      <w:r w:rsidRPr="00925F26">
        <w:rPr>
          <w:rStyle w:val="107"/>
          <w:rFonts w:eastAsiaTheme="minorHAnsi"/>
          <w:color w:val="000000" w:themeColor="text1"/>
          <w:sz w:val="16"/>
          <w:szCs w:val="16"/>
        </w:rPr>
        <w:lastRenderedPageBreak/>
        <w:t>пушками калибра 23 мм, а третий - пушками калибра 37 мм. Для стрельбы назад - пушка 20 мм. Бомбы - 400 кг (500 кг в перегрузку). Максимальная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устанавливался 15 июня 1945 года.</w:t>
      </w:r>
    </w:p>
    <w:p w14:paraId="0365CC54"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 xml:space="preserve">По схеме и компоновке Ил-16 был подобен Ил-10, но меньше по размерам. Уменьшили размах и площадь крыла, а также длину фюзеляжа. Профиль крыла: по борту фюзеляжа -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0018, по внутренней хорде элеронов -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230, на конце крыла -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4410. Использовался четырехлопастный винт серии Ф-1 диаметром 3,4 м.</w:t>
      </w:r>
    </w:p>
    <w:p w14:paraId="735C6C35"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Некоторая экономия веса достигалась и за счет изменения схемы бронирования. В верхней части капота площадь незабронированной части увеличили, а толщину боковых листов уменьшили (17490).</w:t>
      </w:r>
    </w:p>
    <w:p w14:paraId="3BB02836" w14:textId="77777777" w:rsidR="00AB5FFD" w:rsidRPr="00925F26" w:rsidRDefault="00AB5FFD" w:rsidP="00925F26">
      <w:pPr>
        <w:tabs>
          <w:tab w:val="left" w:pos="4217"/>
        </w:tabs>
        <w:jc w:val="both"/>
        <w:rPr>
          <w:rStyle w:val="107"/>
          <w:rFonts w:eastAsiaTheme="minorHAnsi"/>
          <w:color w:val="000000" w:themeColor="text1"/>
          <w:sz w:val="16"/>
          <w:szCs w:val="16"/>
        </w:rPr>
      </w:pPr>
    </w:p>
    <w:p w14:paraId="70037C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5 января 1945 г. в 1-й заб числились 45 Ил-10, в течение следую</w:t>
      </w:r>
      <w:r w:rsidRPr="00925F26">
        <w:rPr>
          <w:color w:val="000000" w:themeColor="text1"/>
          <w:sz w:val="16"/>
          <w:szCs w:val="16"/>
        </w:rPr>
        <w:softHyphen/>
        <w:t>щих двух недель поступило еще 65. В феврале пришли 83 машины, в марте -145, в апреле - 265 и в мае - 257 штур</w:t>
      </w:r>
      <w:r w:rsidRPr="00925F26">
        <w:rPr>
          <w:color w:val="000000" w:themeColor="text1"/>
          <w:sz w:val="16"/>
          <w:szCs w:val="16"/>
        </w:rPr>
        <w:softHyphen/>
        <w:t>мовиков. В общей сложности к 1 июля 1945 г. 1-я заб получила 1077 боевых Ил-10 и три учебно-тренировочных «де</w:t>
      </w:r>
      <w:r w:rsidRPr="00925F26">
        <w:rPr>
          <w:color w:val="000000" w:themeColor="text1"/>
          <w:sz w:val="16"/>
          <w:szCs w:val="16"/>
        </w:rPr>
        <w:softHyphen/>
        <w:t>сятки» (10681).</w:t>
      </w:r>
    </w:p>
    <w:p w14:paraId="50C48A43" w14:textId="77777777" w:rsidR="00C2313B" w:rsidRPr="00925F26" w:rsidRDefault="00C2313B" w:rsidP="00925F26">
      <w:pPr>
        <w:autoSpaceDE w:val="0"/>
        <w:autoSpaceDN w:val="0"/>
        <w:adjustRightInd w:val="0"/>
        <w:jc w:val="both"/>
        <w:rPr>
          <w:color w:val="000000" w:themeColor="text1"/>
          <w:sz w:val="16"/>
          <w:szCs w:val="16"/>
        </w:rPr>
      </w:pPr>
    </w:p>
    <w:p w14:paraId="1EF902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5 января 1945 г. за 1-й заб чис</w:t>
      </w:r>
      <w:r w:rsidRPr="00925F26">
        <w:rPr>
          <w:color w:val="000000" w:themeColor="text1"/>
          <w:sz w:val="16"/>
          <w:szCs w:val="16"/>
        </w:rPr>
        <w:softHyphen/>
        <w:t>лилось 45 Ил-10 АМ-42. В течение следующих двух недель в бригаду по</w:t>
      </w:r>
      <w:r w:rsidRPr="00925F26">
        <w:rPr>
          <w:color w:val="000000" w:themeColor="text1"/>
          <w:sz w:val="16"/>
          <w:szCs w:val="16"/>
        </w:rPr>
        <w:softHyphen/>
        <w:t>ступило еще 65 самолетов Ил-10. В феврале бригада получила 83 «Ила», в следующем месяце - 145 «десяток», в апреле - 265 и в мае - 257 самоле</w:t>
      </w:r>
      <w:r w:rsidRPr="00925F26">
        <w:rPr>
          <w:color w:val="000000" w:themeColor="text1"/>
          <w:sz w:val="16"/>
          <w:szCs w:val="16"/>
        </w:rPr>
        <w:softHyphen/>
        <w:t>тов Ил-10. В общей сложности к 1 июля 1945 г. 1-я заб получила 1077 самолетов Ил-10 и 3 учебно-трени</w:t>
      </w:r>
      <w:r w:rsidRPr="00925F26">
        <w:rPr>
          <w:color w:val="000000" w:themeColor="text1"/>
          <w:sz w:val="16"/>
          <w:szCs w:val="16"/>
        </w:rPr>
        <w:softHyphen/>
        <w:t>ровочные «десятки». Пока шло расследование и про</w:t>
      </w:r>
      <w:r w:rsidRPr="00925F26">
        <w:rPr>
          <w:color w:val="000000" w:themeColor="text1"/>
          <w:sz w:val="16"/>
          <w:szCs w:val="16"/>
        </w:rPr>
        <w:softHyphen/>
        <w:t>водились доработки самолета Ил-10, все полеты на штурмовике были за</w:t>
      </w:r>
      <w:r w:rsidRPr="00925F26">
        <w:rPr>
          <w:color w:val="000000" w:themeColor="text1"/>
          <w:sz w:val="16"/>
          <w:szCs w:val="16"/>
        </w:rPr>
        <w:softHyphen/>
        <w:t>прещены. Это нарушило планомер</w:t>
      </w:r>
      <w:r w:rsidRPr="00925F26">
        <w:rPr>
          <w:color w:val="000000" w:themeColor="text1"/>
          <w:sz w:val="16"/>
          <w:szCs w:val="16"/>
        </w:rPr>
        <w:softHyphen/>
        <w:t>ный ход подготовки инструкторско</w:t>
      </w:r>
      <w:r w:rsidRPr="00925F26">
        <w:rPr>
          <w:color w:val="000000" w:themeColor="text1"/>
          <w:sz w:val="16"/>
          <w:szCs w:val="16"/>
        </w:rPr>
        <w:softHyphen/>
        <w:t>го состава авиабригады к переучи</w:t>
      </w:r>
      <w:r w:rsidRPr="00925F26">
        <w:rPr>
          <w:color w:val="000000" w:themeColor="text1"/>
          <w:sz w:val="16"/>
          <w:szCs w:val="16"/>
        </w:rPr>
        <w:softHyphen/>
        <w:t>ванию маршевых полков. В полном соответствии с утвержденными пла</w:t>
      </w:r>
      <w:r w:rsidRPr="00925F26">
        <w:rPr>
          <w:color w:val="000000" w:themeColor="text1"/>
          <w:sz w:val="16"/>
          <w:szCs w:val="16"/>
        </w:rPr>
        <w:softHyphen/>
        <w:t>нами шла только «наземная» часть программы переучивания (11131).</w:t>
      </w:r>
    </w:p>
    <w:p w14:paraId="51E4EA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608823D"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На 5 января 1945 года за 1 заб числилось 45 Ил-10. В течение следующих двух недель в бригаду поступило еще 65 самолетов Ил-10. В феврале бригада приняла 83 «десятки», в следующем месяце - 145, в апреле - 265 и в мае - 257 Ил-10. В общей сложности к 1 июля 1945 года 1 заб получила 1077 самолетов Ил-10 и 3 учебно-тренировочных УИл-10.</w:t>
      </w:r>
    </w:p>
    <w:p w14:paraId="1F7940C5"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09B67A8B"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3887EA15" w14:textId="77777777" w:rsidR="00AB5FFD" w:rsidRPr="00925F26" w:rsidRDefault="00AB5FFD" w:rsidP="00925F26">
      <w:pPr>
        <w:jc w:val="both"/>
        <w:rPr>
          <w:color w:val="000000" w:themeColor="text1"/>
          <w:sz w:val="16"/>
          <w:szCs w:val="16"/>
        </w:rPr>
      </w:pPr>
      <w:r w:rsidRPr="00925F26">
        <w:rPr>
          <w:rStyle w:val="107"/>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512BFB53" w14:textId="77777777" w:rsidR="00AB5FFD" w:rsidRPr="00925F26" w:rsidRDefault="00AB5FFD" w:rsidP="00925F26">
      <w:pPr>
        <w:jc w:val="both"/>
        <w:rPr>
          <w:color w:val="000000" w:themeColor="text1"/>
          <w:sz w:val="16"/>
          <w:szCs w:val="16"/>
        </w:rPr>
      </w:pPr>
    </w:p>
    <w:p w14:paraId="1F5574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января 1945 в одном экз. был отпечатан Отчет N 11 по войсковым испытаниям на боевое применение самолетов Як-9 У с ВК-107А производства 82 завода. Испытывалось 42 самолета, из которых 6 - 2-й серии, 15 - 3-й серии, 21 - 4-й серии в 163 Истребительном авиационном Седлецком Краснознаменном полку 336 ИАД 3 ВА</w:t>
      </w:r>
    </w:p>
    <w:p w14:paraId="2C7161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Цель испытаний:</w:t>
      </w:r>
    </w:p>
    <w:p w14:paraId="14A552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Выявление ЛТ и боевых качеств самолета Як-9 У с ВК-107А в воздушных боях с истребителями и бомбардировщиками противника</w:t>
      </w:r>
    </w:p>
    <w:p w14:paraId="2553CD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Проверка эксплуатационных качеств и надежности работы самолета и ВМГ в массовой эксплуатации в боевых условиях на полевых аэродромах.</w:t>
      </w:r>
    </w:p>
    <w:p w14:paraId="1AFC02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Проверка надежности и безопасности работы вооружения и спецоборудования</w:t>
      </w:r>
    </w:p>
    <w:p w14:paraId="510320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На основе боевой эксплуатации самолета внести необходимые изменения и дополнения в инструкции по эксплуатации самолета (986,7).</w:t>
      </w:r>
    </w:p>
    <w:p w14:paraId="7FFAF08D" w14:textId="77777777" w:rsidR="00C2313B" w:rsidRPr="00925F26" w:rsidRDefault="00C2313B" w:rsidP="00925F26">
      <w:pPr>
        <w:autoSpaceDE w:val="0"/>
        <w:autoSpaceDN w:val="0"/>
        <w:adjustRightInd w:val="0"/>
        <w:jc w:val="both"/>
        <w:rPr>
          <w:color w:val="000000" w:themeColor="text1"/>
          <w:sz w:val="16"/>
          <w:szCs w:val="16"/>
        </w:rPr>
      </w:pPr>
    </w:p>
    <w:p w14:paraId="58EB55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5 по 12 января 1945 года на Як-ЗРД, в который переделали самолет №1820 саратовского авиазавода сделали десять огневых пусков РД-1 на земле продолжительностью до 3 минут 15 секунд.</w:t>
      </w:r>
    </w:p>
    <w:p w14:paraId="573ACD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05E52A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43994F92" w14:textId="77777777" w:rsidR="00C2313B" w:rsidRPr="00925F26" w:rsidRDefault="00C2313B" w:rsidP="00925F26">
      <w:pPr>
        <w:autoSpaceDE w:val="0"/>
        <w:autoSpaceDN w:val="0"/>
        <w:adjustRightInd w:val="0"/>
        <w:jc w:val="both"/>
        <w:rPr>
          <w:color w:val="000000" w:themeColor="text1"/>
          <w:sz w:val="16"/>
          <w:szCs w:val="16"/>
        </w:rPr>
      </w:pPr>
    </w:p>
    <w:p w14:paraId="6B8E61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января 1945 г. вышел приказ командующего 18-й ВА главного маршала авиации А.Е.Голованова:</w:t>
      </w:r>
    </w:p>
    <w:p w14:paraId="504B57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В целях улучшения обучения личного состава и руководства авиаполками Ер-2, приказываю:</w:t>
      </w:r>
    </w:p>
    <w:p w14:paraId="755E57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- 18 гв. бад перевооружить на Ер-2 в составе: 327, 329 и 332 бап на Ер-2 и 328 бап в качестве резервного, для чего:</w:t>
      </w:r>
    </w:p>
    <w:p w14:paraId="3F4498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327 бап исключить из состава 2 гвардейской бомбардировочной авиационной Севастопольской дивизии и ввести в состав 18 гв. бад. Аэродром базирования - Борисполь. Срок готовности к началу боевой работы - 15 апреля 1945 г.</w:t>
      </w:r>
    </w:p>
    <w:p w14:paraId="459081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329 бап 18 гв. бад передислоцировать в Умань. Срок готовности к началу боевой работы - 15 марта 1945 г.</w:t>
      </w:r>
    </w:p>
    <w:p w14:paraId="53D326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332 бап исключить из состава 13 гвардейской бомбардировочной авиационной Днепропетровской дивизии и ввести в состав 18 гв. бад. Срок готовности к началу боевой работы - 15 мая 1945 г.</w:t>
      </w:r>
    </w:p>
    <w:p w14:paraId="667B91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328 бап исключить из состава 7 гвардейской бомбардировочной авиационной Севастопольской дивизии и ввести в состав 18 гв. Бад как резервный. Аэродром базирования - Белая Церковь. Срок готовности к началу боевой работы - 1 июня 1945 г...</w:t>
      </w:r>
    </w:p>
    <w:p w14:paraId="2D9222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Управление 18гв. бад передислоцировать в Белую Церковь... " (3322,47).</w:t>
      </w:r>
    </w:p>
    <w:p w14:paraId="5A34F1A2" w14:textId="77777777" w:rsidR="00C2313B" w:rsidRPr="00925F26" w:rsidRDefault="00C2313B" w:rsidP="00925F26">
      <w:pPr>
        <w:autoSpaceDE w:val="0"/>
        <w:autoSpaceDN w:val="0"/>
        <w:adjustRightInd w:val="0"/>
        <w:jc w:val="both"/>
        <w:rPr>
          <w:color w:val="000000" w:themeColor="text1"/>
          <w:sz w:val="16"/>
          <w:szCs w:val="16"/>
        </w:rPr>
      </w:pPr>
    </w:p>
    <w:p w14:paraId="3C26A7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января 1945 года был подготовлен проект приказа:</w:t>
      </w:r>
    </w:p>
    <w:p w14:paraId="3204DA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Передать с 1 января 1944 года в систему НКМВ из НКАП бывш. 1-й московский весовой завод, ранее специализированный на выпуске литровых пурок (8957).</w:t>
      </w:r>
    </w:p>
    <w:p w14:paraId="7F4FC043" w14:textId="77777777" w:rsidR="00C2313B" w:rsidRPr="00925F26" w:rsidRDefault="00C2313B" w:rsidP="00925F26">
      <w:pPr>
        <w:autoSpaceDE w:val="0"/>
        <w:autoSpaceDN w:val="0"/>
        <w:adjustRightInd w:val="0"/>
        <w:jc w:val="both"/>
        <w:rPr>
          <w:color w:val="000000" w:themeColor="text1"/>
          <w:sz w:val="16"/>
          <w:szCs w:val="16"/>
        </w:rPr>
      </w:pPr>
    </w:p>
    <w:p w14:paraId="318FC8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мая 1945 года по приказу НКАП № 193с на заводе № 478 в Запорожье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74098B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2D477D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8 мая 1947 года – директор Шубин И.М.</w:t>
      </w:r>
    </w:p>
    <w:p w14:paraId="2AB76C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УССР, Запорожье, пл. им. Шевченко</w:t>
      </w:r>
    </w:p>
    <w:p w14:paraId="59D118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45B0E5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2E5F9ECF" w14:textId="77777777" w:rsidR="00C2313B" w:rsidRPr="00925F26" w:rsidRDefault="00C2313B" w:rsidP="00925F26">
      <w:pPr>
        <w:autoSpaceDE w:val="0"/>
        <w:autoSpaceDN w:val="0"/>
        <w:adjustRightInd w:val="0"/>
        <w:jc w:val="both"/>
        <w:rPr>
          <w:color w:val="000000" w:themeColor="text1"/>
          <w:sz w:val="16"/>
          <w:szCs w:val="16"/>
        </w:rPr>
      </w:pPr>
    </w:p>
    <w:p w14:paraId="255C34D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D647E3D" w14:textId="77777777" w:rsidR="00C2313B" w:rsidRPr="00925F26" w:rsidRDefault="00C2313B" w:rsidP="00925F26">
      <w:pPr>
        <w:autoSpaceDE w:val="0"/>
        <w:autoSpaceDN w:val="0"/>
        <w:adjustRightInd w:val="0"/>
        <w:jc w:val="both"/>
        <w:rPr>
          <w:iCs/>
          <w:color w:val="000000" w:themeColor="text1"/>
          <w:sz w:val="16"/>
          <w:szCs w:val="16"/>
        </w:rPr>
      </w:pPr>
    </w:p>
    <w:p w14:paraId="734BCB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января 1945 г. был подготовлен ПЛАН РАБОТ 8-го ОТДЕЛА ТАНКОВОГО УПРАВЛЕНИЯ ГБТУ КА НА ЯНВАРЬ 1945 г.</w:t>
      </w:r>
    </w:p>
    <w:tbl>
      <w:tblPr>
        <w:tblW w:w="0" w:type="auto"/>
        <w:tblInd w:w="40" w:type="dxa"/>
        <w:tblLayout w:type="fixed"/>
        <w:tblCellMar>
          <w:left w:w="40" w:type="dxa"/>
          <w:right w:w="40" w:type="dxa"/>
        </w:tblCellMar>
        <w:tblLook w:val="0000" w:firstRow="0" w:lastRow="0" w:firstColumn="0" w:lastColumn="0" w:noHBand="0" w:noVBand="0"/>
      </w:tblPr>
      <w:tblGrid>
        <w:gridCol w:w="1985"/>
        <w:gridCol w:w="3983"/>
        <w:gridCol w:w="2260"/>
        <w:gridCol w:w="1411"/>
      </w:tblGrid>
      <w:tr w:rsidR="000F5689" w:rsidRPr="00925F26" w14:paraId="1CA70F16" w14:textId="77777777">
        <w:trPr>
          <w:trHeight w:val="442"/>
        </w:trPr>
        <w:tc>
          <w:tcPr>
            <w:tcW w:w="1985" w:type="dxa"/>
            <w:tcBorders>
              <w:top w:val="single" w:sz="6" w:space="0" w:color="auto"/>
              <w:left w:val="single" w:sz="6" w:space="0" w:color="auto"/>
              <w:bottom w:val="single" w:sz="6" w:space="0" w:color="auto"/>
              <w:right w:val="single" w:sz="6" w:space="0" w:color="auto"/>
            </w:tcBorders>
          </w:tcPr>
          <w:p w14:paraId="3DC4B90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Содержание предложения</w:t>
            </w:r>
          </w:p>
          <w:p w14:paraId="3EF9FA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6FEC3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Содержание работ</w:t>
            </w:r>
          </w:p>
          <w:p w14:paraId="469DC4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2D9605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Срок исполнения</w:t>
            </w:r>
          </w:p>
          <w:p w14:paraId="6F6ABB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CA373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Ответственный исполните»</w:t>
            </w:r>
          </w:p>
          <w:p w14:paraId="55A100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A2BCCF7" w14:textId="77777777">
        <w:trPr>
          <w:trHeight w:val="538"/>
        </w:trPr>
        <w:tc>
          <w:tcPr>
            <w:tcW w:w="1985" w:type="dxa"/>
            <w:tcBorders>
              <w:top w:val="single" w:sz="6" w:space="0" w:color="auto"/>
              <w:left w:val="single" w:sz="6" w:space="0" w:color="auto"/>
              <w:bottom w:val="single" w:sz="6" w:space="0" w:color="auto"/>
              <w:right w:val="single" w:sz="6" w:space="0" w:color="auto"/>
            </w:tcBorders>
          </w:tcPr>
          <w:p w14:paraId="4FFA75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Предложение т. </w:t>
            </w:r>
            <w:proofErr w:type="gramStart"/>
            <w:r w:rsidRPr="00925F26">
              <w:rPr>
                <w:color w:val="000000" w:themeColor="text1"/>
                <w:sz w:val="16"/>
                <w:szCs w:val="16"/>
              </w:rPr>
              <w:t>Фарафо-нова</w:t>
            </w:r>
            <w:proofErr w:type="gramEnd"/>
            <w:r w:rsidRPr="00925F26">
              <w:rPr>
                <w:color w:val="000000" w:themeColor="text1"/>
                <w:sz w:val="16"/>
                <w:szCs w:val="16"/>
              </w:rPr>
              <w:t xml:space="preserve"> - "Ротационный ради</w:t>
            </w:r>
            <w:r w:rsidRPr="00925F26">
              <w:rPr>
                <w:color w:val="000000" w:themeColor="text1"/>
                <w:sz w:val="16"/>
                <w:szCs w:val="16"/>
              </w:rPr>
              <w:softHyphen/>
              <w:t>атор"</w:t>
            </w:r>
          </w:p>
          <w:p w14:paraId="566AD2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5B237F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Выезд на Коломенский завод с целью проверки состояния работ и согласования отдельных вопросов по техническому проекту ротационного радиатора.</w:t>
            </w:r>
          </w:p>
          <w:p w14:paraId="7BD62F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62D77C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15-20.01.1945 г. (выполнено)</w:t>
            </w:r>
          </w:p>
          <w:p w14:paraId="7FD333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47DBB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Фролов</w:t>
            </w:r>
          </w:p>
          <w:p w14:paraId="468011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159660F" w14:textId="77777777">
        <w:trPr>
          <w:trHeight w:val="365"/>
        </w:trPr>
        <w:tc>
          <w:tcPr>
            <w:tcW w:w="1985" w:type="dxa"/>
            <w:tcBorders>
              <w:top w:val="single" w:sz="6" w:space="0" w:color="auto"/>
              <w:left w:val="single" w:sz="6" w:space="0" w:color="auto"/>
              <w:bottom w:val="single" w:sz="6" w:space="0" w:color="auto"/>
              <w:right w:val="single" w:sz="6" w:space="0" w:color="auto"/>
            </w:tcBorders>
          </w:tcPr>
          <w:p w14:paraId="3D62F0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Предложение т. Размахом -"Автосцепка для танка Т-34"</w:t>
            </w:r>
          </w:p>
          <w:p w14:paraId="17AE77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B2AD3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Добиться переработки чертежей на НИБТ полигоне, б</w:t>
            </w:r>
            <w:proofErr w:type="gramStart"/>
            <w:r w:rsidRPr="00925F26">
              <w:rPr>
                <w:color w:val="000000" w:themeColor="text1"/>
                <w:sz w:val="16"/>
                <w:szCs w:val="16"/>
              </w:rPr>
              <w:t>)</w:t>
            </w:r>
            <w:proofErr w:type="gramEnd"/>
            <w:r w:rsidRPr="00925F26">
              <w:rPr>
                <w:color w:val="000000" w:themeColor="text1"/>
                <w:sz w:val="16"/>
                <w:szCs w:val="16"/>
              </w:rPr>
              <w:t xml:space="preserve"> Добиться решения в УБТРЗ на изготовление опытной партии.</w:t>
            </w:r>
          </w:p>
          <w:p w14:paraId="550DF2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132529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10.01.1945 г. (выполнено) 15.01.1945 г. (не выполнено)</w:t>
            </w:r>
          </w:p>
          <w:p w14:paraId="13C456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6E3A74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Донской Донской</w:t>
            </w:r>
          </w:p>
          <w:p w14:paraId="539A4B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4F9EEE1" w14:textId="77777777">
        <w:trPr>
          <w:trHeight w:val="374"/>
        </w:trPr>
        <w:tc>
          <w:tcPr>
            <w:tcW w:w="1985" w:type="dxa"/>
            <w:tcBorders>
              <w:top w:val="single" w:sz="6" w:space="0" w:color="auto"/>
              <w:left w:val="single" w:sz="6" w:space="0" w:color="auto"/>
              <w:bottom w:val="single" w:sz="6" w:space="0" w:color="auto"/>
              <w:right w:val="single" w:sz="6" w:space="0" w:color="auto"/>
            </w:tcBorders>
          </w:tcPr>
          <w:p w14:paraId="3DAD2E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Предложение т. Калашни</w:t>
            </w:r>
            <w:r w:rsidRPr="00925F26">
              <w:rPr>
                <w:color w:val="000000" w:themeColor="text1"/>
                <w:sz w:val="16"/>
                <w:szCs w:val="16"/>
              </w:rPr>
              <w:softHyphen/>
              <w:t>кова - "Моточасы"</w:t>
            </w:r>
          </w:p>
          <w:p w14:paraId="37E5A6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003AFB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Добиться в НКТП распоряжения на изготовление опытной партии моточасов.</w:t>
            </w:r>
          </w:p>
          <w:p w14:paraId="71C1D4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3F371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10.01.1945 г. (дело прекращено)</w:t>
            </w:r>
          </w:p>
          <w:p w14:paraId="1D5B9A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5E4834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Гончаров</w:t>
            </w:r>
          </w:p>
          <w:p w14:paraId="132386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1FC9288" w14:textId="77777777">
        <w:trPr>
          <w:trHeight w:val="365"/>
        </w:trPr>
        <w:tc>
          <w:tcPr>
            <w:tcW w:w="1985" w:type="dxa"/>
            <w:tcBorders>
              <w:top w:val="single" w:sz="6" w:space="0" w:color="auto"/>
              <w:left w:val="single" w:sz="6" w:space="0" w:color="auto"/>
              <w:bottom w:val="single" w:sz="6" w:space="0" w:color="auto"/>
              <w:right w:val="single" w:sz="6" w:space="0" w:color="auto"/>
            </w:tcBorders>
          </w:tcPr>
          <w:p w14:paraId="134E0D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Предложение т. Рудина -Турбофильтр"</w:t>
            </w:r>
          </w:p>
          <w:p w14:paraId="34713F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77AAAF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Добиться распоряжения в НКТП об изготовлении опытного образца на заводе №37.</w:t>
            </w:r>
          </w:p>
          <w:p w14:paraId="6A0CB2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041A06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15.01.1945 г. (решения еще нет)</w:t>
            </w:r>
          </w:p>
          <w:p w14:paraId="7588D7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1DB066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Донской</w:t>
            </w:r>
          </w:p>
          <w:p w14:paraId="134B7C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B08BA25" w14:textId="77777777">
        <w:trPr>
          <w:trHeight w:val="701"/>
        </w:trPr>
        <w:tc>
          <w:tcPr>
            <w:tcW w:w="1985" w:type="dxa"/>
            <w:tcBorders>
              <w:top w:val="single" w:sz="6" w:space="0" w:color="auto"/>
              <w:left w:val="single" w:sz="6" w:space="0" w:color="auto"/>
              <w:bottom w:val="single" w:sz="6" w:space="0" w:color="auto"/>
              <w:right w:val="single" w:sz="6" w:space="0" w:color="auto"/>
            </w:tcBorders>
          </w:tcPr>
          <w:p w14:paraId="618E56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Предложение т. Архипова -"Перевод карбюраторных двигателей на дизельное топливо".</w:t>
            </w:r>
          </w:p>
          <w:p w14:paraId="2C9E35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4C7964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за изготовлением опытного образца приспособлений наБТРЗ№2.</w:t>
            </w:r>
          </w:p>
          <w:p w14:paraId="68237C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47A5D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.02.1945 г. (дано задание НИБТ полигону, срок 30.02.1945 г.)</w:t>
            </w:r>
          </w:p>
          <w:p w14:paraId="556AF6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03841F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Гончаров</w:t>
            </w:r>
          </w:p>
          <w:p w14:paraId="7EAF02B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7DBFF9D" w14:textId="77777777">
        <w:trPr>
          <w:trHeight w:val="701"/>
        </w:trPr>
        <w:tc>
          <w:tcPr>
            <w:tcW w:w="1985" w:type="dxa"/>
            <w:tcBorders>
              <w:top w:val="single" w:sz="6" w:space="0" w:color="auto"/>
              <w:left w:val="single" w:sz="6" w:space="0" w:color="auto"/>
              <w:bottom w:val="single" w:sz="6" w:space="0" w:color="auto"/>
              <w:right w:val="single" w:sz="6" w:space="0" w:color="auto"/>
            </w:tcBorders>
          </w:tcPr>
          <w:p w14:paraId="38D9DA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Предложение т. Долина -"Механический привод к контроллеру поворота баш</w:t>
            </w:r>
            <w:r w:rsidRPr="00925F26">
              <w:rPr>
                <w:color w:val="000000" w:themeColor="text1"/>
                <w:sz w:val="16"/>
                <w:szCs w:val="16"/>
              </w:rPr>
              <w:softHyphen/>
              <w:t>ни Т-34-85".</w:t>
            </w:r>
          </w:p>
          <w:p w14:paraId="18AC07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ABAAD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отчета испытаний опытного образца на НИБТ полигоне принять решение о целесообразности установки этого привода на серийные танки Т-34-85.</w:t>
            </w:r>
          </w:p>
          <w:p w14:paraId="06B042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30578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6.01.1945 г. (выполнено, результаты неудовлетворительные)</w:t>
            </w:r>
          </w:p>
          <w:p w14:paraId="73E3723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77A173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Донской</w:t>
            </w:r>
          </w:p>
        </w:tc>
      </w:tr>
      <w:tr w:rsidR="000F5689" w:rsidRPr="00925F26" w14:paraId="12E88314" w14:textId="77777777">
        <w:trPr>
          <w:trHeight w:val="547"/>
        </w:trPr>
        <w:tc>
          <w:tcPr>
            <w:tcW w:w="1985" w:type="dxa"/>
            <w:tcBorders>
              <w:top w:val="single" w:sz="6" w:space="0" w:color="auto"/>
              <w:left w:val="single" w:sz="6" w:space="0" w:color="auto"/>
              <w:bottom w:val="single" w:sz="6" w:space="0" w:color="auto"/>
              <w:right w:val="single" w:sz="6" w:space="0" w:color="auto"/>
            </w:tcBorders>
          </w:tcPr>
          <w:p w14:paraId="1DE9CD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Предложение - Танковый сигнальный прибор".</w:t>
            </w:r>
          </w:p>
          <w:p w14:paraId="2D7C97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FDDAB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Добиться получения отчета по испытаниям с полигона и вынести решение о целесообразности применения этих приборов на танках.</w:t>
            </w:r>
          </w:p>
          <w:p w14:paraId="15FADB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53CDD2A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15.01.1945 г. (выполнено, результаты неудовлетворительные)</w:t>
            </w:r>
          </w:p>
          <w:p w14:paraId="1A184D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315A78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Фролов</w:t>
            </w:r>
          </w:p>
          <w:p w14:paraId="76E038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70B02A8" w14:textId="77777777">
        <w:trPr>
          <w:trHeight w:val="538"/>
        </w:trPr>
        <w:tc>
          <w:tcPr>
            <w:tcW w:w="1985" w:type="dxa"/>
            <w:tcBorders>
              <w:top w:val="single" w:sz="6" w:space="0" w:color="auto"/>
              <w:left w:val="single" w:sz="6" w:space="0" w:color="auto"/>
              <w:bottom w:val="single" w:sz="6" w:space="0" w:color="auto"/>
              <w:right w:val="single" w:sz="6" w:space="0" w:color="auto"/>
            </w:tcBorders>
          </w:tcPr>
          <w:p w14:paraId="7CF957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Приказ командующего БГ и МВ КА по изобретатель</w:t>
            </w:r>
            <w:r w:rsidRPr="00925F26">
              <w:rPr>
                <w:color w:val="000000" w:themeColor="text1"/>
                <w:sz w:val="16"/>
                <w:szCs w:val="16"/>
              </w:rPr>
              <w:softHyphen/>
              <w:t>ской работе.</w:t>
            </w:r>
          </w:p>
          <w:p w14:paraId="04B0F7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40550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Подготовить проект приказа по изобретательской работе в ВТ иМВКА.</w:t>
            </w:r>
          </w:p>
          <w:p w14:paraId="2AE5A2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46A4CC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10.01.1945 г. (не выполнено)</w:t>
            </w:r>
          </w:p>
          <w:p w14:paraId="3B566A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7D3239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Фролов</w:t>
            </w:r>
          </w:p>
          <w:p w14:paraId="0AC733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3811CC7" w14:textId="77777777">
        <w:trPr>
          <w:trHeight w:val="442"/>
        </w:trPr>
        <w:tc>
          <w:tcPr>
            <w:tcW w:w="1985" w:type="dxa"/>
            <w:tcBorders>
              <w:top w:val="single" w:sz="6" w:space="0" w:color="auto"/>
              <w:left w:val="single" w:sz="6" w:space="0" w:color="auto"/>
              <w:bottom w:val="single" w:sz="6" w:space="0" w:color="auto"/>
              <w:right w:val="single" w:sz="6" w:space="0" w:color="auto"/>
            </w:tcBorders>
          </w:tcPr>
          <w:p w14:paraId="1C71A8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Ожидающие предложения.</w:t>
            </w:r>
          </w:p>
          <w:p w14:paraId="4F5AC6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688630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Просмотреть все ожидающие предложения, принять меры по запросу материалов от авторов.</w:t>
            </w:r>
          </w:p>
          <w:p w14:paraId="7EFF66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26FB12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15.01.1945 г. 25.01. 1945 г. (выполнено)</w:t>
            </w:r>
          </w:p>
          <w:p w14:paraId="090E57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062CDB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Весь личный сост.</w:t>
            </w:r>
          </w:p>
          <w:p w14:paraId="01F01C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1CAB02A" w14:textId="77777777">
        <w:trPr>
          <w:trHeight w:val="528"/>
        </w:trPr>
        <w:tc>
          <w:tcPr>
            <w:tcW w:w="1985" w:type="dxa"/>
            <w:tcBorders>
              <w:top w:val="single" w:sz="6" w:space="0" w:color="auto"/>
              <w:left w:val="single" w:sz="6" w:space="0" w:color="auto"/>
              <w:bottom w:val="single" w:sz="6" w:space="0" w:color="auto"/>
              <w:right w:val="single" w:sz="6" w:space="0" w:color="auto"/>
            </w:tcBorders>
          </w:tcPr>
          <w:p w14:paraId="3B3A01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Предложения, находящие</w:t>
            </w:r>
            <w:r w:rsidRPr="00925F26">
              <w:rPr>
                <w:color w:val="000000" w:themeColor="text1"/>
                <w:sz w:val="16"/>
                <w:szCs w:val="16"/>
              </w:rPr>
              <w:softHyphen/>
              <w:t>ся на заключении.</w:t>
            </w:r>
          </w:p>
          <w:p w14:paraId="3B63B1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7A8ECD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Просмотреть все предложения, находящиеся на заключении в других организациях, и послать напоминания об ускорении рассмотрения предложений.</w:t>
            </w:r>
          </w:p>
          <w:p w14:paraId="535E316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5F9B5F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10.01.1945 г. 25.01.1945 г. (выполнено)</w:t>
            </w:r>
          </w:p>
          <w:p w14:paraId="66BC7A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7B8BF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Весь личный состав</w:t>
            </w:r>
          </w:p>
          <w:p w14:paraId="359BB7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227CDA9" w14:textId="77777777">
        <w:trPr>
          <w:trHeight w:val="374"/>
        </w:trPr>
        <w:tc>
          <w:tcPr>
            <w:tcW w:w="1985" w:type="dxa"/>
            <w:tcBorders>
              <w:top w:val="single" w:sz="6" w:space="0" w:color="auto"/>
              <w:left w:val="single" w:sz="6" w:space="0" w:color="auto"/>
              <w:bottom w:val="single" w:sz="6" w:space="0" w:color="auto"/>
              <w:right w:val="single" w:sz="6" w:space="0" w:color="auto"/>
            </w:tcBorders>
          </w:tcPr>
          <w:p w14:paraId="47D4FC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Вновь поступающие пред</w:t>
            </w:r>
            <w:r w:rsidRPr="00925F26">
              <w:rPr>
                <w:color w:val="000000" w:themeColor="text1"/>
                <w:sz w:val="16"/>
                <w:szCs w:val="16"/>
              </w:rPr>
              <w:softHyphen/>
              <w:t>ложения.</w:t>
            </w:r>
          </w:p>
          <w:p w14:paraId="50E57C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0EDE7C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Рассматривать предложения в сроки, не превышающие 5 дней.</w:t>
            </w:r>
          </w:p>
          <w:p w14:paraId="085A1A6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03B2CE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(выполнено)</w:t>
            </w:r>
          </w:p>
          <w:p w14:paraId="7DB0DC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51874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64863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32012DB" w14:textId="77777777">
        <w:trPr>
          <w:trHeight w:val="403"/>
        </w:trPr>
        <w:tc>
          <w:tcPr>
            <w:tcW w:w="1985" w:type="dxa"/>
            <w:tcBorders>
              <w:top w:val="single" w:sz="6" w:space="0" w:color="auto"/>
              <w:left w:val="single" w:sz="6" w:space="0" w:color="auto"/>
              <w:bottom w:val="single" w:sz="6" w:space="0" w:color="auto"/>
              <w:right w:val="single" w:sz="6" w:space="0" w:color="auto"/>
            </w:tcBorders>
          </w:tcPr>
          <w:p w14:paraId="7C09B1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Годовой отчет по изобре</w:t>
            </w:r>
            <w:r w:rsidRPr="00925F26">
              <w:rPr>
                <w:color w:val="000000" w:themeColor="text1"/>
                <w:sz w:val="16"/>
                <w:szCs w:val="16"/>
              </w:rPr>
              <w:softHyphen/>
              <w:t>тательской работе отдела.</w:t>
            </w:r>
          </w:p>
          <w:p w14:paraId="1AEA4A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292B49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Составить годовой отчет о работе отдела и представить на утверждение.</w:t>
            </w:r>
          </w:p>
          <w:p w14:paraId="7CB0A2F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1F6815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20.01 .1945 г. (выполнено частично)</w:t>
            </w:r>
          </w:p>
          <w:p w14:paraId="76FF46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A3395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Фролов</w:t>
            </w:r>
          </w:p>
          <w:p w14:paraId="67F813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70802D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8 отдела ТУ ГБТУ КА инженер-подполковник Фролов</w:t>
      </w:r>
    </w:p>
    <w:p w14:paraId="005129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11350. Д. 2170. Л. 10- 11. Подлинник (11420).</w:t>
      </w:r>
    </w:p>
    <w:p w14:paraId="44C347FD" w14:textId="77777777" w:rsidR="00C2313B" w:rsidRPr="00925F26" w:rsidRDefault="00C2313B" w:rsidP="00925F26">
      <w:pPr>
        <w:autoSpaceDE w:val="0"/>
        <w:autoSpaceDN w:val="0"/>
        <w:adjustRightInd w:val="0"/>
        <w:jc w:val="both"/>
        <w:rPr>
          <w:color w:val="000000" w:themeColor="text1"/>
          <w:sz w:val="16"/>
          <w:szCs w:val="16"/>
        </w:rPr>
      </w:pPr>
    </w:p>
    <w:p w14:paraId="12AD804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51F74C5" w14:textId="77777777" w:rsidR="00C2313B" w:rsidRPr="00925F26" w:rsidRDefault="00C2313B" w:rsidP="00925F26">
      <w:pPr>
        <w:autoSpaceDE w:val="0"/>
        <w:autoSpaceDN w:val="0"/>
        <w:adjustRightInd w:val="0"/>
        <w:jc w:val="both"/>
        <w:rPr>
          <w:iCs/>
          <w:color w:val="000000" w:themeColor="text1"/>
          <w:sz w:val="16"/>
          <w:szCs w:val="16"/>
        </w:rPr>
      </w:pPr>
    </w:p>
    <w:p w14:paraId="42CF73E5" w14:textId="77777777" w:rsidR="003E545E" w:rsidRPr="00925F26" w:rsidRDefault="003E545E" w:rsidP="00925F26">
      <w:pPr>
        <w:jc w:val="both"/>
        <w:rPr>
          <w:color w:val="000000" w:themeColor="text1"/>
          <w:sz w:val="16"/>
          <w:szCs w:val="16"/>
        </w:rPr>
      </w:pPr>
      <w:r w:rsidRPr="00925F26">
        <w:rPr>
          <w:bCs/>
          <w:color w:val="000000" w:themeColor="text1"/>
          <w:sz w:val="16"/>
          <w:szCs w:val="16"/>
        </w:rPr>
        <w:t>5 января</w:t>
      </w:r>
      <w:r w:rsidRPr="00925F26">
        <w:rPr>
          <w:color w:val="000000" w:themeColor="text1"/>
          <w:sz w:val="16"/>
          <w:szCs w:val="16"/>
        </w:rPr>
        <w:t xml:space="preserve"> в 1945 году оперативная сводка Совинформбюро:</w:t>
      </w:r>
    </w:p>
    <w:p w14:paraId="2B9DF93A" w14:textId="77777777" w:rsidR="003E545E" w:rsidRPr="00925F26" w:rsidRDefault="003E545E" w:rsidP="00925F26">
      <w:pPr>
        <w:jc w:val="both"/>
        <w:rPr>
          <w:color w:val="000000" w:themeColor="text1"/>
          <w:sz w:val="16"/>
          <w:szCs w:val="16"/>
        </w:rPr>
      </w:pPr>
      <w:r w:rsidRPr="00925F26">
        <w:rPr>
          <w:color w:val="000000" w:themeColor="text1"/>
          <w:sz w:val="16"/>
          <w:szCs w:val="16"/>
        </w:rPr>
        <w:t>«В течение 5 января в районе Будапешта наши войска вели бои по уничтожению окружённой в городе группировки противника и заняли 233 квартала. В ходе уличных боёв 4 января наши войска взяли в плен 2.400 немецких и венгерских солдат и офицеров.</w:t>
      </w:r>
    </w:p>
    <w:p w14:paraId="666EE229" w14:textId="77777777" w:rsidR="003E545E" w:rsidRPr="00925F26" w:rsidRDefault="003E545E" w:rsidP="00925F26">
      <w:pPr>
        <w:jc w:val="both"/>
        <w:rPr>
          <w:color w:val="000000" w:themeColor="text1"/>
          <w:sz w:val="16"/>
          <w:szCs w:val="16"/>
        </w:rPr>
      </w:pPr>
      <w:r w:rsidRPr="00925F26">
        <w:rPr>
          <w:color w:val="000000" w:themeColor="text1"/>
          <w:sz w:val="16"/>
          <w:szCs w:val="16"/>
        </w:rPr>
        <w:t>Северо-западнее Будапешта наши войска успешно отбили ряд сильных атак пехоты и танков противника, пытавшегося пробиться к Будапешту. В боях за 4 января в этом районе наши войска подбили и уничтожили 51 немецкий танк. В воздушных боях и огнём зенитной артиллерии в районе северо-западнее Будапешта сбито 29 самолётов противника.</w:t>
      </w:r>
    </w:p>
    <w:p w14:paraId="46E732A9" w14:textId="77777777" w:rsidR="003E545E" w:rsidRPr="00925F26" w:rsidRDefault="003E545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E8F4939"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продолжали вести бои по ликвидации окруженной группировки немецких войск. Советские части, преодолевая сопротивление противника, очищают от гитлеровцев один квартал за другим. По сообщениям пленных, немецкое командование в специальном приказе объявило, что если солдат самовольно оставит свои позиции или сдастся в плен, то вся его семья будет расстреляна.</w:t>
      </w:r>
    </w:p>
    <w:p w14:paraId="49F8E2A7" w14:textId="77777777" w:rsidR="003E545E" w:rsidRPr="00925F26" w:rsidRDefault="003E545E" w:rsidP="00925F26">
      <w:pPr>
        <w:jc w:val="both"/>
        <w:rPr>
          <w:color w:val="000000" w:themeColor="text1"/>
          <w:sz w:val="16"/>
          <w:szCs w:val="16"/>
        </w:rPr>
      </w:pPr>
      <w:r w:rsidRPr="00925F26">
        <w:rPr>
          <w:color w:val="000000" w:themeColor="text1"/>
          <w:sz w:val="16"/>
          <w:szCs w:val="16"/>
        </w:rPr>
        <w:t>Упорные бои сегодня происходили в районе ипподрома. Наши отряды ночью ворвались на ипподром, который немцы использовали как посадочную площадку для транспортных самолётов. Противник, пытаясь восстановить положение, предпринял несколько сильных контратак, но успеха не добился. На месте боя осталось более 300 вражеских трупов и 4 сгоревших немецких танка. На другом участке наши гвардейские подразделения атаковали гитлеровцев и выбили 'их из ряда кварталов. Гвардейцы захватали 8 орудий, 26 пулемётов, 5 миномётов, 11 противотанковых ружей, много боеприпасов и 260 пленных. Продвигаясь вперёд, взвод лейтенанта Садкова встретил сильное огневое сопротивление противника. Немцы установили в одном доме орудие и пулемёты и преградили путь нашим бойцам. Тов. Садков дворами пробрался к вражескому орудию и неожиданно напал на гитлеровцев с тыла. Огнём из автомата он уничтожил немецких артиллеристов. Бойцы взвода стремительно ворвались в дом и истребили несколько десятков гитлеровцев. В другом квартале офицер Митяев огнем из противотанкового ружья сжёг немецкий танк и тем самым расчистил путь советской пехоте.</w:t>
      </w:r>
    </w:p>
    <w:p w14:paraId="6C1BFD6D" w14:textId="77777777" w:rsidR="003E545E" w:rsidRPr="00925F26" w:rsidRDefault="003E545E" w:rsidP="00925F26">
      <w:pPr>
        <w:jc w:val="both"/>
        <w:rPr>
          <w:color w:val="000000" w:themeColor="text1"/>
          <w:sz w:val="16"/>
          <w:szCs w:val="16"/>
        </w:rPr>
      </w:pPr>
      <w:r w:rsidRPr="00925F26">
        <w:rPr>
          <w:color w:val="000000" w:themeColor="text1"/>
          <w:sz w:val="16"/>
          <w:szCs w:val="16"/>
        </w:rPr>
        <w:t>Северо-западнее Будапешта немцы силами танков и пехоты пытались пробиться на соединение со своими войсками, окруженными в венгерской столице. Противник группами в 25—30 танков неоднократно переходил в атаки. Не добившись успеха на одном участке, немцы атакуют в другом районе, пытаясь найти слабое звено в советской обороне. Всего в атаках участвовало до трёхсот танков противника. Наши пехотинцы, артиллеристы и танкисты успешно отбили вражеские атаки. Отдельные группы танков и пехоты противника, прорвавшиеся в расположение советских частей, окружены и уничтожены. По предварительным данным, за день истреблено более 3 тысяч гитлеровцев. Взято в плен 514 немецких солдат и офицеров. Среди пленных имеются солдаты танковой дивизии СС «Викинг» и танковой дивизии СС «Мёртвая голова», недавно переброшенных немцами на этот участок фронта.</w:t>
      </w:r>
    </w:p>
    <w:p w14:paraId="08D639DC" w14:textId="77777777" w:rsidR="003E545E" w:rsidRPr="00925F26" w:rsidRDefault="003E545E" w:rsidP="00925F26">
      <w:pPr>
        <w:jc w:val="both"/>
        <w:rPr>
          <w:color w:val="000000" w:themeColor="text1"/>
          <w:sz w:val="16"/>
          <w:szCs w:val="16"/>
        </w:rPr>
      </w:pPr>
      <w:r w:rsidRPr="00925F26">
        <w:rPr>
          <w:color w:val="000000" w:themeColor="text1"/>
          <w:sz w:val="16"/>
          <w:szCs w:val="16"/>
        </w:rPr>
        <w:t>Наша авиация, поддерживая действия наземных войск, бомбово-штурмовыми ударами уничтожала живую силу и технику противника. Разбито несколько танков и 120 автомашин с пехотой и грузами, подавлен огонь десяти артиллерийских и миномётных батарей, а также создано много очагов пожаров в расположении войск противника.</w:t>
      </w:r>
    </w:p>
    <w:p w14:paraId="1D7658C2" w14:textId="77777777" w:rsidR="003E545E" w:rsidRPr="00925F26" w:rsidRDefault="003E545E" w:rsidP="00925F26">
      <w:pPr>
        <w:jc w:val="both"/>
        <w:rPr>
          <w:color w:val="000000" w:themeColor="text1"/>
          <w:sz w:val="16"/>
          <w:szCs w:val="16"/>
        </w:rPr>
      </w:pPr>
      <w:r w:rsidRPr="00925F26">
        <w:rPr>
          <w:color w:val="000000" w:themeColor="text1"/>
          <w:sz w:val="16"/>
          <w:szCs w:val="16"/>
        </w:rPr>
        <w:t>Юго-западнее города Иелгава (Митава) действовали наши разведывательные группы. Советские бойцы ночью пробрались в расположение противника, перебили несколько десятков гитлеровцев и захватили 9 пленных. На другом участке рота немецкой пехоты пыталась приблизиться к советским позициям, но была рассеяна ружейно-пулеметным огнём боевого охранения. На подступах к нашему переднему краю осталось 26 вражеских трупов.</w:t>
      </w:r>
    </w:p>
    <w:p w14:paraId="6037C7EB" w14:textId="77777777" w:rsidR="003E545E" w:rsidRPr="00925F26" w:rsidRDefault="003E545E" w:rsidP="00925F26">
      <w:pPr>
        <w:jc w:val="both"/>
        <w:rPr>
          <w:color w:val="000000" w:themeColor="text1"/>
          <w:sz w:val="16"/>
          <w:szCs w:val="16"/>
        </w:rPr>
      </w:pPr>
      <w:r w:rsidRPr="00925F26">
        <w:rPr>
          <w:color w:val="000000" w:themeColor="text1"/>
          <w:sz w:val="16"/>
          <w:szCs w:val="16"/>
        </w:rPr>
        <w:t>Перешедший на сторону Красной Армии солдат немецкой бригады «Дирлевангер» Билли Фегнер рассказал: «Летом я был в концлагере в Саксенгаузене, где отбывал наказание. В то время в лагере находились десятки тысяч заключённых. Среди них было 6 тысяч немцев, остальные — русские, французы, англичане, поляки, чехи, югославы и другие. Ежедневно эсэсовцы истребляли сотни заключенных, но лагерь всегда был переполнен, так как непрерывно прибывали новые партии».</w:t>
      </w:r>
    </w:p>
    <w:p w14:paraId="56FD5A1C" w14:textId="77777777" w:rsidR="003E545E" w:rsidRPr="00925F26" w:rsidRDefault="003E545E" w:rsidP="00925F26">
      <w:pPr>
        <w:jc w:val="both"/>
        <w:rPr>
          <w:color w:val="000000" w:themeColor="text1"/>
          <w:sz w:val="16"/>
          <w:szCs w:val="16"/>
        </w:rPr>
      </w:pPr>
      <w:r w:rsidRPr="00925F26">
        <w:rPr>
          <w:color w:val="000000" w:themeColor="text1"/>
          <w:sz w:val="16"/>
          <w:szCs w:val="16"/>
        </w:rPr>
        <w:t>Перебежчик солдат 4-й дивизии СС «Полицай» француз Шарль Руже, отбывавший наказание в лагере Дахау, сообщил: «Я просидел в Дахау более года. К 15 июня 1944 г. в лагере было более 40 тысяч заключенных. Среди них можно было встретить представителей всех национальностей Европы. В сосновом парке находился крематорий, где сжигались трупы расстрелянных и повешенных заключённых. В конце июля в лагере началось строительство второго крематория». В заключение перебежчик заявил: «Кто побывал в немецких лагерях, тот об этом будет помнить всю жизнь. Германия является теперь тюрьмой для всех свободных народов. Я хочу мстить немецким тюремщикам за все их преступления, которые они причинили народам Европы и моей родине» (15000).</w:t>
      </w:r>
    </w:p>
    <w:p w14:paraId="5076D8E9" w14:textId="77777777" w:rsidR="003E545E" w:rsidRPr="00925F26" w:rsidRDefault="003E545E" w:rsidP="00925F26">
      <w:pPr>
        <w:jc w:val="both"/>
        <w:rPr>
          <w:color w:val="000000" w:themeColor="text1"/>
          <w:sz w:val="16"/>
          <w:szCs w:val="16"/>
        </w:rPr>
      </w:pPr>
    </w:p>
    <w:p w14:paraId="7A6C3C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5 января 1945 г. в 1-ю запасную авиабригаду п-ка А. И. Подольского для перевооружения маршевых полков поступило 45 новеньких Ил-10 АМ-42 (7489) (7489).</w:t>
      </w:r>
    </w:p>
    <w:p w14:paraId="255372FB" w14:textId="77777777" w:rsidR="00C2313B" w:rsidRPr="00925F26" w:rsidRDefault="00C2313B" w:rsidP="00925F26">
      <w:pPr>
        <w:autoSpaceDE w:val="0"/>
        <w:autoSpaceDN w:val="0"/>
        <w:adjustRightInd w:val="0"/>
        <w:jc w:val="both"/>
        <w:rPr>
          <w:color w:val="000000" w:themeColor="text1"/>
          <w:sz w:val="16"/>
          <w:szCs w:val="16"/>
        </w:rPr>
      </w:pPr>
    </w:p>
    <w:p w14:paraId="0D6EC275" w14:textId="5B8E5D76" w:rsidR="004A429A" w:rsidRPr="00925F26" w:rsidRDefault="004A429A" w:rsidP="00925F26">
      <w:pPr>
        <w:jc w:val="both"/>
        <w:rPr>
          <w:color w:val="000000" w:themeColor="text1"/>
          <w:sz w:val="16"/>
          <w:szCs w:val="16"/>
        </w:rPr>
      </w:pPr>
      <w:r w:rsidRPr="00925F26">
        <w:rPr>
          <w:color w:val="000000" w:themeColor="text1"/>
          <w:sz w:val="16"/>
          <w:szCs w:val="16"/>
        </w:rPr>
        <w:t>К 5 января 1945 в состав 1-го Гвардейского танкового корпуса вошли 1453-й САП, 1821-й САП и 382-й ГвСАП, имевшие на вооружении новые САУ. Впервые новые машины по-настоящему показали себя 11 января, когда, по данным командования корпуса,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w:t>
      </w:r>
      <w:r w:rsidR="00997EDF" w:rsidRPr="00925F26">
        <w:rPr>
          <w:color w:val="000000" w:themeColor="text1"/>
          <w:sz w:val="16"/>
          <w:szCs w:val="16"/>
        </w:rPr>
        <w:t xml:space="preserve">  </w:t>
      </w:r>
      <w:hyperlink r:id="rId6" w:history="1">
        <w:r w:rsidRPr="00925F26">
          <w:rPr>
            <w:rStyle w:val="a5"/>
            <w:color w:val="000000" w:themeColor="text1"/>
            <w:sz w:val="16"/>
            <w:szCs w:val="16"/>
          </w:rPr>
          <w:t>на подступах к Будапешту</w:t>
        </w:r>
      </w:hyperlink>
      <w:r w:rsidRPr="00925F26">
        <w:rPr>
          <w:color w:val="000000" w:themeColor="text1"/>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6D26A99D" w14:textId="77777777" w:rsidR="004A429A" w:rsidRPr="00925F26" w:rsidRDefault="004A429A" w:rsidP="00925F26">
      <w:pPr>
        <w:jc w:val="both"/>
        <w:rPr>
          <w:color w:val="000000" w:themeColor="text1"/>
          <w:sz w:val="16"/>
          <w:szCs w:val="16"/>
        </w:rPr>
      </w:pPr>
      <w:r w:rsidRPr="00925F26">
        <w:rPr>
          <w:color w:val="000000" w:themeColor="text1"/>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7F45E531" w14:textId="6026E42C" w:rsidR="004A429A" w:rsidRPr="00925F26" w:rsidRDefault="004A429A" w:rsidP="00925F26">
      <w:pPr>
        <w:jc w:val="both"/>
        <w:rPr>
          <w:color w:val="000000" w:themeColor="text1"/>
          <w:sz w:val="16"/>
          <w:szCs w:val="16"/>
        </w:rPr>
      </w:pPr>
      <w:r w:rsidRPr="00925F26">
        <w:rPr>
          <w:color w:val="000000" w:themeColor="text1"/>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w:t>
      </w:r>
      <w:r w:rsidR="00997EDF" w:rsidRPr="00925F26">
        <w:rPr>
          <w:color w:val="000000" w:themeColor="text1"/>
          <w:sz w:val="16"/>
          <w:szCs w:val="16"/>
        </w:rPr>
        <w:t xml:space="preserve">  </w:t>
      </w:r>
      <w:hyperlink r:id="rId7" w:history="1">
        <w:r w:rsidRPr="00925F26">
          <w:rPr>
            <w:rStyle w:val="a5"/>
            <w:color w:val="000000" w:themeColor="text1"/>
            <w:sz w:val="16"/>
            <w:szCs w:val="16"/>
          </w:rPr>
          <w:t>в районе озера Балатон</w:t>
        </w:r>
      </w:hyperlink>
      <w:r w:rsidRPr="00925F26">
        <w:rPr>
          <w:color w:val="000000" w:themeColor="text1"/>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37767E10" w14:textId="77777777" w:rsidR="004A429A" w:rsidRPr="00925F26" w:rsidRDefault="004A429A" w:rsidP="00925F26">
      <w:pPr>
        <w:jc w:val="both"/>
        <w:rPr>
          <w:color w:val="000000" w:themeColor="text1"/>
          <w:sz w:val="16"/>
          <w:szCs w:val="16"/>
        </w:rPr>
      </w:pPr>
      <w:r w:rsidRPr="00925F26">
        <w:rPr>
          <w:color w:val="000000" w:themeColor="text1"/>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57CF0FFE" w14:textId="77777777" w:rsidR="004A429A" w:rsidRPr="00925F26" w:rsidRDefault="004A429A" w:rsidP="00925F26">
      <w:pPr>
        <w:jc w:val="both"/>
        <w:rPr>
          <w:color w:val="000000" w:themeColor="text1"/>
          <w:sz w:val="16"/>
          <w:szCs w:val="16"/>
        </w:rPr>
      </w:pPr>
      <w:r w:rsidRPr="00925F26">
        <w:rPr>
          <w:color w:val="000000" w:themeColor="text1"/>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3DA5577E" w14:textId="77777777" w:rsidR="004A429A" w:rsidRPr="00925F26" w:rsidRDefault="004A429A" w:rsidP="00925F26">
      <w:pPr>
        <w:jc w:val="both"/>
        <w:rPr>
          <w:color w:val="000000" w:themeColor="text1"/>
          <w:sz w:val="16"/>
          <w:szCs w:val="16"/>
        </w:rPr>
      </w:pPr>
    </w:p>
    <w:p w14:paraId="0B1A5CE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D6B0BD9" w14:textId="77777777" w:rsidR="00C2313B" w:rsidRPr="00925F26" w:rsidRDefault="00C2313B" w:rsidP="00925F26">
      <w:pPr>
        <w:autoSpaceDE w:val="0"/>
        <w:autoSpaceDN w:val="0"/>
        <w:adjustRightInd w:val="0"/>
        <w:jc w:val="both"/>
        <w:rPr>
          <w:iCs/>
          <w:color w:val="000000" w:themeColor="text1"/>
          <w:sz w:val="16"/>
          <w:szCs w:val="16"/>
        </w:rPr>
      </w:pPr>
    </w:p>
    <w:p w14:paraId="5EB235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января 1945 Признание Советским правительством Временного правительства Польской республики (7451).</w:t>
      </w:r>
    </w:p>
    <w:p w14:paraId="75CCE5B2" w14:textId="77777777" w:rsidR="00C2313B" w:rsidRPr="00925F26" w:rsidRDefault="00C2313B" w:rsidP="00925F26">
      <w:pPr>
        <w:autoSpaceDE w:val="0"/>
        <w:autoSpaceDN w:val="0"/>
        <w:adjustRightInd w:val="0"/>
        <w:jc w:val="both"/>
        <w:rPr>
          <w:color w:val="000000" w:themeColor="text1"/>
          <w:sz w:val="16"/>
          <w:szCs w:val="16"/>
        </w:rPr>
      </w:pPr>
    </w:p>
    <w:p w14:paraId="5094DADE" w14:textId="77777777" w:rsidR="003E545E" w:rsidRPr="00925F26" w:rsidRDefault="003E545E" w:rsidP="00925F26">
      <w:pPr>
        <w:jc w:val="both"/>
        <w:rPr>
          <w:color w:val="000000" w:themeColor="text1"/>
          <w:sz w:val="16"/>
          <w:szCs w:val="16"/>
        </w:rPr>
      </w:pPr>
      <w:r w:rsidRPr="00925F26">
        <w:rPr>
          <w:bCs/>
          <w:color w:val="000000" w:themeColor="text1"/>
          <w:sz w:val="16"/>
          <w:szCs w:val="16"/>
        </w:rPr>
        <w:t>5 января</w:t>
      </w:r>
      <w:r w:rsidRPr="00925F26">
        <w:rPr>
          <w:color w:val="000000" w:themeColor="text1"/>
          <w:sz w:val="16"/>
          <w:szCs w:val="16"/>
        </w:rPr>
        <w:t xml:space="preserve"> в 1945 году установлены дипломатические отношения между СССР и Польской Республикой. В декабре 1991 г. Российская Федерация признана правопреемницей СССР</w:t>
      </w:r>
    </w:p>
    <w:p w14:paraId="799D6491" w14:textId="77777777" w:rsidR="003E545E" w:rsidRPr="00925F26" w:rsidRDefault="003E545E" w:rsidP="00925F26">
      <w:pPr>
        <w:jc w:val="both"/>
        <w:rPr>
          <w:color w:val="000000" w:themeColor="text1"/>
          <w:sz w:val="16"/>
          <w:szCs w:val="16"/>
        </w:rPr>
      </w:pPr>
    </w:p>
    <w:p w14:paraId="2627FA6D" w14:textId="77777777" w:rsidR="003E545E" w:rsidRPr="00925F26" w:rsidRDefault="003E545E" w:rsidP="00925F26">
      <w:pPr>
        <w:jc w:val="both"/>
        <w:rPr>
          <w:color w:val="000000" w:themeColor="text1"/>
          <w:sz w:val="16"/>
          <w:szCs w:val="16"/>
        </w:rPr>
      </w:pPr>
      <w:r w:rsidRPr="00925F26">
        <w:rPr>
          <w:bCs/>
          <w:color w:val="000000" w:themeColor="text1"/>
          <w:sz w:val="16"/>
          <w:szCs w:val="16"/>
        </w:rPr>
        <w:t>5 января</w:t>
      </w:r>
      <w:r w:rsidRPr="00925F26">
        <w:rPr>
          <w:color w:val="000000" w:themeColor="text1"/>
          <w:sz w:val="16"/>
          <w:szCs w:val="16"/>
        </w:rPr>
        <w:t xml:space="preserve"> в 1945 году Люблинский комитет, провозгласивший себя временным правительством Польши, признается СССР, после чего польское правительство в изгнании, в Лондоне, утрачивает свои полномочия (15000).</w:t>
      </w:r>
    </w:p>
    <w:p w14:paraId="66BEE2DD" w14:textId="77777777" w:rsidR="003E545E" w:rsidRPr="00925F26" w:rsidRDefault="003E545E" w:rsidP="00925F26">
      <w:pPr>
        <w:jc w:val="both"/>
        <w:rPr>
          <w:color w:val="000000" w:themeColor="text1"/>
          <w:sz w:val="16"/>
          <w:szCs w:val="16"/>
        </w:rPr>
      </w:pPr>
    </w:p>
    <w:p w14:paraId="44122C2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8339A6D" w14:textId="77777777" w:rsidR="00C2313B" w:rsidRPr="00925F26" w:rsidRDefault="00C2313B" w:rsidP="00925F26">
      <w:pPr>
        <w:autoSpaceDE w:val="0"/>
        <w:autoSpaceDN w:val="0"/>
        <w:adjustRightInd w:val="0"/>
        <w:jc w:val="both"/>
        <w:rPr>
          <w:iCs/>
          <w:color w:val="000000" w:themeColor="text1"/>
          <w:sz w:val="16"/>
          <w:szCs w:val="16"/>
        </w:rPr>
      </w:pPr>
    </w:p>
    <w:p w14:paraId="3EB7F00F" w14:textId="77777777" w:rsidR="003E545E" w:rsidRPr="00925F26" w:rsidRDefault="003E545E" w:rsidP="00925F26">
      <w:pPr>
        <w:pStyle w:val="book"/>
        <w:ind w:firstLine="0"/>
        <w:jc w:val="both"/>
        <w:rPr>
          <w:color w:val="000000" w:themeColor="text1"/>
          <w:sz w:val="16"/>
          <w:szCs w:val="16"/>
        </w:rPr>
      </w:pPr>
      <w:r w:rsidRPr="00925F26">
        <w:rPr>
          <w:color w:val="000000" w:themeColor="text1"/>
          <w:sz w:val="16"/>
          <w:szCs w:val="16"/>
        </w:rPr>
        <w:t>До 5 января 1945 г. было произведено 82 пуска ракеты«Рейнтохтер R-1P», из которых только 4 оказались неудачными (15225).</w:t>
      </w:r>
    </w:p>
    <w:p w14:paraId="31814C96" w14:textId="77777777" w:rsidR="003E545E" w:rsidRPr="00925F26" w:rsidRDefault="003E545E" w:rsidP="00925F26">
      <w:pPr>
        <w:pStyle w:val="book"/>
        <w:ind w:firstLine="0"/>
        <w:jc w:val="both"/>
        <w:rPr>
          <w:color w:val="000000" w:themeColor="text1"/>
          <w:sz w:val="16"/>
          <w:szCs w:val="16"/>
        </w:rPr>
      </w:pPr>
    </w:p>
    <w:p w14:paraId="4863E7D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января 1945 в ходе контрнаступления против союзников немецкие войска форсировали реку Рейн, войдя в Эльзас (4962).</w:t>
      </w:r>
    </w:p>
    <w:p w14:paraId="3BC2ED2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01142F8" w14:textId="77777777" w:rsidR="003E545E" w:rsidRPr="00925F26" w:rsidRDefault="003E545E" w:rsidP="00925F26">
      <w:pPr>
        <w:jc w:val="both"/>
        <w:rPr>
          <w:color w:val="000000" w:themeColor="text1"/>
          <w:sz w:val="16"/>
          <w:szCs w:val="16"/>
        </w:rPr>
      </w:pPr>
      <w:r w:rsidRPr="00925F26">
        <w:rPr>
          <w:bCs/>
          <w:color w:val="000000" w:themeColor="text1"/>
          <w:sz w:val="16"/>
          <w:szCs w:val="16"/>
        </w:rPr>
        <w:t>5 января</w:t>
      </w:r>
      <w:r w:rsidRPr="00925F26">
        <w:rPr>
          <w:color w:val="000000" w:themeColor="text1"/>
          <w:sz w:val="16"/>
          <w:szCs w:val="16"/>
        </w:rPr>
        <w:t xml:space="preserve"> в 1945 году в ходе контрнаступления против союзников немецкие войска форсируют реку Рейн, входя в Эльзас (15000).</w:t>
      </w:r>
    </w:p>
    <w:p w14:paraId="7142EE58" w14:textId="77777777" w:rsidR="003E545E" w:rsidRPr="00925F26" w:rsidRDefault="003E545E" w:rsidP="00925F26">
      <w:pPr>
        <w:jc w:val="both"/>
        <w:rPr>
          <w:color w:val="000000" w:themeColor="text1"/>
          <w:sz w:val="16"/>
          <w:szCs w:val="16"/>
        </w:rPr>
      </w:pPr>
    </w:p>
    <w:p w14:paraId="2FBEA6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января 1945 Тирана. Сформировано правительство Народного фронта во главе с Э.Ходжой (7594).</w:t>
      </w:r>
    </w:p>
    <w:p w14:paraId="4002576B" w14:textId="77777777" w:rsidR="00C2313B" w:rsidRPr="00925F26" w:rsidRDefault="00C2313B" w:rsidP="00925F26">
      <w:pPr>
        <w:autoSpaceDE w:val="0"/>
        <w:autoSpaceDN w:val="0"/>
        <w:adjustRightInd w:val="0"/>
        <w:jc w:val="both"/>
        <w:rPr>
          <w:color w:val="000000" w:themeColor="text1"/>
          <w:sz w:val="16"/>
          <w:szCs w:val="16"/>
        </w:rPr>
      </w:pPr>
    </w:p>
    <w:p w14:paraId="34E07ED6" w14:textId="77777777" w:rsidR="003E545E" w:rsidRPr="00925F26" w:rsidRDefault="003E545E" w:rsidP="00925F26">
      <w:pPr>
        <w:jc w:val="both"/>
        <w:rPr>
          <w:color w:val="000000" w:themeColor="text1"/>
          <w:sz w:val="16"/>
          <w:szCs w:val="16"/>
        </w:rPr>
      </w:pPr>
      <w:r w:rsidRPr="00925F26">
        <w:rPr>
          <w:bCs/>
          <w:color w:val="000000" w:themeColor="text1"/>
          <w:sz w:val="16"/>
          <w:szCs w:val="16"/>
        </w:rPr>
        <w:t>5 января</w:t>
      </w:r>
      <w:r w:rsidRPr="00925F26">
        <w:rPr>
          <w:color w:val="000000" w:themeColor="text1"/>
          <w:sz w:val="16"/>
          <w:szCs w:val="16"/>
        </w:rPr>
        <w:t xml:space="preserve"> в 1945 году отряды ЭЛАС отходят из Афин (15000).</w:t>
      </w:r>
    </w:p>
    <w:p w14:paraId="236E9EDA" w14:textId="77777777" w:rsidR="003E545E" w:rsidRPr="00925F26" w:rsidRDefault="003E545E" w:rsidP="00925F26">
      <w:pPr>
        <w:jc w:val="both"/>
        <w:rPr>
          <w:color w:val="000000" w:themeColor="text1"/>
          <w:sz w:val="16"/>
          <w:szCs w:val="16"/>
        </w:rPr>
      </w:pPr>
    </w:p>
    <w:p w14:paraId="06762047" w14:textId="77777777" w:rsidR="005A1318" w:rsidRPr="00925F26" w:rsidRDefault="005A1318" w:rsidP="00925F26">
      <w:pPr>
        <w:jc w:val="both"/>
        <w:rPr>
          <w:color w:val="000000" w:themeColor="text1"/>
          <w:sz w:val="16"/>
          <w:szCs w:val="16"/>
        </w:rPr>
      </w:pPr>
      <w:r w:rsidRPr="00925F26">
        <w:rPr>
          <w:color w:val="000000" w:themeColor="text1"/>
          <w:sz w:val="16"/>
          <w:szCs w:val="16"/>
        </w:rPr>
        <w:t>5 января 1945 камикадзе повреждают американский эскортный авианосец USS Manila Bay, тяжелый крейсер USS Louisville и австралийский тяжелый крейсер HMAS Australia в Южно-Китайском море к западу от Манильского залива (20371).</w:t>
      </w:r>
    </w:p>
    <w:p w14:paraId="7CC0F757" w14:textId="77777777" w:rsidR="005A1318" w:rsidRPr="00925F26" w:rsidRDefault="005A1318" w:rsidP="00925F26">
      <w:pPr>
        <w:jc w:val="both"/>
        <w:rPr>
          <w:color w:val="000000" w:themeColor="text1"/>
          <w:sz w:val="16"/>
          <w:szCs w:val="16"/>
        </w:rPr>
      </w:pPr>
    </w:p>
    <w:p w14:paraId="65D0D32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7409333" w14:textId="77777777" w:rsidR="00C2313B" w:rsidRPr="00925F26" w:rsidRDefault="00C2313B" w:rsidP="00925F26">
      <w:pPr>
        <w:autoSpaceDE w:val="0"/>
        <w:autoSpaceDN w:val="0"/>
        <w:adjustRightInd w:val="0"/>
        <w:jc w:val="both"/>
        <w:rPr>
          <w:iCs/>
          <w:color w:val="000000" w:themeColor="text1"/>
          <w:sz w:val="16"/>
          <w:szCs w:val="16"/>
        </w:rPr>
      </w:pPr>
    </w:p>
    <w:p w14:paraId="235BC8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была подготовлена справка о предварительных итогах выполнения плана по самолетам и моторам в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276"/>
        <w:gridCol w:w="850"/>
        <w:gridCol w:w="851"/>
      </w:tblGrid>
      <w:tr w:rsidR="000F5689" w:rsidRPr="00925F26" w14:paraId="1992C1AD" w14:textId="77777777">
        <w:tc>
          <w:tcPr>
            <w:tcW w:w="817" w:type="dxa"/>
          </w:tcPr>
          <w:p w14:paraId="1333EA19" w14:textId="77777777" w:rsidR="00C2313B" w:rsidRPr="00925F26" w:rsidRDefault="00C2313B" w:rsidP="00925F26">
            <w:pPr>
              <w:autoSpaceDE w:val="0"/>
              <w:autoSpaceDN w:val="0"/>
              <w:adjustRightInd w:val="0"/>
              <w:jc w:val="both"/>
              <w:rPr>
                <w:color w:val="000000" w:themeColor="text1"/>
                <w:sz w:val="16"/>
                <w:szCs w:val="16"/>
              </w:rPr>
            </w:pPr>
          </w:p>
        </w:tc>
        <w:tc>
          <w:tcPr>
            <w:tcW w:w="1276" w:type="dxa"/>
          </w:tcPr>
          <w:p w14:paraId="49A87156"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5E10C9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851" w:type="dxa"/>
          </w:tcPr>
          <w:p w14:paraId="4502DA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Факт на 31 декабря</w:t>
            </w:r>
          </w:p>
        </w:tc>
      </w:tr>
      <w:tr w:rsidR="000F5689" w:rsidRPr="00925F26" w14:paraId="2271210E" w14:textId="77777777">
        <w:tc>
          <w:tcPr>
            <w:tcW w:w="817" w:type="dxa"/>
          </w:tcPr>
          <w:p w14:paraId="2E1CD3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Самолеты</w:t>
            </w:r>
          </w:p>
        </w:tc>
        <w:tc>
          <w:tcPr>
            <w:tcW w:w="1276" w:type="dxa"/>
          </w:tcPr>
          <w:p w14:paraId="22EDA46B"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11C95392" w14:textId="77777777" w:rsidR="00C2313B" w:rsidRPr="00925F26" w:rsidRDefault="00C2313B" w:rsidP="00925F26">
            <w:pPr>
              <w:autoSpaceDE w:val="0"/>
              <w:autoSpaceDN w:val="0"/>
              <w:adjustRightInd w:val="0"/>
              <w:jc w:val="both"/>
              <w:rPr>
                <w:color w:val="000000" w:themeColor="text1"/>
                <w:sz w:val="16"/>
                <w:szCs w:val="16"/>
              </w:rPr>
            </w:pPr>
          </w:p>
        </w:tc>
        <w:tc>
          <w:tcPr>
            <w:tcW w:w="851" w:type="dxa"/>
          </w:tcPr>
          <w:p w14:paraId="7397D271"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8614766" w14:textId="77777777">
        <w:tc>
          <w:tcPr>
            <w:tcW w:w="817" w:type="dxa"/>
          </w:tcPr>
          <w:p w14:paraId="690DCE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276" w:type="dxa"/>
          </w:tcPr>
          <w:p w14:paraId="51A6E3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 и Ла-5</w:t>
            </w:r>
          </w:p>
        </w:tc>
        <w:tc>
          <w:tcPr>
            <w:tcW w:w="850" w:type="dxa"/>
          </w:tcPr>
          <w:p w14:paraId="0A67F0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5004</w:t>
            </w:r>
          </w:p>
        </w:tc>
        <w:tc>
          <w:tcPr>
            <w:tcW w:w="851" w:type="dxa"/>
          </w:tcPr>
          <w:p w14:paraId="507D77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4981</w:t>
            </w:r>
          </w:p>
        </w:tc>
      </w:tr>
      <w:tr w:rsidR="000F5689" w:rsidRPr="00925F26" w14:paraId="7CD98CA8" w14:textId="77777777">
        <w:tc>
          <w:tcPr>
            <w:tcW w:w="817" w:type="dxa"/>
          </w:tcPr>
          <w:p w14:paraId="46FCFD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99</w:t>
            </w:r>
          </w:p>
        </w:tc>
        <w:tc>
          <w:tcPr>
            <w:tcW w:w="1276" w:type="dxa"/>
          </w:tcPr>
          <w:p w14:paraId="729DC0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 и Ла-5</w:t>
            </w:r>
          </w:p>
        </w:tc>
        <w:tc>
          <w:tcPr>
            <w:tcW w:w="850" w:type="dxa"/>
          </w:tcPr>
          <w:p w14:paraId="28F76D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178</w:t>
            </w:r>
          </w:p>
        </w:tc>
        <w:tc>
          <w:tcPr>
            <w:tcW w:w="851" w:type="dxa"/>
          </w:tcPr>
          <w:p w14:paraId="372AB7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133</w:t>
            </w:r>
          </w:p>
        </w:tc>
      </w:tr>
      <w:tr w:rsidR="000F5689" w:rsidRPr="00925F26" w14:paraId="5ECE99E9" w14:textId="77777777">
        <w:tc>
          <w:tcPr>
            <w:tcW w:w="817" w:type="dxa"/>
          </w:tcPr>
          <w:p w14:paraId="40F605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381</w:t>
            </w:r>
          </w:p>
        </w:tc>
        <w:tc>
          <w:tcPr>
            <w:tcW w:w="1276" w:type="dxa"/>
          </w:tcPr>
          <w:p w14:paraId="3948DA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 и Ла-5</w:t>
            </w:r>
          </w:p>
        </w:tc>
        <w:tc>
          <w:tcPr>
            <w:tcW w:w="850" w:type="dxa"/>
          </w:tcPr>
          <w:p w14:paraId="3AF2F1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874</w:t>
            </w:r>
          </w:p>
        </w:tc>
        <w:tc>
          <w:tcPr>
            <w:tcW w:w="851" w:type="dxa"/>
          </w:tcPr>
          <w:p w14:paraId="15364A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834</w:t>
            </w:r>
          </w:p>
        </w:tc>
      </w:tr>
      <w:tr w:rsidR="000F5689" w:rsidRPr="00925F26" w14:paraId="512E9EE7" w14:textId="77777777">
        <w:tc>
          <w:tcPr>
            <w:tcW w:w="817" w:type="dxa"/>
          </w:tcPr>
          <w:p w14:paraId="36F363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1276" w:type="dxa"/>
          </w:tcPr>
          <w:p w14:paraId="32326A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Як-3 и Лагг-3</w:t>
            </w:r>
          </w:p>
        </w:tc>
        <w:tc>
          <w:tcPr>
            <w:tcW w:w="850" w:type="dxa"/>
          </w:tcPr>
          <w:p w14:paraId="533C21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727</w:t>
            </w:r>
          </w:p>
        </w:tc>
        <w:tc>
          <w:tcPr>
            <w:tcW w:w="851" w:type="dxa"/>
          </w:tcPr>
          <w:p w14:paraId="44CB95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706</w:t>
            </w:r>
          </w:p>
        </w:tc>
      </w:tr>
      <w:tr w:rsidR="000F5689" w:rsidRPr="00925F26" w14:paraId="47047C07" w14:textId="77777777">
        <w:tc>
          <w:tcPr>
            <w:tcW w:w="817" w:type="dxa"/>
          </w:tcPr>
          <w:p w14:paraId="0492D6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w:t>
            </w:r>
          </w:p>
        </w:tc>
        <w:tc>
          <w:tcPr>
            <w:tcW w:w="1276" w:type="dxa"/>
          </w:tcPr>
          <w:p w14:paraId="104119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 и Як-7</w:t>
            </w:r>
          </w:p>
        </w:tc>
        <w:tc>
          <w:tcPr>
            <w:tcW w:w="850" w:type="dxa"/>
          </w:tcPr>
          <w:p w14:paraId="2C7998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821</w:t>
            </w:r>
          </w:p>
        </w:tc>
        <w:tc>
          <w:tcPr>
            <w:tcW w:w="851" w:type="dxa"/>
          </w:tcPr>
          <w:p w14:paraId="4FDF5D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830</w:t>
            </w:r>
          </w:p>
        </w:tc>
      </w:tr>
      <w:tr w:rsidR="000F5689" w:rsidRPr="00925F26" w14:paraId="59C4EB3D" w14:textId="77777777">
        <w:tc>
          <w:tcPr>
            <w:tcW w:w="817" w:type="dxa"/>
          </w:tcPr>
          <w:p w14:paraId="1216E5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153</w:t>
            </w:r>
          </w:p>
        </w:tc>
        <w:tc>
          <w:tcPr>
            <w:tcW w:w="1276" w:type="dxa"/>
          </w:tcPr>
          <w:p w14:paraId="136F01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w:t>
            </w:r>
          </w:p>
        </w:tc>
        <w:tc>
          <w:tcPr>
            <w:tcW w:w="850" w:type="dxa"/>
          </w:tcPr>
          <w:p w14:paraId="249A10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5700</w:t>
            </w:r>
          </w:p>
        </w:tc>
        <w:tc>
          <w:tcPr>
            <w:tcW w:w="851" w:type="dxa"/>
          </w:tcPr>
          <w:p w14:paraId="457CA4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5758</w:t>
            </w:r>
          </w:p>
        </w:tc>
      </w:tr>
      <w:tr w:rsidR="000F5689" w:rsidRPr="00925F26" w14:paraId="7F8BE6A5" w14:textId="77777777">
        <w:tc>
          <w:tcPr>
            <w:tcW w:w="817" w:type="dxa"/>
          </w:tcPr>
          <w:p w14:paraId="72815D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1276" w:type="dxa"/>
          </w:tcPr>
          <w:p w14:paraId="67F939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Як-3 и Як-1</w:t>
            </w:r>
          </w:p>
        </w:tc>
        <w:tc>
          <w:tcPr>
            <w:tcW w:w="850" w:type="dxa"/>
          </w:tcPr>
          <w:p w14:paraId="5F161E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2850</w:t>
            </w:r>
          </w:p>
        </w:tc>
        <w:tc>
          <w:tcPr>
            <w:tcW w:w="851" w:type="dxa"/>
          </w:tcPr>
          <w:p w14:paraId="6EA65E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2718</w:t>
            </w:r>
          </w:p>
        </w:tc>
      </w:tr>
      <w:tr w:rsidR="000F5689" w:rsidRPr="00925F26" w14:paraId="04EF5B67" w14:textId="77777777">
        <w:tc>
          <w:tcPr>
            <w:tcW w:w="817" w:type="dxa"/>
          </w:tcPr>
          <w:p w14:paraId="351C3E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178D1643"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1A9BC9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17668</w:t>
            </w:r>
          </w:p>
        </w:tc>
        <w:tc>
          <w:tcPr>
            <w:tcW w:w="851" w:type="dxa"/>
          </w:tcPr>
          <w:p w14:paraId="65839B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17529</w:t>
            </w:r>
          </w:p>
        </w:tc>
      </w:tr>
      <w:tr w:rsidR="000F5689" w:rsidRPr="00925F26" w14:paraId="51AED191" w14:textId="77777777">
        <w:tc>
          <w:tcPr>
            <w:tcW w:w="817" w:type="dxa"/>
          </w:tcPr>
          <w:p w14:paraId="6D9242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276" w:type="dxa"/>
          </w:tcPr>
          <w:p w14:paraId="1F2052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Ил-2 и Ил-10</w:t>
            </w:r>
          </w:p>
        </w:tc>
        <w:tc>
          <w:tcPr>
            <w:tcW w:w="850" w:type="dxa"/>
          </w:tcPr>
          <w:p w14:paraId="360519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3697</w:t>
            </w:r>
          </w:p>
        </w:tc>
        <w:tc>
          <w:tcPr>
            <w:tcW w:w="851" w:type="dxa"/>
          </w:tcPr>
          <w:p w14:paraId="7CBF4B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3664</w:t>
            </w:r>
          </w:p>
        </w:tc>
      </w:tr>
      <w:tr w:rsidR="000F5689" w:rsidRPr="00925F26" w14:paraId="1639F741" w14:textId="77777777">
        <w:tc>
          <w:tcPr>
            <w:tcW w:w="817" w:type="dxa"/>
          </w:tcPr>
          <w:p w14:paraId="3AAA89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276" w:type="dxa"/>
          </w:tcPr>
          <w:p w14:paraId="3B5CA9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Ил-2 и Ил-10</w:t>
            </w:r>
          </w:p>
        </w:tc>
        <w:tc>
          <w:tcPr>
            <w:tcW w:w="850" w:type="dxa"/>
          </w:tcPr>
          <w:p w14:paraId="6CDCE2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4014</w:t>
            </w:r>
          </w:p>
        </w:tc>
        <w:tc>
          <w:tcPr>
            <w:tcW w:w="851" w:type="dxa"/>
          </w:tcPr>
          <w:p w14:paraId="70E4D7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3950</w:t>
            </w:r>
          </w:p>
        </w:tc>
      </w:tr>
      <w:tr w:rsidR="000F5689" w:rsidRPr="00925F26" w14:paraId="08F2C7CE" w14:textId="77777777">
        <w:tc>
          <w:tcPr>
            <w:tcW w:w="817" w:type="dxa"/>
          </w:tcPr>
          <w:p w14:paraId="48CF34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276" w:type="dxa"/>
          </w:tcPr>
          <w:p w14:paraId="501D31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Ил-2 и Ил-10</w:t>
            </w:r>
          </w:p>
        </w:tc>
        <w:tc>
          <w:tcPr>
            <w:tcW w:w="850" w:type="dxa"/>
          </w:tcPr>
          <w:p w14:paraId="0B0279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3291</w:t>
            </w:r>
          </w:p>
        </w:tc>
        <w:tc>
          <w:tcPr>
            <w:tcW w:w="851" w:type="dxa"/>
          </w:tcPr>
          <w:p w14:paraId="790326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3317</w:t>
            </w:r>
          </w:p>
        </w:tc>
      </w:tr>
      <w:tr w:rsidR="000F5689" w:rsidRPr="00925F26" w14:paraId="097BD086" w14:textId="77777777">
        <w:tc>
          <w:tcPr>
            <w:tcW w:w="817" w:type="dxa"/>
          </w:tcPr>
          <w:p w14:paraId="64E7EF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30EAF7AA"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412BF5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11002</w:t>
            </w:r>
          </w:p>
        </w:tc>
        <w:tc>
          <w:tcPr>
            <w:tcW w:w="851" w:type="dxa"/>
          </w:tcPr>
          <w:p w14:paraId="4E78C0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10931</w:t>
            </w:r>
          </w:p>
        </w:tc>
      </w:tr>
      <w:tr w:rsidR="000F5689" w:rsidRPr="00925F26" w14:paraId="18616489" w14:textId="77777777">
        <w:tc>
          <w:tcPr>
            <w:tcW w:w="817" w:type="dxa"/>
          </w:tcPr>
          <w:p w14:paraId="6DFB68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276" w:type="dxa"/>
          </w:tcPr>
          <w:p w14:paraId="60F2CB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Пе-2 и Пе-3</w:t>
            </w:r>
          </w:p>
        </w:tc>
        <w:tc>
          <w:tcPr>
            <w:tcW w:w="850" w:type="dxa"/>
          </w:tcPr>
          <w:p w14:paraId="5D7089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2968</w:t>
            </w:r>
          </w:p>
        </w:tc>
        <w:tc>
          <w:tcPr>
            <w:tcW w:w="851" w:type="dxa"/>
          </w:tcPr>
          <w:p w14:paraId="4169F1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2897</w:t>
            </w:r>
          </w:p>
        </w:tc>
      </w:tr>
      <w:tr w:rsidR="000F5689" w:rsidRPr="00925F26" w14:paraId="63B55509" w14:textId="77777777">
        <w:tc>
          <w:tcPr>
            <w:tcW w:w="817" w:type="dxa"/>
          </w:tcPr>
          <w:p w14:paraId="6B5A8A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276" w:type="dxa"/>
          </w:tcPr>
          <w:p w14:paraId="0B7B5D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Ту-2</w:t>
            </w:r>
          </w:p>
        </w:tc>
        <w:tc>
          <w:tcPr>
            <w:tcW w:w="850" w:type="dxa"/>
          </w:tcPr>
          <w:p w14:paraId="16D0A5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453</w:t>
            </w:r>
          </w:p>
        </w:tc>
        <w:tc>
          <w:tcPr>
            <w:tcW w:w="851" w:type="dxa"/>
          </w:tcPr>
          <w:p w14:paraId="5D6AC2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368</w:t>
            </w:r>
          </w:p>
        </w:tc>
      </w:tr>
      <w:tr w:rsidR="000F5689" w:rsidRPr="00925F26" w14:paraId="2C997076" w14:textId="77777777">
        <w:tc>
          <w:tcPr>
            <w:tcW w:w="817" w:type="dxa"/>
          </w:tcPr>
          <w:p w14:paraId="3E8C29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276" w:type="dxa"/>
          </w:tcPr>
          <w:p w14:paraId="222542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Ер-2 и Ил-4</w:t>
            </w:r>
          </w:p>
        </w:tc>
        <w:tc>
          <w:tcPr>
            <w:tcW w:w="850" w:type="dxa"/>
          </w:tcPr>
          <w:p w14:paraId="0A7DB9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340</w:t>
            </w:r>
          </w:p>
        </w:tc>
        <w:tc>
          <w:tcPr>
            <w:tcW w:w="851" w:type="dxa"/>
          </w:tcPr>
          <w:p w14:paraId="14416A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263</w:t>
            </w:r>
          </w:p>
        </w:tc>
      </w:tr>
      <w:tr w:rsidR="000F5689" w:rsidRPr="00925F26" w14:paraId="461302CA" w14:textId="77777777">
        <w:tc>
          <w:tcPr>
            <w:tcW w:w="817" w:type="dxa"/>
          </w:tcPr>
          <w:p w14:paraId="157C25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126</w:t>
            </w:r>
          </w:p>
        </w:tc>
        <w:tc>
          <w:tcPr>
            <w:tcW w:w="1276" w:type="dxa"/>
          </w:tcPr>
          <w:p w14:paraId="56A72B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850" w:type="dxa"/>
          </w:tcPr>
          <w:p w14:paraId="663554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851" w:type="dxa"/>
          </w:tcPr>
          <w:p w14:paraId="26FCAA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584</w:t>
            </w:r>
          </w:p>
        </w:tc>
      </w:tr>
      <w:tr w:rsidR="000F5689" w:rsidRPr="00925F26" w14:paraId="7F0AF84F" w14:textId="77777777">
        <w:tc>
          <w:tcPr>
            <w:tcW w:w="817" w:type="dxa"/>
          </w:tcPr>
          <w:p w14:paraId="625EE7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6DD3F973"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7815B5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4377</w:t>
            </w:r>
          </w:p>
        </w:tc>
        <w:tc>
          <w:tcPr>
            <w:tcW w:w="851" w:type="dxa"/>
          </w:tcPr>
          <w:p w14:paraId="73DCF7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4112</w:t>
            </w:r>
          </w:p>
        </w:tc>
      </w:tr>
      <w:tr w:rsidR="000F5689" w:rsidRPr="00925F26" w14:paraId="2AEEEC3F" w14:textId="77777777">
        <w:tc>
          <w:tcPr>
            <w:tcW w:w="817" w:type="dxa"/>
          </w:tcPr>
          <w:p w14:paraId="62E4F8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051255A2"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2B6BD5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33047</w:t>
            </w:r>
          </w:p>
        </w:tc>
        <w:tc>
          <w:tcPr>
            <w:tcW w:w="851" w:type="dxa"/>
          </w:tcPr>
          <w:p w14:paraId="62ECA1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32572</w:t>
            </w:r>
          </w:p>
        </w:tc>
      </w:tr>
      <w:tr w:rsidR="000F5689" w:rsidRPr="00925F26" w14:paraId="3CC3F417" w14:textId="77777777">
        <w:tc>
          <w:tcPr>
            <w:tcW w:w="817" w:type="dxa"/>
          </w:tcPr>
          <w:p w14:paraId="2AEA04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1276" w:type="dxa"/>
          </w:tcPr>
          <w:p w14:paraId="6EC062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850" w:type="dxa"/>
          </w:tcPr>
          <w:p w14:paraId="659D91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851" w:type="dxa"/>
          </w:tcPr>
          <w:p w14:paraId="68F5E7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591</w:t>
            </w:r>
          </w:p>
        </w:tc>
      </w:tr>
      <w:tr w:rsidR="000F5689" w:rsidRPr="00925F26" w14:paraId="64EA7056" w14:textId="77777777">
        <w:tc>
          <w:tcPr>
            <w:tcW w:w="817" w:type="dxa"/>
          </w:tcPr>
          <w:p w14:paraId="4477DF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1276" w:type="dxa"/>
          </w:tcPr>
          <w:p w14:paraId="45CE1C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Ще-2</w:t>
            </w:r>
          </w:p>
        </w:tc>
        <w:tc>
          <w:tcPr>
            <w:tcW w:w="850" w:type="dxa"/>
          </w:tcPr>
          <w:p w14:paraId="0F200E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265</w:t>
            </w:r>
          </w:p>
        </w:tc>
        <w:tc>
          <w:tcPr>
            <w:tcW w:w="851" w:type="dxa"/>
          </w:tcPr>
          <w:p w14:paraId="5BCD0F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216</w:t>
            </w:r>
          </w:p>
        </w:tc>
      </w:tr>
      <w:tr w:rsidR="000F5689" w:rsidRPr="00925F26" w14:paraId="1C0E9481" w14:textId="77777777">
        <w:tc>
          <w:tcPr>
            <w:tcW w:w="817" w:type="dxa"/>
          </w:tcPr>
          <w:p w14:paraId="10E48B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494</w:t>
            </w:r>
          </w:p>
        </w:tc>
        <w:tc>
          <w:tcPr>
            <w:tcW w:w="1276" w:type="dxa"/>
          </w:tcPr>
          <w:p w14:paraId="2AD6FB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По-2с</w:t>
            </w:r>
          </w:p>
        </w:tc>
        <w:tc>
          <w:tcPr>
            <w:tcW w:w="850" w:type="dxa"/>
          </w:tcPr>
          <w:p w14:paraId="146DB4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851" w:type="dxa"/>
          </w:tcPr>
          <w:p w14:paraId="4FAF88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661</w:t>
            </w:r>
          </w:p>
        </w:tc>
      </w:tr>
      <w:tr w:rsidR="000F5689" w:rsidRPr="00925F26" w14:paraId="4CF73732" w14:textId="77777777">
        <w:tc>
          <w:tcPr>
            <w:tcW w:w="817" w:type="dxa"/>
          </w:tcPr>
          <w:p w14:paraId="7663C7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6CFC3EC7"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24013A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1497</w:t>
            </w:r>
          </w:p>
        </w:tc>
        <w:tc>
          <w:tcPr>
            <w:tcW w:w="851" w:type="dxa"/>
          </w:tcPr>
          <w:p w14:paraId="5E2F05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1468</w:t>
            </w:r>
          </w:p>
        </w:tc>
      </w:tr>
      <w:tr w:rsidR="000F5689" w:rsidRPr="00925F26" w14:paraId="01750FB0" w14:textId="77777777">
        <w:tc>
          <w:tcPr>
            <w:tcW w:w="817" w:type="dxa"/>
          </w:tcPr>
          <w:p w14:paraId="430D46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116</w:t>
            </w:r>
          </w:p>
        </w:tc>
        <w:tc>
          <w:tcPr>
            <w:tcW w:w="1276" w:type="dxa"/>
          </w:tcPr>
          <w:p w14:paraId="6F6473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Ут-2</w:t>
            </w:r>
          </w:p>
        </w:tc>
        <w:tc>
          <w:tcPr>
            <w:tcW w:w="850" w:type="dxa"/>
          </w:tcPr>
          <w:p w14:paraId="7BC273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734</w:t>
            </w:r>
          </w:p>
        </w:tc>
        <w:tc>
          <w:tcPr>
            <w:tcW w:w="851" w:type="dxa"/>
          </w:tcPr>
          <w:p w14:paraId="6DD0E1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716</w:t>
            </w:r>
          </w:p>
        </w:tc>
      </w:tr>
      <w:tr w:rsidR="000F5689" w:rsidRPr="00925F26" w14:paraId="147E4B7A" w14:textId="77777777">
        <w:tc>
          <w:tcPr>
            <w:tcW w:w="817" w:type="dxa"/>
          </w:tcPr>
          <w:p w14:paraId="02E77B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168</w:t>
            </w:r>
          </w:p>
        </w:tc>
        <w:tc>
          <w:tcPr>
            <w:tcW w:w="1276" w:type="dxa"/>
          </w:tcPr>
          <w:p w14:paraId="0589F4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Ут-2</w:t>
            </w:r>
          </w:p>
        </w:tc>
        <w:tc>
          <w:tcPr>
            <w:tcW w:w="850" w:type="dxa"/>
          </w:tcPr>
          <w:p w14:paraId="186D7A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372</w:t>
            </w:r>
          </w:p>
        </w:tc>
        <w:tc>
          <w:tcPr>
            <w:tcW w:w="851" w:type="dxa"/>
          </w:tcPr>
          <w:p w14:paraId="3B10F4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299</w:t>
            </w:r>
          </w:p>
        </w:tc>
      </w:tr>
      <w:tr w:rsidR="000F5689" w:rsidRPr="00925F26" w14:paraId="732DA3CF" w14:textId="77777777">
        <w:tc>
          <w:tcPr>
            <w:tcW w:w="817" w:type="dxa"/>
          </w:tcPr>
          <w:p w14:paraId="4C2232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387</w:t>
            </w:r>
          </w:p>
        </w:tc>
        <w:tc>
          <w:tcPr>
            <w:tcW w:w="1276" w:type="dxa"/>
          </w:tcPr>
          <w:p w14:paraId="56EBE4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По-2</w:t>
            </w:r>
          </w:p>
        </w:tc>
        <w:tc>
          <w:tcPr>
            <w:tcW w:w="850" w:type="dxa"/>
          </w:tcPr>
          <w:p w14:paraId="32AFC1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3080</w:t>
            </w:r>
          </w:p>
        </w:tc>
        <w:tc>
          <w:tcPr>
            <w:tcW w:w="851" w:type="dxa"/>
          </w:tcPr>
          <w:p w14:paraId="1BA3BA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2975</w:t>
            </w:r>
          </w:p>
        </w:tc>
      </w:tr>
      <w:tr w:rsidR="000F5689" w:rsidRPr="00925F26" w14:paraId="21119FD2" w14:textId="77777777">
        <w:tc>
          <w:tcPr>
            <w:tcW w:w="817" w:type="dxa"/>
          </w:tcPr>
          <w:p w14:paraId="38F225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464</w:t>
            </w:r>
          </w:p>
        </w:tc>
        <w:tc>
          <w:tcPr>
            <w:tcW w:w="1276" w:type="dxa"/>
          </w:tcPr>
          <w:p w14:paraId="3C9A34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По-2</w:t>
            </w:r>
          </w:p>
        </w:tc>
        <w:tc>
          <w:tcPr>
            <w:tcW w:w="850" w:type="dxa"/>
          </w:tcPr>
          <w:p w14:paraId="02DC25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679</w:t>
            </w:r>
          </w:p>
        </w:tc>
        <w:tc>
          <w:tcPr>
            <w:tcW w:w="851" w:type="dxa"/>
          </w:tcPr>
          <w:p w14:paraId="52A50D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721</w:t>
            </w:r>
          </w:p>
        </w:tc>
      </w:tr>
      <w:tr w:rsidR="000F5689" w:rsidRPr="00925F26" w14:paraId="1B2C5687" w14:textId="77777777">
        <w:tc>
          <w:tcPr>
            <w:tcW w:w="817" w:type="dxa"/>
          </w:tcPr>
          <w:p w14:paraId="3C2CFF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471</w:t>
            </w:r>
          </w:p>
        </w:tc>
        <w:tc>
          <w:tcPr>
            <w:tcW w:w="1276" w:type="dxa"/>
          </w:tcPr>
          <w:p w14:paraId="25462A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По-2</w:t>
            </w:r>
          </w:p>
        </w:tc>
        <w:tc>
          <w:tcPr>
            <w:tcW w:w="850" w:type="dxa"/>
          </w:tcPr>
          <w:p w14:paraId="0FDB4E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624</w:t>
            </w:r>
          </w:p>
        </w:tc>
        <w:tc>
          <w:tcPr>
            <w:tcW w:w="851" w:type="dxa"/>
          </w:tcPr>
          <w:p w14:paraId="6B6BA1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634</w:t>
            </w:r>
          </w:p>
        </w:tc>
      </w:tr>
      <w:tr w:rsidR="000F5689" w:rsidRPr="00925F26" w14:paraId="7188E53B" w14:textId="77777777">
        <w:tc>
          <w:tcPr>
            <w:tcW w:w="817" w:type="dxa"/>
          </w:tcPr>
          <w:p w14:paraId="0F002D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14CFBAF5"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004401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5489</w:t>
            </w:r>
          </w:p>
        </w:tc>
        <w:tc>
          <w:tcPr>
            <w:tcW w:w="851" w:type="dxa"/>
          </w:tcPr>
          <w:p w14:paraId="4BF783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5345</w:t>
            </w:r>
          </w:p>
        </w:tc>
      </w:tr>
      <w:tr w:rsidR="000F5689" w:rsidRPr="00925F26" w14:paraId="243294AD" w14:textId="77777777">
        <w:tc>
          <w:tcPr>
            <w:tcW w:w="817" w:type="dxa"/>
          </w:tcPr>
          <w:p w14:paraId="2BCEFD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276" w:type="dxa"/>
          </w:tcPr>
          <w:p w14:paraId="3EEA59CA"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3F8371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40033</w:t>
            </w:r>
          </w:p>
        </w:tc>
        <w:tc>
          <w:tcPr>
            <w:tcW w:w="851" w:type="dxa"/>
          </w:tcPr>
          <w:p w14:paraId="30A425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39385</w:t>
            </w:r>
          </w:p>
        </w:tc>
      </w:tr>
      <w:tr w:rsidR="000F5689" w:rsidRPr="00925F26" w14:paraId="04D24EEE" w14:textId="77777777">
        <w:tc>
          <w:tcPr>
            <w:tcW w:w="817" w:type="dxa"/>
          </w:tcPr>
          <w:p w14:paraId="437E71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Моторы</w:t>
            </w:r>
          </w:p>
        </w:tc>
        <w:tc>
          <w:tcPr>
            <w:tcW w:w="1276" w:type="dxa"/>
          </w:tcPr>
          <w:p w14:paraId="64C9FF94"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345EBE3D" w14:textId="77777777" w:rsidR="00C2313B" w:rsidRPr="00925F26" w:rsidRDefault="00C2313B" w:rsidP="00925F26">
            <w:pPr>
              <w:autoSpaceDE w:val="0"/>
              <w:autoSpaceDN w:val="0"/>
              <w:adjustRightInd w:val="0"/>
              <w:jc w:val="both"/>
              <w:rPr>
                <w:color w:val="000000" w:themeColor="text1"/>
                <w:sz w:val="16"/>
                <w:szCs w:val="16"/>
              </w:rPr>
            </w:pPr>
          </w:p>
        </w:tc>
        <w:tc>
          <w:tcPr>
            <w:tcW w:w="851" w:type="dxa"/>
          </w:tcPr>
          <w:p w14:paraId="31B4EC19"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4EE4FAF9" w14:textId="77777777">
        <w:tc>
          <w:tcPr>
            <w:tcW w:w="817" w:type="dxa"/>
          </w:tcPr>
          <w:p w14:paraId="132ABD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276" w:type="dxa"/>
          </w:tcPr>
          <w:p w14:paraId="69BE5E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ВК-105ПФ</w:t>
            </w:r>
          </w:p>
        </w:tc>
        <w:tc>
          <w:tcPr>
            <w:tcW w:w="850" w:type="dxa"/>
          </w:tcPr>
          <w:p w14:paraId="474C33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5255</w:t>
            </w:r>
          </w:p>
        </w:tc>
        <w:tc>
          <w:tcPr>
            <w:tcW w:w="851" w:type="dxa"/>
          </w:tcPr>
          <w:p w14:paraId="517349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4874</w:t>
            </w:r>
          </w:p>
        </w:tc>
      </w:tr>
      <w:tr w:rsidR="000F5689" w:rsidRPr="00925F26" w14:paraId="5D9B3316" w14:textId="77777777">
        <w:tc>
          <w:tcPr>
            <w:tcW w:w="817" w:type="dxa"/>
          </w:tcPr>
          <w:p w14:paraId="417D06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1276" w:type="dxa"/>
          </w:tcPr>
          <w:p w14:paraId="747FEE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ВК-105ПФ</w:t>
            </w:r>
          </w:p>
        </w:tc>
        <w:tc>
          <w:tcPr>
            <w:tcW w:w="850" w:type="dxa"/>
          </w:tcPr>
          <w:p w14:paraId="6AFD7D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8734</w:t>
            </w:r>
          </w:p>
        </w:tc>
        <w:tc>
          <w:tcPr>
            <w:tcW w:w="851" w:type="dxa"/>
          </w:tcPr>
          <w:p w14:paraId="19B205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8494</w:t>
            </w:r>
          </w:p>
        </w:tc>
      </w:tr>
      <w:tr w:rsidR="000F5689" w:rsidRPr="00925F26" w14:paraId="019D145C" w14:textId="77777777">
        <w:tc>
          <w:tcPr>
            <w:tcW w:w="817" w:type="dxa"/>
          </w:tcPr>
          <w:p w14:paraId="2603BDD8" w14:textId="77777777" w:rsidR="00C2313B" w:rsidRPr="00925F26" w:rsidRDefault="00C2313B" w:rsidP="00925F26">
            <w:pPr>
              <w:autoSpaceDE w:val="0"/>
              <w:autoSpaceDN w:val="0"/>
              <w:adjustRightInd w:val="0"/>
              <w:jc w:val="both"/>
              <w:rPr>
                <w:color w:val="000000" w:themeColor="text1"/>
                <w:sz w:val="16"/>
                <w:szCs w:val="16"/>
              </w:rPr>
            </w:pPr>
          </w:p>
        </w:tc>
        <w:tc>
          <w:tcPr>
            <w:tcW w:w="1276" w:type="dxa"/>
          </w:tcPr>
          <w:p w14:paraId="7896BB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850" w:type="dxa"/>
          </w:tcPr>
          <w:p w14:paraId="49AB66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2753</w:t>
            </w:r>
          </w:p>
        </w:tc>
        <w:tc>
          <w:tcPr>
            <w:tcW w:w="851" w:type="dxa"/>
          </w:tcPr>
          <w:p w14:paraId="4F8021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2098</w:t>
            </w:r>
          </w:p>
        </w:tc>
      </w:tr>
      <w:tr w:rsidR="000F5689" w:rsidRPr="00925F26" w14:paraId="4E1BE27E" w14:textId="77777777">
        <w:tc>
          <w:tcPr>
            <w:tcW w:w="817" w:type="dxa"/>
          </w:tcPr>
          <w:p w14:paraId="0222B5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08AB5C1D"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30F976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11487</w:t>
            </w:r>
          </w:p>
        </w:tc>
        <w:tc>
          <w:tcPr>
            <w:tcW w:w="851" w:type="dxa"/>
          </w:tcPr>
          <w:p w14:paraId="6D5417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10592</w:t>
            </w:r>
          </w:p>
        </w:tc>
      </w:tr>
      <w:tr w:rsidR="000F5689" w:rsidRPr="00925F26" w14:paraId="69A0DEDF" w14:textId="77777777">
        <w:tc>
          <w:tcPr>
            <w:tcW w:w="817" w:type="dxa"/>
          </w:tcPr>
          <w:p w14:paraId="1ECCD5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466</w:t>
            </w:r>
          </w:p>
        </w:tc>
        <w:tc>
          <w:tcPr>
            <w:tcW w:w="1276" w:type="dxa"/>
          </w:tcPr>
          <w:p w14:paraId="332BB9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ВК-105ПФ</w:t>
            </w:r>
          </w:p>
        </w:tc>
        <w:tc>
          <w:tcPr>
            <w:tcW w:w="850" w:type="dxa"/>
          </w:tcPr>
          <w:p w14:paraId="2F802E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3378</w:t>
            </w:r>
          </w:p>
        </w:tc>
        <w:tc>
          <w:tcPr>
            <w:tcW w:w="851" w:type="dxa"/>
          </w:tcPr>
          <w:p w14:paraId="63770F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3116</w:t>
            </w:r>
          </w:p>
        </w:tc>
      </w:tr>
      <w:tr w:rsidR="000F5689" w:rsidRPr="00925F26" w14:paraId="2F76DA56" w14:textId="77777777">
        <w:tc>
          <w:tcPr>
            <w:tcW w:w="817" w:type="dxa"/>
          </w:tcPr>
          <w:p w14:paraId="5B9303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1276" w:type="dxa"/>
          </w:tcPr>
          <w:p w14:paraId="31F474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АМ-38Ф</w:t>
            </w:r>
          </w:p>
        </w:tc>
        <w:tc>
          <w:tcPr>
            <w:tcW w:w="850" w:type="dxa"/>
          </w:tcPr>
          <w:p w14:paraId="0A2926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9686</w:t>
            </w:r>
          </w:p>
        </w:tc>
        <w:tc>
          <w:tcPr>
            <w:tcW w:w="851" w:type="dxa"/>
          </w:tcPr>
          <w:p w14:paraId="67AE94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10192</w:t>
            </w:r>
          </w:p>
        </w:tc>
      </w:tr>
      <w:tr w:rsidR="000F5689" w:rsidRPr="00925F26" w14:paraId="32EF8087" w14:textId="77777777">
        <w:tc>
          <w:tcPr>
            <w:tcW w:w="817" w:type="dxa"/>
          </w:tcPr>
          <w:p w14:paraId="7DA2EF3A" w14:textId="77777777" w:rsidR="00C2313B" w:rsidRPr="00925F26" w:rsidRDefault="00C2313B" w:rsidP="00925F26">
            <w:pPr>
              <w:autoSpaceDE w:val="0"/>
              <w:autoSpaceDN w:val="0"/>
              <w:adjustRightInd w:val="0"/>
              <w:jc w:val="both"/>
              <w:rPr>
                <w:color w:val="000000" w:themeColor="text1"/>
                <w:sz w:val="16"/>
                <w:szCs w:val="16"/>
              </w:rPr>
            </w:pPr>
          </w:p>
        </w:tc>
        <w:tc>
          <w:tcPr>
            <w:tcW w:w="1276" w:type="dxa"/>
          </w:tcPr>
          <w:p w14:paraId="6EC08A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АМ-42 и АМ-35А</w:t>
            </w:r>
          </w:p>
        </w:tc>
        <w:tc>
          <w:tcPr>
            <w:tcW w:w="850" w:type="dxa"/>
          </w:tcPr>
          <w:p w14:paraId="6B7C99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952</w:t>
            </w:r>
          </w:p>
        </w:tc>
        <w:tc>
          <w:tcPr>
            <w:tcW w:w="851" w:type="dxa"/>
          </w:tcPr>
          <w:p w14:paraId="260BEF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496</w:t>
            </w:r>
          </w:p>
        </w:tc>
      </w:tr>
      <w:tr w:rsidR="000F5689" w:rsidRPr="00925F26" w14:paraId="127B2605" w14:textId="77777777">
        <w:tc>
          <w:tcPr>
            <w:tcW w:w="817" w:type="dxa"/>
          </w:tcPr>
          <w:p w14:paraId="292287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2CA2ABB3"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77A1C6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10638</w:t>
            </w:r>
          </w:p>
        </w:tc>
        <w:tc>
          <w:tcPr>
            <w:tcW w:w="851" w:type="dxa"/>
          </w:tcPr>
          <w:p w14:paraId="144ABE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10688</w:t>
            </w:r>
          </w:p>
        </w:tc>
      </w:tr>
      <w:tr w:rsidR="000F5689" w:rsidRPr="00925F26" w14:paraId="0C2CB5FD" w14:textId="77777777">
        <w:tc>
          <w:tcPr>
            <w:tcW w:w="817" w:type="dxa"/>
          </w:tcPr>
          <w:p w14:paraId="196E48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276" w:type="dxa"/>
          </w:tcPr>
          <w:p w14:paraId="36DCBF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АМ-38Ф</w:t>
            </w:r>
          </w:p>
        </w:tc>
        <w:tc>
          <w:tcPr>
            <w:tcW w:w="850" w:type="dxa"/>
          </w:tcPr>
          <w:p w14:paraId="4DB07B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2848</w:t>
            </w:r>
          </w:p>
        </w:tc>
        <w:tc>
          <w:tcPr>
            <w:tcW w:w="851" w:type="dxa"/>
          </w:tcPr>
          <w:p w14:paraId="0679DD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2921</w:t>
            </w:r>
          </w:p>
        </w:tc>
      </w:tr>
      <w:tr w:rsidR="000F5689" w:rsidRPr="00925F26" w14:paraId="57C29F9C" w14:textId="77777777">
        <w:tc>
          <w:tcPr>
            <w:tcW w:w="817" w:type="dxa"/>
          </w:tcPr>
          <w:p w14:paraId="2A4E4F8D" w14:textId="77777777" w:rsidR="00C2313B" w:rsidRPr="00925F26" w:rsidRDefault="00C2313B" w:rsidP="00925F26">
            <w:pPr>
              <w:autoSpaceDE w:val="0"/>
              <w:autoSpaceDN w:val="0"/>
              <w:adjustRightInd w:val="0"/>
              <w:jc w:val="both"/>
              <w:rPr>
                <w:color w:val="000000" w:themeColor="text1"/>
                <w:sz w:val="16"/>
                <w:szCs w:val="16"/>
              </w:rPr>
            </w:pPr>
          </w:p>
        </w:tc>
        <w:tc>
          <w:tcPr>
            <w:tcW w:w="1276" w:type="dxa"/>
          </w:tcPr>
          <w:p w14:paraId="194EA7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АЧ-30Б</w:t>
            </w:r>
          </w:p>
        </w:tc>
        <w:tc>
          <w:tcPr>
            <w:tcW w:w="850" w:type="dxa"/>
          </w:tcPr>
          <w:p w14:paraId="7972D9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230</w:t>
            </w:r>
          </w:p>
        </w:tc>
        <w:tc>
          <w:tcPr>
            <w:tcW w:w="851" w:type="dxa"/>
          </w:tcPr>
          <w:p w14:paraId="460563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154</w:t>
            </w:r>
          </w:p>
        </w:tc>
      </w:tr>
      <w:tr w:rsidR="000F5689" w:rsidRPr="00925F26" w14:paraId="16BA92B3" w14:textId="77777777">
        <w:tc>
          <w:tcPr>
            <w:tcW w:w="817" w:type="dxa"/>
          </w:tcPr>
          <w:p w14:paraId="60720A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1219E51E"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06775A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3078</w:t>
            </w:r>
          </w:p>
        </w:tc>
        <w:tc>
          <w:tcPr>
            <w:tcW w:w="851" w:type="dxa"/>
          </w:tcPr>
          <w:p w14:paraId="2BCA9B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3075</w:t>
            </w:r>
          </w:p>
        </w:tc>
      </w:tr>
      <w:tr w:rsidR="000F5689" w:rsidRPr="00925F26" w14:paraId="38DDDEBD" w14:textId="77777777">
        <w:tc>
          <w:tcPr>
            <w:tcW w:w="817" w:type="dxa"/>
          </w:tcPr>
          <w:p w14:paraId="0E9AA3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1276" w:type="dxa"/>
          </w:tcPr>
          <w:p w14:paraId="5D8095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АШ-82ФН и Ф</w:t>
            </w:r>
          </w:p>
        </w:tc>
        <w:tc>
          <w:tcPr>
            <w:tcW w:w="850" w:type="dxa"/>
          </w:tcPr>
          <w:p w14:paraId="28FB4F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6734</w:t>
            </w:r>
          </w:p>
        </w:tc>
        <w:tc>
          <w:tcPr>
            <w:tcW w:w="851" w:type="dxa"/>
          </w:tcPr>
          <w:p w14:paraId="4C2169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6106</w:t>
            </w:r>
          </w:p>
        </w:tc>
      </w:tr>
      <w:tr w:rsidR="000F5689" w:rsidRPr="00925F26" w14:paraId="78C35C6A" w14:textId="77777777">
        <w:tc>
          <w:tcPr>
            <w:tcW w:w="817" w:type="dxa"/>
          </w:tcPr>
          <w:p w14:paraId="32B6DAAB" w14:textId="77777777" w:rsidR="00C2313B" w:rsidRPr="00925F26" w:rsidRDefault="00C2313B" w:rsidP="00925F26">
            <w:pPr>
              <w:autoSpaceDE w:val="0"/>
              <w:autoSpaceDN w:val="0"/>
              <w:adjustRightInd w:val="0"/>
              <w:jc w:val="both"/>
              <w:rPr>
                <w:color w:val="000000" w:themeColor="text1"/>
                <w:sz w:val="16"/>
                <w:szCs w:val="16"/>
              </w:rPr>
            </w:pPr>
          </w:p>
        </w:tc>
        <w:tc>
          <w:tcPr>
            <w:tcW w:w="1276" w:type="dxa"/>
          </w:tcPr>
          <w:p w14:paraId="2BEF9C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АШ-62ИР</w:t>
            </w:r>
          </w:p>
        </w:tc>
        <w:tc>
          <w:tcPr>
            <w:tcW w:w="850" w:type="dxa"/>
          </w:tcPr>
          <w:p w14:paraId="224369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1520</w:t>
            </w:r>
          </w:p>
        </w:tc>
        <w:tc>
          <w:tcPr>
            <w:tcW w:w="851" w:type="dxa"/>
          </w:tcPr>
          <w:p w14:paraId="0F317E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1378</w:t>
            </w:r>
          </w:p>
        </w:tc>
      </w:tr>
      <w:tr w:rsidR="000F5689" w:rsidRPr="00925F26" w14:paraId="200AC6F6" w14:textId="77777777">
        <w:tc>
          <w:tcPr>
            <w:tcW w:w="817" w:type="dxa"/>
          </w:tcPr>
          <w:p w14:paraId="79BD52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6F0B67A7"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239472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8254</w:t>
            </w:r>
          </w:p>
        </w:tc>
        <w:tc>
          <w:tcPr>
            <w:tcW w:w="851" w:type="dxa"/>
          </w:tcPr>
          <w:p w14:paraId="10F848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7484</w:t>
            </w:r>
          </w:p>
        </w:tc>
      </w:tr>
      <w:tr w:rsidR="000F5689" w:rsidRPr="00925F26" w14:paraId="0E537D3E" w14:textId="77777777">
        <w:tc>
          <w:tcPr>
            <w:tcW w:w="817" w:type="dxa"/>
          </w:tcPr>
          <w:p w14:paraId="587F98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276" w:type="dxa"/>
          </w:tcPr>
          <w:p w14:paraId="320909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АШ-82ФН</w:t>
            </w:r>
          </w:p>
        </w:tc>
        <w:tc>
          <w:tcPr>
            <w:tcW w:w="850" w:type="dxa"/>
          </w:tcPr>
          <w:p w14:paraId="1FCE13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1046</w:t>
            </w:r>
          </w:p>
        </w:tc>
        <w:tc>
          <w:tcPr>
            <w:tcW w:w="851" w:type="dxa"/>
          </w:tcPr>
          <w:p w14:paraId="3FBE9B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1036</w:t>
            </w:r>
          </w:p>
        </w:tc>
      </w:tr>
      <w:tr w:rsidR="000F5689" w:rsidRPr="00925F26" w14:paraId="2C9AAEBD" w14:textId="77777777">
        <w:tc>
          <w:tcPr>
            <w:tcW w:w="817" w:type="dxa"/>
          </w:tcPr>
          <w:p w14:paraId="33F864FA" w14:textId="77777777" w:rsidR="00C2313B" w:rsidRPr="00925F26" w:rsidRDefault="00C2313B" w:rsidP="00925F26">
            <w:pPr>
              <w:autoSpaceDE w:val="0"/>
              <w:autoSpaceDN w:val="0"/>
              <w:adjustRightInd w:val="0"/>
              <w:jc w:val="both"/>
              <w:rPr>
                <w:color w:val="000000" w:themeColor="text1"/>
                <w:sz w:val="16"/>
                <w:szCs w:val="16"/>
              </w:rPr>
            </w:pPr>
          </w:p>
        </w:tc>
        <w:tc>
          <w:tcPr>
            <w:tcW w:w="1276" w:type="dxa"/>
          </w:tcPr>
          <w:p w14:paraId="5B46A0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М-88</w:t>
            </w:r>
          </w:p>
        </w:tc>
        <w:tc>
          <w:tcPr>
            <w:tcW w:w="850" w:type="dxa"/>
          </w:tcPr>
          <w:p w14:paraId="3F7B40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2462</w:t>
            </w:r>
          </w:p>
        </w:tc>
        <w:tc>
          <w:tcPr>
            <w:tcW w:w="851" w:type="dxa"/>
          </w:tcPr>
          <w:p w14:paraId="7672C9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2211</w:t>
            </w:r>
          </w:p>
        </w:tc>
      </w:tr>
      <w:tr w:rsidR="000F5689" w:rsidRPr="00925F26" w14:paraId="70620ED6" w14:textId="77777777">
        <w:tc>
          <w:tcPr>
            <w:tcW w:w="817" w:type="dxa"/>
          </w:tcPr>
          <w:p w14:paraId="452E41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76" w:type="dxa"/>
          </w:tcPr>
          <w:p w14:paraId="1A94D314" w14:textId="77777777" w:rsidR="00C2313B" w:rsidRPr="00925F26" w:rsidRDefault="00C2313B" w:rsidP="00925F26">
            <w:pPr>
              <w:autoSpaceDE w:val="0"/>
              <w:autoSpaceDN w:val="0"/>
              <w:adjustRightInd w:val="0"/>
              <w:jc w:val="both"/>
              <w:rPr>
                <w:color w:val="000000" w:themeColor="text1"/>
                <w:sz w:val="16"/>
                <w:szCs w:val="16"/>
              </w:rPr>
            </w:pPr>
          </w:p>
        </w:tc>
        <w:tc>
          <w:tcPr>
            <w:tcW w:w="850" w:type="dxa"/>
          </w:tcPr>
          <w:p w14:paraId="5A7263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3508</w:t>
            </w:r>
          </w:p>
        </w:tc>
        <w:tc>
          <w:tcPr>
            <w:tcW w:w="851" w:type="dxa"/>
          </w:tcPr>
          <w:p w14:paraId="715F4E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3247</w:t>
            </w:r>
          </w:p>
        </w:tc>
      </w:tr>
      <w:tr w:rsidR="000F5689" w:rsidRPr="00925F26" w14:paraId="722C8D75" w14:textId="77777777">
        <w:tc>
          <w:tcPr>
            <w:tcW w:w="817" w:type="dxa"/>
          </w:tcPr>
          <w:p w14:paraId="7CE026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276" w:type="dxa"/>
          </w:tcPr>
          <w:p w14:paraId="3E3B42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М-11</w:t>
            </w:r>
          </w:p>
        </w:tc>
        <w:tc>
          <w:tcPr>
            <w:tcW w:w="850" w:type="dxa"/>
          </w:tcPr>
          <w:p w14:paraId="027BD5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3189</w:t>
            </w:r>
          </w:p>
        </w:tc>
        <w:tc>
          <w:tcPr>
            <w:tcW w:w="851" w:type="dxa"/>
          </w:tcPr>
          <w:p w14:paraId="63BD59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2855</w:t>
            </w:r>
          </w:p>
        </w:tc>
      </w:tr>
      <w:tr w:rsidR="000F5689" w:rsidRPr="00925F26" w14:paraId="6A0DE770" w14:textId="77777777">
        <w:tc>
          <w:tcPr>
            <w:tcW w:w="817" w:type="dxa"/>
          </w:tcPr>
          <w:p w14:paraId="323BB8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38131F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М-11</w:t>
            </w:r>
          </w:p>
        </w:tc>
        <w:tc>
          <w:tcPr>
            <w:tcW w:w="850" w:type="dxa"/>
          </w:tcPr>
          <w:p w14:paraId="509B32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4928</w:t>
            </w:r>
          </w:p>
        </w:tc>
        <w:tc>
          <w:tcPr>
            <w:tcW w:w="851" w:type="dxa"/>
          </w:tcPr>
          <w:p w14:paraId="6CFABC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5019</w:t>
            </w:r>
          </w:p>
        </w:tc>
      </w:tr>
      <w:tr w:rsidR="000F5689" w:rsidRPr="00925F26" w14:paraId="424D0B00" w14:textId="77777777">
        <w:tc>
          <w:tcPr>
            <w:tcW w:w="817" w:type="dxa"/>
          </w:tcPr>
          <w:p w14:paraId="327498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500</w:t>
            </w:r>
          </w:p>
        </w:tc>
        <w:tc>
          <w:tcPr>
            <w:tcW w:w="1276" w:type="dxa"/>
          </w:tcPr>
          <w:p w14:paraId="3E1B32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АЧ-30Б</w:t>
            </w:r>
          </w:p>
        </w:tc>
        <w:tc>
          <w:tcPr>
            <w:tcW w:w="850" w:type="dxa"/>
          </w:tcPr>
          <w:p w14:paraId="345C36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562</w:t>
            </w:r>
          </w:p>
        </w:tc>
        <w:tc>
          <w:tcPr>
            <w:tcW w:w="851" w:type="dxa"/>
          </w:tcPr>
          <w:p w14:paraId="509A16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411</w:t>
            </w:r>
          </w:p>
        </w:tc>
      </w:tr>
      <w:tr w:rsidR="00561F31" w:rsidRPr="00925F26" w14:paraId="189DFFDC" w14:textId="77777777">
        <w:tc>
          <w:tcPr>
            <w:tcW w:w="817" w:type="dxa"/>
          </w:tcPr>
          <w:p w14:paraId="20ABD8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1276" w:type="dxa"/>
          </w:tcPr>
          <w:p w14:paraId="7BA7A1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АШ-62ИР</w:t>
            </w:r>
          </w:p>
        </w:tc>
        <w:tc>
          <w:tcPr>
            <w:tcW w:w="850" w:type="dxa"/>
          </w:tcPr>
          <w:p w14:paraId="68FB1E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851" w:type="dxa"/>
          </w:tcPr>
          <w:p w14:paraId="04D91F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(2563,155)</w:t>
            </w:r>
          </w:p>
        </w:tc>
      </w:tr>
    </w:tbl>
    <w:p w14:paraId="006D5525" w14:textId="77777777" w:rsidR="00C2313B" w:rsidRPr="00925F26" w:rsidRDefault="00C2313B" w:rsidP="00925F26">
      <w:pPr>
        <w:autoSpaceDE w:val="0"/>
        <w:autoSpaceDN w:val="0"/>
        <w:adjustRightInd w:val="0"/>
        <w:jc w:val="both"/>
        <w:rPr>
          <w:color w:val="000000" w:themeColor="text1"/>
          <w:sz w:val="16"/>
          <w:szCs w:val="16"/>
        </w:rPr>
      </w:pPr>
    </w:p>
    <w:p w14:paraId="56B2FF5D" w14:textId="77777777" w:rsidR="004D7EEE" w:rsidRPr="00925F26" w:rsidRDefault="004D7EEE" w:rsidP="00925F26">
      <w:pPr>
        <w:jc w:val="both"/>
        <w:rPr>
          <w:color w:val="000000" w:themeColor="text1"/>
          <w:sz w:val="16"/>
          <w:szCs w:val="16"/>
        </w:rPr>
      </w:pPr>
      <w:r w:rsidRPr="00925F26">
        <w:rPr>
          <w:color w:val="000000" w:themeColor="text1"/>
          <w:sz w:val="16"/>
          <w:szCs w:val="16"/>
        </w:rPr>
        <w:t>6 января 1945 г. несколько «Сентаурусов» VII прибыли в Мурманск. В том же месяце в ЦИАМ начали готовить испытательный стенд. 3 марта туда доставили двигатели.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2BFB746B" w14:textId="77777777" w:rsidR="004D7EEE" w:rsidRPr="00925F26" w:rsidRDefault="004D7EEE" w:rsidP="00925F26">
      <w:pPr>
        <w:jc w:val="both"/>
        <w:rPr>
          <w:color w:val="000000" w:themeColor="text1"/>
          <w:sz w:val="16"/>
          <w:szCs w:val="16"/>
        </w:rPr>
      </w:pPr>
    </w:p>
    <w:p w14:paraId="7D68251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F63A31F" w14:textId="77777777" w:rsidR="00C2313B" w:rsidRPr="00925F26" w:rsidRDefault="00C2313B" w:rsidP="00925F26">
      <w:pPr>
        <w:autoSpaceDE w:val="0"/>
        <w:autoSpaceDN w:val="0"/>
        <w:adjustRightInd w:val="0"/>
        <w:jc w:val="both"/>
        <w:rPr>
          <w:iCs/>
          <w:color w:val="000000" w:themeColor="text1"/>
          <w:sz w:val="16"/>
          <w:szCs w:val="16"/>
        </w:rPr>
      </w:pPr>
    </w:p>
    <w:p w14:paraId="4C75B174" w14:textId="77777777" w:rsidR="007347DA" w:rsidRPr="00925F26" w:rsidRDefault="007347DA" w:rsidP="00925F26">
      <w:pPr>
        <w:jc w:val="both"/>
        <w:rPr>
          <w:color w:val="000000" w:themeColor="text1"/>
          <w:sz w:val="16"/>
          <w:szCs w:val="16"/>
        </w:rPr>
      </w:pPr>
      <w:r w:rsidRPr="00925F26">
        <w:rPr>
          <w:color w:val="000000" w:themeColor="text1"/>
          <w:sz w:val="16"/>
          <w:szCs w:val="16"/>
        </w:rPr>
        <w:t>С 6 по 19 января 1945 года переделанная СУ-85А испытавалась на НИБТ Полигоне в Кубинке. Там она прошла 1028 километров (511 по шоссе, 330 по просёлку и 187 по целине). И в зимних условиях машина вела себя на уровне обычной СУ-76М. Увеличение массы на две тонны не сказалось на надёжности машины, в ходе испытаний поломок отмечено не было. Средние скорости 29,2 км/ч по шоссе, 22,1 км/ч по просёлку и 17,1 км/ч по целине, показанные в зимних условиях, также соответствовали ходовым характеристикам более лёгкой СУ-76М. Максимальный угол, преодолеваемый машиной, составил 25 градусов, дальше ей не хватало сцепления гусениц с заснеженным грунтом.</w:t>
      </w:r>
    </w:p>
    <w:p w14:paraId="5A259D22" w14:textId="77777777" w:rsidR="007347DA" w:rsidRPr="00925F26" w:rsidRDefault="007347DA" w:rsidP="00925F26">
      <w:pPr>
        <w:jc w:val="both"/>
        <w:rPr>
          <w:color w:val="000000" w:themeColor="text1"/>
          <w:sz w:val="16"/>
          <w:szCs w:val="16"/>
        </w:rPr>
      </w:pPr>
      <w:r w:rsidRPr="00925F26">
        <w:rPr>
          <w:color w:val="000000" w:themeColor="text1"/>
          <w:sz w:val="16"/>
          <w:szCs w:val="16"/>
        </w:rPr>
        <w:t>Совсем иная картина наблюдалась на огневых испытаниях. Замечания Арткома ГАУ в адрес орудия Д-5С-85А были обоснованными. Эта система хорошо подходила для СУ-85, КВ-85 и ИС-85, но не особо годилась для лёгкой САУ. Высокое сопротивление откату устранить было непросто, поэтому результаты огневых испытаний оказались предсказуемыми. В то время, как СУ-76М и СУ-85 при стрельбе практически не сносило в продольной плоскости, у СУ-85А значение невозвратного отхода назад составило 380–457 мм при расторможенных гусеницах. Существенной оказалась амплитуда вертикальных колебаний. При выстреле машину чуть разворачивало влево. Кучность оказалась удовлетворительной, а прицельная скорострельность составила шесть выстрелов в минуту, то есть на уровне СУ-85.</w:t>
      </w:r>
    </w:p>
    <w:p w14:paraId="700A1410" w14:textId="77777777" w:rsidR="007347DA" w:rsidRPr="00925F26" w:rsidRDefault="007347DA" w:rsidP="00925F26">
      <w:pPr>
        <w:jc w:val="both"/>
        <w:rPr>
          <w:color w:val="000000" w:themeColor="text1"/>
          <w:sz w:val="16"/>
          <w:szCs w:val="16"/>
        </w:rPr>
      </w:pPr>
      <w:r w:rsidRPr="00925F26">
        <w:rPr>
          <w:color w:val="000000" w:themeColor="text1"/>
          <w:sz w:val="16"/>
          <w:szCs w:val="16"/>
        </w:rPr>
        <w:t>Выяснилось, что стрельба по движущимся целям на дистанции 1,5 километра хоть и возможна, но не эффективна из-за затруднений, возникающих у командира машины при корректировке огня. Также имели место проблемы с прочностью системы: пружины Бельвилля после пробега 200–300 километров оказались деформированными. Из-за этого нагрузка на маховики наводки увеличивалась до 12–15 килограмм. Сохранилась и проблема с люфтами механизмов наведения. При обстреле защиты подвижной бронировки из пулемёта MG 42 брызги от пуль попадали в боевое отделение.</w:t>
      </w:r>
    </w:p>
    <w:p w14:paraId="4DB0AD89" w14:textId="77777777" w:rsidR="007347DA" w:rsidRPr="00925F26" w:rsidRDefault="007347DA" w:rsidP="00925F26">
      <w:pPr>
        <w:jc w:val="both"/>
        <w:rPr>
          <w:color w:val="000000" w:themeColor="text1"/>
          <w:sz w:val="16"/>
          <w:szCs w:val="16"/>
        </w:rPr>
      </w:pPr>
      <w:r w:rsidRPr="00925F26">
        <w:rPr>
          <w:color w:val="000000" w:themeColor="text1"/>
          <w:sz w:val="16"/>
          <w:szCs w:val="16"/>
        </w:rPr>
        <w:t>Заключение НИБТ Полигона оказалось близким к предыдущему отчёту. Шасси СУ-85А было вполне надёжным, но орудие явно требовало замены. Существенная переделка машины, а особенно её артиллерийской части, стала неизбежной (18098).</w:t>
      </w:r>
    </w:p>
    <w:p w14:paraId="0DFE4733" w14:textId="77777777" w:rsidR="007347DA" w:rsidRPr="00925F26" w:rsidRDefault="007347DA" w:rsidP="00925F26">
      <w:pPr>
        <w:jc w:val="both"/>
        <w:rPr>
          <w:color w:val="000000" w:themeColor="text1"/>
          <w:sz w:val="16"/>
          <w:szCs w:val="16"/>
        </w:rPr>
      </w:pPr>
    </w:p>
    <w:p w14:paraId="68A49CE7" w14:textId="77777777" w:rsidR="00DC771B" w:rsidRPr="001A0BAA" w:rsidRDefault="00DC771B" w:rsidP="00DC771B">
      <w:pPr>
        <w:jc w:val="both"/>
        <w:rPr>
          <w:color w:val="0070C0"/>
          <w:sz w:val="16"/>
          <w:szCs w:val="16"/>
        </w:rPr>
      </w:pPr>
      <w:r w:rsidRPr="001A0BAA">
        <w:rPr>
          <w:color w:val="0070C0"/>
          <w:sz w:val="16"/>
          <w:szCs w:val="16"/>
        </w:rPr>
        <w:t>В период с 6 по 19 января 1945 года СУ-85А испытывалась на НИБТ Полигоне. Всего машина прошла 1028 километров, из них 511 по шоссе, 330 по просёлку и 187 по целине. Средние скорости движения при этом составили 29,2, 22,1 и 17,1 км/ч соответственно. В целом комиссия указывала, что ходовая часть машины не вызывает сомнений. Иная ситуация оказалась с орудием. Испытаний стрельбой (всего произвели 234 выстрела) показали, что кучность стрельбы в 3 раза хуже, чем у СУ-85. При выстреле машину отбрасывало назад на 380–457 мм. Также выявилась недостаточная прочность системы. Имелись проблемы с попаданием пуль внутрь боевого отделения (то же самое было и у СУ-76М) (24906).</w:t>
      </w:r>
    </w:p>
    <w:p w14:paraId="0E2435AB" w14:textId="77777777" w:rsidR="00DC771B" w:rsidRPr="001A0BAA" w:rsidRDefault="00DC771B" w:rsidP="00DC771B">
      <w:pPr>
        <w:jc w:val="both"/>
        <w:rPr>
          <w:color w:val="0070C0"/>
          <w:sz w:val="16"/>
          <w:szCs w:val="16"/>
        </w:rPr>
      </w:pPr>
    </w:p>
    <w:p w14:paraId="6EFE2E9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января 1945 вышло Постановление ГКО № 7271 Об изменении режима светомаскировки на железнодорожном транспорте. (7295, 86).</w:t>
      </w:r>
    </w:p>
    <w:p w14:paraId="284F3AFE"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296E2C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января 1945 вышло Постановление ГКО № 7272 О мерах по обеспечению отгрузки импортных грузов по Приморской железной дороге в январе 1945 г. (7295, 87-90).</w:t>
      </w:r>
    </w:p>
    <w:p w14:paraId="718721E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82D19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вышло Постановление ГКО № 7273 Об использовании нефтяных труб, завезенных из Румынии. РГАНИР, Фонд ГКО, д. 348, лл. 91-93 (11012).</w:t>
      </w:r>
    </w:p>
    <w:p w14:paraId="253C02A3" w14:textId="77777777" w:rsidR="00C2313B" w:rsidRPr="00925F26" w:rsidRDefault="00C2313B" w:rsidP="00925F26">
      <w:pPr>
        <w:autoSpaceDE w:val="0"/>
        <w:autoSpaceDN w:val="0"/>
        <w:adjustRightInd w:val="0"/>
        <w:jc w:val="both"/>
        <w:rPr>
          <w:color w:val="000000" w:themeColor="text1"/>
          <w:sz w:val="16"/>
          <w:szCs w:val="16"/>
        </w:rPr>
      </w:pPr>
    </w:p>
    <w:p w14:paraId="0A3DEA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вышло Распоряжение ГКО № 7274. Об обеспечении снаряжательных заводов Наркомбоеприпасов корпусами снарядов и мин. РГАНИР, Фонд ГКО, д. 348, лл. 94-97, 98-105 (11012).</w:t>
      </w:r>
    </w:p>
    <w:p w14:paraId="046B4DEA" w14:textId="77777777" w:rsidR="00C2313B" w:rsidRPr="00925F26" w:rsidRDefault="00C2313B" w:rsidP="00925F26">
      <w:pPr>
        <w:autoSpaceDE w:val="0"/>
        <w:autoSpaceDN w:val="0"/>
        <w:adjustRightInd w:val="0"/>
        <w:jc w:val="both"/>
        <w:rPr>
          <w:color w:val="000000" w:themeColor="text1"/>
          <w:sz w:val="16"/>
          <w:szCs w:val="16"/>
        </w:rPr>
      </w:pPr>
    </w:p>
    <w:p w14:paraId="2398B11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января 1945 вышло Постановление ГКО № 7275 [Об отводе в тыл со 2-го и 3-го Украинских Фронтов лишних лошадей.] (7295, 106,107-108).</w:t>
      </w:r>
    </w:p>
    <w:p w14:paraId="33CFC50F"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4C79F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для разработки оперативно-тактических заданий была создана специальная комиссия, где важнейшие подко</w:t>
      </w:r>
      <w:r w:rsidRPr="00925F26">
        <w:rPr>
          <w:color w:val="000000" w:themeColor="text1"/>
          <w:sz w:val="16"/>
          <w:szCs w:val="16"/>
        </w:rPr>
        <w:softHyphen/>
        <w:t>миссии возглавляли вице-адмирал С. П. Ставицкий (по линкорам и крейсерам), контр-адмирал А. В. Добротворский (по эсминцам) и др. В план 1945 г. была включена достройка крейсеров и эсмин</w:t>
      </w:r>
      <w:r w:rsidRPr="00925F26">
        <w:rPr>
          <w:color w:val="000000" w:themeColor="text1"/>
          <w:sz w:val="16"/>
          <w:szCs w:val="16"/>
        </w:rPr>
        <w:softHyphen/>
        <w:t>цев предвоенной закладки. Одновременно Н. Г. Кузнецов доклады</w:t>
      </w:r>
      <w:r w:rsidRPr="00925F26">
        <w:rPr>
          <w:color w:val="000000" w:themeColor="text1"/>
          <w:sz w:val="16"/>
          <w:szCs w:val="16"/>
        </w:rPr>
        <w:softHyphen/>
        <w:t>вал И. В. Сталину о необходимости развернуть в 1946 г. построй</w:t>
      </w:r>
      <w:r w:rsidRPr="00925F26">
        <w:rPr>
          <w:color w:val="000000" w:themeColor="text1"/>
          <w:sz w:val="16"/>
          <w:szCs w:val="16"/>
        </w:rPr>
        <w:softHyphen/>
        <w:t xml:space="preserve">ку головных эсминцев и сторожевиков новых проектов. Судьба этих предложений, так </w:t>
      </w:r>
      <w:proofErr w:type="gramStart"/>
      <w:r w:rsidRPr="00925F26">
        <w:rPr>
          <w:color w:val="000000" w:themeColor="text1"/>
          <w:sz w:val="16"/>
          <w:szCs w:val="16"/>
        </w:rPr>
        <w:t>же</w:t>
      </w:r>
      <w:proofErr w:type="gramEnd"/>
      <w:r w:rsidRPr="00925F26">
        <w:rPr>
          <w:color w:val="000000" w:themeColor="text1"/>
          <w:sz w:val="16"/>
          <w:szCs w:val="16"/>
        </w:rPr>
        <w:t xml:space="preserve"> как и новых проектнь1х разработок, опре</w:t>
      </w:r>
      <w:r w:rsidRPr="00925F26">
        <w:rPr>
          <w:color w:val="000000" w:themeColor="text1"/>
          <w:sz w:val="16"/>
          <w:szCs w:val="16"/>
        </w:rPr>
        <w:softHyphen/>
        <w:t>делилась уже при разработке десятилетней послевоенной судостро</w:t>
      </w:r>
      <w:r w:rsidRPr="00925F26">
        <w:rPr>
          <w:color w:val="000000" w:themeColor="text1"/>
          <w:sz w:val="16"/>
          <w:szCs w:val="16"/>
        </w:rPr>
        <w:softHyphen/>
        <w:t>ительной программы (3898).</w:t>
      </w:r>
    </w:p>
    <w:p w14:paraId="39361D91" w14:textId="77777777" w:rsidR="00C2313B" w:rsidRPr="00925F26" w:rsidRDefault="00C2313B" w:rsidP="00925F26">
      <w:pPr>
        <w:autoSpaceDE w:val="0"/>
        <w:autoSpaceDN w:val="0"/>
        <w:adjustRightInd w:val="0"/>
        <w:jc w:val="both"/>
        <w:rPr>
          <w:color w:val="000000" w:themeColor="text1"/>
          <w:sz w:val="16"/>
          <w:szCs w:val="16"/>
        </w:rPr>
      </w:pPr>
    </w:p>
    <w:p w14:paraId="1EC39A58" w14:textId="77777777" w:rsidR="00DC771B" w:rsidRPr="001A0BAA" w:rsidRDefault="00DC771B" w:rsidP="00DC771B">
      <w:pPr>
        <w:jc w:val="both"/>
        <w:rPr>
          <w:color w:val="0070C0"/>
          <w:sz w:val="16"/>
          <w:szCs w:val="16"/>
        </w:rPr>
      </w:pPr>
      <w:r w:rsidRPr="001A0BAA">
        <w:rPr>
          <w:color w:val="0070C0"/>
          <w:sz w:val="16"/>
          <w:szCs w:val="16"/>
        </w:rPr>
        <w:lastRenderedPageBreak/>
        <w:t>6 января 1945 года для разработки заданий на перспективное проектирование кораблей нарком ВМФ приказал создать специальную комплексную комиссию, в которую входили авторитетные адмиралы и офицеры флота. Подкомиссию по линкорам и крейсерам возглавил начальник ВМА вице-адмирал С.П. Ставицкий, по эсминцам – контр-адмирал А.В. Добротворский. В подкомиссиях работали такие известные теоретики, как контр-адмиралы И.П. Чернышев, А.В. Томашевич, инженер-контр-адмирал А.П. Шершов, вице-адмирал Л.Г. Гончаров и другие.</w:t>
      </w:r>
    </w:p>
    <w:p w14:paraId="5104ED92" w14:textId="77777777" w:rsidR="00DC771B" w:rsidRPr="001A0BAA" w:rsidRDefault="00DC771B" w:rsidP="00DC771B">
      <w:pPr>
        <w:jc w:val="both"/>
        <w:rPr>
          <w:color w:val="0070C0"/>
          <w:sz w:val="16"/>
          <w:szCs w:val="16"/>
        </w:rPr>
      </w:pPr>
      <w:r w:rsidRPr="001A0BAA">
        <w:rPr>
          <w:color w:val="0070C0"/>
          <w:sz w:val="16"/>
          <w:szCs w:val="16"/>
        </w:rPr>
        <w:t>По результатам работы отдельных подкомиссий для перспективного проектирования и строительства были выбраны линейный корабль стандартным водоизмещением 75 000 т с мощными противоминной защитой и зенитным вооружением (более крупный, чем линкор проекта 24), большой и малый авианосцы (проект 72 ЦНИИ-45, по типу германского «Графа Цеппелина», с 30 самолетами, был отклонен), крейсер в 25 000 т с 9-дюймовой артиллерией («тяжелый» – против «вашингтонских» крейсеров с 8-дюймовыми орудиями), два типа легких крейсеров («средний» и «малый», или «крейсер» и «легкий крейсер»), два типа эскадренных миноносцев («большой» – для Севера и Тихого океана и «малый», или просто «эсминец», – для стесненных условий Балтики), три типа подводных лодок – большого, среднего и малого водоизмещения и другие корабли. Ряд предложений подкомиссий, с тактической точки зрения, был, безусловно, обоснованным и носил прогрессивный характер. Последнее вылилось в высокие требования к эффективности зенитной артиллерии, в том числе – необходимость установки универсальных орудий главного калибра на эсминцах, обоснование типа тяжелого крейсера (частичное возрождение идей 1935 года), двух типов авианосцев с сильными ударными авиагруппами. Даже кажущееся сейчас архаичным сохранение линкоров в качестве главной ударной силы флотов на всех четырех театрах для 1945 года вполне объяснимо. Новые линкоры типов «Айова» и «Монтана» строились в США, в Англии достраивался «Вэнгард», во Франции – «Жан Бар». По опыту войны на Тихом океане линкоры считались цементирующим звеном соединений флота и могли «выдержать наибольшее число ударов противника». Возможности ракет дальнего действия и атомной бомбы в Советском Союзе тогда еще не были известны. Кроме того, в ВМФ СССР полностью отсутствовал собственный опыт создания и боевого использования авианосцев. Последнее обстоятельство, кстати, сказалось в довольно расплывчатых требованиях руководства ВМФ к кораблям этого класса, хотя и Н.Г. Кузнецов, и его заместитель по кораблестроению и вооружению адмирал Л.М. Галлер, безусловно, являлись сторонниками авианосцев (25367).</w:t>
      </w:r>
    </w:p>
    <w:p w14:paraId="451ADE71" w14:textId="77777777" w:rsidR="00DC771B" w:rsidRPr="001A0BAA" w:rsidRDefault="00DC771B" w:rsidP="00DC771B">
      <w:pPr>
        <w:jc w:val="both"/>
        <w:rPr>
          <w:color w:val="0070C0"/>
          <w:sz w:val="16"/>
          <w:szCs w:val="16"/>
        </w:rPr>
      </w:pPr>
    </w:p>
    <w:p w14:paraId="6C19150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949513E" w14:textId="77777777" w:rsidR="00C2313B" w:rsidRPr="00925F26" w:rsidRDefault="00C2313B" w:rsidP="00925F26">
      <w:pPr>
        <w:autoSpaceDE w:val="0"/>
        <w:autoSpaceDN w:val="0"/>
        <w:adjustRightInd w:val="0"/>
        <w:jc w:val="both"/>
        <w:rPr>
          <w:iCs/>
          <w:color w:val="000000" w:themeColor="text1"/>
          <w:sz w:val="16"/>
          <w:szCs w:val="16"/>
        </w:rPr>
      </w:pPr>
    </w:p>
    <w:p w14:paraId="2CBE6FF2" w14:textId="77777777" w:rsidR="003E545E" w:rsidRPr="00925F26" w:rsidRDefault="003E545E" w:rsidP="00925F26">
      <w:pPr>
        <w:jc w:val="both"/>
        <w:rPr>
          <w:color w:val="000000" w:themeColor="text1"/>
          <w:sz w:val="16"/>
          <w:szCs w:val="16"/>
        </w:rPr>
      </w:pPr>
      <w:r w:rsidRPr="00925F26">
        <w:rPr>
          <w:bCs/>
          <w:color w:val="000000" w:themeColor="text1"/>
          <w:sz w:val="16"/>
          <w:szCs w:val="16"/>
        </w:rPr>
        <w:t>6 января</w:t>
      </w:r>
      <w:r w:rsidRPr="00925F26">
        <w:rPr>
          <w:color w:val="000000" w:themeColor="text1"/>
          <w:sz w:val="16"/>
          <w:szCs w:val="16"/>
        </w:rPr>
        <w:t xml:space="preserve"> в 1945 году оперативная сводка Совинформбюро:</w:t>
      </w:r>
    </w:p>
    <w:p w14:paraId="20D96823" w14:textId="77777777" w:rsidR="003E545E" w:rsidRPr="00925F26" w:rsidRDefault="003E545E" w:rsidP="00925F26">
      <w:pPr>
        <w:jc w:val="both"/>
        <w:rPr>
          <w:color w:val="000000" w:themeColor="text1"/>
          <w:sz w:val="16"/>
          <w:szCs w:val="16"/>
        </w:rPr>
      </w:pPr>
      <w:r w:rsidRPr="00925F26">
        <w:rPr>
          <w:color w:val="000000" w:themeColor="text1"/>
          <w:sz w:val="16"/>
          <w:szCs w:val="16"/>
        </w:rPr>
        <w:t>«В течение 6 января в районе Будапешта наши войска, продолжая бои по уничтожению окружённой группировки противника, заняли 173 квартала. В боях за 5 января в городе Будапеште наши войска взяли в плен 1.630 немецких и венгерских: солдат и офицеров.</w:t>
      </w:r>
    </w:p>
    <w:p w14:paraId="4F7CDCA8" w14:textId="77777777" w:rsidR="003E545E" w:rsidRPr="00925F26" w:rsidRDefault="003E545E" w:rsidP="00925F26">
      <w:pPr>
        <w:jc w:val="both"/>
        <w:rPr>
          <w:color w:val="000000" w:themeColor="text1"/>
          <w:sz w:val="16"/>
          <w:szCs w:val="16"/>
        </w:rPr>
      </w:pPr>
      <w:r w:rsidRPr="00925F26">
        <w:rPr>
          <w:color w:val="000000" w:themeColor="text1"/>
          <w:sz w:val="16"/>
          <w:szCs w:val="16"/>
        </w:rPr>
        <w:t>Северо-западнее Будапешта наши войска отбивали атаки крупных сил пехоты и танков противника и нанесли ему большие потери в живой силе и технике.</w:t>
      </w:r>
    </w:p>
    <w:p w14:paraId="0429FFFD" w14:textId="77777777" w:rsidR="003E545E" w:rsidRPr="00925F26" w:rsidRDefault="003E545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5A4E300D" w14:textId="77777777" w:rsidR="003E545E" w:rsidRPr="00925F26" w:rsidRDefault="003E545E" w:rsidP="00925F26">
      <w:pPr>
        <w:jc w:val="both"/>
        <w:rPr>
          <w:color w:val="000000" w:themeColor="text1"/>
          <w:sz w:val="16"/>
          <w:szCs w:val="16"/>
        </w:rPr>
      </w:pPr>
      <w:r w:rsidRPr="00925F26">
        <w:rPr>
          <w:color w:val="000000" w:themeColor="text1"/>
          <w:sz w:val="16"/>
          <w:szCs w:val="16"/>
        </w:rPr>
        <w:t>За 5 января наши войска на всех фронтах подбили и уничтожили 130 немецких танков, из них 65 танков северо-западнее Будапешта. В воздушных боях и огнём зенитной артиллерии сбито 17 самолётов противника.</w:t>
      </w:r>
    </w:p>
    <w:p w14:paraId="049643D5" w14:textId="77777777" w:rsidR="003E545E" w:rsidRPr="00925F26" w:rsidRDefault="003E545E" w:rsidP="00925F26">
      <w:pPr>
        <w:jc w:val="both"/>
        <w:rPr>
          <w:color w:val="000000" w:themeColor="text1"/>
          <w:sz w:val="16"/>
          <w:szCs w:val="16"/>
        </w:rPr>
      </w:pPr>
      <w:r w:rsidRPr="00925F26">
        <w:rPr>
          <w:color w:val="000000" w:themeColor="text1"/>
          <w:sz w:val="16"/>
          <w:szCs w:val="16"/>
        </w:rPr>
        <w:t>В районе Будапешта наши войска вели бои по ликвидации окруженной группировки противника. Советские части, блокируя и уничтожая узлы сопротивления гитлеровцев, в течение дня заняли 173 квартала города. Сожжено и подбито 9 немецких танков и 12 бронетранспортеров. Очищены от гитлеровцев завод авиамоторов «Мессершмитт», радиозавод и ряд других предприятий. Места боев – улицы, площади и дворы завалены трупами немецких солдат и офицеров. Только одна гвардейская часть за день истребила до 400 гитлеровцев и захватила 2 самоходных орудия, 4 бронетранспортера, 33 пулемета, 2 радиостанции и 2 склада боеприпасов. Другая наша часть заняла сорок кварталов, уничтожив при этом свыше батальона немецкой пехоты. Бойцы этой части захватили 7 противотанковых орудий, 29 пулеметов и 6 минометов. В одном районе наши штурмовые группы блокировали два больших здания, в которых засели гитлеровцы. После ожесточенного боя противник сложил оружие. Сдались в плен 130 немецких автоматчиков.</w:t>
      </w:r>
    </w:p>
    <w:p w14:paraId="13B50571" w14:textId="77777777" w:rsidR="003E545E" w:rsidRPr="00925F26" w:rsidRDefault="003E545E" w:rsidP="00925F26">
      <w:pPr>
        <w:jc w:val="both"/>
        <w:rPr>
          <w:color w:val="000000" w:themeColor="text1"/>
          <w:sz w:val="16"/>
          <w:szCs w:val="16"/>
        </w:rPr>
      </w:pPr>
      <w:r w:rsidRPr="00925F26">
        <w:rPr>
          <w:color w:val="000000" w:themeColor="text1"/>
          <w:sz w:val="16"/>
          <w:szCs w:val="16"/>
        </w:rPr>
        <w:t>Северо-западнее города Будапешт противник продолжал атаки, пытаясь прорваться на помощь свей группировке, окруженной в венгерской столице. На южном берегу Дуная рано утром две пехотные дивизии и танковая дивизия СС «Мертвая голова» перешли в атаку. Завязались упорные бои. Советские артиллеристы и бронебойщики встретили танки противника мощным огнем. Тем временем наши пехотинцы вели успешную борьбу с немецкой пехотой и десантами автоматчиков. Бой длился свыше 5 часов. Гитлеровцы понесли огромные потери и были вынуждены отойти. К исходу дня противник возобновил атаки в этом районе, бросив в бой крупные силы танков и самоходных орудий. Ожесточенное сражение произошло также к западу от города Бичке. Бои неоднократно переходили в рукопашные схватки. Советские части выдержали натиск численно превосходящих сил противника и отбили его атаки. По неполным данным, в этом районе уничтожено более 1.000 немецких солдат и офицеров, подбито и сожжено 40 вражеских танков и самоходных орудий, 5 бронемашин и 11 бронетранспортеров.</w:t>
      </w:r>
    </w:p>
    <w:p w14:paraId="229E8955" w14:textId="77777777" w:rsidR="003E545E" w:rsidRPr="00925F26" w:rsidRDefault="003E545E" w:rsidP="00925F26">
      <w:pPr>
        <w:jc w:val="both"/>
        <w:rPr>
          <w:color w:val="000000" w:themeColor="text1"/>
          <w:sz w:val="16"/>
          <w:szCs w:val="16"/>
        </w:rPr>
      </w:pPr>
      <w:r w:rsidRPr="00925F26">
        <w:rPr>
          <w:color w:val="000000" w:themeColor="text1"/>
          <w:sz w:val="16"/>
          <w:szCs w:val="16"/>
        </w:rPr>
        <w:t xml:space="preserve">Наша авиация, несмотря на неблагоприятные условия погоды, продолжала наносить </w:t>
      </w:r>
      <w:proofErr w:type="gramStart"/>
      <w:r w:rsidRPr="00925F26">
        <w:rPr>
          <w:color w:val="000000" w:themeColor="text1"/>
          <w:sz w:val="16"/>
          <w:szCs w:val="16"/>
        </w:rPr>
        <w:t>бомбо-штурмовые</w:t>
      </w:r>
      <w:proofErr w:type="gramEnd"/>
      <w:r w:rsidRPr="00925F26">
        <w:rPr>
          <w:color w:val="000000" w:themeColor="text1"/>
          <w:sz w:val="16"/>
          <w:szCs w:val="16"/>
        </w:rPr>
        <w:t xml:space="preserve"> удары по войскам противника. Советские летчики уничтожили 11 немецких танков, 6 бронемашин и 40 автомашин. В воздушных боях сбито 9 немецких самолетов.</w:t>
      </w:r>
    </w:p>
    <w:p w14:paraId="37074E15" w14:textId="77777777" w:rsidR="003E545E" w:rsidRPr="00925F26" w:rsidRDefault="003E545E" w:rsidP="00925F26">
      <w:pPr>
        <w:jc w:val="both"/>
        <w:rPr>
          <w:color w:val="000000" w:themeColor="text1"/>
          <w:sz w:val="16"/>
          <w:szCs w:val="16"/>
        </w:rPr>
      </w:pPr>
      <w:r w:rsidRPr="00925F26">
        <w:rPr>
          <w:color w:val="000000" w:themeColor="text1"/>
          <w:sz w:val="16"/>
          <w:szCs w:val="16"/>
        </w:rPr>
        <w:t>Советские воины проявляют непоколебимую стойкость и мужество в боях с врагом. Артиллерийская батарея старшего лейтенанта Литвина, отражая атаку противника подбила самоходное орудие, уничтожила 3 пулемета и до 40 гитлеровцев. Экипаж самоходной установки гвардии младшего лейтенанта Калашникова сжег тяжелый немецкий танк «Королевский тигр». Командир орудия гвардии старший сержант Чернота, наводчик гвардии сержант Зимченко и замковой ефрейтор Санчиков подбили самоходное орудие немцев. Группа бойцов, возглавляемая сержантом Олейником, ночью пробралась в расположение противника и напала на подразделение гитлеровцев. Отважные воины перебили 30 немцев и, захватив пленного, вернулись в расположение своей части.</w:t>
      </w:r>
    </w:p>
    <w:p w14:paraId="2E4B4B0E" w14:textId="77777777" w:rsidR="003E545E" w:rsidRPr="00925F26" w:rsidRDefault="003E545E" w:rsidP="00925F26">
      <w:pPr>
        <w:jc w:val="both"/>
        <w:rPr>
          <w:color w:val="000000" w:themeColor="text1"/>
          <w:sz w:val="16"/>
          <w:szCs w:val="16"/>
        </w:rPr>
      </w:pPr>
      <w:r w:rsidRPr="00925F26">
        <w:rPr>
          <w:color w:val="000000" w:themeColor="text1"/>
          <w:sz w:val="16"/>
          <w:szCs w:val="16"/>
        </w:rPr>
        <w:t>Юго-западнее города Остроленка артиллеристы Н-ского соединения произвели обстрел вражеских позиций. Разбито 2 немецких дзота, 3 блиндажа, уничтожено 8 пулеметных точек и рассеяно скопление вражеской пехоты. На другом участке разведывательные отряды противника атаковали наши позиции. Гитлеровцы попали под сильный огонь советских пулеметчиков и минометчиков и поспешно отступили. На поле боя осталось несколько десятков убитых и раненых немецких солдат.</w:t>
      </w:r>
    </w:p>
    <w:p w14:paraId="198B203F" w14:textId="77777777" w:rsidR="003E545E" w:rsidRPr="00925F26" w:rsidRDefault="003E545E" w:rsidP="00925F26">
      <w:pPr>
        <w:jc w:val="both"/>
        <w:rPr>
          <w:color w:val="000000" w:themeColor="text1"/>
          <w:sz w:val="16"/>
          <w:szCs w:val="16"/>
        </w:rPr>
      </w:pPr>
      <w:r w:rsidRPr="00925F26">
        <w:rPr>
          <w:color w:val="000000" w:themeColor="text1"/>
          <w:sz w:val="16"/>
          <w:szCs w:val="16"/>
        </w:rPr>
        <w:t>На 1-м Украинском фронте на одном участке бойцы подразделения гвардии майора Славгородского предприняли разведку боем. Рано утром советская артиллерия совершила огневой налет на расположение противника. Следуя за огневым валом, наши подразделения ворвались во вражеские траншеи. Гитлеровцы быстро стали отходить, но в это время их накрыл мощный залп наших минометов. В результате боя полностью уничтожена рота немецкой пехоты. Захвачены 11 пленных, а также пулеметы, автоматы, винтовки и боеприпасы.» (15001).</w:t>
      </w:r>
    </w:p>
    <w:p w14:paraId="0960C14B" w14:textId="77777777" w:rsidR="003E545E" w:rsidRPr="00925F26" w:rsidRDefault="003E545E" w:rsidP="00925F26">
      <w:pPr>
        <w:jc w:val="both"/>
        <w:rPr>
          <w:color w:val="000000" w:themeColor="text1"/>
          <w:sz w:val="16"/>
          <w:szCs w:val="16"/>
        </w:rPr>
      </w:pPr>
    </w:p>
    <w:p w14:paraId="09764A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в Восточной Пруссии началось большое советское наступление и через несколько дней на аэродром в Гросс-Шиманене приземлился исправный Як-3 полка Нормандия Неман (3841).</w:t>
      </w:r>
    </w:p>
    <w:p w14:paraId="1A08ED34" w14:textId="77777777" w:rsidR="00C2313B" w:rsidRPr="00925F26" w:rsidRDefault="00C2313B" w:rsidP="00925F26">
      <w:pPr>
        <w:autoSpaceDE w:val="0"/>
        <w:autoSpaceDN w:val="0"/>
        <w:adjustRightInd w:val="0"/>
        <w:jc w:val="both"/>
        <w:rPr>
          <w:color w:val="000000" w:themeColor="text1"/>
          <w:sz w:val="16"/>
          <w:szCs w:val="16"/>
        </w:rPr>
      </w:pPr>
    </w:p>
    <w:p w14:paraId="6380AE98" w14:textId="77777777" w:rsidR="003E545E" w:rsidRPr="00925F26" w:rsidRDefault="003E545E" w:rsidP="00925F26">
      <w:pPr>
        <w:pStyle w:val="rtejustify"/>
        <w:shd w:val="clear" w:color="auto" w:fill="FFFFFF"/>
        <w:spacing w:before="0" w:after="0"/>
        <w:rPr>
          <w:color w:val="000000" w:themeColor="text1"/>
          <w:sz w:val="16"/>
          <w:szCs w:val="16"/>
        </w:rPr>
      </w:pPr>
      <w:r w:rsidRPr="00925F26">
        <w:rPr>
          <w:color w:val="000000" w:themeColor="text1"/>
          <w:sz w:val="16"/>
          <w:szCs w:val="16"/>
        </w:rPr>
        <w:t>6 января 1945 года в Восточной Пруссии началось большое советское наступление. Через несколько дней первый советский истребитель Як-3 без каких либо повреждений приземлился на аэродроме в Гросс-Шиманене. В отделе Е2 Beute (отдел занимался испытаниями захваченных самолетов противника) Испытательного центра Люфтваффе в Рехлине хотели знать больше об этом новейшем советском истребителе. Согласно уже имевшимся отчетам, он был не только гораздо легче чем Як-9, но также, как полагали, превосходил его в скороподъемности и маневренности, особенно на высотах до 3-3,5 км (15474).</w:t>
      </w:r>
    </w:p>
    <w:p w14:paraId="5AB6DABA" w14:textId="77777777" w:rsidR="003E545E" w:rsidRPr="00925F26" w:rsidRDefault="003E545E" w:rsidP="00925F26">
      <w:pPr>
        <w:pStyle w:val="rtejustify"/>
        <w:shd w:val="clear" w:color="auto" w:fill="FFFFFF"/>
        <w:spacing w:before="0" w:after="0"/>
        <w:rPr>
          <w:color w:val="000000" w:themeColor="text1"/>
          <w:sz w:val="16"/>
          <w:szCs w:val="16"/>
        </w:rPr>
      </w:pPr>
    </w:p>
    <w:p w14:paraId="33F205C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6D4BF4B" w14:textId="77777777" w:rsidR="00C2313B" w:rsidRPr="00925F26" w:rsidRDefault="00C2313B" w:rsidP="00925F26">
      <w:pPr>
        <w:autoSpaceDE w:val="0"/>
        <w:autoSpaceDN w:val="0"/>
        <w:adjustRightInd w:val="0"/>
        <w:jc w:val="both"/>
        <w:rPr>
          <w:iCs/>
          <w:color w:val="000000" w:themeColor="text1"/>
          <w:sz w:val="16"/>
          <w:szCs w:val="16"/>
        </w:rPr>
      </w:pPr>
    </w:p>
    <w:p w14:paraId="0ABB80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года нарком Берия подписал приказ НКВД № 007 “О мероприятиях по обеспечению развития, добычи и переработки урановых руд”, которым “во исполнение постановления Государственного Комитета Обороны № 7102сс/ов от 8 декабря 1944 года” на Главное управление лагерей горно-металлургических предприятий НКВД (ГУЛГМП) возлагались: разведка урановых месторождений Табошар, Уйгур-Сай, Майли-Су, Тая-Муюн и Адрасман, а также “доразведка” других урановых месторождений, передаваемых НКВД для эксплуатации в дальнейшем; добыча и переработка урановых руд из этих месторождений; строительство и эксплуатация рудников и обогатительных фабрик на существующих и вновь открываемых урановых месторождениях; строительство и эксплуатация заводов по переработке урановых руд и концентратов; разработка “технологии наиболее рационального передела урановых руд на химические соединения” и технологии получения из них металлического урана (7560).</w:t>
      </w:r>
    </w:p>
    <w:p w14:paraId="564A24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руководства “разведками, добычами и переработкой урановых руд” этим приказом в составе ГУЛГМП организовывалось Управление по урану - “Спецметуправление НКВД СССР” со штатом в 40 человек. Заместителем начальника и главным инженером Спецметуправления назначался инженер-полковник С. П. Александров (до этого - зам. начальника ГУЛГМП). В системе Спецметуправления организовывался Научно-исследовательский институт по урану, которому присваивалось условное наименование “Институт специальных металлов НКВД СССР (Инспецмет)”. Заместителю наркома внутренних дел В. В. Чернышову и начальнику ГУЛАГа В. Г. Наседкину приказывалось в первоочередном порядке обеспечить рабочей силой предприятия Спецметуправления “в полном соответствии с заявками, направляя контингент исключительно годный к тяжелому физическому труду” (7560).</w:t>
      </w:r>
    </w:p>
    <w:p w14:paraId="7554E0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Уже 12 марта приказом № 202 от 1945 года начальником Спецметуправления и заместителем начальника ГУЛГМП будет назначен комиссар ГБ С. В. Егоров, ранее заместитель начальника Дальстроя НКВД СССР, а 14 апреля приказом № 324 директором Инспецмет станет инженер-полковник В. Б. Шевченко, до этого - начальник Управления Красноярского аффинажного завода и ИТЛ НКВД. Наконец, на основании постановления ГКО № 8582сс/ов от 15 мая и приказа НКВД № 00754 от 28 июня Спецметуправлению будет присвоено условное наименование “9 управления НКВД СССР”, Инспецмету - НИИ-9 НКВД, а добывавшему уран Ферганскому горно-химическому комбинату № 6 НКВД - Комбината № 6 (позднее - “Юго-восточная техническая контора”, Ленинабад) (7560).</w:t>
      </w:r>
    </w:p>
    <w:p w14:paraId="542E0047" w14:textId="77777777" w:rsidR="00C2313B" w:rsidRPr="00925F26" w:rsidRDefault="00C2313B" w:rsidP="00925F26">
      <w:pPr>
        <w:autoSpaceDE w:val="0"/>
        <w:autoSpaceDN w:val="0"/>
        <w:adjustRightInd w:val="0"/>
        <w:jc w:val="both"/>
        <w:rPr>
          <w:color w:val="000000" w:themeColor="text1"/>
          <w:sz w:val="16"/>
          <w:szCs w:val="16"/>
        </w:rPr>
      </w:pPr>
    </w:p>
    <w:p w14:paraId="03CD8C06" w14:textId="77777777" w:rsidR="003E545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F8168B0" w14:textId="77777777" w:rsidR="003E545E" w:rsidRPr="00925F26" w:rsidRDefault="003E545E" w:rsidP="00925F26">
      <w:pPr>
        <w:autoSpaceDE w:val="0"/>
        <w:autoSpaceDN w:val="0"/>
        <w:adjustRightInd w:val="0"/>
        <w:jc w:val="both"/>
        <w:rPr>
          <w:iCs/>
          <w:color w:val="000000" w:themeColor="text1"/>
          <w:sz w:val="16"/>
          <w:szCs w:val="16"/>
        </w:rPr>
      </w:pPr>
    </w:p>
    <w:p w14:paraId="229A3614" w14:textId="77777777" w:rsidR="003E545E" w:rsidRPr="00925F26" w:rsidRDefault="003E545E" w:rsidP="00925F26">
      <w:pPr>
        <w:jc w:val="both"/>
        <w:rPr>
          <w:color w:val="000000" w:themeColor="text1"/>
          <w:sz w:val="16"/>
          <w:szCs w:val="16"/>
        </w:rPr>
      </w:pPr>
      <w:r w:rsidRPr="00925F26">
        <w:rPr>
          <w:bCs/>
          <w:color w:val="000000" w:themeColor="text1"/>
          <w:sz w:val="16"/>
          <w:szCs w:val="16"/>
        </w:rPr>
        <w:t>6 января</w:t>
      </w:r>
      <w:r w:rsidRPr="00925F26">
        <w:rPr>
          <w:color w:val="000000" w:themeColor="text1"/>
          <w:sz w:val="16"/>
          <w:szCs w:val="16"/>
        </w:rPr>
        <w:t xml:space="preserve"> в 1945 году премьер-министр Уинстон Черчилль обратился к И.В.Сталину с просьбой оказать срочную помощь в связи с наступлением немецких войск в Арденнах (15001).</w:t>
      </w:r>
    </w:p>
    <w:p w14:paraId="111966C6" w14:textId="77777777" w:rsidR="003E545E" w:rsidRPr="00925F26" w:rsidRDefault="003E545E" w:rsidP="00925F26">
      <w:pPr>
        <w:jc w:val="both"/>
        <w:rPr>
          <w:color w:val="000000" w:themeColor="text1"/>
          <w:sz w:val="16"/>
          <w:szCs w:val="16"/>
        </w:rPr>
      </w:pPr>
    </w:p>
    <w:p w14:paraId="168874A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BF0D3E9" w14:textId="77777777" w:rsidR="00C2313B" w:rsidRPr="00925F26" w:rsidRDefault="00C2313B" w:rsidP="00925F26">
      <w:pPr>
        <w:autoSpaceDE w:val="0"/>
        <w:autoSpaceDN w:val="0"/>
        <w:adjustRightInd w:val="0"/>
        <w:jc w:val="both"/>
        <w:rPr>
          <w:iCs/>
          <w:color w:val="000000" w:themeColor="text1"/>
          <w:sz w:val="16"/>
          <w:szCs w:val="16"/>
        </w:rPr>
      </w:pPr>
    </w:p>
    <w:p w14:paraId="30FE5A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января 1945 Б-29 нанесли удар по Токио и Нанкину (2100).</w:t>
      </w:r>
    </w:p>
    <w:p w14:paraId="28F3024D" w14:textId="77777777" w:rsidR="00C2313B" w:rsidRPr="00925F26" w:rsidRDefault="00C2313B" w:rsidP="00925F26">
      <w:pPr>
        <w:autoSpaceDE w:val="0"/>
        <w:autoSpaceDN w:val="0"/>
        <w:adjustRightInd w:val="0"/>
        <w:jc w:val="both"/>
        <w:rPr>
          <w:color w:val="000000" w:themeColor="text1"/>
          <w:sz w:val="16"/>
          <w:szCs w:val="16"/>
        </w:rPr>
      </w:pPr>
    </w:p>
    <w:p w14:paraId="0DAC13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6-8 января 1945 на ТО американский флот вошел в Лингейенский залив в северо-западной части о Лусон на Филиппинском архипелаге (3907,255).</w:t>
      </w:r>
    </w:p>
    <w:p w14:paraId="1D70F837" w14:textId="77777777" w:rsidR="00C2313B" w:rsidRPr="00925F26" w:rsidRDefault="00C2313B" w:rsidP="00925F26">
      <w:pPr>
        <w:autoSpaceDE w:val="0"/>
        <w:autoSpaceDN w:val="0"/>
        <w:adjustRightInd w:val="0"/>
        <w:jc w:val="both"/>
        <w:rPr>
          <w:color w:val="000000" w:themeColor="text1"/>
          <w:sz w:val="16"/>
          <w:szCs w:val="16"/>
        </w:rPr>
      </w:pPr>
    </w:p>
    <w:p w14:paraId="11EF0663" w14:textId="77777777" w:rsidR="003E545E" w:rsidRPr="00925F26" w:rsidRDefault="003E545E" w:rsidP="00925F26">
      <w:pPr>
        <w:jc w:val="both"/>
        <w:rPr>
          <w:color w:val="000000" w:themeColor="text1"/>
          <w:sz w:val="16"/>
          <w:szCs w:val="16"/>
        </w:rPr>
      </w:pPr>
      <w:r w:rsidRPr="00925F26">
        <w:rPr>
          <w:bCs/>
          <w:color w:val="000000" w:themeColor="text1"/>
          <w:sz w:val="16"/>
          <w:szCs w:val="16"/>
        </w:rPr>
        <w:t>6 января</w:t>
      </w:r>
      <w:r w:rsidRPr="00925F26">
        <w:rPr>
          <w:color w:val="000000" w:themeColor="text1"/>
          <w:sz w:val="16"/>
          <w:szCs w:val="16"/>
        </w:rPr>
        <w:t xml:space="preserve"> в 1945 году в ходе атаки японских камикадзе эскадры адмирала Олдендорфа 11 кораблей было повреждено и 1 (тральщик «Лонг») потоплен. В результате атак авиации противника силы адмирала Олдендорфа после выхода из залива Лейте (Филиппины) потеряли 325 человек убитыми и около 800 ранеными (15001).</w:t>
      </w:r>
    </w:p>
    <w:p w14:paraId="19D4C47B" w14:textId="77777777" w:rsidR="003E545E" w:rsidRPr="00925F26" w:rsidRDefault="003E545E" w:rsidP="00925F26">
      <w:pPr>
        <w:jc w:val="both"/>
        <w:rPr>
          <w:color w:val="000000" w:themeColor="text1"/>
          <w:sz w:val="16"/>
          <w:szCs w:val="16"/>
        </w:rPr>
      </w:pPr>
    </w:p>
    <w:p w14:paraId="7910ECA7" w14:textId="77777777" w:rsidR="005A1318" w:rsidRPr="00925F26" w:rsidRDefault="005A1318" w:rsidP="00925F26">
      <w:pPr>
        <w:jc w:val="both"/>
        <w:rPr>
          <w:color w:val="000000" w:themeColor="text1"/>
          <w:sz w:val="16"/>
          <w:szCs w:val="16"/>
        </w:rPr>
      </w:pPr>
      <w:r w:rsidRPr="00925F26">
        <w:rPr>
          <w:color w:val="000000" w:themeColor="text1"/>
          <w:sz w:val="16"/>
          <w:szCs w:val="16"/>
        </w:rPr>
        <w:t>6 января 1945 B-29 ВВС совершили налет на авиазавод Омура на острове Кюсю (20371).</w:t>
      </w:r>
    </w:p>
    <w:p w14:paraId="1953C426" w14:textId="77777777" w:rsidR="005A1318" w:rsidRPr="00925F26" w:rsidRDefault="005A1318" w:rsidP="00925F26">
      <w:pPr>
        <w:jc w:val="both"/>
        <w:rPr>
          <w:color w:val="000000" w:themeColor="text1"/>
          <w:sz w:val="16"/>
          <w:szCs w:val="16"/>
        </w:rPr>
      </w:pPr>
    </w:p>
    <w:p w14:paraId="3D98947C" w14:textId="77777777" w:rsidR="005A1318" w:rsidRPr="00925F26" w:rsidRDefault="005A1318" w:rsidP="00925F26">
      <w:pPr>
        <w:jc w:val="both"/>
        <w:rPr>
          <w:color w:val="000000" w:themeColor="text1"/>
          <w:sz w:val="16"/>
          <w:szCs w:val="16"/>
        </w:rPr>
      </w:pPr>
      <w:r w:rsidRPr="00925F26">
        <w:rPr>
          <w:color w:val="000000" w:themeColor="text1"/>
          <w:sz w:val="16"/>
          <w:szCs w:val="16"/>
        </w:rPr>
        <w:t>6 января 1945 в заливе Лингайен камикадзе повредили линкор USS New Mexico, убив 30 человек, в том числе британского генерал-лейтенанта Герберта Ламсдена, линкор USS Californi , тяжелый крейсер USS Louisville, смертельно ранив контр-адмирала Теодора Э. Чандлера, тяжелого крейсера HMAS Australia, легкого крейсер USS Columbia, три эсминца и тральщик (20371).</w:t>
      </w:r>
    </w:p>
    <w:p w14:paraId="2185391B" w14:textId="77777777" w:rsidR="005A1318" w:rsidRPr="00925F26" w:rsidRDefault="005A1318" w:rsidP="00925F26">
      <w:pPr>
        <w:jc w:val="both"/>
        <w:rPr>
          <w:color w:val="000000" w:themeColor="text1"/>
          <w:sz w:val="16"/>
          <w:szCs w:val="16"/>
        </w:rPr>
      </w:pPr>
    </w:p>
    <w:p w14:paraId="0EEC9568" w14:textId="25EDB52B" w:rsidR="005A1318" w:rsidRPr="00925F26" w:rsidRDefault="005A1318" w:rsidP="00925F26">
      <w:pPr>
        <w:jc w:val="both"/>
        <w:rPr>
          <w:color w:val="000000" w:themeColor="text1"/>
          <w:sz w:val="16"/>
          <w:szCs w:val="16"/>
        </w:rPr>
      </w:pPr>
      <w:r w:rsidRPr="00925F26">
        <w:rPr>
          <w:color w:val="000000" w:themeColor="text1"/>
          <w:sz w:val="16"/>
          <w:szCs w:val="16"/>
        </w:rPr>
        <w:t>6 января 1945</w:t>
      </w:r>
      <w:r w:rsidR="00997EDF" w:rsidRPr="00925F26">
        <w:rPr>
          <w:color w:val="000000" w:themeColor="text1"/>
          <w:sz w:val="16"/>
          <w:szCs w:val="16"/>
        </w:rPr>
        <w:t xml:space="preserve">  </w:t>
      </w:r>
      <w:r w:rsidRPr="00925F26">
        <w:rPr>
          <w:color w:val="000000" w:themeColor="text1"/>
          <w:sz w:val="16"/>
          <w:szCs w:val="16"/>
        </w:rPr>
        <w:t>- В ходе атаки японских камикадзе эскадры адмирала Олдендорфа 11 кораблей было повреждено и 1 (тральщик «Лонг») потоплен. В результате атак авиации противника силы адмирала Олдендорфа после выхода из залива Лейте (Филиппины) потеряли 325 человек убитыми и около 800 ранеными (22678).</w:t>
      </w:r>
    </w:p>
    <w:p w14:paraId="252C6D08" w14:textId="77777777" w:rsidR="005A1318" w:rsidRPr="00925F26" w:rsidRDefault="005A1318" w:rsidP="00925F26">
      <w:pPr>
        <w:jc w:val="both"/>
        <w:rPr>
          <w:color w:val="000000" w:themeColor="text1"/>
          <w:sz w:val="16"/>
          <w:szCs w:val="16"/>
        </w:rPr>
      </w:pPr>
    </w:p>
    <w:p w14:paraId="345F92DD" w14:textId="77777777" w:rsidR="005A1318" w:rsidRPr="00925F26" w:rsidRDefault="005A1318" w:rsidP="00925F26">
      <w:pPr>
        <w:pStyle w:val="ae"/>
        <w:spacing w:before="0" w:after="0"/>
        <w:jc w:val="both"/>
        <w:textAlignment w:val="baseline"/>
        <w:rPr>
          <w:color w:val="000000" w:themeColor="text1"/>
          <w:sz w:val="16"/>
          <w:szCs w:val="16"/>
        </w:rPr>
      </w:pPr>
      <w:r w:rsidRPr="00925F26">
        <w:rPr>
          <w:color w:val="000000" w:themeColor="text1"/>
          <w:sz w:val="16"/>
          <w:szCs w:val="16"/>
          <w:bdr w:val="none" w:sz="0" w:space="0" w:color="auto" w:frame="1"/>
        </w:rPr>
        <w:t>6 января 1945 г. несколько «Сентаурусов» VII прибыли в Мурманск. В том же месяце в ЦИАМ начали готовить испытательный стенд. 3 марта туда доставили двигатели.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(20442).</w:t>
      </w:r>
    </w:p>
    <w:p w14:paraId="519202A6" w14:textId="77777777" w:rsidR="005A1318" w:rsidRPr="00925F26" w:rsidRDefault="005A1318" w:rsidP="00925F26">
      <w:pPr>
        <w:jc w:val="both"/>
        <w:rPr>
          <w:color w:val="000000" w:themeColor="text1"/>
          <w:sz w:val="16"/>
          <w:szCs w:val="16"/>
          <w:shd w:val="clear" w:color="auto" w:fill="FFFFFF"/>
        </w:rPr>
      </w:pPr>
    </w:p>
    <w:p w14:paraId="12826539" w14:textId="77777777" w:rsidR="003E545E" w:rsidRPr="00925F26" w:rsidRDefault="003E545E" w:rsidP="00925F26">
      <w:pPr>
        <w:jc w:val="both"/>
        <w:rPr>
          <w:color w:val="000000" w:themeColor="text1"/>
          <w:sz w:val="16"/>
          <w:szCs w:val="16"/>
        </w:rPr>
      </w:pPr>
      <w:r w:rsidRPr="00925F26">
        <w:rPr>
          <w:bCs/>
          <w:color w:val="000000" w:themeColor="text1"/>
          <w:sz w:val="16"/>
          <w:szCs w:val="16"/>
        </w:rPr>
        <w:t>6 января</w:t>
      </w:r>
      <w:r w:rsidRPr="00925F26">
        <w:rPr>
          <w:color w:val="000000" w:themeColor="text1"/>
          <w:sz w:val="16"/>
          <w:szCs w:val="16"/>
        </w:rPr>
        <w:t xml:space="preserve"> в 1945 году заканчивается битва Bulge, или Арденесское наступление. Погибают 130 000 немцев и 77 000 союзников (15001).</w:t>
      </w:r>
    </w:p>
    <w:p w14:paraId="2F71FA93" w14:textId="77777777" w:rsidR="003E545E" w:rsidRPr="00925F26" w:rsidRDefault="003E545E" w:rsidP="00925F26">
      <w:pPr>
        <w:jc w:val="both"/>
        <w:rPr>
          <w:color w:val="000000" w:themeColor="text1"/>
          <w:sz w:val="16"/>
          <w:szCs w:val="16"/>
        </w:rPr>
      </w:pPr>
    </w:p>
    <w:p w14:paraId="42A69C1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CBEEB29" w14:textId="77777777" w:rsidR="00C2313B" w:rsidRPr="00925F26" w:rsidRDefault="00C2313B" w:rsidP="00925F26">
      <w:pPr>
        <w:autoSpaceDE w:val="0"/>
        <w:autoSpaceDN w:val="0"/>
        <w:adjustRightInd w:val="0"/>
        <w:jc w:val="both"/>
        <w:rPr>
          <w:iCs/>
          <w:color w:val="000000" w:themeColor="text1"/>
          <w:sz w:val="16"/>
          <w:szCs w:val="16"/>
        </w:rPr>
      </w:pPr>
    </w:p>
    <w:p w14:paraId="7A07F706" w14:textId="2CF61E8D" w:rsidR="005A1318" w:rsidRPr="00925F26" w:rsidRDefault="005A1318" w:rsidP="00925F26">
      <w:pPr>
        <w:jc w:val="both"/>
        <w:rPr>
          <w:color w:val="000000" w:themeColor="text1"/>
          <w:sz w:val="16"/>
          <w:szCs w:val="16"/>
        </w:rPr>
      </w:pPr>
      <w:r w:rsidRPr="00925F26">
        <w:rPr>
          <w:color w:val="000000" w:themeColor="text1"/>
          <w:sz w:val="16"/>
          <w:szCs w:val="16"/>
        </w:rPr>
        <w:t xml:space="preserve">В начале 1945 г. завершили переделку Ту-2 № 9.14 в варианте торпедоносца в соответствии с новыми ТТТ штаба морской авиации, кторые появились в сентябре 1944. его Испытания велись на аэродроме Саки в Крыму, на базе 5-го гв. мтап. Полеты проходили с 13 февраля по 15 апреля 1945 г. Всего сбросили </w:t>
      </w:r>
      <w:proofErr w:type="gramStart"/>
      <w:r w:rsidRPr="00925F26">
        <w:rPr>
          <w:color w:val="000000" w:themeColor="text1"/>
          <w:sz w:val="16"/>
          <w:szCs w:val="16"/>
        </w:rPr>
        <w:t>20</w:t>
      </w:r>
      <w:r w:rsidR="00997EDF" w:rsidRPr="00925F26">
        <w:rPr>
          <w:color w:val="000000" w:themeColor="text1"/>
          <w:sz w:val="16"/>
          <w:szCs w:val="16"/>
        </w:rPr>
        <w:t xml:space="preserve">  </w:t>
      </w:r>
      <w:r w:rsidRPr="00925F26">
        <w:rPr>
          <w:color w:val="000000" w:themeColor="text1"/>
          <w:sz w:val="16"/>
          <w:szCs w:val="16"/>
        </w:rPr>
        <w:t>торпед</w:t>
      </w:r>
      <w:proofErr w:type="gramEnd"/>
      <w:r w:rsidRPr="00925F26">
        <w:rPr>
          <w:color w:val="000000" w:themeColor="text1"/>
          <w:sz w:val="16"/>
          <w:szCs w:val="16"/>
        </w:rPr>
        <w:t xml:space="preserve"> 45-36АН и усовершенствованных 45-36АНУ, как практических, без заряда, так и боевых. В программу испытаний входили и учебные атаки со сбросом по катеру-цели. По заключению комиссии торпедоносец испытания выдержал и был рекомендован к принятию на вооружение. Уже </w:t>
      </w:r>
      <w:proofErr w:type="gramStart"/>
      <w:r w:rsidRPr="00925F26">
        <w:rPr>
          <w:color w:val="000000" w:themeColor="text1"/>
          <w:sz w:val="16"/>
          <w:szCs w:val="16"/>
        </w:rPr>
        <w:t>4</w:t>
      </w:r>
      <w:r w:rsidR="00997EDF" w:rsidRPr="00925F26">
        <w:rPr>
          <w:color w:val="000000" w:themeColor="text1"/>
          <w:sz w:val="16"/>
          <w:szCs w:val="16"/>
        </w:rPr>
        <w:t xml:space="preserve">  </w:t>
      </w:r>
      <w:r w:rsidRPr="00925F26">
        <w:rPr>
          <w:color w:val="000000" w:themeColor="text1"/>
          <w:sz w:val="16"/>
          <w:szCs w:val="16"/>
        </w:rPr>
        <w:t>мая</w:t>
      </w:r>
      <w:proofErr w:type="gramEnd"/>
      <w:r w:rsidRPr="00925F26">
        <w:rPr>
          <w:color w:val="000000" w:themeColor="text1"/>
          <w:sz w:val="16"/>
          <w:szCs w:val="16"/>
        </w:rPr>
        <w:t xml:space="preserve"> командование флота заказало первые 20 комплектов для переоснащения уже имевшихся у морской авиации бомбардировщиков Ту-2 (21059).</w:t>
      </w:r>
    </w:p>
    <w:p w14:paraId="1E9C99DB" w14:textId="77777777" w:rsidR="005A1318" w:rsidRPr="00925F26" w:rsidRDefault="005A1318" w:rsidP="00925F26">
      <w:pPr>
        <w:jc w:val="both"/>
        <w:rPr>
          <w:color w:val="000000" w:themeColor="text1"/>
          <w:sz w:val="16"/>
          <w:szCs w:val="16"/>
        </w:rPr>
      </w:pPr>
    </w:p>
    <w:p w14:paraId="13503E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начала января 1945 в течение 3 месяцев испытывался Ла-7Р (4,237) и 20 января было выполнено 2 полета с включенными РД-1ХЗ (237,205). Испытания шли по конец апреля 1945 (173,416).</w:t>
      </w:r>
    </w:p>
    <w:p w14:paraId="08745D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РД-1 ХЗ был разработан В.П.Г. только в начале 1945 (173,415).</w:t>
      </w:r>
    </w:p>
    <w:p w14:paraId="7326A14B" w14:textId="77777777" w:rsidR="00C2313B" w:rsidRPr="00925F26" w:rsidRDefault="00C2313B" w:rsidP="00925F26">
      <w:pPr>
        <w:autoSpaceDE w:val="0"/>
        <w:autoSpaceDN w:val="0"/>
        <w:adjustRightInd w:val="0"/>
        <w:jc w:val="both"/>
        <w:rPr>
          <w:color w:val="000000" w:themeColor="text1"/>
          <w:sz w:val="16"/>
          <w:szCs w:val="16"/>
        </w:rPr>
      </w:pPr>
    </w:p>
    <w:p w14:paraId="2C06AB50" w14:textId="77777777" w:rsidR="00D837F1" w:rsidRPr="00925F26" w:rsidRDefault="00D837F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6E6F9A7" w14:textId="77777777" w:rsidR="00D837F1" w:rsidRPr="00925F26" w:rsidRDefault="00D837F1" w:rsidP="00925F26">
      <w:pPr>
        <w:autoSpaceDE w:val="0"/>
        <w:autoSpaceDN w:val="0"/>
        <w:adjustRightInd w:val="0"/>
        <w:jc w:val="both"/>
        <w:rPr>
          <w:iCs/>
          <w:color w:val="000000" w:themeColor="text1"/>
          <w:sz w:val="16"/>
          <w:szCs w:val="16"/>
        </w:rPr>
      </w:pPr>
    </w:p>
    <w:p w14:paraId="36042A20" w14:textId="63BF837C" w:rsidR="00D837F1" w:rsidRPr="00925F26" w:rsidRDefault="00D837F1"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начале января 1945 года обстрел башен ИС-6, изготовленной из стали 70Л и 72Л, показал, что борт башни №5а из стали 70Л толщиной 150 мм пробивается 88-мм пушкой Pak 43. Из 12 попаданий с разных ракурсов пробитий удалось добиться в 7 случаях. Ещё хуже оказалась ситуация с башней №5, изготовленной из стали 72Л — после пяти попаданий башня раскололась надвое. Это означало, что башня не имеет достаточную защиту от орудия, попадание которого она должна была выдерживать. Что ещё хуже, башня ИС-6 давалась КБ завода №183 как образец при проектировании башни опытного среднего танка</w:t>
      </w:r>
      <w:r w:rsidR="00997EDF" w:rsidRPr="00925F26">
        <w:rPr>
          <w:color w:val="000000" w:themeColor="text1"/>
          <w:sz w:val="16"/>
          <w:szCs w:val="16"/>
        </w:rPr>
        <w:t xml:space="preserve">  </w:t>
      </w:r>
      <w:hyperlink r:id="rId8" w:history="1">
        <w:r w:rsidRPr="00925F26">
          <w:rPr>
            <w:rStyle w:val="a5"/>
            <w:bCs/>
            <w:iCs/>
            <w:color w:val="000000" w:themeColor="text1"/>
            <w:sz w:val="16"/>
            <w:szCs w:val="16"/>
            <w:bdr w:val="none" w:sz="0" w:space="0" w:color="auto" w:frame="1"/>
          </w:rPr>
          <w:t>Т-54</w:t>
        </w:r>
      </w:hyperlink>
      <w:r w:rsidRPr="00925F26">
        <w:rPr>
          <w:color w:val="000000" w:themeColor="text1"/>
          <w:sz w:val="16"/>
          <w:szCs w:val="16"/>
        </w:rPr>
        <w:t>. В результате позже её решили переделывать по типу ИС-3, даже не проведя обстрела (19150).</w:t>
      </w:r>
    </w:p>
    <w:p w14:paraId="58D0D8C7" w14:textId="77777777" w:rsidR="00D837F1" w:rsidRPr="00925F26" w:rsidRDefault="00D837F1" w:rsidP="00925F26">
      <w:pPr>
        <w:shd w:val="clear" w:color="auto" w:fill="FFFFFF"/>
        <w:jc w:val="both"/>
        <w:textAlignment w:val="baseline"/>
        <w:rPr>
          <w:color w:val="000000" w:themeColor="text1"/>
          <w:sz w:val="16"/>
          <w:szCs w:val="16"/>
        </w:rPr>
      </w:pPr>
    </w:p>
    <w:p w14:paraId="2A3D55E2" w14:textId="77777777" w:rsidR="00DC771B" w:rsidRPr="001A0BAA" w:rsidRDefault="00DC771B" w:rsidP="00DC771B">
      <w:pPr>
        <w:jc w:val="both"/>
        <w:rPr>
          <w:color w:val="0070C0"/>
          <w:sz w:val="16"/>
          <w:szCs w:val="16"/>
        </w:rPr>
      </w:pPr>
      <w:r w:rsidRPr="001A0BAA">
        <w:rPr>
          <w:color w:val="0070C0"/>
          <w:sz w:val="16"/>
          <w:szCs w:val="16"/>
        </w:rPr>
        <w:t>В начале января 1945 года обстрел ИС-6 - Объекта 252 показал, что борт башни пробивается 88-мм пушкой Pak 43 (25682).</w:t>
      </w:r>
    </w:p>
    <w:p w14:paraId="0E148670" w14:textId="77777777" w:rsidR="00DC771B" w:rsidRPr="001A0BAA" w:rsidRDefault="00DC771B" w:rsidP="00DC771B">
      <w:pPr>
        <w:jc w:val="both"/>
        <w:rPr>
          <w:color w:val="0070C0"/>
          <w:sz w:val="16"/>
          <w:szCs w:val="16"/>
        </w:rPr>
      </w:pPr>
    </w:p>
    <w:p w14:paraId="5F192B4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39D11BC" w14:textId="77777777" w:rsidR="00C2313B" w:rsidRPr="00925F26" w:rsidRDefault="00C2313B" w:rsidP="00925F26">
      <w:pPr>
        <w:autoSpaceDE w:val="0"/>
        <w:autoSpaceDN w:val="0"/>
        <w:adjustRightInd w:val="0"/>
        <w:jc w:val="both"/>
        <w:rPr>
          <w:iCs/>
          <w:color w:val="000000" w:themeColor="text1"/>
          <w:sz w:val="16"/>
          <w:szCs w:val="16"/>
        </w:rPr>
      </w:pPr>
    </w:p>
    <w:p w14:paraId="1BBE51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Впервых числах янва</w:t>
      </w:r>
      <w:r w:rsidRPr="00925F26">
        <w:rPr>
          <w:color w:val="000000" w:themeColor="text1"/>
          <w:sz w:val="16"/>
          <w:szCs w:val="16"/>
        </w:rPr>
        <w:softHyphen/>
        <w:t>ря 1945 г. по личному распоряжению заместителя начальника Управления формирования и комплектования пол</w:t>
      </w:r>
      <w:r w:rsidRPr="00925F26">
        <w:rPr>
          <w:color w:val="000000" w:themeColor="text1"/>
          <w:sz w:val="16"/>
          <w:szCs w:val="16"/>
        </w:rPr>
        <w:softHyphen/>
        <w:t>ковника Бронштейна 78-му гшап над</w:t>
      </w:r>
      <w:r w:rsidRPr="00925F26">
        <w:rPr>
          <w:color w:val="000000" w:themeColor="text1"/>
          <w:sz w:val="16"/>
          <w:szCs w:val="16"/>
        </w:rPr>
        <w:softHyphen/>
        <w:t>лежало срочно завершить программу переучивания и убыть в действующую армию в состав 2-й гвардейской штур</w:t>
      </w:r>
      <w:r w:rsidRPr="00925F26">
        <w:rPr>
          <w:color w:val="000000" w:themeColor="text1"/>
          <w:sz w:val="16"/>
          <w:szCs w:val="16"/>
        </w:rPr>
        <w:softHyphen/>
        <w:t>мовой авиадивизии 16-й ВА.</w:t>
      </w:r>
    </w:p>
    <w:p w14:paraId="6F3D43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этому времени летный состав полка успел отработать на Ил-10 толь</w:t>
      </w:r>
      <w:r w:rsidRPr="00925F26">
        <w:rPr>
          <w:color w:val="000000" w:themeColor="text1"/>
          <w:sz w:val="16"/>
          <w:szCs w:val="16"/>
        </w:rPr>
        <w:softHyphen/>
        <w:t>ко 10-е, 12-е и 13-е упражнения по программе переучивания с налетом на одного летчика 57 минут (б посадок). На боевое применение никто из лет</w:t>
      </w:r>
      <w:r w:rsidRPr="00925F26">
        <w:rPr>
          <w:color w:val="000000" w:themeColor="text1"/>
          <w:sz w:val="16"/>
          <w:szCs w:val="16"/>
        </w:rPr>
        <w:softHyphen/>
        <w:t>чиков не вылетал. Полк срочно попол</w:t>
      </w:r>
      <w:r w:rsidRPr="00925F26">
        <w:rPr>
          <w:color w:val="000000" w:themeColor="text1"/>
          <w:sz w:val="16"/>
          <w:szCs w:val="16"/>
        </w:rPr>
        <w:softHyphen/>
        <w:t>нили до штата 20 летчиками, прошед</w:t>
      </w:r>
      <w:r w:rsidRPr="00925F26">
        <w:rPr>
          <w:color w:val="000000" w:themeColor="text1"/>
          <w:sz w:val="16"/>
          <w:szCs w:val="16"/>
        </w:rPr>
        <w:softHyphen/>
        <w:t>шими 1-й и 2-й разделы курса боевой подготовки штурмовой авиации 1944 г., 20 самолетами Ил-2 и 15 самолета</w:t>
      </w:r>
      <w:r w:rsidRPr="00925F26">
        <w:rPr>
          <w:color w:val="000000" w:themeColor="text1"/>
          <w:sz w:val="16"/>
          <w:szCs w:val="16"/>
        </w:rPr>
        <w:softHyphen/>
        <w:t>ми Ил-10. 10 января 1945 г. переучи</w:t>
      </w:r>
      <w:r w:rsidRPr="00925F26">
        <w:rPr>
          <w:color w:val="000000" w:themeColor="text1"/>
          <w:sz w:val="16"/>
          <w:szCs w:val="16"/>
        </w:rPr>
        <w:softHyphen/>
        <w:t>вание полка на новую матчасть офи</w:t>
      </w:r>
      <w:r w:rsidRPr="00925F26">
        <w:rPr>
          <w:color w:val="000000" w:themeColor="text1"/>
          <w:sz w:val="16"/>
          <w:szCs w:val="16"/>
        </w:rPr>
        <w:softHyphen/>
        <w:t>циально закончилось, и уже через два дня полк был признан готовым к пере</w:t>
      </w:r>
      <w:r w:rsidRPr="00925F26">
        <w:rPr>
          <w:color w:val="000000" w:themeColor="text1"/>
          <w:sz w:val="16"/>
          <w:szCs w:val="16"/>
        </w:rPr>
        <w:softHyphen/>
        <w:t>лету на фронт. Акт подписали коман</w:t>
      </w:r>
      <w:r w:rsidRPr="00925F26">
        <w:rPr>
          <w:color w:val="000000" w:themeColor="text1"/>
          <w:sz w:val="16"/>
          <w:szCs w:val="16"/>
        </w:rPr>
        <w:softHyphen/>
        <w:t>дир 12-го зап п-п-к Горошко, началь</w:t>
      </w:r>
      <w:r w:rsidRPr="00925F26">
        <w:rPr>
          <w:color w:val="000000" w:themeColor="text1"/>
          <w:sz w:val="16"/>
          <w:szCs w:val="16"/>
        </w:rPr>
        <w:softHyphen/>
        <w:t>ник штаба 12-го зап п-к Теплое, ко</w:t>
      </w:r>
      <w:r w:rsidRPr="00925F26">
        <w:rPr>
          <w:color w:val="000000" w:themeColor="text1"/>
          <w:sz w:val="16"/>
          <w:szCs w:val="16"/>
        </w:rPr>
        <w:softHyphen/>
        <w:t xml:space="preserve">мандир 78-го гшап </w:t>
      </w:r>
      <w:proofErr w:type="gramStart"/>
      <w:r w:rsidRPr="00925F26">
        <w:rPr>
          <w:color w:val="000000" w:themeColor="text1"/>
          <w:sz w:val="16"/>
          <w:szCs w:val="16"/>
        </w:rPr>
        <w:t>м-р Варило</w:t>
      </w:r>
      <w:proofErr w:type="gramEnd"/>
      <w:r w:rsidRPr="00925F26">
        <w:rPr>
          <w:color w:val="000000" w:themeColor="text1"/>
          <w:sz w:val="16"/>
          <w:szCs w:val="16"/>
        </w:rPr>
        <w:t>, началь</w:t>
      </w:r>
      <w:r w:rsidRPr="00925F26">
        <w:rPr>
          <w:color w:val="000000" w:themeColor="text1"/>
          <w:sz w:val="16"/>
          <w:szCs w:val="16"/>
        </w:rPr>
        <w:softHyphen/>
        <w:t>ник штаба 78-го гшап к-н Семенов и командир 3-й эскадрильи 12-го зап ст. л-т Вавилов. Отбытие назначили на 12 января. Однако долго не было годных к перелету самолетов Ил-10. К тому же полк решили доукомплектовать «десят</w:t>
      </w:r>
      <w:r w:rsidRPr="00925F26">
        <w:rPr>
          <w:color w:val="000000" w:themeColor="text1"/>
          <w:sz w:val="16"/>
          <w:szCs w:val="16"/>
        </w:rPr>
        <w:softHyphen/>
        <w:t>ками» до штатного состава. Затем жда</w:t>
      </w:r>
      <w:r w:rsidRPr="00925F26">
        <w:rPr>
          <w:color w:val="000000" w:themeColor="text1"/>
          <w:sz w:val="16"/>
          <w:szCs w:val="16"/>
        </w:rPr>
        <w:softHyphen/>
        <w:t>ли погоду. Только 21 января первый эшелон полка в составе 20 Ил-2 и 11 Ил-10 смог вылететь к месту назначе</w:t>
      </w:r>
      <w:r w:rsidRPr="00925F26">
        <w:rPr>
          <w:color w:val="000000" w:themeColor="text1"/>
          <w:sz w:val="16"/>
          <w:szCs w:val="16"/>
        </w:rPr>
        <w:softHyphen/>
        <w:t>ния. Второй летный эшелон в составе 10 экипажей на Ил-10 вылетел на сле</w:t>
      </w:r>
      <w:r w:rsidRPr="00925F26">
        <w:rPr>
          <w:color w:val="000000" w:themeColor="text1"/>
          <w:sz w:val="16"/>
          <w:szCs w:val="16"/>
        </w:rPr>
        <w:softHyphen/>
        <w:t>дующий день. Фактически 78-й гшап был не го</w:t>
      </w:r>
      <w:r w:rsidRPr="00925F26">
        <w:rPr>
          <w:color w:val="000000" w:themeColor="text1"/>
          <w:sz w:val="16"/>
          <w:szCs w:val="16"/>
        </w:rPr>
        <w:softHyphen/>
        <w:t>тов к боевым действиям на новом штур</w:t>
      </w:r>
      <w:r w:rsidRPr="00925F26">
        <w:rPr>
          <w:color w:val="000000" w:themeColor="text1"/>
          <w:sz w:val="16"/>
          <w:szCs w:val="16"/>
        </w:rPr>
        <w:softHyphen/>
        <w:t>мовике Ил-10. В тоже время летный состав, прибывший в Куйбышев на пе</w:t>
      </w:r>
      <w:r w:rsidRPr="00925F26">
        <w:rPr>
          <w:color w:val="000000" w:themeColor="text1"/>
          <w:sz w:val="16"/>
          <w:szCs w:val="16"/>
        </w:rPr>
        <w:softHyphen/>
        <w:t>реучивание, имел солидный боевой опыт. Боевой налет на самолете Ил-2 на одного летчика в среднем состав</w:t>
      </w:r>
      <w:r w:rsidRPr="00925F26">
        <w:rPr>
          <w:color w:val="000000" w:themeColor="text1"/>
          <w:sz w:val="16"/>
          <w:szCs w:val="16"/>
        </w:rPr>
        <w:softHyphen/>
        <w:t>лял 78 боевых вылетов. Налет молоде</w:t>
      </w:r>
      <w:r w:rsidRPr="00925F26">
        <w:rPr>
          <w:color w:val="000000" w:themeColor="text1"/>
          <w:sz w:val="16"/>
          <w:szCs w:val="16"/>
        </w:rPr>
        <w:softHyphen/>
        <w:t>жи, прибывшей на пополнение, со</w:t>
      </w:r>
      <w:r w:rsidRPr="00925F26">
        <w:rPr>
          <w:color w:val="000000" w:themeColor="text1"/>
          <w:sz w:val="16"/>
          <w:szCs w:val="16"/>
        </w:rPr>
        <w:softHyphen/>
        <w:t>ставлял 23 ч 49 мин (61 посадка), в том числе 13 ч (41 посадка) на боевое при</w:t>
      </w:r>
      <w:r w:rsidRPr="00925F26">
        <w:rPr>
          <w:color w:val="000000" w:themeColor="text1"/>
          <w:sz w:val="16"/>
          <w:szCs w:val="16"/>
        </w:rPr>
        <w:softHyphen/>
        <w:t>менение. Неплохую подготовку имели молодые летчики в «слепом» полете -в среднем по 10 ч (20 посадок) каж</w:t>
      </w:r>
      <w:r w:rsidRPr="00925F26">
        <w:rPr>
          <w:color w:val="000000" w:themeColor="text1"/>
          <w:sz w:val="16"/>
          <w:szCs w:val="16"/>
        </w:rPr>
        <w:softHyphen/>
        <w:t>дый. Из числа «старых» летчиков 9 име</w:t>
      </w:r>
      <w:r w:rsidRPr="00925F26">
        <w:rPr>
          <w:color w:val="000000" w:themeColor="text1"/>
          <w:sz w:val="16"/>
          <w:szCs w:val="16"/>
        </w:rPr>
        <w:softHyphen/>
        <w:t xml:space="preserve">ли </w:t>
      </w:r>
      <w:r w:rsidRPr="00925F26">
        <w:rPr>
          <w:iCs/>
          <w:color w:val="000000" w:themeColor="text1"/>
          <w:sz w:val="16"/>
          <w:szCs w:val="16"/>
        </w:rPr>
        <w:t xml:space="preserve">в </w:t>
      </w:r>
      <w:r w:rsidRPr="00925F26">
        <w:rPr>
          <w:color w:val="000000" w:themeColor="text1"/>
          <w:sz w:val="16"/>
          <w:szCs w:val="16"/>
        </w:rPr>
        <w:t>своем активе свыше 100 боевых самолето-вылетов, 8пилотов - от 50 до 100 вылетов, три пилота - менее 50 вылетов и только один летчик - не имел боевых вылетов, но его налет на Ил-2 составлял 892 ч. (11131).</w:t>
      </w:r>
    </w:p>
    <w:p w14:paraId="1C54688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200899F" w14:textId="77777777" w:rsidR="00DC771B" w:rsidRPr="00925F26" w:rsidRDefault="00DC771B" w:rsidP="00DC771B">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первых числах января 1945 г. по личному распо</w:t>
      </w:r>
      <w:r w:rsidRPr="00925F26">
        <w:rPr>
          <w:color w:val="000000" w:themeColor="text1"/>
          <w:sz w:val="16"/>
          <w:szCs w:val="16"/>
        </w:rPr>
        <w:softHyphen/>
        <w:t>ряжению заместителя начальника Управ</w:t>
      </w:r>
      <w:r w:rsidRPr="00925F26">
        <w:rPr>
          <w:color w:val="000000" w:themeColor="text1"/>
          <w:sz w:val="16"/>
          <w:szCs w:val="16"/>
        </w:rPr>
        <w:softHyphen/>
        <w:t>ления формирования и комплектования ВВС полковника Бронштейна 78-му гшап надлежало срочно завершить переучи</w:t>
      </w:r>
      <w:r w:rsidRPr="00925F26">
        <w:rPr>
          <w:color w:val="000000" w:themeColor="text1"/>
          <w:sz w:val="16"/>
          <w:szCs w:val="16"/>
        </w:rPr>
        <w:softHyphen/>
        <w:t>вание и убыть в действующую армию в состав 2-й гвардейской штурмовой авиадивизии (гшад) 16-й воздушной ар</w:t>
      </w:r>
      <w:r w:rsidRPr="00925F26">
        <w:rPr>
          <w:color w:val="000000" w:themeColor="text1"/>
          <w:sz w:val="16"/>
          <w:szCs w:val="16"/>
        </w:rPr>
        <w:softHyphen/>
        <w:t>мии. К этому времени пилоты полка имели налет на Ил-10 всего 57 мин и по шесть посадок. На боевое применение никто не вылетал. Полк срочно пополнили до штата молодыми летчиками и укомплек</w:t>
      </w:r>
      <w:r w:rsidRPr="00925F26">
        <w:rPr>
          <w:color w:val="000000" w:themeColor="text1"/>
          <w:sz w:val="16"/>
          <w:szCs w:val="16"/>
        </w:rPr>
        <w:softHyphen/>
        <w:t>товали 20 Ил-2 и 15 Ил-10. 10 января 1945 г. переучивание официально закон</w:t>
      </w:r>
      <w:r w:rsidRPr="00925F26">
        <w:rPr>
          <w:color w:val="000000" w:themeColor="text1"/>
          <w:sz w:val="16"/>
          <w:szCs w:val="16"/>
        </w:rPr>
        <w:softHyphen/>
        <w:t>чилось, и уже через два дня полк был признан готовым к отправке на фронт. Отбытие назначили на 12 января. Одна</w:t>
      </w:r>
      <w:r w:rsidRPr="00925F26">
        <w:rPr>
          <w:color w:val="000000" w:themeColor="text1"/>
          <w:sz w:val="16"/>
          <w:szCs w:val="16"/>
        </w:rPr>
        <w:softHyphen/>
        <w:t>ко долго не было годных к перелету са</w:t>
      </w:r>
      <w:r w:rsidRPr="00925F26">
        <w:rPr>
          <w:color w:val="000000" w:themeColor="text1"/>
          <w:sz w:val="16"/>
          <w:szCs w:val="16"/>
        </w:rPr>
        <w:softHyphen/>
        <w:t>молетов, к тому же прлк решили до</w:t>
      </w:r>
      <w:r w:rsidRPr="00925F26">
        <w:rPr>
          <w:color w:val="000000" w:themeColor="text1"/>
          <w:sz w:val="16"/>
          <w:szCs w:val="16"/>
        </w:rPr>
        <w:softHyphen/>
        <w:t>укомплектовать «десятками» до полного штата (но этого так и не было сделано). Затем ждали погоду. Только 21 января первый эшелон в составе 20 Ил-2 и 11 Ил-10 смог вылететь к месту назначе</w:t>
      </w:r>
      <w:r w:rsidRPr="00925F26">
        <w:rPr>
          <w:color w:val="000000" w:themeColor="text1"/>
          <w:sz w:val="16"/>
          <w:szCs w:val="16"/>
        </w:rPr>
        <w:softHyphen/>
        <w:t>ния. Второй эшелон - 10 экипажей на Ил-10 - отправился на фронт на следу</w:t>
      </w:r>
      <w:r w:rsidRPr="00925F26">
        <w:rPr>
          <w:color w:val="000000" w:themeColor="text1"/>
          <w:sz w:val="16"/>
          <w:szCs w:val="16"/>
        </w:rPr>
        <w:softHyphen/>
        <w:t>ющий день. Фактически 78-й полк был не готов к боевым действиям на новом штурмови</w:t>
      </w:r>
      <w:r w:rsidRPr="00925F26">
        <w:rPr>
          <w:color w:val="000000" w:themeColor="text1"/>
          <w:sz w:val="16"/>
          <w:szCs w:val="16"/>
        </w:rPr>
        <w:softHyphen/>
        <w:t>ке. В то же время тот летный состав, ко</w:t>
      </w:r>
      <w:r w:rsidRPr="00925F26">
        <w:rPr>
          <w:color w:val="000000" w:themeColor="text1"/>
          <w:sz w:val="16"/>
          <w:szCs w:val="16"/>
        </w:rPr>
        <w:softHyphen/>
        <w:t>торый прибыл с передовой на переучи</w:t>
      </w:r>
      <w:r w:rsidRPr="00925F26">
        <w:rPr>
          <w:color w:val="000000" w:themeColor="text1"/>
          <w:sz w:val="16"/>
          <w:szCs w:val="16"/>
        </w:rPr>
        <w:softHyphen/>
        <w:t>вание, имел солидный боевой опыт. Не</w:t>
      </w:r>
      <w:r w:rsidRPr="00925F26">
        <w:rPr>
          <w:color w:val="000000" w:themeColor="text1"/>
          <w:sz w:val="16"/>
          <w:szCs w:val="16"/>
        </w:rPr>
        <w:softHyphen/>
        <w:t>плохо были подготовлены и молодые пилоты, но на Ил-10 они вообще не ле</w:t>
      </w:r>
      <w:r w:rsidRPr="00925F26">
        <w:rPr>
          <w:color w:val="000000" w:themeColor="text1"/>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925F26">
        <w:rPr>
          <w:color w:val="000000" w:themeColor="text1"/>
          <w:sz w:val="16"/>
          <w:szCs w:val="16"/>
        </w:rPr>
        <w:softHyphen/>
        <w:t>мии и 2-й гшад. Выяснив реальную го</w:t>
      </w:r>
      <w:r w:rsidRPr="00925F26">
        <w:rPr>
          <w:color w:val="000000" w:themeColor="text1"/>
          <w:sz w:val="16"/>
          <w:szCs w:val="16"/>
        </w:rPr>
        <w:softHyphen/>
        <w:t>товность полка к боевым действиям, они мудро решили полк в бой пока не вво</w:t>
      </w:r>
      <w:r w:rsidRPr="00925F26">
        <w:rPr>
          <w:color w:val="000000" w:themeColor="text1"/>
          <w:sz w:val="16"/>
          <w:szCs w:val="16"/>
        </w:rPr>
        <w:softHyphen/>
        <w:t>дить, дабы не подорвать веру в новый штурмовик и не нести напрасные поте</w:t>
      </w:r>
      <w:r w:rsidRPr="00925F26">
        <w:rPr>
          <w:color w:val="000000" w:themeColor="text1"/>
          <w:sz w:val="16"/>
          <w:szCs w:val="16"/>
        </w:rPr>
        <w:softHyphen/>
        <w:t>ри, а дать летчикам полноценно подгото</w:t>
      </w:r>
      <w:r w:rsidRPr="00925F26">
        <w:rPr>
          <w:color w:val="000000" w:themeColor="text1"/>
          <w:sz w:val="16"/>
          <w:szCs w:val="16"/>
        </w:rPr>
        <w:softHyphen/>
        <w:t>виться, а также завершить перевооруже</w:t>
      </w:r>
      <w:r w:rsidRPr="00925F26">
        <w:rPr>
          <w:color w:val="000000" w:themeColor="text1"/>
          <w:sz w:val="16"/>
          <w:szCs w:val="16"/>
        </w:rPr>
        <w:softHyphen/>
        <w:t>ние части на Ил-10. В течение всего ап</w:t>
      </w:r>
      <w:r w:rsidRPr="00925F26">
        <w:rPr>
          <w:color w:val="000000" w:themeColor="text1"/>
          <w:sz w:val="16"/>
          <w:szCs w:val="16"/>
        </w:rPr>
        <w:softHyphen/>
        <w:t>реля в 78-м интенсивно занимались вво</w:t>
      </w:r>
      <w:r w:rsidRPr="00925F26">
        <w:rPr>
          <w:color w:val="000000" w:themeColor="text1"/>
          <w:sz w:val="16"/>
          <w:szCs w:val="16"/>
        </w:rPr>
        <w:softHyphen/>
        <w:t>дом в строй молодого летного состава, не прошедшего в Куйбышеве переучива</w:t>
      </w:r>
      <w:r w:rsidRPr="00925F26">
        <w:rPr>
          <w:color w:val="000000" w:themeColor="text1"/>
          <w:sz w:val="16"/>
          <w:szCs w:val="16"/>
        </w:rPr>
        <w:softHyphen/>
        <w:t>ния на новый штурмовик, и тренировкой «стариков». В это время во Львове при</w:t>
      </w:r>
      <w:r w:rsidRPr="00925F26">
        <w:rPr>
          <w:color w:val="000000" w:themeColor="text1"/>
          <w:sz w:val="16"/>
          <w:szCs w:val="16"/>
        </w:rPr>
        <w:softHyphen/>
        <w:t>нимали и собирали Ил-10. Машины за</w:t>
      </w:r>
      <w:r w:rsidRPr="00925F26">
        <w:rPr>
          <w:color w:val="000000" w:themeColor="text1"/>
          <w:sz w:val="16"/>
          <w:szCs w:val="16"/>
        </w:rPr>
        <w:softHyphen/>
        <w:t>тем перегонялись на базу наиболее под</w:t>
      </w:r>
      <w:r w:rsidRPr="00925F26">
        <w:rPr>
          <w:color w:val="000000" w:themeColor="text1"/>
          <w:sz w:val="16"/>
          <w:szCs w:val="16"/>
        </w:rPr>
        <w:softHyphen/>
        <w:t>готовленными летчиками полка. Имев</w:t>
      </w:r>
      <w:r w:rsidRPr="00925F26">
        <w:rPr>
          <w:color w:val="000000" w:themeColor="text1"/>
          <w:sz w:val="16"/>
          <w:szCs w:val="16"/>
        </w:rPr>
        <w:softHyphen/>
        <w:t>шиеся Ил-2 передавались в другие час</w:t>
      </w:r>
      <w:r w:rsidRPr="00925F26">
        <w:rPr>
          <w:color w:val="000000" w:themeColor="text1"/>
          <w:sz w:val="16"/>
          <w:szCs w:val="16"/>
        </w:rPr>
        <w:softHyphen/>
        <w:t>ти дивизии (10681).</w:t>
      </w:r>
    </w:p>
    <w:p w14:paraId="19AC8629" w14:textId="77777777" w:rsidR="00DC771B" w:rsidRPr="00925F26" w:rsidRDefault="00DC771B" w:rsidP="00DC771B">
      <w:pPr>
        <w:shd w:val="clear" w:color="auto" w:fill="FFFFFF"/>
        <w:autoSpaceDE w:val="0"/>
        <w:autoSpaceDN w:val="0"/>
        <w:adjustRightInd w:val="0"/>
        <w:jc w:val="both"/>
        <w:rPr>
          <w:color w:val="000000" w:themeColor="text1"/>
          <w:sz w:val="16"/>
          <w:szCs w:val="16"/>
        </w:rPr>
      </w:pPr>
    </w:p>
    <w:p w14:paraId="0AA38DDE" w14:textId="77777777" w:rsidR="00DC771B" w:rsidRPr="00925F26" w:rsidRDefault="00DC771B" w:rsidP="00DC771B">
      <w:pPr>
        <w:jc w:val="both"/>
        <w:rPr>
          <w:color w:val="000000" w:themeColor="text1"/>
          <w:sz w:val="16"/>
          <w:szCs w:val="16"/>
        </w:rPr>
      </w:pPr>
      <w:r w:rsidRPr="00925F26">
        <w:rPr>
          <w:rStyle w:val="107"/>
          <w:rFonts w:eastAsiaTheme="minorHAnsi"/>
          <w:color w:val="000000" w:themeColor="text1"/>
          <w:sz w:val="16"/>
          <w:szCs w:val="16"/>
        </w:rPr>
        <w:lastRenderedPageBreak/>
        <w:t>В первых числах января 1945 года по личному распоряжению заместителя начальника Управления формирования и комплектования полковника Бронштейна 78 гшап надлежало срочно завершить программу переучивания и убыть в действующую армию в состав 2-й гвардейской штурмовой авиадивизии 16 ВА.</w:t>
      </w:r>
    </w:p>
    <w:p w14:paraId="3F862F40" w14:textId="77777777" w:rsidR="00DC771B" w:rsidRPr="00925F26" w:rsidRDefault="00DC771B" w:rsidP="00DC771B">
      <w:pPr>
        <w:jc w:val="both"/>
        <w:rPr>
          <w:color w:val="000000" w:themeColor="text1"/>
          <w:sz w:val="16"/>
          <w:szCs w:val="16"/>
        </w:rPr>
      </w:pPr>
      <w:r w:rsidRPr="00925F26">
        <w:rPr>
          <w:rStyle w:val="107"/>
          <w:rFonts w:eastAsiaTheme="minorHAnsi"/>
          <w:color w:val="000000" w:themeColor="text1"/>
          <w:sz w:val="16"/>
          <w:szCs w:val="16"/>
        </w:rPr>
        <w:t>К этому времени летный состав полка успел отработать на Ил-10 только 10, 12 и 13-е упражнения по программе переучивания с налетом на одного летчика 57 минут (6 посадок). На боевое применение никто из летчиков не вылетал. Полк срочно пополнили до штата 20 летчиками, прошедшими 1-й и 2-й разделы «Курса боевой подготовки штурмовой авиации 1944 г.», 20 самолетами Ил-2 и 15 самолетами Ил-10. Переучивание полка на новой матчасти официально закончилось 10 января. Уже через два дня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19CF8D88" w14:textId="77777777" w:rsidR="00DC771B" w:rsidRPr="00925F26" w:rsidRDefault="00DC771B" w:rsidP="00DC771B">
      <w:pPr>
        <w:jc w:val="both"/>
        <w:rPr>
          <w:color w:val="000000" w:themeColor="text1"/>
          <w:sz w:val="16"/>
          <w:szCs w:val="16"/>
        </w:rPr>
      </w:pPr>
      <w:r w:rsidRPr="00925F26">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4A7567BB" w14:textId="77777777" w:rsidR="00DC771B" w:rsidRPr="00925F26" w:rsidRDefault="00DC771B" w:rsidP="00DC771B">
      <w:pPr>
        <w:jc w:val="both"/>
        <w:rPr>
          <w:color w:val="000000" w:themeColor="text1"/>
          <w:sz w:val="16"/>
          <w:szCs w:val="16"/>
        </w:rPr>
      </w:pPr>
    </w:p>
    <w:p w14:paraId="771C76A7"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В начале февраля 1945 г. 152-й полк, который получила 29 бомбардировщиков Ту-2 разных серий для второго этапа войсковых испытаний, пере</w:t>
      </w:r>
      <w:r w:rsidRPr="00925F26">
        <w:rPr>
          <w:color w:val="000000" w:themeColor="text1"/>
          <w:sz w:val="16"/>
          <w:szCs w:val="16"/>
          <w:lang w:bidi="ru-RU"/>
        </w:rPr>
        <w:softHyphen/>
        <w:t>бросили на Юго-Западный фронт. 18 ма</w:t>
      </w:r>
      <w:r w:rsidRPr="00925F26">
        <w:rPr>
          <w:color w:val="000000" w:themeColor="text1"/>
          <w:sz w:val="16"/>
          <w:szCs w:val="16"/>
          <w:lang w:bidi="ru-RU"/>
        </w:rPr>
        <w:softHyphen/>
        <w:t>шин перебазировались на временный аэ</w:t>
      </w:r>
      <w:r w:rsidRPr="00925F26">
        <w:rPr>
          <w:color w:val="000000" w:themeColor="text1"/>
          <w:sz w:val="16"/>
          <w:szCs w:val="16"/>
          <w:lang w:bidi="ru-RU"/>
        </w:rPr>
        <w:softHyphen/>
        <w:t>родром Кошары в 50 км южнее Милле</w:t>
      </w:r>
      <w:r w:rsidRPr="00925F26">
        <w:rPr>
          <w:color w:val="000000" w:themeColor="text1"/>
          <w:sz w:val="16"/>
          <w:szCs w:val="16"/>
          <w:lang w:bidi="ru-RU"/>
        </w:rPr>
        <w:softHyphen/>
        <w:t>рова. С 12 февраля полк совершил от</w:t>
      </w:r>
      <w:r w:rsidRPr="00925F26">
        <w:rPr>
          <w:color w:val="000000" w:themeColor="text1"/>
          <w:sz w:val="16"/>
          <w:szCs w:val="16"/>
          <w:lang w:bidi="ru-RU"/>
        </w:rPr>
        <w:softHyphen/>
        <w:t>туда 39 вылетов на бомбометание. Здесь уже Ту-2 не поручали атаку войск у линии фронта. Используя большие дальность по</w:t>
      </w:r>
      <w:r w:rsidRPr="00925F26">
        <w:rPr>
          <w:color w:val="000000" w:themeColor="text1"/>
          <w:sz w:val="16"/>
          <w:szCs w:val="16"/>
          <w:lang w:bidi="ru-RU"/>
        </w:rPr>
        <w:softHyphen/>
        <w:t>лета и бомбовую нагрузку, чем у Пе-2, но</w:t>
      </w:r>
      <w:r w:rsidRPr="00925F26">
        <w:rPr>
          <w:color w:val="000000" w:themeColor="text1"/>
          <w:sz w:val="16"/>
          <w:szCs w:val="16"/>
          <w:lang w:bidi="ru-RU"/>
        </w:rPr>
        <w:softHyphen/>
        <w:t>вые самолеты специализировались на на</w:t>
      </w:r>
      <w:r w:rsidRPr="00925F26">
        <w:rPr>
          <w:color w:val="000000" w:themeColor="text1"/>
          <w:sz w:val="16"/>
          <w:szCs w:val="16"/>
          <w:lang w:bidi="ru-RU"/>
        </w:rPr>
        <w:softHyphen/>
        <w:t>летах на железнодорожные узлы и аэро</w:t>
      </w:r>
      <w:r w:rsidRPr="00925F26">
        <w:rPr>
          <w:color w:val="000000" w:themeColor="text1"/>
          <w:sz w:val="16"/>
          <w:szCs w:val="16"/>
          <w:lang w:bidi="ru-RU"/>
        </w:rPr>
        <w:softHyphen/>
        <w:t>дромы. Целями стали Запорожье, Днеп</w:t>
      </w:r>
      <w:r w:rsidRPr="00925F26">
        <w:rPr>
          <w:color w:val="000000" w:themeColor="text1"/>
          <w:sz w:val="16"/>
          <w:szCs w:val="16"/>
          <w:lang w:bidi="ru-RU"/>
        </w:rPr>
        <w:softHyphen/>
        <w:t>ропетровск, Дебальцево, Красноармейск, Синельниково, Ясиноватская.</w:t>
      </w:r>
    </w:p>
    <w:p w14:paraId="1A00DE47"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К сожалению, распутица препятст</w:t>
      </w:r>
      <w:r w:rsidRPr="00925F26">
        <w:rPr>
          <w:color w:val="000000" w:themeColor="text1"/>
          <w:sz w:val="16"/>
          <w:szCs w:val="16"/>
          <w:lang w:bidi="ru-RU"/>
        </w:rPr>
        <w:softHyphen/>
        <w:t>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w:t>
      </w:r>
      <w:r w:rsidRPr="00925F26">
        <w:rPr>
          <w:color w:val="000000" w:themeColor="text1"/>
          <w:sz w:val="16"/>
          <w:szCs w:val="16"/>
          <w:lang w:bidi="ru-RU"/>
        </w:rPr>
        <w:softHyphen/>
        <w:t>вали на Днепропетровск и Донецк.</w:t>
      </w:r>
    </w:p>
    <w:p w14:paraId="2E5C1C24" w14:textId="77777777" w:rsidR="005A1318" w:rsidRPr="00925F26" w:rsidRDefault="005A1318" w:rsidP="00925F26">
      <w:pPr>
        <w:jc w:val="both"/>
        <w:rPr>
          <w:color w:val="000000" w:themeColor="text1"/>
          <w:sz w:val="16"/>
          <w:szCs w:val="16"/>
        </w:rPr>
      </w:pPr>
      <w:r w:rsidRPr="00925F26">
        <w:rPr>
          <w:color w:val="000000" w:themeColor="text1"/>
          <w:sz w:val="16"/>
          <w:szCs w:val="16"/>
          <w:lang w:bidi="ru-RU"/>
        </w:rPr>
        <w:t>При налетах на аэродромы бомбы мелких калибров были даже предпочти</w:t>
      </w:r>
      <w:r w:rsidRPr="00925F26">
        <w:rPr>
          <w:color w:val="000000" w:themeColor="text1"/>
          <w:sz w:val="16"/>
          <w:szCs w:val="16"/>
          <w:lang w:bidi="ru-RU"/>
        </w:rPr>
        <w:softHyphen/>
        <w:t>тельнее. При атаке на аэродром в Запо</w:t>
      </w:r>
      <w:r w:rsidRPr="00925F26">
        <w:rPr>
          <w:color w:val="000000" w:themeColor="text1"/>
          <w:sz w:val="16"/>
          <w:szCs w:val="16"/>
          <w:lang w:bidi="ru-RU"/>
        </w:rPr>
        <w:softHyphen/>
        <w:t>рожье использовали ФАБ-100, сброшен</w:t>
      </w:r>
      <w:r w:rsidRPr="00925F26">
        <w:rPr>
          <w:color w:val="000000" w:themeColor="text1"/>
          <w:sz w:val="16"/>
          <w:szCs w:val="16"/>
          <w:lang w:bidi="ru-RU"/>
        </w:rPr>
        <w:softHyphen/>
        <w:t>ные на стоянки самолетов с высоты 400 м. По советским данным, при этом сожгли и вывели из строя 18 вражеских машин.</w:t>
      </w:r>
    </w:p>
    <w:p w14:paraId="1EB05C75" w14:textId="77777777" w:rsidR="005A1318" w:rsidRPr="00925F26" w:rsidRDefault="005A1318" w:rsidP="00925F26">
      <w:pPr>
        <w:jc w:val="both"/>
        <w:rPr>
          <w:color w:val="000000" w:themeColor="text1"/>
          <w:sz w:val="16"/>
          <w:szCs w:val="16"/>
          <w:lang w:bidi="ru-RU"/>
        </w:rPr>
      </w:pPr>
      <w:r w:rsidRPr="00925F26">
        <w:rPr>
          <w:color w:val="000000" w:themeColor="text1"/>
          <w:sz w:val="16"/>
          <w:szCs w:val="16"/>
          <w:lang w:bidi="ru-RU"/>
        </w:rPr>
        <w:t>Кроме этого, Ту-2 стали применять как дальние разведчики. Они совершили семь одиночных полетов по разным мар</w:t>
      </w:r>
      <w:r w:rsidRPr="00925F26">
        <w:rPr>
          <w:color w:val="000000" w:themeColor="text1"/>
          <w:sz w:val="16"/>
          <w:szCs w:val="16"/>
          <w:lang w:bidi="ru-RU"/>
        </w:rPr>
        <w:softHyphen/>
        <w:t>шрутам (21060).</w:t>
      </w:r>
    </w:p>
    <w:p w14:paraId="6ED7C400" w14:textId="77777777" w:rsidR="005A1318" w:rsidRPr="00925F26" w:rsidRDefault="005A1318" w:rsidP="00925F26">
      <w:pPr>
        <w:jc w:val="both"/>
        <w:rPr>
          <w:color w:val="000000" w:themeColor="text1"/>
          <w:sz w:val="16"/>
          <w:szCs w:val="16"/>
        </w:rPr>
      </w:pPr>
    </w:p>
    <w:p w14:paraId="6D3A34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января 1945 закончили формирование 1-го смешанного польского авиакорпуса (1217,239).</w:t>
      </w:r>
    </w:p>
    <w:p w14:paraId="6D063DFA" w14:textId="77777777" w:rsidR="00C2313B" w:rsidRPr="00925F26" w:rsidRDefault="00C2313B" w:rsidP="00925F26">
      <w:pPr>
        <w:autoSpaceDE w:val="0"/>
        <w:autoSpaceDN w:val="0"/>
        <w:adjustRightInd w:val="0"/>
        <w:jc w:val="both"/>
        <w:rPr>
          <w:color w:val="000000" w:themeColor="text1"/>
          <w:sz w:val="16"/>
          <w:szCs w:val="16"/>
        </w:rPr>
      </w:pPr>
    </w:p>
    <w:p w14:paraId="2384A1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января 1945 на аэродроме Гросс-Шиманен приземлился невредимым русский истребитель Як-3. Самолет "Яковлев-3" ждали с особым нетерпением, так как по сравнению с Як-9 он не только стал значительно легче, но и должен был быть особенно хорошим и обладать превосходством по скороподъемности и радиусу виража от земли до высоты 3000 - 3500метров...</w:t>
      </w:r>
    </w:p>
    <w:p w14:paraId="3240D4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большими трудностями мы с механиком прибыли в Гросс-Шиманен.</w:t>
      </w:r>
    </w:p>
    <w:p w14:paraId="7C316C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Як-3 производил превосходное впечатле- авиакорпуса ние. Качество поверхности фанерного крыла было выдающимся. Будучи легче и </w:t>
      </w:r>
      <w:proofErr w:type="gramStart"/>
      <w:r w:rsidRPr="00925F26">
        <w:rPr>
          <w:color w:val="000000" w:themeColor="text1"/>
          <w:sz w:val="16"/>
          <w:szCs w:val="16"/>
        </w:rPr>
        <w:t>меньше</w:t>
      </w:r>
      <w:proofErr w:type="gramEnd"/>
      <w:r w:rsidRPr="00925F26">
        <w:rPr>
          <w:color w:val="000000" w:themeColor="text1"/>
          <w:sz w:val="16"/>
          <w:szCs w:val="16"/>
        </w:rPr>
        <w:t xml:space="preserve"> Як-9, он весил всего лишь 2500 кг, т.е. его вес только в два раза превышал число лошадиных сил двигателя. Можно себе предположить, что все это значило, хотя бы для разгона. Удивительным было то, что удельная нагрузка на крыло &lt;...&gt; была относительно небольшой. </w:t>
      </w:r>
    </w:p>
    <w:p w14:paraId="0F28FA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первом же обходе вокруг Як-3 я с удовольствием отметил, что "птица" имеет прекрасное широкое шасси. Его стоики убирались внутрь к фюзеляжу. &lt;</w:t>
      </w:r>
      <w:proofErr w:type="gramStart"/>
      <w:r w:rsidRPr="00925F26">
        <w:rPr>
          <w:color w:val="000000" w:themeColor="text1"/>
          <w:sz w:val="16"/>
          <w:szCs w:val="16"/>
        </w:rPr>
        <w:t>... &gt;</w:t>
      </w:r>
      <w:proofErr w:type="gramEnd"/>
      <w:r w:rsidRPr="00925F26">
        <w:rPr>
          <w:color w:val="000000" w:themeColor="text1"/>
          <w:sz w:val="16"/>
          <w:szCs w:val="16"/>
        </w:rPr>
        <w:t xml:space="preserve"> Рядный мотор жидкостного охлаждения работал безупречно. Воздушный винт имел даже довольно большой зазор до земли. Тем не менее было ясно, что в полете нужно быть начеку, так как именно такие маленькие быстрые бестии часто обладают неприятными качествами, когда они на взлете "всего лишь" непроизвольно разворачиваются или сваливаются на крыло...</w:t>
      </w:r>
    </w:p>
    <w:p w14:paraId="321DDE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следующее утро, 12 января, над Гросс- Шиманеном была такая активность противника, что ни о каком полете на русском самолете нечего было и думать. Лишь во второй половине дня, когда погода улучшилась, я отважился стартовать в направлении Маркиш-Фридланд. Приходилось следить, чтобы маленький юркий самолет не повел себя, как ему вздумается. Естественно, из-за 12-цилиндрового V-образного мотора жидкостного охлаждения обзор при рулежке был плохой. Однако в полете с обзором все было в порядке. Усилия на ручку были небольшие, так что приходилось остерегаться чрезмерных отклонений ручки. Мотор работал безупречно и позволил мне отважиться на бреющий полет. От машины сопровождения я отказался. Иначе не было возможности ближе познакомиться с самолетом на большой высоте. Спустя 50 минут я приземлился с большим пробегом в Маркиш-Фридланде. При выпущенном шасси и щитках усилия на ручке ощутимо уменьшились, посадка была несколько неустойчивой. Но широкое шасси очень успокаивало. Я остался доволен безукоризненной посадкой на три точки. Только при пробеге, который я хотел подправить с помощью рычага пневматического тормоза, я заметил, что сжатый воздух кончился. Правда, в кабине был манометр, но правильных цифр я не знал... Отсутствие сжатого воздуха </w:t>
      </w:r>
      <w:proofErr w:type="gramStart"/>
      <w:r w:rsidRPr="00925F26">
        <w:rPr>
          <w:color w:val="000000" w:themeColor="text1"/>
          <w:sz w:val="16"/>
          <w:szCs w:val="16"/>
        </w:rPr>
        <w:t>- это</w:t>
      </w:r>
      <w:proofErr w:type="gramEnd"/>
      <w:r w:rsidRPr="00925F26">
        <w:rPr>
          <w:color w:val="000000" w:themeColor="text1"/>
          <w:sz w:val="16"/>
          <w:szCs w:val="16"/>
        </w:rPr>
        <w:t xml:space="preserve"> не какой-то небольшой дефект красоты. Помимо тормозов, он приводит в действие также шасси и посадочные щитки.</w:t>
      </w:r>
    </w:p>
    <w:p w14:paraId="3EF67F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Что-то нужно было сделать, и я обратился за помощью в мастерские... Повреждение оказалось незначительным и после замены прокладки было устранено...</w:t>
      </w:r>
    </w:p>
    <w:p w14:paraId="118839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следующий день, 13 января, погода оказалась особенно плохой, но метеорологи подали надежду на вторую половину дня. На Як-3 не было приборов для слепого полета, а мне же требовалось где-то снова сесть. Предсказание метеорологов неожиданно оправдались. Итак, я приготовился. К моему удивлению, давление в трубопроводах оказалось в порядке. В 15 часов 27минут я дал газ и строго следил за тем, чтобы Як-3 при взлете непроизвольно не развернулся... Постепенно с продвижением на запад погода ухудшалась, и я поднялся выше, чтобы оценить характеристики продольной и путевой устойчивости... Зимний день клонился к концу, вновь становилось пасмурно, и я был рад примерно через 45 минут оставить позади Мюртизее, на южном берегу которого находился аэродром Рехлин. После выпуска шасси и щитков давление сжатого воздуха не изменилось. Это действовало успокаивающе. Вслед за этим я приземлил русскую "птицу" на травяное поле аэродрома. При наличии сжатого воздуха рулежка не представляла труда...</w:t>
      </w:r>
    </w:p>
    <w:p w14:paraId="320C6E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Имея опыт с шумным Jla-5, для этого полета под шлемофоном я заложил уши ватой. Поэтому я не так оглох от тоже не столь уж тихого "яка", как было при перегоне Ла-5, и поэтому был в состоянии ответить на посыпавшиеся на меня вопросы коллег.</w:t>
      </w:r>
    </w:p>
    <w:p w14:paraId="21F487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Как обычно, машину сначала закатили в ангар, и она была осмотрена специалистами. Всем бросилась в глаза безупречно зашпаклеванная поверхность фанеры. Она создавала незначительное сопротивление трения и, сверх того, обладала хорошей ремонтопригодностью на полевых аэродромах с помощью простейших устройств.</w:t>
      </w:r>
    </w:p>
    <w:p w14:paraId="3D045B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Прежде чем я успел подумать о первых испытательных полетах, до меня дошло ошеломляющее известие: рейхсмаршал Геринг желал бы видеть машину в Ораниенбурге под Берлином....</w:t>
      </w:r>
    </w:p>
    <w:p w14:paraId="6B3F84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Было бы очень интересно участвовать в подобном спектакле. Вскоре рейхсмаршал приблизился со свитой. Поскольку я прошел солдатскую выучку, а как ведущий инженер по летным испытаниям представлялся редко, я изобразил "оловянного солдатика" и отдал соответствующий рапорт. Геринг приветливо посмотрел на меня своими голубыми глазами. Все выглядело несколько театрально... На его вопросы о Як-3 я смог ответить, хотя замеры характеристик еще не проводились, но чрезвычайно малый вес самолета в сочетании с приемлемым аэродинамическим качеством и мощностью двигателя позволяет ожидать отличную скороподъемность и лучшие характеристики в бою на виражах на малых высотах по сравнению с нашими истребителями Me-109 и FW-190. Это были простые физические закономерности, понятные каждому более или менее технически грамотному человеку. И то, что "як" в своем аэродинамическом исполнении проявлял себя превосходно, нельзя было не заметить. То, что этот самолет из-за худших высотных характеристик двигателя, начиная со средних высот, уже не выделялся, конечно, вполне соответствовало его замыслу. Такой отчет дал я сначала заласканному, а потом еще более охаянному рейхс- маршалу...</w:t>
      </w:r>
    </w:p>
    <w:p w14:paraId="7EBAAB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Лететь домой было уже поздно. Я уселся с несколькими знакомыми по показу трофеев. Если не касаться вопроса "организации пути" трофейных самолетов, мы хорошо понимали друг друга. При этом я нарисовал им перспективу перегонки Ла-5 после окончания испытательных полетов. Во время возвращения в Рехлин я чувствовав себя на "яке" как дома. Теперь я по-настоящему понял, насколько приятно лететь на такой машине в хорошую погоду" (12047).</w:t>
      </w:r>
    </w:p>
    <w:p w14:paraId="5A5C302E" w14:textId="77777777" w:rsidR="00C2313B" w:rsidRPr="00925F26" w:rsidRDefault="00C2313B" w:rsidP="00925F26">
      <w:pPr>
        <w:autoSpaceDE w:val="0"/>
        <w:autoSpaceDN w:val="0"/>
        <w:adjustRightInd w:val="0"/>
        <w:jc w:val="both"/>
        <w:rPr>
          <w:color w:val="000000" w:themeColor="text1"/>
          <w:sz w:val="16"/>
          <w:szCs w:val="16"/>
        </w:rPr>
      </w:pPr>
    </w:p>
    <w:p w14:paraId="1AC43297" w14:textId="4076178A" w:rsidR="00D83786" w:rsidRPr="00925F26" w:rsidRDefault="00D83786" w:rsidP="00D83786">
      <w:pPr>
        <w:autoSpaceDE w:val="0"/>
        <w:autoSpaceDN w:val="0"/>
        <w:adjustRightInd w:val="0"/>
        <w:jc w:val="both"/>
        <w:rPr>
          <w:iCs/>
          <w:color w:val="000000" w:themeColor="text1"/>
          <w:sz w:val="16"/>
          <w:szCs w:val="16"/>
        </w:rPr>
      </w:pPr>
      <w:r>
        <w:rPr>
          <w:i/>
          <w:iCs/>
          <w:color w:val="000000" w:themeColor="text1"/>
          <w:sz w:val="16"/>
          <w:szCs w:val="16"/>
        </w:rPr>
        <w:t>За рубежом</w:t>
      </w:r>
      <w:r w:rsidRPr="00925F26">
        <w:rPr>
          <w:i/>
          <w:iCs/>
          <w:color w:val="000000" w:themeColor="text1"/>
          <w:sz w:val="16"/>
          <w:szCs w:val="16"/>
        </w:rPr>
        <w:t>:</w:t>
      </w:r>
    </w:p>
    <w:p w14:paraId="73D57915" w14:textId="77777777" w:rsidR="00D83786" w:rsidRPr="00925F26" w:rsidRDefault="00D83786" w:rsidP="00D83786">
      <w:pPr>
        <w:autoSpaceDE w:val="0"/>
        <w:autoSpaceDN w:val="0"/>
        <w:adjustRightInd w:val="0"/>
        <w:jc w:val="both"/>
        <w:rPr>
          <w:iCs/>
          <w:color w:val="000000" w:themeColor="text1"/>
          <w:sz w:val="16"/>
          <w:szCs w:val="16"/>
        </w:rPr>
      </w:pPr>
    </w:p>
    <w:p w14:paraId="49F46B26" w14:textId="77777777" w:rsidR="00D83786" w:rsidRPr="00D83786" w:rsidRDefault="00D83786" w:rsidP="00D83786">
      <w:pPr>
        <w:jc w:val="both"/>
        <w:rPr>
          <w:color w:val="0070C0"/>
          <w:sz w:val="16"/>
          <w:szCs w:val="16"/>
        </w:rPr>
      </w:pPr>
      <w:r w:rsidRPr="00D83786">
        <w:rPr>
          <w:rStyle w:val="aff0"/>
          <w:rFonts w:ascii="Times New Roman" w:hAnsi="Times New Roman" w:cs="Times New Roman"/>
          <w:color w:val="0070C0"/>
          <w:spacing w:val="0"/>
          <w:sz w:val="16"/>
          <w:szCs w:val="16"/>
        </w:rPr>
        <w:t xml:space="preserve">В начале января 1945 года состоялось очередное совещание о состоянии японской военной промышленности, где речь шла также и о самолете </w:t>
      </w:r>
      <w:r w:rsidRPr="00D83786">
        <w:rPr>
          <w:rStyle w:val="aff0"/>
          <w:rFonts w:ascii="Times New Roman" w:hAnsi="Times New Roman" w:cs="Times New Roman"/>
          <w:color w:val="0070C0"/>
          <w:spacing w:val="0"/>
          <w:sz w:val="16"/>
          <w:szCs w:val="16"/>
          <w:lang w:val="en-US" w:eastAsia="en-US"/>
        </w:rPr>
        <w:t>Kikka</w:t>
      </w:r>
      <w:r w:rsidRPr="00D83786">
        <w:rPr>
          <w:rStyle w:val="aff0"/>
          <w:rFonts w:ascii="Times New Roman" w:hAnsi="Times New Roman" w:cs="Times New Roman"/>
          <w:color w:val="0070C0"/>
          <w:spacing w:val="0"/>
          <w:sz w:val="16"/>
          <w:szCs w:val="16"/>
          <w:lang w:eastAsia="en-US"/>
        </w:rPr>
        <w:t xml:space="preserve">. </w:t>
      </w:r>
      <w:r w:rsidRPr="00D83786">
        <w:rPr>
          <w:rStyle w:val="aff0"/>
          <w:rFonts w:ascii="Times New Roman" w:hAnsi="Times New Roman" w:cs="Times New Roman"/>
          <w:color w:val="0070C0"/>
          <w:spacing w:val="0"/>
          <w:sz w:val="16"/>
          <w:szCs w:val="16"/>
        </w:rPr>
        <w:t xml:space="preserve">Рассматривался вопрос о силовых установках. В целом предпочтение отдавалось новым </w:t>
      </w:r>
      <w:r w:rsidRPr="00D83786">
        <w:rPr>
          <w:rStyle w:val="aff0"/>
          <w:rFonts w:ascii="Times New Roman" w:hAnsi="Times New Roman" w:cs="Times New Roman"/>
          <w:color w:val="0070C0"/>
          <w:spacing w:val="0"/>
          <w:sz w:val="16"/>
          <w:szCs w:val="16"/>
          <w:lang w:val="en-US" w:eastAsia="en-US"/>
        </w:rPr>
        <w:t>Ne</w:t>
      </w:r>
      <w:r w:rsidRPr="00D83786">
        <w:rPr>
          <w:rStyle w:val="aff0"/>
          <w:rFonts w:ascii="Times New Roman" w:hAnsi="Times New Roman" w:cs="Times New Roman"/>
          <w:color w:val="0070C0"/>
          <w:spacing w:val="0"/>
          <w:sz w:val="16"/>
          <w:szCs w:val="16"/>
          <w:lang w:eastAsia="en-US"/>
        </w:rPr>
        <w:t xml:space="preserve">-20, </w:t>
      </w:r>
      <w:r w:rsidRPr="00D83786">
        <w:rPr>
          <w:rStyle w:val="aff0"/>
          <w:rFonts w:ascii="Times New Roman" w:hAnsi="Times New Roman" w:cs="Times New Roman"/>
          <w:color w:val="0070C0"/>
          <w:spacing w:val="0"/>
          <w:sz w:val="16"/>
          <w:szCs w:val="16"/>
        </w:rPr>
        <w:t>но для первых по</w:t>
      </w:r>
      <w:r w:rsidRPr="00D83786">
        <w:rPr>
          <w:rStyle w:val="aff0"/>
          <w:rFonts w:ascii="Times New Roman" w:hAnsi="Times New Roman" w:cs="Times New Roman"/>
          <w:color w:val="0070C0"/>
          <w:spacing w:val="0"/>
          <w:sz w:val="16"/>
          <w:szCs w:val="16"/>
        </w:rPr>
        <w:softHyphen/>
        <w:t xml:space="preserve">летов следовало использовать </w:t>
      </w:r>
      <w:r w:rsidRPr="00D83786">
        <w:rPr>
          <w:rStyle w:val="aff0"/>
          <w:rFonts w:ascii="Times New Roman" w:hAnsi="Times New Roman" w:cs="Times New Roman"/>
          <w:color w:val="0070C0"/>
          <w:spacing w:val="0"/>
          <w:sz w:val="16"/>
          <w:szCs w:val="16"/>
          <w:lang w:val="en-US" w:eastAsia="en-US"/>
        </w:rPr>
        <w:t>Ne</w:t>
      </w:r>
      <w:r w:rsidRPr="00D83786">
        <w:rPr>
          <w:rStyle w:val="aff0"/>
          <w:rFonts w:ascii="Times New Roman" w:hAnsi="Times New Roman" w:cs="Times New Roman"/>
          <w:color w:val="0070C0"/>
          <w:spacing w:val="0"/>
          <w:sz w:val="16"/>
          <w:szCs w:val="16"/>
          <w:lang w:eastAsia="en-US"/>
        </w:rPr>
        <w:t>-12</w:t>
      </w:r>
      <w:r w:rsidRPr="00D83786">
        <w:rPr>
          <w:rStyle w:val="aff0"/>
          <w:rFonts w:ascii="Times New Roman" w:hAnsi="Times New Roman" w:cs="Times New Roman"/>
          <w:color w:val="0070C0"/>
          <w:spacing w:val="0"/>
          <w:sz w:val="16"/>
          <w:szCs w:val="16"/>
          <w:lang w:val="en-US" w:eastAsia="en-US"/>
        </w:rPr>
        <w:t>B</w:t>
      </w:r>
      <w:r w:rsidRPr="00D83786">
        <w:rPr>
          <w:rStyle w:val="aff0"/>
          <w:rFonts w:ascii="Times New Roman" w:hAnsi="Times New Roman" w:cs="Times New Roman"/>
          <w:color w:val="0070C0"/>
          <w:spacing w:val="0"/>
          <w:sz w:val="16"/>
          <w:szCs w:val="16"/>
          <w:lang w:eastAsia="en-US"/>
        </w:rPr>
        <w:t xml:space="preserve">, </w:t>
      </w:r>
      <w:r w:rsidRPr="00D83786">
        <w:rPr>
          <w:rStyle w:val="aff0"/>
          <w:rFonts w:ascii="Times New Roman" w:hAnsi="Times New Roman" w:cs="Times New Roman"/>
          <w:color w:val="0070C0"/>
          <w:spacing w:val="0"/>
          <w:sz w:val="16"/>
          <w:szCs w:val="16"/>
        </w:rPr>
        <w:t>так как они были более отработанными.</w:t>
      </w:r>
    </w:p>
    <w:p w14:paraId="40BF6014" w14:textId="77777777" w:rsidR="00D83786" w:rsidRPr="00D83786" w:rsidRDefault="00D83786" w:rsidP="00D83786">
      <w:pPr>
        <w:jc w:val="both"/>
        <w:rPr>
          <w:color w:val="0070C0"/>
          <w:sz w:val="16"/>
          <w:szCs w:val="16"/>
        </w:rPr>
      </w:pPr>
      <w:r w:rsidRPr="00D83786">
        <w:rPr>
          <w:rStyle w:val="aff0"/>
          <w:rFonts w:ascii="Times New Roman" w:hAnsi="Times New Roman" w:cs="Times New Roman"/>
          <w:color w:val="0070C0"/>
          <w:spacing w:val="0"/>
          <w:sz w:val="16"/>
          <w:szCs w:val="16"/>
        </w:rPr>
        <w:t>В конструкции истребителя не было слиш</w:t>
      </w:r>
      <w:r w:rsidRPr="00D83786">
        <w:rPr>
          <w:rStyle w:val="aff0"/>
          <w:rFonts w:ascii="Times New Roman" w:hAnsi="Times New Roman" w:cs="Times New Roman"/>
          <w:color w:val="0070C0"/>
          <w:spacing w:val="0"/>
          <w:sz w:val="16"/>
          <w:szCs w:val="16"/>
        </w:rPr>
        <w:softHyphen/>
        <w:t>ком большой разницы по сравнению с само</w:t>
      </w:r>
      <w:r w:rsidRPr="00D83786">
        <w:rPr>
          <w:rStyle w:val="aff0"/>
          <w:rFonts w:ascii="Times New Roman" w:hAnsi="Times New Roman" w:cs="Times New Roman"/>
          <w:color w:val="0070C0"/>
          <w:spacing w:val="0"/>
          <w:sz w:val="16"/>
          <w:szCs w:val="16"/>
        </w:rPr>
        <w:softHyphen/>
        <w:t>летом-смертником. Помимо добавившегося шасси, несколько изменился фюзеляж, рас</w:t>
      </w:r>
      <w:r w:rsidRPr="00D83786">
        <w:rPr>
          <w:rStyle w:val="aff0"/>
          <w:rFonts w:ascii="Times New Roman" w:hAnsi="Times New Roman" w:cs="Times New Roman"/>
          <w:color w:val="0070C0"/>
          <w:spacing w:val="0"/>
          <w:sz w:val="16"/>
          <w:szCs w:val="16"/>
        </w:rPr>
        <w:softHyphen/>
        <w:t>считанный для установки неподвижного во</w:t>
      </w:r>
      <w:r w:rsidRPr="00D83786">
        <w:rPr>
          <w:rStyle w:val="aff0"/>
          <w:rFonts w:ascii="Times New Roman" w:hAnsi="Times New Roman" w:cs="Times New Roman"/>
          <w:color w:val="0070C0"/>
          <w:spacing w:val="0"/>
          <w:sz w:val="16"/>
          <w:szCs w:val="16"/>
        </w:rPr>
        <w:softHyphen/>
        <w:t xml:space="preserve">оружения, и остекление кабины. 10 февраля 1945 года состоялась официальная приемка и утверждение </w:t>
      </w:r>
      <w:r w:rsidRPr="00D83786">
        <w:rPr>
          <w:rStyle w:val="aff0"/>
          <w:rFonts w:ascii="Times New Roman" w:hAnsi="Times New Roman" w:cs="Times New Roman"/>
          <w:color w:val="0070C0"/>
          <w:spacing w:val="0"/>
          <w:sz w:val="16"/>
          <w:szCs w:val="16"/>
        </w:rPr>
        <w:lastRenderedPageBreak/>
        <w:t>деревянной модели, на которой присутствовал пилот Сусуму Такаока. Сразу после этого началась подготовка к серийному производству. Первый и второй опытные об</w:t>
      </w:r>
      <w:r w:rsidRPr="00D83786">
        <w:rPr>
          <w:rStyle w:val="aff0"/>
          <w:rFonts w:ascii="Times New Roman" w:hAnsi="Times New Roman" w:cs="Times New Roman"/>
          <w:color w:val="0070C0"/>
          <w:spacing w:val="0"/>
          <w:sz w:val="16"/>
          <w:szCs w:val="16"/>
        </w:rPr>
        <w:softHyphen/>
        <w:t>разцы не должны были нести вооружения.</w:t>
      </w:r>
    </w:p>
    <w:p w14:paraId="0B2DC6D8" w14:textId="6B47C9A2" w:rsidR="00D83786" w:rsidRPr="00D83786" w:rsidRDefault="00D83786" w:rsidP="00D83786">
      <w:pPr>
        <w:jc w:val="both"/>
        <w:rPr>
          <w:color w:val="0070C0"/>
          <w:sz w:val="16"/>
          <w:szCs w:val="16"/>
        </w:rPr>
      </w:pPr>
      <w:r w:rsidRPr="00D83786">
        <w:rPr>
          <w:noProof/>
          <w:color w:val="0070C0"/>
          <w:sz w:val="16"/>
          <w:szCs w:val="16"/>
        </w:rPr>
        <w:drawing>
          <wp:anchor distT="38100" distB="304800" distL="114300" distR="114300" simplePos="0" relativeHeight="251659264" behindDoc="0" locked="0" layoutInCell="1" allowOverlap="1" wp14:anchorId="790C2360" wp14:editId="61B60219">
            <wp:simplePos x="0" y="0"/>
            <wp:positionH relativeFrom="page">
              <wp:posOffset>4598670</wp:posOffset>
            </wp:positionH>
            <wp:positionV relativeFrom="margin">
              <wp:posOffset>12611735</wp:posOffset>
            </wp:positionV>
            <wp:extent cx="7828915" cy="3207385"/>
            <wp:effectExtent l="0" t="0" r="0" b="0"/>
            <wp:wrapTopAndBottom/>
            <wp:docPr id="336" name="Shape 336"/>
            <wp:cNvGraphicFramePr/>
            <a:graphic xmlns:a="http://schemas.openxmlformats.org/drawingml/2006/main">
              <a:graphicData uri="http://schemas.openxmlformats.org/drawingml/2006/picture">
                <pic:pic xmlns:pic="http://schemas.openxmlformats.org/drawingml/2006/picture">
                  <pic:nvPicPr>
                    <pic:cNvPr id="337" name="Picture box 337"/>
                    <pic:cNvPicPr/>
                  </pic:nvPicPr>
                  <pic:blipFill>
                    <a:blip r:embed="rId9"/>
                    <a:stretch/>
                  </pic:blipFill>
                  <pic:spPr>
                    <a:xfrm>
                      <a:off x="0" y="0"/>
                      <a:ext cx="7828915" cy="3207385"/>
                    </a:xfrm>
                    <a:prstGeom prst="rect">
                      <a:avLst/>
                    </a:prstGeom>
                  </pic:spPr>
                </pic:pic>
              </a:graphicData>
            </a:graphic>
          </wp:anchor>
        </w:drawing>
      </w:r>
      <w:r w:rsidRPr="00D83786">
        <w:rPr>
          <w:rStyle w:val="aff0"/>
          <w:rFonts w:ascii="Times New Roman" w:hAnsi="Times New Roman" w:cs="Times New Roman"/>
          <w:color w:val="0070C0"/>
          <w:spacing w:val="0"/>
          <w:sz w:val="16"/>
          <w:szCs w:val="16"/>
        </w:rPr>
        <w:t>Из-за участившихся американских налетов конструкторам пришлось переместиться из Коидзуми под Токио на восток страны в город Сано. Кроме того, производство пришлось рассредоточить. К тому времени в Йокосуке изготовили среднюю и заднюю части фюзе</w:t>
      </w:r>
      <w:r w:rsidRPr="00D83786">
        <w:rPr>
          <w:rStyle w:val="aff0"/>
          <w:rFonts w:ascii="Times New Roman" w:hAnsi="Times New Roman" w:cs="Times New Roman"/>
          <w:color w:val="0070C0"/>
          <w:spacing w:val="0"/>
          <w:sz w:val="16"/>
          <w:szCs w:val="16"/>
        </w:rPr>
        <w:softHyphen/>
        <w:t xml:space="preserve">ляжа, крылья и хвостовое оперение, более мелкие детали делали в Коизуми на фирме </w:t>
      </w:r>
      <w:r w:rsidRPr="00D83786">
        <w:rPr>
          <w:rStyle w:val="aff0"/>
          <w:rFonts w:ascii="Times New Roman" w:hAnsi="Times New Roman" w:cs="Times New Roman"/>
          <w:color w:val="0070C0"/>
          <w:spacing w:val="0"/>
          <w:sz w:val="16"/>
          <w:szCs w:val="16"/>
          <w:lang w:val="en-US" w:eastAsia="en-US"/>
        </w:rPr>
        <w:t>Nakajima</w:t>
      </w:r>
      <w:r w:rsidRPr="00D83786">
        <w:rPr>
          <w:rStyle w:val="aff0"/>
          <w:rFonts w:ascii="Times New Roman" w:hAnsi="Times New Roman" w:cs="Times New Roman"/>
          <w:color w:val="0070C0"/>
          <w:spacing w:val="0"/>
          <w:sz w:val="16"/>
          <w:szCs w:val="16"/>
          <w:lang w:eastAsia="en-US"/>
        </w:rPr>
        <w:t xml:space="preserve">. </w:t>
      </w:r>
      <w:r w:rsidRPr="00D83786">
        <w:rPr>
          <w:rStyle w:val="aff0"/>
          <w:rFonts w:ascii="Times New Roman" w:hAnsi="Times New Roman" w:cs="Times New Roman"/>
          <w:color w:val="0070C0"/>
          <w:spacing w:val="0"/>
          <w:sz w:val="16"/>
          <w:szCs w:val="16"/>
        </w:rPr>
        <w:t>Часть производственных мощностей перенесли в здания бывшей фабрики по об</w:t>
      </w:r>
      <w:r w:rsidRPr="00D83786">
        <w:rPr>
          <w:rStyle w:val="aff0"/>
          <w:rFonts w:ascii="Times New Roman" w:hAnsi="Times New Roman" w:cs="Times New Roman"/>
          <w:color w:val="0070C0"/>
          <w:spacing w:val="0"/>
          <w:sz w:val="16"/>
          <w:szCs w:val="16"/>
        </w:rPr>
        <w:softHyphen/>
        <w:t>работке шелка в префектуре Гумма.</w:t>
      </w:r>
    </w:p>
    <w:p w14:paraId="0CB30E36" w14:textId="330F4145" w:rsidR="00D83786" w:rsidRPr="00D83786" w:rsidRDefault="00D83786" w:rsidP="00D83786">
      <w:pPr>
        <w:autoSpaceDE w:val="0"/>
        <w:autoSpaceDN w:val="0"/>
        <w:adjustRightInd w:val="0"/>
        <w:jc w:val="both"/>
        <w:rPr>
          <w:rStyle w:val="aff0"/>
          <w:rFonts w:ascii="Times New Roman" w:hAnsi="Times New Roman" w:cs="Times New Roman"/>
          <w:color w:val="0070C0"/>
          <w:spacing w:val="0"/>
          <w:sz w:val="16"/>
          <w:szCs w:val="16"/>
          <w:lang w:eastAsia="en-US"/>
        </w:rPr>
      </w:pPr>
      <w:r w:rsidRPr="00D83786">
        <w:rPr>
          <w:rStyle w:val="aff0"/>
          <w:rFonts w:ascii="Times New Roman" w:hAnsi="Times New Roman" w:cs="Times New Roman"/>
          <w:color w:val="0070C0"/>
          <w:spacing w:val="0"/>
          <w:sz w:val="16"/>
          <w:szCs w:val="16"/>
        </w:rPr>
        <w:t>В марте было принято решение исполь</w:t>
      </w:r>
      <w:r w:rsidRPr="00D83786">
        <w:rPr>
          <w:rStyle w:val="aff0"/>
          <w:rFonts w:ascii="Times New Roman" w:hAnsi="Times New Roman" w:cs="Times New Roman"/>
          <w:color w:val="0070C0"/>
          <w:spacing w:val="0"/>
          <w:sz w:val="16"/>
          <w:szCs w:val="16"/>
        </w:rPr>
        <w:softHyphen/>
        <w:t xml:space="preserve">зовать на первых </w:t>
      </w:r>
      <w:r w:rsidRPr="00D83786">
        <w:rPr>
          <w:rStyle w:val="aff0"/>
          <w:rFonts w:ascii="Times New Roman" w:hAnsi="Times New Roman" w:cs="Times New Roman"/>
          <w:color w:val="0070C0"/>
          <w:spacing w:val="0"/>
          <w:sz w:val="16"/>
          <w:szCs w:val="16"/>
          <w:lang w:val="en-US" w:eastAsia="en-US"/>
        </w:rPr>
        <w:t>Kikka</w:t>
      </w:r>
      <w:r w:rsidRPr="00D83786">
        <w:rPr>
          <w:rStyle w:val="aff0"/>
          <w:rFonts w:ascii="Times New Roman" w:hAnsi="Times New Roman" w:cs="Times New Roman"/>
          <w:color w:val="0070C0"/>
          <w:spacing w:val="0"/>
          <w:sz w:val="16"/>
          <w:szCs w:val="16"/>
          <w:lang w:eastAsia="en-US"/>
        </w:rPr>
        <w:t xml:space="preserve"> </w:t>
      </w:r>
      <w:r w:rsidRPr="00D83786">
        <w:rPr>
          <w:rStyle w:val="aff0"/>
          <w:rFonts w:ascii="Times New Roman" w:hAnsi="Times New Roman" w:cs="Times New Roman"/>
          <w:color w:val="0070C0"/>
          <w:spacing w:val="0"/>
          <w:sz w:val="16"/>
          <w:szCs w:val="16"/>
        </w:rPr>
        <w:t xml:space="preserve">двигатели </w:t>
      </w:r>
      <w:r w:rsidRPr="00D83786">
        <w:rPr>
          <w:rStyle w:val="aff0"/>
          <w:rFonts w:ascii="Times New Roman" w:hAnsi="Times New Roman" w:cs="Times New Roman"/>
          <w:color w:val="0070C0"/>
          <w:spacing w:val="0"/>
          <w:sz w:val="16"/>
          <w:szCs w:val="16"/>
          <w:lang w:val="en-US" w:eastAsia="en-US"/>
        </w:rPr>
        <w:t>Ne</w:t>
      </w:r>
      <w:r w:rsidRPr="00D83786">
        <w:rPr>
          <w:rStyle w:val="aff0"/>
          <w:rFonts w:ascii="Times New Roman" w:hAnsi="Times New Roman" w:cs="Times New Roman"/>
          <w:color w:val="0070C0"/>
          <w:spacing w:val="0"/>
          <w:sz w:val="16"/>
          <w:szCs w:val="16"/>
          <w:lang w:eastAsia="en-US"/>
        </w:rPr>
        <w:t>-20</w:t>
      </w:r>
      <w:r>
        <w:rPr>
          <w:rStyle w:val="aff0"/>
          <w:rFonts w:ascii="Times New Roman" w:hAnsi="Times New Roman" w:cs="Times New Roman"/>
          <w:color w:val="0070C0"/>
          <w:spacing w:val="0"/>
          <w:sz w:val="16"/>
          <w:szCs w:val="16"/>
          <w:lang w:eastAsia="en-US"/>
        </w:rPr>
        <w:t xml:space="preserve"> (25794).</w:t>
      </w:r>
    </w:p>
    <w:p w14:paraId="22E8B030" w14:textId="77777777" w:rsidR="00D83786" w:rsidRPr="00D83786" w:rsidRDefault="00D83786" w:rsidP="00D83786">
      <w:pPr>
        <w:autoSpaceDE w:val="0"/>
        <w:autoSpaceDN w:val="0"/>
        <w:adjustRightInd w:val="0"/>
        <w:jc w:val="both"/>
        <w:rPr>
          <w:rStyle w:val="aff0"/>
          <w:rFonts w:ascii="Times New Roman" w:hAnsi="Times New Roman" w:cs="Times New Roman"/>
          <w:color w:val="0070C0"/>
          <w:spacing w:val="0"/>
          <w:sz w:val="16"/>
          <w:szCs w:val="16"/>
          <w:lang w:eastAsia="en-US"/>
        </w:rPr>
      </w:pPr>
    </w:p>
    <w:p w14:paraId="1DB1348C" w14:textId="4C34DBFF" w:rsidR="00C2313B" w:rsidRPr="00925F26" w:rsidRDefault="001561D1" w:rsidP="00D8378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2399E8D" w14:textId="77777777" w:rsidR="00C2313B" w:rsidRPr="00925F26" w:rsidRDefault="00C2313B" w:rsidP="00925F26">
      <w:pPr>
        <w:autoSpaceDE w:val="0"/>
        <w:autoSpaceDN w:val="0"/>
        <w:adjustRightInd w:val="0"/>
        <w:jc w:val="both"/>
        <w:rPr>
          <w:iCs/>
          <w:color w:val="000000" w:themeColor="text1"/>
          <w:sz w:val="16"/>
          <w:szCs w:val="16"/>
        </w:rPr>
      </w:pPr>
    </w:p>
    <w:p w14:paraId="678449D5"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января 1945 вышло Распоряжение ГКО № 7276 [Об обеспечении паровозов Кишиневской железной дороги мазутом из Румынии.] (7295, 109).</w:t>
      </w:r>
    </w:p>
    <w:p w14:paraId="59115C9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A19585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января 1945 вышло Постановление ГКО № 7277 Об увеличении выпуска паровых котлов для Наркомугля на заводах Наркомтяжмаша. (7295, 110-115,116).</w:t>
      </w:r>
    </w:p>
    <w:p w14:paraId="095E820F"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9B0306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января 1945 вышло Постановление ГКО № 7278 Об обеспечении порожними вагонами углепогрузочных дорог в январе 1945 г. (7295, 117-119,120-127).</w:t>
      </w:r>
    </w:p>
    <w:p w14:paraId="473C8BD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8CCD2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января 1945 вышло Распоряжение ГКО № 7279. О мерах по поставкам спецукупорки заводам НКВ. РГАНИР, Фонд ГКО, д. 348, лл. 128-129, 130 (11012).</w:t>
      </w:r>
    </w:p>
    <w:p w14:paraId="64C4AD8E" w14:textId="77777777" w:rsidR="00C2313B" w:rsidRPr="00925F26" w:rsidRDefault="00C2313B" w:rsidP="00925F26">
      <w:pPr>
        <w:autoSpaceDE w:val="0"/>
        <w:autoSpaceDN w:val="0"/>
        <w:adjustRightInd w:val="0"/>
        <w:jc w:val="both"/>
        <w:rPr>
          <w:color w:val="000000" w:themeColor="text1"/>
          <w:sz w:val="16"/>
          <w:szCs w:val="16"/>
        </w:rPr>
      </w:pPr>
    </w:p>
    <w:p w14:paraId="68430A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января 1945 вышло Распоряжение ГКО № 7280. О поставках корда НКРП в I кв. 1945 г. РГАНИР, Фонд ГКО, д. 348, лл. 131-132 (11012).</w:t>
      </w:r>
    </w:p>
    <w:p w14:paraId="6EEF5DDA" w14:textId="77777777" w:rsidR="00C2313B" w:rsidRPr="00925F26" w:rsidRDefault="00C2313B" w:rsidP="00925F26">
      <w:pPr>
        <w:autoSpaceDE w:val="0"/>
        <w:autoSpaceDN w:val="0"/>
        <w:adjustRightInd w:val="0"/>
        <w:jc w:val="both"/>
        <w:rPr>
          <w:color w:val="000000" w:themeColor="text1"/>
          <w:sz w:val="16"/>
          <w:szCs w:val="16"/>
        </w:rPr>
      </w:pPr>
    </w:p>
    <w:p w14:paraId="6FF056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января 1945 вышло Распоряжение ГКО № 7281. О принятии под охрану НКВД завода "Платиноприбор" Гознака. РГАНИР, Фонд ГКО, д. 348, лл. 133 (11012).</w:t>
      </w:r>
    </w:p>
    <w:p w14:paraId="722AB2CA" w14:textId="77777777" w:rsidR="00C2313B" w:rsidRPr="00925F26" w:rsidRDefault="00C2313B" w:rsidP="00925F26">
      <w:pPr>
        <w:autoSpaceDE w:val="0"/>
        <w:autoSpaceDN w:val="0"/>
        <w:adjustRightInd w:val="0"/>
        <w:jc w:val="both"/>
        <w:rPr>
          <w:color w:val="000000" w:themeColor="text1"/>
          <w:sz w:val="16"/>
          <w:szCs w:val="16"/>
        </w:rPr>
      </w:pPr>
    </w:p>
    <w:p w14:paraId="6B19D6DB"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января 1945 вышло Постановление ГКО № 7282 О приемке легкого крейсера "Л. Каганович" в состав ВМФ. (7295, 134-135).</w:t>
      </w:r>
    </w:p>
    <w:p w14:paraId="595489E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B3BC7AD" w14:textId="77777777" w:rsidR="002D257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F680060" w14:textId="77777777" w:rsidR="002D2573" w:rsidRPr="00925F26" w:rsidRDefault="002D2573" w:rsidP="00925F26">
      <w:pPr>
        <w:autoSpaceDE w:val="0"/>
        <w:autoSpaceDN w:val="0"/>
        <w:adjustRightInd w:val="0"/>
        <w:jc w:val="both"/>
        <w:rPr>
          <w:iCs/>
          <w:color w:val="000000" w:themeColor="text1"/>
          <w:sz w:val="16"/>
          <w:szCs w:val="16"/>
        </w:rPr>
      </w:pPr>
    </w:p>
    <w:p w14:paraId="33E35C7C" w14:textId="77777777" w:rsidR="002D2573" w:rsidRPr="00925F26" w:rsidRDefault="002D2573" w:rsidP="00925F26">
      <w:pPr>
        <w:jc w:val="both"/>
        <w:rPr>
          <w:color w:val="000000" w:themeColor="text1"/>
          <w:sz w:val="16"/>
          <w:szCs w:val="16"/>
        </w:rPr>
      </w:pPr>
      <w:r w:rsidRPr="00925F26">
        <w:rPr>
          <w:bCs/>
          <w:color w:val="000000" w:themeColor="text1"/>
          <w:sz w:val="16"/>
          <w:szCs w:val="16"/>
        </w:rPr>
        <w:t>7 января</w:t>
      </w:r>
      <w:r w:rsidRPr="00925F26">
        <w:rPr>
          <w:color w:val="000000" w:themeColor="text1"/>
          <w:sz w:val="16"/>
          <w:szCs w:val="16"/>
        </w:rPr>
        <w:t xml:space="preserve"> в 1945 году оперативная сводка Совинформбюро:</w:t>
      </w:r>
    </w:p>
    <w:p w14:paraId="345FD352" w14:textId="77777777" w:rsidR="002D2573" w:rsidRPr="00925F26" w:rsidRDefault="002D2573" w:rsidP="00925F26">
      <w:pPr>
        <w:jc w:val="both"/>
        <w:rPr>
          <w:color w:val="000000" w:themeColor="text1"/>
          <w:sz w:val="16"/>
          <w:szCs w:val="16"/>
        </w:rPr>
      </w:pPr>
      <w:r w:rsidRPr="00925F26">
        <w:rPr>
          <w:color w:val="000000" w:themeColor="text1"/>
          <w:sz w:val="16"/>
          <w:szCs w:val="16"/>
        </w:rPr>
        <w:t>«В течение 7 января в районе Будапешта наши войска вели бои по очищению города от противника и заняли 116 кварталов.</w:t>
      </w:r>
    </w:p>
    <w:p w14:paraId="5B3AB532"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наши войска отбивали атаки крупных сил пехоты и танков противника, стремящегося, несмотря на большие потери, прорваться к Будапешту. После упорных боёв наши войска оставили город Естергом.</w:t>
      </w:r>
    </w:p>
    <w:p w14:paraId="76463925" w14:textId="77777777" w:rsidR="002D2573" w:rsidRPr="00925F26" w:rsidRDefault="002D2573" w:rsidP="00925F26">
      <w:pPr>
        <w:jc w:val="both"/>
        <w:rPr>
          <w:color w:val="000000" w:themeColor="text1"/>
          <w:sz w:val="16"/>
          <w:szCs w:val="16"/>
        </w:rPr>
      </w:pPr>
      <w:r w:rsidRPr="00925F26">
        <w:rPr>
          <w:color w:val="000000" w:themeColor="text1"/>
          <w:sz w:val="16"/>
          <w:szCs w:val="16"/>
        </w:rPr>
        <w:t>На северном берегу Дуная севернее города Естергом наши войска, сломив сопротивление противника, продвинулись к западу от реки Грон более чем на 20 километров, заняв при этом крупные населённые пункты Камендин, Либад, Бела, Мужла, Кебелкут, Баторове Кеси, Буч, Карва, Мадар. В этом районе за 6 января наши войска взяли в плен 1.300 солдат и офицеров противника, захватили 54 танка и 28 орудий.</w:t>
      </w:r>
    </w:p>
    <w:p w14:paraId="7F0B358D" w14:textId="77777777" w:rsidR="002D2573" w:rsidRPr="00925F26" w:rsidRDefault="002D2573"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6C125ED3" w14:textId="77777777" w:rsidR="002D2573" w:rsidRPr="00925F26" w:rsidRDefault="002D2573" w:rsidP="00925F26">
      <w:pPr>
        <w:jc w:val="both"/>
        <w:rPr>
          <w:color w:val="000000" w:themeColor="text1"/>
          <w:sz w:val="16"/>
          <w:szCs w:val="16"/>
        </w:rPr>
      </w:pPr>
      <w:r w:rsidRPr="00925F26">
        <w:rPr>
          <w:color w:val="000000" w:themeColor="text1"/>
          <w:sz w:val="16"/>
          <w:szCs w:val="16"/>
        </w:rPr>
        <w:t>За 6 января наши войска на всех фронтах подбили и уничтожили 116 немецких танков, из них 88 танков северо-западнее Будапешта. В воздушных боях и огнём зенитной артиллерии сбито 52 самолёта противника.</w:t>
      </w:r>
    </w:p>
    <w:p w14:paraId="17CCC78E" w14:textId="77777777" w:rsidR="002D2573" w:rsidRPr="00925F26" w:rsidRDefault="002D2573" w:rsidP="00925F26">
      <w:pPr>
        <w:jc w:val="both"/>
        <w:rPr>
          <w:color w:val="000000" w:themeColor="text1"/>
          <w:sz w:val="16"/>
          <w:szCs w:val="16"/>
        </w:rPr>
      </w:pPr>
      <w:r w:rsidRPr="00925F26">
        <w:rPr>
          <w:color w:val="000000" w:themeColor="text1"/>
          <w:sz w:val="16"/>
          <w:szCs w:val="16"/>
        </w:rPr>
        <w:t>В районе Будапешта наши продолжали бои по ликвидации окруженной группировки противника. Советские части заняли 116 кварталов и очищают от немцев центральные районы города. Пытаясь замедлить продвижение наших войск, немцы устраивают завалы, взрывая многие жилые дома и общественные здания. В результате стремительной атаки бойцы Н-ской части овладели сегодня улицей в центральной части Будапешта. Противник, подтянув резервы, предпринял одну за другой двенадцать контратак, но был отброшен с большими для него потерями. В этом бою артиллеристы под командованием капитана Майбороды уничтожили 3 вражеских танка и 7 бронетранспортеров. Другое артиллерийское подразделение сожгло 6 танков и 4 самоходных орудия противника. В другом районе наши гвардейские подразделения, продвигаясь вперед, истребили 400 гитлеровцев, захватили 24 пулемета, 100 автоматов, паровоз и 120 вагонов с военными грузами. Взято в плен 80 немецких солдат и офицеров.</w:t>
      </w:r>
    </w:p>
    <w:p w14:paraId="261052A7" w14:textId="77777777" w:rsidR="002D2573" w:rsidRPr="00925F26" w:rsidRDefault="002D2573" w:rsidP="00925F26">
      <w:pPr>
        <w:jc w:val="both"/>
        <w:rPr>
          <w:color w:val="000000" w:themeColor="text1"/>
          <w:sz w:val="16"/>
          <w:szCs w:val="16"/>
        </w:rPr>
      </w:pPr>
      <w:r w:rsidRPr="00925F26">
        <w:rPr>
          <w:color w:val="000000" w:themeColor="text1"/>
          <w:sz w:val="16"/>
          <w:szCs w:val="16"/>
        </w:rPr>
        <w:t>В уличных боях в городе Будапеште советские воины показывают пример самоотверженности и героизма. Командир орудия сержант Земченко в течение дня подбил танк и сжег 2 немецких бронетранспортера. Пулеметчик Булава обстрелял вражеский бронетранспортер. Машина потеряла управление и остановилась. Рядовые Кот и Аладусиков подбежали к бронетранспортеру и ручными гранатами истребили всех находившихся в нем гитлеровцев. Разведчики рядовые Сапожников и Лежнев пробрались в расположение противника. Встретив группу венгерских солдат, советские бойцы предложили им сдаться в плен. 84 венгра с оружием перешли на сторону Красной Армии.</w:t>
      </w:r>
    </w:p>
    <w:p w14:paraId="5B3F8FC2"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продолжались ожесточенные бои. За последние дни в этом районе противник понес очень тяжелые потери. Однако немцы непрерывно вводят в дело свежие силы и стремятся любой ценой пробиться к Будапешту. На южном берегу Дуная крупная группировка немецких танков и пехоты утром атаковала наши позиции. Весь день советские пехотинцы и артиллеристы сдерживали натиск численно превосходящих сил противника. Бои неоднократно переходили в рукопашные схватки. К исходу дня наши части оставили город Естергом и отошли на новые позиции. Немцы, пытаясь продвинуться дальше, предприняли еще несколько яростных атак, но были отброшены. Западнее Будапешта наши войска мощным огнем и контрударами отбили многочисленные атаки противника. За день боев на этом участке уничтожено 1.400 немецких солдат и офицеров, подбито и сожжено 49 танков и 16 бронетранспортеров. Захвачено в плен 320 немецких солдат и офицеров.</w:t>
      </w:r>
    </w:p>
    <w:p w14:paraId="307ADD12" w14:textId="77777777" w:rsidR="002D2573" w:rsidRPr="00925F26" w:rsidRDefault="002D2573" w:rsidP="00925F26">
      <w:pPr>
        <w:jc w:val="both"/>
        <w:rPr>
          <w:color w:val="000000" w:themeColor="text1"/>
          <w:sz w:val="16"/>
          <w:szCs w:val="16"/>
        </w:rPr>
      </w:pPr>
      <w:r w:rsidRPr="00925F26">
        <w:rPr>
          <w:color w:val="000000" w:themeColor="text1"/>
          <w:sz w:val="16"/>
          <w:szCs w:val="16"/>
        </w:rPr>
        <w:t>Советская авиация, несмотря на неблагоприятные условия погоды, наносила удары по танкам противника. В течение дня наши лётчики уничтожили и повредили более 20 немецких танков, 8 бронетранспортёров и 60 автомашин. На одном участке немцы, готовясь к очередной атаке, сосредоточили много танков. Летчики-штурмовики под командованием старшего лейтенанта Шепелева совершили налёт на скопление техники противника и сожгли 10 танков. На обратном пути советские штурмовики были атакованы немецкими истребителями. В завязавшемся воздушном бою стрелки Носков, Костицын и лётчик младший лейтенант Щупаков сбили по одному немецкому самолёту. Четвёртый вражеский истребитель сбит в групповом бою. Все наши самолеты благополучно вернулись на свой аэродром. В другом районе двенадцать штурмовиков под командованием майора Шулякова атаковали на железнодорожной станции только что выгрузившиеся танки противника. Лейтенант Иевский, лейтенант Липницкий и младший лейтенант Черноус бомбами и пушечным огнём подавили вражеские зенитные батареи. Майор Шуляков, капитан Боканов, старший лейтенант Шонин и другие лётчики нанесли удар по танкам и эшелонам противника. Уничтожено 4 немецких танка и 20 автомашин. Среди находившихся на территории станции эшелонов возникли пожары, и произошло несколько сильных взрывов.</w:t>
      </w:r>
    </w:p>
    <w:p w14:paraId="747FBBF9" w14:textId="77777777" w:rsidR="002D2573" w:rsidRPr="00925F26" w:rsidRDefault="002D2573" w:rsidP="00925F26">
      <w:pPr>
        <w:jc w:val="both"/>
        <w:rPr>
          <w:color w:val="000000" w:themeColor="text1"/>
          <w:sz w:val="16"/>
          <w:szCs w:val="16"/>
        </w:rPr>
      </w:pPr>
      <w:r w:rsidRPr="00925F26">
        <w:rPr>
          <w:color w:val="000000" w:themeColor="text1"/>
          <w:sz w:val="16"/>
          <w:szCs w:val="16"/>
        </w:rPr>
        <w:t>На северном берегу Дуная, севернее города Естергом, наши войска мощным ударом прорвали оборону противника на западном берегу реки Грон. Развивая успех, советские части продвинулись вперёд более чем на 20 километров и овладели рядом крупных населенных пунктов. В числе других занят населённый пункт Мадар, расположенный в 17 километрах от чехословацкого города Комарно – крупного узла железнодорожных и шоссейных дорог. Советские танкисты, пехотинцы и артиллеристы стремительным ударом нанесли большие потери пехотной дивизии противника, только что прибывшей на этот участок фронта. Разгромлена также танковая часть, которую немцы бросили в бой, пытаясь задержать наступление. Отступая под ударами наших войск, противник оставил на поле боя много вооружения, техники и военных материалов.» (15002).</w:t>
      </w:r>
    </w:p>
    <w:p w14:paraId="635B47C0" w14:textId="77777777" w:rsidR="002D2573" w:rsidRPr="00925F26" w:rsidRDefault="002D2573" w:rsidP="00925F26">
      <w:pPr>
        <w:jc w:val="both"/>
        <w:rPr>
          <w:color w:val="000000" w:themeColor="text1"/>
          <w:sz w:val="16"/>
          <w:szCs w:val="16"/>
        </w:rPr>
      </w:pPr>
    </w:p>
    <w:p w14:paraId="3FDC7A2D" w14:textId="77777777" w:rsidR="00D837F1" w:rsidRPr="00925F26" w:rsidRDefault="00D837F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847D9A2" w14:textId="77777777" w:rsidR="00D837F1" w:rsidRPr="00925F26" w:rsidRDefault="00D837F1" w:rsidP="00925F26">
      <w:pPr>
        <w:autoSpaceDE w:val="0"/>
        <w:autoSpaceDN w:val="0"/>
        <w:adjustRightInd w:val="0"/>
        <w:jc w:val="both"/>
        <w:rPr>
          <w:iCs/>
          <w:color w:val="000000" w:themeColor="text1"/>
          <w:sz w:val="16"/>
          <w:szCs w:val="16"/>
        </w:rPr>
      </w:pPr>
    </w:p>
    <w:p w14:paraId="4774C1B1" w14:textId="77777777" w:rsidR="00D837F1" w:rsidRPr="00925F26" w:rsidRDefault="00D837F1" w:rsidP="00925F26">
      <w:pPr>
        <w:jc w:val="both"/>
        <w:rPr>
          <w:color w:val="000000" w:themeColor="text1"/>
          <w:sz w:val="16"/>
          <w:szCs w:val="16"/>
        </w:rPr>
      </w:pPr>
      <w:r w:rsidRPr="00925F26">
        <w:rPr>
          <w:color w:val="000000" w:themeColor="text1"/>
          <w:sz w:val="16"/>
          <w:szCs w:val="16"/>
        </w:rPr>
        <w:t>7 января 1945. Опубликовано сообщение о начале строительства газопровода Саратов-Москва (18688).</w:t>
      </w:r>
    </w:p>
    <w:p w14:paraId="653772B9" w14:textId="77777777" w:rsidR="00D837F1" w:rsidRPr="00925F26" w:rsidRDefault="00D837F1" w:rsidP="00925F26">
      <w:pPr>
        <w:jc w:val="both"/>
        <w:rPr>
          <w:color w:val="000000" w:themeColor="text1"/>
          <w:sz w:val="16"/>
          <w:szCs w:val="16"/>
        </w:rPr>
      </w:pPr>
    </w:p>
    <w:p w14:paraId="1B3911B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769E356" w14:textId="77777777" w:rsidR="00C2313B" w:rsidRPr="00925F26" w:rsidRDefault="00C2313B" w:rsidP="00925F26">
      <w:pPr>
        <w:autoSpaceDE w:val="0"/>
        <w:autoSpaceDN w:val="0"/>
        <w:adjustRightInd w:val="0"/>
        <w:jc w:val="both"/>
        <w:rPr>
          <w:iCs/>
          <w:color w:val="000000" w:themeColor="text1"/>
          <w:sz w:val="16"/>
          <w:szCs w:val="16"/>
        </w:rPr>
      </w:pPr>
    </w:p>
    <w:p w14:paraId="344341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января 1945 года</w:t>
      </w:r>
    </w:p>
    <w:p w14:paraId="132604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ЛИЧНО И СТРОГО СЕКРЕТНО ОТ ПРЕМЬЕРА И. В. СТАЛИНА ПРЕМЬЕР-МИНИСТРУ г-ну У. ЧЕРЧИЛЛЮ</w:t>
      </w:r>
    </w:p>
    <w:p w14:paraId="3495CB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Получил вечером 7 января Ваше послание от 6 января 1945 года</w:t>
      </w:r>
    </w:p>
    <w:p w14:paraId="71A195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сожалению, главный маршал авиации г-н Теддер еще не прибыл в Москву.</w:t>
      </w:r>
    </w:p>
    <w:p w14:paraId="5EE4F9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Очень важно использовать наше превосходство против немцев в артиллерии и авиации. В этих видах требуется ясная погода для авиации и отсутствие низких туманов, мешающих артиллерии вести прицельный огонь. Мы готовимся к наступлению, но погода сейчас не благоприятствует нашему наступлению. Однако, учитывая положение наших союзников на западном фронте, Ставка Верховного Главнокомандования решила усиленным темпом закончить подготовку и, не считаясь с погодой, открыть широкие наступательные действия против немцев по всему центральному фронту не позже второй половины января. Можете не сомневаться, что мы сделаем все, что только возможно сделать для того, чтобы оказать содействие нашим славным союзным войскам (7430).</w:t>
      </w:r>
    </w:p>
    <w:p w14:paraId="113AE9B0" w14:textId="77777777" w:rsidR="00C2313B" w:rsidRPr="00925F26" w:rsidRDefault="00C2313B" w:rsidP="00925F26">
      <w:pPr>
        <w:autoSpaceDE w:val="0"/>
        <w:autoSpaceDN w:val="0"/>
        <w:adjustRightInd w:val="0"/>
        <w:jc w:val="both"/>
        <w:rPr>
          <w:color w:val="000000" w:themeColor="text1"/>
          <w:sz w:val="16"/>
          <w:szCs w:val="16"/>
        </w:rPr>
      </w:pPr>
    </w:p>
    <w:p w14:paraId="1C23CBD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44F0AB0" w14:textId="77777777" w:rsidR="00C2313B" w:rsidRPr="00925F26" w:rsidRDefault="00C2313B" w:rsidP="00925F26">
      <w:pPr>
        <w:autoSpaceDE w:val="0"/>
        <w:autoSpaceDN w:val="0"/>
        <w:adjustRightInd w:val="0"/>
        <w:jc w:val="both"/>
        <w:rPr>
          <w:iCs/>
          <w:color w:val="000000" w:themeColor="text1"/>
          <w:sz w:val="16"/>
          <w:szCs w:val="16"/>
        </w:rPr>
      </w:pPr>
    </w:p>
    <w:p w14:paraId="0759BBC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января 1945 Гитлер приказал эвакуировать немецкие войска из Мемеля (ныне Клайпеды) и Курляндии (4962).</w:t>
      </w:r>
    </w:p>
    <w:p w14:paraId="1885CA3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FAA67CE" w14:textId="77777777" w:rsidR="002D2573" w:rsidRPr="00925F26" w:rsidRDefault="002D2573" w:rsidP="00925F26">
      <w:pPr>
        <w:jc w:val="both"/>
        <w:rPr>
          <w:color w:val="000000" w:themeColor="text1"/>
          <w:sz w:val="16"/>
          <w:szCs w:val="16"/>
        </w:rPr>
      </w:pPr>
      <w:r w:rsidRPr="00925F26">
        <w:rPr>
          <w:bCs/>
          <w:color w:val="000000" w:themeColor="text1"/>
          <w:sz w:val="16"/>
          <w:szCs w:val="16"/>
        </w:rPr>
        <w:t>7 января</w:t>
      </w:r>
      <w:r w:rsidRPr="00925F26">
        <w:rPr>
          <w:color w:val="000000" w:themeColor="text1"/>
          <w:sz w:val="16"/>
          <w:szCs w:val="16"/>
        </w:rPr>
        <w:t xml:space="preserve"> в 1945 году Адольф Гитлер приказывает эвакуировать немецкие войска из Мемеля (ныне Клайпеды) и Курляндии (15002).</w:t>
      </w:r>
    </w:p>
    <w:p w14:paraId="275D37E8" w14:textId="77777777" w:rsidR="002D2573" w:rsidRPr="00925F26" w:rsidRDefault="002D2573" w:rsidP="00925F26">
      <w:pPr>
        <w:jc w:val="both"/>
        <w:rPr>
          <w:color w:val="000000" w:themeColor="text1"/>
          <w:sz w:val="16"/>
          <w:szCs w:val="16"/>
        </w:rPr>
      </w:pPr>
    </w:p>
    <w:p w14:paraId="3E3692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января 1945 на тихоокеанском театре погиб американский ас м Thomas B. McGuire (2100).</w:t>
      </w:r>
    </w:p>
    <w:p w14:paraId="4EA2F72F" w14:textId="77777777" w:rsidR="00C2313B" w:rsidRPr="00925F26" w:rsidRDefault="00C2313B" w:rsidP="00925F26">
      <w:pPr>
        <w:autoSpaceDE w:val="0"/>
        <w:autoSpaceDN w:val="0"/>
        <w:adjustRightInd w:val="0"/>
        <w:jc w:val="both"/>
        <w:rPr>
          <w:color w:val="000000" w:themeColor="text1"/>
          <w:sz w:val="16"/>
          <w:szCs w:val="16"/>
        </w:rPr>
      </w:pPr>
    </w:p>
    <w:p w14:paraId="05D6584A" w14:textId="77777777" w:rsidR="005A1318" w:rsidRPr="00925F26" w:rsidRDefault="005A1318" w:rsidP="00925F26">
      <w:pPr>
        <w:jc w:val="both"/>
        <w:rPr>
          <w:color w:val="000000" w:themeColor="text1"/>
          <w:sz w:val="16"/>
          <w:szCs w:val="16"/>
        </w:rPr>
      </w:pPr>
      <w:r w:rsidRPr="00925F26">
        <w:rPr>
          <w:color w:val="000000" w:themeColor="text1"/>
          <w:sz w:val="16"/>
          <w:szCs w:val="16"/>
        </w:rPr>
        <w:t>7 января 1945 второй по результативности американский ас времен Второй мировой войны, майор ВВС США Томас Макгуайр , погиб, когда его P-38 Lightning на малой высоте разбился во время воздушного боя с японским Nakajima Ki-43 (союзническое имя «Оскар») около Манаплы над островом Негрос на Филиппинах. На момент смерти у него было 38 побед (20371).</w:t>
      </w:r>
    </w:p>
    <w:p w14:paraId="0B05CEA6" w14:textId="77777777" w:rsidR="005A1318" w:rsidRPr="00925F26" w:rsidRDefault="005A1318" w:rsidP="00925F26">
      <w:pPr>
        <w:jc w:val="both"/>
        <w:rPr>
          <w:color w:val="000000" w:themeColor="text1"/>
          <w:sz w:val="16"/>
          <w:szCs w:val="16"/>
        </w:rPr>
      </w:pPr>
    </w:p>
    <w:p w14:paraId="075E8B63" w14:textId="77777777" w:rsidR="005A1318" w:rsidRPr="00925F26" w:rsidRDefault="005A1318" w:rsidP="00925F26">
      <w:pPr>
        <w:jc w:val="both"/>
        <w:rPr>
          <w:color w:val="000000" w:themeColor="text1"/>
          <w:sz w:val="16"/>
          <w:szCs w:val="16"/>
        </w:rPr>
      </w:pPr>
      <w:r w:rsidRPr="00925F26">
        <w:rPr>
          <w:color w:val="000000" w:themeColor="text1"/>
          <w:sz w:val="16"/>
          <w:szCs w:val="16"/>
        </w:rPr>
        <w:t>7 января 1945 в более ясную погоду самолеты оперативной группы 38 использовали тактику «большого синего одеяла» над Лусоном, совершив 757 самолето-вылетов, сбив все четыре японских самолета, которые они встретили в воздухе, и заявив, что еще 75 уничтожены на земле. Оперативная группа 38 потеряла 10 самолетов в бою и 18 по небоевым причинам. Одиннадцать американских авианосцев сопровождения в Лингайенском заливе совершили еще 143 самолето-пролета, и в них также участвуют самолеты ВВС США. В заливе Лингайен камикадзе топят эсминец и тральщик (20371).</w:t>
      </w:r>
    </w:p>
    <w:p w14:paraId="51161986" w14:textId="77777777" w:rsidR="005A1318" w:rsidRPr="00925F26" w:rsidRDefault="005A1318" w:rsidP="00925F26">
      <w:pPr>
        <w:jc w:val="both"/>
        <w:rPr>
          <w:color w:val="000000" w:themeColor="text1"/>
          <w:sz w:val="16"/>
          <w:szCs w:val="16"/>
        </w:rPr>
      </w:pPr>
    </w:p>
    <w:p w14:paraId="5CF1ACB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E7C2F91" w14:textId="77777777" w:rsidR="00C2313B" w:rsidRPr="00925F26" w:rsidRDefault="00C2313B" w:rsidP="00925F26">
      <w:pPr>
        <w:autoSpaceDE w:val="0"/>
        <w:autoSpaceDN w:val="0"/>
        <w:adjustRightInd w:val="0"/>
        <w:jc w:val="both"/>
        <w:rPr>
          <w:iCs/>
          <w:color w:val="000000" w:themeColor="text1"/>
          <w:sz w:val="16"/>
          <w:szCs w:val="16"/>
        </w:rPr>
      </w:pPr>
    </w:p>
    <w:p w14:paraId="3D3998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были закончены доработки Як-3Т и 9 он был передан в ЛИС ОКБ А.С.Я. (65,181).</w:t>
      </w:r>
    </w:p>
    <w:p w14:paraId="65ABBDD7" w14:textId="77777777" w:rsidR="00C2313B" w:rsidRPr="00925F26" w:rsidRDefault="00C2313B" w:rsidP="00925F26">
      <w:pPr>
        <w:autoSpaceDE w:val="0"/>
        <w:autoSpaceDN w:val="0"/>
        <w:adjustRightInd w:val="0"/>
        <w:jc w:val="both"/>
        <w:rPr>
          <w:color w:val="000000" w:themeColor="text1"/>
          <w:sz w:val="16"/>
          <w:szCs w:val="16"/>
        </w:rPr>
      </w:pPr>
    </w:p>
    <w:p w14:paraId="089EDE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года самолет, получивший в ОКБ наименование Як-3Т, выкатили на аэродром. В ходе заводских испытаний, проходивших с 15 по 24 января, истребитель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1D789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925F26">
        <w:rPr>
          <w:color w:val="000000" w:themeColor="text1"/>
          <w:sz w:val="16"/>
          <w:szCs w:val="16"/>
        </w:rPr>
        <w:t>че- тырех</w:t>
      </w:r>
      <w:proofErr w:type="gramEnd"/>
      <w:r w:rsidRPr="00925F26">
        <w:rPr>
          <w:color w:val="000000" w:themeColor="text1"/>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54C820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1C940374" w14:textId="77777777" w:rsidR="00C2313B" w:rsidRPr="00925F26" w:rsidRDefault="00C2313B" w:rsidP="00925F26">
      <w:pPr>
        <w:autoSpaceDE w:val="0"/>
        <w:autoSpaceDN w:val="0"/>
        <w:adjustRightInd w:val="0"/>
        <w:jc w:val="both"/>
        <w:rPr>
          <w:color w:val="000000" w:themeColor="text1"/>
          <w:sz w:val="16"/>
          <w:szCs w:val="16"/>
        </w:rPr>
      </w:pPr>
    </w:p>
    <w:p w14:paraId="549331F4" w14:textId="77777777" w:rsidR="00DC771B" w:rsidRPr="001A0BAA" w:rsidRDefault="00DC771B" w:rsidP="00DC771B">
      <w:pPr>
        <w:jc w:val="both"/>
        <w:rPr>
          <w:color w:val="0070C0"/>
          <w:sz w:val="16"/>
          <w:szCs w:val="16"/>
        </w:rPr>
      </w:pPr>
      <w:r w:rsidRPr="001A0BAA">
        <w:rPr>
          <w:color w:val="0070C0"/>
          <w:sz w:val="16"/>
          <w:szCs w:val="16"/>
        </w:rPr>
        <w:t>8 января 1945 года был выпущен серийный Як</w:t>
      </w:r>
      <w:r w:rsidRPr="001A0BAA">
        <w:rPr>
          <w:color w:val="0070C0"/>
          <w:sz w:val="16"/>
          <w:szCs w:val="16"/>
        </w:rPr>
        <w:noBreakHyphen/>
        <w:t>3 (36–20), переоборудованный в Як-3Т с ВК</w:t>
      </w:r>
      <w:r w:rsidRPr="001A0BAA">
        <w:rPr>
          <w:color w:val="0070C0"/>
          <w:sz w:val="16"/>
          <w:szCs w:val="16"/>
        </w:rPr>
        <w:noBreakHyphen/>
        <w:t>105ПФ2. Уже на следующий день самолет отправили для испытаний в Москву. Первый полет состоялся 24 января 1945 года. Як</w:t>
      </w:r>
      <w:r w:rsidRPr="001A0BAA">
        <w:rPr>
          <w:color w:val="0070C0"/>
          <w:sz w:val="16"/>
          <w:szCs w:val="16"/>
        </w:rPr>
        <w:noBreakHyphen/>
        <w:t>3Т также нес усиленное вооружение. Литера «Т» обозначала «танковый», поскольку самолет был вооружен пушкой большого калибра. Вместо пушки ШВАК и пулеметов УБС на Як</w:t>
      </w:r>
      <w:r w:rsidRPr="001A0BAA">
        <w:rPr>
          <w:color w:val="0070C0"/>
          <w:sz w:val="16"/>
          <w:szCs w:val="16"/>
        </w:rPr>
        <w:noBreakHyphen/>
        <w:t>3Т установили 37</w:t>
      </w:r>
      <w:r w:rsidRPr="001A0BAA">
        <w:rPr>
          <w:color w:val="0070C0"/>
          <w:sz w:val="16"/>
          <w:szCs w:val="16"/>
        </w:rPr>
        <w:noBreakHyphen/>
        <w:t>мм пушку Н</w:t>
      </w:r>
      <w:r w:rsidRPr="001A0BAA">
        <w:rPr>
          <w:color w:val="0070C0"/>
          <w:sz w:val="16"/>
          <w:szCs w:val="16"/>
        </w:rPr>
        <w:noBreakHyphen/>
        <w:t>37 с укороченным (на 150 мм) стволом и боекомплектом 25 выстрелов и две пушки Б</w:t>
      </w:r>
      <w:r w:rsidRPr="001A0BAA">
        <w:rPr>
          <w:color w:val="0070C0"/>
          <w:sz w:val="16"/>
          <w:szCs w:val="16"/>
        </w:rPr>
        <w:noBreakHyphen/>
        <w:t>2 °C калибра 20 мм с боекомплектом 100 выстрелов на ствол. 37</w:t>
      </w:r>
      <w:r w:rsidRPr="001A0BAA">
        <w:rPr>
          <w:color w:val="0070C0"/>
          <w:sz w:val="16"/>
          <w:szCs w:val="16"/>
        </w:rPr>
        <w:noBreakHyphen/>
        <w:t>мм пушка системы Нудельмана прежде устанавливалась на Як</w:t>
      </w:r>
      <w:r w:rsidRPr="001A0BAA">
        <w:rPr>
          <w:color w:val="0070C0"/>
          <w:sz w:val="16"/>
          <w:szCs w:val="16"/>
        </w:rPr>
        <w:noBreakHyphen/>
        <w:t>9Т и Як</w:t>
      </w:r>
      <w:r w:rsidRPr="001A0BAA">
        <w:rPr>
          <w:color w:val="0070C0"/>
          <w:sz w:val="16"/>
          <w:szCs w:val="16"/>
        </w:rPr>
        <w:noBreakHyphen/>
        <w:t>9УТ. Несмотря на заметный калибр пушки, отдача не сказалась на точности стрельбы. Кабина пилота была сдвинута на 400 мм к хвосту, что лишь на немного ухудшило обзор вперед, но улучшило обзор назад. Сдвинуть кабину пришлось для того, чтобы разместить пушку Н</w:t>
      </w:r>
      <w:r w:rsidRPr="001A0BAA">
        <w:rPr>
          <w:color w:val="0070C0"/>
          <w:sz w:val="16"/>
          <w:szCs w:val="16"/>
        </w:rPr>
        <w:noBreakHyphen/>
        <w:t>37.</w:t>
      </w:r>
    </w:p>
    <w:p w14:paraId="2DF0389B" w14:textId="77777777" w:rsidR="00DC771B" w:rsidRPr="001A0BAA" w:rsidRDefault="00DC771B" w:rsidP="00DC771B">
      <w:pPr>
        <w:jc w:val="both"/>
        <w:rPr>
          <w:color w:val="0070C0"/>
          <w:sz w:val="16"/>
          <w:szCs w:val="16"/>
        </w:rPr>
      </w:pPr>
      <w:r w:rsidRPr="001A0BAA">
        <w:rPr>
          <w:color w:val="0070C0"/>
          <w:sz w:val="16"/>
          <w:szCs w:val="16"/>
        </w:rPr>
        <w:t>Изголовье из бронестекла убрали, а из обтекателя втулки торчал ствол 37</w:t>
      </w:r>
      <w:r w:rsidRPr="001A0BAA">
        <w:rPr>
          <w:color w:val="0070C0"/>
          <w:sz w:val="16"/>
          <w:szCs w:val="16"/>
        </w:rPr>
        <w:noBreakHyphen/>
        <w:t>мм пушки. Из кабины убрали бронеспинку и бронеподлокотник. Емкость топливных баков сократили с 372 до 355 литров. Дополнительно сняли некоторые вспомогательные узлы в надежде снизить массу самолета. Тем не менее, летные качества истребителя немного ухудшились: скорость у земли сократилась до 560 км/ч, а на высоте 4100 м – до 629 км/ч. В управлении самолет по</w:t>
      </w:r>
      <w:r w:rsidRPr="001A0BAA">
        <w:rPr>
          <w:color w:val="0070C0"/>
          <w:sz w:val="16"/>
          <w:szCs w:val="16"/>
        </w:rPr>
        <w:noBreakHyphen/>
        <w:t xml:space="preserve">прежнему оставался простым, однако вновь </w:t>
      </w:r>
      <w:proofErr w:type="gramStart"/>
      <w:r w:rsidRPr="001A0BAA">
        <w:rPr>
          <w:color w:val="0070C0"/>
          <w:sz w:val="16"/>
          <w:szCs w:val="16"/>
        </w:rPr>
        <w:t>вылезли казалось бы</w:t>
      </w:r>
      <w:proofErr w:type="gramEnd"/>
      <w:r w:rsidRPr="001A0BAA">
        <w:rPr>
          <w:color w:val="0070C0"/>
          <w:sz w:val="16"/>
          <w:szCs w:val="16"/>
        </w:rPr>
        <w:t xml:space="preserve"> навсегда устраненные недостатки: протечки масла, перегрев масла и воды. Недостаточно прочным оказалось и крепление пушек Б</w:t>
      </w:r>
      <w:r w:rsidRPr="001A0BAA">
        <w:rPr>
          <w:color w:val="0070C0"/>
          <w:sz w:val="16"/>
          <w:szCs w:val="16"/>
        </w:rPr>
        <w:noBreakHyphen/>
        <w:t>2 °C.</w:t>
      </w:r>
    </w:p>
    <w:p w14:paraId="73B8596A" w14:textId="77777777" w:rsidR="00DC771B" w:rsidRPr="001A0BAA" w:rsidRDefault="00DC771B" w:rsidP="00DC771B">
      <w:pPr>
        <w:jc w:val="both"/>
        <w:rPr>
          <w:color w:val="0070C0"/>
          <w:sz w:val="16"/>
          <w:szCs w:val="16"/>
        </w:rPr>
      </w:pPr>
      <w:r w:rsidRPr="001A0BAA">
        <w:rPr>
          <w:color w:val="0070C0"/>
          <w:sz w:val="16"/>
          <w:szCs w:val="16"/>
        </w:rPr>
        <w:t>Государственные испытания продолжались с 17 февраля по 27 апреля 1945 года. На них обнаружились все упомянутые недостатки. Тем не менее, в итоговом отчете утверждалось, что самолет Як</w:t>
      </w:r>
      <w:r w:rsidRPr="001A0BAA">
        <w:rPr>
          <w:color w:val="0070C0"/>
          <w:sz w:val="16"/>
          <w:szCs w:val="16"/>
        </w:rPr>
        <w:noBreakHyphen/>
        <w:t>3Т будет полезным для советских ВВС. Поэтому машину отправили назад в ОКБ Яковлева для устранения недостатков. Было сделано многое (винт ВИШ</w:t>
      </w:r>
      <w:r w:rsidRPr="001A0BAA">
        <w:rPr>
          <w:color w:val="0070C0"/>
          <w:sz w:val="16"/>
          <w:szCs w:val="16"/>
        </w:rPr>
        <w:noBreakHyphen/>
        <w:t>105Л</w:t>
      </w:r>
      <w:r w:rsidRPr="001A0BAA">
        <w:rPr>
          <w:color w:val="0070C0"/>
          <w:sz w:val="16"/>
          <w:szCs w:val="16"/>
        </w:rPr>
        <w:noBreakHyphen/>
        <w:t>28 заменили на серийный ВИШ</w:t>
      </w:r>
      <w:r w:rsidRPr="001A0BAA">
        <w:rPr>
          <w:color w:val="0070C0"/>
          <w:sz w:val="16"/>
          <w:szCs w:val="16"/>
        </w:rPr>
        <w:noBreakHyphen/>
        <w:t>105СВ</w:t>
      </w:r>
      <w:r w:rsidRPr="001A0BAA">
        <w:rPr>
          <w:color w:val="0070C0"/>
          <w:sz w:val="16"/>
          <w:szCs w:val="16"/>
        </w:rPr>
        <w:noBreakHyphen/>
        <w:t>01, изменили конструкцию ступицы винта, увеличили емкость маслобака), но устранить недостатки не удалось. Двигатель быстро перегревался, коптил, дымил и вибрировал. Война кончилась и необходимость в «танковом» истребителе отпала (25075).</w:t>
      </w:r>
    </w:p>
    <w:p w14:paraId="024B1FD0" w14:textId="77777777" w:rsidR="00DC771B" w:rsidRPr="001A0BAA" w:rsidRDefault="00DC771B" w:rsidP="00DC771B">
      <w:pPr>
        <w:jc w:val="both"/>
        <w:rPr>
          <w:color w:val="0070C0"/>
          <w:sz w:val="16"/>
          <w:szCs w:val="16"/>
        </w:rPr>
      </w:pPr>
    </w:p>
    <w:p w14:paraId="755546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года Шахурин писал письмо N Н-32/254 командующему ВВС гл. маршалу авиации Новикову А.А.</w:t>
      </w:r>
    </w:p>
    <w:p w14:paraId="636BEF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обеспечения строительства и подготовки площадки по проведению испытаний объекта гл. конструктора завода N 51 Челомея, а также для обслуживания экспедиции по испытаниям, прошу Вашего приказания командующему ВВС Среднеазиатского округа о выделении БАО в распоряжение начальника экспедиции генерал-майора ИАС Залесского.</w:t>
      </w:r>
    </w:p>
    <w:p w14:paraId="3EC573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Место базирования экспедиции намечено в 24 км севернее Джизак (1879).</w:t>
      </w:r>
    </w:p>
    <w:p w14:paraId="37FD9F4C" w14:textId="77777777" w:rsidR="00C2313B" w:rsidRPr="00925F26" w:rsidRDefault="00C2313B" w:rsidP="00925F26">
      <w:pPr>
        <w:autoSpaceDE w:val="0"/>
        <w:autoSpaceDN w:val="0"/>
        <w:adjustRightInd w:val="0"/>
        <w:jc w:val="both"/>
        <w:rPr>
          <w:color w:val="000000" w:themeColor="text1"/>
          <w:sz w:val="16"/>
          <w:szCs w:val="16"/>
        </w:rPr>
      </w:pPr>
    </w:p>
    <w:p w14:paraId="17D4E9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вышло Распоряжение ГКО № 7287. О плане производства и поставки воздухоплавательного имущества для НКО в I кв. 1945 г. РГАНИР, Фонд ГКО, д. 348, лл. 140-143, 144-152 (11012).</w:t>
      </w:r>
    </w:p>
    <w:p w14:paraId="5E1534C3" w14:textId="77777777" w:rsidR="00C2313B" w:rsidRPr="00925F26" w:rsidRDefault="00C2313B" w:rsidP="00925F26">
      <w:pPr>
        <w:autoSpaceDE w:val="0"/>
        <w:autoSpaceDN w:val="0"/>
        <w:adjustRightInd w:val="0"/>
        <w:jc w:val="both"/>
        <w:rPr>
          <w:color w:val="000000" w:themeColor="text1"/>
          <w:sz w:val="16"/>
          <w:szCs w:val="16"/>
        </w:rPr>
      </w:pPr>
    </w:p>
    <w:p w14:paraId="6E960F6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DD9D835" w14:textId="77777777" w:rsidR="00C2313B" w:rsidRPr="00925F26" w:rsidRDefault="00C2313B" w:rsidP="00925F26">
      <w:pPr>
        <w:autoSpaceDE w:val="0"/>
        <w:autoSpaceDN w:val="0"/>
        <w:adjustRightInd w:val="0"/>
        <w:jc w:val="both"/>
        <w:rPr>
          <w:iCs/>
          <w:color w:val="000000" w:themeColor="text1"/>
          <w:sz w:val="16"/>
          <w:szCs w:val="16"/>
        </w:rPr>
      </w:pPr>
    </w:p>
    <w:p w14:paraId="794831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января 1945 г. была подготовлена ДОКЛАДНАЯ ЗАПИСКА КОМАНДУЮЩЕГО БТ и МВ КА ЗАМЕСТИТЕЛЮ ПРЕДСЕДАТЕЛЯ ГКО Л.П. БЕРИИ О МОДЕРНИЗАЦИИ ТАНКА Т-34 №836108</w:t>
      </w:r>
    </w:p>
    <w:p w14:paraId="619C5F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Танковый парк немецкой армии в данное время имеет более 50% тяжелых танков типа «тигр» и «пантера».</w:t>
      </w:r>
    </w:p>
    <w:p w14:paraId="471854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Наши тяжелые танки ИС и самоходные артиллерийские установки ИСУ и СУ-100 составляют всего около 28% от общего количества выпускаемых танков и артсамоходов.</w:t>
      </w:r>
    </w:p>
    <w:p w14:paraId="0B751AF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Основным танком в Красной Армии является танк Т-34-85, которому вести борьбу с тяжелыми танками противника чрезвычайно трудно.</w:t>
      </w:r>
    </w:p>
    <w:p w14:paraId="269805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средний танк Т-34, изготовленный на заводе №75 в г. Харькове, имеет такое же воору</w:t>
      </w:r>
      <w:r w:rsidRPr="00925F26">
        <w:rPr>
          <w:color w:val="000000" w:themeColor="text1"/>
          <w:sz w:val="16"/>
          <w:szCs w:val="16"/>
        </w:rPr>
        <w:softHyphen/>
        <w:t>жение, как и танк Т-34-85.</w:t>
      </w:r>
    </w:p>
    <w:p w14:paraId="312AA4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усиления вооружения и получения превосходства в огневой мощи наших танков считаю необходимым установить в этот танк 100-мм пушку Д-1 ОТ. Установка этой пушки вполне возможна.</w:t>
      </w:r>
    </w:p>
    <w:p w14:paraId="4BFD9F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Исходя из изложенного, прошу Ваших указаний Народному комиссару танковой промышлен</w:t>
      </w:r>
      <w:r w:rsidRPr="00925F26">
        <w:rPr>
          <w:color w:val="000000" w:themeColor="text1"/>
          <w:sz w:val="16"/>
          <w:szCs w:val="16"/>
        </w:rPr>
        <w:softHyphen/>
        <w:t>ности об изготовлении опытных образцов танка Т-34 с 100-мм пушкой Д-1 ОТ с тем, чтобы в кратчай</w:t>
      </w:r>
      <w:r w:rsidRPr="00925F26">
        <w:rPr>
          <w:color w:val="000000" w:themeColor="text1"/>
          <w:sz w:val="16"/>
          <w:szCs w:val="16"/>
        </w:rPr>
        <w:softHyphen/>
        <w:t>ший срок внедрить в серийное производство установку этой пушки в танке Т-34.</w:t>
      </w:r>
    </w:p>
    <w:p w14:paraId="5BEB32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68F6DE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11355. Д. 2732. Л. 1. Копия.</w:t>
      </w:r>
    </w:p>
    <w:p w14:paraId="61C431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Член военного совета БТ и МВ КА генерал-полковник танковых войск Н. Бирюков (11420).</w:t>
      </w:r>
    </w:p>
    <w:p w14:paraId="3E9A55D4" w14:textId="77777777" w:rsidR="00C2313B" w:rsidRPr="00925F26" w:rsidRDefault="00C2313B" w:rsidP="00925F26">
      <w:pPr>
        <w:autoSpaceDE w:val="0"/>
        <w:autoSpaceDN w:val="0"/>
        <w:adjustRightInd w:val="0"/>
        <w:jc w:val="both"/>
        <w:rPr>
          <w:color w:val="000000" w:themeColor="text1"/>
          <w:sz w:val="16"/>
          <w:szCs w:val="16"/>
        </w:rPr>
      </w:pPr>
    </w:p>
    <w:p w14:paraId="430B1999" w14:textId="77777777" w:rsidR="008C4451" w:rsidRPr="001A0BAA" w:rsidRDefault="008C4451" w:rsidP="008C4451">
      <w:pPr>
        <w:jc w:val="both"/>
        <w:rPr>
          <w:color w:val="0070C0"/>
          <w:sz w:val="16"/>
          <w:szCs w:val="16"/>
        </w:rPr>
      </w:pPr>
      <w:r w:rsidRPr="001A0BAA">
        <w:rPr>
          <w:color w:val="0070C0"/>
          <w:sz w:val="16"/>
          <w:szCs w:val="16"/>
        </w:rPr>
        <w:t>8 января 1945 года командующий броне</w:t>
      </w:r>
      <w:r w:rsidRPr="001A0BAA">
        <w:rPr>
          <w:color w:val="0070C0"/>
          <w:sz w:val="16"/>
          <w:szCs w:val="16"/>
        </w:rPr>
        <w:softHyphen/>
        <w:t>танковыми и механизированными войска</w:t>
      </w:r>
      <w:r w:rsidRPr="001A0BAA">
        <w:rPr>
          <w:color w:val="0070C0"/>
          <w:sz w:val="16"/>
          <w:szCs w:val="16"/>
        </w:rPr>
        <w:softHyphen/>
        <w:t>ми Красной Армии Я. Федоренко напра</w:t>
      </w:r>
      <w:r w:rsidRPr="001A0BAA">
        <w:rPr>
          <w:color w:val="0070C0"/>
          <w:sz w:val="16"/>
          <w:szCs w:val="16"/>
        </w:rPr>
        <w:softHyphen/>
        <w:t>вил на имя л. Берии доклад о вооружении танков. В этом документе Федоренко писал о том, что «танковый парк немецкой армии в настоящее время имеет более 50%тяжелых танков типа «Тигр» и «Пантера»», в то вре</w:t>
      </w:r>
      <w:r w:rsidRPr="001A0BAA">
        <w:rPr>
          <w:color w:val="0070C0"/>
          <w:sz w:val="16"/>
          <w:szCs w:val="16"/>
        </w:rPr>
        <w:softHyphen/>
        <w:t>мя как в Красной Армии танков ИС и само</w:t>
      </w:r>
      <w:r w:rsidRPr="001A0BAA">
        <w:rPr>
          <w:color w:val="0070C0"/>
          <w:sz w:val="16"/>
          <w:szCs w:val="16"/>
        </w:rPr>
        <w:softHyphen/>
        <w:t>ходок ИСУ и СУ-100 - около 28%. Сообщив, что основным типом советского танка явля</w:t>
      </w:r>
      <w:r w:rsidRPr="001A0BAA">
        <w:rPr>
          <w:color w:val="0070C0"/>
          <w:sz w:val="16"/>
          <w:szCs w:val="16"/>
        </w:rPr>
        <w:softHyphen/>
        <w:t>ется Т-34-85, командующий предлагал сле</w:t>
      </w:r>
      <w:r w:rsidRPr="001A0BAA">
        <w:rPr>
          <w:color w:val="0070C0"/>
          <w:sz w:val="16"/>
          <w:szCs w:val="16"/>
        </w:rPr>
        <w:softHyphen/>
        <w:t>дующее:</w:t>
      </w:r>
    </w:p>
    <w:p w14:paraId="1BE1C858" w14:textId="77777777" w:rsidR="008C4451" w:rsidRPr="001A0BAA" w:rsidRDefault="008C4451" w:rsidP="008C4451">
      <w:pPr>
        <w:jc w:val="both"/>
        <w:rPr>
          <w:color w:val="0070C0"/>
          <w:sz w:val="16"/>
          <w:szCs w:val="16"/>
        </w:rPr>
      </w:pPr>
      <w:r w:rsidRPr="001A0BAA">
        <w:rPr>
          <w:color w:val="0070C0"/>
          <w:sz w:val="16"/>
          <w:szCs w:val="16"/>
        </w:rPr>
        <w:lastRenderedPageBreak/>
        <w:t>«Для усиления вооружения и получения превосходства в огневой мощи наших танков считаю необходимым установить в этот танк 100-мм пушку Д-10Т. Установка этой пушки вполне возможна. Исходя из вышеизложен</w:t>
      </w:r>
      <w:r w:rsidRPr="001A0BAA">
        <w:rPr>
          <w:color w:val="0070C0"/>
          <w:sz w:val="16"/>
          <w:szCs w:val="16"/>
        </w:rPr>
        <w:softHyphen/>
        <w:t>ного, прошу Ваших указаний НКТП об из</w:t>
      </w:r>
      <w:r w:rsidRPr="001A0BAA">
        <w:rPr>
          <w:color w:val="0070C0"/>
          <w:sz w:val="16"/>
          <w:szCs w:val="16"/>
        </w:rPr>
        <w:softHyphen/>
        <w:t>готовлении опытных образцов танка Т-44 со 100-мм пушкой Д-10Т с тем, чтобы в крат</w:t>
      </w:r>
      <w:r w:rsidRPr="001A0BAA">
        <w:rPr>
          <w:color w:val="0070C0"/>
          <w:sz w:val="16"/>
          <w:szCs w:val="16"/>
        </w:rPr>
        <w:softHyphen/>
        <w:t>чайший срок внедрить в серийное производ</w:t>
      </w:r>
      <w:r w:rsidRPr="001A0BAA">
        <w:rPr>
          <w:color w:val="0070C0"/>
          <w:sz w:val="16"/>
          <w:szCs w:val="16"/>
        </w:rPr>
        <w:softHyphen/>
        <w:t>ство установку этой пушки в Т-44».</w:t>
      </w:r>
    </w:p>
    <w:p w14:paraId="3FCF8F91" w14:textId="77777777" w:rsidR="008C4451" w:rsidRPr="001A0BAA" w:rsidRDefault="008C4451" w:rsidP="008C4451">
      <w:pPr>
        <w:jc w:val="both"/>
        <w:rPr>
          <w:color w:val="0070C0"/>
          <w:sz w:val="16"/>
          <w:szCs w:val="16"/>
        </w:rPr>
      </w:pPr>
      <w:r w:rsidRPr="001A0BAA">
        <w:rPr>
          <w:color w:val="0070C0"/>
          <w:sz w:val="16"/>
          <w:szCs w:val="16"/>
        </w:rPr>
        <w:t>На оригинале этого документа Берия нало</w:t>
      </w:r>
      <w:r w:rsidRPr="001A0BAA">
        <w:rPr>
          <w:color w:val="0070C0"/>
          <w:sz w:val="16"/>
          <w:szCs w:val="16"/>
        </w:rPr>
        <w:softHyphen/>
        <w:t>жил резолюцию:</w:t>
      </w:r>
    </w:p>
    <w:p w14:paraId="18C37EFA" w14:textId="77777777" w:rsidR="008C4451" w:rsidRPr="001A0BAA" w:rsidRDefault="008C4451" w:rsidP="008C4451">
      <w:pPr>
        <w:jc w:val="both"/>
        <w:rPr>
          <w:color w:val="0070C0"/>
          <w:sz w:val="16"/>
          <w:szCs w:val="16"/>
        </w:rPr>
      </w:pPr>
      <w:r w:rsidRPr="001A0BAA">
        <w:rPr>
          <w:color w:val="0070C0"/>
          <w:sz w:val="16"/>
          <w:szCs w:val="16"/>
        </w:rPr>
        <w:t>«т. Малышев! Вместе с тт. Федоренко, Устиновым, Кирпичниковым и Петросьян- цем представьте предложения» (25012).</w:t>
      </w:r>
    </w:p>
    <w:p w14:paraId="1EEAF35F" w14:textId="77777777" w:rsidR="008C4451" w:rsidRPr="001A0BAA" w:rsidRDefault="008C4451" w:rsidP="008C4451">
      <w:pPr>
        <w:jc w:val="both"/>
        <w:rPr>
          <w:color w:val="0070C0"/>
          <w:sz w:val="16"/>
          <w:szCs w:val="16"/>
        </w:rPr>
      </w:pPr>
    </w:p>
    <w:p w14:paraId="41DB6F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вышло Распоряжение ГКО № 7283. О передаче НКНП автомобилей от НКО. РГАНИР, Фонд ГКО, д. 348, лл. 136 (11012).</w:t>
      </w:r>
    </w:p>
    <w:p w14:paraId="1A6081C8" w14:textId="77777777" w:rsidR="00C2313B" w:rsidRPr="00925F26" w:rsidRDefault="00C2313B" w:rsidP="00925F26">
      <w:pPr>
        <w:autoSpaceDE w:val="0"/>
        <w:autoSpaceDN w:val="0"/>
        <w:adjustRightInd w:val="0"/>
        <w:jc w:val="both"/>
        <w:rPr>
          <w:color w:val="000000" w:themeColor="text1"/>
          <w:sz w:val="16"/>
          <w:szCs w:val="16"/>
        </w:rPr>
      </w:pPr>
    </w:p>
    <w:p w14:paraId="035F84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вышло Распоряжение ГКО № 7284. Об отнесении расходов по обеспечению генералов и офицеров, работающих в НКМВ, за счет этого наркомата. РГАНИР, Фонд ГКО, д. 348, лл. 137 (11012).</w:t>
      </w:r>
    </w:p>
    <w:p w14:paraId="025C17B1" w14:textId="77777777" w:rsidR="00C2313B" w:rsidRPr="00925F26" w:rsidRDefault="00C2313B" w:rsidP="00925F26">
      <w:pPr>
        <w:autoSpaceDE w:val="0"/>
        <w:autoSpaceDN w:val="0"/>
        <w:adjustRightInd w:val="0"/>
        <w:jc w:val="both"/>
        <w:rPr>
          <w:color w:val="000000" w:themeColor="text1"/>
          <w:sz w:val="16"/>
          <w:szCs w:val="16"/>
        </w:rPr>
      </w:pPr>
    </w:p>
    <w:p w14:paraId="22059B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вышло Распоряжение ГКО № 7286. О распространении постановления ГКО № 6057 от 17 июня 1944 г. на грузчиков предприятий НКЭС. РГАНИР, Фонд ГКО, д. 348, лл. 139 (11012).</w:t>
      </w:r>
    </w:p>
    <w:p w14:paraId="4C3A7BAE" w14:textId="77777777" w:rsidR="00C2313B" w:rsidRPr="00925F26" w:rsidRDefault="00C2313B" w:rsidP="00925F26">
      <w:pPr>
        <w:autoSpaceDE w:val="0"/>
        <w:autoSpaceDN w:val="0"/>
        <w:adjustRightInd w:val="0"/>
        <w:jc w:val="both"/>
        <w:rPr>
          <w:color w:val="000000" w:themeColor="text1"/>
          <w:sz w:val="16"/>
          <w:szCs w:val="16"/>
        </w:rPr>
      </w:pPr>
    </w:p>
    <w:p w14:paraId="7AA7AA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вышло Постановление ГКО № 7288 Об организации автомобильно-сборочных заводов в г. г. Иркутске и Комсомольске. РГАНИР, Фонд ГКО, д. 348, лл. 153-159, 160-167 (11012).</w:t>
      </w:r>
    </w:p>
    <w:p w14:paraId="0D4DD70D" w14:textId="77777777" w:rsidR="00C2313B" w:rsidRPr="00925F26" w:rsidRDefault="00C2313B" w:rsidP="00925F26">
      <w:pPr>
        <w:autoSpaceDE w:val="0"/>
        <w:autoSpaceDN w:val="0"/>
        <w:adjustRightInd w:val="0"/>
        <w:jc w:val="both"/>
        <w:rPr>
          <w:color w:val="000000" w:themeColor="text1"/>
          <w:sz w:val="16"/>
          <w:szCs w:val="16"/>
        </w:rPr>
      </w:pPr>
    </w:p>
    <w:p w14:paraId="7E3FBEC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E879756" w14:textId="77777777" w:rsidR="00C2313B" w:rsidRPr="00925F26" w:rsidRDefault="00C2313B" w:rsidP="00925F26">
      <w:pPr>
        <w:autoSpaceDE w:val="0"/>
        <w:autoSpaceDN w:val="0"/>
        <w:adjustRightInd w:val="0"/>
        <w:jc w:val="both"/>
        <w:rPr>
          <w:iCs/>
          <w:color w:val="000000" w:themeColor="text1"/>
          <w:sz w:val="16"/>
          <w:szCs w:val="16"/>
        </w:rPr>
      </w:pPr>
    </w:p>
    <w:p w14:paraId="62C5A890" w14:textId="77777777" w:rsidR="002D2573" w:rsidRPr="00925F26" w:rsidRDefault="002D2573" w:rsidP="00925F26">
      <w:pPr>
        <w:jc w:val="both"/>
        <w:rPr>
          <w:color w:val="000000" w:themeColor="text1"/>
          <w:sz w:val="16"/>
          <w:szCs w:val="16"/>
        </w:rPr>
      </w:pPr>
      <w:r w:rsidRPr="00925F26">
        <w:rPr>
          <w:bCs/>
          <w:color w:val="000000" w:themeColor="text1"/>
          <w:sz w:val="16"/>
          <w:szCs w:val="16"/>
        </w:rPr>
        <w:t>8 января</w:t>
      </w:r>
      <w:r w:rsidRPr="00925F26">
        <w:rPr>
          <w:color w:val="000000" w:themeColor="text1"/>
          <w:sz w:val="16"/>
          <w:szCs w:val="16"/>
        </w:rPr>
        <w:t xml:space="preserve"> в 1945 году оперативная сводка Совинформбюро:</w:t>
      </w:r>
    </w:p>
    <w:p w14:paraId="53E092EC" w14:textId="77777777" w:rsidR="002D2573" w:rsidRPr="00925F26" w:rsidRDefault="002D2573" w:rsidP="00925F26">
      <w:pPr>
        <w:jc w:val="both"/>
        <w:rPr>
          <w:color w:val="000000" w:themeColor="text1"/>
          <w:sz w:val="16"/>
          <w:szCs w:val="16"/>
        </w:rPr>
      </w:pPr>
      <w:r w:rsidRPr="00925F26">
        <w:rPr>
          <w:color w:val="000000" w:themeColor="text1"/>
          <w:sz w:val="16"/>
          <w:szCs w:val="16"/>
        </w:rPr>
        <w:t>«В течение 8 января в районе Будапешта наши войска, уничтожая группировку противника, окружённую в городе, заняли 130 кварталов.</w:t>
      </w:r>
    </w:p>
    <w:p w14:paraId="6971562D"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атаки крупных сил пехоты и танков противника отбивались нашими войсками. За 7 января в этом районе подбито и уничтожено 90 немецких танков.</w:t>
      </w:r>
    </w:p>
    <w:p w14:paraId="3C03F283" w14:textId="77777777" w:rsidR="002D2573" w:rsidRPr="00925F26" w:rsidRDefault="002D2573" w:rsidP="00925F26">
      <w:pPr>
        <w:jc w:val="both"/>
        <w:rPr>
          <w:color w:val="000000" w:themeColor="text1"/>
          <w:sz w:val="16"/>
          <w:szCs w:val="16"/>
        </w:rPr>
      </w:pPr>
      <w:r w:rsidRPr="00925F26">
        <w:rPr>
          <w:color w:val="000000" w:themeColor="text1"/>
          <w:sz w:val="16"/>
          <w:szCs w:val="16"/>
        </w:rPr>
        <w:t>На северном берегу Дуная восточнее города Комарно нашими войсками с боями заняты населённые пункты Дива, Шаркан, Шробарова, Марселова, Моча, Виртхова Пустатина, Радвань. В боях за 7 января в этом районе наши войска взяли в плен 1.520 солдат и офицеров противника.</w:t>
      </w:r>
    </w:p>
    <w:p w14:paraId="7E7B5038" w14:textId="77777777" w:rsidR="002D2573" w:rsidRPr="00925F26" w:rsidRDefault="002D2573"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было.</w:t>
      </w:r>
    </w:p>
    <w:p w14:paraId="5BC1833B" w14:textId="77777777" w:rsidR="002D2573" w:rsidRPr="00925F26" w:rsidRDefault="002D2573" w:rsidP="00925F26">
      <w:pPr>
        <w:jc w:val="both"/>
        <w:rPr>
          <w:color w:val="000000" w:themeColor="text1"/>
          <w:sz w:val="16"/>
          <w:szCs w:val="16"/>
        </w:rPr>
      </w:pPr>
      <w:r w:rsidRPr="00925F26">
        <w:rPr>
          <w:color w:val="000000" w:themeColor="text1"/>
          <w:sz w:val="16"/>
          <w:szCs w:val="16"/>
        </w:rPr>
        <w:t>За 7 января в воздушных боях и огнём зенитной артиллерии сбито 9 самолётов противника.</w:t>
      </w:r>
    </w:p>
    <w:p w14:paraId="29D45743" w14:textId="77777777" w:rsidR="002D2573" w:rsidRPr="00925F26" w:rsidRDefault="002D2573" w:rsidP="00925F26">
      <w:pPr>
        <w:jc w:val="both"/>
        <w:rPr>
          <w:color w:val="000000" w:themeColor="text1"/>
          <w:sz w:val="16"/>
          <w:szCs w:val="16"/>
        </w:rPr>
      </w:pPr>
      <w:r w:rsidRPr="00925F26">
        <w:rPr>
          <w:color w:val="000000" w:themeColor="text1"/>
          <w:sz w:val="16"/>
          <w:szCs w:val="16"/>
        </w:rPr>
        <w:t>В районе Будапешта наши войска продолжали вести бои по ликвидации окруженной группировки противника. Стремительным ударом советские подразделения выбили гитлеровцев с территории трех заводов. Уничтожено более 300 немецких солдат и офицеров, 4 самоходных орудия и 3 бронетранспортера. Захвачено 5 противотанковых орудий и 26 пулеметов. Ожесточенные бои произошли сегодня на одной улице в центральной части города. Противник укрепился в больших каменных зданиях и огнем из крупнокалиберных пулеметов и автоматов сдерживал продвижение советских подразделений. Группа бойцов гвардии младшего лейтенанта Астахова атаковала угловой дом, превращенный немцами в дот. Выдвинув орудия на открытые позиции, наши бойцы подавили огневые точки противника и ворвались в дом. Очищая этаж за этажом, гвардейцы истребили засевших в этом доме немецких пулеметчиков и автоматчиков. Овладев этим узлом обороны немцев, наши подразделения отрезали путь отступления другой группе противника.</w:t>
      </w:r>
    </w:p>
    <w:p w14:paraId="52245D3C"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продолжались ожесточенные бои. Утром, после сильной артиллерийской подготовки, противник возобновил атаки в районе магистрали Естергом – Будапешт. Введя в бой на узком участке крупные силы танков, немцы рассчитывали массированным ударом смять советские войска и пробиться к венгерской столице. Наши пехотинцы, артиллеристы и танкисты стойко выдержали натиск врага и нанесли ему огромный урон. Подступы к советским позициям завалены разбитой техникой противника. Упорные бои происходили также западнее Будапешта. В этом районе немцы вели атаки с двух направлений. Ожесточенное сражение длилось весь день. Вражеские танки и пехота на бронетранспортерах были встречены артиллерийским и минометным огнем. Наши части отбили все атаки противника. В ходе боев северо-западнее и западнее Будапешта немцы несут исключительно тяжелые потери в живой силе и технике. В течение дня противник потерял 90 танков и 12 бронетранспортеров. По неполным данным, уничтожено до 2.000 немецких солдат и офицеров.</w:t>
      </w:r>
    </w:p>
    <w:p w14:paraId="5819B3F7" w14:textId="77777777" w:rsidR="002D2573" w:rsidRPr="00925F26" w:rsidRDefault="002D2573" w:rsidP="00925F26">
      <w:pPr>
        <w:jc w:val="both"/>
        <w:rPr>
          <w:color w:val="000000" w:themeColor="text1"/>
          <w:sz w:val="16"/>
          <w:szCs w:val="16"/>
        </w:rPr>
      </w:pPr>
      <w:r w:rsidRPr="00925F26">
        <w:rPr>
          <w:color w:val="000000" w:themeColor="text1"/>
          <w:sz w:val="16"/>
          <w:szCs w:val="16"/>
        </w:rPr>
        <w:t xml:space="preserve">Отбивая атаки </w:t>
      </w:r>
      <w:proofErr w:type="gramStart"/>
      <w:r w:rsidRPr="00925F26">
        <w:rPr>
          <w:color w:val="000000" w:themeColor="text1"/>
          <w:sz w:val="16"/>
          <w:szCs w:val="16"/>
        </w:rPr>
        <w:t>противника</w:t>
      </w:r>
      <w:proofErr w:type="gramEnd"/>
      <w:r w:rsidRPr="00925F26">
        <w:rPr>
          <w:color w:val="000000" w:themeColor="text1"/>
          <w:sz w:val="16"/>
          <w:szCs w:val="16"/>
        </w:rPr>
        <w:t xml:space="preserve"> бойцы и офицеры Красной Армии проявляют образцы доблести и геройства. На позиции, которые обороняли подразделения старейшего лейтенанта Абрамова в одном бою, подбили и сожгли 3 немецких танка «Пантера» и один танк «Тигр». Бойцы роты противотанковых ружей под командованием гвардии лейтенанта Терещенко успешно отразили атаку немецкой пехоты и уничтожили 2 бронетранспортера. Орудийные расчеты командиров Пуганца, Берестенева, Могильникова и Андрейченко подбили и сожгли 3 немецких танка.</w:t>
      </w:r>
    </w:p>
    <w:p w14:paraId="6D19FD85" w14:textId="77777777" w:rsidR="002D2573" w:rsidRPr="00925F26" w:rsidRDefault="002D2573" w:rsidP="00925F26">
      <w:pPr>
        <w:jc w:val="both"/>
        <w:rPr>
          <w:color w:val="000000" w:themeColor="text1"/>
          <w:sz w:val="16"/>
          <w:szCs w:val="16"/>
        </w:rPr>
      </w:pPr>
      <w:r w:rsidRPr="00925F26">
        <w:rPr>
          <w:color w:val="000000" w:themeColor="text1"/>
          <w:sz w:val="16"/>
          <w:szCs w:val="16"/>
        </w:rPr>
        <w:t>На северном берегу Дуная наши войска продолжали наступление. Немцы сильным огнем и контратаками пытались задержать советские части. Наши пехотинцы, преодолевая сопротивление противника, с боями продвигались вперед. Немцы выбиты из населенного пункта Марселова, расположенного в 12 километрах восточнее города Комарно. Наши наступающие войска разгромили части пехотной дивизии «Сент-Ласло», сформированной из венгерских фашистов. Захвачено много оружия и военных материалов.</w:t>
      </w:r>
    </w:p>
    <w:p w14:paraId="191FBBA6" w14:textId="77777777" w:rsidR="002D2573" w:rsidRPr="00925F26" w:rsidRDefault="002D2573" w:rsidP="00925F26">
      <w:pPr>
        <w:jc w:val="both"/>
        <w:rPr>
          <w:color w:val="000000" w:themeColor="text1"/>
          <w:sz w:val="16"/>
          <w:szCs w:val="16"/>
        </w:rPr>
      </w:pPr>
      <w:r w:rsidRPr="00925F26">
        <w:rPr>
          <w:color w:val="000000" w:themeColor="text1"/>
          <w:sz w:val="16"/>
          <w:szCs w:val="16"/>
        </w:rPr>
        <w:t>На 1-м Украинском фронте, на одном участке, наши подразделения предприняли разведку боем. Советские бойцы внезапно ворвались в расположение противника и в результате ожесточенной схватки овладели выгодными позициями. Захвачено у немцев 25 пулеметов, 170 автоматов и винтовок и несколько складов с боеприпасами.» (15003).</w:t>
      </w:r>
    </w:p>
    <w:p w14:paraId="716E8B2B" w14:textId="77777777" w:rsidR="002D2573" w:rsidRPr="00925F26" w:rsidRDefault="002D2573" w:rsidP="00925F26">
      <w:pPr>
        <w:jc w:val="both"/>
        <w:rPr>
          <w:color w:val="000000" w:themeColor="text1"/>
          <w:sz w:val="16"/>
          <w:szCs w:val="16"/>
        </w:rPr>
      </w:pPr>
    </w:p>
    <w:p w14:paraId="38DDF5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года во время Балатонской операции состоялось первое боевое применение СУ-100 (3862).</w:t>
      </w:r>
    </w:p>
    <w:p w14:paraId="362D37CF" w14:textId="77777777" w:rsidR="00C2313B" w:rsidRPr="00925F26" w:rsidRDefault="00C2313B" w:rsidP="00925F26">
      <w:pPr>
        <w:autoSpaceDE w:val="0"/>
        <w:autoSpaceDN w:val="0"/>
        <w:adjustRightInd w:val="0"/>
        <w:jc w:val="both"/>
        <w:rPr>
          <w:color w:val="000000" w:themeColor="text1"/>
          <w:sz w:val="16"/>
          <w:szCs w:val="16"/>
        </w:rPr>
      </w:pPr>
    </w:p>
    <w:p w14:paraId="7FC2DF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января 1945 г. была подготовлена СПРАВКА О ВЫДАЧЕ АВТОМАШИН ПОЛЬСКИМ ЧАСТЯМ С НАЧАЛА ИХ ФОРМИРОВАНИЯ ДО 1.01.1945 г.</w:t>
      </w:r>
    </w:p>
    <w:tbl>
      <w:tblPr>
        <w:tblW w:w="0" w:type="auto"/>
        <w:tblInd w:w="40" w:type="dxa"/>
        <w:tblLayout w:type="fixed"/>
        <w:tblCellMar>
          <w:left w:w="40" w:type="dxa"/>
          <w:right w:w="40" w:type="dxa"/>
        </w:tblCellMar>
        <w:tblLook w:val="0000" w:firstRow="0" w:lastRow="0" w:firstColumn="0" w:lastColumn="0" w:noHBand="0" w:noVBand="0"/>
      </w:tblPr>
      <w:tblGrid>
        <w:gridCol w:w="902"/>
        <w:gridCol w:w="490"/>
        <w:gridCol w:w="432"/>
        <w:gridCol w:w="470"/>
        <w:gridCol w:w="461"/>
        <w:gridCol w:w="461"/>
        <w:gridCol w:w="442"/>
        <w:gridCol w:w="480"/>
        <w:gridCol w:w="461"/>
        <w:gridCol w:w="461"/>
        <w:gridCol w:w="480"/>
        <w:gridCol w:w="461"/>
        <w:gridCol w:w="461"/>
        <w:gridCol w:w="470"/>
        <w:gridCol w:w="442"/>
        <w:gridCol w:w="480"/>
        <w:gridCol w:w="509"/>
      </w:tblGrid>
      <w:tr w:rsidR="000F5689" w:rsidRPr="00925F26" w14:paraId="5AB88CC7" w14:textId="77777777">
        <w:trPr>
          <w:trHeight w:val="134"/>
        </w:trPr>
        <w:tc>
          <w:tcPr>
            <w:tcW w:w="902" w:type="dxa"/>
            <w:tcBorders>
              <w:top w:val="single" w:sz="6" w:space="0" w:color="auto"/>
              <w:left w:val="single" w:sz="6" w:space="0" w:color="auto"/>
              <w:bottom w:val="nil"/>
              <w:right w:val="single" w:sz="6" w:space="0" w:color="auto"/>
            </w:tcBorders>
          </w:tcPr>
          <w:p w14:paraId="721699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7FBCE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4220ED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Студебекер</w:t>
            </w:r>
          </w:p>
          <w:p w14:paraId="044E16C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42CC87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Шевроле</w:t>
            </w:r>
          </w:p>
          <w:p w14:paraId="3B88E6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E129D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Додж 3/4</w:t>
            </w:r>
          </w:p>
          <w:p w14:paraId="7B2E41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89F42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50BB41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AC1DF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ЗИС-5</w:t>
            </w:r>
          </w:p>
          <w:p w14:paraId="3A9505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1F370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ГАЗ-АА</w:t>
            </w:r>
          </w:p>
          <w:p w14:paraId="732435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F3310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Санавтобусы</w:t>
            </w:r>
          </w:p>
          <w:p w14:paraId="751BCED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6DA3F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Бензоцистерны</w:t>
            </w:r>
          </w:p>
          <w:p w14:paraId="3DD182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98E8B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 Летучка А</w:t>
            </w:r>
          </w:p>
          <w:p w14:paraId="5C7C1C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05F08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Ремлетучка Б</w:t>
            </w:r>
          </w:p>
          <w:p w14:paraId="78DA30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592B4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ПЗС-4</w:t>
            </w:r>
          </w:p>
          <w:p w14:paraId="4820C7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CA126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Виллисы</w:t>
            </w:r>
          </w:p>
          <w:p w14:paraId="3D5B8B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7BFAEA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 Амфибия</w:t>
            </w:r>
          </w:p>
          <w:p w14:paraId="640BA3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D89A6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ГАЗ-67</w:t>
            </w:r>
          </w:p>
          <w:p w14:paraId="14BCBA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73F15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М-18</w:t>
            </w:r>
          </w:p>
          <w:p w14:paraId="3A2EA8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2B04C6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7140B6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71FB332" w14:textId="77777777">
        <w:trPr>
          <w:trHeight w:val="269"/>
        </w:trPr>
        <w:tc>
          <w:tcPr>
            <w:tcW w:w="902" w:type="dxa"/>
            <w:tcBorders>
              <w:top w:val="single" w:sz="6" w:space="0" w:color="auto"/>
              <w:left w:val="single" w:sz="6" w:space="0" w:color="auto"/>
              <w:bottom w:val="nil"/>
              <w:right w:val="single" w:sz="6" w:space="0" w:color="auto"/>
            </w:tcBorders>
          </w:tcPr>
          <w:p w14:paraId="74FDA7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42025C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6FA2C8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2EB28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22726B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A8DE7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0F687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CB11C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1A960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9F52FE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E3BD7A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8CC41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EF81D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7DF1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1DA3CD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01608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85833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ABDE2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1A005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2F49C8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1D2655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2B22E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8BF53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EE6C2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5C880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7E48A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59F31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72A3F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AC87D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871FB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7BE6B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F37B2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6B8B9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7AF9C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7D676B0" w14:textId="77777777">
        <w:trPr>
          <w:trHeight w:val="221"/>
        </w:trPr>
        <w:tc>
          <w:tcPr>
            <w:tcW w:w="902" w:type="dxa"/>
            <w:tcBorders>
              <w:top w:val="nil"/>
              <w:left w:val="single" w:sz="6" w:space="0" w:color="auto"/>
              <w:bottom w:val="single" w:sz="6" w:space="0" w:color="auto"/>
              <w:right w:val="single" w:sz="6" w:space="0" w:color="auto"/>
            </w:tcBorders>
          </w:tcPr>
          <w:p w14:paraId="162A8A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7922CF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47766F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219</w:t>
            </w:r>
          </w:p>
          <w:p w14:paraId="259599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77317B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05291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3AA5E0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w:t>
            </w:r>
          </w:p>
          <w:p w14:paraId="089AD8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76790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w:t>
            </w:r>
          </w:p>
          <w:p w14:paraId="1B2FC7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12FF16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EFC87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18DD56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207</w:t>
            </w:r>
          </w:p>
          <w:p w14:paraId="7E3A11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14C6D5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2AF879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194B5E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7B845F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058D8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0B6C26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4F1C38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8A666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72B0B3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w:t>
            </w:r>
          </w:p>
          <w:p w14:paraId="7FE23F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59935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w:t>
            </w:r>
          </w:p>
          <w:p w14:paraId="01B4CB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0FDFD6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92FCA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5965BB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ECC1C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677E71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8E0F78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6983D9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631</w:t>
            </w:r>
          </w:p>
          <w:p w14:paraId="023C8C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94A2172" w14:textId="77777777">
        <w:trPr>
          <w:trHeight w:val="202"/>
        </w:trPr>
        <w:tc>
          <w:tcPr>
            <w:tcW w:w="902" w:type="dxa"/>
            <w:tcBorders>
              <w:top w:val="single" w:sz="6" w:space="0" w:color="auto"/>
              <w:left w:val="single" w:sz="6" w:space="0" w:color="auto"/>
              <w:bottom w:val="nil"/>
              <w:right w:val="single" w:sz="6" w:space="0" w:color="auto"/>
            </w:tcBorders>
          </w:tcPr>
          <w:p w14:paraId="29942A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342436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6C3E5C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F7038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7F3FEC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2578D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3D756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72B74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91EA9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85D6C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3204D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95B0F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57C47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BD6F0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FD3BF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95452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2EE5A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D121A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A8781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B80A6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188C28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69AA3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588BF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A2AB8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3EA88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77036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6DFFA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9A146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1B1B3D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1601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A408D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97F8E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D88E6E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80E57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F6B42DA" w14:textId="77777777">
        <w:trPr>
          <w:trHeight w:val="192"/>
        </w:trPr>
        <w:tc>
          <w:tcPr>
            <w:tcW w:w="902" w:type="dxa"/>
            <w:tcBorders>
              <w:top w:val="nil"/>
              <w:left w:val="single" w:sz="6" w:space="0" w:color="auto"/>
              <w:bottom w:val="nil"/>
              <w:right w:val="single" w:sz="6" w:space="0" w:color="auto"/>
            </w:tcBorders>
          </w:tcPr>
          <w:p w14:paraId="7BF1D6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07AE71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A4799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2097</w:t>
            </w:r>
          </w:p>
          <w:p w14:paraId="37D5A4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nil"/>
              <w:right w:val="single" w:sz="6" w:space="0" w:color="auto"/>
            </w:tcBorders>
          </w:tcPr>
          <w:p w14:paraId="1A1825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774</w:t>
            </w:r>
          </w:p>
          <w:p w14:paraId="2B5CAD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D706B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705</w:t>
            </w:r>
          </w:p>
          <w:p w14:paraId="7CDD32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4CDFFD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859</w:t>
            </w:r>
          </w:p>
          <w:p w14:paraId="480B35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7114A6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511</w:t>
            </w:r>
          </w:p>
          <w:p w14:paraId="4036B8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0E5799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w:t>
            </w:r>
          </w:p>
          <w:p w14:paraId="51AC20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363F4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118</w:t>
            </w:r>
          </w:p>
          <w:p w14:paraId="3CA787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01FC77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w:t>
            </w:r>
          </w:p>
          <w:p w14:paraId="4D7958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433D7C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w:t>
            </w:r>
          </w:p>
          <w:p w14:paraId="28EEAA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FF7F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72BDFC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7D94FA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57687F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5EF000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329</w:t>
            </w:r>
          </w:p>
          <w:p w14:paraId="3843C4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AE08E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33BA97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18531D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47936E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E009A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83E80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nil"/>
              <w:right w:val="single" w:sz="6" w:space="0" w:color="auto"/>
            </w:tcBorders>
          </w:tcPr>
          <w:p w14:paraId="10E162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5617</w:t>
            </w:r>
          </w:p>
          <w:p w14:paraId="319014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476248C" w14:textId="77777777">
        <w:trPr>
          <w:trHeight w:val="240"/>
        </w:trPr>
        <w:tc>
          <w:tcPr>
            <w:tcW w:w="902" w:type="dxa"/>
            <w:tcBorders>
              <w:top w:val="nil"/>
              <w:left w:val="single" w:sz="6" w:space="0" w:color="auto"/>
              <w:bottom w:val="single" w:sz="6" w:space="0" w:color="auto"/>
              <w:right w:val="single" w:sz="6" w:space="0" w:color="auto"/>
            </w:tcBorders>
          </w:tcPr>
          <w:p w14:paraId="50F08F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37AD72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140854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2316</w:t>
            </w:r>
          </w:p>
          <w:p w14:paraId="1E9B34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4328FD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774</w:t>
            </w:r>
          </w:p>
          <w:p w14:paraId="1686F1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51F2A41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787</w:t>
            </w:r>
          </w:p>
          <w:p w14:paraId="648DAD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A5306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892</w:t>
            </w:r>
          </w:p>
          <w:p w14:paraId="4E3687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1CFD245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511</w:t>
            </w:r>
          </w:p>
          <w:p w14:paraId="36671D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2CE59A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310</w:t>
            </w:r>
          </w:p>
          <w:p w14:paraId="7F5825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39D13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128</w:t>
            </w:r>
          </w:p>
          <w:p w14:paraId="6BF5BB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D2FBD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p w14:paraId="3B8CF1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90CA5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p w14:paraId="6527F1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485A48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4A990B0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6C4839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w:t>
            </w:r>
          </w:p>
          <w:p w14:paraId="29C9FB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4BBE2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380</w:t>
            </w:r>
          </w:p>
          <w:p w14:paraId="76DB84A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5E7BFD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55A644E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66AEA3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54BA54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0B56E1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1F2159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5D7EEFA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6248</w:t>
            </w:r>
          </w:p>
          <w:p w14:paraId="69BBCB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236506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Примечание: по данным представителя автоуправления Польского Войска (майора т. Волкова), наличие машин в частях войска на 20.12.1944 г. составляло 7940 машин.</w:t>
      </w:r>
    </w:p>
    <w:p w14:paraId="75BDB8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ГАВТУ КА генерал-лейтенант технических войск Тягунов</w:t>
      </w:r>
    </w:p>
    <w:p w14:paraId="0A6DDC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41. Оп. 11593. Д. 346. Л. 2, 3. Подлинник (11420).</w:t>
      </w:r>
    </w:p>
    <w:p w14:paraId="33B7F0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289B14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763CB2F" w14:textId="77777777" w:rsidR="00C2313B" w:rsidRPr="00925F26" w:rsidRDefault="00C2313B" w:rsidP="00925F26">
      <w:pPr>
        <w:autoSpaceDE w:val="0"/>
        <w:autoSpaceDN w:val="0"/>
        <w:adjustRightInd w:val="0"/>
        <w:jc w:val="both"/>
        <w:rPr>
          <w:iCs/>
          <w:color w:val="000000" w:themeColor="text1"/>
          <w:sz w:val="16"/>
          <w:szCs w:val="16"/>
        </w:rPr>
      </w:pPr>
    </w:p>
    <w:p w14:paraId="7A76BFB5"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января 1945 вышло Распоряжение ГКО № 7285 [О телефонизации районов Можайского и Ленинградского шоссе в Москве.] (7295, 138).</w:t>
      </w:r>
    </w:p>
    <w:p w14:paraId="38A589B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1A077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зампред СНК СССР В. М. Молотов подписал постановление СНК № 35 “О правовом положении спецпереселенцев”, гласившее:</w:t>
      </w:r>
    </w:p>
    <w:p w14:paraId="44065A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“СНК СССР постановляет:</w:t>
      </w:r>
    </w:p>
    <w:p w14:paraId="42C1CE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Спецпереселенцы пользуются всеми правами граждан СССР, за исключением ограничений, предусмотренных настоящим постановлением (7560).</w:t>
      </w:r>
    </w:p>
    <w:p w14:paraId="201CD3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Все трудоспособные спецпереселенцы обязаны заниматься общественно-полезным трудом. В этих целях местные Советы депутатов трудящихся по согласованию с органами НКВД организуют трудовое устройство спецпереселенцев в сельском хозяйстве, на промышленных предприятиях, на стройках, хозяйственно-</w:t>
      </w:r>
      <w:r w:rsidRPr="00925F26">
        <w:rPr>
          <w:color w:val="000000" w:themeColor="text1"/>
          <w:sz w:val="16"/>
          <w:szCs w:val="16"/>
        </w:rPr>
        <w:lastRenderedPageBreak/>
        <w:t>кооперативных организациях и учреждениях. За нарушение трудовой дисциплины спецпереселенцы привлекаются к ответственности в соответствии с существующими законами (7560).</w:t>
      </w:r>
    </w:p>
    <w:p w14:paraId="0CDC7A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Спецпереселенцы не имеют права без разрешения коменданта спецкомендатуры НКВД отлучаться за пределы района расселения, обслуживаемого данной спецкомендатурой. Самовольная отлучка за пределы района расселения, обслуживаемого спецкомендатурой, рассматривается как побег и влечет за собой ответственность в уголовном порядке (7560).</w:t>
      </w:r>
    </w:p>
    <w:p w14:paraId="015EB2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Спецпереселенцы - главы семей или лица, их заменяющие, обязаны в 3-дневный срок сообщать в спецкомендатуры НКВД о всех изменениях, происшедших в составе семьи (рождение ребенка, смерть члена семьи, побег и т. п.) (7560).</w:t>
      </w:r>
    </w:p>
    <w:p w14:paraId="290511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Спецпереселенцы обязаны строго соблюдать установленный для них режим и общественный порядок в местах поселений и подчиняться всем распоряжениям спецкомендатур НКВД. За нарушение режима и общественного порядка в местах поселения спецпереселенцы подвергаются административному взысканию в виде штрафа до 100 рублей или ареста до 5 суток” (7560).</w:t>
      </w:r>
    </w:p>
    <w:p w14:paraId="42864F3C" w14:textId="77777777" w:rsidR="00C2313B" w:rsidRPr="00925F26" w:rsidRDefault="00C2313B" w:rsidP="00925F26">
      <w:pPr>
        <w:autoSpaceDE w:val="0"/>
        <w:autoSpaceDN w:val="0"/>
        <w:adjustRightInd w:val="0"/>
        <w:jc w:val="both"/>
        <w:rPr>
          <w:color w:val="000000" w:themeColor="text1"/>
          <w:sz w:val="16"/>
          <w:szCs w:val="16"/>
        </w:rPr>
      </w:pPr>
    </w:p>
    <w:p w14:paraId="359A926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5EEE38B" w14:textId="77777777" w:rsidR="00C2313B" w:rsidRPr="00925F26" w:rsidRDefault="00C2313B" w:rsidP="00925F26">
      <w:pPr>
        <w:autoSpaceDE w:val="0"/>
        <w:autoSpaceDN w:val="0"/>
        <w:adjustRightInd w:val="0"/>
        <w:jc w:val="both"/>
        <w:rPr>
          <w:iCs/>
          <w:color w:val="000000" w:themeColor="text1"/>
          <w:sz w:val="16"/>
          <w:szCs w:val="16"/>
        </w:rPr>
      </w:pPr>
    </w:p>
    <w:p w14:paraId="389BFD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г. пуск ракеты для удара по Нью-Йорку якобы все-таки состоялся, но закончился неудачей (Первушин А. Астронавты Гитлера. Звездные войны Третьего рейха. М.: Яуза; ЭКСМО, 2004.). Второй запуск, как сообщает автор книги «Астронавты Гитлера» А. Первушин, был произведен 24 января 1945 г.</w:t>
      </w:r>
    </w:p>
    <w:p w14:paraId="5357EA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борту находился пилот Р. Шредер. На десятой секунде после взлета ему показалось, что ракета загорелась. Чтобы избавить себя от мучительной смерти, он раскусил капсулу с цианистым калием. Однако ракета выскочила в космос и полетела по баллистической траектории. Но без управления ракета сбилась с курса и упала где-то в Атлантике (11686).</w:t>
      </w:r>
    </w:p>
    <w:p w14:paraId="6ED44D90" w14:textId="77777777" w:rsidR="00C2313B" w:rsidRPr="00925F26" w:rsidRDefault="00C2313B" w:rsidP="00925F26">
      <w:pPr>
        <w:autoSpaceDE w:val="0"/>
        <w:autoSpaceDN w:val="0"/>
        <w:adjustRightInd w:val="0"/>
        <w:jc w:val="both"/>
        <w:rPr>
          <w:color w:val="000000" w:themeColor="text1"/>
          <w:sz w:val="16"/>
          <w:szCs w:val="16"/>
        </w:rPr>
      </w:pPr>
    </w:p>
    <w:p w14:paraId="61B07A68" w14:textId="77777777" w:rsidR="00D837F1" w:rsidRPr="00925F26" w:rsidRDefault="00D837F1" w:rsidP="00925F26">
      <w:pPr>
        <w:jc w:val="both"/>
        <w:rPr>
          <w:color w:val="000000" w:themeColor="text1"/>
          <w:sz w:val="16"/>
          <w:szCs w:val="16"/>
        </w:rPr>
      </w:pPr>
      <w:r w:rsidRPr="00925F26">
        <w:rPr>
          <w:color w:val="000000" w:themeColor="text1"/>
          <w:sz w:val="16"/>
          <w:szCs w:val="16"/>
        </w:rPr>
        <w:t>8 января 1945 г. первый опытный образец крылатой Фау-2 под наименованием А-4Ь, минимально доработанный по сравнению с серийной «Фау-2», был запущен, но потерпел аварию вскоре после старта. Более удачно прошел второй (и последний) пуск 24 января. Но и он закончился тем, что ракета потеряла крылья при отработке маневра перехода в планирование. Тем не менее немцы рассматривали это летное испытание в основном как успешное (19629).</w:t>
      </w:r>
    </w:p>
    <w:p w14:paraId="4A54D39A" w14:textId="77777777" w:rsidR="00D837F1" w:rsidRPr="00925F26" w:rsidRDefault="00D837F1" w:rsidP="00925F26">
      <w:pPr>
        <w:jc w:val="both"/>
        <w:rPr>
          <w:color w:val="000000" w:themeColor="text1"/>
          <w:sz w:val="16"/>
          <w:szCs w:val="16"/>
        </w:rPr>
      </w:pPr>
    </w:p>
    <w:p w14:paraId="2C9B75E7" w14:textId="149D8923" w:rsidR="005A1318" w:rsidRPr="00925F26" w:rsidRDefault="005A1318" w:rsidP="00925F26">
      <w:pPr>
        <w:jc w:val="both"/>
        <w:rPr>
          <w:color w:val="000000" w:themeColor="text1"/>
          <w:sz w:val="16"/>
          <w:szCs w:val="16"/>
        </w:rPr>
      </w:pPr>
      <w:r w:rsidRPr="00925F26">
        <w:rPr>
          <w:color w:val="000000" w:themeColor="text1"/>
          <w:sz w:val="16"/>
          <w:szCs w:val="16"/>
        </w:rPr>
        <w:t>8 января 1945</w:t>
      </w:r>
      <w:r w:rsidR="00997EDF" w:rsidRPr="00925F26">
        <w:rPr>
          <w:color w:val="000000" w:themeColor="text1"/>
          <w:sz w:val="16"/>
          <w:szCs w:val="16"/>
        </w:rPr>
        <w:t xml:space="preserve">  </w:t>
      </w:r>
      <w:r w:rsidRPr="00925F26">
        <w:rPr>
          <w:color w:val="000000" w:themeColor="text1"/>
          <w:sz w:val="16"/>
          <w:szCs w:val="16"/>
        </w:rPr>
        <w:t>- На немецком испытательном ракетном центре "Пенемюнде" был осуществлен первый испытательный пуск БР "A-4b" - крылатой версии ракеты дальнего действия "A-4"/SS-1/Scunner. Из-за аварии системы управления ракета было подорвана на высоте 30 метров.</w:t>
      </w:r>
    </w:p>
    <w:p w14:paraId="6306EAAB" w14:textId="77777777" w:rsidR="005A1318" w:rsidRPr="00925F26" w:rsidRDefault="005A1318" w:rsidP="00925F26">
      <w:pPr>
        <w:jc w:val="both"/>
        <w:rPr>
          <w:color w:val="000000" w:themeColor="text1"/>
          <w:sz w:val="16"/>
          <w:szCs w:val="16"/>
        </w:rPr>
      </w:pPr>
      <w:r w:rsidRPr="00925F26">
        <w:rPr>
          <w:color w:val="000000" w:themeColor="text1"/>
          <w:sz w:val="16"/>
          <w:szCs w:val="16"/>
        </w:rPr>
        <w:t xml:space="preserve">А-4b - ракета А-4 с двумя крыльями площадью 13.5 </w:t>
      </w:r>
      <w:proofErr w:type="gramStart"/>
      <w:r w:rsidRPr="00925F26">
        <w:rPr>
          <w:color w:val="000000" w:themeColor="text1"/>
          <w:sz w:val="16"/>
          <w:szCs w:val="16"/>
        </w:rPr>
        <w:t>кв.м</w:t>
      </w:r>
      <w:proofErr w:type="gramEnd"/>
      <w:r w:rsidRPr="00925F26">
        <w:rPr>
          <w:color w:val="000000" w:themeColor="text1"/>
          <w:sz w:val="16"/>
          <w:szCs w:val="16"/>
        </w:rPr>
        <w:t>, расчетная дальность полета до 600км. Этот пуск ракеты любители сенсаций отнесли к первому неудачному пуску МБР "А-10/А-9" (22676).</w:t>
      </w:r>
    </w:p>
    <w:p w14:paraId="1B659477" w14:textId="77777777" w:rsidR="005A1318" w:rsidRPr="00925F26" w:rsidRDefault="005A1318" w:rsidP="00925F26">
      <w:pPr>
        <w:jc w:val="both"/>
        <w:rPr>
          <w:color w:val="000000" w:themeColor="text1"/>
          <w:sz w:val="16"/>
          <w:szCs w:val="16"/>
        </w:rPr>
      </w:pPr>
    </w:p>
    <w:p w14:paraId="123D49B6" w14:textId="4FBC6013" w:rsidR="005A1318" w:rsidRPr="00925F26" w:rsidRDefault="005A1318" w:rsidP="00925F26">
      <w:pPr>
        <w:jc w:val="both"/>
        <w:rPr>
          <w:color w:val="000000" w:themeColor="text1"/>
          <w:sz w:val="16"/>
          <w:szCs w:val="16"/>
        </w:rPr>
      </w:pPr>
      <w:r w:rsidRPr="00925F26">
        <w:rPr>
          <w:color w:val="000000" w:themeColor="text1"/>
          <w:sz w:val="16"/>
          <w:szCs w:val="16"/>
        </w:rPr>
        <w:t>8 января 1945</w:t>
      </w:r>
      <w:r w:rsidR="00997EDF" w:rsidRPr="00925F26">
        <w:rPr>
          <w:color w:val="000000" w:themeColor="text1"/>
          <w:sz w:val="16"/>
          <w:szCs w:val="16"/>
        </w:rPr>
        <w:t xml:space="preserve">  </w:t>
      </w:r>
      <w:r w:rsidRPr="00925F26">
        <w:rPr>
          <w:color w:val="000000" w:themeColor="text1"/>
          <w:sz w:val="16"/>
          <w:szCs w:val="16"/>
        </w:rPr>
        <w:t>- Первый безмоторный полет ракетного перехватчика Mitsubishi J8M1 (на основе немецкого Ме-163В) на буксире за бомбардировщиком B6N1 (22676).</w:t>
      </w:r>
    </w:p>
    <w:p w14:paraId="54419645" w14:textId="77777777" w:rsidR="005A1318" w:rsidRPr="00925F26" w:rsidRDefault="005A1318" w:rsidP="00925F26">
      <w:pPr>
        <w:jc w:val="both"/>
        <w:rPr>
          <w:color w:val="000000" w:themeColor="text1"/>
          <w:sz w:val="16"/>
          <w:szCs w:val="16"/>
        </w:rPr>
      </w:pPr>
    </w:p>
    <w:p w14:paraId="6C120880" w14:textId="77777777" w:rsidR="005A1318" w:rsidRPr="00925F26" w:rsidRDefault="005A1318" w:rsidP="00925F26">
      <w:pPr>
        <w:jc w:val="both"/>
        <w:rPr>
          <w:color w:val="000000" w:themeColor="text1"/>
          <w:sz w:val="16"/>
          <w:szCs w:val="16"/>
        </w:rPr>
      </w:pPr>
      <w:r w:rsidRPr="00925F26">
        <w:rPr>
          <w:color w:val="000000" w:themeColor="text1"/>
          <w:sz w:val="16"/>
          <w:szCs w:val="16"/>
        </w:rPr>
        <w:t>8 января 1945 камикадзе снова повреждает тяжелый крейсер HMAS Австралия в Lingayen заливе. На выходе в Южно - Китайском море камикадзе повреждают эскортные авианосцы USS Кадашей Bay и USS Kitkun Bay и транспорт (29371).</w:t>
      </w:r>
    </w:p>
    <w:p w14:paraId="0ADCFC7B" w14:textId="77777777" w:rsidR="005A1318" w:rsidRPr="00925F26" w:rsidRDefault="005A1318" w:rsidP="00925F26">
      <w:pPr>
        <w:jc w:val="both"/>
        <w:rPr>
          <w:color w:val="000000" w:themeColor="text1"/>
          <w:sz w:val="16"/>
          <w:szCs w:val="16"/>
        </w:rPr>
      </w:pPr>
    </w:p>
    <w:p w14:paraId="5ACEB666" w14:textId="77777777" w:rsidR="005A1318" w:rsidRPr="00925F26" w:rsidRDefault="005A1318" w:rsidP="00925F26">
      <w:pPr>
        <w:jc w:val="both"/>
        <w:rPr>
          <w:color w:val="000000" w:themeColor="text1"/>
          <w:sz w:val="16"/>
          <w:szCs w:val="16"/>
        </w:rPr>
      </w:pPr>
      <w:r w:rsidRPr="00925F26">
        <w:rPr>
          <w:color w:val="000000" w:themeColor="text1"/>
          <w:sz w:val="16"/>
          <w:szCs w:val="16"/>
        </w:rPr>
        <w:t>8 января 1945 Martin M-130 летающая лодка Китай Clipper Pan American World Airways в ходе Flight 161 ударяет затемненную лодку и падает в море при заходе на посадку в Порт-оф-Спейн, Тринидад. Погибли от 23 до 25 из 30 человек на борту.</w:t>
      </w:r>
    </w:p>
    <w:p w14:paraId="47385E57" w14:textId="77777777" w:rsidR="005A1318" w:rsidRPr="00925F26" w:rsidRDefault="005A1318" w:rsidP="00925F26">
      <w:pPr>
        <w:jc w:val="both"/>
        <w:rPr>
          <w:color w:val="000000" w:themeColor="text1"/>
          <w:sz w:val="16"/>
          <w:szCs w:val="16"/>
        </w:rPr>
      </w:pPr>
    </w:p>
    <w:p w14:paraId="3346A365" w14:textId="77777777" w:rsidR="002D2573" w:rsidRPr="00925F26" w:rsidRDefault="002D2573" w:rsidP="00925F26">
      <w:pPr>
        <w:jc w:val="both"/>
        <w:rPr>
          <w:color w:val="000000" w:themeColor="text1"/>
          <w:sz w:val="16"/>
          <w:szCs w:val="16"/>
        </w:rPr>
      </w:pPr>
      <w:r w:rsidRPr="00925F26">
        <w:rPr>
          <w:bCs/>
          <w:color w:val="000000" w:themeColor="text1"/>
          <w:sz w:val="16"/>
          <w:szCs w:val="16"/>
        </w:rPr>
        <w:t>8 января</w:t>
      </w:r>
      <w:r w:rsidRPr="00925F26">
        <w:rPr>
          <w:color w:val="000000" w:themeColor="text1"/>
          <w:sz w:val="16"/>
          <w:szCs w:val="16"/>
        </w:rPr>
        <w:t xml:space="preserve"> в 1945 году вступил в строй </w:t>
      </w:r>
      <w:hyperlink r:id="rId10" w:tgtFrame="_blank" w:history="1">
        <w:r w:rsidRPr="00925F26">
          <w:rPr>
            <w:color w:val="000000" w:themeColor="text1"/>
            <w:sz w:val="16"/>
            <w:szCs w:val="16"/>
          </w:rPr>
          <w:t>японский подводный авианосец «I-401» (15003).</w:t>
        </w:r>
      </w:hyperlink>
    </w:p>
    <w:p w14:paraId="37F73B79" w14:textId="77777777" w:rsidR="002D2573" w:rsidRPr="00925F26" w:rsidRDefault="002D2573" w:rsidP="00925F26">
      <w:pPr>
        <w:jc w:val="both"/>
        <w:rPr>
          <w:color w:val="000000" w:themeColor="text1"/>
          <w:sz w:val="16"/>
          <w:szCs w:val="16"/>
        </w:rPr>
      </w:pPr>
    </w:p>
    <w:p w14:paraId="22B16C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января 1945 на парламентских выборах в Египте, бойкотируемые партией Вафд, принесли победу б премьер-министру (3907,255).</w:t>
      </w:r>
    </w:p>
    <w:p w14:paraId="0B974312" w14:textId="77777777" w:rsidR="00C2313B" w:rsidRPr="00925F26" w:rsidRDefault="00C2313B" w:rsidP="00925F26">
      <w:pPr>
        <w:autoSpaceDE w:val="0"/>
        <w:autoSpaceDN w:val="0"/>
        <w:adjustRightInd w:val="0"/>
        <w:jc w:val="both"/>
        <w:rPr>
          <w:color w:val="000000" w:themeColor="text1"/>
          <w:sz w:val="16"/>
          <w:szCs w:val="16"/>
        </w:rPr>
      </w:pPr>
    </w:p>
    <w:p w14:paraId="44F4B2C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A7A45D7" w14:textId="77777777" w:rsidR="00C2313B" w:rsidRPr="00925F26" w:rsidRDefault="00C2313B" w:rsidP="00925F26">
      <w:pPr>
        <w:autoSpaceDE w:val="0"/>
        <w:autoSpaceDN w:val="0"/>
        <w:adjustRightInd w:val="0"/>
        <w:jc w:val="both"/>
        <w:rPr>
          <w:iCs/>
          <w:color w:val="000000" w:themeColor="text1"/>
          <w:sz w:val="16"/>
          <w:szCs w:val="16"/>
        </w:rPr>
      </w:pPr>
    </w:p>
    <w:p w14:paraId="3FD63D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года вышел Приказ МАП за № 30, которым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191520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1946 и 1947 гг. заводом освоены следующие агрегаты:</w:t>
      </w:r>
    </w:p>
    <w:p w14:paraId="5A9BF9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хвостовая часть фюзеляжа;</w:t>
      </w:r>
    </w:p>
    <w:p w14:paraId="2CBC13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оперение;</w:t>
      </w:r>
    </w:p>
    <w:p w14:paraId="4645E8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шасси.</w:t>
      </w:r>
    </w:p>
    <w:p w14:paraId="02F460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41E09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F6492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105512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2AB8E4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122CD5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Белявский</w:t>
      </w:r>
    </w:p>
    <w:p w14:paraId="5D10D0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самолет Ан-10 конструкции Антонова</w:t>
      </w:r>
    </w:p>
    <w:p w14:paraId="690CA6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Характеристика аэродрома завода</w:t>
      </w:r>
    </w:p>
    <w:p w14:paraId="2550DF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A8E835C" w14:textId="77777777" w:rsidR="00C2313B" w:rsidRPr="00925F26" w:rsidRDefault="00C2313B" w:rsidP="00925F26">
      <w:pPr>
        <w:autoSpaceDE w:val="0"/>
        <w:autoSpaceDN w:val="0"/>
        <w:adjustRightInd w:val="0"/>
        <w:jc w:val="both"/>
        <w:rPr>
          <w:color w:val="000000" w:themeColor="text1"/>
          <w:sz w:val="16"/>
          <w:szCs w:val="16"/>
        </w:rPr>
      </w:pPr>
    </w:p>
    <w:p w14:paraId="38523B3C" w14:textId="13FEBE74" w:rsidR="00D837F1" w:rsidRPr="00925F26" w:rsidRDefault="00D837F1"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9 января 1945 </w:t>
      </w:r>
      <w:proofErr w:type="gramStart"/>
      <w:r w:rsidRPr="00925F26">
        <w:rPr>
          <w:color w:val="000000" w:themeColor="text1"/>
          <w:sz w:val="16"/>
          <w:szCs w:val="16"/>
        </w:rPr>
        <w:t>года</w:t>
      </w:r>
      <w:r w:rsidR="00997EDF" w:rsidRPr="00925F26">
        <w:rPr>
          <w:color w:val="000000" w:themeColor="text1"/>
          <w:sz w:val="16"/>
          <w:szCs w:val="16"/>
        </w:rPr>
        <w:t xml:space="preserve">  </w:t>
      </w:r>
      <w:r w:rsidRPr="00925F26">
        <w:rPr>
          <w:color w:val="000000" w:themeColor="text1"/>
          <w:sz w:val="16"/>
          <w:szCs w:val="16"/>
        </w:rPr>
        <w:t>приказом</w:t>
      </w:r>
      <w:proofErr w:type="gramEnd"/>
      <w:r w:rsidRPr="00925F26">
        <w:rPr>
          <w:color w:val="000000" w:themeColor="text1"/>
          <w:sz w:val="16"/>
          <w:szCs w:val="16"/>
        </w:rPr>
        <w:t xml:space="preserve"> НКАП №30 заводу № 64 была утверждена программа по выпуску крыльев самолетов Ил-2 (19822).</w:t>
      </w:r>
    </w:p>
    <w:p w14:paraId="45B74C55" w14:textId="77777777" w:rsidR="00D837F1" w:rsidRPr="00925F26" w:rsidRDefault="00D837F1" w:rsidP="00925F26">
      <w:pPr>
        <w:pStyle w:val="ae"/>
        <w:shd w:val="clear" w:color="auto" w:fill="FFFFFF"/>
        <w:spacing w:before="0" w:after="0"/>
        <w:jc w:val="both"/>
        <w:rPr>
          <w:color w:val="000000" w:themeColor="text1"/>
          <w:sz w:val="16"/>
          <w:szCs w:val="16"/>
        </w:rPr>
      </w:pPr>
    </w:p>
    <w:p w14:paraId="23F8230F" w14:textId="09664AE4" w:rsidR="00D837F1" w:rsidRPr="00925F26" w:rsidRDefault="00D837F1" w:rsidP="00925F26">
      <w:pPr>
        <w:jc w:val="both"/>
        <w:rPr>
          <w:color w:val="000000" w:themeColor="text1"/>
          <w:sz w:val="16"/>
          <w:szCs w:val="16"/>
        </w:rPr>
      </w:pPr>
      <w:r w:rsidRPr="00925F26">
        <w:rPr>
          <w:color w:val="000000" w:themeColor="text1"/>
          <w:sz w:val="16"/>
          <w:szCs w:val="16"/>
        </w:rPr>
        <w:lastRenderedPageBreak/>
        <w:t xml:space="preserve">Приказом НКАП от 9 января 1945 года заводу была утверждена программа по выпуску крыльев самолета Ил-2, изготовление которых производилось в 1944 и 1945 гг. Кроме того, в соответствии с договором от 13 марта 1945 года с </w:t>
      </w:r>
      <w:proofErr w:type="gramStart"/>
      <w:r w:rsidRPr="00925F26">
        <w:rPr>
          <w:color w:val="000000" w:themeColor="text1"/>
          <w:sz w:val="16"/>
          <w:szCs w:val="16"/>
        </w:rPr>
        <w:t>ВВС</w:t>
      </w:r>
      <w:r w:rsidR="00997EDF" w:rsidRPr="00925F26">
        <w:rPr>
          <w:color w:val="000000" w:themeColor="text1"/>
          <w:sz w:val="16"/>
          <w:szCs w:val="16"/>
        </w:rPr>
        <w:t xml:space="preserve">  </w:t>
      </w:r>
      <w:r w:rsidRPr="00925F26">
        <w:rPr>
          <w:color w:val="000000" w:themeColor="text1"/>
          <w:sz w:val="16"/>
          <w:szCs w:val="16"/>
        </w:rPr>
        <w:t>завод</w:t>
      </w:r>
      <w:proofErr w:type="gramEnd"/>
      <w:r w:rsidR="00997EDF" w:rsidRPr="00925F26">
        <w:rPr>
          <w:color w:val="000000" w:themeColor="text1"/>
          <w:sz w:val="16"/>
          <w:szCs w:val="16"/>
        </w:rPr>
        <w:t xml:space="preserve">  </w:t>
      </w:r>
      <w:r w:rsidRPr="00925F26">
        <w:rPr>
          <w:color w:val="000000" w:themeColor="text1"/>
          <w:sz w:val="16"/>
          <w:szCs w:val="16"/>
        </w:rPr>
        <w:t>во втором квартале 1945 года приступил к сборке самолета Ил-4 из готовых агрегатов, получаемых с завода № 126 (19829).</w:t>
      </w:r>
    </w:p>
    <w:p w14:paraId="0165C98D" w14:textId="77777777" w:rsidR="00D837F1" w:rsidRPr="00925F26" w:rsidRDefault="00D837F1" w:rsidP="00925F26">
      <w:pPr>
        <w:jc w:val="both"/>
        <w:rPr>
          <w:color w:val="000000" w:themeColor="text1"/>
          <w:sz w:val="16"/>
          <w:szCs w:val="16"/>
        </w:rPr>
      </w:pPr>
    </w:p>
    <w:p w14:paraId="38F1C4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года гл. инженер ВВС генерал-полковник ИАС Репин писал письмо N 730503с Шахурину.</w:t>
      </w:r>
    </w:p>
    <w:p w14:paraId="2E007E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частях ВВС находятся в эксплуатации до 5000 истребителей и </w:t>
      </w:r>
      <w:proofErr w:type="gramStart"/>
      <w:r w:rsidRPr="00925F26">
        <w:rPr>
          <w:color w:val="000000" w:themeColor="text1"/>
          <w:sz w:val="16"/>
          <w:szCs w:val="16"/>
        </w:rPr>
        <w:t>штурмовиков</w:t>
      </w:r>
      <w:proofErr w:type="gramEnd"/>
      <w:r w:rsidRPr="00925F26">
        <w:rPr>
          <w:color w:val="000000" w:themeColor="text1"/>
          <w:sz w:val="16"/>
          <w:szCs w:val="16"/>
        </w:rPr>
        <w:t xml:space="preserve"> оборудованных только одним радиоприемником.</w:t>
      </w:r>
    </w:p>
    <w:p w14:paraId="640DF6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ВВС принимаются меры по их оборудованию </w:t>
      </w:r>
      <w:proofErr w:type="gramStart"/>
      <w:r w:rsidRPr="00925F26">
        <w:rPr>
          <w:color w:val="000000" w:themeColor="text1"/>
          <w:sz w:val="16"/>
          <w:szCs w:val="16"/>
        </w:rPr>
        <w:t>двух сторонней</w:t>
      </w:r>
      <w:proofErr w:type="gramEnd"/>
      <w:r w:rsidRPr="00925F26">
        <w:rPr>
          <w:color w:val="000000" w:themeColor="text1"/>
          <w:sz w:val="16"/>
          <w:szCs w:val="16"/>
        </w:rPr>
        <w:t xml:space="preserve"> радиосвязью (прием, передача), за счет имеющихся приемников и передатчиков от американских станций СЦР-274Н, но выполнение этих работ задерживается из-за отсутствия американских умформеров.</w:t>
      </w:r>
    </w:p>
    <w:p w14:paraId="06AD36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ГК НИИ ВВС, успешно прошла испытание приемо-передающая радиостанция, собранная из американских приемников и передатчиков и укомплектованная отечественным умформером РУ-45 и названная СЦР-274Н-3.</w:t>
      </w:r>
    </w:p>
    <w:p w14:paraId="3E01E5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об изготовлении для ВВС в 1-м квартале 1945 года - 600 шт. умформеров РУ-45 для укомплектования ими изготавливаемых 600 станций СЦР-274 N 3 (1879).</w:t>
      </w:r>
    </w:p>
    <w:p w14:paraId="69C2E098" w14:textId="77777777" w:rsidR="00C2313B" w:rsidRPr="00925F26" w:rsidRDefault="00C2313B" w:rsidP="00925F26">
      <w:pPr>
        <w:autoSpaceDE w:val="0"/>
        <w:autoSpaceDN w:val="0"/>
        <w:adjustRightInd w:val="0"/>
        <w:jc w:val="both"/>
        <w:rPr>
          <w:color w:val="000000" w:themeColor="text1"/>
          <w:sz w:val="16"/>
          <w:szCs w:val="16"/>
        </w:rPr>
      </w:pPr>
    </w:p>
    <w:p w14:paraId="742F05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В.С.Вахмистров предложил мотопланер СигмаТП из двух истребителей и ТДП двухбалочной схемы (94,115).</w:t>
      </w:r>
    </w:p>
    <w:p w14:paraId="4B0065D8" w14:textId="77777777" w:rsidR="00C2313B" w:rsidRPr="00925F26" w:rsidRDefault="00C2313B" w:rsidP="00925F26">
      <w:pPr>
        <w:autoSpaceDE w:val="0"/>
        <w:autoSpaceDN w:val="0"/>
        <w:adjustRightInd w:val="0"/>
        <w:jc w:val="both"/>
        <w:rPr>
          <w:color w:val="000000" w:themeColor="text1"/>
          <w:sz w:val="16"/>
          <w:szCs w:val="16"/>
        </w:rPr>
      </w:pPr>
    </w:p>
    <w:p w14:paraId="694FED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С.Б.Рейдель вывез на В-29 л В.П.Марунова и А.Ф.Чернова и с 11 января В.П.Марунов стал летать самостоятельно (2645,25).</w:t>
      </w:r>
    </w:p>
    <w:p w14:paraId="3A62C5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января по 21 июня 1945 на ДВ велись летные испытания В-29. Две машины находились в распоряжении ВВС ТОФ, а одна в составе специально созданной 35 отдельной бомбардировочной эскадрильи, в которую вошли и 2 В-25. Летали с аэродрома Романовский. Руководил Зам. Нач. летной инспекции ВВС ВМФ п/п С.Б.Рейдель (2645,25).</w:t>
      </w:r>
    </w:p>
    <w:p w14:paraId="7A43E056" w14:textId="77777777" w:rsidR="00C2313B" w:rsidRPr="00925F26" w:rsidRDefault="00C2313B" w:rsidP="00925F26">
      <w:pPr>
        <w:autoSpaceDE w:val="0"/>
        <w:autoSpaceDN w:val="0"/>
        <w:adjustRightInd w:val="0"/>
        <w:jc w:val="both"/>
        <w:rPr>
          <w:color w:val="000000" w:themeColor="text1"/>
          <w:sz w:val="16"/>
          <w:szCs w:val="16"/>
        </w:rPr>
      </w:pPr>
    </w:p>
    <w:p w14:paraId="19024E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на В-29 выполнили четыре вывозных полета: Рейдель - на левом сидении, Марунов - на правом (3457,120).</w:t>
      </w:r>
    </w:p>
    <w:p w14:paraId="08830B56" w14:textId="77777777" w:rsidR="00C2313B" w:rsidRPr="00925F26" w:rsidRDefault="00C2313B" w:rsidP="00925F26">
      <w:pPr>
        <w:autoSpaceDE w:val="0"/>
        <w:autoSpaceDN w:val="0"/>
        <w:adjustRightInd w:val="0"/>
        <w:jc w:val="both"/>
        <w:rPr>
          <w:color w:val="000000" w:themeColor="text1"/>
          <w:sz w:val="16"/>
          <w:szCs w:val="16"/>
        </w:rPr>
      </w:pPr>
    </w:p>
    <w:p w14:paraId="6086E250" w14:textId="77777777" w:rsidR="008C4451" w:rsidRPr="001A0BAA" w:rsidRDefault="008C4451" w:rsidP="008C4451">
      <w:pPr>
        <w:jc w:val="both"/>
        <w:rPr>
          <w:color w:val="0070C0"/>
          <w:sz w:val="16"/>
          <w:szCs w:val="16"/>
        </w:rPr>
      </w:pPr>
      <w:r w:rsidRPr="001A0BAA">
        <w:rPr>
          <w:color w:val="0070C0"/>
          <w:sz w:val="16"/>
          <w:szCs w:val="16"/>
        </w:rPr>
        <w:t>9 января 1945 г. на В-29 в 35-й отдельной дальнебомбардировочной эскадрилье в составе ВВС ТОФ произвели четыре вывозных полёта. Рейдель – на месте второго пилота, Марунов – на месте командира. 11 января Марунов совершил на В-29 первый самостоятельный полёт, после которого стал летать самостоятельно (25184).</w:t>
      </w:r>
    </w:p>
    <w:p w14:paraId="31A50249" w14:textId="77777777" w:rsidR="008C4451" w:rsidRPr="001A0BAA" w:rsidRDefault="008C4451" w:rsidP="008C4451">
      <w:pPr>
        <w:jc w:val="both"/>
        <w:rPr>
          <w:color w:val="0070C0"/>
          <w:sz w:val="16"/>
          <w:szCs w:val="16"/>
        </w:rPr>
      </w:pPr>
    </w:p>
    <w:p w14:paraId="2656A58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5190A3A" w14:textId="77777777" w:rsidR="00C2313B" w:rsidRPr="00925F26" w:rsidRDefault="00C2313B" w:rsidP="00925F26">
      <w:pPr>
        <w:autoSpaceDE w:val="0"/>
        <w:autoSpaceDN w:val="0"/>
        <w:adjustRightInd w:val="0"/>
        <w:jc w:val="both"/>
        <w:rPr>
          <w:iCs/>
          <w:color w:val="000000" w:themeColor="text1"/>
          <w:sz w:val="16"/>
          <w:szCs w:val="16"/>
        </w:rPr>
      </w:pPr>
    </w:p>
    <w:p w14:paraId="0CAA39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января 1945 г. был подготовлен ОТЧЕТ О РАБОТЕ 4-го ОТДЕЛА УПРАВЛЕНИЯ БРОНЕПОЕЗДОВ И БРОНЕМАШИН ГБТУ КА ЗА 1944 г.</w:t>
      </w:r>
    </w:p>
    <w:p w14:paraId="796402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r w:rsidRPr="00925F26">
        <w:rPr>
          <w:color w:val="000000" w:themeColor="text1"/>
          <w:sz w:val="16"/>
          <w:szCs w:val="16"/>
        </w:rPr>
        <w:t>. Производство бронеавтомобилей БА-64</w:t>
      </w:r>
    </w:p>
    <w:p w14:paraId="0CD314C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производством бронеавтомобилей занимался автозавод им. Молотова. По кварталь</w:t>
      </w:r>
      <w:r w:rsidRPr="00925F26">
        <w:rPr>
          <w:color w:val="000000" w:themeColor="text1"/>
          <w:sz w:val="16"/>
          <w:szCs w:val="16"/>
        </w:rPr>
        <w:softHyphen/>
        <w:t>ным постановлениям СНК Союза ССР автозавод им. Молотова должен был в 1944 г. изготовить 3000 бронеавтомобилей БА-64. Фактически за отчетный год изготовлено 2950 шт. или 98,3% плана.</w:t>
      </w:r>
    </w:p>
    <w:p w14:paraId="18D0D5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автозавод им. Молотова имеет гораздо большие производственные мощ</w:t>
      </w:r>
      <w:r w:rsidRPr="00925F26">
        <w:rPr>
          <w:color w:val="000000" w:themeColor="text1"/>
          <w:sz w:val="16"/>
          <w:szCs w:val="16"/>
        </w:rPr>
        <w:softHyphen/>
        <w:t>ности по бронеавтомобилям, однако использует их на производство автомобилей ГАЗ-67.</w:t>
      </w:r>
    </w:p>
    <w:p w14:paraId="1EA547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Недовыполнение плана производства бронеавтомобилей относится на декабрь месяц и объяс</w:t>
      </w:r>
      <w:r w:rsidRPr="00925F26">
        <w:rPr>
          <w:color w:val="000000" w:themeColor="text1"/>
          <w:sz w:val="16"/>
          <w:szCs w:val="16"/>
        </w:rPr>
        <w:softHyphen/>
        <w:t>няется недостатком металла на корпуса и полуоси передних мостов.</w:t>
      </w:r>
    </w:p>
    <w:p w14:paraId="45B698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 бронеавтомобилей изготовлено на ИЗО шт. больше, чем в 1943 г., что по отношению к прошлому году составляет 162%.</w:t>
      </w:r>
    </w:p>
    <w:p w14:paraId="08F434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процессе эксплуатации бронеавтомобилей выявились отдельные дефекты машины, которые в течение года устранены. Так, например:</w:t>
      </w:r>
    </w:p>
    <w:p w14:paraId="1B9DE6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Изменена конструкция подшипников шкворен поворотных кулаков переднего моста, устра</w:t>
      </w:r>
      <w:r w:rsidRPr="00925F26">
        <w:rPr>
          <w:color w:val="000000" w:themeColor="text1"/>
          <w:sz w:val="16"/>
          <w:szCs w:val="16"/>
        </w:rPr>
        <w:softHyphen/>
        <w:t>няющая виляние руля (вместо шариковых подшипников поставлены стальные втулки). Испытания на НИБТ полигоне показали положительные результаты измененной конструкции.</w:t>
      </w:r>
    </w:p>
    <w:p w14:paraId="13A33D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Усилены диски колес в месте отверстий под болты, что устраняет разбалтывание отверстий дисков колес.</w:t>
      </w:r>
    </w:p>
    <w:p w14:paraId="7877E5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Усилено крепление подшипника на оси переднего колеса.</w:t>
      </w:r>
    </w:p>
    <w:p w14:paraId="2AA099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Изменена длина наклонного листа воздухопритока надмоторного люка с целью устранения случаев перебивания бензопроводов.</w:t>
      </w:r>
    </w:p>
    <w:p w14:paraId="6E2480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 Производство мотоциклов</w:t>
      </w:r>
    </w:p>
    <w:p w14:paraId="09749D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производством мотоциклов М-72 с коляской занимались Горьковский и Ирбитский мотоциклетные заводы.</w:t>
      </w:r>
    </w:p>
    <w:p w14:paraId="59DBAC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квартальным постановлениям Правительства указанные мотозаводы в истекшем году должны были изготовить и поставить ГБТУ КА 6000 мотоциклов М-72. Фактически поставлено 5395 мотоциклов М-72 или 89,9% годового плана.</w:t>
      </w:r>
    </w:p>
    <w:p w14:paraId="5B7FDE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протяжении всего года Горьковский мотозавод выполнял установленные ему правительст</w:t>
      </w:r>
      <w:r w:rsidRPr="00925F26">
        <w:rPr>
          <w:color w:val="000000" w:themeColor="text1"/>
          <w:sz w:val="16"/>
          <w:szCs w:val="16"/>
        </w:rPr>
        <w:softHyphen/>
        <w:t>венные планы производства мотоциклов.</w:t>
      </w:r>
    </w:p>
    <w:p w14:paraId="538111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Недовыполнение государственного плана относится к Ирбитскому мотозаводу, который в те</w:t>
      </w:r>
      <w:r w:rsidRPr="00925F26">
        <w:rPr>
          <w:color w:val="000000" w:themeColor="text1"/>
          <w:sz w:val="16"/>
          <w:szCs w:val="16"/>
        </w:rPr>
        <w:softHyphen/>
        <w:t>чение всего года работал с перебоями и всегда вызывал опасения в выполнении плана.</w:t>
      </w:r>
    </w:p>
    <w:p w14:paraId="1985BB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Основные причины невыполнения плана по Ирбитскому мотозаводу:</w:t>
      </w:r>
    </w:p>
    <w:p w14:paraId="3A6DFC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Нарушение технической и технологической дисциплины, вследствие чего в процессе произ</w:t>
      </w:r>
      <w:r w:rsidRPr="00925F26">
        <w:rPr>
          <w:color w:val="000000" w:themeColor="text1"/>
          <w:sz w:val="16"/>
          <w:szCs w:val="16"/>
        </w:rPr>
        <w:softHyphen/>
        <w:t>водства обнаруживался большой брак деталей и агрегатов, который пагубно влиял на выпуск про</w:t>
      </w:r>
      <w:r w:rsidRPr="00925F26">
        <w:rPr>
          <w:color w:val="000000" w:themeColor="text1"/>
          <w:sz w:val="16"/>
          <w:szCs w:val="16"/>
        </w:rPr>
        <w:softHyphen/>
        <w:t>дукции и выполнение плана (массовые стуки двигателей, брак коробок перемены передач и других деталей и агрегатов).</w:t>
      </w:r>
    </w:p>
    <w:p w14:paraId="287E15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Неудовлетворительная работа ОТК завода.</w:t>
      </w:r>
    </w:p>
    <w:p w14:paraId="081EA5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Перевод цехов в новые помещения.</w:t>
      </w:r>
    </w:p>
    <w:p w14:paraId="1AC53B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Неудовлетворительное снабжение завода покупными деталями.</w:t>
      </w:r>
    </w:p>
    <w:p w14:paraId="1B859C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недовыполнение плана мотозаводы в 1944 году поставили мотоциклов для НКО на 1648 шт. больше, чем в 1943 году, или 144%.</w:t>
      </w:r>
    </w:p>
    <w:p w14:paraId="6FE282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настоящее время мотозаводы имеют возможность и мощности для увеличения выпуска мо</w:t>
      </w:r>
      <w:r w:rsidRPr="00925F26">
        <w:rPr>
          <w:color w:val="000000" w:themeColor="text1"/>
          <w:sz w:val="16"/>
          <w:szCs w:val="16"/>
        </w:rPr>
        <w:softHyphen/>
        <w:t>тоциклов М-72, однако по причине недостатка металла план производства мотоциклов в 1944 году оставался неизменным.</w:t>
      </w:r>
    </w:p>
    <w:p w14:paraId="5FC65C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III</w:t>
      </w:r>
      <w:r w:rsidRPr="00925F26">
        <w:rPr>
          <w:color w:val="000000" w:themeColor="text1"/>
          <w:sz w:val="16"/>
          <w:szCs w:val="16"/>
        </w:rPr>
        <w:t>. Импорт мотоциклов</w:t>
      </w:r>
    </w:p>
    <w:p w14:paraId="57EA8F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поступило 15326 шт. импортных мотоциклов, что по сравнению с 1943 годом состав</w:t>
      </w:r>
      <w:r w:rsidRPr="00925F26">
        <w:rPr>
          <w:color w:val="000000" w:themeColor="text1"/>
          <w:sz w:val="16"/>
          <w:szCs w:val="16"/>
        </w:rPr>
        <w:softHyphen/>
        <w:t>ляет 179,0%.</w:t>
      </w:r>
    </w:p>
    <w:p w14:paraId="5C9BC4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Поступление мотоциклов производилось в основном через порты Ирана и в небольших коли</w:t>
      </w:r>
      <w:r w:rsidRPr="00925F26">
        <w:rPr>
          <w:color w:val="000000" w:themeColor="text1"/>
          <w:sz w:val="16"/>
          <w:szCs w:val="16"/>
        </w:rPr>
        <w:softHyphen/>
        <w:t>чествах через Северные и Владивосточные порты.</w:t>
      </w:r>
    </w:p>
    <w:p w14:paraId="5ED312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Прибывающие мотоциклы Харлей-Давидсон без колясок оборудовались на Московском заво</w:t>
      </w:r>
      <w:r w:rsidRPr="00925F26">
        <w:rPr>
          <w:color w:val="000000" w:themeColor="text1"/>
          <w:sz w:val="16"/>
          <w:szCs w:val="16"/>
        </w:rPr>
        <w:softHyphen/>
        <w:t>де колясками.</w:t>
      </w:r>
    </w:p>
    <w:p w14:paraId="6277CE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IV</w:t>
      </w:r>
      <w:r w:rsidRPr="00925F26">
        <w:rPr>
          <w:color w:val="000000" w:themeColor="text1"/>
          <w:sz w:val="16"/>
          <w:szCs w:val="16"/>
        </w:rPr>
        <w:t>. Оборудование импортных мотоциклов колясками</w:t>
      </w:r>
    </w:p>
    <w:p w14:paraId="293211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оборудовано импортных мотоциклов колясками мотоцикла М-72 6260 шт. или 83% правительственного плана.</w:t>
      </w:r>
    </w:p>
    <w:p w14:paraId="00D637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Основной причиной невыполнения плана оборудования колясками импортных мотоциклов яв</w:t>
      </w:r>
      <w:r w:rsidRPr="00925F26">
        <w:rPr>
          <w:color w:val="000000" w:themeColor="text1"/>
          <w:sz w:val="16"/>
          <w:szCs w:val="16"/>
        </w:rPr>
        <w:softHyphen/>
        <w:t>ляется недостаток колясок, изготовляемых заводом ГАЗ.</w:t>
      </w:r>
    </w:p>
    <w:p w14:paraId="3527F8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сравнению с прошлым годом в 1944 году оборудовано колясками импортных мотоциклов на 2787 шт. больше или 180%.</w:t>
      </w:r>
    </w:p>
    <w:p w14:paraId="59624F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w:t>
      </w:r>
      <w:r w:rsidRPr="00925F26">
        <w:rPr>
          <w:color w:val="000000" w:themeColor="text1"/>
          <w:sz w:val="16"/>
          <w:szCs w:val="16"/>
        </w:rPr>
        <w:t>. Производство колясок</w:t>
      </w:r>
    </w:p>
    <w:p w14:paraId="2B93A0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изготовлено и поставлено мотозаводам 10803 мотоциклетных коляски против 7842 шт., изготовленных в 1943 году.</w:t>
      </w:r>
    </w:p>
    <w:p w14:paraId="5980DB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рост выпуска мотоколясок, последние по-прежнему задерживают выдачу импорт</w:t>
      </w:r>
      <w:r w:rsidRPr="00925F26">
        <w:rPr>
          <w:color w:val="000000" w:themeColor="text1"/>
          <w:sz w:val="16"/>
          <w:szCs w:val="16"/>
        </w:rPr>
        <w:softHyphen/>
        <w:t>ных мотоциклов в войска.</w:t>
      </w:r>
    </w:p>
    <w:p w14:paraId="3F61C8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протяжении всего 1944 года отдел неоднократно поднимал вопрос об увеличении выпус</w:t>
      </w:r>
      <w:r w:rsidRPr="00925F26">
        <w:rPr>
          <w:color w:val="000000" w:themeColor="text1"/>
          <w:sz w:val="16"/>
          <w:szCs w:val="16"/>
        </w:rPr>
        <w:softHyphen/>
        <w:t>ка мотоколясок, однако большого перелома в этом вопросе еще не достигнуто (см. прилагаемую справку).</w:t>
      </w:r>
    </w:p>
    <w:p w14:paraId="2559FE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VI</w:t>
      </w:r>
      <w:r w:rsidRPr="00925F26">
        <w:rPr>
          <w:color w:val="000000" w:themeColor="text1"/>
          <w:sz w:val="16"/>
          <w:szCs w:val="16"/>
        </w:rPr>
        <w:t>. Производство велосипедов</w:t>
      </w:r>
    </w:p>
    <w:p w14:paraId="0894FC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Харьковский велосипедный завод должен был восстановить производство велоси</w:t>
      </w:r>
      <w:r w:rsidRPr="00925F26">
        <w:rPr>
          <w:color w:val="000000" w:themeColor="text1"/>
          <w:sz w:val="16"/>
          <w:szCs w:val="16"/>
        </w:rPr>
        <w:softHyphen/>
        <w:t xml:space="preserve">педов и изготовить их в </w:t>
      </w:r>
      <w:r w:rsidRPr="00925F26">
        <w:rPr>
          <w:color w:val="000000" w:themeColor="text1"/>
          <w:sz w:val="16"/>
          <w:szCs w:val="16"/>
          <w:lang w:val="en-US"/>
        </w:rPr>
        <w:t>IV</w:t>
      </w:r>
      <w:r w:rsidRPr="00925F26">
        <w:rPr>
          <w:color w:val="000000" w:themeColor="text1"/>
          <w:sz w:val="16"/>
          <w:szCs w:val="16"/>
        </w:rPr>
        <w:t xml:space="preserve"> кв. 1000 шт. Фактически не изготовлено ни одного велосипеда.</w:t>
      </w:r>
    </w:p>
    <w:p w14:paraId="569DE1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Основной причиной невыполнения постановления ГОКО о производстве велосипедов являет</w:t>
      </w:r>
      <w:r w:rsidRPr="00925F26">
        <w:rPr>
          <w:color w:val="000000" w:themeColor="text1"/>
          <w:sz w:val="16"/>
          <w:szCs w:val="16"/>
        </w:rPr>
        <w:softHyphen/>
        <w:t>ся недостаток электроэнергии и задержки изготовления штампов приспособлений и инструмента.</w:t>
      </w:r>
    </w:p>
    <w:p w14:paraId="01D8BD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VII</w:t>
      </w:r>
      <w:r w:rsidRPr="00925F26">
        <w:rPr>
          <w:color w:val="000000" w:themeColor="text1"/>
          <w:sz w:val="16"/>
          <w:szCs w:val="16"/>
        </w:rPr>
        <w:t>. Сравнительные данные поставок бронеавтомобилей и мотоциклов</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15"/>
        <w:gridCol w:w="1939"/>
        <w:gridCol w:w="2122"/>
        <w:gridCol w:w="1238"/>
      </w:tblGrid>
      <w:tr w:rsidR="000F5689" w:rsidRPr="00925F26" w14:paraId="45AE2B73"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72D7C9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B59E9D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п/п</w:t>
            </w:r>
          </w:p>
          <w:p w14:paraId="236C289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075DA9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поставляемой продукции</w:t>
            </w:r>
          </w:p>
          <w:p w14:paraId="2F34F2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D4C9D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 поставлен, в 1943 г.</w:t>
            </w:r>
          </w:p>
          <w:p w14:paraId="1F3297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2DE78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 поставлен, в 1944 г.</w:t>
            </w:r>
          </w:p>
          <w:p w14:paraId="5BCD60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0F8736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w:t>
            </w:r>
          </w:p>
          <w:p w14:paraId="06715A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1C298B5" w14:textId="77777777">
        <w:trPr>
          <w:trHeight w:val="797"/>
        </w:trPr>
        <w:tc>
          <w:tcPr>
            <w:tcW w:w="538" w:type="dxa"/>
            <w:tcBorders>
              <w:top w:val="single" w:sz="6" w:space="0" w:color="auto"/>
              <w:left w:val="single" w:sz="6" w:space="0" w:color="auto"/>
              <w:bottom w:val="single" w:sz="6" w:space="0" w:color="auto"/>
              <w:right w:val="single" w:sz="6" w:space="0" w:color="auto"/>
            </w:tcBorders>
          </w:tcPr>
          <w:p w14:paraId="45C5C2A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4EC86A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79B95C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571DC8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CA5A7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6A21F2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3366D2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Бронеавтомобили БА-64</w:t>
            </w:r>
          </w:p>
          <w:p w14:paraId="0AA461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Отечественные мотоциклы М-72 с колясками</w:t>
            </w:r>
          </w:p>
          <w:p w14:paraId="5F315F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Мотоциклы "Харлей- Дэвидсон", оборудованные колясками</w:t>
            </w:r>
          </w:p>
          <w:p w14:paraId="0423F5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Получено импортных мотоциклов</w:t>
            </w:r>
          </w:p>
          <w:p w14:paraId="72931D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0F09B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1820</w:t>
            </w:r>
          </w:p>
          <w:p w14:paraId="7987FF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3747</w:t>
            </w:r>
          </w:p>
          <w:p w14:paraId="715A81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3473</w:t>
            </w:r>
          </w:p>
          <w:p w14:paraId="3836F6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FAAD0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8557</w:t>
            </w:r>
          </w:p>
          <w:p w14:paraId="47084E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B6D4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2950</w:t>
            </w:r>
          </w:p>
          <w:p w14:paraId="14F269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5395</w:t>
            </w:r>
          </w:p>
          <w:p w14:paraId="32D14D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6260</w:t>
            </w:r>
          </w:p>
          <w:p w14:paraId="229780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9237D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15326</w:t>
            </w:r>
          </w:p>
          <w:p w14:paraId="5181F1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2841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162</w:t>
            </w:r>
          </w:p>
          <w:p w14:paraId="007862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w:t>
            </w:r>
          </w:p>
          <w:p w14:paraId="255B14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180</w:t>
            </w:r>
          </w:p>
          <w:p w14:paraId="32402B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2C0385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179</w:t>
            </w:r>
          </w:p>
          <w:p w14:paraId="033E8D6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716922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lastRenderedPageBreak/>
        <w:t xml:space="preserve">VIII. </w:t>
      </w:r>
      <w:r w:rsidRPr="00925F26">
        <w:rPr>
          <w:color w:val="000000" w:themeColor="text1"/>
          <w:sz w:val="16"/>
          <w:szCs w:val="16"/>
        </w:rPr>
        <w:t>Распределение мотоциклов</w:t>
      </w:r>
    </w:p>
    <w:p w14:paraId="696756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Распределение мотоциклов производится в первую очередь на укомплектование формируе</w:t>
      </w:r>
      <w:r w:rsidRPr="00925F26">
        <w:rPr>
          <w:color w:val="000000" w:themeColor="text1"/>
          <w:sz w:val="16"/>
          <w:szCs w:val="16"/>
        </w:rPr>
        <w:softHyphen/>
        <w:t>мых танковых и механизированных частей и частей Красной Армии.</w:t>
      </w:r>
    </w:p>
    <w:p w14:paraId="3C6E47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выдано в войска новых бронеавтомобилей и мотоциклов:</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15"/>
        <w:gridCol w:w="1939"/>
        <w:gridCol w:w="2122"/>
        <w:gridCol w:w="1229"/>
      </w:tblGrid>
      <w:tr w:rsidR="000F5689" w:rsidRPr="00925F26" w14:paraId="2468C62D"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6DAFC7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B8DF8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п/п</w:t>
            </w:r>
          </w:p>
          <w:p w14:paraId="609155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4295B5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машин</w:t>
            </w:r>
          </w:p>
          <w:p w14:paraId="044E845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5336E8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Выдано в 1943 г.</w:t>
            </w:r>
          </w:p>
          <w:p w14:paraId="7C8DBD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4BE71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Выдано в 1 944 г.</w:t>
            </w:r>
          </w:p>
          <w:p w14:paraId="7919AB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8C292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 по сравнение 1943 г.</w:t>
            </w:r>
          </w:p>
          <w:p w14:paraId="0B7BB8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4E9DA26" w14:textId="77777777">
        <w:trPr>
          <w:trHeight w:val="778"/>
        </w:trPr>
        <w:tc>
          <w:tcPr>
            <w:tcW w:w="538" w:type="dxa"/>
            <w:tcBorders>
              <w:top w:val="single" w:sz="6" w:space="0" w:color="auto"/>
              <w:left w:val="single" w:sz="6" w:space="0" w:color="auto"/>
              <w:bottom w:val="single" w:sz="6" w:space="0" w:color="auto"/>
              <w:right w:val="single" w:sz="6" w:space="0" w:color="auto"/>
            </w:tcBorders>
          </w:tcPr>
          <w:p w14:paraId="628773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16511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1D5AEF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44B207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CE3E5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4DDA55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Бронеавтомобили</w:t>
            </w:r>
          </w:p>
          <w:p w14:paraId="4BFC6A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Мотоциклов отечественных с коляской М-72</w:t>
            </w:r>
          </w:p>
          <w:p w14:paraId="2D8D6C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Мотоциклов импортных с коляской М-72 Импортных мотоциклов без коляски</w:t>
            </w:r>
          </w:p>
          <w:p w14:paraId="258D8A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20335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1829</w:t>
            </w:r>
          </w:p>
          <w:p w14:paraId="101852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3485</w:t>
            </w:r>
          </w:p>
          <w:p w14:paraId="10146E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3219</w:t>
            </w:r>
          </w:p>
          <w:p w14:paraId="7AE961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5321</w:t>
            </w:r>
          </w:p>
          <w:p w14:paraId="66462D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D57C3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2865</w:t>
            </w:r>
          </w:p>
          <w:p w14:paraId="1AFD72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4732</w:t>
            </w:r>
          </w:p>
          <w:p w14:paraId="080BF8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6036</w:t>
            </w:r>
          </w:p>
          <w:p w14:paraId="4E45E9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4632</w:t>
            </w:r>
          </w:p>
          <w:p w14:paraId="6B0C68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6058F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156</w:t>
            </w:r>
          </w:p>
          <w:p w14:paraId="2E5DB1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w:t>
            </w:r>
          </w:p>
          <w:p w14:paraId="5B7543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187</w:t>
            </w:r>
          </w:p>
          <w:p w14:paraId="3CA420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w:t>
            </w:r>
          </w:p>
          <w:p w14:paraId="7F76A0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E65AA6F" w14:textId="77777777">
        <w:trPr>
          <w:trHeight w:val="230"/>
        </w:trPr>
        <w:tc>
          <w:tcPr>
            <w:tcW w:w="538" w:type="dxa"/>
            <w:tcBorders>
              <w:top w:val="single" w:sz="6" w:space="0" w:color="auto"/>
              <w:left w:val="single" w:sz="6" w:space="0" w:color="auto"/>
              <w:bottom w:val="single" w:sz="6" w:space="0" w:color="auto"/>
              <w:right w:val="single" w:sz="6" w:space="0" w:color="auto"/>
            </w:tcBorders>
          </w:tcPr>
          <w:p w14:paraId="1A6294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2DF7C0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62A4F0C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мотоциклов</w:t>
            </w:r>
          </w:p>
          <w:p w14:paraId="6CB5E7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98E21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12025</w:t>
            </w:r>
          </w:p>
          <w:p w14:paraId="7CB06E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78B27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15402</w:t>
            </w:r>
          </w:p>
          <w:p w14:paraId="508933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A86D0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102AA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5D4842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IX. </w:t>
      </w:r>
      <w:r w:rsidRPr="00925F26">
        <w:rPr>
          <w:color w:val="000000" w:themeColor="text1"/>
          <w:sz w:val="16"/>
          <w:szCs w:val="16"/>
        </w:rPr>
        <w:t>Перевозки</w:t>
      </w:r>
    </w:p>
    <w:p w14:paraId="383D9A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запланировано и использовано под погрузку эшелонов и транспортов — 439.</w:t>
      </w:r>
    </w:p>
    <w:p w14:paraId="2E62D6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Поступило эшелонов и транспортов, не запланированных отделом — 51.</w:t>
      </w:r>
    </w:p>
    <w:p w14:paraId="20D94F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- 490.</w:t>
      </w:r>
    </w:p>
    <w:p w14:paraId="4BC7CC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истекшего года погружено и разгружено вагонов и платформ:</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25"/>
        <w:gridCol w:w="1939"/>
        <w:gridCol w:w="2122"/>
        <w:gridCol w:w="1200"/>
      </w:tblGrid>
      <w:tr w:rsidR="000F5689" w:rsidRPr="00925F26" w14:paraId="48EDF047"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4B0113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п/п</w:t>
            </w:r>
          </w:p>
          <w:p w14:paraId="036544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5EF777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машин</w:t>
            </w:r>
          </w:p>
          <w:p w14:paraId="56C0BF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3B8EBD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Погружено и отправлено</w:t>
            </w:r>
          </w:p>
          <w:p w14:paraId="6E0CE8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03EA1B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Поступило и разгружено</w:t>
            </w:r>
          </w:p>
          <w:p w14:paraId="7DCF32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10D1B2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57BB56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AB3525D" w14:textId="77777777">
        <w:trPr>
          <w:trHeight w:val="989"/>
        </w:trPr>
        <w:tc>
          <w:tcPr>
            <w:tcW w:w="538" w:type="dxa"/>
            <w:tcBorders>
              <w:top w:val="single" w:sz="6" w:space="0" w:color="auto"/>
              <w:left w:val="single" w:sz="6" w:space="0" w:color="auto"/>
              <w:bottom w:val="single" w:sz="6" w:space="0" w:color="auto"/>
              <w:right w:val="single" w:sz="6" w:space="0" w:color="auto"/>
            </w:tcBorders>
          </w:tcPr>
          <w:p w14:paraId="6B27A5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6AFB00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3A3C27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30C2D8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3E06B8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22D870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646A8A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Бронеавтомобилей БА-64</w:t>
            </w:r>
          </w:p>
          <w:p w14:paraId="66581F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Мотоциклов отечественных</w:t>
            </w:r>
          </w:p>
          <w:p w14:paraId="5DBCE1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Мотоциклов импортных б/к</w:t>
            </w:r>
          </w:p>
          <w:p w14:paraId="3216F1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Мотоциклов импортных б/к</w:t>
            </w:r>
          </w:p>
          <w:p w14:paraId="353CD0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Мотоколясок</w:t>
            </w:r>
          </w:p>
          <w:p w14:paraId="7908BC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5F46B7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1580</w:t>
            </w:r>
          </w:p>
          <w:p w14:paraId="370842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1300</w:t>
            </w:r>
          </w:p>
          <w:p w14:paraId="52E338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1480</w:t>
            </w:r>
          </w:p>
          <w:p w14:paraId="71FFE0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w:t>
            </w:r>
          </w:p>
          <w:p w14:paraId="004C37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2122" w:type="dxa"/>
            <w:tcBorders>
              <w:top w:val="single" w:sz="6" w:space="0" w:color="auto"/>
              <w:left w:val="single" w:sz="6" w:space="0" w:color="auto"/>
              <w:bottom w:val="single" w:sz="6" w:space="0" w:color="auto"/>
              <w:right w:val="single" w:sz="6" w:space="0" w:color="auto"/>
            </w:tcBorders>
          </w:tcPr>
          <w:p w14:paraId="06E7A7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007A2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360</w:t>
            </w:r>
          </w:p>
          <w:p w14:paraId="3FF6F0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560</w:t>
            </w:r>
          </w:p>
          <w:p w14:paraId="7F63A0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C0B92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440</w:t>
            </w:r>
          </w:p>
          <w:p w14:paraId="530AE6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440B4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1580</w:t>
            </w:r>
          </w:p>
          <w:p w14:paraId="214EB0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1660</w:t>
            </w:r>
          </w:p>
          <w:p w14:paraId="62DE5D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2040</w:t>
            </w:r>
          </w:p>
          <w:p w14:paraId="07BBD5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w:t>
            </w:r>
          </w:p>
          <w:p w14:paraId="4BFCE5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440</w:t>
            </w:r>
          </w:p>
          <w:p w14:paraId="400AD5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02455FF" w14:textId="77777777">
        <w:trPr>
          <w:trHeight w:val="230"/>
        </w:trPr>
        <w:tc>
          <w:tcPr>
            <w:tcW w:w="538" w:type="dxa"/>
            <w:tcBorders>
              <w:top w:val="single" w:sz="6" w:space="0" w:color="auto"/>
              <w:left w:val="single" w:sz="6" w:space="0" w:color="auto"/>
              <w:bottom w:val="single" w:sz="6" w:space="0" w:color="auto"/>
              <w:right w:val="single" w:sz="6" w:space="0" w:color="auto"/>
            </w:tcBorders>
          </w:tcPr>
          <w:p w14:paraId="4C6BAC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9D107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431670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4EEBCB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6F430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4760</w:t>
            </w:r>
          </w:p>
          <w:p w14:paraId="20F5C8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008E9A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1360</w:t>
            </w:r>
          </w:p>
          <w:p w14:paraId="40F95F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nil"/>
            </w:tcBorders>
          </w:tcPr>
          <w:p w14:paraId="39DEE5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6120</w:t>
            </w:r>
          </w:p>
          <w:p w14:paraId="3705AF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3D041D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 xml:space="preserve">X. </w:t>
      </w:r>
      <w:r w:rsidRPr="00925F26">
        <w:rPr>
          <w:color w:val="000000" w:themeColor="text1"/>
          <w:sz w:val="16"/>
          <w:szCs w:val="16"/>
        </w:rPr>
        <w:t>Качество мотоциклов</w:t>
      </w:r>
    </w:p>
    <w:p w14:paraId="61DC9B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отзывам войсковых частей и отдельных мотоциклистов, качество выпускаемых мотоциклов удовлетворительное.</w:t>
      </w:r>
    </w:p>
    <w:p w14:paraId="6751D3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Основными дефектами являются: выход из строя генераторов, реле-регуляторов, поломка кры</w:t>
      </w:r>
      <w:r w:rsidRPr="00925F26">
        <w:rPr>
          <w:color w:val="000000" w:themeColor="text1"/>
          <w:sz w:val="16"/>
          <w:szCs w:val="16"/>
        </w:rPr>
        <w:softHyphen/>
        <w:t>шек редуктора задней передачи и др.</w:t>
      </w:r>
    </w:p>
    <w:p w14:paraId="493B02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1944 год проведено испытание 3 мотоциклов М-72 на гарантийный километраж. Все 3 мотоцикла не выдержали гарантийных испытаний на 15000 км пробега.</w:t>
      </w:r>
    </w:p>
    <w:p w14:paraId="77EA7A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XII</w:t>
      </w:r>
      <w:r w:rsidRPr="00925F26">
        <w:rPr>
          <w:color w:val="000000" w:themeColor="text1"/>
          <w:sz w:val="16"/>
          <w:szCs w:val="16"/>
        </w:rPr>
        <w:t>. Изготовление опытных образцов и испытания Бронеавтомобили</w:t>
      </w:r>
    </w:p>
    <w:p w14:paraId="79610D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Изготовлен опытный образец штабного бронеавтомобиля на базе БА-64-Б.</w:t>
      </w:r>
    </w:p>
    <w:p w14:paraId="1B5DDA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Изготовлен опытный образец бронеавтомобиля БА-64 с установкой пулемета Горюнова.</w:t>
      </w:r>
    </w:p>
    <w:p w14:paraId="7A8263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Изготовлен опытный образец колесно-самоходной пушки КСП-76 и проведены полигонные и артиллерийские испытания.</w:t>
      </w:r>
    </w:p>
    <w:p w14:paraId="7739F7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Проведены испытания на гарантийный километраж 2 бронеавтомобилей БА-64 серийных.</w:t>
      </w:r>
    </w:p>
    <w:p w14:paraId="05CC29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Изготовлены 3 опытных образца штабных бронеавтомобилей БА-64-Б в соответствии с заме</w:t>
      </w:r>
      <w:r w:rsidRPr="00925F26">
        <w:rPr>
          <w:color w:val="000000" w:themeColor="text1"/>
          <w:sz w:val="16"/>
          <w:szCs w:val="16"/>
        </w:rPr>
        <w:softHyphen/>
        <w:t>чаниями маршала бронетанковых войск т. Федоренко.</w:t>
      </w:r>
    </w:p>
    <w:p w14:paraId="046D71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Мотоциклы и велосипеды</w:t>
      </w:r>
    </w:p>
    <w:p w14:paraId="75AAD9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Изготовлен опытный образец дорожного велосипеда и проведены его испытания.</w:t>
      </w:r>
    </w:p>
    <w:p w14:paraId="3671D5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Трижды проведены испытания 2 опытных образцов мотоциклов ТМЗ-53. Результаты испы</w:t>
      </w:r>
      <w:r w:rsidRPr="00925F26">
        <w:rPr>
          <w:color w:val="000000" w:themeColor="text1"/>
          <w:sz w:val="16"/>
          <w:szCs w:val="16"/>
        </w:rPr>
        <w:softHyphen/>
        <w:t>таний вполне удовлетворительные, мотоцикл рекомендован на производство. Наркомсредмаш не желает организовывать производство данных мотоциклов.</w:t>
      </w:r>
    </w:p>
    <w:p w14:paraId="481875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Проведены испытания мотоцикла вездехода с гусеничным двигателем.</w:t>
      </w:r>
    </w:p>
    <w:p w14:paraId="6D5FAB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Изготовлено 4 опытных образца мотоцикла М-72 с приводом на колесо коляски и проведены испытания их в академии и на полигоне.</w:t>
      </w:r>
    </w:p>
    <w:p w14:paraId="0A3C7F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Проведены испытания мотоцикла «Эксцельсиор».</w:t>
      </w:r>
    </w:p>
    <w:p w14:paraId="4DF3033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Проведены испытания мотоцикла «Харлей-Давидсон» с коляской М-72 и установкой 37-мм пушки.</w:t>
      </w:r>
    </w:p>
    <w:p w14:paraId="7ECF79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Проведены испытания мотоцикла «Харлей-Давидсон» с коляской М-72 и 3 мотоциклов М-72 на гарантийный километраж:.</w:t>
      </w:r>
    </w:p>
    <w:p w14:paraId="78701F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XIII</w:t>
      </w:r>
      <w:r w:rsidRPr="00925F26">
        <w:rPr>
          <w:color w:val="000000" w:themeColor="text1"/>
          <w:sz w:val="16"/>
          <w:szCs w:val="16"/>
        </w:rPr>
        <w:t>. Оргмероприятия</w:t>
      </w:r>
    </w:p>
    <w:p w14:paraId="006CEB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Организована выставка на полигоне отечественных, импортных и трофейных мотоциклов.</w:t>
      </w:r>
    </w:p>
    <w:p w14:paraId="6D81CF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Подготовка и участие в техническом совещании Наркомсредмаша по выбору типов мотоцик</w:t>
      </w:r>
      <w:r w:rsidRPr="00925F26">
        <w:rPr>
          <w:color w:val="000000" w:themeColor="text1"/>
          <w:sz w:val="16"/>
          <w:szCs w:val="16"/>
        </w:rPr>
        <w:softHyphen/>
        <w:t>лов, рекомендуемых на серийное производство по перспективному плану.</w:t>
      </w:r>
    </w:p>
    <w:p w14:paraId="27FE640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XIV</w:t>
      </w:r>
      <w:r w:rsidRPr="00925F26">
        <w:rPr>
          <w:color w:val="000000" w:themeColor="text1"/>
          <w:sz w:val="16"/>
          <w:szCs w:val="16"/>
        </w:rPr>
        <w:t>. Руководства и наставления В 1944 году изданы или подготовлены к печати следующие рукописи: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5196"/>
        <w:gridCol w:w="5196"/>
      </w:tblGrid>
      <w:tr w:rsidR="000F5689" w:rsidRPr="00925F26" w14:paraId="234ED1B3" w14:textId="77777777">
        <w:tc>
          <w:tcPr>
            <w:tcW w:w="817" w:type="dxa"/>
            <w:tcBorders>
              <w:top w:val="single" w:sz="12" w:space="0" w:color="auto"/>
            </w:tcBorders>
            <w:shd w:val="clear" w:color="auto" w:fill="FFFFFF"/>
          </w:tcPr>
          <w:p w14:paraId="655156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п/п</w:t>
            </w:r>
          </w:p>
        </w:tc>
        <w:tc>
          <w:tcPr>
            <w:tcW w:w="5196" w:type="dxa"/>
            <w:tcBorders>
              <w:top w:val="single" w:sz="12" w:space="0" w:color="auto"/>
            </w:tcBorders>
            <w:shd w:val="clear" w:color="auto" w:fill="FFFFFF"/>
          </w:tcPr>
          <w:p w14:paraId="7C81E8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рукописи</w:t>
            </w:r>
          </w:p>
        </w:tc>
        <w:tc>
          <w:tcPr>
            <w:tcW w:w="5196" w:type="dxa"/>
            <w:tcBorders>
              <w:top w:val="single" w:sz="12" w:space="0" w:color="auto"/>
            </w:tcBorders>
            <w:shd w:val="clear" w:color="auto" w:fill="FFFFFF"/>
          </w:tcPr>
          <w:p w14:paraId="1EB1BA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Что выполнено отделом</w:t>
            </w:r>
          </w:p>
        </w:tc>
      </w:tr>
      <w:tr w:rsidR="000F5689" w:rsidRPr="00925F26" w14:paraId="6FB986C2" w14:textId="77777777">
        <w:tc>
          <w:tcPr>
            <w:tcW w:w="817" w:type="dxa"/>
            <w:shd w:val="clear" w:color="auto" w:fill="FFFFFF"/>
          </w:tcPr>
          <w:p w14:paraId="21CF7A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196" w:type="dxa"/>
            <w:shd w:val="clear" w:color="auto" w:fill="FFFFFF"/>
          </w:tcPr>
          <w:p w14:paraId="2F8902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Памятка водителю мотоцикла "Харлей-Давидсон"</w:t>
            </w:r>
          </w:p>
        </w:tc>
        <w:tc>
          <w:tcPr>
            <w:tcW w:w="5196" w:type="dxa"/>
            <w:shd w:val="clear" w:color="auto" w:fill="FFFFFF"/>
          </w:tcPr>
          <w:p w14:paraId="362976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Подготовлена к печати и издана.</w:t>
            </w:r>
          </w:p>
        </w:tc>
      </w:tr>
      <w:tr w:rsidR="000F5689" w:rsidRPr="00925F26" w14:paraId="6CFA0E14" w14:textId="77777777">
        <w:tc>
          <w:tcPr>
            <w:tcW w:w="817" w:type="dxa"/>
            <w:shd w:val="clear" w:color="auto" w:fill="FFFFFF"/>
          </w:tcPr>
          <w:p w14:paraId="3B73B3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196" w:type="dxa"/>
            <w:shd w:val="clear" w:color="auto" w:fill="FFFFFF"/>
          </w:tcPr>
          <w:p w14:paraId="60AB5C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Памятка водителю мотоцикла БСА</w:t>
            </w:r>
          </w:p>
        </w:tc>
        <w:tc>
          <w:tcPr>
            <w:tcW w:w="5196" w:type="dxa"/>
            <w:shd w:val="clear" w:color="auto" w:fill="FFFFFF"/>
          </w:tcPr>
          <w:p w14:paraId="29062D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Подготовлена и находится в печати.</w:t>
            </w:r>
          </w:p>
        </w:tc>
      </w:tr>
      <w:tr w:rsidR="000F5689" w:rsidRPr="00925F26" w14:paraId="0BF8EAE9" w14:textId="77777777">
        <w:tc>
          <w:tcPr>
            <w:tcW w:w="817" w:type="dxa"/>
            <w:shd w:val="clear" w:color="auto" w:fill="FFFFFF"/>
          </w:tcPr>
          <w:p w14:paraId="4FFAF9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196" w:type="dxa"/>
            <w:shd w:val="clear" w:color="auto" w:fill="FFFFFF"/>
          </w:tcPr>
          <w:p w14:paraId="6A3D7E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Руководство по мотоциклу "Харлей-Давидсон"</w:t>
            </w:r>
          </w:p>
        </w:tc>
        <w:tc>
          <w:tcPr>
            <w:tcW w:w="5196" w:type="dxa"/>
            <w:shd w:val="clear" w:color="auto" w:fill="FFFFFF"/>
          </w:tcPr>
          <w:p w14:paraId="5434E3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Проверена рукопись и сдана на редактирование в РИО ГУФ.</w:t>
            </w:r>
          </w:p>
        </w:tc>
      </w:tr>
      <w:tr w:rsidR="000F5689" w:rsidRPr="00925F26" w14:paraId="6532AA15" w14:textId="77777777">
        <w:tc>
          <w:tcPr>
            <w:tcW w:w="817" w:type="dxa"/>
            <w:shd w:val="clear" w:color="auto" w:fill="FFFFFF"/>
          </w:tcPr>
          <w:p w14:paraId="6758A2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196" w:type="dxa"/>
            <w:shd w:val="clear" w:color="auto" w:fill="FFFFFF"/>
          </w:tcPr>
          <w:p w14:paraId="4E56F3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Руководство по эксплуатации и обслуживанию мотоциклов.</w:t>
            </w:r>
          </w:p>
        </w:tc>
        <w:tc>
          <w:tcPr>
            <w:tcW w:w="5196" w:type="dxa"/>
            <w:shd w:val="clear" w:color="auto" w:fill="FFFFFF"/>
          </w:tcPr>
          <w:p w14:paraId="78BC27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Проверена рукопись, сделаны замечания и передана в УЭТ ГБТУ КА.</w:t>
            </w:r>
          </w:p>
        </w:tc>
      </w:tr>
      <w:tr w:rsidR="000F5689" w:rsidRPr="00925F26" w14:paraId="3831C7EC" w14:textId="77777777">
        <w:tc>
          <w:tcPr>
            <w:tcW w:w="817" w:type="dxa"/>
            <w:shd w:val="clear" w:color="auto" w:fill="FFFFFF"/>
          </w:tcPr>
          <w:p w14:paraId="63B3E6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5196" w:type="dxa"/>
            <w:shd w:val="clear" w:color="auto" w:fill="FFFFFF"/>
          </w:tcPr>
          <w:p w14:paraId="07A969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Руководство по мотоциклу "Индиан".</w:t>
            </w:r>
          </w:p>
        </w:tc>
        <w:tc>
          <w:tcPr>
            <w:tcW w:w="5196" w:type="dxa"/>
            <w:shd w:val="clear" w:color="auto" w:fill="FFFFFF"/>
          </w:tcPr>
          <w:p w14:paraId="094F09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Проверена рукопись и сдана на редактирование в РИО ГУФ.</w:t>
            </w:r>
          </w:p>
        </w:tc>
      </w:tr>
      <w:tr w:rsidR="000F5689" w:rsidRPr="00925F26" w14:paraId="78E17807" w14:textId="77777777">
        <w:tc>
          <w:tcPr>
            <w:tcW w:w="817" w:type="dxa"/>
            <w:shd w:val="clear" w:color="auto" w:fill="FFFFFF"/>
          </w:tcPr>
          <w:p w14:paraId="68CF7F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5196" w:type="dxa"/>
            <w:shd w:val="clear" w:color="auto" w:fill="FFFFFF"/>
          </w:tcPr>
          <w:p w14:paraId="7B5858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Учебник по мотоциклам автора Сытина</w:t>
            </w:r>
          </w:p>
        </w:tc>
        <w:tc>
          <w:tcPr>
            <w:tcW w:w="5196" w:type="dxa"/>
            <w:shd w:val="clear" w:color="auto" w:fill="FFFFFF"/>
          </w:tcPr>
          <w:p w14:paraId="074839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Составлена рецензия.</w:t>
            </w:r>
          </w:p>
        </w:tc>
      </w:tr>
      <w:tr w:rsidR="000F5689" w:rsidRPr="00925F26" w14:paraId="635F6CB7" w14:textId="77777777">
        <w:tc>
          <w:tcPr>
            <w:tcW w:w="817" w:type="dxa"/>
            <w:tcBorders>
              <w:bottom w:val="single" w:sz="12" w:space="0" w:color="auto"/>
            </w:tcBorders>
            <w:shd w:val="clear" w:color="auto" w:fill="FFFFFF"/>
          </w:tcPr>
          <w:p w14:paraId="7CC698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5196" w:type="dxa"/>
            <w:tcBorders>
              <w:bottom w:val="single" w:sz="12" w:space="0" w:color="auto"/>
            </w:tcBorders>
            <w:shd w:val="clear" w:color="auto" w:fill="FFFFFF"/>
          </w:tcPr>
          <w:p w14:paraId="69C53B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Каталог по БА-64.</w:t>
            </w:r>
          </w:p>
        </w:tc>
        <w:tc>
          <w:tcPr>
            <w:tcW w:w="5196" w:type="dxa"/>
            <w:tcBorders>
              <w:bottom w:val="single" w:sz="12" w:space="0" w:color="auto"/>
            </w:tcBorders>
            <w:shd w:val="clear" w:color="auto" w:fill="FFFFFF"/>
          </w:tcPr>
          <w:p w14:paraId="4E77C2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Составлен каталог совместно с заводом и сдан в печать.</w:t>
            </w:r>
          </w:p>
        </w:tc>
      </w:tr>
    </w:tbl>
    <w:p w14:paraId="5EDA849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к отчету:</w:t>
      </w:r>
    </w:p>
    <w:p w14:paraId="001C91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Сводка о поставке бронеавтомобилей, мотоциклов, колясок в 1944 г. на 1 листе.</w:t>
      </w:r>
    </w:p>
    <w:p w14:paraId="6309D1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Сводка о поступлении импортных мотоциклов с начала операции на 1 листе.</w:t>
      </w:r>
    </w:p>
    <w:p w14:paraId="0AC93D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Ведомость распределения мотоциклов за 1944 г. по войскам на 1 листе.</w:t>
      </w:r>
    </w:p>
    <w:p w14:paraId="6540FD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Ведомость распределения бронеавтомобилей за 1944 г. по войскам на 1 листе.</w:t>
      </w:r>
    </w:p>
    <w:p w14:paraId="093A91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Справка о мероприятиях отдела по увеличению поставки мотоколясок на __ листах.</w:t>
      </w:r>
    </w:p>
    <w:p w14:paraId="26E451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Краткие тактико-технические характеристики и фото бронемашин, мотоциклов и велосипе</w:t>
      </w:r>
      <w:r w:rsidRPr="00925F26">
        <w:rPr>
          <w:color w:val="000000" w:themeColor="text1"/>
          <w:sz w:val="16"/>
          <w:szCs w:val="16"/>
        </w:rPr>
        <w:softHyphen/>
        <w:t>дов на листах.</w:t>
      </w:r>
    </w:p>
    <w:p w14:paraId="202696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 на 3 листах секретно и на 4 листах не секретно.</w:t>
      </w:r>
    </w:p>
    <w:p w14:paraId="03725E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11358. Д. 936. Л. 88-95. Подлинник.</w:t>
      </w:r>
    </w:p>
    <w:p w14:paraId="55AACB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Приложения к документу не публикуются.</w:t>
      </w:r>
    </w:p>
    <w:p w14:paraId="143B20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4 отдела БП и БМ ГБТУ КА инженер-подполковник Апарин (11420).</w:t>
      </w:r>
    </w:p>
    <w:p w14:paraId="3B5357F5" w14:textId="77777777" w:rsidR="00C2313B" w:rsidRPr="00925F26" w:rsidRDefault="00C2313B" w:rsidP="00925F26">
      <w:pPr>
        <w:autoSpaceDE w:val="0"/>
        <w:autoSpaceDN w:val="0"/>
        <w:adjustRightInd w:val="0"/>
        <w:jc w:val="both"/>
        <w:rPr>
          <w:color w:val="000000" w:themeColor="text1"/>
          <w:sz w:val="16"/>
          <w:szCs w:val="16"/>
        </w:rPr>
      </w:pPr>
    </w:p>
    <w:p w14:paraId="0762230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вышло Распоряжение ГКО № 7289. О закреплении за ТЭЦ Ефремовского завода НКРП импортного комплектного оборудования электростанции. РГАНИР, Фонд ГКО, д. 348, лл. 168 (11012).</w:t>
      </w:r>
    </w:p>
    <w:p w14:paraId="5AE59E66" w14:textId="77777777" w:rsidR="00C2313B" w:rsidRPr="00925F26" w:rsidRDefault="00C2313B" w:rsidP="00925F26">
      <w:pPr>
        <w:autoSpaceDE w:val="0"/>
        <w:autoSpaceDN w:val="0"/>
        <w:adjustRightInd w:val="0"/>
        <w:jc w:val="both"/>
        <w:rPr>
          <w:color w:val="000000" w:themeColor="text1"/>
          <w:sz w:val="16"/>
          <w:szCs w:val="16"/>
        </w:rPr>
      </w:pPr>
    </w:p>
    <w:p w14:paraId="35FAA2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вышло Распоряжение ГКО № 7290. О продлении до 1 марта 1945 г. срока работы 660 автомашин НКО, выделенных НКлесу СССР. РГАНИР, Фонд ГКО, д. 348, лл. 169 (11012).</w:t>
      </w:r>
    </w:p>
    <w:p w14:paraId="6B33DEE4" w14:textId="77777777" w:rsidR="00C2313B" w:rsidRPr="00925F26" w:rsidRDefault="00C2313B" w:rsidP="00925F26">
      <w:pPr>
        <w:autoSpaceDE w:val="0"/>
        <w:autoSpaceDN w:val="0"/>
        <w:adjustRightInd w:val="0"/>
        <w:jc w:val="both"/>
        <w:rPr>
          <w:color w:val="000000" w:themeColor="text1"/>
          <w:sz w:val="16"/>
          <w:szCs w:val="16"/>
        </w:rPr>
      </w:pPr>
    </w:p>
    <w:p w14:paraId="3FFABC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вышло Распоряжение ГКО № 7291. О поставке для ВВС КА импортных передвижных электростанций. РГАНИР, Фонд ГКО, д. 348, лл. 170 (11012).</w:t>
      </w:r>
    </w:p>
    <w:p w14:paraId="111E5517" w14:textId="77777777" w:rsidR="00C2313B" w:rsidRPr="00925F26" w:rsidRDefault="00C2313B" w:rsidP="00925F26">
      <w:pPr>
        <w:autoSpaceDE w:val="0"/>
        <w:autoSpaceDN w:val="0"/>
        <w:adjustRightInd w:val="0"/>
        <w:jc w:val="both"/>
        <w:rPr>
          <w:color w:val="000000" w:themeColor="text1"/>
          <w:sz w:val="16"/>
          <w:szCs w:val="16"/>
        </w:rPr>
      </w:pPr>
    </w:p>
    <w:p w14:paraId="53B31DFC"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января 1945 вышло Распоряжение ГКО № 7292 [О выделении топлива Ленинградскому торговому порту.] (7295, 171).</w:t>
      </w:r>
    </w:p>
    <w:p w14:paraId="19922317"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658FB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9 января 1945 вышло Распоряжение ГКО № 7292. О выделении топлива Ленинградскому торговому порту. РГАНИР, Фонд ГКО, д. 348, лл. 171 (11012).</w:t>
      </w:r>
    </w:p>
    <w:p w14:paraId="6EAE946A" w14:textId="77777777" w:rsidR="00C2313B" w:rsidRPr="00925F26" w:rsidRDefault="00C2313B" w:rsidP="00925F26">
      <w:pPr>
        <w:autoSpaceDE w:val="0"/>
        <w:autoSpaceDN w:val="0"/>
        <w:adjustRightInd w:val="0"/>
        <w:jc w:val="both"/>
        <w:rPr>
          <w:color w:val="000000" w:themeColor="text1"/>
          <w:sz w:val="16"/>
          <w:szCs w:val="16"/>
        </w:rPr>
      </w:pPr>
    </w:p>
    <w:p w14:paraId="3A808A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вышло Постановление ГКО № 7293 О предотвращении срыва комплектации артиллерийских выстрелов в январе и I квартале 1945 года. РГАНИР, Фонд ГКО, д. 348, лл. 172-173 (11012).</w:t>
      </w:r>
    </w:p>
    <w:p w14:paraId="70527649" w14:textId="77777777" w:rsidR="00C2313B" w:rsidRPr="00925F26" w:rsidRDefault="00C2313B" w:rsidP="00925F26">
      <w:pPr>
        <w:autoSpaceDE w:val="0"/>
        <w:autoSpaceDN w:val="0"/>
        <w:adjustRightInd w:val="0"/>
        <w:jc w:val="both"/>
        <w:rPr>
          <w:color w:val="000000" w:themeColor="text1"/>
          <w:sz w:val="16"/>
          <w:szCs w:val="16"/>
        </w:rPr>
      </w:pPr>
    </w:p>
    <w:p w14:paraId="2690B2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вышло Постановление ГКО № 7294 О плане снабжения горюче-смазочными материалами Красной Армии на январь 1945 года. РГАНИР, Фонд ГКО, д. 348, лл. 174-176, 177-198 (11012).</w:t>
      </w:r>
    </w:p>
    <w:p w14:paraId="18273145" w14:textId="77777777" w:rsidR="00C2313B" w:rsidRPr="00925F26" w:rsidRDefault="00C2313B" w:rsidP="00925F26">
      <w:pPr>
        <w:autoSpaceDE w:val="0"/>
        <w:autoSpaceDN w:val="0"/>
        <w:adjustRightInd w:val="0"/>
        <w:jc w:val="both"/>
        <w:rPr>
          <w:color w:val="000000" w:themeColor="text1"/>
          <w:sz w:val="16"/>
          <w:szCs w:val="16"/>
        </w:rPr>
      </w:pPr>
    </w:p>
    <w:p w14:paraId="3299E7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на Балтийском заводе на поточной линии заложены 11-й и 12-й ТЩ типа МТ-2 (10671).</w:t>
      </w:r>
    </w:p>
    <w:p w14:paraId="5558C55D" w14:textId="77777777" w:rsidR="00C2313B" w:rsidRPr="00925F26" w:rsidRDefault="00C2313B" w:rsidP="00925F26">
      <w:pPr>
        <w:autoSpaceDE w:val="0"/>
        <w:autoSpaceDN w:val="0"/>
        <w:adjustRightInd w:val="0"/>
        <w:jc w:val="both"/>
        <w:rPr>
          <w:color w:val="000000" w:themeColor="text1"/>
          <w:sz w:val="16"/>
          <w:szCs w:val="16"/>
        </w:rPr>
      </w:pPr>
    </w:p>
    <w:p w14:paraId="4998568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43B64E8" w14:textId="77777777" w:rsidR="00C2313B" w:rsidRPr="00925F26" w:rsidRDefault="00C2313B" w:rsidP="00925F26">
      <w:pPr>
        <w:autoSpaceDE w:val="0"/>
        <w:autoSpaceDN w:val="0"/>
        <w:adjustRightInd w:val="0"/>
        <w:jc w:val="both"/>
        <w:rPr>
          <w:iCs/>
          <w:color w:val="000000" w:themeColor="text1"/>
          <w:sz w:val="16"/>
          <w:szCs w:val="16"/>
        </w:rPr>
      </w:pPr>
    </w:p>
    <w:p w14:paraId="259B1484" w14:textId="77777777" w:rsidR="002D2573" w:rsidRPr="00925F26" w:rsidRDefault="002D2573" w:rsidP="00925F26">
      <w:pPr>
        <w:jc w:val="both"/>
        <w:rPr>
          <w:color w:val="000000" w:themeColor="text1"/>
          <w:sz w:val="16"/>
          <w:szCs w:val="16"/>
        </w:rPr>
      </w:pPr>
      <w:r w:rsidRPr="00925F26">
        <w:rPr>
          <w:bCs/>
          <w:color w:val="000000" w:themeColor="text1"/>
          <w:sz w:val="16"/>
          <w:szCs w:val="16"/>
        </w:rPr>
        <w:t>9 января</w:t>
      </w:r>
      <w:r w:rsidRPr="00925F26">
        <w:rPr>
          <w:color w:val="000000" w:themeColor="text1"/>
          <w:sz w:val="16"/>
          <w:szCs w:val="16"/>
        </w:rPr>
        <w:t xml:space="preserve"> в 1945 году оперативная сводка Совинформбюро:</w:t>
      </w:r>
    </w:p>
    <w:p w14:paraId="496EC5B9" w14:textId="77777777" w:rsidR="002D2573" w:rsidRPr="00925F26" w:rsidRDefault="002D2573" w:rsidP="00925F26">
      <w:pPr>
        <w:jc w:val="both"/>
        <w:rPr>
          <w:color w:val="000000" w:themeColor="text1"/>
          <w:sz w:val="16"/>
          <w:szCs w:val="16"/>
        </w:rPr>
      </w:pPr>
      <w:r w:rsidRPr="00925F26">
        <w:rPr>
          <w:color w:val="000000" w:themeColor="text1"/>
          <w:sz w:val="16"/>
          <w:szCs w:val="16"/>
        </w:rPr>
        <w:t>«В течение 9 января в районе Будапешта наши войска продолжали бои по уничтожению окружённой в городе группировки противника и, сжимая кольцо окружения, заняли главный ипподром (превращенный немцами в аэродром), городской парк Кбплигет, нефтеперегонный завод, машиностроительный (танкостроительный) завод "Гофхер Шранц", городской район Пештсентэржэбет и очищали от противника городской район Кишпешт. За день боя наши войска заняли в городе более 350 кварталов.</w:t>
      </w:r>
    </w:p>
    <w:p w14:paraId="39A425C5"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наши войска успешно отбивали атаки пехоты и танков противника. В боях за 8 января в этом районе подбито и уничтожено 60 немецких танков.</w:t>
      </w:r>
    </w:p>
    <w:p w14:paraId="6949CF0E" w14:textId="77777777" w:rsidR="002D2573" w:rsidRPr="00925F26" w:rsidRDefault="002D2573" w:rsidP="00925F26">
      <w:pPr>
        <w:jc w:val="both"/>
        <w:rPr>
          <w:color w:val="000000" w:themeColor="text1"/>
          <w:sz w:val="16"/>
          <w:szCs w:val="16"/>
        </w:rPr>
      </w:pPr>
      <w:r w:rsidRPr="00925F26">
        <w:rPr>
          <w:color w:val="000000" w:themeColor="text1"/>
          <w:sz w:val="16"/>
          <w:szCs w:val="16"/>
        </w:rPr>
        <w:t>На северном берегу Дуная северо-восточнее и восточнее города Комарно наши войска, продолжая наступление, овладели крупными населёнными пунктами Солдины, Новая Дяла, Святой Петер, Хетин, Кратке Кеси, Ижа. За 8 января в этом районе наши войска взяли в плен более 1.000 солдат и офицеров противника.</w:t>
      </w:r>
    </w:p>
    <w:p w14:paraId="4F9939C8" w14:textId="77777777" w:rsidR="002D2573" w:rsidRPr="00925F26" w:rsidRDefault="002D2573"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444A8480" w14:textId="77777777" w:rsidR="002D2573" w:rsidRPr="00925F26" w:rsidRDefault="002D2573" w:rsidP="00925F26">
      <w:pPr>
        <w:jc w:val="both"/>
        <w:rPr>
          <w:color w:val="000000" w:themeColor="text1"/>
          <w:sz w:val="16"/>
          <w:szCs w:val="16"/>
        </w:rPr>
      </w:pPr>
      <w:r w:rsidRPr="00925F26">
        <w:rPr>
          <w:color w:val="000000" w:themeColor="text1"/>
          <w:sz w:val="16"/>
          <w:szCs w:val="16"/>
        </w:rPr>
        <w:t>За 8 января в воздушных боях и огнём зенитной артиллерии сбито 13 самолётов противника.</w:t>
      </w:r>
    </w:p>
    <w:p w14:paraId="79C9E9FA" w14:textId="77777777" w:rsidR="002D2573" w:rsidRPr="00925F26" w:rsidRDefault="002D2573" w:rsidP="00925F26">
      <w:pPr>
        <w:jc w:val="both"/>
        <w:rPr>
          <w:color w:val="000000" w:themeColor="text1"/>
          <w:sz w:val="16"/>
          <w:szCs w:val="16"/>
        </w:rPr>
      </w:pPr>
      <w:r w:rsidRPr="00925F26">
        <w:rPr>
          <w:color w:val="000000" w:themeColor="text1"/>
          <w:sz w:val="16"/>
          <w:szCs w:val="16"/>
        </w:rPr>
        <w:t>В районе Будапешта наши войска продолжали вести бои по ликвидации окруженной группировки противника. Советские гвардейские части овладели главным ипподромом, который немцы использовали в качестве аэродрома. Продвигаясь вдоль линии железной дороги, наши войска достигли парка Неплитет. Противник бросил в контратаку танки и самоходные орудия. Однако советские артиллеристы и бронебойщики вынудили немцев отступить. Усиливая нажим, наши штурмовые отряды выбили врага из парка и ведут бои в двух километрах восточнее Дуная. Наши войска, действующие в юго-восточной части города, с боями продвигались вперед и разгромили ряд сильно укреплённых опорных пунктов обороны противника. В городском районе Кишцешт наши штурмовые отряды в течение дня очистили от немцев более ста кварталов. Противник, отступая под ударами наших войск, понёс больше потери в живой силе и технике. Только одна наша стрелковая часть истребила до батальона гитлеровцев, взяла 200 пленных и захватила самоходное орудие, 26 станковых пулемётов, 300 винтовок и автоматов, пороховой склад и другие трофеи.</w:t>
      </w:r>
    </w:p>
    <w:p w14:paraId="522226F6"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продолжались ожесточённые бои. Противник пополнил свои потрёпанные дивизии и с утра возобновил атаки. В районе магистрали Естергом — Будапешт атаки противника успешно отбивались нашими войсками. На одном участке небольшой группе вражеских танков и пехоте удалось прорваться в расположение наших войск. Советские пехотинцы и артиллеристы быстро обошли и отрезали гитлеровцев. Прорвавшаяся группа противника полностью уничтожена.</w:t>
      </w:r>
    </w:p>
    <w:p w14:paraId="033D910D" w14:textId="77777777" w:rsidR="002D2573" w:rsidRPr="00925F26" w:rsidRDefault="002D2573" w:rsidP="00925F26">
      <w:pPr>
        <w:jc w:val="both"/>
        <w:rPr>
          <w:color w:val="000000" w:themeColor="text1"/>
          <w:sz w:val="16"/>
          <w:szCs w:val="16"/>
        </w:rPr>
      </w:pPr>
      <w:r w:rsidRPr="00925F26">
        <w:rPr>
          <w:color w:val="000000" w:themeColor="text1"/>
          <w:sz w:val="16"/>
          <w:szCs w:val="16"/>
        </w:rPr>
        <w:t>Западнее Будапешта противник бросил в бой крупные силы танков, пытаясь выйти на коммуникации наших войск. Встретив решительное сопротивление советских частей и понеся большие потери, немцы во второй половине дня изменили тактику. Они пытались мелкими группами прорваться через наши боевые порядки. Артиллерийским огнем вражеские отряды были рассеяны. Контрударом наши войска потеснили противника и улучшили свои позиции. По неполным данным, в этих боях уничтожено более 1.500 немецких солдат и офицеров, 18 орудий и 8 бронетранспортёров. На поле боя остались десятки сгоревших и подбитых вражеских танков и самоходных орудий.</w:t>
      </w:r>
    </w:p>
    <w:p w14:paraId="6BF23F7D" w14:textId="77777777" w:rsidR="002D2573" w:rsidRPr="00925F26" w:rsidRDefault="002D2573" w:rsidP="00925F26">
      <w:pPr>
        <w:jc w:val="both"/>
        <w:rPr>
          <w:color w:val="000000" w:themeColor="text1"/>
          <w:sz w:val="16"/>
          <w:szCs w:val="16"/>
        </w:rPr>
      </w:pPr>
      <w:r w:rsidRPr="00925F26">
        <w:rPr>
          <w:color w:val="000000" w:themeColor="text1"/>
          <w:sz w:val="16"/>
          <w:szCs w:val="16"/>
        </w:rPr>
        <w:t xml:space="preserve">Наша авиация </w:t>
      </w:r>
      <w:proofErr w:type="gramStart"/>
      <w:r w:rsidRPr="00925F26">
        <w:rPr>
          <w:color w:val="000000" w:themeColor="text1"/>
          <w:sz w:val="16"/>
          <w:szCs w:val="16"/>
        </w:rPr>
        <w:t>бомбо-штурмовыми</w:t>
      </w:r>
      <w:proofErr w:type="gramEnd"/>
      <w:r w:rsidRPr="00925F26">
        <w:rPr>
          <w:color w:val="000000" w:themeColor="text1"/>
          <w:sz w:val="16"/>
          <w:szCs w:val="16"/>
        </w:rPr>
        <w:t xml:space="preserve"> ударами уничтожила 5 танков, 20 автомашин и подавила огонь нескольких артиллерийских батарей противника. В воздушных боях за день наши лётчики сбили 10 немецких самолетов.</w:t>
      </w:r>
    </w:p>
    <w:p w14:paraId="477A9F37" w14:textId="77777777" w:rsidR="002D2573" w:rsidRPr="00925F26" w:rsidRDefault="002D2573" w:rsidP="00925F26">
      <w:pPr>
        <w:jc w:val="both"/>
        <w:rPr>
          <w:color w:val="000000" w:themeColor="text1"/>
          <w:sz w:val="16"/>
          <w:szCs w:val="16"/>
        </w:rPr>
      </w:pPr>
      <w:r w:rsidRPr="00925F26">
        <w:rPr>
          <w:color w:val="000000" w:themeColor="text1"/>
          <w:sz w:val="16"/>
          <w:szCs w:val="16"/>
        </w:rPr>
        <w:t>На северном берегу Дуная, северо-восточнее и восточнее города Комарно, наши войска вели наступательные бои. Противник подтянул на этот участок свежие силы и пытался контратаками восстановить положение. Советские части сильным огнём из всех видов оружия отбрасывают врага и настойчиво продвигаются вперёд. После ожесточенного боя наши войска выбили немцев из сильно укреплённого опорного пункта Солдины. Советские части овладели также крупным населенным пунктом Ижа, расположенным на берегу Дуная в 6 километрах восточнее города Комарно. Противник оставил на поле боя несколько сот трупов своих солдат и офицеров. Наши войска захватили много оружия и военных материалов.</w:t>
      </w:r>
    </w:p>
    <w:p w14:paraId="463AD4AD" w14:textId="77777777" w:rsidR="002D2573" w:rsidRPr="00925F26" w:rsidRDefault="002D2573" w:rsidP="00925F26">
      <w:pPr>
        <w:jc w:val="both"/>
        <w:rPr>
          <w:color w:val="000000" w:themeColor="text1"/>
          <w:sz w:val="16"/>
          <w:szCs w:val="16"/>
        </w:rPr>
      </w:pPr>
      <w:r w:rsidRPr="00925F26">
        <w:rPr>
          <w:color w:val="000000" w:themeColor="text1"/>
          <w:sz w:val="16"/>
          <w:szCs w:val="16"/>
        </w:rPr>
        <w:t xml:space="preserve">В Восточной Пруссии наши разведывательные подразделения захватили секретный приказ командира 1-го немецкого парашютно-танкового фузилерного батальона «Герман Геринг», разосланный командирам рот — лейтенантам Ланге, Книсту, Грабнеру и Вагачу. В приказе говорится: «B случае захвата в плен русских солдат и офицеров — одного или двух из них немедленно доставлять в штаб батальона, а всех остальных </w:t>
      </w:r>
      <w:proofErr w:type="gramStart"/>
      <w:r w:rsidRPr="00925F26">
        <w:rPr>
          <w:color w:val="000000" w:themeColor="text1"/>
          <w:sz w:val="16"/>
          <w:szCs w:val="16"/>
        </w:rPr>
        <w:t>расстреливать»...</w:t>
      </w:r>
      <w:proofErr w:type="gramEnd"/>
      <w:r w:rsidRPr="00925F26">
        <w:rPr>
          <w:color w:val="000000" w:themeColor="text1"/>
          <w:sz w:val="16"/>
          <w:szCs w:val="16"/>
        </w:rPr>
        <w:t xml:space="preserve"> На приказе имеется следующая надпись: «Только для командиров рот. После ознакомления сжечь».</w:t>
      </w:r>
    </w:p>
    <w:p w14:paraId="59FDC690" w14:textId="77777777" w:rsidR="002D2573" w:rsidRPr="00925F26" w:rsidRDefault="002D2573" w:rsidP="00925F26">
      <w:pPr>
        <w:jc w:val="both"/>
        <w:rPr>
          <w:color w:val="000000" w:themeColor="text1"/>
          <w:sz w:val="16"/>
          <w:szCs w:val="16"/>
        </w:rPr>
      </w:pPr>
      <w:r w:rsidRPr="00925F26">
        <w:rPr>
          <w:color w:val="000000" w:themeColor="text1"/>
          <w:sz w:val="16"/>
          <w:szCs w:val="16"/>
        </w:rPr>
        <w:t>В этом приказе нет ничего нового. Он лишь подтверждает то, что уже давно известно, а именно: что гитлеровские мерзавцы истребляют советских военнопленных. Повторяя свои преступные приказы об убийстве военнопленных, фашистские изверги в то же время стремятся сохранить это в тайне. Приказы, конечно, можно сжечь, можно уничтожить и некоторые другие уличающие документы. Однако это не спасёт гитлеровских палачей и убийц. Им не удастся спрятать концы в воду и уйти от ответственности за все свои преступления.» (15004).</w:t>
      </w:r>
    </w:p>
    <w:p w14:paraId="77B77AB8" w14:textId="77777777" w:rsidR="002D2573" w:rsidRPr="00925F26" w:rsidRDefault="002D2573" w:rsidP="00925F26">
      <w:pPr>
        <w:jc w:val="both"/>
        <w:rPr>
          <w:color w:val="000000" w:themeColor="text1"/>
          <w:sz w:val="16"/>
          <w:szCs w:val="16"/>
        </w:rPr>
      </w:pPr>
    </w:p>
    <w:p w14:paraId="54EBE1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и 27 января 1945 на будапештском направлении потребовалась срочная организация взаимодействия контратакующих советских войск с авиацией (518,231).</w:t>
      </w:r>
    </w:p>
    <w:p w14:paraId="78267608" w14:textId="77777777" w:rsidR="00C2313B" w:rsidRPr="00925F26" w:rsidRDefault="00C2313B" w:rsidP="00925F26">
      <w:pPr>
        <w:autoSpaceDE w:val="0"/>
        <w:autoSpaceDN w:val="0"/>
        <w:adjustRightInd w:val="0"/>
        <w:jc w:val="both"/>
        <w:rPr>
          <w:color w:val="000000" w:themeColor="text1"/>
          <w:sz w:val="16"/>
          <w:szCs w:val="16"/>
        </w:rPr>
      </w:pPr>
    </w:p>
    <w:p w14:paraId="768B12D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января 1945 фельдмаршал Гудериан предупредил Гитлера о том, что СССР готовит новое наступление на Востоке (4962).</w:t>
      </w:r>
    </w:p>
    <w:p w14:paraId="505E4E05"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CE3EB2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EC15976" w14:textId="77777777" w:rsidR="00C2313B" w:rsidRPr="00925F26" w:rsidRDefault="00C2313B" w:rsidP="00925F26">
      <w:pPr>
        <w:autoSpaceDE w:val="0"/>
        <w:autoSpaceDN w:val="0"/>
        <w:adjustRightInd w:val="0"/>
        <w:jc w:val="both"/>
        <w:rPr>
          <w:iCs/>
          <w:color w:val="000000" w:themeColor="text1"/>
          <w:sz w:val="16"/>
          <w:szCs w:val="16"/>
        </w:rPr>
      </w:pPr>
    </w:p>
    <w:p w14:paraId="3A91EE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года вышел Приказ НКВД СССР №0021 “О мероприятиях по улучшению работы 1 (учетно-архивного) спецотдела НКВД СССР”, которым предписывалось закончить в течение 1946 года работу по созданию "единого персонального учета преступников, путем объединения оперативно-справочной картотеки 1 спецотдела с картотеками, принятыми в 1941 году от ГУМ и ГУЛАГ НКВД СССР" (8983).</w:t>
      </w:r>
    </w:p>
    <w:p w14:paraId="0B715DB8" w14:textId="77777777" w:rsidR="00C2313B" w:rsidRPr="00925F26" w:rsidRDefault="00C2313B" w:rsidP="00925F26">
      <w:pPr>
        <w:autoSpaceDE w:val="0"/>
        <w:autoSpaceDN w:val="0"/>
        <w:adjustRightInd w:val="0"/>
        <w:jc w:val="both"/>
        <w:rPr>
          <w:color w:val="000000" w:themeColor="text1"/>
          <w:sz w:val="16"/>
          <w:szCs w:val="16"/>
        </w:rPr>
      </w:pPr>
    </w:p>
    <w:p w14:paraId="172514B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4988527" w14:textId="77777777" w:rsidR="00C2313B" w:rsidRPr="00925F26" w:rsidRDefault="00C2313B" w:rsidP="00925F26">
      <w:pPr>
        <w:autoSpaceDE w:val="0"/>
        <w:autoSpaceDN w:val="0"/>
        <w:adjustRightInd w:val="0"/>
        <w:jc w:val="both"/>
        <w:rPr>
          <w:iCs/>
          <w:color w:val="000000" w:themeColor="text1"/>
          <w:sz w:val="16"/>
          <w:szCs w:val="16"/>
        </w:rPr>
      </w:pPr>
    </w:p>
    <w:p w14:paraId="0A0C6A32" w14:textId="0AAC5188" w:rsidR="005A1318" w:rsidRPr="00925F26" w:rsidRDefault="005A1318" w:rsidP="00925F26">
      <w:pPr>
        <w:jc w:val="both"/>
        <w:rPr>
          <w:color w:val="000000" w:themeColor="text1"/>
          <w:sz w:val="16"/>
          <w:szCs w:val="16"/>
        </w:rPr>
      </w:pPr>
      <w:r w:rsidRPr="00925F26">
        <w:rPr>
          <w:color w:val="000000" w:themeColor="text1"/>
          <w:sz w:val="16"/>
          <w:szCs w:val="16"/>
        </w:rPr>
        <w:t xml:space="preserve">9 января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C-97 Stratofreighter (Боинг модель 367) устанавливает трансконтинентальный рекорд, пролетев 2323 мили из Сиэтла в Вашингтон, D.C., за 6 часов и 4 мин, со средней скоростью 383 миль в час (22675).</w:t>
      </w:r>
    </w:p>
    <w:p w14:paraId="1952C447" w14:textId="77777777" w:rsidR="005A1318" w:rsidRPr="00925F26" w:rsidRDefault="005A1318" w:rsidP="00925F26">
      <w:pPr>
        <w:jc w:val="both"/>
        <w:rPr>
          <w:color w:val="000000" w:themeColor="text1"/>
          <w:sz w:val="16"/>
          <w:szCs w:val="16"/>
        </w:rPr>
      </w:pPr>
    </w:p>
    <w:p w14:paraId="6A38E6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января 1945 американские войска высадились на Лузоне, за 107 миль от Манилы (2100).</w:t>
      </w:r>
    </w:p>
    <w:p w14:paraId="23EB26CE" w14:textId="77777777" w:rsidR="00C2313B" w:rsidRPr="00925F26" w:rsidRDefault="00C2313B" w:rsidP="00925F26">
      <w:pPr>
        <w:autoSpaceDE w:val="0"/>
        <w:autoSpaceDN w:val="0"/>
        <w:adjustRightInd w:val="0"/>
        <w:jc w:val="both"/>
        <w:rPr>
          <w:color w:val="000000" w:themeColor="text1"/>
          <w:sz w:val="16"/>
          <w:szCs w:val="16"/>
        </w:rPr>
      </w:pPr>
    </w:p>
    <w:p w14:paraId="0F3C6137" w14:textId="77777777" w:rsidR="002D2573" w:rsidRPr="00925F26" w:rsidRDefault="002D2573" w:rsidP="00925F26">
      <w:pPr>
        <w:jc w:val="both"/>
        <w:rPr>
          <w:color w:val="000000" w:themeColor="text1"/>
          <w:sz w:val="16"/>
          <w:szCs w:val="16"/>
        </w:rPr>
      </w:pPr>
      <w:r w:rsidRPr="00925F26">
        <w:rPr>
          <w:bCs/>
          <w:color w:val="000000" w:themeColor="text1"/>
          <w:sz w:val="16"/>
          <w:szCs w:val="16"/>
        </w:rPr>
        <w:t>9 января</w:t>
      </w:r>
      <w:r w:rsidRPr="00925F26">
        <w:rPr>
          <w:color w:val="000000" w:themeColor="text1"/>
          <w:sz w:val="16"/>
          <w:szCs w:val="16"/>
        </w:rPr>
        <w:t xml:space="preserve"> в 1945 году части 6-й американской армии высадились на острове Лузон, Филлипинского архипелага (15004).</w:t>
      </w:r>
    </w:p>
    <w:p w14:paraId="1A6A2D2F" w14:textId="77777777" w:rsidR="002D2573" w:rsidRPr="00925F26" w:rsidRDefault="002D2573" w:rsidP="00925F26">
      <w:pPr>
        <w:jc w:val="both"/>
        <w:rPr>
          <w:color w:val="000000" w:themeColor="text1"/>
          <w:sz w:val="16"/>
          <w:szCs w:val="16"/>
        </w:rPr>
      </w:pPr>
    </w:p>
    <w:p w14:paraId="7654325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января 1945 американские войска высадили десант на Филиппинах к северу от Манилы (4962).</w:t>
      </w:r>
    </w:p>
    <w:p w14:paraId="171D5F9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0A011F8" w14:textId="77777777" w:rsidR="005A1318" w:rsidRPr="00925F26" w:rsidRDefault="005A1318" w:rsidP="00925F26">
      <w:pPr>
        <w:jc w:val="both"/>
        <w:rPr>
          <w:color w:val="000000" w:themeColor="text1"/>
          <w:sz w:val="16"/>
          <w:szCs w:val="16"/>
        </w:rPr>
      </w:pPr>
      <w:r w:rsidRPr="00925F26">
        <w:rPr>
          <w:color w:val="000000" w:themeColor="text1"/>
          <w:sz w:val="16"/>
          <w:szCs w:val="16"/>
        </w:rPr>
        <w:t>9 января 1945 авианосцы оперативной группы 38 нанесли удар по японским целям в Формозе и Миякодзима в непогоду, совершив 717 самолето-пролетов и сбросив 212 тонн (192 325 кг) бомб. Они сбили все четыре японских самолета, с которыми столкнулись в воздухе, и разбили еще 42 на земле в обмен на потерю 10 самолетов США. Они также потопили ряд торговых судов и малых военно-морских судов. Это последний из семи дней поддержки оперативной группы 38 при высадке на Лингайен, в течение которой она совершила 3030 боевых вылетов, сбросила 9110 бомб - всего около 700 тонн (635 036 кг) бомб - и потеряла 46 самолетов в боях и 40 самолетов. небоевые причины (20371).</w:t>
      </w:r>
    </w:p>
    <w:p w14:paraId="67DE1429" w14:textId="77777777" w:rsidR="005A1318" w:rsidRPr="00925F26" w:rsidRDefault="005A1318" w:rsidP="00925F26">
      <w:pPr>
        <w:jc w:val="both"/>
        <w:rPr>
          <w:color w:val="000000" w:themeColor="text1"/>
          <w:sz w:val="16"/>
          <w:szCs w:val="16"/>
        </w:rPr>
      </w:pPr>
    </w:p>
    <w:p w14:paraId="4DB84428" w14:textId="77777777" w:rsidR="005A1318" w:rsidRPr="00925F26" w:rsidRDefault="005A1318" w:rsidP="00925F26">
      <w:pPr>
        <w:jc w:val="both"/>
        <w:rPr>
          <w:color w:val="000000" w:themeColor="text1"/>
          <w:sz w:val="16"/>
          <w:szCs w:val="16"/>
        </w:rPr>
      </w:pPr>
      <w:r w:rsidRPr="00925F26">
        <w:rPr>
          <w:color w:val="000000" w:themeColor="text1"/>
          <w:sz w:val="16"/>
          <w:szCs w:val="16"/>
        </w:rPr>
        <w:t>9 января 1945 B-29, базирующиеся в Куньмине , Китай, атакуют японские суда вдоль побережья Формозы, а базирующиеся на Марианских островах B-29 сбрасывают 122 тонны (110 678 кг) бомб на Японию.</w:t>
      </w:r>
    </w:p>
    <w:p w14:paraId="311B9583" w14:textId="77777777" w:rsidR="005A1318" w:rsidRPr="00925F26" w:rsidRDefault="005A1318" w:rsidP="00925F26">
      <w:pPr>
        <w:jc w:val="both"/>
        <w:rPr>
          <w:color w:val="000000" w:themeColor="text1"/>
          <w:sz w:val="16"/>
          <w:szCs w:val="16"/>
        </w:rPr>
      </w:pPr>
    </w:p>
    <w:p w14:paraId="5CE938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Вечером 9 января 1945 произошла драка пилотов камикадзе Ока категории «А» и 215 пилотов категории «D». В первую категорию входили летчики, отобранные в учебных авиачастях и прошедшие специальную летную подготовку на самолетах Ока, а во вторую категорию – все остальные, включая и новичков.</w:t>
      </w:r>
    </w:p>
    <w:p w14:paraId="7A2701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Пока Главный морской штаб занимался проблемой доставки самолетов-снарядов, пилоты корпуса «Боги грома» пребывали в унынии. Дисциплина среди летчиков падала. Внешне пилоты жили достаточно веселой жизнью. Однако ждать смерти оказалось труднее, чем идти на саму смерть. Чтобы поднять дух летчиков корпуса, командование организовало им поездку в Токио.</w:t>
      </w:r>
    </w:p>
    <w:p w14:paraId="458271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Там они побывали у стен императорского дворца, посетили храмы Мэйдзи, Того и Ясукуни.</w:t>
      </w:r>
    </w:p>
    <w:p w14:paraId="3858DF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корпус прибыла большая группа новичков, окончивших 90-дневные учебные курсы офицеров-резервистов. Они получили лишь общую летную подготовку и умели только кое-как совершать горизонтальный полет.</w:t>
      </w:r>
    </w:p>
    <w:p w14:paraId="44747C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Случай для японской армии беспрецедентный. Побоище сумел прекратить только лейтенант О. Соити. Изобретатель самолета-снаряда пользовался среди пилотов-камикадзе непререкаемым авторитетом.</w:t>
      </w:r>
    </w:p>
    <w:p w14:paraId="43CCDB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Разбирательство было долгим и тщательным. Под суд отдали дежурного офицера и двух пилотов. Впоследствии один из них был помилован, а второй встретил окончание войны в тюрьме. Судьба дежурного офицера осталась неизвестной. Командование сделало выводы о регламенте свободного времени летчиков-камикадзе. В середине января для них организовали массовое посещение родственников. 17 января в корпус нанес визит посланник императора, он поблагодарил летчиков за доблестный дух и заверил, что нация будет молиться за их души.</w:t>
      </w:r>
    </w:p>
    <w:p w14:paraId="250737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Между тем ситуация на фронте ухудшалась. Командование приняло решение по возможности максимально рассредоточить корпус. Было намечено к концу января на Формозу, к 50 уже имеющимся, перебазировать еще 30 самолетов-снарядов. Кроме того, 40 реактивных снарядов решили доставить в Сингапур, 50 – на Окинаву и по 27 на авиабазы Каноя и Миядзаки (остров Кюсю). В феврале и марте было запланировано пополнение корпуса самолетами и летчиками из авиабаз Японии и Китая (11686).</w:t>
      </w:r>
    </w:p>
    <w:p w14:paraId="20F95617" w14:textId="77777777" w:rsidR="00C2313B" w:rsidRPr="00925F26" w:rsidRDefault="00C2313B" w:rsidP="00925F26">
      <w:pPr>
        <w:autoSpaceDE w:val="0"/>
        <w:autoSpaceDN w:val="0"/>
        <w:adjustRightInd w:val="0"/>
        <w:jc w:val="both"/>
        <w:rPr>
          <w:color w:val="000000" w:themeColor="text1"/>
          <w:sz w:val="16"/>
          <w:szCs w:val="16"/>
        </w:rPr>
      </w:pPr>
    </w:p>
    <w:p w14:paraId="2369EAFD" w14:textId="77777777" w:rsidR="002A04DB" w:rsidRPr="00925F26" w:rsidRDefault="002A04DB" w:rsidP="00925F26">
      <w:pPr>
        <w:jc w:val="both"/>
        <w:rPr>
          <w:color w:val="000000" w:themeColor="text1"/>
          <w:sz w:val="16"/>
          <w:szCs w:val="16"/>
        </w:rPr>
      </w:pPr>
      <w:r w:rsidRPr="00925F26">
        <w:rPr>
          <w:color w:val="000000" w:themeColor="text1"/>
          <w:sz w:val="16"/>
          <w:szCs w:val="16"/>
        </w:rPr>
        <w:t>9 января 1945 войска США вторгаются на Лусон, высадившись в заливе Лингаен. Днем камикадзе, атакующие корабли в заливе, повреждают линкор USS Mississippi и легкий крейсер USS Columbia (20371).</w:t>
      </w:r>
    </w:p>
    <w:p w14:paraId="3168B065" w14:textId="77777777" w:rsidR="002A04DB" w:rsidRPr="00925F26" w:rsidRDefault="002A04DB" w:rsidP="00925F26">
      <w:pPr>
        <w:jc w:val="both"/>
        <w:rPr>
          <w:color w:val="000000" w:themeColor="text1"/>
          <w:sz w:val="16"/>
          <w:szCs w:val="16"/>
        </w:rPr>
      </w:pPr>
    </w:p>
    <w:p w14:paraId="186885C7" w14:textId="77777777" w:rsidR="002D2573" w:rsidRPr="00925F26" w:rsidRDefault="002D2573" w:rsidP="00925F26">
      <w:pPr>
        <w:jc w:val="both"/>
        <w:rPr>
          <w:color w:val="000000" w:themeColor="text1"/>
          <w:sz w:val="16"/>
          <w:szCs w:val="16"/>
        </w:rPr>
      </w:pPr>
      <w:r w:rsidRPr="00925F26">
        <w:rPr>
          <w:bCs/>
          <w:color w:val="000000" w:themeColor="text1"/>
          <w:sz w:val="16"/>
          <w:szCs w:val="16"/>
        </w:rPr>
        <w:t>9 января</w:t>
      </w:r>
      <w:r w:rsidRPr="00925F26">
        <w:rPr>
          <w:color w:val="000000" w:themeColor="text1"/>
          <w:sz w:val="16"/>
          <w:szCs w:val="16"/>
        </w:rPr>
        <w:t xml:space="preserve"> в 1945 году подписание представителями английского командования и ЭЛАС соглашения о перемирии (15004).</w:t>
      </w:r>
    </w:p>
    <w:p w14:paraId="7CE0D976" w14:textId="77777777" w:rsidR="002D2573" w:rsidRPr="00925F26" w:rsidRDefault="002D2573" w:rsidP="00925F26">
      <w:pPr>
        <w:jc w:val="both"/>
        <w:rPr>
          <w:color w:val="000000" w:themeColor="text1"/>
          <w:sz w:val="16"/>
          <w:szCs w:val="16"/>
        </w:rPr>
      </w:pPr>
    </w:p>
    <w:p w14:paraId="5903909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8CE82C3" w14:textId="77777777" w:rsidR="00C2313B" w:rsidRPr="00925F26" w:rsidRDefault="00C2313B" w:rsidP="00925F26">
      <w:pPr>
        <w:autoSpaceDE w:val="0"/>
        <w:autoSpaceDN w:val="0"/>
        <w:adjustRightInd w:val="0"/>
        <w:jc w:val="both"/>
        <w:rPr>
          <w:iCs/>
          <w:color w:val="000000" w:themeColor="text1"/>
          <w:sz w:val="16"/>
          <w:szCs w:val="16"/>
        </w:rPr>
      </w:pPr>
    </w:p>
    <w:p w14:paraId="257B5C7E" w14:textId="77777777" w:rsidR="002D2573" w:rsidRPr="00925F26" w:rsidRDefault="002D2573" w:rsidP="00925F26">
      <w:pPr>
        <w:jc w:val="both"/>
        <w:rPr>
          <w:color w:val="000000" w:themeColor="text1"/>
          <w:sz w:val="16"/>
          <w:szCs w:val="16"/>
        </w:rPr>
      </w:pPr>
      <w:r w:rsidRPr="00925F26">
        <w:rPr>
          <w:bCs/>
          <w:color w:val="000000" w:themeColor="text1"/>
          <w:sz w:val="16"/>
          <w:szCs w:val="16"/>
        </w:rPr>
        <w:t>10 января</w:t>
      </w:r>
      <w:r w:rsidRPr="00925F26">
        <w:rPr>
          <w:color w:val="000000" w:themeColor="text1"/>
          <w:sz w:val="16"/>
          <w:szCs w:val="16"/>
        </w:rPr>
        <w:t xml:space="preserve"> в 1945 году состоялся первый полет истребителя-перехватчика Су-7 с ракетным ускорителем РД-1ХЗ (15005).</w:t>
      </w:r>
    </w:p>
    <w:p w14:paraId="089805C0" w14:textId="77777777" w:rsidR="002D2573" w:rsidRPr="00925F26" w:rsidRDefault="002D2573" w:rsidP="00925F26">
      <w:pPr>
        <w:jc w:val="both"/>
        <w:rPr>
          <w:color w:val="000000" w:themeColor="text1"/>
          <w:sz w:val="16"/>
          <w:szCs w:val="16"/>
        </w:rPr>
      </w:pPr>
    </w:p>
    <w:p w14:paraId="4B213E29"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10 января 1945 состояние опытного строительства на 21 заводе было следующим:</w:t>
      </w:r>
    </w:p>
    <w:p w14:paraId="555A9990"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Изделие 120 - (</w:t>
      </w:r>
      <w:proofErr w:type="gramStart"/>
      <w:r w:rsidRPr="00925F26">
        <w:rPr>
          <w:color w:val="000000" w:themeColor="text1"/>
          <w:sz w:val="16"/>
          <w:szCs w:val="16"/>
        </w:rPr>
        <w:t>Ла-7</w:t>
      </w:r>
      <w:proofErr w:type="gramEnd"/>
      <w:r w:rsidRPr="00925F26">
        <w:rPr>
          <w:color w:val="000000" w:themeColor="text1"/>
          <w:sz w:val="16"/>
          <w:szCs w:val="16"/>
        </w:rPr>
        <w:t xml:space="preserve"> облегченный с АШ-83) - строительство закончено. ВГ-82 - снят, т.к. Швецов не разрешил его ставить на этот мотор. Полетный вес - 3132 (по взвешиванию). По данным аэродинамического расчета - макс. Скорость у земли - 6-5 км/час, на форсаже - 649 км/час., на 1 гр. - 698 (на 3800), с форсажем - 708 (на 2200), на 23 гр. - 728 на 7500 м.</w:t>
      </w:r>
    </w:p>
    <w:p w14:paraId="0FC20E05"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Летные испытания задерживаются ввиду неудовлетворительных результатов статиспытаний ламинаризированного крыла (разрушение носков на 70%.</w:t>
      </w:r>
    </w:p>
    <w:p w14:paraId="22A08E17"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Приступлен к сборке 120 дублерр. Предполагаемый срок окончания - конец декабря</w:t>
      </w:r>
    </w:p>
    <w:p w14:paraId="0477CBA5"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Проектирование в КБ</w:t>
      </w:r>
    </w:p>
    <w:p w14:paraId="02CC30C4"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По заданию ГК, ОКБ з-да № 21 занимается разработкой чертежей облегченного с-та по типу 124 изделия с АШ-72. С-т цельнометаллический, крыло ламинаризированное, профиль ЦАГИ-2. Воорружение 2х23мм, возможно 4х23мм (738,34).</w:t>
      </w:r>
    </w:p>
    <w:p w14:paraId="6E778F0A" w14:textId="77777777" w:rsidR="00C2313B" w:rsidRPr="00925F26" w:rsidRDefault="00C2313B" w:rsidP="00925F26">
      <w:pPr>
        <w:widowControl w:val="0"/>
        <w:autoSpaceDE w:val="0"/>
        <w:autoSpaceDN w:val="0"/>
        <w:adjustRightInd w:val="0"/>
        <w:jc w:val="both"/>
        <w:rPr>
          <w:color w:val="000000" w:themeColor="text1"/>
          <w:sz w:val="16"/>
          <w:szCs w:val="16"/>
        </w:rPr>
      </w:pPr>
    </w:p>
    <w:p w14:paraId="7BB769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 января 1945 года А. Шахурин писал письмо зам. председателя СНК Маленкову Г.М.</w:t>
      </w:r>
    </w:p>
    <w:p w14:paraId="4658F4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целях увековечения памяти В.П. Чкалова постановлением СНК № 1357 от 27 декабря 1939 года установлены премии им. Чкалова, присуждаемые 15 декабря каждого года авиаконструкторам за создание лучшего самолета и мотора.</w:t>
      </w:r>
    </w:p>
    <w:p w14:paraId="5DA6E2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годы войны представление авиаконструкторов на соискание премий им. В.П. Чкалова и присуждение премий не производилось.</w:t>
      </w:r>
    </w:p>
    <w:p w14:paraId="6658AC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НКАП ходатайствует о присуждении премий им. Чкалова за 1944 год следующим конструкторам:</w:t>
      </w:r>
    </w:p>
    <w:p w14:paraId="72EF6F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Первой премии – гл. конструктору Яковлеву А.С. за самолет Як-3 с мотором ВК-107А</w:t>
      </w:r>
    </w:p>
    <w:p w14:paraId="66A09B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Второй премии – гл. конструктору Климову В.Я. за мотор ВК-107 А (8959).</w:t>
      </w:r>
    </w:p>
    <w:p w14:paraId="3A6F1FCA" w14:textId="77777777" w:rsidR="00C2313B" w:rsidRPr="00925F26" w:rsidRDefault="00C2313B" w:rsidP="00925F26">
      <w:pPr>
        <w:autoSpaceDE w:val="0"/>
        <w:autoSpaceDN w:val="0"/>
        <w:adjustRightInd w:val="0"/>
        <w:jc w:val="both"/>
        <w:rPr>
          <w:color w:val="000000" w:themeColor="text1"/>
          <w:sz w:val="16"/>
          <w:szCs w:val="16"/>
        </w:rPr>
      </w:pPr>
    </w:p>
    <w:p w14:paraId="5423529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A233168" w14:textId="77777777" w:rsidR="00C2313B" w:rsidRPr="00925F26" w:rsidRDefault="00C2313B" w:rsidP="00925F26">
      <w:pPr>
        <w:autoSpaceDE w:val="0"/>
        <w:autoSpaceDN w:val="0"/>
        <w:adjustRightInd w:val="0"/>
        <w:jc w:val="both"/>
        <w:rPr>
          <w:iCs/>
          <w:color w:val="000000" w:themeColor="text1"/>
          <w:sz w:val="16"/>
          <w:szCs w:val="16"/>
        </w:rPr>
      </w:pPr>
    </w:p>
    <w:p w14:paraId="632B4D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10 января 1945 г. в Харькове здесь было выпущено 25 танков Т-44А (по отчету нар</w:t>
      </w:r>
      <w:r w:rsidRPr="00925F26">
        <w:rPr>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925F26">
        <w:rPr>
          <w:color w:val="000000" w:themeColor="text1"/>
          <w:sz w:val="16"/>
          <w:szCs w:val="16"/>
        </w:rPr>
        <w:softHyphen/>
        <w:t>во танков Т-44А, ведущееся в Харькове под названием «Т-44 первой серии», пошло ритмично.</w:t>
      </w:r>
    </w:p>
    <w:p w14:paraId="0F4834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925F26">
        <w:rPr>
          <w:color w:val="000000" w:themeColor="text1"/>
          <w:sz w:val="16"/>
          <w:szCs w:val="16"/>
        </w:rPr>
        <w:softHyphen/>
        <w:t>шиеся в течение месяца. Перед новым 1945 г. танк был от</w:t>
      </w:r>
      <w:r w:rsidRPr="00925F26">
        <w:rPr>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925F26">
        <w:rPr>
          <w:color w:val="000000" w:themeColor="text1"/>
          <w:sz w:val="16"/>
          <w:szCs w:val="16"/>
        </w:rPr>
        <w:softHyphen/>
        <w:t>та распоряжением по НКТП на заводе № 75 (г. Харьков) на</w:t>
      </w:r>
      <w:r w:rsidRPr="00925F26">
        <w:rPr>
          <w:color w:val="000000" w:themeColor="text1"/>
          <w:sz w:val="16"/>
          <w:szCs w:val="16"/>
        </w:rPr>
        <w:softHyphen/>
        <w:t xml:space="preserve">чалось серийное производство танка Т-44 «валовой серии» (Т-44Б). </w:t>
      </w:r>
      <w:proofErr w:type="gramStart"/>
      <w:r w:rsidRPr="00925F26">
        <w:rPr>
          <w:color w:val="000000" w:themeColor="text1"/>
          <w:sz w:val="16"/>
          <w:szCs w:val="16"/>
        </w:rPr>
        <w:t>Согласно планов</w:t>
      </w:r>
      <w:proofErr w:type="gramEnd"/>
      <w:r w:rsidRPr="00925F26">
        <w:rPr>
          <w:color w:val="000000" w:themeColor="text1"/>
          <w:sz w:val="16"/>
          <w:szCs w:val="16"/>
        </w:rPr>
        <w:t xml:space="preserve"> НКТП до конца 1945 г. должно бы ло быть изготовлено 850 шт. Т-44Б при общем заказе 1200 боевых машин. Но первые танки, сдаваемые </w:t>
      </w:r>
      <w:proofErr w:type="gramStart"/>
      <w:r w:rsidRPr="00925F26">
        <w:rPr>
          <w:color w:val="000000" w:themeColor="text1"/>
          <w:sz w:val="16"/>
          <w:szCs w:val="16"/>
        </w:rPr>
        <w:t>заводом</w:t>
      </w:r>
      <w:proofErr w:type="gramEnd"/>
      <w:r w:rsidRPr="00925F26">
        <w:rPr>
          <w:color w:val="000000" w:themeColor="text1"/>
          <w:sz w:val="16"/>
          <w:szCs w:val="16"/>
        </w:rPr>
        <w:t xml:space="preserve"> еще считались «ограниченно годными», так как некоторые но</w:t>
      </w:r>
      <w:r w:rsidRPr="00925F26">
        <w:rPr>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925F26">
        <w:rPr>
          <w:color w:val="000000" w:themeColor="text1"/>
          <w:sz w:val="16"/>
          <w:szCs w:val="16"/>
        </w:rPr>
        <w:softHyphen/>
        <w:t>деления, тогда как завод продолжал «вылизывать» их в про</w:t>
      </w:r>
      <w:r w:rsidRPr="00925F26">
        <w:rPr>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925F26">
        <w:rPr>
          <w:color w:val="000000" w:themeColor="text1"/>
          <w:sz w:val="16"/>
          <w:szCs w:val="16"/>
        </w:rPr>
        <w:softHyphen/>
        <w:t>жена в войска, а в августе танковая часть, оснащенная новы</w:t>
      </w:r>
      <w:r w:rsidRPr="00925F26">
        <w:rPr>
          <w:color w:val="000000" w:themeColor="text1"/>
          <w:sz w:val="16"/>
          <w:szCs w:val="16"/>
        </w:rPr>
        <w:softHyphen/>
        <w:t>ми машинами, отправилась на Дальний Восток в действую</w:t>
      </w:r>
      <w:r w:rsidRPr="00925F26">
        <w:rPr>
          <w:color w:val="000000" w:themeColor="text1"/>
          <w:sz w:val="16"/>
          <w:szCs w:val="16"/>
        </w:rPr>
        <w:softHyphen/>
        <w:t>щую армию. Но в боях они участия не принимали (11135).</w:t>
      </w:r>
    </w:p>
    <w:p w14:paraId="600C9A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E8120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 января 1945 вышло Распоряжение ГКО № 7295. Об изменениях в плане распределения электроэнергии на январь 1945 г. РГАНИР, Фонд ГКО, д. 348, лл. 199 (11012).</w:t>
      </w:r>
    </w:p>
    <w:p w14:paraId="1AC20F88" w14:textId="77777777" w:rsidR="00C2313B" w:rsidRPr="00925F26" w:rsidRDefault="00C2313B" w:rsidP="00925F26">
      <w:pPr>
        <w:autoSpaceDE w:val="0"/>
        <w:autoSpaceDN w:val="0"/>
        <w:adjustRightInd w:val="0"/>
        <w:jc w:val="both"/>
        <w:rPr>
          <w:color w:val="000000" w:themeColor="text1"/>
          <w:sz w:val="16"/>
          <w:szCs w:val="16"/>
        </w:rPr>
      </w:pPr>
    </w:p>
    <w:p w14:paraId="21DAA628"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января 1945 НКВМФ Аф Кузнецов писал письмо № 46с НКАП А.И.Ш.</w:t>
      </w:r>
    </w:p>
    <w:p w14:paraId="5C250686"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ВМФ проводится большая работа по изучению шумности кораблей и снижению ее с целью повышения тактических качеств кораблей. Для развития этой работы НК ВМФ необходима измерительная акустическая аппаратура. Подобная аппаратура в нескольких комплектах имеется в ЦИАМ им. Баранова, в котором на 1945 г. акустическая тематика значительно сокращена.</w:t>
      </w:r>
    </w:p>
    <w:p w14:paraId="13783326"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Исходя из неотложности проведения необходимых испытаний кораблей ВМФ по шумности, прошу Вашего распоряжения выделить из ЦИАМа во временное пользование на 1945 г. комплект следующей аппаратуры:</w:t>
      </w:r>
    </w:p>
    <w:p w14:paraId="054F04F0"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Спектрометр Сименса</w:t>
      </w:r>
    </w:p>
    <w:p w14:paraId="437D0D48"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Шальдрукмессер</w:t>
      </w:r>
    </w:p>
    <w:p w14:paraId="2F734F6F"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Прибор Неймана</w:t>
      </w:r>
    </w:p>
    <w:p w14:paraId="75BB2BB7"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Анализаторы низкой и звуковой частоты Родмана</w:t>
      </w:r>
    </w:p>
    <w:p w14:paraId="2888F5E1" w14:textId="77777777" w:rsidR="002D2573" w:rsidRPr="00925F26" w:rsidRDefault="002D257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Сервисные приборы (2952,4).</w:t>
      </w:r>
    </w:p>
    <w:p w14:paraId="294D8FE2" w14:textId="77777777" w:rsidR="002D2573" w:rsidRPr="00925F26" w:rsidRDefault="002D2573" w:rsidP="00925F26">
      <w:pPr>
        <w:autoSpaceDE w:val="0"/>
        <w:autoSpaceDN w:val="0"/>
        <w:adjustRightInd w:val="0"/>
        <w:jc w:val="both"/>
        <w:rPr>
          <w:iCs/>
          <w:color w:val="000000" w:themeColor="text1"/>
          <w:sz w:val="16"/>
          <w:szCs w:val="16"/>
        </w:rPr>
      </w:pPr>
    </w:p>
    <w:p w14:paraId="1F958E1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7790303" w14:textId="77777777" w:rsidR="00C2313B" w:rsidRPr="00925F26" w:rsidRDefault="00C2313B" w:rsidP="00925F26">
      <w:pPr>
        <w:autoSpaceDE w:val="0"/>
        <w:autoSpaceDN w:val="0"/>
        <w:adjustRightInd w:val="0"/>
        <w:jc w:val="both"/>
        <w:rPr>
          <w:iCs/>
          <w:color w:val="000000" w:themeColor="text1"/>
          <w:sz w:val="16"/>
          <w:szCs w:val="16"/>
        </w:rPr>
      </w:pPr>
    </w:p>
    <w:p w14:paraId="08757132" w14:textId="77777777" w:rsidR="002D2573" w:rsidRPr="00925F26" w:rsidRDefault="002D2573" w:rsidP="00925F26">
      <w:pPr>
        <w:jc w:val="both"/>
        <w:rPr>
          <w:color w:val="000000" w:themeColor="text1"/>
          <w:sz w:val="16"/>
          <w:szCs w:val="16"/>
        </w:rPr>
      </w:pPr>
      <w:r w:rsidRPr="00925F26">
        <w:rPr>
          <w:bCs/>
          <w:color w:val="000000" w:themeColor="text1"/>
          <w:sz w:val="16"/>
          <w:szCs w:val="16"/>
        </w:rPr>
        <w:t>10 января</w:t>
      </w:r>
      <w:r w:rsidRPr="00925F26">
        <w:rPr>
          <w:color w:val="000000" w:themeColor="text1"/>
          <w:sz w:val="16"/>
          <w:szCs w:val="16"/>
        </w:rPr>
        <w:t xml:space="preserve"> в 1945 году оперативная сводка Совинформбюро:</w:t>
      </w:r>
    </w:p>
    <w:p w14:paraId="1C843C3F" w14:textId="77777777" w:rsidR="002D2573" w:rsidRPr="00925F26" w:rsidRDefault="002D2573" w:rsidP="00925F26">
      <w:pPr>
        <w:jc w:val="both"/>
        <w:rPr>
          <w:color w:val="000000" w:themeColor="text1"/>
          <w:sz w:val="16"/>
          <w:szCs w:val="16"/>
        </w:rPr>
      </w:pPr>
      <w:r w:rsidRPr="00925F26">
        <w:rPr>
          <w:color w:val="000000" w:themeColor="text1"/>
          <w:sz w:val="16"/>
          <w:szCs w:val="16"/>
        </w:rPr>
        <w:t>«В течение 10 января северо-восточнее города Komapho наши войска с боями заняли населённые пункты Биня, Барт, Нова Вьеска, Пербете, Старая Дяла, Мартош и железнодорожные станции Нова Вьеска, Старая Дяла, Хетин, Комарно-Тэгельня (2 километра северо-восточнее города Комарно). За 9 января в этом районе наши войска взяли в плен более 800 немецких солдат и офицеров.</w:t>
      </w:r>
    </w:p>
    <w:p w14:paraId="1807EF64" w14:textId="77777777" w:rsidR="002D2573" w:rsidRPr="00925F26" w:rsidRDefault="002D2573" w:rsidP="00925F26">
      <w:pPr>
        <w:jc w:val="both"/>
        <w:rPr>
          <w:color w:val="000000" w:themeColor="text1"/>
          <w:sz w:val="16"/>
          <w:szCs w:val="16"/>
        </w:rPr>
      </w:pPr>
      <w:r w:rsidRPr="00925F26">
        <w:rPr>
          <w:color w:val="000000" w:themeColor="text1"/>
          <w:sz w:val="16"/>
          <w:szCs w:val="16"/>
        </w:rPr>
        <w:t>В Будапеште наши войска, сжимая кольцо окружения немецко-венгерской группировки, с боями заняли городские районы Капосташмедьер, Уйпешт, Ракошпа-Лота, Палотауйфалу, Пештуйхель, Кишпешт, Кошутфалва, крупный заводской район Чепель и остров Обудай с судостроительными верфями. За день боя нашими войсками занято в городе свыше тысячи кварталов. В боях в районе города Будапешта за 9 января взято в плен более 3.000 немецких и венгерских солдат и офицеров.</w:t>
      </w:r>
    </w:p>
    <w:p w14:paraId="03779324" w14:textId="77777777" w:rsidR="002D2573" w:rsidRPr="00925F26" w:rsidRDefault="002D2573" w:rsidP="00925F26">
      <w:pPr>
        <w:jc w:val="both"/>
        <w:rPr>
          <w:color w:val="000000" w:themeColor="text1"/>
          <w:sz w:val="16"/>
          <w:szCs w:val="16"/>
        </w:rPr>
      </w:pPr>
      <w:r w:rsidRPr="00925F26">
        <w:rPr>
          <w:color w:val="000000" w:themeColor="text1"/>
          <w:sz w:val="16"/>
          <w:szCs w:val="16"/>
        </w:rPr>
        <w:lastRenderedPageBreak/>
        <w:t>Северо-западнее и западнее Будапешта атаки пехоты и танков противника успешно отбивались нашими войсками. За 9 января в этом районе подбито и уничтожено 40 немецких танков.</w:t>
      </w:r>
    </w:p>
    <w:p w14:paraId="1D548E51" w14:textId="77777777" w:rsidR="002D2573" w:rsidRPr="00925F26" w:rsidRDefault="002D2573"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4FE482C8"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Северо-восточнее города Комарно наши войска продолжали наступление. Преодолев сопротивление немцев, советские части овладели крупным населенным пунктом Пербете — важным опорным пунктом вражеской обороны. С боями продвигаясь вперёд, наши танкисты и пехотинцы перерезали железную дорогу Комарно — Новы Замки и ведут бои на подступах к городу Комарно. Противник часто переходит в контратаки, но под ударами советских частей теряет одну позицию за другой. Бойцы Н-ского соединения за день уничтожили до батальона гитлеровцев, 4 самоходных и 11 полевых орудий противника. Подразделение гвардии капитана Паршакова прорвалась через укрепления немцев и атаковало их огневые позиции. Гвардейцы уничтожили вражеских артиллеристов и захватили 3 орудия, 3 тягача и боеприпасы. Развивая успех, гвардейцы совершили обходный маневр и нанесли удар c тыла другой группе противника. В результате боя они захватили ещё 6 орудий, радиостанцию и взяли в плен 60 немецких солдат.</w:t>
      </w:r>
    </w:p>
    <w:p w14:paraId="0C7A05D5" w14:textId="77777777" w:rsidR="002D2573" w:rsidRPr="00925F26" w:rsidRDefault="002D2573" w:rsidP="00925F26">
      <w:pPr>
        <w:jc w:val="both"/>
        <w:rPr>
          <w:color w:val="000000" w:themeColor="text1"/>
          <w:sz w:val="16"/>
          <w:szCs w:val="16"/>
        </w:rPr>
      </w:pPr>
      <w:r w:rsidRPr="00925F26">
        <w:rPr>
          <w:color w:val="000000" w:themeColor="text1"/>
          <w:sz w:val="16"/>
          <w:szCs w:val="16"/>
        </w:rPr>
        <w:t>В Будапеште наши войска вели успешные бои по ликвидации окружённой группировки противника. Советские штурмовые отряды выбивают немцев из укреплений и все теснее и теснее сжимают кольцо окружения. Наши войска в течение дня заняли в городе свыше тысячи кварталов и тем самым очистили от немцев восемь районов Будапешта. В результате упорных боев советские части овладели крупным промышленным районом венгерской столицы Чепель. В этом районе занято 25 различных заводов: оружейных, патронных, моторостроительных и других. Захвачено большое количество вооружения, 10 паровозов, более 100 вагонов, 40 тракторов и другие трофеи. В ходе боёв противник несёт большие потери в людях и технике.</w:t>
      </w:r>
    </w:p>
    <w:p w14:paraId="403E6152" w14:textId="77777777" w:rsidR="002D2573" w:rsidRPr="00925F26" w:rsidRDefault="002D2573" w:rsidP="00925F26">
      <w:pPr>
        <w:jc w:val="both"/>
        <w:rPr>
          <w:color w:val="000000" w:themeColor="text1"/>
          <w:sz w:val="16"/>
          <w:szCs w:val="16"/>
        </w:rPr>
      </w:pPr>
      <w:r w:rsidRPr="00925F26">
        <w:rPr>
          <w:color w:val="000000" w:themeColor="text1"/>
          <w:sz w:val="16"/>
          <w:szCs w:val="16"/>
        </w:rPr>
        <w:t>На острове Обудай сегодня нашими войсками освобождены находившиеся здесь в лагере 500 югославских и польских рабочих.</w:t>
      </w:r>
    </w:p>
    <w:p w14:paraId="34284F52"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противник на различных участках продолжал попытки прорваться на помощь к своей группировке, окружённой в венгерской столице. Наши войска успешно отбивали все атаки немцев. Части Н-ского соединения, действующего западнее Будапешта, за день боёв истребили 1.200 немецких солдат и офицеров, сожгли и подбили 27 немецких танков и 7 бронетранспортёров. На одном танкоопасном участке бойцы Н-ской части сложили скирды соломы. Когда немецкие танки двинулись в атаку, наши бойцы ракетами подожгли скирды. Артиллеристы открыли огонь по хорошо освещенным целям и подбили 6 немецких танков. В другом районе противник предпринял несколько ночных атак. Наши пехотинцы, артиллеристы и бронебойщики встретили гитлеровцев сильным огнём, а затем контрударом отбросили их.</w:t>
      </w:r>
    </w:p>
    <w:p w14:paraId="0977D00A" w14:textId="77777777" w:rsidR="002D2573" w:rsidRPr="00925F26" w:rsidRDefault="002D2573" w:rsidP="00925F26">
      <w:pPr>
        <w:jc w:val="both"/>
        <w:rPr>
          <w:color w:val="000000" w:themeColor="text1"/>
          <w:sz w:val="16"/>
          <w:szCs w:val="16"/>
        </w:rPr>
      </w:pPr>
      <w:r w:rsidRPr="00925F26">
        <w:rPr>
          <w:color w:val="000000" w:themeColor="text1"/>
          <w:sz w:val="16"/>
          <w:szCs w:val="16"/>
        </w:rPr>
        <w:t>Советские бойцы и офицеры проявляют высокое воинское мастерство и доблесть в борьбе с врагом. Стрелковая рота гвардии старшего лейтенанта Заварзина, отражая вражескую атаку, истребила свыше 70 гитлеровцев. Бойцы отделения сержанта Бойченко в рукопашной схватке уничтожили 18 немцев. Орудийный расчёт сержанта Почапина поджёг два немецких танка. Родовые Соколов и Иванов, выбрав удачный момент, бросили гранаты в люк тяжёлого немецкого танка и взорвали его. Экипаж самоходного орудия гвардии лейтенанта Куркова сжёг бронемашину и бронетранспортёр противника. Гвардии сержант Волков пулеметным огнём истребил 10 немцев.</w:t>
      </w:r>
    </w:p>
    <w:p w14:paraId="5474BB8A" w14:textId="77777777" w:rsidR="002D2573" w:rsidRPr="00925F26" w:rsidRDefault="002D2573" w:rsidP="00925F26">
      <w:pPr>
        <w:jc w:val="both"/>
        <w:rPr>
          <w:color w:val="000000" w:themeColor="text1"/>
          <w:sz w:val="16"/>
          <w:szCs w:val="16"/>
        </w:rPr>
      </w:pPr>
      <w:r w:rsidRPr="00925F26">
        <w:rPr>
          <w:color w:val="000000" w:themeColor="text1"/>
          <w:sz w:val="16"/>
          <w:szCs w:val="16"/>
        </w:rPr>
        <w:t>Южнее города Пултуск восемь наших разведчиков во главе со старшим сержантом Аненковым ночью пробрались на территорию, занятую противником, и устроили засаду в роще. Утром в рощу пришли 5 немецких солдат и начали пилить деревья. Разведчики внезапно напали на гитлеровцев. Три немца были убиты, а два взяты в плен. Когда стемнело, разведчики вместе с пленными вернулись в расположение своей части.</w:t>
      </w:r>
    </w:p>
    <w:p w14:paraId="1D4B87E8" w14:textId="77777777" w:rsidR="002D2573" w:rsidRPr="00925F26" w:rsidRDefault="002D2573" w:rsidP="00925F26">
      <w:pPr>
        <w:jc w:val="both"/>
        <w:rPr>
          <w:color w:val="000000" w:themeColor="text1"/>
          <w:sz w:val="16"/>
          <w:szCs w:val="16"/>
        </w:rPr>
      </w:pPr>
      <w:r w:rsidRPr="00925F26">
        <w:rPr>
          <w:color w:val="000000" w:themeColor="text1"/>
          <w:sz w:val="16"/>
          <w:szCs w:val="16"/>
        </w:rPr>
        <w:t>Корабли Краснознаменного Балтийского флота потопили в Балтийском море немецкий транспорт водоизмещением в 10.000 тонн.» (15005).</w:t>
      </w:r>
    </w:p>
    <w:p w14:paraId="75A9A2E6" w14:textId="77777777" w:rsidR="002D2573" w:rsidRPr="00925F26" w:rsidRDefault="002D2573" w:rsidP="00925F26">
      <w:pPr>
        <w:jc w:val="both"/>
        <w:rPr>
          <w:color w:val="000000" w:themeColor="text1"/>
          <w:sz w:val="16"/>
          <w:szCs w:val="16"/>
        </w:rPr>
      </w:pPr>
    </w:p>
    <w:p w14:paraId="07DB46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января 1945 г. переучивание 78-му гшап на Ил-10 официально закон</w:t>
      </w:r>
      <w:r w:rsidRPr="00925F26">
        <w:rPr>
          <w:color w:val="000000" w:themeColor="text1"/>
          <w:sz w:val="16"/>
          <w:szCs w:val="16"/>
        </w:rPr>
        <w:softHyphen/>
        <w:t>чилось, и уже через два дня полк был признан готовым к отправке на фронт. Отбытие назначили на 12 января. Одна</w:t>
      </w:r>
      <w:r w:rsidRPr="00925F26">
        <w:rPr>
          <w:color w:val="000000" w:themeColor="text1"/>
          <w:sz w:val="16"/>
          <w:szCs w:val="16"/>
        </w:rPr>
        <w:softHyphen/>
        <w:t>ко долго не было годных к перелету са</w:t>
      </w:r>
      <w:r w:rsidRPr="00925F26">
        <w:rPr>
          <w:color w:val="000000" w:themeColor="text1"/>
          <w:sz w:val="16"/>
          <w:szCs w:val="16"/>
        </w:rPr>
        <w:softHyphen/>
        <w:t>молетов, к тому же прлк решили до</w:t>
      </w:r>
      <w:r w:rsidRPr="00925F26">
        <w:rPr>
          <w:color w:val="000000" w:themeColor="text1"/>
          <w:sz w:val="16"/>
          <w:szCs w:val="16"/>
        </w:rPr>
        <w:softHyphen/>
        <w:t>укомплектовать «десятками» до полного штата (но этого так и не было сделано). Затем ждали погоду. Только 21 января первый эшелон в составе 20 Ил-2 и 11 Ил-10 смог вылететь к месту назначе</w:t>
      </w:r>
      <w:r w:rsidRPr="00925F26">
        <w:rPr>
          <w:color w:val="000000" w:themeColor="text1"/>
          <w:sz w:val="16"/>
          <w:szCs w:val="16"/>
        </w:rPr>
        <w:softHyphen/>
        <w:t>ния. Второй эшелон - 10 экипажей на Ил-10 - отправился на фронт на следу</w:t>
      </w:r>
      <w:r w:rsidRPr="00925F26">
        <w:rPr>
          <w:color w:val="000000" w:themeColor="text1"/>
          <w:sz w:val="16"/>
          <w:szCs w:val="16"/>
        </w:rPr>
        <w:softHyphen/>
        <w:t>ющий день. Фактически 78-й полк был не готов к боевым действиям на новом штурмови</w:t>
      </w:r>
      <w:r w:rsidRPr="00925F26">
        <w:rPr>
          <w:color w:val="000000" w:themeColor="text1"/>
          <w:sz w:val="16"/>
          <w:szCs w:val="16"/>
        </w:rPr>
        <w:softHyphen/>
        <w:t>ке. В то же время тот летный состав, ко</w:t>
      </w:r>
      <w:r w:rsidRPr="00925F26">
        <w:rPr>
          <w:color w:val="000000" w:themeColor="text1"/>
          <w:sz w:val="16"/>
          <w:szCs w:val="16"/>
        </w:rPr>
        <w:softHyphen/>
        <w:t>торый прибыл с передовой на переучи</w:t>
      </w:r>
      <w:r w:rsidRPr="00925F26">
        <w:rPr>
          <w:color w:val="000000" w:themeColor="text1"/>
          <w:sz w:val="16"/>
          <w:szCs w:val="16"/>
        </w:rPr>
        <w:softHyphen/>
        <w:t>вание, имел солидный боевой опыт. Не</w:t>
      </w:r>
      <w:r w:rsidRPr="00925F26">
        <w:rPr>
          <w:color w:val="000000" w:themeColor="text1"/>
          <w:sz w:val="16"/>
          <w:szCs w:val="16"/>
        </w:rPr>
        <w:softHyphen/>
        <w:t>плохо были подготовлены и молодые пилоты, но на Ил-10 они вообще не ле</w:t>
      </w:r>
      <w:r w:rsidRPr="00925F26">
        <w:rPr>
          <w:color w:val="000000" w:themeColor="text1"/>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925F26">
        <w:rPr>
          <w:color w:val="000000" w:themeColor="text1"/>
          <w:sz w:val="16"/>
          <w:szCs w:val="16"/>
        </w:rPr>
        <w:softHyphen/>
        <w:t>мии и 2-й гшад. Выяснив реальную го</w:t>
      </w:r>
      <w:r w:rsidRPr="00925F26">
        <w:rPr>
          <w:color w:val="000000" w:themeColor="text1"/>
          <w:sz w:val="16"/>
          <w:szCs w:val="16"/>
        </w:rPr>
        <w:softHyphen/>
        <w:t>товность полка к боевым действиям, они мудро решили полк в бой пока не вво</w:t>
      </w:r>
      <w:r w:rsidRPr="00925F26">
        <w:rPr>
          <w:color w:val="000000" w:themeColor="text1"/>
          <w:sz w:val="16"/>
          <w:szCs w:val="16"/>
        </w:rPr>
        <w:softHyphen/>
        <w:t>дить, дабы не подорвать веру в новый штурмовик и не нести напрасные поте</w:t>
      </w:r>
      <w:r w:rsidRPr="00925F26">
        <w:rPr>
          <w:color w:val="000000" w:themeColor="text1"/>
          <w:sz w:val="16"/>
          <w:szCs w:val="16"/>
        </w:rPr>
        <w:softHyphen/>
        <w:t>ри, а дать летчикам полноценно подгото</w:t>
      </w:r>
      <w:r w:rsidRPr="00925F26">
        <w:rPr>
          <w:color w:val="000000" w:themeColor="text1"/>
          <w:sz w:val="16"/>
          <w:szCs w:val="16"/>
        </w:rPr>
        <w:softHyphen/>
        <w:t>виться, а также завершить перевооруже</w:t>
      </w:r>
      <w:r w:rsidRPr="00925F26">
        <w:rPr>
          <w:color w:val="000000" w:themeColor="text1"/>
          <w:sz w:val="16"/>
          <w:szCs w:val="16"/>
        </w:rPr>
        <w:softHyphen/>
        <w:t>ние части на Ил-10. В течение всего ап</w:t>
      </w:r>
      <w:r w:rsidRPr="00925F26">
        <w:rPr>
          <w:color w:val="000000" w:themeColor="text1"/>
          <w:sz w:val="16"/>
          <w:szCs w:val="16"/>
        </w:rPr>
        <w:softHyphen/>
        <w:t>реля в 78-м интенсивно занимались вво</w:t>
      </w:r>
      <w:r w:rsidRPr="00925F26">
        <w:rPr>
          <w:color w:val="000000" w:themeColor="text1"/>
          <w:sz w:val="16"/>
          <w:szCs w:val="16"/>
        </w:rPr>
        <w:softHyphen/>
        <w:t>дом в строй молодого летного состава, не прошедшего в Куйбышеве переучива</w:t>
      </w:r>
      <w:r w:rsidRPr="00925F26">
        <w:rPr>
          <w:color w:val="000000" w:themeColor="text1"/>
          <w:sz w:val="16"/>
          <w:szCs w:val="16"/>
        </w:rPr>
        <w:softHyphen/>
        <w:t>ния на новый штурмовик, и тренировкой «стариков». В это время во Львове при</w:t>
      </w:r>
      <w:r w:rsidRPr="00925F26">
        <w:rPr>
          <w:color w:val="000000" w:themeColor="text1"/>
          <w:sz w:val="16"/>
          <w:szCs w:val="16"/>
        </w:rPr>
        <w:softHyphen/>
        <w:t>нимали и собирали Ил-10. Машины за</w:t>
      </w:r>
      <w:r w:rsidRPr="00925F26">
        <w:rPr>
          <w:color w:val="000000" w:themeColor="text1"/>
          <w:sz w:val="16"/>
          <w:szCs w:val="16"/>
        </w:rPr>
        <w:softHyphen/>
        <w:t>тем перегонялись на базу наиболее под</w:t>
      </w:r>
      <w:r w:rsidRPr="00925F26">
        <w:rPr>
          <w:color w:val="000000" w:themeColor="text1"/>
          <w:sz w:val="16"/>
          <w:szCs w:val="16"/>
        </w:rPr>
        <w:softHyphen/>
        <w:t>готовленными летчиками полка. Имев</w:t>
      </w:r>
      <w:r w:rsidRPr="00925F26">
        <w:rPr>
          <w:color w:val="000000" w:themeColor="text1"/>
          <w:sz w:val="16"/>
          <w:szCs w:val="16"/>
        </w:rPr>
        <w:softHyphen/>
        <w:t>шиеся Ил-2 передавались в другие час</w:t>
      </w:r>
      <w:r w:rsidRPr="00925F26">
        <w:rPr>
          <w:color w:val="000000" w:themeColor="text1"/>
          <w:sz w:val="16"/>
          <w:szCs w:val="16"/>
        </w:rPr>
        <w:softHyphen/>
        <w:t>ти дивизии (10681).</w:t>
      </w:r>
    </w:p>
    <w:p w14:paraId="0232E4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56FA0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 января 1945 г. до двух пехотных полков, усиленных шестьюдесятью танками и штурмовыми орудиями перешли в наступление на узком участке фронта (железная дорога Мемель - Кретченга). 207-й бронепоезд совместно с нашими частями вначале огнем сдерживал натиск противника, а затем поддерживал контратакующие войска, участвовал в ликвидации Мемельского плацдарма (11148).</w:t>
      </w:r>
    </w:p>
    <w:p w14:paraId="56637046" w14:textId="77777777" w:rsidR="00C2313B" w:rsidRPr="00925F26" w:rsidRDefault="00C2313B" w:rsidP="00925F26">
      <w:pPr>
        <w:autoSpaceDE w:val="0"/>
        <w:autoSpaceDN w:val="0"/>
        <w:adjustRightInd w:val="0"/>
        <w:jc w:val="both"/>
        <w:rPr>
          <w:color w:val="000000" w:themeColor="text1"/>
          <w:sz w:val="16"/>
          <w:szCs w:val="16"/>
        </w:rPr>
      </w:pPr>
    </w:p>
    <w:p w14:paraId="3FD700AD" w14:textId="77777777" w:rsidR="00D837F1" w:rsidRPr="00925F26" w:rsidRDefault="00D837F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641BF1F" w14:textId="77777777" w:rsidR="00D837F1" w:rsidRPr="00925F26" w:rsidRDefault="00D837F1" w:rsidP="00925F26">
      <w:pPr>
        <w:autoSpaceDE w:val="0"/>
        <w:autoSpaceDN w:val="0"/>
        <w:adjustRightInd w:val="0"/>
        <w:jc w:val="both"/>
        <w:rPr>
          <w:iCs/>
          <w:color w:val="000000" w:themeColor="text1"/>
          <w:sz w:val="16"/>
          <w:szCs w:val="16"/>
        </w:rPr>
      </w:pPr>
    </w:p>
    <w:p w14:paraId="134DCCAD" w14:textId="77777777" w:rsidR="00D837F1" w:rsidRPr="00925F26" w:rsidRDefault="00D837F1" w:rsidP="00925F26">
      <w:pPr>
        <w:jc w:val="both"/>
        <w:rPr>
          <w:color w:val="000000" w:themeColor="text1"/>
          <w:sz w:val="16"/>
          <w:szCs w:val="16"/>
        </w:rPr>
      </w:pPr>
      <w:r w:rsidRPr="00925F26">
        <w:rPr>
          <w:color w:val="000000" w:themeColor="text1"/>
          <w:sz w:val="16"/>
          <w:szCs w:val="16"/>
        </w:rPr>
        <w:t>10 января 1945. В кинотеатрах начался показ первой серии фильма Сергея Эйзенштейна "Иван Грозный" (18688).</w:t>
      </w:r>
    </w:p>
    <w:p w14:paraId="2AB1B61B" w14:textId="77777777" w:rsidR="00D837F1" w:rsidRPr="00925F26" w:rsidRDefault="00D837F1" w:rsidP="00925F26">
      <w:pPr>
        <w:jc w:val="both"/>
        <w:rPr>
          <w:color w:val="000000" w:themeColor="text1"/>
          <w:sz w:val="16"/>
          <w:szCs w:val="16"/>
        </w:rPr>
      </w:pPr>
    </w:p>
    <w:p w14:paraId="7EA3F88E" w14:textId="77777777" w:rsidR="002D257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3835C1D" w14:textId="77777777" w:rsidR="002D2573" w:rsidRPr="00925F26" w:rsidRDefault="002D2573" w:rsidP="00925F26">
      <w:pPr>
        <w:autoSpaceDE w:val="0"/>
        <w:autoSpaceDN w:val="0"/>
        <w:adjustRightInd w:val="0"/>
        <w:jc w:val="both"/>
        <w:rPr>
          <w:iCs/>
          <w:color w:val="000000" w:themeColor="text1"/>
          <w:sz w:val="16"/>
          <w:szCs w:val="16"/>
        </w:rPr>
      </w:pPr>
    </w:p>
    <w:p w14:paraId="1171C08B" w14:textId="77777777" w:rsidR="002D2573" w:rsidRPr="00925F26" w:rsidRDefault="002D2573" w:rsidP="00925F26">
      <w:pPr>
        <w:jc w:val="both"/>
        <w:rPr>
          <w:color w:val="000000" w:themeColor="text1"/>
          <w:sz w:val="16"/>
          <w:szCs w:val="16"/>
        </w:rPr>
      </w:pPr>
      <w:r w:rsidRPr="00925F26">
        <w:rPr>
          <w:bCs/>
          <w:color w:val="000000" w:themeColor="text1"/>
          <w:sz w:val="16"/>
          <w:szCs w:val="16"/>
        </w:rPr>
        <w:t>10 января</w:t>
      </w:r>
      <w:r w:rsidRPr="00925F26">
        <w:rPr>
          <w:color w:val="000000" w:themeColor="text1"/>
          <w:sz w:val="16"/>
          <w:szCs w:val="16"/>
        </w:rPr>
        <w:t xml:space="preserve"> в 1945 году вертолет «Sikorsky» «R5» установил неофициальный мировой рекорд высоты - 21000 футов (около 7 километров) (15005).</w:t>
      </w:r>
    </w:p>
    <w:p w14:paraId="53F45FA6" w14:textId="77777777" w:rsidR="002D2573" w:rsidRPr="00925F26" w:rsidRDefault="002D2573" w:rsidP="00925F26">
      <w:pPr>
        <w:jc w:val="both"/>
        <w:rPr>
          <w:color w:val="000000" w:themeColor="text1"/>
          <w:sz w:val="16"/>
          <w:szCs w:val="16"/>
        </w:rPr>
      </w:pPr>
    </w:p>
    <w:p w14:paraId="6106444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87599D4" w14:textId="77777777" w:rsidR="00C2313B" w:rsidRPr="00925F26" w:rsidRDefault="00C2313B" w:rsidP="00925F26">
      <w:pPr>
        <w:autoSpaceDE w:val="0"/>
        <w:autoSpaceDN w:val="0"/>
        <w:adjustRightInd w:val="0"/>
        <w:jc w:val="both"/>
        <w:rPr>
          <w:iCs/>
          <w:color w:val="000000" w:themeColor="text1"/>
          <w:sz w:val="16"/>
          <w:szCs w:val="16"/>
        </w:rPr>
      </w:pPr>
    </w:p>
    <w:p w14:paraId="629B2B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января 1945 г. состоялся первый полет самолета Су-7 без включения ТК-3. В последующие дни были выполнены еще три полета с включением и выключением ТК-3 на высоте 4500 м, в процессе которых имело место сильное факеление, при</w:t>
      </w:r>
      <w:r w:rsidRPr="00925F26">
        <w:rPr>
          <w:color w:val="000000" w:themeColor="text1"/>
          <w:sz w:val="16"/>
          <w:szCs w:val="16"/>
        </w:rPr>
        <w:softHyphen/>
        <w:t>ведшее к обгоранию краски левого борта фюзеляжа, в связи с чем при</w:t>
      </w:r>
      <w:r w:rsidRPr="00925F26">
        <w:rPr>
          <w:color w:val="000000" w:themeColor="text1"/>
          <w:sz w:val="16"/>
          <w:szCs w:val="16"/>
        </w:rPr>
        <w:softHyphen/>
        <w:t>шлось значительно удлинить защитный металлический экран фюзеляжа (10668).</w:t>
      </w:r>
    </w:p>
    <w:p w14:paraId="75E2189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DD608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января 1945 г. Комаров выполнил первый полет на Су-7. Летные испытания тормо</w:t>
      </w:r>
      <w:r w:rsidRPr="00925F26">
        <w:rPr>
          <w:color w:val="000000" w:themeColor="text1"/>
          <w:sz w:val="16"/>
          <w:szCs w:val="16"/>
        </w:rPr>
        <w:softHyphen/>
        <w:t>зились сильным факелением выхлопных патрубков, приводящим к обгоранию краски на бортах фюзеляжа. Все попытки устранить это явление оказались безус</w:t>
      </w:r>
      <w:r w:rsidRPr="00925F26">
        <w:rPr>
          <w:color w:val="000000" w:themeColor="text1"/>
          <w:sz w:val="16"/>
          <w:szCs w:val="16"/>
        </w:rPr>
        <w:softHyphen/>
        <w:t>пешными, и в конце-концов турбоком</w:t>
      </w:r>
      <w:r w:rsidRPr="00925F26">
        <w:rPr>
          <w:color w:val="000000" w:themeColor="text1"/>
          <w:sz w:val="16"/>
          <w:szCs w:val="16"/>
        </w:rPr>
        <w:softHyphen/>
        <w:t>прессоры отключили от выхлопной системы (10719).</w:t>
      </w:r>
    </w:p>
    <w:p w14:paraId="172290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40F1F5A" w14:textId="77777777" w:rsidR="00D837F1" w:rsidRPr="00925F26" w:rsidRDefault="00D837F1" w:rsidP="00925F26">
      <w:pPr>
        <w:shd w:val="clear" w:color="auto" w:fill="FFFFFF"/>
        <w:jc w:val="both"/>
        <w:rPr>
          <w:color w:val="000000" w:themeColor="text1"/>
          <w:sz w:val="16"/>
          <w:szCs w:val="16"/>
        </w:rPr>
      </w:pPr>
      <w:r w:rsidRPr="00925F26">
        <w:rPr>
          <w:color w:val="000000" w:themeColor="text1"/>
          <w:sz w:val="16"/>
          <w:szCs w:val="16"/>
        </w:rPr>
        <w:t>11 января 1945 года состоялся первый полет самолета Су-7 без включения ТК-3. В последующие дни выполнялись еще трн полета с включением и выключением ТК-3 на высоте т 4500 м. Было замечено сильное факеление, приведшее к обго ранию краски левого борта фюзеляжа. В связи с этим при шлось значительно удлинить защитный металлический экран фюзеляжа. 26 января, по указанию заместителя Наркома П.В. Дементьева, полеты с ТК-3 были прекращены. За это вре мя были выполнены 4 полета, и двигатель АШ-82ФН нарабо тал 6 ч. 40 мин., из них в воздухе 1 ч. 47 мин.</w:t>
      </w:r>
    </w:p>
    <w:p w14:paraId="73327BC9" w14:textId="77777777" w:rsidR="00D837F1" w:rsidRPr="00925F26" w:rsidRDefault="00D837F1" w:rsidP="00925F26">
      <w:pPr>
        <w:shd w:val="clear" w:color="auto" w:fill="FFFFFF"/>
        <w:jc w:val="both"/>
        <w:rPr>
          <w:color w:val="000000" w:themeColor="text1"/>
          <w:sz w:val="16"/>
          <w:szCs w:val="16"/>
        </w:rPr>
      </w:pPr>
      <w:r w:rsidRPr="00925F26">
        <w:rPr>
          <w:color w:val="000000" w:themeColor="text1"/>
          <w:sz w:val="16"/>
          <w:szCs w:val="16"/>
        </w:rPr>
        <w:t>До конца января была доработана выхлопная система без ТК, а затем началась отработка РД-1 на земле. Было произве дено 18 включений РД-1 (19586).</w:t>
      </w:r>
    </w:p>
    <w:p w14:paraId="72C3C1C8" w14:textId="77777777" w:rsidR="00D837F1" w:rsidRPr="00925F26" w:rsidRDefault="00D837F1" w:rsidP="00925F26">
      <w:pPr>
        <w:shd w:val="clear" w:color="auto" w:fill="FFFFFF"/>
        <w:jc w:val="both"/>
        <w:rPr>
          <w:color w:val="000000" w:themeColor="text1"/>
          <w:sz w:val="16"/>
          <w:szCs w:val="16"/>
        </w:rPr>
      </w:pPr>
    </w:p>
    <w:p w14:paraId="3CD1835F" w14:textId="77777777" w:rsidR="008C4451" w:rsidRPr="001A0BAA" w:rsidRDefault="008C4451" w:rsidP="008C4451">
      <w:pPr>
        <w:jc w:val="both"/>
        <w:rPr>
          <w:color w:val="0070C0"/>
          <w:sz w:val="16"/>
          <w:szCs w:val="16"/>
        </w:rPr>
      </w:pPr>
      <w:r w:rsidRPr="001A0BAA">
        <w:rPr>
          <w:color w:val="0070C0"/>
          <w:sz w:val="16"/>
          <w:szCs w:val="16"/>
        </w:rPr>
        <w:t>11 января 1945 года состоялся первый полет самолета Су-7 без включения ТК-3. В последующие дни выполнялись еще три полета с включением и выключением ТК-3 на высоте 4500 м. Было замечено сильное факеление, приведшее к обго</w:t>
      </w:r>
      <w:r w:rsidRPr="001A0BAA">
        <w:rPr>
          <w:color w:val="0070C0"/>
          <w:sz w:val="16"/>
          <w:szCs w:val="16"/>
        </w:rPr>
        <w:softHyphen/>
        <w:t>ранию краски левого борта фюзеляжа. В связи с этим при</w:t>
      </w:r>
      <w:r w:rsidRPr="001A0BAA">
        <w:rPr>
          <w:color w:val="0070C0"/>
          <w:sz w:val="16"/>
          <w:szCs w:val="16"/>
        </w:rPr>
        <w:softHyphen/>
        <w:t>шлось значительно удлинить защитный металлический экран фюзеляжа. 26 января, по указанию заместителя Наркома П.В. Дементьева, полеты с ТК-3 были прекращены. За это вре</w:t>
      </w:r>
      <w:r w:rsidRPr="001A0BAA">
        <w:rPr>
          <w:color w:val="0070C0"/>
          <w:sz w:val="16"/>
          <w:szCs w:val="16"/>
        </w:rPr>
        <w:softHyphen/>
        <w:t>мя были выполнены 4 полета, и двигатель АШ-82ФН нарабо</w:t>
      </w:r>
      <w:r w:rsidRPr="001A0BAA">
        <w:rPr>
          <w:color w:val="0070C0"/>
          <w:sz w:val="16"/>
          <w:szCs w:val="16"/>
        </w:rPr>
        <w:softHyphen/>
        <w:t>тал 6 ч. 40 мин., из них в воздухе 1 ч. 47 мин. До конца января была доработана выхлопная система без ТК, а затем началась отработка РД-1 на земле. Было произве</w:t>
      </w:r>
      <w:r w:rsidRPr="001A0BAA">
        <w:rPr>
          <w:color w:val="0070C0"/>
          <w:sz w:val="16"/>
          <w:szCs w:val="16"/>
        </w:rPr>
        <w:softHyphen/>
        <w:t>дено 18 включений РД-1 (24920).</w:t>
      </w:r>
    </w:p>
    <w:p w14:paraId="4CA9A376" w14:textId="77777777" w:rsidR="008C4451" w:rsidRPr="001A0BAA" w:rsidRDefault="008C4451" w:rsidP="008C4451">
      <w:pPr>
        <w:jc w:val="both"/>
        <w:rPr>
          <w:color w:val="0070C0"/>
          <w:sz w:val="16"/>
          <w:szCs w:val="16"/>
        </w:rPr>
      </w:pPr>
    </w:p>
    <w:p w14:paraId="5AEE07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11 января 1945 л Жарунов начал летать на В-29 самостоятельно (3457,120).</w:t>
      </w:r>
    </w:p>
    <w:p w14:paraId="78B2C2B8" w14:textId="77777777" w:rsidR="00C2313B" w:rsidRPr="00925F26" w:rsidRDefault="00C2313B" w:rsidP="00925F26">
      <w:pPr>
        <w:autoSpaceDE w:val="0"/>
        <w:autoSpaceDN w:val="0"/>
        <w:adjustRightInd w:val="0"/>
        <w:jc w:val="both"/>
        <w:rPr>
          <w:color w:val="000000" w:themeColor="text1"/>
          <w:sz w:val="16"/>
          <w:szCs w:val="16"/>
        </w:rPr>
      </w:pPr>
    </w:p>
    <w:p w14:paraId="7CE512D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B0FAD12" w14:textId="77777777" w:rsidR="00C2313B" w:rsidRPr="00925F26" w:rsidRDefault="00C2313B" w:rsidP="00925F26">
      <w:pPr>
        <w:autoSpaceDE w:val="0"/>
        <w:autoSpaceDN w:val="0"/>
        <w:adjustRightInd w:val="0"/>
        <w:jc w:val="both"/>
        <w:rPr>
          <w:iCs/>
          <w:color w:val="000000" w:themeColor="text1"/>
          <w:sz w:val="16"/>
          <w:szCs w:val="16"/>
        </w:rPr>
      </w:pPr>
    </w:p>
    <w:p w14:paraId="236F80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января 1945 г. была подготовлена ДОКЛАДНАЯ ЗАПИСКА КОМАНДУЮЩЕГО БТ и МВ КА ЗАМЕСТИТЕЛЮ ПРЕДСЕДАТЕЛЯ ГОСУДАРСТВЕННОГО КОМИТЕТА ОБОРОНЫ Л.П. БЕРИИ ПО РЕЗУЛЬТАТАМ ИСПЫТАНИЙ БРОНЕБОЙНЫХ СНАРЯДОВ № 842077</w:t>
      </w:r>
    </w:p>
    <w:p w14:paraId="07B2DC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Научно-испытательным полигоном ГБТУ КА при стрельбе 76-мм и 85-мм отечественными и 76-мм американскими бронебойными снарядами по броне трофейных танков были получены ре</w:t>
      </w:r>
      <w:r w:rsidRPr="00925F26">
        <w:rPr>
          <w:color w:val="000000" w:themeColor="text1"/>
          <w:sz w:val="16"/>
          <w:szCs w:val="16"/>
        </w:rPr>
        <w:softHyphen/>
        <w:t>зультаты, показывающие преимущество американских бронебойных снарядов.</w:t>
      </w:r>
    </w:p>
    <w:p w14:paraId="73BDDA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целью поверки данных, полученных полигоном, специальная комиссия 28 — 30.12.1944 г. про</w:t>
      </w:r>
      <w:r w:rsidRPr="00925F26">
        <w:rPr>
          <w:color w:val="000000" w:themeColor="text1"/>
          <w:sz w:val="16"/>
          <w:szCs w:val="16"/>
        </w:rPr>
        <w:softHyphen/>
        <w:t>вела обстрел двух корпусов немецких танков Тигр Н.</w:t>
      </w:r>
    </w:p>
    <w:p w14:paraId="557AB3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Стрельбой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944"/>
      </w:tblGrid>
      <w:tr w:rsidR="000F5689" w:rsidRPr="00925F26" w14:paraId="09973853" w14:textId="77777777">
        <w:trPr>
          <w:trHeight w:val="422"/>
        </w:trPr>
        <w:tc>
          <w:tcPr>
            <w:tcW w:w="4598" w:type="dxa"/>
            <w:tcBorders>
              <w:top w:val="single" w:sz="6" w:space="0" w:color="auto"/>
              <w:left w:val="single" w:sz="6" w:space="0" w:color="auto"/>
              <w:bottom w:val="single" w:sz="6" w:space="0" w:color="auto"/>
              <w:right w:val="single" w:sz="6" w:space="0" w:color="auto"/>
            </w:tcBorders>
          </w:tcPr>
          <w:p w14:paraId="5F3201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76-мм американский бронебойный снаряд М-62 при нач. скорости -800 м/с и весе снаряда 6,6 кг.</w:t>
            </w:r>
          </w:p>
          <w:p w14:paraId="1C81F0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3FF8A4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дает сквозное пробитие с дальностей: 2000 м - 82-мм бортовой брони, 1500 м -100-мм лобовой брони.</w:t>
            </w:r>
          </w:p>
          <w:p w14:paraId="40C611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9F4CFCA" w14:textId="77777777">
        <w:trPr>
          <w:trHeight w:val="374"/>
        </w:trPr>
        <w:tc>
          <w:tcPr>
            <w:tcW w:w="4598" w:type="dxa"/>
            <w:tcBorders>
              <w:top w:val="single" w:sz="6" w:space="0" w:color="auto"/>
              <w:left w:val="single" w:sz="6" w:space="0" w:color="auto"/>
              <w:bottom w:val="single" w:sz="6" w:space="0" w:color="auto"/>
              <w:right w:val="single" w:sz="6" w:space="0" w:color="auto"/>
            </w:tcBorders>
          </w:tcPr>
          <w:p w14:paraId="095884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85-мм отечественный бронебойный снаряд "Бр 365к" при нач. скорости -792 м/с и весе снаряда - 9,2 кг.</w:t>
            </w:r>
          </w:p>
          <w:p w14:paraId="23E771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00FA880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дает сквозное пробитие с дальностей: 1000 м - 82-мм бортовой брони, 500 м -100-мм лобовой брони.</w:t>
            </w:r>
          </w:p>
          <w:p w14:paraId="264256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7603B0E" w14:textId="77777777">
        <w:trPr>
          <w:trHeight w:val="442"/>
        </w:trPr>
        <w:tc>
          <w:tcPr>
            <w:tcW w:w="4598" w:type="dxa"/>
            <w:tcBorders>
              <w:top w:val="single" w:sz="6" w:space="0" w:color="auto"/>
              <w:left w:val="single" w:sz="6" w:space="0" w:color="auto"/>
              <w:bottom w:val="single" w:sz="6" w:space="0" w:color="auto"/>
              <w:right w:val="single" w:sz="6" w:space="0" w:color="auto"/>
            </w:tcBorders>
          </w:tcPr>
          <w:p w14:paraId="1FD450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76-мм отечественный бронебойный снаряд "Бр-350б" при нач. скорости 662 м/с и весе снаряда -6,5 кг.</w:t>
            </w:r>
          </w:p>
          <w:p w14:paraId="2F16F9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1F7BAA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стрельбе по 82-мм бортовой броне: с дальности 100 м - не пробивает, с дальности 200 м - пробивает, с дальности 500 м - дает 50% пробоину.</w:t>
            </w:r>
          </w:p>
          <w:p w14:paraId="664746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21C66E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Комиссия пришла к заключению, что американские 76-мм бронебойные снаряды пробивают броню немецких танков Тигр Н с дальностей в 2-2,5 раза больших по сравнению с бронепробивае-мостью 85-мм отечественных бронебойных снарядов.</w:t>
      </w:r>
    </w:p>
    <w:p w14:paraId="54879D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полигонных испытаниях 22-30.04.1943 г. 85-мм отечественные бронебойные снаряды пока</w:t>
      </w:r>
      <w:r w:rsidRPr="00925F26">
        <w:rPr>
          <w:color w:val="000000" w:themeColor="text1"/>
          <w:sz w:val="16"/>
          <w:szCs w:val="16"/>
        </w:rPr>
        <w:softHyphen/>
        <w:t>зывали лучшие результаты, давая сквозные пробоины 82-мм брони с дистанции 1350-1500 м.</w:t>
      </w:r>
    </w:p>
    <w:p w14:paraId="71A57C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Бронепробиваемость 76-мм снаряда отечественного производства не установлена, т.к. получе</w:t>
      </w:r>
      <w:r w:rsidRPr="00925F26">
        <w:rPr>
          <w:color w:val="000000" w:themeColor="text1"/>
          <w:sz w:val="16"/>
          <w:szCs w:val="16"/>
        </w:rPr>
        <w:softHyphen/>
        <w:t>ны противоречивые результаты, а именно — броня с меньших дистанций не пробивается, а с боль</w:t>
      </w:r>
      <w:r w:rsidRPr="00925F26">
        <w:rPr>
          <w:color w:val="000000" w:themeColor="text1"/>
          <w:sz w:val="16"/>
          <w:szCs w:val="16"/>
        </w:rPr>
        <w:softHyphen/>
        <w:t>ших дистанций пробивается.</w:t>
      </w:r>
    </w:p>
    <w:p w14:paraId="74AD9F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Предположительно, это может быть объяснено неправильной работой взрывателя.</w:t>
      </w:r>
    </w:p>
    <w:p w14:paraId="43BD1A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указаний народному комиссару боеприпасов т. Ванникову и начальнику Главно</w:t>
      </w:r>
      <w:r w:rsidRPr="00925F26">
        <w:rPr>
          <w:color w:val="000000" w:themeColor="text1"/>
          <w:sz w:val="16"/>
          <w:szCs w:val="16"/>
        </w:rPr>
        <w:softHyphen/>
        <w:t>го артиллерийского управления маршалу артиллерии т. Яковлеву провести на Главном артиллерий</w:t>
      </w:r>
      <w:r w:rsidRPr="00925F26">
        <w:rPr>
          <w:color w:val="000000" w:themeColor="text1"/>
          <w:sz w:val="16"/>
          <w:szCs w:val="16"/>
        </w:rPr>
        <w:softHyphen/>
        <w:t>ском полигоне по совместно разработанной программе и с участием представителей ГБТУ КА сле</w:t>
      </w:r>
      <w:r w:rsidRPr="00925F26">
        <w:rPr>
          <w:color w:val="000000" w:themeColor="text1"/>
          <w:sz w:val="16"/>
          <w:szCs w:val="16"/>
        </w:rPr>
        <w:softHyphen/>
        <w:t>дующие стрельбы:</w:t>
      </w:r>
    </w:p>
    <w:p w14:paraId="48BD2EB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Сравнительный отстрел 76-мм американских и 85-мм отечественных бронебойных снарядов по эталонным бронеплитам.</w:t>
      </w:r>
    </w:p>
    <w:p w14:paraId="1CB6CB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Специальный отстрел 76-мм отечественных бронебойных снарядов для выявления причин их ненормального действия по броне.</w:t>
      </w:r>
    </w:p>
    <w:p w14:paraId="2BBAE1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Прошу обязать НКБ и ГАУ КА улучшить бронепробиваемость 76-мм и 85-мм бронебойных сна</w:t>
      </w:r>
      <w:r w:rsidRPr="00925F26">
        <w:rPr>
          <w:color w:val="000000" w:themeColor="text1"/>
          <w:sz w:val="16"/>
          <w:szCs w:val="16"/>
        </w:rPr>
        <w:softHyphen/>
        <w:t>рядов танковых и самоходных орудий.</w:t>
      </w:r>
    </w:p>
    <w:p w14:paraId="3B5A62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15795B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Член военного совета БТ и МВ КА генерал-полковник танковых войск Н. Бирюков</w:t>
      </w:r>
    </w:p>
    <w:p w14:paraId="6BA77F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11369. Д. 709. Л. 3-4. Копия (11420).</w:t>
      </w:r>
    </w:p>
    <w:p w14:paraId="13C4FAAB" w14:textId="77777777" w:rsidR="00C2313B" w:rsidRPr="00925F26" w:rsidRDefault="00C2313B" w:rsidP="00925F26">
      <w:pPr>
        <w:autoSpaceDE w:val="0"/>
        <w:autoSpaceDN w:val="0"/>
        <w:adjustRightInd w:val="0"/>
        <w:jc w:val="both"/>
        <w:rPr>
          <w:color w:val="000000" w:themeColor="text1"/>
          <w:sz w:val="16"/>
          <w:szCs w:val="16"/>
        </w:rPr>
      </w:pPr>
    </w:p>
    <w:p w14:paraId="06D138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января 1945 г. была подготовлена ДОКЛАДНАЯ ЗАПИСКА ЗАМЕСТИТЕЛЯ НАЧАЛЬНИКА АВТОМОБИЛЬНОГО УПРАВЛЕНИЯ ЗАКАВКАЗСКОГО ФРОНТА НАЧАЛЬНИКУ УПРАВЛЕНИЯ ЭКСПЛУАТАЦИИ И АВТОПЕРЕВОЗОК ГАВТУ КА ПО ОПЫТУ ЭКСПЛУАТАЦИИ ИМПОРТНЫХ АВТОМАШИН ФОРД-6 № 2/089</w:t>
      </w:r>
    </w:p>
    <w:p w14:paraId="236ACF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Опыт и практика эксплуатации импортных автомашин марки Форд-6 (298Т) в войсковых час</w:t>
      </w:r>
      <w:r w:rsidRPr="00925F26">
        <w:rPr>
          <w:color w:val="000000" w:themeColor="text1"/>
          <w:sz w:val="16"/>
          <w:szCs w:val="16"/>
        </w:rPr>
        <w:softHyphen/>
        <w:t>тях и соединениях показали, что расход бензина на указанной марке машин не укладывается в нор</w:t>
      </w:r>
      <w:r w:rsidRPr="00925F26">
        <w:rPr>
          <w:color w:val="000000" w:themeColor="text1"/>
          <w:sz w:val="16"/>
          <w:szCs w:val="16"/>
        </w:rPr>
        <w:softHyphen/>
        <w:t>му 183 грамма на один километр пробега, установленную приказом начальника тыла КА №6 1944 г.</w:t>
      </w:r>
    </w:p>
    <w:p w14:paraId="53B76F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установления фактического расхода бензина в 4-й армии были проведены испытания на про</w:t>
      </w:r>
      <w:r w:rsidRPr="00925F26">
        <w:rPr>
          <w:color w:val="000000" w:themeColor="text1"/>
          <w:sz w:val="16"/>
          <w:szCs w:val="16"/>
        </w:rPr>
        <w:softHyphen/>
        <w:t>тяжении длительного периода как с грузом, так и без груза. Машины, подвергавшиеся испытательно</w:t>
      </w:r>
      <w:r w:rsidRPr="00925F26">
        <w:rPr>
          <w:color w:val="000000" w:themeColor="text1"/>
          <w:sz w:val="16"/>
          <w:szCs w:val="16"/>
        </w:rPr>
        <w:softHyphen/>
        <w:t>му пробегу, были вполне технически исправными и имели пробег в среднем от 6 до 12 тысяч миль.</w:t>
      </w:r>
    </w:p>
    <w:p w14:paraId="3F43D2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машин проводились в 524 ОАТБ, 366 ОАТР, автороте подвоза 90-й отдельной стрел</w:t>
      </w:r>
      <w:r w:rsidRPr="00925F26">
        <w:rPr>
          <w:color w:val="000000" w:themeColor="text1"/>
          <w:sz w:val="16"/>
          <w:szCs w:val="16"/>
        </w:rPr>
        <w:softHyphen/>
        <w:t>ковой бригады и др. войсковых частях в условиях равнинных и горных дорог.</w:t>
      </w:r>
    </w:p>
    <w:p w14:paraId="27E6E1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Одновременно с этим «Ирансовтрансом» были проведены специальные испытания по опреде</w:t>
      </w:r>
      <w:r w:rsidRPr="00925F26">
        <w:rPr>
          <w:color w:val="000000" w:themeColor="text1"/>
          <w:sz w:val="16"/>
          <w:szCs w:val="16"/>
        </w:rPr>
        <w:softHyphen/>
        <w:t>лению расхода горючего новыми машинами Форд-6 при перегонке их по трассе Хорем-Шехер-Джульфа протяженностью 1890 км.</w:t>
      </w:r>
    </w:p>
    <w:p w14:paraId="5F7376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Испытывались 10 машин Форд-6.</w:t>
      </w:r>
    </w:p>
    <w:p w14:paraId="6B8CAA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Результаты испытания сведены в помещаемую таблицу.</w:t>
      </w:r>
    </w:p>
    <w:tbl>
      <w:tblPr>
        <w:tblW w:w="0" w:type="auto"/>
        <w:tblInd w:w="40" w:type="dxa"/>
        <w:tblLayout w:type="fixed"/>
        <w:tblCellMar>
          <w:left w:w="40" w:type="dxa"/>
          <w:right w:w="40" w:type="dxa"/>
        </w:tblCellMar>
        <w:tblLook w:val="0000" w:firstRow="0" w:lastRow="0" w:firstColumn="0" w:lastColumn="0" w:noHBand="0" w:noVBand="0"/>
      </w:tblPr>
      <w:tblGrid>
        <w:gridCol w:w="1498"/>
        <w:gridCol w:w="1421"/>
        <w:gridCol w:w="960"/>
        <w:gridCol w:w="1594"/>
        <w:gridCol w:w="941"/>
        <w:gridCol w:w="1306"/>
        <w:gridCol w:w="979"/>
        <w:gridCol w:w="797"/>
      </w:tblGrid>
      <w:tr w:rsidR="000F5689" w:rsidRPr="00925F26" w14:paraId="2554D29E" w14:textId="77777777">
        <w:trPr>
          <w:trHeight w:val="778"/>
        </w:trPr>
        <w:tc>
          <w:tcPr>
            <w:tcW w:w="1498" w:type="dxa"/>
            <w:tcBorders>
              <w:top w:val="single" w:sz="6" w:space="0" w:color="auto"/>
              <w:left w:val="single" w:sz="6" w:space="0" w:color="auto"/>
              <w:bottom w:val="single" w:sz="6" w:space="0" w:color="auto"/>
              <w:right w:val="single" w:sz="6" w:space="0" w:color="auto"/>
            </w:tcBorders>
          </w:tcPr>
          <w:p w14:paraId="0E8158B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в/части</w:t>
            </w:r>
          </w:p>
          <w:p w14:paraId="1335EB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68EF6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Марка машины</w:t>
            </w:r>
          </w:p>
          <w:p w14:paraId="05A5B0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08097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Кол-во машин</w:t>
            </w:r>
          </w:p>
          <w:p w14:paraId="2034DD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71A12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Пройд, килом. при исп.</w:t>
            </w:r>
          </w:p>
          <w:p w14:paraId="2E5722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DC9A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Нагрузка в тоннах</w:t>
            </w:r>
          </w:p>
          <w:p w14:paraId="2D25EB6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C3EB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Условия испытания</w:t>
            </w:r>
          </w:p>
          <w:p w14:paraId="514022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47DEB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Расход ГСМ на 1 км пробега от</w:t>
            </w:r>
            <w:proofErr w:type="gramStart"/>
            <w:r w:rsidRPr="00925F26">
              <w:rPr>
                <w:color w:val="000000" w:themeColor="text1"/>
                <w:sz w:val="16"/>
                <w:szCs w:val="16"/>
              </w:rPr>
              <w:t xml:space="preserve"> ....</w:t>
            </w:r>
            <w:proofErr w:type="gramEnd"/>
            <w:r w:rsidRPr="00925F26">
              <w:rPr>
                <w:color w:val="000000" w:themeColor="text1"/>
                <w:sz w:val="16"/>
                <w:szCs w:val="16"/>
              </w:rPr>
              <w:t>до... 'гр</w:t>
            </w:r>
          </w:p>
          <w:p w14:paraId="0DBEC7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AF214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Средний расход ГСМ на1 км пробега</w:t>
            </w:r>
          </w:p>
          <w:p w14:paraId="64016A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6BC7D9E" w14:textId="77777777">
        <w:trPr>
          <w:trHeight w:val="192"/>
        </w:trPr>
        <w:tc>
          <w:tcPr>
            <w:tcW w:w="1498" w:type="dxa"/>
            <w:tcBorders>
              <w:top w:val="single" w:sz="6" w:space="0" w:color="auto"/>
              <w:left w:val="single" w:sz="6" w:space="0" w:color="auto"/>
              <w:bottom w:val="single" w:sz="6" w:space="0" w:color="auto"/>
              <w:right w:val="single" w:sz="6" w:space="0" w:color="auto"/>
            </w:tcBorders>
          </w:tcPr>
          <w:p w14:paraId="4220BC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524 ОАТВ</w:t>
            </w:r>
          </w:p>
          <w:p w14:paraId="7CFCE5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D0BC6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17C712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B306F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1C2876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75B3D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350</w:t>
            </w:r>
          </w:p>
          <w:p w14:paraId="625CCA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CE416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753BC2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0B225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гор. дор.</w:t>
            </w:r>
          </w:p>
          <w:p w14:paraId="1D43BE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AFAE9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235-300</w:t>
            </w:r>
          </w:p>
          <w:p w14:paraId="16E853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9E8D8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267 ^</w:t>
            </w:r>
          </w:p>
          <w:p w14:paraId="24C00C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52E6649" w14:textId="77777777">
        <w:trPr>
          <w:trHeight w:val="202"/>
        </w:trPr>
        <w:tc>
          <w:tcPr>
            <w:tcW w:w="1498" w:type="dxa"/>
            <w:tcBorders>
              <w:top w:val="single" w:sz="6" w:space="0" w:color="auto"/>
              <w:left w:val="single" w:sz="6" w:space="0" w:color="auto"/>
              <w:bottom w:val="single" w:sz="6" w:space="0" w:color="auto"/>
              <w:right w:val="single" w:sz="6" w:space="0" w:color="auto"/>
            </w:tcBorders>
          </w:tcPr>
          <w:p w14:paraId="382C05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366 ОАТР</w:t>
            </w:r>
          </w:p>
          <w:p w14:paraId="0BEDC0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FB09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4BB8D9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D7C44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7364CB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CE7FD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2660</w:t>
            </w:r>
          </w:p>
          <w:p w14:paraId="6B0459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0E151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7EF342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53AA4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равнин, дороги</w:t>
            </w:r>
          </w:p>
          <w:p w14:paraId="45D3F4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F54C5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238-254</w:t>
            </w:r>
          </w:p>
          <w:p w14:paraId="2220F9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61C12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246 П</w:t>
            </w:r>
          </w:p>
          <w:p w14:paraId="5E0086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6CE0D46" w14:textId="77777777">
        <w:trPr>
          <w:trHeight w:val="192"/>
        </w:trPr>
        <w:tc>
          <w:tcPr>
            <w:tcW w:w="1498" w:type="dxa"/>
            <w:tcBorders>
              <w:top w:val="single" w:sz="6" w:space="0" w:color="auto"/>
              <w:left w:val="single" w:sz="6" w:space="0" w:color="auto"/>
              <w:bottom w:val="single" w:sz="6" w:space="0" w:color="auto"/>
              <w:right w:val="single" w:sz="6" w:space="0" w:color="auto"/>
            </w:tcBorders>
          </w:tcPr>
          <w:p w14:paraId="7016DE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 ОСТЕР</w:t>
            </w:r>
          </w:p>
          <w:p w14:paraId="3865A8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EF8AE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153C36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433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5061D3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4000D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555</w:t>
            </w:r>
          </w:p>
          <w:p w14:paraId="210FA4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025B7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1,8-2,2</w:t>
            </w:r>
          </w:p>
          <w:p w14:paraId="720391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041E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равнин, дороги</w:t>
            </w:r>
          </w:p>
          <w:p w14:paraId="4F00D6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290C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228-269</w:t>
            </w:r>
          </w:p>
          <w:p w14:paraId="37C5F9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40FD24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247 1</w:t>
            </w:r>
          </w:p>
          <w:p w14:paraId="4A6885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FC81B64" w14:textId="77777777">
        <w:trPr>
          <w:trHeight w:val="394"/>
        </w:trPr>
        <w:tc>
          <w:tcPr>
            <w:tcW w:w="1498" w:type="dxa"/>
            <w:tcBorders>
              <w:top w:val="single" w:sz="6" w:space="0" w:color="auto"/>
              <w:left w:val="single" w:sz="6" w:space="0" w:color="auto"/>
              <w:bottom w:val="single" w:sz="6" w:space="0" w:color="auto"/>
              <w:right w:val="single" w:sz="6" w:space="0" w:color="auto"/>
            </w:tcBorders>
          </w:tcPr>
          <w:p w14:paraId="49E002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Ирансовтранс</w:t>
            </w:r>
          </w:p>
          <w:p w14:paraId="31C930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E5CBE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16FC7F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B1B6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0FBD57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DC6D2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1890</w:t>
            </w:r>
          </w:p>
          <w:p w14:paraId="7F85B7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7D091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275BCA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7BDB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горно-равнин. дороги</w:t>
            </w:r>
          </w:p>
          <w:p w14:paraId="3596A5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F5520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218-269</w:t>
            </w:r>
          </w:p>
          <w:p w14:paraId="2FCD1A3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A741E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243 1</w:t>
            </w:r>
          </w:p>
          <w:p w14:paraId="03CD8D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3ACFCF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Таким образом, испытания показали, что во всех случаях машины Форд перерасходуют горю-| чее в пределах 30 — 45%.</w:t>
      </w:r>
    </w:p>
    <w:p w14:paraId="5163CA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того, согласно месячным отчетам, предоставляемым войсковыми частями и соединени*| ями, перерасход горючего по машинам Форд-6 имеется без исключения во всех частях, дислоцирующихся во всех районах фронта, и составляет 30 — 40% против установленной нормы.</w:t>
      </w:r>
    </w:p>
    <w:p w14:paraId="7C6456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Причиной перерасхода горючего автомашинами Форд-6 является явное несоответствие новленной эксплуатационной нормы расхода бензина на автомашины указанной марки.</w:t>
      </w:r>
    </w:p>
    <w:p w14:paraId="305450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Копии актов препровождают на заключение.</w:t>
      </w:r>
    </w:p>
    <w:p w14:paraId="2DAD24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акты испытаний на 17 листах, только адресату.</w:t>
      </w:r>
    </w:p>
    <w:p w14:paraId="666B07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АВТУ Закавказского фрон полковник Конопле</w:t>
      </w:r>
    </w:p>
    <w:p w14:paraId="33099B3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2 отдела АВТУ Закавказского фрон подполковник Шуби</w:t>
      </w:r>
    </w:p>
    <w:p w14:paraId="1294A8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41. Оп. 11592. Д. 401. Л. 1,2. Подлинник (11420).</w:t>
      </w:r>
    </w:p>
    <w:p w14:paraId="6C0C86CC" w14:textId="77777777" w:rsidR="00C2313B" w:rsidRPr="00925F26" w:rsidRDefault="00C2313B" w:rsidP="00925F26">
      <w:pPr>
        <w:autoSpaceDE w:val="0"/>
        <w:autoSpaceDN w:val="0"/>
        <w:adjustRightInd w:val="0"/>
        <w:jc w:val="both"/>
        <w:rPr>
          <w:color w:val="000000" w:themeColor="text1"/>
          <w:sz w:val="16"/>
          <w:szCs w:val="16"/>
        </w:rPr>
      </w:pPr>
    </w:p>
    <w:p w14:paraId="379C401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7296 [О плане заготовки древесины в Киргизской ССР и мобилизации 950 рабочих и 650 возчиков с лошадьми до 1 марта 1945 г.] (7295, 200).</w:t>
      </w:r>
    </w:p>
    <w:p w14:paraId="00536F2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BDADE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7297. О мерах по увеличению в январе 1945 г. вывоза хлебных грузов из Румынии через Черноморские порты. РГАНИР, Фонд ГКО, д. 348, лл. 201 (11012).</w:t>
      </w:r>
    </w:p>
    <w:p w14:paraId="36840C8F" w14:textId="77777777" w:rsidR="00C2313B" w:rsidRPr="00925F26" w:rsidRDefault="00C2313B" w:rsidP="00925F26">
      <w:pPr>
        <w:autoSpaceDE w:val="0"/>
        <w:autoSpaceDN w:val="0"/>
        <w:adjustRightInd w:val="0"/>
        <w:jc w:val="both"/>
        <w:rPr>
          <w:color w:val="000000" w:themeColor="text1"/>
          <w:sz w:val="16"/>
          <w:szCs w:val="16"/>
        </w:rPr>
      </w:pPr>
    </w:p>
    <w:p w14:paraId="02E288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7298. О мерах по обеспечению сырьем стекольных заводов НКСМ СССР. РГАНИР, Фонд ГКО, д. 348, лл. 202, 203 (11012).</w:t>
      </w:r>
    </w:p>
    <w:p w14:paraId="47935D84" w14:textId="77777777" w:rsidR="00C2313B" w:rsidRPr="00925F26" w:rsidRDefault="00C2313B" w:rsidP="00925F26">
      <w:pPr>
        <w:autoSpaceDE w:val="0"/>
        <w:autoSpaceDN w:val="0"/>
        <w:adjustRightInd w:val="0"/>
        <w:jc w:val="both"/>
        <w:rPr>
          <w:color w:val="000000" w:themeColor="text1"/>
          <w:sz w:val="16"/>
          <w:szCs w:val="16"/>
        </w:rPr>
      </w:pPr>
    </w:p>
    <w:p w14:paraId="7B777A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7299. Об отгрузке НКСМ автомашин для НКВ, НКМВ, НКЧМ, НКЭС, НКЭП, НКСП, НКТП и НКВРГАНИР, Фонд ГКО, д. РГАНИР, Фонд ГКО, д. 348, лл. 204, 205 (11012).</w:t>
      </w:r>
    </w:p>
    <w:p w14:paraId="31A75B22" w14:textId="77777777" w:rsidR="00C2313B" w:rsidRPr="00925F26" w:rsidRDefault="00C2313B" w:rsidP="00925F26">
      <w:pPr>
        <w:autoSpaceDE w:val="0"/>
        <w:autoSpaceDN w:val="0"/>
        <w:adjustRightInd w:val="0"/>
        <w:jc w:val="both"/>
        <w:rPr>
          <w:color w:val="000000" w:themeColor="text1"/>
          <w:sz w:val="16"/>
          <w:szCs w:val="16"/>
        </w:rPr>
      </w:pPr>
    </w:p>
    <w:p w14:paraId="7C6004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7300. О мерах по ликвидации последствий взрыва на заводе № 388 НКБ. РГАНИР, Фонд ГКО, д. 348, лл. 206-207 (11012).</w:t>
      </w:r>
    </w:p>
    <w:p w14:paraId="0A9900C9" w14:textId="77777777" w:rsidR="00C2313B" w:rsidRPr="00925F26" w:rsidRDefault="00C2313B" w:rsidP="00925F26">
      <w:pPr>
        <w:autoSpaceDE w:val="0"/>
        <w:autoSpaceDN w:val="0"/>
        <w:adjustRightInd w:val="0"/>
        <w:jc w:val="both"/>
        <w:rPr>
          <w:color w:val="000000" w:themeColor="text1"/>
          <w:sz w:val="16"/>
          <w:szCs w:val="16"/>
        </w:rPr>
      </w:pPr>
    </w:p>
    <w:p w14:paraId="2ABFDCB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11 января 1945 вышло Распоряжение ГКО № 7301 [Об отсрочке до 1 июля 1945 г. переселения рабочих завода № 112 НКТП из помещений Дома культуры и клубов.] (7295, 208).</w:t>
      </w:r>
    </w:p>
    <w:p w14:paraId="1D82123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201D6B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7302 [О возвращении в Ригу эвакуированных членов семей работников наркоматов Латвийской ССР.] (7295, 209).</w:t>
      </w:r>
    </w:p>
    <w:p w14:paraId="3B972BA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172AB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7303. Об отмене п.2 постановления ГКО от 29 декабря 1944 г. № 7234. РГАНИР, Фонд ГКО, д. 348, лл. 210 (11012).</w:t>
      </w:r>
    </w:p>
    <w:p w14:paraId="172CA3DC" w14:textId="77777777" w:rsidR="00C2313B" w:rsidRPr="00925F26" w:rsidRDefault="00C2313B" w:rsidP="00925F26">
      <w:pPr>
        <w:autoSpaceDE w:val="0"/>
        <w:autoSpaceDN w:val="0"/>
        <w:adjustRightInd w:val="0"/>
        <w:jc w:val="both"/>
        <w:rPr>
          <w:color w:val="000000" w:themeColor="text1"/>
          <w:sz w:val="16"/>
          <w:szCs w:val="16"/>
        </w:rPr>
      </w:pPr>
    </w:p>
    <w:p w14:paraId="2696DBA8"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7304 [О передаче НКВД лабораторно-бумажной машины, полученной из Швеции.] (7295, 211).</w:t>
      </w:r>
    </w:p>
    <w:p w14:paraId="0475805F"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ACA62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7305. О плане производства металлических звеньев для взлетно-посадочных полос. РГАНИР, Фонд ГКО, д. 348, лл. 212 (11012).</w:t>
      </w:r>
    </w:p>
    <w:p w14:paraId="313D2558" w14:textId="77777777" w:rsidR="00C2313B" w:rsidRPr="00925F26" w:rsidRDefault="00C2313B" w:rsidP="00925F26">
      <w:pPr>
        <w:autoSpaceDE w:val="0"/>
        <w:autoSpaceDN w:val="0"/>
        <w:adjustRightInd w:val="0"/>
        <w:jc w:val="both"/>
        <w:rPr>
          <w:color w:val="000000" w:themeColor="text1"/>
          <w:sz w:val="16"/>
          <w:szCs w:val="16"/>
        </w:rPr>
      </w:pPr>
    </w:p>
    <w:p w14:paraId="11CE76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вышло Распоряжение ГКО № 7306. Об уменьшении поставок НКО картофеля и овощей из Рязанской, Воронежской обл. и Казахской ССР и передаче излишков для рабочих оборонных предприятий. РГАНИР, Фонд ГКО, д. 348, лл. 213 (11012).</w:t>
      </w:r>
    </w:p>
    <w:p w14:paraId="38AEEFDB" w14:textId="77777777" w:rsidR="00C2313B" w:rsidRPr="00925F26" w:rsidRDefault="00C2313B" w:rsidP="00925F26">
      <w:pPr>
        <w:autoSpaceDE w:val="0"/>
        <w:autoSpaceDN w:val="0"/>
        <w:adjustRightInd w:val="0"/>
        <w:jc w:val="both"/>
        <w:rPr>
          <w:color w:val="000000" w:themeColor="text1"/>
          <w:sz w:val="16"/>
          <w:szCs w:val="16"/>
        </w:rPr>
      </w:pPr>
    </w:p>
    <w:p w14:paraId="2A34764F" w14:textId="77777777" w:rsidR="002D257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9AB6EB2" w14:textId="77777777" w:rsidR="002D2573" w:rsidRPr="00925F26" w:rsidRDefault="002D2573" w:rsidP="00925F26">
      <w:pPr>
        <w:autoSpaceDE w:val="0"/>
        <w:autoSpaceDN w:val="0"/>
        <w:adjustRightInd w:val="0"/>
        <w:jc w:val="both"/>
        <w:rPr>
          <w:iCs/>
          <w:color w:val="000000" w:themeColor="text1"/>
          <w:sz w:val="16"/>
          <w:szCs w:val="16"/>
        </w:rPr>
      </w:pPr>
    </w:p>
    <w:p w14:paraId="00C26CC6" w14:textId="77777777" w:rsidR="002D2573" w:rsidRPr="00925F26" w:rsidRDefault="002D2573" w:rsidP="00925F26">
      <w:pPr>
        <w:jc w:val="both"/>
        <w:rPr>
          <w:color w:val="000000" w:themeColor="text1"/>
          <w:sz w:val="16"/>
          <w:szCs w:val="16"/>
        </w:rPr>
      </w:pPr>
      <w:r w:rsidRPr="00925F26">
        <w:rPr>
          <w:bCs/>
          <w:color w:val="000000" w:themeColor="text1"/>
          <w:sz w:val="16"/>
          <w:szCs w:val="16"/>
        </w:rPr>
        <w:t>11 января</w:t>
      </w:r>
      <w:r w:rsidRPr="00925F26">
        <w:rPr>
          <w:color w:val="000000" w:themeColor="text1"/>
          <w:sz w:val="16"/>
          <w:szCs w:val="16"/>
        </w:rPr>
        <w:t xml:space="preserve"> в 1945 году оперативная сводка Совинформбюро:</w:t>
      </w:r>
    </w:p>
    <w:p w14:paraId="3DD38DB2" w14:textId="77777777" w:rsidR="002D2573" w:rsidRPr="00925F26" w:rsidRDefault="002D2573" w:rsidP="00925F26">
      <w:pPr>
        <w:jc w:val="both"/>
        <w:rPr>
          <w:color w:val="000000" w:themeColor="text1"/>
          <w:sz w:val="16"/>
          <w:szCs w:val="16"/>
        </w:rPr>
      </w:pPr>
      <w:r w:rsidRPr="00925F26">
        <w:rPr>
          <w:color w:val="000000" w:themeColor="text1"/>
          <w:sz w:val="16"/>
          <w:szCs w:val="16"/>
        </w:rPr>
        <w:t>«В течение 11 января в районе Будапешта наши войска, продолжая бои по уничтожению окружённой в городе группировки противника, овладели городским районом Андьалфелд, железнодорожной станцией Ракоши, казармами «Пальффи» и «Андраши», железнодорожной товарной станцией, машиностроительным заводом «Ганц Данубе», заняв при этом 150 кварталов. За 10 января в городе Будапеште взято в плен более 1.000 немецких и венгерских солдат и офицеров.</w:t>
      </w:r>
    </w:p>
    <w:p w14:paraId="77EFAE1E"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наши войска отбивали атаки крупных сил пехоты и танков противника и нанесли ему большие потери.</w:t>
      </w:r>
    </w:p>
    <w:p w14:paraId="40F7B301" w14:textId="77777777" w:rsidR="002D2573" w:rsidRPr="00925F26" w:rsidRDefault="002D2573"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799AFBCF" w14:textId="77777777" w:rsidR="002D2573" w:rsidRPr="00925F26" w:rsidRDefault="002D2573" w:rsidP="00925F26">
      <w:pPr>
        <w:jc w:val="both"/>
        <w:rPr>
          <w:color w:val="000000" w:themeColor="text1"/>
          <w:sz w:val="16"/>
          <w:szCs w:val="16"/>
        </w:rPr>
      </w:pPr>
      <w:r w:rsidRPr="00925F26">
        <w:rPr>
          <w:color w:val="000000" w:themeColor="text1"/>
          <w:sz w:val="16"/>
          <w:szCs w:val="16"/>
        </w:rPr>
        <w:t>За 10 января наши войска на всех фронтах подбили и уничтожили 42 немецких танка.</w:t>
      </w:r>
    </w:p>
    <w:p w14:paraId="49BB3B38" w14:textId="77777777" w:rsidR="002D2573" w:rsidRPr="00925F26" w:rsidRDefault="002D2573" w:rsidP="00925F26">
      <w:pPr>
        <w:jc w:val="both"/>
        <w:rPr>
          <w:color w:val="000000" w:themeColor="text1"/>
          <w:sz w:val="16"/>
          <w:szCs w:val="16"/>
        </w:rPr>
      </w:pPr>
      <w:r w:rsidRPr="00925F26">
        <w:rPr>
          <w:color w:val="000000" w:themeColor="text1"/>
          <w:sz w:val="16"/>
          <w:szCs w:val="16"/>
        </w:rPr>
        <w:t>В Будапеште наши войска вели уличные бои. Советские штурмовые отряды, нанося противнику непрерывные удары, очищают от гитлеровцев один квартал за другим. С боями продвигаясь вперёд, наши войска овладели всей северо-восточной частью города, заняв при этом много промышленных предприятий. Особенно ожесточенный бой произошёл за цементный завод. Ночью бойцы подразделения старшего лейтенанта Шкреда очистили ряд кварталов и атаковали завод с запада. Гитлеровцы оказывали упорное сопротивление, но были разгромлены. На другом участке наши гвардейские подразделения блокировали и полностью уничтожили гарнизон противника, оборонявший сортировочную станцию Ракоши. Развивая успех, гвардейцы ворвались в парк Варошлигет и ведут бои с засевшими в нём немцами. В центральной части города наши войска очищают от врага улицу за улицей и, приближаясь к Дунаю, всё теснее сжимают кольцо окружения. Противник, отступая, оставляет на месте боя много трупов своих солдат и офицеров, большое количество оружия и военных материалов. Только одна наша часть за день боёв уничтожила до 400 немецких солдат и офицеров, 5 танков и самоходных орудий. Бойцами этой части захвачено у немцев 12 орудий и миномётов, 26 пулемётов и 3 склада боеприпасов.</w:t>
      </w:r>
    </w:p>
    <w:p w14:paraId="2EDBB979" w14:textId="77777777" w:rsidR="002D2573" w:rsidRPr="00925F26" w:rsidRDefault="002D2573" w:rsidP="00925F26">
      <w:pPr>
        <w:jc w:val="both"/>
        <w:rPr>
          <w:color w:val="000000" w:themeColor="text1"/>
          <w:sz w:val="16"/>
          <w:szCs w:val="16"/>
        </w:rPr>
      </w:pPr>
      <w:r w:rsidRPr="00925F26">
        <w:rPr>
          <w:color w:val="000000" w:themeColor="text1"/>
          <w:sz w:val="16"/>
          <w:szCs w:val="16"/>
        </w:rPr>
        <w:t>Взятые в плен немецкие и венгерские солдаты рассказывают о всё более ухудшающемся положении окружённых в Будапеште немецко-венгерских войск. Немецкое командование не доверяет своим солдатам. Пленные сообщили, что позади их подразделений находились группы эсэсовцев. Этим группам эсэсовцев дан приказ расстреливать каждого, кто попытается сдаться в плен.</w:t>
      </w:r>
    </w:p>
    <w:p w14:paraId="3E672089"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Будапешта танки и пехота противника paно утром атаковали наши позиции. Завязался ожесточённый бой, в ходе которого отдельные высоты неоднократно переходили из рук в руки. К вечеру советские части отбросили гитлеровцев на исходный рубеж. На поле боя осталось много вражеских трупов и разбитой техники противника. Западнее Будапешта немцы возобновили атаки с двух направлений. Советские артиллеристы, бронебойщики и пехотинцы встретили врага мощным огнём. После многочасового боя гитлеровцы отступили. Отдельные группы вражеских пехотинцев, которым удалось приблизиться к нашим позициям, были ликвидированы. По неполным данным, наши войска уничтожили более 900 гитлеровцев. Сожжено и подбито 19 танков и 7 бронетранспортёров противника. Взято в плен 96 немецких солдат и офицеров.</w:t>
      </w:r>
    </w:p>
    <w:p w14:paraId="15580FD9" w14:textId="77777777" w:rsidR="002D2573" w:rsidRPr="00925F26" w:rsidRDefault="002D2573" w:rsidP="00925F26">
      <w:pPr>
        <w:jc w:val="both"/>
        <w:rPr>
          <w:color w:val="000000" w:themeColor="text1"/>
          <w:sz w:val="16"/>
          <w:szCs w:val="16"/>
        </w:rPr>
      </w:pPr>
      <w:r w:rsidRPr="00925F26">
        <w:rPr>
          <w:color w:val="000000" w:themeColor="text1"/>
          <w:sz w:val="16"/>
          <w:szCs w:val="16"/>
        </w:rPr>
        <w:t>В Чехословакии, восточнее города Кошице, противник предпринял разведку боем. Отряд немецкой пехоты и 8 танков ночью двинулись к нашим позициям. Бойцы Н-ской части, подпустив гитлеровцев на близкое расстояние, открыли по ним огонь и подбили 6 танков. Затем наши подразделения перешли в контратаку и завершили разгром вражеского отряда. Захвачены 2 немецких танка и пленные. Уничтожено до роты гитлеровцев.</w:t>
      </w:r>
    </w:p>
    <w:p w14:paraId="6E64B6C5" w14:textId="77777777" w:rsidR="002D2573" w:rsidRPr="00925F26" w:rsidRDefault="002D2573" w:rsidP="00925F26">
      <w:pPr>
        <w:jc w:val="both"/>
        <w:rPr>
          <w:color w:val="000000" w:themeColor="text1"/>
          <w:sz w:val="16"/>
          <w:szCs w:val="16"/>
        </w:rPr>
      </w:pPr>
      <w:r w:rsidRPr="00925F26">
        <w:rPr>
          <w:color w:val="000000" w:themeColor="text1"/>
          <w:sz w:val="16"/>
          <w:szCs w:val="16"/>
        </w:rPr>
        <w:t>Жители районов Чехословакии, освобожденных от немецко-фашистских захватчиков, с радостью встречают Красную Армию. Крестьянка села Ладомирова Мария Бойчикова заявила: «Немцы нас ограбили и выгнали из домов. Население с нетерпением ждало русскую армию. Теперь для нас наступили светлые дни». Житель селения Вагринец Пётр Цындарь сказал: «Вы, русские солдаты и офицеры, делаете святое дело. Вы бьёте немцев и гоните их с нашей земли».</w:t>
      </w:r>
    </w:p>
    <w:p w14:paraId="28C49396" w14:textId="77777777" w:rsidR="002D2573" w:rsidRPr="00925F26" w:rsidRDefault="002D2573" w:rsidP="00925F26">
      <w:pPr>
        <w:jc w:val="both"/>
        <w:rPr>
          <w:color w:val="000000" w:themeColor="text1"/>
          <w:sz w:val="16"/>
          <w:szCs w:val="16"/>
        </w:rPr>
      </w:pPr>
      <w:r w:rsidRPr="00925F26">
        <w:rPr>
          <w:color w:val="000000" w:themeColor="text1"/>
          <w:sz w:val="16"/>
          <w:szCs w:val="16"/>
        </w:rPr>
        <w:t>Из ряда прифронтовых районов немцы насильно угоняли значительную часть населения. В селе Ладомирова было 170 семейств, осталось 30, в селе Вагринец было 40 семейств, а теперь осталась только 20. Из села Крайна-Поляна и Вишни Свидник гитлеровцы угнали поголовно всё население. В городе Прешове немцы устроили сборный лагерь, откуда мирных жителей группами отправляли на каторгу в Германию. Многие жители бежали от немцев и до прихода советских войск скрывались в лесах. Крестьянин села Крайна Чарно 67-летний старик Иван Кривко подошёл к группе советских бойцов, поклонился им, поцеловал каждого и сказал: «Спасибо, братцы». Затем Иван Кривко рассказал: «Немецкие бандиты сожгли мой дом, забрали весь скот и хлеб, а меня и моих детей погнали на запад. По дороге я сбежал от немцев и после скитаний по лесам вернулся в село. Чует моё сердце, что мои дети тоже вернутся из фашистского плена».</w:t>
      </w:r>
    </w:p>
    <w:p w14:paraId="185EAA40" w14:textId="77777777" w:rsidR="002D2573" w:rsidRPr="00925F26" w:rsidRDefault="002D2573" w:rsidP="00925F26">
      <w:pPr>
        <w:jc w:val="both"/>
        <w:rPr>
          <w:color w:val="000000" w:themeColor="text1"/>
          <w:sz w:val="16"/>
          <w:szCs w:val="16"/>
        </w:rPr>
      </w:pPr>
      <w:r w:rsidRPr="00925F26">
        <w:rPr>
          <w:color w:val="000000" w:themeColor="text1"/>
          <w:sz w:val="16"/>
          <w:szCs w:val="16"/>
        </w:rPr>
        <w:t>Население освобожденных районов Чехословакии оказывает частям Красной Армии всемерную помощь.» (15006).</w:t>
      </w:r>
    </w:p>
    <w:p w14:paraId="02B61B0B" w14:textId="77777777" w:rsidR="002D2573" w:rsidRPr="00925F26" w:rsidRDefault="002D2573" w:rsidP="00925F26">
      <w:pPr>
        <w:jc w:val="both"/>
        <w:rPr>
          <w:color w:val="000000" w:themeColor="text1"/>
          <w:sz w:val="16"/>
          <w:szCs w:val="16"/>
        </w:rPr>
      </w:pPr>
    </w:p>
    <w:p w14:paraId="1F38148B" w14:textId="669154CA" w:rsidR="002B4C11" w:rsidRPr="00925F26" w:rsidRDefault="002B4C11" w:rsidP="00925F26">
      <w:pPr>
        <w:jc w:val="both"/>
        <w:rPr>
          <w:color w:val="000000" w:themeColor="text1"/>
          <w:sz w:val="16"/>
          <w:szCs w:val="16"/>
        </w:rPr>
      </w:pPr>
      <w:r w:rsidRPr="00925F26">
        <w:rPr>
          <w:color w:val="000000" w:themeColor="text1"/>
          <w:sz w:val="16"/>
          <w:szCs w:val="16"/>
        </w:rPr>
        <w:t>11 января 1945, когда, по данным командования 1-го Гвардейского танкового корпуса вошли 1453-й САП, 1821-й САП и 382-й ГвСАП, имевшие на вооружении новые САУ,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w:t>
      </w:r>
      <w:r w:rsidR="00997EDF" w:rsidRPr="00925F26">
        <w:rPr>
          <w:color w:val="000000" w:themeColor="text1"/>
          <w:sz w:val="16"/>
          <w:szCs w:val="16"/>
        </w:rPr>
        <w:t xml:space="preserve">  </w:t>
      </w:r>
      <w:hyperlink r:id="rId11" w:history="1">
        <w:r w:rsidRPr="00925F26">
          <w:rPr>
            <w:rStyle w:val="a5"/>
            <w:color w:val="000000" w:themeColor="text1"/>
            <w:sz w:val="16"/>
            <w:szCs w:val="16"/>
          </w:rPr>
          <w:t>на подступах к Будапешту</w:t>
        </w:r>
      </w:hyperlink>
      <w:r w:rsidRPr="00925F26">
        <w:rPr>
          <w:color w:val="000000" w:themeColor="text1"/>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4578DE08" w14:textId="77777777" w:rsidR="002B4C11" w:rsidRPr="00925F26" w:rsidRDefault="002B4C11" w:rsidP="00925F26">
      <w:pPr>
        <w:jc w:val="both"/>
        <w:rPr>
          <w:color w:val="000000" w:themeColor="text1"/>
          <w:sz w:val="16"/>
          <w:szCs w:val="16"/>
        </w:rPr>
      </w:pPr>
      <w:r w:rsidRPr="00925F26">
        <w:rPr>
          <w:color w:val="000000" w:themeColor="text1"/>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48EAB8F7" w14:textId="6332E871" w:rsidR="002B4C11" w:rsidRPr="00925F26" w:rsidRDefault="002B4C11" w:rsidP="00925F26">
      <w:pPr>
        <w:jc w:val="both"/>
        <w:rPr>
          <w:color w:val="000000" w:themeColor="text1"/>
          <w:sz w:val="16"/>
          <w:szCs w:val="16"/>
        </w:rPr>
      </w:pPr>
      <w:r w:rsidRPr="00925F26">
        <w:rPr>
          <w:color w:val="000000" w:themeColor="text1"/>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w:t>
      </w:r>
      <w:r w:rsidR="00997EDF" w:rsidRPr="00925F26">
        <w:rPr>
          <w:color w:val="000000" w:themeColor="text1"/>
          <w:sz w:val="16"/>
          <w:szCs w:val="16"/>
        </w:rPr>
        <w:t xml:space="preserve">  </w:t>
      </w:r>
      <w:hyperlink r:id="rId12" w:history="1">
        <w:r w:rsidRPr="00925F26">
          <w:rPr>
            <w:rStyle w:val="a5"/>
            <w:color w:val="000000" w:themeColor="text1"/>
            <w:sz w:val="16"/>
            <w:szCs w:val="16"/>
          </w:rPr>
          <w:t>в районе озера Балатон</w:t>
        </w:r>
      </w:hyperlink>
      <w:r w:rsidRPr="00925F26">
        <w:rPr>
          <w:color w:val="000000" w:themeColor="text1"/>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6FC6B052" w14:textId="77777777" w:rsidR="002B4C11" w:rsidRPr="00925F26" w:rsidRDefault="002B4C11" w:rsidP="00925F26">
      <w:pPr>
        <w:jc w:val="both"/>
        <w:rPr>
          <w:color w:val="000000" w:themeColor="text1"/>
          <w:sz w:val="16"/>
          <w:szCs w:val="16"/>
        </w:rPr>
      </w:pPr>
      <w:r w:rsidRPr="00925F26">
        <w:rPr>
          <w:color w:val="000000" w:themeColor="text1"/>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34673CC4" w14:textId="77777777" w:rsidR="002B4C11" w:rsidRPr="00925F26" w:rsidRDefault="002B4C11" w:rsidP="00925F26">
      <w:pPr>
        <w:jc w:val="both"/>
        <w:rPr>
          <w:color w:val="000000" w:themeColor="text1"/>
          <w:sz w:val="16"/>
          <w:szCs w:val="16"/>
        </w:rPr>
      </w:pPr>
      <w:r w:rsidRPr="00925F26">
        <w:rPr>
          <w:color w:val="000000" w:themeColor="text1"/>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7792F228" w14:textId="77777777" w:rsidR="002B4C11" w:rsidRPr="00925F26" w:rsidRDefault="002B4C11" w:rsidP="00925F26">
      <w:pPr>
        <w:jc w:val="both"/>
        <w:rPr>
          <w:color w:val="000000" w:themeColor="text1"/>
          <w:sz w:val="16"/>
          <w:szCs w:val="16"/>
        </w:rPr>
      </w:pPr>
    </w:p>
    <w:p w14:paraId="123E1FA8" w14:textId="77777777" w:rsidR="005860CF" w:rsidRPr="00925F26" w:rsidRDefault="005860CF" w:rsidP="00925F26">
      <w:pPr>
        <w:jc w:val="both"/>
        <w:rPr>
          <w:color w:val="000000" w:themeColor="text1"/>
          <w:sz w:val="16"/>
          <w:szCs w:val="16"/>
        </w:rPr>
      </w:pPr>
      <w:r w:rsidRPr="00925F26">
        <w:rPr>
          <w:color w:val="000000" w:themeColor="text1"/>
          <w:sz w:val="16"/>
          <w:szCs w:val="16"/>
        </w:rPr>
        <w:t>11 января 1945 г. вышло распоряжение передать 3-й авиадивизии связи ГВФ 12 A-20G из 559-й эскадрильи ВВС Московского военного округа, бази</w:t>
      </w:r>
      <w:r w:rsidRPr="00925F26">
        <w:rPr>
          <w:color w:val="000000" w:themeColor="text1"/>
          <w:sz w:val="16"/>
          <w:szCs w:val="16"/>
        </w:rPr>
        <w:softHyphen/>
        <w:t xml:space="preserve">ровавшейся в Костроме. </w:t>
      </w:r>
    </w:p>
    <w:p w14:paraId="745121DB" w14:textId="77777777" w:rsidR="005860CF" w:rsidRPr="00925F26" w:rsidRDefault="005860CF" w:rsidP="00925F26">
      <w:pPr>
        <w:jc w:val="both"/>
        <w:rPr>
          <w:color w:val="000000" w:themeColor="text1"/>
          <w:sz w:val="16"/>
          <w:szCs w:val="16"/>
        </w:rPr>
      </w:pPr>
      <w:r w:rsidRPr="00925F26">
        <w:rPr>
          <w:color w:val="000000" w:themeColor="text1"/>
          <w:sz w:val="16"/>
          <w:szCs w:val="16"/>
        </w:rPr>
        <w:t>В конце 1944 г. возникла идея исполь</w:t>
      </w:r>
      <w:r w:rsidRPr="00925F26">
        <w:rPr>
          <w:color w:val="000000" w:themeColor="text1"/>
          <w:sz w:val="16"/>
          <w:szCs w:val="16"/>
        </w:rPr>
        <w:softHyphen/>
        <w:t>зовать А-20 как скоростные связные само</w:t>
      </w:r>
      <w:r w:rsidRPr="00925F26">
        <w:rPr>
          <w:color w:val="000000" w:themeColor="text1"/>
          <w:sz w:val="16"/>
          <w:szCs w:val="16"/>
        </w:rPr>
        <w:softHyphen/>
        <w:t>леты для доставки на фронт фельдъегерей с важными документами, заменив ими старые изношенные ПС-40 и ПС-41 (раз</w:t>
      </w:r>
      <w:r w:rsidRPr="00925F26">
        <w:rPr>
          <w:color w:val="000000" w:themeColor="text1"/>
          <w:sz w:val="16"/>
          <w:szCs w:val="16"/>
        </w:rPr>
        <w:softHyphen/>
        <w:t xml:space="preserve">оруженные СБ). </w:t>
      </w:r>
    </w:p>
    <w:p w14:paraId="678CC6BE" w14:textId="77777777" w:rsidR="005860CF" w:rsidRPr="00925F26" w:rsidRDefault="005860CF" w:rsidP="00925F26">
      <w:pPr>
        <w:jc w:val="both"/>
        <w:rPr>
          <w:color w:val="000000" w:themeColor="text1"/>
          <w:sz w:val="16"/>
          <w:szCs w:val="16"/>
        </w:rPr>
      </w:pPr>
      <w:r w:rsidRPr="00925F26">
        <w:rPr>
          <w:color w:val="000000" w:themeColor="text1"/>
          <w:sz w:val="16"/>
          <w:szCs w:val="16"/>
        </w:rPr>
        <w:t>В конце января на аэродроме дивизии в Мячково появились два «Бостона». К концу февраля их стало девять, а в середине марта — 12.</w:t>
      </w:r>
    </w:p>
    <w:p w14:paraId="1EB14E5A" w14:textId="77777777" w:rsidR="005860CF" w:rsidRPr="00925F26" w:rsidRDefault="005860CF" w:rsidP="00925F26">
      <w:pPr>
        <w:jc w:val="both"/>
        <w:rPr>
          <w:color w:val="000000" w:themeColor="text1"/>
          <w:sz w:val="16"/>
          <w:szCs w:val="16"/>
        </w:rPr>
      </w:pPr>
      <w:r w:rsidRPr="00925F26">
        <w:rPr>
          <w:color w:val="000000" w:themeColor="text1"/>
          <w:sz w:val="16"/>
          <w:szCs w:val="16"/>
        </w:rPr>
        <w:lastRenderedPageBreak/>
        <w:t>В феврале в дивизии подготовили про</w:t>
      </w:r>
      <w:r w:rsidRPr="00925F26">
        <w:rPr>
          <w:color w:val="000000" w:themeColor="text1"/>
          <w:sz w:val="16"/>
          <w:szCs w:val="16"/>
        </w:rPr>
        <w:softHyphen/>
        <w:t>ект переделки полученных A-20G в связ</w:t>
      </w:r>
      <w:r w:rsidRPr="00925F26">
        <w:rPr>
          <w:color w:val="000000" w:themeColor="text1"/>
          <w:sz w:val="16"/>
          <w:szCs w:val="16"/>
        </w:rPr>
        <w:softHyphen/>
        <w:t>ные, довольно быстро одобренный НИИ ГВФ. Самолет мог нести 1100 кг груза: 200 кг в носовой части, освобожденной от вооружения, 500 кг и двоих человек в быв</w:t>
      </w:r>
      <w:r w:rsidRPr="00925F26">
        <w:rPr>
          <w:color w:val="000000" w:themeColor="text1"/>
          <w:sz w:val="16"/>
          <w:szCs w:val="16"/>
        </w:rPr>
        <w:softHyphen/>
        <w:t>шем бомбоотсеке, в задней кабине нахо</w:t>
      </w:r>
      <w:r w:rsidRPr="00925F26">
        <w:rPr>
          <w:color w:val="000000" w:themeColor="text1"/>
          <w:sz w:val="16"/>
          <w:szCs w:val="16"/>
        </w:rPr>
        <w:softHyphen/>
        <w:t>дились радист, еще два пассажира и 200 кг груза. Дополнительный бак в бомбоотсе</w:t>
      </w:r>
      <w:r w:rsidRPr="00925F26">
        <w:rPr>
          <w:color w:val="000000" w:themeColor="text1"/>
          <w:sz w:val="16"/>
          <w:szCs w:val="16"/>
        </w:rPr>
        <w:softHyphen/>
        <w:t>ке позволял иметь дальность полета до 1800 км.</w:t>
      </w:r>
    </w:p>
    <w:p w14:paraId="131798AE" w14:textId="77777777" w:rsidR="005860CF" w:rsidRPr="00925F26" w:rsidRDefault="005860CF" w:rsidP="00925F26">
      <w:pPr>
        <w:jc w:val="both"/>
        <w:rPr>
          <w:color w:val="000000" w:themeColor="text1"/>
          <w:sz w:val="16"/>
          <w:szCs w:val="16"/>
        </w:rPr>
      </w:pPr>
      <w:r w:rsidRPr="00925F26">
        <w:rPr>
          <w:color w:val="000000" w:themeColor="text1"/>
          <w:sz w:val="16"/>
          <w:szCs w:val="16"/>
        </w:rPr>
        <w:t>Уже в феврале первые четыре «Бостона» прошли переоборудование. С 1 марта их запустили в эксплуатацию. В марте пере</w:t>
      </w:r>
      <w:r w:rsidRPr="00925F26">
        <w:rPr>
          <w:color w:val="000000" w:themeColor="text1"/>
          <w:sz w:val="16"/>
          <w:szCs w:val="16"/>
        </w:rPr>
        <w:softHyphen/>
        <w:t>делали еще шесть машин. Самолеты несли традиционные для ГВФ обозначения ли</w:t>
      </w:r>
      <w:r w:rsidRPr="00925F26">
        <w:rPr>
          <w:color w:val="000000" w:themeColor="text1"/>
          <w:sz w:val="16"/>
          <w:szCs w:val="16"/>
        </w:rPr>
        <w:softHyphen/>
        <w:t>нейной службы, начинавшиеся с буквы «Л».</w:t>
      </w:r>
    </w:p>
    <w:p w14:paraId="0B4917B7" w14:textId="77777777" w:rsidR="005860CF" w:rsidRPr="00925F26" w:rsidRDefault="005860CF" w:rsidP="00925F26">
      <w:pPr>
        <w:jc w:val="both"/>
        <w:rPr>
          <w:color w:val="000000" w:themeColor="text1"/>
          <w:sz w:val="16"/>
          <w:szCs w:val="16"/>
        </w:rPr>
      </w:pPr>
      <w:r w:rsidRPr="00925F26">
        <w:rPr>
          <w:color w:val="000000" w:themeColor="text1"/>
          <w:sz w:val="16"/>
          <w:szCs w:val="16"/>
        </w:rPr>
        <w:t>ВВС организовали передачу еще од</w:t>
      </w:r>
      <w:r w:rsidRPr="00925F26">
        <w:rPr>
          <w:color w:val="000000" w:themeColor="text1"/>
          <w:sz w:val="16"/>
          <w:szCs w:val="16"/>
        </w:rPr>
        <w:softHyphen/>
        <w:t>ной партии бомбардировщиков из 5-го бак 4-й воздушной армии. 26 мая оттуда отправили семь A-20G, 28 мая — еще три. Приказано было укомплектовать «Босто</w:t>
      </w:r>
      <w:r w:rsidRPr="00925F26">
        <w:rPr>
          <w:color w:val="000000" w:themeColor="text1"/>
          <w:sz w:val="16"/>
          <w:szCs w:val="16"/>
        </w:rPr>
        <w:softHyphen/>
        <w:t>нами» один полк ГВФ. Однако в связи с низ</w:t>
      </w:r>
      <w:r w:rsidRPr="00925F26">
        <w:rPr>
          <w:color w:val="000000" w:themeColor="text1"/>
          <w:sz w:val="16"/>
          <w:szCs w:val="16"/>
        </w:rPr>
        <w:softHyphen/>
        <w:t>кой эффективностью A-20G как транс</w:t>
      </w:r>
      <w:r w:rsidRPr="00925F26">
        <w:rPr>
          <w:color w:val="000000" w:themeColor="text1"/>
          <w:sz w:val="16"/>
          <w:szCs w:val="16"/>
        </w:rPr>
        <w:softHyphen/>
        <w:t>портных самолетов от дальнейшего их получения было предписано воздержать</w:t>
      </w:r>
      <w:r w:rsidRPr="00925F26">
        <w:rPr>
          <w:color w:val="000000" w:themeColor="text1"/>
          <w:sz w:val="16"/>
          <w:szCs w:val="16"/>
        </w:rPr>
        <w:softHyphen/>
        <w:t>ся. Это было связано с работой НИИ ГВФ, сотрудники которого в первой половине мая провели исследование потенциальной послевоенной эксплуатации различных типов военных самолетов в гражданской авиации. В нем был сделан вывод о почти полной бесперспективности А-20 для ГВФ. Даже если полностью снять вооружение и фюзеляжный бак, убрать внутренние пе</w:t>
      </w:r>
      <w:r w:rsidRPr="00925F26">
        <w:rPr>
          <w:color w:val="000000" w:themeColor="text1"/>
          <w:sz w:val="16"/>
          <w:szCs w:val="16"/>
        </w:rPr>
        <w:softHyphen/>
        <w:t>регородки, зашить бомболюк и перенести в нос радиостанцию, можно было довести полезный объем кабин лишь до 7 м3 при нагрузке 1400 кг. Грузовые люки при этом располагались: один на месте верхней ту</w:t>
      </w:r>
      <w:r w:rsidRPr="00925F26">
        <w:rPr>
          <w:color w:val="000000" w:themeColor="text1"/>
          <w:sz w:val="16"/>
          <w:szCs w:val="16"/>
        </w:rPr>
        <w:softHyphen/>
        <w:t>рели, в качестве второго — люк нижней стрелковой установки. При этом процесс погрузки-выгрузки представлялся доволь</w:t>
      </w:r>
      <w:r w:rsidRPr="00925F26">
        <w:rPr>
          <w:color w:val="000000" w:themeColor="text1"/>
          <w:sz w:val="16"/>
          <w:szCs w:val="16"/>
        </w:rPr>
        <w:softHyphen/>
        <w:t>но неудобным. Крупногабаритные грузы вообще не проходили в люки. Машину можно было ограниченно использовать лишь как почтовую.</w:t>
      </w:r>
    </w:p>
    <w:p w14:paraId="0E1F8C6B" w14:textId="77777777" w:rsidR="005860CF" w:rsidRPr="00925F26" w:rsidRDefault="005860CF" w:rsidP="00925F26">
      <w:pPr>
        <w:jc w:val="both"/>
        <w:rPr>
          <w:color w:val="000000" w:themeColor="text1"/>
          <w:sz w:val="16"/>
          <w:szCs w:val="16"/>
        </w:rPr>
      </w:pPr>
      <w:r w:rsidRPr="00925F26">
        <w:rPr>
          <w:color w:val="000000" w:themeColor="text1"/>
          <w:sz w:val="16"/>
          <w:szCs w:val="16"/>
        </w:rPr>
        <w:t>В конце мая в дивизии было 20 A-20G, из них пять находились на передовом аэро</w:t>
      </w:r>
      <w:r w:rsidRPr="00925F26">
        <w:rPr>
          <w:color w:val="000000" w:themeColor="text1"/>
          <w:sz w:val="16"/>
          <w:szCs w:val="16"/>
        </w:rPr>
        <w:softHyphen/>
        <w:t>дроме в Лодзи, обслуживая штабы 1-го и 2-го Белорусского фронтов. С окончани</w:t>
      </w:r>
      <w:r w:rsidRPr="00925F26">
        <w:rPr>
          <w:color w:val="000000" w:themeColor="text1"/>
          <w:sz w:val="16"/>
          <w:szCs w:val="16"/>
        </w:rPr>
        <w:softHyphen/>
        <w:t>ем боевых действий на западе часть самоле</w:t>
      </w:r>
      <w:r w:rsidRPr="00925F26">
        <w:rPr>
          <w:color w:val="000000" w:themeColor="text1"/>
          <w:sz w:val="16"/>
          <w:szCs w:val="16"/>
        </w:rPr>
        <w:softHyphen/>
        <w:t>тов законсервировали. На 20 сентября из 29 имевшихся A-20G и А-20К 18 находились в консервации. Затем от них начали посте</w:t>
      </w:r>
      <w:r w:rsidRPr="00925F26">
        <w:rPr>
          <w:color w:val="000000" w:themeColor="text1"/>
          <w:sz w:val="16"/>
          <w:szCs w:val="16"/>
        </w:rPr>
        <w:softHyphen/>
        <w:t>пенно избавляться. На 1 января 1946 г. их было 27а к декабрю — уже ни одного (23513).</w:t>
      </w:r>
    </w:p>
    <w:p w14:paraId="6B5A9C8A" w14:textId="77777777" w:rsidR="005860CF" w:rsidRPr="00925F26" w:rsidRDefault="005860CF" w:rsidP="00925F26">
      <w:pPr>
        <w:jc w:val="both"/>
        <w:rPr>
          <w:color w:val="000000" w:themeColor="text1"/>
          <w:sz w:val="16"/>
          <w:szCs w:val="16"/>
        </w:rPr>
      </w:pPr>
    </w:p>
    <w:p w14:paraId="21A4C38A" w14:textId="77777777" w:rsidR="008C4451" w:rsidRPr="001A0BAA" w:rsidRDefault="008C4451" w:rsidP="008C4451">
      <w:pPr>
        <w:jc w:val="both"/>
        <w:rPr>
          <w:color w:val="0070C0"/>
          <w:sz w:val="16"/>
          <w:szCs w:val="16"/>
        </w:rPr>
      </w:pPr>
      <w:r w:rsidRPr="001A0BAA">
        <w:rPr>
          <w:color w:val="0070C0"/>
          <w:sz w:val="16"/>
          <w:szCs w:val="16"/>
        </w:rPr>
        <w:t>11 января 1945 г. в ходе Будапештской операции, когда немецкие танки, численностью до ста единиц, при поддержке пехоты, перешли в контратаку, силами 1453-го и 1821-го самоходно-артиллерийских полков, вооруженных СУ-100 было уничтожено 20 вражеских танков. Вместе с тем, наряду с хорошими противотанковыми характеристиками, выяснилось, что СУ-100 более уязвима для противотанковых средств пехоты, чем танки. Это объяснялось отсутствием пулеметного вооружения на самоходках и необходимостью поворота корпуса для наведения орудия на близкие цели. Большая длина ствола орудия Д-10С (более 5 метров) затрудняла маневрирование в лесистой местности и в условиях городской застройки. В начале января 382-й ГвСАП, не вступая в бой с бронетехникой противника, потерял половину своих машин в результате нападения вражеской пехоты, от которой нечем было защититься (25488).</w:t>
      </w:r>
    </w:p>
    <w:p w14:paraId="48EE505C" w14:textId="77777777" w:rsidR="008C4451" w:rsidRPr="001A0BAA" w:rsidRDefault="008C4451" w:rsidP="008C4451">
      <w:pPr>
        <w:jc w:val="both"/>
        <w:rPr>
          <w:color w:val="0070C0"/>
          <w:sz w:val="16"/>
          <w:szCs w:val="16"/>
        </w:rPr>
      </w:pPr>
    </w:p>
    <w:p w14:paraId="5B60E94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FE16537" w14:textId="77777777" w:rsidR="00C2313B" w:rsidRPr="00925F26" w:rsidRDefault="00C2313B" w:rsidP="00925F26">
      <w:pPr>
        <w:autoSpaceDE w:val="0"/>
        <w:autoSpaceDN w:val="0"/>
        <w:adjustRightInd w:val="0"/>
        <w:jc w:val="both"/>
        <w:rPr>
          <w:iCs/>
          <w:color w:val="000000" w:themeColor="text1"/>
          <w:sz w:val="16"/>
          <w:szCs w:val="16"/>
        </w:rPr>
      </w:pPr>
    </w:p>
    <w:p w14:paraId="74F4B9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года вышел Приказ НКВД СССР №0014 о реорганизации УПВИ НКВД СССР в Главное управлением по военнопленным и интернированным (ГУПВИ) НКВД СССР, в его составе - отдел охраны и режима (8983).</w:t>
      </w:r>
    </w:p>
    <w:p w14:paraId="6B7BAC78" w14:textId="77777777" w:rsidR="00C2313B" w:rsidRPr="00925F26" w:rsidRDefault="00C2313B" w:rsidP="00925F26">
      <w:pPr>
        <w:autoSpaceDE w:val="0"/>
        <w:autoSpaceDN w:val="0"/>
        <w:adjustRightInd w:val="0"/>
        <w:jc w:val="both"/>
        <w:rPr>
          <w:color w:val="000000" w:themeColor="text1"/>
          <w:sz w:val="16"/>
          <w:szCs w:val="16"/>
        </w:rPr>
      </w:pPr>
    </w:p>
    <w:p w14:paraId="0294784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4D5DE15" w14:textId="77777777" w:rsidR="00C2313B" w:rsidRPr="00925F26" w:rsidRDefault="00C2313B" w:rsidP="00925F26">
      <w:pPr>
        <w:autoSpaceDE w:val="0"/>
        <w:autoSpaceDN w:val="0"/>
        <w:adjustRightInd w:val="0"/>
        <w:jc w:val="both"/>
        <w:rPr>
          <w:iCs/>
          <w:color w:val="000000" w:themeColor="text1"/>
          <w:sz w:val="16"/>
          <w:szCs w:val="16"/>
        </w:rPr>
      </w:pPr>
    </w:p>
    <w:p w14:paraId="6BB593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как результат ялтинской конференции Ф.Д.Р., У.Черчиль и И.В.С. заявили о намерении создания ООН (1286).</w:t>
      </w:r>
    </w:p>
    <w:p w14:paraId="2FDF54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Приняли решение "...изъять или уничтожить все германское военное оборудование, ликвидировать или взять под контроль всю германскую промышленность, которая могла бы использоваться для военного производства" (1795,87).</w:t>
      </w:r>
    </w:p>
    <w:p w14:paraId="25C1051C" w14:textId="77777777" w:rsidR="00C2313B" w:rsidRPr="00925F26" w:rsidRDefault="00C2313B" w:rsidP="00925F26">
      <w:pPr>
        <w:autoSpaceDE w:val="0"/>
        <w:autoSpaceDN w:val="0"/>
        <w:adjustRightInd w:val="0"/>
        <w:jc w:val="both"/>
        <w:rPr>
          <w:color w:val="000000" w:themeColor="text1"/>
          <w:sz w:val="16"/>
          <w:szCs w:val="16"/>
        </w:rPr>
      </w:pPr>
    </w:p>
    <w:p w14:paraId="78EDD1D8" w14:textId="77777777" w:rsidR="00C2313B"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56984108" w14:textId="77777777" w:rsidR="00C2313B" w:rsidRPr="00925F26" w:rsidRDefault="00C2313B" w:rsidP="00925F26">
      <w:pPr>
        <w:autoSpaceDE w:val="0"/>
        <w:autoSpaceDN w:val="0"/>
        <w:adjustRightInd w:val="0"/>
        <w:jc w:val="both"/>
        <w:rPr>
          <w:iCs/>
          <w:color w:val="000000" w:themeColor="text1"/>
          <w:sz w:val="16"/>
          <w:szCs w:val="16"/>
          <w:lang w:val="en-US"/>
        </w:rPr>
      </w:pPr>
    </w:p>
    <w:p w14:paraId="2A03A999" w14:textId="77777777" w:rsidR="002D2573" w:rsidRPr="00925F26" w:rsidRDefault="002D257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11 1945 The Bureau of Ordnance assigned the first task on Project Bumblebee to the Applied Physics Laboratory, thus formally establishing the program for development of a ram-jet powered, guided, anti-aircraft weapon from which the Talos, Terrier, and Tartar missiles eventually emerged (1090).</w:t>
      </w:r>
    </w:p>
    <w:p w14:paraId="698E1651" w14:textId="77777777" w:rsidR="002D2573" w:rsidRPr="00925F26" w:rsidRDefault="002D2573" w:rsidP="00925F26">
      <w:pPr>
        <w:autoSpaceDE w:val="0"/>
        <w:autoSpaceDN w:val="0"/>
        <w:adjustRightInd w:val="0"/>
        <w:jc w:val="both"/>
        <w:rPr>
          <w:color w:val="000000" w:themeColor="text1"/>
          <w:sz w:val="16"/>
          <w:szCs w:val="16"/>
          <w:lang w:val="en-US"/>
        </w:rPr>
      </w:pPr>
    </w:p>
    <w:p w14:paraId="0AFB0310" w14:textId="77777777" w:rsidR="002D2573" w:rsidRPr="00925F26" w:rsidRDefault="002D2573"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было выдано задание на зенитные ракеты по проекту Bumblebee, в результате которого появились ракеты Talos, Terrier, and Tartar (1090).</w:t>
      </w:r>
    </w:p>
    <w:p w14:paraId="5AB123EC" w14:textId="77777777" w:rsidR="002D2573" w:rsidRPr="00925F26" w:rsidRDefault="002D2573" w:rsidP="00925F26">
      <w:pPr>
        <w:autoSpaceDE w:val="0"/>
        <w:autoSpaceDN w:val="0"/>
        <w:adjustRightInd w:val="0"/>
        <w:jc w:val="both"/>
        <w:rPr>
          <w:color w:val="000000" w:themeColor="text1"/>
          <w:sz w:val="16"/>
          <w:szCs w:val="16"/>
        </w:rPr>
      </w:pPr>
    </w:p>
    <w:p w14:paraId="7901CE8F" w14:textId="77777777" w:rsidR="002A04DB" w:rsidRPr="00925F26" w:rsidRDefault="002A04DB" w:rsidP="00925F26">
      <w:pPr>
        <w:jc w:val="both"/>
        <w:rPr>
          <w:color w:val="000000" w:themeColor="text1"/>
          <w:sz w:val="16"/>
          <w:szCs w:val="16"/>
        </w:rPr>
      </w:pPr>
      <w:r w:rsidRPr="00925F26">
        <w:rPr>
          <w:color w:val="000000" w:themeColor="text1"/>
          <w:sz w:val="16"/>
          <w:szCs w:val="16"/>
        </w:rPr>
        <w:t>11 января 1945 Б-29 ВВС США, базирующиеся в Калькутте, бомбят Сингапур (20371).</w:t>
      </w:r>
    </w:p>
    <w:p w14:paraId="555E3C49" w14:textId="77777777" w:rsidR="002A04DB" w:rsidRPr="00925F26" w:rsidRDefault="002A04DB" w:rsidP="00925F26">
      <w:pPr>
        <w:jc w:val="both"/>
        <w:rPr>
          <w:color w:val="000000" w:themeColor="text1"/>
          <w:sz w:val="16"/>
          <w:szCs w:val="16"/>
        </w:rPr>
      </w:pPr>
    </w:p>
    <w:p w14:paraId="58BC0D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января 1945 коммунисты согласились на перемирие в гражданской войне в Греции (3907,255).</w:t>
      </w:r>
    </w:p>
    <w:p w14:paraId="416DD904" w14:textId="77777777" w:rsidR="00C2313B" w:rsidRPr="00925F26" w:rsidRDefault="00C2313B" w:rsidP="00925F26">
      <w:pPr>
        <w:autoSpaceDE w:val="0"/>
        <w:autoSpaceDN w:val="0"/>
        <w:adjustRightInd w:val="0"/>
        <w:jc w:val="both"/>
        <w:rPr>
          <w:color w:val="000000" w:themeColor="text1"/>
          <w:sz w:val="16"/>
          <w:szCs w:val="16"/>
        </w:rPr>
      </w:pPr>
    </w:p>
    <w:p w14:paraId="2E2B4B9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DFFB13A" w14:textId="77777777" w:rsidR="00C2313B" w:rsidRPr="00925F26" w:rsidRDefault="00C2313B" w:rsidP="00925F26">
      <w:pPr>
        <w:autoSpaceDE w:val="0"/>
        <w:autoSpaceDN w:val="0"/>
        <w:adjustRightInd w:val="0"/>
        <w:jc w:val="both"/>
        <w:rPr>
          <w:iCs/>
          <w:color w:val="000000" w:themeColor="text1"/>
          <w:sz w:val="16"/>
          <w:szCs w:val="16"/>
        </w:rPr>
      </w:pPr>
    </w:p>
    <w:p w14:paraId="653EE1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г. Шахурин сообщал Сталину: "Первые 50 самолетов Ер-2, выпущенные с моторами АЧ-30Б первых серий, могут быть использованы для учебно-тренировочных полетов... на первое время в радиусе действия до 500 км.</w:t>
      </w:r>
    </w:p>
    <w:p w14:paraId="386F05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 остальные самолеты могут быть использованы без ограничений в соответствии с тактико-техническими данными... Для перевооружения на Ер-2 выделяется 8-я гвардейская авиадивизия (командир В.Г. Тихонов) в составе 327, 329, 332-го авиационных полков. Первый полк этой дивизии будет подготовлен к 15 марта, второй - к 15 апреля и дивизия в целом к 15 мая 1945 г." (11994).</w:t>
      </w:r>
    </w:p>
    <w:p w14:paraId="1645852B" w14:textId="77777777" w:rsidR="00C2313B" w:rsidRPr="00925F26" w:rsidRDefault="00C2313B" w:rsidP="00925F26">
      <w:pPr>
        <w:autoSpaceDE w:val="0"/>
        <w:autoSpaceDN w:val="0"/>
        <w:adjustRightInd w:val="0"/>
        <w:jc w:val="both"/>
        <w:rPr>
          <w:color w:val="000000" w:themeColor="text1"/>
          <w:sz w:val="16"/>
          <w:szCs w:val="16"/>
        </w:rPr>
      </w:pPr>
    </w:p>
    <w:p w14:paraId="041276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в первом контрольном полете Ла-7 с АШ-82ФН и 2ТК-3 наблюдалось сильное факеление из ТК, для выяснения причин было произведено изменение регулировки смеси. При полетах 25/I и 1/III факеление имело место на конце выхлопа мотора из-за переобогащения смеси (2592,223).</w:t>
      </w:r>
    </w:p>
    <w:p w14:paraId="53520E5D" w14:textId="77777777" w:rsidR="00C2313B" w:rsidRPr="00925F26" w:rsidRDefault="00C2313B" w:rsidP="00925F26">
      <w:pPr>
        <w:autoSpaceDE w:val="0"/>
        <w:autoSpaceDN w:val="0"/>
        <w:adjustRightInd w:val="0"/>
        <w:jc w:val="both"/>
        <w:rPr>
          <w:color w:val="000000" w:themeColor="text1"/>
          <w:sz w:val="16"/>
          <w:szCs w:val="16"/>
        </w:rPr>
      </w:pPr>
    </w:p>
    <w:p w14:paraId="0DFDF9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Ла-7 с АШ-82ФН и 2ТК-3 был закончен производством и передан на заводские летные испытания (2592,223).</w:t>
      </w:r>
    </w:p>
    <w:p w14:paraId="634D02B2" w14:textId="77777777" w:rsidR="00C2313B" w:rsidRPr="00925F26" w:rsidRDefault="00C2313B" w:rsidP="00925F26">
      <w:pPr>
        <w:autoSpaceDE w:val="0"/>
        <w:autoSpaceDN w:val="0"/>
        <w:adjustRightInd w:val="0"/>
        <w:jc w:val="both"/>
        <w:rPr>
          <w:color w:val="000000" w:themeColor="text1"/>
          <w:sz w:val="16"/>
          <w:szCs w:val="16"/>
        </w:rPr>
      </w:pPr>
    </w:p>
    <w:p w14:paraId="1C6D4E38" w14:textId="77777777" w:rsidR="002D2573" w:rsidRPr="00925F26" w:rsidRDefault="002D2573" w:rsidP="00925F26">
      <w:pPr>
        <w:jc w:val="both"/>
        <w:rPr>
          <w:color w:val="000000" w:themeColor="text1"/>
          <w:sz w:val="16"/>
          <w:szCs w:val="16"/>
        </w:rPr>
      </w:pPr>
      <w:r w:rsidRPr="00925F26">
        <w:rPr>
          <w:color w:val="000000" w:themeColor="text1"/>
          <w:sz w:val="16"/>
          <w:szCs w:val="16"/>
        </w:rPr>
        <w:t>12 ян</w:t>
      </w:r>
      <w:r w:rsidRPr="00925F26">
        <w:rPr>
          <w:color w:val="000000" w:themeColor="text1"/>
          <w:sz w:val="16"/>
          <w:szCs w:val="16"/>
        </w:rPr>
        <w:softHyphen/>
        <w:t>варя 1945 г. состоялся контрольный полёт доработанного высотного Ла-7, однако его пришлось прекратить из-за сильного факеления из турбокомпрессора. После изменения кинематики управления мо</w:t>
      </w:r>
      <w:r w:rsidRPr="00925F26">
        <w:rPr>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925F26">
        <w:rPr>
          <w:color w:val="000000" w:themeColor="text1"/>
          <w:sz w:val="16"/>
          <w:szCs w:val="16"/>
        </w:rPr>
        <w:softHyphen/>
        <w:t xml:space="preserve">грамме, но из-за того, что Г.М. Шиянов занимался испытаниями Ла-7 с </w:t>
      </w:r>
      <w:r w:rsidRPr="00925F26">
        <w:rPr>
          <w:color w:val="000000" w:themeColor="text1"/>
          <w:sz w:val="16"/>
          <w:szCs w:val="16"/>
          <w:lang w:val="en-US"/>
        </w:rPr>
        <w:t>ALU</w:t>
      </w:r>
      <w:r w:rsidRPr="00925F26">
        <w:rPr>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925F26">
        <w:rPr>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925F26">
        <w:rPr>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925F26">
        <w:rPr>
          <w:color w:val="000000" w:themeColor="text1"/>
          <w:sz w:val="16"/>
          <w:szCs w:val="16"/>
        </w:rPr>
        <w:softHyphen/>
        <w:t>готовить новое управление.</w:t>
      </w:r>
    </w:p>
    <w:p w14:paraId="285E6EDF" w14:textId="77777777" w:rsidR="002D2573" w:rsidRPr="00925F26" w:rsidRDefault="002D2573" w:rsidP="00925F26">
      <w:pPr>
        <w:jc w:val="both"/>
        <w:rPr>
          <w:color w:val="000000" w:themeColor="text1"/>
          <w:sz w:val="16"/>
          <w:szCs w:val="16"/>
        </w:rPr>
      </w:pPr>
      <w:r w:rsidRPr="00925F26">
        <w:rPr>
          <w:color w:val="000000" w:themeColor="text1"/>
          <w:sz w:val="16"/>
          <w:szCs w:val="16"/>
        </w:rPr>
        <w:t>Назад из ЦИАМ агрегаты получили лишь в мае. На</w:t>
      </w:r>
      <w:r w:rsidRPr="00925F26">
        <w:rPr>
          <w:color w:val="000000" w:themeColor="text1"/>
          <w:sz w:val="16"/>
          <w:szCs w:val="16"/>
        </w:rPr>
        <w:softHyphen/>
        <w:t>конец, 14 июня состоялся контрольный полёт до вы</w:t>
      </w:r>
      <w:r w:rsidRPr="00925F26">
        <w:rPr>
          <w:color w:val="000000" w:themeColor="text1"/>
          <w:sz w:val="16"/>
          <w:szCs w:val="16"/>
        </w:rPr>
        <w:softHyphen/>
        <w:t>соты 1000 м без включения турбокомпрессора, факел образовался только при посадке, для его устране</w:t>
      </w:r>
      <w:r w:rsidRPr="00925F26">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925F26">
        <w:rPr>
          <w:color w:val="000000" w:themeColor="text1"/>
          <w:sz w:val="16"/>
          <w:szCs w:val="16"/>
        </w:rPr>
        <w:softHyphen/>
        <w:t>явился факел, его длина достигала 2 м, тогда как в предыдущий раз — 80 см. Снова про</w:t>
      </w:r>
      <w:r w:rsidRPr="00925F26">
        <w:rPr>
          <w:color w:val="000000" w:themeColor="text1"/>
          <w:sz w:val="16"/>
          <w:szCs w:val="16"/>
        </w:rPr>
        <w:softHyphen/>
        <w:t xml:space="preserve">извели регулировку мотора. После нескольких дней нелётной погоды для высотных </w:t>
      </w:r>
      <w:r w:rsidRPr="00925F26">
        <w:rPr>
          <w:rStyle w:val="aff6"/>
          <w:rFonts w:ascii="Times New Roman" w:eastAsia="Arial Unicode MS" w:hAnsi="Times New Roman" w:cs="Times New Roman"/>
          <w:i w:val="0"/>
          <w:color w:val="000000" w:themeColor="text1"/>
        </w:rPr>
        <w:t>полётов,</w:t>
      </w:r>
      <w:r w:rsidRPr="00925F26">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925F26">
        <w:rPr>
          <w:color w:val="000000" w:themeColor="text1"/>
          <w:sz w:val="16"/>
          <w:szCs w:val="16"/>
        </w:rPr>
        <w:softHyphen/>
        <w:t>вом полёте задание выполнить не удалось. В повторном полёте, после устранения это</w:t>
      </w:r>
      <w:r w:rsidRPr="00925F26">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925F26">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925F26">
        <w:rPr>
          <w:color w:val="000000" w:themeColor="text1"/>
          <w:sz w:val="16"/>
          <w:szCs w:val="16"/>
        </w:rPr>
        <w:softHyphen/>
        <w:t>рофы послужила потеря лётчиком сознания на высоте.</w:t>
      </w:r>
    </w:p>
    <w:p w14:paraId="49D02126" w14:textId="77777777" w:rsidR="002D2573" w:rsidRPr="00925F26" w:rsidRDefault="002D2573" w:rsidP="00925F26">
      <w:pPr>
        <w:jc w:val="both"/>
        <w:rPr>
          <w:color w:val="000000" w:themeColor="text1"/>
          <w:sz w:val="16"/>
          <w:szCs w:val="16"/>
        </w:rPr>
      </w:pPr>
      <w:r w:rsidRPr="00925F26">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925F26">
        <w:rPr>
          <w:color w:val="000000" w:themeColor="text1"/>
          <w:sz w:val="16"/>
          <w:szCs w:val="16"/>
        </w:rPr>
        <w:softHyphen/>
        <w:t>требителям. На этом закончилось развитие опытных самолётов С.А. Лавочкина с ТК (15830).</w:t>
      </w:r>
    </w:p>
    <w:p w14:paraId="50949B3A" w14:textId="77777777" w:rsidR="002D2573" w:rsidRPr="00925F26" w:rsidRDefault="002D2573" w:rsidP="00925F26">
      <w:pPr>
        <w:jc w:val="both"/>
        <w:rPr>
          <w:color w:val="000000" w:themeColor="text1"/>
          <w:sz w:val="16"/>
          <w:szCs w:val="16"/>
        </w:rPr>
      </w:pPr>
    </w:p>
    <w:p w14:paraId="7013D3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12 января 1945 года с 5 января на Як-ЗРД, в который переделали самолет №1820 саратовского авиазавода сделали десять огневых пусков РД-1 на земле продолжительностью до 3 минут 15 секунд.</w:t>
      </w:r>
    </w:p>
    <w:p w14:paraId="43A73C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01C181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7785C3C9" w14:textId="77777777" w:rsidR="00C2313B" w:rsidRPr="00925F26" w:rsidRDefault="00C2313B" w:rsidP="00925F26">
      <w:pPr>
        <w:autoSpaceDE w:val="0"/>
        <w:autoSpaceDN w:val="0"/>
        <w:adjustRightInd w:val="0"/>
        <w:jc w:val="both"/>
        <w:rPr>
          <w:color w:val="000000" w:themeColor="text1"/>
          <w:sz w:val="16"/>
          <w:szCs w:val="16"/>
        </w:rPr>
      </w:pPr>
    </w:p>
    <w:p w14:paraId="61B4DC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после обеда немецкий л-и Ханс-Вернер Лерхе облетал Як-3 полка Нормандия Неман на аэродроме под Гросс-Шиманен, куда тот сел несколько дней назад в исправном состоянии. Долетел за 50 мин. до Маркиш-Фридлянд. Машина понравилась. Травил воздух, был плохой обзор, неустойчивость при выпущенных шасси и закрылках. Потом летал 13 января и 14 января продемонстрировал машину Герингу в Ораниенбауме под Берлином (3841).</w:t>
      </w:r>
    </w:p>
    <w:p w14:paraId="7279FDDE" w14:textId="77777777" w:rsidR="00C2313B" w:rsidRPr="00925F26" w:rsidRDefault="00C2313B" w:rsidP="00925F26">
      <w:pPr>
        <w:autoSpaceDE w:val="0"/>
        <w:autoSpaceDN w:val="0"/>
        <w:adjustRightInd w:val="0"/>
        <w:jc w:val="both"/>
        <w:rPr>
          <w:color w:val="000000" w:themeColor="text1"/>
          <w:sz w:val="16"/>
          <w:szCs w:val="16"/>
        </w:rPr>
      </w:pPr>
    </w:p>
    <w:p w14:paraId="4D0D2289" w14:textId="77777777" w:rsidR="002D2573" w:rsidRPr="00925F26" w:rsidRDefault="002D2573" w:rsidP="00925F26">
      <w:pPr>
        <w:pStyle w:val="rtejustify"/>
        <w:shd w:val="clear" w:color="auto" w:fill="FFFFFF"/>
        <w:spacing w:before="0" w:after="0"/>
        <w:rPr>
          <w:color w:val="000000" w:themeColor="text1"/>
          <w:sz w:val="16"/>
          <w:szCs w:val="16"/>
        </w:rPr>
      </w:pPr>
      <w:r w:rsidRPr="00925F26">
        <w:rPr>
          <w:color w:val="000000" w:themeColor="text1"/>
          <w:sz w:val="16"/>
          <w:szCs w:val="16"/>
        </w:rPr>
        <w:t xml:space="preserve">12 января 1945 </w:t>
      </w:r>
      <w:r w:rsidRPr="00925F26">
        <w:rPr>
          <w:rStyle w:val="a7"/>
          <w:b w:val="0"/>
          <w:color w:val="000000" w:themeColor="text1"/>
          <w:sz w:val="16"/>
          <w:szCs w:val="16"/>
        </w:rPr>
        <w:t>Hans-Werner Lerche</w:t>
      </w:r>
      <w:r w:rsidRPr="00925F26">
        <w:rPr>
          <w:color w:val="000000" w:themeColor="text1"/>
          <w:sz w:val="16"/>
          <w:szCs w:val="16"/>
        </w:rPr>
        <w:t xml:space="preserve"> после полудня взлетел на Як-3 и полетел в направлении Маркиша-Фридланда. Следовало контролировать маленький проворный самолет очень тщательно, для того чтобы предотвратить возможные "фокусы" во время взлета. Вид вперед из пилотской кабины во время рулежки оставлял желать лучшего из-за закрывающего обзор 12-цилиндрового двигателя с V-образым расположением цилиндров, но в полете видимость была хорошей. Рули слушались малейшего прикосновения, так что приходилось быть осторожным. Тем не менее, двигатель работал без неполадок и это придало решимости лететь на малой высоте. Продолжая "вживаться" в советский истребитель пилот приземлился на аэродроме Маркиш-Фридланд через пятьдесят минут, сев на довольно высокой скорости.</w:t>
      </w:r>
    </w:p>
    <w:p w14:paraId="0BF2C966" w14:textId="77777777" w:rsidR="002D2573" w:rsidRPr="00925F26" w:rsidRDefault="002D2573" w:rsidP="00925F26">
      <w:pPr>
        <w:pStyle w:val="rtejustify"/>
        <w:shd w:val="clear" w:color="auto" w:fill="FFFFFF"/>
        <w:spacing w:before="0" w:after="0"/>
        <w:rPr>
          <w:color w:val="000000" w:themeColor="text1"/>
          <w:sz w:val="16"/>
          <w:szCs w:val="16"/>
        </w:rPr>
      </w:pPr>
      <w:r w:rsidRPr="00925F26">
        <w:rPr>
          <w:color w:val="000000" w:themeColor="text1"/>
          <w:sz w:val="16"/>
          <w:szCs w:val="16"/>
        </w:rPr>
        <w:t xml:space="preserve">Усилия на рулях при выпуске шасси и закрылках заметно уменьшилась, приземление было немного неустойчивым, но помогло большое расстояние между колесами </w:t>
      </w:r>
      <w:proofErr w:type="gramStart"/>
      <w:r w:rsidRPr="00925F26">
        <w:rPr>
          <w:color w:val="000000" w:themeColor="text1"/>
          <w:sz w:val="16"/>
          <w:szCs w:val="16"/>
        </w:rPr>
        <w:t>основного шасси</w:t>
      </w:r>
      <w:proofErr w:type="gramEnd"/>
      <w:r w:rsidRPr="00925F26">
        <w:rPr>
          <w:color w:val="000000" w:themeColor="text1"/>
          <w:sz w:val="16"/>
          <w:szCs w:val="16"/>
        </w:rPr>
        <w:t xml:space="preserve"> и пилот был вполне доволен гладкой посадкой на три точки. Тем не менее, выруливая со взлетной полосы и пытаясь использовать при этом пневматические тормоза он заметил, что давление сжатого воздуха в системе снизилось до минимума. В кабине был манометр, но, конечно, не было известно, какие показания были бы нормальными, так что пришлось рулить с большой осторожностью (15474).</w:t>
      </w:r>
    </w:p>
    <w:p w14:paraId="7C25098B" w14:textId="77777777" w:rsidR="002D2573" w:rsidRPr="00925F26" w:rsidRDefault="002D2573" w:rsidP="00925F26">
      <w:pPr>
        <w:pStyle w:val="rtejustify"/>
        <w:shd w:val="clear" w:color="auto" w:fill="FFFFFF"/>
        <w:spacing w:before="0" w:after="0"/>
        <w:rPr>
          <w:color w:val="000000" w:themeColor="text1"/>
          <w:sz w:val="16"/>
          <w:szCs w:val="16"/>
        </w:rPr>
      </w:pPr>
    </w:p>
    <w:p w14:paraId="33EC223E" w14:textId="77777777" w:rsidR="002B4C11" w:rsidRPr="00925F26" w:rsidRDefault="002B4C1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4EA6B09" w14:textId="77777777" w:rsidR="002B4C11" w:rsidRPr="00925F26" w:rsidRDefault="002B4C11" w:rsidP="00925F26">
      <w:pPr>
        <w:autoSpaceDE w:val="0"/>
        <w:autoSpaceDN w:val="0"/>
        <w:adjustRightInd w:val="0"/>
        <w:jc w:val="both"/>
        <w:rPr>
          <w:iCs/>
          <w:color w:val="000000" w:themeColor="text1"/>
          <w:sz w:val="16"/>
          <w:szCs w:val="16"/>
        </w:rPr>
      </w:pPr>
    </w:p>
    <w:p w14:paraId="3018E8D3" w14:textId="77777777" w:rsidR="002B4C11" w:rsidRPr="00925F26" w:rsidRDefault="002B4C11" w:rsidP="00925F26">
      <w:pPr>
        <w:jc w:val="both"/>
        <w:rPr>
          <w:color w:val="000000" w:themeColor="text1"/>
          <w:sz w:val="16"/>
          <w:szCs w:val="16"/>
        </w:rPr>
      </w:pPr>
      <w:r w:rsidRPr="00925F26">
        <w:rPr>
          <w:color w:val="000000" w:themeColor="text1"/>
          <w:sz w:val="16"/>
          <w:szCs w:val="16"/>
        </w:rPr>
        <w:t>12 января 1945 года Техническое совещание рассмотрело проекты модернизации СУ-76, предложенные КБ ГАЗ им. Молотова под руководством Н.А. Астрова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46A8B51A" w14:textId="77777777" w:rsidR="002B4C11" w:rsidRPr="00925F26" w:rsidRDefault="002B4C11" w:rsidP="00925F26">
      <w:pPr>
        <w:jc w:val="both"/>
        <w:rPr>
          <w:color w:val="000000" w:themeColor="text1"/>
          <w:sz w:val="16"/>
          <w:szCs w:val="16"/>
        </w:rPr>
      </w:pPr>
      <w:r w:rsidRPr="00925F26">
        <w:rPr>
          <w:color w:val="000000" w:themeColor="text1"/>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5138871A" w14:textId="77777777" w:rsidR="002B4C11" w:rsidRPr="00925F26" w:rsidRDefault="002B4C11" w:rsidP="00925F26">
      <w:pPr>
        <w:jc w:val="both"/>
        <w:rPr>
          <w:color w:val="000000" w:themeColor="text1"/>
          <w:sz w:val="16"/>
          <w:szCs w:val="16"/>
        </w:rPr>
      </w:pPr>
      <w:r w:rsidRPr="00925F26">
        <w:rPr>
          <w:color w:val="000000" w:themeColor="text1"/>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00A3D66D" w14:textId="77777777" w:rsidR="002B4C11" w:rsidRPr="00925F26" w:rsidRDefault="002B4C11" w:rsidP="00925F26">
      <w:pPr>
        <w:jc w:val="both"/>
        <w:rPr>
          <w:color w:val="000000" w:themeColor="text1"/>
          <w:sz w:val="16"/>
          <w:szCs w:val="16"/>
        </w:rPr>
      </w:pPr>
      <w:r w:rsidRPr="00925F26">
        <w:rPr>
          <w:color w:val="000000" w:themeColor="text1"/>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2865CF3E" w14:textId="77777777" w:rsidR="002B4C11" w:rsidRPr="00925F26" w:rsidRDefault="002B4C11" w:rsidP="00925F26">
      <w:pPr>
        <w:jc w:val="both"/>
        <w:rPr>
          <w:color w:val="000000" w:themeColor="text1"/>
          <w:sz w:val="16"/>
          <w:szCs w:val="16"/>
        </w:rPr>
      </w:pPr>
      <w:r w:rsidRPr="00925F26">
        <w:rPr>
          <w:color w:val="000000" w:themeColor="text1"/>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64CC477A" w14:textId="77777777" w:rsidR="002B4C11" w:rsidRPr="00925F26" w:rsidRDefault="002B4C11" w:rsidP="00925F26">
      <w:pPr>
        <w:jc w:val="both"/>
        <w:rPr>
          <w:color w:val="000000" w:themeColor="text1"/>
          <w:sz w:val="16"/>
          <w:szCs w:val="16"/>
        </w:rPr>
      </w:pPr>
    </w:p>
    <w:p w14:paraId="0BDF036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5915930" w14:textId="77777777" w:rsidR="00C2313B" w:rsidRPr="00925F26" w:rsidRDefault="00C2313B" w:rsidP="00925F26">
      <w:pPr>
        <w:autoSpaceDE w:val="0"/>
        <w:autoSpaceDN w:val="0"/>
        <w:adjustRightInd w:val="0"/>
        <w:jc w:val="both"/>
        <w:rPr>
          <w:iCs/>
          <w:color w:val="000000" w:themeColor="text1"/>
          <w:sz w:val="16"/>
          <w:szCs w:val="16"/>
        </w:rPr>
      </w:pPr>
    </w:p>
    <w:p w14:paraId="34173BB6" w14:textId="77777777" w:rsidR="002D2573" w:rsidRPr="00925F26" w:rsidRDefault="002D2573" w:rsidP="00925F26">
      <w:pPr>
        <w:jc w:val="both"/>
        <w:rPr>
          <w:color w:val="000000" w:themeColor="text1"/>
          <w:sz w:val="16"/>
          <w:szCs w:val="16"/>
        </w:rPr>
      </w:pPr>
      <w:r w:rsidRPr="00925F26">
        <w:rPr>
          <w:bCs/>
          <w:color w:val="000000" w:themeColor="text1"/>
          <w:sz w:val="16"/>
          <w:szCs w:val="16"/>
        </w:rPr>
        <w:t>12 января</w:t>
      </w:r>
      <w:r w:rsidRPr="00925F26">
        <w:rPr>
          <w:color w:val="000000" w:themeColor="text1"/>
          <w:sz w:val="16"/>
          <w:szCs w:val="16"/>
        </w:rPr>
        <w:t xml:space="preserve"> в 1945 году оперативная сводка Совинформбюро:</w:t>
      </w:r>
    </w:p>
    <w:p w14:paraId="7A5A9493" w14:textId="77777777" w:rsidR="002D2573" w:rsidRPr="00925F26" w:rsidRDefault="002D2573" w:rsidP="00925F26">
      <w:pPr>
        <w:jc w:val="both"/>
        <w:rPr>
          <w:color w:val="000000" w:themeColor="text1"/>
          <w:sz w:val="16"/>
          <w:szCs w:val="16"/>
        </w:rPr>
      </w:pPr>
      <w:r w:rsidRPr="00925F26">
        <w:rPr>
          <w:color w:val="000000" w:themeColor="text1"/>
          <w:sz w:val="16"/>
          <w:szCs w:val="16"/>
        </w:rPr>
        <w:t>«В течение 12 января в Будапеште наши войска, сжимая кольцо окружения немецко-венгерской группировки, овладели городским парком Варошлигет, городским кладбищем Керепеши, нефтеочистительным заводом, оружейным заводом, заводом удобрений, заняв при этом 135 кварталов. За 11 января в Будапеште наши войска взяли в плен 1.270 немецких и венгерских солдат и офицеров. На железнодорожной товарной станции захвачено 5.100 вагонов и 31 паровоз.</w:t>
      </w:r>
    </w:p>
    <w:p w14:paraId="0002B4FB" w14:textId="77777777" w:rsidR="002D2573" w:rsidRPr="00925F26" w:rsidRDefault="002D2573" w:rsidP="00925F26">
      <w:pPr>
        <w:jc w:val="both"/>
        <w:rPr>
          <w:color w:val="000000" w:themeColor="text1"/>
          <w:sz w:val="16"/>
          <w:szCs w:val="16"/>
        </w:rPr>
      </w:pPr>
      <w:r w:rsidRPr="00925F26">
        <w:rPr>
          <w:color w:val="000000" w:themeColor="text1"/>
          <w:sz w:val="16"/>
          <w:szCs w:val="16"/>
        </w:rPr>
        <w:t>Северо-западнее и западнее Будапешта атаки пехоты и танков противника отбивались нашими войсками. За 11 января в этом районе подбито и уничтожено 67 немецких танков и сбито 6 самолётов противника.</w:t>
      </w:r>
    </w:p>
    <w:p w14:paraId="02E5B21E" w14:textId="77777777" w:rsidR="002D2573" w:rsidRPr="00925F26" w:rsidRDefault="002D2573"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40EECD77" w14:textId="77777777" w:rsidR="002D2573" w:rsidRPr="00925F26" w:rsidRDefault="002D2573" w:rsidP="00925F26">
      <w:pPr>
        <w:jc w:val="both"/>
        <w:rPr>
          <w:color w:val="000000" w:themeColor="text1"/>
          <w:sz w:val="16"/>
          <w:szCs w:val="16"/>
        </w:rPr>
      </w:pPr>
      <w:r w:rsidRPr="00925F26">
        <w:rPr>
          <w:color w:val="000000" w:themeColor="text1"/>
          <w:sz w:val="16"/>
          <w:szCs w:val="16"/>
        </w:rPr>
        <w:t>В Будапеште наши войска вели бои по ликвидации окружённой группировки противника. Преодолевая многочисленные препятствия, советские подразделения истребляют гитлеровцев, засевших в каменных зданиях. Гвардейские подразделения, ворвавшиеся вчера в центральный парк Варошлигет, успешно продвигались вперёд. Сегодня утром гвардейцы обошли озеро Надь, полностью очистили от врага парк и ведут бои в полутора километрах от Дуная. Другая гвардейская часть заняла стадион и кладбище Керепеши. В юго-восточной части города наши войска заняли несколько десятков кварталов и восемь фабрик и заводов. Артиллеристы офицеров Панченко и Шемякина, выбивая гитлеровцев из укрытий, уничтожили десять вражеских пулеметных точек. Красноармейцы Беляков и Афанасьев первыми ворвались в дом, в котором засели немцы. Огнём из автоматов отважные бойцы уничтожили 10 гитлеровцев, а 14 взяли в плен. Выйдя из дома, Беляков и Афанасьев на перекрёстке улиц захватили исправную немецкую пушку и открыли из неё огонь по огневым точкам противника. Бойцы отделения сержанта Баранова проникли в тыл противника, гранатами и огнём из автоматов истребили 20 гитлеровцев, а 16 немецких солдат взяли в плен.</w:t>
      </w:r>
    </w:p>
    <w:p w14:paraId="244D281F" w14:textId="77777777" w:rsidR="002D2573" w:rsidRPr="00925F26" w:rsidRDefault="002D2573" w:rsidP="00925F26">
      <w:pPr>
        <w:jc w:val="both"/>
        <w:rPr>
          <w:color w:val="000000" w:themeColor="text1"/>
          <w:sz w:val="16"/>
          <w:szCs w:val="16"/>
        </w:rPr>
      </w:pPr>
      <w:r w:rsidRPr="00925F26">
        <w:rPr>
          <w:color w:val="000000" w:themeColor="text1"/>
          <w:sz w:val="16"/>
          <w:szCs w:val="16"/>
        </w:rPr>
        <w:t>Западнее Будапешта утром противник, после сильной артиллерийской подготовки, атаковал наши позиции. На участке в 3— 4 километра немцы бросили в бой до сотни танков и крупные силы моторизированной пехоты. Противник рассчитывал таранным ударом прорвать советскую оборону. Наши артиллеристы, бронебойщики и пехотинцы встретили гитлеровцев сосредоточенным огнем. Завязался ожесточённый бой, длившийся свыше пяти часов. Части Н-ского соединения, отражая вражеские атаки, по неполным данным, уничтожили до 1.000 немцев, сожгли и подбили 35 танков и самоходных орудий.</w:t>
      </w:r>
    </w:p>
    <w:p w14:paraId="3F08EF20" w14:textId="77777777" w:rsidR="002D2573" w:rsidRPr="00925F26" w:rsidRDefault="002D2573" w:rsidP="00925F26">
      <w:pPr>
        <w:jc w:val="both"/>
        <w:rPr>
          <w:color w:val="000000" w:themeColor="text1"/>
          <w:sz w:val="16"/>
          <w:szCs w:val="16"/>
        </w:rPr>
      </w:pPr>
      <w:r w:rsidRPr="00925F26">
        <w:rPr>
          <w:color w:val="000000" w:themeColor="text1"/>
          <w:sz w:val="16"/>
          <w:szCs w:val="16"/>
        </w:rPr>
        <w:t>Наша авиация бомбардировала и штурмовала боевые порядки противника. Уничтожено или повреждено несколько танков, 4 бронетранспортёра, 90 автомашин и 28 полевых орудий.</w:t>
      </w:r>
    </w:p>
    <w:p w14:paraId="54CA6B80" w14:textId="77777777" w:rsidR="002D2573" w:rsidRPr="00925F26" w:rsidRDefault="002D2573" w:rsidP="00925F26">
      <w:pPr>
        <w:jc w:val="both"/>
        <w:rPr>
          <w:color w:val="000000" w:themeColor="text1"/>
          <w:sz w:val="16"/>
          <w:szCs w:val="16"/>
        </w:rPr>
      </w:pPr>
      <w:r w:rsidRPr="00925F26">
        <w:rPr>
          <w:color w:val="000000" w:themeColor="text1"/>
          <w:sz w:val="16"/>
          <w:szCs w:val="16"/>
        </w:rPr>
        <w:t>Советские воины показывают в боях образцы мужества и героизма. Шофёр артиллерийской батареи Василий Фисенко, отражая вражескую контратаку, выдвинулся с пулемётом на фланг и мелким огнём нанёс немцам большой урон. Рядовые Верхов и Зайцев обстреляли отряд противника и заставили его сложить оружие. 37 немцев сдались в плен. Снайперы Скачков и Юрков в последних боях уничтожили по 12 немцев каждый. Гвардии рядовой Севрюков, укрывшись в окопе, подпустил немецкий танк на близкое расстояние и огнём из автомата уничтожил четырёх немецких автоматчиков, находившихся на броне танка. Лётчики-истребители лейтенант Трусов и младший лейтенант Мордовский атаковали группу немецких самолётов «Фокке-Вульф-190». Лейтенант Трусов сбил два вражеских самолёта. Младший лейтенант Мордовский уничтожил один самолёт противника.</w:t>
      </w:r>
    </w:p>
    <w:p w14:paraId="748AF546" w14:textId="77777777" w:rsidR="002D2573" w:rsidRPr="00925F26" w:rsidRDefault="002D2573" w:rsidP="00925F26">
      <w:pPr>
        <w:jc w:val="both"/>
        <w:rPr>
          <w:color w:val="000000" w:themeColor="text1"/>
          <w:sz w:val="16"/>
          <w:szCs w:val="16"/>
        </w:rPr>
      </w:pPr>
      <w:r w:rsidRPr="00925F26">
        <w:rPr>
          <w:color w:val="000000" w:themeColor="text1"/>
          <w:sz w:val="16"/>
          <w:szCs w:val="16"/>
        </w:rPr>
        <w:t>В Восточной Пруссии наши подразделения вели разведку и уничтожили до роты гитлеровцев. Наводчик орудия младший сержант Зайцев несколькими выстрелами поджег немецкий склад боеприпасов. Склад противника взлетел на воздух. Группа девушек-снайперов в составе 8 человек истребила 94 немецких солдата и офицера; 18 из них уничтожено гвардии сержантом Зюзиной.</w:t>
      </w:r>
    </w:p>
    <w:p w14:paraId="11F06E3A" w14:textId="77777777" w:rsidR="002D2573" w:rsidRPr="00925F26" w:rsidRDefault="002D2573" w:rsidP="00925F26">
      <w:pPr>
        <w:jc w:val="both"/>
        <w:rPr>
          <w:color w:val="000000" w:themeColor="text1"/>
          <w:sz w:val="16"/>
          <w:szCs w:val="16"/>
        </w:rPr>
      </w:pPr>
      <w:r w:rsidRPr="00925F26">
        <w:rPr>
          <w:color w:val="000000" w:themeColor="text1"/>
          <w:sz w:val="16"/>
          <w:szCs w:val="16"/>
        </w:rPr>
        <w:t>Венгерские солдаты и гражданские лица, перешедшие на сторону Красной Армии из районов Будапешта, ещё занятых противником, рассказывают о том, что немцы методически разрушают город, взрывают жилые дома и общественные здания. Население прячется в подвалах и погребах.</w:t>
      </w:r>
    </w:p>
    <w:p w14:paraId="4FC15AD8" w14:textId="77777777" w:rsidR="002D2573" w:rsidRPr="00925F26" w:rsidRDefault="002D2573" w:rsidP="00925F26">
      <w:pPr>
        <w:jc w:val="both"/>
        <w:rPr>
          <w:color w:val="000000" w:themeColor="text1"/>
          <w:sz w:val="16"/>
          <w:szCs w:val="16"/>
        </w:rPr>
      </w:pPr>
      <w:r w:rsidRPr="00925F26">
        <w:rPr>
          <w:color w:val="000000" w:themeColor="text1"/>
          <w:sz w:val="16"/>
          <w:szCs w:val="16"/>
        </w:rPr>
        <w:t xml:space="preserve">Ряд домов гитлеровцы взорвали, даже не предупредив об этом находившихся в них жителей. Под развалинами зданий погибли тысячи людей. Немецкие солдаты опустошают квартиры, грабят ценности и продовольствие. Они творят дикий произвол, расстреливая ни в чём не повинных жителей. Население голодает. Отмечено много случаев смерти на почве голода. Венгры не скрывают своей враждебности к немцам и их пособникам из шайки Салаши. После того, как немецкое командование не приняло советского ультиматума о капитуляции, в городе имели место выступления против немцев. Группа венгров бросила бомбу в ресторан гостиницы «Метрополь», занятой немцами. Взрывом бомбы убито 20 немецких офицеров. Венгерские патриоты укрываются в подвалах и на чердаках и оттуда обстреливают гитлеровцев, проходящих по улицам. В декабре немцы неоднократно пытались эвакуировать население заводского района Будапешта — Чепель. Население </w:t>
      </w:r>
      <w:r w:rsidRPr="00925F26">
        <w:rPr>
          <w:color w:val="000000" w:themeColor="text1"/>
          <w:sz w:val="16"/>
          <w:szCs w:val="16"/>
        </w:rPr>
        <w:lastRenderedPageBreak/>
        <w:t>категорически отказалось покинуть родные места. Немцы и салашисты стали силой выгонять жителей из домов, но встретили вооружённый отпор. У многих рабочих были припрятаны автоматы, пистолеты и винтовки. Пустив в ход оружие, рабочие причинили немцам и салашитам значительные потери.» (15007).</w:t>
      </w:r>
    </w:p>
    <w:p w14:paraId="47C6FE04" w14:textId="77777777" w:rsidR="002D2573" w:rsidRPr="00925F26" w:rsidRDefault="002D2573" w:rsidP="00925F26">
      <w:pPr>
        <w:jc w:val="both"/>
        <w:rPr>
          <w:color w:val="000000" w:themeColor="text1"/>
          <w:sz w:val="16"/>
          <w:szCs w:val="16"/>
        </w:rPr>
      </w:pPr>
    </w:p>
    <w:p w14:paraId="380BA85C" w14:textId="77777777" w:rsidR="0084047D" w:rsidRPr="00925F26" w:rsidRDefault="0084047D" w:rsidP="00925F26">
      <w:pPr>
        <w:jc w:val="both"/>
        <w:rPr>
          <w:color w:val="000000" w:themeColor="text1"/>
          <w:sz w:val="16"/>
          <w:szCs w:val="16"/>
        </w:rPr>
      </w:pPr>
      <w:r w:rsidRPr="00925F26">
        <w:rPr>
          <w:rStyle w:val="107"/>
          <w:rFonts w:eastAsiaTheme="minorHAnsi"/>
          <w:color w:val="000000" w:themeColor="text1"/>
          <w:sz w:val="16"/>
          <w:szCs w:val="16"/>
        </w:rPr>
        <w:t>12 января 1945, уже через два дня после завершения учебы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3246A126" w14:textId="77777777" w:rsidR="0084047D" w:rsidRPr="00925F26" w:rsidRDefault="0084047D" w:rsidP="00925F26">
      <w:pPr>
        <w:jc w:val="both"/>
        <w:rPr>
          <w:color w:val="000000" w:themeColor="text1"/>
          <w:sz w:val="16"/>
          <w:szCs w:val="16"/>
        </w:rPr>
      </w:pPr>
      <w:r w:rsidRPr="00925F26">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5AA0EC78" w14:textId="77777777" w:rsidR="0084047D" w:rsidRPr="00925F26" w:rsidRDefault="0084047D" w:rsidP="00925F26">
      <w:pPr>
        <w:jc w:val="both"/>
        <w:rPr>
          <w:color w:val="000000" w:themeColor="text1"/>
          <w:sz w:val="16"/>
          <w:szCs w:val="16"/>
        </w:rPr>
      </w:pPr>
    </w:p>
    <w:p w14:paraId="6A9CA43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января 1945 советские войска раньше срока начали Висло-Одерскую операцию, сорвав немецкое наступление в Арденнах (4962).</w:t>
      </w:r>
    </w:p>
    <w:p w14:paraId="1655A08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DFC8295"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12, 1945: The Soviet 1st Ukrainian Front (Konev) launches an offensive from its bridgehead across the Vistula at Baranov (3819).</w:t>
      </w:r>
    </w:p>
    <w:p w14:paraId="0B2A6DAB" w14:textId="77777777" w:rsidR="00C2313B" w:rsidRPr="00925F26" w:rsidRDefault="00C2313B" w:rsidP="00925F26">
      <w:pPr>
        <w:autoSpaceDE w:val="0"/>
        <w:autoSpaceDN w:val="0"/>
        <w:adjustRightInd w:val="0"/>
        <w:jc w:val="both"/>
        <w:rPr>
          <w:color w:val="000000" w:themeColor="text1"/>
          <w:sz w:val="16"/>
          <w:szCs w:val="16"/>
          <w:lang w:val="en-US"/>
        </w:rPr>
      </w:pPr>
    </w:p>
    <w:p w14:paraId="75BDDD02"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12 1945 Russians launch large-scale winter offensive in Poland (extend it to East Prussia January 14).</w:t>
      </w:r>
    </w:p>
    <w:p w14:paraId="0FD49628" w14:textId="77777777" w:rsidR="00C2313B" w:rsidRPr="00925F26" w:rsidRDefault="00C2313B" w:rsidP="00925F26">
      <w:pPr>
        <w:autoSpaceDE w:val="0"/>
        <w:autoSpaceDN w:val="0"/>
        <w:adjustRightInd w:val="0"/>
        <w:jc w:val="both"/>
        <w:rPr>
          <w:color w:val="000000" w:themeColor="text1"/>
          <w:sz w:val="16"/>
          <w:szCs w:val="16"/>
          <w:lang w:val="en-US"/>
        </w:rPr>
      </w:pPr>
    </w:p>
    <w:p w14:paraId="69913CE4" w14:textId="77777777" w:rsidR="002D2573" w:rsidRPr="00925F26" w:rsidRDefault="002D2573" w:rsidP="00925F26">
      <w:pPr>
        <w:jc w:val="both"/>
        <w:rPr>
          <w:color w:val="000000" w:themeColor="text1"/>
          <w:sz w:val="16"/>
          <w:szCs w:val="16"/>
        </w:rPr>
      </w:pPr>
      <w:r w:rsidRPr="00925F26">
        <w:rPr>
          <w:bCs/>
          <w:color w:val="000000" w:themeColor="text1"/>
          <w:sz w:val="16"/>
          <w:szCs w:val="16"/>
        </w:rPr>
        <w:t>12 января</w:t>
      </w:r>
      <w:r w:rsidRPr="00925F26">
        <w:rPr>
          <w:color w:val="000000" w:themeColor="text1"/>
          <w:sz w:val="16"/>
          <w:szCs w:val="16"/>
        </w:rPr>
        <w:t xml:space="preserve"> в 1945 году началась Висло-Одерская стратегическая наступательная операция. Для ее проведения привлекались 1-й Белорусский (Маршал Советского Союза Г.К.Жуков) и 1-й Украинский (Маршал Советского Союза И.С.Конев) фронты. Им содействовали войска левого крыла 2-го Белорусского фронта с севера и правого крыла 4-го Украинского с юга. Операция завершилась выходом советских войск к Одеру и захватом плацдармов на левом берегу реки. В ходе ее были уничтожены 35 дивизий врага, взято в плен 147 тыс. немецких солдат и офицеров, освобождена почти вся Польша. Одновременно войска 4-го (генерал армии И.Е.Петров) и 2-го Украинских фронтов (Маршал Советского Союза Р.Я.Малиновский), 1-го Чехословацкого армейского корпуса начали Западно-Карпатскую стратегическую наступательную операцию. В ходе операции, завершившейся 18 февраля, нанесен тяжелый урон пяти немецко-фашистским армиям, освобождены южные районы Польши и значительная часть территории Чехословакии (15007).</w:t>
      </w:r>
    </w:p>
    <w:p w14:paraId="03D9F829" w14:textId="77777777" w:rsidR="002D2573" w:rsidRPr="00925F26" w:rsidRDefault="002D2573" w:rsidP="00925F26">
      <w:pPr>
        <w:jc w:val="both"/>
        <w:rPr>
          <w:color w:val="000000" w:themeColor="text1"/>
          <w:sz w:val="16"/>
          <w:szCs w:val="16"/>
        </w:rPr>
      </w:pPr>
    </w:p>
    <w:p w14:paraId="5C11DD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1944 началось советское зимнее наступление в Польше и 14 января - в Восточной Пруссии.</w:t>
      </w:r>
    </w:p>
    <w:p w14:paraId="34709E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12-14 января 1945 началась Висло-Одерская операция. Летало до 400 штурмовиков и бомбардировщиков (340,195) и шла до 3 февраля. На 1 этапе 12-17 января прорвали 500 км фронт и продвинулись на 100-150 км. а на втором - с 18 января по 3 февраля разбили резервы и захватили плацдармы на Одере. Уничтожили 35 дивизий и разбили на 50-70% еще 25. Взяли в плен 147.5 тыс. и захватили 1.4 тыс. танков (2438,144).</w:t>
      </w:r>
    </w:p>
    <w:p w14:paraId="5F7E01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Висло-Одерской наступательной операции задействовали 43% всей фронтовой авиации (518,112).</w:t>
      </w:r>
    </w:p>
    <w:p w14:paraId="0017D2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из-за плохих метеоусловий авиаподготовка ограничивалась действиями нба (518,135).</w:t>
      </w:r>
    </w:p>
    <w:p w14:paraId="2CFD73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Висло-Одерской операции Ставка ВГК организовала действия по срыву оперативных перевозок с привлечением АДД и ВА (518,130).</w:t>
      </w:r>
    </w:p>
    <w:p w14:paraId="1231EA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подготовке Висло-Одерской операции на воздушную разведку ВА затрачивалось до 40-47% всех самолетовылетов (518,121).</w:t>
      </w:r>
    </w:p>
    <w:p w14:paraId="1FF818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Воздушная съемка позволила выявить 7 оборонительных полос на глубину 500 км, 6 противотанковых рвов, районы сосредоточения резервов, огневые позиции артиллерии. Сфотографировали все переправы через Вислу от Модлина до Влоцлавека и через Пилицу от Варки до Томашува, аэродромы. На фотографирование затратили 610 самолетовылетов и за 20 дней засняли 87 тыс. кв. км (518,127).</w:t>
      </w:r>
    </w:p>
    <w:p w14:paraId="0BD27F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2580F6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доля разведывательных вылетов была выше средней в 5-8% и достигала 14-15% (518,154).</w:t>
      </w:r>
    </w:p>
    <w:p w14:paraId="5F8971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Применялось воздушное фотографирование важных стационарных объектов, что имело важное значение в ходе боевых действий (518,154).</w:t>
      </w:r>
    </w:p>
    <w:p w14:paraId="36C540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Висло-Одерской операции для выполнения задач непосредственно в интересах 1ГТА выделялись 2 и 11 гад и 286 иад (518,158).</w:t>
      </w:r>
    </w:p>
    <w:p w14:paraId="484555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26F6F9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операции отмечалось отставание истребителей и ш от быстро наступающих танковых армий, которые они д.б. поддерживать (518,168).</w:t>
      </w:r>
    </w:p>
    <w:p w14:paraId="6BD6DB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2CA8733E" w14:textId="77777777" w:rsidR="00C2313B" w:rsidRPr="00925F26" w:rsidRDefault="00C2313B" w:rsidP="00925F26">
      <w:pPr>
        <w:autoSpaceDE w:val="0"/>
        <w:autoSpaceDN w:val="0"/>
        <w:adjustRightInd w:val="0"/>
        <w:jc w:val="both"/>
        <w:rPr>
          <w:color w:val="000000" w:themeColor="text1"/>
          <w:sz w:val="16"/>
          <w:szCs w:val="16"/>
        </w:rPr>
      </w:pPr>
    </w:p>
    <w:p w14:paraId="5559C9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12 января по 3 февраля 1945 состоялась Сандомиро-Силезская операция как часть Висло-Одерской для выхода на Одер. Продвинулись на 400-500 км (2443,102).</w:t>
      </w:r>
    </w:p>
    <w:p w14:paraId="70999A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ходе Верхне-Силезской операции на уничтожение окруженной группировки противника было затрачено 18-19%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(518,181).</w:t>
      </w:r>
    </w:p>
    <w:p w14:paraId="4FCEDF18" w14:textId="77777777" w:rsidR="00C2313B" w:rsidRPr="00925F26" w:rsidRDefault="00C2313B" w:rsidP="00925F26">
      <w:pPr>
        <w:autoSpaceDE w:val="0"/>
        <w:autoSpaceDN w:val="0"/>
        <w:adjustRightInd w:val="0"/>
        <w:jc w:val="both"/>
        <w:rPr>
          <w:color w:val="000000" w:themeColor="text1"/>
          <w:sz w:val="16"/>
          <w:szCs w:val="16"/>
        </w:rPr>
      </w:pPr>
    </w:p>
    <w:p w14:paraId="4E5181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года во время Сандомирско-Силезской операции 368-й Гв. ТСАП 1-го Украинского фронта вооруженный ИСУ-152 в течение 107 минут вел огонь по опорному пункту и четырем артиллерийским батареям противника.</w:t>
      </w:r>
    </w:p>
    <w:p w14:paraId="27D82C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Выпустив 980 снарядов, полк подавил две минометные батареи, уничтожил восемь орудий и до батальона солдат и офицеров противника. Интересно отметить, что дополнительные боеприпасы заранее выкладывались на огневых позициях, однако прежде всего расходовались </w:t>
      </w:r>
      <w:proofErr w:type="gramStart"/>
      <w:r w:rsidRPr="00925F26">
        <w:rPr>
          <w:color w:val="000000" w:themeColor="text1"/>
          <w:sz w:val="16"/>
          <w:szCs w:val="16"/>
        </w:rPr>
        <w:t>снаряды</w:t>
      </w:r>
      <w:proofErr w:type="gramEnd"/>
      <w:r w:rsidRPr="00925F26">
        <w:rPr>
          <w:color w:val="000000" w:themeColor="text1"/>
          <w:sz w:val="16"/>
          <w:szCs w:val="16"/>
        </w:rPr>
        <w:t xml:space="preserve"> находившиеся в боевых машинах, иначе был бы значительно снижен темп стрельбы. Для последующего пополнения тяжелых самоходок снарядами требовалось до 40 минут, поэтому они прекращали огонь заблаговременно до начала атаки. (3862).</w:t>
      </w:r>
    </w:p>
    <w:p w14:paraId="2B2DF419" w14:textId="77777777" w:rsidR="00C2313B" w:rsidRPr="00925F26" w:rsidRDefault="00C2313B" w:rsidP="00925F26">
      <w:pPr>
        <w:autoSpaceDE w:val="0"/>
        <w:autoSpaceDN w:val="0"/>
        <w:adjustRightInd w:val="0"/>
        <w:jc w:val="both"/>
        <w:rPr>
          <w:color w:val="000000" w:themeColor="text1"/>
          <w:sz w:val="16"/>
          <w:szCs w:val="16"/>
        </w:rPr>
      </w:pPr>
    </w:p>
    <w:p w14:paraId="1CFA1F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года в ходе Висло-Одерской операции Красной Армии. Колонна "Тигров II" из 524-го тяжелого танкового батальона столкнулась с нашими танками ИС-2 у деревни Лисов. Обе стороны понесли тяжелые потери. (3862).</w:t>
      </w:r>
    </w:p>
    <w:p w14:paraId="42850F02" w14:textId="77777777" w:rsidR="00C2313B" w:rsidRPr="00925F26" w:rsidRDefault="00C2313B" w:rsidP="00925F26">
      <w:pPr>
        <w:autoSpaceDE w:val="0"/>
        <w:autoSpaceDN w:val="0"/>
        <w:adjustRightInd w:val="0"/>
        <w:jc w:val="both"/>
        <w:rPr>
          <w:color w:val="000000" w:themeColor="text1"/>
          <w:sz w:val="16"/>
          <w:szCs w:val="16"/>
        </w:rPr>
      </w:pPr>
    </w:p>
    <w:p w14:paraId="059D93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началась Западно-Карпатская стратегическая наступательная операция 4УФ (И.Е.Петров), 2УФ (Р.Я.Малиновский), 1 ЧАК. Завершилась 18 февраля (3398,23).</w:t>
      </w:r>
    </w:p>
    <w:p w14:paraId="093BCB4F" w14:textId="77777777" w:rsidR="00C2313B" w:rsidRPr="00925F26" w:rsidRDefault="00C2313B" w:rsidP="00925F26">
      <w:pPr>
        <w:autoSpaceDE w:val="0"/>
        <w:autoSpaceDN w:val="0"/>
        <w:adjustRightInd w:val="0"/>
        <w:jc w:val="both"/>
        <w:rPr>
          <w:color w:val="000000" w:themeColor="text1"/>
          <w:sz w:val="16"/>
          <w:szCs w:val="16"/>
        </w:rPr>
      </w:pPr>
    </w:p>
    <w:p w14:paraId="55F3532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2C963D1" w14:textId="77777777" w:rsidR="00C2313B" w:rsidRPr="00925F26" w:rsidRDefault="00C2313B" w:rsidP="00925F26">
      <w:pPr>
        <w:autoSpaceDE w:val="0"/>
        <w:autoSpaceDN w:val="0"/>
        <w:adjustRightInd w:val="0"/>
        <w:jc w:val="both"/>
        <w:rPr>
          <w:iCs/>
          <w:color w:val="000000" w:themeColor="text1"/>
          <w:sz w:val="16"/>
          <w:szCs w:val="16"/>
        </w:rPr>
      </w:pPr>
    </w:p>
    <w:p w14:paraId="77016C89" w14:textId="77777777" w:rsidR="008C4451" w:rsidRPr="001A0BAA" w:rsidRDefault="008C4451" w:rsidP="008C4451">
      <w:pPr>
        <w:jc w:val="both"/>
        <w:rPr>
          <w:color w:val="0070C0"/>
          <w:sz w:val="16"/>
          <w:szCs w:val="16"/>
        </w:rPr>
      </w:pPr>
      <w:r w:rsidRPr="001A0BAA">
        <w:rPr>
          <w:color w:val="0070C0"/>
          <w:sz w:val="16"/>
          <w:szCs w:val="16"/>
        </w:rPr>
        <w:t>12-14 января 1945 пилот-испытатель Люфтваффе Ганс Лерхе отдела Е2 Beute (отдел занимался испытаниями захваченных самолетов противника) Испытательного центра Люфтваффе в Рехлине выполнил полеты на захваченном в ходе наступления в Восточной Пруссии исправного Як-3, который совершил посадку на аэродроме</w:t>
      </w:r>
      <w:r w:rsidRPr="001A0BAA">
        <w:rPr>
          <w:color w:val="0070C0"/>
          <w:sz w:val="16"/>
          <w:szCs w:val="16"/>
          <w:bdr w:val="none" w:sz="0" w:space="0" w:color="auto" w:frame="1"/>
          <w:shd w:val="clear" w:color="auto" w:fill="FFFFFF"/>
        </w:rPr>
        <w:t xml:space="preserve"> </w:t>
      </w:r>
      <w:r w:rsidRPr="001A0BAA">
        <w:rPr>
          <w:color w:val="0070C0"/>
          <w:sz w:val="16"/>
          <w:szCs w:val="16"/>
        </w:rPr>
        <w:t>в Гросс-Шиманене. 12 января он перегнал машину на аэродром в Маркиш-Фридлянд, где выполнил небольшой ремонт пневмосистемы. 13 января – перелетел в Рехлин.</w:t>
      </w:r>
    </w:p>
    <w:p w14:paraId="0CADAFAB" w14:textId="77777777" w:rsidR="008C4451" w:rsidRPr="001A0BAA" w:rsidRDefault="008C4451" w:rsidP="008C4451">
      <w:pPr>
        <w:jc w:val="both"/>
        <w:rPr>
          <w:color w:val="0070C0"/>
          <w:sz w:val="16"/>
          <w:szCs w:val="16"/>
        </w:rPr>
      </w:pPr>
      <w:r w:rsidRPr="001A0BAA">
        <w:rPr>
          <w:color w:val="0070C0"/>
          <w:sz w:val="16"/>
          <w:szCs w:val="16"/>
        </w:rPr>
        <w:t>Прежде чем пилот был готов составить план первых испытательных полетов, он получил известие, что рейхсмаршал Геринг хочет посмотреть самолет на аэродроме Ораниенбург под Берлином. Он должен был вылететь туда на следующий день.</w:t>
      </w:r>
    </w:p>
    <w:p w14:paraId="7E38FC2C" w14:textId="77777777" w:rsidR="008C4451" w:rsidRPr="001A0BAA" w:rsidRDefault="008C4451" w:rsidP="008C4451">
      <w:pPr>
        <w:jc w:val="both"/>
        <w:rPr>
          <w:color w:val="0070C0"/>
          <w:sz w:val="16"/>
          <w:szCs w:val="16"/>
        </w:rPr>
      </w:pPr>
      <w:r w:rsidRPr="001A0BAA">
        <w:rPr>
          <w:color w:val="0070C0"/>
          <w:sz w:val="16"/>
          <w:szCs w:val="16"/>
        </w:rPr>
        <w:t>На вопросы Геринга относительно Як-3 пилот ответил, что испытательные полеты еще не начались, но вследствии чрезвычайно малого веса самолета, соединенного с его отличными аэродинамическими качествами и мощным двигателем, можно ожидать отличной скороподъемности и боевых качеств на низкой высоте в сравнении с нашими истребителями Ме-109 и ФВ-190. Пилот также не мог также не отметить посредственное поведение самолета на больших высотах из-за особенностей его двигателя (25218).</w:t>
      </w:r>
    </w:p>
    <w:p w14:paraId="6B2F2801" w14:textId="77777777" w:rsidR="008C4451" w:rsidRPr="001A0BAA" w:rsidRDefault="008C4451" w:rsidP="008C4451">
      <w:pPr>
        <w:jc w:val="both"/>
        <w:rPr>
          <w:color w:val="0070C0"/>
          <w:sz w:val="16"/>
          <w:szCs w:val="16"/>
        </w:rPr>
      </w:pPr>
    </w:p>
    <w:p w14:paraId="33073D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января 1945 самолеты авианосцев потопили 25 японских кораблей и судов на побережье Индокитая (2100).</w:t>
      </w:r>
    </w:p>
    <w:p w14:paraId="37D57C99" w14:textId="77777777" w:rsidR="00C2313B" w:rsidRPr="00925F26" w:rsidRDefault="00C2313B" w:rsidP="00925F26">
      <w:pPr>
        <w:autoSpaceDE w:val="0"/>
        <w:autoSpaceDN w:val="0"/>
        <w:adjustRightInd w:val="0"/>
        <w:jc w:val="both"/>
        <w:rPr>
          <w:color w:val="000000" w:themeColor="text1"/>
          <w:sz w:val="16"/>
          <w:szCs w:val="16"/>
        </w:rPr>
      </w:pPr>
    </w:p>
    <w:p w14:paraId="23FFCEC3" w14:textId="77777777" w:rsidR="002A04DB" w:rsidRPr="00925F26" w:rsidRDefault="002A04DB" w:rsidP="00925F26">
      <w:pPr>
        <w:jc w:val="both"/>
        <w:rPr>
          <w:color w:val="000000" w:themeColor="text1"/>
          <w:sz w:val="16"/>
          <w:szCs w:val="16"/>
        </w:rPr>
      </w:pPr>
      <w:r w:rsidRPr="00925F26">
        <w:rPr>
          <w:color w:val="000000" w:themeColor="text1"/>
          <w:sz w:val="16"/>
          <w:szCs w:val="16"/>
        </w:rPr>
        <w:t>12 января 1945 с 850 самолетами на борту авианосцев, Целевая группа 38 наносит удары по целям на 420-мильном (778-километровом) участке побережья Французского Индокитая, совершив 1465 самолето-пролетов, потопить 12 танкеров, 17 других торговых судов, разоруженный французский крейсер La Motte-Picquet и 15 японских военно-морских судов, включая легкий крейсер Kashii и уничтожив 15 японских самолетов в воздухе, 77 на земле и 20 гидросамолетов в заливе Камран в обмен на потерю 23 самолетов США (20371).</w:t>
      </w:r>
    </w:p>
    <w:p w14:paraId="27ABCF6E" w14:textId="77777777" w:rsidR="002A04DB" w:rsidRPr="00925F26" w:rsidRDefault="002A04DB" w:rsidP="00925F26">
      <w:pPr>
        <w:jc w:val="both"/>
        <w:rPr>
          <w:color w:val="000000" w:themeColor="text1"/>
          <w:sz w:val="16"/>
          <w:szCs w:val="16"/>
        </w:rPr>
      </w:pPr>
    </w:p>
    <w:p w14:paraId="05417878" w14:textId="77777777" w:rsidR="002A04DB" w:rsidRPr="00925F26" w:rsidRDefault="002A04DB" w:rsidP="00925F26">
      <w:pPr>
        <w:jc w:val="both"/>
        <w:rPr>
          <w:color w:val="000000" w:themeColor="text1"/>
          <w:sz w:val="16"/>
          <w:szCs w:val="16"/>
        </w:rPr>
      </w:pPr>
      <w:r w:rsidRPr="00925F26">
        <w:rPr>
          <w:color w:val="000000" w:themeColor="text1"/>
          <w:sz w:val="16"/>
          <w:szCs w:val="16"/>
        </w:rPr>
        <w:t>12–13 января 1945 камикадзе возобновляют атаки в заливе Лингайен, повреждая эсминец и транспорт, а также несколько торговых судов (20371).</w:t>
      </w:r>
    </w:p>
    <w:p w14:paraId="3BB74E57" w14:textId="77777777" w:rsidR="002A04DB" w:rsidRPr="00925F26" w:rsidRDefault="002A04DB" w:rsidP="00925F26">
      <w:pPr>
        <w:jc w:val="both"/>
        <w:rPr>
          <w:color w:val="000000" w:themeColor="text1"/>
          <w:sz w:val="16"/>
          <w:szCs w:val="16"/>
        </w:rPr>
      </w:pPr>
    </w:p>
    <w:p w14:paraId="1419CB4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C975601" w14:textId="77777777" w:rsidR="00C2313B" w:rsidRPr="00925F26" w:rsidRDefault="00C2313B" w:rsidP="00925F26">
      <w:pPr>
        <w:autoSpaceDE w:val="0"/>
        <w:autoSpaceDN w:val="0"/>
        <w:adjustRightInd w:val="0"/>
        <w:jc w:val="both"/>
        <w:rPr>
          <w:iCs/>
          <w:color w:val="000000" w:themeColor="text1"/>
          <w:sz w:val="16"/>
          <w:szCs w:val="16"/>
        </w:rPr>
      </w:pPr>
    </w:p>
    <w:p w14:paraId="14CB32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7307 О разработке и изготовлении опытного образца автоматического авиационного прицела с радиодальномером. РГАНИР, Фонд ГКО, д. 349, лл. 1-2 (11012).</w:t>
      </w:r>
    </w:p>
    <w:p w14:paraId="5260969B" w14:textId="77777777" w:rsidR="00C2313B" w:rsidRPr="00925F26" w:rsidRDefault="00C2313B" w:rsidP="00925F26">
      <w:pPr>
        <w:autoSpaceDE w:val="0"/>
        <w:autoSpaceDN w:val="0"/>
        <w:adjustRightInd w:val="0"/>
        <w:jc w:val="both"/>
        <w:rPr>
          <w:color w:val="000000" w:themeColor="text1"/>
          <w:sz w:val="16"/>
          <w:szCs w:val="16"/>
        </w:rPr>
      </w:pPr>
    </w:p>
    <w:p w14:paraId="5E7EAAA6" w14:textId="77777777" w:rsidR="00D60908" w:rsidRPr="00925F26" w:rsidRDefault="00D60908" w:rsidP="00925F26">
      <w:pPr>
        <w:jc w:val="both"/>
        <w:rPr>
          <w:color w:val="000000" w:themeColor="text1"/>
          <w:sz w:val="16"/>
          <w:szCs w:val="16"/>
        </w:rPr>
      </w:pPr>
      <w:r w:rsidRPr="00925F26">
        <w:rPr>
          <w:color w:val="000000" w:themeColor="text1"/>
          <w:sz w:val="16"/>
          <w:szCs w:val="16"/>
        </w:rPr>
        <w:t>13 января 1945 вышло Постановление ГКО № 7307 О разработке и изготовлении опытного образца автоматического авиационного прицела с радиодальномером</w:t>
      </w:r>
    </w:p>
    <w:p w14:paraId="3C658330" w14:textId="77777777" w:rsidR="00D60908" w:rsidRPr="00925F26" w:rsidRDefault="00D60908" w:rsidP="00925F26">
      <w:pPr>
        <w:jc w:val="both"/>
        <w:rPr>
          <w:color w:val="000000" w:themeColor="text1"/>
          <w:sz w:val="16"/>
          <w:szCs w:val="16"/>
        </w:rPr>
      </w:pPr>
      <w:r w:rsidRPr="00925F26">
        <w:rPr>
          <w:color w:val="000000" w:themeColor="text1"/>
          <w:sz w:val="16"/>
          <w:szCs w:val="16"/>
        </w:rPr>
        <w:t>В целях увеличения дальности эффективней стрельбы с самолета и повышения точности прицельного огня, Государственный Комитет Обороны постановляет:</w:t>
      </w:r>
    </w:p>
    <w:p w14:paraId="1D669CF6" w14:textId="77777777" w:rsidR="00D60908" w:rsidRPr="00925F26" w:rsidRDefault="00D60908" w:rsidP="00925F26">
      <w:pPr>
        <w:tabs>
          <w:tab w:val="left" w:pos="1367"/>
        </w:tabs>
        <w:jc w:val="both"/>
        <w:rPr>
          <w:color w:val="000000" w:themeColor="text1"/>
          <w:sz w:val="16"/>
          <w:szCs w:val="16"/>
        </w:rPr>
      </w:pPr>
      <w:r w:rsidRPr="00925F26">
        <w:rPr>
          <w:color w:val="000000" w:themeColor="text1"/>
          <w:sz w:val="16"/>
          <w:szCs w:val="16"/>
        </w:rPr>
        <w:t>1. Обязать Наркомвооружения - тов.Устинова и дирек</w:t>
      </w:r>
      <w:r w:rsidRPr="00925F26">
        <w:rPr>
          <w:color w:val="000000" w:themeColor="text1"/>
          <w:sz w:val="16"/>
          <w:szCs w:val="16"/>
        </w:rPr>
        <w:softHyphen/>
        <w:t>тора завода № 355 НКВ - тов. Пескова разработать и изго</w:t>
      </w:r>
      <w:r w:rsidRPr="00925F26">
        <w:rPr>
          <w:color w:val="000000" w:themeColor="text1"/>
          <w:sz w:val="16"/>
          <w:szCs w:val="16"/>
        </w:rPr>
        <w:softHyphen/>
        <w:t>товить автоматический авиационный прицел с радиодально</w:t>
      </w:r>
      <w:r w:rsidRPr="00925F26">
        <w:rPr>
          <w:color w:val="000000" w:themeColor="text1"/>
          <w:sz w:val="16"/>
          <w:szCs w:val="16"/>
        </w:rPr>
        <w:softHyphen/>
        <w:t>мером для неподвижного авиационного оружия по тактико- техническим требованиям ГК</w:t>
      </w:r>
      <w:r w:rsidRPr="00925F26">
        <w:rPr>
          <w:rStyle w:val="PalatinoLinotype11pt70"/>
          <w:rFonts w:ascii="Times New Roman" w:hAnsi="Times New Roman" w:cs="Times New Roman"/>
          <w:color w:val="000000" w:themeColor="text1"/>
          <w:w w:val="100"/>
          <w:sz w:val="16"/>
          <w:szCs w:val="16"/>
        </w:rPr>
        <w:t xml:space="preserve"> НИИ</w:t>
      </w:r>
      <w:r w:rsidRPr="00925F26">
        <w:rPr>
          <w:color w:val="000000" w:themeColor="text1"/>
          <w:sz w:val="16"/>
          <w:szCs w:val="16"/>
        </w:rPr>
        <w:t xml:space="preserve"> ВВС КА и представить два опытных прицела на государственные испытания в ГК НИИ ВВС КА в декабре 1945 года.</w:t>
      </w:r>
    </w:p>
    <w:p w14:paraId="04A038A7" w14:textId="77777777" w:rsidR="00D60908" w:rsidRPr="00925F26" w:rsidRDefault="00D60908" w:rsidP="00925F26">
      <w:pPr>
        <w:tabs>
          <w:tab w:val="left" w:pos="1390"/>
        </w:tabs>
        <w:jc w:val="both"/>
        <w:rPr>
          <w:color w:val="000000" w:themeColor="text1"/>
          <w:sz w:val="16"/>
          <w:szCs w:val="16"/>
        </w:rPr>
      </w:pPr>
      <w:r w:rsidRPr="00925F26">
        <w:rPr>
          <w:color w:val="000000" w:themeColor="text1"/>
          <w:sz w:val="16"/>
          <w:szCs w:val="16"/>
        </w:rPr>
        <w:t>2. Обязать Наркомэлектропром — тов.Кабанова и дирек</w:t>
      </w:r>
      <w:r w:rsidRPr="00925F26">
        <w:rPr>
          <w:color w:val="000000" w:themeColor="text1"/>
          <w:sz w:val="16"/>
          <w:szCs w:val="16"/>
        </w:rPr>
        <w:softHyphen/>
        <w:t>тора НИИ-108 НКЭП - тов.Стась разработать и изготовить два образца радиодальномера для авиаприцела по техничес</w:t>
      </w:r>
      <w:r w:rsidRPr="00925F26">
        <w:rPr>
          <w:color w:val="000000" w:themeColor="text1"/>
          <w:sz w:val="16"/>
          <w:szCs w:val="16"/>
        </w:rPr>
        <w:softHyphen/>
        <w:t>ким условиям завода № 355 НКВ и поставить их заводу № 355 для совместных: испытаний в ноябре 1945 года.</w:t>
      </w:r>
    </w:p>
    <w:p w14:paraId="11AA0363" w14:textId="77777777" w:rsidR="00D60908" w:rsidRPr="00925F26" w:rsidRDefault="00D60908" w:rsidP="00925F26">
      <w:pPr>
        <w:tabs>
          <w:tab w:val="left" w:pos="5998"/>
        </w:tabs>
        <w:jc w:val="both"/>
        <w:rPr>
          <w:color w:val="000000" w:themeColor="text1"/>
          <w:sz w:val="16"/>
          <w:szCs w:val="16"/>
        </w:rPr>
      </w:pPr>
      <w:r w:rsidRPr="00925F26">
        <w:rPr>
          <w:color w:val="000000" w:themeColor="text1"/>
          <w:sz w:val="16"/>
          <w:szCs w:val="16"/>
        </w:rPr>
        <w:t xml:space="preserve">3. Обязать Наркомавиапром - тов.Шахурина и главного конструктора ОКБ 1 5 Главного управления НКАП - тов.Антипова спроектировать и изготовить специальное гиромоторы ддя авиаприцела в количестве -6 шт. по техническим условиям завода № 355 НКВ и поставить заводу № 355 2 шт. к 1 июня </w:t>
      </w:r>
      <w:r w:rsidRPr="00925F26">
        <w:rPr>
          <w:rStyle w:val="-1pt"/>
          <w:rFonts w:ascii="Times New Roman" w:hAnsi="Times New Roman" w:cs="Times New Roman"/>
          <w:color w:val="000000" w:themeColor="text1"/>
          <w:spacing w:val="0"/>
          <w:sz w:val="16"/>
          <w:szCs w:val="16"/>
        </w:rPr>
        <w:t>19</w:t>
      </w:r>
      <w:r w:rsidRPr="00925F26">
        <w:rPr>
          <w:rStyle w:val="-1pt"/>
          <w:rFonts w:ascii="Times New Roman" w:eastAsia="Calibri" w:hAnsi="Times New Roman" w:cs="Times New Roman"/>
          <w:color w:val="000000" w:themeColor="text1"/>
          <w:spacing w:val="0"/>
          <w:sz w:val="16"/>
          <w:szCs w:val="16"/>
        </w:rPr>
        <w:t>4</w:t>
      </w:r>
      <w:r w:rsidRPr="00925F26">
        <w:rPr>
          <w:rStyle w:val="-1pt"/>
          <w:rFonts w:ascii="Times New Roman" w:hAnsi="Times New Roman" w:cs="Times New Roman"/>
          <w:color w:val="000000" w:themeColor="text1"/>
          <w:spacing w:val="0"/>
          <w:sz w:val="16"/>
          <w:szCs w:val="16"/>
        </w:rPr>
        <w:t>5</w:t>
      </w:r>
      <w:r w:rsidRPr="00925F26">
        <w:rPr>
          <w:color w:val="000000" w:themeColor="text1"/>
          <w:sz w:val="16"/>
          <w:szCs w:val="16"/>
        </w:rPr>
        <w:t xml:space="preserve"> года и 4 шт. - к 15 августа 1945 года.</w:t>
      </w:r>
    </w:p>
    <w:p w14:paraId="4250A097" w14:textId="77777777" w:rsidR="00D60908" w:rsidRPr="00925F26" w:rsidRDefault="00D60908" w:rsidP="00925F26">
      <w:pPr>
        <w:jc w:val="both"/>
        <w:rPr>
          <w:color w:val="000000" w:themeColor="text1"/>
          <w:sz w:val="16"/>
          <w:szCs w:val="16"/>
        </w:rPr>
      </w:pPr>
      <w:r w:rsidRPr="00925F26">
        <w:rPr>
          <w:color w:val="000000" w:themeColor="text1"/>
          <w:sz w:val="16"/>
          <w:szCs w:val="16"/>
        </w:rPr>
        <w:t>4. Обявать ГК НИИ ВВС</w:t>
      </w:r>
      <w:r w:rsidRPr="00925F26">
        <w:rPr>
          <w:rStyle w:val="ArialNarrow0"/>
          <w:rFonts w:ascii="Times New Roman" w:hAnsi="Times New Roman" w:cs="Times New Roman"/>
          <w:color w:val="000000" w:themeColor="text1"/>
          <w:sz w:val="16"/>
          <w:szCs w:val="16"/>
        </w:rPr>
        <w:t xml:space="preserve"> -</w:t>
      </w:r>
      <w:r w:rsidRPr="00925F26">
        <w:rPr>
          <w:color w:val="000000" w:themeColor="text1"/>
          <w:sz w:val="16"/>
          <w:szCs w:val="16"/>
        </w:rPr>
        <w:t xml:space="preserve"> тов.Репина в З0-дневннй срок после пред"явления авиаприцелов провести их испыта</w:t>
      </w:r>
      <w:r w:rsidRPr="00925F26">
        <w:rPr>
          <w:color w:val="000000" w:themeColor="text1"/>
          <w:sz w:val="16"/>
          <w:szCs w:val="16"/>
        </w:rPr>
        <w:softHyphen/>
        <w:t>ния и с результатах доложить ГОКО.</w:t>
      </w:r>
    </w:p>
    <w:p w14:paraId="2A2DA077" w14:textId="77777777" w:rsidR="00D60908" w:rsidRPr="00925F26" w:rsidRDefault="00D60908" w:rsidP="00925F26">
      <w:pPr>
        <w:tabs>
          <w:tab w:val="left" w:pos="983"/>
        </w:tabs>
        <w:jc w:val="both"/>
        <w:rPr>
          <w:color w:val="000000" w:themeColor="text1"/>
          <w:sz w:val="16"/>
          <w:szCs w:val="16"/>
        </w:rPr>
      </w:pPr>
      <w:r w:rsidRPr="00925F26">
        <w:rPr>
          <w:color w:val="000000" w:themeColor="text1"/>
          <w:sz w:val="16"/>
          <w:szCs w:val="16"/>
        </w:rPr>
        <w:t>5. Обязать Наркомфин - т.Зверова отпустить Наркому вооружения из резервного фонда СНК СССР 300 тыс. рублей для опытно-конструкторских и научно-исследовательских ра</w:t>
      </w:r>
      <w:r w:rsidRPr="00925F26">
        <w:rPr>
          <w:color w:val="000000" w:themeColor="text1"/>
          <w:sz w:val="16"/>
          <w:szCs w:val="16"/>
        </w:rPr>
        <w:softHyphen/>
        <w:t>бот по авиационным автоматическим прицелам с радиодально</w:t>
      </w:r>
      <w:r w:rsidRPr="00925F26">
        <w:rPr>
          <w:color w:val="000000" w:themeColor="text1"/>
          <w:sz w:val="16"/>
          <w:szCs w:val="16"/>
        </w:rPr>
        <w:softHyphen/>
        <w:t>мерами и 200 тысяч рублей для премирования работников за успешное изготовление прицелов и их агрегатов в сроки, уст ановленные настоящим постановлением, в т.ч. НКВ 100 тыс.рублей и НКЭП - 100 тыс .рублей.</w:t>
      </w:r>
    </w:p>
    <w:p w14:paraId="3371C661" w14:textId="77777777" w:rsidR="00D60908" w:rsidRPr="00925F26" w:rsidRDefault="00D60908" w:rsidP="00925F26">
      <w:pPr>
        <w:jc w:val="both"/>
        <w:rPr>
          <w:color w:val="000000" w:themeColor="text1"/>
          <w:sz w:val="16"/>
          <w:szCs w:val="16"/>
        </w:rPr>
      </w:pPr>
      <w:r w:rsidRPr="00925F26">
        <w:rPr>
          <w:color w:val="000000" w:themeColor="text1"/>
          <w:sz w:val="16"/>
          <w:szCs w:val="16"/>
        </w:rPr>
        <w:t>6. Обязать Наркомторг т.Любимова выелить допол</w:t>
      </w:r>
      <w:r w:rsidRPr="00925F26">
        <w:rPr>
          <w:color w:val="000000" w:themeColor="text1"/>
          <w:sz w:val="16"/>
          <w:szCs w:val="16"/>
        </w:rPr>
        <w:softHyphen/>
        <w:t>нительно Наркомату вооружения для завода № 355 шесть сухих пайков и 10 карточек Р-4 (19516).</w:t>
      </w:r>
    </w:p>
    <w:p w14:paraId="2ED44637" w14:textId="77777777" w:rsidR="00013858" w:rsidRPr="00925F26" w:rsidRDefault="00013858" w:rsidP="00925F26">
      <w:pPr>
        <w:autoSpaceDE w:val="0"/>
        <w:autoSpaceDN w:val="0"/>
        <w:adjustRightInd w:val="0"/>
        <w:jc w:val="both"/>
        <w:rPr>
          <w:color w:val="000000" w:themeColor="text1"/>
          <w:sz w:val="16"/>
          <w:szCs w:val="16"/>
        </w:rPr>
      </w:pPr>
    </w:p>
    <w:p w14:paraId="5B0E9403" w14:textId="77777777" w:rsidR="00FD324C" w:rsidRPr="00925F26" w:rsidRDefault="00FD324C" w:rsidP="00925F26">
      <w:pPr>
        <w:jc w:val="both"/>
        <w:rPr>
          <w:color w:val="000000" w:themeColor="text1"/>
          <w:sz w:val="16"/>
          <w:szCs w:val="16"/>
        </w:rPr>
      </w:pPr>
      <w:r w:rsidRPr="00925F26">
        <w:rPr>
          <w:color w:val="000000" w:themeColor="text1"/>
          <w:sz w:val="16"/>
          <w:szCs w:val="16"/>
        </w:rPr>
        <w:t>13 января 1945 г. Докладная записка А.А. Новикова, А.И. Шахурина, Д.Ф. Устинова и И.Г. Кабанова И.В. Сталину о разработке и изготовлении опытного образца автоматического авиационного прицела с радиодальномером. (Утверждено постановлением ГКО СССР 7307 от II января 1945 г.</w:t>
      </w:r>
    </w:p>
    <w:p w14:paraId="5951271B" w14:textId="77777777" w:rsidR="00FD324C" w:rsidRPr="00925F26" w:rsidRDefault="00FD324C" w:rsidP="00925F26">
      <w:pPr>
        <w:jc w:val="both"/>
        <w:rPr>
          <w:color w:val="000000" w:themeColor="text1"/>
          <w:sz w:val="16"/>
          <w:szCs w:val="16"/>
        </w:rPr>
      </w:pPr>
      <w:r w:rsidRPr="00925F26">
        <w:rPr>
          <w:color w:val="000000" w:themeColor="text1"/>
          <w:sz w:val="16"/>
          <w:szCs w:val="16"/>
        </w:rPr>
        <w:t>РГАСПИ. Ф. 644* Оп. 2« Д. 430. Л 4« Подлинник. Машинописный текст. Подписи —</w:t>
      </w:r>
    </w:p>
    <w:p w14:paraId="195625DB" w14:textId="77777777" w:rsidR="00FD324C" w:rsidRPr="00925F26" w:rsidRDefault="00FD324C" w:rsidP="00925F26">
      <w:pPr>
        <w:jc w:val="both"/>
        <w:rPr>
          <w:color w:val="000000" w:themeColor="text1"/>
          <w:sz w:val="16"/>
          <w:szCs w:val="16"/>
        </w:rPr>
      </w:pPr>
      <w:r w:rsidRPr="00925F26">
        <w:rPr>
          <w:color w:val="000000" w:themeColor="text1"/>
          <w:sz w:val="16"/>
          <w:szCs w:val="16"/>
        </w:rPr>
        <w:t>автографы А.А. Новикова, А.И. Шахурина, Д.Ф. Устинова и И.Г. Кабанова, И.В. Сталина и Г.М. Маленкова.</w:t>
      </w:r>
    </w:p>
    <w:p w14:paraId="18F6FD61" w14:textId="77777777" w:rsidR="00FD324C" w:rsidRPr="00925F26" w:rsidRDefault="00FD324C" w:rsidP="00925F26">
      <w:pPr>
        <w:jc w:val="both"/>
        <w:rPr>
          <w:color w:val="000000" w:themeColor="text1"/>
          <w:sz w:val="16"/>
          <w:szCs w:val="16"/>
        </w:rPr>
      </w:pPr>
      <w:r w:rsidRPr="00925F26">
        <w:rPr>
          <w:color w:val="000000" w:themeColor="text1"/>
          <w:sz w:val="16"/>
          <w:szCs w:val="16"/>
        </w:rPr>
        <w:t>Товарищу СТАЛИНУ</w:t>
      </w:r>
    </w:p>
    <w:p w14:paraId="56633C44" w14:textId="77777777" w:rsidR="00FD324C" w:rsidRPr="00925F26" w:rsidRDefault="00FD324C" w:rsidP="00925F26">
      <w:pPr>
        <w:jc w:val="both"/>
        <w:rPr>
          <w:color w:val="000000" w:themeColor="text1"/>
          <w:sz w:val="16"/>
          <w:szCs w:val="16"/>
        </w:rPr>
      </w:pPr>
      <w:r w:rsidRPr="00925F26">
        <w:rPr>
          <w:color w:val="000000" w:themeColor="text1"/>
          <w:sz w:val="16"/>
          <w:szCs w:val="16"/>
        </w:rPr>
        <w:t>Представляем на Ваше утверждение проект постановления Государственного Комитета Обороны — 0 разработке и изготовлении опытного образца автоматического авиационного прицела с радиодальномером.</w:t>
      </w:r>
    </w:p>
    <w:p w14:paraId="380BE83A" w14:textId="77777777" w:rsidR="00FD324C" w:rsidRPr="00925F26" w:rsidRDefault="00FD324C" w:rsidP="00925F26">
      <w:pPr>
        <w:jc w:val="both"/>
        <w:rPr>
          <w:color w:val="000000" w:themeColor="text1"/>
          <w:sz w:val="16"/>
          <w:szCs w:val="16"/>
        </w:rPr>
      </w:pPr>
      <w:r w:rsidRPr="00925F26">
        <w:rPr>
          <w:color w:val="000000" w:themeColor="text1"/>
          <w:sz w:val="16"/>
          <w:szCs w:val="16"/>
        </w:rPr>
        <w:t>Из-за отсутствия дальномера состоящие на вооружении авиационные стрелковые прицелы не обеспечивают эффективную стрельбу на дальности, превышающей 300-400 м, тем самым не позволяют использовать полностью возможности авиационного оружия.</w:t>
      </w:r>
    </w:p>
    <w:p w14:paraId="3BD8C5A6" w14:textId="77777777" w:rsidR="00FD324C" w:rsidRPr="00925F26" w:rsidRDefault="00FD324C" w:rsidP="00925F26">
      <w:pPr>
        <w:jc w:val="both"/>
        <w:rPr>
          <w:color w:val="000000" w:themeColor="text1"/>
          <w:sz w:val="16"/>
          <w:szCs w:val="16"/>
        </w:rPr>
      </w:pPr>
      <w:r w:rsidRPr="00925F26">
        <w:rPr>
          <w:color w:val="000000" w:themeColor="text1"/>
          <w:sz w:val="16"/>
          <w:szCs w:val="16"/>
        </w:rPr>
        <w:t>В представляемом проекте предусмотрена разработка опытного образца автоматического прицела с радиодальномером, который позволит вести эффективный огонь по воздушным целям на дальностях 1000-1500 м.</w:t>
      </w:r>
    </w:p>
    <w:p w14:paraId="06233D36" w14:textId="77777777" w:rsidR="00FD324C" w:rsidRPr="00925F26" w:rsidRDefault="00FD324C" w:rsidP="00925F26">
      <w:pPr>
        <w:jc w:val="both"/>
        <w:rPr>
          <w:color w:val="000000" w:themeColor="text1"/>
          <w:sz w:val="16"/>
          <w:szCs w:val="16"/>
        </w:rPr>
      </w:pPr>
      <w:r w:rsidRPr="00925F26">
        <w:rPr>
          <w:color w:val="000000" w:themeColor="text1"/>
          <w:sz w:val="16"/>
          <w:szCs w:val="16"/>
        </w:rPr>
        <w:t>ІІ/І-45 г.</w:t>
      </w:r>
    </w:p>
    <w:p w14:paraId="10EFF42C" w14:textId="77777777" w:rsidR="00FD324C" w:rsidRPr="00925F26" w:rsidRDefault="00FD324C" w:rsidP="00925F26">
      <w:pPr>
        <w:jc w:val="both"/>
        <w:rPr>
          <w:color w:val="000000" w:themeColor="text1"/>
          <w:sz w:val="16"/>
          <w:szCs w:val="16"/>
        </w:rPr>
      </w:pPr>
      <w:r w:rsidRPr="00925F26">
        <w:rPr>
          <w:color w:val="000000" w:themeColor="text1"/>
          <w:sz w:val="16"/>
          <w:szCs w:val="16"/>
        </w:rPr>
        <w:t>Новиков</w:t>
      </w:r>
    </w:p>
    <w:p w14:paraId="6076EE42" w14:textId="77777777" w:rsidR="00FD324C" w:rsidRPr="00925F26" w:rsidRDefault="00FD324C" w:rsidP="00925F26">
      <w:pPr>
        <w:jc w:val="both"/>
        <w:rPr>
          <w:color w:val="000000" w:themeColor="text1"/>
          <w:sz w:val="16"/>
          <w:szCs w:val="16"/>
        </w:rPr>
      </w:pPr>
      <w:r w:rsidRPr="00925F26">
        <w:rPr>
          <w:color w:val="000000" w:themeColor="text1"/>
          <w:sz w:val="16"/>
          <w:szCs w:val="16"/>
        </w:rPr>
        <w:t>Шахурин</w:t>
      </w:r>
    </w:p>
    <w:p w14:paraId="4D9F559C" w14:textId="77777777" w:rsidR="00FD324C" w:rsidRPr="00925F26" w:rsidRDefault="00FD324C" w:rsidP="00925F26">
      <w:pPr>
        <w:jc w:val="both"/>
        <w:rPr>
          <w:color w:val="000000" w:themeColor="text1"/>
          <w:sz w:val="16"/>
          <w:szCs w:val="16"/>
        </w:rPr>
      </w:pPr>
      <w:r w:rsidRPr="00925F26">
        <w:rPr>
          <w:color w:val="000000" w:themeColor="text1"/>
          <w:sz w:val="16"/>
          <w:szCs w:val="16"/>
        </w:rPr>
        <w:t>Устинов</w:t>
      </w:r>
    </w:p>
    <w:p w14:paraId="74A41045" w14:textId="77777777" w:rsidR="00FD324C" w:rsidRPr="00925F26" w:rsidRDefault="00FD324C" w:rsidP="00925F26">
      <w:pPr>
        <w:jc w:val="both"/>
        <w:rPr>
          <w:color w:val="000000" w:themeColor="text1"/>
          <w:sz w:val="16"/>
          <w:szCs w:val="16"/>
        </w:rPr>
      </w:pPr>
      <w:r w:rsidRPr="00925F26">
        <w:rPr>
          <w:color w:val="000000" w:themeColor="text1"/>
          <w:sz w:val="16"/>
          <w:szCs w:val="16"/>
        </w:rPr>
        <w:t>Кабанов</w:t>
      </w:r>
    </w:p>
    <w:p w14:paraId="551115A9" w14:textId="77777777" w:rsidR="00FD324C" w:rsidRPr="00925F26" w:rsidRDefault="00FD324C" w:rsidP="00925F26">
      <w:pPr>
        <w:jc w:val="both"/>
        <w:rPr>
          <w:color w:val="000000" w:themeColor="text1"/>
          <w:sz w:val="16"/>
          <w:szCs w:val="16"/>
        </w:rPr>
      </w:pPr>
      <w:r w:rsidRPr="00925F26">
        <w:rPr>
          <w:color w:val="000000" w:themeColor="text1"/>
          <w:sz w:val="16"/>
          <w:szCs w:val="16"/>
        </w:rPr>
        <w:t>Подпись о согласии: И. Сталин, за — Маленков (23882).</w:t>
      </w:r>
    </w:p>
    <w:p w14:paraId="0B78D222" w14:textId="77777777" w:rsidR="00FD324C" w:rsidRPr="00925F26" w:rsidRDefault="00FD324C" w:rsidP="00925F26">
      <w:pPr>
        <w:jc w:val="both"/>
        <w:rPr>
          <w:color w:val="000000" w:themeColor="text1"/>
          <w:sz w:val="16"/>
          <w:szCs w:val="16"/>
        </w:rPr>
      </w:pPr>
    </w:p>
    <w:p w14:paraId="209670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ГКО постановлением N 7309 утвердил ГК самолета Ер-2 П.О.С. (1890,217).</w:t>
      </w:r>
    </w:p>
    <w:p w14:paraId="466DFF6E" w14:textId="77777777" w:rsidR="00C2313B" w:rsidRPr="00925F26" w:rsidRDefault="00C2313B" w:rsidP="00925F26">
      <w:pPr>
        <w:autoSpaceDE w:val="0"/>
        <w:autoSpaceDN w:val="0"/>
        <w:adjustRightInd w:val="0"/>
        <w:jc w:val="both"/>
        <w:rPr>
          <w:color w:val="000000" w:themeColor="text1"/>
          <w:sz w:val="16"/>
          <w:szCs w:val="16"/>
        </w:rPr>
      </w:pPr>
    </w:p>
    <w:p w14:paraId="04ED03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7309 О главном конструкторе самолета Ер-2. РГАНИР, Фонд ГКО, д. 349, лл. 5 (11012).</w:t>
      </w:r>
    </w:p>
    <w:p w14:paraId="13AF8F86" w14:textId="77777777" w:rsidR="00C2313B" w:rsidRPr="00925F26" w:rsidRDefault="00C2313B" w:rsidP="00925F26">
      <w:pPr>
        <w:autoSpaceDE w:val="0"/>
        <w:autoSpaceDN w:val="0"/>
        <w:adjustRightInd w:val="0"/>
        <w:jc w:val="both"/>
        <w:rPr>
          <w:color w:val="000000" w:themeColor="text1"/>
          <w:sz w:val="16"/>
          <w:szCs w:val="16"/>
        </w:rPr>
      </w:pPr>
    </w:p>
    <w:p w14:paraId="5121CF16" w14:textId="77777777" w:rsidR="00D60908" w:rsidRPr="00925F26" w:rsidRDefault="00D60908" w:rsidP="00925F26">
      <w:pPr>
        <w:jc w:val="both"/>
        <w:rPr>
          <w:color w:val="000000" w:themeColor="text1"/>
          <w:sz w:val="16"/>
          <w:szCs w:val="16"/>
        </w:rPr>
      </w:pPr>
      <w:r w:rsidRPr="00925F26">
        <w:rPr>
          <w:color w:val="000000" w:themeColor="text1"/>
          <w:sz w:val="16"/>
          <w:szCs w:val="16"/>
        </w:rPr>
        <w:t>13 января 1945 вышло Постановление ГКО № 7309 О главном конструкторе самолета Ер-2</w:t>
      </w:r>
    </w:p>
    <w:p w14:paraId="19125CCE" w14:textId="77777777" w:rsidR="00D60908" w:rsidRPr="00925F26" w:rsidRDefault="00D60908" w:rsidP="00925F26">
      <w:pPr>
        <w:jc w:val="both"/>
        <w:rPr>
          <w:color w:val="000000" w:themeColor="text1"/>
          <w:sz w:val="16"/>
          <w:szCs w:val="16"/>
        </w:rPr>
      </w:pPr>
      <w:r w:rsidRPr="00925F26">
        <w:rPr>
          <w:color w:val="000000" w:themeColor="text1"/>
          <w:sz w:val="16"/>
          <w:szCs w:val="16"/>
        </w:rPr>
        <w:t>Утвердить главным конструктором самолета Ер-2 тов.Сухого И.О. (19517).</w:t>
      </w:r>
    </w:p>
    <w:p w14:paraId="707F0E32" w14:textId="77777777" w:rsidR="00D60908" w:rsidRPr="00925F26" w:rsidRDefault="00D60908" w:rsidP="00925F26">
      <w:pPr>
        <w:jc w:val="both"/>
        <w:rPr>
          <w:color w:val="000000" w:themeColor="text1"/>
          <w:sz w:val="16"/>
          <w:szCs w:val="16"/>
        </w:rPr>
      </w:pPr>
    </w:p>
    <w:p w14:paraId="555079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г. в связи с тем, что в декабре 1944 г. скоропостижно скончался В.Г. Ермолаев, Постановлением ГКО объединили заводы № 134 и 289, присвоив новому предприятию № 134. Директором и главным конструктором назначили П.О. Сухого. Летно-испытательная станция предприятия находилась на аэродроме Тушино, и туда из Иркутска поступили четыре Ер-2 с дизельными моторами, один - с двигателями МБ-100 и два Ер-20Н. Сухому поручили не только дальнейшее сопровождение Ер-2 в серийном производстве и эксплуатации, но и доводку его пассажирского варианта (11994).</w:t>
      </w:r>
    </w:p>
    <w:p w14:paraId="0B4AFAA9" w14:textId="77777777" w:rsidR="00C2313B" w:rsidRPr="00925F26" w:rsidRDefault="00C2313B" w:rsidP="00925F26">
      <w:pPr>
        <w:autoSpaceDE w:val="0"/>
        <w:autoSpaceDN w:val="0"/>
        <w:adjustRightInd w:val="0"/>
        <w:jc w:val="both"/>
        <w:rPr>
          <w:color w:val="000000" w:themeColor="text1"/>
          <w:sz w:val="16"/>
          <w:szCs w:val="16"/>
        </w:rPr>
      </w:pPr>
    </w:p>
    <w:p w14:paraId="567EDDE4" w14:textId="77777777" w:rsidR="002D2573" w:rsidRPr="00925F26" w:rsidRDefault="002D2573" w:rsidP="00925F26">
      <w:pPr>
        <w:shd w:val="clear" w:color="auto" w:fill="FFFFFF"/>
        <w:jc w:val="both"/>
        <w:rPr>
          <w:color w:val="000000" w:themeColor="text1"/>
          <w:sz w:val="16"/>
          <w:szCs w:val="16"/>
        </w:rPr>
      </w:pPr>
      <w:r w:rsidRPr="00925F26">
        <w:rPr>
          <w:color w:val="000000" w:themeColor="text1"/>
          <w:sz w:val="16"/>
          <w:szCs w:val="16"/>
        </w:rPr>
        <w:t xml:space="preserve">13-го января 1945 года Постановлением ГКО и приказом НКАП № 39 от 3-го февраля ОКБ Ермолаева и Сухого были объединены. Главным конструктором объединенного ОКБ утвердили Павла Осиповича Сухого, поручив ему дальнейшее сопровождение серийного производства и эксплуатации Ер-2, а </w:t>
      </w:r>
      <w:proofErr w:type="gramStart"/>
      <w:r w:rsidRPr="00925F26">
        <w:rPr>
          <w:color w:val="000000" w:themeColor="text1"/>
          <w:sz w:val="16"/>
          <w:szCs w:val="16"/>
        </w:rPr>
        <w:t>так же</w:t>
      </w:r>
      <w:proofErr w:type="gramEnd"/>
      <w:r w:rsidRPr="00925F26">
        <w:rPr>
          <w:color w:val="000000" w:themeColor="text1"/>
          <w:sz w:val="16"/>
          <w:szCs w:val="16"/>
        </w:rPr>
        <w:t xml:space="preserve"> доводку его пассажирского варианта. Опытный завод № 134 главного конструктора В.Г. Ермолаева был объединен с Тушинским заводом № 289 НКАП главного конструктора П.О. Сухого с образованием единого завода № 134 НКАП (15223).</w:t>
      </w:r>
    </w:p>
    <w:p w14:paraId="5C134C04" w14:textId="77777777" w:rsidR="002D2573" w:rsidRPr="00925F26" w:rsidRDefault="002D2573" w:rsidP="00925F26">
      <w:pPr>
        <w:shd w:val="clear" w:color="auto" w:fill="FFFFFF"/>
        <w:jc w:val="both"/>
        <w:rPr>
          <w:color w:val="000000" w:themeColor="text1"/>
          <w:sz w:val="16"/>
          <w:szCs w:val="16"/>
        </w:rPr>
      </w:pPr>
    </w:p>
    <w:p w14:paraId="6B582DA3" w14:textId="77777777" w:rsidR="002D2573" w:rsidRPr="00925F26" w:rsidRDefault="002D2573" w:rsidP="00925F26">
      <w:pPr>
        <w:pStyle w:val="a3"/>
        <w:rPr>
          <w:color w:val="000000" w:themeColor="text1"/>
          <w:lang w:val="ru-RU"/>
        </w:rPr>
      </w:pPr>
      <w:r w:rsidRPr="00925F26">
        <w:rPr>
          <w:color w:val="000000" w:themeColor="text1"/>
          <w:lang w:val="ru-RU"/>
        </w:rPr>
        <w:t>13 января 1945 г. Постановлением ГКО и приказом НКАП № 39 от 3 февраля 1945 г. «...в целях дальнейшего развития и успешного проведения работ по усовершенствова</w:t>
      </w:r>
      <w:r w:rsidRPr="00925F26">
        <w:rPr>
          <w:color w:val="000000" w:themeColor="text1"/>
          <w:lang w:val="ru-RU"/>
        </w:rPr>
        <w:softHyphen/>
        <w:t>нию самолёта Ер-2...» приняли решение:</w:t>
      </w:r>
    </w:p>
    <w:p w14:paraId="30DBAD8B" w14:textId="77777777" w:rsidR="002D2573" w:rsidRPr="00925F26" w:rsidRDefault="002D2573" w:rsidP="00925F26">
      <w:pPr>
        <w:pStyle w:val="a3"/>
        <w:rPr>
          <w:color w:val="000000" w:themeColor="text1"/>
          <w:lang w:val="ru-RU"/>
        </w:rPr>
      </w:pPr>
      <w:r w:rsidRPr="00925F26">
        <w:rPr>
          <w:color w:val="000000" w:themeColor="text1"/>
          <w:lang w:val="ru-RU"/>
        </w:rPr>
        <w:t>«...1. Объединить заводы №№ 134 и 289, считая основной базой объединённого заво</w:t>
      </w:r>
      <w:r w:rsidRPr="00925F26">
        <w:rPr>
          <w:color w:val="000000" w:themeColor="text1"/>
          <w:lang w:val="ru-RU"/>
        </w:rPr>
        <w:softHyphen/>
        <w:t xml:space="preserve">да территорию завода № 134. Присвоить объединённому заводу № 134 и сохранить за </w:t>
      </w:r>
      <w:r w:rsidRPr="00925F26">
        <w:rPr>
          <w:rStyle w:val="721"/>
          <w:rFonts w:ascii="Times New Roman" w:hAnsi="Times New Roman" w:cs="Times New Roman"/>
          <w:b w:val="0"/>
          <w:color w:val="000000" w:themeColor="text1"/>
          <w:sz w:val="16"/>
          <w:szCs w:val="16"/>
          <w:lang w:val="ru-RU"/>
        </w:rPr>
        <w:t>ним</w:t>
      </w:r>
      <w:r w:rsidRPr="00925F26">
        <w:rPr>
          <w:color w:val="000000" w:themeColor="text1"/>
          <w:lang w:val="ru-RU"/>
        </w:rPr>
        <w:t xml:space="preserve"> территорию, сооружения и </w:t>
      </w:r>
      <w:proofErr w:type="gramStart"/>
      <w:r w:rsidRPr="00925F26">
        <w:rPr>
          <w:color w:val="000000" w:themeColor="text1"/>
          <w:lang w:val="ru-RU"/>
        </w:rPr>
        <w:t>жилые дома</w:t>
      </w:r>
      <w:proofErr w:type="gramEnd"/>
      <w:r w:rsidRPr="00925F26">
        <w:rPr>
          <w:color w:val="000000" w:themeColor="text1"/>
          <w:lang w:val="ru-RU"/>
        </w:rPr>
        <w:t xml:space="preserve"> числящиеся на балансе заводов №№ 289 и 134 в г. Москве, г. Тушино и г. Калининграде.</w:t>
      </w:r>
    </w:p>
    <w:p w14:paraId="769D738D" w14:textId="77777777" w:rsidR="002D2573" w:rsidRPr="00925F26" w:rsidRDefault="002D2573" w:rsidP="00925F26">
      <w:pPr>
        <w:pStyle w:val="a3"/>
        <w:rPr>
          <w:color w:val="000000" w:themeColor="text1"/>
          <w:lang w:val="ru-RU"/>
        </w:rPr>
      </w:pPr>
      <w:r w:rsidRPr="00925F26">
        <w:rPr>
          <w:color w:val="000000" w:themeColor="text1"/>
          <w:lang w:val="ru-RU"/>
        </w:rPr>
        <w:t>2. Утвердить директором и главным конструктором объединенного завода № 134 тов. Сухого Павла Осиповича...»</w:t>
      </w:r>
    </w:p>
    <w:p w14:paraId="1166E20F" w14:textId="77777777" w:rsidR="002D2573" w:rsidRPr="00925F26" w:rsidRDefault="002D2573" w:rsidP="00925F26">
      <w:pPr>
        <w:pStyle w:val="a3"/>
        <w:rPr>
          <w:color w:val="000000" w:themeColor="text1"/>
          <w:lang w:val="ru-RU"/>
        </w:rPr>
      </w:pPr>
      <w:r w:rsidRPr="00925F26">
        <w:rPr>
          <w:color w:val="000000" w:themeColor="text1"/>
          <w:lang w:val="ru-RU"/>
        </w:rPr>
        <w:t>В результате объединения одним из заместителей Сухого стал М.В. Орлов — в неда</w:t>
      </w:r>
      <w:r w:rsidRPr="00925F26">
        <w:rPr>
          <w:color w:val="000000" w:themeColor="text1"/>
          <w:lang w:val="ru-RU"/>
        </w:rPr>
        <w:softHyphen/>
        <w:t>леком прошлом заместитель В-Г. Ермолаева.</w:t>
      </w:r>
    </w:p>
    <w:p w14:paraId="32FB1A6A" w14:textId="77777777" w:rsidR="002D2573" w:rsidRPr="00925F26" w:rsidRDefault="002D2573" w:rsidP="00925F26">
      <w:pPr>
        <w:pStyle w:val="a3"/>
        <w:rPr>
          <w:color w:val="000000" w:themeColor="text1"/>
          <w:lang w:val="ru-RU"/>
        </w:rPr>
      </w:pPr>
      <w:r w:rsidRPr="00925F26">
        <w:rPr>
          <w:color w:val="000000" w:themeColor="text1"/>
          <w:lang w:val="ru-RU"/>
        </w:rPr>
        <w:t>Структурные подразделения завода № 134 разместились следующим образом: КБ и ряд служб — в г. Москве (ныне территория ФГУП «ГосНИИАС»); опытное производст</w:t>
      </w:r>
      <w:r w:rsidRPr="00925F26">
        <w:rPr>
          <w:color w:val="000000" w:themeColor="text1"/>
          <w:lang w:val="ru-RU"/>
        </w:rPr>
        <w:softHyphen/>
        <w:t>во в г. Тушино (ныне территория ОАО «ГосМКБ «Вымпел» им И.И. Торопова»); лётно- испытательная станция (ЛИС) на Тушинском аэродроме, а с июня 1945 г. — на Центральном аэродроме. На ЛИС завода № 134 поступили самолеты Ер-2 №№ 7013901, 7013902, 7023902, 7063901, Ер-2 2МБ-100 и несколько позднее два само</w:t>
      </w:r>
      <w:r w:rsidRPr="00925F26">
        <w:rPr>
          <w:color w:val="000000" w:themeColor="text1"/>
          <w:lang w:val="ru-RU"/>
        </w:rPr>
        <w:softHyphen/>
        <w:t>лёта Ер-20Н (15810).</w:t>
      </w:r>
    </w:p>
    <w:p w14:paraId="66311A7D" w14:textId="77777777" w:rsidR="002D2573" w:rsidRPr="00925F26" w:rsidRDefault="002D2573" w:rsidP="00925F26">
      <w:pPr>
        <w:pStyle w:val="a3"/>
        <w:rPr>
          <w:color w:val="000000" w:themeColor="text1"/>
          <w:lang w:val="ru-RU"/>
        </w:rPr>
      </w:pPr>
    </w:p>
    <w:p w14:paraId="04D22047" w14:textId="77777777" w:rsidR="00F60E3F" w:rsidRPr="00925F26" w:rsidRDefault="00F60E3F" w:rsidP="00925F26">
      <w:pPr>
        <w:pStyle w:val="rtejustify"/>
        <w:shd w:val="clear" w:color="auto" w:fill="FFFFFF"/>
        <w:spacing w:before="0" w:after="0"/>
        <w:rPr>
          <w:color w:val="000000" w:themeColor="text1"/>
          <w:sz w:val="16"/>
          <w:szCs w:val="16"/>
        </w:rPr>
      </w:pPr>
      <w:r w:rsidRPr="00925F26">
        <w:rPr>
          <w:color w:val="000000" w:themeColor="text1"/>
          <w:sz w:val="16"/>
          <w:szCs w:val="16"/>
        </w:rPr>
        <w:t xml:space="preserve">13 января </w:t>
      </w:r>
      <w:proofErr w:type="gramStart"/>
      <w:r w:rsidRPr="00925F26">
        <w:rPr>
          <w:color w:val="000000" w:themeColor="text1"/>
          <w:sz w:val="16"/>
          <w:szCs w:val="16"/>
        </w:rPr>
        <w:t>1945 к удивлению</w:t>
      </w:r>
      <w:proofErr w:type="gramEnd"/>
      <w:r w:rsidRPr="00925F26">
        <w:rPr>
          <w:rStyle w:val="a7"/>
          <w:b w:val="0"/>
          <w:color w:val="000000" w:themeColor="text1"/>
          <w:sz w:val="16"/>
          <w:szCs w:val="16"/>
        </w:rPr>
        <w:t xml:space="preserve"> Hans-Werner Lerche</w:t>
      </w:r>
      <w:r w:rsidRPr="00925F26">
        <w:rPr>
          <w:color w:val="000000" w:themeColor="text1"/>
          <w:sz w:val="16"/>
          <w:szCs w:val="16"/>
        </w:rPr>
        <w:t xml:space="preserve">, давление в отремонтированной в полевыъ усовиях тормозной системе поддерживалось на одном уровне и в 15:27 он взлетел, изо всех сил стараясь чтобы не разбить Як-3 при взлете. Хотя о вылете уже было </w:t>
      </w:r>
      <w:proofErr w:type="gramStart"/>
      <w:r w:rsidRPr="00925F26">
        <w:rPr>
          <w:color w:val="000000" w:themeColor="text1"/>
          <w:sz w:val="16"/>
          <w:szCs w:val="16"/>
        </w:rPr>
        <w:t>сообщено, для того, чтобы</w:t>
      </w:r>
      <w:proofErr w:type="gramEnd"/>
      <w:r w:rsidRPr="00925F26">
        <w:rPr>
          <w:color w:val="000000" w:themeColor="text1"/>
          <w:sz w:val="16"/>
          <w:szCs w:val="16"/>
        </w:rPr>
        <w:t xml:space="preserve"> облегчить опознание, пилот прихватил с собой ракетницу с соответствующими патронами. После 45-минутного полета пилот заметил озеро Мюриц, на южном берегу которого располагался Рехлинский аэродром. Давление воздуха оставалось постоянным даже когда пилот выпустил шасси и закрылки. Как обычно, самолет откатили в ангар-мастерскую для обследования. Общий интерес вызвало отлично обработанное фанерное крыло. Оно создавало минимальное сопротивление и могло быть легко отремонтировано даже на фронтовых аэродромах с импровизированным оборудованием. Тормозная система работала несколько неравномерно в зависимости от того на какую сторону были переложены рули. После опыта </w:t>
      </w:r>
      <w:proofErr w:type="gramStart"/>
      <w:r w:rsidRPr="00925F26">
        <w:rPr>
          <w:color w:val="000000" w:themeColor="text1"/>
          <w:sz w:val="16"/>
          <w:szCs w:val="16"/>
        </w:rPr>
        <w:t>полученного при испытаниях Ла-5</w:t>
      </w:r>
      <w:proofErr w:type="gramEnd"/>
      <w:r w:rsidRPr="00925F26">
        <w:rPr>
          <w:color w:val="000000" w:themeColor="text1"/>
          <w:sz w:val="16"/>
          <w:szCs w:val="16"/>
        </w:rPr>
        <w:t xml:space="preserve"> в ходе которых двигатель этого самолета работал слишком шумно пилот заранее заткнул уши ватными тампонами, что позволило ему не оглохнуть поскольку двигатель Яка так же работал не очень тихо (15474).</w:t>
      </w:r>
    </w:p>
    <w:p w14:paraId="0C2D08BB" w14:textId="77777777" w:rsidR="00F60E3F" w:rsidRPr="00925F26" w:rsidRDefault="00F60E3F" w:rsidP="00925F26">
      <w:pPr>
        <w:pStyle w:val="rtejustify"/>
        <w:shd w:val="clear" w:color="auto" w:fill="FFFFFF"/>
        <w:spacing w:before="0" w:after="0"/>
        <w:rPr>
          <w:color w:val="000000" w:themeColor="text1"/>
          <w:sz w:val="16"/>
          <w:szCs w:val="16"/>
          <w:lang w:val="en-US"/>
        </w:rPr>
      </w:pPr>
      <w:r w:rsidRPr="00925F26">
        <w:rPr>
          <w:color w:val="000000" w:themeColor="text1"/>
          <w:sz w:val="16"/>
          <w:szCs w:val="16"/>
        </w:rPr>
        <w:t>Источник</w:t>
      </w:r>
      <w:r w:rsidRPr="00925F26">
        <w:rPr>
          <w:color w:val="000000" w:themeColor="text1"/>
          <w:sz w:val="16"/>
          <w:szCs w:val="16"/>
          <w:lang w:val="en-US"/>
        </w:rPr>
        <w:t xml:space="preserve">: </w:t>
      </w:r>
      <w:r w:rsidRPr="00925F26">
        <w:rPr>
          <w:rStyle w:val="a7"/>
          <w:b w:val="0"/>
          <w:color w:val="000000" w:themeColor="text1"/>
          <w:sz w:val="16"/>
          <w:szCs w:val="16"/>
          <w:lang w:val="en-US"/>
        </w:rPr>
        <w:t>Hans-Werner Lerche «Testpilot auf Beuteflugzeugen» (15474).</w:t>
      </w:r>
    </w:p>
    <w:p w14:paraId="36B4A59B" w14:textId="77777777" w:rsidR="00F60E3F" w:rsidRPr="00925F26" w:rsidRDefault="00F60E3F" w:rsidP="00925F26">
      <w:pPr>
        <w:jc w:val="both"/>
        <w:rPr>
          <w:color w:val="000000" w:themeColor="text1"/>
          <w:sz w:val="16"/>
          <w:szCs w:val="16"/>
          <w:lang w:val="en-US"/>
        </w:rPr>
      </w:pPr>
    </w:p>
    <w:p w14:paraId="4B4203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года вышел приказ НКАП:</w:t>
      </w:r>
    </w:p>
    <w:p w14:paraId="3E8FF7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Утвердить Данилича А.М. директором завода № 145, освободив Крупнова В.И. (8958).</w:t>
      </w:r>
    </w:p>
    <w:p w14:paraId="340AF602" w14:textId="77777777" w:rsidR="00C2313B" w:rsidRPr="00925F26" w:rsidRDefault="00C2313B" w:rsidP="00925F26">
      <w:pPr>
        <w:autoSpaceDE w:val="0"/>
        <w:autoSpaceDN w:val="0"/>
        <w:adjustRightInd w:val="0"/>
        <w:jc w:val="both"/>
        <w:rPr>
          <w:iCs/>
          <w:color w:val="000000" w:themeColor="text1"/>
          <w:sz w:val="16"/>
          <w:szCs w:val="16"/>
        </w:rPr>
      </w:pPr>
    </w:p>
    <w:p w14:paraId="238C7116" w14:textId="77777777" w:rsidR="00573476" w:rsidRPr="00925F26" w:rsidRDefault="00573476" w:rsidP="00925F26">
      <w:pPr>
        <w:jc w:val="both"/>
        <w:rPr>
          <w:color w:val="000000" w:themeColor="text1"/>
          <w:sz w:val="16"/>
          <w:szCs w:val="16"/>
        </w:rPr>
      </w:pPr>
      <w:r w:rsidRPr="00925F26">
        <w:rPr>
          <w:color w:val="000000" w:themeColor="text1"/>
          <w:sz w:val="16"/>
          <w:szCs w:val="16"/>
        </w:rPr>
        <w:t>13 января 1945 года Нарком Шахурин подписал приказ № 7сс «О мероприятиях по обеспечению испытаний объекта 10Х конструкции т. Челомея» (12415).</w:t>
      </w:r>
    </w:p>
    <w:p w14:paraId="5DDB21F9" w14:textId="77777777" w:rsidR="00573476" w:rsidRPr="00925F26" w:rsidRDefault="00573476" w:rsidP="00925F26">
      <w:pPr>
        <w:jc w:val="both"/>
        <w:rPr>
          <w:color w:val="000000" w:themeColor="text1"/>
          <w:sz w:val="16"/>
          <w:szCs w:val="16"/>
        </w:rPr>
      </w:pPr>
    </w:p>
    <w:p w14:paraId="3AB3242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57EA5B8" w14:textId="77777777" w:rsidR="00C2313B" w:rsidRPr="00925F26" w:rsidRDefault="00C2313B" w:rsidP="00925F26">
      <w:pPr>
        <w:autoSpaceDE w:val="0"/>
        <w:autoSpaceDN w:val="0"/>
        <w:adjustRightInd w:val="0"/>
        <w:jc w:val="both"/>
        <w:rPr>
          <w:iCs/>
          <w:color w:val="000000" w:themeColor="text1"/>
          <w:sz w:val="16"/>
          <w:szCs w:val="16"/>
        </w:rPr>
      </w:pPr>
    </w:p>
    <w:p w14:paraId="7A6747A9" w14:textId="77777777" w:rsidR="008C4451" w:rsidRPr="001A0BAA" w:rsidRDefault="008C4451" w:rsidP="008C4451">
      <w:pPr>
        <w:jc w:val="both"/>
        <w:rPr>
          <w:color w:val="0070C0"/>
          <w:sz w:val="16"/>
          <w:szCs w:val="16"/>
        </w:rPr>
      </w:pPr>
      <w:r w:rsidRPr="001A0BAA">
        <w:rPr>
          <w:color w:val="0070C0"/>
          <w:sz w:val="16"/>
          <w:szCs w:val="16"/>
        </w:rPr>
        <w:lastRenderedPageBreak/>
        <w:t>13 января 1945 года нарком танковой промышленности В. Ма</w:t>
      </w:r>
      <w:r w:rsidRPr="001A0BAA">
        <w:rPr>
          <w:color w:val="0070C0"/>
          <w:sz w:val="16"/>
          <w:szCs w:val="16"/>
        </w:rPr>
        <w:softHyphen/>
        <w:t>лышев направил на имя Берии и Федорен</w:t>
      </w:r>
      <w:r w:rsidRPr="001A0BAA">
        <w:rPr>
          <w:color w:val="0070C0"/>
          <w:sz w:val="16"/>
          <w:szCs w:val="16"/>
        </w:rPr>
        <w:softHyphen/>
        <w:t>ко документ, в котором сообщал следующее:</w:t>
      </w:r>
    </w:p>
    <w:p w14:paraId="6735253F" w14:textId="77777777" w:rsidR="008C4451" w:rsidRPr="001A0BAA" w:rsidRDefault="008C4451" w:rsidP="008C4451">
      <w:pPr>
        <w:jc w:val="both"/>
        <w:rPr>
          <w:color w:val="0070C0"/>
          <w:sz w:val="16"/>
          <w:szCs w:val="16"/>
        </w:rPr>
      </w:pPr>
      <w:r w:rsidRPr="001A0BAA">
        <w:rPr>
          <w:color w:val="0070C0"/>
          <w:sz w:val="16"/>
          <w:szCs w:val="16"/>
        </w:rPr>
        <w:t>«В связи с тем, что завод № 75 НКТП (г. Харьков), производящий Т-44, не имеет еще достаточно опытных конструкторских кадров для разработки танка Т-44 со 100-мм пушкой, а сам завод № 75 не сможет в корот</w:t>
      </w:r>
      <w:r w:rsidRPr="001A0BAA">
        <w:rPr>
          <w:color w:val="0070C0"/>
          <w:sz w:val="16"/>
          <w:szCs w:val="16"/>
        </w:rPr>
        <w:softHyphen/>
        <w:t>кий срок построить опытный образец тако</w:t>
      </w:r>
      <w:r w:rsidRPr="001A0BAA">
        <w:rPr>
          <w:color w:val="0070C0"/>
          <w:sz w:val="16"/>
          <w:szCs w:val="16"/>
        </w:rPr>
        <w:softHyphen/>
        <w:t>го танка, наркомат танковой промышленно</w:t>
      </w:r>
      <w:r w:rsidRPr="001A0BAA">
        <w:rPr>
          <w:color w:val="0070C0"/>
          <w:sz w:val="16"/>
          <w:szCs w:val="16"/>
        </w:rPr>
        <w:softHyphen/>
        <w:t>сти дал задание заводу № 183 спроектировать и построить опытный образец танка Т-34 с пушкой 100-мм.</w:t>
      </w:r>
    </w:p>
    <w:p w14:paraId="7CE2C1DE" w14:textId="77777777" w:rsidR="008C4451" w:rsidRPr="001A0BAA" w:rsidRDefault="008C4451" w:rsidP="008C4451">
      <w:pPr>
        <w:jc w:val="both"/>
        <w:rPr>
          <w:color w:val="0070C0"/>
          <w:sz w:val="16"/>
          <w:szCs w:val="16"/>
        </w:rPr>
      </w:pPr>
      <w:r w:rsidRPr="001A0BAA">
        <w:rPr>
          <w:color w:val="0070C0"/>
          <w:sz w:val="16"/>
          <w:szCs w:val="16"/>
        </w:rPr>
        <w:t>В настоящее время постройка опытного образца Т-34 с пушкой 100-мм на заводе № 183 заканчивается, и 22-25 февраля с. г. опытный танк прибудет в Москву для осмо</w:t>
      </w:r>
      <w:r w:rsidRPr="001A0BAA">
        <w:rPr>
          <w:color w:val="0070C0"/>
          <w:sz w:val="16"/>
          <w:szCs w:val="16"/>
        </w:rPr>
        <w:softHyphen/>
        <w:t>тра и испытаний.</w:t>
      </w:r>
    </w:p>
    <w:p w14:paraId="223455A4" w14:textId="77777777" w:rsidR="008C4451" w:rsidRPr="001A0BAA" w:rsidRDefault="008C4451" w:rsidP="008C4451">
      <w:pPr>
        <w:jc w:val="both"/>
        <w:rPr>
          <w:color w:val="0070C0"/>
          <w:sz w:val="16"/>
          <w:szCs w:val="16"/>
        </w:rPr>
      </w:pPr>
      <w:r w:rsidRPr="001A0BAA">
        <w:rPr>
          <w:color w:val="0070C0"/>
          <w:sz w:val="16"/>
          <w:szCs w:val="16"/>
        </w:rPr>
        <w:t>При положительных результатах испыта</w:t>
      </w:r>
      <w:r w:rsidRPr="001A0BAA">
        <w:rPr>
          <w:color w:val="0070C0"/>
          <w:sz w:val="16"/>
          <w:szCs w:val="16"/>
        </w:rPr>
        <w:softHyphen/>
        <w:t>ний установки 100-мм пушки в танк Т-34 эта пушка может быть установлена и на танк Т-44 без каких-либо изменений» (25012).</w:t>
      </w:r>
    </w:p>
    <w:p w14:paraId="4CC62EF2" w14:textId="77777777" w:rsidR="008C4451" w:rsidRPr="001A0BAA" w:rsidRDefault="008C4451" w:rsidP="008C4451">
      <w:pPr>
        <w:jc w:val="both"/>
        <w:rPr>
          <w:color w:val="0070C0"/>
          <w:sz w:val="16"/>
          <w:szCs w:val="16"/>
        </w:rPr>
      </w:pPr>
    </w:p>
    <w:p w14:paraId="66A824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7310 О плане распределения чугуна, кокса, ферросплавов, труб и метизов на январь 1945 года. РГАНИР, Фонд ГКО, д. 349, лл. 6, 7-27 (11012).</w:t>
      </w:r>
    </w:p>
    <w:p w14:paraId="5B7F3791" w14:textId="77777777" w:rsidR="00C2313B" w:rsidRPr="00925F26" w:rsidRDefault="00C2313B" w:rsidP="00925F26">
      <w:pPr>
        <w:autoSpaceDE w:val="0"/>
        <w:autoSpaceDN w:val="0"/>
        <w:adjustRightInd w:val="0"/>
        <w:jc w:val="both"/>
        <w:rPr>
          <w:color w:val="000000" w:themeColor="text1"/>
          <w:sz w:val="16"/>
          <w:szCs w:val="16"/>
        </w:rPr>
      </w:pPr>
    </w:p>
    <w:p w14:paraId="3A83A2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7311 О плане производства и ремонта боевых установок М-31, М-13 и М-8 в I квартале 1945 г. РГАНИР, Фонд ГКО, д. 349, лл. 28-29, 30-46 (11012).</w:t>
      </w:r>
    </w:p>
    <w:p w14:paraId="66F42C4B" w14:textId="77777777" w:rsidR="00C2313B" w:rsidRPr="00925F26" w:rsidRDefault="00C2313B" w:rsidP="00925F26">
      <w:pPr>
        <w:autoSpaceDE w:val="0"/>
        <w:autoSpaceDN w:val="0"/>
        <w:adjustRightInd w:val="0"/>
        <w:jc w:val="both"/>
        <w:rPr>
          <w:color w:val="000000" w:themeColor="text1"/>
          <w:sz w:val="16"/>
          <w:szCs w:val="16"/>
        </w:rPr>
      </w:pPr>
    </w:p>
    <w:p w14:paraId="405418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13 января 1945 вышло Постановление ГКО № 7312 Об обеспечении Военно-Морского Флота противоторпедными и </w:t>
      </w:r>
      <w:proofErr w:type="gramStart"/>
      <w:r w:rsidRPr="00925F26">
        <w:rPr>
          <w:color w:val="000000" w:themeColor="text1"/>
          <w:sz w:val="16"/>
          <w:szCs w:val="16"/>
        </w:rPr>
        <w:t>боно-сетевыми</w:t>
      </w:r>
      <w:proofErr w:type="gramEnd"/>
      <w:r w:rsidRPr="00925F26">
        <w:rPr>
          <w:color w:val="000000" w:themeColor="text1"/>
          <w:sz w:val="16"/>
          <w:szCs w:val="16"/>
        </w:rPr>
        <w:t xml:space="preserve"> заграждениями. РГАНИР, Фонд ГКО, д. 349, лл. 47-48 (11012).</w:t>
      </w:r>
    </w:p>
    <w:p w14:paraId="75307BDE" w14:textId="77777777" w:rsidR="00C2313B" w:rsidRPr="00925F26" w:rsidRDefault="00C2313B" w:rsidP="00925F26">
      <w:pPr>
        <w:autoSpaceDE w:val="0"/>
        <w:autoSpaceDN w:val="0"/>
        <w:adjustRightInd w:val="0"/>
        <w:jc w:val="both"/>
        <w:rPr>
          <w:color w:val="000000" w:themeColor="text1"/>
          <w:sz w:val="16"/>
          <w:szCs w:val="16"/>
        </w:rPr>
      </w:pPr>
    </w:p>
    <w:p w14:paraId="600CE7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7313 О завершении строительства заготовительных цехов завода № 174 Наркомтанкопрома. РГАНИР, Фонд ГКО, д. 349, лл. 49-51 (11012).</w:t>
      </w:r>
    </w:p>
    <w:p w14:paraId="6A2218E4" w14:textId="77777777" w:rsidR="00C2313B" w:rsidRPr="00925F26" w:rsidRDefault="00C2313B" w:rsidP="00925F26">
      <w:pPr>
        <w:autoSpaceDE w:val="0"/>
        <w:autoSpaceDN w:val="0"/>
        <w:adjustRightInd w:val="0"/>
        <w:jc w:val="both"/>
        <w:rPr>
          <w:color w:val="000000" w:themeColor="text1"/>
          <w:sz w:val="16"/>
          <w:szCs w:val="16"/>
        </w:rPr>
      </w:pPr>
    </w:p>
    <w:p w14:paraId="3921D2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7314 О плане распределения природного газа на I квартал 1945 г. РГАНИР, Фонд ГКО, д. 349, лл. 52, 53-56 (11012).</w:t>
      </w:r>
    </w:p>
    <w:p w14:paraId="6199F7E6" w14:textId="77777777" w:rsidR="00C2313B" w:rsidRPr="00925F26" w:rsidRDefault="00C2313B" w:rsidP="00925F26">
      <w:pPr>
        <w:autoSpaceDE w:val="0"/>
        <w:autoSpaceDN w:val="0"/>
        <w:adjustRightInd w:val="0"/>
        <w:jc w:val="both"/>
        <w:rPr>
          <w:color w:val="000000" w:themeColor="text1"/>
          <w:sz w:val="16"/>
          <w:szCs w:val="16"/>
        </w:rPr>
      </w:pPr>
    </w:p>
    <w:p w14:paraId="6AC820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7315 О балансах и планах распределения сырья и проката цветных металлов, припоев, баббитов, угольных и графитовых электродов, нефтяного кокса и кабельных изделий на I квартал 1945 г. РГАНИР, Фонд ГКО, д. 349, лл. 57-59, 60-130 (11012).</w:t>
      </w:r>
    </w:p>
    <w:p w14:paraId="1A844E5A" w14:textId="77777777" w:rsidR="00C2313B" w:rsidRPr="00925F26" w:rsidRDefault="00C2313B" w:rsidP="00925F26">
      <w:pPr>
        <w:autoSpaceDE w:val="0"/>
        <w:autoSpaceDN w:val="0"/>
        <w:adjustRightInd w:val="0"/>
        <w:jc w:val="both"/>
        <w:rPr>
          <w:color w:val="000000" w:themeColor="text1"/>
          <w:sz w:val="16"/>
          <w:szCs w:val="16"/>
        </w:rPr>
      </w:pPr>
    </w:p>
    <w:p w14:paraId="60BEA2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7316 О плане распределения острого пара, отпускаемого электростанциями Наркомата электростанций для технологических нужд промышленных предприятий на I квартал 1945 года. РГАНИР, Фонд ГКО, д. 349, лл. 131, 132-133 (11012).</w:t>
      </w:r>
    </w:p>
    <w:p w14:paraId="0C6CA6C6" w14:textId="77777777" w:rsidR="00C2313B" w:rsidRPr="00925F26" w:rsidRDefault="00C2313B" w:rsidP="00925F26">
      <w:pPr>
        <w:autoSpaceDE w:val="0"/>
        <w:autoSpaceDN w:val="0"/>
        <w:adjustRightInd w:val="0"/>
        <w:jc w:val="both"/>
        <w:rPr>
          <w:color w:val="000000" w:themeColor="text1"/>
          <w:sz w:val="16"/>
          <w:szCs w:val="16"/>
        </w:rPr>
      </w:pPr>
    </w:p>
    <w:p w14:paraId="3F46BC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7317 О поставке водорода аэростатным частям Красной Армии в I квартале 1945 года. РГАНИР, Фонд ГКО, д. 349, лл. 134-135, 136-139 (11012).</w:t>
      </w:r>
    </w:p>
    <w:p w14:paraId="17AAA71C" w14:textId="77777777" w:rsidR="00C2313B" w:rsidRPr="00925F26" w:rsidRDefault="00C2313B" w:rsidP="00925F26">
      <w:pPr>
        <w:autoSpaceDE w:val="0"/>
        <w:autoSpaceDN w:val="0"/>
        <w:adjustRightInd w:val="0"/>
        <w:jc w:val="both"/>
        <w:rPr>
          <w:color w:val="000000" w:themeColor="text1"/>
          <w:sz w:val="16"/>
          <w:szCs w:val="16"/>
        </w:rPr>
      </w:pPr>
    </w:p>
    <w:p w14:paraId="08D98E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7320 О мероприятиях по оказанию помощи судостроительным заводам № 444 и 445 Наркомсудпрома в г. Николаеве. РГАНИР, Фонд ГКО, д. 349, лл. 147-158, 159-167 (11012).</w:t>
      </w:r>
    </w:p>
    <w:p w14:paraId="1D2D4660" w14:textId="77777777" w:rsidR="00C2313B" w:rsidRPr="00925F26" w:rsidRDefault="00C2313B" w:rsidP="00925F26">
      <w:pPr>
        <w:autoSpaceDE w:val="0"/>
        <w:autoSpaceDN w:val="0"/>
        <w:adjustRightInd w:val="0"/>
        <w:jc w:val="both"/>
        <w:rPr>
          <w:color w:val="000000" w:themeColor="text1"/>
          <w:sz w:val="16"/>
          <w:szCs w:val="16"/>
        </w:rPr>
      </w:pPr>
    </w:p>
    <w:p w14:paraId="6CF19CE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7321 О плане ремонта вооружения для Красной Армии на I квартал 1945 г. (7296, 168-175,176-286).</w:t>
      </w:r>
    </w:p>
    <w:p w14:paraId="0C1E17F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98995D2" w14:textId="77777777" w:rsidR="002D2573" w:rsidRPr="00925F26" w:rsidRDefault="002D2573" w:rsidP="00925F26">
      <w:pPr>
        <w:jc w:val="both"/>
        <w:rPr>
          <w:color w:val="000000" w:themeColor="text1"/>
          <w:sz w:val="16"/>
          <w:szCs w:val="16"/>
        </w:rPr>
      </w:pPr>
      <w:r w:rsidRPr="00925F26">
        <w:rPr>
          <w:color w:val="000000" w:themeColor="text1"/>
          <w:sz w:val="16"/>
          <w:szCs w:val="16"/>
        </w:rPr>
        <w:t>13 января 1945 г. Из докладной записки Татарского обкома ВКП (б) в Центральный комитет ВКП (б) о работе завода № 340 в годы Великой Отечественной войны</w:t>
      </w:r>
    </w:p>
    <w:p w14:paraId="2E45A39C" w14:textId="77777777" w:rsidR="002D2573" w:rsidRPr="00925F26" w:rsidRDefault="002D2573" w:rsidP="00925F26">
      <w:pPr>
        <w:jc w:val="both"/>
        <w:rPr>
          <w:color w:val="000000" w:themeColor="text1"/>
          <w:sz w:val="16"/>
          <w:szCs w:val="16"/>
        </w:rPr>
      </w:pPr>
      <w:r w:rsidRPr="00925F26">
        <w:rPr>
          <w:color w:val="000000" w:themeColor="text1"/>
          <w:sz w:val="16"/>
          <w:szCs w:val="16"/>
        </w:rPr>
        <w:t>Завод № 340 из небольшого предприятия с весьма ограниченной номенклатурой продукции за годы Великой Отечественной войны значительно увеличил мощности и вырос в крупное предприятие Наркомсудпрома с весьма расширенной номенклатурой. За это время введено в эксплуатацию свыше 20000 кв. метров производственных площадей, почти вдвое увеличено количество оборудования, освоено ряд новых производств, в том числе: выплавка электростали, изготовление брони, карбид-кальция и т. п.</w:t>
      </w:r>
    </w:p>
    <w:p w14:paraId="40A25723" w14:textId="77777777" w:rsidR="002D2573" w:rsidRPr="00925F26" w:rsidRDefault="002D2573" w:rsidP="00925F26">
      <w:pPr>
        <w:jc w:val="both"/>
        <w:rPr>
          <w:color w:val="000000" w:themeColor="text1"/>
          <w:sz w:val="16"/>
          <w:szCs w:val="16"/>
        </w:rPr>
      </w:pPr>
      <w:r w:rsidRPr="00925F26">
        <w:rPr>
          <w:color w:val="000000" w:themeColor="text1"/>
          <w:sz w:val="16"/>
          <w:szCs w:val="16"/>
        </w:rPr>
        <w:t>Выпуск валовой продукции увеличен против 1940 г. почти в 5 раз при росте рабсилы в 1,8 раза, а ежемесячный выпуск снарядов возрос в 23 раза.</w:t>
      </w:r>
    </w:p>
    <w:p w14:paraId="2EF5ADC9" w14:textId="77777777" w:rsidR="002D2573" w:rsidRPr="00925F26" w:rsidRDefault="002D2573" w:rsidP="00925F26">
      <w:pPr>
        <w:jc w:val="both"/>
        <w:rPr>
          <w:color w:val="000000" w:themeColor="text1"/>
          <w:sz w:val="16"/>
          <w:szCs w:val="16"/>
        </w:rPr>
      </w:pPr>
      <w:r w:rsidRPr="00925F26">
        <w:rPr>
          <w:color w:val="000000" w:themeColor="text1"/>
          <w:sz w:val="16"/>
          <w:szCs w:val="16"/>
        </w:rPr>
        <w:t>За годы войны изготовлено и сдано на вооружение Красной Армии: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20"/>
        <w:gridCol w:w="1320"/>
      </w:tblGrid>
      <w:tr w:rsidR="000F5689" w:rsidRPr="00925F26" w14:paraId="5D568DC2" w14:textId="77777777" w:rsidTr="003D013D">
        <w:trPr>
          <w:tblCellSpacing w:w="0" w:type="dxa"/>
        </w:trPr>
        <w:tc>
          <w:tcPr>
            <w:tcW w:w="6120" w:type="dxa"/>
            <w:hideMark/>
          </w:tcPr>
          <w:p w14:paraId="2218CA38" w14:textId="77777777" w:rsidR="002D2573" w:rsidRPr="00925F26" w:rsidRDefault="002D2573" w:rsidP="00925F26">
            <w:pPr>
              <w:jc w:val="both"/>
              <w:rPr>
                <w:color w:val="000000" w:themeColor="text1"/>
                <w:sz w:val="16"/>
                <w:szCs w:val="16"/>
              </w:rPr>
            </w:pPr>
            <w:r w:rsidRPr="00925F26">
              <w:rPr>
                <w:color w:val="000000" w:themeColor="text1"/>
                <w:sz w:val="16"/>
                <w:szCs w:val="16"/>
              </w:rPr>
              <w:t>Больших охотников за подводными лодками</w:t>
            </w:r>
          </w:p>
        </w:tc>
        <w:tc>
          <w:tcPr>
            <w:tcW w:w="1320" w:type="dxa"/>
            <w:hideMark/>
          </w:tcPr>
          <w:p w14:paraId="2C1283C9" w14:textId="77777777" w:rsidR="002D2573" w:rsidRPr="00925F26" w:rsidRDefault="002D2573" w:rsidP="00925F26">
            <w:pPr>
              <w:jc w:val="both"/>
              <w:rPr>
                <w:color w:val="000000" w:themeColor="text1"/>
                <w:sz w:val="16"/>
                <w:szCs w:val="16"/>
              </w:rPr>
            </w:pPr>
            <w:r w:rsidRPr="00925F26">
              <w:rPr>
                <w:color w:val="000000" w:themeColor="text1"/>
                <w:sz w:val="16"/>
                <w:szCs w:val="16"/>
              </w:rPr>
              <w:t>7 ед.</w:t>
            </w:r>
          </w:p>
        </w:tc>
      </w:tr>
      <w:tr w:rsidR="000F5689" w:rsidRPr="00925F26" w14:paraId="4F3D2538" w14:textId="77777777" w:rsidTr="003D013D">
        <w:trPr>
          <w:tblCellSpacing w:w="0" w:type="dxa"/>
        </w:trPr>
        <w:tc>
          <w:tcPr>
            <w:tcW w:w="6120" w:type="dxa"/>
            <w:hideMark/>
          </w:tcPr>
          <w:p w14:paraId="5C894037" w14:textId="77777777" w:rsidR="002D2573" w:rsidRPr="00925F26" w:rsidRDefault="002D2573" w:rsidP="00925F26">
            <w:pPr>
              <w:jc w:val="both"/>
              <w:rPr>
                <w:color w:val="000000" w:themeColor="text1"/>
                <w:sz w:val="16"/>
                <w:szCs w:val="16"/>
              </w:rPr>
            </w:pPr>
            <w:r w:rsidRPr="00925F26">
              <w:rPr>
                <w:color w:val="000000" w:themeColor="text1"/>
                <w:sz w:val="16"/>
                <w:szCs w:val="16"/>
              </w:rPr>
              <w:t>Бронекатеров типа «1124», «1125» и «40»</w:t>
            </w:r>
          </w:p>
        </w:tc>
        <w:tc>
          <w:tcPr>
            <w:tcW w:w="1320" w:type="dxa"/>
            <w:hideMark/>
          </w:tcPr>
          <w:p w14:paraId="187157AC" w14:textId="77777777" w:rsidR="002D2573" w:rsidRPr="00925F26" w:rsidRDefault="002D2573" w:rsidP="00925F26">
            <w:pPr>
              <w:jc w:val="both"/>
              <w:rPr>
                <w:color w:val="000000" w:themeColor="text1"/>
                <w:sz w:val="16"/>
                <w:szCs w:val="16"/>
              </w:rPr>
            </w:pPr>
            <w:r w:rsidRPr="00925F26">
              <w:rPr>
                <w:color w:val="000000" w:themeColor="text1"/>
                <w:sz w:val="16"/>
                <w:szCs w:val="16"/>
              </w:rPr>
              <w:t>77 ед.</w:t>
            </w:r>
          </w:p>
        </w:tc>
      </w:tr>
      <w:tr w:rsidR="000F5689" w:rsidRPr="00925F26" w14:paraId="3530D08E" w14:textId="77777777" w:rsidTr="003D013D">
        <w:trPr>
          <w:tblCellSpacing w:w="0" w:type="dxa"/>
        </w:trPr>
        <w:tc>
          <w:tcPr>
            <w:tcW w:w="6120" w:type="dxa"/>
            <w:hideMark/>
          </w:tcPr>
          <w:p w14:paraId="77C9B6F9" w14:textId="77777777" w:rsidR="002D2573" w:rsidRPr="00925F26" w:rsidRDefault="002D2573" w:rsidP="00925F26">
            <w:pPr>
              <w:jc w:val="both"/>
              <w:rPr>
                <w:color w:val="000000" w:themeColor="text1"/>
                <w:sz w:val="16"/>
                <w:szCs w:val="16"/>
              </w:rPr>
            </w:pPr>
            <w:r w:rsidRPr="00925F26">
              <w:rPr>
                <w:color w:val="000000" w:themeColor="text1"/>
                <w:sz w:val="16"/>
                <w:szCs w:val="16"/>
              </w:rPr>
              <w:t>Морских буксиров 200 л. с.</w:t>
            </w:r>
          </w:p>
        </w:tc>
        <w:tc>
          <w:tcPr>
            <w:tcW w:w="1320" w:type="dxa"/>
            <w:hideMark/>
          </w:tcPr>
          <w:p w14:paraId="107D624D" w14:textId="77777777" w:rsidR="002D2573" w:rsidRPr="00925F26" w:rsidRDefault="002D2573" w:rsidP="00925F26">
            <w:pPr>
              <w:jc w:val="both"/>
              <w:rPr>
                <w:color w:val="000000" w:themeColor="text1"/>
                <w:sz w:val="16"/>
                <w:szCs w:val="16"/>
              </w:rPr>
            </w:pPr>
            <w:r w:rsidRPr="00925F26">
              <w:rPr>
                <w:color w:val="000000" w:themeColor="text1"/>
                <w:sz w:val="16"/>
                <w:szCs w:val="16"/>
              </w:rPr>
              <w:t>7 ед.</w:t>
            </w:r>
          </w:p>
        </w:tc>
      </w:tr>
      <w:tr w:rsidR="000F5689" w:rsidRPr="00925F26" w14:paraId="50CF7631" w14:textId="77777777" w:rsidTr="003D013D">
        <w:trPr>
          <w:tblCellSpacing w:w="0" w:type="dxa"/>
        </w:trPr>
        <w:tc>
          <w:tcPr>
            <w:tcW w:w="6120" w:type="dxa"/>
            <w:hideMark/>
          </w:tcPr>
          <w:p w14:paraId="2CBDB459" w14:textId="77777777" w:rsidR="002D2573" w:rsidRPr="00925F26" w:rsidRDefault="002D2573" w:rsidP="00925F26">
            <w:pPr>
              <w:jc w:val="both"/>
              <w:rPr>
                <w:color w:val="000000" w:themeColor="text1"/>
                <w:sz w:val="16"/>
                <w:szCs w:val="16"/>
              </w:rPr>
            </w:pPr>
            <w:r w:rsidRPr="00925F26">
              <w:rPr>
                <w:color w:val="000000" w:themeColor="text1"/>
                <w:sz w:val="16"/>
                <w:szCs w:val="16"/>
              </w:rPr>
              <w:t>Опытный стальной торпедный катер дальнего действия</w:t>
            </w:r>
          </w:p>
        </w:tc>
        <w:tc>
          <w:tcPr>
            <w:tcW w:w="1320" w:type="dxa"/>
            <w:hideMark/>
          </w:tcPr>
          <w:p w14:paraId="04BC8F3B" w14:textId="77777777" w:rsidR="002D2573" w:rsidRPr="00925F26" w:rsidRDefault="002D2573" w:rsidP="00925F26">
            <w:pPr>
              <w:jc w:val="both"/>
              <w:rPr>
                <w:color w:val="000000" w:themeColor="text1"/>
                <w:sz w:val="16"/>
                <w:szCs w:val="16"/>
              </w:rPr>
            </w:pPr>
            <w:r w:rsidRPr="00925F26">
              <w:rPr>
                <w:color w:val="000000" w:themeColor="text1"/>
                <w:sz w:val="16"/>
                <w:szCs w:val="16"/>
              </w:rPr>
              <w:t>1 ед.</w:t>
            </w:r>
          </w:p>
        </w:tc>
      </w:tr>
      <w:tr w:rsidR="000F5689" w:rsidRPr="00925F26" w14:paraId="63EF7444" w14:textId="77777777" w:rsidTr="003D013D">
        <w:trPr>
          <w:tblCellSpacing w:w="0" w:type="dxa"/>
        </w:trPr>
        <w:tc>
          <w:tcPr>
            <w:tcW w:w="6120" w:type="dxa"/>
            <w:hideMark/>
          </w:tcPr>
          <w:p w14:paraId="41F612A3" w14:textId="77777777" w:rsidR="002D2573" w:rsidRPr="00925F26" w:rsidRDefault="002D2573" w:rsidP="00925F26">
            <w:pPr>
              <w:jc w:val="both"/>
              <w:rPr>
                <w:color w:val="000000" w:themeColor="text1"/>
                <w:sz w:val="16"/>
                <w:szCs w:val="16"/>
              </w:rPr>
            </w:pPr>
            <w:r w:rsidRPr="00925F26">
              <w:rPr>
                <w:color w:val="000000" w:themeColor="text1"/>
                <w:sz w:val="16"/>
                <w:szCs w:val="16"/>
              </w:rPr>
              <w:t>Тралбарж</w:t>
            </w:r>
          </w:p>
        </w:tc>
        <w:tc>
          <w:tcPr>
            <w:tcW w:w="1320" w:type="dxa"/>
            <w:hideMark/>
          </w:tcPr>
          <w:p w14:paraId="1835D314" w14:textId="77777777" w:rsidR="002D2573" w:rsidRPr="00925F26" w:rsidRDefault="002D2573" w:rsidP="00925F26">
            <w:pPr>
              <w:jc w:val="both"/>
              <w:rPr>
                <w:color w:val="000000" w:themeColor="text1"/>
                <w:sz w:val="16"/>
                <w:szCs w:val="16"/>
              </w:rPr>
            </w:pPr>
            <w:r w:rsidRPr="00925F26">
              <w:rPr>
                <w:color w:val="000000" w:themeColor="text1"/>
                <w:sz w:val="16"/>
                <w:szCs w:val="16"/>
              </w:rPr>
              <w:t>5 ед.</w:t>
            </w:r>
          </w:p>
        </w:tc>
      </w:tr>
      <w:tr w:rsidR="000F5689" w:rsidRPr="00925F26" w14:paraId="3717542B" w14:textId="77777777" w:rsidTr="003D013D">
        <w:trPr>
          <w:tblCellSpacing w:w="0" w:type="dxa"/>
        </w:trPr>
        <w:tc>
          <w:tcPr>
            <w:tcW w:w="6120" w:type="dxa"/>
            <w:hideMark/>
          </w:tcPr>
          <w:p w14:paraId="744C31E9" w14:textId="77777777" w:rsidR="002D2573" w:rsidRPr="00925F26" w:rsidRDefault="002D2573" w:rsidP="00925F26">
            <w:pPr>
              <w:jc w:val="both"/>
              <w:rPr>
                <w:color w:val="000000" w:themeColor="text1"/>
                <w:sz w:val="16"/>
                <w:szCs w:val="16"/>
              </w:rPr>
            </w:pPr>
            <w:r w:rsidRPr="00925F26">
              <w:rPr>
                <w:color w:val="000000" w:themeColor="text1"/>
                <w:sz w:val="16"/>
                <w:szCs w:val="16"/>
              </w:rPr>
              <w:t>Снарядов d 76 мм свыше</w:t>
            </w:r>
          </w:p>
        </w:tc>
        <w:tc>
          <w:tcPr>
            <w:tcW w:w="1320" w:type="dxa"/>
            <w:hideMark/>
          </w:tcPr>
          <w:p w14:paraId="2A23B65A" w14:textId="77777777" w:rsidR="002D2573" w:rsidRPr="00925F26" w:rsidRDefault="002D2573" w:rsidP="00925F26">
            <w:pPr>
              <w:jc w:val="both"/>
              <w:rPr>
                <w:color w:val="000000" w:themeColor="text1"/>
                <w:sz w:val="16"/>
                <w:szCs w:val="16"/>
              </w:rPr>
            </w:pPr>
            <w:r w:rsidRPr="00925F26">
              <w:rPr>
                <w:color w:val="000000" w:themeColor="text1"/>
                <w:sz w:val="16"/>
                <w:szCs w:val="16"/>
              </w:rPr>
              <w:t>3,5 млн.</w:t>
            </w:r>
          </w:p>
        </w:tc>
      </w:tr>
      <w:tr w:rsidR="000F5689" w:rsidRPr="00925F26" w14:paraId="24D132AF" w14:textId="77777777" w:rsidTr="003D013D">
        <w:trPr>
          <w:tblCellSpacing w:w="0" w:type="dxa"/>
        </w:trPr>
        <w:tc>
          <w:tcPr>
            <w:tcW w:w="6120" w:type="dxa"/>
            <w:hideMark/>
          </w:tcPr>
          <w:p w14:paraId="1504B550" w14:textId="77777777" w:rsidR="002D2573" w:rsidRPr="00925F26" w:rsidRDefault="002D2573" w:rsidP="00925F26">
            <w:pPr>
              <w:jc w:val="both"/>
              <w:rPr>
                <w:color w:val="000000" w:themeColor="text1"/>
                <w:sz w:val="16"/>
                <w:szCs w:val="16"/>
              </w:rPr>
            </w:pPr>
            <w:r w:rsidRPr="00925F26">
              <w:rPr>
                <w:color w:val="000000" w:themeColor="text1"/>
                <w:sz w:val="16"/>
                <w:szCs w:val="16"/>
              </w:rPr>
              <w:t>Оборудование для аэросаней</w:t>
            </w:r>
          </w:p>
        </w:tc>
        <w:tc>
          <w:tcPr>
            <w:tcW w:w="1320" w:type="dxa"/>
            <w:hideMark/>
          </w:tcPr>
          <w:p w14:paraId="70AC80AC" w14:textId="77777777" w:rsidR="002D2573" w:rsidRPr="00925F26" w:rsidRDefault="002D2573" w:rsidP="00925F26">
            <w:pPr>
              <w:jc w:val="both"/>
              <w:rPr>
                <w:color w:val="000000" w:themeColor="text1"/>
                <w:sz w:val="16"/>
                <w:szCs w:val="16"/>
              </w:rPr>
            </w:pPr>
            <w:r w:rsidRPr="00925F26">
              <w:rPr>
                <w:color w:val="000000" w:themeColor="text1"/>
                <w:sz w:val="16"/>
                <w:szCs w:val="16"/>
              </w:rPr>
              <w:t>300 ком.</w:t>
            </w:r>
          </w:p>
        </w:tc>
      </w:tr>
      <w:tr w:rsidR="000F5689" w:rsidRPr="00925F26" w14:paraId="1FF576E7" w14:textId="77777777" w:rsidTr="003D013D">
        <w:trPr>
          <w:tblCellSpacing w:w="0" w:type="dxa"/>
        </w:trPr>
        <w:tc>
          <w:tcPr>
            <w:tcW w:w="6120" w:type="dxa"/>
            <w:hideMark/>
          </w:tcPr>
          <w:p w14:paraId="08922225" w14:textId="77777777" w:rsidR="002D2573" w:rsidRPr="00925F26" w:rsidRDefault="002D2573" w:rsidP="00925F26">
            <w:pPr>
              <w:jc w:val="both"/>
              <w:rPr>
                <w:color w:val="000000" w:themeColor="text1"/>
                <w:sz w:val="16"/>
                <w:szCs w:val="16"/>
              </w:rPr>
            </w:pPr>
            <w:r w:rsidRPr="00925F26">
              <w:rPr>
                <w:color w:val="000000" w:themeColor="text1"/>
                <w:sz w:val="16"/>
                <w:szCs w:val="16"/>
              </w:rPr>
              <w:t>Сдвоенных и строенных зенитных установок</w:t>
            </w:r>
          </w:p>
        </w:tc>
        <w:tc>
          <w:tcPr>
            <w:tcW w:w="1320" w:type="dxa"/>
            <w:hideMark/>
          </w:tcPr>
          <w:p w14:paraId="69348C41" w14:textId="77777777" w:rsidR="002D2573" w:rsidRPr="00925F26" w:rsidRDefault="002D2573" w:rsidP="00925F26">
            <w:pPr>
              <w:jc w:val="both"/>
              <w:rPr>
                <w:color w:val="000000" w:themeColor="text1"/>
                <w:sz w:val="16"/>
                <w:szCs w:val="16"/>
              </w:rPr>
            </w:pPr>
            <w:r w:rsidRPr="00925F26">
              <w:rPr>
                <w:color w:val="000000" w:themeColor="text1"/>
                <w:sz w:val="16"/>
                <w:szCs w:val="16"/>
              </w:rPr>
              <w:t>605 ед.</w:t>
            </w:r>
          </w:p>
        </w:tc>
      </w:tr>
      <w:tr w:rsidR="000F5689" w:rsidRPr="00925F26" w14:paraId="687D8631" w14:textId="77777777" w:rsidTr="003D013D">
        <w:trPr>
          <w:tblCellSpacing w:w="0" w:type="dxa"/>
        </w:trPr>
        <w:tc>
          <w:tcPr>
            <w:tcW w:w="6120" w:type="dxa"/>
            <w:hideMark/>
          </w:tcPr>
          <w:p w14:paraId="26DF34DE" w14:textId="77777777" w:rsidR="002D2573" w:rsidRPr="00925F26" w:rsidRDefault="002D2573" w:rsidP="00925F26">
            <w:pPr>
              <w:jc w:val="both"/>
              <w:rPr>
                <w:color w:val="000000" w:themeColor="text1"/>
                <w:sz w:val="16"/>
                <w:szCs w:val="16"/>
              </w:rPr>
            </w:pPr>
            <w:r w:rsidRPr="00925F26">
              <w:rPr>
                <w:color w:val="000000" w:themeColor="text1"/>
                <w:sz w:val="16"/>
                <w:szCs w:val="16"/>
              </w:rPr>
              <w:t>Крупнокалиберных зенитных установок ДШК</w:t>
            </w:r>
          </w:p>
        </w:tc>
        <w:tc>
          <w:tcPr>
            <w:tcW w:w="1320" w:type="dxa"/>
            <w:hideMark/>
          </w:tcPr>
          <w:p w14:paraId="5BFBDDEC" w14:textId="77777777" w:rsidR="002D2573" w:rsidRPr="00925F26" w:rsidRDefault="002D2573" w:rsidP="00925F26">
            <w:pPr>
              <w:jc w:val="both"/>
              <w:rPr>
                <w:color w:val="000000" w:themeColor="text1"/>
                <w:sz w:val="16"/>
                <w:szCs w:val="16"/>
              </w:rPr>
            </w:pPr>
            <w:r w:rsidRPr="00925F26">
              <w:rPr>
                <w:color w:val="000000" w:themeColor="text1"/>
                <w:sz w:val="16"/>
                <w:szCs w:val="16"/>
              </w:rPr>
              <w:t>2175 ед.</w:t>
            </w:r>
          </w:p>
        </w:tc>
      </w:tr>
    </w:tbl>
    <w:p w14:paraId="3291EF60" w14:textId="77777777" w:rsidR="002D2573" w:rsidRPr="00925F26" w:rsidRDefault="002D2573" w:rsidP="00925F26">
      <w:pPr>
        <w:jc w:val="both"/>
        <w:rPr>
          <w:color w:val="000000" w:themeColor="text1"/>
          <w:sz w:val="16"/>
          <w:szCs w:val="16"/>
        </w:rPr>
      </w:pPr>
      <w:r w:rsidRPr="00925F26">
        <w:rPr>
          <w:color w:val="000000" w:themeColor="text1"/>
          <w:sz w:val="16"/>
          <w:szCs w:val="16"/>
        </w:rPr>
        <w:t>и т.п.</w:t>
      </w:r>
    </w:p>
    <w:p w14:paraId="23990D18" w14:textId="77777777" w:rsidR="002D2573" w:rsidRPr="00925F26" w:rsidRDefault="002D2573" w:rsidP="00925F26">
      <w:pPr>
        <w:jc w:val="both"/>
        <w:rPr>
          <w:color w:val="000000" w:themeColor="text1"/>
          <w:sz w:val="16"/>
          <w:szCs w:val="16"/>
        </w:rPr>
      </w:pPr>
      <w:r w:rsidRPr="00925F26">
        <w:rPr>
          <w:color w:val="000000" w:themeColor="text1"/>
          <w:sz w:val="16"/>
          <w:szCs w:val="16"/>
        </w:rPr>
        <w:t>Однако, нарастив значительные мощности, завод в 1944 году производственную программу выполнил по валовой продукции лишь на 65,7, а по товарной - на 59,5 %.</w:t>
      </w:r>
    </w:p>
    <w:p w14:paraId="419815AE" w14:textId="77777777" w:rsidR="002D2573" w:rsidRPr="00925F26" w:rsidRDefault="002D2573" w:rsidP="00925F26">
      <w:pPr>
        <w:jc w:val="both"/>
        <w:rPr>
          <w:color w:val="000000" w:themeColor="text1"/>
          <w:sz w:val="16"/>
          <w:szCs w:val="16"/>
        </w:rPr>
      </w:pPr>
      <w:r w:rsidRPr="00925F26">
        <w:rPr>
          <w:color w:val="000000" w:themeColor="text1"/>
          <w:sz w:val="16"/>
          <w:szCs w:val="16"/>
        </w:rPr>
        <w:t>Основной причиной такой неудовлетворительной работы является исключительно плохое материально-техническое снабжение завода и острый недостаток в транспорте. […]</w:t>
      </w:r>
      <w:hyperlink r:id="rId13" w:anchor="_ftn1" w:history="1">
        <w:r w:rsidRPr="00925F26">
          <w:rPr>
            <w:color w:val="000000" w:themeColor="text1"/>
            <w:sz w:val="16"/>
            <w:szCs w:val="16"/>
          </w:rPr>
          <w:t>[1]</w:t>
        </w:r>
      </w:hyperlink>
    </w:p>
    <w:p w14:paraId="02848463" w14:textId="77777777" w:rsidR="002D2573" w:rsidRPr="00925F26" w:rsidRDefault="002D2573" w:rsidP="00925F26">
      <w:pPr>
        <w:jc w:val="both"/>
        <w:rPr>
          <w:color w:val="000000" w:themeColor="text1"/>
          <w:sz w:val="16"/>
          <w:szCs w:val="16"/>
        </w:rPr>
      </w:pPr>
      <w:r w:rsidRPr="00925F26">
        <w:rPr>
          <w:color w:val="000000" w:themeColor="text1"/>
          <w:sz w:val="16"/>
          <w:szCs w:val="16"/>
        </w:rPr>
        <w:t>В связи с вышеизложенным, прошу Ваших указаний наркому судостроительной промышленности о создании нормальных условий для работы завода № 340 в 1945 году, тем самым, дав возможность большому коллективу работающих справиться с возложенными на него задачами.</w:t>
      </w:r>
    </w:p>
    <w:p w14:paraId="30D78B14" w14:textId="77777777" w:rsidR="002D2573" w:rsidRPr="00925F26" w:rsidRDefault="002D2573" w:rsidP="00925F26">
      <w:pPr>
        <w:jc w:val="both"/>
        <w:rPr>
          <w:color w:val="000000" w:themeColor="text1"/>
          <w:sz w:val="16"/>
          <w:szCs w:val="16"/>
        </w:rPr>
      </w:pPr>
      <w:r w:rsidRPr="00925F26">
        <w:rPr>
          <w:color w:val="000000" w:themeColor="text1"/>
          <w:sz w:val="16"/>
          <w:szCs w:val="16"/>
        </w:rPr>
        <w:t>Секретарь Татарского обкома ВКП (б) Малов</w:t>
      </w:r>
    </w:p>
    <w:p w14:paraId="57FF5230" w14:textId="77777777" w:rsidR="002D2573" w:rsidRPr="00925F26" w:rsidRDefault="002D2573" w:rsidP="00925F26">
      <w:pPr>
        <w:jc w:val="both"/>
        <w:rPr>
          <w:color w:val="000000" w:themeColor="text1"/>
          <w:sz w:val="16"/>
          <w:szCs w:val="16"/>
        </w:rPr>
      </w:pPr>
      <w:r w:rsidRPr="00925F26">
        <w:rPr>
          <w:color w:val="000000" w:themeColor="text1"/>
          <w:sz w:val="16"/>
          <w:szCs w:val="16"/>
        </w:rPr>
        <w:t>ЦГА ИПД РТ. Ф. 15. Оп. 5. Д. 1688. Л. 38, 39, 41. Подлинник (15494).</w:t>
      </w:r>
    </w:p>
    <w:p w14:paraId="7900D6B2" w14:textId="77777777" w:rsidR="002D2573" w:rsidRPr="00925F26" w:rsidRDefault="002D2573" w:rsidP="00925F26">
      <w:pPr>
        <w:jc w:val="both"/>
        <w:rPr>
          <w:color w:val="000000" w:themeColor="text1"/>
          <w:sz w:val="16"/>
          <w:szCs w:val="16"/>
        </w:rPr>
      </w:pPr>
    </w:p>
    <w:p w14:paraId="3039740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724489F" w14:textId="77777777" w:rsidR="00C2313B" w:rsidRPr="00925F26" w:rsidRDefault="00C2313B" w:rsidP="00925F26">
      <w:pPr>
        <w:autoSpaceDE w:val="0"/>
        <w:autoSpaceDN w:val="0"/>
        <w:adjustRightInd w:val="0"/>
        <w:jc w:val="both"/>
        <w:rPr>
          <w:iCs/>
          <w:color w:val="000000" w:themeColor="text1"/>
          <w:sz w:val="16"/>
          <w:szCs w:val="16"/>
        </w:rPr>
      </w:pPr>
    </w:p>
    <w:p w14:paraId="3602B1B6" w14:textId="77777777" w:rsidR="00F60E3F" w:rsidRPr="00925F26" w:rsidRDefault="00F60E3F" w:rsidP="00925F26">
      <w:pPr>
        <w:jc w:val="both"/>
        <w:rPr>
          <w:color w:val="000000" w:themeColor="text1"/>
          <w:sz w:val="16"/>
          <w:szCs w:val="16"/>
        </w:rPr>
      </w:pPr>
      <w:r w:rsidRPr="00925F26">
        <w:rPr>
          <w:bCs/>
          <w:color w:val="000000" w:themeColor="text1"/>
          <w:sz w:val="16"/>
          <w:szCs w:val="16"/>
        </w:rPr>
        <w:t>13 января</w:t>
      </w:r>
      <w:r w:rsidRPr="00925F26">
        <w:rPr>
          <w:color w:val="000000" w:themeColor="text1"/>
          <w:sz w:val="16"/>
          <w:szCs w:val="16"/>
        </w:rPr>
        <w:t xml:space="preserve"> в 1945 году оперативная сводка Совинформбюро:</w:t>
      </w:r>
    </w:p>
    <w:p w14:paraId="20686491" w14:textId="77777777" w:rsidR="00F60E3F" w:rsidRPr="00925F26" w:rsidRDefault="00F60E3F" w:rsidP="00925F26">
      <w:pPr>
        <w:jc w:val="both"/>
        <w:rPr>
          <w:color w:val="000000" w:themeColor="text1"/>
          <w:sz w:val="16"/>
          <w:szCs w:val="16"/>
        </w:rPr>
      </w:pPr>
      <w:r w:rsidRPr="00925F26">
        <w:rPr>
          <w:color w:val="000000" w:themeColor="text1"/>
          <w:sz w:val="16"/>
          <w:szCs w:val="16"/>
        </w:rPr>
        <w:t>«Войска 1-го Украинского фронта, перейдя в наступление 12 января из района западнее САНДОМИРА, несмотря на плохие условия погоды, исключающие боевую поддержку авиации, прорвали сильно укреплённую оборону противника на фронте протяжением 40 километров.</w:t>
      </w:r>
    </w:p>
    <w:p w14:paraId="5FE6D329" w14:textId="77777777" w:rsidR="00F60E3F" w:rsidRPr="00925F26" w:rsidRDefault="00F60E3F" w:rsidP="00925F26">
      <w:pPr>
        <w:jc w:val="both"/>
        <w:rPr>
          <w:color w:val="000000" w:themeColor="text1"/>
          <w:sz w:val="16"/>
          <w:szCs w:val="16"/>
        </w:rPr>
      </w:pPr>
      <w:r w:rsidRPr="00925F26">
        <w:rPr>
          <w:color w:val="000000" w:themeColor="text1"/>
          <w:sz w:val="16"/>
          <w:szCs w:val="16"/>
        </w:rPr>
        <w:t>Решающее значение в прорыве обороны противника имело мощное и хорошо организованное артиллерийское наступление.</w:t>
      </w:r>
    </w:p>
    <w:p w14:paraId="353FA67C" w14:textId="77777777" w:rsidR="00F60E3F" w:rsidRPr="00925F26" w:rsidRDefault="00F60E3F" w:rsidP="00925F26">
      <w:pPr>
        <w:jc w:val="both"/>
        <w:rPr>
          <w:color w:val="000000" w:themeColor="text1"/>
          <w:sz w:val="16"/>
          <w:szCs w:val="16"/>
        </w:rPr>
      </w:pPr>
      <w:r w:rsidRPr="00925F26">
        <w:rPr>
          <w:color w:val="000000" w:themeColor="text1"/>
          <w:sz w:val="16"/>
          <w:szCs w:val="16"/>
        </w:rPr>
        <w:t>В течение двух дней наступательных боёв войска фронта продвинулись вперёд до 40 километров, расширив при этом прорыв до 60 километров по фронту.</w:t>
      </w:r>
    </w:p>
    <w:p w14:paraId="65E2ADAC" w14:textId="77777777" w:rsidR="00F60E3F" w:rsidRPr="00925F26" w:rsidRDefault="00F60E3F" w:rsidP="00925F26">
      <w:pPr>
        <w:jc w:val="both"/>
        <w:rPr>
          <w:color w:val="000000" w:themeColor="text1"/>
          <w:sz w:val="16"/>
          <w:szCs w:val="16"/>
        </w:rPr>
      </w:pPr>
      <w:r w:rsidRPr="00925F26">
        <w:rPr>
          <w:color w:val="000000" w:themeColor="text1"/>
          <w:sz w:val="16"/>
          <w:szCs w:val="16"/>
        </w:rPr>
        <w:t>В ходе наступления наши войска штурмом овладели сильными опорными пунктами обороны противника Шидлув, Стопница, Хмельник, Буско-Здруй (Буск), Висьлица, а также с боями заняли более 350 других населённых пунктов, в числе которых крупные населённые пункты Чижув, Шецно, Скшельчице, Лубаня, Сладкув, Млыны, Галув, Пастурка, Богуцице, Загосць, Скотники, Строжиска, Бжосткув.</w:t>
      </w:r>
    </w:p>
    <w:p w14:paraId="442D9C64" w14:textId="77777777" w:rsidR="00F60E3F" w:rsidRPr="00925F26" w:rsidRDefault="00F60E3F" w:rsidP="00925F26">
      <w:pPr>
        <w:jc w:val="both"/>
        <w:rPr>
          <w:color w:val="000000" w:themeColor="text1"/>
          <w:sz w:val="16"/>
          <w:szCs w:val="16"/>
        </w:rPr>
      </w:pPr>
      <w:r w:rsidRPr="00925F26">
        <w:rPr>
          <w:color w:val="000000" w:themeColor="text1"/>
          <w:sz w:val="16"/>
          <w:szCs w:val="16"/>
        </w:rPr>
        <w:t>В городе Будапеште наши войска, продолжая бои по уничтожению окружённой немецко-венгерской группировки, заняли 94 квартала.</w:t>
      </w:r>
    </w:p>
    <w:p w14:paraId="24D57A4D" w14:textId="77777777" w:rsidR="00F60E3F" w:rsidRPr="00925F26" w:rsidRDefault="00F60E3F"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CC1AAE0" w14:textId="77777777" w:rsidR="00F60E3F" w:rsidRPr="00925F26" w:rsidRDefault="00F60E3F" w:rsidP="00925F26">
      <w:pPr>
        <w:jc w:val="both"/>
        <w:rPr>
          <w:color w:val="000000" w:themeColor="text1"/>
          <w:sz w:val="16"/>
          <w:szCs w:val="16"/>
        </w:rPr>
      </w:pPr>
      <w:r w:rsidRPr="00925F26">
        <w:rPr>
          <w:color w:val="000000" w:themeColor="text1"/>
          <w:sz w:val="16"/>
          <w:szCs w:val="16"/>
        </w:rPr>
        <w:t>За 12 января наши войска на всех фронтах подбили и уничтожили 36 немецких танков. В воздушных боях и огнём зенитной артиллерии сбито 8 самолётов противника.</w:t>
      </w:r>
    </w:p>
    <w:p w14:paraId="1CC5111E" w14:textId="77777777" w:rsidR="00F60E3F" w:rsidRPr="00925F26" w:rsidRDefault="00F60E3F" w:rsidP="00925F26">
      <w:pPr>
        <w:jc w:val="both"/>
        <w:rPr>
          <w:color w:val="000000" w:themeColor="text1"/>
          <w:sz w:val="16"/>
          <w:szCs w:val="16"/>
        </w:rPr>
      </w:pPr>
      <w:r w:rsidRPr="00925F26">
        <w:rPr>
          <w:color w:val="000000" w:themeColor="text1"/>
          <w:sz w:val="16"/>
          <w:szCs w:val="16"/>
        </w:rPr>
        <w:t xml:space="preserve">Войска 1-го Украинского фронта 12 января перешли в наступление из района западнее города Сандомир. Рано утром наши передовые отряды ворвались в траншеи противника и в результате непродолжительного боя овладели ими. Затем началось мощное артиллерийское наступление. Орудия различных систем и калибров обрушили на немецкие позиции шквал огня. Почти два часа советская артиллерия взламывала и сокрушала вражескую оборону, построенную на большую глубину. Доты, дзоты и блиндажи, пулемётные гнезда и артиллерийские позиции противника были разрушены и подавлены. Около полудня вслед за огневым валом двинулись вперёд основные силы пехоты. Наши войска прорвали главную оборонительную полосу противника. От первой до второй укреплённых линий тянулись сплошные минные поля. Советские сапёры быстро проделали в них проходы и расчистили путь пехотинцам. Стремительным ударом наши войска прорвали вторую, а затем третью линии немецких укреплений. Сопротивление врага подавляется решительными действиями наших войск. Советские бойцы блокируют вражеские опорные пункты обороны. Подразделения, следующие за передовыми частями, уничтожают оставшиеся в тылу немецкие узлы и очаги сопротивления. Советские бойцы преодолевают упорное сопротивление противника. На полях — скользкая липкая почва. Немцами всюду расставлены мины, различные ловушки и западни. Несмотря </w:t>
      </w:r>
      <w:r w:rsidRPr="00925F26">
        <w:rPr>
          <w:color w:val="000000" w:themeColor="text1"/>
          <w:sz w:val="16"/>
          <w:szCs w:val="16"/>
        </w:rPr>
        <w:lastRenderedPageBreak/>
        <w:t>на всё это, наши войска за два дня с боями продвинулись вперёд до 40 километров. Заняты важные узлы шоссейных дорог и опорные пункты обороны немцев. В ходе боёв противник несёт огромные потери. Занятые нашими частями позиции завалены тысячами вражеских трупов, разбитой техникой, вооружением и военными материалами.</w:t>
      </w:r>
    </w:p>
    <w:p w14:paraId="4F2E7926" w14:textId="77777777" w:rsidR="00F60E3F" w:rsidRPr="00925F26" w:rsidRDefault="00F60E3F" w:rsidP="00925F26">
      <w:pPr>
        <w:jc w:val="both"/>
        <w:rPr>
          <w:color w:val="000000" w:themeColor="text1"/>
          <w:sz w:val="16"/>
          <w:szCs w:val="16"/>
        </w:rPr>
      </w:pPr>
      <w:r w:rsidRPr="00925F26">
        <w:rPr>
          <w:color w:val="000000" w:themeColor="text1"/>
          <w:sz w:val="16"/>
          <w:szCs w:val="16"/>
        </w:rPr>
        <w:t>Пленные рассказывают, что советская артиллерия произвела огромные опустошения в немецких частях. Пленный солдат 442-го полка 168-й немецкой пехотной дивизии Рудольф Янцен заявил: «От артиллерийского огня наш полк потерял не меньше половины личного состава. За всю войну я никогда не переживал такого адского огня. Творилось что-то неописуемое. Оставшиеся в живых солдаты были совершенно деморализованы и ходили, как очумелые.</w:t>
      </w:r>
    </w:p>
    <w:p w14:paraId="44EA8B0F" w14:textId="77777777" w:rsidR="00F60E3F" w:rsidRPr="00925F26" w:rsidRDefault="00F60E3F" w:rsidP="00925F26">
      <w:pPr>
        <w:jc w:val="both"/>
        <w:rPr>
          <w:color w:val="000000" w:themeColor="text1"/>
          <w:sz w:val="16"/>
          <w:szCs w:val="16"/>
        </w:rPr>
      </w:pPr>
      <w:r w:rsidRPr="00925F26">
        <w:rPr>
          <w:color w:val="000000" w:themeColor="text1"/>
          <w:sz w:val="16"/>
          <w:szCs w:val="16"/>
        </w:rPr>
        <w:t>В Будапеште наши войска, продолжая бои по ликвидации окружённой группировки противника, теснят её к Дунаю. Ещё первого января немецкое командование объявило своим войскам, попавшим в «котёл», что в ближайшие дни танковые дивизии придут к ним на помощь и прорвут кольцо окружения. Надеясь на помощь извне, гитлеровцы упорно сопротивляются. Они перекопали улицы рвами, организовали огневые точки в подвалах и каменных зданиях. С боями продвигаясь вперёд, советские штурмовые отряды выбивают врага из укрытий. В подвалах, дворах, на улицах и внутри домов происходят многочисленные рукопашные схватки. Гвардейская часть, занявшая вчера кладбище Керепешти, сегодня выбила немцев из машиностроительного завода и резиновой фабрики. В юго-восточной части города наши части овладели станцией пригородных поездов Рацкеве, вокзалом Ференцвароши и вышли к железнодорожному мосту через Дунай. За день боёв взято в плен 1.350 солдат и офицеров противника.</w:t>
      </w:r>
    </w:p>
    <w:p w14:paraId="74E599A2" w14:textId="77777777" w:rsidR="00F60E3F" w:rsidRPr="00925F26" w:rsidRDefault="00F60E3F"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Балтийском море транспорт противника водоизмещением в 6 тысяч тонн. Наша береговая артиллерия пустила ко дну в районе порта Мемель немецкий транспорт водоизмещением в 4 тысячи тонн.</w:t>
      </w:r>
    </w:p>
    <w:p w14:paraId="2743DE3B" w14:textId="77777777" w:rsidR="00F60E3F" w:rsidRPr="00925F26" w:rsidRDefault="00F60E3F" w:rsidP="00925F26">
      <w:pPr>
        <w:jc w:val="both"/>
        <w:rPr>
          <w:color w:val="000000" w:themeColor="text1"/>
          <w:sz w:val="16"/>
          <w:szCs w:val="16"/>
        </w:rPr>
      </w:pPr>
      <w:r w:rsidRPr="00925F26">
        <w:rPr>
          <w:color w:val="000000" w:themeColor="text1"/>
          <w:sz w:val="16"/>
          <w:szCs w:val="16"/>
        </w:rPr>
        <w:t>Северо-восточнее города Комарно захвачена в плен группа солдат 711-й немецкой пехотной дивизии. Пленный ефрейтор 731-го полка Рудольф Айзенкеллер рассказал: «B 711-ю дивизию я попал в первых числах ноября прошлого года. Она в то время находилась в Голландии, в районе города Утрехт. Дивизией командует генерал-майор Рейдерт. В Голландии нас день и ночь обучали военному делу. 28 декабря днём занятия неожиданно были прерваны. Начались спешные приготовления к отъезду. Уже на другой день наш полк погрузился в железнодорожные эшелоны. В пути мы находились более пяти дней. Проезжая по Германии, я видел много разрушенных англо-американской авиацией железнодорожных станций, исковерканных паровозов и разбитых вагонов. Когда мы прибыли в Венгрию, настроение сразу упало. Многие-солдаты написали родным прощальные письма и завещания» (15008).</w:t>
      </w:r>
    </w:p>
    <w:p w14:paraId="71B13301" w14:textId="77777777" w:rsidR="00F60E3F" w:rsidRPr="00925F26" w:rsidRDefault="00F60E3F" w:rsidP="00925F26">
      <w:pPr>
        <w:jc w:val="both"/>
        <w:rPr>
          <w:color w:val="000000" w:themeColor="text1"/>
          <w:sz w:val="16"/>
          <w:szCs w:val="16"/>
        </w:rPr>
      </w:pPr>
    </w:p>
    <w:p w14:paraId="35FEA8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13 января 1945 г. в полку Нормандия-Неман име</w:t>
      </w:r>
      <w:r w:rsidRPr="00925F26">
        <w:rPr>
          <w:color w:val="000000" w:themeColor="text1"/>
          <w:sz w:val="16"/>
          <w:szCs w:val="16"/>
        </w:rPr>
        <w:softHyphen/>
        <w:t>лось 42 Як-3 (6 неисправных) и 3 Як-9 (1 неисправный).</w:t>
      </w:r>
    </w:p>
    <w:p w14:paraId="059A8DE8" w14:textId="77777777" w:rsidR="00C2313B" w:rsidRPr="00925F26" w:rsidRDefault="00C2313B" w:rsidP="00925F26">
      <w:pPr>
        <w:autoSpaceDE w:val="0"/>
        <w:autoSpaceDN w:val="0"/>
        <w:adjustRightInd w:val="0"/>
        <w:jc w:val="both"/>
        <w:rPr>
          <w:color w:val="000000" w:themeColor="text1"/>
          <w:sz w:val="16"/>
          <w:szCs w:val="16"/>
        </w:rPr>
      </w:pPr>
    </w:p>
    <w:p w14:paraId="1542BD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г. началось новое на</w:t>
      </w:r>
      <w:r w:rsidRPr="00925F26">
        <w:rPr>
          <w:color w:val="000000" w:themeColor="text1"/>
          <w:sz w:val="16"/>
          <w:szCs w:val="16"/>
        </w:rPr>
        <w:softHyphen/>
        <w:t>ступление 3-го Белорусского фронта, с которым взаимодействовала 1-я воз</w:t>
      </w:r>
      <w:r w:rsidRPr="00925F26">
        <w:rPr>
          <w:color w:val="000000" w:themeColor="text1"/>
          <w:sz w:val="16"/>
          <w:szCs w:val="16"/>
        </w:rPr>
        <w:softHyphen/>
        <w:t>душная армия. Из-за нелетной погоды в этот день пилоты “Нормандии” не поднимались в воздух, зато следую</w:t>
      </w:r>
      <w:r w:rsidRPr="00925F26">
        <w:rPr>
          <w:color w:val="000000" w:themeColor="text1"/>
          <w:sz w:val="16"/>
          <w:szCs w:val="16"/>
        </w:rPr>
        <w:softHyphen/>
        <w:t>щий оказался одним из удачных: фран</w:t>
      </w:r>
      <w:r w:rsidRPr="00925F26">
        <w:rPr>
          <w:color w:val="000000" w:themeColor="text1"/>
          <w:sz w:val="16"/>
          <w:szCs w:val="16"/>
        </w:rPr>
        <w:softHyphen/>
        <w:t>цузам удалось сбить 8 и подбить 3 вра</w:t>
      </w:r>
      <w:r w:rsidRPr="00925F26">
        <w:rPr>
          <w:color w:val="000000" w:themeColor="text1"/>
          <w:sz w:val="16"/>
          <w:szCs w:val="16"/>
        </w:rPr>
        <w:softHyphen/>
        <w:t>жеских самолета. Младший лейтенант Мартин сумел в двух вылетах в районе Тракенен - Гумбиннен - Инстербург уничтожить 3 Bf109 и один FW190 (3956).</w:t>
      </w:r>
    </w:p>
    <w:p w14:paraId="3C6F5E09" w14:textId="77777777" w:rsidR="00C2313B" w:rsidRPr="00925F26" w:rsidRDefault="00C2313B" w:rsidP="00925F26">
      <w:pPr>
        <w:autoSpaceDE w:val="0"/>
        <w:autoSpaceDN w:val="0"/>
        <w:adjustRightInd w:val="0"/>
        <w:jc w:val="both"/>
        <w:rPr>
          <w:color w:val="000000" w:themeColor="text1"/>
          <w:sz w:val="16"/>
          <w:szCs w:val="16"/>
        </w:rPr>
      </w:pPr>
    </w:p>
    <w:p w14:paraId="17774A80" w14:textId="77777777" w:rsidR="00650270" w:rsidRPr="00925F26" w:rsidRDefault="00650270" w:rsidP="00925F26">
      <w:pPr>
        <w:jc w:val="both"/>
        <w:rPr>
          <w:color w:val="000000" w:themeColor="text1"/>
          <w:sz w:val="16"/>
          <w:szCs w:val="16"/>
        </w:rPr>
      </w:pPr>
      <w:r w:rsidRPr="00925F26">
        <w:rPr>
          <w:bCs/>
          <w:color w:val="000000" w:themeColor="text1"/>
          <w:sz w:val="16"/>
          <w:szCs w:val="16"/>
        </w:rPr>
        <w:t>13 января</w:t>
      </w:r>
      <w:r w:rsidRPr="00925F26">
        <w:rPr>
          <w:color w:val="000000" w:themeColor="text1"/>
          <w:sz w:val="16"/>
          <w:szCs w:val="16"/>
        </w:rPr>
        <w:t xml:space="preserve"> в 1945 году начало Восточно-Прусской стратегической наступательной операции. Проводили войска 2-го (Маршал Советского Союза К.К.Рокоссовский) и 3-го (генерал армии И.Д.Черняховский) Белорусского, 1-го Прибалтийского (генерал армии И.X.Баграмян) фронтов, Балтийского флота (адмирал В.Ф.Трибуц). В результате ее проведения к 25 апреля советские войска овладели Восточной Пруссией, освободили часть северных районов Польши. уничтожили 25 дивизий противника. Войска 3-го Белорусского (генерал армии И.Д.Черняховский) и часть сил (43-я армия, генерал-лейтенант А.П.Белобородов) 1-го Прибалтийского фронтов начали Инстергбургско-Кенигсбергскую операцию, являвшуюся частью Восточно-Прусской стратегической наступательной операции. В ходе боевых действий была разгромлена немецкая 3-я танковая армия. К концу операции (завершилась 26 января) войска продвинулись на глубину до 130 км (15008).</w:t>
      </w:r>
    </w:p>
    <w:p w14:paraId="5671D210" w14:textId="77777777" w:rsidR="00650270" w:rsidRPr="00925F26" w:rsidRDefault="00650270" w:rsidP="00925F26">
      <w:pPr>
        <w:jc w:val="both"/>
        <w:rPr>
          <w:color w:val="000000" w:themeColor="text1"/>
          <w:sz w:val="16"/>
          <w:szCs w:val="16"/>
        </w:rPr>
      </w:pPr>
    </w:p>
    <w:p w14:paraId="679487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13 января по 25 апреля 1945 состоялась Восточно-Прусская операция. 32 дивизии немцев рассекли на 3 группы (хайльсбергскую, кенигсбергсскую и земландскую), преодолели 7 оборонительных рубежей, разбив все (2438,154).</w:t>
      </w:r>
    </w:p>
    <w:p w14:paraId="4812C1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Восточно-Прусской операции Ставка ВГК организовала действия </w:t>
      </w:r>
      <w:proofErr w:type="gramStart"/>
      <w:r w:rsidRPr="00925F26">
        <w:rPr>
          <w:color w:val="000000" w:themeColor="text1"/>
          <w:sz w:val="16"/>
          <w:szCs w:val="16"/>
        </w:rPr>
        <w:t>по срыву оперативных перевозок</w:t>
      </w:r>
      <w:proofErr w:type="gramEnd"/>
      <w:r w:rsidRPr="00925F26">
        <w:rPr>
          <w:color w:val="000000" w:themeColor="text1"/>
          <w:sz w:val="16"/>
          <w:szCs w:val="16"/>
        </w:rPr>
        <w:t xml:space="preserve"> с привлечением АДД и ВА (518,130).</w:t>
      </w:r>
    </w:p>
    <w:p w14:paraId="129A45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436D0D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Восточно-Прусской операции до выхода войск 2 и 3БФ к морскому побережью 1 и 4ВА решали задачи только по поддержке и прикрытию сухопутных войск. В период ликвидации группировки, прижатой к морю, 20% вылетов были по объектам на море (518,186).</w:t>
      </w:r>
    </w:p>
    <w:p w14:paraId="499F1DDC" w14:textId="77777777" w:rsidR="00C2313B" w:rsidRPr="00925F26" w:rsidRDefault="00C2313B" w:rsidP="00925F26">
      <w:pPr>
        <w:autoSpaceDE w:val="0"/>
        <w:autoSpaceDN w:val="0"/>
        <w:adjustRightInd w:val="0"/>
        <w:jc w:val="both"/>
        <w:rPr>
          <w:color w:val="000000" w:themeColor="text1"/>
          <w:sz w:val="16"/>
          <w:szCs w:val="16"/>
        </w:rPr>
      </w:pPr>
    </w:p>
    <w:p w14:paraId="784968B2"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13, 1945: In the East, the Soviet 1st Belorussian Front (Zhukov) begins an offen</w:t>
      </w:r>
      <w:r w:rsidR="00573476" w:rsidRPr="00925F26">
        <w:rPr>
          <w:color w:val="000000" w:themeColor="text1"/>
          <w:sz w:val="16"/>
          <w:szCs w:val="16"/>
          <w:lang w:val="en-US"/>
        </w:rPr>
        <w:t>c</w:t>
      </w:r>
      <w:r w:rsidRPr="00925F26">
        <w:rPr>
          <w:color w:val="000000" w:themeColor="text1"/>
          <w:sz w:val="16"/>
          <w:szCs w:val="16"/>
          <w:lang w:val="en-US"/>
        </w:rPr>
        <w:t>ive toward Pillkallen in East Prussia. German forces of Heeresgruppe E complete their withdrawal from Greece and Albania (3819).</w:t>
      </w:r>
    </w:p>
    <w:p w14:paraId="33426475" w14:textId="77777777" w:rsidR="00C2313B" w:rsidRPr="00925F26" w:rsidRDefault="00C2313B" w:rsidP="00925F26">
      <w:pPr>
        <w:autoSpaceDE w:val="0"/>
        <w:autoSpaceDN w:val="0"/>
        <w:adjustRightInd w:val="0"/>
        <w:jc w:val="both"/>
        <w:rPr>
          <w:color w:val="000000" w:themeColor="text1"/>
          <w:sz w:val="16"/>
          <w:szCs w:val="16"/>
          <w:lang w:val="en-US"/>
        </w:rPr>
      </w:pPr>
    </w:p>
    <w:p w14:paraId="1514B6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 ходе Висло-Одерской операции воздушная разведка обнаружила выдвижение немецких войск для нанесения контрударов из Кельце и Хмельник и уничтожила их (518,154).</w:t>
      </w:r>
    </w:p>
    <w:p w14:paraId="56AF9F1F" w14:textId="77777777" w:rsidR="00C2313B" w:rsidRPr="00925F26" w:rsidRDefault="00C2313B" w:rsidP="00925F26">
      <w:pPr>
        <w:autoSpaceDE w:val="0"/>
        <w:autoSpaceDN w:val="0"/>
        <w:adjustRightInd w:val="0"/>
        <w:jc w:val="both"/>
        <w:rPr>
          <w:color w:val="000000" w:themeColor="text1"/>
          <w:sz w:val="16"/>
          <w:szCs w:val="16"/>
        </w:rPr>
      </w:pPr>
    </w:p>
    <w:p w14:paraId="2A785788" w14:textId="77777777" w:rsidR="00573476" w:rsidRPr="00925F26" w:rsidRDefault="00573476" w:rsidP="00925F26">
      <w:pPr>
        <w:jc w:val="both"/>
        <w:rPr>
          <w:color w:val="000000" w:themeColor="text1"/>
          <w:sz w:val="16"/>
          <w:szCs w:val="16"/>
        </w:rPr>
      </w:pPr>
      <w:r w:rsidRPr="00925F26">
        <w:rPr>
          <w:color w:val="000000" w:themeColor="text1"/>
          <w:sz w:val="16"/>
          <w:szCs w:val="16"/>
        </w:rPr>
        <w:t>13 января 1945 года командир 61-й гвардейской танковой бригады 10-го гвардейского Уральского добро - вольческого корпуса подполковник Н.Г. Жуков в оборонительном бою за польский населенный пункт Лесув лично уничтожил 7 танков противника, но и сам погиб от прямого попадания в боекомплект его Т-34 немецкого бронебойного снаряда.</w:t>
      </w:r>
    </w:p>
    <w:p w14:paraId="65C2CC21" w14:textId="77777777" w:rsidR="00573476" w:rsidRPr="00925F26" w:rsidRDefault="00573476" w:rsidP="00925F26">
      <w:pPr>
        <w:jc w:val="both"/>
        <w:rPr>
          <w:color w:val="000000" w:themeColor="text1"/>
          <w:sz w:val="16"/>
          <w:szCs w:val="16"/>
        </w:rPr>
      </w:pPr>
      <w:r w:rsidRPr="00925F26">
        <w:rPr>
          <w:color w:val="000000" w:themeColor="text1"/>
          <w:sz w:val="16"/>
          <w:szCs w:val="16"/>
        </w:rPr>
        <w:t>В 10-м гвардейском Уральском добровольческом танковом корпусе в ходе войны выросла целая плеяда настоящих танковых асов:</w:t>
      </w:r>
    </w:p>
    <w:p w14:paraId="7D1DF204"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лейтенант М. Кученков - 32 победы; гвардии капитан Н. Дьяченко - 31 победа;</w:t>
      </w:r>
    </w:p>
    <w:p w14:paraId="00DA701A"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старшина Н. Новицкий - 29 побед;</w:t>
      </w:r>
    </w:p>
    <w:p w14:paraId="570B579B"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младший лейтенант М. Разумовский - 25 побед;</w:t>
      </w:r>
    </w:p>
    <w:p w14:paraId="692CBE0F"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лейтенант Д. Макешин - 24 победы;</w:t>
      </w:r>
    </w:p>
    <w:p w14:paraId="74842834"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капитан В. Марков - 23 победы;</w:t>
      </w:r>
    </w:p>
    <w:p w14:paraId="0D073C2B"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старший сержант В. Куприянов - 23 победы;</w:t>
      </w:r>
    </w:p>
    <w:p w14:paraId="699BF909"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старшина С. Шопов - 21 победа;</w:t>
      </w:r>
    </w:p>
    <w:p w14:paraId="1FADD00C"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лейтенант Н. Булипкий - 21 победа;</w:t>
      </w:r>
    </w:p>
    <w:p w14:paraId="6A1326E9"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старшина М. Пименов - 20 побед;</w:t>
      </w:r>
    </w:p>
    <w:p w14:paraId="7BC8AE94"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лейтенант В. Моченый - 20 побед;</w:t>
      </w:r>
    </w:p>
    <w:p w14:paraId="5CDE6038" w14:textId="77777777" w:rsidR="00573476" w:rsidRPr="00925F26" w:rsidRDefault="00573476" w:rsidP="00925F26">
      <w:pPr>
        <w:jc w:val="both"/>
        <w:rPr>
          <w:color w:val="000000" w:themeColor="text1"/>
          <w:sz w:val="16"/>
          <w:szCs w:val="16"/>
        </w:rPr>
      </w:pPr>
      <w:r w:rsidRPr="00925F26">
        <w:rPr>
          <w:color w:val="000000" w:themeColor="text1"/>
          <w:sz w:val="16"/>
          <w:szCs w:val="16"/>
        </w:rPr>
        <w:t>гвардии сержант В. Ткаченко - 20 побед (12217).</w:t>
      </w:r>
    </w:p>
    <w:p w14:paraId="5A1E394E" w14:textId="77777777" w:rsidR="00573476" w:rsidRPr="00925F26" w:rsidRDefault="00573476" w:rsidP="00925F26">
      <w:pPr>
        <w:jc w:val="both"/>
        <w:rPr>
          <w:color w:val="000000" w:themeColor="text1"/>
          <w:sz w:val="16"/>
          <w:szCs w:val="16"/>
        </w:rPr>
      </w:pPr>
    </w:p>
    <w:p w14:paraId="548953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части 3БФ (И.Д.Черняховский) и часть сил 1ПбФ (43А А.П.Белобородова) начали Инстергбургско-Кенигсбергскую операцию, часть Восточно-Прусской операции. разгромили 3ТА к 26 января 1945, продвинувшись на 130 км (3398,25).</w:t>
      </w:r>
    </w:p>
    <w:p w14:paraId="3365AF33" w14:textId="77777777" w:rsidR="00C2313B" w:rsidRPr="00925F26" w:rsidRDefault="00C2313B" w:rsidP="00925F26">
      <w:pPr>
        <w:autoSpaceDE w:val="0"/>
        <w:autoSpaceDN w:val="0"/>
        <w:adjustRightInd w:val="0"/>
        <w:jc w:val="both"/>
        <w:rPr>
          <w:color w:val="000000" w:themeColor="text1"/>
          <w:sz w:val="16"/>
          <w:szCs w:val="16"/>
        </w:rPr>
      </w:pPr>
    </w:p>
    <w:p w14:paraId="5EFEF3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на Востоке 1БФ (Жуков) начал наступление в Восточной Пруссии. Группа Е закончила выход из Греции и Албании (3819).</w:t>
      </w:r>
    </w:p>
    <w:p w14:paraId="75E067A4" w14:textId="77777777" w:rsidR="00C2313B" w:rsidRPr="00925F26" w:rsidRDefault="00C2313B" w:rsidP="00925F26">
      <w:pPr>
        <w:autoSpaceDE w:val="0"/>
        <w:autoSpaceDN w:val="0"/>
        <w:adjustRightInd w:val="0"/>
        <w:jc w:val="both"/>
        <w:rPr>
          <w:color w:val="000000" w:themeColor="text1"/>
          <w:sz w:val="16"/>
          <w:szCs w:val="16"/>
        </w:rPr>
      </w:pPr>
    </w:p>
    <w:p w14:paraId="3CF506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7308 О сформировании в резерве Ставки Верховного Главнокомандования десяти истребительно-противотанковых артиллерийских бригад РГК. РГАНИР, Фонд ГКО, д. 349, лл. 3-4 (11012).</w:t>
      </w:r>
    </w:p>
    <w:p w14:paraId="1F0CE2C0" w14:textId="77777777" w:rsidR="00C2313B" w:rsidRPr="00925F26" w:rsidRDefault="00C2313B" w:rsidP="00925F26">
      <w:pPr>
        <w:autoSpaceDE w:val="0"/>
        <w:autoSpaceDN w:val="0"/>
        <w:adjustRightInd w:val="0"/>
        <w:jc w:val="both"/>
        <w:rPr>
          <w:color w:val="000000" w:themeColor="text1"/>
          <w:sz w:val="16"/>
          <w:szCs w:val="16"/>
        </w:rPr>
      </w:pPr>
    </w:p>
    <w:p w14:paraId="4C63AE6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7318 [О повышении оклада комендантам пограничных участков и отдельных комендатур войск НКВД.] (7296, 140).</w:t>
      </w:r>
    </w:p>
    <w:p w14:paraId="27275AC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BD31DB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января 1945 вышло Постановление ГКО № 7319 О материальном обеспечении лагерей военнопленных в I квартале 1945 г. (7296, 141-144,145-146).</w:t>
      </w:r>
    </w:p>
    <w:p w14:paraId="5D28255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82D39F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A16B8BD" w14:textId="77777777" w:rsidR="00C2313B" w:rsidRPr="00925F26" w:rsidRDefault="00C2313B" w:rsidP="00925F26">
      <w:pPr>
        <w:autoSpaceDE w:val="0"/>
        <w:autoSpaceDN w:val="0"/>
        <w:adjustRightInd w:val="0"/>
        <w:jc w:val="both"/>
        <w:rPr>
          <w:iCs/>
          <w:color w:val="000000" w:themeColor="text1"/>
          <w:sz w:val="16"/>
          <w:szCs w:val="16"/>
        </w:rPr>
      </w:pPr>
    </w:p>
    <w:p w14:paraId="5C08129F" w14:textId="77777777" w:rsidR="002A04DB" w:rsidRPr="00925F26" w:rsidRDefault="002A04DB" w:rsidP="00925F26">
      <w:pPr>
        <w:jc w:val="both"/>
        <w:rPr>
          <w:color w:val="000000" w:themeColor="text1"/>
          <w:sz w:val="16"/>
          <w:szCs w:val="16"/>
        </w:rPr>
      </w:pPr>
      <w:r w:rsidRPr="00925F26">
        <w:rPr>
          <w:color w:val="000000" w:themeColor="text1"/>
          <w:sz w:val="16"/>
          <w:szCs w:val="16"/>
        </w:rPr>
        <w:t>13 января 1945 камикадзе повреждает эскортный авианосец USS Salamaua в Южно-Китайском море у устья залива Лингайен. Это последняя успешная атака камикадзе в водах Филиппинских островов (20371).</w:t>
      </w:r>
    </w:p>
    <w:p w14:paraId="3CBF4430" w14:textId="77777777" w:rsidR="002A04DB" w:rsidRPr="00925F26" w:rsidRDefault="002A04DB" w:rsidP="00925F26">
      <w:pPr>
        <w:jc w:val="both"/>
        <w:rPr>
          <w:color w:val="000000" w:themeColor="text1"/>
          <w:sz w:val="16"/>
          <w:szCs w:val="16"/>
        </w:rPr>
      </w:pPr>
    </w:p>
    <w:p w14:paraId="44BA00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января 1945 Тирана. Решение Президиума АНОС о создании при Совете Министров Экономического совета и Плановой комиссии (7594).</w:t>
      </w:r>
    </w:p>
    <w:p w14:paraId="2EC45A40" w14:textId="77777777" w:rsidR="00C2313B" w:rsidRPr="00925F26" w:rsidRDefault="00C2313B" w:rsidP="00925F26">
      <w:pPr>
        <w:autoSpaceDE w:val="0"/>
        <w:autoSpaceDN w:val="0"/>
        <w:adjustRightInd w:val="0"/>
        <w:jc w:val="both"/>
        <w:rPr>
          <w:color w:val="000000" w:themeColor="text1"/>
          <w:sz w:val="16"/>
          <w:szCs w:val="16"/>
        </w:rPr>
      </w:pPr>
    </w:p>
    <w:p w14:paraId="3DC7248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BD09893" w14:textId="77777777" w:rsidR="00C2313B" w:rsidRPr="00925F26" w:rsidRDefault="00C2313B" w:rsidP="00925F26">
      <w:pPr>
        <w:autoSpaceDE w:val="0"/>
        <w:autoSpaceDN w:val="0"/>
        <w:adjustRightInd w:val="0"/>
        <w:jc w:val="both"/>
        <w:rPr>
          <w:iCs/>
          <w:color w:val="000000" w:themeColor="text1"/>
          <w:sz w:val="16"/>
          <w:szCs w:val="16"/>
        </w:rPr>
      </w:pPr>
    </w:p>
    <w:p w14:paraId="2C79F0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14 января 1945 С.В.И. в качестве ГК и директора завода 240 подготовил отчет за 1944:</w:t>
      </w:r>
    </w:p>
    <w:p w14:paraId="5D19D6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 полугодии 1944 завод занимался доводками и проведением летных испытаний самолетов, построенных в 1943 на серийных заводах 1, 18, 23, 30 и 39, т.к. сам строить их тогда не мог из-за недостатка мощности, как в части оборудования, так и в части численности производственного персонала.</w:t>
      </w:r>
    </w:p>
    <w:p w14:paraId="435631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этом году на нашем производстве построен спроектированный КБ самолет Ил-8 N 2 </w:t>
      </w:r>
      <w:proofErr w:type="gramStart"/>
      <w:r w:rsidRPr="00925F26">
        <w:rPr>
          <w:color w:val="000000" w:themeColor="text1"/>
          <w:sz w:val="16"/>
          <w:szCs w:val="16"/>
        </w:rPr>
        <w:t>согласно приказа</w:t>
      </w:r>
      <w:proofErr w:type="gramEnd"/>
      <w:r w:rsidRPr="00925F26">
        <w:rPr>
          <w:color w:val="000000" w:themeColor="text1"/>
          <w:sz w:val="16"/>
          <w:szCs w:val="16"/>
        </w:rPr>
        <w:t xml:space="preserve"> НКАП N 421 от 1 июля 1944 и начата постройка транспортного самолета Ил-12.</w:t>
      </w:r>
    </w:p>
    <w:p w14:paraId="5CB54C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Самолет Ил-8 (АМ-42) 1-й экз.</w:t>
      </w:r>
    </w:p>
    <w:p w14:paraId="324568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1943 во время заводских испытаний, при последнем полете, после которого самолет д.б. пойти на гос. испытания - отказал мотор. В начале 1944 был установлен новый мотор АМ-42 и самолет после заводских испытаний был досрочно 26 февраля 1944 вместо 1 марта 1944 сдан га гос. испытания, закончившиеся в течение месяца 30 марта 1944.</w:t>
      </w:r>
    </w:p>
    <w:p w14:paraId="2BC3FCD5" w14:textId="77777777" w:rsidR="00C2313B" w:rsidRPr="00925F26" w:rsidRDefault="00C2313B"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Согласно акта</w:t>
      </w:r>
      <w:proofErr w:type="gramEnd"/>
      <w:r w:rsidRPr="00925F26">
        <w:rPr>
          <w:color w:val="000000" w:themeColor="text1"/>
          <w:sz w:val="16"/>
          <w:szCs w:val="16"/>
        </w:rPr>
        <w:t xml:space="preserve"> НИИ ВВС N 038 от 12 апреля 1944 самолет Ил-8-1 АМ-42 успешно прошел гос. испытания и был рекомендован для запуска в серию.</w:t>
      </w:r>
    </w:p>
    <w:p w14:paraId="18C74C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 2-м квартале на этом самолете были проделаны все изменения, указанные в акте НИИ ВВС, установлен новый мотор АМ-42 и после повторных испытаний самолет был передан заводу 24.</w:t>
      </w:r>
    </w:p>
    <w:p w14:paraId="30BD4B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Самолет Ил-8-2 АМ-42</w:t>
      </w:r>
    </w:p>
    <w:p w14:paraId="69171F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 Ил-8-2 АМ-42 по состоянию на 1 января 1944 находился в летном состоянии. В 1-м кв. прошел заводские испытания и был сдан на гос. испытания на 3 дня раньше срока 29 марта 1944 вместо 1 апреля 1944.</w:t>
      </w:r>
    </w:p>
    <w:p w14:paraId="371BF3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связи с тем, что при постройке самолета Ил-8 металлический фюзеляж на стат. испытания не был изготовлен и т.о. не испытан, нами в 1944 был построен металлический фюзеляж для стат. испытаний. Фактические затраты по Ил-8 не превышают сметную стоимость.</w:t>
      </w:r>
    </w:p>
    <w:p w14:paraId="466118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3-м кв. по приказам НКАП N 421с от 1 июля 1944 и 559с от 14 сентября 1944 на самолете Ил-8-2 АМ-42 производилась переработка маслоохлаждающей системы и шасси, которая повлекла за собой такое количество крупных переделок, </w:t>
      </w:r>
      <w:proofErr w:type="gramStart"/>
      <w:r w:rsidRPr="00925F26">
        <w:rPr>
          <w:color w:val="000000" w:themeColor="text1"/>
          <w:sz w:val="16"/>
          <w:szCs w:val="16"/>
        </w:rPr>
        <w:t>что по существу</w:t>
      </w:r>
      <w:proofErr w:type="gramEnd"/>
      <w:r w:rsidRPr="00925F26">
        <w:rPr>
          <w:color w:val="000000" w:themeColor="text1"/>
          <w:sz w:val="16"/>
          <w:szCs w:val="16"/>
        </w:rPr>
        <w:t xml:space="preserve">, почти целиком был построен новый самолет. Проектирование самолета было произведено </w:t>
      </w:r>
      <w:proofErr w:type="gramStart"/>
      <w:r w:rsidRPr="00925F26">
        <w:rPr>
          <w:color w:val="000000" w:themeColor="text1"/>
          <w:sz w:val="16"/>
          <w:szCs w:val="16"/>
        </w:rPr>
        <w:t>в течение одного июля</w:t>
      </w:r>
      <w:proofErr w:type="gramEnd"/>
      <w:r w:rsidRPr="00925F26">
        <w:rPr>
          <w:color w:val="000000" w:themeColor="text1"/>
          <w:sz w:val="16"/>
          <w:szCs w:val="16"/>
        </w:rPr>
        <w:t xml:space="preserve"> и постройка длилась всего 2 месяца - август и сентябрь. 1-й вылет самолета был произведен 13 октября 1944 вместо установленного срока 15 октября. Дальнейшие заводские испытания были проведены только на 65% и 18 декабря 1944 после произведенных 13 полетов испытания были прекращены из-за некондиционности мотора. Новый мотор АМ-42 должен быть получен в январе 1945 и поэтому тема считается переходящей на 1945. </w:t>
      </w:r>
      <w:proofErr w:type="gramStart"/>
      <w:r w:rsidRPr="00925F26">
        <w:rPr>
          <w:color w:val="000000" w:themeColor="text1"/>
          <w:sz w:val="16"/>
          <w:szCs w:val="16"/>
        </w:rPr>
        <w:t>Кроме того</w:t>
      </w:r>
      <w:proofErr w:type="gramEnd"/>
      <w:r w:rsidRPr="00925F26">
        <w:rPr>
          <w:color w:val="000000" w:themeColor="text1"/>
          <w:sz w:val="16"/>
          <w:szCs w:val="16"/>
        </w:rPr>
        <w:t xml:space="preserve"> по тематическому плану на 1945 на самолет Ил-8 намечается установка нового вооружения.</w:t>
      </w:r>
    </w:p>
    <w:p w14:paraId="16073D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Самолет Ил-10 АМ-42</w:t>
      </w:r>
    </w:p>
    <w:p w14:paraId="2EC7AC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После получения с серийного завода самолета Ил-10 АМ-42 нами был доработан, прошел заводские испытания и был сдан на гос. испытания также досрочно 13 мая вместо 1 июня 1944 (срок 1 июня утвержден по тематическому плану на 1 и 2 кв. 1944).</w:t>
      </w:r>
    </w:p>
    <w:p w14:paraId="3D2083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рекордно короткий срок самолет успешно прошел гос. испытания (с 14 по 27 мая) всего за 13 дней и актом НИИ ВВС N 066 от 11 июня 1944 рекомендован в серию.</w:t>
      </w:r>
    </w:p>
    <w:p w14:paraId="235A28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 Ил-10 АМ-42 принят на вооружение РККА и внедряется в серию на заводах 1 и 18 НКАП.</w:t>
      </w:r>
    </w:p>
    <w:p w14:paraId="54D420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успешную работу в деле создания новых боевых самолетов КБ было награждено 2-й правительственной наградой ОКЗнамени.</w:t>
      </w:r>
    </w:p>
    <w:p w14:paraId="68E4C5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 работы по Ил-10, предусмотренные планом согласно вышесказанного акта НИИ ВВС закончены на 100%.</w:t>
      </w:r>
    </w:p>
    <w:p w14:paraId="2B750D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Сверх плана на самолете Ил-10 проделаны следующие работы:</w:t>
      </w:r>
    </w:p>
    <w:p w14:paraId="4495C8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Установлен новый винт АВ-5-Л-22Б диаметром 3.6 м.</w:t>
      </w:r>
    </w:p>
    <w:p w14:paraId="414B97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Установлена новая пушечная установка ВУ-9 с пушкой УБ-20</w:t>
      </w:r>
    </w:p>
    <w:p w14:paraId="0BFC24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Установлен механический привод ОМП-12 к прицелу К-8Т на установке ВУ-9.</w:t>
      </w:r>
    </w:p>
    <w:p w14:paraId="6321A8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Проработан временной прицел для бомбометания ВМШ-10 с визирными линиями и штырями в связи с увеличением скорости самолета.</w:t>
      </w:r>
    </w:p>
    <w:p w14:paraId="1D4977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Дистанционный компас ПДК-44п</w:t>
      </w:r>
    </w:p>
    <w:p w14:paraId="268252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РПК РПКО-10М</w:t>
      </w:r>
    </w:p>
    <w:p w14:paraId="70AC08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Радиоприемник РСИ-6МУ с дистанционным управлением</w:t>
      </w:r>
    </w:p>
    <w:p w14:paraId="12DE58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Установка ПАУ-22 в крыле.</w:t>
      </w:r>
    </w:p>
    <w:p w14:paraId="76ECF4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Проведены были заводские испытания и 23 ноября 1944 самолет Ил-10 был передан в НИИ ВВС на дополнительные гос. испытания для заключения о вновь установленных агрегатах, приборах вооружения и оборудования, для внедрения в серийное производство.</w:t>
      </w:r>
    </w:p>
    <w:p w14:paraId="7B5F78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Вследствие неисправности АМ-42 работы по Ил-10 на 1 января 1945 не закончены.</w:t>
      </w:r>
    </w:p>
    <w:p w14:paraId="18B1C0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В мае 1944 на завод 240 прибыл одноместный бронированный штурмовик, стоившийся на заводе 1, который был на нашем производстве доработан и прошел заводские испытания. Все работы по этому самолету, включенные в план, выполнены. Тема считается законченной на 100%.</w:t>
      </w:r>
    </w:p>
    <w:p w14:paraId="762579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Самолет Ил-6</w:t>
      </w:r>
    </w:p>
    <w:p w14:paraId="16A77B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Вследствие плохой работы опытных моторов, на самолет Ил-6 были установлены новые серийные моторы АЧ-30Б, которые вскоре тоже пришли в негодность и их пришлось снять и отправить на завод N 500 для доработок и переделок. Т.о. заводские испытания были прекращены. По получении с завода 500 доведенных моторов и после их установки были возобновлены и закончены заводские испытания в ЛИИ.</w:t>
      </w:r>
    </w:p>
    <w:p w14:paraId="324C4019" w14:textId="77777777" w:rsidR="00C2313B" w:rsidRPr="00925F26" w:rsidRDefault="00C2313B"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Согласно отчета</w:t>
      </w:r>
      <w:proofErr w:type="gramEnd"/>
      <w:r w:rsidRPr="00925F26">
        <w:rPr>
          <w:color w:val="000000" w:themeColor="text1"/>
          <w:sz w:val="16"/>
          <w:szCs w:val="16"/>
        </w:rPr>
        <w:t xml:space="preserve"> ЛИИ N 44-347 от 14 ноября 1944 о заводских испытаниях тема считается законченной.</w:t>
      </w:r>
    </w:p>
    <w:p w14:paraId="3243D8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Транспортный самолет</w:t>
      </w:r>
    </w:p>
    <w:p w14:paraId="6FE2C7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Кроме вышеперечисленных работ, перешедших с 1943, в тематическом плане стояла работа по проектированию и постройке на 25% нового транспортного самолета Ил-12 с 2хАЧ-30Б. С 1 января КБ приступило к проектированию данного самолета. В середине октября проектирование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w:t>
      </w:r>
    </w:p>
    <w:p w14:paraId="6A0DB0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Изготовлены следующие агрегаты:</w:t>
      </w:r>
    </w:p>
    <w:p w14:paraId="2A3088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Стапеля на фюзеляж и центроплан</w:t>
      </w:r>
    </w:p>
    <w:p w14:paraId="22DE840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Вся оснастка на фюзеляж и центроплан</w:t>
      </w:r>
    </w:p>
    <w:p w14:paraId="4D7AD4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Фюзеляж без внутреннего оборудования</w:t>
      </w:r>
    </w:p>
    <w:p w14:paraId="7C3A37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Лонжероны и нервюры центроплана</w:t>
      </w:r>
    </w:p>
    <w:p w14:paraId="60621F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Переднее шасси и и все детали главного шасси.</w:t>
      </w:r>
    </w:p>
    <w:p w14:paraId="2F6C6B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экз. Ил-12 с гермокабиной, предусмотренный планом, строится на заводе не будет из-за недостатка мощности и площади, а потому КБ не занималось его проектированием.</w:t>
      </w:r>
    </w:p>
    <w:p w14:paraId="6D5673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Кроме работ, предусмотренных планом, КБ приступило к проектированию ряда опытных самолетов:</w:t>
      </w:r>
    </w:p>
    <w:p w14:paraId="289258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Бомбардировщика Ил-14 4АМ-43НВ</w:t>
      </w:r>
    </w:p>
    <w:p w14:paraId="115AB0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Штурмовика Ил-16 АМ-43</w:t>
      </w:r>
    </w:p>
    <w:p w14:paraId="5F2EEB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Обе эти работы включены в тем. план опытных работ на 1945.</w:t>
      </w:r>
    </w:p>
    <w:p w14:paraId="260817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Техническая готовность проектирования на 1 января 1945 по самолету Ил-14 - 18% и по самолету Ил-16 - 22%. В производстве изготовлена на 100% продувочная модель самолета Ил-14.</w:t>
      </w:r>
    </w:p>
    <w:p w14:paraId="1F7071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Прекращенных работ в 1944 не было. На балансе в незавершенном производстве значатся работы, прекращенные еще в 1943:</w:t>
      </w:r>
    </w:p>
    <w:p w14:paraId="37CA9B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Модификация Ил-4 2М-88 с ТК-3 и гермокабиной (приказ НКАП N 835 от 12 ноября 1943).</w:t>
      </w:r>
    </w:p>
    <w:p w14:paraId="72CA57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Модификация Ил-4 2М-82 с усиленным вооружением (приказы НКАП N 23 от 16 января 1943 и 117сс от 25 февраля 1943).</w:t>
      </w:r>
    </w:p>
    <w:p w14:paraId="5792AB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Самолет Ил-4 М-82 (приказ НКАП N 188сс от 9 марта 1942).</w:t>
      </w:r>
    </w:p>
    <w:p w14:paraId="30D26E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Проектирование установки М-250 на Ил-2</w:t>
      </w:r>
    </w:p>
    <w:p w14:paraId="13F5BB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Модификация Ил-4 под М-90 (приказ НКАП N 21с от 16 января 1943).</w:t>
      </w:r>
    </w:p>
    <w:p w14:paraId="553696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Самолет Ил-6-2 (приказ НКАП N 131сс от 7 марта 1943).</w:t>
      </w:r>
    </w:p>
    <w:p w14:paraId="2A2F60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Самолет Ил-6 с М-71 (приказ НКАП N 369 от 22 июня 1943) (2217).</w:t>
      </w:r>
    </w:p>
    <w:p w14:paraId="7688B3DF" w14:textId="77777777" w:rsidR="00C2313B" w:rsidRPr="00925F26" w:rsidRDefault="00C2313B" w:rsidP="00925F26">
      <w:pPr>
        <w:autoSpaceDE w:val="0"/>
        <w:autoSpaceDN w:val="0"/>
        <w:adjustRightInd w:val="0"/>
        <w:jc w:val="both"/>
        <w:rPr>
          <w:color w:val="000000" w:themeColor="text1"/>
          <w:sz w:val="16"/>
          <w:szCs w:val="16"/>
        </w:rPr>
      </w:pPr>
    </w:p>
    <w:p w14:paraId="75696D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немецкий л-и Ханс-Вернер Лерхе в Ориниенбауме под Берлином продемонстрировал Г.Герингу Як-3 полка Нормандия Неман, который несколько дней до того на приземлился на аэродроме под Гросс-Шиманен. До этого выполнил два облета 12 и 13 января (3841).</w:t>
      </w:r>
    </w:p>
    <w:p w14:paraId="68ABA12C" w14:textId="77777777" w:rsidR="00C2313B" w:rsidRPr="00925F26" w:rsidRDefault="00C2313B" w:rsidP="00925F26">
      <w:pPr>
        <w:autoSpaceDE w:val="0"/>
        <w:autoSpaceDN w:val="0"/>
        <w:adjustRightInd w:val="0"/>
        <w:jc w:val="both"/>
        <w:rPr>
          <w:color w:val="000000" w:themeColor="text1"/>
          <w:sz w:val="16"/>
          <w:szCs w:val="16"/>
        </w:rPr>
      </w:pPr>
    </w:p>
    <w:p w14:paraId="1B5301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вышел приказ об испытаниях стабилизатора для торпеды СН-45 при скоростях сбрасывания 360-380 км/ч. Испытания осуществлялись на базе 5-го гмтап ВВС ЧФ в период 10.2-1.5.1945.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5A5E46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925F26">
        <w:rPr>
          <w:color w:val="000000" w:themeColor="text1"/>
          <w:sz w:val="16"/>
          <w:szCs w:val="16"/>
        </w:rPr>
        <w:t>г. .</w:t>
      </w:r>
      <w:proofErr w:type="gramEnd"/>
      <w:r w:rsidRPr="00925F26">
        <w:rPr>
          <w:color w:val="000000" w:themeColor="text1"/>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6DCDC4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0A062F33" w14:textId="77777777" w:rsidR="00C2313B" w:rsidRPr="00925F26" w:rsidRDefault="00C2313B" w:rsidP="00925F26">
      <w:pPr>
        <w:autoSpaceDE w:val="0"/>
        <w:autoSpaceDN w:val="0"/>
        <w:adjustRightInd w:val="0"/>
        <w:jc w:val="both"/>
        <w:rPr>
          <w:color w:val="000000" w:themeColor="text1"/>
          <w:sz w:val="16"/>
          <w:szCs w:val="16"/>
        </w:rPr>
      </w:pPr>
    </w:p>
    <w:p w14:paraId="767A2250" w14:textId="77777777" w:rsidR="008A50E4" w:rsidRPr="00925F26" w:rsidRDefault="008A50E4" w:rsidP="00925F26">
      <w:pPr>
        <w:jc w:val="both"/>
        <w:rPr>
          <w:color w:val="000000" w:themeColor="text1"/>
          <w:sz w:val="16"/>
          <w:szCs w:val="16"/>
        </w:rPr>
      </w:pPr>
      <w:r w:rsidRPr="00925F26">
        <w:rPr>
          <w:color w:val="000000" w:themeColor="text1"/>
          <w:sz w:val="16"/>
          <w:szCs w:val="16"/>
        </w:rPr>
        <w:t>14 января 1945 г. был отдан Приказ об испытаниях СН-45 при скоростях сбрасывания 360-380 км/ч. Стабилизатор представлял собой легкую металлическую конструкцию ве</w:t>
      </w:r>
      <w:r w:rsidRPr="00925F26">
        <w:rPr>
          <w:color w:val="000000" w:themeColor="text1"/>
          <w:sz w:val="16"/>
          <w:szCs w:val="16"/>
        </w:rPr>
        <w:softHyphen/>
        <w:t>сом 8 кг, состоящую из нескольких колец, каркаса, вертикаль</w:t>
      </w:r>
      <w:r w:rsidRPr="00925F26">
        <w:rPr>
          <w:color w:val="000000" w:themeColor="text1"/>
          <w:sz w:val="16"/>
          <w:szCs w:val="16"/>
        </w:rPr>
        <w:softHyphen/>
        <w:t>ной планки и поворотного крыла. Испытания осуществлялись на базе 5-го гмтап ВВС ЧФ в период 10.02-1.05.1945. Система была принята на воору</w:t>
      </w:r>
      <w:r w:rsidRPr="00925F26">
        <w:rPr>
          <w:color w:val="000000" w:themeColor="text1"/>
          <w:sz w:val="16"/>
          <w:szCs w:val="16"/>
        </w:rPr>
        <w:softHyphen/>
        <w:t>жение приказом НК ВМФ №0387 от 17.07.1945.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w:t>
      </w:r>
      <w:r w:rsidRPr="00925F26">
        <w:rPr>
          <w:color w:val="000000" w:themeColor="text1"/>
          <w:sz w:val="16"/>
          <w:szCs w:val="16"/>
        </w:rPr>
        <w:softHyphen/>
        <w:t>циальной деревянной наделки на носовую часть торпеды удалось довести скорость сбрасывания до 400 км/ч, а высоту - до 100 м (23464).</w:t>
      </w:r>
    </w:p>
    <w:p w14:paraId="46835B76" w14:textId="77777777" w:rsidR="008A50E4" w:rsidRPr="00925F26" w:rsidRDefault="008A50E4" w:rsidP="00925F26">
      <w:pPr>
        <w:jc w:val="both"/>
        <w:rPr>
          <w:color w:val="000000" w:themeColor="text1"/>
          <w:sz w:val="16"/>
          <w:szCs w:val="16"/>
        </w:rPr>
      </w:pPr>
    </w:p>
    <w:p w14:paraId="2A4D73F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867C783" w14:textId="77777777" w:rsidR="00C2313B" w:rsidRPr="00925F26" w:rsidRDefault="00C2313B" w:rsidP="00925F26">
      <w:pPr>
        <w:autoSpaceDE w:val="0"/>
        <w:autoSpaceDN w:val="0"/>
        <w:adjustRightInd w:val="0"/>
        <w:jc w:val="both"/>
        <w:rPr>
          <w:iCs/>
          <w:color w:val="000000" w:themeColor="text1"/>
          <w:sz w:val="16"/>
          <w:szCs w:val="16"/>
        </w:rPr>
      </w:pPr>
    </w:p>
    <w:p w14:paraId="1F5C43AD" w14:textId="77777777" w:rsidR="002A04DB" w:rsidRPr="00925F26" w:rsidRDefault="002A04DB" w:rsidP="00925F26">
      <w:pPr>
        <w:jc w:val="both"/>
        <w:rPr>
          <w:color w:val="000000" w:themeColor="text1"/>
          <w:sz w:val="16"/>
          <w:szCs w:val="16"/>
        </w:rPr>
      </w:pPr>
      <w:r w:rsidRPr="00925F26">
        <w:rPr>
          <w:color w:val="000000" w:themeColor="text1"/>
          <w:sz w:val="16"/>
          <w:szCs w:val="16"/>
          <w:shd w:val="clear" w:color="auto" w:fill="FFFFFF"/>
        </w:rPr>
        <w:t>14-15 января 1945 на НИБТ Полигоне была проведена предварительная проверка возможности использования унитаров в ИС-2 и ИСУ-12, которая показала, что принципиально унитары разместить можно, и даже ими стрелять. Но с рядом нюансов, особенно в случае с ИС-2. Заряжать в танке унитары можно было на определенных углах вертикальной наводки орудия. Скорострельность при этом даже не проверяли, но с самого начала становилось понятно - лучше она точно не будет. В случае с самоходной артиллерийской установкой ИСУ-122с ситуация была получше, а боекомплект даже чуть увеличивался - до 34 патронов (выстрелов). Дополнительная проверка позже пришла к менее утешительным выводам. Когда выяснилось, какая именно длина будет у унитаров, стало понятно - заряжать в ИС-2 их будет попросту невозможно. При этом боекомплект снизится до 17 выстрелов. Весьма категорично была высказана и перспектива использования унитаров на ИСУ-122с, хотя тут в НКТП явно нагнетали краски. В реальности проблем с ИСУ-122с было куда меньше, хотя унитар всё равно не являлся разумной идеей (20277).</w:t>
      </w:r>
    </w:p>
    <w:p w14:paraId="319CFF6B" w14:textId="77777777" w:rsidR="002A04DB" w:rsidRPr="00925F26" w:rsidRDefault="002A04DB" w:rsidP="00925F26">
      <w:pPr>
        <w:jc w:val="both"/>
        <w:rPr>
          <w:color w:val="000000" w:themeColor="text1"/>
          <w:sz w:val="16"/>
          <w:szCs w:val="16"/>
        </w:rPr>
      </w:pPr>
    </w:p>
    <w:p w14:paraId="405DF0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вышло Распоряжение ГКО № 7322. О поставках оборудования НКРП в I полугодии 1945 г. РГАНИР, Фонд ГКО, д. 350, лл. 1 (11012).</w:t>
      </w:r>
    </w:p>
    <w:p w14:paraId="6EE1B306" w14:textId="77777777" w:rsidR="00C2313B" w:rsidRPr="00925F26" w:rsidRDefault="00C2313B" w:rsidP="00925F26">
      <w:pPr>
        <w:autoSpaceDE w:val="0"/>
        <w:autoSpaceDN w:val="0"/>
        <w:adjustRightInd w:val="0"/>
        <w:jc w:val="both"/>
        <w:rPr>
          <w:color w:val="000000" w:themeColor="text1"/>
          <w:sz w:val="16"/>
          <w:szCs w:val="16"/>
        </w:rPr>
      </w:pPr>
    </w:p>
    <w:p w14:paraId="639DE5A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января 1945 вышло Распоряжение ГКО № 7323 [О поставках оборудования НКЧМ и НКстрою в I кв. 1945 г.] (7297, 2).</w:t>
      </w:r>
    </w:p>
    <w:p w14:paraId="3B80879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CDEAE15"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января 1945 вышло Распоряжение ГКО № 7324 [О выделении мазута из госрезерва для завода № 112 НКТП.] (7297, 3).</w:t>
      </w:r>
    </w:p>
    <w:p w14:paraId="15C929A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14EE2B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января 1945 вышло Распоряжение ГКО № 7325 [О выделении мазута из госрезерва для завода № 92 НКВ.] (7297, 4).</w:t>
      </w:r>
    </w:p>
    <w:p w14:paraId="2A5BC55F"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DAF86E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1D7515D" w14:textId="77777777" w:rsidR="00C2313B" w:rsidRPr="00925F26" w:rsidRDefault="00C2313B" w:rsidP="00925F26">
      <w:pPr>
        <w:autoSpaceDE w:val="0"/>
        <w:autoSpaceDN w:val="0"/>
        <w:adjustRightInd w:val="0"/>
        <w:jc w:val="both"/>
        <w:rPr>
          <w:iCs/>
          <w:color w:val="000000" w:themeColor="text1"/>
          <w:sz w:val="16"/>
          <w:szCs w:val="16"/>
        </w:rPr>
      </w:pPr>
    </w:p>
    <w:p w14:paraId="6C5949E1" w14:textId="77777777" w:rsidR="00650270" w:rsidRPr="00925F26" w:rsidRDefault="00650270" w:rsidP="00925F26">
      <w:pPr>
        <w:jc w:val="both"/>
        <w:rPr>
          <w:color w:val="000000" w:themeColor="text1"/>
          <w:sz w:val="16"/>
          <w:szCs w:val="16"/>
        </w:rPr>
      </w:pPr>
      <w:r w:rsidRPr="00925F26">
        <w:rPr>
          <w:bCs/>
          <w:color w:val="000000" w:themeColor="text1"/>
          <w:sz w:val="16"/>
          <w:szCs w:val="16"/>
        </w:rPr>
        <w:t>14 января</w:t>
      </w:r>
      <w:r w:rsidRPr="00925F26">
        <w:rPr>
          <w:color w:val="000000" w:themeColor="text1"/>
          <w:sz w:val="16"/>
          <w:szCs w:val="16"/>
        </w:rPr>
        <w:t xml:space="preserve"> в 1945 году оперативная сводка Совинформбюро:</w:t>
      </w:r>
    </w:p>
    <w:p w14:paraId="38742890" w14:textId="77777777" w:rsidR="00650270" w:rsidRPr="00925F26" w:rsidRDefault="00650270" w:rsidP="00925F26">
      <w:pPr>
        <w:jc w:val="both"/>
        <w:rPr>
          <w:color w:val="000000" w:themeColor="text1"/>
          <w:sz w:val="16"/>
          <w:szCs w:val="16"/>
        </w:rPr>
      </w:pPr>
      <w:r w:rsidRPr="00925F26">
        <w:rPr>
          <w:color w:val="000000" w:themeColor="text1"/>
          <w:sz w:val="16"/>
          <w:szCs w:val="16"/>
        </w:rPr>
        <w:t>«В течение 14 января южнее и юго-западнее города КЕЛЬЦЕ наши войска, продолжая развивать наступление, овладели важным узлом коммуникаций городом Пинчув, а также с боями заняли более 200 других населённых пунктов, в числе которых крупные населённые пункты Радомице, Лисув, Корытница, Бжеги, Мясова, Мотковице, Якубув, Миржвин, Вроцерыж, Михалув, Гуры, Млодзувы, Козубув, Шипов, Пелчиска, Соколина, Стары Корчин, Новы Корчин и железнодорожные станции Собкув и Мясова. Таким образом, наши войска форсировали реку Нида, на фронте в 60 километров, не дав противнику возможности организовать здесь оборону, и перерезали железную дорогу Кельце—Краков.</w:t>
      </w:r>
    </w:p>
    <w:p w14:paraId="5B44DE79" w14:textId="77777777" w:rsidR="00650270" w:rsidRPr="00925F26" w:rsidRDefault="00650270" w:rsidP="00925F26">
      <w:pPr>
        <w:jc w:val="both"/>
        <w:rPr>
          <w:color w:val="000000" w:themeColor="text1"/>
          <w:sz w:val="16"/>
          <w:szCs w:val="16"/>
        </w:rPr>
      </w:pPr>
      <w:r w:rsidRPr="00925F26">
        <w:rPr>
          <w:color w:val="000000" w:themeColor="text1"/>
          <w:sz w:val="16"/>
          <w:szCs w:val="16"/>
        </w:rPr>
        <w:t>На территории Чехословакии наши войска, сломив сопротивление противника, овладели городом и железнодорожным узлом Лученец, городом и узловой железнодорожной станцией Плешивец, а также с боями заняли более 40 других населённых пунктов; среди них — Горка, Шанковце, Лекешка, Залужаны, Врезово, Угор-Ска, Ровняны, Калиново, Иелшовец, Лубореч и железнодорожные станции Горка, Сушаны, Зелена.</w:t>
      </w:r>
    </w:p>
    <w:p w14:paraId="7C17B0B4" w14:textId="77777777" w:rsidR="00650270" w:rsidRPr="00925F26" w:rsidRDefault="00650270" w:rsidP="00925F26">
      <w:pPr>
        <w:jc w:val="both"/>
        <w:rPr>
          <w:color w:val="000000" w:themeColor="text1"/>
          <w:sz w:val="16"/>
          <w:szCs w:val="16"/>
        </w:rPr>
      </w:pPr>
      <w:r w:rsidRPr="00925F26">
        <w:rPr>
          <w:color w:val="000000" w:themeColor="text1"/>
          <w:sz w:val="16"/>
          <w:szCs w:val="16"/>
        </w:rPr>
        <w:t>В Будапеште наши войска, сжимая кольцо окружения немецко-венгерской группировки, овладели восточным вокзалом, станцией пригородных поездов Чемер, городским газовым заводом и заняли более 200 кварталов. За 13 января в Будапеште наши войска взяли в плен 2.500 немецких и венгерских солдат и офицеров и захватили следующие трофеи: танков — 5, орудий разных калибров — 21, паровозов— 57, железнодорожных вагонов — 2.160, цистерн — 30.</w:t>
      </w:r>
    </w:p>
    <w:p w14:paraId="33E2E70C" w14:textId="77777777" w:rsidR="00650270" w:rsidRPr="00925F26" w:rsidRDefault="00650270"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2C6825D" w14:textId="77777777" w:rsidR="00650270" w:rsidRPr="00925F26" w:rsidRDefault="00650270" w:rsidP="00925F26">
      <w:pPr>
        <w:jc w:val="both"/>
        <w:rPr>
          <w:color w:val="000000" w:themeColor="text1"/>
          <w:sz w:val="16"/>
          <w:szCs w:val="16"/>
        </w:rPr>
      </w:pPr>
      <w:r w:rsidRPr="00925F26">
        <w:rPr>
          <w:color w:val="000000" w:themeColor="text1"/>
          <w:sz w:val="16"/>
          <w:szCs w:val="16"/>
        </w:rPr>
        <w:t>За 13 января наши войска на всех фронтах подбили и уничтожили 80 немецких танков.</w:t>
      </w:r>
    </w:p>
    <w:p w14:paraId="3483FCCF" w14:textId="77777777" w:rsidR="00650270" w:rsidRPr="00925F26" w:rsidRDefault="00650270" w:rsidP="00925F26">
      <w:pPr>
        <w:jc w:val="both"/>
        <w:rPr>
          <w:color w:val="000000" w:themeColor="text1"/>
          <w:sz w:val="16"/>
          <w:szCs w:val="16"/>
        </w:rPr>
      </w:pPr>
      <w:r w:rsidRPr="00925F26">
        <w:rPr>
          <w:color w:val="000000" w:themeColor="text1"/>
          <w:sz w:val="16"/>
          <w:szCs w:val="16"/>
        </w:rPr>
        <w:t>Южнее и юго-западнее города Кельце наши войска продолжали успешное наступление. Противник, стремясь задержать продвижение советских частей, ввёл в дело находившиеся в резерве танковую и моторизованную дивизии. В район прорыва немцы спешно, на автотранспорте, перебрасывают пехоту и с хода бросают её в бой. Контратаки следуют одна за другой. Ожесточенное сражение произошло севернее города Хмельник. В этом районе пехота и 50 танков противника атаковали наши наступающие войска. Советские пехотинцы, артиллеристы и танкисты в упорном бою разгромили противника, уничтожив при этом 41 танк и свыше двух батальонов немецкой пехоты. Быстро продвигаясь на запад, наши войска перерезали железную дорогу и шоссе Кельце—Краков. Упорные бои происходили также за важный узел шоссейных дорог Пинчув. Немцы, опираясь на заранее построенные оборонительные сооружения, оказывали здесь сильное огневое сопротивление. В результате стремительной атаки советские части опрокинули противника и овладели городом Пинчув. В бою на этом участке уничтожено до 2.000 немецких солдат и офицеров.</w:t>
      </w:r>
    </w:p>
    <w:p w14:paraId="46864E91" w14:textId="77777777" w:rsidR="00650270" w:rsidRPr="00925F26" w:rsidRDefault="00650270" w:rsidP="00925F26">
      <w:pPr>
        <w:jc w:val="both"/>
        <w:rPr>
          <w:color w:val="000000" w:themeColor="text1"/>
          <w:sz w:val="16"/>
          <w:szCs w:val="16"/>
        </w:rPr>
      </w:pPr>
      <w:r w:rsidRPr="00925F26">
        <w:rPr>
          <w:color w:val="000000" w:themeColor="text1"/>
          <w:sz w:val="16"/>
          <w:szCs w:val="16"/>
        </w:rPr>
        <w:t>Развивая наступление, наши войска на широком фронте форсировали реку Нида. На западном берегу этой реки немцы построили оборонительный рубеж, состоявший из траншей полного профиля и большого количества дзотов. Советские части овладели этими укреплениями противника и продолжают продвигаться вперёд. За три дня наступления нашими войсками захвачено много трофеев — орудий разных калибров, миномётов, автомашин, склады с боеприпасами и военным имуществом. В одном районе захвачены крупные артиллерийские склады немцев. По неполным данным, взято в плен 900 немецких солдат и офицеров.</w:t>
      </w:r>
    </w:p>
    <w:p w14:paraId="2980E173" w14:textId="77777777" w:rsidR="00650270" w:rsidRPr="00925F26" w:rsidRDefault="00650270" w:rsidP="00925F26">
      <w:pPr>
        <w:jc w:val="both"/>
        <w:rPr>
          <w:color w:val="000000" w:themeColor="text1"/>
          <w:sz w:val="16"/>
          <w:szCs w:val="16"/>
        </w:rPr>
      </w:pPr>
      <w:r w:rsidRPr="00925F26">
        <w:rPr>
          <w:color w:val="000000" w:themeColor="text1"/>
          <w:sz w:val="16"/>
          <w:szCs w:val="16"/>
        </w:rPr>
        <w:t>На территории Чехословакии наши войска, с боями продвигаясь вперед, вчера ворвались в город Плешивец. Всю ночь шли бои с упорно сопротивляющимися гитлеровцами. Сегодня к утру советские бойцы овладели городом Плешивец — важным узлом коммуникаций и одним из опорных пунктов так называемой «зимней линии обороны» противника. Ожесточённые бои произошли и за другой мощный узел сопротивления немцев — город Лученец. Противник создал на подступах к этому городу оборонительный район, состоявший из 50 железобетонных дотов. Немцы стремились любой ценой удержать в своих руках Лученец. За последнее время сюда ими были брошены подкрепления. Наши войска прорвали оборону противника на юго-западных подступах в Лученцу, форсировали реку Тугарски и ворвались на окраины города. Другие наши части, наносившие удар с северо-востока, переправились через реку Бзови и овладели железнодорожной станцией. Особенно упорное сопротивление гитлеровцы оказывали на западной окраине Лученца, в районе промышленных предприятий. Сегодня наши войска разгромили вражеский гарнизон и полностью очистили город от немцев. Уничтожен охранный батальон и другие части противника. Подбито и сожжено 16 немецких танков. В районе населенного пункта Ровняны наши подразделения окружили вражеский артиллерийский дивизион. 215 немецких солдат и офицеров прекратили сопротивление и сдались в плен, передав советским офицерам 9 исправных орудий.</w:t>
      </w:r>
    </w:p>
    <w:p w14:paraId="5055CB46" w14:textId="77777777" w:rsidR="00650270" w:rsidRPr="00925F26" w:rsidRDefault="00650270" w:rsidP="00925F26">
      <w:pPr>
        <w:jc w:val="both"/>
        <w:rPr>
          <w:color w:val="000000" w:themeColor="text1"/>
          <w:sz w:val="16"/>
          <w:szCs w:val="16"/>
        </w:rPr>
      </w:pPr>
      <w:r w:rsidRPr="00925F26">
        <w:rPr>
          <w:color w:val="000000" w:themeColor="text1"/>
          <w:sz w:val="16"/>
          <w:szCs w:val="16"/>
        </w:rPr>
        <w:t>На 1-м Украинском фронте взят в плен командир 575-го полка, 304-й немецкой пехотной дивизии полковник Штреснер. Пленный рассказал: «Все ранее полученные мною приказы требовали: «В случае наступления русских не отступать ни на шаг, обороняться до последнего солдата, до последнего патрона». Однако исключительно мощная артиллерийская подготовка русских деморализовала солдат, подавила их волю к сопротивлению. Когда русская пехота перешла в атаку, солдаты моих подразделений начали отход. Меня поразила осведомленность русских. Они отлично знали наши позиции и расположение огневых точек. Русская артиллерия била точно. За какие-нибудь 15 минут вся связь была нарушена. На командном пункте я не мог поднять головы. Управлять полком было невозможно. Все подразделения понесли большие потери от артиллерийского огня. Оставшиеся в живых солдаты разбежались» (15009).</w:t>
      </w:r>
    </w:p>
    <w:p w14:paraId="066415C0" w14:textId="77777777" w:rsidR="00650270" w:rsidRPr="00925F26" w:rsidRDefault="00650270" w:rsidP="00925F26">
      <w:pPr>
        <w:jc w:val="both"/>
        <w:rPr>
          <w:color w:val="000000" w:themeColor="text1"/>
          <w:sz w:val="16"/>
          <w:szCs w:val="16"/>
        </w:rPr>
      </w:pPr>
    </w:p>
    <w:p w14:paraId="48A307A5" w14:textId="77777777" w:rsidR="00650270" w:rsidRPr="00925F26" w:rsidRDefault="00650270" w:rsidP="00925F26">
      <w:pPr>
        <w:jc w:val="both"/>
        <w:rPr>
          <w:color w:val="000000" w:themeColor="text1"/>
          <w:sz w:val="16"/>
          <w:szCs w:val="16"/>
        </w:rPr>
      </w:pPr>
      <w:r w:rsidRPr="00925F26">
        <w:rPr>
          <w:bCs/>
          <w:color w:val="000000" w:themeColor="text1"/>
          <w:sz w:val="16"/>
          <w:szCs w:val="16"/>
        </w:rPr>
        <w:t>14 января</w:t>
      </w:r>
      <w:r w:rsidRPr="00925F26">
        <w:rPr>
          <w:color w:val="000000" w:themeColor="text1"/>
          <w:sz w:val="16"/>
          <w:szCs w:val="16"/>
        </w:rPr>
        <w:t xml:space="preserve"> в 1945 году началась Млавско-Эльбингская наступательная операция (часть Восточно-Прусской стратегической наступательной операции) войск 2-го Белорусского фронта, продолжавшаяся до 26 января. Началась Варшавско-Познанская наступательная операция войск 1-го Белорусского фронта, продолжавшаяся до 3 февраля (15009).</w:t>
      </w:r>
    </w:p>
    <w:p w14:paraId="316914D1" w14:textId="77777777" w:rsidR="00650270" w:rsidRPr="00925F26" w:rsidRDefault="00650270" w:rsidP="00925F26">
      <w:pPr>
        <w:jc w:val="both"/>
        <w:rPr>
          <w:color w:val="000000" w:themeColor="text1"/>
          <w:sz w:val="16"/>
          <w:szCs w:val="16"/>
        </w:rPr>
      </w:pPr>
    </w:p>
    <w:p w14:paraId="27506188" w14:textId="77777777" w:rsidR="00650270" w:rsidRPr="00925F26" w:rsidRDefault="00650270" w:rsidP="00925F26">
      <w:pPr>
        <w:jc w:val="both"/>
        <w:rPr>
          <w:color w:val="000000" w:themeColor="text1"/>
          <w:sz w:val="16"/>
          <w:szCs w:val="16"/>
        </w:rPr>
      </w:pPr>
      <w:r w:rsidRPr="00925F26">
        <w:rPr>
          <w:bCs/>
          <w:color w:val="000000" w:themeColor="text1"/>
          <w:sz w:val="16"/>
          <w:szCs w:val="16"/>
        </w:rPr>
        <w:t>14 января</w:t>
      </w:r>
      <w:r w:rsidRPr="00925F26">
        <w:rPr>
          <w:color w:val="000000" w:themeColor="text1"/>
          <w:sz w:val="16"/>
          <w:szCs w:val="16"/>
        </w:rPr>
        <w:t xml:space="preserve"> в 1945 году весь личный состав 1-го батальона 215-го гвардейского стрелкового полка 77-й гвардейской стрелковой дивизии проявил исключительное мужество и героизм в боях на реке Висла. За этот бой был награжден поголовно весь состав батальона: 350 солдат, сержантов и старшин были удостоены орденов Славы, командиры взводов - орденов Александра Невского, командиры рот - орденов Красного Знамени, а командиру батальона гвардии майору Б.Н.Емельянову присвоено звание Героя Советского Союза. Батальон стали именовать Батальоном Славы (15009).</w:t>
      </w:r>
    </w:p>
    <w:p w14:paraId="51BA5C72" w14:textId="77777777" w:rsidR="00650270" w:rsidRPr="00925F26" w:rsidRDefault="00650270" w:rsidP="00925F26">
      <w:pPr>
        <w:jc w:val="both"/>
        <w:rPr>
          <w:color w:val="000000" w:themeColor="text1"/>
          <w:sz w:val="16"/>
          <w:szCs w:val="16"/>
        </w:rPr>
      </w:pPr>
    </w:p>
    <w:p w14:paraId="75796A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 14 января по 3 февраля 1943 состоялась Варшавско-Позненская операция. Продвинулись на 500 км и вышли к Одеру, захватили плацдармы севернее и южнее Кюстрина и блокировали крепость Познань (2438,128).</w:t>
      </w:r>
    </w:p>
    <w:p w14:paraId="4DF903E7" w14:textId="77777777" w:rsidR="00C2313B" w:rsidRPr="00925F26" w:rsidRDefault="00C2313B" w:rsidP="00925F26">
      <w:pPr>
        <w:autoSpaceDE w:val="0"/>
        <w:autoSpaceDN w:val="0"/>
        <w:adjustRightInd w:val="0"/>
        <w:jc w:val="both"/>
        <w:rPr>
          <w:color w:val="000000" w:themeColor="text1"/>
          <w:sz w:val="16"/>
          <w:szCs w:val="16"/>
        </w:rPr>
      </w:pPr>
    </w:p>
    <w:p w14:paraId="651791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войска 1БФ (Г.К.Жуков) начали Варшавско-Познанскую операцию - часть Висло-Одерской. Завершилась 3 февраля 1945 разгромом 9А и освобождением Варшавы. Захватили плацдарм на левом берегу Одера (3398,27).</w:t>
      </w:r>
    </w:p>
    <w:p w14:paraId="543F74F9" w14:textId="77777777" w:rsidR="00C2313B" w:rsidRPr="00925F26" w:rsidRDefault="00C2313B" w:rsidP="00925F26">
      <w:pPr>
        <w:autoSpaceDE w:val="0"/>
        <w:autoSpaceDN w:val="0"/>
        <w:adjustRightInd w:val="0"/>
        <w:jc w:val="both"/>
        <w:rPr>
          <w:color w:val="000000" w:themeColor="text1"/>
          <w:sz w:val="16"/>
          <w:szCs w:val="16"/>
        </w:rPr>
      </w:pPr>
    </w:p>
    <w:p w14:paraId="217768D3"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14, 1945: The Soviet 2nd Belorussian Front (Rokossovsky) begins an offensive from its Narev bridgehead against Elbing in East Prussia (3819).</w:t>
      </w:r>
    </w:p>
    <w:p w14:paraId="7CFD1D7F" w14:textId="77777777" w:rsidR="00C2313B" w:rsidRPr="00925F26" w:rsidRDefault="00C2313B" w:rsidP="00925F26">
      <w:pPr>
        <w:autoSpaceDE w:val="0"/>
        <w:autoSpaceDN w:val="0"/>
        <w:adjustRightInd w:val="0"/>
        <w:jc w:val="both"/>
        <w:rPr>
          <w:color w:val="000000" w:themeColor="text1"/>
          <w:sz w:val="16"/>
          <w:szCs w:val="16"/>
          <w:lang w:val="en-US"/>
        </w:rPr>
      </w:pPr>
    </w:p>
    <w:p w14:paraId="15618F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2БФ (Рокосовский) начал наступление из Нарева на Элбиг в Восточной Пруссии (3819).</w:t>
      </w:r>
    </w:p>
    <w:p w14:paraId="5AD80AF0" w14:textId="77777777" w:rsidR="00C2313B" w:rsidRPr="00925F26" w:rsidRDefault="00C2313B" w:rsidP="00925F26">
      <w:pPr>
        <w:autoSpaceDE w:val="0"/>
        <w:autoSpaceDN w:val="0"/>
        <w:adjustRightInd w:val="0"/>
        <w:jc w:val="both"/>
        <w:rPr>
          <w:color w:val="000000" w:themeColor="text1"/>
          <w:sz w:val="16"/>
          <w:szCs w:val="16"/>
        </w:rPr>
      </w:pPr>
    </w:p>
    <w:p w14:paraId="2D287F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C 14 по 26 января 1945 состоялась Млавско-Эльбингская операция СА - Часть Восточно-Прусской операции (2438,410).</w:t>
      </w:r>
    </w:p>
    <w:p w14:paraId="05A630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из-за плохих метеоусловий авиаподготовка ограничивалась действиями нба (518,135).</w:t>
      </w:r>
    </w:p>
    <w:p w14:paraId="5391748C" w14:textId="77777777" w:rsidR="00C2313B" w:rsidRPr="00925F26" w:rsidRDefault="00C2313B" w:rsidP="00925F26">
      <w:pPr>
        <w:autoSpaceDE w:val="0"/>
        <w:autoSpaceDN w:val="0"/>
        <w:adjustRightInd w:val="0"/>
        <w:jc w:val="both"/>
        <w:rPr>
          <w:color w:val="000000" w:themeColor="text1"/>
          <w:sz w:val="16"/>
          <w:szCs w:val="16"/>
        </w:rPr>
      </w:pPr>
    </w:p>
    <w:p w14:paraId="0E3103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вышел приказ наркома ВМФ Н.К.Кузнецова N 018 об аварийности в частях ВВС Северного флота (2120).</w:t>
      </w:r>
    </w:p>
    <w:p w14:paraId="096B2990" w14:textId="77777777" w:rsidR="00C2313B" w:rsidRPr="00925F26" w:rsidRDefault="00C2313B" w:rsidP="00925F26">
      <w:pPr>
        <w:autoSpaceDE w:val="0"/>
        <w:autoSpaceDN w:val="0"/>
        <w:adjustRightInd w:val="0"/>
        <w:jc w:val="both"/>
        <w:rPr>
          <w:color w:val="000000" w:themeColor="text1"/>
          <w:sz w:val="16"/>
          <w:szCs w:val="16"/>
        </w:rPr>
      </w:pPr>
    </w:p>
    <w:p w14:paraId="6F2630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года самолеты потопили пароход "Минни-Хорн" (4007 тонн) и теплоход "Фриц Шооп" (1598 тонн).</w:t>
      </w:r>
    </w:p>
    <w:p w14:paraId="27154D1C" w14:textId="77777777" w:rsidR="00C2313B" w:rsidRPr="00925F26" w:rsidRDefault="00C2313B" w:rsidP="00925F26">
      <w:pPr>
        <w:autoSpaceDE w:val="0"/>
        <w:autoSpaceDN w:val="0"/>
        <w:adjustRightInd w:val="0"/>
        <w:jc w:val="both"/>
        <w:rPr>
          <w:color w:val="000000" w:themeColor="text1"/>
          <w:sz w:val="16"/>
          <w:szCs w:val="16"/>
        </w:rPr>
      </w:pPr>
    </w:p>
    <w:p w14:paraId="773BE0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г. Генерал-лейтенант Ашенбреннер докладывал начальству, что русские истребители имеют “хороший уровень”. Командиром эскадрильи</w:t>
      </w:r>
      <w:proofErr w:type="gramStart"/>
      <w:r w:rsidRPr="00925F26">
        <w:rPr>
          <w:color w:val="000000" w:themeColor="text1"/>
          <w:sz w:val="16"/>
          <w:szCs w:val="16"/>
        </w:rPr>
        <w:t>.</w:t>
      </w:r>
      <w:proofErr w:type="gramEnd"/>
      <w:r w:rsidRPr="00925F26">
        <w:rPr>
          <w:color w:val="000000" w:themeColor="text1"/>
          <w:sz w:val="16"/>
          <w:szCs w:val="16"/>
        </w:rPr>
        <w:t xml:space="preserve"> получившей наименование 1-й иаэ имени полковника Казакова (Jaqdstaffel der ROA "Oberst Kasakow”), по имени знаменитого аса русской армии, прославившегося в Первую Мировую войну, стал майор С.Т.Бычков. “Казаковцы” получили 16 Bf109G-10 и, после ус-Герой Советского Союза С.Т.Бычков возглавил в авиации Р.ОА первую истребительную эскадрилью (4538).</w:t>
      </w:r>
    </w:p>
    <w:p w14:paraId="4F1E54DF" w14:textId="77777777" w:rsidR="00C2313B" w:rsidRPr="00925F26" w:rsidRDefault="00C2313B" w:rsidP="00925F26">
      <w:pPr>
        <w:autoSpaceDE w:val="0"/>
        <w:autoSpaceDN w:val="0"/>
        <w:adjustRightInd w:val="0"/>
        <w:jc w:val="both"/>
        <w:rPr>
          <w:color w:val="000000" w:themeColor="text1"/>
          <w:sz w:val="16"/>
          <w:szCs w:val="16"/>
        </w:rPr>
      </w:pPr>
    </w:p>
    <w:p w14:paraId="59AAD8BC" w14:textId="77777777" w:rsidR="000E7D6A" w:rsidRPr="00925F26" w:rsidRDefault="000E7D6A" w:rsidP="00925F26">
      <w:pPr>
        <w:shd w:val="clear" w:color="auto" w:fill="FFFFFF"/>
        <w:jc w:val="both"/>
        <w:rPr>
          <w:color w:val="000000" w:themeColor="text1"/>
          <w:sz w:val="16"/>
          <w:szCs w:val="16"/>
        </w:rPr>
      </w:pPr>
      <w:r w:rsidRPr="00925F26">
        <w:rPr>
          <w:color w:val="000000" w:themeColor="text1"/>
          <w:sz w:val="16"/>
          <w:szCs w:val="16"/>
        </w:rPr>
        <w:t>По состоянию на 14 января 1945 года в в составе 8-го гвардейского танкового корпуса, входившего в состав 2-го Белорусского фронта имелось 185 М4А2. Имелись такие танки и в составе 9-го гвардейского механизированного корпуса, который действовал в составе 2-го Украинского фронта. Следует отметить, что во всех этих соединениях в строю все еще оставались и «обычные» М4А2 с 75-мм пушками.</w:t>
      </w:r>
    </w:p>
    <w:p w14:paraId="0A498974" w14:textId="77777777" w:rsidR="000E7D6A" w:rsidRPr="00925F26" w:rsidRDefault="000E7D6A" w:rsidP="00925F26">
      <w:pPr>
        <w:shd w:val="clear" w:color="auto" w:fill="FFFFFF"/>
        <w:jc w:val="both"/>
        <w:rPr>
          <w:color w:val="000000" w:themeColor="text1"/>
          <w:sz w:val="16"/>
          <w:szCs w:val="16"/>
        </w:rPr>
      </w:pPr>
      <w:r w:rsidRPr="00925F26">
        <w:rPr>
          <w:color w:val="000000" w:themeColor="text1"/>
          <w:sz w:val="16"/>
          <w:szCs w:val="16"/>
        </w:rPr>
        <w:t>Новые американские танки приняли самое активное участие в сражениях зимы-весны 1945 года. Заметным плюсом стало то, что бои этого периода происходили в гораздо более комфортных, с точки зрения проходимости местности, условиях. В условиях, когда не требовалось штурмовать сугробы и непролазную грязь, и без того высокая надежность американских танков стала играть все более решающую роль.</w:t>
      </w:r>
    </w:p>
    <w:p w14:paraId="422AE2DC" w14:textId="77777777" w:rsidR="000E7D6A" w:rsidRPr="00925F26" w:rsidRDefault="000E7D6A" w:rsidP="00925F26">
      <w:pPr>
        <w:shd w:val="clear" w:color="auto" w:fill="FFFFFF"/>
        <w:jc w:val="both"/>
        <w:rPr>
          <w:color w:val="000000" w:themeColor="text1"/>
          <w:sz w:val="16"/>
          <w:szCs w:val="16"/>
        </w:rPr>
      </w:pPr>
      <w:r w:rsidRPr="00925F26">
        <w:rPr>
          <w:color w:val="000000" w:themeColor="text1"/>
          <w:sz w:val="16"/>
          <w:szCs w:val="16"/>
        </w:rPr>
        <w:t>Танки 1-го гвардейского механизированного корпуса первыми ворвались в Вену. Важную роль сыграли и М4А2 1-го механизированного корпуса, которые с северо-запада закрывали кольцо окружения вокруг Берлина. Участвовали американские машины и в освобождении Праги, здесь отличился имевший их на вооружении 9-й гвардейский механизированный корпус. Для этого соединения и его танков война на этом не закончилась: в августе 1945 года М4А2–76 мм из состава 9-го гв. мк участвовали в войне против Японии (17678).</w:t>
      </w:r>
    </w:p>
    <w:p w14:paraId="024DE2D9" w14:textId="77777777" w:rsidR="000E7D6A" w:rsidRPr="00925F26" w:rsidRDefault="000E7D6A" w:rsidP="00925F26">
      <w:pPr>
        <w:jc w:val="both"/>
        <w:rPr>
          <w:color w:val="000000" w:themeColor="text1"/>
          <w:sz w:val="16"/>
          <w:szCs w:val="16"/>
        </w:rPr>
      </w:pPr>
    </w:p>
    <w:p w14:paraId="010458E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ED366FF" w14:textId="77777777" w:rsidR="00C2313B" w:rsidRPr="00925F26" w:rsidRDefault="00C2313B" w:rsidP="00925F26">
      <w:pPr>
        <w:autoSpaceDE w:val="0"/>
        <w:autoSpaceDN w:val="0"/>
        <w:adjustRightInd w:val="0"/>
        <w:jc w:val="both"/>
        <w:rPr>
          <w:iCs/>
          <w:color w:val="000000" w:themeColor="text1"/>
          <w:sz w:val="16"/>
          <w:szCs w:val="16"/>
        </w:rPr>
      </w:pPr>
    </w:p>
    <w:p w14:paraId="2F22FD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января 1945 в ходе наступления в Арденах американцы вышли к Бастони и спасли окруженные американские части (3907,255).</w:t>
      </w:r>
    </w:p>
    <w:p w14:paraId="6C5B5FC6" w14:textId="77777777" w:rsidR="00C2313B" w:rsidRPr="00925F26" w:rsidRDefault="00C2313B" w:rsidP="00925F26">
      <w:pPr>
        <w:autoSpaceDE w:val="0"/>
        <w:autoSpaceDN w:val="0"/>
        <w:adjustRightInd w:val="0"/>
        <w:jc w:val="both"/>
        <w:rPr>
          <w:color w:val="000000" w:themeColor="text1"/>
          <w:sz w:val="16"/>
          <w:szCs w:val="16"/>
        </w:rPr>
      </w:pPr>
    </w:p>
    <w:p w14:paraId="0876225C" w14:textId="77777777" w:rsidR="00650270" w:rsidRPr="00925F26" w:rsidRDefault="00650270" w:rsidP="00925F26">
      <w:pPr>
        <w:jc w:val="both"/>
        <w:rPr>
          <w:color w:val="000000" w:themeColor="text1"/>
          <w:sz w:val="16"/>
          <w:szCs w:val="16"/>
        </w:rPr>
      </w:pPr>
      <w:r w:rsidRPr="00925F26">
        <w:rPr>
          <w:bCs/>
          <w:color w:val="000000" w:themeColor="text1"/>
          <w:sz w:val="16"/>
          <w:szCs w:val="16"/>
        </w:rPr>
        <w:t>14 января</w:t>
      </w:r>
      <w:r w:rsidRPr="00925F26">
        <w:rPr>
          <w:color w:val="000000" w:themeColor="text1"/>
          <w:sz w:val="16"/>
          <w:szCs w:val="16"/>
        </w:rPr>
        <w:t xml:space="preserve"> в 1945 году в ходе наступательной операции в Арденнах (Бельгия) части американской армии выходят к городу Бастонь и спасают американских солдат, оказавшихся в окружении после наступления германских войск (15009).</w:t>
      </w:r>
    </w:p>
    <w:p w14:paraId="3710E330" w14:textId="77777777" w:rsidR="00650270" w:rsidRPr="00925F26" w:rsidRDefault="00650270" w:rsidP="00925F26">
      <w:pPr>
        <w:jc w:val="both"/>
        <w:rPr>
          <w:color w:val="000000" w:themeColor="text1"/>
          <w:sz w:val="16"/>
          <w:szCs w:val="16"/>
        </w:rPr>
      </w:pPr>
    </w:p>
    <w:p w14:paraId="1111BE33" w14:textId="77777777" w:rsidR="002A04DB" w:rsidRPr="00925F26" w:rsidRDefault="002A04DB" w:rsidP="00925F26">
      <w:pPr>
        <w:jc w:val="both"/>
        <w:rPr>
          <w:color w:val="000000" w:themeColor="text1"/>
          <w:sz w:val="16"/>
          <w:szCs w:val="16"/>
        </w:rPr>
      </w:pPr>
      <w:r w:rsidRPr="00925F26">
        <w:rPr>
          <w:color w:val="000000" w:themeColor="text1"/>
          <w:sz w:val="16"/>
          <w:szCs w:val="16"/>
        </w:rPr>
        <w:t>14 января 1945 B-29 ВВС США бомбят Формозу (20371).</w:t>
      </w:r>
    </w:p>
    <w:p w14:paraId="70BA5A2E" w14:textId="77777777" w:rsidR="002A04DB" w:rsidRPr="00925F26" w:rsidRDefault="002A04DB" w:rsidP="00925F26">
      <w:pPr>
        <w:jc w:val="both"/>
        <w:rPr>
          <w:color w:val="000000" w:themeColor="text1"/>
          <w:sz w:val="16"/>
          <w:szCs w:val="16"/>
        </w:rPr>
      </w:pPr>
    </w:p>
    <w:p w14:paraId="1DE8720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96AEB86" w14:textId="77777777" w:rsidR="00C2313B" w:rsidRPr="00925F26" w:rsidRDefault="00C2313B" w:rsidP="00925F26">
      <w:pPr>
        <w:autoSpaceDE w:val="0"/>
        <w:autoSpaceDN w:val="0"/>
        <w:adjustRightInd w:val="0"/>
        <w:jc w:val="both"/>
        <w:rPr>
          <w:iCs/>
          <w:color w:val="000000" w:themeColor="text1"/>
          <w:sz w:val="16"/>
          <w:szCs w:val="16"/>
        </w:rPr>
      </w:pPr>
    </w:p>
    <w:p w14:paraId="15DA7F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 января 1945 г. у заместителя наркома авиапро</w:t>
      </w:r>
      <w:r w:rsidRPr="00925F26">
        <w:rPr>
          <w:color w:val="000000" w:themeColor="text1"/>
          <w:sz w:val="16"/>
          <w:szCs w:val="16"/>
        </w:rPr>
        <w:softHyphen/>
        <w:t>мышленности А.И. Кузнецова прошло совещание, согласно которому нормальный по</w:t>
      </w:r>
      <w:r w:rsidRPr="00925F26">
        <w:rPr>
          <w:color w:val="000000" w:themeColor="text1"/>
          <w:sz w:val="16"/>
          <w:szCs w:val="16"/>
        </w:rPr>
        <w:softHyphen/>
        <w:t>летный вес Ил-10 ограничивался 6300 кг, а пу</w:t>
      </w:r>
      <w:r w:rsidRPr="00925F26">
        <w:rPr>
          <w:color w:val="000000" w:themeColor="text1"/>
          <w:sz w:val="16"/>
          <w:szCs w:val="16"/>
        </w:rPr>
        <w:softHyphen/>
        <w:t>стого самолета - 4640 кг. Вес нагрузки устанавливался в 1660 кг. Скорость у земли требовалась не менее 505 км/ч, на границе высотности - 550 км/ч. Вре</w:t>
      </w:r>
      <w:r w:rsidRPr="00925F26">
        <w:rPr>
          <w:color w:val="000000" w:themeColor="text1"/>
          <w:sz w:val="16"/>
          <w:szCs w:val="16"/>
        </w:rPr>
        <w:softHyphen/>
        <w:t>мя подъема на высоту 1000 м - не более 1,6 мин, на 3000 м - 5,0 мин. Длина раз</w:t>
      </w:r>
      <w:r w:rsidRPr="00925F26">
        <w:rPr>
          <w:color w:val="000000" w:themeColor="text1"/>
          <w:sz w:val="16"/>
          <w:szCs w:val="16"/>
        </w:rPr>
        <w:softHyphen/>
        <w:t>бега со щитками - не более 475 м, а взлетная дистанция - 1250 м. Интерес</w:t>
      </w:r>
      <w:r w:rsidRPr="00925F26">
        <w:rPr>
          <w:color w:val="000000" w:themeColor="text1"/>
          <w:sz w:val="16"/>
          <w:szCs w:val="16"/>
        </w:rPr>
        <w:softHyphen/>
        <w:t>но, что по этому документу все серий</w:t>
      </w:r>
      <w:r w:rsidRPr="00925F26">
        <w:rPr>
          <w:color w:val="000000" w:themeColor="text1"/>
          <w:sz w:val="16"/>
          <w:szCs w:val="16"/>
        </w:rPr>
        <w:softHyphen/>
        <w:t>ные самолеты должны были иметь обо</w:t>
      </w:r>
      <w:r w:rsidRPr="00925F26">
        <w:rPr>
          <w:color w:val="000000" w:themeColor="text1"/>
          <w:sz w:val="16"/>
          <w:szCs w:val="16"/>
        </w:rPr>
        <w:softHyphen/>
        <w:t>ронительную установку с пушкой УБ-20 (что на самом деле осуществили намно</w:t>
      </w:r>
      <w:r w:rsidRPr="00925F26">
        <w:rPr>
          <w:color w:val="000000" w:themeColor="text1"/>
          <w:sz w:val="16"/>
          <w:szCs w:val="16"/>
        </w:rPr>
        <w:softHyphen/>
        <w:t>го позже). Утвержденные требования к Ил-10 оказались для заводов слишком высоки</w:t>
      </w:r>
      <w:r w:rsidRPr="00925F26">
        <w:rPr>
          <w:color w:val="000000" w:themeColor="text1"/>
          <w:sz w:val="16"/>
          <w:szCs w:val="16"/>
        </w:rPr>
        <w:softHyphen/>
        <w:t>ми. Естественно, возникли трения с во</w:t>
      </w:r>
      <w:r w:rsidRPr="00925F26">
        <w:rPr>
          <w:color w:val="000000" w:themeColor="text1"/>
          <w:sz w:val="16"/>
          <w:szCs w:val="16"/>
        </w:rPr>
        <w:softHyphen/>
        <w:t>енной приемкой, поскольку почти все се</w:t>
      </w:r>
      <w:r w:rsidRPr="00925F26">
        <w:rPr>
          <w:color w:val="000000" w:themeColor="text1"/>
          <w:sz w:val="16"/>
          <w:szCs w:val="16"/>
        </w:rPr>
        <w:softHyphen/>
        <w:t>рийные штурмовики по максимальной скорости и скороподъемности не вполне отвечали техническим условиям. Так, се</w:t>
      </w:r>
      <w:r w:rsidRPr="00925F26">
        <w:rPr>
          <w:color w:val="000000" w:themeColor="text1"/>
          <w:sz w:val="16"/>
          <w:szCs w:val="16"/>
        </w:rPr>
        <w:softHyphen/>
        <w:t>рийный Ил-10 № 106037 на контрольных испытаниях в НИИ ВВС в мае 1945 г. по</w:t>
      </w:r>
      <w:r w:rsidRPr="00925F26">
        <w:rPr>
          <w:color w:val="000000" w:themeColor="text1"/>
          <w:sz w:val="16"/>
          <w:szCs w:val="16"/>
        </w:rPr>
        <w:softHyphen/>
        <w:t>казал скорость у земли 503 км/ч и на высо</w:t>
      </w:r>
      <w:r w:rsidRPr="00925F26">
        <w:rPr>
          <w:color w:val="000000" w:themeColor="text1"/>
          <w:sz w:val="16"/>
          <w:szCs w:val="16"/>
        </w:rPr>
        <w:softHyphen/>
        <w:t>те 2850 м - 545 км/ч. Самолет № 1892908 в июле продемонстрировал еще худшие показатели: скорость 482 км/ч у земли и 528 км/ч на высоте 2660 м. Время набо</w:t>
      </w:r>
      <w:r w:rsidRPr="00925F26">
        <w:rPr>
          <w:color w:val="000000" w:themeColor="text1"/>
          <w:sz w:val="16"/>
          <w:szCs w:val="16"/>
        </w:rPr>
        <w:softHyphen/>
        <w:t>ра высоты 1000 м составило 2,1 мин, а 3000 м - 6,4 мин. Согласно докладу военной приемки, вес пустого самолета в течение года ко</w:t>
      </w:r>
      <w:r w:rsidRPr="00925F26">
        <w:rPr>
          <w:color w:val="000000" w:themeColor="text1"/>
          <w:sz w:val="16"/>
          <w:szCs w:val="16"/>
        </w:rPr>
        <w:softHyphen/>
        <w:t>лебался в пределах 4632 - 4700 кг, по</w:t>
      </w:r>
      <w:r w:rsidRPr="00925F26">
        <w:rPr>
          <w:color w:val="000000" w:themeColor="text1"/>
          <w:sz w:val="16"/>
          <w:szCs w:val="16"/>
        </w:rPr>
        <w:softHyphen/>
        <w:t>летный - 6253 - 6326 кг. Скорость у зем</w:t>
      </w:r>
      <w:r w:rsidRPr="00925F26">
        <w:rPr>
          <w:color w:val="000000" w:themeColor="text1"/>
          <w:sz w:val="16"/>
          <w:szCs w:val="16"/>
        </w:rPr>
        <w:softHyphen/>
        <w:t>ли составляла 482 - 507 км/ч, на грани</w:t>
      </w:r>
      <w:r w:rsidRPr="00925F26">
        <w:rPr>
          <w:color w:val="000000" w:themeColor="text1"/>
          <w:sz w:val="16"/>
          <w:szCs w:val="16"/>
        </w:rPr>
        <w:softHyphen/>
        <w:t>це высотности - 526 - 549 км/ч. Время подъема на высоту 3000 м - 5 - 6,4 мин. Дальность полета на высоте 500 м - 818 -855 км. Длина разбега - 475 - 560 м (за 17,8 - 21,6 с). Посадочная скорость ос</w:t>
      </w:r>
      <w:r w:rsidRPr="00925F26">
        <w:rPr>
          <w:color w:val="000000" w:themeColor="text1"/>
          <w:sz w:val="16"/>
          <w:szCs w:val="16"/>
        </w:rPr>
        <w:softHyphen/>
        <w:t>тавалась в пределах 147 км/ч. Но гораздо больше, чем снижение летных данных, заботили многочислен</w:t>
      </w:r>
      <w:r w:rsidRPr="00925F26">
        <w:rPr>
          <w:color w:val="000000" w:themeColor="text1"/>
          <w:sz w:val="16"/>
          <w:szCs w:val="16"/>
        </w:rPr>
        <w:softHyphen/>
        <w:t>ные дефекты как самолета, так и его мо</w:t>
      </w:r>
      <w:r w:rsidRPr="00925F26">
        <w:rPr>
          <w:color w:val="000000" w:themeColor="text1"/>
          <w:sz w:val="16"/>
          <w:szCs w:val="16"/>
        </w:rPr>
        <w:softHyphen/>
        <w:t>тора. Во многом они были порождены «скоростными» методами проектирова</w:t>
      </w:r>
      <w:r w:rsidRPr="00925F26">
        <w:rPr>
          <w:color w:val="000000" w:themeColor="text1"/>
          <w:sz w:val="16"/>
          <w:szCs w:val="16"/>
        </w:rPr>
        <w:softHyphen/>
        <w:t>ния машины и внедрения ее в массовое производство в условиях военного вре</w:t>
      </w:r>
      <w:r w:rsidRPr="00925F26">
        <w:rPr>
          <w:color w:val="000000" w:themeColor="text1"/>
          <w:sz w:val="16"/>
          <w:szCs w:val="16"/>
        </w:rPr>
        <w:softHyphen/>
        <w:t>мени. Почти на всех самолетах датчики бензи-номеров верхних баков показывали все, что угодно, но не количество оставшего</w:t>
      </w:r>
      <w:r w:rsidRPr="00925F26">
        <w:rPr>
          <w:color w:val="000000" w:themeColor="text1"/>
          <w:sz w:val="16"/>
          <w:szCs w:val="16"/>
        </w:rPr>
        <w:softHyphen/>
        <w:t>ся в баках топлива. Тарировка зонда масломера, как оказалось, была прове</w:t>
      </w:r>
      <w:r w:rsidRPr="00925F26">
        <w:rPr>
          <w:color w:val="000000" w:themeColor="text1"/>
          <w:sz w:val="16"/>
          <w:szCs w:val="16"/>
        </w:rPr>
        <w:softHyphen/>
        <w:t>дена на заводах неточно. Вследствие этого и заливка масла в систему прово</w:t>
      </w:r>
      <w:r w:rsidRPr="00925F26">
        <w:rPr>
          <w:color w:val="000000" w:themeColor="text1"/>
          <w:sz w:val="16"/>
          <w:szCs w:val="16"/>
        </w:rPr>
        <w:softHyphen/>
        <w:t>дилась неверно; моторы выходили из строя из-за масляного голодания. На не</w:t>
      </w:r>
      <w:r w:rsidRPr="00925F26">
        <w:rPr>
          <w:color w:val="000000" w:themeColor="text1"/>
          <w:sz w:val="16"/>
          <w:szCs w:val="16"/>
        </w:rPr>
        <w:softHyphen/>
        <w:t>скольких самолетах имели место отказы моторчиков управления заслонкой тун</w:t>
      </w:r>
      <w:r w:rsidRPr="00925F26">
        <w:rPr>
          <w:color w:val="000000" w:themeColor="text1"/>
          <w:sz w:val="16"/>
          <w:szCs w:val="16"/>
        </w:rPr>
        <w:softHyphen/>
        <w:t>неля водяного радиатора. После налета 10-15 ч появлялись люфты в соедине</w:t>
      </w:r>
      <w:r w:rsidRPr="00925F26">
        <w:rPr>
          <w:color w:val="000000" w:themeColor="text1"/>
          <w:sz w:val="16"/>
          <w:szCs w:val="16"/>
        </w:rPr>
        <w:softHyphen/>
        <w:t>нии рычагов проводки управления штор</w:t>
      </w:r>
      <w:r w:rsidRPr="00925F26">
        <w:rPr>
          <w:color w:val="000000" w:themeColor="text1"/>
          <w:sz w:val="16"/>
          <w:szCs w:val="16"/>
        </w:rPr>
        <w:softHyphen/>
        <w:t>ками тоннелей радиаторов. В результа</w:t>
      </w:r>
      <w:r w:rsidRPr="00925F26">
        <w:rPr>
          <w:color w:val="000000" w:themeColor="text1"/>
          <w:sz w:val="16"/>
          <w:szCs w:val="16"/>
        </w:rPr>
        <w:softHyphen/>
        <w:t>те отклонений от чертежей при изготов</w:t>
      </w:r>
      <w:r w:rsidRPr="00925F26">
        <w:rPr>
          <w:color w:val="000000" w:themeColor="text1"/>
          <w:sz w:val="16"/>
          <w:szCs w:val="16"/>
        </w:rPr>
        <w:softHyphen/>
        <w:t>лении бронекорпусов, наблюдались случаи смещения маслобаков в сторону мотора и повреждения их обечаек. Гидросмесь в стойках шасси при тем</w:t>
      </w:r>
      <w:r w:rsidRPr="00925F26">
        <w:rPr>
          <w:color w:val="000000" w:themeColor="text1"/>
          <w:sz w:val="16"/>
          <w:szCs w:val="16"/>
        </w:rPr>
        <w:softHyphen/>
        <w:t>пературе ниже - 8°С кристаллизова</w:t>
      </w:r>
      <w:r w:rsidRPr="00925F26">
        <w:rPr>
          <w:color w:val="000000" w:themeColor="text1"/>
          <w:sz w:val="16"/>
          <w:szCs w:val="16"/>
        </w:rPr>
        <w:softHyphen/>
        <w:t>лась. Как следствие, шток поршня амор</w:t>
      </w:r>
      <w:r w:rsidRPr="00925F26">
        <w:rPr>
          <w:color w:val="000000" w:themeColor="text1"/>
          <w:sz w:val="16"/>
          <w:szCs w:val="16"/>
        </w:rPr>
        <w:softHyphen/>
        <w:t>тизатора свободно висящей стойки не полностью выходил из цилиндра. Из-за этого при уборке шасси колесо, будучи приподнято, заходило в вырез крыла с напряжением, упираясь в переднюю часть окантовки и разрушая ее. При этом довольно часто обтекатель колеса (так называемый «лопух») заскакивал за окан</w:t>
      </w:r>
      <w:r w:rsidRPr="00925F26">
        <w:rPr>
          <w:color w:val="000000" w:themeColor="text1"/>
          <w:sz w:val="16"/>
          <w:szCs w:val="16"/>
        </w:rPr>
        <w:softHyphen/>
        <w:t>товку выреза и там его заклинивало. Бы</w:t>
      </w:r>
      <w:r w:rsidRPr="00925F26">
        <w:rPr>
          <w:color w:val="000000" w:themeColor="text1"/>
          <w:sz w:val="16"/>
          <w:szCs w:val="16"/>
        </w:rPr>
        <w:softHyphen/>
        <w:t>ли и другие причины поломок и срыва «лопухов», например, неправильный мон</w:t>
      </w:r>
      <w:r w:rsidRPr="00925F26">
        <w:rPr>
          <w:color w:val="000000" w:themeColor="text1"/>
          <w:sz w:val="16"/>
          <w:szCs w:val="16"/>
        </w:rPr>
        <w:softHyphen/>
        <w:t>таж на стойке. Дело в том, что при подъе</w:t>
      </w:r>
      <w:r w:rsidRPr="00925F26">
        <w:rPr>
          <w:color w:val="000000" w:themeColor="text1"/>
          <w:sz w:val="16"/>
          <w:szCs w:val="16"/>
        </w:rPr>
        <w:softHyphen/>
        <w:t>ме шасси вследствие поворота стойки во</w:t>
      </w:r>
      <w:r w:rsidRPr="00925F26">
        <w:rPr>
          <w:color w:val="000000" w:themeColor="text1"/>
          <w:sz w:val="16"/>
          <w:szCs w:val="16"/>
        </w:rPr>
        <w:softHyphen/>
        <w:t>круг своей оси на 86° обтекатель подходит к вырезу в крыле сначала одной стороной, а затем прижимается к крылу другой. При этом если «лопух» был установлен невер</w:t>
      </w:r>
      <w:r w:rsidRPr="00925F26">
        <w:rPr>
          <w:color w:val="000000" w:themeColor="text1"/>
          <w:sz w:val="16"/>
          <w:szCs w:val="16"/>
        </w:rPr>
        <w:softHyphen/>
        <w:t>но, то он опять-таки заходил в вырез кры</w:t>
      </w:r>
      <w:r w:rsidRPr="00925F26">
        <w:rPr>
          <w:color w:val="000000" w:themeColor="text1"/>
          <w:sz w:val="16"/>
          <w:szCs w:val="16"/>
        </w:rPr>
        <w:softHyphen/>
        <w:t>ла и там заклинивался. При уборке шасси складывающийся подкос шасси цеплял или за трубку под</w:t>
      </w:r>
      <w:r w:rsidRPr="00925F26">
        <w:rPr>
          <w:color w:val="000000" w:themeColor="text1"/>
          <w:sz w:val="16"/>
          <w:szCs w:val="16"/>
        </w:rPr>
        <w:softHyphen/>
        <w:t>вода воздуха тормозной системы, про</w:t>
      </w:r>
      <w:r w:rsidRPr="00925F26">
        <w:rPr>
          <w:color w:val="000000" w:themeColor="text1"/>
          <w:sz w:val="16"/>
          <w:szCs w:val="16"/>
        </w:rPr>
        <w:softHyphen/>
        <w:t>ложенной по переднему лонжерону кры</w:t>
      </w:r>
      <w:r w:rsidRPr="00925F26">
        <w:rPr>
          <w:color w:val="000000" w:themeColor="text1"/>
          <w:sz w:val="16"/>
          <w:szCs w:val="16"/>
        </w:rPr>
        <w:softHyphen/>
        <w:t>ла, или за колодку ее крепления к лон</w:t>
      </w:r>
      <w:r w:rsidRPr="00925F26">
        <w:rPr>
          <w:color w:val="000000" w:themeColor="text1"/>
          <w:sz w:val="16"/>
          <w:szCs w:val="16"/>
        </w:rPr>
        <w:softHyphen/>
        <w:t>жерону, что в обоих случаях приводило к обрыву трубки или к попаданию ее в замок шасси; замок при этом заклинива</w:t>
      </w:r>
      <w:r w:rsidRPr="00925F26">
        <w:rPr>
          <w:color w:val="000000" w:themeColor="text1"/>
          <w:sz w:val="16"/>
          <w:szCs w:val="16"/>
        </w:rPr>
        <w:softHyphen/>
        <w:t>ло. От этого дефекта удалось избавить</w:t>
      </w:r>
      <w:r w:rsidRPr="00925F26">
        <w:rPr>
          <w:color w:val="000000" w:themeColor="text1"/>
          <w:sz w:val="16"/>
          <w:szCs w:val="16"/>
        </w:rPr>
        <w:softHyphen/>
        <w:t>ся только на 5-й серии, в марте 1945 г. В связи с недостаточной жесткостью куполов ниш шасси (грязевых щитков), а также производственными дефектами их изготовления купола повсеместно де</w:t>
      </w:r>
      <w:r w:rsidRPr="00925F26">
        <w:rPr>
          <w:color w:val="000000" w:themeColor="text1"/>
          <w:sz w:val="16"/>
          <w:szCs w:val="16"/>
        </w:rPr>
        <w:softHyphen/>
        <w:t>формировались и трескались. С той же 5-й серии их стали делать из более тол</w:t>
      </w:r>
      <w:r w:rsidRPr="00925F26">
        <w:rPr>
          <w:color w:val="000000" w:themeColor="text1"/>
          <w:sz w:val="16"/>
          <w:szCs w:val="16"/>
        </w:rPr>
        <w:softHyphen/>
        <w:t>стого листа. Трещины обнаруживались и в ушках рычагов складывающихся под</w:t>
      </w:r>
      <w:r w:rsidRPr="00925F26">
        <w:rPr>
          <w:color w:val="000000" w:themeColor="text1"/>
          <w:sz w:val="16"/>
          <w:szCs w:val="16"/>
        </w:rPr>
        <w:softHyphen/>
        <w:t>косов, к которым подсоединялись штоки цилиндров подъема. Это в основном вы</w:t>
      </w:r>
      <w:r w:rsidRPr="00925F26">
        <w:rPr>
          <w:color w:val="000000" w:themeColor="text1"/>
          <w:sz w:val="16"/>
          <w:szCs w:val="16"/>
        </w:rPr>
        <w:softHyphen/>
        <w:t>зывалось нарушением технологии при сварке. После 70 - 80 посадок проявлялся значительный износ болтов крепления костыля. На отдельных самолетах выра</w:t>
      </w:r>
      <w:r w:rsidRPr="00925F26">
        <w:rPr>
          <w:color w:val="000000" w:themeColor="text1"/>
          <w:sz w:val="16"/>
          <w:szCs w:val="16"/>
        </w:rPr>
        <w:softHyphen/>
        <w:t>ботка болтов за 90 посадок превышала 0,5 мм. Лабораторная проверка показа</w:t>
      </w:r>
      <w:r w:rsidRPr="00925F26">
        <w:rPr>
          <w:color w:val="000000" w:themeColor="text1"/>
          <w:sz w:val="16"/>
          <w:szCs w:val="16"/>
        </w:rPr>
        <w:softHyphen/>
        <w:t>ла, что они изготовлены в полном соот</w:t>
      </w:r>
      <w:r w:rsidRPr="00925F26">
        <w:rPr>
          <w:color w:val="000000" w:themeColor="text1"/>
          <w:sz w:val="16"/>
          <w:szCs w:val="16"/>
        </w:rPr>
        <w:softHyphen/>
        <w:t>ветствии с чертежами. С 9-й серии (ап</w:t>
      </w:r>
      <w:r w:rsidRPr="00925F26">
        <w:rPr>
          <w:color w:val="000000" w:themeColor="text1"/>
          <w:sz w:val="16"/>
          <w:szCs w:val="16"/>
        </w:rPr>
        <w:softHyphen/>
        <w:t>рель 1945 г.) оба завода стали приме</w:t>
      </w:r>
      <w:r w:rsidRPr="00925F26">
        <w:rPr>
          <w:color w:val="000000" w:themeColor="text1"/>
          <w:sz w:val="16"/>
          <w:szCs w:val="16"/>
        </w:rPr>
        <w:softHyphen/>
        <w:t>нять болты большего диаметра. При сбрасывании бомб из бомбовых отсеков встречались случаи обрыва тросов управления створками, а также деформации створок в местах крепле</w:t>
      </w:r>
      <w:r w:rsidRPr="00925F26">
        <w:rPr>
          <w:color w:val="000000" w:themeColor="text1"/>
          <w:sz w:val="16"/>
          <w:szCs w:val="16"/>
        </w:rPr>
        <w:softHyphen/>
        <w:t>ния петель. На отдельных машинах бы</w:t>
      </w:r>
      <w:r w:rsidRPr="00925F26">
        <w:rPr>
          <w:color w:val="000000" w:themeColor="text1"/>
          <w:sz w:val="16"/>
          <w:szCs w:val="16"/>
        </w:rPr>
        <w:softHyphen/>
        <w:t>ли зарегистрированы случаи обрыва траверсы углового ролика, через кото</w:t>
      </w:r>
      <w:r w:rsidRPr="00925F26">
        <w:rPr>
          <w:color w:val="000000" w:themeColor="text1"/>
          <w:sz w:val="16"/>
          <w:szCs w:val="16"/>
        </w:rPr>
        <w:softHyphen/>
        <w:t xml:space="preserve">рый проходил трос от створки </w:t>
      </w:r>
      <w:proofErr w:type="gramStart"/>
      <w:r w:rsidRPr="00925F26">
        <w:rPr>
          <w:color w:val="000000" w:themeColor="text1"/>
          <w:sz w:val="16"/>
          <w:szCs w:val="16"/>
        </w:rPr>
        <w:t>бомболю-ка</w:t>
      </w:r>
      <w:proofErr w:type="gramEnd"/>
      <w:r w:rsidRPr="00925F26">
        <w:rPr>
          <w:color w:val="000000" w:themeColor="text1"/>
          <w:sz w:val="16"/>
          <w:szCs w:val="16"/>
        </w:rPr>
        <w:t xml:space="preserve"> к компенсатору. Результат был один и тот же - створки не закрывались, созда</w:t>
      </w:r>
      <w:r w:rsidRPr="00925F26">
        <w:rPr>
          <w:color w:val="000000" w:themeColor="text1"/>
          <w:sz w:val="16"/>
          <w:szCs w:val="16"/>
        </w:rPr>
        <w:softHyphen/>
        <w:t>вая в полете дополнительное аэродина</w:t>
      </w:r>
      <w:r w:rsidRPr="00925F26">
        <w:rPr>
          <w:color w:val="000000" w:themeColor="text1"/>
          <w:sz w:val="16"/>
          <w:szCs w:val="16"/>
        </w:rPr>
        <w:softHyphen/>
        <w:t>мическое сопротивление. С 8-й серии стали ставить накладки под петли ство</w:t>
      </w:r>
      <w:r w:rsidRPr="00925F26">
        <w:rPr>
          <w:color w:val="000000" w:themeColor="text1"/>
          <w:sz w:val="16"/>
          <w:szCs w:val="16"/>
        </w:rPr>
        <w:softHyphen/>
        <w:t>рок, а с 12-й - провели усиление и ство</w:t>
      </w:r>
      <w:r w:rsidRPr="00925F26">
        <w:rPr>
          <w:color w:val="000000" w:themeColor="text1"/>
          <w:sz w:val="16"/>
          <w:szCs w:val="16"/>
        </w:rPr>
        <w:softHyphen/>
        <w:t>рок, и петель. Столкнулись и с нарушением попереч</w:t>
      </w:r>
      <w:r w:rsidRPr="00925F26">
        <w:rPr>
          <w:color w:val="000000" w:themeColor="text1"/>
          <w:sz w:val="16"/>
          <w:szCs w:val="16"/>
        </w:rPr>
        <w:softHyphen/>
        <w:t>ной балансировки самолета - машина приобретала произвольный крен в одну сторону. Причина крылась в отгибании компенсатора, приклепанного к элерону. Потом выяснили, что производственники здесь ни при чем - пластинки отгибались струбцинами для фиксации рулей на земле при неверной их постановке тех</w:t>
      </w:r>
      <w:r w:rsidRPr="00925F26">
        <w:rPr>
          <w:color w:val="000000" w:themeColor="text1"/>
          <w:sz w:val="16"/>
          <w:szCs w:val="16"/>
        </w:rPr>
        <w:softHyphen/>
        <w:t>ническим составом. Моторы АМ-42 запускались с трудом, а иногда и вовсе не хотели заводиться. Осмотр наиболее «упорных» двигате</w:t>
      </w:r>
      <w:r w:rsidRPr="00925F26">
        <w:rPr>
          <w:color w:val="000000" w:themeColor="text1"/>
          <w:sz w:val="16"/>
          <w:szCs w:val="16"/>
        </w:rPr>
        <w:softHyphen/>
        <w:t>лей показал, что это происходит вслед</w:t>
      </w:r>
      <w:r w:rsidRPr="00925F26">
        <w:rPr>
          <w:color w:val="000000" w:themeColor="text1"/>
          <w:sz w:val="16"/>
          <w:szCs w:val="16"/>
        </w:rPr>
        <w:softHyphen/>
        <w:t>ствие засорения штуцеров бензонасо</w:t>
      </w:r>
      <w:r w:rsidRPr="00925F26">
        <w:rPr>
          <w:color w:val="000000" w:themeColor="text1"/>
          <w:sz w:val="16"/>
          <w:szCs w:val="16"/>
        </w:rPr>
        <w:softHyphen/>
        <w:t>сов скатавшимися в шарик фибровыми прокладками. Помимо этого, моторы имели плохую приемистость на малом газу, часто разрушались вкладыши и об</w:t>
      </w:r>
      <w:r w:rsidRPr="00925F26">
        <w:rPr>
          <w:color w:val="000000" w:themeColor="text1"/>
          <w:sz w:val="16"/>
          <w:szCs w:val="16"/>
        </w:rPr>
        <w:softHyphen/>
        <w:t>рывались шатуны, постоянно текли мас</w:t>
      </w:r>
      <w:r w:rsidRPr="00925F26">
        <w:rPr>
          <w:color w:val="000000" w:themeColor="text1"/>
          <w:sz w:val="16"/>
          <w:szCs w:val="16"/>
        </w:rPr>
        <w:softHyphen/>
        <w:t>ляные и водяные радиаторы из-за пло</w:t>
      </w:r>
      <w:r w:rsidRPr="00925F26">
        <w:rPr>
          <w:color w:val="000000" w:themeColor="text1"/>
          <w:sz w:val="16"/>
          <w:szCs w:val="16"/>
        </w:rPr>
        <w:softHyphen/>
        <w:t xml:space="preserve">хой </w:t>
      </w:r>
      <w:proofErr w:type="gramStart"/>
      <w:r w:rsidRPr="00925F26">
        <w:rPr>
          <w:color w:val="000000" w:themeColor="text1"/>
          <w:sz w:val="16"/>
          <w:szCs w:val="16"/>
        </w:rPr>
        <w:t>пайки.(</w:t>
      </w:r>
      <w:proofErr w:type="gramEnd"/>
      <w:r w:rsidRPr="00925F26">
        <w:rPr>
          <w:color w:val="000000" w:themeColor="text1"/>
          <w:sz w:val="16"/>
          <w:szCs w:val="16"/>
        </w:rPr>
        <w:t>10680).</w:t>
      </w:r>
    </w:p>
    <w:p w14:paraId="7A5442FC" w14:textId="77777777" w:rsidR="00C2313B" w:rsidRPr="00925F26" w:rsidRDefault="00C2313B" w:rsidP="00925F26">
      <w:pPr>
        <w:autoSpaceDE w:val="0"/>
        <w:autoSpaceDN w:val="0"/>
        <w:adjustRightInd w:val="0"/>
        <w:jc w:val="both"/>
        <w:rPr>
          <w:color w:val="000000" w:themeColor="text1"/>
          <w:sz w:val="16"/>
          <w:szCs w:val="16"/>
        </w:rPr>
      </w:pPr>
    </w:p>
    <w:p w14:paraId="0D9AAC98"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lastRenderedPageBreak/>
        <w:t>15 января 1945 года у заместителя наркома авиапромышленности А. И. Кузнецова состоялось совместное с ВВС совещание по рассмотрению технических условий на серийный самолет Ил-10 (эталон 1945 г.). На нем же обсуждались итоги первого этапа внедрения в массовую серию штурмовой «десятки» и были намечены мероприятия по устранению еще не изжитых дефектов и недостатков машины.</w:t>
      </w:r>
    </w:p>
    <w:p w14:paraId="01DBFE31"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В ряду присутствующих на совещании значились: от НКАП - главный конструктор Ильюшин, заместитель главного инженера 10-го ГУ НКАП Беренсон, инженеры Васильев и Звягинцев, от ВВС - заместитель главного инженера ВВС КА генерал-лейтенант Лапин, временно исполняющий должность начальника УЗСиМ ГУЗ ВВС инженер-полковник Кувенев, начальник 1-го отдела УЗСиМ ГУЗ ВВС инженер -полковник Ковалев, инженер-полковник Знаменский.</w:t>
      </w:r>
    </w:p>
    <w:p w14:paraId="6FB34F67" w14:textId="77777777" w:rsidR="000E7D6A" w:rsidRPr="00925F26" w:rsidRDefault="000E7D6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Отмечалось, что заводы № 1 и № 18 выпускают самолеты Ил-10 «по чертежам Гл. конструктора тов. Ильюшина в соответствии с решением ГКО от 23 июля 1944 г. за № 6246сс с устранением в серии дефектов по протоколу от 23.6.44, выявленных при госиспытании опытного самолета Ил-10». На серийных машинах «в большей части выполняются рекомендации ГК НИИ ВВС, данные в результате госиспытаний опытного самолета».</w:t>
      </w:r>
    </w:p>
    <w:p w14:paraId="4CFA05B3"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При этом «в серию внедрено большое количество изменений и доработок по устранению дефектов, но самолет Ил-10 с выполненными доработками контрольных испытаний в ГК НИИ ВВС не проходил». Абсолютно все «внедренные в серию мероприятия по улучшению самолета Ил-10 не испытаны и оценки ГК НИИ ВВС не имеют».</w:t>
      </w:r>
    </w:p>
    <w:p w14:paraId="2EB9885C"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В этой связи было решено обязать заводы № 1 и № 18 передать к 25 февраля 1945 года в ГК НИИ ВВС для проведения контрольных испытаний по одному серийному самолету Ил-10 выпуска января месяца.</w:t>
      </w:r>
    </w:p>
    <w:p w14:paraId="1EB0ED38"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 xml:space="preserve">Одновременно «Гл. конструктору Ильюшину» поручалось «разработать к 15.2.45 г. рабочие чертежи и обеспечить предъявление на госиспытания одного самолета Ил-10 к 1.4.45 г. с отработкой на нем изменений/.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/с учетом требований ВВС КА».</w:t>
      </w:r>
    </w:p>
    <w:p w14:paraId="04892EE0"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На этом самолете необходимо было установить противопыльный фильтр и наружную заслонку в системе всасывания воздуха в мотор, систему нейтрального газа от выхлопа мотора («по рекомендации ЛИИ НКАП»), фибровые бензобаки с протектором, механизм объединенного управления винтом и газом конструкции ЦИАМ, кран разжижения масла бензином, в кабине летчика привязные ремни «с подтягом летчика к сиденью при вынужденной посадке», четыре ракетных орудия РО-82 (или УРО-132), в кабине стрелка пушку УБ-20 (150 патронов), дистанционный компас ПДК-44, ответчик системы государственного опознавания «свой-чужой» СЧ-3, а также новый воздушный винт, «обеспечивающий лучшие взлетные качества самолета».</w:t>
      </w:r>
    </w:p>
    <w:p w14:paraId="1DD7FD53"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Кроме этого, следовало заменить серийные колеса модернизированными тормозными колесами (800^260 мм), приемник РСИ-4 на РСИ-6 МУ с дистанционным управлением, радиополукомпас РПК-10 на РПК0-10 (с ответчиком), генератор ГС-350 на генератор ГС-500 с РК-17-500 и аккумулятор 12А-10 на 12А-30.</w:t>
      </w:r>
    </w:p>
    <w:p w14:paraId="021E2A9A"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Соответственно, ГК НИИ ВВС обязывался не позже 25 апреля «провести испытания предъявленного самолета Ил -10 и дать свое заключение по всем вышеуказанным изменениям». Вопрос о запуске в серию предполагалось решить «после получения от ГК НИИ ВВС КА положительных заключений».</w:t>
      </w:r>
    </w:p>
    <w:p w14:paraId="5A551A6E"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С учетом намеченных мероприятий и сроков их выполнения заводы № 1 и № 18 должны были к 1 февраля отработать установку заслонки и пылефильтра и практически определить оптимальную дозировку разжижения масла бензином. Дополнительно завод № 1 обязывался к 25 февраля «по чертежам Гл. конструктора» смонтировать на одном Ил-10 установку системы нейтрального газа и передать самолет на испытание в ГК НИИ ВВС.</w:t>
      </w:r>
    </w:p>
    <w:p w14:paraId="0DE3C88E"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Нормальный полетный вес серийных Ил-10 на 1945 год ограничивался 6300 кг (в перегрузку 6500 кг), а вес пустого самолета - 4640 кг. Вес нагрузки устанавливался 1660 кг. Центровка самолета - в пределах 24,6 % САХ. Максимальная скорость полета - не менее 505 км/ч у земли и 550 км/ч - на границе высотности. Время подъема на высоту 1000 м - не более 1,6 мин, на 3000 м - 5,0 мин. Длина разбега с установленными на 17° щитками при нормальном полетном весе - 475 м, взлетная дистанция - 1250 м. Разбег с перегрузкой - 550 м, а дистанция взлета - 1350-1400 м.</w:t>
      </w:r>
    </w:p>
    <w:p w14:paraId="7691AADA"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Все серийные самолеты следовало вооружать ракетными орудиями (4 РО-82 или УРО-132) и оборонительной установкой ВУ -9 с 20-мм пушкой УБ-20 (150 патронов).</w:t>
      </w:r>
    </w:p>
    <w:p w14:paraId="4D546109"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Отметим, что утвержденные требования к Ил-10 оказались для заводов высокими. Сразу же возникли трения между заводами и военной приемкой, поскольку почти все серийные штурмовики по весу пустого самолета, полетному весу, максимальным скоростям и скороподъемности не отвечали ТУ.</w:t>
      </w:r>
    </w:p>
    <w:p w14:paraId="391B6937" w14:textId="77777777" w:rsidR="000E7D6A" w:rsidRPr="00925F26" w:rsidRDefault="000E7D6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свете принятых на совещании решений НКАП и ВВС был подготовлен и выпущен ряд распоряжений и приказов.</w:t>
      </w:r>
    </w:p>
    <w:p w14:paraId="6BA03FBD"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Тем временем начальник 1-го отдела ГУ ИАС ВВС инженер-полковник Подлесецкий в очередном докладе заместителю главного инженера ВВС КА генерал-лейтенанту Лапину по состоянию дел с освоением самолета Ил-10 в серийном производстве «забил тревогу».</w:t>
      </w:r>
    </w:p>
    <w:p w14:paraId="7DBA30EA"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Согласно протоколу совещания у заместителя наркома авиапромышленности Кузнецова от 15 января 1945 г. заводы № 1 и № 18 должны были не позже 25 февраля передать в ГК НИИ ВВС для испытаний по одному серийному Ил-10 выпуска января. Одновременно Ильюшин обязывался к 1 апреля предъявить на государственные испытания опытный Ил-10 (прошедший государственные испытания) с внесенными в него изменениями по перечню основных дефектов и недостатков, утвержденному ВВС и НКАП 11 июля 1944 года.</w:t>
      </w:r>
    </w:p>
    <w:p w14:paraId="6AF37991"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Однако по состоянию на 10 апреля ни один серийный Ил-10 на контрольные испытания не поступил, а опытный Ил-10 все еще находился на заводе № 240, и работа по его доводке была далека от завершения.</w:t>
      </w:r>
    </w:p>
    <w:p w14:paraId="198B938F"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Несмотря на неоднократные обращения Подлесецкого «в УЗСиМ ГУЗ ВВС КА по вопросу срочной отправки самолетов Ил-10 и УИл-10 в ГК НИИ ВВС на контрольные испытания», этот вопрос не разрешается: «Начиная с февраля месяца 1945 г. УЗСиМ объясняет невозможность передачи самолетов Ил-10 на контрольные испытания в НИИ ВВС отсутствием летной погоды. На мои предложения отправить самолеты эшелоном заявляют, что им не дают вагонов».</w:t>
      </w:r>
    </w:p>
    <w:p w14:paraId="1AA88D5F"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Между тем «в серию внедрено большое количество изменений и доработок по устранению дефектов, выявленных при эксплуатации само летов в воинских частях», которые до сих пор «не испытаны и оценки ГК НИИ ВВС не имеют».</w:t>
      </w:r>
    </w:p>
    <w:p w14:paraId="4F4446BC"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Из доклада Подлесецкого следовало, что из всех запланированных доработок самолета Ил -10 ОКБ-240 Ильюшина и заводами № 1 и № 18 к 11 апреля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925F26">
        <w:rPr>
          <w:rStyle w:val="107"/>
          <w:rFonts w:eastAsiaTheme="minorHAnsi"/>
          <w:color w:val="000000" w:themeColor="text1"/>
          <w:sz w:val="16"/>
          <w:szCs w:val="16"/>
          <w:vertAlign w:val="subscript"/>
        </w:rPr>
        <w:t>2</w:t>
      </w:r>
      <w:r w:rsidRPr="00925F26">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095A703E"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6D90BB1C" w14:textId="77777777" w:rsidR="000E7D6A" w:rsidRPr="00925F26" w:rsidRDefault="000E7D6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6467110A" w14:textId="77777777" w:rsidR="000E7D6A" w:rsidRPr="00925F26" w:rsidRDefault="000E7D6A" w:rsidP="00925F26">
      <w:pPr>
        <w:jc w:val="both"/>
        <w:rPr>
          <w:color w:val="000000" w:themeColor="text1"/>
          <w:sz w:val="16"/>
          <w:szCs w:val="16"/>
        </w:rPr>
      </w:pPr>
    </w:p>
    <w:p w14:paraId="61058D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15 января по 15 февраля 1945 состоялся второй этап войсковых испытаний Як-9К с ВК-105ПФ и ВИШ-62П диаметром 3.0 м и с НС-45 в 274 иап 278 иад и 812 иап 65 иад на 1-м Белорусском. Летало 44 машины и налетали 402:03 выполнив 51 воздушный бой (65,131).</w:t>
      </w:r>
    </w:p>
    <w:p w14:paraId="2D1E54F5" w14:textId="77777777" w:rsidR="00C2313B" w:rsidRPr="00925F26" w:rsidRDefault="00C2313B" w:rsidP="00925F26">
      <w:pPr>
        <w:autoSpaceDE w:val="0"/>
        <w:autoSpaceDN w:val="0"/>
        <w:adjustRightInd w:val="0"/>
        <w:jc w:val="both"/>
        <w:rPr>
          <w:color w:val="000000" w:themeColor="text1"/>
          <w:sz w:val="16"/>
          <w:szCs w:val="16"/>
        </w:rPr>
      </w:pPr>
    </w:p>
    <w:p w14:paraId="7FAE00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15 по 24 января 1945 истребитель Як-3Т, которный выкатили на аэродром 8 января 1945 года,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14917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925F26">
        <w:rPr>
          <w:color w:val="000000" w:themeColor="text1"/>
          <w:sz w:val="16"/>
          <w:szCs w:val="16"/>
        </w:rPr>
        <w:t>че- тырех</w:t>
      </w:r>
      <w:proofErr w:type="gramEnd"/>
      <w:r w:rsidRPr="00925F26">
        <w:rPr>
          <w:color w:val="000000" w:themeColor="text1"/>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7C2438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14A3AB9A" w14:textId="77777777" w:rsidR="00C2313B" w:rsidRPr="00925F26" w:rsidRDefault="00C2313B" w:rsidP="00925F26">
      <w:pPr>
        <w:autoSpaceDE w:val="0"/>
        <w:autoSpaceDN w:val="0"/>
        <w:adjustRightInd w:val="0"/>
        <w:jc w:val="both"/>
        <w:rPr>
          <w:color w:val="000000" w:themeColor="text1"/>
          <w:sz w:val="16"/>
          <w:szCs w:val="16"/>
        </w:rPr>
      </w:pPr>
    </w:p>
    <w:p w14:paraId="4B6320B7" w14:textId="77777777" w:rsidR="008C4451" w:rsidRPr="001A0BAA" w:rsidRDefault="008C4451" w:rsidP="008C4451">
      <w:pPr>
        <w:jc w:val="both"/>
        <w:rPr>
          <w:color w:val="0070C0"/>
          <w:sz w:val="16"/>
          <w:szCs w:val="16"/>
        </w:rPr>
      </w:pPr>
      <w:r w:rsidRPr="001A0BAA">
        <w:rPr>
          <w:color w:val="0070C0"/>
          <w:sz w:val="16"/>
          <w:szCs w:val="16"/>
        </w:rPr>
        <w:t>С 15 янва</w:t>
      </w:r>
      <w:r w:rsidRPr="001A0BAA">
        <w:rPr>
          <w:color w:val="0070C0"/>
          <w:sz w:val="16"/>
          <w:szCs w:val="16"/>
        </w:rPr>
        <w:softHyphen/>
        <w:t>ря по 15 февраля 1945 г. на 2-м Белорусском фронте проходил 2-й этап войсковых испытаний 44 самолетов из 53 Як-9Т (Як-9К), построенных в апреле-июне 1944 г. (первый этап в войсковых испытани</w:t>
      </w:r>
      <w:r w:rsidRPr="001A0BAA">
        <w:rPr>
          <w:color w:val="0070C0"/>
          <w:sz w:val="16"/>
          <w:szCs w:val="16"/>
        </w:rPr>
        <w:softHyphen/>
        <w:t xml:space="preserve">й был на 3-м Белорусском фронте с 13 августа по 18 сентября 1944 г.). </w:t>
      </w:r>
    </w:p>
    <w:p w14:paraId="34EAFC33" w14:textId="77777777" w:rsidR="008C4451" w:rsidRPr="001A0BAA" w:rsidRDefault="008C4451" w:rsidP="008C4451">
      <w:pPr>
        <w:jc w:val="both"/>
        <w:rPr>
          <w:color w:val="0070C0"/>
          <w:sz w:val="16"/>
          <w:szCs w:val="16"/>
        </w:rPr>
      </w:pPr>
      <w:r w:rsidRPr="001A0BAA">
        <w:rPr>
          <w:color w:val="0070C0"/>
          <w:sz w:val="16"/>
          <w:szCs w:val="16"/>
        </w:rPr>
        <w:t>Испытания проходили в 15, 43, 274 и 812 иап 3-го иак.</w:t>
      </w:r>
    </w:p>
    <w:p w14:paraId="35DA03B3" w14:textId="77777777" w:rsidR="008C4451" w:rsidRPr="001A0BAA" w:rsidRDefault="008C4451" w:rsidP="008C4451">
      <w:pPr>
        <w:jc w:val="both"/>
        <w:rPr>
          <w:color w:val="0070C0"/>
          <w:sz w:val="16"/>
          <w:szCs w:val="16"/>
        </w:rPr>
      </w:pPr>
      <w:r w:rsidRPr="001A0BAA">
        <w:rPr>
          <w:color w:val="0070C0"/>
          <w:sz w:val="16"/>
          <w:szCs w:val="16"/>
        </w:rPr>
        <w:t>Большая часть вылетов Як-9К пришлась на сопровождение штурмовиков Ил-2 и бом</w:t>
      </w:r>
      <w:r w:rsidRPr="001A0BAA">
        <w:rPr>
          <w:color w:val="0070C0"/>
          <w:sz w:val="16"/>
          <w:szCs w:val="16"/>
        </w:rPr>
        <w:softHyphen/>
        <w:t>бардировщиков Пе-2 - 41%, на перехват са</w:t>
      </w:r>
      <w:r w:rsidRPr="001A0BAA">
        <w:rPr>
          <w:color w:val="0070C0"/>
          <w:sz w:val="16"/>
          <w:szCs w:val="16"/>
        </w:rPr>
        <w:softHyphen/>
        <w:t>молетов противника - 2%, на прикрытие войск - 16%, на разведку - 7%, на свобод</w:t>
      </w:r>
      <w:r w:rsidRPr="001A0BAA">
        <w:rPr>
          <w:color w:val="0070C0"/>
          <w:sz w:val="16"/>
          <w:szCs w:val="16"/>
        </w:rPr>
        <w:softHyphen/>
        <w:t>ную «охоту» - 7% и штурмовые действия - 27% всех вылетов. Всего учли 340 самолето</w:t>
      </w:r>
      <w:r w:rsidRPr="001A0BAA">
        <w:rPr>
          <w:color w:val="0070C0"/>
          <w:sz w:val="16"/>
          <w:szCs w:val="16"/>
        </w:rPr>
        <w:softHyphen/>
        <w:t xml:space="preserve">вылетов и 51 воздушный бой. Встреч </w:t>
      </w:r>
      <w:r w:rsidRPr="001A0BAA">
        <w:rPr>
          <w:color w:val="0070C0"/>
          <w:sz w:val="16"/>
          <w:szCs w:val="16"/>
        </w:rPr>
        <w:lastRenderedPageBreak/>
        <w:t>с не</w:t>
      </w:r>
      <w:r w:rsidRPr="001A0BAA">
        <w:rPr>
          <w:color w:val="0070C0"/>
          <w:sz w:val="16"/>
          <w:szCs w:val="16"/>
        </w:rPr>
        <w:softHyphen/>
        <w:t>мецкими бомбардировщиками не было. Было сбито 12 истребителей противника (восемь Fw190A-8 и четыре Bf109G-6) при потере од</w:t>
      </w:r>
      <w:r w:rsidRPr="001A0BAA">
        <w:rPr>
          <w:color w:val="0070C0"/>
          <w:sz w:val="16"/>
          <w:szCs w:val="16"/>
        </w:rPr>
        <w:softHyphen/>
        <w:t>ного Як-9К. Воздушные бои проходили на вы</w:t>
      </w:r>
      <w:r w:rsidRPr="001A0BAA">
        <w:rPr>
          <w:color w:val="0070C0"/>
          <w:sz w:val="16"/>
          <w:szCs w:val="16"/>
        </w:rPr>
        <w:softHyphen/>
        <w:t>сотах от 100 до 6000 м. Средний расход бое</w:t>
      </w:r>
      <w:r w:rsidRPr="001A0BAA">
        <w:rPr>
          <w:color w:val="0070C0"/>
          <w:sz w:val="16"/>
          <w:szCs w:val="16"/>
        </w:rPr>
        <w:softHyphen/>
        <w:t>комплекта к пушке МП-45 на один сбитый са</w:t>
      </w:r>
      <w:r w:rsidRPr="001A0BAA">
        <w:rPr>
          <w:color w:val="0070C0"/>
          <w:sz w:val="16"/>
          <w:szCs w:val="16"/>
        </w:rPr>
        <w:softHyphen/>
        <w:t>молет противника составил 10 снарядов. Ата</w:t>
      </w:r>
      <w:r w:rsidRPr="001A0BAA">
        <w:rPr>
          <w:color w:val="0070C0"/>
          <w:sz w:val="16"/>
          <w:szCs w:val="16"/>
        </w:rPr>
        <w:softHyphen/>
        <w:t>ки выполнялись с ракурсов 0/4, 1/4 и 2/4. Стрельба велась с дистанции 400-100 м. По</w:t>
      </w:r>
      <w:r w:rsidRPr="001A0BAA">
        <w:rPr>
          <w:color w:val="0070C0"/>
          <w:sz w:val="16"/>
          <w:szCs w:val="16"/>
        </w:rPr>
        <w:softHyphen/>
        <w:t>падание одного снаряда в самолет приводило к его уничтожению.</w:t>
      </w:r>
    </w:p>
    <w:p w14:paraId="07CCB556" w14:textId="77777777" w:rsidR="008C4451" w:rsidRPr="001A0BAA" w:rsidRDefault="008C4451" w:rsidP="008C4451">
      <w:pPr>
        <w:jc w:val="both"/>
        <w:rPr>
          <w:color w:val="0070C0"/>
          <w:sz w:val="16"/>
          <w:szCs w:val="16"/>
        </w:rPr>
      </w:pPr>
      <w:r w:rsidRPr="001A0BAA">
        <w:rPr>
          <w:color w:val="0070C0"/>
          <w:sz w:val="16"/>
          <w:szCs w:val="16"/>
        </w:rPr>
        <w:t>При штурмовых действиях самолетами Як-9К были уничтожены и выведены из строя шесть самолетов противника на аэродромах, 129 автомашин, паровоз, семь вагонов с груза</w:t>
      </w:r>
      <w:r w:rsidRPr="001A0BAA">
        <w:rPr>
          <w:color w:val="0070C0"/>
          <w:sz w:val="16"/>
          <w:szCs w:val="16"/>
        </w:rPr>
        <w:softHyphen/>
        <w:t>ми, около 80 повозок. При этом попадание од</w:t>
      </w:r>
      <w:r w:rsidRPr="001A0BAA">
        <w:rPr>
          <w:color w:val="0070C0"/>
          <w:sz w:val="16"/>
          <w:szCs w:val="16"/>
        </w:rPr>
        <w:softHyphen/>
        <w:t>ного снаряда разрушало и поджигало само</w:t>
      </w:r>
      <w:r w:rsidRPr="001A0BAA">
        <w:rPr>
          <w:color w:val="0070C0"/>
          <w:sz w:val="16"/>
          <w:szCs w:val="16"/>
        </w:rPr>
        <w:softHyphen/>
        <w:t>лет, автомашину, уничтожало деревянные стро</w:t>
      </w:r>
      <w:r w:rsidRPr="001A0BAA">
        <w:rPr>
          <w:color w:val="0070C0"/>
          <w:sz w:val="16"/>
          <w:szCs w:val="16"/>
        </w:rPr>
        <w:softHyphen/>
        <w:t>ения. При попадании снаряда в котел парово</w:t>
      </w:r>
      <w:r w:rsidRPr="001A0BAA">
        <w:rPr>
          <w:color w:val="0070C0"/>
          <w:sz w:val="16"/>
          <w:szCs w:val="16"/>
        </w:rPr>
        <w:softHyphen/>
        <w:t>за последний выходил из строя и прекращал движение. Эффективность действия по танкам и другим бронированным целям не проверя</w:t>
      </w:r>
      <w:r w:rsidRPr="001A0BAA">
        <w:rPr>
          <w:color w:val="0070C0"/>
          <w:sz w:val="16"/>
          <w:szCs w:val="16"/>
        </w:rPr>
        <w:softHyphen/>
        <w:t>лась ввиду отсутствия бронебойных снарядов.</w:t>
      </w:r>
    </w:p>
    <w:p w14:paraId="53554669" w14:textId="77777777" w:rsidR="008C4451" w:rsidRPr="001A0BAA" w:rsidRDefault="008C4451" w:rsidP="008C4451">
      <w:pPr>
        <w:jc w:val="both"/>
        <w:rPr>
          <w:color w:val="0070C0"/>
          <w:sz w:val="16"/>
          <w:szCs w:val="16"/>
        </w:rPr>
      </w:pPr>
      <w:r w:rsidRPr="001A0BAA">
        <w:rPr>
          <w:color w:val="0070C0"/>
          <w:sz w:val="16"/>
          <w:szCs w:val="16"/>
        </w:rPr>
        <w:t>Атака наземных целей выполнялась с вы</w:t>
      </w:r>
      <w:r w:rsidRPr="001A0BAA">
        <w:rPr>
          <w:color w:val="0070C0"/>
          <w:sz w:val="16"/>
          <w:szCs w:val="16"/>
        </w:rPr>
        <w:softHyphen/>
        <w:t>соты 1000-1500 м с пикирования под углом 30-60°. Дистанция открытия огня - 700</w:t>
      </w:r>
      <w:r w:rsidRPr="001A0BAA">
        <w:rPr>
          <w:color w:val="0070C0"/>
          <w:sz w:val="16"/>
          <w:szCs w:val="16"/>
        </w:rPr>
        <w:softHyphen/>
        <w:t>1000 м. Высота выхода в горизонтальный по</w:t>
      </w:r>
      <w:r w:rsidRPr="001A0BAA">
        <w:rPr>
          <w:color w:val="0070C0"/>
          <w:sz w:val="16"/>
          <w:szCs w:val="16"/>
        </w:rPr>
        <w:softHyphen/>
        <w:t>лет - от 150 м до бреющего.</w:t>
      </w:r>
    </w:p>
    <w:p w14:paraId="097AFD65" w14:textId="77777777" w:rsidR="008C4451" w:rsidRPr="001A0BAA" w:rsidRDefault="008C4451" w:rsidP="008C4451">
      <w:pPr>
        <w:jc w:val="both"/>
        <w:rPr>
          <w:color w:val="0070C0"/>
          <w:sz w:val="16"/>
          <w:szCs w:val="16"/>
        </w:rPr>
      </w:pPr>
      <w:r w:rsidRPr="001A0BAA">
        <w:rPr>
          <w:color w:val="0070C0"/>
          <w:sz w:val="16"/>
          <w:szCs w:val="16"/>
        </w:rPr>
        <w:t>Из-за сильной отдачи пушки МП-45 при</w:t>
      </w:r>
      <w:r w:rsidRPr="001A0BAA">
        <w:rPr>
          <w:color w:val="0070C0"/>
          <w:sz w:val="16"/>
          <w:szCs w:val="16"/>
        </w:rPr>
        <w:softHyphen/>
        <w:t>цельным получался только первый выстрел. При очереди в 3-4 снаряда самолет терял скорость и раскачивался. Поэтому стрельбу из МП-45 следовало вести на скорости не ме</w:t>
      </w:r>
      <w:r w:rsidRPr="001A0BAA">
        <w:rPr>
          <w:color w:val="0070C0"/>
          <w:sz w:val="16"/>
          <w:szCs w:val="16"/>
        </w:rPr>
        <w:softHyphen/>
        <w:t>нее 400 км/ч и только короткими очередя</w:t>
      </w:r>
      <w:r w:rsidRPr="001A0BAA">
        <w:rPr>
          <w:color w:val="0070C0"/>
          <w:sz w:val="16"/>
          <w:szCs w:val="16"/>
        </w:rPr>
        <w:softHyphen/>
        <w:t>ми (не более 2-3 выстрелов), что накладыва</w:t>
      </w:r>
      <w:r w:rsidRPr="001A0BAA">
        <w:rPr>
          <w:color w:val="0070C0"/>
          <w:sz w:val="16"/>
          <w:szCs w:val="16"/>
        </w:rPr>
        <w:softHyphen/>
        <w:t>ло высокие требования к летной и стрелко</w:t>
      </w:r>
      <w:r w:rsidRPr="001A0BAA">
        <w:rPr>
          <w:color w:val="0070C0"/>
          <w:sz w:val="16"/>
          <w:szCs w:val="16"/>
        </w:rPr>
        <w:softHyphen/>
        <w:t>вой подготовке летчиков. В самом начале вой</w:t>
      </w:r>
      <w:r w:rsidRPr="001A0BAA">
        <w:rPr>
          <w:color w:val="0070C0"/>
          <w:sz w:val="16"/>
          <w:szCs w:val="16"/>
        </w:rPr>
        <w:softHyphen/>
        <w:t>сковых испытаний имели место шесть отказов МП-45 (в 54 боевых вылетах).</w:t>
      </w:r>
    </w:p>
    <w:p w14:paraId="4E57B799" w14:textId="77777777" w:rsidR="008C4451" w:rsidRPr="001A0BAA" w:rsidRDefault="008C4451" w:rsidP="008C4451">
      <w:pPr>
        <w:jc w:val="both"/>
        <w:rPr>
          <w:color w:val="0070C0"/>
          <w:sz w:val="16"/>
          <w:szCs w:val="16"/>
        </w:rPr>
      </w:pPr>
      <w:r w:rsidRPr="001A0BAA">
        <w:rPr>
          <w:color w:val="0070C0"/>
          <w:sz w:val="16"/>
          <w:szCs w:val="16"/>
        </w:rPr>
        <w:t>В большинстве случаев Як-9К были веду</w:t>
      </w:r>
      <w:r w:rsidRPr="001A0BAA">
        <w:rPr>
          <w:color w:val="0070C0"/>
          <w:sz w:val="16"/>
          <w:szCs w:val="16"/>
        </w:rPr>
        <w:softHyphen/>
        <w:t xml:space="preserve">щими пар, а ведомыми - более легкие Як-1, Як-3 или Як-9. Практиковались вылеты двумя парами - одна пара ударная на Як-9К, вторая - прикрытия или сковывающая пара на обычных «яках». При этом второй вариант предлагалось </w:t>
      </w:r>
      <w:r w:rsidRPr="001A0BAA">
        <w:rPr>
          <w:i/>
          <w:iCs/>
          <w:color w:val="0070C0"/>
          <w:sz w:val="16"/>
          <w:szCs w:val="16"/>
        </w:rPr>
        <w:t>«считать более правильным».</w:t>
      </w:r>
      <w:r w:rsidRPr="001A0BAA">
        <w:rPr>
          <w:color w:val="0070C0"/>
          <w:sz w:val="16"/>
          <w:szCs w:val="16"/>
        </w:rPr>
        <w:t xml:space="preserve"> С учетом этого рекомендовалось иметь в истребительных ави</w:t>
      </w:r>
      <w:r w:rsidRPr="001A0BAA">
        <w:rPr>
          <w:color w:val="0070C0"/>
          <w:sz w:val="16"/>
          <w:szCs w:val="16"/>
        </w:rPr>
        <w:softHyphen/>
        <w:t>адивизиях 50% Як-3 и 50% Як-9К в двух пол</w:t>
      </w:r>
      <w:r w:rsidRPr="001A0BAA">
        <w:rPr>
          <w:color w:val="0070C0"/>
          <w:sz w:val="16"/>
          <w:szCs w:val="16"/>
        </w:rPr>
        <w:softHyphen/>
        <w:t>ках и один полк на Як-3 целиком.</w:t>
      </w:r>
    </w:p>
    <w:p w14:paraId="162B535C" w14:textId="77777777" w:rsidR="008C4451" w:rsidRPr="001A0BAA" w:rsidRDefault="008C4451" w:rsidP="008C4451">
      <w:pPr>
        <w:jc w:val="both"/>
        <w:rPr>
          <w:color w:val="0070C0"/>
          <w:sz w:val="16"/>
          <w:szCs w:val="16"/>
        </w:rPr>
      </w:pPr>
      <w:r w:rsidRPr="001A0BAA">
        <w:rPr>
          <w:color w:val="0070C0"/>
          <w:sz w:val="16"/>
          <w:szCs w:val="16"/>
        </w:rPr>
        <w:t xml:space="preserve">Отмечалось, что Як-9К </w:t>
      </w:r>
      <w:proofErr w:type="gramStart"/>
      <w:r w:rsidRPr="001A0BAA">
        <w:rPr>
          <w:color w:val="0070C0"/>
          <w:sz w:val="16"/>
          <w:szCs w:val="16"/>
        </w:rPr>
        <w:t>по своему</w:t>
      </w:r>
      <w:proofErr w:type="gramEnd"/>
      <w:r w:rsidRPr="001A0BAA">
        <w:rPr>
          <w:color w:val="0070C0"/>
          <w:sz w:val="16"/>
          <w:szCs w:val="16"/>
        </w:rPr>
        <w:t xml:space="preserve"> воо</w:t>
      </w:r>
      <w:r w:rsidRPr="001A0BAA">
        <w:rPr>
          <w:color w:val="0070C0"/>
          <w:sz w:val="16"/>
          <w:szCs w:val="16"/>
        </w:rPr>
        <w:softHyphen/>
        <w:t>ружению предназначен для борьбы с бом</w:t>
      </w:r>
      <w:r w:rsidRPr="001A0BAA">
        <w:rPr>
          <w:color w:val="0070C0"/>
          <w:sz w:val="16"/>
          <w:szCs w:val="16"/>
        </w:rPr>
        <w:softHyphen/>
        <w:t>бардировщиками, блокировки аэродромов и штурмовых действий, т.е. для активных на</w:t>
      </w:r>
      <w:r w:rsidRPr="001A0BAA">
        <w:rPr>
          <w:color w:val="0070C0"/>
          <w:sz w:val="16"/>
          <w:szCs w:val="16"/>
        </w:rPr>
        <w:softHyphen/>
        <w:t>ступательных действий, но по условиям боев применялся главным образом для сопрово</w:t>
      </w:r>
      <w:r w:rsidRPr="001A0BAA">
        <w:rPr>
          <w:color w:val="0070C0"/>
          <w:sz w:val="16"/>
          <w:szCs w:val="16"/>
        </w:rPr>
        <w:softHyphen/>
        <w:t>ждения своих самолетов, т.е. как оборонитель</w:t>
      </w:r>
      <w:r w:rsidRPr="001A0BAA">
        <w:rPr>
          <w:color w:val="0070C0"/>
          <w:sz w:val="16"/>
          <w:szCs w:val="16"/>
        </w:rPr>
        <w:softHyphen/>
        <w:t>ное средство. С задачей сопровождения Як-9К в целом справлялся, но для воздушного боя с истребителями оказался малопригоден из-за недостаточного темпа стрельбы МП-45, огра</w:t>
      </w:r>
      <w:r w:rsidRPr="001A0BAA">
        <w:rPr>
          <w:color w:val="0070C0"/>
          <w:sz w:val="16"/>
          <w:szCs w:val="16"/>
        </w:rPr>
        <w:softHyphen/>
        <w:t>ниченного боекомплекта (28 патронов) и не</w:t>
      </w:r>
      <w:r w:rsidRPr="001A0BAA">
        <w:rPr>
          <w:color w:val="0070C0"/>
          <w:sz w:val="16"/>
          <w:szCs w:val="16"/>
        </w:rPr>
        <w:softHyphen/>
        <w:t xml:space="preserve">высоких летных данных. Летчики на Як-9К вполне успешно вели воздушные бои с Fw190A-8 на всех высотах, а с Bf109G-6 - только до высоты 3000 м, на большей высоте Як-9К </w:t>
      </w:r>
      <w:r w:rsidRPr="001A0BAA">
        <w:rPr>
          <w:i/>
          <w:iCs/>
          <w:color w:val="0070C0"/>
          <w:sz w:val="16"/>
          <w:szCs w:val="16"/>
        </w:rPr>
        <w:t>«отстает в вертикальном маневре».</w:t>
      </w:r>
    </w:p>
    <w:p w14:paraId="17299DAE" w14:textId="77777777" w:rsidR="008C4451" w:rsidRPr="001A0BAA" w:rsidRDefault="008C4451" w:rsidP="008C4451">
      <w:pPr>
        <w:jc w:val="both"/>
        <w:rPr>
          <w:color w:val="0070C0"/>
          <w:sz w:val="16"/>
          <w:szCs w:val="16"/>
        </w:rPr>
      </w:pPr>
      <w:r w:rsidRPr="001A0BAA">
        <w:rPr>
          <w:color w:val="0070C0"/>
          <w:sz w:val="16"/>
          <w:szCs w:val="16"/>
        </w:rPr>
        <w:t>И главное, в ходе испытаний столкнулись с таким массовым дефектом, как течь масла из переднего и заднего уплотнения вала ре</w:t>
      </w:r>
      <w:r w:rsidRPr="001A0BAA">
        <w:rPr>
          <w:color w:val="0070C0"/>
          <w:sz w:val="16"/>
          <w:szCs w:val="16"/>
        </w:rPr>
        <w:softHyphen/>
        <w:t>дуктора мотора. Вытекающее масло забрыз</w:t>
      </w:r>
      <w:r w:rsidRPr="001A0BAA">
        <w:rPr>
          <w:color w:val="0070C0"/>
          <w:sz w:val="16"/>
          <w:szCs w:val="16"/>
        </w:rPr>
        <w:softHyphen/>
        <w:t>гивало козырек, и летчик становился «сле</w:t>
      </w:r>
      <w:r w:rsidRPr="001A0BAA">
        <w:rPr>
          <w:color w:val="0070C0"/>
          <w:sz w:val="16"/>
          <w:szCs w:val="16"/>
        </w:rPr>
        <w:softHyphen/>
        <w:t>пым». Всего произошло 17 случаев течи масла на десяти Як-9К. Течь масла появлялась уже через 10-20 ч эксплуатации.</w:t>
      </w:r>
    </w:p>
    <w:p w14:paraId="3292EAF6" w14:textId="77777777" w:rsidR="008C4451" w:rsidRPr="001A0BAA" w:rsidRDefault="008C4451" w:rsidP="008C4451">
      <w:pPr>
        <w:jc w:val="both"/>
        <w:rPr>
          <w:color w:val="0070C0"/>
          <w:sz w:val="16"/>
          <w:szCs w:val="16"/>
        </w:rPr>
      </w:pPr>
      <w:r w:rsidRPr="001A0BAA">
        <w:rPr>
          <w:color w:val="0070C0"/>
          <w:sz w:val="16"/>
          <w:szCs w:val="16"/>
        </w:rPr>
        <w:t>Как выяснилось, течь образовывалась из-за отсутствия зазора между стволом пуш</w:t>
      </w:r>
      <w:r w:rsidRPr="001A0BAA">
        <w:rPr>
          <w:color w:val="0070C0"/>
          <w:sz w:val="16"/>
          <w:szCs w:val="16"/>
        </w:rPr>
        <w:softHyphen/>
        <w:t>ки МП-45 и валом редуктора мотора. Необ</w:t>
      </w:r>
      <w:r w:rsidRPr="001A0BAA">
        <w:rPr>
          <w:color w:val="0070C0"/>
          <w:sz w:val="16"/>
          <w:szCs w:val="16"/>
        </w:rPr>
        <w:softHyphen/>
        <w:t>ходимый для нормальной работы конструк</w:t>
      </w:r>
      <w:r w:rsidRPr="001A0BAA">
        <w:rPr>
          <w:color w:val="0070C0"/>
          <w:sz w:val="16"/>
          <w:szCs w:val="16"/>
        </w:rPr>
        <w:softHyphen/>
        <w:t>тивный зазор в 0,75 мм при серийном про</w:t>
      </w:r>
      <w:r w:rsidRPr="001A0BAA">
        <w:rPr>
          <w:color w:val="0070C0"/>
          <w:sz w:val="16"/>
          <w:szCs w:val="16"/>
        </w:rPr>
        <w:softHyphen/>
        <w:t>изводстве не обеспечивался принятой на за</w:t>
      </w:r>
      <w:r w:rsidRPr="001A0BAA">
        <w:rPr>
          <w:color w:val="0070C0"/>
          <w:sz w:val="16"/>
          <w:szCs w:val="16"/>
        </w:rPr>
        <w:softHyphen/>
        <w:t>водах системой допусков на изготовление вала редуктора и ствола пушки. Так, труба маслопровода в вале редуктора имела до</w:t>
      </w:r>
      <w:r w:rsidRPr="001A0BAA">
        <w:rPr>
          <w:color w:val="0070C0"/>
          <w:sz w:val="16"/>
          <w:szCs w:val="16"/>
        </w:rPr>
        <w:softHyphen/>
        <w:t>пуск на разностенность 0,5 мм, что давало ее смещение от оси вала на 0,25 мм, и до</w:t>
      </w:r>
      <w:r w:rsidRPr="001A0BAA">
        <w:rPr>
          <w:color w:val="0070C0"/>
          <w:sz w:val="16"/>
          <w:szCs w:val="16"/>
        </w:rPr>
        <w:softHyphen/>
        <w:t>пуск на прогиб в 0,5 мм. В сумме получа</w:t>
      </w:r>
      <w:r w:rsidRPr="001A0BAA">
        <w:rPr>
          <w:color w:val="0070C0"/>
          <w:sz w:val="16"/>
          <w:szCs w:val="16"/>
        </w:rPr>
        <w:softHyphen/>
        <w:t>лось 0,75 мм, т.е. зазор между стволом пуш</w:t>
      </w:r>
      <w:r w:rsidRPr="001A0BAA">
        <w:rPr>
          <w:color w:val="0070C0"/>
          <w:sz w:val="16"/>
          <w:szCs w:val="16"/>
        </w:rPr>
        <w:softHyphen/>
        <w:t xml:space="preserve">ки и валом редуктора был </w:t>
      </w:r>
      <w:r w:rsidRPr="001A0BAA">
        <w:rPr>
          <w:i/>
          <w:iCs/>
          <w:color w:val="0070C0"/>
          <w:sz w:val="16"/>
          <w:szCs w:val="16"/>
        </w:rPr>
        <w:t>«уже полностью выбран».</w:t>
      </w:r>
      <w:r w:rsidRPr="001A0BAA">
        <w:rPr>
          <w:color w:val="0070C0"/>
          <w:sz w:val="16"/>
          <w:szCs w:val="16"/>
        </w:rPr>
        <w:t xml:space="preserve"> Если к этому добавить еще зазо</w:t>
      </w:r>
      <w:r w:rsidRPr="001A0BAA">
        <w:rPr>
          <w:color w:val="0070C0"/>
          <w:sz w:val="16"/>
          <w:szCs w:val="16"/>
        </w:rPr>
        <w:softHyphen/>
        <w:t xml:space="preserve">ры между стволом пушки и центрирующими кольцами, то </w:t>
      </w:r>
      <w:r w:rsidRPr="001A0BAA">
        <w:rPr>
          <w:i/>
          <w:iCs/>
          <w:color w:val="0070C0"/>
          <w:sz w:val="16"/>
          <w:szCs w:val="16"/>
        </w:rPr>
        <w:t>«касание ствола пушки о вал ре</w:t>
      </w:r>
      <w:r w:rsidRPr="001A0BAA">
        <w:rPr>
          <w:i/>
          <w:iCs/>
          <w:color w:val="0070C0"/>
          <w:sz w:val="16"/>
          <w:szCs w:val="16"/>
        </w:rPr>
        <w:softHyphen/>
        <w:t>дуктора мотора неизбежно».</w:t>
      </w:r>
      <w:r w:rsidRPr="001A0BAA">
        <w:rPr>
          <w:color w:val="0070C0"/>
          <w:sz w:val="16"/>
          <w:szCs w:val="16"/>
        </w:rPr>
        <w:t xml:space="preserve"> К тому же ствол пушки при стрельбе и работе мотора сам немного вибрировал и иногда касался вала редуктора. Как следствие, уплотнители вала редуктора выходили из </w:t>
      </w:r>
      <w:proofErr w:type="gramStart"/>
      <w:r w:rsidRPr="001A0BAA">
        <w:rPr>
          <w:color w:val="0070C0"/>
          <w:sz w:val="16"/>
          <w:szCs w:val="16"/>
        </w:rPr>
        <w:t>строя</w:t>
      </w:r>
      <w:proofErr w:type="gramEnd"/>
      <w:r w:rsidRPr="001A0BAA">
        <w:rPr>
          <w:color w:val="0070C0"/>
          <w:sz w:val="16"/>
          <w:szCs w:val="16"/>
        </w:rPr>
        <w:t xml:space="preserve"> При этом если течь масла из заднего уплотнения удавалось устранить путем заме</w:t>
      </w:r>
      <w:r w:rsidRPr="001A0BAA">
        <w:rPr>
          <w:color w:val="0070C0"/>
          <w:sz w:val="16"/>
          <w:szCs w:val="16"/>
        </w:rPr>
        <w:softHyphen/>
        <w:t>ны самих уплотнителей, то течь из передне</w:t>
      </w:r>
      <w:r w:rsidRPr="001A0BAA">
        <w:rPr>
          <w:color w:val="0070C0"/>
          <w:sz w:val="16"/>
          <w:szCs w:val="16"/>
        </w:rPr>
        <w:softHyphen/>
        <w:t>го уплотнения устранялась только заменой са</w:t>
      </w:r>
      <w:r w:rsidRPr="001A0BAA">
        <w:rPr>
          <w:color w:val="0070C0"/>
          <w:sz w:val="16"/>
          <w:szCs w:val="16"/>
        </w:rPr>
        <w:softHyphen/>
        <w:t>мого вала редуктора мотора, что в услови</w:t>
      </w:r>
      <w:r w:rsidRPr="001A0BAA">
        <w:rPr>
          <w:color w:val="0070C0"/>
          <w:sz w:val="16"/>
          <w:szCs w:val="16"/>
        </w:rPr>
        <w:softHyphen/>
        <w:t>ях фронта требовало значительных усилий и времени. Более того, после ремонта течь ма</w:t>
      </w:r>
      <w:r w:rsidRPr="001A0BAA">
        <w:rPr>
          <w:color w:val="0070C0"/>
          <w:sz w:val="16"/>
          <w:szCs w:val="16"/>
        </w:rPr>
        <w:softHyphen/>
        <w:t>сла из заднего уплотнения возобновлялась после 20-30 ч эксплуатации, а из переднего уплотнения - уже через 2-7 ч.</w:t>
      </w:r>
    </w:p>
    <w:p w14:paraId="494CB589" w14:textId="77777777" w:rsidR="008C4451" w:rsidRPr="001A0BAA" w:rsidRDefault="008C4451" w:rsidP="008C4451">
      <w:pPr>
        <w:jc w:val="both"/>
        <w:rPr>
          <w:color w:val="0070C0"/>
          <w:sz w:val="16"/>
          <w:szCs w:val="16"/>
        </w:rPr>
      </w:pPr>
      <w:r w:rsidRPr="001A0BAA">
        <w:rPr>
          <w:color w:val="0070C0"/>
          <w:sz w:val="16"/>
          <w:szCs w:val="16"/>
        </w:rPr>
        <w:t>Получалось так, что винтомоторную группу с мотор-пушкой калибра 45 мм можно было нормально эксплуатировать лишь при реа</w:t>
      </w:r>
      <w:r w:rsidRPr="001A0BAA">
        <w:rPr>
          <w:color w:val="0070C0"/>
          <w:sz w:val="16"/>
          <w:szCs w:val="16"/>
        </w:rPr>
        <w:softHyphen/>
        <w:t>лизации повышенных требований к точности производства на моторостроительных и ору</w:t>
      </w:r>
      <w:r w:rsidRPr="001A0BAA">
        <w:rPr>
          <w:color w:val="0070C0"/>
          <w:sz w:val="16"/>
          <w:szCs w:val="16"/>
        </w:rPr>
        <w:softHyphen/>
        <w:t>жейных заводах, а также к тщательности мон</w:t>
      </w:r>
      <w:r w:rsidRPr="001A0BAA">
        <w:rPr>
          <w:color w:val="0070C0"/>
          <w:sz w:val="16"/>
          <w:szCs w:val="16"/>
        </w:rPr>
        <w:softHyphen/>
        <w:t>тажа на самолетных заводах. А это была еще та задача, учитывая изношенность станков и оборудования и уровень квалификации ра</w:t>
      </w:r>
      <w:r w:rsidRPr="001A0BAA">
        <w:rPr>
          <w:color w:val="0070C0"/>
          <w:sz w:val="16"/>
          <w:szCs w:val="16"/>
        </w:rPr>
        <w:softHyphen/>
        <w:t>бочих на заводах.</w:t>
      </w:r>
    </w:p>
    <w:p w14:paraId="1EDD1E44" w14:textId="77777777" w:rsidR="008C4451" w:rsidRPr="001A0BAA" w:rsidRDefault="008C4451" w:rsidP="008C4451">
      <w:pPr>
        <w:jc w:val="both"/>
        <w:rPr>
          <w:color w:val="0070C0"/>
          <w:sz w:val="16"/>
          <w:szCs w:val="16"/>
        </w:rPr>
      </w:pPr>
      <w:r w:rsidRPr="001A0BAA">
        <w:rPr>
          <w:color w:val="0070C0"/>
          <w:sz w:val="16"/>
          <w:szCs w:val="16"/>
        </w:rPr>
        <w:t>В ходе войсковых испытаний произошла одна катастрофа Як-9К, в которой погиб ко</w:t>
      </w:r>
      <w:r w:rsidRPr="001A0BAA">
        <w:rPr>
          <w:color w:val="0070C0"/>
          <w:sz w:val="16"/>
          <w:szCs w:val="16"/>
        </w:rPr>
        <w:softHyphen/>
        <w:t>мандир 1-й эскадрильи 15 иап 278 иад лей</w:t>
      </w:r>
      <w:r w:rsidRPr="001A0BAA">
        <w:rPr>
          <w:color w:val="0070C0"/>
          <w:sz w:val="16"/>
          <w:szCs w:val="16"/>
        </w:rPr>
        <w:softHyphen/>
        <w:t>тенант Чуборев. При выполнении стрельбы в воздухе в районе полигона аэродрома Ка</w:t>
      </w:r>
      <w:r w:rsidRPr="001A0BAA">
        <w:rPr>
          <w:color w:val="0070C0"/>
          <w:sz w:val="16"/>
          <w:szCs w:val="16"/>
        </w:rPr>
        <w:softHyphen/>
        <w:t>унас 28 августа 1944 г. на девятом выстреле произошел разрыв снаряда в канале ствола пушки МП-45. После взрыва от самолета на</w:t>
      </w:r>
      <w:r w:rsidRPr="001A0BAA">
        <w:rPr>
          <w:color w:val="0070C0"/>
          <w:sz w:val="16"/>
          <w:szCs w:val="16"/>
        </w:rPr>
        <w:softHyphen/>
        <w:t>чали отделяться части капота мотора. Мотор остановился. Чуборев начал планирование с высоты 700-500 м и с правым разворотом совершил посадку с убранными шасси и вы</w:t>
      </w:r>
      <w:r w:rsidRPr="001A0BAA">
        <w:rPr>
          <w:color w:val="0070C0"/>
          <w:sz w:val="16"/>
          <w:szCs w:val="16"/>
        </w:rPr>
        <w:softHyphen/>
        <w:t>пущенными щитками на непригодную для по</w:t>
      </w:r>
      <w:r w:rsidRPr="001A0BAA">
        <w:rPr>
          <w:color w:val="0070C0"/>
          <w:sz w:val="16"/>
          <w:szCs w:val="16"/>
        </w:rPr>
        <w:softHyphen/>
        <w:t>садки площадку (овраг, дорога, дома). При по</w:t>
      </w:r>
      <w:r w:rsidRPr="001A0BAA">
        <w:rPr>
          <w:color w:val="0070C0"/>
          <w:sz w:val="16"/>
          <w:szCs w:val="16"/>
        </w:rPr>
        <w:softHyphen/>
        <w:t>садке самолет был полностью разбит и вос</w:t>
      </w:r>
      <w:r w:rsidRPr="001A0BAA">
        <w:rPr>
          <w:color w:val="0070C0"/>
          <w:sz w:val="16"/>
          <w:szCs w:val="16"/>
        </w:rPr>
        <w:softHyphen/>
        <w:t>становлению не подлежал. Летчик получил смертельные ранения. Причину разрыва сна</w:t>
      </w:r>
      <w:r w:rsidRPr="001A0BAA">
        <w:rPr>
          <w:color w:val="0070C0"/>
          <w:sz w:val="16"/>
          <w:szCs w:val="16"/>
        </w:rPr>
        <w:softHyphen/>
        <w:t>ряда тогда не установили.</w:t>
      </w:r>
    </w:p>
    <w:p w14:paraId="23DED3D9" w14:textId="77777777" w:rsidR="008C4451" w:rsidRPr="001A0BAA" w:rsidRDefault="008C4451" w:rsidP="008C4451">
      <w:pPr>
        <w:jc w:val="both"/>
        <w:rPr>
          <w:color w:val="0070C0"/>
          <w:sz w:val="16"/>
          <w:szCs w:val="16"/>
        </w:rPr>
      </w:pPr>
      <w:r w:rsidRPr="001A0BAA">
        <w:rPr>
          <w:color w:val="0070C0"/>
          <w:sz w:val="16"/>
          <w:szCs w:val="16"/>
        </w:rPr>
        <w:t>В этой связи командир 3-го иак генерал- лейтенант Е.Я. Савицкий отказался подписы</w:t>
      </w:r>
      <w:r w:rsidRPr="001A0BAA">
        <w:rPr>
          <w:color w:val="0070C0"/>
          <w:sz w:val="16"/>
          <w:szCs w:val="16"/>
        </w:rPr>
        <w:softHyphen/>
        <w:t>вать акт по войсковым испытаниям 1-го этапа. Впрочем, итоговый акт по испытаниям Як-9К на боевое применение он все же утвердил.</w:t>
      </w:r>
    </w:p>
    <w:p w14:paraId="3671E7B3" w14:textId="77777777" w:rsidR="008C4451" w:rsidRPr="001A0BAA" w:rsidRDefault="008C4451" w:rsidP="008C4451">
      <w:pPr>
        <w:jc w:val="both"/>
        <w:rPr>
          <w:color w:val="0070C0"/>
          <w:sz w:val="16"/>
          <w:szCs w:val="16"/>
        </w:rPr>
      </w:pPr>
      <w:r w:rsidRPr="001A0BAA">
        <w:rPr>
          <w:color w:val="0070C0"/>
          <w:sz w:val="16"/>
          <w:szCs w:val="16"/>
        </w:rPr>
        <w:t>Несмотря на выявленные недостатки, го</w:t>
      </w:r>
      <w:r w:rsidRPr="001A0BAA">
        <w:rPr>
          <w:color w:val="0070C0"/>
          <w:sz w:val="16"/>
          <w:szCs w:val="16"/>
        </w:rPr>
        <w:softHyphen/>
        <w:t>сударственная комиссия в отчете по испыта</w:t>
      </w:r>
      <w:r w:rsidRPr="001A0BAA">
        <w:rPr>
          <w:color w:val="0070C0"/>
          <w:sz w:val="16"/>
          <w:szCs w:val="16"/>
        </w:rPr>
        <w:softHyphen/>
        <w:t>ниям записала: «Самолет Як-9к своим мощ</w:t>
      </w:r>
      <w:r w:rsidRPr="001A0BAA">
        <w:rPr>
          <w:color w:val="0070C0"/>
          <w:sz w:val="16"/>
          <w:szCs w:val="16"/>
        </w:rPr>
        <w:softHyphen/>
        <w:t>ным вооружением вполне соответствует требованиям, предъявляемым к современному самолету-истребителю, но имеет для своего веса недостаточно мощный мотор и вслед</w:t>
      </w:r>
      <w:r w:rsidRPr="001A0BAA">
        <w:rPr>
          <w:color w:val="0070C0"/>
          <w:sz w:val="16"/>
          <w:szCs w:val="16"/>
        </w:rPr>
        <w:softHyphen/>
        <w:t>ствие этого недостаточные летно-такти</w:t>
      </w:r>
      <w:r w:rsidRPr="001A0BAA">
        <w:rPr>
          <w:color w:val="0070C0"/>
          <w:sz w:val="16"/>
          <w:szCs w:val="16"/>
        </w:rPr>
        <w:softHyphen/>
        <w:t>ческие данные, особенно по сравнению с само</w:t>
      </w:r>
      <w:r w:rsidRPr="001A0BAA">
        <w:rPr>
          <w:color w:val="0070C0"/>
          <w:sz w:val="16"/>
          <w:szCs w:val="16"/>
        </w:rPr>
        <w:softHyphen/>
        <w:t>летами Як-3 и Як-9у. /.../ Основными задача</w:t>
      </w:r>
      <w:r w:rsidRPr="001A0BAA">
        <w:rPr>
          <w:color w:val="0070C0"/>
          <w:sz w:val="16"/>
          <w:szCs w:val="16"/>
        </w:rPr>
        <w:softHyphen/>
        <w:t>ми, которые могут решить самолеты типа Як-9к, являются: а) уничтожение бомбарди</w:t>
      </w:r>
      <w:r w:rsidRPr="001A0BAA">
        <w:rPr>
          <w:color w:val="0070C0"/>
          <w:sz w:val="16"/>
          <w:szCs w:val="16"/>
        </w:rPr>
        <w:softHyphen/>
        <w:t>ровщиков противника; б) активная блоки</w:t>
      </w:r>
      <w:r w:rsidRPr="001A0BAA">
        <w:rPr>
          <w:color w:val="0070C0"/>
          <w:sz w:val="16"/>
          <w:szCs w:val="16"/>
        </w:rPr>
        <w:softHyphen/>
        <w:t>ровка и штурмовка аэродромов противника; в) уничтожение наземных целей. /.../ Дефект течи масла из уплотнений вала редуктора считать недопустимым. Необходимо, чтобы при любой неблагоприятной комбинации про</w:t>
      </w:r>
      <w:r w:rsidRPr="001A0BAA">
        <w:rPr>
          <w:color w:val="0070C0"/>
          <w:sz w:val="16"/>
          <w:szCs w:val="16"/>
        </w:rPr>
        <w:softHyphen/>
        <w:t>изводственных допусков обеспечивался пра</w:t>
      </w:r>
      <w:r w:rsidRPr="001A0BAA">
        <w:rPr>
          <w:color w:val="0070C0"/>
          <w:sz w:val="16"/>
          <w:szCs w:val="16"/>
        </w:rPr>
        <w:softHyphen/>
        <w:t>ктический зазор 1,00 мм между стволом пуш</w:t>
      </w:r>
      <w:r w:rsidRPr="001A0BAA">
        <w:rPr>
          <w:color w:val="0070C0"/>
          <w:sz w:val="16"/>
          <w:szCs w:val="16"/>
        </w:rPr>
        <w:softHyphen/>
        <w:t>ки и валом редуктора».</w:t>
      </w:r>
    </w:p>
    <w:p w14:paraId="4AD29CE3" w14:textId="77777777" w:rsidR="008C4451" w:rsidRPr="001A0BAA" w:rsidRDefault="008C4451" w:rsidP="008C4451">
      <w:pPr>
        <w:jc w:val="both"/>
        <w:rPr>
          <w:color w:val="0070C0"/>
          <w:sz w:val="16"/>
          <w:szCs w:val="16"/>
        </w:rPr>
      </w:pPr>
      <w:r w:rsidRPr="001A0BAA">
        <w:rPr>
          <w:color w:val="0070C0"/>
          <w:sz w:val="16"/>
          <w:szCs w:val="16"/>
        </w:rPr>
        <w:t>Рекомендовался выпуск малой серии Як-9К «для накапливания опыта эксплуатации и боевого применения самолетов-истребите</w:t>
      </w:r>
      <w:r w:rsidRPr="001A0BAA">
        <w:rPr>
          <w:color w:val="0070C0"/>
          <w:sz w:val="16"/>
          <w:szCs w:val="16"/>
        </w:rPr>
        <w:softHyphen/>
        <w:t>лей, вооруженных пушкой крупного калибра». Одновременно предлагалось установить пуш</w:t>
      </w:r>
      <w:r w:rsidRPr="001A0BAA">
        <w:rPr>
          <w:color w:val="0070C0"/>
          <w:sz w:val="16"/>
          <w:szCs w:val="16"/>
        </w:rPr>
        <w:softHyphen/>
        <w:t>ку МП-45 на Як-9У М-107А с лучшими летны</w:t>
      </w:r>
      <w:r w:rsidRPr="001A0BAA">
        <w:rPr>
          <w:color w:val="0070C0"/>
          <w:sz w:val="16"/>
          <w:szCs w:val="16"/>
        </w:rPr>
        <w:softHyphen/>
        <w:t>ми данными, чем Як-9К М-105ПФ (24971).</w:t>
      </w:r>
    </w:p>
    <w:p w14:paraId="0CD988A9" w14:textId="77777777" w:rsidR="008C4451" w:rsidRPr="001A0BAA" w:rsidRDefault="008C4451" w:rsidP="008C4451">
      <w:pPr>
        <w:jc w:val="both"/>
        <w:rPr>
          <w:color w:val="0070C0"/>
          <w:sz w:val="16"/>
          <w:szCs w:val="16"/>
        </w:rPr>
      </w:pPr>
    </w:p>
    <w:p w14:paraId="65FADD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января 1945 г. был подготовлен ДОКЛАД РУКОВОДИТЕЛЯ ГРУППЫ ПО ЭКВ ПЕРВОМУ ЗАМЕСТИТЕЛЮ КОМАНДУЮЩЕГО БТ и МВ КА ПО РЕЗУЛЬТАТАМ РАБОТЫ ПО СОЗДАНИЮ ТАНКА С ЭЛЕКТРОТРАНСМИССИЕЙ</w:t>
      </w:r>
    </w:p>
    <w:p w14:paraId="64021E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p>
    <w:p w14:paraId="4069E93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ЦК ВКП(б) и СНК СССР за №_от __ 1941 г. академии, Электропрому и Танкопрому было поручено спроектировать и изготовить опытные танки с электротранс</w:t>
      </w:r>
      <w:r w:rsidRPr="00925F26">
        <w:rPr>
          <w:color w:val="000000" w:themeColor="text1"/>
          <w:sz w:val="16"/>
          <w:szCs w:val="16"/>
        </w:rPr>
        <w:softHyphen/>
        <w:t>миссией на базе танков КВ.</w:t>
      </w:r>
    </w:p>
    <w:p w14:paraId="3A25429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Вся работа по проектированию и изготовлению возглавлялась академией и, в частности, кафе</w:t>
      </w:r>
      <w:r w:rsidRPr="00925F26">
        <w:rPr>
          <w:color w:val="000000" w:themeColor="text1"/>
          <w:sz w:val="16"/>
          <w:szCs w:val="16"/>
        </w:rPr>
        <w:softHyphen/>
        <w:t>дрой танков.</w:t>
      </w:r>
    </w:p>
    <w:p w14:paraId="42778F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Основными этапами в изготовлении электротрансмиссии являются следующие:</w:t>
      </w:r>
    </w:p>
    <w:p w14:paraId="7FBA2E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1941 г. Проектирование электротрансмиссии применительно к танку КВ-3 (участвуют «Динамо», академия и, частично, Электросила).</w:t>
      </w:r>
    </w:p>
    <w:p w14:paraId="249A35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1942 г. Переделка проекта применительно к КВ-1 и частичное изготовление (участвует только академия).</w:t>
      </w:r>
    </w:p>
    <w:p w14:paraId="4B08A5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1943 г. Ввиду слабых темпов изготовления ЭКВ в Ташкенте по причине ограниченных про</w:t>
      </w:r>
      <w:r w:rsidRPr="00925F26">
        <w:rPr>
          <w:color w:val="000000" w:themeColor="text1"/>
          <w:sz w:val="16"/>
          <w:szCs w:val="16"/>
        </w:rPr>
        <w:softHyphen/>
        <w:t>изводственных возможностей происходит перебазирование в Москву, на завод №627, который согласно постановлению ГОКО от августа 1943 г. заканчивает изго</w:t>
      </w:r>
      <w:r w:rsidRPr="00925F26">
        <w:rPr>
          <w:color w:val="000000" w:themeColor="text1"/>
          <w:sz w:val="16"/>
          <w:szCs w:val="16"/>
        </w:rPr>
        <w:softHyphen/>
        <w:t>товление ЭКВ к концу 1943 г. После сборки выявляется целый ряд неполадок.</w:t>
      </w:r>
    </w:p>
    <w:p w14:paraId="25D05F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1944 г. Ввиду ограниченных производственных возможностей завода №627 согласно реше</w:t>
      </w:r>
      <w:r w:rsidRPr="00925F26">
        <w:rPr>
          <w:color w:val="000000" w:themeColor="text1"/>
          <w:sz w:val="16"/>
          <w:szCs w:val="16"/>
        </w:rPr>
        <w:softHyphen/>
        <w:t>нию наркома электропрома танк ЭКВ для полной доводки и устранения неисправностей, передается заводу «Динамо». Завод доводит ЭКВ до эксплуатационного состояния. Во второй половине 1944 г. танк проходит заводские испытания пробегом в 400 км, по</w:t>
      </w:r>
      <w:r w:rsidRPr="00925F26">
        <w:rPr>
          <w:color w:val="000000" w:themeColor="text1"/>
          <w:sz w:val="16"/>
          <w:szCs w:val="16"/>
        </w:rPr>
        <w:softHyphen/>
        <w:t>сле чего передается на полигон для государственных испытаний. После 270 км поли</w:t>
      </w:r>
      <w:r w:rsidRPr="00925F26">
        <w:rPr>
          <w:color w:val="000000" w:themeColor="text1"/>
          <w:sz w:val="16"/>
          <w:szCs w:val="16"/>
        </w:rPr>
        <w:softHyphen/>
        <w:t>гонные испытания прекращены ввиду поломки бортового редуктора.</w:t>
      </w:r>
    </w:p>
    <w:p w14:paraId="45E456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w:t>
      </w:r>
    </w:p>
    <w:p w14:paraId="63D184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проведения полигонных испытаний государственная комиссия во введении, выводах и заключении отмечает следующее:</w:t>
      </w:r>
    </w:p>
    <w:p w14:paraId="77D7D8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Электротрансмиссия танка КВ является полностью оригинальной работой, выполненной в Советском Союзе вне какого-либо влияния зарубежной техники.</w:t>
      </w:r>
    </w:p>
    <w:p w14:paraId="2EAC36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2. </w:t>
      </w:r>
      <w:proofErr w:type="gramStart"/>
      <w:r w:rsidRPr="00925F26">
        <w:rPr>
          <w:color w:val="000000" w:themeColor="text1"/>
          <w:sz w:val="16"/>
          <w:szCs w:val="16"/>
        </w:rPr>
        <w:t>Учитывая</w:t>
      </w:r>
      <w:proofErr w:type="gramEnd"/>
      <w:r w:rsidRPr="00925F26">
        <w:rPr>
          <w:color w:val="000000" w:themeColor="text1"/>
          <w:sz w:val="16"/>
          <w:szCs w:val="16"/>
        </w:rPr>
        <w:t xml:space="preserve"> начало разработки ЭКВ (апрель 1941 г.), следует полагать, что в области внедрения электротрансмиссии в современные танки Советский Союз является пионером.</w:t>
      </w:r>
    </w:p>
    <w:p w14:paraId="1FBC6F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По причине габаритов и веса электротрансмиссия, примененная на некоторых французских и английских танках еще в период 1918-20 гг., не получила дальнейшего распространения.</w:t>
      </w:r>
    </w:p>
    <w:p w14:paraId="1AFE7F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Средний вес трансмиссии для 9 современных танков (включая Фердинанд) составляет 6,88 кг нал/с, самая легкая механическая трансмиссия дает 3,2 кг на л/с и самая тяжелая — 9,3 кг на л/с. Вес электротрансмиссии ЭКВ с бортовыми редукторами составляет 6,5 кг на л/с. Вес электроагре</w:t>
      </w:r>
      <w:r w:rsidRPr="00925F26">
        <w:rPr>
          <w:color w:val="000000" w:themeColor="text1"/>
          <w:sz w:val="16"/>
          <w:szCs w:val="16"/>
        </w:rPr>
        <w:softHyphen/>
        <w:t>гатов ЭКВ легче тех же агрегатов Фердинанда в 1,43 раза и Т-23 в 2,1 раза.</w:t>
      </w:r>
    </w:p>
    <w:p w14:paraId="307F68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Значительное снижение удельного веса и габаритов основных агрегатов электротрансмис</w:t>
      </w:r>
      <w:r w:rsidRPr="00925F26">
        <w:rPr>
          <w:color w:val="000000" w:themeColor="text1"/>
          <w:sz w:val="16"/>
          <w:szCs w:val="16"/>
        </w:rPr>
        <w:softHyphen/>
        <w:t>сии ЭКВ — генератора и двух тяговых электродвигателей — является большим достижением в практике Советского электромашиностроения.</w:t>
      </w:r>
    </w:p>
    <w:p w14:paraId="22E2F8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Все агрегаты электротрансмиссии уложились в габариты серийного танка КВ-1.</w:t>
      </w:r>
    </w:p>
    <w:p w14:paraId="786CC3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Электротрансмиссия ЭКВ обеспечивает танку лучшую поворотливость, подвижность, про</w:t>
      </w:r>
      <w:r w:rsidRPr="00925F26">
        <w:rPr>
          <w:color w:val="000000" w:themeColor="text1"/>
          <w:sz w:val="16"/>
          <w:szCs w:val="16"/>
        </w:rPr>
        <w:softHyphen/>
        <w:t>стоту и легкость управления.</w:t>
      </w:r>
    </w:p>
    <w:p w14:paraId="7F8293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Расход горючего ниже норм, предусмотренных для тяжелых серийных танков.</w:t>
      </w:r>
    </w:p>
    <w:p w14:paraId="4F6712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Работа дизеля при изменении условий движения является более спокойной и устойчивой, чем при механической трансмиссии.</w:t>
      </w:r>
    </w:p>
    <w:p w14:paraId="403BF3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Танк показал автоматическую приспособляемость к сопротивлениям движения в широких пределах без всяких переключений.</w:t>
      </w:r>
    </w:p>
    <w:p w14:paraId="56FAB13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заключение госкомиссия рекомендует в кратчайший срок изготовить опытную партию тяже</w:t>
      </w:r>
      <w:r w:rsidRPr="00925F26">
        <w:rPr>
          <w:color w:val="000000" w:themeColor="text1"/>
          <w:sz w:val="16"/>
          <w:szCs w:val="16"/>
        </w:rPr>
        <w:softHyphen/>
        <w:t>лых танков с электротрансмиссией для опробования их в бою.</w:t>
      </w:r>
    </w:p>
    <w:p w14:paraId="6A6DCB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Вместе с тем комиссия отмечает ряд дефектов в части схемы управления, пожарной опаснос</w:t>
      </w:r>
      <w:r w:rsidRPr="00925F26">
        <w:rPr>
          <w:color w:val="000000" w:themeColor="text1"/>
          <w:sz w:val="16"/>
          <w:szCs w:val="16"/>
        </w:rPr>
        <w:softHyphen/>
        <w:t>ти, недостаточной надежности, а также напряженности теплового режима.</w:t>
      </w:r>
    </w:p>
    <w:p w14:paraId="1123ACC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III</w:t>
      </w:r>
      <w:r w:rsidRPr="00925F26">
        <w:rPr>
          <w:color w:val="000000" w:themeColor="text1"/>
          <w:sz w:val="16"/>
          <w:szCs w:val="16"/>
        </w:rPr>
        <w:t xml:space="preserve"> Таким образом, на основании материалов госкомиссии можно установить, что:</w:t>
      </w:r>
    </w:p>
    <w:p w14:paraId="20A86D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По эксплуатационным показателям танк ЭКВ продемонстрировал неоспоримые преимуще</w:t>
      </w:r>
      <w:r w:rsidRPr="00925F26">
        <w:rPr>
          <w:color w:val="000000" w:themeColor="text1"/>
          <w:sz w:val="16"/>
          <w:szCs w:val="16"/>
        </w:rPr>
        <w:softHyphen/>
        <w:t>ства в сравнении с механическими трансмиссиями.</w:t>
      </w:r>
    </w:p>
    <w:p w14:paraId="788F79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По габаритам и весу электроагрегаты ЭКВ оказались конкурентоспособны с механической трансмиссией.</w:t>
      </w:r>
    </w:p>
    <w:p w14:paraId="3334AB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По надежности (если учесть отсутствие каких-либо запасных частей, полукустарное изготовление и наличие 700 км пробега без принципиальных дефектов), танк ЭКВ дал удовлетворительные результаты.</w:t>
      </w:r>
    </w:p>
    <w:p w14:paraId="06AA915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изложенного следует, что проведена огромная работа, создающая базу по внедрению в на</w:t>
      </w:r>
      <w:r w:rsidRPr="00925F26">
        <w:rPr>
          <w:color w:val="000000" w:themeColor="text1"/>
          <w:sz w:val="16"/>
          <w:szCs w:val="16"/>
        </w:rPr>
        <w:softHyphen/>
        <w:t>ши танки передовой, с большими перспективами, техники, в связи с чем ходатайствую о представ</w:t>
      </w:r>
      <w:r w:rsidRPr="00925F26">
        <w:rPr>
          <w:color w:val="000000" w:themeColor="text1"/>
          <w:sz w:val="16"/>
          <w:szCs w:val="16"/>
        </w:rPr>
        <w:softHyphen/>
        <w:t>лении к правительственным наградам наиболее отличившихся работников заводов «Динамо» и №627 в соответствии с прилагаемым списком.</w:t>
      </w:r>
    </w:p>
    <w:p w14:paraId="5895B43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IV</w:t>
      </w:r>
    </w:p>
    <w:p w14:paraId="023013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ускорения внедрения электротрансмиссии в тяжелые танки необходимо быстрым тем</w:t>
      </w:r>
      <w:r w:rsidRPr="00925F26">
        <w:rPr>
          <w:color w:val="000000" w:themeColor="text1"/>
          <w:sz w:val="16"/>
          <w:szCs w:val="16"/>
        </w:rPr>
        <w:softHyphen/>
        <w:t>пом развернуть дальнейшую работу по модернизации агрегатов электротрансмиссии с учетом по</w:t>
      </w:r>
      <w:r w:rsidRPr="00925F26">
        <w:rPr>
          <w:color w:val="000000" w:themeColor="text1"/>
          <w:sz w:val="16"/>
          <w:szCs w:val="16"/>
        </w:rPr>
        <w:softHyphen/>
        <w:t>следних достижений в этой области.</w:t>
      </w:r>
    </w:p>
    <w:p w14:paraId="095C73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качестве конкретного предложения по данному вопросу, прилагая при сем проект постанов</w:t>
      </w:r>
      <w:r w:rsidRPr="00925F26">
        <w:rPr>
          <w:color w:val="000000" w:themeColor="text1"/>
          <w:sz w:val="16"/>
          <w:szCs w:val="16"/>
        </w:rPr>
        <w:softHyphen/>
        <w:t>ления ГОКО, прошу Вас рассмотреть его и в случае положительной оценки через военный совет БТ и МВ КА возбудить ходатайство о его утверждении.</w:t>
      </w:r>
    </w:p>
    <w:p w14:paraId="3AD059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w:t>
      </w:r>
    </w:p>
    <w:p w14:paraId="6615A7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проект постановления на 11 листах;</w:t>
      </w:r>
    </w:p>
    <w:p w14:paraId="67BF64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остальная переписка на 24 листах;</w:t>
      </w:r>
    </w:p>
    <w:p w14:paraId="348AD8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характеристика на 7 листах.</w:t>
      </w:r>
    </w:p>
    <w:p w14:paraId="4DA734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Руководитель работы по ЭКВ генерал-майор инженерно-танковой службы Груздев</w:t>
      </w:r>
    </w:p>
    <w:p w14:paraId="228D29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11355. Д. 2732. Л. 1 -3. Подлинник.</w:t>
      </w:r>
    </w:p>
    <w:p w14:paraId="1C8136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Приложения к документу отсутствуют (11420).</w:t>
      </w:r>
    </w:p>
    <w:p w14:paraId="240B68DB" w14:textId="77777777" w:rsidR="00C2313B" w:rsidRPr="00925F26" w:rsidRDefault="00C2313B" w:rsidP="00925F26">
      <w:pPr>
        <w:autoSpaceDE w:val="0"/>
        <w:autoSpaceDN w:val="0"/>
        <w:adjustRightInd w:val="0"/>
        <w:jc w:val="both"/>
        <w:rPr>
          <w:color w:val="000000" w:themeColor="text1"/>
          <w:sz w:val="16"/>
          <w:szCs w:val="16"/>
        </w:rPr>
      </w:pPr>
    </w:p>
    <w:p w14:paraId="64C25C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января 1945 г. была подготовлена ДОКЛАДНАЯ ЗАПИСКА ЗАМЕСТИТЕЛЯ НАЧАЛЬНИКА ГБТУ КА ЗАМ ПРЕД У ВСЕСОЮЗНОГО ОБЪЕДИНЕНИЯ «ТЕХНОЭКСПОРТ» ЛЕДЕНЕВУ О ЗАКУПКЕ МОТОЦИКЛОВ БСА</w:t>
      </w:r>
    </w:p>
    <w:p w14:paraId="0F53E9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Главное бронетанковое управление Красной Армии ходатайствует о закупке мотоциклов БСА, состоящих на вооружении в Английской армии.</w:t>
      </w:r>
    </w:p>
    <w:p w14:paraId="2142D1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Потребность в мотоциклах данного типа исчисляется ориентировочно в 3000 шт. в год.</w:t>
      </w:r>
    </w:p>
    <w:p w14:paraId="1B7DBD8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числа выпускаемых мотоциклов фирмой БСА желательно закупить мотоциклы модели М-30, имеющие преимущества в эксплуатации по сравнению с другими моделями данной фирмы. При отказе в получении мотоциклов модели М-30 можно согласиться на модель М-20.</w:t>
      </w:r>
    </w:p>
    <w:p w14:paraId="41DCEB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Крайне желательно закупить в Англии в счет военных поставок возможное количество мото</w:t>
      </w:r>
      <w:r w:rsidRPr="00925F26">
        <w:rPr>
          <w:color w:val="000000" w:themeColor="text1"/>
          <w:sz w:val="16"/>
          <w:szCs w:val="16"/>
        </w:rPr>
        <w:softHyphen/>
        <w:t>циклов фирмы «Матчлес» с рабочим объемом двигателя 350 куб. см.</w:t>
      </w:r>
    </w:p>
    <w:p w14:paraId="53386A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количестве закупленных мотоциклов в Англии прошу уведомить.</w:t>
      </w:r>
    </w:p>
    <w:p w14:paraId="365BBD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ГБТУ КА генерал-лейтенант инженерно-танковой службы Лебедев</w:t>
      </w:r>
    </w:p>
    <w:p w14:paraId="78750B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УБП и БМ ГБТУ КА генерал-майор танковых войск Чернов</w:t>
      </w:r>
    </w:p>
    <w:p w14:paraId="3D4E3C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11358. Д. 412. Л. 9. Подлинник (11420).</w:t>
      </w:r>
    </w:p>
    <w:p w14:paraId="7D71D5A0" w14:textId="77777777" w:rsidR="00C2313B" w:rsidRPr="00925F26" w:rsidRDefault="00C2313B" w:rsidP="00925F26">
      <w:pPr>
        <w:autoSpaceDE w:val="0"/>
        <w:autoSpaceDN w:val="0"/>
        <w:adjustRightInd w:val="0"/>
        <w:jc w:val="both"/>
        <w:rPr>
          <w:color w:val="000000" w:themeColor="text1"/>
          <w:sz w:val="16"/>
          <w:szCs w:val="16"/>
        </w:rPr>
      </w:pPr>
    </w:p>
    <w:p w14:paraId="131D50C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6B02992" w14:textId="77777777" w:rsidR="00C2313B" w:rsidRPr="00925F26" w:rsidRDefault="00C2313B" w:rsidP="00925F26">
      <w:pPr>
        <w:autoSpaceDE w:val="0"/>
        <w:autoSpaceDN w:val="0"/>
        <w:adjustRightInd w:val="0"/>
        <w:jc w:val="both"/>
        <w:rPr>
          <w:iCs/>
          <w:color w:val="000000" w:themeColor="text1"/>
          <w:sz w:val="16"/>
          <w:szCs w:val="16"/>
        </w:rPr>
      </w:pPr>
    </w:p>
    <w:p w14:paraId="0F37B2FD" w14:textId="77777777" w:rsidR="00650270" w:rsidRPr="00925F26" w:rsidRDefault="00650270" w:rsidP="00925F26">
      <w:pPr>
        <w:jc w:val="both"/>
        <w:rPr>
          <w:color w:val="000000" w:themeColor="text1"/>
          <w:sz w:val="16"/>
          <w:szCs w:val="16"/>
        </w:rPr>
      </w:pPr>
      <w:r w:rsidRPr="00925F26">
        <w:rPr>
          <w:bCs/>
          <w:color w:val="000000" w:themeColor="text1"/>
          <w:sz w:val="16"/>
          <w:szCs w:val="16"/>
        </w:rPr>
        <w:t>15 января</w:t>
      </w:r>
      <w:r w:rsidRPr="00925F26">
        <w:rPr>
          <w:color w:val="000000" w:themeColor="text1"/>
          <w:sz w:val="16"/>
          <w:szCs w:val="16"/>
        </w:rPr>
        <w:t xml:space="preserve"> в 1945 году оперативная сводка Совинформбюро:</w:t>
      </w:r>
    </w:p>
    <w:p w14:paraId="66DA4B6E" w14:textId="77777777" w:rsidR="00650270" w:rsidRPr="00925F26" w:rsidRDefault="00650270" w:rsidP="00925F26">
      <w:pPr>
        <w:jc w:val="both"/>
        <w:rPr>
          <w:color w:val="000000" w:themeColor="text1"/>
          <w:sz w:val="16"/>
          <w:szCs w:val="16"/>
        </w:rPr>
      </w:pPr>
      <w:r w:rsidRPr="00925F26">
        <w:rPr>
          <w:color w:val="000000" w:themeColor="text1"/>
          <w:sz w:val="16"/>
          <w:szCs w:val="16"/>
        </w:rPr>
        <w:t>«Войска 1-го Украинского фронта, развивая стремительное наступление, 15 января овладели крупным административно-хозяйственным центром Польши городом Кельце — важным узлом коммуникаций и опорным пунктом обороны немцев, а также с боями заняли более 400 других населённых пунктов, в том числе города Енджеюв, Водзислав, Дзялошице, крупные населённые пункты Далешице, Нестахув, Радлин, Загуже, Дымины, Бильча Подгуже, Токарня, Злотники, Козлув, Венглешин, Поповице, Тшценец, Дешно, Кренжолы, Глоговяны, Слабо-Шув, Косьцеюв, Скальмеж, Палечница, Казимежа-Велька и железнодорожные станции Поток, Скальмеж, Казимежа-Велька.</w:t>
      </w:r>
    </w:p>
    <w:p w14:paraId="5F8CABA7" w14:textId="77777777" w:rsidR="00650270" w:rsidRPr="00925F26" w:rsidRDefault="00650270" w:rsidP="00925F26">
      <w:pPr>
        <w:jc w:val="both"/>
        <w:rPr>
          <w:color w:val="000000" w:themeColor="text1"/>
          <w:sz w:val="16"/>
          <w:szCs w:val="16"/>
        </w:rPr>
      </w:pPr>
      <w:r w:rsidRPr="00925F26">
        <w:rPr>
          <w:color w:val="000000" w:themeColor="text1"/>
          <w:sz w:val="16"/>
          <w:szCs w:val="16"/>
        </w:rPr>
        <w:t>На территории Чехословакии северо-восточнее города Лученец наши войска с боями заняли населённые пункты Лицинце, Цемерске Левере, Полина, Скере-Шово, Вышние и Нижние Валице, Узовска Ланита, Балог, Мелехедь, Драшице, Словацкие Загораны, Тэрьяковце.</w:t>
      </w:r>
    </w:p>
    <w:p w14:paraId="32A206B4" w14:textId="77777777" w:rsidR="00650270" w:rsidRPr="00925F26" w:rsidRDefault="00650270" w:rsidP="00925F26">
      <w:pPr>
        <w:jc w:val="both"/>
        <w:rPr>
          <w:color w:val="000000" w:themeColor="text1"/>
          <w:sz w:val="16"/>
          <w:szCs w:val="16"/>
        </w:rPr>
      </w:pPr>
      <w:r w:rsidRPr="00925F26">
        <w:rPr>
          <w:color w:val="000000" w:themeColor="text1"/>
          <w:sz w:val="16"/>
          <w:szCs w:val="16"/>
        </w:rPr>
        <w:t>В городе Будапеште наши войска, продолжая бои по уничтожению окружённой немецко-венгерской группировки, овладели военным госпиталем № 2, сапёрными и железнодорожными казармами, военно-продовольственными складами, товарной станцией, западным вокзалом, городским театром Вароши, центральной клиникой, табачной фабрикой и заняли более 160 кварталов. За 14 января в Будапеште наши войска взяли в плен 4.790 немецких и венгерских солдат и офицеров.</w:t>
      </w:r>
    </w:p>
    <w:p w14:paraId="0CE7E37D" w14:textId="77777777" w:rsidR="00650270" w:rsidRPr="00925F26" w:rsidRDefault="00650270"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370ED973" w14:textId="77777777" w:rsidR="00650270" w:rsidRPr="00925F26" w:rsidRDefault="00650270" w:rsidP="00925F26">
      <w:pPr>
        <w:jc w:val="both"/>
        <w:rPr>
          <w:color w:val="000000" w:themeColor="text1"/>
          <w:sz w:val="16"/>
          <w:szCs w:val="16"/>
        </w:rPr>
      </w:pPr>
      <w:r w:rsidRPr="00925F26">
        <w:rPr>
          <w:color w:val="000000" w:themeColor="text1"/>
          <w:sz w:val="16"/>
          <w:szCs w:val="16"/>
        </w:rPr>
        <w:t>За 14 января наши войска на всех фронтах подбили и уничтожили 137 немецких танков. В воздушных боях и огнём зенитной артиллерии сбито 60 самолётов противника.</w:t>
      </w:r>
    </w:p>
    <w:p w14:paraId="4FB8DC9B" w14:textId="77777777" w:rsidR="00650270" w:rsidRPr="00925F26" w:rsidRDefault="00650270" w:rsidP="00925F26">
      <w:pPr>
        <w:jc w:val="both"/>
        <w:rPr>
          <w:color w:val="000000" w:themeColor="text1"/>
          <w:sz w:val="16"/>
          <w:szCs w:val="16"/>
        </w:rPr>
      </w:pPr>
      <w:r w:rsidRPr="00925F26">
        <w:rPr>
          <w:color w:val="000000" w:themeColor="text1"/>
          <w:sz w:val="16"/>
          <w:szCs w:val="16"/>
        </w:rPr>
        <w:t>Войска 1-го Украинского фронта развивали стремительное наступление. Советские части, действующие в лесах южнее города Кельце, встретили ожесточённое сопротивление немцев. Противник, усилив свои войска ещё одной танковой дивизией, предпринимал многочисленные контратаки. Гитлеровцы стремились во что бы то ни стало удержать в своих руках город Кельце. Тесня и преследуя противника, наши войска отбросили его за реку Чарна Нида. Затем советские части переправились через реку и завязали бои на подступах к городу Кельце. Немцы превратили этот город в мощную крепость. С севера и юга его прикрывают высоты, с востока и запада протекают речки. Использовав в полной мере эти естественные препятствия, противник соорудил долговременные укрепления. Вокруг города немцы отрыли несколько рядов траншей полного профиля, построили большое количество долговременных бетонированных укреплений, до предела насыщенных огневыми средствами. Советские танкисты и пехотинцы, а также артиллерия, шедшая в рядах наступающих подразделений, стремительным и сокрушающим ударом сломили сопротивление противника и сегодня овладели городом Кельце. Этот город является крупным административно-хозяйственным центром Польши и важным узлом коммуникаций. В нём сосредоточены заводы взрывчатых веществ, вооружения и военного снаряжения. В сражении за Кельце немецкие войска понесли огромные потери. Только на подступах к городу, по неполным данным, уничтожено свыше 1.600 немецких солдат и офицеров, сожжено и подбило 40 танков и самоходных орудий противника.</w:t>
      </w:r>
    </w:p>
    <w:p w14:paraId="01F3F942" w14:textId="77777777" w:rsidR="00650270" w:rsidRPr="00925F26" w:rsidRDefault="00650270" w:rsidP="00925F26">
      <w:pPr>
        <w:jc w:val="both"/>
        <w:rPr>
          <w:color w:val="000000" w:themeColor="text1"/>
          <w:sz w:val="16"/>
          <w:szCs w:val="16"/>
        </w:rPr>
      </w:pPr>
      <w:r w:rsidRPr="00925F26">
        <w:rPr>
          <w:color w:val="000000" w:themeColor="text1"/>
          <w:sz w:val="16"/>
          <w:szCs w:val="16"/>
        </w:rPr>
        <w:t>Западнее города Хмельник немцы также подтянули крупные резервы пехоты и танков и с хода бросили их в бой. Наши части не только отбили все контратаки гитлеровцев, но и, совершив обходный маневр, вышли с севера и юга к крупному узлу коммуникаций городу Енджеюв. Вражеский гарнизон оказал сопротивление, но был быстро разгромлен. Наши войска истребили в этом районе два полка немецкой пехоты, уничтожили 74 полевых орудия и несколько десятков танков и бронетранспортёров.</w:t>
      </w:r>
    </w:p>
    <w:p w14:paraId="07AE0F61" w14:textId="77777777" w:rsidR="00650270" w:rsidRPr="00925F26" w:rsidRDefault="00650270" w:rsidP="00925F26">
      <w:pPr>
        <w:jc w:val="both"/>
        <w:rPr>
          <w:color w:val="000000" w:themeColor="text1"/>
          <w:sz w:val="16"/>
          <w:szCs w:val="16"/>
        </w:rPr>
      </w:pPr>
      <w:r w:rsidRPr="00925F26">
        <w:rPr>
          <w:color w:val="000000" w:themeColor="text1"/>
          <w:sz w:val="16"/>
          <w:szCs w:val="16"/>
        </w:rPr>
        <w:t>Противник, отступающий под ударами советских войск, несёт огромные потери в живой силе и технике. Только за первые два дня наступления наши войска, по неполным данным, захватили 116 немецких танков, 379 орудий разных калибров, около 1.000 автомашин с различными грузами, много складов с боеприпасами и военным имуществом.</w:t>
      </w:r>
    </w:p>
    <w:p w14:paraId="3B90AAC6" w14:textId="77777777" w:rsidR="00650270" w:rsidRPr="00925F26" w:rsidRDefault="00650270" w:rsidP="00925F26">
      <w:pPr>
        <w:jc w:val="both"/>
        <w:rPr>
          <w:color w:val="000000" w:themeColor="text1"/>
          <w:sz w:val="16"/>
          <w:szCs w:val="16"/>
        </w:rPr>
      </w:pPr>
      <w:r w:rsidRPr="00925F26">
        <w:rPr>
          <w:color w:val="000000" w:themeColor="text1"/>
          <w:sz w:val="16"/>
          <w:szCs w:val="16"/>
        </w:rPr>
        <w:t>В Чехословакии северо-восточнее города Лученец наши войска вели наступательные бои. Части Н-ского соединения, действующие в трудных условиях горно-лесистой местности, продвинулись вперёд на 10 километров и овладели узлом дорог Мелехедь. На другом участке наши войска отразили несколько вражеских контратак и, совершив успешный манёвр, нанесли немцам тяжёлый удар. Противник отступил, оставив на поле боя сотни трупов своих солдат и офицеров. Разбит наголову 228-й немецкий горнострелковый полк. Взято в плен свыше 400 солдат и офицеров противника.</w:t>
      </w:r>
    </w:p>
    <w:p w14:paraId="37F430AF" w14:textId="77777777" w:rsidR="00650270" w:rsidRPr="00925F26" w:rsidRDefault="00650270" w:rsidP="00925F26">
      <w:pPr>
        <w:jc w:val="both"/>
        <w:rPr>
          <w:color w:val="000000" w:themeColor="text1"/>
          <w:sz w:val="16"/>
          <w:szCs w:val="16"/>
        </w:rPr>
      </w:pPr>
      <w:r w:rsidRPr="00925F26">
        <w:rPr>
          <w:color w:val="000000" w:themeColor="text1"/>
          <w:sz w:val="16"/>
          <w:szCs w:val="16"/>
        </w:rPr>
        <w:t>В Будапеште наши войска вели бои по ликвидации окруженной группировки противника. Очищая от гитлеровцев центральные улицы города, наши гвардейские части овладели западным вокзалом и ведут бои на расстоянии менее километра от Дуная. Войска, наступающие по левому берегу Дуная на юг, заняли набережную Фельше и десять промышленных предприятий. Другие советские части, наступающие по левому берегу на север, выбили немцев из ряда кварталов. Отдельные группы вражеских солдат и офицеров складывают оружие и сдаются в плен. За день наши войска захватили 7 танков и самоходных орудий, 4 бронетранспортёра, 50 полевых орудий, из них 7 тяжелых, 12 повреждённых самолётов, 5 паровозов, 70 железнодорожных вагонов, 766 автомашин, много пулемётов, автоматов и винтовок.</w:t>
      </w:r>
    </w:p>
    <w:p w14:paraId="2DFC6E0F" w14:textId="77777777" w:rsidR="00650270" w:rsidRPr="00925F26" w:rsidRDefault="00650270" w:rsidP="00925F26">
      <w:pPr>
        <w:jc w:val="both"/>
        <w:rPr>
          <w:color w:val="000000" w:themeColor="text1"/>
          <w:sz w:val="16"/>
          <w:szCs w:val="16"/>
        </w:rPr>
      </w:pPr>
      <w:r w:rsidRPr="00925F26">
        <w:rPr>
          <w:color w:val="000000" w:themeColor="text1"/>
          <w:sz w:val="16"/>
          <w:szCs w:val="16"/>
        </w:rPr>
        <w:t>Взятый в плен на 1-ом Украинском фронте обер-ефрейтор 188-го полка 68-й немецкой пехотной дивизии Вилли Гейнц рассказал: «Солдаты со страхом ждали русского наступления. Офицеры неустанно твердили, что наши позиции очень сильно укреплены и мы должны их удерживать любой ценой. 18-го декабря каждого солдата обязали прочесть и подписать особый листок, в ком-ром было напечатано следующее: «Я поставлен командовавшем в известность, что в случае моего перехода на сторону русских весь мой род — отец, мать, жена, дети и внуки будут расстреляны». Солдаты были возмущены, но все молча подписали эту бумажку. Однако гром русских орудий оказался страшнее угроз немецкого командования. Это был настоящий ад. Такого ужаса мы ещё никогда не испытывали. От артиллерийского огня мы понесли огромные потери. В траншеях вперемежку валялись раненые и убитые солдаты. Раненые взывали о помощи, но никто им её не оказывал. Некоторые солдаты сошли с ума. Русские нанесли нам страшный удар. О сопротивлении нечего было и думать. Я с группой солдат сдался в плен» (15010).</w:t>
      </w:r>
    </w:p>
    <w:p w14:paraId="4817100A" w14:textId="77777777" w:rsidR="00650270" w:rsidRPr="00925F26" w:rsidRDefault="00650270" w:rsidP="00925F26">
      <w:pPr>
        <w:jc w:val="both"/>
        <w:rPr>
          <w:color w:val="000000" w:themeColor="text1"/>
          <w:sz w:val="16"/>
          <w:szCs w:val="16"/>
        </w:rPr>
      </w:pPr>
    </w:p>
    <w:p w14:paraId="37CF1A43" w14:textId="77777777" w:rsidR="00650270" w:rsidRPr="00925F26" w:rsidRDefault="00650270" w:rsidP="00925F26">
      <w:pPr>
        <w:jc w:val="both"/>
        <w:rPr>
          <w:color w:val="000000" w:themeColor="text1"/>
          <w:sz w:val="16"/>
          <w:szCs w:val="16"/>
        </w:rPr>
      </w:pPr>
      <w:r w:rsidRPr="00925F26">
        <w:rPr>
          <w:bCs/>
          <w:color w:val="000000" w:themeColor="text1"/>
          <w:sz w:val="16"/>
          <w:szCs w:val="16"/>
        </w:rPr>
        <w:t>15 января</w:t>
      </w:r>
      <w:r w:rsidRPr="00925F26">
        <w:rPr>
          <w:color w:val="000000" w:themeColor="text1"/>
          <w:sz w:val="16"/>
          <w:szCs w:val="16"/>
        </w:rPr>
        <w:t xml:space="preserve"> в 1945 году войска 2-го Белорусского фронта прорвали главную полосу обороны противника на млавском направлении (15010).</w:t>
      </w:r>
    </w:p>
    <w:p w14:paraId="1F2F52E2" w14:textId="77777777" w:rsidR="00650270" w:rsidRPr="00925F26" w:rsidRDefault="00650270" w:rsidP="00925F26">
      <w:pPr>
        <w:jc w:val="both"/>
        <w:rPr>
          <w:color w:val="000000" w:themeColor="text1"/>
          <w:sz w:val="16"/>
          <w:szCs w:val="16"/>
        </w:rPr>
      </w:pPr>
    </w:p>
    <w:p w14:paraId="758B7A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15 января 1945 года в Восточной Пруссии, в районе Борове, немцы силою до полка мотопехоты (при поддержке танков и самоходных орудий) контратаковали боевые порядки нашей наступавшей пехоты, вместе с которой действовал 390-й Гв. </w:t>
      </w:r>
      <w:proofErr w:type="gramStart"/>
      <w:r w:rsidRPr="00925F26">
        <w:rPr>
          <w:color w:val="000000" w:themeColor="text1"/>
          <w:sz w:val="16"/>
          <w:szCs w:val="16"/>
        </w:rPr>
        <w:t>ТСАП..</w:t>
      </w:r>
      <w:proofErr w:type="gramEnd"/>
      <w:r w:rsidRPr="00925F26">
        <w:rPr>
          <w:color w:val="000000" w:themeColor="text1"/>
          <w:sz w:val="16"/>
          <w:szCs w:val="16"/>
        </w:rPr>
        <w:t xml:space="preserve"> Пехота под давлением превосходящих сил противника отошла за боевые порядки полка, встретившего удар немцев сосредоточенным огнем и прикрывшего поддерживаемые подразделения. Контратака была отбита, и пехота вновь получила возможность продолжать свое наступление. (3862).</w:t>
      </w:r>
    </w:p>
    <w:p w14:paraId="02D6F9CE" w14:textId="77777777" w:rsidR="00C2313B" w:rsidRPr="00925F26" w:rsidRDefault="00C2313B" w:rsidP="00925F26">
      <w:pPr>
        <w:autoSpaceDE w:val="0"/>
        <w:autoSpaceDN w:val="0"/>
        <w:adjustRightInd w:val="0"/>
        <w:jc w:val="both"/>
        <w:rPr>
          <w:color w:val="000000" w:themeColor="text1"/>
          <w:sz w:val="16"/>
          <w:szCs w:val="16"/>
        </w:rPr>
      </w:pPr>
    </w:p>
    <w:p w14:paraId="0C3A11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 января 1945 на советских авиаминах подорвался сторожевик V1704 у Либавы, 17 января - транспорт Steinburg (1319 брт.) там же, 29 января - транспорт Henry Lutgens (1141 брт.) у Виндавы. В 1945 минные постановки на БМ продолжились. За четыре месяца самолеты выставили 288 мин у Мемеля, Пиллау и косы Хела. Однако советское командование все отчетливей осознавало, что конец войны не за горами, и тралить мины придется самим. Масштабы постановок снизились, однако противник продолжал нести значительные потери. Всего за годы войны авиация Балтфлота выставила 1588 мин, на которых достоверно погибло не менее 20-25 кораблей (2867,32).</w:t>
      </w:r>
    </w:p>
    <w:p w14:paraId="2AC407E4" w14:textId="77777777" w:rsidR="00C2313B" w:rsidRPr="00925F26" w:rsidRDefault="00C2313B" w:rsidP="00925F26">
      <w:pPr>
        <w:autoSpaceDE w:val="0"/>
        <w:autoSpaceDN w:val="0"/>
        <w:adjustRightInd w:val="0"/>
        <w:jc w:val="both"/>
        <w:rPr>
          <w:color w:val="000000" w:themeColor="text1"/>
          <w:sz w:val="16"/>
          <w:szCs w:val="16"/>
        </w:rPr>
      </w:pPr>
    </w:p>
    <w:p w14:paraId="3D6F8698"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January 15, 1945: In its drive toward the </w:t>
      </w:r>
      <w:proofErr w:type="gramStart"/>
      <w:r w:rsidRPr="00925F26">
        <w:rPr>
          <w:color w:val="000000" w:themeColor="text1"/>
          <w:sz w:val="16"/>
          <w:szCs w:val="16"/>
          <w:lang w:val="en-US"/>
        </w:rPr>
        <w:t>Oder river</w:t>
      </w:r>
      <w:proofErr w:type="gramEnd"/>
      <w:r w:rsidRPr="00925F26">
        <w:rPr>
          <w:color w:val="000000" w:themeColor="text1"/>
          <w:sz w:val="16"/>
          <w:szCs w:val="16"/>
          <w:lang w:val="en-US"/>
        </w:rPr>
        <w:t>, the Red Army captures Kielce in western Poland (3819).</w:t>
      </w:r>
    </w:p>
    <w:p w14:paraId="7A8B3877" w14:textId="77777777" w:rsidR="00C2313B" w:rsidRPr="00925F26" w:rsidRDefault="00C2313B" w:rsidP="00925F26">
      <w:pPr>
        <w:autoSpaceDE w:val="0"/>
        <w:autoSpaceDN w:val="0"/>
        <w:adjustRightInd w:val="0"/>
        <w:jc w:val="both"/>
        <w:rPr>
          <w:color w:val="000000" w:themeColor="text1"/>
          <w:sz w:val="16"/>
          <w:szCs w:val="16"/>
          <w:lang w:val="en-US"/>
        </w:rPr>
      </w:pPr>
    </w:p>
    <w:p w14:paraId="4A021B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 января 1945 в ходе наступления на Одер КА заняла г Кильце в Польше (3819).</w:t>
      </w:r>
    </w:p>
    <w:p w14:paraId="4DD58CD5" w14:textId="77777777" w:rsidR="00C2313B" w:rsidRPr="00925F26" w:rsidRDefault="00C2313B" w:rsidP="00925F26">
      <w:pPr>
        <w:autoSpaceDE w:val="0"/>
        <w:autoSpaceDN w:val="0"/>
        <w:adjustRightInd w:val="0"/>
        <w:jc w:val="both"/>
        <w:rPr>
          <w:color w:val="000000" w:themeColor="text1"/>
          <w:sz w:val="16"/>
          <w:szCs w:val="16"/>
        </w:rPr>
      </w:pPr>
    </w:p>
    <w:p w14:paraId="1488948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6B7E8DF" w14:textId="77777777" w:rsidR="00C2313B" w:rsidRPr="00925F26" w:rsidRDefault="00C2313B" w:rsidP="00925F26">
      <w:pPr>
        <w:autoSpaceDE w:val="0"/>
        <w:autoSpaceDN w:val="0"/>
        <w:adjustRightInd w:val="0"/>
        <w:jc w:val="both"/>
        <w:rPr>
          <w:iCs/>
          <w:color w:val="000000" w:themeColor="text1"/>
          <w:sz w:val="16"/>
          <w:szCs w:val="16"/>
        </w:rPr>
      </w:pPr>
    </w:p>
    <w:p w14:paraId="686D92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 января 1945 вышло Постановление ГКО № 7326 О переселении колхозников в районы Карельского перешейка Ленинградской области. РГАНИР, Фонд ГКО, д. 350, лл. 5-11, 12 (11012).</w:t>
      </w:r>
    </w:p>
    <w:p w14:paraId="4E932F6D" w14:textId="77777777" w:rsidR="00C2313B" w:rsidRPr="00925F26" w:rsidRDefault="00C2313B" w:rsidP="00925F26">
      <w:pPr>
        <w:autoSpaceDE w:val="0"/>
        <w:autoSpaceDN w:val="0"/>
        <w:adjustRightInd w:val="0"/>
        <w:jc w:val="both"/>
        <w:rPr>
          <w:color w:val="000000" w:themeColor="text1"/>
          <w:sz w:val="16"/>
          <w:szCs w:val="16"/>
        </w:rPr>
      </w:pPr>
    </w:p>
    <w:p w14:paraId="7F8F480E" w14:textId="77777777" w:rsidR="00650270"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6CC2AA9" w14:textId="77777777" w:rsidR="00650270" w:rsidRPr="00925F26" w:rsidRDefault="00650270" w:rsidP="00925F26">
      <w:pPr>
        <w:autoSpaceDE w:val="0"/>
        <w:autoSpaceDN w:val="0"/>
        <w:adjustRightInd w:val="0"/>
        <w:jc w:val="both"/>
        <w:rPr>
          <w:iCs/>
          <w:color w:val="000000" w:themeColor="text1"/>
          <w:sz w:val="16"/>
          <w:szCs w:val="16"/>
        </w:rPr>
      </w:pPr>
    </w:p>
    <w:p w14:paraId="518D6CAF" w14:textId="77777777" w:rsidR="00650270" w:rsidRPr="00925F26" w:rsidRDefault="00650270" w:rsidP="00925F26">
      <w:pPr>
        <w:jc w:val="both"/>
        <w:rPr>
          <w:bCs/>
          <w:color w:val="000000" w:themeColor="text1"/>
          <w:sz w:val="16"/>
          <w:szCs w:val="16"/>
        </w:rPr>
      </w:pPr>
      <w:r w:rsidRPr="00925F26">
        <w:rPr>
          <w:bCs/>
          <w:color w:val="000000" w:themeColor="text1"/>
          <w:sz w:val="16"/>
          <w:szCs w:val="16"/>
        </w:rPr>
        <w:t>15 января</w:t>
      </w:r>
      <w:r w:rsidRPr="00925F26">
        <w:rPr>
          <w:color w:val="000000" w:themeColor="text1"/>
          <w:sz w:val="16"/>
          <w:szCs w:val="16"/>
        </w:rPr>
        <w:t xml:space="preserve"> в 1945 году первый полёт первого серийного ночного истребителя «P-38M» «Lightning» (компания «Lockheed», США). Для переоборудования в ночной истребитель был взят серийный «Lightning» «P-38J». Контейнер с радиолокатором установили на специальный пилон под носовой частью центральной гондолы. В качестве средства обнаружения избрали хорошо зарекомендовавший себя локатор AN/APS-4.</w:t>
      </w:r>
    </w:p>
    <w:p w14:paraId="398F66DE" w14:textId="77777777" w:rsidR="00650270" w:rsidRPr="00925F26" w:rsidRDefault="00650270" w:rsidP="00925F26">
      <w:pPr>
        <w:jc w:val="both"/>
        <w:rPr>
          <w:color w:val="000000" w:themeColor="text1"/>
          <w:sz w:val="16"/>
          <w:szCs w:val="16"/>
        </w:rPr>
      </w:pPr>
      <w:r w:rsidRPr="00925F26">
        <w:rPr>
          <w:color w:val="000000" w:themeColor="text1"/>
          <w:sz w:val="16"/>
          <w:szCs w:val="16"/>
        </w:rPr>
        <w:t>На стволах пушки и пулеметов смонтировали пламегасители. За счет выступающей части контейнера длина «Р-38М» возросла до 11,81 м. Антенну УКВ-радиостанции на серийных машинах перенесли под левую балку за нишу основной стойки шасси. Переоборудование уже законченных постройкой «P-38L2 в ночные истребители выполнял далласский центр модификаций фирмы «Локхид» (15010).</w:t>
      </w:r>
    </w:p>
    <w:p w14:paraId="4D6A1EB3" w14:textId="77777777" w:rsidR="00650270" w:rsidRPr="00925F26" w:rsidRDefault="00650270" w:rsidP="00925F26">
      <w:pPr>
        <w:jc w:val="both"/>
        <w:rPr>
          <w:color w:val="000000" w:themeColor="text1"/>
          <w:sz w:val="16"/>
          <w:szCs w:val="16"/>
        </w:rPr>
      </w:pPr>
    </w:p>
    <w:p w14:paraId="4127435D" w14:textId="77777777" w:rsidR="00E31928" w:rsidRPr="00925F26" w:rsidRDefault="00E31928" w:rsidP="00925F26">
      <w:pPr>
        <w:jc w:val="both"/>
        <w:rPr>
          <w:color w:val="000000" w:themeColor="text1"/>
          <w:sz w:val="16"/>
          <w:szCs w:val="16"/>
        </w:rPr>
      </w:pPr>
      <w:r w:rsidRPr="00925F26">
        <w:rPr>
          <w:color w:val="000000" w:themeColor="text1"/>
          <w:sz w:val="16"/>
          <w:szCs w:val="16"/>
        </w:rPr>
        <w:t>15 января 1945 авианосцы оперативной группы 38 в плохую погоду нанесли удар по японским войскам в Китае, Формозе и Пескадоре, потопив два эсминца, транспорт и танкер и уничтожив 16 японских самолетов в воздухе и 18 на земле в обмен на потерю 12 Самолет США (20371).</w:t>
      </w:r>
    </w:p>
    <w:p w14:paraId="1A50256C" w14:textId="77777777" w:rsidR="00E31928" w:rsidRPr="00925F26" w:rsidRDefault="00E31928" w:rsidP="00925F26">
      <w:pPr>
        <w:jc w:val="both"/>
        <w:rPr>
          <w:color w:val="000000" w:themeColor="text1"/>
          <w:sz w:val="16"/>
          <w:szCs w:val="16"/>
        </w:rPr>
      </w:pPr>
    </w:p>
    <w:p w14:paraId="0FB86386" w14:textId="77777777" w:rsidR="00E31928" w:rsidRPr="00925F26" w:rsidRDefault="00E31928" w:rsidP="00925F26">
      <w:pPr>
        <w:jc w:val="both"/>
        <w:rPr>
          <w:color w:val="000000" w:themeColor="text1"/>
          <w:sz w:val="16"/>
          <w:szCs w:val="16"/>
        </w:rPr>
      </w:pPr>
      <w:r w:rsidRPr="00925F26">
        <w:rPr>
          <w:color w:val="000000" w:themeColor="text1"/>
          <w:sz w:val="16"/>
          <w:szCs w:val="16"/>
        </w:rPr>
        <w:t>15 января 1945 немецкая подводная лодка U-1172 торпедирует британский авианосец сопровождения HMS Thane в Ирландском море недалеко отя Clyde Тан никогда больше не будет мореходным (20371).</w:t>
      </w:r>
    </w:p>
    <w:p w14:paraId="2FCEC381" w14:textId="77777777" w:rsidR="00E31928" w:rsidRPr="00925F26" w:rsidRDefault="00E31928" w:rsidP="00925F26">
      <w:pPr>
        <w:jc w:val="both"/>
        <w:rPr>
          <w:color w:val="000000" w:themeColor="text1"/>
          <w:sz w:val="16"/>
          <w:szCs w:val="16"/>
        </w:rPr>
      </w:pPr>
    </w:p>
    <w:p w14:paraId="7B28A0E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0B0A822" w14:textId="77777777" w:rsidR="00C2313B" w:rsidRPr="00925F26" w:rsidRDefault="00C2313B" w:rsidP="00925F26">
      <w:pPr>
        <w:autoSpaceDE w:val="0"/>
        <w:autoSpaceDN w:val="0"/>
        <w:adjustRightInd w:val="0"/>
        <w:jc w:val="both"/>
        <w:rPr>
          <w:iCs/>
          <w:color w:val="000000" w:themeColor="text1"/>
          <w:sz w:val="16"/>
          <w:szCs w:val="16"/>
        </w:rPr>
      </w:pPr>
    </w:p>
    <w:p w14:paraId="742F1C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середине января 1945 перегонщики доставили на аэродром 5 зап 45 Ил-10 для 108 гшап (111,172).</w:t>
      </w:r>
    </w:p>
    <w:p w14:paraId="4E70FFB9" w14:textId="77777777" w:rsidR="00C2313B" w:rsidRPr="00925F26" w:rsidRDefault="00C2313B" w:rsidP="00925F26">
      <w:pPr>
        <w:autoSpaceDE w:val="0"/>
        <w:autoSpaceDN w:val="0"/>
        <w:adjustRightInd w:val="0"/>
        <w:jc w:val="both"/>
        <w:rPr>
          <w:color w:val="000000" w:themeColor="text1"/>
          <w:sz w:val="16"/>
          <w:szCs w:val="16"/>
        </w:rPr>
      </w:pPr>
    </w:p>
    <w:p w14:paraId="600F43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середины января 1945 американские самолеты Р-47 "Тандерболт" довольно интенсивно использовались для разведки в западной части Балтийского моря. Летали они как поодиночке, так и парами (3457,86).</w:t>
      </w:r>
    </w:p>
    <w:p w14:paraId="44AA243C" w14:textId="77777777" w:rsidR="00C2313B" w:rsidRPr="00925F26" w:rsidRDefault="00C2313B" w:rsidP="00925F26">
      <w:pPr>
        <w:autoSpaceDE w:val="0"/>
        <w:autoSpaceDN w:val="0"/>
        <w:adjustRightInd w:val="0"/>
        <w:jc w:val="both"/>
        <w:rPr>
          <w:color w:val="000000" w:themeColor="text1"/>
          <w:sz w:val="16"/>
          <w:szCs w:val="16"/>
        </w:rPr>
      </w:pPr>
    </w:p>
    <w:p w14:paraId="4E3CF42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3704F26" w14:textId="77777777" w:rsidR="00C2313B" w:rsidRPr="00925F26" w:rsidRDefault="00C2313B" w:rsidP="00925F26">
      <w:pPr>
        <w:autoSpaceDE w:val="0"/>
        <w:autoSpaceDN w:val="0"/>
        <w:adjustRightInd w:val="0"/>
        <w:jc w:val="both"/>
        <w:rPr>
          <w:iCs/>
          <w:color w:val="000000" w:themeColor="text1"/>
          <w:sz w:val="16"/>
          <w:szCs w:val="16"/>
        </w:rPr>
      </w:pPr>
    </w:p>
    <w:p w14:paraId="56990E64" w14:textId="77777777" w:rsidR="000E7D6A" w:rsidRPr="00925F26" w:rsidRDefault="000E7D6A" w:rsidP="00925F26">
      <w:pPr>
        <w:jc w:val="both"/>
        <w:rPr>
          <w:color w:val="000000" w:themeColor="text1"/>
          <w:sz w:val="16"/>
          <w:szCs w:val="16"/>
        </w:rPr>
      </w:pPr>
      <w:r w:rsidRPr="00925F26">
        <w:rPr>
          <w:rStyle w:val="107"/>
          <w:rFonts w:eastAsiaTheme="minorHAnsi"/>
          <w:color w:val="000000" w:themeColor="text1"/>
          <w:sz w:val="16"/>
          <w:szCs w:val="16"/>
        </w:rPr>
        <w:t>16 января 1945 с учетом того, что ВУ-9 к этому времени удовлетворительно прошла наземные заводские испытания, а «испытания в воздухе задерживаются вследствие плохой погоды и отсутствия АМ-42, переделанного по последующим рекомендациям», заместитель главного инженера ВВС КА генерал Лапин дал согласие принять 150 Ил-10 с пушкой УБ-20 на ВУ-9 до окончания официальных испытаний установки в ГК НИИ ВВС (17490).</w:t>
      </w:r>
    </w:p>
    <w:p w14:paraId="48C9E4E6" w14:textId="77777777" w:rsidR="000E7D6A" w:rsidRPr="00925F26" w:rsidRDefault="000E7D6A" w:rsidP="00925F26">
      <w:pPr>
        <w:jc w:val="both"/>
        <w:rPr>
          <w:color w:val="000000" w:themeColor="text1"/>
          <w:sz w:val="16"/>
          <w:szCs w:val="16"/>
        </w:rPr>
      </w:pPr>
    </w:p>
    <w:p w14:paraId="045F2B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вышел приказ НКАП N10сс "Об увеличении выпуска самолетов Ту-2 на заводе 23":</w:t>
      </w:r>
    </w:p>
    <w:p w14:paraId="52219A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установить заводу 23 программу по выпуску самолетов Ту-2 в след. количестве: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0B35D30B" w14:textId="77777777">
        <w:tc>
          <w:tcPr>
            <w:tcW w:w="5636" w:type="dxa"/>
          </w:tcPr>
          <w:p w14:paraId="6E270C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w:t>
            </w:r>
          </w:p>
        </w:tc>
        <w:tc>
          <w:tcPr>
            <w:tcW w:w="5636" w:type="dxa"/>
          </w:tcPr>
          <w:p w14:paraId="6B21D0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55</w:t>
            </w:r>
          </w:p>
        </w:tc>
      </w:tr>
      <w:tr w:rsidR="000F5689" w:rsidRPr="00925F26" w14:paraId="1DEB8B60" w14:textId="77777777">
        <w:tc>
          <w:tcPr>
            <w:tcW w:w="5636" w:type="dxa"/>
          </w:tcPr>
          <w:p w14:paraId="2AEDF9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феврале</w:t>
            </w:r>
          </w:p>
        </w:tc>
        <w:tc>
          <w:tcPr>
            <w:tcW w:w="5636" w:type="dxa"/>
          </w:tcPr>
          <w:p w14:paraId="068100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w:t>
            </w:r>
          </w:p>
        </w:tc>
      </w:tr>
      <w:tr w:rsidR="000F5689" w:rsidRPr="00925F26" w14:paraId="48F02A15" w14:textId="77777777">
        <w:tc>
          <w:tcPr>
            <w:tcW w:w="5636" w:type="dxa"/>
          </w:tcPr>
          <w:p w14:paraId="704EB2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марте</w:t>
            </w:r>
          </w:p>
        </w:tc>
        <w:tc>
          <w:tcPr>
            <w:tcW w:w="5636" w:type="dxa"/>
          </w:tcPr>
          <w:p w14:paraId="16229D1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w:t>
            </w:r>
          </w:p>
        </w:tc>
      </w:tr>
      <w:tr w:rsidR="000F5689" w:rsidRPr="00925F26" w14:paraId="6FA64C21" w14:textId="77777777">
        <w:tc>
          <w:tcPr>
            <w:tcW w:w="5636" w:type="dxa"/>
          </w:tcPr>
          <w:p w14:paraId="408B35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апреле</w:t>
            </w:r>
          </w:p>
        </w:tc>
        <w:tc>
          <w:tcPr>
            <w:tcW w:w="5636" w:type="dxa"/>
          </w:tcPr>
          <w:p w14:paraId="37811F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90 (1885,112)</w:t>
            </w:r>
          </w:p>
        </w:tc>
      </w:tr>
    </w:tbl>
    <w:p w14:paraId="59C391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С.В.И. писал Кузнецову и А.И.Ш. письмо:</w:t>
      </w:r>
    </w:p>
    <w:p w14:paraId="3EB139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 Ил-10 прошел гос. испытания, имея для обстрела задней полусферы установку с пушкой 20 мм конструкции Шпитального.</w:t>
      </w:r>
    </w:p>
    <w:p w14:paraId="3005716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последствии запущена в серию пушка Березина 20 мм</w:t>
      </w:r>
    </w:p>
    <w:p w14:paraId="5BDC7D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Пушка Березина запоздала с выходом из серии, поэтому самолет Ил-10 был начат постройкой с установкой пулемета Березина 12.7 мм с магазинным питанием.</w:t>
      </w:r>
    </w:p>
    <w:p w14:paraId="34C270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Установка пушки Березина, произведенная ГК С.В.И., прошла удовлетворительно заводские испытания и все наземные испытания в НИИ ВВС.</w:t>
      </w:r>
    </w:p>
    <w:p w14:paraId="2254EB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Испытания установки в воздухе задерживаются вследствие плохой погоды и отсутствия АМ-42, переделанного по последующим рекомендациям.</w:t>
      </w:r>
    </w:p>
    <w:p w14:paraId="2EE004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ГК С.В.И. на основании проведенных им заводских испытаний, а также не основании наземных испытаний в НИИ ВВС гарантирует надежную работу установки с пушкой Березина 20 мм.</w:t>
      </w:r>
    </w:p>
    <w:p w14:paraId="63226F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Принимая во внимание, что установка с пулеметом Березина с магазинным питанием значительно уступает пушечной установке, просим утвердить след. порядок внедрения установки с пушкой Березина:</w:t>
      </w:r>
    </w:p>
    <w:p w14:paraId="3B10B5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выпустить 20 самолетов Ил-10</w:t>
      </w:r>
    </w:p>
    <w:p w14:paraId="0B06E5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феврале - 75,</w:t>
      </w:r>
    </w:p>
    <w:p w14:paraId="229838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марте - 150,</w:t>
      </w:r>
    </w:p>
    <w:p w14:paraId="44C346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апреле выпустить все самолеты Ил-10 с пушечными установками.</w:t>
      </w:r>
    </w:p>
    <w:p w14:paraId="127093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ГИ ВВС Лапин дал согласие принять сто пятьдесят самолетов Ил-10 с установкой пушки Березина до окончания испытаний установки в НИИ ВВС." (1918,41).</w:t>
      </w:r>
    </w:p>
    <w:p w14:paraId="03C6CF1E" w14:textId="77777777" w:rsidR="00C2313B" w:rsidRPr="00925F26" w:rsidRDefault="00C2313B" w:rsidP="00925F26">
      <w:pPr>
        <w:autoSpaceDE w:val="0"/>
        <w:autoSpaceDN w:val="0"/>
        <w:adjustRightInd w:val="0"/>
        <w:jc w:val="both"/>
        <w:rPr>
          <w:color w:val="000000" w:themeColor="text1"/>
          <w:sz w:val="16"/>
          <w:szCs w:val="16"/>
        </w:rPr>
      </w:pPr>
    </w:p>
    <w:p w14:paraId="7D0460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года по приказу НКАП от за № 9с на завод № 150 было перебазировано с завода № 49 производство жаропрочных спецсплавов и резцов с пластинами из твердых сплавов (9504).</w:t>
      </w:r>
    </w:p>
    <w:p w14:paraId="2BF70DF4" w14:textId="77777777" w:rsidR="00C2313B" w:rsidRPr="00925F26" w:rsidRDefault="00C2313B" w:rsidP="00925F26">
      <w:pPr>
        <w:autoSpaceDE w:val="0"/>
        <w:autoSpaceDN w:val="0"/>
        <w:adjustRightInd w:val="0"/>
        <w:jc w:val="both"/>
        <w:rPr>
          <w:color w:val="000000" w:themeColor="text1"/>
          <w:sz w:val="16"/>
          <w:szCs w:val="16"/>
        </w:rPr>
      </w:pPr>
    </w:p>
    <w:p w14:paraId="3FDF22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16 января 1945 г. приказом НКАП № 9с с 1.01.1945 г. завод № 49 (ГС Завод № 49 НКАП / г. Балашиха Московской обл. ш. Энтузиастов, 19-й </w:t>
      </w:r>
      <w:proofErr w:type="gramStart"/>
      <w:r w:rsidRPr="00925F26">
        <w:rPr>
          <w:color w:val="000000" w:themeColor="text1"/>
          <w:sz w:val="16"/>
          <w:szCs w:val="16"/>
        </w:rPr>
        <w:t>км;  г.Уфа</w:t>
      </w:r>
      <w:proofErr w:type="gramEnd"/>
      <w:r w:rsidRPr="00925F26">
        <w:rPr>
          <w:color w:val="000000" w:themeColor="text1"/>
          <w:sz w:val="16"/>
          <w:szCs w:val="16"/>
        </w:rPr>
        <w:t xml:space="preserve"> Сталинский район/) влит в состав завода № 150 НКАП (). Помещения и площади завода в Уфе переданы Уфимскому авторемонтному заводу НК автомобильного транспорта РСФСР (приказ № 1 Юс от 21.03.1945 г.) и Наркомзему Башкирской АССР (приказ № 118с от 26.03.1945 г.).</w:t>
      </w:r>
    </w:p>
    <w:p w14:paraId="6E38B9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(1941 г.)- Волошенко, (-08.1942-09.1943 г.-)- Антипов (11982).</w:t>
      </w:r>
    </w:p>
    <w:p w14:paraId="11246CFB" w14:textId="77777777" w:rsidR="00C2313B" w:rsidRPr="00925F26" w:rsidRDefault="00C2313B" w:rsidP="00925F26">
      <w:pPr>
        <w:autoSpaceDE w:val="0"/>
        <w:autoSpaceDN w:val="0"/>
        <w:adjustRightInd w:val="0"/>
        <w:jc w:val="both"/>
        <w:rPr>
          <w:color w:val="000000" w:themeColor="text1"/>
          <w:sz w:val="16"/>
          <w:szCs w:val="16"/>
        </w:rPr>
      </w:pPr>
    </w:p>
    <w:p w14:paraId="3D75A23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4DDDBD2" w14:textId="77777777" w:rsidR="00C2313B" w:rsidRPr="00925F26" w:rsidRDefault="00C2313B" w:rsidP="00925F26">
      <w:pPr>
        <w:autoSpaceDE w:val="0"/>
        <w:autoSpaceDN w:val="0"/>
        <w:adjustRightInd w:val="0"/>
        <w:jc w:val="both"/>
        <w:rPr>
          <w:iCs/>
          <w:color w:val="000000" w:themeColor="text1"/>
          <w:sz w:val="16"/>
          <w:szCs w:val="16"/>
        </w:rPr>
      </w:pPr>
    </w:p>
    <w:p w14:paraId="2E46E3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16 января 1945 года на ГАП проходили полигонные испытания опытного образца 85-мм пушки БЛ-25. В ходе полигонных испытаний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 (3861).</w:t>
      </w:r>
    </w:p>
    <w:p w14:paraId="70823D4C" w14:textId="77777777" w:rsidR="00C2313B" w:rsidRPr="00925F26" w:rsidRDefault="00C2313B" w:rsidP="00925F26">
      <w:pPr>
        <w:autoSpaceDE w:val="0"/>
        <w:autoSpaceDN w:val="0"/>
        <w:adjustRightInd w:val="0"/>
        <w:jc w:val="both"/>
        <w:rPr>
          <w:color w:val="000000" w:themeColor="text1"/>
          <w:sz w:val="16"/>
          <w:szCs w:val="16"/>
        </w:rPr>
      </w:pPr>
    </w:p>
    <w:p w14:paraId="4F766DF1" w14:textId="72D3B6C5" w:rsidR="00573476" w:rsidRPr="00925F26" w:rsidRDefault="00573476" w:rsidP="00925F26">
      <w:pPr>
        <w:jc w:val="both"/>
        <w:rPr>
          <w:color w:val="000000" w:themeColor="text1"/>
          <w:sz w:val="16"/>
          <w:szCs w:val="16"/>
        </w:rPr>
      </w:pPr>
      <w:r w:rsidRPr="00925F26">
        <w:rPr>
          <w:color w:val="000000" w:themeColor="text1"/>
          <w:sz w:val="16"/>
          <w:szCs w:val="16"/>
        </w:rPr>
        <w:lastRenderedPageBreak/>
        <w:t xml:space="preserve">16 января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0D648E98" w14:textId="089C5232" w:rsidR="00573476" w:rsidRPr="00925F26" w:rsidRDefault="00573476" w:rsidP="00925F26">
      <w:pPr>
        <w:jc w:val="both"/>
        <w:rPr>
          <w:color w:val="000000" w:themeColor="text1"/>
          <w:sz w:val="16"/>
          <w:szCs w:val="16"/>
        </w:rPr>
      </w:pPr>
      <w:r w:rsidRPr="00925F26">
        <w:rPr>
          <w:color w:val="000000" w:themeColor="text1"/>
          <w:sz w:val="16"/>
          <w:szCs w:val="16"/>
        </w:rPr>
        <w:t xml:space="preserve">Согласно отчету комиссии от 2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пушка БЛ-25 полигонные испытания не выдержала и требует доработки. Вскоре работы по пушке были прекращены.</w:t>
      </w:r>
    </w:p>
    <w:p w14:paraId="65BF211A" w14:textId="77777777" w:rsidR="00573476" w:rsidRPr="00925F26" w:rsidRDefault="00573476" w:rsidP="00925F26">
      <w:pPr>
        <w:jc w:val="both"/>
        <w:rPr>
          <w:color w:val="000000" w:themeColor="text1"/>
          <w:sz w:val="16"/>
          <w:szCs w:val="16"/>
        </w:rPr>
      </w:pPr>
      <w:r w:rsidRPr="00925F26">
        <w:rPr>
          <w:color w:val="000000" w:themeColor="text1"/>
          <w:sz w:val="16"/>
          <w:szCs w:val="16"/>
        </w:rPr>
        <w:t xml:space="preserve">Данные 85-мм пушки БЛ-25 </w:t>
      </w:r>
    </w:p>
    <w:p w14:paraId="7065D203" w14:textId="77777777" w:rsidR="00573476" w:rsidRPr="00925F26" w:rsidRDefault="00573476" w:rsidP="00925F26">
      <w:pPr>
        <w:jc w:val="both"/>
        <w:rPr>
          <w:color w:val="000000" w:themeColor="text1"/>
          <w:sz w:val="16"/>
          <w:szCs w:val="16"/>
        </w:rPr>
      </w:pPr>
      <w:r w:rsidRPr="00925F26">
        <w:rPr>
          <w:color w:val="000000" w:themeColor="text1"/>
          <w:sz w:val="16"/>
          <w:szCs w:val="16"/>
        </w:rPr>
        <w:t>Конструктивные данные ствола</w:t>
      </w:r>
    </w:p>
    <w:p w14:paraId="0D36A8B1" w14:textId="4C495A41" w:rsidR="00573476" w:rsidRPr="00925F26" w:rsidRDefault="00573476" w:rsidP="00925F26">
      <w:pPr>
        <w:jc w:val="both"/>
        <w:rPr>
          <w:color w:val="000000" w:themeColor="text1"/>
          <w:sz w:val="16"/>
          <w:szCs w:val="16"/>
        </w:rPr>
      </w:pPr>
      <w:r w:rsidRPr="00925F26">
        <w:rPr>
          <w:color w:val="000000" w:themeColor="text1"/>
          <w:sz w:val="16"/>
          <w:szCs w:val="16"/>
        </w:rPr>
        <w:t xml:space="preserve">Калибр,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85</w:t>
      </w:r>
    </w:p>
    <w:p w14:paraId="04F23B7D" w14:textId="02111E6F" w:rsidR="00573476" w:rsidRPr="00925F26" w:rsidRDefault="00573476" w:rsidP="00925F26">
      <w:pPr>
        <w:jc w:val="both"/>
        <w:rPr>
          <w:color w:val="000000" w:themeColor="text1"/>
          <w:sz w:val="16"/>
          <w:szCs w:val="16"/>
        </w:rPr>
      </w:pPr>
      <w:r w:rsidRPr="00925F26">
        <w:rPr>
          <w:color w:val="000000" w:themeColor="text1"/>
          <w:sz w:val="16"/>
          <w:szCs w:val="16"/>
        </w:rPr>
        <w:t>Длина ствола полная, мм/</w:t>
      </w:r>
      <w:proofErr w:type="gramStart"/>
      <w:r w:rsidRPr="00925F26">
        <w:rPr>
          <w:color w:val="000000" w:themeColor="text1"/>
          <w:sz w:val="16"/>
          <w:szCs w:val="16"/>
        </w:rPr>
        <w:t>клб</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4573/53,8</w:t>
      </w:r>
    </w:p>
    <w:p w14:paraId="5BE0CBD4" w14:textId="7475343B" w:rsidR="00573476" w:rsidRPr="00925F26" w:rsidRDefault="00573476" w:rsidP="00925F26">
      <w:pPr>
        <w:jc w:val="both"/>
        <w:rPr>
          <w:color w:val="000000" w:themeColor="text1"/>
          <w:sz w:val="16"/>
          <w:szCs w:val="16"/>
        </w:rPr>
      </w:pPr>
      <w:r w:rsidRPr="00925F26">
        <w:rPr>
          <w:color w:val="000000" w:themeColor="text1"/>
          <w:sz w:val="16"/>
          <w:szCs w:val="16"/>
        </w:rPr>
        <w:t>Длина канала, мм/</w:t>
      </w:r>
      <w:proofErr w:type="gramStart"/>
      <w:r w:rsidRPr="00925F26">
        <w:rPr>
          <w:color w:val="000000" w:themeColor="text1"/>
          <w:sz w:val="16"/>
          <w:szCs w:val="16"/>
        </w:rPr>
        <w:t>клб</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4150/48,8</w:t>
      </w:r>
    </w:p>
    <w:p w14:paraId="59F85E4E" w14:textId="7090EEC1" w:rsidR="00573476" w:rsidRPr="00925F26" w:rsidRDefault="00573476" w:rsidP="00925F26">
      <w:pPr>
        <w:jc w:val="both"/>
        <w:rPr>
          <w:color w:val="000000" w:themeColor="text1"/>
          <w:sz w:val="16"/>
          <w:szCs w:val="16"/>
        </w:rPr>
      </w:pPr>
      <w:r w:rsidRPr="00925F26">
        <w:rPr>
          <w:color w:val="000000" w:themeColor="text1"/>
          <w:sz w:val="16"/>
          <w:szCs w:val="16"/>
        </w:rPr>
        <w:t xml:space="preserve">Длина нарезной части,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3495</w:t>
      </w:r>
    </w:p>
    <w:p w14:paraId="2846AB75" w14:textId="2327CE6B" w:rsidR="00573476" w:rsidRPr="00925F26" w:rsidRDefault="00573476" w:rsidP="00925F26">
      <w:pPr>
        <w:jc w:val="both"/>
        <w:rPr>
          <w:color w:val="000000" w:themeColor="text1"/>
          <w:sz w:val="16"/>
          <w:szCs w:val="16"/>
        </w:rPr>
      </w:pPr>
      <w:r w:rsidRPr="00925F26">
        <w:rPr>
          <w:color w:val="000000" w:themeColor="text1"/>
          <w:sz w:val="16"/>
          <w:szCs w:val="16"/>
        </w:rPr>
        <w:t xml:space="preserve">Крутизна нарезов, </w:t>
      </w:r>
      <w:proofErr w:type="gramStart"/>
      <w:r w:rsidRPr="00925F26">
        <w:rPr>
          <w:color w:val="000000" w:themeColor="text1"/>
          <w:sz w:val="16"/>
          <w:szCs w:val="16"/>
        </w:rPr>
        <w:t>клб</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25</w:t>
      </w:r>
    </w:p>
    <w:p w14:paraId="3A2C682B" w14:textId="692AD919" w:rsidR="00573476" w:rsidRPr="00925F26" w:rsidRDefault="00573476" w:rsidP="00925F26">
      <w:pPr>
        <w:jc w:val="both"/>
        <w:rPr>
          <w:color w:val="000000" w:themeColor="text1"/>
          <w:sz w:val="16"/>
          <w:szCs w:val="16"/>
        </w:rPr>
      </w:pPr>
      <w:r w:rsidRPr="00925F26">
        <w:rPr>
          <w:color w:val="000000" w:themeColor="text1"/>
          <w:sz w:val="16"/>
          <w:szCs w:val="16"/>
        </w:rPr>
        <w:t xml:space="preserve">Число </w:t>
      </w:r>
      <w:proofErr w:type="gramStart"/>
      <w:r w:rsidRPr="00925F26">
        <w:rPr>
          <w:color w:val="000000" w:themeColor="text1"/>
          <w:sz w:val="16"/>
          <w:szCs w:val="16"/>
        </w:rPr>
        <w:t>нарезов</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24</w:t>
      </w:r>
    </w:p>
    <w:p w14:paraId="54A50A18" w14:textId="05BA24B7" w:rsidR="00573476" w:rsidRPr="00925F26" w:rsidRDefault="00573476" w:rsidP="00925F26">
      <w:pPr>
        <w:jc w:val="both"/>
        <w:rPr>
          <w:color w:val="000000" w:themeColor="text1"/>
          <w:sz w:val="16"/>
          <w:szCs w:val="16"/>
        </w:rPr>
      </w:pPr>
      <w:r w:rsidRPr="00925F26">
        <w:rPr>
          <w:color w:val="000000" w:themeColor="text1"/>
          <w:sz w:val="16"/>
          <w:szCs w:val="16"/>
        </w:rPr>
        <w:t xml:space="preserve">Глубина нарезов,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0,85</w:t>
      </w:r>
    </w:p>
    <w:p w14:paraId="5A8117B4" w14:textId="370D392D" w:rsidR="00573476" w:rsidRPr="00925F26" w:rsidRDefault="00573476" w:rsidP="00925F26">
      <w:pPr>
        <w:jc w:val="both"/>
        <w:rPr>
          <w:color w:val="000000" w:themeColor="text1"/>
          <w:sz w:val="16"/>
          <w:szCs w:val="16"/>
        </w:rPr>
      </w:pPr>
      <w:r w:rsidRPr="00925F26">
        <w:rPr>
          <w:color w:val="000000" w:themeColor="text1"/>
          <w:sz w:val="16"/>
          <w:szCs w:val="16"/>
        </w:rPr>
        <w:t xml:space="preserve">Ширина нарезов,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7,5</w:t>
      </w:r>
    </w:p>
    <w:p w14:paraId="25773E31" w14:textId="592E2AAA" w:rsidR="00573476" w:rsidRPr="00925F26" w:rsidRDefault="00573476" w:rsidP="00925F26">
      <w:pPr>
        <w:jc w:val="both"/>
        <w:rPr>
          <w:color w:val="000000" w:themeColor="text1"/>
          <w:sz w:val="16"/>
          <w:szCs w:val="16"/>
        </w:rPr>
      </w:pPr>
      <w:r w:rsidRPr="00925F26">
        <w:rPr>
          <w:color w:val="000000" w:themeColor="text1"/>
          <w:sz w:val="16"/>
          <w:szCs w:val="16"/>
        </w:rPr>
        <w:t xml:space="preserve">Ширина полей,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3,7</w:t>
      </w:r>
    </w:p>
    <w:p w14:paraId="6A99A38F" w14:textId="1C6E748B" w:rsidR="00573476" w:rsidRPr="00925F26" w:rsidRDefault="00573476" w:rsidP="00925F26">
      <w:pPr>
        <w:jc w:val="both"/>
        <w:rPr>
          <w:color w:val="000000" w:themeColor="text1"/>
          <w:sz w:val="16"/>
          <w:szCs w:val="16"/>
        </w:rPr>
      </w:pPr>
      <w:r w:rsidRPr="00925F26">
        <w:rPr>
          <w:color w:val="000000" w:themeColor="text1"/>
          <w:sz w:val="16"/>
          <w:szCs w:val="16"/>
        </w:rPr>
        <w:t xml:space="preserve">Вес ствола с затвором, </w:t>
      </w:r>
      <w:proofErr w:type="gramStart"/>
      <w:r w:rsidRPr="00925F26">
        <w:rPr>
          <w:color w:val="000000" w:themeColor="text1"/>
          <w:sz w:val="16"/>
          <w:szCs w:val="16"/>
        </w:rPr>
        <w:t>кг</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602,5</w:t>
      </w:r>
    </w:p>
    <w:p w14:paraId="232482E9" w14:textId="77777777" w:rsidR="00573476" w:rsidRPr="00925F26" w:rsidRDefault="00573476" w:rsidP="00925F26">
      <w:pPr>
        <w:jc w:val="both"/>
        <w:rPr>
          <w:color w:val="000000" w:themeColor="text1"/>
          <w:sz w:val="16"/>
          <w:szCs w:val="16"/>
        </w:rPr>
      </w:pPr>
      <w:r w:rsidRPr="00925F26">
        <w:rPr>
          <w:color w:val="000000" w:themeColor="text1"/>
          <w:sz w:val="16"/>
          <w:szCs w:val="16"/>
        </w:rPr>
        <w:t>Конструктивные данные лафета</w:t>
      </w:r>
    </w:p>
    <w:p w14:paraId="4ABEF5F1" w14:textId="5EAF941F" w:rsidR="00573476" w:rsidRPr="00925F26" w:rsidRDefault="00573476" w:rsidP="00925F26">
      <w:pPr>
        <w:jc w:val="both"/>
        <w:rPr>
          <w:color w:val="000000" w:themeColor="text1"/>
          <w:sz w:val="16"/>
          <w:szCs w:val="16"/>
        </w:rPr>
      </w:pPr>
      <w:r w:rsidRPr="00925F26">
        <w:rPr>
          <w:color w:val="000000" w:themeColor="text1"/>
          <w:sz w:val="16"/>
          <w:szCs w:val="16"/>
        </w:rPr>
        <w:t xml:space="preserve">Угол ВН, </w:t>
      </w:r>
      <w:proofErr w:type="gramStart"/>
      <w:r w:rsidRPr="00925F26">
        <w:rPr>
          <w:color w:val="000000" w:themeColor="text1"/>
          <w:sz w:val="16"/>
          <w:szCs w:val="16"/>
        </w:rPr>
        <w:t>град</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−8,5+35,5</w:t>
      </w:r>
    </w:p>
    <w:p w14:paraId="1AEDFB77" w14:textId="70E02606" w:rsidR="00573476" w:rsidRPr="00925F26" w:rsidRDefault="00573476" w:rsidP="00925F26">
      <w:pPr>
        <w:jc w:val="both"/>
        <w:rPr>
          <w:color w:val="000000" w:themeColor="text1"/>
          <w:sz w:val="16"/>
          <w:szCs w:val="16"/>
        </w:rPr>
      </w:pPr>
      <w:r w:rsidRPr="00925F26">
        <w:rPr>
          <w:color w:val="000000" w:themeColor="text1"/>
          <w:sz w:val="16"/>
          <w:szCs w:val="16"/>
        </w:rPr>
        <w:t xml:space="preserve">Угол ГН, </w:t>
      </w:r>
      <w:proofErr w:type="gramStart"/>
      <w:r w:rsidRPr="00925F26">
        <w:rPr>
          <w:color w:val="000000" w:themeColor="text1"/>
          <w:sz w:val="16"/>
          <w:szCs w:val="16"/>
        </w:rPr>
        <w:t>град</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54</w:t>
      </w:r>
    </w:p>
    <w:p w14:paraId="36D4C0B3" w14:textId="738BFA0A" w:rsidR="00573476" w:rsidRPr="00925F26" w:rsidRDefault="00573476" w:rsidP="00925F26">
      <w:pPr>
        <w:jc w:val="both"/>
        <w:rPr>
          <w:color w:val="000000" w:themeColor="text1"/>
          <w:sz w:val="16"/>
          <w:szCs w:val="16"/>
        </w:rPr>
      </w:pPr>
      <w:r w:rsidRPr="00925F26">
        <w:rPr>
          <w:color w:val="000000" w:themeColor="text1"/>
          <w:sz w:val="16"/>
          <w:szCs w:val="16"/>
        </w:rPr>
        <w:t xml:space="preserve">Длина отката, мм: </w:t>
      </w:r>
      <w:proofErr w:type="gramStart"/>
      <w:r w:rsidRPr="00925F26">
        <w:rPr>
          <w:color w:val="000000" w:themeColor="text1"/>
          <w:sz w:val="16"/>
          <w:szCs w:val="16"/>
        </w:rPr>
        <w:t>нормальная</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880–960</w:t>
      </w:r>
    </w:p>
    <w:p w14:paraId="1AF15CE9" w14:textId="29129B1D" w:rsidR="00573476" w:rsidRPr="00925F26" w:rsidRDefault="00573476" w:rsidP="00925F26">
      <w:pPr>
        <w:jc w:val="both"/>
        <w:rPr>
          <w:color w:val="000000" w:themeColor="text1"/>
          <w:sz w:val="16"/>
          <w:szCs w:val="16"/>
        </w:rPr>
      </w:pPr>
      <w:proofErr w:type="gramStart"/>
      <w:r w:rsidRPr="00925F26">
        <w:rPr>
          <w:color w:val="000000" w:themeColor="text1"/>
          <w:sz w:val="16"/>
          <w:szCs w:val="16"/>
        </w:rPr>
        <w:t>предельная</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1150</w:t>
      </w:r>
    </w:p>
    <w:p w14:paraId="38860DDE" w14:textId="1D0DC5DA" w:rsidR="00573476" w:rsidRPr="00925F26" w:rsidRDefault="00573476" w:rsidP="00925F26">
      <w:pPr>
        <w:jc w:val="both"/>
        <w:rPr>
          <w:color w:val="000000" w:themeColor="text1"/>
          <w:sz w:val="16"/>
          <w:szCs w:val="16"/>
        </w:rPr>
      </w:pPr>
      <w:r w:rsidRPr="00925F26">
        <w:rPr>
          <w:color w:val="000000" w:themeColor="text1"/>
          <w:sz w:val="16"/>
          <w:szCs w:val="16"/>
        </w:rPr>
        <w:t xml:space="preserve">Высота линии огня,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880</w:t>
      </w:r>
    </w:p>
    <w:p w14:paraId="09CED279" w14:textId="30BE92A4" w:rsidR="00573476" w:rsidRPr="00925F26" w:rsidRDefault="00573476" w:rsidP="00925F26">
      <w:pPr>
        <w:jc w:val="both"/>
        <w:rPr>
          <w:color w:val="000000" w:themeColor="text1"/>
          <w:sz w:val="16"/>
          <w:szCs w:val="16"/>
        </w:rPr>
      </w:pPr>
      <w:r w:rsidRPr="00925F26">
        <w:rPr>
          <w:color w:val="000000" w:themeColor="text1"/>
          <w:sz w:val="16"/>
          <w:szCs w:val="16"/>
        </w:rPr>
        <w:t xml:space="preserve">Габариты в походном положении, мм: длина без </w:t>
      </w:r>
      <w:proofErr w:type="gramStart"/>
      <w:r w:rsidRPr="00925F26">
        <w:rPr>
          <w:color w:val="000000" w:themeColor="text1"/>
          <w:sz w:val="16"/>
          <w:szCs w:val="16"/>
        </w:rPr>
        <w:t>передка</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7420</w:t>
      </w:r>
    </w:p>
    <w:p w14:paraId="5E6D10BF" w14:textId="6B903291" w:rsidR="00573476" w:rsidRPr="00925F26" w:rsidRDefault="00573476" w:rsidP="00925F26">
      <w:pPr>
        <w:jc w:val="both"/>
        <w:rPr>
          <w:color w:val="000000" w:themeColor="text1"/>
          <w:sz w:val="16"/>
          <w:szCs w:val="16"/>
        </w:rPr>
      </w:pPr>
      <w:proofErr w:type="gramStart"/>
      <w:r w:rsidRPr="00925F26">
        <w:rPr>
          <w:color w:val="000000" w:themeColor="text1"/>
          <w:sz w:val="16"/>
          <w:szCs w:val="16"/>
        </w:rPr>
        <w:t>ширина</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1735</w:t>
      </w:r>
    </w:p>
    <w:p w14:paraId="19285059" w14:textId="52C35D5A" w:rsidR="00573476" w:rsidRPr="00925F26" w:rsidRDefault="00573476" w:rsidP="00925F26">
      <w:pPr>
        <w:jc w:val="both"/>
        <w:rPr>
          <w:color w:val="000000" w:themeColor="text1"/>
          <w:sz w:val="16"/>
          <w:szCs w:val="16"/>
        </w:rPr>
      </w:pPr>
      <w:r w:rsidRPr="00925F26">
        <w:rPr>
          <w:color w:val="000000" w:themeColor="text1"/>
          <w:sz w:val="16"/>
          <w:szCs w:val="16"/>
        </w:rPr>
        <w:t xml:space="preserve">Ширина хода,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1490</w:t>
      </w:r>
    </w:p>
    <w:p w14:paraId="3A9F1B75" w14:textId="798319E8" w:rsidR="00573476" w:rsidRPr="00925F26" w:rsidRDefault="00573476" w:rsidP="00925F26">
      <w:pPr>
        <w:jc w:val="both"/>
        <w:rPr>
          <w:color w:val="000000" w:themeColor="text1"/>
          <w:sz w:val="16"/>
          <w:szCs w:val="16"/>
        </w:rPr>
      </w:pPr>
      <w:r w:rsidRPr="00925F26">
        <w:rPr>
          <w:color w:val="000000" w:themeColor="text1"/>
          <w:sz w:val="16"/>
          <w:szCs w:val="16"/>
        </w:rPr>
        <w:t xml:space="preserve">Клиренс,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310</w:t>
      </w:r>
    </w:p>
    <w:p w14:paraId="04ED2908" w14:textId="6CB8876A" w:rsidR="00573476" w:rsidRPr="00925F26" w:rsidRDefault="00573476" w:rsidP="00925F26">
      <w:pPr>
        <w:jc w:val="both"/>
        <w:rPr>
          <w:color w:val="000000" w:themeColor="text1"/>
          <w:sz w:val="16"/>
          <w:szCs w:val="16"/>
        </w:rPr>
      </w:pPr>
      <w:r w:rsidRPr="00925F26">
        <w:rPr>
          <w:color w:val="000000" w:themeColor="text1"/>
          <w:sz w:val="16"/>
          <w:szCs w:val="16"/>
        </w:rPr>
        <w:t xml:space="preserve">Диаметр колеса,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800</w:t>
      </w:r>
    </w:p>
    <w:p w14:paraId="194BBD00" w14:textId="77777777" w:rsidR="00573476" w:rsidRPr="00925F26" w:rsidRDefault="00573476" w:rsidP="00925F26">
      <w:pPr>
        <w:jc w:val="both"/>
        <w:rPr>
          <w:color w:val="000000" w:themeColor="text1"/>
          <w:sz w:val="16"/>
          <w:szCs w:val="16"/>
        </w:rPr>
      </w:pPr>
      <w:r w:rsidRPr="00925F26">
        <w:rPr>
          <w:color w:val="000000" w:themeColor="text1"/>
          <w:sz w:val="16"/>
          <w:szCs w:val="16"/>
        </w:rPr>
        <w:t>Весовая сводка</w:t>
      </w:r>
    </w:p>
    <w:p w14:paraId="099E591C" w14:textId="0AB48B03" w:rsidR="00573476" w:rsidRPr="00925F26" w:rsidRDefault="00573476" w:rsidP="00925F26">
      <w:pPr>
        <w:jc w:val="both"/>
        <w:rPr>
          <w:color w:val="000000" w:themeColor="text1"/>
          <w:sz w:val="16"/>
          <w:szCs w:val="16"/>
        </w:rPr>
      </w:pPr>
      <w:r w:rsidRPr="00925F26">
        <w:rPr>
          <w:color w:val="000000" w:themeColor="text1"/>
          <w:sz w:val="16"/>
          <w:szCs w:val="16"/>
        </w:rPr>
        <w:t xml:space="preserve">Откатные части со стволом, </w:t>
      </w:r>
      <w:proofErr w:type="gramStart"/>
      <w:r w:rsidRPr="00925F26">
        <w:rPr>
          <w:color w:val="000000" w:themeColor="text1"/>
          <w:sz w:val="16"/>
          <w:szCs w:val="16"/>
        </w:rPr>
        <w:t>кг</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670</w:t>
      </w:r>
    </w:p>
    <w:p w14:paraId="1ACD2BD0" w14:textId="478C18C4" w:rsidR="00573476" w:rsidRPr="00925F26" w:rsidRDefault="00573476" w:rsidP="00925F26">
      <w:pPr>
        <w:jc w:val="both"/>
        <w:rPr>
          <w:color w:val="000000" w:themeColor="text1"/>
          <w:sz w:val="16"/>
          <w:szCs w:val="16"/>
        </w:rPr>
      </w:pPr>
      <w:r w:rsidRPr="00925F26">
        <w:rPr>
          <w:color w:val="000000" w:themeColor="text1"/>
          <w:sz w:val="16"/>
          <w:szCs w:val="16"/>
        </w:rPr>
        <w:t xml:space="preserve">Качающаяся часть, </w:t>
      </w:r>
      <w:proofErr w:type="gramStart"/>
      <w:r w:rsidRPr="00925F26">
        <w:rPr>
          <w:color w:val="000000" w:themeColor="text1"/>
          <w:sz w:val="16"/>
          <w:szCs w:val="16"/>
        </w:rPr>
        <w:t>кг</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865</w:t>
      </w:r>
    </w:p>
    <w:p w14:paraId="4C169D95" w14:textId="3F335472" w:rsidR="00573476" w:rsidRPr="00925F26" w:rsidRDefault="00573476" w:rsidP="00925F26">
      <w:pPr>
        <w:jc w:val="both"/>
        <w:rPr>
          <w:color w:val="000000" w:themeColor="text1"/>
          <w:sz w:val="16"/>
          <w:szCs w:val="16"/>
        </w:rPr>
      </w:pPr>
      <w:r w:rsidRPr="00925F26">
        <w:rPr>
          <w:color w:val="000000" w:themeColor="text1"/>
          <w:sz w:val="16"/>
          <w:szCs w:val="16"/>
        </w:rPr>
        <w:t xml:space="preserve">Лафет без орудия, </w:t>
      </w:r>
      <w:proofErr w:type="gramStart"/>
      <w:r w:rsidRPr="00925F26">
        <w:rPr>
          <w:color w:val="000000" w:themeColor="text1"/>
          <w:sz w:val="16"/>
          <w:szCs w:val="16"/>
        </w:rPr>
        <w:t>кг</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1018</w:t>
      </w:r>
    </w:p>
    <w:p w14:paraId="1AA840DC" w14:textId="174B5015" w:rsidR="00573476" w:rsidRPr="00925F26" w:rsidRDefault="00573476" w:rsidP="00925F26">
      <w:pPr>
        <w:jc w:val="both"/>
        <w:rPr>
          <w:color w:val="000000" w:themeColor="text1"/>
          <w:sz w:val="16"/>
          <w:szCs w:val="16"/>
        </w:rPr>
      </w:pPr>
      <w:r w:rsidRPr="00925F26">
        <w:rPr>
          <w:color w:val="000000" w:themeColor="text1"/>
          <w:sz w:val="16"/>
          <w:szCs w:val="16"/>
        </w:rPr>
        <w:t xml:space="preserve">Система в боевом положении, </w:t>
      </w:r>
      <w:proofErr w:type="gramStart"/>
      <w:r w:rsidRPr="00925F26">
        <w:rPr>
          <w:color w:val="000000" w:themeColor="text1"/>
          <w:sz w:val="16"/>
          <w:szCs w:val="16"/>
        </w:rPr>
        <w:t>кг</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1620</w:t>
      </w:r>
    </w:p>
    <w:p w14:paraId="43CD08B2" w14:textId="77777777" w:rsidR="00573476" w:rsidRPr="00925F26" w:rsidRDefault="00573476" w:rsidP="00925F26">
      <w:pPr>
        <w:jc w:val="both"/>
        <w:rPr>
          <w:color w:val="000000" w:themeColor="text1"/>
          <w:sz w:val="16"/>
          <w:szCs w:val="16"/>
        </w:rPr>
      </w:pPr>
      <w:r w:rsidRPr="00925F26">
        <w:rPr>
          <w:color w:val="000000" w:themeColor="text1"/>
          <w:sz w:val="16"/>
          <w:szCs w:val="16"/>
        </w:rPr>
        <w:t>Эксплуатационные данные</w:t>
      </w:r>
    </w:p>
    <w:p w14:paraId="2BD36729" w14:textId="5D434D9A" w:rsidR="00573476" w:rsidRPr="00925F26" w:rsidRDefault="00573476" w:rsidP="00925F26">
      <w:pPr>
        <w:jc w:val="both"/>
        <w:rPr>
          <w:color w:val="000000" w:themeColor="text1"/>
          <w:sz w:val="16"/>
          <w:szCs w:val="16"/>
        </w:rPr>
      </w:pPr>
      <w:r w:rsidRPr="00925F26">
        <w:rPr>
          <w:color w:val="000000" w:themeColor="text1"/>
          <w:sz w:val="16"/>
          <w:szCs w:val="16"/>
        </w:rPr>
        <w:t xml:space="preserve">Время перехода из походного положения в боевое, </w:t>
      </w:r>
      <w:proofErr w:type="gramStart"/>
      <w:r w:rsidRPr="00925F26">
        <w:rPr>
          <w:color w:val="000000" w:themeColor="text1"/>
          <w:sz w:val="16"/>
          <w:szCs w:val="16"/>
        </w:rPr>
        <w:t>мин</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около 1</w:t>
      </w:r>
    </w:p>
    <w:p w14:paraId="68296935" w14:textId="2A63EFB1" w:rsidR="00573476" w:rsidRPr="00925F26" w:rsidRDefault="00573476" w:rsidP="00925F26">
      <w:pPr>
        <w:jc w:val="both"/>
        <w:rPr>
          <w:color w:val="000000" w:themeColor="text1"/>
          <w:sz w:val="16"/>
          <w:szCs w:val="16"/>
        </w:rPr>
      </w:pPr>
      <w:r w:rsidRPr="00925F26">
        <w:rPr>
          <w:color w:val="000000" w:themeColor="text1"/>
          <w:sz w:val="16"/>
          <w:szCs w:val="16"/>
        </w:rPr>
        <w:t>Скорость возки по шоссе, км/</w:t>
      </w:r>
      <w:proofErr w:type="gramStart"/>
      <w:r w:rsidRPr="00925F26">
        <w:rPr>
          <w:color w:val="000000" w:themeColor="text1"/>
          <w:sz w:val="16"/>
          <w:szCs w:val="16"/>
        </w:rPr>
        <w:t>час</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50</w:t>
      </w:r>
    </w:p>
    <w:p w14:paraId="17B603E0" w14:textId="45C2ED39" w:rsidR="00573476" w:rsidRPr="00925F26" w:rsidRDefault="00573476" w:rsidP="00925F26">
      <w:pPr>
        <w:jc w:val="both"/>
        <w:rPr>
          <w:color w:val="000000" w:themeColor="text1"/>
          <w:sz w:val="16"/>
          <w:szCs w:val="16"/>
        </w:rPr>
      </w:pPr>
      <w:r w:rsidRPr="00925F26">
        <w:rPr>
          <w:color w:val="000000" w:themeColor="text1"/>
          <w:sz w:val="16"/>
          <w:szCs w:val="16"/>
        </w:rPr>
        <w:t xml:space="preserve">На испытаниях БЛ-25 при стрельбах бронебойным снарядом была получена начальная скорость </w:t>
      </w:r>
      <w:proofErr w:type="gramStart"/>
      <w:r w:rsidRPr="00925F26">
        <w:rPr>
          <w:color w:val="000000" w:themeColor="text1"/>
          <w:sz w:val="16"/>
          <w:szCs w:val="16"/>
        </w:rPr>
        <w:t>792</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/с, а осколочно-фугасным снарядом весом 9,</w:t>
      </w:r>
      <w:proofErr w:type="gramStart"/>
      <w:r w:rsidRPr="00925F26">
        <w:rPr>
          <w:color w:val="000000" w:themeColor="text1"/>
          <w:sz w:val="16"/>
          <w:szCs w:val="16"/>
        </w:rPr>
        <w:t>54</w:t>
      </w:r>
      <w:r w:rsidR="00997EDF" w:rsidRPr="00925F26">
        <w:rPr>
          <w:color w:val="000000" w:themeColor="text1"/>
          <w:sz w:val="16"/>
          <w:szCs w:val="16"/>
        </w:rPr>
        <w:t xml:space="preserve">  </w:t>
      </w:r>
      <w:r w:rsidRPr="00925F26">
        <w:rPr>
          <w:color w:val="000000" w:themeColor="text1"/>
          <w:sz w:val="16"/>
          <w:szCs w:val="16"/>
        </w:rPr>
        <w:t>кг</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652</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/с и дальность </w:t>
      </w:r>
      <w:proofErr w:type="gramStart"/>
      <w:r w:rsidRPr="00925F26">
        <w:rPr>
          <w:color w:val="000000" w:themeColor="text1"/>
          <w:sz w:val="16"/>
          <w:szCs w:val="16"/>
        </w:rPr>
        <w:t>12</w:t>
      </w:r>
      <w:r w:rsidR="00997EDF" w:rsidRPr="00925F26">
        <w:rPr>
          <w:color w:val="000000" w:themeColor="text1"/>
          <w:sz w:val="16"/>
          <w:szCs w:val="16"/>
        </w:rPr>
        <w:t xml:space="preserve">  </w:t>
      </w:r>
      <w:r w:rsidRPr="00925F26">
        <w:rPr>
          <w:color w:val="000000" w:themeColor="text1"/>
          <w:sz w:val="16"/>
          <w:szCs w:val="16"/>
        </w:rPr>
        <w:t>170</w:t>
      </w:r>
      <w:proofErr w:type="gramEnd"/>
      <w:r w:rsidR="00997EDF" w:rsidRPr="00925F26">
        <w:rPr>
          <w:color w:val="000000" w:themeColor="text1"/>
          <w:sz w:val="16"/>
          <w:szCs w:val="16"/>
        </w:rPr>
        <w:t xml:space="preserve">  </w:t>
      </w:r>
      <w:r w:rsidRPr="00925F26">
        <w:rPr>
          <w:color w:val="000000" w:themeColor="text1"/>
          <w:sz w:val="16"/>
          <w:szCs w:val="16"/>
        </w:rPr>
        <w:t>м (при угле возвышения 30) (12705).</w:t>
      </w:r>
    </w:p>
    <w:p w14:paraId="3CBF7840" w14:textId="77777777" w:rsidR="00573476" w:rsidRPr="00925F26" w:rsidRDefault="00573476" w:rsidP="00925F26">
      <w:pPr>
        <w:jc w:val="both"/>
        <w:rPr>
          <w:color w:val="000000" w:themeColor="text1"/>
          <w:sz w:val="16"/>
          <w:szCs w:val="16"/>
        </w:rPr>
      </w:pPr>
    </w:p>
    <w:p w14:paraId="147DA257" w14:textId="77777777" w:rsidR="008C4451" w:rsidRPr="001A0BAA" w:rsidRDefault="008C4451" w:rsidP="008C4451">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16 января 1945 г. на Главный артиллерий</w:t>
      </w:r>
      <w:r w:rsidRPr="001A0BAA">
        <w:rPr>
          <w:rStyle w:val="aff0"/>
          <w:rFonts w:ascii="Times New Roman" w:hAnsi="Times New Roman" w:cs="Times New Roman"/>
          <w:color w:val="0070C0"/>
          <w:spacing w:val="0"/>
          <w:sz w:val="16"/>
          <w:szCs w:val="16"/>
        </w:rPr>
        <w:softHyphen/>
        <w:t>ский полигон для проведения полигонных испытаний поступила 85 мм противотанковая пушка ОКБ-172 БЛ-25.</w:t>
      </w:r>
    </w:p>
    <w:p w14:paraId="32C99E93"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Пушка имела ствол моноблок со съемным казенником и дульным тормозом. Для крепления цилиндра накатника на стволе имелась обойма. Затвор вертикальный клиновой с полуавтоматикой механического (копирного) типа.</w:t>
      </w:r>
    </w:p>
    <w:p w14:paraId="7BD5455D"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Люлька цилиндрическая литая с приварными обойма</w:t>
      </w:r>
      <w:r w:rsidRPr="001A0BAA">
        <w:rPr>
          <w:rStyle w:val="aff0"/>
          <w:rFonts w:ascii="Times New Roman" w:hAnsi="Times New Roman" w:cs="Times New Roman"/>
          <w:color w:val="0070C0"/>
          <w:spacing w:val="0"/>
          <w:sz w:val="16"/>
          <w:szCs w:val="16"/>
        </w:rPr>
        <w:softHyphen/>
        <w:t>ми. Внутри люльки помещен тормоз отката. Противооткат</w:t>
      </w:r>
      <w:r w:rsidRPr="001A0BAA">
        <w:rPr>
          <w:rStyle w:val="aff0"/>
          <w:rFonts w:ascii="Times New Roman" w:hAnsi="Times New Roman" w:cs="Times New Roman"/>
          <w:color w:val="0070C0"/>
          <w:spacing w:val="0"/>
          <w:sz w:val="16"/>
          <w:szCs w:val="16"/>
        </w:rPr>
        <w:softHyphen/>
        <w:t>ные устройства состояли из гидравлического тормоза отката веретенного типа и гидропневматического накатника.</w:t>
      </w:r>
    </w:p>
    <w:p w14:paraId="3FD30A6E"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Подъемный механизм — винтового типа, расположен с левой стороны верхнего станка. Поворотный механизм —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w:t>
      </w:r>
    </w:p>
    <w:p w14:paraId="1E43EB5D"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Литая боевая ось являлась одновременно и нижним станком. На ней монтировался верхний станок с механиз</w:t>
      </w:r>
      <w:r w:rsidRPr="001A0BAA">
        <w:rPr>
          <w:rStyle w:val="aff0"/>
          <w:rFonts w:ascii="Times New Roman" w:hAnsi="Times New Roman" w:cs="Times New Roman"/>
          <w:color w:val="0070C0"/>
          <w:spacing w:val="0"/>
          <w:sz w:val="16"/>
          <w:szCs w:val="16"/>
        </w:rPr>
        <w:softHyphen/>
        <w:t>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w:t>
      </w:r>
      <w:r w:rsidRPr="001A0BAA">
        <w:rPr>
          <w:rStyle w:val="aff0"/>
          <w:rFonts w:ascii="Times New Roman" w:hAnsi="Times New Roman" w:cs="Times New Roman"/>
          <w:color w:val="0070C0"/>
          <w:spacing w:val="0"/>
          <w:sz w:val="16"/>
          <w:szCs w:val="16"/>
        </w:rPr>
        <w:softHyphen/>
        <w:t>движные коробчатой формы, сварной конструкции. Со</w:t>
      </w:r>
      <w:r w:rsidRPr="001A0BAA">
        <w:rPr>
          <w:rStyle w:val="aff0"/>
          <w:rFonts w:ascii="Times New Roman" w:hAnsi="Times New Roman" w:cs="Times New Roman"/>
          <w:color w:val="0070C0"/>
          <w:spacing w:val="0"/>
          <w:sz w:val="16"/>
          <w:szCs w:val="16"/>
        </w:rPr>
        <w:softHyphen/>
        <w:t>шники снабжены параллелограммным устройством, обес</w:t>
      </w:r>
      <w:r w:rsidRPr="001A0BAA">
        <w:rPr>
          <w:rStyle w:val="aff0"/>
          <w:rFonts w:ascii="Times New Roman" w:hAnsi="Times New Roman" w:cs="Times New Roman"/>
          <w:color w:val="0070C0"/>
          <w:spacing w:val="0"/>
          <w:sz w:val="16"/>
          <w:szCs w:val="16"/>
        </w:rPr>
        <w:softHyphen/>
        <w:t>печивающим установку орудия на четыре точки на неров</w:t>
      </w:r>
      <w:r w:rsidRPr="001A0BAA">
        <w:rPr>
          <w:rStyle w:val="aff0"/>
          <w:rFonts w:ascii="Times New Roman" w:hAnsi="Times New Roman" w:cs="Times New Roman"/>
          <w:color w:val="0070C0"/>
          <w:spacing w:val="0"/>
          <w:sz w:val="16"/>
          <w:szCs w:val="16"/>
        </w:rPr>
        <w:softHyphen/>
        <w:t>ной местности.</w:t>
      </w:r>
    </w:p>
    <w:p w14:paraId="2EA91A9D"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Гильза и снаряды взяты от 85-мм зенитной пушки обр. 1939 г. Затвор и полуавтоматика взяты полностью от 85-мм танковой пушки обр. 1944 г. ЗИС-С-53. Уравновеши</w:t>
      </w:r>
      <w:r w:rsidRPr="001A0BAA">
        <w:rPr>
          <w:rStyle w:val="aff0"/>
          <w:rFonts w:ascii="Times New Roman" w:hAnsi="Times New Roman" w:cs="Times New Roman"/>
          <w:color w:val="0070C0"/>
          <w:spacing w:val="0"/>
          <w:sz w:val="16"/>
          <w:szCs w:val="16"/>
        </w:rPr>
        <w:softHyphen/>
        <w:t>вающий механизм сделан по типу 76-мм пушки Ф-22.</w:t>
      </w:r>
    </w:p>
    <w:p w14:paraId="286ECBFC" w14:textId="77777777" w:rsidR="008C4451" w:rsidRPr="001A0BAA" w:rsidRDefault="008C4451" w:rsidP="008C4451">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Опытный образец пушки БЛ-25 был изготовлен заводом № 172. Заводские испытания начались 6 ноября 1944 г.</w:t>
      </w:r>
    </w:p>
    <w:p w14:paraId="3D9438F2"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В ходе полигонных испытаний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7A5970CE" w14:textId="77777777" w:rsidR="008C4451" w:rsidRPr="001A0BAA" w:rsidRDefault="008C4451" w:rsidP="008C4451">
      <w:pPr>
        <w:jc w:val="both"/>
        <w:rPr>
          <w:color w:val="0070C0"/>
          <w:sz w:val="16"/>
          <w:szCs w:val="16"/>
        </w:rPr>
      </w:pPr>
      <w:r w:rsidRPr="001A0BAA">
        <w:rPr>
          <w:rStyle w:val="aff0"/>
          <w:rFonts w:ascii="Times New Roman" w:hAnsi="Times New Roman" w:cs="Times New Roman"/>
          <w:color w:val="0070C0"/>
          <w:spacing w:val="0"/>
          <w:sz w:val="16"/>
          <w:szCs w:val="16"/>
        </w:rPr>
        <w:t>Согласно отчету комиссии от 2 апреля 1945 г. пушка БЛ-25 полигонные испытания не выдержала и требует дора</w:t>
      </w:r>
      <w:r w:rsidRPr="001A0BAA">
        <w:rPr>
          <w:rStyle w:val="aff0"/>
          <w:rFonts w:ascii="Times New Roman" w:hAnsi="Times New Roman" w:cs="Times New Roman"/>
          <w:color w:val="0070C0"/>
          <w:spacing w:val="0"/>
          <w:sz w:val="16"/>
          <w:szCs w:val="16"/>
        </w:rPr>
        <w:softHyphen/>
        <w:t>ботки. Вскоре работы по пушке были прекращены (25437).</w:t>
      </w:r>
    </w:p>
    <w:p w14:paraId="54498752" w14:textId="77777777" w:rsidR="008C4451" w:rsidRPr="001A0BAA" w:rsidRDefault="008C4451" w:rsidP="008C4451">
      <w:pPr>
        <w:jc w:val="both"/>
        <w:rPr>
          <w:color w:val="0070C0"/>
          <w:sz w:val="16"/>
          <w:szCs w:val="16"/>
        </w:rPr>
      </w:pPr>
    </w:p>
    <w:p w14:paraId="1874FADB" w14:textId="77777777" w:rsidR="002B4C11" w:rsidRPr="00925F26" w:rsidRDefault="002B4C11" w:rsidP="00925F26">
      <w:pPr>
        <w:jc w:val="both"/>
        <w:rPr>
          <w:color w:val="000000" w:themeColor="text1"/>
          <w:sz w:val="16"/>
          <w:szCs w:val="16"/>
        </w:rPr>
      </w:pPr>
      <w:r w:rsidRPr="00925F26">
        <w:rPr>
          <w:color w:val="000000" w:themeColor="text1"/>
          <w:sz w:val="16"/>
          <w:szCs w:val="16"/>
        </w:rPr>
        <w:t>16 Января 1945 г.</w:t>
      </w:r>
    </w:p>
    <w:p w14:paraId="5AC86199" w14:textId="77777777" w:rsidR="002B4C11" w:rsidRPr="00925F26" w:rsidRDefault="002B4C11" w:rsidP="00925F26">
      <w:pPr>
        <w:jc w:val="both"/>
        <w:rPr>
          <w:color w:val="000000" w:themeColor="text1"/>
          <w:sz w:val="16"/>
          <w:szCs w:val="16"/>
        </w:rPr>
      </w:pPr>
      <w:r w:rsidRPr="00925F26">
        <w:rPr>
          <w:color w:val="000000" w:themeColor="text1"/>
          <w:sz w:val="16"/>
          <w:szCs w:val="16"/>
        </w:rPr>
        <w:t>ЦАМО Фонд 4845 Опись 1 Дело 61 Лист 1 – 52</w:t>
      </w:r>
    </w:p>
    <w:p w14:paraId="545513B5" w14:textId="77777777" w:rsidR="002B4C11" w:rsidRPr="00925F26" w:rsidRDefault="002B4C11" w:rsidP="00925F26">
      <w:pPr>
        <w:jc w:val="both"/>
        <w:rPr>
          <w:color w:val="000000" w:themeColor="text1"/>
          <w:sz w:val="16"/>
          <w:szCs w:val="16"/>
        </w:rPr>
      </w:pPr>
      <w:r w:rsidRPr="00925F26">
        <w:rPr>
          <w:color w:val="000000" w:themeColor="text1"/>
          <w:sz w:val="16"/>
          <w:szCs w:val="16"/>
        </w:rPr>
        <w:t>СЕКРЕТНО</w:t>
      </w:r>
    </w:p>
    <w:p w14:paraId="5EE1DA86" w14:textId="77777777" w:rsidR="002B4C11" w:rsidRPr="00925F26" w:rsidRDefault="002B4C11" w:rsidP="00925F26">
      <w:pPr>
        <w:jc w:val="both"/>
        <w:rPr>
          <w:color w:val="000000" w:themeColor="text1"/>
          <w:sz w:val="16"/>
          <w:szCs w:val="16"/>
        </w:rPr>
      </w:pPr>
      <w:r w:rsidRPr="00925F26">
        <w:rPr>
          <w:color w:val="000000" w:themeColor="text1"/>
          <w:sz w:val="16"/>
          <w:szCs w:val="16"/>
        </w:rPr>
        <w:t>Экз. № 3</w:t>
      </w:r>
    </w:p>
    <w:p w14:paraId="1989235E" w14:textId="77777777" w:rsidR="002B4C11" w:rsidRPr="00925F26" w:rsidRDefault="002B4C11" w:rsidP="00925F26">
      <w:pPr>
        <w:jc w:val="both"/>
        <w:rPr>
          <w:color w:val="000000" w:themeColor="text1"/>
          <w:sz w:val="16"/>
          <w:szCs w:val="16"/>
        </w:rPr>
      </w:pPr>
      <w:r w:rsidRPr="00925F26">
        <w:rPr>
          <w:color w:val="000000" w:themeColor="text1"/>
          <w:sz w:val="16"/>
          <w:szCs w:val="16"/>
        </w:rPr>
        <w:t>НАУЧНО-ИСПЫТАТЕЛЬНЫЙ БРОНЕТАНКОВЫЙ ПОЛИГОН ГБТУ КА</w:t>
      </w:r>
    </w:p>
    <w:p w14:paraId="3D1E9B13" w14:textId="77777777" w:rsidR="002B4C11" w:rsidRPr="00925F26" w:rsidRDefault="002B4C11" w:rsidP="00925F26">
      <w:pPr>
        <w:jc w:val="both"/>
        <w:rPr>
          <w:color w:val="000000" w:themeColor="text1"/>
          <w:sz w:val="16"/>
          <w:szCs w:val="16"/>
        </w:rPr>
      </w:pPr>
      <w:r w:rsidRPr="00925F26">
        <w:rPr>
          <w:color w:val="000000" w:themeColor="text1"/>
          <w:sz w:val="16"/>
          <w:szCs w:val="16"/>
        </w:rPr>
        <w:t>«УТВЕРЖДАЮ»</w:t>
      </w:r>
    </w:p>
    <w:p w14:paraId="5A2FFE25" w14:textId="77777777" w:rsidR="002B4C11" w:rsidRPr="00925F26" w:rsidRDefault="002B4C11" w:rsidP="00925F26">
      <w:pPr>
        <w:jc w:val="both"/>
        <w:rPr>
          <w:color w:val="000000" w:themeColor="text1"/>
          <w:sz w:val="16"/>
          <w:szCs w:val="16"/>
        </w:rPr>
      </w:pPr>
      <w:r w:rsidRPr="00925F26">
        <w:rPr>
          <w:color w:val="000000" w:themeColor="text1"/>
          <w:sz w:val="16"/>
          <w:szCs w:val="16"/>
        </w:rPr>
        <w:t>Начальник НИБТ Полигона Генерал-Майор Танковых войск подпись (Романов)</w:t>
      </w:r>
    </w:p>
    <w:p w14:paraId="7E35ADE6" w14:textId="77777777" w:rsidR="002B4C11" w:rsidRPr="00925F26" w:rsidRDefault="002B4C11" w:rsidP="00925F26">
      <w:pPr>
        <w:jc w:val="both"/>
        <w:rPr>
          <w:color w:val="000000" w:themeColor="text1"/>
          <w:sz w:val="16"/>
          <w:szCs w:val="16"/>
        </w:rPr>
      </w:pPr>
      <w:r w:rsidRPr="00925F26">
        <w:rPr>
          <w:color w:val="000000" w:themeColor="text1"/>
          <w:sz w:val="16"/>
          <w:szCs w:val="16"/>
        </w:rPr>
        <w:t>16 Января 1945 г.</w:t>
      </w:r>
    </w:p>
    <w:p w14:paraId="6C5D564D" w14:textId="77777777" w:rsidR="002B4C11" w:rsidRPr="00925F26" w:rsidRDefault="002B4C11" w:rsidP="00925F26">
      <w:pPr>
        <w:jc w:val="both"/>
        <w:rPr>
          <w:color w:val="000000" w:themeColor="text1"/>
          <w:sz w:val="16"/>
          <w:szCs w:val="16"/>
        </w:rPr>
      </w:pPr>
      <w:r w:rsidRPr="00925F26">
        <w:rPr>
          <w:color w:val="000000" w:themeColor="text1"/>
          <w:sz w:val="16"/>
          <w:szCs w:val="16"/>
        </w:rPr>
        <w:t>ИТОГИ</w:t>
      </w:r>
    </w:p>
    <w:p w14:paraId="53C4AAA7" w14:textId="77777777" w:rsidR="002B4C11" w:rsidRPr="00925F26" w:rsidRDefault="002B4C11" w:rsidP="00925F26">
      <w:pPr>
        <w:jc w:val="both"/>
        <w:rPr>
          <w:color w:val="000000" w:themeColor="text1"/>
          <w:sz w:val="16"/>
          <w:szCs w:val="16"/>
        </w:rPr>
      </w:pPr>
      <w:r w:rsidRPr="00925F26">
        <w:rPr>
          <w:color w:val="000000" w:themeColor="text1"/>
          <w:sz w:val="16"/>
          <w:szCs w:val="16"/>
        </w:rPr>
        <w:t>по гарантийным испытаниям танков и самоходных установок за 1944 г.</w:t>
      </w:r>
    </w:p>
    <w:p w14:paraId="3AD3AB0D" w14:textId="77777777" w:rsidR="002B4C11" w:rsidRPr="00925F26" w:rsidRDefault="002B4C11" w:rsidP="00925F26">
      <w:pPr>
        <w:jc w:val="both"/>
        <w:rPr>
          <w:color w:val="000000" w:themeColor="text1"/>
          <w:sz w:val="16"/>
          <w:szCs w:val="16"/>
        </w:rPr>
      </w:pPr>
      <w:r w:rsidRPr="00925F26">
        <w:rPr>
          <w:color w:val="000000" w:themeColor="text1"/>
          <w:sz w:val="16"/>
          <w:szCs w:val="16"/>
        </w:rPr>
        <w:t>Отдел испытаний танков и самоходных установок</w:t>
      </w:r>
    </w:p>
    <w:p w14:paraId="6555D827" w14:textId="77777777" w:rsidR="002B4C11" w:rsidRPr="00925F26" w:rsidRDefault="002B4C11" w:rsidP="00925F26">
      <w:pPr>
        <w:jc w:val="both"/>
        <w:rPr>
          <w:color w:val="000000" w:themeColor="text1"/>
          <w:sz w:val="16"/>
          <w:szCs w:val="16"/>
        </w:rPr>
      </w:pPr>
      <w:r w:rsidRPr="00925F26">
        <w:rPr>
          <w:color w:val="000000" w:themeColor="text1"/>
          <w:sz w:val="16"/>
          <w:szCs w:val="16"/>
        </w:rPr>
        <w:t>1945 г.</w:t>
      </w:r>
    </w:p>
    <w:p w14:paraId="2952467B" w14:textId="77777777" w:rsidR="002B4C11" w:rsidRPr="00925F26" w:rsidRDefault="002B4C11" w:rsidP="00925F26">
      <w:pPr>
        <w:jc w:val="both"/>
        <w:rPr>
          <w:color w:val="000000" w:themeColor="text1"/>
          <w:sz w:val="16"/>
          <w:szCs w:val="16"/>
        </w:rPr>
      </w:pPr>
      <w:r w:rsidRPr="00925F26">
        <w:rPr>
          <w:color w:val="000000" w:themeColor="text1"/>
          <w:sz w:val="16"/>
          <w:szCs w:val="16"/>
        </w:rPr>
        <w:t>_____________________</w:t>
      </w:r>
    </w:p>
    <w:p w14:paraId="5466AF41" w14:textId="77777777" w:rsidR="002B4C11" w:rsidRPr="00925F26" w:rsidRDefault="002B4C11" w:rsidP="00925F26">
      <w:pPr>
        <w:jc w:val="both"/>
        <w:rPr>
          <w:color w:val="000000" w:themeColor="text1"/>
          <w:sz w:val="16"/>
          <w:szCs w:val="16"/>
        </w:rPr>
      </w:pPr>
      <w:r w:rsidRPr="00925F26">
        <w:rPr>
          <w:color w:val="000000" w:themeColor="text1"/>
          <w:sz w:val="16"/>
          <w:szCs w:val="16"/>
        </w:rPr>
        <w:t>ЗАКЛЮЧЕНИЕ.</w:t>
      </w:r>
    </w:p>
    <w:p w14:paraId="025E30E6" w14:textId="77777777" w:rsidR="002B4C11" w:rsidRPr="00925F26" w:rsidRDefault="002B4C11" w:rsidP="00925F26">
      <w:pPr>
        <w:jc w:val="both"/>
        <w:rPr>
          <w:color w:val="000000" w:themeColor="text1"/>
          <w:sz w:val="16"/>
          <w:szCs w:val="16"/>
        </w:rPr>
      </w:pPr>
      <w:r w:rsidRPr="00925F26">
        <w:rPr>
          <w:color w:val="000000" w:themeColor="text1"/>
          <w:sz w:val="16"/>
          <w:szCs w:val="16"/>
        </w:rPr>
        <w:t>А. СРЕДНИЕ ТАНКИ И САМОХОДНЫЕ УСТАНОВКИ.</w:t>
      </w:r>
    </w:p>
    <w:p w14:paraId="7286AAB0" w14:textId="77777777" w:rsidR="002B4C11" w:rsidRPr="00925F26" w:rsidRDefault="002B4C11" w:rsidP="00925F26">
      <w:pPr>
        <w:jc w:val="both"/>
        <w:rPr>
          <w:color w:val="000000" w:themeColor="text1"/>
          <w:sz w:val="16"/>
          <w:szCs w:val="16"/>
        </w:rPr>
      </w:pPr>
      <w:r w:rsidRPr="00925F26">
        <w:rPr>
          <w:color w:val="000000" w:themeColor="text1"/>
          <w:sz w:val="16"/>
          <w:szCs w:val="16"/>
        </w:rPr>
        <w:t>1. На гарантийные испытания в 1943 году заводами НКТП было предъявлено 25 танков, из которых выдержало испытания 7, что составляет 28%. В 1944 году из предъявленных на испытания 34 танков выдержали испытания 15, что составляет 44,1% общего числа испытанных танков.</w:t>
      </w:r>
    </w:p>
    <w:p w14:paraId="334F188D" w14:textId="77777777" w:rsidR="002B4C11" w:rsidRPr="00925F26" w:rsidRDefault="002B4C11" w:rsidP="00925F26">
      <w:pPr>
        <w:jc w:val="both"/>
        <w:rPr>
          <w:color w:val="000000" w:themeColor="text1"/>
          <w:sz w:val="16"/>
          <w:szCs w:val="16"/>
        </w:rPr>
      </w:pPr>
      <w:r w:rsidRPr="00925F26">
        <w:rPr>
          <w:color w:val="000000" w:themeColor="text1"/>
          <w:sz w:val="16"/>
          <w:szCs w:val="16"/>
        </w:rPr>
        <w:t>2. За период 1944 года все заводы, изготавливающие танки Т-34-85, СУ-85 и СУ-100 повысили качество продукции. Если в 1944 году массовым дефектом являлась поломка зубьев шестерен коробки перемены передач, то в 1944 году из 34 танков имели только один случай поломки зубьев конической пары.</w:t>
      </w:r>
    </w:p>
    <w:p w14:paraId="7C6DB84E" w14:textId="77777777" w:rsidR="002B4C11" w:rsidRPr="00925F26" w:rsidRDefault="002B4C11" w:rsidP="00925F26">
      <w:pPr>
        <w:jc w:val="both"/>
        <w:rPr>
          <w:color w:val="000000" w:themeColor="text1"/>
          <w:sz w:val="16"/>
          <w:szCs w:val="16"/>
        </w:rPr>
      </w:pPr>
      <w:r w:rsidRPr="00925F26">
        <w:rPr>
          <w:color w:val="000000" w:themeColor="text1"/>
          <w:sz w:val="16"/>
          <w:szCs w:val="16"/>
        </w:rPr>
        <w:t>3. Из общего числа испытанных танков в 1944 году выдержали испытания танки:</w:t>
      </w:r>
    </w:p>
    <w:p w14:paraId="1844756F"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завода 183 – 61,5%</w:t>
      </w:r>
    </w:p>
    <w:p w14:paraId="1559E8C9"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завода 112 – 37,4%</w:t>
      </w:r>
    </w:p>
    <w:p w14:paraId="3544291B"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завода 174 – 28,6%</w:t>
      </w:r>
    </w:p>
    <w:p w14:paraId="12E9D298" w14:textId="77777777" w:rsidR="002B4C11" w:rsidRPr="00925F26" w:rsidRDefault="002B4C11" w:rsidP="00925F26">
      <w:pPr>
        <w:jc w:val="both"/>
        <w:rPr>
          <w:color w:val="000000" w:themeColor="text1"/>
          <w:sz w:val="16"/>
          <w:szCs w:val="16"/>
        </w:rPr>
      </w:pPr>
      <w:r w:rsidRPr="00925F26">
        <w:rPr>
          <w:color w:val="000000" w:themeColor="text1"/>
          <w:sz w:val="16"/>
          <w:szCs w:val="16"/>
        </w:rPr>
        <w:t>УМЗ – 33,3%</w:t>
      </w:r>
    </w:p>
    <w:p w14:paraId="2F40C645" w14:textId="77777777" w:rsidR="002B4C11" w:rsidRPr="00925F26" w:rsidRDefault="002B4C11" w:rsidP="00925F26">
      <w:pPr>
        <w:jc w:val="both"/>
        <w:rPr>
          <w:color w:val="000000" w:themeColor="text1"/>
          <w:sz w:val="16"/>
          <w:szCs w:val="16"/>
        </w:rPr>
      </w:pPr>
      <w:r w:rsidRPr="00925F26">
        <w:rPr>
          <w:color w:val="000000" w:themeColor="text1"/>
          <w:sz w:val="16"/>
          <w:szCs w:val="16"/>
        </w:rPr>
        <w:t>Таким образом места между заводами НКТП по качеству выпускаемой продукции (танков Т-34-85, СУ-85 и СУ-100) распределились в следующем порядке:</w:t>
      </w:r>
    </w:p>
    <w:p w14:paraId="63030F9E" w14:textId="77777777" w:rsidR="002B4C11" w:rsidRPr="00925F26" w:rsidRDefault="002B4C11" w:rsidP="00925F26">
      <w:pPr>
        <w:jc w:val="both"/>
        <w:rPr>
          <w:color w:val="000000" w:themeColor="text1"/>
          <w:sz w:val="16"/>
          <w:szCs w:val="16"/>
        </w:rPr>
      </w:pPr>
      <w:r w:rsidRPr="00925F26">
        <w:rPr>
          <w:color w:val="000000" w:themeColor="text1"/>
          <w:sz w:val="16"/>
          <w:szCs w:val="16"/>
        </w:rPr>
        <w:t>на первом месте завод № 183</w:t>
      </w:r>
    </w:p>
    <w:p w14:paraId="077B1657" w14:textId="77777777" w:rsidR="002B4C11" w:rsidRPr="00925F26" w:rsidRDefault="002B4C11" w:rsidP="00925F26">
      <w:pPr>
        <w:jc w:val="both"/>
        <w:rPr>
          <w:color w:val="000000" w:themeColor="text1"/>
          <w:sz w:val="16"/>
          <w:szCs w:val="16"/>
        </w:rPr>
      </w:pPr>
      <w:r w:rsidRPr="00925F26">
        <w:rPr>
          <w:color w:val="000000" w:themeColor="text1"/>
          <w:sz w:val="16"/>
          <w:szCs w:val="16"/>
        </w:rPr>
        <w:t>на втором месте завод № 112</w:t>
      </w:r>
    </w:p>
    <w:p w14:paraId="1814B756" w14:textId="77777777" w:rsidR="002B4C11" w:rsidRPr="00925F26" w:rsidRDefault="002B4C11" w:rsidP="00925F26">
      <w:pPr>
        <w:jc w:val="both"/>
        <w:rPr>
          <w:color w:val="000000" w:themeColor="text1"/>
          <w:sz w:val="16"/>
          <w:szCs w:val="16"/>
        </w:rPr>
      </w:pPr>
      <w:r w:rsidRPr="00925F26">
        <w:rPr>
          <w:color w:val="000000" w:themeColor="text1"/>
          <w:sz w:val="16"/>
          <w:szCs w:val="16"/>
        </w:rPr>
        <w:t>на третьем месте УМЗ</w:t>
      </w:r>
    </w:p>
    <w:p w14:paraId="6DCA2CC4" w14:textId="77777777" w:rsidR="002B4C11" w:rsidRPr="00925F26" w:rsidRDefault="002B4C11" w:rsidP="00925F26">
      <w:pPr>
        <w:jc w:val="both"/>
        <w:rPr>
          <w:color w:val="000000" w:themeColor="text1"/>
          <w:sz w:val="16"/>
          <w:szCs w:val="16"/>
        </w:rPr>
      </w:pPr>
      <w:r w:rsidRPr="00925F26">
        <w:rPr>
          <w:color w:val="000000" w:themeColor="text1"/>
          <w:sz w:val="16"/>
          <w:szCs w:val="16"/>
        </w:rPr>
        <w:t>на четвертом месте завод № 174.</w:t>
      </w:r>
    </w:p>
    <w:p w14:paraId="002442D5" w14:textId="77777777" w:rsidR="002B4C11" w:rsidRPr="00925F26" w:rsidRDefault="002B4C11" w:rsidP="00925F26">
      <w:pPr>
        <w:jc w:val="both"/>
        <w:rPr>
          <w:color w:val="000000" w:themeColor="text1"/>
          <w:sz w:val="16"/>
          <w:szCs w:val="16"/>
        </w:rPr>
      </w:pPr>
      <w:r w:rsidRPr="00925F26">
        <w:rPr>
          <w:color w:val="000000" w:themeColor="text1"/>
          <w:sz w:val="16"/>
          <w:szCs w:val="16"/>
        </w:rPr>
        <w:lastRenderedPageBreak/>
        <w:t>4. Одни из ненадежных агрегатов танков является двигатель. Из 19 танков (не выдержавших испытания) 14 танков не выдержали гарантийных испытаний по двигателю, что составляет 74%. Наиболее ненадежны узлом двигателя является привод водяного насоса. Из 14 танков, не выдержавших испытания по двигателю, 10 танков имели поломку привода водяного насоса, что составляет 72%.</w:t>
      </w:r>
    </w:p>
    <w:p w14:paraId="0A24A0F3" w14:textId="77777777" w:rsidR="002B4C11" w:rsidRPr="00925F26" w:rsidRDefault="002B4C11" w:rsidP="00925F26">
      <w:pPr>
        <w:jc w:val="both"/>
        <w:rPr>
          <w:color w:val="000000" w:themeColor="text1"/>
          <w:sz w:val="16"/>
          <w:szCs w:val="16"/>
        </w:rPr>
      </w:pPr>
      <w:r w:rsidRPr="00925F26">
        <w:rPr>
          <w:color w:val="000000" w:themeColor="text1"/>
          <w:sz w:val="16"/>
          <w:szCs w:val="16"/>
        </w:rPr>
        <w:t>Дизелестроительным заводам необходимо повысить качество изготовления и сборки двигателей и быстрее внедрить в производство новую конструкцию привода водяного насоса кулачкового типа.</w:t>
      </w:r>
    </w:p>
    <w:p w14:paraId="3A3F4D44" w14:textId="77777777" w:rsidR="002B4C11" w:rsidRPr="00925F26" w:rsidRDefault="002B4C11" w:rsidP="00925F26">
      <w:pPr>
        <w:jc w:val="both"/>
        <w:rPr>
          <w:color w:val="000000" w:themeColor="text1"/>
          <w:sz w:val="16"/>
          <w:szCs w:val="16"/>
        </w:rPr>
      </w:pPr>
      <w:r w:rsidRPr="00925F26">
        <w:rPr>
          <w:color w:val="000000" w:themeColor="text1"/>
          <w:sz w:val="16"/>
          <w:szCs w:val="16"/>
        </w:rPr>
        <w:t>5. Продолжают иметь место дефекты, снижающие эксплоатационную возможность танков, а именно:</w:t>
      </w:r>
    </w:p>
    <w:p w14:paraId="2983FA65" w14:textId="77777777" w:rsidR="002B4C11" w:rsidRPr="00925F26" w:rsidRDefault="002B4C11" w:rsidP="00925F26">
      <w:pPr>
        <w:jc w:val="both"/>
        <w:rPr>
          <w:color w:val="000000" w:themeColor="text1"/>
          <w:sz w:val="16"/>
          <w:szCs w:val="16"/>
        </w:rPr>
      </w:pPr>
      <w:r w:rsidRPr="00925F26">
        <w:rPr>
          <w:color w:val="000000" w:themeColor="text1"/>
          <w:sz w:val="16"/>
          <w:szCs w:val="16"/>
        </w:rPr>
        <w:t>а) поломка осей роликов ведущих колес вследствие конструктивного дефекта движителя танка (гребневое зацепление гусениц с ведущим колесом),</w:t>
      </w:r>
    </w:p>
    <w:p w14:paraId="4729B0EF" w14:textId="77777777" w:rsidR="002B4C11" w:rsidRPr="00925F26" w:rsidRDefault="002B4C11" w:rsidP="00925F26">
      <w:pPr>
        <w:jc w:val="both"/>
        <w:rPr>
          <w:color w:val="000000" w:themeColor="text1"/>
          <w:sz w:val="16"/>
          <w:szCs w:val="16"/>
        </w:rPr>
      </w:pPr>
      <w:r w:rsidRPr="00925F26">
        <w:rPr>
          <w:color w:val="000000" w:themeColor="text1"/>
          <w:sz w:val="16"/>
          <w:szCs w:val="16"/>
        </w:rPr>
        <w:t>б) разрушение подшипников 7526 бортовых передач вследствие неудачной конструкции ведомого узла бортовой передачи, требующей постоянную и точную регулировку зазоров в подшипниках посредством "струны".</w:t>
      </w:r>
    </w:p>
    <w:p w14:paraId="25759C2A" w14:textId="77777777" w:rsidR="002B4C11" w:rsidRPr="00925F26" w:rsidRDefault="002B4C11" w:rsidP="00925F26">
      <w:pPr>
        <w:jc w:val="both"/>
        <w:rPr>
          <w:color w:val="000000" w:themeColor="text1"/>
          <w:sz w:val="16"/>
          <w:szCs w:val="16"/>
        </w:rPr>
      </w:pPr>
      <w:r w:rsidRPr="00925F26">
        <w:rPr>
          <w:color w:val="000000" w:themeColor="text1"/>
          <w:sz w:val="16"/>
          <w:szCs w:val="16"/>
        </w:rPr>
        <w:t>Существенным дефектом танков Т-34-85 и СУ-100 является – расположение воздухофильтров в трансмиссионном отделении (в месте наибольшего скопления пыли), что приводит при движении танков в пыльных условиях к быстрому износу и выходу из строя двигателей.</w:t>
      </w:r>
    </w:p>
    <w:p w14:paraId="2BF4BAD8" w14:textId="77777777" w:rsidR="002B4C11" w:rsidRPr="00925F26" w:rsidRDefault="002B4C11" w:rsidP="00925F26">
      <w:pPr>
        <w:jc w:val="both"/>
        <w:rPr>
          <w:color w:val="000000" w:themeColor="text1"/>
          <w:sz w:val="16"/>
          <w:szCs w:val="16"/>
        </w:rPr>
      </w:pPr>
      <w:r w:rsidRPr="00925F26">
        <w:rPr>
          <w:color w:val="000000" w:themeColor="text1"/>
          <w:sz w:val="16"/>
          <w:szCs w:val="16"/>
        </w:rPr>
        <w:t>Б. ТЯЖЕЛЫЕ ТАНКИ И САМОХОДНЫЕ УСТАНОВКИ.</w:t>
      </w:r>
    </w:p>
    <w:p w14:paraId="66B0C429" w14:textId="77777777" w:rsidR="002B4C11" w:rsidRPr="00925F26" w:rsidRDefault="002B4C11" w:rsidP="00925F26">
      <w:pPr>
        <w:jc w:val="both"/>
        <w:rPr>
          <w:color w:val="000000" w:themeColor="text1"/>
          <w:sz w:val="16"/>
          <w:szCs w:val="16"/>
        </w:rPr>
      </w:pPr>
      <w:r w:rsidRPr="00925F26">
        <w:rPr>
          <w:color w:val="000000" w:themeColor="text1"/>
          <w:sz w:val="16"/>
          <w:szCs w:val="16"/>
        </w:rPr>
        <w:t>В течение года качество выпускаемых танков ИС и самоходных установок ИСУ повысилось. Заметно повысилась надежность работы планетарного механизма поворота, электроинерционного стартера и бортовых передач.</w:t>
      </w:r>
    </w:p>
    <w:p w14:paraId="266254FA" w14:textId="77777777" w:rsidR="002B4C11" w:rsidRPr="00925F26" w:rsidRDefault="002B4C11" w:rsidP="00925F26">
      <w:pPr>
        <w:jc w:val="both"/>
        <w:rPr>
          <w:color w:val="000000" w:themeColor="text1"/>
          <w:sz w:val="16"/>
          <w:szCs w:val="16"/>
        </w:rPr>
      </w:pPr>
      <w:r w:rsidRPr="00925F26">
        <w:rPr>
          <w:color w:val="000000" w:themeColor="text1"/>
          <w:sz w:val="16"/>
          <w:szCs w:val="16"/>
        </w:rPr>
        <w:t>Недостаточная надежность танков ИС и самоходных установок ИСУ в целом является следствием некачественного изготовления и конструктивного несовершенства отдельных агрегатов, а именно: двигателя, коробки перемены передач и ходовой части (особенно опорных катков). Указанные агрегаты требуют совершенствования и конструктивной доработки.</w:t>
      </w:r>
    </w:p>
    <w:p w14:paraId="2562CCDE" w14:textId="77777777" w:rsidR="002B4C11" w:rsidRPr="00925F26" w:rsidRDefault="002B4C11" w:rsidP="00925F26">
      <w:pPr>
        <w:jc w:val="both"/>
        <w:rPr>
          <w:color w:val="000000" w:themeColor="text1"/>
          <w:sz w:val="16"/>
          <w:szCs w:val="16"/>
        </w:rPr>
      </w:pPr>
      <w:r w:rsidRPr="00925F26">
        <w:rPr>
          <w:color w:val="000000" w:themeColor="text1"/>
          <w:sz w:val="16"/>
          <w:szCs w:val="16"/>
        </w:rPr>
        <w:t>На гарантийные испытания НИБТ Полигону в 1944 году было представлено Кировским заводом 10 танков ИС и 9 самоходных установок ИСУ, из них выдержали испытания самоходные установки ноябрьского и декабрьского выпусков. Танки и самоходные установки не выдержали гарантийных испытаний по следующим агрегатам:</w:t>
      </w:r>
    </w:p>
    <w:p w14:paraId="5A5A3684" w14:textId="77777777" w:rsidR="002B4C11" w:rsidRPr="00925F26" w:rsidRDefault="002B4C11" w:rsidP="00925F26">
      <w:pPr>
        <w:jc w:val="both"/>
        <w:rPr>
          <w:color w:val="000000" w:themeColor="text1"/>
          <w:sz w:val="16"/>
          <w:szCs w:val="16"/>
        </w:rPr>
      </w:pPr>
      <w:r w:rsidRPr="00925F26">
        <w:rPr>
          <w:color w:val="000000" w:themeColor="text1"/>
          <w:sz w:val="16"/>
          <w:szCs w:val="16"/>
        </w:rPr>
        <w:t>силовая установка – 6</w:t>
      </w:r>
    </w:p>
    <w:p w14:paraId="51EA45EF" w14:textId="77777777" w:rsidR="002B4C11" w:rsidRPr="00925F26" w:rsidRDefault="002B4C11" w:rsidP="00925F26">
      <w:pPr>
        <w:jc w:val="both"/>
        <w:rPr>
          <w:color w:val="000000" w:themeColor="text1"/>
          <w:sz w:val="16"/>
          <w:szCs w:val="16"/>
        </w:rPr>
      </w:pPr>
      <w:r w:rsidRPr="00925F26">
        <w:rPr>
          <w:color w:val="000000" w:themeColor="text1"/>
          <w:sz w:val="16"/>
          <w:szCs w:val="16"/>
        </w:rPr>
        <w:t>трансмиссия – 6</w:t>
      </w:r>
    </w:p>
    <w:p w14:paraId="2389D5D1" w14:textId="77777777" w:rsidR="002B4C11" w:rsidRPr="00925F26" w:rsidRDefault="002B4C11" w:rsidP="00925F26">
      <w:pPr>
        <w:jc w:val="both"/>
        <w:rPr>
          <w:color w:val="000000" w:themeColor="text1"/>
          <w:sz w:val="16"/>
          <w:szCs w:val="16"/>
        </w:rPr>
      </w:pPr>
      <w:r w:rsidRPr="00925F26">
        <w:rPr>
          <w:color w:val="000000" w:themeColor="text1"/>
          <w:sz w:val="16"/>
          <w:szCs w:val="16"/>
        </w:rPr>
        <w:t>ходовая часть – 5.</w:t>
      </w:r>
    </w:p>
    <w:p w14:paraId="79DC6D4B" w14:textId="77777777" w:rsidR="002B4C11" w:rsidRPr="00925F26" w:rsidRDefault="002B4C11" w:rsidP="00925F26">
      <w:pPr>
        <w:jc w:val="both"/>
        <w:rPr>
          <w:color w:val="000000" w:themeColor="text1"/>
          <w:sz w:val="16"/>
          <w:szCs w:val="16"/>
        </w:rPr>
      </w:pPr>
      <w:r w:rsidRPr="00925F26">
        <w:rPr>
          <w:color w:val="000000" w:themeColor="text1"/>
          <w:sz w:val="16"/>
          <w:szCs w:val="16"/>
        </w:rPr>
        <w:t>ЗАМ. НАЧАЛЬНИКА НИБТ ПОЛИГОНА ПО НАУЧНО-ИСПЫТАТЕЛЬНОЙ ЧАСТИ</w:t>
      </w:r>
    </w:p>
    <w:p w14:paraId="1859C332" w14:textId="77777777" w:rsidR="002B4C11" w:rsidRPr="00925F26" w:rsidRDefault="002B4C11" w:rsidP="00925F26">
      <w:pPr>
        <w:jc w:val="both"/>
        <w:rPr>
          <w:color w:val="000000" w:themeColor="text1"/>
          <w:sz w:val="16"/>
          <w:szCs w:val="16"/>
        </w:rPr>
      </w:pPr>
      <w:r w:rsidRPr="00925F26">
        <w:rPr>
          <w:color w:val="000000" w:themeColor="text1"/>
          <w:sz w:val="16"/>
          <w:szCs w:val="16"/>
        </w:rPr>
        <w:t>ИНЖЕНЕР-ПОЛКОВНИК подпись (СЫЧ)</w:t>
      </w:r>
    </w:p>
    <w:p w14:paraId="46A20CD6" w14:textId="77777777" w:rsidR="002B4C11" w:rsidRPr="00925F26" w:rsidRDefault="002B4C11" w:rsidP="00925F26">
      <w:pPr>
        <w:jc w:val="both"/>
        <w:rPr>
          <w:color w:val="000000" w:themeColor="text1"/>
          <w:sz w:val="16"/>
          <w:szCs w:val="16"/>
        </w:rPr>
      </w:pPr>
      <w:r w:rsidRPr="00925F26">
        <w:rPr>
          <w:color w:val="000000" w:themeColor="text1"/>
          <w:sz w:val="16"/>
          <w:szCs w:val="16"/>
        </w:rPr>
        <w:t>НАЧАЛЬНИК ОТДЕЛА ИСПЫТАНИЙ ТАНКОВ И САМОХОДНЫХ УСТАНОВОК</w:t>
      </w:r>
    </w:p>
    <w:p w14:paraId="51D34602" w14:textId="77777777" w:rsidR="002B4C11" w:rsidRPr="00925F26" w:rsidRDefault="002B4C11" w:rsidP="00925F26">
      <w:pPr>
        <w:jc w:val="both"/>
        <w:rPr>
          <w:color w:val="000000" w:themeColor="text1"/>
          <w:sz w:val="16"/>
          <w:szCs w:val="16"/>
        </w:rPr>
      </w:pPr>
      <w:r w:rsidRPr="00925F26">
        <w:rPr>
          <w:color w:val="000000" w:themeColor="text1"/>
          <w:sz w:val="16"/>
          <w:szCs w:val="16"/>
        </w:rPr>
        <w:t>ИНЖЕНЕР-ПОДПОЛКОВНИК подпись (ИВАНОВ)</w:t>
      </w:r>
    </w:p>
    <w:p w14:paraId="31319385" w14:textId="77777777" w:rsidR="002B4C11" w:rsidRPr="00925F26" w:rsidRDefault="002B4C11" w:rsidP="00925F26">
      <w:pPr>
        <w:jc w:val="both"/>
        <w:rPr>
          <w:color w:val="000000" w:themeColor="text1"/>
          <w:sz w:val="16"/>
          <w:szCs w:val="16"/>
        </w:rPr>
      </w:pPr>
      <w:r w:rsidRPr="00925F26">
        <w:rPr>
          <w:color w:val="000000" w:themeColor="text1"/>
          <w:sz w:val="16"/>
          <w:szCs w:val="16"/>
        </w:rPr>
        <w:t>СТАРШИЙ ПОМОЩНИК НАЧАЛЬНИКА ОТДЕЛА ИСПЫТАНИЙ ТАНКОВ</w:t>
      </w:r>
    </w:p>
    <w:p w14:paraId="55F51228" w14:textId="77777777" w:rsidR="002B4C11" w:rsidRPr="00925F26" w:rsidRDefault="002B4C11" w:rsidP="00925F26">
      <w:pPr>
        <w:jc w:val="both"/>
        <w:rPr>
          <w:color w:val="000000" w:themeColor="text1"/>
          <w:sz w:val="16"/>
          <w:szCs w:val="16"/>
        </w:rPr>
      </w:pPr>
      <w:r w:rsidRPr="00925F26">
        <w:rPr>
          <w:color w:val="000000" w:themeColor="text1"/>
          <w:sz w:val="16"/>
          <w:szCs w:val="16"/>
        </w:rPr>
        <w:t>И САМОХОДНЫХ УСТАНОВОК ГВАРДИИ ИНЖЕНЕР-МАЙОР подпись (ШАМИН)</w:t>
      </w:r>
    </w:p>
    <w:p w14:paraId="35C67541" w14:textId="77777777" w:rsidR="002B4C11" w:rsidRPr="00925F26" w:rsidRDefault="002B4C11" w:rsidP="00925F26">
      <w:pPr>
        <w:jc w:val="both"/>
        <w:rPr>
          <w:color w:val="000000" w:themeColor="text1"/>
          <w:sz w:val="16"/>
          <w:szCs w:val="16"/>
        </w:rPr>
      </w:pPr>
      <w:r w:rsidRPr="00925F26">
        <w:rPr>
          <w:color w:val="000000" w:themeColor="text1"/>
          <w:sz w:val="16"/>
          <w:szCs w:val="16"/>
        </w:rPr>
        <w:t>СТАРШИЙ ПОМ. НАЧ. ОТДЕЛА ИСПЫТАНИЙ ТАНКОВ И САМОХОДНЫХ УСТАНОВОК</w:t>
      </w:r>
    </w:p>
    <w:p w14:paraId="198D0799" w14:textId="77777777" w:rsidR="002B4C11" w:rsidRPr="00925F26" w:rsidRDefault="002B4C11" w:rsidP="00925F26">
      <w:pPr>
        <w:jc w:val="both"/>
        <w:rPr>
          <w:color w:val="000000" w:themeColor="text1"/>
          <w:sz w:val="16"/>
          <w:szCs w:val="16"/>
        </w:rPr>
      </w:pPr>
      <w:r w:rsidRPr="00925F26">
        <w:rPr>
          <w:color w:val="000000" w:themeColor="text1"/>
          <w:sz w:val="16"/>
          <w:szCs w:val="16"/>
        </w:rPr>
        <w:t>ИНЖЕНЕР-КАПИТАН подпись (КОНДРАШЕВ)</w:t>
      </w:r>
    </w:p>
    <w:p w14:paraId="526928E9" w14:textId="77777777" w:rsidR="002B4C11" w:rsidRPr="00925F26" w:rsidRDefault="002B4C11" w:rsidP="00925F26">
      <w:pPr>
        <w:jc w:val="both"/>
        <w:rPr>
          <w:color w:val="000000" w:themeColor="text1"/>
          <w:sz w:val="16"/>
          <w:szCs w:val="16"/>
        </w:rPr>
      </w:pPr>
      <w:r w:rsidRPr="00925F26">
        <w:rPr>
          <w:color w:val="000000" w:themeColor="text1"/>
          <w:sz w:val="16"/>
          <w:szCs w:val="16"/>
        </w:rPr>
        <w:t>№ 69</w:t>
      </w:r>
    </w:p>
    <w:p w14:paraId="2753528E" w14:textId="77777777" w:rsidR="002B4C11" w:rsidRPr="00925F26" w:rsidRDefault="002B4C11" w:rsidP="00925F26">
      <w:pPr>
        <w:jc w:val="both"/>
        <w:rPr>
          <w:color w:val="000000" w:themeColor="text1"/>
          <w:sz w:val="16"/>
          <w:szCs w:val="16"/>
        </w:rPr>
      </w:pPr>
      <w:r w:rsidRPr="00925F26">
        <w:rPr>
          <w:color w:val="000000" w:themeColor="text1"/>
          <w:sz w:val="16"/>
          <w:szCs w:val="16"/>
        </w:rPr>
        <w:t>Отп. в 3-х экз.</w:t>
      </w:r>
    </w:p>
    <w:p w14:paraId="4292D83E" w14:textId="77777777" w:rsidR="002B4C11" w:rsidRPr="00925F26" w:rsidRDefault="002B4C11" w:rsidP="00925F26">
      <w:pPr>
        <w:jc w:val="both"/>
        <w:rPr>
          <w:color w:val="000000" w:themeColor="text1"/>
          <w:sz w:val="16"/>
          <w:szCs w:val="16"/>
        </w:rPr>
      </w:pPr>
      <w:r w:rsidRPr="00925F26">
        <w:rPr>
          <w:color w:val="000000" w:themeColor="text1"/>
          <w:sz w:val="16"/>
          <w:szCs w:val="16"/>
        </w:rPr>
        <w:t>Экз. № 1 – Нач. ГБТУ КА</w:t>
      </w:r>
    </w:p>
    <w:p w14:paraId="167EA761" w14:textId="77777777" w:rsidR="002B4C11" w:rsidRPr="00925F26" w:rsidRDefault="002B4C11" w:rsidP="00925F26">
      <w:pPr>
        <w:jc w:val="both"/>
        <w:rPr>
          <w:color w:val="000000" w:themeColor="text1"/>
          <w:sz w:val="16"/>
          <w:szCs w:val="16"/>
        </w:rPr>
      </w:pPr>
      <w:r w:rsidRPr="00925F26">
        <w:rPr>
          <w:color w:val="000000" w:themeColor="text1"/>
          <w:sz w:val="16"/>
          <w:szCs w:val="16"/>
        </w:rPr>
        <w:t>Экз. № 2 – НКТП</w:t>
      </w:r>
    </w:p>
    <w:p w14:paraId="13E7FA73" w14:textId="77777777" w:rsidR="002B4C11" w:rsidRPr="00925F26" w:rsidRDefault="002B4C11" w:rsidP="00925F26">
      <w:pPr>
        <w:jc w:val="both"/>
        <w:rPr>
          <w:color w:val="000000" w:themeColor="text1"/>
          <w:sz w:val="16"/>
          <w:szCs w:val="16"/>
        </w:rPr>
      </w:pPr>
      <w:r w:rsidRPr="00925F26">
        <w:rPr>
          <w:color w:val="000000" w:themeColor="text1"/>
          <w:sz w:val="16"/>
          <w:szCs w:val="16"/>
        </w:rPr>
        <w:t>Экз. № 3 – НИБТП</w:t>
      </w:r>
    </w:p>
    <w:p w14:paraId="457FC8D2" w14:textId="77777777" w:rsidR="002B4C11" w:rsidRPr="00925F26" w:rsidRDefault="002B4C11" w:rsidP="00925F26">
      <w:pPr>
        <w:jc w:val="both"/>
        <w:rPr>
          <w:color w:val="000000" w:themeColor="text1"/>
          <w:sz w:val="16"/>
          <w:szCs w:val="16"/>
        </w:rPr>
      </w:pPr>
      <w:r w:rsidRPr="00925F26">
        <w:rPr>
          <w:color w:val="000000" w:themeColor="text1"/>
          <w:sz w:val="16"/>
          <w:szCs w:val="16"/>
        </w:rPr>
        <w:t>16.1.45 АО.ШТ.</w:t>
      </w:r>
    </w:p>
    <w:p w14:paraId="5247FF39" w14:textId="77777777" w:rsidR="002B4C11" w:rsidRPr="00925F26" w:rsidRDefault="002B4C11" w:rsidP="00925F26">
      <w:pPr>
        <w:jc w:val="both"/>
        <w:rPr>
          <w:color w:val="000000" w:themeColor="text1"/>
          <w:sz w:val="16"/>
          <w:szCs w:val="16"/>
        </w:rPr>
      </w:pPr>
      <w:r w:rsidRPr="00925F26">
        <w:rPr>
          <w:color w:val="000000" w:themeColor="text1"/>
          <w:sz w:val="16"/>
          <w:szCs w:val="16"/>
        </w:rPr>
        <w:t>ОЦЕНКА КАЧЕСТВА ИЗГОТОВЛЕНИЯ ТАНКОВ Т-34-85 и САМОХОДНЫХ УСТАНОВОК СУ-85 и СУ-100.</w:t>
      </w:r>
    </w:p>
    <w:p w14:paraId="2F170CDE" w14:textId="77777777" w:rsidR="002B4C11" w:rsidRPr="00925F26" w:rsidRDefault="002B4C11" w:rsidP="00925F26">
      <w:pPr>
        <w:jc w:val="both"/>
        <w:rPr>
          <w:color w:val="000000" w:themeColor="text1"/>
          <w:sz w:val="16"/>
          <w:szCs w:val="16"/>
        </w:rPr>
      </w:pPr>
      <w:r w:rsidRPr="00925F26">
        <w:rPr>
          <w:color w:val="000000" w:themeColor="text1"/>
          <w:sz w:val="16"/>
          <w:szCs w:val="16"/>
        </w:rPr>
        <w:t>ТАНКИ Т-34-85 ЗАВОДА № 183.</w:t>
      </w:r>
    </w:p>
    <w:p w14:paraId="22556E5A"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Заводом предъявлено для гарантийных испытаний в 1944 году 13 танков, из которых выдержали гарантийные испытания 8 танков, что составляет 61,5%. Не выдержали испытания 5 танков по следующим причинам.</w:t>
      </w:r>
    </w:p>
    <w:p w14:paraId="42773408" w14:textId="77777777" w:rsidR="002B4C11" w:rsidRPr="00925F26" w:rsidRDefault="002B4C11" w:rsidP="00925F26">
      <w:pPr>
        <w:jc w:val="both"/>
        <w:rPr>
          <w:color w:val="000000" w:themeColor="text1"/>
          <w:sz w:val="16"/>
          <w:szCs w:val="16"/>
        </w:rPr>
      </w:pPr>
      <w:r w:rsidRPr="00925F26">
        <w:rPr>
          <w:color w:val="000000" w:themeColor="text1"/>
          <w:sz w:val="16"/>
          <w:szCs w:val="16"/>
        </w:rPr>
        <w:t>Из 5 танков 4 танка не выдержали гарантийных испытаний по двигателям и один танк по коробке перемены передач.</w:t>
      </w:r>
    </w:p>
    <w:p w14:paraId="7213FFBA" w14:textId="77777777" w:rsidR="002B4C11" w:rsidRPr="00925F26" w:rsidRDefault="002B4C11" w:rsidP="00925F26">
      <w:pPr>
        <w:jc w:val="both"/>
        <w:rPr>
          <w:color w:val="000000" w:themeColor="text1"/>
          <w:sz w:val="16"/>
          <w:szCs w:val="16"/>
        </w:rPr>
      </w:pPr>
      <w:r w:rsidRPr="00925F26">
        <w:rPr>
          <w:color w:val="000000" w:themeColor="text1"/>
          <w:sz w:val="16"/>
          <w:szCs w:val="16"/>
        </w:rPr>
        <w:t>Характерным дефектом двигателя В-2-34 являлась поломка привода водяного насоса (хвостовика нижнего вертикального валика, сухаря и хвостовика валика водяного насоса). Указанный дефект обусловлен конструктивной недоработкой узла привода.</w:t>
      </w:r>
    </w:p>
    <w:p w14:paraId="04468733" w14:textId="77777777" w:rsidR="002B4C11" w:rsidRPr="00925F26" w:rsidRDefault="002B4C11" w:rsidP="00925F26">
      <w:pPr>
        <w:jc w:val="both"/>
        <w:rPr>
          <w:color w:val="000000" w:themeColor="text1"/>
          <w:sz w:val="16"/>
          <w:szCs w:val="16"/>
        </w:rPr>
      </w:pPr>
      <w:r w:rsidRPr="00925F26">
        <w:rPr>
          <w:color w:val="000000" w:themeColor="text1"/>
          <w:sz w:val="16"/>
          <w:szCs w:val="16"/>
        </w:rPr>
        <w:t>Поломка зубьев конической пары шестерен произошла в основном вследствие неправильной сборки коробки перемены передач. Был обнаружен большой зазор в конической паре, доходящий до 3 мм.</w:t>
      </w:r>
    </w:p>
    <w:p w14:paraId="20BD5020" w14:textId="77777777" w:rsidR="002B4C11" w:rsidRPr="00925F26" w:rsidRDefault="002B4C11" w:rsidP="00925F26">
      <w:pPr>
        <w:jc w:val="both"/>
        <w:rPr>
          <w:color w:val="000000" w:themeColor="text1"/>
          <w:sz w:val="16"/>
          <w:szCs w:val="16"/>
        </w:rPr>
      </w:pPr>
      <w:r w:rsidRPr="00925F26">
        <w:rPr>
          <w:color w:val="000000" w:themeColor="text1"/>
          <w:sz w:val="16"/>
          <w:szCs w:val="16"/>
        </w:rPr>
        <w:t>Для сравнения надежности работы танков ниже приводятся диаграммы пройденного километража танками завода 183 до поломок деталей основных агрегатов за 1943 и 1944 год.</w:t>
      </w:r>
    </w:p>
    <w:p w14:paraId="19B78FA1" w14:textId="203A3BBE" w:rsidR="002B4C11" w:rsidRPr="00925F26" w:rsidRDefault="002B4C11" w:rsidP="00925F26">
      <w:pPr>
        <w:jc w:val="both"/>
        <w:rPr>
          <w:color w:val="000000" w:themeColor="text1"/>
          <w:sz w:val="16"/>
          <w:szCs w:val="16"/>
        </w:rPr>
      </w:pPr>
      <w:r w:rsidRPr="00925F26">
        <w:rPr>
          <w:color w:val="000000" w:themeColor="text1"/>
          <w:sz w:val="16"/>
          <w:szCs w:val="16"/>
        </w:rPr>
        <w:t>Фото № 1.</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танками завода 183 до поломок деталей основных агрегатов за 1943 г.</w:t>
      </w:r>
    </w:p>
    <w:p w14:paraId="320DC937" w14:textId="66B9059A" w:rsidR="002B4C11" w:rsidRPr="00925F26" w:rsidRDefault="002B4C11" w:rsidP="00925F26">
      <w:pPr>
        <w:jc w:val="both"/>
        <w:rPr>
          <w:color w:val="000000" w:themeColor="text1"/>
          <w:sz w:val="16"/>
          <w:szCs w:val="16"/>
        </w:rPr>
      </w:pPr>
      <w:r w:rsidRPr="00925F26">
        <w:rPr>
          <w:color w:val="000000" w:themeColor="text1"/>
          <w:sz w:val="16"/>
          <w:szCs w:val="16"/>
        </w:rPr>
        <w:t>Фото № 2.</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танками завода 183 до поломок деталей основных агрегатов за 1944 г.</w:t>
      </w:r>
    </w:p>
    <w:p w14:paraId="55ECFF86" w14:textId="77777777" w:rsidR="002B4C11" w:rsidRPr="00925F26" w:rsidRDefault="002B4C11" w:rsidP="00925F26">
      <w:pPr>
        <w:jc w:val="both"/>
        <w:rPr>
          <w:color w:val="000000" w:themeColor="text1"/>
          <w:sz w:val="16"/>
          <w:szCs w:val="16"/>
        </w:rPr>
      </w:pPr>
      <w:r w:rsidRPr="00925F26">
        <w:rPr>
          <w:color w:val="000000" w:themeColor="text1"/>
          <w:sz w:val="16"/>
          <w:szCs w:val="16"/>
        </w:rPr>
        <w:t>Наибольшее количество поломок деталей основных агрегатов имели танки выпуска февраль – август 1943 года. Во второй половине 1943 года и в 1944 году большинство танков завода 183 выдерживали испытания на гарантийный километраж, что свидетельствует о значительном повышении качества изготовления деталей и сборки танков в целом заводом № 183.</w:t>
      </w:r>
    </w:p>
    <w:p w14:paraId="00138888" w14:textId="77777777" w:rsidR="002B4C11" w:rsidRPr="00925F26" w:rsidRDefault="002B4C11" w:rsidP="00925F26">
      <w:pPr>
        <w:jc w:val="both"/>
        <w:rPr>
          <w:color w:val="000000" w:themeColor="text1"/>
          <w:sz w:val="16"/>
          <w:szCs w:val="16"/>
        </w:rPr>
      </w:pPr>
      <w:r w:rsidRPr="00925F26">
        <w:rPr>
          <w:color w:val="000000" w:themeColor="text1"/>
          <w:sz w:val="16"/>
          <w:szCs w:val="16"/>
        </w:rPr>
        <w:t>НАДЕЖНОСТЬ РАБОТЫ АГРЕГАТОВ ТАНКА.</w:t>
      </w:r>
    </w:p>
    <w:p w14:paraId="08697C83" w14:textId="77777777" w:rsidR="002B4C11" w:rsidRPr="00925F26" w:rsidRDefault="002B4C11" w:rsidP="00925F26">
      <w:pPr>
        <w:jc w:val="both"/>
        <w:rPr>
          <w:color w:val="000000" w:themeColor="text1"/>
          <w:sz w:val="16"/>
          <w:szCs w:val="16"/>
        </w:rPr>
      </w:pPr>
      <w:r w:rsidRPr="00925F26">
        <w:rPr>
          <w:color w:val="000000" w:themeColor="text1"/>
          <w:sz w:val="16"/>
          <w:szCs w:val="16"/>
        </w:rPr>
        <w:t>За период гарантийных испытаний 13 танков завода 183 в 1944 г. обнаружены следующие дефекты агрегатов. Ниже приводится сводная таблица поломок и неисправностей по агрегатам, обнаруженных во время гарантийных испытаний танков в 1944 году.</w:t>
      </w:r>
    </w:p>
    <w:p w14:paraId="51DA5C6C" w14:textId="77777777" w:rsidR="002B4C11" w:rsidRPr="00925F26" w:rsidRDefault="002B4C11" w:rsidP="00925F26">
      <w:pPr>
        <w:jc w:val="both"/>
        <w:rPr>
          <w:color w:val="000000" w:themeColor="text1"/>
          <w:sz w:val="16"/>
          <w:szCs w:val="16"/>
        </w:rPr>
      </w:pPr>
      <w:r w:rsidRPr="00925F26">
        <w:rPr>
          <w:color w:val="000000" w:themeColor="text1"/>
          <w:sz w:val="16"/>
          <w:szCs w:val="16"/>
        </w:rPr>
        <w:t>Наибольшее количество поломок и неисправностей имеют двигатель, трансмиссия и ходовая часть.</w:t>
      </w:r>
    </w:p>
    <w:p w14:paraId="41187086" w14:textId="77777777" w:rsidR="002B4C11" w:rsidRPr="00925F26" w:rsidRDefault="002B4C11" w:rsidP="00925F26">
      <w:pPr>
        <w:jc w:val="both"/>
        <w:rPr>
          <w:color w:val="000000" w:themeColor="text1"/>
          <w:sz w:val="16"/>
          <w:szCs w:val="16"/>
        </w:rPr>
      </w:pPr>
      <w:r w:rsidRPr="00925F26">
        <w:rPr>
          <w:color w:val="000000" w:themeColor="text1"/>
          <w:sz w:val="16"/>
          <w:szCs w:val="16"/>
        </w:rPr>
        <w:t xml:space="preserve">Кроме указанных выше поломок деталей двигателя (деталей привода водяного насоса) обнаруживалась течь масла </w:t>
      </w:r>
      <w:proofErr w:type="gramStart"/>
      <w:r w:rsidRPr="00925F26">
        <w:rPr>
          <w:color w:val="000000" w:themeColor="text1"/>
          <w:sz w:val="16"/>
          <w:szCs w:val="16"/>
        </w:rPr>
        <w:t>через неплотности</w:t>
      </w:r>
      <w:proofErr w:type="gramEnd"/>
      <w:r w:rsidRPr="00925F26">
        <w:rPr>
          <w:color w:val="000000" w:themeColor="text1"/>
          <w:sz w:val="16"/>
          <w:szCs w:val="16"/>
        </w:rPr>
        <w:t xml:space="preserve"> в соединениях коммуникаций системы смазки двигателя.</w:t>
      </w:r>
    </w:p>
    <w:p w14:paraId="61A18B69" w14:textId="77777777" w:rsidR="002B4C11" w:rsidRPr="00925F26" w:rsidRDefault="002B4C11" w:rsidP="00925F26">
      <w:pPr>
        <w:jc w:val="both"/>
        <w:rPr>
          <w:color w:val="000000" w:themeColor="text1"/>
          <w:sz w:val="16"/>
          <w:szCs w:val="16"/>
        </w:rPr>
      </w:pPr>
      <w:r w:rsidRPr="00925F26">
        <w:rPr>
          <w:color w:val="000000" w:themeColor="text1"/>
          <w:sz w:val="16"/>
          <w:szCs w:val="16"/>
        </w:rPr>
        <w:t xml:space="preserve">Неисправности в трансмиссии сводились в основном к появлениям течи смазки через сальники ведущих валиков бортовых передач, </w:t>
      </w:r>
      <w:proofErr w:type="gramStart"/>
      <w:r w:rsidRPr="00925F26">
        <w:rPr>
          <w:color w:val="000000" w:themeColor="text1"/>
          <w:sz w:val="16"/>
          <w:szCs w:val="16"/>
        </w:rPr>
        <w:t>из под</w:t>
      </w:r>
      <w:proofErr w:type="gramEnd"/>
      <w:r w:rsidRPr="00925F26">
        <w:rPr>
          <w:color w:val="000000" w:themeColor="text1"/>
          <w:sz w:val="16"/>
          <w:szCs w:val="16"/>
        </w:rPr>
        <w:t xml:space="preserve"> поводковых коробок коробки перемены передач и в разъеме картеров бортовых передач.</w:t>
      </w:r>
    </w:p>
    <w:p w14:paraId="0D6E26F8" w14:textId="77777777" w:rsidR="002B4C11" w:rsidRPr="00925F26" w:rsidRDefault="002B4C11" w:rsidP="00925F26">
      <w:pPr>
        <w:jc w:val="both"/>
        <w:rPr>
          <w:color w:val="000000" w:themeColor="text1"/>
          <w:sz w:val="16"/>
          <w:szCs w:val="16"/>
        </w:rPr>
      </w:pPr>
      <w:r w:rsidRPr="00925F26">
        <w:rPr>
          <w:color w:val="000000" w:themeColor="text1"/>
          <w:sz w:val="16"/>
          <w:szCs w:val="16"/>
        </w:rPr>
        <w:t>Поломки и неисправности ходовой части в основном относятся к ведущим колесам. По мере износа шарниров гусениц увеличивается шаг зацепления, в связи с чем нарушается правильная работа ведущих колес. Происходит срез шплинтов гаек осей роликов, произвольное отвертывание гаек и поломка осей роликов.</w:t>
      </w:r>
    </w:p>
    <w:p w14:paraId="55D9BA2E" w14:textId="77777777" w:rsidR="002B4C11" w:rsidRPr="00925F26" w:rsidRDefault="002B4C11" w:rsidP="00925F26">
      <w:pPr>
        <w:jc w:val="both"/>
        <w:rPr>
          <w:color w:val="000000" w:themeColor="text1"/>
          <w:sz w:val="16"/>
          <w:szCs w:val="16"/>
        </w:rPr>
      </w:pPr>
      <w:r w:rsidRPr="00925F26">
        <w:rPr>
          <w:color w:val="000000" w:themeColor="text1"/>
          <w:sz w:val="16"/>
          <w:szCs w:val="16"/>
        </w:rPr>
        <w:t>Характер дефектов и их количество приведены в таблице.</w:t>
      </w:r>
    </w:p>
    <w:p w14:paraId="1CC8587F" w14:textId="77777777" w:rsidR="002B4C11" w:rsidRPr="00925F26" w:rsidRDefault="002B4C11" w:rsidP="00925F26">
      <w:pPr>
        <w:jc w:val="both"/>
        <w:rPr>
          <w:color w:val="000000" w:themeColor="text1"/>
          <w:sz w:val="16"/>
          <w:szCs w:val="16"/>
        </w:rPr>
      </w:pPr>
      <w:r w:rsidRPr="00925F26">
        <w:rPr>
          <w:color w:val="000000" w:themeColor="text1"/>
          <w:sz w:val="16"/>
          <w:szCs w:val="16"/>
        </w:rPr>
        <w:t>ТАНКИ ЗАВОДА № 112.</w:t>
      </w:r>
    </w:p>
    <w:p w14:paraId="4CF7B52F"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Заводом было предъявлено в 1944 г. на гарантийные испытания 8 танков, из которых выдержали испытания 3 танка, что составляет 37,4%. Не выдержали гарантийных испытаний 5 танков по следующим причинам.</w:t>
      </w:r>
    </w:p>
    <w:p w14:paraId="55EEBCFD" w14:textId="77777777" w:rsidR="002B4C11" w:rsidRPr="00925F26" w:rsidRDefault="002B4C11" w:rsidP="00925F26">
      <w:pPr>
        <w:jc w:val="both"/>
        <w:rPr>
          <w:color w:val="000000" w:themeColor="text1"/>
          <w:sz w:val="16"/>
          <w:szCs w:val="16"/>
        </w:rPr>
      </w:pPr>
      <w:r w:rsidRPr="00925F26">
        <w:rPr>
          <w:color w:val="000000" w:themeColor="text1"/>
          <w:sz w:val="16"/>
          <w:szCs w:val="16"/>
        </w:rPr>
        <w:t>Из вышеприведенной таблицы видно, что из 5 танков 4 танка не выдержали испытаний по двигателю и один танк из-за поломки 2-х пружин подвесок. Слабым узлом двигателя является привод водяного насоса. Поломка деталей привода водяного насоса (сухаря муфты, хвостовика валика насоса, нижнего вертикального валика) обусловлено конструктивным недостатком данного узла. Поломка 2-х пружин подвески произошла вследствие наличия трещин в материале пружин.</w:t>
      </w:r>
    </w:p>
    <w:p w14:paraId="42D52BD9" w14:textId="77777777" w:rsidR="002B4C11" w:rsidRPr="00925F26" w:rsidRDefault="002B4C11" w:rsidP="00925F26">
      <w:pPr>
        <w:jc w:val="both"/>
        <w:rPr>
          <w:color w:val="000000" w:themeColor="text1"/>
          <w:sz w:val="16"/>
          <w:szCs w:val="16"/>
        </w:rPr>
      </w:pPr>
      <w:r w:rsidRPr="00925F26">
        <w:rPr>
          <w:color w:val="000000" w:themeColor="text1"/>
          <w:sz w:val="16"/>
          <w:szCs w:val="16"/>
        </w:rPr>
        <w:t>Для сравнения надежности работы агрегатов ниже приводятся диаграммы километража пробега танков завода № 112 до поломки агрегатов и деталей за 1943 и 1944 г.</w:t>
      </w:r>
    </w:p>
    <w:p w14:paraId="06FFF9EE" w14:textId="4795741B" w:rsidR="002B4C11" w:rsidRPr="00925F26" w:rsidRDefault="002B4C11" w:rsidP="00925F26">
      <w:pPr>
        <w:jc w:val="both"/>
        <w:rPr>
          <w:color w:val="000000" w:themeColor="text1"/>
          <w:sz w:val="16"/>
          <w:szCs w:val="16"/>
        </w:rPr>
      </w:pPr>
      <w:r w:rsidRPr="00925F26">
        <w:rPr>
          <w:color w:val="000000" w:themeColor="text1"/>
          <w:sz w:val="16"/>
          <w:szCs w:val="16"/>
        </w:rPr>
        <w:t>Фото № 3.</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танками до поломки агрегатов и деталей при гарантийных испытаниях в 1943 г.</w:t>
      </w:r>
    </w:p>
    <w:p w14:paraId="2523C7A0" w14:textId="08574196" w:rsidR="002B4C11" w:rsidRPr="00925F26" w:rsidRDefault="002B4C11" w:rsidP="00925F26">
      <w:pPr>
        <w:jc w:val="both"/>
        <w:rPr>
          <w:color w:val="000000" w:themeColor="text1"/>
          <w:sz w:val="16"/>
          <w:szCs w:val="16"/>
        </w:rPr>
      </w:pPr>
      <w:r w:rsidRPr="00925F26">
        <w:rPr>
          <w:color w:val="000000" w:themeColor="text1"/>
          <w:sz w:val="16"/>
          <w:szCs w:val="16"/>
        </w:rPr>
        <w:t>Фото № 4.</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танками до поломки агрегатов и деталей при гарантийных испытаниях в 1944 г.</w:t>
      </w:r>
    </w:p>
    <w:p w14:paraId="68AE0663" w14:textId="77777777" w:rsidR="002B4C11" w:rsidRPr="00925F26" w:rsidRDefault="002B4C11" w:rsidP="00925F26">
      <w:pPr>
        <w:jc w:val="both"/>
        <w:rPr>
          <w:color w:val="000000" w:themeColor="text1"/>
          <w:sz w:val="16"/>
          <w:szCs w:val="16"/>
        </w:rPr>
      </w:pPr>
      <w:r w:rsidRPr="00925F26">
        <w:rPr>
          <w:color w:val="000000" w:themeColor="text1"/>
          <w:sz w:val="16"/>
          <w:szCs w:val="16"/>
        </w:rPr>
        <w:t>В период с февраля по октябрь 1943 г. не выдержало испытаний по вине коробки перемены передач 2 танка. С октября 1943 г. по декабрь 1944 г. поломок коробки перемены передач не происходило, что свидетельствует о повышении качества изготовления шестерен и сборки коробок перемены передач. Характерным дефектом за 1944 г. является поломка привода водяного насоса двигателя.</w:t>
      </w:r>
    </w:p>
    <w:p w14:paraId="7737E5D1" w14:textId="77777777" w:rsidR="002B4C11" w:rsidRPr="00925F26" w:rsidRDefault="002B4C11" w:rsidP="00925F26">
      <w:pPr>
        <w:jc w:val="both"/>
        <w:rPr>
          <w:color w:val="000000" w:themeColor="text1"/>
          <w:sz w:val="16"/>
          <w:szCs w:val="16"/>
        </w:rPr>
      </w:pPr>
      <w:r w:rsidRPr="00925F26">
        <w:rPr>
          <w:color w:val="000000" w:themeColor="text1"/>
          <w:sz w:val="16"/>
          <w:szCs w:val="16"/>
        </w:rPr>
        <w:t>НАДЕЖНОСТЬ РАБОТЫ АГРЕГАТОВ ТАНКА.</w:t>
      </w:r>
    </w:p>
    <w:p w14:paraId="36788BAC" w14:textId="77777777" w:rsidR="002B4C11" w:rsidRPr="00925F26" w:rsidRDefault="002B4C11" w:rsidP="00925F26">
      <w:pPr>
        <w:jc w:val="both"/>
        <w:rPr>
          <w:color w:val="000000" w:themeColor="text1"/>
          <w:sz w:val="16"/>
          <w:szCs w:val="16"/>
        </w:rPr>
      </w:pPr>
      <w:r w:rsidRPr="00925F26">
        <w:rPr>
          <w:color w:val="000000" w:themeColor="text1"/>
          <w:sz w:val="16"/>
          <w:szCs w:val="16"/>
        </w:rPr>
        <w:t>При испытаниях танков завода № 112 в 1944 г. выявлено следующее количество дефектов по основным агрегатам танка.</w:t>
      </w:r>
    </w:p>
    <w:p w14:paraId="49930BFE" w14:textId="77777777" w:rsidR="002B4C11" w:rsidRPr="00925F26" w:rsidRDefault="002B4C11" w:rsidP="00925F26">
      <w:pPr>
        <w:jc w:val="both"/>
        <w:rPr>
          <w:color w:val="000000" w:themeColor="text1"/>
          <w:sz w:val="16"/>
          <w:szCs w:val="16"/>
        </w:rPr>
      </w:pPr>
      <w:r w:rsidRPr="00925F26">
        <w:rPr>
          <w:color w:val="000000" w:themeColor="text1"/>
          <w:sz w:val="16"/>
          <w:szCs w:val="16"/>
        </w:rPr>
        <w:t>Количество и характер дефектов по агрегатам танков завода № 112.</w:t>
      </w:r>
    </w:p>
    <w:p w14:paraId="293FE631" w14:textId="77777777" w:rsidR="002B4C11" w:rsidRPr="00925F26" w:rsidRDefault="002B4C11" w:rsidP="00925F26">
      <w:pPr>
        <w:jc w:val="both"/>
        <w:rPr>
          <w:color w:val="000000" w:themeColor="text1"/>
          <w:sz w:val="16"/>
          <w:szCs w:val="16"/>
        </w:rPr>
      </w:pPr>
      <w:r w:rsidRPr="00925F26">
        <w:rPr>
          <w:color w:val="000000" w:themeColor="text1"/>
          <w:sz w:val="16"/>
          <w:szCs w:val="16"/>
        </w:rPr>
        <w:t>Суммарное количество поломок и неисправностей по агрегатам помещено в приводимой ниже таблице.</w:t>
      </w:r>
    </w:p>
    <w:p w14:paraId="136EB441" w14:textId="77777777" w:rsidR="002B4C11" w:rsidRPr="00925F26" w:rsidRDefault="002B4C11" w:rsidP="00925F26">
      <w:pPr>
        <w:jc w:val="both"/>
        <w:rPr>
          <w:color w:val="000000" w:themeColor="text1"/>
          <w:sz w:val="16"/>
          <w:szCs w:val="16"/>
        </w:rPr>
      </w:pPr>
      <w:r w:rsidRPr="00925F26">
        <w:rPr>
          <w:color w:val="000000" w:themeColor="text1"/>
          <w:sz w:val="16"/>
          <w:szCs w:val="16"/>
        </w:rPr>
        <w:t>Из таблицы видно, что наибольшее количество поломок и неисправностей имели ходовая часть и трансмиссия. Большое количество неисправностей ходовой части (33,9%) обусловлено в основном ненадежной работой ведущих колес (срез шплинтов, коронок гаек, ослабление затяжки болтов крепления колес, гаек осей роликов, разрушение осей роликов), вызванной конструктивным недостатком данного узла. Имело место 3 случая разрушения пружин подвесок вследствие наличия трещин в материале пружин.</w:t>
      </w:r>
    </w:p>
    <w:p w14:paraId="1905DBE9" w14:textId="77777777" w:rsidR="002B4C11" w:rsidRPr="00925F26" w:rsidRDefault="002B4C11" w:rsidP="00925F26">
      <w:pPr>
        <w:jc w:val="both"/>
        <w:rPr>
          <w:color w:val="000000" w:themeColor="text1"/>
          <w:sz w:val="16"/>
          <w:szCs w:val="16"/>
        </w:rPr>
      </w:pPr>
      <w:r w:rsidRPr="00925F26">
        <w:rPr>
          <w:color w:val="000000" w:themeColor="text1"/>
          <w:sz w:val="16"/>
          <w:szCs w:val="16"/>
        </w:rPr>
        <w:lastRenderedPageBreak/>
        <w:t>Из агрегатов трансмиссии ненадежно работали бортовые передачи (течи смазки через сальники валов бортовых передач, ослабление затяжки болтов крепления крышек бортовых передач).</w:t>
      </w:r>
    </w:p>
    <w:p w14:paraId="10D23943" w14:textId="77777777" w:rsidR="002B4C11" w:rsidRPr="00925F26" w:rsidRDefault="002B4C11" w:rsidP="00925F26">
      <w:pPr>
        <w:jc w:val="both"/>
        <w:rPr>
          <w:color w:val="000000" w:themeColor="text1"/>
          <w:sz w:val="16"/>
          <w:szCs w:val="16"/>
        </w:rPr>
      </w:pPr>
      <w:r w:rsidRPr="00925F26">
        <w:rPr>
          <w:color w:val="000000" w:themeColor="text1"/>
          <w:sz w:val="16"/>
          <w:szCs w:val="16"/>
        </w:rPr>
        <w:t>Остальные конструктивности вызваны плохим качеством монтажных работ. Дефекты двигателя сводились в основном к поломке привода водяного насоса и к течи топлива и масла из систем двигателя.</w:t>
      </w:r>
    </w:p>
    <w:p w14:paraId="6BEB7AFB" w14:textId="77777777" w:rsidR="002B4C11" w:rsidRPr="00925F26" w:rsidRDefault="002B4C11" w:rsidP="00925F26">
      <w:pPr>
        <w:jc w:val="both"/>
        <w:rPr>
          <w:color w:val="000000" w:themeColor="text1"/>
          <w:sz w:val="16"/>
          <w:szCs w:val="16"/>
        </w:rPr>
      </w:pPr>
      <w:r w:rsidRPr="00925F26">
        <w:rPr>
          <w:color w:val="000000" w:themeColor="text1"/>
          <w:sz w:val="16"/>
          <w:szCs w:val="16"/>
        </w:rPr>
        <w:t>ТАНКИ Т-34-85 ЗАВОДА № 174.</w:t>
      </w:r>
    </w:p>
    <w:p w14:paraId="43D9DF80"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Заводом предъявлено для гарантийных испытаний в 1944 году 7 танков, из которых выдержали гарантийные испытания 2 танка, что составляет 28,6 процента. Не выдержали испытания 5 танков по следующим причинам:</w:t>
      </w:r>
    </w:p>
    <w:p w14:paraId="18601622" w14:textId="77777777" w:rsidR="002B4C11" w:rsidRPr="00925F26" w:rsidRDefault="002B4C11" w:rsidP="00925F26">
      <w:pPr>
        <w:jc w:val="both"/>
        <w:rPr>
          <w:color w:val="000000" w:themeColor="text1"/>
          <w:sz w:val="16"/>
          <w:szCs w:val="16"/>
        </w:rPr>
      </w:pPr>
      <w:r w:rsidRPr="00925F26">
        <w:rPr>
          <w:color w:val="000000" w:themeColor="text1"/>
          <w:sz w:val="16"/>
          <w:szCs w:val="16"/>
        </w:rPr>
        <w:t>Из 5 танков 3 танка не выдержали гарантийных испытаний по двигателям. Большинство поломок деталей двигателя не связаны с конструктивным дефектом узлов, а обусловлены низким качеством изготовления деталей и дефектом материала.</w:t>
      </w:r>
    </w:p>
    <w:p w14:paraId="393DC7A8" w14:textId="77777777" w:rsidR="002B4C11" w:rsidRPr="00925F26" w:rsidRDefault="002B4C11" w:rsidP="00925F26">
      <w:pPr>
        <w:jc w:val="both"/>
        <w:rPr>
          <w:color w:val="000000" w:themeColor="text1"/>
          <w:sz w:val="16"/>
          <w:szCs w:val="16"/>
        </w:rPr>
      </w:pPr>
      <w:r w:rsidRPr="00925F26">
        <w:rPr>
          <w:color w:val="000000" w:themeColor="text1"/>
          <w:sz w:val="16"/>
          <w:szCs w:val="16"/>
        </w:rPr>
        <w:t>Разрушение шарикоподшипника ГПЗ-226 главного фрикциона произошло вследствие попадания грязи в подшипник. При движении танка по грязным проселочным дорогам, особенно в период распутицы, через открытый люк водителя попадает большое количество воды и грязи. Грязь скапливается на днище танка и вентилятором разбрызгивается в трансмиссионном отделении. Вследствие плохого уплотнения вода и грязь легко попадает к подшипнику.</w:t>
      </w:r>
    </w:p>
    <w:p w14:paraId="12213F71" w14:textId="77777777" w:rsidR="002B4C11" w:rsidRPr="00925F26" w:rsidRDefault="002B4C11" w:rsidP="00925F26">
      <w:pPr>
        <w:jc w:val="both"/>
        <w:rPr>
          <w:color w:val="000000" w:themeColor="text1"/>
          <w:sz w:val="16"/>
          <w:szCs w:val="16"/>
        </w:rPr>
      </w:pPr>
      <w:r w:rsidRPr="00925F26">
        <w:rPr>
          <w:color w:val="000000" w:themeColor="text1"/>
          <w:sz w:val="16"/>
          <w:szCs w:val="16"/>
        </w:rPr>
        <w:t>Поломка балансира не является характерной и произошла в следствие плохого качества литья. Заводу № 174 неоднократно указывалось в отчетах НИБТ Полигона на необходимость повышения качества литья и повышения контроля за литейным производством.</w:t>
      </w:r>
    </w:p>
    <w:p w14:paraId="208B8980" w14:textId="77777777" w:rsidR="002B4C11" w:rsidRPr="00925F26" w:rsidRDefault="002B4C11" w:rsidP="00925F26">
      <w:pPr>
        <w:jc w:val="both"/>
        <w:rPr>
          <w:color w:val="000000" w:themeColor="text1"/>
          <w:sz w:val="16"/>
          <w:szCs w:val="16"/>
        </w:rPr>
      </w:pPr>
      <w:r w:rsidRPr="00925F26">
        <w:rPr>
          <w:color w:val="000000" w:themeColor="text1"/>
          <w:sz w:val="16"/>
          <w:szCs w:val="16"/>
        </w:rPr>
        <w:t xml:space="preserve">Для сравнения надежности работы танков ниже приводятся диаграммы пройденного километража танками завода № 174 до поломок деталей основных агрегатов за 1943 и 1944 год. </w:t>
      </w:r>
    </w:p>
    <w:p w14:paraId="2426B6DD" w14:textId="24FB6B38" w:rsidR="002B4C11" w:rsidRPr="00925F26" w:rsidRDefault="002B4C11" w:rsidP="00925F26">
      <w:pPr>
        <w:jc w:val="both"/>
        <w:rPr>
          <w:color w:val="000000" w:themeColor="text1"/>
          <w:sz w:val="16"/>
          <w:szCs w:val="16"/>
        </w:rPr>
      </w:pPr>
      <w:r w:rsidRPr="00925F26">
        <w:rPr>
          <w:color w:val="000000" w:themeColor="text1"/>
          <w:sz w:val="16"/>
          <w:szCs w:val="16"/>
        </w:rPr>
        <w:t>Фото № 5.</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танками завода № 174 до поломок деталей основных агрегатов за 1943 г.</w:t>
      </w:r>
    </w:p>
    <w:p w14:paraId="7C41FB12" w14:textId="10915D5C" w:rsidR="002B4C11" w:rsidRPr="00925F26" w:rsidRDefault="002B4C11" w:rsidP="00925F26">
      <w:pPr>
        <w:jc w:val="both"/>
        <w:rPr>
          <w:color w:val="000000" w:themeColor="text1"/>
          <w:sz w:val="16"/>
          <w:szCs w:val="16"/>
        </w:rPr>
      </w:pPr>
      <w:r w:rsidRPr="00925F26">
        <w:rPr>
          <w:color w:val="000000" w:themeColor="text1"/>
          <w:sz w:val="16"/>
          <w:szCs w:val="16"/>
        </w:rPr>
        <w:t>Фото № 6.</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танками завода № 174 до поломок деталей основных агрегатов за 1944 г.</w:t>
      </w:r>
    </w:p>
    <w:p w14:paraId="0A49E9FD" w14:textId="77777777" w:rsidR="002B4C11" w:rsidRPr="00925F26" w:rsidRDefault="002B4C11" w:rsidP="00925F26">
      <w:pPr>
        <w:jc w:val="both"/>
        <w:rPr>
          <w:color w:val="000000" w:themeColor="text1"/>
          <w:sz w:val="16"/>
          <w:szCs w:val="16"/>
        </w:rPr>
      </w:pPr>
      <w:r w:rsidRPr="00925F26">
        <w:rPr>
          <w:color w:val="000000" w:themeColor="text1"/>
          <w:sz w:val="16"/>
          <w:szCs w:val="16"/>
        </w:rPr>
        <w:t>Наибольшее количество танков, не выдержавших гарантийные испытания имеет завод № 174, который находится на последнем месте относительно других танкостроительных заводов, изготавливающих танки Т34-85. Повышение качества изготовления танков заводом № 174 имело место только в конце 1944 года. Заводу № 174 необходимо повысить контроль за изготовлением деталей и сборкой танков.</w:t>
      </w:r>
    </w:p>
    <w:p w14:paraId="50A2398B" w14:textId="77777777" w:rsidR="002B4C11" w:rsidRPr="00925F26" w:rsidRDefault="002B4C11" w:rsidP="00925F26">
      <w:pPr>
        <w:jc w:val="both"/>
        <w:rPr>
          <w:color w:val="000000" w:themeColor="text1"/>
          <w:sz w:val="16"/>
          <w:szCs w:val="16"/>
        </w:rPr>
      </w:pPr>
      <w:r w:rsidRPr="00925F26">
        <w:rPr>
          <w:color w:val="000000" w:themeColor="text1"/>
          <w:sz w:val="16"/>
          <w:szCs w:val="16"/>
        </w:rPr>
        <w:t>НАДЕЖНОСТЬ РАБОТЫ АГРЕГАТОВ ТАНКОВ ЗАВОДА № 174.</w:t>
      </w:r>
    </w:p>
    <w:p w14:paraId="7A8670E5" w14:textId="77777777" w:rsidR="002B4C11" w:rsidRPr="00925F26" w:rsidRDefault="002B4C11" w:rsidP="00925F26">
      <w:pPr>
        <w:jc w:val="both"/>
        <w:rPr>
          <w:color w:val="000000" w:themeColor="text1"/>
          <w:sz w:val="16"/>
          <w:szCs w:val="16"/>
        </w:rPr>
      </w:pPr>
      <w:r w:rsidRPr="00925F26">
        <w:rPr>
          <w:color w:val="000000" w:themeColor="text1"/>
          <w:sz w:val="16"/>
          <w:szCs w:val="16"/>
        </w:rPr>
        <w:t>При гарантийных испытаниях танков завода № 174 в 1944 г. выявлено следующее количество дефектов по основным агрегатам танков.</w:t>
      </w:r>
    </w:p>
    <w:p w14:paraId="12A5F482" w14:textId="77777777" w:rsidR="002B4C11" w:rsidRPr="00925F26" w:rsidRDefault="002B4C11" w:rsidP="00925F26">
      <w:pPr>
        <w:jc w:val="both"/>
        <w:rPr>
          <w:color w:val="000000" w:themeColor="text1"/>
          <w:sz w:val="16"/>
          <w:szCs w:val="16"/>
        </w:rPr>
      </w:pPr>
      <w:r w:rsidRPr="00925F26">
        <w:rPr>
          <w:color w:val="000000" w:themeColor="text1"/>
          <w:sz w:val="16"/>
          <w:szCs w:val="16"/>
        </w:rPr>
        <w:t>Из таблицы следует, что наибольшее количество поломок и неисправностей имели двигатель, трансмиссия и ходовая часть. Характер дефектов агрегатов танков и их количество приведено в таблице.</w:t>
      </w:r>
    </w:p>
    <w:p w14:paraId="03A1E7B0" w14:textId="77777777" w:rsidR="002B4C11" w:rsidRPr="00925F26" w:rsidRDefault="002B4C11" w:rsidP="00925F26">
      <w:pPr>
        <w:jc w:val="both"/>
        <w:rPr>
          <w:color w:val="000000" w:themeColor="text1"/>
          <w:sz w:val="16"/>
          <w:szCs w:val="16"/>
        </w:rPr>
      </w:pPr>
      <w:r w:rsidRPr="00925F26">
        <w:rPr>
          <w:color w:val="000000" w:themeColor="text1"/>
          <w:sz w:val="16"/>
          <w:szCs w:val="16"/>
        </w:rPr>
        <w:t>КОЛИЧЕСТВО И ХАРАКТЕР ДЕФЕКТОВ ПО АГРЕГАТАМ ТАНКОВ ЗАВОДА № 174.</w:t>
      </w:r>
    </w:p>
    <w:p w14:paraId="7541F0D9" w14:textId="1A09CE55" w:rsidR="002B4C11" w:rsidRPr="00925F26" w:rsidRDefault="002B4C11" w:rsidP="00925F26">
      <w:pPr>
        <w:jc w:val="both"/>
        <w:rPr>
          <w:color w:val="000000" w:themeColor="text1"/>
          <w:sz w:val="16"/>
          <w:szCs w:val="16"/>
        </w:rPr>
      </w:pP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САМОХОДНЫЕ</w:t>
      </w:r>
      <w:proofErr w:type="gramEnd"/>
      <w:r w:rsidRPr="00925F26">
        <w:rPr>
          <w:color w:val="000000" w:themeColor="text1"/>
          <w:sz w:val="16"/>
          <w:szCs w:val="16"/>
        </w:rPr>
        <w:t xml:space="preserve"> УСТАНОВКИ УРАЛМАШЗАВОДА.</w:t>
      </w:r>
    </w:p>
    <w:p w14:paraId="7DC1B196" w14:textId="77777777" w:rsidR="002B4C11" w:rsidRPr="00925F26" w:rsidRDefault="002B4C11" w:rsidP="00925F26">
      <w:pPr>
        <w:jc w:val="both"/>
        <w:rPr>
          <w:color w:val="000000" w:themeColor="text1"/>
          <w:sz w:val="16"/>
          <w:szCs w:val="16"/>
        </w:rPr>
      </w:pPr>
      <w:r w:rsidRPr="00925F26">
        <w:rPr>
          <w:color w:val="000000" w:themeColor="text1"/>
          <w:sz w:val="16"/>
          <w:szCs w:val="16"/>
        </w:rPr>
        <w:t>Заводом УМЗ было предъявлено на гарантийные испытания 6 самоходных установок (четыре СУ-85 и две СУ-100), из которых выдержали испытания 2 самоходные установки. Не выдержали гарантийных испытаний 4 самоходных установки по следующим причинам.</w:t>
      </w:r>
    </w:p>
    <w:p w14:paraId="0AC6B1F8" w14:textId="77777777" w:rsidR="002B4C11" w:rsidRPr="00925F26" w:rsidRDefault="002B4C11" w:rsidP="00925F26">
      <w:pPr>
        <w:jc w:val="both"/>
        <w:rPr>
          <w:color w:val="000000" w:themeColor="text1"/>
          <w:sz w:val="16"/>
          <w:szCs w:val="16"/>
        </w:rPr>
      </w:pPr>
      <w:r w:rsidRPr="00925F26">
        <w:rPr>
          <w:color w:val="000000" w:themeColor="text1"/>
          <w:sz w:val="16"/>
          <w:szCs w:val="16"/>
        </w:rPr>
        <w:t>Из вышеприведенной таблицы видно, что из четырех самоходных установок три установки не выдержали гарантийных испытаний по двигателю и одна самоходная установка по трансмиссии. Наиболее характерным дефектом двигателя является ненадежная работа привода водяного насоса, обусловленная конструктивным недостатком данного узла.</w:t>
      </w:r>
    </w:p>
    <w:p w14:paraId="03A62EEB" w14:textId="77777777" w:rsidR="002B4C11" w:rsidRPr="00925F26" w:rsidRDefault="002B4C11" w:rsidP="00925F26">
      <w:pPr>
        <w:jc w:val="both"/>
        <w:rPr>
          <w:color w:val="000000" w:themeColor="text1"/>
          <w:sz w:val="16"/>
          <w:szCs w:val="16"/>
        </w:rPr>
      </w:pPr>
      <w:r w:rsidRPr="00925F26">
        <w:rPr>
          <w:color w:val="000000" w:themeColor="text1"/>
          <w:sz w:val="16"/>
          <w:szCs w:val="16"/>
        </w:rPr>
        <w:t>Для наглядности ниже приводится диаграмма пройденного километража самоходными установками до поломки агрегатов и деталей при гарантийных испытаниях в 1944 году.</w:t>
      </w:r>
    </w:p>
    <w:p w14:paraId="1962AD36" w14:textId="1B5C1BC0" w:rsidR="002B4C11" w:rsidRPr="00925F26" w:rsidRDefault="002B4C11" w:rsidP="00925F26">
      <w:pPr>
        <w:jc w:val="both"/>
        <w:rPr>
          <w:color w:val="000000" w:themeColor="text1"/>
          <w:sz w:val="16"/>
          <w:szCs w:val="16"/>
        </w:rPr>
      </w:pPr>
      <w:r w:rsidRPr="00925F26">
        <w:rPr>
          <w:color w:val="000000" w:themeColor="text1"/>
          <w:sz w:val="16"/>
          <w:szCs w:val="16"/>
        </w:rPr>
        <w:t>Фото № 7.</w:t>
      </w:r>
      <w:r w:rsidR="00997EDF" w:rsidRPr="00925F26">
        <w:rPr>
          <w:color w:val="000000" w:themeColor="text1"/>
          <w:sz w:val="16"/>
          <w:szCs w:val="16"/>
        </w:rPr>
        <w:t xml:space="preserve">  </w:t>
      </w:r>
      <w:r w:rsidRPr="00925F26">
        <w:rPr>
          <w:color w:val="000000" w:themeColor="text1"/>
          <w:sz w:val="16"/>
          <w:szCs w:val="16"/>
        </w:rPr>
        <w:t>Диаграмма пройденного километража самоходными установками СУ-85 и СУ-100 до поломок агрегатов и деталей.</w:t>
      </w:r>
    </w:p>
    <w:p w14:paraId="799BC129" w14:textId="77777777" w:rsidR="002B4C11" w:rsidRPr="00925F26" w:rsidRDefault="002B4C11" w:rsidP="00925F26">
      <w:pPr>
        <w:jc w:val="both"/>
        <w:rPr>
          <w:color w:val="000000" w:themeColor="text1"/>
          <w:sz w:val="16"/>
          <w:szCs w:val="16"/>
        </w:rPr>
      </w:pPr>
      <w:r w:rsidRPr="00925F26">
        <w:rPr>
          <w:color w:val="000000" w:themeColor="text1"/>
          <w:sz w:val="16"/>
          <w:szCs w:val="16"/>
        </w:rPr>
        <w:t>Уралмашзаводу и особенно заводу № 76, изготавливающему дизели В-2-34, необходимо повысить качество изготовления деталей, сборку двигателей и танков в целом, а также повысить контроль за изготовлением деталей и за сборкой агрегатов.</w:t>
      </w:r>
    </w:p>
    <w:p w14:paraId="674E4C36" w14:textId="77777777" w:rsidR="002B4C11" w:rsidRPr="00925F26" w:rsidRDefault="002B4C11" w:rsidP="00925F26">
      <w:pPr>
        <w:jc w:val="both"/>
        <w:rPr>
          <w:color w:val="000000" w:themeColor="text1"/>
          <w:sz w:val="16"/>
          <w:szCs w:val="16"/>
        </w:rPr>
      </w:pPr>
      <w:r w:rsidRPr="00925F26">
        <w:rPr>
          <w:color w:val="000000" w:themeColor="text1"/>
          <w:sz w:val="16"/>
          <w:szCs w:val="16"/>
        </w:rPr>
        <w:t>Характерно то, что из 6 самоходных установок выдержало испытания только 2, которые испытывались в благоприятных дорожных условиях (в зимних условиях).</w:t>
      </w:r>
    </w:p>
    <w:p w14:paraId="41CE9972" w14:textId="77777777" w:rsidR="002B4C11" w:rsidRPr="00925F26" w:rsidRDefault="002B4C11" w:rsidP="00925F26">
      <w:pPr>
        <w:jc w:val="both"/>
        <w:rPr>
          <w:color w:val="000000" w:themeColor="text1"/>
          <w:sz w:val="16"/>
          <w:szCs w:val="16"/>
        </w:rPr>
      </w:pPr>
      <w:r w:rsidRPr="00925F26">
        <w:rPr>
          <w:color w:val="000000" w:themeColor="text1"/>
          <w:sz w:val="16"/>
          <w:szCs w:val="16"/>
        </w:rPr>
        <w:t>НАДЕЖНОСТЬ РАБОТЫ АГРЕГАТОВ САМОХОДНЫХ УСТАНОВОК СУ-85 и СУ-100.</w:t>
      </w:r>
    </w:p>
    <w:p w14:paraId="2DE17E7C" w14:textId="77777777" w:rsidR="002B4C11" w:rsidRPr="00925F26" w:rsidRDefault="002B4C11" w:rsidP="00925F26">
      <w:pPr>
        <w:jc w:val="both"/>
        <w:rPr>
          <w:color w:val="000000" w:themeColor="text1"/>
          <w:sz w:val="16"/>
          <w:szCs w:val="16"/>
        </w:rPr>
      </w:pPr>
      <w:r w:rsidRPr="00925F26">
        <w:rPr>
          <w:color w:val="000000" w:themeColor="text1"/>
          <w:sz w:val="16"/>
          <w:szCs w:val="16"/>
        </w:rPr>
        <w:t>На гарантийных испытаниях шести самоходных установок Уралмашзавода в 1944 году выявлено следующее количество дефектов.</w:t>
      </w:r>
    </w:p>
    <w:p w14:paraId="3EBE2D3E" w14:textId="77777777" w:rsidR="002B4C11" w:rsidRPr="00925F26" w:rsidRDefault="002B4C11" w:rsidP="00925F26">
      <w:pPr>
        <w:jc w:val="both"/>
        <w:rPr>
          <w:color w:val="000000" w:themeColor="text1"/>
          <w:sz w:val="16"/>
          <w:szCs w:val="16"/>
        </w:rPr>
      </w:pPr>
      <w:r w:rsidRPr="00925F26">
        <w:rPr>
          <w:color w:val="000000" w:themeColor="text1"/>
          <w:sz w:val="16"/>
          <w:szCs w:val="16"/>
        </w:rPr>
        <w:t>Наибольшее количество дефектов имеют двигатель и ходовая часть. Ниже приводится таблица характера и количества дефектов, выявленных при гарантийных испытаниях по агрегатам.</w:t>
      </w:r>
    </w:p>
    <w:p w14:paraId="20DA8755" w14:textId="77777777" w:rsidR="002B4C11" w:rsidRPr="00925F26" w:rsidRDefault="002B4C11" w:rsidP="00925F26">
      <w:pPr>
        <w:jc w:val="both"/>
        <w:rPr>
          <w:color w:val="000000" w:themeColor="text1"/>
          <w:sz w:val="16"/>
          <w:szCs w:val="16"/>
        </w:rPr>
      </w:pPr>
      <w:r w:rsidRPr="00925F26">
        <w:rPr>
          <w:color w:val="000000" w:themeColor="text1"/>
          <w:sz w:val="16"/>
          <w:szCs w:val="16"/>
        </w:rPr>
        <w:t>КОЛИЧЕСТВО И ХАРАКТЕР ДЕФЕКТОВ ПО АГРЕГАТАМ</w:t>
      </w:r>
    </w:p>
    <w:p w14:paraId="7A867941" w14:textId="77777777" w:rsidR="002B4C11" w:rsidRPr="00925F26" w:rsidRDefault="002B4C11" w:rsidP="00925F26">
      <w:pPr>
        <w:jc w:val="both"/>
        <w:rPr>
          <w:color w:val="000000" w:themeColor="text1"/>
          <w:sz w:val="16"/>
          <w:szCs w:val="16"/>
        </w:rPr>
      </w:pPr>
      <w:r w:rsidRPr="00925F26">
        <w:rPr>
          <w:color w:val="000000" w:themeColor="text1"/>
          <w:sz w:val="16"/>
          <w:szCs w:val="16"/>
        </w:rPr>
        <w:t>ОЦЕНКА НАДЕЖНОСТИ И КАЧЕСТВА ИЗГОТОВЛЕНИЯ ТАНКОВ ИС</w:t>
      </w:r>
    </w:p>
    <w:p w14:paraId="13E6A75B" w14:textId="77777777" w:rsidR="002B4C11" w:rsidRPr="00925F26" w:rsidRDefault="002B4C11" w:rsidP="00925F26">
      <w:pPr>
        <w:jc w:val="both"/>
        <w:rPr>
          <w:color w:val="000000" w:themeColor="text1"/>
          <w:sz w:val="16"/>
          <w:szCs w:val="16"/>
        </w:rPr>
      </w:pPr>
      <w:r w:rsidRPr="00925F26">
        <w:rPr>
          <w:color w:val="000000" w:themeColor="text1"/>
          <w:sz w:val="16"/>
          <w:szCs w:val="16"/>
        </w:rPr>
        <w:t>И САМОХОДНЫХ УСТАНОВОК ИСУ</w:t>
      </w:r>
    </w:p>
    <w:p w14:paraId="12AF018A" w14:textId="77777777" w:rsidR="002B4C11" w:rsidRPr="00925F26" w:rsidRDefault="002B4C11" w:rsidP="00925F26">
      <w:pPr>
        <w:jc w:val="both"/>
        <w:rPr>
          <w:color w:val="000000" w:themeColor="text1"/>
          <w:sz w:val="16"/>
          <w:szCs w:val="16"/>
        </w:rPr>
      </w:pPr>
      <w:r w:rsidRPr="00925F26">
        <w:rPr>
          <w:color w:val="000000" w:themeColor="text1"/>
          <w:sz w:val="16"/>
          <w:szCs w:val="16"/>
        </w:rPr>
        <w:t>1. Из десяти танков ИС, представленных на полигон, все машины гарантийных испытаний на 1000 км не выдержали. Основные причины, по которым машины не выдержали гарантийных испытаний и километраж пробега, на котором вышли из строя основные агрегаты, приведены в таблице № 1 и на фото № 8.</w:t>
      </w:r>
    </w:p>
    <w:p w14:paraId="5EDAB671"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1.</w:t>
      </w:r>
    </w:p>
    <w:p w14:paraId="0795E672" w14:textId="77777777" w:rsidR="002B4C11" w:rsidRPr="00925F26" w:rsidRDefault="002B4C11" w:rsidP="00925F26">
      <w:pPr>
        <w:jc w:val="both"/>
        <w:rPr>
          <w:color w:val="000000" w:themeColor="text1"/>
          <w:sz w:val="16"/>
          <w:szCs w:val="16"/>
        </w:rPr>
      </w:pPr>
      <w:r w:rsidRPr="00925F26">
        <w:rPr>
          <w:color w:val="000000" w:themeColor="text1"/>
          <w:sz w:val="16"/>
          <w:szCs w:val="16"/>
        </w:rPr>
        <w:t xml:space="preserve">2. Из девяти самоходных установок </w:t>
      </w:r>
      <w:proofErr w:type="gramStart"/>
      <w:r w:rsidRPr="00925F26">
        <w:rPr>
          <w:color w:val="000000" w:themeColor="text1"/>
          <w:sz w:val="16"/>
          <w:szCs w:val="16"/>
        </w:rPr>
        <w:t>ИСУ</w:t>
      </w:r>
      <w:proofErr w:type="gramEnd"/>
      <w:r w:rsidRPr="00925F26">
        <w:rPr>
          <w:color w:val="000000" w:themeColor="text1"/>
          <w:sz w:val="16"/>
          <w:szCs w:val="16"/>
        </w:rPr>
        <w:t xml:space="preserve"> представленных на полигон выдержали гарантийные испытания на 1000 км машины ноябрьского и декабрьского выпусков. Основные причины, по которым самоходные установки не выдержали гарантийных испытаний, и километраж пробега, на котором вышли из строя основные агрегаты приведены в таблице № 2 и на фото № 9.</w:t>
      </w:r>
    </w:p>
    <w:p w14:paraId="1CB64B47"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2.</w:t>
      </w:r>
    </w:p>
    <w:p w14:paraId="1872AE8C" w14:textId="42709E54" w:rsidR="002B4C11" w:rsidRPr="00925F26" w:rsidRDefault="002B4C11" w:rsidP="00925F26">
      <w:pPr>
        <w:jc w:val="both"/>
        <w:rPr>
          <w:color w:val="000000" w:themeColor="text1"/>
          <w:sz w:val="16"/>
          <w:szCs w:val="16"/>
        </w:rPr>
      </w:pPr>
      <w:r w:rsidRPr="00925F26">
        <w:rPr>
          <w:color w:val="000000" w:themeColor="text1"/>
          <w:sz w:val="16"/>
          <w:szCs w:val="16"/>
        </w:rPr>
        <w:t>Фото № 8.</w:t>
      </w:r>
      <w:r w:rsidR="00997EDF" w:rsidRPr="00925F26">
        <w:rPr>
          <w:color w:val="000000" w:themeColor="text1"/>
          <w:sz w:val="16"/>
          <w:szCs w:val="16"/>
        </w:rPr>
        <w:t xml:space="preserve">  </w:t>
      </w:r>
      <w:r w:rsidRPr="00925F26">
        <w:rPr>
          <w:color w:val="000000" w:themeColor="text1"/>
          <w:sz w:val="16"/>
          <w:szCs w:val="16"/>
        </w:rPr>
        <w:t>Километраж пробега танков ИС во время гарантийных испытаний до выхода из строя основных агрегатов.</w:t>
      </w:r>
    </w:p>
    <w:p w14:paraId="029EFCD7" w14:textId="692D0832" w:rsidR="002B4C11" w:rsidRPr="00925F26" w:rsidRDefault="002B4C11" w:rsidP="00925F26">
      <w:pPr>
        <w:jc w:val="both"/>
        <w:rPr>
          <w:color w:val="000000" w:themeColor="text1"/>
          <w:sz w:val="16"/>
          <w:szCs w:val="16"/>
        </w:rPr>
      </w:pPr>
      <w:r w:rsidRPr="00925F26">
        <w:rPr>
          <w:color w:val="000000" w:themeColor="text1"/>
          <w:sz w:val="16"/>
          <w:szCs w:val="16"/>
        </w:rPr>
        <w:t>Фото № 9.</w:t>
      </w:r>
      <w:r w:rsidR="00997EDF" w:rsidRPr="00925F26">
        <w:rPr>
          <w:color w:val="000000" w:themeColor="text1"/>
          <w:sz w:val="16"/>
          <w:szCs w:val="16"/>
        </w:rPr>
        <w:t xml:space="preserve">  </w:t>
      </w:r>
      <w:r w:rsidRPr="00925F26">
        <w:rPr>
          <w:color w:val="000000" w:themeColor="text1"/>
          <w:sz w:val="16"/>
          <w:szCs w:val="16"/>
        </w:rPr>
        <w:t>Километраж пробега самоходных установок ИСУ во время гарантийных испытаний до выхода из строя основных агрегатов.</w:t>
      </w:r>
    </w:p>
    <w:p w14:paraId="28567EA0" w14:textId="77777777" w:rsidR="002B4C11" w:rsidRPr="00925F26" w:rsidRDefault="002B4C11" w:rsidP="00925F26">
      <w:pPr>
        <w:jc w:val="both"/>
        <w:rPr>
          <w:color w:val="000000" w:themeColor="text1"/>
          <w:sz w:val="16"/>
          <w:szCs w:val="16"/>
        </w:rPr>
      </w:pPr>
      <w:r w:rsidRPr="00925F26">
        <w:rPr>
          <w:color w:val="000000" w:themeColor="text1"/>
          <w:sz w:val="16"/>
          <w:szCs w:val="16"/>
        </w:rPr>
        <w:t>3. Танки и самоходные установки, не выдержавшие гарантийных испытаний, по основным агрегатам и узлам, вышедшим из строя во время пробегов, распределяются в следующем порядке: (Таблица № 3)</w:t>
      </w:r>
    </w:p>
    <w:p w14:paraId="194494A6"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3.</w:t>
      </w:r>
    </w:p>
    <w:p w14:paraId="77076A96" w14:textId="77777777" w:rsidR="002B4C11" w:rsidRPr="00925F26" w:rsidRDefault="002B4C11" w:rsidP="00925F26">
      <w:pPr>
        <w:jc w:val="both"/>
        <w:rPr>
          <w:color w:val="000000" w:themeColor="text1"/>
          <w:sz w:val="16"/>
          <w:szCs w:val="16"/>
        </w:rPr>
      </w:pPr>
      <w:r w:rsidRPr="00925F26">
        <w:rPr>
          <w:color w:val="000000" w:themeColor="text1"/>
          <w:sz w:val="16"/>
          <w:szCs w:val="16"/>
        </w:rPr>
        <w:t>4. Распределение поломок и неисправностей по агрегатам, имевших место при гарантийных испытаниях танков и самоходных установок, приведено в таблицах № 4 и № 5. Из таблиц видно, что наибольшее количество поломок и неисправностей приходится на ходовую часть, коробку перемены передач и двигатель.</w:t>
      </w:r>
    </w:p>
    <w:p w14:paraId="7290E4DD" w14:textId="77777777" w:rsidR="002B4C11" w:rsidRPr="00925F26" w:rsidRDefault="002B4C11" w:rsidP="00925F26">
      <w:pPr>
        <w:jc w:val="both"/>
        <w:rPr>
          <w:color w:val="000000" w:themeColor="text1"/>
          <w:sz w:val="16"/>
          <w:szCs w:val="16"/>
        </w:rPr>
      </w:pPr>
      <w:r w:rsidRPr="00925F26">
        <w:rPr>
          <w:color w:val="000000" w:themeColor="text1"/>
          <w:sz w:val="16"/>
          <w:szCs w:val="16"/>
        </w:rPr>
        <w:t xml:space="preserve">В течение годового выпуска танков ИС и самоходных установок ИСУ заметно повысилась надежность работы планетарного механизма поворота, электроинерционного стартера и бортовых передач. Надежность работы силовой установки, коробки перемены передач и ходовой части (особенно опорных катков) не </w:t>
      </w:r>
      <w:proofErr w:type="gramStart"/>
      <w:r w:rsidRPr="00925F26">
        <w:rPr>
          <w:color w:val="000000" w:themeColor="text1"/>
          <w:sz w:val="16"/>
          <w:szCs w:val="16"/>
        </w:rPr>
        <w:t>улучшилась, несмотря на то, что</w:t>
      </w:r>
      <w:proofErr w:type="gramEnd"/>
      <w:r w:rsidRPr="00925F26">
        <w:rPr>
          <w:color w:val="000000" w:themeColor="text1"/>
          <w:sz w:val="16"/>
          <w:szCs w:val="16"/>
        </w:rPr>
        <w:t xml:space="preserve"> НИБТ полигон неоднократно указывал в своих отчетах о конструктивной недоработке в упомянутых агрегатах.</w:t>
      </w:r>
    </w:p>
    <w:p w14:paraId="3BA8F389"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4.</w:t>
      </w:r>
    </w:p>
    <w:p w14:paraId="5B93B558" w14:textId="467B81B8" w:rsidR="002B4C11" w:rsidRPr="00925F26" w:rsidRDefault="002B4C11" w:rsidP="00925F26">
      <w:pPr>
        <w:jc w:val="both"/>
        <w:rPr>
          <w:color w:val="000000" w:themeColor="text1"/>
          <w:sz w:val="16"/>
          <w:szCs w:val="16"/>
        </w:rPr>
      </w:pPr>
      <w:proofErr w:type="gramStart"/>
      <w:r w:rsidRPr="00925F26">
        <w:rPr>
          <w:color w:val="000000" w:themeColor="text1"/>
          <w:sz w:val="16"/>
          <w:szCs w:val="16"/>
        </w:rPr>
        <w:t>ПРИМЕЧАНИЕ:</w:t>
      </w:r>
      <w:r w:rsidR="00997EDF" w:rsidRPr="00925F26">
        <w:rPr>
          <w:color w:val="000000" w:themeColor="text1"/>
          <w:sz w:val="16"/>
          <w:szCs w:val="16"/>
        </w:rPr>
        <w:t xml:space="preserve">  </w:t>
      </w:r>
      <w:r w:rsidRPr="00925F26">
        <w:rPr>
          <w:color w:val="000000" w:themeColor="text1"/>
          <w:sz w:val="16"/>
          <w:szCs w:val="16"/>
        </w:rPr>
        <w:t>В</w:t>
      </w:r>
      <w:proofErr w:type="gramEnd"/>
      <w:r w:rsidRPr="00925F26">
        <w:rPr>
          <w:color w:val="000000" w:themeColor="text1"/>
          <w:sz w:val="16"/>
          <w:szCs w:val="16"/>
        </w:rPr>
        <w:t xml:space="preserve"> феврале месяце было представлено на испытание два танка ИС.</w:t>
      </w:r>
    </w:p>
    <w:p w14:paraId="4CA0E45C"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5.</w:t>
      </w:r>
    </w:p>
    <w:p w14:paraId="53656CC5" w14:textId="3C5B9886" w:rsidR="002B4C11" w:rsidRPr="00925F26" w:rsidRDefault="002B4C11" w:rsidP="00925F26">
      <w:pPr>
        <w:jc w:val="both"/>
        <w:rPr>
          <w:color w:val="000000" w:themeColor="text1"/>
          <w:sz w:val="16"/>
          <w:szCs w:val="16"/>
        </w:rPr>
      </w:pPr>
      <w:proofErr w:type="gramStart"/>
      <w:r w:rsidRPr="00925F26">
        <w:rPr>
          <w:color w:val="000000" w:themeColor="text1"/>
          <w:sz w:val="16"/>
          <w:szCs w:val="16"/>
        </w:rPr>
        <w:t>ПРИМЕЧАНИЕ:</w:t>
      </w:r>
      <w:r w:rsidR="00997EDF" w:rsidRPr="00925F26">
        <w:rPr>
          <w:color w:val="000000" w:themeColor="text1"/>
          <w:sz w:val="16"/>
          <w:szCs w:val="16"/>
        </w:rPr>
        <w:t xml:space="preserve">  </w:t>
      </w:r>
      <w:r w:rsidRPr="00925F26">
        <w:rPr>
          <w:color w:val="000000" w:themeColor="text1"/>
          <w:sz w:val="16"/>
          <w:szCs w:val="16"/>
        </w:rPr>
        <w:t>В</w:t>
      </w:r>
      <w:proofErr w:type="gramEnd"/>
      <w:r w:rsidRPr="00925F26">
        <w:rPr>
          <w:color w:val="000000" w:themeColor="text1"/>
          <w:sz w:val="16"/>
          <w:szCs w:val="16"/>
        </w:rPr>
        <w:t xml:space="preserve"> феврале месяце было представлено на испытание две самоходные установки ИСУ.</w:t>
      </w:r>
    </w:p>
    <w:p w14:paraId="750AA91D" w14:textId="77777777" w:rsidR="002B4C11" w:rsidRPr="00925F26" w:rsidRDefault="002B4C11" w:rsidP="00925F26">
      <w:pPr>
        <w:jc w:val="both"/>
        <w:rPr>
          <w:color w:val="000000" w:themeColor="text1"/>
          <w:sz w:val="16"/>
          <w:szCs w:val="16"/>
        </w:rPr>
      </w:pPr>
      <w:r w:rsidRPr="00925F26">
        <w:rPr>
          <w:color w:val="000000" w:themeColor="text1"/>
          <w:sz w:val="16"/>
          <w:szCs w:val="16"/>
        </w:rPr>
        <w:t>Недостаточная надежность танков ИС и самоходных установок ИСУ является следствием низкого качества изготовления и наряду с этим конструктивного несовершенства отдельных узлов и агрегатов.</w:t>
      </w:r>
    </w:p>
    <w:p w14:paraId="3506BECA" w14:textId="77777777" w:rsidR="002B4C11" w:rsidRPr="00925F26" w:rsidRDefault="002B4C11" w:rsidP="00925F26">
      <w:pPr>
        <w:jc w:val="both"/>
        <w:rPr>
          <w:color w:val="000000" w:themeColor="text1"/>
          <w:sz w:val="16"/>
          <w:szCs w:val="16"/>
        </w:rPr>
      </w:pPr>
      <w:r w:rsidRPr="00925F26">
        <w:rPr>
          <w:color w:val="000000" w:themeColor="text1"/>
          <w:sz w:val="16"/>
          <w:szCs w:val="16"/>
        </w:rPr>
        <w:t>ОЦЕНКА НАДЕЖНОСТИ АГРЕГАТОВ И УЗЛОВ ТАНКОВ ИС и САМОХОДНЫХ АРТИЛЛЕРИЙСКИХ УСТАНОВОК ИСУ.</w:t>
      </w:r>
    </w:p>
    <w:p w14:paraId="5ED20B98" w14:textId="77777777" w:rsidR="002B4C11" w:rsidRPr="00925F26" w:rsidRDefault="002B4C11" w:rsidP="00925F26">
      <w:pPr>
        <w:jc w:val="both"/>
        <w:rPr>
          <w:color w:val="000000" w:themeColor="text1"/>
          <w:sz w:val="16"/>
          <w:szCs w:val="16"/>
        </w:rPr>
      </w:pPr>
      <w:r w:rsidRPr="00925F26">
        <w:rPr>
          <w:color w:val="000000" w:themeColor="text1"/>
          <w:sz w:val="16"/>
          <w:szCs w:val="16"/>
        </w:rPr>
        <w:t>I. ДВИГАТЕЛЬ.</w:t>
      </w:r>
    </w:p>
    <w:p w14:paraId="3B13B99C" w14:textId="77777777" w:rsidR="002B4C11" w:rsidRPr="00925F26" w:rsidRDefault="002B4C11" w:rsidP="00925F26">
      <w:pPr>
        <w:jc w:val="both"/>
        <w:rPr>
          <w:color w:val="000000" w:themeColor="text1"/>
          <w:sz w:val="16"/>
          <w:szCs w:val="16"/>
        </w:rPr>
      </w:pPr>
      <w:r w:rsidRPr="00925F26">
        <w:rPr>
          <w:color w:val="000000" w:themeColor="text1"/>
          <w:sz w:val="16"/>
          <w:szCs w:val="16"/>
        </w:rPr>
        <w:t>Во время гарантийных испытаний, вследствие ненадежной работы двигателя и вентилятора системы охлаждения, вышли из строя четыре танка ИС (40%) и две самоходные установки (22%). При продолжении испытаний танков и самоходных установок, не выдержавших гарантийный километраж, двигатели имели еще целый ряд поломок и неисправностей. Поломки и неисправности, происшедшие на двигателях при испытании танков и самоходных установок, приведены в таблицах № 6 и № 7.</w:t>
      </w:r>
    </w:p>
    <w:p w14:paraId="7EC46504" w14:textId="77777777" w:rsidR="002B4C11" w:rsidRPr="00925F26" w:rsidRDefault="002B4C11" w:rsidP="00925F26">
      <w:pPr>
        <w:jc w:val="both"/>
        <w:rPr>
          <w:color w:val="000000" w:themeColor="text1"/>
          <w:sz w:val="16"/>
          <w:szCs w:val="16"/>
        </w:rPr>
      </w:pPr>
      <w:r w:rsidRPr="00925F26">
        <w:rPr>
          <w:color w:val="000000" w:themeColor="text1"/>
          <w:sz w:val="16"/>
          <w:szCs w:val="16"/>
        </w:rPr>
        <w:t>Причинами низкой надежности работы двигателя являются:</w:t>
      </w:r>
    </w:p>
    <w:p w14:paraId="4F64585E" w14:textId="77777777" w:rsidR="002B4C11" w:rsidRPr="00925F26" w:rsidRDefault="002B4C11" w:rsidP="00925F26">
      <w:pPr>
        <w:jc w:val="both"/>
        <w:rPr>
          <w:color w:val="000000" w:themeColor="text1"/>
          <w:sz w:val="16"/>
          <w:szCs w:val="16"/>
        </w:rPr>
      </w:pPr>
      <w:r w:rsidRPr="00925F26">
        <w:rPr>
          <w:color w:val="000000" w:themeColor="text1"/>
          <w:sz w:val="16"/>
          <w:szCs w:val="16"/>
        </w:rPr>
        <w:t>1. Слабый контроль при изготовлении и сборке резьбовых соединений, что вызывает большое количество течей топлива и масла.</w:t>
      </w:r>
    </w:p>
    <w:p w14:paraId="579EE92F" w14:textId="77777777" w:rsidR="002B4C11" w:rsidRPr="00925F26" w:rsidRDefault="002B4C11" w:rsidP="00925F26">
      <w:pPr>
        <w:jc w:val="both"/>
        <w:rPr>
          <w:color w:val="000000" w:themeColor="text1"/>
          <w:sz w:val="16"/>
          <w:szCs w:val="16"/>
        </w:rPr>
      </w:pPr>
      <w:r w:rsidRPr="00925F26">
        <w:rPr>
          <w:color w:val="000000" w:themeColor="text1"/>
          <w:sz w:val="16"/>
          <w:szCs w:val="16"/>
        </w:rPr>
        <w:t>2. Недостаточный контроль за термической обработкой и сборкой деталей групп – распределения, топливного насоса, приводов к генератору и топливному насосу.</w:t>
      </w:r>
    </w:p>
    <w:p w14:paraId="0664A484" w14:textId="77777777" w:rsidR="002B4C11" w:rsidRPr="00925F26" w:rsidRDefault="002B4C11" w:rsidP="00925F26">
      <w:pPr>
        <w:jc w:val="both"/>
        <w:rPr>
          <w:color w:val="000000" w:themeColor="text1"/>
          <w:sz w:val="16"/>
          <w:szCs w:val="16"/>
        </w:rPr>
      </w:pPr>
      <w:r w:rsidRPr="00925F26">
        <w:rPr>
          <w:color w:val="000000" w:themeColor="text1"/>
          <w:sz w:val="16"/>
          <w:szCs w:val="16"/>
        </w:rPr>
        <w:t>3. Несовершенная конструкция крепления несущего диска главного фрикциона, вызывающая смятие шлицов носка коленчатого вала. Дефект типичен для двигателей январско-февральского выпусков, в дальнейшем был устранен, затем имел место на двигателе ноябрьского выпуска.</w:t>
      </w:r>
    </w:p>
    <w:p w14:paraId="5E0819C4" w14:textId="77777777" w:rsidR="002B4C11" w:rsidRPr="00925F26" w:rsidRDefault="002B4C11" w:rsidP="00925F26">
      <w:pPr>
        <w:jc w:val="both"/>
        <w:rPr>
          <w:color w:val="000000" w:themeColor="text1"/>
          <w:sz w:val="16"/>
          <w:szCs w:val="16"/>
        </w:rPr>
      </w:pPr>
      <w:r w:rsidRPr="00925F26">
        <w:rPr>
          <w:color w:val="000000" w:themeColor="text1"/>
          <w:sz w:val="16"/>
          <w:szCs w:val="16"/>
        </w:rPr>
        <w:t>4. Низкая надежность работы привода водяного насоса, вследствие несовершенства его конструкции.</w:t>
      </w:r>
    </w:p>
    <w:p w14:paraId="77D16EC8" w14:textId="77777777" w:rsidR="002B4C11" w:rsidRPr="00925F26" w:rsidRDefault="002B4C11" w:rsidP="00925F26">
      <w:pPr>
        <w:jc w:val="both"/>
        <w:rPr>
          <w:color w:val="000000" w:themeColor="text1"/>
          <w:sz w:val="16"/>
          <w:szCs w:val="16"/>
        </w:rPr>
      </w:pPr>
      <w:r w:rsidRPr="00925F26">
        <w:rPr>
          <w:color w:val="000000" w:themeColor="text1"/>
          <w:sz w:val="16"/>
          <w:szCs w:val="16"/>
        </w:rPr>
        <w:t>5. Низкая надежность работы электроинерционного стартера вследствие его конструктивной недоработки и низкого качества изготовления. Ненадежно работали электроинерционные стартеры на танках и самоходных установках январско-февральских выпусков. Электроинерционные стартеры последующих выпусков значительно надежнее, однако имеют место случаи отпая проводов реле включения храповиков и сгорания обмотки якоря электромоторов.</w:t>
      </w:r>
    </w:p>
    <w:p w14:paraId="3893F527" w14:textId="77777777" w:rsidR="002B4C11" w:rsidRPr="00925F26" w:rsidRDefault="002B4C11" w:rsidP="00925F26">
      <w:pPr>
        <w:jc w:val="both"/>
        <w:rPr>
          <w:color w:val="000000" w:themeColor="text1"/>
          <w:sz w:val="16"/>
          <w:szCs w:val="16"/>
        </w:rPr>
      </w:pPr>
      <w:r w:rsidRPr="00925F26">
        <w:rPr>
          <w:color w:val="000000" w:themeColor="text1"/>
          <w:sz w:val="16"/>
          <w:szCs w:val="16"/>
        </w:rPr>
        <w:t>6. Недостаточный контроль за сборкой двигателя.</w:t>
      </w:r>
    </w:p>
    <w:p w14:paraId="1F30B4CF" w14:textId="77777777" w:rsidR="002B4C11" w:rsidRPr="00925F26" w:rsidRDefault="002B4C11" w:rsidP="00925F26">
      <w:pPr>
        <w:jc w:val="both"/>
        <w:rPr>
          <w:color w:val="000000" w:themeColor="text1"/>
          <w:sz w:val="16"/>
          <w:szCs w:val="16"/>
        </w:rPr>
      </w:pPr>
      <w:r w:rsidRPr="00925F26">
        <w:rPr>
          <w:color w:val="000000" w:themeColor="text1"/>
          <w:sz w:val="16"/>
          <w:szCs w:val="16"/>
        </w:rPr>
        <w:lastRenderedPageBreak/>
        <w:t>а) на двигателе № 41173 (танк ИС-122 № 411210 декабрьского выпуска) в процессе испытаний после 73,02 часа его работы произошло прогорание поршней и разрушение поршневых колец из-за недостаточной затяжки форсунок.</w:t>
      </w:r>
    </w:p>
    <w:p w14:paraId="2A95224C" w14:textId="77777777" w:rsidR="002B4C11" w:rsidRPr="00925F26" w:rsidRDefault="002B4C11" w:rsidP="00925F26">
      <w:pPr>
        <w:jc w:val="both"/>
        <w:rPr>
          <w:color w:val="000000" w:themeColor="text1"/>
          <w:sz w:val="16"/>
          <w:szCs w:val="16"/>
        </w:rPr>
      </w:pPr>
      <w:r w:rsidRPr="00925F26">
        <w:rPr>
          <w:color w:val="000000" w:themeColor="text1"/>
          <w:sz w:val="16"/>
          <w:szCs w:val="16"/>
        </w:rPr>
        <w:t>б) на двигателе № 410326 (танк ИС-122 № 410164 ноябрьского выпуска) в процессе испытаний после 52,46 часа работы разрушилась обечайка и пять лопастей заднего диска вентилятора системы охлаждения и после 62, 49 часа работы двигателя разрушились болты и разгрузочные штифты несущего диска главного фрикциона и переднего диска вентилятора. Обрыв лопастей вентилятора произошел также на двигателе танка ИС-122 № 408102 августовского выпуска. Поломки произошли вследствие плохой затяжки болтов и больших зазоров между разгрузочными штифтами и отверстиями, а также вследствие наличия в материале лопастей внутренних напряжений после штамповки.</w:t>
      </w:r>
    </w:p>
    <w:p w14:paraId="365180D2"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6.</w:t>
      </w:r>
    </w:p>
    <w:p w14:paraId="6FC7CF81"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7.</w:t>
      </w:r>
    </w:p>
    <w:p w14:paraId="5F70722F" w14:textId="77777777" w:rsidR="002B4C11" w:rsidRPr="00925F26" w:rsidRDefault="002B4C11" w:rsidP="00925F26">
      <w:pPr>
        <w:jc w:val="both"/>
        <w:rPr>
          <w:color w:val="000000" w:themeColor="text1"/>
          <w:sz w:val="16"/>
          <w:szCs w:val="16"/>
        </w:rPr>
      </w:pPr>
      <w:r w:rsidRPr="00925F26">
        <w:rPr>
          <w:color w:val="000000" w:themeColor="text1"/>
          <w:sz w:val="16"/>
          <w:szCs w:val="16"/>
        </w:rPr>
        <w:t>II. ТРАНСМИССИЯ.</w:t>
      </w:r>
    </w:p>
    <w:p w14:paraId="77D96BAF" w14:textId="77777777" w:rsidR="002B4C11" w:rsidRPr="00925F26" w:rsidRDefault="002B4C11" w:rsidP="00925F26">
      <w:pPr>
        <w:jc w:val="both"/>
        <w:rPr>
          <w:color w:val="000000" w:themeColor="text1"/>
          <w:sz w:val="16"/>
          <w:szCs w:val="16"/>
        </w:rPr>
      </w:pPr>
      <w:r w:rsidRPr="00925F26">
        <w:rPr>
          <w:color w:val="000000" w:themeColor="text1"/>
          <w:sz w:val="16"/>
          <w:szCs w:val="16"/>
        </w:rPr>
        <w:t>Во время гарантийных испытаний вследствие ненадежной работы агрегатов трансмиссии преждевременно вышли из строя 4 танка ИС (40%) и две самоходных установки ИСУ (22%). При продолжении испытаний танков и самоходных установок, не выдержавших гарантийный километраж, агрегаты трансмиссии имели еще ряд поломок и неисправностей.</w:t>
      </w:r>
    </w:p>
    <w:p w14:paraId="6B050704" w14:textId="77777777" w:rsidR="002B4C11" w:rsidRPr="00925F26" w:rsidRDefault="002B4C11" w:rsidP="00925F26">
      <w:pPr>
        <w:jc w:val="both"/>
        <w:rPr>
          <w:color w:val="000000" w:themeColor="text1"/>
          <w:sz w:val="16"/>
          <w:szCs w:val="16"/>
        </w:rPr>
      </w:pPr>
      <w:r w:rsidRPr="00925F26">
        <w:rPr>
          <w:color w:val="000000" w:themeColor="text1"/>
          <w:sz w:val="16"/>
          <w:szCs w:val="16"/>
        </w:rPr>
        <w:t>Поломки и неисправности агрегатов трансмиссии приведены в таблицах № 8 и № 9. Причинами низкой надежности работы агрегатов трансмиссии являются:</w:t>
      </w:r>
    </w:p>
    <w:p w14:paraId="3AEB1AC4" w14:textId="77777777" w:rsidR="002B4C11" w:rsidRPr="00925F26" w:rsidRDefault="002B4C11" w:rsidP="00925F26">
      <w:pPr>
        <w:jc w:val="both"/>
        <w:rPr>
          <w:color w:val="000000" w:themeColor="text1"/>
          <w:sz w:val="16"/>
          <w:szCs w:val="16"/>
        </w:rPr>
      </w:pPr>
      <w:r w:rsidRPr="00925F26">
        <w:rPr>
          <w:color w:val="000000" w:themeColor="text1"/>
          <w:sz w:val="16"/>
          <w:szCs w:val="16"/>
        </w:rPr>
        <w:t>Главный фрикцион.</w:t>
      </w:r>
    </w:p>
    <w:p w14:paraId="686EA3D9" w14:textId="77777777" w:rsidR="002B4C11" w:rsidRPr="00925F26" w:rsidRDefault="002B4C11" w:rsidP="00925F26">
      <w:pPr>
        <w:jc w:val="both"/>
        <w:rPr>
          <w:color w:val="000000" w:themeColor="text1"/>
          <w:sz w:val="16"/>
          <w:szCs w:val="16"/>
        </w:rPr>
      </w:pPr>
      <w:r w:rsidRPr="00925F26">
        <w:rPr>
          <w:color w:val="000000" w:themeColor="text1"/>
          <w:sz w:val="16"/>
          <w:szCs w:val="16"/>
        </w:rPr>
        <w:t>1. Несовершенная конструкция пылеотражателя. При движении танка по пыльным дорогам большое количество пыли проникает в главный фрикцион и приводит в начале к заеданию дисков трения в зубьях барабана и не выключению фрикциона, а затем к короблению дисков трения.</w:t>
      </w:r>
    </w:p>
    <w:p w14:paraId="7790A315" w14:textId="77777777" w:rsidR="002B4C11" w:rsidRPr="00925F26" w:rsidRDefault="002B4C11" w:rsidP="00925F26">
      <w:pPr>
        <w:jc w:val="both"/>
        <w:rPr>
          <w:color w:val="000000" w:themeColor="text1"/>
          <w:sz w:val="16"/>
          <w:szCs w:val="16"/>
        </w:rPr>
      </w:pPr>
      <w:r w:rsidRPr="00925F26">
        <w:rPr>
          <w:color w:val="000000" w:themeColor="text1"/>
          <w:sz w:val="16"/>
          <w:szCs w:val="16"/>
        </w:rPr>
        <w:t>2. Недостаточный контроль за термической обработкой материала выжимных рычагов, кольца и коробки выключения.</w:t>
      </w:r>
    </w:p>
    <w:p w14:paraId="02CD4203" w14:textId="77777777" w:rsidR="002B4C11" w:rsidRPr="00925F26" w:rsidRDefault="002B4C11" w:rsidP="00925F26">
      <w:pPr>
        <w:jc w:val="both"/>
        <w:rPr>
          <w:color w:val="000000" w:themeColor="text1"/>
          <w:sz w:val="16"/>
          <w:szCs w:val="16"/>
        </w:rPr>
      </w:pPr>
      <w:r w:rsidRPr="00925F26">
        <w:rPr>
          <w:color w:val="000000" w:themeColor="text1"/>
          <w:sz w:val="16"/>
          <w:szCs w:val="16"/>
        </w:rPr>
        <w:t>Коробка перемены передач.</w:t>
      </w:r>
    </w:p>
    <w:p w14:paraId="176A176D" w14:textId="77777777" w:rsidR="002B4C11" w:rsidRPr="00925F26" w:rsidRDefault="002B4C11" w:rsidP="00925F26">
      <w:pPr>
        <w:jc w:val="both"/>
        <w:rPr>
          <w:color w:val="000000" w:themeColor="text1"/>
          <w:sz w:val="16"/>
          <w:szCs w:val="16"/>
        </w:rPr>
      </w:pPr>
      <w:r w:rsidRPr="00925F26">
        <w:rPr>
          <w:color w:val="000000" w:themeColor="text1"/>
          <w:sz w:val="16"/>
          <w:szCs w:val="16"/>
        </w:rPr>
        <w:t>1. Несовершенная конструкция.</w:t>
      </w:r>
    </w:p>
    <w:p w14:paraId="5C117C20" w14:textId="77777777" w:rsidR="002B4C11" w:rsidRPr="00925F26" w:rsidRDefault="002B4C11" w:rsidP="00925F26">
      <w:pPr>
        <w:jc w:val="both"/>
        <w:rPr>
          <w:color w:val="000000" w:themeColor="text1"/>
          <w:sz w:val="16"/>
          <w:szCs w:val="16"/>
        </w:rPr>
      </w:pPr>
      <w:r w:rsidRPr="00925F26">
        <w:rPr>
          <w:color w:val="000000" w:themeColor="text1"/>
          <w:sz w:val="16"/>
          <w:szCs w:val="16"/>
        </w:rPr>
        <w:t>2. Скол цементированного слоя зубьев шестерни демультипликатора, передачи заднего хода и первой, вследствие больших весов шестерен и отсутствия синхронизаторов.</w:t>
      </w:r>
    </w:p>
    <w:p w14:paraId="25D3CC11" w14:textId="77777777" w:rsidR="002B4C11" w:rsidRPr="00925F26" w:rsidRDefault="002B4C11" w:rsidP="00925F26">
      <w:pPr>
        <w:jc w:val="both"/>
        <w:rPr>
          <w:color w:val="000000" w:themeColor="text1"/>
          <w:sz w:val="16"/>
          <w:szCs w:val="16"/>
        </w:rPr>
      </w:pPr>
      <w:r w:rsidRPr="00925F26">
        <w:rPr>
          <w:color w:val="000000" w:themeColor="text1"/>
          <w:sz w:val="16"/>
          <w:szCs w:val="16"/>
        </w:rPr>
        <w:t>3. Заедание муфт включения шестерен на валах, вследствие попадания частиц цементированного слоя между поверхностями скольжения шлицов.</w:t>
      </w:r>
    </w:p>
    <w:p w14:paraId="494865FE" w14:textId="77777777" w:rsidR="002B4C11" w:rsidRPr="00925F26" w:rsidRDefault="002B4C11" w:rsidP="00925F26">
      <w:pPr>
        <w:jc w:val="both"/>
        <w:rPr>
          <w:color w:val="000000" w:themeColor="text1"/>
          <w:sz w:val="16"/>
          <w:szCs w:val="16"/>
        </w:rPr>
      </w:pPr>
      <w:r w:rsidRPr="00925F26">
        <w:rPr>
          <w:color w:val="000000" w:themeColor="text1"/>
          <w:sz w:val="16"/>
          <w:szCs w:val="16"/>
        </w:rPr>
        <w:t>4. Недостаточный контроль за термической обработкой деталей. На главном валу коробки перемены передач танка ИС № 409229 октябрьского выпуска обнаружены сколы верхнего слоя шлиц. Образование сколов произошло вследствие имевшихся на шлицах трещин, появившихся во время термообработки.</w:t>
      </w:r>
    </w:p>
    <w:p w14:paraId="797D957D" w14:textId="77777777" w:rsidR="002B4C11" w:rsidRPr="00925F26" w:rsidRDefault="002B4C11" w:rsidP="00925F26">
      <w:pPr>
        <w:jc w:val="both"/>
        <w:rPr>
          <w:color w:val="000000" w:themeColor="text1"/>
          <w:sz w:val="16"/>
          <w:szCs w:val="16"/>
        </w:rPr>
      </w:pPr>
      <w:r w:rsidRPr="00925F26">
        <w:rPr>
          <w:color w:val="000000" w:themeColor="text1"/>
          <w:sz w:val="16"/>
          <w:szCs w:val="16"/>
        </w:rPr>
        <w:t>5. Некачественное изготовление подшипников первичного и промежуточного валов.</w:t>
      </w:r>
    </w:p>
    <w:p w14:paraId="61DCE2E8" w14:textId="77777777" w:rsidR="002B4C11" w:rsidRPr="00925F26" w:rsidRDefault="002B4C11" w:rsidP="00925F26">
      <w:pPr>
        <w:jc w:val="both"/>
        <w:rPr>
          <w:color w:val="000000" w:themeColor="text1"/>
          <w:sz w:val="16"/>
          <w:szCs w:val="16"/>
        </w:rPr>
      </w:pPr>
      <w:r w:rsidRPr="00925F26">
        <w:rPr>
          <w:color w:val="000000" w:themeColor="text1"/>
          <w:sz w:val="16"/>
          <w:szCs w:val="16"/>
        </w:rPr>
        <w:t>6. Низкая надежность работы муфты полужесткого соединения коробки перемены передач с главным фрикционом вследствие ослабления затяжки и обрыва болтов. Обрыв болтов крепления муфты полужесткого соединения происходит вследствие ее конструктивного несовершенства. Вследствие малой площади плоскостей соединения (воспринимающих нагрузку) пазов с шипами муфты, происходит сработка этих плоскостей, затем следует ослабление затяжки болтов и в дальнейшем их обрыв. Этот дефект заводом до сего времени не устранен.</w:t>
      </w:r>
    </w:p>
    <w:p w14:paraId="71F9B9EA" w14:textId="77777777" w:rsidR="002B4C11" w:rsidRPr="00925F26" w:rsidRDefault="002B4C11" w:rsidP="00925F26">
      <w:pPr>
        <w:jc w:val="both"/>
        <w:rPr>
          <w:color w:val="000000" w:themeColor="text1"/>
          <w:sz w:val="16"/>
          <w:szCs w:val="16"/>
        </w:rPr>
      </w:pPr>
      <w:r w:rsidRPr="00925F26">
        <w:rPr>
          <w:color w:val="000000" w:themeColor="text1"/>
          <w:sz w:val="16"/>
          <w:szCs w:val="16"/>
        </w:rPr>
        <w:t>Механизм поворота.</w:t>
      </w:r>
    </w:p>
    <w:p w14:paraId="145E4BD5" w14:textId="77777777" w:rsidR="002B4C11" w:rsidRPr="00925F26" w:rsidRDefault="002B4C11" w:rsidP="00925F26">
      <w:pPr>
        <w:jc w:val="both"/>
        <w:rPr>
          <w:color w:val="000000" w:themeColor="text1"/>
          <w:sz w:val="16"/>
          <w:szCs w:val="16"/>
        </w:rPr>
      </w:pPr>
      <w:r w:rsidRPr="00925F26">
        <w:rPr>
          <w:color w:val="000000" w:themeColor="text1"/>
          <w:sz w:val="16"/>
          <w:szCs w:val="16"/>
        </w:rPr>
        <w:t>1. На танках и самоходных установках январского – февральского выпусков планетарный механизм поворота был одним из наименее надежных агрегатов вследствие разрушения шарикоподшипников сателлитов, на машинах последующих выпусков этот дефект устранен введением простановочных колец.</w:t>
      </w:r>
    </w:p>
    <w:p w14:paraId="008FEDBE" w14:textId="77777777" w:rsidR="002B4C11" w:rsidRPr="00925F26" w:rsidRDefault="002B4C11" w:rsidP="00925F26">
      <w:pPr>
        <w:jc w:val="both"/>
        <w:rPr>
          <w:color w:val="000000" w:themeColor="text1"/>
          <w:sz w:val="16"/>
          <w:szCs w:val="16"/>
        </w:rPr>
      </w:pPr>
      <w:r w:rsidRPr="00925F26">
        <w:rPr>
          <w:color w:val="000000" w:themeColor="text1"/>
          <w:sz w:val="16"/>
          <w:szCs w:val="16"/>
        </w:rPr>
        <w:t>2. Износоустойчивость и механическая прочность малых тормозных лент осталась недостаточной.</w:t>
      </w:r>
    </w:p>
    <w:p w14:paraId="2CA050D1" w14:textId="77777777" w:rsidR="002B4C11" w:rsidRPr="00925F26" w:rsidRDefault="002B4C11" w:rsidP="00925F26">
      <w:pPr>
        <w:jc w:val="both"/>
        <w:rPr>
          <w:color w:val="000000" w:themeColor="text1"/>
          <w:sz w:val="16"/>
          <w:szCs w:val="16"/>
        </w:rPr>
      </w:pPr>
      <w:r w:rsidRPr="00925F26">
        <w:rPr>
          <w:color w:val="000000" w:themeColor="text1"/>
          <w:sz w:val="16"/>
          <w:szCs w:val="16"/>
        </w:rPr>
        <w:t>3. Недостаточно надежно работает механизм выключения фрикциона планетарного механизма поворота, часты случаи заклинивания чашки выключения и, как следствие этого, заедание рычагов управления танком.</w:t>
      </w:r>
    </w:p>
    <w:p w14:paraId="1D491DA6" w14:textId="77777777" w:rsidR="002B4C11" w:rsidRPr="00925F26" w:rsidRDefault="002B4C11" w:rsidP="00925F26">
      <w:pPr>
        <w:jc w:val="both"/>
        <w:rPr>
          <w:color w:val="000000" w:themeColor="text1"/>
          <w:sz w:val="16"/>
          <w:szCs w:val="16"/>
        </w:rPr>
      </w:pPr>
      <w:r w:rsidRPr="00925F26">
        <w:rPr>
          <w:color w:val="000000" w:themeColor="text1"/>
          <w:sz w:val="16"/>
          <w:szCs w:val="16"/>
        </w:rPr>
        <w:t>Приводы управления.</w:t>
      </w:r>
    </w:p>
    <w:p w14:paraId="19031F5E" w14:textId="77777777" w:rsidR="002B4C11" w:rsidRPr="00925F26" w:rsidRDefault="002B4C11" w:rsidP="00925F26">
      <w:pPr>
        <w:jc w:val="both"/>
        <w:rPr>
          <w:color w:val="000000" w:themeColor="text1"/>
          <w:sz w:val="16"/>
          <w:szCs w:val="16"/>
        </w:rPr>
      </w:pPr>
      <w:r w:rsidRPr="00925F26">
        <w:rPr>
          <w:color w:val="000000" w:themeColor="text1"/>
          <w:sz w:val="16"/>
          <w:szCs w:val="16"/>
        </w:rPr>
        <w:t>1. Приводы управления главным фрикционом, механизмом поворота и механизм переключения передач танков и самоходных установок работали недостаточно надежно. Ненадежная работа приводов управления главным фрикционом и планетарными механизмами поворота (главным образом удлинение хода и разъединение тяг) обусловлена низким качеством изготовления и монтажа резьбовых соединений.</w:t>
      </w:r>
    </w:p>
    <w:p w14:paraId="27D721DE" w14:textId="77777777" w:rsidR="002B4C11" w:rsidRPr="00925F26" w:rsidRDefault="002B4C11" w:rsidP="00925F26">
      <w:pPr>
        <w:jc w:val="both"/>
        <w:rPr>
          <w:color w:val="000000" w:themeColor="text1"/>
          <w:sz w:val="16"/>
          <w:szCs w:val="16"/>
        </w:rPr>
      </w:pPr>
      <w:r w:rsidRPr="00925F26">
        <w:rPr>
          <w:color w:val="000000" w:themeColor="text1"/>
          <w:sz w:val="16"/>
          <w:szCs w:val="16"/>
        </w:rPr>
        <w:t>2. Ненадежная работа механизма переключения передач (излом стойки кронштейна рычагов переключения передач), сопровождающаяся одновременным включением двух передач была типичной для танков и самоходных установок январско – февральского выпусков. На машинах последующих выпусков указанные дефекты сократились, однако имеет место случай ослабления болтов крепления кронштейна рычагов переключения передач.</w:t>
      </w:r>
    </w:p>
    <w:p w14:paraId="033B1323" w14:textId="77777777" w:rsidR="002B4C11" w:rsidRPr="00925F26" w:rsidRDefault="002B4C11" w:rsidP="00925F26">
      <w:pPr>
        <w:jc w:val="both"/>
        <w:rPr>
          <w:color w:val="000000" w:themeColor="text1"/>
          <w:sz w:val="16"/>
          <w:szCs w:val="16"/>
        </w:rPr>
      </w:pPr>
      <w:r w:rsidRPr="00925F26">
        <w:rPr>
          <w:color w:val="000000" w:themeColor="text1"/>
          <w:sz w:val="16"/>
          <w:szCs w:val="16"/>
        </w:rPr>
        <w:t>Бортовые передачи.</w:t>
      </w:r>
    </w:p>
    <w:p w14:paraId="0C59DA81" w14:textId="77777777" w:rsidR="002B4C11" w:rsidRPr="00925F26" w:rsidRDefault="002B4C11" w:rsidP="00925F26">
      <w:pPr>
        <w:jc w:val="both"/>
        <w:rPr>
          <w:color w:val="000000" w:themeColor="text1"/>
          <w:sz w:val="16"/>
          <w:szCs w:val="16"/>
        </w:rPr>
      </w:pPr>
      <w:r w:rsidRPr="00925F26">
        <w:rPr>
          <w:color w:val="000000" w:themeColor="text1"/>
          <w:sz w:val="16"/>
          <w:szCs w:val="16"/>
        </w:rPr>
        <w:t>1. Бортовые передачи танков и самоходных установок январского выпуска работали недостаточно надежно. Причиной ненадежной работы является разрушение сферических бочкообразных подшипников вследствие их перегрузки.</w:t>
      </w:r>
    </w:p>
    <w:p w14:paraId="6E204C36" w14:textId="77777777" w:rsidR="002B4C11" w:rsidRPr="00925F26" w:rsidRDefault="002B4C11" w:rsidP="00925F26">
      <w:pPr>
        <w:jc w:val="both"/>
        <w:rPr>
          <w:color w:val="000000" w:themeColor="text1"/>
          <w:sz w:val="16"/>
          <w:szCs w:val="16"/>
        </w:rPr>
      </w:pPr>
      <w:r w:rsidRPr="00925F26">
        <w:rPr>
          <w:color w:val="000000" w:themeColor="text1"/>
          <w:sz w:val="16"/>
          <w:szCs w:val="16"/>
        </w:rPr>
        <w:t>2. Повышение надежности работы подшипников на машинах последующих выпусков было достигнуто главным образом увеличением количества смазки в картере бортовой передачи до 7 литров. Однако до сего времени часты случаи подтекания смазки из-под внутренних сальников бортовой передачи и в плоскости разъема картера бортовой передачи с корпусом.</w:t>
      </w:r>
    </w:p>
    <w:p w14:paraId="6818956D"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8.</w:t>
      </w:r>
    </w:p>
    <w:p w14:paraId="1229596E"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9.</w:t>
      </w:r>
    </w:p>
    <w:p w14:paraId="57589AD7" w14:textId="77777777" w:rsidR="002B4C11" w:rsidRPr="00925F26" w:rsidRDefault="002B4C11" w:rsidP="00925F26">
      <w:pPr>
        <w:jc w:val="both"/>
        <w:rPr>
          <w:color w:val="000000" w:themeColor="text1"/>
          <w:sz w:val="16"/>
          <w:szCs w:val="16"/>
        </w:rPr>
      </w:pPr>
      <w:r w:rsidRPr="00925F26">
        <w:rPr>
          <w:color w:val="000000" w:themeColor="text1"/>
          <w:sz w:val="16"/>
          <w:szCs w:val="16"/>
        </w:rPr>
        <w:t>III. ХОДОВАЯ ЧАСТЬ.</w:t>
      </w:r>
    </w:p>
    <w:p w14:paraId="7D3907B0" w14:textId="77777777" w:rsidR="002B4C11" w:rsidRPr="00925F26" w:rsidRDefault="002B4C11" w:rsidP="00925F26">
      <w:pPr>
        <w:jc w:val="both"/>
        <w:rPr>
          <w:color w:val="000000" w:themeColor="text1"/>
          <w:sz w:val="16"/>
          <w:szCs w:val="16"/>
        </w:rPr>
      </w:pPr>
      <w:r w:rsidRPr="00925F26">
        <w:rPr>
          <w:color w:val="000000" w:themeColor="text1"/>
          <w:sz w:val="16"/>
          <w:szCs w:val="16"/>
        </w:rPr>
        <w:t>1. Во время гарантийных испытаний вследствие нанадежной работы ходовой части вышли из строя 2 танка ИС (20%) и три самоходные установки ИСУ (33%). Поломки и неисправности ходовой части танков и самоходных установок приведены в таблицах № 10 и 11.</w:t>
      </w:r>
    </w:p>
    <w:p w14:paraId="0FE8E61F" w14:textId="77777777" w:rsidR="002B4C11" w:rsidRPr="00925F26" w:rsidRDefault="002B4C11" w:rsidP="00925F26">
      <w:pPr>
        <w:jc w:val="both"/>
        <w:rPr>
          <w:color w:val="000000" w:themeColor="text1"/>
          <w:sz w:val="16"/>
          <w:szCs w:val="16"/>
        </w:rPr>
      </w:pPr>
      <w:r w:rsidRPr="00925F26">
        <w:rPr>
          <w:color w:val="000000" w:themeColor="text1"/>
          <w:sz w:val="16"/>
          <w:szCs w:val="16"/>
        </w:rPr>
        <w:t>2. Ведущие колеса танков и самоходных установок всех выпусков работали надежно, исключая излом зубьев (один случай) и срез болтов крепления зубчатого венца (один случай).</w:t>
      </w:r>
    </w:p>
    <w:p w14:paraId="74D0FE69" w14:textId="77777777" w:rsidR="002B4C11" w:rsidRPr="00925F26" w:rsidRDefault="002B4C11" w:rsidP="00925F26">
      <w:pPr>
        <w:jc w:val="both"/>
        <w:rPr>
          <w:color w:val="000000" w:themeColor="text1"/>
          <w:sz w:val="16"/>
          <w:szCs w:val="16"/>
        </w:rPr>
      </w:pPr>
      <w:r w:rsidRPr="00925F26">
        <w:rPr>
          <w:color w:val="000000" w:themeColor="text1"/>
          <w:sz w:val="16"/>
          <w:szCs w:val="16"/>
        </w:rPr>
        <w:t>3. Направляющие колеса и натяжные механизмы являлись одним из наименее надежных узлов танков и самоходных установок, особенно январского – апрельского выпусков. Причинами низкой надежности направляющих колес и натяжных механизмов являлись:</w:t>
      </w:r>
    </w:p>
    <w:p w14:paraId="10BD0978" w14:textId="77777777" w:rsidR="002B4C11" w:rsidRPr="00925F26" w:rsidRDefault="002B4C11" w:rsidP="00925F26">
      <w:pPr>
        <w:jc w:val="both"/>
        <w:rPr>
          <w:color w:val="000000" w:themeColor="text1"/>
          <w:sz w:val="16"/>
          <w:szCs w:val="16"/>
        </w:rPr>
      </w:pPr>
      <w:r w:rsidRPr="00925F26">
        <w:rPr>
          <w:color w:val="000000" w:themeColor="text1"/>
          <w:sz w:val="16"/>
          <w:szCs w:val="16"/>
        </w:rPr>
        <w:t>а) недостаточная механическая прочность щек кривошипов натяжных механизмов.</w:t>
      </w:r>
    </w:p>
    <w:p w14:paraId="3F20F5DE" w14:textId="77777777" w:rsidR="002B4C11" w:rsidRPr="00925F26" w:rsidRDefault="002B4C11" w:rsidP="00925F26">
      <w:pPr>
        <w:jc w:val="both"/>
        <w:rPr>
          <w:color w:val="000000" w:themeColor="text1"/>
          <w:sz w:val="16"/>
          <w:szCs w:val="16"/>
        </w:rPr>
      </w:pPr>
      <w:r w:rsidRPr="00925F26">
        <w:rPr>
          <w:color w:val="000000" w:themeColor="text1"/>
          <w:sz w:val="16"/>
          <w:szCs w:val="16"/>
        </w:rPr>
        <w:t>б) низкое качество сальников подшипников направляющих колес, недостаточно предохраняются подшипники от загрязнения.</w:t>
      </w:r>
    </w:p>
    <w:p w14:paraId="6E85251B" w14:textId="77777777" w:rsidR="002B4C11" w:rsidRPr="00925F26" w:rsidRDefault="002B4C11" w:rsidP="00925F26">
      <w:pPr>
        <w:jc w:val="both"/>
        <w:rPr>
          <w:color w:val="000000" w:themeColor="text1"/>
          <w:sz w:val="16"/>
          <w:szCs w:val="16"/>
        </w:rPr>
      </w:pPr>
      <w:r w:rsidRPr="00925F26">
        <w:rPr>
          <w:color w:val="000000" w:themeColor="text1"/>
          <w:sz w:val="16"/>
          <w:szCs w:val="16"/>
        </w:rPr>
        <w:t>в) низкое качество сварки крепления болтов стопорных планок натяжных механизмов.</w:t>
      </w:r>
    </w:p>
    <w:p w14:paraId="04ED6663" w14:textId="77777777" w:rsidR="002B4C11" w:rsidRPr="00925F26" w:rsidRDefault="002B4C11" w:rsidP="00925F26">
      <w:pPr>
        <w:jc w:val="both"/>
        <w:rPr>
          <w:color w:val="000000" w:themeColor="text1"/>
          <w:sz w:val="16"/>
          <w:szCs w:val="16"/>
        </w:rPr>
      </w:pPr>
      <w:r w:rsidRPr="00925F26">
        <w:rPr>
          <w:color w:val="000000" w:themeColor="text1"/>
          <w:sz w:val="16"/>
          <w:szCs w:val="16"/>
        </w:rPr>
        <w:t>4. Поддерживающие катки являлись одним из наиболее слабых узлов танков и самоходных установок, особенно январского – апрельского выпусков. Причинами низкой надежности поддерживающих катков являлись:</w:t>
      </w:r>
    </w:p>
    <w:p w14:paraId="227D94E5" w14:textId="77777777" w:rsidR="002B4C11" w:rsidRPr="00925F26" w:rsidRDefault="002B4C11" w:rsidP="00925F26">
      <w:pPr>
        <w:jc w:val="both"/>
        <w:rPr>
          <w:color w:val="000000" w:themeColor="text1"/>
          <w:sz w:val="16"/>
          <w:szCs w:val="16"/>
        </w:rPr>
      </w:pPr>
      <w:r w:rsidRPr="00925F26">
        <w:rPr>
          <w:color w:val="000000" w:themeColor="text1"/>
          <w:sz w:val="16"/>
          <w:szCs w:val="16"/>
        </w:rPr>
        <w:t>а) низкое качество материала кронштейнов (пористость, усадочные раковины, неметаллические включения).</w:t>
      </w:r>
    </w:p>
    <w:p w14:paraId="46C5E01F" w14:textId="77777777" w:rsidR="002B4C11" w:rsidRPr="00925F26" w:rsidRDefault="002B4C11" w:rsidP="00925F26">
      <w:pPr>
        <w:jc w:val="both"/>
        <w:rPr>
          <w:color w:val="000000" w:themeColor="text1"/>
          <w:sz w:val="16"/>
          <w:szCs w:val="16"/>
        </w:rPr>
      </w:pPr>
      <w:r w:rsidRPr="00925F26">
        <w:rPr>
          <w:color w:val="000000" w:themeColor="text1"/>
          <w:sz w:val="16"/>
          <w:szCs w:val="16"/>
        </w:rPr>
        <w:t>б) конструктивная недоработка крепления кронштейнов, что вызывало частые случаи ослабления и обрыва болтов. На танках и самоходных установках майского и последующих выпусков, с введением восьми болтов крепления вместо шести, число указанных дефектов уменьшилось.</w:t>
      </w:r>
    </w:p>
    <w:p w14:paraId="3033D151" w14:textId="77777777" w:rsidR="002B4C11" w:rsidRPr="00925F26" w:rsidRDefault="002B4C11" w:rsidP="00925F26">
      <w:pPr>
        <w:jc w:val="both"/>
        <w:rPr>
          <w:color w:val="000000" w:themeColor="text1"/>
          <w:sz w:val="16"/>
          <w:szCs w:val="16"/>
        </w:rPr>
      </w:pPr>
      <w:r w:rsidRPr="00925F26">
        <w:rPr>
          <w:color w:val="000000" w:themeColor="text1"/>
          <w:sz w:val="16"/>
          <w:szCs w:val="16"/>
        </w:rPr>
        <w:t>5. Опорные катки танков и самоходных установок всех выпусков были самыми ненадежными узлами ходовой части, что особенно проявилось в весенне-летних и осенних условиях эксплоатации. Причина ненадежной работы опорных катков – разрушение подшипников. Разрушение подшипников происходит вследствие конструктивной недоработки узла крепления опорного катка, низкого качества сальников, недостаточно предохраняющих от загрязнения и небрежности монтажа.</w:t>
      </w:r>
    </w:p>
    <w:p w14:paraId="4EF1D1EA" w14:textId="77777777" w:rsidR="002B4C11" w:rsidRPr="00925F26" w:rsidRDefault="002B4C11" w:rsidP="00925F26">
      <w:pPr>
        <w:jc w:val="both"/>
        <w:rPr>
          <w:color w:val="000000" w:themeColor="text1"/>
          <w:sz w:val="16"/>
          <w:szCs w:val="16"/>
        </w:rPr>
      </w:pPr>
      <w:r w:rsidRPr="00925F26">
        <w:rPr>
          <w:color w:val="000000" w:themeColor="text1"/>
          <w:sz w:val="16"/>
          <w:szCs w:val="16"/>
        </w:rPr>
        <w:t>6. Гусеницы танков не обладают достаточной надежностью в работе вследствие малой износоустойчивости серийных штампованных траков из стали 35ХГ2.</w:t>
      </w:r>
    </w:p>
    <w:p w14:paraId="2E0ECE68"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10.</w:t>
      </w:r>
    </w:p>
    <w:p w14:paraId="091141CD" w14:textId="77777777" w:rsidR="002B4C11" w:rsidRPr="00925F26" w:rsidRDefault="002B4C11" w:rsidP="00925F26">
      <w:pPr>
        <w:jc w:val="both"/>
        <w:rPr>
          <w:color w:val="000000" w:themeColor="text1"/>
          <w:sz w:val="16"/>
          <w:szCs w:val="16"/>
        </w:rPr>
      </w:pPr>
      <w:r w:rsidRPr="00925F26">
        <w:rPr>
          <w:color w:val="000000" w:themeColor="text1"/>
          <w:sz w:val="16"/>
          <w:szCs w:val="16"/>
        </w:rPr>
        <w:t>Таблица № 11.</w:t>
      </w:r>
    </w:p>
    <w:p w14:paraId="76161D07" w14:textId="77777777" w:rsidR="002B4C11" w:rsidRPr="00925F26" w:rsidRDefault="002B4C11" w:rsidP="00925F26">
      <w:pPr>
        <w:jc w:val="both"/>
        <w:rPr>
          <w:color w:val="000000" w:themeColor="text1"/>
          <w:sz w:val="16"/>
          <w:szCs w:val="16"/>
        </w:rPr>
      </w:pPr>
      <w:r w:rsidRPr="00925F26">
        <w:rPr>
          <w:color w:val="000000" w:themeColor="text1"/>
          <w:sz w:val="16"/>
          <w:szCs w:val="16"/>
        </w:rPr>
        <w:t>IV. ЭЛЕКТРООБОРУДОВАНИЕ И КОНТРОЛЬНЫЕ ПРИБОРЫ.</w:t>
      </w:r>
    </w:p>
    <w:p w14:paraId="4964814A" w14:textId="77777777" w:rsidR="002B4C11" w:rsidRPr="00925F26" w:rsidRDefault="002B4C11" w:rsidP="00925F26">
      <w:pPr>
        <w:jc w:val="both"/>
        <w:rPr>
          <w:color w:val="000000" w:themeColor="text1"/>
          <w:sz w:val="16"/>
          <w:szCs w:val="16"/>
        </w:rPr>
      </w:pPr>
      <w:r w:rsidRPr="00925F26">
        <w:rPr>
          <w:color w:val="000000" w:themeColor="text1"/>
          <w:sz w:val="16"/>
          <w:szCs w:val="16"/>
        </w:rPr>
        <w:t>1. Электрооборудование в основном работало надежно, имевшиеся неисправности (перегорание лампочек, отпаивание проводов, сгорание обмотки генератора) были вызваны производственными дефектами.</w:t>
      </w:r>
    </w:p>
    <w:p w14:paraId="2FC0D584" w14:textId="77777777" w:rsidR="002B4C11" w:rsidRPr="00925F26" w:rsidRDefault="002B4C11" w:rsidP="00925F26">
      <w:pPr>
        <w:jc w:val="both"/>
        <w:rPr>
          <w:color w:val="000000" w:themeColor="text1"/>
          <w:sz w:val="16"/>
          <w:szCs w:val="16"/>
        </w:rPr>
      </w:pPr>
      <w:r w:rsidRPr="00925F26">
        <w:rPr>
          <w:color w:val="000000" w:themeColor="text1"/>
          <w:sz w:val="16"/>
          <w:szCs w:val="16"/>
        </w:rPr>
        <w:t>2. Контрольные приборы на машинах выпуска первой половины года работали ненадежно, во второй половине года надежность их повысилась. Наиболее частые дефекты: излом капиллярных трубок аэротермометров и манометров, скручивание гибких тросов тахометров и отказ в работе амперметров и вольтметров (19773)</w:t>
      </w:r>
    </w:p>
    <w:p w14:paraId="13CBF66F" w14:textId="77777777" w:rsidR="002B4C11" w:rsidRPr="00925F26" w:rsidRDefault="002B4C11" w:rsidP="00925F26">
      <w:pPr>
        <w:jc w:val="both"/>
        <w:rPr>
          <w:color w:val="000000" w:themeColor="text1"/>
          <w:sz w:val="16"/>
          <w:szCs w:val="16"/>
        </w:rPr>
      </w:pPr>
    </w:p>
    <w:p w14:paraId="12B9AC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года по приказу НКБ за № 16с после окончания оккупации вновь было начато строительство завода № 318 по новому профилю – производства снарядов М-13.</w:t>
      </w:r>
    </w:p>
    <w:p w14:paraId="78255D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переходом страны на выпуск продукции мирного времени профиль завода был изменен под производство продукции с/х машиностроения.</w:t>
      </w:r>
    </w:p>
    <w:p w14:paraId="4C7930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Азов Ростовской области, п/я 1</w:t>
      </w:r>
    </w:p>
    <w:p w14:paraId="603773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Мельников (10033).</w:t>
      </w:r>
    </w:p>
    <w:p w14:paraId="4A5B5F3F" w14:textId="77777777" w:rsidR="00C2313B" w:rsidRPr="00925F26" w:rsidRDefault="00C2313B" w:rsidP="00925F26">
      <w:pPr>
        <w:autoSpaceDE w:val="0"/>
        <w:autoSpaceDN w:val="0"/>
        <w:adjustRightInd w:val="0"/>
        <w:jc w:val="both"/>
        <w:rPr>
          <w:color w:val="000000" w:themeColor="text1"/>
          <w:sz w:val="16"/>
          <w:szCs w:val="16"/>
        </w:rPr>
      </w:pPr>
    </w:p>
    <w:p w14:paraId="2E61CE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16 января 1945 вышло Постановление ГКО № 7327 О мероприятиях по обеспечению мазутом заводов Наркомтанкопрома в январе 1945 г. РГАНИР, Фонд ГКО, д. 350, лл. 13-16 (11012).</w:t>
      </w:r>
    </w:p>
    <w:p w14:paraId="793AE8F2" w14:textId="77777777" w:rsidR="00C2313B" w:rsidRPr="00925F26" w:rsidRDefault="00C2313B" w:rsidP="00925F26">
      <w:pPr>
        <w:autoSpaceDE w:val="0"/>
        <w:autoSpaceDN w:val="0"/>
        <w:adjustRightInd w:val="0"/>
        <w:jc w:val="both"/>
        <w:rPr>
          <w:color w:val="000000" w:themeColor="text1"/>
          <w:sz w:val="16"/>
          <w:szCs w:val="16"/>
        </w:rPr>
      </w:pPr>
    </w:p>
    <w:p w14:paraId="640788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вышло Постановление ГКО № 7328 О мероприятиях по обеспечению мазутом заводов Наркомцветмета. РГАНИР, Фонд ГКО, д. 350, лл. 17-18 (11012).</w:t>
      </w:r>
    </w:p>
    <w:p w14:paraId="1018B257" w14:textId="77777777" w:rsidR="00C2313B" w:rsidRPr="00925F26" w:rsidRDefault="00C2313B" w:rsidP="00925F26">
      <w:pPr>
        <w:autoSpaceDE w:val="0"/>
        <w:autoSpaceDN w:val="0"/>
        <w:adjustRightInd w:val="0"/>
        <w:jc w:val="both"/>
        <w:rPr>
          <w:color w:val="000000" w:themeColor="text1"/>
          <w:sz w:val="16"/>
          <w:szCs w:val="16"/>
        </w:rPr>
      </w:pPr>
    </w:p>
    <w:p w14:paraId="1E7E63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вышло Распоряжение ГКО № 7329. О порядке планирования производства масел, смазок и специальных нефтепродуктов. РГАНИР, Фонд ГКО, д. 350, лл. 19 (11012).</w:t>
      </w:r>
    </w:p>
    <w:p w14:paraId="71AD0927" w14:textId="77777777" w:rsidR="00C2313B" w:rsidRPr="00925F26" w:rsidRDefault="00C2313B" w:rsidP="00925F26">
      <w:pPr>
        <w:autoSpaceDE w:val="0"/>
        <w:autoSpaceDN w:val="0"/>
        <w:adjustRightInd w:val="0"/>
        <w:jc w:val="both"/>
        <w:rPr>
          <w:color w:val="000000" w:themeColor="text1"/>
          <w:sz w:val="16"/>
          <w:szCs w:val="16"/>
        </w:rPr>
      </w:pPr>
    </w:p>
    <w:p w14:paraId="164511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вышло Постановление ГКО № 7330 О мероприятиях по обеспечению мазутом заводов Наркомвооружения. РГАНИР, Фонд ГКО, д. 350, лл. 20-23 (11012).</w:t>
      </w:r>
    </w:p>
    <w:p w14:paraId="72B00C43" w14:textId="77777777" w:rsidR="00C2313B" w:rsidRPr="00925F26" w:rsidRDefault="00C2313B" w:rsidP="00925F26">
      <w:pPr>
        <w:autoSpaceDE w:val="0"/>
        <w:autoSpaceDN w:val="0"/>
        <w:adjustRightInd w:val="0"/>
        <w:jc w:val="both"/>
        <w:rPr>
          <w:color w:val="000000" w:themeColor="text1"/>
          <w:sz w:val="16"/>
          <w:szCs w:val="16"/>
        </w:rPr>
      </w:pPr>
    </w:p>
    <w:p w14:paraId="66D353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вышло Постановление ГКО № 7331 О мероприятиях по обеспечению углем заводов Наркомвооружения. РГАНИР, Фонд ГКО, д. 350, лл. 24-26 (11012).</w:t>
      </w:r>
    </w:p>
    <w:p w14:paraId="542EF58E" w14:textId="77777777" w:rsidR="00C2313B" w:rsidRPr="00925F26" w:rsidRDefault="00C2313B" w:rsidP="00925F26">
      <w:pPr>
        <w:autoSpaceDE w:val="0"/>
        <w:autoSpaceDN w:val="0"/>
        <w:adjustRightInd w:val="0"/>
        <w:jc w:val="both"/>
        <w:rPr>
          <w:color w:val="000000" w:themeColor="text1"/>
          <w:sz w:val="16"/>
          <w:szCs w:val="16"/>
        </w:rPr>
      </w:pPr>
    </w:p>
    <w:p w14:paraId="288F20DA"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5EC23FD" w14:textId="77777777" w:rsidR="00C2313B" w:rsidRPr="00925F26" w:rsidRDefault="00C2313B" w:rsidP="00925F26">
      <w:pPr>
        <w:autoSpaceDE w:val="0"/>
        <w:autoSpaceDN w:val="0"/>
        <w:adjustRightInd w:val="0"/>
        <w:jc w:val="both"/>
        <w:rPr>
          <w:iCs/>
          <w:color w:val="000000" w:themeColor="text1"/>
          <w:sz w:val="16"/>
          <w:szCs w:val="16"/>
        </w:rPr>
      </w:pPr>
    </w:p>
    <w:p w14:paraId="1F2D5DC1" w14:textId="77777777" w:rsidR="006F0F05" w:rsidRPr="00925F26" w:rsidRDefault="006F0F05" w:rsidP="00925F26">
      <w:pPr>
        <w:jc w:val="both"/>
        <w:rPr>
          <w:color w:val="000000" w:themeColor="text1"/>
          <w:sz w:val="16"/>
          <w:szCs w:val="16"/>
        </w:rPr>
      </w:pPr>
      <w:r w:rsidRPr="00925F26">
        <w:rPr>
          <w:bCs/>
          <w:color w:val="000000" w:themeColor="text1"/>
          <w:sz w:val="16"/>
          <w:szCs w:val="16"/>
        </w:rPr>
        <w:t>16 января</w:t>
      </w:r>
      <w:r w:rsidRPr="00925F26">
        <w:rPr>
          <w:color w:val="000000" w:themeColor="text1"/>
          <w:sz w:val="16"/>
          <w:szCs w:val="16"/>
        </w:rPr>
        <w:t xml:space="preserve"> в 1945 году оперативная сводка Совинформбюро:</w:t>
      </w:r>
    </w:p>
    <w:p w14:paraId="2A727B79"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перейдя в наступление 14 января на двух плацдармах на западном берегу реки Вислы южнее Варшавы, при поддержке массированных ударов артиллерии, несмотря на плохие условия погоды, исключившие возможность использования авиации, прорвали сильную, глубоко эшелонированную оборону противника.</w:t>
      </w:r>
    </w:p>
    <w:p w14:paraId="04F799F1" w14:textId="77777777" w:rsidR="006F0F05" w:rsidRPr="00925F26" w:rsidRDefault="006F0F05" w:rsidP="00925F26">
      <w:pPr>
        <w:jc w:val="both"/>
        <w:rPr>
          <w:color w:val="000000" w:themeColor="text1"/>
          <w:sz w:val="16"/>
          <w:szCs w:val="16"/>
        </w:rPr>
      </w:pPr>
      <w:r w:rsidRPr="00925F26">
        <w:rPr>
          <w:color w:val="000000" w:themeColor="text1"/>
          <w:sz w:val="16"/>
          <w:szCs w:val="16"/>
        </w:rPr>
        <w:t>За три дня наступательных боёв войска фронта, наступавшие на двух плацдармах, соединились и продвинулись вперёд до 60 километров, расширив прорыв до 120 километров по фронту.</w:t>
      </w:r>
    </w:p>
    <w:p w14:paraId="29D962E2" w14:textId="77777777" w:rsidR="006F0F05" w:rsidRPr="00925F26" w:rsidRDefault="006F0F05" w:rsidP="00925F26">
      <w:pPr>
        <w:jc w:val="both"/>
        <w:rPr>
          <w:color w:val="000000" w:themeColor="text1"/>
          <w:sz w:val="16"/>
          <w:szCs w:val="16"/>
        </w:rPr>
      </w:pPr>
      <w:r w:rsidRPr="00925F26">
        <w:rPr>
          <w:color w:val="000000" w:themeColor="text1"/>
          <w:sz w:val="16"/>
          <w:szCs w:val="16"/>
        </w:rPr>
        <w:t>В ходе наступления наши войска заняли сильные опорные пункты обороны немцев Варка, Груиец, Козенице, Солец, Зволень, Бялобжеги, Евдлинск, Илжа. С боями занято также более 1.300 других населённых пунктов, в числе которых крупные населённые пункты Новый Желехув, Ватрашев, Стефаннув, Госьневице, Гощин, Блендув, Сухашляхецка, Сек Люки, Янковице, Ясштембя, Бжустувка, Едльня Летнинско, Скарышев, Закшувек, Коваликув, Цепелюв и железнодорожные станции Михальчев, Варка, Грабув, Добешин, Бартодзеие, Лесюв, Заезеже, Бонковец, Длуга, Пионки, Едльня Летнинско, Козенице.</w:t>
      </w:r>
    </w:p>
    <w:p w14:paraId="13B331A6" w14:textId="77777777" w:rsidR="006F0F05" w:rsidRPr="00925F26" w:rsidRDefault="006F0F05" w:rsidP="00925F26">
      <w:pPr>
        <w:jc w:val="both"/>
        <w:rPr>
          <w:color w:val="000000" w:themeColor="text1"/>
          <w:sz w:val="16"/>
          <w:szCs w:val="16"/>
        </w:rPr>
      </w:pPr>
      <w:r w:rsidRPr="00925F26">
        <w:rPr>
          <w:color w:val="000000" w:themeColor="text1"/>
          <w:sz w:val="16"/>
          <w:szCs w:val="16"/>
        </w:rPr>
        <w:t>Сегодня, 16 января, войска 1-го Белорусского фронта в результате стремительного наступления, поддержанного авиацией, в 20 часов штурмом овладели крупным промышленным центром Польши городом Радом — важным узлом коммуникаций и сильным опорным пунктом обороны немцев.</w:t>
      </w:r>
    </w:p>
    <w:p w14:paraId="5C8473F6" w14:textId="77777777" w:rsidR="006F0F05" w:rsidRPr="00925F26" w:rsidRDefault="006F0F05" w:rsidP="00925F26">
      <w:pPr>
        <w:jc w:val="both"/>
        <w:rPr>
          <w:color w:val="000000" w:themeColor="text1"/>
          <w:sz w:val="16"/>
          <w:szCs w:val="16"/>
        </w:rPr>
      </w:pPr>
      <w:r w:rsidRPr="00925F26">
        <w:rPr>
          <w:color w:val="000000" w:themeColor="text1"/>
          <w:sz w:val="16"/>
          <w:szCs w:val="16"/>
        </w:rPr>
        <w:t>Севернее и северо-западнее города Сандомир войска 1-го Украинского фронта с боями продвигались вперёд и овладели городом и крупной железнодорожной станцией Островец, городами Тарлув, Ожарув, Цмелюв, Опатув, а также заняли более 200 других населённых пунктов, в числе которых крупные населённые пункты Павловска Воля, Германув, Юльянув, Лясоцин, Стодолы, Бодзехув, Михалув и железнодорожные станции Якубовице, Ясице, Цмелюв, Бодзехув.</w:t>
      </w:r>
    </w:p>
    <w:p w14:paraId="60618938" w14:textId="77777777" w:rsidR="006F0F05" w:rsidRPr="00925F26" w:rsidRDefault="006F0F05" w:rsidP="00925F26">
      <w:pPr>
        <w:jc w:val="both"/>
        <w:rPr>
          <w:color w:val="000000" w:themeColor="text1"/>
          <w:sz w:val="16"/>
          <w:szCs w:val="16"/>
        </w:rPr>
      </w:pPr>
      <w:r w:rsidRPr="00925F26">
        <w:rPr>
          <w:color w:val="000000" w:themeColor="text1"/>
          <w:sz w:val="16"/>
          <w:szCs w:val="16"/>
        </w:rPr>
        <w:t>На Ченстоховском и Краковском направлениях войска 1-го Украинского фронта, развивая успешное наступление, овладели городами Малогощ, Влощова, Конецполь, Мехув, Домброва Тарновска, а также с боями заняли более 500 других населённых пунктов, в том числе крупные населённые пункты Куржелев, Малюшин, Желиславице, Сецемин, Дружикова, Пшиленк, Накло, Щекоцины, Рашкув, Рокитно, Малошице, Жарковец, Сендзишув, Кенпе, Сломники, Климонтув, Хрущина, Пшемыкув, Щуцин, Радгощ, Смыкув и железнодорожные станции Рыкошин, Малогощ, Людыня, Влощова, Желиславице, Конецполь, Сендзишув, Козлув, Тунель, Мехув, Сломники, Щуцин. Таким образом, войска фронта форсировали реку Пилица на участке 50 километров, не дав возможности противнику организовать на ней оборону.</w:t>
      </w:r>
    </w:p>
    <w:p w14:paraId="18DA15EB" w14:textId="77777777" w:rsidR="006F0F05" w:rsidRPr="00925F26" w:rsidRDefault="006F0F05" w:rsidP="00925F26">
      <w:pPr>
        <w:jc w:val="both"/>
        <w:rPr>
          <w:color w:val="000000" w:themeColor="text1"/>
          <w:sz w:val="16"/>
          <w:szCs w:val="16"/>
        </w:rPr>
      </w:pPr>
      <w:r w:rsidRPr="00925F26">
        <w:rPr>
          <w:color w:val="000000" w:themeColor="text1"/>
          <w:sz w:val="16"/>
          <w:szCs w:val="16"/>
        </w:rPr>
        <w:t>В Будапеште наши войска с боями заняли 120 кварталов. За 15 января в Будапеште наши войска взяли в плен 3.160 немецких и венгерских солдат и офицеров и захватили следующие трофеи: орудий разных калибров—48, пулемётов— 63, автоматов—875, автомашин—242, мотоциклов—97, вагонов—135.</w:t>
      </w:r>
    </w:p>
    <w:p w14:paraId="0187936B" w14:textId="77777777" w:rsidR="006F0F05" w:rsidRPr="00925F26" w:rsidRDefault="006F0F05"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492F2871" w14:textId="77777777" w:rsidR="006F0F05" w:rsidRPr="00925F26" w:rsidRDefault="006F0F05" w:rsidP="00925F26">
      <w:pPr>
        <w:jc w:val="both"/>
        <w:rPr>
          <w:color w:val="000000" w:themeColor="text1"/>
          <w:sz w:val="16"/>
          <w:szCs w:val="16"/>
        </w:rPr>
      </w:pPr>
      <w:r w:rsidRPr="00925F26">
        <w:rPr>
          <w:color w:val="000000" w:themeColor="text1"/>
          <w:sz w:val="16"/>
          <w:szCs w:val="16"/>
        </w:rPr>
        <w:t>За 15 января наши войска на всех фронтах подбили и уничтожили 277 немецких танков.</w:t>
      </w:r>
    </w:p>
    <w:p w14:paraId="312F5636"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находившиеся на двух плацдармах на западном берегу Вислы южнее Варшавы, 14 января перешли в наступление. Осенью прошлого года, после многократных, но безуспешных попыток ликвидировать советские плацдармы, противник решил запереть наши войска поясом мощных укреплений. Немцы построили оборону, эшелонированную в глубину до 20 километров. Она состояла из целого ряда линий траншей с разветвленными ходами сообщения, дотами и дзотами. Широкие минные поля, различные инженерные препятствия, противотанковые рвы и завалы на дорогах преграждали путь к сильно укрепленным немецким позициям.</w:t>
      </w:r>
    </w:p>
    <w:p w14:paraId="000B2EC9" w14:textId="77777777" w:rsidR="006F0F05" w:rsidRPr="00925F26" w:rsidRDefault="006F0F05" w:rsidP="00925F26">
      <w:pPr>
        <w:jc w:val="both"/>
        <w:rPr>
          <w:color w:val="000000" w:themeColor="text1"/>
          <w:sz w:val="16"/>
          <w:szCs w:val="16"/>
        </w:rPr>
      </w:pPr>
      <w:r w:rsidRPr="00925F26">
        <w:rPr>
          <w:color w:val="000000" w:themeColor="text1"/>
          <w:sz w:val="16"/>
          <w:szCs w:val="16"/>
        </w:rPr>
        <w:t>Наступление советских войск началось утром в пасмурный день. Низкая облачность и густой туман исключали участие авиации в военных действиях. Огромное значение в прорыве обороны противника поэтому имело мощное артиллерийское наступление. Более часа наши орудия вели уничтожающий огонь по заранее разведанным и пристрелянным целям. Они накрыли немецкие позиции на большую глубину и произвели опустошение в рядах противника. Пленные сообщают, что от артиллерийского огня части четырёх немецких пехотных дивизий, расположенных в передовых линиях, потеряли до 70 процентов своего личного состава. Вслед за огневым валом пошли в наступление основные силы советской пехоты. Артиллерийские дивизионы, а также танки и самоходные орудия неотступно сопровождали пехоту, расстреливая в упор уцелевшие узлы сопротивления и огневые точки противника. Войска фронта, наступавшие на двух плацдармах, в ходе боев соединились и за три дня боёв продвинулись вперёд до 60 километров, расширив прорыв до 120 километров по фронту.</w:t>
      </w:r>
    </w:p>
    <w:p w14:paraId="480E8E57" w14:textId="77777777" w:rsidR="006F0F05" w:rsidRPr="00925F26" w:rsidRDefault="006F0F05" w:rsidP="00925F26">
      <w:pPr>
        <w:jc w:val="both"/>
        <w:rPr>
          <w:color w:val="000000" w:themeColor="text1"/>
          <w:sz w:val="16"/>
          <w:szCs w:val="16"/>
        </w:rPr>
      </w:pPr>
      <w:r w:rsidRPr="00925F26">
        <w:rPr>
          <w:color w:val="000000" w:themeColor="text1"/>
          <w:sz w:val="16"/>
          <w:szCs w:val="16"/>
        </w:rPr>
        <w:t>Занято несколько городов и более 1.300 населенных пунктов. Советские части, наступающие в северо-западном направлении, переправились через реку Пилица и, стремительно продвигаясь вперед, заняли узел шоссейных дорог город Груиец, расположенный в 40 километрах юго-западнее Варшавы.</w:t>
      </w:r>
    </w:p>
    <w:p w14:paraId="717777B8" w14:textId="77777777" w:rsidR="006F0F05" w:rsidRPr="00925F26" w:rsidRDefault="006F0F05" w:rsidP="00925F26">
      <w:pPr>
        <w:jc w:val="both"/>
        <w:rPr>
          <w:color w:val="000000" w:themeColor="text1"/>
          <w:sz w:val="16"/>
          <w:szCs w:val="16"/>
        </w:rPr>
      </w:pPr>
      <w:r w:rsidRPr="00925F26">
        <w:rPr>
          <w:color w:val="000000" w:themeColor="text1"/>
          <w:sz w:val="16"/>
          <w:szCs w:val="16"/>
        </w:rPr>
        <w:t>Наши войска, наступающие в западном направлении, сломив упорное сопротивление немцев, совершили стремительный манёвр и вышли на подступы к городу Радом. В этом городе находились крупные силы немецких войск. Сегодня советские танкисты и пехотинцы нанесли немцам сокрушительный удар с трёх сторон и овладели важным узлом коммуникаций городом Радом. В бою за Радом разгромлены части двух пехотных и двух танковых дивизий противника.</w:t>
      </w:r>
    </w:p>
    <w:p w14:paraId="0F38CCB3" w14:textId="77777777" w:rsidR="006F0F05" w:rsidRPr="00925F26" w:rsidRDefault="006F0F05" w:rsidP="00925F26">
      <w:pPr>
        <w:jc w:val="both"/>
        <w:rPr>
          <w:color w:val="000000" w:themeColor="text1"/>
          <w:sz w:val="16"/>
          <w:szCs w:val="16"/>
        </w:rPr>
      </w:pPr>
      <w:r w:rsidRPr="00925F26">
        <w:rPr>
          <w:color w:val="000000" w:themeColor="text1"/>
          <w:sz w:val="16"/>
          <w:szCs w:val="16"/>
        </w:rPr>
        <w:t>За три дня боев войска 1-го Белорусского фронта нанесли противнику огромные потери. Уничтожены тысячи немецких солдат и офицеров. Только за первые два дня наступления, по неполным данным, нашими войсками уничтожено 75 танков и несколько сот орудий разных калибров. За это же время захватано у немцев 465 полевых орудий, 540 пулеметов и много других трофеев.</w:t>
      </w:r>
    </w:p>
    <w:p w14:paraId="1111B670" w14:textId="77777777" w:rsidR="006F0F05" w:rsidRPr="00925F26" w:rsidRDefault="006F0F05" w:rsidP="00925F26">
      <w:pPr>
        <w:jc w:val="both"/>
        <w:rPr>
          <w:color w:val="000000" w:themeColor="text1"/>
          <w:sz w:val="16"/>
          <w:szCs w:val="16"/>
        </w:rPr>
      </w:pPr>
      <w:r w:rsidRPr="00925F26">
        <w:rPr>
          <w:color w:val="000000" w:themeColor="text1"/>
          <w:sz w:val="16"/>
          <w:szCs w:val="16"/>
        </w:rPr>
        <w:t>На Ченстоховском и Краковском направлениях войска 1-го Украинского фронта развивали стремительное наступление. Советские пехотинцы, танкисты и артиллеристы преследуют разгромленные части противника. Овладев городом Влощова — важным узлом шоссейных дорог, наши войска преодолели лесистый район и вышли к реке Пилица. Отдельные части немцев были прижаты к реке и ликвидированы. Войска фронта с хода переправились через Пилицу и заняли город Конецголь, расположенный в 40 километрах восточнее Ченстохова. В бою в этом районе истреблено свыше 2 тысяч гитлеровцев. В лесах южнее и юго-западнее Кельце наши войска окружили и ликвидировали группировку противника, состоявшую из частей и подразделений 16-й и 17-й немецких танковых дивизий. В течение дня захвачено и уничтожено 145 немецких танков и самоходных орудий, 79 бронетранспортёров и свыше 100 орудий разных калибров. Взято в плен свыше 600 немецких солдат и офицеров.</w:t>
      </w:r>
    </w:p>
    <w:p w14:paraId="6F909E22" w14:textId="77777777" w:rsidR="006F0F05" w:rsidRPr="00925F26" w:rsidRDefault="006F0F05" w:rsidP="00925F26">
      <w:pPr>
        <w:jc w:val="both"/>
        <w:rPr>
          <w:color w:val="000000" w:themeColor="text1"/>
          <w:sz w:val="16"/>
          <w:szCs w:val="16"/>
        </w:rPr>
      </w:pPr>
      <w:r w:rsidRPr="00925F26">
        <w:rPr>
          <w:color w:val="000000" w:themeColor="text1"/>
          <w:sz w:val="16"/>
          <w:szCs w:val="16"/>
        </w:rPr>
        <w:t>На Краковском направлении противник ввёл в бой свежие силы и предпринимает контратаки. Преодолевая сопротивление немцев, советские части продвинулись вперёд до 15 километров. После ожесточенного боя наши войска овладели опорным пунктом обороны немцев Сломники, находящимся в 20 километрах северо-восточнее Кракова.</w:t>
      </w:r>
    </w:p>
    <w:p w14:paraId="1A0F6814" w14:textId="77777777" w:rsidR="006F0F05" w:rsidRPr="00925F26" w:rsidRDefault="006F0F05" w:rsidP="00925F26">
      <w:pPr>
        <w:jc w:val="both"/>
        <w:rPr>
          <w:color w:val="000000" w:themeColor="text1"/>
          <w:sz w:val="16"/>
          <w:szCs w:val="16"/>
        </w:rPr>
      </w:pPr>
      <w:r w:rsidRPr="00925F26">
        <w:rPr>
          <w:color w:val="000000" w:themeColor="text1"/>
          <w:sz w:val="16"/>
          <w:szCs w:val="16"/>
        </w:rPr>
        <w:t>В Будапеште наши войска продолжали бои по ликвидации окруженной группировки противника. Гвардейские части, наступающие по левому берегу Дуная на юг, выбили гитлеровцев с территории нескольких заводов, а также заняли артиллерийские казармы. Другие наши части очистили от врага Высшую Художественную школу, универмаг «Цорвин» и ряд других зданий.</w:t>
      </w:r>
    </w:p>
    <w:p w14:paraId="5C188621" w14:textId="77777777" w:rsidR="006F0F05" w:rsidRPr="00925F26" w:rsidRDefault="006F0F05"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потопила в Балтийском море два немецких транспорта общим водоизмещением в 14 тысяч тонн и сторожевой катер противника.» (15011).</w:t>
      </w:r>
    </w:p>
    <w:p w14:paraId="33DE890A" w14:textId="77777777" w:rsidR="006F0F05" w:rsidRPr="00925F26" w:rsidRDefault="006F0F05" w:rsidP="00925F26">
      <w:pPr>
        <w:jc w:val="both"/>
        <w:rPr>
          <w:color w:val="000000" w:themeColor="text1"/>
          <w:sz w:val="16"/>
          <w:szCs w:val="16"/>
        </w:rPr>
      </w:pPr>
    </w:p>
    <w:p w14:paraId="7B3C11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16 по 20 января 1946 определялась эффективность действия штурмовиков и 30 января 1945 был подготовлен "Акт установления эффективности фактичес</w:t>
      </w:r>
      <w:r w:rsidRPr="00925F26">
        <w:rPr>
          <w:color w:val="000000" w:themeColor="text1"/>
          <w:sz w:val="16"/>
          <w:szCs w:val="16"/>
        </w:rPr>
        <w:softHyphen/>
        <w:t xml:space="preserve">ки уничтоженной техники противника при действиях штурмовиков частей 230 </w:t>
      </w:r>
      <w:r w:rsidRPr="00925F26">
        <w:rPr>
          <w:iCs/>
          <w:color w:val="000000" w:themeColor="text1"/>
          <w:sz w:val="16"/>
          <w:szCs w:val="16"/>
        </w:rPr>
        <w:t>шад</w:t>
      </w:r>
      <w:r w:rsidRPr="00925F26">
        <w:rPr>
          <w:color w:val="000000" w:themeColor="text1"/>
          <w:sz w:val="16"/>
          <w:szCs w:val="16"/>
        </w:rPr>
        <w:t xml:space="preserve"> в " (исх. 02068), в котором комиссия штаба дивизии </w:t>
      </w:r>
      <w:r w:rsidRPr="00925F26">
        <w:rPr>
          <w:iCs/>
          <w:color w:val="000000" w:themeColor="text1"/>
          <w:sz w:val="16"/>
          <w:szCs w:val="16"/>
        </w:rPr>
        <w:t>"выездом в район</w:t>
      </w:r>
      <w:r w:rsidRPr="00925F26">
        <w:rPr>
          <w:color w:val="000000" w:themeColor="text1"/>
          <w:sz w:val="16"/>
          <w:szCs w:val="16"/>
        </w:rPr>
        <w:t xml:space="preserve"> бое</w:t>
      </w:r>
      <w:r w:rsidRPr="00925F26">
        <w:rPr>
          <w:color w:val="000000" w:themeColor="text1"/>
          <w:sz w:val="16"/>
          <w:szCs w:val="16"/>
        </w:rPr>
        <w:softHyphen/>
        <w:t xml:space="preserve">вых действий" определила, что </w:t>
      </w:r>
      <w:r w:rsidRPr="00925F26">
        <w:rPr>
          <w:iCs/>
          <w:color w:val="000000" w:themeColor="text1"/>
          <w:sz w:val="16"/>
          <w:szCs w:val="16"/>
        </w:rPr>
        <w:t>"...нане</w:t>
      </w:r>
      <w:r w:rsidRPr="00925F26">
        <w:rPr>
          <w:iCs/>
          <w:color w:val="000000" w:themeColor="text1"/>
          <w:sz w:val="16"/>
          <w:szCs w:val="16"/>
        </w:rPr>
        <w:softHyphen/>
        <w:t>сенные потери противнику в соответ</w:t>
      </w:r>
      <w:r w:rsidRPr="00925F26">
        <w:rPr>
          <w:iCs/>
          <w:color w:val="000000" w:themeColor="text1"/>
          <w:sz w:val="16"/>
          <w:szCs w:val="16"/>
        </w:rPr>
        <w:softHyphen/>
        <w:t>ствии с боевыми донесениями штаба дивизии полностью не соответствуют, так как количество уничтоженной техники, обнаруженной в процессе осмотра, со</w:t>
      </w:r>
      <w:r w:rsidRPr="00925F26">
        <w:rPr>
          <w:iCs/>
          <w:color w:val="000000" w:themeColor="text1"/>
          <w:sz w:val="16"/>
          <w:szCs w:val="16"/>
        </w:rPr>
        <w:softHyphen/>
        <w:t>ставляет 30% отданных наших донесе</w:t>
      </w:r>
      <w:r w:rsidRPr="00925F26">
        <w:rPr>
          <w:iCs/>
          <w:color w:val="000000" w:themeColor="text1"/>
          <w:sz w:val="16"/>
          <w:szCs w:val="16"/>
        </w:rPr>
        <w:softHyphen/>
        <w:t xml:space="preserve">ний..." </w:t>
      </w:r>
      <w:r w:rsidRPr="00925F26">
        <w:rPr>
          <w:color w:val="000000" w:themeColor="text1"/>
          <w:sz w:val="16"/>
          <w:szCs w:val="16"/>
        </w:rPr>
        <w:t>(6467).</w:t>
      </w:r>
    </w:p>
    <w:p w14:paraId="4A75B022" w14:textId="77777777" w:rsidR="00C2313B" w:rsidRPr="00925F26" w:rsidRDefault="00C2313B" w:rsidP="00925F26">
      <w:pPr>
        <w:autoSpaceDE w:val="0"/>
        <w:autoSpaceDN w:val="0"/>
        <w:adjustRightInd w:val="0"/>
        <w:jc w:val="both"/>
        <w:rPr>
          <w:color w:val="000000" w:themeColor="text1"/>
          <w:sz w:val="16"/>
          <w:szCs w:val="16"/>
        </w:rPr>
      </w:pPr>
    </w:p>
    <w:p w14:paraId="1FF2D5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16 января 1945 в ходе Висло-Одерской операции ш 16ВА только за один день уничтожили 12 танков, 200 автомашин, 12 повозок. Бомбардировщики нарушили </w:t>
      </w:r>
      <w:proofErr w:type="gramStart"/>
      <w:r w:rsidRPr="00925F26">
        <w:rPr>
          <w:color w:val="000000" w:themeColor="text1"/>
          <w:sz w:val="16"/>
          <w:szCs w:val="16"/>
        </w:rPr>
        <w:t>ж/д движение</w:t>
      </w:r>
      <w:proofErr w:type="gramEnd"/>
      <w:r w:rsidRPr="00925F26">
        <w:rPr>
          <w:color w:val="000000" w:themeColor="text1"/>
          <w:sz w:val="16"/>
          <w:szCs w:val="16"/>
        </w:rPr>
        <w:t xml:space="preserve"> и танкисты захватили в Лодзи 400 вагонов с военным имуществом и боевой техникой, а также 28 паровозов (518,164).</w:t>
      </w:r>
    </w:p>
    <w:p w14:paraId="4204D8AF" w14:textId="77777777" w:rsidR="00C2313B" w:rsidRPr="00925F26" w:rsidRDefault="00C2313B" w:rsidP="00925F26">
      <w:pPr>
        <w:autoSpaceDE w:val="0"/>
        <w:autoSpaceDN w:val="0"/>
        <w:adjustRightInd w:val="0"/>
        <w:jc w:val="both"/>
        <w:rPr>
          <w:color w:val="000000" w:themeColor="text1"/>
          <w:sz w:val="16"/>
          <w:szCs w:val="16"/>
        </w:rPr>
      </w:pPr>
    </w:p>
    <w:p w14:paraId="4EF97C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16 января 1945 со 2ГТА взаимодействовал 6 шак 16ВА, который за день выполнил 272 вылета, а 1ГТА - 2 и 11 гад 16ВА, которые выполнили 345 вылетов. В районе Опочно разгромили 10 мехдивизию немцев - более 3000 машин и бронетранспортеров и несколько десятков танков (340,195).</w:t>
      </w:r>
    </w:p>
    <w:p w14:paraId="54218D4D" w14:textId="77777777" w:rsidR="00C2313B" w:rsidRPr="00925F26" w:rsidRDefault="00C2313B" w:rsidP="00925F26">
      <w:pPr>
        <w:autoSpaceDE w:val="0"/>
        <w:autoSpaceDN w:val="0"/>
        <w:adjustRightInd w:val="0"/>
        <w:jc w:val="both"/>
        <w:rPr>
          <w:color w:val="000000" w:themeColor="text1"/>
          <w:sz w:val="16"/>
          <w:szCs w:val="16"/>
        </w:rPr>
      </w:pPr>
    </w:p>
    <w:p w14:paraId="2636B7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г в результате внезапной атаки четверки Як-3 полка Нормандия-Неман немцы потеряли 4 FW190 сбитыми и еще две машины поврежденными из группы общей численностью 30 само</w:t>
      </w:r>
      <w:r w:rsidRPr="00925F26">
        <w:rPr>
          <w:color w:val="000000" w:themeColor="text1"/>
          <w:sz w:val="16"/>
          <w:szCs w:val="16"/>
        </w:rPr>
        <w:softHyphen/>
        <w:t>летов. Одну из побед одержал Андре. Вскоре после полудня шестерка Як-3 майора Дельфино, прикрывая поле боя, отразила удар 12 FW190. В ожес</w:t>
      </w:r>
      <w:r w:rsidRPr="00925F26">
        <w:rPr>
          <w:color w:val="000000" w:themeColor="text1"/>
          <w:sz w:val="16"/>
          <w:szCs w:val="16"/>
        </w:rPr>
        <w:softHyphen/>
        <w:t>точенной свалке Андре сбил еще одно</w:t>
      </w:r>
      <w:r w:rsidRPr="00925F26">
        <w:rPr>
          <w:color w:val="000000" w:themeColor="text1"/>
          <w:sz w:val="16"/>
          <w:szCs w:val="16"/>
        </w:rPr>
        <w:softHyphen/>
        <w:t>го “фоккера” (3956).</w:t>
      </w:r>
    </w:p>
    <w:p w14:paraId="1C1E7BB7" w14:textId="77777777" w:rsidR="00C2313B" w:rsidRPr="00925F26" w:rsidRDefault="00C2313B" w:rsidP="00925F26">
      <w:pPr>
        <w:autoSpaceDE w:val="0"/>
        <w:autoSpaceDN w:val="0"/>
        <w:adjustRightInd w:val="0"/>
        <w:jc w:val="both"/>
        <w:rPr>
          <w:color w:val="000000" w:themeColor="text1"/>
          <w:sz w:val="16"/>
          <w:szCs w:val="16"/>
        </w:rPr>
      </w:pPr>
    </w:p>
    <w:p w14:paraId="587CD5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немцы потеряли от полка Нормандия-Неман 18 FW190 и еще один Bf109. Вероятно, столкно</w:t>
      </w:r>
      <w:r w:rsidRPr="00925F26">
        <w:rPr>
          <w:color w:val="000000" w:themeColor="text1"/>
          <w:sz w:val="16"/>
          <w:szCs w:val="16"/>
        </w:rPr>
        <w:softHyphen/>
        <w:t>вения происходили главным образом со штурмовиками из эскадры SG3, ко</w:t>
      </w:r>
      <w:r w:rsidRPr="00925F26">
        <w:rPr>
          <w:color w:val="000000" w:themeColor="text1"/>
          <w:sz w:val="16"/>
          <w:szCs w:val="16"/>
        </w:rPr>
        <w:softHyphen/>
        <w:t>торые несли бомбы на внешней подве</w:t>
      </w:r>
      <w:r w:rsidRPr="00925F26">
        <w:rPr>
          <w:color w:val="000000" w:themeColor="text1"/>
          <w:sz w:val="16"/>
          <w:szCs w:val="16"/>
        </w:rPr>
        <w:softHyphen/>
        <w:t>ске и были скованы в маневре (из тро</w:t>
      </w:r>
      <w:r w:rsidRPr="00925F26">
        <w:rPr>
          <w:color w:val="000000" w:themeColor="text1"/>
          <w:sz w:val="16"/>
          <w:szCs w:val="16"/>
        </w:rPr>
        <w:softHyphen/>
        <w:t>фейных документов известно, что 16 января эскадра лишилась пяти ма</w:t>
      </w:r>
      <w:r w:rsidRPr="00925F26">
        <w:rPr>
          <w:color w:val="000000" w:themeColor="text1"/>
          <w:sz w:val="16"/>
          <w:szCs w:val="16"/>
        </w:rPr>
        <w:softHyphen/>
        <w:t>шин) (3956).</w:t>
      </w:r>
    </w:p>
    <w:p w14:paraId="481F1309" w14:textId="77777777" w:rsidR="00C2313B" w:rsidRPr="00925F26" w:rsidRDefault="00C2313B" w:rsidP="00925F26">
      <w:pPr>
        <w:autoSpaceDE w:val="0"/>
        <w:autoSpaceDN w:val="0"/>
        <w:adjustRightInd w:val="0"/>
        <w:jc w:val="both"/>
        <w:rPr>
          <w:color w:val="000000" w:themeColor="text1"/>
          <w:sz w:val="16"/>
          <w:szCs w:val="16"/>
        </w:rPr>
      </w:pPr>
    </w:p>
    <w:p w14:paraId="6B2A26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Первый Белорусский взял Радом (271,224).</w:t>
      </w:r>
    </w:p>
    <w:p w14:paraId="4B0FE0A2" w14:textId="77777777" w:rsidR="00C2313B" w:rsidRPr="00925F26" w:rsidRDefault="00C2313B" w:rsidP="00925F26">
      <w:pPr>
        <w:autoSpaceDE w:val="0"/>
        <w:autoSpaceDN w:val="0"/>
        <w:adjustRightInd w:val="0"/>
        <w:jc w:val="both"/>
        <w:rPr>
          <w:color w:val="000000" w:themeColor="text1"/>
          <w:sz w:val="16"/>
          <w:szCs w:val="16"/>
        </w:rPr>
      </w:pPr>
    </w:p>
    <w:p w14:paraId="3B298F14" w14:textId="77777777" w:rsidR="006F0F05" w:rsidRPr="00925F26" w:rsidRDefault="006F0F05" w:rsidP="00925F26">
      <w:pPr>
        <w:jc w:val="both"/>
        <w:rPr>
          <w:color w:val="000000" w:themeColor="text1"/>
          <w:sz w:val="16"/>
          <w:szCs w:val="16"/>
        </w:rPr>
      </w:pPr>
      <w:r w:rsidRPr="00925F26">
        <w:rPr>
          <w:bCs/>
          <w:color w:val="000000" w:themeColor="text1"/>
          <w:sz w:val="16"/>
          <w:szCs w:val="16"/>
        </w:rPr>
        <w:t>16 января</w:t>
      </w:r>
      <w:r w:rsidRPr="00925F26">
        <w:rPr>
          <w:color w:val="000000" w:themeColor="text1"/>
          <w:sz w:val="16"/>
          <w:szCs w:val="16"/>
        </w:rPr>
        <w:t xml:space="preserve"> в 1945 году войска 1-го Белорусского фронта освободили город Радом (15011).</w:t>
      </w:r>
    </w:p>
    <w:p w14:paraId="4462BF24" w14:textId="77777777" w:rsidR="006F0F05" w:rsidRPr="00925F26" w:rsidRDefault="006F0F05" w:rsidP="00925F26">
      <w:pPr>
        <w:jc w:val="both"/>
        <w:rPr>
          <w:color w:val="000000" w:themeColor="text1"/>
          <w:sz w:val="16"/>
          <w:szCs w:val="16"/>
        </w:rPr>
      </w:pPr>
    </w:p>
    <w:p w14:paraId="1B4BAFD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1A62DFD" w14:textId="77777777" w:rsidR="00C2313B" w:rsidRPr="00925F26" w:rsidRDefault="00C2313B" w:rsidP="00925F26">
      <w:pPr>
        <w:autoSpaceDE w:val="0"/>
        <w:autoSpaceDN w:val="0"/>
        <w:adjustRightInd w:val="0"/>
        <w:jc w:val="both"/>
        <w:rPr>
          <w:iCs/>
          <w:color w:val="000000" w:themeColor="text1"/>
          <w:sz w:val="16"/>
          <w:szCs w:val="16"/>
        </w:rPr>
      </w:pPr>
    </w:p>
    <w:p w14:paraId="1F3F1D0D" w14:textId="77777777" w:rsidR="00670896" w:rsidRPr="00925F26" w:rsidRDefault="00670896" w:rsidP="00925F26">
      <w:pPr>
        <w:jc w:val="both"/>
        <w:rPr>
          <w:color w:val="000000" w:themeColor="text1"/>
          <w:sz w:val="16"/>
          <w:szCs w:val="16"/>
          <w:lang w:val="en-US"/>
        </w:rPr>
      </w:pPr>
      <w:r w:rsidRPr="00925F26">
        <w:rPr>
          <w:color w:val="000000" w:themeColor="text1"/>
          <w:sz w:val="16"/>
          <w:szCs w:val="16"/>
        </w:rPr>
        <w:t>16 января 1945 г. 133 бомбардировщика В-24 совершили на</w:t>
      </w:r>
      <w:r w:rsidRPr="00925F26">
        <w:rPr>
          <w:color w:val="000000" w:themeColor="text1"/>
          <w:sz w:val="16"/>
          <w:szCs w:val="16"/>
        </w:rPr>
        <w:softHyphen/>
        <w:t>лет на дрезденскую железнодорожную сортировочную станцию. С высоты 6700 метров каждый из «Либерейторов» сбросил по восемь 500-фунтовых фугасных бомб, которые упали на часть территории сортировочной станции, повредив некоторые желез</w:t>
      </w:r>
      <w:r w:rsidRPr="00925F26">
        <w:rPr>
          <w:color w:val="000000" w:themeColor="text1"/>
          <w:sz w:val="16"/>
          <w:szCs w:val="16"/>
        </w:rPr>
        <w:softHyphen/>
        <w:t xml:space="preserve">нодорожные сооружения. Кроме того, несколько бомб упало на территории районной больницы. </w:t>
      </w:r>
      <w:proofErr w:type="gramStart"/>
      <w:r w:rsidRPr="00925F26">
        <w:rPr>
          <w:color w:val="000000" w:themeColor="text1"/>
          <w:sz w:val="16"/>
          <w:szCs w:val="16"/>
        </w:rPr>
        <w:t>К своему великому удивлению</w:t>
      </w:r>
      <w:proofErr w:type="gramEnd"/>
      <w:r w:rsidRPr="00925F26">
        <w:rPr>
          <w:color w:val="000000" w:themeColor="text1"/>
          <w:sz w:val="16"/>
          <w:szCs w:val="16"/>
        </w:rPr>
        <w:t xml:space="preserve"> американцы не заметили ни истребителей, ни зенитного огня. В</w:t>
      </w:r>
      <w:r w:rsidRPr="00925F26">
        <w:rPr>
          <w:color w:val="000000" w:themeColor="text1"/>
          <w:sz w:val="16"/>
          <w:szCs w:val="16"/>
          <w:lang w:val="en-US"/>
        </w:rPr>
        <w:t xml:space="preserve"> </w:t>
      </w:r>
      <w:r w:rsidRPr="00925F26">
        <w:rPr>
          <w:color w:val="000000" w:themeColor="text1"/>
          <w:sz w:val="16"/>
          <w:szCs w:val="16"/>
        </w:rPr>
        <w:t>ходе</w:t>
      </w:r>
      <w:r w:rsidRPr="00925F26">
        <w:rPr>
          <w:color w:val="000000" w:themeColor="text1"/>
          <w:sz w:val="16"/>
          <w:szCs w:val="16"/>
          <w:lang w:val="en-US"/>
        </w:rPr>
        <w:t xml:space="preserve"> </w:t>
      </w:r>
      <w:r w:rsidRPr="00925F26">
        <w:rPr>
          <w:color w:val="000000" w:themeColor="text1"/>
          <w:sz w:val="16"/>
          <w:szCs w:val="16"/>
        </w:rPr>
        <w:t>налета</w:t>
      </w:r>
      <w:r w:rsidRPr="00925F26">
        <w:rPr>
          <w:color w:val="000000" w:themeColor="text1"/>
          <w:sz w:val="16"/>
          <w:szCs w:val="16"/>
          <w:lang w:val="en-US"/>
        </w:rPr>
        <w:t xml:space="preserve"> </w:t>
      </w:r>
      <w:r w:rsidRPr="00925F26">
        <w:rPr>
          <w:color w:val="000000" w:themeColor="text1"/>
          <w:sz w:val="16"/>
          <w:szCs w:val="16"/>
        </w:rPr>
        <w:t>погибло</w:t>
      </w:r>
      <w:r w:rsidRPr="00925F26">
        <w:rPr>
          <w:color w:val="000000" w:themeColor="text1"/>
          <w:sz w:val="16"/>
          <w:szCs w:val="16"/>
          <w:lang w:val="en-US"/>
        </w:rPr>
        <w:t xml:space="preserve"> 376 </w:t>
      </w:r>
      <w:r w:rsidRPr="00925F26">
        <w:rPr>
          <w:color w:val="000000" w:themeColor="text1"/>
          <w:sz w:val="16"/>
          <w:szCs w:val="16"/>
        </w:rPr>
        <w:t>человек</w:t>
      </w:r>
      <w:r w:rsidRPr="00925F26">
        <w:rPr>
          <w:color w:val="000000" w:themeColor="text1"/>
          <w:sz w:val="16"/>
          <w:szCs w:val="16"/>
          <w:lang w:val="en-US"/>
        </w:rPr>
        <w:t xml:space="preserve">, </w:t>
      </w:r>
      <w:r w:rsidRPr="00925F26">
        <w:rPr>
          <w:color w:val="000000" w:themeColor="text1"/>
          <w:sz w:val="16"/>
          <w:szCs w:val="16"/>
        </w:rPr>
        <w:t>включая</w:t>
      </w:r>
      <w:r w:rsidRPr="00925F26">
        <w:rPr>
          <w:color w:val="000000" w:themeColor="text1"/>
          <w:sz w:val="16"/>
          <w:szCs w:val="16"/>
          <w:lang w:val="en-US"/>
        </w:rPr>
        <w:t xml:space="preserve"> </w:t>
      </w:r>
      <w:r w:rsidRPr="00925F26">
        <w:rPr>
          <w:color w:val="000000" w:themeColor="text1"/>
          <w:sz w:val="16"/>
          <w:szCs w:val="16"/>
        </w:rPr>
        <w:t>военнопленных</w:t>
      </w:r>
      <w:r w:rsidRPr="00925F26">
        <w:rPr>
          <w:color w:val="000000" w:themeColor="text1"/>
          <w:sz w:val="16"/>
          <w:szCs w:val="16"/>
          <w:lang w:val="en-US"/>
        </w:rPr>
        <w:t xml:space="preserve"> (19735).</w:t>
      </w:r>
    </w:p>
    <w:p w14:paraId="534A42E7" w14:textId="77777777" w:rsidR="00670896" w:rsidRPr="00925F26" w:rsidRDefault="00670896" w:rsidP="00925F26">
      <w:pPr>
        <w:jc w:val="both"/>
        <w:rPr>
          <w:color w:val="000000" w:themeColor="text1"/>
          <w:sz w:val="16"/>
          <w:szCs w:val="16"/>
          <w:lang w:val="en-US"/>
        </w:rPr>
      </w:pPr>
    </w:p>
    <w:p w14:paraId="62F5872F"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16, 1945: In the Battle of the Bulge, US and British forces brought up to block the German advance meet at Houffalize (3819).</w:t>
      </w:r>
    </w:p>
    <w:p w14:paraId="00500C2A" w14:textId="77777777" w:rsidR="00C2313B" w:rsidRPr="00925F26" w:rsidRDefault="00C2313B" w:rsidP="00925F26">
      <w:pPr>
        <w:autoSpaceDE w:val="0"/>
        <w:autoSpaceDN w:val="0"/>
        <w:adjustRightInd w:val="0"/>
        <w:jc w:val="both"/>
        <w:rPr>
          <w:color w:val="000000" w:themeColor="text1"/>
          <w:sz w:val="16"/>
          <w:szCs w:val="16"/>
          <w:lang w:val="en-US"/>
        </w:rPr>
      </w:pPr>
    </w:p>
    <w:p w14:paraId="19EF64ED"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 16 1945 U.S. 1st and 3rd Armies link up after month long separation during Battle of the Bulge (1050).</w:t>
      </w:r>
    </w:p>
    <w:p w14:paraId="0FFF9E63" w14:textId="77777777" w:rsidR="00C2313B" w:rsidRPr="00925F26" w:rsidRDefault="00C2313B" w:rsidP="00925F26">
      <w:pPr>
        <w:autoSpaceDE w:val="0"/>
        <w:autoSpaceDN w:val="0"/>
        <w:adjustRightInd w:val="0"/>
        <w:jc w:val="both"/>
        <w:rPr>
          <w:color w:val="000000" w:themeColor="text1"/>
          <w:sz w:val="16"/>
          <w:szCs w:val="16"/>
          <w:lang w:val="en-US"/>
        </w:rPr>
      </w:pPr>
    </w:p>
    <w:p w14:paraId="5C6BE5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января 1945 британская и американская армии воссоединились после победы в Арденах (1051).</w:t>
      </w:r>
    </w:p>
    <w:p w14:paraId="3262AC0D" w14:textId="77777777" w:rsidR="00C2313B" w:rsidRPr="00925F26" w:rsidRDefault="00C2313B" w:rsidP="00925F26">
      <w:pPr>
        <w:autoSpaceDE w:val="0"/>
        <w:autoSpaceDN w:val="0"/>
        <w:adjustRightInd w:val="0"/>
        <w:jc w:val="both"/>
        <w:rPr>
          <w:color w:val="000000" w:themeColor="text1"/>
          <w:sz w:val="16"/>
          <w:szCs w:val="16"/>
        </w:rPr>
      </w:pPr>
    </w:p>
    <w:p w14:paraId="7EB6CB1D" w14:textId="77777777" w:rsidR="00E31928" w:rsidRPr="00925F26" w:rsidRDefault="00E31928" w:rsidP="00925F26">
      <w:pPr>
        <w:jc w:val="both"/>
        <w:rPr>
          <w:color w:val="000000" w:themeColor="text1"/>
          <w:sz w:val="16"/>
          <w:szCs w:val="16"/>
        </w:rPr>
      </w:pPr>
      <w:r w:rsidRPr="00925F26">
        <w:rPr>
          <w:color w:val="000000" w:themeColor="text1"/>
          <w:sz w:val="16"/>
          <w:szCs w:val="16"/>
        </w:rPr>
        <w:t xml:space="preserve">16 января 1945 самолеты оперативной группы 38 наносят удар по Гонконгу, Хайнаню и Кантону и охватывают побережье Китая от полуострова Лючжоу до Сватоу. Из-за плохой погоды они потопили два торговых корабля и повредили четыре других и уничтожили 13 японских самолетов в обмен на потерю 22 американских самолетов в бою и пяти из-за небоевых причин. Завершается поддержка со стороны эскортных авианосцев ВМС США высадки в Лингайенском заливе. За 12 дней поддержки самолеты совершили 6 152 </w:t>
      </w:r>
      <w:proofErr w:type="gramStart"/>
      <w:r w:rsidRPr="00925F26">
        <w:rPr>
          <w:color w:val="000000" w:themeColor="text1"/>
          <w:sz w:val="16"/>
          <w:szCs w:val="16"/>
        </w:rPr>
        <w:t>самолето-вылета</w:t>
      </w:r>
      <w:proofErr w:type="gramEnd"/>
      <w:r w:rsidRPr="00925F26">
        <w:rPr>
          <w:color w:val="000000" w:themeColor="text1"/>
          <w:sz w:val="16"/>
          <w:szCs w:val="16"/>
        </w:rPr>
        <w:t xml:space="preserve"> и заявили, что 92 японских самолета уничтожены в обмен на потерю двух самолетов, оба истребителя FM Wildcat (20371).</w:t>
      </w:r>
    </w:p>
    <w:p w14:paraId="459B1D0F" w14:textId="77777777" w:rsidR="00E31928" w:rsidRPr="00925F26" w:rsidRDefault="00E31928" w:rsidP="00925F26">
      <w:pPr>
        <w:jc w:val="both"/>
        <w:rPr>
          <w:color w:val="000000" w:themeColor="text1"/>
          <w:sz w:val="16"/>
          <w:szCs w:val="16"/>
        </w:rPr>
      </w:pPr>
    </w:p>
    <w:p w14:paraId="6AB6964C" w14:textId="77777777" w:rsidR="00E31928" w:rsidRPr="00925F26" w:rsidRDefault="00E31928" w:rsidP="00925F26">
      <w:pPr>
        <w:jc w:val="both"/>
        <w:rPr>
          <w:color w:val="000000" w:themeColor="text1"/>
          <w:sz w:val="16"/>
          <w:szCs w:val="16"/>
        </w:rPr>
      </w:pPr>
      <w:r w:rsidRPr="00925F26">
        <w:rPr>
          <w:color w:val="000000" w:themeColor="text1"/>
          <w:sz w:val="16"/>
          <w:szCs w:val="16"/>
        </w:rPr>
        <w:t>16 января 1945 британский Тихоокеанский флот отправляется с Цейлона в Австралию.</w:t>
      </w:r>
    </w:p>
    <w:p w14:paraId="79B0D73E" w14:textId="77777777" w:rsidR="00E31928" w:rsidRPr="00925F26" w:rsidRDefault="00E31928" w:rsidP="00925F26">
      <w:pPr>
        <w:jc w:val="both"/>
        <w:rPr>
          <w:color w:val="000000" w:themeColor="text1"/>
          <w:sz w:val="16"/>
          <w:szCs w:val="16"/>
        </w:rPr>
      </w:pPr>
    </w:p>
    <w:p w14:paraId="103E6C79" w14:textId="77777777" w:rsidR="00E31928" w:rsidRPr="00925F26" w:rsidRDefault="00E31928" w:rsidP="00925F26">
      <w:pPr>
        <w:jc w:val="both"/>
        <w:rPr>
          <w:color w:val="000000" w:themeColor="text1"/>
          <w:sz w:val="16"/>
          <w:szCs w:val="16"/>
        </w:rPr>
      </w:pPr>
      <w:r w:rsidRPr="00925F26">
        <w:rPr>
          <w:color w:val="000000" w:themeColor="text1"/>
          <w:sz w:val="16"/>
          <w:szCs w:val="16"/>
        </w:rPr>
        <w:t xml:space="preserve">16–20 января 1945 авиация ВВС США (14 группа) уничтожила более 100 японских самолетов на земле в Шанхае и его окрестностях (20371) </w:t>
      </w:r>
    </w:p>
    <w:p w14:paraId="45D416AD" w14:textId="77777777" w:rsidR="00E31928" w:rsidRPr="00925F26" w:rsidRDefault="00E31928" w:rsidP="00925F26">
      <w:pPr>
        <w:jc w:val="both"/>
        <w:rPr>
          <w:color w:val="000000" w:themeColor="text1"/>
          <w:sz w:val="16"/>
          <w:szCs w:val="16"/>
        </w:rPr>
      </w:pPr>
    </w:p>
    <w:p w14:paraId="0E6F40E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D1A5B2D" w14:textId="77777777" w:rsidR="00C2313B" w:rsidRPr="00925F26" w:rsidRDefault="00C2313B" w:rsidP="00925F26">
      <w:pPr>
        <w:autoSpaceDE w:val="0"/>
        <w:autoSpaceDN w:val="0"/>
        <w:adjustRightInd w:val="0"/>
        <w:jc w:val="both"/>
        <w:rPr>
          <w:iCs/>
          <w:color w:val="000000" w:themeColor="text1"/>
          <w:sz w:val="16"/>
          <w:szCs w:val="16"/>
        </w:rPr>
      </w:pPr>
    </w:p>
    <w:p w14:paraId="5728A516" w14:textId="77777777" w:rsidR="006F0F05" w:rsidRPr="00925F26" w:rsidRDefault="006F0F05" w:rsidP="00925F26">
      <w:pPr>
        <w:jc w:val="both"/>
        <w:rPr>
          <w:color w:val="000000" w:themeColor="text1"/>
          <w:sz w:val="16"/>
          <w:szCs w:val="16"/>
        </w:rPr>
      </w:pPr>
      <w:r w:rsidRPr="00925F26">
        <w:rPr>
          <w:bCs/>
          <w:color w:val="000000" w:themeColor="text1"/>
          <w:sz w:val="16"/>
          <w:szCs w:val="16"/>
        </w:rPr>
        <w:t>17 января</w:t>
      </w:r>
      <w:r w:rsidRPr="00925F26">
        <w:rPr>
          <w:color w:val="000000" w:themeColor="text1"/>
          <w:sz w:val="16"/>
          <w:szCs w:val="16"/>
        </w:rPr>
        <w:t xml:space="preserve"> в 1945 году оперативная сводка Совинформбюро:</w:t>
      </w:r>
    </w:p>
    <w:p w14:paraId="4D5231BB"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2-го Белорусского фронта, перейдя в наступление 14 января на двух плацдармах на западном берегу реки Нарев севернее Варшавы, при поддержке массированных ударов артиллерии прорвали сильную глубоко эшелонированную оборону противника.</w:t>
      </w:r>
    </w:p>
    <w:p w14:paraId="654AAC9F" w14:textId="77777777" w:rsidR="006F0F05" w:rsidRPr="00925F26" w:rsidRDefault="006F0F05" w:rsidP="00925F26">
      <w:pPr>
        <w:jc w:val="both"/>
        <w:rPr>
          <w:color w:val="000000" w:themeColor="text1"/>
          <w:sz w:val="16"/>
          <w:szCs w:val="16"/>
        </w:rPr>
      </w:pPr>
      <w:r w:rsidRPr="00925F26">
        <w:rPr>
          <w:color w:val="000000" w:themeColor="text1"/>
          <w:sz w:val="16"/>
          <w:szCs w:val="16"/>
        </w:rPr>
        <w:t>За четыре дня боёв, преодолевая упорное сопротивление немцев, войска фронта, наступавшие на двух плацдармах, соединились и продвинулись вперёд до 40 километров, расширив прорыв до 100 километров по фронту.</w:t>
      </w:r>
    </w:p>
    <w:p w14:paraId="7CCD39DB" w14:textId="77777777" w:rsidR="006F0F05" w:rsidRPr="00925F26" w:rsidRDefault="006F0F05" w:rsidP="00925F26">
      <w:pPr>
        <w:jc w:val="both"/>
        <w:rPr>
          <w:color w:val="000000" w:themeColor="text1"/>
          <w:sz w:val="16"/>
          <w:szCs w:val="16"/>
        </w:rPr>
      </w:pPr>
      <w:r w:rsidRPr="00925F26">
        <w:rPr>
          <w:color w:val="000000" w:themeColor="text1"/>
          <w:sz w:val="16"/>
          <w:szCs w:val="16"/>
        </w:rPr>
        <w:t>В ходе наступления наши войска овладели сильными опорными пунктами обороны немцев городами Макув, Пултуск, Цеханув, Нове Място, Насельск, а также с боями заняли более 500 других населённых пунктов; среди них — Глажево, Дылево, Равы, Завады-Дворске, Облудзин, Козин, Зелена, Чернице, Бенки, Гонсоцин, Щавин, Андзин, Голавице, Помехувек и железнодорожные станции Насельск, Сьверче, Гонсоцин.</w:t>
      </w:r>
    </w:p>
    <w:p w14:paraId="68318E8D"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совершив стремительный обходный манёвр к западу от Варшавы, заняли город Жирардув, перерезали дороги на Сохачев, форсировали Вислу севернее Варшавы и, отрезав таким образом Варшаву с запада, 17 января путём комбинированного удара с севера, запада и юга овладели столицей союзной нам Польши городом Варшава — важнейшим стратегическим узлом обороны немцев на реке Висла.</w:t>
      </w:r>
    </w:p>
    <w:p w14:paraId="5036AB23" w14:textId="77777777" w:rsidR="006F0F05" w:rsidRPr="00925F26" w:rsidRDefault="006F0F05" w:rsidP="00925F26">
      <w:pPr>
        <w:jc w:val="both"/>
        <w:rPr>
          <w:color w:val="000000" w:themeColor="text1"/>
          <w:sz w:val="16"/>
          <w:szCs w:val="16"/>
        </w:rPr>
      </w:pPr>
      <w:r w:rsidRPr="00925F26">
        <w:rPr>
          <w:color w:val="000000" w:themeColor="text1"/>
          <w:sz w:val="16"/>
          <w:szCs w:val="16"/>
        </w:rPr>
        <w:t>Продолжая наступление, войска 1-го Белорусского фронта овладели городами Гура Кальвария, Тарчин, Бяла Равска, Нове Място, Шидловец, а также с боями заняли более 800 других населённых пунктов, в числе которых крупные населённые пункты Мала Весь, Домброва Нова, Трускув, Лешно, Хойната, Бабск, Доманевице, Ленгонице, Потворув, Яникув, Скшинно, Политув, Смагув, Павлув и железнодорожные станции Хынув, Чахувек, Злотоклос, Тарчин, Ясенец, Могельница, Нове Място, Рожки, Ястшомб, Шидловец.</w:t>
      </w:r>
    </w:p>
    <w:p w14:paraId="5C50377A"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Украинского фронта, развивая успешное наступление, 17 января заняли города Пшедбуж и Радомско — важные узлы коммуникаций и опорные пункты обороны немцев и, форсировав реку Варта, стремительным ударом танковых соединений и пехоты овладели городом Ченстохова — важным узлом обороны немцев на реке Варта. В ходе наступательных боёв за 17 января войска фронта овладели также городами Вежбник, Радошице, Коньске и заняли более 700 других населённых пунктов, среди которых крупные населённые пункты Любеня, Бодзентын, Загнаньск, Мнюв, Слупя, Олешно, Стобецко-Мейске, Плавно, Конары, Михалув, Пширув, Мокшеш, Янув, Негова, Прадла, Шице, Славнюв, Лобзув, Ивановице, Садове, Прошовице, Ксенжнице, Грембошув, Воля Женджиньска, Ленки-Гурне и железнодорожные станции Кунув-Място, Кунув, Михалув, Голеневы, Загнаньск, Кломнице, Злоты Поток, Прошовице, Чарна.</w:t>
      </w:r>
    </w:p>
    <w:p w14:paraId="0C6D3464" w14:textId="77777777" w:rsidR="006F0F05" w:rsidRPr="00925F26" w:rsidRDefault="006F0F05" w:rsidP="00925F26">
      <w:pPr>
        <w:jc w:val="both"/>
        <w:rPr>
          <w:color w:val="000000" w:themeColor="text1"/>
          <w:sz w:val="16"/>
          <w:szCs w:val="16"/>
        </w:rPr>
      </w:pPr>
      <w:r w:rsidRPr="00925F26">
        <w:rPr>
          <w:color w:val="000000" w:themeColor="text1"/>
          <w:sz w:val="16"/>
          <w:szCs w:val="16"/>
        </w:rPr>
        <w:t>В Будапеште наши войска, продолжая бои по уничтожению окружённой группировки противника, заняли 50 кварталов. За 16 января в Будапеште взято в плен 7.000 немецких и венгерских солдат и офицеров.</w:t>
      </w:r>
    </w:p>
    <w:p w14:paraId="547F9779" w14:textId="77777777" w:rsidR="006F0F05" w:rsidRPr="00925F26" w:rsidRDefault="006F0F05"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3DE2F12C" w14:textId="77777777" w:rsidR="006F0F05" w:rsidRPr="00925F26" w:rsidRDefault="006F0F05" w:rsidP="00925F26">
      <w:pPr>
        <w:jc w:val="both"/>
        <w:rPr>
          <w:color w:val="000000" w:themeColor="text1"/>
          <w:sz w:val="16"/>
          <w:szCs w:val="16"/>
        </w:rPr>
      </w:pPr>
      <w:r w:rsidRPr="00925F26">
        <w:rPr>
          <w:color w:val="000000" w:themeColor="text1"/>
          <w:sz w:val="16"/>
          <w:szCs w:val="16"/>
        </w:rPr>
        <w:t>За 16 января наши войска на всех фронтах подбили и уничтожили 145 немецких танков. В воздушных боях и огнём зенитной артиллерии сбито 163 самолёта противника.</w:t>
      </w:r>
    </w:p>
    <w:p w14:paraId="464AF442"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2-го Белорусского фронта 14 января, после мощной артиллерийской подготовки, перешли в наступление с двух плацдармов на западном берегу реки Нарев, севернее Варшавы. Вражеская оборона в этом районе состояла из долговременных укреплений, широко развитой системы инженерных сооружений и траншей с многочисленными дзотами и дотами. Вслед за огневым валом артиллерии наши штурмовые батальоны атаковали передовые части противника и ворвались в его траншеи. Затем в атаку перешли наши основные силы и прорвали первый оборонительный рубеж немцев. Противник бросил в контратаки резервы, но все его попытки удержаться в укреплениях закончились неудачей. Преодолевая упорное сопротивление немцев и отражая их контратаки, наши войска прорвали второй, а затем и третий оборонительный рубеж противника. Таким образом, оборона немцев на всю глубину была взломана. Развивая наступление, советские пехотинцы, танкисты и артиллеристы овладели городами Макув, Пултуск, Цеханув, Нове Място. После двухдневных ожесточённых боёв гитлеровцы были выбиты также из города Насельск. Тем самым наши войска на большом участке перерезали железную дорогу, идущую из города и крепости Модлин в Восточную Пруссию. Противник спешно подтянул и ввёл в бой танковую дивизию СС «Великая Германия», 7 танковую дивизию, а также ряд других пехотных частей и дивизионов штурмовых орудий. Отбивая ожесточённые вражеские контратаки, наши войска за четыре дня наступления продвинулись вперёд до 40 километров и заняли более 500 населенных пунктов. Отступая под ударами советских войск, немцы несут огромные потери в живой силе. По неполным данным, только за первые два дня наступления нашими частями захвачено и уничтожено 114 немецких танков, 376 орудий разных калибров, более 200 миномётов и несколько сот пулемётов. Взято большое число пленных.</w:t>
      </w:r>
    </w:p>
    <w:p w14:paraId="4489688F"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развивая стремительное наступление, овладели столицей Польши — городом Варшава. Немцы в течение длительного времени укрепляли и совершенствовали свою оборону на левом берегу Вислы. Варшава являлась важнейшим стратегическим узлом этой обороны противника. Наши войска, стремительно обходя Варшаву с запада, ворвались в город Жирардув, расположенный на железнодорожной магистрали Варшава—Ченстохова, и после короткого боя овладели им. Одновременно наши войска очистили междуречье Западного Буга и Вислы, переправились через Вислу и заняли плацдарм на её левом берегу. Сегодня советские войска совместно с частями 1-й Польской армии с разных сторон ворвались на улицы Варшавы. В результате комбинированного удара с севера, запада и юга польская столица освобождена от немецких захватчиков.</w:t>
      </w:r>
    </w:p>
    <w:p w14:paraId="667D14F5" w14:textId="77777777" w:rsidR="006F0F05" w:rsidRPr="00925F26" w:rsidRDefault="006F0F05" w:rsidP="00925F26">
      <w:pPr>
        <w:jc w:val="both"/>
        <w:rPr>
          <w:color w:val="000000" w:themeColor="text1"/>
          <w:sz w:val="16"/>
          <w:szCs w:val="16"/>
        </w:rPr>
      </w:pPr>
      <w:r w:rsidRPr="00925F26">
        <w:rPr>
          <w:color w:val="000000" w:themeColor="text1"/>
          <w:sz w:val="16"/>
          <w:szCs w:val="16"/>
        </w:rPr>
        <w:lastRenderedPageBreak/>
        <w:t>Продолжая наступление, войска фронта с боями продвигались вперёд. Советские подвижные части прорываются в тылы противника, подавляют узлы сопротивления, громят его коммуникации и подходящие резервы. В течение дня наши части заняли ряд городов и более 800 населённых пунктов. В ходе боёв противник несёт исключительно тяжёлые потери. В одном районе бойцы Н-ского соединения наголову разбили 73-ю немецкую пехотную дивизию. На поле боя в районе действий этой дивизии подсчитано более двух тысяч трупов немецких солдат и офицеров. Остатки 73-й немецкой дивизии, численностью в 600 человек, взяты в плен. По предварительным данным, наши войска за день захватили у немцев 25 танков, 122 орудия, 211 миномётов, 378 пулеметов и другие трофеи.</w:t>
      </w:r>
    </w:p>
    <w:p w14:paraId="6799E121"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Украинского фронта развивали успешное наступление. Наши части, форсировавшие вчера реку Пилица, стремительно продвигались вперёд. Немцы отчаянно сопротивлялись, пытаясь приостановить наступление советских войск и закрепиться на заранее подготовленном рубеже. Наши войска опрокинули противника и, преследуя его, с хода заняли город Радомско. Форсировав с боями реку Варта, южнее Радомско, советские танкисты и пехотинцы устремились к городу Ченстохова. С востока путь к городу преграждал сильный оборонительный рубеж. В 12 километрах восточнее Ченстохова немцы построили противотанковые препятствия, отрыли большой противотанковый ров. Совершив смелый манёвр, наши части обошли город с севера и ворвались на его окраины. Противник был застигнут врасплох, так как он меньше всего ожидал удара с северной стороны. В результате ожесточённых боёв наши войска овладели городом Ченстохова. Этот город является крупным промышленным центром в Юго-Западной Польше и важным узлом железных дорог. Нашими войсками в Ченстохове захвачены большие трофеи, в том числе военные склады.</w:t>
      </w:r>
    </w:p>
    <w:p w14:paraId="155E9EEF" w14:textId="77777777" w:rsidR="006F0F05" w:rsidRPr="00925F26" w:rsidRDefault="006F0F05" w:rsidP="00925F26">
      <w:pPr>
        <w:jc w:val="both"/>
        <w:rPr>
          <w:color w:val="000000" w:themeColor="text1"/>
          <w:sz w:val="16"/>
          <w:szCs w:val="16"/>
        </w:rPr>
      </w:pPr>
      <w:r w:rsidRPr="00925F26">
        <w:rPr>
          <w:color w:val="000000" w:themeColor="text1"/>
          <w:sz w:val="16"/>
          <w:szCs w:val="16"/>
        </w:rPr>
        <w:t>Авиацией Краснознаменного Балтийского флота в южной части Балтийского моря потоплены два немецких транспорта общим водоизмещением в 7 тысяч тонн.» (15012).</w:t>
      </w:r>
    </w:p>
    <w:p w14:paraId="6A03F889" w14:textId="77777777" w:rsidR="006F0F05" w:rsidRPr="00925F26" w:rsidRDefault="006F0F05" w:rsidP="00925F26">
      <w:pPr>
        <w:jc w:val="both"/>
        <w:rPr>
          <w:color w:val="000000" w:themeColor="text1"/>
          <w:sz w:val="16"/>
          <w:szCs w:val="16"/>
        </w:rPr>
      </w:pPr>
    </w:p>
    <w:p w14:paraId="35628513" w14:textId="77777777" w:rsidR="00670896" w:rsidRPr="00925F26" w:rsidRDefault="00670896" w:rsidP="00925F26">
      <w:pPr>
        <w:jc w:val="both"/>
        <w:rPr>
          <w:color w:val="000000" w:themeColor="text1"/>
          <w:sz w:val="16"/>
          <w:szCs w:val="16"/>
        </w:rPr>
      </w:pPr>
      <w:r w:rsidRPr="00925F26">
        <w:rPr>
          <w:color w:val="000000" w:themeColor="text1"/>
          <w:sz w:val="16"/>
          <w:szCs w:val="16"/>
        </w:rPr>
        <w:t>17 января 1945 года в районе Гжмионца, отражая немецкую контратаку, батарея 399-го ГвТСАП под командованием гвардии старшего лейтенанта Е.П. Дудника уничтожила 3 танка и 2 бронетранспортёра. Эффективно показал в себя в боях и 364-й ГвТСАП, переформированный из 74-го ГвТТП — особенно полк отличился в боях марта-апреля 1945 года. Наиболее отличившимся оказался гвардии лейтенант В.В. Богатырёв — за период с 18 марта по 3 апреля 1945 года его САУ уничтожила 2 танка и 3 самоходки. Богатырёв погиб в бою 3 апреля 1945 года и был посмертно удостоен звания Героя Советского Союза.</w:t>
      </w:r>
    </w:p>
    <w:p w14:paraId="1F97F38F" w14:textId="43C4570B" w:rsidR="00670896" w:rsidRPr="00925F26" w:rsidRDefault="00670896" w:rsidP="00925F26">
      <w:pPr>
        <w:jc w:val="both"/>
        <w:rPr>
          <w:color w:val="000000" w:themeColor="text1"/>
          <w:sz w:val="16"/>
          <w:szCs w:val="16"/>
        </w:rPr>
      </w:pPr>
      <w:r w:rsidRPr="00925F26">
        <w:rPr>
          <w:color w:val="000000" w:themeColor="text1"/>
          <w:sz w:val="16"/>
          <w:szCs w:val="16"/>
        </w:rPr>
        <w:t>Отсутствие большого количества самоходчиков-асов в случае с ИСУ-122 ничего не означает. Задачей этих машин являлось взаимодействие со стрелковыми и танковыми частями. С точки зрения боевой эффективности наиболее близким аналогом ИСУ-122 являлся немецкий истребитель танков</w:t>
      </w:r>
      <w:r w:rsidR="00997EDF" w:rsidRPr="00925F26">
        <w:rPr>
          <w:color w:val="000000" w:themeColor="text1"/>
          <w:sz w:val="16"/>
          <w:szCs w:val="16"/>
        </w:rPr>
        <w:t xml:space="preserve">  </w:t>
      </w:r>
      <w:hyperlink r:id="rId14" w:history="1">
        <w:r w:rsidRPr="00925F26">
          <w:rPr>
            <w:rStyle w:val="a5"/>
            <w:color w:val="000000" w:themeColor="text1"/>
            <w:sz w:val="16"/>
            <w:szCs w:val="16"/>
          </w:rPr>
          <w:t>«Ягдпантера»</w:t>
        </w:r>
      </w:hyperlink>
      <w:r w:rsidRPr="00925F26">
        <w:rPr>
          <w:color w:val="000000" w:themeColor="text1"/>
          <w:sz w:val="16"/>
          <w:szCs w:val="16"/>
        </w:rPr>
        <w:t>. Немецкая машина оказалась лучше защищена, обладала вдвое бо́льшим боекомплектом и оборонительным вооружением в виде курсового пулемёта, но при этом уступала по вооружению, а главное, по массовости выпуска. За 1944-1945 годы «Ягдпантер» сдали всего 413 штук, из них 226 — за 1944 год. В результате увидеть «Ягдпантеру» в бою можно было не столь и часто, а ИСУ-122 и ИСУ-122с ближе к концу 1944 года сражались практически на всех фронтах.</w:t>
      </w:r>
    </w:p>
    <w:p w14:paraId="23677DA2" w14:textId="77777777" w:rsidR="00670896" w:rsidRPr="00925F26" w:rsidRDefault="00670896" w:rsidP="00925F26">
      <w:pPr>
        <w:jc w:val="both"/>
        <w:rPr>
          <w:color w:val="000000" w:themeColor="text1"/>
          <w:sz w:val="16"/>
          <w:szCs w:val="16"/>
        </w:rPr>
      </w:pPr>
      <w:r w:rsidRPr="00925F26">
        <w:rPr>
          <w:color w:val="000000" w:themeColor="text1"/>
          <w:sz w:val="16"/>
          <w:szCs w:val="16"/>
        </w:rPr>
        <w:t>Ещё одной причиной, почему ИСУ-122 оказалась в тени ИСУ-152, является продолжительность карьеры. Дело в том, что эти машины прослужили в исходном облике не так уж и долго. Как ни странно, препятствием долгой карьере стало орудие. К середине 50-х годов А-19 и Д-25с выглядели устаревшими, поэтому ИСУ-122 стали либо списывать, либо переделывать в различные спецмашины. В таком виде немало их сохранилось до наших дней, более того, они даже умудрились таким образом повоевать. Кроме того, ИСУ-122 успели попасть на вооружение нескольких стран. Эти машины можно было увидеть в польской армии (к слову, единственная дожившая до наших дней ИСУ-122с находится как раз в Польше), поставлялись они и в Китай (18335).</w:t>
      </w:r>
    </w:p>
    <w:p w14:paraId="544B6AAB" w14:textId="77777777" w:rsidR="00670896" w:rsidRPr="00925F26" w:rsidRDefault="00670896" w:rsidP="00925F26">
      <w:pPr>
        <w:jc w:val="both"/>
        <w:rPr>
          <w:color w:val="000000" w:themeColor="text1"/>
          <w:sz w:val="16"/>
          <w:szCs w:val="16"/>
        </w:rPr>
      </w:pPr>
    </w:p>
    <w:p w14:paraId="6C48128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января 1945 советские</w:t>
      </w:r>
      <w:r w:rsidR="00670896" w:rsidRPr="00925F26">
        <w:rPr>
          <w:color w:val="000000" w:themeColor="text1"/>
          <w:sz w:val="16"/>
          <w:szCs w:val="16"/>
        </w:rPr>
        <w:t xml:space="preserve"> </w:t>
      </w:r>
      <w:r w:rsidRPr="00925F26">
        <w:rPr>
          <w:color w:val="000000" w:themeColor="text1"/>
          <w:sz w:val="16"/>
          <w:szCs w:val="16"/>
        </w:rPr>
        <w:t>войска</w:t>
      </w:r>
      <w:r w:rsidR="00670896" w:rsidRPr="00925F26">
        <w:rPr>
          <w:color w:val="000000" w:themeColor="text1"/>
          <w:sz w:val="16"/>
          <w:szCs w:val="16"/>
        </w:rPr>
        <w:t xml:space="preserve"> </w:t>
      </w:r>
      <w:r w:rsidRPr="00925F26">
        <w:rPr>
          <w:color w:val="000000" w:themeColor="text1"/>
          <w:sz w:val="16"/>
          <w:szCs w:val="16"/>
        </w:rPr>
        <w:t>взяли</w:t>
      </w:r>
      <w:r w:rsidR="00670896" w:rsidRPr="00925F26">
        <w:rPr>
          <w:color w:val="000000" w:themeColor="text1"/>
          <w:sz w:val="16"/>
          <w:szCs w:val="16"/>
        </w:rPr>
        <w:t xml:space="preserve"> </w:t>
      </w:r>
      <w:r w:rsidRPr="00925F26">
        <w:rPr>
          <w:color w:val="000000" w:themeColor="text1"/>
          <w:sz w:val="16"/>
          <w:szCs w:val="16"/>
        </w:rPr>
        <w:t>Варшаву (4962).</w:t>
      </w:r>
    </w:p>
    <w:p w14:paraId="23FB171D"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2B2802F" w14:textId="77777777" w:rsidR="003C7C9A" w:rsidRPr="00925F26" w:rsidRDefault="003C7C9A"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17 January 1945 Warsaw falls to the Red Army (270).</w:t>
      </w:r>
    </w:p>
    <w:p w14:paraId="44EC844F" w14:textId="77777777" w:rsidR="003C7C9A" w:rsidRPr="00925F26" w:rsidRDefault="003C7C9A" w:rsidP="00925F26">
      <w:pPr>
        <w:autoSpaceDE w:val="0"/>
        <w:autoSpaceDN w:val="0"/>
        <w:adjustRightInd w:val="0"/>
        <w:jc w:val="both"/>
        <w:rPr>
          <w:color w:val="000000" w:themeColor="text1"/>
          <w:sz w:val="16"/>
          <w:szCs w:val="16"/>
          <w:lang w:val="en-US"/>
        </w:rPr>
      </w:pPr>
    </w:p>
    <w:p w14:paraId="409CA0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января 1945 СА освободила Варшаву (270).</w:t>
      </w:r>
    </w:p>
    <w:p w14:paraId="53CB9A87" w14:textId="77777777" w:rsidR="00C2313B" w:rsidRPr="00925F26" w:rsidRDefault="00C2313B" w:rsidP="00925F26">
      <w:pPr>
        <w:autoSpaceDE w:val="0"/>
        <w:autoSpaceDN w:val="0"/>
        <w:adjustRightInd w:val="0"/>
        <w:jc w:val="both"/>
        <w:rPr>
          <w:color w:val="000000" w:themeColor="text1"/>
          <w:sz w:val="16"/>
          <w:szCs w:val="16"/>
        </w:rPr>
      </w:pPr>
    </w:p>
    <w:p w14:paraId="44F41CE9" w14:textId="77777777" w:rsidR="006F0F05" w:rsidRPr="00925F26" w:rsidRDefault="006F0F05" w:rsidP="00925F26">
      <w:pPr>
        <w:jc w:val="both"/>
        <w:rPr>
          <w:color w:val="000000" w:themeColor="text1"/>
          <w:sz w:val="16"/>
          <w:szCs w:val="16"/>
        </w:rPr>
      </w:pPr>
      <w:r w:rsidRPr="00925F26">
        <w:rPr>
          <w:bCs/>
          <w:color w:val="000000" w:themeColor="text1"/>
          <w:sz w:val="16"/>
          <w:szCs w:val="16"/>
        </w:rPr>
        <w:t>17 января</w:t>
      </w:r>
      <w:r w:rsidRPr="00925F26">
        <w:rPr>
          <w:color w:val="000000" w:themeColor="text1"/>
          <w:sz w:val="16"/>
          <w:szCs w:val="16"/>
        </w:rPr>
        <w:t xml:space="preserve"> в 1945 году в ходе проведения Висло-Одерской стратегической наступательной операции войска 1-го Белорусского фронта (Маршал Советского Союза Г.К.Жуков) (47-я, 61-я, 2-я гвардейская танковая армии) и 1-й армии Войска Польского освободили город Варшаву (15012).</w:t>
      </w:r>
    </w:p>
    <w:p w14:paraId="6405F7C0" w14:textId="77777777" w:rsidR="006F0F05" w:rsidRPr="00925F26" w:rsidRDefault="006F0F05" w:rsidP="00925F26">
      <w:pPr>
        <w:jc w:val="both"/>
        <w:rPr>
          <w:color w:val="000000" w:themeColor="text1"/>
          <w:sz w:val="16"/>
          <w:szCs w:val="16"/>
        </w:rPr>
      </w:pPr>
    </w:p>
    <w:p w14:paraId="53FE6A2C" w14:textId="77777777" w:rsidR="00EC624D" w:rsidRPr="00925F26" w:rsidRDefault="00EC624D" w:rsidP="00925F26">
      <w:pPr>
        <w:jc w:val="both"/>
        <w:rPr>
          <w:color w:val="000000" w:themeColor="text1"/>
          <w:sz w:val="16"/>
          <w:szCs w:val="16"/>
        </w:rPr>
      </w:pPr>
      <w:r w:rsidRPr="00925F26">
        <w:rPr>
          <w:color w:val="000000" w:themeColor="text1"/>
          <w:sz w:val="16"/>
          <w:szCs w:val="16"/>
        </w:rPr>
        <w:t>17 января 1945 г. войсками 1-й армии Войска Польского освобождена Варшава, следом вошли войска маршала Жукова. Город стоял в руинах, населения практически не было (17459).</w:t>
      </w:r>
    </w:p>
    <w:p w14:paraId="623C09A0" w14:textId="77777777" w:rsidR="00EC624D" w:rsidRPr="00925F26" w:rsidRDefault="00EC624D" w:rsidP="00925F26">
      <w:pPr>
        <w:jc w:val="both"/>
        <w:rPr>
          <w:color w:val="000000" w:themeColor="text1"/>
          <w:sz w:val="16"/>
          <w:szCs w:val="16"/>
        </w:rPr>
      </w:pPr>
    </w:p>
    <w:p w14:paraId="344A31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января 1945 СА освободила Краков (3186).</w:t>
      </w:r>
    </w:p>
    <w:p w14:paraId="1D6122BA" w14:textId="77777777" w:rsidR="00C2313B" w:rsidRPr="00925F26" w:rsidRDefault="00C2313B" w:rsidP="00925F26">
      <w:pPr>
        <w:autoSpaceDE w:val="0"/>
        <w:autoSpaceDN w:val="0"/>
        <w:adjustRightInd w:val="0"/>
        <w:jc w:val="both"/>
        <w:rPr>
          <w:color w:val="000000" w:themeColor="text1"/>
          <w:sz w:val="16"/>
          <w:szCs w:val="16"/>
        </w:rPr>
      </w:pPr>
    </w:p>
    <w:p w14:paraId="327E01BA" w14:textId="77777777" w:rsidR="00BD0937" w:rsidRPr="00925F26" w:rsidRDefault="00BD0937"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г. рано утром в Краковском Ягелонском замке, древней резиденции польских королей, где немцы устроили огромный склад боеприпасов, советские разведчики устроили диверсию. П</w:t>
      </w:r>
      <w:r w:rsidRPr="00925F26">
        <w:rPr>
          <w:bCs/>
          <w:color w:val="000000" w:themeColor="text1"/>
          <w:sz w:val="16"/>
          <w:szCs w:val="16"/>
        </w:rPr>
        <w:t>ольский коммунист под видом грузчика внес в замок мину и вложил ее в штабеля со снарядами.</w:t>
      </w:r>
      <w:r w:rsidRPr="00925F26">
        <w:rPr>
          <w:color w:val="000000" w:themeColor="text1"/>
          <w:sz w:val="16"/>
          <w:szCs w:val="16"/>
        </w:rPr>
        <w:t xml:space="preserve"> Прогремел взрыв, но Краков был спасен. 19 января в Краков вошли советские войска (17459).</w:t>
      </w:r>
    </w:p>
    <w:p w14:paraId="27151357" w14:textId="77777777" w:rsidR="00BD0937" w:rsidRPr="00925F26" w:rsidRDefault="00BD0937" w:rsidP="00925F26">
      <w:pPr>
        <w:autoSpaceDE w:val="0"/>
        <w:autoSpaceDN w:val="0"/>
        <w:adjustRightInd w:val="0"/>
        <w:jc w:val="both"/>
        <w:rPr>
          <w:color w:val="000000" w:themeColor="text1"/>
          <w:sz w:val="16"/>
          <w:szCs w:val="16"/>
        </w:rPr>
      </w:pPr>
    </w:p>
    <w:p w14:paraId="6E93B11E"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17, 1945: The Red Army captures Czenstochova, while German forces evacuate Warsaw. The German defenders of encircled Budapest withdraw to Buda on the western bank of the Danube (3819).</w:t>
      </w:r>
    </w:p>
    <w:p w14:paraId="32FEB4CD" w14:textId="77777777" w:rsidR="00C2313B" w:rsidRPr="00925F26" w:rsidRDefault="00C2313B" w:rsidP="00925F26">
      <w:pPr>
        <w:autoSpaceDE w:val="0"/>
        <w:autoSpaceDN w:val="0"/>
        <w:adjustRightInd w:val="0"/>
        <w:jc w:val="both"/>
        <w:rPr>
          <w:color w:val="000000" w:themeColor="text1"/>
          <w:sz w:val="16"/>
          <w:szCs w:val="16"/>
          <w:lang w:val="en-US"/>
        </w:rPr>
      </w:pPr>
    </w:p>
    <w:p w14:paraId="706ADB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января 1945 КА освободила Ченстохову, а немецкая армия оставила Варшаву. Немецкие части, оборонявшие Будапешт, отошли в Буду на западном берегу Дуная (3819).</w:t>
      </w:r>
    </w:p>
    <w:p w14:paraId="4E6D5B4B" w14:textId="77777777" w:rsidR="00C2313B" w:rsidRPr="00925F26" w:rsidRDefault="00C2313B" w:rsidP="00925F26">
      <w:pPr>
        <w:autoSpaceDE w:val="0"/>
        <w:autoSpaceDN w:val="0"/>
        <w:adjustRightInd w:val="0"/>
        <w:jc w:val="both"/>
        <w:rPr>
          <w:color w:val="000000" w:themeColor="text1"/>
          <w:sz w:val="16"/>
          <w:szCs w:val="16"/>
        </w:rPr>
      </w:pPr>
    </w:p>
    <w:p w14:paraId="54541932" w14:textId="77777777" w:rsidR="00EC624D" w:rsidRPr="00925F26" w:rsidRDefault="00EC624D" w:rsidP="00925F26">
      <w:pPr>
        <w:autoSpaceDE w:val="0"/>
        <w:autoSpaceDN w:val="0"/>
        <w:adjustRightInd w:val="0"/>
        <w:jc w:val="both"/>
        <w:rPr>
          <w:color w:val="000000" w:themeColor="text1"/>
          <w:sz w:val="16"/>
          <w:szCs w:val="16"/>
        </w:rPr>
      </w:pPr>
      <w:r w:rsidRPr="00925F26">
        <w:rPr>
          <w:color w:val="000000" w:themeColor="text1"/>
          <w:sz w:val="16"/>
          <w:szCs w:val="16"/>
        </w:rPr>
        <w:t>17 января</w:t>
      </w:r>
      <w:r w:rsidRPr="00925F26">
        <w:rPr>
          <w:bCs/>
          <w:color w:val="000000" w:themeColor="text1"/>
          <w:sz w:val="16"/>
          <w:szCs w:val="16"/>
        </w:rPr>
        <w:t xml:space="preserve"> 1945 на Пештской стороне началось решающее сражение. В 19 часов 35 минут Пфеффер-Вильденбрух все-таки получил разрешение покинуть восточную часть венгерской столицы (собственно Пешт). Речь велась уже о том, чтобы слить немецкие части, которые располагались в Буде и Пеште. При этом было чудом, что немцы в течение одного дня смогли перекинуть бронированную технику по почти разрушенным мостам в Буду. В тот же день немцами был взорван Эржебетский мост. Они опасались, что он попадет в руки советских солдат (17459).</w:t>
      </w:r>
    </w:p>
    <w:p w14:paraId="395781E9" w14:textId="77777777" w:rsidR="00EC624D" w:rsidRPr="00925F26" w:rsidRDefault="00EC624D" w:rsidP="00925F26">
      <w:pPr>
        <w:autoSpaceDE w:val="0"/>
        <w:autoSpaceDN w:val="0"/>
        <w:adjustRightInd w:val="0"/>
        <w:jc w:val="both"/>
        <w:rPr>
          <w:color w:val="000000" w:themeColor="text1"/>
          <w:sz w:val="16"/>
          <w:szCs w:val="16"/>
        </w:rPr>
      </w:pPr>
    </w:p>
    <w:p w14:paraId="6D1F8C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января 1945 мл-л А.Колядка, у которого в воздухе загорелся мотор, направил Ил-2 в скопление живой силы и техники (455,162).</w:t>
      </w:r>
    </w:p>
    <w:p w14:paraId="6E6F4727" w14:textId="77777777" w:rsidR="00C2313B" w:rsidRPr="00925F26" w:rsidRDefault="00C2313B" w:rsidP="00925F26">
      <w:pPr>
        <w:autoSpaceDE w:val="0"/>
        <w:autoSpaceDN w:val="0"/>
        <w:adjustRightInd w:val="0"/>
        <w:jc w:val="both"/>
        <w:rPr>
          <w:color w:val="000000" w:themeColor="text1"/>
          <w:sz w:val="16"/>
          <w:szCs w:val="16"/>
        </w:rPr>
      </w:pPr>
    </w:p>
    <w:p w14:paraId="3E098D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января 1945 на аэродроме Допинен совершил посадку чудовищно искалеченный Як-3 коман</w:t>
      </w:r>
      <w:r w:rsidRPr="00925F26">
        <w:rPr>
          <w:color w:val="000000" w:themeColor="text1"/>
          <w:sz w:val="16"/>
          <w:szCs w:val="16"/>
        </w:rPr>
        <w:softHyphen/>
        <w:t>дира эскадрильи капитана Рене Шарля. Шестой лично сбитый “фоккера” до</w:t>
      </w:r>
      <w:r w:rsidRPr="00925F26">
        <w:rPr>
          <w:color w:val="000000" w:themeColor="text1"/>
          <w:sz w:val="16"/>
          <w:szCs w:val="16"/>
        </w:rPr>
        <w:softHyphen/>
        <w:t>рого обошелся Шаллю: в его машину попало не менее четырех пушечных снарядов. Вся прозрачная часть фона</w:t>
      </w:r>
      <w:r w:rsidRPr="00925F26">
        <w:rPr>
          <w:color w:val="000000" w:themeColor="text1"/>
          <w:sz w:val="16"/>
          <w:szCs w:val="16"/>
        </w:rPr>
        <w:softHyphen/>
        <w:t>ря, включая козырек, была снесена. В районе кабины в борту фюзеляжа зи</w:t>
      </w:r>
      <w:r w:rsidRPr="00925F26">
        <w:rPr>
          <w:color w:val="000000" w:themeColor="text1"/>
          <w:sz w:val="16"/>
          <w:szCs w:val="16"/>
        </w:rPr>
        <w:softHyphen/>
        <w:t>яла огромная пробоина, в которую мог протиснуться человек, еще две при</w:t>
      </w:r>
      <w:r w:rsidRPr="00925F26">
        <w:rPr>
          <w:color w:val="000000" w:themeColor="text1"/>
          <w:sz w:val="16"/>
          <w:szCs w:val="16"/>
        </w:rPr>
        <w:softHyphen/>
        <w:t>мерно такие же дыры “просвечивали” в крыле. Тяжело раненый пилот чудом привел и посадил машину, которая, ка</w:t>
      </w:r>
      <w:r w:rsidRPr="00925F26">
        <w:rPr>
          <w:color w:val="000000" w:themeColor="text1"/>
          <w:sz w:val="16"/>
          <w:szCs w:val="16"/>
        </w:rPr>
        <w:softHyphen/>
        <w:t>залось, не подлежала восстановлению. Но три советских механика из ПАРМ-1 (старшина Юзефович, старшие сер</w:t>
      </w:r>
      <w:r w:rsidRPr="00925F26">
        <w:rPr>
          <w:color w:val="000000" w:themeColor="text1"/>
          <w:sz w:val="16"/>
          <w:szCs w:val="16"/>
        </w:rPr>
        <w:softHyphen/>
        <w:t>жанты Смирнов и Муравьев) в течение суток полностью починили избитый “Як”. В полевых условиях заварили фермы и рамы фюзеляжа, восстанови</w:t>
      </w:r>
      <w:r w:rsidRPr="00925F26">
        <w:rPr>
          <w:color w:val="000000" w:themeColor="text1"/>
          <w:sz w:val="16"/>
          <w:szCs w:val="16"/>
        </w:rPr>
        <w:softHyphen/>
        <w:t>ли фонарь кабины и залатали крыло (при этом пришлось полностью заме</w:t>
      </w:r>
      <w:r w:rsidRPr="00925F26">
        <w:rPr>
          <w:color w:val="000000" w:themeColor="text1"/>
          <w:sz w:val="16"/>
          <w:szCs w:val="16"/>
        </w:rPr>
        <w:softHyphen/>
        <w:t>нить несколько нервюр). Инженер пол</w:t>
      </w:r>
      <w:r w:rsidRPr="00925F26">
        <w:rPr>
          <w:color w:val="000000" w:themeColor="text1"/>
          <w:sz w:val="16"/>
          <w:szCs w:val="16"/>
        </w:rPr>
        <w:softHyphen/>
        <w:t>ка капитан Агавельян только руками развел от удивления (3956).</w:t>
      </w:r>
    </w:p>
    <w:p w14:paraId="0F7A6B8B" w14:textId="77777777" w:rsidR="00C2313B" w:rsidRPr="00925F26" w:rsidRDefault="00C2313B" w:rsidP="00925F26">
      <w:pPr>
        <w:autoSpaceDE w:val="0"/>
        <w:autoSpaceDN w:val="0"/>
        <w:adjustRightInd w:val="0"/>
        <w:jc w:val="both"/>
        <w:rPr>
          <w:color w:val="000000" w:themeColor="text1"/>
          <w:sz w:val="16"/>
          <w:szCs w:val="16"/>
        </w:rPr>
      </w:pPr>
    </w:p>
    <w:p w14:paraId="667C65B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D565254" w14:textId="77777777" w:rsidR="00C2313B" w:rsidRPr="00925F26" w:rsidRDefault="00C2313B" w:rsidP="00925F26">
      <w:pPr>
        <w:autoSpaceDE w:val="0"/>
        <w:autoSpaceDN w:val="0"/>
        <w:adjustRightInd w:val="0"/>
        <w:jc w:val="both"/>
        <w:rPr>
          <w:iCs/>
          <w:color w:val="000000" w:themeColor="text1"/>
          <w:sz w:val="16"/>
          <w:szCs w:val="16"/>
        </w:rPr>
      </w:pPr>
    </w:p>
    <w:p w14:paraId="03A1333E" w14:textId="77777777" w:rsidR="006F0F05" w:rsidRPr="00925F26" w:rsidRDefault="006F0F05" w:rsidP="00925F26">
      <w:pPr>
        <w:jc w:val="both"/>
        <w:rPr>
          <w:bCs/>
          <w:color w:val="000000" w:themeColor="text1"/>
          <w:sz w:val="16"/>
          <w:szCs w:val="16"/>
        </w:rPr>
      </w:pPr>
      <w:r w:rsidRPr="00925F26">
        <w:rPr>
          <w:bCs/>
          <w:color w:val="000000" w:themeColor="text1"/>
          <w:sz w:val="16"/>
          <w:szCs w:val="16"/>
        </w:rPr>
        <w:t>17 января</w:t>
      </w:r>
      <w:r w:rsidRPr="00925F26">
        <w:rPr>
          <w:color w:val="000000" w:themeColor="text1"/>
          <w:sz w:val="16"/>
          <w:szCs w:val="16"/>
        </w:rPr>
        <w:t xml:space="preserve"> в 1945 году отдан приказ об остановке дальнейших исследований по разработке и созданию управляемой зенитной ракеты «Enzian» (растение горечавка). Работой руководил доктор Вурстер (Wurster). Работы по ее созданию развернулись в 1943 году в Аугсбурге. После нескольких бомбежек исследовательских лабораторий КБ было переведено в Зонтхофен, а затем включено в штат фирмы «Messerschmitt» в Обераммергау.</w:t>
      </w:r>
    </w:p>
    <w:p w14:paraId="5A377304" w14:textId="77777777" w:rsidR="006F0F05" w:rsidRPr="00925F26" w:rsidRDefault="006F0F05" w:rsidP="00925F26">
      <w:pPr>
        <w:jc w:val="both"/>
        <w:rPr>
          <w:color w:val="000000" w:themeColor="text1"/>
          <w:sz w:val="16"/>
          <w:szCs w:val="16"/>
        </w:rPr>
      </w:pPr>
      <w:r w:rsidRPr="00925F26">
        <w:rPr>
          <w:color w:val="000000" w:themeColor="text1"/>
          <w:sz w:val="16"/>
          <w:szCs w:val="16"/>
        </w:rPr>
        <w:t>В ходе работ над проектом Вурстер основывался на конструкции ракетного истребителя-перехватчика «Me-163», лишенного хвостового оперения. Поэтому объект «Энциан», вначале обозначавшийся индексом FR — Flakrakete (зенитная ракета) по внешнему виду более напоминал самолет, чем управляемый снаряд (эта схема вообще относилась к наиболее широко распространенным в Германии). В действительности последние продолжались вплоть до марта, когда была предпринята последняя неудачная попытка пересмотреть январское распоряжение. По этой причине ракета «Энциан» пополнила длинный перечень незавершенных германских проектов «чудо-оружия» (15012).</w:t>
      </w:r>
    </w:p>
    <w:p w14:paraId="1C4441B6" w14:textId="77777777" w:rsidR="006F0F05" w:rsidRPr="00925F26" w:rsidRDefault="006F0F05" w:rsidP="00925F26">
      <w:pPr>
        <w:jc w:val="both"/>
        <w:rPr>
          <w:color w:val="000000" w:themeColor="text1"/>
          <w:sz w:val="16"/>
          <w:szCs w:val="16"/>
        </w:rPr>
      </w:pPr>
    </w:p>
    <w:p w14:paraId="56D564C4" w14:textId="77777777" w:rsidR="00FF3904" w:rsidRPr="00925F26" w:rsidRDefault="00FF3904" w:rsidP="00925F26">
      <w:pPr>
        <w:jc w:val="both"/>
        <w:rPr>
          <w:color w:val="000000" w:themeColor="text1"/>
          <w:sz w:val="16"/>
          <w:szCs w:val="16"/>
        </w:rPr>
      </w:pPr>
      <w:r w:rsidRPr="00925F26">
        <w:rPr>
          <w:color w:val="000000" w:themeColor="text1"/>
          <w:sz w:val="16"/>
          <w:szCs w:val="16"/>
        </w:rPr>
        <w:t>17 января 1945 г. был заключен контракт с фирмой Конвер на три ХВ-46 по схеме «оплата издержек плюс твердая прибыль». В феврале ма</w:t>
      </w:r>
      <w:r w:rsidRPr="00925F26">
        <w:rPr>
          <w:color w:val="000000" w:themeColor="text1"/>
          <w:sz w:val="16"/>
          <w:szCs w:val="16"/>
        </w:rPr>
        <w:softHyphen/>
        <w:t>кет самолета утвердили, но 27 февраля из договора был изъят пункт о прибыли, а в августе заказ и вовсе был аннулирован в связи с принятием решения о запуске в серию бомбардировщи</w:t>
      </w:r>
      <w:r w:rsidRPr="00925F26">
        <w:rPr>
          <w:color w:val="000000" w:themeColor="text1"/>
          <w:sz w:val="16"/>
          <w:szCs w:val="16"/>
        </w:rPr>
        <w:softHyphen/>
        <w:t>ка В-45А. После года переговоров деньги на один ХВ-46 все же дали, остальные перечислили на реактивный штурмовик ХА-44, а ХВ-46 должен был стать летающей лабораторией для отработ</w:t>
      </w:r>
      <w:r w:rsidRPr="00925F26">
        <w:rPr>
          <w:color w:val="000000" w:themeColor="text1"/>
          <w:sz w:val="16"/>
          <w:szCs w:val="16"/>
        </w:rPr>
        <w:softHyphen/>
        <w:t>ки его вооружения и систем. Но в декабре 1946 г. контракт снова аннулировали.</w:t>
      </w:r>
    </w:p>
    <w:p w14:paraId="53878D7E" w14:textId="77777777" w:rsidR="00FF3904" w:rsidRPr="00925F26" w:rsidRDefault="00FF3904" w:rsidP="00925F26">
      <w:pPr>
        <w:jc w:val="both"/>
        <w:rPr>
          <w:color w:val="000000" w:themeColor="text1"/>
          <w:sz w:val="16"/>
          <w:szCs w:val="16"/>
        </w:rPr>
      </w:pPr>
      <w:r w:rsidRPr="00925F26">
        <w:rPr>
          <w:color w:val="000000" w:themeColor="text1"/>
          <w:sz w:val="16"/>
          <w:szCs w:val="16"/>
        </w:rPr>
        <w:lastRenderedPageBreak/>
        <w:t>Изюминкой проекта «Конвер-109», или ХВ-46, было крыло большого удлинения, 9/10 задней кромки которого занимали за</w:t>
      </w:r>
      <w:r w:rsidRPr="00925F26">
        <w:rPr>
          <w:color w:val="000000" w:themeColor="text1"/>
          <w:sz w:val="16"/>
          <w:szCs w:val="16"/>
        </w:rPr>
        <w:softHyphen/>
        <w:t>крылки и лишь 5% - элероны, демпфировавшие колебания по крену. Управление в этом канале обеспечивали интерцепторы: пять пар литых магниевых перфорированных секций занимали 18% размаха. Все рулевые поверхности управлялись пневмати</w:t>
      </w:r>
      <w:r w:rsidRPr="00925F26">
        <w:rPr>
          <w:color w:val="000000" w:themeColor="text1"/>
          <w:sz w:val="16"/>
          <w:szCs w:val="16"/>
        </w:rPr>
        <w:softHyphen/>
        <w:t>ческими силовыми приводами вместо обычных гидравлических (23023).</w:t>
      </w:r>
    </w:p>
    <w:p w14:paraId="124BEFE5" w14:textId="77777777" w:rsidR="00FF3904" w:rsidRPr="00925F26" w:rsidRDefault="00FF3904" w:rsidP="00925F26">
      <w:pPr>
        <w:jc w:val="both"/>
        <w:rPr>
          <w:color w:val="000000" w:themeColor="text1"/>
          <w:sz w:val="16"/>
          <w:szCs w:val="16"/>
        </w:rPr>
      </w:pPr>
    </w:p>
    <w:p w14:paraId="0199B41E"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января 1945 в Венгрии бесследно исчез шведский дипломат Р. Валленберг, спасший от нацистов десятки тысяч евреев (предположительно, он был арестован советскими войсками) (4962).</w:t>
      </w:r>
    </w:p>
    <w:p w14:paraId="009FA3F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760FB25" w14:textId="77777777" w:rsidR="003C7C9A" w:rsidRPr="00925F26" w:rsidRDefault="003C7C9A" w:rsidP="00925F26">
      <w:pPr>
        <w:autoSpaceDE w:val="0"/>
        <w:autoSpaceDN w:val="0"/>
        <w:adjustRightInd w:val="0"/>
        <w:jc w:val="both"/>
        <w:rPr>
          <w:color w:val="000000" w:themeColor="text1"/>
          <w:sz w:val="16"/>
          <w:szCs w:val="16"/>
        </w:rPr>
      </w:pPr>
      <w:r w:rsidRPr="00925F26">
        <w:rPr>
          <w:color w:val="000000" w:themeColor="text1"/>
          <w:sz w:val="16"/>
          <w:szCs w:val="16"/>
        </w:rPr>
        <w:t xml:space="preserve">17 января 1945 года </w:t>
      </w:r>
      <w:r w:rsidRPr="00925F26">
        <w:rPr>
          <w:bCs/>
          <w:color w:val="000000" w:themeColor="text1"/>
          <w:sz w:val="16"/>
          <w:szCs w:val="16"/>
        </w:rPr>
        <w:t>заместитель народного комиссара обороны генерал армии Николай Булганин отдал шифровкой следующее распоряжение командующему Вторым Украинским фронтом: «Обнаруженного в восточной части Будапешта по улице Бенцур Валленберга арестовать и доставить в Москву. Соответствующие указания контрразведке Смерш даны» (17459).</w:t>
      </w:r>
    </w:p>
    <w:p w14:paraId="2E8F67F6" w14:textId="77777777" w:rsidR="003C7C9A" w:rsidRPr="00925F26" w:rsidRDefault="003C7C9A" w:rsidP="00925F26">
      <w:pPr>
        <w:autoSpaceDE w:val="0"/>
        <w:autoSpaceDN w:val="0"/>
        <w:adjustRightInd w:val="0"/>
        <w:jc w:val="both"/>
        <w:rPr>
          <w:color w:val="000000" w:themeColor="text1"/>
          <w:sz w:val="16"/>
          <w:szCs w:val="16"/>
        </w:rPr>
      </w:pPr>
    </w:p>
    <w:p w14:paraId="4E940555" w14:textId="77777777" w:rsidR="006F0F05" w:rsidRPr="00925F26" w:rsidRDefault="006F0F05" w:rsidP="00925F26">
      <w:pPr>
        <w:jc w:val="both"/>
        <w:rPr>
          <w:color w:val="000000" w:themeColor="text1"/>
          <w:sz w:val="16"/>
          <w:szCs w:val="16"/>
        </w:rPr>
      </w:pPr>
      <w:r w:rsidRPr="00925F26">
        <w:rPr>
          <w:bCs/>
          <w:color w:val="000000" w:themeColor="text1"/>
          <w:sz w:val="16"/>
          <w:szCs w:val="16"/>
        </w:rPr>
        <w:t>17 января</w:t>
      </w:r>
      <w:r w:rsidRPr="00925F26">
        <w:rPr>
          <w:color w:val="000000" w:themeColor="text1"/>
          <w:sz w:val="16"/>
          <w:szCs w:val="16"/>
        </w:rPr>
        <w:t xml:space="preserve"> в 1945 году в Будапеште арестован шведский дипломат Рауль Валленберг (15012).</w:t>
      </w:r>
    </w:p>
    <w:p w14:paraId="1F9D5AC2" w14:textId="77777777" w:rsidR="006F0F05" w:rsidRPr="00925F26" w:rsidRDefault="006F0F05" w:rsidP="00925F26">
      <w:pPr>
        <w:jc w:val="both"/>
        <w:rPr>
          <w:color w:val="000000" w:themeColor="text1"/>
          <w:sz w:val="16"/>
          <w:szCs w:val="16"/>
        </w:rPr>
      </w:pPr>
    </w:p>
    <w:p w14:paraId="72AF85E3" w14:textId="77777777" w:rsidR="003C7C9A" w:rsidRPr="00925F26" w:rsidRDefault="003C7C9A" w:rsidP="00925F26">
      <w:pPr>
        <w:autoSpaceDE w:val="0"/>
        <w:autoSpaceDN w:val="0"/>
        <w:adjustRightInd w:val="0"/>
        <w:jc w:val="both"/>
        <w:rPr>
          <w:bCs/>
          <w:color w:val="000000" w:themeColor="text1"/>
          <w:sz w:val="16"/>
          <w:szCs w:val="16"/>
        </w:rPr>
      </w:pPr>
      <w:r w:rsidRPr="00925F26">
        <w:rPr>
          <w:color w:val="000000" w:themeColor="text1"/>
          <w:sz w:val="16"/>
          <w:szCs w:val="16"/>
        </w:rPr>
        <w:t>17 января (1945)</w:t>
      </w:r>
      <w:r w:rsidRPr="00925F26">
        <w:rPr>
          <w:bCs/>
          <w:color w:val="000000" w:themeColor="text1"/>
          <w:sz w:val="16"/>
          <w:szCs w:val="16"/>
        </w:rPr>
        <w:t xml:space="preserve"> Гитлер продиктовал Риббентропу основные положения «мирных предложений» Западу. Через день после некоторых уточнений они были представлены как «меморандум Риббентропа» и одобрены фюрером. Здесь повторялся миф «о советской угрозе» для европейской цивилизации. «Меморандум Риббентропа» был отправлен в германские посольства в Берне, Стокгольме, Дублине, Лиссабоне и Мадриде для передачи британским дипломатам. Через неделю в столицы этих государств были направлены наиболее опытные дипломаты для установления контактов с официальными представителями Великобритании. Но «мирный» зондаж гитлеровской дипломатии провалился (17459).</w:t>
      </w:r>
    </w:p>
    <w:p w14:paraId="52B04542" w14:textId="77777777" w:rsidR="003C7C9A" w:rsidRPr="00925F26" w:rsidRDefault="003C7C9A" w:rsidP="00925F26">
      <w:pPr>
        <w:autoSpaceDE w:val="0"/>
        <w:autoSpaceDN w:val="0"/>
        <w:adjustRightInd w:val="0"/>
        <w:jc w:val="both"/>
        <w:rPr>
          <w:bCs/>
          <w:color w:val="000000" w:themeColor="text1"/>
          <w:sz w:val="16"/>
          <w:szCs w:val="16"/>
        </w:rPr>
      </w:pPr>
    </w:p>
    <w:p w14:paraId="4F5DCF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lang w:val="en-US"/>
        </w:rPr>
        <w:t>Jan</w:t>
      </w:r>
      <w:r w:rsidRPr="00925F26">
        <w:rPr>
          <w:color w:val="000000" w:themeColor="text1"/>
          <w:sz w:val="16"/>
          <w:szCs w:val="16"/>
        </w:rPr>
        <w:t xml:space="preserve"> 17 1945 </w:t>
      </w:r>
      <w:r w:rsidRPr="00925F26">
        <w:rPr>
          <w:color w:val="000000" w:themeColor="text1"/>
          <w:sz w:val="16"/>
          <w:szCs w:val="16"/>
          <w:lang w:val="en-US"/>
        </w:rPr>
        <w:t>GermanswithdrawfromtheArdennes</w:t>
      </w:r>
      <w:r w:rsidRPr="00925F26">
        <w:rPr>
          <w:color w:val="000000" w:themeColor="text1"/>
          <w:sz w:val="16"/>
          <w:szCs w:val="16"/>
        </w:rPr>
        <w:t xml:space="preserve"> (1050).</w:t>
      </w:r>
    </w:p>
    <w:p w14:paraId="5CDF7914" w14:textId="77777777" w:rsidR="00C2313B" w:rsidRPr="00925F26" w:rsidRDefault="00C2313B" w:rsidP="00925F26">
      <w:pPr>
        <w:autoSpaceDE w:val="0"/>
        <w:autoSpaceDN w:val="0"/>
        <w:adjustRightInd w:val="0"/>
        <w:jc w:val="both"/>
        <w:rPr>
          <w:color w:val="000000" w:themeColor="text1"/>
          <w:sz w:val="16"/>
          <w:szCs w:val="16"/>
        </w:rPr>
      </w:pPr>
    </w:p>
    <w:p w14:paraId="0434E3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января 1945 немецкие части были выдворены из Арден (1050).</w:t>
      </w:r>
    </w:p>
    <w:p w14:paraId="7C09CE7D" w14:textId="77777777" w:rsidR="00C2313B" w:rsidRPr="00925F26" w:rsidRDefault="00C2313B" w:rsidP="00925F26">
      <w:pPr>
        <w:autoSpaceDE w:val="0"/>
        <w:autoSpaceDN w:val="0"/>
        <w:adjustRightInd w:val="0"/>
        <w:jc w:val="both"/>
        <w:rPr>
          <w:color w:val="000000" w:themeColor="text1"/>
          <w:sz w:val="16"/>
          <w:szCs w:val="16"/>
        </w:rPr>
      </w:pPr>
    </w:p>
    <w:p w14:paraId="63DC3F3F" w14:textId="77777777" w:rsidR="00FF3904" w:rsidRPr="00925F26" w:rsidRDefault="00FF3904" w:rsidP="00925F26">
      <w:pPr>
        <w:jc w:val="both"/>
        <w:rPr>
          <w:color w:val="000000" w:themeColor="text1"/>
          <w:sz w:val="16"/>
          <w:szCs w:val="16"/>
        </w:rPr>
      </w:pPr>
      <w:r w:rsidRPr="00925F26">
        <w:rPr>
          <w:color w:val="000000" w:themeColor="text1"/>
          <w:sz w:val="16"/>
          <w:szCs w:val="16"/>
        </w:rPr>
        <w:t>17 января 1945 ВВС бомбят Формозу с B-29 (20371).</w:t>
      </w:r>
    </w:p>
    <w:p w14:paraId="137331DA" w14:textId="77777777" w:rsidR="00FF3904" w:rsidRPr="00925F26" w:rsidRDefault="00FF3904" w:rsidP="00925F26">
      <w:pPr>
        <w:jc w:val="both"/>
        <w:rPr>
          <w:color w:val="000000" w:themeColor="text1"/>
          <w:sz w:val="16"/>
          <w:szCs w:val="16"/>
        </w:rPr>
      </w:pPr>
    </w:p>
    <w:p w14:paraId="1F439BC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FBCF431" w14:textId="77777777" w:rsidR="00C2313B" w:rsidRPr="00925F26" w:rsidRDefault="00C2313B" w:rsidP="00925F26">
      <w:pPr>
        <w:autoSpaceDE w:val="0"/>
        <w:autoSpaceDN w:val="0"/>
        <w:adjustRightInd w:val="0"/>
        <w:jc w:val="both"/>
        <w:rPr>
          <w:iCs/>
          <w:color w:val="000000" w:themeColor="text1"/>
          <w:sz w:val="16"/>
          <w:szCs w:val="16"/>
        </w:rPr>
      </w:pPr>
    </w:p>
    <w:p w14:paraId="0EF0EB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вышел доклад директора завода 30 N 287/0-14 за 1944:</w:t>
      </w:r>
    </w:p>
    <w:p w14:paraId="4B79C1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 общего количества выпущенных боевых самолетов в 1944 выпущено:</w:t>
      </w:r>
    </w:p>
    <w:p w14:paraId="18F8D50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самолетов с металлическим крылом - 1802</w:t>
      </w:r>
    </w:p>
    <w:p w14:paraId="1D1045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самолетов с деревянным крылом - 1554,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0A311768" w14:textId="77777777">
        <w:tc>
          <w:tcPr>
            <w:tcW w:w="5636" w:type="dxa"/>
          </w:tcPr>
          <w:p w14:paraId="1451C8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т.ч. с пушкой</w:t>
            </w:r>
          </w:p>
        </w:tc>
        <w:tc>
          <w:tcPr>
            <w:tcW w:w="5636" w:type="dxa"/>
          </w:tcPr>
          <w:p w14:paraId="2094DE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11П - 111</w:t>
            </w:r>
          </w:p>
        </w:tc>
      </w:tr>
      <w:tr w:rsidR="000F5689" w:rsidRPr="00925F26" w14:paraId="49C00DCB" w14:textId="77777777">
        <w:tc>
          <w:tcPr>
            <w:tcW w:w="5636" w:type="dxa"/>
          </w:tcPr>
          <w:p w14:paraId="185BAD1A" w14:textId="77777777" w:rsidR="00C2313B" w:rsidRPr="00925F26" w:rsidRDefault="00C2313B" w:rsidP="00925F26">
            <w:pPr>
              <w:autoSpaceDE w:val="0"/>
              <w:autoSpaceDN w:val="0"/>
              <w:adjustRightInd w:val="0"/>
              <w:jc w:val="both"/>
              <w:rPr>
                <w:color w:val="000000" w:themeColor="text1"/>
                <w:sz w:val="16"/>
                <w:szCs w:val="16"/>
              </w:rPr>
            </w:pPr>
          </w:p>
        </w:tc>
        <w:tc>
          <w:tcPr>
            <w:tcW w:w="5636" w:type="dxa"/>
          </w:tcPr>
          <w:p w14:paraId="100C7A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ВЯ - 3244</w:t>
            </w:r>
          </w:p>
        </w:tc>
      </w:tr>
      <w:tr w:rsidR="000F5689" w:rsidRPr="00925F26" w14:paraId="7CD25510" w14:textId="77777777">
        <w:tc>
          <w:tcPr>
            <w:tcW w:w="5636" w:type="dxa"/>
          </w:tcPr>
          <w:p w14:paraId="67DDF8D0" w14:textId="77777777" w:rsidR="00C2313B" w:rsidRPr="00925F26" w:rsidRDefault="00C2313B" w:rsidP="00925F26">
            <w:pPr>
              <w:autoSpaceDE w:val="0"/>
              <w:autoSpaceDN w:val="0"/>
              <w:adjustRightInd w:val="0"/>
              <w:jc w:val="both"/>
              <w:rPr>
                <w:color w:val="000000" w:themeColor="text1"/>
                <w:sz w:val="16"/>
                <w:szCs w:val="16"/>
              </w:rPr>
            </w:pPr>
          </w:p>
        </w:tc>
        <w:tc>
          <w:tcPr>
            <w:tcW w:w="5636" w:type="dxa"/>
          </w:tcPr>
          <w:p w14:paraId="499F3C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ШВАК - 1</w:t>
            </w:r>
          </w:p>
        </w:tc>
      </w:tr>
    </w:tbl>
    <w:p w14:paraId="2C1644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Динамика выпуска за 1944 по отношению к предыдущему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0F5689" w:rsidRPr="00925F26" w14:paraId="21516694" w14:textId="77777777">
        <w:tc>
          <w:tcPr>
            <w:tcW w:w="2818" w:type="dxa"/>
          </w:tcPr>
          <w:p w14:paraId="6D5EB9D2" w14:textId="77777777" w:rsidR="00C2313B" w:rsidRPr="00925F26" w:rsidRDefault="00C2313B" w:rsidP="00925F26">
            <w:pPr>
              <w:autoSpaceDE w:val="0"/>
              <w:autoSpaceDN w:val="0"/>
              <w:adjustRightInd w:val="0"/>
              <w:jc w:val="both"/>
              <w:rPr>
                <w:color w:val="000000" w:themeColor="text1"/>
                <w:sz w:val="16"/>
                <w:szCs w:val="16"/>
              </w:rPr>
            </w:pPr>
          </w:p>
        </w:tc>
        <w:tc>
          <w:tcPr>
            <w:tcW w:w="2818" w:type="dxa"/>
          </w:tcPr>
          <w:p w14:paraId="660B8D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сборке</w:t>
            </w:r>
          </w:p>
        </w:tc>
        <w:tc>
          <w:tcPr>
            <w:tcW w:w="2818" w:type="dxa"/>
          </w:tcPr>
          <w:p w14:paraId="645163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бою</w:t>
            </w:r>
          </w:p>
        </w:tc>
      </w:tr>
      <w:tr w:rsidR="000F5689" w:rsidRPr="00925F26" w14:paraId="520FDE56" w14:textId="77777777">
        <w:tc>
          <w:tcPr>
            <w:tcW w:w="2818" w:type="dxa"/>
          </w:tcPr>
          <w:p w14:paraId="4AD8FD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2818" w:type="dxa"/>
          </w:tcPr>
          <w:p w14:paraId="018116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1054 100%</w:t>
            </w:r>
          </w:p>
        </w:tc>
        <w:tc>
          <w:tcPr>
            <w:tcW w:w="2818" w:type="dxa"/>
          </w:tcPr>
          <w:p w14:paraId="504DC1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811 - 100%</w:t>
            </w:r>
          </w:p>
        </w:tc>
      </w:tr>
      <w:tr w:rsidR="000F5689" w:rsidRPr="00925F26" w14:paraId="2ACE35E8" w14:textId="77777777">
        <w:tc>
          <w:tcPr>
            <w:tcW w:w="2818" w:type="dxa"/>
          </w:tcPr>
          <w:p w14:paraId="45D175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2818" w:type="dxa"/>
          </w:tcPr>
          <w:p w14:paraId="0FA46D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2234 211.9</w:t>
            </w:r>
          </w:p>
        </w:tc>
        <w:tc>
          <w:tcPr>
            <w:tcW w:w="2818" w:type="dxa"/>
          </w:tcPr>
          <w:p w14:paraId="3216AB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2426 299.1</w:t>
            </w:r>
          </w:p>
        </w:tc>
      </w:tr>
      <w:tr w:rsidR="000F5689" w:rsidRPr="00925F26" w14:paraId="318F54D4" w14:textId="77777777">
        <w:tc>
          <w:tcPr>
            <w:tcW w:w="2818" w:type="dxa"/>
          </w:tcPr>
          <w:p w14:paraId="43F6CF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2818" w:type="dxa"/>
          </w:tcPr>
          <w:p w14:paraId="6E81B4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3377 320.3</w:t>
            </w:r>
          </w:p>
        </w:tc>
        <w:tc>
          <w:tcPr>
            <w:tcW w:w="2818" w:type="dxa"/>
          </w:tcPr>
          <w:p w14:paraId="01082C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3356 413.8</w:t>
            </w:r>
          </w:p>
        </w:tc>
      </w:tr>
    </w:tbl>
    <w:p w14:paraId="62B61B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Резкое увеличение отремонтированных самолетов во 2 кв. против других периодов объясняется переходом с зимнего камуфляжа самолетов на летний, когда при смыве зимнего камуфляжа образовывались трещины лакокрасочных покрытий на поверхности самолета.</w:t>
      </w:r>
    </w:p>
    <w:p w14:paraId="7F58B4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Обнаруженные дефекты, а также конструктивные и технологические доработки, состояли из следующих основных работ:</w:t>
      </w:r>
    </w:p>
    <w:p w14:paraId="091B5E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установка контрбалансира разгрузки рулей</w:t>
      </w:r>
    </w:p>
    <w:p w14:paraId="79F8CD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установка вкладыша и роликов на рукава питания пушек</w:t>
      </w:r>
    </w:p>
    <w:p w14:paraId="58E3EF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восстановление лакокрасочных покрытий</w:t>
      </w:r>
    </w:p>
    <w:p w14:paraId="3B5E0A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проверка поршней стоек шасси и замена поршней</w:t>
      </w:r>
    </w:p>
    <w:p w14:paraId="21D2DA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замена фар крыла</w:t>
      </w:r>
    </w:p>
    <w:p w14:paraId="3121F9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замена болтов на стыковых лентах</w:t>
      </w:r>
    </w:p>
    <w:p w14:paraId="7F6C2D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замена болтов крыла и центроплана</w:t>
      </w:r>
    </w:p>
    <w:p w14:paraId="740C68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доработка балок РО с установкой новых балок РС 132 под М-13</w:t>
      </w:r>
    </w:p>
    <w:p w14:paraId="1B1435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установка доп. брони кабины стрелка.</w:t>
      </w:r>
    </w:p>
    <w:p w14:paraId="7162C8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Начало отчетного периода совпадает с внедрением и запуском в серийное производство металлического крыла стрельчатой конструкции.</w:t>
      </w:r>
    </w:p>
    <w:p w14:paraId="75B014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отчетный период проделаны нижеследующие работы по основным крупным модификациям и улучшениям боевых свойств Ил-2</w:t>
      </w:r>
    </w:p>
    <w:p w14:paraId="7F1AEB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работы, связанные с внедрением металлического крыла</w:t>
      </w:r>
    </w:p>
    <w:p w14:paraId="46CCE8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работы, связанные с внедрением групповой клепки</w:t>
      </w:r>
    </w:p>
    <w:p w14:paraId="3DF03A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отработан самолет с доп. навесной бронировкой кабины стрелка, на основании чего производятся доработки самолетов в воинских частях.</w:t>
      </w:r>
    </w:p>
    <w:p w14:paraId="44042E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разработаны и уточнены чертежи по самолетам с удлиненным бронекорпусом, а также по самолетам с удлиненным бронекорпусом типа корректировщик.</w:t>
      </w:r>
    </w:p>
    <w:p w14:paraId="6F791C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отработана в чертежах и внедрена в производство установка ПАУ-22 и ПБП-1Б</w:t>
      </w:r>
    </w:p>
    <w:p w14:paraId="14567E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отработаны чертежи и внедрены в производство самолеты типа корректировщик с радиостанцией РСБ-3бис и УС-1.</w:t>
      </w:r>
    </w:p>
    <w:p w14:paraId="552F3C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проведена большая работа по коренной переделке радиоустановок со следующей аппаратурой - РСИ-3М1, РСИ-6МУ, РПКО-10М, СПУ-2ММ с кнопкой на секторе газа.</w:t>
      </w:r>
    </w:p>
    <w:p w14:paraId="10254B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с целью увеличения скорости открытия щитков изменено управление щитками с переносом рукоятки с установкой щитков на взлетный угол в кабину пилота</w:t>
      </w:r>
    </w:p>
    <w:p w14:paraId="01C268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части улучшения качества самолета:</w:t>
      </w:r>
    </w:p>
    <w:p w14:paraId="1A2BE3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1...выпуск 2-х эталонных самолетов N 58100 и 62100 улучшенного качества с внесением в них всех конструктивных изменений, подлежащих утверждению в НИИ ВВС.</w:t>
      </w:r>
    </w:p>
    <w:p w14:paraId="20C291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 62100 имеет на 10 км/час большую скорость по отношению к луч9им серийным.</w:t>
      </w:r>
    </w:p>
    <w:p w14:paraId="635B2F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Регулярно велись наблюдения за скоростями серийных самолетов и в течение года скорости самолетов превышали скорость, установленную приказом НКАП от 2-х до 10 км/час.</w:t>
      </w:r>
    </w:p>
    <w:p w14:paraId="3C3A2E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Велось тщательное ежемесячное наблюдение за весом самолета, в результате чего вес пустого самолета в 1944 по отношению к весу эталонной программы в 1943 N 302804 увеличения не имеет.</w:t>
      </w:r>
    </w:p>
    <w:p w14:paraId="1F0EE9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С введением металлического крыла с тщательными испытаниями, прочность самолета 1944 значительно возросла.</w:t>
      </w:r>
    </w:p>
    <w:p w14:paraId="1A22E5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дальность радиосвязи превышает дальность, установленную ТТТ Ил-2</w:t>
      </w:r>
    </w:p>
    <w:p w14:paraId="47CBFF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w:t>
      </w:r>
      <w:proofErr w:type="gramStart"/>
      <w:r w:rsidRPr="00925F26">
        <w:rPr>
          <w:color w:val="000000" w:themeColor="text1"/>
          <w:sz w:val="16"/>
          <w:szCs w:val="16"/>
        </w:rPr>
        <w:t>.</w:t>
      </w:r>
      <w:proofErr w:type="gramEnd"/>
      <w:r w:rsidRPr="00925F26">
        <w:rPr>
          <w:color w:val="000000" w:themeColor="text1"/>
          <w:sz w:val="16"/>
          <w:szCs w:val="16"/>
        </w:rPr>
        <w:t>установлено, что 101-12% самолетов с винтовой и моторной тряской являются результатом неполной взаимозаменяемости винтов с моторами, а также плохой регулировкой моторов..." (2486).</w:t>
      </w:r>
    </w:p>
    <w:p w14:paraId="78197A14" w14:textId="77777777" w:rsidR="00C2313B" w:rsidRPr="00925F26" w:rsidRDefault="00C2313B" w:rsidP="00925F26">
      <w:pPr>
        <w:autoSpaceDE w:val="0"/>
        <w:autoSpaceDN w:val="0"/>
        <w:adjustRightInd w:val="0"/>
        <w:jc w:val="both"/>
        <w:rPr>
          <w:color w:val="000000" w:themeColor="text1"/>
          <w:sz w:val="16"/>
          <w:szCs w:val="16"/>
        </w:rPr>
      </w:pPr>
    </w:p>
    <w:p w14:paraId="046D47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1946 г. И.П. Братухин подписал компоновку модификации мотора М-26, получившей обозначение М-26ГР (геликоптерный редукторный), предложенной А.Г.Ивченко, и начались работы по его созданию. М-26ГР стал первым в мире специальным мотором для вертолетов, т.к. имел встроенный угловой редуктор, обеспечиващий приводы несущего винта, вентилятора принудительного обдува цилиндров и вала синхронизации, который связывал двигатели на вертолетах продольной или поперечной схемы, обеспечивая одинаковую частоту вращения обоих несущих винтов, и, в случае выхода из строя одного из двигателей, позволял продолжать полет на втором - исправном. Двигатель был оборудован также комбинированной муфтой включения и свободного хода. Он развивал взлетную мощность 500 л.с. и выпускался в двух вариантах: М/26ГРЛ для привода левого и М-26ГРПр для привода правого несущего винта вертолета (11762).</w:t>
      </w:r>
    </w:p>
    <w:p w14:paraId="6F6B4AE4" w14:textId="77777777" w:rsidR="00C2313B" w:rsidRPr="00925F26" w:rsidRDefault="00C2313B" w:rsidP="00925F26">
      <w:pPr>
        <w:autoSpaceDE w:val="0"/>
        <w:autoSpaceDN w:val="0"/>
        <w:adjustRightInd w:val="0"/>
        <w:jc w:val="both"/>
        <w:rPr>
          <w:color w:val="000000" w:themeColor="text1"/>
          <w:sz w:val="16"/>
          <w:szCs w:val="16"/>
        </w:rPr>
      </w:pPr>
    </w:p>
    <w:p w14:paraId="32171803" w14:textId="77777777" w:rsidR="00FF3904" w:rsidRPr="00925F26" w:rsidRDefault="00FF3904" w:rsidP="00925F26">
      <w:pPr>
        <w:jc w:val="both"/>
        <w:rPr>
          <w:color w:val="000000" w:themeColor="text1"/>
          <w:sz w:val="16"/>
          <w:szCs w:val="16"/>
        </w:rPr>
      </w:pPr>
      <w:r w:rsidRPr="00925F26">
        <w:rPr>
          <w:color w:val="000000" w:themeColor="text1"/>
          <w:sz w:val="16"/>
          <w:szCs w:val="16"/>
        </w:rPr>
        <w:t>18 января 1945 г.</w:t>
      </w:r>
    </w:p>
    <w:p w14:paraId="3B01012F" w14:textId="77777777" w:rsidR="00FF3904" w:rsidRPr="00925F26" w:rsidRDefault="00FF3904" w:rsidP="00925F26">
      <w:pPr>
        <w:jc w:val="both"/>
        <w:rPr>
          <w:color w:val="000000" w:themeColor="text1"/>
          <w:sz w:val="16"/>
          <w:szCs w:val="16"/>
        </w:rPr>
      </w:pPr>
      <w:r w:rsidRPr="00925F26">
        <w:rPr>
          <w:color w:val="000000" w:themeColor="text1"/>
          <w:sz w:val="16"/>
          <w:szCs w:val="16"/>
        </w:rPr>
        <w:t>Из постановления собрания парторганизации завода № 19 им. И. В. Сталина</w:t>
      </w:r>
    </w:p>
    <w:p w14:paraId="3097369A" w14:textId="77777777" w:rsidR="00FF3904" w:rsidRPr="00925F26" w:rsidRDefault="00FF3904" w:rsidP="00925F26">
      <w:pPr>
        <w:jc w:val="both"/>
        <w:rPr>
          <w:color w:val="000000" w:themeColor="text1"/>
          <w:sz w:val="16"/>
          <w:szCs w:val="16"/>
        </w:rPr>
      </w:pPr>
      <w:r w:rsidRPr="00925F26">
        <w:rPr>
          <w:color w:val="000000" w:themeColor="text1"/>
          <w:sz w:val="16"/>
          <w:szCs w:val="16"/>
        </w:rPr>
        <w:lastRenderedPageBreak/>
        <w:t>18 января 1945 г.</w:t>
      </w:r>
    </w:p>
    <w:p w14:paraId="34167335" w14:textId="77777777" w:rsidR="00FF3904" w:rsidRPr="00925F26" w:rsidRDefault="00FF3904" w:rsidP="00925F26">
      <w:pPr>
        <w:jc w:val="both"/>
        <w:rPr>
          <w:color w:val="000000" w:themeColor="text1"/>
          <w:sz w:val="16"/>
          <w:szCs w:val="16"/>
        </w:rPr>
      </w:pPr>
      <w:r w:rsidRPr="00925F26">
        <w:rPr>
          <w:color w:val="000000" w:themeColor="text1"/>
          <w:sz w:val="16"/>
          <w:szCs w:val="16"/>
        </w:rPr>
        <w:t>Заслушав и обсудив доклад директора завода т. Солдатова об итогах производственно-хозяйственной деятельности завода за 1944 г., партийно-хозяйственный актив отмечает:</w:t>
      </w:r>
    </w:p>
    <w:p w14:paraId="5C4E9A1C" w14:textId="77777777" w:rsidR="00FF3904" w:rsidRPr="00925F26" w:rsidRDefault="00FF3904" w:rsidP="00925F26">
      <w:pPr>
        <w:jc w:val="both"/>
        <w:rPr>
          <w:color w:val="000000" w:themeColor="text1"/>
          <w:sz w:val="16"/>
          <w:szCs w:val="16"/>
        </w:rPr>
      </w:pPr>
      <w:r w:rsidRPr="00925F26">
        <w:rPr>
          <w:color w:val="000000" w:themeColor="text1"/>
          <w:sz w:val="16"/>
          <w:szCs w:val="16"/>
        </w:rPr>
        <w:t>1. Программа заводом за 1944 г. выполнена по товарной продукции на 95,7 % и по валовой продукции на 103,7 %. Прирост продукции против 1943 г. составил по товарной продукции 26 % и по валовой - 26,2 %.</w:t>
      </w:r>
    </w:p>
    <w:p w14:paraId="4E7B068D" w14:textId="77777777" w:rsidR="00FF3904" w:rsidRPr="00925F26" w:rsidRDefault="00FF3904" w:rsidP="00925F26">
      <w:pPr>
        <w:jc w:val="both"/>
        <w:rPr>
          <w:color w:val="000000" w:themeColor="text1"/>
          <w:sz w:val="16"/>
          <w:szCs w:val="16"/>
        </w:rPr>
      </w:pPr>
      <w:r w:rsidRPr="00925F26">
        <w:rPr>
          <w:color w:val="000000" w:themeColor="text1"/>
          <w:sz w:val="16"/>
          <w:szCs w:val="16"/>
        </w:rPr>
        <w:t>2. Производительность труда рабочих возросла на 28,1 % против 1943 г. и выше плана на 6,2 %.</w:t>
      </w:r>
    </w:p>
    <w:p w14:paraId="60B73C04" w14:textId="77777777" w:rsidR="00FF3904" w:rsidRPr="00925F26" w:rsidRDefault="00FF3904" w:rsidP="00925F26">
      <w:pPr>
        <w:jc w:val="both"/>
        <w:rPr>
          <w:color w:val="000000" w:themeColor="text1"/>
          <w:sz w:val="16"/>
          <w:szCs w:val="16"/>
        </w:rPr>
      </w:pPr>
      <w:r w:rsidRPr="00925F26">
        <w:rPr>
          <w:color w:val="000000" w:themeColor="text1"/>
          <w:sz w:val="16"/>
          <w:szCs w:val="16"/>
        </w:rPr>
        <w:t>3. Себестоимость продукции снижена на 6,2 % [...]</w:t>
      </w:r>
    </w:p>
    <w:p w14:paraId="70865BC3" w14:textId="77777777" w:rsidR="00FF3904" w:rsidRPr="00925F26" w:rsidRDefault="00FF3904" w:rsidP="00925F26">
      <w:pPr>
        <w:jc w:val="both"/>
        <w:rPr>
          <w:color w:val="000000" w:themeColor="text1"/>
          <w:sz w:val="16"/>
          <w:szCs w:val="16"/>
        </w:rPr>
      </w:pPr>
      <w:r w:rsidRPr="00925F26">
        <w:rPr>
          <w:color w:val="000000" w:themeColor="text1"/>
          <w:sz w:val="16"/>
          <w:szCs w:val="16"/>
        </w:rPr>
        <w:t>6. В 1944 г. завод полностью перешел на производство более мощных и качественных моторов АШ-82ФН, значительно повысивших боевую мощь нашей истребительной и бомбардировочной авиации.</w:t>
      </w:r>
    </w:p>
    <w:p w14:paraId="6D7B40C6" w14:textId="77777777" w:rsidR="00FF3904" w:rsidRPr="00925F26" w:rsidRDefault="00FF3904" w:rsidP="00925F26">
      <w:pPr>
        <w:jc w:val="both"/>
        <w:rPr>
          <w:color w:val="000000" w:themeColor="text1"/>
          <w:sz w:val="16"/>
          <w:szCs w:val="16"/>
        </w:rPr>
      </w:pPr>
      <w:r w:rsidRPr="00925F26">
        <w:rPr>
          <w:color w:val="000000" w:themeColor="text1"/>
          <w:sz w:val="16"/>
          <w:szCs w:val="16"/>
        </w:rPr>
        <w:t>7. Коллектив опытно-конструкторского бюро, руководимый главным конструктором завода Героем Социалистического Труда т. Швецовым А. Д„ отработал конструкцию мощного мотора АШ-83, который успешно закончил государственные испытания в ноябре 1944 г. [...]</w:t>
      </w:r>
    </w:p>
    <w:p w14:paraId="2C70CC5D" w14:textId="77777777" w:rsidR="00FF3904" w:rsidRPr="00925F26" w:rsidRDefault="00FF3904" w:rsidP="00925F26">
      <w:pPr>
        <w:jc w:val="both"/>
        <w:rPr>
          <w:color w:val="000000" w:themeColor="text1"/>
          <w:sz w:val="16"/>
          <w:szCs w:val="16"/>
        </w:rPr>
      </w:pPr>
      <w:r w:rsidRPr="00925F26">
        <w:rPr>
          <w:color w:val="000000" w:themeColor="text1"/>
          <w:sz w:val="16"/>
          <w:szCs w:val="16"/>
        </w:rPr>
        <w:t>Партийно-хозяйственный актив завода постановляет:</w:t>
      </w:r>
    </w:p>
    <w:p w14:paraId="7E5CDCEE" w14:textId="77777777" w:rsidR="00FF3904" w:rsidRPr="00925F26" w:rsidRDefault="00FF3904" w:rsidP="00925F26">
      <w:pPr>
        <w:jc w:val="both"/>
        <w:rPr>
          <w:color w:val="000000" w:themeColor="text1"/>
          <w:sz w:val="16"/>
          <w:szCs w:val="16"/>
        </w:rPr>
      </w:pPr>
      <w:r w:rsidRPr="00925F26">
        <w:rPr>
          <w:color w:val="000000" w:themeColor="text1"/>
          <w:sz w:val="16"/>
          <w:szCs w:val="16"/>
        </w:rPr>
        <w:t>Считать главнейшей задачей коллектива завода на 1945 г. безусловное выполнение установленной программы с удержанием переходящего Красного знамени Государственного Комитета Обороны.</w:t>
      </w:r>
    </w:p>
    <w:p w14:paraId="4B948BCC" w14:textId="77777777" w:rsidR="00FF3904" w:rsidRPr="00925F26" w:rsidRDefault="00FF3904" w:rsidP="00925F26">
      <w:pPr>
        <w:jc w:val="both"/>
        <w:rPr>
          <w:color w:val="000000" w:themeColor="text1"/>
          <w:sz w:val="16"/>
          <w:szCs w:val="16"/>
        </w:rPr>
      </w:pPr>
      <w:r w:rsidRPr="00925F26">
        <w:rPr>
          <w:color w:val="000000" w:themeColor="text1"/>
          <w:sz w:val="16"/>
          <w:szCs w:val="16"/>
        </w:rPr>
        <w:t>Подготовить завод на первый квартал 1945 г. к прекращению производства мотора АШ-62НР и замене его мотором АШ-82ФН, без уменьшения количества дневного выпуска, достигнутого заводом.</w:t>
      </w:r>
    </w:p>
    <w:p w14:paraId="1CC3FC56" w14:textId="77777777" w:rsidR="00FF3904" w:rsidRPr="00925F26" w:rsidRDefault="00FF3904" w:rsidP="00925F26">
      <w:pPr>
        <w:jc w:val="both"/>
        <w:rPr>
          <w:color w:val="000000" w:themeColor="text1"/>
          <w:sz w:val="16"/>
          <w:szCs w:val="16"/>
        </w:rPr>
      </w:pPr>
      <w:r w:rsidRPr="00925F26">
        <w:rPr>
          <w:color w:val="000000" w:themeColor="text1"/>
          <w:sz w:val="16"/>
          <w:szCs w:val="16"/>
        </w:rPr>
        <w:t>Выпустить в первом квартале 1945 г. малую серию моторов АШ-83 и подготовить завод к внедрению этого мотора в серийное производство во втором полугодии 1945 г.</w:t>
      </w:r>
    </w:p>
    <w:p w14:paraId="25B41FF3" w14:textId="77777777" w:rsidR="00FF3904" w:rsidRPr="00925F26" w:rsidRDefault="00FF3904" w:rsidP="00925F26">
      <w:pPr>
        <w:jc w:val="both"/>
        <w:rPr>
          <w:color w:val="000000" w:themeColor="text1"/>
          <w:sz w:val="16"/>
          <w:szCs w:val="16"/>
        </w:rPr>
      </w:pPr>
      <w:r w:rsidRPr="00925F26">
        <w:rPr>
          <w:color w:val="000000" w:themeColor="text1"/>
          <w:sz w:val="16"/>
          <w:szCs w:val="16"/>
        </w:rPr>
        <w:t xml:space="preserve">Неустанно работать над повышением качества выпускаемых заводом моторов и увеличением их ресурсов. Повысить производительность труда в 1945 г., по сравнению с 1944 г., не </w:t>
      </w:r>
      <w:proofErr w:type="gramStart"/>
      <w:r w:rsidRPr="00925F26">
        <w:rPr>
          <w:color w:val="000000" w:themeColor="text1"/>
          <w:sz w:val="16"/>
          <w:szCs w:val="16"/>
        </w:rPr>
        <w:t>ниже</w:t>
      </w:r>
      <w:proofErr w:type="gramEnd"/>
      <w:r w:rsidRPr="00925F26">
        <w:rPr>
          <w:color w:val="000000" w:themeColor="text1"/>
          <w:sz w:val="16"/>
          <w:szCs w:val="16"/>
        </w:rPr>
        <w:t xml:space="preserve"> чем на 8-10 %.</w:t>
      </w:r>
    </w:p>
    <w:p w14:paraId="0A3A634E" w14:textId="77777777" w:rsidR="00FF3904" w:rsidRPr="00925F26" w:rsidRDefault="00FF3904" w:rsidP="00925F26">
      <w:pPr>
        <w:jc w:val="both"/>
        <w:rPr>
          <w:color w:val="000000" w:themeColor="text1"/>
          <w:sz w:val="16"/>
          <w:szCs w:val="16"/>
        </w:rPr>
      </w:pPr>
      <w:r w:rsidRPr="00925F26">
        <w:rPr>
          <w:color w:val="000000" w:themeColor="text1"/>
          <w:sz w:val="16"/>
          <w:szCs w:val="16"/>
        </w:rPr>
        <w:t xml:space="preserve">Снизить себестоимость продукции не </w:t>
      </w:r>
      <w:proofErr w:type="gramStart"/>
      <w:r w:rsidRPr="00925F26">
        <w:rPr>
          <w:color w:val="000000" w:themeColor="text1"/>
          <w:sz w:val="16"/>
          <w:szCs w:val="16"/>
        </w:rPr>
        <w:t>ниже</w:t>
      </w:r>
      <w:proofErr w:type="gramEnd"/>
      <w:r w:rsidRPr="00925F26">
        <w:rPr>
          <w:color w:val="000000" w:themeColor="text1"/>
          <w:sz w:val="16"/>
          <w:szCs w:val="16"/>
        </w:rPr>
        <w:t xml:space="preserve"> чем на 5-7 %. [...]</w:t>
      </w:r>
    </w:p>
    <w:p w14:paraId="7D005962" w14:textId="77777777" w:rsidR="00FF3904" w:rsidRPr="00925F26" w:rsidRDefault="00FF3904" w:rsidP="00925F26">
      <w:pPr>
        <w:jc w:val="both"/>
        <w:rPr>
          <w:color w:val="000000" w:themeColor="text1"/>
          <w:sz w:val="16"/>
          <w:szCs w:val="16"/>
        </w:rPr>
      </w:pPr>
      <w:r w:rsidRPr="00925F26">
        <w:rPr>
          <w:color w:val="000000" w:themeColor="text1"/>
          <w:sz w:val="16"/>
          <w:szCs w:val="16"/>
        </w:rPr>
        <w:t>Партийно-хозяйственный актив завода считает, что в момент, когда доблестная Красная Армия громит ненавистного врага на его территории, лучшей помощью фронту для скорейшего окончания войны будет дальнейшее увеличение выпуска наших боевых моторов.</w:t>
      </w:r>
    </w:p>
    <w:p w14:paraId="117211B2" w14:textId="77777777" w:rsidR="00FF3904" w:rsidRPr="00925F26" w:rsidRDefault="00FF3904" w:rsidP="00925F26">
      <w:pPr>
        <w:jc w:val="both"/>
        <w:rPr>
          <w:color w:val="000000" w:themeColor="text1"/>
          <w:sz w:val="16"/>
          <w:szCs w:val="16"/>
        </w:rPr>
      </w:pPr>
      <w:r w:rsidRPr="00925F26">
        <w:rPr>
          <w:color w:val="000000" w:themeColor="text1"/>
          <w:sz w:val="16"/>
          <w:szCs w:val="16"/>
        </w:rPr>
        <w:t>Актив призывает весь коллектив завода еще шире развернуть соцсоревнование, высвобождая дополнительную рабочую силу и командный состав по методу бригадира Егора Агаркова, и напрячь все силы на выполнение и перевыполнение установленной заводу программы. Самоотверженным трудом удержим первое место в соцсоревновании заводов авиапромышленности!</w:t>
      </w:r>
    </w:p>
    <w:p w14:paraId="601D8E56" w14:textId="77777777" w:rsidR="00FF3904" w:rsidRPr="00925F26" w:rsidRDefault="00FF3904" w:rsidP="00925F26">
      <w:pPr>
        <w:jc w:val="both"/>
        <w:rPr>
          <w:color w:val="000000" w:themeColor="text1"/>
          <w:sz w:val="16"/>
          <w:szCs w:val="16"/>
        </w:rPr>
      </w:pPr>
      <w:r w:rsidRPr="00925F26">
        <w:rPr>
          <w:color w:val="000000" w:themeColor="text1"/>
          <w:sz w:val="16"/>
          <w:szCs w:val="16"/>
        </w:rPr>
        <w:t>ПермГАСПИ. Ф. 817. On. 2. Д. 61. Л. 23-26. Подлинник. Машинопись.</w:t>
      </w:r>
    </w:p>
    <w:p w14:paraId="68EA6DAE" w14:textId="77777777" w:rsidR="00FF3904" w:rsidRPr="00925F26" w:rsidRDefault="00FF3904" w:rsidP="00925F26">
      <w:pPr>
        <w:jc w:val="both"/>
        <w:rPr>
          <w:color w:val="000000" w:themeColor="text1"/>
          <w:sz w:val="16"/>
          <w:szCs w:val="16"/>
        </w:rPr>
      </w:pPr>
      <w:r w:rsidRPr="00925F26">
        <w:rPr>
          <w:color w:val="000000" w:themeColor="text1"/>
          <w:sz w:val="16"/>
          <w:szCs w:val="16"/>
        </w:rPr>
        <w:t>Опубл. частично: Западный Урал - фронту: Сборник документов и материалов. - Пермь, 1984. - С. 143-144 (21022).</w:t>
      </w:r>
    </w:p>
    <w:p w14:paraId="047E9065" w14:textId="77777777" w:rsidR="00FF3904" w:rsidRPr="00925F26" w:rsidRDefault="00FF3904" w:rsidP="00925F26">
      <w:pPr>
        <w:jc w:val="both"/>
        <w:rPr>
          <w:color w:val="000000" w:themeColor="text1"/>
          <w:sz w:val="16"/>
          <w:szCs w:val="16"/>
        </w:rPr>
      </w:pPr>
    </w:p>
    <w:p w14:paraId="022509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N 7350, которым НКАП (завод 51, ГК В.Н.Челомей) было поручено спроектировать и построить по типу V-1 самолет-снаряд и совместно с ЛИИ в феврале-апреле провести его испытания. Хотели сделать 100 и подготовить производство к выпуску в марте 1945 300, а потом по 15 в день. К серии привлекали заводы 456, 125, 122, 451, а стартовые устройства для самолетного и наземного варианта должен был изготовить И.В.Четвериков на заводе 458 (1087,30).</w:t>
      </w:r>
    </w:p>
    <w:p w14:paraId="61FBE307" w14:textId="77777777" w:rsidR="00C2313B" w:rsidRPr="00925F26" w:rsidRDefault="00C2313B" w:rsidP="00925F26">
      <w:pPr>
        <w:autoSpaceDE w:val="0"/>
        <w:autoSpaceDN w:val="0"/>
        <w:adjustRightInd w:val="0"/>
        <w:jc w:val="both"/>
        <w:rPr>
          <w:color w:val="000000" w:themeColor="text1"/>
          <w:sz w:val="16"/>
          <w:szCs w:val="16"/>
        </w:rPr>
      </w:pPr>
    </w:p>
    <w:p w14:paraId="253A3DD6" w14:textId="77777777" w:rsidR="00FF3904" w:rsidRPr="00925F26" w:rsidRDefault="00FF3904" w:rsidP="00925F26">
      <w:pPr>
        <w:jc w:val="both"/>
        <w:rPr>
          <w:color w:val="000000" w:themeColor="text1"/>
          <w:sz w:val="16"/>
          <w:szCs w:val="16"/>
        </w:rPr>
      </w:pPr>
      <w:r w:rsidRPr="00925F26">
        <w:rPr>
          <w:color w:val="000000" w:themeColor="text1"/>
          <w:sz w:val="16"/>
          <w:szCs w:val="16"/>
        </w:rPr>
        <w:t>18 января 1945 г. Постановлением Государственного комитета обороны были заданы сроки создания самолета-снаряда 10Х. Этим было положено начало созданию в Советском Союзе принципиально нового вида штатного оружия для армии и флота — самолетов-снарядов, которые в дальнейшем стали называть крылатыми ракетами (19823).</w:t>
      </w:r>
    </w:p>
    <w:p w14:paraId="46631362" w14:textId="77777777" w:rsidR="00FF3904" w:rsidRPr="00925F26" w:rsidRDefault="00FF3904" w:rsidP="00925F26">
      <w:pPr>
        <w:jc w:val="both"/>
        <w:rPr>
          <w:color w:val="000000" w:themeColor="text1"/>
          <w:sz w:val="16"/>
          <w:szCs w:val="16"/>
        </w:rPr>
      </w:pPr>
    </w:p>
    <w:p w14:paraId="17417A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7350 О самолетах-снарядах. РГАНИР, Фонд ГКО, д. 356, лл. 126-129, 130-139 (11012).</w:t>
      </w:r>
    </w:p>
    <w:p w14:paraId="4600CF3A" w14:textId="77777777" w:rsidR="00C2313B" w:rsidRPr="00925F26" w:rsidRDefault="00C2313B" w:rsidP="00925F26">
      <w:pPr>
        <w:autoSpaceDE w:val="0"/>
        <w:autoSpaceDN w:val="0"/>
        <w:adjustRightInd w:val="0"/>
        <w:jc w:val="both"/>
        <w:rPr>
          <w:color w:val="000000" w:themeColor="text1"/>
          <w:sz w:val="16"/>
          <w:szCs w:val="16"/>
        </w:rPr>
      </w:pPr>
    </w:p>
    <w:p w14:paraId="281AC4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г. в соответствии с Постановлением Государственного Комитета обороны (ГКО) № 7350 заводу № 51 официально поручалось внедрение в серию крылатых ракет, создаваемых по образцу и подобию V-1. До выхода этого постановления уже была организована широкая кооперация предприятий-смежников.</w:t>
      </w:r>
    </w:p>
    <w:p w14:paraId="25FCD9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общей схемой 10Х было все ясно. Самолет-снаряд представлял собой небольшой среднеплан нормальной схемы с ПуВРД, установленным сверху фюзеляжа и закрепленным на законцовке киля. Конструктивно схема ПуВРД тоже была достаточно простой.</w:t>
      </w:r>
    </w:p>
    <w:p w14:paraId="702DBB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 воздухозаборником располагалась клапанная решетка с трубопроводами и форсунками подачи бензина. Под действием набегающего потока стальные пластины клапанов прогибались назад и пропускали воздух в камеру сгорания. А при воспламенении воздушно-бензиновой смеси изгибались вперёд до упора в ребра решетки подачи воздуха, тем самым запирая клапан. Несложная автоматика регулировала подачу топлива в камеру сгорания. После этого продукты сгорания могли истекать только назад, толкая летательный аппарат вперед (9536,10).</w:t>
      </w:r>
    </w:p>
    <w:p w14:paraId="2588CBCF" w14:textId="77777777" w:rsidR="00C2313B" w:rsidRPr="00925F26" w:rsidRDefault="00C2313B" w:rsidP="00925F26">
      <w:pPr>
        <w:autoSpaceDE w:val="0"/>
        <w:autoSpaceDN w:val="0"/>
        <w:adjustRightInd w:val="0"/>
        <w:jc w:val="both"/>
        <w:rPr>
          <w:color w:val="000000" w:themeColor="text1"/>
          <w:sz w:val="16"/>
          <w:szCs w:val="16"/>
        </w:rPr>
      </w:pPr>
    </w:p>
    <w:p w14:paraId="0BFF7E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января 1945 г. Постановлением ГКО наркомату авиапромышленности поручалось спроектировать, по</w:t>
      </w:r>
      <w:r w:rsidRPr="00925F26">
        <w:rPr>
          <w:color w:val="000000" w:themeColor="text1"/>
          <w:sz w:val="16"/>
          <w:szCs w:val="16"/>
        </w:rPr>
        <w:softHyphen/>
        <w:t>строить и совместно с ЛИИ в феврале-марте испытать самолет-снаряд по типу V-1. Для летных испытаний из</w:t>
      </w:r>
      <w:r w:rsidRPr="00925F26">
        <w:rPr>
          <w:color w:val="000000" w:themeColor="text1"/>
          <w:sz w:val="16"/>
          <w:szCs w:val="16"/>
        </w:rPr>
        <w:softHyphen/>
        <w:t>делия предусматривалась постройка опытной серии из 100 штук 10Х. В дальнейшем предполагалось довести суточное производство до 15 ракет. Летные испытания начались 20 марта 1945 г. По их результатам рекомендо</w:t>
      </w:r>
      <w:r w:rsidRPr="00925F26">
        <w:rPr>
          <w:color w:val="000000" w:themeColor="text1"/>
          <w:sz w:val="16"/>
          <w:szCs w:val="16"/>
        </w:rPr>
        <w:softHyphen/>
        <w:t>вали принять 10Х на вооружение. Затем последовали крылатые ракеты 14Х, 16Х и другие (10667).</w:t>
      </w:r>
    </w:p>
    <w:p w14:paraId="63B2ED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23EF2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г. Постановлением ГКО № 7350 заводу № 51 было уже официально поручено спроектировать и построить самолеты-снаряды «земля–земля» и «воздух–земля» по типу V1, а в феврале-апреле 1945 г. – совместно с ЛИИ провести их испытания. Кроме того, заводу № 51 поручалось внедрить в серию крылатые ракеты (11686).</w:t>
      </w:r>
    </w:p>
    <w:p w14:paraId="23DECD72" w14:textId="77777777" w:rsidR="00C2313B" w:rsidRPr="00925F26" w:rsidRDefault="00C2313B" w:rsidP="00925F26">
      <w:pPr>
        <w:autoSpaceDE w:val="0"/>
        <w:autoSpaceDN w:val="0"/>
        <w:adjustRightInd w:val="0"/>
        <w:jc w:val="both"/>
        <w:rPr>
          <w:color w:val="000000" w:themeColor="text1"/>
          <w:sz w:val="16"/>
          <w:szCs w:val="16"/>
        </w:rPr>
      </w:pPr>
    </w:p>
    <w:p w14:paraId="357C61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г. в соответствии с Постановлением ГКО заводу № 51 было поручено спроектировать и построить по типу «ФАУ-1» самолет-снаряд и провести его испытания совместно с ЛИИ в феврале-апреле 1945 г. Челомеевскому изделию был присвоен индекс «10Х». Для летных испытаний были переоборудованы три самолета Пе-8. С апреля по сентябрь на полигоне в Голодной степи (между Ташкентом и Сыр-Дарьей) было запущено 63 ракеты. Только 30 процентов запусков были успешными.</w:t>
      </w:r>
    </w:p>
    <w:p w14:paraId="7FAFE3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1946 г. в носители 10Х переоборудовали еще два самолета Пе-8. По результатам летных испытаний 10Х была рекомендована к принятию на вооружение, но руководство ВВС отказалось от этого. Понять позицию военных очень легко. Ракета имела малую дальность и скорость меньше, чем у винтомоторных истребителей. Попадание в квадрат 5х5 км считалось удачным, и это при дальности пуска 200 км. Наконец, ВВС, кроме трех десятков потрепанных Пе-8, просто не имели носителей для 10Х.</w:t>
      </w:r>
    </w:p>
    <w:p w14:paraId="19AB56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Очень интересно сравнить эту информацию с мемуарами Шахурина, опубликованными в 1983 г. Бывший нарком пишет:</w:t>
      </w:r>
    </w:p>
    <w:p w14:paraId="5D343A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«...Узнав о применении фашистами нового оружия, а это произошло 13 июня 1944 г., меня, А.А. Новикова и В.Н. Челомея вызвали в ГКО и поставили задачу: создать новое оружие - беспилотную боевую технику. Появилось соответствующее решение ГКО. Владимир Николаевич Челомей был назначен главным конструктором и директором соответствующего завода. Уже в декабре 1944 г. десятки отечественных самолетов-снарядов были испытаны с помощью самолетов Пе-8. Эффект их применения оказался чрезвычайно сильным. Если учесть, что при ударе по противнику сохранялись дорогостоящие самолеты и первоклассные летчики, а также то, что стоимость изготовления подобных снарядов была весьма невелика, и можно было наладить их массовое производство, то понятно, какое дополнительное оружие получали Вооруженные Силы для скорейшего разгрома врага. В начале 1945 г. мы были уже готовы применить его.</w:t>
      </w:r>
    </w:p>
    <w:p w14:paraId="37AD0C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уподобляться фашистским варварам, «воевавшим» с помощью своих ФАУ с мирными жителями Британских островов. Ведь наибольший эффект приносило применение самолетов-снарядов по городам, где было много мирного населения. А советский народ сражался с гитлеровской армией,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 (десятая модификация неизвестного оружия), так и не взлетели со своих аэродромов для нанесения боевых ударов» (12049).</w:t>
      </w:r>
    </w:p>
    <w:p w14:paraId="04CC93AF" w14:textId="77777777" w:rsidR="00C2313B" w:rsidRPr="00925F26" w:rsidRDefault="00C2313B" w:rsidP="00925F26">
      <w:pPr>
        <w:autoSpaceDE w:val="0"/>
        <w:autoSpaceDN w:val="0"/>
        <w:adjustRightInd w:val="0"/>
        <w:jc w:val="both"/>
        <w:rPr>
          <w:color w:val="000000" w:themeColor="text1"/>
          <w:sz w:val="16"/>
          <w:szCs w:val="16"/>
        </w:rPr>
      </w:pPr>
    </w:p>
    <w:p w14:paraId="374A4896" w14:textId="77777777" w:rsidR="00573476" w:rsidRPr="00925F26" w:rsidRDefault="00573476" w:rsidP="00925F26">
      <w:pPr>
        <w:jc w:val="both"/>
        <w:rPr>
          <w:color w:val="000000" w:themeColor="text1"/>
          <w:sz w:val="16"/>
          <w:szCs w:val="16"/>
        </w:rPr>
      </w:pPr>
      <w:r w:rsidRPr="00925F26">
        <w:rPr>
          <w:color w:val="000000" w:themeColor="text1"/>
          <w:sz w:val="16"/>
          <w:szCs w:val="16"/>
        </w:rPr>
        <w:t>18 января 1945 г. в соответствии с Постановлением ГКО от заводу № 51 было поручено спроектировать и построить по типу ФАУ-1 самолет-снаряд и совместно с ЛИИ провести его испытания в феврале - апреле 1945 г. Челомеевскому изделию ФАУ-1 был присвоен индекс 10Х. Как и ФАУ, 10Х изготавливалась в вариантах &lt;земля - земля&gt; и &lt;воздух - земля&gt;. Причем работы над авиационным вариантом опережали работы над вариантом с наземным пуском (12414).</w:t>
      </w:r>
    </w:p>
    <w:p w14:paraId="37CF7C2F" w14:textId="77777777" w:rsidR="00573476" w:rsidRPr="00925F26" w:rsidRDefault="00573476" w:rsidP="00925F26">
      <w:pPr>
        <w:jc w:val="both"/>
        <w:rPr>
          <w:color w:val="000000" w:themeColor="text1"/>
          <w:sz w:val="16"/>
          <w:szCs w:val="16"/>
        </w:rPr>
      </w:pPr>
    </w:p>
    <w:p w14:paraId="2DDBDAD0" w14:textId="77777777" w:rsidR="006F0F05" w:rsidRPr="00925F26" w:rsidRDefault="006F0F05"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lastRenderedPageBreak/>
        <w:t>18 ян</w:t>
      </w:r>
      <w:r w:rsidRPr="00925F26">
        <w:rPr>
          <w:rFonts w:ascii="Times New Roman" w:cs="Times New Roman"/>
          <w:color w:val="000000" w:themeColor="text1"/>
          <w:spacing w:val="0"/>
          <w:sz w:val="16"/>
          <w:szCs w:val="16"/>
        </w:rPr>
        <w:softHyphen/>
        <w:t xml:space="preserve">варя 1945 г. в соответствии с Постановлением Государственного Комитета Обороны (ГКО) № 7350 заводу №51 поручили спроектировать и построить по типу </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-1 самолёт- снаряд и в феврале—апреле совместно с ЛИИ провести его испытания. Предусматрива</w:t>
      </w:r>
      <w:r w:rsidRPr="00925F26">
        <w:rPr>
          <w:rFonts w:ascii="Times New Roman" w:cs="Times New Roman"/>
          <w:color w:val="000000" w:themeColor="text1"/>
          <w:spacing w:val="0"/>
          <w:sz w:val="16"/>
          <w:szCs w:val="16"/>
        </w:rPr>
        <w:softHyphen/>
        <w:t>лась постройка 100 экземпляров и подготовка производства к выпуску в марте 300 еди</w:t>
      </w:r>
      <w:r w:rsidRPr="00925F26">
        <w:rPr>
          <w:rFonts w:ascii="Times New Roman" w:cs="Times New Roman"/>
          <w:color w:val="000000" w:themeColor="text1"/>
          <w:spacing w:val="0"/>
          <w:sz w:val="16"/>
          <w:szCs w:val="16"/>
        </w:rPr>
        <w:softHyphen/>
        <w:t>ниц с дальнейшем доведением мощности до 15 аппаратов в сутки.</w:t>
      </w:r>
    </w:p>
    <w:p w14:paraId="666618D4" w14:textId="77777777" w:rsidR="006F0F05" w:rsidRPr="00925F26" w:rsidRDefault="006F0F05"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К серийному производству самолёта-снаряда предстояло привлечь заводы №№ 456, 125, 122 и 451. Стартовые устройства как для наземного, так й для самолётного вари</w:t>
      </w:r>
      <w:r w:rsidRPr="00925F26">
        <w:rPr>
          <w:rFonts w:ascii="Times New Roman" w:cs="Times New Roman"/>
          <w:color w:val="000000" w:themeColor="text1"/>
          <w:spacing w:val="0"/>
          <w:sz w:val="16"/>
          <w:szCs w:val="16"/>
        </w:rPr>
        <w:softHyphen/>
        <w:t>антов должен был спроектировать И.В. Четвериков и изготовить их на заводе № 456 (15790).</w:t>
      </w:r>
    </w:p>
    <w:p w14:paraId="75D370DA" w14:textId="77777777" w:rsidR="006F0F05" w:rsidRPr="00925F26" w:rsidRDefault="006F0F05" w:rsidP="00925F26">
      <w:pPr>
        <w:pStyle w:val="36"/>
        <w:shd w:val="clear" w:color="auto" w:fill="auto"/>
        <w:spacing w:after="0" w:line="240" w:lineRule="auto"/>
        <w:jc w:val="both"/>
        <w:rPr>
          <w:rFonts w:ascii="Times New Roman" w:cs="Times New Roman"/>
          <w:color w:val="000000" w:themeColor="text1"/>
          <w:spacing w:val="0"/>
          <w:sz w:val="16"/>
          <w:szCs w:val="16"/>
        </w:rPr>
      </w:pPr>
    </w:p>
    <w:p w14:paraId="4B9D545B" w14:textId="77777777" w:rsidR="006F0F05" w:rsidRPr="00925F26" w:rsidRDefault="006F0F05" w:rsidP="00925F26">
      <w:pPr>
        <w:pStyle w:val="book"/>
        <w:ind w:firstLine="0"/>
        <w:jc w:val="both"/>
        <w:rPr>
          <w:color w:val="000000" w:themeColor="text1"/>
          <w:sz w:val="16"/>
          <w:szCs w:val="16"/>
        </w:rPr>
      </w:pPr>
      <w:r w:rsidRPr="00925F26">
        <w:rPr>
          <w:color w:val="000000" w:themeColor="text1"/>
          <w:sz w:val="16"/>
          <w:szCs w:val="16"/>
        </w:rPr>
        <w:t>18 января 1945 г. в соответствии с постановлением ГКО заводу № 51 было поручено спроектировать и построить по типу ФАУ-1 самолет-снаряд и совместно с ЛИИ провести его испытания в феврале—апреле 1945 г. Челомеевскому изделию ФАУ-1 был присвоен индекс 10Х. Как и ФАУ, 10Х изготавливалась в вариантах «земля — земля» и «воздух — земля». Причем работы над авиационным вариантом опережали работы над вариантом с наземным пуском. Для испытаний 10Х были переоборудованы три бомбардировщика Пе-8. С апреля по сентябрь 1945 г. на полигоне в Голодной степи (между Ташкентом и Сырдарьей) было запущено 63 ракеты 10Х, и только 30% пусков оказались удачными. В 1946 г. в носители 10Х переоборудовали еще два бомбардировщика Пе-8. С 15 по 20 декабря 1948 г. провели еще 73 пуска ракет 10Х воздушного базирования. Аэродинамическая схема ракеты 10Х нормальная самолетная. Длина ракеты 8 м. Максимальный диаметр корпуса 1,05 м. Размах крыльев 6 м. Первые образцы 10Х имели металлические крылья, а последующие — деревянные. Двигатель пульсирующий Д-3 с тягой 310 кг. Стартовый вес ракеты 2126—2130 кг. Вес боевой части 800 кг. Максимальная скорость полета 550—600 м/с. В 1948 г. по результатам летных испытаний 10Х была рекомендована к принятию на вооружение, но руководство ВВС фактически отказалось ее принимать. Понять их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x 5 км считалось удачным, и это с расстояния 200—300 км! Наконец, ВВС практически не имели носителей для 10Х. Пе-8 состояло всего несколько десятков, а Ту-4 еще не было. Не лучше у Челомея шли дела с самолетом-снарядом наземного базирования 10ХН, разработка которого была начата в 1949 г. Эта ракета была создана на базе 10Х, главное отличие ее заключалось в установке твердотопливного стартового двигателя. В марте 1950 г. эскизный проект был предъявлен заказчику, а в июле 1951 г. на полигоне Капустин Яр начались летные испытания. Испытывались ракеты, стартовые пороховые двигатели СД-10ХН, стартовые салазки и направляющие. По итогам испытаний Государственная комиссия предложила сформировать войсковую часть для освоения и подготовки кадров Советской армии к эксплуатации этого нового вида оружия. С 17 декабря 1952 г. по 11 марта 1953 г. в в/ч 15644 прошли Государственные испытания наземного самолета-снаряда 10ХН, в ходе которых было запущено 15 изделий. Стрельба велась с громоздкой катапульты ПК-10ХН с воздушно-пусковым агрегатом. Катапульту длиной свыше 30 м с трудом перемещал тяжелый тягач АТ-Т. Управление стрельбой велось со спецмашины на базе БТР-40А1. Время развертывания катапульты составляло в среднем около 70 минут. Время перезарядки новой ракеты — 40 минут. Вес изделия 10ХН 3500 кг, из которых 800 кг приходилось на боевую часть. Стрельба велась на дистанцию 240 км по цели, представлявшей квадрат 20 x 20 км. Заданная высота полета — 240 м. Первый пуск состоялся 12 января 1953 г. Ракета поначалу шла на высоте около 200 м, а затем поднялась до 560 м. Средняя скорость полета составляла 656 км/час. Ракета пролетела 235,6 км и не долетела 4,32 км, боковое отклонение составило 3,51 км. Для Челомея это был большой успех. У второй ракеты на 350-й секунде полета отказал двигатель, и она упала на дистанции 113,4 км. Третья ракета пролетела 247,6 км со средней скоростью 658 км/час. Перелет составил 7,66 км, а боковое отклонение — 2,05 км. В итоге в квадрат 20 x 20 км из 15 попали 11 ракет. Высоту полета ракеты выбирали сами — от 200 до 1000 м. Тем не менее работы над 10ХН были продолжены в 1954—1955 гг. Решением Совмина от 19 мая 1954 г. заводу № 475 (г. Смоленск) дали задание изготовить 100 ракет 10ХН, однако уже 3 ноября того же года задание было сокращено вдвое. Ракета 10ХН вновь испытывалась на полигоне Капустин Яр. В ходе этих испытаний длина катапульты была доведена до 11 м, а в самом конце испытаний провели два успешных пуска при длине направляющих 8 м. Тем не менее ракету 10ХН на вооружение так и не приняли. С 1951 г. Челомей проектировал корабельный вариант 10ХН, который в ряде документов именовался «Ласточкой». Крылатая ракета «Ласточка» имела два пороховых ускорителя, из которых один был «ускорителем первой очереди» и размещался на стартовой тележке, то есть выполнял функции катапульты, а другой — «ускоритель второй очереди» — размещался непосредственно на ракете. Ракета должна была стартовать с дорожки длиной около 20 метров с наклоном к горизонту 8—12° и требовала во время старта стабилизации от бортовой качки. Ракета хранилась на подводной лодке полностью заправленной, без съемных консолей крыла и оперения, которые размещались отдельно и должны были присоединяться к ракете непосредственно перед запуском. В 1949 г. ЦКБ-18 под руководством Ф.А. Каверина разработало в нескольких вариантах проект ракетной подводной лодки П-2, вооруженной баллистической ракетой Р-1 и крылатой ракетой «Ласточка». Водоизмещение подводной лодки П-2 составляло 5360 т.</w:t>
      </w:r>
    </w:p>
    <w:p w14:paraId="6DB9F5F5" w14:textId="77777777" w:rsidR="006F0F05" w:rsidRPr="00925F26" w:rsidRDefault="006F0F05" w:rsidP="00925F26">
      <w:pPr>
        <w:pStyle w:val="book"/>
        <w:ind w:firstLine="0"/>
        <w:jc w:val="both"/>
        <w:rPr>
          <w:color w:val="000000" w:themeColor="text1"/>
          <w:sz w:val="16"/>
          <w:szCs w:val="16"/>
        </w:rPr>
      </w:pPr>
      <w:r w:rsidRPr="00925F26">
        <w:rPr>
          <w:color w:val="000000" w:themeColor="text1"/>
          <w:sz w:val="16"/>
          <w:szCs w:val="16"/>
        </w:rPr>
        <w:t xml:space="preserve">В варианте П-2, вооруженном крылатыми ракетами, боекомплект состоял из 51 ракеты «Ласточка», помещенных в три водонепроницаемых блока, установленных в специальных отсеках-нишах. В других вариантах в водонепроницаемых блоках должны были находиться ракеты Р-1 или сверхмалые подводные лодки. Но проект П-2 был признан слишком сложным, и разработку его прекратили. В 1952—1953 гг. в ЦКБ-18 под руководством И.Б. Михайлова был разработан технический проект 628 — переоборудование подводной лодки XTV серии для проведения экспериментальных стрельб ракетами 10ХН. Крылатая ракета размещалась в контейнере диаметром 2,5 м и длиной 10 м. Работа по размещению на подводной лодке ракеты 10ХН и связанных с этим устройств и приборов имела шифр «Волна». Для старта ракеты устанавливалось устройство, состоящее из фермы с механизмами ее подъема и </w:t>
      </w:r>
      <w:proofErr w:type="gramStart"/>
      <w:r w:rsidRPr="00925F26">
        <w:rPr>
          <w:color w:val="000000" w:themeColor="text1"/>
          <w:sz w:val="16"/>
          <w:szCs w:val="16"/>
        </w:rPr>
        <w:t>опускания</w:t>
      </w:r>
      <w:proofErr w:type="gramEnd"/>
      <w:r w:rsidRPr="00925F26">
        <w:rPr>
          <w:color w:val="000000" w:themeColor="text1"/>
          <w:sz w:val="16"/>
          <w:szCs w:val="16"/>
        </w:rPr>
        <w:t xml:space="preserve"> и механизмов подачи ракет на стартовое устройство. Длина стартовой фермы составляла около 30 м, угол ее подъема — около 14°. Стартовое устройство размещалось по диаметральной плоскости в кормовой части лодки. Старт производился против хода подводной лодки. Связующим звеном между стартовым устройством и контейнером служила откидывающаяся кормовая крышка контейнера. Кроме этой крышки, в носовой части контейнера был люк для входа личного состава в контейнер. Контейнер рассчитывался на предельную глубину погружения, внутри его имелась пробковая изоляция. Ракета должна была храниться в контейнере со снятыми консолями крыла.</w:t>
      </w:r>
    </w:p>
    <w:p w14:paraId="121D9C1C" w14:textId="77777777" w:rsidR="006F0F05" w:rsidRPr="00925F26" w:rsidRDefault="006F0F05" w:rsidP="00925F26">
      <w:pPr>
        <w:pStyle w:val="book"/>
        <w:ind w:firstLine="0"/>
        <w:jc w:val="both"/>
        <w:rPr>
          <w:color w:val="000000" w:themeColor="text1"/>
          <w:sz w:val="16"/>
          <w:szCs w:val="16"/>
        </w:rPr>
      </w:pPr>
      <w:r w:rsidRPr="00925F26">
        <w:rPr>
          <w:color w:val="000000" w:themeColor="text1"/>
          <w:sz w:val="16"/>
          <w:szCs w:val="16"/>
        </w:rPr>
        <w:t>Для переоборудования в проект 628 была выделена подводная лодка Б-5 (до мая 1949 г. — К-51). Согласно постановлению Совмина от 19 февраля 1953 г. о прекращении работ по ракетам комплекса «Волна», все разработки проекта 628 также прекратились. В 1948—1950 гг. прорабатывался вариант установки ракет 10Х, 10ХН и 16Х на недостроенный крейсер «Таллин» (проекта 82), трофейный германский крейсер «Зейдлиц» и строившиеся отечественные крейсера проекта 68бис. 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Боевая часть та же, что и у 10Х. Система управления инерциальная. Рассматривался вариант 14Х с системой наведения по проекту «Кометы», но вскоре он был отвергнут. А ракета 14Х тихо скончалась, вопрос о ее принятии на вооружение даже не ставился. 7 мая 1947 г. вышло постановление Совмина № 1401—370 о разработке ракеты 16Х. Внешне и конструктивно 16Х мало отличалась от 14Х. Аэродинамическая схема нормальная самолетная. В качестве носителя мог использоваться Ту-4 (2 ракеты) и Ту-2 (1 ракета). Модификациям ракет 10Х и 16Х Челомей присвоил индексы 10ХМ и 16ХМ. По-английски «X» звучит «экс», в результате к ракетам Челомея приклеилась кличка «экземы» — «экзема-10», «экзема-11». 8 ходе испытаний ракеты 16Х на ней устанавливались различные пульсирующие двигатели: Д-5, Д-312, Д-14—4 и другие. Во время испытаний на полигоне в Ахтубинске с 22 июля по 25 декабря 1948 г. максимальная скорость возросла с 714 до 780 км/ч. В 1949 г. с двигателем Д-14—4 скорость достигла 912 км/час. С 6 сентября по 4 ноября 1950 г. были проведены совместные испытания ракет 16Х. С самолетов Пе-8 и Ту-2 было запущено 20 ракет с двигателями Д-14—4. Дальность стрельбы составила 170 км, а средняя скорость — около 900 км/час. Все снаряды попали в прямоугольник 10,8 x 16 км, что для инерциальной системы управления 16Х сравнительно неплохо. Но и такая меткость ВВС была не нужна. Поэтому принимается решение оснастить 16Х радиокомандной системой наведения, но она так и не была создана. Со 2 по 20 августа 1952 г. прошли совместные испытания ракеты 16Х и носителя Ту-4, в ходе которых было проведено 22 пуска ракет с инерциальной системой управления. Комиссия сочла результаты испытаний успешными, благо, допускаемое круговое отклонение считалось 8 км. Однако 4 октября 1952 г. Главнокомандующий ВВС маршал К.А. Вершинин заявил о невозможности принятия на вооружение 16Х из-за невыполнения требований по точности стрельбы, надежности и прочее. Вершинин предложил до конца 1952 г. провести испытания опытно-серийной партии из 15 самолетов-снарядов 16Х, а в 1953 г., сформировав в ВВС отдельную эскадрилью самолетов-носителей Ту-4, провести испытания войсковой партии из шестидесяти 16Х, из которых двадцать должны быть в боевом снаряжении. Между Минавиапромом, поддерживающим Челомея, и ВВС возник серьезный конфликт. За решением обратились к Сталину. Как писал первый заместитель Челомея Виктор Никифорович Бугайский: «На совещание были приглашены представители командования ВВС и испытательная бригада с полигона. Владимир Николаевич блестяще доложил в оптимистических тонах о результатах испытаний и похвалился, показав фотографии успешных попаданий ракет в цель и схему распределения точек их падения в заданный круг на земле в районе цели. Все это убедительно свидетельствовало о высокой эффективности ракет. Сталин попросил выступить представителей испытательной бригады с полигона. Вышел майор и заявил, что все успехи, о которых говорил В.Н. Челомей, имеют место, но на своей схеме он показал только успешные пуски. А таких пусков немного, основная масса испытанных ракет или не долетела до цели, или точки их падения лежат далеко за пределами заданной окружности. Затем он представил свою схему с совершенно неоптимистической картиной результатов работы. Сталин поинтересовался у присутствующих генералов, так ли все обстоит на самом деле, как доложил майор. Те подтвердили правоту майора. Тогда Сталин подвел итоги совещания: "Мы Вам, товарищ Челомей, оказали большое доверие, поручив руководить работами в столь важной для нас области техники. Вы доверие не оправдали. По-моему, Вы — авантюрист в технике, и мы не можем Вам больше доверять! Вам нельзя быть руководителем!"». 19 декабря 1952 г. вышло постановление Совмина СССР за № 533—271, где говорилось: «Объекты 10ХН и 16Х закончены разработкой, а дальнейшие работы по созданию крылатых неуправляемых ракет с ПуВРД, проводимые в ОКБ-51 (конструктор Челомей), являются неперспективными, ввиду малых точностей и ограниченных скоростей, обеспечиваемых указанными ракетами.... Обязать МАП до 1 марта 1953 г. ОКБ-51 с его опытным заводом передать в систему ОКБ-155 [т.е. Микояну. —А.Ш.] по состоянию на 1 марта 1953 г. для усиления работ по заказам 3 Главного управления при СМ СССР». Таким образом, контора Челомея за девять лет работы не сумела довести до принятия на вооружение ни одной ракеты (15225).</w:t>
      </w:r>
    </w:p>
    <w:p w14:paraId="14FAAB6D" w14:textId="77777777" w:rsidR="006F0F05" w:rsidRPr="00925F26" w:rsidRDefault="006F0F05" w:rsidP="00925F26">
      <w:pPr>
        <w:pStyle w:val="book"/>
        <w:ind w:firstLine="0"/>
        <w:jc w:val="both"/>
        <w:rPr>
          <w:color w:val="000000" w:themeColor="text1"/>
          <w:sz w:val="16"/>
          <w:szCs w:val="16"/>
        </w:rPr>
      </w:pPr>
    </w:p>
    <w:p w14:paraId="6A5E2D11" w14:textId="77777777" w:rsidR="008A50E4" w:rsidRPr="00925F26" w:rsidRDefault="008A50E4" w:rsidP="00925F26">
      <w:pPr>
        <w:jc w:val="both"/>
        <w:rPr>
          <w:color w:val="000000" w:themeColor="text1"/>
          <w:sz w:val="16"/>
          <w:szCs w:val="16"/>
        </w:rPr>
      </w:pPr>
      <w:r w:rsidRPr="00925F26">
        <w:rPr>
          <w:color w:val="000000" w:themeColor="text1"/>
          <w:sz w:val="16"/>
          <w:szCs w:val="16"/>
        </w:rPr>
        <w:lastRenderedPageBreak/>
        <w:t>18 января 1945 года своим постановлением ГКО дал оцен</w:t>
      </w:r>
      <w:r w:rsidRPr="00925F26">
        <w:rPr>
          <w:color w:val="000000" w:themeColor="text1"/>
          <w:sz w:val="16"/>
          <w:szCs w:val="16"/>
        </w:rPr>
        <w:softHyphen/>
        <w:t>ку действиям по созданию самолета-снаряда, рекомендовал продолжить отработку в аэродинамической трубе ЦАГИ и установил новые сроки ра</w:t>
      </w:r>
      <w:r w:rsidRPr="00925F26">
        <w:rPr>
          <w:color w:val="000000" w:themeColor="text1"/>
          <w:sz w:val="16"/>
          <w:szCs w:val="16"/>
        </w:rPr>
        <w:softHyphen/>
        <w:t>бот. 10-Х не был принят на вооружение. ВВС от</w:t>
      </w:r>
      <w:r w:rsidRPr="00925F26">
        <w:rPr>
          <w:color w:val="000000" w:themeColor="text1"/>
          <w:sz w:val="16"/>
          <w:szCs w:val="16"/>
        </w:rPr>
        <w:softHyphen/>
        <w:t>казались от поспешного боевого применения, тем более что успех Красной Армии уже не зависел от нового чудо-оружия.</w:t>
      </w:r>
    </w:p>
    <w:p w14:paraId="39F3CD8D" w14:textId="77777777" w:rsidR="008A50E4" w:rsidRPr="00925F26" w:rsidRDefault="008A50E4" w:rsidP="00925F26">
      <w:pPr>
        <w:jc w:val="both"/>
        <w:rPr>
          <w:color w:val="000000" w:themeColor="text1"/>
          <w:sz w:val="16"/>
          <w:szCs w:val="16"/>
        </w:rPr>
      </w:pPr>
      <w:r w:rsidRPr="00925F26">
        <w:rPr>
          <w:color w:val="000000" w:themeColor="text1"/>
          <w:sz w:val="16"/>
          <w:szCs w:val="16"/>
        </w:rPr>
        <w:t>Встал вопрос: где проводить летные испытания? Полигон Джизак оказался совер</w:t>
      </w:r>
      <w:r w:rsidRPr="00925F26">
        <w:rPr>
          <w:color w:val="000000" w:themeColor="text1"/>
          <w:sz w:val="16"/>
          <w:szCs w:val="16"/>
        </w:rPr>
        <w:softHyphen/>
        <w:t>шенно неприспособленным. Собственно, никакого полигона там не было. Но стрелять в Подмосковье ракетами с большой даль</w:t>
      </w:r>
      <w:r w:rsidRPr="00925F26">
        <w:rPr>
          <w:color w:val="000000" w:themeColor="text1"/>
          <w:sz w:val="16"/>
          <w:szCs w:val="16"/>
        </w:rPr>
        <w:softHyphen/>
        <w:t>ностью полета было невозможно. Кроме того, пульсирующий двигатель при работе издавал чрезвычайно громкие звуки, похо</w:t>
      </w:r>
      <w:r w:rsidRPr="00925F26">
        <w:rPr>
          <w:color w:val="000000" w:themeColor="text1"/>
          <w:sz w:val="16"/>
          <w:szCs w:val="16"/>
        </w:rPr>
        <w:softHyphen/>
        <w:t>жие на артиллерийскую стрельбу. Эти звуки не на шутку пугали окрестных жителей, в чьей памяти еще был свеж грохот настоя</w:t>
      </w:r>
      <w:r w:rsidRPr="00925F26">
        <w:rPr>
          <w:color w:val="000000" w:themeColor="text1"/>
          <w:sz w:val="16"/>
          <w:szCs w:val="16"/>
        </w:rPr>
        <w:softHyphen/>
        <w:t>щей военной артиллерийской канонады.</w:t>
      </w:r>
    </w:p>
    <w:p w14:paraId="59217509" w14:textId="77777777" w:rsidR="008A50E4" w:rsidRPr="00925F26" w:rsidRDefault="008A50E4" w:rsidP="00925F26">
      <w:pPr>
        <w:jc w:val="both"/>
        <w:rPr>
          <w:color w:val="000000" w:themeColor="text1"/>
          <w:sz w:val="16"/>
          <w:szCs w:val="16"/>
        </w:rPr>
      </w:pPr>
      <w:r w:rsidRPr="00925F26">
        <w:rPr>
          <w:color w:val="000000" w:themeColor="text1"/>
          <w:sz w:val="16"/>
          <w:szCs w:val="16"/>
        </w:rPr>
        <w:t>Первые специалисты прибыли в Джизак в марте. Во главе группы были Челомей и главный конструктор системы управле</w:t>
      </w:r>
      <w:r w:rsidRPr="00925F26">
        <w:rPr>
          <w:color w:val="000000" w:themeColor="text1"/>
          <w:sz w:val="16"/>
          <w:szCs w:val="16"/>
        </w:rPr>
        <w:softHyphen/>
        <w:t>ния московского завода № 118 В.Э.Сорокин (23510).</w:t>
      </w:r>
    </w:p>
    <w:p w14:paraId="7393B9CD" w14:textId="77777777" w:rsidR="008A50E4" w:rsidRPr="00925F26" w:rsidRDefault="008A50E4" w:rsidP="00925F26">
      <w:pPr>
        <w:jc w:val="both"/>
        <w:rPr>
          <w:color w:val="000000" w:themeColor="text1"/>
          <w:sz w:val="16"/>
          <w:szCs w:val="16"/>
        </w:rPr>
      </w:pPr>
    </w:p>
    <w:p w14:paraId="054BDE05" w14:textId="77777777" w:rsidR="008A50E4" w:rsidRPr="00925F26" w:rsidRDefault="008A50E4" w:rsidP="00925F26">
      <w:pPr>
        <w:jc w:val="both"/>
        <w:rPr>
          <w:color w:val="000000" w:themeColor="text1"/>
          <w:sz w:val="16"/>
          <w:szCs w:val="16"/>
        </w:rPr>
      </w:pPr>
      <w:r w:rsidRPr="00925F26">
        <w:rPr>
          <w:color w:val="000000" w:themeColor="text1"/>
          <w:sz w:val="16"/>
          <w:szCs w:val="16"/>
        </w:rPr>
        <w:t>18 января 1945 г. Постановление ГКО СССР Ш 7350 «О самолетах—снарядах»</w:t>
      </w:r>
    </w:p>
    <w:p w14:paraId="4A9112B3" w14:textId="77777777" w:rsidR="008A50E4" w:rsidRPr="00925F26" w:rsidRDefault="008A50E4" w:rsidP="00925F26">
      <w:pPr>
        <w:jc w:val="both"/>
        <w:rPr>
          <w:color w:val="000000" w:themeColor="text1"/>
          <w:sz w:val="16"/>
          <w:szCs w:val="16"/>
        </w:rPr>
      </w:pPr>
      <w:r w:rsidRPr="00925F26">
        <w:rPr>
          <w:color w:val="000000" w:themeColor="text1"/>
          <w:sz w:val="16"/>
          <w:szCs w:val="16"/>
        </w:rPr>
        <w:t>Сов. секретно</w:t>
      </w:r>
    </w:p>
    <w:p w14:paraId="3A872F4D" w14:textId="77777777" w:rsidR="008A50E4" w:rsidRPr="00925F26" w:rsidRDefault="008A50E4" w:rsidP="00925F26">
      <w:pPr>
        <w:jc w:val="both"/>
        <w:rPr>
          <w:color w:val="000000" w:themeColor="text1"/>
          <w:sz w:val="16"/>
          <w:szCs w:val="16"/>
        </w:rPr>
      </w:pPr>
      <w:r w:rsidRPr="00925F26">
        <w:rPr>
          <w:color w:val="000000" w:themeColor="text1"/>
          <w:sz w:val="16"/>
          <w:szCs w:val="16"/>
        </w:rPr>
        <w:t>Особой важности</w:t>
      </w:r>
    </w:p>
    <w:p w14:paraId="6F2E6161" w14:textId="77777777" w:rsidR="008A50E4" w:rsidRPr="00925F26" w:rsidRDefault="008A50E4" w:rsidP="00925F26">
      <w:pPr>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615AC038" w14:textId="77777777" w:rsidR="008A50E4" w:rsidRPr="00925F26" w:rsidRDefault="008A50E4" w:rsidP="00925F26">
      <w:pPr>
        <w:jc w:val="both"/>
        <w:rPr>
          <w:color w:val="000000" w:themeColor="text1"/>
          <w:sz w:val="16"/>
          <w:szCs w:val="16"/>
        </w:rPr>
      </w:pPr>
      <w:r w:rsidRPr="00925F26">
        <w:rPr>
          <w:color w:val="000000" w:themeColor="text1"/>
          <w:sz w:val="16"/>
          <w:szCs w:val="16"/>
        </w:rPr>
        <w:t>1. Принять к сведению сообщение Наркомавиапрома Шахурина о том, что:</w:t>
      </w:r>
    </w:p>
    <w:p w14:paraId="718D1974" w14:textId="77777777" w:rsidR="008A50E4" w:rsidRPr="00925F26" w:rsidRDefault="008A50E4" w:rsidP="00925F26">
      <w:pPr>
        <w:jc w:val="both"/>
        <w:rPr>
          <w:color w:val="000000" w:themeColor="text1"/>
          <w:sz w:val="16"/>
          <w:szCs w:val="16"/>
        </w:rPr>
      </w:pPr>
      <w:r w:rsidRPr="00925F26">
        <w:rPr>
          <w:color w:val="000000" w:themeColor="text1"/>
          <w:sz w:val="16"/>
          <w:szCs w:val="16"/>
        </w:rPr>
        <w:t>а) конструктором реактивных двигателей т. Челомеем разработаны и построены на заводе № 51 воздушно-реактивные двигатели, работающие по принципу резонансноволновых колебаний потока газов и самолеты—снаряды с этими двигателями;</w:t>
      </w:r>
    </w:p>
    <w:p w14:paraId="4D1673AC" w14:textId="77777777" w:rsidR="008A50E4" w:rsidRPr="00925F26" w:rsidRDefault="008A50E4" w:rsidP="00925F26">
      <w:pPr>
        <w:jc w:val="both"/>
        <w:rPr>
          <w:color w:val="000000" w:themeColor="text1"/>
          <w:sz w:val="16"/>
          <w:szCs w:val="16"/>
        </w:rPr>
      </w:pPr>
      <w:r w:rsidRPr="00925F26">
        <w:rPr>
          <w:color w:val="000000" w:themeColor="text1"/>
          <w:sz w:val="16"/>
          <w:szCs w:val="16"/>
        </w:rPr>
        <w:t>б) воздушно-реактивные двигатели имеют следующие данные</w:t>
      </w:r>
    </w:p>
    <w:p w14:paraId="71606320" w14:textId="77777777" w:rsidR="008A50E4" w:rsidRPr="00925F26" w:rsidRDefault="008A50E4" w:rsidP="00925F26">
      <w:pPr>
        <w:jc w:val="both"/>
        <w:rPr>
          <w:color w:val="000000" w:themeColor="text1"/>
          <w:sz w:val="16"/>
          <w:szCs w:val="16"/>
        </w:rPr>
      </w:pPr>
      <w:r w:rsidRPr="00925F26">
        <w:rPr>
          <w:color w:val="000000" w:themeColor="text1"/>
          <w:sz w:val="16"/>
          <w:szCs w:val="16"/>
        </w:rPr>
        <w:t>— двигатель Д-3, по данным заводских испытаний, тяга 310 кг, вес 167 кг, удельный расход горючего 3,5 кг в час на I кг тяги;</w:t>
      </w:r>
    </w:p>
    <w:p w14:paraId="19C7B412" w14:textId="77777777" w:rsidR="008A50E4" w:rsidRPr="00925F26" w:rsidRDefault="008A50E4" w:rsidP="00925F26">
      <w:pPr>
        <w:jc w:val="both"/>
        <w:rPr>
          <w:color w:val="000000" w:themeColor="text1"/>
          <w:sz w:val="16"/>
          <w:szCs w:val="16"/>
        </w:rPr>
      </w:pPr>
      <w:r w:rsidRPr="00925F26">
        <w:rPr>
          <w:color w:val="000000" w:themeColor="text1"/>
          <w:sz w:val="16"/>
          <w:szCs w:val="16"/>
        </w:rPr>
        <w:t>- двигатель Д—5, по данным предварител] удельный расход горючего 3,5 кг в час на I кг тяги; вес 230 кг,</w:t>
      </w:r>
    </w:p>
    <w:p w14:paraId="1D53CA51" w14:textId="77777777" w:rsidR="008A50E4" w:rsidRPr="00925F26" w:rsidRDefault="008A50E4" w:rsidP="00925F26">
      <w:pPr>
        <w:jc w:val="both"/>
        <w:rPr>
          <w:color w:val="000000" w:themeColor="text1"/>
          <w:sz w:val="16"/>
          <w:szCs w:val="16"/>
        </w:rPr>
      </w:pPr>
      <w:r w:rsidRPr="00925F26">
        <w:rPr>
          <w:color w:val="000000" w:themeColor="text1"/>
          <w:sz w:val="16"/>
          <w:szCs w:val="16"/>
        </w:rPr>
        <w:t>в) НКАП построено 2 опытных со следующими расчетными данными:</w:t>
      </w:r>
    </w:p>
    <w:p w14:paraId="32854C9C" w14:textId="77777777" w:rsidR="008A50E4" w:rsidRPr="00925F26" w:rsidRDefault="008A50E4" w:rsidP="00925F26">
      <w:pPr>
        <w:jc w:val="both"/>
        <w:rPr>
          <w:color w:val="000000" w:themeColor="text1"/>
          <w:sz w:val="16"/>
          <w:szCs w:val="16"/>
        </w:rPr>
      </w:pPr>
      <w:r w:rsidRPr="00925F26">
        <w:rPr>
          <w:color w:val="000000" w:themeColor="text1"/>
          <w:sz w:val="16"/>
          <w:szCs w:val="16"/>
        </w:rPr>
        <w:t>самолет—снаряд с двигателем Д—3 имеет вес 2130 кг, вес взрывчатого вещества 800 кг, дальность полета 240 км, скорость полета 550—600 км в час;</w:t>
      </w:r>
    </w:p>
    <w:p w14:paraId="3ED8C594" w14:textId="77777777" w:rsidR="008A50E4" w:rsidRPr="00925F26" w:rsidRDefault="008A50E4" w:rsidP="00925F26">
      <w:pPr>
        <w:jc w:val="both"/>
        <w:rPr>
          <w:color w:val="000000" w:themeColor="text1"/>
          <w:sz w:val="16"/>
          <w:szCs w:val="16"/>
        </w:rPr>
      </w:pPr>
      <w:r w:rsidRPr="00925F26">
        <w:rPr>
          <w:color w:val="000000" w:themeColor="text1"/>
          <w:sz w:val="16"/>
          <w:szCs w:val="16"/>
        </w:rPr>
        <w:t>самолет—снаряд с двигателем Д—5 имеет вес 2120 кг, вес взрывчатого вещества 800 кг, дальность полета 230 км, скорость полета 700 км в час;</w:t>
      </w:r>
    </w:p>
    <w:p w14:paraId="1D208E7E" w14:textId="77777777" w:rsidR="008A50E4" w:rsidRPr="00925F26" w:rsidRDefault="008A50E4" w:rsidP="00925F26">
      <w:pPr>
        <w:jc w:val="both"/>
        <w:rPr>
          <w:color w:val="000000" w:themeColor="text1"/>
          <w:sz w:val="16"/>
          <w:szCs w:val="16"/>
        </w:rPr>
      </w:pPr>
      <w:r w:rsidRPr="00925F26">
        <w:rPr>
          <w:color w:val="000000" w:themeColor="text1"/>
          <w:sz w:val="16"/>
          <w:szCs w:val="16"/>
        </w:rPr>
        <w:t>г) ввиду того что наземные пусковые стартовые устройства еще не разработаны, пуск самолетов-снарядов будет производиться — самолета—снаряда с двигателем Д—3 с самолета бомбардировщика Пе—8 и самолета—снаряда с двигателем Д—5 с самолетов бомбардировщиков Ил-4 и Ер-2;</w:t>
      </w:r>
    </w:p>
    <w:p w14:paraId="05073571" w14:textId="77777777" w:rsidR="008A50E4" w:rsidRPr="00925F26" w:rsidRDefault="008A50E4" w:rsidP="00925F26">
      <w:pPr>
        <w:jc w:val="both"/>
        <w:rPr>
          <w:color w:val="000000" w:themeColor="text1"/>
          <w:sz w:val="16"/>
          <w:szCs w:val="16"/>
        </w:rPr>
      </w:pPr>
      <w:r w:rsidRPr="00925F26">
        <w:rPr>
          <w:color w:val="000000" w:themeColor="text1"/>
          <w:sz w:val="16"/>
          <w:szCs w:val="16"/>
        </w:rPr>
        <w:t>д) конструктором по автопилотам Соркиным разработаны и построены на заводе № 122 НКАП автопилоты и магнитные компасы—курсодержатели для управления самолетомснарядом в полете.</w:t>
      </w:r>
    </w:p>
    <w:p w14:paraId="0099F656" w14:textId="77777777" w:rsidR="008A50E4" w:rsidRPr="00925F26" w:rsidRDefault="008A50E4" w:rsidP="00925F26">
      <w:pPr>
        <w:jc w:val="both"/>
        <w:rPr>
          <w:color w:val="000000" w:themeColor="text1"/>
          <w:sz w:val="16"/>
          <w:szCs w:val="16"/>
        </w:rPr>
      </w:pPr>
      <w:r w:rsidRPr="00925F26">
        <w:rPr>
          <w:color w:val="000000" w:themeColor="text1"/>
          <w:sz w:val="16"/>
          <w:szCs w:val="16"/>
        </w:rPr>
        <w:t>2. В целях проведения летных испытаний самолетов—снарядов и определения их летно-тактических данных, обязать Наркомавиапром Шахурина построить:</w:t>
      </w:r>
    </w:p>
    <w:p w14:paraId="2D8C0341" w14:textId="77777777" w:rsidR="008A50E4" w:rsidRPr="00925F26" w:rsidRDefault="008A50E4" w:rsidP="00925F26">
      <w:pPr>
        <w:jc w:val="both"/>
        <w:rPr>
          <w:color w:val="000000" w:themeColor="text1"/>
          <w:sz w:val="16"/>
          <w:szCs w:val="16"/>
        </w:rPr>
      </w:pPr>
      <w:r w:rsidRPr="00925F26">
        <w:rPr>
          <w:color w:val="000000" w:themeColor="text1"/>
          <w:sz w:val="16"/>
          <w:szCs w:val="16"/>
        </w:rPr>
        <w:t>а) на завожах №№ 125 и 51 НКАП 100, в том числе в феврале 10, в марте 30 и в апреле с.г. 60 самолетов—снарядов;</w:t>
      </w:r>
    </w:p>
    <w:p w14:paraId="6F65AF6D" w14:textId="77777777" w:rsidR="008A50E4" w:rsidRPr="00925F26" w:rsidRDefault="008A50E4" w:rsidP="00925F26">
      <w:pPr>
        <w:jc w:val="both"/>
        <w:rPr>
          <w:color w:val="000000" w:themeColor="text1"/>
          <w:sz w:val="16"/>
          <w:szCs w:val="16"/>
        </w:rPr>
      </w:pPr>
      <w:r w:rsidRPr="00925F26">
        <w:rPr>
          <w:color w:val="000000" w:themeColor="text1"/>
          <w:sz w:val="16"/>
          <w:szCs w:val="16"/>
        </w:rPr>
        <w:t>б) на заводе № 122 НКАП 105 комплектов автопилотов и компасов—курсодержателей, в том числе в феврале 15 комплектов, в марте 30 комплектов и в апреле с.г. 60 комплектов.</w:t>
      </w:r>
    </w:p>
    <w:p w14:paraId="2B07D3A2" w14:textId="77777777" w:rsidR="008A50E4" w:rsidRPr="00925F26" w:rsidRDefault="008A50E4" w:rsidP="00925F26">
      <w:pPr>
        <w:jc w:val="both"/>
        <w:rPr>
          <w:color w:val="000000" w:themeColor="text1"/>
          <w:sz w:val="16"/>
          <w:szCs w:val="16"/>
        </w:rPr>
      </w:pPr>
      <w:r w:rsidRPr="00925F26">
        <w:rPr>
          <w:color w:val="000000" w:themeColor="text1"/>
          <w:sz w:val="16"/>
          <w:szCs w:val="16"/>
        </w:rPr>
        <w:t>3. Обязать Наркомбоеприпасов</w:t>
      </w:r>
    </w:p>
    <w:p w14:paraId="664EC6CA" w14:textId="77777777" w:rsidR="008A50E4" w:rsidRPr="00925F26" w:rsidRDefault="008A50E4" w:rsidP="00925F26">
      <w:pPr>
        <w:jc w:val="both"/>
        <w:rPr>
          <w:color w:val="000000" w:themeColor="text1"/>
          <w:sz w:val="16"/>
          <w:szCs w:val="16"/>
        </w:rPr>
      </w:pPr>
      <w:r w:rsidRPr="00925F26">
        <w:rPr>
          <w:color w:val="000000" w:themeColor="text1"/>
          <w:sz w:val="16"/>
          <w:szCs w:val="16"/>
        </w:rPr>
        <w:t>т. Ванникова:</w:t>
      </w:r>
    </w:p>
    <w:p w14:paraId="772D2486" w14:textId="77777777" w:rsidR="008A50E4" w:rsidRPr="00925F26" w:rsidRDefault="008A50E4" w:rsidP="00925F26">
      <w:pPr>
        <w:jc w:val="both"/>
        <w:rPr>
          <w:color w:val="000000" w:themeColor="text1"/>
          <w:sz w:val="16"/>
          <w:szCs w:val="16"/>
        </w:rPr>
      </w:pPr>
      <w:r w:rsidRPr="00925F26">
        <w:rPr>
          <w:color w:val="000000" w:themeColor="text1"/>
          <w:sz w:val="16"/>
          <w:szCs w:val="16"/>
        </w:rPr>
        <w:t>а) разработать и изготовить боевую часть самолетов—снарядов с весом взрывчатого вещества 800 кг комплектно с взрывателями;</w:t>
      </w:r>
    </w:p>
    <w:p w14:paraId="19DF0D29" w14:textId="77777777" w:rsidR="008A50E4" w:rsidRPr="00925F26" w:rsidRDefault="008A50E4" w:rsidP="00925F26">
      <w:pPr>
        <w:jc w:val="both"/>
        <w:rPr>
          <w:color w:val="000000" w:themeColor="text1"/>
          <w:sz w:val="16"/>
          <w:szCs w:val="16"/>
        </w:rPr>
      </w:pPr>
      <w:r w:rsidRPr="00925F26">
        <w:rPr>
          <w:color w:val="000000" w:themeColor="text1"/>
          <w:sz w:val="16"/>
          <w:szCs w:val="16"/>
        </w:rPr>
        <w:t>б) изготовить 100 комплектов боевой части самолетов—снарядов, в том числе в феврале 10 комплектов, в марте 30 и в апреле с.г. 60 комплектов</w:t>
      </w:r>
    </w:p>
    <w:p w14:paraId="1D08A7B4" w14:textId="77777777" w:rsidR="008A50E4" w:rsidRPr="00925F26" w:rsidRDefault="008A50E4" w:rsidP="00925F26">
      <w:pPr>
        <w:jc w:val="both"/>
        <w:rPr>
          <w:color w:val="000000" w:themeColor="text1"/>
          <w:sz w:val="16"/>
          <w:szCs w:val="16"/>
        </w:rPr>
      </w:pPr>
      <w:r w:rsidRPr="00925F26">
        <w:rPr>
          <w:color w:val="000000" w:themeColor="text1"/>
          <w:sz w:val="16"/>
          <w:szCs w:val="16"/>
        </w:rPr>
        <w:t>4. В целях сокращения времени подготовки к серийному производству самолетовснарядов, двигателей к ним и автоматики управления, обязать Еаркомавиапром — т. Шахурина и Наркомбоеприпасов — т. Ванникова, не дожидаясь окончания испытаний, приступить к организации серийного производства самолетов-снарядов с реактивными двигателями, автоматики управления и боевой части самолетов—снарядов на своих заводах.</w:t>
      </w:r>
    </w:p>
    <w:p w14:paraId="701654A4" w14:textId="77777777" w:rsidR="008A50E4" w:rsidRPr="00925F26" w:rsidRDefault="008A50E4" w:rsidP="00925F26">
      <w:pPr>
        <w:jc w:val="both"/>
        <w:rPr>
          <w:color w:val="000000" w:themeColor="text1"/>
          <w:sz w:val="16"/>
          <w:szCs w:val="16"/>
        </w:rPr>
      </w:pPr>
      <w:r w:rsidRPr="00925F26">
        <w:rPr>
          <w:color w:val="000000" w:themeColor="text1"/>
          <w:sz w:val="16"/>
          <w:szCs w:val="16"/>
        </w:rPr>
        <w:t>5. Обязать Наркомавиапром</w:t>
      </w:r>
    </w:p>
    <w:p w14:paraId="23BA16E2" w14:textId="77777777" w:rsidR="008A50E4" w:rsidRPr="00925F26" w:rsidRDefault="008A50E4" w:rsidP="00925F26">
      <w:pPr>
        <w:jc w:val="both"/>
        <w:rPr>
          <w:color w:val="000000" w:themeColor="text1"/>
          <w:sz w:val="16"/>
          <w:szCs w:val="16"/>
        </w:rPr>
      </w:pPr>
      <w:r w:rsidRPr="00925F26">
        <w:rPr>
          <w:color w:val="000000" w:themeColor="text1"/>
          <w:sz w:val="16"/>
          <w:szCs w:val="16"/>
        </w:rPr>
        <w:t>Т. Шахурина и главного конструктора завода № 51 — т. Челомея провести в течение февраля-апреля с.г. летные испытания самолетовснарядов, с целью определения скорости полета самолетов—снарядов, работы автопилотов, компасов-курсодержателей, устойчивости самолетов-снарядов в полете, дальности полета, кучности попадания, отработки методов боевого применения и запуска самолетов—снарядов.</w:t>
      </w:r>
    </w:p>
    <w:p w14:paraId="350CA6F5" w14:textId="77777777" w:rsidR="008A50E4" w:rsidRPr="00925F26" w:rsidRDefault="008A50E4" w:rsidP="00925F26">
      <w:pPr>
        <w:jc w:val="both"/>
        <w:rPr>
          <w:color w:val="000000" w:themeColor="text1"/>
          <w:sz w:val="16"/>
          <w:szCs w:val="16"/>
        </w:rPr>
      </w:pPr>
      <w:r w:rsidRPr="00925F26">
        <w:rPr>
          <w:color w:val="000000" w:themeColor="text1"/>
          <w:sz w:val="16"/>
          <w:szCs w:val="16"/>
        </w:rPr>
        <w:t>Испытания самолетов—снарядов провести в Средней Азии в районе Голодной степи.</w:t>
      </w:r>
    </w:p>
    <w:p w14:paraId="416DCA17" w14:textId="77777777" w:rsidR="008A50E4" w:rsidRPr="00925F26" w:rsidRDefault="008A50E4" w:rsidP="00925F26">
      <w:pPr>
        <w:jc w:val="both"/>
        <w:rPr>
          <w:color w:val="000000" w:themeColor="text1"/>
          <w:sz w:val="16"/>
          <w:szCs w:val="16"/>
        </w:rPr>
      </w:pPr>
      <w:r w:rsidRPr="00925F26">
        <w:rPr>
          <w:color w:val="000000" w:themeColor="text1"/>
          <w:sz w:val="16"/>
          <w:szCs w:val="16"/>
        </w:rPr>
        <w:t>6. Выделить Наркомавиапрому — т. Шахурину из резервного фонда СНК СССР 3 млн. рублей на премирование работников, отличившихся при выполнении задания по созданию самолетов—снарядов, двигателей к ним и приборов автоматического управления.</w:t>
      </w:r>
    </w:p>
    <w:p w14:paraId="2BEE99F7" w14:textId="77777777" w:rsidR="008A50E4" w:rsidRPr="00925F26" w:rsidRDefault="008A50E4" w:rsidP="00925F26">
      <w:pPr>
        <w:jc w:val="both"/>
        <w:rPr>
          <w:color w:val="000000" w:themeColor="text1"/>
          <w:sz w:val="16"/>
          <w:szCs w:val="16"/>
        </w:rPr>
      </w:pPr>
      <w:r w:rsidRPr="00925F26">
        <w:rPr>
          <w:color w:val="000000" w:themeColor="text1"/>
          <w:sz w:val="16"/>
          <w:szCs w:val="16"/>
        </w:rPr>
        <w:t>Разрешить Наркомавиапрому 50% указанных премиальных сумм расходовать в процессе выполнения задания.</w:t>
      </w:r>
    </w:p>
    <w:p w14:paraId="7B9568C0" w14:textId="77777777" w:rsidR="008A50E4" w:rsidRPr="00925F26" w:rsidRDefault="008A50E4" w:rsidP="00925F26">
      <w:pPr>
        <w:jc w:val="both"/>
        <w:rPr>
          <w:color w:val="000000" w:themeColor="text1"/>
          <w:sz w:val="16"/>
          <w:szCs w:val="16"/>
        </w:rPr>
      </w:pPr>
      <w:r w:rsidRPr="00925F26">
        <w:rPr>
          <w:color w:val="000000" w:themeColor="text1"/>
          <w:sz w:val="16"/>
          <w:szCs w:val="16"/>
        </w:rPr>
        <w:t>7. Выделить Наркомбоеприпасов т. Ванникову из резервного фонда СНК СССР 300 тысяч рублей для премирования работников, отличившихся при выполнении задания по изготовлению боевой части самолетов—снарядов.</w:t>
      </w:r>
    </w:p>
    <w:p w14:paraId="2DE08DA7" w14:textId="77777777" w:rsidR="008A50E4" w:rsidRPr="00925F26" w:rsidRDefault="008A50E4" w:rsidP="00925F26">
      <w:pPr>
        <w:jc w:val="both"/>
        <w:rPr>
          <w:color w:val="000000" w:themeColor="text1"/>
          <w:sz w:val="16"/>
          <w:szCs w:val="16"/>
        </w:rPr>
      </w:pPr>
      <w:r w:rsidRPr="00925F26">
        <w:rPr>
          <w:color w:val="000000" w:themeColor="text1"/>
          <w:sz w:val="16"/>
          <w:szCs w:val="16"/>
        </w:rPr>
        <w:t>8. Установить следующие персональные премии главным конструкторам:</w:t>
      </w:r>
    </w:p>
    <w:p w14:paraId="1AA71BE8" w14:textId="77777777" w:rsidR="008A50E4" w:rsidRPr="00925F26" w:rsidRDefault="008A50E4" w:rsidP="00925F26">
      <w:pPr>
        <w:jc w:val="both"/>
        <w:rPr>
          <w:color w:val="000000" w:themeColor="text1"/>
          <w:sz w:val="16"/>
          <w:szCs w:val="16"/>
        </w:rPr>
      </w:pPr>
      <w:r w:rsidRPr="00925F26">
        <w:rPr>
          <w:color w:val="000000" w:themeColor="text1"/>
          <w:sz w:val="16"/>
          <w:szCs w:val="16"/>
        </w:rPr>
        <w:t>за создание самолета—снаряда с двигателем - 150 тыс. руб.</w:t>
      </w:r>
    </w:p>
    <w:p w14:paraId="17E65DC3" w14:textId="77777777" w:rsidR="008A50E4" w:rsidRPr="00925F26" w:rsidRDefault="008A50E4" w:rsidP="00925F26">
      <w:pPr>
        <w:jc w:val="both"/>
        <w:rPr>
          <w:color w:val="000000" w:themeColor="text1"/>
          <w:sz w:val="16"/>
          <w:szCs w:val="16"/>
        </w:rPr>
      </w:pPr>
      <w:r w:rsidRPr="00925F26">
        <w:rPr>
          <w:color w:val="000000" w:themeColor="text1"/>
          <w:sz w:val="16"/>
          <w:szCs w:val="16"/>
        </w:rPr>
        <w:t>за выполнение задания по автоматике управления самолетом—снарядом - 50 тыс. руб.</w:t>
      </w:r>
    </w:p>
    <w:p w14:paraId="7BA7CA71" w14:textId="77777777" w:rsidR="008A50E4" w:rsidRPr="00925F26" w:rsidRDefault="008A50E4" w:rsidP="00925F26">
      <w:pPr>
        <w:jc w:val="both"/>
        <w:rPr>
          <w:color w:val="000000" w:themeColor="text1"/>
          <w:sz w:val="16"/>
          <w:szCs w:val="16"/>
        </w:rPr>
      </w:pPr>
      <w:r w:rsidRPr="00925F26">
        <w:rPr>
          <w:color w:val="000000" w:themeColor="text1"/>
          <w:sz w:val="16"/>
          <w:szCs w:val="16"/>
        </w:rPr>
        <w:t>за создание наземных пусковых устройств для самолетов—снарядов — 75 тыс. руб.</w:t>
      </w:r>
    </w:p>
    <w:p w14:paraId="6F0E51A0" w14:textId="77777777" w:rsidR="008A50E4" w:rsidRPr="00925F26" w:rsidRDefault="008A50E4" w:rsidP="00925F26">
      <w:pPr>
        <w:jc w:val="both"/>
        <w:rPr>
          <w:color w:val="000000" w:themeColor="text1"/>
          <w:sz w:val="16"/>
          <w:szCs w:val="16"/>
        </w:rPr>
      </w:pPr>
      <w:r w:rsidRPr="00925F26">
        <w:rPr>
          <w:color w:val="000000" w:themeColor="text1"/>
          <w:sz w:val="16"/>
          <w:szCs w:val="16"/>
        </w:rPr>
        <w:t>9. Утвердить мероприятия по обеспечению организации производства самолетов-снарядов, двигателей к ним, автоматики управления и проведению летных испытаний их (см. приложение).</w:t>
      </w:r>
    </w:p>
    <w:p w14:paraId="135E5BA4" w14:textId="7171B674" w:rsidR="008A50E4" w:rsidRPr="00925F26" w:rsidRDefault="008A50E4" w:rsidP="00925F26">
      <w:pPr>
        <w:jc w:val="both"/>
        <w:rPr>
          <w:color w:val="000000" w:themeColor="text1"/>
          <w:sz w:val="16"/>
          <w:szCs w:val="16"/>
        </w:rPr>
      </w:pPr>
      <w:r w:rsidRPr="00925F26">
        <w:rPr>
          <w:color w:val="000000" w:themeColor="text1"/>
          <w:sz w:val="16"/>
          <w:szCs w:val="16"/>
        </w:rPr>
        <w:t xml:space="preserve">ПРЕДСЕДАТЕЛЬ ГОСУДАРСТВЕННОГО КОМИТЕТА </w:t>
      </w:r>
      <w:proofErr w:type="gramStart"/>
      <w:r w:rsidR="00576D1E" w:rsidRPr="00925F26">
        <w:rPr>
          <w:color w:val="000000" w:themeColor="text1"/>
          <w:sz w:val="16"/>
          <w:szCs w:val="16"/>
        </w:rPr>
        <w:t>О</w:t>
      </w:r>
      <w:r w:rsidRPr="00925F26">
        <w:rPr>
          <w:color w:val="000000" w:themeColor="text1"/>
          <w:sz w:val="16"/>
          <w:szCs w:val="16"/>
        </w:rPr>
        <w:t>Б</w:t>
      </w:r>
      <w:r w:rsidR="00576D1E" w:rsidRPr="00925F26">
        <w:rPr>
          <w:color w:val="000000" w:themeColor="text1"/>
          <w:sz w:val="16"/>
          <w:szCs w:val="16"/>
        </w:rPr>
        <w:t>О</w:t>
      </w:r>
      <w:r w:rsidRPr="00925F26">
        <w:rPr>
          <w:color w:val="000000" w:themeColor="text1"/>
          <w:sz w:val="16"/>
          <w:szCs w:val="16"/>
        </w:rPr>
        <w:t>Р</w:t>
      </w:r>
      <w:r w:rsidR="00576D1E" w:rsidRPr="00925F26">
        <w:rPr>
          <w:color w:val="000000" w:themeColor="text1"/>
          <w:sz w:val="16"/>
          <w:szCs w:val="16"/>
        </w:rPr>
        <w:t>О</w:t>
      </w:r>
      <w:r w:rsidRPr="00925F26">
        <w:rPr>
          <w:color w:val="000000" w:themeColor="text1"/>
          <w:sz w:val="16"/>
          <w:szCs w:val="16"/>
        </w:rPr>
        <w:t>НЫ</w:t>
      </w:r>
      <w:proofErr w:type="gramEnd"/>
      <w:r w:rsidRPr="00925F26">
        <w:rPr>
          <w:color w:val="000000" w:themeColor="text1"/>
          <w:sz w:val="16"/>
          <w:szCs w:val="16"/>
        </w:rPr>
        <w:t xml:space="preserve"> И. Сталин</w:t>
      </w:r>
    </w:p>
    <w:p w14:paraId="25EE6770" w14:textId="77777777" w:rsidR="008A50E4" w:rsidRPr="00925F26" w:rsidRDefault="008A50E4" w:rsidP="00925F26">
      <w:pPr>
        <w:jc w:val="both"/>
        <w:rPr>
          <w:color w:val="000000" w:themeColor="text1"/>
          <w:sz w:val="16"/>
          <w:szCs w:val="16"/>
        </w:rPr>
      </w:pPr>
      <w:r w:rsidRPr="00925F26">
        <w:rPr>
          <w:color w:val="000000" w:themeColor="text1"/>
          <w:sz w:val="16"/>
          <w:szCs w:val="16"/>
        </w:rPr>
        <w:t>РГАСПИ. Ф. 644. Оп. 2. Д. 439. Л. 1—3. Подлинник</w:t>
      </w:r>
    </w:p>
    <w:p w14:paraId="46030AC1" w14:textId="77777777" w:rsidR="008A50E4" w:rsidRPr="00925F26" w:rsidRDefault="008A50E4" w:rsidP="00925F26">
      <w:pPr>
        <w:jc w:val="both"/>
        <w:rPr>
          <w:color w:val="000000" w:themeColor="text1"/>
          <w:sz w:val="16"/>
          <w:szCs w:val="16"/>
        </w:rPr>
      </w:pPr>
      <w:r w:rsidRPr="00925F26">
        <w:rPr>
          <w:color w:val="000000" w:themeColor="text1"/>
          <w:sz w:val="16"/>
          <w:szCs w:val="16"/>
        </w:rPr>
        <w:t>автограф И.В. Сталина. машинописный текст. Подпись (23—</w:t>
      </w:r>
    </w:p>
    <w:p w14:paraId="7DC06A7F" w14:textId="77777777" w:rsidR="008A50E4" w:rsidRPr="00925F26" w:rsidRDefault="008A50E4" w:rsidP="00925F26">
      <w:pPr>
        <w:jc w:val="both"/>
        <w:rPr>
          <w:color w:val="000000" w:themeColor="text1"/>
          <w:sz w:val="16"/>
          <w:szCs w:val="16"/>
        </w:rPr>
      </w:pPr>
    </w:p>
    <w:p w14:paraId="3959FB41" w14:textId="77777777" w:rsidR="00880E0E" w:rsidRPr="001A0BAA" w:rsidRDefault="00880E0E" w:rsidP="00880E0E">
      <w:pPr>
        <w:jc w:val="both"/>
        <w:rPr>
          <w:color w:val="0070C0"/>
          <w:sz w:val="16"/>
          <w:szCs w:val="16"/>
        </w:rPr>
      </w:pPr>
      <w:r w:rsidRPr="001A0BAA">
        <w:rPr>
          <w:color w:val="0070C0"/>
          <w:sz w:val="16"/>
          <w:szCs w:val="16"/>
        </w:rPr>
        <w:t>18 января 1945 г. Постановлением ГКО № 7350 наркомату авиапромышленности поручалось спроектировать, построить и совместно с ЛИИ в феврале-марте испытать самолет-снаряд по типуV-1. Для летных испытаний изделия предусматривалась постройка опытной серии из 100 штук 10Х. В дальнейшем предполагалось довести суточное производство до 15 ракет. Летные испытания начались 20 марта 1945 г. По их результатам рекомендовано принять 10Х на вооружение. Затем последовали крылатые ракеты 14Х, 16Х и другие (25035).</w:t>
      </w:r>
    </w:p>
    <w:p w14:paraId="4C08BFC9" w14:textId="77777777" w:rsidR="00880E0E" w:rsidRPr="001A0BAA" w:rsidRDefault="00880E0E" w:rsidP="00880E0E">
      <w:pPr>
        <w:jc w:val="both"/>
        <w:rPr>
          <w:color w:val="0070C0"/>
          <w:sz w:val="16"/>
          <w:szCs w:val="16"/>
        </w:rPr>
      </w:pPr>
    </w:p>
    <w:p w14:paraId="6F8F327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390C099" w14:textId="77777777" w:rsidR="00C2313B" w:rsidRPr="00925F26" w:rsidRDefault="00C2313B" w:rsidP="00925F26">
      <w:pPr>
        <w:autoSpaceDE w:val="0"/>
        <w:autoSpaceDN w:val="0"/>
        <w:adjustRightInd w:val="0"/>
        <w:jc w:val="both"/>
        <w:rPr>
          <w:iCs/>
          <w:color w:val="000000" w:themeColor="text1"/>
          <w:sz w:val="16"/>
          <w:szCs w:val="16"/>
        </w:rPr>
      </w:pPr>
    </w:p>
    <w:p w14:paraId="433989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января 1945 г. была подготовлена ДОКЛАДНАЯ ЗАПИСКА ЗАМЕСТИТЕЛЯ КОМАНДУЮЩЕГО БТ и МВ КА УПРАВЛЯЮЩЕМУ МОСЭНЕРГО ПО ВОПРОСУ ОБЕСПЕЧЕНИЯ ИЗГОТОВЛЕНИЯ ПРОТИВОМИННЫХ ТРАЛОВ № 836248</w:t>
      </w:r>
    </w:p>
    <w:p w14:paraId="116348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Постановлением №7092с от 8.12.1944 г. обязал Народный комиссариат путей сообщения изготовить до 1.04.1945 г. противоминные тралы для бронетанковых и механизированных войск Красной Армии.</w:t>
      </w:r>
    </w:p>
    <w:p w14:paraId="28CF05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Стальное литье для противоминных тралов поручено изготовить литейно-механическому заво</w:t>
      </w:r>
      <w:r w:rsidRPr="00925F26">
        <w:rPr>
          <w:color w:val="000000" w:themeColor="text1"/>
          <w:sz w:val="16"/>
          <w:szCs w:val="16"/>
        </w:rPr>
        <w:softHyphen/>
        <w:t>ду НКПС им. Кагановича (г. Люблино Московской области).</w:t>
      </w:r>
    </w:p>
    <w:p w14:paraId="290EA6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литейно-механического завода НКПС т. Коновалов сообщил письмом №73с от 13.01.1945 г. о том, что изготовление стального литья для противоминных тралов задерживается из-за систематического отключения фидера электропечей.</w:t>
      </w:r>
    </w:p>
    <w:p w14:paraId="32218E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обеспечения выполнения Постановления ГОКО №7092с по изготовлению противоминных тралов прошу Ваших указаний не отключать фидер №2, питающий электросталеплавильные печи на литейно-механическом заводе НКПС им. Кагановича.</w:t>
      </w:r>
    </w:p>
    <w:p w14:paraId="4C757B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Вашем решении прошу поставить меня в известность.</w:t>
      </w:r>
    </w:p>
    <w:p w14:paraId="520386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6C48E0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Член военного совета БТ и МВ КА 1 генерал-полковник танковых войск Бирюков</w:t>
      </w:r>
    </w:p>
    <w:p w14:paraId="42EAFD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2705. Л. 5. Копия (11420).</w:t>
      </w:r>
    </w:p>
    <w:p w14:paraId="4C038ABF" w14:textId="77777777" w:rsidR="00C2313B" w:rsidRPr="00925F26" w:rsidRDefault="00C2313B" w:rsidP="00925F26">
      <w:pPr>
        <w:autoSpaceDE w:val="0"/>
        <w:autoSpaceDN w:val="0"/>
        <w:adjustRightInd w:val="0"/>
        <w:jc w:val="both"/>
        <w:rPr>
          <w:color w:val="000000" w:themeColor="text1"/>
          <w:sz w:val="16"/>
          <w:szCs w:val="16"/>
        </w:rPr>
      </w:pPr>
    </w:p>
    <w:p w14:paraId="3EEEA830" w14:textId="77777777" w:rsidR="00670896" w:rsidRPr="00925F26" w:rsidRDefault="00670896"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18 января 1945 года Постановлением ГКО №7332 был пересмотрен план по выпуску Т-44. Выпуск данных танков в январе составил 20 штук, за февраль – 35, и за март – 60. Впрочем, даже такой щадящий режим давался заводу №75 с большим трудом. По состоянию на 28 января ни одного танка ещё не было принято, их сдавали в ночь на 1 февраля. Качество изготовляемых танков оставалось всё ещё низким: отмечались поломки гитар, привода вентилятора, прогиб осей балансиров, врезание крайнего правого опорного катка в ведущее колесо и левого переднего опорного катка в ленивец. На заводе не сидели, сложа руки, с дефектами боролись, но поначалу дела обстояли очень плохо. Ещё худшая ситуация сложилась в феврале: вместо 35 танков к началу марта удалось сдать всего 20 штук, да и те имели целый букет дефектов. Это сильно тормозило сдачу машин в войска (точнее, в учебные части – столь сырую технику в боевые части никто бы направлять не стал). Военная приёмка </w:t>
      </w:r>
      <w:r w:rsidRPr="00925F26">
        <w:rPr>
          <w:color w:val="000000" w:themeColor="text1"/>
          <w:sz w:val="16"/>
          <w:szCs w:val="16"/>
        </w:rPr>
        <w:lastRenderedPageBreak/>
        <w:t>на заводе отмечала плохую организацию работы, отсутствие отопления цехов (при сильных февральских морозах), плохую оснащённость инструментами. Вместе с тем, имелись и тенденции по выполнению мартовского плана. Также улучшилась ситуация с надёжностью гитар (их конструкцию модернизировали силами КБ завода №75), хотя качество Т-44 всё равно оставалось низким (19047).</w:t>
      </w:r>
    </w:p>
    <w:p w14:paraId="64B71B5E" w14:textId="77777777" w:rsidR="00670896" w:rsidRPr="00925F26" w:rsidRDefault="00670896" w:rsidP="00925F26">
      <w:pPr>
        <w:pStyle w:val="ae"/>
        <w:spacing w:before="0" w:after="0"/>
        <w:jc w:val="both"/>
        <w:textAlignment w:val="baseline"/>
        <w:rPr>
          <w:color w:val="000000" w:themeColor="text1"/>
          <w:sz w:val="16"/>
          <w:szCs w:val="16"/>
        </w:rPr>
      </w:pPr>
    </w:p>
    <w:p w14:paraId="5FA1CE7F"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18 января 1945 г. было принято предложенное ГОКО «О мероприятиях по развитию добычи угля и новом шахтном строительстве в Печорском бассейне в 1945 г.»</w:t>
      </w:r>
      <w:r w:rsidR="001C14BF" w:rsidRPr="00925F26">
        <w:rPr>
          <w:color w:val="000000" w:themeColor="text1"/>
          <w:sz w:val="16"/>
          <w:szCs w:val="16"/>
        </w:rPr>
        <w:t>, предусматривающее освобождения от производства боеприпасов Кунгурской и Кировской ИТК (исправительно-трудовых колоний)</w:t>
      </w:r>
      <w:r w:rsidRPr="00925F26">
        <w:rPr>
          <w:color w:val="000000" w:themeColor="text1"/>
          <w:sz w:val="16"/>
          <w:szCs w:val="16"/>
        </w:rPr>
        <w:t xml:space="preserve">, </w:t>
      </w:r>
      <w:r w:rsidR="001C14BF" w:rsidRPr="00925F26">
        <w:rPr>
          <w:color w:val="000000" w:themeColor="text1"/>
          <w:sz w:val="16"/>
          <w:szCs w:val="16"/>
        </w:rPr>
        <w:t xml:space="preserve">и </w:t>
      </w:r>
      <w:r w:rsidRPr="00925F26">
        <w:rPr>
          <w:color w:val="000000" w:themeColor="text1"/>
          <w:sz w:val="16"/>
          <w:szCs w:val="16"/>
        </w:rPr>
        <w:t>НКВД в лице заместителя наркома А.П. Завенягина попыталось найти предприятия, которые взяли бы на себя снимаемое с их ИТК производство элементов боеприпасов. Но потерпело неудачу. В результате через месяц заинтересованные стороны вынуждены были найти между своими интересами компромисс, изложением которого стало письмо Л.П. Берия от Завенягина, Борисова и Панова:</w:t>
      </w:r>
    </w:p>
    <w:p w14:paraId="5D7BC6CF"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 xml:space="preserve"> «Постановлением ГОКО № 7346 от 18 января 1945 года “О мероприятиях по развитию добычи угля и новом шахтном строительстве в Печорском бассейне в 1945 г.”, поручено т.т. Завенягину, Борисову и Панову в декадный срок разработать и представить предложение о постепенном освобождении Кунгурской колонии № 3 и Кировской колонии № 4 НКВД от производства боеприпасов с целью перевода их на производство горно-шахтного оборудования после того, как снимаемые с производства количества боеприпасов будут размещены на других предприятиях.</w:t>
      </w:r>
    </w:p>
    <w:p w14:paraId="7086E9E2"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 xml:space="preserve">Рассмотрев </w:t>
      </w:r>
      <w:proofErr w:type="gramStart"/>
      <w:r w:rsidRPr="00925F26">
        <w:rPr>
          <w:color w:val="000000" w:themeColor="text1"/>
          <w:sz w:val="16"/>
          <w:szCs w:val="16"/>
        </w:rPr>
        <w:t>этот вопрос с заинтересованными наркоматами</w:t>
      </w:r>
      <w:proofErr w:type="gramEnd"/>
      <w:r w:rsidRPr="00925F26">
        <w:rPr>
          <w:color w:val="000000" w:themeColor="text1"/>
          <w:sz w:val="16"/>
          <w:szCs w:val="16"/>
        </w:rPr>
        <w:t xml:space="preserve"> докладываем:</w:t>
      </w:r>
    </w:p>
    <w:p w14:paraId="02C77885"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Увеличить производство корпусов 82мм и 120мм мин на других предприятиях промышленности, в связи с тем, что в плане на 1 квартал 1945 г. утвержденном ГОКО от 18.1. с.г. производство мин предусмотрено в максимальных количествах, не представляется возможным.</w:t>
      </w:r>
    </w:p>
    <w:p w14:paraId="39672BB5"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Исходя из утвержденного ГОКО плана производства корпусов 82мм и 120мм мин, задание Кунгурской и Ковровской колониям НКВД по выпуску корпусов этих мин можно сократить с 1 апреля 1945 года до 50% по сравнению с планом 1 квартала с.г. (Кунгурская колония выпускает — 45 тыс. штук корпусов 120мм мин и Кировская колония — 70 тыс. штук корпусов 82мм мин в месяц.</w:t>
      </w:r>
    </w:p>
    <w:p w14:paraId="46048ABC"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Просим Вашего согласия на внесение указанных изменений в проект плана производства боеприпасов на II квартал 1945 года».</w:t>
      </w:r>
    </w:p>
    <w:p w14:paraId="374B1FD2"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Адресат поставил на письме резолюцию: «Согласен».</w:t>
      </w:r>
    </w:p>
    <w:p w14:paraId="581086BE" w14:textId="77777777" w:rsidR="004E29EA" w:rsidRPr="00925F26" w:rsidRDefault="004E29EA" w:rsidP="00925F26">
      <w:pPr>
        <w:shd w:val="clear" w:color="auto" w:fill="FFFFFF"/>
        <w:jc w:val="both"/>
        <w:rPr>
          <w:color w:val="000000" w:themeColor="text1"/>
          <w:sz w:val="16"/>
          <w:szCs w:val="16"/>
        </w:rPr>
      </w:pPr>
      <w:r w:rsidRPr="00925F26">
        <w:rPr>
          <w:color w:val="000000" w:themeColor="text1"/>
          <w:sz w:val="16"/>
          <w:szCs w:val="16"/>
        </w:rPr>
        <w:t>Таким образом, окончательное решение о форме и степени выполнения постановления, принятого ГОКО, определилось в ходе согласования интересов затронутых им ведомств (17451).</w:t>
      </w:r>
    </w:p>
    <w:p w14:paraId="0D0DFD7E" w14:textId="77777777" w:rsidR="004E29EA" w:rsidRPr="00925F26" w:rsidRDefault="004E29EA" w:rsidP="00925F26">
      <w:pPr>
        <w:autoSpaceDE w:val="0"/>
        <w:autoSpaceDN w:val="0"/>
        <w:adjustRightInd w:val="0"/>
        <w:jc w:val="both"/>
        <w:rPr>
          <w:color w:val="000000" w:themeColor="text1"/>
          <w:sz w:val="16"/>
          <w:szCs w:val="16"/>
        </w:rPr>
      </w:pPr>
    </w:p>
    <w:p w14:paraId="6CC295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7332 О плане производства и ремонта танков, самоходных артиллерийских установок, дизелей и поставки танковых запасных частей Красной Армии на I квартал 1945 года. РГАНИР, Фонд ГКО, д. 350, лл. 27-33, 34-211 (11012).</w:t>
      </w:r>
    </w:p>
    <w:p w14:paraId="7FF8C64F" w14:textId="77777777" w:rsidR="00C2313B" w:rsidRPr="00925F26" w:rsidRDefault="00C2313B" w:rsidP="00925F26">
      <w:pPr>
        <w:autoSpaceDE w:val="0"/>
        <w:autoSpaceDN w:val="0"/>
        <w:adjustRightInd w:val="0"/>
        <w:jc w:val="both"/>
        <w:rPr>
          <w:color w:val="000000" w:themeColor="text1"/>
          <w:sz w:val="16"/>
          <w:szCs w:val="16"/>
        </w:rPr>
      </w:pPr>
    </w:p>
    <w:p w14:paraId="05DCCE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7333 О плане производства и поставок НКО и НКВМФ артиллерийского, минометного и стрелкового вооружения и военных приборов на I квартал 1945 года. РГАНИР, Фонд ГКО, д. 351, лл. 1-62, 63-171 (11012).</w:t>
      </w:r>
    </w:p>
    <w:p w14:paraId="02F61299" w14:textId="77777777" w:rsidR="00C2313B" w:rsidRPr="00925F26" w:rsidRDefault="00C2313B" w:rsidP="00925F26">
      <w:pPr>
        <w:autoSpaceDE w:val="0"/>
        <w:autoSpaceDN w:val="0"/>
        <w:adjustRightInd w:val="0"/>
        <w:jc w:val="both"/>
        <w:rPr>
          <w:color w:val="000000" w:themeColor="text1"/>
          <w:sz w:val="16"/>
          <w:szCs w:val="16"/>
        </w:rPr>
      </w:pPr>
    </w:p>
    <w:p w14:paraId="35342A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7334 О плане производства боеприпасов в I квартале 1945 года. РГАНИР, Фонд ГКО, д. 352, лл. 1-17, 18-436 (11012).</w:t>
      </w:r>
    </w:p>
    <w:p w14:paraId="2D5650C6" w14:textId="77777777" w:rsidR="00C2313B" w:rsidRPr="00925F26" w:rsidRDefault="00C2313B" w:rsidP="00925F26">
      <w:pPr>
        <w:autoSpaceDE w:val="0"/>
        <w:autoSpaceDN w:val="0"/>
        <w:adjustRightInd w:val="0"/>
        <w:jc w:val="both"/>
        <w:rPr>
          <w:color w:val="000000" w:themeColor="text1"/>
          <w:sz w:val="16"/>
          <w:szCs w:val="16"/>
        </w:rPr>
      </w:pPr>
    </w:p>
    <w:p w14:paraId="636574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7335 О плане добычи угля и сланца на I квартал и январь 1945 г. по Наркомуглю и мерах по материально-техническому обеспечению угольной промышленности. РГАНИР, Фонд ГКО, д. 354, лл. 1-27, 28-47 (11012).</w:t>
      </w:r>
    </w:p>
    <w:p w14:paraId="4627B22D" w14:textId="77777777" w:rsidR="00C2313B" w:rsidRPr="00925F26" w:rsidRDefault="00C2313B" w:rsidP="00925F26">
      <w:pPr>
        <w:autoSpaceDE w:val="0"/>
        <w:autoSpaceDN w:val="0"/>
        <w:adjustRightInd w:val="0"/>
        <w:jc w:val="both"/>
        <w:rPr>
          <w:color w:val="000000" w:themeColor="text1"/>
          <w:sz w:val="16"/>
          <w:szCs w:val="16"/>
        </w:rPr>
      </w:pPr>
    </w:p>
    <w:p w14:paraId="7BEB46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7336 О плане добычи нефти, выработки нефтепродуктов и материально-техническом снабжении нефтяной промышленности в I квартале 1945 года. РГАНИР, Фонд ГКО, д. 354, лл. 48-65, 66-89 (11012).</w:t>
      </w:r>
    </w:p>
    <w:p w14:paraId="0BFDB59D" w14:textId="77777777" w:rsidR="00C2313B" w:rsidRPr="00925F26" w:rsidRDefault="00C2313B" w:rsidP="00925F26">
      <w:pPr>
        <w:autoSpaceDE w:val="0"/>
        <w:autoSpaceDN w:val="0"/>
        <w:adjustRightInd w:val="0"/>
        <w:jc w:val="both"/>
        <w:rPr>
          <w:color w:val="000000" w:themeColor="text1"/>
          <w:sz w:val="16"/>
          <w:szCs w:val="16"/>
        </w:rPr>
      </w:pPr>
    </w:p>
    <w:p w14:paraId="1F2CF2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7337 О плане производства важнейших химикатов для боеприпасов и народного хозяйства на I квартал 1945 г. РГАНИР, Фонд ГКО, д. 354, лл. 90-108, 109-126 (11012).</w:t>
      </w:r>
    </w:p>
    <w:p w14:paraId="1A55324D" w14:textId="77777777" w:rsidR="00C2313B" w:rsidRPr="00925F26" w:rsidRDefault="00C2313B" w:rsidP="00925F26">
      <w:pPr>
        <w:autoSpaceDE w:val="0"/>
        <w:autoSpaceDN w:val="0"/>
        <w:adjustRightInd w:val="0"/>
        <w:jc w:val="both"/>
        <w:rPr>
          <w:color w:val="000000" w:themeColor="text1"/>
          <w:sz w:val="16"/>
          <w:szCs w:val="16"/>
        </w:rPr>
      </w:pPr>
    </w:p>
    <w:p w14:paraId="517773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г. вышло Постановление ГКО № 7338 «О производстве и поставках средств химического вооружения на I квартал 1945 г.» (Д. 436. Л. 124–201).</w:t>
      </w:r>
    </w:p>
    <w:p w14:paraId="6E8EA403" w14:textId="77777777" w:rsidR="00C2313B" w:rsidRPr="00925F26" w:rsidRDefault="00C2313B" w:rsidP="00925F26">
      <w:pPr>
        <w:autoSpaceDE w:val="0"/>
        <w:autoSpaceDN w:val="0"/>
        <w:adjustRightInd w:val="0"/>
        <w:jc w:val="both"/>
        <w:rPr>
          <w:color w:val="000000" w:themeColor="text1"/>
          <w:sz w:val="16"/>
          <w:szCs w:val="16"/>
        </w:rPr>
      </w:pPr>
    </w:p>
    <w:p w14:paraId="713707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7339 О плане производства синтетического каучука, автомобильных, авиационных и артиллерийских шин, средств химической защиты, инженерного имущества, резинотехнических изделий на I квартал 1945 г. и мерах по материально-техническому обеспечению производства этих изделий.РГАНИР, Фонд ГКО, д. 354, лл. (11012).</w:t>
      </w:r>
    </w:p>
    <w:p w14:paraId="673698F5" w14:textId="77777777" w:rsidR="00C2313B" w:rsidRPr="00925F26" w:rsidRDefault="00C2313B" w:rsidP="00925F26">
      <w:pPr>
        <w:autoSpaceDE w:val="0"/>
        <w:autoSpaceDN w:val="0"/>
        <w:adjustRightInd w:val="0"/>
        <w:jc w:val="both"/>
        <w:rPr>
          <w:color w:val="000000" w:themeColor="text1"/>
          <w:sz w:val="16"/>
          <w:szCs w:val="16"/>
        </w:rPr>
      </w:pPr>
    </w:p>
    <w:p w14:paraId="3496D4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7340 О плане производства целлюлозы, бумаги и картона по Наркомбумпрому на I квартал 1945 г. РГАНИР, Фонд ГКО, д. 355, лл. 1-3, 4-35 (11012).</w:t>
      </w:r>
    </w:p>
    <w:p w14:paraId="196FC373" w14:textId="77777777" w:rsidR="00C2313B" w:rsidRPr="00925F26" w:rsidRDefault="00C2313B" w:rsidP="00925F26">
      <w:pPr>
        <w:autoSpaceDE w:val="0"/>
        <w:autoSpaceDN w:val="0"/>
        <w:adjustRightInd w:val="0"/>
        <w:jc w:val="both"/>
        <w:rPr>
          <w:color w:val="000000" w:themeColor="text1"/>
          <w:sz w:val="16"/>
          <w:szCs w:val="16"/>
        </w:rPr>
      </w:pPr>
    </w:p>
    <w:p w14:paraId="6FA9E4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7341 О мероприятиях по развитию добычи природного газа и производства искусственного жидкого топлива в I квартале 1945 года. РГАНИР, Фонд ГКО, д. 355, лл. 36-46, 47-61 (11012).</w:t>
      </w:r>
    </w:p>
    <w:p w14:paraId="63C20842" w14:textId="77777777" w:rsidR="00C2313B" w:rsidRPr="00925F26" w:rsidRDefault="00C2313B" w:rsidP="00925F26">
      <w:pPr>
        <w:autoSpaceDE w:val="0"/>
        <w:autoSpaceDN w:val="0"/>
        <w:adjustRightInd w:val="0"/>
        <w:jc w:val="both"/>
        <w:rPr>
          <w:color w:val="000000" w:themeColor="text1"/>
          <w:sz w:val="16"/>
          <w:szCs w:val="16"/>
        </w:rPr>
      </w:pPr>
    </w:p>
    <w:p w14:paraId="25C3CA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7342 О балансе и плане распределения угля и сланцев на I квартал 1945 г. РГАНИР, Фонд ГКО, д. 355, лл. 62-63, 64-105 (11012).</w:t>
      </w:r>
    </w:p>
    <w:p w14:paraId="632C5601" w14:textId="77777777" w:rsidR="00C2313B" w:rsidRPr="00925F26" w:rsidRDefault="00C2313B" w:rsidP="00925F26">
      <w:pPr>
        <w:autoSpaceDE w:val="0"/>
        <w:autoSpaceDN w:val="0"/>
        <w:adjustRightInd w:val="0"/>
        <w:jc w:val="both"/>
        <w:rPr>
          <w:color w:val="000000" w:themeColor="text1"/>
          <w:sz w:val="16"/>
          <w:szCs w:val="16"/>
        </w:rPr>
      </w:pPr>
    </w:p>
    <w:p w14:paraId="36EC3E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7343 О плане нагрузки и выработки электроэнергии на I квартал 1945 г. и плане распределения электроэнергии на январь 1945 г. РГАНИР, Фонд ГКО, д. 355, лл. 106-107, 108-149 (11012).</w:t>
      </w:r>
    </w:p>
    <w:p w14:paraId="201562D3" w14:textId="77777777" w:rsidR="00C2313B" w:rsidRPr="00925F26" w:rsidRDefault="00C2313B" w:rsidP="00925F26">
      <w:pPr>
        <w:autoSpaceDE w:val="0"/>
        <w:autoSpaceDN w:val="0"/>
        <w:adjustRightInd w:val="0"/>
        <w:jc w:val="both"/>
        <w:rPr>
          <w:color w:val="000000" w:themeColor="text1"/>
          <w:sz w:val="16"/>
          <w:szCs w:val="16"/>
        </w:rPr>
      </w:pPr>
    </w:p>
    <w:p w14:paraId="6F7CF3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7344 О балансе и плане распределения нефтепродуктов на I квартал 1945 года. РГАНИР, Фонд ГКО, д. 356, лл. 1-3, 4-43 (11012).</w:t>
      </w:r>
    </w:p>
    <w:p w14:paraId="27A67236" w14:textId="77777777" w:rsidR="00C2313B" w:rsidRPr="00925F26" w:rsidRDefault="00C2313B" w:rsidP="00925F26">
      <w:pPr>
        <w:autoSpaceDE w:val="0"/>
        <w:autoSpaceDN w:val="0"/>
        <w:adjustRightInd w:val="0"/>
        <w:jc w:val="both"/>
        <w:rPr>
          <w:color w:val="000000" w:themeColor="text1"/>
          <w:sz w:val="16"/>
          <w:szCs w:val="16"/>
        </w:rPr>
      </w:pPr>
    </w:p>
    <w:p w14:paraId="377854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7345 О плане распределения авиагорючего на I квартал 1945 годы. РГАНИР, Фонд ГКО, д. 356, лл. 44-45, 46-50 (11012).</w:t>
      </w:r>
    </w:p>
    <w:p w14:paraId="1E50F513" w14:textId="77777777" w:rsidR="00C2313B" w:rsidRPr="00925F26" w:rsidRDefault="00C2313B" w:rsidP="00925F26">
      <w:pPr>
        <w:autoSpaceDE w:val="0"/>
        <w:autoSpaceDN w:val="0"/>
        <w:adjustRightInd w:val="0"/>
        <w:jc w:val="both"/>
        <w:rPr>
          <w:color w:val="000000" w:themeColor="text1"/>
          <w:sz w:val="16"/>
          <w:szCs w:val="16"/>
        </w:rPr>
      </w:pPr>
    </w:p>
    <w:p w14:paraId="22D6AE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7346 О мероприятиях по развитию добычи угля и новом шахтном строительстве в Печорском угольном бассейне в 1945 году. РГАНИР, Фонд ГКО, д. 356, лл. 51-63, 64-85 (11012).</w:t>
      </w:r>
    </w:p>
    <w:p w14:paraId="20FC9A3C" w14:textId="77777777" w:rsidR="00C2313B" w:rsidRPr="00925F26" w:rsidRDefault="00C2313B" w:rsidP="00925F26">
      <w:pPr>
        <w:autoSpaceDE w:val="0"/>
        <w:autoSpaceDN w:val="0"/>
        <w:adjustRightInd w:val="0"/>
        <w:jc w:val="both"/>
        <w:rPr>
          <w:color w:val="000000" w:themeColor="text1"/>
          <w:sz w:val="16"/>
          <w:szCs w:val="16"/>
        </w:rPr>
      </w:pPr>
    </w:p>
    <w:p w14:paraId="15B5A6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7347 О плане производства и поставок патронов Наркоматом вооружения в I квартале 1945 года. РГАНИР, Фонд ГКО, д. 356, лл. 86-95, 96-105 (11012).</w:t>
      </w:r>
    </w:p>
    <w:p w14:paraId="74B880ED" w14:textId="77777777" w:rsidR="00C2313B" w:rsidRPr="00925F26" w:rsidRDefault="00C2313B" w:rsidP="00925F26">
      <w:pPr>
        <w:autoSpaceDE w:val="0"/>
        <w:autoSpaceDN w:val="0"/>
        <w:adjustRightInd w:val="0"/>
        <w:jc w:val="both"/>
        <w:rPr>
          <w:color w:val="000000" w:themeColor="text1"/>
          <w:sz w:val="16"/>
          <w:szCs w:val="16"/>
        </w:rPr>
      </w:pPr>
    </w:p>
    <w:p w14:paraId="6536F8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7348 О плане производства и поставок пистолетов-пулеметов Шпагина и ПП-43 в I квартале 1945 г. РГАНИР, Фонд ГКО, д. 356, лл. 106-114, 115-124 (11012).</w:t>
      </w:r>
    </w:p>
    <w:p w14:paraId="08E6A428" w14:textId="77777777" w:rsidR="00C2313B" w:rsidRPr="00925F26" w:rsidRDefault="00C2313B" w:rsidP="00925F26">
      <w:pPr>
        <w:autoSpaceDE w:val="0"/>
        <w:autoSpaceDN w:val="0"/>
        <w:adjustRightInd w:val="0"/>
        <w:jc w:val="both"/>
        <w:rPr>
          <w:color w:val="000000" w:themeColor="text1"/>
          <w:sz w:val="16"/>
          <w:szCs w:val="16"/>
        </w:rPr>
      </w:pPr>
    </w:p>
    <w:p w14:paraId="13344B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вышло Постановление ГКО № 7349 О порядке финансирования кораблей и частей Военно-Морского Флота на территории Германии. РГАНИР, Фонд ГКО, д. 356, лл. 125 (11012).</w:t>
      </w:r>
    </w:p>
    <w:p w14:paraId="584062F5" w14:textId="77777777" w:rsidR="00C2313B" w:rsidRPr="00925F26" w:rsidRDefault="00C2313B" w:rsidP="00925F26">
      <w:pPr>
        <w:autoSpaceDE w:val="0"/>
        <w:autoSpaceDN w:val="0"/>
        <w:adjustRightInd w:val="0"/>
        <w:jc w:val="both"/>
        <w:rPr>
          <w:color w:val="000000" w:themeColor="text1"/>
          <w:sz w:val="16"/>
          <w:szCs w:val="16"/>
        </w:rPr>
      </w:pPr>
    </w:p>
    <w:p w14:paraId="3921307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января 1945 вышло Распоряжение ГКО № 7351 [О днях повышенной погрузки угля в Кузбассе.] (7298, 140).</w:t>
      </w:r>
    </w:p>
    <w:p w14:paraId="494D087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B49AE4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4AF5107" w14:textId="77777777" w:rsidR="00C2313B" w:rsidRPr="00925F26" w:rsidRDefault="00C2313B" w:rsidP="00925F26">
      <w:pPr>
        <w:autoSpaceDE w:val="0"/>
        <w:autoSpaceDN w:val="0"/>
        <w:adjustRightInd w:val="0"/>
        <w:jc w:val="both"/>
        <w:rPr>
          <w:iCs/>
          <w:color w:val="000000" w:themeColor="text1"/>
          <w:sz w:val="16"/>
          <w:szCs w:val="16"/>
        </w:rPr>
      </w:pPr>
    </w:p>
    <w:p w14:paraId="14C449B8" w14:textId="77777777" w:rsidR="006F0F05" w:rsidRPr="00925F26" w:rsidRDefault="006F0F05" w:rsidP="00925F26">
      <w:pPr>
        <w:jc w:val="both"/>
        <w:rPr>
          <w:color w:val="000000" w:themeColor="text1"/>
          <w:sz w:val="16"/>
          <w:szCs w:val="16"/>
        </w:rPr>
      </w:pPr>
      <w:r w:rsidRPr="00925F26">
        <w:rPr>
          <w:bCs/>
          <w:color w:val="000000" w:themeColor="text1"/>
          <w:sz w:val="16"/>
          <w:szCs w:val="16"/>
        </w:rPr>
        <w:t>18 января</w:t>
      </w:r>
      <w:r w:rsidRPr="00925F26">
        <w:rPr>
          <w:color w:val="000000" w:themeColor="text1"/>
          <w:sz w:val="16"/>
          <w:szCs w:val="16"/>
        </w:rPr>
        <w:t xml:space="preserve"> в 1945 году оперативная сводка Совинформбюро:</w:t>
      </w:r>
    </w:p>
    <w:p w14:paraId="494CD8F5"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18 января штурмом овладели городом Пшасныш (Прасныш), городом и крепостью Модлин (Ново-Георгиевск)— важными узлами коммуникаций и опорными пунктами обороны немцев, а также с боями заняли более 1.000 других населённых пунктов, в числе которых Круки, Грабник, Рузеск, Красносельц, Бобино-Вельке, Дзелино, Хуменцино, Кросьнице, Дрогишка, Стжегово, Глиноецк, Малюжин, Гутажево, Милево, Страхово, Енец, Струбины, Закрочим и железнодорожные станции Забеле Вельке, Конопки, Вкра.</w:t>
      </w:r>
    </w:p>
    <w:p w14:paraId="242C02ED" w14:textId="77777777" w:rsidR="006F0F05" w:rsidRPr="00925F26" w:rsidRDefault="006F0F05" w:rsidP="00925F26">
      <w:pPr>
        <w:jc w:val="both"/>
        <w:rPr>
          <w:color w:val="000000" w:themeColor="text1"/>
          <w:sz w:val="16"/>
          <w:szCs w:val="16"/>
        </w:rPr>
      </w:pPr>
      <w:r w:rsidRPr="00925F26">
        <w:rPr>
          <w:color w:val="000000" w:themeColor="text1"/>
          <w:sz w:val="16"/>
          <w:szCs w:val="16"/>
        </w:rPr>
        <w:lastRenderedPageBreak/>
        <w:t>Войска 1-го Белорусского фронта, развивая наступление, 18 января овладели городами и крупными узлами коммуникаций Сохачев, Скерневице и Лович — важными опорными пунктами обороны немцев, а также с боями заняли более 500 других населённых пунктов, в числе которых города Блоне, Гродзиск, Мщонув, Рава Мазовецка, крупные населённые пункты Брохув, Коморув, Гузув, Глухув, Оджувол, Домашно, Радзице, Джевица, Гозьдзикув, Пшисуха и железнодорожные станции Блоне, Шимакув, Прушкув, Гродзиск, Хылице, Рава Мазовецка.</w:t>
      </w:r>
    </w:p>
    <w:p w14:paraId="4779025B"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Украинского фронта в результате стремительной атаки танковых соединений и пехоты 18 января овладели городом и железнодорожной станцией Пиотркув (Петроков) — важным узлом коммуникаций и опорным пунктом обороны немцев на Лодзинском направлении, а также с боями заняли город и железнодорожный узел Скаржиско Каменна и более 450 других населённых пунктов, в числе которых крупные населённые пункты Бяла, Любень, Липовчице, Вевец, Бжезница Новая и Старая, Крушина, Камык, Цикажев, Шарлейка, Порай, Жарки, Крочице, Михалувка, Сулошова, Скала, Чубровице, Бембло, Гебултув, Бибице (5 километров севернее города Краков) и железнодорожные станции Вонхоцк, Сухеднюв, Лончна, Рудники, Порай, Вольером. Нашими войсками взят в плен командир 17-й танковой дивизии немцев полковник БРУК вместе со своим штабом.</w:t>
      </w:r>
    </w:p>
    <w:p w14:paraId="085C491C" w14:textId="77777777" w:rsidR="006F0F05" w:rsidRPr="00925F26" w:rsidRDefault="006F0F05" w:rsidP="00925F26">
      <w:pPr>
        <w:jc w:val="both"/>
        <w:rPr>
          <w:color w:val="000000" w:themeColor="text1"/>
          <w:sz w:val="16"/>
          <w:szCs w:val="16"/>
        </w:rPr>
      </w:pPr>
      <w:r w:rsidRPr="00925F26">
        <w:rPr>
          <w:color w:val="000000" w:themeColor="text1"/>
          <w:sz w:val="16"/>
          <w:szCs w:val="16"/>
        </w:rPr>
        <w:t>В Будапеште войска 2-го Украинского фронта закончили очищение от противника восточной половины города (Пешт) и вышли здесь к реке Дунай, заняв при этом около 5.000 городских кварталов. Таким образом, в руках противника остаётся только небольшая часть западной половины города (БУДА). По предварительным данным, за время боёв по ликвидации окружённой в городе Будапеште группировки противника с 28 декабря 1944 года по 18 января 1945 года войска 2-го Украинского фронта взяли в плен 59.390 немецких и венгерских солдат и офицеров, из них более 20.000 взято 18 января. В числе пленных командир 10-й пехотной дивизии венгров полковник генерального штаба Андрош Шандор, вместе со своим штабом.</w:t>
      </w:r>
    </w:p>
    <w:p w14:paraId="576D67CD" w14:textId="77777777" w:rsidR="006F0F05" w:rsidRPr="00925F26" w:rsidRDefault="006F0F05" w:rsidP="00925F26">
      <w:pPr>
        <w:jc w:val="both"/>
        <w:rPr>
          <w:color w:val="000000" w:themeColor="text1"/>
          <w:sz w:val="16"/>
          <w:szCs w:val="16"/>
        </w:rPr>
      </w:pPr>
      <w:r w:rsidRPr="00925F26">
        <w:rPr>
          <w:color w:val="000000" w:themeColor="text1"/>
          <w:sz w:val="16"/>
          <w:szCs w:val="16"/>
        </w:rPr>
        <w:t>Юго-западнее города Секешфехервар наши войска отбивали атаки крупных сил пехоты и танков противника.</w:t>
      </w:r>
    </w:p>
    <w:p w14:paraId="1B33F8E5" w14:textId="77777777" w:rsidR="006F0F05" w:rsidRPr="00925F26" w:rsidRDefault="006F0F05"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33E01F5E" w14:textId="77777777" w:rsidR="006F0F05" w:rsidRPr="00925F26" w:rsidRDefault="006F0F05" w:rsidP="00925F26">
      <w:pPr>
        <w:jc w:val="both"/>
        <w:rPr>
          <w:color w:val="000000" w:themeColor="text1"/>
          <w:sz w:val="16"/>
          <w:szCs w:val="16"/>
        </w:rPr>
      </w:pPr>
      <w:r w:rsidRPr="00925F26">
        <w:rPr>
          <w:color w:val="000000" w:themeColor="text1"/>
          <w:sz w:val="16"/>
          <w:szCs w:val="16"/>
        </w:rPr>
        <w:t>За 17 января наши войска на всех фронтах подбили и уничтожили 174 немецких танка. В воздушных боях и огнём зенитной артиллерии сбито 26 самолётов противника.</w:t>
      </w:r>
    </w:p>
    <w:p w14:paraId="38201923"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2-го Белорусского фронта продолжали наступление. Части Н-ского соединения, отразив до двадцати вражеских контратак, продвинулись вперёд на 15 километров и вплотную подошли к городу Пшасныш (Прасныш). Крупный немецкий гарнизон, располагавший большим количеством артиллерии, оказывал сильное огневое сопротивление, но был разгромлен. Советские части сегодня овладели, городом Пшасныш — узлом шоссейных и грунтовых дорог. Город Пшасныш, расположенный в 30 километрах от немецкой границы, являлся важным опорным пунктом обороны противника на подступах к Восточной Пруссии с юга.</w:t>
      </w:r>
    </w:p>
    <w:p w14:paraId="42713233" w14:textId="77777777" w:rsidR="006F0F05" w:rsidRPr="00925F26" w:rsidRDefault="006F0F05" w:rsidP="00925F26">
      <w:pPr>
        <w:jc w:val="both"/>
        <w:rPr>
          <w:color w:val="000000" w:themeColor="text1"/>
          <w:sz w:val="16"/>
          <w:szCs w:val="16"/>
        </w:rPr>
      </w:pPr>
      <w:r w:rsidRPr="00925F26">
        <w:rPr>
          <w:color w:val="000000" w:themeColor="text1"/>
          <w:sz w:val="16"/>
          <w:szCs w:val="16"/>
        </w:rPr>
        <w:t>Наши войска на широком фронте форсировали реку Дзядлувка и заняли населённый пункт Страхово, в четырёх километрах восточнее города Плоньск. Другие советские части обошли город и крепость Модлин (Новогеоргиевск) и ворвались на его окраины. В крепости Модлин и на её подступах немцы помимо долговременных оборонительных сооружений использовали противотанковые бронированные кольца. Советские подразделения обошли все эти препятствия с тыла и штурмом овладели городом и крепостью Модлин. В течение дня в ходе боёв уничтожено несколько тысяч немецких солдат и офицеров. Сожжено и подбито 39 немецких танков, уничтожено 124 полевых орудия. Нашими войсками захвачены большие трофеи, в числе которых 78 орудий разных калибров.</w:t>
      </w:r>
    </w:p>
    <w:p w14:paraId="0B9FAA3E"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успешно развивали наступление. Наши танкисты, пехотинцы и артиллеристы, участвовавшие в глубоком обходе Варшавы и занявшие вчера город Жирардув, повернули на запад. Отбрасывая и громя противника, советские части продвинулись на 30 километров и ворвались в город Лович. Этот город расположен в 50 километрах северо-восточнее Лодзи и является крупным узлом коммуникаций. После ожесточённого боя наши войска сегодня овладели городом и железнодорожным узлом Лович. Немцы также выбиты из городов Сохачев, Скерневице, Мщонув, Рава Мазовецка и более 500 других населенных пунктов. В ходе боёв противник несёт огромные потери. В районе Нове Място наши войска разгромили части 25-й немецкой танковой дивизии, не успевшие переправиться на северный берег реки Пилица. При ликвидации этой группы вражеских войск подбито 60 танков и самоходных орудий и уничтожено до 3 тысяч немецких солдат и офицеров. Нашими войсками захвачены у немцев крупные трофеи, в том числе 40 танков, 174 орудия, более 200 пулемётов и несколько тысяч винтовок. Взято в плен более 3.000 немецких солдат и офицеров. В числе пленных — командир 130-го полка 45-й немецкий пехотной дивизии и командир 91-го артполка 25-й немецкой танковой дивизии.</w:t>
      </w:r>
    </w:p>
    <w:p w14:paraId="0752CC97" w14:textId="77777777" w:rsidR="006F0F05" w:rsidRPr="00925F26" w:rsidRDefault="006F0F05" w:rsidP="00925F26">
      <w:pPr>
        <w:jc w:val="both"/>
        <w:rPr>
          <w:color w:val="000000" w:themeColor="text1"/>
          <w:sz w:val="16"/>
          <w:szCs w:val="16"/>
        </w:rPr>
      </w:pPr>
      <w:r w:rsidRPr="00925F26">
        <w:rPr>
          <w:color w:val="000000" w:themeColor="text1"/>
          <w:sz w:val="16"/>
          <w:szCs w:val="16"/>
        </w:rPr>
        <w:t>Советские лётчики наносили массированные удары по узлам сопротивления противника и отступающим колоннам немецких войск. В результате налета на железнодорожную станцию Лодзь взорвано бензохранилище и уничтожено 10 немецких воинских эшелонов.</w:t>
      </w:r>
    </w:p>
    <w:p w14:paraId="0E7F7BF3"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Украинского фронта продолжали успешное наступление и продвинулись вперёд на 30 километров. На Лодзинском направлении советские части переправились через реку Пилица и завязали бои с танками и пехотой противника на подступах к городу Пиотркув (Петроков). Немцы придавали большое значение этому важному узлу коммуникаций и опорному пункту, прикрывающему город Лодзь. Пиотркув находится в 35 километрах юго-восточнее Лодзи — крупнейшего промышленного центра Польши. Опираясь на заранее подготовленный рубеж и укрепления полевого типа, немцы пытались любой ценой приостановить наступление наших войск. В помощь гарнизону, оборонявшему город, немецкое командование придало остатки отступающих дивизий. Решительными действиями наши танковые соединения и пехота сломили сопротивление противника и после упорных уличных боёв овладели городом.</w:t>
      </w:r>
    </w:p>
    <w:p w14:paraId="4BC2CA81" w14:textId="77777777" w:rsidR="006F0F05" w:rsidRPr="00925F26" w:rsidRDefault="006F0F05" w:rsidP="00925F26">
      <w:pPr>
        <w:jc w:val="both"/>
        <w:rPr>
          <w:color w:val="000000" w:themeColor="text1"/>
          <w:sz w:val="16"/>
          <w:szCs w:val="16"/>
        </w:rPr>
      </w:pPr>
      <w:r w:rsidRPr="00925F26">
        <w:rPr>
          <w:color w:val="000000" w:themeColor="text1"/>
          <w:sz w:val="16"/>
          <w:szCs w:val="16"/>
        </w:rPr>
        <w:t>Наши войска, с боями продвигаясь вперёд, вышли на подступы к городу Краков. Противник спешно подтянул подкрепления и бросил в бой 75-ю пехотную дивизию, а также 602-ю дивизию особого назначения. Однако все контратаки гитлеровцев не имели успеха. Преодолевая сопротивление, противника, советские части продвинулись на 15 километров и завязали бои на оборонительном рубеже севернее Кракова.</w:t>
      </w:r>
    </w:p>
    <w:p w14:paraId="0ADF9DAB" w14:textId="77777777" w:rsidR="006F0F05" w:rsidRPr="00925F26" w:rsidRDefault="006F0F05" w:rsidP="00925F26">
      <w:pPr>
        <w:jc w:val="both"/>
        <w:rPr>
          <w:color w:val="000000" w:themeColor="text1"/>
          <w:sz w:val="16"/>
          <w:szCs w:val="16"/>
        </w:rPr>
      </w:pPr>
      <w:r w:rsidRPr="00925F26">
        <w:rPr>
          <w:color w:val="000000" w:themeColor="text1"/>
          <w:sz w:val="16"/>
          <w:szCs w:val="16"/>
        </w:rPr>
        <w:t>В районе города Скаржиско Каменна наши войска окружили части и подразделения немецких дивизий, разгромленных в районе Кельце. Окруженные части противника ликвидированы. Разгромлен штаб 72-й немецкой пехотной дивизии. Командир этой дивизии генерал-майор Хон убит. Наши подразделения вылавливают и захватывают в плен разрозненные группы немецких солдат. В течение дня взято в плен более 3.200 немцев. В одной группе пленных оказались командир 17-й немецкой танковой дивизии полковник Брук, начальник штаба майор Крейс и другие штатные офицеры. По их показаниям, дивизия имела более ста танков, из них 40 танков типа «Тигр» и два полностью укомплектованных мотополка. В первые же дни боёв, говорят пленные, все части дивизии были разгромлены.» (15013).</w:t>
      </w:r>
    </w:p>
    <w:p w14:paraId="3FB064B0" w14:textId="77777777" w:rsidR="006F0F05" w:rsidRPr="00925F26" w:rsidRDefault="006F0F05" w:rsidP="00925F26">
      <w:pPr>
        <w:jc w:val="both"/>
        <w:rPr>
          <w:color w:val="000000" w:themeColor="text1"/>
          <w:sz w:val="16"/>
          <w:szCs w:val="16"/>
        </w:rPr>
      </w:pPr>
    </w:p>
    <w:p w14:paraId="6D139D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 ходе Висло-Одерской операции почти все соединения б и ш 16ВА были направлены на дезорганизацию отступления противника (518,164).</w:t>
      </w:r>
    </w:p>
    <w:p w14:paraId="2485E232" w14:textId="77777777" w:rsidR="00C2313B" w:rsidRPr="00925F26" w:rsidRDefault="00C2313B" w:rsidP="00925F26">
      <w:pPr>
        <w:autoSpaceDE w:val="0"/>
        <w:autoSpaceDN w:val="0"/>
        <w:adjustRightInd w:val="0"/>
        <w:jc w:val="both"/>
        <w:rPr>
          <w:color w:val="000000" w:themeColor="text1"/>
          <w:sz w:val="16"/>
          <w:szCs w:val="16"/>
        </w:rPr>
      </w:pPr>
    </w:p>
    <w:p w14:paraId="3F436890" w14:textId="77777777" w:rsidR="00BD0937" w:rsidRPr="00925F26" w:rsidRDefault="00BD0937" w:rsidP="00925F26">
      <w:pPr>
        <w:pStyle w:val="ae"/>
        <w:shd w:val="clear" w:color="auto" w:fill="FFFFFF"/>
        <w:spacing w:before="0" w:after="0"/>
        <w:jc w:val="both"/>
        <w:rPr>
          <w:color w:val="000000" w:themeColor="text1"/>
          <w:sz w:val="16"/>
          <w:szCs w:val="16"/>
        </w:rPr>
      </w:pPr>
      <w:r w:rsidRPr="00925F26">
        <w:rPr>
          <w:color w:val="000000" w:themeColor="text1"/>
          <w:sz w:val="16"/>
          <w:szCs w:val="16"/>
        </w:rPr>
        <w:t>18 января 1945 г. прорвана оборона в Восточной Пруссии. Через 12 дней мы у стен Кёнигсберга (17459).</w:t>
      </w:r>
    </w:p>
    <w:p w14:paraId="180F3255" w14:textId="77777777" w:rsidR="00BD0937" w:rsidRPr="00925F26" w:rsidRDefault="00BD0937" w:rsidP="00925F26">
      <w:pPr>
        <w:pStyle w:val="ae"/>
        <w:shd w:val="clear" w:color="auto" w:fill="FFFFFF"/>
        <w:spacing w:before="0" w:after="0"/>
        <w:jc w:val="both"/>
        <w:rPr>
          <w:color w:val="000000" w:themeColor="text1"/>
          <w:sz w:val="16"/>
          <w:szCs w:val="16"/>
        </w:rPr>
      </w:pPr>
    </w:p>
    <w:p w14:paraId="1A0AAE70" w14:textId="77777777" w:rsidR="00BD0937" w:rsidRPr="00925F26" w:rsidRDefault="00BD0937" w:rsidP="00925F26">
      <w:pPr>
        <w:pStyle w:val="ae"/>
        <w:shd w:val="clear" w:color="auto" w:fill="FFFFFF"/>
        <w:spacing w:before="0" w:after="0"/>
        <w:jc w:val="both"/>
        <w:rPr>
          <w:color w:val="000000" w:themeColor="text1"/>
          <w:sz w:val="16"/>
          <w:szCs w:val="16"/>
        </w:rPr>
      </w:pPr>
      <w:r w:rsidRPr="00925F26">
        <w:rPr>
          <w:color w:val="000000" w:themeColor="text1"/>
          <w:sz w:val="16"/>
          <w:szCs w:val="16"/>
        </w:rPr>
        <w:t>18 января 1945 г. немецкие войска нанесли танковый удар между Балатоном и Баконским лесом и вышли к Дунаю, пытаясь деблокировать Будапешт (17459).</w:t>
      </w:r>
    </w:p>
    <w:p w14:paraId="26D2C413" w14:textId="77777777" w:rsidR="00BD0937" w:rsidRPr="00925F26" w:rsidRDefault="00BD0937" w:rsidP="00925F26">
      <w:pPr>
        <w:autoSpaceDE w:val="0"/>
        <w:autoSpaceDN w:val="0"/>
        <w:adjustRightInd w:val="0"/>
        <w:jc w:val="both"/>
        <w:rPr>
          <w:color w:val="000000" w:themeColor="text1"/>
          <w:sz w:val="16"/>
          <w:szCs w:val="16"/>
        </w:rPr>
      </w:pPr>
    </w:p>
    <w:p w14:paraId="7EB8C804" w14:textId="77777777" w:rsidR="005720F5" w:rsidRPr="00925F26" w:rsidRDefault="005720F5" w:rsidP="00925F26">
      <w:pPr>
        <w:autoSpaceDE w:val="0"/>
        <w:autoSpaceDN w:val="0"/>
        <w:adjustRightInd w:val="0"/>
        <w:jc w:val="both"/>
        <w:rPr>
          <w:color w:val="000000" w:themeColor="text1"/>
          <w:sz w:val="16"/>
          <w:szCs w:val="16"/>
        </w:rPr>
      </w:pPr>
      <w:r w:rsidRPr="00925F26">
        <w:rPr>
          <w:color w:val="000000" w:themeColor="text1"/>
          <w:sz w:val="16"/>
          <w:szCs w:val="16"/>
        </w:rPr>
        <w:t>18 января (1945)</w:t>
      </w:r>
      <w:r w:rsidRPr="00925F26">
        <w:rPr>
          <w:bCs/>
          <w:color w:val="000000" w:themeColor="text1"/>
          <w:sz w:val="16"/>
          <w:szCs w:val="16"/>
        </w:rPr>
        <w:t xml:space="preserve"> утром началось наступление противника </w:t>
      </w:r>
      <w:r w:rsidRPr="00925F26">
        <w:rPr>
          <w:bCs/>
          <w:iCs/>
          <w:color w:val="000000" w:themeColor="text1"/>
          <w:sz w:val="16"/>
          <w:szCs w:val="16"/>
        </w:rPr>
        <w:t>там, где его не ожидали</w:t>
      </w:r>
      <w:r w:rsidRPr="00925F26">
        <w:rPr>
          <w:bCs/>
          <w:color w:val="000000" w:themeColor="text1"/>
          <w:sz w:val="16"/>
          <w:szCs w:val="16"/>
        </w:rPr>
        <w:t>. Удар приняли на себя соединения 135-го стрелкового корпуса генерал-майора П.В.Гнедина. После недельной передышки снова развернулись ожесточенные, кровопролитные бои. Благодаря внезапности нападения противник прорвал оборону и утром 20 января достиг Дуная в районах Дунапентеле и Адонь. Отдельные танковые подразделения фашистов появились на подступах к Дунафельдвару, где находился штаб фронта, охраняемый лишь одной батареей 45-мм противотанковых пушек. 3-й Украинский фронт был расчленен на две группировки. Положение осложнялось еще и тем, что накануне сильный ледоход неожиданно снес все понтонные переправы через Дунай (17459).</w:t>
      </w:r>
    </w:p>
    <w:p w14:paraId="11DE4DB9" w14:textId="77777777" w:rsidR="005720F5" w:rsidRPr="00925F26" w:rsidRDefault="005720F5" w:rsidP="00925F26">
      <w:pPr>
        <w:autoSpaceDE w:val="0"/>
        <w:autoSpaceDN w:val="0"/>
        <w:adjustRightInd w:val="0"/>
        <w:jc w:val="both"/>
        <w:rPr>
          <w:color w:val="000000" w:themeColor="text1"/>
          <w:sz w:val="16"/>
          <w:szCs w:val="16"/>
        </w:rPr>
      </w:pPr>
    </w:p>
    <w:p w14:paraId="185866E2"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18, 1945: German troops in Poland evacuate Kracow. Beginning of a German offensive from Lake Balaton to lift the Soviet siege of Budapest (3819).</w:t>
      </w:r>
    </w:p>
    <w:p w14:paraId="126FBA2E" w14:textId="77777777" w:rsidR="00C2313B" w:rsidRPr="00925F26" w:rsidRDefault="00C2313B" w:rsidP="00925F26">
      <w:pPr>
        <w:autoSpaceDE w:val="0"/>
        <w:autoSpaceDN w:val="0"/>
        <w:adjustRightInd w:val="0"/>
        <w:jc w:val="both"/>
        <w:rPr>
          <w:color w:val="000000" w:themeColor="text1"/>
          <w:sz w:val="16"/>
          <w:szCs w:val="16"/>
          <w:lang w:val="en-US"/>
        </w:rPr>
      </w:pPr>
    </w:p>
    <w:p w14:paraId="634634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1944 КА освободила Краков. Началось немецкое наступление на Балатоне по снятию блокады с Будапешта (3819).</w:t>
      </w:r>
    </w:p>
    <w:p w14:paraId="1759F344" w14:textId="77777777" w:rsidR="00C2313B" w:rsidRPr="00925F26" w:rsidRDefault="00C2313B" w:rsidP="00925F26">
      <w:pPr>
        <w:autoSpaceDE w:val="0"/>
        <w:autoSpaceDN w:val="0"/>
        <w:adjustRightInd w:val="0"/>
        <w:jc w:val="both"/>
        <w:rPr>
          <w:color w:val="000000" w:themeColor="text1"/>
          <w:sz w:val="16"/>
          <w:szCs w:val="16"/>
        </w:rPr>
      </w:pPr>
    </w:p>
    <w:p w14:paraId="70D631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немецкая группировка в Будапеште сдалась (3907,255).</w:t>
      </w:r>
    </w:p>
    <w:p w14:paraId="6434CA84" w14:textId="77777777" w:rsidR="00C2313B" w:rsidRPr="00925F26" w:rsidRDefault="00C2313B" w:rsidP="00925F26">
      <w:pPr>
        <w:autoSpaceDE w:val="0"/>
        <w:autoSpaceDN w:val="0"/>
        <w:adjustRightInd w:val="0"/>
        <w:jc w:val="both"/>
        <w:rPr>
          <w:color w:val="000000" w:themeColor="text1"/>
          <w:sz w:val="16"/>
          <w:szCs w:val="16"/>
        </w:rPr>
      </w:pPr>
    </w:p>
    <w:p w14:paraId="584A28F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0121446" w14:textId="77777777" w:rsidR="00C2313B" w:rsidRPr="00925F26" w:rsidRDefault="00C2313B" w:rsidP="00925F26">
      <w:pPr>
        <w:autoSpaceDE w:val="0"/>
        <w:autoSpaceDN w:val="0"/>
        <w:adjustRightInd w:val="0"/>
        <w:jc w:val="both"/>
        <w:rPr>
          <w:iCs/>
          <w:color w:val="000000" w:themeColor="text1"/>
          <w:sz w:val="16"/>
          <w:szCs w:val="16"/>
        </w:rPr>
      </w:pPr>
    </w:p>
    <w:p w14:paraId="40A090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18 января 1945 М. И. Калинин подписал секретный указ ПВС “Об освобождении от наказания осужденных беременных женщин и женщин, имеющих детей дошкольного возраста”. Указ распространялся на всех беременных и имевших “при себе детей дошкольного возраста в местах заключения” и на всех “осужденных женщин, у которых в семье имеются дети дошкольного возраста”, при условии отбытия ими к моменту издания указа половины срока. Все это не касалось осужденных за контрреволюционные преступления, бандитизм, убийства, по закону от 7 августа 1932-го и рецидивисток. В случае совершения новых преступлений все освобожденные по этому указу подлежали “наиболее суровой мере наказания, предусмотренной законом”. 21 января на места была разослана секретная директива НКВД и Прокуратуры СССР № 8/23с, разъяснявшая порядок выполнения этого указа ПВС: </w:t>
      </w:r>
      <w:proofErr w:type="gramStart"/>
      <w:r w:rsidRPr="00925F26">
        <w:rPr>
          <w:color w:val="000000" w:themeColor="text1"/>
          <w:sz w:val="16"/>
          <w:szCs w:val="16"/>
        </w:rPr>
        <w:t>в частности</w:t>
      </w:r>
      <w:proofErr w:type="gramEnd"/>
      <w:r w:rsidRPr="00925F26">
        <w:rPr>
          <w:color w:val="000000" w:themeColor="text1"/>
          <w:sz w:val="16"/>
          <w:szCs w:val="16"/>
        </w:rPr>
        <w:t xml:space="preserve"> не подлежали освобождению “иноподданные Германии, Финляндии, Румынии, Венгрии и Италии”; указ предписывалось выполнить в двухмесячный срок (7560).</w:t>
      </w:r>
    </w:p>
    <w:p w14:paraId="6AC24B23" w14:textId="77777777" w:rsidR="00C2313B" w:rsidRPr="00925F26" w:rsidRDefault="00C2313B" w:rsidP="00925F26">
      <w:pPr>
        <w:autoSpaceDE w:val="0"/>
        <w:autoSpaceDN w:val="0"/>
        <w:adjustRightInd w:val="0"/>
        <w:jc w:val="both"/>
        <w:rPr>
          <w:color w:val="000000" w:themeColor="text1"/>
          <w:sz w:val="16"/>
          <w:szCs w:val="16"/>
        </w:rPr>
      </w:pPr>
    </w:p>
    <w:p w14:paraId="3AC95B7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9C62D88" w14:textId="77777777" w:rsidR="00C2313B" w:rsidRPr="00925F26" w:rsidRDefault="00C2313B" w:rsidP="00925F26">
      <w:pPr>
        <w:autoSpaceDE w:val="0"/>
        <w:autoSpaceDN w:val="0"/>
        <w:adjustRightInd w:val="0"/>
        <w:jc w:val="both"/>
        <w:rPr>
          <w:iCs/>
          <w:color w:val="000000" w:themeColor="text1"/>
          <w:sz w:val="16"/>
          <w:szCs w:val="16"/>
        </w:rPr>
      </w:pPr>
    </w:p>
    <w:p w14:paraId="22CDA3A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января 1945 просоветское временное правительство Польши прибыло из Люблина в Варшаву (4962).</w:t>
      </w:r>
    </w:p>
    <w:p w14:paraId="460D2BE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25AAA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января 1945 временное польское правительство, образованное 1 января 1945, переехало из Люблина в Варшаву (3186).</w:t>
      </w:r>
    </w:p>
    <w:p w14:paraId="6B57E299" w14:textId="77777777" w:rsidR="00C2313B" w:rsidRPr="00925F26" w:rsidRDefault="00C2313B" w:rsidP="00925F26">
      <w:pPr>
        <w:autoSpaceDE w:val="0"/>
        <w:autoSpaceDN w:val="0"/>
        <w:adjustRightInd w:val="0"/>
        <w:jc w:val="both"/>
        <w:rPr>
          <w:color w:val="000000" w:themeColor="text1"/>
          <w:sz w:val="16"/>
          <w:szCs w:val="16"/>
        </w:rPr>
      </w:pPr>
    </w:p>
    <w:p w14:paraId="259CFD2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2A86510" w14:textId="77777777" w:rsidR="00C2313B" w:rsidRPr="00925F26" w:rsidRDefault="00C2313B" w:rsidP="00925F26">
      <w:pPr>
        <w:autoSpaceDE w:val="0"/>
        <w:autoSpaceDN w:val="0"/>
        <w:adjustRightInd w:val="0"/>
        <w:jc w:val="both"/>
        <w:rPr>
          <w:iCs/>
          <w:color w:val="000000" w:themeColor="text1"/>
          <w:sz w:val="16"/>
          <w:szCs w:val="16"/>
        </w:rPr>
      </w:pPr>
    </w:p>
    <w:p w14:paraId="6139CA8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января 1945 премьер Британии У. Черчилль призвал Германию к капитуляции (4962).</w:t>
      </w:r>
    </w:p>
    <w:p w14:paraId="011AEA2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09640A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F3AEFA8" w14:textId="77777777" w:rsidR="00C2313B" w:rsidRPr="00925F26" w:rsidRDefault="00C2313B" w:rsidP="00925F26">
      <w:pPr>
        <w:autoSpaceDE w:val="0"/>
        <w:autoSpaceDN w:val="0"/>
        <w:adjustRightInd w:val="0"/>
        <w:jc w:val="both"/>
        <w:rPr>
          <w:iCs/>
          <w:color w:val="000000" w:themeColor="text1"/>
          <w:sz w:val="16"/>
          <w:szCs w:val="16"/>
        </w:rPr>
      </w:pPr>
    </w:p>
    <w:p w14:paraId="3308CC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вышел годовой отчет N 73/239с по основной деятельности завода 39 за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tblGrid>
      <w:tr w:rsidR="000F5689" w:rsidRPr="00925F26" w14:paraId="615AD702" w14:textId="77777777">
        <w:tc>
          <w:tcPr>
            <w:tcW w:w="1252" w:type="dxa"/>
          </w:tcPr>
          <w:p w14:paraId="73A28160" w14:textId="77777777" w:rsidR="00C2313B" w:rsidRPr="00925F26" w:rsidRDefault="00C2313B" w:rsidP="00925F26">
            <w:pPr>
              <w:autoSpaceDE w:val="0"/>
              <w:autoSpaceDN w:val="0"/>
              <w:adjustRightInd w:val="0"/>
              <w:jc w:val="both"/>
              <w:rPr>
                <w:color w:val="000000" w:themeColor="text1"/>
                <w:sz w:val="16"/>
                <w:szCs w:val="16"/>
              </w:rPr>
            </w:pPr>
          </w:p>
        </w:tc>
        <w:tc>
          <w:tcPr>
            <w:tcW w:w="1252" w:type="dxa"/>
          </w:tcPr>
          <w:p w14:paraId="3C4A2F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252" w:type="dxa"/>
          </w:tcPr>
          <w:p w14:paraId="051ABD0E" w14:textId="77777777" w:rsidR="00C2313B" w:rsidRPr="00925F26" w:rsidRDefault="00C2313B" w:rsidP="00925F26">
            <w:pPr>
              <w:autoSpaceDE w:val="0"/>
              <w:autoSpaceDN w:val="0"/>
              <w:adjustRightInd w:val="0"/>
              <w:jc w:val="both"/>
              <w:rPr>
                <w:color w:val="000000" w:themeColor="text1"/>
                <w:sz w:val="16"/>
                <w:szCs w:val="16"/>
              </w:rPr>
            </w:pPr>
          </w:p>
        </w:tc>
        <w:tc>
          <w:tcPr>
            <w:tcW w:w="1252" w:type="dxa"/>
          </w:tcPr>
          <w:p w14:paraId="6DD3630D" w14:textId="77777777" w:rsidR="00C2313B" w:rsidRPr="00925F26" w:rsidRDefault="00C2313B" w:rsidP="00925F26">
            <w:pPr>
              <w:autoSpaceDE w:val="0"/>
              <w:autoSpaceDN w:val="0"/>
              <w:adjustRightInd w:val="0"/>
              <w:jc w:val="both"/>
              <w:rPr>
                <w:color w:val="000000" w:themeColor="text1"/>
                <w:sz w:val="16"/>
                <w:szCs w:val="16"/>
              </w:rPr>
            </w:pPr>
          </w:p>
        </w:tc>
        <w:tc>
          <w:tcPr>
            <w:tcW w:w="1252" w:type="dxa"/>
          </w:tcPr>
          <w:p w14:paraId="618BE6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252" w:type="dxa"/>
          </w:tcPr>
          <w:p w14:paraId="4F270004" w14:textId="77777777" w:rsidR="00C2313B" w:rsidRPr="00925F26" w:rsidRDefault="00C2313B" w:rsidP="00925F26">
            <w:pPr>
              <w:autoSpaceDE w:val="0"/>
              <w:autoSpaceDN w:val="0"/>
              <w:adjustRightInd w:val="0"/>
              <w:jc w:val="both"/>
              <w:rPr>
                <w:color w:val="000000" w:themeColor="text1"/>
                <w:sz w:val="16"/>
                <w:szCs w:val="16"/>
              </w:rPr>
            </w:pPr>
          </w:p>
        </w:tc>
        <w:tc>
          <w:tcPr>
            <w:tcW w:w="1252" w:type="dxa"/>
          </w:tcPr>
          <w:p w14:paraId="26388534"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3E3650D4" w14:textId="77777777">
        <w:tc>
          <w:tcPr>
            <w:tcW w:w="1252" w:type="dxa"/>
          </w:tcPr>
          <w:p w14:paraId="74F74DA0" w14:textId="77777777" w:rsidR="00C2313B" w:rsidRPr="00925F26" w:rsidRDefault="00C2313B" w:rsidP="00925F26">
            <w:pPr>
              <w:autoSpaceDE w:val="0"/>
              <w:autoSpaceDN w:val="0"/>
              <w:adjustRightInd w:val="0"/>
              <w:jc w:val="both"/>
              <w:rPr>
                <w:color w:val="000000" w:themeColor="text1"/>
                <w:sz w:val="16"/>
                <w:szCs w:val="16"/>
              </w:rPr>
            </w:pPr>
          </w:p>
        </w:tc>
        <w:tc>
          <w:tcPr>
            <w:tcW w:w="1252" w:type="dxa"/>
          </w:tcPr>
          <w:p w14:paraId="4E69F4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1252" w:type="dxa"/>
          </w:tcPr>
          <w:p w14:paraId="51D6AD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w:t>
            </w:r>
          </w:p>
        </w:tc>
        <w:tc>
          <w:tcPr>
            <w:tcW w:w="1252" w:type="dxa"/>
          </w:tcPr>
          <w:p w14:paraId="33BF1B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52" w:type="dxa"/>
          </w:tcPr>
          <w:p w14:paraId="45A009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1252" w:type="dxa"/>
          </w:tcPr>
          <w:p w14:paraId="279488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w:t>
            </w:r>
          </w:p>
        </w:tc>
        <w:tc>
          <w:tcPr>
            <w:tcW w:w="1252" w:type="dxa"/>
          </w:tcPr>
          <w:p w14:paraId="0840EF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62F2572" w14:textId="77777777">
        <w:tc>
          <w:tcPr>
            <w:tcW w:w="1252" w:type="dxa"/>
          </w:tcPr>
          <w:p w14:paraId="44C79E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1252" w:type="dxa"/>
          </w:tcPr>
          <w:p w14:paraId="390DB5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667</w:t>
            </w:r>
          </w:p>
        </w:tc>
        <w:tc>
          <w:tcPr>
            <w:tcW w:w="1252" w:type="dxa"/>
          </w:tcPr>
          <w:p w14:paraId="5E09B2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697</w:t>
            </w:r>
          </w:p>
        </w:tc>
        <w:tc>
          <w:tcPr>
            <w:tcW w:w="1252" w:type="dxa"/>
          </w:tcPr>
          <w:p w14:paraId="350230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104.5</w:t>
            </w:r>
          </w:p>
        </w:tc>
        <w:tc>
          <w:tcPr>
            <w:tcW w:w="1252" w:type="dxa"/>
          </w:tcPr>
          <w:p w14:paraId="301968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1252" w:type="dxa"/>
          </w:tcPr>
          <w:p w14:paraId="59CDA4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1252" w:type="dxa"/>
          </w:tcPr>
          <w:p w14:paraId="412D69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108.7</w:t>
            </w:r>
          </w:p>
        </w:tc>
      </w:tr>
      <w:tr w:rsidR="000F5689" w:rsidRPr="00925F26" w14:paraId="1969484A" w14:textId="77777777">
        <w:tc>
          <w:tcPr>
            <w:tcW w:w="1252" w:type="dxa"/>
          </w:tcPr>
          <w:p w14:paraId="59BC3D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1252" w:type="dxa"/>
          </w:tcPr>
          <w:p w14:paraId="257E6C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252" w:type="dxa"/>
          </w:tcPr>
          <w:p w14:paraId="7E04B4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52" w:type="dxa"/>
          </w:tcPr>
          <w:p w14:paraId="1585A5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52" w:type="dxa"/>
          </w:tcPr>
          <w:p w14:paraId="432DA3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225</w:t>
            </w:r>
          </w:p>
        </w:tc>
        <w:tc>
          <w:tcPr>
            <w:tcW w:w="1252" w:type="dxa"/>
          </w:tcPr>
          <w:p w14:paraId="48E5B6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252" w:type="dxa"/>
          </w:tcPr>
          <w:p w14:paraId="2FA649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48.8</w:t>
            </w:r>
          </w:p>
        </w:tc>
      </w:tr>
    </w:tbl>
    <w:p w14:paraId="7706EF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Ил-4 был предназначен к снятию с изготовления заводом и наоборот Ер-2 вводился в серийное производство</w:t>
      </w:r>
      <w:proofErr w:type="gramStart"/>
      <w:r w:rsidRPr="00925F26">
        <w:rPr>
          <w:color w:val="000000" w:themeColor="text1"/>
          <w:sz w:val="16"/>
          <w:szCs w:val="16"/>
        </w:rPr>
        <w:t>...(</w:t>
      </w:r>
      <w:proofErr w:type="gramEnd"/>
      <w:r w:rsidRPr="00925F26">
        <w:rPr>
          <w:color w:val="000000" w:themeColor="text1"/>
          <w:sz w:val="16"/>
          <w:szCs w:val="16"/>
        </w:rPr>
        <w:t>2487).</w:t>
      </w:r>
    </w:p>
    <w:p w14:paraId="600E0AC8" w14:textId="77777777" w:rsidR="00C2313B" w:rsidRPr="00925F26" w:rsidRDefault="00C2313B" w:rsidP="00925F26">
      <w:pPr>
        <w:autoSpaceDE w:val="0"/>
        <w:autoSpaceDN w:val="0"/>
        <w:adjustRightInd w:val="0"/>
        <w:jc w:val="both"/>
        <w:rPr>
          <w:color w:val="000000" w:themeColor="text1"/>
          <w:sz w:val="16"/>
          <w:szCs w:val="16"/>
        </w:rPr>
      </w:pPr>
    </w:p>
    <w:p w14:paraId="15C090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г. Мясищев писал заместителю Наркома авиационной промышленности П.В. Дементьеву: "... для обеспечения дальнейшего развития этого бомбардировщика (Пе-2И) нами построен и в настоящее время проходит летные испытания самолет Пе-2И с моторами ВК-108 (он же "ДБ", ДБ-1-108) со следующими данными: максимальная скорость 700 км/ч, длина разбега 450 м, дальность максимальная 2500 км, дальность перегоночная 3500 км.</w:t>
      </w:r>
    </w:p>
    <w:p w14:paraId="1763CE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внутри фюзеляжа этого самолета увеличивается до 2000 кг.</w:t>
      </w:r>
    </w:p>
    <w:p w14:paraId="6AEAFF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находится в постройке такой же самолет с гермокабиной (имеется ввиду "ВБ") и увеличенной боевой высотой до 10000 м." (3337).</w:t>
      </w:r>
    </w:p>
    <w:p w14:paraId="545304B3" w14:textId="77777777" w:rsidR="00C2313B" w:rsidRPr="00925F26" w:rsidRDefault="00C2313B" w:rsidP="00925F26">
      <w:pPr>
        <w:autoSpaceDE w:val="0"/>
        <w:autoSpaceDN w:val="0"/>
        <w:adjustRightInd w:val="0"/>
        <w:jc w:val="both"/>
        <w:rPr>
          <w:color w:val="000000" w:themeColor="text1"/>
          <w:sz w:val="16"/>
          <w:szCs w:val="16"/>
        </w:rPr>
      </w:pPr>
    </w:p>
    <w:p w14:paraId="0FE81B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января 1945 года Мясищев писал заместителю наркома авиационной промышленности П.В. Демен</w:t>
      </w:r>
      <w:r w:rsidRPr="00925F26">
        <w:rPr>
          <w:color w:val="000000" w:themeColor="text1"/>
          <w:sz w:val="16"/>
          <w:szCs w:val="16"/>
        </w:rPr>
        <w:softHyphen/>
        <w:t>тьеву:</w:t>
      </w:r>
    </w:p>
    <w:p w14:paraId="566740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для обеспечения дальнейшего развития этого бомбардировщика (Пе-2И, —Прим, авт.) нами построен и в настоящее время проходит летные испытания самолет Пе-2И с моторами ВК-108 (он же «ДБ», ДБ-1-108. —Прим, авт.) со следующими данными: максимальная скорость 700 км/ч, длина разбега 450 м, дальность максимальная 2500 км, дальность перегоночная 3500 км.</w:t>
      </w:r>
    </w:p>
    <w:p w14:paraId="5214D1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Бомбовая нагрузка внутри фюзеляжа этого самолета увеличивается до 2000 кг.</w:t>
      </w:r>
    </w:p>
    <w:p w14:paraId="03B580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Одновременно находится в постройке такой же само</w:t>
      </w:r>
      <w:r w:rsidRPr="00925F26">
        <w:rPr>
          <w:color w:val="000000" w:themeColor="text1"/>
          <w:sz w:val="16"/>
          <w:szCs w:val="16"/>
        </w:rPr>
        <w:softHyphen/>
        <w:t>лет с гермокабиной (имеется в виду «ВБ») и увеличенной боевой высотой до 10 000 м»,</w:t>
      </w:r>
    </w:p>
    <w:p w14:paraId="651085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«ДБ» шли довольно трудно, главным образом, как и на предыдущих машинах, из-за двига</w:t>
      </w:r>
      <w:r w:rsidRPr="00925F26">
        <w:rPr>
          <w:color w:val="000000" w:themeColor="text1"/>
          <w:sz w:val="16"/>
          <w:szCs w:val="16"/>
        </w:rPr>
        <w:softHyphen/>
        <w:t>телей. Приведу лишь два примера. В полете 24 марта вышел из строя правый мотор из-за обрыва шатуна, а 5 апреля произошла катастрофа. В этот день у заво</w:t>
      </w:r>
      <w:r w:rsidRPr="00925F26">
        <w:rPr>
          <w:color w:val="000000" w:themeColor="text1"/>
          <w:sz w:val="16"/>
          <w:szCs w:val="16"/>
        </w:rPr>
        <w:softHyphen/>
        <w:t>дского летчика-испытателя А.Г. Васильченко на высо</w:t>
      </w:r>
      <w:r w:rsidRPr="00925F26">
        <w:rPr>
          <w:color w:val="000000" w:themeColor="text1"/>
          <w:sz w:val="16"/>
          <w:szCs w:val="16"/>
        </w:rPr>
        <w:softHyphen/>
        <w:t>те 1500 м сорвало крышку капота левого двигателя и оттуда вырвалось пламя. Васильченко решил увели</w:t>
      </w:r>
      <w:r w:rsidRPr="00925F26">
        <w:rPr>
          <w:color w:val="000000" w:themeColor="text1"/>
          <w:sz w:val="16"/>
          <w:szCs w:val="16"/>
        </w:rPr>
        <w:softHyphen/>
        <w:t>чить скорость захода на посадку и тем самым спасти машину. Но случилось непредвиденное, перед само</w:t>
      </w:r>
      <w:r w:rsidRPr="00925F26">
        <w:rPr>
          <w:color w:val="000000" w:themeColor="text1"/>
          <w:sz w:val="16"/>
          <w:szCs w:val="16"/>
        </w:rPr>
        <w:softHyphen/>
        <w:t>летом «ДБ» неожиданно появился заходивший на посадку Пе-2. Пилот пытался уклониться от столкнове</w:t>
      </w:r>
      <w:r w:rsidRPr="00925F26">
        <w:rPr>
          <w:color w:val="000000" w:themeColor="text1"/>
          <w:sz w:val="16"/>
          <w:szCs w:val="16"/>
        </w:rPr>
        <w:softHyphen/>
        <w:t>ния, но «ДБ» задел правой консолью жилой дом и упал, не долетев до аэродрома. В результате катастрофы был потерян не только самолет, но и погибли ведущий инженер Л. Дьяконов и трое гражданских лиц, среди них — двое детей.</w:t>
      </w:r>
    </w:p>
    <w:p w14:paraId="45ED8D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соответствии с приказом НКАП к 25 апреля по</w:t>
      </w:r>
      <w:r w:rsidRPr="00925F26">
        <w:rPr>
          <w:color w:val="000000" w:themeColor="text1"/>
          <w:sz w:val="16"/>
          <w:szCs w:val="16"/>
        </w:rPr>
        <w:softHyphen/>
        <w:t>строили вторую машину. На ней-то, получившей обо</w:t>
      </w:r>
      <w:r w:rsidRPr="00925F26">
        <w:rPr>
          <w:color w:val="000000" w:themeColor="text1"/>
          <w:sz w:val="16"/>
          <w:szCs w:val="16"/>
        </w:rPr>
        <w:softHyphen/>
        <w:t>значение ДБ-П-108, и продолжили летные испытания. Однако в связи с требованием ВВС об установке пол</w:t>
      </w:r>
      <w:r w:rsidRPr="00925F26">
        <w:rPr>
          <w:color w:val="000000" w:themeColor="text1"/>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w:t>
      </w:r>
    </w:p>
    <w:p w14:paraId="455F92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ДБ-И 08 послужил основой для многочис</w:t>
      </w:r>
      <w:r w:rsidRPr="00925F26">
        <w:rPr>
          <w:color w:val="000000" w:themeColor="text1"/>
          <w:sz w:val="16"/>
          <w:szCs w:val="16"/>
        </w:rPr>
        <w:softHyphen/>
        <w:t>ленных проектов, последним из которых стал ДБ-1\/-108 с носовой кабиной штурмана, предложенный ВВС в мае 1945 года (11446).</w:t>
      </w:r>
    </w:p>
    <w:p w14:paraId="7E780B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E5C876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19 по 31 января 1945 проводились заводские испытания на ЦА Як-3Т и Як-9 (65,181).</w:t>
      </w:r>
    </w:p>
    <w:p w14:paraId="1EC37D05" w14:textId="77777777" w:rsidR="00C2313B" w:rsidRPr="00925F26" w:rsidRDefault="00C2313B" w:rsidP="00925F26">
      <w:pPr>
        <w:autoSpaceDE w:val="0"/>
        <w:autoSpaceDN w:val="0"/>
        <w:adjustRightInd w:val="0"/>
        <w:jc w:val="both"/>
        <w:rPr>
          <w:color w:val="000000" w:themeColor="text1"/>
          <w:sz w:val="16"/>
          <w:szCs w:val="16"/>
        </w:rPr>
      </w:pPr>
    </w:p>
    <w:p w14:paraId="4C9FF3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19 по 31 января 1945 проводились заводские испытания на ЦА Як-9Т и 31 передали на гос. испытания. Летали В.Л.Расторгуев и М.И.Иванов, а ви был К.В.Синельщиков и м - Н.П.Копцов. выполнили 3 полета продолжительностью 1:12 (65,181).</w:t>
      </w:r>
    </w:p>
    <w:p w14:paraId="2F457337" w14:textId="77777777" w:rsidR="00C2313B" w:rsidRPr="00925F26" w:rsidRDefault="00C2313B" w:rsidP="00925F26">
      <w:pPr>
        <w:autoSpaceDE w:val="0"/>
        <w:autoSpaceDN w:val="0"/>
        <w:adjustRightInd w:val="0"/>
        <w:jc w:val="both"/>
        <w:rPr>
          <w:color w:val="000000" w:themeColor="text1"/>
          <w:sz w:val="16"/>
          <w:szCs w:val="16"/>
        </w:rPr>
      </w:pPr>
    </w:p>
    <w:p w14:paraId="1661DF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на истребителе Як-3Т в ходе заводских испытаний, проходивших с 15 по 24 января 1945, выполнили первый полет: на снятие летных характеристик, а второй совместили с перелетом в НИИ ВВС - 25 января.</w:t>
      </w:r>
    </w:p>
    <w:p w14:paraId="43BC4F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925F26">
        <w:rPr>
          <w:color w:val="000000" w:themeColor="text1"/>
          <w:sz w:val="16"/>
          <w:szCs w:val="16"/>
        </w:rPr>
        <w:t>че- тырех</w:t>
      </w:r>
      <w:proofErr w:type="gramEnd"/>
      <w:r w:rsidRPr="00925F26">
        <w:rPr>
          <w:color w:val="000000" w:themeColor="text1"/>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2A3B9B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4BBE36B7" w14:textId="77777777" w:rsidR="00C2313B" w:rsidRPr="00925F26" w:rsidRDefault="00C2313B" w:rsidP="00925F26">
      <w:pPr>
        <w:autoSpaceDE w:val="0"/>
        <w:autoSpaceDN w:val="0"/>
        <w:adjustRightInd w:val="0"/>
        <w:jc w:val="both"/>
        <w:rPr>
          <w:color w:val="000000" w:themeColor="text1"/>
          <w:sz w:val="16"/>
          <w:szCs w:val="16"/>
        </w:rPr>
      </w:pPr>
    </w:p>
    <w:p w14:paraId="5B45EA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вышел приказ НКАП N 15ас:</w:t>
      </w:r>
    </w:p>
    <w:p w14:paraId="2454C3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исполнение решения ГОКО от 29 декабря 1944 N 7225сс "О переоборудовании на заводе 135 самолетов Як-9 с ВК-105ПФ в самолеты истребители-бомбардировщики Як-9Б":</w:t>
      </w:r>
    </w:p>
    <w:p w14:paraId="62EE2B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153 Лисицину поставлять заводу 135 начиная с января по 50 самолетов Як-9 ежемесячно.</w:t>
      </w:r>
    </w:p>
    <w:p w14:paraId="6608A3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p w14:paraId="746B93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к 10 февраля с.г. отработать на заводе 135 эталон самолета Як-9Б." (1886,91).</w:t>
      </w:r>
    </w:p>
    <w:p w14:paraId="5E05CF97" w14:textId="77777777" w:rsidR="00C2313B" w:rsidRPr="00925F26" w:rsidRDefault="00C2313B" w:rsidP="00925F26">
      <w:pPr>
        <w:autoSpaceDE w:val="0"/>
        <w:autoSpaceDN w:val="0"/>
        <w:adjustRightInd w:val="0"/>
        <w:jc w:val="both"/>
        <w:rPr>
          <w:color w:val="000000" w:themeColor="text1"/>
          <w:sz w:val="16"/>
          <w:szCs w:val="16"/>
        </w:rPr>
      </w:pPr>
    </w:p>
    <w:p w14:paraId="1FF9C2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7370 О мобилизации рабочей силы для завода № 31 Наркомавиапрома. РГАНИР, Фонд ГКО, д. 358, лл. 51 (11012).</w:t>
      </w:r>
    </w:p>
    <w:p w14:paraId="4B973429" w14:textId="77777777" w:rsidR="00C2313B" w:rsidRPr="00925F26" w:rsidRDefault="00C2313B" w:rsidP="00925F26">
      <w:pPr>
        <w:autoSpaceDE w:val="0"/>
        <w:autoSpaceDN w:val="0"/>
        <w:adjustRightInd w:val="0"/>
        <w:jc w:val="both"/>
        <w:rPr>
          <w:color w:val="000000" w:themeColor="text1"/>
          <w:sz w:val="16"/>
          <w:szCs w:val="16"/>
        </w:rPr>
      </w:pPr>
    </w:p>
    <w:p w14:paraId="02B8D9E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88BE73C" w14:textId="77777777" w:rsidR="00C2313B" w:rsidRPr="00925F26" w:rsidRDefault="00C2313B" w:rsidP="00925F26">
      <w:pPr>
        <w:autoSpaceDE w:val="0"/>
        <w:autoSpaceDN w:val="0"/>
        <w:adjustRightInd w:val="0"/>
        <w:jc w:val="both"/>
        <w:rPr>
          <w:iCs/>
          <w:color w:val="000000" w:themeColor="text1"/>
          <w:sz w:val="16"/>
          <w:szCs w:val="16"/>
        </w:rPr>
      </w:pPr>
    </w:p>
    <w:p w14:paraId="7A328F62" w14:textId="77777777" w:rsidR="00670896" w:rsidRPr="00925F26" w:rsidRDefault="00670896"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состоянию на 19 января 1945 года число требуемых переделок ИС-3 выросло до 20 (позже оно снизилось до 16). Это вносило сумбур в работу СКБ: по состоянию на 13 января там отработали 52 группы чертежей, из которых 34 уже выдали в производство. Всё это задерживало работы по корпусному заводу №200. В результате к 23 января завод №200 смог закончить всего один корпус и заложить второй.</w:t>
      </w:r>
    </w:p>
    <w:p w14:paraId="00B3A858" w14:textId="77777777" w:rsidR="00670896" w:rsidRPr="00925F26" w:rsidRDefault="00670896"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Следует отметить, что по плану завод №200 сдавал пять корпусов и пять башен. По плану, корпуса сдавались к 15 января, а башни — к 18 января. Это оказалось физически невозможно, поскольку последние чертежи попали на завод только 10-12 января. В результате из пяти корпусов сдали один, ещё два находились в монтаже; отлили, но не сдали четыре башни. Более того, с ЧКЗ ожидалась документация на улучшенную башню, чертежи на улучшенный корпус прибыли 27 января. Кроме того, на УЗТМ изготовили два корпуса и две башни, из которых один корпус к концу января прибыл на ЧКЗ. При этом в сводках на 6 февраля значатся три корпуса — один ЧКЗ, один завода №200 и один УЗТМ (19731).</w:t>
      </w:r>
    </w:p>
    <w:p w14:paraId="074DE501" w14:textId="77777777" w:rsidR="00670896" w:rsidRPr="00925F26" w:rsidRDefault="00670896" w:rsidP="00925F26">
      <w:pPr>
        <w:pStyle w:val="ae"/>
        <w:shd w:val="clear" w:color="auto" w:fill="FFFFFF"/>
        <w:spacing w:before="0" w:after="0"/>
        <w:jc w:val="both"/>
        <w:textAlignment w:val="baseline"/>
        <w:rPr>
          <w:color w:val="000000" w:themeColor="text1"/>
          <w:sz w:val="16"/>
          <w:szCs w:val="16"/>
        </w:rPr>
      </w:pPr>
    </w:p>
    <w:p w14:paraId="525711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января 1945 г. вышел ПРИКАЗ НАЧАЛЬНИКА ГБТУ КА ОБ ИСПЫТАНИИ ОПЫТНЫХ ОБРАЗЦОВ МОТОЦИКЛЕТНЫХ КОЛЯСОК С ДЕРЕВЯННЫМ КОРПУСОМ КОНСТРУКЦИИ ЦКБ ГЛАВСПЕЦДРЕВПРОМА №83</w:t>
      </w:r>
    </w:p>
    <w:p w14:paraId="713C0C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С целью определения возможности использования и целесообразности применения мотоцик</w:t>
      </w:r>
      <w:r w:rsidRPr="00925F26">
        <w:rPr>
          <w:color w:val="000000" w:themeColor="text1"/>
          <w:sz w:val="16"/>
          <w:szCs w:val="16"/>
        </w:rPr>
        <w:softHyphen/>
        <w:t>летных колясок с деревянными корпусами в Красной Армии ПРИКАЗЫВАЮ:</w:t>
      </w:r>
    </w:p>
    <w:p w14:paraId="27B02F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2D1DF9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период с 23.01 по 20.02.1945 г. провести испытания 2-х опытных образцов мотоциклетных ко</w:t>
      </w:r>
      <w:r w:rsidRPr="00925F26">
        <w:rPr>
          <w:color w:val="000000" w:themeColor="text1"/>
          <w:sz w:val="16"/>
          <w:szCs w:val="16"/>
        </w:rPr>
        <w:softHyphen/>
        <w:t>лясок с деревянными корпусами на мотоциклах «Харлей-Давидсон».</w:t>
      </w:r>
    </w:p>
    <w:p w14:paraId="71F337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1AA138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проведения испытаний назначить комиссию:</w:t>
      </w:r>
    </w:p>
    <w:p w14:paraId="35F2BE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комиссии — от научно-испытательного бронетанкового полигона ГБТУ КА по назначению начальника полигона генерал-майора танковых войск т. Романова. Члены: от управления БП и БМ ГБТУ КА — капитан Жохов,</w:t>
      </w:r>
    </w:p>
    <w:p w14:paraId="3C89BC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 НИБТ полигона ГБТУ КА — ст. техн. лейтенант Стекольщиков, от ЦКБ Главспецдревпрома назначен т. Римша П. Б.</w:t>
      </w:r>
    </w:p>
    <w:p w14:paraId="0B08C9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Испытание колясок с деревянным корпусом провести по программе, утвержденной ГБТУ КА.</w:t>
      </w:r>
    </w:p>
    <w:p w14:paraId="6B379D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4F8F1E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Материально-техническое обеспечение испытаний возлагаю на начальника НИБТ полигона генерал-майора танковых войск т. Романова,</w:t>
      </w:r>
    </w:p>
    <w:p w14:paraId="4096FC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7B6757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Выводы и заключения по испытаниям представить не позднее 2 дней по окончании испытаний. Отчеты по испытаниям представить не позднее 5 дней по окончании испытаний.</w:t>
      </w:r>
    </w:p>
    <w:p w14:paraId="468D0D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ГБТУ КА генерал-лейтенант инженерно-танковой службы Лебедев</w:t>
      </w:r>
    </w:p>
    <w:p w14:paraId="2C4BA9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11377. Д. 256. Л. 1. Подлинник (11420).</w:t>
      </w:r>
    </w:p>
    <w:p w14:paraId="6DC420A0" w14:textId="77777777" w:rsidR="00C2313B" w:rsidRPr="00925F26" w:rsidRDefault="00C2313B" w:rsidP="00925F26">
      <w:pPr>
        <w:autoSpaceDE w:val="0"/>
        <w:autoSpaceDN w:val="0"/>
        <w:adjustRightInd w:val="0"/>
        <w:jc w:val="both"/>
        <w:rPr>
          <w:color w:val="000000" w:themeColor="text1"/>
          <w:sz w:val="16"/>
          <w:szCs w:val="16"/>
        </w:rPr>
      </w:pPr>
    </w:p>
    <w:p w14:paraId="1824874C" w14:textId="77777777" w:rsidR="00670896" w:rsidRPr="00925F26" w:rsidRDefault="00670896" w:rsidP="00925F26">
      <w:pPr>
        <w:jc w:val="both"/>
        <w:rPr>
          <w:color w:val="000000" w:themeColor="text1"/>
          <w:sz w:val="16"/>
          <w:szCs w:val="16"/>
        </w:rPr>
      </w:pPr>
      <w:r w:rsidRPr="00925F26">
        <w:rPr>
          <w:color w:val="000000" w:themeColor="text1"/>
          <w:sz w:val="16"/>
          <w:szCs w:val="16"/>
        </w:rPr>
        <w:t>19 января и 15 мая 1945 г. согласно двум постановлениям ГКО СССР на завод № 678 возлагалась задача изготовления двух высокочастотных ламповых генераторов большой мощности для циклотронных лабораторий. Именно эти последние заказы и определяли всю деятельность завода в течение года, т.к. они выполнялись в первую очередь, даже в ущерб всем прочим заданиям (18297).</w:t>
      </w:r>
    </w:p>
    <w:p w14:paraId="4C673B1C" w14:textId="77777777" w:rsidR="00670896" w:rsidRPr="00925F26" w:rsidRDefault="00670896" w:rsidP="00925F26">
      <w:pPr>
        <w:jc w:val="both"/>
        <w:rPr>
          <w:color w:val="000000" w:themeColor="text1"/>
          <w:sz w:val="16"/>
          <w:szCs w:val="16"/>
        </w:rPr>
      </w:pPr>
    </w:p>
    <w:p w14:paraId="2F538C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Распоряжение ГКО № 7352. О переработке генерального проекта строительства завода № 402 НКСП. РГАНИР, Фонд ГКО, д. 357, лл. 1 (11012).</w:t>
      </w:r>
    </w:p>
    <w:p w14:paraId="3340B5A1" w14:textId="77777777" w:rsidR="00C2313B" w:rsidRPr="00925F26" w:rsidRDefault="00C2313B" w:rsidP="00925F26">
      <w:pPr>
        <w:autoSpaceDE w:val="0"/>
        <w:autoSpaceDN w:val="0"/>
        <w:adjustRightInd w:val="0"/>
        <w:jc w:val="both"/>
        <w:rPr>
          <w:color w:val="000000" w:themeColor="text1"/>
          <w:sz w:val="16"/>
          <w:szCs w:val="16"/>
        </w:rPr>
      </w:pPr>
    </w:p>
    <w:p w14:paraId="5484B9C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Распоряжение ГКО № 7353 [Об увеличении военизированной охраны НКМФ на 1,5 тыс. чел.] (7299, 2).</w:t>
      </w:r>
    </w:p>
    <w:p w14:paraId="02D6F9E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C3DF62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Распоряжение ГКО № 7354 [О дополнительном отпуске бензина НКВД в январе 1945 г.] (7299, 3).</w:t>
      </w:r>
    </w:p>
    <w:p w14:paraId="4017EFF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15E76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Распоряжение ГКО № 7355. Об изменении плана поставок оборудования и материалов для восстановления Таллинской и Рижской военно-морских баз. РГАНИР, Фонд ГКО, д. 357, лл. 4, 5-6 (11012).</w:t>
      </w:r>
    </w:p>
    <w:p w14:paraId="4FF5B105" w14:textId="77777777" w:rsidR="00C2313B" w:rsidRPr="00925F26" w:rsidRDefault="00C2313B" w:rsidP="00925F26">
      <w:pPr>
        <w:autoSpaceDE w:val="0"/>
        <w:autoSpaceDN w:val="0"/>
        <w:adjustRightInd w:val="0"/>
        <w:jc w:val="both"/>
        <w:rPr>
          <w:color w:val="000000" w:themeColor="text1"/>
          <w:sz w:val="16"/>
          <w:szCs w:val="16"/>
        </w:rPr>
      </w:pPr>
    </w:p>
    <w:p w14:paraId="1F94EB7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Распоряжение ГКО № 7356 [О материально-техническом обеспечении мер по увеличению выпуска коллоксилина на Краснокамском целлюлозно-бумажном комбинате.] (7299, 7-8,9-12).</w:t>
      </w:r>
    </w:p>
    <w:p w14:paraId="2F19846D"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0FA27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7357 Об окончании строительства циклотронной лаборатории при Ленинградском физико-техническом институте Академии наук СССР. РГАНИР, Фонд ГКО, д. 357, лл. 13-16, 17-26 (11012).</w:t>
      </w:r>
    </w:p>
    <w:p w14:paraId="17D509DC" w14:textId="77777777" w:rsidR="00C2313B" w:rsidRPr="00925F26" w:rsidRDefault="00C2313B" w:rsidP="00925F26">
      <w:pPr>
        <w:autoSpaceDE w:val="0"/>
        <w:autoSpaceDN w:val="0"/>
        <w:adjustRightInd w:val="0"/>
        <w:jc w:val="both"/>
        <w:rPr>
          <w:color w:val="000000" w:themeColor="text1"/>
          <w:sz w:val="16"/>
          <w:szCs w:val="16"/>
        </w:rPr>
      </w:pPr>
    </w:p>
    <w:p w14:paraId="62E80D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7358 О плане снабжения продовольствием и фуражом Красной Армии, Военно-Морского Флота и войск НКВД СССР на I квартал 1945 г. РГАНИР, Фонд ГКО, д. 357, лл. 27-28, 29-40 (11012).</w:t>
      </w:r>
    </w:p>
    <w:p w14:paraId="7B59A40C" w14:textId="77777777" w:rsidR="00C2313B" w:rsidRPr="00925F26" w:rsidRDefault="00C2313B" w:rsidP="00925F26">
      <w:pPr>
        <w:autoSpaceDE w:val="0"/>
        <w:autoSpaceDN w:val="0"/>
        <w:adjustRightInd w:val="0"/>
        <w:jc w:val="both"/>
        <w:rPr>
          <w:color w:val="000000" w:themeColor="text1"/>
          <w:sz w:val="16"/>
          <w:szCs w:val="16"/>
        </w:rPr>
      </w:pPr>
    </w:p>
    <w:p w14:paraId="38F754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7359 О материально-техническом обеспечении неотложных нужд Тихоокеанского флота. РГАНИР, Фонд ГКО, д. 357, лл. 41, 42-45 (11012).</w:t>
      </w:r>
    </w:p>
    <w:p w14:paraId="03773A8D" w14:textId="77777777" w:rsidR="00C2313B" w:rsidRPr="00925F26" w:rsidRDefault="00C2313B" w:rsidP="00925F26">
      <w:pPr>
        <w:autoSpaceDE w:val="0"/>
        <w:autoSpaceDN w:val="0"/>
        <w:adjustRightInd w:val="0"/>
        <w:jc w:val="both"/>
        <w:rPr>
          <w:color w:val="000000" w:themeColor="text1"/>
          <w:sz w:val="16"/>
          <w:szCs w:val="16"/>
        </w:rPr>
      </w:pPr>
    </w:p>
    <w:p w14:paraId="100DE9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7360 О плане ремонта тракторов (арттягачей) для Красной Армии и Военно-Морского Флота на I квартал 1945 г. РГАНИР, Фонд ГКО, д. 357, лл. 46-50, 51-76 (11012).</w:t>
      </w:r>
    </w:p>
    <w:p w14:paraId="00BCCE2D" w14:textId="77777777" w:rsidR="00C2313B" w:rsidRPr="00925F26" w:rsidRDefault="00C2313B" w:rsidP="00925F26">
      <w:pPr>
        <w:autoSpaceDE w:val="0"/>
        <w:autoSpaceDN w:val="0"/>
        <w:adjustRightInd w:val="0"/>
        <w:jc w:val="both"/>
        <w:rPr>
          <w:color w:val="000000" w:themeColor="text1"/>
          <w:sz w:val="16"/>
          <w:szCs w:val="16"/>
        </w:rPr>
      </w:pPr>
    </w:p>
    <w:p w14:paraId="663E509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7361 Об энергоснабжении железнодорожного тоннеля под рекой Амур и Особой дистанции Дальневосточной железной дороги. (7299, 77,78-79).</w:t>
      </w:r>
    </w:p>
    <w:p w14:paraId="7FA68C3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35D293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7362 О работе Карагандинской железной дороги. (7299, 80).</w:t>
      </w:r>
    </w:p>
    <w:p w14:paraId="1802EEB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38D6E4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7363 О прикреплении к НКПС угольных шахт для снабжения углем паровозов. (7299, 81-82,83-85).</w:t>
      </w:r>
    </w:p>
    <w:p w14:paraId="23CC545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0CB559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7364 О мерах по обеспечению ремонта и восстановления грузовых вагонов и паровозов в I квартале 1945 г. (7299, 86-93,94-103).</w:t>
      </w:r>
    </w:p>
    <w:p w14:paraId="439F0AC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76D19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7365 О мероприятиях по обеспечению поставки балансов и дров предприятиям Наркомбумпрома в I квартале 1945 года. РГАНИР, Фонд ГКО, д. 357, лл. 104-108, 109-118 (11012).</w:t>
      </w:r>
    </w:p>
    <w:p w14:paraId="3F681B96" w14:textId="77777777" w:rsidR="00C2313B" w:rsidRPr="00925F26" w:rsidRDefault="00C2313B" w:rsidP="00925F26">
      <w:pPr>
        <w:autoSpaceDE w:val="0"/>
        <w:autoSpaceDN w:val="0"/>
        <w:adjustRightInd w:val="0"/>
        <w:jc w:val="both"/>
        <w:rPr>
          <w:color w:val="000000" w:themeColor="text1"/>
          <w:sz w:val="16"/>
          <w:szCs w:val="16"/>
        </w:rPr>
      </w:pPr>
    </w:p>
    <w:p w14:paraId="17F724FB"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7366 Об увеличении производства никеля на Норильском комбинате НКВД СССР в 1945 г. (7299, 119-130,131-203).</w:t>
      </w:r>
    </w:p>
    <w:p w14:paraId="7F5282B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B6D253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7367 Об изменении норм зольности коркинских углей. (Д.258, 1-4).</w:t>
      </w:r>
    </w:p>
    <w:p w14:paraId="453938C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F44BC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7368 О мероприятиях по экономии расходования крепежного леса на шахтах Наркомугля. РГАНИР, Фонд ГКО, д. 358, лл. 5-12, 13-17 (11012).</w:t>
      </w:r>
    </w:p>
    <w:p w14:paraId="4AF04087" w14:textId="77777777" w:rsidR="00C2313B" w:rsidRPr="00925F26" w:rsidRDefault="00C2313B" w:rsidP="00925F26">
      <w:pPr>
        <w:autoSpaceDE w:val="0"/>
        <w:autoSpaceDN w:val="0"/>
        <w:adjustRightInd w:val="0"/>
        <w:jc w:val="both"/>
        <w:rPr>
          <w:color w:val="000000" w:themeColor="text1"/>
          <w:sz w:val="16"/>
          <w:szCs w:val="16"/>
        </w:rPr>
      </w:pPr>
    </w:p>
    <w:p w14:paraId="7DE85F25"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7369 О строительстве угольного разреза на Ангренском месторождении Узбекской ССР. (7300, 18-30,31-50).</w:t>
      </w:r>
    </w:p>
    <w:p w14:paraId="5697020E"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A36B7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7371 Об обеспечении угольных шахт Донбасса вагонетками и электровозами. РГАНИР, Фонд ГКО, д. 358, лл. 52-55, 56-57 (11012).</w:t>
      </w:r>
    </w:p>
    <w:p w14:paraId="20273FAB" w14:textId="77777777" w:rsidR="00C2313B" w:rsidRPr="00925F26" w:rsidRDefault="00C2313B" w:rsidP="00925F26">
      <w:pPr>
        <w:autoSpaceDE w:val="0"/>
        <w:autoSpaceDN w:val="0"/>
        <w:adjustRightInd w:val="0"/>
        <w:jc w:val="both"/>
        <w:rPr>
          <w:color w:val="000000" w:themeColor="text1"/>
          <w:sz w:val="16"/>
          <w:szCs w:val="16"/>
        </w:rPr>
      </w:pPr>
    </w:p>
    <w:p w14:paraId="1CC234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вышло Постановление ГКО № 7372 Об обеспечении Челябинского и Московского электродных заводов Наркомцветмета нефтяным коксом и электроэнергией в I квартале 1945 года. РГАНИР, Фонд ГКО, д. 358, лл. 58-60 (11012).</w:t>
      </w:r>
    </w:p>
    <w:p w14:paraId="6170605B" w14:textId="77777777" w:rsidR="00C2313B" w:rsidRPr="00925F26" w:rsidRDefault="00C2313B" w:rsidP="00925F26">
      <w:pPr>
        <w:autoSpaceDE w:val="0"/>
        <w:autoSpaceDN w:val="0"/>
        <w:adjustRightInd w:val="0"/>
        <w:jc w:val="both"/>
        <w:rPr>
          <w:color w:val="000000" w:themeColor="text1"/>
          <w:sz w:val="16"/>
          <w:szCs w:val="16"/>
        </w:rPr>
      </w:pPr>
    </w:p>
    <w:p w14:paraId="2F2D72A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D934FB8" w14:textId="77777777" w:rsidR="00C2313B" w:rsidRPr="00925F26" w:rsidRDefault="00C2313B" w:rsidP="00925F26">
      <w:pPr>
        <w:autoSpaceDE w:val="0"/>
        <w:autoSpaceDN w:val="0"/>
        <w:adjustRightInd w:val="0"/>
        <w:jc w:val="both"/>
        <w:rPr>
          <w:iCs/>
          <w:color w:val="000000" w:themeColor="text1"/>
          <w:sz w:val="16"/>
          <w:szCs w:val="16"/>
        </w:rPr>
      </w:pPr>
    </w:p>
    <w:p w14:paraId="17663FC1" w14:textId="77777777" w:rsidR="006F0F05" w:rsidRPr="00925F26" w:rsidRDefault="006F0F05" w:rsidP="00925F26">
      <w:pPr>
        <w:jc w:val="both"/>
        <w:rPr>
          <w:color w:val="000000" w:themeColor="text1"/>
          <w:sz w:val="16"/>
          <w:szCs w:val="16"/>
        </w:rPr>
      </w:pPr>
      <w:r w:rsidRPr="00925F26">
        <w:rPr>
          <w:bCs/>
          <w:color w:val="000000" w:themeColor="text1"/>
          <w:sz w:val="16"/>
          <w:szCs w:val="16"/>
        </w:rPr>
        <w:t>19 января</w:t>
      </w:r>
      <w:r w:rsidRPr="00925F26">
        <w:rPr>
          <w:color w:val="000000" w:themeColor="text1"/>
          <w:sz w:val="16"/>
          <w:szCs w:val="16"/>
        </w:rPr>
        <w:t xml:space="preserve"> в 1945 году оперативная сводка Совинформбюро:</w:t>
      </w:r>
    </w:p>
    <w:p w14:paraId="48A896F8"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3-го Белорусского фронта, перейдя в наступление, при поддержке массированных ударов артиллерии и авиации прорвали долговременную глубоко эшелонированную оборону немцев в Восточной Пруссии и, преодолевая упорное сопротивление противника, за пять дней наступательных боёв продвинулись вперёд до 45 километров, расширив прорыв до 60 километров по фронту.</w:t>
      </w:r>
    </w:p>
    <w:p w14:paraId="06B4895B" w14:textId="77777777" w:rsidR="006F0F05" w:rsidRPr="00925F26" w:rsidRDefault="006F0F05" w:rsidP="00925F26">
      <w:pPr>
        <w:jc w:val="both"/>
        <w:rPr>
          <w:color w:val="000000" w:themeColor="text1"/>
          <w:sz w:val="16"/>
          <w:szCs w:val="16"/>
        </w:rPr>
      </w:pPr>
      <w:r w:rsidRPr="00925F26">
        <w:rPr>
          <w:color w:val="000000" w:themeColor="text1"/>
          <w:sz w:val="16"/>
          <w:szCs w:val="16"/>
        </w:rPr>
        <w:t>В ходе наступления войска фронта штурмом овладели укреплёнными городами Пилькаллен, Рагнит и сильными опорными пунктами обороны немцев Шилленен, Лазденен, Куссен, Науйенингкен, Ленгветен, Краупишкен, Бракупенен, а также с боями заняли более 600 других населённых пунктов, среди них Унтер-Айсельн, Каллвеллен, Гирренен, Шуппиннен, Драугупенен, Эдеркемен, Кармонен, Шоршинен, Гросс-Клайн, Зодинелен, Аугштупенен и железнодорожные станции Гросс Шореллен, Раутенберг, Науйенингкен, Тракенен, Гросс-Клайн.</w:t>
      </w:r>
    </w:p>
    <w:p w14:paraId="570612B1" w14:textId="77777777" w:rsidR="006F0F05" w:rsidRPr="00925F26" w:rsidRDefault="006F0F05" w:rsidP="00925F26">
      <w:pPr>
        <w:jc w:val="both"/>
        <w:rPr>
          <w:color w:val="000000" w:themeColor="text1"/>
          <w:sz w:val="16"/>
          <w:szCs w:val="16"/>
        </w:rPr>
      </w:pPr>
      <w:r w:rsidRPr="00925F26">
        <w:rPr>
          <w:color w:val="000000" w:themeColor="text1"/>
          <w:sz w:val="16"/>
          <w:szCs w:val="16"/>
        </w:rPr>
        <w:lastRenderedPageBreak/>
        <w:t>Войска 2-го Белорусского фронта, развивая наступление, 19 января штурмом овладели городами Млава и Дзялдово (Зольдау) — важными узлами коммуникаций и опорными пунктами обороны немцев на подступах к южной границе Восточной Пруссии и городом Плоньск — крупным узлом коммуникаций и опорным пунктом обороны немцев на правом берегу Вислы, а также с боями заняли более 350 других населённых пунктов, в том числе крупные населённые пункты Дронжджево, Жен-Гново, Шумск, Липовец, Косцельны, Шреньск, Радзанов, Щелково, Рационж, Бабошево, Шеромин, Наборувец, Крочево и железнодорожные станции Гурки Вонске, Грудуск, Носажево, Рационж, Бабошево.</w:t>
      </w:r>
    </w:p>
    <w:p w14:paraId="1F07F7B4"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продолжая стремительное наступление, 19 января с боем овладели крупнейшим промышленным центром Польши городом Лодзь и городами Кутно, Томашув (Томашов), Гостынин, Ленчица — важными узлами коммуникаций и опорными пунктами обороны немцев, а также с боями заняли город и железнодорожную станцию Опочно и более 800 других населённых пунктов, в числе которых крупные населённые пункты Илув, Кернозя, Собота, Монколице, Згеж, Бендкув.</w:t>
      </w:r>
    </w:p>
    <w:p w14:paraId="0FB68158"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Украинского фронта в результате умелого обходного манёвра в сочетании с атакой с фронта 19 января штурмом овладели древней столицей и одним из важнейших культурно-политических центров союзной нам Польши городом Краков — мощным узлом обороны немцев, прикрывающим подступы к Домбровскому угольному району, а также с боями заняли город и железнодорожный узел Велюнь, город и крупный железнодорожный узел Тарнув и более 600 других населённых пунктов, среди которых крупные населённые пункты Белхатув, Ленкава, Каменьск, Ленкиньско, Паечно, Ожегув, Дзялошин, Крашковице, Понтнув, Прашка (на польско-германской границе в 19 километрах юго-западнее города Велюнь), Рудники, Кшепице, Трусколясы, Островы, Ренкшовице, Влодовице, Кромолув, Огродзенец, Кшешовице, Рудава, Радлув, Жухова, Тухув и железнодорожные станции Розпша, Гожковицы, Земковице, Медзно, Клобуцк, Вренчица, Понтнув, Янинув, Кшешовице, Рудава, Забежув.</w:t>
      </w:r>
    </w:p>
    <w:p w14:paraId="678CD559"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4-го Украинского фронта, перейдя в наступление 15 января из района западнее города Санок, прорвали сильно укреплённую оборону противника и за четыре дня наступательных боёв продвинулись вперёд до 80 километров, расширив прорыв до 60 километров по фронту.</w:t>
      </w:r>
    </w:p>
    <w:p w14:paraId="20E1A302" w14:textId="77777777" w:rsidR="006F0F05" w:rsidRPr="00925F26" w:rsidRDefault="006F0F05" w:rsidP="00925F26">
      <w:pPr>
        <w:jc w:val="both"/>
        <w:rPr>
          <w:color w:val="000000" w:themeColor="text1"/>
          <w:sz w:val="16"/>
          <w:szCs w:val="16"/>
        </w:rPr>
      </w:pPr>
      <w:r w:rsidRPr="00925F26">
        <w:rPr>
          <w:color w:val="000000" w:themeColor="text1"/>
          <w:sz w:val="16"/>
          <w:szCs w:val="16"/>
        </w:rPr>
        <w:t>В ходе наступления войска фронта форсировали реки Вислока и Дунаец и овладели городами Ясло и Горлице — важными опорными пунктами обороны немцев на Краковском направлении, а также с боями заняли свыше 400 других населённых пунктов, в том числе крупные населённые пункты Закличин, Юркув, Чхув, Ивкова, Райброт, Лиманова, Либрантова, Грыбув, Рыхвальд, Бартне, Кремпна и железнодорожные станции Сколышин, Беч, Загожаны, Грыбув, Пташкова, Марцинковице.».</w:t>
      </w:r>
    </w:p>
    <w:p w14:paraId="0B3737E1" w14:textId="77777777" w:rsidR="006F0F05" w:rsidRPr="00925F26" w:rsidRDefault="006F0F05" w:rsidP="00925F26">
      <w:pPr>
        <w:jc w:val="both"/>
        <w:rPr>
          <w:color w:val="000000" w:themeColor="text1"/>
          <w:sz w:val="16"/>
          <w:szCs w:val="16"/>
        </w:rPr>
      </w:pPr>
      <w:r w:rsidRPr="00925F26">
        <w:rPr>
          <w:color w:val="000000" w:themeColor="text1"/>
          <w:sz w:val="16"/>
          <w:szCs w:val="16"/>
        </w:rPr>
        <w:t>В районе Будапешта продолжались бои по уничтожению группировки противника, окружённой в западной части города (Буда).</w:t>
      </w:r>
    </w:p>
    <w:p w14:paraId="60677666" w14:textId="77777777" w:rsidR="006F0F05" w:rsidRPr="00925F26" w:rsidRDefault="006F0F05" w:rsidP="00925F26">
      <w:pPr>
        <w:jc w:val="both"/>
        <w:rPr>
          <w:color w:val="000000" w:themeColor="text1"/>
          <w:sz w:val="16"/>
          <w:szCs w:val="16"/>
        </w:rPr>
      </w:pPr>
      <w:r w:rsidRPr="00925F26">
        <w:rPr>
          <w:color w:val="000000" w:themeColor="text1"/>
          <w:sz w:val="16"/>
          <w:szCs w:val="16"/>
        </w:rPr>
        <w:t>«Южнее города Секешфехервар наши войска отбивали атаки крупных сил пехоты и танков противника и после упорных боёв оставили несколько населённых пунктов.</w:t>
      </w:r>
    </w:p>
    <w:p w14:paraId="7C3601B7" w14:textId="77777777" w:rsidR="006F0F05" w:rsidRPr="00925F26" w:rsidRDefault="006F0F05" w:rsidP="00925F26">
      <w:pPr>
        <w:jc w:val="both"/>
        <w:rPr>
          <w:color w:val="000000" w:themeColor="text1"/>
          <w:sz w:val="16"/>
          <w:szCs w:val="16"/>
        </w:rPr>
      </w:pPr>
      <w:r w:rsidRPr="00925F26">
        <w:rPr>
          <w:color w:val="000000" w:themeColor="text1"/>
          <w:sz w:val="16"/>
          <w:szCs w:val="16"/>
        </w:rPr>
        <w:t>За 18 января наши войска на всех фронтах подбили и уничтожили 184 немецких танка. В воздушных боях и огнём зенитной артиллерии сбито 59 самолётов противника.</w:t>
      </w:r>
    </w:p>
    <w:p w14:paraId="3EECC171"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3-го Белорусского фронта перешли в наступление. Противник в течение длительного времени создавал свою оборону в Восточной Пруссии. После вторжения советских войск на территорию Восточной Пруссии осенью прошлого года немцы начали совершенствовать свои укрепления. Они построили глубоко эшелонированную оборону с железобетонными артиллерийскими и пулемётными дотами, а также бронированными колпаками. Подступы к переднему краю немецкой обороны преграждали сплошные минные поля, противотанковые рвы и многочисленные надолбы. Защищая свое логово, гитлеровцы превратили в опорные пункты все посёлки, фольварки и хутора, приспособив все каменные здания под огневые точки. Немецкое командование сосредоточило в Восточной Пруссии свои отборные дивизии.</w:t>
      </w:r>
    </w:p>
    <w:p w14:paraId="1BC5DE8D" w14:textId="77777777" w:rsidR="006F0F05" w:rsidRPr="00925F26" w:rsidRDefault="006F0F05" w:rsidP="00925F26">
      <w:pPr>
        <w:jc w:val="both"/>
        <w:rPr>
          <w:color w:val="000000" w:themeColor="text1"/>
          <w:sz w:val="16"/>
          <w:szCs w:val="16"/>
        </w:rPr>
      </w:pPr>
      <w:r w:rsidRPr="00925F26">
        <w:rPr>
          <w:color w:val="000000" w:themeColor="text1"/>
          <w:sz w:val="16"/>
          <w:szCs w:val="16"/>
        </w:rPr>
        <w:t>Наступлению наших войск предшествовали мощные удары артиллерии и авиации. Бои носили крайне ожесточённый характер. Особенно упорные бои произошли за город Пилькаллен — важный узел шоссейных дорог. Гитлеровцы засели в домах и сопротивлялись с отчаянием людей, обречённых на гибель. Нашим подразделениям приходилось вышибать немцев из каждого дома. Не менее ожесточённые бои разгорелись за города Шилленен и Лазденен. Решительными ударами наши войска овладели этими городами. Сокрушая и взламывая оборону противника, советские войска настойчиво продвигались вперёд и заняли более 600 населённых пунктов. Противник стянул в район прорыва сотни танков и самоходных орудий и с хода бросил их в бой. Вражеские контратаки следовали одна за другой. Однако немцы оказались не в силах приостановить наступление наших войск. Оборона противника в Восточной Пруссии прорвана. В ходе боёв немцы понесли огромные потери в живой силе и технике. По неполным данным, нашими войсками за время наступления уничтожено до 300 танков и 600 орудий противника. Только убитыми немцы потеряли тысячи своих солдат и офицеров.</w:t>
      </w:r>
    </w:p>
    <w:p w14:paraId="10F77A2D" w14:textId="77777777" w:rsidR="006F0F05" w:rsidRPr="00925F26" w:rsidRDefault="006F0F05" w:rsidP="00925F26">
      <w:pPr>
        <w:jc w:val="both"/>
        <w:rPr>
          <w:color w:val="000000" w:themeColor="text1"/>
          <w:sz w:val="16"/>
          <w:szCs w:val="16"/>
        </w:rPr>
      </w:pPr>
      <w:r w:rsidRPr="00925F26">
        <w:rPr>
          <w:color w:val="000000" w:themeColor="text1"/>
          <w:sz w:val="16"/>
          <w:szCs w:val="16"/>
        </w:rPr>
        <w:t xml:space="preserve">Наша авиация непрерывно наносит </w:t>
      </w:r>
      <w:proofErr w:type="gramStart"/>
      <w:r w:rsidRPr="00925F26">
        <w:rPr>
          <w:color w:val="000000" w:themeColor="text1"/>
          <w:sz w:val="16"/>
          <w:szCs w:val="16"/>
        </w:rPr>
        <w:t>бомбо-штурмовые</w:t>
      </w:r>
      <w:proofErr w:type="gramEnd"/>
      <w:r w:rsidRPr="00925F26">
        <w:rPr>
          <w:color w:val="000000" w:themeColor="text1"/>
          <w:sz w:val="16"/>
          <w:szCs w:val="16"/>
        </w:rPr>
        <w:t xml:space="preserve"> удары по скоплениям вражеских войск, по укреплениям противника и железнодорожным станциям. Советские лётчики за пять дней наступления в воздушных боях сбили 123 немецких самолёта.</w:t>
      </w:r>
    </w:p>
    <w:p w14:paraId="0116D79C"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овладели городом Млава. Этот город расположен в 12 километрах от южной границы Восточной Пруссии. Немцы обороняли Млавский укреплённый район с невиданным доселе ожесточением. Противник срочно подтянул из Восточной Пруссии мотодивизию, а также бросил в контратаки батальоны «фольксштурма». Когда эти части были наголову разбиты, немцы ввели в бой курсантов Млавской танковой школы и отдельные пулемётные батальоны из резерва главного командования. Уличные бои продолжались всю ночь. К утру советские войска штурмом овладели городом. Остатки разбитых частей противника в беспорядке отступают. Захвачено много складов, автомашин, более 100 орудий и взято в плен 800 немецких солдат и офицеров.</w:t>
      </w:r>
    </w:p>
    <w:p w14:paraId="645A252E"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Белорусского фронта развивали стремительное наступление. Вслед за подвижными частями к городу Лодзь с трёх сторон подошли основные силы советской пехоты и артиллерии. Опасаясь окружения, враг особенно яростно оборонял район дорог, ведущих из Лодзи на запад. После упорных уличных боёв наши войска сегодня полностью очистили город от немецких захватчиков. Лодзь — второй по величине польский город после Варшавы. В нём насчитывалось более 600 тысяч жителей. Лодзь является крупнейшим индустриальным центром Польши, в котором сосредоточено 60 процентов всей текстильной промышленности страны.</w:t>
      </w:r>
    </w:p>
    <w:p w14:paraId="715147AD" w14:textId="77777777" w:rsidR="006F0F05" w:rsidRPr="00925F26" w:rsidRDefault="006F0F05" w:rsidP="00925F26">
      <w:pPr>
        <w:jc w:val="both"/>
        <w:rPr>
          <w:color w:val="000000" w:themeColor="text1"/>
          <w:sz w:val="16"/>
          <w:szCs w:val="16"/>
        </w:rPr>
      </w:pPr>
      <w:r w:rsidRPr="00925F26">
        <w:rPr>
          <w:color w:val="000000" w:themeColor="text1"/>
          <w:sz w:val="16"/>
          <w:szCs w:val="16"/>
        </w:rPr>
        <w:t>Советские танкисты, пехотинцы, артиллеристы и конники преследуют отступающего врага, не дают ему оторваться и навязывают гитлеровцам бои в невыгодных для них условиях. Наши войска, овладевшие городом Лович, совершили стремительный бросок и с хода овладели городом Кутно. Этот город расположен на магистрали Варшава—Познань и является важным узлом железных дорог. Стремительно продвигаясь вперёд, наши войска уничтожают разгромленные и разрозненные части противника, потерявшие управление и скрывающиеся в лесах. Только бойцами Н-ского соединения в течение дня при ликвидации одной вражеской группировки взято в плен 2.370 немецких солдат и офицеров</w:t>
      </w:r>
    </w:p>
    <w:p w14:paraId="5637A7B7" w14:textId="77777777" w:rsidR="006F0F05" w:rsidRPr="00925F26" w:rsidRDefault="006F0F05" w:rsidP="00925F26">
      <w:pPr>
        <w:jc w:val="both"/>
        <w:rPr>
          <w:color w:val="000000" w:themeColor="text1"/>
          <w:sz w:val="16"/>
          <w:szCs w:val="16"/>
        </w:rPr>
      </w:pPr>
      <w:r w:rsidRPr="00925F26">
        <w:rPr>
          <w:color w:val="000000" w:themeColor="text1"/>
          <w:sz w:val="16"/>
          <w:szCs w:val="16"/>
        </w:rPr>
        <w:t>Войска 1-го Украинского фронта, завязавшие вчера бои севернее Кракова, прорвали внешний и внутренний оборонительные обводы и начали штурм города. Пытаясь отстоять город, немцы спешно подтянули с других участков фронта четыре пехотные дивизии. Однако все контратаки гитлеровцев закончились неудачей. Советские пехотинцы во взаимодействии с танкистами, при поддержке авиации и артиллерии, сегодня полностью очистили Краков от немецко-фашистских захватчиков.</w:t>
      </w:r>
    </w:p>
    <w:p w14:paraId="3029F8AA" w14:textId="77777777" w:rsidR="006F0F05" w:rsidRPr="00925F26" w:rsidRDefault="006F0F05" w:rsidP="00925F26">
      <w:pPr>
        <w:jc w:val="both"/>
        <w:rPr>
          <w:color w:val="000000" w:themeColor="text1"/>
          <w:sz w:val="16"/>
          <w:szCs w:val="16"/>
        </w:rPr>
      </w:pPr>
      <w:r w:rsidRPr="00925F26">
        <w:rPr>
          <w:color w:val="000000" w:themeColor="text1"/>
          <w:sz w:val="16"/>
          <w:szCs w:val="16"/>
        </w:rPr>
        <w:t>Краков — один из самых древних и крупных городов Польши. В городе сосредоточено большое количество заводов и фабрик. В Кракове находилась резиденция матёрого гитлеровца и палача польского народа немецкого генерал-губернатора Франка. В городе подвизались тысячи немецких чиновников-мародёров, грабивших и опустошавших союзную нам Польшу.</w:t>
      </w:r>
    </w:p>
    <w:p w14:paraId="55355BC9" w14:textId="77777777" w:rsidR="006F0F05" w:rsidRPr="00925F26" w:rsidRDefault="006F0F05" w:rsidP="00925F26">
      <w:pPr>
        <w:jc w:val="both"/>
        <w:rPr>
          <w:color w:val="000000" w:themeColor="text1"/>
          <w:sz w:val="16"/>
          <w:szCs w:val="16"/>
        </w:rPr>
      </w:pPr>
      <w:r w:rsidRPr="00925F26">
        <w:rPr>
          <w:color w:val="000000" w:themeColor="text1"/>
          <w:sz w:val="16"/>
          <w:szCs w:val="16"/>
        </w:rPr>
        <w:t>В лесах северо-западнее Кельце наши части истребили до 4 тысяч солдат и офицеров разгромлённых дивизий противника. По неполным данным, в этих боях захвачено у немцев 39 танков, 180 полевых орудий, 100 бронетранспортёров, 5 самолётов и около 1.500 автомашин. В районе Скаржиско-Каменна захвачены крупные артиллерийские склады немцев.» (15014).</w:t>
      </w:r>
    </w:p>
    <w:p w14:paraId="7B0F198A" w14:textId="77777777" w:rsidR="006F0F05" w:rsidRPr="00925F26" w:rsidRDefault="006F0F05" w:rsidP="00925F26">
      <w:pPr>
        <w:jc w:val="both"/>
        <w:rPr>
          <w:color w:val="000000" w:themeColor="text1"/>
          <w:sz w:val="16"/>
          <w:szCs w:val="16"/>
        </w:rPr>
      </w:pPr>
    </w:p>
    <w:p w14:paraId="0D53B6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года, согласно бывшему заместителю командира эскадрильи 909-го иап А. Батизату (газета "Красная Звезда"), командир авиаполка Б. Литвинов поставил задачу: нанести бомбо-штурмовой удар по противнику в районе железнодорожной станции Грюнхайле под Инстербургом (ныне г. Черняховск). Кстати, эскадрилья имела на вооружении Як-9Л, построенные на деньги артистов Малого театра. Самолеты были вручены нам делегацией актеров в составе: А. Яблочкиной, Е. Турчаниновой, П. Садовского, Е. Гоголевой, В. Пашенной и других.</w:t>
      </w:r>
    </w:p>
    <w:p w14:paraId="5F7CC2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Вести шестерку "Яковлевых" было приказано мне. Грозные машины с авиабомбами в отсеках взлетели точно в срок. Подходя к заданному району, мы еще издали заметили, что по шоссе движется большая колонна: тягачи с орудиями, бронетранспортеры. Выполняю доворот и подаю команду ведомым атаковать врага... Над целью взметнулись взрывы, в разных местах густо зачадили подожженные автомашины. Еще заход. Но едва развернулись, по радио прозвучало: "Маленькие, я - "Гранит". На подходе к району большая группа вражеских бомбардировщиков. Свяжите их боем".</w:t>
      </w:r>
    </w:p>
    <w:p w14:paraId="504FF2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Позывной "Гранит" - КП воздушной армии. Без промедления выполняю боевой маневр. С высоты около 2000 м вижу внизу слева армаду самолетов с паучьей свастикой на килях. Бомбардировщики шли пятерками. Я насчитал девять таких групп. Над ними барражировали истребители прикрытия. А у нас и боезапас порядком израсходован.</w:t>
      </w:r>
    </w:p>
    <w:p w14:paraId="26169C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 приказ есть приказ. Его надо выполнять, во что бы то ни стало. И расчет теперь на дерзость, стремительность атаки. По радио я скомандовал:</w:t>
      </w:r>
    </w:p>
    <w:p w14:paraId="4C721A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Атакуем бомбардировщики! И с ходу, в паре со своим ведомым старшим лейтенантом Н. Люлиным, устремился</w:t>
      </w:r>
    </w:p>
    <w:p w14:paraId="505C5F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атаку. После первой же моей очереди головной самолет врага вспыхнул, завалился вниз... И. Шинкаренко поджег вторую машину. Тут-то противник дрогнул, строй бомбардировщиков смешался. Из открытых бомболюков посыпались бомбы. Попытки истребителей прикрытия, проворонивших нашу атаку, ввязаться в бой с "Яками" оказались безрезультатными...".</w:t>
      </w:r>
    </w:p>
    <w:p w14:paraId="02D8A6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1944 году в составе 1-й ВА была сформирована 130-я иад (командир - Герой Советского Союза полковник Ф.И. Шинкаренко), укомплектованная истребителями- бомбардировщиками Як-9Б. Эти машины широко использовались, в частности, для срыва оперативных перевозок противника и ударов по аэродромам, артиллерийским и минометным батареям. Действуя по железнодорожным составам, Як-9Б пикировали Як-9Б, сброс на них с высоты 600-1000 м под углом до 15 </w:t>
      </w:r>
      <w:r w:rsidRPr="00925F26">
        <w:rPr>
          <w:color w:val="000000" w:themeColor="text1"/>
          <w:sz w:val="16"/>
          <w:szCs w:val="16"/>
        </w:rPr>
        <w:lastRenderedPageBreak/>
        <w:t>противотанковых градусов. Первым попадал под удар паровоз, авиабомб (ПТАБ) затем вагоны и платформы. Освободившись от бомбового груза, летчики обстреливали состав из пушки и пулеметов с высот от 200 до 400 м (12046).</w:t>
      </w:r>
    </w:p>
    <w:p w14:paraId="4C69AE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Истребитель-бомбардировщик Як-9 Б, несмотря на ряд недостатков (а они присутствуют у любого образца техники), получил одобрение летного состава и командования ВВС, поскольку мог решать задачи свойственные штурмовикам и классическим истребителям при их совокупном применении. Поэтому не стоит удивляться, что в третьем квартале 1945 года (после окончания Второй мировой войны) на Харьковском авиационном заводе (№ 135) переделали 78 машин Як-9М в вариант Як-9Б (12046).</w:t>
      </w:r>
    </w:p>
    <w:p w14:paraId="0D53A526" w14:textId="77777777" w:rsidR="00C2313B" w:rsidRPr="00925F26" w:rsidRDefault="00C2313B" w:rsidP="00925F26">
      <w:pPr>
        <w:autoSpaceDE w:val="0"/>
        <w:autoSpaceDN w:val="0"/>
        <w:adjustRightInd w:val="0"/>
        <w:jc w:val="both"/>
        <w:rPr>
          <w:color w:val="000000" w:themeColor="text1"/>
          <w:sz w:val="16"/>
          <w:szCs w:val="16"/>
        </w:rPr>
      </w:pPr>
    </w:p>
    <w:p w14:paraId="5CF3481E"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rPr>
        <w:t>19 января 1945 Третий Белорусский прорвал немецкую оборону (271,224), а 2Б (К.К.Рокосовский) вступил на территорию ВосточнойПруссии</w:t>
      </w:r>
      <w:r w:rsidRPr="00925F26">
        <w:rPr>
          <w:color w:val="000000" w:themeColor="text1"/>
          <w:sz w:val="16"/>
          <w:szCs w:val="16"/>
          <w:lang w:val="en-US"/>
        </w:rPr>
        <w:t xml:space="preserve"> (3398,38).</w:t>
      </w:r>
    </w:p>
    <w:p w14:paraId="7C229244" w14:textId="77777777" w:rsidR="00C2313B" w:rsidRPr="00925F26" w:rsidRDefault="00C2313B" w:rsidP="00925F26">
      <w:pPr>
        <w:autoSpaceDE w:val="0"/>
        <w:autoSpaceDN w:val="0"/>
        <w:adjustRightInd w:val="0"/>
        <w:jc w:val="both"/>
        <w:rPr>
          <w:color w:val="000000" w:themeColor="text1"/>
          <w:sz w:val="16"/>
          <w:szCs w:val="16"/>
          <w:lang w:val="en-US"/>
        </w:rPr>
      </w:pPr>
    </w:p>
    <w:p w14:paraId="55524612"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19 </w:t>
      </w:r>
      <w:r w:rsidRPr="00925F26">
        <w:rPr>
          <w:color w:val="000000" w:themeColor="text1"/>
          <w:sz w:val="16"/>
          <w:szCs w:val="16"/>
        </w:rPr>
        <w:t>января</w:t>
      </w:r>
      <w:r w:rsidRPr="00925F26">
        <w:rPr>
          <w:color w:val="000000" w:themeColor="text1"/>
          <w:sz w:val="16"/>
          <w:szCs w:val="16"/>
          <w:lang w:val="en-US"/>
        </w:rPr>
        <w:t xml:space="preserve"> 1945 </w:t>
      </w:r>
      <w:r w:rsidRPr="00925F26">
        <w:rPr>
          <w:color w:val="000000" w:themeColor="text1"/>
          <w:sz w:val="16"/>
          <w:szCs w:val="16"/>
        </w:rPr>
        <w:t>КАзахватилаЛодзь</w:t>
      </w:r>
      <w:r w:rsidRPr="00925F26">
        <w:rPr>
          <w:color w:val="000000" w:themeColor="text1"/>
          <w:sz w:val="16"/>
          <w:szCs w:val="16"/>
          <w:lang w:val="en-US"/>
        </w:rPr>
        <w:t xml:space="preserve">, </w:t>
      </w:r>
      <w:r w:rsidRPr="00925F26">
        <w:rPr>
          <w:color w:val="000000" w:themeColor="text1"/>
          <w:sz w:val="16"/>
          <w:szCs w:val="16"/>
        </w:rPr>
        <w:t>КраковиТарнов</w:t>
      </w:r>
      <w:r w:rsidRPr="00925F26">
        <w:rPr>
          <w:color w:val="000000" w:themeColor="text1"/>
          <w:sz w:val="16"/>
          <w:szCs w:val="16"/>
          <w:lang w:val="en-US"/>
        </w:rPr>
        <w:t xml:space="preserve"> (2100).</w:t>
      </w:r>
    </w:p>
    <w:p w14:paraId="5056F4AF" w14:textId="77777777" w:rsidR="00C2313B" w:rsidRPr="00925F26" w:rsidRDefault="00C2313B" w:rsidP="00925F26">
      <w:pPr>
        <w:autoSpaceDE w:val="0"/>
        <w:autoSpaceDN w:val="0"/>
        <w:adjustRightInd w:val="0"/>
        <w:jc w:val="both"/>
        <w:rPr>
          <w:color w:val="000000" w:themeColor="text1"/>
          <w:sz w:val="16"/>
          <w:szCs w:val="16"/>
          <w:lang w:val="en-US"/>
        </w:rPr>
      </w:pPr>
    </w:p>
    <w:p w14:paraId="32F5B6BD"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19, 1945: Sweeping the German defenders before it, the Red Army captures Lodz (3819).</w:t>
      </w:r>
    </w:p>
    <w:p w14:paraId="17705059" w14:textId="77777777" w:rsidR="00C2313B" w:rsidRPr="00925F26" w:rsidRDefault="00C2313B" w:rsidP="00925F26">
      <w:pPr>
        <w:autoSpaceDE w:val="0"/>
        <w:autoSpaceDN w:val="0"/>
        <w:adjustRightInd w:val="0"/>
        <w:jc w:val="both"/>
        <w:rPr>
          <w:color w:val="000000" w:themeColor="text1"/>
          <w:sz w:val="16"/>
          <w:szCs w:val="16"/>
          <w:lang w:val="en-US"/>
        </w:rPr>
      </w:pPr>
    </w:p>
    <w:p w14:paraId="4AC718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1БФ и 1УФ освободили Лодзь и Краков (3398,38).</w:t>
      </w:r>
    </w:p>
    <w:p w14:paraId="52F3CE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Ил-2 3 польского шап поддерживали участников Варшавского восстания (241,37). 19 января 1945 3 шап пролетел над освобожденной Варшавой (241,37).</w:t>
      </w:r>
    </w:p>
    <w:p w14:paraId="6E531FEA" w14:textId="77777777" w:rsidR="00C2313B" w:rsidRPr="00925F26" w:rsidRDefault="00C2313B" w:rsidP="00925F26">
      <w:pPr>
        <w:autoSpaceDE w:val="0"/>
        <w:autoSpaceDN w:val="0"/>
        <w:adjustRightInd w:val="0"/>
        <w:jc w:val="both"/>
        <w:rPr>
          <w:color w:val="000000" w:themeColor="text1"/>
          <w:sz w:val="16"/>
          <w:szCs w:val="16"/>
        </w:rPr>
      </w:pPr>
    </w:p>
    <w:p w14:paraId="05FC3FFC" w14:textId="77777777" w:rsidR="005720F5" w:rsidRPr="00925F26" w:rsidRDefault="005720F5"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г. на железнодорожной станции в городе Ченстохова, для того, чтобы лишить НКВД предлога для репрессий и по поручению правительства в эмиграции (Лондон) от 16 ноября 1944 г., генерал Армия Крайовы (А.К.) «Термит» (Леопольд Окулицкий) — издал приказ, по которому распустил А.К. и освободил солдат А.К. от присяги. Большая часть подразделений А.К. приказу «Термита» от 19 января 1945 г. не подчинились и продолжили борьбу с советскими войсками и украинскими националистами (17459).</w:t>
      </w:r>
    </w:p>
    <w:p w14:paraId="392F5048" w14:textId="77777777" w:rsidR="005720F5" w:rsidRPr="00925F26" w:rsidRDefault="005720F5" w:rsidP="00925F26">
      <w:pPr>
        <w:autoSpaceDE w:val="0"/>
        <w:autoSpaceDN w:val="0"/>
        <w:adjustRightInd w:val="0"/>
        <w:jc w:val="both"/>
        <w:rPr>
          <w:color w:val="000000" w:themeColor="text1"/>
          <w:sz w:val="16"/>
          <w:szCs w:val="16"/>
        </w:rPr>
      </w:pPr>
    </w:p>
    <w:p w14:paraId="6727BAA9" w14:textId="77777777" w:rsidR="005720F5" w:rsidRPr="00925F26" w:rsidRDefault="005720F5"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года</w:t>
      </w:r>
      <w:r w:rsidRPr="00925F26">
        <w:rPr>
          <w:bCs/>
          <w:color w:val="000000" w:themeColor="text1"/>
          <w:sz w:val="16"/>
          <w:szCs w:val="16"/>
        </w:rPr>
        <w:t xml:space="preserve"> народный комиссар обороны отдал приказ, в котором требовал не допускать случаев грубого отношения к немецкому населению. Красная Армия, говорилось в приказе, ведет войну не против немецкого народа, она взялась за оружие, чтобы разгромить агрессора и уничтожить в Германии фашизм и милитаризм, принесшие так много несчастья соседям </w:t>
      </w:r>
      <w:proofErr w:type="gramStart"/>
      <w:r w:rsidRPr="00925F26">
        <w:rPr>
          <w:bCs/>
          <w:color w:val="000000" w:themeColor="text1"/>
          <w:sz w:val="16"/>
          <w:szCs w:val="16"/>
        </w:rPr>
        <w:t>Германии</w:t>
      </w:r>
      <w:proofErr w:type="gramEnd"/>
      <w:r w:rsidRPr="00925F26">
        <w:rPr>
          <w:bCs/>
          <w:color w:val="000000" w:themeColor="text1"/>
          <w:sz w:val="16"/>
          <w:szCs w:val="16"/>
        </w:rPr>
        <w:t xml:space="preserve"> да и самому немецкому народу. В отличие от гитлеровских захватчиков, сеявших смерть и разрушения на оккупированной земле, воины Красной Армии должны вести себя с достоинством и честью (17459).</w:t>
      </w:r>
    </w:p>
    <w:p w14:paraId="7A30E3CC" w14:textId="77777777" w:rsidR="005720F5" w:rsidRPr="00925F26" w:rsidRDefault="005720F5" w:rsidP="00925F26">
      <w:pPr>
        <w:autoSpaceDE w:val="0"/>
        <w:autoSpaceDN w:val="0"/>
        <w:adjustRightInd w:val="0"/>
        <w:jc w:val="both"/>
        <w:rPr>
          <w:color w:val="000000" w:themeColor="text1"/>
          <w:sz w:val="16"/>
          <w:szCs w:val="16"/>
        </w:rPr>
      </w:pPr>
    </w:p>
    <w:p w14:paraId="409FF3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г. вышел ПРИКАЗ № 04 О ПОРЯДКЕ ИСПОЛЬЗОВАНИЯ ТРОФЕЙНОГО НАРОДНОХОЗЯЙСТВЕННОГО ИМУЩЕСТВА</w:t>
      </w:r>
    </w:p>
    <w:p w14:paraId="5347D9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Одобрен Народным комиссаром обороны СССР</w:t>
      </w:r>
    </w:p>
    <w:p w14:paraId="067A7A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Совета Народных Комиссаров Союза ССР от 10 января 1945 г. № 67—31с установлен следующий порядок использования трофейного народнохозяйственного имущества:</w:t>
      </w:r>
    </w:p>
    <w:p w14:paraId="23B8F2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На военные советы 1-го Прибалтийского, 3-го Белорусского, 2-го Белорусского, 1-го Белорусского, 1-го Украинского, 4-го Украинского, 2-го Украинского и 3-го Украинского фронтов возложено (п. 1):</w:t>
      </w:r>
    </w:p>
    <w:p w14:paraId="093D3A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руководство выявлением и учетом всего трофейного народнохозяйственного имущества — предприятий, имений, усадеб, складов, элеваторов, магазинов, всякого рода оборудования, в том числе сельскохозяйственных машин, продовольствия, горючего, фуража, скота, брошенного хозяйственно-бытового имущества и других предметов, захваченных нашими войсками в городах, населенных пунктах и промышленных центрах на территории противника;</w:t>
      </w:r>
    </w:p>
    <w:p w14:paraId="0CF26F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организация надежной охраны всего вышеуказанного имущества и обеспечение смены охраны по мере продвижения частей вперед;</w:t>
      </w:r>
    </w:p>
    <w:p w14:paraId="4BA189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представление через начальника тыла Красной Армии в Совнарком Союза ССР докладов и предложений об эвакуации или использовании на месте трофейного народнохозяйственного имущества.</w:t>
      </w:r>
    </w:p>
    <w:p w14:paraId="0F2936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Демонтаж предприятий и эвакуация в тыл страны оборудования и народнохозяйственных ценностей производится только по решению Совнаркома Союза ССР.</w:t>
      </w:r>
    </w:p>
    <w:p w14:paraId="3B2876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По вынесенным решениям Правительства на соответствующие наркоматы и ведомства возложен прием на месте демонтированного оборудования и организация его вывоза. Военные советы фронтов предоставляют наркоматам и ведомствам рабочую силу, автотранспорт и железнодорожный подвижной состав (п. 9).</w:t>
      </w:r>
    </w:p>
    <w:p w14:paraId="1A6325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Продовольствие, фураж, горючее, скот (кроме племенного), обращаемые в соответствии с Постановлением ГОКО от 1 декабря 1944 г. № 7054с на снабжение Красной Армии, зачисляются в счет планового снабжения фронтов (армий). Главному интенданту Красной Армии разрешено излишки, образовавшиеся на одних фронтах, направлять на снабжение других фронтов.</w:t>
      </w:r>
    </w:p>
    <w:p w14:paraId="6890C6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количество трофейного продовольствия, фуража, горючего, зачисляемых на плановое снабжение фронтой (армий), уменьшаются централизованные фонды НКО и </w:t>
      </w:r>
      <w:proofErr w:type="gramStart"/>
      <w:r w:rsidRPr="00925F26">
        <w:rPr>
          <w:color w:val="000000" w:themeColor="text1"/>
          <w:sz w:val="16"/>
          <w:szCs w:val="16"/>
        </w:rPr>
        <w:t>высвобождающиеся</w:t>
      </w:r>
      <w:proofErr w:type="gramEnd"/>
      <w:r w:rsidRPr="00925F26">
        <w:rPr>
          <w:color w:val="000000" w:themeColor="text1"/>
          <w:sz w:val="16"/>
          <w:szCs w:val="16"/>
        </w:rPr>
        <w:t xml:space="preserve"> в связи с этим продовольствие, фураж и горючее зачисляются в госрезерв и используются по решениям Совнаркома Союза ССР (п. 10).</w:t>
      </w:r>
    </w:p>
    <w:p w14:paraId="15277B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Все трофейные денежные знаки в виде иностранной и советской валюты, золото, платина и серебро в слитках и монетах и другие драгоценности, ценные бумаги (акции, облигации и т. п.) подлежат немедленной передаче в полевые органы Госбанка.</w:t>
      </w:r>
    </w:p>
    <w:p w14:paraId="26CB96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Сбор, учет, передача и вывоз трофейного и отечественного вооружения, боеприпасов, боевой техники, военного имущества и фронтового металлолома производится ныне действующим порядком, установленным постановлениями ГОКО № 3123с от 5 апреля 1943 г. и № 3210 от 19 апреля 1943 г.</w:t>
      </w:r>
    </w:p>
    <w:p w14:paraId="6B4F5E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случае занятия трофейными частями предприятий, складов и других объектов трофейного народнохозяйственного имущества трофейные части организуют их охрану и при вступлении в населенные пункты комендатур охраняемое имущество передают в их распоряжение (п. 12).</w:t>
      </w:r>
    </w:p>
    <w:p w14:paraId="5ED711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Для руководства работой тыловых органов фронтов и армий по охране, выявлению, учету, сохранению и эвакуации трофейного народнохозяйственного имущества и для практического выполнения этих задач учреждаются: при начальнике тыла Красной Армии — должность заместителя начальника тыла и при штабе тыла Красной Армии — отдел; при начальнике тыла фронтов и армий — должность заместителя начальника тыла и в составе штабов тыла — отделы; в городах и крупных населенных пунктах — должности помощников комендантов по хозяйственным вопросам.</w:t>
      </w:r>
    </w:p>
    <w:p w14:paraId="7BC374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Комендатуры формируются военными советами фронтов и армий в пределах границ армий и при продвижении частей оставляются как территориальные органы на местах с развертыванием новых комендатур на вновь занятой территории (пп. 2, 3 и 6).</w:t>
      </w:r>
    </w:p>
    <w:p w14:paraId="146316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Приказываю:</w:t>
      </w:r>
    </w:p>
    <w:p w14:paraId="3858DB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Ввести в действие объявляемые:</w:t>
      </w:r>
    </w:p>
    <w:p w14:paraId="43D796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Положение об отделах трофейного народнохозяйственного имущества при органах тыла Красной Армии (приложение № 1) и штаты отделов (приложения №№ 2, 3 и </w:t>
      </w:r>
      <w:proofErr w:type="gramStart"/>
      <w:r w:rsidRPr="00925F26">
        <w:rPr>
          <w:color w:val="000000" w:themeColor="text1"/>
          <w:sz w:val="16"/>
          <w:szCs w:val="16"/>
        </w:rPr>
        <w:t>4)*</w:t>
      </w:r>
      <w:proofErr w:type="gramEnd"/>
      <w:r w:rsidRPr="00925F26">
        <w:rPr>
          <w:color w:val="000000" w:themeColor="text1"/>
          <w:sz w:val="16"/>
          <w:szCs w:val="16"/>
        </w:rPr>
        <w:t>.</w:t>
      </w:r>
    </w:p>
    <w:p w14:paraId="40B868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б) Положение о помощнике комендантов городов и населенных пунктов по хозяйственным вопросам на занятой территории противника (приложение № 5) и штат (приложение № </w:t>
      </w:r>
      <w:proofErr w:type="gramStart"/>
      <w:r w:rsidRPr="00925F26">
        <w:rPr>
          <w:color w:val="000000" w:themeColor="text1"/>
          <w:sz w:val="16"/>
          <w:szCs w:val="16"/>
        </w:rPr>
        <w:t>6)*</w:t>
      </w:r>
      <w:proofErr w:type="gramEnd"/>
      <w:r w:rsidRPr="00925F26">
        <w:rPr>
          <w:color w:val="000000" w:themeColor="text1"/>
          <w:sz w:val="16"/>
          <w:szCs w:val="16"/>
        </w:rPr>
        <w:t>.</w:t>
      </w:r>
    </w:p>
    <w:p w14:paraId="7DA04E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Военным советам фронтов:</w:t>
      </w:r>
    </w:p>
    <w:p w14:paraId="09EBE0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в 5-дневный срок с получением настоящего приказа назначить и утвердить заместителей начальников тыла армий;</w:t>
      </w:r>
    </w:p>
    <w:p w14:paraId="390A42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сформировать в пределах границ армий военные комендатуры, обеспечив подбор честных и проверенных работников из соответствующих резервов;</w:t>
      </w:r>
    </w:p>
    <w:p w14:paraId="599C40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укомплектовать отделы по учету и использованию трофейного народнохозяйственного имущества квалифицированными и проверенными кадрами;</w:t>
      </w:r>
    </w:p>
    <w:p w14:paraId="5A560D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провести тщательное инструктирование заместителей начальников тыла армий и помощников комендантов по хозяйственным вопросам, разъяснить обязанности и предупредить их об особой ответственности за выполнение поставленных задач.</w:t>
      </w:r>
    </w:p>
    <w:p w14:paraId="324299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Военным советам фронтов и армий обязать начальников тыла фронтов и армий и военных комендантов в городах и населенных пунктах:</w:t>
      </w:r>
    </w:p>
    <w:p w14:paraId="400AC6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ввести строгий учет трофейного народнохозяйственного имущества, обращая особое внимание на сохранность и сбережение этого имущества в пунктах хранения и при перевозках;</w:t>
      </w:r>
    </w:p>
    <w:p w14:paraId="787BEF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выдачу и отгрузку трофейного народнохозяйственного имущества производить только по нарядам, в строгом соответствии с Постановлением Правительства СССР;</w:t>
      </w:r>
    </w:p>
    <w:p w14:paraId="458E3B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своевременно представлять высшим инстанциям отчетные данные о наличии и движении трофейного народнохозяйственного имущества по состоянию на 1, 10 и 20 числа каждого месяца.</w:t>
      </w:r>
    </w:p>
    <w:p w14:paraId="7C9D150F" w14:textId="77777777" w:rsidR="00C2313B" w:rsidRPr="00925F26" w:rsidRDefault="00C2313B" w:rsidP="00925F26">
      <w:pPr>
        <w:autoSpaceDE w:val="0"/>
        <w:autoSpaceDN w:val="0"/>
        <w:adjustRightInd w:val="0"/>
        <w:jc w:val="both"/>
        <w:rPr>
          <w:color w:val="000000" w:themeColor="text1"/>
          <w:sz w:val="16"/>
          <w:szCs w:val="16"/>
        </w:rPr>
      </w:pPr>
      <w:r w:rsidRPr="00925F26">
        <w:rPr>
          <w:iCs/>
          <w:color w:val="000000" w:themeColor="text1"/>
          <w:sz w:val="16"/>
          <w:szCs w:val="16"/>
        </w:rPr>
        <w:t>Заместитель Народного комиссара обороны СССР генерал армии БУЛГАНИН</w:t>
      </w:r>
      <w:r w:rsidRPr="00925F26">
        <w:rPr>
          <w:color w:val="000000" w:themeColor="text1"/>
          <w:sz w:val="16"/>
          <w:szCs w:val="16"/>
        </w:rPr>
        <w:t xml:space="preserve"> (9844).</w:t>
      </w:r>
    </w:p>
    <w:p w14:paraId="313DE2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Приказ заверен заместителем начальника 7-го отдела ГУПВИ НКВД СССР майором госбезопасности С. Романовым. В имеющейся на документе помете сказано, что подлинный экземпляр хранится в делах секретариата НКВД СССР, что заверено печатью дежурного по НКВД СССР и подписью помощника начальника 3-го отделения секретариата НКВД Рощина.</w:t>
      </w:r>
    </w:p>
    <w:p w14:paraId="2E1C95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Приложение № 1</w:t>
      </w:r>
    </w:p>
    <w:p w14:paraId="19A4EA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19 января 1945 г. Заместитель Народного комиссара обороны СССР генерал армии </w:t>
      </w:r>
      <w:r w:rsidRPr="00925F26">
        <w:rPr>
          <w:iCs/>
          <w:color w:val="000000" w:themeColor="text1"/>
          <w:sz w:val="16"/>
          <w:szCs w:val="16"/>
        </w:rPr>
        <w:t xml:space="preserve">БУЛГАНИН </w:t>
      </w:r>
      <w:r w:rsidRPr="00925F26">
        <w:rPr>
          <w:color w:val="000000" w:themeColor="text1"/>
          <w:sz w:val="16"/>
          <w:szCs w:val="16"/>
        </w:rPr>
        <w:t>утвердил:</w:t>
      </w:r>
    </w:p>
    <w:p w14:paraId="66CCAB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ПОЛОЖЕНИЕ ОБ ОТДЕЛАХ ТРОФЕЙНОГО НАРОДНОХОЗЯЙСТВЕННОГО ИМУЩЕСТВА ПРИ ОРГАНАХ ТЫЛА КРАСНОЙ АРМИИ</w:t>
      </w:r>
    </w:p>
    <w:p w14:paraId="54CD92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Органы трофейного народнохозяйственного имущества тыла Красной Армии обеспечивают выявление, учет, сбор, охрану и передачу по решению Правительства СССР всякого рода оборудования, в том числе сельскохозяйственных машин, продовольствия, горючего, фуража, скота, брошенного хозяйственно-бытового имущества и других предметов, захваченных нашими войсками в городах, населенных пунктах и промышленных центрах на территории противника.</w:t>
      </w:r>
    </w:p>
    <w:p w14:paraId="6D8510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Органами трофейного народнохозяйственного имущества являются:</w:t>
      </w:r>
    </w:p>
    <w:p w14:paraId="24DC6B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в центре — отдел по учету и использованию трофейного народнохозяйственного имущества при штабе начальника тыла Красной Армии;</w:t>
      </w:r>
    </w:p>
    <w:p w14:paraId="372053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во фронте — отдел по учету и использованию трофейного народнохозяйственного мущества при штабе управления тыла фронта, в армии — отдел по учету и использованию трофейного народнохозяйственного имущества при штабе управления тыла армии.</w:t>
      </w:r>
    </w:p>
    <w:p w14:paraId="6E358E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На отделы по учету и использованию трофейного народнохозяйственного имущества фронта (армии) возлагается:</w:t>
      </w:r>
    </w:p>
    <w:p w14:paraId="17B9C7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выявление и строгий учет трофейного народнохозяйственного имущества, захваченного нашими войсками в городах, населенных пунктах и промышленных центрах на территории противника;</w:t>
      </w:r>
    </w:p>
    <w:p w14:paraId="4D39E1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контроль за обеспечением охраны всего трофейного народнохозяйственного имущества на территории противника;</w:t>
      </w:r>
    </w:p>
    <w:p w14:paraId="409DBA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подготовка докладов и предложений военным советам фронтов и армий об эвакуации или использовании на месте трофейного народнохозяйственного имущества;</w:t>
      </w:r>
    </w:p>
    <w:p w14:paraId="7E12870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выдача на месте продовольствия, фуража и горючего и отгрузка трофейного народнохозяйственного имущества в тыл страны по нарядам в соответствии с решением Правительства;</w:t>
      </w:r>
    </w:p>
    <w:p w14:paraId="27D22C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 передача на месте по вынесенным решениям Правительства СССР оборудования соответствующим наркоматам, ведомствам и организациям;</w:t>
      </w:r>
    </w:p>
    <w:p w14:paraId="44F282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 принятие мер к обеспечению сбора и вывоза трофейного имущества при помощи местной рабочей силы, гуж-автотранспорта и железнодорожного подвижного состава;</w:t>
      </w:r>
    </w:p>
    <w:p w14:paraId="269612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ж) прием под ответственную охрану и немедленная сдача полевым органам Госбанка всех трофейных денежных знаков в виде иностранной и советской валюты, золота, платины, серебра в слитках и монетах, а также различных драгоценностей и ценных бумаг (акций, облигаций и т. п.);</w:t>
      </w:r>
    </w:p>
    <w:p w14:paraId="664E70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 количественный и качественный учет всего собранного, переданного войскам и другим организациям трофейного народнохозяйственного имущества;</w:t>
      </w:r>
    </w:p>
    <w:p w14:paraId="6A3B53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представление высшим инстанциям отчетных данных о наличии трофейного имущества по состоянию на 1, 10 и 20 числа каждого месяца.</w:t>
      </w:r>
    </w:p>
    <w:p w14:paraId="0100EE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Начальники отделов трофейного народнохозяйственного имущества обязаны оказывать содействие представителям и специалистам наркоматов и ведомств СССР, командируемым на фронты для ознакомления с состоянием предприятий.</w:t>
      </w:r>
    </w:p>
    <w:p w14:paraId="1BD669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Начальники отделов трофейного народнохозяйственного имущества фронтов и армий:</w:t>
      </w:r>
    </w:p>
    <w:p w14:paraId="0BAB2E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разрабатывают указания помощникам комендантов городов по хозяйственным вопросам о выявлении, учете и использовании учтенного трофейного народнохозяйственного имущества;</w:t>
      </w:r>
    </w:p>
    <w:p w14:paraId="411926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подписывают второй подписью после заместителя начальника тыла фронта (армии) наряды на выдачу и отгрузку трофейного народнохозяйственного имущества по состоявшимся решениям;</w:t>
      </w:r>
    </w:p>
    <w:p w14:paraId="7CEF59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проверяют заявки помощников комендантов по хозяйственным вопросам на транспорт для перевозки и вывоза имущества, а также все отчеты по кругу их деятельности.</w:t>
      </w:r>
    </w:p>
    <w:p w14:paraId="0549F812" w14:textId="77777777" w:rsidR="00C2313B" w:rsidRPr="00925F26" w:rsidRDefault="00C2313B" w:rsidP="00925F26">
      <w:pPr>
        <w:autoSpaceDE w:val="0"/>
        <w:autoSpaceDN w:val="0"/>
        <w:adjustRightInd w:val="0"/>
        <w:jc w:val="both"/>
        <w:rPr>
          <w:color w:val="000000" w:themeColor="text1"/>
          <w:sz w:val="16"/>
          <w:szCs w:val="16"/>
        </w:rPr>
      </w:pPr>
      <w:r w:rsidRPr="00925F26">
        <w:rPr>
          <w:iCs/>
          <w:color w:val="000000" w:themeColor="text1"/>
          <w:sz w:val="16"/>
          <w:szCs w:val="16"/>
        </w:rPr>
        <w:t xml:space="preserve">Начальник тыла Красной Армии генерал армии А. ХРУЛЕВ </w:t>
      </w:r>
      <w:r w:rsidRPr="00925F26">
        <w:rPr>
          <w:color w:val="000000" w:themeColor="text1"/>
          <w:sz w:val="16"/>
          <w:szCs w:val="16"/>
        </w:rPr>
        <w:t>(9844).</w:t>
      </w:r>
    </w:p>
    <w:p w14:paraId="01BE7939" w14:textId="77777777" w:rsidR="00C2313B" w:rsidRPr="00925F26" w:rsidRDefault="00C2313B" w:rsidP="00925F26">
      <w:pPr>
        <w:autoSpaceDE w:val="0"/>
        <w:autoSpaceDN w:val="0"/>
        <w:adjustRightInd w:val="0"/>
        <w:jc w:val="both"/>
        <w:rPr>
          <w:color w:val="000000" w:themeColor="text1"/>
          <w:sz w:val="16"/>
          <w:szCs w:val="16"/>
        </w:rPr>
      </w:pPr>
    </w:p>
    <w:p w14:paraId="033D396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ECFF903" w14:textId="77777777" w:rsidR="00C2313B" w:rsidRPr="00925F26" w:rsidRDefault="00C2313B" w:rsidP="00925F26">
      <w:pPr>
        <w:autoSpaceDE w:val="0"/>
        <w:autoSpaceDN w:val="0"/>
        <w:adjustRightInd w:val="0"/>
        <w:jc w:val="both"/>
        <w:rPr>
          <w:iCs/>
          <w:color w:val="000000" w:themeColor="text1"/>
          <w:sz w:val="16"/>
          <w:szCs w:val="16"/>
        </w:rPr>
      </w:pPr>
    </w:p>
    <w:p w14:paraId="6B90DB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было подписано перемирие с Венгрией (3481).</w:t>
      </w:r>
    </w:p>
    <w:p w14:paraId="2F493EA4" w14:textId="77777777" w:rsidR="00C2313B" w:rsidRPr="00925F26" w:rsidRDefault="00C2313B" w:rsidP="00925F26">
      <w:pPr>
        <w:autoSpaceDE w:val="0"/>
        <w:autoSpaceDN w:val="0"/>
        <w:adjustRightInd w:val="0"/>
        <w:jc w:val="both"/>
        <w:rPr>
          <w:color w:val="000000" w:themeColor="text1"/>
          <w:sz w:val="16"/>
          <w:szCs w:val="16"/>
        </w:rPr>
      </w:pPr>
    </w:p>
    <w:p w14:paraId="27F4E089" w14:textId="77777777" w:rsidR="005720F5" w:rsidRPr="00925F26" w:rsidRDefault="005720F5" w:rsidP="00925F26">
      <w:pPr>
        <w:autoSpaceDE w:val="0"/>
        <w:autoSpaceDN w:val="0"/>
        <w:adjustRightInd w:val="0"/>
        <w:jc w:val="both"/>
        <w:rPr>
          <w:color w:val="000000" w:themeColor="text1"/>
          <w:sz w:val="16"/>
          <w:szCs w:val="16"/>
        </w:rPr>
      </w:pPr>
      <w:r w:rsidRPr="00925F26">
        <w:rPr>
          <w:color w:val="000000" w:themeColor="text1"/>
          <w:sz w:val="16"/>
          <w:szCs w:val="16"/>
        </w:rPr>
        <w:t>19 января 1945 г. СССР представил США соглашение о пленных (17459).</w:t>
      </w:r>
    </w:p>
    <w:p w14:paraId="7856C221" w14:textId="77777777" w:rsidR="005720F5" w:rsidRPr="00925F26" w:rsidRDefault="005720F5" w:rsidP="00925F26">
      <w:pPr>
        <w:autoSpaceDE w:val="0"/>
        <w:autoSpaceDN w:val="0"/>
        <w:adjustRightInd w:val="0"/>
        <w:jc w:val="both"/>
        <w:rPr>
          <w:color w:val="000000" w:themeColor="text1"/>
          <w:sz w:val="16"/>
          <w:szCs w:val="16"/>
        </w:rPr>
      </w:pPr>
    </w:p>
    <w:p w14:paraId="33626E7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233A1AA" w14:textId="77777777" w:rsidR="00C2313B" w:rsidRPr="00925F26" w:rsidRDefault="00C2313B" w:rsidP="00925F26">
      <w:pPr>
        <w:autoSpaceDE w:val="0"/>
        <w:autoSpaceDN w:val="0"/>
        <w:adjustRightInd w:val="0"/>
        <w:jc w:val="both"/>
        <w:rPr>
          <w:iCs/>
          <w:color w:val="000000" w:themeColor="text1"/>
          <w:sz w:val="16"/>
          <w:szCs w:val="16"/>
        </w:rPr>
      </w:pPr>
    </w:p>
    <w:p w14:paraId="71CDF4EF" w14:textId="77777777" w:rsidR="006F0F05" w:rsidRPr="00925F26" w:rsidRDefault="006F0F05" w:rsidP="00925F26">
      <w:pPr>
        <w:jc w:val="both"/>
        <w:rPr>
          <w:color w:val="000000" w:themeColor="text1"/>
          <w:sz w:val="16"/>
          <w:szCs w:val="16"/>
        </w:rPr>
      </w:pPr>
      <w:r w:rsidRPr="00925F26">
        <w:rPr>
          <w:bCs/>
          <w:color w:val="000000" w:themeColor="text1"/>
          <w:sz w:val="16"/>
          <w:szCs w:val="16"/>
        </w:rPr>
        <w:t>19 января</w:t>
      </w:r>
      <w:r w:rsidRPr="00925F26">
        <w:rPr>
          <w:color w:val="000000" w:themeColor="text1"/>
          <w:sz w:val="16"/>
          <w:szCs w:val="16"/>
        </w:rPr>
        <w:t xml:space="preserve"> в 1945 году налет американских «Б-29» полностью стер с лица земли моторостроительный завод Кавасаки (Kawasaki) в Акаши, и выпуск мотора «Ха-140» прекратился. Мотором «Ха-140» комплектовался истребитель «Ki-79», о котором рассказано чуть ранее. Завод Кавасаки перешел на производство «Кi.100» (15014).</w:t>
      </w:r>
    </w:p>
    <w:p w14:paraId="053A7089" w14:textId="77777777" w:rsidR="006F0F05" w:rsidRPr="00925F26" w:rsidRDefault="006F0F05" w:rsidP="00925F26">
      <w:pPr>
        <w:jc w:val="both"/>
        <w:rPr>
          <w:color w:val="000000" w:themeColor="text1"/>
          <w:sz w:val="16"/>
          <w:szCs w:val="16"/>
        </w:rPr>
      </w:pPr>
    </w:p>
    <w:p w14:paraId="2DFBE70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американский генерал Эйзенхауэр на совещании в Версале отверг план наступления в Рейнском бассейне, предложенный фельдмаршалом Монтгомери (4962).</w:t>
      </w:r>
    </w:p>
    <w:p w14:paraId="33DBA8CD"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CE79A7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января 1945 прокоммунистическое правительство Польши обратилось к народу с призывом не подчиняться постановлениям польского правительства в Лондоне (4962).</w:t>
      </w:r>
    </w:p>
    <w:p w14:paraId="2C1D807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2D69979" w14:textId="77777777" w:rsidR="006F0F05" w:rsidRPr="00925F26" w:rsidRDefault="006F0F05" w:rsidP="00925F26">
      <w:pPr>
        <w:jc w:val="both"/>
        <w:rPr>
          <w:color w:val="000000" w:themeColor="text1"/>
          <w:sz w:val="16"/>
          <w:szCs w:val="16"/>
        </w:rPr>
      </w:pPr>
      <w:r w:rsidRPr="00925F26">
        <w:rPr>
          <w:bCs/>
          <w:color w:val="000000" w:themeColor="text1"/>
          <w:sz w:val="16"/>
          <w:szCs w:val="16"/>
        </w:rPr>
        <w:t>19 января</w:t>
      </w:r>
      <w:r w:rsidRPr="00925F26">
        <w:rPr>
          <w:color w:val="000000" w:themeColor="text1"/>
          <w:sz w:val="16"/>
          <w:szCs w:val="16"/>
        </w:rPr>
        <w:t xml:space="preserve"> в 1945 году командующий польской подпольной Армией Крайовой Леопольд Окулицкий своим приказом распускает ее (15014).</w:t>
      </w:r>
    </w:p>
    <w:p w14:paraId="7DCA5F91" w14:textId="77777777" w:rsidR="006F0F05" w:rsidRPr="00925F26" w:rsidRDefault="006F0F05" w:rsidP="00925F26">
      <w:pPr>
        <w:jc w:val="both"/>
        <w:rPr>
          <w:color w:val="000000" w:themeColor="text1"/>
          <w:sz w:val="16"/>
          <w:szCs w:val="16"/>
        </w:rPr>
      </w:pPr>
    </w:p>
    <w:p w14:paraId="57C128C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8452DE3" w14:textId="77777777" w:rsidR="00C2313B" w:rsidRPr="00925F26" w:rsidRDefault="00C2313B" w:rsidP="00925F26">
      <w:pPr>
        <w:autoSpaceDE w:val="0"/>
        <w:autoSpaceDN w:val="0"/>
        <w:adjustRightInd w:val="0"/>
        <w:jc w:val="both"/>
        <w:rPr>
          <w:iCs/>
          <w:color w:val="000000" w:themeColor="text1"/>
          <w:sz w:val="16"/>
          <w:szCs w:val="16"/>
        </w:rPr>
      </w:pPr>
    </w:p>
    <w:p w14:paraId="00FE12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А.Кузнецов писал письмо Зам. ком. ВВС КА гп А.В.Никитину:</w:t>
      </w:r>
    </w:p>
    <w:p w14:paraId="2E1EDC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Отечественной войны 1941 года был установлен порядок по отправке с заводов самолетов, снаряженных боекомплектом.</w:t>
      </w:r>
    </w:p>
    <w:p w14:paraId="70F44A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Это требовалось по причине близости фронта, куда непосредственно отправлялись с заводов самолеты.</w:t>
      </w:r>
    </w:p>
    <w:p w14:paraId="66DE18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данное время все самолеты Ил-2 с завода 30 идут не в войсковые части, а в ЗАПы и надобность в снаряжении их боекомплектами отпала.</w:t>
      </w:r>
    </w:p>
    <w:p w14:paraId="715DB0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Снаряжение боекомплектами отправляемых самолетов чрезвычайно затрудняет работу завода 30 из-за несвоевременной доставки ВВС КА боекомплектов и отсутствия приспособленных складов по их хранению.</w:t>
      </w:r>
    </w:p>
    <w:p w14:paraId="323D70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Исходя из этого прошу изменить существующий порядок и разрешить заводу 30 отправлять самолеты Ил-2 в ЗАПы без боекомплектов.</w:t>
      </w:r>
    </w:p>
    <w:p w14:paraId="7A2479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заводам 1, 18 и 22 этот вопрос разрешен положительно." (1879,53).</w:t>
      </w:r>
    </w:p>
    <w:p w14:paraId="6453D497" w14:textId="77777777" w:rsidR="00C2313B" w:rsidRPr="00925F26" w:rsidRDefault="00C2313B" w:rsidP="00925F26">
      <w:pPr>
        <w:autoSpaceDE w:val="0"/>
        <w:autoSpaceDN w:val="0"/>
        <w:adjustRightInd w:val="0"/>
        <w:jc w:val="both"/>
        <w:rPr>
          <w:color w:val="000000" w:themeColor="text1"/>
          <w:sz w:val="16"/>
          <w:szCs w:val="16"/>
        </w:rPr>
      </w:pPr>
    </w:p>
    <w:p w14:paraId="7F0F9E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года начальник главного управления заказов ВВС генерал-лейтенант ИАС Селезнев писал письмо N 711226с Шахурину.</w:t>
      </w:r>
    </w:p>
    <w:p w14:paraId="153F0D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Электрифицированная турель "СЭБ" конструкции ОКБ-140 НКАП под два пулемета УБ калибра 12,7 мм выдержала государственные испытания в ГК НИИ ВВС и рекомендована для установки на самолеты ЕР-2.</w:t>
      </w:r>
    </w:p>
    <w:p w14:paraId="2EF5D2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Данная турель является первой отечественной, полностью электрифицированной турелью, по сравнению с иностранными образцами она проще по конструкции и в эксплуатации.</w:t>
      </w:r>
    </w:p>
    <w:p w14:paraId="27965A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Вас дать указание о внедрении в серийное производство "СЭБ" для установки их на самолетах ЕР-2 и о подаче первых десяти этих турелей на войсковые испытания в 1-м квартале 1945 года.</w:t>
      </w:r>
    </w:p>
    <w:p w14:paraId="4E25E4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 Вашем решении прошу поставить меня в известность (1879).</w:t>
      </w:r>
    </w:p>
    <w:p w14:paraId="1EB26888" w14:textId="77777777" w:rsidR="00C2313B" w:rsidRPr="00925F26" w:rsidRDefault="00C2313B" w:rsidP="00925F26">
      <w:pPr>
        <w:autoSpaceDE w:val="0"/>
        <w:autoSpaceDN w:val="0"/>
        <w:adjustRightInd w:val="0"/>
        <w:jc w:val="both"/>
        <w:rPr>
          <w:color w:val="000000" w:themeColor="text1"/>
          <w:sz w:val="16"/>
          <w:szCs w:val="16"/>
        </w:rPr>
      </w:pPr>
    </w:p>
    <w:p w14:paraId="3D60F7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года зам. командующего 18 ВА ВВС по ИАС генерал-полковник ИАС Марков писал письмо N 11159с зам. Наркомавиапрома генерал-лейтенанту ИАС Кузнецову А.И.</w:t>
      </w:r>
    </w:p>
    <w:p w14:paraId="4C116D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маршал авиации Новиков разрешил передать Вам два самолета Пе-8 4АЧ-30Б за NN 42038 и 42039, находящихся на аэродроме Кратово.</w:t>
      </w:r>
    </w:p>
    <w:p w14:paraId="5397BC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Можете выслать с доверенностью представителей для приемки указанных самолетов (1879,28).</w:t>
      </w:r>
    </w:p>
    <w:p w14:paraId="7F38E502" w14:textId="77777777" w:rsidR="00C2313B" w:rsidRPr="00925F26" w:rsidRDefault="00C2313B" w:rsidP="00925F26">
      <w:pPr>
        <w:autoSpaceDE w:val="0"/>
        <w:autoSpaceDN w:val="0"/>
        <w:adjustRightInd w:val="0"/>
        <w:jc w:val="both"/>
        <w:rPr>
          <w:color w:val="000000" w:themeColor="text1"/>
          <w:sz w:val="16"/>
          <w:szCs w:val="16"/>
        </w:rPr>
      </w:pPr>
    </w:p>
    <w:p w14:paraId="44B66E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20 января по 23 апреля 1945 в ОКБ А.С.Я. по постановлению ГКО был построен Як-3У. Строительство началось в Новосибирске и было закончено в Москве (65,198).</w:t>
      </w:r>
    </w:p>
    <w:p w14:paraId="25A880A0" w14:textId="77777777" w:rsidR="00C2313B" w:rsidRPr="00925F26" w:rsidRDefault="00C2313B" w:rsidP="00925F26">
      <w:pPr>
        <w:autoSpaceDE w:val="0"/>
        <w:autoSpaceDN w:val="0"/>
        <w:adjustRightInd w:val="0"/>
        <w:jc w:val="both"/>
        <w:rPr>
          <w:color w:val="000000" w:themeColor="text1"/>
          <w:sz w:val="16"/>
          <w:szCs w:val="16"/>
        </w:rPr>
      </w:pPr>
    </w:p>
    <w:p w14:paraId="7AE65264" w14:textId="77777777" w:rsidR="009B2B40" w:rsidRPr="001A0BAA" w:rsidRDefault="009B2B40" w:rsidP="009B2B40">
      <w:pPr>
        <w:jc w:val="both"/>
        <w:rPr>
          <w:color w:val="0070C0"/>
          <w:sz w:val="16"/>
          <w:szCs w:val="16"/>
        </w:rPr>
      </w:pPr>
      <w:r w:rsidRPr="001A0BAA">
        <w:rPr>
          <w:color w:val="0070C0"/>
          <w:sz w:val="16"/>
          <w:szCs w:val="16"/>
        </w:rPr>
        <w:t>20 января 1945 года в Новосибирске начали сборку самолета Як</w:t>
      </w:r>
      <w:r w:rsidRPr="001A0BAA">
        <w:rPr>
          <w:color w:val="0070C0"/>
          <w:sz w:val="16"/>
          <w:szCs w:val="16"/>
        </w:rPr>
        <w:noBreakHyphen/>
        <w:t>3У с АШ</w:t>
      </w:r>
      <w:r w:rsidRPr="001A0BAA">
        <w:rPr>
          <w:color w:val="0070C0"/>
          <w:sz w:val="16"/>
          <w:szCs w:val="16"/>
        </w:rPr>
        <w:noBreakHyphen/>
        <w:t>82ФН, а закончили 23 апреля 1945 года в Москве. Заводские испытания начались 29 апреля. На высоте 6000 метров Як</w:t>
      </w:r>
      <w:r w:rsidRPr="001A0BAA">
        <w:rPr>
          <w:color w:val="0070C0"/>
          <w:sz w:val="16"/>
          <w:szCs w:val="16"/>
        </w:rPr>
        <w:noBreakHyphen/>
        <w:t>3У развивал скорость 682 км/ч. Высоту 5000 метров самолет набирал 3,9 мин. Чтобы еще больше улучшить характеристики машины, ее отправили назад в ОКБ с целью заменить деревянное крыло металлическим. Работы закончились 25 сентября 1945 года, но из</w:t>
      </w:r>
      <w:r w:rsidRPr="001A0BAA">
        <w:rPr>
          <w:color w:val="0070C0"/>
          <w:sz w:val="16"/>
          <w:szCs w:val="16"/>
        </w:rPr>
        <w:noBreakHyphen/>
      </w:r>
      <w:proofErr w:type="gramStart"/>
      <w:r w:rsidRPr="001A0BAA">
        <w:rPr>
          <w:color w:val="0070C0"/>
          <w:sz w:val="16"/>
          <w:szCs w:val="16"/>
        </w:rPr>
        <w:t>за конца</w:t>
      </w:r>
      <w:proofErr w:type="gramEnd"/>
      <w:r w:rsidRPr="001A0BAA">
        <w:rPr>
          <w:color w:val="0070C0"/>
          <w:sz w:val="16"/>
          <w:szCs w:val="16"/>
        </w:rPr>
        <w:t xml:space="preserve"> войны дальнейшего развития проект не получил. Опыт, полученный при создании Як</w:t>
      </w:r>
      <w:r w:rsidRPr="001A0BAA">
        <w:rPr>
          <w:color w:val="0070C0"/>
          <w:sz w:val="16"/>
          <w:szCs w:val="16"/>
        </w:rPr>
        <w:noBreakHyphen/>
        <w:t>3У, использовали при проектировании Як</w:t>
      </w:r>
      <w:r w:rsidRPr="001A0BAA">
        <w:rPr>
          <w:color w:val="0070C0"/>
          <w:sz w:val="16"/>
          <w:szCs w:val="16"/>
        </w:rPr>
        <w:noBreakHyphen/>
        <w:t>11.</w:t>
      </w:r>
    </w:p>
    <w:p w14:paraId="70F3AEED" w14:textId="77777777" w:rsidR="009B2B40" w:rsidRPr="001A0BAA" w:rsidRDefault="009B2B40" w:rsidP="009B2B40">
      <w:pPr>
        <w:jc w:val="both"/>
        <w:rPr>
          <w:color w:val="0070C0"/>
          <w:sz w:val="16"/>
          <w:szCs w:val="16"/>
        </w:rPr>
      </w:pPr>
      <w:r w:rsidRPr="001A0BAA">
        <w:rPr>
          <w:color w:val="0070C0"/>
          <w:sz w:val="16"/>
          <w:szCs w:val="16"/>
        </w:rPr>
        <w:t>История истребителей Яковлев имеет еще одну страничку. Завод в Оренбурге получил заказ из Санта</w:t>
      </w:r>
      <w:r w:rsidRPr="001A0BAA">
        <w:rPr>
          <w:color w:val="0070C0"/>
          <w:sz w:val="16"/>
          <w:szCs w:val="16"/>
        </w:rPr>
        <w:noBreakHyphen/>
        <w:t>Моники, США на 20 копий Як</w:t>
      </w:r>
      <w:r w:rsidRPr="001A0BAA">
        <w:rPr>
          <w:color w:val="0070C0"/>
          <w:sz w:val="16"/>
          <w:szCs w:val="16"/>
        </w:rPr>
        <w:noBreakHyphen/>
        <w:t xml:space="preserve">3 для богатых американских миллионеров. Самолеты летают, но вместо штатного климовского двигателя на них установлен двигатель Allison 21 мощностью 925 кВт. Один такой самолет был </w:t>
      </w:r>
      <w:r w:rsidRPr="001A0BAA">
        <w:rPr>
          <w:color w:val="0070C0"/>
          <w:sz w:val="16"/>
          <w:szCs w:val="16"/>
        </w:rPr>
        <w:lastRenderedPageBreak/>
        <w:t>доставлен транспортником АН</w:t>
      </w:r>
      <w:r w:rsidRPr="001A0BAA">
        <w:rPr>
          <w:color w:val="0070C0"/>
          <w:sz w:val="16"/>
          <w:szCs w:val="16"/>
        </w:rPr>
        <w:noBreakHyphen/>
        <w:t>124 на авиасалон в Париже в 1993 году. Машина несла эффектный серо</w:t>
      </w:r>
      <w:r w:rsidRPr="001A0BAA">
        <w:rPr>
          <w:color w:val="0070C0"/>
          <w:sz w:val="16"/>
          <w:szCs w:val="16"/>
        </w:rPr>
        <w:noBreakHyphen/>
        <w:t>темно</w:t>
      </w:r>
      <w:r w:rsidRPr="001A0BAA">
        <w:rPr>
          <w:color w:val="0070C0"/>
          <w:sz w:val="16"/>
          <w:szCs w:val="16"/>
        </w:rPr>
        <w:noBreakHyphen/>
        <w:t>серый камуфляж и пользовалась огромным успехом у посетителей (25976).</w:t>
      </w:r>
    </w:p>
    <w:p w14:paraId="4F8AA9D1" w14:textId="77777777" w:rsidR="009B2B40" w:rsidRPr="001A0BAA" w:rsidRDefault="009B2B40" w:rsidP="009B2B40">
      <w:pPr>
        <w:jc w:val="both"/>
        <w:rPr>
          <w:color w:val="0070C0"/>
          <w:sz w:val="16"/>
          <w:szCs w:val="16"/>
        </w:rPr>
      </w:pPr>
    </w:p>
    <w:p w14:paraId="4C5B51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было выполнено 2 полета Ла-7Р (4,237) с включенными РД-1ХЗ (237,205).</w:t>
      </w:r>
    </w:p>
    <w:p w14:paraId="665DA027" w14:textId="77777777" w:rsidR="00C2313B" w:rsidRPr="00925F26" w:rsidRDefault="00C2313B" w:rsidP="00925F26">
      <w:pPr>
        <w:autoSpaceDE w:val="0"/>
        <w:autoSpaceDN w:val="0"/>
        <w:adjustRightInd w:val="0"/>
        <w:jc w:val="both"/>
        <w:rPr>
          <w:color w:val="000000" w:themeColor="text1"/>
          <w:sz w:val="16"/>
          <w:szCs w:val="16"/>
        </w:rPr>
      </w:pPr>
    </w:p>
    <w:p w14:paraId="30D5D5FB"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20 января 1945 состояние опытного строительства на 21 заводе было следующим:</w:t>
      </w:r>
    </w:p>
    <w:p w14:paraId="167EC18C"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Ла-5 РД-1 произведено 3 полета, из которых 2 с включением ВРД. Увеличение скорости - 70-72 км/час. Строительство РД-1 дублер закончено, 23 января с-т будет выведен на аэродром.</w:t>
      </w:r>
    </w:p>
    <w:p w14:paraId="17D3D6A7"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Проектироване с-та Ла-7 (изд. 120 с РД-1) заканчивается.. Полетный вес - 3400, бензин - 200, керосин - 67, кислота - 263.</w:t>
      </w:r>
    </w:p>
    <w:p w14:paraId="34DE8063"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Изделие “к” (изделие 124). Заканчиваются чертежи общих видов. После окончательного утверждения их будут даны общие данные (738,34).</w:t>
      </w:r>
    </w:p>
    <w:p w14:paraId="56F026E3" w14:textId="77777777" w:rsidR="00C2313B" w:rsidRPr="00925F26" w:rsidRDefault="00C2313B" w:rsidP="00925F26">
      <w:pPr>
        <w:widowControl w:val="0"/>
        <w:autoSpaceDE w:val="0"/>
        <w:autoSpaceDN w:val="0"/>
        <w:adjustRightInd w:val="0"/>
        <w:jc w:val="both"/>
        <w:rPr>
          <w:color w:val="000000" w:themeColor="text1"/>
          <w:sz w:val="16"/>
          <w:szCs w:val="16"/>
        </w:rPr>
      </w:pPr>
    </w:p>
    <w:p w14:paraId="5610B2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января 1945 НКВМФ Н.Кузнецов писал письмо № 91с НКАП А.А.Ш.</w:t>
      </w:r>
    </w:p>
    <w:p w14:paraId="59ABF2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1937-ЗЗг.г. Московский Авиационный Институт по проекту своего технического бюро (начальник т. Евангулов) изготовил в своих производственных мастерских несколько специальных тормозов для испытаний торпедных двигателей.</w:t>
      </w:r>
    </w:p>
    <w:p w14:paraId="3487D2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процессе эксплоатации тормозов, в 1941 году была окончательно отработана конструкция тормоза, тип "Т-2-Д-А":</w:t>
      </w:r>
    </w:p>
    <w:p w14:paraId="59A31A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началом войны изготовление тормозов прекратилось, вследствие чего флоты не смогли получить необходимого ко</w:t>
      </w:r>
      <w:r w:rsidRPr="00925F26">
        <w:rPr>
          <w:color w:val="000000" w:themeColor="text1"/>
          <w:sz w:val="16"/>
          <w:szCs w:val="16"/>
        </w:rPr>
        <w:softHyphen/>
        <w:t>личества тормозов.</w:t>
      </w:r>
    </w:p>
    <w:p w14:paraId="614E64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годы Отечественной войны на вооружение Военно-Морского Флота поступил ряд новых образцов скоростных тор</w:t>
      </w:r>
      <w:r w:rsidRPr="00925F26">
        <w:rPr>
          <w:color w:val="000000" w:themeColor="text1"/>
          <w:sz w:val="16"/>
          <w:szCs w:val="16"/>
        </w:rPr>
        <w:softHyphen/>
        <w:t>пед с мощностью двигателя'до 500</w:t>
      </w:r>
      <w:proofErr w:type="gramStart"/>
      <w:r w:rsidRPr="00925F26">
        <w:rPr>
          <w:color w:val="000000" w:themeColor="text1"/>
          <w:sz w:val="16"/>
          <w:szCs w:val="16"/>
        </w:rPr>
        <w:t>л.с.,вследствие</w:t>
      </w:r>
      <w:proofErr w:type="gramEnd"/>
      <w:r w:rsidRPr="00925F26">
        <w:rPr>
          <w:color w:val="000000" w:themeColor="text1"/>
          <w:sz w:val="16"/>
          <w:szCs w:val="16"/>
        </w:rPr>
        <w:t xml:space="preserve"> чего имею</w:t>
      </w:r>
      <w:r w:rsidRPr="00925F26">
        <w:rPr>
          <w:color w:val="000000" w:themeColor="text1"/>
          <w:sz w:val="16"/>
          <w:szCs w:val="16"/>
        </w:rPr>
        <w:softHyphen/>
        <w:t>щиеся на флотах тормоза в результате их маломощности ока</w:t>
      </w:r>
      <w:r w:rsidRPr="00925F26">
        <w:rPr>
          <w:color w:val="000000" w:themeColor="text1"/>
          <w:sz w:val="16"/>
          <w:szCs w:val="16"/>
        </w:rPr>
        <w:softHyphen/>
        <w:t>зались совершенно непригодными для эксплоатации.</w:t>
      </w:r>
    </w:p>
    <w:p w14:paraId="177FC0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Невозможность получения с импорта тормозов требуе</w:t>
      </w:r>
      <w:r w:rsidRPr="00925F26">
        <w:rPr>
          <w:color w:val="000000" w:themeColor="text1"/>
          <w:sz w:val="16"/>
          <w:szCs w:val="16"/>
        </w:rPr>
        <w:softHyphen/>
        <w:t>мой мощности вынуждает НКВМФ поставить перед Вами вопрос о восстановлении производства отечественных гкдро-тормозов и изготовления для первоочередных нужд ВМФ в 1945 году, хотя бы 10-12 машин типа "Т-2-Д-А".</w:t>
      </w:r>
    </w:p>
    <w:p w14:paraId="1B1B49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Предварительным выяснением установлено, что МАИ принципиально не возражает против изготовления тормозов, при условии оказания</w:t>
      </w:r>
      <w:proofErr w:type="gramStart"/>
      <w:r w:rsidRPr="00925F26">
        <w:rPr>
          <w:color w:val="000000" w:themeColor="text1"/>
          <w:sz w:val="16"/>
          <w:szCs w:val="16"/>
        </w:rPr>
        <w:t>.</w:t>
      </w:r>
      <w:proofErr w:type="gramEnd"/>
      <w:r w:rsidRPr="00925F26">
        <w:rPr>
          <w:color w:val="000000" w:themeColor="text1"/>
          <w:sz w:val="16"/>
          <w:szCs w:val="16"/>
        </w:rPr>
        <w:t xml:space="preserve"> следующей помощи:</w:t>
      </w:r>
    </w:p>
    <w:p w14:paraId="00DDD3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Выделить 15-20 единиц металлорежущего, универ</w:t>
      </w:r>
      <w:r w:rsidRPr="00925F26">
        <w:rPr>
          <w:color w:val="000000" w:themeColor="text1"/>
          <w:sz w:val="16"/>
          <w:szCs w:val="16"/>
        </w:rPr>
        <w:softHyphen/>
        <w:t>сального станочного оборудования.</w:t>
      </w:r>
    </w:p>
    <w:p w14:paraId="58F5EF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Возвратить в МАИ с заводов НКАП, из числа ранее работавших в конструкторском бюро по гидротормозам, 12-15 специалистов ИТР и рабочих.</w:t>
      </w:r>
    </w:p>
    <w:p w14:paraId="6DF910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Выделить небольшой фонд на режущий и мерительный инструмент.</w:t>
      </w:r>
    </w:p>
    <w:p w14:paraId="06FEA4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Вашем решении прошу сообщить (2952,11).</w:t>
      </w:r>
    </w:p>
    <w:p w14:paraId="720664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A59F6D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85F78EF" w14:textId="77777777" w:rsidR="00C2313B" w:rsidRPr="00925F26" w:rsidRDefault="00C2313B" w:rsidP="00925F26">
      <w:pPr>
        <w:autoSpaceDE w:val="0"/>
        <w:autoSpaceDN w:val="0"/>
        <w:adjustRightInd w:val="0"/>
        <w:jc w:val="both"/>
        <w:rPr>
          <w:iCs/>
          <w:color w:val="000000" w:themeColor="text1"/>
          <w:sz w:val="16"/>
          <w:szCs w:val="16"/>
        </w:rPr>
      </w:pPr>
    </w:p>
    <w:p w14:paraId="31AF59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января 1945 г. был подготовлен ЗАПРОС ЗАМЕСТИТЕЛЯ НАЧАЛЬНИКА ГБТУ КА ЗАМЕСТИТЕЛЮ НАРОДНОГО КОМИССАРА ВНЕШНЕЙ ТОРГОВЛИ СССР ОБ ОТПРАВКЕ МОТОЦИКЛОВ №845016</w:t>
      </w:r>
    </w:p>
    <w:p w14:paraId="2EFB9E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удовлетворения потребностей в мотоциклах Дальневосточного фронта прошу Ваших ука</w:t>
      </w:r>
      <w:r w:rsidRPr="00925F26">
        <w:rPr>
          <w:color w:val="000000" w:themeColor="text1"/>
          <w:sz w:val="16"/>
          <w:szCs w:val="16"/>
        </w:rPr>
        <w:softHyphen/>
        <w:t>заний об отправке из Америки с ближайшим караваном 250 мотоциклов «Харлей-Давидсон» во Вла</w:t>
      </w:r>
      <w:r w:rsidRPr="00925F26">
        <w:rPr>
          <w:color w:val="000000" w:themeColor="text1"/>
          <w:sz w:val="16"/>
          <w:szCs w:val="16"/>
        </w:rPr>
        <w:softHyphen/>
        <w:t>дивостокский порт.</w:t>
      </w:r>
    </w:p>
    <w:p w14:paraId="06017D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ГБТУ КА генерал-майор инженерно-танковой службы Павловский</w:t>
      </w:r>
    </w:p>
    <w:p w14:paraId="023A55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УБП и БМ ГБТУ КА генерал-майор танковых войск Чернов</w:t>
      </w:r>
    </w:p>
    <w:p w14:paraId="12F884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11358. Д. 412. Л. 2. Копия (11420).</w:t>
      </w:r>
    </w:p>
    <w:p w14:paraId="62F3EC52" w14:textId="77777777" w:rsidR="00C2313B" w:rsidRPr="00925F26" w:rsidRDefault="00C2313B" w:rsidP="00925F26">
      <w:pPr>
        <w:autoSpaceDE w:val="0"/>
        <w:autoSpaceDN w:val="0"/>
        <w:adjustRightInd w:val="0"/>
        <w:jc w:val="both"/>
        <w:rPr>
          <w:color w:val="000000" w:themeColor="text1"/>
          <w:sz w:val="16"/>
          <w:szCs w:val="16"/>
        </w:rPr>
      </w:pPr>
    </w:p>
    <w:p w14:paraId="42BDF030" w14:textId="77777777" w:rsidR="006F0F05" w:rsidRPr="00925F26" w:rsidRDefault="006F0F05" w:rsidP="00925F26">
      <w:pPr>
        <w:pStyle w:val="45"/>
        <w:shd w:val="clear" w:color="auto" w:fill="auto"/>
        <w:spacing w:before="0" w:line="240" w:lineRule="auto"/>
        <w:jc w:val="both"/>
        <w:rPr>
          <w:rStyle w:val="4e"/>
          <w:rFonts w:ascii="Times New Roman" w:hAnsi="Times New Roman" w:cs="Times New Roman"/>
          <w:i w:val="0"/>
          <w:color w:val="000000" w:themeColor="text1"/>
          <w:sz w:val="16"/>
          <w:szCs w:val="16"/>
        </w:rPr>
      </w:pPr>
      <w:r w:rsidRPr="00925F26">
        <w:rPr>
          <w:rStyle w:val="4e"/>
          <w:rFonts w:ascii="Times New Roman" w:hAnsi="Times New Roman" w:cs="Times New Roman"/>
          <w:i w:val="0"/>
          <w:color w:val="000000" w:themeColor="text1"/>
          <w:sz w:val="16"/>
          <w:szCs w:val="16"/>
        </w:rPr>
        <w:t>20 ян</w:t>
      </w:r>
      <w:r w:rsidRPr="00925F26">
        <w:rPr>
          <w:rStyle w:val="4e"/>
          <w:rFonts w:ascii="Times New Roman" w:hAnsi="Times New Roman" w:cs="Times New Roman"/>
          <w:i w:val="0"/>
          <w:color w:val="000000" w:themeColor="text1"/>
          <w:sz w:val="16"/>
          <w:szCs w:val="16"/>
        </w:rPr>
        <w:softHyphen/>
        <w:t>варя 1945 г. заместитель наркома Госконтроля СССР А. Цыпко писал директору ИМЗ А. Макарову:</w:t>
      </w:r>
      <w:r w:rsidRPr="00925F26">
        <w:rPr>
          <w:rFonts w:ascii="Times New Roman" w:cs="Times New Roman"/>
          <w:color w:val="000000" w:themeColor="text1"/>
          <w:sz w:val="16"/>
          <w:szCs w:val="16"/>
        </w:rPr>
        <w:t xml:space="preserve"> «Наркомат Государственного Контроля Союза ССР предупреждает Вас, что если Вами не будет наве</w:t>
      </w:r>
      <w:r w:rsidRPr="00925F26">
        <w:rPr>
          <w:rFonts w:ascii="Times New Roman" w:cs="Times New Roman"/>
          <w:color w:val="000000" w:themeColor="text1"/>
          <w:sz w:val="16"/>
          <w:szCs w:val="16"/>
        </w:rPr>
        <w:softHyphen/>
        <w:t>ден порядок в организации производства мотоциклов, а также в хране</w:t>
      </w:r>
      <w:r w:rsidRPr="00925F26">
        <w:rPr>
          <w:rFonts w:ascii="Times New Roman" w:cs="Times New Roman"/>
          <w:color w:val="000000" w:themeColor="text1"/>
          <w:sz w:val="16"/>
          <w:szCs w:val="16"/>
        </w:rPr>
        <w:softHyphen/>
        <w:t>нии, учете и расходовании материальных ценностей, то Вы будете при</w:t>
      </w:r>
      <w:r w:rsidRPr="00925F26">
        <w:rPr>
          <w:rFonts w:ascii="Times New Roman" w:cs="Times New Roman"/>
          <w:color w:val="000000" w:themeColor="text1"/>
          <w:sz w:val="16"/>
          <w:szCs w:val="16"/>
        </w:rPr>
        <w:softHyphen/>
        <w:t>влечены к ответственности».</w:t>
      </w:r>
      <w:r w:rsidRPr="00925F26">
        <w:rPr>
          <w:rStyle w:val="4e"/>
          <w:rFonts w:ascii="Times New Roman" w:hAnsi="Times New Roman" w:cs="Times New Roman"/>
          <w:i w:val="0"/>
          <w:color w:val="000000" w:themeColor="text1"/>
          <w:sz w:val="16"/>
          <w:szCs w:val="16"/>
        </w:rPr>
        <w:t xml:space="preserve"> Действительно, неоднократно поднимался вопрос о привлечении руководства заводов и возбуждались дела, но каждый раз установив, что «</w:t>
      </w:r>
      <w:r w:rsidRPr="00925F26">
        <w:rPr>
          <w:rFonts w:ascii="Times New Roman" w:cs="Times New Roman"/>
          <w:color w:val="000000" w:themeColor="text1"/>
          <w:sz w:val="16"/>
          <w:szCs w:val="16"/>
        </w:rPr>
        <w:t>плоскости картера кордбки передач вместо шлифовки на станке зачищаются вручную»</w:t>
      </w:r>
      <w:r w:rsidRPr="00925F26">
        <w:rPr>
          <w:rStyle w:val="4e"/>
          <w:rFonts w:ascii="Times New Roman" w:hAnsi="Times New Roman" w:cs="Times New Roman"/>
          <w:i w:val="0"/>
          <w:color w:val="000000" w:themeColor="text1"/>
          <w:sz w:val="16"/>
          <w:szCs w:val="16"/>
        </w:rPr>
        <w:t xml:space="preserve"> или что «из</w:t>
      </w:r>
      <w:r w:rsidRPr="00925F26">
        <w:rPr>
          <w:rFonts w:ascii="Times New Roman" w:cs="Times New Roman"/>
          <w:color w:val="000000" w:themeColor="text1"/>
          <w:sz w:val="16"/>
          <w:szCs w:val="16"/>
        </w:rPr>
        <w:t xml:space="preserve"> имеющихся 493 штампов 127 требуют замены и 223 капитального ремонта</w:t>
      </w:r>
      <w:r w:rsidRPr="00925F26">
        <w:rPr>
          <w:rStyle w:val="4e"/>
          <w:rFonts w:ascii="Times New Roman" w:hAnsi="Times New Roman" w:cs="Times New Roman"/>
          <w:i w:val="0"/>
          <w:color w:val="000000" w:themeColor="text1"/>
          <w:sz w:val="16"/>
          <w:szCs w:val="16"/>
        </w:rPr>
        <w:t>», следовате</w:t>
      </w:r>
      <w:r w:rsidRPr="00925F26">
        <w:rPr>
          <w:rStyle w:val="4e"/>
          <w:rFonts w:ascii="Times New Roman" w:hAnsi="Times New Roman" w:cs="Times New Roman"/>
          <w:i w:val="0"/>
          <w:color w:val="000000" w:themeColor="text1"/>
          <w:sz w:val="16"/>
          <w:szCs w:val="16"/>
        </w:rPr>
        <w:softHyphen/>
        <w:t>ли дела прекращали. Заводы действительно делали невозможное в то трудное бремя (15757).</w:t>
      </w:r>
    </w:p>
    <w:p w14:paraId="0BB43895" w14:textId="77777777" w:rsidR="006F0F05" w:rsidRPr="00925F26" w:rsidRDefault="006F0F05" w:rsidP="00925F26">
      <w:pPr>
        <w:pStyle w:val="aff1"/>
        <w:shd w:val="clear" w:color="auto" w:fill="auto"/>
        <w:spacing w:line="240" w:lineRule="auto"/>
        <w:rPr>
          <w:rFonts w:ascii="Times New Roman" w:hAnsi="Times New Roman" w:cs="Times New Roman"/>
          <w:i w:val="0"/>
          <w:color w:val="000000" w:themeColor="text1"/>
          <w:sz w:val="16"/>
          <w:szCs w:val="16"/>
          <w:lang w:val="ru-RU"/>
        </w:rPr>
      </w:pPr>
      <w:r w:rsidRPr="00925F26">
        <w:rPr>
          <w:rFonts w:ascii="Times New Roman" w:hAnsi="Times New Roman" w:cs="Times New Roman"/>
          <w:i w:val="0"/>
          <w:color w:val="000000" w:themeColor="text1"/>
          <w:sz w:val="16"/>
          <w:szCs w:val="16"/>
          <w:lang w:val="ru-RU"/>
        </w:rPr>
        <w:t>Статистика поставки тяжелых мотоциклов М-72 в действующую армию в период войны</w:t>
      </w:r>
    </w:p>
    <w:tbl>
      <w:tblPr>
        <w:tblW w:w="0" w:type="auto"/>
        <w:tblLayout w:type="fixed"/>
        <w:tblCellMar>
          <w:left w:w="10" w:type="dxa"/>
          <w:right w:w="10" w:type="dxa"/>
        </w:tblCellMar>
        <w:tblLook w:val="04A0" w:firstRow="1" w:lastRow="0" w:firstColumn="1" w:lastColumn="0" w:noHBand="0" w:noVBand="1"/>
      </w:tblPr>
      <w:tblGrid>
        <w:gridCol w:w="1920"/>
        <w:gridCol w:w="797"/>
        <w:gridCol w:w="802"/>
        <w:gridCol w:w="797"/>
        <w:gridCol w:w="802"/>
        <w:gridCol w:w="792"/>
        <w:gridCol w:w="806"/>
        <w:gridCol w:w="797"/>
        <w:gridCol w:w="797"/>
        <w:gridCol w:w="1051"/>
        <w:gridCol w:w="1056"/>
      </w:tblGrid>
      <w:tr w:rsidR="000F5689" w:rsidRPr="00925F26" w14:paraId="10324978" w14:textId="77777777" w:rsidTr="003D013D">
        <w:trPr>
          <w:trHeight w:val="437"/>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BEB6920"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12C9E8F"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1941 план</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17CB94B1"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1941 факт</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813FB60"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1942 план</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19F911B"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1942 факт</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18E7CC5"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1943 план</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625561BD"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1943 факт</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0937724"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1944 план</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44E4DA3"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1944 факт</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3B052A7A"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За 4 месяца 1945 план</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03B5B81"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1945 факт</w:t>
            </w:r>
          </w:p>
        </w:tc>
      </w:tr>
      <w:tr w:rsidR="000F5689" w:rsidRPr="00925F26" w14:paraId="3D3456CE"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74393FC1"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Таганрогский завод №65</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34FD409"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1500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886401A"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155EF54"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28CB20BD" w14:textId="77777777" w:rsidR="006F0F05" w:rsidRPr="00925F26" w:rsidRDefault="006F0F05" w:rsidP="00925F26">
            <w:pPr>
              <w:pStyle w:val="182"/>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3B3C77B"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72F884D5" w14:textId="77777777" w:rsidR="006F0F05" w:rsidRPr="00925F26" w:rsidRDefault="006F0F05" w:rsidP="00925F26">
            <w:pPr>
              <w:pStyle w:val="222"/>
              <w:shd w:val="clear" w:color="auto" w:fill="auto"/>
              <w:spacing w:line="240" w:lineRule="auto"/>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30CE6B3"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0FB3CAA"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21532538"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0DC7988F" w14:textId="77777777" w:rsidR="006F0F05" w:rsidRPr="00925F26" w:rsidRDefault="006F0F05" w:rsidP="00925F26">
            <w:pPr>
              <w:pStyle w:val="242"/>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w:t>
            </w:r>
          </w:p>
        </w:tc>
      </w:tr>
      <w:tr w:rsidR="000F5689" w:rsidRPr="00925F26" w14:paraId="68128074"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BF2E0CC"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Style w:val="146"/>
                <w:rFonts w:ascii="Times New Roman" w:hAnsi="Times New Roman" w:cs="Times New Roman"/>
                <w:color w:val="000000" w:themeColor="text1"/>
              </w:rPr>
              <w:t>Московский</w:t>
            </w:r>
            <w:r w:rsidRPr="00925F26">
              <w:rPr>
                <w:rFonts w:ascii="Times New Roman" w:hAnsi="Times New Roman" w:cs="Times New Roman"/>
                <w:b w:val="0"/>
                <w:color w:val="000000" w:themeColor="text1"/>
              </w:rPr>
              <w:t xml:space="preserve">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FA6C248"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12500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4B782BA2"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1753</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C2EB9C5" w14:textId="77777777" w:rsidR="006F0F05" w:rsidRPr="00925F26" w:rsidRDefault="006F0F05" w:rsidP="00925F26">
            <w:pPr>
              <w:pStyle w:val="203"/>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799A531" w14:textId="77777777" w:rsidR="006F0F05" w:rsidRPr="00925F26" w:rsidRDefault="006F0F05" w:rsidP="00925F26">
            <w:pPr>
              <w:pStyle w:val="213"/>
              <w:shd w:val="clear" w:color="auto" w:fill="auto"/>
              <w:spacing w:after="0" w:line="240" w:lineRule="auto"/>
              <w:jc w:val="both"/>
              <w:rPr>
                <w:color w:val="000000" w:themeColor="text1"/>
                <w:szCs w:val="16"/>
              </w:rPr>
            </w:pPr>
            <w:r w:rsidRPr="00925F26">
              <w:rPr>
                <w:color w:val="000000" w:themeColor="text1"/>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2C630E7C" w14:textId="77777777" w:rsidR="006F0F05" w:rsidRPr="00925F26" w:rsidRDefault="006F0F05" w:rsidP="00925F26">
            <w:pPr>
              <w:pStyle w:val="182"/>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6F2F8209"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C9C8F0E"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D28C242" w14:textId="77777777" w:rsidR="006F0F05" w:rsidRPr="00925F26" w:rsidRDefault="006F0F05" w:rsidP="00925F26">
            <w:pPr>
              <w:pStyle w:val="2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4FB14454"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E972926"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r>
      <w:tr w:rsidR="000F5689" w:rsidRPr="00925F26" w14:paraId="2B70DC08" w14:textId="77777777" w:rsidTr="003D013D">
        <w:trPr>
          <w:trHeight w:val="240"/>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8D6C054"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Харьковский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19D165B"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13000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126F719C"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233</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8662B43"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62968F04" w14:textId="77777777" w:rsidR="006F0F05" w:rsidRPr="00925F26" w:rsidRDefault="006F0F05" w:rsidP="00925F26">
            <w:pPr>
              <w:jc w:val="both"/>
              <w:rPr>
                <w:color w:val="000000" w:themeColor="text1"/>
                <w:sz w:val="16"/>
                <w:szCs w:val="16"/>
              </w:rPr>
            </w:pP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4F978F3"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31A1DCB8"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299D3B8A" w14:textId="77777777" w:rsidR="006F0F05" w:rsidRPr="00925F26" w:rsidRDefault="006F0F05" w:rsidP="00925F26">
            <w:pPr>
              <w:pStyle w:val="203"/>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001D58F"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316A79CF"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CCFD024"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r>
      <w:tr w:rsidR="000F5689" w:rsidRPr="00925F26" w14:paraId="27FFEFF2"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3B5E86A" w14:textId="77777777" w:rsidR="006F0F05" w:rsidRPr="00925F26" w:rsidRDefault="006F0F05" w:rsidP="00925F26">
            <w:pPr>
              <w:pStyle w:val="13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Горьковский</w:t>
            </w:r>
            <w:r w:rsidRPr="00925F26">
              <w:rPr>
                <w:rStyle w:val="134"/>
                <w:rFonts w:ascii="Times New Roman" w:hAnsi="Times New Roman" w:cs="Times New Roman"/>
                <w:b w:val="0"/>
                <w:color w:val="000000" w:themeColor="text1"/>
              </w:rPr>
              <w:t xml:space="preserve">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4A1E541"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21E4B1AD"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442</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D810320"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961D531"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1268</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793C8839"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2290</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2242E13A"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1126</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AC744E9"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2400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9AB8C7D"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2312</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55397C56"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800</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963E2C9"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670</w:t>
            </w:r>
          </w:p>
        </w:tc>
      </w:tr>
      <w:tr w:rsidR="000F5689" w:rsidRPr="00925F26" w14:paraId="631E5B6E"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0A4CFDD"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Ленинградский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DC7068F"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7537B69"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28B22E82" w14:textId="77777777" w:rsidR="006F0F05" w:rsidRPr="00925F26" w:rsidRDefault="006F0F05" w:rsidP="00925F26">
            <w:pPr>
              <w:pStyle w:val="203"/>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56AEF004"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03AAB8A"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35D377B1"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CA3A1BD"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C807A5E"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67E35684"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77AF539"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r>
      <w:tr w:rsidR="000F5689" w:rsidRPr="00925F26" w14:paraId="169E3522" w14:textId="77777777" w:rsidTr="003D013D">
        <w:trPr>
          <w:trHeight w:val="250"/>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EA66EFE"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Style w:val="146"/>
                <w:rFonts w:ascii="Times New Roman" w:hAnsi="Times New Roman" w:cs="Times New Roman"/>
                <w:color w:val="000000" w:themeColor="text1"/>
              </w:rPr>
              <w:t>Ирбитский</w:t>
            </w:r>
            <w:r w:rsidRPr="00925F26">
              <w:rPr>
                <w:rFonts w:ascii="Times New Roman" w:hAnsi="Times New Roman" w:cs="Times New Roman"/>
                <w:b w:val="0"/>
                <w:color w:val="000000" w:themeColor="text1"/>
              </w:rPr>
              <w:t>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1FCCC8E" w14:textId="77777777" w:rsidR="006F0F05" w:rsidRPr="00925F26" w:rsidRDefault="006F0F05" w:rsidP="00925F26">
            <w:pPr>
              <w:pStyle w:val="182"/>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A404BF7" w14:textId="77777777" w:rsidR="006F0F05" w:rsidRPr="00925F26" w:rsidRDefault="006F0F05" w:rsidP="00925F26">
            <w:pPr>
              <w:jc w:val="both"/>
              <w:rPr>
                <w:color w:val="000000" w:themeColor="text1"/>
                <w:sz w:val="16"/>
                <w:szCs w:val="16"/>
              </w:rPr>
            </w:pPr>
            <w:r w:rsidRPr="00925F26">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FAEF741"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56505F1D"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1573</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645DC7F4"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4300</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7CCCD578"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2207</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9266A22"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3600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1C278D6"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3068</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0CA28575"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1200</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1E69991" w14:textId="77777777" w:rsidR="006F0F05" w:rsidRPr="00925F26" w:rsidRDefault="006F0F05" w:rsidP="00925F26">
            <w:pPr>
              <w:pStyle w:val="145"/>
              <w:shd w:val="clear" w:color="auto" w:fill="auto"/>
              <w:spacing w:line="240" w:lineRule="auto"/>
              <w:jc w:val="both"/>
              <w:rPr>
                <w:rFonts w:ascii="Times New Roman" w:hAnsi="Times New Roman" w:cs="Times New Roman"/>
                <w:b w:val="0"/>
                <w:color w:val="000000" w:themeColor="text1"/>
              </w:rPr>
            </w:pPr>
            <w:r w:rsidRPr="00925F26">
              <w:rPr>
                <w:rFonts w:ascii="Times New Roman" w:hAnsi="Times New Roman" w:cs="Times New Roman"/>
                <w:b w:val="0"/>
                <w:color w:val="000000" w:themeColor="text1"/>
              </w:rPr>
              <w:t>925</w:t>
            </w:r>
          </w:p>
        </w:tc>
      </w:tr>
    </w:tbl>
    <w:p w14:paraId="4E690A94" w14:textId="77777777" w:rsidR="006F0F05" w:rsidRPr="00925F26" w:rsidRDefault="006F0F05" w:rsidP="00925F26">
      <w:pPr>
        <w:jc w:val="both"/>
        <w:rPr>
          <w:color w:val="000000" w:themeColor="text1"/>
          <w:sz w:val="16"/>
          <w:szCs w:val="16"/>
        </w:rPr>
      </w:pPr>
      <w:r w:rsidRPr="00925F26">
        <w:rPr>
          <w:color w:val="000000" w:themeColor="text1"/>
          <w:sz w:val="16"/>
          <w:szCs w:val="16"/>
        </w:rPr>
        <w:t>(15757).</w:t>
      </w:r>
    </w:p>
    <w:p w14:paraId="2EC7B692" w14:textId="77777777" w:rsidR="006F0F05" w:rsidRPr="00925F26" w:rsidRDefault="006F0F05" w:rsidP="00925F26">
      <w:pPr>
        <w:jc w:val="both"/>
        <w:rPr>
          <w:color w:val="000000" w:themeColor="text1"/>
          <w:sz w:val="16"/>
          <w:szCs w:val="16"/>
        </w:rPr>
      </w:pPr>
    </w:p>
    <w:p w14:paraId="3EB3BA9C" w14:textId="77777777" w:rsidR="00670896" w:rsidRPr="00925F26" w:rsidRDefault="00670896" w:rsidP="00925F26">
      <w:pPr>
        <w:jc w:val="both"/>
        <w:rPr>
          <w:color w:val="000000" w:themeColor="text1"/>
          <w:sz w:val="16"/>
          <w:szCs w:val="16"/>
        </w:rPr>
      </w:pPr>
      <w:r w:rsidRPr="00925F26">
        <w:rPr>
          <w:color w:val="000000" w:themeColor="text1"/>
          <w:sz w:val="16"/>
          <w:szCs w:val="16"/>
        </w:rPr>
        <w:t>20 января 1945 г. заместитель наркома Госконтроля СССР А. Цыпко писал директору ИМЗ А. Макарову: «Наркомат Государственного Контроля Союза ССР предупреждает Вас, что если Вами не будет наведен порядок в организации производства мотоциклов, а также в хранении, учете и расходовании материальных ценностей, то Вы будете привлечены к ответственности». Действительно, неоднократно поднимался вопрос о привлечении руководства заводов и возбуждались дела, но каждый раз установив, что «плоскости картера коробки передач вместо шлифовки на станке зачищаются вручную» или что «из имеющихся 493 штампов 127 требуют замены и 223 капитального ремонта», следователи дела прекращали. Заводы действительно делали невозможное в то трудное время. Темпы фактического выпуска М-72 не соответствовали заданным. Дефицит кадров и перебои со снабжением приводили к хроническому недовыполнению плана выпуска продукции и ни за один военный год заданные количественные показатели не были достигнуты. Невыполнение государственного военного задания было основанием для проведения неоднократных расследований уполномоченными инстанциями (19776).</w:t>
      </w:r>
    </w:p>
    <w:p w14:paraId="100AB5A9" w14:textId="77777777" w:rsidR="00670896" w:rsidRPr="00925F26" w:rsidRDefault="00670896" w:rsidP="00925F26">
      <w:pPr>
        <w:jc w:val="both"/>
        <w:rPr>
          <w:color w:val="000000" w:themeColor="text1"/>
          <w:sz w:val="16"/>
          <w:szCs w:val="16"/>
        </w:rPr>
      </w:pPr>
    </w:p>
    <w:p w14:paraId="05E7D6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вышло Постановление ГКО № 7373 О преимущественном энергоснабжении завода №75 Наркомтанкопрома. РГАНИР, Фонд ГКО, д. 358, лл. 61-62 (11012).</w:t>
      </w:r>
    </w:p>
    <w:p w14:paraId="2A24AE14" w14:textId="77777777" w:rsidR="00C2313B" w:rsidRPr="00925F26" w:rsidRDefault="00C2313B" w:rsidP="00925F26">
      <w:pPr>
        <w:autoSpaceDE w:val="0"/>
        <w:autoSpaceDN w:val="0"/>
        <w:adjustRightInd w:val="0"/>
        <w:jc w:val="both"/>
        <w:rPr>
          <w:color w:val="000000" w:themeColor="text1"/>
          <w:sz w:val="16"/>
          <w:szCs w:val="16"/>
        </w:rPr>
      </w:pPr>
    </w:p>
    <w:p w14:paraId="5C3704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вышло Постановление ГКО № 7374 О мероприятиях по обеспечению кузнецким углем Казанских, Омских, Игумновской электростанций и Барнаульской ТЭЦ. РГАНИР, Фонд ГКО, д. 358, лл. 63-65 (11012).</w:t>
      </w:r>
    </w:p>
    <w:p w14:paraId="45AD631A" w14:textId="77777777" w:rsidR="00C2313B" w:rsidRPr="00925F26" w:rsidRDefault="00C2313B" w:rsidP="00925F26">
      <w:pPr>
        <w:autoSpaceDE w:val="0"/>
        <w:autoSpaceDN w:val="0"/>
        <w:adjustRightInd w:val="0"/>
        <w:jc w:val="both"/>
        <w:rPr>
          <w:color w:val="000000" w:themeColor="text1"/>
          <w:sz w:val="16"/>
          <w:szCs w:val="16"/>
        </w:rPr>
      </w:pPr>
    </w:p>
    <w:p w14:paraId="27BFC7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вышло Постановление ГКО № 7375 О мероприятиях по обеспечению углем куйбышевских электростанций. РГАНИР, Фонд ГКО, д. 358, лл. 66-68 (11012).</w:t>
      </w:r>
    </w:p>
    <w:p w14:paraId="036181EF" w14:textId="77777777" w:rsidR="00C2313B" w:rsidRPr="00925F26" w:rsidRDefault="00C2313B" w:rsidP="00925F26">
      <w:pPr>
        <w:autoSpaceDE w:val="0"/>
        <w:autoSpaceDN w:val="0"/>
        <w:adjustRightInd w:val="0"/>
        <w:jc w:val="both"/>
        <w:rPr>
          <w:color w:val="000000" w:themeColor="text1"/>
          <w:sz w:val="16"/>
          <w:szCs w:val="16"/>
        </w:rPr>
      </w:pPr>
    </w:p>
    <w:p w14:paraId="4EC25B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вышло Постановление ГКО № 7376 О мерах по обеспечению углем электростанций Мосэнерго Наркомата электростанций в январе 1945 г. РГАНИР, Фонд ГКО, д. 358, лл. 69-70 (11012).</w:t>
      </w:r>
    </w:p>
    <w:p w14:paraId="1141227A" w14:textId="77777777" w:rsidR="00C2313B" w:rsidRPr="00925F26" w:rsidRDefault="00C2313B" w:rsidP="00925F26">
      <w:pPr>
        <w:autoSpaceDE w:val="0"/>
        <w:autoSpaceDN w:val="0"/>
        <w:adjustRightInd w:val="0"/>
        <w:jc w:val="both"/>
        <w:rPr>
          <w:color w:val="000000" w:themeColor="text1"/>
          <w:sz w:val="16"/>
          <w:szCs w:val="16"/>
        </w:rPr>
      </w:pPr>
    </w:p>
    <w:p w14:paraId="0AD45B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вышло Распоряжение ГКО № 7377. О консервации мощностей по производству спецхимикатов и снаряжения химбоеприпасов. РГАНИР, Фонд ГКО, д. 358, лл. 71-72 (11012).</w:t>
      </w:r>
    </w:p>
    <w:p w14:paraId="0FCC7AB2" w14:textId="77777777" w:rsidR="00C2313B" w:rsidRPr="00925F26" w:rsidRDefault="00C2313B" w:rsidP="00925F26">
      <w:pPr>
        <w:autoSpaceDE w:val="0"/>
        <w:autoSpaceDN w:val="0"/>
        <w:adjustRightInd w:val="0"/>
        <w:jc w:val="both"/>
        <w:rPr>
          <w:color w:val="000000" w:themeColor="text1"/>
          <w:sz w:val="16"/>
          <w:szCs w:val="16"/>
        </w:rPr>
      </w:pPr>
    </w:p>
    <w:p w14:paraId="328BC9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вышло Постановление ГКО № 7378 Об обеспечении цветной металлургии сероуглеродом. РГАНИР, Фонд ГКО, д. 358, лл. 73-74, 75 (11012).</w:t>
      </w:r>
    </w:p>
    <w:p w14:paraId="37BEB867" w14:textId="77777777" w:rsidR="00C2313B" w:rsidRPr="00925F26" w:rsidRDefault="00C2313B" w:rsidP="00925F26">
      <w:pPr>
        <w:autoSpaceDE w:val="0"/>
        <w:autoSpaceDN w:val="0"/>
        <w:adjustRightInd w:val="0"/>
        <w:jc w:val="both"/>
        <w:rPr>
          <w:color w:val="000000" w:themeColor="text1"/>
          <w:sz w:val="16"/>
          <w:szCs w:val="16"/>
        </w:rPr>
      </w:pPr>
    </w:p>
    <w:p w14:paraId="2AB50D0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января 1945 вышло Распоряжение ГКО № 7379 [О поставках оборудования и строительных материалов для НКГБ в I кв. 1945 г.] (7300, 76-77,78-87).</w:t>
      </w:r>
    </w:p>
    <w:p w14:paraId="7EC1959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393B537" w14:textId="77777777" w:rsidR="00886CF9"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49BDB38" w14:textId="77777777" w:rsidR="00886CF9" w:rsidRPr="00925F26" w:rsidRDefault="00886CF9" w:rsidP="00925F26">
      <w:pPr>
        <w:autoSpaceDE w:val="0"/>
        <w:autoSpaceDN w:val="0"/>
        <w:adjustRightInd w:val="0"/>
        <w:jc w:val="both"/>
        <w:rPr>
          <w:iCs/>
          <w:color w:val="000000" w:themeColor="text1"/>
          <w:sz w:val="16"/>
          <w:szCs w:val="16"/>
        </w:rPr>
      </w:pPr>
    </w:p>
    <w:p w14:paraId="5A35BDD2" w14:textId="77777777" w:rsidR="00886CF9" w:rsidRPr="00925F26" w:rsidRDefault="00886CF9" w:rsidP="00925F26">
      <w:pPr>
        <w:jc w:val="both"/>
        <w:rPr>
          <w:color w:val="000000" w:themeColor="text1"/>
          <w:sz w:val="16"/>
          <w:szCs w:val="16"/>
        </w:rPr>
      </w:pPr>
      <w:r w:rsidRPr="00925F26">
        <w:rPr>
          <w:bCs/>
          <w:color w:val="000000" w:themeColor="text1"/>
          <w:sz w:val="16"/>
          <w:szCs w:val="16"/>
        </w:rPr>
        <w:lastRenderedPageBreak/>
        <w:t>20 января</w:t>
      </w:r>
      <w:r w:rsidRPr="00925F26">
        <w:rPr>
          <w:color w:val="000000" w:themeColor="text1"/>
          <w:sz w:val="16"/>
          <w:szCs w:val="16"/>
        </w:rPr>
        <w:t xml:space="preserve"> в 1945 году оперативная сводка Совинформбюро:</w:t>
      </w:r>
    </w:p>
    <w:p w14:paraId="5AC01042"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3-го Белорусского фронта 20 января штурмом овладели городами Восточной Пруссии Тильзит, Гросс Скайсгиррен, Ауловенен, Жиллен и Каукемен — важными узлами коммуникаций и сильными опорными пунктами обороны немцев на Кенигсбергском направлении, а также с боями заняли более 250 других населённых пунктов, среди которых Каркельн, Рагинг, Скепен, Бриттанин, Рукен, Йургайтшен, Грюнхайде, Штаблякен, Биркенфельде, Куттен, Бибелен, Блумберг, Пройсендорф и железнодорожные станции Помлеттен, Аргекингкен, Верфен, Грюнхайде, Байтчен.</w:t>
      </w:r>
    </w:p>
    <w:p w14:paraId="153C8E31"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овладели на территории Польши городами Хожеле, Яново, Зелюнь, Бежунь, Дробин, Вышогруд, а также с боями заняли более 500 других населённых пунктов, в числе которых Дурляссы, Малехово, Гачиска, Еднорожец, Рембелин, Белявы, Бялуты, Скурпе, Вылязлово, Любовидз, Бруднице, Журомин, Липники, Козебро-Ды, Гура, Воровице, 0ршимово.</w:t>
      </w:r>
    </w:p>
    <w:p w14:paraId="4F27BBF3"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1-го Белорусского фронта в результате стремительного наступления танковых соединений и пехоты 20 января овладели городами Влоцлавек и Бжесьць-Куявски — крупными узлами коммуникаций и опорными пунктами обороны немцев на левом берегу ВислЫ. Одновременно войска фронта, форсировав реку Варта, с боем заняли город Коло. В ходе наступательных боёв за 20 января войска фронта также овладели городами Гомбин, Коваль, Ходеч, Домбровице, Озоркув, Пабянице, Тушин, Ласк и заняли более 1.000 других населённых пунктов.</w:t>
      </w:r>
    </w:p>
    <w:p w14:paraId="4262446D"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овладели городами Видава, Люблинец, Олькуш, Бжеско, а также с боями заняли более 300 других населённых пунктов, среди которых крупные населённые пункты Шерцув, Русец, Осякув, Скомлин, Млыниско, Мелешын, Хотынин, Лубнице, Пшедмосце, Данковице, Лугирадлы, Каминьско, Козегловы, Лазы, Поможаны, Острежница, Боженцин, Щепанув и железнодорожные станции Видава, Русец, Панки, Кулейе, Гербы, Богумиловце, Бядолины.</w:t>
      </w:r>
    </w:p>
    <w:p w14:paraId="4EE7D9B2"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20 января с боем овладели на территории Польши городом Новы Сонч и на территории Чехословакии — городами Прешов, Кошице, Бардева — важными узлами коммуникаций и опорными пунктами обороны немцев, а также с боями заняли более 450 других населённых пунктов, в числе которых крупные населённые пункты Крулювка, Слопнице, Богуша, Берест, Зборов, Клюшов, Великий Шариш, Соливар, Обишовце, Шаца, Великая Ида, Мокранце и Железнодорожные Станции Писажова, Каменка, Бардева, Клюшов, Гертник, Осипов. Словацкая Раславице, Дэмьята, Капушаны, Великий Шариш, Мольдава, Великая Ида, Ханиска, Барца.</w:t>
      </w:r>
    </w:p>
    <w:p w14:paraId="2F97622C" w14:textId="77777777" w:rsidR="00886CF9" w:rsidRPr="00925F26" w:rsidRDefault="00886CF9" w:rsidP="00925F26">
      <w:pPr>
        <w:jc w:val="both"/>
        <w:rPr>
          <w:color w:val="000000" w:themeColor="text1"/>
          <w:sz w:val="16"/>
          <w:szCs w:val="16"/>
        </w:rPr>
      </w:pPr>
      <w:r w:rsidRPr="00925F26">
        <w:rPr>
          <w:color w:val="000000" w:themeColor="text1"/>
          <w:sz w:val="16"/>
          <w:szCs w:val="16"/>
        </w:rPr>
        <w:t>В районе Будапешта наши войска продолжали бои по уничтожению гарнизона противника, окружённого в западной части города (БУДА).</w:t>
      </w:r>
    </w:p>
    <w:p w14:paraId="5D9E0A06" w14:textId="77777777" w:rsidR="00886CF9" w:rsidRPr="00925F26" w:rsidRDefault="00886CF9" w:rsidP="00925F26">
      <w:pPr>
        <w:jc w:val="both"/>
        <w:rPr>
          <w:color w:val="000000" w:themeColor="text1"/>
          <w:sz w:val="16"/>
          <w:szCs w:val="16"/>
        </w:rPr>
      </w:pPr>
      <w:r w:rsidRPr="00925F26">
        <w:rPr>
          <w:color w:val="000000" w:themeColor="text1"/>
          <w:sz w:val="16"/>
          <w:szCs w:val="16"/>
        </w:rPr>
        <w:t>Южнее и юго-восточнее города Секешфехервар наши войска отбивали атаки крупных сил пехоты и танков противника, стремящегося прорваться на восток к реке Дунай.</w:t>
      </w:r>
    </w:p>
    <w:p w14:paraId="12F3726E" w14:textId="77777777" w:rsidR="00886CF9" w:rsidRPr="00925F26" w:rsidRDefault="00886CF9" w:rsidP="00925F26">
      <w:pPr>
        <w:jc w:val="both"/>
        <w:rPr>
          <w:color w:val="000000" w:themeColor="text1"/>
          <w:sz w:val="16"/>
          <w:szCs w:val="16"/>
        </w:rPr>
      </w:pPr>
      <w:r w:rsidRPr="00925F26">
        <w:rPr>
          <w:color w:val="000000" w:themeColor="text1"/>
          <w:sz w:val="16"/>
          <w:szCs w:val="16"/>
        </w:rPr>
        <w:t>По предварительным данным, за время наступательных боёв с 12 по 19 января сего года войска 1-го и 2-го Белорусских и 1-го Украинского фронтов взяли в плен более 25.000 немецких солдат и офицеров и захватили 480 танков и 1.079 орудий. Противник потерял только убитыми более 65.000 солдат и офицеров. За последнее время наши войска в наступательных боях взяли в плен солдат и офицеров, принадлежащих 344, 595, 712-й пехотным и 11-й танковой дивизиям немцев, переброшенных на советско-германский фронт с западного театра военных действий.</w:t>
      </w:r>
    </w:p>
    <w:p w14:paraId="2079AF2B" w14:textId="77777777" w:rsidR="00886CF9" w:rsidRPr="00925F26" w:rsidRDefault="00886CF9" w:rsidP="00925F26">
      <w:pPr>
        <w:jc w:val="both"/>
        <w:rPr>
          <w:color w:val="000000" w:themeColor="text1"/>
          <w:sz w:val="16"/>
          <w:szCs w:val="16"/>
        </w:rPr>
      </w:pPr>
      <w:r w:rsidRPr="00925F26">
        <w:rPr>
          <w:color w:val="000000" w:themeColor="text1"/>
          <w:sz w:val="16"/>
          <w:szCs w:val="16"/>
        </w:rPr>
        <w:t>За 19 января наши войска на всех фронтах подбили и уничтожили 190 немецких танков. В воздушных боях и огнём зенитной артиллерии сбито 46 самолётов противника.</w:t>
      </w:r>
    </w:p>
    <w:p w14:paraId="7741C9DA"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3-го Белорусского фронта продолжали наступление. Опираясь на сильно укреплённые опорные пункты, немцы неоднократно предпринимали яростные контратаки. Они по-прежнему действуют при поддержке большого количества танков и артиллерии. Пленные солдаты и офицеры в один голос говорят, что немецкое командование приказало им погибнуть воем до единого, но не отступать ни на один шаг. Отражая контратаки противника и ломая его сопротивление, советские части после упорных боёв выбили гитлеровцев из города Ауловенен, расположенного в 18 километрах севернее Инстербурга. Наращивая удары по врагу, наши войска разгромили гарнизоны ряда других опорных пунктов и вышли на ближние подступы к городу Тильзит. Части Н-ского соединения ворвались на окраины города и завязали уличные бои. После жестоких схваток советские войска штурмом овладели городом Тильзит — мощным узлом вражеской обороны в Восточной Пруссии. Этот город расположен на левом берегу реки Неман. Тильзит занимает третье место среди городов Восточной Пруссии, уступая по численности населения только Кенигсбергу и Эльбингу.</w:t>
      </w:r>
    </w:p>
    <w:p w14:paraId="31E9AA1B" w14:textId="77777777" w:rsidR="00886CF9" w:rsidRPr="00925F26" w:rsidRDefault="00886CF9" w:rsidP="00925F26">
      <w:pPr>
        <w:jc w:val="both"/>
        <w:rPr>
          <w:color w:val="000000" w:themeColor="text1"/>
          <w:sz w:val="16"/>
          <w:szCs w:val="16"/>
        </w:rPr>
      </w:pPr>
      <w:r w:rsidRPr="00925F26">
        <w:rPr>
          <w:color w:val="000000" w:themeColor="text1"/>
          <w:sz w:val="16"/>
          <w:szCs w:val="16"/>
        </w:rPr>
        <w:t>В ходе боёв войска фронта за день истребили до 4.000 немецких солдат и офицеров. В числе убитых командир 69-й немецкой пехотной дивизии генерал-лейтенант Райн. В течение дня подбито и сожжено 87 немецких танков и самоходных орудий, десятки полевых орудий и миномётов.</w:t>
      </w:r>
    </w:p>
    <w:p w14:paraId="6C2F95AA" w14:textId="77777777" w:rsidR="00886CF9" w:rsidRPr="00925F26" w:rsidRDefault="00886CF9" w:rsidP="00925F26">
      <w:pPr>
        <w:jc w:val="both"/>
        <w:rPr>
          <w:color w:val="000000" w:themeColor="text1"/>
          <w:sz w:val="16"/>
          <w:szCs w:val="16"/>
        </w:rPr>
      </w:pPr>
      <w:r w:rsidRPr="00925F26">
        <w:rPr>
          <w:color w:val="000000" w:themeColor="text1"/>
          <w:sz w:val="16"/>
          <w:szCs w:val="16"/>
        </w:rPr>
        <w:t>Наша авиация активно поддерживала действия наземных войск и наносила удары по живой силе и технике противника, его тылам и коммуникациям. В воздушных боях и огнём зенитной артиллерии сбит 31 немецкий самолёт.</w:t>
      </w:r>
    </w:p>
    <w:p w14:paraId="788D7C03"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2-го Белорусского фронта с боями продвигались вперёд. Западнее города Остроленка части Н-ского соединения очистили от немцев большой лесной массив и к исходу дня овладели городом Яново, расположенным на южной границе Восточной Пруссии. Очищены от немцев также города Хожеле, Зелюнь, Бежунь, Дробин, Вышогруд и более 500 населённых пунктов. В бою за город Дзялдово (Зольдау), занятый вчера нашими войсками, истреблено до полка немецкой пехоты. На станции захвачены трофеи, в числе которых эшелон с танками, 16 паровозов, много вагонов и несколько складов с военным имуществом.</w:t>
      </w:r>
    </w:p>
    <w:p w14:paraId="66DB7699" w14:textId="77777777" w:rsidR="00886CF9" w:rsidRPr="00925F26" w:rsidRDefault="00886CF9" w:rsidP="00925F26">
      <w:pPr>
        <w:jc w:val="both"/>
        <w:rPr>
          <w:color w:val="000000" w:themeColor="text1"/>
          <w:sz w:val="16"/>
          <w:szCs w:val="16"/>
        </w:rPr>
      </w:pPr>
      <w:r w:rsidRPr="00925F26">
        <w:rPr>
          <w:color w:val="000000" w:themeColor="text1"/>
          <w:sz w:val="16"/>
          <w:szCs w:val="16"/>
        </w:rPr>
        <w:t>В городе Дзялдово части Красной Армии освободили из фашистской неволи 15 тысяч советских граждан.</w:t>
      </w:r>
    </w:p>
    <w:p w14:paraId="0C61C100"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1-го Белорусского фронта продолжали стремительное наступление. Советские танковые и пехотные соединения продвинулись вперёд на 30 километров и завязали бои за город Влоцлавек. Мощными ударами наши пехотинцы и танкисты сломили сопротивление вражеского гарнизона и овладели городом. Наши войска, наступающие от города Кутно вдоль шоссейной дороги на Познань, быстро продвигались вперёд, уничтожая немецкие танковые заслоны и остатки отступающих разгромлённых дивизий противника. С хода форсировав реку Варта, советские бойцы завязали бои за узел железных и шоссейных дорог город Коло. Этот город находится в 160 километрах западнее Варшавы. К исходу дня город Коло очищен от немцев. Отступая под ударами советских войск, противник несёт большие потери в живой силе и технике. Захвачены трофеи и много пленных.</w:t>
      </w:r>
    </w:p>
    <w:p w14:paraId="1D35C251"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4-го Украинского фронта развивали наступление. Стремясь надёжнее прикрыть подступы к районам южной Польши и северной Чехословакии, противник на протяжении многих месяцев укреплял свою оборонительную систему в Карпатах. Немцы использовали для обороны выгодные естественные рубежи, ущелья и склоны гор, заболоченные долины и горные реки. Кроме того, гитлеровцы построили много искусственных оборонительных сооружений. Прорвав оборону противника в районе западнее Санок, советские войска окружили город Новы Сонч, расположенный на северных склонах Карпат. В двухдневных боях наши части разгромили немецкий гарнизон и освободили польский город Новы Сонч. На другом участке особенно упорные бои произошли в районе дорог, ведущих к чехословацким городам Кошице и Прешов. Переправившись через реку Тополья, наши войска нанесли противнику ряд фланговых ударов. С боями продвигаясь вперёд по горно-лесистой местности, войска фронта сегодня овладели городами Прешов и Кошице. В городе Прешов захвачено в плен 1.300 немецких солдат и офицеров.</w:t>
      </w:r>
    </w:p>
    <w:p w14:paraId="326C6270"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Войсками 2-го Украинского фронта, как уже сообщалось, закончена ликвидация окружённой группировки противника в восточной части города Будапешта. В боях по очищению от противника восточной половины города (Пешт) захвачены большие трофеи. Только за один день 18 января нашими войсками захвачено у немцев — 64 танка и самоходных орудия, 318 орудий разных калибров, 675 пулемётов, свыше 18 тысяч винтовок и автоматов, а также много различных складов с военным имуществом.» (15015).</w:t>
      </w:r>
    </w:p>
    <w:p w14:paraId="03092155" w14:textId="77777777" w:rsidR="00886CF9" w:rsidRPr="00925F26" w:rsidRDefault="00886CF9" w:rsidP="00925F26">
      <w:pPr>
        <w:jc w:val="both"/>
        <w:rPr>
          <w:color w:val="000000" w:themeColor="text1"/>
          <w:sz w:val="16"/>
          <w:szCs w:val="16"/>
        </w:rPr>
      </w:pPr>
    </w:p>
    <w:p w14:paraId="105067AA" w14:textId="77777777" w:rsidR="00886CF9" w:rsidRPr="00925F26" w:rsidRDefault="00886CF9" w:rsidP="00925F26">
      <w:pPr>
        <w:jc w:val="both"/>
        <w:rPr>
          <w:color w:val="000000" w:themeColor="text1"/>
          <w:sz w:val="16"/>
          <w:szCs w:val="16"/>
        </w:rPr>
      </w:pPr>
      <w:r w:rsidRPr="00925F26">
        <w:rPr>
          <w:bCs/>
          <w:color w:val="000000" w:themeColor="text1"/>
          <w:sz w:val="16"/>
          <w:szCs w:val="16"/>
        </w:rPr>
        <w:t>20 января</w:t>
      </w:r>
      <w:r w:rsidRPr="00925F26">
        <w:rPr>
          <w:color w:val="000000" w:themeColor="text1"/>
          <w:sz w:val="16"/>
          <w:szCs w:val="16"/>
        </w:rPr>
        <w:t xml:space="preserve"> в 1945 году в результате контрудара немецкие войска вышли к Дунаю в районе Дунапентеле и рассекли войска 3-го Украинского фронта на две части (15015).</w:t>
      </w:r>
    </w:p>
    <w:p w14:paraId="77A5978F" w14:textId="77777777" w:rsidR="00886CF9" w:rsidRPr="00925F26" w:rsidRDefault="00886CF9" w:rsidP="00925F26">
      <w:pPr>
        <w:jc w:val="both"/>
        <w:rPr>
          <w:color w:val="000000" w:themeColor="text1"/>
          <w:sz w:val="16"/>
          <w:szCs w:val="16"/>
        </w:rPr>
      </w:pPr>
    </w:p>
    <w:p w14:paraId="26B43FA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BFA1F43" w14:textId="77777777" w:rsidR="00C2313B" w:rsidRPr="00925F26" w:rsidRDefault="00C2313B" w:rsidP="00925F26">
      <w:pPr>
        <w:autoSpaceDE w:val="0"/>
        <w:autoSpaceDN w:val="0"/>
        <w:adjustRightInd w:val="0"/>
        <w:jc w:val="both"/>
        <w:rPr>
          <w:iCs/>
          <w:color w:val="000000" w:themeColor="text1"/>
          <w:sz w:val="16"/>
          <w:szCs w:val="16"/>
        </w:rPr>
      </w:pPr>
    </w:p>
    <w:p w14:paraId="758E3F61" w14:textId="77777777" w:rsidR="00886CF9" w:rsidRPr="00925F26" w:rsidRDefault="00886CF9" w:rsidP="00925F26">
      <w:pPr>
        <w:jc w:val="both"/>
        <w:rPr>
          <w:bCs/>
          <w:color w:val="000000" w:themeColor="text1"/>
          <w:sz w:val="16"/>
          <w:szCs w:val="16"/>
        </w:rPr>
      </w:pPr>
      <w:r w:rsidRPr="00925F26">
        <w:rPr>
          <w:bCs/>
          <w:color w:val="000000" w:themeColor="text1"/>
          <w:sz w:val="16"/>
          <w:szCs w:val="16"/>
        </w:rPr>
        <w:t>20 января</w:t>
      </w:r>
      <w:r w:rsidRPr="00925F26">
        <w:rPr>
          <w:color w:val="000000" w:themeColor="text1"/>
          <w:sz w:val="16"/>
          <w:szCs w:val="16"/>
        </w:rPr>
        <w:t xml:space="preserve"> в 1945 году компания Nakajima получила от армии Японии заказ на разработку одноразового самолёта для пилотов-камикадзе. Им стал «Ki-115» «Tsurugi» «Меч» - японский специализированный самолёт для камикадзе. </w:t>
      </w:r>
      <w:hyperlink r:id="rId15" w:tgtFrame="_blank" w:history="1">
        <w:r w:rsidRPr="00925F26">
          <w:rPr>
            <w:color w:val="000000" w:themeColor="text1"/>
            <w:sz w:val="16"/>
            <w:szCs w:val="16"/>
          </w:rPr>
          <w:t xml:space="preserve">«Ки-115» </w:t>
        </w:r>
      </w:hyperlink>
      <w:r w:rsidRPr="00925F26">
        <w:rPr>
          <w:color w:val="000000" w:themeColor="text1"/>
          <w:sz w:val="16"/>
          <w:szCs w:val="16"/>
        </w:rPr>
        <w:t>представлял собой одноместный низкоплан смешанной конструкции. Поскольку требования к самолёту были минимальными — совершить лишь один полёт до цели, конструкция была до предела упрощена и приспособлена к производству низкоквалифицированными рабочими. Фюзеляж самолёта имел стальную конструкцию, в то время как капот двигателя изготавливался из жести. Крыло было целиком изготовлено из стали и дюралюминия, а хвостовое оперение представляло собой обтянутый тканью деревянный каркас. Для упрощения производства даже кабина пилота была выполнена открытой. Шасси самолёта — трёхстоечное, с хвостовым колесом. Поскольку самолёт был рассчитан на полёт только в один конец, шасси после взлёта сбрасывалось. Самолёт был приспособлен для установки различных типов двигателей, в основном устаревших или выработавших свой ресурс, однако на всех выпущенных фирмой Накадзима машинах стояли радиальные 14-цилиндровые двухрядные двигатели воздушного охлаждения «Ха-35» «Ру 23» мощностью 1 150 л.с. Всё вооружение самолёта составляла одна авиабомба весом до 800 кг, которая размещалась под фюзеляжем, частично утапливаясь в нём. Все приборы управления были упрощены до предела, какие-либо средства внешней связи отсутствовали.</w:t>
      </w:r>
    </w:p>
    <w:p w14:paraId="6D2257C2" w14:textId="77777777" w:rsidR="00886CF9" w:rsidRPr="00925F26" w:rsidRDefault="00886CF9" w:rsidP="00925F26">
      <w:pPr>
        <w:jc w:val="both"/>
        <w:rPr>
          <w:color w:val="000000" w:themeColor="text1"/>
          <w:sz w:val="16"/>
          <w:szCs w:val="16"/>
        </w:rPr>
      </w:pPr>
      <w:r w:rsidRPr="00925F26">
        <w:rPr>
          <w:color w:val="000000" w:themeColor="text1"/>
          <w:sz w:val="16"/>
          <w:szCs w:val="16"/>
        </w:rPr>
        <w:t xml:space="preserve">в 1946 году подал в отставку глава Временного правительства Французской республики, прославленный вождь Сопротивления генерал Шарль де Голль (1890–1970). Это произошло сразу после того, как правительству в острейших дискуссиях удалось добиться компромисса с парламентом относительно госбюджета. Национальный герой заявил: «Моя миссия окончена... Вновь возродился режим политических партий. Я его отвергаю. Но у меня нет средств помешать этому эксперименту, кроме разве установления диктатуры, чего я не желаю и что, несомненно, кончилось бы плохо. Таким образом, мне нужно уйти». Де Голль полагал, что за его возвращение </w:t>
      </w:r>
      <w:r w:rsidRPr="00925F26">
        <w:rPr>
          <w:color w:val="000000" w:themeColor="text1"/>
          <w:sz w:val="16"/>
          <w:szCs w:val="16"/>
        </w:rPr>
        <w:lastRenderedPageBreak/>
        <w:t>развернется широкая кампания, в результате чего он незамедлительно окажется вновь у власти и умерит амбиции депутатов. Однако его надежды оправдались лишь через 12 лет (15015).</w:t>
      </w:r>
    </w:p>
    <w:p w14:paraId="598DA07E" w14:textId="77777777" w:rsidR="00886CF9" w:rsidRPr="00925F26" w:rsidRDefault="00886CF9" w:rsidP="00925F26">
      <w:pPr>
        <w:jc w:val="both"/>
        <w:rPr>
          <w:color w:val="000000" w:themeColor="text1"/>
          <w:sz w:val="16"/>
          <w:szCs w:val="16"/>
        </w:rPr>
      </w:pPr>
    </w:p>
    <w:p w14:paraId="2952D4B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января 1945 заключен договор о перемирии между СССР и Венгрией (4962).</w:t>
      </w:r>
    </w:p>
    <w:p w14:paraId="69B7739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DDAD634" w14:textId="77777777" w:rsidR="00886CF9" w:rsidRPr="00925F26" w:rsidRDefault="00886CF9" w:rsidP="00925F26">
      <w:pPr>
        <w:jc w:val="both"/>
        <w:rPr>
          <w:color w:val="000000" w:themeColor="text1"/>
          <w:sz w:val="16"/>
          <w:szCs w:val="16"/>
        </w:rPr>
      </w:pPr>
      <w:r w:rsidRPr="00925F26">
        <w:rPr>
          <w:bCs/>
          <w:color w:val="000000" w:themeColor="text1"/>
          <w:sz w:val="16"/>
          <w:szCs w:val="16"/>
        </w:rPr>
        <w:t>20 января</w:t>
      </w:r>
      <w:r w:rsidRPr="00925F26">
        <w:rPr>
          <w:color w:val="000000" w:themeColor="text1"/>
          <w:sz w:val="16"/>
          <w:szCs w:val="16"/>
        </w:rPr>
        <w:t xml:space="preserve"> в 1945 году подписание в Москве соглашения о перемирии между СССР, США и Великобританией с одной стороны и Венгрией - с другой (15015).</w:t>
      </w:r>
    </w:p>
    <w:p w14:paraId="0F585B04" w14:textId="77777777" w:rsidR="00886CF9" w:rsidRPr="00925F26" w:rsidRDefault="00886CF9" w:rsidP="00925F26">
      <w:pPr>
        <w:jc w:val="both"/>
        <w:rPr>
          <w:color w:val="000000" w:themeColor="text1"/>
          <w:sz w:val="16"/>
          <w:szCs w:val="16"/>
        </w:rPr>
      </w:pPr>
    </w:p>
    <w:p w14:paraId="4BA85E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January 1945 Hungarian armistice (270).</w:t>
      </w:r>
    </w:p>
    <w:p w14:paraId="154E85F6" w14:textId="77777777" w:rsidR="00C2313B" w:rsidRPr="00925F26" w:rsidRDefault="00C2313B" w:rsidP="00925F26">
      <w:pPr>
        <w:autoSpaceDE w:val="0"/>
        <w:autoSpaceDN w:val="0"/>
        <w:adjustRightInd w:val="0"/>
        <w:jc w:val="both"/>
        <w:rPr>
          <w:color w:val="000000" w:themeColor="text1"/>
          <w:sz w:val="16"/>
          <w:szCs w:val="16"/>
        </w:rPr>
      </w:pPr>
    </w:p>
    <w:p w14:paraId="0075FC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Венгрия подписала перемирие (270) - в лице временного Дебреценского правительства (2248,1).</w:t>
      </w:r>
    </w:p>
    <w:p w14:paraId="495F7F5C" w14:textId="77777777" w:rsidR="00C2313B" w:rsidRPr="00925F26" w:rsidRDefault="00C2313B" w:rsidP="00925F26">
      <w:pPr>
        <w:autoSpaceDE w:val="0"/>
        <w:autoSpaceDN w:val="0"/>
        <w:adjustRightInd w:val="0"/>
        <w:jc w:val="both"/>
        <w:rPr>
          <w:color w:val="000000" w:themeColor="text1"/>
          <w:sz w:val="16"/>
          <w:szCs w:val="16"/>
        </w:rPr>
      </w:pPr>
    </w:p>
    <w:p w14:paraId="6FA5C4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союзники подписали перемирие с Венгрией (2100).</w:t>
      </w:r>
    </w:p>
    <w:p w14:paraId="457A5810" w14:textId="77777777" w:rsidR="00C2313B" w:rsidRPr="00925F26" w:rsidRDefault="00C2313B" w:rsidP="00925F26">
      <w:pPr>
        <w:autoSpaceDE w:val="0"/>
        <w:autoSpaceDN w:val="0"/>
        <w:adjustRightInd w:val="0"/>
        <w:jc w:val="both"/>
        <w:rPr>
          <w:color w:val="000000" w:themeColor="text1"/>
          <w:sz w:val="16"/>
          <w:szCs w:val="16"/>
        </w:rPr>
      </w:pPr>
    </w:p>
    <w:p w14:paraId="019134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г. Временное правительство Венгрии, организованное на востоке страны при советской помощи, подписало перемирие с СССР (3871).</w:t>
      </w:r>
    </w:p>
    <w:p w14:paraId="3AA957FF" w14:textId="77777777" w:rsidR="00C2313B" w:rsidRPr="00925F26" w:rsidRDefault="00C2313B" w:rsidP="00925F26">
      <w:pPr>
        <w:autoSpaceDE w:val="0"/>
        <w:autoSpaceDN w:val="0"/>
        <w:adjustRightInd w:val="0"/>
        <w:jc w:val="both"/>
        <w:rPr>
          <w:color w:val="000000" w:themeColor="text1"/>
          <w:sz w:val="16"/>
          <w:szCs w:val="16"/>
        </w:rPr>
      </w:pPr>
    </w:p>
    <w:p w14:paraId="0DA1A5F0" w14:textId="77777777" w:rsidR="00C2313B"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0D678E08" w14:textId="77777777" w:rsidR="00C2313B" w:rsidRPr="00925F26" w:rsidRDefault="00C2313B" w:rsidP="00925F26">
      <w:pPr>
        <w:autoSpaceDE w:val="0"/>
        <w:autoSpaceDN w:val="0"/>
        <w:adjustRightInd w:val="0"/>
        <w:jc w:val="both"/>
        <w:rPr>
          <w:iCs/>
          <w:color w:val="000000" w:themeColor="text1"/>
          <w:sz w:val="16"/>
          <w:szCs w:val="16"/>
          <w:lang w:val="en-US"/>
        </w:rPr>
      </w:pPr>
    </w:p>
    <w:p w14:paraId="58C071F7"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On January 20, 1945, LeMay took command of XXI Bomber Command. On the night of March 9-10, without telling Arnold in advance what he was going to do in case it failed, LeMay launched a massive mission -- 334 B-29s - to drop incendiary bombs on Tokyo. It was the most destructive raid in history. The official casualty report listed 83,793 dead and 40,918 wounded. Sixteen square miles of Tokyo were destroyed that night. In Operation Starvation, conducted concurrently with the strategic bombing campaign, the B-29s mined the waters along key stretches of the Japanese coast, cutting off an important mode of domestic transportation as well as the import of food and raw materials.</w:t>
      </w:r>
    </w:p>
    <w:p w14:paraId="69E0FF3F" w14:textId="77777777" w:rsidR="00C2313B" w:rsidRPr="00925F26" w:rsidRDefault="00C2313B" w:rsidP="00925F26">
      <w:pPr>
        <w:autoSpaceDE w:val="0"/>
        <w:autoSpaceDN w:val="0"/>
        <w:adjustRightInd w:val="0"/>
        <w:jc w:val="both"/>
        <w:rPr>
          <w:color w:val="000000" w:themeColor="text1"/>
          <w:sz w:val="16"/>
          <w:szCs w:val="16"/>
          <w:lang w:val="en-US"/>
        </w:rPr>
      </w:pPr>
    </w:p>
    <w:p w14:paraId="77AD11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334 В-29 бомбили Токио зажигательными бомбами и погибло почти 84 тыс. человек на 16 кв. милях (1090).</w:t>
      </w:r>
    </w:p>
    <w:p w14:paraId="4572AD54" w14:textId="77777777" w:rsidR="00C2313B" w:rsidRPr="00925F26" w:rsidRDefault="00C2313B" w:rsidP="00925F26">
      <w:pPr>
        <w:autoSpaceDE w:val="0"/>
        <w:autoSpaceDN w:val="0"/>
        <w:adjustRightInd w:val="0"/>
        <w:jc w:val="both"/>
        <w:rPr>
          <w:color w:val="000000" w:themeColor="text1"/>
          <w:sz w:val="16"/>
          <w:szCs w:val="16"/>
        </w:rPr>
      </w:pPr>
    </w:p>
    <w:p w14:paraId="5B70587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Ф.Д.Р. был иннагурирован на 4-й срок (2100).</w:t>
      </w:r>
    </w:p>
    <w:p w14:paraId="7FFF9F9A" w14:textId="77777777" w:rsidR="00C2313B" w:rsidRPr="00925F26" w:rsidRDefault="00C2313B" w:rsidP="00925F26">
      <w:pPr>
        <w:autoSpaceDE w:val="0"/>
        <w:autoSpaceDN w:val="0"/>
        <w:adjustRightInd w:val="0"/>
        <w:jc w:val="both"/>
        <w:rPr>
          <w:color w:val="000000" w:themeColor="text1"/>
          <w:sz w:val="16"/>
          <w:szCs w:val="16"/>
        </w:rPr>
      </w:pPr>
    </w:p>
    <w:p w14:paraId="0C9AE2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января 1945 года. фирма Накадзима получила официальную заявку командования армейской авиации на специальный штурмовой самолет Ки-115 "Цурюги" (Сабля). В соответствии с этой заявкой требовалось создать простой дешевый самолет для одноразовой самоубийственной атаки вражеского корабля. При этом он должен был быть прост в производстве и пилотировании и нести одну бомбу среднего калибра. Шасси должно быть неубираемым, но скорость при этом в крейсерском режиме должна быть не менее 340 км/час., а в момент атаки при пикировании - не менее 515 км/ час. Для силовой установки предлагалось использовать любой доступный звездообразный двигатель мощностью от 800 до 1300 л.с.</w:t>
      </w:r>
    </w:p>
    <w:p w14:paraId="2CE60B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Эскизная проработка проекта проводилась в Исследовательском институте города Митака совместно с фирмой Ота Сейсакусё (дочерняя фирма корпорации Накадзима), под руководством инженера Аори Кунихара.</w:t>
      </w:r>
    </w:p>
    <w:p w14:paraId="10509F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то, что самолет предполагалось выпускать в маленьких мастерских неквалифицированным персоналом из доступных материалов, крыло сделали вполне современ-ным - из дюралевых сплавов. Вот только площадь его, как выяснилось впоследствии, оказалась маловатой. Первый вариант крыла не имел механизации и предусматривал только элероны.</w:t>
      </w:r>
    </w:p>
    <w:p w14:paraId="7FFFE7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Фюзеляж имел смешанную конструкцию, основу которой составлял каркас, сваренный из стальных труб. Капот двигателя изготавливался из жести, часть фюзеляжа между капотом и кабиной имела дюралевую обшивку, а хвостовой отсек - полотняную. В районе центроплана, снизу, в фюзеляже было углубление, в котором в полуутопленном положении размещалась одна 800 кг бомба. Такое решение снижало сопротивление самолета, но затрудняло процесс подвески оружия, хотя для единственного вылета с этим решили смириться.</w:t>
      </w:r>
    </w:p>
    <w:p w14:paraId="175711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Хвостовое оперение было классической конструкции, состоящее из киля и подкосного стабилизатора, выполненных из дерева с фанерной обшивкой. Рули обшивались полотном.</w:t>
      </w:r>
    </w:p>
    <w:p w14:paraId="024890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середине фюзеляжа размещалась открытая кабина с сидением для пилота-смертника и минимальным набором приборов. Голова пилота закрывалась козырьком и гаргротом, имеющим два прозрачных иллюминатора. В лобовое стек-то был вставлен простейший телескопический прицел, который облегчал наведение самолета на цель в момент атаки.</w:t>
      </w:r>
    </w:p>
    <w:p w14:paraId="34E444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Главная особенность силовой установки состояла в том, что на самолет можно было установить любой, доступный в данный момент двигатель, мощностью не менее 800 л.с. Для этого была спроектирована специальная моторама, имеющая четыре универсальные точки крепления двигателя, однако все построенные самолеты имели один тип двигателя - Накадзима 23 (Ха-35 - армейский тип 99. модель 2). Он представлял собой двухрядную 14-и цилиндровую звезду воздушного охлаждения. взлетной мощностью 1130 л.с. и 960 л.с. на высоте 6000 м. На вал устанавливался трехлопастный металлический винт постоянного шага, диаметром 2.9 м. Топливный бак размещался в фюзеляже над центропланом. Его объем - 450 литров, что должно было обеспечить дальность полета в 1000 - 1200 км.</w:t>
      </w:r>
    </w:p>
    <w:p w14:paraId="342D46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Масляный радиатор трубчатой конструкции в специальном обтекателе крепился снизу справа, между капотом и крылом.</w:t>
      </w:r>
    </w:p>
    <w:p w14:paraId="47EEC1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Шасси было классической схемы и состояло из основных стоек, сбрасываемых сразу после взлета, и хвостового костыля. Первый вариант шасси изготавливался из стальных труб и не имел амортизации и тормозов (4800).</w:t>
      </w:r>
    </w:p>
    <w:p w14:paraId="2D7B86B0" w14:textId="77777777" w:rsidR="00C2313B" w:rsidRPr="00925F26" w:rsidRDefault="00C2313B" w:rsidP="00925F26">
      <w:pPr>
        <w:autoSpaceDE w:val="0"/>
        <w:autoSpaceDN w:val="0"/>
        <w:adjustRightInd w:val="0"/>
        <w:jc w:val="both"/>
        <w:rPr>
          <w:color w:val="000000" w:themeColor="text1"/>
          <w:sz w:val="16"/>
          <w:szCs w:val="16"/>
        </w:rPr>
      </w:pPr>
    </w:p>
    <w:p w14:paraId="76EAD93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A9CE80E" w14:textId="77777777" w:rsidR="00C2313B" w:rsidRPr="00925F26" w:rsidRDefault="00C2313B" w:rsidP="00925F26">
      <w:pPr>
        <w:autoSpaceDE w:val="0"/>
        <w:autoSpaceDN w:val="0"/>
        <w:adjustRightInd w:val="0"/>
        <w:jc w:val="both"/>
        <w:rPr>
          <w:iCs/>
          <w:color w:val="000000" w:themeColor="text1"/>
          <w:sz w:val="16"/>
          <w:szCs w:val="16"/>
        </w:rPr>
      </w:pPr>
    </w:p>
    <w:p w14:paraId="607F34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г. в соответствии с приказом НКАП Сухому поручили оснастить Ер-2 дизелями АЧ-31. Заданием предусматривалось, чтобы бомбардировщик с экипажем из пяти человек летал со скоростью до 415 км/ч у земли и 495 км/ч - на высоте 6000 м, его дальность с 2000 кг бомб при нормальном полетном весе была не ниже 2500 км, а при перегрузочном весе с той же нагрузкой - 5000 км (с 1000 кг бомб - 6000 км), бомбовую нагрузку 4000 кг самолет должен был доставлять на расстояние 2500 км. Тем же документом оговаривалось, чтобы Ер-2 мог лететь на одном двигателе при весе 16 000 кг. Разбег при нормальном полетном весе 15 850 кг ограничивался 600 м.</w:t>
      </w:r>
    </w:p>
    <w:p w14:paraId="0B0773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оборонительного вооружения, то в носовой установке сохранялся 12,7-мм пулемет с боезапасом 195 патронов. В верхней установке СЭБ - две 20-мм пушки с общим боекомплектом 400 патронов, а в нижней люковой НЭУ - одно такое же орудие с 200 патронами.</w:t>
      </w:r>
    </w:p>
    <w:p w14:paraId="37D963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 предписывалось выпустить на заводские летные испытания к 15 декабря 1945 г. Готовность летного экземпляра Ер-2БМ к январю 1946 г. составила 65%, но его не завершили. Завод № 39 построил 391 самолет Ер-2, последний из них покинул сборочный цех в 1945 г. Выпуск двигателей АЧ-ЗОБ прекратился в том же году. К тому времени в СССР велось копирование американской "летающей крепости" В-29, получившей у нас обозначение Ту-4. Этот самолет по всем параметрам превзошел Ер-2, а освоение его серийного производства позволило поднять отечественную промышленность на качественно новый технологический уровень.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925F26" w14:paraId="70E1F273" w14:textId="77777777">
        <w:tc>
          <w:tcPr>
            <w:tcW w:w="1868" w:type="dxa"/>
            <w:tcBorders>
              <w:top w:val="single" w:sz="12" w:space="0" w:color="auto"/>
            </w:tcBorders>
          </w:tcPr>
          <w:p w14:paraId="29CDF863"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Borders>
              <w:top w:val="single" w:sz="12" w:space="0" w:color="auto"/>
            </w:tcBorders>
          </w:tcPr>
          <w:p w14:paraId="5DBEBC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868" w:type="dxa"/>
            <w:tcBorders>
              <w:top w:val="single" w:sz="12" w:space="0" w:color="auto"/>
            </w:tcBorders>
          </w:tcPr>
          <w:p w14:paraId="795A8E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868" w:type="dxa"/>
            <w:tcBorders>
              <w:top w:val="single" w:sz="12" w:space="0" w:color="auto"/>
            </w:tcBorders>
          </w:tcPr>
          <w:p w14:paraId="221F4B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868" w:type="dxa"/>
            <w:tcBorders>
              <w:top w:val="single" w:sz="12" w:space="0" w:color="auto"/>
            </w:tcBorders>
          </w:tcPr>
          <w:p w14:paraId="25ABB4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868" w:type="dxa"/>
            <w:tcBorders>
              <w:top w:val="single" w:sz="12" w:space="0" w:color="auto"/>
            </w:tcBorders>
          </w:tcPr>
          <w:p w14:paraId="473FAD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w:t>
            </w:r>
          </w:p>
        </w:tc>
      </w:tr>
      <w:tr w:rsidR="000F5689" w:rsidRPr="00925F26" w14:paraId="656B7B63" w14:textId="77777777">
        <w:tc>
          <w:tcPr>
            <w:tcW w:w="1868" w:type="dxa"/>
          </w:tcPr>
          <w:p w14:paraId="271F24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 № 18 (Воронеж)</w:t>
            </w:r>
          </w:p>
        </w:tc>
        <w:tc>
          <w:tcPr>
            <w:tcW w:w="1868" w:type="dxa"/>
          </w:tcPr>
          <w:p w14:paraId="70D002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1868" w:type="dxa"/>
          </w:tcPr>
          <w:p w14:paraId="76F165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25D191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73DA60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1BB763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FA43595" w14:textId="77777777">
        <w:tc>
          <w:tcPr>
            <w:tcW w:w="1868" w:type="dxa"/>
            <w:tcBorders>
              <w:bottom w:val="single" w:sz="12" w:space="0" w:color="auto"/>
            </w:tcBorders>
          </w:tcPr>
          <w:p w14:paraId="676983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 № 39 (Иркутск)</w:t>
            </w:r>
          </w:p>
        </w:tc>
        <w:tc>
          <w:tcPr>
            <w:tcW w:w="1868" w:type="dxa"/>
            <w:tcBorders>
              <w:bottom w:val="single" w:sz="12" w:space="0" w:color="auto"/>
            </w:tcBorders>
          </w:tcPr>
          <w:p w14:paraId="55DEB7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Borders>
              <w:bottom w:val="single" w:sz="12" w:space="0" w:color="auto"/>
            </w:tcBorders>
          </w:tcPr>
          <w:p w14:paraId="5C3383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Borders>
              <w:bottom w:val="single" w:sz="12" w:space="0" w:color="auto"/>
            </w:tcBorders>
          </w:tcPr>
          <w:p w14:paraId="3F4398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868" w:type="dxa"/>
            <w:tcBorders>
              <w:bottom w:val="single" w:sz="12" w:space="0" w:color="auto"/>
            </w:tcBorders>
          </w:tcPr>
          <w:p w14:paraId="1F394B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148</w:t>
            </w:r>
          </w:p>
        </w:tc>
        <w:tc>
          <w:tcPr>
            <w:tcW w:w="1868" w:type="dxa"/>
            <w:tcBorders>
              <w:bottom w:val="single" w:sz="12" w:space="0" w:color="auto"/>
            </w:tcBorders>
          </w:tcPr>
          <w:p w14:paraId="741549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241</w:t>
            </w:r>
          </w:p>
        </w:tc>
      </w:tr>
    </w:tbl>
    <w:p w14:paraId="09A87B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семейства самолетов Ер-2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925F26" w14:paraId="3FE90EE2" w14:textId="77777777">
        <w:tc>
          <w:tcPr>
            <w:tcW w:w="1868" w:type="dxa"/>
            <w:tcBorders>
              <w:top w:val="single" w:sz="12" w:space="0" w:color="auto"/>
            </w:tcBorders>
          </w:tcPr>
          <w:p w14:paraId="1FA45B99"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Borders>
              <w:top w:val="single" w:sz="12" w:space="0" w:color="auto"/>
            </w:tcBorders>
          </w:tcPr>
          <w:p w14:paraId="7F5ACA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ДБ-240</w:t>
            </w:r>
          </w:p>
        </w:tc>
        <w:tc>
          <w:tcPr>
            <w:tcW w:w="1868" w:type="dxa"/>
            <w:tcBorders>
              <w:top w:val="single" w:sz="12" w:space="0" w:color="auto"/>
            </w:tcBorders>
          </w:tcPr>
          <w:p w14:paraId="591D73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1868" w:type="dxa"/>
            <w:tcBorders>
              <w:top w:val="single" w:sz="12" w:space="0" w:color="auto"/>
            </w:tcBorders>
          </w:tcPr>
          <w:p w14:paraId="59D9B2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1868" w:type="dxa"/>
            <w:tcBorders>
              <w:top w:val="single" w:sz="12" w:space="0" w:color="auto"/>
            </w:tcBorders>
          </w:tcPr>
          <w:p w14:paraId="0FB17B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1868" w:type="dxa"/>
            <w:tcBorders>
              <w:top w:val="single" w:sz="12" w:space="0" w:color="auto"/>
            </w:tcBorders>
          </w:tcPr>
          <w:p w14:paraId="26E525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Ер-20Н</w:t>
            </w:r>
          </w:p>
        </w:tc>
      </w:tr>
      <w:tr w:rsidR="000F5689" w:rsidRPr="00925F26" w14:paraId="34A7475F" w14:textId="77777777">
        <w:tc>
          <w:tcPr>
            <w:tcW w:w="1868" w:type="dxa"/>
          </w:tcPr>
          <w:p w14:paraId="6AECB7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Двигатели</w:t>
            </w:r>
          </w:p>
        </w:tc>
        <w:tc>
          <w:tcPr>
            <w:tcW w:w="1868" w:type="dxa"/>
          </w:tcPr>
          <w:p w14:paraId="16584E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М-105</w:t>
            </w:r>
          </w:p>
        </w:tc>
        <w:tc>
          <w:tcPr>
            <w:tcW w:w="1868" w:type="dxa"/>
          </w:tcPr>
          <w:p w14:paraId="54BE90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АМ-37</w:t>
            </w:r>
          </w:p>
        </w:tc>
        <w:tc>
          <w:tcPr>
            <w:tcW w:w="1868" w:type="dxa"/>
          </w:tcPr>
          <w:p w14:paraId="2DB06D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c>
          <w:tcPr>
            <w:tcW w:w="1868" w:type="dxa"/>
          </w:tcPr>
          <w:p w14:paraId="646D10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c>
          <w:tcPr>
            <w:tcW w:w="1868" w:type="dxa"/>
          </w:tcPr>
          <w:p w14:paraId="4730C2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09D55A70" w14:textId="77777777">
        <w:tc>
          <w:tcPr>
            <w:tcW w:w="1868" w:type="dxa"/>
          </w:tcPr>
          <w:p w14:paraId="1069D9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 л.с.</w:t>
            </w:r>
          </w:p>
        </w:tc>
        <w:tc>
          <w:tcPr>
            <w:tcW w:w="1868" w:type="dxa"/>
          </w:tcPr>
          <w:p w14:paraId="47D4B8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2x1050</w:t>
            </w:r>
          </w:p>
        </w:tc>
        <w:tc>
          <w:tcPr>
            <w:tcW w:w="1868" w:type="dxa"/>
          </w:tcPr>
          <w:p w14:paraId="46B427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2x1400</w:t>
            </w:r>
          </w:p>
        </w:tc>
        <w:tc>
          <w:tcPr>
            <w:tcW w:w="1868" w:type="dxa"/>
          </w:tcPr>
          <w:p w14:paraId="085F4D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2x1500</w:t>
            </w:r>
          </w:p>
        </w:tc>
        <w:tc>
          <w:tcPr>
            <w:tcW w:w="1868" w:type="dxa"/>
          </w:tcPr>
          <w:p w14:paraId="4B3B86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2x1500</w:t>
            </w:r>
          </w:p>
        </w:tc>
        <w:tc>
          <w:tcPr>
            <w:tcW w:w="1868" w:type="dxa"/>
          </w:tcPr>
          <w:p w14:paraId="45B347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2x1500</w:t>
            </w:r>
          </w:p>
        </w:tc>
      </w:tr>
      <w:tr w:rsidR="000F5689" w:rsidRPr="00925F26" w14:paraId="3EC2BBA6" w14:textId="77777777">
        <w:tc>
          <w:tcPr>
            <w:tcW w:w="1868" w:type="dxa"/>
          </w:tcPr>
          <w:p w14:paraId="58FB36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1868" w:type="dxa"/>
          </w:tcPr>
          <w:p w14:paraId="3868C4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21,65</w:t>
            </w:r>
          </w:p>
        </w:tc>
        <w:tc>
          <w:tcPr>
            <w:tcW w:w="1868" w:type="dxa"/>
          </w:tcPr>
          <w:p w14:paraId="264521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21,65</w:t>
            </w:r>
          </w:p>
        </w:tc>
        <w:tc>
          <w:tcPr>
            <w:tcW w:w="1868" w:type="dxa"/>
          </w:tcPr>
          <w:p w14:paraId="452709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21,65</w:t>
            </w:r>
          </w:p>
        </w:tc>
        <w:tc>
          <w:tcPr>
            <w:tcW w:w="1868" w:type="dxa"/>
          </w:tcPr>
          <w:p w14:paraId="05961E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23.08</w:t>
            </w:r>
          </w:p>
        </w:tc>
        <w:tc>
          <w:tcPr>
            <w:tcW w:w="1868" w:type="dxa"/>
          </w:tcPr>
          <w:p w14:paraId="6B15CF6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23,08</w:t>
            </w:r>
          </w:p>
        </w:tc>
      </w:tr>
      <w:tr w:rsidR="000F5689" w:rsidRPr="00925F26" w14:paraId="401EF1EC" w14:textId="77777777">
        <w:tc>
          <w:tcPr>
            <w:tcW w:w="1868" w:type="dxa"/>
          </w:tcPr>
          <w:p w14:paraId="4FA594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1868" w:type="dxa"/>
          </w:tcPr>
          <w:p w14:paraId="1E37A6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16,322</w:t>
            </w:r>
          </w:p>
        </w:tc>
        <w:tc>
          <w:tcPr>
            <w:tcW w:w="1868" w:type="dxa"/>
          </w:tcPr>
          <w:p w14:paraId="57EAAE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16,322</w:t>
            </w:r>
          </w:p>
        </w:tc>
        <w:tc>
          <w:tcPr>
            <w:tcW w:w="1868" w:type="dxa"/>
          </w:tcPr>
          <w:p w14:paraId="612E58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16,322</w:t>
            </w:r>
          </w:p>
        </w:tc>
        <w:tc>
          <w:tcPr>
            <w:tcW w:w="1868" w:type="dxa"/>
          </w:tcPr>
          <w:p w14:paraId="4A1768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16,58</w:t>
            </w:r>
          </w:p>
        </w:tc>
        <w:tc>
          <w:tcPr>
            <w:tcW w:w="1868" w:type="dxa"/>
          </w:tcPr>
          <w:p w14:paraId="7F0A10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2DDA2EB6" w14:textId="77777777">
        <w:tc>
          <w:tcPr>
            <w:tcW w:w="1868" w:type="dxa"/>
          </w:tcPr>
          <w:p w14:paraId="7E33AF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w:t>
            </w:r>
          </w:p>
        </w:tc>
        <w:tc>
          <w:tcPr>
            <w:tcW w:w="1868" w:type="dxa"/>
          </w:tcPr>
          <w:p w14:paraId="1FEFB0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72,1</w:t>
            </w:r>
          </w:p>
        </w:tc>
        <w:tc>
          <w:tcPr>
            <w:tcW w:w="1868" w:type="dxa"/>
          </w:tcPr>
          <w:p w14:paraId="495D41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72,1</w:t>
            </w:r>
          </w:p>
        </w:tc>
        <w:tc>
          <w:tcPr>
            <w:tcW w:w="1868" w:type="dxa"/>
          </w:tcPr>
          <w:p w14:paraId="19AB32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72,1</w:t>
            </w:r>
          </w:p>
        </w:tc>
        <w:tc>
          <w:tcPr>
            <w:tcW w:w="1868" w:type="dxa"/>
          </w:tcPr>
          <w:p w14:paraId="57B391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79,06</w:t>
            </w:r>
          </w:p>
        </w:tc>
        <w:tc>
          <w:tcPr>
            <w:tcW w:w="1868" w:type="dxa"/>
          </w:tcPr>
          <w:p w14:paraId="1EE763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79,06</w:t>
            </w:r>
          </w:p>
        </w:tc>
      </w:tr>
      <w:tr w:rsidR="000F5689" w:rsidRPr="00925F26" w14:paraId="18FAD2C0" w14:textId="77777777">
        <w:tc>
          <w:tcPr>
            <w:tcW w:w="1868" w:type="dxa"/>
          </w:tcPr>
          <w:p w14:paraId="263EC1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868" w:type="dxa"/>
          </w:tcPr>
          <w:p w14:paraId="50922CFB"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12D47F17"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7D1C4A07"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4150E2FB"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57209B83"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2BC6B4E5" w14:textId="77777777">
        <w:tc>
          <w:tcPr>
            <w:tcW w:w="1868" w:type="dxa"/>
          </w:tcPr>
          <w:p w14:paraId="6973C1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нормальный</w:t>
            </w:r>
          </w:p>
        </w:tc>
        <w:tc>
          <w:tcPr>
            <w:tcW w:w="1868" w:type="dxa"/>
          </w:tcPr>
          <w:p w14:paraId="18CA9D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11 302</w:t>
            </w:r>
          </w:p>
        </w:tc>
        <w:tc>
          <w:tcPr>
            <w:tcW w:w="1868" w:type="dxa"/>
          </w:tcPr>
          <w:p w14:paraId="2FF9E6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12 340</w:t>
            </w:r>
          </w:p>
        </w:tc>
        <w:tc>
          <w:tcPr>
            <w:tcW w:w="1868" w:type="dxa"/>
          </w:tcPr>
          <w:p w14:paraId="210336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13 500</w:t>
            </w:r>
          </w:p>
        </w:tc>
        <w:tc>
          <w:tcPr>
            <w:tcW w:w="1868" w:type="dxa"/>
          </w:tcPr>
          <w:p w14:paraId="134D27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14 850</w:t>
            </w:r>
          </w:p>
        </w:tc>
        <w:tc>
          <w:tcPr>
            <w:tcW w:w="1868" w:type="dxa"/>
          </w:tcPr>
          <w:p w14:paraId="11EF7E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17 600</w:t>
            </w:r>
          </w:p>
        </w:tc>
      </w:tr>
      <w:tr w:rsidR="000F5689" w:rsidRPr="00925F26" w14:paraId="477E9ED5" w14:textId="77777777">
        <w:tc>
          <w:tcPr>
            <w:tcW w:w="1868" w:type="dxa"/>
          </w:tcPr>
          <w:p w14:paraId="011687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максимальный</w:t>
            </w:r>
          </w:p>
        </w:tc>
        <w:tc>
          <w:tcPr>
            <w:tcW w:w="1868" w:type="dxa"/>
          </w:tcPr>
          <w:p w14:paraId="584C25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13 700</w:t>
            </w:r>
          </w:p>
        </w:tc>
        <w:tc>
          <w:tcPr>
            <w:tcW w:w="1868" w:type="dxa"/>
          </w:tcPr>
          <w:p w14:paraId="7C3A53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13 500</w:t>
            </w:r>
          </w:p>
        </w:tc>
        <w:tc>
          <w:tcPr>
            <w:tcW w:w="1868" w:type="dxa"/>
          </w:tcPr>
          <w:p w14:paraId="64A76C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14 780</w:t>
            </w:r>
          </w:p>
        </w:tc>
        <w:tc>
          <w:tcPr>
            <w:tcW w:w="1868" w:type="dxa"/>
          </w:tcPr>
          <w:p w14:paraId="060AC2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18 100</w:t>
            </w:r>
          </w:p>
        </w:tc>
        <w:tc>
          <w:tcPr>
            <w:tcW w:w="1868" w:type="dxa"/>
          </w:tcPr>
          <w:p w14:paraId="65DC17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2114817D" w14:textId="77777777">
        <w:tc>
          <w:tcPr>
            <w:tcW w:w="1868" w:type="dxa"/>
          </w:tcPr>
          <w:p w14:paraId="5FA02B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868" w:type="dxa"/>
          </w:tcPr>
          <w:p w14:paraId="1EB534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7076</w:t>
            </w:r>
          </w:p>
        </w:tc>
        <w:tc>
          <w:tcPr>
            <w:tcW w:w="1868" w:type="dxa"/>
          </w:tcPr>
          <w:p w14:paraId="28A6E5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25B764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079F54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020</w:t>
            </w:r>
          </w:p>
        </w:tc>
        <w:tc>
          <w:tcPr>
            <w:tcW w:w="1868" w:type="dxa"/>
          </w:tcPr>
          <w:p w14:paraId="067066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5737DE68" w14:textId="77777777">
        <w:tc>
          <w:tcPr>
            <w:tcW w:w="1868" w:type="dxa"/>
          </w:tcPr>
          <w:p w14:paraId="2AB861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топлива, кг:</w:t>
            </w:r>
          </w:p>
        </w:tc>
        <w:tc>
          <w:tcPr>
            <w:tcW w:w="1868" w:type="dxa"/>
          </w:tcPr>
          <w:p w14:paraId="7E85AFA1"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69AFAD65"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139BE9EA"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5F6970E6"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6B1D1EEA"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A8C8949" w14:textId="77777777">
        <w:tc>
          <w:tcPr>
            <w:tcW w:w="1868" w:type="dxa"/>
          </w:tcPr>
          <w:p w14:paraId="155C2F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нормальный</w:t>
            </w:r>
          </w:p>
        </w:tc>
        <w:tc>
          <w:tcPr>
            <w:tcW w:w="1868" w:type="dxa"/>
          </w:tcPr>
          <w:p w14:paraId="0C879A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2300</w:t>
            </w:r>
          </w:p>
        </w:tc>
        <w:tc>
          <w:tcPr>
            <w:tcW w:w="1868" w:type="dxa"/>
          </w:tcPr>
          <w:p w14:paraId="493D8C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1800</w:t>
            </w:r>
          </w:p>
        </w:tc>
        <w:tc>
          <w:tcPr>
            <w:tcW w:w="1868" w:type="dxa"/>
          </w:tcPr>
          <w:p w14:paraId="594564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5632F7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2100</w:t>
            </w:r>
          </w:p>
        </w:tc>
        <w:tc>
          <w:tcPr>
            <w:tcW w:w="1868" w:type="dxa"/>
          </w:tcPr>
          <w:p w14:paraId="7C5F99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5DC0A273" w14:textId="77777777">
        <w:tc>
          <w:tcPr>
            <w:tcW w:w="1868" w:type="dxa"/>
          </w:tcPr>
          <w:p w14:paraId="7C7BAE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максимальный</w:t>
            </w:r>
          </w:p>
        </w:tc>
        <w:tc>
          <w:tcPr>
            <w:tcW w:w="1868" w:type="dxa"/>
          </w:tcPr>
          <w:p w14:paraId="2FDD98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4650*</w:t>
            </w:r>
          </w:p>
        </w:tc>
        <w:tc>
          <w:tcPr>
            <w:tcW w:w="1868" w:type="dxa"/>
          </w:tcPr>
          <w:p w14:paraId="633526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2865</w:t>
            </w:r>
          </w:p>
        </w:tc>
        <w:tc>
          <w:tcPr>
            <w:tcW w:w="1868" w:type="dxa"/>
          </w:tcPr>
          <w:p w14:paraId="091DE6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5B1161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4200</w:t>
            </w:r>
          </w:p>
        </w:tc>
        <w:tc>
          <w:tcPr>
            <w:tcW w:w="1868" w:type="dxa"/>
          </w:tcPr>
          <w:p w14:paraId="44DC98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0EE0AAA3" w14:textId="77777777">
        <w:tc>
          <w:tcPr>
            <w:tcW w:w="1868" w:type="dxa"/>
          </w:tcPr>
          <w:p w14:paraId="4224FD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максимальная, км/ч:</w:t>
            </w:r>
          </w:p>
        </w:tc>
        <w:tc>
          <w:tcPr>
            <w:tcW w:w="1868" w:type="dxa"/>
          </w:tcPr>
          <w:p w14:paraId="20119AAA"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5E673423"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38480E63"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3F5CC67B"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65372058"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0B811E32" w14:textId="77777777">
        <w:tc>
          <w:tcPr>
            <w:tcW w:w="1868" w:type="dxa"/>
          </w:tcPr>
          <w:p w14:paraId="5BFEDA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 земли</w:t>
            </w:r>
          </w:p>
        </w:tc>
        <w:tc>
          <w:tcPr>
            <w:tcW w:w="1868" w:type="dxa"/>
          </w:tcPr>
          <w:p w14:paraId="5B0F40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395</w:t>
            </w:r>
          </w:p>
        </w:tc>
        <w:tc>
          <w:tcPr>
            <w:tcW w:w="1868" w:type="dxa"/>
          </w:tcPr>
          <w:p w14:paraId="731EB6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410</w:t>
            </w:r>
          </w:p>
        </w:tc>
        <w:tc>
          <w:tcPr>
            <w:tcW w:w="1868" w:type="dxa"/>
          </w:tcPr>
          <w:p w14:paraId="7C5A7A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36240D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360</w:t>
            </w:r>
          </w:p>
        </w:tc>
        <w:tc>
          <w:tcPr>
            <w:tcW w:w="1868" w:type="dxa"/>
          </w:tcPr>
          <w:p w14:paraId="2030CE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380</w:t>
            </w:r>
          </w:p>
        </w:tc>
      </w:tr>
      <w:tr w:rsidR="000F5689" w:rsidRPr="00925F26" w14:paraId="6A0B2BF5" w14:textId="77777777">
        <w:tc>
          <w:tcPr>
            <w:tcW w:w="1868" w:type="dxa"/>
          </w:tcPr>
          <w:p w14:paraId="737021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высоте, м</w:t>
            </w:r>
          </w:p>
        </w:tc>
        <w:tc>
          <w:tcPr>
            <w:tcW w:w="1868" w:type="dxa"/>
          </w:tcPr>
          <w:p w14:paraId="2FC8EE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445/4250</w:t>
            </w:r>
          </w:p>
        </w:tc>
        <w:tc>
          <w:tcPr>
            <w:tcW w:w="1868" w:type="dxa"/>
          </w:tcPr>
          <w:p w14:paraId="4A829D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519/6950</w:t>
            </w:r>
          </w:p>
        </w:tc>
        <w:tc>
          <w:tcPr>
            <w:tcW w:w="1868" w:type="dxa"/>
          </w:tcPr>
          <w:p w14:paraId="0FF3CC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430/6000</w:t>
            </w:r>
          </w:p>
        </w:tc>
        <w:tc>
          <w:tcPr>
            <w:tcW w:w="1868" w:type="dxa"/>
          </w:tcPr>
          <w:p w14:paraId="170B53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420/6000</w:t>
            </w:r>
          </w:p>
        </w:tc>
        <w:tc>
          <w:tcPr>
            <w:tcW w:w="1868" w:type="dxa"/>
          </w:tcPr>
          <w:p w14:paraId="287D4D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485/6000</w:t>
            </w:r>
          </w:p>
        </w:tc>
      </w:tr>
      <w:tr w:rsidR="000F5689" w:rsidRPr="00925F26" w14:paraId="1A96909C" w14:textId="77777777">
        <w:tc>
          <w:tcPr>
            <w:tcW w:w="1868" w:type="dxa"/>
          </w:tcPr>
          <w:p w14:paraId="49A23D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868" w:type="dxa"/>
          </w:tcPr>
          <w:p w14:paraId="70204B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7700</w:t>
            </w:r>
          </w:p>
        </w:tc>
        <w:tc>
          <w:tcPr>
            <w:tcW w:w="1868" w:type="dxa"/>
          </w:tcPr>
          <w:p w14:paraId="21FC47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10 700</w:t>
            </w:r>
          </w:p>
        </w:tc>
        <w:tc>
          <w:tcPr>
            <w:tcW w:w="1868" w:type="dxa"/>
          </w:tcPr>
          <w:p w14:paraId="664E3F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6250</w:t>
            </w:r>
          </w:p>
        </w:tc>
        <w:tc>
          <w:tcPr>
            <w:tcW w:w="1868" w:type="dxa"/>
          </w:tcPr>
          <w:p w14:paraId="62F73A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7200</w:t>
            </w:r>
          </w:p>
        </w:tc>
        <w:tc>
          <w:tcPr>
            <w:tcW w:w="1868" w:type="dxa"/>
          </w:tcPr>
          <w:p w14:paraId="418EB3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55BCA574" w14:textId="77777777">
        <w:tc>
          <w:tcPr>
            <w:tcW w:w="1868" w:type="dxa"/>
          </w:tcPr>
          <w:p w14:paraId="1D365F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868" w:type="dxa"/>
          </w:tcPr>
          <w:p w14:paraId="49E960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17,4</w:t>
            </w:r>
          </w:p>
        </w:tc>
        <w:tc>
          <w:tcPr>
            <w:tcW w:w="1868" w:type="dxa"/>
          </w:tcPr>
          <w:p w14:paraId="191F1C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868" w:type="dxa"/>
          </w:tcPr>
          <w:p w14:paraId="598792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410E26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30,4</w:t>
            </w:r>
          </w:p>
        </w:tc>
        <w:tc>
          <w:tcPr>
            <w:tcW w:w="1868" w:type="dxa"/>
          </w:tcPr>
          <w:p w14:paraId="56ECCE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r w:rsidR="000F5689" w:rsidRPr="00925F26" w14:paraId="194E228D" w14:textId="77777777">
        <w:tc>
          <w:tcPr>
            <w:tcW w:w="1868" w:type="dxa"/>
          </w:tcPr>
          <w:p w14:paraId="41242F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Дальность, км:</w:t>
            </w:r>
          </w:p>
        </w:tc>
        <w:tc>
          <w:tcPr>
            <w:tcW w:w="1868" w:type="dxa"/>
          </w:tcPr>
          <w:p w14:paraId="2448C613"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16E37AE8"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2FEECC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868" w:type="dxa"/>
          </w:tcPr>
          <w:p w14:paraId="77152544" w14:textId="77777777" w:rsidR="00C2313B" w:rsidRPr="00925F26" w:rsidRDefault="00C2313B" w:rsidP="00925F26">
            <w:pPr>
              <w:autoSpaceDE w:val="0"/>
              <w:autoSpaceDN w:val="0"/>
              <w:adjustRightInd w:val="0"/>
              <w:jc w:val="both"/>
              <w:rPr>
                <w:color w:val="000000" w:themeColor="text1"/>
                <w:sz w:val="16"/>
                <w:szCs w:val="16"/>
              </w:rPr>
            </w:pPr>
          </w:p>
        </w:tc>
        <w:tc>
          <w:tcPr>
            <w:tcW w:w="1868" w:type="dxa"/>
          </w:tcPr>
          <w:p w14:paraId="014398EB"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7FCD656" w14:textId="77777777">
        <w:tc>
          <w:tcPr>
            <w:tcW w:w="1868" w:type="dxa"/>
          </w:tcPr>
          <w:p w14:paraId="659031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бомбовой нагрузкой 1000 кг</w:t>
            </w:r>
          </w:p>
        </w:tc>
        <w:tc>
          <w:tcPr>
            <w:tcW w:w="1868" w:type="dxa"/>
          </w:tcPr>
          <w:p w14:paraId="67B582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39506D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2540</w:t>
            </w:r>
          </w:p>
        </w:tc>
        <w:tc>
          <w:tcPr>
            <w:tcW w:w="1868" w:type="dxa"/>
          </w:tcPr>
          <w:p w14:paraId="5D7AA1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868" w:type="dxa"/>
          </w:tcPr>
          <w:p w14:paraId="4493D4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5250</w:t>
            </w:r>
          </w:p>
        </w:tc>
        <w:tc>
          <w:tcPr>
            <w:tcW w:w="1868" w:type="dxa"/>
          </w:tcPr>
          <w:p w14:paraId="76460A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4540**</w:t>
            </w:r>
          </w:p>
        </w:tc>
      </w:tr>
      <w:tr w:rsidR="000F5689" w:rsidRPr="00925F26" w14:paraId="4FF87C9F" w14:textId="77777777">
        <w:tc>
          <w:tcPr>
            <w:tcW w:w="1868" w:type="dxa"/>
          </w:tcPr>
          <w:p w14:paraId="39B788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перегоночная</w:t>
            </w:r>
          </w:p>
        </w:tc>
        <w:tc>
          <w:tcPr>
            <w:tcW w:w="1868" w:type="dxa"/>
          </w:tcPr>
          <w:p w14:paraId="510A8E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4100</w:t>
            </w:r>
          </w:p>
        </w:tc>
        <w:tc>
          <w:tcPr>
            <w:tcW w:w="1868" w:type="dxa"/>
          </w:tcPr>
          <w:p w14:paraId="1D0CAD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0A5A1A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3DAC59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Pr>
          <w:p w14:paraId="180341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5200</w:t>
            </w:r>
          </w:p>
        </w:tc>
      </w:tr>
      <w:tr w:rsidR="000F5689" w:rsidRPr="00925F26" w14:paraId="23A1C036" w14:textId="77777777">
        <w:tc>
          <w:tcPr>
            <w:tcW w:w="1868" w:type="dxa"/>
          </w:tcPr>
          <w:p w14:paraId="0AD1CB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Разбег, м</w:t>
            </w:r>
          </w:p>
        </w:tc>
        <w:tc>
          <w:tcPr>
            <w:tcW w:w="1868" w:type="dxa"/>
          </w:tcPr>
          <w:p w14:paraId="2D6ABC5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580</w:t>
            </w:r>
          </w:p>
        </w:tc>
        <w:tc>
          <w:tcPr>
            <w:tcW w:w="1868" w:type="dxa"/>
          </w:tcPr>
          <w:p w14:paraId="72C8C3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625-820</w:t>
            </w:r>
          </w:p>
        </w:tc>
        <w:tc>
          <w:tcPr>
            <w:tcW w:w="1868" w:type="dxa"/>
          </w:tcPr>
          <w:p w14:paraId="1AF57B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780</w:t>
            </w:r>
          </w:p>
        </w:tc>
        <w:tc>
          <w:tcPr>
            <w:tcW w:w="1868" w:type="dxa"/>
          </w:tcPr>
          <w:p w14:paraId="567EA7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665-810</w:t>
            </w:r>
          </w:p>
        </w:tc>
        <w:tc>
          <w:tcPr>
            <w:tcW w:w="1868" w:type="dxa"/>
          </w:tcPr>
          <w:p w14:paraId="53FCC8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1200***</w:t>
            </w:r>
          </w:p>
        </w:tc>
      </w:tr>
      <w:tr w:rsidR="000F5689" w:rsidRPr="00925F26" w14:paraId="7AB7036E" w14:textId="77777777">
        <w:tc>
          <w:tcPr>
            <w:tcW w:w="1868" w:type="dxa"/>
            <w:tcBorders>
              <w:bottom w:val="single" w:sz="12" w:space="0" w:color="auto"/>
            </w:tcBorders>
          </w:tcPr>
          <w:p w14:paraId="0F579D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Пробег, м</w:t>
            </w:r>
          </w:p>
        </w:tc>
        <w:tc>
          <w:tcPr>
            <w:tcW w:w="1868" w:type="dxa"/>
            <w:tcBorders>
              <w:bottom w:val="single" w:sz="12" w:space="0" w:color="auto"/>
            </w:tcBorders>
          </w:tcPr>
          <w:p w14:paraId="2F4029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750</w:t>
            </w:r>
          </w:p>
        </w:tc>
        <w:tc>
          <w:tcPr>
            <w:tcW w:w="1868" w:type="dxa"/>
            <w:tcBorders>
              <w:bottom w:val="single" w:sz="12" w:space="0" w:color="auto"/>
            </w:tcBorders>
          </w:tcPr>
          <w:p w14:paraId="4B8CD1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480-670</w:t>
            </w:r>
          </w:p>
        </w:tc>
        <w:tc>
          <w:tcPr>
            <w:tcW w:w="1868" w:type="dxa"/>
            <w:tcBorders>
              <w:bottom w:val="single" w:sz="12" w:space="0" w:color="auto"/>
            </w:tcBorders>
          </w:tcPr>
          <w:p w14:paraId="745E74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c>
          <w:tcPr>
            <w:tcW w:w="1868" w:type="dxa"/>
            <w:tcBorders>
              <w:bottom w:val="single" w:sz="12" w:space="0" w:color="auto"/>
            </w:tcBorders>
          </w:tcPr>
          <w:p w14:paraId="66B1A2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520</w:t>
            </w:r>
          </w:p>
        </w:tc>
        <w:tc>
          <w:tcPr>
            <w:tcW w:w="1868" w:type="dxa"/>
            <w:tcBorders>
              <w:bottom w:val="single" w:sz="12" w:space="0" w:color="auto"/>
            </w:tcBorders>
          </w:tcPr>
          <w:p w14:paraId="47BB62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o</w:t>
            </w:r>
          </w:p>
        </w:tc>
      </w:tr>
    </w:tbl>
    <w:p w14:paraId="5A0B7C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Примечания:</w:t>
      </w:r>
    </w:p>
    <w:p w14:paraId="05B56B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С дополнительным бензобаком.</w:t>
      </w:r>
    </w:p>
    <w:p w14:paraId="1BD90F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 С коммерческой нагрузкой 500 кг.</w:t>
      </w:r>
    </w:p>
    <w:p w14:paraId="713DB8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 * С двигателями А Ч-ЗОБФ - /050 м (11994).</w:t>
      </w:r>
    </w:p>
    <w:p w14:paraId="67CB98C0" w14:textId="77777777" w:rsidR="00C2313B" w:rsidRPr="00925F26" w:rsidRDefault="00C2313B" w:rsidP="00925F26">
      <w:pPr>
        <w:autoSpaceDE w:val="0"/>
        <w:autoSpaceDN w:val="0"/>
        <w:adjustRightInd w:val="0"/>
        <w:jc w:val="both"/>
        <w:rPr>
          <w:color w:val="000000" w:themeColor="text1"/>
          <w:sz w:val="16"/>
          <w:szCs w:val="16"/>
        </w:rPr>
      </w:pPr>
    </w:p>
    <w:p w14:paraId="08AFF4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года N Н-32/306 зам. командующего ВВС маршалу авиации Худякову С.А.</w:t>
      </w:r>
    </w:p>
    <w:p w14:paraId="6149DB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N 701248</w:t>
      </w:r>
    </w:p>
    <w:p w14:paraId="6970CB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связи с Вашим письмом о ремонте самолетов Ла-7 выпуска завода N 21 сообщаю:</w:t>
      </w:r>
    </w:p>
    <w:p w14:paraId="2728F8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действующих армиях самолетов Ла-7, требующих усиления лонжеронов центроплана, находится 35 единиц. Не позднее 25 января с.г. в эти армии будут направлены детали и бюллетень для усиления их с таким расчетом, чтобы всю эту работу закончить не позднее 5 февраля 1945 года.</w:t>
      </w:r>
    </w:p>
    <w:p w14:paraId="69C77D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Находящиеся в запасных полках военных округов (ВВС Одесского, Белорусского, Харьковского и Львовского) самолеты Ла-7 в количестве 263 единиц Наркомавиапромом будут отремонтированы не позднее 10 февраля 1945 года, для чего в эти округа не позднее 25 января с.г. будут доставлены самолетами усиливающие накладки и бюллетень по ремонту, а также инструктора вместе с рабочими бригадами.</w:t>
      </w:r>
    </w:p>
    <w:p w14:paraId="2518D7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Значительное количество самолетов, требующих ремонта, в количестве 568 единиц, находится на заводе N 21 и во 2-й запасной бригаде. Эти самолеты будут отремонтированы не позднее 15 февраля с.г. Заводом N 21 на ремонт их составлен график из учета окончания работ 15 февраля с.г.</w:t>
      </w:r>
    </w:p>
    <w:p w14:paraId="451001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ставлю Вас в известность, что завод N 21 с 15-й серии, т.е. со 2 декабря 1944 года выпускает самолеты Ла-7 не требующие усиления лонжеронов центроплана и чтоб на 20 января с.г. на аэродроме завода имеется 390 единиц. Заводом принимаются меры к тому, чтобы в первую очередь усилить облет этих самолетов, для отправки их в действующую армию (1879,18).</w:t>
      </w:r>
    </w:p>
    <w:p w14:paraId="12268BF6" w14:textId="77777777" w:rsidR="00C2313B" w:rsidRPr="00925F26" w:rsidRDefault="00C2313B" w:rsidP="00925F26">
      <w:pPr>
        <w:autoSpaceDE w:val="0"/>
        <w:autoSpaceDN w:val="0"/>
        <w:adjustRightInd w:val="0"/>
        <w:jc w:val="both"/>
        <w:rPr>
          <w:color w:val="000000" w:themeColor="text1"/>
          <w:sz w:val="16"/>
          <w:szCs w:val="16"/>
        </w:rPr>
      </w:pPr>
    </w:p>
    <w:p w14:paraId="068DC026" w14:textId="77777777" w:rsidR="003A5F91" w:rsidRPr="00925F26" w:rsidRDefault="003A5F91" w:rsidP="00925F26">
      <w:pPr>
        <w:jc w:val="both"/>
        <w:rPr>
          <w:color w:val="000000" w:themeColor="text1"/>
          <w:sz w:val="16"/>
          <w:szCs w:val="16"/>
        </w:rPr>
      </w:pPr>
      <w:r w:rsidRPr="00925F26">
        <w:rPr>
          <w:color w:val="000000" w:themeColor="text1"/>
          <w:sz w:val="16"/>
          <w:szCs w:val="16"/>
        </w:rPr>
        <w:t>21 января 1945 г. Руководство НКАП письмом № Н</w:t>
      </w:r>
      <w:r w:rsidRPr="00925F26">
        <w:rPr>
          <w:color w:val="000000" w:themeColor="text1"/>
          <w:sz w:val="16"/>
          <w:szCs w:val="16"/>
        </w:rPr>
        <w:noBreakHyphen/>
        <w:t>32/306 отчитывалось перед заместителем командующего ВВС С. А. Худяковым: «В связи с Вашим письмом о ремонте самолетов Ла-7 выпуска завода № 21 сообщаю: В действующих армиях самолетов Ла-7, требующих усиления лонжеронов центроплана, находится 35 единиц. Не позднее 25 января с. г. в эти армии будут направлены детали и бюллетень для усиления их с таким расчетом, чтобы всю эту работу закончить не позднее 5 февраля 1945 года. Находящиеся в запасных полках военных округов (ВВС Одесского, Белорусского, Харьковского и Львовского) самолеты Ла-7 в количестве 263 единиц Наркомавиапромом будут отремонтированы не позднее 10 февраля 1945 года, для чего в эти округа не позднее 25 января с. г. будут доставлены самолетами усиливающие накладки и бюллетень по ремонту, а также инструктора вместе с рабочими бригадами. Значительное количество самолетов, требующих ремонта, в количестве 568 единиц, находится на заводе № 21 и во 2-й запасной бригаде. Эти самолеты будут отремонтированы не позднее 15 февраля с. г. Заводом № 21 на ремонт их составлен график из учета окончания работ 15 февраля с. г. Одновременно ставлю Вас в известность, что завод № 21 с 15-й серии, т. е. со 2 декабря 1944 года, выпускает самолеты Ла-7, не требующие усиления лонжеронов центроплана, и что на 20 января с. г. на аэродроме завода имеется 390 единиц. Заводом принимаются меры к тому, чтобы в первую очередь усилить облет этих самолетов, для отправки их в действующую армию». Принятые меры дали результат и к февралю ситуация начала исправляться (22772).</w:t>
      </w:r>
    </w:p>
    <w:p w14:paraId="0711207D" w14:textId="77777777" w:rsidR="003A5F91" w:rsidRPr="00925F26" w:rsidRDefault="003A5F91" w:rsidP="00925F26">
      <w:pPr>
        <w:jc w:val="both"/>
        <w:rPr>
          <w:color w:val="000000" w:themeColor="text1"/>
          <w:sz w:val="16"/>
          <w:szCs w:val="16"/>
        </w:rPr>
      </w:pPr>
    </w:p>
    <w:p w14:paraId="6BD40B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закончились гос. испытания Ли-2ВП № 18416602 с доработанными внутренними бомбодержателями, которые проходили с 26 декабря 1944.</w:t>
      </w:r>
    </w:p>
    <w:p w14:paraId="40DB29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Машина была выпущена в сентябре 1944. Турель - с УТК-1.</w:t>
      </w:r>
    </w:p>
    <w:p w14:paraId="32E1F3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Ви и-п В.Я.Магон, вл п/п В.И.Жданов.</w:t>
      </w:r>
    </w:p>
    <w:p w14:paraId="213FC0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отметили, что самолет не м.б. эталоном нб вследствие перетяжеления конструкции и дефектов, но бомбардировочное вооружение рекомендовали к устиановке на серийные машины (3404, 11).</w:t>
      </w:r>
    </w:p>
    <w:p w14:paraId="25B63AA3" w14:textId="77777777" w:rsidR="00C2313B" w:rsidRPr="00925F26" w:rsidRDefault="00C2313B" w:rsidP="00925F26">
      <w:pPr>
        <w:autoSpaceDE w:val="0"/>
        <w:autoSpaceDN w:val="0"/>
        <w:adjustRightInd w:val="0"/>
        <w:jc w:val="both"/>
        <w:rPr>
          <w:color w:val="000000" w:themeColor="text1"/>
          <w:sz w:val="16"/>
          <w:szCs w:val="16"/>
        </w:rPr>
      </w:pPr>
    </w:p>
    <w:p w14:paraId="5AF4493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8AABB0B" w14:textId="77777777" w:rsidR="00C2313B" w:rsidRPr="00925F26" w:rsidRDefault="00C2313B" w:rsidP="00925F26">
      <w:pPr>
        <w:autoSpaceDE w:val="0"/>
        <w:autoSpaceDN w:val="0"/>
        <w:adjustRightInd w:val="0"/>
        <w:jc w:val="both"/>
        <w:rPr>
          <w:iCs/>
          <w:color w:val="000000" w:themeColor="text1"/>
          <w:sz w:val="16"/>
          <w:szCs w:val="16"/>
        </w:rPr>
      </w:pPr>
    </w:p>
    <w:p w14:paraId="78D687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вышло Распоряжение ГКО № 7381. О поставках мазута заводу № 172 НКВ. РГАНИР, Фонд ГКО, д. 358, лл. 89 (11012).</w:t>
      </w:r>
    </w:p>
    <w:p w14:paraId="5929CE17" w14:textId="77777777" w:rsidR="00C2313B" w:rsidRPr="00925F26" w:rsidRDefault="00C2313B" w:rsidP="00925F26">
      <w:pPr>
        <w:autoSpaceDE w:val="0"/>
        <w:autoSpaceDN w:val="0"/>
        <w:adjustRightInd w:val="0"/>
        <w:jc w:val="both"/>
        <w:rPr>
          <w:color w:val="000000" w:themeColor="text1"/>
          <w:sz w:val="16"/>
          <w:szCs w:val="16"/>
        </w:rPr>
      </w:pPr>
    </w:p>
    <w:p w14:paraId="33D422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вышло Распоряжение ГКО № 7382. О мерах по обеспечению комбината №179 НКБ пиломатериалами для изготовления спецукупорки в январе-мае 1945 г. РГАНИР, Фонд ГКО, д. 358, лл. 90-91 (11012).</w:t>
      </w:r>
    </w:p>
    <w:p w14:paraId="6C366993" w14:textId="77777777" w:rsidR="00C2313B" w:rsidRPr="00925F26" w:rsidRDefault="00C2313B" w:rsidP="00925F26">
      <w:pPr>
        <w:autoSpaceDE w:val="0"/>
        <w:autoSpaceDN w:val="0"/>
        <w:adjustRightInd w:val="0"/>
        <w:jc w:val="both"/>
        <w:rPr>
          <w:color w:val="000000" w:themeColor="text1"/>
          <w:sz w:val="16"/>
          <w:szCs w:val="16"/>
        </w:rPr>
      </w:pPr>
    </w:p>
    <w:p w14:paraId="7E7D23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вышло Постановление ГКО № 7383 О мероприятиях по обеспечению мазутом важнейших заводов НКБ в январе 1945 года. РГАНИР, Фонд ГКО, д. 358, лл. 92-94 (11012).</w:t>
      </w:r>
    </w:p>
    <w:p w14:paraId="21D7970F" w14:textId="77777777" w:rsidR="00C2313B" w:rsidRPr="00925F26" w:rsidRDefault="00C2313B" w:rsidP="00925F26">
      <w:pPr>
        <w:autoSpaceDE w:val="0"/>
        <w:autoSpaceDN w:val="0"/>
        <w:adjustRightInd w:val="0"/>
        <w:jc w:val="both"/>
        <w:rPr>
          <w:color w:val="000000" w:themeColor="text1"/>
          <w:sz w:val="16"/>
          <w:szCs w:val="16"/>
        </w:rPr>
      </w:pPr>
    </w:p>
    <w:p w14:paraId="66CAE6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вышло Постановление ГКО № 7384 О завозе в I квартале 1945 года горючего и масел для весеннего сева. РГАНИР, Фонд ГКО, д. 358, лл. 95-104 (11012).</w:t>
      </w:r>
    </w:p>
    <w:p w14:paraId="10EE24DF" w14:textId="77777777" w:rsidR="00C2313B" w:rsidRPr="00925F26" w:rsidRDefault="00C2313B" w:rsidP="00925F26">
      <w:pPr>
        <w:autoSpaceDE w:val="0"/>
        <w:autoSpaceDN w:val="0"/>
        <w:adjustRightInd w:val="0"/>
        <w:jc w:val="both"/>
        <w:rPr>
          <w:color w:val="000000" w:themeColor="text1"/>
          <w:sz w:val="16"/>
          <w:szCs w:val="16"/>
        </w:rPr>
      </w:pPr>
    </w:p>
    <w:p w14:paraId="1B09398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BF0EAED" w14:textId="77777777" w:rsidR="00C2313B" w:rsidRPr="00925F26" w:rsidRDefault="00C2313B" w:rsidP="00925F26">
      <w:pPr>
        <w:autoSpaceDE w:val="0"/>
        <w:autoSpaceDN w:val="0"/>
        <w:adjustRightInd w:val="0"/>
        <w:jc w:val="both"/>
        <w:rPr>
          <w:iCs/>
          <w:color w:val="000000" w:themeColor="text1"/>
          <w:sz w:val="16"/>
          <w:szCs w:val="16"/>
        </w:rPr>
      </w:pPr>
    </w:p>
    <w:p w14:paraId="74715BBD" w14:textId="77777777" w:rsidR="00886CF9" w:rsidRPr="00925F26" w:rsidRDefault="00886CF9" w:rsidP="00925F26">
      <w:pPr>
        <w:jc w:val="both"/>
        <w:rPr>
          <w:color w:val="000000" w:themeColor="text1"/>
          <w:sz w:val="16"/>
          <w:szCs w:val="16"/>
        </w:rPr>
      </w:pPr>
      <w:r w:rsidRPr="00925F26">
        <w:rPr>
          <w:bCs/>
          <w:color w:val="000000" w:themeColor="text1"/>
          <w:sz w:val="16"/>
          <w:szCs w:val="16"/>
        </w:rPr>
        <w:t>21 января</w:t>
      </w:r>
      <w:r w:rsidRPr="00925F26">
        <w:rPr>
          <w:color w:val="000000" w:themeColor="text1"/>
          <w:sz w:val="16"/>
          <w:szCs w:val="16"/>
        </w:rPr>
        <w:t xml:space="preserve"> в 1945 году оперативная сводка Совинформбюро:</w:t>
      </w:r>
    </w:p>
    <w:p w14:paraId="3BD9531A"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3-го Белорусского фронта 21 января штурмом овладели в Восточной Пруссии городом Гумбиннен — важным узлом коммуникаций и сильным опорным пунктом обороны немцев на Кенигсбергском направлении, а также с боями заняли более 200 других населённых пунктов, среди которых Альт Лаппинен, Зекенбург, Таве, Гильге, Шенкендорф, Гросс Фридрихсдорф, Гросс Гирратишкен, Меляукен, Попелькен, Патимберн, Падройен, Куббельн, Кутткунен, Вилькен, Йукнишкен, Кенигсфельде, Гавайтен, Плавишкен и железнодорожные станции Мюленау, Меляукен, Буххов.</w:t>
      </w:r>
    </w:p>
    <w:p w14:paraId="1B55E696"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2-го Белорусского фронта прорвали сильно укреплённую оборону немцев на южной границе Восточной Пруссии, вторглись в её пределы на 25 километров в глубину и 80 километров по фронту и 21 января овладели городами Найденбург, Танненберг, Едвабно и Аллендорф — важными опорными пунктами обороны немцев, а также с боями заняли более 150 других населённых пунктов, в числе которых Фламберг, Гросс Данкхайм, Рокласс, Демьовитц, Шуттшен, Кальтенборн, Гутфельд, Ронцкен, Скоттау, Хеезелихт и железнодорожные станции Гросс Данкхайм, Пухалловен, Мушакен, Грюнфлисс, Гросс Козла. Одновременно войска фронта овладели на территории Польши городами Лидзбарк (Лаутенбург), Любава, Нове-Място, Серпц и Плоцк, а также с боями заняли более 450 других населённых пунктов, среди которых крупные населённые пункты Уздау (Уздово), Гралево, Вомперск, Слуп, Лютоцин, Бяласы, Бялышево, Гоздово, Бельсн, Цяхцин и железнодорожные станции Плосница, Гоздово.</w:t>
      </w:r>
    </w:p>
    <w:p w14:paraId="497BCFAC"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1-го Белорусского фронта, продолжая развивать наступление, овладели городами Радзеюз, Сомпольно, Дембе, Унейув, Поддембице, Шаден, Здунь-Ска Воля, а также с боями заняли более 600 других населённых пунктов; среди них — Служево, Пшисек, Брдув, Клодава, Джевце, Чепувдольны, Люболя, Бжег, Камионач, Возники и железнодорожные станции Хоценске, Ходеч, Ка-Менна, Островы, Тужинув, Барлоги, Дембе, Ядвисин, Балджихув, Оток, Шадек.</w:t>
      </w:r>
    </w:p>
    <w:p w14:paraId="2DDAE8C1" w14:textId="77777777" w:rsidR="00886CF9" w:rsidRPr="00925F26" w:rsidRDefault="00886CF9" w:rsidP="00925F26">
      <w:pPr>
        <w:jc w:val="both"/>
        <w:rPr>
          <w:color w:val="000000" w:themeColor="text1"/>
          <w:sz w:val="16"/>
          <w:szCs w:val="16"/>
        </w:rPr>
      </w:pPr>
      <w:r w:rsidRPr="00925F26">
        <w:rPr>
          <w:color w:val="000000" w:themeColor="text1"/>
          <w:sz w:val="16"/>
          <w:szCs w:val="16"/>
        </w:rPr>
        <w:t xml:space="preserve">Войска 1-го Украинского фронта, наступая к западу от Ченстохова, прорвали сильно укреплённую оборону немцев на юго-восточной границе Германии, вторглись в пределы немецкой Силезии на 30 километров в глубину и 90 километров по фронту и 21 января овладели городами Крайцбург, Розенберг, Питшен, Ландсберг, </w:t>
      </w:r>
      <w:r w:rsidRPr="00925F26">
        <w:rPr>
          <w:color w:val="000000" w:themeColor="text1"/>
          <w:sz w:val="16"/>
          <w:szCs w:val="16"/>
        </w:rPr>
        <w:lastRenderedPageBreak/>
        <w:t>Гуттентаг — важными узлами коммуникаций и сильными опорными пунктами обороны немцев, прикрывающими пути на Бреслау, а также с боями заняли на территории Германии более 250 других населённых пунктов, в том числе крупные населённые пункты Райнерсдорф, Якобсдорф, Шенвальд, Людвигс-Дорф, Банкау, Тейхфельде, Кирхвальде, Радау, Ферендорф, Баххейден и железнодорожные станции Костау, Бишдорф, Шенвальд, Банкау, Широка, Чашнау. Одновременно войска фронта овладели на территории Польши городами Злочев, Верушув, Заверце, Севеш, Бохня, а также с боями заняли более 200 других населённых пунктов, среди которых крупные населенные пункты Вышанов, Сьвиба, Ляски, Косенцин, Возьники, Брудзовице, Зомбковице, Слабнув, Старчинув, Мысьляховице, Бродла. Тынец, Дзевин и железнодорожные станции Сьвиба, Ленка, Косенцин, Штальхаммер, Зомбковице, Дульова.</w:t>
      </w:r>
    </w:p>
    <w:p w14:paraId="422003D6" w14:textId="77777777" w:rsidR="00886CF9" w:rsidRPr="00925F26" w:rsidRDefault="00886CF9" w:rsidP="00925F26">
      <w:pPr>
        <w:jc w:val="both"/>
        <w:rPr>
          <w:color w:val="000000" w:themeColor="text1"/>
          <w:sz w:val="16"/>
          <w:szCs w:val="16"/>
        </w:rPr>
      </w:pPr>
      <w:r w:rsidRPr="00925F26">
        <w:rPr>
          <w:color w:val="000000" w:themeColor="text1"/>
          <w:sz w:val="16"/>
          <w:szCs w:val="16"/>
        </w:rPr>
        <w:t>Юго-восточнее Кракова наши войска с боями заняли на территории Польши более 60 населённых пунктов, в числе которых крупные населённые пункты Зренчице, Рацеховице, Висьнева, Касина Белька, Юркув-Дольны, Лабова, Тылич, Крыница и железнодорожные станции Тымбарок, Касина Велька.</w:t>
      </w:r>
    </w:p>
    <w:p w14:paraId="61400CC5" w14:textId="77777777" w:rsidR="00886CF9" w:rsidRPr="00925F26" w:rsidRDefault="00886CF9" w:rsidP="00925F26">
      <w:pPr>
        <w:jc w:val="both"/>
        <w:rPr>
          <w:color w:val="000000" w:themeColor="text1"/>
          <w:sz w:val="16"/>
          <w:szCs w:val="16"/>
        </w:rPr>
      </w:pPr>
      <w:r w:rsidRPr="00925F26">
        <w:rPr>
          <w:color w:val="000000" w:themeColor="text1"/>
          <w:sz w:val="16"/>
          <w:szCs w:val="16"/>
        </w:rPr>
        <w:t>На территории Чехословакии северо-западнее Кошице наши войска овладели населенными пунктами Лютина, Сабинов, Широке, Грабков, Клембарок, Нижний Тейкеш.</w:t>
      </w:r>
    </w:p>
    <w:p w14:paraId="7136CE36" w14:textId="77777777" w:rsidR="00886CF9" w:rsidRPr="00925F26" w:rsidRDefault="00886CF9"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гарнизона противника, окружённого в западной части города (Буда).</w:t>
      </w:r>
    </w:p>
    <w:p w14:paraId="5E91D5FE" w14:textId="77777777" w:rsidR="00886CF9" w:rsidRPr="00925F26" w:rsidRDefault="00886CF9" w:rsidP="00925F26">
      <w:pPr>
        <w:jc w:val="both"/>
        <w:rPr>
          <w:color w:val="000000" w:themeColor="text1"/>
          <w:sz w:val="16"/>
          <w:szCs w:val="16"/>
        </w:rPr>
      </w:pPr>
      <w:r w:rsidRPr="00925F26">
        <w:rPr>
          <w:color w:val="000000" w:themeColor="text1"/>
          <w:sz w:val="16"/>
          <w:szCs w:val="16"/>
        </w:rPr>
        <w:t>Южнее и юго-восточнее города Секешфехервар атаки крупных сил пехоты и танков противника были отбиты нашими войсками с большими для противника потерями.</w:t>
      </w:r>
    </w:p>
    <w:p w14:paraId="1BCB4C2A" w14:textId="77777777" w:rsidR="00886CF9" w:rsidRPr="00925F26" w:rsidRDefault="00886CF9" w:rsidP="00925F26">
      <w:pPr>
        <w:jc w:val="both"/>
        <w:rPr>
          <w:color w:val="000000" w:themeColor="text1"/>
          <w:sz w:val="16"/>
          <w:szCs w:val="16"/>
        </w:rPr>
      </w:pPr>
      <w:r w:rsidRPr="00925F26">
        <w:rPr>
          <w:color w:val="000000" w:themeColor="text1"/>
          <w:sz w:val="16"/>
          <w:szCs w:val="16"/>
        </w:rPr>
        <w:t>За 20 января наши войска на всех фронтах подбили и уничтожили 177 немецких танков. В воздушных боях и огнём зенитной артиллерии сбит 71 самолёт противника.</w:t>
      </w:r>
    </w:p>
    <w:p w14:paraId="6135A765"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3-го Белорусского фронта продолжали наступление на Кенигсбергском направлении. Советские танковые и пехотные соединения при поддержке массированных ударов артиллерии и авиации взломали вражескую оборону и завязали бои за город Гумбиннен. Немцы десятки раз бросались в контратаки. Они пытались во что бы то ни стало задержать наступающие советские части. Отбрасывая противника, перемалывая его живую силу и технику, наши войска ворвались на окраины города. Гитлеровцы сопротивлялись с небывалым ожесточением. Они превратили каждый дом в огневую точку. Из окон подвалов и пробитых в углах домов амбразур немцы вели интенсивный орудийный и пулемётный огонь. Каждый дом приходилось брать с боя. Сегодня к утру наши войска полностью овладели городом Гумбиннен — сильным опорным пунктом обороны немцев в Восточной Пруссии. Подступы к городу и его улицы завалены вражескими трупами. В течение дня войска фронта уничтожили до 3.000 солдат и офицеров противника. Взято в плен более 500 немцев.</w:t>
      </w:r>
    </w:p>
    <w:p w14:paraId="6263BA1C"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Севернее города Млава наши танкисты и пехотинцы прорвали оборону немцев, пересекли польско-немецкую границу и вторглись в пределы Восточной Пруссии. Преодолевая яростное сопротивление врага, советские части ворвались в город Найденбург. Немецкий гарнизон, оказавший отчаянное сопротивление, в большей своей части уничтожен. По заявлению пленных, командиры немецких частей имели строжайший приказ удержать город, не считаясь ни с какими потерями. Офицеры были предупреждены, что, в случае сдачи города, они вместе со своими подразделениями будут преданы военно-полевому суду. Однако никакие угрозы немецкого командования не помогли. Наши войска разгромили противника и овладели городом Найденбург. В городе захвачены большие трофеи, в том числе склады с военным имуществом. Войсками фронта взят также город Танненберг. Около этого города в 1410 году произошло историческое сражение, в котором объединённые силы русских, поляков и литовцев наголову разбили немецких тевтонских рыцарей.</w:t>
      </w:r>
    </w:p>
    <w:p w14:paraId="26E7BE02" w14:textId="77777777" w:rsidR="00886CF9" w:rsidRPr="00925F26" w:rsidRDefault="00886CF9" w:rsidP="00925F26">
      <w:pPr>
        <w:jc w:val="both"/>
        <w:rPr>
          <w:color w:val="000000" w:themeColor="text1"/>
          <w:sz w:val="16"/>
          <w:szCs w:val="16"/>
        </w:rPr>
      </w:pPr>
      <w:r w:rsidRPr="00925F26">
        <w:rPr>
          <w:color w:val="000000" w:themeColor="text1"/>
          <w:sz w:val="16"/>
          <w:szCs w:val="16"/>
        </w:rPr>
        <w:t>Советские части, наступающие по северному берегу реки Висла, продвинулись вперёд на 30 километров и с боями овладели городом Плоцк — важным опорным пунктом вражеской обороны. Умело маневрируя, наши подвижные части выходят на пути отхода немцев, громят их отступающие колонны, захватывают склады и тыловые базы. По предварительным данным, войска фронта в течение дня захватили у немцев 18 танков, 70 полевых орудий, 200 автомашин, 12 паровозов, 500 вагонов и 40 складов с военным имуществом.</w:t>
      </w:r>
    </w:p>
    <w:p w14:paraId="2371138B" w14:textId="77777777" w:rsidR="00886CF9" w:rsidRPr="00925F26" w:rsidRDefault="00886CF9" w:rsidP="00925F26">
      <w:pPr>
        <w:jc w:val="both"/>
        <w:rPr>
          <w:color w:val="000000" w:themeColor="text1"/>
          <w:sz w:val="16"/>
          <w:szCs w:val="16"/>
        </w:rPr>
      </w:pPr>
      <w:r w:rsidRPr="00925F26">
        <w:rPr>
          <w:color w:val="000000" w:themeColor="text1"/>
          <w:sz w:val="16"/>
          <w:szCs w:val="16"/>
        </w:rPr>
        <w:t>Войска 1-го Украинского фронта развивали стремительное наступление. Западнее города Ченстохова наши танковые, моторизованные и пехотные соединения на широком фронте перешли польско-немецкую границу и вторглись на территорию немецкой Силезии. В пограничной полосе немцы заблаговременно построили укрепления. Вдоль автомобильных дорог, идущих от границы к крупнейшему центру Силезии—городу Бреслау, сооружены железобетонные доты с бронированными колпаками, имеющие по шесть амбразур и приспособленные для кругового обстрела. Немцы бросают в бой все имеющиеся у них силы. Они пытаются ценой огромных жертв задержать советские войска и не допустить их в глубь Силезии — этого важнейшего промышленного района Германии. Сокрушая оборону противника и отбрасывая его на запад, наши войска с боями заняли на территории Германии города Крайцбург, Питшен, Ландсберг, Розенберг, Гуттентаг и свыше 250 других населённых пунктов. Город Крайцбург расположен в 65 километрах северо-западнее Ченстохова.</w:t>
      </w:r>
    </w:p>
    <w:p w14:paraId="4407738B" w14:textId="77777777" w:rsidR="00886CF9" w:rsidRPr="00925F26" w:rsidRDefault="00886CF9" w:rsidP="00925F26">
      <w:pPr>
        <w:jc w:val="both"/>
        <w:rPr>
          <w:color w:val="000000" w:themeColor="text1"/>
          <w:sz w:val="16"/>
          <w:szCs w:val="16"/>
        </w:rPr>
      </w:pPr>
      <w:r w:rsidRPr="00925F26">
        <w:rPr>
          <w:color w:val="000000" w:themeColor="text1"/>
          <w:sz w:val="16"/>
          <w:szCs w:val="16"/>
        </w:rPr>
        <w:t>В ходе боёв противник несёт исключительно большие потери. В одном районе при ликвидации окружённой группы немецких войск уничтожено 3.200 гитлеровцев. Захвачено у немцев несколько сот орудий и миномётов и более двух тысяч автомашин. Взято в плен 4.000 солдат и офицеров противника.» (15016).</w:t>
      </w:r>
    </w:p>
    <w:p w14:paraId="6CE8703D" w14:textId="77777777" w:rsidR="00886CF9" w:rsidRPr="00925F26" w:rsidRDefault="00886CF9" w:rsidP="00925F26">
      <w:pPr>
        <w:jc w:val="both"/>
        <w:rPr>
          <w:color w:val="000000" w:themeColor="text1"/>
          <w:sz w:val="16"/>
          <w:szCs w:val="16"/>
        </w:rPr>
      </w:pPr>
    </w:p>
    <w:p w14:paraId="2C26BE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января 1945 первый эшелон 78 гшап в составе 20 Ил-2 и 11 Ил-10 смог вылететь к месту назначе</w:t>
      </w:r>
      <w:r w:rsidRPr="00925F26">
        <w:rPr>
          <w:color w:val="000000" w:themeColor="text1"/>
          <w:sz w:val="16"/>
          <w:szCs w:val="16"/>
        </w:rPr>
        <w:softHyphen/>
        <w:t>ния. Второй эшелон - 10 экипажей на Ил-10 - отправился на фронт на следу</w:t>
      </w:r>
      <w:r w:rsidRPr="00925F26">
        <w:rPr>
          <w:color w:val="000000" w:themeColor="text1"/>
          <w:sz w:val="16"/>
          <w:szCs w:val="16"/>
        </w:rPr>
        <w:softHyphen/>
        <w:t>ющий день. Фактически 78-й полк был не готов к боевым действиям на новом штурмови</w:t>
      </w:r>
      <w:r w:rsidRPr="00925F26">
        <w:rPr>
          <w:color w:val="000000" w:themeColor="text1"/>
          <w:sz w:val="16"/>
          <w:szCs w:val="16"/>
        </w:rPr>
        <w:softHyphen/>
        <w:t>ке. В то же время тот летный состав, ко</w:t>
      </w:r>
      <w:r w:rsidRPr="00925F26">
        <w:rPr>
          <w:color w:val="000000" w:themeColor="text1"/>
          <w:sz w:val="16"/>
          <w:szCs w:val="16"/>
        </w:rPr>
        <w:softHyphen/>
        <w:t>торый прибыл с передовой на переучи</w:t>
      </w:r>
      <w:r w:rsidRPr="00925F26">
        <w:rPr>
          <w:color w:val="000000" w:themeColor="text1"/>
          <w:sz w:val="16"/>
          <w:szCs w:val="16"/>
        </w:rPr>
        <w:softHyphen/>
        <w:t>вание, имел солидный боевой опыт. Не</w:t>
      </w:r>
      <w:r w:rsidRPr="00925F26">
        <w:rPr>
          <w:color w:val="000000" w:themeColor="text1"/>
          <w:sz w:val="16"/>
          <w:szCs w:val="16"/>
        </w:rPr>
        <w:softHyphen/>
        <w:t>плохо были подготовлены и молодые пилоты, но на Ил-10 они вообще не ле</w:t>
      </w:r>
      <w:r w:rsidRPr="00925F26">
        <w:rPr>
          <w:color w:val="000000" w:themeColor="text1"/>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925F26">
        <w:rPr>
          <w:color w:val="000000" w:themeColor="text1"/>
          <w:sz w:val="16"/>
          <w:szCs w:val="16"/>
        </w:rPr>
        <w:softHyphen/>
        <w:t>мии и 2-й гшад. Выяснив реальную го</w:t>
      </w:r>
      <w:r w:rsidRPr="00925F26">
        <w:rPr>
          <w:color w:val="000000" w:themeColor="text1"/>
          <w:sz w:val="16"/>
          <w:szCs w:val="16"/>
        </w:rPr>
        <w:softHyphen/>
        <w:t>товность полка к боевым действиям, они мудро решили полк в бой пока не вво</w:t>
      </w:r>
      <w:r w:rsidRPr="00925F26">
        <w:rPr>
          <w:color w:val="000000" w:themeColor="text1"/>
          <w:sz w:val="16"/>
          <w:szCs w:val="16"/>
        </w:rPr>
        <w:softHyphen/>
        <w:t>дить, дабы не подорвать веру в новый штурмовик и не нести напрасные поте</w:t>
      </w:r>
      <w:r w:rsidRPr="00925F26">
        <w:rPr>
          <w:color w:val="000000" w:themeColor="text1"/>
          <w:sz w:val="16"/>
          <w:szCs w:val="16"/>
        </w:rPr>
        <w:softHyphen/>
        <w:t>ри, а дать летчикам полноценно подгото</w:t>
      </w:r>
      <w:r w:rsidRPr="00925F26">
        <w:rPr>
          <w:color w:val="000000" w:themeColor="text1"/>
          <w:sz w:val="16"/>
          <w:szCs w:val="16"/>
        </w:rPr>
        <w:softHyphen/>
        <w:t>виться, а также завершить перевооруже</w:t>
      </w:r>
      <w:r w:rsidRPr="00925F26">
        <w:rPr>
          <w:color w:val="000000" w:themeColor="text1"/>
          <w:sz w:val="16"/>
          <w:szCs w:val="16"/>
        </w:rPr>
        <w:softHyphen/>
        <w:t>ние части на Ил-10. В течение всего ап</w:t>
      </w:r>
      <w:r w:rsidRPr="00925F26">
        <w:rPr>
          <w:color w:val="000000" w:themeColor="text1"/>
          <w:sz w:val="16"/>
          <w:szCs w:val="16"/>
        </w:rPr>
        <w:softHyphen/>
        <w:t>реля в 78-м интенсивно занимались вво</w:t>
      </w:r>
      <w:r w:rsidRPr="00925F26">
        <w:rPr>
          <w:color w:val="000000" w:themeColor="text1"/>
          <w:sz w:val="16"/>
          <w:szCs w:val="16"/>
        </w:rPr>
        <w:softHyphen/>
        <w:t>дом в строй молодого летного состава, не прошедшего в Куйбышеве переучива</w:t>
      </w:r>
      <w:r w:rsidRPr="00925F26">
        <w:rPr>
          <w:color w:val="000000" w:themeColor="text1"/>
          <w:sz w:val="16"/>
          <w:szCs w:val="16"/>
        </w:rPr>
        <w:softHyphen/>
        <w:t>ния на новый штурмовик, и тренировкой «стариков». В это время во Львове при</w:t>
      </w:r>
      <w:r w:rsidRPr="00925F26">
        <w:rPr>
          <w:color w:val="000000" w:themeColor="text1"/>
          <w:sz w:val="16"/>
          <w:szCs w:val="16"/>
        </w:rPr>
        <w:softHyphen/>
        <w:t>нимали и собирали Ил-10. Машины за</w:t>
      </w:r>
      <w:r w:rsidRPr="00925F26">
        <w:rPr>
          <w:color w:val="000000" w:themeColor="text1"/>
          <w:sz w:val="16"/>
          <w:szCs w:val="16"/>
        </w:rPr>
        <w:softHyphen/>
        <w:t>тем перегонялись на базу наиболее под</w:t>
      </w:r>
      <w:r w:rsidRPr="00925F26">
        <w:rPr>
          <w:color w:val="000000" w:themeColor="text1"/>
          <w:sz w:val="16"/>
          <w:szCs w:val="16"/>
        </w:rPr>
        <w:softHyphen/>
        <w:t>готовленными летчиками полка. Имев</w:t>
      </w:r>
      <w:r w:rsidRPr="00925F26">
        <w:rPr>
          <w:color w:val="000000" w:themeColor="text1"/>
          <w:sz w:val="16"/>
          <w:szCs w:val="16"/>
        </w:rPr>
        <w:softHyphen/>
        <w:t>шиеся Ил-2 передавались в другие час</w:t>
      </w:r>
      <w:r w:rsidRPr="00925F26">
        <w:rPr>
          <w:color w:val="000000" w:themeColor="text1"/>
          <w:sz w:val="16"/>
          <w:szCs w:val="16"/>
        </w:rPr>
        <w:softHyphen/>
        <w:t>ти дивизии (10681).</w:t>
      </w:r>
    </w:p>
    <w:p w14:paraId="656F0A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005283B"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21 января 1945 первый эшелон 78 полка в составе 20 Ил-2 и 11 Ил-10 смог вылететь к месту назначения. Второй летный эшелон в составе 10 экипажей на Ил-10 вылетел на следующий день.</w:t>
      </w:r>
    </w:p>
    <w:p w14:paraId="10E5529A"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489E9877" w14:textId="77777777" w:rsidR="00B65582" w:rsidRPr="00925F26" w:rsidRDefault="00B65582" w:rsidP="00925F26">
      <w:pPr>
        <w:jc w:val="both"/>
        <w:rPr>
          <w:color w:val="000000" w:themeColor="text1"/>
          <w:sz w:val="16"/>
          <w:szCs w:val="16"/>
        </w:rPr>
      </w:pPr>
    </w:p>
    <w:p w14:paraId="074BE1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января 1945 акт констатировал, что 108-й полк «в со-ставе 41 летчика подготовлен к перелету на фронт на Ил-10 днем в простых метео</w:t>
      </w:r>
      <w:r w:rsidRPr="00925F26">
        <w:rPr>
          <w:color w:val="000000" w:themeColor="text1"/>
          <w:sz w:val="16"/>
          <w:szCs w:val="16"/>
        </w:rPr>
        <w:softHyphen/>
        <w:t>условиях». Летный состав был подготов</w:t>
      </w:r>
      <w:r w:rsidRPr="00925F26">
        <w:rPr>
          <w:color w:val="000000" w:themeColor="text1"/>
          <w:sz w:val="16"/>
          <w:szCs w:val="16"/>
        </w:rPr>
        <w:softHyphen/>
        <w:t>лен несколько лучше, чем в 78-м полку. Налет на Ил-10 составлял в среднем 2 ч 58 мин (10 посадок), в том числе около 2 ч в тренировках на боевое примене</w:t>
      </w:r>
      <w:r w:rsidRPr="00925F26">
        <w:rPr>
          <w:color w:val="000000" w:themeColor="text1"/>
          <w:sz w:val="16"/>
          <w:szCs w:val="16"/>
        </w:rPr>
        <w:softHyphen/>
        <w:t>ние. Весь летный состав полка уже полу</w:t>
      </w:r>
      <w:r w:rsidRPr="00925F26">
        <w:rPr>
          <w:color w:val="000000" w:themeColor="text1"/>
          <w:sz w:val="16"/>
          <w:szCs w:val="16"/>
        </w:rPr>
        <w:softHyphen/>
        <w:t>чил боевой опыт, воюя на штурмовиках Ил-2. Поскольку предполагалось, что в этом полку пройдут войсковые испытания но</w:t>
      </w:r>
      <w:r w:rsidRPr="00925F26">
        <w:rPr>
          <w:color w:val="000000" w:themeColor="text1"/>
          <w:sz w:val="16"/>
          <w:szCs w:val="16"/>
        </w:rPr>
        <w:softHyphen/>
        <w:t>вого самолета, то пополнению полка техникой уделили самое пристальное внимание. Штурмовики отбирались из числа имевших наименьшее количество производственных и конструктивных де</w:t>
      </w:r>
      <w:r w:rsidRPr="00925F26">
        <w:rPr>
          <w:color w:val="000000" w:themeColor="text1"/>
          <w:sz w:val="16"/>
          <w:szCs w:val="16"/>
        </w:rPr>
        <w:softHyphen/>
        <w:t>фектов и тщательно проверялись как заводскими бригадами, так и техничес</w:t>
      </w:r>
      <w:r w:rsidRPr="00925F26">
        <w:rPr>
          <w:color w:val="000000" w:themeColor="text1"/>
          <w:sz w:val="16"/>
          <w:szCs w:val="16"/>
        </w:rPr>
        <w:softHyphen/>
        <w:t>ким составом части. В общей сложности полк получил 42 Ил-10, в том числе 37 производства завода № 18 и 5 выпуска завода № 1. Отлет на фронт назначили на 2 фев</w:t>
      </w:r>
      <w:r w:rsidRPr="00925F26">
        <w:rPr>
          <w:color w:val="000000" w:themeColor="text1"/>
          <w:sz w:val="16"/>
          <w:szCs w:val="16"/>
        </w:rPr>
        <w:softHyphen/>
        <w:t>раля. Чтобы ускорить перебазирование полка, инженеры и техники летели вме</w:t>
      </w:r>
      <w:r w:rsidRPr="00925F26">
        <w:rPr>
          <w:color w:val="000000" w:themeColor="text1"/>
          <w:sz w:val="16"/>
          <w:szCs w:val="16"/>
        </w:rPr>
        <w:softHyphen/>
        <w:t>сто стрелков, которых насчитывалось в полку всего 7 человек, и должны были самостоятельно готовить машины на всех промежуточных аэродромах. Несмотря на тщательность подготов</w:t>
      </w:r>
      <w:r w:rsidRPr="00925F26">
        <w:rPr>
          <w:color w:val="000000" w:themeColor="text1"/>
          <w:sz w:val="16"/>
          <w:szCs w:val="16"/>
        </w:rPr>
        <w:softHyphen/>
        <w:t>ки перелета, он закончился неудачей. В последний момент сменили первый промежуточный пункт. Вместо аэродро</w:t>
      </w:r>
      <w:r w:rsidRPr="00925F26">
        <w:rPr>
          <w:color w:val="000000" w:themeColor="text1"/>
          <w:sz w:val="16"/>
          <w:szCs w:val="16"/>
        </w:rPr>
        <w:softHyphen/>
        <w:t>ма Разбойщина следовало лететь в Багай-Барановку. Летный состав к новому маршруту подготовиться должным об</w:t>
      </w:r>
      <w:r w:rsidRPr="00925F26">
        <w:rPr>
          <w:color w:val="000000" w:themeColor="text1"/>
          <w:sz w:val="16"/>
          <w:szCs w:val="16"/>
        </w:rPr>
        <w:softHyphen/>
        <w:t>разом не успел. Первая группа из пяти машин, лиди-руемая капитаном Сироткиным, добра</w:t>
      </w:r>
      <w:r w:rsidRPr="00925F26">
        <w:rPr>
          <w:color w:val="000000" w:themeColor="text1"/>
          <w:sz w:val="16"/>
          <w:szCs w:val="16"/>
        </w:rPr>
        <w:softHyphen/>
        <w:t>лась до нового аэродрома благополуч</w:t>
      </w:r>
      <w:r w:rsidRPr="00925F26">
        <w:rPr>
          <w:color w:val="000000" w:themeColor="text1"/>
          <w:sz w:val="16"/>
          <w:szCs w:val="16"/>
        </w:rPr>
        <w:softHyphen/>
        <w:t>но. Из второй (семь Ил-10) долетела только четверка во главе с ведущим группы капитаном Зиновьевым. Звено младшего лейтенанта Мазура оторва</w:t>
      </w:r>
      <w:r w:rsidRPr="00925F26">
        <w:rPr>
          <w:color w:val="000000" w:themeColor="text1"/>
          <w:sz w:val="16"/>
          <w:szCs w:val="16"/>
        </w:rPr>
        <w:softHyphen/>
        <w:t>лось от группы сразу же. Летчики заблу</w:t>
      </w:r>
      <w:r w:rsidRPr="00925F26">
        <w:rPr>
          <w:color w:val="000000" w:themeColor="text1"/>
          <w:sz w:val="16"/>
          <w:szCs w:val="16"/>
        </w:rPr>
        <w:softHyphen/>
        <w:t>дились и, выработав горючее, сели в по</w:t>
      </w:r>
      <w:r w:rsidRPr="00925F26">
        <w:rPr>
          <w:color w:val="000000" w:themeColor="text1"/>
          <w:sz w:val="16"/>
          <w:szCs w:val="16"/>
        </w:rPr>
        <w:softHyphen/>
        <w:t>ле. В итоге - одна авария и одна полом</w:t>
      </w:r>
      <w:r w:rsidRPr="00925F26">
        <w:rPr>
          <w:color w:val="000000" w:themeColor="text1"/>
          <w:sz w:val="16"/>
          <w:szCs w:val="16"/>
        </w:rPr>
        <w:softHyphen/>
        <w:t xml:space="preserve">ка. Третья группа из 10 Ил-10 (ведущий капитан Железняков) долетела до </w:t>
      </w:r>
      <w:proofErr w:type="gramStart"/>
      <w:r w:rsidRPr="00925F26">
        <w:rPr>
          <w:color w:val="000000" w:themeColor="text1"/>
          <w:sz w:val="16"/>
          <w:szCs w:val="16"/>
        </w:rPr>
        <w:t>Бала-ково</w:t>
      </w:r>
      <w:proofErr w:type="gramEnd"/>
      <w:r w:rsidRPr="00925F26">
        <w:rPr>
          <w:color w:val="000000" w:themeColor="text1"/>
          <w:sz w:val="16"/>
          <w:szCs w:val="16"/>
        </w:rPr>
        <w:t xml:space="preserve"> и возвратилась из-за плохой пого</w:t>
      </w:r>
      <w:r w:rsidRPr="00925F26">
        <w:rPr>
          <w:color w:val="000000" w:themeColor="text1"/>
          <w:sz w:val="16"/>
          <w:szCs w:val="16"/>
        </w:rPr>
        <w:softHyphen/>
        <w:t>ды. На обратном пути младший лейте</w:t>
      </w:r>
      <w:r w:rsidRPr="00925F26">
        <w:rPr>
          <w:color w:val="000000" w:themeColor="text1"/>
          <w:sz w:val="16"/>
          <w:szCs w:val="16"/>
        </w:rPr>
        <w:softHyphen/>
        <w:t>нант Кирюшкин совершил вынужденную посадку - отказал мотор. Его самолет был поврежден. Лейтенант Максимов выработал горючее и потерпел аварию в районе Чапаевска. Младшему лейте</w:t>
      </w:r>
      <w:r w:rsidRPr="00925F26">
        <w:rPr>
          <w:color w:val="000000" w:themeColor="text1"/>
          <w:sz w:val="16"/>
          <w:szCs w:val="16"/>
        </w:rPr>
        <w:softHyphen/>
        <w:t>нанту Юдаеву пришлось садиться на одно колесо - не вышла вторая стойка. Четвертая группа во главе с капитаном Новиковым (четыре Ил-10) тоже верну</w:t>
      </w:r>
      <w:r w:rsidRPr="00925F26">
        <w:rPr>
          <w:color w:val="000000" w:themeColor="text1"/>
          <w:sz w:val="16"/>
          <w:szCs w:val="16"/>
        </w:rPr>
        <w:softHyphen/>
        <w:t>лась и приземлилась в Чапаевске. Та</w:t>
      </w:r>
      <w:r w:rsidRPr="00925F26">
        <w:rPr>
          <w:color w:val="000000" w:themeColor="text1"/>
          <w:sz w:val="16"/>
          <w:szCs w:val="16"/>
        </w:rPr>
        <w:softHyphen/>
        <w:t>ким образом, из 26 самолетов, вылетев</w:t>
      </w:r>
      <w:r w:rsidRPr="00925F26">
        <w:rPr>
          <w:color w:val="000000" w:themeColor="text1"/>
          <w:sz w:val="16"/>
          <w:szCs w:val="16"/>
        </w:rPr>
        <w:softHyphen/>
        <w:t>ших с аэродрома Толкай, на место назначения прибыли девять. После разби</w:t>
      </w:r>
      <w:r w:rsidRPr="00925F26">
        <w:rPr>
          <w:color w:val="000000" w:themeColor="text1"/>
          <w:sz w:val="16"/>
          <w:szCs w:val="16"/>
        </w:rPr>
        <w:softHyphen/>
        <w:t>рательства и принятия мер 108-й гшап в два приема - 9 и 20 февраля убыл-таки полным составом в действующую ар</w:t>
      </w:r>
      <w:r w:rsidRPr="00925F26">
        <w:rPr>
          <w:color w:val="000000" w:themeColor="text1"/>
          <w:sz w:val="16"/>
          <w:szCs w:val="16"/>
        </w:rPr>
        <w:softHyphen/>
        <w:t>мию. Кроме этого, 25 января на стажи</w:t>
      </w:r>
      <w:r w:rsidRPr="00925F26">
        <w:rPr>
          <w:color w:val="000000" w:themeColor="text1"/>
          <w:sz w:val="16"/>
          <w:szCs w:val="16"/>
        </w:rPr>
        <w:softHyphen/>
        <w:t>ровку во 2-ю воздушную армию отпра</w:t>
      </w:r>
      <w:r w:rsidRPr="00925F26">
        <w:rPr>
          <w:color w:val="000000" w:themeColor="text1"/>
          <w:sz w:val="16"/>
          <w:szCs w:val="16"/>
        </w:rPr>
        <w:softHyphen/>
        <w:t>вилось на Ил-10 звено от управления бригады (10681).</w:t>
      </w:r>
    </w:p>
    <w:p w14:paraId="052058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4EBE5C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8DA908F" w14:textId="77777777" w:rsidR="00C2313B" w:rsidRPr="00925F26" w:rsidRDefault="00C2313B" w:rsidP="00925F26">
      <w:pPr>
        <w:autoSpaceDE w:val="0"/>
        <w:autoSpaceDN w:val="0"/>
        <w:adjustRightInd w:val="0"/>
        <w:jc w:val="both"/>
        <w:rPr>
          <w:iCs/>
          <w:color w:val="000000" w:themeColor="text1"/>
          <w:sz w:val="16"/>
          <w:szCs w:val="16"/>
        </w:rPr>
      </w:pPr>
    </w:p>
    <w:p w14:paraId="63E8773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января 1945 вышло Постановление ГКО № 7380 О дополнительном отпуске НКВД СССР 50 тыс. тонн картофеля. (7300, 88).</w:t>
      </w:r>
    </w:p>
    <w:p w14:paraId="68318A4F"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F93EE09" w14:textId="77777777" w:rsidR="00886CF9" w:rsidRPr="00925F26" w:rsidRDefault="00886CF9" w:rsidP="00925F26">
      <w:pPr>
        <w:jc w:val="both"/>
        <w:rPr>
          <w:color w:val="000000" w:themeColor="text1"/>
          <w:sz w:val="16"/>
          <w:szCs w:val="16"/>
        </w:rPr>
      </w:pPr>
      <w:r w:rsidRPr="00925F26">
        <w:rPr>
          <w:bCs/>
          <w:color w:val="000000" w:themeColor="text1"/>
          <w:sz w:val="16"/>
          <w:szCs w:val="16"/>
        </w:rPr>
        <w:t>21 января</w:t>
      </w:r>
      <w:r w:rsidRPr="00925F26">
        <w:rPr>
          <w:color w:val="000000" w:themeColor="text1"/>
          <w:sz w:val="16"/>
          <w:szCs w:val="16"/>
        </w:rPr>
        <w:t xml:space="preserve"> в 1945 году в связи с 220-летием Академии наук СССР Совет народных комиссаров СССР утвердил постановление о создании в Москве Главного ботанического сада Академии наук СССР. Решением Мосгорисполкома 16 мая 1945 года под строительство Главного ботанического сада была передана территория Останкинского лесопаркового массива площадью 361,35 га, примыкающая к территории Всесоюзной селькохозяйственной выставки и Парка культуры и отдыха имени Ф.Э.Дзержинского. 2 декабря 1991 года Ботаническому саду было присвоено имя Николая Васильевича Цицина (1898–1980), ученого-ботаника, академика, </w:t>
      </w:r>
      <w:r w:rsidRPr="00925F26">
        <w:rPr>
          <w:color w:val="000000" w:themeColor="text1"/>
          <w:sz w:val="16"/>
          <w:szCs w:val="16"/>
        </w:rPr>
        <w:lastRenderedPageBreak/>
        <w:t>основателя и директора этого научного учреждения на протяжении более 35 первых лет его существования. Один из крупнейших в мире, ботанический сад разбит в Останкинской лесопарковой зоне и содержит около 25 тысяч разновидностей дикорастущих и культурных растений (15016).</w:t>
      </w:r>
    </w:p>
    <w:p w14:paraId="791FBA57" w14:textId="77777777" w:rsidR="00886CF9" w:rsidRPr="00925F26" w:rsidRDefault="00886CF9" w:rsidP="00925F26">
      <w:pPr>
        <w:jc w:val="both"/>
        <w:rPr>
          <w:color w:val="000000" w:themeColor="text1"/>
          <w:sz w:val="16"/>
          <w:szCs w:val="16"/>
        </w:rPr>
      </w:pPr>
    </w:p>
    <w:p w14:paraId="513C8B1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AB122B7" w14:textId="77777777" w:rsidR="00C2313B" w:rsidRPr="00925F26" w:rsidRDefault="00C2313B" w:rsidP="00925F26">
      <w:pPr>
        <w:autoSpaceDE w:val="0"/>
        <w:autoSpaceDN w:val="0"/>
        <w:adjustRightInd w:val="0"/>
        <w:jc w:val="both"/>
        <w:rPr>
          <w:iCs/>
          <w:color w:val="000000" w:themeColor="text1"/>
          <w:sz w:val="16"/>
          <w:szCs w:val="16"/>
        </w:rPr>
      </w:pPr>
    </w:p>
    <w:p w14:paraId="188D77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января 1945 г. американские самолеты нанесли удар по острову Формоза (Тайвань). Было произведено 1100 боевых вылетов. Бомбардировщики уничтожили на аэродромах 60 японских самолетов, потопили 10 стоявших на якоре кораблей и бомбили другие военные объекты на острове. За несколько минут до налета американских самолетов 17 японских камикадзе вылетели на свое боевое задание. Их встретил авиационный заслон, вследствие чего к кораблям прорвалось всего четыре японских самолета. В это время американские бомбардировщики стали возвращаться на авианосцы. Японские летчики моментально смешались с ними, чтобы зенитчикам было трудно опознать вражеские самолеты. В итоге камикадзе, с разной степенью тяжести, поразили авианосцы «Лэнгли» и «Тикондерога» (11686).</w:t>
      </w:r>
    </w:p>
    <w:p w14:paraId="0639216E" w14:textId="77777777" w:rsidR="00C2313B" w:rsidRPr="00925F26" w:rsidRDefault="00C2313B" w:rsidP="00925F26">
      <w:pPr>
        <w:autoSpaceDE w:val="0"/>
        <w:autoSpaceDN w:val="0"/>
        <w:adjustRightInd w:val="0"/>
        <w:jc w:val="both"/>
        <w:rPr>
          <w:color w:val="000000" w:themeColor="text1"/>
          <w:sz w:val="16"/>
          <w:szCs w:val="16"/>
        </w:rPr>
      </w:pPr>
    </w:p>
    <w:p w14:paraId="58C43068" w14:textId="77777777" w:rsidR="004F53AD" w:rsidRPr="00925F26" w:rsidRDefault="004F53AD" w:rsidP="00925F26">
      <w:pPr>
        <w:jc w:val="both"/>
        <w:rPr>
          <w:color w:val="000000" w:themeColor="text1"/>
          <w:sz w:val="16"/>
          <w:szCs w:val="16"/>
        </w:rPr>
      </w:pPr>
      <w:r w:rsidRPr="00925F26">
        <w:rPr>
          <w:bCs/>
          <w:color w:val="000000" w:themeColor="text1"/>
          <w:sz w:val="16"/>
          <w:szCs w:val="16"/>
        </w:rPr>
        <w:t>21 января</w:t>
      </w:r>
      <w:r w:rsidRPr="00925F26">
        <w:rPr>
          <w:color w:val="000000" w:themeColor="text1"/>
          <w:sz w:val="16"/>
          <w:szCs w:val="16"/>
        </w:rPr>
        <w:t xml:space="preserve"> в 1945 году у острова Тайвань (Формоза) контратака камикадзе привела к повреждению авианосца «Тикондерога» и линкора «Лэнгли», причём «Тикондерогу» пришлось отправить на доковый ремонт. В 19:45 21 января 1945 г. самолёт камикадзе спикировал на авианосец «Лунга Пойнт», а через 5 минут ещё два камикадзе врезались в лётную палубу авианосца «Бисмарк Си», пожар вскоре добрался до погребов, и после взрыва корабль затонул. Это был последний американский авианосец, потерянный во Второй Мировой войне (15016).</w:t>
      </w:r>
    </w:p>
    <w:p w14:paraId="7981EF80" w14:textId="77777777" w:rsidR="004F53AD" w:rsidRPr="00925F26" w:rsidRDefault="004F53AD" w:rsidP="00925F26">
      <w:pPr>
        <w:jc w:val="both"/>
        <w:rPr>
          <w:color w:val="000000" w:themeColor="text1"/>
          <w:sz w:val="16"/>
          <w:szCs w:val="16"/>
        </w:rPr>
      </w:pPr>
    </w:p>
    <w:p w14:paraId="20EE393C" w14:textId="77777777" w:rsidR="003A5F91" w:rsidRPr="00925F26" w:rsidRDefault="003A5F91" w:rsidP="00925F26">
      <w:pPr>
        <w:jc w:val="both"/>
        <w:rPr>
          <w:color w:val="000000" w:themeColor="text1"/>
          <w:sz w:val="16"/>
          <w:szCs w:val="16"/>
        </w:rPr>
      </w:pPr>
      <w:r w:rsidRPr="00925F26">
        <w:rPr>
          <w:color w:val="000000" w:themeColor="text1"/>
          <w:sz w:val="16"/>
          <w:szCs w:val="16"/>
        </w:rPr>
        <w:t>21 января 1945 самолеты оперативной группы 38 совершили 1164 самолето-вылета, нанеся удары по Формозе, Пескадорес и Сакисима Гунто, потопив пять танкеров и пять других торговых судов и уничтожив два японских самолета в воздухе и 104 самолета на земле. В ходе японских воздушных атак на оперативную группу бомбардировщик повреждает авианосец USS Langley, а камикадзе повреждает авианосец USS Ticonderoga и эсминец; случайный взрыв бомбы во время аварии повредил авианосец USS Hancock (20371).</w:t>
      </w:r>
    </w:p>
    <w:p w14:paraId="6E1683A4" w14:textId="77777777" w:rsidR="003A5F91" w:rsidRPr="00925F26" w:rsidRDefault="003A5F91" w:rsidP="00925F26">
      <w:pPr>
        <w:jc w:val="both"/>
        <w:rPr>
          <w:color w:val="000000" w:themeColor="text1"/>
          <w:sz w:val="16"/>
          <w:szCs w:val="16"/>
        </w:rPr>
      </w:pPr>
    </w:p>
    <w:p w14:paraId="1D167A45" w14:textId="77777777" w:rsidR="003A5F91" w:rsidRPr="00925F26" w:rsidRDefault="003A5F91" w:rsidP="00925F26">
      <w:pPr>
        <w:jc w:val="both"/>
        <w:rPr>
          <w:color w:val="000000" w:themeColor="text1"/>
          <w:sz w:val="16"/>
          <w:szCs w:val="16"/>
        </w:rPr>
      </w:pPr>
      <w:r w:rsidRPr="00925F26">
        <w:rPr>
          <w:color w:val="000000" w:themeColor="text1"/>
          <w:sz w:val="16"/>
          <w:szCs w:val="16"/>
        </w:rPr>
        <w:t>21 января 1945 авианосцы британского Ост-Индского флота HMS Ameer и HMS Shah поддерживают высадку 26-й индийской пехотной дивизии на острове Рамри у побережья Бирмы (20371).</w:t>
      </w:r>
    </w:p>
    <w:p w14:paraId="025D7426" w14:textId="77777777" w:rsidR="003A5F91" w:rsidRPr="00925F26" w:rsidRDefault="003A5F91" w:rsidP="00925F26">
      <w:pPr>
        <w:jc w:val="both"/>
        <w:rPr>
          <w:color w:val="000000" w:themeColor="text1"/>
          <w:sz w:val="16"/>
          <w:szCs w:val="16"/>
        </w:rPr>
      </w:pPr>
    </w:p>
    <w:p w14:paraId="08CE0D0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3D634AF" w14:textId="77777777" w:rsidR="00C2313B" w:rsidRPr="00925F26" w:rsidRDefault="00C2313B" w:rsidP="00925F26">
      <w:pPr>
        <w:autoSpaceDE w:val="0"/>
        <w:autoSpaceDN w:val="0"/>
        <w:adjustRightInd w:val="0"/>
        <w:jc w:val="both"/>
        <w:rPr>
          <w:iCs/>
          <w:color w:val="000000" w:themeColor="text1"/>
          <w:sz w:val="16"/>
          <w:szCs w:val="16"/>
        </w:rPr>
      </w:pPr>
    </w:p>
    <w:p w14:paraId="2BAFFC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 января 1945 состоялся первый полет Як-3РД с ЖРД (2668).</w:t>
      </w:r>
    </w:p>
    <w:p w14:paraId="19740684" w14:textId="77777777" w:rsidR="00C2313B" w:rsidRPr="00925F26" w:rsidRDefault="00C2313B" w:rsidP="00925F26">
      <w:pPr>
        <w:autoSpaceDE w:val="0"/>
        <w:autoSpaceDN w:val="0"/>
        <w:adjustRightInd w:val="0"/>
        <w:jc w:val="both"/>
        <w:rPr>
          <w:color w:val="000000" w:themeColor="text1"/>
          <w:sz w:val="16"/>
          <w:szCs w:val="16"/>
        </w:rPr>
      </w:pPr>
    </w:p>
    <w:p w14:paraId="132AC7C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января 1945 г. состоялся первый полет истребителя Як-3РД с дополнительным жидкостным реактивным двигателем (ЖРД) (6395).</w:t>
      </w:r>
    </w:p>
    <w:p w14:paraId="6B3EDE4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5E14F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 января 1945г Осуществлен первый полет самолета Як-3РД с ЖРД РД-1ХЗ (11330).</w:t>
      </w:r>
    </w:p>
    <w:p w14:paraId="0FC55D06" w14:textId="77777777" w:rsidR="00C2313B" w:rsidRPr="00925F26" w:rsidRDefault="00C2313B" w:rsidP="00925F26">
      <w:pPr>
        <w:autoSpaceDE w:val="0"/>
        <w:autoSpaceDN w:val="0"/>
        <w:adjustRightInd w:val="0"/>
        <w:jc w:val="both"/>
        <w:rPr>
          <w:color w:val="000000" w:themeColor="text1"/>
          <w:sz w:val="16"/>
          <w:szCs w:val="16"/>
        </w:rPr>
      </w:pPr>
    </w:p>
    <w:p w14:paraId="218E5B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 января 1945 года В.Л. Расторгуев выполнил первый полет на Як-ЗРД без включения ЖРД.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6D6044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213992F3" w14:textId="77777777" w:rsidR="00C2313B" w:rsidRPr="00925F26" w:rsidRDefault="00C2313B" w:rsidP="00925F26">
      <w:pPr>
        <w:autoSpaceDE w:val="0"/>
        <w:autoSpaceDN w:val="0"/>
        <w:adjustRightInd w:val="0"/>
        <w:jc w:val="both"/>
        <w:rPr>
          <w:color w:val="000000" w:themeColor="text1"/>
          <w:sz w:val="16"/>
          <w:szCs w:val="16"/>
        </w:rPr>
      </w:pPr>
    </w:p>
    <w:p w14:paraId="38C74606" w14:textId="77777777" w:rsidR="004F53AD" w:rsidRPr="00925F26" w:rsidRDefault="004F53AD" w:rsidP="00925F26">
      <w:pPr>
        <w:jc w:val="both"/>
        <w:rPr>
          <w:color w:val="000000" w:themeColor="text1"/>
          <w:sz w:val="16"/>
          <w:szCs w:val="16"/>
        </w:rPr>
      </w:pPr>
      <w:r w:rsidRPr="00925F26">
        <w:rPr>
          <w:bCs/>
          <w:color w:val="000000" w:themeColor="text1"/>
          <w:sz w:val="16"/>
          <w:szCs w:val="16"/>
        </w:rPr>
        <w:t>22 января</w:t>
      </w:r>
      <w:r w:rsidRPr="00925F26">
        <w:rPr>
          <w:color w:val="000000" w:themeColor="text1"/>
          <w:sz w:val="16"/>
          <w:szCs w:val="16"/>
        </w:rPr>
        <w:t xml:space="preserve"> в 1945 году первый полет истребителя «Як-3РД» с дополнительным жидкостным ракетным двигателем, В.Л.Расторгуев (15017).</w:t>
      </w:r>
    </w:p>
    <w:p w14:paraId="4FD63489" w14:textId="77777777" w:rsidR="004F53AD" w:rsidRPr="00925F26" w:rsidRDefault="004F53AD" w:rsidP="00925F26">
      <w:pPr>
        <w:jc w:val="both"/>
        <w:rPr>
          <w:color w:val="000000" w:themeColor="text1"/>
          <w:sz w:val="16"/>
          <w:szCs w:val="16"/>
        </w:rPr>
      </w:pPr>
    </w:p>
    <w:p w14:paraId="67AA5C3C" w14:textId="77777777" w:rsidR="004F53AD" w:rsidRPr="00925F26" w:rsidRDefault="004F53AD" w:rsidP="00925F26">
      <w:pPr>
        <w:jc w:val="both"/>
        <w:rPr>
          <w:color w:val="000000" w:themeColor="text1"/>
          <w:sz w:val="16"/>
          <w:szCs w:val="16"/>
        </w:rPr>
      </w:pPr>
      <w:r w:rsidRPr="00925F26">
        <w:rPr>
          <w:bCs/>
          <w:color w:val="000000" w:themeColor="text1"/>
          <w:sz w:val="16"/>
          <w:szCs w:val="16"/>
        </w:rPr>
        <w:t>22 января</w:t>
      </w:r>
      <w:r w:rsidRPr="00925F26">
        <w:rPr>
          <w:color w:val="000000" w:themeColor="text1"/>
          <w:sz w:val="16"/>
          <w:szCs w:val="16"/>
        </w:rPr>
        <w:t xml:space="preserve"> в 1945 году катастрофа самолёта «Ме-110», лётчик-испытатель командир АП Журавлев В.С. Лётчик погиб при выполнении испытательного полёта (испытывал радиолокатор) (15017).</w:t>
      </w:r>
    </w:p>
    <w:p w14:paraId="0DA15C4A" w14:textId="77777777" w:rsidR="004F53AD" w:rsidRPr="00925F26" w:rsidRDefault="004F53AD" w:rsidP="00925F26">
      <w:pPr>
        <w:jc w:val="both"/>
        <w:rPr>
          <w:color w:val="000000" w:themeColor="text1"/>
          <w:sz w:val="16"/>
          <w:szCs w:val="16"/>
        </w:rPr>
      </w:pPr>
    </w:p>
    <w:p w14:paraId="5FEADFE7" w14:textId="77777777" w:rsidR="0070110A" w:rsidRPr="001A0BAA" w:rsidRDefault="0070110A" w:rsidP="0070110A">
      <w:pPr>
        <w:jc w:val="both"/>
        <w:rPr>
          <w:color w:val="0070C0"/>
          <w:sz w:val="16"/>
          <w:szCs w:val="16"/>
        </w:rPr>
      </w:pPr>
      <w:r w:rsidRPr="001A0BAA">
        <w:rPr>
          <w:color w:val="0070C0"/>
          <w:sz w:val="16"/>
          <w:szCs w:val="16"/>
        </w:rPr>
        <w:t>22-го января 1945 г. в ходе испытаний в НИИ ВВС «произошла катастрофа: Me-110, оснашенный</w:t>
      </w:r>
      <w:r w:rsidRPr="001A0BAA">
        <w:rPr>
          <w:color w:val="0070C0"/>
          <w:sz w:val="16"/>
          <w:szCs w:val="16"/>
          <w:shd w:val="clear" w:color="auto" w:fill="FFFFFF"/>
        </w:rPr>
        <w:t xml:space="preserve"> </w:t>
      </w:r>
      <w:r w:rsidRPr="001A0BAA">
        <w:rPr>
          <w:color w:val="0070C0"/>
          <w:sz w:val="16"/>
          <w:szCs w:val="16"/>
        </w:rPr>
        <w:t>радиолокатором FuG 202, разбился». Машины была найдена на аэродроме под Яссами, где немцы в спешке отступления оставили два самолета Bf 110G-4, оборудованные радиолокаторами. Правда, немцы успели нарушить работоспособность двигателей самолетов, но до радиолокационного оборудования руки у них не дошли. Моторы исправили, и оба самолета было приказано «своим ходом» срочно перегнать в Чкаловскую, в НИИ ВВС, для изучения. Один из «мессершмиттов» при перегонке разбился, второй, хоть и с трудом, но перегнали.</w:t>
      </w:r>
    </w:p>
    <w:p w14:paraId="509C8219" w14:textId="77777777" w:rsidR="0070110A" w:rsidRPr="001A0BAA" w:rsidRDefault="0070110A" w:rsidP="0070110A">
      <w:pPr>
        <w:jc w:val="both"/>
        <w:rPr>
          <w:color w:val="0070C0"/>
          <w:sz w:val="16"/>
          <w:szCs w:val="16"/>
        </w:rPr>
      </w:pPr>
      <w:r w:rsidRPr="001A0BAA">
        <w:rPr>
          <w:color w:val="0070C0"/>
          <w:sz w:val="16"/>
          <w:szCs w:val="16"/>
        </w:rPr>
        <w:t>В испытательную бригаду были назначены: летчик, командир полка Журавлев, инженер-испытатель майор Осипов и техник-лейтенант Мацкевич (25279).</w:t>
      </w:r>
    </w:p>
    <w:p w14:paraId="1F37E97A" w14:textId="77777777" w:rsidR="0070110A" w:rsidRPr="001A0BAA" w:rsidRDefault="0070110A" w:rsidP="0070110A">
      <w:pPr>
        <w:jc w:val="both"/>
        <w:rPr>
          <w:color w:val="0070C0"/>
          <w:sz w:val="16"/>
          <w:szCs w:val="16"/>
        </w:rPr>
      </w:pPr>
    </w:p>
    <w:p w14:paraId="025E4B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22-25 января 1944 л 19 ап ГВФ В.И.Чулков, Г.С.Бенкунский и Д.А.Папунашвили на трех С-47 совершили перелет из СССР в Англию по маршруту Москва - Тегеран - Каир - Триполи - Марсель - Лондон - 8800 км для доставки профсоюзной делегации на Всемирную конференцию профсоюзов (438,932).</w:t>
      </w:r>
    </w:p>
    <w:p w14:paraId="767D14E1" w14:textId="77777777" w:rsidR="00C2313B" w:rsidRPr="00925F26" w:rsidRDefault="00C2313B" w:rsidP="00925F26">
      <w:pPr>
        <w:autoSpaceDE w:val="0"/>
        <w:autoSpaceDN w:val="0"/>
        <w:adjustRightInd w:val="0"/>
        <w:jc w:val="both"/>
        <w:rPr>
          <w:color w:val="000000" w:themeColor="text1"/>
          <w:sz w:val="16"/>
          <w:szCs w:val="16"/>
        </w:rPr>
      </w:pPr>
    </w:p>
    <w:p w14:paraId="3796F87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5C7FB2D" w14:textId="77777777" w:rsidR="00C2313B" w:rsidRPr="00925F26" w:rsidRDefault="00C2313B" w:rsidP="00925F26">
      <w:pPr>
        <w:autoSpaceDE w:val="0"/>
        <w:autoSpaceDN w:val="0"/>
        <w:adjustRightInd w:val="0"/>
        <w:jc w:val="both"/>
        <w:rPr>
          <w:iCs/>
          <w:color w:val="000000" w:themeColor="text1"/>
          <w:sz w:val="16"/>
          <w:szCs w:val="16"/>
        </w:rPr>
      </w:pPr>
    </w:p>
    <w:p w14:paraId="53FBBB6C" w14:textId="77777777" w:rsidR="004F53AD" w:rsidRPr="00925F26" w:rsidRDefault="004F53AD" w:rsidP="00925F26">
      <w:pPr>
        <w:jc w:val="both"/>
        <w:rPr>
          <w:color w:val="000000" w:themeColor="text1"/>
          <w:sz w:val="16"/>
          <w:szCs w:val="16"/>
        </w:rPr>
      </w:pPr>
      <w:r w:rsidRPr="00925F26">
        <w:rPr>
          <w:bCs/>
          <w:color w:val="000000" w:themeColor="text1"/>
          <w:sz w:val="16"/>
          <w:szCs w:val="16"/>
        </w:rPr>
        <w:t>22 января</w:t>
      </w:r>
      <w:r w:rsidRPr="00925F26">
        <w:rPr>
          <w:color w:val="000000" w:themeColor="text1"/>
          <w:sz w:val="16"/>
          <w:szCs w:val="16"/>
        </w:rPr>
        <w:t xml:space="preserve"> в 1945 году оперативная сводка Совинформбюро:</w:t>
      </w:r>
    </w:p>
    <w:p w14:paraId="7B520269"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3-го Белорусского фронта 22 января штурмом овладели в Восточной Пруссии городом Инстербург — важным узлом коммуникаций и мощным укреплённым районом обороны немцев на путях к Кенигсбергу, а также с боями заняли более 200 других населённых пунктов, в числе которых Немонин, Карльсроде, Агилла, Минхенвальде, Жаргиллен, Аугстагиррен, Альт Гертлаукен, Ажлакен, Келлмиш Демерау, Вилькендорф, Петерсдорф, Таплаккен, Заалау, Вирткаллен, Георгенталь, Картенингкен, Жамайтшен, Йеблонскен, Ковален, Мирунскен.</w:t>
      </w:r>
    </w:p>
    <w:p w14:paraId="143370BB"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Белорусского фронта, развивая стремительное наступление в глубь Восточной Пруссии, 22 января овладели городами Алленштайн, Остероде и Дойтш-Айлау — важными узлами железных и шоссейных дорог и сильно укреплёнными опорными пунктами обороны немцев, прикрывающими с юга центральные районы Восточной Пруссии, а также с боями заняли более 100 других населённых пунктов. Одновременно войска фронта овладели на территории Польши важным узлом шоссейных дорог городом Рыпин и с боями заняли более 250 других населённых пунктов, среди которых Радомно, Новы Двур, Сугаенко, Сверчины, Скрвильно, Блинно, Скемпе, Павлово, Маляново-Старе, Мохово, Тлухузко, Велька-Тужа, Добжин Над Вислом.</w:t>
      </w:r>
    </w:p>
    <w:p w14:paraId="14786FB5"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Белорусского фронта, продолжая наступление, 22 января с боем овладели городами Хоэнзалыда (Иновроцлав), Александров, Аргенау и Лабишин — важными узлами коммуникаций и опорными пунктами обороны немцев на подступах к городу Бромберг (Быдгощ). К исходу дня войска фронта в результате стремительного наступления танковых соединений и пехоты овладели городом Гнезен (Гнезно) — важным узлом железных и шоссейных дорог и мощным опорным пунктом обороны немцев на путях к городу Познань. В ходе наступательных боёв за 22 января войска фронта овладели также городами Крушвитц, Петркув-Куявски, Повидз, Клечев, Владыславув, Варто, Став и заняли более 1.000 других населённых пунктов.</w:t>
      </w:r>
    </w:p>
    <w:p w14:paraId="6B6227F3"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Украинского фронта западнее Ченстохова овладели на территории Германии важными узлами шоссейных дорог городами Конштадт и Гросс Стрелитц, а также с боями заняли более 150 других немецких населённых пунктов, среди которых крупные населённые пункты Глауше, Каульвитц, Бухельсдорф, Хейнерсдорф, Нольдау, Карлсруе, Германсталь, Зальцбрун, Брюнне, Лугендорф, Ильнау, Фихтек, Фридрихсгретц, Графенвейлер, Зандовитц, Хорнекк и железнодорожные станции Нольдау, Обервайден, Шмардт, Кифернвальде, Германсталь.</w:t>
      </w:r>
    </w:p>
    <w:p w14:paraId="2FA39422" w14:textId="77777777" w:rsidR="004F53AD" w:rsidRPr="00925F26" w:rsidRDefault="004F53AD" w:rsidP="00925F26">
      <w:pPr>
        <w:jc w:val="both"/>
        <w:rPr>
          <w:color w:val="000000" w:themeColor="text1"/>
          <w:sz w:val="16"/>
          <w:szCs w:val="16"/>
        </w:rPr>
      </w:pPr>
      <w:r w:rsidRPr="00925F26">
        <w:rPr>
          <w:color w:val="000000" w:themeColor="text1"/>
          <w:sz w:val="16"/>
          <w:szCs w:val="16"/>
        </w:rPr>
        <w:t>За десять дней наступательных боёв — с 12 по 21 января — войска 1-го Украинского фронта нанесли противнику следующие потери в живой силе и технике: уничтожена — танков и самоходных орудий — 480, орудий — более 900, бронетранспортёров— 420, автомашин — свыше 15.000. Противник потерял только убитыми свыше 60.000 солдат и офицеров.</w:t>
      </w:r>
    </w:p>
    <w:p w14:paraId="3176A3C2" w14:textId="77777777" w:rsidR="004F53AD" w:rsidRPr="00925F26" w:rsidRDefault="004F53AD" w:rsidP="00925F26">
      <w:pPr>
        <w:jc w:val="both"/>
        <w:rPr>
          <w:color w:val="000000" w:themeColor="text1"/>
          <w:sz w:val="16"/>
          <w:szCs w:val="16"/>
        </w:rPr>
      </w:pPr>
      <w:r w:rsidRPr="00925F26">
        <w:rPr>
          <w:color w:val="000000" w:themeColor="text1"/>
          <w:sz w:val="16"/>
          <w:szCs w:val="16"/>
        </w:rPr>
        <w:t>За это же время войска фронта захватили следующие трофеи: танков и самоходных орудий — 254, орудий — 1.580, миномётов — свыше 2.500, бронетранспортёров— 244, автомашин — 6.500, паровозов — 22, железнодорожных вагонов— 1.200 и большое количество разных складов с продовольствием и военным имуществом и крупные артиллерийские склады. Взято в плен более 21.000 немецких солдат и офицеров.</w:t>
      </w:r>
    </w:p>
    <w:p w14:paraId="2F75274A" w14:textId="77777777" w:rsidR="004F53AD" w:rsidRPr="00925F26" w:rsidRDefault="004F53AD" w:rsidP="00925F26">
      <w:pPr>
        <w:jc w:val="both"/>
        <w:rPr>
          <w:color w:val="000000" w:themeColor="text1"/>
          <w:sz w:val="16"/>
          <w:szCs w:val="16"/>
        </w:rPr>
      </w:pPr>
      <w:r w:rsidRPr="00925F26">
        <w:rPr>
          <w:color w:val="000000" w:themeColor="text1"/>
          <w:sz w:val="16"/>
          <w:szCs w:val="16"/>
        </w:rPr>
        <w:t>Южнее и юго-восточнее Кракова наши войска, продолжая наступление, овладели на территории Польши городом Величка, а также с боями заняли более 50 других населённых пунктов; среди них — Козьмице, Гдув, Виняры, Бжончовице, Добчице, Мысьленице, Касинка, Мшана Дольна, Бегонице, Гомжиска, Угрынь, Мушина.</w:t>
      </w:r>
    </w:p>
    <w:p w14:paraId="3C71053E" w14:textId="77777777" w:rsidR="004F53AD" w:rsidRPr="00925F26" w:rsidRDefault="004F53AD" w:rsidP="00925F26">
      <w:pPr>
        <w:jc w:val="both"/>
        <w:rPr>
          <w:color w:val="000000" w:themeColor="text1"/>
          <w:sz w:val="16"/>
          <w:szCs w:val="16"/>
        </w:rPr>
      </w:pPr>
      <w:r w:rsidRPr="00925F26">
        <w:rPr>
          <w:color w:val="000000" w:themeColor="text1"/>
          <w:sz w:val="16"/>
          <w:szCs w:val="16"/>
        </w:rPr>
        <w:t>Северо-западнее города Кошице наши войска, действуя в трудных условиях горно-лесистой местности в полосе Карпат, с боями заняли на территории Чехословакии населённые пункты Каменица, Кривьяны, Рошковяны, Ренцишов, Клукнава, Гельница, Злата Идка.</w:t>
      </w:r>
    </w:p>
    <w:p w14:paraId="56E300AD" w14:textId="77777777" w:rsidR="004F53AD" w:rsidRPr="00925F26" w:rsidRDefault="004F53AD" w:rsidP="00925F26">
      <w:pPr>
        <w:jc w:val="both"/>
        <w:rPr>
          <w:color w:val="000000" w:themeColor="text1"/>
          <w:sz w:val="16"/>
          <w:szCs w:val="16"/>
        </w:rPr>
      </w:pPr>
      <w:r w:rsidRPr="00925F26">
        <w:rPr>
          <w:color w:val="000000" w:themeColor="text1"/>
          <w:sz w:val="16"/>
          <w:szCs w:val="16"/>
        </w:rPr>
        <w:lastRenderedPageBreak/>
        <w:t>В Будапеште наши войска, продолжая бои по уничтожению окружённого гарнизона противника, заняли в западной части города (Буда) 20 кварталов.</w:t>
      </w:r>
    </w:p>
    <w:p w14:paraId="5D9DCEED" w14:textId="77777777" w:rsidR="004F53AD" w:rsidRPr="00925F26" w:rsidRDefault="004F53AD" w:rsidP="00925F26">
      <w:pPr>
        <w:jc w:val="both"/>
        <w:rPr>
          <w:color w:val="000000" w:themeColor="text1"/>
          <w:sz w:val="16"/>
          <w:szCs w:val="16"/>
        </w:rPr>
      </w:pPr>
      <w:r w:rsidRPr="00925F26">
        <w:rPr>
          <w:color w:val="000000" w:themeColor="text1"/>
          <w:sz w:val="16"/>
          <w:szCs w:val="16"/>
        </w:rPr>
        <w:t>В районе города Секешфехервар наши войска продолжали отбивать атаки крупных сил пехоты и танков противника. Ценою больших потерь в живой силе и технике противнику удалось занять несколько населённых пунктов.</w:t>
      </w:r>
    </w:p>
    <w:p w14:paraId="0A185163" w14:textId="77777777" w:rsidR="004F53AD" w:rsidRPr="00925F26" w:rsidRDefault="004F53AD" w:rsidP="00925F26">
      <w:pPr>
        <w:jc w:val="both"/>
        <w:rPr>
          <w:color w:val="000000" w:themeColor="text1"/>
          <w:sz w:val="16"/>
          <w:szCs w:val="16"/>
        </w:rPr>
      </w:pPr>
      <w:r w:rsidRPr="00925F26">
        <w:rPr>
          <w:color w:val="000000" w:themeColor="text1"/>
          <w:sz w:val="16"/>
          <w:szCs w:val="16"/>
        </w:rPr>
        <w:t>За 21 января наши войска на всех фронтах подбили и уничтожили 125 немецких танков. В воздушных боях и огнём зенитной артиллерии сбито 33 самолёта противника.</w:t>
      </w:r>
    </w:p>
    <w:p w14:paraId="61F6FD08"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3-го Белорусского фронта продолжали успешное наступление. Противник, опираясь на мощные оборонительные сооружения, оказывал упорное сопротивление и часто переходил в контратаки. Советские пехотинцы и танкисты, совершив обходный манёвр, с севера прорвали оборонительные рубежи Инстербургского укреплённого района и вышли к реке Прегель. Не давая врагу опомниться и привести себя в порядок, наши части с хода переправились через реку и сегодня рано утром штурмом овладели городом Инстербург—узлом шоссейных и семи железных дорог. Таким образом, наши войска разгромили ещё один важнейший узел сопротивления немцев в Восточной Пруссии, состоявший из многоэтажных железобетонных дотов, усовершенствованных траншей, противотанковых рвов и других укреплений. В боях за Инстербург немцы потеряли убитыми до двух тысяч своих солдат и офицеров. По неполным данным, наши части захватили 9 танков, 46 полевых орудий и более 500 пленных.</w:t>
      </w:r>
    </w:p>
    <w:p w14:paraId="5B561357"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Белорусского фронта продвигались в глубь Восточной Пруссии. Советские части, действующие в трудных условиях лесисто-болотистой местности, с боями вышли на подступы к городу Алленштайн. Гитлеровцы упорно обороняли этот важнейший узел коммуникаций, расположенный на железнодорожной магистрали Инстербург—Познань. Многочисленные доты и дзоты прикрывали город со всех сторон. В ожесточённом бою наши войска разгромили крупные силы врага и овладели городом Алленштайн. Другие советские соединения заняли города Остероде и Дойтш-Айлау — сильно укреплённые пункты обороны немцев в Восточной Пруссии. Взято в плен свыше 600 солдат и офицеров противника.</w:t>
      </w:r>
    </w:p>
    <w:p w14:paraId="1030DEFA"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Белорусского фронта продолжали стремительное наступление. На Бромбергском направлении противник, обескровленный в последних боях, усилил свои потрёпанные дивизии охранными и сапёрными батальонами, полком связи и другими тыловыми и специальными подразделениями. Немцы, опираясь на заранее подготовленные рубежи, пытались организовать оборону. Однако все эти попытки гитлеровцев закончились неудачей. Советские части разгромили вражеские гарнизоны в ряде опорных пунктов. Преследуя немцев, наши войска ворвались в город Хоэнзальца (Иновроцлав) и к исходу дня овладели им. Занят также город Лабишин, находящийся в 18 километрах южнее города Бромберг. Другие наши части, преодолев обширный район, изобилующий озёрами, сегодня к исходу дня овладели городом Гнезен (Гнезно). Этот город является крупным узлом железных и шоссейных дорог и находится в 50 километрах восточнее порода Познань.</w:t>
      </w:r>
    </w:p>
    <w:p w14:paraId="3DE6E5A7" w14:textId="77777777" w:rsidR="004F53AD" w:rsidRPr="00925F26" w:rsidRDefault="004F53AD" w:rsidP="00925F26">
      <w:pPr>
        <w:jc w:val="both"/>
        <w:rPr>
          <w:color w:val="000000" w:themeColor="text1"/>
          <w:sz w:val="16"/>
          <w:szCs w:val="16"/>
        </w:rPr>
      </w:pPr>
      <w:r w:rsidRPr="00925F26">
        <w:rPr>
          <w:color w:val="000000" w:themeColor="text1"/>
          <w:sz w:val="16"/>
          <w:szCs w:val="16"/>
        </w:rPr>
        <w:t>Очищая леса восточнее и западнее города Лодзь, наши части взяли в плен 1.720 немцев. Захвачено у противника 50 танков и самоходных орудий, 250 автомашин и много других трофеев.</w:t>
      </w:r>
    </w:p>
    <w:p w14:paraId="5E05006C"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Украинского фронта развивали наступление на территории немецкой Силезии. Противник непрерывно подводит свежие части и с хода бросает их в бой. Особенно ожесточённые бои произошли на подступах к городу Гросс Стрелитц. На восточных подступах к городу немцы построили доты с бронированными куполами. Наши танкисты и пехотинцы умелым манёвром обошли основные опорные пункты вражеской обороны и стремительным ударом овладели городом. Занят также населённый пункт Брюнне, расположенный в 14 километрах севернее города Оппельн.</w:t>
      </w:r>
    </w:p>
    <w:p w14:paraId="00EE1764" w14:textId="77777777" w:rsidR="004F53AD" w:rsidRPr="00925F26" w:rsidRDefault="004F53AD" w:rsidP="00925F26">
      <w:pPr>
        <w:jc w:val="both"/>
        <w:rPr>
          <w:color w:val="000000" w:themeColor="text1"/>
          <w:sz w:val="16"/>
          <w:szCs w:val="16"/>
        </w:rPr>
      </w:pPr>
      <w:r w:rsidRPr="00925F26">
        <w:rPr>
          <w:color w:val="000000" w:themeColor="text1"/>
          <w:sz w:val="16"/>
          <w:szCs w:val="16"/>
        </w:rPr>
        <w:t>В одном районе в лесах ликвидирована окружённая группировка противника. В течение дня уничтожено до четырёх тысяч гитлеровцев. На поле боя обнаружен труп командира 56-го немецкого танкового корпуса генерал-лейтенанта фон Блока. Среди пленных — командир и начальник штаба 10-й немецкой моторизованной дивизии.» (15017).</w:t>
      </w:r>
    </w:p>
    <w:p w14:paraId="4903F6DF" w14:textId="77777777" w:rsidR="004F53AD" w:rsidRPr="00925F26" w:rsidRDefault="004F53AD" w:rsidP="00925F26">
      <w:pPr>
        <w:jc w:val="both"/>
        <w:rPr>
          <w:color w:val="000000" w:themeColor="text1"/>
          <w:sz w:val="16"/>
          <w:szCs w:val="16"/>
        </w:rPr>
      </w:pPr>
    </w:p>
    <w:p w14:paraId="3822B4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 января 1945 КА форсировала Одер у Оппельна (Ополе) (3907,255).</w:t>
      </w:r>
    </w:p>
    <w:p w14:paraId="2683232A" w14:textId="77777777" w:rsidR="00C2313B" w:rsidRPr="00925F26" w:rsidRDefault="00C2313B" w:rsidP="00925F26">
      <w:pPr>
        <w:autoSpaceDE w:val="0"/>
        <w:autoSpaceDN w:val="0"/>
        <w:adjustRightInd w:val="0"/>
        <w:jc w:val="both"/>
        <w:rPr>
          <w:color w:val="000000" w:themeColor="text1"/>
          <w:sz w:val="16"/>
          <w:szCs w:val="16"/>
        </w:rPr>
      </w:pPr>
    </w:p>
    <w:p w14:paraId="0FE8D7E7" w14:textId="77777777" w:rsidR="004F53AD" w:rsidRPr="00925F26" w:rsidRDefault="004F53AD" w:rsidP="00925F26">
      <w:pPr>
        <w:jc w:val="both"/>
        <w:rPr>
          <w:color w:val="000000" w:themeColor="text1"/>
          <w:sz w:val="16"/>
          <w:szCs w:val="16"/>
          <w:lang w:val="en-US"/>
        </w:rPr>
      </w:pPr>
      <w:r w:rsidRPr="00925F26">
        <w:rPr>
          <w:bCs/>
          <w:color w:val="000000" w:themeColor="text1"/>
          <w:sz w:val="16"/>
          <w:szCs w:val="16"/>
        </w:rPr>
        <w:t>22 января</w:t>
      </w:r>
      <w:r w:rsidRPr="00925F26">
        <w:rPr>
          <w:color w:val="000000" w:themeColor="text1"/>
          <w:sz w:val="16"/>
          <w:szCs w:val="16"/>
        </w:rPr>
        <w:t xml:space="preserve"> в 1945 году войска 3-го Белорусского фронта овладели в Восточной Пруссии город Инстербург. Немецкие войска под угрозой окружения начали отход из района Мазурских озёр в северо-западном направлении. Передовые части 1-го Украинского фронта вышли к реке Одер, 1-го Белорусского фронта - к познанскому оборонительному рубежу. Войска</w:t>
      </w:r>
      <w:r w:rsidRPr="00925F26">
        <w:rPr>
          <w:color w:val="000000" w:themeColor="text1"/>
          <w:sz w:val="16"/>
          <w:szCs w:val="16"/>
          <w:lang w:val="en-US"/>
        </w:rPr>
        <w:t xml:space="preserve"> 3-</w:t>
      </w:r>
      <w:r w:rsidRPr="00925F26">
        <w:rPr>
          <w:color w:val="000000" w:themeColor="text1"/>
          <w:sz w:val="16"/>
          <w:szCs w:val="16"/>
        </w:rPr>
        <w:t>гоУкраинскогофронтаоставилигородСекешфехерварвВенгрии</w:t>
      </w:r>
      <w:r w:rsidRPr="00925F26">
        <w:rPr>
          <w:color w:val="000000" w:themeColor="text1"/>
          <w:sz w:val="16"/>
          <w:szCs w:val="16"/>
          <w:lang w:val="en-US"/>
        </w:rPr>
        <w:t xml:space="preserve"> (15017).</w:t>
      </w:r>
    </w:p>
    <w:p w14:paraId="72AF83FE" w14:textId="77777777" w:rsidR="004F53AD" w:rsidRPr="00925F26" w:rsidRDefault="004F53AD" w:rsidP="00925F26">
      <w:pPr>
        <w:jc w:val="both"/>
        <w:rPr>
          <w:color w:val="000000" w:themeColor="text1"/>
          <w:sz w:val="16"/>
          <w:szCs w:val="16"/>
          <w:lang w:val="en-US"/>
        </w:rPr>
      </w:pPr>
    </w:p>
    <w:p w14:paraId="5267A7A0"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22, 1945: Advancing in East Prussia, the Red Army captures Insterburg and Allenstein (3819).</w:t>
      </w:r>
    </w:p>
    <w:p w14:paraId="6D9684CE" w14:textId="77777777" w:rsidR="00C2313B" w:rsidRPr="00925F26" w:rsidRDefault="00C2313B" w:rsidP="00925F26">
      <w:pPr>
        <w:autoSpaceDE w:val="0"/>
        <w:autoSpaceDN w:val="0"/>
        <w:adjustRightInd w:val="0"/>
        <w:jc w:val="both"/>
        <w:rPr>
          <w:color w:val="000000" w:themeColor="text1"/>
          <w:sz w:val="16"/>
          <w:szCs w:val="16"/>
          <w:lang w:val="en-US"/>
        </w:rPr>
      </w:pPr>
    </w:p>
    <w:p w14:paraId="4271D1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 января 1945 КА захватила Истенбург и Алленштайн (3819).</w:t>
      </w:r>
    </w:p>
    <w:p w14:paraId="2377DB48" w14:textId="77777777" w:rsidR="00C2313B" w:rsidRPr="00925F26" w:rsidRDefault="00C2313B" w:rsidP="00925F26">
      <w:pPr>
        <w:autoSpaceDE w:val="0"/>
        <w:autoSpaceDN w:val="0"/>
        <w:adjustRightInd w:val="0"/>
        <w:jc w:val="both"/>
        <w:rPr>
          <w:color w:val="000000" w:themeColor="text1"/>
          <w:sz w:val="16"/>
          <w:szCs w:val="16"/>
        </w:rPr>
      </w:pPr>
    </w:p>
    <w:p w14:paraId="1FD95746" w14:textId="033823F4" w:rsidR="00C42903" w:rsidRPr="00925F26" w:rsidRDefault="00C42903"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46FD8E07" w14:textId="77777777" w:rsidR="00C42903" w:rsidRPr="00925F26" w:rsidRDefault="00C42903" w:rsidP="00925F26">
      <w:pPr>
        <w:autoSpaceDE w:val="0"/>
        <w:autoSpaceDN w:val="0"/>
        <w:adjustRightInd w:val="0"/>
        <w:jc w:val="both"/>
        <w:rPr>
          <w:i/>
          <w:iCs/>
          <w:color w:val="000000" w:themeColor="text1"/>
          <w:sz w:val="16"/>
          <w:szCs w:val="16"/>
        </w:rPr>
      </w:pPr>
    </w:p>
    <w:p w14:paraId="1BC80BAE" w14:textId="77777777" w:rsidR="00C42903" w:rsidRPr="00925F26" w:rsidRDefault="00C42903" w:rsidP="00925F26">
      <w:pPr>
        <w:jc w:val="both"/>
        <w:rPr>
          <w:color w:val="000000" w:themeColor="text1"/>
          <w:sz w:val="16"/>
          <w:szCs w:val="16"/>
        </w:rPr>
      </w:pPr>
      <w:r w:rsidRPr="00925F26">
        <w:rPr>
          <w:color w:val="000000" w:themeColor="text1"/>
          <w:sz w:val="16"/>
          <w:szCs w:val="16"/>
        </w:rPr>
        <w:t>22 января 1945 самолеты оперативной группы 38 наносят ранним утром ночной удар по Формозе, потопив большой танкер в обмен на потерю трех американских самолетов, затем совершают 682 самолето-вылета в светлое время суток, чтобы нанести удар и провести фоторазведку против Окинавы, Сакисима Гунто, Иэ Сима , и Амами О Шима, уничтожив 28 японских самолетов на земле. Затем оперативная группа 38 возвращается на свою базу на атолле Улити. В течение января 1945 года ее самолеты уничтожили 300 000 тоннажа японских судов и заявили, что 615 японских самолетов были уничтожены в обмен на потерю 201 американских (20371).</w:t>
      </w:r>
    </w:p>
    <w:p w14:paraId="6474C2FD" w14:textId="77777777" w:rsidR="00C42903" w:rsidRPr="00925F26" w:rsidRDefault="00C42903" w:rsidP="00925F26">
      <w:pPr>
        <w:jc w:val="both"/>
        <w:rPr>
          <w:color w:val="000000" w:themeColor="text1"/>
          <w:sz w:val="16"/>
          <w:szCs w:val="16"/>
        </w:rPr>
      </w:pPr>
    </w:p>
    <w:p w14:paraId="6E695E44" w14:textId="77777777" w:rsidR="00C42903" w:rsidRPr="00925F26" w:rsidRDefault="00C42903" w:rsidP="00925F26">
      <w:pPr>
        <w:jc w:val="both"/>
        <w:rPr>
          <w:color w:val="000000" w:themeColor="text1"/>
          <w:sz w:val="16"/>
          <w:szCs w:val="16"/>
        </w:rPr>
      </w:pPr>
      <w:r w:rsidRPr="00925F26">
        <w:rPr>
          <w:color w:val="000000" w:themeColor="text1"/>
          <w:sz w:val="16"/>
          <w:szCs w:val="16"/>
        </w:rPr>
        <w:t>22 января 1945 самолеты ВВС США начинают интенсивную бомбардировку японских войск на Коррегидоре. К моменту высадки сухопутных войск США на Коррегидор 15–16 февраля они сбросят на остров более 3200 тонн (2 903 021 кг) бомб (20371).</w:t>
      </w:r>
    </w:p>
    <w:p w14:paraId="5B52484B" w14:textId="77777777" w:rsidR="00C42903" w:rsidRPr="00925F26" w:rsidRDefault="00C42903" w:rsidP="00925F26">
      <w:pPr>
        <w:jc w:val="both"/>
        <w:rPr>
          <w:color w:val="000000" w:themeColor="text1"/>
          <w:sz w:val="16"/>
          <w:szCs w:val="16"/>
        </w:rPr>
      </w:pPr>
    </w:p>
    <w:p w14:paraId="7EAC4D2B" w14:textId="77777777" w:rsidR="00C42903" w:rsidRPr="00925F26" w:rsidRDefault="00C42903" w:rsidP="00925F26">
      <w:pPr>
        <w:jc w:val="both"/>
        <w:rPr>
          <w:color w:val="000000" w:themeColor="text1"/>
          <w:sz w:val="16"/>
          <w:szCs w:val="16"/>
        </w:rPr>
      </w:pPr>
      <w:r w:rsidRPr="00925F26">
        <w:rPr>
          <w:color w:val="000000" w:themeColor="text1"/>
          <w:sz w:val="16"/>
          <w:szCs w:val="16"/>
        </w:rPr>
        <w:t>22 января 1945г. началась погрузка на борт «Вильгельма Густлоффа» военнослужащих и беженцев. Первыми разместили несколько десятков офицеров-подводников, затем несколько сотен женщин, проходивших службу во флотском вспомогательном дивизионе, несколько сотен раненых солдат, а потом стали пускать беженцев, отдавая преимущество женщинам и детям. К 30 января на борт судна приняли свыше 9 тысяч человек. Около 12.30 корабль отправился в свой последний путь. Двигаясь в ночное время, якобы в ожидании встречи с конвоем тральщиков, капитан отдал явно губительное распоряжение включить все огни. В результате ярко освещенный лайнер был замечен советской подводной лодкой С – 13, под командованием капитана третьего ранга Александра Маринеско. В течение двух часов лодка шла за кораблем, выбирая удобную для атаки позицию. Когда капитан «Вильгельма Густлоффа» Петерсон, потеряв надежду дождаться конвой тральщиков, в 19.30 дал команду потушить огни, было уже поздно.</w:t>
      </w:r>
    </w:p>
    <w:p w14:paraId="3319685A" w14:textId="77777777" w:rsidR="00C42903" w:rsidRPr="00925F26" w:rsidRDefault="00C42903" w:rsidP="00925F26">
      <w:pPr>
        <w:jc w:val="both"/>
        <w:rPr>
          <w:color w:val="000000" w:themeColor="text1"/>
          <w:sz w:val="16"/>
          <w:szCs w:val="16"/>
        </w:rPr>
      </w:pPr>
      <w:r w:rsidRPr="00925F26">
        <w:rPr>
          <w:color w:val="000000" w:themeColor="text1"/>
          <w:sz w:val="16"/>
          <w:szCs w:val="16"/>
        </w:rPr>
        <w:t>В 21.04, с дистанции менее одного километра, С – 13 пустила первую торпеду, а затем еще две. Четвертая торпеда застряла в торпедном аппарате, едва не потопив саму лодку, но, на счастье, не взорвалась. Вскоре, в 21.16, первая торпеда распорола носовую часть лайнера, вторая угодила в бассейн, а третья - в машинное отделение.</w:t>
      </w:r>
    </w:p>
    <w:p w14:paraId="70C516BD" w14:textId="77777777" w:rsidR="00C42903" w:rsidRPr="00925F26" w:rsidRDefault="00C42903" w:rsidP="00925F26">
      <w:pPr>
        <w:jc w:val="both"/>
        <w:rPr>
          <w:color w:val="000000" w:themeColor="text1"/>
          <w:sz w:val="16"/>
          <w:szCs w:val="16"/>
        </w:rPr>
      </w:pPr>
      <w:r w:rsidRPr="00925F26">
        <w:rPr>
          <w:color w:val="000000" w:themeColor="text1"/>
          <w:sz w:val="16"/>
          <w:szCs w:val="16"/>
        </w:rPr>
        <w:t>Часть пассажиров погибла от взрывов, часть утонула в каютах нижних палуб, а оставшиеся в живых бросились к спасательным шлюпкам. Из-за создавшейся паники и давки погибла еще одна часть пассажиров. В большинстве женщины и дети. Приказав заблокировать водонепроницаемые отсеки, капитан Петерсон заблокировал и часть команды, которая должна была спускать шлюпки, а пассажиры не умели этого делать.</w:t>
      </w:r>
    </w:p>
    <w:p w14:paraId="54064CE4" w14:textId="77777777" w:rsidR="00C42903" w:rsidRPr="00925F26" w:rsidRDefault="00C42903" w:rsidP="00925F26">
      <w:pPr>
        <w:jc w:val="both"/>
        <w:rPr>
          <w:color w:val="000000" w:themeColor="text1"/>
          <w:sz w:val="16"/>
          <w:szCs w:val="16"/>
        </w:rPr>
      </w:pPr>
      <w:r w:rsidRPr="00925F26">
        <w:rPr>
          <w:color w:val="000000" w:themeColor="text1"/>
          <w:sz w:val="16"/>
          <w:szCs w:val="16"/>
        </w:rPr>
        <w:t>Корабль из состава сопровождения миноносец «Лев» начал спасение. Всего кораблю удалось спасти 472 пассажиров. Рядом с местом трагедии прошел имевший на своем борту полторы тысячи пассажиров крейсер «Адмирал Хиппер». Прошел не останавливаясь, так как опасался торпедной атаки. Единственному кораблю его конвоя - эсминцу Т – 38 - удалось достать из воды 179 человек. Суда, прибывшие через час с небольшим, живых не застали. В ледяной воде плавали только трупы и обломки. По максимальным оценкам, потери были оценены в 8-9 тысяч человек. Выжило приблизительно около 2 000 человек.</w:t>
      </w:r>
    </w:p>
    <w:p w14:paraId="10C0A6F7" w14:textId="77777777" w:rsidR="00C42903" w:rsidRPr="00925F26" w:rsidRDefault="00C42903" w:rsidP="00925F26">
      <w:pPr>
        <w:jc w:val="both"/>
        <w:rPr>
          <w:color w:val="000000" w:themeColor="text1"/>
          <w:sz w:val="16"/>
          <w:szCs w:val="16"/>
        </w:rPr>
      </w:pPr>
      <w:r w:rsidRPr="00925F26">
        <w:rPr>
          <w:color w:val="000000" w:themeColor="text1"/>
          <w:sz w:val="16"/>
          <w:szCs w:val="16"/>
        </w:rPr>
        <w:t>В различных источниках состав пассажиров "Густлова" сильно варьируется. По количеству погибших - от 4 до 8 тысяч. По составу пассажиров тоже непонятно: то "беженцы и военные", то "беженцы, военные, раненые и заключенные".</w:t>
      </w:r>
    </w:p>
    <w:p w14:paraId="49D206EE" w14:textId="77777777" w:rsidR="00C42903" w:rsidRPr="00925F26" w:rsidRDefault="00C42903" w:rsidP="00925F26">
      <w:pPr>
        <w:jc w:val="both"/>
        <w:rPr>
          <w:color w:val="000000" w:themeColor="text1"/>
          <w:sz w:val="16"/>
          <w:szCs w:val="16"/>
        </w:rPr>
      </w:pPr>
      <w:r w:rsidRPr="00925F26">
        <w:rPr>
          <w:color w:val="000000" w:themeColor="text1"/>
          <w:sz w:val="16"/>
          <w:szCs w:val="16"/>
        </w:rPr>
        <w:t>Один из источников дает следующий состав пассажиров "Густлова": на момент гибели его борту находилось 918 военных моряков, 373 из женской вспомогательной части флота, 162 раненых военнослужащих, 173 члена экипажа (гражданских моряков) и 4424 беженца. Всего 6050. Кроме них, внесенных в списки, на борт "Густлова" удалось попасть еще до 2 тысяч беженцев. Всего было спасено 876 человек. Погибло 16 офицеров учебной дивизии подводных сил, 390 курсантов, 250 женщин-военнослужащих, 90 членов экипажа, а также раненые военнослужащие.</w:t>
      </w:r>
    </w:p>
    <w:p w14:paraId="1960B0F4" w14:textId="77777777" w:rsidR="00C42903" w:rsidRPr="00925F26" w:rsidRDefault="00C42903" w:rsidP="00925F26">
      <w:pPr>
        <w:jc w:val="both"/>
        <w:rPr>
          <w:color w:val="000000" w:themeColor="text1"/>
          <w:sz w:val="16"/>
          <w:szCs w:val="16"/>
        </w:rPr>
      </w:pPr>
      <w:r w:rsidRPr="00925F26">
        <w:rPr>
          <w:color w:val="000000" w:themeColor="text1"/>
          <w:sz w:val="16"/>
          <w:szCs w:val="16"/>
        </w:rPr>
        <w:t>«Вильгельм Густлофф» - немецкий пассажирский лайнер, названный в честь убитого нацистского партийного деятеля. Корабль был спущен на воду в 1937 году и принадлежал организации «Сила через радость», которая фактически была самым крупным туроператором Третьего рейха.</w:t>
      </w:r>
    </w:p>
    <w:p w14:paraId="2D7147F9" w14:textId="77777777" w:rsidR="00C42903" w:rsidRPr="00925F26" w:rsidRDefault="00C42903" w:rsidP="00925F26">
      <w:pPr>
        <w:jc w:val="both"/>
        <w:rPr>
          <w:color w:val="000000" w:themeColor="text1"/>
          <w:sz w:val="16"/>
          <w:szCs w:val="16"/>
        </w:rPr>
      </w:pPr>
      <w:r w:rsidRPr="00925F26">
        <w:rPr>
          <w:color w:val="000000" w:themeColor="text1"/>
          <w:sz w:val="16"/>
          <w:szCs w:val="16"/>
        </w:rPr>
        <w:t>Это был корабль - символ третьего рейха, в круизных рейсах на «Вильгельме Густлоффе» побывали около 65 тысяч человек. Кроме этого, он перевозил добровольцев легиона «Кондор» для участия в гражданской войне в Испании.</w:t>
      </w:r>
    </w:p>
    <w:p w14:paraId="6DE2F24C" w14:textId="77777777" w:rsidR="00C42903" w:rsidRPr="00925F26" w:rsidRDefault="00C42903" w:rsidP="00925F26">
      <w:pPr>
        <w:jc w:val="both"/>
        <w:rPr>
          <w:color w:val="000000" w:themeColor="text1"/>
          <w:sz w:val="16"/>
          <w:szCs w:val="16"/>
        </w:rPr>
      </w:pPr>
      <w:r w:rsidRPr="00925F26">
        <w:rPr>
          <w:color w:val="000000" w:themeColor="text1"/>
          <w:sz w:val="16"/>
          <w:szCs w:val="16"/>
        </w:rPr>
        <w:t>Летом 1940г. руководство ВМС Германии приписало судно к школе подводников в Готенхафене. Теплоход перекрасили в камуфляжный цвет и удалили с его бортов красные кресты. Как плавучая казарма для школы подводников он использовался около четырех лет. Таким образом, это было самое настоящее вспомогательное судно германских ВМС (20190).</w:t>
      </w:r>
    </w:p>
    <w:p w14:paraId="36763B75" w14:textId="77777777" w:rsidR="00C42903" w:rsidRPr="00925F26" w:rsidRDefault="00C42903" w:rsidP="00925F26">
      <w:pPr>
        <w:jc w:val="both"/>
        <w:rPr>
          <w:color w:val="000000" w:themeColor="text1"/>
          <w:sz w:val="16"/>
          <w:szCs w:val="16"/>
        </w:rPr>
      </w:pPr>
    </w:p>
    <w:p w14:paraId="48241E3D" w14:textId="6FF5E275"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CA8F622" w14:textId="77777777" w:rsidR="00C2313B" w:rsidRPr="00925F26" w:rsidRDefault="00C2313B" w:rsidP="00925F26">
      <w:pPr>
        <w:autoSpaceDE w:val="0"/>
        <w:autoSpaceDN w:val="0"/>
        <w:adjustRightInd w:val="0"/>
        <w:jc w:val="both"/>
        <w:rPr>
          <w:iCs/>
          <w:color w:val="000000" w:themeColor="text1"/>
          <w:sz w:val="16"/>
          <w:szCs w:val="16"/>
        </w:rPr>
      </w:pPr>
    </w:p>
    <w:p w14:paraId="68F746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23 января 1945 в НИИ ВВС поступил на гос. испытания Ил-2 N 18840122 с АМ-38Ф и винтом АВ-5Л-158 производства 18 завода, изготовленного в ноябре 1944</w:t>
      </w:r>
    </w:p>
    <w:p w14:paraId="7153AA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проводились с 25 января по 19 февраля 1945 в НИИ ВВС.</w:t>
      </w:r>
    </w:p>
    <w:p w14:paraId="31BD80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4DFE0A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w:t>
      </w:r>
      <w:proofErr w:type="gramStart"/>
      <w:r w:rsidRPr="00925F26">
        <w:rPr>
          <w:color w:val="000000" w:themeColor="text1"/>
          <w:sz w:val="16"/>
          <w:szCs w:val="16"/>
        </w:rPr>
        <w:t>.</w:t>
      </w:r>
      <w:proofErr w:type="gramEnd"/>
      <w:r w:rsidRPr="00925F26">
        <w:rPr>
          <w:color w:val="000000" w:themeColor="text1"/>
          <w:sz w:val="16"/>
          <w:szCs w:val="16"/>
        </w:rPr>
        <w:t xml:space="preserve"> и ип/п П.Т.Аброщенко</w:t>
      </w:r>
    </w:p>
    <w:p w14:paraId="25D808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 л, л-к 5 отд. 1У ГК НИИ ВВС к-н Г.А.Тиняков, подписал 22 февраля</w:t>
      </w:r>
    </w:p>
    <w:p w14:paraId="6BBBC5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 облета: гм-р Стефановский - подписал 23 февраля</w:t>
      </w:r>
    </w:p>
    <w:p w14:paraId="1D90F9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нач. 5 отд. по л/ч п/п Долгов</w:t>
      </w:r>
    </w:p>
    <w:p w14:paraId="5DB512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Установлены кнопки управления передатчиком на ручкуе сектора нормального газа</w:t>
      </w:r>
    </w:p>
    <w:p w14:paraId="068979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система газового запуска холодного мотора</w:t>
      </w:r>
    </w:p>
    <w:p w14:paraId="630872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Предъявлен на испытания 23 января</w:t>
      </w:r>
    </w:p>
    <w:p w14:paraId="56227F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полетов, налет 10:50</w:t>
      </w:r>
    </w:p>
    <w:p w14:paraId="04946C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4644 кг, загруженного с-та с нормальной нагрузкой - 6325, ц/т 27,5%</w:t>
      </w:r>
    </w:p>
    <w:p w14:paraId="4D11F8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Угол капотирования при торможении 30:20</w:t>
      </w:r>
    </w:p>
    <w:p w14:paraId="45766C1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состоит из:</w:t>
      </w:r>
    </w:p>
    <w:p w14:paraId="6B1C72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экипаж - 190 кг</w:t>
      </w:r>
    </w:p>
    <w:p w14:paraId="3D5EF7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горючее - 545 кг (0,747)</w:t>
      </w:r>
    </w:p>
    <w:p w14:paraId="7F400D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масло - 65 кг</w:t>
      </w:r>
    </w:p>
    <w:p w14:paraId="575374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бомбы - 400 кг</w:t>
      </w:r>
    </w:p>
    <w:p w14:paraId="37B462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2хВЯ - 132 кг, патроны к пушке (300) - 168 кг</w:t>
      </w:r>
    </w:p>
    <w:p w14:paraId="1E3AFD1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УБТ - 21 кг, патроны (150) - 27</w:t>
      </w:r>
    </w:p>
    <w:p w14:paraId="580B23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2хШКАС - 21 кг, патронов ШКАС (1500) - 51 кг</w:t>
      </w:r>
    </w:p>
    <w:p w14:paraId="3E65A8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снарядов РС (4хРС-82) - 27 кг</w:t>
      </w:r>
    </w:p>
    <w:p w14:paraId="5D0C76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w:t>
      </w:r>
    </w:p>
    <w:p w14:paraId="421FD1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- 15</w:t>
      </w:r>
    </w:p>
    <w:p w14:paraId="59B429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вооружения - 29</w:t>
      </w:r>
    </w:p>
    <w:p w14:paraId="6FAFFB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- 1681 кг</w:t>
      </w:r>
    </w:p>
    <w:p w14:paraId="4D5B26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Основные ЛТД</w:t>
      </w:r>
    </w:p>
    <w:p w14:paraId="3CDB77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405 км/час на 1200 м</w:t>
      </w:r>
    </w:p>
    <w:p w14:paraId="4A7ADE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1000 м - 2,6 мин., на 3000 м - 8,8 мин.</w:t>
      </w:r>
    </w:p>
    <w:p w14:paraId="66BD08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5800 м, набор за 38 мин.</w:t>
      </w:r>
    </w:p>
    <w:p w14:paraId="7D04DA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мерилась при закрытых фонарях кабины л и стрелка, окрытых полностью заслонках водо и маслорадиатора</w:t>
      </w:r>
    </w:p>
    <w:p w14:paraId="3E3108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при весе 6325 и 2050 оборотах и Ра 1220</w:t>
      </w:r>
    </w:p>
    <w:p w14:paraId="7A2FEC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0 - 6,3</w:t>
      </w:r>
    </w:p>
    <w:p w14:paraId="1B9574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850 - 6,8</w:t>
      </w:r>
    </w:p>
    <w:p w14:paraId="4F9098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3000 - 4</w:t>
      </w:r>
    </w:p>
    <w:p w14:paraId="794267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5800 - ,5</w:t>
      </w:r>
    </w:p>
    <w:p w14:paraId="0382FB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Мотор эксплуатируется на бензине 4Б-78 и масле АО-8 М6</w:t>
      </w:r>
    </w:p>
    <w:p w14:paraId="52FA0C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Тиняков: управляемость с-та - хорошая, усилия на ручке - не большие</w:t>
      </w:r>
    </w:p>
    <w:p w14:paraId="5DB2B3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 подписал За. Нач. НИИ ВВС глиас Лосюков 26 февраля 1945 и нач. 1У НИИ ВВС гмиас Сафонов 24 февраля 1945 (804,4)</w:t>
      </w:r>
    </w:p>
    <w:p w14:paraId="2B90BD76" w14:textId="77777777" w:rsidR="00C2313B" w:rsidRPr="00925F26" w:rsidRDefault="00C2313B" w:rsidP="00925F26">
      <w:pPr>
        <w:autoSpaceDE w:val="0"/>
        <w:autoSpaceDN w:val="0"/>
        <w:adjustRightInd w:val="0"/>
        <w:jc w:val="both"/>
        <w:rPr>
          <w:color w:val="000000" w:themeColor="text1"/>
          <w:sz w:val="16"/>
          <w:szCs w:val="16"/>
        </w:rPr>
      </w:pPr>
    </w:p>
    <w:p w14:paraId="6AC111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 января 1945 года В. Кузнецов писал письмо N Н-32/316 зам. командующего ВВС генерал-полковнику Репину.</w:t>
      </w:r>
    </w:p>
    <w:p w14:paraId="0BD715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Заводом N 466 совместно со старшим военпредом ГУЗ ВВС проведены 50-ти часовые официальные испытания мотора ВК-105ПФ с двухступенчатым нагнетателем конструкции ЦИАМ.</w:t>
      </w:r>
    </w:p>
    <w:p w14:paraId="555C69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утвердить прилагаемый отчет и засчитать указанное испытание как совместное официальное испытание мотора ВК-105ПФ с двухступенчатым нагнетателем. выше указанных моторов будет выпущено в соответствии решением ГОКО - 30 штук (1879,23).</w:t>
      </w:r>
    </w:p>
    <w:p w14:paraId="554675F5" w14:textId="77777777" w:rsidR="00C2313B" w:rsidRPr="00925F26" w:rsidRDefault="00C2313B" w:rsidP="00925F26">
      <w:pPr>
        <w:autoSpaceDE w:val="0"/>
        <w:autoSpaceDN w:val="0"/>
        <w:adjustRightInd w:val="0"/>
        <w:jc w:val="both"/>
        <w:rPr>
          <w:color w:val="000000" w:themeColor="text1"/>
          <w:sz w:val="16"/>
          <w:szCs w:val="16"/>
        </w:rPr>
      </w:pPr>
    </w:p>
    <w:p w14:paraId="0B282A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 января 1945 были продолжены испытания второго экземпляра скоростного бомбардировщика АМ-39, у которого 15 декабря 1944 в полете мотор вышел из строя из-за поломки лопаток нагнетателя. Указанием от 5/I-45 г. гл. конструктором Микулиным полеты были запрещены от устранения дефектов в нагнетателе (2592,88).</w:t>
      </w:r>
    </w:p>
    <w:p w14:paraId="1EF8D256" w14:textId="77777777" w:rsidR="00C2313B" w:rsidRPr="00925F26" w:rsidRDefault="00C2313B" w:rsidP="00925F26">
      <w:pPr>
        <w:autoSpaceDE w:val="0"/>
        <w:autoSpaceDN w:val="0"/>
        <w:adjustRightInd w:val="0"/>
        <w:jc w:val="both"/>
        <w:rPr>
          <w:color w:val="000000" w:themeColor="text1"/>
          <w:sz w:val="16"/>
          <w:szCs w:val="16"/>
        </w:rPr>
      </w:pPr>
    </w:p>
    <w:p w14:paraId="4AA9F1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 января 1945 года адмирал флота Кузнецов писал письмо N97сс Шахурину.</w:t>
      </w:r>
    </w:p>
    <w:p w14:paraId="749A07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году на вооружение ВВС ВМФ был принят химический авиационный разовый ампульный прибор "ХАРП-500-300А", разработанный ОКБ при заводе N 455 НКАП по заданию НИХИ ВМФ.</w:t>
      </w:r>
    </w:p>
    <w:p w14:paraId="542F3F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Прибор предназначается для поражения живой силы и боевых средств противника отравляющими и зажигательными веществами, а также для ослепления кораблей и береговых батарей противника с помощью дымообразующих веществ.</w:t>
      </w:r>
    </w:p>
    <w:p w14:paraId="33979C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организовано серийное производство "ХАРП-500-300А" и первые партии приборов уже подаются в части ВВС ВМФ для боевого использования.</w:t>
      </w:r>
    </w:p>
    <w:p w14:paraId="5A4E79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более полного использования самолетного парка по приборам типа "ХАРП-500-300А" в 1944 г. ОКБ завода N 455 НКАП был разработан аналогичный прибор в габаритах ФАБ-250 - "ХАРП-250-200А". опытная партия "ХАРП-250-200А" прошла летно-заводские испытания, на которых была установлена необходимость произвести небольшие доводки прибора для предъявления его на полигонные испытания.</w:t>
      </w:r>
    </w:p>
    <w:p w14:paraId="0F8CB5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Переработка чертежей и изготовление опытной партии "ХАРП-250-200А" включены ХИМУ ВМФ в проект постановления ГОКО на 1945 г. по опытным образцам химвооружения для ВМФ. Однако Ваш заместитель Дементьев в своем письме в аппарат Госплана сообщил, что эта работа не может быть принята к исполнению в ОКБ завода N 455 НКАП и высказал пожелание передать ее для исполнения в системе НКБ.</w:t>
      </w:r>
    </w:p>
    <w:p w14:paraId="2419FC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Последнее является нежелательным, т.к. ОКБ завода N 455 НКАП имеет большой опыт в разработке аналогичных приборов (ЗАБ-500-300тш, ЗАБ-100-65тш, ХАРП-500-300А) и доработка "ХАРП-250-200А" в ОКБ может быть произведена без </w:t>
      </w:r>
      <w:proofErr w:type="gramStart"/>
      <w:r w:rsidRPr="00925F26">
        <w:rPr>
          <w:color w:val="000000" w:themeColor="text1"/>
          <w:sz w:val="16"/>
          <w:szCs w:val="16"/>
        </w:rPr>
        <w:t>затруднений, тем более, что</w:t>
      </w:r>
      <w:proofErr w:type="gramEnd"/>
      <w:r w:rsidRPr="00925F26">
        <w:rPr>
          <w:color w:val="000000" w:themeColor="text1"/>
          <w:sz w:val="16"/>
          <w:szCs w:val="16"/>
        </w:rPr>
        <w:t xml:space="preserve"> объем работ весьма невелик.</w:t>
      </w:r>
    </w:p>
    <w:p w14:paraId="14025B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связи с вышеизложенным, прошу Вашего согласия на включение работы по "ХАРП-250-200А" в Постановление ГОКО по ОКБ завода N 455 НКАП на 1945 год с исполнением ее в сроки, согласованные с Вашим заместителем Дементьевым (2595).</w:t>
      </w:r>
    </w:p>
    <w:p w14:paraId="39733F47" w14:textId="77777777" w:rsidR="00C2313B" w:rsidRPr="00925F26" w:rsidRDefault="00C2313B" w:rsidP="00925F26">
      <w:pPr>
        <w:autoSpaceDE w:val="0"/>
        <w:autoSpaceDN w:val="0"/>
        <w:adjustRightInd w:val="0"/>
        <w:jc w:val="both"/>
        <w:rPr>
          <w:color w:val="000000" w:themeColor="text1"/>
          <w:sz w:val="16"/>
          <w:szCs w:val="16"/>
        </w:rPr>
      </w:pPr>
    </w:p>
    <w:p w14:paraId="154F53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 января 1945 НКАП А.И.Ш. писал письмо НК ВМФ аф Н.Г.Кузнецову:</w:t>
      </w:r>
    </w:p>
    <w:p w14:paraId="1F524E8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Указанные в Вашем письме акустические приборы имеются в ЦИАМ не в нескольких комплектах, а в единственном экземпляре. В то же время, эти приборы имеются в НИИ, выполняющих тематику НК ВМФ: спектрометр Сименса - в НИИ-10 НКСП, шальдрукмессер и прибор Неймана - в акустической лаборатории АН СССР, занятой исключительно работами для ВМФ. Второй экземпляр шальдрукмессера, имеющийся в ЦИАМ, был передан в 1941 г временно (на 2 месяца) в НИИ-45 НКСП и до сих пор не возвращен.</w:t>
      </w:r>
    </w:p>
    <w:p w14:paraId="339AB4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Вместе с тем, Вас неправильно информировали о том, что акустическая тематика ЦИАМ на 1945 г. сокращена. Объем работ в этом направлении, выполняемый ЦИАМ, значительно меньше потребностей и определяется, главным образом, имеющейся аппаратурой.</w:t>
      </w:r>
    </w:p>
    <w:p w14:paraId="51116C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этим, НКАП не сможет передать указанную Вами акустическую аппаратуру из ЦИАМ во временное пользование НК ВМФ. Для решения вопроса о возможности временной передачи некоторыъ сервисных приборов Вам надлежит направить в ЦИАМ их спецификацию.</w:t>
      </w:r>
    </w:p>
    <w:p w14:paraId="24745C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Одновременно прошу ускорить возвращение в ЦИАМ американского шумомера, переданного НК ВМФ, в соответствии с Вашей просьбой, во временное пользование до декабря 1944 г. (2952,3).</w:t>
      </w:r>
    </w:p>
    <w:p w14:paraId="1F02F4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F797D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РД-2М был предъявлен на гос. испытания, которые прошли с 23 января по 18 февраля 1945 (2928,88).</w:t>
      </w:r>
    </w:p>
    <w:p w14:paraId="02DC43C5" w14:textId="77777777" w:rsidR="00C2313B" w:rsidRPr="00925F26" w:rsidRDefault="00C2313B" w:rsidP="00925F26">
      <w:pPr>
        <w:autoSpaceDE w:val="0"/>
        <w:autoSpaceDN w:val="0"/>
        <w:adjustRightInd w:val="0"/>
        <w:jc w:val="both"/>
        <w:rPr>
          <w:color w:val="000000" w:themeColor="text1"/>
          <w:sz w:val="16"/>
          <w:szCs w:val="16"/>
        </w:rPr>
      </w:pPr>
    </w:p>
    <w:p w14:paraId="5720A0A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9C0EAF6" w14:textId="77777777" w:rsidR="00C2313B" w:rsidRPr="00925F26" w:rsidRDefault="00C2313B" w:rsidP="00925F26">
      <w:pPr>
        <w:autoSpaceDE w:val="0"/>
        <w:autoSpaceDN w:val="0"/>
        <w:adjustRightInd w:val="0"/>
        <w:jc w:val="both"/>
        <w:rPr>
          <w:iCs/>
          <w:color w:val="000000" w:themeColor="text1"/>
          <w:sz w:val="16"/>
          <w:szCs w:val="16"/>
        </w:rPr>
      </w:pPr>
    </w:p>
    <w:p w14:paraId="1902AF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 января 1945 г. вышел ПРИКАЗ НАРОДНОГО КОМИССАРА ТАНКОВОЙ ПРОМЫШЛЕННОСТИ СССР И КОМАНДУЮЩЕГО БТ и МВ КА ПО СОЗДАНИЮ КОМИССИИ ДЛЯ ПРОВЕДЕНИЯ ИСПЫТАНИИ МОТОРА №32/014</w:t>
      </w:r>
    </w:p>
    <w:p w14:paraId="1709A9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связи с удовлетворительными результатами проведенных на заводе №77 заводских испыта</w:t>
      </w:r>
      <w:r w:rsidRPr="00925F26">
        <w:rPr>
          <w:color w:val="000000" w:themeColor="text1"/>
          <w:sz w:val="16"/>
          <w:szCs w:val="16"/>
        </w:rPr>
        <w:softHyphen/>
        <w:t>ний дизельмотора В-16Ф с насос-форсунками, в которых применен распылитель закрытого типа, на форсированном режиме, ПРИКАЗЫВАЕМ:</w:t>
      </w:r>
    </w:p>
    <w:p w14:paraId="68AA15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Провести на заводе №77 государственные стендовые испытания мотора В-16Ф продолжи</w:t>
      </w:r>
      <w:r w:rsidRPr="00925F26">
        <w:rPr>
          <w:color w:val="000000" w:themeColor="text1"/>
          <w:sz w:val="16"/>
          <w:szCs w:val="16"/>
        </w:rPr>
        <w:softHyphen/>
        <w:t>тельностью 100 часов, согласно прилагаемой программе.</w:t>
      </w:r>
    </w:p>
    <w:p w14:paraId="5FF596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Для проведения испытаний назначить комиссию в следующем составе: председатель комиссии — инженер-полковник т. Солонин (ГБТУ КА). Члены комиссии:</w:t>
      </w:r>
    </w:p>
    <w:p w14:paraId="6BA1F1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инженер-майор т. Лаврушенков (ГБТУ КА),</w:t>
      </w:r>
    </w:p>
    <w:p w14:paraId="3EC994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 Лившиц (НКТП),</w:t>
      </w:r>
    </w:p>
    <w:p w14:paraId="565359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 Лев (завод №77),</w:t>
      </w:r>
    </w:p>
    <w:p w14:paraId="56AEC2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 Артемьев (завод №77).</w:t>
      </w:r>
    </w:p>
    <w:p w14:paraId="0975FD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Комиссии начать испытания дизельмотора В-16Ф 25 января и закончить к 5 февраля 1945 года. Окончательный отчет о результатах испытания представить в НКТП и ГБТУ КА к 10 февраля 1945 года.</w:t>
      </w:r>
    </w:p>
    <w:p w14:paraId="0E8C50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Директору завода №77 т. Толмачеву:</w:t>
      </w:r>
    </w:p>
    <w:p w14:paraId="37FA2A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подготовить к испытаниям два мотора В-16Ф, один из них в качестве резервного;</w:t>
      </w:r>
    </w:p>
    <w:p w14:paraId="132EFA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обеспечить проведение испытаний мотора В-16Ф на заводе №77 без задержек, выделив для это</w:t>
      </w:r>
      <w:r w:rsidRPr="00925F26">
        <w:rPr>
          <w:color w:val="000000" w:themeColor="text1"/>
          <w:sz w:val="16"/>
          <w:szCs w:val="16"/>
        </w:rPr>
        <w:softHyphen/>
        <w:t>го необходимый квалифицированный обслуживающий персонал, испытательный стенд, горючее и пр.;</w:t>
      </w:r>
    </w:p>
    <w:p w14:paraId="0C5550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обеспечить госкомиссию питанием, помещением для жилья и спецодеждой.</w:t>
      </w:r>
    </w:p>
    <w:p w14:paraId="400472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Народный комиссар танковой промышленности СССР В. Малышев</w:t>
      </w:r>
    </w:p>
    <w:p w14:paraId="059E3D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22985D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11353. Д. 1519. Л. 39. Копия (11420).</w:t>
      </w:r>
    </w:p>
    <w:p w14:paraId="4A4ECD21" w14:textId="77777777" w:rsidR="00C2313B" w:rsidRPr="00925F26" w:rsidRDefault="00C2313B" w:rsidP="00925F26">
      <w:pPr>
        <w:autoSpaceDE w:val="0"/>
        <w:autoSpaceDN w:val="0"/>
        <w:adjustRightInd w:val="0"/>
        <w:jc w:val="both"/>
        <w:rPr>
          <w:color w:val="000000" w:themeColor="text1"/>
          <w:sz w:val="16"/>
          <w:szCs w:val="16"/>
        </w:rPr>
      </w:pPr>
    </w:p>
    <w:p w14:paraId="4C203A9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B737C69" w14:textId="77777777" w:rsidR="00C2313B" w:rsidRPr="00925F26" w:rsidRDefault="00C2313B" w:rsidP="00925F26">
      <w:pPr>
        <w:autoSpaceDE w:val="0"/>
        <w:autoSpaceDN w:val="0"/>
        <w:adjustRightInd w:val="0"/>
        <w:jc w:val="both"/>
        <w:rPr>
          <w:iCs/>
          <w:color w:val="000000" w:themeColor="text1"/>
          <w:sz w:val="16"/>
          <w:szCs w:val="16"/>
        </w:rPr>
      </w:pPr>
    </w:p>
    <w:p w14:paraId="6878704E" w14:textId="77777777" w:rsidR="004F53AD" w:rsidRPr="00925F26" w:rsidRDefault="004F53AD" w:rsidP="00925F26">
      <w:pPr>
        <w:jc w:val="both"/>
        <w:rPr>
          <w:color w:val="000000" w:themeColor="text1"/>
          <w:sz w:val="16"/>
          <w:szCs w:val="16"/>
        </w:rPr>
      </w:pPr>
      <w:r w:rsidRPr="00925F26">
        <w:rPr>
          <w:bCs/>
          <w:color w:val="000000" w:themeColor="text1"/>
          <w:sz w:val="16"/>
          <w:szCs w:val="16"/>
        </w:rPr>
        <w:t>23 января</w:t>
      </w:r>
      <w:r w:rsidRPr="00925F26">
        <w:rPr>
          <w:color w:val="000000" w:themeColor="text1"/>
          <w:sz w:val="16"/>
          <w:szCs w:val="16"/>
        </w:rPr>
        <w:t xml:space="preserve"> в 1945 году оперативная сводка Совинформбюро:</w:t>
      </w:r>
    </w:p>
    <w:p w14:paraId="6F7947F6"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3-го Белорусского фронта, сломив сопротивление противника, форсировали реки Дайме и Прегель и овладели городами Лабиау и Велау — важными опорными пунктами обороны немцев, прикрывающими подступы к Кенигсбергу. Одновременно южнее города Инстербург войска фронта с боем овладели городами Даркемен, Бенкхайм и Тройбург, превращенными немцами в сильные опорные пункты обороны, а также с боями заняли более 700 других немецких населённых пунктов, в том числе крупные населённые пункты Лабагинен, Гросс Пеппельн, Адлих Бервальде, Грюнхайн, Ромау, Бюргерсдорф, Клайн Нур, Гросс Эшенбрух, Норкитен, Швирбельн, Шеппетшен, Йургайтшен, Тремпен, Кунигелен, Клайн Байнунен, Медунишкен, Лиссен, Рогоннен, Голлюбин, Крупиннен, Войнассен и железнодорожные станции Шелекен, Пушдорф, Карльсвальде, Зоденен, Клайн Байнунен, Колау.</w:t>
      </w:r>
    </w:p>
    <w:p w14:paraId="1ACA8A3A" w14:textId="77777777" w:rsidR="004F53AD" w:rsidRPr="00925F26" w:rsidRDefault="004F53AD" w:rsidP="00925F26">
      <w:pPr>
        <w:jc w:val="both"/>
        <w:rPr>
          <w:color w:val="000000" w:themeColor="text1"/>
          <w:sz w:val="16"/>
          <w:szCs w:val="16"/>
        </w:rPr>
      </w:pPr>
      <w:r w:rsidRPr="00925F26">
        <w:rPr>
          <w:color w:val="000000" w:themeColor="text1"/>
          <w:sz w:val="16"/>
          <w:szCs w:val="16"/>
        </w:rPr>
        <w:t>Южнее и юго-западнее города Августов наши войска, форсировав Августовский канал и реку Бобр (Бебжа), овладели городами Райгруд, Граево, Визна, Едвобне. а также с (боями заняли более 350 других населённых пунктов, в числе которых крупные населённые пункты Рудки-Старе, Камионка-Стара, Барглув-Косцельны, Солистувка, Шиманы, Млимашевница, Родзилуз, Пжитулы, Кобылин, Рогенице-Вельке и железнодорожные станции Руда, Граево.</w:t>
      </w:r>
    </w:p>
    <w:p w14:paraId="67258F3C"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23 января с боем овладели городами в Восточной Пруссии — Вилленберг, Ортельсбург, Морунген, Заальфельд и Фрайштадт — важными узлами коммуникаций и сильными опорными пунктами обороны немцев, а также с боями заняли более 600 других немецких населённых пунктов, среди которых крупные населённые пункты Зендровен, Гросс Шиманен, Пассенхайм, Гросс Пурден, Дойтен, Дитрихсвальде, Либемюль и железнодорожные станции Гросс Шиманен, Граммен, Пассенхайм, Мертинсдорф, Клаукендорф, Наттерн, Шенфельде, Тьисселлен, Вергфриде, Либе-Мюль, Гросс Алтенгаген, Зонненборон. Одновременно войска фронта овладели на территории Польши городом и железнодорожным узлом Бродница, городом Липно, а также с боями заняли более 450 других населённых пунктов, в том числе крупные населённые пункты Миколайки, Шафарня, Гурале, Збично, Карбово, Вроцки, Пулвеск, Венгерок, Рудав, Кикол, Бжезьно, Шпеталь, Гурны.</w:t>
      </w:r>
    </w:p>
    <w:p w14:paraId="26F4EB88"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Белорусского фронта, развивая успешное наступление, 23 января в результате обходного манёвра подвижных частей в сочетании с атакой с фронта овладели городом Быдгощ (Бромберг) — важным узлом железных и шоссейных дорог и мощным опорным пунктом обороны немцев у нижнего течения Вислы, а также с боями заняли города Пакош, Стшельно, Слупца, Голина, Конин, Турек, Серадз, Блашки и более чем 600 других населённых пунктов.</w:t>
      </w:r>
    </w:p>
    <w:p w14:paraId="1CFC881D"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Украинского фронта, преодолевая сопротивление немцев в Силезии. 23 января овладели городами Милич, Бернштадт, Намслау, Карльсмаркт, Тост и Бишофсталь важными узлами коммуникаций и опорными пунктами обороны немцев, и вышли на реку Одер в районе города Бреслау на участке протяжением 60 километров, а также с боями заняли более 200 немецких населённых пунктов, среди которых город Пейскречам и крупные населённые пункты Штрадам, Альт Эльгут, Вабнитц, Бухвальд, Минкен, Пайштервитц, Шайдельвитц, Штоберау, Альт Поппелау, Рутенау, Крейцвальд, Клостербрюкк, Зйххаммер, Бургхоф, Зрленбуш, Штральхейм. Одновременно войска фронта овладели на территории Польши городами Грабув, Шильдберг (Остшешув), Кемпно, Тарновиц и с боями заняли более 450 других населённых пунктов.</w:t>
      </w:r>
    </w:p>
    <w:p w14:paraId="1EFE93DC" w14:textId="77777777" w:rsidR="004F53AD" w:rsidRPr="00925F26" w:rsidRDefault="004F53AD" w:rsidP="00925F26">
      <w:pPr>
        <w:jc w:val="both"/>
        <w:rPr>
          <w:color w:val="000000" w:themeColor="text1"/>
          <w:sz w:val="16"/>
          <w:szCs w:val="16"/>
        </w:rPr>
      </w:pPr>
      <w:r w:rsidRPr="00925F26">
        <w:rPr>
          <w:color w:val="000000" w:themeColor="text1"/>
          <w:sz w:val="16"/>
          <w:szCs w:val="16"/>
        </w:rPr>
        <w:t>Южнее и юго-восточнее Кракова наши войска с боями продвигались вперёд и овладели на территории Польши городом Стары Сонч, а также заняли более 80 других населённых пунктов, среди которых крупные населённые пункты Скавина, Радзи-Шув, Рудник, Сулковице, Ястжембя, Будзюв, Зембжице, Суха, Макув, Бенькувка, Кокушка, Жегестув.</w:t>
      </w:r>
    </w:p>
    <w:p w14:paraId="277B11CD" w14:textId="77777777" w:rsidR="004F53AD" w:rsidRPr="00925F26" w:rsidRDefault="004F53AD" w:rsidP="00925F26">
      <w:pPr>
        <w:jc w:val="both"/>
        <w:rPr>
          <w:color w:val="000000" w:themeColor="text1"/>
          <w:sz w:val="16"/>
          <w:szCs w:val="16"/>
        </w:rPr>
      </w:pPr>
      <w:r w:rsidRPr="00925F26">
        <w:rPr>
          <w:color w:val="000000" w:themeColor="text1"/>
          <w:sz w:val="16"/>
          <w:szCs w:val="16"/>
        </w:rPr>
        <w:t>В Будапеште наши войска вели бои по уничтожению окружённых частей противника в западной части города (Буда) и заняли 25 кварталов.</w:t>
      </w:r>
    </w:p>
    <w:p w14:paraId="3766A5C3" w14:textId="77777777" w:rsidR="004F53AD" w:rsidRPr="00925F26" w:rsidRDefault="004F53AD" w:rsidP="00925F26">
      <w:pPr>
        <w:jc w:val="both"/>
        <w:rPr>
          <w:color w:val="000000" w:themeColor="text1"/>
          <w:sz w:val="16"/>
          <w:szCs w:val="16"/>
        </w:rPr>
      </w:pPr>
      <w:r w:rsidRPr="00925F26">
        <w:rPr>
          <w:color w:val="000000" w:themeColor="text1"/>
          <w:sz w:val="16"/>
          <w:szCs w:val="16"/>
        </w:rPr>
        <w:t>Юго-западнее Будапешта наши войска отбивали атаки крупных сил пехоты и танков противника и после упорных боёв оставили город Секешфехервар.</w:t>
      </w:r>
    </w:p>
    <w:p w14:paraId="77F1FDD5" w14:textId="77777777" w:rsidR="004F53AD" w:rsidRPr="00925F26" w:rsidRDefault="004F53AD" w:rsidP="00925F26">
      <w:pPr>
        <w:jc w:val="both"/>
        <w:rPr>
          <w:color w:val="000000" w:themeColor="text1"/>
          <w:sz w:val="16"/>
          <w:szCs w:val="16"/>
        </w:rPr>
      </w:pPr>
      <w:r w:rsidRPr="00925F26">
        <w:rPr>
          <w:color w:val="000000" w:themeColor="text1"/>
          <w:sz w:val="16"/>
          <w:szCs w:val="16"/>
        </w:rPr>
        <w:t>За 22 января наши войска на всех фронтах подбили и уничтожили 56 немецких танков, из них более 30 танков — в районе города Секешфехервар. В воздушных боях и огнём зенитной артиллерии сбито 52 самолёта противника.</w:t>
      </w:r>
    </w:p>
    <w:p w14:paraId="19A3C5F9"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3-го Белорусского фронта продолжали успешное наступление. Противник укрепился на рубежах рек Дайме и Прегель и оказывал яростное сопротивление. Немцы располагали на этом участке заранее подготовленными оборонительными рубежами. Наши пехотинцы при поддержке артиллерийского огня переправились через реку Дайме и штурмом овладели городом Лабиау— важным опорным пунктом обороны немцев. Лабиау находится в 40 километрах от Кенигсберга — главного города Восточной Пруссии. Другие наши части, сломив ожесточенное сопротивление противника, форсировали реку Прегель и заняли город Велау. В этих боях немцы потеряли только убитыми до 3 тысяч своих солдат и офицеров. Отступая под ударами советских войск, гитлеровцы оставили на поле боя много оружия и военных материалов. Среди других трофеев нашими частями захвачено 8 самолётов и 88 полевых орудий.</w:t>
      </w:r>
    </w:p>
    <w:p w14:paraId="3AEEA305"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Белорусского фронта продолжали с боями продвигаться в глубь Восточной Пруссии. Многочисленные озёра и леса затрудняют действия наших войск. Проходы между озёрами немцы укрепили железобетонными дотами и дзотами. Советские части, наступающие в северном направлении, продвинулись вперёд до 25 километров и в результате упорного боя овладели узлом железных и шоссейных дорог городом Морунген. Другие наши части прорвали сильно укреплённые позиции противника и выбили его из города Заальфельд. Этот город расположен в 45 километрах от побережья Балтийского моря. Контратаки танков и учебных морских батальонов противника успеха не имели. Уничтожен вражеский бронепоезд, обстреливавший наши боевые порядки. Захвачено у немцев 12 железнодорожных эшелонов с танками и артиллерией. Взяты в плен сотни солдат и офицеров противника, в числе которых немецкий генерал-лейтенант Ганс Вессеман.</w:t>
      </w:r>
    </w:p>
    <w:p w14:paraId="6FF0CE2E"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Белорусского фронта развивали стремительное наступление. Немцы пытались задержать советские части на подступах к городу Быдгощ (Бромберг) и ввели в бой свежие резеры пехоты и танков. Однако попытки противника закрепиться на промежуточных рубежах были сорваны решительными действиями наших войск. Советские подвижные части совершили стремительный обходный манёвр и вышли к западным окраинам города Быдгощ. Таким образом, железные и шоссейные дороги, идущие из города на юго-запад и запад, оказались перерезанными. Сопротивление гитлеровцев было дезорганизовано. Не давая врагу перегруппировать свои силы, наши войска предприняли атаку с фронта и сегодня к исходу дня овладели городом Быдгощ — мощным опорным пунктом обороны немцев в нижнем течении реки Вислы. В бою за город разбиты части двух немецких пехотных дивизий. Захвачены 8 железнодорожных эшелонов и 20 крупных складов противника с боеприпасами и с военным имуществом. Взято в плен более 1.000 немецких солдат и офицеров.</w:t>
      </w:r>
    </w:p>
    <w:p w14:paraId="0422B2FA"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Украинского фронта вели успешные наступательные бои на территории немецкой Силезии. Противник, защищая свой крупнейший промышленный район, оказывает упорное сопротивление. В последние дни установлено участие в боях нескольких пехотных дивизий, ряда специальных частей и подразделений, спешно переброшенных с других фронтов. Захвачены в плен солдаты 269-й, немецкой пехотной дивизии, на днях прибывшей с южного участка Западного фронта. Нанося врагу непрерывные удары, наши войска настойчиво продвигаются вперёд. Особенно ожесточённые бет происходят на подступах к крупным населённым пунктам и на перекрёстках дорог, где немцы построили железобетонные доты. Расчищая путь нашей пехоте, подразделение самоходных орудий офицера Шишова за одну ночь разгромило 25 дотов и дзотов. Сегодня советские части штурмом овладели городом Бернштадт, находящимся в 30 километрах восточнее Бреслау. Развивая успех, наши войска на широком фронте вышли на реку Одер. Отдельные части противника были прижаты к реке и сложили оружие. По неполным данным, только в одном районе взято в плен 2.000 немецких солдат и офицеров.» (15018).</w:t>
      </w:r>
    </w:p>
    <w:p w14:paraId="4238C277" w14:textId="77777777" w:rsidR="004F53AD" w:rsidRPr="00925F26" w:rsidRDefault="004F53AD" w:rsidP="00925F26">
      <w:pPr>
        <w:jc w:val="both"/>
        <w:rPr>
          <w:color w:val="000000" w:themeColor="text1"/>
          <w:sz w:val="16"/>
          <w:szCs w:val="16"/>
        </w:rPr>
      </w:pPr>
    </w:p>
    <w:p w14:paraId="16891810" w14:textId="77777777" w:rsidR="004F53AD" w:rsidRPr="00925F26" w:rsidRDefault="004F53AD" w:rsidP="00925F26">
      <w:pPr>
        <w:jc w:val="both"/>
        <w:rPr>
          <w:color w:val="000000" w:themeColor="text1"/>
          <w:sz w:val="16"/>
          <w:szCs w:val="16"/>
        </w:rPr>
      </w:pPr>
      <w:r w:rsidRPr="00925F26">
        <w:rPr>
          <w:bCs/>
          <w:color w:val="000000" w:themeColor="text1"/>
          <w:sz w:val="16"/>
          <w:szCs w:val="16"/>
        </w:rPr>
        <w:t>23 января</w:t>
      </w:r>
      <w:r w:rsidRPr="00925F26">
        <w:rPr>
          <w:color w:val="000000" w:themeColor="text1"/>
          <w:sz w:val="16"/>
          <w:szCs w:val="16"/>
        </w:rPr>
        <w:t xml:space="preserve"> в 1945 году войска 1-го Белорусского фронта окружили группировку немецко-фашистских войск в Познани (15018).</w:t>
      </w:r>
    </w:p>
    <w:p w14:paraId="246CE692" w14:textId="77777777" w:rsidR="004F53AD" w:rsidRPr="00925F26" w:rsidRDefault="004F53AD" w:rsidP="00925F26">
      <w:pPr>
        <w:jc w:val="both"/>
        <w:rPr>
          <w:color w:val="000000" w:themeColor="text1"/>
          <w:sz w:val="16"/>
          <w:szCs w:val="16"/>
        </w:rPr>
      </w:pPr>
    </w:p>
    <w:p w14:paraId="00D630D5" w14:textId="77777777" w:rsidR="004F53AD" w:rsidRPr="00925F26" w:rsidRDefault="004F53AD"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января 1945 Гитлер назначил Гиммлера командующим группой армий “Висла” (4962).</w:t>
      </w:r>
    </w:p>
    <w:p w14:paraId="341BFAED" w14:textId="77777777" w:rsidR="004F53AD" w:rsidRPr="00925F26" w:rsidRDefault="004F53AD" w:rsidP="00925F26">
      <w:pPr>
        <w:tabs>
          <w:tab w:val="left" w:pos="11199"/>
        </w:tabs>
        <w:autoSpaceDE w:val="0"/>
        <w:autoSpaceDN w:val="0"/>
        <w:adjustRightInd w:val="0"/>
        <w:jc w:val="both"/>
        <w:rPr>
          <w:color w:val="000000" w:themeColor="text1"/>
          <w:sz w:val="16"/>
          <w:szCs w:val="16"/>
        </w:rPr>
      </w:pPr>
    </w:p>
    <w:p w14:paraId="30761B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23 января по 8 мая 1945 из Восточной и Западной Пруссии был эвакуировано почти 2 млн. немцев (2248,1).</w:t>
      </w:r>
    </w:p>
    <w:p w14:paraId="3E0EEA69" w14:textId="77777777" w:rsidR="00C2313B" w:rsidRPr="00925F26" w:rsidRDefault="00C2313B" w:rsidP="00925F26">
      <w:pPr>
        <w:autoSpaceDE w:val="0"/>
        <w:autoSpaceDN w:val="0"/>
        <w:adjustRightInd w:val="0"/>
        <w:jc w:val="both"/>
        <w:rPr>
          <w:color w:val="000000" w:themeColor="text1"/>
          <w:sz w:val="16"/>
          <w:szCs w:val="16"/>
        </w:rPr>
      </w:pPr>
    </w:p>
    <w:p w14:paraId="5D43841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22F4285" w14:textId="77777777" w:rsidR="00C2313B" w:rsidRPr="00925F26" w:rsidRDefault="00C2313B" w:rsidP="00925F26">
      <w:pPr>
        <w:autoSpaceDE w:val="0"/>
        <w:autoSpaceDN w:val="0"/>
        <w:adjustRightInd w:val="0"/>
        <w:jc w:val="both"/>
        <w:rPr>
          <w:iCs/>
          <w:color w:val="000000" w:themeColor="text1"/>
          <w:sz w:val="16"/>
          <w:szCs w:val="16"/>
        </w:rPr>
      </w:pPr>
    </w:p>
    <w:p w14:paraId="6A17ABD3" w14:textId="77777777" w:rsidR="004F53AD" w:rsidRPr="00925F26" w:rsidRDefault="004F53AD" w:rsidP="00925F26">
      <w:pPr>
        <w:jc w:val="both"/>
        <w:rPr>
          <w:color w:val="000000" w:themeColor="text1"/>
          <w:sz w:val="16"/>
          <w:szCs w:val="16"/>
        </w:rPr>
      </w:pPr>
      <w:r w:rsidRPr="00925F26">
        <w:rPr>
          <w:bCs/>
          <w:color w:val="000000" w:themeColor="text1"/>
          <w:sz w:val="16"/>
          <w:szCs w:val="16"/>
        </w:rPr>
        <w:t>23 января</w:t>
      </w:r>
      <w:r w:rsidRPr="00925F26">
        <w:rPr>
          <w:color w:val="000000" w:themeColor="text1"/>
          <w:sz w:val="16"/>
          <w:szCs w:val="16"/>
        </w:rPr>
        <w:t xml:space="preserve"> в 1945 году в воздух поднялся «Не 162» «М6» (W.Nr.200006), оснащенный двумя 30-мм пушками «МК 108», являвшийся прототипом модификации «Не 162A-1». («М5» предназначался для статических испытаний), ставший последним прототипом с пушками «МК.108» (15018).</w:t>
      </w:r>
    </w:p>
    <w:p w14:paraId="2927B0BF" w14:textId="77777777" w:rsidR="004F53AD" w:rsidRPr="00925F26" w:rsidRDefault="004F53AD" w:rsidP="00925F26">
      <w:pPr>
        <w:jc w:val="both"/>
        <w:rPr>
          <w:color w:val="000000" w:themeColor="text1"/>
          <w:sz w:val="16"/>
          <w:szCs w:val="16"/>
        </w:rPr>
      </w:pPr>
    </w:p>
    <w:p w14:paraId="72B459D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января 1945 Гитлер одобрил план ускоренного кораблестроения и приказал использовать труд рабов на доках (4962).</w:t>
      </w:r>
    </w:p>
    <w:p w14:paraId="0BE8624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D0E31E6"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23, 1945: The Kriegsmarine begins the evacuation by sea of hundreds of thousands of civilian refugees from East Prussia and the Danzig area, the Red Army having cut all land communications with the rest of the Reich (3819).</w:t>
      </w:r>
    </w:p>
    <w:p w14:paraId="549D4009" w14:textId="77777777" w:rsidR="00C2313B" w:rsidRPr="00925F26" w:rsidRDefault="00C2313B" w:rsidP="00925F26">
      <w:pPr>
        <w:autoSpaceDE w:val="0"/>
        <w:autoSpaceDN w:val="0"/>
        <w:adjustRightInd w:val="0"/>
        <w:jc w:val="both"/>
        <w:rPr>
          <w:color w:val="000000" w:themeColor="text1"/>
          <w:sz w:val="16"/>
          <w:szCs w:val="16"/>
          <w:lang w:val="en-US"/>
        </w:rPr>
      </w:pPr>
    </w:p>
    <w:p w14:paraId="2FAE804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47CB415" w14:textId="77777777" w:rsidR="00C2313B" w:rsidRPr="00925F26" w:rsidRDefault="00C2313B" w:rsidP="00925F26">
      <w:pPr>
        <w:autoSpaceDE w:val="0"/>
        <w:autoSpaceDN w:val="0"/>
        <w:adjustRightInd w:val="0"/>
        <w:jc w:val="both"/>
        <w:rPr>
          <w:iCs/>
          <w:color w:val="000000" w:themeColor="text1"/>
          <w:sz w:val="16"/>
          <w:szCs w:val="16"/>
        </w:rPr>
      </w:pPr>
    </w:p>
    <w:p w14:paraId="4F1566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года генерал-лейтенант ИАС П. Дементьев писал письмо N Н-32/335 гл. инженеру ВВС генерал-полковнику ИАС Репину А.К.</w:t>
      </w:r>
    </w:p>
    <w:p w14:paraId="030E7E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Направляю Вам для совместного утверждения 2 экземпляра отчета по испытаниям броневых сталей заменителей марок АБ-3 и КО-1, проведенных заводом N 207, ВИАМ"ом и НИИ ВВС в соответствии с решением ГОКО за N 6921с от 31 июля 1944 года и прошу после утверждения один из них возвратить Наркомавиапрому.</w:t>
      </w:r>
    </w:p>
    <w:p w14:paraId="5E249D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Приложение: 2 книги, н/вх. N 15471 (1879,24).</w:t>
      </w:r>
    </w:p>
    <w:p w14:paraId="3DBB1576" w14:textId="77777777" w:rsidR="00C2313B" w:rsidRPr="00925F26" w:rsidRDefault="00C2313B" w:rsidP="00925F26">
      <w:pPr>
        <w:autoSpaceDE w:val="0"/>
        <w:autoSpaceDN w:val="0"/>
        <w:adjustRightInd w:val="0"/>
        <w:jc w:val="both"/>
        <w:rPr>
          <w:color w:val="000000" w:themeColor="text1"/>
          <w:sz w:val="16"/>
          <w:szCs w:val="16"/>
        </w:rPr>
      </w:pPr>
    </w:p>
    <w:p w14:paraId="4D3338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В.Л.Расторгуев выполнил первый полет на ЦА Як-9Т с Н-37 (65,181).</w:t>
      </w:r>
    </w:p>
    <w:p w14:paraId="40FE9D77" w14:textId="77777777" w:rsidR="00C2313B" w:rsidRPr="00925F26" w:rsidRDefault="00C2313B" w:rsidP="00925F26">
      <w:pPr>
        <w:autoSpaceDE w:val="0"/>
        <w:autoSpaceDN w:val="0"/>
        <w:adjustRightInd w:val="0"/>
        <w:jc w:val="both"/>
        <w:rPr>
          <w:color w:val="000000" w:themeColor="text1"/>
          <w:sz w:val="16"/>
          <w:szCs w:val="16"/>
        </w:rPr>
      </w:pPr>
    </w:p>
    <w:p w14:paraId="5FB5F2F9" w14:textId="77777777" w:rsidR="0070110A" w:rsidRPr="001A0BAA" w:rsidRDefault="0070110A" w:rsidP="0070110A">
      <w:pPr>
        <w:jc w:val="both"/>
        <w:rPr>
          <w:color w:val="0070C0"/>
          <w:sz w:val="16"/>
          <w:szCs w:val="16"/>
        </w:rPr>
      </w:pPr>
      <w:r w:rsidRPr="001A0BAA">
        <w:rPr>
          <w:color w:val="0070C0"/>
          <w:sz w:val="16"/>
          <w:szCs w:val="16"/>
        </w:rPr>
        <w:t>24 января 1945 года состоялся первый полет - переоборудованный серийный Як</w:t>
      </w:r>
      <w:r w:rsidRPr="001A0BAA">
        <w:rPr>
          <w:color w:val="0070C0"/>
          <w:sz w:val="16"/>
          <w:szCs w:val="16"/>
        </w:rPr>
        <w:noBreakHyphen/>
        <w:t>3 (36–20). Як</w:t>
      </w:r>
      <w:r w:rsidRPr="001A0BAA">
        <w:rPr>
          <w:color w:val="0070C0"/>
          <w:sz w:val="16"/>
          <w:szCs w:val="16"/>
        </w:rPr>
        <w:noBreakHyphen/>
        <w:t>3Т также нес усиленное вооружение. Литера «Т» обозначала «танковый», поскольку самолет был вооружен пушкой большого калибра. Вместо пушки ШВАК и пулеметов УБС на Як</w:t>
      </w:r>
      <w:r w:rsidRPr="001A0BAA">
        <w:rPr>
          <w:color w:val="0070C0"/>
          <w:sz w:val="16"/>
          <w:szCs w:val="16"/>
        </w:rPr>
        <w:noBreakHyphen/>
        <w:t>3Т установили 37</w:t>
      </w:r>
      <w:r w:rsidRPr="001A0BAA">
        <w:rPr>
          <w:color w:val="0070C0"/>
          <w:sz w:val="16"/>
          <w:szCs w:val="16"/>
        </w:rPr>
        <w:noBreakHyphen/>
        <w:t>мм пушку Н</w:t>
      </w:r>
      <w:r w:rsidRPr="001A0BAA">
        <w:rPr>
          <w:color w:val="0070C0"/>
          <w:sz w:val="16"/>
          <w:szCs w:val="16"/>
        </w:rPr>
        <w:noBreakHyphen/>
        <w:t>37 с укороченным (на 150 мм) стволом и боекомплектом 25 выстрелов и две пушки Б</w:t>
      </w:r>
      <w:r w:rsidRPr="001A0BAA">
        <w:rPr>
          <w:color w:val="0070C0"/>
          <w:sz w:val="16"/>
          <w:szCs w:val="16"/>
        </w:rPr>
        <w:noBreakHyphen/>
        <w:t>2 °C калибра 20 мм с боекомплектом 100 выстрелов на ствол. 37</w:t>
      </w:r>
      <w:r w:rsidRPr="001A0BAA">
        <w:rPr>
          <w:color w:val="0070C0"/>
          <w:sz w:val="16"/>
          <w:szCs w:val="16"/>
        </w:rPr>
        <w:noBreakHyphen/>
        <w:t>мм пушка системы Нудельмана прежде устанавливалась на Як</w:t>
      </w:r>
      <w:r w:rsidRPr="001A0BAA">
        <w:rPr>
          <w:color w:val="0070C0"/>
          <w:sz w:val="16"/>
          <w:szCs w:val="16"/>
        </w:rPr>
        <w:noBreakHyphen/>
        <w:t>9Т и Як</w:t>
      </w:r>
      <w:r w:rsidRPr="001A0BAA">
        <w:rPr>
          <w:color w:val="0070C0"/>
          <w:sz w:val="16"/>
          <w:szCs w:val="16"/>
        </w:rPr>
        <w:noBreakHyphen/>
        <w:t>9УТ. Несмотря на заметный калибр пушки, отдача не сказалась на точности стрельбы. Кабина пилота была сдвинута на 400 мм к хвосту, что лишь на немного ухудшило обзор вперед, но улучшило обзор назад. Сдвинуть кабину пришлось для того, чтобы разместить пушку Н</w:t>
      </w:r>
      <w:r w:rsidRPr="001A0BAA">
        <w:rPr>
          <w:color w:val="0070C0"/>
          <w:sz w:val="16"/>
          <w:szCs w:val="16"/>
        </w:rPr>
        <w:noBreakHyphen/>
        <w:t>37.</w:t>
      </w:r>
    </w:p>
    <w:p w14:paraId="62372D65" w14:textId="77777777" w:rsidR="0070110A" w:rsidRPr="001A0BAA" w:rsidRDefault="0070110A" w:rsidP="0070110A">
      <w:pPr>
        <w:jc w:val="both"/>
        <w:rPr>
          <w:color w:val="0070C0"/>
          <w:sz w:val="16"/>
          <w:szCs w:val="16"/>
        </w:rPr>
      </w:pPr>
      <w:r w:rsidRPr="001A0BAA">
        <w:rPr>
          <w:color w:val="0070C0"/>
          <w:sz w:val="16"/>
          <w:szCs w:val="16"/>
        </w:rPr>
        <w:t>Изголовье из бронестекла убрали, а из обтекателя втулки торчал ствол 37</w:t>
      </w:r>
      <w:r w:rsidRPr="001A0BAA">
        <w:rPr>
          <w:color w:val="0070C0"/>
          <w:sz w:val="16"/>
          <w:szCs w:val="16"/>
        </w:rPr>
        <w:noBreakHyphen/>
        <w:t>мм пушки. Из кабины убрали бронеспинку и бронеподлокотник. Емкость топливных баков сократили с 372 до 355 литров. Дополнительно сняли некоторые вспомогательные узлы в надежде снизить массу самолета. Тем не менее, летные качества истребителя немного ухудшились: скорость у земли сократилась до 560 км/ч, а на высоте 4100 м – до 629 км/ч. В управлении самолет по</w:t>
      </w:r>
      <w:r w:rsidRPr="001A0BAA">
        <w:rPr>
          <w:color w:val="0070C0"/>
          <w:sz w:val="16"/>
          <w:szCs w:val="16"/>
        </w:rPr>
        <w:noBreakHyphen/>
        <w:t xml:space="preserve">прежнему оставался простым, однако вновь </w:t>
      </w:r>
      <w:proofErr w:type="gramStart"/>
      <w:r w:rsidRPr="001A0BAA">
        <w:rPr>
          <w:color w:val="0070C0"/>
          <w:sz w:val="16"/>
          <w:szCs w:val="16"/>
        </w:rPr>
        <w:t>вылезли казалось бы</w:t>
      </w:r>
      <w:proofErr w:type="gramEnd"/>
      <w:r w:rsidRPr="001A0BAA">
        <w:rPr>
          <w:color w:val="0070C0"/>
          <w:sz w:val="16"/>
          <w:szCs w:val="16"/>
        </w:rPr>
        <w:t xml:space="preserve"> навсегда устраненные недостатки: протечки масла, перегрев масла и воды. Недостаточно прочным оказалось и крепление пушек Б</w:t>
      </w:r>
      <w:r w:rsidRPr="001A0BAA">
        <w:rPr>
          <w:color w:val="0070C0"/>
          <w:sz w:val="16"/>
          <w:szCs w:val="16"/>
        </w:rPr>
        <w:noBreakHyphen/>
        <w:t>2 °C.</w:t>
      </w:r>
    </w:p>
    <w:p w14:paraId="79D56DF4" w14:textId="77777777" w:rsidR="0070110A" w:rsidRPr="001A0BAA" w:rsidRDefault="0070110A" w:rsidP="0070110A">
      <w:pPr>
        <w:jc w:val="both"/>
        <w:rPr>
          <w:color w:val="0070C0"/>
          <w:sz w:val="16"/>
          <w:szCs w:val="16"/>
        </w:rPr>
      </w:pPr>
      <w:r w:rsidRPr="001A0BAA">
        <w:rPr>
          <w:color w:val="0070C0"/>
          <w:sz w:val="16"/>
          <w:szCs w:val="16"/>
        </w:rPr>
        <w:t>Государственные испытания продолжались с 17 февраля по 27 апреля 1945 года. На них обнаружились все упомянутые недостатки. Тем не менее, в итоговом отчете утверждалось, что самолет Як</w:t>
      </w:r>
      <w:r w:rsidRPr="001A0BAA">
        <w:rPr>
          <w:color w:val="0070C0"/>
          <w:sz w:val="16"/>
          <w:szCs w:val="16"/>
        </w:rPr>
        <w:noBreakHyphen/>
        <w:t>3Т будет полезным для советских ВВС. Поэтому машину отправили назад в ОКБ Яковлева для устранения недостатков. Было сделано многое (винт ВИШ</w:t>
      </w:r>
      <w:r w:rsidRPr="001A0BAA">
        <w:rPr>
          <w:color w:val="0070C0"/>
          <w:sz w:val="16"/>
          <w:szCs w:val="16"/>
        </w:rPr>
        <w:noBreakHyphen/>
        <w:t>105Л</w:t>
      </w:r>
      <w:r w:rsidRPr="001A0BAA">
        <w:rPr>
          <w:color w:val="0070C0"/>
          <w:sz w:val="16"/>
          <w:szCs w:val="16"/>
        </w:rPr>
        <w:noBreakHyphen/>
        <w:t>28 заменили на серийный ВИШ</w:t>
      </w:r>
      <w:r w:rsidRPr="001A0BAA">
        <w:rPr>
          <w:color w:val="0070C0"/>
          <w:sz w:val="16"/>
          <w:szCs w:val="16"/>
        </w:rPr>
        <w:noBreakHyphen/>
        <w:t>105СВ</w:t>
      </w:r>
      <w:r w:rsidRPr="001A0BAA">
        <w:rPr>
          <w:color w:val="0070C0"/>
          <w:sz w:val="16"/>
          <w:szCs w:val="16"/>
        </w:rPr>
        <w:noBreakHyphen/>
        <w:t>01, изменили конструкцию ступицы винта, увеличили емкость маслобака), но устранить недостатки не удалось. Двигатель быстро перегревался, коптил, дымил и вибрировал. Война кончилась и необходимость в «танковом» истребителе отпала (25075).</w:t>
      </w:r>
    </w:p>
    <w:p w14:paraId="0BE829EC" w14:textId="77777777" w:rsidR="0070110A" w:rsidRPr="001A0BAA" w:rsidRDefault="0070110A" w:rsidP="0070110A">
      <w:pPr>
        <w:jc w:val="both"/>
        <w:rPr>
          <w:color w:val="0070C0"/>
          <w:sz w:val="16"/>
          <w:szCs w:val="16"/>
        </w:rPr>
      </w:pPr>
    </w:p>
    <w:p w14:paraId="02EBC1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Миг с АМ-39Б и 2ТК-2Б был передан в ЛИИ. Летные испытания не были начаты до марта 1945 из-за отсутствия мотора АМ-39Б, который должен поставить завод N 300 взамен выбывшего из строя мотора на самолете. Сроки подачи нового мотора гл. конструктор Микулин даже не указывал (2592,223).</w:t>
      </w:r>
    </w:p>
    <w:p w14:paraId="2979EB45" w14:textId="77777777" w:rsidR="00C2313B" w:rsidRPr="00925F26" w:rsidRDefault="00C2313B" w:rsidP="00925F26">
      <w:pPr>
        <w:autoSpaceDE w:val="0"/>
        <w:autoSpaceDN w:val="0"/>
        <w:adjustRightInd w:val="0"/>
        <w:jc w:val="both"/>
        <w:rPr>
          <w:color w:val="000000" w:themeColor="text1"/>
          <w:sz w:val="16"/>
          <w:szCs w:val="16"/>
        </w:rPr>
      </w:pPr>
    </w:p>
    <w:p w14:paraId="45438C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л Б.Н.Кудрин на БИ-7 с РД-1 Исаева вместо Д-1-А-1100 выполнил 1-й полет. Задание: взлет на тяге 1100 кг с уборкой шасси и ограничением скорости до 550 км/час. Разбегались и набирали скорость на 1100 кг и набрали 530 км/час. Потом почувствовался удар, машину бросило вправо. На 1250 двигатель кончил работать. Пикирующий момент вырос. При посадке лыжи ушли под снег. летали 3 мин. 37 сек. и двигатель работал 72.3 сек. (2928,21).</w:t>
      </w:r>
    </w:p>
    <w:p w14:paraId="4B790584" w14:textId="77777777" w:rsidR="00C2313B" w:rsidRPr="00925F26" w:rsidRDefault="00C2313B" w:rsidP="00925F26">
      <w:pPr>
        <w:autoSpaceDE w:val="0"/>
        <w:autoSpaceDN w:val="0"/>
        <w:adjustRightInd w:val="0"/>
        <w:jc w:val="both"/>
        <w:rPr>
          <w:iCs/>
          <w:color w:val="000000" w:themeColor="text1"/>
          <w:sz w:val="16"/>
          <w:szCs w:val="16"/>
        </w:rPr>
      </w:pPr>
    </w:p>
    <w:p w14:paraId="7CD581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24 января 1945 г. с 17 декабря 1944 по «Объект 701» № 5 прошел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925F26">
        <w:rPr>
          <w:color w:val="000000" w:themeColor="text1"/>
          <w:sz w:val="16"/>
          <w:szCs w:val="16"/>
        </w:rPr>
        <w:softHyphen/>
        <w:t>ной броневой защитой, мощным вооружением, хорошей манев</w:t>
      </w:r>
      <w:r w:rsidRPr="00925F26">
        <w:rPr>
          <w:color w:val="000000" w:themeColor="text1"/>
          <w:sz w:val="16"/>
          <w:szCs w:val="16"/>
        </w:rPr>
        <w:softHyphen/>
        <w:t>ренностью, достаточной надежностью агрегатов и механиз</w:t>
      </w:r>
      <w:r w:rsidRPr="00925F26">
        <w:rPr>
          <w:color w:val="000000" w:themeColor="text1"/>
          <w:sz w:val="16"/>
          <w:szCs w:val="16"/>
        </w:rPr>
        <w:softHyphen/>
        <w:t>мов. Управление простое и легкое, эксплуатационные показа</w:t>
      </w:r>
      <w:r w:rsidRPr="00925F26">
        <w:rPr>
          <w:color w:val="000000" w:themeColor="text1"/>
          <w:sz w:val="16"/>
          <w:szCs w:val="16"/>
        </w:rPr>
        <w:softHyphen/>
        <w:t>тели высокие, в обслуживании танк прост, удобен и не требу</w:t>
      </w:r>
      <w:r w:rsidRPr="00925F26">
        <w:rPr>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925F26">
        <w:rPr>
          <w:color w:val="000000" w:themeColor="text1"/>
          <w:sz w:val="16"/>
          <w:szCs w:val="16"/>
        </w:rPr>
        <w:softHyphen/>
        <w:t>тия на вооружение Красной Армии» (11135).</w:t>
      </w:r>
    </w:p>
    <w:p w14:paraId="25C3CE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3E324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г. по приказу НКАП № 21с в соответствии с распоряжением СНК № 21822-рс от 24.11.1944 г. и постановлением ГКО № 2381 о мероприятиях по заводу № 214 от 7.10.1942 г. в состав завода № 214 5ГУ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с 1.01.1945 г. влит завод № 474 НКАП.</w:t>
      </w:r>
    </w:p>
    <w:p w14:paraId="1BFB98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713-342 от 26.06.1957 г. передан в ведение СНХ РСФСР.</w:t>
      </w:r>
    </w:p>
    <w:p w14:paraId="1E068B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7C23F7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0ACDCB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140194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Помощник директора по найму и увольнению (-15.12.1938 г.)- Е.Б. Коган, (15.12.1938 г.-)- Т.Н. Артемов.</w:t>
      </w:r>
    </w:p>
    <w:p w14:paraId="1BABAB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Коммерческий директор (2002 г.)- С.С. Арефьев. Технический директор (2002 г.)-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JI</w:t>
      </w:r>
      <w:r w:rsidRPr="00925F26">
        <w:rPr>
          <w:color w:val="000000" w:themeColor="text1"/>
          <w:sz w:val="16"/>
          <w:szCs w:val="16"/>
        </w:rPr>
        <w:t>. Степанов.</w:t>
      </w:r>
      <w:r w:rsidRPr="00925F26">
        <w:rPr>
          <w:color w:val="000000" w:themeColor="text1"/>
          <w:sz w:val="16"/>
          <w:szCs w:val="16"/>
          <w:vertAlign w:val="superscript"/>
        </w:rPr>
        <w:t>69</w:t>
      </w:r>
    </w:p>
    <w:p w14:paraId="23E116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инженер (8.03.1938 г.-)- В.И. Восторин.</w:t>
      </w:r>
      <w:r w:rsidRPr="00925F26">
        <w:rPr>
          <w:color w:val="000000" w:themeColor="text1"/>
          <w:sz w:val="16"/>
          <w:szCs w:val="16"/>
          <w:vertAlign w:val="superscript"/>
        </w:rPr>
        <w:t>139</w:t>
      </w:r>
    </w:p>
    <w:p w14:paraId="0D167079" w14:textId="77777777" w:rsidR="00C2313B" w:rsidRPr="00925F26" w:rsidRDefault="00C2313B"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30E57D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ОКБ-214 НКАП, КБ-214 при заводе № 214, ОКБ-1 НКАП при заводе № 122</w:t>
      </w:r>
    </w:p>
    <w:p w14:paraId="6F0652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г. </w:t>
      </w:r>
      <w:proofErr w:type="gramStart"/>
      <w:r w:rsidRPr="00925F26">
        <w:rPr>
          <w:color w:val="000000" w:themeColor="text1"/>
          <w:sz w:val="16"/>
          <w:szCs w:val="16"/>
        </w:rPr>
        <w:t>Москва;  г.</w:t>
      </w:r>
      <w:proofErr w:type="gramEnd"/>
      <w:r w:rsidRPr="00925F26">
        <w:rPr>
          <w:color w:val="000000" w:themeColor="text1"/>
          <w:sz w:val="16"/>
          <w:szCs w:val="16"/>
        </w:rPr>
        <w:t xml:space="preserve"> </w:t>
      </w:r>
      <w:proofErr w:type="gramStart"/>
      <w:r w:rsidRPr="00925F26">
        <w:rPr>
          <w:color w:val="000000" w:themeColor="text1"/>
          <w:sz w:val="16"/>
          <w:szCs w:val="16"/>
        </w:rPr>
        <w:t>Свердловск;  г.</w:t>
      </w:r>
      <w:proofErr w:type="gramEnd"/>
      <w:r w:rsidRPr="00925F26">
        <w:rPr>
          <w:color w:val="000000" w:themeColor="text1"/>
          <w:sz w:val="16"/>
          <w:szCs w:val="16"/>
        </w:rPr>
        <w:t xml:space="preserve"> Москва/</w:t>
      </w:r>
    </w:p>
    <w:p w14:paraId="60A997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6532B8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65EDEB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Работы по автопилотам: А-3 (шифр «80»), АПГ-1 для ДБ-3 и ТБ-7 (пнв в 1939-40 г.),</w:t>
      </w:r>
    </w:p>
    <w:p w14:paraId="736A30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4BDD7F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B7544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1943-45 г. создано 10 образцов пневматических автопилотов, в том числе АП-4 для снаряда «10Х</w:t>
      </w:r>
      <w:proofErr w:type="gramStart"/>
      <w:r w:rsidRPr="00925F26">
        <w:rPr>
          <w:color w:val="000000" w:themeColor="text1"/>
          <w:sz w:val="16"/>
          <w:szCs w:val="16"/>
        </w:rPr>
        <w:t>» ;</w:t>
      </w:r>
      <w:proofErr w:type="gramEnd"/>
      <w:r w:rsidRPr="00925F26">
        <w:rPr>
          <w:color w:val="000000" w:themeColor="text1"/>
          <w:sz w:val="16"/>
          <w:szCs w:val="16"/>
        </w:rPr>
        <w:t xml:space="preserve"> начаты работы по созданию автопилота АП-5 для Ту-4 (копия американского С-3).</w:t>
      </w:r>
    </w:p>
    <w:p w14:paraId="2CCB67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1256B4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Руководитель/ гл. конструктор (1932-43 г.-)- В.М. Соркин (11982).</w:t>
      </w:r>
    </w:p>
    <w:p w14:paraId="23562308" w14:textId="77777777" w:rsidR="004F53AD" w:rsidRPr="00925F26" w:rsidRDefault="004F53AD" w:rsidP="00925F26">
      <w:pPr>
        <w:autoSpaceDE w:val="0"/>
        <w:autoSpaceDN w:val="0"/>
        <w:adjustRightInd w:val="0"/>
        <w:jc w:val="both"/>
        <w:rPr>
          <w:color w:val="000000" w:themeColor="text1"/>
          <w:sz w:val="16"/>
          <w:szCs w:val="16"/>
        </w:rPr>
      </w:pPr>
    </w:p>
    <w:p w14:paraId="3A8AAF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г. по приказу НКАП № 21с в соответствии с распоряжением СНК № 21822-рс от 24.11.1944 г. завод № 474  (ГС Завод № 474 НКАП / г. Москва, ул. Бахметовская, 13 (ул. Образцова);  г. Свердловск/) с 1.01.1945 г. влит в состав завода № 214 5ГУ и исключен из числа действующих.</w:t>
      </w:r>
    </w:p>
    <w:p w14:paraId="7581EA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(1941-01.1943 г.-)- И.С. Алешин, (09.1943 г.)- Жердев, (-01.1945 г.)- И.Б. Литенецкий.</w:t>
      </w:r>
    </w:p>
    <w:p w14:paraId="141666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Филиал Завода № 474 НКАП /г. Москва, ул. Бахметовская (ул. Образцова)/</w:t>
      </w:r>
    </w:p>
    <w:p w14:paraId="3A5950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0F615F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259DCF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(01.1942 г.-)- Н.Б. Валаев.</w:t>
      </w:r>
    </w:p>
    <w:p w14:paraId="32397C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(01.1942 г.-)- Гаврилин (11982).</w:t>
      </w:r>
    </w:p>
    <w:p w14:paraId="6271FD0D" w14:textId="77777777" w:rsidR="004F53AD" w:rsidRPr="00925F26" w:rsidRDefault="004F53AD" w:rsidP="00925F26">
      <w:pPr>
        <w:autoSpaceDE w:val="0"/>
        <w:autoSpaceDN w:val="0"/>
        <w:adjustRightInd w:val="0"/>
        <w:jc w:val="both"/>
        <w:rPr>
          <w:iCs/>
          <w:color w:val="000000" w:themeColor="text1"/>
          <w:sz w:val="16"/>
          <w:szCs w:val="16"/>
        </w:rPr>
      </w:pPr>
    </w:p>
    <w:p w14:paraId="4A05B8A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88901AE" w14:textId="77777777" w:rsidR="00C2313B" w:rsidRPr="00925F26" w:rsidRDefault="00C2313B" w:rsidP="00925F26">
      <w:pPr>
        <w:autoSpaceDE w:val="0"/>
        <w:autoSpaceDN w:val="0"/>
        <w:adjustRightInd w:val="0"/>
        <w:jc w:val="both"/>
        <w:rPr>
          <w:iCs/>
          <w:color w:val="000000" w:themeColor="text1"/>
          <w:sz w:val="16"/>
          <w:szCs w:val="16"/>
        </w:rPr>
      </w:pPr>
    </w:p>
    <w:p w14:paraId="1B1260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вышло Распоряжение ГКО № 7385. О мерах по обеспечению нефтяной промышленности Азербайджанской ССР рабочей силой. РГАНИР, Фонд ГКО, д. 358, лл. 105 (11012).</w:t>
      </w:r>
    </w:p>
    <w:p w14:paraId="2B0B1FBA" w14:textId="77777777" w:rsidR="00C2313B" w:rsidRPr="00925F26" w:rsidRDefault="00C2313B" w:rsidP="00925F26">
      <w:pPr>
        <w:autoSpaceDE w:val="0"/>
        <w:autoSpaceDN w:val="0"/>
        <w:adjustRightInd w:val="0"/>
        <w:jc w:val="both"/>
        <w:rPr>
          <w:color w:val="000000" w:themeColor="text1"/>
          <w:sz w:val="16"/>
          <w:szCs w:val="16"/>
        </w:rPr>
      </w:pPr>
    </w:p>
    <w:p w14:paraId="64CCF7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вышло Постановление ГКО № 7386 О мероприятиях по дополнительному обеспечению автобензином действующих фронтов. РГАНИР, Фонд ГКО, д. 358, лл. 106-107 (11012).</w:t>
      </w:r>
    </w:p>
    <w:p w14:paraId="263B827C" w14:textId="77777777" w:rsidR="00C2313B" w:rsidRPr="00925F26" w:rsidRDefault="00C2313B" w:rsidP="00925F26">
      <w:pPr>
        <w:autoSpaceDE w:val="0"/>
        <w:autoSpaceDN w:val="0"/>
        <w:adjustRightInd w:val="0"/>
        <w:jc w:val="both"/>
        <w:rPr>
          <w:color w:val="000000" w:themeColor="text1"/>
          <w:sz w:val="16"/>
          <w:szCs w:val="16"/>
        </w:rPr>
      </w:pPr>
    </w:p>
    <w:p w14:paraId="540989A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CF23412" w14:textId="77777777" w:rsidR="00C2313B" w:rsidRPr="00925F26" w:rsidRDefault="00C2313B" w:rsidP="00925F26">
      <w:pPr>
        <w:autoSpaceDE w:val="0"/>
        <w:autoSpaceDN w:val="0"/>
        <w:adjustRightInd w:val="0"/>
        <w:jc w:val="both"/>
        <w:rPr>
          <w:iCs/>
          <w:color w:val="000000" w:themeColor="text1"/>
          <w:sz w:val="16"/>
          <w:szCs w:val="16"/>
        </w:rPr>
      </w:pPr>
    </w:p>
    <w:p w14:paraId="42C441B3" w14:textId="77777777" w:rsidR="004F53AD" w:rsidRPr="00925F26" w:rsidRDefault="004F53AD" w:rsidP="00925F26">
      <w:pPr>
        <w:jc w:val="both"/>
        <w:rPr>
          <w:color w:val="000000" w:themeColor="text1"/>
          <w:sz w:val="16"/>
          <w:szCs w:val="16"/>
        </w:rPr>
      </w:pPr>
      <w:r w:rsidRPr="00925F26">
        <w:rPr>
          <w:bCs/>
          <w:color w:val="000000" w:themeColor="text1"/>
          <w:sz w:val="16"/>
          <w:szCs w:val="16"/>
        </w:rPr>
        <w:t>24 января</w:t>
      </w:r>
      <w:r w:rsidRPr="00925F26">
        <w:rPr>
          <w:color w:val="000000" w:themeColor="text1"/>
          <w:sz w:val="16"/>
          <w:szCs w:val="16"/>
        </w:rPr>
        <w:t xml:space="preserve"> в 1945 году оперативная сводка Совинформбюро:</w:t>
      </w:r>
    </w:p>
    <w:p w14:paraId="7E193B7A" w14:textId="77777777" w:rsidR="004F53AD" w:rsidRPr="00925F26" w:rsidRDefault="004F53AD" w:rsidP="00925F26">
      <w:pPr>
        <w:jc w:val="both"/>
        <w:rPr>
          <w:color w:val="000000" w:themeColor="text1"/>
          <w:sz w:val="16"/>
          <w:szCs w:val="16"/>
        </w:rPr>
      </w:pPr>
      <w:r w:rsidRPr="00925F26">
        <w:rPr>
          <w:color w:val="000000" w:themeColor="text1"/>
          <w:sz w:val="16"/>
          <w:szCs w:val="16"/>
        </w:rPr>
        <w:t>«В течение 24 января в Восточной Пруссии южнее и юго-западнее города Инстербург наши войска с боем овладели городами Ангербург, Видминнен, а также заняли более 250 населённых пунктов, среди которых крупные населённые пункты Ильмсдорф, Мульджен, Иодлаукен, Карповен, Шлосберг, Линдехайм.</w:t>
      </w:r>
    </w:p>
    <w:p w14:paraId="290BB427"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24 января с боем овладели городами Восточной Пруссии Ликк, Нойендорф и Биалла — сильными опорными пунктами обороны немцев, прикрывающими пути к озёрному району Восточной Пруссии, а также с боями заняли в западной части Восточной Пруссии города Розенберг, Ризенбург и более 200 других населённых пунктов, в том числе Шпительберг, Альт Гаршен, Райхау, Гросс Герменау, Мисвальде, Альт Христбург. Одновременно войска фронта овладели на территории Польши городами Бризен (Вонбжезно), Шензее (Ковалево), Добжинь.</w:t>
      </w:r>
    </w:p>
    <w:p w14:paraId="410B0752"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Белорусского фронта, продолжая успешное наступление, к исходу 23 января штурмом овладели городом Калиш — важным узлом коммуникаций и сильным опорным пунктом обороны немцев на Бреславльском направлении. В ходе наступательных боёв 24 января войска фронта овладели городами Подгуж, Шубин, Цнин, Яново, Клецко, Врешен, Хоч и заняли более 800 других населённых пунктов.</w:t>
      </w:r>
    </w:p>
    <w:p w14:paraId="5F24B5BF"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Украинского фронта в результате стремительной атаки танковых соединений и пехоты 24 января овладели важным центром военной промышленности немецкой Силезии городом и крепостью Оппельн — крупным узлом железных и шоссейных дорог и мощным опорным пунктом обороны немцев на реке Одер. Одновременно войска фронта севернее города Бреслау овладели в Польше городом Равич и на территории Германии городом Трахенберг, а также с боями заняли города Фестенберг, Ной Миттельвальде, Гросс Вартенберг и более 200 других немецких населённых пунктов, в том числе Шоллендорф, Понтвитц, Недлинген, Маргарет (7 километров юго-восточнее Бреслау), Раттвиц, Эльтш, Мальсдорф, Отмут, Бергштадт, Вальдбрюккен. Юго-западнее Лодзи наши войска уничтожили окружённую группировку противника, захватили при этом 53 танка и взяли в плен более 3.000 немецких солдат и офицеров. Противник оставил на поле боя не менее 6.000 трупов своих солдат и офицеров.</w:t>
      </w:r>
    </w:p>
    <w:p w14:paraId="1E5D3BE0" w14:textId="77777777" w:rsidR="004F53AD" w:rsidRPr="00925F26" w:rsidRDefault="004F53AD" w:rsidP="00925F26">
      <w:pPr>
        <w:jc w:val="both"/>
        <w:rPr>
          <w:color w:val="000000" w:themeColor="text1"/>
          <w:sz w:val="16"/>
          <w:szCs w:val="16"/>
        </w:rPr>
      </w:pPr>
      <w:r w:rsidRPr="00925F26">
        <w:rPr>
          <w:color w:val="000000" w:themeColor="text1"/>
          <w:sz w:val="16"/>
          <w:szCs w:val="16"/>
        </w:rPr>
        <w:t>Южнее и юго-западнее Кракова наши войска с боями заняли более 40 населённых пунктов и среди них Кшенцин, Пшитковице, Кальвария, Ленкавица, Слезовице и железнодорожные станции Кальвария, Скавце, Суха.</w:t>
      </w:r>
    </w:p>
    <w:p w14:paraId="79CED1E5"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Украинского фронта, перейдя в наступление к северу от города Мишколц, в трудных условиях горно-лесистой местности прорвали сильно укреплённую оборону немцев, продвинулись вперёд до 20 километров, расширили прорыв до 40 километров по фронту и к исходу 23 января овладели на территории Чехословакии городами Рожнява и Йелшава — важными опорными пунктами обороны противника, а также с боями заняли более 80 других населённых пунктов, в числе которых Угорна, Нижняя Слана, Охтина, Ревуца, Пила, Кленовец, Златно и железнодорожные станции Бетляр, Нижняя Слана, Штитник, Ревуца, Гнушта.</w:t>
      </w:r>
    </w:p>
    <w:p w14:paraId="0E573003" w14:textId="77777777" w:rsidR="004F53AD" w:rsidRPr="00925F26" w:rsidRDefault="004F53AD"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гарнизона противника, окружённого в западной части города (Буда).</w:t>
      </w:r>
    </w:p>
    <w:p w14:paraId="41D99345" w14:textId="77777777" w:rsidR="004F53AD" w:rsidRPr="00925F26" w:rsidRDefault="004F53AD" w:rsidP="00925F26">
      <w:pPr>
        <w:jc w:val="both"/>
        <w:rPr>
          <w:color w:val="000000" w:themeColor="text1"/>
          <w:sz w:val="16"/>
          <w:szCs w:val="16"/>
        </w:rPr>
      </w:pPr>
      <w:r w:rsidRPr="00925F26">
        <w:rPr>
          <w:color w:val="000000" w:themeColor="text1"/>
          <w:sz w:val="16"/>
          <w:szCs w:val="16"/>
        </w:rPr>
        <w:t>Юго-западнее Будапешта наши войска отбивали атаки крупных сил пехоты и танков противника, стремящегося пробиться к Будапешту.</w:t>
      </w:r>
    </w:p>
    <w:p w14:paraId="52F3900A" w14:textId="77777777" w:rsidR="004F53AD" w:rsidRPr="00925F26" w:rsidRDefault="004F53AD" w:rsidP="00925F26">
      <w:pPr>
        <w:jc w:val="both"/>
        <w:rPr>
          <w:color w:val="000000" w:themeColor="text1"/>
          <w:sz w:val="16"/>
          <w:szCs w:val="16"/>
        </w:rPr>
      </w:pPr>
      <w:r w:rsidRPr="00925F26">
        <w:rPr>
          <w:color w:val="000000" w:themeColor="text1"/>
          <w:sz w:val="16"/>
          <w:szCs w:val="16"/>
        </w:rPr>
        <w:t>За 23 января наши войска на всех фронтах подбили и уничтожили 83 немецких танка, из них 34 — юго-западнее Будапешта. В воздушных боях и огнём зенитной артиллерии сбито 23 самолёта противника.</w:t>
      </w:r>
    </w:p>
    <w:p w14:paraId="64E99E88"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3-го Белорусского фронта продолжали наступление. Особенно ожесточённые бои происходили южнее реки Прегель. Противник, располагавший выгодными позициями, усиленными железобетонными сооружениями, упорно сопротивлялся. Советские части, при поддержке мощного артиллерийского огня, продвинулись вперёд на расстояние до 15 километров и заняли ряд опорных пунктов немцев. Другие наши части, взломав сильно укрепленный район, овладели городом Ангербург. Отступая под ударами советских войск, немцы несут тяжёлые потери. По неполным данным, за день уничтожено до 2 тысяч гитлеровцев. Нашими войсками захвачены трофеи, в числе которых 5 самолётов и 30 орудий. Взято в плен до 700 немецких солдат и офицеров.</w:t>
      </w:r>
    </w:p>
    <w:p w14:paraId="7173AB82"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2-го Белорусского фронта с боями продвигались в глубь Восточной Пруссии. Немцы, стремясь любой ценой удержать за собой сухопутные коммуникации, связывающие Восточную Пруссию с Померанией, ведут непрерывные контратаки. Они бросают в бой полицейские части, курсантов морских училищ и различных военных школ. Советские войска перемалывают живую силу и технику врага и настойчиво продвигаются вперёд. За день истреблено свыше 3.000 солдат и офицеров противника. Уничтожено 12 танков, 92 орудия, около 300 автомашин и железнодорожный эшелон противника с горючим. Захвачено у немцев мной вооружения и десятки складов с боеприпасами и военным имуществом.</w:t>
      </w:r>
    </w:p>
    <w:p w14:paraId="7D878DD6" w14:textId="77777777" w:rsidR="004F53AD" w:rsidRPr="00925F26" w:rsidRDefault="004F53AD" w:rsidP="00925F26">
      <w:pPr>
        <w:jc w:val="both"/>
        <w:rPr>
          <w:color w:val="000000" w:themeColor="text1"/>
          <w:sz w:val="16"/>
          <w:szCs w:val="16"/>
        </w:rPr>
      </w:pPr>
      <w:r w:rsidRPr="00925F26">
        <w:rPr>
          <w:color w:val="000000" w:themeColor="text1"/>
          <w:sz w:val="16"/>
          <w:szCs w:val="16"/>
        </w:rPr>
        <w:t>Войска 1-го Белорусского фронта развивали стремительное наступление. Наши подвижные соединения и пехота продвинулись вперёд на 30 километров и завязали бои на подступах к городу Калиш. Крупный вражеский гарнизон, укрепившийся в дзотах и траншеях, оказывал яростное сопротивление. Советские танкисты и пехотинцы, сломив сопротивление немцев, штурмом овладели древним польским городом Калиш. Противник понёс большие потери. Только на подступах к городу истреблено свыше 1.200 гитлеровцев. Взято много пленных. Другие наши части с боями овладели городами Подгуж, Шубин, Цнин, Яново, Клецко, Врешен и Хоч. На одном из аэродромов противника советские войска захватили 82 немецких самолёта. Захвачены также крупные склады с боеприпасами и военным имуществом.</w:t>
      </w:r>
    </w:p>
    <w:p w14:paraId="5459556F" w14:textId="77777777" w:rsidR="004F53AD" w:rsidRPr="00925F26" w:rsidRDefault="004F53AD" w:rsidP="00925F26">
      <w:pPr>
        <w:jc w:val="both"/>
        <w:rPr>
          <w:color w:val="000000" w:themeColor="text1"/>
          <w:sz w:val="16"/>
          <w:szCs w:val="16"/>
        </w:rPr>
      </w:pPr>
      <w:r w:rsidRPr="00925F26">
        <w:rPr>
          <w:color w:val="000000" w:themeColor="text1"/>
          <w:sz w:val="16"/>
          <w:szCs w:val="16"/>
        </w:rPr>
        <w:t>В районе порода Подгуж наши части освободили из лагеря 8 тысяч советских граждан.</w:t>
      </w:r>
    </w:p>
    <w:p w14:paraId="022F658F" w14:textId="77777777" w:rsidR="004F53AD" w:rsidRPr="00925F26" w:rsidRDefault="004F53AD" w:rsidP="00925F26">
      <w:pPr>
        <w:jc w:val="both"/>
        <w:rPr>
          <w:color w:val="000000" w:themeColor="text1"/>
          <w:sz w:val="16"/>
          <w:szCs w:val="16"/>
          <w:lang w:val="en-US"/>
        </w:rPr>
      </w:pPr>
      <w:r w:rsidRPr="00925F26">
        <w:rPr>
          <w:color w:val="000000" w:themeColor="text1"/>
          <w:sz w:val="16"/>
          <w:szCs w:val="16"/>
        </w:rPr>
        <w:t>Войска 1-го Украинского фронта продолжали успешное наступление. Советские части, преодолевая упорное сопротивление противника, вышли на подступы к старинной немецкой крепости на реке Одер — городу Оппельн. За последние годы немцы приспособили крепость к условиям современной войны. Кроме того, они опоясали город кольцом железобетонных дотов. Сегодня наши подвижные соединения и пехота предприняли стремительную атаку и овладели городом Оппельн, являющимся крупным узлом железных и шоссейных дорог. В городе. много крупных военных предприятий, чугунолитейные заводы и железнодорожные ремонтные мастерские. В боях за Оппельн разбиты части противника, только что прибывшие с других фронтов и из центральных районов Германии. Взято</w:t>
      </w:r>
      <w:r w:rsidRPr="00925F26">
        <w:rPr>
          <w:color w:val="000000" w:themeColor="text1"/>
          <w:sz w:val="16"/>
          <w:szCs w:val="16"/>
          <w:lang w:val="en-US"/>
        </w:rPr>
        <w:t xml:space="preserve"> </w:t>
      </w:r>
      <w:r w:rsidRPr="00925F26">
        <w:rPr>
          <w:color w:val="000000" w:themeColor="text1"/>
          <w:sz w:val="16"/>
          <w:szCs w:val="16"/>
        </w:rPr>
        <w:t>в</w:t>
      </w:r>
      <w:r w:rsidRPr="00925F26">
        <w:rPr>
          <w:color w:val="000000" w:themeColor="text1"/>
          <w:sz w:val="16"/>
          <w:szCs w:val="16"/>
          <w:lang w:val="en-US"/>
        </w:rPr>
        <w:t xml:space="preserve"> </w:t>
      </w:r>
      <w:r w:rsidRPr="00925F26">
        <w:rPr>
          <w:color w:val="000000" w:themeColor="text1"/>
          <w:sz w:val="16"/>
          <w:szCs w:val="16"/>
        </w:rPr>
        <w:t>плен</w:t>
      </w:r>
      <w:r w:rsidRPr="00925F26">
        <w:rPr>
          <w:color w:val="000000" w:themeColor="text1"/>
          <w:sz w:val="16"/>
          <w:szCs w:val="16"/>
          <w:lang w:val="en-US"/>
        </w:rPr>
        <w:t xml:space="preserve"> 2.000 </w:t>
      </w:r>
      <w:r w:rsidRPr="00925F26">
        <w:rPr>
          <w:color w:val="000000" w:themeColor="text1"/>
          <w:sz w:val="16"/>
          <w:szCs w:val="16"/>
        </w:rPr>
        <w:t>немецких</w:t>
      </w:r>
      <w:r w:rsidRPr="00925F26">
        <w:rPr>
          <w:color w:val="000000" w:themeColor="text1"/>
          <w:sz w:val="16"/>
          <w:szCs w:val="16"/>
          <w:lang w:val="en-US"/>
        </w:rPr>
        <w:t xml:space="preserve"> </w:t>
      </w:r>
      <w:r w:rsidRPr="00925F26">
        <w:rPr>
          <w:color w:val="000000" w:themeColor="text1"/>
          <w:sz w:val="16"/>
          <w:szCs w:val="16"/>
        </w:rPr>
        <w:t>солдат</w:t>
      </w:r>
      <w:r w:rsidRPr="00925F26">
        <w:rPr>
          <w:color w:val="000000" w:themeColor="text1"/>
          <w:sz w:val="16"/>
          <w:szCs w:val="16"/>
          <w:lang w:val="en-US"/>
        </w:rPr>
        <w:t xml:space="preserve"> </w:t>
      </w:r>
      <w:r w:rsidRPr="00925F26">
        <w:rPr>
          <w:color w:val="000000" w:themeColor="text1"/>
          <w:sz w:val="16"/>
          <w:szCs w:val="16"/>
        </w:rPr>
        <w:t>и</w:t>
      </w:r>
      <w:r w:rsidRPr="00925F26">
        <w:rPr>
          <w:color w:val="000000" w:themeColor="text1"/>
          <w:sz w:val="16"/>
          <w:szCs w:val="16"/>
          <w:lang w:val="en-US"/>
        </w:rPr>
        <w:t xml:space="preserve"> </w:t>
      </w:r>
      <w:r w:rsidRPr="00925F26">
        <w:rPr>
          <w:color w:val="000000" w:themeColor="text1"/>
          <w:sz w:val="16"/>
          <w:szCs w:val="16"/>
        </w:rPr>
        <w:t>офицеров</w:t>
      </w:r>
      <w:r w:rsidRPr="00925F26">
        <w:rPr>
          <w:color w:val="000000" w:themeColor="text1"/>
          <w:sz w:val="16"/>
          <w:szCs w:val="16"/>
          <w:lang w:val="en-US"/>
        </w:rPr>
        <w:t>.» (15019).</w:t>
      </w:r>
    </w:p>
    <w:p w14:paraId="6F57D771" w14:textId="77777777" w:rsidR="004F53AD" w:rsidRPr="00925F26" w:rsidRDefault="004F53AD" w:rsidP="00925F26">
      <w:pPr>
        <w:jc w:val="both"/>
        <w:rPr>
          <w:color w:val="000000" w:themeColor="text1"/>
          <w:sz w:val="16"/>
          <w:szCs w:val="16"/>
          <w:lang w:val="en-US"/>
        </w:rPr>
      </w:pPr>
    </w:p>
    <w:p w14:paraId="17F1089C"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24, 1945: GermanforcesevacuateSlovakia. The Soviet 1st Ukrainian Front (Konev) captures Oppeln and Gleiwitz in Upper Silesia. Heinrich Himmler is appointed C-in-C of the newly formed Heeresgruppe Weichsel (Vistula) (3819).</w:t>
      </w:r>
    </w:p>
    <w:p w14:paraId="14E40B23" w14:textId="77777777" w:rsidR="00C2313B" w:rsidRPr="00925F26" w:rsidRDefault="00C2313B" w:rsidP="00925F26">
      <w:pPr>
        <w:autoSpaceDE w:val="0"/>
        <w:autoSpaceDN w:val="0"/>
        <w:adjustRightInd w:val="0"/>
        <w:jc w:val="both"/>
        <w:rPr>
          <w:color w:val="000000" w:themeColor="text1"/>
          <w:sz w:val="16"/>
          <w:szCs w:val="16"/>
          <w:lang w:val="en-US"/>
        </w:rPr>
      </w:pPr>
    </w:p>
    <w:p w14:paraId="0B8BF5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24 января 1945 немцы были вынуждены оставить Словакию. 1УФ (Конев) захватил Оппелн и Глейвитц в верхней Силезии. Г.Гимлер был назначен ГК новой </w:t>
      </w:r>
      <w:proofErr w:type="gramStart"/>
      <w:r w:rsidRPr="00925F26">
        <w:rPr>
          <w:color w:val="000000" w:themeColor="text1"/>
          <w:sz w:val="16"/>
          <w:szCs w:val="16"/>
        </w:rPr>
        <w:t>группы Висла</w:t>
      </w:r>
      <w:proofErr w:type="gramEnd"/>
      <w:r w:rsidRPr="00925F26">
        <w:rPr>
          <w:color w:val="000000" w:themeColor="text1"/>
          <w:sz w:val="16"/>
          <w:szCs w:val="16"/>
        </w:rPr>
        <w:t xml:space="preserve"> (3819).</w:t>
      </w:r>
    </w:p>
    <w:p w14:paraId="135A4ED8" w14:textId="77777777" w:rsidR="00C2313B" w:rsidRPr="00925F26" w:rsidRDefault="00C2313B" w:rsidP="00925F26">
      <w:pPr>
        <w:autoSpaceDE w:val="0"/>
        <w:autoSpaceDN w:val="0"/>
        <w:adjustRightInd w:val="0"/>
        <w:jc w:val="both"/>
        <w:rPr>
          <w:color w:val="000000" w:themeColor="text1"/>
          <w:sz w:val="16"/>
          <w:szCs w:val="16"/>
        </w:rPr>
      </w:pPr>
    </w:p>
    <w:p w14:paraId="0A8F80E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E50B585" w14:textId="77777777" w:rsidR="00C2313B" w:rsidRPr="00925F26" w:rsidRDefault="00C2313B" w:rsidP="00925F26">
      <w:pPr>
        <w:autoSpaceDE w:val="0"/>
        <w:autoSpaceDN w:val="0"/>
        <w:adjustRightInd w:val="0"/>
        <w:jc w:val="both"/>
        <w:rPr>
          <w:iCs/>
          <w:color w:val="000000" w:themeColor="text1"/>
          <w:sz w:val="16"/>
          <w:szCs w:val="16"/>
        </w:rPr>
      </w:pPr>
    </w:p>
    <w:p w14:paraId="395091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г. состоялся второй запуск по Нью Йорку. На борту находился пилот Р. Шредер. На десятой секунде после взлета ему показалось, что ракета загорелась. Чтобы избавить себя от мучительной смерти, он раскусил капсулу с цианистым калием. Однако ракета выскочила в космос и полетела по баллистической траектории. Но без управления ракета сбилась с курса и упала где-то в Атлантике (11686).</w:t>
      </w:r>
    </w:p>
    <w:p w14:paraId="62E9A6D9" w14:textId="77777777" w:rsidR="00C2313B" w:rsidRPr="00925F26" w:rsidRDefault="00C2313B" w:rsidP="00925F26">
      <w:pPr>
        <w:autoSpaceDE w:val="0"/>
        <w:autoSpaceDN w:val="0"/>
        <w:adjustRightInd w:val="0"/>
        <w:jc w:val="both"/>
        <w:rPr>
          <w:color w:val="000000" w:themeColor="text1"/>
          <w:sz w:val="16"/>
          <w:szCs w:val="16"/>
        </w:rPr>
      </w:pPr>
    </w:p>
    <w:p w14:paraId="38B2AF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January 24 1945 Germans successfully launched A-9, a winged prototype of the first ICBM (the A-10) designed to reach North America. A-9 reached a peak altitude of nearly 50 miles and a maximum speed of 2,700 mph. </w:t>
      </w:r>
      <w:r w:rsidRPr="00925F26">
        <w:rPr>
          <w:color w:val="000000" w:themeColor="text1"/>
          <w:sz w:val="16"/>
          <w:szCs w:val="16"/>
        </w:rPr>
        <w:t>(1038).</w:t>
      </w:r>
    </w:p>
    <w:p w14:paraId="39F5EFE4" w14:textId="77777777" w:rsidR="00C2313B" w:rsidRPr="00925F26" w:rsidRDefault="00C2313B" w:rsidP="00925F26">
      <w:pPr>
        <w:autoSpaceDE w:val="0"/>
        <w:autoSpaceDN w:val="0"/>
        <w:adjustRightInd w:val="0"/>
        <w:jc w:val="both"/>
        <w:rPr>
          <w:color w:val="000000" w:themeColor="text1"/>
          <w:sz w:val="16"/>
          <w:szCs w:val="16"/>
        </w:rPr>
      </w:pPr>
    </w:p>
    <w:p w14:paraId="2B00C2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 января 1945 была успешно запушена ракета А-9 - крылатая версия А-10, которая должна была долетать до Америки (1038). Достигла высоты 80 км и скорости 4320 км/час (2990).</w:t>
      </w:r>
    </w:p>
    <w:p w14:paraId="572B51A6" w14:textId="77777777" w:rsidR="00C2313B" w:rsidRPr="00925F26" w:rsidRDefault="00C2313B" w:rsidP="00925F26">
      <w:pPr>
        <w:autoSpaceDE w:val="0"/>
        <w:autoSpaceDN w:val="0"/>
        <w:adjustRightInd w:val="0"/>
        <w:jc w:val="both"/>
        <w:rPr>
          <w:color w:val="000000" w:themeColor="text1"/>
          <w:sz w:val="16"/>
          <w:szCs w:val="16"/>
        </w:rPr>
      </w:pPr>
    </w:p>
    <w:p w14:paraId="33E83E4C" w14:textId="77777777" w:rsidR="004F53AD" w:rsidRPr="00925F26" w:rsidRDefault="004F53AD" w:rsidP="00925F26">
      <w:pPr>
        <w:jc w:val="both"/>
        <w:rPr>
          <w:color w:val="000000" w:themeColor="text1"/>
          <w:sz w:val="16"/>
          <w:szCs w:val="16"/>
        </w:rPr>
      </w:pPr>
      <w:r w:rsidRPr="00925F26">
        <w:rPr>
          <w:bCs/>
          <w:color w:val="000000" w:themeColor="text1"/>
          <w:sz w:val="16"/>
          <w:szCs w:val="16"/>
        </w:rPr>
        <w:t>24 января</w:t>
      </w:r>
      <w:r w:rsidRPr="00925F26">
        <w:rPr>
          <w:color w:val="000000" w:themeColor="text1"/>
          <w:sz w:val="16"/>
          <w:szCs w:val="16"/>
        </w:rPr>
        <w:t xml:space="preserve"> в 1945 году с германского ракетного полигона в Пенемюнде осуществлен первый испытательный пуск баллистической ракеты "А-4b" - прототипа межконтинентальной баллистической ракеты «А-9/А-10». Максимальная высота подъема ракеты составила 80 км (15019).</w:t>
      </w:r>
    </w:p>
    <w:p w14:paraId="6FAAC026" w14:textId="77777777" w:rsidR="004F53AD" w:rsidRPr="00925F26" w:rsidRDefault="004F53AD" w:rsidP="00925F26">
      <w:pPr>
        <w:jc w:val="both"/>
        <w:rPr>
          <w:color w:val="000000" w:themeColor="text1"/>
          <w:sz w:val="16"/>
          <w:szCs w:val="16"/>
        </w:rPr>
      </w:pPr>
    </w:p>
    <w:p w14:paraId="62C5DC51" w14:textId="77777777" w:rsidR="00B80BC3" w:rsidRPr="00925F26" w:rsidRDefault="00B80BC3" w:rsidP="00925F26">
      <w:pPr>
        <w:jc w:val="both"/>
        <w:rPr>
          <w:color w:val="000000" w:themeColor="text1"/>
          <w:sz w:val="16"/>
          <w:szCs w:val="16"/>
        </w:rPr>
      </w:pPr>
      <w:r w:rsidRPr="00925F26">
        <w:rPr>
          <w:color w:val="000000" w:themeColor="text1"/>
          <w:sz w:val="16"/>
          <w:szCs w:val="16"/>
        </w:rPr>
        <w:t xml:space="preserve">24 января 1945 г. третья крылатая ракета на базе А-4 (G3) со стреловидными крыльями размахом 6,1 м </w:t>
      </w:r>
      <w:proofErr w:type="gramStart"/>
      <w:r w:rsidRPr="00925F26">
        <w:rPr>
          <w:color w:val="000000" w:themeColor="text1"/>
          <w:sz w:val="16"/>
          <w:szCs w:val="16"/>
        </w:rPr>
        <w:t>и  с</w:t>
      </w:r>
      <w:proofErr w:type="gramEnd"/>
      <w:r w:rsidRPr="00925F26">
        <w:rPr>
          <w:color w:val="000000" w:themeColor="text1"/>
          <w:sz w:val="16"/>
          <w:szCs w:val="16"/>
        </w:rPr>
        <w:t xml:space="preserve">  увеличенными рулевыми поверхностями успешно стартовала, разогналась в вертикальном полёте до скорости 1200 м/с (4320 км/ч) и поднялась на высоту 82 км. Впервые в истории крылатый летательный преодолел звуковой барьер. Правда, исторический запуск закончился аварией. При снижении A4b вдруг закувыркалась, потом восстановила нужную ориентацию </w:t>
      </w:r>
      <w:proofErr w:type="gramStart"/>
      <w:r w:rsidRPr="00925F26">
        <w:rPr>
          <w:color w:val="000000" w:themeColor="text1"/>
          <w:sz w:val="16"/>
          <w:szCs w:val="16"/>
        </w:rPr>
        <w:t>и  начала</w:t>
      </w:r>
      <w:proofErr w:type="gramEnd"/>
      <w:r w:rsidRPr="00925F26">
        <w:rPr>
          <w:color w:val="000000" w:themeColor="text1"/>
          <w:sz w:val="16"/>
          <w:szCs w:val="16"/>
        </w:rPr>
        <w:t xml:space="preserve"> планировать. Но траектория оказалась слишком крутой: под воздействием перерузки обломилась консоль крыла, ракета разрушилась. Несмотря на это, испытание признали удачным (23372).</w:t>
      </w:r>
    </w:p>
    <w:p w14:paraId="5BA1EFC9" w14:textId="77777777" w:rsidR="00B80BC3" w:rsidRPr="00925F26" w:rsidRDefault="00B80BC3" w:rsidP="00925F26">
      <w:pPr>
        <w:jc w:val="both"/>
        <w:rPr>
          <w:color w:val="000000" w:themeColor="text1"/>
          <w:sz w:val="16"/>
          <w:szCs w:val="16"/>
        </w:rPr>
      </w:pPr>
    </w:p>
    <w:p w14:paraId="6E78D320" w14:textId="77777777" w:rsidR="00B80BC3" w:rsidRPr="00925F26" w:rsidRDefault="00B80BC3" w:rsidP="00925F26">
      <w:pPr>
        <w:jc w:val="both"/>
        <w:rPr>
          <w:color w:val="000000" w:themeColor="text1"/>
          <w:sz w:val="16"/>
          <w:szCs w:val="16"/>
        </w:rPr>
      </w:pPr>
      <w:r w:rsidRPr="00925F26">
        <w:rPr>
          <w:color w:val="000000" w:themeColor="text1"/>
          <w:sz w:val="16"/>
          <w:szCs w:val="16"/>
        </w:rPr>
        <w:t>24 января 1945 г. опытный экземпляр А-4Ь М G3 (изготовлен на подзем</w:t>
      </w:r>
      <w:r w:rsidRPr="00925F26">
        <w:rPr>
          <w:color w:val="000000" w:themeColor="text1"/>
          <w:sz w:val="16"/>
          <w:szCs w:val="16"/>
        </w:rPr>
        <w:softHyphen/>
        <w:t>ном заводе Миттельверк, заводской но</w:t>
      </w:r>
      <w:r w:rsidRPr="00925F26">
        <w:rPr>
          <w:color w:val="000000" w:themeColor="text1"/>
          <w:sz w:val="16"/>
          <w:szCs w:val="16"/>
        </w:rPr>
        <w:softHyphen/>
        <w:t>мер 18543) успешно стартовал и уве</w:t>
      </w:r>
      <w:r w:rsidRPr="00925F26">
        <w:rPr>
          <w:color w:val="000000" w:themeColor="text1"/>
          <w:sz w:val="16"/>
          <w:szCs w:val="16"/>
        </w:rPr>
        <w:softHyphen/>
        <w:t>ренно преодолел звуковой барьер, дос</w:t>
      </w:r>
      <w:r w:rsidRPr="00925F26">
        <w:rPr>
          <w:color w:val="000000" w:themeColor="text1"/>
          <w:sz w:val="16"/>
          <w:szCs w:val="16"/>
        </w:rPr>
        <w:softHyphen/>
        <w:t>тигнув в вертикальном полете наивыс</w:t>
      </w:r>
      <w:r w:rsidRPr="00925F26">
        <w:rPr>
          <w:color w:val="000000" w:themeColor="text1"/>
          <w:sz w:val="16"/>
          <w:szCs w:val="16"/>
        </w:rPr>
        <w:softHyphen/>
        <w:t>шей скорости 1200 м/с и высоты 82 км. При снижении А-4Ь вначале беспоря</w:t>
      </w:r>
      <w:r w:rsidRPr="00925F26">
        <w:rPr>
          <w:color w:val="000000" w:themeColor="text1"/>
          <w:sz w:val="16"/>
          <w:szCs w:val="16"/>
        </w:rPr>
        <w:softHyphen/>
        <w:t>дочно кувыркалась, а потом, под дей</w:t>
      </w:r>
      <w:r w:rsidRPr="00925F26">
        <w:rPr>
          <w:color w:val="000000" w:themeColor="text1"/>
          <w:sz w:val="16"/>
          <w:szCs w:val="16"/>
        </w:rPr>
        <w:softHyphen/>
        <w:t>ствием аэродинамических сил, смогла восстановить нужную ориентацию, застабилизировалась и даже стала планировать. Но снижение было очень крутым (ракету преднамеренно запус</w:t>
      </w:r>
      <w:r w:rsidRPr="00925F26">
        <w:rPr>
          <w:color w:val="000000" w:themeColor="text1"/>
          <w:sz w:val="16"/>
          <w:szCs w:val="16"/>
        </w:rPr>
        <w:softHyphen/>
        <w:t>тили по траектории, близкой к верти</w:t>
      </w:r>
      <w:r w:rsidRPr="00925F26">
        <w:rPr>
          <w:color w:val="000000" w:themeColor="text1"/>
          <w:sz w:val="16"/>
          <w:szCs w:val="16"/>
        </w:rPr>
        <w:softHyphen/>
        <w:t>кальной), и под воздействием явно не</w:t>
      </w:r>
      <w:r w:rsidRPr="00925F26">
        <w:rPr>
          <w:color w:val="000000" w:themeColor="text1"/>
          <w:sz w:val="16"/>
          <w:szCs w:val="16"/>
        </w:rPr>
        <w:softHyphen/>
        <w:t>расчетных аэродинамических нагру</w:t>
      </w:r>
      <w:r w:rsidRPr="00925F26">
        <w:rPr>
          <w:color w:val="000000" w:themeColor="text1"/>
          <w:sz w:val="16"/>
          <w:szCs w:val="16"/>
        </w:rPr>
        <w:softHyphen/>
        <w:t>зок обломилась одна консоль крыла. Изделие разрушилось (23388).</w:t>
      </w:r>
    </w:p>
    <w:p w14:paraId="2C485C0D" w14:textId="77777777" w:rsidR="00B80BC3" w:rsidRPr="00925F26" w:rsidRDefault="00B80BC3" w:rsidP="00925F26">
      <w:pPr>
        <w:jc w:val="both"/>
        <w:rPr>
          <w:color w:val="000000" w:themeColor="text1"/>
          <w:sz w:val="16"/>
          <w:szCs w:val="16"/>
        </w:rPr>
      </w:pPr>
    </w:p>
    <w:p w14:paraId="049A6A25" w14:textId="77777777" w:rsidR="004F53AD" w:rsidRPr="00925F26" w:rsidRDefault="004F53AD" w:rsidP="00925F26">
      <w:pPr>
        <w:jc w:val="both"/>
        <w:rPr>
          <w:color w:val="000000" w:themeColor="text1"/>
          <w:sz w:val="16"/>
          <w:szCs w:val="16"/>
        </w:rPr>
      </w:pPr>
      <w:r w:rsidRPr="00925F26">
        <w:rPr>
          <w:bCs/>
          <w:color w:val="000000" w:themeColor="text1"/>
          <w:sz w:val="16"/>
          <w:szCs w:val="16"/>
        </w:rPr>
        <w:t>24 января</w:t>
      </w:r>
      <w:r w:rsidRPr="00925F26">
        <w:rPr>
          <w:color w:val="000000" w:themeColor="text1"/>
          <w:sz w:val="16"/>
          <w:szCs w:val="16"/>
        </w:rPr>
        <w:t xml:space="preserve"> в 1945 году первый запуск немецкой ракеты </w:t>
      </w:r>
      <w:hyperlink r:id="rId16" w:tgtFrame="_blank" w:history="1">
        <w:r w:rsidRPr="00925F26">
          <w:rPr>
            <w:color w:val="000000" w:themeColor="text1"/>
            <w:sz w:val="16"/>
            <w:szCs w:val="16"/>
          </w:rPr>
          <w:t xml:space="preserve">"Америка - А/9-10" </w:t>
        </w:r>
      </w:hyperlink>
      <w:r w:rsidRPr="00925F26">
        <w:rPr>
          <w:color w:val="000000" w:themeColor="text1"/>
          <w:sz w:val="16"/>
          <w:szCs w:val="16"/>
        </w:rPr>
        <w:t>(конструктор Вернер фон Браун), управляемой пилотом-самоубийцей штурмбанфюрером СС Р.М.Шредером. Двухступенчатая ракета "Америка - А/9 - 10" имела длину 29 метров при максимальном диаметре 3,5 м и оперением общей площадью 12 м. Радиус ее действия составлял 5 тысяч км, именно столько требовалось, чтобы достичь Нью-Йорка. БЧ БР имела заряд - 350 кг нитроглицериновой взрывчатки и предназначалась для бомбардировки Нью-Йорка. Уклонилась от курса и упала в океан, не взорвавшись (15019).</w:t>
      </w:r>
    </w:p>
    <w:p w14:paraId="32E6B621" w14:textId="77777777" w:rsidR="004F53AD" w:rsidRPr="00925F26" w:rsidRDefault="004F53AD" w:rsidP="00925F26">
      <w:pPr>
        <w:jc w:val="both"/>
        <w:rPr>
          <w:color w:val="000000" w:themeColor="text1"/>
          <w:sz w:val="16"/>
          <w:szCs w:val="16"/>
        </w:rPr>
      </w:pPr>
    </w:p>
    <w:p w14:paraId="2C29C3C1" w14:textId="25D9F602" w:rsidR="000D6FF7" w:rsidRPr="00925F26" w:rsidRDefault="000D6FF7" w:rsidP="00925F26">
      <w:pPr>
        <w:jc w:val="both"/>
        <w:rPr>
          <w:color w:val="000000" w:themeColor="text1"/>
          <w:sz w:val="16"/>
          <w:szCs w:val="16"/>
        </w:rPr>
      </w:pPr>
      <w:r w:rsidRPr="00925F26">
        <w:rPr>
          <w:color w:val="000000" w:themeColor="text1"/>
          <w:sz w:val="16"/>
          <w:szCs w:val="16"/>
        </w:rPr>
        <w:t>24 января 1945</w:t>
      </w:r>
      <w:r w:rsidR="00997EDF" w:rsidRPr="00925F26">
        <w:rPr>
          <w:color w:val="000000" w:themeColor="text1"/>
          <w:sz w:val="16"/>
          <w:szCs w:val="16"/>
        </w:rPr>
        <w:t xml:space="preserve">  </w:t>
      </w:r>
      <w:r w:rsidRPr="00925F26">
        <w:rPr>
          <w:color w:val="000000" w:themeColor="text1"/>
          <w:sz w:val="16"/>
          <w:szCs w:val="16"/>
        </w:rPr>
        <w:t>- C германского ракетного полигона в Пенемюнде был осуществлен первый успешный испытательный пуск ракеты "A-4b" - крылатой версии ракеты дальнего действия "A-4"/SS-1/Scunner (попытка первого испытательного пуска баллистической ракеты 27 декабря 1944 г. была неудачной - отказ двигателя на старте). Максимальная высота подъема ракеты составила 80 км, максимальная скорость полета составила 4320 километров в час, при входе в атмосферу оторвалось одно крыло ракеты. Расчетная дальность ракеты составляла 600 км (22645).</w:t>
      </w:r>
    </w:p>
    <w:p w14:paraId="59478B1E" w14:textId="77777777" w:rsidR="000D6FF7" w:rsidRPr="00925F26" w:rsidRDefault="000D6FF7" w:rsidP="00925F26">
      <w:pPr>
        <w:jc w:val="both"/>
        <w:rPr>
          <w:color w:val="000000" w:themeColor="text1"/>
          <w:sz w:val="16"/>
          <w:szCs w:val="16"/>
        </w:rPr>
      </w:pPr>
    </w:p>
    <w:p w14:paraId="28B0ED18" w14:textId="77777777" w:rsidR="000D6FF7" w:rsidRPr="00925F26" w:rsidRDefault="000D6FF7" w:rsidP="00925F26">
      <w:pPr>
        <w:jc w:val="both"/>
        <w:rPr>
          <w:color w:val="000000" w:themeColor="text1"/>
          <w:sz w:val="16"/>
          <w:szCs w:val="16"/>
        </w:rPr>
      </w:pPr>
      <w:r w:rsidRPr="00925F26">
        <w:rPr>
          <w:color w:val="000000" w:themeColor="text1"/>
          <w:sz w:val="16"/>
          <w:szCs w:val="16"/>
        </w:rPr>
        <w:t>24 января 1945 года была испытана крылатая вторая ступень А-9 «Amerika-Rakete». Вторая ступень системы А-10, по одним данным, не была доведена до серийного образца, но по другим, косвенно подтверждающимся проведением в конце 1944 года операции «Elster» («Сорока») в Нью-Йорке по обезвреживанию немецких агентов, в задачу которых входила установка радиомаяков на небоскребах города — проект «Amerika-Rakete» был закончен и ракета была готова к старту (22870).</w:t>
      </w:r>
    </w:p>
    <w:p w14:paraId="26847A7A" w14:textId="77777777" w:rsidR="000D6FF7" w:rsidRPr="00925F26" w:rsidRDefault="000D6FF7" w:rsidP="00925F26">
      <w:pPr>
        <w:jc w:val="both"/>
        <w:rPr>
          <w:color w:val="000000" w:themeColor="text1"/>
          <w:sz w:val="16"/>
          <w:szCs w:val="16"/>
        </w:rPr>
      </w:pPr>
    </w:p>
    <w:p w14:paraId="57E5DBAA" w14:textId="77777777" w:rsidR="004F53AD" w:rsidRPr="00925F26" w:rsidRDefault="004F53AD"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января 1945 Гудериан заявил Риббентропу, что война Германией уже проиграна (4962).</w:t>
      </w:r>
    </w:p>
    <w:p w14:paraId="2828F422" w14:textId="77777777" w:rsidR="004F53AD" w:rsidRPr="00925F26" w:rsidRDefault="004F53AD" w:rsidP="00925F26">
      <w:pPr>
        <w:tabs>
          <w:tab w:val="left" w:pos="11199"/>
        </w:tabs>
        <w:autoSpaceDE w:val="0"/>
        <w:autoSpaceDN w:val="0"/>
        <w:adjustRightInd w:val="0"/>
        <w:jc w:val="both"/>
        <w:rPr>
          <w:color w:val="000000" w:themeColor="text1"/>
          <w:sz w:val="16"/>
          <w:szCs w:val="16"/>
        </w:rPr>
      </w:pPr>
    </w:p>
    <w:p w14:paraId="47F9FC59" w14:textId="77777777" w:rsidR="000D6FF7" w:rsidRPr="00925F26" w:rsidRDefault="000D6FF7" w:rsidP="00925F26">
      <w:pPr>
        <w:jc w:val="both"/>
        <w:rPr>
          <w:color w:val="000000" w:themeColor="text1"/>
          <w:sz w:val="16"/>
          <w:szCs w:val="16"/>
        </w:rPr>
      </w:pPr>
      <w:r w:rsidRPr="00925F26">
        <w:rPr>
          <w:color w:val="000000" w:themeColor="text1"/>
          <w:sz w:val="16"/>
          <w:szCs w:val="16"/>
        </w:rPr>
        <w:t>24 января 1945 B-29 ВВС бомбят Иводзиму (20371).</w:t>
      </w:r>
    </w:p>
    <w:p w14:paraId="5C52ACE2" w14:textId="77777777" w:rsidR="000D6FF7" w:rsidRPr="00925F26" w:rsidRDefault="000D6FF7" w:rsidP="00925F26">
      <w:pPr>
        <w:jc w:val="both"/>
        <w:rPr>
          <w:color w:val="000000" w:themeColor="text1"/>
          <w:sz w:val="16"/>
          <w:szCs w:val="16"/>
        </w:rPr>
      </w:pPr>
    </w:p>
    <w:p w14:paraId="6ABF5009" w14:textId="77777777" w:rsidR="000D6FF7" w:rsidRPr="00925F26" w:rsidRDefault="000D6FF7" w:rsidP="00925F26">
      <w:pPr>
        <w:jc w:val="both"/>
        <w:rPr>
          <w:color w:val="000000" w:themeColor="text1"/>
          <w:sz w:val="16"/>
          <w:szCs w:val="16"/>
        </w:rPr>
      </w:pPr>
      <w:r w:rsidRPr="00925F26">
        <w:rPr>
          <w:color w:val="000000" w:themeColor="text1"/>
          <w:sz w:val="16"/>
          <w:szCs w:val="16"/>
        </w:rPr>
        <w:t>24 января 1945 авианосцы Британского Тихоокеанского флота наносят удары по контролируемому японцами нефтеперерабатывающему заводу в Пладжо, Суматра. Во время Второй мировой войны завод так и не смог выйти на полную мощность (20371).</w:t>
      </w:r>
    </w:p>
    <w:p w14:paraId="486E65BA" w14:textId="77777777" w:rsidR="000D6FF7" w:rsidRPr="00925F26" w:rsidRDefault="000D6FF7" w:rsidP="00925F26">
      <w:pPr>
        <w:jc w:val="both"/>
        <w:rPr>
          <w:color w:val="000000" w:themeColor="text1"/>
          <w:sz w:val="16"/>
          <w:szCs w:val="16"/>
        </w:rPr>
      </w:pPr>
    </w:p>
    <w:p w14:paraId="462A7AF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6BD366A" w14:textId="77777777" w:rsidR="00C2313B" w:rsidRPr="00925F26" w:rsidRDefault="00C2313B" w:rsidP="00925F26">
      <w:pPr>
        <w:autoSpaceDE w:val="0"/>
        <w:autoSpaceDN w:val="0"/>
        <w:adjustRightInd w:val="0"/>
        <w:jc w:val="both"/>
        <w:rPr>
          <w:iCs/>
          <w:color w:val="000000" w:themeColor="text1"/>
          <w:sz w:val="16"/>
          <w:szCs w:val="16"/>
        </w:rPr>
      </w:pPr>
    </w:p>
    <w:p w14:paraId="03DD80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25 января по 19 февраля 1945 в НИИ ВВС проводились гос. испытания Ил-2 N 18840122 с АМ-38Ф и винтом АВ-5Л-158 производства 18 завода, изготовленного в ноябре 1944. На испытания поступил 23 января. Вед. инж. п П.Т.Аброщенко, вед. л Г.А.Тиняков. Сделали 16 полетов и налетали 10 час. 50 мин. С некоторыми незначительными улучшениями (804,4).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76621D54" w14:textId="77777777">
        <w:tc>
          <w:tcPr>
            <w:tcW w:w="5636" w:type="dxa"/>
          </w:tcPr>
          <w:p w14:paraId="6385B8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5636" w:type="dxa"/>
          </w:tcPr>
          <w:p w14:paraId="1C1540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4644 кг.</w:t>
            </w:r>
          </w:p>
        </w:tc>
      </w:tr>
      <w:tr w:rsidR="000F5689" w:rsidRPr="00925F26" w14:paraId="17E1785F" w14:textId="77777777">
        <w:tc>
          <w:tcPr>
            <w:tcW w:w="5636" w:type="dxa"/>
          </w:tcPr>
          <w:p w14:paraId="2D0C0A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с норм. нагрузкой</w:t>
            </w:r>
          </w:p>
        </w:tc>
        <w:tc>
          <w:tcPr>
            <w:tcW w:w="5636" w:type="dxa"/>
          </w:tcPr>
          <w:p w14:paraId="420D6B7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6325 кг (горючего 545 кг)</w:t>
            </w:r>
          </w:p>
        </w:tc>
      </w:tr>
      <w:tr w:rsidR="000F5689" w:rsidRPr="00925F26" w14:paraId="768BBC00" w14:textId="77777777">
        <w:tc>
          <w:tcPr>
            <w:tcW w:w="5636" w:type="dxa"/>
          </w:tcPr>
          <w:p w14:paraId="3FD3A5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 скорость у земли</w:t>
            </w:r>
          </w:p>
        </w:tc>
        <w:tc>
          <w:tcPr>
            <w:tcW w:w="5636" w:type="dxa"/>
          </w:tcPr>
          <w:p w14:paraId="358CD3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391 км/час</w:t>
            </w:r>
          </w:p>
        </w:tc>
      </w:tr>
      <w:tr w:rsidR="00561F31" w:rsidRPr="00925F26" w14:paraId="06066ABC" w14:textId="77777777">
        <w:tc>
          <w:tcPr>
            <w:tcW w:w="5636" w:type="dxa"/>
          </w:tcPr>
          <w:p w14:paraId="69B83C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1200</w:t>
            </w:r>
          </w:p>
        </w:tc>
        <w:tc>
          <w:tcPr>
            <w:tcW w:w="5636" w:type="dxa"/>
          </w:tcPr>
          <w:p w14:paraId="5BEBF4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405 км/час (804,10)</w:t>
            </w:r>
          </w:p>
        </w:tc>
      </w:tr>
    </w:tbl>
    <w:p w14:paraId="3F397135" w14:textId="77777777" w:rsidR="00C2313B" w:rsidRPr="00925F26" w:rsidRDefault="00C2313B" w:rsidP="00925F26">
      <w:pPr>
        <w:autoSpaceDE w:val="0"/>
        <w:autoSpaceDN w:val="0"/>
        <w:adjustRightInd w:val="0"/>
        <w:jc w:val="both"/>
        <w:rPr>
          <w:color w:val="000000" w:themeColor="text1"/>
          <w:sz w:val="16"/>
          <w:szCs w:val="16"/>
        </w:rPr>
      </w:pPr>
    </w:p>
    <w:p w14:paraId="19B8DF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25 января по 19 февраля 1945 в НИИ ВВС проводились гос. испытания Ил-2 N 18840122 с АМ-38Ф и винтом АВ-5Л-158 производства 18 завода, изготовленного в ноябре 1944</w:t>
      </w:r>
    </w:p>
    <w:p w14:paraId="6474B4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6C495E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w:t>
      </w:r>
      <w:proofErr w:type="gramStart"/>
      <w:r w:rsidRPr="00925F26">
        <w:rPr>
          <w:color w:val="000000" w:themeColor="text1"/>
          <w:sz w:val="16"/>
          <w:szCs w:val="16"/>
        </w:rPr>
        <w:t>.</w:t>
      </w:r>
      <w:proofErr w:type="gramEnd"/>
      <w:r w:rsidRPr="00925F26">
        <w:rPr>
          <w:color w:val="000000" w:themeColor="text1"/>
          <w:sz w:val="16"/>
          <w:szCs w:val="16"/>
        </w:rPr>
        <w:t xml:space="preserve"> и ип/п П.Т.Аброщенко</w:t>
      </w:r>
    </w:p>
    <w:p w14:paraId="55B119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 л, л-к 5 отд. 1У ГК НИИ ВВС к-н Г.А.Тиняков, подписал 22 февраля</w:t>
      </w:r>
    </w:p>
    <w:p w14:paraId="0626B8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 облета: гм-р Стефановский - подписал 23 февраля</w:t>
      </w:r>
    </w:p>
    <w:p w14:paraId="1671F4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нач. 5 отд. по л/ч п/п Долгов</w:t>
      </w:r>
    </w:p>
    <w:p w14:paraId="2CB4DC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Установлены кнопки управления передатчиком на ручкуе сектора нормального газа</w:t>
      </w:r>
    </w:p>
    <w:p w14:paraId="31838C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система газового запуска холодного мотора</w:t>
      </w:r>
    </w:p>
    <w:p w14:paraId="1EB203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Предъявлен на испытания 23 января</w:t>
      </w:r>
    </w:p>
    <w:p w14:paraId="2E4339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полетов, налет 10:50</w:t>
      </w:r>
    </w:p>
    <w:p w14:paraId="63F6F6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4644 кг, загруженного с-та с нормальной нагрузкой - 6325, ц/т 27,5%</w:t>
      </w:r>
    </w:p>
    <w:p w14:paraId="145A9E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Угол капотирования при торможении 30Ж20</w:t>
      </w:r>
    </w:p>
    <w:p w14:paraId="736E62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состоит из:</w:t>
      </w:r>
    </w:p>
    <w:p w14:paraId="6CD77C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экипаж - 190 кг</w:t>
      </w:r>
    </w:p>
    <w:p w14:paraId="21CDC5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горючее - 545 кг (0,747)</w:t>
      </w:r>
    </w:p>
    <w:p w14:paraId="6E171B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масло - 65 кг</w:t>
      </w:r>
    </w:p>
    <w:p w14:paraId="0785DE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бомбы - 400 кг</w:t>
      </w:r>
    </w:p>
    <w:p w14:paraId="35B5C3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2хВЯ - 132 кг, патроны к пушке (300) - 168 кг</w:t>
      </w:r>
    </w:p>
    <w:p w14:paraId="1929EC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УБТ - 21 кг, патроны (150) - 27</w:t>
      </w:r>
    </w:p>
    <w:p w14:paraId="7850CA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2хШКАС - 21 кг, патронов ШКАС (1500) - 51 кг</w:t>
      </w:r>
    </w:p>
    <w:p w14:paraId="4E7CD5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снарядов РС (4хРС-82) - 27 кг</w:t>
      </w:r>
    </w:p>
    <w:p w14:paraId="261EEE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w:t>
      </w:r>
    </w:p>
    <w:p w14:paraId="0BC384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- 15</w:t>
      </w:r>
    </w:p>
    <w:p w14:paraId="66C2EB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вооружения - 29</w:t>
      </w:r>
    </w:p>
    <w:p w14:paraId="5EC6DD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- 1681 кг</w:t>
      </w:r>
    </w:p>
    <w:p w14:paraId="0E2856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Основные ЛТД</w:t>
      </w:r>
    </w:p>
    <w:p w14:paraId="3C9B26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405 км/час на 1200 м</w:t>
      </w:r>
    </w:p>
    <w:p w14:paraId="271083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1000 м - 2,6 мин., на 3000 м - 8,8 мин.</w:t>
      </w:r>
    </w:p>
    <w:p w14:paraId="3F8986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5800 м, набор за 38 мин.</w:t>
      </w:r>
    </w:p>
    <w:p w14:paraId="19F1F8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мерилась при закрытых фонарях кабины л и стрелка,Ю окрытых полностью заслонках водо и маслорадиатора</w:t>
      </w:r>
    </w:p>
    <w:p w14:paraId="72D0D6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при весе 6325 и 2050 оборотах и Ра 1220</w:t>
      </w:r>
    </w:p>
    <w:p w14:paraId="50B676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0 - 6,3</w:t>
      </w:r>
    </w:p>
    <w:p w14:paraId="02E78F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850 - 6,8</w:t>
      </w:r>
    </w:p>
    <w:p w14:paraId="08845F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3000 - 4</w:t>
      </w:r>
    </w:p>
    <w:p w14:paraId="5960C0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5800 - ,5</w:t>
      </w:r>
    </w:p>
    <w:p w14:paraId="6FBCF8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Мотор эксплуатируется на бензине 4Б-78 и масле АО-8 М6</w:t>
      </w:r>
    </w:p>
    <w:p w14:paraId="3F8C1D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Тиняков: управляемость с-та - хорошая, усилия на ручке - не большие</w:t>
      </w:r>
    </w:p>
    <w:p w14:paraId="7D4BA3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 подписал За. Нач. НИИ ВВС глиас Лосюков 26 февраля 1945 и нач. 1У НИИ ВВС гмиас Сафонов 24 февраля 1945 (804,4)</w:t>
      </w:r>
    </w:p>
    <w:p w14:paraId="59BDF244" w14:textId="77777777" w:rsidR="00C2313B" w:rsidRPr="00925F26" w:rsidRDefault="00C2313B" w:rsidP="00925F26">
      <w:pPr>
        <w:autoSpaceDE w:val="0"/>
        <w:autoSpaceDN w:val="0"/>
        <w:adjustRightInd w:val="0"/>
        <w:jc w:val="both"/>
        <w:rPr>
          <w:color w:val="000000" w:themeColor="text1"/>
          <w:sz w:val="16"/>
          <w:szCs w:val="16"/>
        </w:rPr>
      </w:pPr>
    </w:p>
    <w:p w14:paraId="67040D6B"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января 1945 на стажи</w:t>
      </w:r>
      <w:r w:rsidRPr="00925F26">
        <w:rPr>
          <w:color w:val="000000" w:themeColor="text1"/>
          <w:sz w:val="16"/>
          <w:szCs w:val="16"/>
        </w:rPr>
        <w:softHyphen/>
        <w:t>ровку во 2-ю воздушную армию убы</w:t>
      </w:r>
      <w:r w:rsidRPr="00925F26">
        <w:rPr>
          <w:color w:val="000000" w:themeColor="text1"/>
          <w:sz w:val="16"/>
          <w:szCs w:val="16"/>
        </w:rPr>
        <w:softHyphen/>
        <w:t>ло на Ил-10 звено от управления бри</w:t>
      </w:r>
      <w:r w:rsidRPr="00925F26">
        <w:rPr>
          <w:color w:val="000000" w:themeColor="text1"/>
          <w:sz w:val="16"/>
          <w:szCs w:val="16"/>
        </w:rPr>
        <w:softHyphen/>
        <w:t>гады (11131).</w:t>
      </w:r>
    </w:p>
    <w:p w14:paraId="21839F3C"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Далеко не самым последним фактором, несколько тормозившим процесс переучивания на новую матчасть, являлось осознание каж</w:t>
      </w:r>
      <w:r w:rsidRPr="00925F26">
        <w:rPr>
          <w:color w:val="000000" w:themeColor="text1"/>
          <w:sz w:val="16"/>
          <w:szCs w:val="16"/>
        </w:rPr>
        <w:softHyphen/>
        <w:t>дым летчиком, и особенно «стари</w:t>
      </w:r>
      <w:r w:rsidRPr="00925F26">
        <w:rPr>
          <w:color w:val="000000" w:themeColor="text1"/>
          <w:sz w:val="16"/>
          <w:szCs w:val="16"/>
        </w:rPr>
        <w:softHyphen/>
        <w:t>ками», прошедшими горнило насто</w:t>
      </w:r>
      <w:r w:rsidRPr="00925F26">
        <w:rPr>
          <w:color w:val="000000" w:themeColor="text1"/>
          <w:sz w:val="16"/>
          <w:szCs w:val="16"/>
        </w:rPr>
        <w:softHyphen/>
        <w:t>ящей войны, того факта, что война подходит к концу и, что они все же выжили. Вслух об этом говорить не решались, но «про себя», несом</w:t>
      </w:r>
      <w:r w:rsidRPr="00925F26">
        <w:rPr>
          <w:color w:val="000000" w:themeColor="text1"/>
          <w:sz w:val="16"/>
          <w:szCs w:val="16"/>
        </w:rPr>
        <w:softHyphen/>
        <w:t>ненно, думали. В силу этого, попав в глубокий тыл, боевые летчики по</w:t>
      </w:r>
      <w:r w:rsidRPr="00925F26">
        <w:rPr>
          <w:color w:val="000000" w:themeColor="text1"/>
          <w:sz w:val="16"/>
          <w:szCs w:val="16"/>
        </w:rPr>
        <w:softHyphen/>
        <w:t>зволили себе несколько рассла</w:t>
      </w:r>
      <w:r w:rsidRPr="00925F26">
        <w:rPr>
          <w:color w:val="000000" w:themeColor="text1"/>
          <w:sz w:val="16"/>
          <w:szCs w:val="16"/>
        </w:rPr>
        <w:softHyphen/>
        <w:t>биться. Конечно же, молодежь из нового пополнения рвалась и то</w:t>
      </w:r>
      <w:r w:rsidRPr="00925F26">
        <w:rPr>
          <w:color w:val="000000" w:themeColor="text1"/>
          <w:sz w:val="16"/>
          <w:szCs w:val="16"/>
        </w:rPr>
        <w:softHyphen/>
        <w:t xml:space="preserve">ропилась в </w:t>
      </w:r>
      <w:proofErr w:type="gramStart"/>
      <w:r w:rsidRPr="00925F26">
        <w:rPr>
          <w:color w:val="000000" w:themeColor="text1"/>
          <w:sz w:val="16"/>
          <w:szCs w:val="16"/>
        </w:rPr>
        <w:t>бой,но</w:t>
      </w:r>
      <w:proofErr w:type="gramEnd"/>
      <w:r w:rsidRPr="00925F26">
        <w:rPr>
          <w:color w:val="000000" w:themeColor="text1"/>
          <w:sz w:val="16"/>
          <w:szCs w:val="16"/>
        </w:rPr>
        <w:t xml:space="preserve"> опыта и летных навыкав у нее было маловато. Про</w:t>
      </w:r>
      <w:r w:rsidRPr="00925F26">
        <w:rPr>
          <w:color w:val="000000" w:themeColor="text1"/>
          <w:sz w:val="16"/>
          <w:szCs w:val="16"/>
        </w:rPr>
        <w:softHyphen/>
        <w:t>явления таких «мыслей» в той или иной форме прослеживаются при анализе материалов отчетных и других документов 1-й заб и мар</w:t>
      </w:r>
      <w:r w:rsidRPr="00925F26">
        <w:rPr>
          <w:color w:val="000000" w:themeColor="text1"/>
          <w:sz w:val="16"/>
          <w:szCs w:val="16"/>
        </w:rPr>
        <w:softHyphen/>
        <w:t>шевых полков.</w:t>
      </w:r>
    </w:p>
    <w:p w14:paraId="518080B6"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Необходимо также отметить, что процесс переучивания летного со</w:t>
      </w:r>
      <w:r w:rsidRPr="00925F26">
        <w:rPr>
          <w:color w:val="000000" w:themeColor="text1"/>
          <w:sz w:val="16"/>
          <w:szCs w:val="16"/>
        </w:rPr>
        <w:softHyphen/>
        <w:t>става сильно осложнялся и рядом серьезных конструктивных и про</w:t>
      </w:r>
      <w:r w:rsidRPr="00925F26">
        <w:rPr>
          <w:color w:val="000000" w:themeColor="text1"/>
          <w:sz w:val="16"/>
          <w:szCs w:val="16"/>
        </w:rPr>
        <w:softHyphen/>
        <w:t>изводственных дефектов, как само</w:t>
      </w:r>
      <w:r w:rsidRPr="00925F26">
        <w:rPr>
          <w:color w:val="000000" w:themeColor="text1"/>
          <w:sz w:val="16"/>
          <w:szCs w:val="16"/>
        </w:rPr>
        <w:softHyphen/>
        <w:t>лета, так и мотора АМ-42, порож</w:t>
      </w:r>
      <w:r w:rsidRPr="00925F26">
        <w:rPr>
          <w:color w:val="000000" w:themeColor="text1"/>
          <w:sz w:val="16"/>
          <w:szCs w:val="16"/>
        </w:rPr>
        <w:softHyphen/>
        <w:t>денных «скоростными» методами проектирования и внедрения в массовое производство в условиях военного времени. Это вызывало опре</w:t>
      </w:r>
      <w:r w:rsidRPr="00925F26">
        <w:rPr>
          <w:color w:val="000000" w:themeColor="text1"/>
          <w:sz w:val="16"/>
          <w:szCs w:val="16"/>
        </w:rPr>
        <w:softHyphen/>
        <w:t>деленную нервоз</w:t>
      </w:r>
      <w:r w:rsidRPr="00925F26">
        <w:rPr>
          <w:color w:val="000000" w:themeColor="text1"/>
          <w:sz w:val="16"/>
          <w:szCs w:val="16"/>
        </w:rPr>
        <w:softHyphen/>
        <w:t>ность и неуверен</w:t>
      </w:r>
      <w:r w:rsidRPr="00925F26">
        <w:rPr>
          <w:color w:val="000000" w:themeColor="text1"/>
          <w:sz w:val="16"/>
          <w:szCs w:val="16"/>
        </w:rPr>
        <w:softHyphen/>
        <w:t>ность, как среди лет</w:t>
      </w:r>
      <w:r w:rsidRPr="00925F26">
        <w:rPr>
          <w:color w:val="000000" w:themeColor="text1"/>
          <w:sz w:val="16"/>
          <w:szCs w:val="16"/>
        </w:rPr>
        <w:softHyphen/>
        <w:t>чиков, так и их инст</w:t>
      </w:r>
      <w:r w:rsidRPr="00925F26">
        <w:rPr>
          <w:color w:val="000000" w:themeColor="text1"/>
          <w:sz w:val="16"/>
          <w:szCs w:val="16"/>
        </w:rPr>
        <w:softHyphen/>
        <w:t>рукторов.</w:t>
      </w:r>
    </w:p>
    <w:p w14:paraId="49D69DA2"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сбрасывании бомб из бомбовых от</w:t>
      </w:r>
      <w:r w:rsidRPr="00925F26">
        <w:rPr>
          <w:color w:val="000000" w:themeColor="text1"/>
          <w:sz w:val="16"/>
          <w:szCs w:val="16"/>
        </w:rPr>
        <w:softHyphen/>
        <w:t>секов встречались слу</w:t>
      </w:r>
      <w:r w:rsidRPr="00925F26">
        <w:rPr>
          <w:color w:val="000000" w:themeColor="text1"/>
          <w:sz w:val="16"/>
          <w:szCs w:val="16"/>
        </w:rPr>
        <w:softHyphen/>
        <w:t>чаи обрыва тросов уп</w:t>
      </w:r>
      <w:r w:rsidRPr="00925F26">
        <w:rPr>
          <w:color w:val="000000" w:themeColor="text1"/>
          <w:sz w:val="16"/>
          <w:szCs w:val="16"/>
        </w:rPr>
        <w:softHyphen/>
        <w:t>равления створками отсеков, а так</w:t>
      </w:r>
      <w:r w:rsidRPr="00925F26">
        <w:rPr>
          <w:color w:val="000000" w:themeColor="text1"/>
          <w:sz w:val="16"/>
          <w:szCs w:val="16"/>
        </w:rPr>
        <w:softHyphen/>
        <w:t>же деформации створок в местах крепления к ним петель. На некото</w:t>
      </w:r>
      <w:r w:rsidRPr="00925F26">
        <w:rPr>
          <w:color w:val="000000" w:themeColor="text1"/>
          <w:sz w:val="16"/>
          <w:szCs w:val="16"/>
        </w:rPr>
        <w:softHyphen/>
        <w:t>рых самолетах были зарегистриро</w:t>
      </w:r>
      <w:r w:rsidRPr="00925F26">
        <w:rPr>
          <w:color w:val="000000" w:themeColor="text1"/>
          <w:sz w:val="16"/>
          <w:szCs w:val="16"/>
        </w:rPr>
        <w:softHyphen/>
        <w:t>ваны случаи обрыва траверсы угло</w:t>
      </w:r>
      <w:r w:rsidRPr="00925F26">
        <w:rPr>
          <w:color w:val="000000" w:themeColor="text1"/>
          <w:sz w:val="16"/>
          <w:szCs w:val="16"/>
        </w:rPr>
        <w:softHyphen/>
        <w:t>вого ролика, через который прохо</w:t>
      </w:r>
      <w:r w:rsidRPr="00925F26">
        <w:rPr>
          <w:color w:val="000000" w:themeColor="text1"/>
          <w:sz w:val="16"/>
          <w:szCs w:val="16"/>
        </w:rPr>
        <w:softHyphen/>
        <w:t>дил трос от створки бомболюка к компенсатору. Результат был один и тот же - створки не закрывались, создавая в полете дополнительное аэродинамическое сопротивление. С 8-й серии стали ставить накладки под петли, а с 12-й - провели усиле</w:t>
      </w:r>
      <w:r w:rsidRPr="00925F26">
        <w:rPr>
          <w:color w:val="000000" w:themeColor="text1"/>
          <w:sz w:val="16"/>
          <w:szCs w:val="16"/>
        </w:rPr>
        <w:softHyphen/>
        <w:t>ние и створок, и петель.</w:t>
      </w:r>
    </w:p>
    <w:p w14:paraId="496A2FAF"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Столкнулись и нарушением по</w:t>
      </w:r>
      <w:r w:rsidRPr="00925F26">
        <w:rPr>
          <w:color w:val="000000" w:themeColor="text1"/>
          <w:sz w:val="16"/>
          <w:szCs w:val="16"/>
        </w:rPr>
        <w:softHyphen/>
        <w:t>перечной балансировки самолета, заключающейся в том, что самолет приобретал произвольный крен в одну сторону. Причиной дефекта, как выяснилось, являлось измене</w:t>
      </w:r>
      <w:r w:rsidRPr="00925F26">
        <w:rPr>
          <w:color w:val="000000" w:themeColor="text1"/>
          <w:sz w:val="16"/>
          <w:szCs w:val="16"/>
        </w:rPr>
        <w:softHyphen/>
        <w:t>ние угла установки (отгибание) «ножа»-компенсатора, приклепан</w:t>
      </w:r>
      <w:r w:rsidRPr="00925F26">
        <w:rPr>
          <w:color w:val="000000" w:themeColor="text1"/>
          <w:sz w:val="16"/>
          <w:szCs w:val="16"/>
        </w:rPr>
        <w:softHyphen/>
        <w:t>ного к элерону. Оказалось, что «ножи» элеронов отгибаются струбцинами при неверной их по</w:t>
      </w:r>
      <w:r w:rsidRPr="00925F26">
        <w:rPr>
          <w:color w:val="000000" w:themeColor="text1"/>
          <w:sz w:val="16"/>
          <w:szCs w:val="16"/>
        </w:rPr>
        <w:softHyphen/>
        <w:t>становке техническим составом полков в процессе обслуживания самолетов.</w:t>
      </w:r>
    </w:p>
    <w:p w14:paraId="09B432A1"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Моторы АМ-42 в своем боль</w:t>
      </w:r>
      <w:r w:rsidRPr="00925F26">
        <w:rPr>
          <w:color w:val="000000" w:themeColor="text1"/>
          <w:sz w:val="16"/>
          <w:szCs w:val="16"/>
        </w:rPr>
        <w:softHyphen/>
        <w:t>шинстве запускались с трудом, а иногда, и вовсе не хотели заво</w:t>
      </w:r>
      <w:r w:rsidRPr="00925F26">
        <w:rPr>
          <w:color w:val="000000" w:themeColor="text1"/>
          <w:sz w:val="16"/>
          <w:szCs w:val="16"/>
        </w:rPr>
        <w:softHyphen/>
        <w:t>диться. Осмотр наиболее «упор</w:t>
      </w:r>
      <w:r w:rsidRPr="00925F26">
        <w:rPr>
          <w:color w:val="000000" w:themeColor="text1"/>
          <w:sz w:val="16"/>
          <w:szCs w:val="16"/>
        </w:rPr>
        <w:softHyphen/>
        <w:t>ных» моторов показал, что причи</w:t>
      </w:r>
      <w:r w:rsidRPr="00925F26">
        <w:rPr>
          <w:color w:val="000000" w:themeColor="text1"/>
          <w:sz w:val="16"/>
          <w:szCs w:val="16"/>
        </w:rPr>
        <w:softHyphen/>
        <w:t>ной отказов являлось засорение бензиновых штуцеров насосов ПН-1, скатавшимися в шарик фиб</w:t>
      </w:r>
      <w:r w:rsidRPr="00925F26">
        <w:rPr>
          <w:color w:val="000000" w:themeColor="text1"/>
          <w:sz w:val="16"/>
          <w:szCs w:val="16"/>
        </w:rPr>
        <w:softHyphen/>
        <w:t>ровыми прокладками, устанавли</w:t>
      </w:r>
      <w:r w:rsidRPr="00925F26">
        <w:rPr>
          <w:color w:val="000000" w:themeColor="text1"/>
          <w:sz w:val="16"/>
          <w:szCs w:val="16"/>
        </w:rPr>
        <w:softHyphen/>
        <w:t>ваемыми под переходники бензи</w:t>
      </w:r>
      <w:r w:rsidRPr="00925F26">
        <w:rPr>
          <w:color w:val="000000" w:themeColor="text1"/>
          <w:sz w:val="16"/>
          <w:szCs w:val="16"/>
        </w:rPr>
        <w:softHyphen/>
        <w:t>новых штуцеров ПН-1.</w:t>
      </w:r>
    </w:p>
    <w:p w14:paraId="61070D19"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этого, моторы показы</w:t>
      </w:r>
      <w:r w:rsidRPr="00925F26">
        <w:rPr>
          <w:color w:val="000000" w:themeColor="text1"/>
          <w:sz w:val="16"/>
          <w:szCs w:val="16"/>
        </w:rPr>
        <w:softHyphen/>
        <w:t>вали плохую приемистость на ма</w:t>
      </w:r>
      <w:r w:rsidRPr="00925F26">
        <w:rPr>
          <w:color w:val="000000" w:themeColor="text1"/>
          <w:sz w:val="16"/>
          <w:szCs w:val="16"/>
        </w:rPr>
        <w:softHyphen/>
        <w:t>лом газу и особенно при запуске го</w:t>
      </w:r>
      <w:r w:rsidRPr="00925F26">
        <w:rPr>
          <w:color w:val="000000" w:themeColor="text1"/>
          <w:sz w:val="16"/>
          <w:szCs w:val="16"/>
        </w:rPr>
        <w:softHyphen/>
        <w:t>рячих моторов, часто происходило разрушение вкладышей и обрыв шатунов, постоянно текли масло- и водорадиаторы по причине плохой пайки и т.д.</w:t>
      </w:r>
    </w:p>
    <w:p w14:paraId="668E6447" w14:textId="77777777" w:rsidR="00030351" w:rsidRPr="00925F26" w:rsidRDefault="00030351"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судя по документам, недостатки и дефекты мотора АМ-42 обуславливались не только объективными трудностями, но также и «особым» отношением мотористов к вопросу выяснения истинных причин «летных проис</w:t>
      </w:r>
      <w:r w:rsidRPr="00925F26">
        <w:rPr>
          <w:color w:val="000000" w:themeColor="text1"/>
          <w:sz w:val="16"/>
          <w:szCs w:val="16"/>
        </w:rPr>
        <w:softHyphen/>
        <w:t>шествий, происходящих по причи</w:t>
      </w:r>
      <w:r w:rsidRPr="00925F26">
        <w:rPr>
          <w:color w:val="000000" w:themeColor="text1"/>
          <w:sz w:val="16"/>
          <w:szCs w:val="16"/>
        </w:rPr>
        <w:softHyphen/>
        <w:t>не отказа моторов» (11132).</w:t>
      </w:r>
    </w:p>
    <w:p w14:paraId="7FA9DCB8" w14:textId="77777777" w:rsidR="00030351" w:rsidRPr="00925F26" w:rsidRDefault="00030351" w:rsidP="00925F26">
      <w:pPr>
        <w:shd w:val="clear" w:color="auto" w:fill="FFFFFF"/>
        <w:autoSpaceDE w:val="0"/>
        <w:autoSpaceDN w:val="0"/>
        <w:adjustRightInd w:val="0"/>
        <w:jc w:val="both"/>
        <w:rPr>
          <w:color w:val="000000" w:themeColor="text1"/>
          <w:sz w:val="16"/>
          <w:szCs w:val="16"/>
        </w:rPr>
      </w:pPr>
    </w:p>
    <w:p w14:paraId="328572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25 января 1945 по 7 февраля 1945 (прекращеныиз-за ненадежной работы вооружения) гос. испытания модифицированного Ла-7 № 38100358 с 3 пушками Б-20.</w:t>
      </w:r>
    </w:p>
    <w:p w14:paraId="4481F7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С-ты № 38100358, 38105758 производства завода № 381</w:t>
      </w:r>
    </w:p>
    <w:p w14:paraId="48EF01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Отв. Исп. И-м Г.В.Чертявский</w:t>
      </w:r>
    </w:p>
    <w:p w14:paraId="1419F8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 Л м Кубышкин</w:t>
      </w:r>
    </w:p>
    <w:p w14:paraId="43594E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С-ты производства з-да № 381 выпуска января-февраля 1945 г</w:t>
      </w:r>
    </w:p>
    <w:p w14:paraId="5426E6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5758 испытания начаты 22 февраля и закончены 25 марта 1945 г.</w:t>
      </w:r>
    </w:p>
    <w:p w14:paraId="736BDC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время полетов на с-те № 0358 налет составил 2:50</w:t>
      </w:r>
    </w:p>
    <w:p w14:paraId="0BE8A5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2675, полетный - 3312</w:t>
      </w:r>
    </w:p>
    <w:p w14:paraId="772971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571, на 1 гр. (2900) - 632, на 5000 - 636, на 2 гр. (6100) - 662 км/час</w:t>
      </w:r>
    </w:p>
    <w:p w14:paraId="0BE32C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5000 - 5,1</w:t>
      </w:r>
    </w:p>
    <w:p w14:paraId="25350B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10325, время набора 26 мин.</w:t>
      </w:r>
    </w:p>
    <w:p w14:paraId="7F0967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26DB6C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4AD5D9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работы 20мм пушек Б-20с и их синхронной установки не обеспечена.</w:t>
      </w:r>
    </w:p>
    <w:p w14:paraId="0907D6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Материалы испытаний оставить для внутреннего пользованияч.</w:t>
      </w:r>
    </w:p>
    <w:p w14:paraId="0CBA1C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5AE3E2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Подписали Кочетков, Л.. 2 апреля 1945 (743,1).</w:t>
      </w:r>
    </w:p>
    <w:p w14:paraId="73676D25" w14:textId="77777777" w:rsidR="00C2313B" w:rsidRPr="00925F26" w:rsidRDefault="00C2313B" w:rsidP="00925F26">
      <w:pPr>
        <w:autoSpaceDE w:val="0"/>
        <w:autoSpaceDN w:val="0"/>
        <w:adjustRightInd w:val="0"/>
        <w:jc w:val="both"/>
        <w:rPr>
          <w:color w:val="000000" w:themeColor="text1"/>
          <w:sz w:val="16"/>
          <w:szCs w:val="16"/>
        </w:rPr>
      </w:pPr>
    </w:p>
    <w:p w14:paraId="4BFE1AE4" w14:textId="77777777" w:rsidR="004C221F" w:rsidRPr="00925F26" w:rsidRDefault="004C221F" w:rsidP="00925F26">
      <w:pPr>
        <w:jc w:val="both"/>
        <w:rPr>
          <w:color w:val="000000" w:themeColor="text1"/>
          <w:sz w:val="16"/>
          <w:szCs w:val="16"/>
        </w:rPr>
      </w:pPr>
      <w:r w:rsidRPr="00925F26">
        <w:rPr>
          <w:color w:val="000000" w:themeColor="text1"/>
          <w:sz w:val="16"/>
          <w:szCs w:val="16"/>
        </w:rPr>
        <w:t>25 января 1945 г. на Государственные испытания поступил новый трехточечный Ла-7 № 38100358, но до 7 февраля В. Г. Чернавский смог выполнить на нем только два полета. Испытания на машине № 38105758 возобновились 22 февраля, но также не дали ожидаемого результата. Помимо дефектов оружия, Акт констатировал падение скорости по сравнению с «эталоном 1944 г.» на 26 км/ч у земли и на 18-38 км/ч по высотам. Последняя цифра Заказчика удовлетворить не могла, и визы на массовый выпуск Ла-7 с усиленным вооружением он не дал, хотя причиной падения летных данных было не изменение вооружения, что подтвердили испытания последующих серийных самолетов (22772).</w:t>
      </w:r>
    </w:p>
    <w:p w14:paraId="6E5A7D09" w14:textId="77777777" w:rsidR="004C221F" w:rsidRPr="00925F26" w:rsidRDefault="004C221F" w:rsidP="00925F26">
      <w:pPr>
        <w:jc w:val="both"/>
        <w:rPr>
          <w:color w:val="000000" w:themeColor="text1"/>
          <w:sz w:val="16"/>
          <w:szCs w:val="16"/>
        </w:rPr>
      </w:pPr>
    </w:p>
    <w:p w14:paraId="0DD5B4FF" w14:textId="77777777" w:rsidR="0070110A" w:rsidRPr="001A0BAA" w:rsidRDefault="0070110A" w:rsidP="0070110A">
      <w:pPr>
        <w:jc w:val="both"/>
        <w:rPr>
          <w:color w:val="0070C0"/>
          <w:sz w:val="16"/>
          <w:szCs w:val="16"/>
        </w:rPr>
      </w:pPr>
      <w:r w:rsidRPr="001A0BAA">
        <w:rPr>
          <w:color w:val="0070C0"/>
          <w:sz w:val="16"/>
          <w:szCs w:val="16"/>
        </w:rPr>
        <w:t>С 25 января по 7 февраля 1945 года проводи</w:t>
      </w:r>
      <w:r w:rsidRPr="001A0BAA">
        <w:rPr>
          <w:color w:val="0070C0"/>
          <w:sz w:val="16"/>
          <w:szCs w:val="16"/>
        </w:rPr>
        <w:softHyphen/>
        <w:t>лись дальнейшие испытания пушек Б-20 на самолете Ла-7 № 38100358 и тоже заверши</w:t>
      </w:r>
      <w:r w:rsidRPr="001A0BAA">
        <w:rPr>
          <w:color w:val="0070C0"/>
          <w:sz w:val="16"/>
          <w:szCs w:val="16"/>
        </w:rPr>
        <w:softHyphen/>
        <w:t>лись неудачно (24988).</w:t>
      </w:r>
    </w:p>
    <w:p w14:paraId="5A8D463E" w14:textId="77777777" w:rsidR="0070110A" w:rsidRPr="001A0BAA" w:rsidRDefault="0070110A" w:rsidP="0070110A">
      <w:pPr>
        <w:jc w:val="both"/>
        <w:rPr>
          <w:color w:val="0070C0"/>
          <w:sz w:val="16"/>
          <w:szCs w:val="16"/>
        </w:rPr>
      </w:pPr>
    </w:p>
    <w:p w14:paraId="78CCADC8" w14:textId="77777777" w:rsidR="0070110A" w:rsidRPr="001A0BAA" w:rsidRDefault="0070110A" w:rsidP="0070110A">
      <w:pPr>
        <w:jc w:val="both"/>
        <w:rPr>
          <w:color w:val="0070C0"/>
          <w:sz w:val="16"/>
          <w:szCs w:val="16"/>
        </w:rPr>
      </w:pPr>
      <w:r w:rsidRPr="001A0BAA">
        <w:rPr>
          <w:color w:val="0070C0"/>
          <w:sz w:val="16"/>
          <w:szCs w:val="16"/>
        </w:rPr>
        <w:t>С 25 января по 7 февраля 1945 г. на самолете Ла-7 с заводским номером 38100358 проводились дальнейшие испытания трех Б-20 и, также как и предыдущие, завершились неудачно. Завод № 381 изготовил 381 истребитель Ла-7, вооруженный тремя пушками Б-20 (25058).</w:t>
      </w:r>
    </w:p>
    <w:p w14:paraId="5F33DC1F" w14:textId="77777777" w:rsidR="0070110A" w:rsidRPr="001A0BAA" w:rsidRDefault="0070110A" w:rsidP="0070110A">
      <w:pPr>
        <w:jc w:val="both"/>
        <w:rPr>
          <w:color w:val="0070C0"/>
          <w:sz w:val="16"/>
          <w:szCs w:val="16"/>
        </w:rPr>
      </w:pPr>
    </w:p>
    <w:p w14:paraId="61D31E20" w14:textId="77777777" w:rsidR="007C7139" w:rsidRPr="00925F26" w:rsidRDefault="007C7139" w:rsidP="00925F26">
      <w:pPr>
        <w:jc w:val="both"/>
        <w:rPr>
          <w:color w:val="000000" w:themeColor="text1"/>
          <w:sz w:val="16"/>
          <w:szCs w:val="16"/>
        </w:rPr>
      </w:pPr>
      <w:r w:rsidRPr="00925F26">
        <w:rPr>
          <w:color w:val="000000" w:themeColor="text1"/>
          <w:sz w:val="16"/>
          <w:szCs w:val="16"/>
        </w:rPr>
        <w:t>25 января 1945 после изменения кинематики управления мо</w:t>
      </w:r>
      <w:r w:rsidRPr="00925F26">
        <w:rPr>
          <w:color w:val="000000" w:themeColor="text1"/>
          <w:sz w:val="16"/>
          <w:szCs w:val="16"/>
        </w:rPr>
        <w:softHyphen/>
        <w:t>тором на высотном Ла-7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925F26">
        <w:rPr>
          <w:color w:val="000000" w:themeColor="text1"/>
          <w:sz w:val="16"/>
          <w:szCs w:val="16"/>
        </w:rPr>
        <w:softHyphen/>
        <w:t>грамме, но из-за того, что Г.М. Шиянов занимался испытаниями Ла-7 с АШ-83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925F26">
        <w:rPr>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925F26">
        <w:rPr>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925F26">
        <w:rPr>
          <w:color w:val="000000" w:themeColor="text1"/>
          <w:sz w:val="16"/>
          <w:szCs w:val="16"/>
        </w:rPr>
        <w:softHyphen/>
        <w:t>готовить новое управление.</w:t>
      </w:r>
    </w:p>
    <w:p w14:paraId="7B378ADC" w14:textId="77777777" w:rsidR="007C7139" w:rsidRPr="00925F26" w:rsidRDefault="007C7139" w:rsidP="00925F26">
      <w:pPr>
        <w:jc w:val="both"/>
        <w:rPr>
          <w:color w:val="000000" w:themeColor="text1"/>
          <w:sz w:val="16"/>
          <w:szCs w:val="16"/>
        </w:rPr>
      </w:pPr>
      <w:r w:rsidRPr="00925F26">
        <w:rPr>
          <w:color w:val="000000" w:themeColor="text1"/>
          <w:sz w:val="16"/>
          <w:szCs w:val="16"/>
        </w:rPr>
        <w:t>Назад из ЦИАМ агрегаты получили лишь в мае. На</w:t>
      </w:r>
      <w:r w:rsidRPr="00925F26">
        <w:rPr>
          <w:color w:val="000000" w:themeColor="text1"/>
          <w:sz w:val="16"/>
          <w:szCs w:val="16"/>
        </w:rPr>
        <w:softHyphen/>
        <w:t>конец, 14 июня состоялся контрольный полёт до вы</w:t>
      </w:r>
      <w:r w:rsidRPr="00925F26">
        <w:rPr>
          <w:color w:val="000000" w:themeColor="text1"/>
          <w:sz w:val="16"/>
          <w:szCs w:val="16"/>
        </w:rPr>
        <w:softHyphen/>
        <w:t>соты 1000 м без включения турбокомпрессора, факел образовался только при посадке, для его устране</w:t>
      </w:r>
      <w:r w:rsidRPr="00925F26">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925F26">
        <w:rPr>
          <w:color w:val="000000" w:themeColor="text1"/>
          <w:sz w:val="16"/>
          <w:szCs w:val="16"/>
        </w:rPr>
        <w:softHyphen/>
        <w:t>явился факел, его длина достигала 2 м, тогда как в предыдущий раз — 80 см. Снова про</w:t>
      </w:r>
      <w:r w:rsidRPr="00925F26">
        <w:rPr>
          <w:color w:val="000000" w:themeColor="text1"/>
          <w:sz w:val="16"/>
          <w:szCs w:val="16"/>
        </w:rPr>
        <w:softHyphen/>
        <w:t xml:space="preserve">извели регулировку мотора. После нескольких дней нелётной погоды для высотных </w:t>
      </w:r>
      <w:r w:rsidRPr="00925F26">
        <w:rPr>
          <w:rStyle w:val="aff6"/>
          <w:rFonts w:ascii="Times New Roman" w:eastAsia="Arial Unicode MS" w:hAnsi="Times New Roman" w:cs="Times New Roman"/>
          <w:i w:val="0"/>
          <w:color w:val="000000" w:themeColor="text1"/>
        </w:rPr>
        <w:t>полётов,</w:t>
      </w:r>
      <w:r w:rsidRPr="00925F26">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925F26">
        <w:rPr>
          <w:color w:val="000000" w:themeColor="text1"/>
          <w:sz w:val="16"/>
          <w:szCs w:val="16"/>
        </w:rPr>
        <w:softHyphen/>
        <w:t>вом полёте задание выполнить не удалось. В повторном полёте, после устранения это</w:t>
      </w:r>
      <w:r w:rsidRPr="00925F26">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925F26">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925F26">
        <w:rPr>
          <w:color w:val="000000" w:themeColor="text1"/>
          <w:sz w:val="16"/>
          <w:szCs w:val="16"/>
        </w:rPr>
        <w:softHyphen/>
        <w:t>рофы послужила потеря лётчиком сознания на высоте.</w:t>
      </w:r>
    </w:p>
    <w:p w14:paraId="1CD726F0" w14:textId="77777777" w:rsidR="007C7139" w:rsidRPr="00925F26" w:rsidRDefault="007C7139" w:rsidP="00925F26">
      <w:pPr>
        <w:jc w:val="both"/>
        <w:rPr>
          <w:color w:val="000000" w:themeColor="text1"/>
          <w:sz w:val="16"/>
          <w:szCs w:val="16"/>
        </w:rPr>
      </w:pPr>
      <w:r w:rsidRPr="00925F26">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925F26">
        <w:rPr>
          <w:color w:val="000000" w:themeColor="text1"/>
          <w:sz w:val="16"/>
          <w:szCs w:val="16"/>
        </w:rPr>
        <w:softHyphen/>
        <w:t>требителям. На этом закончилось развитие опытных самолётов С.А. Лавочкина с ТК (15830).</w:t>
      </w:r>
    </w:p>
    <w:p w14:paraId="04FD9956" w14:textId="77777777" w:rsidR="007C7139" w:rsidRPr="00925F26" w:rsidRDefault="007C7139" w:rsidP="00925F26">
      <w:pPr>
        <w:jc w:val="both"/>
        <w:rPr>
          <w:color w:val="000000" w:themeColor="text1"/>
          <w:sz w:val="16"/>
          <w:szCs w:val="16"/>
        </w:rPr>
      </w:pPr>
    </w:p>
    <w:p w14:paraId="0FF02B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 января 1941 на истребителе Як-3Т в ходе заводских испытаний, проходивших с 15 по 24 января 1945, выполнили второй полет, который совместили с перелетом в НИИ ВВС (первый - 19 января 1945: на снятие летных характеристик).</w:t>
      </w:r>
    </w:p>
    <w:p w14:paraId="0BB024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925F26">
        <w:rPr>
          <w:color w:val="000000" w:themeColor="text1"/>
          <w:sz w:val="16"/>
          <w:szCs w:val="16"/>
        </w:rPr>
        <w:t>че- тырех</w:t>
      </w:r>
      <w:proofErr w:type="gramEnd"/>
      <w:r w:rsidRPr="00925F26">
        <w:rPr>
          <w:color w:val="000000" w:themeColor="text1"/>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w:t>
      </w:r>
      <w:r w:rsidRPr="00925F26">
        <w:rPr>
          <w:color w:val="000000" w:themeColor="text1"/>
          <w:sz w:val="16"/>
          <w:szCs w:val="16"/>
        </w:rPr>
        <w:lastRenderedPageBreak/>
        <w:t>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7F7BFF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52FF045E" w14:textId="77777777" w:rsidR="00C2313B" w:rsidRPr="00925F26" w:rsidRDefault="00C2313B" w:rsidP="00925F26">
      <w:pPr>
        <w:autoSpaceDE w:val="0"/>
        <w:autoSpaceDN w:val="0"/>
        <w:adjustRightInd w:val="0"/>
        <w:jc w:val="both"/>
        <w:rPr>
          <w:color w:val="000000" w:themeColor="text1"/>
          <w:sz w:val="16"/>
          <w:szCs w:val="16"/>
        </w:rPr>
      </w:pPr>
    </w:p>
    <w:p w14:paraId="76F3FF39" w14:textId="77777777" w:rsidR="0070110A" w:rsidRPr="001A0BAA" w:rsidRDefault="0070110A" w:rsidP="0070110A">
      <w:pPr>
        <w:jc w:val="both"/>
        <w:rPr>
          <w:color w:val="0070C0"/>
          <w:sz w:val="16"/>
          <w:szCs w:val="16"/>
        </w:rPr>
      </w:pPr>
      <w:r w:rsidRPr="001A0BAA">
        <w:rPr>
          <w:color w:val="0070C0"/>
          <w:sz w:val="16"/>
          <w:szCs w:val="16"/>
        </w:rPr>
        <w:t>25 января 1945 г.</w:t>
      </w:r>
    </w:p>
    <w:p w14:paraId="0993370E" w14:textId="77777777" w:rsidR="0070110A" w:rsidRPr="001A0BAA" w:rsidRDefault="0070110A" w:rsidP="0070110A">
      <w:pPr>
        <w:jc w:val="both"/>
        <w:rPr>
          <w:color w:val="0070C0"/>
          <w:sz w:val="16"/>
          <w:szCs w:val="16"/>
        </w:rPr>
      </w:pPr>
      <w:r w:rsidRPr="001A0BAA">
        <w:rPr>
          <w:color w:val="0070C0"/>
          <w:sz w:val="16"/>
          <w:szCs w:val="16"/>
        </w:rPr>
        <w:t>Из доклада директора завода им. В. П. Чкалова В. Н. Лисицына на заседании партийно-хозяйственного актива завода «Об итогах работы завода за 1944 год и задачах на 1945 год»</w:t>
      </w:r>
    </w:p>
    <w:p w14:paraId="6FB3C59C" w14:textId="77777777" w:rsidR="0070110A" w:rsidRPr="001A0BAA" w:rsidRDefault="0070110A" w:rsidP="0070110A">
      <w:pPr>
        <w:jc w:val="both"/>
        <w:rPr>
          <w:color w:val="0070C0"/>
          <w:sz w:val="16"/>
          <w:szCs w:val="16"/>
        </w:rPr>
      </w:pPr>
      <w:r w:rsidRPr="001A0BAA">
        <w:rPr>
          <w:color w:val="0070C0"/>
          <w:sz w:val="16"/>
          <w:szCs w:val="16"/>
        </w:rPr>
        <w:t>[г. Новосибирск] 25 января 1945 г.</w:t>
      </w:r>
    </w:p>
    <w:p w14:paraId="5EB0F458" w14:textId="77777777" w:rsidR="0070110A" w:rsidRPr="001A0BAA" w:rsidRDefault="0070110A" w:rsidP="0070110A">
      <w:pPr>
        <w:jc w:val="both"/>
        <w:rPr>
          <w:color w:val="0070C0"/>
          <w:sz w:val="16"/>
          <w:szCs w:val="16"/>
        </w:rPr>
      </w:pPr>
      <w:r w:rsidRPr="001A0BAA">
        <w:rPr>
          <w:color w:val="0070C0"/>
          <w:sz w:val="16"/>
          <w:szCs w:val="16"/>
        </w:rPr>
        <w:t>[...]</w:t>
      </w:r>
    </w:p>
    <w:p w14:paraId="459ACBC7" w14:textId="77777777" w:rsidR="0070110A" w:rsidRPr="001A0BAA" w:rsidRDefault="0070110A" w:rsidP="0070110A">
      <w:pPr>
        <w:jc w:val="both"/>
        <w:rPr>
          <w:color w:val="0070C0"/>
          <w:sz w:val="16"/>
          <w:szCs w:val="16"/>
        </w:rPr>
      </w:pPr>
      <w:r w:rsidRPr="001A0BAA">
        <w:rPr>
          <w:color w:val="0070C0"/>
          <w:sz w:val="16"/>
          <w:szCs w:val="16"/>
        </w:rPr>
        <w:t>Лисицын: Товарищи, истекший 1944 год принес решающие победы Красной армии. Благодаря этим победам в 1944 году была достигнута первая цель Отечественной войны, поставленная т. Сталиным перед Красной армией, перед всем советским народом, цель, которую он сформулировал таким образом: освободить нашу территорию и наш народ от немецко-фашистского ига. Вместе с тем советские войска пошли далеко на запад, изгоняя немецких захватчиков с оккупированной ими территории, и теперь наша героическая Красная армия бьет заклятых врагов на территории Европы и на территории самой Германии, на расстоянии 500 и даже 800 километров от советской границы штурмует фашистское логово.</w:t>
      </w:r>
    </w:p>
    <w:p w14:paraId="5E887C24" w14:textId="77777777" w:rsidR="0070110A" w:rsidRPr="001A0BAA" w:rsidRDefault="0070110A" w:rsidP="0070110A">
      <w:pPr>
        <w:jc w:val="both"/>
        <w:rPr>
          <w:color w:val="0070C0"/>
          <w:sz w:val="16"/>
          <w:szCs w:val="16"/>
        </w:rPr>
      </w:pPr>
      <w:r w:rsidRPr="001A0BAA">
        <w:rPr>
          <w:color w:val="0070C0"/>
          <w:sz w:val="16"/>
          <w:szCs w:val="16"/>
        </w:rPr>
        <w:t>За истекший год советские войска изгнали немцев с европейской территории за пределы и за границы Советского Союза на площади свыше 1 млн кв. км с населением в 50 млн человек.</w:t>
      </w:r>
    </w:p>
    <w:p w14:paraId="350F4BAB" w14:textId="77777777" w:rsidR="0070110A" w:rsidRPr="001A0BAA" w:rsidRDefault="0070110A" w:rsidP="0070110A">
      <w:pPr>
        <w:jc w:val="both"/>
        <w:rPr>
          <w:color w:val="0070C0"/>
          <w:sz w:val="16"/>
          <w:szCs w:val="16"/>
        </w:rPr>
      </w:pPr>
      <w:r w:rsidRPr="001A0BAA">
        <w:rPr>
          <w:color w:val="0070C0"/>
          <w:sz w:val="16"/>
          <w:szCs w:val="16"/>
        </w:rPr>
        <w:t>Чувством огромной гордости наполняются сердца советских людей за нашу Родину, за нашу Красную армию, за каждого советского гражданина, честно работающего.</w:t>
      </w:r>
    </w:p>
    <w:p w14:paraId="26D6A9C0" w14:textId="77777777" w:rsidR="0070110A" w:rsidRPr="001A0BAA" w:rsidRDefault="0070110A" w:rsidP="0070110A">
      <w:pPr>
        <w:jc w:val="both"/>
        <w:rPr>
          <w:color w:val="0070C0"/>
          <w:sz w:val="16"/>
          <w:szCs w:val="16"/>
        </w:rPr>
      </w:pPr>
      <w:r w:rsidRPr="001A0BAA">
        <w:rPr>
          <w:color w:val="0070C0"/>
          <w:sz w:val="16"/>
          <w:szCs w:val="16"/>
        </w:rPr>
        <w:t>Исторические победы советского народа в грандиозных битвах с наисильнейшим врагом стали возможны потому, что наша партия, руководимая великим Сталиным, сумела воспитать в каждом из нас, будь то боец на фронте или будь то гвардеец в тылу, людей, для которых нет ничего невозможного.</w:t>
      </w:r>
    </w:p>
    <w:p w14:paraId="143B014C" w14:textId="77777777" w:rsidR="0070110A" w:rsidRPr="001A0BAA" w:rsidRDefault="0070110A" w:rsidP="0070110A">
      <w:pPr>
        <w:jc w:val="both"/>
        <w:rPr>
          <w:color w:val="0070C0"/>
          <w:sz w:val="16"/>
          <w:szCs w:val="16"/>
        </w:rPr>
      </w:pPr>
      <w:r w:rsidRPr="001A0BAA">
        <w:rPr>
          <w:color w:val="0070C0"/>
          <w:sz w:val="16"/>
          <w:szCs w:val="16"/>
        </w:rPr>
        <w:t>Вновь и вновь подтверждаются слова великого Сталина о том, что в результате войны силы врага будут ослабевать, а силы Красной армии возрастать. Также будет крепнуть и закладываться фундамент победы над заклятым врагом. И это положение нашло свое отражение в работе и жизни нашего завода.</w:t>
      </w:r>
    </w:p>
    <w:p w14:paraId="36AD6C38" w14:textId="77777777" w:rsidR="0070110A" w:rsidRPr="001A0BAA" w:rsidRDefault="0070110A" w:rsidP="0070110A">
      <w:pPr>
        <w:jc w:val="both"/>
        <w:rPr>
          <w:color w:val="0070C0"/>
          <w:sz w:val="16"/>
          <w:szCs w:val="16"/>
        </w:rPr>
      </w:pPr>
      <w:r w:rsidRPr="001A0BAA">
        <w:rPr>
          <w:color w:val="0070C0"/>
          <w:sz w:val="16"/>
          <w:szCs w:val="16"/>
        </w:rPr>
        <w:t>18 месяцев без единого срыва суточного графика! 17 месяцев мы удерживаем знамя ГКО, и из них 12 месяцев в текущем году!</w:t>
      </w:r>
    </w:p>
    <w:p w14:paraId="361D6F3F" w14:textId="77777777" w:rsidR="0070110A" w:rsidRPr="001A0BAA" w:rsidRDefault="0070110A" w:rsidP="0070110A">
      <w:pPr>
        <w:jc w:val="both"/>
        <w:rPr>
          <w:color w:val="0070C0"/>
          <w:sz w:val="16"/>
          <w:szCs w:val="16"/>
        </w:rPr>
      </w:pPr>
      <w:r w:rsidRPr="001A0BAA">
        <w:rPr>
          <w:color w:val="0070C0"/>
          <w:sz w:val="16"/>
          <w:szCs w:val="16"/>
        </w:rPr>
        <w:t>Вот, товарищи, такова общая оценка работы завода. Мы выполнили план 1944 года по сборке на 102,7 %. Если это выполнение сравнивать с общим выпуском, который мы достигли в 1943 году, то тогда мы имеем рост 32,5 %, а если сравнивать с 1942 годом, то тогда мы имеем рост 239 %.</w:t>
      </w:r>
    </w:p>
    <w:p w14:paraId="224181A1" w14:textId="77777777" w:rsidR="0070110A" w:rsidRPr="001A0BAA" w:rsidRDefault="0070110A" w:rsidP="0070110A">
      <w:pPr>
        <w:jc w:val="both"/>
        <w:rPr>
          <w:color w:val="0070C0"/>
          <w:sz w:val="16"/>
          <w:szCs w:val="16"/>
        </w:rPr>
      </w:pPr>
      <w:r w:rsidRPr="001A0BAA">
        <w:rPr>
          <w:color w:val="0070C0"/>
          <w:sz w:val="16"/>
          <w:szCs w:val="16"/>
        </w:rPr>
        <w:t>Выполнение плана завода по бою составляет 100 %, что к 1943 году дает рост на 26 %. Давайте посмотрим, каким образом развернулся выпуск самолетов внутри 1944 года. Приняв 1-й квартал за 100 %, мы имеем: 2-й квартал - 118 %, 3-й квартал - 125 % и 4-й квартал - 129 %.</w:t>
      </w:r>
    </w:p>
    <w:p w14:paraId="4616CABD" w14:textId="77777777" w:rsidR="0070110A" w:rsidRPr="001A0BAA" w:rsidRDefault="0070110A" w:rsidP="0070110A">
      <w:pPr>
        <w:jc w:val="both"/>
        <w:rPr>
          <w:color w:val="0070C0"/>
          <w:sz w:val="16"/>
          <w:szCs w:val="16"/>
        </w:rPr>
      </w:pPr>
      <w:r w:rsidRPr="001A0BAA">
        <w:rPr>
          <w:color w:val="0070C0"/>
          <w:sz w:val="16"/>
          <w:szCs w:val="16"/>
        </w:rPr>
        <w:t>Коллектив нашего завода ровно год тому назад на партийно-хозяйственном активе поставил перед собою такую задачу - увеличение в течение года суточного выпуска на 25 %. Это выполнено в первой половине года, и мы своей работой доказали, что слова чкаловцев, их обещания не расходятся с делами. Это дало нам возможность повысить отдачу против прошлого года на 32 %.</w:t>
      </w:r>
    </w:p>
    <w:p w14:paraId="736C98E9" w14:textId="77777777" w:rsidR="0070110A" w:rsidRPr="001A0BAA" w:rsidRDefault="0070110A" w:rsidP="0070110A">
      <w:pPr>
        <w:jc w:val="both"/>
        <w:rPr>
          <w:color w:val="0070C0"/>
          <w:sz w:val="16"/>
          <w:szCs w:val="16"/>
        </w:rPr>
      </w:pPr>
      <w:r w:rsidRPr="001A0BAA">
        <w:rPr>
          <w:color w:val="0070C0"/>
          <w:sz w:val="16"/>
          <w:szCs w:val="16"/>
        </w:rPr>
        <w:t>Такие факты имеют место на фоне дальнейшего уменьшения количества работающих на нашем заводе: если мы будем считать, что в 43 году мы имели 100 % рабсилы, то на 1 января 1945 года мы имеем на заводе только 92,1 %, из них рабочих, если принять за 100 % работающих в 43 году, мы имеем 92,8 %. Другими словами, мы имеем сокращение количества рабочих на 8,2 %1П.</w:t>
      </w:r>
    </w:p>
    <w:p w14:paraId="28332433" w14:textId="77777777" w:rsidR="0070110A" w:rsidRPr="001A0BAA" w:rsidRDefault="0070110A" w:rsidP="0070110A">
      <w:pPr>
        <w:jc w:val="both"/>
        <w:rPr>
          <w:color w:val="0070C0"/>
          <w:sz w:val="16"/>
          <w:szCs w:val="16"/>
        </w:rPr>
      </w:pPr>
      <w:r w:rsidRPr="001A0BAA">
        <w:rPr>
          <w:color w:val="0070C0"/>
          <w:sz w:val="16"/>
          <w:szCs w:val="16"/>
        </w:rPr>
        <w:t xml:space="preserve">Спрашивается, каким образом протекали эти два, казалось, исключающих друг друга явления? Каким образом, неизменно теряя рабсилу, коллектив завода увеличил выпуск самолетов для фронта? Главный фактор </w:t>
      </w:r>
      <w:proofErr w:type="gramStart"/>
      <w:r w:rsidRPr="001A0BAA">
        <w:rPr>
          <w:color w:val="0070C0"/>
          <w:sz w:val="16"/>
          <w:szCs w:val="16"/>
        </w:rPr>
        <w:t>- это</w:t>
      </w:r>
      <w:proofErr w:type="gramEnd"/>
      <w:r w:rsidRPr="001A0BAA">
        <w:rPr>
          <w:color w:val="0070C0"/>
          <w:sz w:val="16"/>
          <w:szCs w:val="16"/>
        </w:rPr>
        <w:t xml:space="preserve"> снижение трудоемкости при изготовлении машины. Партийно-хозяйственный актив год тому назад поставил задачу - снизить трудоемкость машины на 30 %. Однако по машине «М» трудоемкость снижена на 22 %, а по машине «Т» трудоемкость снижена на 23 %.</w:t>
      </w:r>
    </w:p>
    <w:p w14:paraId="4D006E40" w14:textId="77777777" w:rsidR="0070110A" w:rsidRPr="001A0BAA" w:rsidRDefault="0070110A" w:rsidP="0070110A">
      <w:pPr>
        <w:jc w:val="both"/>
        <w:rPr>
          <w:color w:val="0070C0"/>
          <w:sz w:val="16"/>
          <w:szCs w:val="16"/>
        </w:rPr>
      </w:pPr>
      <w:r w:rsidRPr="001A0BAA">
        <w:rPr>
          <w:color w:val="0070C0"/>
          <w:sz w:val="16"/>
          <w:szCs w:val="16"/>
        </w:rPr>
        <w:t>Второй фактор - повышение производительности труда работающих на заводе. Год тому назад мы поставили перед собой задачу - повысить производительность труда на 25 %. Государственный план по выработке на одного рабочего заводом выполнен на 106,2 %. Рост выработки - 41 %. Нарастание выработки дает такие цифры: принимая первый квартал за 100 %, мы имеем: второй квартал - 112 %, 3-й квартал - 126 % и 4-й квартал - 129 %.</w:t>
      </w:r>
    </w:p>
    <w:p w14:paraId="24927028" w14:textId="77777777" w:rsidR="0070110A" w:rsidRPr="001A0BAA" w:rsidRDefault="0070110A" w:rsidP="0070110A">
      <w:pPr>
        <w:jc w:val="both"/>
        <w:rPr>
          <w:color w:val="0070C0"/>
          <w:sz w:val="16"/>
          <w:szCs w:val="16"/>
        </w:rPr>
      </w:pPr>
      <w:r w:rsidRPr="001A0BAA">
        <w:rPr>
          <w:color w:val="0070C0"/>
          <w:sz w:val="16"/>
          <w:szCs w:val="16"/>
        </w:rPr>
        <w:t>Задача, которую мы перед собой поставили год тому назад, не только выполнена, но и перевыполнена.</w:t>
      </w:r>
    </w:p>
    <w:p w14:paraId="20E57F62" w14:textId="77777777" w:rsidR="0070110A" w:rsidRPr="001A0BAA" w:rsidRDefault="0070110A" w:rsidP="0070110A">
      <w:pPr>
        <w:jc w:val="both"/>
        <w:rPr>
          <w:color w:val="0070C0"/>
          <w:sz w:val="16"/>
          <w:szCs w:val="16"/>
        </w:rPr>
      </w:pPr>
      <w:r w:rsidRPr="001A0BAA">
        <w:rPr>
          <w:color w:val="0070C0"/>
          <w:sz w:val="16"/>
          <w:szCs w:val="16"/>
        </w:rPr>
        <w:t>Итак, вот два решающих фактора, которые позволили заводу выполнить и перевыполнить план, которые позволили заводу нарастить на 32 % выпуск количества самолетов при одновременном снижении количества работающих.</w:t>
      </w:r>
    </w:p>
    <w:p w14:paraId="1F5485B4" w14:textId="77777777" w:rsidR="0070110A" w:rsidRPr="001A0BAA" w:rsidRDefault="0070110A" w:rsidP="0070110A">
      <w:pPr>
        <w:jc w:val="both"/>
        <w:rPr>
          <w:color w:val="0070C0"/>
          <w:sz w:val="16"/>
          <w:szCs w:val="16"/>
        </w:rPr>
      </w:pPr>
      <w:r w:rsidRPr="001A0BAA">
        <w:rPr>
          <w:color w:val="0070C0"/>
          <w:sz w:val="16"/>
          <w:szCs w:val="16"/>
        </w:rPr>
        <w:t>Каким образом были достигнуты результаты по повышению производительности труда наших рабочих? Прежде всего, это трудовой энтузиазм чкаловцев, нашедший себе выражение в дальнейшем развертывании соцсоревнования, дальнейшем развертывании стахановского движения. Наша молодежь, наша комсомольская молодежь показала образцы героического отношения к труду. Количество молодежных бригад выросло за год в три с половиной раза. За год эти бригады высвободили почти 200 человек рабочих и перебросили их на узкие места. Свыше 600 человек совмещают по несколько операций. Среднее выполнение нормы комсомольско-молодежными бригадами - 180-200 %.</w:t>
      </w:r>
    </w:p>
    <w:p w14:paraId="089A1F96" w14:textId="77777777" w:rsidR="0070110A" w:rsidRPr="001A0BAA" w:rsidRDefault="0070110A" w:rsidP="0070110A">
      <w:pPr>
        <w:jc w:val="both"/>
        <w:rPr>
          <w:color w:val="0070C0"/>
          <w:sz w:val="16"/>
          <w:szCs w:val="16"/>
        </w:rPr>
      </w:pPr>
      <w:bookmarkStart w:id="2" w:name="bookmark334"/>
      <w:bookmarkEnd w:id="2"/>
      <w:r w:rsidRPr="001A0BAA">
        <w:rPr>
          <w:color w:val="0070C0"/>
          <w:sz w:val="16"/>
          <w:szCs w:val="16"/>
        </w:rPr>
        <w:t>Так в документе, следует: 7,2 %.</w:t>
      </w:r>
    </w:p>
    <w:p w14:paraId="1BBA8520" w14:textId="77777777" w:rsidR="0070110A" w:rsidRPr="001A0BAA" w:rsidRDefault="0070110A" w:rsidP="0070110A">
      <w:pPr>
        <w:jc w:val="both"/>
        <w:rPr>
          <w:color w:val="0070C0"/>
          <w:sz w:val="16"/>
          <w:szCs w:val="16"/>
        </w:rPr>
      </w:pPr>
      <w:r w:rsidRPr="001A0BAA">
        <w:rPr>
          <w:color w:val="0070C0"/>
          <w:sz w:val="16"/>
          <w:szCs w:val="16"/>
        </w:rPr>
        <w:t>Такие бригады, как т. Жудин, Немировский, Великий и другие, не успокаиваются до тех пор, пока они не выполняют каждое задание в полтора-два раза. Не менее сознательное отношение мы видим и со стороны бригад кадровых рабочих. В прошлом году по инициативе одного из лучших наших рабочих, т. Комякова, организовалась бригада. Я, собственно, даже и не знаю, как т. Комякова назвать - строгальщиком или фрезеровщиком. Его бригада проводит и строгальные, и фрезеровочные операции и выполняет каждое задание в полтора-два раза.</w:t>
      </w:r>
    </w:p>
    <w:p w14:paraId="5D91E8FA" w14:textId="77777777" w:rsidR="0070110A" w:rsidRPr="001A0BAA" w:rsidRDefault="0070110A" w:rsidP="0070110A">
      <w:pPr>
        <w:jc w:val="both"/>
        <w:rPr>
          <w:color w:val="0070C0"/>
          <w:sz w:val="16"/>
          <w:szCs w:val="16"/>
        </w:rPr>
      </w:pPr>
      <w:r w:rsidRPr="001A0BAA">
        <w:rPr>
          <w:color w:val="0070C0"/>
          <w:sz w:val="16"/>
          <w:szCs w:val="16"/>
        </w:rPr>
        <w:t xml:space="preserve">Вновь зародилось и развернулось соревнование по профессиям на звание лучшего рабочего. Это соревнование захватывает все большее количество наших рабочих. 85 человек удерживают почетное звание лучшего рабочего нашего завода в течение 3-4 месяцев. И вообще, таких лучших рабочих у нас 1200 человек. Звание лучшего рабочего получает тот, кто выполняет норму не </w:t>
      </w:r>
      <w:proofErr w:type="gramStart"/>
      <w:r w:rsidRPr="001A0BAA">
        <w:rPr>
          <w:color w:val="0070C0"/>
          <w:sz w:val="16"/>
          <w:szCs w:val="16"/>
        </w:rPr>
        <w:t>ниже</w:t>
      </w:r>
      <w:proofErr w:type="gramEnd"/>
      <w:r w:rsidRPr="001A0BAA">
        <w:rPr>
          <w:color w:val="0070C0"/>
          <w:sz w:val="16"/>
          <w:szCs w:val="16"/>
        </w:rPr>
        <w:t xml:space="preserve"> чем на 300 %. Звание лучшего рабочего дается тому, кто ежемесячно на 30 % сокращает трудоемкость делаемой им детали.</w:t>
      </w:r>
    </w:p>
    <w:p w14:paraId="41A39C2E" w14:textId="77777777" w:rsidR="0070110A" w:rsidRPr="001A0BAA" w:rsidRDefault="0070110A" w:rsidP="0070110A">
      <w:pPr>
        <w:jc w:val="both"/>
        <w:rPr>
          <w:color w:val="0070C0"/>
          <w:sz w:val="16"/>
          <w:szCs w:val="16"/>
        </w:rPr>
      </w:pPr>
      <w:r w:rsidRPr="001A0BAA">
        <w:rPr>
          <w:color w:val="0070C0"/>
          <w:sz w:val="16"/>
          <w:szCs w:val="16"/>
        </w:rPr>
        <w:t>Неоценима помощь, которую оказывают инженеры, техники, технологи - командиры производства. В результате их усилий значительно улучшилось оснащение технологических процессов и завод стал быстро двигаться вперед. Возьмем такой решающий фактор с точки зрения надлежащей организации производства, как внедрение поточного метода. В 1944 году у нас было 7 поточных линий, а на 1 января 1945 года находится в эксплуатации уже 24 поточных линии. За год внедрение поточного производства на заводе охватило почти половину всего производства на заводе. Работа над дальнейшим оснащением технологического процесса является заслугой наших ИТР.</w:t>
      </w:r>
    </w:p>
    <w:p w14:paraId="3CAB76FD" w14:textId="77777777" w:rsidR="0070110A" w:rsidRPr="001A0BAA" w:rsidRDefault="0070110A" w:rsidP="0070110A">
      <w:pPr>
        <w:jc w:val="both"/>
        <w:rPr>
          <w:color w:val="0070C0"/>
          <w:sz w:val="16"/>
          <w:szCs w:val="16"/>
        </w:rPr>
      </w:pPr>
      <w:r w:rsidRPr="001A0BAA">
        <w:rPr>
          <w:color w:val="0070C0"/>
          <w:sz w:val="16"/>
          <w:szCs w:val="16"/>
        </w:rPr>
        <w:t>Машина М была оснащена в 1944 году на 1 января на 40 %, а теперь эта машина оснащена на 80 %. По новой нашей машине - «У» - комплектная оснащенность доведена до 80 %.</w:t>
      </w:r>
    </w:p>
    <w:p w14:paraId="19009F6E" w14:textId="77777777" w:rsidR="0070110A" w:rsidRPr="001A0BAA" w:rsidRDefault="0070110A" w:rsidP="0070110A">
      <w:pPr>
        <w:jc w:val="both"/>
        <w:rPr>
          <w:color w:val="0070C0"/>
          <w:sz w:val="16"/>
          <w:szCs w:val="16"/>
        </w:rPr>
      </w:pPr>
      <w:r w:rsidRPr="001A0BAA">
        <w:rPr>
          <w:color w:val="0070C0"/>
          <w:sz w:val="16"/>
          <w:szCs w:val="16"/>
        </w:rPr>
        <w:t>Вы, товарищи, вероятно, помните, о чем мы с вами говорили год тому назад на таком же партийно-хозяйственном активе, когда выискивали основные узкие места производства. Такими узкими звеньями, которые не давали нам возможности наращивать выпуск, явились цеха 2-й, 4-й, 28-й, 40-й, 42-й и 50-й.</w:t>
      </w:r>
    </w:p>
    <w:p w14:paraId="47F0F86E" w14:textId="77777777" w:rsidR="0070110A" w:rsidRPr="001A0BAA" w:rsidRDefault="0070110A" w:rsidP="0070110A">
      <w:pPr>
        <w:jc w:val="both"/>
        <w:rPr>
          <w:color w:val="0070C0"/>
          <w:sz w:val="16"/>
          <w:szCs w:val="16"/>
        </w:rPr>
      </w:pPr>
      <w:r w:rsidRPr="001A0BAA">
        <w:rPr>
          <w:color w:val="0070C0"/>
          <w:sz w:val="16"/>
          <w:szCs w:val="16"/>
        </w:rPr>
        <w:t>Какое же положение у большинства этих цехов сегодня? Одно могу сказать: положение резко изменилось в сторону лучшего. Почему? Приведу для примера 1-2 цеха.</w:t>
      </w:r>
    </w:p>
    <w:p w14:paraId="02777A04" w14:textId="77777777" w:rsidR="0070110A" w:rsidRPr="001A0BAA" w:rsidRDefault="0070110A" w:rsidP="0070110A">
      <w:pPr>
        <w:jc w:val="both"/>
        <w:rPr>
          <w:color w:val="0070C0"/>
          <w:sz w:val="16"/>
          <w:szCs w:val="16"/>
        </w:rPr>
      </w:pPr>
      <w:r w:rsidRPr="001A0BAA">
        <w:rPr>
          <w:color w:val="0070C0"/>
          <w:sz w:val="16"/>
          <w:szCs w:val="16"/>
        </w:rPr>
        <w:t>Конечно, все вы помните, как мы мучились с 42-м цехом год тому назад. Выпуск самолетов на нашем заводе определялся количеством крыльев, которые давал заводу 42-й цех. Сегодня этот цех считается лучшим цехом на заводе. Сегодня этот цех увеличил выпуск по сравнению с 1943 годом на 36 %, одновременно потеряв рабсилы на 25 % и сократив трудоемкость на 23 %. Это доказывает, что правильно поставлена задача, что по-большевистски оседлана техника, и все это выводит узкие места из тяжелого положения.</w:t>
      </w:r>
    </w:p>
    <w:p w14:paraId="3C90AE11" w14:textId="77777777" w:rsidR="0070110A" w:rsidRPr="001A0BAA" w:rsidRDefault="0070110A" w:rsidP="0070110A">
      <w:pPr>
        <w:jc w:val="both"/>
        <w:rPr>
          <w:color w:val="0070C0"/>
          <w:sz w:val="16"/>
          <w:szCs w:val="16"/>
        </w:rPr>
      </w:pPr>
      <w:r w:rsidRPr="001A0BAA">
        <w:rPr>
          <w:color w:val="0070C0"/>
          <w:sz w:val="16"/>
          <w:szCs w:val="16"/>
        </w:rPr>
        <w:t>Нельзя также не говорить и о цехе [№] 25. Правда, цех [№] 25 на сегодня не блещет значительным перевыполнением плана, но он в течение года потерял рабсилы 12-15 % и все же увеличил производительность труда почти на 50 %, увеличил оснащенность, и без того действительно мощную, почти на 30 %. Ясно, что правильно поставленный вопрос может и должен помочь разрешить все затруднения. Этот цех является примером того, как люди по-большевистски грамотно занимаются внедрением механизации, отчетливо представляя себе, что только в этом залог успеха. Мы по заводу внедрили 14 поточных линий, и 6 из них падают на долю 25-го цеха; сделано это механиком т. Востокиным под непосредственным руководством начальника цеха т. Купченко. Некоторое улучшение состояния трудовой дисциплины также помогло в работе. Если принять размер дезертирства в 1943 году за 100 %, то в 1944 году мы имеем 39 %. Как видите, почти в три раза уменьшилось количество дезертиров [с] завода. Это количество составляет все же почти 800 человек. И конечно, это еще много.</w:t>
      </w:r>
    </w:p>
    <w:p w14:paraId="15728804" w14:textId="77777777" w:rsidR="0070110A" w:rsidRPr="001A0BAA" w:rsidRDefault="0070110A" w:rsidP="0070110A">
      <w:pPr>
        <w:jc w:val="both"/>
        <w:rPr>
          <w:color w:val="0070C0"/>
          <w:sz w:val="16"/>
          <w:szCs w:val="16"/>
        </w:rPr>
      </w:pPr>
      <w:r w:rsidRPr="001A0BAA">
        <w:rPr>
          <w:color w:val="0070C0"/>
          <w:sz w:val="16"/>
          <w:szCs w:val="16"/>
        </w:rPr>
        <w:t>Если принять прогулы в 1943 году за 100 [%], то в 1944 году мы имеем 93 %. Как видите, тоже некоторое уменьшение этого бича производства.</w:t>
      </w:r>
    </w:p>
    <w:p w14:paraId="65D8B0A8" w14:textId="77777777" w:rsidR="0070110A" w:rsidRPr="001A0BAA" w:rsidRDefault="0070110A" w:rsidP="0070110A">
      <w:pPr>
        <w:jc w:val="both"/>
        <w:rPr>
          <w:color w:val="0070C0"/>
          <w:sz w:val="16"/>
          <w:szCs w:val="16"/>
        </w:rPr>
      </w:pPr>
      <w:r w:rsidRPr="001A0BAA">
        <w:rPr>
          <w:color w:val="0070C0"/>
          <w:sz w:val="16"/>
          <w:szCs w:val="16"/>
        </w:rPr>
        <w:lastRenderedPageBreak/>
        <w:t xml:space="preserve">Перехожу к вопросу о продукции нашего завода. Вы знаете, что качество продукции </w:t>
      </w:r>
      <w:proofErr w:type="gramStart"/>
      <w:r w:rsidRPr="001A0BAA">
        <w:rPr>
          <w:color w:val="0070C0"/>
          <w:sz w:val="16"/>
          <w:szCs w:val="16"/>
        </w:rPr>
        <w:t>- это</w:t>
      </w:r>
      <w:proofErr w:type="gramEnd"/>
      <w:r w:rsidRPr="001A0BAA">
        <w:rPr>
          <w:color w:val="0070C0"/>
          <w:sz w:val="16"/>
          <w:szCs w:val="16"/>
        </w:rPr>
        <w:t xml:space="preserve"> самый главный, самый важный критерий в оценке работы всего предприятия, и особенно это является важным при оценке работы нашего завода, где вопрос качества либо превращает машину в грозное орудие против врага, либо превращает ее в мышеловку.</w:t>
      </w:r>
    </w:p>
    <w:p w14:paraId="44FE0781" w14:textId="77777777" w:rsidR="0070110A" w:rsidRPr="001A0BAA" w:rsidRDefault="0070110A" w:rsidP="0070110A">
      <w:pPr>
        <w:jc w:val="both"/>
        <w:rPr>
          <w:color w:val="0070C0"/>
          <w:sz w:val="16"/>
          <w:szCs w:val="16"/>
        </w:rPr>
      </w:pPr>
      <w:r w:rsidRPr="001A0BAA">
        <w:rPr>
          <w:color w:val="0070C0"/>
          <w:sz w:val="16"/>
          <w:szCs w:val="16"/>
        </w:rPr>
        <w:t>Если принять брак в 1943 году за 100 %, то в 1944 году мы имеем 92,8 %. Если принять среднее количество дефектов на машину в 1943 году за 100 [%], то в 1944 году мы имеем 67 %. Если принять среднее количество дефектов, обнаруженных при техническом осмотре на ЛИСе в 1943 году, за 100 [%], то в 1944 году мы имеем 25 %. Мы можем сказать, что у нас положение с качеством более или менее удовлетворительно. Об этом свидетельствуют отзывы с фронтов Отечественной войны, один из которых я вам сейчас хочу зачитать.</w:t>
      </w:r>
    </w:p>
    <w:p w14:paraId="6072BDF9" w14:textId="77777777" w:rsidR="0070110A" w:rsidRPr="001A0BAA" w:rsidRDefault="0070110A" w:rsidP="0070110A">
      <w:pPr>
        <w:jc w:val="both"/>
        <w:rPr>
          <w:color w:val="0070C0"/>
          <w:sz w:val="16"/>
          <w:szCs w:val="16"/>
        </w:rPr>
      </w:pPr>
      <w:r w:rsidRPr="001A0BAA">
        <w:rPr>
          <w:color w:val="0070C0"/>
          <w:sz w:val="16"/>
          <w:szCs w:val="16"/>
        </w:rPr>
        <w:t>(Зачитывает. Аплодисменты.)</w:t>
      </w:r>
    </w:p>
    <w:p w14:paraId="2CEED8B1" w14:textId="77777777" w:rsidR="0070110A" w:rsidRPr="001A0BAA" w:rsidRDefault="0070110A" w:rsidP="0070110A">
      <w:pPr>
        <w:jc w:val="both"/>
        <w:rPr>
          <w:color w:val="0070C0"/>
          <w:sz w:val="16"/>
          <w:szCs w:val="16"/>
        </w:rPr>
      </w:pPr>
      <w:r w:rsidRPr="001A0BAA">
        <w:rPr>
          <w:color w:val="0070C0"/>
          <w:sz w:val="16"/>
          <w:szCs w:val="16"/>
        </w:rPr>
        <w:t>Однако, товарищи, нет другого такого участка, где малейшее успокоение было бы так же опасно, как в вопросе качества. Констатируя несомненное улучшение в вопросе качества по сравнению с 1943 годом, мы все же должны подчеркнуть то обстоятельство, что мы с вопросами качества не дошли до конца. У нас еще нет такого состояния, чтобы мы могли бы совершенно спокойно и уверенно отправлять машины на фронт. Последние месяцы нашей работы наблюдается некоторое забвение вопросов качества. У нас есть уже не мало зловещих сигналов, которые мы должны поймать вовремя и вновь начать борьбу за качество. Надо сделать так, чтобы вопрос качества стал бы самым важным и первостепенным для каждого работника нашего завода. Перевыполнение плана тесно связано и с результатами финансовой деятельности завода, о чем мы с вами не должны забывать. Наша Родина, Советское государство, советское правительство дают нам все необходимое, чтобы мы укрепляли мощь нашей Красной армии, и мы обязаны к тому, что нам дается, относиться даже скаредно, экономя каждую копейку. Если принять себестоимость нашей продукции в 1943 году за 100 [%], то в 1944 году мы имеем 88 %. Другими словами, мы снизили себестоимость нашей продукции за год на 12 %, имея государственный план 9,1 %. Если мы в 1942 году получили убытка 58 млн рублей, то в 1943 году мы получили уже прибыли 25 млн рублей, а в 1944 году прибыль, отданная государству, составляет 76 млн рублей. Этого мы добились благодаря хорошей работе всего коллектива в целом.</w:t>
      </w:r>
    </w:p>
    <w:p w14:paraId="61FBD2F8" w14:textId="77777777" w:rsidR="0070110A" w:rsidRPr="001A0BAA" w:rsidRDefault="0070110A" w:rsidP="0070110A">
      <w:pPr>
        <w:jc w:val="both"/>
        <w:rPr>
          <w:color w:val="0070C0"/>
          <w:sz w:val="16"/>
          <w:szCs w:val="16"/>
        </w:rPr>
      </w:pPr>
      <w:r w:rsidRPr="001A0BAA">
        <w:rPr>
          <w:color w:val="0070C0"/>
          <w:sz w:val="16"/>
          <w:szCs w:val="16"/>
        </w:rPr>
        <w:t>Будет правильно сказать, что вопросы хозрасчета, вопросы экономного отношения [к] советской копейке, вопросы экономного отношения к тем материалам, которыми нас снабжает государство, были поставлены в 1944 году значительно острее, чем в 1943 году. У нас есть цеха (к числутаких цехов относится цех [№] 40), которые добились сверхпланового снижения себестоимости, добились 110 тыс. руб.; сокращение сверхурочных часов в декабре месяце дошло до 2 тысяч, в то время как в январе было 12 тыс. часов. В этом цехе любовь к вопросам экономии прививали и начальник цеха, и партийная организация. Эти результаты дали возможность получить экономию не только в карман государства, но и в карман тех товарищей, которые этой экономии добились.</w:t>
      </w:r>
    </w:p>
    <w:p w14:paraId="14D957AD" w14:textId="77777777" w:rsidR="0070110A" w:rsidRPr="001A0BAA" w:rsidRDefault="0070110A" w:rsidP="0070110A">
      <w:pPr>
        <w:jc w:val="both"/>
        <w:rPr>
          <w:color w:val="0070C0"/>
          <w:sz w:val="16"/>
          <w:szCs w:val="16"/>
        </w:rPr>
      </w:pPr>
      <w:r w:rsidRPr="001A0BAA">
        <w:rPr>
          <w:color w:val="0070C0"/>
          <w:sz w:val="16"/>
          <w:szCs w:val="16"/>
        </w:rPr>
        <w:t>Возьмем цех № 30, который располагает большим количеством отходов фанеры. Эти отходы раньше валялись в сваленном виде около цеха. Никто на них не обращал внимания, и вот цех [№] 30 и его руководитель т. Горшин смогли из этих отходов сделать советский рубль. Они по своей инициативе продали отходов в IV квартале прошлого года на 633 тыс. рублей, причем продавали отходы не навалом, а распиленными пластинками, беря за эти пластинки цену, которая утверждена государством.</w:t>
      </w:r>
    </w:p>
    <w:p w14:paraId="71054AAE" w14:textId="77777777" w:rsidR="0070110A" w:rsidRPr="001A0BAA" w:rsidRDefault="0070110A" w:rsidP="0070110A">
      <w:pPr>
        <w:jc w:val="both"/>
        <w:rPr>
          <w:color w:val="0070C0"/>
          <w:sz w:val="16"/>
          <w:szCs w:val="16"/>
        </w:rPr>
      </w:pPr>
      <w:r w:rsidRPr="001A0BAA">
        <w:rPr>
          <w:color w:val="0070C0"/>
          <w:sz w:val="16"/>
          <w:szCs w:val="16"/>
        </w:rPr>
        <w:t>Можно также привести пример того, как отсутствие внимания к вопросу экономии, отсутствие желания дать нашей Родине дополнительные деньги заставляют выбрасывать деньги на ветер. Цех № 102 имеет перерасход плексигласа на 4 400 000 рублей. Представьте себе, сколько нужно иметь на заводе Горшиных, чтобы перекрыть одного Круглова. Если бы т. Круглов к этому делу подошел бы по-хозяйски, то положение было бы совсем другое. Если бы цех № 102 так же, как и цех № 30, занялся бы вопросами ширпотреба из этого плексигласа, львиная доля расходов вернулась бы в кассу завода, а тем самым, значит, в государственную казну.</w:t>
      </w:r>
    </w:p>
    <w:p w14:paraId="730EF64F" w14:textId="77777777" w:rsidR="0070110A" w:rsidRPr="001A0BAA" w:rsidRDefault="0070110A" w:rsidP="0070110A">
      <w:pPr>
        <w:jc w:val="both"/>
        <w:rPr>
          <w:color w:val="0070C0"/>
          <w:sz w:val="16"/>
          <w:szCs w:val="16"/>
        </w:rPr>
      </w:pPr>
      <w:r w:rsidRPr="001A0BAA">
        <w:rPr>
          <w:color w:val="0070C0"/>
          <w:sz w:val="16"/>
          <w:szCs w:val="16"/>
        </w:rPr>
        <w:t xml:space="preserve">Работники финансовых органов нашего завода и работники снабжения провели немалую [работу] в вопросе сокращения себестоимости, и это записано в их архив. Значительная работа проведена и в области социально-бытового обслуживания. Основной вопрос </w:t>
      </w:r>
      <w:proofErr w:type="gramStart"/>
      <w:r w:rsidRPr="001A0BAA">
        <w:rPr>
          <w:color w:val="0070C0"/>
          <w:sz w:val="16"/>
          <w:szCs w:val="16"/>
        </w:rPr>
        <w:t>- это</w:t>
      </w:r>
      <w:proofErr w:type="gramEnd"/>
      <w:r w:rsidRPr="001A0BAA">
        <w:rPr>
          <w:color w:val="0070C0"/>
          <w:sz w:val="16"/>
          <w:szCs w:val="16"/>
        </w:rPr>
        <w:t xml:space="preserve"> вопрос питания на заводе. Если посмотреть, какова калорийность, то калорийность одного обеда повысилась за год на 10 %.</w:t>
      </w:r>
    </w:p>
    <w:p w14:paraId="200C33B4" w14:textId="77777777" w:rsidR="0070110A" w:rsidRPr="001A0BAA" w:rsidRDefault="0070110A" w:rsidP="0070110A">
      <w:pPr>
        <w:jc w:val="both"/>
        <w:rPr>
          <w:color w:val="0070C0"/>
          <w:sz w:val="16"/>
          <w:szCs w:val="16"/>
        </w:rPr>
      </w:pPr>
      <w:r w:rsidRPr="001A0BAA">
        <w:rPr>
          <w:color w:val="0070C0"/>
          <w:sz w:val="16"/>
          <w:szCs w:val="16"/>
        </w:rPr>
        <w:t xml:space="preserve">Валовый сбор урожая в подсобном хозяйстве в известной степени определяет калорийность наших обедов. По картофелю мы имеем 187 [%], а по овощам 137 [%], </w:t>
      </w:r>
      <w:proofErr w:type="gramStart"/>
      <w:r w:rsidRPr="001A0BAA">
        <w:rPr>
          <w:color w:val="0070C0"/>
          <w:sz w:val="16"/>
          <w:szCs w:val="16"/>
        </w:rPr>
        <w:t>мясо-рыбные</w:t>
      </w:r>
      <w:proofErr w:type="gramEnd"/>
      <w:r w:rsidRPr="001A0BAA">
        <w:rPr>
          <w:color w:val="0070C0"/>
          <w:sz w:val="16"/>
          <w:szCs w:val="16"/>
        </w:rPr>
        <w:t xml:space="preserve"> продукты - 146 %, по картофелю 160 %, по овощам 150 % </w:t>
      </w:r>
      <w:proofErr w:type="gramStart"/>
      <w:r w:rsidRPr="001A0BAA">
        <w:rPr>
          <w:color w:val="0070C0"/>
          <w:sz w:val="16"/>
          <w:szCs w:val="16"/>
        </w:rPr>
        <w:t>- это</w:t>
      </w:r>
      <w:proofErr w:type="gramEnd"/>
      <w:r w:rsidRPr="001A0BAA">
        <w:rPr>
          <w:color w:val="0070C0"/>
          <w:sz w:val="16"/>
          <w:szCs w:val="16"/>
        </w:rPr>
        <w:t xml:space="preserve"> по сравнению с 1943 г.</w:t>
      </w:r>
    </w:p>
    <w:p w14:paraId="0F2855BD" w14:textId="77777777" w:rsidR="0070110A" w:rsidRPr="001A0BAA" w:rsidRDefault="0070110A" w:rsidP="0070110A">
      <w:pPr>
        <w:jc w:val="both"/>
        <w:rPr>
          <w:color w:val="0070C0"/>
          <w:sz w:val="16"/>
          <w:szCs w:val="16"/>
        </w:rPr>
      </w:pPr>
      <w:r w:rsidRPr="001A0BAA">
        <w:rPr>
          <w:color w:val="0070C0"/>
          <w:sz w:val="16"/>
          <w:szCs w:val="16"/>
        </w:rPr>
        <w:t>Не удовлетворив полностью запросы нашего коллектива в верхней одежде, мы все же в 1944 году выдали на 45 % больше, чем [в] 1943 г. Обуви мы выдали около 50 тыс. пар, т. е. в два раза больше, чем в 1943 году.</w:t>
      </w:r>
    </w:p>
    <w:p w14:paraId="196DE2DE" w14:textId="77777777" w:rsidR="0070110A" w:rsidRPr="001A0BAA" w:rsidRDefault="0070110A" w:rsidP="0070110A">
      <w:pPr>
        <w:jc w:val="both"/>
        <w:rPr>
          <w:color w:val="0070C0"/>
          <w:sz w:val="16"/>
          <w:szCs w:val="16"/>
        </w:rPr>
      </w:pPr>
      <w:r w:rsidRPr="001A0BAA">
        <w:rPr>
          <w:color w:val="0070C0"/>
          <w:sz w:val="16"/>
          <w:szCs w:val="16"/>
        </w:rPr>
        <w:t>Если посмотреть на один из важнейших участков, а именно на жилища, то что мы здесь имеем: новых жилищ в 1944 году получило 800 семейств против 1100 семейств в 1943 году. Здесь мы имеем уменьшение. Переселено одиночек в дома завода 1000 человек. Проделана работа в области строительства коммунальных предприятий. Появилось несколько новых домов отдыха, вдвое расширены пионерские лагеря, пущено в эксплуатацию физиотерапевтическое отделение, организован туберкулезный санаторий, на днях открывается общедоступная библиотека, и, наконец, этот прекрасный клуб, в котором мы имеем удовольствие находиться. Однако все сделанное чрезвычайно далеко от тех запросов, которые нам представлены коллективом завода и которые он, благодаря своей самоотверженной работе, вполне достоин получить.</w:t>
      </w:r>
    </w:p>
    <w:p w14:paraId="27A522C3" w14:textId="77777777" w:rsidR="0070110A" w:rsidRPr="001A0BAA" w:rsidRDefault="0070110A" w:rsidP="0070110A">
      <w:pPr>
        <w:jc w:val="both"/>
        <w:rPr>
          <w:color w:val="0070C0"/>
          <w:sz w:val="16"/>
          <w:szCs w:val="16"/>
        </w:rPr>
      </w:pPr>
      <w:r w:rsidRPr="001A0BAA">
        <w:rPr>
          <w:color w:val="0070C0"/>
          <w:sz w:val="16"/>
          <w:szCs w:val="16"/>
        </w:rPr>
        <w:t>Сегодня вопрос быта так же, а может быть, даже и несколько более важен, чем вопрос внедрения дальнейших потоков, конвейеров и т. д., ибо вопросы быта определяют собою заинтересованность коллектива в работе на заводе. У нас этого дела, к сожалению, не понимает еще целый ряд товарищей. Вы прекрасно знаете, какое отношение имеется в цехах и в отделах к выполнению тех указаний и решений, которые обязывают эти цеха и отделы, наряду с решением графика, решать и другие вопросы, как-то: приведение [в] порядок наших общежитий, приведение в порядок нашего соцгорода.</w:t>
      </w:r>
    </w:p>
    <w:p w14:paraId="05334A97" w14:textId="77777777" w:rsidR="0070110A" w:rsidRPr="001A0BAA" w:rsidRDefault="0070110A" w:rsidP="0070110A">
      <w:pPr>
        <w:jc w:val="both"/>
        <w:rPr>
          <w:color w:val="0070C0"/>
          <w:sz w:val="16"/>
          <w:szCs w:val="16"/>
        </w:rPr>
      </w:pPr>
      <w:r w:rsidRPr="001A0BAA">
        <w:rPr>
          <w:color w:val="0070C0"/>
          <w:sz w:val="16"/>
          <w:szCs w:val="16"/>
        </w:rPr>
        <w:t>Сейчас нужно специально остановиться на работе цеха, который в 1943 году и большую часть 1944 года своей образцовой, хорошей работой умножал славу нашего завода и который в течение последних 3 месяцев своей плохой работой держит весь завод под угрозой потери знамени ГКО. Я имею в виду цех № 21, его, если можно так выразиться, наземную часть. Уж не первый раз мы заостряем внимание коллектива этого цеха на его работе. Вот сравните показатели его работы по облету. Возьмем ноябрь 1943 г. за 100 % - тогда в декабре 1944 года он дает 97 %. Весь завод против уровня прошлого года ушел далеко вперед. Завод в целом увеличил выпуск на 32,5 %, а летная станция нашего [завода] за последние три-четыре месяца пошла назад. В результате неудовлетворительной работы летной станции мы сегодня имеем на аэродроме такое количество машин, какое было в 1942 году, когда станцией занимались буквально все городские и областные организации. Мы имеем такое количество необлетанных машин, которое беспокоит руководителей нашей партии. Мы имеем звонки из ЦК партии, которые раздаются по указанию т. Маленкова, и нас спрашивают: когда же вы возьметесь за дело и перестанете держать готовые машины у себя, а пошлете их туда, где они нужны?</w:t>
      </w:r>
    </w:p>
    <w:p w14:paraId="1BC13BBB" w14:textId="77777777" w:rsidR="0070110A" w:rsidRPr="001A0BAA" w:rsidRDefault="0070110A" w:rsidP="0070110A">
      <w:pPr>
        <w:jc w:val="both"/>
        <w:rPr>
          <w:color w:val="0070C0"/>
          <w:sz w:val="16"/>
          <w:szCs w:val="16"/>
        </w:rPr>
      </w:pPr>
      <w:r w:rsidRPr="001A0BAA">
        <w:rPr>
          <w:color w:val="0070C0"/>
          <w:sz w:val="16"/>
          <w:szCs w:val="16"/>
        </w:rPr>
        <w:t>Мы должны сегодня спросить руководителей этого цеха: когда же вы прекратите эту спячку и поднимете ваш коллектив, работу вашего коллектива на тот уровень, который был достигнут им раньше и который теперь достиг завод в целом? [...].</w:t>
      </w:r>
    </w:p>
    <w:p w14:paraId="5F1D233D" w14:textId="77777777" w:rsidR="0070110A" w:rsidRPr="001A0BAA" w:rsidRDefault="0070110A" w:rsidP="0070110A">
      <w:pPr>
        <w:jc w:val="both"/>
        <w:rPr>
          <w:color w:val="0070C0"/>
          <w:sz w:val="16"/>
          <w:szCs w:val="16"/>
        </w:rPr>
      </w:pPr>
      <w:r w:rsidRPr="001A0BAA">
        <w:rPr>
          <w:color w:val="0070C0"/>
          <w:sz w:val="16"/>
          <w:szCs w:val="16"/>
        </w:rPr>
        <w:t>[Подпись неразборчива.]</w:t>
      </w:r>
    </w:p>
    <w:p w14:paraId="7BDDBEBD" w14:textId="77777777" w:rsidR="0070110A" w:rsidRPr="001A0BAA" w:rsidRDefault="0070110A" w:rsidP="0070110A">
      <w:pPr>
        <w:jc w:val="both"/>
        <w:rPr>
          <w:color w:val="0070C0"/>
          <w:sz w:val="16"/>
          <w:szCs w:val="16"/>
        </w:rPr>
      </w:pPr>
      <w:r w:rsidRPr="001A0BAA">
        <w:rPr>
          <w:color w:val="0070C0"/>
          <w:sz w:val="16"/>
          <w:szCs w:val="16"/>
        </w:rPr>
        <w:t>ГАНО. П. 738. Оп. 1. Д. 137. Л. 2-10. Машинопись. Подлинник (24921).</w:t>
      </w:r>
    </w:p>
    <w:p w14:paraId="04EB41DD" w14:textId="77777777" w:rsidR="0070110A" w:rsidRPr="001A0BAA" w:rsidRDefault="0070110A" w:rsidP="0070110A">
      <w:pPr>
        <w:jc w:val="both"/>
        <w:rPr>
          <w:color w:val="0070C0"/>
          <w:sz w:val="16"/>
          <w:szCs w:val="16"/>
        </w:rPr>
      </w:pPr>
    </w:p>
    <w:p w14:paraId="59617B0D" w14:textId="77777777" w:rsidR="00B80BC3" w:rsidRPr="00925F26" w:rsidRDefault="00B80BC3" w:rsidP="00925F26">
      <w:pPr>
        <w:jc w:val="both"/>
        <w:rPr>
          <w:color w:val="000000" w:themeColor="text1"/>
          <w:sz w:val="16"/>
          <w:szCs w:val="16"/>
        </w:rPr>
      </w:pPr>
      <w:r w:rsidRPr="00925F26">
        <w:rPr>
          <w:color w:val="000000" w:themeColor="text1"/>
          <w:sz w:val="16"/>
          <w:szCs w:val="16"/>
        </w:rPr>
        <w:t>25 января 1945 г. Из отчетного доклада директора завода № 387 И. В. Федина за 1944 г. - о выполнении производственной программы по оборонной продукции</w:t>
      </w:r>
    </w:p>
    <w:p w14:paraId="0BBA7A4B" w14:textId="77777777" w:rsidR="00B80BC3" w:rsidRPr="00925F26" w:rsidRDefault="00B80BC3" w:rsidP="00925F26">
      <w:pPr>
        <w:jc w:val="both"/>
        <w:rPr>
          <w:color w:val="000000" w:themeColor="text1"/>
          <w:sz w:val="16"/>
          <w:szCs w:val="16"/>
        </w:rPr>
      </w:pPr>
      <w:r w:rsidRPr="00925F26">
        <w:rPr>
          <w:color w:val="000000" w:themeColor="text1"/>
          <w:sz w:val="16"/>
          <w:szCs w:val="16"/>
        </w:rPr>
        <w:t>[...] Выполнение программы 1944 г. по ассортименту в сравнении с планом и отчетом за 1943 г. характеризуется следующей таблицей:</w:t>
      </w:r>
    </w:p>
    <w:p w14:paraId="0BF23730" w14:textId="77777777" w:rsidR="00B80BC3" w:rsidRPr="00925F26" w:rsidRDefault="00B80BC3" w:rsidP="00925F26">
      <w:pPr>
        <w:jc w:val="both"/>
        <w:rPr>
          <w:color w:val="000000" w:themeColor="text1"/>
          <w:sz w:val="16"/>
          <w:szCs w:val="16"/>
        </w:rPr>
      </w:pPr>
      <w:r w:rsidRPr="00925F26">
        <w:rPr>
          <w:color w:val="000000" w:themeColor="text1"/>
          <w:sz w:val="16"/>
          <w:szCs w:val="16"/>
        </w:rPr>
        <w:t>№</w:t>
      </w:r>
      <w:proofErr w:type="gramStart"/>
      <w:r w:rsidRPr="00925F26">
        <w:rPr>
          <w:color w:val="000000" w:themeColor="text1"/>
          <w:sz w:val="16"/>
          <w:szCs w:val="16"/>
        </w:rPr>
        <w:t>№  п</w:t>
      </w:r>
      <w:proofErr w:type="gramEnd"/>
      <w:r w:rsidRPr="00925F26">
        <w:rPr>
          <w:color w:val="000000" w:themeColor="text1"/>
          <w:sz w:val="16"/>
          <w:szCs w:val="16"/>
        </w:rPr>
        <w:t>/п</w:t>
      </w:r>
      <w:r w:rsidRPr="00925F26">
        <w:rPr>
          <w:color w:val="000000" w:themeColor="text1"/>
          <w:sz w:val="16"/>
          <w:szCs w:val="16"/>
        </w:rPr>
        <w:tab/>
      </w:r>
      <w:proofErr w:type="gramStart"/>
      <w:r w:rsidRPr="00925F26">
        <w:rPr>
          <w:color w:val="000000" w:themeColor="text1"/>
          <w:sz w:val="16"/>
          <w:szCs w:val="16"/>
        </w:rPr>
        <w:t>Наименование  показателей</w:t>
      </w:r>
      <w:proofErr w:type="gramEnd"/>
      <w:r w:rsidRPr="00925F26">
        <w:rPr>
          <w:color w:val="000000" w:themeColor="text1"/>
          <w:sz w:val="16"/>
          <w:szCs w:val="16"/>
        </w:rPr>
        <w:tab/>
        <w:t>Ед. из-</w:t>
      </w:r>
      <w:r w:rsidRPr="00925F26">
        <w:rPr>
          <w:color w:val="000000" w:themeColor="text1"/>
          <w:sz w:val="16"/>
          <w:szCs w:val="16"/>
        </w:rPr>
        <w:tab/>
      </w:r>
      <w:proofErr w:type="gramStart"/>
      <w:r w:rsidRPr="00925F26">
        <w:rPr>
          <w:color w:val="000000" w:themeColor="text1"/>
          <w:sz w:val="16"/>
          <w:szCs w:val="16"/>
        </w:rPr>
        <w:t>Отчет  за</w:t>
      </w:r>
      <w:proofErr w:type="gramEnd"/>
      <w:r w:rsidRPr="00925F26">
        <w:rPr>
          <w:color w:val="000000" w:themeColor="text1"/>
          <w:sz w:val="16"/>
          <w:szCs w:val="16"/>
        </w:rPr>
        <w:tab/>
        <w:t>1944 г.</w:t>
      </w:r>
      <w:r w:rsidRPr="00925F26">
        <w:rPr>
          <w:color w:val="000000" w:themeColor="text1"/>
          <w:sz w:val="16"/>
          <w:szCs w:val="16"/>
        </w:rPr>
        <w:tab/>
      </w:r>
      <w:r w:rsidRPr="00925F26">
        <w:rPr>
          <w:color w:val="000000" w:themeColor="text1"/>
          <w:sz w:val="16"/>
          <w:szCs w:val="16"/>
        </w:rPr>
        <w:tab/>
      </w:r>
      <w:proofErr w:type="gramStart"/>
      <w:r w:rsidRPr="00925F26">
        <w:rPr>
          <w:color w:val="000000" w:themeColor="text1"/>
          <w:sz w:val="16"/>
          <w:szCs w:val="16"/>
        </w:rPr>
        <w:t>Отчет :</w:t>
      </w:r>
      <w:proofErr w:type="gramEnd"/>
      <w:r w:rsidRPr="00925F26">
        <w:rPr>
          <w:color w:val="000000" w:themeColor="text1"/>
          <w:sz w:val="16"/>
          <w:szCs w:val="16"/>
        </w:rPr>
        <w:t xml:space="preserve">  I</w:t>
      </w:r>
      <w:r w:rsidRPr="00925F26">
        <w:rPr>
          <w:color w:val="000000" w:themeColor="text1"/>
          <w:sz w:val="16"/>
          <w:szCs w:val="16"/>
        </w:rPr>
        <w:tab/>
        <w:t>за 1944 г. з %%</w:t>
      </w:r>
    </w:p>
    <w:p w14:paraId="663BD8CB" w14:textId="77777777" w:rsidR="00B80BC3" w:rsidRPr="00925F26" w:rsidRDefault="00B80BC3" w:rsidP="00925F26">
      <w:pPr>
        <w:jc w:val="both"/>
        <w:rPr>
          <w:color w:val="000000" w:themeColor="text1"/>
          <w:sz w:val="16"/>
          <w:szCs w:val="16"/>
        </w:rPr>
      </w:pPr>
      <w:r w:rsidRPr="00925F26">
        <w:rPr>
          <w:color w:val="000000" w:themeColor="text1"/>
          <w:sz w:val="16"/>
          <w:szCs w:val="16"/>
        </w:rPr>
        <w:tab/>
      </w:r>
      <w:r w:rsidRPr="00925F26">
        <w:rPr>
          <w:color w:val="000000" w:themeColor="text1"/>
          <w:sz w:val="16"/>
          <w:szCs w:val="16"/>
        </w:rPr>
        <w:tab/>
        <w:t>мер.</w:t>
      </w:r>
      <w:r w:rsidRPr="00925F26">
        <w:rPr>
          <w:color w:val="000000" w:themeColor="text1"/>
          <w:sz w:val="16"/>
          <w:szCs w:val="16"/>
        </w:rPr>
        <w:tab/>
        <w:t>1943 г.</w:t>
      </w:r>
      <w:r w:rsidRPr="00925F26">
        <w:rPr>
          <w:color w:val="000000" w:themeColor="text1"/>
          <w:sz w:val="16"/>
          <w:szCs w:val="16"/>
        </w:rPr>
        <w:tab/>
        <w:t>план</w:t>
      </w:r>
      <w:r w:rsidRPr="00925F26">
        <w:rPr>
          <w:color w:val="000000" w:themeColor="text1"/>
          <w:sz w:val="16"/>
          <w:szCs w:val="16"/>
        </w:rPr>
        <w:tab/>
        <w:t>отчет</w:t>
      </w:r>
      <w:r w:rsidRPr="00925F26">
        <w:rPr>
          <w:color w:val="000000" w:themeColor="text1"/>
          <w:sz w:val="16"/>
          <w:szCs w:val="16"/>
        </w:rPr>
        <w:tab/>
      </w:r>
      <w:proofErr w:type="gramStart"/>
      <w:r w:rsidRPr="00925F26">
        <w:rPr>
          <w:color w:val="000000" w:themeColor="text1"/>
          <w:sz w:val="16"/>
          <w:szCs w:val="16"/>
        </w:rPr>
        <w:t>к  плану</w:t>
      </w:r>
      <w:proofErr w:type="gramEnd"/>
      <w:r w:rsidRPr="00925F26">
        <w:rPr>
          <w:color w:val="000000" w:themeColor="text1"/>
          <w:sz w:val="16"/>
          <w:szCs w:val="16"/>
        </w:rPr>
        <w:tab/>
        <w:t>к отчету за 1943 г.</w:t>
      </w:r>
    </w:p>
    <w:p w14:paraId="20F8D1F8" w14:textId="77777777" w:rsidR="00B80BC3" w:rsidRPr="00925F26" w:rsidRDefault="00B80BC3" w:rsidP="00925F26">
      <w:pPr>
        <w:jc w:val="both"/>
        <w:rPr>
          <w:color w:val="000000" w:themeColor="text1"/>
          <w:sz w:val="16"/>
          <w:szCs w:val="16"/>
        </w:rPr>
      </w:pPr>
      <w:r w:rsidRPr="00925F26">
        <w:rPr>
          <w:color w:val="000000" w:themeColor="text1"/>
          <w:sz w:val="16"/>
          <w:szCs w:val="16"/>
        </w:rPr>
        <w:t>1.</w:t>
      </w:r>
      <w:r w:rsidRPr="00925F26">
        <w:rPr>
          <w:color w:val="000000" w:themeColor="text1"/>
          <w:sz w:val="16"/>
          <w:szCs w:val="16"/>
        </w:rPr>
        <w:tab/>
        <w:t>Самолеты ПО-2: а) сборка</w:t>
      </w:r>
      <w:r w:rsidRPr="00925F26">
        <w:rPr>
          <w:color w:val="000000" w:themeColor="text1"/>
          <w:sz w:val="16"/>
          <w:szCs w:val="16"/>
        </w:rPr>
        <w:tab/>
        <w:t>ед.</w:t>
      </w:r>
      <w:r w:rsidRPr="00925F26">
        <w:rPr>
          <w:color w:val="000000" w:themeColor="text1"/>
          <w:sz w:val="16"/>
          <w:szCs w:val="16"/>
        </w:rPr>
        <w:tab/>
        <w:t>2733</w:t>
      </w:r>
      <w:r w:rsidRPr="00925F26">
        <w:rPr>
          <w:color w:val="000000" w:themeColor="text1"/>
          <w:sz w:val="16"/>
          <w:szCs w:val="16"/>
        </w:rPr>
        <w:tab/>
        <w:t>3080</w:t>
      </w:r>
      <w:r w:rsidRPr="00925F26">
        <w:rPr>
          <w:color w:val="000000" w:themeColor="text1"/>
          <w:sz w:val="16"/>
          <w:szCs w:val="16"/>
        </w:rPr>
        <w:tab/>
        <w:t>3045</w:t>
      </w:r>
      <w:r w:rsidRPr="00925F26">
        <w:rPr>
          <w:color w:val="000000" w:themeColor="text1"/>
          <w:sz w:val="16"/>
          <w:szCs w:val="16"/>
        </w:rPr>
        <w:tab/>
        <w:t>98,9</w:t>
      </w:r>
      <w:r w:rsidRPr="00925F26">
        <w:rPr>
          <w:color w:val="000000" w:themeColor="text1"/>
          <w:sz w:val="16"/>
          <w:szCs w:val="16"/>
        </w:rPr>
        <w:tab/>
        <w:t>111,4</w:t>
      </w:r>
    </w:p>
    <w:p w14:paraId="049BD1FE" w14:textId="77777777" w:rsidR="00B80BC3" w:rsidRPr="00925F26" w:rsidRDefault="00B80BC3" w:rsidP="00925F26">
      <w:pPr>
        <w:jc w:val="both"/>
        <w:rPr>
          <w:color w:val="000000" w:themeColor="text1"/>
          <w:sz w:val="16"/>
          <w:szCs w:val="16"/>
        </w:rPr>
      </w:pPr>
      <w:r w:rsidRPr="00925F26">
        <w:rPr>
          <w:color w:val="000000" w:themeColor="text1"/>
          <w:sz w:val="16"/>
          <w:szCs w:val="16"/>
        </w:rPr>
        <w:tab/>
        <w:t>б) боеготовые</w:t>
      </w:r>
      <w:r w:rsidRPr="00925F26">
        <w:rPr>
          <w:color w:val="000000" w:themeColor="text1"/>
          <w:sz w:val="16"/>
          <w:szCs w:val="16"/>
        </w:rPr>
        <w:tab/>
        <w:t>ед.</w:t>
      </w:r>
      <w:r w:rsidRPr="00925F26">
        <w:rPr>
          <w:color w:val="000000" w:themeColor="text1"/>
          <w:sz w:val="16"/>
          <w:szCs w:val="16"/>
        </w:rPr>
        <w:tab/>
        <w:t>2804</w:t>
      </w:r>
      <w:r w:rsidRPr="00925F26">
        <w:rPr>
          <w:color w:val="000000" w:themeColor="text1"/>
          <w:sz w:val="16"/>
          <w:szCs w:val="16"/>
        </w:rPr>
        <w:tab/>
        <w:t>3080</w:t>
      </w:r>
      <w:r w:rsidRPr="00925F26">
        <w:rPr>
          <w:color w:val="000000" w:themeColor="text1"/>
          <w:sz w:val="16"/>
          <w:szCs w:val="16"/>
        </w:rPr>
        <w:tab/>
        <w:t>3041</w:t>
      </w:r>
      <w:r w:rsidRPr="00925F26">
        <w:rPr>
          <w:color w:val="000000" w:themeColor="text1"/>
          <w:sz w:val="16"/>
          <w:szCs w:val="16"/>
        </w:rPr>
        <w:tab/>
        <w:t>98,7</w:t>
      </w:r>
      <w:r w:rsidRPr="00925F26">
        <w:rPr>
          <w:color w:val="000000" w:themeColor="text1"/>
          <w:sz w:val="16"/>
          <w:szCs w:val="16"/>
        </w:rPr>
        <w:tab/>
        <w:t>108,5</w:t>
      </w:r>
    </w:p>
    <w:p w14:paraId="68D3A7E8" w14:textId="77777777" w:rsidR="00B80BC3" w:rsidRPr="00925F26" w:rsidRDefault="00B80BC3" w:rsidP="00925F26">
      <w:pPr>
        <w:jc w:val="both"/>
        <w:rPr>
          <w:color w:val="000000" w:themeColor="text1"/>
          <w:sz w:val="16"/>
          <w:szCs w:val="16"/>
        </w:rPr>
      </w:pPr>
      <w:r w:rsidRPr="00925F26">
        <w:rPr>
          <w:color w:val="000000" w:themeColor="text1"/>
          <w:sz w:val="16"/>
          <w:szCs w:val="16"/>
        </w:rPr>
        <w:tab/>
        <w:t>в) отправка</w:t>
      </w:r>
      <w:r w:rsidRPr="00925F26">
        <w:rPr>
          <w:color w:val="000000" w:themeColor="text1"/>
          <w:sz w:val="16"/>
          <w:szCs w:val="16"/>
        </w:rPr>
        <w:tab/>
        <w:t>ед.</w:t>
      </w:r>
      <w:r w:rsidRPr="00925F26">
        <w:rPr>
          <w:color w:val="000000" w:themeColor="text1"/>
          <w:sz w:val="16"/>
          <w:szCs w:val="16"/>
        </w:rPr>
        <w:tab/>
        <w:t>2819</w:t>
      </w:r>
      <w:r w:rsidRPr="00925F26">
        <w:rPr>
          <w:color w:val="000000" w:themeColor="text1"/>
          <w:sz w:val="16"/>
          <w:szCs w:val="16"/>
        </w:rPr>
        <w:tab/>
        <w:t>3080</w:t>
      </w:r>
      <w:r w:rsidRPr="00925F26">
        <w:rPr>
          <w:color w:val="000000" w:themeColor="text1"/>
          <w:sz w:val="16"/>
          <w:szCs w:val="16"/>
        </w:rPr>
        <w:tab/>
        <w:t>2998</w:t>
      </w:r>
      <w:r w:rsidRPr="00925F26">
        <w:rPr>
          <w:color w:val="000000" w:themeColor="text1"/>
          <w:sz w:val="16"/>
          <w:szCs w:val="16"/>
        </w:rPr>
        <w:tab/>
        <w:t>97,3</w:t>
      </w:r>
      <w:r w:rsidRPr="00925F26">
        <w:rPr>
          <w:color w:val="000000" w:themeColor="text1"/>
          <w:sz w:val="16"/>
          <w:szCs w:val="16"/>
        </w:rPr>
        <w:tab/>
        <w:t>106,3</w:t>
      </w:r>
    </w:p>
    <w:p w14:paraId="1ADD56AF" w14:textId="77777777" w:rsidR="00B80BC3" w:rsidRPr="00925F26" w:rsidRDefault="00B80BC3" w:rsidP="00925F26">
      <w:pPr>
        <w:jc w:val="both"/>
        <w:rPr>
          <w:color w:val="000000" w:themeColor="text1"/>
          <w:sz w:val="16"/>
          <w:szCs w:val="16"/>
        </w:rPr>
      </w:pPr>
      <w:r w:rsidRPr="00925F26">
        <w:rPr>
          <w:color w:val="000000" w:themeColor="text1"/>
          <w:sz w:val="16"/>
          <w:szCs w:val="16"/>
        </w:rPr>
        <w:t>2.</w:t>
      </w:r>
      <w:r w:rsidRPr="00925F26">
        <w:rPr>
          <w:color w:val="000000" w:themeColor="text1"/>
          <w:sz w:val="16"/>
          <w:szCs w:val="16"/>
        </w:rPr>
        <w:tab/>
        <w:t>Групповые комплекты</w:t>
      </w:r>
      <w:r w:rsidRPr="00925F26">
        <w:rPr>
          <w:color w:val="000000" w:themeColor="text1"/>
          <w:sz w:val="16"/>
          <w:szCs w:val="16"/>
        </w:rPr>
        <w:tab/>
        <w:t>ком.</w:t>
      </w:r>
      <w:r w:rsidRPr="00925F26">
        <w:rPr>
          <w:color w:val="000000" w:themeColor="text1"/>
          <w:sz w:val="16"/>
          <w:szCs w:val="16"/>
        </w:rPr>
        <w:tab/>
        <w:t>279</w:t>
      </w:r>
      <w:r w:rsidRPr="00925F26">
        <w:rPr>
          <w:color w:val="000000" w:themeColor="text1"/>
          <w:sz w:val="16"/>
          <w:szCs w:val="16"/>
        </w:rPr>
        <w:tab/>
        <w:t>308</w:t>
      </w:r>
      <w:r w:rsidRPr="00925F26">
        <w:rPr>
          <w:color w:val="000000" w:themeColor="text1"/>
          <w:sz w:val="16"/>
          <w:szCs w:val="16"/>
        </w:rPr>
        <w:tab/>
        <w:t>308</w:t>
      </w:r>
      <w:r w:rsidRPr="00925F26">
        <w:rPr>
          <w:color w:val="000000" w:themeColor="text1"/>
          <w:sz w:val="16"/>
          <w:szCs w:val="16"/>
        </w:rPr>
        <w:tab/>
        <w:t>100,0</w:t>
      </w:r>
      <w:r w:rsidRPr="00925F26">
        <w:rPr>
          <w:color w:val="000000" w:themeColor="text1"/>
          <w:sz w:val="16"/>
          <w:szCs w:val="16"/>
        </w:rPr>
        <w:tab/>
        <w:t>110,4</w:t>
      </w:r>
    </w:p>
    <w:p w14:paraId="38534487" w14:textId="77777777" w:rsidR="00B80BC3" w:rsidRPr="00925F26" w:rsidRDefault="00B80BC3" w:rsidP="00925F26">
      <w:pPr>
        <w:jc w:val="both"/>
        <w:rPr>
          <w:color w:val="000000" w:themeColor="text1"/>
          <w:sz w:val="16"/>
          <w:szCs w:val="16"/>
        </w:rPr>
      </w:pPr>
      <w:r w:rsidRPr="00925F26">
        <w:rPr>
          <w:color w:val="000000" w:themeColor="text1"/>
          <w:sz w:val="16"/>
          <w:szCs w:val="16"/>
        </w:rPr>
        <w:t>3.</w:t>
      </w:r>
      <w:r w:rsidRPr="00925F26">
        <w:rPr>
          <w:color w:val="000000" w:themeColor="text1"/>
          <w:sz w:val="16"/>
          <w:szCs w:val="16"/>
        </w:rPr>
        <w:tab/>
        <w:t>Авиалыжи</w:t>
      </w:r>
      <w:r w:rsidRPr="00925F26">
        <w:rPr>
          <w:color w:val="000000" w:themeColor="text1"/>
          <w:sz w:val="16"/>
          <w:szCs w:val="16"/>
        </w:rPr>
        <w:tab/>
        <w:t>ком.</w:t>
      </w:r>
      <w:r w:rsidRPr="00925F26">
        <w:rPr>
          <w:color w:val="000000" w:themeColor="text1"/>
          <w:sz w:val="16"/>
          <w:szCs w:val="16"/>
        </w:rPr>
        <w:tab/>
        <w:t>3271</w:t>
      </w:r>
      <w:r w:rsidRPr="00925F26">
        <w:rPr>
          <w:color w:val="000000" w:themeColor="text1"/>
          <w:sz w:val="16"/>
          <w:szCs w:val="16"/>
        </w:rPr>
        <w:tab/>
        <w:t>4140</w:t>
      </w:r>
      <w:r w:rsidRPr="00925F26">
        <w:rPr>
          <w:color w:val="000000" w:themeColor="text1"/>
          <w:sz w:val="16"/>
          <w:szCs w:val="16"/>
        </w:rPr>
        <w:tab/>
        <w:t>3634</w:t>
      </w:r>
      <w:r w:rsidRPr="00925F26">
        <w:rPr>
          <w:color w:val="000000" w:themeColor="text1"/>
          <w:sz w:val="16"/>
          <w:szCs w:val="16"/>
        </w:rPr>
        <w:tab/>
      </w:r>
      <w:proofErr w:type="gramStart"/>
      <w:r w:rsidRPr="00925F26">
        <w:rPr>
          <w:color w:val="000000" w:themeColor="text1"/>
          <w:sz w:val="16"/>
          <w:szCs w:val="16"/>
        </w:rPr>
        <w:t>00  00</w:t>
      </w:r>
      <w:proofErr w:type="gramEnd"/>
      <w:r w:rsidRPr="00925F26">
        <w:rPr>
          <w:color w:val="000000" w:themeColor="text1"/>
          <w:sz w:val="16"/>
          <w:szCs w:val="16"/>
        </w:rPr>
        <w:tab/>
        <w:t>111,1</w:t>
      </w:r>
    </w:p>
    <w:p w14:paraId="6D78B76C" w14:textId="77777777" w:rsidR="00B80BC3" w:rsidRPr="00925F26" w:rsidRDefault="00B80BC3" w:rsidP="00925F26">
      <w:pPr>
        <w:jc w:val="both"/>
        <w:rPr>
          <w:color w:val="000000" w:themeColor="text1"/>
          <w:sz w:val="16"/>
          <w:szCs w:val="16"/>
        </w:rPr>
      </w:pPr>
      <w:r w:rsidRPr="00925F26">
        <w:rPr>
          <w:color w:val="000000" w:themeColor="text1"/>
          <w:sz w:val="16"/>
          <w:szCs w:val="16"/>
        </w:rPr>
        <w:t>4.</w:t>
      </w:r>
      <w:r w:rsidRPr="00925F26">
        <w:rPr>
          <w:color w:val="000000" w:themeColor="text1"/>
          <w:sz w:val="16"/>
          <w:szCs w:val="16"/>
        </w:rPr>
        <w:tab/>
        <w:t>Санитарно-</w:t>
      </w:r>
      <w:proofErr w:type="gramStart"/>
      <w:r w:rsidRPr="00925F26">
        <w:rPr>
          <w:color w:val="000000" w:themeColor="text1"/>
          <w:sz w:val="16"/>
          <w:szCs w:val="16"/>
        </w:rPr>
        <w:t>грузовые  кассеты</w:t>
      </w:r>
      <w:proofErr w:type="gramEnd"/>
      <w:r w:rsidRPr="00925F26">
        <w:rPr>
          <w:color w:val="000000" w:themeColor="text1"/>
          <w:sz w:val="16"/>
          <w:szCs w:val="16"/>
        </w:rPr>
        <w:tab/>
        <w:t>ком.</w:t>
      </w:r>
      <w:r w:rsidRPr="00925F26">
        <w:rPr>
          <w:color w:val="000000" w:themeColor="text1"/>
          <w:sz w:val="16"/>
          <w:szCs w:val="16"/>
        </w:rPr>
        <w:tab/>
        <w:t>4371</w:t>
      </w:r>
      <w:r w:rsidRPr="00925F26">
        <w:rPr>
          <w:color w:val="000000" w:themeColor="text1"/>
          <w:sz w:val="16"/>
          <w:szCs w:val="16"/>
        </w:rPr>
        <w:tab/>
        <w:t>550</w:t>
      </w:r>
      <w:r w:rsidRPr="00925F26">
        <w:rPr>
          <w:color w:val="000000" w:themeColor="text1"/>
          <w:sz w:val="16"/>
          <w:szCs w:val="16"/>
        </w:rPr>
        <w:tab/>
        <w:t>346</w:t>
      </w:r>
      <w:r w:rsidRPr="00925F26">
        <w:rPr>
          <w:color w:val="000000" w:themeColor="text1"/>
          <w:sz w:val="16"/>
          <w:szCs w:val="16"/>
        </w:rPr>
        <w:tab/>
        <w:t>62, 9</w:t>
      </w:r>
      <w:r w:rsidRPr="00925F26">
        <w:rPr>
          <w:color w:val="000000" w:themeColor="text1"/>
          <w:sz w:val="16"/>
          <w:szCs w:val="16"/>
        </w:rPr>
        <w:tab/>
        <w:t>а»</w:t>
      </w:r>
    </w:p>
    <w:p w14:paraId="4B2195E8" w14:textId="77777777" w:rsidR="00B80BC3" w:rsidRPr="00925F26" w:rsidRDefault="00B80BC3" w:rsidP="00925F26">
      <w:pPr>
        <w:jc w:val="both"/>
        <w:rPr>
          <w:color w:val="000000" w:themeColor="text1"/>
          <w:sz w:val="16"/>
          <w:szCs w:val="16"/>
        </w:rPr>
      </w:pPr>
      <w:r w:rsidRPr="00925F26">
        <w:rPr>
          <w:color w:val="000000" w:themeColor="text1"/>
          <w:sz w:val="16"/>
          <w:szCs w:val="16"/>
        </w:rPr>
        <w:t>5.</w:t>
      </w:r>
      <w:r w:rsidRPr="00925F26">
        <w:rPr>
          <w:color w:val="000000" w:themeColor="text1"/>
          <w:sz w:val="16"/>
          <w:szCs w:val="16"/>
        </w:rPr>
        <w:tab/>
        <w:t>Кассеты вооружения АБКП-100</w:t>
      </w:r>
      <w:r w:rsidRPr="00925F26">
        <w:rPr>
          <w:color w:val="000000" w:themeColor="text1"/>
          <w:sz w:val="16"/>
          <w:szCs w:val="16"/>
        </w:rPr>
        <w:tab/>
        <w:t>шт.</w:t>
      </w:r>
      <w:r w:rsidRPr="00925F26">
        <w:rPr>
          <w:color w:val="000000" w:themeColor="text1"/>
          <w:sz w:val="16"/>
          <w:szCs w:val="16"/>
        </w:rPr>
        <w:tab/>
        <w:t>1075</w:t>
      </w:r>
      <w:r w:rsidRPr="00925F26">
        <w:rPr>
          <w:color w:val="000000" w:themeColor="text1"/>
          <w:sz w:val="16"/>
          <w:szCs w:val="16"/>
        </w:rPr>
        <w:tab/>
        <w:t>150</w:t>
      </w:r>
      <w:r w:rsidRPr="00925F26">
        <w:rPr>
          <w:color w:val="000000" w:themeColor="text1"/>
          <w:sz w:val="16"/>
          <w:szCs w:val="16"/>
        </w:rPr>
        <w:tab/>
        <w:t>234</w:t>
      </w:r>
      <w:r w:rsidRPr="00925F26">
        <w:rPr>
          <w:color w:val="000000" w:themeColor="text1"/>
          <w:sz w:val="16"/>
          <w:szCs w:val="16"/>
        </w:rPr>
        <w:tab/>
        <w:t>156, 0</w:t>
      </w:r>
      <w:r w:rsidRPr="00925F26">
        <w:rPr>
          <w:color w:val="000000" w:themeColor="text1"/>
          <w:sz w:val="16"/>
          <w:szCs w:val="16"/>
        </w:rPr>
        <w:tab/>
        <w:t>21,7</w:t>
      </w:r>
    </w:p>
    <w:p w14:paraId="6280BFDE" w14:textId="77777777" w:rsidR="00B80BC3" w:rsidRPr="00925F26" w:rsidRDefault="00B80BC3" w:rsidP="00925F26">
      <w:pPr>
        <w:jc w:val="both"/>
        <w:rPr>
          <w:color w:val="000000" w:themeColor="text1"/>
          <w:sz w:val="16"/>
          <w:szCs w:val="16"/>
        </w:rPr>
      </w:pPr>
      <w:r w:rsidRPr="00925F26">
        <w:rPr>
          <w:color w:val="000000" w:themeColor="text1"/>
          <w:sz w:val="16"/>
          <w:szCs w:val="16"/>
        </w:rPr>
        <w:t>6.</w:t>
      </w:r>
      <w:r w:rsidRPr="00925F26">
        <w:rPr>
          <w:color w:val="000000" w:themeColor="text1"/>
          <w:sz w:val="16"/>
          <w:szCs w:val="16"/>
        </w:rPr>
        <w:tab/>
        <w:t>Бомбодержатели</w:t>
      </w:r>
      <w:r w:rsidRPr="00925F26">
        <w:rPr>
          <w:color w:val="000000" w:themeColor="text1"/>
          <w:sz w:val="16"/>
          <w:szCs w:val="16"/>
        </w:rPr>
        <w:tab/>
        <w:t>ком.</w:t>
      </w:r>
      <w:r w:rsidRPr="00925F26">
        <w:rPr>
          <w:color w:val="000000" w:themeColor="text1"/>
          <w:sz w:val="16"/>
          <w:szCs w:val="16"/>
        </w:rPr>
        <w:tab/>
        <w:t>350</w:t>
      </w:r>
      <w:r w:rsidRPr="00925F26">
        <w:rPr>
          <w:color w:val="000000" w:themeColor="text1"/>
          <w:sz w:val="16"/>
          <w:szCs w:val="16"/>
        </w:rPr>
        <w:tab/>
        <w:t>12</w:t>
      </w:r>
      <w:r w:rsidRPr="00925F26">
        <w:rPr>
          <w:color w:val="000000" w:themeColor="text1"/>
          <w:sz w:val="16"/>
          <w:szCs w:val="16"/>
        </w:rPr>
        <w:tab/>
        <w:t>63</w:t>
      </w:r>
      <w:r w:rsidRPr="00925F26">
        <w:rPr>
          <w:color w:val="000000" w:themeColor="text1"/>
          <w:sz w:val="16"/>
          <w:szCs w:val="16"/>
        </w:rPr>
        <w:tab/>
        <w:t>525,0</w:t>
      </w:r>
      <w:r w:rsidRPr="00925F26">
        <w:rPr>
          <w:color w:val="000000" w:themeColor="text1"/>
          <w:sz w:val="16"/>
          <w:szCs w:val="16"/>
        </w:rPr>
        <w:tab/>
        <w:t>17,7</w:t>
      </w:r>
    </w:p>
    <w:p w14:paraId="004D98A5" w14:textId="77777777" w:rsidR="00B80BC3" w:rsidRPr="00925F26" w:rsidRDefault="00B80BC3" w:rsidP="00925F26">
      <w:pPr>
        <w:jc w:val="both"/>
        <w:rPr>
          <w:color w:val="000000" w:themeColor="text1"/>
          <w:sz w:val="16"/>
          <w:szCs w:val="16"/>
        </w:rPr>
      </w:pPr>
      <w:r w:rsidRPr="00925F26">
        <w:rPr>
          <w:color w:val="000000" w:themeColor="text1"/>
          <w:sz w:val="16"/>
          <w:szCs w:val="16"/>
        </w:rPr>
        <w:t>7.</w:t>
      </w:r>
      <w:r w:rsidRPr="00925F26">
        <w:rPr>
          <w:color w:val="000000" w:themeColor="text1"/>
          <w:sz w:val="16"/>
          <w:szCs w:val="16"/>
        </w:rPr>
        <w:tab/>
        <w:t>Шкворневые установки</w:t>
      </w:r>
      <w:r w:rsidRPr="00925F26">
        <w:rPr>
          <w:color w:val="000000" w:themeColor="text1"/>
          <w:sz w:val="16"/>
          <w:szCs w:val="16"/>
        </w:rPr>
        <w:tab/>
        <w:t>шт.</w:t>
      </w:r>
      <w:r w:rsidRPr="00925F26">
        <w:rPr>
          <w:color w:val="000000" w:themeColor="text1"/>
          <w:sz w:val="16"/>
          <w:szCs w:val="16"/>
        </w:rPr>
        <w:tab/>
        <w:t>305</w:t>
      </w:r>
      <w:r w:rsidRPr="00925F26">
        <w:rPr>
          <w:color w:val="000000" w:themeColor="text1"/>
          <w:sz w:val="16"/>
          <w:szCs w:val="16"/>
        </w:rPr>
        <w:tab/>
        <w:t>70</w:t>
      </w:r>
      <w:r w:rsidRPr="00925F26">
        <w:rPr>
          <w:color w:val="000000" w:themeColor="text1"/>
          <w:sz w:val="16"/>
          <w:szCs w:val="16"/>
        </w:rPr>
        <w:tab/>
        <w:t>160</w:t>
      </w:r>
      <w:r w:rsidRPr="00925F26">
        <w:rPr>
          <w:color w:val="000000" w:themeColor="text1"/>
          <w:sz w:val="16"/>
          <w:szCs w:val="16"/>
        </w:rPr>
        <w:tab/>
        <w:t>228, 6</w:t>
      </w:r>
      <w:r w:rsidRPr="00925F26">
        <w:rPr>
          <w:color w:val="000000" w:themeColor="text1"/>
          <w:sz w:val="16"/>
          <w:szCs w:val="16"/>
        </w:rPr>
        <w:tab/>
        <w:t>52,5</w:t>
      </w:r>
    </w:p>
    <w:p w14:paraId="3BE5A21F" w14:textId="77777777" w:rsidR="00B80BC3" w:rsidRPr="00925F26" w:rsidRDefault="00B80BC3" w:rsidP="00925F26">
      <w:pPr>
        <w:jc w:val="both"/>
        <w:rPr>
          <w:color w:val="000000" w:themeColor="text1"/>
          <w:sz w:val="16"/>
          <w:szCs w:val="16"/>
        </w:rPr>
      </w:pPr>
      <w:r w:rsidRPr="00925F26">
        <w:rPr>
          <w:color w:val="000000" w:themeColor="text1"/>
          <w:sz w:val="16"/>
          <w:szCs w:val="16"/>
        </w:rPr>
        <w:t>8.</w:t>
      </w:r>
      <w:r w:rsidRPr="00925F26">
        <w:rPr>
          <w:color w:val="000000" w:themeColor="text1"/>
          <w:sz w:val="16"/>
          <w:szCs w:val="16"/>
        </w:rPr>
        <w:tab/>
        <w:t>Бомбовые прицелы</w:t>
      </w:r>
      <w:r w:rsidRPr="00925F26">
        <w:rPr>
          <w:color w:val="000000" w:themeColor="text1"/>
          <w:sz w:val="16"/>
          <w:szCs w:val="16"/>
        </w:rPr>
        <w:tab/>
        <w:t>шт.</w:t>
      </w:r>
      <w:r w:rsidRPr="00925F26">
        <w:rPr>
          <w:color w:val="000000" w:themeColor="text1"/>
          <w:sz w:val="16"/>
          <w:szCs w:val="16"/>
        </w:rPr>
        <w:tab/>
        <w:t>1000</w:t>
      </w:r>
      <w:r w:rsidRPr="00925F26">
        <w:rPr>
          <w:color w:val="000000" w:themeColor="text1"/>
          <w:sz w:val="16"/>
          <w:szCs w:val="16"/>
        </w:rPr>
        <w:tab/>
        <w:t>2150</w:t>
      </w:r>
      <w:r w:rsidRPr="00925F26">
        <w:rPr>
          <w:color w:val="000000" w:themeColor="text1"/>
          <w:sz w:val="16"/>
          <w:szCs w:val="16"/>
        </w:rPr>
        <w:tab/>
        <w:t>2855</w:t>
      </w:r>
      <w:r w:rsidRPr="00925F26">
        <w:rPr>
          <w:color w:val="000000" w:themeColor="text1"/>
          <w:sz w:val="16"/>
          <w:szCs w:val="16"/>
        </w:rPr>
        <w:tab/>
        <w:t>132,8</w:t>
      </w:r>
      <w:r w:rsidRPr="00925F26">
        <w:rPr>
          <w:color w:val="000000" w:themeColor="text1"/>
          <w:sz w:val="16"/>
          <w:szCs w:val="16"/>
        </w:rPr>
        <w:tab/>
        <w:t>285,5</w:t>
      </w:r>
    </w:p>
    <w:p w14:paraId="7389513B" w14:textId="77777777" w:rsidR="00B80BC3" w:rsidRPr="00925F26" w:rsidRDefault="00B80BC3" w:rsidP="00925F26">
      <w:pPr>
        <w:jc w:val="both"/>
        <w:rPr>
          <w:color w:val="000000" w:themeColor="text1"/>
          <w:sz w:val="16"/>
          <w:szCs w:val="16"/>
        </w:rPr>
      </w:pPr>
      <w:r w:rsidRPr="00925F26">
        <w:rPr>
          <w:color w:val="000000" w:themeColor="text1"/>
          <w:sz w:val="16"/>
          <w:szCs w:val="16"/>
        </w:rPr>
        <w:t>...] За отчетный период завод имеет рост выпуска продукции в сравнении с фактическим выпуском за 1943 г. по сборке самолетов на 11,4%, по сдаче боеготовых самолетов на 8,5%, по выпуску групповых комплектов на 10,4%, по выпуску авиалыж на 11,1%.</w:t>
      </w:r>
    </w:p>
    <w:p w14:paraId="75FE4814" w14:textId="77777777" w:rsidR="00B80BC3" w:rsidRPr="00925F26" w:rsidRDefault="00B80BC3" w:rsidP="00925F26">
      <w:pPr>
        <w:jc w:val="both"/>
        <w:rPr>
          <w:color w:val="000000" w:themeColor="text1"/>
          <w:sz w:val="16"/>
          <w:szCs w:val="16"/>
        </w:rPr>
      </w:pPr>
      <w:r w:rsidRPr="00925F26">
        <w:rPr>
          <w:color w:val="000000" w:themeColor="text1"/>
          <w:sz w:val="16"/>
          <w:szCs w:val="16"/>
        </w:rPr>
        <w:t>В истекшем 1944 г. заводом освоено производство санитарно -грузовых кассет, дающих возможность использования самолета в грузовом и санитарном варианте. Начиная со 11-го квартала, выпущено 346 комплектов санитарно-грузовых кассет.</w:t>
      </w:r>
    </w:p>
    <w:p w14:paraId="37202D03" w14:textId="77777777" w:rsidR="00B80BC3" w:rsidRPr="00925F26" w:rsidRDefault="00B80BC3" w:rsidP="00925F26">
      <w:pPr>
        <w:jc w:val="both"/>
        <w:rPr>
          <w:color w:val="000000" w:themeColor="text1"/>
          <w:sz w:val="16"/>
          <w:szCs w:val="16"/>
        </w:rPr>
      </w:pPr>
      <w:r w:rsidRPr="00925F26">
        <w:rPr>
          <w:color w:val="000000" w:themeColor="text1"/>
          <w:sz w:val="16"/>
          <w:szCs w:val="16"/>
        </w:rPr>
        <w:t>Кроме того, за 1944 г. заводом проведена модернизация самолета, выразившаяся в оборудовании машины увеличенным фюзеляжным бензобаком на 200 литров вместо существовавших фюзеляжного и центропланного баков, оборудования самолета новой (взамен старой) шкворневой установкой под пулемет ДТ,</w:t>
      </w:r>
    </w:p>
    <w:p w14:paraId="686BAEC5" w14:textId="77777777" w:rsidR="00B80BC3" w:rsidRPr="00925F26" w:rsidRDefault="00B80BC3" w:rsidP="00925F26">
      <w:pPr>
        <w:jc w:val="both"/>
        <w:rPr>
          <w:color w:val="000000" w:themeColor="text1"/>
          <w:sz w:val="16"/>
          <w:szCs w:val="16"/>
        </w:rPr>
      </w:pPr>
      <w:r w:rsidRPr="00925F26">
        <w:rPr>
          <w:color w:val="000000" w:themeColor="text1"/>
          <w:sz w:val="16"/>
          <w:szCs w:val="16"/>
        </w:rPr>
        <w:t>дающей возможность ведения обстрела наземных целей с увеличенными углами обстрела, пистолетом-ракетницей, прицелом НПУ 2, позволяющим производить бомбометание с учетом скорости ветра и ряд других конструктивных изменений, направленных на улучшение летных и боевых качеств самолета общей численностью свыше 30.</w:t>
      </w:r>
      <w:r w:rsidRPr="00925F26">
        <w:rPr>
          <w:color w:val="000000" w:themeColor="text1"/>
          <w:sz w:val="16"/>
          <w:szCs w:val="16"/>
        </w:rPr>
        <w:tab/>
        <w:t>[...]</w:t>
      </w:r>
    </w:p>
    <w:p w14:paraId="061C9DE0" w14:textId="77777777" w:rsidR="00B80BC3" w:rsidRPr="00925F26" w:rsidRDefault="00B80BC3" w:rsidP="00925F26">
      <w:pPr>
        <w:jc w:val="both"/>
        <w:rPr>
          <w:color w:val="000000" w:themeColor="text1"/>
          <w:sz w:val="16"/>
          <w:szCs w:val="16"/>
        </w:rPr>
      </w:pPr>
      <w:r w:rsidRPr="00925F26">
        <w:rPr>
          <w:color w:val="000000" w:themeColor="text1"/>
          <w:sz w:val="16"/>
          <w:szCs w:val="16"/>
        </w:rPr>
        <w:t>Директор завода № 387</w:t>
      </w:r>
      <w:r w:rsidRPr="00925F26">
        <w:rPr>
          <w:color w:val="000000" w:themeColor="text1"/>
          <w:sz w:val="16"/>
          <w:szCs w:val="16"/>
        </w:rPr>
        <w:tab/>
        <w:t>И. В. Федин</w:t>
      </w:r>
    </w:p>
    <w:p w14:paraId="12E159D8" w14:textId="77777777" w:rsidR="00B80BC3" w:rsidRPr="00925F26" w:rsidRDefault="00B80BC3" w:rsidP="00925F26">
      <w:pPr>
        <w:jc w:val="both"/>
        <w:rPr>
          <w:color w:val="000000" w:themeColor="text1"/>
          <w:sz w:val="16"/>
          <w:szCs w:val="16"/>
        </w:rPr>
      </w:pPr>
      <w:r w:rsidRPr="00925F26">
        <w:rPr>
          <w:color w:val="000000" w:themeColor="text1"/>
          <w:sz w:val="16"/>
          <w:szCs w:val="16"/>
        </w:rPr>
        <w:t>НА РТ Ф. P-7483. On. 1. Д. 68. Л. 7 об.-2, 9. Отпуск (23901).</w:t>
      </w:r>
    </w:p>
    <w:p w14:paraId="6A40612C" w14:textId="77777777" w:rsidR="00B80BC3" w:rsidRPr="00925F26" w:rsidRDefault="00B80BC3" w:rsidP="00925F26">
      <w:pPr>
        <w:jc w:val="both"/>
        <w:rPr>
          <w:color w:val="000000" w:themeColor="text1"/>
          <w:sz w:val="16"/>
          <w:szCs w:val="16"/>
        </w:rPr>
      </w:pPr>
    </w:p>
    <w:p w14:paraId="1C5775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 января 1945 года нарком ВМФ Кузнецов писал письмо N 109сс Шахурину.</w:t>
      </w:r>
    </w:p>
    <w:p w14:paraId="624A14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Судостроительная промышленность приступила к проектированию совершенно нового для флота класса кораблей-авианосцев.</w:t>
      </w:r>
    </w:p>
    <w:p w14:paraId="4EF075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Размеры авианосцев, размещение на них ангаров и авиаслужб определяются, в основном, типом палубных самолетов.</w:t>
      </w:r>
    </w:p>
    <w:p w14:paraId="79E0C7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получения исходных данных, которые должны быть положены в основу проектов авианосцев, необходима предварительная разработка следующих типов палубных самолетов:</w:t>
      </w:r>
    </w:p>
    <w:p w14:paraId="3F4E46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Колесные самолеты:</w:t>
      </w:r>
    </w:p>
    <w:p w14:paraId="38ED00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Истребитель ПВО,</w:t>
      </w:r>
    </w:p>
    <w:p w14:paraId="772E60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Истребитель сопровождения (он же штурмовик и пикирующий бомбардировщик),</w:t>
      </w:r>
    </w:p>
    <w:p w14:paraId="493047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Многоцелевой самолет (торпедоносец-бомбардировщик-разведчик).</w:t>
      </w:r>
    </w:p>
    <w:p w14:paraId="5C4347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Летающая лодка:</w:t>
      </w:r>
    </w:p>
    <w:p w14:paraId="1C0B96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Разведчик и самолет аварийно-спасательной службы.</w:t>
      </w:r>
    </w:p>
    <w:p w14:paraId="039F2E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Геликоптер:</w:t>
      </w:r>
    </w:p>
    <w:p w14:paraId="0CD545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Для связи и противолодочного охранения.</w:t>
      </w:r>
    </w:p>
    <w:p w14:paraId="6CCAA8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Вас дать задания соответствующим конструкторским бюро НКАП разработать по технико-техническим требованиям ВВС ВМФ проекты указанных типов палубных самолетов, с тем чтобы по лучшим из них начать постройку опытных образцов во второй половине 1945 года.</w:t>
      </w:r>
    </w:p>
    <w:p w14:paraId="35AE63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Ваше решение прошу мне сообщить (2595).</w:t>
      </w:r>
    </w:p>
    <w:p w14:paraId="7E1FB625" w14:textId="77777777" w:rsidR="00C2313B" w:rsidRPr="00925F26" w:rsidRDefault="00C2313B" w:rsidP="00925F26">
      <w:pPr>
        <w:autoSpaceDE w:val="0"/>
        <w:autoSpaceDN w:val="0"/>
        <w:adjustRightInd w:val="0"/>
        <w:jc w:val="both"/>
        <w:rPr>
          <w:color w:val="000000" w:themeColor="text1"/>
          <w:sz w:val="16"/>
          <w:szCs w:val="16"/>
        </w:rPr>
      </w:pPr>
    </w:p>
    <w:p w14:paraId="219BB2D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D2980DB" w14:textId="77777777" w:rsidR="00C2313B" w:rsidRPr="00925F26" w:rsidRDefault="00C2313B" w:rsidP="00925F26">
      <w:pPr>
        <w:autoSpaceDE w:val="0"/>
        <w:autoSpaceDN w:val="0"/>
        <w:adjustRightInd w:val="0"/>
        <w:jc w:val="both"/>
        <w:rPr>
          <w:iCs/>
          <w:color w:val="000000" w:themeColor="text1"/>
          <w:sz w:val="16"/>
          <w:szCs w:val="16"/>
        </w:rPr>
      </w:pPr>
    </w:p>
    <w:p w14:paraId="6C4130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января 1945 г. вышел ПРИКАЗ НАЧАЛЬНИКА ГБТУ КА О НАЗНАЧЕНИИ КОМИССИИ ДЛЯ ПРОВЕДЕНИЯ ИСПЫТАНИЯ ТАНКОВОГО ПОДОГРЕВАТЕЛЯ №84</w:t>
      </w:r>
    </w:p>
    <w:p w14:paraId="1BF6D0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проведения испытаний танкового подогревателя ПДП-1 конструкции военной академии БТ и МВ КА им. Сталина назначить комиссию в составе:</w:t>
      </w:r>
    </w:p>
    <w:p w14:paraId="66B10C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начальник УЭТ ГБТУ КА генерал-майор инженерно-танковой службы</w:t>
      </w:r>
    </w:p>
    <w:p w14:paraId="3126B6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 Печеникин;</w:t>
      </w:r>
    </w:p>
    <w:p w14:paraId="35398C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члены: начальник УСА ГБТУ КА генерал-майор инженерно-танковой службы т. Алымов; начальник ТУ ГБТУ КА инженер-полковник т. Благонравов; начальник кафедры эксплуатации военной академии БТ и МВ КА; инженер-полковник т. Берзин; начальник главной инспекции НКТП СССР; генерал-майор инженерно-танковой службы т. Барыков; инженер-полковник т. Карпенко.</w:t>
      </w:r>
    </w:p>
    <w:p w14:paraId="7BCE97B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провести согласно прилагаемой программе.</w:t>
      </w:r>
    </w:p>
    <w:p w14:paraId="3F9FCD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Протокол испытания с заключением комиссии представить мне за подписями членов комиссии к 27.01.1945 г.</w:t>
      </w:r>
    </w:p>
    <w:p w14:paraId="7095EF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ГБТУ КА генерал-лейтенант танковых войск Вершинин</w:t>
      </w:r>
    </w:p>
    <w:p w14:paraId="4315D5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Программа испытаний танкового подогревателя ПДП-1 конструкции академии БТ и МВ КА</w:t>
      </w:r>
    </w:p>
    <w:p w14:paraId="379CAD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«Утверждаю» Начальник ГБТУ КА генерал-лейтенант танковых войск Вершинин</w:t>
      </w:r>
    </w:p>
    <w:p w14:paraId="10C427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Цель испытаний: определение эффективности подогревателя для решения вопроса о введении его на серийное производство для тяжелых и средних танков.</w:t>
      </w:r>
    </w:p>
    <w:p w14:paraId="5037C2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Вопросы, подлежащие освещению в процессе испытаний:</w:t>
      </w:r>
    </w:p>
    <w:p w14:paraId="06242F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Время разогрева подогревателем холодного двигателя танка до момента запуска двигателя нормальным пусковым устройством.</w:t>
      </w:r>
    </w:p>
    <w:p w14:paraId="35338D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Расход горючего для разогрева.</w:t>
      </w:r>
    </w:p>
    <w:p w14:paraId="15C71B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Надежность работы подогревателя.</w:t>
      </w:r>
    </w:p>
    <w:p w14:paraId="127893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Пожарная безопасность подогревателя.</w:t>
      </w:r>
    </w:p>
    <w:p w14:paraId="36BA37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Удобство обслуживания подогревателя экипажем танка.</w:t>
      </w:r>
    </w:p>
    <w:p w14:paraId="20FF0F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Материальное обеспечение испытаний:</w:t>
      </w:r>
    </w:p>
    <w:p w14:paraId="73F8F9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испытаний представляются 1 тяжелый танк и 1 танк Т-34-85, оборудованные подогревателя</w:t>
      </w:r>
      <w:r w:rsidRPr="00925F26">
        <w:rPr>
          <w:color w:val="000000" w:themeColor="text1"/>
          <w:sz w:val="16"/>
          <w:szCs w:val="16"/>
        </w:rPr>
        <w:softHyphen/>
        <w:t>ми ПДП-1. Танки должны быть снабжены брезентами. Система охлаждения танков должна быть за</w:t>
      </w:r>
      <w:r w:rsidRPr="00925F26">
        <w:rPr>
          <w:color w:val="000000" w:themeColor="text1"/>
          <w:sz w:val="16"/>
          <w:szCs w:val="16"/>
        </w:rPr>
        <w:softHyphen/>
        <w:t>правлена антифризом. В систему каждого танка должны быть включены аэротермометры для заме</w:t>
      </w:r>
      <w:r w:rsidRPr="00925F26">
        <w:rPr>
          <w:color w:val="000000" w:themeColor="text1"/>
          <w:sz w:val="16"/>
          <w:szCs w:val="16"/>
        </w:rPr>
        <w:softHyphen/>
        <w:t>ра температуры на входе антифриза в головки блоков двигателя и на выходе антифриза из рубашек блоков. Около стоянки танков должен иметься термометр для определения температуры воздуха.</w:t>
      </w:r>
    </w:p>
    <w:p w14:paraId="319792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11377. Д. 256. Л. 2-3. Подлинник.</w:t>
      </w:r>
    </w:p>
    <w:p w14:paraId="1ED7FC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УЭТ ГБТУ КА генерал-майор инженерно-танковой службы Печеникин (11420).</w:t>
      </w:r>
    </w:p>
    <w:p w14:paraId="5EF2B2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FC700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января 1945 г. вышел ОТЧЕТ О КОЛИЧЕСТВЕ ОТГРУЖЕННЫХ ТАНКОВ С ЗАВОДОВ ПРОМЫШЛЕННОСТИ ИНОСТРАННЫМ АРМИЯМ</w:t>
      </w:r>
    </w:p>
    <w:tbl>
      <w:tblPr>
        <w:tblW w:w="0" w:type="auto"/>
        <w:tblInd w:w="40" w:type="dxa"/>
        <w:tblLayout w:type="fixed"/>
        <w:tblCellMar>
          <w:left w:w="40" w:type="dxa"/>
          <w:right w:w="40" w:type="dxa"/>
        </w:tblCellMar>
        <w:tblLook w:val="0000" w:firstRow="0" w:lastRow="0" w:firstColumn="0" w:lastColumn="0" w:noHBand="0" w:noVBand="0"/>
      </w:tblPr>
      <w:tblGrid>
        <w:gridCol w:w="480"/>
        <w:gridCol w:w="816"/>
        <w:gridCol w:w="720"/>
        <w:gridCol w:w="720"/>
        <w:gridCol w:w="816"/>
        <w:gridCol w:w="845"/>
        <w:gridCol w:w="797"/>
        <w:gridCol w:w="787"/>
        <w:gridCol w:w="864"/>
        <w:gridCol w:w="845"/>
        <w:gridCol w:w="845"/>
        <w:gridCol w:w="1094"/>
      </w:tblGrid>
      <w:tr w:rsidR="000F5689" w:rsidRPr="00925F26" w14:paraId="7A4B6ED2" w14:textId="77777777">
        <w:trPr>
          <w:trHeight w:val="259"/>
        </w:trPr>
        <w:tc>
          <w:tcPr>
            <w:tcW w:w="480" w:type="dxa"/>
            <w:tcBorders>
              <w:top w:val="single" w:sz="6" w:space="0" w:color="auto"/>
              <w:left w:val="single" w:sz="6" w:space="0" w:color="auto"/>
              <w:bottom w:val="nil"/>
              <w:right w:val="single" w:sz="6" w:space="0" w:color="auto"/>
            </w:tcBorders>
          </w:tcPr>
          <w:p w14:paraId="307460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B9E42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0175CF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FB296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13977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49DCB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381" w:type="dxa"/>
            <w:gridSpan w:val="3"/>
            <w:tcBorders>
              <w:top w:val="single" w:sz="6" w:space="0" w:color="auto"/>
              <w:left w:val="single" w:sz="6" w:space="0" w:color="auto"/>
              <w:bottom w:val="single" w:sz="6" w:space="0" w:color="auto"/>
              <w:right w:val="single" w:sz="6" w:space="0" w:color="auto"/>
            </w:tcBorders>
          </w:tcPr>
          <w:p w14:paraId="248F47A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27BB93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448" w:type="dxa"/>
            <w:gridSpan w:val="3"/>
            <w:tcBorders>
              <w:top w:val="single" w:sz="6" w:space="0" w:color="auto"/>
              <w:left w:val="single" w:sz="6" w:space="0" w:color="auto"/>
              <w:bottom w:val="single" w:sz="6" w:space="0" w:color="auto"/>
              <w:right w:val="single" w:sz="6" w:space="0" w:color="auto"/>
            </w:tcBorders>
          </w:tcPr>
          <w:p w14:paraId="62291E5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5E7E1ED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784" w:type="dxa"/>
            <w:gridSpan w:val="3"/>
            <w:tcBorders>
              <w:top w:val="single" w:sz="6" w:space="0" w:color="auto"/>
              <w:left w:val="single" w:sz="6" w:space="0" w:color="auto"/>
              <w:bottom w:val="single" w:sz="6" w:space="0" w:color="auto"/>
              <w:right w:val="single" w:sz="6" w:space="0" w:color="auto"/>
            </w:tcBorders>
          </w:tcPr>
          <w:p w14:paraId="277168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отправлено на 1 .</w:t>
            </w:r>
            <w:proofErr w:type="gramStart"/>
            <w:r w:rsidRPr="00925F26">
              <w:rPr>
                <w:color w:val="000000" w:themeColor="text1"/>
                <w:sz w:val="16"/>
                <w:szCs w:val="16"/>
              </w:rPr>
              <w:t>01 .</w:t>
            </w:r>
            <w:proofErr w:type="gramEnd"/>
            <w:r w:rsidRPr="00925F26">
              <w:rPr>
                <w:color w:val="000000" w:themeColor="text1"/>
                <w:sz w:val="16"/>
                <w:szCs w:val="16"/>
              </w:rPr>
              <w:t xml:space="preserve"> 1 945 года</w:t>
            </w:r>
          </w:p>
          <w:p w14:paraId="44CCA7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7038D0E" w14:textId="77777777">
        <w:trPr>
          <w:trHeight w:val="202"/>
        </w:trPr>
        <w:tc>
          <w:tcPr>
            <w:tcW w:w="480" w:type="dxa"/>
            <w:tcBorders>
              <w:top w:val="nil"/>
              <w:left w:val="single" w:sz="6" w:space="0" w:color="auto"/>
              <w:bottom w:val="nil"/>
              <w:right w:val="single" w:sz="6" w:space="0" w:color="auto"/>
            </w:tcBorders>
          </w:tcPr>
          <w:p w14:paraId="3AE76F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BBA67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1915A5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 танков</w:t>
            </w:r>
          </w:p>
          <w:p w14:paraId="6E82E1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2E15AA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Един.</w:t>
            </w:r>
          </w:p>
          <w:p w14:paraId="103753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58AB7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w:t>
            </w:r>
          </w:p>
          <w:p w14:paraId="25C0DC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72D007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Стоимость</w:t>
            </w:r>
          </w:p>
          <w:p w14:paraId="31B70D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5685CA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Общая</w:t>
            </w:r>
          </w:p>
          <w:p w14:paraId="65C9367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733B0B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w:t>
            </w:r>
          </w:p>
          <w:p w14:paraId="3B382E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7552D59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Стоимость</w:t>
            </w:r>
          </w:p>
          <w:p w14:paraId="05D7FB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49E130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Общая</w:t>
            </w:r>
          </w:p>
          <w:p w14:paraId="5EFCDA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254AFBC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w:t>
            </w:r>
          </w:p>
          <w:p w14:paraId="48AA4F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48B890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Стоимость</w:t>
            </w:r>
          </w:p>
          <w:p w14:paraId="6B8014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2BA99E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Общая</w:t>
            </w:r>
          </w:p>
          <w:p w14:paraId="2525679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9244998" w14:textId="77777777">
        <w:trPr>
          <w:trHeight w:val="202"/>
        </w:trPr>
        <w:tc>
          <w:tcPr>
            <w:tcW w:w="480" w:type="dxa"/>
            <w:tcBorders>
              <w:top w:val="nil"/>
              <w:left w:val="single" w:sz="6" w:space="0" w:color="auto"/>
              <w:bottom w:val="nil"/>
              <w:right w:val="single" w:sz="6" w:space="0" w:color="auto"/>
            </w:tcBorders>
          </w:tcPr>
          <w:p w14:paraId="4E4728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AE2FA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10C328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9EA35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191324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учета</w:t>
            </w:r>
          </w:p>
          <w:p w14:paraId="0E6B1F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3EB3DA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чество</w:t>
            </w:r>
          </w:p>
          <w:p w14:paraId="14E47E8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1CD746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един.</w:t>
            </w:r>
          </w:p>
          <w:p w14:paraId="09AC289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2C9D95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стоимость</w:t>
            </w:r>
          </w:p>
          <w:p w14:paraId="3486B4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2EC2A7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чество</w:t>
            </w:r>
          </w:p>
          <w:p w14:paraId="7CA4D2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A22E5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един.</w:t>
            </w:r>
          </w:p>
          <w:p w14:paraId="07CB29E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18136A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стоимость</w:t>
            </w:r>
          </w:p>
          <w:p w14:paraId="3BF997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713DC88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чество</w:t>
            </w:r>
          </w:p>
          <w:p w14:paraId="6A42D1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207417E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един.</w:t>
            </w:r>
          </w:p>
          <w:p w14:paraId="20C591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5676FE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стоимость</w:t>
            </w:r>
          </w:p>
          <w:p w14:paraId="2E05A1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E4DE128" w14:textId="77777777">
        <w:trPr>
          <w:trHeight w:val="192"/>
        </w:trPr>
        <w:tc>
          <w:tcPr>
            <w:tcW w:w="480" w:type="dxa"/>
            <w:tcBorders>
              <w:top w:val="nil"/>
              <w:left w:val="single" w:sz="6" w:space="0" w:color="auto"/>
              <w:bottom w:val="single" w:sz="6" w:space="0" w:color="auto"/>
              <w:right w:val="single" w:sz="6" w:space="0" w:color="auto"/>
            </w:tcBorders>
          </w:tcPr>
          <w:p w14:paraId="702808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ACDF2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59E577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32090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236227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7963D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29BF49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A71AC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65E8F2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вт.р.</w:t>
            </w:r>
          </w:p>
          <w:p w14:paraId="34B2CD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4A7850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вт.р.</w:t>
            </w:r>
          </w:p>
          <w:p w14:paraId="04AECF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41578C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6ADE5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685C5B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вт.р.</w:t>
            </w:r>
          </w:p>
          <w:p w14:paraId="3A2744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F7357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вт.р.</w:t>
            </w:r>
          </w:p>
          <w:p w14:paraId="56F2641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2BF66B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7904A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6581B2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вт.р.</w:t>
            </w:r>
          </w:p>
          <w:p w14:paraId="3BB01E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6E944F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вт.р.</w:t>
            </w:r>
          </w:p>
          <w:p w14:paraId="4AB008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DFE2632" w14:textId="77777777">
        <w:trPr>
          <w:trHeight w:val="259"/>
        </w:trPr>
        <w:tc>
          <w:tcPr>
            <w:tcW w:w="6845" w:type="dxa"/>
            <w:gridSpan w:val="9"/>
            <w:tcBorders>
              <w:top w:val="single" w:sz="6" w:space="0" w:color="auto"/>
              <w:left w:val="single" w:sz="6" w:space="0" w:color="auto"/>
              <w:bottom w:val="single" w:sz="6" w:space="0" w:color="auto"/>
              <w:right w:val="single" w:sz="6" w:space="0" w:color="auto"/>
            </w:tcBorders>
          </w:tcPr>
          <w:p w14:paraId="6CC3A9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войскам Польши</w:t>
            </w:r>
          </w:p>
          <w:p w14:paraId="293A2D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2784" w:type="dxa"/>
            <w:gridSpan w:val="3"/>
            <w:tcBorders>
              <w:top w:val="single" w:sz="6" w:space="0" w:color="auto"/>
              <w:left w:val="single" w:sz="6" w:space="0" w:color="auto"/>
              <w:bottom w:val="single" w:sz="6" w:space="0" w:color="auto"/>
              <w:right w:val="single" w:sz="6" w:space="0" w:color="auto"/>
            </w:tcBorders>
          </w:tcPr>
          <w:p w14:paraId="37E3C0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767A3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0A3D4D6" w14:textId="77777777">
        <w:trPr>
          <w:trHeight w:val="192"/>
        </w:trPr>
        <w:tc>
          <w:tcPr>
            <w:tcW w:w="480" w:type="dxa"/>
            <w:tcBorders>
              <w:top w:val="single" w:sz="6" w:space="0" w:color="auto"/>
              <w:left w:val="single" w:sz="6" w:space="0" w:color="auto"/>
              <w:bottom w:val="nil"/>
              <w:right w:val="single" w:sz="6" w:space="0" w:color="auto"/>
            </w:tcBorders>
          </w:tcPr>
          <w:p w14:paraId="3A0C0E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B970E8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6D14A8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Т-34рад.</w:t>
            </w:r>
          </w:p>
          <w:p w14:paraId="4C9FB2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5826A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172CF2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25007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w:t>
            </w:r>
          </w:p>
          <w:p w14:paraId="434B7D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422463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171,23</w:t>
            </w:r>
          </w:p>
          <w:p w14:paraId="0911BD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0896C1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8390,27</w:t>
            </w:r>
          </w:p>
          <w:p w14:paraId="1A8955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219313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22669B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55564A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171,23</w:t>
            </w:r>
          </w:p>
          <w:p w14:paraId="6A80DD4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6CB61D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1369,84</w:t>
            </w:r>
          </w:p>
          <w:p w14:paraId="2198708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7020ED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w:t>
            </w:r>
          </w:p>
          <w:p w14:paraId="3A3FD7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E435E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171,23</w:t>
            </w:r>
          </w:p>
          <w:p w14:paraId="399D5C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64F643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9760,11</w:t>
            </w:r>
          </w:p>
          <w:p w14:paraId="56922B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71E3235" w14:textId="77777777">
        <w:trPr>
          <w:trHeight w:val="192"/>
        </w:trPr>
        <w:tc>
          <w:tcPr>
            <w:tcW w:w="480" w:type="dxa"/>
            <w:tcBorders>
              <w:top w:val="nil"/>
              <w:left w:val="single" w:sz="6" w:space="0" w:color="auto"/>
              <w:bottom w:val="nil"/>
              <w:right w:val="single" w:sz="6" w:space="0" w:color="auto"/>
            </w:tcBorders>
          </w:tcPr>
          <w:p w14:paraId="6828E8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047C24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2989D9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 лин.</w:t>
            </w:r>
          </w:p>
          <w:p w14:paraId="286D6F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959FA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5BEBEB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4ADB0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1647B1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577045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162,0</w:t>
            </w:r>
          </w:p>
          <w:p w14:paraId="0918B2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13760C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2430,0</w:t>
            </w:r>
          </w:p>
          <w:p w14:paraId="32C6AD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0B0098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0DA5B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3F31C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09D00E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0238B0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3DCDC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B16C1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12FF03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C2E23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162,0</w:t>
            </w:r>
          </w:p>
          <w:p w14:paraId="7112A6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73783D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2430,0</w:t>
            </w:r>
          </w:p>
          <w:p w14:paraId="66E2D5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A9C60EB" w14:textId="77777777">
        <w:trPr>
          <w:trHeight w:val="211"/>
        </w:trPr>
        <w:tc>
          <w:tcPr>
            <w:tcW w:w="480" w:type="dxa"/>
            <w:tcBorders>
              <w:top w:val="nil"/>
              <w:left w:val="single" w:sz="6" w:space="0" w:color="auto"/>
              <w:bottom w:val="nil"/>
              <w:right w:val="single" w:sz="6" w:space="0" w:color="auto"/>
            </w:tcBorders>
          </w:tcPr>
          <w:p w14:paraId="4C78F4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57458C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222DFB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Т-70 рад.</w:t>
            </w:r>
          </w:p>
          <w:p w14:paraId="591DF3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6D097C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200C22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C83B6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33F47B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45437E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63,27</w:t>
            </w:r>
          </w:p>
          <w:p w14:paraId="494E615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EF84F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506,16</w:t>
            </w:r>
          </w:p>
          <w:p w14:paraId="7721AE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623E74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10A59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52415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44A0A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0789F5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2AAAC0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78975D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61E989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75C3D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63,27</w:t>
            </w:r>
          </w:p>
          <w:p w14:paraId="08B06E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73999E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506,16</w:t>
            </w:r>
          </w:p>
          <w:p w14:paraId="67531D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61D7C9F" w14:textId="77777777">
        <w:trPr>
          <w:trHeight w:val="192"/>
        </w:trPr>
        <w:tc>
          <w:tcPr>
            <w:tcW w:w="480" w:type="dxa"/>
            <w:tcBorders>
              <w:top w:val="nil"/>
              <w:left w:val="single" w:sz="6" w:space="0" w:color="auto"/>
              <w:bottom w:val="nil"/>
              <w:right w:val="single" w:sz="6" w:space="0" w:color="auto"/>
            </w:tcBorders>
          </w:tcPr>
          <w:p w14:paraId="5C3F09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958EC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637C28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Т-70 лин.</w:t>
            </w:r>
          </w:p>
          <w:p w14:paraId="2D32271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781212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684DD9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D960E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50BEDDE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455441A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60,77</w:t>
            </w:r>
          </w:p>
          <w:p w14:paraId="4C66C5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1DBB93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364,62</w:t>
            </w:r>
          </w:p>
          <w:p w14:paraId="40086C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1E29BD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26167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DD384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69CAF0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63F4A2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B1275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4E2382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43644F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7A3B0D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60,77</w:t>
            </w:r>
          </w:p>
          <w:p w14:paraId="469059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2AC5E7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364,62</w:t>
            </w:r>
          </w:p>
          <w:p w14:paraId="055C6F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19501BF" w14:textId="77777777">
        <w:trPr>
          <w:trHeight w:val="192"/>
        </w:trPr>
        <w:tc>
          <w:tcPr>
            <w:tcW w:w="480" w:type="dxa"/>
            <w:tcBorders>
              <w:top w:val="nil"/>
              <w:left w:val="single" w:sz="6" w:space="0" w:color="auto"/>
              <w:bottom w:val="nil"/>
              <w:right w:val="single" w:sz="6" w:space="0" w:color="auto"/>
            </w:tcBorders>
          </w:tcPr>
          <w:p w14:paraId="7442C8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410D61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395475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ИС-122</w:t>
            </w:r>
          </w:p>
          <w:p w14:paraId="7825C3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5BC6F1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7A18AD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1FC1DD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B6CAB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430354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1D942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36EAFF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05EA8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7A79A3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w:t>
            </w:r>
          </w:p>
          <w:p w14:paraId="278BF1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3ECA818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250,0</w:t>
            </w:r>
          </w:p>
          <w:p w14:paraId="79D7F48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6CCBD8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15750,0</w:t>
            </w:r>
          </w:p>
          <w:p w14:paraId="6333CB9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5155C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w:t>
            </w:r>
          </w:p>
          <w:p w14:paraId="2F7971E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6112BB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250,0</w:t>
            </w:r>
          </w:p>
          <w:p w14:paraId="269EB4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317781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15750,0</w:t>
            </w:r>
          </w:p>
          <w:p w14:paraId="50B1018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699D21B" w14:textId="77777777">
        <w:trPr>
          <w:trHeight w:val="211"/>
        </w:trPr>
        <w:tc>
          <w:tcPr>
            <w:tcW w:w="480" w:type="dxa"/>
            <w:tcBorders>
              <w:top w:val="nil"/>
              <w:left w:val="single" w:sz="6" w:space="0" w:color="auto"/>
              <w:bottom w:val="single" w:sz="6" w:space="0" w:color="auto"/>
              <w:right w:val="single" w:sz="6" w:space="0" w:color="auto"/>
            </w:tcBorders>
          </w:tcPr>
          <w:p w14:paraId="3C70C4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4D2DFF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78AB8A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Т-34-85</w:t>
            </w:r>
          </w:p>
          <w:p w14:paraId="67E67A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FFD27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7DE7CF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11999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E16DF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1E8F680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E97BF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1E8BE0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73173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3F3B55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p w14:paraId="624535C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142D11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181,0</w:t>
            </w:r>
          </w:p>
          <w:p w14:paraId="1FFE649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7D649F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4164,0</w:t>
            </w:r>
          </w:p>
          <w:p w14:paraId="1851BF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1320EC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p w14:paraId="712791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15F8C5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181,0</w:t>
            </w:r>
          </w:p>
          <w:p w14:paraId="03ACB1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131BDE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4164,0</w:t>
            </w:r>
          </w:p>
          <w:p w14:paraId="2F2FC4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F6A91D6" w14:textId="77777777">
        <w:trPr>
          <w:trHeight w:val="182"/>
        </w:trPr>
        <w:tc>
          <w:tcPr>
            <w:tcW w:w="480" w:type="dxa"/>
            <w:tcBorders>
              <w:top w:val="single" w:sz="6" w:space="0" w:color="auto"/>
              <w:left w:val="single" w:sz="6" w:space="0" w:color="auto"/>
              <w:bottom w:val="single" w:sz="6" w:space="0" w:color="auto"/>
              <w:right w:val="single" w:sz="6" w:space="0" w:color="auto"/>
            </w:tcBorders>
          </w:tcPr>
          <w:p w14:paraId="661E2F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F1C84B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1C57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7E687A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926AE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BF23F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773C3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F1CB4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B3896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4ED1E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7C5DD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11691,05</w:t>
            </w:r>
          </w:p>
          <w:p w14:paraId="2CC1E4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57A33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C137F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31297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B38B2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931F7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21283,84</w:t>
            </w:r>
          </w:p>
          <w:p w14:paraId="4CEE5D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F9535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A21B8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AA918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419EF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205D1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32974,89</w:t>
            </w:r>
          </w:p>
          <w:p w14:paraId="743B3B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EBD4CF9" w14:textId="77777777">
        <w:trPr>
          <w:trHeight w:val="221"/>
        </w:trPr>
        <w:tc>
          <w:tcPr>
            <w:tcW w:w="9629" w:type="dxa"/>
            <w:gridSpan w:val="12"/>
            <w:tcBorders>
              <w:top w:val="single" w:sz="6" w:space="0" w:color="auto"/>
              <w:left w:val="single" w:sz="6" w:space="0" w:color="auto"/>
              <w:bottom w:val="single" w:sz="6" w:space="0" w:color="auto"/>
              <w:right w:val="single" w:sz="6" w:space="0" w:color="auto"/>
            </w:tcBorders>
          </w:tcPr>
          <w:p w14:paraId="566981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войскам Чехословакии</w:t>
            </w:r>
          </w:p>
          <w:p w14:paraId="288E86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8FF0CB2" w14:textId="77777777">
        <w:trPr>
          <w:trHeight w:val="192"/>
        </w:trPr>
        <w:tc>
          <w:tcPr>
            <w:tcW w:w="480" w:type="dxa"/>
            <w:tcBorders>
              <w:top w:val="single" w:sz="6" w:space="0" w:color="auto"/>
              <w:left w:val="single" w:sz="6" w:space="0" w:color="auto"/>
              <w:bottom w:val="nil"/>
              <w:right w:val="single" w:sz="6" w:space="0" w:color="auto"/>
            </w:tcBorders>
          </w:tcPr>
          <w:p w14:paraId="3F3EDF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6A0758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36D018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 рад.</w:t>
            </w:r>
          </w:p>
          <w:p w14:paraId="683ACE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314EC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44C661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098C191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5EABD5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011884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171,23</w:t>
            </w:r>
          </w:p>
          <w:p w14:paraId="24AF42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72878B0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1198,61</w:t>
            </w:r>
          </w:p>
          <w:p w14:paraId="54EE727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5AAAF1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B0F62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485395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99E73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5ECE92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5C927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0108AA3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447678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1001C6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171,23</w:t>
            </w:r>
          </w:p>
          <w:p w14:paraId="2F2B95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362352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1198,61</w:t>
            </w:r>
          </w:p>
          <w:p w14:paraId="04129C3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083803C3" w14:textId="77777777">
        <w:trPr>
          <w:trHeight w:val="192"/>
        </w:trPr>
        <w:tc>
          <w:tcPr>
            <w:tcW w:w="480" w:type="dxa"/>
            <w:tcBorders>
              <w:top w:val="nil"/>
              <w:left w:val="single" w:sz="6" w:space="0" w:color="auto"/>
              <w:bottom w:val="nil"/>
              <w:right w:val="single" w:sz="6" w:space="0" w:color="auto"/>
            </w:tcBorders>
          </w:tcPr>
          <w:p w14:paraId="4B96DD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75AA69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25B06F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Т-70 рад.</w:t>
            </w:r>
          </w:p>
          <w:p w14:paraId="7CA491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5067B7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35E74E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5B7EB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7BCB15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390028B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63,27</w:t>
            </w:r>
          </w:p>
          <w:p w14:paraId="5626E5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2D46C9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189,71</w:t>
            </w:r>
          </w:p>
          <w:p w14:paraId="0F9E23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40B712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A4C38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92AB9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723FE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2AE528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441C6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A78F7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6DAA3A6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368EB6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63,27</w:t>
            </w:r>
          </w:p>
          <w:p w14:paraId="1BF041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6B0FB09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189,71</w:t>
            </w:r>
          </w:p>
          <w:p w14:paraId="53F565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B092029" w14:textId="77777777">
        <w:trPr>
          <w:trHeight w:val="192"/>
        </w:trPr>
        <w:tc>
          <w:tcPr>
            <w:tcW w:w="480" w:type="dxa"/>
            <w:tcBorders>
              <w:top w:val="nil"/>
              <w:left w:val="single" w:sz="6" w:space="0" w:color="auto"/>
              <w:bottom w:val="single" w:sz="6" w:space="0" w:color="auto"/>
              <w:right w:val="single" w:sz="6" w:space="0" w:color="auto"/>
            </w:tcBorders>
          </w:tcPr>
          <w:p w14:paraId="67F506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3DF767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574342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Т-70 лин.</w:t>
            </w:r>
          </w:p>
          <w:p w14:paraId="4A582B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390BB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52752E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7486F0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77D370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058468F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60,77</w:t>
            </w:r>
          </w:p>
          <w:p w14:paraId="43BB78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0A14B10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182,31</w:t>
            </w:r>
          </w:p>
          <w:p w14:paraId="56D8FB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5D442E3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BAD22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5C072B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A0DF7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24CEE0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F824A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346338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5D81E0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5A7D03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60,77</w:t>
            </w:r>
          </w:p>
          <w:p w14:paraId="0904C8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178B6B8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182,31</w:t>
            </w:r>
          </w:p>
          <w:p w14:paraId="5AA8DB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F174BC9" w14:textId="77777777">
        <w:trPr>
          <w:trHeight w:val="202"/>
        </w:trPr>
        <w:tc>
          <w:tcPr>
            <w:tcW w:w="480" w:type="dxa"/>
            <w:tcBorders>
              <w:top w:val="single" w:sz="6" w:space="0" w:color="auto"/>
              <w:left w:val="single" w:sz="6" w:space="0" w:color="auto"/>
              <w:bottom w:val="single" w:sz="6" w:space="0" w:color="auto"/>
              <w:right w:val="single" w:sz="6" w:space="0" w:color="auto"/>
            </w:tcBorders>
          </w:tcPr>
          <w:p w14:paraId="482386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5E44E2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29622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04A8132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EF448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C7C85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0126A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D7AA2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4B145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FBC99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15202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1570,63</w:t>
            </w:r>
          </w:p>
          <w:p w14:paraId="722D44F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BA96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A29114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48900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6F365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9038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C9BA2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2F71C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D1696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68BAD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794F57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899AC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1570,63</w:t>
            </w:r>
          </w:p>
          <w:p w14:paraId="3A88D9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20739C1"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2BC3231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82688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94C40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7D626AB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A564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B00B6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5679B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2CD44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7D707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F4215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546BC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13261,68</w:t>
            </w:r>
          </w:p>
          <w:p w14:paraId="65B7AA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20EB8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9C517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1E43B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918CA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70F17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21283,84</w:t>
            </w:r>
          </w:p>
          <w:p w14:paraId="08F6F6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569B7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3AFD3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B4A1B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51FE1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31F53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34545,52</w:t>
            </w:r>
          </w:p>
          <w:p w14:paraId="43C5B0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3A3F64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Примечание: 1. Цены на танки указаны без стоимости вооружения, оптики и боеприпасов. 2. С каждым танком отправлено по три комплекта боеприпасов, соответствующих калибру установленного вооружения на танке.</w:t>
      </w:r>
    </w:p>
    <w:p w14:paraId="2D0F9A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ТУ ГБТУ КА инженер-полковник Муравич</w:t>
      </w:r>
    </w:p>
    <w:p w14:paraId="4AA09E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11355. Д. 663. Л. 16. Копия.</w:t>
      </w:r>
    </w:p>
    <w:p w14:paraId="0EF126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1 отдела ТУ ГБТУ КА инженер-полковник Егоров (11420).</w:t>
      </w:r>
    </w:p>
    <w:p w14:paraId="5468856A" w14:textId="77777777" w:rsidR="00C2313B" w:rsidRPr="00925F26" w:rsidRDefault="00C2313B" w:rsidP="00925F26">
      <w:pPr>
        <w:autoSpaceDE w:val="0"/>
        <w:autoSpaceDN w:val="0"/>
        <w:adjustRightInd w:val="0"/>
        <w:jc w:val="both"/>
        <w:rPr>
          <w:color w:val="000000" w:themeColor="text1"/>
          <w:sz w:val="16"/>
          <w:szCs w:val="16"/>
        </w:rPr>
      </w:pPr>
    </w:p>
    <w:p w14:paraId="48D32267" w14:textId="77777777" w:rsidR="00030351" w:rsidRPr="00925F26" w:rsidRDefault="00030351" w:rsidP="00925F26">
      <w:pPr>
        <w:widowControl w:val="0"/>
        <w:jc w:val="both"/>
        <w:rPr>
          <w:color w:val="000000" w:themeColor="text1"/>
          <w:sz w:val="16"/>
          <w:szCs w:val="16"/>
        </w:rPr>
      </w:pPr>
      <w:r w:rsidRPr="00925F26">
        <w:rPr>
          <w:color w:val="000000" w:themeColor="text1"/>
          <w:sz w:val="16"/>
          <w:szCs w:val="16"/>
        </w:rPr>
        <w:t xml:space="preserve">25 января 1945 года вышло распоряжение СНК СССР об изготовлении на автозаводе в </w:t>
      </w:r>
      <w:r w:rsidRPr="00925F26">
        <w:rPr>
          <w:color w:val="000000" w:themeColor="text1"/>
          <w:sz w:val="16"/>
          <w:szCs w:val="16"/>
          <w:lang w:val="en-US"/>
        </w:rPr>
        <w:t>I</w:t>
      </w:r>
      <w:r w:rsidRPr="00925F26">
        <w:rPr>
          <w:color w:val="000000" w:themeColor="text1"/>
          <w:sz w:val="16"/>
          <w:szCs w:val="16"/>
        </w:rPr>
        <w:t xml:space="preserve"> квартале </w:t>
      </w:r>
      <w:smartTag w:uri="urn:schemas-microsoft-com:office:smarttags" w:element="metricconverter">
        <w:smartTagPr>
          <w:attr w:name="ProductID" w:val="1945 г"/>
        </w:smartTagPr>
        <w:r w:rsidRPr="00925F26">
          <w:rPr>
            <w:color w:val="000000" w:themeColor="text1"/>
            <w:sz w:val="16"/>
            <w:szCs w:val="16"/>
          </w:rPr>
          <w:t>1945 г</w:t>
        </w:r>
      </w:smartTag>
      <w:r w:rsidRPr="00925F26">
        <w:rPr>
          <w:color w:val="000000" w:themeColor="text1"/>
          <w:sz w:val="16"/>
          <w:szCs w:val="16"/>
        </w:rPr>
        <w:t>. 4000 мотоциклетных колясок для укомплектования отечественных мотоциклов М-72 и импортных мотоциклов «Харли-Дэвидсон» (15218).</w:t>
      </w:r>
    </w:p>
    <w:p w14:paraId="66DB9CA9" w14:textId="77777777" w:rsidR="00030351" w:rsidRPr="00925F26" w:rsidRDefault="00030351" w:rsidP="00925F26">
      <w:pPr>
        <w:widowControl w:val="0"/>
        <w:jc w:val="both"/>
        <w:rPr>
          <w:color w:val="000000" w:themeColor="text1"/>
          <w:sz w:val="16"/>
          <w:szCs w:val="16"/>
        </w:rPr>
      </w:pPr>
    </w:p>
    <w:p w14:paraId="1215F808"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января 1945 вышло Распоряжение ГКО № 7387 [О пересмотре плана погрузки растительного масла по железным дорогам.] (7300, 108).</w:t>
      </w:r>
    </w:p>
    <w:p w14:paraId="6FD90F5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52D6A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 января 1945 вышло Распоряжение ГКО № 7388. О поставках стройматериалов на завод № 388 НКБ. РГАНИР, Фонд ГКО, д. 358, лл. 109 (11012).</w:t>
      </w:r>
    </w:p>
    <w:p w14:paraId="6A4A1D1B" w14:textId="77777777" w:rsidR="00C2313B" w:rsidRPr="00925F26" w:rsidRDefault="00C2313B" w:rsidP="00925F26">
      <w:pPr>
        <w:autoSpaceDE w:val="0"/>
        <w:autoSpaceDN w:val="0"/>
        <w:adjustRightInd w:val="0"/>
        <w:jc w:val="both"/>
        <w:rPr>
          <w:color w:val="000000" w:themeColor="text1"/>
          <w:sz w:val="16"/>
          <w:szCs w:val="16"/>
        </w:rPr>
      </w:pPr>
    </w:p>
    <w:p w14:paraId="384B916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января 1945 вышло Постановление ГКО № 7389 О поставке химического сырья, материалов и изделий для медицинской промышленности, эвакогоспиталей и лечебной сети Наркомздрава СССР в I квартале 1945 г. (7300, 110-114,115-137).</w:t>
      </w:r>
    </w:p>
    <w:p w14:paraId="46166BF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538E8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25 января 1945 г., по оценке американских экспертов, строительные работы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го­товности заводов составлял: завод №1 69%, №2 - 16%, №3 - 72%, №4 41</w:t>
      </w:r>
      <w:proofErr w:type="gramStart"/>
      <w:r w:rsidRPr="00925F26">
        <w:rPr>
          <w:color w:val="000000" w:themeColor="text1"/>
          <w:sz w:val="16"/>
          <w:szCs w:val="16"/>
        </w:rPr>
        <w:t>%.Поставки</w:t>
      </w:r>
      <w:proofErr w:type="gramEnd"/>
      <w:r w:rsidRPr="00925F26">
        <w:rPr>
          <w:color w:val="000000" w:themeColor="text1"/>
          <w:sz w:val="16"/>
          <w:szCs w:val="16"/>
        </w:rPr>
        <w:t xml:space="preserve"> из США продолжались летом 1945 г. (11475).</w:t>
      </w:r>
    </w:p>
    <w:p w14:paraId="533B72ED" w14:textId="77777777" w:rsidR="00C2313B" w:rsidRPr="00925F26" w:rsidRDefault="00C2313B" w:rsidP="00925F26">
      <w:pPr>
        <w:autoSpaceDE w:val="0"/>
        <w:autoSpaceDN w:val="0"/>
        <w:adjustRightInd w:val="0"/>
        <w:jc w:val="both"/>
        <w:rPr>
          <w:color w:val="000000" w:themeColor="text1"/>
          <w:sz w:val="16"/>
          <w:szCs w:val="16"/>
        </w:rPr>
      </w:pPr>
    </w:p>
    <w:p w14:paraId="2AB4C970" w14:textId="77777777" w:rsidR="007C7139" w:rsidRPr="00925F26" w:rsidRDefault="007C7139" w:rsidP="00925F26">
      <w:pPr>
        <w:jc w:val="both"/>
        <w:rPr>
          <w:color w:val="000000" w:themeColor="text1"/>
          <w:sz w:val="16"/>
          <w:szCs w:val="16"/>
        </w:rPr>
      </w:pPr>
      <w:r w:rsidRPr="00925F26">
        <w:rPr>
          <w:color w:val="000000" w:themeColor="text1"/>
          <w:sz w:val="16"/>
          <w:szCs w:val="16"/>
        </w:rPr>
        <w:t>На 25 января 1945 г., по оценке американских экспертов,  строительные ра</w:t>
      </w:r>
      <w:r w:rsidRPr="00925F26">
        <w:rPr>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925F26">
        <w:rPr>
          <w:color w:val="000000" w:themeColor="text1"/>
          <w:sz w:val="16"/>
          <w:szCs w:val="16"/>
        </w:rPr>
        <w:softHyphen/>
        <w:t>товности заводов составлял: завод №1 69%, №2 - 16%, №3 - 72%, №4 41%.Поставки из США продолжались ле</w:t>
      </w:r>
      <w:r w:rsidRPr="00925F26">
        <w:rPr>
          <w:color w:val="000000" w:themeColor="text1"/>
          <w:sz w:val="16"/>
          <w:szCs w:val="16"/>
        </w:rPr>
        <w:softHyphen/>
        <w:t>том 1945 г. 18 июня 1945 г. фирма «Баджер» сообщает зам. наркома нефтя</w:t>
      </w:r>
      <w:r w:rsidRPr="00925F26">
        <w:rPr>
          <w:color w:val="000000" w:themeColor="text1"/>
          <w:sz w:val="16"/>
          <w:szCs w:val="16"/>
        </w:rPr>
        <w:softHyphen/>
        <w:t>ной промышленности Чекрыжеву, что воздушные фильтры для турбокомпрес</w:t>
      </w:r>
      <w:r w:rsidRPr="00925F26">
        <w:rPr>
          <w:color w:val="000000" w:themeColor="text1"/>
          <w:sz w:val="16"/>
          <w:szCs w:val="16"/>
        </w:rPr>
        <w:softHyphen/>
        <w:t>соров «Гудри», а также масло для фильтров были отправлены двумя па</w:t>
      </w:r>
      <w:r w:rsidRPr="00925F26">
        <w:rPr>
          <w:color w:val="000000" w:themeColor="text1"/>
          <w:sz w:val="16"/>
          <w:szCs w:val="16"/>
        </w:rPr>
        <w:softHyphen/>
        <w:t>роходами и «Отдел Снабжения Амери</w:t>
      </w:r>
      <w:r w:rsidRPr="00925F26">
        <w:rPr>
          <w:color w:val="000000" w:themeColor="text1"/>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925F26">
        <w:rPr>
          <w:color w:val="000000" w:themeColor="text1"/>
          <w:sz w:val="16"/>
          <w:szCs w:val="16"/>
        </w:rPr>
        <w:softHyphen/>
        <w:t>тического крекинга «Гудри» был получен в Куйбышеве на заводе №443 8 сентября 1945 г. Позже было завер</w:t>
      </w:r>
      <w:r w:rsidRPr="00925F26">
        <w:rPr>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925F26">
        <w:rPr>
          <w:color w:val="000000" w:themeColor="text1"/>
          <w:sz w:val="16"/>
          <w:szCs w:val="16"/>
        </w:rPr>
        <w:softHyphen/>
        <w:t>ние, в том числе от фирм «Джонсон» и «Хенди». Отношения между СССР с США ста</w:t>
      </w:r>
      <w:r w:rsidRPr="00925F26">
        <w:rPr>
          <w:color w:val="000000" w:themeColor="text1"/>
          <w:sz w:val="16"/>
          <w:szCs w:val="16"/>
        </w:rPr>
        <w:softHyphen/>
        <w:t>ли быстро ухудшаться, и это чувствова</w:t>
      </w:r>
      <w:r w:rsidRPr="00925F26">
        <w:rPr>
          <w:color w:val="000000" w:themeColor="text1"/>
          <w:sz w:val="16"/>
          <w:szCs w:val="16"/>
        </w:rPr>
        <w:softHyphen/>
        <w:t>лось по переговорам о поставках обо</w:t>
      </w:r>
      <w:r w:rsidRPr="00925F26">
        <w:rPr>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925F26">
        <w:rPr>
          <w:color w:val="000000" w:themeColor="text1"/>
          <w:sz w:val="16"/>
          <w:szCs w:val="16"/>
        </w:rPr>
        <w:softHyphen/>
        <w:t>ме «Баджер» участвовать в строитель</w:t>
      </w:r>
      <w:r w:rsidRPr="00925F26">
        <w:rPr>
          <w:color w:val="000000" w:themeColor="text1"/>
          <w:sz w:val="16"/>
          <w:szCs w:val="16"/>
        </w:rPr>
        <w:softHyphen/>
        <w:t>стве второй очереди заводов №3 и 4. Ответ американской стороны, сделан</w:t>
      </w:r>
      <w:r w:rsidRPr="00925F26">
        <w:rPr>
          <w:color w:val="000000" w:themeColor="text1"/>
          <w:sz w:val="16"/>
          <w:szCs w:val="16"/>
        </w:rPr>
        <w:softHyphen/>
        <w:t>ный 29 октября 1945 г., носил неопре</w:t>
      </w:r>
      <w:r w:rsidRPr="00925F26">
        <w:rPr>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925F26">
        <w:rPr>
          <w:color w:val="000000" w:themeColor="text1"/>
          <w:sz w:val="16"/>
          <w:szCs w:val="16"/>
        </w:rPr>
        <w:softHyphen/>
        <w:t>кома нефтяной промышленности Н.М. Чекрыжева: «Недавно Вы запра</w:t>
      </w:r>
      <w:r w:rsidRPr="00925F26">
        <w:rPr>
          <w:color w:val="000000" w:themeColor="text1"/>
          <w:sz w:val="16"/>
          <w:szCs w:val="16"/>
        </w:rPr>
        <w:softHyphen/>
        <w:t>шивали у меня сведения об отправке солевых трубок для завода №2. Сегод</w:t>
      </w:r>
      <w:r w:rsidRPr="00925F26">
        <w:rPr>
          <w:color w:val="000000" w:themeColor="text1"/>
          <w:sz w:val="16"/>
          <w:szCs w:val="16"/>
        </w:rPr>
        <w:softHyphen/>
        <w:t>ня я получил сообщение, что эти труб</w:t>
      </w:r>
      <w:r w:rsidRPr="00925F26">
        <w:rPr>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 В декабре 1945 г. деловые контакты между Особой группой при наркоме нефтяной промышленности и фирмой «Е.В. Badger and Sons Co» продолжа</w:t>
      </w:r>
      <w:r w:rsidRPr="00925F26">
        <w:rPr>
          <w:color w:val="000000" w:themeColor="text1"/>
          <w:sz w:val="16"/>
          <w:szCs w:val="16"/>
        </w:rPr>
        <w:softHyphen/>
        <w:t>лись. Но для поставок требовались санкции правительства США, а полу</w:t>
      </w:r>
      <w:r w:rsidRPr="00925F26">
        <w:rPr>
          <w:color w:val="000000" w:themeColor="text1"/>
          <w:sz w:val="16"/>
          <w:szCs w:val="16"/>
        </w:rPr>
        <w:softHyphen/>
        <w:t>чить их становилось все труднее. В апреле 1947 г. в США выезжала Комиссия Миннефтепрома восточных районов СССР для ведения перегово</w:t>
      </w:r>
      <w:r w:rsidRPr="00925F26">
        <w:rPr>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 Подводя итоги, можно сказать, что поставки высокооктанового бензина и компонентов для его производства име</w:t>
      </w:r>
      <w:r w:rsidRPr="00925F26">
        <w:rPr>
          <w:color w:val="000000" w:themeColor="text1"/>
          <w:sz w:val="16"/>
          <w:szCs w:val="16"/>
        </w:rPr>
        <w:softHyphen/>
        <w:t>ли для СССР большое значение; всеми другими нефтепродуктами (за исключе</w:t>
      </w:r>
      <w:r w:rsidRPr="00925F26">
        <w:rPr>
          <w:color w:val="000000" w:themeColor="text1"/>
          <w:sz w:val="16"/>
          <w:szCs w:val="16"/>
        </w:rPr>
        <w:softHyphen/>
        <w:t>нием некоторых видов смазок) Совет</w:t>
      </w:r>
      <w:r w:rsidRPr="00925F26">
        <w:rPr>
          <w:color w:val="000000" w:themeColor="text1"/>
          <w:sz w:val="16"/>
          <w:szCs w:val="16"/>
        </w:rPr>
        <w:softHyphen/>
        <w:t>ский Союз обеспечивал себя почти пол</w:t>
      </w:r>
      <w:r w:rsidRPr="00925F26">
        <w:rPr>
          <w:color w:val="000000" w:themeColor="text1"/>
          <w:sz w:val="16"/>
          <w:szCs w:val="16"/>
        </w:rPr>
        <w:softHyphen/>
        <w:t>ностью. Советские заводы по производству аналогичного оборудова</w:t>
      </w:r>
      <w:r w:rsidRPr="00925F26">
        <w:rPr>
          <w:color w:val="000000" w:themeColor="text1"/>
          <w:sz w:val="16"/>
          <w:szCs w:val="16"/>
        </w:rPr>
        <w:softHyphen/>
        <w:t>ния были в значительной мере пере</w:t>
      </w:r>
      <w:r w:rsidRPr="00925F26">
        <w:rPr>
          <w:color w:val="000000" w:themeColor="text1"/>
          <w:sz w:val="16"/>
          <w:szCs w:val="16"/>
        </w:rPr>
        <w:softHyphen/>
        <w:t>ориентированы на выпуск оборонной продукции, поэтому американские по</w:t>
      </w:r>
      <w:r w:rsidRPr="00925F26">
        <w:rPr>
          <w:color w:val="000000" w:themeColor="text1"/>
          <w:sz w:val="16"/>
          <w:szCs w:val="16"/>
        </w:rPr>
        <w:softHyphen/>
        <w:t>ставки были весьма полезны (15488).</w:t>
      </w:r>
    </w:p>
    <w:p w14:paraId="74A09145" w14:textId="77777777" w:rsidR="007C7139" w:rsidRPr="00925F26" w:rsidRDefault="007C7139" w:rsidP="00925F26">
      <w:pPr>
        <w:jc w:val="both"/>
        <w:rPr>
          <w:color w:val="000000" w:themeColor="text1"/>
          <w:sz w:val="16"/>
          <w:szCs w:val="16"/>
        </w:rPr>
      </w:pPr>
    </w:p>
    <w:p w14:paraId="4EF1FE2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4AEE76B" w14:textId="77777777" w:rsidR="00C2313B" w:rsidRPr="00925F26" w:rsidRDefault="00C2313B" w:rsidP="00925F26">
      <w:pPr>
        <w:autoSpaceDE w:val="0"/>
        <w:autoSpaceDN w:val="0"/>
        <w:adjustRightInd w:val="0"/>
        <w:jc w:val="both"/>
        <w:rPr>
          <w:iCs/>
          <w:color w:val="000000" w:themeColor="text1"/>
          <w:sz w:val="16"/>
          <w:szCs w:val="16"/>
        </w:rPr>
      </w:pPr>
    </w:p>
    <w:p w14:paraId="34F0CCE3" w14:textId="77777777" w:rsidR="00030351" w:rsidRPr="00925F26" w:rsidRDefault="00030351" w:rsidP="00925F26">
      <w:pPr>
        <w:jc w:val="both"/>
        <w:rPr>
          <w:color w:val="000000" w:themeColor="text1"/>
          <w:sz w:val="16"/>
          <w:szCs w:val="16"/>
        </w:rPr>
      </w:pPr>
      <w:r w:rsidRPr="00925F26">
        <w:rPr>
          <w:bCs/>
          <w:color w:val="000000" w:themeColor="text1"/>
          <w:sz w:val="16"/>
          <w:szCs w:val="16"/>
        </w:rPr>
        <w:t>25 января</w:t>
      </w:r>
      <w:r w:rsidRPr="00925F26">
        <w:rPr>
          <w:color w:val="000000" w:themeColor="text1"/>
          <w:sz w:val="16"/>
          <w:szCs w:val="16"/>
        </w:rPr>
        <w:t xml:space="preserve"> в 1945 году оперативная сводка Совинформбюро:</w:t>
      </w:r>
    </w:p>
    <w:p w14:paraId="14F0F237" w14:textId="77777777" w:rsidR="00030351" w:rsidRPr="00925F26" w:rsidRDefault="00030351" w:rsidP="00925F26">
      <w:pPr>
        <w:jc w:val="both"/>
        <w:rPr>
          <w:color w:val="000000" w:themeColor="text1"/>
          <w:sz w:val="16"/>
          <w:szCs w:val="16"/>
        </w:rPr>
      </w:pPr>
      <w:r w:rsidRPr="00925F26">
        <w:rPr>
          <w:color w:val="000000" w:themeColor="text1"/>
          <w:sz w:val="16"/>
          <w:szCs w:val="16"/>
        </w:rPr>
        <w:t>«В течение 25 января в Восточной Пруссии западнее и юго-западнее города Инстербург наши войска с боями заняли более 300 населённых пунктов, в том числе крупные населённые пункты Гросс Шарлак, Гольдбах, Штаркенберг, Фридрихсдорф, Гросс Плауен, Мауенфельде, Клайнгние, Ройшенфельд, Фюрстенау и железнодорожные станции Айзерваген, Бокеллен, Ольшевен, Приновен.</w:t>
      </w:r>
    </w:p>
    <w:p w14:paraId="7A88E1F9" w14:textId="77777777" w:rsidR="00030351" w:rsidRPr="00925F26" w:rsidRDefault="00030351" w:rsidP="00925F26">
      <w:pPr>
        <w:jc w:val="both"/>
        <w:rPr>
          <w:color w:val="000000" w:themeColor="text1"/>
          <w:sz w:val="16"/>
          <w:szCs w:val="16"/>
        </w:rPr>
      </w:pPr>
      <w:r w:rsidRPr="00925F26">
        <w:rPr>
          <w:color w:val="000000" w:themeColor="text1"/>
          <w:sz w:val="16"/>
          <w:szCs w:val="16"/>
        </w:rPr>
        <w:t>Западнее и юго-западнее города Ликк наши войска, с боями продвигаясь вперёд, овладели на территории Восточной Пруссии городами Дригаллен, Арис, Иоганнисбург и заняли более 150 других населённых пунктов, среди которых крупные населённые пункты Гросс Конопкен, Росткен, Фридрихсхоф, Фаринен, Швентайнен.</w:t>
      </w:r>
    </w:p>
    <w:p w14:paraId="7051FDEC" w14:textId="77777777" w:rsidR="00030351" w:rsidRPr="00925F26" w:rsidRDefault="00030351" w:rsidP="00925F26">
      <w:pPr>
        <w:jc w:val="both"/>
        <w:rPr>
          <w:color w:val="000000" w:themeColor="text1"/>
          <w:sz w:val="16"/>
          <w:szCs w:val="16"/>
        </w:rPr>
      </w:pPr>
      <w:r w:rsidRPr="00925F26">
        <w:rPr>
          <w:color w:val="000000" w:themeColor="text1"/>
          <w:sz w:val="16"/>
          <w:szCs w:val="16"/>
        </w:rPr>
        <w:t>Северо-западнее и западнее города Алленштайн наши войска, продолжая наступление, овладели в западной части Восточной Пруссии городами Либштадт, Пройсишес-Холлянд, Христбург, а также с боями заняли более 250 других населённых пунктов, в том числе крупные населённые пункты Райхвальде, Хермсдорф, Бринсдорф, Баумгарт, Николайкен.</w:t>
      </w:r>
    </w:p>
    <w:p w14:paraId="1487394D" w14:textId="77777777" w:rsidR="00030351" w:rsidRPr="00925F26" w:rsidRDefault="00030351" w:rsidP="00925F26">
      <w:pPr>
        <w:jc w:val="both"/>
        <w:rPr>
          <w:color w:val="000000" w:themeColor="text1"/>
          <w:sz w:val="16"/>
          <w:szCs w:val="16"/>
        </w:rPr>
      </w:pPr>
      <w:r w:rsidRPr="00925F26">
        <w:rPr>
          <w:color w:val="000000" w:themeColor="text1"/>
          <w:sz w:val="16"/>
          <w:szCs w:val="16"/>
        </w:rPr>
        <w:t>На Познанском направлении наши войска с боем овладели городами Эксин, Эльзенау, Маркштедт, Мурована-Госьлина, Пудевиц, Косчин, Шверзенц, Милослав, Шрода, Нойштадт, Жеркув, Яроцин, а также заняли более 650 других населённых пунктов.</w:t>
      </w:r>
    </w:p>
    <w:p w14:paraId="22AE0E79" w14:textId="77777777" w:rsidR="00030351" w:rsidRPr="00925F26" w:rsidRDefault="00030351" w:rsidP="00925F26">
      <w:pPr>
        <w:jc w:val="both"/>
        <w:rPr>
          <w:color w:val="000000" w:themeColor="text1"/>
          <w:sz w:val="16"/>
          <w:szCs w:val="16"/>
        </w:rPr>
      </w:pPr>
      <w:r w:rsidRPr="00925F26">
        <w:rPr>
          <w:color w:val="000000" w:themeColor="text1"/>
          <w:sz w:val="16"/>
          <w:szCs w:val="16"/>
        </w:rPr>
        <w:t>Войска 1-го Украинского фронта, продолжая успешное наступление, к исходу дня 24 января штурмом овладели крупным центром Силезского промышленного района Германии городом Глейвиц, превращенным немцами в мощный узел обороны. Одновременно в Польше войска фронта с боями заняли город Хжанув—один из крупных районов Домбровского угольного бассейна. К исходу 25 января войска фронта овладели на территории Польши городом Острув и в немецкой Силезии городом Ельс — важными узлами железных дорог и опорными пунктами обороны немцев, а также с боем заняли город Явожно и более 150 других населённых пунктов. Нашими войсками взят в плен командир 10-й моторизованной дивизии немцев полковник Виаль.</w:t>
      </w:r>
    </w:p>
    <w:p w14:paraId="0A6E0716" w14:textId="77777777" w:rsidR="00030351" w:rsidRPr="00925F26" w:rsidRDefault="00030351" w:rsidP="00925F26">
      <w:pPr>
        <w:jc w:val="both"/>
        <w:rPr>
          <w:color w:val="000000" w:themeColor="text1"/>
          <w:sz w:val="16"/>
          <w:szCs w:val="16"/>
        </w:rPr>
      </w:pPr>
      <w:r w:rsidRPr="00925F26">
        <w:rPr>
          <w:color w:val="000000" w:themeColor="text1"/>
          <w:sz w:val="16"/>
          <w:szCs w:val="16"/>
        </w:rPr>
        <w:t>Юго-западнее Кракова наши войска с боями заняли населённые пункты Рычув, Клеча-Дольна, Ярошовице, Кшешуб, Ляс, Курув и железнодорожную станцию Клеча.</w:t>
      </w:r>
    </w:p>
    <w:p w14:paraId="3A128347" w14:textId="77777777" w:rsidR="00030351" w:rsidRPr="00925F26" w:rsidRDefault="00030351" w:rsidP="00925F26">
      <w:pPr>
        <w:jc w:val="both"/>
        <w:rPr>
          <w:color w:val="000000" w:themeColor="text1"/>
          <w:sz w:val="16"/>
          <w:szCs w:val="16"/>
        </w:rPr>
      </w:pPr>
      <w:r w:rsidRPr="00925F26">
        <w:rPr>
          <w:color w:val="000000" w:themeColor="text1"/>
          <w:sz w:val="16"/>
          <w:szCs w:val="16"/>
        </w:rPr>
        <w:t>Северо-западнее и западнее города Кошице наши войска, действуя в трудных условиях горно-лесистой местности в полосе Карпат, с боями заняли на территории: Чехословакии населённые пункты Фольварк, Подолинэц, Брутовце, Кромпахи, Порач, Завадка, Смольник.</w:t>
      </w:r>
    </w:p>
    <w:p w14:paraId="7342FBAE" w14:textId="77777777" w:rsidR="00030351" w:rsidRPr="00925F26" w:rsidRDefault="00030351" w:rsidP="00925F26">
      <w:pPr>
        <w:jc w:val="both"/>
        <w:rPr>
          <w:color w:val="000000" w:themeColor="text1"/>
          <w:sz w:val="16"/>
          <w:szCs w:val="16"/>
        </w:rPr>
      </w:pPr>
      <w:r w:rsidRPr="00925F26">
        <w:rPr>
          <w:color w:val="000000" w:themeColor="text1"/>
          <w:sz w:val="16"/>
          <w:szCs w:val="16"/>
        </w:rPr>
        <w:t>В Будапеште наши войска вели бои по уничтожению гарнизона противника, окружённого в западной части города (БУДА), и заняли 10 кварталов.</w:t>
      </w:r>
    </w:p>
    <w:p w14:paraId="6BBE2796" w14:textId="77777777" w:rsidR="00030351" w:rsidRPr="00925F26" w:rsidRDefault="00030351" w:rsidP="00925F26">
      <w:pPr>
        <w:jc w:val="both"/>
        <w:rPr>
          <w:color w:val="000000" w:themeColor="text1"/>
          <w:sz w:val="16"/>
          <w:szCs w:val="16"/>
        </w:rPr>
      </w:pPr>
      <w:r w:rsidRPr="00925F26">
        <w:rPr>
          <w:color w:val="000000" w:themeColor="text1"/>
          <w:sz w:val="16"/>
          <w:szCs w:val="16"/>
        </w:rPr>
        <w:t>Юго-западнее Будапешта наши войска успешно отбили атаки пехоты и танков противника.</w:t>
      </w:r>
    </w:p>
    <w:p w14:paraId="79019C8D" w14:textId="77777777" w:rsidR="00030351" w:rsidRPr="00925F26" w:rsidRDefault="00030351" w:rsidP="00925F26">
      <w:pPr>
        <w:jc w:val="both"/>
        <w:rPr>
          <w:color w:val="000000" w:themeColor="text1"/>
          <w:sz w:val="16"/>
          <w:szCs w:val="16"/>
        </w:rPr>
      </w:pPr>
      <w:r w:rsidRPr="00925F26">
        <w:rPr>
          <w:color w:val="000000" w:themeColor="text1"/>
          <w:sz w:val="16"/>
          <w:szCs w:val="16"/>
        </w:rPr>
        <w:t>За 24 января наши войска на всех фронтах подбили и уничтожили 68 немецких танков, из них 49 юго-западнее Будапешта. В воздушных боях и огнём зенитной артиллерии сбит 21 самолёт противника.</w:t>
      </w:r>
    </w:p>
    <w:p w14:paraId="4DDFBF30" w14:textId="77777777" w:rsidR="00030351" w:rsidRPr="00925F26" w:rsidRDefault="00030351" w:rsidP="00925F26">
      <w:pPr>
        <w:jc w:val="both"/>
        <w:rPr>
          <w:color w:val="000000" w:themeColor="text1"/>
          <w:sz w:val="16"/>
          <w:szCs w:val="16"/>
        </w:rPr>
      </w:pPr>
      <w:r w:rsidRPr="00925F26">
        <w:rPr>
          <w:color w:val="000000" w:themeColor="text1"/>
          <w:sz w:val="16"/>
          <w:szCs w:val="16"/>
        </w:rPr>
        <w:t>В Восточной Пруссии западнее города Инстербург наши войска с боями продвигались вперёд. Советская пехота и танки, при мощной поддержке артиллерии, сломили сопротивление немцев и заняли несколько сильно укреплённых узлов сопротивления противника. Гитлеровцы выбиты из населённого пункта Штаркенберг, расположенного в 27 километрах восточнее Кенигсберга. Юго-западнее города Инстербург противник предпринимал ожесточённые контратаки, но был отброшен с большими для него потерями. В течение дня советские войска заняли более трёхсот населённых пунктов. В районе одного крупного населённого пункта бойцы Н-ской части окружили и уничтожили до батальона немецкой пехоты. Захвачено 12 немецких самолётов, 15 орудий и другие трофеи.</w:t>
      </w:r>
    </w:p>
    <w:p w14:paraId="1BB678EB" w14:textId="77777777" w:rsidR="00030351" w:rsidRPr="00925F26" w:rsidRDefault="00030351" w:rsidP="00925F26">
      <w:pPr>
        <w:jc w:val="both"/>
        <w:rPr>
          <w:color w:val="000000" w:themeColor="text1"/>
          <w:sz w:val="16"/>
          <w:szCs w:val="16"/>
        </w:rPr>
      </w:pPr>
      <w:r w:rsidRPr="00925F26">
        <w:rPr>
          <w:color w:val="000000" w:themeColor="text1"/>
          <w:sz w:val="16"/>
          <w:szCs w:val="16"/>
        </w:rPr>
        <w:t>Западнее и юго-западнее города Ликк на территории Восточной Пруссии наши войска продолжали наступление. Части Н-ского соединения, действующие в трудных условиях озёрно-болотистой местности, с боями продвинулись вперёд до 20 километров. Стремительными ударами наши бойцы ликвидировали все попытки противника задержаться на промежуточных рубежах. Преодолевая упорное сопротивление немцев, наши войска овладели городами Дригаллен, Арис и Иоганнисбург. В боях за эти города уничтожено свыше 1.000 вражеских солдат и офицеров. Разгромлен 109-й немецкий пехотный полк. Командир полка с группой солдат и офицеров взят в плен.</w:t>
      </w:r>
    </w:p>
    <w:p w14:paraId="4249991A" w14:textId="77777777" w:rsidR="00030351" w:rsidRPr="00925F26" w:rsidRDefault="00030351" w:rsidP="00925F26">
      <w:pPr>
        <w:jc w:val="both"/>
        <w:rPr>
          <w:color w:val="000000" w:themeColor="text1"/>
          <w:sz w:val="16"/>
          <w:szCs w:val="16"/>
        </w:rPr>
      </w:pPr>
      <w:r w:rsidRPr="00925F26">
        <w:rPr>
          <w:color w:val="000000" w:themeColor="text1"/>
          <w:sz w:val="16"/>
          <w:szCs w:val="16"/>
        </w:rPr>
        <w:t>Наши бойцы освободили 400 мирных советских граждан — жителей Ленинградской области, насильно угнанных немцами на каторгу в Германию.</w:t>
      </w:r>
    </w:p>
    <w:p w14:paraId="1C834A19" w14:textId="77777777" w:rsidR="00030351" w:rsidRPr="00925F26" w:rsidRDefault="00030351" w:rsidP="00925F26">
      <w:pPr>
        <w:jc w:val="both"/>
        <w:rPr>
          <w:color w:val="000000" w:themeColor="text1"/>
          <w:sz w:val="16"/>
          <w:szCs w:val="16"/>
        </w:rPr>
      </w:pPr>
      <w:r w:rsidRPr="00925F26">
        <w:rPr>
          <w:color w:val="000000" w:themeColor="text1"/>
          <w:sz w:val="16"/>
          <w:szCs w:val="16"/>
        </w:rPr>
        <w:t>На Познанском направлении наши войска развивали наступление. Советские танки и мотопехота, с боями продвигаясь вперед, окружили группу противника в районе города Маркштедт. Гитлеровцы оказали сопротивление и были полностью ликвидированы. На месте боя осталось свыше 400 вражеских трупов. Наши войска выбили немцев из города Мурована-Госьлина, находящегося в 18 километрах севернее Познани. Занят также город Шверзенц, расположенный в 8 километрах восточнее Познани. За день боёв уничтожено более 1.200 гитлеровцев. Захвачено у немцев 5 паровозов, свыше 100 вагонов с военными грузами, склады боеприпасов, 200 автомашин, 50 тягачей и много вооружения. В лесах недалеко от города Калиш советские части разгромили колонну немецких войск. На месте боя остались сотни вражеских трупов, 500 немцев прекратили сопротивление и взяты в плен.</w:t>
      </w:r>
    </w:p>
    <w:p w14:paraId="73BE57C7" w14:textId="77777777" w:rsidR="00030351" w:rsidRPr="00925F26" w:rsidRDefault="00030351" w:rsidP="00925F26">
      <w:pPr>
        <w:jc w:val="both"/>
        <w:rPr>
          <w:color w:val="000000" w:themeColor="text1"/>
          <w:sz w:val="16"/>
          <w:szCs w:val="16"/>
        </w:rPr>
      </w:pPr>
      <w:r w:rsidRPr="00925F26">
        <w:rPr>
          <w:color w:val="000000" w:themeColor="text1"/>
          <w:sz w:val="16"/>
          <w:szCs w:val="16"/>
        </w:rPr>
        <w:lastRenderedPageBreak/>
        <w:t>Войска 1-го Украинского фронта продолжали успешное наступление. Особенно упорные бои произошли в немецкой Силезии, на подступах к городу Глейвиц. Противник сосредоточил в этом районе крупные силы. Только за последние дни сюда прибыли одна танковая и несколько пехотных дивизий немцев. Наши танкисты и пехотинцы сломили упорное сопротивление противника и заняли узел шоссейных дорог Пейскречам. Развивая успех в южном направлении, советские войска переправились через реку Клодница и обошли город Глейвиц с запада. Вчера к исходу дня войска фронта штурмом овладели городом Глейвиц, превращенным немцами в мощный узел обороны. Глейвиц — большой город, в котором находится много крупных предприятий, в том числе металлургические заводы с доменными и мартеновскими печами и коксовыми батареями; трубопрокатный, машиностроительный, военные и химические заводы. Кроме того, Глейвиц является узлом железных и шоссейных дорог, связывающих Силезский промышленный район с центральными и южными районами Германии, а также с Чехословакией.</w:t>
      </w:r>
    </w:p>
    <w:p w14:paraId="683A5E0F" w14:textId="77777777" w:rsidR="00030351" w:rsidRPr="00925F26" w:rsidRDefault="00030351" w:rsidP="00925F26">
      <w:pPr>
        <w:jc w:val="both"/>
        <w:rPr>
          <w:color w:val="000000" w:themeColor="text1"/>
          <w:sz w:val="16"/>
          <w:szCs w:val="16"/>
        </w:rPr>
      </w:pPr>
      <w:r w:rsidRPr="00925F26">
        <w:rPr>
          <w:color w:val="000000" w:themeColor="text1"/>
          <w:sz w:val="16"/>
          <w:szCs w:val="16"/>
        </w:rPr>
        <w:t>В ходе боёв противник понёс тяжёлые потери в живой силе и технике. Нашими войсками захвачены большие трофеи и взято в плен свыше 1.000 немецких солдат и офицеров.</w:t>
      </w:r>
    </w:p>
    <w:p w14:paraId="22374D87" w14:textId="77777777" w:rsidR="00030351" w:rsidRPr="00925F26" w:rsidRDefault="00030351" w:rsidP="00925F26">
      <w:pPr>
        <w:jc w:val="both"/>
        <w:rPr>
          <w:color w:val="000000" w:themeColor="text1"/>
          <w:sz w:val="16"/>
          <w:szCs w:val="16"/>
        </w:rPr>
      </w:pPr>
      <w:r w:rsidRPr="00925F26">
        <w:rPr>
          <w:color w:val="000000" w:themeColor="text1"/>
          <w:sz w:val="16"/>
          <w:szCs w:val="16"/>
        </w:rPr>
        <w:t>Юго-западнее Будапешта крупные силы танков и пехоты противника пытались прорвать советскую оборону и пробиться на помощь к своим войскам, окружённым в западной части города. Завязались ожесточённые бои. Наши части огнём из всех видов оружия и контрударами успешно отбили все атаки гитлеровцев и нанесли им большие потери. За два дня в этом районе подбито и уничтожено свыше 80 немецких танков и 13 бронетранспортёров.</w:t>
      </w:r>
    </w:p>
    <w:p w14:paraId="3EA5F2FC" w14:textId="77777777" w:rsidR="00030351" w:rsidRPr="00925F26" w:rsidRDefault="00030351" w:rsidP="00925F26">
      <w:pPr>
        <w:jc w:val="both"/>
        <w:rPr>
          <w:color w:val="000000" w:themeColor="text1"/>
          <w:sz w:val="16"/>
          <w:szCs w:val="16"/>
        </w:rPr>
      </w:pPr>
      <w:r w:rsidRPr="00925F26">
        <w:rPr>
          <w:color w:val="000000" w:themeColor="text1"/>
          <w:sz w:val="16"/>
          <w:szCs w:val="16"/>
        </w:rPr>
        <w:t>Советские воины проявляют беззаветную храбрость в борьбе с врагом. Отражая атаку противника, артиллеристы батареи старшего лейтенанта Ивашина сожгли два тяжёлых немецких танка. Артиллерийская батарея лейтенанта Романенко уничтожила три танка «Тигр» и один танк «Пантера». Гвардии старший лейтенант Коробейников огнём из пулемёта истребил до 50 гитлеровцев. На минах, умело расставленных группой сапёров старшего сержанта Танадбаева, подорвались 4 танка противника.».</w:t>
      </w:r>
    </w:p>
    <w:p w14:paraId="7F677733" w14:textId="77777777" w:rsidR="00030351" w:rsidRPr="00925F26" w:rsidRDefault="00030351" w:rsidP="00925F26">
      <w:pPr>
        <w:jc w:val="both"/>
        <w:rPr>
          <w:color w:val="000000" w:themeColor="text1"/>
          <w:sz w:val="16"/>
          <w:szCs w:val="16"/>
        </w:rPr>
      </w:pPr>
    </w:p>
    <w:p w14:paraId="3F54CE92" w14:textId="77777777" w:rsidR="00030351" w:rsidRPr="00925F26" w:rsidRDefault="00030351" w:rsidP="00925F26">
      <w:pPr>
        <w:jc w:val="both"/>
        <w:rPr>
          <w:color w:val="000000" w:themeColor="text1"/>
          <w:sz w:val="16"/>
          <w:szCs w:val="16"/>
        </w:rPr>
      </w:pPr>
      <w:r w:rsidRPr="00925F26">
        <w:rPr>
          <w:bCs/>
          <w:color w:val="000000" w:themeColor="text1"/>
          <w:sz w:val="16"/>
          <w:szCs w:val="16"/>
        </w:rPr>
        <w:t>25 января</w:t>
      </w:r>
      <w:r w:rsidRPr="00925F26">
        <w:rPr>
          <w:color w:val="000000" w:themeColor="text1"/>
          <w:sz w:val="16"/>
          <w:szCs w:val="16"/>
        </w:rPr>
        <w:t xml:space="preserve"> в 1945 году войска 2-го Белорусского фронта вышли к заливу Фришес-Хафф и перерезали основные сухопутные коммуникации группы армий «Центр». 50-я армия преодолела район Мазурских озер. 70-я — с ходу форсировала реку Вислу в районе города Бромберг и частью сил блокировала крепость Торн. Войска 1-го Белорусского фронта форсировали реку Варта. Ударная группировка 1-го Украинского фронта вышла к реке Одер на участке Кебен — Оппельн и с ходу захватила несколько плацдармов на её западном берегу (15020).</w:t>
      </w:r>
    </w:p>
    <w:p w14:paraId="3385985F" w14:textId="77777777" w:rsidR="00030351" w:rsidRPr="00925F26" w:rsidRDefault="00030351" w:rsidP="00925F26">
      <w:pPr>
        <w:jc w:val="both"/>
        <w:rPr>
          <w:color w:val="000000" w:themeColor="text1"/>
          <w:sz w:val="16"/>
          <w:szCs w:val="16"/>
        </w:rPr>
      </w:pPr>
    </w:p>
    <w:p w14:paraId="27334C7B"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января 1945 начата эвакуация немецких войск из Восточной Пруссии (4962).</w:t>
      </w:r>
    </w:p>
    <w:p w14:paraId="7609C79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03B2C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 января 1945 была официально сформирована 1 Чехословацкая независимая объединенная ад. Она была подчинена 8 ВА под командованием ш Н.В.Жданова. 70% состава составляли словацкие пилоты. В составе дивизии был 3 чехословацкий шап, оснащенный 32 Ил-2. Некоторые из машин были цельнометаллическими (241,39).</w:t>
      </w:r>
    </w:p>
    <w:p w14:paraId="291E3E4A" w14:textId="77777777" w:rsidR="00C2313B" w:rsidRPr="00925F26" w:rsidRDefault="00C2313B" w:rsidP="00925F26">
      <w:pPr>
        <w:autoSpaceDE w:val="0"/>
        <w:autoSpaceDN w:val="0"/>
        <w:adjustRightInd w:val="0"/>
        <w:jc w:val="both"/>
        <w:rPr>
          <w:color w:val="000000" w:themeColor="text1"/>
          <w:sz w:val="16"/>
          <w:szCs w:val="16"/>
        </w:rPr>
      </w:pPr>
    </w:p>
    <w:p w14:paraId="0848740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E97ED88" w14:textId="77777777" w:rsidR="00C2313B" w:rsidRPr="00925F26" w:rsidRDefault="00C2313B" w:rsidP="00925F26">
      <w:pPr>
        <w:autoSpaceDE w:val="0"/>
        <w:autoSpaceDN w:val="0"/>
        <w:adjustRightInd w:val="0"/>
        <w:jc w:val="both"/>
        <w:rPr>
          <w:iCs/>
          <w:color w:val="000000" w:themeColor="text1"/>
          <w:sz w:val="16"/>
          <w:szCs w:val="16"/>
        </w:rPr>
      </w:pPr>
    </w:p>
    <w:p w14:paraId="05807511" w14:textId="77777777" w:rsidR="00670896" w:rsidRPr="00925F26" w:rsidRDefault="00670896" w:rsidP="00925F26">
      <w:pPr>
        <w:jc w:val="both"/>
        <w:rPr>
          <w:color w:val="000000" w:themeColor="text1"/>
          <w:sz w:val="16"/>
          <w:szCs w:val="16"/>
        </w:rPr>
      </w:pPr>
      <w:r w:rsidRPr="00925F26">
        <w:rPr>
          <w:color w:val="000000" w:themeColor="text1"/>
          <w:sz w:val="16"/>
          <w:szCs w:val="16"/>
        </w:rPr>
        <w:t>С 26 января по 3 февраля 1944 г. в НИИ ВВС проходили официальные государственные испытания на самолете Ил-2 кассеты ДАГ-10 для авиационных гранат АГ-2. По программе испытаний выполнили восемь полетов на штурмовике Ил-2 зав. №1872567 и четыре полета на истребителе Як-7 «для киносъемки бросания гранат АГ-2». Конструктивно авиационная граната АГ-2 состояла из шарообразного корпуса (диаметр 82 мм) из сталистого чугуна, снаряженного взрывчатым веществом типа К-2 весом 80b г, взрывным устройством и цилиндрической коробки с парашютом, которая жестко закреплялась на соединительной втулке взрывателя (трубке ударного механизма). Жестяная крышка парашютной коробки жестко скреплялась с кольцом полюсного отверстия купола парашюта и принудительно открывалась при сбрасывании гранаты. Это гарантировало раскрытие парашюта. Вес гранаты с взрывателем составлял 1,8 кг, длина (без взрывателя) – 129–132 мм. Боекомплект кассеты ДАГ-10 состоял из десяти гранат. В нижней части кассеты имелась открывающаяся створка, через которую в воздушный поток под действием собственного веса выбрасывалось заданное количество гранат. В момент отделения сдергивалась крышка парашютной коробки, взводился взрыватель и раскрывался парашют. Спустя 3–4 с граната взрывалась «с облаком черного дыма, как от разрыва зенитного снаряда калибра 75 мм», создавая область сплошного поражения радиусом 8–10 м. Отдельные осколки корпуса разлетались на дальности до 40–50 м. В результате подрыва гранаты образовывалось порядка 100–130 осколков весом от 3 до 80 г. Кассета ДАГ-10 размещалась позади бронестенки кабины воздушного стрелка между 5-м и 6-м шпангоутами фюзеляжа Ил-2. Щитки управления кассетой устанавливались в кабинах летчика и стрелка. Сбрасывание гранат АГ-2 производилось нажатием электрокнопки на одном из них. Имелись два режима сброса гранат – одиночный и серийный. В первом случае при каждом нажатии кнопки сбрасывалась одна граната. При серийном сбрасывании при нажатии кнопки вырабатывалось столько электроимпульсов, сколько гранат предполагалось сбросить в каждой серии. Сбрасывание АГ-2 производилось, как правило, стрелком сериями по 2–3 гранаты. Сброс гранат летчиком предполагался только в случае, когда этого не мог сделать стрелок (например, из-за ранения). Вес кассеты с комплектом гранат достигал 25 кг. При ее установке центровка самолета смещалась назад на 0,3% САХ. Центровка Ил-2 зав. №1872567 с ДАГ-10 при полетном весе 6118 кг равнялась 32,7% САХ (шасси выпущено), но каких-либо заметных изменений в его летно-пилотажных качествах не отмечалось. Сброс гранат в ходе испытаний выполнялся как с горизонтального полета (на скорости 270–345 км/ч, одиночно и сериями по 2–3 гранаты), так и при пикировании под углами 20–30°, а также с целью проверить надежность работы механизма сброса на вираже с креном в 35–40°. При горизонтальном полете на скорости 270–345 км/ч граната взрывалась на удалении 220–280 м позади самолета и 40–55 м ниже самолета, а при пикировании– на удалении 300–320 м и выше на 40–55 м. Во всех случаях гранаты выходили из кассеты нормально, зависаний и задержек не было. Из 39 сброшенных гранат сработали 34. При этом десять гранат разорвались заметно ниже серии: у них «обрывается шнур, соединяющий гранату с парашютом, в момент его раскрытия, и граната совершает свободное падение». На всех оторвавшихся парашютах обрыв происходил в одном и том же месте – вbузле соединения шнура с серьгой, служащем для крепления гранаты к парашюту. С учетом полученных результатов рекомендовались следующие способы использования гранат АГ-2 для отражения атак истребителей. В случае атаки на Ил-2 снизу сзади стрелок применял гранаты по своему усмотрению. Сброс сериями из 2–3 гранат выполнялся в момент подхода самолета противника на дистанцию 400–500 м. Для предупреждения случаев поражения своих штурмовиков осколками сбрасывание АГ-2 требовалось производить с точным учетом расположения всех самолетов в строю, удаления разрывов сброшенных гранат и радиуса разлета их осколков. При атаке истребителями одиночного Ил-2 с задней нижней полусферы или строго в хвост следовало применять гранаты АГ-2 как с горизонтального полета, так и при пикировании с выходом на бреющий полет. При полете парой Ил-2 рекомендовалось применять гранаты АГ-2 в сомкнутом строю пеленга. Если истребители противника атаковывали группу штурмовиков, то гранаты должны были сбрасывать только замыкающие экипажи. Отмечалось, что «... применение гранат АГ-2 для защиты хвоста снизу должно дать хороший эффект. Кроме возможности поражения самолета противника осколками, они дают и моральный эффект. /…/ Считать вполне целесообразным установку на Ил-2 ДАГ-10 особенно на Ил-2-охотник». Обращалось внимание на излишне «большой процент случаев отрыва (26%) парашютов от гранат». Неудачным сочли расположение кнопки и тумблера включения сбрасывателя АГ-2: «…При пользовании им приходится отвлекать свое внимание от управления самолетом». Тем не менее, несмотря на недостатки конструкции гранаты АГ-2, в заключении акта по испытаниям констатировалось, что ДАГ-10 улучшает защиту в нижней полусфере и может быть рекомендована для установки на Ил-2 (19775).</w:t>
      </w:r>
    </w:p>
    <w:p w14:paraId="2C17CDEA" w14:textId="77777777" w:rsidR="00670896" w:rsidRPr="00925F26" w:rsidRDefault="00670896" w:rsidP="00925F26">
      <w:pPr>
        <w:jc w:val="both"/>
        <w:rPr>
          <w:color w:val="000000" w:themeColor="text1"/>
          <w:sz w:val="16"/>
          <w:szCs w:val="16"/>
        </w:rPr>
      </w:pPr>
    </w:p>
    <w:p w14:paraId="28436173" w14:textId="77777777" w:rsidR="00670896" w:rsidRPr="00925F26" w:rsidRDefault="00670896" w:rsidP="00925F26">
      <w:pPr>
        <w:shd w:val="clear" w:color="auto" w:fill="FFFFFF"/>
        <w:jc w:val="both"/>
        <w:rPr>
          <w:color w:val="000000" w:themeColor="text1"/>
          <w:sz w:val="16"/>
          <w:szCs w:val="16"/>
        </w:rPr>
      </w:pPr>
      <w:r w:rsidRPr="00925F26">
        <w:rPr>
          <w:color w:val="000000" w:themeColor="text1"/>
          <w:sz w:val="16"/>
          <w:szCs w:val="16"/>
        </w:rPr>
        <w:t>26 января 1945, по указанию заместителя Наркома П.В. Дементьева, полеты на Су-7 с ТК-3 были прекращены. За это вре мя были выполнены 4 полета, и двигатель АШ-82ФН нарабо тал 6 ч. 40 мин., из них в воздухе 1 ч. 47 мин.</w:t>
      </w:r>
    </w:p>
    <w:p w14:paraId="3BFE51A5" w14:textId="77777777" w:rsidR="00670896" w:rsidRPr="00925F26" w:rsidRDefault="00670896" w:rsidP="00925F26">
      <w:pPr>
        <w:shd w:val="clear" w:color="auto" w:fill="FFFFFF"/>
        <w:jc w:val="both"/>
        <w:rPr>
          <w:color w:val="000000" w:themeColor="text1"/>
          <w:sz w:val="16"/>
          <w:szCs w:val="16"/>
        </w:rPr>
      </w:pPr>
      <w:r w:rsidRPr="00925F26">
        <w:rPr>
          <w:color w:val="000000" w:themeColor="text1"/>
          <w:sz w:val="16"/>
          <w:szCs w:val="16"/>
        </w:rPr>
        <w:t>До конца января была доработана выхлопная система без ТК, а затем началась отработка РД-1 на земле. Было произве дено 18 включений РД-1 (19586).</w:t>
      </w:r>
    </w:p>
    <w:p w14:paraId="268EEAC1" w14:textId="77777777" w:rsidR="00670896" w:rsidRPr="00925F26" w:rsidRDefault="00670896" w:rsidP="00925F26">
      <w:pPr>
        <w:shd w:val="clear" w:color="auto" w:fill="FFFFFF"/>
        <w:jc w:val="both"/>
        <w:rPr>
          <w:color w:val="000000" w:themeColor="text1"/>
          <w:sz w:val="16"/>
          <w:szCs w:val="16"/>
        </w:rPr>
      </w:pPr>
    </w:p>
    <w:p w14:paraId="53D0B0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26 января по 27 марта 1945 проводились заводские испытания в Ла-7Р-2 (2234,6).</w:t>
      </w:r>
    </w:p>
    <w:p w14:paraId="080A360E" w14:textId="77777777" w:rsidR="00C2313B" w:rsidRPr="00925F26" w:rsidRDefault="00C2313B" w:rsidP="00925F26">
      <w:pPr>
        <w:autoSpaceDE w:val="0"/>
        <w:autoSpaceDN w:val="0"/>
        <w:adjustRightInd w:val="0"/>
        <w:jc w:val="both"/>
        <w:rPr>
          <w:color w:val="000000" w:themeColor="text1"/>
          <w:sz w:val="16"/>
          <w:szCs w:val="16"/>
        </w:rPr>
      </w:pPr>
    </w:p>
    <w:p w14:paraId="0AC863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26 января по 27 марта 1945 г. провели 19 полётов на втором экземпляре Ла-7Р-2 и лишь в шести из них включался ЖРД. По-прежнему надёжность и устойчивость его работы оставляли желать лучшего. Лишь в двух полётах удалось сделать две "площадки" и определить скоростные характеристики машины. Максимальный прирост скорости составил около 95 км/ч на высоте 2600 м. Испытания Ла-7Р-2 завершились 27 марта взрывом ЖРД. Это был уже второй такой случай. Первый раз двигатель взорвался при запуске на земле. Теперь то же самое произошло в воздухе. В тот день у самолёта, пилотируемого Г.М. Шияновым, на высоте 6000 м не запустился ЖРД. Снизившись до 3000 м, пилот повторил попытку, но раздался взрыв, видимо, из-за скопившихся в камере сгорания компонентов топлива. От взрыва больше всего пострадали рули высоты, от которых остались одни лохмотья. Чуть лучше выглядел руль поворота (11986).</w:t>
      </w:r>
    </w:p>
    <w:p w14:paraId="44AD137F" w14:textId="77777777" w:rsidR="00C2313B" w:rsidRPr="00925F26" w:rsidRDefault="00C2313B" w:rsidP="00925F26">
      <w:pPr>
        <w:autoSpaceDE w:val="0"/>
        <w:autoSpaceDN w:val="0"/>
        <w:adjustRightInd w:val="0"/>
        <w:jc w:val="both"/>
        <w:rPr>
          <w:color w:val="000000" w:themeColor="text1"/>
          <w:sz w:val="16"/>
          <w:szCs w:val="16"/>
        </w:rPr>
      </w:pPr>
    </w:p>
    <w:p w14:paraId="43B5007A" w14:textId="77777777" w:rsidR="0070110A" w:rsidRPr="001A0BAA" w:rsidRDefault="0070110A" w:rsidP="0070110A">
      <w:pPr>
        <w:jc w:val="both"/>
        <w:rPr>
          <w:color w:val="0070C0"/>
          <w:sz w:val="16"/>
          <w:szCs w:val="16"/>
        </w:rPr>
      </w:pPr>
      <w:r w:rsidRPr="001A0BAA">
        <w:rPr>
          <w:color w:val="0070C0"/>
          <w:sz w:val="16"/>
          <w:szCs w:val="16"/>
        </w:rPr>
        <w:t>С 26 января по 27 марта 1945 г. на самолете Ла-7Р-2, который в отличии от Ла-7Р-1 обладал лучшей аэродинамикой, были произведены 19 полетов с шестью запусками РУ-1 в воз</w:t>
      </w:r>
      <w:r w:rsidRPr="001A0BAA">
        <w:rPr>
          <w:color w:val="0070C0"/>
          <w:sz w:val="16"/>
          <w:szCs w:val="16"/>
        </w:rPr>
        <w:softHyphen/>
        <w:t>духе. 45 запусков РУ-1 было проведено на земле. В двух слу</w:t>
      </w:r>
      <w:r w:rsidRPr="001A0BAA">
        <w:rPr>
          <w:color w:val="0070C0"/>
          <w:sz w:val="16"/>
          <w:szCs w:val="16"/>
        </w:rPr>
        <w:softHyphen/>
        <w:t>чаях в полете при включении РД-1 были достигнуты прирос</w:t>
      </w:r>
      <w:r w:rsidRPr="001A0BAA">
        <w:rPr>
          <w:color w:val="0070C0"/>
          <w:sz w:val="16"/>
          <w:szCs w:val="16"/>
        </w:rPr>
        <w:softHyphen/>
        <w:t>ты скорости. 1 марта 1945 г. на высоте 2700 м РД-1 работал 1,5 мин, после чего из-за пульсаций в камере сгорания его пришлось выключить. При этом был получен прирост скорос</w:t>
      </w:r>
      <w:r w:rsidRPr="001A0BAA">
        <w:rPr>
          <w:color w:val="0070C0"/>
          <w:sz w:val="16"/>
          <w:szCs w:val="16"/>
        </w:rPr>
        <w:softHyphen/>
        <w:t>ти 80 км/ч. 10 марта 1945 г. на высоте 2600 м, работая РД-1 прибавил около 95 км/ч. В целом РД-1 отработал неудовлетворительно. Из 45 случаев запуска в 15 был зафиксирован отказ, в 6-ти отказало зажигание [27] (24920).</w:t>
      </w:r>
    </w:p>
    <w:p w14:paraId="11E01859" w14:textId="77777777" w:rsidR="0070110A" w:rsidRPr="001A0BAA" w:rsidRDefault="0070110A" w:rsidP="0070110A">
      <w:pPr>
        <w:jc w:val="both"/>
        <w:rPr>
          <w:color w:val="0070C0"/>
          <w:sz w:val="16"/>
          <w:szCs w:val="16"/>
        </w:rPr>
      </w:pPr>
    </w:p>
    <w:p w14:paraId="5D12C182" w14:textId="77777777" w:rsidR="0070110A" w:rsidRPr="001A0BAA" w:rsidRDefault="0070110A" w:rsidP="0070110A">
      <w:pPr>
        <w:jc w:val="both"/>
        <w:rPr>
          <w:color w:val="0070C0"/>
          <w:sz w:val="16"/>
          <w:szCs w:val="16"/>
        </w:rPr>
      </w:pPr>
      <w:r w:rsidRPr="001A0BAA">
        <w:rPr>
          <w:color w:val="0070C0"/>
          <w:sz w:val="16"/>
          <w:szCs w:val="16"/>
        </w:rPr>
        <w:t xml:space="preserve">С 26 января по 27 марта 1945 г. на Ла-7Р-2 произвели 19 полетов, 45 пусков ЖРД, в том числе шесть - в воздухе. В двух пусках РД-1 в полете были сняты площадки. 1 марта на высоте 2700 м двигатель проработал полторы минуты, после чего из-за пульсации в камере сгорания его пришлось выключить. Прирост скорости составил </w:t>
      </w:r>
      <w:r w:rsidRPr="001A0BAA">
        <w:rPr>
          <w:color w:val="0070C0"/>
          <w:sz w:val="16"/>
          <w:szCs w:val="16"/>
        </w:rPr>
        <w:lastRenderedPageBreak/>
        <w:t>80 км/ч по прибору, а 10 марта на высоте 2600 метров РД-1 прибавил около 95 км/ч. В целом двигатель работал плохо, в 15 запусках из 45 он отказывал, причем в шести случаях - по вине зажигания (24925).</w:t>
      </w:r>
    </w:p>
    <w:p w14:paraId="33967464" w14:textId="77777777" w:rsidR="0070110A" w:rsidRPr="001A0BAA" w:rsidRDefault="0070110A" w:rsidP="0070110A">
      <w:pPr>
        <w:jc w:val="both"/>
        <w:rPr>
          <w:color w:val="0070C0"/>
          <w:sz w:val="16"/>
          <w:szCs w:val="16"/>
        </w:rPr>
      </w:pPr>
    </w:p>
    <w:p w14:paraId="2DFBE3D7" w14:textId="77777777" w:rsidR="0070110A" w:rsidRPr="001A0BAA" w:rsidRDefault="0070110A" w:rsidP="0070110A">
      <w:pPr>
        <w:jc w:val="both"/>
        <w:rPr>
          <w:color w:val="0070C0"/>
          <w:sz w:val="16"/>
          <w:szCs w:val="16"/>
        </w:rPr>
      </w:pPr>
      <w:r w:rsidRPr="001A0BAA">
        <w:rPr>
          <w:color w:val="0070C0"/>
          <w:sz w:val="16"/>
          <w:szCs w:val="16"/>
        </w:rPr>
        <w:t>26 января 1945 года начались летные испытания второго Ла-7Р-2 с двигателем РД-1 и продолжались до 27 марта. За это время было выполнено 19 полетов с двигателем, оснащенным эфиро-воздуш</w:t>
      </w:r>
      <w:r w:rsidRPr="001A0BAA">
        <w:rPr>
          <w:color w:val="0070C0"/>
          <w:sz w:val="16"/>
          <w:szCs w:val="16"/>
        </w:rPr>
        <w:softHyphen/>
        <w:t>ным зажиганием. В течение двух месяцев ЖРД запускались 45 раз, из них шесть — в воздухе, и только в двух полетах сделали площадки со снятием характеристик ма</w:t>
      </w:r>
      <w:r w:rsidRPr="001A0BAA">
        <w:rPr>
          <w:color w:val="0070C0"/>
          <w:sz w:val="16"/>
          <w:szCs w:val="16"/>
        </w:rPr>
        <w:softHyphen/>
        <w:t>шины.</w:t>
      </w:r>
    </w:p>
    <w:p w14:paraId="33607BD5" w14:textId="77777777" w:rsidR="0070110A" w:rsidRPr="001A0BAA" w:rsidRDefault="0070110A" w:rsidP="0070110A">
      <w:pPr>
        <w:jc w:val="both"/>
        <w:rPr>
          <w:color w:val="0070C0"/>
          <w:sz w:val="16"/>
          <w:szCs w:val="16"/>
        </w:rPr>
      </w:pPr>
      <w:r w:rsidRPr="001A0BAA">
        <w:rPr>
          <w:color w:val="0070C0"/>
          <w:sz w:val="16"/>
          <w:szCs w:val="16"/>
        </w:rPr>
        <w:t>Из 45 запусков двигатели РД-1 отказы</w:t>
      </w:r>
      <w:r w:rsidRPr="001A0BAA">
        <w:rPr>
          <w:color w:val="0070C0"/>
          <w:sz w:val="16"/>
          <w:szCs w:val="16"/>
        </w:rPr>
        <w:softHyphen/>
        <w:t>вали 15 раз, из них шесть — по вине за</w:t>
      </w:r>
      <w:r w:rsidRPr="001A0BAA">
        <w:rPr>
          <w:color w:val="0070C0"/>
          <w:sz w:val="16"/>
          <w:szCs w:val="16"/>
        </w:rPr>
        <w:softHyphen/>
        <w:t>жигания, дважды менялись камеры сгора</w:t>
      </w:r>
      <w:r w:rsidRPr="001A0BAA">
        <w:rPr>
          <w:color w:val="0070C0"/>
          <w:sz w:val="16"/>
          <w:szCs w:val="16"/>
        </w:rPr>
        <w:softHyphen/>
        <w:t>ния.</w:t>
      </w:r>
    </w:p>
    <w:p w14:paraId="177B7439" w14:textId="77777777" w:rsidR="0070110A" w:rsidRPr="001A0BAA" w:rsidRDefault="0070110A" w:rsidP="0070110A">
      <w:pPr>
        <w:jc w:val="both"/>
        <w:rPr>
          <w:color w:val="0070C0"/>
          <w:sz w:val="16"/>
          <w:szCs w:val="16"/>
        </w:rPr>
      </w:pPr>
      <w:r w:rsidRPr="001A0BAA">
        <w:rPr>
          <w:color w:val="0070C0"/>
          <w:sz w:val="16"/>
          <w:szCs w:val="16"/>
        </w:rPr>
        <w:t>Максимальный прирост скорости со</w:t>
      </w:r>
      <w:r w:rsidRPr="001A0BAA">
        <w:rPr>
          <w:color w:val="0070C0"/>
          <w:sz w:val="16"/>
          <w:szCs w:val="16"/>
        </w:rPr>
        <w:softHyphen/>
        <w:t>ставил около 95 км/ч на высоте 2600 ме</w:t>
      </w:r>
      <w:r w:rsidRPr="001A0BAA">
        <w:rPr>
          <w:color w:val="0070C0"/>
          <w:sz w:val="16"/>
          <w:szCs w:val="16"/>
        </w:rPr>
        <w:softHyphen/>
        <w:t>тров. Испытания завершились 27 марта взрывом ЖРД. В тот день на самолете, пилотируемом Г.М. Шияновым, на высоте 6000 метров не запустился вспомогатель</w:t>
      </w:r>
      <w:r w:rsidRPr="001A0BAA">
        <w:rPr>
          <w:color w:val="0070C0"/>
          <w:sz w:val="16"/>
          <w:szCs w:val="16"/>
        </w:rPr>
        <w:softHyphen/>
        <w:t>ный двигатель. Снизившись до 3000 ме</w:t>
      </w:r>
      <w:r w:rsidRPr="001A0BAA">
        <w:rPr>
          <w:color w:val="0070C0"/>
          <w:sz w:val="16"/>
          <w:szCs w:val="16"/>
        </w:rPr>
        <w:softHyphen/>
        <w:t>тров, Георгий Михайлович повторил по</w:t>
      </w:r>
      <w:r w:rsidRPr="001A0BAA">
        <w:rPr>
          <w:color w:val="0070C0"/>
          <w:sz w:val="16"/>
          <w:szCs w:val="16"/>
        </w:rPr>
        <w:softHyphen/>
        <w:t>пытку, но раздался взрыв, видимо, из-за скопившихся в камере сгорания компо</w:t>
      </w:r>
      <w:r w:rsidRPr="001A0BAA">
        <w:rPr>
          <w:color w:val="0070C0"/>
          <w:sz w:val="16"/>
          <w:szCs w:val="16"/>
        </w:rPr>
        <w:softHyphen/>
        <w:t>нентов топлива. От взрыва больше всего пострадали рули высоты, от которых оста</w:t>
      </w:r>
      <w:r w:rsidRPr="001A0BAA">
        <w:rPr>
          <w:color w:val="0070C0"/>
          <w:sz w:val="16"/>
          <w:szCs w:val="16"/>
        </w:rPr>
        <w:softHyphen/>
        <w:t>лись одни лохмотья. Чуть лучше выглядел руль поворота.</w:t>
      </w:r>
    </w:p>
    <w:p w14:paraId="76265A03" w14:textId="77777777" w:rsidR="0070110A" w:rsidRPr="001A0BAA" w:rsidRDefault="0070110A" w:rsidP="0070110A">
      <w:pPr>
        <w:jc w:val="both"/>
        <w:rPr>
          <w:color w:val="0070C0"/>
          <w:sz w:val="16"/>
          <w:szCs w:val="16"/>
        </w:rPr>
      </w:pPr>
      <w:r w:rsidRPr="001A0BAA">
        <w:rPr>
          <w:color w:val="0070C0"/>
          <w:sz w:val="16"/>
          <w:szCs w:val="16"/>
        </w:rPr>
        <w:t>Но беда не приходит одна. Кабина почти неуправляемого самолета заполни</w:t>
      </w:r>
      <w:r w:rsidRPr="001A0BAA">
        <w:rPr>
          <w:color w:val="0070C0"/>
          <w:sz w:val="16"/>
          <w:szCs w:val="16"/>
        </w:rPr>
        <w:softHyphen/>
        <w:t>лась ядовитыми парами азотной кислоты. Лишь чудом пилот спас израненную ма</w:t>
      </w:r>
      <w:r w:rsidRPr="001A0BAA">
        <w:rPr>
          <w:color w:val="0070C0"/>
          <w:sz w:val="16"/>
          <w:szCs w:val="16"/>
        </w:rPr>
        <w:softHyphen/>
        <w:t>шину. Свыше двух недель ушло на ремонт Ла-7Р-2, но доработанный за это время ЖРД по-прежнему не желал запускаться на больших высотах. Лишь использование РД-1ХЗ с химическим зажиганием позволило сдвинуть проблему запуска с мерт</w:t>
      </w:r>
      <w:r w:rsidRPr="001A0BAA">
        <w:rPr>
          <w:color w:val="0070C0"/>
          <w:sz w:val="16"/>
          <w:szCs w:val="16"/>
        </w:rPr>
        <w:softHyphen/>
        <w:t>вой точки, но повысить надежность двига</w:t>
      </w:r>
      <w:r w:rsidRPr="001A0BAA">
        <w:rPr>
          <w:color w:val="0070C0"/>
          <w:sz w:val="16"/>
          <w:szCs w:val="16"/>
        </w:rPr>
        <w:softHyphen/>
        <w:t>теля не удалось (24988).</w:t>
      </w:r>
    </w:p>
    <w:p w14:paraId="385824D8" w14:textId="77777777" w:rsidR="0070110A" w:rsidRPr="001A0BAA" w:rsidRDefault="0070110A" w:rsidP="0070110A">
      <w:pPr>
        <w:jc w:val="both"/>
        <w:rPr>
          <w:color w:val="0070C0"/>
          <w:sz w:val="16"/>
          <w:szCs w:val="16"/>
        </w:rPr>
      </w:pPr>
    </w:p>
    <w:p w14:paraId="288A40C5" w14:textId="77777777" w:rsidR="0070110A" w:rsidRPr="001A0BAA" w:rsidRDefault="0070110A" w:rsidP="0070110A">
      <w:pPr>
        <w:jc w:val="both"/>
        <w:rPr>
          <w:color w:val="0070C0"/>
          <w:sz w:val="16"/>
          <w:szCs w:val="16"/>
        </w:rPr>
      </w:pPr>
      <w:r w:rsidRPr="001A0BAA">
        <w:rPr>
          <w:color w:val="0070C0"/>
          <w:sz w:val="16"/>
          <w:szCs w:val="16"/>
        </w:rPr>
        <w:t>С 26 января по 27 марта 1945 г. на Ла-7Р-1 произвели 19 полётов и 45 запусков ЖРД (в т.ч. шесть в воздухе); в полёте 10 марта РД-1 дал прибавку скорости около 95 км/ч. Ускоритель был ненадёжным, постоянно случались отказы (в т.ч. взрыв ЖРД 27 марта). Из-за отказов, связанных с неполадками в электри</w:t>
      </w:r>
      <w:r w:rsidRPr="001A0BAA">
        <w:rPr>
          <w:color w:val="0070C0"/>
          <w:sz w:val="16"/>
          <w:szCs w:val="16"/>
        </w:rPr>
        <w:softHyphen/>
        <w:t>ческом зажигании, был разработан вариант РД-1ХЗ с химическим зажиганием. Его установили на Ла-7Р 29 апреля, но он оказался столь же ненадёжным; 12 мая при наземных испытаниях он взорвался. Ускоритель пытались дорабатывать уже после войны, Ла-7Р достиг скорости 795 км/ч, но в итоге работы прекратили как бесперспективные (24984).</w:t>
      </w:r>
    </w:p>
    <w:p w14:paraId="5AE39849" w14:textId="77777777" w:rsidR="0070110A" w:rsidRPr="001A0BAA" w:rsidRDefault="0070110A" w:rsidP="0070110A">
      <w:pPr>
        <w:jc w:val="both"/>
        <w:rPr>
          <w:color w:val="0070C0"/>
          <w:sz w:val="16"/>
          <w:szCs w:val="16"/>
        </w:rPr>
      </w:pPr>
    </w:p>
    <w:p w14:paraId="1D0826E1" w14:textId="77777777" w:rsidR="0070110A" w:rsidRPr="001A0BAA" w:rsidRDefault="0070110A" w:rsidP="0070110A">
      <w:pPr>
        <w:jc w:val="both"/>
        <w:rPr>
          <w:color w:val="0070C0"/>
          <w:sz w:val="16"/>
          <w:szCs w:val="16"/>
        </w:rPr>
      </w:pPr>
      <w:r w:rsidRPr="001A0BAA">
        <w:rPr>
          <w:color w:val="0070C0"/>
          <w:sz w:val="16"/>
          <w:szCs w:val="16"/>
        </w:rPr>
        <w:t>26 января 1945 по указанию заместителя Наркома П.В. Дементьева, полеты Су-7 с ТК-3 были прекращены. За это вре</w:t>
      </w:r>
      <w:r w:rsidRPr="001A0BAA">
        <w:rPr>
          <w:color w:val="0070C0"/>
          <w:sz w:val="16"/>
          <w:szCs w:val="16"/>
        </w:rPr>
        <w:softHyphen/>
        <w:t>мя были выполнены 4 полета, и двигатель АШ-82ФН нарабо</w:t>
      </w:r>
      <w:r w:rsidRPr="001A0BAA">
        <w:rPr>
          <w:color w:val="0070C0"/>
          <w:sz w:val="16"/>
          <w:szCs w:val="16"/>
        </w:rPr>
        <w:softHyphen/>
        <w:t>тал 6 ч. 40 мин., из них в воздухе 1 ч. 47 мин. До конца января была доработана выхлопная система без ТК, а затем началась отработка РД-1 на земле. Было произве</w:t>
      </w:r>
      <w:r w:rsidRPr="001A0BAA">
        <w:rPr>
          <w:color w:val="0070C0"/>
          <w:sz w:val="16"/>
          <w:szCs w:val="16"/>
        </w:rPr>
        <w:softHyphen/>
        <w:t>дено 18 включений РД-1 (24920).</w:t>
      </w:r>
    </w:p>
    <w:p w14:paraId="5CC83F48" w14:textId="77777777" w:rsidR="0070110A" w:rsidRPr="001A0BAA" w:rsidRDefault="0070110A" w:rsidP="0070110A">
      <w:pPr>
        <w:jc w:val="both"/>
        <w:rPr>
          <w:color w:val="0070C0"/>
          <w:sz w:val="16"/>
          <w:szCs w:val="16"/>
        </w:rPr>
      </w:pPr>
    </w:p>
    <w:p w14:paraId="3ED1B7A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января 1945, по указанию заместителя Нар</w:t>
      </w:r>
      <w:r w:rsidRPr="00925F26">
        <w:rPr>
          <w:color w:val="000000" w:themeColor="text1"/>
          <w:sz w:val="16"/>
          <w:szCs w:val="16"/>
        </w:rPr>
        <w:softHyphen/>
        <w:t>кома П.В.Дементьева, полеты с ТК-3 прекратили. За время испытаний ВМГ с ТК-3 были выполнены 4 полета, а дви</w:t>
      </w:r>
      <w:r w:rsidRPr="00925F26">
        <w:rPr>
          <w:color w:val="000000" w:themeColor="text1"/>
          <w:sz w:val="16"/>
          <w:szCs w:val="16"/>
        </w:rPr>
        <w:softHyphen/>
        <w:t>гатель АШ-82ФН наработал 6 ч. 40 мин., из них в воздухе 1 ч. 47 мин. До конца января доработали вых</w:t>
      </w:r>
      <w:r w:rsidRPr="00925F26">
        <w:rPr>
          <w:color w:val="000000" w:themeColor="text1"/>
          <w:sz w:val="16"/>
          <w:szCs w:val="16"/>
        </w:rPr>
        <w:softHyphen/>
        <w:t>лопную систему с выключением из нее ТК, а затем началась отработка РД-1 на земле, в процессе которой произ</w:t>
      </w:r>
      <w:r w:rsidRPr="00925F26">
        <w:rPr>
          <w:color w:val="000000" w:themeColor="text1"/>
          <w:sz w:val="16"/>
          <w:szCs w:val="16"/>
        </w:rPr>
        <w:softHyphen/>
        <w:t>вели 18 огневых пусков (10668).</w:t>
      </w:r>
    </w:p>
    <w:p w14:paraId="0E7FEE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CE85E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января 1945 г. с И-222 сняли мотор и отправили на завод № 300 для переборки. Однако после ремон</w:t>
      </w:r>
      <w:r w:rsidRPr="00925F26">
        <w:rPr>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925F26">
        <w:rPr>
          <w:color w:val="000000" w:themeColor="text1"/>
          <w:sz w:val="16"/>
          <w:szCs w:val="16"/>
        </w:rPr>
        <w:softHyphen/>
        <w:t xml:space="preserve">править на моторный завод. Больше </w:t>
      </w:r>
      <w:r w:rsidRPr="00925F26">
        <w:rPr>
          <w:iCs/>
          <w:color w:val="000000" w:themeColor="text1"/>
          <w:sz w:val="16"/>
          <w:szCs w:val="16"/>
        </w:rPr>
        <w:t xml:space="preserve">И—222 </w:t>
      </w:r>
      <w:r w:rsidRPr="00925F26">
        <w:rPr>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925F26">
        <w:rPr>
          <w:color w:val="000000" w:themeColor="text1"/>
          <w:sz w:val="16"/>
          <w:szCs w:val="16"/>
        </w:rPr>
        <w:softHyphen/>
        <w:t>щихся поверхностей в узлах мотора из-за дефектов маслосистем самолетов (9984).</w:t>
      </w:r>
    </w:p>
    <w:p w14:paraId="597B19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59D0AE3" w14:textId="77777777" w:rsidR="0070110A" w:rsidRPr="001A0BAA" w:rsidRDefault="0070110A" w:rsidP="0070110A">
      <w:pPr>
        <w:jc w:val="both"/>
        <w:rPr>
          <w:color w:val="0070C0"/>
          <w:sz w:val="16"/>
          <w:szCs w:val="16"/>
        </w:rPr>
      </w:pPr>
      <w:r w:rsidRPr="001A0BAA">
        <w:rPr>
          <w:color w:val="0070C0"/>
          <w:sz w:val="16"/>
          <w:szCs w:val="16"/>
        </w:rPr>
        <w:t>26 января 1945 г. с И-222, который передали в ЛИИ для продолжения испытаний, после трех полетов, сняли мотор вследствие выработки ресурса и отправили на завод №300 для переборки. В июле его после переборки вновь установили на самолет. Однако было отмечено падение давление масла до высоты 6000 м, вследствие чего после пяти полетов мотор вновь пришлось снять и отправить на завод №300, откуда он больше не возвращался, несмотря на указания НКАП о передаче мотора к 10 августа 1945 г. Ввиду отсутствия нового мотора работы по самолету были прекращены (25230).</w:t>
      </w:r>
    </w:p>
    <w:p w14:paraId="74B75E6F" w14:textId="77777777" w:rsidR="0070110A" w:rsidRPr="001A0BAA" w:rsidRDefault="0070110A" w:rsidP="0070110A">
      <w:pPr>
        <w:jc w:val="both"/>
        <w:rPr>
          <w:color w:val="0070C0"/>
          <w:sz w:val="16"/>
          <w:szCs w:val="16"/>
        </w:rPr>
      </w:pPr>
    </w:p>
    <w:p w14:paraId="6293A28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4D03D10" w14:textId="77777777" w:rsidR="00C2313B" w:rsidRPr="00925F26" w:rsidRDefault="00C2313B" w:rsidP="00925F26">
      <w:pPr>
        <w:autoSpaceDE w:val="0"/>
        <w:autoSpaceDN w:val="0"/>
        <w:adjustRightInd w:val="0"/>
        <w:jc w:val="both"/>
        <w:rPr>
          <w:iCs/>
          <w:color w:val="000000" w:themeColor="text1"/>
          <w:sz w:val="16"/>
          <w:szCs w:val="16"/>
        </w:rPr>
      </w:pPr>
    </w:p>
    <w:p w14:paraId="53C364FB" w14:textId="77777777" w:rsidR="00670896" w:rsidRPr="00925F26" w:rsidRDefault="00670896" w:rsidP="00925F26">
      <w:pPr>
        <w:jc w:val="both"/>
        <w:rPr>
          <w:color w:val="000000" w:themeColor="text1"/>
          <w:sz w:val="16"/>
          <w:szCs w:val="16"/>
        </w:rPr>
      </w:pPr>
      <w:r w:rsidRPr="00925F26">
        <w:rPr>
          <w:color w:val="000000" w:themeColor="text1"/>
          <w:sz w:val="16"/>
          <w:szCs w:val="16"/>
        </w:rPr>
        <w:t>26 января 1945 года 14-й дивизион бронепоездов со станции Ленинград - Навалочная убыл в Выборг, куда прибыл 6 февраля. Здесь он дислоцировался до 10 июня 1945 года, после чего был переброшен в Ленинград, на станцию Витебская-Сортировочная. Здесь в период с 26 июня по 25 июля 1945 года 14-й отдельный дивизион бронепоездов расформировали, при этом МБВ № 02 вместе с мат-частью бепо «Стойкий» передали в состав 62-го отдельного дивизиона бронепоездов, а после расформирования последнего в 1947 году МБВ № 2 поступил на военный склад № 2707 в Брянске.</w:t>
      </w:r>
    </w:p>
    <w:p w14:paraId="0A05C6AE" w14:textId="77777777" w:rsidR="00670896" w:rsidRPr="00925F26" w:rsidRDefault="00670896" w:rsidP="00925F26">
      <w:pPr>
        <w:jc w:val="both"/>
        <w:rPr>
          <w:color w:val="000000" w:themeColor="text1"/>
          <w:sz w:val="16"/>
          <w:szCs w:val="16"/>
        </w:rPr>
      </w:pPr>
      <w:r w:rsidRPr="00925F26">
        <w:rPr>
          <w:color w:val="000000" w:themeColor="text1"/>
          <w:sz w:val="16"/>
          <w:szCs w:val="16"/>
        </w:rPr>
        <w:t>С 1948 по 1951 год на МБВ № 02 провели работы по модернизации - двигатель М-17 заменили на В-2-34, упростили схему электрооборудования, демонтировали счетверенную зенитную установку. Эти работы были выполнены на вагоноремонтном заводе №65. В 1965 году мотоброневагон МБВ № 02 передали на хранение в Кубинку, где сейчас его можно увидеть на площадке военно-исторического музея бронетанкового вооружения и техники (18626).</w:t>
      </w:r>
    </w:p>
    <w:p w14:paraId="1AA3BE5B" w14:textId="77777777" w:rsidR="00670896" w:rsidRPr="00925F26" w:rsidRDefault="00670896" w:rsidP="00925F26">
      <w:pPr>
        <w:jc w:val="both"/>
        <w:rPr>
          <w:color w:val="000000" w:themeColor="text1"/>
          <w:sz w:val="16"/>
          <w:szCs w:val="16"/>
        </w:rPr>
      </w:pPr>
    </w:p>
    <w:p w14:paraId="16CA64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вышло Распоряжение ГКО № 7390. О поставках нефти заводу № 172 НКВ. РГАНИР, Фонд ГКО, д. 358, лл. 138 (11012).</w:t>
      </w:r>
    </w:p>
    <w:p w14:paraId="6D8EB6F4" w14:textId="77777777" w:rsidR="00C2313B" w:rsidRPr="00925F26" w:rsidRDefault="00C2313B" w:rsidP="00925F26">
      <w:pPr>
        <w:autoSpaceDE w:val="0"/>
        <w:autoSpaceDN w:val="0"/>
        <w:adjustRightInd w:val="0"/>
        <w:jc w:val="both"/>
        <w:rPr>
          <w:color w:val="000000" w:themeColor="text1"/>
          <w:sz w:val="16"/>
          <w:szCs w:val="16"/>
        </w:rPr>
      </w:pPr>
    </w:p>
    <w:p w14:paraId="170DAD3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Распоряжение ГКО № 7391 [Об изменении плана погрузки зерна и муки по железным дорогам в январе 1945 г.] (7300, 139).</w:t>
      </w:r>
    </w:p>
    <w:p w14:paraId="02BA291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AC612B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7392 О производстве и поставке инженерного вооружения и спецоборудования в I квартале 1945 г. Наркомобороны СССР, Наркомвоенморфлоту и войскам НКВД СССР. (7300, 140-145,146-192).</w:t>
      </w:r>
    </w:p>
    <w:p w14:paraId="5BC9EB4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C52DA2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7393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 квартал 1945 г. (7300, 193-194,195-223).</w:t>
      </w:r>
    </w:p>
    <w:p w14:paraId="418702B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37F57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7394 О плане поставок вещевого имущества и снаряжения для НКО СССР, Наркомвоенморфлота и войск НКВД СССР на I квартал 1945 г. РГАНИР, Фонд ГКО, д. 359, лл. 1-4, 5-47 (11012).</w:t>
      </w:r>
    </w:p>
    <w:p w14:paraId="77443F38" w14:textId="77777777" w:rsidR="00C2313B" w:rsidRPr="00925F26" w:rsidRDefault="00C2313B" w:rsidP="00925F26">
      <w:pPr>
        <w:autoSpaceDE w:val="0"/>
        <w:autoSpaceDN w:val="0"/>
        <w:adjustRightInd w:val="0"/>
        <w:jc w:val="both"/>
        <w:rPr>
          <w:color w:val="000000" w:themeColor="text1"/>
          <w:sz w:val="16"/>
          <w:szCs w:val="16"/>
        </w:rPr>
      </w:pPr>
    </w:p>
    <w:p w14:paraId="103A2E1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7395 О ремонте бронепоездов для Красной Армии в первом полугодии 1945 г. (7301, 48-50,51-54).</w:t>
      </w:r>
    </w:p>
    <w:p w14:paraId="2306439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25B52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7396 О материально-техническом обеспечении предприятий серной промышленности Наркомхимпрома. РГАНИР, Фонд ГКО, д. 359, лл. 55-57, 58-60 (11012).</w:t>
      </w:r>
    </w:p>
    <w:p w14:paraId="4485E649" w14:textId="77777777" w:rsidR="00C2313B" w:rsidRPr="00925F26" w:rsidRDefault="00C2313B" w:rsidP="00925F26">
      <w:pPr>
        <w:autoSpaceDE w:val="0"/>
        <w:autoSpaceDN w:val="0"/>
        <w:adjustRightInd w:val="0"/>
        <w:jc w:val="both"/>
        <w:rPr>
          <w:color w:val="000000" w:themeColor="text1"/>
          <w:sz w:val="16"/>
          <w:szCs w:val="16"/>
        </w:rPr>
      </w:pPr>
    </w:p>
    <w:p w14:paraId="5FE052B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7397 О направлении автоколонны централизованного резерва на работы по вывозке сахарной свеклы. (7301, 61-63,64).</w:t>
      </w:r>
    </w:p>
    <w:p w14:paraId="3BD2FCC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838D34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7398 О направлении автоколонн централизованного резерва на работы по обеспечению массовых перевозок на стройках Наркомнефти. (7301, 65-67,68).</w:t>
      </w:r>
    </w:p>
    <w:p w14:paraId="270F563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26A5D2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7399 Об увеличении поставки пароперегревательных труб для НКПС. (7301, 69-71,72-75).</w:t>
      </w:r>
    </w:p>
    <w:p w14:paraId="1583B83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93E1DA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7400 О поставке НКПС металла, материалов и оборудования для обеспечения работ железнодорожного транспорта в I квартале 1945 г. (7301, 76-89,90-95).</w:t>
      </w:r>
    </w:p>
    <w:p w14:paraId="5F0427B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D74A38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7401 О подготовке временно восстановленных железнодорожных мостов к пропуску весеннего паводка и ледохода 1945 г. (7301, 96-100,101).</w:t>
      </w:r>
    </w:p>
    <w:p w14:paraId="3EB211D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06233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вышло Постановление ГКО № 7402 О строительстве рабочего поселка на Саранском месторождении в Карагандинском угольном бассейне. РГАНИР, Фонд ГКО, д. 359, лл. 102-108, 109-118 (11012).</w:t>
      </w:r>
    </w:p>
    <w:p w14:paraId="624B6A0E" w14:textId="77777777" w:rsidR="00C2313B" w:rsidRPr="00925F26" w:rsidRDefault="00C2313B" w:rsidP="00925F26">
      <w:pPr>
        <w:autoSpaceDE w:val="0"/>
        <w:autoSpaceDN w:val="0"/>
        <w:adjustRightInd w:val="0"/>
        <w:jc w:val="both"/>
        <w:rPr>
          <w:color w:val="000000" w:themeColor="text1"/>
          <w:sz w:val="16"/>
          <w:szCs w:val="16"/>
        </w:rPr>
      </w:pPr>
    </w:p>
    <w:p w14:paraId="023079E0" w14:textId="77777777" w:rsidR="00590D1F" w:rsidRPr="00925F26" w:rsidRDefault="00590D1F" w:rsidP="00925F26">
      <w:pPr>
        <w:jc w:val="both"/>
        <w:rPr>
          <w:color w:val="000000" w:themeColor="text1"/>
          <w:sz w:val="16"/>
          <w:szCs w:val="16"/>
        </w:rPr>
      </w:pPr>
      <w:r w:rsidRPr="00925F26">
        <w:rPr>
          <w:bCs/>
          <w:color w:val="000000" w:themeColor="text1"/>
          <w:sz w:val="16"/>
          <w:szCs w:val="16"/>
        </w:rPr>
        <w:t>26 января</w:t>
      </w:r>
      <w:r w:rsidRPr="00925F26">
        <w:rPr>
          <w:color w:val="000000" w:themeColor="text1"/>
          <w:sz w:val="16"/>
          <w:szCs w:val="16"/>
        </w:rPr>
        <w:t xml:space="preserve"> в 1945 году оперативная сводка Совинформбюро:</w:t>
      </w:r>
    </w:p>
    <w:p w14:paraId="18C0313D" w14:textId="77777777" w:rsidR="00590D1F" w:rsidRPr="00925F26" w:rsidRDefault="00590D1F" w:rsidP="00925F26">
      <w:pPr>
        <w:jc w:val="both"/>
        <w:rPr>
          <w:color w:val="000000" w:themeColor="text1"/>
          <w:sz w:val="16"/>
          <w:szCs w:val="16"/>
        </w:rPr>
      </w:pPr>
      <w:r w:rsidRPr="00925F26">
        <w:rPr>
          <w:color w:val="000000" w:themeColor="text1"/>
          <w:sz w:val="16"/>
          <w:szCs w:val="16"/>
        </w:rPr>
        <w:t xml:space="preserve">«Войска 3-го Белорусского фронта 26 января с боем овладели городами Восточной Пруссии Тапиау, Алленбург, Норденбург и Летцен — мощными опорными пунктами долговременной оборонительной полосы немцев, прикрывающей центральные районы Восточной Пруссии, а также с боями заняли более 250 других </w:t>
      </w:r>
      <w:r w:rsidRPr="00925F26">
        <w:rPr>
          <w:color w:val="000000" w:themeColor="text1"/>
          <w:sz w:val="16"/>
          <w:szCs w:val="16"/>
        </w:rPr>
        <w:lastRenderedPageBreak/>
        <w:t>населённых пунктов, в том числе крупные населённые пункты Лаблаккен, Гросс Дроозден, Ботенен, Брасдорф, Левенхаген, Удерванген, Фришинг, Гросс-Зобросг и железнодорожные станции Прониттен, Виллкюнен, Георгенфельде.</w:t>
      </w:r>
    </w:p>
    <w:p w14:paraId="202DA0BF"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2-го Белорусского фронта, продолжая стремительное наступление, 26 января овладели городами Восточной Пруссии Мюльхаузен, Мариенбург и Штум — важными опорными пунктами обороны немцев и, прорвавшись к побережью Данцигской бухты, заняли город Толькемит, отрезав тем самым Восточно-Прусскую группировку немцев от центральных районов Германии. Одновременно войска фронта с боями заняли на территории Польши города Ласин, Унислав, Хелмжа (Кульмзее) и более 400 других населённых [пунктов, в числе которых крупные населённые пункты Грутта, Реден, Айзелау, Бросово, Шарнзее, Рентшкау, Розенберг, Вальдау (4 километра северо-восточнее города Торунь).</w:t>
      </w:r>
    </w:p>
    <w:p w14:paraId="117C709E" w14:textId="77777777" w:rsidR="00590D1F" w:rsidRPr="00925F26" w:rsidRDefault="00590D1F" w:rsidP="00925F26">
      <w:pPr>
        <w:jc w:val="both"/>
        <w:rPr>
          <w:color w:val="000000" w:themeColor="text1"/>
          <w:sz w:val="16"/>
          <w:szCs w:val="16"/>
        </w:rPr>
      </w:pPr>
      <w:r w:rsidRPr="00925F26">
        <w:rPr>
          <w:color w:val="000000" w:themeColor="text1"/>
          <w:sz w:val="16"/>
          <w:szCs w:val="16"/>
        </w:rPr>
        <w:t>На Познанском направлении войска 1-го Белорусского фронта, продолжая наступление, овладели городами Вонгровец, Рогазен, Шоккен, Вайссенбург, Курник, Мосина, Сантомишель и заняли более 400 других населённых пунктов.</w:t>
      </w:r>
    </w:p>
    <w:p w14:paraId="6DF91DD6" w14:textId="77777777" w:rsidR="00590D1F" w:rsidRPr="00925F26" w:rsidRDefault="00590D1F" w:rsidP="00925F26">
      <w:pPr>
        <w:jc w:val="both"/>
        <w:rPr>
          <w:color w:val="000000" w:themeColor="text1"/>
          <w:sz w:val="16"/>
          <w:szCs w:val="16"/>
        </w:rPr>
      </w:pPr>
      <w:r w:rsidRPr="00925F26">
        <w:rPr>
          <w:color w:val="000000" w:themeColor="text1"/>
          <w:sz w:val="16"/>
          <w:szCs w:val="16"/>
        </w:rPr>
        <w:t>На трёх аэродромах и на авиационном заводе в районе города Познань войска фронта захватили 292 немецких самолёта.</w:t>
      </w:r>
    </w:p>
    <w:p w14:paraId="08FA7CAD"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и западнее города Калиш наши войска с боем овладели крупным узлом шоссейных дорог городом Кротошин, городами Комшин и Здуны и заняли на территории Польши более 100 других населённых пунктов.</w:t>
      </w:r>
    </w:p>
    <w:p w14:paraId="0C8DBBE9"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26 января штурмом овладели крупным центром промышленного района немецкой Силезии городом Гинденбург — важным узлом коммуникаций и мощным опорным пунктом обороны немцев, а также с боями заняли на территории Германии города Геррнштадт, Винциг, Штроппен, Прауснитц, Требнитц, Юлиусбург и более 300 других населённых пунктов.</w:t>
      </w:r>
    </w:p>
    <w:p w14:paraId="346EA2ED" w14:textId="77777777" w:rsidR="00590D1F" w:rsidRPr="00925F26" w:rsidRDefault="00590D1F" w:rsidP="00925F26">
      <w:pPr>
        <w:jc w:val="both"/>
        <w:rPr>
          <w:color w:val="000000" w:themeColor="text1"/>
          <w:sz w:val="16"/>
          <w:szCs w:val="16"/>
        </w:rPr>
      </w:pPr>
      <w:r w:rsidRPr="00925F26">
        <w:rPr>
          <w:color w:val="000000" w:themeColor="text1"/>
          <w:sz w:val="16"/>
          <w:szCs w:val="16"/>
        </w:rPr>
        <w:t>На аэродромах в районе города ЕЛЬС войска фронта захватили 150 немецких самолётов.</w:t>
      </w:r>
    </w:p>
    <w:p w14:paraId="136D2A4E"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и западнее города Кошице наши войска в результате наступательных боёв овладели на территории Чехословакии городами Спишске Подградье и Спишске Влахи, а также заняли населённые пункты Лехница, Рихвальд, Топорец, Блажов, Гориски, Маркушовце, Вондришель, Влахово.</w:t>
      </w:r>
    </w:p>
    <w:p w14:paraId="5DFC9B65" w14:textId="77777777" w:rsidR="00590D1F" w:rsidRPr="00925F26" w:rsidRDefault="00590D1F" w:rsidP="00925F26">
      <w:pPr>
        <w:jc w:val="both"/>
        <w:rPr>
          <w:color w:val="000000" w:themeColor="text1"/>
          <w:sz w:val="16"/>
          <w:szCs w:val="16"/>
        </w:rPr>
      </w:pPr>
      <w:r w:rsidRPr="00925F26">
        <w:rPr>
          <w:color w:val="000000" w:themeColor="text1"/>
          <w:sz w:val="16"/>
          <w:szCs w:val="16"/>
        </w:rPr>
        <w:t>В будапеште наши войска продолжали бои по уничтожению окружённых частей противника в западной части города (Буда) и заняли 25 кварталов.</w:t>
      </w:r>
    </w:p>
    <w:p w14:paraId="3EE26036"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Будапешта наши войска отбивали атаки крупных сил пехоты и танков противника и нанесли ему большие потери в живой силе и технике.</w:t>
      </w:r>
    </w:p>
    <w:p w14:paraId="0D91CE63" w14:textId="77777777" w:rsidR="00590D1F" w:rsidRPr="00925F26" w:rsidRDefault="00590D1F" w:rsidP="00925F26">
      <w:pPr>
        <w:jc w:val="both"/>
        <w:rPr>
          <w:color w:val="000000" w:themeColor="text1"/>
          <w:sz w:val="16"/>
          <w:szCs w:val="16"/>
        </w:rPr>
      </w:pPr>
      <w:r w:rsidRPr="00925F26">
        <w:rPr>
          <w:color w:val="000000" w:themeColor="text1"/>
          <w:sz w:val="16"/>
          <w:szCs w:val="16"/>
        </w:rPr>
        <w:t>За 25 января наши войска на всех фронтах подбили и уничтожили 97 немецких танков, из них 47 танков — юго-западнее Будапешта. В воздушных боях и огнём зенитной артиллерии сбито 15 самолётов противника.</w:t>
      </w:r>
    </w:p>
    <w:p w14:paraId="2DA76C7B"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3-го Белорусского фронта продолжали наступление. В результате ожесточённых боёв советские части взломали сильно укреплённую оборону противника на западном берегу реки Дайме и овладели городом Тапиау — важнейшим узлом вражеского сопротивления на подступах к Кенигсбергу. В районе Тапиау наши войска разгромили десятки железобетонных орудийных и пулемётных дотов и прорвали несколько линий траншей усовершенствованного типа. Развивая успех, советские танки и пехота продвинулись вперёд на 10 километров и овладели крупным населённым пунктом Левенхаген, находящимся в 15 километрах восточнее города Кенигсберга — центра Восточной Пруссии. Ожесточенные бои велись также за город Летцен, расположенный между большими озёрами. Немцы, используя удобную для обороны местность, сильно укрепили Летцен и превратили его в мощный узел сопротивления, преграждавший путь к центральным районам Восточной Пруссии. Противник неоднократно переходил в контратаки, но не смог сдержать натиска советских частей. Уличные бои продолжались всю ночь. Сегодня наши войска разгромили вражеский гарнизон и овладели городом Летцен. Противник потерял убитыми свыше 2.000 своих солдат и офицеров. Захвачено у немцев 53 орудия и много других трофеев.</w:t>
      </w:r>
    </w:p>
    <w:p w14:paraId="0AF96D39" w14:textId="77777777" w:rsidR="00590D1F" w:rsidRPr="00925F26" w:rsidRDefault="00590D1F" w:rsidP="00925F26">
      <w:pPr>
        <w:jc w:val="both"/>
        <w:rPr>
          <w:color w:val="000000" w:themeColor="text1"/>
          <w:sz w:val="16"/>
          <w:szCs w:val="16"/>
        </w:rPr>
      </w:pPr>
      <w:r w:rsidRPr="00925F26">
        <w:rPr>
          <w:color w:val="000000" w:themeColor="text1"/>
          <w:sz w:val="16"/>
          <w:szCs w:val="16"/>
        </w:rPr>
        <w:t>Советские воины показывают доблесть и геройство в боях с немецкими захватчиками. Артиллерийская батарея гвардии старшего лейтенанта Акужина в одном бою подбила два танка и самоходное орудие противника. Гвардии рядовой Шамшиев ворвался во вражеские окопы и убил трёх немцев, а затем обезоружил и взял в плен двух гитлеровцев. На одном участке огонь вражеского пулемёта преграждал путь нашему подразделению. Гвардии рядовой Микелов подобрался к пулемёту противника и, бросив гранату, уничтожил немецких пулемётчиков.</w:t>
      </w:r>
    </w:p>
    <w:p w14:paraId="1DDFE293"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2-го Белорусского фронта развивали стремительное наступление. Немцы пытались во что бы то ни стало удержать в своих руках коридор, связывающий Восточную Пруссию с центральными районами Германии, и бросили в бой все свои наличные резервы. Крупные силы немецких войск непрерывно переходили в контратаки. Советские танковые соединения и пехота, преодолев упорное сопротивление противника, овладели городом Мюльхаузен и, устремившись вперёд, прорвались к побережью Данцигской бухты. Тем самым крупной группировке немецких войск, действующей в Восточной Пруссии, отрезаны все пути отхода по суше. Другие советские части с боями продвинулись вперёд на 20 километров и штурмом овладели городом Мариенбург — важным узлом шоссейных и железных дорог. Мариенбург — промышленный город Восточной Пруссии — расположен на берегу судоходной реки Ногат. В нём имеются военные и химические заводы, пищевые и деревообделочные предприятия. В боях за день нашими войсками уничтожено 1.500 гитлеровцев. Сожжено и подбито 12 немецких танков. Захвачены крупные трофеи — большое количество вооружения, много паровозов, вагонов, десятки складов с боеприпасами, продовольствием и военными материалами.</w:t>
      </w:r>
    </w:p>
    <w:p w14:paraId="3103E417"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продолжали успешное наступление. Советские танковые и стрелковые части, овладев 24 января городом Глейвиц, нанесли удар в восточном направлении и завязали бои на подступах к городу Гинденбург. Немцы заранее подготовили укрепления и рассчитывали здесь долго обороняться. Наши части атаковали противника с северо-запада и запада, прорвали внешние оборонительные линии и ворвались на улицы Гинденбурга. Стремительно продвигаясь вперёд, советские бойцы подавили очаги сопротивления гитлеровцев и сегодня штурмом овладели городом Гинденбург — мощным опорным пунктом обороны противника. Город Гинденбург, крупный промышленный центр немецкой Силезии, насчитывал около 150 тысяч жителей. В городе находятся сталелитейный, чугунолитейный, металлопрокатный, котлостроительный и другие заводы чёрной металлургии, а также заводы тяжёлого и легкого машиностроения. Нашими войсками захвачены трофеи и взято в плен свыше 1.000 немецких солдат и офицеров.</w:t>
      </w:r>
    </w:p>
    <w:p w14:paraId="7D521327" w14:textId="77777777" w:rsidR="00590D1F" w:rsidRPr="00925F26" w:rsidRDefault="00590D1F" w:rsidP="00925F26">
      <w:pPr>
        <w:jc w:val="both"/>
        <w:rPr>
          <w:color w:val="000000" w:themeColor="text1"/>
          <w:sz w:val="16"/>
          <w:szCs w:val="16"/>
        </w:rPr>
      </w:pPr>
      <w:r w:rsidRPr="00925F26">
        <w:rPr>
          <w:color w:val="000000" w:themeColor="text1"/>
          <w:sz w:val="16"/>
          <w:szCs w:val="16"/>
        </w:rPr>
        <w:t>В Чехословакии северо-западнее и западнее города Кошице наши войска боями продвигались вперед. Советские пехотинцы и артиллеристы, пробиваясь через лесные массивы по склонам гор, покрытым снегом и льдом, наносят врагу непрерывные удары. Преодолев цепь гор, наши части вышли к городу Спишске Подградье — сильно укрепленному опорному пункту противника в Карпатах. Немцы стремились любой ценой удержать город в своих руках. Наши бойцы сломили вражеское сопротивление и овладели городом Спишске Подградье. Захвачено 10 орудий, 27 пулеметов, 100 вагонов с грузами и 6 складов с боеприпасами. Взято в плен 400 немцев.».</w:t>
      </w:r>
    </w:p>
    <w:p w14:paraId="50B5C657" w14:textId="77777777" w:rsidR="00590D1F" w:rsidRPr="00925F26" w:rsidRDefault="00590D1F" w:rsidP="00925F26">
      <w:pPr>
        <w:jc w:val="both"/>
        <w:rPr>
          <w:color w:val="000000" w:themeColor="text1"/>
          <w:sz w:val="16"/>
          <w:szCs w:val="16"/>
        </w:rPr>
      </w:pPr>
      <w:r w:rsidRPr="00925F26">
        <w:rPr>
          <w:color w:val="000000" w:themeColor="text1"/>
          <w:sz w:val="16"/>
          <w:szCs w:val="16"/>
        </w:rPr>
        <w:t>Потери противника и трофеи войск 3-го и 2-го, 1-го Белорусских, 1-го и 4-го Украинских фронтов за время наступательных боев с 12 по 24 января 1945 года.</w:t>
      </w:r>
    </w:p>
    <w:p w14:paraId="6886C527"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3-го Белорусского фронта под командованием генерала армии Черняховского за время наступательных боёв с 14 по 24 января нанесли противнику следующие потери в живой силе и технике:</w:t>
      </w:r>
    </w:p>
    <w:p w14:paraId="1546694C" w14:textId="77777777" w:rsidR="00590D1F" w:rsidRPr="00925F26" w:rsidRDefault="00590D1F" w:rsidP="00925F26">
      <w:pPr>
        <w:jc w:val="both"/>
        <w:rPr>
          <w:color w:val="000000" w:themeColor="text1"/>
          <w:sz w:val="16"/>
          <w:szCs w:val="16"/>
        </w:rPr>
      </w:pPr>
      <w:r w:rsidRPr="00925F26">
        <w:rPr>
          <w:color w:val="000000" w:themeColor="text1"/>
          <w:sz w:val="16"/>
          <w:szCs w:val="16"/>
        </w:rPr>
        <w:t>Уничтожено: самолётов — 183, танков и самоходных орудий — более 700, орудий — 710, миномётов — 480, пулемётов—1.940, автомашин — 2.500, тракторов и тягачей — 270. Противник потерял только убитыми более 60.000 солдат и офицеров.</w:t>
      </w:r>
    </w:p>
    <w:p w14:paraId="49425350" w14:textId="77777777" w:rsidR="00590D1F" w:rsidRPr="00925F26" w:rsidRDefault="00590D1F" w:rsidP="00925F26">
      <w:pPr>
        <w:jc w:val="both"/>
        <w:rPr>
          <w:color w:val="000000" w:themeColor="text1"/>
          <w:sz w:val="16"/>
          <w:szCs w:val="16"/>
        </w:rPr>
      </w:pPr>
      <w:r w:rsidRPr="00925F26">
        <w:rPr>
          <w:color w:val="000000" w:themeColor="text1"/>
          <w:sz w:val="16"/>
          <w:szCs w:val="16"/>
        </w:rPr>
        <w:t>Захвачено: самолётов — 30, танков и самоходных орудий — 88, орудий — 379, миномётов — 222, пулемётов — 2.532, винтовок и автоматов— 8.500, метательных аппаратов — 99, радиостанций—11, автомашин — 522, велосипедов — 2.478, складов с боеприпасами, снаряжением и продовольствием — 73.</w:t>
      </w:r>
    </w:p>
    <w:p w14:paraId="10830194" w14:textId="77777777" w:rsidR="00590D1F" w:rsidRPr="00925F26" w:rsidRDefault="00590D1F" w:rsidP="00925F26">
      <w:pPr>
        <w:jc w:val="both"/>
        <w:rPr>
          <w:color w:val="000000" w:themeColor="text1"/>
          <w:sz w:val="16"/>
          <w:szCs w:val="16"/>
        </w:rPr>
      </w:pPr>
      <w:r w:rsidRPr="00925F26">
        <w:rPr>
          <w:color w:val="000000" w:themeColor="text1"/>
          <w:sz w:val="16"/>
          <w:szCs w:val="16"/>
        </w:rPr>
        <w:t>Взято в плен свыше 4.000 немецких солдат и офицеров.</w:t>
      </w:r>
    </w:p>
    <w:p w14:paraId="0CE03242" w14:textId="77777777" w:rsidR="00590D1F" w:rsidRPr="00925F26" w:rsidRDefault="00590D1F" w:rsidP="00925F26">
      <w:pPr>
        <w:jc w:val="both"/>
        <w:rPr>
          <w:color w:val="000000" w:themeColor="text1"/>
          <w:sz w:val="16"/>
          <w:szCs w:val="16"/>
        </w:rPr>
      </w:pPr>
      <w:r w:rsidRPr="00925F26">
        <w:rPr>
          <w:color w:val="000000" w:themeColor="text1"/>
          <w:sz w:val="16"/>
          <w:szCs w:val="16"/>
        </w:rPr>
        <w:t>Таким образам, в результате одиннадцатидневных наступательных боёв войск 3-го Белорусского фронта потери противника по основным видам боевой техники и людям составляют: пленными и убитыми более 64.000 солдат и офицеров; самолётов — 213, танков и самоходных орудий— 788, орудий—1.089, миномётов — 702, пулемётов — 4.472, автомашин — 3.022.</w:t>
      </w:r>
    </w:p>
    <w:p w14:paraId="0FF4B6E4"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2-го Белорусского фронта под командованием Маршала Советского Союза Рокоссовского за время наступательных боёв с 14 по 24 января нанесли противнику следующие потери в живой силе и технике:</w:t>
      </w:r>
    </w:p>
    <w:p w14:paraId="3A19030C" w14:textId="77777777" w:rsidR="00590D1F" w:rsidRPr="00925F26" w:rsidRDefault="00590D1F" w:rsidP="00925F26">
      <w:pPr>
        <w:jc w:val="both"/>
        <w:rPr>
          <w:color w:val="000000" w:themeColor="text1"/>
          <w:sz w:val="16"/>
          <w:szCs w:val="16"/>
        </w:rPr>
      </w:pPr>
      <w:r w:rsidRPr="00925F26">
        <w:rPr>
          <w:color w:val="000000" w:themeColor="text1"/>
          <w:sz w:val="16"/>
          <w:szCs w:val="16"/>
        </w:rPr>
        <w:t>Уничтожено: самолётов — 38, танков и самоходных орудий — 490, орудий — 830, миномётов — 470, пулемётов — 1.830, автомашин — 1.800, бронетранспортёров — 44. Противник потерял только убитыми более 65.000 солдат и офицеров.</w:t>
      </w:r>
    </w:p>
    <w:p w14:paraId="6C96C25E" w14:textId="77777777" w:rsidR="00590D1F" w:rsidRPr="00925F26" w:rsidRDefault="00590D1F" w:rsidP="00925F26">
      <w:pPr>
        <w:jc w:val="both"/>
        <w:rPr>
          <w:color w:val="000000" w:themeColor="text1"/>
          <w:sz w:val="16"/>
          <w:szCs w:val="16"/>
        </w:rPr>
      </w:pPr>
      <w:r w:rsidRPr="00925F26">
        <w:rPr>
          <w:color w:val="000000" w:themeColor="text1"/>
          <w:sz w:val="16"/>
          <w:szCs w:val="16"/>
        </w:rPr>
        <w:t>Захвачено: танков и самоходных орудий — 72, орудий — 633, миномётов — 214, пулемётов — 1.042, винтовок и автоматов более 10.000, бронетранспортёров — 37, автомашин — 729, повозок с военными груза-</w:t>
      </w:r>
    </w:p>
    <w:p w14:paraId="6EAB7646" w14:textId="77777777" w:rsidR="00590D1F" w:rsidRPr="00925F26" w:rsidRDefault="00590D1F" w:rsidP="00925F26">
      <w:pPr>
        <w:jc w:val="both"/>
        <w:rPr>
          <w:color w:val="000000" w:themeColor="text1"/>
          <w:sz w:val="16"/>
          <w:szCs w:val="16"/>
        </w:rPr>
      </w:pPr>
      <w:r w:rsidRPr="00925F26">
        <w:rPr>
          <w:color w:val="000000" w:themeColor="text1"/>
          <w:sz w:val="16"/>
          <w:szCs w:val="16"/>
        </w:rPr>
        <w:t>ми — 347, лошадей — 246, тягачей — 66, паровозов — 38, вагонов — 1.800, складов с боеприпасами, снаряжением и продовольствием—161.</w:t>
      </w:r>
    </w:p>
    <w:p w14:paraId="42E54B73" w14:textId="77777777" w:rsidR="00590D1F" w:rsidRPr="00925F26" w:rsidRDefault="00590D1F" w:rsidP="00925F26">
      <w:pPr>
        <w:jc w:val="both"/>
        <w:rPr>
          <w:color w:val="000000" w:themeColor="text1"/>
          <w:sz w:val="16"/>
          <w:szCs w:val="16"/>
        </w:rPr>
      </w:pPr>
      <w:r w:rsidRPr="00925F26">
        <w:rPr>
          <w:color w:val="000000" w:themeColor="text1"/>
          <w:sz w:val="16"/>
          <w:szCs w:val="16"/>
        </w:rPr>
        <w:t>Взято в плен 5.530 немецких солдат и офицеров.</w:t>
      </w:r>
    </w:p>
    <w:p w14:paraId="718C4388" w14:textId="77777777" w:rsidR="00590D1F" w:rsidRPr="00925F26" w:rsidRDefault="00590D1F" w:rsidP="00925F26">
      <w:pPr>
        <w:jc w:val="both"/>
        <w:rPr>
          <w:color w:val="000000" w:themeColor="text1"/>
          <w:sz w:val="16"/>
          <w:szCs w:val="16"/>
        </w:rPr>
      </w:pPr>
      <w:r w:rsidRPr="00925F26">
        <w:rPr>
          <w:color w:val="000000" w:themeColor="text1"/>
          <w:sz w:val="16"/>
          <w:szCs w:val="16"/>
        </w:rPr>
        <w:t>Таким образам, в результате одиннадцатидневных наступательных боёв войск 2-го Белорусского фронта потери противника по основным видам боевой техники и людям составляют: пленными и убитыми более 70.000 солдат и офицеров; самолётов — 38, танков и самоходных орудий — 562, орудий—1.463, миномётов — 684, пулемётов — 2.872, автомашин — 2.529.</w:t>
      </w:r>
    </w:p>
    <w:p w14:paraId="2D07A08F"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Белорусского фронта под командованием Маршала Советского Союза Жукова за время наступательных боёв с 14 по 04 января нанесли противнику следующие потери в живой силе и технике:</w:t>
      </w:r>
    </w:p>
    <w:p w14:paraId="18A75403" w14:textId="77777777" w:rsidR="00590D1F" w:rsidRPr="00925F26" w:rsidRDefault="00590D1F" w:rsidP="00925F26">
      <w:pPr>
        <w:jc w:val="both"/>
        <w:rPr>
          <w:color w:val="000000" w:themeColor="text1"/>
          <w:sz w:val="16"/>
          <w:szCs w:val="16"/>
        </w:rPr>
      </w:pPr>
      <w:r w:rsidRPr="00925F26">
        <w:rPr>
          <w:color w:val="000000" w:themeColor="text1"/>
          <w:sz w:val="16"/>
          <w:szCs w:val="16"/>
        </w:rPr>
        <w:t>Уничтожено: самолётов — 123, танков и самоходных орудий — свыше 400, орудий — более 700, миномётов — 950, пулемётов — 2.900, бронетранспортёров — 320, автомашин — 5.500. Противник потерял только убитыми более 80.000 солдат и офицеров.</w:t>
      </w:r>
    </w:p>
    <w:p w14:paraId="664EA432" w14:textId="77777777" w:rsidR="00590D1F" w:rsidRPr="00925F26" w:rsidRDefault="00590D1F" w:rsidP="00925F26">
      <w:pPr>
        <w:jc w:val="both"/>
        <w:rPr>
          <w:color w:val="000000" w:themeColor="text1"/>
          <w:sz w:val="16"/>
          <w:szCs w:val="16"/>
        </w:rPr>
      </w:pPr>
      <w:r w:rsidRPr="00925F26">
        <w:rPr>
          <w:color w:val="000000" w:themeColor="text1"/>
          <w:sz w:val="16"/>
          <w:szCs w:val="16"/>
        </w:rPr>
        <w:t>Захвачено: самолётов—120, танков и самоходных орудий — 350, орудий— 1.452, миномётов— 1.300, пулемётов — 8.000, винтовок и автоматов— более 35.000, бронетранспортёров — 51, автомашин — 679, тракторов и тягачей — 388, паровозов — 134, вагонов — 2.773, железнодорожных эшелонов с вооружением, боеприпасами и другим военным имуществом— 29, повозок с военными грузами—10.400, лошадей — более-8.000, складов с боеприпасами, снаряжением и продовольствием — 229.</w:t>
      </w:r>
    </w:p>
    <w:p w14:paraId="71FDF956" w14:textId="77777777" w:rsidR="00590D1F" w:rsidRPr="00925F26" w:rsidRDefault="00590D1F" w:rsidP="00925F26">
      <w:pPr>
        <w:jc w:val="both"/>
        <w:rPr>
          <w:color w:val="000000" w:themeColor="text1"/>
          <w:sz w:val="16"/>
          <w:szCs w:val="16"/>
        </w:rPr>
      </w:pPr>
      <w:r w:rsidRPr="00925F26">
        <w:rPr>
          <w:color w:val="000000" w:themeColor="text1"/>
          <w:sz w:val="16"/>
          <w:szCs w:val="16"/>
        </w:rPr>
        <w:lastRenderedPageBreak/>
        <w:t>Взято в плен 37.700 немецких солдат и офицеров.</w:t>
      </w:r>
    </w:p>
    <w:p w14:paraId="37535D04" w14:textId="77777777" w:rsidR="00590D1F" w:rsidRPr="00925F26" w:rsidRDefault="00590D1F" w:rsidP="00925F26">
      <w:pPr>
        <w:jc w:val="both"/>
        <w:rPr>
          <w:color w:val="000000" w:themeColor="text1"/>
          <w:sz w:val="16"/>
          <w:szCs w:val="16"/>
        </w:rPr>
      </w:pPr>
      <w:r w:rsidRPr="00925F26">
        <w:rPr>
          <w:color w:val="000000" w:themeColor="text1"/>
          <w:sz w:val="16"/>
          <w:szCs w:val="16"/>
        </w:rPr>
        <w:t>Таким образом, в результате одиннадцатидневных наступательных боёв войск 1-го Белорусского фронта потери противника по основным видам боевой техники и людям составляют: пленными и убитыми —-117.700 солдат и офицеров; самолётов — 243, танков и самоходных орудий — 750, орудий — 2.152, миномётов — 2.250, пулемётов — 10.900, бронетранспортёров — 371, автомашин — 6.179.</w:t>
      </w:r>
    </w:p>
    <w:p w14:paraId="14243733"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под командованием Маршала Советского Союза Конева за время наступательных боёв с 12 по 24 января нанесли противнику следующие потери в живой силе и технике:</w:t>
      </w:r>
    </w:p>
    <w:p w14:paraId="4C6663B6" w14:textId="77777777" w:rsidR="00590D1F" w:rsidRPr="00925F26" w:rsidRDefault="00590D1F" w:rsidP="00925F26">
      <w:pPr>
        <w:jc w:val="both"/>
        <w:rPr>
          <w:color w:val="000000" w:themeColor="text1"/>
          <w:sz w:val="16"/>
          <w:szCs w:val="16"/>
        </w:rPr>
      </w:pPr>
      <w:r w:rsidRPr="00925F26">
        <w:rPr>
          <w:color w:val="000000" w:themeColor="text1"/>
          <w:sz w:val="16"/>
          <w:szCs w:val="16"/>
        </w:rPr>
        <w:t>Уничтожено: самолётов — 98, танков и самоходных орудий — 480, орудий — 950, миномётов — 860, пулемётов — 2.100, автомашин — свыше 15.000. Противник потерял только убитыми более 70.000 солдат и офицеров.</w:t>
      </w:r>
    </w:p>
    <w:p w14:paraId="0F0C2233" w14:textId="77777777" w:rsidR="00590D1F" w:rsidRPr="00925F26" w:rsidRDefault="00590D1F" w:rsidP="00925F26">
      <w:pPr>
        <w:jc w:val="both"/>
        <w:rPr>
          <w:color w:val="000000" w:themeColor="text1"/>
          <w:sz w:val="16"/>
          <w:szCs w:val="16"/>
        </w:rPr>
      </w:pPr>
      <w:r w:rsidRPr="00925F26">
        <w:rPr>
          <w:color w:val="000000" w:themeColor="text1"/>
          <w:sz w:val="16"/>
          <w:szCs w:val="16"/>
        </w:rPr>
        <w:t>Захвачено: танков и самоходных орудий — 307, орудий — 1.596, миномётов — 2.560, пулемётов — 4.000, автомашин — 6.750, паровозов — 22, железнодорожных вагонов—1.200.</w:t>
      </w:r>
    </w:p>
    <w:p w14:paraId="5F88B346" w14:textId="77777777" w:rsidR="00590D1F" w:rsidRPr="00925F26" w:rsidRDefault="00590D1F" w:rsidP="00925F26">
      <w:pPr>
        <w:jc w:val="both"/>
        <w:rPr>
          <w:color w:val="000000" w:themeColor="text1"/>
          <w:sz w:val="16"/>
          <w:szCs w:val="16"/>
        </w:rPr>
      </w:pPr>
      <w:r w:rsidRPr="00925F26">
        <w:rPr>
          <w:color w:val="000000" w:themeColor="text1"/>
          <w:sz w:val="16"/>
          <w:szCs w:val="16"/>
        </w:rPr>
        <w:t>Взято в плен 31.900 немецких солдат и офицеров.</w:t>
      </w:r>
    </w:p>
    <w:p w14:paraId="1A527FD7" w14:textId="77777777" w:rsidR="00590D1F" w:rsidRPr="00925F26" w:rsidRDefault="00590D1F" w:rsidP="00925F26">
      <w:pPr>
        <w:jc w:val="both"/>
        <w:rPr>
          <w:color w:val="000000" w:themeColor="text1"/>
          <w:sz w:val="16"/>
          <w:szCs w:val="16"/>
        </w:rPr>
      </w:pPr>
      <w:r w:rsidRPr="00925F26">
        <w:rPr>
          <w:color w:val="000000" w:themeColor="text1"/>
          <w:sz w:val="16"/>
          <w:szCs w:val="16"/>
        </w:rPr>
        <w:t>Таким образам, в результате тринадцатидневных наступательных боёв войск 1-го Украинского фронта потери противника по основным видам боевой техники и людям составляют: пленными и убитыми — 101.900 солдат и офицеров; самолётов — 98, танков и самоходных орудий — 787, орудий—2.546, миномётов—3.420, пулемётов—6.100, автомашин—21.750.</w:t>
      </w:r>
    </w:p>
    <w:p w14:paraId="69FF14CC"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4-го Украинского фронта под командованием генерала-армии Петрова за время наступательных боёв с 15 по 24 января нанесли противнику следующие потери в живой силе и технике:</w:t>
      </w:r>
    </w:p>
    <w:p w14:paraId="79CDD110" w14:textId="77777777" w:rsidR="00590D1F" w:rsidRPr="00925F26" w:rsidRDefault="00590D1F" w:rsidP="00925F26">
      <w:pPr>
        <w:jc w:val="both"/>
        <w:rPr>
          <w:color w:val="000000" w:themeColor="text1"/>
          <w:sz w:val="16"/>
          <w:szCs w:val="16"/>
        </w:rPr>
      </w:pPr>
      <w:r w:rsidRPr="00925F26">
        <w:rPr>
          <w:color w:val="000000" w:themeColor="text1"/>
          <w:sz w:val="16"/>
          <w:szCs w:val="16"/>
        </w:rPr>
        <w:t>Уничтожено: танков и самоходных орудий — 68, орудий — 300, миномётов — 200, пулемётов — 800, бронетранспортёров — 80, автомашин — 160. Противник потерял только убитыми более 20.000 солдат и офицеров. Захвачено: танков и самоходных орудий — 40, орудий — 382, миномётов— 130, пулемётов — 875, бронетранспортёров — 44, автомашин — 379, повозок с военными грузами — 747, лошадей — 2.333, паровозов — 13, вагонов — 519, складов с боеприпасами, снаряжением и продовольствием — 115.</w:t>
      </w:r>
    </w:p>
    <w:p w14:paraId="67DA55C9" w14:textId="77777777" w:rsidR="00590D1F" w:rsidRPr="00925F26" w:rsidRDefault="00590D1F" w:rsidP="00925F26">
      <w:pPr>
        <w:jc w:val="both"/>
        <w:rPr>
          <w:color w:val="000000" w:themeColor="text1"/>
          <w:sz w:val="16"/>
          <w:szCs w:val="16"/>
        </w:rPr>
      </w:pPr>
      <w:r w:rsidRPr="00925F26">
        <w:rPr>
          <w:color w:val="000000" w:themeColor="text1"/>
          <w:sz w:val="16"/>
          <w:szCs w:val="16"/>
        </w:rPr>
        <w:t>Взято в плен 7.200 немецких солдат и офицеров. Таким образом, в результате десятидневных наступательных боёв войск 4-го Украинского фронта потери противника по основным видам боевой техники и живой силе составляют: пленными и убитыми — свыше 27.000 солдат и офицеров; танков и самоходных орудий — 108, орудий— 682, миномётов — 330, пулемётов — 1.675, автомашин — 539.</w:t>
      </w:r>
    </w:p>
    <w:p w14:paraId="3E19ED57" w14:textId="77777777" w:rsidR="00590D1F" w:rsidRPr="00925F26" w:rsidRDefault="00590D1F" w:rsidP="00925F26">
      <w:pPr>
        <w:jc w:val="both"/>
        <w:rPr>
          <w:color w:val="000000" w:themeColor="text1"/>
          <w:sz w:val="16"/>
          <w:szCs w:val="16"/>
        </w:rPr>
      </w:pPr>
      <w:r w:rsidRPr="00925F26">
        <w:rPr>
          <w:color w:val="000000" w:themeColor="text1"/>
          <w:sz w:val="16"/>
          <w:szCs w:val="16"/>
        </w:rPr>
        <w:t>В итоге наступательных боёв, проведённых с 12 по 24 января, войска 1-го, 2-го и 3-го Белорусских, 1-го и 4-го Украинских фронтов нанесли противнику следующие потери по основным видам боевой техники и живой силе:</w:t>
      </w:r>
    </w:p>
    <w:p w14:paraId="03B2FCF9" w14:textId="77777777" w:rsidR="00590D1F" w:rsidRPr="00925F26" w:rsidRDefault="00590D1F" w:rsidP="00925F26">
      <w:pPr>
        <w:jc w:val="both"/>
        <w:rPr>
          <w:color w:val="000000" w:themeColor="text1"/>
          <w:sz w:val="16"/>
          <w:szCs w:val="16"/>
        </w:rPr>
      </w:pPr>
      <w:r w:rsidRPr="00925F26">
        <w:rPr>
          <w:color w:val="000000" w:themeColor="text1"/>
          <w:sz w:val="16"/>
          <w:szCs w:val="16"/>
        </w:rPr>
        <w:t>Уничтожено: самолётов — 442, танков и самоходных орудий — 2.138, орудий — 3.490, миномётов — 2.960, пулемётов— 9.570, автомашин — 24.960. Противник потерял только убитыми — свыше 295.000 солдат и офицеров.</w:t>
      </w:r>
    </w:p>
    <w:p w14:paraId="049F922F" w14:textId="77777777" w:rsidR="00590D1F" w:rsidRPr="00925F26" w:rsidRDefault="00590D1F" w:rsidP="00925F26">
      <w:pPr>
        <w:jc w:val="both"/>
        <w:rPr>
          <w:color w:val="000000" w:themeColor="text1"/>
          <w:sz w:val="16"/>
          <w:szCs w:val="16"/>
        </w:rPr>
      </w:pPr>
      <w:r w:rsidRPr="00925F26">
        <w:rPr>
          <w:color w:val="000000" w:themeColor="text1"/>
          <w:sz w:val="16"/>
          <w:szCs w:val="16"/>
        </w:rPr>
        <w:t>Захвачено: самолётов—150, танков и самоходных орудий — 857, орудий — 4.442, миномётов — 4.426, пулемётов—16.449, автомашин — 9.059.</w:t>
      </w:r>
    </w:p>
    <w:p w14:paraId="78B7D19D" w14:textId="77777777" w:rsidR="00590D1F" w:rsidRPr="00925F26" w:rsidRDefault="00590D1F" w:rsidP="00925F26">
      <w:pPr>
        <w:jc w:val="both"/>
        <w:rPr>
          <w:color w:val="000000" w:themeColor="text1"/>
          <w:sz w:val="16"/>
          <w:szCs w:val="16"/>
        </w:rPr>
      </w:pPr>
      <w:r w:rsidRPr="00925F26">
        <w:rPr>
          <w:color w:val="000000" w:themeColor="text1"/>
          <w:sz w:val="16"/>
          <w:szCs w:val="16"/>
        </w:rPr>
        <w:t>Взято в плен 86.330 немецких солдат и офицеров.</w:t>
      </w:r>
    </w:p>
    <w:p w14:paraId="3EF16B3F" w14:textId="77777777" w:rsidR="00590D1F" w:rsidRPr="00925F26" w:rsidRDefault="00590D1F" w:rsidP="00925F26">
      <w:pPr>
        <w:jc w:val="both"/>
        <w:rPr>
          <w:color w:val="000000" w:themeColor="text1"/>
          <w:sz w:val="16"/>
          <w:szCs w:val="16"/>
        </w:rPr>
      </w:pPr>
      <w:r w:rsidRPr="00925F26">
        <w:rPr>
          <w:color w:val="000000" w:themeColor="text1"/>
          <w:sz w:val="16"/>
          <w:szCs w:val="16"/>
        </w:rPr>
        <w:t>Таким образом, в итоге наступательных боёв пяти фронтов потери противника по основным видам боевой техники и людям составляют пленными и убитыми более 380.000 солдат и офицеров; самолётов — 592, танков и самоходных орудий — 2.995, орудий — 7.932, миномётов — 7.386, пулемётов — 26.019, автомашин — 34.019.» (15021).</w:t>
      </w:r>
    </w:p>
    <w:p w14:paraId="4EAC296D" w14:textId="77777777" w:rsidR="00590D1F" w:rsidRPr="00925F26" w:rsidRDefault="00590D1F" w:rsidP="00925F26">
      <w:pPr>
        <w:jc w:val="both"/>
        <w:rPr>
          <w:color w:val="000000" w:themeColor="text1"/>
          <w:sz w:val="16"/>
          <w:szCs w:val="16"/>
        </w:rPr>
      </w:pPr>
    </w:p>
    <w:p w14:paraId="3DBE16C3" w14:textId="77777777" w:rsidR="00590D1F" w:rsidRPr="00925F26" w:rsidRDefault="00590D1F" w:rsidP="00925F26">
      <w:pPr>
        <w:jc w:val="both"/>
        <w:rPr>
          <w:color w:val="000000" w:themeColor="text1"/>
          <w:sz w:val="16"/>
          <w:szCs w:val="16"/>
        </w:rPr>
      </w:pPr>
      <w:r w:rsidRPr="00925F26">
        <w:rPr>
          <w:bCs/>
          <w:color w:val="000000" w:themeColor="text1"/>
          <w:sz w:val="16"/>
          <w:szCs w:val="16"/>
        </w:rPr>
        <w:t>26 января</w:t>
      </w:r>
      <w:r w:rsidRPr="00925F26">
        <w:rPr>
          <w:color w:val="000000" w:themeColor="text1"/>
          <w:sz w:val="16"/>
          <w:szCs w:val="16"/>
        </w:rPr>
        <w:t xml:space="preserve"> в 1945 году войска 2-го Белорусского фронта вышли на побережье Балтийского моря и отсекли главные силы восточно-прусской группировки немецко-фашистских войск от центральных районов Германии (15021).</w:t>
      </w:r>
    </w:p>
    <w:p w14:paraId="407BFA5A" w14:textId="77777777" w:rsidR="00590D1F" w:rsidRPr="00925F26" w:rsidRDefault="00590D1F" w:rsidP="00925F26">
      <w:pPr>
        <w:jc w:val="both"/>
        <w:rPr>
          <w:color w:val="000000" w:themeColor="text1"/>
          <w:sz w:val="16"/>
          <w:szCs w:val="16"/>
        </w:rPr>
      </w:pPr>
    </w:p>
    <w:p w14:paraId="6F401B6B" w14:textId="77777777" w:rsidR="00C2313B"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Армия</w:t>
      </w:r>
      <w:r w:rsidRPr="00925F26">
        <w:rPr>
          <w:i/>
          <w:iCs/>
          <w:color w:val="000000" w:themeColor="text1"/>
          <w:sz w:val="16"/>
          <w:szCs w:val="16"/>
          <w:lang w:val="en-US"/>
        </w:rPr>
        <w:t>:</w:t>
      </w:r>
    </w:p>
    <w:p w14:paraId="0968D814" w14:textId="77777777" w:rsidR="00C2313B" w:rsidRPr="00925F26" w:rsidRDefault="00C2313B" w:rsidP="00925F26">
      <w:pPr>
        <w:autoSpaceDE w:val="0"/>
        <w:autoSpaceDN w:val="0"/>
        <w:adjustRightInd w:val="0"/>
        <w:jc w:val="both"/>
        <w:rPr>
          <w:iCs/>
          <w:color w:val="000000" w:themeColor="text1"/>
          <w:sz w:val="16"/>
          <w:szCs w:val="16"/>
          <w:lang w:val="en-US"/>
        </w:rPr>
      </w:pPr>
    </w:p>
    <w:p w14:paraId="163622A7"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26, 1945: The Red Army captures Kattowitz in Upper Silesia (3819).</w:t>
      </w:r>
    </w:p>
    <w:p w14:paraId="35DC1AAA" w14:textId="77777777" w:rsidR="00C2313B" w:rsidRPr="00925F26" w:rsidRDefault="00C2313B" w:rsidP="00925F26">
      <w:pPr>
        <w:autoSpaceDE w:val="0"/>
        <w:autoSpaceDN w:val="0"/>
        <w:adjustRightInd w:val="0"/>
        <w:jc w:val="both"/>
        <w:rPr>
          <w:color w:val="000000" w:themeColor="text1"/>
          <w:sz w:val="16"/>
          <w:szCs w:val="16"/>
          <w:lang w:val="en-US"/>
        </w:rPr>
      </w:pPr>
    </w:p>
    <w:p w14:paraId="57F7B5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КА освободила Катовице в Верхней Силезии (3819).</w:t>
      </w:r>
    </w:p>
    <w:p w14:paraId="5508AB69" w14:textId="77777777" w:rsidR="00C2313B" w:rsidRPr="00925F26" w:rsidRDefault="00C2313B" w:rsidP="00925F26">
      <w:pPr>
        <w:autoSpaceDE w:val="0"/>
        <w:autoSpaceDN w:val="0"/>
        <w:adjustRightInd w:val="0"/>
        <w:jc w:val="both"/>
        <w:rPr>
          <w:color w:val="000000" w:themeColor="text1"/>
          <w:sz w:val="16"/>
          <w:szCs w:val="16"/>
        </w:rPr>
      </w:pPr>
    </w:p>
    <w:p w14:paraId="48A4C9F7"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 26 1945 Soviet troops liberate Auschwitz (1050).</w:t>
      </w:r>
    </w:p>
    <w:p w14:paraId="74E4D501" w14:textId="77777777" w:rsidR="00C2313B" w:rsidRPr="00925F26" w:rsidRDefault="00C2313B" w:rsidP="00925F26">
      <w:pPr>
        <w:autoSpaceDE w:val="0"/>
        <w:autoSpaceDN w:val="0"/>
        <w:adjustRightInd w:val="0"/>
        <w:jc w:val="both"/>
        <w:rPr>
          <w:color w:val="000000" w:themeColor="text1"/>
          <w:sz w:val="16"/>
          <w:szCs w:val="16"/>
          <w:lang w:val="en-US"/>
        </w:rPr>
      </w:pPr>
    </w:p>
    <w:p w14:paraId="09CC84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СА освободила Освенцим (2248,2).</w:t>
      </w:r>
    </w:p>
    <w:p w14:paraId="05F55D60" w14:textId="77777777" w:rsidR="00C2313B" w:rsidRPr="00925F26" w:rsidRDefault="00C2313B" w:rsidP="00925F26">
      <w:pPr>
        <w:autoSpaceDE w:val="0"/>
        <w:autoSpaceDN w:val="0"/>
        <w:adjustRightInd w:val="0"/>
        <w:jc w:val="both"/>
        <w:rPr>
          <w:color w:val="000000" w:themeColor="text1"/>
          <w:sz w:val="16"/>
          <w:szCs w:val="16"/>
        </w:rPr>
      </w:pPr>
    </w:p>
    <w:p w14:paraId="310BE39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02829FF" w14:textId="77777777" w:rsidR="00C2313B" w:rsidRPr="00925F26" w:rsidRDefault="00C2313B" w:rsidP="00925F26">
      <w:pPr>
        <w:autoSpaceDE w:val="0"/>
        <w:autoSpaceDN w:val="0"/>
        <w:adjustRightInd w:val="0"/>
        <w:jc w:val="both"/>
        <w:rPr>
          <w:iCs/>
          <w:color w:val="000000" w:themeColor="text1"/>
          <w:sz w:val="16"/>
          <w:szCs w:val="16"/>
        </w:rPr>
      </w:pPr>
    </w:p>
    <w:p w14:paraId="0FDFF0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 января 1945 первый полет выполнил McDonnel XFD-1, но 1 ноября - разбился (3040).</w:t>
      </w:r>
    </w:p>
    <w:p w14:paraId="1D12C3EB" w14:textId="77777777" w:rsidR="00C2313B" w:rsidRPr="00925F26" w:rsidRDefault="00C2313B" w:rsidP="00925F26">
      <w:pPr>
        <w:autoSpaceDE w:val="0"/>
        <w:autoSpaceDN w:val="0"/>
        <w:adjustRightInd w:val="0"/>
        <w:jc w:val="both"/>
        <w:rPr>
          <w:color w:val="000000" w:themeColor="text1"/>
          <w:sz w:val="16"/>
          <w:szCs w:val="16"/>
        </w:rPr>
      </w:pPr>
    </w:p>
    <w:p w14:paraId="3F155BCE" w14:textId="77777777" w:rsidR="004C221F" w:rsidRPr="00925F26" w:rsidRDefault="004C221F" w:rsidP="00925F26">
      <w:pPr>
        <w:jc w:val="both"/>
        <w:rPr>
          <w:color w:val="000000" w:themeColor="text1"/>
          <w:sz w:val="16"/>
          <w:szCs w:val="16"/>
        </w:rPr>
      </w:pPr>
      <w:r w:rsidRPr="00925F26">
        <w:rPr>
          <w:color w:val="000000" w:themeColor="text1"/>
          <w:sz w:val="16"/>
          <w:szCs w:val="16"/>
        </w:rPr>
        <w:t>26 января 1945 британские авианосцы HMS Ameer и HMS Shah поддерживают высадку морских пехотинцев на острове Чедуба у побережья Бирмы (20371).</w:t>
      </w:r>
    </w:p>
    <w:p w14:paraId="316FBAF0" w14:textId="77777777" w:rsidR="004C221F" w:rsidRPr="00925F26" w:rsidRDefault="004C221F" w:rsidP="00925F26">
      <w:pPr>
        <w:jc w:val="both"/>
        <w:rPr>
          <w:color w:val="000000" w:themeColor="text1"/>
          <w:sz w:val="16"/>
          <w:szCs w:val="16"/>
        </w:rPr>
      </w:pPr>
    </w:p>
    <w:p w14:paraId="26635F82" w14:textId="09E3FEB0" w:rsidR="004C221F" w:rsidRPr="00925F26" w:rsidRDefault="004C221F" w:rsidP="00925F26">
      <w:pPr>
        <w:jc w:val="both"/>
        <w:rPr>
          <w:color w:val="000000" w:themeColor="text1"/>
          <w:sz w:val="16"/>
          <w:szCs w:val="16"/>
        </w:rPr>
      </w:pPr>
      <w:r w:rsidRPr="00925F26">
        <w:rPr>
          <w:color w:val="000000" w:themeColor="text1"/>
          <w:sz w:val="16"/>
          <w:szCs w:val="16"/>
        </w:rPr>
        <w:t xml:space="preserve">26 января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палубного истребителя-бомбардировщика McDonnell FH Phantom. "Фантом" был первым чисто реактивным самолетом, приземлившимся на американский авианосец, и первым реактивным самолетом, развернутым корпусом морской пехоты США. До конца войны было построено всего 62 FH-1. Использовался в Корейской войне (22643).</w:t>
      </w:r>
    </w:p>
    <w:p w14:paraId="4D53BB4B" w14:textId="77777777" w:rsidR="004C221F" w:rsidRPr="00925F26" w:rsidRDefault="004C221F" w:rsidP="00925F26">
      <w:pPr>
        <w:jc w:val="both"/>
        <w:rPr>
          <w:color w:val="000000" w:themeColor="text1"/>
          <w:sz w:val="16"/>
          <w:szCs w:val="16"/>
        </w:rPr>
      </w:pPr>
    </w:p>
    <w:p w14:paraId="73F2D13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550B8FE" w14:textId="77777777" w:rsidR="00C2313B" w:rsidRPr="00925F26" w:rsidRDefault="00C2313B" w:rsidP="00925F26">
      <w:pPr>
        <w:autoSpaceDE w:val="0"/>
        <w:autoSpaceDN w:val="0"/>
        <w:adjustRightInd w:val="0"/>
        <w:jc w:val="both"/>
        <w:rPr>
          <w:iCs/>
          <w:color w:val="000000" w:themeColor="text1"/>
          <w:sz w:val="16"/>
          <w:szCs w:val="16"/>
        </w:rPr>
      </w:pPr>
    </w:p>
    <w:p w14:paraId="44D5C0E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января 1945 вышло Распоряжение ГКО № 7403 [О мерах по возмещению мазута, недоданного Главнефтеснабу заводами НКНП.] (7302, 1-2).</w:t>
      </w:r>
    </w:p>
    <w:p w14:paraId="5756A64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235C0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1945 вышло Постановление ГКО № 7404 О мерах обеспечения Горловского азотного завода Наркомхимпрома коксовым газом. РГАНИР, Фонд ГКО, д. 360, лл. 3-4 (11012).</w:t>
      </w:r>
    </w:p>
    <w:p w14:paraId="5322AAEC" w14:textId="77777777" w:rsidR="00C2313B" w:rsidRPr="00925F26" w:rsidRDefault="00C2313B" w:rsidP="00925F26">
      <w:pPr>
        <w:autoSpaceDE w:val="0"/>
        <w:autoSpaceDN w:val="0"/>
        <w:adjustRightInd w:val="0"/>
        <w:jc w:val="both"/>
        <w:rPr>
          <w:color w:val="000000" w:themeColor="text1"/>
          <w:sz w:val="16"/>
          <w:szCs w:val="16"/>
        </w:rPr>
      </w:pPr>
    </w:p>
    <w:p w14:paraId="7403FD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1945 вышло Распоряжение ГКО № 7405. Об отмене решения о выделении Днепрострою 2970 кв. м жилой площади. РГАНИР, Фонд ГКО, д. 360, лл. 5 (11012).</w:t>
      </w:r>
    </w:p>
    <w:p w14:paraId="581FC759" w14:textId="77777777" w:rsidR="00C2313B" w:rsidRPr="00925F26" w:rsidRDefault="00C2313B" w:rsidP="00925F26">
      <w:pPr>
        <w:autoSpaceDE w:val="0"/>
        <w:autoSpaceDN w:val="0"/>
        <w:adjustRightInd w:val="0"/>
        <w:jc w:val="both"/>
        <w:rPr>
          <w:color w:val="000000" w:themeColor="text1"/>
          <w:sz w:val="16"/>
          <w:szCs w:val="16"/>
        </w:rPr>
      </w:pPr>
    </w:p>
    <w:p w14:paraId="562F8AC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января 1945 вышло Распоряжение ГКО № 7406 [Об обмене самодвижущимися электростанциями между НКО и НКНП.] (7302, 6).</w:t>
      </w:r>
    </w:p>
    <w:p w14:paraId="78EAFDC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A15C7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1945 вышло Распоряжение ГКО № 7407. О мерах по обеспечению поставки ручных гранат НКО в январе-феврале 1945 г. РГАНИР, Фонд ГКО, д. 360, лл. 7-8, 9-10 (11012).</w:t>
      </w:r>
    </w:p>
    <w:p w14:paraId="609A2DB5" w14:textId="77777777" w:rsidR="00C2313B" w:rsidRPr="00925F26" w:rsidRDefault="00C2313B" w:rsidP="00925F26">
      <w:pPr>
        <w:autoSpaceDE w:val="0"/>
        <w:autoSpaceDN w:val="0"/>
        <w:adjustRightInd w:val="0"/>
        <w:jc w:val="both"/>
        <w:rPr>
          <w:color w:val="000000" w:themeColor="text1"/>
          <w:sz w:val="16"/>
          <w:szCs w:val="16"/>
        </w:rPr>
      </w:pPr>
    </w:p>
    <w:p w14:paraId="15D86E3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января 1945 вышло Постановление ГКО № 7408 [О мерах по расширению сырьевой базы производства металлического урана.] (Д. 260, 11).</w:t>
      </w:r>
    </w:p>
    <w:p w14:paraId="2B0A132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C8E3F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1945 было принято Постановление ГКО N 7408 в соответствии с которым в Болгарии организовали разработку и разведку урановый руды из месторождения Готен. Поступало до 1.5 тон в неделю. С 1946, когда нашли месторождения в СССР, добычу прекратили (3398,47).</w:t>
      </w:r>
    </w:p>
    <w:p w14:paraId="38353364" w14:textId="77777777" w:rsidR="00C2313B" w:rsidRPr="00925F26" w:rsidRDefault="00C2313B" w:rsidP="00925F26">
      <w:pPr>
        <w:autoSpaceDE w:val="0"/>
        <w:autoSpaceDN w:val="0"/>
        <w:adjustRightInd w:val="0"/>
        <w:jc w:val="both"/>
        <w:rPr>
          <w:color w:val="000000" w:themeColor="text1"/>
          <w:sz w:val="16"/>
          <w:szCs w:val="16"/>
        </w:rPr>
      </w:pPr>
    </w:p>
    <w:p w14:paraId="6C0153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1945 вышло Распоряжение ГКО № 7409. О мерах по восстановлению Куриловской плотины по р. Суре. РГАНИР, Фонд ГКО, д. 360, лл. 12-13 (11012).</w:t>
      </w:r>
    </w:p>
    <w:p w14:paraId="09FE7C34" w14:textId="77777777" w:rsidR="00C2313B" w:rsidRPr="00925F26" w:rsidRDefault="00C2313B" w:rsidP="00925F26">
      <w:pPr>
        <w:autoSpaceDE w:val="0"/>
        <w:autoSpaceDN w:val="0"/>
        <w:adjustRightInd w:val="0"/>
        <w:jc w:val="both"/>
        <w:rPr>
          <w:color w:val="000000" w:themeColor="text1"/>
          <w:sz w:val="16"/>
          <w:szCs w:val="16"/>
        </w:rPr>
      </w:pPr>
    </w:p>
    <w:p w14:paraId="02EF92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1945 года - Постановление ГКО о проведении переговоров с правительством Болгарии о создании советско-болгарского акционерного общества для разведки и добычи урановых руд (10549).</w:t>
      </w:r>
    </w:p>
    <w:p w14:paraId="3BC6FC5F" w14:textId="77777777" w:rsidR="00C2313B" w:rsidRPr="00925F26" w:rsidRDefault="00C2313B" w:rsidP="00925F26">
      <w:pPr>
        <w:autoSpaceDE w:val="0"/>
        <w:autoSpaceDN w:val="0"/>
        <w:adjustRightInd w:val="0"/>
        <w:jc w:val="both"/>
        <w:rPr>
          <w:color w:val="000000" w:themeColor="text1"/>
          <w:sz w:val="16"/>
          <w:szCs w:val="16"/>
        </w:rPr>
      </w:pPr>
    </w:p>
    <w:p w14:paraId="5BCC9B4F" w14:textId="77777777" w:rsidR="00590D1F" w:rsidRPr="00925F26" w:rsidRDefault="00590D1F" w:rsidP="00925F26">
      <w:pPr>
        <w:jc w:val="both"/>
        <w:rPr>
          <w:color w:val="000000" w:themeColor="text1"/>
          <w:sz w:val="16"/>
          <w:szCs w:val="16"/>
        </w:rPr>
      </w:pPr>
      <w:r w:rsidRPr="00925F26">
        <w:rPr>
          <w:bCs/>
          <w:color w:val="000000" w:themeColor="text1"/>
          <w:sz w:val="16"/>
          <w:szCs w:val="16"/>
        </w:rPr>
        <w:t>27 января</w:t>
      </w:r>
      <w:r w:rsidRPr="00925F26">
        <w:rPr>
          <w:color w:val="000000" w:themeColor="text1"/>
          <w:sz w:val="16"/>
          <w:szCs w:val="16"/>
        </w:rPr>
        <w:t xml:space="preserve"> в 1945 году принято Постановление ГКО № 7408, в соответствии с которым в Болгарии организованы разведка и добыча урановой руды на месторождении Готен. Поступление руды из этого месторождения на советские обогатительные предприятия составляло до 1,5 тонн в неделю. С 1946 г., после открытия подобных месторождений в СССР, работы в Болгарии продолжались лишь для дезинформации американцев (15022).</w:t>
      </w:r>
    </w:p>
    <w:p w14:paraId="536F0B87" w14:textId="77777777" w:rsidR="00590D1F" w:rsidRPr="00925F26" w:rsidRDefault="00590D1F" w:rsidP="00925F26">
      <w:pPr>
        <w:jc w:val="both"/>
        <w:rPr>
          <w:color w:val="000000" w:themeColor="text1"/>
          <w:sz w:val="16"/>
          <w:szCs w:val="16"/>
        </w:rPr>
      </w:pPr>
    </w:p>
    <w:p w14:paraId="661A0E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27 января 1945 г. по заключению командующего Балтийским флотом адмирала В. Ф. Трибуц Народный комиссар ВМФ Н. Г. Кузнецов приказом от принял РЛС «Гюйс-1М» на вооружение (11026).</w:t>
      </w:r>
    </w:p>
    <w:p w14:paraId="109C40BC" w14:textId="77777777" w:rsidR="00C2313B" w:rsidRPr="00925F26" w:rsidRDefault="00C2313B" w:rsidP="00925F26">
      <w:pPr>
        <w:autoSpaceDE w:val="0"/>
        <w:autoSpaceDN w:val="0"/>
        <w:adjustRightInd w:val="0"/>
        <w:jc w:val="both"/>
        <w:rPr>
          <w:color w:val="000000" w:themeColor="text1"/>
          <w:sz w:val="16"/>
          <w:szCs w:val="16"/>
        </w:rPr>
      </w:pPr>
    </w:p>
    <w:p w14:paraId="556C29BD" w14:textId="77777777" w:rsidR="00670896" w:rsidRPr="00925F26" w:rsidRDefault="00670896" w:rsidP="00925F26">
      <w:pPr>
        <w:pStyle w:val="ae"/>
        <w:shd w:val="clear" w:color="auto" w:fill="FFFFFF"/>
        <w:spacing w:before="0" w:after="0"/>
        <w:jc w:val="both"/>
        <w:rPr>
          <w:color w:val="000000" w:themeColor="text1"/>
          <w:sz w:val="16"/>
          <w:szCs w:val="16"/>
        </w:rPr>
      </w:pPr>
      <w:r w:rsidRPr="00925F26">
        <w:rPr>
          <w:color w:val="000000" w:themeColor="text1"/>
          <w:sz w:val="16"/>
          <w:szCs w:val="16"/>
        </w:rPr>
        <w:t>27 января 1945 года нарком ВМФ принял решение № 014 и приказал «специалистам управления кораблестроения… разработать полный комплект основных чертежей подлодки» по типу «U-250», «в 1945 году спроектировать эскизный проект ПЛ среднего водоизмещения и представить» ему на рассмотрение (19841).</w:t>
      </w:r>
    </w:p>
    <w:p w14:paraId="318A0F67" w14:textId="77777777" w:rsidR="00670896" w:rsidRPr="00925F26" w:rsidRDefault="00670896" w:rsidP="00925F26">
      <w:pPr>
        <w:pStyle w:val="ae"/>
        <w:shd w:val="clear" w:color="auto" w:fill="FFFFFF"/>
        <w:spacing w:before="0" w:after="0"/>
        <w:jc w:val="both"/>
        <w:rPr>
          <w:color w:val="000000" w:themeColor="text1"/>
          <w:sz w:val="16"/>
          <w:szCs w:val="16"/>
        </w:rPr>
      </w:pPr>
    </w:p>
    <w:p w14:paraId="4AD71F8A" w14:textId="08C27A2D" w:rsidR="00D54807" w:rsidRPr="00E019C5" w:rsidRDefault="00D54807" w:rsidP="00925F26">
      <w:pPr>
        <w:autoSpaceDE w:val="0"/>
        <w:autoSpaceDN w:val="0"/>
        <w:adjustRightInd w:val="0"/>
        <w:jc w:val="both"/>
        <w:rPr>
          <w:color w:val="0070C0"/>
          <w:sz w:val="16"/>
          <w:szCs w:val="16"/>
        </w:rPr>
      </w:pPr>
      <w:r w:rsidRPr="00E019C5">
        <w:rPr>
          <w:color w:val="0070C0"/>
          <w:sz w:val="16"/>
          <w:szCs w:val="16"/>
        </w:rPr>
        <w:t>27 января 1945 года на основании представленных наркому ВМФ документов он при</w:t>
      </w:r>
      <w:r w:rsidR="00E019C5" w:rsidRPr="00E019C5">
        <w:rPr>
          <w:color w:val="0070C0"/>
          <w:sz w:val="16"/>
          <w:szCs w:val="16"/>
        </w:rPr>
        <w:t>нял решение № 014 и приказал «специалистам управления кораблестроения</w:t>
      </w:r>
      <w:proofErr w:type="gramStart"/>
      <w:r w:rsidR="00E019C5" w:rsidRPr="00E019C5">
        <w:rPr>
          <w:color w:val="0070C0"/>
          <w:sz w:val="16"/>
          <w:szCs w:val="16"/>
        </w:rPr>
        <w:t xml:space="preserve"> ..</w:t>
      </w:r>
      <w:proofErr w:type="gramEnd"/>
      <w:r w:rsidR="00E019C5" w:rsidRPr="00E019C5">
        <w:rPr>
          <w:color w:val="0070C0"/>
          <w:sz w:val="16"/>
          <w:szCs w:val="16"/>
        </w:rPr>
        <w:t xml:space="preserve"> . разработать полный комплект основных чертежей подлодки» по типу «U-250», «в 1945 году спроектировать эскизный проект ПЛ среднего водоизмещения и представить» ему на рассмотрение (25789).</w:t>
      </w:r>
      <w:r w:rsidRPr="00E019C5">
        <w:rPr>
          <w:color w:val="0070C0"/>
          <w:sz w:val="16"/>
          <w:szCs w:val="16"/>
        </w:rPr>
        <w:t xml:space="preserve"> </w:t>
      </w:r>
    </w:p>
    <w:p w14:paraId="25A1EABA" w14:textId="77777777" w:rsidR="00D54807" w:rsidRPr="00E019C5" w:rsidRDefault="00D54807" w:rsidP="00925F26">
      <w:pPr>
        <w:autoSpaceDE w:val="0"/>
        <w:autoSpaceDN w:val="0"/>
        <w:adjustRightInd w:val="0"/>
        <w:jc w:val="both"/>
        <w:rPr>
          <w:color w:val="0070C0"/>
          <w:sz w:val="16"/>
          <w:szCs w:val="16"/>
        </w:rPr>
      </w:pPr>
    </w:p>
    <w:p w14:paraId="187DB0CC" w14:textId="39E1C72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8F43570" w14:textId="77777777" w:rsidR="00C2313B" w:rsidRPr="00925F26" w:rsidRDefault="00C2313B" w:rsidP="00925F26">
      <w:pPr>
        <w:autoSpaceDE w:val="0"/>
        <w:autoSpaceDN w:val="0"/>
        <w:adjustRightInd w:val="0"/>
        <w:jc w:val="both"/>
        <w:rPr>
          <w:iCs/>
          <w:color w:val="000000" w:themeColor="text1"/>
          <w:sz w:val="16"/>
          <w:szCs w:val="16"/>
        </w:rPr>
      </w:pPr>
    </w:p>
    <w:p w14:paraId="3BB2CD6C" w14:textId="77777777" w:rsidR="00590D1F" w:rsidRPr="00925F26" w:rsidRDefault="00590D1F" w:rsidP="00925F26">
      <w:pPr>
        <w:jc w:val="both"/>
        <w:rPr>
          <w:color w:val="000000" w:themeColor="text1"/>
          <w:sz w:val="16"/>
          <w:szCs w:val="16"/>
        </w:rPr>
      </w:pPr>
      <w:r w:rsidRPr="00925F26">
        <w:rPr>
          <w:bCs/>
          <w:color w:val="000000" w:themeColor="text1"/>
          <w:sz w:val="16"/>
          <w:szCs w:val="16"/>
        </w:rPr>
        <w:t>27 января</w:t>
      </w:r>
      <w:r w:rsidRPr="00925F26">
        <w:rPr>
          <w:color w:val="000000" w:themeColor="text1"/>
          <w:sz w:val="16"/>
          <w:szCs w:val="16"/>
        </w:rPr>
        <w:t xml:space="preserve"> в 1945 году оперативная сводка Совинформбюро:</w:t>
      </w:r>
    </w:p>
    <w:p w14:paraId="557F89DD" w14:textId="77777777" w:rsidR="00590D1F" w:rsidRPr="00925F26" w:rsidRDefault="00590D1F" w:rsidP="00925F26">
      <w:pPr>
        <w:jc w:val="both"/>
        <w:rPr>
          <w:color w:val="000000" w:themeColor="text1"/>
          <w:sz w:val="16"/>
          <w:szCs w:val="16"/>
        </w:rPr>
      </w:pPr>
      <w:r w:rsidRPr="00925F26">
        <w:rPr>
          <w:color w:val="000000" w:themeColor="text1"/>
          <w:sz w:val="16"/>
          <w:szCs w:val="16"/>
        </w:rPr>
        <w:t>«В течение 27 января на Кенигсбергском направлении наши войска, продолжая наступление, овладели городом и железнодорожным узлом Гердауен, а также с боями заняли более 300 других населённых пунктов, среди которых крупные населённые пункты Постниккен, Шааксвитте, Галлгарбен, Повунден, Кнеппельсдорф, Нойхаузен (7 километров северо-восточнее Кенигсберга), Штайнбек, Борхерсдорф, Томсдорф, Бланкенау, Алленау, Бартхерсдорф, Фриденберг, Дитрихсдорф.</w:t>
      </w:r>
    </w:p>
    <w:p w14:paraId="18D8D721"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2-го и 3-го Белорусских фронтов завершили прорыв мощной, долговременной, глубоко эшелонированной обороны противника в районе Мазурских озёр, считавшейся у немцев со времён первой мировой войны неприступной системой обороны, и овладели городами Бартен, Дренгфурт, Растенбург, Райн, Николайкен, Рудшанни, Пуппен, Бабинтен, Теервиш, а также с боями заняли более 250 других населённых пунктов.</w:t>
      </w:r>
    </w:p>
    <w:p w14:paraId="51C1B96C" w14:textId="77777777" w:rsidR="00590D1F" w:rsidRPr="00925F26" w:rsidRDefault="00590D1F" w:rsidP="00925F26">
      <w:pPr>
        <w:jc w:val="both"/>
        <w:rPr>
          <w:color w:val="000000" w:themeColor="text1"/>
          <w:sz w:val="16"/>
          <w:szCs w:val="16"/>
        </w:rPr>
      </w:pPr>
      <w:r w:rsidRPr="00925F26">
        <w:rPr>
          <w:color w:val="000000" w:themeColor="text1"/>
          <w:sz w:val="16"/>
          <w:szCs w:val="16"/>
        </w:rPr>
        <w:t>На аэродроме в районе Мариенбурга войска 2-го Белорусского фронта захватили 34 немецких самолёта.</w:t>
      </w:r>
    </w:p>
    <w:p w14:paraId="0FF33310"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города Алленштайн наши войска отбивали контратаки крупных сил пехоты и танков противника, пытавшегося пробиться на запад, и нанесли ему большой урон в живой силе и технике.</w:t>
      </w:r>
    </w:p>
    <w:p w14:paraId="7FFAA395" w14:textId="77777777" w:rsidR="00590D1F" w:rsidRPr="00925F26" w:rsidRDefault="00590D1F" w:rsidP="00925F26">
      <w:pPr>
        <w:jc w:val="both"/>
        <w:rPr>
          <w:color w:val="000000" w:themeColor="text1"/>
          <w:sz w:val="16"/>
          <w:szCs w:val="16"/>
        </w:rPr>
      </w:pPr>
      <w:r w:rsidRPr="00925F26">
        <w:rPr>
          <w:color w:val="000000" w:themeColor="text1"/>
          <w:sz w:val="16"/>
          <w:szCs w:val="16"/>
        </w:rPr>
        <w:t>Южнее города Кульм наши войска с боем форсировали реку Висла и, захватив плацдарм на западном берегу реки, соединились с нашими войсками, действующими севернее города Быдгощ (Бромберг). Наши войска окружили гарнизон противника в городе Торунь и вели бои по его уничтожению.</w:t>
      </w:r>
    </w:p>
    <w:p w14:paraId="4D6282DD" w14:textId="77777777" w:rsidR="00590D1F" w:rsidRPr="00925F26" w:rsidRDefault="00590D1F" w:rsidP="00925F26">
      <w:pPr>
        <w:jc w:val="both"/>
        <w:rPr>
          <w:color w:val="000000" w:themeColor="text1"/>
          <w:sz w:val="16"/>
          <w:szCs w:val="16"/>
        </w:rPr>
      </w:pPr>
      <w:r w:rsidRPr="00925F26">
        <w:rPr>
          <w:color w:val="000000" w:themeColor="text1"/>
          <w:sz w:val="16"/>
          <w:szCs w:val="16"/>
        </w:rPr>
        <w:t>К северу, западу и югу от города Познань войска 1-го Белорусского фронта, продолжая наступление, овладели городами Кольмар, Будзин, Риченвальде, Оборники, Замтер, Бук, Стэншев, Шримм, Чемпин, Дольциг, а также с боями заняли более 500 других населённых пунктов. Войска фронта завершили окружение группировки противника в городе Познань и вели бои по её уничтожению.</w:t>
      </w:r>
    </w:p>
    <w:p w14:paraId="57433C50"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27 января овладели городами Сосновец, Бендзин, Домброва Гурне, Челядзь и Мысловице - крупными центрами Домбровского угольного района, а также с боями заняли на территории Польши города Кобылин, Бояново, Освенцим и на территории Германии города Волау, Дихернфурт, Обернигк.</w:t>
      </w:r>
    </w:p>
    <w:p w14:paraId="496DB5B5"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27 января с боем овладели городами Вадовице, Спишска Нова Вес, Спишска Стара Вес и Левоча — важными узлами коммуникаций и опорными пунктами обороны немцев, а также с боями заняли более 50 других населённых пунктов.</w:t>
      </w:r>
    </w:p>
    <w:p w14:paraId="10E0C922" w14:textId="77777777" w:rsidR="00590D1F" w:rsidRPr="00925F26" w:rsidRDefault="00590D1F" w:rsidP="00925F26">
      <w:pPr>
        <w:jc w:val="both"/>
        <w:rPr>
          <w:color w:val="000000" w:themeColor="text1"/>
          <w:sz w:val="16"/>
          <w:szCs w:val="16"/>
        </w:rPr>
      </w:pPr>
      <w:r w:rsidRPr="00925F26">
        <w:rPr>
          <w:color w:val="000000" w:themeColor="text1"/>
          <w:sz w:val="16"/>
          <w:szCs w:val="16"/>
        </w:rPr>
        <w:t>В Будапеште наши войска вели бои по уничтожению окружённого гарнизона противника и заняли 10 кварталов.</w:t>
      </w:r>
    </w:p>
    <w:p w14:paraId="1A90D1CE"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Будапешта наши войска успешно отбили атаки пехоты и танков противника и в результате предпринятых контратак заняли несколько населённых пунктов, значительно улучшив свои позиции.</w:t>
      </w:r>
    </w:p>
    <w:p w14:paraId="40CD8502" w14:textId="77777777" w:rsidR="00590D1F" w:rsidRPr="00925F26" w:rsidRDefault="00590D1F" w:rsidP="00925F26">
      <w:pPr>
        <w:jc w:val="both"/>
        <w:rPr>
          <w:color w:val="000000" w:themeColor="text1"/>
          <w:sz w:val="16"/>
          <w:szCs w:val="16"/>
        </w:rPr>
      </w:pPr>
      <w:r w:rsidRPr="00925F26">
        <w:rPr>
          <w:color w:val="000000" w:themeColor="text1"/>
          <w:sz w:val="16"/>
          <w:szCs w:val="16"/>
        </w:rPr>
        <w:t>За 26 января наши войска на всех фронтах подбили и уничтожили 42 немецких танка, из них 29 танков юго-западнее Будапешта. В воздушных боях и огнём зенитной артиллерии сбито 36 самолётов противника.</w:t>
      </w:r>
    </w:p>
    <w:p w14:paraId="277467E8" w14:textId="77777777" w:rsidR="00590D1F" w:rsidRPr="00925F26" w:rsidRDefault="00590D1F" w:rsidP="00925F26">
      <w:pPr>
        <w:jc w:val="both"/>
        <w:rPr>
          <w:color w:val="000000" w:themeColor="text1"/>
          <w:sz w:val="16"/>
          <w:szCs w:val="16"/>
        </w:rPr>
      </w:pPr>
      <w:r w:rsidRPr="00925F26">
        <w:rPr>
          <w:color w:val="000000" w:themeColor="text1"/>
          <w:sz w:val="16"/>
          <w:szCs w:val="16"/>
        </w:rPr>
        <w:t>На Кенигсбергском направлении части Н-ского соединения с боями преодолели лесной массив западнее реки Дайме. Стремительным ударом наши бойцы заняли населённый пункт Нойхаузен, находящийся в 7 километрах северо-восточнее Кенигсберга. Другие наши части, наступающие вдоль южного берега реки Прегель, выбили гитлеровцев из ряда железобетонных сооружений и овладели населённым пунктом Штайнбек, расположенным в 10 километрах восточнее Кенигсберга.</w:t>
      </w:r>
    </w:p>
    <w:p w14:paraId="37C30261"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города Инстербург наши войска переправились через реку Омет-Флисс и с боями овладели городом Гердауен — сильно укрепленным пунктом обороны немцев. Все попытки противника контратаками задержать продвижение советских частей успеха не имели. Наши войска перемалывают живую силу и технику врага и настойчиво продвигаются вперед. По неполным данным, за день уничтожено до 3 тысяч немецких солдат и офицеров. Захвачены трофеи, в числе которых 156 орудий и 10 железнодорожных эшелонов (400 вагонов) с различными грузами. Взято в плен 660 немцев.</w:t>
      </w:r>
    </w:p>
    <w:p w14:paraId="4F3F0793"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2-го и 3-го Белорусских фронтов продолжали успешное наступление.</w:t>
      </w:r>
    </w:p>
    <w:p w14:paraId="40125F0E" w14:textId="77777777" w:rsidR="00590D1F" w:rsidRPr="00925F26" w:rsidRDefault="00590D1F" w:rsidP="00925F26">
      <w:pPr>
        <w:jc w:val="both"/>
        <w:rPr>
          <w:color w:val="000000" w:themeColor="text1"/>
          <w:sz w:val="16"/>
          <w:szCs w:val="16"/>
        </w:rPr>
      </w:pPr>
      <w:r w:rsidRPr="00925F26">
        <w:rPr>
          <w:color w:val="000000" w:themeColor="text1"/>
          <w:sz w:val="16"/>
          <w:szCs w:val="16"/>
        </w:rPr>
        <w:t>Противник, опираясь на мощные укрепления, запирающие проходы между озерами, оказывал яростное сопротивление. Немцы усовершенствовали глубоко эшелонированную оборину в районе Мазурских озёр, считавшуюся неприступной ещё со времени первой мировой войны. Эта система обороны противника состояла из артиллерийских и пулемётных железобетонных дотов, противотанковых рвов шириной до 5 и глубиной до 3 метров, огромного количества противотанковых и противопехотных мин. Наши войска сегодня штурмом заняли город Райн и, стремительно продвинувшись вперёд на 20 километров, овладели важным узлом коммуникаций городом Растенбург. Одновременно наши части выбили немцев из ряда других сильно укреплённых городов и населенных пунктов. Таким образом, советские войска разгромили и прорвали на всю глубину чрезвычайно мощную оборону немцев в районе Мазурских озёр. Места боёв усеяны трупами гитлеровцев, разбитым и брошенным вооружением противника.</w:t>
      </w:r>
    </w:p>
    <w:p w14:paraId="1BD56EF6"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Белорусского фронта с боями продвигались вперёд. Советские танкисты и пехотинцы, овладев плацдармами на западном берегу реки Варта, совершили стремительный обходный манёвр и заняли города Замтер, Бук, Стэншев. Тем самым перерезаны все шоссейные и железные дороги, идущие из города Познань в Германию. Другие наши части плотным кольцом окружили в Познани крупные силы противника и ведут бои по ликвидации попавшей в «котёл» группировки немцев. Противник несёт большие потери. Только на юго-западных подступах к городу бойцы Н-ской части истребили свыше 800 гитлеровцев и взяли 700 пленных.</w:t>
      </w:r>
    </w:p>
    <w:p w14:paraId="660E82CB" w14:textId="77777777" w:rsidR="00590D1F" w:rsidRPr="00925F26" w:rsidRDefault="00590D1F" w:rsidP="00925F26">
      <w:pPr>
        <w:jc w:val="both"/>
        <w:rPr>
          <w:color w:val="000000" w:themeColor="text1"/>
          <w:sz w:val="16"/>
          <w:szCs w:val="16"/>
        </w:rPr>
      </w:pPr>
      <w:r w:rsidRPr="00925F26">
        <w:rPr>
          <w:color w:val="000000" w:themeColor="text1"/>
          <w:sz w:val="16"/>
          <w:szCs w:val="16"/>
        </w:rPr>
        <w:t>Наши войска в одном районе освободили 1.200 советских граждан, насильно угнанных немцами на каторжные работы.</w:t>
      </w:r>
    </w:p>
    <w:p w14:paraId="55BCA520"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продолжали развивать успешное наступление. Противник пытался любой ценой удержать в своих руках Домбровский угольный бассейн, в котором сосредоточено много предприятий, снабжавших немецкую армию техникой, вооружением, боеприпасами и искусственным бензином. За последние дни немцы перебросили в этот район крупные силы танков и пехоты. Особенно упорные бои произошли на подступах к городу Сосновец. В течение дня гитлеровцы предприняли одиннадцать яростных контратак. Отдельные населенные пункты по несколько раз переходили из рук в руки. Измотав врага, наши войска нанесли ему сокрушительный удар. Советские стрелковые и танковые части сегодня ворвались в город Сосновец и в результате ожесточённого боя овладели им. Заняты также Домброва Гурне, Бендзин и другие города Домбровского угольного бассейна.</w:t>
      </w:r>
    </w:p>
    <w:p w14:paraId="41178E5F" w14:textId="77777777" w:rsidR="00590D1F" w:rsidRPr="00925F26" w:rsidRDefault="00590D1F" w:rsidP="00925F26">
      <w:pPr>
        <w:jc w:val="both"/>
        <w:rPr>
          <w:color w:val="000000" w:themeColor="text1"/>
          <w:sz w:val="16"/>
          <w:szCs w:val="16"/>
        </w:rPr>
      </w:pPr>
      <w:r w:rsidRPr="00925F26">
        <w:rPr>
          <w:color w:val="000000" w:themeColor="text1"/>
          <w:sz w:val="16"/>
          <w:szCs w:val="16"/>
        </w:rPr>
        <w:t>За день боёв войска фронта взяли в плен более 1.000 солдат и офицеров противника. Взят в плен начальник штаба 42-го немецкого армейского корпуса полковник Драбих-Вехтер. На одном из аэродромов захвачено 15 немецких самолётов.</w:t>
      </w:r>
    </w:p>
    <w:p w14:paraId="3FBDB2DF" w14:textId="77777777" w:rsidR="00590D1F" w:rsidRPr="00925F26" w:rsidRDefault="00590D1F" w:rsidP="00925F26">
      <w:pPr>
        <w:jc w:val="both"/>
        <w:rPr>
          <w:color w:val="000000" w:themeColor="text1"/>
          <w:sz w:val="16"/>
          <w:szCs w:val="16"/>
        </w:rPr>
      </w:pPr>
      <w:r w:rsidRPr="00925F26">
        <w:rPr>
          <w:color w:val="000000" w:themeColor="text1"/>
          <w:sz w:val="16"/>
          <w:szCs w:val="16"/>
        </w:rPr>
        <w:t>Пленный командир 10-й немецкой моторизованной дивизии полковник Виаль заявил: «На второй день наступления русских наша связь с соседними дивизиями и высшими штабами была потеряна. Немецкие войска были деморализованы и беспорядочно отступали. Однако русские танки настигали наши колонны, окружали и уничтожали их. Уже на третий день наступления 10-я мотодивизия была разбита. Такая же участь постигла и действующие по соседству с нами немецкие дивизии. Нельзя не признать, что планы русского командования были хорошо продуманы и блестяще осуществлены» (15022).</w:t>
      </w:r>
    </w:p>
    <w:p w14:paraId="6B83DF1D" w14:textId="77777777" w:rsidR="00590D1F" w:rsidRPr="00925F26" w:rsidRDefault="00590D1F" w:rsidP="00925F26">
      <w:pPr>
        <w:jc w:val="both"/>
        <w:rPr>
          <w:color w:val="000000" w:themeColor="text1"/>
          <w:sz w:val="16"/>
          <w:szCs w:val="16"/>
        </w:rPr>
      </w:pPr>
    </w:p>
    <w:p w14:paraId="3D134E07" w14:textId="77777777" w:rsidR="00590D1F" w:rsidRPr="00925F26" w:rsidRDefault="00590D1F" w:rsidP="00925F26">
      <w:pPr>
        <w:jc w:val="both"/>
        <w:rPr>
          <w:color w:val="000000" w:themeColor="text1"/>
          <w:sz w:val="16"/>
          <w:szCs w:val="16"/>
        </w:rPr>
      </w:pPr>
      <w:r w:rsidRPr="00925F26">
        <w:rPr>
          <w:bCs/>
          <w:color w:val="000000" w:themeColor="text1"/>
          <w:sz w:val="16"/>
          <w:szCs w:val="16"/>
        </w:rPr>
        <w:t>27 января</w:t>
      </w:r>
      <w:r w:rsidRPr="00925F26">
        <w:rPr>
          <w:color w:val="000000" w:themeColor="text1"/>
          <w:sz w:val="16"/>
          <w:szCs w:val="16"/>
        </w:rPr>
        <w:t xml:space="preserve"> в 1945 году войска 3-го Белорусского фронта захватили подземные бетонированные убежища ставки Гитлера в Растенбурге (15022).</w:t>
      </w:r>
    </w:p>
    <w:p w14:paraId="28A52B00" w14:textId="77777777" w:rsidR="00590D1F" w:rsidRPr="00925F26" w:rsidRDefault="00590D1F" w:rsidP="00925F26">
      <w:pPr>
        <w:jc w:val="both"/>
        <w:rPr>
          <w:color w:val="000000" w:themeColor="text1"/>
          <w:sz w:val="16"/>
          <w:szCs w:val="16"/>
        </w:rPr>
      </w:pPr>
    </w:p>
    <w:p w14:paraId="636F6B46" w14:textId="77777777" w:rsidR="00590D1F" w:rsidRPr="00925F26" w:rsidRDefault="00590D1F" w:rsidP="00925F26">
      <w:pPr>
        <w:jc w:val="both"/>
        <w:rPr>
          <w:color w:val="000000" w:themeColor="text1"/>
          <w:sz w:val="16"/>
          <w:szCs w:val="16"/>
        </w:rPr>
      </w:pPr>
      <w:r w:rsidRPr="00925F26">
        <w:rPr>
          <w:bCs/>
          <w:color w:val="000000" w:themeColor="text1"/>
          <w:sz w:val="16"/>
          <w:szCs w:val="16"/>
        </w:rPr>
        <w:t>27 января</w:t>
      </w:r>
      <w:r w:rsidRPr="00925F26">
        <w:rPr>
          <w:color w:val="000000" w:themeColor="text1"/>
          <w:sz w:val="16"/>
          <w:szCs w:val="16"/>
        </w:rPr>
        <w:t xml:space="preserve"> в 1945 году завершилась Инстербургско-Кенигсбергская операция: войска 3-го Белорусского фронта продвинулись на глубину до 130 км. Войска правого крыла 1-го Белорусского фронта соединились на левом берегу реки Вислы с войсками 2-го Белорусского фронта, действовавшими севернее города Бромберг (15022).</w:t>
      </w:r>
    </w:p>
    <w:p w14:paraId="4473592F" w14:textId="77777777" w:rsidR="00590D1F" w:rsidRPr="00925F26" w:rsidRDefault="00590D1F" w:rsidP="00925F26">
      <w:pPr>
        <w:jc w:val="both"/>
        <w:rPr>
          <w:color w:val="000000" w:themeColor="text1"/>
          <w:sz w:val="16"/>
          <w:szCs w:val="16"/>
        </w:rPr>
      </w:pPr>
    </w:p>
    <w:p w14:paraId="18314A7A"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27, 1945: German forces evacuate the vital coal mining and industrial district of Upper Silesia, a heavy loss for the remaining German war effort (3819).</w:t>
      </w:r>
    </w:p>
    <w:p w14:paraId="3602DB19" w14:textId="77777777" w:rsidR="00C2313B" w:rsidRPr="00925F26" w:rsidRDefault="00C2313B" w:rsidP="00925F26">
      <w:pPr>
        <w:autoSpaceDE w:val="0"/>
        <w:autoSpaceDN w:val="0"/>
        <w:adjustRightInd w:val="0"/>
        <w:jc w:val="both"/>
        <w:rPr>
          <w:color w:val="000000" w:themeColor="text1"/>
          <w:sz w:val="16"/>
          <w:szCs w:val="16"/>
          <w:lang w:val="en-US"/>
        </w:rPr>
      </w:pPr>
    </w:p>
    <w:p w14:paraId="269C31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 января 1944 немецкие войска отошли из Верхней Силезии (3819).</w:t>
      </w:r>
    </w:p>
    <w:p w14:paraId="512169FB" w14:textId="77777777" w:rsidR="00C2313B" w:rsidRPr="00925F26" w:rsidRDefault="00C2313B" w:rsidP="00925F26">
      <w:pPr>
        <w:autoSpaceDE w:val="0"/>
        <w:autoSpaceDN w:val="0"/>
        <w:adjustRightInd w:val="0"/>
        <w:jc w:val="both"/>
        <w:rPr>
          <w:color w:val="000000" w:themeColor="text1"/>
          <w:sz w:val="16"/>
          <w:szCs w:val="16"/>
        </w:rPr>
      </w:pPr>
    </w:p>
    <w:p w14:paraId="09EBA94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января 1945 советскими войсками освобождены узники концлагеря Освенцим (4962).</w:t>
      </w:r>
    </w:p>
    <w:p w14:paraId="30CA2CF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72BB23B" w14:textId="77777777" w:rsidR="00590D1F" w:rsidRPr="00925F26" w:rsidRDefault="00590D1F" w:rsidP="00925F26">
      <w:pPr>
        <w:jc w:val="both"/>
        <w:rPr>
          <w:color w:val="000000" w:themeColor="text1"/>
          <w:sz w:val="16"/>
          <w:szCs w:val="16"/>
        </w:rPr>
      </w:pPr>
      <w:r w:rsidRPr="00925F26">
        <w:rPr>
          <w:bCs/>
          <w:color w:val="000000" w:themeColor="text1"/>
          <w:sz w:val="16"/>
          <w:szCs w:val="16"/>
        </w:rPr>
        <w:t>27 января</w:t>
      </w:r>
      <w:r w:rsidRPr="00925F26">
        <w:rPr>
          <w:color w:val="000000" w:themeColor="text1"/>
          <w:sz w:val="16"/>
          <w:szCs w:val="16"/>
        </w:rPr>
        <w:t xml:space="preserve"> в 1945 году войска 1-го Украинского фронта освободили узников фашистского концлагеря в Освенциме на территории Польши. Отмечается, в частности, в Германии (с 1996 г.), Италии, Швеции, Великобритании (с 2003 г.), Финляндии (с 2002 г.) (15022).</w:t>
      </w:r>
    </w:p>
    <w:p w14:paraId="42616B9B" w14:textId="77777777" w:rsidR="00590D1F" w:rsidRPr="00925F26" w:rsidRDefault="00590D1F" w:rsidP="00925F26">
      <w:pPr>
        <w:jc w:val="both"/>
        <w:rPr>
          <w:color w:val="000000" w:themeColor="text1"/>
          <w:sz w:val="16"/>
          <w:szCs w:val="16"/>
        </w:rPr>
      </w:pPr>
    </w:p>
    <w:p w14:paraId="2E6A01E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За рубежом:</w:t>
      </w:r>
    </w:p>
    <w:p w14:paraId="33D81100" w14:textId="77777777" w:rsidR="00C2313B" w:rsidRPr="00925F26" w:rsidRDefault="00C2313B" w:rsidP="00925F26">
      <w:pPr>
        <w:autoSpaceDE w:val="0"/>
        <w:autoSpaceDN w:val="0"/>
        <w:adjustRightInd w:val="0"/>
        <w:jc w:val="both"/>
        <w:rPr>
          <w:iCs/>
          <w:color w:val="000000" w:themeColor="text1"/>
          <w:sz w:val="16"/>
          <w:szCs w:val="16"/>
        </w:rPr>
      </w:pPr>
    </w:p>
    <w:p w14:paraId="49286E12" w14:textId="77777777" w:rsidR="004C221F" w:rsidRPr="00925F26" w:rsidRDefault="004C221F" w:rsidP="00925F26">
      <w:pPr>
        <w:jc w:val="both"/>
        <w:rPr>
          <w:color w:val="000000" w:themeColor="text1"/>
          <w:sz w:val="16"/>
          <w:szCs w:val="16"/>
        </w:rPr>
      </w:pPr>
      <w:r w:rsidRPr="00925F26">
        <w:rPr>
          <w:color w:val="000000" w:themeColor="text1"/>
          <w:sz w:val="16"/>
          <w:szCs w:val="16"/>
        </w:rPr>
        <w:t>27 января 1945 Б-29, базирующиеся в Калькутте, бомбят Сайгон, Французский Индокитай (20371).</w:t>
      </w:r>
    </w:p>
    <w:p w14:paraId="2F137DE2" w14:textId="77777777" w:rsidR="004C221F" w:rsidRPr="00925F26" w:rsidRDefault="004C221F" w:rsidP="00925F26">
      <w:pPr>
        <w:jc w:val="both"/>
        <w:rPr>
          <w:color w:val="000000" w:themeColor="text1"/>
          <w:sz w:val="16"/>
          <w:szCs w:val="16"/>
        </w:rPr>
      </w:pPr>
    </w:p>
    <w:p w14:paraId="0311002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января 1945 в Париже за сотрудничество с фашистами приговорен к пожизненному заключению лидер нацистской организации “Действующая Франция” (4962).</w:t>
      </w:r>
    </w:p>
    <w:p w14:paraId="3E40634A"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72DD66A"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4878AC2" w14:textId="77777777" w:rsidR="00C2313B" w:rsidRPr="00925F26" w:rsidRDefault="00C2313B" w:rsidP="00925F26">
      <w:pPr>
        <w:autoSpaceDE w:val="0"/>
        <w:autoSpaceDN w:val="0"/>
        <w:adjustRightInd w:val="0"/>
        <w:jc w:val="both"/>
        <w:rPr>
          <w:iCs/>
          <w:color w:val="000000" w:themeColor="text1"/>
          <w:sz w:val="16"/>
          <w:szCs w:val="16"/>
        </w:rPr>
      </w:pPr>
    </w:p>
    <w:p w14:paraId="1EE2FD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28 января по 29 марта 1945 объект 701 № 5 прошел дополнительные испытания пробегом (1073 км), а с 30 марта по 9 апреля — испытания в тяжелых дорожных условиях. По ре</w:t>
      </w:r>
      <w:r w:rsidRPr="00925F26">
        <w:rPr>
          <w:color w:val="000000" w:themeColor="text1"/>
          <w:sz w:val="16"/>
          <w:szCs w:val="16"/>
        </w:rPr>
        <w:softHyphen/>
        <w:t>шению комиссии танк дополнительные испытания выдер</w:t>
      </w:r>
      <w:r w:rsidRPr="00925F26">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052AE7D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A0BC3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 января 1945 вышло Постановление ГКО № 7410 О мероприятиях по материально-техническому обеспечению плана производства Наркомстройматериалов СССР в I квартале 1945 г. РГАНИР, Фонд ГКО, д. 360, лл. 14-16, 17-48 (11012).</w:t>
      </w:r>
    </w:p>
    <w:p w14:paraId="10613E2C" w14:textId="77777777" w:rsidR="00C2313B" w:rsidRPr="00925F26" w:rsidRDefault="00C2313B" w:rsidP="00925F26">
      <w:pPr>
        <w:autoSpaceDE w:val="0"/>
        <w:autoSpaceDN w:val="0"/>
        <w:adjustRightInd w:val="0"/>
        <w:jc w:val="both"/>
        <w:rPr>
          <w:color w:val="000000" w:themeColor="text1"/>
          <w:sz w:val="16"/>
          <w:szCs w:val="16"/>
        </w:rPr>
      </w:pPr>
    </w:p>
    <w:p w14:paraId="7D9AD1E8"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января 1945 вышло Постановление ГКО № 7412 О частичной перешивке на широкую колею восстанавливаемых железных дорог Польши и Германии в пределах 3, 2, 1-го Белорусских и 1-го Украинского фронтов. (7302, 120-121).</w:t>
      </w:r>
    </w:p>
    <w:p w14:paraId="3773ACC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BB79B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 января 1945 вышло Постановление ГКО № 7413 Заменено решением № 7424. РГАНИР, Фонд ГКО, д. 360, лл. 122 (11012).</w:t>
      </w:r>
    </w:p>
    <w:p w14:paraId="7DE3641E" w14:textId="77777777" w:rsidR="00C2313B" w:rsidRPr="00925F26" w:rsidRDefault="00C2313B" w:rsidP="00925F26">
      <w:pPr>
        <w:autoSpaceDE w:val="0"/>
        <w:autoSpaceDN w:val="0"/>
        <w:adjustRightInd w:val="0"/>
        <w:jc w:val="both"/>
        <w:rPr>
          <w:color w:val="000000" w:themeColor="text1"/>
          <w:sz w:val="16"/>
          <w:szCs w:val="16"/>
        </w:rPr>
      </w:pPr>
    </w:p>
    <w:p w14:paraId="1784D66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E21D880" w14:textId="77777777" w:rsidR="00C2313B" w:rsidRPr="00925F26" w:rsidRDefault="00C2313B" w:rsidP="00925F26">
      <w:pPr>
        <w:autoSpaceDE w:val="0"/>
        <w:autoSpaceDN w:val="0"/>
        <w:adjustRightInd w:val="0"/>
        <w:jc w:val="both"/>
        <w:rPr>
          <w:iCs/>
          <w:color w:val="000000" w:themeColor="text1"/>
          <w:sz w:val="16"/>
          <w:szCs w:val="16"/>
        </w:rPr>
      </w:pPr>
    </w:p>
    <w:p w14:paraId="537B9159" w14:textId="77777777" w:rsidR="00590D1F" w:rsidRPr="00925F26" w:rsidRDefault="00590D1F" w:rsidP="00925F26">
      <w:pPr>
        <w:jc w:val="both"/>
        <w:rPr>
          <w:color w:val="000000" w:themeColor="text1"/>
          <w:sz w:val="16"/>
          <w:szCs w:val="16"/>
        </w:rPr>
      </w:pPr>
      <w:r w:rsidRPr="00925F26">
        <w:rPr>
          <w:bCs/>
          <w:color w:val="000000" w:themeColor="text1"/>
          <w:sz w:val="16"/>
          <w:szCs w:val="16"/>
        </w:rPr>
        <w:t xml:space="preserve">28 января </w:t>
      </w:r>
      <w:r w:rsidRPr="00925F26">
        <w:rPr>
          <w:color w:val="000000" w:themeColor="text1"/>
          <w:sz w:val="16"/>
          <w:szCs w:val="16"/>
        </w:rPr>
        <w:t>в 1945 году оперативная сводка Совинформбюро:</w:t>
      </w:r>
    </w:p>
    <w:p w14:paraId="4683DDEC"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Прибалтийского фронта, перейдя в наступление, 28 января овладели литовским городом Клайпеда (Мемель) — важным портом и сильным опорным пунктом обороны немцев на побережье Балтийского моря, завершив тем самым полное очищение Советской Литвы от немецких захватчиков.</w:t>
      </w:r>
    </w:p>
    <w:p w14:paraId="4BE5715D" w14:textId="77777777" w:rsidR="00590D1F" w:rsidRPr="00925F26" w:rsidRDefault="00590D1F" w:rsidP="00925F26">
      <w:pPr>
        <w:jc w:val="both"/>
        <w:rPr>
          <w:color w:val="000000" w:themeColor="text1"/>
          <w:sz w:val="16"/>
          <w:szCs w:val="16"/>
        </w:rPr>
      </w:pPr>
      <w:r w:rsidRPr="00925F26">
        <w:rPr>
          <w:color w:val="000000" w:themeColor="text1"/>
          <w:sz w:val="16"/>
          <w:szCs w:val="16"/>
        </w:rPr>
        <w:t>В Восточной Пруссии наши войска, продолжая наступление, овладели городами Зенсбург и Бишофсбург, а также с боями заняли более 150 других населённых пунктов, в том числе крупные населённые пункты Даринен, Корбен, Трутенау, Гутенфельд, Виккбольд, Вернсдорф, Виттенберг, Мюльхаузен, Абшванген, Гросс Шенау, Денхофштедт, Коршен, Шенфлис, Вайссенбург, Зеегештен, Лангендорф, Боровен, Риббен, Румми. Одновременно северо-западнее города Алленштайн наши войска отбивали атаки крупных сил пехоты и танков противника, стремящегося, несмотря на большие потери, пробиться на запад.</w:t>
      </w:r>
    </w:p>
    <w:p w14:paraId="3C3AD354" w14:textId="77777777" w:rsidR="00590D1F" w:rsidRPr="00925F26" w:rsidRDefault="00590D1F" w:rsidP="00925F26">
      <w:pPr>
        <w:jc w:val="both"/>
        <w:rPr>
          <w:color w:val="000000" w:themeColor="text1"/>
          <w:sz w:val="16"/>
          <w:szCs w:val="16"/>
        </w:rPr>
      </w:pPr>
      <w:r w:rsidRPr="00925F26">
        <w:rPr>
          <w:color w:val="000000" w:themeColor="text1"/>
          <w:sz w:val="16"/>
          <w:szCs w:val="16"/>
        </w:rPr>
        <w:t>К югу от города Грауденц наши войска полностью очистили от противника восточный берег реки Вислы, заняв при этом город Кульм и крупные населённые пункты Рудник, Шенайх, Нойсас, Эренталь. В районе города Торунь наши войска вели бои по уничтожению окружённых в городе частей противника.</w:t>
      </w:r>
    </w:p>
    <w:p w14:paraId="37CA0F7D"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Севернее и северо-западнее города Быдгощ (Бромберг) наши войска с боями продвигались вперёд и овладели городами Кроне, Семпольно (Цемпельбург), Мротшен, Лобсенз и заняли более 200 других населённых пунктов.</w:t>
      </w:r>
    </w:p>
    <w:p w14:paraId="5DC0FD4F"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и юго-западнее города Познань войска 1-го Белорусского фронта овладели городами Чарникау, Оберзицко, Вронки, Пинне, Опаленица, Грец, Велихово, Костен, Смигель, а также с боями заняли более 400 других населённых пунктов. Одновременно войска фронта вели бои по уничтожению окружённого гарнизона противника в городе Познань.</w:t>
      </w:r>
    </w:p>
    <w:p w14:paraId="4FC2A3CE"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Севернее и северо-западнее города Равич наши войска овладели на территории Польши городами Гостынь, Лисса (Лешно) и Понец, а также с боем заняли на территории Германии город Гюрау.</w:t>
      </w:r>
    </w:p>
    <w:p w14:paraId="7912E315"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в результате умело проведённого обходного манёвра, в сочетании с атакой с фронта 28 января овладели центром Домбровского угольного района городом Катовице, городами Семяновиц, Крулевска Гута (Кенигсхютте), Миколув (Николаи) и в немецкой Силезии заняли крупный промышленный центр город Беутен, завершив тем самым полное очищение от противника Домбровского угольного района и южной части промышленного района немецкой Верхней Силезии.</w:t>
      </w:r>
    </w:p>
    <w:p w14:paraId="649EA73F"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28 января овладели крупным административным центром Чехословакии городом Попрад — важным узлом коммуникаций и опорным пунктом обороны противника, а также с боями заняли города Спишска Бела, Кежмарок и крупные населённые пункты Словенска Вес, Бушовце, Великая Ломница, Кубахи.</w:t>
      </w:r>
    </w:p>
    <w:p w14:paraId="3582F73A" w14:textId="77777777" w:rsidR="00590D1F" w:rsidRPr="00925F26" w:rsidRDefault="00590D1F"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12 кварталов.</w:t>
      </w:r>
    </w:p>
    <w:p w14:paraId="7C532FA7"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Будапешта наши войска предприняли ряд сильных контратак, в результате которых улучшили свои позиции.</w:t>
      </w:r>
    </w:p>
    <w:p w14:paraId="1E5813BB" w14:textId="77777777" w:rsidR="00590D1F" w:rsidRPr="00925F26" w:rsidRDefault="00590D1F" w:rsidP="00925F26">
      <w:pPr>
        <w:jc w:val="both"/>
        <w:rPr>
          <w:color w:val="000000" w:themeColor="text1"/>
          <w:sz w:val="16"/>
          <w:szCs w:val="16"/>
        </w:rPr>
      </w:pPr>
      <w:r w:rsidRPr="00925F26">
        <w:rPr>
          <w:color w:val="000000" w:themeColor="text1"/>
          <w:sz w:val="16"/>
          <w:szCs w:val="16"/>
        </w:rPr>
        <w:t>За 27 января наши войска на всех фронтах подбили и уничтожили 140 немецких танков, из них 33 танка — юго-западнее Будапешта. 3 воздушных боях и огнём зенитной артиллерии сбито 18 самолётов противника.</w:t>
      </w:r>
    </w:p>
    <w:p w14:paraId="33F99C5D"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Прибалтийского фронта перешли в наступление на плацдарм противника в районе города Клайпеда (Мемель). Немцы превратили свой плацдарм в сильно укреплённый район. После артиллерийской и авиационной подготовки советские части атаковали противника, преодолели широкий противотанковый ров, минные поля и несколько линий траншей. Особенно напряжённые бои разгорелись на ближних подступах к Клайпеде. На расстоянии двух— четырёх километров от города проходила вторая оборонительная линия немцев с девятью фортами, толщина стен которых достигает трёх — четырёх метров. В фортах противник установил орудия крупного калибра и большое количество пулемётов. Советская пехота, поддержанная артиллерией и танками, сломила вражеское сопротивление и ворвалась на улицы города Клайпеда. Гитлеровцы, прижатые к морю, оказывали яростное сопротивление, но не смогли сдержать натиска наших частей. Сегодня войска фронта завершили разгром клайпедской группировки немцев и овладели литовским городом Клайпеда — важным портом на Балтийском море. Противник понёс большие потери. Только на подступах к городу, в районе местечка Кауфманнс, уничтожено 1.600 гитлеровцев, подбито и сожжено 37 немецких танков и самоходных орудий.</w:t>
      </w:r>
    </w:p>
    <w:p w14:paraId="09F074CE" w14:textId="77777777" w:rsidR="00590D1F" w:rsidRPr="00925F26" w:rsidRDefault="00590D1F" w:rsidP="00925F26">
      <w:pPr>
        <w:jc w:val="both"/>
        <w:rPr>
          <w:color w:val="000000" w:themeColor="text1"/>
          <w:sz w:val="16"/>
          <w:szCs w:val="16"/>
        </w:rPr>
      </w:pPr>
      <w:r w:rsidRPr="00925F26">
        <w:rPr>
          <w:color w:val="000000" w:themeColor="text1"/>
          <w:sz w:val="16"/>
          <w:szCs w:val="16"/>
        </w:rPr>
        <w:t>В Восточной Пруссии наши войска с боями продвигались вперёд. Взламывая долговременную полосу обороны немцев на подступах к Кенигсбергу, части Н-ского соединения овладели населённым пунктом Трутенау, расположенным на шоссе, связывающем Кенигсберг с приморским городом Гранц. Другие наши части выбили немцев из населённого пункта Виккбольд (8 километров южнее Кенигсберга). Противник непрерывно переходит в контратаки, но под ударами советских войск теряет одну позицию за другой. Наши части, наступающие с юга, заняли города Зенсбург и Бишофсбург — сильные опорные пункты обороны немцев. В течение дня захвачено 26 немецких танков, 19 самолётов, 58 полевых орудий, 178 пулемётов и 130 автомашин. Взято в плен 700 немецких солдат и офицеров.</w:t>
      </w:r>
    </w:p>
    <w:p w14:paraId="68BDAE38"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города Познань противник, подтянув свежие силы, пытался задержать наступление наших войск. Особенно ожесточённые бои происходили на узлах шоссейных дорог. Советские танки и пехота, опрокидывая немецкие части, продвинулись вперёд на 20 километров и штурмом овладели городом Чарникау, расположенным у реки Нетце, на границе Польши с Германией. В бою за этот город уничтожено свыше 700 и взято в плен 300 гитлеровцев. Советские части, наступающие западнее и юго-западнее Познани, заняли города Опаленица, Грец и Костен — важные узлы железных и шоссейных дорог.</w:t>
      </w:r>
    </w:p>
    <w:p w14:paraId="4FD17AB3" w14:textId="77777777" w:rsidR="00590D1F" w:rsidRPr="00925F26" w:rsidRDefault="00590D1F" w:rsidP="00925F26">
      <w:pPr>
        <w:jc w:val="both"/>
        <w:rPr>
          <w:color w:val="000000" w:themeColor="text1"/>
          <w:sz w:val="16"/>
          <w:szCs w:val="16"/>
        </w:rPr>
      </w:pPr>
      <w:r w:rsidRPr="00925F26">
        <w:rPr>
          <w:color w:val="000000" w:themeColor="text1"/>
          <w:sz w:val="16"/>
          <w:szCs w:val="16"/>
        </w:rPr>
        <w:t>За день боёв захвачено у немцев 72 полевых орудия, 35 паровозов и 260 вагонов с грузами. Кроме того, захвачено 18 немецких эшелонов с военным имуществом.</w:t>
      </w:r>
    </w:p>
    <w:p w14:paraId="325D157F" w14:textId="77777777" w:rsidR="00590D1F" w:rsidRPr="00925F26" w:rsidRDefault="00590D1F" w:rsidP="00925F26">
      <w:pPr>
        <w:jc w:val="both"/>
        <w:rPr>
          <w:color w:val="000000" w:themeColor="text1"/>
          <w:sz w:val="16"/>
          <w:szCs w:val="16"/>
        </w:rPr>
      </w:pPr>
      <w:r w:rsidRPr="00925F26">
        <w:rPr>
          <w:color w:val="000000" w:themeColor="text1"/>
          <w:sz w:val="16"/>
          <w:szCs w:val="16"/>
        </w:rPr>
        <w:t>В городе Познань наши войска вели бои по ликвидации окружённой группировки противника. Гитлеровцы приспособили для обороны каменные здания и оказывают упорное сопротивление. Советские штурмовые группы очищают от врага улицу за улицей.</w:t>
      </w:r>
    </w:p>
    <w:p w14:paraId="380E7544"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продолжали успешное наступление. Советские танкисты, совершив умелый обходный манёвр, ворвались в город Катовице. Одновременно наша пехота при поддержке артиллерии прорвала полосу вражеской обороны и вышла к городу с севера и востока. Сегодня в результате ожесточённого боя наши войска овладели центром Домбровского угольного района городом Катовице. С занятием Катовице и других промышленных городов Домбровский угольный район очищен от немецких захватчиков. Наши войска заняли в немецкой Силезии город и крупный железнодорожный узел Беутен. В городе Беутен и в прилегающих к нему районах имеются военные и металлообрабатывающие заводы, каменноугольные копи, цинковые и свинцовые рудники. За день боёв уничтожено несколько тысяч гитлеровцев. В одном районе найден труп убитого командира 42-го немецкого армейского корпуса генерала пехоты Рекнагель.</w:t>
      </w:r>
    </w:p>
    <w:p w14:paraId="1DB57A29"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Войсками 1-го Украинского фронта на аэродромах захвачено 43 самолёта противника.» (15023).</w:t>
      </w:r>
    </w:p>
    <w:p w14:paraId="561C432C" w14:textId="77777777" w:rsidR="00590D1F" w:rsidRPr="00925F26" w:rsidRDefault="00590D1F" w:rsidP="00925F26">
      <w:pPr>
        <w:jc w:val="both"/>
        <w:rPr>
          <w:color w:val="000000" w:themeColor="text1"/>
          <w:sz w:val="16"/>
          <w:szCs w:val="16"/>
        </w:rPr>
      </w:pPr>
    </w:p>
    <w:p w14:paraId="1549C56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января 1945 Литва освобождена от фашистов (4962).</w:t>
      </w:r>
    </w:p>
    <w:p w14:paraId="4A25DE4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9CCFA9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января 1945 советские войска заняли Катовице и угольный бассейн на юге Польши (4962).</w:t>
      </w:r>
    </w:p>
    <w:p w14:paraId="37B59665"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C5774F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22FCEA6" w14:textId="77777777" w:rsidR="00C2313B" w:rsidRPr="00925F26" w:rsidRDefault="00C2313B" w:rsidP="00925F26">
      <w:pPr>
        <w:autoSpaceDE w:val="0"/>
        <w:autoSpaceDN w:val="0"/>
        <w:adjustRightInd w:val="0"/>
        <w:jc w:val="both"/>
        <w:rPr>
          <w:iCs/>
          <w:color w:val="000000" w:themeColor="text1"/>
          <w:sz w:val="16"/>
          <w:szCs w:val="16"/>
        </w:rPr>
      </w:pPr>
    </w:p>
    <w:p w14:paraId="0F178DC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28 января 1945 вышло Постановление ГКО № 7411 О подготовке к весенней путине и увеличении добычи рыбы в 1945 г. по Наркомрыбпрому СССР. (7302, 49-74,75-119).</w:t>
      </w:r>
    </w:p>
    <w:p w14:paraId="15A5B141"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08DCE6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B34EDD6" w14:textId="77777777" w:rsidR="00C2313B" w:rsidRPr="00925F26" w:rsidRDefault="00C2313B" w:rsidP="00925F26">
      <w:pPr>
        <w:autoSpaceDE w:val="0"/>
        <w:autoSpaceDN w:val="0"/>
        <w:adjustRightInd w:val="0"/>
        <w:jc w:val="both"/>
        <w:rPr>
          <w:iCs/>
          <w:color w:val="000000" w:themeColor="text1"/>
          <w:sz w:val="16"/>
          <w:szCs w:val="16"/>
        </w:rPr>
      </w:pPr>
    </w:p>
    <w:p w14:paraId="2894F419" w14:textId="77777777" w:rsidR="00590D1F" w:rsidRPr="00925F26" w:rsidRDefault="00590D1F"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января 1945 гражданскому населению Берлина приказано начать рыть противотанковые окопы вокруг города (4962).</w:t>
      </w:r>
    </w:p>
    <w:p w14:paraId="75653640" w14:textId="77777777" w:rsidR="00590D1F" w:rsidRPr="00925F26" w:rsidRDefault="00590D1F" w:rsidP="00925F26">
      <w:pPr>
        <w:tabs>
          <w:tab w:val="left" w:pos="11199"/>
        </w:tabs>
        <w:autoSpaceDE w:val="0"/>
        <w:autoSpaceDN w:val="0"/>
        <w:adjustRightInd w:val="0"/>
        <w:jc w:val="both"/>
        <w:rPr>
          <w:color w:val="000000" w:themeColor="text1"/>
          <w:sz w:val="16"/>
          <w:szCs w:val="16"/>
        </w:rPr>
      </w:pPr>
    </w:p>
    <w:p w14:paraId="46DF26EB"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января 1945 в Софии болгарский принц-регент Кирилл приговорен к казни за военные преступления (4962).</w:t>
      </w:r>
    </w:p>
    <w:p w14:paraId="79E4CDF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9BECA0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759896C" w14:textId="77777777" w:rsidR="00C2313B" w:rsidRPr="00925F26" w:rsidRDefault="00C2313B" w:rsidP="00925F26">
      <w:pPr>
        <w:autoSpaceDE w:val="0"/>
        <w:autoSpaceDN w:val="0"/>
        <w:adjustRightInd w:val="0"/>
        <w:jc w:val="both"/>
        <w:rPr>
          <w:iCs/>
          <w:color w:val="000000" w:themeColor="text1"/>
          <w:sz w:val="16"/>
          <w:szCs w:val="16"/>
        </w:rPr>
      </w:pPr>
    </w:p>
    <w:p w14:paraId="10F9B9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г. вышло Постановление ГКО, которым заводы № 1 и № 18 обязывались выпустить в I квартале года 260 и 215 самолетов соответственно. В то же вре</w:t>
      </w:r>
      <w:r w:rsidRPr="00925F26">
        <w:rPr>
          <w:color w:val="000000" w:themeColor="text1"/>
          <w:sz w:val="16"/>
          <w:szCs w:val="16"/>
        </w:rPr>
        <w:softHyphen/>
        <w:t>мя продолжалось производство Ил-2 (10680).</w:t>
      </w:r>
    </w:p>
    <w:p w14:paraId="573BC4EA" w14:textId="77777777" w:rsidR="00C2313B" w:rsidRPr="00925F26" w:rsidRDefault="00C2313B" w:rsidP="00925F26">
      <w:pPr>
        <w:autoSpaceDE w:val="0"/>
        <w:autoSpaceDN w:val="0"/>
        <w:adjustRightInd w:val="0"/>
        <w:jc w:val="both"/>
        <w:rPr>
          <w:color w:val="000000" w:themeColor="text1"/>
          <w:sz w:val="16"/>
          <w:szCs w:val="16"/>
        </w:rPr>
      </w:pPr>
    </w:p>
    <w:p w14:paraId="2AFE25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 января 1945 г. вышло Постановление ГОКО, которым заводы № 1 и № 18 обязывались произвести в 1-м кварта</w:t>
      </w:r>
      <w:r w:rsidRPr="00925F26">
        <w:rPr>
          <w:color w:val="000000" w:themeColor="text1"/>
          <w:sz w:val="16"/>
          <w:szCs w:val="16"/>
        </w:rPr>
        <w:softHyphen/>
        <w:t>ле года 260 и 215 самолетов Ил-10, со</w:t>
      </w:r>
      <w:r w:rsidRPr="00925F26">
        <w:rPr>
          <w:color w:val="000000" w:themeColor="text1"/>
          <w:sz w:val="16"/>
          <w:szCs w:val="16"/>
        </w:rPr>
        <w:softHyphen/>
        <w:t>ответственно. Кроме этого, каждый завод должен был выпустить 361 Ил-2. План московского авиазавода № 30 включал выпуск 912 самолетов Ил-2 (11131).</w:t>
      </w:r>
    </w:p>
    <w:p w14:paraId="72F210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B82CA85"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29 января 1945 г. вышло постановление ГКО, которым заводы № 1 и № 18 обязывались произвести в 1-м квартале года 260 и 215 самолетов Ил-10 соответственно. Кроме этого, каждый завод должен был выпустить по 361 Ил -2. План московского авиазавода № 30 включал выпуск 912 самолетов Ил-2.</w:t>
      </w:r>
    </w:p>
    <w:p w14:paraId="73A04008"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Выпуск самолетов на 2-й квартал устанавливался постановлением ГКО от 12 апреля. В течение трех месяцев, до июля 1945 года, планировалось собрать и передать ВВС в общей сложности 960 самолетов Ил-10 и 1634 самолета Ил-2.</w:t>
      </w:r>
    </w:p>
    <w:p w14:paraId="65C56C70"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То есть общий выпуск «десяток» в первом полугодии должен был составить 1435 самолетов Ил-10. Однако реалии оказались далеки от планового уровня. На 1 июня 1945 года заводы № 1 и № 18 сдали ВВС по боевой готовности 1035 самолетов Ил-10.</w:t>
      </w:r>
    </w:p>
    <w:p w14:paraId="61DDF680"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1B468955" w14:textId="77777777" w:rsidR="00B65582" w:rsidRPr="00925F26" w:rsidRDefault="00B65582" w:rsidP="00925F26">
      <w:pPr>
        <w:jc w:val="both"/>
        <w:rPr>
          <w:rStyle w:val="107"/>
          <w:rFonts w:eastAsiaTheme="minorHAnsi"/>
          <w:color w:val="000000" w:themeColor="text1"/>
          <w:sz w:val="16"/>
          <w:szCs w:val="16"/>
        </w:rPr>
      </w:pPr>
    </w:p>
    <w:p w14:paraId="7C0F4C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последний вылет сделал финский ЛаГГ-3 35 серии с обозначением LG-3. Всего налетал 79 час</w:t>
      </w:r>
      <w:proofErr w:type="gramStart"/>
      <w:r w:rsidRPr="00925F26">
        <w:rPr>
          <w:color w:val="000000" w:themeColor="text1"/>
          <w:sz w:val="16"/>
          <w:szCs w:val="16"/>
        </w:rPr>
        <w:t>.</w:t>
      </w:r>
      <w:proofErr w:type="gramEnd"/>
      <w:r w:rsidRPr="00925F26">
        <w:rPr>
          <w:color w:val="000000" w:themeColor="text1"/>
          <w:sz w:val="16"/>
          <w:szCs w:val="16"/>
        </w:rPr>
        <w:t xml:space="preserve"> и сейчас он хранится на авиаскладе в Тампере (1285,28).</w:t>
      </w:r>
    </w:p>
    <w:p w14:paraId="72054D1F" w14:textId="77777777" w:rsidR="00C2313B" w:rsidRPr="00925F26" w:rsidRDefault="00C2313B" w:rsidP="00925F26">
      <w:pPr>
        <w:autoSpaceDE w:val="0"/>
        <w:autoSpaceDN w:val="0"/>
        <w:adjustRightInd w:val="0"/>
        <w:jc w:val="both"/>
        <w:rPr>
          <w:color w:val="000000" w:themeColor="text1"/>
          <w:sz w:val="16"/>
          <w:szCs w:val="16"/>
        </w:rPr>
      </w:pPr>
    </w:p>
    <w:p w14:paraId="506C81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года гл. конструктор ОКБ-455 Картуков писал письмо Шахурину.</w:t>
      </w:r>
    </w:p>
    <w:p w14:paraId="6DC3BE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вопросу требования НК ВМФ на отработку и изготовление опытных образцов химического авиационного разового прибора ХАРП-200А докладываю:</w:t>
      </w:r>
    </w:p>
    <w:p w14:paraId="096184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Прибор ХАРП-250-200А по принципу работы подобен принятому на вооружение ВВС ВМФ - прибору ХАРП-500-300А, который был разработан и отработан в ОКБ-455 в 1942-44 г.г. По приказу ВВС ВМФ завод N 67 НКБ изготавливает в настоящее время малую серию этих приборов. В связи с тем, что мое ОКБ имеет опытный цех с малой мощностью, изготовить в 1945 году опытную партию приборов ХАРП-250-200А для государственных испытаний без ущерба для других опытных работ мы не сможем.</w:t>
      </w:r>
    </w:p>
    <w:p w14:paraId="7D2DA8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Считаю возможным принять к выполнению в ОКБ-455 в I-II кв. 45 года разработку чертежей, отработку технической документации и изготовление нескольких приборов для проверки на заводских испытаниях правильности выбранных конструктивных параметров.</w:t>
      </w:r>
    </w:p>
    <w:p w14:paraId="5BB5EE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Изготовление опытной партии в количестве 50-100 шт. для проведения государственных испытаний считаю целесообразным поручить по нашим чертежам и технической документации заводу N 67 НКБ (2595).</w:t>
      </w:r>
    </w:p>
    <w:p w14:paraId="6D8E6806" w14:textId="77777777" w:rsidR="00C2313B" w:rsidRPr="00925F26" w:rsidRDefault="00C2313B" w:rsidP="00925F26">
      <w:pPr>
        <w:autoSpaceDE w:val="0"/>
        <w:autoSpaceDN w:val="0"/>
        <w:adjustRightInd w:val="0"/>
        <w:jc w:val="both"/>
        <w:rPr>
          <w:color w:val="000000" w:themeColor="text1"/>
          <w:sz w:val="16"/>
          <w:szCs w:val="16"/>
        </w:rPr>
      </w:pPr>
    </w:p>
    <w:p w14:paraId="0B399A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года вышло Постановление ГОКО № 7426 и 3 февраля 1945 года приказ НКАП № 37:</w:t>
      </w:r>
    </w:p>
    <w:p w14:paraId="3BDE7A36" w14:textId="77777777" w:rsidR="00C2313B" w:rsidRPr="00925F26" w:rsidRDefault="00C2313B"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Реорганизовать “Авиаспецтрест” НКАП в Трест вторичного алюминия НКАП “Вторалюминий” на который возложить.... (8950, 8961).</w:t>
      </w:r>
    </w:p>
    <w:p w14:paraId="61034CF8" w14:textId="77777777" w:rsidR="00C2313B" w:rsidRPr="00925F26" w:rsidRDefault="00C2313B" w:rsidP="00925F26">
      <w:pPr>
        <w:tabs>
          <w:tab w:val="left" w:pos="360"/>
        </w:tabs>
        <w:autoSpaceDE w:val="0"/>
        <w:autoSpaceDN w:val="0"/>
        <w:adjustRightInd w:val="0"/>
        <w:jc w:val="both"/>
        <w:rPr>
          <w:color w:val="000000" w:themeColor="text1"/>
          <w:sz w:val="16"/>
          <w:szCs w:val="16"/>
        </w:rPr>
      </w:pPr>
    </w:p>
    <w:p w14:paraId="56ACC0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года вышло Постановление ГКО за № 7426 и 30 января 1945 года вышел приказ НКАП за № 34с, которыми заводу № 483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3C6B6C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И. Погорелов</w:t>
      </w:r>
    </w:p>
    <w:p w14:paraId="003BBE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Киев, ул. Владимиро-Лыбедская, д. 3</w:t>
      </w:r>
    </w:p>
    <w:p w14:paraId="0F0D4C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приборный радиолокационный завод (9855).</w:t>
      </w:r>
    </w:p>
    <w:p w14:paraId="0C2C8572" w14:textId="77777777" w:rsidR="00C2313B" w:rsidRPr="00925F26" w:rsidRDefault="00C2313B" w:rsidP="00925F26">
      <w:pPr>
        <w:autoSpaceDE w:val="0"/>
        <w:autoSpaceDN w:val="0"/>
        <w:adjustRightInd w:val="0"/>
        <w:jc w:val="both"/>
        <w:rPr>
          <w:color w:val="000000" w:themeColor="text1"/>
          <w:sz w:val="16"/>
          <w:szCs w:val="16"/>
        </w:rPr>
      </w:pPr>
    </w:p>
    <w:p w14:paraId="230810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7416 О ремонте самолетов, авиационных моторов и материально-техническом обеспечении Военно-воздушных сил Красной Армии и Военно-Морского Флота в I квартале 1945 года. РГАНИР, Фонд ГКО, д. 362, лл. 97-103, 104-271 (11012).</w:t>
      </w:r>
    </w:p>
    <w:p w14:paraId="0773C971" w14:textId="77777777" w:rsidR="00C2313B" w:rsidRPr="00925F26" w:rsidRDefault="00C2313B" w:rsidP="00925F26">
      <w:pPr>
        <w:autoSpaceDE w:val="0"/>
        <w:autoSpaceDN w:val="0"/>
        <w:adjustRightInd w:val="0"/>
        <w:jc w:val="both"/>
        <w:rPr>
          <w:color w:val="000000" w:themeColor="text1"/>
          <w:sz w:val="16"/>
          <w:szCs w:val="16"/>
        </w:rPr>
      </w:pPr>
    </w:p>
    <w:p w14:paraId="0003B9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7419 О плане производства самолетов и авиационных моторов на первый квартал 1945 года. РГАНИР, Фонд ГКО, д. 363, лл. 7-10 (11012).</w:t>
      </w:r>
    </w:p>
    <w:p w14:paraId="29FEF808" w14:textId="77777777" w:rsidR="00C2313B" w:rsidRPr="00925F26" w:rsidRDefault="00C2313B" w:rsidP="00925F26">
      <w:pPr>
        <w:autoSpaceDE w:val="0"/>
        <w:autoSpaceDN w:val="0"/>
        <w:adjustRightInd w:val="0"/>
        <w:jc w:val="both"/>
        <w:rPr>
          <w:color w:val="000000" w:themeColor="text1"/>
          <w:sz w:val="16"/>
          <w:szCs w:val="16"/>
        </w:rPr>
      </w:pPr>
    </w:p>
    <w:p w14:paraId="357E18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7426 О материально-техническом обеспечении авиационной промышленности в первом квартале 1945 года. РГАНИР, Фонд ГКО, д. 364, лл. 85-90, 91-258 (11012).</w:t>
      </w:r>
    </w:p>
    <w:p w14:paraId="416EC8BD" w14:textId="77777777" w:rsidR="00C2313B" w:rsidRPr="00925F26" w:rsidRDefault="00C2313B" w:rsidP="00925F26">
      <w:pPr>
        <w:autoSpaceDE w:val="0"/>
        <w:autoSpaceDN w:val="0"/>
        <w:adjustRightInd w:val="0"/>
        <w:jc w:val="both"/>
        <w:rPr>
          <w:color w:val="000000" w:themeColor="text1"/>
          <w:sz w:val="16"/>
          <w:szCs w:val="16"/>
        </w:rPr>
      </w:pPr>
    </w:p>
    <w:p w14:paraId="5217DA6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82319F4" w14:textId="77777777" w:rsidR="00C2313B" w:rsidRPr="00925F26" w:rsidRDefault="00C2313B" w:rsidP="00925F26">
      <w:pPr>
        <w:autoSpaceDE w:val="0"/>
        <w:autoSpaceDN w:val="0"/>
        <w:adjustRightInd w:val="0"/>
        <w:jc w:val="both"/>
        <w:rPr>
          <w:iCs/>
          <w:color w:val="000000" w:themeColor="text1"/>
          <w:sz w:val="16"/>
          <w:szCs w:val="16"/>
        </w:rPr>
      </w:pPr>
    </w:p>
    <w:p w14:paraId="75A792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7414 О балансах и планах распределения черных металлов, металлокерамических твердых сплавов, труб, метизов, чугуна, ферросплавов и металлургического кокса на февраль и март 1945 г. РГАНИР, Фонд ГКО, д. 361, лл. 1, 2-106 (11012).</w:t>
      </w:r>
    </w:p>
    <w:p w14:paraId="38B5221F" w14:textId="77777777" w:rsidR="00C2313B" w:rsidRPr="00925F26" w:rsidRDefault="00C2313B" w:rsidP="00925F26">
      <w:pPr>
        <w:autoSpaceDE w:val="0"/>
        <w:autoSpaceDN w:val="0"/>
        <w:adjustRightInd w:val="0"/>
        <w:jc w:val="both"/>
        <w:rPr>
          <w:color w:val="000000" w:themeColor="text1"/>
          <w:sz w:val="16"/>
          <w:szCs w:val="16"/>
        </w:rPr>
      </w:pPr>
    </w:p>
    <w:p w14:paraId="17EAC1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7415 Об утверждении плана заказов Наркомвоенморфлота на I квартал 1945 года по судоремонту, трально-сетевому и штурманскому вооружению, судовому оборудованию и о мероприятиях по его обеспечению. РГАНИР, Фонд ГКО, д. 362, лл. 1-12, 13-96 (11012).</w:t>
      </w:r>
    </w:p>
    <w:p w14:paraId="240B34FC" w14:textId="77777777" w:rsidR="00C2313B" w:rsidRPr="00925F26" w:rsidRDefault="00C2313B" w:rsidP="00925F26">
      <w:pPr>
        <w:autoSpaceDE w:val="0"/>
        <w:autoSpaceDN w:val="0"/>
        <w:adjustRightInd w:val="0"/>
        <w:jc w:val="both"/>
        <w:rPr>
          <w:color w:val="000000" w:themeColor="text1"/>
          <w:sz w:val="16"/>
          <w:szCs w:val="16"/>
        </w:rPr>
      </w:pPr>
    </w:p>
    <w:p w14:paraId="5CFC7E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7417 Об изготовлении в 1945 году для Красной Армии 2000 артиллерийских тягачей Я-12 с дизель-мотором "Дженерал Моторс" на Ярославском заводе Наркомсредмаша. РГАНИР, Фонд ГКО, д. 363, лл. 1-4, 5 (11012).</w:t>
      </w:r>
    </w:p>
    <w:p w14:paraId="5D9AC908" w14:textId="77777777" w:rsidR="00C2313B" w:rsidRPr="00925F26" w:rsidRDefault="00C2313B" w:rsidP="00925F26">
      <w:pPr>
        <w:autoSpaceDE w:val="0"/>
        <w:autoSpaceDN w:val="0"/>
        <w:adjustRightInd w:val="0"/>
        <w:jc w:val="both"/>
        <w:rPr>
          <w:color w:val="000000" w:themeColor="text1"/>
          <w:sz w:val="16"/>
          <w:szCs w:val="16"/>
        </w:rPr>
      </w:pPr>
    </w:p>
    <w:p w14:paraId="161F2A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7418 Об увеличении гарантийного срока службы танковых дизелей. РГАНИР, Фонд ГКО, д. 363, лл. 6 (11012).</w:t>
      </w:r>
    </w:p>
    <w:p w14:paraId="44A773A4" w14:textId="77777777" w:rsidR="00C2313B" w:rsidRPr="00925F26" w:rsidRDefault="00C2313B" w:rsidP="00925F26">
      <w:pPr>
        <w:autoSpaceDE w:val="0"/>
        <w:autoSpaceDN w:val="0"/>
        <w:adjustRightInd w:val="0"/>
        <w:jc w:val="both"/>
        <w:rPr>
          <w:color w:val="000000" w:themeColor="text1"/>
          <w:sz w:val="16"/>
          <w:szCs w:val="16"/>
        </w:rPr>
      </w:pPr>
    </w:p>
    <w:p w14:paraId="670C2A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7420 О мероприятиях по материально-техническому обеспечению предприятий черной металлургии в I квартале 1945 г. РГАНИР, Фонд ГКО, д. 363, лл. 11-13, 14-199 (11012).</w:t>
      </w:r>
    </w:p>
    <w:p w14:paraId="58D98ED6" w14:textId="77777777" w:rsidR="00C2313B" w:rsidRPr="00925F26" w:rsidRDefault="00C2313B" w:rsidP="00925F26">
      <w:pPr>
        <w:autoSpaceDE w:val="0"/>
        <w:autoSpaceDN w:val="0"/>
        <w:adjustRightInd w:val="0"/>
        <w:jc w:val="both"/>
        <w:rPr>
          <w:color w:val="000000" w:themeColor="text1"/>
          <w:sz w:val="16"/>
          <w:szCs w:val="16"/>
        </w:rPr>
      </w:pPr>
    </w:p>
    <w:p w14:paraId="2D4995A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7421 О строительстве и восстановлении автомобильных дорог и дорожного хозяйства Гушосдором НКВД СССР в 1945 г. (7303, 200-204,205-207).</w:t>
      </w:r>
    </w:p>
    <w:p w14:paraId="7AFF602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21826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7422 О мерах помощи предприятиям цветной металлургии в I квартале 1945 года. РГАНИР, Фонд ГКО, д. 363, лл. 208-219, 220-239 (11012).</w:t>
      </w:r>
    </w:p>
    <w:p w14:paraId="638C21ED" w14:textId="77777777" w:rsidR="00C2313B" w:rsidRPr="00925F26" w:rsidRDefault="00C2313B" w:rsidP="00925F26">
      <w:pPr>
        <w:autoSpaceDE w:val="0"/>
        <w:autoSpaceDN w:val="0"/>
        <w:adjustRightInd w:val="0"/>
        <w:jc w:val="both"/>
        <w:rPr>
          <w:color w:val="000000" w:themeColor="text1"/>
          <w:sz w:val="16"/>
          <w:szCs w:val="16"/>
        </w:rPr>
      </w:pPr>
    </w:p>
    <w:p w14:paraId="11FE63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7423 О мероприятиях по обеспечению безопасности и предотвращению взрывов и пожаров при отгрузке, транспортировке, хранении авиабомб и других авиабоеприпасов. РГАНИР, Фонд ГКО, д. 364, лл. 1-13 (11012).</w:t>
      </w:r>
    </w:p>
    <w:p w14:paraId="672CCCC3" w14:textId="77777777" w:rsidR="00C2313B" w:rsidRPr="00925F26" w:rsidRDefault="00C2313B" w:rsidP="00925F26">
      <w:pPr>
        <w:autoSpaceDE w:val="0"/>
        <w:autoSpaceDN w:val="0"/>
        <w:adjustRightInd w:val="0"/>
        <w:jc w:val="both"/>
        <w:rPr>
          <w:color w:val="000000" w:themeColor="text1"/>
          <w:sz w:val="16"/>
          <w:szCs w:val="16"/>
        </w:rPr>
      </w:pPr>
    </w:p>
    <w:p w14:paraId="3CB839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7425 О плане производства электротехнического оборудования, изделий военной электротехники, средств связи и о мероприятиях по материально-техническому обеспечению предприятий Наркомэлектропрома в I квартале 1945 года. РГАНИР, Фонд ГКО, д. 364, лл. 19-29, 3 (11012).</w:t>
      </w:r>
    </w:p>
    <w:p w14:paraId="027EA865" w14:textId="77777777" w:rsidR="00C2313B" w:rsidRPr="00925F26" w:rsidRDefault="00C2313B" w:rsidP="00925F26">
      <w:pPr>
        <w:autoSpaceDE w:val="0"/>
        <w:autoSpaceDN w:val="0"/>
        <w:adjustRightInd w:val="0"/>
        <w:jc w:val="both"/>
        <w:rPr>
          <w:color w:val="000000" w:themeColor="text1"/>
          <w:sz w:val="16"/>
          <w:szCs w:val="16"/>
        </w:rPr>
      </w:pPr>
    </w:p>
    <w:p w14:paraId="500ECFD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348E1FF" w14:textId="77777777" w:rsidR="00C2313B" w:rsidRPr="00925F26" w:rsidRDefault="00C2313B" w:rsidP="00925F26">
      <w:pPr>
        <w:autoSpaceDE w:val="0"/>
        <w:autoSpaceDN w:val="0"/>
        <w:adjustRightInd w:val="0"/>
        <w:jc w:val="both"/>
        <w:rPr>
          <w:iCs/>
          <w:color w:val="000000" w:themeColor="text1"/>
          <w:sz w:val="16"/>
          <w:szCs w:val="16"/>
        </w:rPr>
      </w:pPr>
    </w:p>
    <w:p w14:paraId="7E12D185" w14:textId="77777777" w:rsidR="00590D1F" w:rsidRPr="00925F26" w:rsidRDefault="00590D1F" w:rsidP="00925F26">
      <w:pPr>
        <w:jc w:val="both"/>
        <w:rPr>
          <w:color w:val="000000" w:themeColor="text1"/>
          <w:sz w:val="16"/>
          <w:szCs w:val="16"/>
        </w:rPr>
      </w:pPr>
      <w:r w:rsidRPr="00925F26">
        <w:rPr>
          <w:rStyle w:val="ucoz-forum-post"/>
          <w:color w:val="000000" w:themeColor="text1"/>
          <w:sz w:val="16"/>
          <w:szCs w:val="16"/>
        </w:rPr>
        <w:t xml:space="preserve">29 января </w:t>
      </w:r>
      <w:r w:rsidRPr="00925F26">
        <w:rPr>
          <w:color w:val="000000" w:themeColor="text1"/>
          <w:sz w:val="16"/>
          <w:szCs w:val="16"/>
        </w:rPr>
        <w:t>в 1945 году оперативная сводка Совинформбюро:</w:t>
      </w:r>
    </w:p>
    <w:p w14:paraId="32FCCC02" w14:textId="77777777" w:rsidR="00590D1F" w:rsidRPr="00925F26" w:rsidRDefault="00590D1F" w:rsidP="00925F26">
      <w:pPr>
        <w:jc w:val="both"/>
        <w:rPr>
          <w:color w:val="000000" w:themeColor="text1"/>
          <w:sz w:val="16"/>
          <w:szCs w:val="16"/>
        </w:rPr>
      </w:pPr>
      <w:r w:rsidRPr="00925F26">
        <w:rPr>
          <w:color w:val="000000" w:themeColor="text1"/>
          <w:sz w:val="16"/>
          <w:szCs w:val="16"/>
        </w:rPr>
        <w:t>«В течение 29 января в Восточной Пруссии наши войска с боями заняли более 100 населённых пунктов, в том числе крупные населённые пункты Ляптау, Молленен, Зидлунг (3 километра северо-западнее Кенигсберга), Людвигсвальде, Альтенберг (4 километра южнее Кенигсберга), Мансфельд, Тарау, Шромбенен, Штольценфельд, Гросс Лянгвальде, Лангхайм, Штурмхюбель, Рессель, Гизевен и железнодорожные станции Ляптау, Гросс Раум, Нессельбек, Шромбенен, Рессель. Одновременно наши войска северо-западнее города Алленштайн отбивали атаки крупных сил пехоты и танков противника, пытавшегося пробиться на запад.</w:t>
      </w:r>
    </w:p>
    <w:p w14:paraId="272B49C3" w14:textId="77777777" w:rsidR="00590D1F" w:rsidRPr="00925F26" w:rsidRDefault="00590D1F" w:rsidP="00925F26">
      <w:pPr>
        <w:jc w:val="both"/>
        <w:rPr>
          <w:color w:val="000000" w:themeColor="text1"/>
          <w:sz w:val="16"/>
          <w:szCs w:val="16"/>
        </w:rPr>
      </w:pPr>
      <w:r w:rsidRPr="00925F26">
        <w:rPr>
          <w:color w:val="000000" w:themeColor="text1"/>
          <w:sz w:val="16"/>
          <w:szCs w:val="16"/>
        </w:rPr>
        <w:t>За 28 января в Восточной Пруссии войска 3-го Белорусского фронта захватили 130 немецких самолётов, 136 орудий, 270 автомашин и взяли в плен свыше 1.300 немецких солдат и офицеров.</w:t>
      </w:r>
    </w:p>
    <w:p w14:paraId="42B979EF" w14:textId="77777777" w:rsidR="00590D1F" w:rsidRPr="00925F26" w:rsidRDefault="00590D1F" w:rsidP="00925F26">
      <w:pPr>
        <w:jc w:val="both"/>
        <w:rPr>
          <w:color w:val="000000" w:themeColor="text1"/>
          <w:sz w:val="16"/>
          <w:szCs w:val="16"/>
        </w:rPr>
      </w:pPr>
      <w:r w:rsidRPr="00925F26">
        <w:rPr>
          <w:color w:val="000000" w:themeColor="text1"/>
          <w:sz w:val="16"/>
          <w:szCs w:val="16"/>
        </w:rPr>
        <w:t>В районе города Торунь продолжались бои по уничтожению окружённых в городе частей противника.</w:t>
      </w:r>
    </w:p>
    <w:p w14:paraId="60879339"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Севернее и северо-западнее города Быдгощ (Бромберг) наши войска, продолжая наступление, овладели городом Фандсбург, а также с боями заняли более 60 других населённых пунктов, среди которых крупные населённые пункты Бризен, Пруст, Комирово.</w:t>
      </w:r>
    </w:p>
    <w:p w14:paraId="4C27E3E6"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Белорусского фронта, развивая успешное наступление, пересекли границу Германии западнее и северо-западнее Познани, вторглись в пределы немецкой Померании и 29 января с боем овладели городами Шенланке, Лукатц Крейц, Вольденберг и Дризен — важными узлами коммуникаций и мощными опорными пунктами обороны немцев, а также заняли на территории немецкой Померании более 150 других населённых пунктов. Одновременно войска фронта заняли на территории Польши города Цирке, Бирнбаум, Нойштадт, Нойтомишель, Бенчен, Вольштын и более 400 других населённых пунктов.</w:t>
      </w:r>
    </w:p>
    <w:p w14:paraId="315EC180" w14:textId="77777777" w:rsidR="00590D1F" w:rsidRPr="00925F26" w:rsidRDefault="00590D1F" w:rsidP="00925F26">
      <w:pPr>
        <w:jc w:val="both"/>
        <w:rPr>
          <w:color w:val="000000" w:themeColor="text1"/>
          <w:sz w:val="16"/>
          <w:szCs w:val="16"/>
        </w:rPr>
      </w:pPr>
      <w:r w:rsidRPr="00925F26">
        <w:rPr>
          <w:color w:val="000000" w:themeColor="text1"/>
          <w:sz w:val="16"/>
          <w:szCs w:val="16"/>
        </w:rPr>
        <w:t>В районе Познани продолжались бои по уничтожению гарнизона противника, окружённого в городе.</w:t>
      </w:r>
    </w:p>
    <w:p w14:paraId="1B322844"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и южнее города Катовице наши войска в результате наступательных боёв заняли более 70 населённых пунктов, в том числе крупные населённые пункты Шенвальд, Кнурув, Буянов, Выры, Кобьир, Волау, Канев, Бествина, Козы, Липник, Поромбка.</w:t>
      </w:r>
    </w:p>
    <w:p w14:paraId="6E3F673B"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29 января овладели городом Новы Тарг — важным узлом коммуникаций и сильным опорным пунктом обороны противника, а также с боями заняли более 100 других населённых пунктов, среди которых крупные населённые пункты Оселец, Ерданув, Сидзина, Спытковице, Чарны Дунаец, Ждяр, Шунява.</w:t>
      </w:r>
    </w:p>
    <w:p w14:paraId="11683AEC" w14:textId="77777777" w:rsidR="00590D1F" w:rsidRPr="00925F26" w:rsidRDefault="00590D1F" w:rsidP="00925F26">
      <w:pPr>
        <w:jc w:val="both"/>
        <w:rPr>
          <w:color w:val="000000" w:themeColor="text1"/>
          <w:sz w:val="16"/>
          <w:szCs w:val="16"/>
        </w:rPr>
      </w:pPr>
      <w:r w:rsidRPr="00925F26">
        <w:rPr>
          <w:color w:val="000000" w:themeColor="text1"/>
          <w:sz w:val="16"/>
          <w:szCs w:val="16"/>
        </w:rPr>
        <w:t>В Будапеште наши войска продолжали бои по уничтожению гарнизона противника, окружённого в западной части города (Буда), и заняли 32 квартала.</w:t>
      </w:r>
    </w:p>
    <w:p w14:paraId="66A92635" w14:textId="77777777" w:rsidR="00590D1F" w:rsidRPr="00925F26" w:rsidRDefault="00590D1F" w:rsidP="00925F26">
      <w:pPr>
        <w:jc w:val="both"/>
        <w:rPr>
          <w:color w:val="000000" w:themeColor="text1"/>
          <w:sz w:val="16"/>
          <w:szCs w:val="16"/>
        </w:rPr>
      </w:pPr>
      <w:r w:rsidRPr="00925F26">
        <w:rPr>
          <w:color w:val="000000" w:themeColor="text1"/>
          <w:sz w:val="16"/>
          <w:szCs w:val="16"/>
        </w:rPr>
        <w:t>За 28 января наши войска на всех фронтах подбили и уничтожили 203 немецких танка. В воздушных боях и огнём зенитной артиллерии сбито 116 самолётов противника.</w:t>
      </w:r>
    </w:p>
    <w:p w14:paraId="022B9B1F" w14:textId="77777777" w:rsidR="00590D1F" w:rsidRPr="00925F26" w:rsidRDefault="00590D1F" w:rsidP="00925F26">
      <w:pPr>
        <w:jc w:val="both"/>
        <w:rPr>
          <w:color w:val="000000" w:themeColor="text1"/>
          <w:sz w:val="16"/>
          <w:szCs w:val="16"/>
        </w:rPr>
      </w:pPr>
      <w:r w:rsidRPr="00925F26">
        <w:rPr>
          <w:color w:val="000000" w:themeColor="text1"/>
          <w:sz w:val="16"/>
          <w:szCs w:val="16"/>
        </w:rPr>
        <w:t>В Восточной Пруссии наши войска с боями продвигались вперёд. Части Н-ского соединения, преодолевая ожесточённое сопротивление противника, заняли населённый пункт Зидлунг, расположенный в 3 километрах северо-западнее порода Кенигсберг. Другие наши части, разгромив ряд сильно укреплённых опорных пунктов, обходят Кенигсберг с юга. В этом районе захвачены 56 мощных орудийных дотов с подземными ходами и складами. На другом участке советские танки и пехота с боями переправились через реку Алле и заняли ряд населённых пунктов на её западном берегу. Откатываясь под ударами Красной Армии, немцы бросают на дорогах много техники, вооружения и военных материалов. В воздушных боях и на аэродромах за день уничтожено 108 немецких самолётов.</w:t>
      </w:r>
    </w:p>
    <w:p w14:paraId="5DEA9BE6"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города Алленштайн продолжались ожесточённые бои. Немцы ввели в бой танковый корпус СС «Герман Геринг», несколько пехотных и танковых дивизий и части морской пехоты и пытаются любой ценой прорвать кольцо окружения и пробиться на запад. Советские пехотинцы, артиллеристы и танкисты мощным огнём и контрударами сдерживают натиск противника и перемалывают его живую силу и технику. На подступах к нашим позициям осталась свыше 3 тысяч вражеских трупов и 35 подбитых танков и самоходных орудий противника.</w:t>
      </w:r>
    </w:p>
    <w:p w14:paraId="0C6BA3C5"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Белорусского фронта развивали успешное наступление. Северо-западнее города Познань противник пытался остановить наши войска у польско-германской границы на рубеже реки Нетце. Опираясь на долговременную полосу обороны, немцы оказывали упорное сопротивление и часто переходили в контратаки. Советские танки и пехота при поддержке артиллерии одновременно во многих местах форсировали реку Нетце и прорвали вражескую оборону. Развивая успех, наши войска вторглись в немецкую Померанию и овладели городами Шенланке, Лукатц Крейц и Дризен. В то же время наши войска, действующие западнее Познани, опрокидывая и громя противника, заняли польский город Бирнбаум, расположенный у польско-германской границы. Широко применяя обходные манёвры, советские части громят подходящие резервы противника. За день боёв истреблено более-4.000 немецких солдат и офицеров. Нашими войсками захвачены трофеи, в числе которых 12 танков, 70 орудий, 300 автомашин, 60 паровозов и 50 железнодорожных эшелонов. Взято в плен 1.100 немцев.</w:t>
      </w:r>
    </w:p>
    <w:p w14:paraId="1876858D" w14:textId="77777777" w:rsidR="00590D1F" w:rsidRPr="00925F26" w:rsidRDefault="00590D1F" w:rsidP="00925F26">
      <w:pPr>
        <w:jc w:val="both"/>
        <w:rPr>
          <w:color w:val="000000" w:themeColor="text1"/>
          <w:sz w:val="16"/>
          <w:szCs w:val="16"/>
        </w:rPr>
      </w:pPr>
      <w:r w:rsidRPr="00925F26">
        <w:rPr>
          <w:color w:val="000000" w:themeColor="text1"/>
          <w:sz w:val="16"/>
          <w:szCs w:val="16"/>
        </w:rPr>
        <w:t>Юго-западнее и южнее города Катовице наши войска продолжали наступление. Ожесточённые бои происходили в лесном массиве южнее города Микалув. Части Н-ского соединения с трёх сторон атаковали группу немецких войск и разгромили её. На месте боя осталось много вражеских трупов. Подбит и уничтожен 41 танк противника. Захвачено у немцев до 200 орудий и много других трофеев. Взято в плен свыше 1.000 немецких солдат и офицеров.</w:t>
      </w:r>
    </w:p>
    <w:p w14:paraId="15EE228E" w14:textId="77777777" w:rsidR="00590D1F" w:rsidRPr="00925F26" w:rsidRDefault="00590D1F" w:rsidP="00925F26">
      <w:pPr>
        <w:jc w:val="both"/>
        <w:rPr>
          <w:color w:val="000000" w:themeColor="text1"/>
          <w:sz w:val="16"/>
          <w:szCs w:val="16"/>
        </w:rPr>
      </w:pPr>
      <w:r w:rsidRPr="00925F26">
        <w:rPr>
          <w:color w:val="000000" w:themeColor="text1"/>
          <w:sz w:val="16"/>
          <w:szCs w:val="16"/>
        </w:rPr>
        <w:t>В одном районе на поле боя обнаружен труп командора 291-й немецкой пехотной дивизии генерал-майора Фингера.</w:t>
      </w:r>
    </w:p>
    <w:p w14:paraId="6BB05B21"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Советские гвардейские части обошли в Карпатах горы Кудлонь, Турбач, Буковина и Горц и с двух сторон вышли на подступы к городу Новы Тарг. Опираясь на оборонительный рубеж, проходивший по реке Чарны Дунаец, немцы оказывали упорное сопротивление. Наши подразделения переправились через реку и в результате стремительной атаки овладели городом Новы Тарг — важным узлом коммуникаций. За день войсками фронта захвачено у немцев 120 орудий, 158 пулемётов, 500 автомобилей, 30 паровозов и свыше-1.000 вагонов с различными грузами. Взято в плен 920 немецких солдат и офицеров.</w:t>
      </w:r>
    </w:p>
    <w:p w14:paraId="67A4EE02" w14:textId="77777777" w:rsidR="00590D1F" w:rsidRPr="00925F26" w:rsidRDefault="00590D1F"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потопила в южной части Балтийского моря три немецких транспорта общим водоизмещением в 16 тысяч тонн и один самоходный понтон. Кроме того, корабли, флота пустили ко дну крупный транспорт противника.</w:t>
      </w:r>
    </w:p>
    <w:p w14:paraId="3D4BA7A8" w14:textId="77777777" w:rsidR="00590D1F" w:rsidRPr="00925F26" w:rsidRDefault="00590D1F" w:rsidP="00925F26">
      <w:pPr>
        <w:jc w:val="both"/>
        <w:rPr>
          <w:color w:val="000000" w:themeColor="text1"/>
          <w:sz w:val="16"/>
          <w:szCs w:val="16"/>
        </w:rPr>
      </w:pPr>
      <w:r w:rsidRPr="00925F26">
        <w:rPr>
          <w:color w:val="000000" w:themeColor="text1"/>
          <w:sz w:val="16"/>
          <w:szCs w:val="16"/>
        </w:rPr>
        <w:t>Войска 1-го Украинского фронта захватили приказ командующего немецкой армейской группой «Юг» генерал-полковника Гарпе, изданный им в начале января. В приказе говорится: «Солдаты моих армий! Нам предстоят серьёзные испытания. Противник готовится к наступлению на нашем фронте, но он не застигнет нас врасплох. Все солдаты должны всюду, где бы им ни пришлось сражаться, не уступать ни пяди земли. В нашем распоряжении имеются крупные резервные соединения, множество танков и штурмовых орудий и более чем достаточно боеприпасов, чтобы пресечь все попытки противника сломить нашу оборону. Предстоящие сражения должны принести нам решающую победу».</w:t>
      </w:r>
    </w:p>
    <w:p w14:paraId="1A6BA536" w14:textId="77777777" w:rsidR="00590D1F" w:rsidRPr="00925F26" w:rsidRDefault="00590D1F" w:rsidP="00925F26">
      <w:pPr>
        <w:jc w:val="both"/>
        <w:rPr>
          <w:color w:val="000000" w:themeColor="text1"/>
          <w:sz w:val="16"/>
          <w:szCs w:val="16"/>
        </w:rPr>
      </w:pPr>
      <w:r w:rsidRPr="00925F26">
        <w:rPr>
          <w:color w:val="000000" w:themeColor="text1"/>
          <w:sz w:val="16"/>
          <w:szCs w:val="16"/>
        </w:rPr>
        <w:t>Немного времени прошло с тех пор, как немецкий генерал-полковник Гарпе издал свой приказ. Между тем, за это время на фронте произошли крупные события. Красная Армия разгромила и отбросила немецкие войска на сотни километров и наносит им один удар за другим.» (15024).</w:t>
      </w:r>
    </w:p>
    <w:p w14:paraId="2EADBF8A" w14:textId="77777777" w:rsidR="00590D1F" w:rsidRPr="00925F26" w:rsidRDefault="00590D1F" w:rsidP="00925F26">
      <w:pPr>
        <w:jc w:val="both"/>
        <w:rPr>
          <w:color w:val="000000" w:themeColor="text1"/>
          <w:sz w:val="16"/>
          <w:szCs w:val="16"/>
        </w:rPr>
      </w:pPr>
    </w:p>
    <w:p w14:paraId="5A99F0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12 торпедоносцев и 18 бомбардировщиков 51го МТАП в сопровождении двух эскадрилий истребителей атаковали конвой, шедший из Лиепаи на юго-запад. Летчикам удалось отправить на дно три транспорта и плавучую базу подводных лодок "Мемель" (2691).</w:t>
      </w:r>
    </w:p>
    <w:p w14:paraId="5EA9FAB0" w14:textId="77777777" w:rsidR="00C2313B" w:rsidRPr="00925F26" w:rsidRDefault="00C2313B" w:rsidP="00925F26">
      <w:pPr>
        <w:autoSpaceDE w:val="0"/>
        <w:autoSpaceDN w:val="0"/>
        <w:adjustRightInd w:val="0"/>
        <w:jc w:val="both"/>
        <w:rPr>
          <w:color w:val="000000" w:themeColor="text1"/>
          <w:sz w:val="16"/>
          <w:szCs w:val="16"/>
        </w:rPr>
      </w:pPr>
    </w:p>
    <w:p w14:paraId="3A0311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войска 1БФ (Г.К.Жуков) перешли границу Германии западнее и восточнее Познани (3398,49).</w:t>
      </w:r>
    </w:p>
    <w:p w14:paraId="22BF3944" w14:textId="77777777" w:rsidR="00C2313B" w:rsidRPr="00925F26" w:rsidRDefault="00C2313B" w:rsidP="00925F26">
      <w:pPr>
        <w:autoSpaceDE w:val="0"/>
        <w:autoSpaceDN w:val="0"/>
        <w:adjustRightInd w:val="0"/>
        <w:jc w:val="both"/>
        <w:rPr>
          <w:color w:val="000000" w:themeColor="text1"/>
          <w:sz w:val="16"/>
          <w:szCs w:val="16"/>
        </w:rPr>
      </w:pPr>
    </w:p>
    <w:p w14:paraId="1D04BCE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9D06DB1" w14:textId="77777777" w:rsidR="00C2313B" w:rsidRPr="00925F26" w:rsidRDefault="00C2313B" w:rsidP="00925F26">
      <w:pPr>
        <w:autoSpaceDE w:val="0"/>
        <w:autoSpaceDN w:val="0"/>
        <w:adjustRightInd w:val="0"/>
        <w:jc w:val="both"/>
        <w:rPr>
          <w:iCs/>
          <w:color w:val="000000" w:themeColor="text1"/>
          <w:sz w:val="16"/>
          <w:szCs w:val="16"/>
        </w:rPr>
      </w:pPr>
    </w:p>
    <w:p w14:paraId="2C0D15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 января 1945 вышло Постановление ГКО № 7424 О помощи Временному Польскому правительству по восстановлению столицы Польши - г. Варшава. РГАНИР, Фонд ГКО, д. 364, лл. 14-17, 18 (11012).</w:t>
      </w:r>
    </w:p>
    <w:p w14:paraId="0D0B9A39" w14:textId="77777777" w:rsidR="00C2313B" w:rsidRPr="00925F26" w:rsidRDefault="00C2313B" w:rsidP="00925F26">
      <w:pPr>
        <w:autoSpaceDE w:val="0"/>
        <w:autoSpaceDN w:val="0"/>
        <w:adjustRightInd w:val="0"/>
        <w:jc w:val="both"/>
        <w:rPr>
          <w:color w:val="000000" w:themeColor="text1"/>
          <w:sz w:val="16"/>
          <w:szCs w:val="16"/>
        </w:rPr>
      </w:pPr>
    </w:p>
    <w:p w14:paraId="5D9F06B7" w14:textId="77777777" w:rsidR="004C221F" w:rsidRPr="00925F26" w:rsidRDefault="004C221F" w:rsidP="00925F26">
      <w:pPr>
        <w:jc w:val="both"/>
        <w:rPr>
          <w:color w:val="000000" w:themeColor="text1"/>
          <w:sz w:val="16"/>
          <w:szCs w:val="16"/>
        </w:rPr>
      </w:pPr>
      <w:r w:rsidRPr="00925F26">
        <w:rPr>
          <w:color w:val="000000" w:themeColor="text1"/>
          <w:sz w:val="16"/>
          <w:szCs w:val="16"/>
        </w:rPr>
        <w:t>29 января 1945 Б-29 бомбят Иводзиму (20371).</w:t>
      </w:r>
    </w:p>
    <w:p w14:paraId="38D19357" w14:textId="77777777" w:rsidR="004C221F" w:rsidRPr="00925F26" w:rsidRDefault="004C221F" w:rsidP="00925F26">
      <w:pPr>
        <w:jc w:val="both"/>
        <w:rPr>
          <w:color w:val="000000" w:themeColor="text1"/>
          <w:sz w:val="16"/>
          <w:szCs w:val="16"/>
        </w:rPr>
      </w:pPr>
    </w:p>
    <w:p w14:paraId="5B0E49EB" w14:textId="77777777" w:rsidR="004C221F" w:rsidRPr="00925F26" w:rsidRDefault="004C221F" w:rsidP="00925F26">
      <w:pPr>
        <w:jc w:val="both"/>
        <w:rPr>
          <w:color w:val="000000" w:themeColor="text1"/>
          <w:sz w:val="16"/>
          <w:szCs w:val="16"/>
        </w:rPr>
      </w:pPr>
      <w:r w:rsidRPr="00925F26">
        <w:rPr>
          <w:color w:val="000000" w:themeColor="text1"/>
          <w:sz w:val="16"/>
          <w:szCs w:val="16"/>
        </w:rPr>
        <w:t>29 января 1945 авианосцы Британского Тихоокеанского флота наносят удары по контролируемому японцами нефтеперерабатывающему заводу в Соенги Геронг на Суматре. Во время Второй мировой войны завод так и не смог выйти на полную мощность. Японские самолеты контратакуют британские авианосцы, но британский боевой воздушный патруль их всех сбивает. В результате ударов 24 и 29 января Британский Тихоокеанский флот потерял 16 самолетов в результате действий противника, а остальные в результате несчастных случаев, а также 30 летных экипажей, причем некоторые из них пропали без вести (20371).</w:t>
      </w:r>
    </w:p>
    <w:p w14:paraId="4E36A9FE" w14:textId="77777777" w:rsidR="004C221F" w:rsidRPr="00925F26" w:rsidRDefault="004C221F" w:rsidP="00925F26">
      <w:pPr>
        <w:jc w:val="both"/>
        <w:rPr>
          <w:color w:val="000000" w:themeColor="text1"/>
          <w:sz w:val="16"/>
          <w:szCs w:val="16"/>
        </w:rPr>
      </w:pPr>
    </w:p>
    <w:p w14:paraId="22244526" w14:textId="77777777" w:rsidR="004C221F" w:rsidRPr="00925F26" w:rsidRDefault="004C221F" w:rsidP="00925F26">
      <w:pPr>
        <w:jc w:val="both"/>
        <w:rPr>
          <w:color w:val="000000" w:themeColor="text1"/>
          <w:sz w:val="16"/>
          <w:szCs w:val="16"/>
        </w:rPr>
      </w:pPr>
      <w:r w:rsidRPr="00925F26">
        <w:rPr>
          <w:color w:val="000000" w:themeColor="text1"/>
          <w:sz w:val="16"/>
          <w:szCs w:val="16"/>
        </w:rPr>
        <w:t>29 января 1945 немцы затопили недостроенный авианосец « Зейдлиц» - предложенное название «Везер» для него официально никогда не давалось - в Кенигсберге, чтобы предотвратить его захват Советским Союзом (20371).</w:t>
      </w:r>
    </w:p>
    <w:p w14:paraId="647D8E68" w14:textId="77777777" w:rsidR="004C221F" w:rsidRPr="00925F26" w:rsidRDefault="004C221F" w:rsidP="00925F26">
      <w:pPr>
        <w:jc w:val="both"/>
        <w:rPr>
          <w:color w:val="000000" w:themeColor="text1"/>
          <w:sz w:val="16"/>
          <w:szCs w:val="16"/>
        </w:rPr>
      </w:pPr>
    </w:p>
    <w:p w14:paraId="11282A4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CEA36F6" w14:textId="77777777" w:rsidR="00C2313B" w:rsidRPr="00925F26" w:rsidRDefault="00C2313B" w:rsidP="00925F26">
      <w:pPr>
        <w:autoSpaceDE w:val="0"/>
        <w:autoSpaceDN w:val="0"/>
        <w:adjustRightInd w:val="0"/>
        <w:jc w:val="both"/>
        <w:rPr>
          <w:iCs/>
          <w:color w:val="000000" w:themeColor="text1"/>
          <w:sz w:val="16"/>
          <w:szCs w:val="16"/>
        </w:rPr>
      </w:pPr>
    </w:p>
    <w:p w14:paraId="504B67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вышел приказ НКАП и Командующего ВВС N 32сс/004 "О выпуске самолетов Ил-10 с установкой пушки Березина 20 мм":</w:t>
      </w:r>
    </w:p>
    <w:p w14:paraId="77CB24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целях обеспечения выпуска самолетов Ил-10 с задней стрелковой установкой ВУ-9 на пушку Б20 20 мм:</w:t>
      </w:r>
    </w:p>
    <w:p w14:paraId="474417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Нач. 10 ГУ - зам. наркома А.И.Кузнецову и директорам заводов 1 Литвинову и 18 Белянскому обеспечить выпуск самолетов Ил-10 с задней стрелковой установкой ВУ-9 с пушкой Березина 20 мм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1DC44557" w14:textId="77777777">
        <w:tc>
          <w:tcPr>
            <w:tcW w:w="5636" w:type="dxa"/>
          </w:tcPr>
          <w:p w14:paraId="1A566E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феврале заводу</w:t>
            </w:r>
          </w:p>
        </w:tc>
        <w:tc>
          <w:tcPr>
            <w:tcW w:w="5636" w:type="dxa"/>
          </w:tcPr>
          <w:p w14:paraId="00E9A0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1 - 30</w:t>
            </w:r>
          </w:p>
        </w:tc>
      </w:tr>
      <w:tr w:rsidR="000F5689" w:rsidRPr="00925F26" w14:paraId="29A46FC7" w14:textId="77777777">
        <w:tc>
          <w:tcPr>
            <w:tcW w:w="5636" w:type="dxa"/>
          </w:tcPr>
          <w:p w14:paraId="0DA4CFF6" w14:textId="77777777" w:rsidR="00C2313B" w:rsidRPr="00925F26" w:rsidRDefault="00C2313B" w:rsidP="00925F26">
            <w:pPr>
              <w:autoSpaceDE w:val="0"/>
              <w:autoSpaceDN w:val="0"/>
              <w:adjustRightInd w:val="0"/>
              <w:jc w:val="both"/>
              <w:rPr>
                <w:color w:val="000000" w:themeColor="text1"/>
                <w:sz w:val="16"/>
                <w:szCs w:val="16"/>
              </w:rPr>
            </w:pPr>
          </w:p>
        </w:tc>
        <w:tc>
          <w:tcPr>
            <w:tcW w:w="5636" w:type="dxa"/>
          </w:tcPr>
          <w:p w14:paraId="06CAB5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18 - 30</w:t>
            </w:r>
          </w:p>
        </w:tc>
      </w:tr>
      <w:tr w:rsidR="000F5689" w:rsidRPr="00925F26" w14:paraId="78F9D63F" w14:textId="77777777">
        <w:tc>
          <w:tcPr>
            <w:tcW w:w="5636" w:type="dxa"/>
          </w:tcPr>
          <w:p w14:paraId="2460FD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марте заводу</w:t>
            </w:r>
          </w:p>
        </w:tc>
        <w:tc>
          <w:tcPr>
            <w:tcW w:w="5636" w:type="dxa"/>
          </w:tcPr>
          <w:p w14:paraId="37E220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1 - 75</w:t>
            </w:r>
          </w:p>
        </w:tc>
      </w:tr>
      <w:tr w:rsidR="000F5689" w:rsidRPr="00925F26" w14:paraId="1B00ACF6" w14:textId="77777777">
        <w:tc>
          <w:tcPr>
            <w:tcW w:w="5636" w:type="dxa"/>
          </w:tcPr>
          <w:p w14:paraId="239D1A56" w14:textId="77777777" w:rsidR="00C2313B" w:rsidRPr="00925F26" w:rsidRDefault="00C2313B" w:rsidP="00925F26">
            <w:pPr>
              <w:autoSpaceDE w:val="0"/>
              <w:autoSpaceDN w:val="0"/>
              <w:adjustRightInd w:val="0"/>
              <w:jc w:val="both"/>
              <w:rPr>
                <w:color w:val="000000" w:themeColor="text1"/>
                <w:sz w:val="16"/>
                <w:szCs w:val="16"/>
              </w:rPr>
            </w:pPr>
          </w:p>
        </w:tc>
        <w:tc>
          <w:tcPr>
            <w:tcW w:w="5636" w:type="dxa"/>
          </w:tcPr>
          <w:p w14:paraId="5D081B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18 - 75</w:t>
            </w:r>
          </w:p>
        </w:tc>
      </w:tr>
    </w:tbl>
    <w:p w14:paraId="03F82A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апреле заводу 1 и заводу 18 перейти полностью на выпуск самолетов Ил-10 с пушечной установкой ВУ-9, с пушкой Березина 20 мм." (1890,24).</w:t>
      </w:r>
    </w:p>
    <w:p w14:paraId="628998AB" w14:textId="77777777" w:rsidR="00C2313B" w:rsidRPr="00925F26" w:rsidRDefault="00C2313B" w:rsidP="00925F26">
      <w:pPr>
        <w:autoSpaceDE w:val="0"/>
        <w:autoSpaceDN w:val="0"/>
        <w:adjustRightInd w:val="0"/>
        <w:jc w:val="both"/>
        <w:rPr>
          <w:color w:val="000000" w:themeColor="text1"/>
          <w:sz w:val="16"/>
          <w:szCs w:val="16"/>
        </w:rPr>
      </w:pPr>
    </w:p>
    <w:p w14:paraId="53B2BA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января 1945 г. вышел приказ НКАП, а затем и указания начальника УЗВиБ ВВС генерал-майора Солдатова и замести</w:t>
      </w:r>
      <w:r w:rsidRPr="00925F26">
        <w:rPr>
          <w:color w:val="000000" w:themeColor="text1"/>
          <w:sz w:val="16"/>
          <w:szCs w:val="16"/>
        </w:rPr>
        <w:softHyphen/>
        <w:t>теля начальника УЗСиМ ГУЗ ВВС инженер-полковника Кувенева, согласно которым на заводе № 18 к 5 мая были проведены испытания пяти серийных самолетов Ил-10 с оборонительной установкой ВУ-9 (завод № 454) под пушку калибра 20 мм УБ-20 (завод № 74).</w:t>
      </w:r>
    </w:p>
    <w:p w14:paraId="0ABAEC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самолеты и установки прошли испытания отстрелом в тире в воздухе. Всего было выполнено 12 полетов, в которых произведено 1800 выстрелов. Отмечено 9 задержек в стрельбе, из них 7 неустранимых в воздухе. Пушки имели массу дефек</w:t>
      </w:r>
      <w:r w:rsidRPr="00925F26">
        <w:rPr>
          <w:color w:val="000000" w:themeColor="text1"/>
          <w:sz w:val="16"/>
          <w:szCs w:val="16"/>
        </w:rPr>
        <w:softHyphen/>
        <w:t>тов: дополнительный подтяг ленты, переброс патрона через нижний фиксатор затвора, потеря и захват патрона лапками извлекателя затвора, заедание звеньев, потеря ленты.</w:t>
      </w:r>
    </w:p>
    <w:p w14:paraId="401087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испытания ВУ-9 все же признали успеш</w:t>
      </w:r>
      <w:r w:rsidRPr="00925F26">
        <w:rPr>
          <w:color w:val="000000" w:themeColor="text1"/>
          <w:sz w:val="16"/>
          <w:szCs w:val="16"/>
        </w:rPr>
        <w:softHyphen/>
        <w:t>ными, доработка автоматики пушки УБ-20 и боепитания затяну</w:t>
      </w:r>
      <w:r w:rsidRPr="00925F26">
        <w:rPr>
          <w:color w:val="000000" w:themeColor="text1"/>
          <w:sz w:val="16"/>
          <w:szCs w:val="16"/>
        </w:rPr>
        <w:softHyphen/>
        <w:t>лась.</w:t>
      </w:r>
    </w:p>
    <w:p w14:paraId="553A7DB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концу 1946 г. в трех экземплярах изготовили эталон Ил-10 на 1947 г. Он имел четыре НС-23, модифицированное бомбовое вооружение и оборонительную установку ВУ-9 с пушкой Б-20Т. Вес пустого самолета равнялся 4689 кг, а полет</w:t>
      </w:r>
      <w:r w:rsidRPr="00925F26">
        <w:rPr>
          <w:color w:val="000000" w:themeColor="text1"/>
          <w:sz w:val="16"/>
          <w:szCs w:val="16"/>
        </w:rPr>
        <w:softHyphen/>
        <w:t>ный с нормальной нагрузкой — 6360 кг (11474,526).</w:t>
      </w:r>
    </w:p>
    <w:p w14:paraId="3FF686D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00EC887" w14:textId="77777777" w:rsidR="004C221F" w:rsidRPr="00925F26" w:rsidRDefault="004C221F" w:rsidP="00925F26">
      <w:pPr>
        <w:jc w:val="both"/>
        <w:rPr>
          <w:color w:val="000000" w:themeColor="text1"/>
          <w:sz w:val="16"/>
          <w:szCs w:val="16"/>
        </w:rPr>
      </w:pPr>
      <w:r w:rsidRPr="00925F26">
        <w:rPr>
          <w:color w:val="000000" w:themeColor="text1"/>
          <w:sz w:val="16"/>
          <w:szCs w:val="16"/>
        </w:rPr>
        <w:t>30 января 1945 г.</w:t>
      </w:r>
    </w:p>
    <w:p w14:paraId="722FB0AA" w14:textId="77777777" w:rsidR="004C221F" w:rsidRPr="00925F26" w:rsidRDefault="004C221F" w:rsidP="00925F26">
      <w:pPr>
        <w:jc w:val="both"/>
        <w:rPr>
          <w:color w:val="000000" w:themeColor="text1"/>
          <w:sz w:val="16"/>
          <w:szCs w:val="16"/>
        </w:rPr>
      </w:pPr>
      <w:r w:rsidRPr="00925F26">
        <w:rPr>
          <w:color w:val="000000" w:themeColor="text1"/>
          <w:sz w:val="16"/>
          <w:szCs w:val="16"/>
        </w:rPr>
        <w:t>Из приказа Наркома авиационной промышленности СССР и командующего ВВС КА о выпуске на заводе № 18 самолетов Ил-10 с установкой пушки Березина</w:t>
      </w:r>
    </w:p>
    <w:p w14:paraId="2A9970DB" w14:textId="77777777" w:rsidR="004C221F" w:rsidRPr="00925F26" w:rsidRDefault="004C221F" w:rsidP="00925F26">
      <w:pPr>
        <w:jc w:val="both"/>
        <w:rPr>
          <w:color w:val="000000" w:themeColor="text1"/>
          <w:sz w:val="16"/>
          <w:szCs w:val="16"/>
        </w:rPr>
      </w:pPr>
      <w:r w:rsidRPr="00925F26">
        <w:rPr>
          <w:color w:val="000000" w:themeColor="text1"/>
          <w:sz w:val="16"/>
          <w:szCs w:val="16"/>
        </w:rPr>
        <w:t>30 января 1945 г.</w:t>
      </w:r>
    </w:p>
    <w:p w14:paraId="5B8B4837" w14:textId="77777777" w:rsidR="004C221F" w:rsidRPr="00925F26" w:rsidRDefault="004C221F" w:rsidP="00925F26">
      <w:pPr>
        <w:jc w:val="both"/>
        <w:rPr>
          <w:color w:val="000000" w:themeColor="text1"/>
          <w:sz w:val="16"/>
          <w:szCs w:val="16"/>
        </w:rPr>
      </w:pPr>
      <w:r w:rsidRPr="00925F26">
        <w:rPr>
          <w:color w:val="000000" w:themeColor="text1"/>
          <w:sz w:val="16"/>
          <w:szCs w:val="16"/>
        </w:rPr>
        <w:t>В целях обеспечения выпуска самолетов Ил-10 с задней стрелковой установкой ВУ-9 под пушку Березина калибра 20 мм</w:t>
      </w:r>
    </w:p>
    <w:p w14:paraId="095E4AD6" w14:textId="77777777" w:rsidR="004C221F" w:rsidRPr="00925F26" w:rsidRDefault="004C221F" w:rsidP="00925F26">
      <w:pPr>
        <w:jc w:val="both"/>
        <w:rPr>
          <w:color w:val="000000" w:themeColor="text1"/>
          <w:sz w:val="16"/>
          <w:szCs w:val="16"/>
        </w:rPr>
      </w:pPr>
      <w:r w:rsidRPr="00925F26">
        <w:rPr>
          <w:color w:val="000000" w:themeColor="text1"/>
          <w:sz w:val="16"/>
          <w:szCs w:val="16"/>
        </w:rPr>
        <w:t>ПРИКАЗЫВАЮ:</w:t>
      </w:r>
    </w:p>
    <w:p w14:paraId="0169B9F4" w14:textId="77777777" w:rsidR="004C221F" w:rsidRPr="00925F26" w:rsidRDefault="004C221F" w:rsidP="00925F26">
      <w:pPr>
        <w:jc w:val="both"/>
        <w:rPr>
          <w:color w:val="000000" w:themeColor="text1"/>
          <w:sz w:val="16"/>
          <w:szCs w:val="16"/>
        </w:rPr>
      </w:pPr>
      <w:r w:rsidRPr="00925F26">
        <w:rPr>
          <w:color w:val="000000" w:themeColor="text1"/>
          <w:sz w:val="16"/>
          <w:szCs w:val="16"/>
        </w:rPr>
        <w:t>1. Начальнику 10 Главного Управления - зам. наркома тов. Кузнецову А.И. и директору завода № 18 тов. Белянскому обеспечить выпуск самолетов Ил-10 с задней стрелковой установкой ВУ-9, с пушкой Березина 20 мм в следующие сроки:</w:t>
      </w:r>
    </w:p>
    <w:p w14:paraId="500F80AF" w14:textId="77777777" w:rsidR="004C221F" w:rsidRPr="00925F26" w:rsidRDefault="004C221F" w:rsidP="00925F26">
      <w:pPr>
        <w:jc w:val="both"/>
        <w:rPr>
          <w:color w:val="000000" w:themeColor="text1"/>
          <w:sz w:val="16"/>
          <w:szCs w:val="16"/>
        </w:rPr>
      </w:pPr>
      <w:r w:rsidRPr="00925F26">
        <w:rPr>
          <w:color w:val="000000" w:themeColor="text1"/>
          <w:sz w:val="16"/>
          <w:szCs w:val="16"/>
        </w:rPr>
        <w:t>в феврале выпустить заводу № 18</w:t>
      </w:r>
      <w:r w:rsidRPr="00925F26">
        <w:rPr>
          <w:color w:val="000000" w:themeColor="text1"/>
          <w:sz w:val="16"/>
          <w:szCs w:val="16"/>
        </w:rPr>
        <w:tab/>
        <w:t>- 30 самолетов,</w:t>
      </w:r>
    </w:p>
    <w:p w14:paraId="7DC89882" w14:textId="77777777" w:rsidR="004C221F" w:rsidRPr="00925F26" w:rsidRDefault="004C221F" w:rsidP="00925F26">
      <w:pPr>
        <w:jc w:val="both"/>
        <w:rPr>
          <w:color w:val="000000" w:themeColor="text1"/>
          <w:sz w:val="16"/>
          <w:szCs w:val="16"/>
        </w:rPr>
      </w:pPr>
      <w:r w:rsidRPr="00925F26">
        <w:rPr>
          <w:color w:val="000000" w:themeColor="text1"/>
          <w:sz w:val="16"/>
          <w:szCs w:val="16"/>
        </w:rPr>
        <w:t>в марте -»- заводу №18</w:t>
      </w:r>
      <w:r w:rsidRPr="00925F26">
        <w:rPr>
          <w:color w:val="000000" w:themeColor="text1"/>
          <w:sz w:val="16"/>
          <w:szCs w:val="16"/>
        </w:rPr>
        <w:tab/>
        <w:t>- 75 самолетов,</w:t>
      </w:r>
    </w:p>
    <w:p w14:paraId="138F9DDA" w14:textId="77777777" w:rsidR="004C221F" w:rsidRPr="00925F26" w:rsidRDefault="004C221F" w:rsidP="00925F26">
      <w:pPr>
        <w:jc w:val="both"/>
        <w:rPr>
          <w:color w:val="000000" w:themeColor="text1"/>
          <w:sz w:val="16"/>
          <w:szCs w:val="16"/>
        </w:rPr>
      </w:pPr>
      <w:r w:rsidRPr="00925F26">
        <w:rPr>
          <w:color w:val="000000" w:themeColor="text1"/>
          <w:sz w:val="16"/>
          <w:szCs w:val="16"/>
        </w:rPr>
        <w:t>в апреле заводу № 18 перейти полностью на выпуск самолетов Ил-10 с пушечной установкой ВУ-9, с пушкой Березина 20 мм.</w:t>
      </w:r>
    </w:p>
    <w:p w14:paraId="07A779F5" w14:textId="77777777" w:rsidR="004C221F" w:rsidRPr="00925F26" w:rsidRDefault="004C221F" w:rsidP="00925F26">
      <w:pPr>
        <w:jc w:val="both"/>
        <w:rPr>
          <w:color w:val="000000" w:themeColor="text1"/>
          <w:sz w:val="16"/>
          <w:szCs w:val="16"/>
        </w:rPr>
      </w:pPr>
      <w:r w:rsidRPr="00925F26">
        <w:rPr>
          <w:color w:val="000000" w:themeColor="text1"/>
          <w:sz w:val="16"/>
          <w:szCs w:val="16"/>
        </w:rPr>
        <w:t>2. Начальнику 2 Главного Управления тов. Гришину обеспечить выпуск пушечных установок ВУ-9 в соответствии с программой, заданной заводам №№ 1 и 18.</w:t>
      </w:r>
    </w:p>
    <w:p w14:paraId="3EFE639A" w14:textId="77777777" w:rsidR="004C221F" w:rsidRPr="00925F26" w:rsidRDefault="004C221F" w:rsidP="00925F26">
      <w:pPr>
        <w:jc w:val="both"/>
        <w:rPr>
          <w:color w:val="000000" w:themeColor="text1"/>
          <w:sz w:val="16"/>
          <w:szCs w:val="16"/>
        </w:rPr>
      </w:pPr>
      <w:r w:rsidRPr="00925F26">
        <w:rPr>
          <w:color w:val="000000" w:themeColor="text1"/>
          <w:sz w:val="16"/>
          <w:szCs w:val="16"/>
        </w:rPr>
        <w:t>3. Начальнику Главного Управления заказов ВВС КА генерал-лейтенанту тов. Селезневу обеспечить приемку установок ВУ-9 на заводах 2-го Главного Управления и самолетов Ил-10 на заводах №№ 1 и 18 с задней стрелковой установкой ВУ-9 с пушкой Березина калибра 20 мм.</w:t>
      </w:r>
    </w:p>
    <w:p w14:paraId="403FDC3E" w14:textId="77777777" w:rsidR="004C221F" w:rsidRPr="00925F26" w:rsidRDefault="004C221F" w:rsidP="00925F26">
      <w:pPr>
        <w:jc w:val="both"/>
        <w:rPr>
          <w:color w:val="000000" w:themeColor="text1"/>
          <w:sz w:val="16"/>
          <w:szCs w:val="16"/>
        </w:rPr>
      </w:pPr>
      <w:r w:rsidRPr="00925F26">
        <w:rPr>
          <w:color w:val="000000" w:themeColor="text1"/>
          <w:sz w:val="16"/>
          <w:szCs w:val="16"/>
        </w:rPr>
        <w:t>Народный Комиссар</w:t>
      </w:r>
      <w:r w:rsidRPr="00925F26">
        <w:rPr>
          <w:color w:val="000000" w:themeColor="text1"/>
          <w:sz w:val="16"/>
          <w:szCs w:val="16"/>
        </w:rPr>
        <w:tab/>
        <w:t>Командующий</w:t>
      </w:r>
      <w:r w:rsidRPr="00925F26">
        <w:rPr>
          <w:color w:val="000000" w:themeColor="text1"/>
          <w:sz w:val="16"/>
          <w:szCs w:val="16"/>
        </w:rPr>
        <w:tab/>
        <w:t>ВВС Красной Армии авиационной промышленности Главный маршал авиации</w:t>
      </w:r>
    </w:p>
    <w:p w14:paraId="6CF1136F" w14:textId="77777777" w:rsidR="004C221F" w:rsidRPr="00925F26" w:rsidRDefault="004C221F" w:rsidP="00925F26">
      <w:pPr>
        <w:jc w:val="both"/>
        <w:rPr>
          <w:color w:val="000000" w:themeColor="text1"/>
          <w:sz w:val="16"/>
          <w:szCs w:val="16"/>
        </w:rPr>
      </w:pPr>
      <w:r w:rsidRPr="00925F26">
        <w:rPr>
          <w:color w:val="000000" w:themeColor="text1"/>
          <w:sz w:val="16"/>
          <w:szCs w:val="16"/>
        </w:rPr>
        <w:t>А. Шахурин</w:t>
      </w:r>
      <w:r w:rsidRPr="00925F26">
        <w:rPr>
          <w:color w:val="000000" w:themeColor="text1"/>
          <w:sz w:val="16"/>
          <w:szCs w:val="16"/>
        </w:rPr>
        <w:tab/>
        <w:t>А.</w:t>
      </w:r>
      <w:r w:rsidRPr="00925F26">
        <w:rPr>
          <w:color w:val="000000" w:themeColor="text1"/>
          <w:sz w:val="16"/>
          <w:szCs w:val="16"/>
        </w:rPr>
        <w:tab/>
        <w:t>Новиков</w:t>
      </w:r>
    </w:p>
    <w:p w14:paraId="77836C27" w14:textId="77777777" w:rsidR="004C221F" w:rsidRPr="00925F26" w:rsidRDefault="004C221F" w:rsidP="00925F26">
      <w:pPr>
        <w:jc w:val="both"/>
        <w:rPr>
          <w:color w:val="000000" w:themeColor="text1"/>
          <w:sz w:val="16"/>
          <w:szCs w:val="16"/>
        </w:rPr>
      </w:pPr>
      <w:r w:rsidRPr="00925F26">
        <w:rPr>
          <w:color w:val="000000" w:themeColor="text1"/>
          <w:sz w:val="16"/>
          <w:szCs w:val="16"/>
        </w:rPr>
        <w:t xml:space="preserve">ГАСО. Ф. </w:t>
      </w:r>
      <w:r w:rsidRPr="00925F26">
        <w:rPr>
          <w:color w:val="000000" w:themeColor="text1"/>
          <w:sz w:val="16"/>
          <w:szCs w:val="16"/>
          <w:lang w:val="en-US"/>
        </w:rPr>
        <w:t>P</w:t>
      </w:r>
      <w:r w:rsidRPr="00925F26">
        <w:rPr>
          <w:color w:val="000000" w:themeColor="text1"/>
          <w:sz w:val="16"/>
          <w:szCs w:val="16"/>
        </w:rPr>
        <w:t xml:space="preserve">-3454. </w:t>
      </w:r>
      <w:r w:rsidRPr="00925F26">
        <w:rPr>
          <w:color w:val="000000" w:themeColor="text1"/>
          <w:sz w:val="16"/>
          <w:szCs w:val="16"/>
          <w:lang w:val="en-US"/>
        </w:rPr>
        <w:t>On</w:t>
      </w:r>
      <w:r w:rsidRPr="00925F26">
        <w:rPr>
          <w:color w:val="000000" w:themeColor="text1"/>
          <w:sz w:val="16"/>
          <w:szCs w:val="16"/>
        </w:rPr>
        <w:t>. 1. Д. 50. Л. 3. Завер. Копия (20522).</w:t>
      </w:r>
    </w:p>
    <w:p w14:paraId="07D9047D" w14:textId="77777777" w:rsidR="004C221F" w:rsidRPr="00925F26" w:rsidRDefault="004C221F" w:rsidP="00925F26">
      <w:pPr>
        <w:jc w:val="both"/>
        <w:rPr>
          <w:color w:val="000000" w:themeColor="text1"/>
          <w:sz w:val="16"/>
          <w:szCs w:val="16"/>
        </w:rPr>
      </w:pPr>
    </w:p>
    <w:p w14:paraId="6F9EBA84"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30 января 1945 г. приказом ВВС и НКАП № 32сс/004 на заводе № 18 длительное время проводились заводские испытания 20-мм пушек БТ-20 производства завода № 74 НКВ на задней подвижной оборонительной установке ВУ-9 конструкции завода № 454.</w:t>
      </w:r>
    </w:p>
    <w:p w14:paraId="37665BCE"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К началу марта удалось завершить первый наземный этап заводских испытаний ВУ-9 с БТ-20 на самолете Ил-10.</w:t>
      </w:r>
    </w:p>
    <w:p w14:paraId="6CDCBF6E"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Оказалось, что поставленные на завод 172 пушки БТ -20 «на установке ВУ-9 без дополнительного подтяга ленты не работают». Все эти пушки имели большое количество задержек - переброс патрона через нижний фиксатор затвора (на газогенераторе с диаметром 5,4, 4,5 и 4 мм) и недоход с шептала подвижных частей в переднее положение.</w:t>
      </w:r>
    </w:p>
    <w:p w14:paraId="6BA8D7BE"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Задержку переброс патрона представители завода № 74 НКВ устранили довольно быстро - поставили дополнительную пружину фиксатора, а вот с недоходом возились долго, но справиться так и не удалось. Применение «возвратной пружины с максимальным весом 69 кг» привело к положительному результату, но только для пушек «с тягой ленты в 45 патронов». На заводе таких пушек имелось всего четыре штуки. Остальные были приняты «военным представителем завода № 74 НКВ с тягой ленты в 25 патронов», и «жесткости новой пружины» уже не хватало для обеспечения автоматической стрельбы.</w:t>
      </w:r>
    </w:p>
    <w:p w14:paraId="47698CBC" w14:textId="77777777" w:rsidR="00B65582" w:rsidRPr="00925F26" w:rsidRDefault="00B65582" w:rsidP="00925F26">
      <w:pPr>
        <w:jc w:val="both"/>
        <w:rPr>
          <w:color w:val="000000" w:themeColor="text1"/>
          <w:sz w:val="16"/>
          <w:szCs w:val="16"/>
        </w:rPr>
      </w:pPr>
      <w:r w:rsidRPr="00925F26">
        <w:rPr>
          <w:rStyle w:val="107"/>
          <w:rFonts w:eastAsiaTheme="minorHAnsi"/>
          <w:color w:val="000000" w:themeColor="text1"/>
          <w:sz w:val="16"/>
          <w:szCs w:val="16"/>
        </w:rPr>
        <w:t>Подвижная установка ВУ-9 также не отличалась надежностью и живучестью в работе. Имели место заклинения звеньев в звеньеотводе («на 2000 выстрелов из 4 пушек было 17 задержек по заклинению звеньев в звеньеотводе»). Для нормальной работы фиксирующих пальцев приемника пушки в ходе испытаний потребовалось переделать перемычку горловины рукава питания, но после этого горловина рукава на одной пушке разрушилась уже на 500-м выстреле, а на другой - на 2520-м выстреле. Кроме этого, при стрельбе выскочил горизонтальный шарикоподшипник (над стопором), поломалась шестерня механизма стабилизации, постоянно выворачивался так называемый полюсный болт (или осевой болт), установка от тряски срывалась со стопора уже после одной-двух очередей средней длины (17481).</w:t>
      </w:r>
    </w:p>
    <w:p w14:paraId="3748D3C0" w14:textId="77777777" w:rsidR="00B65582" w:rsidRPr="00925F26" w:rsidRDefault="00B65582" w:rsidP="00925F26">
      <w:pPr>
        <w:jc w:val="both"/>
        <w:rPr>
          <w:color w:val="000000" w:themeColor="text1"/>
          <w:sz w:val="16"/>
          <w:szCs w:val="16"/>
        </w:rPr>
      </w:pPr>
    </w:p>
    <w:p w14:paraId="7FF043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вышел приказ НКАП № 34с:</w:t>
      </w:r>
    </w:p>
    <w:p w14:paraId="3F4F86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З-д 483 2 ГУ передать в систему 17 ГУ под производство радиолокационных опозновательных приборов. Дементьев (1890, 40).</w:t>
      </w:r>
    </w:p>
    <w:p w14:paraId="68E1D76D" w14:textId="77777777" w:rsidR="00C2313B" w:rsidRPr="00925F26" w:rsidRDefault="00C2313B" w:rsidP="00925F26">
      <w:pPr>
        <w:autoSpaceDE w:val="0"/>
        <w:autoSpaceDN w:val="0"/>
        <w:adjustRightInd w:val="0"/>
        <w:jc w:val="both"/>
        <w:rPr>
          <w:color w:val="000000" w:themeColor="text1"/>
          <w:sz w:val="16"/>
          <w:szCs w:val="16"/>
        </w:rPr>
      </w:pPr>
    </w:p>
    <w:p w14:paraId="3B125B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года вышел приказ НКАП за № 34с во исполнение Постановления ГКО за № 7426 от 29 января 1945 года, которым заводу № 483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 Директор – И. Погорелов</w:t>
      </w:r>
    </w:p>
    <w:p w14:paraId="4A453F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Киев, ул. Владимиро-Лыбедская, д. 3</w:t>
      </w:r>
    </w:p>
    <w:p w14:paraId="5D98C0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приборный радиолокационный завод (9855).</w:t>
      </w:r>
    </w:p>
    <w:p w14:paraId="4812AD69" w14:textId="77777777" w:rsidR="00C2313B" w:rsidRPr="00925F26" w:rsidRDefault="00C2313B" w:rsidP="00925F26">
      <w:pPr>
        <w:autoSpaceDE w:val="0"/>
        <w:autoSpaceDN w:val="0"/>
        <w:adjustRightInd w:val="0"/>
        <w:jc w:val="both"/>
        <w:rPr>
          <w:color w:val="000000" w:themeColor="text1"/>
          <w:sz w:val="16"/>
          <w:szCs w:val="16"/>
        </w:rPr>
      </w:pPr>
    </w:p>
    <w:p w14:paraId="0F936E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г. по приказу № 34с завод № 483 (Завод № 483 НКАП, МАЦ, МОП /Украина  г. Киев/) с 1.01.1945 г. передан из 2ГУ в 17ГУ для организации выпуска РЛ опознавательных приборов. В соответствии с пост. СМ СССР № 713-342 от 26.06.1957 г. передан в ведение СНХ УССР.</w:t>
      </w:r>
    </w:p>
    <w:p w14:paraId="25F5EC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1946 г. заводу поставлено 34 трофейных металлорежущих станка.</w:t>
      </w:r>
    </w:p>
    <w:p w14:paraId="66842F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Возможно, затем завод передан в МОП и далее это- завод № 784 (завод «Арсенал»).</w:t>
      </w:r>
    </w:p>
    <w:p w14:paraId="782FD4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(03.1946 г.)- И.И. Копошилко, (1951 г.)- Данилич.</w:t>
      </w:r>
    </w:p>
    <w:p w14:paraId="5DF00D5F" w14:textId="77777777" w:rsidR="00C2313B" w:rsidRPr="00925F26" w:rsidRDefault="00C2313B"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ответчик СОД-57М; РВ-2; «Натрий», ПСБН-М; РЛГС: ПАРГ-13ВВ для К-13Р, ТГС-59 для К- 55; прицельно-вычислительное устройство «Ландыш» для Ми-14; станция РЛ разведки и постановки помех </w:t>
      </w:r>
      <w:r w:rsidRPr="00925F26">
        <w:rPr>
          <w:color w:val="000000" w:themeColor="text1"/>
          <w:sz w:val="16"/>
          <w:szCs w:val="16"/>
          <w:lang w:val="en-US"/>
        </w:rPr>
        <w:t>IIP</w:t>
      </w:r>
      <w:r w:rsidRPr="00925F26">
        <w:rPr>
          <w:color w:val="000000" w:themeColor="text1"/>
          <w:sz w:val="16"/>
          <w:szCs w:val="16"/>
        </w:rPr>
        <w:t>-1 (1954).</w:t>
      </w:r>
    </w:p>
    <w:p w14:paraId="5D3DE4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Киевский завод «Коммунист», ПО «Коммунист», Государственное ПО (ГПО) «Радар»,</w:t>
      </w:r>
    </w:p>
    <w:p w14:paraId="2A6D5D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ОАО «Киевский завод «Радар» /Украина  г. Киев а/я 601/ /Украина 01650 (03680)  г. Киев ул. Предславинская, 35 тел. 269-93-03/</w:t>
      </w:r>
    </w:p>
    <w:p w14:paraId="409B9D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 «Коммунист» основан в 1930 г. Далее - завод № 454, после восстановления -- завод № 483 НКАП.</w:t>
      </w:r>
    </w:p>
    <w:p w14:paraId="2D0651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(2003 г.): </w:t>
      </w:r>
      <w:proofErr w:type="gramStart"/>
      <w:r w:rsidRPr="00925F26">
        <w:rPr>
          <w:color w:val="000000" w:themeColor="text1"/>
          <w:sz w:val="16"/>
          <w:szCs w:val="16"/>
        </w:rPr>
        <w:t>метео РЛ-комплексы</w:t>
      </w:r>
      <w:proofErr w:type="gramEnd"/>
      <w:r w:rsidRPr="00925F26">
        <w:rPr>
          <w:color w:val="000000" w:themeColor="text1"/>
          <w:sz w:val="16"/>
          <w:szCs w:val="16"/>
        </w:rPr>
        <w:t xml:space="preserve"> ЛА; УКВ-системы управления посадкой; аппаратура опознавания; высокочастотные антенны; ГСН.</w:t>
      </w:r>
    </w:p>
    <w:p w14:paraId="66635C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(2002 г.)- Т.П. Майоров.</w:t>
      </w:r>
    </w:p>
    <w:p w14:paraId="0CE031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Зам. директора по экономике и ВЭС (2002 г.)-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Майстренко.</w:t>
      </w:r>
      <w:r w:rsidRPr="00925F26">
        <w:rPr>
          <w:color w:val="000000" w:themeColor="text1"/>
          <w:sz w:val="16"/>
          <w:szCs w:val="16"/>
          <w:vertAlign w:val="superscript"/>
        </w:rPr>
        <w:t>69</w:t>
      </w:r>
    </w:p>
    <w:p w14:paraId="0FC99349" w14:textId="77777777" w:rsidR="00C2313B" w:rsidRPr="00925F26" w:rsidRDefault="00C2313B"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прицельно-навигационные системы ПНС-24 «Пума» для Су-24, ПНС-24М для Су-24М, ПНС- 24ПМ для Су-24МП (1970-е), </w:t>
      </w:r>
      <w:r w:rsidRPr="00925F26">
        <w:rPr>
          <w:color w:val="000000" w:themeColor="text1"/>
          <w:sz w:val="16"/>
          <w:szCs w:val="16"/>
          <w:lang w:val="en-US"/>
        </w:rPr>
        <w:t>IIHC</w:t>
      </w:r>
      <w:r w:rsidRPr="00925F26">
        <w:rPr>
          <w:color w:val="000000" w:themeColor="text1"/>
          <w:sz w:val="16"/>
          <w:szCs w:val="16"/>
        </w:rPr>
        <w:t>-24</w:t>
      </w:r>
      <w:r w:rsidRPr="00925F26">
        <w:rPr>
          <w:color w:val="000000" w:themeColor="text1"/>
          <w:sz w:val="16"/>
          <w:szCs w:val="16"/>
          <w:lang w:val="en-US"/>
        </w:rPr>
        <w:t>MP</w:t>
      </w:r>
      <w:r w:rsidRPr="00925F26">
        <w:rPr>
          <w:color w:val="000000" w:themeColor="text1"/>
          <w:sz w:val="16"/>
          <w:szCs w:val="16"/>
        </w:rPr>
        <w:t xml:space="preserve"> для Су-24МР (1970-е); бытовой дозиметр СИМ-05 «Юпитер»; </w:t>
      </w:r>
      <w:r w:rsidRPr="00925F26">
        <w:rPr>
          <w:iCs/>
          <w:color w:val="000000" w:themeColor="text1"/>
          <w:sz w:val="16"/>
          <w:szCs w:val="16"/>
        </w:rPr>
        <w:t>магнитофоны:</w:t>
      </w:r>
      <w:r w:rsidRPr="00925F26">
        <w:rPr>
          <w:color w:val="000000" w:themeColor="text1"/>
          <w:sz w:val="16"/>
          <w:szCs w:val="16"/>
        </w:rPr>
        <w:t xml:space="preserve"> «Мр1я», «Юпитер-201С, -202С, -203С, МК-203С, -204С, -101С, МК-106С, -001С, -002С, 003С, - 004-квадро».</w:t>
      </w:r>
    </w:p>
    <w:p w14:paraId="432418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ОКБ-483 МАП /</w:t>
      </w:r>
      <w:proofErr w:type="gramStart"/>
      <w:r w:rsidRPr="00925F26">
        <w:rPr>
          <w:color w:val="000000" w:themeColor="text1"/>
          <w:sz w:val="16"/>
          <w:szCs w:val="16"/>
        </w:rPr>
        <w:t>Украина  г.</w:t>
      </w:r>
      <w:proofErr w:type="gramEnd"/>
      <w:r w:rsidRPr="00925F26">
        <w:rPr>
          <w:color w:val="000000" w:themeColor="text1"/>
          <w:sz w:val="16"/>
          <w:szCs w:val="16"/>
        </w:rPr>
        <w:t xml:space="preserve"> Киев/</w:t>
      </w:r>
    </w:p>
    <w:p w14:paraId="5AC373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прицелов и систем управления УРВП. Велась отработка РЛ-прицелов ПСБН-М (1950 г.), ПСБН- МА (1954 г.-), созданных в ЦНИИ-108. В 08.1957 г.- в ведении 4ГУ ГКАТ.</w:t>
      </w:r>
    </w:p>
    <w:p w14:paraId="172FA8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Возможно, затем ОКБ передано в МОП и далее это- ЦКБ «Арсенал».</w:t>
      </w:r>
    </w:p>
    <w:p w14:paraId="1A691E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(-1950-57 г.-) - В.П. Островский.</w:t>
      </w:r>
    </w:p>
    <w:p w14:paraId="4DC2CA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(-1950-57 г.-) - В.П. Островский.</w:t>
      </w:r>
    </w:p>
    <w:p w14:paraId="44D3A985" w14:textId="77777777" w:rsidR="00C2313B" w:rsidRPr="00925F26" w:rsidRDefault="00C2313B" w:rsidP="00925F26">
      <w:pPr>
        <w:autoSpaceDE w:val="0"/>
        <w:autoSpaceDN w:val="0"/>
        <w:adjustRightInd w:val="0"/>
        <w:jc w:val="both"/>
        <w:rPr>
          <w:color w:val="000000" w:themeColor="text1"/>
          <w:sz w:val="16"/>
          <w:szCs w:val="16"/>
        </w:rPr>
      </w:pPr>
      <w:r w:rsidRPr="00925F26">
        <w:rPr>
          <w:iCs/>
          <w:color w:val="000000" w:themeColor="text1"/>
          <w:sz w:val="16"/>
          <w:szCs w:val="16"/>
        </w:rPr>
        <w:lastRenderedPageBreak/>
        <w:t>Создано:</w:t>
      </w:r>
      <w:r w:rsidRPr="00925F26">
        <w:rPr>
          <w:color w:val="000000" w:themeColor="text1"/>
          <w:sz w:val="16"/>
          <w:szCs w:val="16"/>
        </w:rPr>
        <w:t xml:space="preserve"> РЛ прицелы: РБП-3, «Инициатива», «Инициатива-2» для Ту-98 и Ил-54 (1955-), «Инициатива-4» для Як-28И (середина 1950-х)</w:t>
      </w:r>
      <w:r w:rsidRPr="00925F26">
        <w:rPr>
          <w:color w:val="000000" w:themeColor="text1"/>
          <w:sz w:val="16"/>
          <w:szCs w:val="16"/>
          <w:vertAlign w:val="superscript"/>
        </w:rPr>
        <w:t>74</w:t>
      </w:r>
      <w:r w:rsidRPr="00925F26">
        <w:rPr>
          <w:color w:val="000000" w:themeColor="text1"/>
          <w:sz w:val="16"/>
          <w:szCs w:val="16"/>
        </w:rPr>
        <w:t>, «Самшит» для Ил-28 и Ил-54 (1955-); РЛ-ответчик «Штырь» (1955) (11982).</w:t>
      </w:r>
    </w:p>
    <w:p w14:paraId="071B267E" w14:textId="77777777" w:rsidR="00590D1F" w:rsidRPr="00925F26" w:rsidRDefault="00590D1F" w:rsidP="00925F26">
      <w:pPr>
        <w:autoSpaceDE w:val="0"/>
        <w:autoSpaceDN w:val="0"/>
        <w:adjustRightInd w:val="0"/>
        <w:jc w:val="both"/>
        <w:rPr>
          <w:iCs/>
          <w:color w:val="000000" w:themeColor="text1"/>
          <w:sz w:val="16"/>
          <w:szCs w:val="16"/>
        </w:rPr>
      </w:pPr>
    </w:p>
    <w:p w14:paraId="37A054B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CDEB903" w14:textId="77777777" w:rsidR="00C2313B" w:rsidRPr="00925F26" w:rsidRDefault="00C2313B" w:rsidP="00925F26">
      <w:pPr>
        <w:autoSpaceDE w:val="0"/>
        <w:autoSpaceDN w:val="0"/>
        <w:adjustRightInd w:val="0"/>
        <w:jc w:val="both"/>
        <w:rPr>
          <w:iCs/>
          <w:color w:val="000000" w:themeColor="text1"/>
          <w:sz w:val="16"/>
          <w:szCs w:val="16"/>
        </w:rPr>
      </w:pPr>
    </w:p>
    <w:p w14:paraId="276C7B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изготовлен первый танк Т-54 (11075).</w:t>
      </w:r>
    </w:p>
    <w:p w14:paraId="07C46484" w14:textId="77777777" w:rsidR="00C2313B" w:rsidRPr="00925F26" w:rsidRDefault="00C2313B" w:rsidP="00925F26">
      <w:pPr>
        <w:autoSpaceDE w:val="0"/>
        <w:autoSpaceDN w:val="0"/>
        <w:adjustRightInd w:val="0"/>
        <w:jc w:val="both"/>
        <w:rPr>
          <w:color w:val="000000" w:themeColor="text1"/>
          <w:sz w:val="16"/>
          <w:szCs w:val="16"/>
        </w:rPr>
      </w:pPr>
    </w:p>
    <w:p w14:paraId="1450E0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30 января 1945 г. на за</w:t>
      </w:r>
      <w:r w:rsidRPr="00925F26">
        <w:rPr>
          <w:color w:val="000000" w:themeColor="text1"/>
          <w:sz w:val="16"/>
          <w:szCs w:val="16"/>
        </w:rPr>
        <w:softHyphen/>
        <w:t>воде №183 изготовили первый опытный образец танка Т-</w:t>
      </w:r>
      <w:proofErr w:type="gramStart"/>
      <w:r w:rsidRPr="00925F26">
        <w:rPr>
          <w:color w:val="000000" w:themeColor="text1"/>
          <w:sz w:val="16"/>
          <w:szCs w:val="16"/>
        </w:rPr>
        <w:t>54,который</w:t>
      </w:r>
      <w:proofErr w:type="gramEnd"/>
      <w:r w:rsidRPr="00925F26">
        <w:rPr>
          <w:color w:val="000000" w:themeColor="text1"/>
          <w:sz w:val="16"/>
          <w:szCs w:val="16"/>
        </w:rPr>
        <w:t xml:space="preserve"> был направ</w:t>
      </w:r>
      <w:r w:rsidRPr="00925F26">
        <w:rPr>
          <w:color w:val="000000" w:themeColor="text1"/>
          <w:sz w:val="16"/>
          <w:szCs w:val="16"/>
        </w:rPr>
        <w:softHyphen/>
        <w:t>лен в заводской пробег. После завершения заводского пробега и окончательной сборки эту машину отправили в Москву на завод №37 для показа командованию БГ и МВ КА и членам правительства, куда она прибыла 22 февраля 1945 г.</w:t>
      </w:r>
    </w:p>
    <w:p w14:paraId="7DBC23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Опытный танк Т-54 обр. 1945 г. представ</w:t>
      </w:r>
      <w:r w:rsidRPr="00925F26">
        <w:rPr>
          <w:color w:val="000000" w:themeColor="text1"/>
          <w:sz w:val="16"/>
          <w:szCs w:val="16"/>
        </w:rPr>
        <w:softHyphen/>
        <w:t>лял собой модернизацию танка Т-44 обр. 1944 г. в направлении значительного повы</w:t>
      </w:r>
      <w:r w:rsidRPr="00925F26">
        <w:rPr>
          <w:color w:val="000000" w:themeColor="text1"/>
          <w:sz w:val="16"/>
          <w:szCs w:val="16"/>
        </w:rPr>
        <w:softHyphen/>
        <w:t>шения его боевых свойств - огневой мощи и защищенности, что в пределах заданной боевой массы было достигнуто главным об</w:t>
      </w:r>
      <w:r w:rsidRPr="00925F26">
        <w:rPr>
          <w:color w:val="000000" w:themeColor="text1"/>
          <w:sz w:val="16"/>
          <w:szCs w:val="16"/>
        </w:rPr>
        <w:softHyphen/>
        <w:t>разом за счет совершенствования классичес</w:t>
      </w:r>
      <w:r w:rsidRPr="00925F26">
        <w:rPr>
          <w:color w:val="000000" w:themeColor="text1"/>
          <w:sz w:val="16"/>
          <w:szCs w:val="16"/>
        </w:rPr>
        <w:softHyphen/>
        <w:t>кой схемы общей компоновки машины. Со</w:t>
      </w:r>
      <w:r w:rsidRPr="00925F26">
        <w:rPr>
          <w:color w:val="000000" w:themeColor="text1"/>
          <w:sz w:val="16"/>
          <w:szCs w:val="16"/>
        </w:rPr>
        <w:softHyphen/>
        <w:t>кращение численности экипажа с пяти до четырех человек и повышение плотности общей компоновки танка привело к уменьше</w:t>
      </w:r>
      <w:r w:rsidRPr="00925F26">
        <w:rPr>
          <w:color w:val="000000" w:themeColor="text1"/>
          <w:sz w:val="16"/>
          <w:szCs w:val="16"/>
        </w:rPr>
        <w:softHyphen/>
        <w:t>нию забронированного объема до 11,8 м</w:t>
      </w:r>
      <w:r w:rsidRPr="00925F26">
        <w:rPr>
          <w:color w:val="000000" w:themeColor="text1"/>
          <w:sz w:val="16"/>
          <w:szCs w:val="16"/>
          <w:vertAlign w:val="superscript"/>
        </w:rPr>
        <w:t xml:space="preserve">3 </w:t>
      </w:r>
      <w:r w:rsidRPr="00925F26">
        <w:rPr>
          <w:color w:val="000000" w:themeColor="text1"/>
          <w:sz w:val="16"/>
          <w:szCs w:val="16"/>
        </w:rPr>
        <w:t>(для сравнения: у танка Т-34-85 эта величина была равна 12,6 м</w:t>
      </w:r>
      <w:r w:rsidRPr="00925F26">
        <w:rPr>
          <w:color w:val="000000" w:themeColor="text1"/>
          <w:sz w:val="16"/>
          <w:szCs w:val="16"/>
          <w:vertAlign w:val="superscript"/>
        </w:rPr>
        <w:t>3</w:t>
      </w:r>
      <w:r w:rsidRPr="00925F26">
        <w:rPr>
          <w:color w:val="000000" w:themeColor="text1"/>
          <w:sz w:val="16"/>
          <w:szCs w:val="16"/>
        </w:rPr>
        <w:t>). Высота машины была уменьшена на 300 мм по сравнению с высо</w:t>
      </w:r>
      <w:r w:rsidRPr="00925F26">
        <w:rPr>
          <w:color w:val="000000" w:themeColor="text1"/>
          <w:sz w:val="16"/>
          <w:szCs w:val="16"/>
        </w:rPr>
        <w:softHyphen/>
        <w:t>той танка Т-34-85, что также позволило сэко</w:t>
      </w:r>
      <w:r w:rsidRPr="00925F26">
        <w:rPr>
          <w:color w:val="000000" w:themeColor="text1"/>
          <w:sz w:val="16"/>
          <w:szCs w:val="16"/>
        </w:rPr>
        <w:softHyphen/>
        <w:t>номленную при этом массу использовать для усиления броневой зашиты нового танка.</w:t>
      </w:r>
    </w:p>
    <w:p w14:paraId="35A71B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Поперечное расположение двигателя в кормовой части корпуса позволило за счет сокращения длины МТО увеличить размеры боевого отделения и впервые установить на серийном среднем танке 100-мм пушку, что значительно увеличило огневую мощь маши</w:t>
      </w:r>
      <w:r w:rsidRPr="00925F26">
        <w:rPr>
          <w:color w:val="000000" w:themeColor="text1"/>
          <w:sz w:val="16"/>
          <w:szCs w:val="16"/>
        </w:rPr>
        <w:softHyphen/>
        <w:t>ны по сравнению с танком Т-44.</w:t>
      </w:r>
    </w:p>
    <w:p w14:paraId="66D806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Благодаря принятой схеме общей компо</w:t>
      </w:r>
      <w:r w:rsidRPr="00925F26">
        <w:rPr>
          <w:color w:val="000000" w:themeColor="text1"/>
          <w:sz w:val="16"/>
          <w:szCs w:val="16"/>
        </w:rPr>
        <w:softHyphen/>
        <w:t>новки башню удалось сместить в сторону кор</w:t>
      </w:r>
      <w:r w:rsidRPr="00925F26">
        <w:rPr>
          <w:color w:val="000000" w:themeColor="text1"/>
          <w:sz w:val="16"/>
          <w:szCs w:val="16"/>
        </w:rPr>
        <w:softHyphen/>
        <w:t>мы танка и расположить на подбашенном ли</w:t>
      </w:r>
      <w:r w:rsidRPr="00925F26">
        <w:rPr>
          <w:color w:val="000000" w:themeColor="text1"/>
          <w:sz w:val="16"/>
          <w:szCs w:val="16"/>
        </w:rPr>
        <w:softHyphen/>
        <w:t xml:space="preserve">сте корпуса люк механика-водителя. Эта дало возможность значительно усилить </w:t>
      </w:r>
      <w:proofErr w:type="gramStart"/>
      <w:r w:rsidRPr="00925F26">
        <w:rPr>
          <w:color w:val="000000" w:themeColor="text1"/>
          <w:sz w:val="16"/>
          <w:szCs w:val="16"/>
        </w:rPr>
        <w:t>противо-снарядную</w:t>
      </w:r>
      <w:proofErr w:type="gramEnd"/>
      <w:r w:rsidRPr="00925F26">
        <w:rPr>
          <w:color w:val="000000" w:themeColor="text1"/>
          <w:sz w:val="16"/>
          <w:szCs w:val="16"/>
        </w:rPr>
        <w:t xml:space="preserve"> стойкость носовой части.</w:t>
      </w:r>
    </w:p>
    <w:p w14:paraId="0883EA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Вооружение танка состояло из 100-мм опытной танковой пушки Д-10Т-К конструк</w:t>
      </w:r>
      <w:r w:rsidRPr="00925F26">
        <w:rPr>
          <w:color w:val="000000" w:themeColor="text1"/>
          <w:sz w:val="16"/>
          <w:szCs w:val="16"/>
        </w:rPr>
        <w:softHyphen/>
        <w:t>ции завода №9 НКВ и двух 7,62-мм пулеме</w:t>
      </w:r>
      <w:r w:rsidRPr="00925F26">
        <w:rPr>
          <w:color w:val="000000" w:themeColor="text1"/>
          <w:sz w:val="16"/>
          <w:szCs w:val="16"/>
        </w:rPr>
        <w:softHyphen/>
        <w:t>тов ГВТ с ленточным питанием, один из которых был спарен с пушкой, второй — кур</w:t>
      </w:r>
      <w:r w:rsidRPr="00925F26">
        <w:rPr>
          <w:color w:val="000000" w:themeColor="text1"/>
          <w:sz w:val="16"/>
          <w:szCs w:val="16"/>
        </w:rPr>
        <w:softHyphen/>
        <w:t>совой, устанавливался в отделении управ</w:t>
      </w:r>
      <w:r w:rsidRPr="00925F26">
        <w:rPr>
          <w:color w:val="000000" w:themeColor="text1"/>
          <w:sz w:val="16"/>
          <w:szCs w:val="16"/>
        </w:rPr>
        <w:softHyphen/>
        <w:t>ления справа от механика-водителя.</w:t>
      </w:r>
    </w:p>
    <w:p w14:paraId="47D240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отличие от пушки Д-10Т обр. 1944 г., у пушки Д-10Т-К был упразднен пружинный уравновешивающий механизм. Уравновеши</w:t>
      </w:r>
      <w:r w:rsidRPr="00925F26">
        <w:rPr>
          <w:color w:val="000000" w:themeColor="text1"/>
          <w:sz w:val="16"/>
          <w:szCs w:val="16"/>
        </w:rPr>
        <w:softHyphen/>
        <w:t>вание качающейся части пушки осуществля</w:t>
      </w:r>
      <w:r w:rsidRPr="00925F26">
        <w:rPr>
          <w:color w:val="000000" w:themeColor="text1"/>
          <w:sz w:val="16"/>
          <w:szCs w:val="16"/>
        </w:rPr>
        <w:softHyphen/>
        <w:t>лось за счет некоторого облегчения высту</w:t>
      </w:r>
      <w:r w:rsidRPr="00925F26">
        <w:rPr>
          <w:color w:val="000000" w:themeColor="text1"/>
          <w:sz w:val="16"/>
          <w:szCs w:val="16"/>
        </w:rPr>
        <w:softHyphen/>
        <w:t>павшей за башню части трубы, утяжеления ограждения и подвески под казенную часть пушки специальных грузов.</w:t>
      </w:r>
    </w:p>
    <w:p w14:paraId="68049D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стрельбе из спаренной установки, корректировании огня, определении рассто</w:t>
      </w:r>
      <w:r w:rsidRPr="00925F26">
        <w:rPr>
          <w:color w:val="000000" w:themeColor="text1"/>
          <w:sz w:val="16"/>
          <w:szCs w:val="16"/>
        </w:rPr>
        <w:softHyphen/>
        <w:t>яний до целей и наблюдении за полем боя использовался телескопический шарнирный прицел ТШ-19 четырехкратного увеличения и полем зрения, равным 16°. Предельная дальность стрельбы по шкале для стрельбы из пушки составляла 6800 м, а для стрельбы из пулемета - 1500 м.</w:t>
      </w:r>
    </w:p>
    <w:p w14:paraId="140BA36C"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приводе вертикальной наводки исполь</w:t>
      </w:r>
      <w:r w:rsidRPr="00925F26">
        <w:rPr>
          <w:color w:val="000000" w:themeColor="text1"/>
          <w:sz w:val="16"/>
          <w:szCs w:val="16"/>
        </w:rPr>
        <w:softHyphen/>
        <w:t>зовался подъемный механизм секторного типа с ручным и электромоторным приво</w:t>
      </w:r>
      <w:r w:rsidRPr="00925F26">
        <w:rPr>
          <w:color w:val="000000" w:themeColor="text1"/>
          <w:sz w:val="16"/>
          <w:szCs w:val="16"/>
        </w:rPr>
        <w:softHyphen/>
        <w:t>дом со сдающим звеном. Наводка спарен</w:t>
      </w:r>
      <w:r w:rsidRPr="00925F26">
        <w:rPr>
          <w:color w:val="000000" w:themeColor="text1"/>
          <w:sz w:val="16"/>
          <w:szCs w:val="16"/>
        </w:rPr>
        <w:softHyphen/>
        <w:t>ной установки в горизонтальной плоскости осуществлялось с помощью механизма по</w:t>
      </w:r>
      <w:r w:rsidRPr="00925F26">
        <w:rPr>
          <w:color w:val="000000" w:themeColor="text1"/>
          <w:sz w:val="16"/>
          <w:szCs w:val="16"/>
        </w:rPr>
        <w:softHyphen/>
        <w:t>ворота (МПБ), располагавшегося в башне с левой стороны.</w:t>
      </w:r>
    </w:p>
    <w:p w14:paraId="1D8929D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стрельбы из пушки применялись 100-мм унитарные выстрелы с бронебойно-трассирующим снарядом БР-412 с взрыва</w:t>
      </w:r>
      <w:r w:rsidRPr="00925F26">
        <w:rPr>
          <w:color w:val="000000" w:themeColor="text1"/>
          <w:sz w:val="16"/>
          <w:szCs w:val="16"/>
        </w:rPr>
        <w:softHyphen/>
        <w:t>телями МД-8 и с осколочно-фугасной гра</w:t>
      </w:r>
      <w:r w:rsidRPr="00925F26">
        <w:rPr>
          <w:color w:val="000000" w:themeColor="text1"/>
          <w:sz w:val="16"/>
          <w:szCs w:val="16"/>
        </w:rPr>
        <w:softHyphen/>
        <w:t>натой ОФ-412 с взрывателем РГМ. Броне</w:t>
      </w:r>
      <w:r w:rsidRPr="00925F26">
        <w:rPr>
          <w:color w:val="000000" w:themeColor="text1"/>
          <w:sz w:val="16"/>
          <w:szCs w:val="16"/>
        </w:rPr>
        <w:softHyphen/>
        <w:t>бойный снаряд массой 15,8 кг, имевший начальную скорость 897 м/с, на дистанции 1000 м пробивал вертикально расположен</w:t>
      </w:r>
      <w:r w:rsidRPr="00925F26">
        <w:rPr>
          <w:color w:val="000000" w:themeColor="text1"/>
          <w:sz w:val="16"/>
          <w:szCs w:val="16"/>
        </w:rPr>
        <w:softHyphen/>
        <w:t>ную броневую плиту толщиной 121 мм.</w:t>
      </w:r>
    </w:p>
    <w:p w14:paraId="321630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Броневая защита танка — дифференци</w:t>
      </w:r>
      <w:r w:rsidRPr="00925F26">
        <w:rPr>
          <w:color w:val="000000" w:themeColor="text1"/>
          <w:sz w:val="16"/>
          <w:szCs w:val="16"/>
        </w:rPr>
        <w:softHyphen/>
        <w:t>рованная противоснарядная. Конструкция корпуса была аналогична конструкции кор</w:t>
      </w:r>
      <w:r w:rsidRPr="00925F26">
        <w:rPr>
          <w:color w:val="000000" w:themeColor="text1"/>
          <w:sz w:val="16"/>
          <w:szCs w:val="16"/>
        </w:rPr>
        <w:softHyphen/>
        <w:t>пуса танка Т-44. Применение днища коры</w:t>
      </w:r>
      <w:r w:rsidRPr="00925F26">
        <w:rPr>
          <w:color w:val="000000" w:themeColor="text1"/>
          <w:sz w:val="16"/>
          <w:szCs w:val="16"/>
        </w:rPr>
        <w:softHyphen/>
        <w:t>тообразной формы с отогнутыми вверх кра</w:t>
      </w:r>
      <w:r w:rsidRPr="00925F26">
        <w:rPr>
          <w:color w:val="000000" w:themeColor="text1"/>
          <w:sz w:val="16"/>
          <w:szCs w:val="16"/>
        </w:rPr>
        <w:softHyphen/>
        <w:t>ями (реданом) позволило уменьшить высо</w:t>
      </w:r>
      <w:r w:rsidRPr="00925F26">
        <w:rPr>
          <w:color w:val="000000" w:themeColor="text1"/>
          <w:sz w:val="16"/>
          <w:szCs w:val="16"/>
        </w:rPr>
        <w:softHyphen/>
        <w:t>ту длинных и толстых бортовых броневых ли</w:t>
      </w:r>
      <w:r w:rsidRPr="00925F26">
        <w:rPr>
          <w:color w:val="000000" w:themeColor="text1"/>
          <w:sz w:val="16"/>
          <w:szCs w:val="16"/>
        </w:rPr>
        <w:softHyphen/>
        <w:t>стов корпуса и за счет этого сэкономить бо</w:t>
      </w:r>
      <w:r w:rsidRPr="00925F26">
        <w:rPr>
          <w:color w:val="000000" w:themeColor="text1"/>
          <w:sz w:val="16"/>
          <w:szCs w:val="16"/>
        </w:rPr>
        <w:softHyphen/>
        <w:t>лее тонны броневой стали.</w:t>
      </w:r>
    </w:p>
    <w:p w14:paraId="186209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Вращающаяся литая башня с диаметром опоры в свету 1800 мм, выполненная по типу башни танка Т-44, была изготовлена из бро</w:t>
      </w:r>
      <w:r w:rsidRPr="00925F26">
        <w:rPr>
          <w:color w:val="000000" w:themeColor="text1"/>
          <w:sz w:val="16"/>
          <w:szCs w:val="16"/>
        </w:rPr>
        <w:softHyphen/>
        <w:t>ни 66 АМС с закалкой на среднюю твердость.</w:t>
      </w:r>
    </w:p>
    <w:p w14:paraId="040A47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Вварная крыша башни изготавливалась из двух катаных броневых листов толщиной 30 мм, сваренных между собой.</w:t>
      </w:r>
    </w:p>
    <w:p w14:paraId="196F66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МТО танка перпендикулярно продоль</w:t>
      </w:r>
      <w:r w:rsidRPr="00925F26">
        <w:rPr>
          <w:color w:val="000000" w:themeColor="text1"/>
          <w:sz w:val="16"/>
          <w:szCs w:val="16"/>
        </w:rPr>
        <w:softHyphen/>
        <w:t>ной оси корпуса устанавливался У-образный двенадцатицилиндровый четырехтактный бескомпрессорный дизель В-2-44 мощнос</w:t>
      </w:r>
      <w:r w:rsidRPr="00925F26">
        <w:rPr>
          <w:color w:val="000000" w:themeColor="text1"/>
          <w:sz w:val="16"/>
          <w:szCs w:val="16"/>
        </w:rPr>
        <w:softHyphen/>
        <w:t>тью 520 л.с. (383 кВт).</w:t>
      </w:r>
    </w:p>
    <w:p w14:paraId="61C09B6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топливную систему входили четыре топливных бака общей емкостью 520 л. Кро</w:t>
      </w:r>
      <w:r w:rsidRPr="00925F26">
        <w:rPr>
          <w:color w:val="000000" w:themeColor="text1"/>
          <w:sz w:val="16"/>
          <w:szCs w:val="16"/>
        </w:rPr>
        <w:softHyphen/>
        <w:t>ме внутренних (основных) топливных баков, снаружи танка на надгусеничных полках ус</w:t>
      </w:r>
      <w:r w:rsidRPr="00925F26">
        <w:rPr>
          <w:color w:val="000000" w:themeColor="text1"/>
          <w:sz w:val="16"/>
          <w:szCs w:val="16"/>
        </w:rPr>
        <w:softHyphen/>
        <w:t>танавливались три дополнительных топлив</w:t>
      </w:r>
      <w:r w:rsidRPr="00925F26">
        <w:rPr>
          <w:color w:val="000000" w:themeColor="text1"/>
          <w:sz w:val="16"/>
          <w:szCs w:val="16"/>
        </w:rPr>
        <w:softHyphen/>
        <w:t>ных бака емкостью по 50 л каждый. Допол</w:t>
      </w:r>
      <w:r w:rsidRPr="00925F26">
        <w:rPr>
          <w:color w:val="000000" w:themeColor="text1"/>
          <w:sz w:val="16"/>
          <w:szCs w:val="16"/>
        </w:rPr>
        <w:softHyphen/>
        <w:t>нительные баки были включены в топливную систему. Запас хода по шоссе с использо</w:t>
      </w:r>
      <w:r w:rsidRPr="00925F26">
        <w:rPr>
          <w:color w:val="000000" w:themeColor="text1"/>
          <w:sz w:val="16"/>
          <w:szCs w:val="16"/>
        </w:rPr>
        <w:softHyphen/>
        <w:t>ванием дополнительных топливных баков достигал 300-360 км.</w:t>
      </w:r>
    </w:p>
    <w:p w14:paraId="3515CC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состав трансмиссии входили: вход</w:t>
      </w:r>
      <w:r w:rsidRPr="00925F26">
        <w:rPr>
          <w:color w:val="000000" w:themeColor="text1"/>
          <w:sz w:val="16"/>
          <w:szCs w:val="16"/>
        </w:rPr>
        <w:softHyphen/>
        <w:t>ной редуктор (гитара), многодисковый су</w:t>
      </w:r>
      <w:r w:rsidRPr="00925F26">
        <w:rPr>
          <w:color w:val="000000" w:themeColor="text1"/>
          <w:sz w:val="16"/>
          <w:szCs w:val="16"/>
        </w:rPr>
        <w:softHyphen/>
        <w:t>хого трения (сталь по стали), главный фрик</w:t>
      </w:r>
      <w:r w:rsidRPr="00925F26">
        <w:rPr>
          <w:color w:val="000000" w:themeColor="text1"/>
          <w:sz w:val="16"/>
          <w:szCs w:val="16"/>
        </w:rPr>
        <w:softHyphen/>
        <w:t>цион; треходовая пятиступенчатая короб</w:t>
      </w:r>
      <w:r w:rsidRPr="00925F26">
        <w:rPr>
          <w:color w:val="000000" w:themeColor="text1"/>
          <w:sz w:val="16"/>
          <w:szCs w:val="16"/>
        </w:rPr>
        <w:softHyphen/>
        <w:t>ка передач, два многодисковых сухого тре</w:t>
      </w:r>
      <w:r w:rsidRPr="00925F26">
        <w:rPr>
          <w:color w:val="000000" w:themeColor="text1"/>
          <w:sz w:val="16"/>
          <w:szCs w:val="16"/>
        </w:rPr>
        <w:softHyphen/>
        <w:t>ния (сталь по стали) бортовых фрикциона; два ленточных (с чугунными накладками) тормоза и два однорядных бортовых редуктора.</w:t>
      </w:r>
    </w:p>
    <w:p w14:paraId="2048AD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Система подрессорива-ния танка состояла из десяти балансиров, десяти торсион</w:t>
      </w:r>
      <w:r w:rsidRPr="00925F26">
        <w:rPr>
          <w:color w:val="000000" w:themeColor="text1"/>
          <w:sz w:val="16"/>
          <w:szCs w:val="16"/>
        </w:rPr>
        <w:softHyphen/>
        <w:t>ных валов с углом закрутки 44°, десяти кронштейнов, де</w:t>
      </w:r>
      <w:r w:rsidRPr="00925F26">
        <w:rPr>
          <w:color w:val="000000" w:themeColor="text1"/>
          <w:sz w:val="16"/>
          <w:szCs w:val="16"/>
        </w:rPr>
        <w:softHyphen/>
        <w:t>сяти опор балансиров, деся</w:t>
      </w:r>
      <w:r w:rsidRPr="00925F26">
        <w:rPr>
          <w:color w:val="000000" w:themeColor="text1"/>
          <w:sz w:val="16"/>
          <w:szCs w:val="16"/>
        </w:rPr>
        <w:softHyphen/>
        <w:t>ти упоров. Балансиры опор</w:t>
      </w:r>
      <w:r w:rsidRPr="00925F26">
        <w:rPr>
          <w:color w:val="000000" w:themeColor="text1"/>
          <w:sz w:val="16"/>
          <w:szCs w:val="16"/>
        </w:rPr>
        <w:softHyphen/>
        <w:t>ных катков, в отличие от штам</w:t>
      </w:r>
      <w:r w:rsidRPr="00925F26">
        <w:rPr>
          <w:color w:val="000000" w:themeColor="text1"/>
          <w:sz w:val="16"/>
          <w:szCs w:val="16"/>
        </w:rPr>
        <w:softHyphen/>
        <w:t>пованных балансиров танка Т-44, были изготовлены литы</w:t>
      </w:r>
      <w:r w:rsidRPr="00925F26">
        <w:rPr>
          <w:color w:val="000000" w:themeColor="text1"/>
          <w:sz w:val="16"/>
          <w:szCs w:val="16"/>
        </w:rPr>
        <w:softHyphen/>
        <w:t>ми, заодно целое с осями ба</w:t>
      </w:r>
      <w:r w:rsidRPr="00925F26">
        <w:rPr>
          <w:color w:val="000000" w:themeColor="text1"/>
          <w:sz w:val="16"/>
          <w:szCs w:val="16"/>
        </w:rPr>
        <w:softHyphen/>
        <w:t>лансиров.</w:t>
      </w:r>
    </w:p>
    <w:p w14:paraId="1F407E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Гусеничный движитель с кормовым расположением ведущих колес состоял из двух крупнозвенчатых (шаг трака 172 мм) с гребневым зацеп-</w:t>
      </w:r>
    </w:p>
    <w:p w14:paraId="083EAC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лением гусениц, двух ведущих колес, деся</w:t>
      </w:r>
      <w:r w:rsidRPr="00925F26">
        <w:rPr>
          <w:color w:val="000000" w:themeColor="text1"/>
          <w:sz w:val="16"/>
          <w:szCs w:val="16"/>
        </w:rPr>
        <w:softHyphen/>
        <w:t>ти литых сдвоенных опорных катков с наруж</w:t>
      </w:r>
      <w:r w:rsidRPr="00925F26">
        <w:rPr>
          <w:color w:val="000000" w:themeColor="text1"/>
          <w:sz w:val="16"/>
          <w:szCs w:val="16"/>
        </w:rPr>
        <w:softHyphen/>
        <w:t>ной амортизацией (диаметр 830 мм) и двух литых сдвоенных направляю</w:t>
      </w:r>
      <w:r w:rsidRPr="00925F26">
        <w:rPr>
          <w:color w:val="000000" w:themeColor="text1"/>
          <w:sz w:val="16"/>
          <w:szCs w:val="16"/>
        </w:rPr>
        <w:softHyphen/>
        <w:t>щих колес (диаметр 500 мм) с механизмами натяжения гусениц (11468).</w:t>
      </w:r>
    </w:p>
    <w:p w14:paraId="677658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239B7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января 1945 г. был изготовлен опытный образец танка Т-54. После заводс</w:t>
      </w:r>
      <w:r w:rsidRPr="00925F26">
        <w:rPr>
          <w:color w:val="000000" w:themeColor="text1"/>
          <w:sz w:val="16"/>
          <w:szCs w:val="16"/>
        </w:rPr>
        <w:softHyphen/>
        <w:t>кого пробега и показа командованию БТ и МВ КА и членам прави</w:t>
      </w:r>
      <w:r w:rsidRPr="00925F26">
        <w:rPr>
          <w:color w:val="000000" w:themeColor="text1"/>
          <w:sz w:val="16"/>
          <w:szCs w:val="16"/>
        </w:rPr>
        <w:softHyphen/>
        <w:t>тельства в период с 11 марта по 14 апреля 1945 г. он прошел испы</w:t>
      </w:r>
      <w:r w:rsidRPr="00925F26">
        <w:rPr>
          <w:color w:val="000000" w:themeColor="text1"/>
          <w:sz w:val="16"/>
          <w:szCs w:val="16"/>
        </w:rPr>
        <w:softHyphen/>
        <w:t>тания на НИБТ полигоне в Кубинке под руководством комиссии, воз</w:t>
      </w:r>
      <w:r w:rsidRPr="00925F26">
        <w:rPr>
          <w:color w:val="000000" w:themeColor="text1"/>
          <w:sz w:val="16"/>
          <w:szCs w:val="16"/>
        </w:rPr>
        <w:softHyphen/>
        <w:t>главляемой заместителем начальника Технического управления ГЕГГУ КАгв. полковником Е.А. Кульчицким.</w:t>
      </w:r>
    </w:p>
    <w:p w14:paraId="3B4FA21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испытаний нарком танковой промыш</w:t>
      </w:r>
      <w:r w:rsidRPr="00925F26">
        <w:rPr>
          <w:color w:val="000000" w:themeColor="text1"/>
          <w:sz w:val="16"/>
          <w:szCs w:val="16"/>
        </w:rPr>
        <w:softHyphen/>
        <w:t>ленности В.А. Малышев дал указания директору завода №183 гене</w:t>
      </w:r>
      <w:r w:rsidRPr="00925F26">
        <w:rPr>
          <w:color w:val="000000" w:themeColor="text1"/>
          <w:sz w:val="16"/>
          <w:szCs w:val="16"/>
        </w:rPr>
        <w:softHyphen/>
        <w:t>рал-майору ИТС Ю.Е. Максареву об изготовлении двух опытных об</w:t>
      </w:r>
      <w:r w:rsidRPr="00925F26">
        <w:rPr>
          <w:color w:val="000000" w:themeColor="text1"/>
          <w:sz w:val="16"/>
          <w:szCs w:val="16"/>
        </w:rPr>
        <w:softHyphen/>
        <w:t>разцов танка Т-54 к июню 1945 г. На одном из них должна была быть установлена планетарная трансмиссия, на другом - ПМП.</w:t>
      </w:r>
    </w:p>
    <w:p w14:paraId="790AB3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требовалось внести 68 изме</w:t>
      </w:r>
      <w:r w:rsidRPr="00925F26">
        <w:rPr>
          <w:color w:val="000000" w:themeColor="text1"/>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925F26">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925F26">
        <w:rPr>
          <w:color w:val="000000" w:themeColor="text1"/>
          <w:sz w:val="16"/>
          <w:szCs w:val="16"/>
        </w:rPr>
        <w:softHyphen/>
        <w:t>чием стальных бортовых экранов, а на одном из них на крыше баш</w:t>
      </w:r>
      <w:r w:rsidRPr="00925F26">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925F26">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2A89EA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925F26">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07F3EA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время испытаний выявилось большое количество дефек</w:t>
      </w:r>
      <w:r w:rsidRPr="00925F26">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925F26">
        <w:rPr>
          <w:color w:val="000000" w:themeColor="text1"/>
          <w:sz w:val="16"/>
          <w:szCs w:val="16"/>
        </w:rPr>
        <w:softHyphen/>
        <w:t>ботали без дефектов. Синхронизаторы коробки передач ожидае</w:t>
      </w:r>
      <w:r w:rsidRPr="00925F26">
        <w:rPr>
          <w:color w:val="000000" w:themeColor="text1"/>
          <w:sz w:val="16"/>
          <w:szCs w:val="16"/>
        </w:rPr>
        <w:softHyphen/>
        <w:t>мого эффекта не дали, так как время переключения передач со</w:t>
      </w:r>
      <w:r w:rsidRPr="00925F26">
        <w:rPr>
          <w:color w:val="000000" w:themeColor="text1"/>
          <w:sz w:val="16"/>
          <w:szCs w:val="16"/>
        </w:rPr>
        <w:softHyphen/>
        <w:t>ставляло 5 с. По результатам ходовых испытаний в конструкцию танка внесли еще 98 изменений (11770).</w:t>
      </w:r>
    </w:p>
    <w:p w14:paraId="3372A8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0AAE7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января 1945 г. была подготовлена ДОКЛАДНАЯ ЗАПИСКА ЗАМЕСТИТЕЛЯ НАЧАЛЬНИКА ГБТУ КА ЗАМЕСТИТЕЛЮ КОМАНДУЮЩЕГО БТ и МВ КА ОБ ОСНОВНЫХ ИТОГАХ РАБОТЫ НИБТ ПОЛИГОНА ЗА 1944 г.</w:t>
      </w:r>
    </w:p>
    <w:p w14:paraId="4791E7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Представляю годовой отчет научно-испытательного бронетанкового полигона ГБТУ КА о про</w:t>
      </w:r>
      <w:r w:rsidRPr="00925F26">
        <w:rPr>
          <w:color w:val="000000" w:themeColor="text1"/>
          <w:sz w:val="16"/>
          <w:szCs w:val="16"/>
        </w:rPr>
        <w:softHyphen/>
        <w:t>деланной им работе за 1944 год.</w:t>
      </w:r>
    </w:p>
    <w:p w14:paraId="436005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 этим докладываю основные итоги по работе НИБТ полигона за 1944 год.</w:t>
      </w:r>
    </w:p>
    <w:p w14:paraId="55CBFE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Вся работа НИБТ полигона проводилась в следующем направлении.</w:t>
      </w:r>
    </w:p>
    <w:p w14:paraId="0DFA59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r w:rsidRPr="00925F26">
        <w:rPr>
          <w:color w:val="000000" w:themeColor="text1"/>
          <w:sz w:val="16"/>
          <w:szCs w:val="16"/>
        </w:rPr>
        <w:t>. Выполнение всех испытательных и исследовательских работ, согласно утвержденного годо</w:t>
      </w:r>
      <w:r w:rsidRPr="00925F26">
        <w:rPr>
          <w:color w:val="000000" w:themeColor="text1"/>
          <w:sz w:val="16"/>
          <w:szCs w:val="16"/>
        </w:rPr>
        <w:softHyphen/>
        <w:t>вого плана и внеплановых заданий, выдаваемых Главными управлениями БТ и МВ КА.</w:t>
      </w:r>
    </w:p>
    <w:p w14:paraId="5843E1D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 тематических работ выполнен за 1944 год на 146%. За 1944 год НИБТ полигоном выпуще</w:t>
      </w:r>
      <w:r w:rsidRPr="00925F26">
        <w:rPr>
          <w:color w:val="000000" w:themeColor="text1"/>
          <w:sz w:val="16"/>
          <w:szCs w:val="16"/>
        </w:rPr>
        <w:softHyphen/>
        <w:t>но 485 отчетов, что составляет 156% к 1943 году.</w:t>
      </w:r>
    </w:p>
    <w:p w14:paraId="3F3AC0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w:t>
      </w:r>
      <w:r w:rsidRPr="00925F26">
        <w:rPr>
          <w:color w:val="000000" w:themeColor="text1"/>
          <w:sz w:val="16"/>
          <w:szCs w:val="16"/>
        </w:rPr>
        <w:t>. НИБТ полигоном испытано на гарантийный километраж и полигонными испытаниями 112 танков и самоходных установок отечественного и импортного производства.</w:t>
      </w:r>
    </w:p>
    <w:p w14:paraId="4C073D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этой работы полигоном выявлено, а заводами устранено значительное количест</w:t>
      </w:r>
      <w:r w:rsidRPr="00925F26">
        <w:rPr>
          <w:color w:val="000000" w:themeColor="text1"/>
          <w:sz w:val="16"/>
          <w:szCs w:val="16"/>
        </w:rPr>
        <w:softHyphen/>
        <w:t>во дефектов танков и самоходных установок, что резко повысило их качество, доказательством это</w:t>
      </w:r>
      <w:r w:rsidRPr="00925F26">
        <w:rPr>
          <w:color w:val="000000" w:themeColor="text1"/>
          <w:sz w:val="16"/>
          <w:szCs w:val="16"/>
        </w:rPr>
        <w:softHyphen/>
        <w:t>го является снижение дефектов по танкам: Т-34, ИС и ИСУ.</w:t>
      </w:r>
    </w:p>
    <w:p w14:paraId="4CD5F4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 например:</w:t>
      </w:r>
    </w:p>
    <w:p w14:paraId="47223B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 полугодии 1943 года на 1000 км пробега танка Т-34 приходилось 35 дефектов,</w:t>
      </w:r>
    </w:p>
    <w:p w14:paraId="0753A2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2 полугодии 1943 года — 20 дефектов,</w:t>
      </w:r>
    </w:p>
    <w:p w14:paraId="2E8A58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1 полугодии 1944 года — 17 дефектов,</w:t>
      </w:r>
    </w:p>
    <w:p w14:paraId="0C67B1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2 полугодии 1944 года — 10 дефектов.</w:t>
      </w:r>
    </w:p>
    <w:p w14:paraId="010666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III</w:t>
      </w:r>
      <w:r w:rsidRPr="00925F26">
        <w:rPr>
          <w:color w:val="000000" w:themeColor="text1"/>
          <w:sz w:val="16"/>
          <w:szCs w:val="16"/>
        </w:rPr>
        <w:t>. Гарантийные испытания танков ИС и самоходных установок ИСУ дополнялись материала</w:t>
      </w:r>
      <w:r w:rsidRPr="00925F26">
        <w:rPr>
          <w:color w:val="000000" w:themeColor="text1"/>
          <w:sz w:val="16"/>
          <w:szCs w:val="16"/>
        </w:rPr>
        <w:softHyphen/>
        <w:t>ми, собранными в действующей армии, в условиях боевого применения отдельных танковых тяже</w:t>
      </w:r>
      <w:r w:rsidRPr="00925F26">
        <w:rPr>
          <w:color w:val="000000" w:themeColor="text1"/>
          <w:sz w:val="16"/>
          <w:szCs w:val="16"/>
        </w:rPr>
        <w:softHyphen/>
        <w:t>лых полков. Таким образом, НИБТ полигон обобщил поломки и неисправности 206 танков ИС и са</w:t>
      </w:r>
      <w:r w:rsidRPr="00925F26">
        <w:rPr>
          <w:color w:val="000000" w:themeColor="text1"/>
          <w:sz w:val="16"/>
          <w:szCs w:val="16"/>
        </w:rPr>
        <w:softHyphen/>
        <w:t>моходных установок ИСУ, это дало возможность значительно улучшить качество выпускаемых тан</w:t>
      </w:r>
      <w:r w:rsidRPr="00925F26">
        <w:rPr>
          <w:color w:val="000000" w:themeColor="text1"/>
          <w:sz w:val="16"/>
          <w:szCs w:val="16"/>
        </w:rPr>
        <w:softHyphen/>
        <w:t>ков ИС и довести их до гарантийного срока службы.</w:t>
      </w:r>
    </w:p>
    <w:p w14:paraId="6D92FB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IV</w:t>
      </w:r>
      <w:r w:rsidRPr="00925F26">
        <w:rPr>
          <w:color w:val="000000" w:themeColor="text1"/>
          <w:sz w:val="16"/>
          <w:szCs w:val="16"/>
        </w:rPr>
        <w:t>. Кроме испытаний танков и самоходных установок в 1944 году НИБТ полигоном выполнены следующие задания:</w:t>
      </w:r>
    </w:p>
    <w:p w14:paraId="3ABD6F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Проведено 33 работы по обстрелу бронекорпусов танков ИС. Объект 701, Т-34-М, Т-44, Тигр-Б, Тигр-Н и другие.</w:t>
      </w:r>
    </w:p>
    <w:p w14:paraId="1069E3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основе результатов этих испытаний внесены улучшения в конструкции изготовляемых на</w:t>
      </w:r>
      <w:r w:rsidRPr="00925F26">
        <w:rPr>
          <w:color w:val="000000" w:themeColor="text1"/>
          <w:sz w:val="16"/>
          <w:szCs w:val="16"/>
        </w:rPr>
        <w:softHyphen/>
        <w:t>ми корпусов.</w:t>
      </w:r>
    </w:p>
    <w:p w14:paraId="494972F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Испытано 5 спецмашин, 2 транспортера, 4 бронеавтомобиля БА-64, 7 мотоциклов, аэросани и 2 вездехода, по всем этим машинам даны замечания по улучшению их качества.</w:t>
      </w:r>
    </w:p>
    <w:p w14:paraId="21CCB3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При испытании силовых установок в 1944 г. полигоном было направлено все внимание на по</w:t>
      </w:r>
      <w:r w:rsidRPr="00925F26">
        <w:rPr>
          <w:color w:val="000000" w:themeColor="text1"/>
          <w:sz w:val="16"/>
          <w:szCs w:val="16"/>
        </w:rPr>
        <w:softHyphen/>
        <w:t>вышение качества отечественного танкового двигателя В-2. В 1944 г. моторостроительные заводы значительно улучшили качество изготовления двигателя. Это подтверждается следующими данны</w:t>
      </w:r>
      <w:r w:rsidRPr="00925F26">
        <w:rPr>
          <w:color w:val="000000" w:themeColor="text1"/>
          <w:sz w:val="16"/>
          <w:szCs w:val="16"/>
        </w:rPr>
        <w:softHyphen/>
        <w:t>ми: если в 1943 г. на 1 двигатель В-2-34 приходилось дефектов производственного характера 1,1, то в 1944 году подобных дефектов на 1 двигатель 0,46, т.е. меньше чем в два раза.</w:t>
      </w:r>
    </w:p>
    <w:p w14:paraId="4513833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Проведены выборочные испытания серийных радиостанций 12-РТ, 9-РМ, 9-Р, 9-РС, 10-РК и РСБ-Ф, кроме испытательной тематики проводились и исследовательские работы по повышению дальности радиосвязи и эффективности работы серийных танковых радиостанций, в результате че</w:t>
      </w:r>
      <w:r w:rsidRPr="00925F26">
        <w:rPr>
          <w:color w:val="000000" w:themeColor="text1"/>
          <w:sz w:val="16"/>
          <w:szCs w:val="16"/>
        </w:rPr>
        <w:softHyphen/>
        <w:t>го полигоном разработано и передано в промышленность:</w:t>
      </w:r>
    </w:p>
    <w:p w14:paraId="189DFE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специальный подшлемник с радиогарнитурой, повышающий удобство работы на радиостан</w:t>
      </w:r>
      <w:r w:rsidRPr="00925F26">
        <w:rPr>
          <w:color w:val="000000" w:themeColor="text1"/>
          <w:sz w:val="16"/>
          <w:szCs w:val="16"/>
        </w:rPr>
        <w:softHyphen/>
        <w:t>ции и сохраняющий гарнитуру от преждевременной порчи;</w:t>
      </w:r>
    </w:p>
    <w:p w14:paraId="004675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новый тип антенны: более прочный в механическом и электрическом отношении и повыша</w:t>
      </w:r>
      <w:r w:rsidRPr="00925F26">
        <w:rPr>
          <w:color w:val="000000" w:themeColor="text1"/>
          <w:sz w:val="16"/>
          <w:szCs w:val="16"/>
        </w:rPr>
        <w:softHyphen/>
        <w:t>ющий дальность связи радиостанций на 10-15%;</w:t>
      </w:r>
    </w:p>
    <w:p w14:paraId="2A239C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специальный блок к серийным радиостанциям 9Р, 9-РМ и 9РС, увеличивающий дальность связи этих радиостанций с 18-25 до 60 км.</w:t>
      </w:r>
    </w:p>
    <w:p w14:paraId="334A4E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Выполнено 10 работ по испытанию горюче-смазочных материалов и произведено 16500 химанализов.</w:t>
      </w:r>
    </w:p>
    <w:p w14:paraId="44A912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Сделано 43 работы по испытаниям агрегатов, узлов и приспособлений, повышающих боевые качества или улучшающих эксплуатацию танков и самоходных установок.</w:t>
      </w:r>
    </w:p>
    <w:p w14:paraId="253C0C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Составлен капитальный справочник по коробкам перемены передач в 3-х томах, содержа</w:t>
      </w:r>
      <w:r w:rsidRPr="00925F26">
        <w:rPr>
          <w:color w:val="000000" w:themeColor="text1"/>
          <w:sz w:val="16"/>
          <w:szCs w:val="16"/>
        </w:rPr>
        <w:softHyphen/>
        <w:t>щий описание и результаты исследований КПП основных танков и самоходных установок: отечест</w:t>
      </w:r>
      <w:r w:rsidRPr="00925F26">
        <w:rPr>
          <w:color w:val="000000" w:themeColor="text1"/>
          <w:sz w:val="16"/>
          <w:szCs w:val="16"/>
        </w:rPr>
        <w:softHyphen/>
        <w:t>венных, английских, американских, французских, чехословацких и немецких.</w:t>
      </w:r>
    </w:p>
    <w:p w14:paraId="0BBECA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Выполнено 19 исследовательских работ по разным отраслям бронетанковой техники.</w:t>
      </w:r>
    </w:p>
    <w:p w14:paraId="3173E3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Полигоном написано за 1944 год 12 руководств службы и эксплуатации танков, 15 памяток, 27 инструкций, 6 каталогов, 11 описаний, 6 альбомов, 38 тактико-технических характеристик и вы</w:t>
      </w:r>
      <w:r w:rsidRPr="00925F26">
        <w:rPr>
          <w:color w:val="000000" w:themeColor="text1"/>
          <w:sz w:val="16"/>
          <w:szCs w:val="16"/>
        </w:rPr>
        <w:softHyphen/>
        <w:t>пущено более 200 карманных справочников.</w:t>
      </w:r>
    </w:p>
    <w:p w14:paraId="45E91D6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В течение 1944 года ознакомлено с новейшими типами бронетанковой техники:</w:t>
      </w:r>
    </w:p>
    <w:p w14:paraId="1B1A9AF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офицеров .</w:t>
      </w:r>
      <w:proofErr w:type="gramEnd"/>
      <w:r w:rsidRPr="00925F26">
        <w:rPr>
          <w:color w:val="000000" w:themeColor="text1"/>
          <w:sz w:val="16"/>
          <w:szCs w:val="16"/>
        </w:rPr>
        <w:t xml:space="preserve"> — 4967 человек,</w:t>
      </w:r>
    </w:p>
    <w:p w14:paraId="66B8C5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сержантского и рядового состава — 8472 человека.</w:t>
      </w:r>
    </w:p>
    <w:p w14:paraId="59717D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целью ознакомления с новейшими образцами бронетанковой техники, полигон посетили:</w:t>
      </w:r>
    </w:p>
    <w:p w14:paraId="71F336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Члены Правительства и ЦК ВКП(б) — 48 человек,</w:t>
      </w:r>
    </w:p>
    <w:p w14:paraId="1A6F52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генералы — 351 человек,</w:t>
      </w:r>
    </w:p>
    <w:p w14:paraId="3BAE3E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представители танковой промышленности — 374 человека.</w:t>
      </w:r>
    </w:p>
    <w:p w14:paraId="26A4CE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Опытно-ремонтными мастерскими произведено за год 602 ремонта машин: в том числе ка</w:t>
      </w:r>
      <w:r w:rsidRPr="00925F26">
        <w:rPr>
          <w:color w:val="000000" w:themeColor="text1"/>
          <w:sz w:val="16"/>
          <w:szCs w:val="16"/>
        </w:rPr>
        <w:softHyphen/>
        <w:t>питальных 8, средних 245 и текущих 349. План работ мастерскими выполнен на 120%.</w:t>
      </w:r>
    </w:p>
    <w:p w14:paraId="1B883B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По капитальному строительству, восстановлению разрушенных зданий и постройке новых производственных помещений план выполнен на 2,7 млн. рублей вместо отпущенных КЭО МВО 2,5 млн. рублей. Заново оборудованы лаборатории электрорадиотехники, лаборатория силовых установок, химическая лаборатория, лаборатория испытания материалов, баллистическая лаборатория и снаряжательная.</w:t>
      </w:r>
    </w:p>
    <w:p w14:paraId="54631CB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Прошу заслушать на военном совете БТ и МВ КА доклад начальника НИБТ полигона гене</w:t>
      </w:r>
      <w:r w:rsidRPr="00925F26">
        <w:rPr>
          <w:color w:val="000000" w:themeColor="text1"/>
          <w:sz w:val="16"/>
          <w:szCs w:val="16"/>
        </w:rPr>
        <w:softHyphen/>
        <w:t>рал-майора танковых войск т. Романова о работе полигона за 1944 год в феврале месяце 1945 года.</w:t>
      </w:r>
    </w:p>
    <w:p w14:paraId="7951AB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годовой отчет НИБТ полигона.</w:t>
      </w:r>
      <w:r w:rsidRPr="00925F26">
        <w:rPr>
          <w:color w:val="000000" w:themeColor="text1"/>
          <w:sz w:val="16"/>
          <w:szCs w:val="16"/>
          <w:vertAlign w:val="superscript"/>
        </w:rPr>
        <w:t>1</w:t>
      </w:r>
    </w:p>
    <w:p w14:paraId="4D2423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ГБТУ КА генерал-лейтенант инженерно-танковой службы Лебедев</w:t>
      </w:r>
    </w:p>
    <w:p w14:paraId="7E6636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41. Оп. 11355. Д. 3041. Л. 53-55. Подлинник (11420).</w:t>
      </w:r>
    </w:p>
    <w:p w14:paraId="323E610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E1DD6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января 1945 г. была подготовлена ДОКЛАДНАЯ ЗАПИСКА ЗАМЕСТИТЕЛЯ КОМАНДУЮЩЕГО БТ и МВ КА ЗАМЕСТИТЕЛЮ ПРЕДСЕДАТЕЛЯ ГКО Л.П. БЕРИИ ПО ВОПРОСУ ИЗГОТОВЛЕНИЯ ОПЫТНЫХ ТАНКОВ С ЭЛЕКТРОТРАНСМИССИЕЙ</w:t>
      </w:r>
    </w:p>
    <w:p w14:paraId="79A803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что постановлением ГОКО №3774с от 20.07.1943 г. Наркомэлектропром обязы</w:t>
      </w:r>
      <w:r w:rsidRPr="00925F26">
        <w:rPr>
          <w:color w:val="000000" w:themeColor="text1"/>
          <w:sz w:val="16"/>
          <w:szCs w:val="16"/>
        </w:rPr>
        <w:softHyphen/>
        <w:t>вался к 1 октября 1943 г. закончить изготовление, монтаж и заводские испытания электротрансмис</w:t>
      </w:r>
      <w:r w:rsidRPr="00925F26">
        <w:rPr>
          <w:color w:val="000000" w:themeColor="text1"/>
          <w:sz w:val="16"/>
          <w:szCs w:val="16"/>
        </w:rPr>
        <w:softHyphen/>
        <w:t>сии на танке КВ по проекту академии и НКЭП, а ГБТУ должно было провести полигонные испыта</w:t>
      </w:r>
      <w:r w:rsidRPr="00925F26">
        <w:rPr>
          <w:color w:val="000000" w:themeColor="text1"/>
          <w:sz w:val="16"/>
          <w:szCs w:val="16"/>
        </w:rPr>
        <w:softHyphen/>
        <w:t>ния до 25 Октября 1943 г.</w:t>
      </w:r>
    </w:p>
    <w:p w14:paraId="3DACCA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Изготовление электротрансмиссии задержалось, вследствие чего Наркомэлектропром предъя</w:t>
      </w:r>
      <w:r w:rsidRPr="00925F26">
        <w:rPr>
          <w:color w:val="000000" w:themeColor="text1"/>
          <w:sz w:val="16"/>
          <w:szCs w:val="16"/>
        </w:rPr>
        <w:softHyphen/>
        <w:t>вил ГБТУ КА танк с электротрансмиссией на полигонные испытания только в ноябре месяце 1944 г.</w:t>
      </w:r>
    </w:p>
    <w:p w14:paraId="28D45F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время испытаний танк прошел 267 км.</w:t>
      </w:r>
    </w:p>
    <w:p w14:paraId="76731F4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процессе испытаний установлено, что:</w:t>
      </w:r>
    </w:p>
    <w:p w14:paraId="398329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Управление танком с электротрансмиссией простое и физически легкое.</w:t>
      </w:r>
    </w:p>
    <w:p w14:paraId="77DEDD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Танк легко поворачивается на различных радиусах и показал автоматическую приспособля</w:t>
      </w:r>
      <w:r w:rsidRPr="00925F26">
        <w:rPr>
          <w:color w:val="000000" w:themeColor="text1"/>
          <w:sz w:val="16"/>
          <w:szCs w:val="16"/>
        </w:rPr>
        <w:softHyphen/>
        <w:t>емость к сопротивлению движения.</w:t>
      </w:r>
    </w:p>
    <w:p w14:paraId="3BDD62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Работа танкового дизеля при изменении условий движения становится более спокойной и устойчивой, чем при механической трансмиссии.</w:t>
      </w:r>
    </w:p>
    <w:p w14:paraId="371360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Расход горючего во время испытаний был ниже норм, предусмотренных для тяжелых серий</w:t>
      </w:r>
      <w:r w:rsidRPr="00925F26">
        <w:rPr>
          <w:color w:val="000000" w:themeColor="text1"/>
          <w:sz w:val="16"/>
          <w:szCs w:val="16"/>
        </w:rPr>
        <w:softHyphen/>
        <w:t>ных танков с механической трансмиссией.</w:t>
      </w:r>
    </w:p>
    <w:p w14:paraId="7D57C90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В сравнении с электротрансмиссией немецкого артсамохода «Фердинанд» и электротранс</w:t>
      </w:r>
      <w:r w:rsidRPr="00925F26">
        <w:rPr>
          <w:color w:val="000000" w:themeColor="text1"/>
          <w:sz w:val="16"/>
          <w:szCs w:val="16"/>
        </w:rPr>
        <w:softHyphen/>
        <w:t>миссией танка КВ тяговые электромоторы имеют меньшие габариты за счет, главным образом, по</w:t>
      </w:r>
      <w:r w:rsidRPr="00925F26">
        <w:rPr>
          <w:color w:val="000000" w:themeColor="text1"/>
          <w:sz w:val="16"/>
          <w:szCs w:val="16"/>
        </w:rPr>
        <w:softHyphen/>
        <w:t>вышения максимального числа оборотов работы до 5000 мин"</w:t>
      </w:r>
      <w:r w:rsidRPr="00925F26">
        <w:rPr>
          <w:color w:val="000000" w:themeColor="text1"/>
          <w:sz w:val="16"/>
          <w:szCs w:val="16"/>
          <w:vertAlign w:val="superscript"/>
        </w:rPr>
        <w:t>1</w:t>
      </w:r>
      <w:r w:rsidRPr="00925F26">
        <w:rPr>
          <w:color w:val="000000" w:themeColor="text1"/>
          <w:sz w:val="16"/>
          <w:szCs w:val="16"/>
        </w:rPr>
        <w:t>.</w:t>
      </w:r>
    </w:p>
    <w:p w14:paraId="2BC70A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Однако проведенными испытаниями прочность электродвигателей, формированных по оборо</w:t>
      </w:r>
      <w:r w:rsidRPr="00925F26">
        <w:rPr>
          <w:color w:val="000000" w:themeColor="text1"/>
          <w:sz w:val="16"/>
          <w:szCs w:val="16"/>
        </w:rPr>
        <w:softHyphen/>
        <w:t>там, проверить не удалось.</w:t>
      </w:r>
    </w:p>
    <w:p w14:paraId="0DF424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Наряду с этим электротрансмиссия танка КВ имеет следующие существенные недостатки:</w:t>
      </w:r>
    </w:p>
    <w:p w14:paraId="6A1882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аппаратура электротрансмиссии громоздка и имеет большое количество контакторов, обте</w:t>
      </w:r>
      <w:r w:rsidRPr="00925F26">
        <w:rPr>
          <w:color w:val="000000" w:themeColor="text1"/>
          <w:sz w:val="16"/>
          <w:szCs w:val="16"/>
        </w:rPr>
        <w:softHyphen/>
        <w:t>каемых большим током, и при выходе из строя хотя бы одного контактора танк теряет управляе</w:t>
      </w:r>
      <w:r w:rsidRPr="00925F26">
        <w:rPr>
          <w:color w:val="000000" w:themeColor="text1"/>
          <w:sz w:val="16"/>
          <w:szCs w:val="16"/>
        </w:rPr>
        <w:softHyphen/>
        <w:t>мость или совсем останавливается;</w:t>
      </w:r>
    </w:p>
    <w:p w14:paraId="49528E8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агрегаты электротрансмиссии недостаточно защищены от влияния воды, влаги и пыли, про</w:t>
      </w:r>
      <w:r w:rsidRPr="00925F26">
        <w:rPr>
          <w:color w:val="000000" w:themeColor="text1"/>
          <w:sz w:val="16"/>
          <w:szCs w:val="16"/>
        </w:rPr>
        <w:softHyphen/>
        <w:t>никающих внутрь танка;</w:t>
      </w:r>
    </w:p>
    <w:p w14:paraId="7F320B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 результате установки на танке КВ электротрансмиссии взамен механической нарушена нормальная система вентиляции и охлаждения агрегатов электротрансмиссии.</w:t>
      </w:r>
    </w:p>
    <w:p w14:paraId="3DF624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Наличие этих дефектов объясняется тем, что данная электротрансмиссия для танка КВ являет</w:t>
      </w:r>
      <w:r w:rsidRPr="00925F26">
        <w:rPr>
          <w:color w:val="000000" w:themeColor="text1"/>
          <w:sz w:val="16"/>
          <w:szCs w:val="16"/>
        </w:rPr>
        <w:softHyphen/>
        <w:t>ся первой опытной работой в СССР, которая, естественно, не могла быть в первом варианте полно</w:t>
      </w:r>
      <w:r w:rsidRPr="00925F26">
        <w:rPr>
          <w:color w:val="000000" w:themeColor="text1"/>
          <w:sz w:val="16"/>
          <w:szCs w:val="16"/>
        </w:rPr>
        <w:softHyphen/>
        <w:t>стью доработанной конструкцией.</w:t>
      </w:r>
    </w:p>
    <w:p w14:paraId="26E698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Кроме того</w:t>
      </w:r>
      <w:proofErr w:type="gramEnd"/>
      <w:r w:rsidRPr="00925F26">
        <w:rPr>
          <w:color w:val="000000" w:themeColor="text1"/>
          <w:sz w:val="16"/>
          <w:szCs w:val="16"/>
        </w:rPr>
        <w:t xml:space="preserve"> проектирование агрегатов электротрансмиссии пришлось вести, имея дело уже с готовым корпусом танка КВ, рассчитанным на механическую трансмиссию.</w:t>
      </w:r>
    </w:p>
    <w:p w14:paraId="777E43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Комиссия, проводившая испытания танка КВ с электротрансмиссией, пришла к выводам:</w:t>
      </w:r>
    </w:p>
    <w:p w14:paraId="41DD6D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Ввиду большого количества выявленных дефектов в электротрансмиссии на танке КВ, устра</w:t>
      </w:r>
      <w:r w:rsidRPr="00925F26">
        <w:rPr>
          <w:color w:val="000000" w:themeColor="text1"/>
          <w:sz w:val="16"/>
          <w:szCs w:val="16"/>
        </w:rPr>
        <w:softHyphen/>
        <w:t>нение которых не улучшает в принципе конструкции отдельных агрегатов, а лишь затягивает сро</w:t>
      </w:r>
      <w:r w:rsidRPr="00925F26">
        <w:rPr>
          <w:color w:val="000000" w:themeColor="text1"/>
          <w:sz w:val="16"/>
          <w:szCs w:val="16"/>
        </w:rPr>
        <w:softHyphen/>
        <w:t>ки проведения испытаний, дальнейшие испытания прекратить.</w:t>
      </w:r>
    </w:p>
    <w:p w14:paraId="66D1105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Танк с электротрансмиссией передать Военной академии БТ и МВ КА им. Сталина и заводу «Ди</w:t>
      </w:r>
      <w:r w:rsidRPr="00925F26">
        <w:rPr>
          <w:color w:val="000000" w:themeColor="text1"/>
          <w:sz w:val="16"/>
          <w:szCs w:val="16"/>
        </w:rPr>
        <w:softHyphen/>
        <w:t>намо» для проведения совместных работ по дальнейшему исследованию агрегатов электротрансмиссии.</w:t>
      </w:r>
    </w:p>
    <w:p w14:paraId="7D6C07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Изготовить опытную партию тяжелых танков с электротрансмиссией, устранив в ней выяв</w:t>
      </w:r>
      <w:r w:rsidRPr="00925F26">
        <w:rPr>
          <w:color w:val="000000" w:themeColor="text1"/>
          <w:sz w:val="16"/>
          <w:szCs w:val="16"/>
        </w:rPr>
        <w:softHyphen/>
        <w:t>ленные дефекты.</w:t>
      </w:r>
    </w:p>
    <w:p w14:paraId="3462372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выводами комиссии в отношении прекращения испытаний и передачи танка Военной акаде</w:t>
      </w:r>
      <w:r w:rsidRPr="00925F26">
        <w:rPr>
          <w:color w:val="000000" w:themeColor="text1"/>
          <w:sz w:val="16"/>
          <w:szCs w:val="16"/>
        </w:rPr>
        <w:softHyphen/>
        <w:t xml:space="preserve">мии БТ и МВ </w:t>
      </w:r>
      <w:proofErr w:type="gramStart"/>
      <w:r w:rsidRPr="00925F26">
        <w:rPr>
          <w:color w:val="000000" w:themeColor="text1"/>
          <w:sz w:val="16"/>
          <w:szCs w:val="16"/>
        </w:rPr>
        <w:t>КА</w:t>
      </w:r>
      <w:proofErr w:type="gramEnd"/>
      <w:r w:rsidRPr="00925F26">
        <w:rPr>
          <w:color w:val="000000" w:themeColor="text1"/>
          <w:sz w:val="16"/>
          <w:szCs w:val="16"/>
        </w:rPr>
        <w:t xml:space="preserve"> и заводу «Динамо» согласен.</w:t>
      </w:r>
    </w:p>
    <w:p w14:paraId="36EA7C9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Исходя их того, что группа работников Военной академии БТ и МВ КА и конструкторов завода «Динамо» НКЭП, проектировавшая опытный образец электротрансмиссии, получила ценный и большой опыт в этот области, а применение электротрансмиссии в тяжелых танках имеет пер</w:t>
      </w:r>
      <w:r w:rsidRPr="00925F26">
        <w:rPr>
          <w:color w:val="000000" w:themeColor="text1"/>
          <w:sz w:val="16"/>
          <w:szCs w:val="16"/>
        </w:rPr>
        <w:softHyphen/>
        <w:t>спективы, считаю необходимым просить Вас:</w:t>
      </w:r>
    </w:p>
    <w:p w14:paraId="5CBB0A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Поручить заводу «Динамо» совместно с Военной академией БТ и МВ КА им. Сталина разра</w:t>
      </w:r>
      <w:r w:rsidRPr="00925F26">
        <w:rPr>
          <w:color w:val="000000" w:themeColor="text1"/>
          <w:sz w:val="16"/>
          <w:szCs w:val="16"/>
        </w:rPr>
        <w:softHyphen/>
        <w:t>ботать проект новой электротрансмиссии для тяжелого танка.</w:t>
      </w:r>
    </w:p>
    <w:p w14:paraId="0E9FA8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Поручить НКТП (Кировскому заводу) изготовить два опытных образца тяжелых танков с электротрансмиссией, на которых должны быть устранены все недостатки, выявленные при ис</w:t>
      </w:r>
      <w:r w:rsidRPr="00925F26">
        <w:rPr>
          <w:color w:val="000000" w:themeColor="text1"/>
          <w:sz w:val="16"/>
          <w:szCs w:val="16"/>
        </w:rPr>
        <w:softHyphen/>
        <w:t>пытаниях опытного образца электротрансмиссии танка КВ.</w:t>
      </w:r>
    </w:p>
    <w:p w14:paraId="1DFFC9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Прилагая проект постановления ГОКО, прошу представить его на утверждение.'</w:t>
      </w:r>
    </w:p>
    <w:p w14:paraId="78E7E2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72FAC2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Член военного совета БТ и МВ КА генерал-полковник танковых войск Бирюков</w:t>
      </w:r>
    </w:p>
    <w:p w14:paraId="18FCA9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11355. Д. 2732. Л. 8, 9, 9об. Копия.</w:t>
      </w:r>
    </w:p>
    <w:p w14:paraId="3005A0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Приложение к документу не публикуется (11420).</w:t>
      </w:r>
    </w:p>
    <w:p w14:paraId="62E44127" w14:textId="77777777" w:rsidR="00C2313B" w:rsidRPr="00925F26" w:rsidRDefault="00C2313B" w:rsidP="00925F26">
      <w:pPr>
        <w:autoSpaceDE w:val="0"/>
        <w:autoSpaceDN w:val="0"/>
        <w:adjustRightInd w:val="0"/>
        <w:jc w:val="both"/>
        <w:rPr>
          <w:color w:val="000000" w:themeColor="text1"/>
          <w:sz w:val="16"/>
          <w:szCs w:val="16"/>
        </w:rPr>
      </w:pPr>
    </w:p>
    <w:p w14:paraId="69A46D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вышло Распоряжение ГКО № 7427. О мерах по предотвращению остановки металлургических цехов заводов НКВ и НКТП и снабжении их сырьем. РГАНИР, Фонд ГКО, д. 365, лл. 1-4 (11012).</w:t>
      </w:r>
    </w:p>
    <w:p w14:paraId="6406DCE4" w14:textId="77777777" w:rsidR="00C2313B" w:rsidRPr="00925F26" w:rsidRDefault="00C2313B" w:rsidP="00925F26">
      <w:pPr>
        <w:autoSpaceDE w:val="0"/>
        <w:autoSpaceDN w:val="0"/>
        <w:adjustRightInd w:val="0"/>
        <w:jc w:val="both"/>
        <w:rPr>
          <w:color w:val="000000" w:themeColor="text1"/>
          <w:sz w:val="16"/>
          <w:szCs w:val="16"/>
        </w:rPr>
      </w:pPr>
    </w:p>
    <w:p w14:paraId="7654FF0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января 1945 вышло Распоряжение ГКО № 7428 [О мерах по расширению станции Эгершельд Приморской железной дороги для обеспечения погрузки импортных грузов.] (7304, 5-6).</w:t>
      </w:r>
    </w:p>
    <w:p w14:paraId="35C988F7"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F982D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вышло Распоряжение ГКО № 7429. О материально-техническом обеспечении строительства военно-морских баз в Прибалтике. РГАНИР, Фонд ГКО, д. 365, лл. 7 (11012).</w:t>
      </w:r>
    </w:p>
    <w:p w14:paraId="5C0E6D9C" w14:textId="77777777" w:rsidR="00C2313B" w:rsidRPr="00925F26" w:rsidRDefault="00C2313B" w:rsidP="00925F26">
      <w:pPr>
        <w:autoSpaceDE w:val="0"/>
        <w:autoSpaceDN w:val="0"/>
        <w:adjustRightInd w:val="0"/>
        <w:jc w:val="both"/>
        <w:rPr>
          <w:color w:val="000000" w:themeColor="text1"/>
          <w:sz w:val="16"/>
          <w:szCs w:val="16"/>
        </w:rPr>
      </w:pPr>
    </w:p>
    <w:p w14:paraId="308FF1E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января 1945 вышло Распоряжение ГКО № 7430 [О порядке снабжения продовольствием военнопленных, работающих на горнорудных предприятиях НКЦМ.] (7304, 8).</w:t>
      </w:r>
    </w:p>
    <w:p w14:paraId="1D4125C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75245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заложен 13-й ТЩ типа МТ-2 (10671).</w:t>
      </w:r>
    </w:p>
    <w:p w14:paraId="5A3AE77B" w14:textId="77777777" w:rsidR="00C2313B" w:rsidRPr="00925F26" w:rsidRDefault="00C2313B" w:rsidP="00925F26">
      <w:pPr>
        <w:autoSpaceDE w:val="0"/>
        <w:autoSpaceDN w:val="0"/>
        <w:adjustRightInd w:val="0"/>
        <w:jc w:val="both"/>
        <w:rPr>
          <w:color w:val="000000" w:themeColor="text1"/>
          <w:sz w:val="16"/>
          <w:szCs w:val="16"/>
        </w:rPr>
      </w:pPr>
    </w:p>
    <w:p w14:paraId="20CF417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A0F154C" w14:textId="77777777" w:rsidR="00C2313B" w:rsidRPr="00925F26" w:rsidRDefault="00C2313B" w:rsidP="00925F26">
      <w:pPr>
        <w:autoSpaceDE w:val="0"/>
        <w:autoSpaceDN w:val="0"/>
        <w:adjustRightInd w:val="0"/>
        <w:jc w:val="both"/>
        <w:rPr>
          <w:iCs/>
          <w:color w:val="000000" w:themeColor="text1"/>
          <w:sz w:val="16"/>
          <w:szCs w:val="16"/>
        </w:rPr>
      </w:pPr>
    </w:p>
    <w:p w14:paraId="3FB0DEC0" w14:textId="77777777" w:rsidR="00590D1F" w:rsidRPr="00925F26" w:rsidRDefault="00590D1F" w:rsidP="00925F26">
      <w:pPr>
        <w:jc w:val="both"/>
        <w:rPr>
          <w:color w:val="000000" w:themeColor="text1"/>
          <w:sz w:val="16"/>
          <w:szCs w:val="16"/>
        </w:rPr>
      </w:pPr>
      <w:r w:rsidRPr="00925F26">
        <w:rPr>
          <w:bCs/>
          <w:color w:val="000000" w:themeColor="text1"/>
          <w:sz w:val="16"/>
          <w:szCs w:val="16"/>
        </w:rPr>
        <w:t>30 января</w:t>
      </w:r>
      <w:r w:rsidRPr="00925F26">
        <w:rPr>
          <w:color w:val="000000" w:themeColor="text1"/>
          <w:sz w:val="16"/>
          <w:szCs w:val="16"/>
        </w:rPr>
        <w:t xml:space="preserve"> в 1945 году оперативная сводка Совинформбюро:</w:t>
      </w:r>
    </w:p>
    <w:p w14:paraId="7F5E32EE" w14:textId="77777777" w:rsidR="00590D1F" w:rsidRPr="00925F26" w:rsidRDefault="00590D1F" w:rsidP="00925F26">
      <w:pPr>
        <w:jc w:val="both"/>
        <w:rPr>
          <w:color w:val="000000" w:themeColor="text1"/>
          <w:sz w:val="16"/>
          <w:szCs w:val="16"/>
        </w:rPr>
      </w:pPr>
      <w:r w:rsidRPr="00925F26">
        <w:rPr>
          <w:color w:val="000000" w:themeColor="text1"/>
          <w:sz w:val="16"/>
          <w:szCs w:val="16"/>
        </w:rPr>
        <w:t>«В течение 30 января в Восточной Пруссии наши войска, продолжая наступление, овладели городами Бишофштайн, Вартенбург, а также с боями заняли более 150 других населённых пунктов, в том числе Мюльзен, Гойтенен, Зеераппен, Метгетен (5 километров западнее Кенигсберга), Хайде, Вальдбург (8 километров юго-западнее Кенигсберга), Коббельбуде, Пакерау, Дорф Лойненбург, Фалькенау, Гросс Швансфельд, Троутенау, Легинен, Кабинен, Брединкен, Гросс Рамзау, Ройшгаген, Толлак. Одновременно северо-западнее Алленштайна наши войска успешно отбили атаки пехоты и танков противника, пытавшегося пробиться на запад (в направлении Элььинга.</w:t>
      </w:r>
    </w:p>
    <w:p w14:paraId="5BD4C3BA" w14:textId="77777777" w:rsidR="00590D1F" w:rsidRPr="00925F26" w:rsidRDefault="00590D1F" w:rsidP="00925F26">
      <w:pPr>
        <w:jc w:val="both"/>
        <w:rPr>
          <w:color w:val="000000" w:themeColor="text1"/>
          <w:sz w:val="16"/>
          <w:szCs w:val="16"/>
        </w:rPr>
      </w:pPr>
      <w:r w:rsidRPr="00925F26">
        <w:rPr>
          <w:color w:val="000000" w:themeColor="text1"/>
          <w:sz w:val="16"/>
          <w:szCs w:val="16"/>
        </w:rPr>
        <w:t>В нижнем течении Вислы наши войска, сломив сопротивление противника, овладели городом Мариенвердер.</w:t>
      </w:r>
    </w:p>
    <w:p w14:paraId="0C65ACBC" w14:textId="77777777" w:rsidR="00590D1F" w:rsidRPr="00925F26" w:rsidRDefault="00590D1F" w:rsidP="00925F26">
      <w:pPr>
        <w:jc w:val="both"/>
        <w:rPr>
          <w:color w:val="000000" w:themeColor="text1"/>
          <w:sz w:val="16"/>
          <w:szCs w:val="16"/>
        </w:rPr>
      </w:pPr>
      <w:r w:rsidRPr="00925F26">
        <w:rPr>
          <w:color w:val="000000" w:themeColor="text1"/>
          <w:sz w:val="16"/>
          <w:szCs w:val="16"/>
        </w:rPr>
        <w:t>В районе города Торунь (Торн) продолжались бои по уничтожению окружённого гарнизона противника.</w:t>
      </w:r>
    </w:p>
    <w:p w14:paraId="33A06CEF"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города Быдгощ (Бромберг) наши войска овладели на территории немецкой Померании городами Линде, Кроянке и заняли более 50 других населённых пунктов, среди которых крупные населённые пункты Руден, Кляйшин, Заколльнов, Шенфельд, Боркендорф и железнодорожные станции Куян, Виттенбург, Шенфельд.</w:t>
      </w:r>
    </w:p>
    <w:p w14:paraId="2C7FCEFD" w14:textId="77777777" w:rsidR="00590D1F" w:rsidRPr="00925F26" w:rsidRDefault="00590D1F" w:rsidP="00925F26">
      <w:pPr>
        <w:jc w:val="both"/>
        <w:rPr>
          <w:color w:val="000000" w:themeColor="text1"/>
          <w:sz w:val="16"/>
          <w:szCs w:val="16"/>
        </w:rPr>
      </w:pPr>
      <w:r w:rsidRPr="00925F26">
        <w:rPr>
          <w:color w:val="000000" w:themeColor="text1"/>
          <w:sz w:val="16"/>
          <w:szCs w:val="16"/>
        </w:rPr>
        <w:t>Западнее города Познань наши войска, продолжая наступление, овладели на территории Германии городами Бетше, Тирштигель, Бомст, Унруштадт, а также с боями заняли более 200 других населённых пунктов, в том числе крупные населённые пункты Штольценберг, Приттиш, Гросс Даммер, Гросс Шмеллен, Клайнитц.</w:t>
      </w:r>
    </w:p>
    <w:p w14:paraId="3E34824C" w14:textId="77777777" w:rsidR="00590D1F" w:rsidRPr="00925F26" w:rsidRDefault="00590D1F" w:rsidP="00925F26">
      <w:pPr>
        <w:jc w:val="both"/>
        <w:rPr>
          <w:color w:val="000000" w:themeColor="text1"/>
          <w:sz w:val="16"/>
          <w:szCs w:val="16"/>
        </w:rPr>
      </w:pPr>
      <w:r w:rsidRPr="00925F26">
        <w:rPr>
          <w:color w:val="000000" w:themeColor="text1"/>
          <w:sz w:val="16"/>
          <w:szCs w:val="16"/>
        </w:rPr>
        <w:t>В районе Познани продолжались бои по уничтожению окружённых в городе частей противника.</w:t>
      </w:r>
    </w:p>
    <w:p w14:paraId="7F7774E6" w14:textId="77777777" w:rsidR="00590D1F" w:rsidRPr="00925F26" w:rsidRDefault="00590D1F" w:rsidP="00925F26">
      <w:pPr>
        <w:jc w:val="both"/>
        <w:rPr>
          <w:color w:val="000000" w:themeColor="text1"/>
          <w:sz w:val="16"/>
          <w:szCs w:val="16"/>
        </w:rPr>
      </w:pPr>
      <w:r w:rsidRPr="00925F26">
        <w:rPr>
          <w:color w:val="000000" w:themeColor="text1"/>
          <w:sz w:val="16"/>
          <w:szCs w:val="16"/>
        </w:rPr>
        <w:t>За 28 января западнее Познани войска 1-го Белорусского фронта захватили на аэродромах и авиационных складах 228 немецких самолётов.</w:t>
      </w:r>
    </w:p>
    <w:p w14:paraId="24CC8CD9" w14:textId="77777777" w:rsidR="00590D1F" w:rsidRPr="00925F26" w:rsidRDefault="00590D1F" w:rsidP="00925F26">
      <w:pPr>
        <w:jc w:val="both"/>
        <w:rPr>
          <w:color w:val="000000" w:themeColor="text1"/>
          <w:sz w:val="16"/>
          <w:szCs w:val="16"/>
        </w:rPr>
      </w:pPr>
      <w:r w:rsidRPr="00925F26">
        <w:rPr>
          <w:color w:val="000000" w:themeColor="text1"/>
          <w:sz w:val="16"/>
          <w:szCs w:val="16"/>
        </w:rPr>
        <w:t>Западнее и юго-западнее города Катовице наши войска с боями продвигались вперёд и заняли более 60 населённых пунктов, среди которых крупные населённые пункты Рейгерсфельд, Киферштедтель, Штандорф, Вильча, Егерсфельд, Крир.</w:t>
      </w:r>
    </w:p>
    <w:p w14:paraId="56442CE2" w14:textId="77777777" w:rsidR="00590D1F" w:rsidRPr="00925F26" w:rsidRDefault="00590D1F" w:rsidP="00925F26">
      <w:pPr>
        <w:jc w:val="both"/>
        <w:rPr>
          <w:color w:val="000000" w:themeColor="text1"/>
          <w:sz w:val="16"/>
          <w:szCs w:val="16"/>
        </w:rPr>
      </w:pPr>
      <w:r w:rsidRPr="00925F26">
        <w:rPr>
          <w:color w:val="000000" w:themeColor="text1"/>
          <w:sz w:val="16"/>
          <w:szCs w:val="16"/>
        </w:rPr>
        <w:t>За 29 января войска 1-го Украинского фронта захватили на аэродромах 55 немецких самолётов.</w:t>
      </w:r>
    </w:p>
    <w:p w14:paraId="107AC1F5" w14:textId="77777777" w:rsidR="00590D1F" w:rsidRPr="00925F26" w:rsidRDefault="00590D1F" w:rsidP="00925F26">
      <w:pPr>
        <w:jc w:val="both"/>
        <w:rPr>
          <w:color w:val="000000" w:themeColor="text1"/>
          <w:sz w:val="16"/>
          <w:szCs w:val="16"/>
        </w:rPr>
      </w:pPr>
      <w:r w:rsidRPr="00925F26">
        <w:rPr>
          <w:color w:val="000000" w:themeColor="text1"/>
          <w:sz w:val="16"/>
          <w:szCs w:val="16"/>
        </w:rPr>
        <w:t>В полосе Карпат наши войска, продолжая наступление, овладели городом Закопане, а также с боями заняли более 80 других населённых пунктов, в числе которых крупные населённые пункты Ляховице, Завоя, Липница Велька, Яблонка, Витанова, Выходна.</w:t>
      </w:r>
    </w:p>
    <w:p w14:paraId="506F7E0A"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Севернее и северо-восточнее города Лученец наши войска, действуя в трудных условиях горно-лесистой местности, с боями заняли более 100 населённых пунктов, среди которых крупные населённые пункты Гелпа, Мурань, Тиссовец, Полгора, Доброч, Детвянска Гута, Дивин.</w:t>
      </w:r>
    </w:p>
    <w:p w14:paraId="60431BA6" w14:textId="77777777" w:rsidR="00590D1F" w:rsidRPr="00925F26" w:rsidRDefault="00590D1F" w:rsidP="00925F26">
      <w:pPr>
        <w:jc w:val="both"/>
        <w:rPr>
          <w:color w:val="000000" w:themeColor="text1"/>
          <w:sz w:val="16"/>
          <w:szCs w:val="16"/>
        </w:rPr>
      </w:pPr>
      <w:r w:rsidRPr="00925F26">
        <w:rPr>
          <w:color w:val="000000" w:themeColor="text1"/>
          <w:sz w:val="16"/>
          <w:szCs w:val="16"/>
        </w:rPr>
        <w:t>В Будапеште наши войска, продолжая бои по уничтожению окружённого гарнизона противника в западной части города (Буда), полностью очистили от противника остров Маргитсигет и заняли 130 кварталов.</w:t>
      </w:r>
    </w:p>
    <w:p w14:paraId="09889D3A" w14:textId="77777777" w:rsidR="00590D1F" w:rsidRPr="00925F26" w:rsidRDefault="00590D1F" w:rsidP="00925F26">
      <w:pPr>
        <w:jc w:val="both"/>
        <w:rPr>
          <w:color w:val="000000" w:themeColor="text1"/>
          <w:sz w:val="16"/>
          <w:szCs w:val="16"/>
        </w:rPr>
      </w:pPr>
      <w:r w:rsidRPr="00925F26">
        <w:rPr>
          <w:color w:val="000000" w:themeColor="text1"/>
          <w:sz w:val="16"/>
          <w:szCs w:val="16"/>
        </w:rPr>
        <w:t>За 29 января наши войска на всех фронтах подбили и уничтожили 74 немецких танка. В воздушных боях и огнём зенитной артиллерии сбито 24 самолёта противника.</w:t>
      </w:r>
    </w:p>
    <w:p w14:paraId="59047F74" w14:textId="77777777" w:rsidR="00590D1F" w:rsidRPr="00925F26" w:rsidRDefault="00590D1F" w:rsidP="00925F26">
      <w:pPr>
        <w:jc w:val="both"/>
        <w:rPr>
          <w:color w:val="000000" w:themeColor="text1"/>
          <w:sz w:val="16"/>
          <w:szCs w:val="16"/>
        </w:rPr>
      </w:pPr>
      <w:r w:rsidRPr="00925F26">
        <w:rPr>
          <w:color w:val="000000" w:themeColor="text1"/>
          <w:sz w:val="16"/>
          <w:szCs w:val="16"/>
        </w:rPr>
        <w:t>В Восточной Пруссии наши войска продолжали наступление. Противник, опираясь на укрепления, состоящие из железобетонных сооружений, оказывает упорное сопротивление. Советские войска, преодолевая сопротивление гитлеровцев, обтекают город Кенигсберг с севера и юга. Наши артиллеристы, следующие в боевых порядках пехоты, громят доты и подавляют огневые точки противника. Мощным ударом части Н-ского соединения прорвали вражескую оборону южнее Кенигсберга и вышли к заливу Фриш-гаф. Советские части овладели также населенным пунктом Метгетен, расположенным в 5 километрах, западнее Кенигсберга. Единственная оставшаяся в руках немцев шоссейная дорога, идущая из Кенигсберга на запад по северному побережью залива Фриш-гаф, находится под огнём нашей артиллерии. В ходе боёв противник несёт огромные потери в живой силе и технике. За один день наши войска в районе Кенигсберга уничтожили свыше 3 тысяч гитлеровцев. Захвачено у немцев 7 танков, 68 орудий, 7 самолётов и много других трофеев. Взято в плен 1.050 немецких солдат и офицеров.</w:t>
      </w:r>
    </w:p>
    <w:p w14:paraId="1C9A66A0" w14:textId="77777777" w:rsidR="00590D1F" w:rsidRPr="00925F26" w:rsidRDefault="00590D1F" w:rsidP="00925F26">
      <w:pPr>
        <w:jc w:val="both"/>
        <w:rPr>
          <w:color w:val="000000" w:themeColor="text1"/>
          <w:sz w:val="16"/>
          <w:szCs w:val="16"/>
        </w:rPr>
      </w:pPr>
      <w:r w:rsidRPr="00925F26">
        <w:rPr>
          <w:color w:val="000000" w:themeColor="text1"/>
          <w:sz w:val="16"/>
          <w:szCs w:val="16"/>
        </w:rPr>
        <w:t>Наши войска, с боями продвигаясь вперёд, овладели сегодня городом Бишофштайн. В этом районе захвачены большие немецкие склады с боеприпасами и продовольствием, 30 паровозов и 400 вагонов с различными грузами.</w:t>
      </w:r>
    </w:p>
    <w:p w14:paraId="6A5FC7A9"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города Алленштайн крупные силы танков и пехоты противника вновь предприняли попытку пробиться на запад. Мощным огнём и контрударами советские части отбросили немцев и нанесли им большие потери.</w:t>
      </w:r>
    </w:p>
    <w:p w14:paraId="777B9FCB" w14:textId="77777777" w:rsidR="00590D1F" w:rsidRPr="00925F26" w:rsidRDefault="00590D1F" w:rsidP="00925F26">
      <w:pPr>
        <w:jc w:val="both"/>
        <w:rPr>
          <w:color w:val="000000" w:themeColor="text1"/>
          <w:sz w:val="16"/>
          <w:szCs w:val="16"/>
        </w:rPr>
      </w:pPr>
      <w:r w:rsidRPr="00925F26">
        <w:rPr>
          <w:color w:val="000000" w:themeColor="text1"/>
          <w:sz w:val="16"/>
          <w:szCs w:val="16"/>
        </w:rPr>
        <w:t>В нижнем течении реки Вислы наши войска после упорных боёв овладели городом Мариенвердер. Немцы стремились удержать в своих руках этот важный узел шоссейных и железных дорог и опорный пункт обороны. Сегодня советские войска предприняли решительную атаку, заняли город и отбросили остатки разгромленных частей противника за Вислу. На подступах к городу и на его улицах осталась много вражеских трупов. Захвачены 24 орудия, 161 миномёт, 500 автоматов, 3 артиллерийских склада, более 100 автомашин, 8 паровозов, 160 вагонов с грузами и много других трофеев.</w:t>
      </w:r>
    </w:p>
    <w:p w14:paraId="5CAE232F" w14:textId="77777777" w:rsidR="00590D1F" w:rsidRPr="00925F26" w:rsidRDefault="00590D1F" w:rsidP="00925F26">
      <w:pPr>
        <w:jc w:val="both"/>
        <w:rPr>
          <w:color w:val="000000" w:themeColor="text1"/>
          <w:sz w:val="16"/>
          <w:szCs w:val="16"/>
        </w:rPr>
      </w:pPr>
      <w:r w:rsidRPr="00925F26">
        <w:rPr>
          <w:color w:val="000000" w:themeColor="text1"/>
          <w:sz w:val="16"/>
          <w:szCs w:val="16"/>
        </w:rPr>
        <w:t>Северо-западнее города Быдгощ наши войска прорвали долговременную полосу обороны противника на польско-германской границе. Развивая успех, советские части углубились на территорию Германии на 10 километров и овладели городами Линде и Кроянке. С занятием этих городов перерезана железная дорога Данциг—Шнайдемюль. На поле боя остались сотни вражеских трупов. Захвачены 2 бронепоезда, 11 паровозов, 27 вагонов и другие трофеи. Взято в плен много немецких солдат и офицеров.</w:t>
      </w:r>
    </w:p>
    <w:p w14:paraId="1F88A668" w14:textId="77777777" w:rsidR="00590D1F" w:rsidRPr="00925F26" w:rsidRDefault="00590D1F" w:rsidP="00925F26">
      <w:pPr>
        <w:jc w:val="both"/>
        <w:rPr>
          <w:color w:val="000000" w:themeColor="text1"/>
          <w:sz w:val="16"/>
          <w:szCs w:val="16"/>
        </w:rPr>
      </w:pPr>
      <w:r w:rsidRPr="00925F26">
        <w:rPr>
          <w:color w:val="000000" w:themeColor="text1"/>
          <w:sz w:val="16"/>
          <w:szCs w:val="16"/>
        </w:rPr>
        <w:t>Западнее города Познань наши пехотинцы и танкисты форсировали реку Обра и прорвали долговременную полосу обороны противника на её западном берегу. Советские артиллеристы, расчищая путь пехоте и танкам, разрушили десятки железобетонных дотов. Многие немецкие доты были блокированы и захвачены нашими штурмовыми группами. На западном, берегу реки Обра советские части с боями заняли немецкие города Тирштигель, Бомст, Унруштадт и свыше 200 других населённых пунктов. Противник потерял только убитыми более 4 тысяч своих солдат и офицеров. Нашими бойцами захвачены у немцев 93 орудия, более 600 автомашин и 31 железнодорожный эшелон. В одном районе гитлеровцы, отступая, оставили госпиталь, в котором находилось 250 раненых немецких офицеров.</w:t>
      </w:r>
    </w:p>
    <w:p w14:paraId="58649F93" w14:textId="77777777" w:rsidR="00590D1F" w:rsidRPr="00925F26" w:rsidRDefault="00590D1F" w:rsidP="00925F26">
      <w:pPr>
        <w:jc w:val="both"/>
        <w:rPr>
          <w:color w:val="000000" w:themeColor="text1"/>
          <w:sz w:val="16"/>
          <w:szCs w:val="16"/>
        </w:rPr>
      </w:pPr>
      <w:r w:rsidRPr="00925F26">
        <w:rPr>
          <w:color w:val="000000" w:themeColor="text1"/>
          <w:sz w:val="16"/>
          <w:szCs w:val="16"/>
        </w:rPr>
        <w:t>Наши войска освободили из фашистской неволи около 10 тысяч иностранных рабочих.</w:t>
      </w:r>
    </w:p>
    <w:p w14:paraId="274AA24C" w14:textId="77777777" w:rsidR="00590D1F" w:rsidRPr="00925F26" w:rsidRDefault="00590D1F" w:rsidP="00925F26">
      <w:pPr>
        <w:jc w:val="both"/>
        <w:rPr>
          <w:color w:val="000000" w:themeColor="text1"/>
          <w:sz w:val="16"/>
          <w:szCs w:val="16"/>
        </w:rPr>
      </w:pPr>
      <w:r w:rsidRPr="00925F26">
        <w:rPr>
          <w:color w:val="000000" w:themeColor="text1"/>
          <w:sz w:val="16"/>
          <w:szCs w:val="16"/>
        </w:rPr>
        <w:t>Западнее и юго-западнее города Катовице наши войска с боями продвигались вперёд, уничтожая остатки разгромленной группировки противника. В течение дня взято в плен 1.230 немецких солдат и офицеров. Подбито и сожжено 32 вражеских танка и 8 бронетранспортёров. В одном районе в лесах советские бойцы разгромили группу гитлеровцев и захватили 107 орудий.</w:t>
      </w:r>
    </w:p>
    <w:p w14:paraId="7540F38E" w14:textId="77777777" w:rsidR="00590D1F" w:rsidRPr="00925F26" w:rsidRDefault="00590D1F"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атаковала суда противника в районе порта Лепая (Либава) и потопила четыре немецких транспорта общим водоизмещением в 26 тысяч тонн.» (15025).</w:t>
      </w:r>
    </w:p>
    <w:p w14:paraId="57CC8665" w14:textId="77777777" w:rsidR="00590D1F" w:rsidRPr="00925F26" w:rsidRDefault="00590D1F" w:rsidP="00925F26">
      <w:pPr>
        <w:jc w:val="both"/>
        <w:rPr>
          <w:color w:val="000000" w:themeColor="text1"/>
          <w:sz w:val="16"/>
          <w:szCs w:val="16"/>
        </w:rPr>
      </w:pPr>
    </w:p>
    <w:p w14:paraId="5C4CBB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был подготовлен "Акт установления эффективности фактичес</w:t>
      </w:r>
      <w:r w:rsidRPr="00925F26">
        <w:rPr>
          <w:color w:val="000000" w:themeColor="text1"/>
          <w:sz w:val="16"/>
          <w:szCs w:val="16"/>
        </w:rPr>
        <w:softHyphen/>
        <w:t xml:space="preserve">ки уничтоженной техники противника при действиях штурмовиков частей 230 </w:t>
      </w:r>
      <w:r w:rsidRPr="00925F26">
        <w:rPr>
          <w:iCs/>
          <w:color w:val="000000" w:themeColor="text1"/>
          <w:sz w:val="16"/>
          <w:szCs w:val="16"/>
        </w:rPr>
        <w:t>шад</w:t>
      </w:r>
      <w:r w:rsidRPr="00925F26">
        <w:rPr>
          <w:color w:val="000000" w:themeColor="text1"/>
          <w:sz w:val="16"/>
          <w:szCs w:val="16"/>
        </w:rPr>
        <w:t xml:space="preserve"> в период с 16.01 по 20.01.45 г." (исх. 02068), в котором комиссия штаба дивизии </w:t>
      </w:r>
      <w:r w:rsidRPr="00925F26">
        <w:rPr>
          <w:iCs/>
          <w:color w:val="000000" w:themeColor="text1"/>
          <w:sz w:val="16"/>
          <w:szCs w:val="16"/>
        </w:rPr>
        <w:t>"выездом в район</w:t>
      </w:r>
      <w:r w:rsidRPr="00925F26">
        <w:rPr>
          <w:color w:val="000000" w:themeColor="text1"/>
          <w:sz w:val="16"/>
          <w:szCs w:val="16"/>
        </w:rPr>
        <w:t xml:space="preserve"> бое</w:t>
      </w:r>
      <w:r w:rsidRPr="00925F26">
        <w:rPr>
          <w:color w:val="000000" w:themeColor="text1"/>
          <w:sz w:val="16"/>
          <w:szCs w:val="16"/>
        </w:rPr>
        <w:softHyphen/>
        <w:t xml:space="preserve">вых действий" определила, что </w:t>
      </w:r>
      <w:r w:rsidRPr="00925F26">
        <w:rPr>
          <w:iCs/>
          <w:color w:val="000000" w:themeColor="text1"/>
          <w:sz w:val="16"/>
          <w:szCs w:val="16"/>
        </w:rPr>
        <w:t>"...нане</w:t>
      </w:r>
      <w:r w:rsidRPr="00925F26">
        <w:rPr>
          <w:iCs/>
          <w:color w:val="000000" w:themeColor="text1"/>
          <w:sz w:val="16"/>
          <w:szCs w:val="16"/>
        </w:rPr>
        <w:softHyphen/>
        <w:t>сенные потери противнику в соответ</w:t>
      </w:r>
      <w:r w:rsidRPr="00925F26">
        <w:rPr>
          <w:iCs/>
          <w:color w:val="000000" w:themeColor="text1"/>
          <w:sz w:val="16"/>
          <w:szCs w:val="16"/>
        </w:rPr>
        <w:softHyphen/>
        <w:t>ствии с боевыми донесениями штаба дивизии полностью не соответствуют, так как количество уничтоженной техники, обнаруженной в процессе осмотра, со</w:t>
      </w:r>
      <w:r w:rsidRPr="00925F26">
        <w:rPr>
          <w:iCs/>
          <w:color w:val="000000" w:themeColor="text1"/>
          <w:sz w:val="16"/>
          <w:szCs w:val="16"/>
        </w:rPr>
        <w:softHyphen/>
        <w:t>ставляет 30% отданных наших донесе</w:t>
      </w:r>
      <w:r w:rsidRPr="00925F26">
        <w:rPr>
          <w:iCs/>
          <w:color w:val="000000" w:themeColor="text1"/>
          <w:sz w:val="16"/>
          <w:szCs w:val="16"/>
        </w:rPr>
        <w:softHyphen/>
        <w:t xml:space="preserve">ний..." </w:t>
      </w:r>
      <w:r w:rsidRPr="00925F26">
        <w:rPr>
          <w:color w:val="000000" w:themeColor="text1"/>
          <w:sz w:val="16"/>
          <w:szCs w:val="16"/>
        </w:rPr>
        <w:t>(6467).</w:t>
      </w:r>
    </w:p>
    <w:p w14:paraId="06C65798" w14:textId="77777777" w:rsidR="00C2313B" w:rsidRPr="00925F26" w:rsidRDefault="00C2313B" w:rsidP="00925F26">
      <w:pPr>
        <w:autoSpaceDE w:val="0"/>
        <w:autoSpaceDN w:val="0"/>
        <w:adjustRightInd w:val="0"/>
        <w:jc w:val="both"/>
        <w:rPr>
          <w:color w:val="000000" w:themeColor="text1"/>
          <w:sz w:val="16"/>
          <w:szCs w:val="16"/>
        </w:rPr>
      </w:pPr>
    </w:p>
    <w:p w14:paraId="021B28BB" w14:textId="77777777" w:rsidR="00573476" w:rsidRPr="00925F26" w:rsidRDefault="00573476" w:rsidP="00925F26">
      <w:pPr>
        <w:jc w:val="both"/>
        <w:rPr>
          <w:color w:val="000000" w:themeColor="text1"/>
          <w:sz w:val="16"/>
          <w:szCs w:val="16"/>
        </w:rPr>
      </w:pPr>
      <w:r w:rsidRPr="00925F26">
        <w:rPr>
          <w:color w:val="000000" w:themeColor="text1"/>
          <w:sz w:val="16"/>
          <w:szCs w:val="16"/>
        </w:rPr>
        <w:t>30 января 1945 года командир батальона 61-й гвардейской танковой бригады младший лейтенант Павел Лабуз уничтожил на своем Т-34-85 15 немецких танков (12217).</w:t>
      </w:r>
    </w:p>
    <w:p w14:paraId="66F63E7C" w14:textId="77777777" w:rsidR="00573476" w:rsidRPr="00925F26" w:rsidRDefault="00573476" w:rsidP="00925F26">
      <w:pPr>
        <w:jc w:val="both"/>
        <w:rPr>
          <w:color w:val="000000" w:themeColor="text1"/>
          <w:sz w:val="16"/>
          <w:szCs w:val="16"/>
        </w:rPr>
      </w:pPr>
    </w:p>
    <w:p w14:paraId="0FC80FDE"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lastRenderedPageBreak/>
        <w:t xml:space="preserve">January 30, 1945: In its relentless drive for Berlin, the Red Army reaches the </w:t>
      </w:r>
      <w:proofErr w:type="gramStart"/>
      <w:r w:rsidRPr="00925F26">
        <w:rPr>
          <w:color w:val="000000" w:themeColor="text1"/>
          <w:sz w:val="16"/>
          <w:szCs w:val="16"/>
          <w:lang w:val="en-US"/>
        </w:rPr>
        <w:t>Oder river</w:t>
      </w:r>
      <w:proofErr w:type="gramEnd"/>
      <w:r w:rsidRPr="00925F26">
        <w:rPr>
          <w:color w:val="000000" w:themeColor="text1"/>
          <w:sz w:val="16"/>
          <w:szCs w:val="16"/>
          <w:lang w:val="en-US"/>
        </w:rPr>
        <w:t xml:space="preserve"> at Kustrin and establishes several bridgeheads. On the twelfth anniversary of his coming to power Hitler, in his last speech to the country, calls for fanatical resistance by soldiers and civilians and predicts that "...in this struggle for survival it will not be inner Asia that will conquer, but the people that has defended Europe for centuries against the onslaughts from the East, the German nation..." Also on this date, the Wilhelm Gustloff, an ex-Kraft Durch Freude ship (Strength Through Joy) in the service of the German Kriegsmarine, is sunk in the Baltic Sea by a Soviet sub with the loss of over 6,000 lives - the largest single naval disaster in history (The Goya, another German ship similar to the Gustloff, would be sunk on April 16th, 1945, taking with it another 6,000 lives, making these two ships the worst naval disasters of all time.).</w:t>
      </w:r>
    </w:p>
    <w:p w14:paraId="09156296" w14:textId="77777777" w:rsidR="00C2313B" w:rsidRPr="00925F26" w:rsidRDefault="00C2313B" w:rsidP="00925F26">
      <w:pPr>
        <w:autoSpaceDE w:val="0"/>
        <w:autoSpaceDN w:val="0"/>
        <w:adjustRightInd w:val="0"/>
        <w:jc w:val="both"/>
        <w:rPr>
          <w:color w:val="000000" w:themeColor="text1"/>
          <w:sz w:val="16"/>
          <w:szCs w:val="16"/>
          <w:lang w:val="en-US"/>
        </w:rPr>
      </w:pPr>
    </w:p>
    <w:p w14:paraId="1473CB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КА вышла к Одеру у Кюстрина и захватила несколько плацдармов (3841).</w:t>
      </w:r>
    </w:p>
    <w:p w14:paraId="39412177" w14:textId="77777777" w:rsidR="00C2313B" w:rsidRPr="00925F26" w:rsidRDefault="00C2313B" w:rsidP="00925F26">
      <w:pPr>
        <w:autoSpaceDE w:val="0"/>
        <w:autoSpaceDN w:val="0"/>
        <w:adjustRightInd w:val="0"/>
        <w:jc w:val="both"/>
        <w:rPr>
          <w:color w:val="000000" w:themeColor="text1"/>
          <w:sz w:val="16"/>
          <w:szCs w:val="16"/>
        </w:rPr>
      </w:pPr>
    </w:p>
    <w:p w14:paraId="12AD9C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началось окружение немецкой группировки под Кенигсбергом (3481).</w:t>
      </w:r>
    </w:p>
    <w:p w14:paraId="294ABBC2" w14:textId="77777777" w:rsidR="00C2313B" w:rsidRPr="00925F26" w:rsidRDefault="00C2313B" w:rsidP="00925F26">
      <w:pPr>
        <w:autoSpaceDE w:val="0"/>
        <w:autoSpaceDN w:val="0"/>
        <w:adjustRightInd w:val="0"/>
        <w:jc w:val="both"/>
        <w:rPr>
          <w:color w:val="000000" w:themeColor="text1"/>
          <w:sz w:val="16"/>
          <w:szCs w:val="16"/>
        </w:rPr>
      </w:pPr>
    </w:p>
    <w:p w14:paraId="3311D64C"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января 1945 советской подлодкой (командир - А. Маринеско) у Данцига затоплен немецкий лайнер “Вильгельм Густлофф”, из-за чего погибли 7700 человек (самая большая морская катастрофа в истории) (4962).</w:t>
      </w:r>
    </w:p>
    <w:p w14:paraId="4E56ECC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7C5D5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А.И.Маринеско - капитан 3р С-13 - потопил немецкий лайнер Вильгельм Густлов (25.5 тыс. т) и погибли 3700 унтерофицеров - выпускников школы подводного плавания и 100 командиров подлодок, окончивших спецкурс по новым немецким подлодкам 21 серии и много другого начальства (2117).</w:t>
      </w:r>
    </w:p>
    <w:p w14:paraId="7BA7CE98" w14:textId="77777777" w:rsidR="00C2313B" w:rsidRPr="00925F26" w:rsidRDefault="00C2313B" w:rsidP="00925F26">
      <w:pPr>
        <w:autoSpaceDE w:val="0"/>
        <w:autoSpaceDN w:val="0"/>
        <w:adjustRightInd w:val="0"/>
        <w:jc w:val="both"/>
        <w:rPr>
          <w:color w:val="000000" w:themeColor="text1"/>
          <w:sz w:val="16"/>
          <w:szCs w:val="16"/>
        </w:rPr>
      </w:pPr>
    </w:p>
    <w:p w14:paraId="6FAD952D" w14:textId="77777777" w:rsidR="00590D1F" w:rsidRPr="00925F26" w:rsidRDefault="00590D1F" w:rsidP="00925F26">
      <w:pPr>
        <w:jc w:val="both"/>
        <w:rPr>
          <w:bCs/>
          <w:color w:val="000000" w:themeColor="text1"/>
          <w:sz w:val="16"/>
          <w:szCs w:val="16"/>
        </w:rPr>
      </w:pPr>
      <w:r w:rsidRPr="00925F26">
        <w:rPr>
          <w:bCs/>
          <w:color w:val="000000" w:themeColor="text1"/>
          <w:sz w:val="16"/>
          <w:szCs w:val="16"/>
        </w:rPr>
        <w:t>30 января</w:t>
      </w:r>
      <w:r w:rsidRPr="00925F26">
        <w:rPr>
          <w:color w:val="000000" w:themeColor="text1"/>
          <w:sz w:val="16"/>
          <w:szCs w:val="16"/>
        </w:rPr>
        <w:t xml:space="preserve"> в 1945 году в жестокий шторм около 23.00 подводная лодка «С-13» под командованием А.И.Маринеско потопила в Данцигской бухте на глазах кораблей охранения огромный фашистский лайнер «Вильгельм Густлов», на борту которого находился весь цвет германского подводного флота. Подвиг моряков-подводников был назван «атакой века». В Германии, как и после Сталинграда, был объявлен трехдневный траур. Командир конвоя был расстрелян пол личному приказу Адольфа Гитлера. Через несколько дней (9 февраля) тот же экипаж потопил еще одно вражеское судно - военный транспорт «Генерал фон Штойбен» с находившемся на нем личным составом танковой дивизии. За один боевой поход экипаж «С-13» отправил на дно около 10 тысяч фашистов, а капитан Маринеско был объявлен личным врагом Гитлера. Командир дивизиона подводных лодок А.Е.Орел представил Маринеско к присвоению звания Героя Советского Союза, а экипаж лодки - к присвоению почетного звания «Гвардейский». Ни первого, ни второго сделано не было из-за дисциплинарного проступка командира накануне выхода в море. Лишь в 1990 году Маринеско посмертно был удостоен заслуженной им награды.</w:t>
      </w:r>
    </w:p>
    <w:p w14:paraId="7140D834" w14:textId="77777777" w:rsidR="00590D1F" w:rsidRPr="00925F26" w:rsidRDefault="00590D1F" w:rsidP="00925F26">
      <w:pPr>
        <w:jc w:val="both"/>
        <w:rPr>
          <w:bCs/>
          <w:color w:val="000000" w:themeColor="text1"/>
          <w:sz w:val="16"/>
          <w:szCs w:val="16"/>
        </w:rPr>
      </w:pPr>
      <w:r w:rsidRPr="00925F26">
        <w:rPr>
          <w:color w:val="000000" w:themeColor="text1"/>
          <w:sz w:val="16"/>
          <w:szCs w:val="16"/>
        </w:rPr>
        <w:t>"Wilhelm Gustloff" (25484 брт, 208.5 м, 15.5 уз) - немецкий пассажирский лайнер, построенный в Гамбурге на верфи «Blohm&amp;Voss», принадлежавший немецкой организации «Kraft durch Freude – KdF» («Сила через радость»). Спущен на воду 5 мая 1937 года. После первого "презентационного" круиза, лайнер полтора года совершал круизные рейсы в рамках программы "Сила через радость" (предоставление дешёвых и доступных путешествий и круизов для немецких рабочих), успев совершить за это время 50 круизов. Лайнер также привлекался для возвращения немецких добровольцев Легиона «Кондор» из Испании. Во время Второй мировой войны использовался в качестве плавгоспиталя, плавказармы 2-ой учебной бригады подводников. В последний рейс "Wilhelm Gustloff" вышел 30 января 1945 года в 12:30 в сопровождении миноносца "Lowe" из Готенхафена. Потоплен в результате атаки ПЛ «С-13» в 23:10 (3 торпедных попадания). По официальным данным на нем находилось 6050 человек (918 курсантов младших групп 2-го учебного дивизиона подводных лодок, 373 из женской вспомогательной части флота, 162 раненых военнослужащих, 173 члена экипажа (гражданских моряков) и 4424 гражданских беженцев). Кроме 6050 человек, внесенных в списки, на борт "Густлова", возможно, удалось попасть еще до 2 тысяч гражданских беженцев. Всего было спасено 1239 человек. По современным данным на его борту должно было находиться 10 582 человека, из которых 8956 беженцев. Лодка продолжила поход и 6 февраля 1945 атаковала "Штойбен" (охранение - миноносец «Т-196» и торпедолов «TF-10»). На борту находилось 2680 раненых военнослужащих Вермахта, 100 солдат, около 900 беженцев, 270 человек медперсонала кригсмарине и 285 членов экипажа. Спасено 659 человек (в том числе около 350 раненых)</w:t>
      </w:r>
    </w:p>
    <w:p w14:paraId="5FB342A4" w14:textId="77777777" w:rsidR="00590D1F" w:rsidRPr="00925F26" w:rsidRDefault="00590D1F" w:rsidP="00925F26">
      <w:pPr>
        <w:jc w:val="both"/>
        <w:rPr>
          <w:color w:val="000000" w:themeColor="text1"/>
          <w:sz w:val="16"/>
          <w:szCs w:val="16"/>
        </w:rPr>
      </w:pPr>
      <w:r w:rsidRPr="00925F26">
        <w:rPr>
          <w:color w:val="000000" w:themeColor="text1"/>
          <w:sz w:val="16"/>
          <w:szCs w:val="16"/>
        </w:rPr>
        <w:t>"Steuben" ("General von Steuben", 14660 брт, 168 м, 16.5 уз) - немецкий пассажирский лайнер. Спущен на воду в 1922 году под названием «Мюнхен» (Munchen). В 1930 году лайнер сгорел в порту Нью-Йорка. После ремонта в 1931 году переименован в «Генерал Штойбен», а в 1938 году - в «Штойбен». Во время Второй Мировой войны до 1944 года лайнер использовался как гостиница для высшего командного состава Кригсмарине в Киле и Данциге, после 1944 судно было переоборудовано в госпитальное и участвовало в эвакуации людей из Восточной Пруссии (15025).</w:t>
      </w:r>
    </w:p>
    <w:p w14:paraId="7B10823D" w14:textId="77777777" w:rsidR="00590D1F" w:rsidRPr="00925F26" w:rsidRDefault="00590D1F" w:rsidP="00925F26">
      <w:pPr>
        <w:jc w:val="both"/>
        <w:rPr>
          <w:color w:val="000000" w:themeColor="text1"/>
          <w:sz w:val="16"/>
          <w:szCs w:val="16"/>
        </w:rPr>
      </w:pPr>
    </w:p>
    <w:p w14:paraId="4361573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85CD3BF" w14:textId="77777777" w:rsidR="00C2313B" w:rsidRPr="00925F26" w:rsidRDefault="00C2313B" w:rsidP="00925F26">
      <w:pPr>
        <w:autoSpaceDE w:val="0"/>
        <w:autoSpaceDN w:val="0"/>
        <w:adjustRightInd w:val="0"/>
        <w:jc w:val="both"/>
        <w:rPr>
          <w:iCs/>
          <w:color w:val="000000" w:themeColor="text1"/>
          <w:sz w:val="16"/>
          <w:szCs w:val="16"/>
        </w:rPr>
      </w:pPr>
    </w:p>
    <w:p w14:paraId="6C34014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января 1945 на Мальте встретились Рузвельт и Черчилль для подготовки единой программы перед встречей со Сталиным в Ялте (4962).</w:t>
      </w:r>
    </w:p>
    <w:p w14:paraId="2221F828"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C39D7A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января 1945 Гитлер назначил Геббельса “Защитником Берлина” (4962).</w:t>
      </w:r>
    </w:p>
    <w:p w14:paraId="2212A8DD"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0E4EA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 января 1945 союзники прошли Линию Зигфрида (2100).</w:t>
      </w:r>
    </w:p>
    <w:p w14:paraId="2906C28B" w14:textId="77777777" w:rsidR="00C2313B" w:rsidRPr="00925F26" w:rsidRDefault="00C2313B" w:rsidP="00925F26">
      <w:pPr>
        <w:autoSpaceDE w:val="0"/>
        <w:autoSpaceDN w:val="0"/>
        <w:adjustRightInd w:val="0"/>
        <w:jc w:val="both"/>
        <w:rPr>
          <w:color w:val="000000" w:themeColor="text1"/>
          <w:sz w:val="16"/>
          <w:szCs w:val="16"/>
        </w:rPr>
      </w:pPr>
    </w:p>
    <w:p w14:paraId="0362257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74501D4" w14:textId="77777777" w:rsidR="00C2313B" w:rsidRPr="00925F26" w:rsidRDefault="00C2313B" w:rsidP="00925F26">
      <w:pPr>
        <w:autoSpaceDE w:val="0"/>
        <w:autoSpaceDN w:val="0"/>
        <w:adjustRightInd w:val="0"/>
        <w:jc w:val="both"/>
        <w:rPr>
          <w:iCs/>
          <w:color w:val="000000" w:themeColor="text1"/>
          <w:sz w:val="16"/>
          <w:szCs w:val="16"/>
        </w:rPr>
      </w:pPr>
    </w:p>
    <w:p w14:paraId="73A70F67" w14:textId="77777777" w:rsidR="007919C3" w:rsidRPr="00925F26" w:rsidRDefault="007919C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января 1945 г. вышло заключении ЦАГИ о том, что в строевые части ушло свыше трех сотен самолетов Ил-10, имевших недостаточную прочность конструкции. Между тем анализ документов штурмовых авиаполков, ус</w:t>
      </w:r>
      <w:r w:rsidRPr="00925F26">
        <w:rPr>
          <w:color w:val="000000" w:themeColor="text1"/>
          <w:sz w:val="16"/>
          <w:szCs w:val="16"/>
        </w:rPr>
        <w:softHyphen/>
        <w:t>певших применить Ил-10 на фронте, показывает, что условия боевого применения нового штурмовика во всех случаях было типовым: атаки с пикирования под углами не более 30—35°. При этом в документах не было обнаружено ни одного упоми</w:t>
      </w:r>
      <w:r w:rsidRPr="00925F26">
        <w:rPr>
          <w:color w:val="000000" w:themeColor="text1"/>
          <w:sz w:val="16"/>
          <w:szCs w:val="16"/>
        </w:rPr>
        <w:softHyphen/>
        <w:t>нания о выполнении летчиками фигур высшего пилотажа (11474,512).</w:t>
      </w:r>
    </w:p>
    <w:p w14:paraId="6B06C552" w14:textId="77777777" w:rsidR="007919C3" w:rsidRPr="00925F26" w:rsidRDefault="007919C3" w:rsidP="00925F26">
      <w:pPr>
        <w:shd w:val="clear" w:color="auto" w:fill="FFFFFF"/>
        <w:autoSpaceDE w:val="0"/>
        <w:autoSpaceDN w:val="0"/>
        <w:adjustRightInd w:val="0"/>
        <w:jc w:val="both"/>
        <w:rPr>
          <w:color w:val="000000" w:themeColor="text1"/>
          <w:sz w:val="16"/>
          <w:szCs w:val="16"/>
        </w:rPr>
      </w:pPr>
    </w:p>
    <w:p w14:paraId="5D63FE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был подготовлен отчет N 62 о деятельности Мелецкого авиазавода (Польша):</w:t>
      </w:r>
    </w:p>
    <w:p w14:paraId="60294D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1 января 1945 выпущено 30 обтекателей Ил-2..." (2484).</w:t>
      </w:r>
    </w:p>
    <w:p w14:paraId="2B91DEE3" w14:textId="77777777" w:rsidR="00C2313B" w:rsidRPr="00925F26" w:rsidRDefault="00C2313B" w:rsidP="00925F26">
      <w:pPr>
        <w:autoSpaceDE w:val="0"/>
        <w:autoSpaceDN w:val="0"/>
        <w:adjustRightInd w:val="0"/>
        <w:jc w:val="both"/>
        <w:rPr>
          <w:color w:val="000000" w:themeColor="text1"/>
          <w:sz w:val="16"/>
          <w:szCs w:val="16"/>
        </w:rPr>
      </w:pPr>
    </w:p>
    <w:p w14:paraId="1620862E" w14:textId="77777777" w:rsidR="00561026" w:rsidRPr="00925F26" w:rsidRDefault="00561026" w:rsidP="00925F26">
      <w:pPr>
        <w:jc w:val="both"/>
        <w:rPr>
          <w:color w:val="000000" w:themeColor="text1"/>
          <w:sz w:val="16"/>
          <w:szCs w:val="16"/>
        </w:rPr>
      </w:pPr>
      <w:r w:rsidRPr="00925F26">
        <w:rPr>
          <w:rStyle w:val="107"/>
          <w:rFonts w:eastAsiaTheme="minorHAnsi"/>
          <w:color w:val="000000" w:themeColor="text1"/>
          <w:sz w:val="16"/>
          <w:szCs w:val="16"/>
        </w:rPr>
        <w:t>31 января 1945 вышел совместный ВВС и НКАП приказ № 32сс/004 «О выпуске самолетов Ил-10 с установкой пушки Березина 20 мм на заводах № 1 и № 18». По этому приказу замнаркома А. И. Кузнецов и директора заводов № 1 и № 18 В. Я. Литвинов и А. А. Белянский обязывались в феврале изготовить по 30, в марте - по 75, а с апреля - «перейти полностью на выпуск самолетов Ил-10 с установкой ВУ-9 и пушкой Березина 20 мм» (17490).</w:t>
      </w:r>
    </w:p>
    <w:p w14:paraId="78C852C6" w14:textId="77777777" w:rsidR="00561026" w:rsidRPr="00925F26" w:rsidRDefault="00561026" w:rsidP="00925F26">
      <w:pPr>
        <w:jc w:val="both"/>
        <w:rPr>
          <w:color w:val="000000" w:themeColor="text1"/>
          <w:sz w:val="16"/>
          <w:szCs w:val="16"/>
        </w:rPr>
      </w:pPr>
    </w:p>
    <w:p w14:paraId="381C5B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закончились заводские испытания на ЦА Як-3Т и 9, которые проводились с 19 января 1945 и в тот же день его передали на гос. испытания в НИИ ВВС (65,181).</w:t>
      </w:r>
    </w:p>
    <w:p w14:paraId="32EA9658" w14:textId="77777777" w:rsidR="00C2313B" w:rsidRPr="00925F26" w:rsidRDefault="00C2313B" w:rsidP="00925F26">
      <w:pPr>
        <w:autoSpaceDE w:val="0"/>
        <w:autoSpaceDN w:val="0"/>
        <w:adjustRightInd w:val="0"/>
        <w:jc w:val="both"/>
        <w:rPr>
          <w:color w:val="000000" w:themeColor="text1"/>
          <w:sz w:val="16"/>
          <w:szCs w:val="16"/>
        </w:rPr>
      </w:pPr>
    </w:p>
    <w:p w14:paraId="6C967C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31 января по 20 декабря 1945 проходили заводские испытания Су-7 с АШ-82ФН и РД-1 (200,42).</w:t>
      </w:r>
    </w:p>
    <w:p w14:paraId="642D15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Летал Г.Н.Комаров и во время заводских испытаний было выполнено 84 пуска РД-1 и РД-1ХЗ с общей наработкой 29 мин, включая 10 мин. в воздухе. Мак. скорость - 597 км/час на 6000 м, а прирост - 91 км/час (173,417).</w:t>
      </w:r>
    </w:p>
    <w:p w14:paraId="30A4B8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испытания шли до 10 февраля 1945, а потом ставили РД-ХЗ и вновь испытывали с 28 августа по 19 декабря 1945 (1454,65).</w:t>
      </w:r>
    </w:p>
    <w:p w14:paraId="3A3B8B7E" w14:textId="77777777" w:rsidR="00C2313B" w:rsidRPr="00925F26" w:rsidRDefault="00C2313B" w:rsidP="00925F26">
      <w:pPr>
        <w:autoSpaceDE w:val="0"/>
        <w:autoSpaceDN w:val="0"/>
        <w:adjustRightInd w:val="0"/>
        <w:jc w:val="both"/>
        <w:rPr>
          <w:color w:val="000000" w:themeColor="text1"/>
          <w:sz w:val="16"/>
          <w:szCs w:val="16"/>
        </w:rPr>
      </w:pPr>
    </w:p>
    <w:p w14:paraId="19632A2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C54072A" w14:textId="77777777" w:rsidR="00C2313B" w:rsidRPr="00925F26" w:rsidRDefault="00C2313B" w:rsidP="00925F26">
      <w:pPr>
        <w:autoSpaceDE w:val="0"/>
        <w:autoSpaceDN w:val="0"/>
        <w:adjustRightInd w:val="0"/>
        <w:jc w:val="both"/>
        <w:rPr>
          <w:iCs/>
          <w:color w:val="000000" w:themeColor="text1"/>
          <w:sz w:val="16"/>
          <w:szCs w:val="16"/>
        </w:rPr>
      </w:pPr>
    </w:p>
    <w:p w14:paraId="6ED33EB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января 1945 года приказ № 40сс НКБ Москва</w:t>
      </w:r>
    </w:p>
    <w:p w14:paraId="391904F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целях надлежащей организации работ по разработке конструкций неконтактных (автоматических) взрывателей для снарядов зенитной артиллерии и авиабомб:</w:t>
      </w:r>
    </w:p>
    <w:p w14:paraId="0FDF2FC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Восстановить на базе ОКБ завода № 521 Госинститут № 44.</w:t>
      </w:r>
    </w:p>
    <w:p w14:paraId="003793F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Приказы за №№ 353сс от 3 августа 1941 года и 433 от 20 августа 1941 года о реорганизации в связи с эвакуацией из Ленинграда, ГСИ-44 в Конструкторский отдел завода № 521 и о передаче кадров, оборудования и имущества Института заводу – отменить, как изданное без решения Правительства (5756, 43).</w:t>
      </w:r>
    </w:p>
    <w:p w14:paraId="6F33716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8328354" w14:textId="77777777" w:rsidR="007919C3" w:rsidRPr="00925F26" w:rsidRDefault="007919C3" w:rsidP="00925F26">
      <w:pPr>
        <w:jc w:val="both"/>
        <w:rPr>
          <w:color w:val="000000" w:themeColor="text1"/>
          <w:sz w:val="16"/>
          <w:szCs w:val="16"/>
        </w:rPr>
      </w:pPr>
      <w:r w:rsidRPr="00925F26">
        <w:rPr>
          <w:color w:val="000000" w:themeColor="text1"/>
          <w:sz w:val="16"/>
          <w:szCs w:val="16"/>
        </w:rPr>
        <w:t>31 января 1945 года на полигоне под Ипсвичем нашим военным провели демонстрацию Churchill VII Crocodile. Дальность пуска на испытаниях составила 110 метров. По факту Churchill VII Crocodile мог плеваться еще дальше - до 140 метров. Это был рекорд для огнеметных танков. Надо сказать, что поначалу НИБТ Полигон отнесся к заданию довольно халтурно, поставив краткую характеристику машины и упустив ряд моментов. В результате генерал-лейтенант танковых войск Б.Г. Вершинин, начальник ГБТУ КА, подверг работу полигона острой критике. 2 июля 1945 года сверху спустили резолюцию провести работу нормально, а не спустя рукава. Случай не единичный, претензии к описаниям иностранных танков звучали и ранее (23352).</w:t>
      </w:r>
    </w:p>
    <w:p w14:paraId="14E4D00F" w14:textId="77777777" w:rsidR="007919C3" w:rsidRPr="00925F26" w:rsidRDefault="007919C3" w:rsidP="00925F26">
      <w:pPr>
        <w:jc w:val="both"/>
        <w:rPr>
          <w:color w:val="000000" w:themeColor="text1"/>
          <w:sz w:val="16"/>
          <w:szCs w:val="16"/>
        </w:rPr>
      </w:pPr>
    </w:p>
    <w:p w14:paraId="239313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года была подготовлена справка:</w:t>
      </w:r>
    </w:p>
    <w:p w14:paraId="5C529C0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Чебаркульский завод № 701 НК чермета (8973).</w:t>
      </w:r>
    </w:p>
    <w:p w14:paraId="6837AE39" w14:textId="77777777" w:rsidR="00C2313B" w:rsidRPr="00925F26" w:rsidRDefault="00C2313B" w:rsidP="00925F26">
      <w:pPr>
        <w:autoSpaceDE w:val="0"/>
        <w:autoSpaceDN w:val="0"/>
        <w:adjustRightInd w:val="0"/>
        <w:jc w:val="both"/>
        <w:rPr>
          <w:iCs/>
          <w:color w:val="000000" w:themeColor="text1"/>
          <w:sz w:val="16"/>
          <w:szCs w:val="16"/>
        </w:rPr>
      </w:pPr>
    </w:p>
    <w:p w14:paraId="3B23B5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была подготовлена справка:</w:t>
      </w:r>
    </w:p>
    <w:p w14:paraId="63E650BF" w14:textId="77777777" w:rsidR="00C2313B" w:rsidRPr="00925F26" w:rsidRDefault="00C2313B" w:rsidP="00925F26">
      <w:pPr>
        <w:jc w:val="both"/>
        <w:rPr>
          <w:color w:val="000000" w:themeColor="text1"/>
          <w:sz w:val="16"/>
          <w:szCs w:val="16"/>
        </w:rPr>
      </w:pPr>
      <w:r w:rsidRPr="00925F26">
        <w:rPr>
          <w:color w:val="000000" w:themeColor="text1"/>
          <w:sz w:val="16"/>
          <w:szCs w:val="16"/>
        </w:rPr>
        <w:t>О работе Норильского комбината НКВД СССР в годы войны</w:t>
      </w:r>
    </w:p>
    <w:p w14:paraId="15B4AE18" w14:textId="77777777" w:rsidR="00C2313B" w:rsidRPr="00925F26" w:rsidRDefault="00C2313B" w:rsidP="00925F26">
      <w:pPr>
        <w:jc w:val="both"/>
        <w:rPr>
          <w:color w:val="000000" w:themeColor="text1"/>
          <w:sz w:val="16"/>
          <w:szCs w:val="16"/>
        </w:rPr>
      </w:pPr>
      <w:r w:rsidRPr="00925F26">
        <w:rPr>
          <w:color w:val="000000" w:themeColor="text1"/>
          <w:sz w:val="16"/>
          <w:szCs w:val="16"/>
        </w:rPr>
        <w:t>Справка начальника Норильского комбината НКВД СССР в Красноярский крайком ВКП (б)</w:t>
      </w:r>
    </w:p>
    <w:p w14:paraId="4F8788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Норильск 31 января 1945 г.</w:t>
      </w:r>
    </w:p>
    <w:p w14:paraId="1D7D9F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77615D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Секретарю Красноярского крайкома ВКП (б)</w:t>
      </w:r>
    </w:p>
    <w:tbl>
      <w:tblPr>
        <w:tblW w:w="0" w:type="auto"/>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253"/>
        <w:gridCol w:w="1213"/>
        <w:gridCol w:w="1199"/>
        <w:gridCol w:w="1134"/>
        <w:gridCol w:w="1082"/>
        <w:gridCol w:w="921"/>
        <w:gridCol w:w="19"/>
      </w:tblGrid>
      <w:tr w:rsidR="000F5689" w:rsidRPr="00925F26" w14:paraId="792BCFEB" w14:textId="77777777">
        <w:trPr>
          <w:cantSplit/>
        </w:trPr>
        <w:tc>
          <w:tcPr>
            <w:tcW w:w="4253" w:type="dxa"/>
          </w:tcPr>
          <w:p w14:paraId="6D4C96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Показатели</w:t>
            </w:r>
          </w:p>
        </w:tc>
        <w:tc>
          <w:tcPr>
            <w:tcW w:w="1213" w:type="dxa"/>
          </w:tcPr>
          <w:p w14:paraId="2E3A2D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Ед[ени-ца] изм[ерения]</w:t>
            </w:r>
          </w:p>
          <w:p w14:paraId="08F9BAD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F81F5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Годы</w:t>
            </w:r>
          </w:p>
        </w:tc>
        <w:tc>
          <w:tcPr>
            <w:tcW w:w="1134" w:type="dxa"/>
          </w:tcPr>
          <w:p w14:paraId="67A460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1080" w:type="dxa"/>
          </w:tcPr>
          <w:p w14:paraId="2817E7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Фактич[ески]</w:t>
            </w:r>
          </w:p>
          <w:p w14:paraId="381AAACB"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72170BC7"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373601D" w14:textId="77777777">
        <w:trPr>
          <w:gridAfter w:val="1"/>
          <w:wAfter w:w="18" w:type="dxa"/>
          <w:cantSplit/>
          <w:trHeight w:val="381"/>
        </w:trPr>
        <w:tc>
          <w:tcPr>
            <w:tcW w:w="4253" w:type="dxa"/>
          </w:tcPr>
          <w:p w14:paraId="20D469AD" w14:textId="77777777" w:rsidR="00C2313B" w:rsidRPr="00925F26" w:rsidRDefault="00C2313B" w:rsidP="00925F26">
            <w:pPr>
              <w:autoSpaceDE w:val="0"/>
              <w:autoSpaceDN w:val="0"/>
              <w:adjustRightInd w:val="0"/>
              <w:jc w:val="both"/>
              <w:rPr>
                <w:color w:val="000000" w:themeColor="text1"/>
                <w:sz w:val="16"/>
                <w:szCs w:val="16"/>
              </w:rPr>
            </w:pPr>
          </w:p>
          <w:p w14:paraId="0FE6DC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Валовая продукция в неизменных ценах 26/27 года</w:t>
            </w:r>
          </w:p>
          <w:p w14:paraId="26ADAA7A"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6F71CFED" w14:textId="77777777" w:rsidR="00C2313B" w:rsidRPr="00925F26" w:rsidRDefault="00C2313B" w:rsidP="00925F26">
            <w:pPr>
              <w:autoSpaceDE w:val="0"/>
              <w:autoSpaceDN w:val="0"/>
              <w:adjustRightInd w:val="0"/>
              <w:jc w:val="both"/>
              <w:rPr>
                <w:color w:val="000000" w:themeColor="text1"/>
                <w:sz w:val="16"/>
                <w:szCs w:val="16"/>
              </w:rPr>
            </w:pPr>
          </w:p>
          <w:p w14:paraId="7C42AD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Т[ысяч] р[уб].</w:t>
            </w:r>
          </w:p>
          <w:p w14:paraId="25064797"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7CF521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631BCD69"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5631</w:t>
            </w:r>
          </w:p>
        </w:tc>
        <w:tc>
          <w:tcPr>
            <w:tcW w:w="1082" w:type="dxa"/>
          </w:tcPr>
          <w:p w14:paraId="3CA424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9191</w:t>
            </w:r>
          </w:p>
          <w:p w14:paraId="0010067F"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20" w:type="dxa"/>
          </w:tcPr>
          <w:p w14:paraId="01D5D5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w:t>
            </w:r>
          </w:p>
        </w:tc>
      </w:tr>
      <w:tr w:rsidR="000F5689" w:rsidRPr="00925F26" w14:paraId="05313D53" w14:textId="77777777">
        <w:trPr>
          <w:gridAfter w:val="1"/>
          <w:wAfter w:w="18" w:type="dxa"/>
          <w:cantSplit/>
          <w:trHeight w:val="385"/>
        </w:trPr>
        <w:tc>
          <w:tcPr>
            <w:tcW w:w="4253" w:type="dxa"/>
          </w:tcPr>
          <w:p w14:paraId="7C3AE8E1"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7B04FE28"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09974D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0C82230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6662</w:t>
            </w:r>
          </w:p>
        </w:tc>
        <w:tc>
          <w:tcPr>
            <w:tcW w:w="1082" w:type="dxa"/>
          </w:tcPr>
          <w:p w14:paraId="77872B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10731</w:t>
            </w:r>
          </w:p>
          <w:p w14:paraId="17A334B0"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20" w:type="dxa"/>
          </w:tcPr>
          <w:p w14:paraId="6B28F7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161</w:t>
            </w:r>
          </w:p>
          <w:p w14:paraId="1DA2AF71"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07DE5172" w14:textId="77777777">
        <w:trPr>
          <w:gridAfter w:val="1"/>
          <w:wAfter w:w="18" w:type="dxa"/>
          <w:cantSplit/>
          <w:trHeight w:val="385"/>
        </w:trPr>
        <w:tc>
          <w:tcPr>
            <w:tcW w:w="4253" w:type="dxa"/>
          </w:tcPr>
          <w:p w14:paraId="4D0A4044"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1D504380"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2B3A54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77C1D149"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22283</w:t>
            </w:r>
          </w:p>
        </w:tc>
        <w:tc>
          <w:tcPr>
            <w:tcW w:w="1082" w:type="dxa"/>
          </w:tcPr>
          <w:p w14:paraId="6186D5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23296</w:t>
            </w:r>
          </w:p>
          <w:p w14:paraId="0CB002A5"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20" w:type="dxa"/>
          </w:tcPr>
          <w:p w14:paraId="57623A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w:t>
            </w:r>
          </w:p>
          <w:p w14:paraId="6E608514"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4034D2B9" w14:textId="77777777">
        <w:trPr>
          <w:gridAfter w:val="1"/>
          <w:wAfter w:w="18" w:type="dxa"/>
          <w:cantSplit/>
          <w:trHeight w:val="385"/>
        </w:trPr>
        <w:tc>
          <w:tcPr>
            <w:tcW w:w="4253" w:type="dxa"/>
          </w:tcPr>
          <w:p w14:paraId="76E73B95"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1FE5B3AC"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4A2AA0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6064F8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44334</w:t>
            </w:r>
          </w:p>
          <w:p w14:paraId="1C92CDAA"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1082" w:type="dxa"/>
          </w:tcPr>
          <w:p w14:paraId="46E8C6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25319</w:t>
            </w:r>
          </w:p>
          <w:p w14:paraId="6B0F45F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20" w:type="dxa"/>
          </w:tcPr>
          <w:p w14:paraId="43FCD1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57</w:t>
            </w:r>
          </w:p>
          <w:p w14:paraId="54EDC1E8"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3F78FC7D" w14:textId="77777777">
        <w:trPr>
          <w:gridAfter w:val="1"/>
          <w:wAfter w:w="18" w:type="dxa"/>
          <w:cantSplit/>
          <w:trHeight w:val="385"/>
        </w:trPr>
        <w:tc>
          <w:tcPr>
            <w:tcW w:w="4253" w:type="dxa"/>
          </w:tcPr>
          <w:p w14:paraId="4584DD32"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1526A6C7"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06D8CB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45F38D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34260</w:t>
            </w:r>
          </w:p>
          <w:p w14:paraId="2B7E483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1082" w:type="dxa"/>
          </w:tcPr>
          <w:p w14:paraId="26A5EE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38382</w:t>
            </w:r>
          </w:p>
          <w:p w14:paraId="46CBDEBA"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20" w:type="dxa"/>
          </w:tcPr>
          <w:p w14:paraId="162C5D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112</w:t>
            </w:r>
          </w:p>
          <w:p w14:paraId="3F01B491"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2F6E5C32" w14:textId="77777777">
        <w:trPr>
          <w:cantSplit/>
        </w:trPr>
        <w:tc>
          <w:tcPr>
            <w:tcW w:w="4253" w:type="dxa"/>
          </w:tcPr>
          <w:p w14:paraId="1F7B0A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Товарная продукция в действующих отпускных ценах</w:t>
            </w:r>
          </w:p>
          <w:p w14:paraId="4E590CB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949D0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Т[ысяч] р[уб].</w:t>
            </w:r>
          </w:p>
          <w:p w14:paraId="2FE0E506"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1BED1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706E5552"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20791</w:t>
            </w:r>
          </w:p>
        </w:tc>
        <w:tc>
          <w:tcPr>
            <w:tcW w:w="1080" w:type="dxa"/>
          </w:tcPr>
          <w:p w14:paraId="53CC19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33781</w:t>
            </w:r>
          </w:p>
          <w:p w14:paraId="57EE02C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60EE42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243C97D2" w14:textId="77777777">
        <w:trPr>
          <w:cantSplit/>
        </w:trPr>
        <w:tc>
          <w:tcPr>
            <w:tcW w:w="4253" w:type="dxa"/>
          </w:tcPr>
          <w:p w14:paraId="37D3B073"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F24EDC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6C339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1A7612B3"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20894</w:t>
            </w:r>
          </w:p>
        </w:tc>
        <w:tc>
          <w:tcPr>
            <w:tcW w:w="1080" w:type="dxa"/>
          </w:tcPr>
          <w:p w14:paraId="3EB827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44415</w:t>
            </w:r>
          </w:p>
          <w:p w14:paraId="39C4EF5A"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531F14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149</w:t>
            </w:r>
          </w:p>
          <w:p w14:paraId="6A50438E"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3B548519" w14:textId="77777777">
        <w:trPr>
          <w:cantSplit/>
        </w:trPr>
        <w:tc>
          <w:tcPr>
            <w:tcW w:w="4253" w:type="dxa"/>
          </w:tcPr>
          <w:p w14:paraId="43992915"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5C9E3A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D2F02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5F86FA4B"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r w:rsidRPr="00925F26">
              <w:rPr>
                <w:color w:val="000000" w:themeColor="text1"/>
                <w:sz w:val="16"/>
                <w:szCs w:val="16"/>
              </w:rPr>
              <w:t>107242</w:t>
            </w:r>
          </w:p>
        </w:tc>
        <w:tc>
          <w:tcPr>
            <w:tcW w:w="1080" w:type="dxa"/>
          </w:tcPr>
          <w:p w14:paraId="583CFF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107408</w:t>
            </w:r>
          </w:p>
          <w:p w14:paraId="372ADB9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0237B8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w:t>
            </w:r>
          </w:p>
          <w:p w14:paraId="2E9F9644"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54CF7485" w14:textId="77777777">
        <w:trPr>
          <w:cantSplit/>
        </w:trPr>
        <w:tc>
          <w:tcPr>
            <w:tcW w:w="4253" w:type="dxa"/>
          </w:tcPr>
          <w:p w14:paraId="3482EB1F"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D82D257"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ECC11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35C530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175204</w:t>
            </w:r>
          </w:p>
          <w:p w14:paraId="68E0B245"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1080" w:type="dxa"/>
          </w:tcPr>
          <w:p w14:paraId="0F2402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92498</w:t>
            </w:r>
          </w:p>
          <w:p w14:paraId="7393A2C3"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01D800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53</w:t>
            </w:r>
          </w:p>
          <w:p w14:paraId="56995E9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578C541A" w14:textId="77777777">
        <w:trPr>
          <w:cantSplit/>
        </w:trPr>
        <w:tc>
          <w:tcPr>
            <w:tcW w:w="4253" w:type="dxa"/>
          </w:tcPr>
          <w:p w14:paraId="35B5E7B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E87F3D6"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0A218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459B9C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127300</w:t>
            </w:r>
          </w:p>
          <w:p w14:paraId="7DCC9094"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1080" w:type="dxa"/>
          </w:tcPr>
          <w:p w14:paraId="2BD38A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138135</w:t>
            </w:r>
          </w:p>
          <w:p w14:paraId="6D774F1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1522EA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108</w:t>
            </w:r>
          </w:p>
          <w:p w14:paraId="777B7D8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55039DCD" w14:textId="77777777">
        <w:trPr>
          <w:cantSplit/>
        </w:trPr>
        <w:tc>
          <w:tcPr>
            <w:tcW w:w="4253" w:type="dxa"/>
          </w:tcPr>
          <w:p w14:paraId="3D8347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Численность персонала по производству Норильского комбината</w:t>
            </w:r>
          </w:p>
          <w:p w14:paraId="704E9277"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155C8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Чел[овек]</w:t>
            </w:r>
          </w:p>
        </w:tc>
        <w:tc>
          <w:tcPr>
            <w:tcW w:w="1197" w:type="dxa"/>
          </w:tcPr>
          <w:p w14:paraId="22F9DE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66DF3B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13614</w:t>
            </w:r>
          </w:p>
        </w:tc>
        <w:tc>
          <w:tcPr>
            <w:tcW w:w="1080" w:type="dxa"/>
          </w:tcPr>
          <w:p w14:paraId="1CF4DC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14212</w:t>
            </w:r>
          </w:p>
        </w:tc>
        <w:tc>
          <w:tcPr>
            <w:tcW w:w="940" w:type="dxa"/>
            <w:gridSpan w:val="2"/>
          </w:tcPr>
          <w:p w14:paraId="78C042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w:t>
            </w:r>
          </w:p>
          <w:p w14:paraId="02C830C5"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5DC73434" w14:textId="77777777">
        <w:trPr>
          <w:cantSplit/>
        </w:trPr>
        <w:tc>
          <w:tcPr>
            <w:tcW w:w="4253" w:type="dxa"/>
          </w:tcPr>
          <w:p w14:paraId="06C9B013"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27470EB"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81C9A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0C6788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15103</w:t>
            </w:r>
          </w:p>
        </w:tc>
        <w:tc>
          <w:tcPr>
            <w:tcW w:w="1080" w:type="dxa"/>
          </w:tcPr>
          <w:p w14:paraId="7AF699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14982</w:t>
            </w:r>
          </w:p>
        </w:tc>
        <w:tc>
          <w:tcPr>
            <w:tcW w:w="940" w:type="dxa"/>
            <w:gridSpan w:val="2"/>
          </w:tcPr>
          <w:p w14:paraId="616AA1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99</w:t>
            </w:r>
          </w:p>
          <w:p w14:paraId="52CB56A1"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73611C69" w14:textId="77777777">
        <w:trPr>
          <w:cantSplit/>
        </w:trPr>
        <w:tc>
          <w:tcPr>
            <w:tcW w:w="4253" w:type="dxa"/>
          </w:tcPr>
          <w:p w14:paraId="3E2AA74D"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5610AD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6E9BA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7F94D1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22858</w:t>
            </w:r>
          </w:p>
        </w:tc>
        <w:tc>
          <w:tcPr>
            <w:tcW w:w="1080" w:type="dxa"/>
          </w:tcPr>
          <w:p w14:paraId="0B486A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21422</w:t>
            </w:r>
          </w:p>
        </w:tc>
        <w:tc>
          <w:tcPr>
            <w:tcW w:w="940" w:type="dxa"/>
            <w:gridSpan w:val="2"/>
          </w:tcPr>
          <w:p w14:paraId="743A80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94</w:t>
            </w:r>
          </w:p>
          <w:p w14:paraId="034E7167"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7F342A7C" w14:textId="77777777">
        <w:trPr>
          <w:cantSplit/>
        </w:trPr>
        <w:tc>
          <w:tcPr>
            <w:tcW w:w="4253" w:type="dxa"/>
          </w:tcPr>
          <w:p w14:paraId="6F8BD77D"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2D6C42E"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430F6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457115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40794</w:t>
            </w:r>
          </w:p>
        </w:tc>
        <w:tc>
          <w:tcPr>
            <w:tcW w:w="1080" w:type="dxa"/>
          </w:tcPr>
          <w:p w14:paraId="1E626C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30815</w:t>
            </w:r>
          </w:p>
        </w:tc>
        <w:tc>
          <w:tcPr>
            <w:tcW w:w="940" w:type="dxa"/>
            <w:gridSpan w:val="2"/>
          </w:tcPr>
          <w:p w14:paraId="40F00B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w:t>
            </w:r>
          </w:p>
          <w:p w14:paraId="53EE7CBC"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514747F6" w14:textId="77777777">
        <w:trPr>
          <w:cantSplit/>
        </w:trPr>
        <w:tc>
          <w:tcPr>
            <w:tcW w:w="4253" w:type="dxa"/>
          </w:tcPr>
          <w:p w14:paraId="0F4ED05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5D9C0FE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71AA0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637B07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44075</w:t>
            </w:r>
          </w:p>
        </w:tc>
        <w:tc>
          <w:tcPr>
            <w:tcW w:w="1080" w:type="dxa"/>
          </w:tcPr>
          <w:p w14:paraId="01CBB4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36248</w:t>
            </w:r>
          </w:p>
        </w:tc>
        <w:tc>
          <w:tcPr>
            <w:tcW w:w="940" w:type="dxa"/>
            <w:gridSpan w:val="2"/>
          </w:tcPr>
          <w:p w14:paraId="7ECD07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w:t>
            </w:r>
          </w:p>
          <w:p w14:paraId="1A9B4232" w14:textId="77777777" w:rsidR="00C2313B" w:rsidRPr="00925F26" w:rsidRDefault="00C2313B" w:rsidP="00925F26">
            <w:pPr>
              <w:tabs>
                <w:tab w:val="left" w:pos="1782"/>
                <w:tab w:val="left" w:pos="2844"/>
              </w:tabs>
              <w:autoSpaceDE w:val="0"/>
              <w:autoSpaceDN w:val="0"/>
              <w:adjustRightInd w:val="0"/>
              <w:jc w:val="both"/>
              <w:rPr>
                <w:color w:val="000000" w:themeColor="text1"/>
                <w:sz w:val="16"/>
                <w:szCs w:val="16"/>
              </w:rPr>
            </w:pPr>
          </w:p>
        </w:tc>
      </w:tr>
      <w:tr w:rsidR="000F5689" w:rsidRPr="00925F26" w14:paraId="6663B2CA" w14:textId="77777777">
        <w:trPr>
          <w:cantSplit/>
        </w:trPr>
        <w:tc>
          <w:tcPr>
            <w:tcW w:w="4253" w:type="dxa"/>
          </w:tcPr>
          <w:p w14:paraId="36A093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Выполнение производственных норм в процентах</w:t>
            </w:r>
          </w:p>
        </w:tc>
        <w:tc>
          <w:tcPr>
            <w:tcW w:w="1213" w:type="dxa"/>
          </w:tcPr>
          <w:p w14:paraId="49423F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97" w:type="dxa"/>
          </w:tcPr>
          <w:p w14:paraId="0D83A2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0DFBED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14C296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119</w:t>
            </w:r>
          </w:p>
        </w:tc>
        <w:tc>
          <w:tcPr>
            <w:tcW w:w="940" w:type="dxa"/>
            <w:gridSpan w:val="2"/>
          </w:tcPr>
          <w:p w14:paraId="081345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069BA6F" w14:textId="77777777">
        <w:trPr>
          <w:cantSplit/>
        </w:trPr>
        <w:tc>
          <w:tcPr>
            <w:tcW w:w="4253" w:type="dxa"/>
          </w:tcPr>
          <w:p w14:paraId="19CEE626"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15FEF76"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87249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63779F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F4141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127</w:t>
            </w:r>
          </w:p>
        </w:tc>
        <w:tc>
          <w:tcPr>
            <w:tcW w:w="940" w:type="dxa"/>
            <w:gridSpan w:val="2"/>
          </w:tcPr>
          <w:p w14:paraId="0580FC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DC0B219" w14:textId="77777777">
        <w:trPr>
          <w:cantSplit/>
        </w:trPr>
        <w:tc>
          <w:tcPr>
            <w:tcW w:w="4253" w:type="dxa"/>
          </w:tcPr>
          <w:p w14:paraId="33220267"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AC2E73C"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22DBD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0FB922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4C70B0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940" w:type="dxa"/>
            <w:gridSpan w:val="2"/>
          </w:tcPr>
          <w:p w14:paraId="1A1EE1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BCC4B43" w14:textId="77777777">
        <w:trPr>
          <w:cantSplit/>
        </w:trPr>
        <w:tc>
          <w:tcPr>
            <w:tcW w:w="4253" w:type="dxa"/>
          </w:tcPr>
          <w:p w14:paraId="547D3FE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40A2E9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5A9C8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0D7F62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AE33E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122</w:t>
            </w:r>
          </w:p>
        </w:tc>
        <w:tc>
          <w:tcPr>
            <w:tcW w:w="940" w:type="dxa"/>
            <w:gridSpan w:val="2"/>
          </w:tcPr>
          <w:p w14:paraId="2AE5C5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91F1D4B" w14:textId="77777777">
        <w:trPr>
          <w:cantSplit/>
        </w:trPr>
        <w:tc>
          <w:tcPr>
            <w:tcW w:w="4253" w:type="dxa"/>
          </w:tcPr>
          <w:p w14:paraId="77703994"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75DE6B7"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868CF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47E867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9EA7E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940" w:type="dxa"/>
            <w:gridSpan w:val="2"/>
          </w:tcPr>
          <w:p w14:paraId="7402C3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81AA25D" w14:textId="77777777">
        <w:trPr>
          <w:cantSplit/>
        </w:trPr>
        <w:tc>
          <w:tcPr>
            <w:tcW w:w="4253" w:type="dxa"/>
          </w:tcPr>
          <w:p w14:paraId="29B37D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Выработка на производстве рабочего по валовой продукции в рублях по ценам 26/27 г.</w:t>
            </w:r>
          </w:p>
        </w:tc>
        <w:tc>
          <w:tcPr>
            <w:tcW w:w="1213" w:type="dxa"/>
          </w:tcPr>
          <w:p w14:paraId="65D5B9EE"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34ABB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74F88D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2620</w:t>
            </w:r>
          </w:p>
        </w:tc>
        <w:tc>
          <w:tcPr>
            <w:tcW w:w="1080" w:type="dxa"/>
          </w:tcPr>
          <w:p w14:paraId="7E5AD0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40" w:type="dxa"/>
            <w:gridSpan w:val="2"/>
          </w:tcPr>
          <w:p w14:paraId="7D0587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115</w:t>
            </w:r>
          </w:p>
        </w:tc>
      </w:tr>
      <w:tr w:rsidR="000F5689" w:rsidRPr="00925F26" w14:paraId="024474F9" w14:textId="77777777">
        <w:trPr>
          <w:cantSplit/>
        </w:trPr>
        <w:tc>
          <w:tcPr>
            <w:tcW w:w="4253" w:type="dxa"/>
          </w:tcPr>
          <w:p w14:paraId="10D39CE2"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1364E70"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B6BEB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36303B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2145</w:t>
            </w:r>
          </w:p>
        </w:tc>
        <w:tc>
          <w:tcPr>
            <w:tcW w:w="1080" w:type="dxa"/>
          </w:tcPr>
          <w:p w14:paraId="73668D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3050</w:t>
            </w:r>
          </w:p>
        </w:tc>
        <w:tc>
          <w:tcPr>
            <w:tcW w:w="940" w:type="dxa"/>
            <w:gridSpan w:val="2"/>
          </w:tcPr>
          <w:p w14:paraId="40406A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172</w:t>
            </w:r>
          </w:p>
        </w:tc>
      </w:tr>
      <w:tr w:rsidR="000F5689" w:rsidRPr="00925F26" w14:paraId="0C6BB24F" w14:textId="77777777">
        <w:trPr>
          <w:cantSplit/>
        </w:trPr>
        <w:tc>
          <w:tcPr>
            <w:tcW w:w="4253" w:type="dxa"/>
          </w:tcPr>
          <w:p w14:paraId="17482E74"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72AE23F"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3366E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6A2775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3080</w:t>
            </w:r>
          </w:p>
        </w:tc>
        <w:tc>
          <w:tcPr>
            <w:tcW w:w="1080" w:type="dxa"/>
          </w:tcPr>
          <w:p w14:paraId="06C83F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3682</w:t>
            </w:r>
          </w:p>
        </w:tc>
        <w:tc>
          <w:tcPr>
            <w:tcW w:w="940" w:type="dxa"/>
            <w:gridSpan w:val="2"/>
          </w:tcPr>
          <w:p w14:paraId="4B335C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119</w:t>
            </w:r>
          </w:p>
        </w:tc>
      </w:tr>
      <w:tr w:rsidR="000F5689" w:rsidRPr="00925F26" w14:paraId="38753D56" w14:textId="77777777">
        <w:trPr>
          <w:cantSplit/>
        </w:trPr>
        <w:tc>
          <w:tcPr>
            <w:tcW w:w="4253" w:type="dxa"/>
          </w:tcPr>
          <w:p w14:paraId="1AA4359A"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8A91190"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91399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7FE65C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4198</w:t>
            </w:r>
          </w:p>
        </w:tc>
        <w:tc>
          <w:tcPr>
            <w:tcW w:w="1080" w:type="dxa"/>
          </w:tcPr>
          <w:p w14:paraId="4370FE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3050</w:t>
            </w:r>
          </w:p>
        </w:tc>
        <w:tc>
          <w:tcPr>
            <w:tcW w:w="940" w:type="dxa"/>
            <w:gridSpan w:val="2"/>
          </w:tcPr>
          <w:p w14:paraId="60E125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73</w:t>
            </w:r>
          </w:p>
        </w:tc>
      </w:tr>
      <w:tr w:rsidR="000F5689" w:rsidRPr="00925F26" w14:paraId="161CF391" w14:textId="77777777">
        <w:trPr>
          <w:cantSplit/>
        </w:trPr>
        <w:tc>
          <w:tcPr>
            <w:tcW w:w="4253" w:type="dxa"/>
          </w:tcPr>
          <w:p w14:paraId="04BEE7B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ACCC27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C4CCD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798606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3300</w:t>
            </w:r>
          </w:p>
        </w:tc>
        <w:tc>
          <w:tcPr>
            <w:tcW w:w="1080" w:type="dxa"/>
          </w:tcPr>
          <w:p w14:paraId="25B31A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4100</w:t>
            </w:r>
          </w:p>
        </w:tc>
        <w:tc>
          <w:tcPr>
            <w:tcW w:w="940" w:type="dxa"/>
            <w:gridSpan w:val="2"/>
          </w:tcPr>
          <w:p w14:paraId="631E22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124</w:t>
            </w:r>
          </w:p>
        </w:tc>
      </w:tr>
      <w:tr w:rsidR="000F5689" w:rsidRPr="00925F26" w14:paraId="6BDD8E94" w14:textId="77777777">
        <w:trPr>
          <w:cantSplit/>
        </w:trPr>
        <w:tc>
          <w:tcPr>
            <w:tcW w:w="4253" w:type="dxa"/>
          </w:tcPr>
          <w:p w14:paraId="6FB8CE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а) Себестоимость</w:t>
            </w:r>
          </w:p>
          <w:p w14:paraId="1FD03F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угля</w:t>
            </w:r>
          </w:p>
        </w:tc>
        <w:tc>
          <w:tcPr>
            <w:tcW w:w="1213" w:type="dxa"/>
          </w:tcPr>
          <w:p w14:paraId="131C8E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руб.</w:t>
            </w:r>
          </w:p>
        </w:tc>
        <w:tc>
          <w:tcPr>
            <w:tcW w:w="1197" w:type="dxa"/>
          </w:tcPr>
          <w:p w14:paraId="49A341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170A64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93</w:t>
            </w:r>
          </w:p>
        </w:tc>
        <w:tc>
          <w:tcPr>
            <w:tcW w:w="1080" w:type="dxa"/>
          </w:tcPr>
          <w:p w14:paraId="04B6BF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940" w:type="dxa"/>
            <w:gridSpan w:val="2"/>
          </w:tcPr>
          <w:p w14:paraId="71CD4B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129</w:t>
            </w:r>
          </w:p>
        </w:tc>
      </w:tr>
      <w:tr w:rsidR="000F5689" w:rsidRPr="00925F26" w14:paraId="4D8B1C54" w14:textId="77777777">
        <w:trPr>
          <w:cantSplit/>
        </w:trPr>
        <w:tc>
          <w:tcPr>
            <w:tcW w:w="4253" w:type="dxa"/>
          </w:tcPr>
          <w:p w14:paraId="2DB3B67B"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26C6A1E"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42FEE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6DCFD4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w:t>
            </w:r>
          </w:p>
        </w:tc>
        <w:tc>
          <w:tcPr>
            <w:tcW w:w="1080" w:type="dxa"/>
          </w:tcPr>
          <w:p w14:paraId="5924F6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99</w:t>
            </w:r>
          </w:p>
        </w:tc>
        <w:tc>
          <w:tcPr>
            <w:tcW w:w="940" w:type="dxa"/>
            <w:gridSpan w:val="2"/>
          </w:tcPr>
          <w:p w14:paraId="79FF2D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96</w:t>
            </w:r>
          </w:p>
        </w:tc>
      </w:tr>
      <w:tr w:rsidR="000F5689" w:rsidRPr="00925F26" w14:paraId="7D040DD9" w14:textId="77777777">
        <w:trPr>
          <w:cantSplit/>
        </w:trPr>
        <w:tc>
          <w:tcPr>
            <w:tcW w:w="4253" w:type="dxa"/>
          </w:tcPr>
          <w:p w14:paraId="6CCAACD6"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655844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9C07F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38E50D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102</w:t>
            </w:r>
          </w:p>
        </w:tc>
        <w:tc>
          <w:tcPr>
            <w:tcW w:w="1080" w:type="dxa"/>
          </w:tcPr>
          <w:p w14:paraId="464C7A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w:t>
            </w:r>
          </w:p>
        </w:tc>
        <w:tc>
          <w:tcPr>
            <w:tcW w:w="940" w:type="dxa"/>
            <w:gridSpan w:val="2"/>
          </w:tcPr>
          <w:p w14:paraId="7F15A9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w:t>
            </w:r>
          </w:p>
        </w:tc>
      </w:tr>
      <w:tr w:rsidR="000F5689" w:rsidRPr="00925F26" w14:paraId="3AFF9B34" w14:textId="77777777">
        <w:trPr>
          <w:cantSplit/>
          <w:trHeight w:val="236"/>
        </w:trPr>
        <w:tc>
          <w:tcPr>
            <w:tcW w:w="4253" w:type="dxa"/>
          </w:tcPr>
          <w:p w14:paraId="1F9436D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408BD6F"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2E5811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039CD0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080" w:type="dxa"/>
          </w:tcPr>
          <w:p w14:paraId="31EC1F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940" w:type="dxa"/>
            <w:gridSpan w:val="2"/>
          </w:tcPr>
          <w:p w14:paraId="4A8DBF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w:t>
            </w:r>
          </w:p>
        </w:tc>
      </w:tr>
      <w:tr w:rsidR="000F5689" w:rsidRPr="00925F26" w14:paraId="090D1721" w14:textId="77777777">
        <w:trPr>
          <w:cantSplit/>
          <w:trHeight w:val="236"/>
        </w:trPr>
        <w:tc>
          <w:tcPr>
            <w:tcW w:w="4253" w:type="dxa"/>
          </w:tcPr>
          <w:p w14:paraId="7AF1F2AD"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EF7E06B"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6692F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3C45B3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080" w:type="dxa"/>
          </w:tcPr>
          <w:p w14:paraId="5900C0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w:t>
            </w:r>
          </w:p>
        </w:tc>
        <w:tc>
          <w:tcPr>
            <w:tcW w:w="940" w:type="dxa"/>
            <w:gridSpan w:val="2"/>
          </w:tcPr>
          <w:p w14:paraId="0CE004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125</w:t>
            </w:r>
          </w:p>
        </w:tc>
      </w:tr>
      <w:tr w:rsidR="000F5689" w:rsidRPr="00925F26" w14:paraId="2074ABD6" w14:textId="77777777">
        <w:trPr>
          <w:cantSplit/>
          <w:trHeight w:val="236"/>
        </w:trPr>
        <w:tc>
          <w:tcPr>
            <w:tcW w:w="4253" w:type="dxa"/>
          </w:tcPr>
          <w:p w14:paraId="563D0C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б) Себестоимость </w:t>
            </w:r>
          </w:p>
          <w:p w14:paraId="7F0AF2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никеля</w:t>
            </w:r>
          </w:p>
        </w:tc>
        <w:tc>
          <w:tcPr>
            <w:tcW w:w="1213" w:type="dxa"/>
          </w:tcPr>
          <w:p w14:paraId="6209B62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299D65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165B65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4B52A3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3C4E3C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0922064" w14:textId="77777777">
        <w:trPr>
          <w:cantSplit/>
          <w:trHeight w:val="236"/>
        </w:trPr>
        <w:tc>
          <w:tcPr>
            <w:tcW w:w="4253" w:type="dxa"/>
          </w:tcPr>
          <w:p w14:paraId="36F0EB56"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53811DBB"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1B5E60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0EA733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F8114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55FB30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8F447C1" w14:textId="77777777">
        <w:trPr>
          <w:cantSplit/>
          <w:trHeight w:val="236"/>
        </w:trPr>
        <w:tc>
          <w:tcPr>
            <w:tcW w:w="4253" w:type="dxa"/>
          </w:tcPr>
          <w:p w14:paraId="20F159B2"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60AD26F"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837E5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236015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82164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741C9E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3E7B35D" w14:textId="77777777">
        <w:trPr>
          <w:cantSplit/>
          <w:trHeight w:val="236"/>
        </w:trPr>
        <w:tc>
          <w:tcPr>
            <w:tcW w:w="4253" w:type="dxa"/>
          </w:tcPr>
          <w:p w14:paraId="1E71753B"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1AB222B"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1D4A74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4C73C5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16100</w:t>
            </w:r>
          </w:p>
        </w:tc>
        <w:tc>
          <w:tcPr>
            <w:tcW w:w="1080" w:type="dxa"/>
          </w:tcPr>
          <w:p w14:paraId="1066A2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21765</w:t>
            </w:r>
          </w:p>
        </w:tc>
        <w:tc>
          <w:tcPr>
            <w:tcW w:w="940" w:type="dxa"/>
            <w:gridSpan w:val="2"/>
          </w:tcPr>
          <w:p w14:paraId="4C701B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135</w:t>
            </w:r>
          </w:p>
        </w:tc>
      </w:tr>
      <w:tr w:rsidR="000F5689" w:rsidRPr="00925F26" w14:paraId="1AFF7FC5" w14:textId="77777777">
        <w:trPr>
          <w:cantSplit/>
          <w:trHeight w:val="236"/>
        </w:trPr>
        <w:tc>
          <w:tcPr>
            <w:tcW w:w="4253" w:type="dxa"/>
          </w:tcPr>
          <w:p w14:paraId="6AD89E1F"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336F2F7"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E13B0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145B261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22000</w:t>
            </w:r>
          </w:p>
        </w:tc>
        <w:tc>
          <w:tcPr>
            <w:tcW w:w="1080" w:type="dxa"/>
          </w:tcPr>
          <w:p w14:paraId="07CFFA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19560</w:t>
            </w:r>
          </w:p>
        </w:tc>
        <w:tc>
          <w:tcPr>
            <w:tcW w:w="940" w:type="dxa"/>
            <w:gridSpan w:val="2"/>
          </w:tcPr>
          <w:p w14:paraId="50CE72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88</w:t>
            </w:r>
          </w:p>
        </w:tc>
      </w:tr>
      <w:tr w:rsidR="000F5689" w:rsidRPr="00925F26" w14:paraId="252419C6" w14:textId="77777777">
        <w:trPr>
          <w:cantSplit/>
          <w:trHeight w:val="236"/>
        </w:trPr>
        <w:tc>
          <w:tcPr>
            <w:tcW w:w="4253" w:type="dxa"/>
          </w:tcPr>
          <w:p w14:paraId="56D564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Себестоимость</w:t>
            </w:r>
          </w:p>
          <w:p w14:paraId="5377F5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меди</w:t>
            </w:r>
          </w:p>
        </w:tc>
        <w:tc>
          <w:tcPr>
            <w:tcW w:w="1213" w:type="dxa"/>
          </w:tcPr>
          <w:p w14:paraId="3C0ADA60"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76866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4B2A42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F4B41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752846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410A7F0" w14:textId="77777777">
        <w:trPr>
          <w:cantSplit/>
          <w:trHeight w:val="236"/>
        </w:trPr>
        <w:tc>
          <w:tcPr>
            <w:tcW w:w="4253" w:type="dxa"/>
          </w:tcPr>
          <w:p w14:paraId="74FD92F9"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EFC56B0"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1967E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356F54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0AFA42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3DC61B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06ABFB8" w14:textId="77777777">
        <w:trPr>
          <w:cantSplit/>
          <w:trHeight w:val="236"/>
        </w:trPr>
        <w:tc>
          <w:tcPr>
            <w:tcW w:w="4253" w:type="dxa"/>
          </w:tcPr>
          <w:p w14:paraId="3E0790C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34A266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EAFAD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048FE7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1FC06A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33C750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A240E45" w14:textId="77777777">
        <w:trPr>
          <w:cantSplit/>
          <w:trHeight w:val="236"/>
        </w:trPr>
        <w:tc>
          <w:tcPr>
            <w:tcW w:w="4253" w:type="dxa"/>
          </w:tcPr>
          <w:p w14:paraId="1A499EAF"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55952D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1ECB57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79E059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2500</w:t>
            </w:r>
          </w:p>
        </w:tc>
        <w:tc>
          <w:tcPr>
            <w:tcW w:w="1080" w:type="dxa"/>
          </w:tcPr>
          <w:p w14:paraId="2ED890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5366</w:t>
            </w:r>
          </w:p>
        </w:tc>
        <w:tc>
          <w:tcPr>
            <w:tcW w:w="940" w:type="dxa"/>
            <w:gridSpan w:val="2"/>
          </w:tcPr>
          <w:p w14:paraId="452AE8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214</w:t>
            </w:r>
          </w:p>
        </w:tc>
      </w:tr>
      <w:tr w:rsidR="000F5689" w:rsidRPr="00925F26" w14:paraId="63855234" w14:textId="77777777">
        <w:trPr>
          <w:cantSplit/>
          <w:trHeight w:val="236"/>
        </w:trPr>
        <w:tc>
          <w:tcPr>
            <w:tcW w:w="4253" w:type="dxa"/>
          </w:tcPr>
          <w:p w14:paraId="74443106"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7719A9B7"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2E90B9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011A22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80" w:type="dxa"/>
          </w:tcPr>
          <w:p w14:paraId="62B396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2533</w:t>
            </w:r>
          </w:p>
        </w:tc>
        <w:tc>
          <w:tcPr>
            <w:tcW w:w="940" w:type="dxa"/>
            <w:gridSpan w:val="2"/>
          </w:tcPr>
          <w:p w14:paraId="1E8EB36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84</w:t>
            </w:r>
          </w:p>
        </w:tc>
      </w:tr>
      <w:tr w:rsidR="000F5689" w:rsidRPr="00925F26" w14:paraId="0FA3CFE6" w14:textId="77777777">
        <w:trPr>
          <w:cantSplit/>
          <w:trHeight w:val="236"/>
        </w:trPr>
        <w:tc>
          <w:tcPr>
            <w:tcW w:w="4253" w:type="dxa"/>
          </w:tcPr>
          <w:p w14:paraId="0CAF824A" w14:textId="77777777" w:rsidR="00C2313B" w:rsidRPr="00925F26" w:rsidRDefault="00C2313B" w:rsidP="00925F26">
            <w:pPr>
              <w:tabs>
                <w:tab w:val="left" w:pos="342"/>
              </w:tabs>
              <w:autoSpaceDE w:val="0"/>
              <w:autoSpaceDN w:val="0"/>
              <w:adjustRightInd w:val="0"/>
              <w:jc w:val="both"/>
              <w:rPr>
                <w:color w:val="000000" w:themeColor="text1"/>
                <w:sz w:val="16"/>
                <w:szCs w:val="16"/>
              </w:rPr>
            </w:pPr>
            <w:r w:rsidRPr="00925F26">
              <w:rPr>
                <w:color w:val="000000" w:themeColor="text1"/>
                <w:sz w:val="16"/>
                <w:szCs w:val="16"/>
              </w:rPr>
              <w:t>7.</w:t>
            </w:r>
            <w:r w:rsidRPr="00925F26">
              <w:rPr>
                <w:color w:val="000000" w:themeColor="text1"/>
                <w:sz w:val="16"/>
                <w:szCs w:val="16"/>
              </w:rPr>
              <w:tab/>
              <w:t>Количество</w:t>
            </w:r>
          </w:p>
          <w:p w14:paraId="44260B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инженерно-технических работников</w:t>
            </w:r>
          </w:p>
        </w:tc>
        <w:tc>
          <w:tcPr>
            <w:tcW w:w="1213" w:type="dxa"/>
          </w:tcPr>
          <w:p w14:paraId="02A182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чел[овек]</w:t>
            </w:r>
          </w:p>
        </w:tc>
        <w:tc>
          <w:tcPr>
            <w:tcW w:w="1197" w:type="dxa"/>
          </w:tcPr>
          <w:p w14:paraId="090B42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0FF685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748</w:t>
            </w:r>
          </w:p>
        </w:tc>
        <w:tc>
          <w:tcPr>
            <w:tcW w:w="1080" w:type="dxa"/>
          </w:tcPr>
          <w:p w14:paraId="7F7319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604</w:t>
            </w:r>
          </w:p>
        </w:tc>
        <w:tc>
          <w:tcPr>
            <w:tcW w:w="940" w:type="dxa"/>
            <w:gridSpan w:val="2"/>
          </w:tcPr>
          <w:p w14:paraId="7DADCD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81</w:t>
            </w:r>
          </w:p>
        </w:tc>
      </w:tr>
      <w:tr w:rsidR="000F5689" w:rsidRPr="00925F26" w14:paraId="0F4CB03C" w14:textId="77777777">
        <w:trPr>
          <w:cantSplit/>
          <w:trHeight w:val="236"/>
        </w:trPr>
        <w:tc>
          <w:tcPr>
            <w:tcW w:w="4253" w:type="dxa"/>
          </w:tcPr>
          <w:p w14:paraId="1A6B5AB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384B04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46B15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0B3688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827</w:t>
            </w:r>
          </w:p>
        </w:tc>
        <w:tc>
          <w:tcPr>
            <w:tcW w:w="1080" w:type="dxa"/>
          </w:tcPr>
          <w:p w14:paraId="462C46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952</w:t>
            </w:r>
          </w:p>
        </w:tc>
        <w:tc>
          <w:tcPr>
            <w:tcW w:w="940" w:type="dxa"/>
            <w:gridSpan w:val="2"/>
          </w:tcPr>
          <w:p w14:paraId="2BAC62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115</w:t>
            </w:r>
          </w:p>
        </w:tc>
      </w:tr>
      <w:tr w:rsidR="000F5689" w:rsidRPr="00925F26" w14:paraId="32C1C4BB" w14:textId="77777777">
        <w:trPr>
          <w:cantSplit/>
          <w:trHeight w:val="236"/>
        </w:trPr>
        <w:tc>
          <w:tcPr>
            <w:tcW w:w="4253" w:type="dxa"/>
          </w:tcPr>
          <w:p w14:paraId="0C11A373"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BB8285B"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2F0D9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6CDB27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1127</w:t>
            </w:r>
          </w:p>
        </w:tc>
        <w:tc>
          <w:tcPr>
            <w:tcW w:w="1080" w:type="dxa"/>
          </w:tcPr>
          <w:p w14:paraId="2E9488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972</w:t>
            </w:r>
          </w:p>
        </w:tc>
        <w:tc>
          <w:tcPr>
            <w:tcW w:w="940" w:type="dxa"/>
            <w:gridSpan w:val="2"/>
          </w:tcPr>
          <w:p w14:paraId="134756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87</w:t>
            </w:r>
          </w:p>
        </w:tc>
      </w:tr>
      <w:tr w:rsidR="000F5689" w:rsidRPr="00925F26" w14:paraId="4BAB2C43" w14:textId="77777777">
        <w:trPr>
          <w:cantSplit/>
          <w:trHeight w:val="236"/>
        </w:trPr>
        <w:tc>
          <w:tcPr>
            <w:tcW w:w="4253" w:type="dxa"/>
          </w:tcPr>
          <w:p w14:paraId="4EA4FF3E"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AE0C80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C66EB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635D76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1863</w:t>
            </w:r>
          </w:p>
        </w:tc>
        <w:tc>
          <w:tcPr>
            <w:tcW w:w="1080" w:type="dxa"/>
          </w:tcPr>
          <w:p w14:paraId="13A79A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1854</w:t>
            </w:r>
          </w:p>
        </w:tc>
        <w:tc>
          <w:tcPr>
            <w:tcW w:w="940" w:type="dxa"/>
            <w:gridSpan w:val="2"/>
          </w:tcPr>
          <w:p w14:paraId="1FD50E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99</w:t>
            </w:r>
          </w:p>
        </w:tc>
      </w:tr>
      <w:tr w:rsidR="000F5689" w:rsidRPr="00925F26" w14:paraId="4583180B" w14:textId="77777777">
        <w:trPr>
          <w:cantSplit/>
          <w:trHeight w:val="236"/>
        </w:trPr>
        <w:tc>
          <w:tcPr>
            <w:tcW w:w="4253" w:type="dxa"/>
          </w:tcPr>
          <w:p w14:paraId="00CDD1B9"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72F34F57"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B37B2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22B820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2252</w:t>
            </w:r>
          </w:p>
        </w:tc>
        <w:tc>
          <w:tcPr>
            <w:tcW w:w="1080" w:type="dxa"/>
          </w:tcPr>
          <w:p w14:paraId="0CD324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2236</w:t>
            </w:r>
          </w:p>
        </w:tc>
        <w:tc>
          <w:tcPr>
            <w:tcW w:w="940" w:type="dxa"/>
            <w:gridSpan w:val="2"/>
          </w:tcPr>
          <w:p w14:paraId="1B2069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99</w:t>
            </w:r>
          </w:p>
        </w:tc>
      </w:tr>
      <w:tr w:rsidR="000F5689" w:rsidRPr="00925F26" w14:paraId="3340E66D" w14:textId="77777777">
        <w:trPr>
          <w:cantSplit/>
          <w:trHeight w:val="236"/>
        </w:trPr>
        <w:tc>
          <w:tcPr>
            <w:tcW w:w="4253" w:type="dxa"/>
          </w:tcPr>
          <w:p w14:paraId="513E44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Расход фонда</w:t>
            </w:r>
          </w:p>
          <w:p w14:paraId="5CC569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зарплаты</w:t>
            </w:r>
          </w:p>
        </w:tc>
        <w:tc>
          <w:tcPr>
            <w:tcW w:w="1213" w:type="dxa"/>
          </w:tcPr>
          <w:p w14:paraId="1C66CE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т[ысяч] р[уб].</w:t>
            </w:r>
          </w:p>
        </w:tc>
        <w:tc>
          <w:tcPr>
            <w:tcW w:w="1197" w:type="dxa"/>
          </w:tcPr>
          <w:p w14:paraId="2EFC93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2AC01F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21936</w:t>
            </w:r>
          </w:p>
        </w:tc>
        <w:tc>
          <w:tcPr>
            <w:tcW w:w="1080" w:type="dxa"/>
          </w:tcPr>
          <w:p w14:paraId="278767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19956</w:t>
            </w:r>
          </w:p>
        </w:tc>
        <w:tc>
          <w:tcPr>
            <w:tcW w:w="940" w:type="dxa"/>
            <w:gridSpan w:val="2"/>
          </w:tcPr>
          <w:p w14:paraId="10A8B5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91</w:t>
            </w:r>
          </w:p>
        </w:tc>
      </w:tr>
      <w:tr w:rsidR="000F5689" w:rsidRPr="00925F26" w14:paraId="37C8D3C5" w14:textId="77777777">
        <w:trPr>
          <w:cantSplit/>
          <w:trHeight w:val="236"/>
        </w:trPr>
        <w:tc>
          <w:tcPr>
            <w:tcW w:w="4253" w:type="dxa"/>
          </w:tcPr>
          <w:p w14:paraId="5BD4C30E"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C4BD9A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4E9FF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2FFFED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24569</w:t>
            </w:r>
          </w:p>
        </w:tc>
        <w:tc>
          <w:tcPr>
            <w:tcW w:w="1080" w:type="dxa"/>
          </w:tcPr>
          <w:p w14:paraId="085A1F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32493</w:t>
            </w:r>
          </w:p>
        </w:tc>
        <w:tc>
          <w:tcPr>
            <w:tcW w:w="940" w:type="dxa"/>
            <w:gridSpan w:val="2"/>
          </w:tcPr>
          <w:p w14:paraId="04832F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132</w:t>
            </w:r>
          </w:p>
        </w:tc>
      </w:tr>
      <w:tr w:rsidR="000F5689" w:rsidRPr="00925F26" w14:paraId="46C3DBCA" w14:textId="77777777">
        <w:trPr>
          <w:cantSplit/>
          <w:trHeight w:val="236"/>
        </w:trPr>
        <w:tc>
          <w:tcPr>
            <w:tcW w:w="4253" w:type="dxa"/>
          </w:tcPr>
          <w:p w14:paraId="2E70F0D4"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DD3BAB3"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EAE3C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7D4161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62224</w:t>
            </w:r>
          </w:p>
        </w:tc>
        <w:tc>
          <w:tcPr>
            <w:tcW w:w="1080" w:type="dxa"/>
          </w:tcPr>
          <w:p w14:paraId="503C17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48730</w:t>
            </w:r>
          </w:p>
        </w:tc>
        <w:tc>
          <w:tcPr>
            <w:tcW w:w="940" w:type="dxa"/>
            <w:gridSpan w:val="2"/>
          </w:tcPr>
          <w:p w14:paraId="2C57FE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78</w:t>
            </w:r>
          </w:p>
        </w:tc>
      </w:tr>
      <w:tr w:rsidR="000F5689" w:rsidRPr="00925F26" w14:paraId="56882774" w14:textId="77777777">
        <w:trPr>
          <w:cantSplit/>
          <w:trHeight w:val="236"/>
        </w:trPr>
        <w:tc>
          <w:tcPr>
            <w:tcW w:w="4253" w:type="dxa"/>
          </w:tcPr>
          <w:p w14:paraId="62D3ABF9"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D795642"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2EF03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0675C4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112596</w:t>
            </w:r>
          </w:p>
        </w:tc>
        <w:tc>
          <w:tcPr>
            <w:tcW w:w="1080" w:type="dxa"/>
          </w:tcPr>
          <w:p w14:paraId="6F081D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92429</w:t>
            </w:r>
          </w:p>
        </w:tc>
        <w:tc>
          <w:tcPr>
            <w:tcW w:w="940" w:type="dxa"/>
            <w:gridSpan w:val="2"/>
          </w:tcPr>
          <w:p w14:paraId="254EAE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83</w:t>
            </w:r>
          </w:p>
        </w:tc>
      </w:tr>
      <w:tr w:rsidR="000F5689" w:rsidRPr="00925F26" w14:paraId="258E559F" w14:textId="77777777">
        <w:trPr>
          <w:cantSplit/>
          <w:trHeight w:val="236"/>
        </w:trPr>
        <w:tc>
          <w:tcPr>
            <w:tcW w:w="4253" w:type="dxa"/>
          </w:tcPr>
          <w:p w14:paraId="405E82A1"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4C62D23"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1BE58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3E59F1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166068</w:t>
            </w:r>
          </w:p>
        </w:tc>
        <w:tc>
          <w:tcPr>
            <w:tcW w:w="1080" w:type="dxa"/>
          </w:tcPr>
          <w:p w14:paraId="1B8BCD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120850</w:t>
            </w:r>
          </w:p>
        </w:tc>
        <w:tc>
          <w:tcPr>
            <w:tcW w:w="940" w:type="dxa"/>
            <w:gridSpan w:val="2"/>
          </w:tcPr>
          <w:p w14:paraId="5D620F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w:t>
            </w:r>
          </w:p>
          <w:p w14:paraId="1606FFC1"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6378EC20" w14:textId="77777777">
        <w:trPr>
          <w:cantSplit/>
          <w:trHeight w:val="236"/>
        </w:trPr>
        <w:tc>
          <w:tcPr>
            <w:tcW w:w="4253" w:type="dxa"/>
          </w:tcPr>
          <w:p w14:paraId="60778B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Количество ра-ционализаторских</w:t>
            </w:r>
          </w:p>
          <w:p w14:paraId="653660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изобретательских</w:t>
            </w:r>
          </w:p>
          <w:p w14:paraId="722714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предложений</w:t>
            </w:r>
          </w:p>
        </w:tc>
        <w:tc>
          <w:tcPr>
            <w:tcW w:w="1213" w:type="dxa"/>
          </w:tcPr>
          <w:p w14:paraId="60391C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число</w:t>
            </w:r>
          </w:p>
          <w:p w14:paraId="0A0EE1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предло-ж[ений]</w:t>
            </w:r>
          </w:p>
        </w:tc>
        <w:tc>
          <w:tcPr>
            <w:tcW w:w="1197" w:type="dxa"/>
          </w:tcPr>
          <w:p w14:paraId="77DEC0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377C39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3A95E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 было</w:t>
            </w:r>
          </w:p>
        </w:tc>
        <w:tc>
          <w:tcPr>
            <w:tcW w:w="940" w:type="dxa"/>
            <w:gridSpan w:val="2"/>
          </w:tcPr>
          <w:p w14:paraId="039418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учета</w:t>
            </w:r>
          </w:p>
        </w:tc>
      </w:tr>
      <w:tr w:rsidR="000F5689" w:rsidRPr="00925F26" w14:paraId="5DFC2981" w14:textId="77777777">
        <w:trPr>
          <w:cantSplit/>
          <w:trHeight w:val="236"/>
        </w:trPr>
        <w:tc>
          <w:tcPr>
            <w:tcW w:w="4253" w:type="dxa"/>
          </w:tcPr>
          <w:p w14:paraId="3107771F"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6719E8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FDB78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31B2A5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D84E3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103</w:t>
            </w:r>
          </w:p>
        </w:tc>
        <w:tc>
          <w:tcPr>
            <w:tcW w:w="940" w:type="dxa"/>
            <w:gridSpan w:val="2"/>
          </w:tcPr>
          <w:p w14:paraId="5E181C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4AEC5D1" w14:textId="77777777">
        <w:trPr>
          <w:cantSplit/>
          <w:trHeight w:val="236"/>
        </w:trPr>
        <w:tc>
          <w:tcPr>
            <w:tcW w:w="4253" w:type="dxa"/>
          </w:tcPr>
          <w:p w14:paraId="2DD11BF2"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A29E3D6"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41669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2ACDB4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08F5B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361</w:t>
            </w:r>
          </w:p>
        </w:tc>
        <w:tc>
          <w:tcPr>
            <w:tcW w:w="940" w:type="dxa"/>
            <w:gridSpan w:val="2"/>
          </w:tcPr>
          <w:p w14:paraId="06AC22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FA2C5CE" w14:textId="77777777">
        <w:trPr>
          <w:cantSplit/>
          <w:trHeight w:val="236"/>
        </w:trPr>
        <w:tc>
          <w:tcPr>
            <w:tcW w:w="4253" w:type="dxa"/>
          </w:tcPr>
          <w:p w14:paraId="0FE7A4B7"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4A6C663"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D15AF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54087A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44A39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541</w:t>
            </w:r>
          </w:p>
        </w:tc>
        <w:tc>
          <w:tcPr>
            <w:tcW w:w="940" w:type="dxa"/>
            <w:gridSpan w:val="2"/>
          </w:tcPr>
          <w:p w14:paraId="0E83C1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6AC1C91" w14:textId="77777777">
        <w:trPr>
          <w:cantSplit/>
          <w:trHeight w:val="236"/>
        </w:trPr>
        <w:tc>
          <w:tcPr>
            <w:tcW w:w="4253" w:type="dxa"/>
          </w:tcPr>
          <w:p w14:paraId="528B512B"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5B5B6A9"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72D5B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522192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CF081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450</w:t>
            </w:r>
          </w:p>
        </w:tc>
        <w:tc>
          <w:tcPr>
            <w:tcW w:w="940" w:type="dxa"/>
            <w:gridSpan w:val="2"/>
          </w:tcPr>
          <w:p w14:paraId="619330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3167531" w14:textId="77777777">
        <w:trPr>
          <w:cantSplit/>
          <w:trHeight w:val="236"/>
        </w:trPr>
        <w:tc>
          <w:tcPr>
            <w:tcW w:w="4253" w:type="dxa"/>
          </w:tcPr>
          <w:p w14:paraId="73D0C7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 а) Условный эконо-</w:t>
            </w:r>
          </w:p>
          <w:p w14:paraId="2B92EC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мический эффект</w:t>
            </w:r>
          </w:p>
          <w:p w14:paraId="3E941B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рационализаторских</w:t>
            </w:r>
          </w:p>
          <w:p w14:paraId="52FA02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предложений</w:t>
            </w:r>
          </w:p>
        </w:tc>
        <w:tc>
          <w:tcPr>
            <w:tcW w:w="1213" w:type="dxa"/>
          </w:tcPr>
          <w:p w14:paraId="5C3049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т[ысяч] р[уб].</w:t>
            </w:r>
          </w:p>
        </w:tc>
        <w:tc>
          <w:tcPr>
            <w:tcW w:w="1197" w:type="dxa"/>
          </w:tcPr>
          <w:p w14:paraId="438F4F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6BDC3B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AEED6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 было</w:t>
            </w:r>
          </w:p>
        </w:tc>
        <w:tc>
          <w:tcPr>
            <w:tcW w:w="940" w:type="dxa"/>
            <w:gridSpan w:val="2"/>
          </w:tcPr>
          <w:p w14:paraId="37A8D5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учета</w:t>
            </w:r>
          </w:p>
        </w:tc>
      </w:tr>
      <w:tr w:rsidR="000F5689" w:rsidRPr="00925F26" w14:paraId="4E78E9B8" w14:textId="77777777">
        <w:trPr>
          <w:cantSplit/>
          <w:trHeight w:val="236"/>
        </w:trPr>
        <w:tc>
          <w:tcPr>
            <w:tcW w:w="4253" w:type="dxa"/>
          </w:tcPr>
          <w:p w14:paraId="6F9ABE40"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E819B3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D2C00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4C2648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3A8F2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1421</w:t>
            </w:r>
          </w:p>
        </w:tc>
        <w:tc>
          <w:tcPr>
            <w:tcW w:w="940" w:type="dxa"/>
            <w:gridSpan w:val="2"/>
          </w:tcPr>
          <w:p w14:paraId="337299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96E5D80" w14:textId="77777777">
        <w:trPr>
          <w:cantSplit/>
          <w:trHeight w:val="236"/>
        </w:trPr>
        <w:tc>
          <w:tcPr>
            <w:tcW w:w="4253" w:type="dxa"/>
          </w:tcPr>
          <w:p w14:paraId="0FAB2697"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3F4342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A8209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29BDB4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DC5DF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7547</w:t>
            </w:r>
          </w:p>
        </w:tc>
        <w:tc>
          <w:tcPr>
            <w:tcW w:w="940" w:type="dxa"/>
            <w:gridSpan w:val="2"/>
          </w:tcPr>
          <w:p w14:paraId="5B1CC2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77C420A" w14:textId="77777777">
        <w:trPr>
          <w:cantSplit/>
          <w:trHeight w:val="236"/>
        </w:trPr>
        <w:tc>
          <w:tcPr>
            <w:tcW w:w="4253" w:type="dxa"/>
          </w:tcPr>
          <w:p w14:paraId="1A05F72E"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71E866F7"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BC307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041580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47FCD0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9420</w:t>
            </w:r>
          </w:p>
        </w:tc>
        <w:tc>
          <w:tcPr>
            <w:tcW w:w="940" w:type="dxa"/>
            <w:gridSpan w:val="2"/>
          </w:tcPr>
          <w:p w14:paraId="48E655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1363730" w14:textId="77777777">
        <w:trPr>
          <w:cantSplit/>
          <w:trHeight w:val="236"/>
        </w:trPr>
        <w:tc>
          <w:tcPr>
            <w:tcW w:w="4253" w:type="dxa"/>
          </w:tcPr>
          <w:p w14:paraId="04FE4FA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B42813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16453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70E26A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9213B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9586</w:t>
            </w:r>
          </w:p>
        </w:tc>
        <w:tc>
          <w:tcPr>
            <w:tcW w:w="940" w:type="dxa"/>
            <w:gridSpan w:val="2"/>
          </w:tcPr>
          <w:p w14:paraId="4AFAC3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13BEBB0" w14:textId="77777777">
        <w:trPr>
          <w:cantSplit/>
          <w:trHeight w:val="236"/>
        </w:trPr>
        <w:tc>
          <w:tcPr>
            <w:tcW w:w="4253" w:type="dxa"/>
          </w:tcPr>
          <w:p w14:paraId="67EFEA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10 </w:t>
            </w:r>
            <w:proofErr w:type="gramStart"/>
            <w:r w:rsidRPr="00925F26">
              <w:rPr>
                <w:color w:val="000000" w:themeColor="text1"/>
                <w:sz w:val="16"/>
                <w:szCs w:val="16"/>
              </w:rPr>
              <w:t>а)Трудовые</w:t>
            </w:r>
            <w:proofErr w:type="gramEnd"/>
            <w:r w:rsidRPr="00925F26">
              <w:rPr>
                <w:color w:val="000000" w:themeColor="text1"/>
                <w:sz w:val="16"/>
                <w:szCs w:val="16"/>
              </w:rPr>
              <w:t xml:space="preserve"> затраты в человеко-днях на тонну меди</w:t>
            </w:r>
          </w:p>
        </w:tc>
        <w:tc>
          <w:tcPr>
            <w:tcW w:w="1213" w:type="dxa"/>
          </w:tcPr>
          <w:p w14:paraId="79FA93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Чел[овеко]/дн[ей]</w:t>
            </w:r>
          </w:p>
        </w:tc>
        <w:tc>
          <w:tcPr>
            <w:tcW w:w="1197" w:type="dxa"/>
          </w:tcPr>
          <w:p w14:paraId="1D0632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11CCA7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3383B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4F5093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DCA9406" w14:textId="77777777">
        <w:trPr>
          <w:cantSplit/>
          <w:trHeight w:val="236"/>
        </w:trPr>
        <w:tc>
          <w:tcPr>
            <w:tcW w:w="4253" w:type="dxa"/>
          </w:tcPr>
          <w:p w14:paraId="52CDB03A"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7EE937D"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69CE3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5BDFBE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1AD6C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652E56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BE946BB" w14:textId="77777777">
        <w:trPr>
          <w:cantSplit/>
          <w:trHeight w:val="236"/>
        </w:trPr>
        <w:tc>
          <w:tcPr>
            <w:tcW w:w="4253" w:type="dxa"/>
          </w:tcPr>
          <w:p w14:paraId="1F9D8BAA"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7A03B84B"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BC216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5FEBAC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F43C9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81</w:t>
            </w:r>
          </w:p>
        </w:tc>
        <w:tc>
          <w:tcPr>
            <w:tcW w:w="940" w:type="dxa"/>
            <w:gridSpan w:val="2"/>
          </w:tcPr>
          <w:p w14:paraId="1690CB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3C5DA61" w14:textId="77777777">
        <w:trPr>
          <w:cantSplit/>
          <w:trHeight w:val="236"/>
        </w:trPr>
        <w:tc>
          <w:tcPr>
            <w:tcW w:w="4253" w:type="dxa"/>
          </w:tcPr>
          <w:p w14:paraId="4F4B5A49"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8D38102"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508DF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4062C2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7C5F5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940" w:type="dxa"/>
            <w:gridSpan w:val="2"/>
          </w:tcPr>
          <w:p w14:paraId="707A02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C2598CC" w14:textId="77777777">
        <w:trPr>
          <w:cantSplit/>
          <w:trHeight w:val="236"/>
        </w:trPr>
        <w:tc>
          <w:tcPr>
            <w:tcW w:w="4253" w:type="dxa"/>
          </w:tcPr>
          <w:p w14:paraId="285776CF"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E75A62F"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427541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276833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37C2E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940" w:type="dxa"/>
            <w:gridSpan w:val="2"/>
          </w:tcPr>
          <w:p w14:paraId="2E2212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B89743D" w14:textId="77777777">
        <w:trPr>
          <w:cantSplit/>
          <w:trHeight w:val="236"/>
        </w:trPr>
        <w:tc>
          <w:tcPr>
            <w:tcW w:w="4253" w:type="dxa"/>
          </w:tcPr>
          <w:p w14:paraId="7963AF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Трудовые затраты в человеко-днях на тонну никеля</w:t>
            </w:r>
          </w:p>
        </w:tc>
        <w:tc>
          <w:tcPr>
            <w:tcW w:w="1213" w:type="dxa"/>
          </w:tcPr>
          <w:p w14:paraId="0041BF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Чел[овеко]/дн[ей]</w:t>
            </w:r>
          </w:p>
        </w:tc>
        <w:tc>
          <w:tcPr>
            <w:tcW w:w="1197" w:type="dxa"/>
          </w:tcPr>
          <w:p w14:paraId="75634F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7DEBD5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5B67BF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362459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E1942EC" w14:textId="77777777">
        <w:trPr>
          <w:cantSplit/>
          <w:trHeight w:val="236"/>
        </w:trPr>
        <w:tc>
          <w:tcPr>
            <w:tcW w:w="4253" w:type="dxa"/>
          </w:tcPr>
          <w:p w14:paraId="533D169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9993F5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71F5F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499F46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E6B30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40" w:type="dxa"/>
            <w:gridSpan w:val="2"/>
          </w:tcPr>
          <w:p w14:paraId="7134B5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EEDC5A4" w14:textId="77777777">
        <w:trPr>
          <w:cantSplit/>
          <w:trHeight w:val="236"/>
        </w:trPr>
        <w:tc>
          <w:tcPr>
            <w:tcW w:w="4253" w:type="dxa"/>
          </w:tcPr>
          <w:p w14:paraId="7A290AE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39468CF"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F8590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021322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322A6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403</w:t>
            </w:r>
          </w:p>
        </w:tc>
        <w:tc>
          <w:tcPr>
            <w:tcW w:w="940" w:type="dxa"/>
            <w:gridSpan w:val="2"/>
          </w:tcPr>
          <w:p w14:paraId="534A92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BB7B22F" w14:textId="77777777">
        <w:trPr>
          <w:cantSplit/>
          <w:trHeight w:val="236"/>
        </w:trPr>
        <w:tc>
          <w:tcPr>
            <w:tcW w:w="4253" w:type="dxa"/>
          </w:tcPr>
          <w:p w14:paraId="32C40D41"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63D4703"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17DA14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24423D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1C46F4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241</w:t>
            </w:r>
          </w:p>
        </w:tc>
        <w:tc>
          <w:tcPr>
            <w:tcW w:w="940" w:type="dxa"/>
            <w:gridSpan w:val="2"/>
          </w:tcPr>
          <w:p w14:paraId="6917A8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7A01F91" w14:textId="77777777">
        <w:trPr>
          <w:cantSplit/>
          <w:trHeight w:val="236"/>
        </w:trPr>
        <w:tc>
          <w:tcPr>
            <w:tcW w:w="4253" w:type="dxa"/>
          </w:tcPr>
          <w:p w14:paraId="613B901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514769C"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D1722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3BA0D9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4C197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158</w:t>
            </w:r>
          </w:p>
        </w:tc>
        <w:tc>
          <w:tcPr>
            <w:tcW w:w="940" w:type="dxa"/>
            <w:gridSpan w:val="2"/>
          </w:tcPr>
          <w:p w14:paraId="31E34A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5A13D11" w14:textId="77777777">
        <w:trPr>
          <w:cantSplit/>
          <w:trHeight w:val="236"/>
        </w:trPr>
        <w:tc>
          <w:tcPr>
            <w:tcW w:w="4253" w:type="dxa"/>
          </w:tcPr>
          <w:p w14:paraId="54E7EB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Трудовые затраты в человеко-днях на тонну угля</w:t>
            </w:r>
          </w:p>
        </w:tc>
        <w:tc>
          <w:tcPr>
            <w:tcW w:w="1213" w:type="dxa"/>
          </w:tcPr>
          <w:p w14:paraId="603D725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058D4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5ADE96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8504E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1,19</w:t>
            </w:r>
          </w:p>
        </w:tc>
        <w:tc>
          <w:tcPr>
            <w:tcW w:w="940" w:type="dxa"/>
            <w:gridSpan w:val="2"/>
          </w:tcPr>
          <w:p w14:paraId="2BD6AC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6E8D1DC" w14:textId="77777777">
        <w:trPr>
          <w:cantSplit/>
          <w:trHeight w:val="236"/>
        </w:trPr>
        <w:tc>
          <w:tcPr>
            <w:tcW w:w="4253" w:type="dxa"/>
          </w:tcPr>
          <w:p w14:paraId="75B097DA"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2BE8EDE"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37B9A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27D41E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0FA6F2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0,90</w:t>
            </w:r>
          </w:p>
        </w:tc>
        <w:tc>
          <w:tcPr>
            <w:tcW w:w="940" w:type="dxa"/>
            <w:gridSpan w:val="2"/>
          </w:tcPr>
          <w:p w14:paraId="12B222A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FBB90BC" w14:textId="77777777">
        <w:trPr>
          <w:cantSplit/>
          <w:trHeight w:val="236"/>
        </w:trPr>
        <w:tc>
          <w:tcPr>
            <w:tcW w:w="4253" w:type="dxa"/>
          </w:tcPr>
          <w:p w14:paraId="3CC7D9A9"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59F602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97" w:type="dxa"/>
          </w:tcPr>
          <w:p w14:paraId="4DBAC9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11D9C6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A9586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0,87</w:t>
            </w:r>
          </w:p>
        </w:tc>
        <w:tc>
          <w:tcPr>
            <w:tcW w:w="940" w:type="dxa"/>
            <w:gridSpan w:val="2"/>
          </w:tcPr>
          <w:p w14:paraId="055096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F93C436" w14:textId="77777777">
        <w:trPr>
          <w:cantSplit/>
          <w:trHeight w:val="236"/>
        </w:trPr>
        <w:tc>
          <w:tcPr>
            <w:tcW w:w="4253" w:type="dxa"/>
          </w:tcPr>
          <w:p w14:paraId="59AC7FCB"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9AF868E"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DC9E0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74B3DC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32EC7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0,64</w:t>
            </w:r>
          </w:p>
        </w:tc>
        <w:tc>
          <w:tcPr>
            <w:tcW w:w="940" w:type="dxa"/>
            <w:gridSpan w:val="2"/>
          </w:tcPr>
          <w:p w14:paraId="24B06E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56AF016" w14:textId="77777777">
        <w:trPr>
          <w:cantSplit/>
          <w:trHeight w:val="236"/>
        </w:trPr>
        <w:tc>
          <w:tcPr>
            <w:tcW w:w="4253" w:type="dxa"/>
          </w:tcPr>
          <w:p w14:paraId="02DB16C6"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A056486"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2BEE44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6EBA0E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2BD8A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0,64</w:t>
            </w:r>
          </w:p>
          <w:p w14:paraId="6C6B513D"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6C189076"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7080870" w14:textId="77777777">
        <w:trPr>
          <w:gridAfter w:val="1"/>
          <w:wAfter w:w="17" w:type="dxa"/>
          <w:cantSplit/>
          <w:trHeight w:val="236"/>
        </w:trPr>
        <w:tc>
          <w:tcPr>
            <w:tcW w:w="4253" w:type="dxa"/>
          </w:tcPr>
          <w:p w14:paraId="728941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11. Простои </w:t>
            </w:r>
            <w:proofErr w:type="gramStart"/>
            <w:r w:rsidRPr="00925F26">
              <w:rPr>
                <w:color w:val="000000" w:themeColor="text1"/>
                <w:sz w:val="16"/>
                <w:szCs w:val="16"/>
              </w:rPr>
              <w:t>производст-венного</w:t>
            </w:r>
            <w:proofErr w:type="gramEnd"/>
            <w:r w:rsidRPr="00925F26">
              <w:rPr>
                <w:color w:val="000000" w:themeColor="text1"/>
                <w:sz w:val="16"/>
                <w:szCs w:val="16"/>
              </w:rPr>
              <w:t xml:space="preserve"> оборудования (в станко-часах)</w:t>
            </w:r>
          </w:p>
        </w:tc>
        <w:tc>
          <w:tcPr>
            <w:tcW w:w="5547" w:type="dxa"/>
            <w:gridSpan w:val="5"/>
          </w:tcPr>
          <w:p w14:paraId="169541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Связи многим разнообразием оборудования дать свободные показатели затруднительно</w:t>
            </w:r>
          </w:p>
        </w:tc>
      </w:tr>
      <w:tr w:rsidR="000F5689" w:rsidRPr="00925F26" w14:paraId="7C11D1EF" w14:textId="77777777">
        <w:trPr>
          <w:gridAfter w:val="1"/>
          <w:wAfter w:w="17" w:type="dxa"/>
          <w:cantSplit/>
          <w:trHeight w:val="236"/>
        </w:trPr>
        <w:tc>
          <w:tcPr>
            <w:tcW w:w="4253" w:type="dxa"/>
          </w:tcPr>
          <w:p w14:paraId="0A3898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12. Выпускаемая </w:t>
            </w:r>
            <w:proofErr w:type="gramStart"/>
            <w:r w:rsidRPr="00925F26">
              <w:rPr>
                <w:color w:val="000000" w:themeColor="text1"/>
                <w:sz w:val="16"/>
                <w:szCs w:val="16"/>
              </w:rPr>
              <w:t>про-дукция</w:t>
            </w:r>
            <w:proofErr w:type="gramEnd"/>
            <w:r w:rsidRPr="00925F26">
              <w:rPr>
                <w:color w:val="000000" w:themeColor="text1"/>
                <w:sz w:val="16"/>
                <w:szCs w:val="16"/>
              </w:rPr>
              <w:t xml:space="preserve"> по годам</w:t>
            </w:r>
          </w:p>
        </w:tc>
        <w:tc>
          <w:tcPr>
            <w:tcW w:w="5547" w:type="dxa"/>
            <w:gridSpan w:val="5"/>
          </w:tcPr>
          <w:p w14:paraId="3840B6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 г.</w:t>
            </w:r>
          </w:p>
          <w:p w14:paraId="25AD15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Уголь, руда, штейн, файнштейн, концентрат, агломерат</w:t>
            </w:r>
          </w:p>
        </w:tc>
      </w:tr>
      <w:tr w:rsidR="000F5689" w:rsidRPr="00925F26" w14:paraId="50700469" w14:textId="77777777">
        <w:trPr>
          <w:gridAfter w:val="1"/>
          <w:wAfter w:w="17" w:type="dxa"/>
          <w:cantSplit/>
          <w:trHeight w:val="236"/>
        </w:trPr>
        <w:tc>
          <w:tcPr>
            <w:tcW w:w="4253" w:type="dxa"/>
          </w:tcPr>
          <w:p w14:paraId="52AFAA52" w14:textId="77777777" w:rsidR="00C2313B" w:rsidRPr="00925F26" w:rsidRDefault="00C2313B" w:rsidP="00925F26">
            <w:pPr>
              <w:autoSpaceDE w:val="0"/>
              <w:autoSpaceDN w:val="0"/>
              <w:adjustRightInd w:val="0"/>
              <w:jc w:val="both"/>
              <w:rPr>
                <w:color w:val="000000" w:themeColor="text1"/>
                <w:sz w:val="16"/>
                <w:szCs w:val="16"/>
              </w:rPr>
            </w:pPr>
          </w:p>
        </w:tc>
        <w:tc>
          <w:tcPr>
            <w:tcW w:w="5547" w:type="dxa"/>
            <w:gridSpan w:val="5"/>
          </w:tcPr>
          <w:p w14:paraId="3825E6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 г.</w:t>
            </w:r>
          </w:p>
          <w:p w14:paraId="20FE22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Уголь, руда, штейн, файнштейн, концентрат, агломерат, черновая медь</w:t>
            </w:r>
          </w:p>
        </w:tc>
      </w:tr>
      <w:tr w:rsidR="000F5689" w:rsidRPr="00925F26" w14:paraId="63672613" w14:textId="77777777">
        <w:trPr>
          <w:gridAfter w:val="1"/>
          <w:wAfter w:w="17" w:type="dxa"/>
          <w:cantSplit/>
          <w:trHeight w:val="236"/>
        </w:trPr>
        <w:tc>
          <w:tcPr>
            <w:tcW w:w="4253" w:type="dxa"/>
          </w:tcPr>
          <w:p w14:paraId="7466015D" w14:textId="77777777" w:rsidR="00C2313B" w:rsidRPr="00925F26" w:rsidRDefault="00C2313B" w:rsidP="00925F26">
            <w:pPr>
              <w:autoSpaceDE w:val="0"/>
              <w:autoSpaceDN w:val="0"/>
              <w:adjustRightInd w:val="0"/>
              <w:jc w:val="both"/>
              <w:rPr>
                <w:color w:val="000000" w:themeColor="text1"/>
                <w:sz w:val="16"/>
                <w:szCs w:val="16"/>
              </w:rPr>
            </w:pPr>
          </w:p>
        </w:tc>
        <w:tc>
          <w:tcPr>
            <w:tcW w:w="5547" w:type="dxa"/>
            <w:gridSpan w:val="5"/>
          </w:tcPr>
          <w:p w14:paraId="084F49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 г.</w:t>
            </w:r>
          </w:p>
          <w:p w14:paraId="64B3DE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Уголь, руда, штейн. файнштейн, концентрат, агломерат, черновая медь, электорлитный никель, плаиноиды, цемент, карбид кальция</w:t>
            </w:r>
          </w:p>
        </w:tc>
      </w:tr>
      <w:tr w:rsidR="000F5689" w:rsidRPr="00925F26" w14:paraId="4DBF57D4" w14:textId="77777777">
        <w:trPr>
          <w:gridAfter w:val="1"/>
          <w:wAfter w:w="17" w:type="dxa"/>
          <w:cantSplit/>
          <w:trHeight w:val="236"/>
        </w:trPr>
        <w:tc>
          <w:tcPr>
            <w:tcW w:w="4253" w:type="dxa"/>
          </w:tcPr>
          <w:p w14:paraId="072C83E4" w14:textId="77777777" w:rsidR="00C2313B" w:rsidRPr="00925F26" w:rsidRDefault="00C2313B" w:rsidP="00925F26">
            <w:pPr>
              <w:autoSpaceDE w:val="0"/>
              <w:autoSpaceDN w:val="0"/>
              <w:adjustRightInd w:val="0"/>
              <w:jc w:val="both"/>
              <w:rPr>
                <w:color w:val="000000" w:themeColor="text1"/>
                <w:sz w:val="16"/>
                <w:szCs w:val="16"/>
              </w:rPr>
            </w:pPr>
          </w:p>
        </w:tc>
        <w:tc>
          <w:tcPr>
            <w:tcW w:w="5547" w:type="dxa"/>
            <w:gridSpan w:val="5"/>
          </w:tcPr>
          <w:p w14:paraId="51CC85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[19]43-[19]44 г.</w:t>
            </w:r>
          </w:p>
          <w:p w14:paraId="2E2147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Уголь, руда, концентрат, агломерат, никель, медь черновая, медь электоролитная, платиноиды, цемент, карбид кальция, бисульфат, серная кислота, жидкое стекло, огнеупоры</w:t>
            </w:r>
          </w:p>
        </w:tc>
      </w:tr>
      <w:tr w:rsidR="000F5689" w:rsidRPr="00925F26" w14:paraId="3D550D06" w14:textId="77777777">
        <w:trPr>
          <w:cantSplit/>
          <w:trHeight w:val="236"/>
        </w:trPr>
        <w:tc>
          <w:tcPr>
            <w:tcW w:w="4253" w:type="dxa"/>
          </w:tcPr>
          <w:p w14:paraId="409931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 Потери от производственного брака (в % к сумме стоимости валового выпуска)</w:t>
            </w:r>
          </w:p>
        </w:tc>
        <w:tc>
          <w:tcPr>
            <w:tcW w:w="1213" w:type="dxa"/>
          </w:tcPr>
          <w:p w14:paraId="5005A6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w:t>
            </w:r>
          </w:p>
        </w:tc>
        <w:tc>
          <w:tcPr>
            <w:tcW w:w="1197" w:type="dxa"/>
          </w:tcPr>
          <w:p w14:paraId="03E381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134" w:type="dxa"/>
          </w:tcPr>
          <w:p w14:paraId="49E3BD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40F3BF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940" w:type="dxa"/>
            <w:gridSpan w:val="2"/>
          </w:tcPr>
          <w:p w14:paraId="62038D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2FC66A9" w14:textId="77777777">
        <w:trPr>
          <w:cantSplit/>
          <w:trHeight w:val="236"/>
        </w:trPr>
        <w:tc>
          <w:tcPr>
            <w:tcW w:w="4253" w:type="dxa"/>
          </w:tcPr>
          <w:p w14:paraId="02E18024"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FFD9A34"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F118E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3F915A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465B83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940" w:type="dxa"/>
            <w:gridSpan w:val="2"/>
          </w:tcPr>
          <w:p w14:paraId="3FC27B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E97F1EF" w14:textId="77777777">
        <w:trPr>
          <w:cantSplit/>
          <w:trHeight w:val="236"/>
        </w:trPr>
        <w:tc>
          <w:tcPr>
            <w:tcW w:w="4253" w:type="dxa"/>
          </w:tcPr>
          <w:p w14:paraId="47FB17CB"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6CC9BA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27BB4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1134" w:type="dxa"/>
          </w:tcPr>
          <w:p w14:paraId="0ED013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5F96E1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940" w:type="dxa"/>
            <w:gridSpan w:val="2"/>
          </w:tcPr>
          <w:p w14:paraId="3A4B1C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9AEA49C" w14:textId="77777777">
        <w:trPr>
          <w:cantSplit/>
          <w:trHeight w:val="236"/>
        </w:trPr>
        <w:tc>
          <w:tcPr>
            <w:tcW w:w="4253" w:type="dxa"/>
          </w:tcPr>
          <w:p w14:paraId="56295CE7"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0BDDE629"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AD357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1134" w:type="dxa"/>
          </w:tcPr>
          <w:p w14:paraId="78BDD6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5E244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940" w:type="dxa"/>
            <w:gridSpan w:val="2"/>
          </w:tcPr>
          <w:p w14:paraId="747939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8478D16" w14:textId="77777777">
        <w:trPr>
          <w:cantSplit/>
          <w:trHeight w:val="236"/>
        </w:trPr>
        <w:tc>
          <w:tcPr>
            <w:tcW w:w="4253" w:type="dxa"/>
          </w:tcPr>
          <w:p w14:paraId="6BEDEB4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2168179A"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15E3E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1134" w:type="dxa"/>
          </w:tcPr>
          <w:p w14:paraId="079FA9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13407E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940" w:type="dxa"/>
            <w:gridSpan w:val="2"/>
          </w:tcPr>
          <w:p w14:paraId="2C3354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08D031E" w14:textId="77777777">
        <w:trPr>
          <w:gridAfter w:val="1"/>
          <w:wAfter w:w="17" w:type="dxa"/>
          <w:cantSplit/>
          <w:trHeight w:val="236"/>
        </w:trPr>
        <w:tc>
          <w:tcPr>
            <w:tcW w:w="4253" w:type="dxa"/>
          </w:tcPr>
          <w:p w14:paraId="7BFC73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 Текучесть рабочей силы</w:t>
            </w:r>
          </w:p>
        </w:tc>
        <w:tc>
          <w:tcPr>
            <w:tcW w:w="5547" w:type="dxa"/>
            <w:gridSpan w:val="5"/>
          </w:tcPr>
          <w:p w14:paraId="1EE55F7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связи [со] специальными условиями (лагерь) показателей привести нельзя.</w:t>
            </w:r>
          </w:p>
        </w:tc>
      </w:tr>
      <w:tr w:rsidR="000F5689" w:rsidRPr="00925F26" w14:paraId="00BA6E58" w14:textId="77777777">
        <w:trPr>
          <w:gridAfter w:val="1"/>
          <w:wAfter w:w="17" w:type="dxa"/>
          <w:cantSplit/>
          <w:trHeight w:val="236"/>
        </w:trPr>
        <w:tc>
          <w:tcPr>
            <w:tcW w:w="4253" w:type="dxa"/>
          </w:tcPr>
          <w:p w14:paraId="1CBD85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15. Объем </w:t>
            </w:r>
            <w:proofErr w:type="gramStart"/>
            <w:r w:rsidRPr="00925F26">
              <w:rPr>
                <w:color w:val="000000" w:themeColor="text1"/>
                <w:sz w:val="16"/>
                <w:szCs w:val="16"/>
              </w:rPr>
              <w:t>капитало-вложений</w:t>
            </w:r>
            <w:proofErr w:type="gramEnd"/>
          </w:p>
        </w:tc>
        <w:tc>
          <w:tcPr>
            <w:tcW w:w="1211" w:type="dxa"/>
          </w:tcPr>
          <w:p w14:paraId="2DB331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мл[н]. р[уб].</w:t>
            </w:r>
          </w:p>
        </w:tc>
        <w:tc>
          <w:tcPr>
            <w:tcW w:w="1199" w:type="dxa"/>
          </w:tcPr>
          <w:p w14:paraId="4E905B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13199C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1082" w:type="dxa"/>
          </w:tcPr>
          <w:p w14:paraId="58A4B4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133</w:t>
            </w:r>
          </w:p>
        </w:tc>
        <w:tc>
          <w:tcPr>
            <w:tcW w:w="921" w:type="dxa"/>
          </w:tcPr>
          <w:p w14:paraId="41B2BA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113</w:t>
            </w:r>
          </w:p>
        </w:tc>
      </w:tr>
      <w:tr w:rsidR="000F5689" w:rsidRPr="00925F26" w14:paraId="18D66391" w14:textId="77777777">
        <w:trPr>
          <w:gridAfter w:val="1"/>
          <w:wAfter w:w="17" w:type="dxa"/>
          <w:cantSplit/>
          <w:trHeight w:val="236"/>
        </w:trPr>
        <w:tc>
          <w:tcPr>
            <w:tcW w:w="4253" w:type="dxa"/>
          </w:tcPr>
          <w:p w14:paraId="0B27E1B1"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1409EDDD"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5BF6FC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2D4F3D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167</w:t>
            </w:r>
          </w:p>
        </w:tc>
        <w:tc>
          <w:tcPr>
            <w:tcW w:w="1082" w:type="dxa"/>
          </w:tcPr>
          <w:p w14:paraId="53EEBB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171</w:t>
            </w:r>
          </w:p>
        </w:tc>
        <w:tc>
          <w:tcPr>
            <w:tcW w:w="921" w:type="dxa"/>
          </w:tcPr>
          <w:p w14:paraId="089D62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103</w:t>
            </w:r>
          </w:p>
        </w:tc>
      </w:tr>
      <w:tr w:rsidR="000F5689" w:rsidRPr="00925F26" w14:paraId="32D96928" w14:textId="77777777">
        <w:trPr>
          <w:gridAfter w:val="1"/>
          <w:wAfter w:w="17" w:type="dxa"/>
          <w:cantSplit/>
          <w:trHeight w:val="236"/>
        </w:trPr>
        <w:tc>
          <w:tcPr>
            <w:tcW w:w="4253" w:type="dxa"/>
          </w:tcPr>
          <w:p w14:paraId="73B67555"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39C03EE8"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1F3A1C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135218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180</w:t>
            </w:r>
          </w:p>
        </w:tc>
        <w:tc>
          <w:tcPr>
            <w:tcW w:w="1082" w:type="dxa"/>
          </w:tcPr>
          <w:p w14:paraId="4F9220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921" w:type="dxa"/>
          </w:tcPr>
          <w:p w14:paraId="33E352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102</w:t>
            </w:r>
          </w:p>
        </w:tc>
      </w:tr>
      <w:tr w:rsidR="000F5689" w:rsidRPr="00925F26" w14:paraId="637863D6" w14:textId="77777777">
        <w:trPr>
          <w:gridAfter w:val="1"/>
          <w:wAfter w:w="17" w:type="dxa"/>
          <w:cantSplit/>
          <w:trHeight w:val="236"/>
        </w:trPr>
        <w:tc>
          <w:tcPr>
            <w:tcW w:w="4253" w:type="dxa"/>
          </w:tcPr>
          <w:p w14:paraId="59A3EFCF"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0133AE98"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36BDC1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28ABB1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082" w:type="dxa"/>
          </w:tcPr>
          <w:p w14:paraId="5DCF27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921" w:type="dxa"/>
          </w:tcPr>
          <w:p w14:paraId="6F3BC8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w:t>
            </w:r>
          </w:p>
        </w:tc>
      </w:tr>
      <w:tr w:rsidR="000F5689" w:rsidRPr="00925F26" w14:paraId="01C5EB09" w14:textId="77777777">
        <w:trPr>
          <w:gridAfter w:val="1"/>
          <w:wAfter w:w="17" w:type="dxa"/>
          <w:cantSplit/>
          <w:trHeight w:val="236"/>
        </w:trPr>
        <w:tc>
          <w:tcPr>
            <w:tcW w:w="4253" w:type="dxa"/>
          </w:tcPr>
          <w:p w14:paraId="1C9AF338"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7F716316"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3BF348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7F349D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158</w:t>
            </w:r>
          </w:p>
        </w:tc>
        <w:tc>
          <w:tcPr>
            <w:tcW w:w="1082" w:type="dxa"/>
          </w:tcPr>
          <w:p w14:paraId="208EE1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165</w:t>
            </w:r>
          </w:p>
        </w:tc>
        <w:tc>
          <w:tcPr>
            <w:tcW w:w="921" w:type="dxa"/>
          </w:tcPr>
          <w:p w14:paraId="245F94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w:t>
            </w:r>
          </w:p>
        </w:tc>
      </w:tr>
      <w:tr w:rsidR="000F5689" w:rsidRPr="00925F26" w14:paraId="1151694F" w14:textId="77777777">
        <w:trPr>
          <w:gridAfter w:val="1"/>
          <w:wAfter w:w="17" w:type="dxa"/>
          <w:cantSplit/>
          <w:trHeight w:val="236"/>
        </w:trPr>
        <w:tc>
          <w:tcPr>
            <w:tcW w:w="4253" w:type="dxa"/>
          </w:tcPr>
          <w:p w14:paraId="20D65E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Рост мощностей электростанций</w:t>
            </w:r>
          </w:p>
        </w:tc>
        <w:tc>
          <w:tcPr>
            <w:tcW w:w="1211" w:type="dxa"/>
          </w:tcPr>
          <w:p w14:paraId="5AFC26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кВт</w:t>
            </w:r>
          </w:p>
        </w:tc>
        <w:tc>
          <w:tcPr>
            <w:tcW w:w="1199" w:type="dxa"/>
          </w:tcPr>
          <w:p w14:paraId="166046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068B83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313AB8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21" w:type="dxa"/>
          </w:tcPr>
          <w:p w14:paraId="34D2AD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8FD063B" w14:textId="77777777">
        <w:trPr>
          <w:gridAfter w:val="1"/>
          <w:wAfter w:w="17" w:type="dxa"/>
          <w:cantSplit/>
          <w:trHeight w:val="236"/>
        </w:trPr>
        <w:tc>
          <w:tcPr>
            <w:tcW w:w="4253" w:type="dxa"/>
          </w:tcPr>
          <w:p w14:paraId="7B41A8BA"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20F2EE25"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22A6BD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71C4DE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288713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21" w:type="dxa"/>
          </w:tcPr>
          <w:p w14:paraId="610BB3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FDA78EB" w14:textId="77777777">
        <w:trPr>
          <w:gridAfter w:val="1"/>
          <w:wAfter w:w="17" w:type="dxa"/>
          <w:cantSplit/>
          <w:trHeight w:val="236"/>
        </w:trPr>
        <w:tc>
          <w:tcPr>
            <w:tcW w:w="4253" w:type="dxa"/>
          </w:tcPr>
          <w:p w14:paraId="3DE4C19A"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0BE40551"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45ACBC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0EBA37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18F69A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10000</w:t>
            </w:r>
          </w:p>
        </w:tc>
        <w:tc>
          <w:tcPr>
            <w:tcW w:w="921" w:type="dxa"/>
          </w:tcPr>
          <w:p w14:paraId="479A91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FFD5A29" w14:textId="77777777">
        <w:trPr>
          <w:gridAfter w:val="1"/>
          <w:wAfter w:w="17" w:type="dxa"/>
          <w:cantSplit/>
          <w:trHeight w:val="236"/>
        </w:trPr>
        <w:tc>
          <w:tcPr>
            <w:tcW w:w="4253" w:type="dxa"/>
          </w:tcPr>
          <w:p w14:paraId="4B5D9A99"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6100C782"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75F29D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7794A2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1C1C20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35000</w:t>
            </w:r>
          </w:p>
        </w:tc>
        <w:tc>
          <w:tcPr>
            <w:tcW w:w="921" w:type="dxa"/>
          </w:tcPr>
          <w:p w14:paraId="7E272D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628CE59" w14:textId="77777777">
        <w:trPr>
          <w:gridAfter w:val="1"/>
          <w:wAfter w:w="17" w:type="dxa"/>
          <w:cantSplit/>
          <w:trHeight w:val="236"/>
        </w:trPr>
        <w:tc>
          <w:tcPr>
            <w:tcW w:w="4253" w:type="dxa"/>
          </w:tcPr>
          <w:p w14:paraId="7578BAEC"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33A7DC62"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49BE5D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271FEA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0E777A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60000</w:t>
            </w:r>
          </w:p>
        </w:tc>
        <w:tc>
          <w:tcPr>
            <w:tcW w:w="921" w:type="dxa"/>
          </w:tcPr>
          <w:p w14:paraId="1895CE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07A7F2A" w14:textId="77777777">
        <w:trPr>
          <w:gridAfter w:val="1"/>
          <w:wAfter w:w="17" w:type="dxa"/>
          <w:cantSplit/>
          <w:trHeight w:val="236"/>
        </w:trPr>
        <w:tc>
          <w:tcPr>
            <w:tcW w:w="4253" w:type="dxa"/>
          </w:tcPr>
          <w:p w14:paraId="268114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а) Выработка электроэнергии</w:t>
            </w:r>
          </w:p>
        </w:tc>
        <w:tc>
          <w:tcPr>
            <w:tcW w:w="1211" w:type="dxa"/>
          </w:tcPr>
          <w:p w14:paraId="40F01F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тыс[яч] кВт/ч</w:t>
            </w:r>
          </w:p>
        </w:tc>
        <w:tc>
          <w:tcPr>
            <w:tcW w:w="1199" w:type="dxa"/>
          </w:tcPr>
          <w:p w14:paraId="56F43A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728750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20000</w:t>
            </w:r>
          </w:p>
        </w:tc>
        <w:tc>
          <w:tcPr>
            <w:tcW w:w="1082" w:type="dxa"/>
          </w:tcPr>
          <w:p w14:paraId="4C235E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15369</w:t>
            </w:r>
          </w:p>
        </w:tc>
        <w:tc>
          <w:tcPr>
            <w:tcW w:w="921" w:type="dxa"/>
          </w:tcPr>
          <w:p w14:paraId="03F1DB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76</w:t>
            </w:r>
          </w:p>
        </w:tc>
      </w:tr>
      <w:tr w:rsidR="000F5689" w:rsidRPr="00925F26" w14:paraId="58586628" w14:textId="77777777">
        <w:trPr>
          <w:gridAfter w:val="1"/>
          <w:wAfter w:w="17" w:type="dxa"/>
          <w:cantSplit/>
          <w:trHeight w:val="236"/>
        </w:trPr>
        <w:tc>
          <w:tcPr>
            <w:tcW w:w="4253" w:type="dxa"/>
          </w:tcPr>
          <w:p w14:paraId="266D676B"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4E2542C5"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067F63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601F8A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1082" w:type="dxa"/>
          </w:tcPr>
          <w:p w14:paraId="351A32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27956</w:t>
            </w:r>
          </w:p>
        </w:tc>
        <w:tc>
          <w:tcPr>
            <w:tcW w:w="921" w:type="dxa"/>
          </w:tcPr>
          <w:p w14:paraId="491226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94</w:t>
            </w:r>
          </w:p>
        </w:tc>
      </w:tr>
      <w:tr w:rsidR="000F5689" w:rsidRPr="00925F26" w14:paraId="3E1E0C0D" w14:textId="77777777">
        <w:trPr>
          <w:gridAfter w:val="1"/>
          <w:wAfter w:w="17" w:type="dxa"/>
          <w:cantSplit/>
          <w:trHeight w:val="236"/>
        </w:trPr>
        <w:tc>
          <w:tcPr>
            <w:tcW w:w="4253" w:type="dxa"/>
          </w:tcPr>
          <w:p w14:paraId="5253E878"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780A188F"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365D25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2E70B9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43240</w:t>
            </w:r>
          </w:p>
        </w:tc>
        <w:tc>
          <w:tcPr>
            <w:tcW w:w="1082" w:type="dxa"/>
          </w:tcPr>
          <w:p w14:paraId="357E09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57139</w:t>
            </w:r>
          </w:p>
        </w:tc>
        <w:tc>
          <w:tcPr>
            <w:tcW w:w="921" w:type="dxa"/>
          </w:tcPr>
          <w:p w14:paraId="3F3DBA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132</w:t>
            </w:r>
          </w:p>
        </w:tc>
      </w:tr>
      <w:tr w:rsidR="000F5689" w:rsidRPr="00925F26" w14:paraId="669A4B9A" w14:textId="77777777">
        <w:trPr>
          <w:gridAfter w:val="1"/>
          <w:wAfter w:w="17" w:type="dxa"/>
          <w:cantSplit/>
          <w:trHeight w:val="236"/>
        </w:trPr>
        <w:tc>
          <w:tcPr>
            <w:tcW w:w="4253" w:type="dxa"/>
          </w:tcPr>
          <w:p w14:paraId="21C1256B"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09C5336B"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6D5256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0ACE5D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180000</w:t>
            </w:r>
          </w:p>
        </w:tc>
        <w:tc>
          <w:tcPr>
            <w:tcW w:w="1082" w:type="dxa"/>
          </w:tcPr>
          <w:p w14:paraId="29F506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139187</w:t>
            </w:r>
          </w:p>
        </w:tc>
        <w:tc>
          <w:tcPr>
            <w:tcW w:w="921" w:type="dxa"/>
          </w:tcPr>
          <w:p w14:paraId="381707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77</w:t>
            </w:r>
          </w:p>
        </w:tc>
      </w:tr>
      <w:tr w:rsidR="000F5689" w:rsidRPr="00925F26" w14:paraId="32538463" w14:textId="77777777">
        <w:trPr>
          <w:gridAfter w:val="1"/>
          <w:wAfter w:w="17" w:type="dxa"/>
          <w:cantSplit/>
          <w:trHeight w:val="236"/>
        </w:trPr>
        <w:tc>
          <w:tcPr>
            <w:tcW w:w="4253" w:type="dxa"/>
          </w:tcPr>
          <w:p w14:paraId="485332DA"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3AD2C237"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42719C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1B9A83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175000</w:t>
            </w:r>
          </w:p>
        </w:tc>
        <w:tc>
          <w:tcPr>
            <w:tcW w:w="1082" w:type="dxa"/>
          </w:tcPr>
          <w:p w14:paraId="11C4E2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193375</w:t>
            </w:r>
          </w:p>
        </w:tc>
        <w:tc>
          <w:tcPr>
            <w:tcW w:w="921" w:type="dxa"/>
          </w:tcPr>
          <w:p w14:paraId="493932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110</w:t>
            </w:r>
          </w:p>
        </w:tc>
      </w:tr>
      <w:tr w:rsidR="000F5689" w:rsidRPr="00925F26" w14:paraId="2E65A220" w14:textId="77777777">
        <w:trPr>
          <w:gridAfter w:val="1"/>
          <w:wAfter w:w="17" w:type="dxa"/>
          <w:cantSplit/>
          <w:trHeight w:val="236"/>
        </w:trPr>
        <w:tc>
          <w:tcPr>
            <w:tcW w:w="4253" w:type="dxa"/>
          </w:tcPr>
          <w:p w14:paraId="490A97AA"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36693C76"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7E413D53" w14:textId="77777777" w:rsidR="00C2313B" w:rsidRPr="00925F26" w:rsidRDefault="00C2313B" w:rsidP="00925F26">
            <w:pPr>
              <w:autoSpaceDE w:val="0"/>
              <w:autoSpaceDN w:val="0"/>
              <w:adjustRightInd w:val="0"/>
              <w:jc w:val="both"/>
              <w:rPr>
                <w:color w:val="000000" w:themeColor="text1"/>
                <w:sz w:val="16"/>
                <w:szCs w:val="16"/>
              </w:rPr>
            </w:pPr>
          </w:p>
        </w:tc>
        <w:tc>
          <w:tcPr>
            <w:tcW w:w="1134" w:type="dxa"/>
          </w:tcPr>
          <w:p w14:paraId="27DA9DC7" w14:textId="77777777" w:rsidR="00C2313B" w:rsidRPr="00925F26" w:rsidRDefault="00C2313B" w:rsidP="00925F26">
            <w:pPr>
              <w:autoSpaceDE w:val="0"/>
              <w:autoSpaceDN w:val="0"/>
              <w:adjustRightInd w:val="0"/>
              <w:jc w:val="both"/>
              <w:rPr>
                <w:color w:val="000000" w:themeColor="text1"/>
                <w:sz w:val="16"/>
                <w:szCs w:val="16"/>
              </w:rPr>
            </w:pPr>
          </w:p>
        </w:tc>
        <w:tc>
          <w:tcPr>
            <w:tcW w:w="1082" w:type="dxa"/>
          </w:tcPr>
          <w:p w14:paraId="08E3A241" w14:textId="77777777" w:rsidR="00C2313B" w:rsidRPr="00925F26" w:rsidRDefault="00C2313B" w:rsidP="00925F26">
            <w:pPr>
              <w:autoSpaceDE w:val="0"/>
              <w:autoSpaceDN w:val="0"/>
              <w:adjustRightInd w:val="0"/>
              <w:jc w:val="both"/>
              <w:rPr>
                <w:color w:val="000000" w:themeColor="text1"/>
                <w:sz w:val="16"/>
                <w:szCs w:val="16"/>
              </w:rPr>
            </w:pPr>
          </w:p>
        </w:tc>
        <w:tc>
          <w:tcPr>
            <w:tcW w:w="921" w:type="dxa"/>
          </w:tcPr>
          <w:p w14:paraId="1FD44B9E"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2072AE8D" w14:textId="77777777">
        <w:trPr>
          <w:gridAfter w:val="1"/>
          <w:wAfter w:w="17" w:type="dxa"/>
          <w:cantSplit/>
          <w:trHeight w:val="236"/>
        </w:trPr>
        <w:tc>
          <w:tcPr>
            <w:tcW w:w="4253" w:type="dxa"/>
          </w:tcPr>
          <w:p w14:paraId="0C0962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 б) Потребление электроэнергии</w:t>
            </w:r>
          </w:p>
        </w:tc>
        <w:tc>
          <w:tcPr>
            <w:tcW w:w="1211" w:type="dxa"/>
          </w:tcPr>
          <w:p w14:paraId="5F07DC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1 кВт/ч</w:t>
            </w:r>
          </w:p>
        </w:tc>
        <w:tc>
          <w:tcPr>
            <w:tcW w:w="1199" w:type="dxa"/>
          </w:tcPr>
          <w:p w14:paraId="4BA1C1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177831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79154E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12297</w:t>
            </w:r>
          </w:p>
        </w:tc>
        <w:tc>
          <w:tcPr>
            <w:tcW w:w="921" w:type="dxa"/>
          </w:tcPr>
          <w:p w14:paraId="417429C1"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0709EBBC" w14:textId="77777777">
        <w:trPr>
          <w:gridAfter w:val="1"/>
          <w:wAfter w:w="17" w:type="dxa"/>
          <w:cantSplit/>
          <w:trHeight w:val="236"/>
        </w:trPr>
        <w:tc>
          <w:tcPr>
            <w:tcW w:w="4253" w:type="dxa"/>
          </w:tcPr>
          <w:p w14:paraId="6A9F1E1A"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7552C533"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03643C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37626D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5613F4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22222</w:t>
            </w:r>
          </w:p>
        </w:tc>
        <w:tc>
          <w:tcPr>
            <w:tcW w:w="921" w:type="dxa"/>
          </w:tcPr>
          <w:p w14:paraId="5694017D"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5D2F087F" w14:textId="77777777">
        <w:trPr>
          <w:gridAfter w:val="1"/>
          <w:wAfter w:w="17" w:type="dxa"/>
          <w:cantSplit/>
          <w:trHeight w:val="236"/>
        </w:trPr>
        <w:tc>
          <w:tcPr>
            <w:tcW w:w="4253" w:type="dxa"/>
          </w:tcPr>
          <w:p w14:paraId="22A53E2D"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384F04A3"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4A71B5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0741A3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7C377D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49054</w:t>
            </w:r>
          </w:p>
        </w:tc>
        <w:tc>
          <w:tcPr>
            <w:tcW w:w="921" w:type="dxa"/>
          </w:tcPr>
          <w:p w14:paraId="77D2630E"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0DCB885F" w14:textId="77777777">
        <w:trPr>
          <w:gridAfter w:val="1"/>
          <w:wAfter w:w="17" w:type="dxa"/>
          <w:cantSplit/>
          <w:trHeight w:val="236"/>
        </w:trPr>
        <w:tc>
          <w:tcPr>
            <w:tcW w:w="4253" w:type="dxa"/>
          </w:tcPr>
          <w:p w14:paraId="7065C614"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0B6CD438"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691631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1388F2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07D2DE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105152</w:t>
            </w:r>
          </w:p>
        </w:tc>
        <w:tc>
          <w:tcPr>
            <w:tcW w:w="921" w:type="dxa"/>
          </w:tcPr>
          <w:p w14:paraId="3FAA92B9"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14A830EC" w14:textId="77777777">
        <w:trPr>
          <w:gridAfter w:val="1"/>
          <w:wAfter w:w="17" w:type="dxa"/>
          <w:cantSplit/>
          <w:trHeight w:val="236"/>
        </w:trPr>
        <w:tc>
          <w:tcPr>
            <w:tcW w:w="4253" w:type="dxa"/>
          </w:tcPr>
          <w:p w14:paraId="543B4AB9" w14:textId="77777777" w:rsidR="00C2313B" w:rsidRPr="00925F26" w:rsidRDefault="00C2313B" w:rsidP="00925F26">
            <w:pPr>
              <w:autoSpaceDE w:val="0"/>
              <w:autoSpaceDN w:val="0"/>
              <w:adjustRightInd w:val="0"/>
              <w:jc w:val="both"/>
              <w:rPr>
                <w:color w:val="000000" w:themeColor="text1"/>
                <w:sz w:val="16"/>
                <w:szCs w:val="16"/>
              </w:rPr>
            </w:pPr>
          </w:p>
        </w:tc>
        <w:tc>
          <w:tcPr>
            <w:tcW w:w="1211" w:type="dxa"/>
          </w:tcPr>
          <w:p w14:paraId="01AE8D7A" w14:textId="77777777" w:rsidR="00C2313B" w:rsidRPr="00925F26" w:rsidRDefault="00C2313B" w:rsidP="00925F26">
            <w:pPr>
              <w:autoSpaceDE w:val="0"/>
              <w:autoSpaceDN w:val="0"/>
              <w:adjustRightInd w:val="0"/>
              <w:jc w:val="both"/>
              <w:rPr>
                <w:color w:val="000000" w:themeColor="text1"/>
                <w:sz w:val="16"/>
                <w:szCs w:val="16"/>
              </w:rPr>
            </w:pPr>
          </w:p>
        </w:tc>
        <w:tc>
          <w:tcPr>
            <w:tcW w:w="1199" w:type="dxa"/>
          </w:tcPr>
          <w:p w14:paraId="207634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71D727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2" w:type="dxa"/>
          </w:tcPr>
          <w:p w14:paraId="66191D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163508</w:t>
            </w:r>
          </w:p>
        </w:tc>
        <w:tc>
          <w:tcPr>
            <w:tcW w:w="921" w:type="dxa"/>
          </w:tcPr>
          <w:p w14:paraId="6C9E6C28"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1E7FB0D9" w14:textId="77777777">
        <w:trPr>
          <w:gridAfter w:val="1"/>
          <w:wAfter w:w="17" w:type="dxa"/>
          <w:cantSplit/>
          <w:trHeight w:val="236"/>
        </w:trPr>
        <w:tc>
          <w:tcPr>
            <w:tcW w:w="4253" w:type="dxa"/>
          </w:tcPr>
          <w:p w14:paraId="136980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 Участие комбината во всесоюзном соревновании</w:t>
            </w:r>
          </w:p>
        </w:tc>
        <w:tc>
          <w:tcPr>
            <w:tcW w:w="5547" w:type="dxa"/>
            <w:gridSpan w:val="5"/>
          </w:tcPr>
          <w:p w14:paraId="518346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году участвуя во Всесоюзном соревновании комбинат за свою работу шесть раз получал переходящее Красное Знамя Государственного Комитета Обороны. Это знамя для предприятий НКВД установлено ГКО только в мае месяце 1944 года, в предыдущие годы его не было.</w:t>
            </w:r>
          </w:p>
          <w:p w14:paraId="344036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в 1944 г. Норильская Теплоэлектроцентраль во Всесоюзном соревновании промышленных электростанций 4 раза получала переходящее красное Знамя Государственного Комитета Обороны.</w:t>
            </w:r>
          </w:p>
        </w:tc>
      </w:tr>
      <w:tr w:rsidR="000F5689" w:rsidRPr="00925F26" w14:paraId="653D7CC1" w14:textId="77777777">
        <w:trPr>
          <w:cantSplit/>
          <w:trHeight w:val="236"/>
        </w:trPr>
        <w:tc>
          <w:tcPr>
            <w:tcW w:w="4253" w:type="dxa"/>
          </w:tcPr>
          <w:p w14:paraId="23B028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 Задачи 1945 года в процентах к плану 1944 года:</w:t>
            </w:r>
          </w:p>
          <w:p w14:paraId="380730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уголь</w:t>
            </w:r>
          </w:p>
          <w:p w14:paraId="06D785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руда</w:t>
            </w:r>
          </w:p>
          <w:p w14:paraId="1538BD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никель</w:t>
            </w:r>
          </w:p>
          <w:p w14:paraId="3CBD00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медь</w:t>
            </w:r>
          </w:p>
          <w:p w14:paraId="39BD4A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платиноиды</w:t>
            </w:r>
          </w:p>
          <w:p w14:paraId="2DD227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строительство</w:t>
            </w:r>
          </w:p>
        </w:tc>
        <w:tc>
          <w:tcPr>
            <w:tcW w:w="1213" w:type="dxa"/>
          </w:tcPr>
          <w:p w14:paraId="7253DC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w:t>
            </w:r>
          </w:p>
        </w:tc>
        <w:tc>
          <w:tcPr>
            <w:tcW w:w="1197" w:type="dxa"/>
          </w:tcPr>
          <w:p w14:paraId="164DC61C" w14:textId="77777777" w:rsidR="00C2313B" w:rsidRPr="00925F26" w:rsidRDefault="00C2313B" w:rsidP="00925F26">
            <w:pPr>
              <w:autoSpaceDE w:val="0"/>
              <w:autoSpaceDN w:val="0"/>
              <w:adjustRightInd w:val="0"/>
              <w:jc w:val="both"/>
              <w:rPr>
                <w:color w:val="000000" w:themeColor="text1"/>
                <w:sz w:val="16"/>
                <w:szCs w:val="16"/>
              </w:rPr>
            </w:pPr>
          </w:p>
        </w:tc>
        <w:tc>
          <w:tcPr>
            <w:tcW w:w="1134" w:type="dxa"/>
          </w:tcPr>
          <w:p w14:paraId="40B5EB53"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1E11B01D"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279DFDA9" w14:textId="77777777" w:rsidR="00C2313B" w:rsidRPr="00925F26" w:rsidRDefault="00C2313B" w:rsidP="00925F26">
            <w:pPr>
              <w:autoSpaceDE w:val="0"/>
              <w:autoSpaceDN w:val="0"/>
              <w:adjustRightInd w:val="0"/>
              <w:jc w:val="both"/>
              <w:rPr>
                <w:color w:val="000000" w:themeColor="text1"/>
                <w:sz w:val="16"/>
                <w:szCs w:val="16"/>
              </w:rPr>
            </w:pPr>
          </w:p>
          <w:p w14:paraId="73190DEA" w14:textId="77777777" w:rsidR="00C2313B" w:rsidRPr="00925F26" w:rsidRDefault="00C2313B" w:rsidP="00925F26">
            <w:pPr>
              <w:autoSpaceDE w:val="0"/>
              <w:autoSpaceDN w:val="0"/>
              <w:adjustRightInd w:val="0"/>
              <w:jc w:val="both"/>
              <w:rPr>
                <w:color w:val="000000" w:themeColor="text1"/>
                <w:sz w:val="16"/>
                <w:szCs w:val="16"/>
              </w:rPr>
            </w:pPr>
          </w:p>
          <w:p w14:paraId="2337BBD3" w14:textId="77777777" w:rsidR="00C2313B" w:rsidRPr="00925F26" w:rsidRDefault="00C2313B" w:rsidP="00925F26">
            <w:pPr>
              <w:autoSpaceDE w:val="0"/>
              <w:autoSpaceDN w:val="0"/>
              <w:adjustRightInd w:val="0"/>
              <w:jc w:val="both"/>
              <w:rPr>
                <w:color w:val="000000" w:themeColor="text1"/>
                <w:sz w:val="16"/>
                <w:szCs w:val="16"/>
              </w:rPr>
            </w:pPr>
          </w:p>
          <w:p w14:paraId="2C2D64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w:t>
            </w:r>
          </w:p>
          <w:p w14:paraId="6469A4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147</w:t>
            </w:r>
          </w:p>
          <w:p w14:paraId="43CAA1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157</w:t>
            </w:r>
          </w:p>
          <w:p w14:paraId="4FA6E8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143</w:t>
            </w:r>
          </w:p>
          <w:p w14:paraId="51247A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165</w:t>
            </w:r>
          </w:p>
          <w:p w14:paraId="7F75CC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133</w:t>
            </w:r>
          </w:p>
        </w:tc>
      </w:tr>
      <w:tr w:rsidR="000F5689" w:rsidRPr="00925F26" w14:paraId="33C37BF5" w14:textId="77777777">
        <w:trPr>
          <w:cantSplit/>
          <w:trHeight w:val="236"/>
        </w:trPr>
        <w:tc>
          <w:tcPr>
            <w:tcW w:w="4253" w:type="dxa"/>
          </w:tcPr>
          <w:p w14:paraId="02E7D4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 Выпуск никеля</w:t>
            </w:r>
          </w:p>
        </w:tc>
        <w:tc>
          <w:tcPr>
            <w:tcW w:w="1213" w:type="dxa"/>
          </w:tcPr>
          <w:p w14:paraId="12C48B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1197" w:type="dxa"/>
          </w:tcPr>
          <w:p w14:paraId="1925F2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5FC87273"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27DB9845"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2E6D57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514</w:t>
            </w:r>
          </w:p>
        </w:tc>
      </w:tr>
      <w:tr w:rsidR="000F5689" w:rsidRPr="00925F26" w14:paraId="6DD53D3B" w14:textId="77777777">
        <w:trPr>
          <w:cantSplit/>
          <w:trHeight w:val="236"/>
        </w:trPr>
        <w:tc>
          <w:tcPr>
            <w:tcW w:w="4253" w:type="dxa"/>
          </w:tcPr>
          <w:p w14:paraId="6D773C65"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254D91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C191E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4AB3D17E"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6F78A311"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0214AA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2151</w:t>
            </w:r>
          </w:p>
        </w:tc>
      </w:tr>
      <w:tr w:rsidR="000F5689" w:rsidRPr="00925F26" w14:paraId="2724456B" w14:textId="77777777">
        <w:trPr>
          <w:cantSplit/>
          <w:trHeight w:val="236"/>
        </w:trPr>
        <w:tc>
          <w:tcPr>
            <w:tcW w:w="4253" w:type="dxa"/>
          </w:tcPr>
          <w:p w14:paraId="289AFFAA"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5D4EF7A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397F5B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65E3EA78"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73A6F76D"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676EF7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3846</w:t>
            </w:r>
          </w:p>
        </w:tc>
      </w:tr>
      <w:tr w:rsidR="000F5689" w:rsidRPr="00925F26" w14:paraId="5D3229CC" w14:textId="77777777">
        <w:trPr>
          <w:cantSplit/>
          <w:trHeight w:val="236"/>
        </w:trPr>
        <w:tc>
          <w:tcPr>
            <w:tcW w:w="4253" w:type="dxa"/>
          </w:tcPr>
          <w:p w14:paraId="3587CF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 Выпуск меди</w:t>
            </w:r>
          </w:p>
        </w:tc>
        <w:tc>
          <w:tcPr>
            <w:tcW w:w="1213" w:type="dxa"/>
          </w:tcPr>
          <w:p w14:paraId="36257D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1197" w:type="dxa"/>
          </w:tcPr>
          <w:p w14:paraId="5756D4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39109B69"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4D26CB95"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645CF5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81</w:t>
            </w:r>
          </w:p>
        </w:tc>
      </w:tr>
      <w:tr w:rsidR="000F5689" w:rsidRPr="00925F26" w14:paraId="25D5FE8F" w14:textId="77777777">
        <w:trPr>
          <w:cantSplit/>
          <w:trHeight w:val="236"/>
        </w:trPr>
        <w:tc>
          <w:tcPr>
            <w:tcW w:w="4253" w:type="dxa"/>
          </w:tcPr>
          <w:p w14:paraId="687A5FC8"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39B9725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1A6469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191DB07F"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2308BD26"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214D19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446</w:t>
            </w:r>
          </w:p>
        </w:tc>
      </w:tr>
      <w:tr w:rsidR="000F5689" w:rsidRPr="00925F26" w14:paraId="40A73FA8" w14:textId="77777777">
        <w:trPr>
          <w:cantSplit/>
          <w:trHeight w:val="236"/>
        </w:trPr>
        <w:tc>
          <w:tcPr>
            <w:tcW w:w="4253" w:type="dxa"/>
          </w:tcPr>
          <w:p w14:paraId="1D938D1E"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4099713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599949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68A3FEB8"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766FC44A"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38CA36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2051</w:t>
            </w:r>
          </w:p>
        </w:tc>
      </w:tr>
      <w:tr w:rsidR="000F5689" w:rsidRPr="00925F26" w14:paraId="38FAB424" w14:textId="77777777">
        <w:trPr>
          <w:cantSplit/>
          <w:trHeight w:val="236"/>
        </w:trPr>
        <w:tc>
          <w:tcPr>
            <w:tcW w:w="4253" w:type="dxa"/>
          </w:tcPr>
          <w:p w14:paraId="6B41F089"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5BB5B62C"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51AA0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4984C6DF"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05CE407E"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548CCF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3609</w:t>
            </w:r>
          </w:p>
        </w:tc>
      </w:tr>
      <w:tr w:rsidR="000F5689" w:rsidRPr="00925F26" w14:paraId="4D1FF7A5" w14:textId="77777777">
        <w:trPr>
          <w:cantSplit/>
          <w:trHeight w:val="236"/>
        </w:trPr>
        <w:tc>
          <w:tcPr>
            <w:tcW w:w="4253" w:type="dxa"/>
          </w:tcPr>
          <w:p w14:paraId="04DD8E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 Выпуск угля</w:t>
            </w:r>
          </w:p>
        </w:tc>
        <w:tc>
          <w:tcPr>
            <w:tcW w:w="1213" w:type="dxa"/>
          </w:tcPr>
          <w:p w14:paraId="42BAA5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т[ыс]. тонн</w:t>
            </w:r>
          </w:p>
        </w:tc>
        <w:tc>
          <w:tcPr>
            <w:tcW w:w="1197" w:type="dxa"/>
          </w:tcPr>
          <w:p w14:paraId="0D78B1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34" w:type="dxa"/>
          </w:tcPr>
          <w:p w14:paraId="6A49BBA5"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29B08F4C"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75760E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229</w:t>
            </w:r>
          </w:p>
        </w:tc>
      </w:tr>
      <w:tr w:rsidR="000F5689" w:rsidRPr="00925F26" w14:paraId="69820DD1" w14:textId="77777777">
        <w:trPr>
          <w:cantSplit/>
          <w:trHeight w:val="236"/>
        </w:trPr>
        <w:tc>
          <w:tcPr>
            <w:tcW w:w="4253" w:type="dxa"/>
          </w:tcPr>
          <w:p w14:paraId="5E6C5B5E"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7DFA0A99"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7C758D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34" w:type="dxa"/>
          </w:tcPr>
          <w:p w14:paraId="44C3A7A5"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21034DEB"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16D0F6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324</w:t>
            </w:r>
          </w:p>
        </w:tc>
      </w:tr>
      <w:tr w:rsidR="000F5689" w:rsidRPr="00925F26" w14:paraId="5602145D" w14:textId="77777777">
        <w:trPr>
          <w:cantSplit/>
          <w:trHeight w:val="236"/>
        </w:trPr>
        <w:tc>
          <w:tcPr>
            <w:tcW w:w="4253" w:type="dxa"/>
          </w:tcPr>
          <w:p w14:paraId="3D58FE77"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1A26F885"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6418BF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34" w:type="dxa"/>
          </w:tcPr>
          <w:p w14:paraId="246E48FB"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35F27E48"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32E353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476</w:t>
            </w:r>
          </w:p>
        </w:tc>
      </w:tr>
      <w:tr w:rsidR="000F5689" w:rsidRPr="00925F26" w14:paraId="52939B44" w14:textId="77777777">
        <w:trPr>
          <w:cantSplit/>
          <w:trHeight w:val="236"/>
        </w:trPr>
        <w:tc>
          <w:tcPr>
            <w:tcW w:w="4253" w:type="dxa"/>
          </w:tcPr>
          <w:p w14:paraId="28D41E1C"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6C93E858"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01455F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34" w:type="dxa"/>
          </w:tcPr>
          <w:p w14:paraId="5D6B6C68"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7D2AC35F"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6C9606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619</w:t>
            </w:r>
          </w:p>
        </w:tc>
      </w:tr>
      <w:tr w:rsidR="000F5689" w:rsidRPr="00925F26" w14:paraId="11B5D33E" w14:textId="77777777">
        <w:trPr>
          <w:cantSplit/>
          <w:trHeight w:val="236"/>
        </w:trPr>
        <w:tc>
          <w:tcPr>
            <w:tcW w:w="4253" w:type="dxa"/>
          </w:tcPr>
          <w:p w14:paraId="03B86755" w14:textId="77777777" w:rsidR="00C2313B" w:rsidRPr="00925F26" w:rsidRDefault="00C2313B" w:rsidP="00925F26">
            <w:pPr>
              <w:autoSpaceDE w:val="0"/>
              <w:autoSpaceDN w:val="0"/>
              <w:adjustRightInd w:val="0"/>
              <w:jc w:val="both"/>
              <w:rPr>
                <w:color w:val="000000" w:themeColor="text1"/>
                <w:sz w:val="16"/>
                <w:szCs w:val="16"/>
              </w:rPr>
            </w:pPr>
          </w:p>
        </w:tc>
        <w:tc>
          <w:tcPr>
            <w:tcW w:w="1213" w:type="dxa"/>
          </w:tcPr>
          <w:p w14:paraId="5460E35F" w14:textId="77777777" w:rsidR="00C2313B" w:rsidRPr="00925F26" w:rsidRDefault="00C2313B" w:rsidP="00925F26">
            <w:pPr>
              <w:autoSpaceDE w:val="0"/>
              <w:autoSpaceDN w:val="0"/>
              <w:adjustRightInd w:val="0"/>
              <w:jc w:val="both"/>
              <w:rPr>
                <w:color w:val="000000" w:themeColor="text1"/>
                <w:sz w:val="16"/>
                <w:szCs w:val="16"/>
              </w:rPr>
            </w:pPr>
          </w:p>
        </w:tc>
        <w:tc>
          <w:tcPr>
            <w:tcW w:w="1197" w:type="dxa"/>
          </w:tcPr>
          <w:p w14:paraId="23FF95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34" w:type="dxa"/>
          </w:tcPr>
          <w:p w14:paraId="1F2638A0" w14:textId="77777777" w:rsidR="00C2313B" w:rsidRPr="00925F26" w:rsidRDefault="00C2313B" w:rsidP="00925F26">
            <w:pPr>
              <w:autoSpaceDE w:val="0"/>
              <w:autoSpaceDN w:val="0"/>
              <w:adjustRightInd w:val="0"/>
              <w:jc w:val="both"/>
              <w:rPr>
                <w:color w:val="000000" w:themeColor="text1"/>
                <w:sz w:val="16"/>
                <w:szCs w:val="16"/>
              </w:rPr>
            </w:pPr>
          </w:p>
        </w:tc>
        <w:tc>
          <w:tcPr>
            <w:tcW w:w="1080" w:type="dxa"/>
          </w:tcPr>
          <w:p w14:paraId="18572214" w14:textId="77777777" w:rsidR="00C2313B" w:rsidRPr="00925F26" w:rsidRDefault="00C2313B" w:rsidP="00925F26">
            <w:pPr>
              <w:autoSpaceDE w:val="0"/>
              <w:autoSpaceDN w:val="0"/>
              <w:adjustRightInd w:val="0"/>
              <w:jc w:val="both"/>
              <w:rPr>
                <w:color w:val="000000" w:themeColor="text1"/>
                <w:sz w:val="16"/>
                <w:szCs w:val="16"/>
              </w:rPr>
            </w:pPr>
          </w:p>
        </w:tc>
        <w:tc>
          <w:tcPr>
            <w:tcW w:w="940" w:type="dxa"/>
            <w:gridSpan w:val="2"/>
          </w:tcPr>
          <w:p w14:paraId="61C305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690</w:t>
            </w:r>
          </w:p>
        </w:tc>
      </w:tr>
    </w:tbl>
    <w:p w14:paraId="0775B4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Норильского комбината НКВД СССР подпись Панков</w:t>
      </w:r>
    </w:p>
    <w:p w14:paraId="49A087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Резолюция: Сдал. Подпись.</w:t>
      </w:r>
    </w:p>
    <w:p w14:paraId="2E808D06" w14:textId="77777777" w:rsidR="00C2313B" w:rsidRPr="00925F26" w:rsidRDefault="00C2313B" w:rsidP="00925F26">
      <w:pPr>
        <w:autoSpaceDE w:val="0"/>
        <w:autoSpaceDN w:val="0"/>
        <w:adjustRightInd w:val="0"/>
        <w:jc w:val="both"/>
        <w:rPr>
          <w:iCs/>
          <w:color w:val="000000" w:themeColor="text1"/>
          <w:sz w:val="16"/>
          <w:szCs w:val="16"/>
        </w:rPr>
      </w:pPr>
      <w:r w:rsidRPr="00925F26">
        <w:rPr>
          <w:iCs/>
          <w:color w:val="000000" w:themeColor="text1"/>
          <w:sz w:val="16"/>
          <w:szCs w:val="16"/>
        </w:rPr>
        <w:t>ГАКК. Ф.П-26. Оп.15. Д.12. Л.20-24. Подлинник. Машинопись (11836).</w:t>
      </w:r>
    </w:p>
    <w:p w14:paraId="14AEEEFB" w14:textId="77777777" w:rsidR="00C2313B" w:rsidRPr="00925F26" w:rsidRDefault="00C2313B" w:rsidP="00925F26">
      <w:pPr>
        <w:autoSpaceDE w:val="0"/>
        <w:autoSpaceDN w:val="0"/>
        <w:adjustRightInd w:val="0"/>
        <w:jc w:val="both"/>
        <w:rPr>
          <w:color w:val="000000" w:themeColor="text1"/>
          <w:sz w:val="16"/>
          <w:szCs w:val="16"/>
        </w:rPr>
      </w:pPr>
    </w:p>
    <w:p w14:paraId="1612D7D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BEE5573" w14:textId="77777777" w:rsidR="00C2313B" w:rsidRPr="00925F26" w:rsidRDefault="00C2313B" w:rsidP="00925F26">
      <w:pPr>
        <w:autoSpaceDE w:val="0"/>
        <w:autoSpaceDN w:val="0"/>
        <w:adjustRightInd w:val="0"/>
        <w:jc w:val="both"/>
        <w:rPr>
          <w:iCs/>
          <w:color w:val="000000" w:themeColor="text1"/>
          <w:sz w:val="16"/>
          <w:szCs w:val="16"/>
        </w:rPr>
      </w:pPr>
    </w:p>
    <w:p w14:paraId="31510587" w14:textId="77777777" w:rsidR="002F4338" w:rsidRPr="00925F26" w:rsidRDefault="002F4338" w:rsidP="00925F26">
      <w:pPr>
        <w:jc w:val="both"/>
        <w:rPr>
          <w:color w:val="000000" w:themeColor="text1"/>
          <w:sz w:val="16"/>
          <w:szCs w:val="16"/>
        </w:rPr>
      </w:pPr>
      <w:r w:rsidRPr="00925F26">
        <w:rPr>
          <w:bCs/>
          <w:color w:val="000000" w:themeColor="text1"/>
          <w:sz w:val="16"/>
          <w:szCs w:val="16"/>
        </w:rPr>
        <w:t>31 января</w:t>
      </w:r>
      <w:r w:rsidRPr="00925F26">
        <w:rPr>
          <w:color w:val="000000" w:themeColor="text1"/>
          <w:sz w:val="16"/>
          <w:szCs w:val="16"/>
        </w:rPr>
        <w:t xml:space="preserve"> в 1945 году оперативная сводка Совинформбюро:</w:t>
      </w:r>
    </w:p>
    <w:p w14:paraId="0C4DE37D" w14:textId="77777777" w:rsidR="002F4338" w:rsidRPr="00925F26" w:rsidRDefault="002F4338" w:rsidP="00925F26">
      <w:pPr>
        <w:jc w:val="both"/>
        <w:rPr>
          <w:color w:val="000000" w:themeColor="text1"/>
          <w:sz w:val="16"/>
          <w:szCs w:val="16"/>
        </w:rPr>
      </w:pPr>
      <w:r w:rsidRPr="00925F26">
        <w:rPr>
          <w:color w:val="000000" w:themeColor="text1"/>
          <w:sz w:val="16"/>
          <w:szCs w:val="16"/>
        </w:rPr>
        <w:t>«Войска 3-го Белорусского фронта 31 января штурмом овладели городами Хайльсберг и Фридланд — важными узлами коммуникаций и сильными опорными пунктами обороны немцев в центральных районах Восточной Пруссии, а также с боями заняли более 50 других населённых пунктов, среди которых Квандиттен, Меденау, Гросс Хайдекруг (14 километров западнее Кенигсберга), Штокхайм, Минтен, Креколлен, Книпштайн.</w:t>
      </w:r>
    </w:p>
    <w:p w14:paraId="231CE4EA" w14:textId="77777777" w:rsidR="002F4338" w:rsidRPr="00925F26" w:rsidRDefault="002F4338" w:rsidP="00925F26">
      <w:pPr>
        <w:jc w:val="both"/>
        <w:rPr>
          <w:color w:val="000000" w:themeColor="text1"/>
          <w:sz w:val="16"/>
          <w:szCs w:val="16"/>
        </w:rPr>
      </w:pPr>
      <w:r w:rsidRPr="00925F26">
        <w:rPr>
          <w:color w:val="000000" w:themeColor="text1"/>
          <w:sz w:val="16"/>
          <w:szCs w:val="16"/>
        </w:rPr>
        <w:t>За 30 января войска 3-го Белорусского фронта захватили в Восточной Пруссии 53 немецких самолёта и взяли в плен более 3.300 немецких солдат и офицеров.</w:t>
      </w:r>
    </w:p>
    <w:p w14:paraId="2686A8D2" w14:textId="77777777" w:rsidR="002F4338" w:rsidRPr="00925F26" w:rsidRDefault="002F4338" w:rsidP="00925F26">
      <w:pPr>
        <w:jc w:val="both"/>
        <w:rPr>
          <w:color w:val="000000" w:themeColor="text1"/>
          <w:sz w:val="16"/>
          <w:szCs w:val="16"/>
        </w:rPr>
      </w:pPr>
      <w:r w:rsidRPr="00925F26">
        <w:rPr>
          <w:color w:val="000000" w:themeColor="text1"/>
          <w:sz w:val="16"/>
          <w:szCs w:val="16"/>
        </w:rPr>
        <w:t>Северо-восточнее и севернее города Алленштайн наши войска заняли более 40 населённых пунктов, в том числе крупные населённые пункты Просситтен, Гросс Лемкендорф, Обер-Капкайм, Мюнстерберг. Одновременно северо-западнее Алленштайна атаки пехоты и танков противника были отбиты нашими войсками.</w:t>
      </w:r>
    </w:p>
    <w:p w14:paraId="17074287" w14:textId="77777777" w:rsidR="002F4338" w:rsidRPr="00925F26" w:rsidRDefault="002F4338" w:rsidP="00925F26">
      <w:pPr>
        <w:jc w:val="both"/>
        <w:rPr>
          <w:color w:val="000000" w:themeColor="text1"/>
          <w:sz w:val="16"/>
          <w:szCs w:val="16"/>
        </w:rPr>
      </w:pPr>
      <w:r w:rsidRPr="00925F26">
        <w:rPr>
          <w:color w:val="000000" w:themeColor="text1"/>
          <w:sz w:val="16"/>
          <w:szCs w:val="16"/>
        </w:rPr>
        <w:t>В районе города Торунь (Торн) продолжались бои по уничтожению окружённых частей противника.</w:t>
      </w:r>
    </w:p>
    <w:p w14:paraId="0C8FFE67" w14:textId="77777777" w:rsidR="002F4338" w:rsidRPr="00925F26" w:rsidRDefault="002F4338" w:rsidP="00925F26">
      <w:pPr>
        <w:jc w:val="both"/>
        <w:rPr>
          <w:color w:val="000000" w:themeColor="text1"/>
          <w:sz w:val="16"/>
          <w:szCs w:val="16"/>
        </w:rPr>
      </w:pPr>
      <w:r w:rsidRPr="00925F26">
        <w:rPr>
          <w:color w:val="000000" w:themeColor="text1"/>
          <w:sz w:val="16"/>
          <w:szCs w:val="16"/>
        </w:rPr>
        <w:t>Северо-восточнее и севернее города Шнайдемюль наши войска с боем овладели на территории немецкой Померании городами Флатов, Ястров, а также с боями заняли более 50 других населённых пунктов, в том числе Радавнитц, Тарновке, Хаммер.</w:t>
      </w:r>
    </w:p>
    <w:p w14:paraId="0B1F623B" w14:textId="77777777" w:rsidR="002F4338" w:rsidRPr="00925F26" w:rsidRDefault="002F4338" w:rsidP="00925F26">
      <w:pPr>
        <w:jc w:val="both"/>
        <w:rPr>
          <w:color w:val="000000" w:themeColor="text1"/>
          <w:sz w:val="16"/>
          <w:szCs w:val="16"/>
        </w:rPr>
      </w:pPr>
      <w:r w:rsidRPr="00925F26">
        <w:rPr>
          <w:color w:val="000000" w:themeColor="text1"/>
          <w:sz w:val="16"/>
          <w:szCs w:val="16"/>
        </w:rPr>
        <w:t>Войска 1-го Белорусского фронта, продолжая успешное наступление к западу и юго-западу от Познани, пересекли германскую границу, вторглись в пределы Бранденбургской провинции и 31 января с боем овладели городами Ландсберг, Мезеритц, Швибус и Цюллихау — крупными узлами коммуникаций и мощными опорными пунктами обороны немцев, прикрывающими подступы к Франкфурту-на-Одере, а также с боями заняли город Фридеберг и более 100 других населённых пунктов, среди которых крупные населённые пункты Кладов, Байерсдорф, Моррн, Поппе, Парадис, Кутшлау, Скампе, Гросс Блюмберг.</w:t>
      </w:r>
    </w:p>
    <w:p w14:paraId="4E08165F" w14:textId="77777777" w:rsidR="002F4338" w:rsidRPr="00925F26" w:rsidRDefault="002F4338" w:rsidP="00925F26">
      <w:pPr>
        <w:jc w:val="both"/>
        <w:rPr>
          <w:color w:val="000000" w:themeColor="text1"/>
          <w:sz w:val="16"/>
          <w:szCs w:val="16"/>
        </w:rPr>
      </w:pPr>
      <w:r w:rsidRPr="00925F26">
        <w:rPr>
          <w:color w:val="000000" w:themeColor="text1"/>
          <w:sz w:val="16"/>
          <w:szCs w:val="16"/>
        </w:rPr>
        <w:t>В районе Познань продолжались бои по уничтожению окружённого в городе гарнизона противника.</w:t>
      </w:r>
    </w:p>
    <w:p w14:paraId="274F2968" w14:textId="77777777" w:rsidR="002F4338" w:rsidRPr="00925F26" w:rsidRDefault="002F4338" w:rsidP="00925F26">
      <w:pPr>
        <w:jc w:val="both"/>
        <w:rPr>
          <w:color w:val="000000" w:themeColor="text1"/>
          <w:sz w:val="16"/>
          <w:szCs w:val="16"/>
        </w:rPr>
      </w:pPr>
      <w:r w:rsidRPr="00925F26">
        <w:rPr>
          <w:color w:val="000000" w:themeColor="text1"/>
          <w:sz w:val="16"/>
          <w:szCs w:val="16"/>
        </w:rPr>
        <w:t>Западнее и юго-западнее города Катовице наши войска с боями заняли более 40 населённых пунктов, среди которых крупные населённые пункты Хейдебрекк, Одервальде, Ратиборхаммер, Голлеов, Велеполе.</w:t>
      </w:r>
    </w:p>
    <w:p w14:paraId="22F44E07" w14:textId="77777777" w:rsidR="002F4338" w:rsidRPr="00925F26" w:rsidRDefault="002F4338" w:rsidP="00925F26">
      <w:pPr>
        <w:jc w:val="both"/>
        <w:rPr>
          <w:color w:val="000000" w:themeColor="text1"/>
          <w:sz w:val="16"/>
          <w:szCs w:val="16"/>
        </w:rPr>
      </w:pPr>
      <w:r w:rsidRPr="00925F26">
        <w:rPr>
          <w:color w:val="000000" w:themeColor="text1"/>
          <w:sz w:val="16"/>
          <w:szCs w:val="16"/>
        </w:rPr>
        <w:t>Севернее и северо-западнее города Лученец наши войска, продолжая наступление в трудных условиях горно-лесистой местности, с боями заняли более 60 населённых пунктов, в числе которых крупные населённые (пункты Поломка, Брезно, Гронец, Коритарки, Митна, Абелова, Турье Поле, Лешть.</w:t>
      </w:r>
    </w:p>
    <w:p w14:paraId="116234D1" w14:textId="77777777" w:rsidR="002F4338" w:rsidRPr="00925F26" w:rsidRDefault="002F4338"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окружённого гарнизона противника в западной части города (Буда). За 30 января в западной части города Будапешта наши войска взяли в плен 8.200 солдат и офицеров противника.</w:t>
      </w:r>
    </w:p>
    <w:p w14:paraId="7F90FA55" w14:textId="77777777" w:rsidR="002F4338" w:rsidRPr="00925F26" w:rsidRDefault="002F4338" w:rsidP="00925F26">
      <w:pPr>
        <w:jc w:val="both"/>
        <w:rPr>
          <w:color w:val="000000" w:themeColor="text1"/>
          <w:sz w:val="16"/>
          <w:szCs w:val="16"/>
        </w:rPr>
      </w:pPr>
      <w:r w:rsidRPr="00925F26">
        <w:rPr>
          <w:color w:val="000000" w:themeColor="text1"/>
          <w:sz w:val="16"/>
          <w:szCs w:val="16"/>
        </w:rPr>
        <w:t>За 30 января наши войска на всех фронтах подбили и уничтожили 132 немецких танка. В воздушных боях и огнём зенитной артиллерии сбито 40 самолётов противника.</w:t>
      </w:r>
    </w:p>
    <w:p w14:paraId="77E088DC" w14:textId="77777777" w:rsidR="002F4338" w:rsidRPr="00925F26" w:rsidRDefault="002F4338" w:rsidP="00925F26">
      <w:pPr>
        <w:jc w:val="both"/>
        <w:rPr>
          <w:color w:val="000000" w:themeColor="text1"/>
          <w:sz w:val="16"/>
          <w:szCs w:val="16"/>
        </w:rPr>
      </w:pPr>
      <w:r w:rsidRPr="00925F26">
        <w:rPr>
          <w:color w:val="000000" w:themeColor="text1"/>
          <w:sz w:val="16"/>
          <w:szCs w:val="16"/>
        </w:rPr>
        <w:t xml:space="preserve">Войска 3-го Белорусского фронта с боями продвигались вперёд. Части Н-ского соединения стремительным ударом прорвали сильно укреплённую оборону противника северо-западнее Кенигсберга и перерезали все дороги, идущие из Кенигсберга на запад, к порту Пиллау. Немцы спешно подтянули свежие части и предприняли несколько яростных контратак, но успеха не добились. На поле боя осталось много вражеских трупов. Юго-западнее Инстербурга наши войска штурмом овладели городом Фридланд— сильным опорным пунктом обороны немцев. На другом участке советские танки и пехота продвинулись вперёд на 15 километров, форсировали </w:t>
      </w:r>
      <w:r w:rsidRPr="00925F26">
        <w:rPr>
          <w:color w:val="000000" w:themeColor="text1"/>
          <w:sz w:val="16"/>
          <w:szCs w:val="16"/>
        </w:rPr>
        <w:lastRenderedPageBreak/>
        <w:t>реку Алле и выбили противника из города Хайльсберг — узла железных и шоссейных дорог. В течение дня подбито и сожжено 39 немецких танков. Захвачены трофеи, в числе которых 3 танка, 70 орудий и 2 железнодорожных эшелона с грузами.</w:t>
      </w:r>
    </w:p>
    <w:p w14:paraId="7BEF5508" w14:textId="77777777" w:rsidR="002F4338" w:rsidRPr="00925F26" w:rsidRDefault="002F4338" w:rsidP="00925F26">
      <w:pPr>
        <w:jc w:val="both"/>
        <w:rPr>
          <w:color w:val="000000" w:themeColor="text1"/>
          <w:sz w:val="16"/>
          <w:szCs w:val="16"/>
        </w:rPr>
      </w:pPr>
      <w:r w:rsidRPr="00925F26">
        <w:rPr>
          <w:color w:val="000000" w:themeColor="text1"/>
          <w:sz w:val="16"/>
          <w:szCs w:val="16"/>
        </w:rPr>
        <w:t>На территории немецкой Померании северо-восточнее и севернее города Шнайдемюль наши войска с боями заняли город Флатов — важный узел железных дорог. Немецкий гарнизон разгромлен. Развивая успех, советские части переправились через реку Кюддов и штурмом овладели городом Ястров. В ходе боёв противник несёт большие потери. Только одна наша стрелковая часть истребила до 600 гитлеровцев и захватила 3 танка, 4 самоходных орудия, несколько артиллерийских батарей и большой склад снарядов.</w:t>
      </w:r>
    </w:p>
    <w:p w14:paraId="279E1084" w14:textId="77777777" w:rsidR="002F4338" w:rsidRPr="00925F26" w:rsidRDefault="002F4338" w:rsidP="00925F26">
      <w:pPr>
        <w:jc w:val="both"/>
        <w:rPr>
          <w:color w:val="000000" w:themeColor="text1"/>
          <w:sz w:val="16"/>
          <w:szCs w:val="16"/>
        </w:rPr>
      </w:pPr>
      <w:r w:rsidRPr="00925F26">
        <w:rPr>
          <w:color w:val="000000" w:themeColor="text1"/>
          <w:sz w:val="16"/>
          <w:szCs w:val="16"/>
        </w:rPr>
        <w:t>Войска 1-го Белорусского фронта продолжали успешное наступление. Немцы непрерывно подводят свежие резервы танков и пехоты и с хода бросают их в бой. Настойчиво продвигаясь вперёд, советские войска громят противника и уничтожают его по частям. Наши танкисты, сломив сопротивление врага, прорвались к немецкому городу Ландсберг и завязали бои на его окраинах. Вскоре танкистов поддержали пехотинцы. Наши войска предприняли стремительную атаку и овладели городом Ландсберг — важным узлом шоссейных и железных дорог. В Ландсберге имеются военные, машиностроительные и текстильные предприятия. Другие наши части выбили гитлеровцев из города Швибус, находящегося в 70 километрах от города Франкфурт-на-Одере. Заняты также важные опорные пункты обороны немцев — города Мезеритц и Цюллихау. За день боёв уничтожено до 5 тысяч солдат и офицеров противника. По неполным данным, советские части захватили у немцев 24 танка, 120 полевых орудий, 1.070 автомашин, 70 паровозов, 8 железнодорожных эшелонов с боеприпасами и военными материалами. Взято в плен 1.700 немецких солдат и офицеров.</w:t>
      </w:r>
    </w:p>
    <w:p w14:paraId="75EC4E20" w14:textId="77777777" w:rsidR="002F4338" w:rsidRPr="00925F26" w:rsidRDefault="002F4338" w:rsidP="00925F26">
      <w:pPr>
        <w:jc w:val="both"/>
        <w:rPr>
          <w:color w:val="000000" w:themeColor="text1"/>
          <w:sz w:val="16"/>
          <w:szCs w:val="16"/>
        </w:rPr>
      </w:pPr>
      <w:r w:rsidRPr="00925F26">
        <w:rPr>
          <w:color w:val="000000" w:themeColor="text1"/>
          <w:sz w:val="16"/>
          <w:szCs w:val="16"/>
        </w:rPr>
        <w:t>Наши лётчики-истребители в течение дня в воздушных боях сбили 14 немецких самолётов.</w:t>
      </w:r>
    </w:p>
    <w:p w14:paraId="057E07FB" w14:textId="77777777" w:rsidR="002F4338" w:rsidRPr="00925F26" w:rsidRDefault="002F4338" w:rsidP="00925F26">
      <w:pPr>
        <w:jc w:val="both"/>
        <w:rPr>
          <w:color w:val="000000" w:themeColor="text1"/>
          <w:sz w:val="16"/>
          <w:szCs w:val="16"/>
        </w:rPr>
      </w:pPr>
      <w:r w:rsidRPr="00925F26">
        <w:rPr>
          <w:color w:val="000000" w:themeColor="text1"/>
          <w:sz w:val="16"/>
          <w:szCs w:val="16"/>
        </w:rPr>
        <w:t>Западнее и юго-западнее города Катовице наши войска продолжали наступление. Бойцы Н-ского соединения, продвигаясь по восточному берегу реки Одер на юг, заняли железнодорожную станцию, находящуюся в 12 километрах от города Ратибор. Другие наши части, отражая вражеские контратаки, сожгли и подбили 35 танков и 37 бронетранспортеров. Захвачены трофеи и взято в плен 820 немцев.</w:t>
      </w:r>
    </w:p>
    <w:p w14:paraId="4F04E074" w14:textId="77777777" w:rsidR="002F4338" w:rsidRPr="00925F26" w:rsidRDefault="002F4338" w:rsidP="00925F26">
      <w:pPr>
        <w:jc w:val="both"/>
        <w:rPr>
          <w:color w:val="000000" w:themeColor="text1"/>
          <w:sz w:val="16"/>
          <w:szCs w:val="16"/>
        </w:rPr>
      </w:pPr>
      <w:r w:rsidRPr="00925F26">
        <w:rPr>
          <w:color w:val="000000" w:themeColor="text1"/>
          <w:sz w:val="16"/>
          <w:szCs w:val="16"/>
        </w:rPr>
        <w:t>В Будапеште наши войска продолжали вести бои по ликвидации окруженной группировки противника в западной части города. Гитлеровцы, укрепившись в каменных домах, оказывают отчаянное сопротивление. Советские гвардейские подразделения блокируют и уничтожают вражеские узлы сопротивления. Очищен от немцев ряд кварталов и станция пригородных поездов. Занят также крупный завод «Ганц». Захвачено 10 немецких танков, 27 орудий, 45 миномётов и другие трофеи. Отдельные группы солдат и офицеров противника, видя безнадёжность своего положения, складывают оружие и сдаются в плен.</w:t>
      </w:r>
    </w:p>
    <w:p w14:paraId="0923ABCB" w14:textId="77777777" w:rsidR="002F4338" w:rsidRPr="00925F26" w:rsidRDefault="002F4338" w:rsidP="00925F26">
      <w:pPr>
        <w:jc w:val="both"/>
        <w:rPr>
          <w:color w:val="000000" w:themeColor="text1"/>
          <w:sz w:val="16"/>
          <w:szCs w:val="16"/>
        </w:rPr>
      </w:pPr>
      <w:r w:rsidRPr="00925F26">
        <w:rPr>
          <w:color w:val="000000" w:themeColor="text1"/>
          <w:sz w:val="16"/>
          <w:szCs w:val="16"/>
        </w:rPr>
        <w:t>На днях наши войска овладели городом Освенцим. Немецко-фашистские мерзавцы после оккупации Польши построили в этом районе крупнейший концентрационный лагерь. Этот лагерь смерти состоял из пяти отделений. Каждое из отделений занимает огромную площадь, обнесенную колючей проволокой. Стремительно наступающие части Красной Армии освободили из лагеря много заключённых. Бывший узник Освенцима Лукашев из Воронежской области рассказал: «Число заключённых в лагере Освенцим всегда колебалось от 15 до 30 тысяч человек. Детей, больных и нетрудоспособных мужчин и женщин гитлеровцы умерщвляли газами, а трупы сжигали в специальных печах. Таких печей в лагере было 12. Трудоспособных заключенных заставляли работать на шахтах. Тех, кто обессилел от голода, побоев и тяжёлой работы, немцы истребляли. За четыре года немецко-фашистские изверги замучили и убили в лагере много, много тысяч людей» (15026).</w:t>
      </w:r>
    </w:p>
    <w:p w14:paraId="38824292" w14:textId="77777777" w:rsidR="002F4338" w:rsidRPr="00925F26" w:rsidRDefault="002F4338" w:rsidP="00925F26">
      <w:pPr>
        <w:jc w:val="both"/>
        <w:rPr>
          <w:color w:val="000000" w:themeColor="text1"/>
          <w:sz w:val="16"/>
          <w:szCs w:val="16"/>
        </w:rPr>
      </w:pPr>
    </w:p>
    <w:p w14:paraId="78409AE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января 1945 советские войска завершили окружение Кенигсберга (4962).</w:t>
      </w:r>
    </w:p>
    <w:p w14:paraId="61827A4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59A26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31 января 1945 г. немцы на всех фронтах в воздухе и на морях потеряли в боях, как минимум (по ВМС потери даны на 31 декабря 1944 г.) - 7789051 человека. Из них в боях с Красной Армией, советскими ВВС и флотами - 5851804 человека, или 75% всех потерь Германии. Один союзник из трех вытащил на себе 3/4 всей войны. Да, были люди!</w:t>
      </w:r>
    </w:p>
    <w:p w14:paraId="65C5B5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ночь на 31 января 1945 г. торпедный залп С-13 отправил на дно лайнер "Вильгельм Густлов", на котором эвакуировалась из Данцига школа немецких подводников (всего на лайнере погибло до 7 тыс. человек) (9873).</w:t>
      </w:r>
    </w:p>
    <w:p w14:paraId="6CD0FE3C" w14:textId="77777777" w:rsidR="00C2313B" w:rsidRPr="00925F26" w:rsidRDefault="00C2313B" w:rsidP="00925F26">
      <w:pPr>
        <w:autoSpaceDE w:val="0"/>
        <w:autoSpaceDN w:val="0"/>
        <w:adjustRightInd w:val="0"/>
        <w:jc w:val="both"/>
        <w:rPr>
          <w:color w:val="000000" w:themeColor="text1"/>
          <w:sz w:val="16"/>
          <w:szCs w:val="16"/>
        </w:rPr>
      </w:pPr>
    </w:p>
    <w:p w14:paraId="28B644FA" w14:textId="77777777" w:rsidR="002F4338" w:rsidRPr="00925F26" w:rsidRDefault="002F4338" w:rsidP="00925F26">
      <w:pPr>
        <w:pStyle w:val="book"/>
        <w:ind w:firstLine="0"/>
        <w:jc w:val="both"/>
        <w:rPr>
          <w:color w:val="000000" w:themeColor="text1"/>
          <w:sz w:val="16"/>
          <w:szCs w:val="16"/>
        </w:rPr>
      </w:pPr>
      <w:r w:rsidRPr="00925F26">
        <w:rPr>
          <w:color w:val="000000" w:themeColor="text1"/>
          <w:sz w:val="16"/>
          <w:szCs w:val="16"/>
        </w:rPr>
        <w:t>31 января 1945 на траверзе порта Свинемюнде в Померанской бухте «Берлин», подорвавшись на собственном минном поле, получил пробоину 6 x 8 м и затонул на глубине 18 м, по палубу В. Теплоход был построен в Германии в 1925 г. под названием «Берлин». До 1939 г. он совершал регулярные рейсы через Атлантику между портами Бремерхафен и Нью-Йорк. По комфорту «Берлин» конкурировал с превосходными английскими атлантическими лайнерами, хотя мощность его машин в 12 тыс. л.с. и скорость хода 16,5 узла никак не могли претендовать на «Голубую ленту Атлантики». Лайнер ежегодно совершал по 12 рейсов. Компания «Norddeutscher Lloyd» придерживалась принципа: путешествие на судне, даже в 3-м классе, должно быть удобным и приятным. Однако трансатлантические переходы становились невыгодными, и летом 1938 г. «Берлин» совершил свой последний линейный рейс. После этого лайнер стал использоваться как круизное судно в рейсах на Шпицберген или в Средиземное море. 15 июля 1939 г. на судно пришел секретный приказ командования Кригсмарине следовать в Восточную гавань Свинемюнде для доставки в Мемель подразделения «трудовой армии». После этого, 12 сентября 1939 г., «Берлин» пошел в Данциг, чтобы там использоваться по новому назначению. Всю Вторую мировую войну, до 31 января 1945 г. пароход прошел в качестве госпитального судна № 4. В 1946 г. наша аварийно-спасательная служба начала работы по подъему «Берлина». Генеральная откачка воды проводилась в декабре 1946 г. После подъема судно предполагалось увести в Англию, в Ливерпуль, где в доке произвести корпусные работы, то есть основательно заделать пробоины, после чего увести судно снова в Германию, за счет репарации отремонтировать его окончательно, что и было потом сделано. При попытке подъема «Берлина» в начале 1947 г. произошел взрыв, и судно опять затонуло, придавив водолаза Тимофея Старченко, который по счастливой случайности оказался в донном углублении. Водолаза удалось спасти. Вторично судоподъем был осуществлен 17 сентября 1947 г., после чего пароход получил новое название — «Адмирал Нахимов» и позже был отведен в док Кронштадтского завода для частичного ремонта, проведения освидетельствования и составления «Технического проекта восстановительных работ». С 1949 по 1957 г. «Адмирал Нахимов» проходил капитально-восстановительный ремонт в ГДР. В 1954 г. «Адмирал Нахимов» был передан Черноморскому морскому пароходству и прибыл в порт Одесса. Первый капитан «Нахимова» Николай Соболев писал: «Снаружи и внутри судно сияло огнями. Вступившие на борт пассажиры были радушно встречены обслуживающим составом. Их поражало дорогое убранство: стены вестибюлей, кают, салонов, ресторанов отделаны различными ценными породами дерева, отражавшими всё, словно в зеркале; трапы сверкали витиеватыми украшениями и бронзированными поручнями, на стенах красовались роскошные канделябры. Палубы были устланы добротным ковровым покрытием, причем каждая палуба имела свой отличительный цвет. В салонах висели дорогие картины на морскую тематику, стены музыкального салона украшали бронзовые барельефы русских флотоводцев. Пассажир, входивший в салон, чувствовал, точно он попадал во дворец или музей. Работали рестораны, бары, кинотеатр, парикмахерские, библиотека. Негромко раздавалась мелодичная музыка, временами прерывавшаяся для информации. На пароходе царила торжественная праздничная обстановка. Разместившиеся по каютам пассажиры выходили и с любопытством рассматривали судно». С лета 1960 г. постоянным фрахтователем парохода на время навигации и круизных рейсов по Крымско-Кавказской линии стал Украинский республиканский совет по туризму и экскурсиям. За одну только навигацию 1960 года экипаж судна получил сотни благодарностей. Руководство Черноморского пароходства, отмечая трудовую деятельность молодежного коллектива парохода «Адмирал Нахимов», присвоило ему почетное в те времена звание «Экипаж коммунистического труда». В 1962 г. во время Карибского кризиса «Адмирал Нахимов» использовался для перевозки солдат на Кубу. В конце 1960-х — 1970-х годах «Адмирал Нахимов» совершил несколько рейсов с мусульманскими паломниками в Саудовскую Аравию. 29 августа 1986 г. «Адмирал Нахимов» с 897 туристами и 346 членами экипажа в 20.00 вышел из Одессы. 5 сентября в 9 часов утра лайнер должен был прийти в конечный пункт — в порт Батуми. Однако судьба распорядилась иначе. В 22.00 31 августа «Нахимов» отошел от причальной стенки Новороссийского порта и отправился в Сочи со скоростью 9 узлов. В это время к Новороссийску со скоростью 15 узлов шел сухогруз «Петр Васёв», на борту которого находилось 28 638 т канадского зерна. Описывать, как в открытом море не сумели разойтись два судна, шедшие черепашьим ходом, я не буду. Назвать их действия своими именами цензура не позволит, а эвфемизм я не уважаю. «Петр Васёв», погасив скорость до 5 узлов, в 23 ч. 12 мин. ударил своей бульбой в борт «Адмирала Нахимова» в районе переборки между машинным и котельным отделениями. «Адмирал Нахимов» продолжал по инерции двигаться вперед, разворачивая сухогруз и тем самым увеличивая размер пробоины в правом борту, которая, по оценке экспертов, после расцепления судов составила около 80 кв. м. Лайнер стал заваливаться на правый борт. Через 7 минут после столкновения, имея крен на правый борт около 60°, «Адмирал Нахимов» полностью ушел под воду. На месте крушения на поверхности воды одновременно барахталось около тысячи человек, перепачканные краской и мазутом, плавало множество предметов и обломков. В ходе катастрофы погибло 423 человека — 359 туристов и 64 члена экипажа (15225).</w:t>
      </w:r>
    </w:p>
    <w:p w14:paraId="7380E3FD" w14:textId="77777777" w:rsidR="002F4338" w:rsidRPr="00925F26" w:rsidRDefault="002F4338" w:rsidP="00925F26">
      <w:pPr>
        <w:pStyle w:val="book"/>
        <w:ind w:firstLine="0"/>
        <w:jc w:val="both"/>
        <w:rPr>
          <w:color w:val="000000" w:themeColor="text1"/>
          <w:sz w:val="16"/>
          <w:szCs w:val="16"/>
        </w:rPr>
      </w:pPr>
    </w:p>
    <w:p w14:paraId="32B75174"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DBCA263" w14:textId="77777777" w:rsidR="00C2313B" w:rsidRPr="00925F26" w:rsidRDefault="00C2313B" w:rsidP="00925F26">
      <w:pPr>
        <w:autoSpaceDE w:val="0"/>
        <w:autoSpaceDN w:val="0"/>
        <w:adjustRightInd w:val="0"/>
        <w:jc w:val="both"/>
        <w:rPr>
          <w:iCs/>
          <w:color w:val="000000" w:themeColor="text1"/>
          <w:sz w:val="16"/>
          <w:szCs w:val="16"/>
        </w:rPr>
      </w:pPr>
    </w:p>
    <w:p w14:paraId="08AE823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января 1945 первый после гражданской войны собор русской православной церкви провел молитву за Сталина и за победу (4962).</w:t>
      </w:r>
    </w:p>
    <w:p w14:paraId="29C7229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7860EA8" w14:textId="77777777" w:rsidR="00670896" w:rsidRPr="00925F26" w:rsidRDefault="00670896" w:rsidP="00925F26">
      <w:pPr>
        <w:jc w:val="both"/>
        <w:rPr>
          <w:color w:val="000000" w:themeColor="text1"/>
          <w:sz w:val="16"/>
          <w:szCs w:val="16"/>
        </w:rPr>
      </w:pPr>
      <w:r w:rsidRPr="00925F26">
        <w:rPr>
          <w:color w:val="000000" w:themeColor="text1"/>
          <w:sz w:val="16"/>
          <w:szCs w:val="16"/>
        </w:rPr>
        <w:t>31 января - 2 февраля 1945. В храме Воскресения Христова в Сокольниках состоялся Поместный Собор Русской Православной Церкви (18688).</w:t>
      </w:r>
    </w:p>
    <w:p w14:paraId="4CED3825" w14:textId="77777777" w:rsidR="00670896" w:rsidRPr="00925F26" w:rsidRDefault="00670896" w:rsidP="00925F26">
      <w:pPr>
        <w:jc w:val="both"/>
        <w:rPr>
          <w:color w:val="000000" w:themeColor="text1"/>
          <w:sz w:val="16"/>
          <w:szCs w:val="16"/>
        </w:rPr>
      </w:pPr>
    </w:p>
    <w:p w14:paraId="438FB99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BD06B29" w14:textId="77777777" w:rsidR="00C2313B" w:rsidRPr="00925F26" w:rsidRDefault="00C2313B" w:rsidP="00925F26">
      <w:pPr>
        <w:autoSpaceDE w:val="0"/>
        <w:autoSpaceDN w:val="0"/>
        <w:adjustRightInd w:val="0"/>
        <w:jc w:val="both"/>
        <w:rPr>
          <w:iCs/>
          <w:color w:val="000000" w:themeColor="text1"/>
          <w:sz w:val="16"/>
          <w:szCs w:val="16"/>
        </w:rPr>
      </w:pPr>
    </w:p>
    <w:p w14:paraId="05AC0D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вышло Постановление ГКО № 7431 Об обследовании промышленности Силезского промышленного района Германии. РГАНИР, Фонд ГКО, д. 365, лл. 9-10 (11012).</w:t>
      </w:r>
    </w:p>
    <w:p w14:paraId="3498D412" w14:textId="77777777" w:rsidR="00C2313B" w:rsidRPr="00925F26" w:rsidRDefault="00C2313B" w:rsidP="00925F26">
      <w:pPr>
        <w:autoSpaceDE w:val="0"/>
        <w:autoSpaceDN w:val="0"/>
        <w:adjustRightInd w:val="0"/>
        <w:jc w:val="both"/>
        <w:rPr>
          <w:color w:val="000000" w:themeColor="text1"/>
          <w:sz w:val="16"/>
          <w:szCs w:val="16"/>
        </w:rPr>
      </w:pPr>
    </w:p>
    <w:p w14:paraId="660C956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BCC4240" w14:textId="77777777" w:rsidR="00C2313B" w:rsidRPr="00925F26" w:rsidRDefault="00C2313B" w:rsidP="00925F26">
      <w:pPr>
        <w:autoSpaceDE w:val="0"/>
        <w:autoSpaceDN w:val="0"/>
        <w:adjustRightInd w:val="0"/>
        <w:jc w:val="both"/>
        <w:rPr>
          <w:iCs/>
          <w:color w:val="000000" w:themeColor="text1"/>
          <w:sz w:val="16"/>
          <w:szCs w:val="16"/>
        </w:rPr>
      </w:pPr>
    </w:p>
    <w:p w14:paraId="36163C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У.Черчиль и Ф.Д.Р. встретились на Мальте (2248,2).</w:t>
      </w:r>
    </w:p>
    <w:p w14:paraId="0E23D315" w14:textId="77777777" w:rsidR="00C2313B" w:rsidRPr="00925F26" w:rsidRDefault="00C2313B" w:rsidP="00925F26">
      <w:pPr>
        <w:autoSpaceDE w:val="0"/>
        <w:autoSpaceDN w:val="0"/>
        <w:adjustRightInd w:val="0"/>
        <w:jc w:val="both"/>
        <w:rPr>
          <w:color w:val="000000" w:themeColor="text1"/>
          <w:sz w:val="16"/>
          <w:szCs w:val="16"/>
        </w:rPr>
      </w:pPr>
    </w:p>
    <w:p w14:paraId="0F65929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января 1945 впервые после войны Севера и Юга казнен американский дезертир - во Франции расстрелян солдат Эдди Словик, дважды бежавший из своей части в Нормандии (4962).</w:t>
      </w:r>
    </w:p>
    <w:p w14:paraId="46B65D8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D2F3C11" w14:textId="77777777" w:rsidR="00BC1830" w:rsidRPr="00925F26" w:rsidRDefault="00BC1830" w:rsidP="00925F26">
      <w:pPr>
        <w:jc w:val="both"/>
        <w:rPr>
          <w:color w:val="000000" w:themeColor="text1"/>
          <w:sz w:val="16"/>
          <w:szCs w:val="16"/>
        </w:rPr>
      </w:pPr>
      <w:r w:rsidRPr="00925F26">
        <w:rPr>
          <w:bCs/>
          <w:color w:val="000000" w:themeColor="text1"/>
          <w:sz w:val="16"/>
          <w:szCs w:val="16"/>
        </w:rPr>
        <w:t>31 января</w:t>
      </w:r>
      <w:r w:rsidRPr="00925F26">
        <w:rPr>
          <w:color w:val="000000" w:themeColor="text1"/>
          <w:sz w:val="16"/>
          <w:szCs w:val="16"/>
        </w:rPr>
        <w:t xml:space="preserve"> в 1945 году в Сен-Мэй, в восточной Франции, был расстрелян своими однополчанами 24-летний рядовой 28-й пехотной дивизии Эдди Словик, первый и единственный со времен Гражданской войны американский солдат, приговоренный к смертной казни за дезертирство. В этой истории много странного и непонятного. По официальным данным, со дня вторжения союзников в Нормандию обвинение в дезертирстве было предъявлено 40 тысячам американских солдат, более 2400 предстало перед судом, 49 было приговорено к расстрелу, но казнь была заменена им заключением. Апелляция Словика, поданная генералу Эйзенхауэру, была отклонена. Четыре президента (Кеннеди, Джонсон, Никсон и Форд) отвергли просьбы об его посмертном помиловании, и только президент Картер реабилитировал Эдди Словика в 1987 году. Жена Словика не дождалась этого – она умерла восемью годами раньше. На заседаниях трибунала защитники основывались на том, что Словик абсолютно неприспособлен для службы. Он был кривоног и страдал плоскостопием, к тому же панически боялся любого вида оружия. На следующий же день после прибытия во Францию в августе 1944 года он заблудился на поле сражения и был доставлен в часть канадскими солдатами. Вскоре после этого он убежал из взвода, а на следующий день сдался военной полиции, полагая, что сможет до конца войны отсидеться в тюрьме, но Эйзенхауэр решил сделать именно из него «надлежащий пример» для огромного числа дезертиров-американцев вообще, и для многочисленных дезертиров из 28-й дивизии, где служил Словик, в частности (15026).</w:t>
      </w:r>
    </w:p>
    <w:p w14:paraId="78203635" w14:textId="77777777" w:rsidR="00BC1830" w:rsidRPr="00925F26" w:rsidRDefault="00BC1830" w:rsidP="00925F26">
      <w:pPr>
        <w:jc w:val="both"/>
        <w:rPr>
          <w:color w:val="000000" w:themeColor="text1"/>
          <w:sz w:val="16"/>
          <w:szCs w:val="16"/>
        </w:rPr>
      </w:pPr>
    </w:p>
    <w:p w14:paraId="06CC8D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 января 1945 г. в секретной директиве от Гитлер потребовал полностью выполнить программу производства новых видов оружия, запретив мобилизацию в армию занятых на этом производстве квалифицированных рабочих (11686).</w:t>
      </w:r>
    </w:p>
    <w:p w14:paraId="706BF00A" w14:textId="77777777" w:rsidR="00C2313B" w:rsidRPr="00925F26" w:rsidRDefault="00C2313B" w:rsidP="00925F26">
      <w:pPr>
        <w:autoSpaceDE w:val="0"/>
        <w:autoSpaceDN w:val="0"/>
        <w:adjustRightInd w:val="0"/>
        <w:jc w:val="both"/>
        <w:rPr>
          <w:color w:val="000000" w:themeColor="text1"/>
          <w:sz w:val="16"/>
          <w:szCs w:val="16"/>
        </w:rPr>
      </w:pPr>
    </w:p>
    <w:p w14:paraId="77E4A0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(табл. 20) А.Г. были представлены цифры потерь Вооруженных сил Германии с разбивкой по родам войск и по фронтам по сухопутным войскам и Люфтваффе по 31 января 1945 г., а по ВМС - по 31 декабря 1944 г.*). Эти цифры были представлены Гитлеру</w:t>
      </w:r>
    </w:p>
    <w:p w14:paraId="18F8B0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Потери вермахта по фронтам Второй Мировой войны, чел. (в скобках - в том числе офицеры)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417"/>
        <w:gridCol w:w="1418"/>
        <w:gridCol w:w="1843"/>
        <w:gridCol w:w="3827"/>
      </w:tblGrid>
      <w:tr w:rsidR="000F5689" w:rsidRPr="00925F26" w14:paraId="4236A1A2" w14:textId="77777777">
        <w:tc>
          <w:tcPr>
            <w:tcW w:w="2093" w:type="dxa"/>
          </w:tcPr>
          <w:p w14:paraId="179A35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Фронты</w:t>
            </w:r>
          </w:p>
        </w:tc>
        <w:tc>
          <w:tcPr>
            <w:tcW w:w="1417" w:type="dxa"/>
          </w:tcPr>
          <w:p w14:paraId="120A95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Убитые</w:t>
            </w:r>
          </w:p>
        </w:tc>
        <w:tc>
          <w:tcPr>
            <w:tcW w:w="1418" w:type="dxa"/>
          </w:tcPr>
          <w:p w14:paraId="3B1CE7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Раненные</w:t>
            </w:r>
          </w:p>
        </w:tc>
        <w:tc>
          <w:tcPr>
            <w:tcW w:w="1843" w:type="dxa"/>
          </w:tcPr>
          <w:p w14:paraId="5EEB5C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Пропавшие без вести</w:t>
            </w:r>
          </w:p>
        </w:tc>
        <w:tc>
          <w:tcPr>
            <w:tcW w:w="3827" w:type="dxa"/>
          </w:tcPr>
          <w:p w14:paraId="065692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55A45CA9" w14:textId="77777777">
        <w:tc>
          <w:tcPr>
            <w:tcW w:w="2093" w:type="dxa"/>
          </w:tcPr>
          <w:p w14:paraId="44E396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Сухопутные</w:t>
            </w:r>
          </w:p>
        </w:tc>
        <w:tc>
          <w:tcPr>
            <w:tcW w:w="1417" w:type="dxa"/>
          </w:tcPr>
          <w:p w14:paraId="6A172D21"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62B2821"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10AF2500"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2A2B2E85"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30F0551C" w14:textId="77777777">
        <w:tc>
          <w:tcPr>
            <w:tcW w:w="2093" w:type="dxa"/>
          </w:tcPr>
          <w:p w14:paraId="1D83B0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войска</w:t>
            </w:r>
          </w:p>
        </w:tc>
        <w:tc>
          <w:tcPr>
            <w:tcW w:w="1417" w:type="dxa"/>
          </w:tcPr>
          <w:p w14:paraId="60043D27"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DAAE7BF"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4089576A"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6FEB4CDB"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19ECC34A" w14:textId="77777777">
        <w:tc>
          <w:tcPr>
            <w:tcW w:w="2093" w:type="dxa"/>
          </w:tcPr>
          <w:p w14:paraId="0EFDEE3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Восточный фронт</w:t>
            </w:r>
          </w:p>
        </w:tc>
        <w:tc>
          <w:tcPr>
            <w:tcW w:w="1417" w:type="dxa"/>
          </w:tcPr>
          <w:p w14:paraId="3EA85B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1105987(41594)</w:t>
            </w:r>
          </w:p>
        </w:tc>
        <w:tc>
          <w:tcPr>
            <w:tcW w:w="1418" w:type="dxa"/>
          </w:tcPr>
          <w:p w14:paraId="5BD279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3498059(89655)</w:t>
            </w:r>
          </w:p>
        </w:tc>
        <w:tc>
          <w:tcPr>
            <w:tcW w:w="1843" w:type="dxa"/>
          </w:tcPr>
          <w:p w14:paraId="348B37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1018365(16572)</w:t>
            </w:r>
          </w:p>
        </w:tc>
        <w:tc>
          <w:tcPr>
            <w:tcW w:w="3827" w:type="dxa"/>
          </w:tcPr>
          <w:p w14:paraId="5BEC79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5622411(147821)</w:t>
            </w:r>
          </w:p>
        </w:tc>
      </w:tr>
      <w:tr w:rsidR="000F5689" w:rsidRPr="00925F26" w14:paraId="6FE432DC" w14:textId="77777777">
        <w:tc>
          <w:tcPr>
            <w:tcW w:w="2093" w:type="dxa"/>
          </w:tcPr>
          <w:p w14:paraId="2B0CA0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Балканы</w:t>
            </w:r>
          </w:p>
        </w:tc>
        <w:tc>
          <w:tcPr>
            <w:tcW w:w="1417" w:type="dxa"/>
          </w:tcPr>
          <w:p w14:paraId="1E635A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19235(741)</w:t>
            </w:r>
          </w:p>
        </w:tc>
        <w:tc>
          <w:tcPr>
            <w:tcW w:w="1418" w:type="dxa"/>
          </w:tcPr>
          <w:p w14:paraId="6490B8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55069(1500)</w:t>
            </w:r>
          </w:p>
        </w:tc>
        <w:tc>
          <w:tcPr>
            <w:tcW w:w="1843" w:type="dxa"/>
          </w:tcPr>
          <w:p w14:paraId="1EF29E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14805(224)</w:t>
            </w:r>
          </w:p>
        </w:tc>
        <w:tc>
          <w:tcPr>
            <w:tcW w:w="3827" w:type="dxa"/>
          </w:tcPr>
          <w:p w14:paraId="5CC0EA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89109(2465)</w:t>
            </w:r>
          </w:p>
        </w:tc>
      </w:tr>
      <w:tr w:rsidR="000F5689" w:rsidRPr="00925F26" w14:paraId="3736D94E" w14:textId="77777777">
        <w:tc>
          <w:tcPr>
            <w:tcW w:w="2093" w:type="dxa"/>
          </w:tcPr>
          <w:p w14:paraId="208007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Африка и Италия</w:t>
            </w:r>
          </w:p>
        </w:tc>
        <w:tc>
          <w:tcPr>
            <w:tcW w:w="1417" w:type="dxa"/>
          </w:tcPr>
          <w:p w14:paraId="6AAAA5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50481(2053)</w:t>
            </w:r>
          </w:p>
        </w:tc>
        <w:tc>
          <w:tcPr>
            <w:tcW w:w="1418" w:type="dxa"/>
          </w:tcPr>
          <w:p w14:paraId="2F9896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163602(4464)</w:t>
            </w:r>
          </w:p>
        </w:tc>
        <w:tc>
          <w:tcPr>
            <w:tcW w:w="1843" w:type="dxa"/>
          </w:tcPr>
          <w:p w14:paraId="0BDDC7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194250(4758)</w:t>
            </w:r>
          </w:p>
        </w:tc>
        <w:tc>
          <w:tcPr>
            <w:tcW w:w="3827" w:type="dxa"/>
          </w:tcPr>
          <w:p w14:paraId="564BDB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40833(11275)</w:t>
            </w:r>
          </w:p>
        </w:tc>
      </w:tr>
      <w:tr w:rsidR="000F5689" w:rsidRPr="00925F26" w14:paraId="2FBB6609" w14:textId="77777777">
        <w:tc>
          <w:tcPr>
            <w:tcW w:w="2093" w:type="dxa"/>
          </w:tcPr>
          <w:p w14:paraId="4E3B69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Западный фронт</w:t>
            </w:r>
          </w:p>
        </w:tc>
        <w:tc>
          <w:tcPr>
            <w:tcW w:w="1417" w:type="dxa"/>
          </w:tcPr>
          <w:p w14:paraId="5843218F"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226B5773"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0B068ADB"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1509B041"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0DB9177" w14:textId="77777777">
        <w:tc>
          <w:tcPr>
            <w:tcW w:w="2093" w:type="dxa"/>
          </w:tcPr>
          <w:p w14:paraId="434638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до высадки</w:t>
            </w:r>
          </w:p>
        </w:tc>
        <w:tc>
          <w:tcPr>
            <w:tcW w:w="1417" w:type="dxa"/>
          </w:tcPr>
          <w:p w14:paraId="77F20FB7"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C51C66F"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083659FC"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2826BADE"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4E9BE870" w14:textId="77777777">
        <w:tc>
          <w:tcPr>
            <w:tcW w:w="2093" w:type="dxa"/>
          </w:tcPr>
          <w:p w14:paraId="326872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союзников</w:t>
            </w:r>
          </w:p>
        </w:tc>
        <w:tc>
          <w:tcPr>
            <w:tcW w:w="1417" w:type="dxa"/>
          </w:tcPr>
          <w:p w14:paraId="6C0229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66321(2439)</w:t>
            </w:r>
          </w:p>
        </w:tc>
        <w:tc>
          <w:tcPr>
            <w:tcW w:w="1418" w:type="dxa"/>
          </w:tcPr>
          <w:p w14:paraId="29F6A2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118272(3566)</w:t>
            </w:r>
          </w:p>
        </w:tc>
        <w:tc>
          <w:tcPr>
            <w:tcW w:w="1843" w:type="dxa"/>
          </w:tcPr>
          <w:p w14:paraId="75B565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2263(134)</w:t>
            </w:r>
          </w:p>
        </w:tc>
        <w:tc>
          <w:tcPr>
            <w:tcW w:w="3827" w:type="dxa"/>
          </w:tcPr>
          <w:p w14:paraId="4AF5B1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161256(5803)</w:t>
            </w:r>
          </w:p>
        </w:tc>
      </w:tr>
      <w:tr w:rsidR="000F5689" w:rsidRPr="00925F26" w14:paraId="098F8082" w14:textId="77777777">
        <w:tc>
          <w:tcPr>
            <w:tcW w:w="2093" w:type="dxa"/>
          </w:tcPr>
          <w:p w14:paraId="4E30F4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после высадки</w:t>
            </w:r>
          </w:p>
        </w:tc>
        <w:tc>
          <w:tcPr>
            <w:tcW w:w="1417" w:type="dxa"/>
          </w:tcPr>
          <w:p w14:paraId="47261D41"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C3D331D"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72DE939C"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5FD1AABA"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2A2B7001" w14:textId="77777777">
        <w:tc>
          <w:tcPr>
            <w:tcW w:w="2093" w:type="dxa"/>
          </w:tcPr>
          <w:p w14:paraId="6141B4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союзников</w:t>
            </w:r>
          </w:p>
        </w:tc>
        <w:tc>
          <w:tcPr>
            <w:tcW w:w="1417" w:type="dxa"/>
          </w:tcPr>
          <w:p w14:paraId="30A417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40721(2103)</w:t>
            </w:r>
          </w:p>
        </w:tc>
        <w:tc>
          <w:tcPr>
            <w:tcW w:w="1418" w:type="dxa"/>
          </w:tcPr>
          <w:p w14:paraId="2234FA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221584(6052)</w:t>
            </w:r>
          </w:p>
        </w:tc>
        <w:tc>
          <w:tcPr>
            <w:tcW w:w="1843" w:type="dxa"/>
          </w:tcPr>
          <w:p w14:paraId="657883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411978(5041)</w:t>
            </w:r>
          </w:p>
        </w:tc>
        <w:tc>
          <w:tcPr>
            <w:tcW w:w="3827" w:type="dxa"/>
          </w:tcPr>
          <w:p w14:paraId="5B5A16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699883(13892)</w:t>
            </w:r>
          </w:p>
        </w:tc>
      </w:tr>
      <w:tr w:rsidR="000F5689" w:rsidRPr="00925F26" w14:paraId="45A07CE4" w14:textId="77777777">
        <w:tc>
          <w:tcPr>
            <w:tcW w:w="2093" w:type="dxa"/>
          </w:tcPr>
          <w:p w14:paraId="5F74A2CA" w14:textId="77777777" w:rsidR="00C2313B" w:rsidRPr="00925F26" w:rsidRDefault="00C2313B" w:rsidP="00925F26">
            <w:pPr>
              <w:autoSpaceDE w:val="0"/>
              <w:autoSpaceDN w:val="0"/>
              <w:adjustRightInd w:val="0"/>
              <w:jc w:val="both"/>
              <w:rPr>
                <w:color w:val="000000" w:themeColor="text1"/>
                <w:sz w:val="16"/>
                <w:szCs w:val="16"/>
              </w:rPr>
            </w:pPr>
          </w:p>
        </w:tc>
        <w:tc>
          <w:tcPr>
            <w:tcW w:w="1417" w:type="dxa"/>
          </w:tcPr>
          <w:p w14:paraId="189603B7"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4E193F46"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399D3852"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5F867E19"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6A72AF1" w14:textId="77777777">
        <w:tc>
          <w:tcPr>
            <w:tcW w:w="2093" w:type="dxa"/>
          </w:tcPr>
          <w:p w14:paraId="38E421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в Норвегии</w:t>
            </w:r>
          </w:p>
        </w:tc>
        <w:tc>
          <w:tcPr>
            <w:tcW w:w="1417" w:type="dxa"/>
          </w:tcPr>
          <w:p w14:paraId="22ECC4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16639(530)</w:t>
            </w:r>
          </w:p>
        </w:tc>
        <w:tc>
          <w:tcPr>
            <w:tcW w:w="1418" w:type="dxa"/>
          </w:tcPr>
          <w:p w14:paraId="7038C7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60451(1435)</w:t>
            </w:r>
          </w:p>
        </w:tc>
        <w:tc>
          <w:tcPr>
            <w:tcW w:w="1843" w:type="dxa"/>
          </w:tcPr>
          <w:p w14:paraId="4D4344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7157(144)</w:t>
            </w:r>
          </w:p>
        </w:tc>
        <w:tc>
          <w:tcPr>
            <w:tcW w:w="3827" w:type="dxa"/>
          </w:tcPr>
          <w:p w14:paraId="28B9B0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84247(2109)</w:t>
            </w:r>
          </w:p>
        </w:tc>
      </w:tr>
      <w:tr w:rsidR="000F5689" w:rsidRPr="00925F26" w14:paraId="47B19C61" w14:textId="77777777">
        <w:tc>
          <w:tcPr>
            <w:tcW w:w="2093" w:type="dxa"/>
          </w:tcPr>
          <w:p w14:paraId="062765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Умершие от ран</w:t>
            </w:r>
          </w:p>
        </w:tc>
        <w:tc>
          <w:tcPr>
            <w:tcW w:w="1417" w:type="dxa"/>
          </w:tcPr>
          <w:p w14:paraId="307CF6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295659(10141)</w:t>
            </w:r>
          </w:p>
        </w:tc>
        <w:tc>
          <w:tcPr>
            <w:tcW w:w="1418" w:type="dxa"/>
          </w:tcPr>
          <w:p w14:paraId="45000350"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2C8BFCE4"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11716E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295659(10141)</w:t>
            </w:r>
          </w:p>
        </w:tc>
      </w:tr>
      <w:tr w:rsidR="000F5689" w:rsidRPr="00925F26" w14:paraId="39A8D245" w14:textId="77777777">
        <w:tc>
          <w:tcPr>
            <w:tcW w:w="2093" w:type="dxa"/>
          </w:tcPr>
          <w:p w14:paraId="03C901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Травмы, болезни,</w:t>
            </w:r>
          </w:p>
        </w:tc>
        <w:tc>
          <w:tcPr>
            <w:tcW w:w="1417" w:type="dxa"/>
          </w:tcPr>
          <w:p w14:paraId="5151BB16"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47831D26"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0C0212B3"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469412FA"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6BB2A173" w14:textId="77777777">
        <w:tc>
          <w:tcPr>
            <w:tcW w:w="2093" w:type="dxa"/>
          </w:tcPr>
          <w:p w14:paraId="1C9765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самоубийства</w:t>
            </w:r>
          </w:p>
        </w:tc>
        <w:tc>
          <w:tcPr>
            <w:tcW w:w="1417" w:type="dxa"/>
          </w:tcPr>
          <w:p w14:paraId="771FAC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160237(8580)</w:t>
            </w:r>
          </w:p>
        </w:tc>
        <w:tc>
          <w:tcPr>
            <w:tcW w:w="1418" w:type="dxa"/>
          </w:tcPr>
          <w:p w14:paraId="15357232"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3E6A9858"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1A6339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160237(8580)</w:t>
            </w:r>
          </w:p>
        </w:tc>
      </w:tr>
      <w:tr w:rsidR="000F5689" w:rsidRPr="00925F26" w14:paraId="47053B1D" w14:textId="77777777">
        <w:tc>
          <w:tcPr>
            <w:tcW w:w="2093" w:type="dxa"/>
          </w:tcPr>
          <w:p w14:paraId="3EE89C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Невыясненные</w:t>
            </w:r>
          </w:p>
        </w:tc>
        <w:tc>
          <w:tcPr>
            <w:tcW w:w="1417" w:type="dxa"/>
          </w:tcPr>
          <w:p w14:paraId="7CD75759"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6C3EFBF2"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4754749D"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0E0A9510"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650DDAE9" w14:textId="77777777">
        <w:tc>
          <w:tcPr>
            <w:tcW w:w="2093" w:type="dxa"/>
          </w:tcPr>
          <w:p w14:paraId="2EB999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обстоятельства</w:t>
            </w:r>
          </w:p>
        </w:tc>
        <w:tc>
          <w:tcPr>
            <w:tcW w:w="1417" w:type="dxa"/>
          </w:tcPr>
          <w:p w14:paraId="21347F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17051(811)</w:t>
            </w:r>
          </w:p>
        </w:tc>
        <w:tc>
          <w:tcPr>
            <w:tcW w:w="1418" w:type="dxa"/>
          </w:tcPr>
          <w:p w14:paraId="7616A146"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5D35EC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687(17)</w:t>
            </w:r>
          </w:p>
        </w:tc>
        <w:tc>
          <w:tcPr>
            <w:tcW w:w="3827" w:type="dxa"/>
          </w:tcPr>
          <w:p w14:paraId="78B223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17738(828)</w:t>
            </w:r>
          </w:p>
        </w:tc>
      </w:tr>
      <w:tr w:rsidR="000F5689" w:rsidRPr="00925F26" w14:paraId="21AAB4FD" w14:textId="77777777">
        <w:tc>
          <w:tcPr>
            <w:tcW w:w="2093" w:type="dxa"/>
          </w:tcPr>
          <w:p w14:paraId="5F940D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Запасные части</w:t>
            </w:r>
          </w:p>
        </w:tc>
        <w:tc>
          <w:tcPr>
            <w:tcW w:w="1417" w:type="dxa"/>
          </w:tcPr>
          <w:p w14:paraId="4DD91C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10467(369)</w:t>
            </w:r>
          </w:p>
        </w:tc>
        <w:tc>
          <w:tcPr>
            <w:tcW w:w="1418" w:type="dxa"/>
          </w:tcPr>
          <w:p w14:paraId="1D3606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42174(941)</w:t>
            </w:r>
          </w:p>
        </w:tc>
        <w:tc>
          <w:tcPr>
            <w:tcW w:w="1843" w:type="dxa"/>
          </w:tcPr>
          <w:p w14:paraId="3CA66A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1337(18)</w:t>
            </w:r>
          </w:p>
        </w:tc>
        <w:tc>
          <w:tcPr>
            <w:tcW w:w="3827" w:type="dxa"/>
          </w:tcPr>
          <w:p w14:paraId="574F8B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53978(1328)</w:t>
            </w:r>
          </w:p>
        </w:tc>
      </w:tr>
      <w:tr w:rsidR="000F5689" w:rsidRPr="00925F26" w14:paraId="108BBCFF" w14:textId="77777777">
        <w:tc>
          <w:tcPr>
            <w:tcW w:w="2093" w:type="dxa"/>
          </w:tcPr>
          <w:p w14:paraId="2CEE09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417" w:type="dxa"/>
          </w:tcPr>
          <w:p w14:paraId="42FFB5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1782708(69361)</w:t>
            </w:r>
          </w:p>
        </w:tc>
        <w:tc>
          <w:tcPr>
            <w:tcW w:w="1418" w:type="dxa"/>
          </w:tcPr>
          <w:p w14:paraId="66F1E2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4159211(107613)</w:t>
            </w:r>
          </w:p>
        </w:tc>
        <w:tc>
          <w:tcPr>
            <w:tcW w:w="1843" w:type="dxa"/>
          </w:tcPr>
          <w:p w14:paraId="687D51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1650842(27268)</w:t>
            </w:r>
          </w:p>
        </w:tc>
        <w:tc>
          <w:tcPr>
            <w:tcW w:w="3827" w:type="dxa"/>
          </w:tcPr>
          <w:p w14:paraId="2AB22D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7592851(204242)</w:t>
            </w:r>
          </w:p>
        </w:tc>
      </w:tr>
      <w:tr w:rsidR="000F5689" w:rsidRPr="00925F26" w14:paraId="79AC4FB7" w14:textId="77777777">
        <w:tc>
          <w:tcPr>
            <w:tcW w:w="2093" w:type="dxa"/>
          </w:tcPr>
          <w:p w14:paraId="5BDE2C8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Люфтваффе (ВВС)</w:t>
            </w:r>
          </w:p>
        </w:tc>
        <w:tc>
          <w:tcPr>
            <w:tcW w:w="1417" w:type="dxa"/>
          </w:tcPr>
          <w:p w14:paraId="755ED8C2"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52AE80A3"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0B89D84A"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423B5803"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463AE878" w14:textId="77777777">
        <w:tc>
          <w:tcPr>
            <w:tcW w:w="2093" w:type="dxa"/>
          </w:tcPr>
          <w:p w14:paraId="627B1D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Западный фронт</w:t>
            </w:r>
          </w:p>
        </w:tc>
        <w:tc>
          <w:tcPr>
            <w:tcW w:w="1417" w:type="dxa"/>
          </w:tcPr>
          <w:p w14:paraId="2827F226"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F816131"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417A4FEB"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0C58D047"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37A0B075" w14:textId="77777777">
        <w:tc>
          <w:tcPr>
            <w:tcW w:w="2093" w:type="dxa"/>
          </w:tcPr>
          <w:p w14:paraId="5CF511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Германия</w:t>
            </w:r>
          </w:p>
        </w:tc>
        <w:tc>
          <w:tcPr>
            <w:tcW w:w="1417" w:type="dxa"/>
          </w:tcPr>
          <w:p w14:paraId="40B3B1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34147(3010)</w:t>
            </w:r>
          </w:p>
        </w:tc>
        <w:tc>
          <w:tcPr>
            <w:tcW w:w="1418" w:type="dxa"/>
          </w:tcPr>
          <w:p w14:paraId="48A5AB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46157(2371)</w:t>
            </w:r>
          </w:p>
        </w:tc>
        <w:tc>
          <w:tcPr>
            <w:tcW w:w="1843" w:type="dxa"/>
          </w:tcPr>
          <w:p w14:paraId="16A556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52610(2961)</w:t>
            </w:r>
          </w:p>
        </w:tc>
        <w:tc>
          <w:tcPr>
            <w:tcW w:w="3827" w:type="dxa"/>
          </w:tcPr>
          <w:p w14:paraId="6004EA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132914(8342)</w:t>
            </w:r>
          </w:p>
        </w:tc>
      </w:tr>
      <w:tr w:rsidR="000F5689" w:rsidRPr="00925F26" w14:paraId="0B8F2275" w14:textId="77777777">
        <w:tc>
          <w:tcPr>
            <w:tcW w:w="2093" w:type="dxa"/>
          </w:tcPr>
          <w:p w14:paraId="2A9E3F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Запад с момента</w:t>
            </w:r>
          </w:p>
        </w:tc>
        <w:tc>
          <w:tcPr>
            <w:tcW w:w="1417" w:type="dxa"/>
          </w:tcPr>
          <w:p w14:paraId="1403CB96"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70A600F9"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2B80353D"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70872479"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05CC39A2" w14:textId="77777777">
        <w:tc>
          <w:tcPr>
            <w:tcW w:w="2093" w:type="dxa"/>
          </w:tcPr>
          <w:p w14:paraId="0D2996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высадки союзн.</w:t>
            </w:r>
          </w:p>
        </w:tc>
        <w:tc>
          <w:tcPr>
            <w:tcW w:w="1417" w:type="dxa"/>
          </w:tcPr>
          <w:p w14:paraId="0F828E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11066(556)</w:t>
            </w:r>
          </w:p>
        </w:tc>
        <w:tc>
          <w:tcPr>
            <w:tcW w:w="1418" w:type="dxa"/>
          </w:tcPr>
          <w:p w14:paraId="1EADED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25673(744)</w:t>
            </w:r>
          </w:p>
        </w:tc>
        <w:tc>
          <w:tcPr>
            <w:tcW w:w="1843" w:type="dxa"/>
          </w:tcPr>
          <w:p w14:paraId="116CC3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41217(1339)</w:t>
            </w:r>
          </w:p>
        </w:tc>
        <w:tc>
          <w:tcPr>
            <w:tcW w:w="3827" w:type="dxa"/>
          </w:tcPr>
          <w:p w14:paraId="148678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77956(2639)</w:t>
            </w:r>
          </w:p>
        </w:tc>
      </w:tr>
      <w:tr w:rsidR="000F5689" w:rsidRPr="00925F26" w14:paraId="14B1FC2B" w14:textId="77777777">
        <w:tc>
          <w:tcPr>
            <w:tcW w:w="2093" w:type="dxa"/>
          </w:tcPr>
          <w:p w14:paraId="06CB9E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южных фронт.</w:t>
            </w:r>
          </w:p>
        </w:tc>
        <w:tc>
          <w:tcPr>
            <w:tcW w:w="1417" w:type="dxa"/>
          </w:tcPr>
          <w:p w14:paraId="4C9F57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22625(1270)</w:t>
            </w:r>
          </w:p>
        </w:tc>
        <w:tc>
          <w:tcPr>
            <w:tcW w:w="1418" w:type="dxa"/>
          </w:tcPr>
          <w:p w14:paraId="17E80D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42613(1521)</w:t>
            </w:r>
          </w:p>
        </w:tc>
        <w:tc>
          <w:tcPr>
            <w:tcW w:w="1843" w:type="dxa"/>
          </w:tcPr>
          <w:p w14:paraId="3C60FC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54325(2292)</w:t>
            </w:r>
          </w:p>
        </w:tc>
        <w:tc>
          <w:tcPr>
            <w:tcW w:w="3827" w:type="dxa"/>
          </w:tcPr>
          <w:p w14:paraId="6FB1D7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119563(5083)</w:t>
            </w:r>
          </w:p>
        </w:tc>
      </w:tr>
      <w:tr w:rsidR="000F5689" w:rsidRPr="00925F26" w14:paraId="17FCB117" w14:textId="77777777">
        <w:tc>
          <w:tcPr>
            <w:tcW w:w="2093" w:type="dxa"/>
          </w:tcPr>
          <w:p w14:paraId="0B23C5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Восточный фронт</w:t>
            </w:r>
          </w:p>
        </w:tc>
        <w:tc>
          <w:tcPr>
            <w:tcW w:w="1417" w:type="dxa"/>
          </w:tcPr>
          <w:p w14:paraId="76673A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52932(2499)</w:t>
            </w:r>
          </w:p>
        </w:tc>
        <w:tc>
          <w:tcPr>
            <w:tcW w:w="1418" w:type="dxa"/>
          </w:tcPr>
          <w:p w14:paraId="712B38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116818(4318)</w:t>
            </w:r>
          </w:p>
        </w:tc>
        <w:tc>
          <w:tcPr>
            <w:tcW w:w="1843" w:type="dxa"/>
          </w:tcPr>
          <w:p w14:paraId="221CB1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49210(2569)</w:t>
            </w:r>
          </w:p>
        </w:tc>
        <w:tc>
          <w:tcPr>
            <w:tcW w:w="3827" w:type="dxa"/>
          </w:tcPr>
          <w:p w14:paraId="41C404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218960(9386)</w:t>
            </w:r>
          </w:p>
        </w:tc>
      </w:tr>
      <w:tr w:rsidR="000F5689" w:rsidRPr="00925F26" w14:paraId="2265F541" w14:textId="77777777">
        <w:tc>
          <w:tcPr>
            <w:tcW w:w="2093" w:type="dxa"/>
          </w:tcPr>
          <w:p w14:paraId="542288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Потери на авиазаводах</w:t>
            </w:r>
          </w:p>
        </w:tc>
        <w:tc>
          <w:tcPr>
            <w:tcW w:w="1417" w:type="dxa"/>
          </w:tcPr>
          <w:p w14:paraId="4BD801CE"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38CA17A0"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3BF91C28"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5EBA0BDD"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3F2B6682" w14:textId="77777777">
        <w:tc>
          <w:tcPr>
            <w:tcW w:w="2093" w:type="dxa"/>
          </w:tcPr>
          <w:p w14:paraId="3C7E7B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в летных школах</w:t>
            </w:r>
          </w:p>
        </w:tc>
        <w:tc>
          <w:tcPr>
            <w:tcW w:w="1417" w:type="dxa"/>
          </w:tcPr>
          <w:p w14:paraId="5B55DD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28892(2630)</w:t>
            </w:r>
          </w:p>
        </w:tc>
        <w:tc>
          <w:tcPr>
            <w:tcW w:w="1418" w:type="dxa"/>
          </w:tcPr>
          <w:p w14:paraId="08283A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10991(1157)</w:t>
            </w:r>
          </w:p>
        </w:tc>
        <w:tc>
          <w:tcPr>
            <w:tcW w:w="1843" w:type="dxa"/>
          </w:tcPr>
          <w:p w14:paraId="0A4BE7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827" w:type="dxa"/>
          </w:tcPr>
          <w:p w14:paraId="1D00B4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39883(3787)</w:t>
            </w:r>
          </w:p>
        </w:tc>
      </w:tr>
      <w:tr w:rsidR="000F5689" w:rsidRPr="00925F26" w14:paraId="762E345A" w14:textId="77777777">
        <w:tc>
          <w:tcPr>
            <w:tcW w:w="2093" w:type="dxa"/>
          </w:tcPr>
          <w:p w14:paraId="7F086F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Травмы, болезни,</w:t>
            </w:r>
          </w:p>
        </w:tc>
        <w:tc>
          <w:tcPr>
            <w:tcW w:w="1417" w:type="dxa"/>
          </w:tcPr>
          <w:p w14:paraId="01BBBE9C"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A8C0791"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090B158E"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0946A4D5"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5A4FA175" w14:textId="77777777">
        <w:tc>
          <w:tcPr>
            <w:tcW w:w="2093" w:type="dxa"/>
          </w:tcPr>
          <w:p w14:paraId="659B4A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самоубийства</w:t>
            </w:r>
          </w:p>
        </w:tc>
        <w:tc>
          <w:tcPr>
            <w:tcW w:w="1417" w:type="dxa"/>
          </w:tcPr>
          <w:p w14:paraId="118B6F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19976(1201)</w:t>
            </w:r>
          </w:p>
        </w:tc>
        <w:tc>
          <w:tcPr>
            <w:tcW w:w="1418" w:type="dxa"/>
          </w:tcPr>
          <w:p w14:paraId="2D4C55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43" w:type="dxa"/>
          </w:tcPr>
          <w:p w14:paraId="647F97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827" w:type="dxa"/>
          </w:tcPr>
          <w:p w14:paraId="0DE9B8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19976(1201)</w:t>
            </w:r>
          </w:p>
        </w:tc>
      </w:tr>
      <w:tr w:rsidR="000F5689" w:rsidRPr="00925F26" w14:paraId="1657A161" w14:textId="77777777">
        <w:tc>
          <w:tcPr>
            <w:tcW w:w="2093" w:type="dxa"/>
          </w:tcPr>
          <w:p w14:paraId="3BF1F6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по ВВС:</w:t>
            </w:r>
          </w:p>
        </w:tc>
        <w:tc>
          <w:tcPr>
            <w:tcW w:w="1417" w:type="dxa"/>
          </w:tcPr>
          <w:p w14:paraId="4C8FFC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158572(10610)</w:t>
            </w:r>
          </w:p>
        </w:tc>
        <w:tc>
          <w:tcPr>
            <w:tcW w:w="1418" w:type="dxa"/>
          </w:tcPr>
          <w:p w14:paraId="4AD384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216579(9367)</w:t>
            </w:r>
          </w:p>
        </w:tc>
        <w:tc>
          <w:tcPr>
            <w:tcW w:w="1843" w:type="dxa"/>
          </w:tcPr>
          <w:p w14:paraId="2FA0C7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156145(822)</w:t>
            </w:r>
          </w:p>
        </w:tc>
        <w:tc>
          <w:tcPr>
            <w:tcW w:w="3827" w:type="dxa"/>
          </w:tcPr>
          <w:p w14:paraId="460DB1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531296(27799)</w:t>
            </w:r>
          </w:p>
        </w:tc>
      </w:tr>
      <w:tr w:rsidR="000F5689" w:rsidRPr="00925F26" w14:paraId="2B69ACBE" w14:textId="77777777">
        <w:tc>
          <w:tcPr>
            <w:tcW w:w="2093" w:type="dxa"/>
          </w:tcPr>
          <w:p w14:paraId="3AD6C7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 них:</w:t>
            </w:r>
          </w:p>
        </w:tc>
        <w:tc>
          <w:tcPr>
            <w:tcW w:w="1417" w:type="dxa"/>
          </w:tcPr>
          <w:p w14:paraId="5CBEBAB5"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1C0DA5E5"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52A20A7F"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2D798ED8"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1F8318C4" w14:textId="77777777">
        <w:tc>
          <w:tcPr>
            <w:tcW w:w="2093" w:type="dxa"/>
          </w:tcPr>
          <w:p w14:paraId="1014B8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летного состава</w:t>
            </w:r>
          </w:p>
        </w:tc>
        <w:tc>
          <w:tcPr>
            <w:tcW w:w="1417" w:type="dxa"/>
          </w:tcPr>
          <w:p w14:paraId="05EF8C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43517(6527)</w:t>
            </w:r>
          </w:p>
        </w:tc>
        <w:tc>
          <w:tcPr>
            <w:tcW w:w="1418" w:type="dxa"/>
          </w:tcPr>
          <w:p w14:paraId="51FCA0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27811(4194)</w:t>
            </w:r>
          </w:p>
        </w:tc>
        <w:tc>
          <w:tcPr>
            <w:tcW w:w="1843" w:type="dxa"/>
          </w:tcPr>
          <w:p w14:paraId="639EA0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27240(4361)</w:t>
            </w:r>
          </w:p>
        </w:tc>
        <w:tc>
          <w:tcPr>
            <w:tcW w:w="3827" w:type="dxa"/>
          </w:tcPr>
          <w:p w14:paraId="578EE2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98568(15082)</w:t>
            </w:r>
          </w:p>
        </w:tc>
      </w:tr>
      <w:tr w:rsidR="000F5689" w:rsidRPr="00925F26" w14:paraId="440F73CB" w14:textId="77777777">
        <w:tc>
          <w:tcPr>
            <w:tcW w:w="2093" w:type="dxa"/>
          </w:tcPr>
          <w:p w14:paraId="0359DD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десантники</w:t>
            </w:r>
          </w:p>
        </w:tc>
        <w:tc>
          <w:tcPr>
            <w:tcW w:w="1417" w:type="dxa"/>
          </w:tcPr>
          <w:p w14:paraId="298D06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21309(732)</w:t>
            </w:r>
          </w:p>
        </w:tc>
        <w:tc>
          <w:tcPr>
            <w:tcW w:w="1418" w:type="dxa"/>
          </w:tcPr>
          <w:p w14:paraId="224624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56388(1206)</w:t>
            </w:r>
          </w:p>
        </w:tc>
        <w:tc>
          <w:tcPr>
            <w:tcW w:w="1843" w:type="dxa"/>
          </w:tcPr>
          <w:p w14:paraId="77EA23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43896(889)</w:t>
            </w:r>
          </w:p>
        </w:tc>
        <w:tc>
          <w:tcPr>
            <w:tcW w:w="3827" w:type="dxa"/>
          </w:tcPr>
          <w:p w14:paraId="6C6043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121593(2827)</w:t>
            </w:r>
          </w:p>
        </w:tc>
      </w:tr>
      <w:tr w:rsidR="000F5689" w:rsidRPr="00925F26" w14:paraId="65B9C37A" w14:textId="77777777">
        <w:tc>
          <w:tcPr>
            <w:tcW w:w="2093" w:type="dxa"/>
          </w:tcPr>
          <w:p w14:paraId="1FDA19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Военно-морские силы</w:t>
            </w:r>
          </w:p>
        </w:tc>
        <w:tc>
          <w:tcPr>
            <w:tcW w:w="1417" w:type="dxa"/>
          </w:tcPr>
          <w:p w14:paraId="0D1B9168"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75A5F967"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7B5DCE37"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58BD001A"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7FD90F05" w14:textId="77777777">
        <w:tc>
          <w:tcPr>
            <w:tcW w:w="2093" w:type="dxa"/>
          </w:tcPr>
          <w:p w14:paraId="228D1D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Атлантика</w:t>
            </w:r>
          </w:p>
        </w:tc>
        <w:tc>
          <w:tcPr>
            <w:tcW w:w="1417" w:type="dxa"/>
          </w:tcPr>
          <w:p w14:paraId="1AC2CC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39256(2215)</w:t>
            </w:r>
          </w:p>
        </w:tc>
        <w:tc>
          <w:tcPr>
            <w:tcW w:w="1418" w:type="dxa"/>
          </w:tcPr>
          <w:p w14:paraId="3E1B8B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15854(382)</w:t>
            </w:r>
          </w:p>
        </w:tc>
        <w:tc>
          <w:tcPr>
            <w:tcW w:w="1843" w:type="dxa"/>
          </w:tcPr>
          <w:p w14:paraId="41BEF4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92509(1896)</w:t>
            </w:r>
          </w:p>
        </w:tc>
        <w:tc>
          <w:tcPr>
            <w:tcW w:w="3827" w:type="dxa"/>
          </w:tcPr>
          <w:p w14:paraId="55C84A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147619(4393)</w:t>
            </w:r>
          </w:p>
        </w:tc>
      </w:tr>
      <w:tr w:rsidR="000F5689" w:rsidRPr="00925F26" w14:paraId="5640E7ED" w14:textId="77777777">
        <w:tc>
          <w:tcPr>
            <w:tcW w:w="2093" w:type="dxa"/>
          </w:tcPr>
          <w:p w14:paraId="452239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Средиземное море</w:t>
            </w:r>
          </w:p>
        </w:tc>
        <w:tc>
          <w:tcPr>
            <w:tcW w:w="1417" w:type="dxa"/>
          </w:tcPr>
          <w:p w14:paraId="4CF4EE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5836(186)</w:t>
            </w:r>
          </w:p>
        </w:tc>
        <w:tc>
          <w:tcPr>
            <w:tcW w:w="1418" w:type="dxa"/>
          </w:tcPr>
          <w:p w14:paraId="6B5BCD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6691(125)</w:t>
            </w:r>
          </w:p>
        </w:tc>
        <w:tc>
          <w:tcPr>
            <w:tcW w:w="1843" w:type="dxa"/>
          </w:tcPr>
          <w:p w14:paraId="3BF883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3840(107)</w:t>
            </w:r>
          </w:p>
        </w:tc>
        <w:tc>
          <w:tcPr>
            <w:tcW w:w="3827" w:type="dxa"/>
          </w:tcPr>
          <w:p w14:paraId="47CB1D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16367(418)</w:t>
            </w:r>
          </w:p>
        </w:tc>
      </w:tr>
      <w:tr w:rsidR="000F5689" w:rsidRPr="00925F26" w14:paraId="08A9E9C6" w14:textId="77777777">
        <w:tc>
          <w:tcPr>
            <w:tcW w:w="2093" w:type="dxa"/>
          </w:tcPr>
          <w:p w14:paraId="130E4A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Востоке</w:t>
            </w:r>
          </w:p>
        </w:tc>
        <w:tc>
          <w:tcPr>
            <w:tcW w:w="1417" w:type="dxa"/>
          </w:tcPr>
          <w:p w14:paraId="263EEE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3812(173)</w:t>
            </w:r>
          </w:p>
        </w:tc>
        <w:tc>
          <w:tcPr>
            <w:tcW w:w="1418" w:type="dxa"/>
          </w:tcPr>
          <w:p w14:paraId="575B9F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2714(47)</w:t>
            </w:r>
          </w:p>
        </w:tc>
        <w:tc>
          <w:tcPr>
            <w:tcW w:w="1843" w:type="dxa"/>
          </w:tcPr>
          <w:p w14:paraId="71052B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3907(171)</w:t>
            </w:r>
          </w:p>
        </w:tc>
        <w:tc>
          <w:tcPr>
            <w:tcW w:w="3827" w:type="dxa"/>
          </w:tcPr>
          <w:p w14:paraId="6E63E0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10433(391)</w:t>
            </w:r>
          </w:p>
        </w:tc>
      </w:tr>
      <w:tr w:rsidR="000F5689" w:rsidRPr="00925F26" w14:paraId="5A32E694" w14:textId="77777777">
        <w:tc>
          <w:tcPr>
            <w:tcW w:w="2093" w:type="dxa"/>
          </w:tcPr>
          <w:p w14:paraId="797A0A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Травмы, болезни,</w:t>
            </w:r>
          </w:p>
        </w:tc>
        <w:tc>
          <w:tcPr>
            <w:tcW w:w="1417" w:type="dxa"/>
          </w:tcPr>
          <w:p w14:paraId="59E251A0" w14:textId="77777777" w:rsidR="00C2313B" w:rsidRPr="00925F26" w:rsidRDefault="00C2313B" w:rsidP="00925F26">
            <w:pPr>
              <w:autoSpaceDE w:val="0"/>
              <w:autoSpaceDN w:val="0"/>
              <w:adjustRightInd w:val="0"/>
              <w:jc w:val="both"/>
              <w:rPr>
                <w:color w:val="000000" w:themeColor="text1"/>
                <w:sz w:val="16"/>
                <w:szCs w:val="16"/>
              </w:rPr>
            </w:pPr>
          </w:p>
        </w:tc>
        <w:tc>
          <w:tcPr>
            <w:tcW w:w="1418" w:type="dxa"/>
          </w:tcPr>
          <w:p w14:paraId="5A623A5E" w14:textId="77777777" w:rsidR="00C2313B" w:rsidRPr="00925F26" w:rsidRDefault="00C2313B" w:rsidP="00925F26">
            <w:pPr>
              <w:autoSpaceDE w:val="0"/>
              <w:autoSpaceDN w:val="0"/>
              <w:adjustRightInd w:val="0"/>
              <w:jc w:val="both"/>
              <w:rPr>
                <w:color w:val="000000" w:themeColor="text1"/>
                <w:sz w:val="16"/>
                <w:szCs w:val="16"/>
              </w:rPr>
            </w:pPr>
          </w:p>
        </w:tc>
        <w:tc>
          <w:tcPr>
            <w:tcW w:w="1843" w:type="dxa"/>
          </w:tcPr>
          <w:p w14:paraId="056620C9" w14:textId="77777777" w:rsidR="00C2313B" w:rsidRPr="00925F26" w:rsidRDefault="00C2313B" w:rsidP="00925F26">
            <w:pPr>
              <w:autoSpaceDE w:val="0"/>
              <w:autoSpaceDN w:val="0"/>
              <w:adjustRightInd w:val="0"/>
              <w:jc w:val="both"/>
              <w:rPr>
                <w:color w:val="000000" w:themeColor="text1"/>
                <w:sz w:val="16"/>
                <w:szCs w:val="16"/>
              </w:rPr>
            </w:pPr>
          </w:p>
        </w:tc>
        <w:tc>
          <w:tcPr>
            <w:tcW w:w="3827" w:type="dxa"/>
          </w:tcPr>
          <w:p w14:paraId="3A04836E"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5C920BD9" w14:textId="77777777">
        <w:tc>
          <w:tcPr>
            <w:tcW w:w="2093" w:type="dxa"/>
          </w:tcPr>
          <w:p w14:paraId="6DC4B0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самоубийства</w:t>
            </w:r>
          </w:p>
        </w:tc>
        <w:tc>
          <w:tcPr>
            <w:tcW w:w="1417" w:type="dxa"/>
          </w:tcPr>
          <w:p w14:paraId="2DC27D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11125(862)</w:t>
            </w:r>
          </w:p>
        </w:tc>
        <w:tc>
          <w:tcPr>
            <w:tcW w:w="1418" w:type="dxa"/>
          </w:tcPr>
          <w:p w14:paraId="196502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43" w:type="dxa"/>
          </w:tcPr>
          <w:p w14:paraId="532E09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827" w:type="dxa"/>
          </w:tcPr>
          <w:p w14:paraId="2822DD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11125(862)</w:t>
            </w:r>
          </w:p>
        </w:tc>
      </w:tr>
      <w:tr w:rsidR="000F5689" w:rsidRPr="00925F26" w14:paraId="3373E615" w14:textId="77777777">
        <w:tc>
          <w:tcPr>
            <w:tcW w:w="2093" w:type="dxa"/>
          </w:tcPr>
          <w:p w14:paraId="69DD7B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по ВМФ:</w:t>
            </w:r>
          </w:p>
        </w:tc>
        <w:tc>
          <w:tcPr>
            <w:tcW w:w="1417" w:type="dxa"/>
          </w:tcPr>
          <w:p w14:paraId="70D1AD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60029(3336)</w:t>
            </w:r>
          </w:p>
        </w:tc>
        <w:tc>
          <w:tcPr>
            <w:tcW w:w="1418" w:type="dxa"/>
          </w:tcPr>
          <w:p w14:paraId="370AE1A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25259(554)</w:t>
            </w:r>
          </w:p>
        </w:tc>
        <w:tc>
          <w:tcPr>
            <w:tcW w:w="1843" w:type="dxa"/>
          </w:tcPr>
          <w:p w14:paraId="377E80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100256(2174)</w:t>
            </w:r>
          </w:p>
        </w:tc>
        <w:tc>
          <w:tcPr>
            <w:tcW w:w="3827" w:type="dxa"/>
          </w:tcPr>
          <w:p w14:paraId="0B0E02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185544(6064)</w:t>
            </w:r>
          </w:p>
        </w:tc>
      </w:tr>
      <w:tr w:rsidR="000F5689" w:rsidRPr="00925F26" w14:paraId="02137BA8" w14:textId="77777777">
        <w:tc>
          <w:tcPr>
            <w:tcW w:w="2093" w:type="dxa"/>
          </w:tcPr>
          <w:p w14:paraId="004E7B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по вермахт:</w:t>
            </w:r>
          </w:p>
        </w:tc>
        <w:tc>
          <w:tcPr>
            <w:tcW w:w="1417" w:type="dxa"/>
          </w:tcPr>
          <w:p w14:paraId="5DE145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2001399(83307)</w:t>
            </w:r>
          </w:p>
        </w:tc>
        <w:tc>
          <w:tcPr>
            <w:tcW w:w="1418" w:type="dxa"/>
          </w:tcPr>
          <w:p w14:paraId="263188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4401049(117534)</w:t>
            </w:r>
          </w:p>
        </w:tc>
        <w:tc>
          <w:tcPr>
            <w:tcW w:w="1843" w:type="dxa"/>
          </w:tcPr>
          <w:p w14:paraId="554C4C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1907243(37264)</w:t>
            </w:r>
          </w:p>
        </w:tc>
        <w:tc>
          <w:tcPr>
            <w:tcW w:w="3827" w:type="dxa"/>
          </w:tcPr>
          <w:p w14:paraId="6B1E3C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8309691(238105)</w:t>
            </w:r>
          </w:p>
        </w:tc>
      </w:tr>
    </w:tbl>
    <w:p w14:paraId="407B9A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roofErr w:type="gramStart"/>
      <w:r w:rsidRPr="00925F26">
        <w:rPr>
          <w:color w:val="000000" w:themeColor="text1"/>
          <w:sz w:val="16"/>
          <w:szCs w:val="16"/>
        </w:rPr>
        <w:t>)</w:t>
      </w:r>
      <w:proofErr w:type="gramEnd"/>
      <w:r w:rsidRPr="00925F26">
        <w:rPr>
          <w:color w:val="000000" w:themeColor="text1"/>
          <w:sz w:val="16"/>
          <w:szCs w:val="16"/>
        </w:rPr>
        <w:t xml:space="preserve"> В таблице встречаются ошибки при суммировании (Прим. ред.) (3573).</w:t>
      </w:r>
    </w:p>
    <w:p w14:paraId="60EC6C80" w14:textId="77777777" w:rsidR="00C2313B" w:rsidRPr="00925F26" w:rsidRDefault="00C2313B" w:rsidP="00925F26">
      <w:pPr>
        <w:autoSpaceDE w:val="0"/>
        <w:autoSpaceDN w:val="0"/>
        <w:adjustRightInd w:val="0"/>
        <w:jc w:val="both"/>
        <w:rPr>
          <w:color w:val="000000" w:themeColor="text1"/>
          <w:sz w:val="16"/>
          <w:szCs w:val="16"/>
        </w:rPr>
      </w:pPr>
    </w:p>
    <w:p w14:paraId="1D405E2E" w14:textId="77777777" w:rsidR="0055066D" w:rsidRPr="00925F26" w:rsidRDefault="0055066D" w:rsidP="00925F26">
      <w:pPr>
        <w:jc w:val="both"/>
        <w:rPr>
          <w:color w:val="000000" w:themeColor="text1"/>
          <w:sz w:val="16"/>
          <w:szCs w:val="16"/>
        </w:rPr>
      </w:pPr>
      <w:r w:rsidRPr="00925F26">
        <w:rPr>
          <w:color w:val="000000" w:themeColor="text1"/>
          <w:sz w:val="16"/>
          <w:szCs w:val="16"/>
        </w:rPr>
        <w:t>31 января 1945 ВВС США начинают двухнедельную днеквные и ночные бомбардировки Иводзимы. Базирующиеся в Калькутте самолеты ВВС США бомбят Сингапур. В течение января B-29, совершающие налеты на Японию, потеряли 5,7% (20371).</w:t>
      </w:r>
    </w:p>
    <w:p w14:paraId="4969D544" w14:textId="77777777" w:rsidR="0055066D" w:rsidRPr="00925F26" w:rsidRDefault="0055066D" w:rsidP="00925F26">
      <w:pPr>
        <w:jc w:val="both"/>
        <w:rPr>
          <w:color w:val="000000" w:themeColor="text1"/>
          <w:sz w:val="16"/>
          <w:szCs w:val="16"/>
        </w:rPr>
      </w:pPr>
    </w:p>
    <w:p w14:paraId="5B33F110" w14:textId="77777777" w:rsidR="0055066D" w:rsidRPr="00925F26" w:rsidRDefault="0055066D" w:rsidP="00925F26">
      <w:pPr>
        <w:jc w:val="both"/>
        <w:rPr>
          <w:color w:val="000000" w:themeColor="text1"/>
          <w:sz w:val="16"/>
          <w:szCs w:val="16"/>
        </w:rPr>
      </w:pPr>
      <w:r w:rsidRPr="00925F26">
        <w:rPr>
          <w:color w:val="000000" w:themeColor="text1"/>
          <w:sz w:val="16"/>
          <w:szCs w:val="16"/>
        </w:rPr>
        <w:t>31 января 1945 часть левого крыла Австралийского национального Airways Стинсон Model A Tokana (регистрация VH-иуу) отделяется от самолета на высоте около 1000 футов (305 метров), когда он летит рядом Redesdale, Виктория, Австралия. Авиалайнер терпит крушение, все 10 человек на борту погибают.</w:t>
      </w:r>
    </w:p>
    <w:p w14:paraId="72B3E167" w14:textId="77777777" w:rsidR="0055066D" w:rsidRPr="00925F26" w:rsidRDefault="0055066D" w:rsidP="00925F26">
      <w:pPr>
        <w:jc w:val="both"/>
        <w:rPr>
          <w:color w:val="000000" w:themeColor="text1"/>
          <w:sz w:val="16"/>
          <w:szCs w:val="16"/>
        </w:rPr>
      </w:pPr>
    </w:p>
    <w:p w14:paraId="690B568B" w14:textId="77777777" w:rsidR="00BC1830"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3040FD9" w14:textId="77777777" w:rsidR="00BC1830" w:rsidRPr="00925F26" w:rsidRDefault="00BC1830" w:rsidP="00925F26">
      <w:pPr>
        <w:autoSpaceDE w:val="0"/>
        <w:autoSpaceDN w:val="0"/>
        <w:adjustRightInd w:val="0"/>
        <w:jc w:val="both"/>
        <w:rPr>
          <w:iCs/>
          <w:color w:val="000000" w:themeColor="text1"/>
          <w:sz w:val="16"/>
          <w:szCs w:val="16"/>
        </w:rPr>
      </w:pPr>
    </w:p>
    <w:p w14:paraId="67F0E73D" w14:textId="77777777" w:rsidR="004148AD" w:rsidRPr="001A0BAA" w:rsidRDefault="004148AD" w:rsidP="004148AD">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конце января 1945 года в НИИ ВВС завершились контрольные испытания Ил-2 № 3062100 постройки московского авиа</w:t>
      </w:r>
      <w:r w:rsidRPr="001A0BAA">
        <w:rPr>
          <w:rStyle w:val="aff0"/>
          <w:rFonts w:ascii="Times New Roman" w:hAnsi="Times New Roman" w:cs="Times New Roman"/>
          <w:color w:val="0070C0"/>
          <w:spacing w:val="0"/>
          <w:sz w:val="16"/>
          <w:szCs w:val="16"/>
        </w:rPr>
        <w:softHyphen/>
        <w:t>завода № 30. Как следует из «Акта по результатам кон</w:t>
      </w:r>
      <w:r w:rsidRPr="001A0BAA">
        <w:rPr>
          <w:rStyle w:val="aff0"/>
          <w:rFonts w:ascii="Times New Roman" w:hAnsi="Times New Roman" w:cs="Times New Roman"/>
          <w:color w:val="0070C0"/>
          <w:spacing w:val="0"/>
          <w:sz w:val="16"/>
          <w:szCs w:val="16"/>
        </w:rPr>
        <w:softHyphen/>
        <w:t>трольных испытаний...», самолет их не выдержи, хотя из</w:t>
      </w:r>
      <w:r w:rsidRPr="001A0BAA">
        <w:rPr>
          <w:rStyle w:val="aff0"/>
          <w:rFonts w:ascii="Times New Roman" w:hAnsi="Times New Roman" w:cs="Times New Roman"/>
          <w:color w:val="0070C0"/>
          <w:spacing w:val="0"/>
          <w:sz w:val="16"/>
          <w:szCs w:val="16"/>
        </w:rPr>
        <w:softHyphen/>
        <w:t xml:space="preserve">менения, внесенные заводскими специалистами, заказчик посчитал целесообразными и </w:t>
      </w:r>
      <w:r w:rsidRPr="001A0BAA">
        <w:rPr>
          <w:rStyle w:val="aff0"/>
          <w:rFonts w:ascii="Times New Roman" w:hAnsi="Times New Roman" w:cs="Times New Roman"/>
          <w:color w:val="0070C0"/>
          <w:spacing w:val="0"/>
          <w:sz w:val="16"/>
          <w:szCs w:val="16"/>
        </w:rPr>
        <w:lastRenderedPageBreak/>
        <w:t>рекомендовал внедрить их в серийное производство. К их числу относились: новый ме</w:t>
      </w:r>
      <w:r w:rsidRPr="001A0BAA">
        <w:rPr>
          <w:rStyle w:val="aff0"/>
          <w:rFonts w:ascii="Times New Roman" w:hAnsi="Times New Roman" w:cs="Times New Roman"/>
          <w:color w:val="0070C0"/>
          <w:spacing w:val="0"/>
          <w:sz w:val="16"/>
          <w:szCs w:val="16"/>
        </w:rPr>
        <w:softHyphen/>
        <w:t>ханизм отклонения посадочных щитков и перенос органа управления им из кабины стрелка поближе к летчику, об</w:t>
      </w:r>
      <w:r w:rsidRPr="001A0BAA">
        <w:rPr>
          <w:rStyle w:val="aff0"/>
          <w:rFonts w:ascii="Times New Roman" w:hAnsi="Times New Roman" w:cs="Times New Roman"/>
          <w:color w:val="0070C0"/>
          <w:spacing w:val="0"/>
          <w:sz w:val="16"/>
          <w:szCs w:val="16"/>
        </w:rPr>
        <w:softHyphen/>
        <w:t>дув кабины летчика, замена сиденья стрелка усиленным и зализа стабилизатора, размещение защитного экрана с по</w:t>
      </w:r>
      <w:r w:rsidRPr="001A0BAA">
        <w:rPr>
          <w:rStyle w:val="aff0"/>
          <w:rFonts w:ascii="Times New Roman" w:hAnsi="Times New Roman" w:cs="Times New Roman"/>
          <w:color w:val="0070C0"/>
          <w:spacing w:val="0"/>
          <w:sz w:val="16"/>
          <w:szCs w:val="16"/>
        </w:rPr>
        <w:softHyphen/>
        <w:t>душкой на бронеплите в кабине стрелка. Кроме этого, входной тоннель водорадиатора выполнили без перегоро</w:t>
      </w:r>
      <w:r w:rsidRPr="001A0BAA">
        <w:rPr>
          <w:rStyle w:val="aff0"/>
          <w:rFonts w:ascii="Times New Roman" w:hAnsi="Times New Roman" w:cs="Times New Roman"/>
          <w:color w:val="0070C0"/>
          <w:spacing w:val="0"/>
          <w:sz w:val="16"/>
          <w:szCs w:val="16"/>
        </w:rPr>
        <w:softHyphen/>
        <w:t>док, а выходные карманы моторного капота сделали пло</w:t>
      </w:r>
      <w:r w:rsidRPr="001A0BAA">
        <w:rPr>
          <w:rStyle w:val="aff0"/>
          <w:rFonts w:ascii="Times New Roman" w:hAnsi="Times New Roman" w:cs="Times New Roman"/>
          <w:color w:val="0070C0"/>
          <w:spacing w:val="0"/>
          <w:sz w:val="16"/>
          <w:szCs w:val="16"/>
        </w:rPr>
        <w:softHyphen/>
        <w:t>скими с жабрами. Обновили и оборудование, установив прицел ПБП-1 Б, фотопулемет ПАУ-22, радиоприемник РСИУ-6 с дистанционным управлением и передатчик РСИ-3М1, переговорное устройство СПУ-2ММ/</w:t>
      </w:r>
    </w:p>
    <w:p w14:paraId="1FE3ECD3" w14:textId="77777777" w:rsidR="004148AD" w:rsidRPr="001A0BAA" w:rsidRDefault="004148AD" w:rsidP="004148AD">
      <w:pPr>
        <w:jc w:val="both"/>
        <w:rPr>
          <w:color w:val="0070C0"/>
          <w:sz w:val="16"/>
          <w:szCs w:val="16"/>
        </w:rPr>
      </w:pPr>
      <w:r w:rsidRPr="001A0BAA">
        <w:rPr>
          <w:rStyle w:val="aff0"/>
          <w:rFonts w:ascii="Times New Roman" w:hAnsi="Times New Roman" w:cs="Times New Roman"/>
          <w:color w:val="0070C0"/>
          <w:spacing w:val="0"/>
          <w:sz w:val="16"/>
          <w:szCs w:val="16"/>
        </w:rPr>
        <w:t>Но одновременно с новинками, призванными улучшить работу экипажа штурмовика, выявились и дефекты, свойственные новой технике. Так, управление заслонкой обдува кабин оказалось неудобным и малоэффективным, жесткость крепления прицела оставляла желать лучшего, что снижало точность бомбометания и стрельбы из пушек, и прочее. Сохранился и старый дефект - плохая амортиза</w:t>
      </w:r>
      <w:r w:rsidRPr="001A0BAA">
        <w:rPr>
          <w:rStyle w:val="aff0"/>
          <w:rFonts w:ascii="Times New Roman" w:hAnsi="Times New Roman" w:cs="Times New Roman"/>
          <w:color w:val="0070C0"/>
          <w:spacing w:val="0"/>
          <w:sz w:val="16"/>
          <w:szCs w:val="16"/>
        </w:rPr>
        <w:softHyphen/>
        <w:t>ция мотора (25091).</w:t>
      </w:r>
    </w:p>
    <w:p w14:paraId="06011015" w14:textId="77777777" w:rsidR="004148AD" w:rsidRPr="001A0BAA" w:rsidRDefault="004148AD" w:rsidP="004148AD">
      <w:pPr>
        <w:jc w:val="both"/>
        <w:rPr>
          <w:color w:val="0070C0"/>
          <w:sz w:val="16"/>
          <w:szCs w:val="16"/>
        </w:rPr>
      </w:pPr>
    </w:p>
    <w:p w14:paraId="7DE0F39C" w14:textId="77777777" w:rsidR="00D645CD" w:rsidRPr="00925F26" w:rsidRDefault="00D645CD" w:rsidP="00925F26">
      <w:pPr>
        <w:jc w:val="both"/>
        <w:rPr>
          <w:color w:val="000000" w:themeColor="text1"/>
          <w:sz w:val="16"/>
          <w:szCs w:val="16"/>
        </w:rPr>
      </w:pPr>
      <w:r w:rsidRPr="00925F26">
        <w:rPr>
          <w:rStyle w:val="107"/>
          <w:rFonts w:eastAsiaTheme="minorHAnsi"/>
          <w:color w:val="000000" w:themeColor="text1"/>
          <w:sz w:val="16"/>
          <w:szCs w:val="16"/>
        </w:rPr>
        <w:t>К концу января 1945 было подготовлено заключение ЦАГИ по статиспытаниям первых агрегатов самолета Ил-10, из которого следовало, что их прочность удовлетворяет нормам 1943 года по классу Б (неманевренных самолетов).</w:t>
      </w:r>
    </w:p>
    <w:p w14:paraId="39EEAA93" w14:textId="77777777" w:rsidR="00D645CD" w:rsidRPr="00925F26" w:rsidRDefault="00D645CD" w:rsidP="00925F26">
      <w:pPr>
        <w:jc w:val="both"/>
        <w:rPr>
          <w:color w:val="000000" w:themeColor="text1"/>
          <w:sz w:val="16"/>
          <w:szCs w:val="16"/>
        </w:rPr>
      </w:pPr>
      <w:r w:rsidRPr="00925F26">
        <w:rPr>
          <w:rStyle w:val="107"/>
          <w:rFonts w:eastAsiaTheme="minorHAnsi"/>
          <w:color w:val="000000" w:themeColor="text1"/>
          <w:sz w:val="16"/>
          <w:szCs w:val="16"/>
        </w:rPr>
        <w:t>Поскольку при статиспытаниях шасси с центропланом на случай Е+</w:t>
      </w:r>
      <w:r w:rsidRPr="00925F26">
        <w:rPr>
          <w:rStyle w:val="107"/>
          <w:rFonts w:eastAsiaTheme="minorHAnsi"/>
          <w:color w:val="000000" w:themeColor="text1"/>
          <w:sz w:val="16"/>
          <w:szCs w:val="16"/>
          <w:lang w:val="en-US"/>
        </w:rPr>
        <w:t>G</w:t>
      </w:r>
      <w:r w:rsidRPr="00925F26">
        <w:rPr>
          <w:rStyle w:val="107"/>
          <w:rFonts w:eastAsiaTheme="minorHAnsi"/>
          <w:color w:val="000000" w:themeColor="text1"/>
          <w:sz w:val="16"/>
          <w:szCs w:val="16"/>
        </w:rPr>
        <w:t xml:space="preserve"> произошло разрушение центроплана при 97 % расчетной нагрузки, определенной с коэффициентом безопасности 1,65, то специалисты ЦАГИ считали необходимым усилить центроплан в соответствии с нормами прочности и коэффициентом безопасности 1,8.</w:t>
      </w:r>
    </w:p>
    <w:p w14:paraId="14128978" w14:textId="77777777" w:rsidR="00D645CD" w:rsidRPr="00925F26" w:rsidRDefault="00D645CD" w:rsidP="00925F26">
      <w:pPr>
        <w:jc w:val="both"/>
        <w:rPr>
          <w:color w:val="000000" w:themeColor="text1"/>
          <w:sz w:val="16"/>
          <w:szCs w:val="16"/>
        </w:rPr>
      </w:pPr>
      <w:r w:rsidRPr="00925F26">
        <w:rPr>
          <w:rStyle w:val="107"/>
          <w:rFonts w:eastAsiaTheme="minorHAnsi"/>
          <w:color w:val="000000" w:themeColor="text1"/>
          <w:sz w:val="16"/>
          <w:szCs w:val="16"/>
        </w:rPr>
        <w:t>«В последующих сериях прочность агрегатов необходимо довести до требований норм по классу А (маневренные самолеты)», - указывалось в заключении.</w:t>
      </w:r>
    </w:p>
    <w:p w14:paraId="26307FAF" w14:textId="77777777" w:rsidR="00D645CD" w:rsidRPr="00925F26" w:rsidRDefault="00D645CD" w:rsidP="00925F26">
      <w:pPr>
        <w:jc w:val="both"/>
        <w:rPr>
          <w:color w:val="000000" w:themeColor="text1"/>
          <w:sz w:val="16"/>
          <w:szCs w:val="16"/>
        </w:rPr>
      </w:pPr>
      <w:r w:rsidRPr="00925F26">
        <w:rPr>
          <w:rStyle w:val="107"/>
          <w:rFonts w:eastAsiaTheme="minorHAnsi"/>
          <w:color w:val="000000" w:themeColor="text1"/>
          <w:sz w:val="16"/>
          <w:szCs w:val="16"/>
        </w:rPr>
        <w:t>В ОКБ Ильюшина срочно разработали целый ряд мероприятий по усилению крыла и центроплана, которые предполагалось в полном объеме внедрить с 1-й машины 7-й серии 18-го завода, а затем и на машинах 1-го завода (17490).</w:t>
      </w:r>
    </w:p>
    <w:p w14:paraId="2D9F342B" w14:textId="77777777" w:rsidR="00D645CD" w:rsidRPr="00925F26" w:rsidRDefault="00D645CD" w:rsidP="00925F26">
      <w:pPr>
        <w:jc w:val="both"/>
        <w:rPr>
          <w:color w:val="000000" w:themeColor="text1"/>
          <w:sz w:val="16"/>
          <w:szCs w:val="16"/>
        </w:rPr>
      </w:pPr>
    </w:p>
    <w:p w14:paraId="4FA1160F" w14:textId="77777777" w:rsidR="00670896" w:rsidRPr="00925F26" w:rsidRDefault="00670896" w:rsidP="00925F26">
      <w:pPr>
        <w:shd w:val="clear" w:color="auto" w:fill="FFFFFF"/>
        <w:jc w:val="both"/>
        <w:rPr>
          <w:color w:val="000000" w:themeColor="text1"/>
          <w:sz w:val="16"/>
          <w:szCs w:val="16"/>
        </w:rPr>
      </w:pPr>
      <w:r w:rsidRPr="00925F26">
        <w:rPr>
          <w:color w:val="000000" w:themeColor="text1"/>
          <w:sz w:val="16"/>
          <w:szCs w:val="16"/>
        </w:rPr>
        <w:t>До конца января 1945 была доработана выхлопная система Су-7 без ТК, а затем началась отработка РД-1 на земле. Было произве дено 18 включений РД-1 (19586).</w:t>
      </w:r>
    </w:p>
    <w:p w14:paraId="71D81F61" w14:textId="77777777" w:rsidR="00670896" w:rsidRPr="00925F26" w:rsidRDefault="00670896" w:rsidP="00925F26">
      <w:pPr>
        <w:shd w:val="clear" w:color="auto" w:fill="FFFFFF"/>
        <w:jc w:val="both"/>
        <w:rPr>
          <w:color w:val="000000" w:themeColor="text1"/>
          <w:sz w:val="16"/>
          <w:szCs w:val="16"/>
        </w:rPr>
      </w:pPr>
    </w:p>
    <w:p w14:paraId="0B38B597" w14:textId="77777777" w:rsidR="00BC1830" w:rsidRPr="00925F26" w:rsidRDefault="00BC1830" w:rsidP="00925F26">
      <w:pPr>
        <w:pStyle w:val="a3"/>
        <w:rPr>
          <w:color w:val="000000" w:themeColor="text1"/>
          <w:lang w:val="ru-RU"/>
        </w:rPr>
      </w:pPr>
      <w:r w:rsidRPr="00925F26">
        <w:rPr>
          <w:color w:val="000000" w:themeColor="text1"/>
          <w:lang w:val="ru-RU"/>
        </w:rPr>
        <w:t>В конце января 1945 г. Павел Осипович Сухой доложил Наркому А.И. Шахурину свою двух-этапную концепцию модификации самолёта. На первом этапе предусматривалось незна</w:t>
      </w:r>
      <w:r w:rsidRPr="00925F26">
        <w:rPr>
          <w:color w:val="000000" w:themeColor="text1"/>
          <w:lang w:val="ru-RU"/>
        </w:rPr>
        <w:softHyphen/>
        <w:t>чительные изменения в конструкции базовой машины, улучшающие его лётные качества, или так называемая малая модификация — Ер-2ММ. Второй этап — большая модифи</w:t>
      </w:r>
      <w:r w:rsidRPr="00925F26">
        <w:rPr>
          <w:color w:val="000000" w:themeColor="text1"/>
          <w:lang w:val="ru-RU"/>
        </w:rPr>
        <w:softHyphen/>
        <w:t>кация (Ер-2БМ), требовал переработки практически всей конструкции самолёта (15810).</w:t>
      </w:r>
    </w:p>
    <w:p w14:paraId="199B2452" w14:textId="77777777" w:rsidR="00BC1830" w:rsidRPr="00925F26" w:rsidRDefault="00BC1830" w:rsidP="00925F26">
      <w:pPr>
        <w:pStyle w:val="a3"/>
        <w:rPr>
          <w:color w:val="000000" w:themeColor="text1"/>
          <w:lang w:val="ru-RU"/>
        </w:rPr>
      </w:pPr>
    </w:p>
    <w:p w14:paraId="6FCD15AF" w14:textId="77777777" w:rsidR="00D645CD" w:rsidRPr="00925F26" w:rsidRDefault="00D645CD"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9C5C7BF" w14:textId="77777777" w:rsidR="00D645CD" w:rsidRPr="00925F26" w:rsidRDefault="00D645CD" w:rsidP="00925F26">
      <w:pPr>
        <w:autoSpaceDE w:val="0"/>
        <w:autoSpaceDN w:val="0"/>
        <w:adjustRightInd w:val="0"/>
        <w:jc w:val="both"/>
        <w:rPr>
          <w:iCs/>
          <w:color w:val="000000" w:themeColor="text1"/>
          <w:sz w:val="16"/>
          <w:szCs w:val="16"/>
        </w:rPr>
      </w:pPr>
    </w:p>
    <w:p w14:paraId="238CB6E4" w14:textId="77777777" w:rsidR="00D645CD" w:rsidRPr="00925F26" w:rsidRDefault="00D645CD" w:rsidP="00925F26">
      <w:pPr>
        <w:shd w:val="clear" w:color="auto" w:fill="FFFFFF"/>
        <w:jc w:val="both"/>
        <w:rPr>
          <w:color w:val="000000" w:themeColor="text1"/>
          <w:sz w:val="16"/>
          <w:szCs w:val="16"/>
        </w:rPr>
      </w:pPr>
      <w:r w:rsidRPr="00925F26">
        <w:rPr>
          <w:color w:val="000000" w:themeColor="text1"/>
          <w:sz w:val="16"/>
          <w:szCs w:val="16"/>
        </w:rPr>
        <w:t xml:space="preserve">В конце января 1945 года в ГБТУ КА поступила информация о 40-мм </w:t>
      </w:r>
      <w:hyperlink r:id="rId17" w:history="1">
        <w:r w:rsidRPr="00925F26">
          <w:rPr>
            <w:color w:val="000000" w:themeColor="text1"/>
            <w:sz w:val="16"/>
            <w:szCs w:val="16"/>
          </w:rPr>
          <w:t>зенитной самоходной установке</w:t>
        </w:r>
      </w:hyperlink>
      <w:r w:rsidRPr="00925F26">
        <w:rPr>
          <w:color w:val="000000" w:themeColor="text1"/>
          <w:sz w:val="16"/>
          <w:szCs w:val="16"/>
        </w:rPr>
        <w:t xml:space="preserve"> GMC M19. Эта машина была разработана 1943–44 годах на переделанной базе легкого танка M24. Изюминкой этой ЗСУ было наличие спаренной установки 40-мм зенитных автоматов Bofors. Благодаря «спарке» повышалась плотность зенитного огня.</w:t>
      </w:r>
    </w:p>
    <w:p w14:paraId="68510DC3" w14:textId="77777777" w:rsidR="00D645CD" w:rsidRPr="00925F26" w:rsidRDefault="00D645CD" w:rsidP="00925F26">
      <w:pPr>
        <w:shd w:val="clear" w:color="auto" w:fill="FFFFFF"/>
        <w:jc w:val="both"/>
        <w:rPr>
          <w:color w:val="000000" w:themeColor="text1"/>
          <w:sz w:val="16"/>
          <w:szCs w:val="16"/>
        </w:rPr>
      </w:pPr>
      <w:r w:rsidRPr="00925F26">
        <w:rPr>
          <w:color w:val="000000" w:themeColor="text1"/>
          <w:sz w:val="16"/>
          <w:szCs w:val="16"/>
        </w:rPr>
        <w:t>Как раз в начале 1944 года шли подготовительные работы к запуску в серию советской зенитной самоходной установки ЗСУ-37. В какой-то момент возникла здравая идея переделать ее по типу M19. Правда, ЗСУ-37 имела долгую и довольно несчастливую судьбу, за 1945 – 46 годы завод №40 с трудом смог выпустить 75 таких установок. Идею модернизированной по американскому подобию установки в итоге похоронили. Тем не менее, концепция GMC M19 все же серьезно повлияла на развитие отечественных ЗСУ (17684).</w:t>
      </w:r>
    </w:p>
    <w:p w14:paraId="0889CFE1" w14:textId="77777777" w:rsidR="00D645CD" w:rsidRPr="00925F26" w:rsidRDefault="00D645CD" w:rsidP="00925F26">
      <w:pPr>
        <w:jc w:val="both"/>
        <w:rPr>
          <w:color w:val="000000" w:themeColor="text1"/>
          <w:sz w:val="16"/>
          <w:szCs w:val="16"/>
        </w:rPr>
      </w:pPr>
    </w:p>
    <w:p w14:paraId="29F89CA4" w14:textId="77777777" w:rsidR="00670896" w:rsidRPr="00925F26" w:rsidRDefault="00670896" w:rsidP="00925F26">
      <w:pPr>
        <w:jc w:val="both"/>
        <w:rPr>
          <w:color w:val="000000" w:themeColor="text1"/>
          <w:sz w:val="16"/>
          <w:szCs w:val="16"/>
        </w:rPr>
      </w:pPr>
      <w:r w:rsidRPr="00925F26">
        <w:rPr>
          <w:color w:val="000000" w:themeColor="text1"/>
          <w:sz w:val="16"/>
          <w:szCs w:val="16"/>
        </w:rPr>
        <w:t>В конце января 1945 г. завод им. Козицкого приступил к разработке приемо-передающей радиостанции в КВ диапазоне для торпедных и бронекатеров, а также постов СНиС. Она была предназначена для замены выпускавшейся до 1941 г. на заводе станции «Ерш» и станции «Скумбрия» производства горьковского завода № 197 (18297).</w:t>
      </w:r>
    </w:p>
    <w:p w14:paraId="419E185E" w14:textId="77777777" w:rsidR="00670896" w:rsidRPr="00925F26" w:rsidRDefault="00670896" w:rsidP="00925F26">
      <w:pPr>
        <w:jc w:val="both"/>
        <w:rPr>
          <w:color w:val="000000" w:themeColor="text1"/>
          <w:sz w:val="16"/>
          <w:szCs w:val="16"/>
        </w:rPr>
      </w:pPr>
    </w:p>
    <w:p w14:paraId="6919B15A"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9B5B66B" w14:textId="77777777" w:rsidR="00C2313B" w:rsidRPr="00925F26" w:rsidRDefault="00C2313B" w:rsidP="00925F26">
      <w:pPr>
        <w:autoSpaceDE w:val="0"/>
        <w:autoSpaceDN w:val="0"/>
        <w:adjustRightInd w:val="0"/>
        <w:jc w:val="both"/>
        <w:rPr>
          <w:iCs/>
          <w:color w:val="000000" w:themeColor="text1"/>
          <w:sz w:val="16"/>
          <w:szCs w:val="16"/>
        </w:rPr>
      </w:pPr>
    </w:p>
    <w:p w14:paraId="6B23EF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января 1945 года в связи со стремительным наступлением советских войск в ходе Висло-Одерской операции руководство ракетного центра и завода в Пенемюнде получило приказ эвакуировать его в Нордхаузен. В первых числах февраля автопоезд, насчитывавший до 3000 автомашин и прицепов, под охраной эсэсовцев двинулся через Померанию к горам Гарца. Десятки ракетных специалистов, огромное количество технической документации, образцы ракетного оружия и ценное оборудование – все, что представлялось возможным, было вывезено с «секретного» острова (11688).</w:t>
      </w:r>
    </w:p>
    <w:p w14:paraId="5CB554E3" w14:textId="77777777" w:rsidR="00C2313B" w:rsidRPr="00925F26" w:rsidRDefault="00C2313B" w:rsidP="00925F26">
      <w:pPr>
        <w:autoSpaceDE w:val="0"/>
        <w:autoSpaceDN w:val="0"/>
        <w:adjustRightInd w:val="0"/>
        <w:jc w:val="both"/>
        <w:rPr>
          <w:color w:val="000000" w:themeColor="text1"/>
          <w:sz w:val="16"/>
          <w:szCs w:val="16"/>
        </w:rPr>
      </w:pPr>
    </w:p>
    <w:p w14:paraId="33866873" w14:textId="77777777" w:rsidR="00BC1830" w:rsidRPr="00925F26" w:rsidRDefault="00BC1830" w:rsidP="00925F26">
      <w:pPr>
        <w:pStyle w:val="book"/>
        <w:ind w:firstLine="0"/>
        <w:jc w:val="both"/>
        <w:rPr>
          <w:color w:val="000000" w:themeColor="text1"/>
          <w:sz w:val="16"/>
          <w:szCs w:val="16"/>
        </w:rPr>
      </w:pPr>
      <w:r w:rsidRPr="00925F26">
        <w:rPr>
          <w:color w:val="000000" w:themeColor="text1"/>
          <w:sz w:val="16"/>
          <w:szCs w:val="16"/>
        </w:rPr>
        <w:t>В конце января 1945 г. пароход «Берлин» подошел к Либаве для эвакуации части войск из окруженной немецкой курляндскои группировки. Приняв на рейде войска, судно двинулось под усиленным конвоем в путь. В германских источниках и в дальнейших перепевах их нашими историками утверждается, что «Берлин» был торпедирован советским торпедным катером. Увы, это не соответствует действительности. В это время наши торпедные катера вообще не действовали в этом районе. «Берлин» же мог получить торпеду с нашей подводной лодки или самолета-торпедоносца. С дифферентом на нос судно кое-как продолжило движение, постоянно передавая в эфир сигнал бедствия. 31 января на траверзе порта Свинемюнде в Померанской бухте «Берлин», подорвавшись на собственном минном поле, получил пробоину 6 x 8 м и затонул на глубине 18 м, по палубу В. Теплоход был построен в Германии в 1925 г. под названием «Берлин». До 1939 г. он совершал регулярные рейсы через Атлантику между портами Бремерхафен и Нью-Йорк. По комфорту «Берлин» конкурировал с превосходными английскими атлантическими лайнерами, хотя мощность его машин в 12 тыс. л.с. и скорость хода 16,5 узла никак не могли претендовать на «Голубую ленту Атлантики». Лайнер ежегодно совершал по 12 рейсов. Компания «Norddeutscher Lloyd» придерживалась принципа: путешествие на судне, даже в 3-м классе, должно быть удобным и приятным. Однако трансатлантические переходы становились невыгодными, и летом 1938 г. «Берлин» совершил свой последний линейный рейс. После этого лайнер стал использоваться как круизное судно в рейсах на Шпицберген или в Средиземное море. 15 июля 1939 г. на судно пришел секретный приказ командования Кригсмарине следовать в Восточную гавань Свинемюнде для доставки в Мемель подразделения «трудовой армии». После этого, 12 сентября 1939 г., «Берлин» пошел в Данциг, чтобы там использоваться по новому назначению. Всю Вторую мировую войну, до 31 января 1945 г. пароход прошел в качестве госпитального судна № 4. В 1946 г. наша аварийно-спасательная служба начала работы по подъему «Берлина». Генеральная откачка воды проводилась в декабре 1946 г. После подъема судно предполагалось увести в Англию, в Ливерпуль, где в доке произвести корпусные работы, то есть основательно заделать пробоины, после чего увести судно снова в Германию, за счет репарации отремонтировать его окончательно, что и было потом сделано. При попытке подъема «Берлина» в начале 1947 г. произошел взрыв, и судно опять затонуло, придавив водолаза Тимофея Старченко, который по счастливой случайности оказался в донном углублении. Водолаза удалось спасти. Вторично судоподъем был осуществлен 17 сентября 1947 г., после чего пароход получил новое название — «Адмирал Нахимов» и позже был отведен в док Кронштадтского завода для частичного ремонта, проведения освидетельствования и составления «Технического проекта восстановительных работ». С 1949 по 1957 г. «Адмирал Нахимов» проходил капитально-восстановительный ремонт в ГДР. В 1954 г. «Адмирал Нахимов» был передан Черноморскому морскому пароходству и прибыл в порт Одесса. Первый капитан «Нахимова» Николай Соболев писал: «Снаружи и внутри судно сияло огнями. Вступившие на борт пассажиры были радушно встречены обслуживающим составом. Их поражало дорогое убранство: стены вестибюлей, кают, салонов, ресторанов отделаны различными ценными породами дерева, отражавшими всё, словно в зеркале; трапы сверкали витиеватыми украшениями и бронзированными поручнями, на стенах красовались роскошные канделябры. Палубы были устланы добротным ковровым покрытием, причем каждая палуба имела свой отличительный цвет. В салонах висели дорогие картины на морскую тематику, стены музыкального салона украшали бронзовые барельефы русских флотоводцев. Пассажир, входивший в салон, чувствовал, точно он попадал во дворец или музей. Работали рестораны, бары, кинотеатр, парикмахерские, библиотека. Негромко раздавалась мелодичная музыка, временами прерывавшаяся для информации. На пароходе царила торжественная праздничная обстановка. Разместившиеся по каютам пассажиры выходили и с любопытством рассматривали судно». С лета 1960 г. постоянным фрахтователем парохода на время навигации и круизных рейсов по Крымско-Кавказской линии стал Украинский республиканский совет по туризму и экскурсиям. За одну только навигацию 1960 года экипаж судна получил сотни благодарностей. Руководство Черноморского пароходства, отмечая трудовую деятельность молодежного коллектива парохода «Адмирал Нахимов», присвоило ему почетное в те времена звание «Экипаж коммунистического труда». В 1962 г. во время Карибского кризиса «Адмирал Нахимов» использовался для перевозки солдат на Кубу. В конце 1960-х — 1970-х годах «Адмирал Нахимов» совершил несколько рейсов с мусульманскими паломниками в Саудовскую Аравию. 29 августа 1986 г. «Адмирал Нахимов» с 897 туристами и 346 членами экипажа в 20.00 вышел из Одессы. 5 сентября в 9 часов утра лайнер должен был прийти в конечный пункт — в порт Батуми. Однако судьба распорядилась иначе. В 22.00 31 августа «Нахимов» отошел от причальной стенки Новороссийского порта и отправился в Сочи со скоростью 9 узлов. В это время к Новороссийску со скоростью 15 узлов шел сухогруз «Петр Васёв», на борту которого находилось 28 638 т канадского зерна. Описывать, как в открытом море не сумели разойтись два судна, шедшие черепашьим ходом, я не буду. Назвать их действия своими именами цензура не позволит, а эвфемизм я не уважаю. «Петр Васёв», погасив скорость до 5 узлов, в 23 ч. 12 мин. ударил своей бульбой</w:t>
      </w:r>
      <w:bookmarkStart w:id="3" w:name="r5"/>
      <w:bookmarkEnd w:id="3"/>
      <w:r w:rsidRPr="00925F26">
        <w:rPr>
          <w:color w:val="000000" w:themeColor="text1"/>
          <w:sz w:val="16"/>
          <w:szCs w:val="16"/>
        </w:rPr>
        <w:t xml:space="preserve"> в борт «Адмирала Нахимова» в районе переборки между машинным и котельным отделениями. «Адмирал Нахимов» продолжал по инерции двигаться вперед, разворачивая сухогруз и тем самым увеличивая размер пробоины в правом борту, которая, по оценке экспертов, после расцепления судов составила около 80 кв. м. Лайнер стал заваливаться на правый борт. Через 7 минут после столкновения, имея крен на правый борт около 60°, «Адмирал Нахимов» </w:t>
      </w:r>
      <w:r w:rsidRPr="00925F26">
        <w:rPr>
          <w:color w:val="000000" w:themeColor="text1"/>
          <w:sz w:val="16"/>
          <w:szCs w:val="16"/>
        </w:rPr>
        <w:lastRenderedPageBreak/>
        <w:t>полностью ушел под воду. На месте крушения на поверхности воды одновременно барахталось около тысячи человек, перепачканные краской и мазутом, плавало множество предметов и обломков. В ходе катастрофы погибло 423 человека — 359 туристов и 64 члена экипажа (15225).</w:t>
      </w:r>
    </w:p>
    <w:p w14:paraId="4661D167" w14:textId="77777777" w:rsidR="00BC1830" w:rsidRDefault="00BC1830" w:rsidP="00925F26">
      <w:pPr>
        <w:pStyle w:val="book"/>
        <w:ind w:firstLine="0"/>
        <w:jc w:val="both"/>
        <w:rPr>
          <w:color w:val="000000" w:themeColor="text1"/>
          <w:sz w:val="16"/>
          <w:szCs w:val="16"/>
        </w:rPr>
      </w:pPr>
    </w:p>
    <w:p w14:paraId="2A61E8B9" w14:textId="0E699FEB" w:rsidR="002C1334" w:rsidRPr="002C1334" w:rsidRDefault="002C1334" w:rsidP="002C1334">
      <w:pPr>
        <w:pStyle w:val="book"/>
        <w:ind w:firstLine="0"/>
        <w:jc w:val="both"/>
        <w:rPr>
          <w:color w:val="0070C0"/>
          <w:sz w:val="16"/>
          <w:szCs w:val="16"/>
        </w:rPr>
      </w:pPr>
      <w:r w:rsidRPr="002C1334">
        <w:rPr>
          <w:rStyle w:val="aff0"/>
          <w:rFonts w:ascii="Times New Roman" w:hAnsi="Times New Roman" w:cs="Times New Roman"/>
          <w:color w:val="0070C0"/>
          <w:spacing w:val="0"/>
          <w:sz w:val="16"/>
          <w:szCs w:val="16"/>
        </w:rPr>
        <w:t>В</w:t>
      </w:r>
      <w:r w:rsidRPr="002C1334">
        <w:rPr>
          <w:rStyle w:val="aff0"/>
          <w:rFonts w:ascii="Times New Roman" w:hAnsi="Times New Roman" w:cs="Times New Roman"/>
          <w:color w:val="0070C0"/>
          <w:spacing w:val="0"/>
          <w:sz w:val="16"/>
          <w:szCs w:val="16"/>
        </w:rPr>
        <w:t xml:space="preserve"> кон</w:t>
      </w:r>
      <w:r w:rsidRPr="002C1334">
        <w:rPr>
          <w:rStyle w:val="aff0"/>
          <w:rFonts w:ascii="Times New Roman" w:hAnsi="Times New Roman" w:cs="Times New Roman"/>
          <w:color w:val="0070C0"/>
          <w:spacing w:val="0"/>
          <w:sz w:val="16"/>
          <w:szCs w:val="16"/>
        </w:rPr>
        <w:softHyphen/>
        <w:t>це января 1945 года</w:t>
      </w:r>
      <w:r w:rsidRPr="002C1334">
        <w:rPr>
          <w:rStyle w:val="aff0"/>
          <w:rFonts w:ascii="Times New Roman" w:hAnsi="Times New Roman" w:cs="Times New Roman"/>
          <w:color w:val="0070C0"/>
          <w:spacing w:val="0"/>
          <w:sz w:val="16"/>
          <w:szCs w:val="16"/>
        </w:rPr>
        <w:t xml:space="preserve"> в Японии </w:t>
      </w:r>
      <w:r w:rsidRPr="002C1334">
        <w:rPr>
          <w:rStyle w:val="aff0"/>
          <w:rFonts w:ascii="Times New Roman" w:hAnsi="Times New Roman" w:cs="Times New Roman"/>
          <w:color w:val="0070C0"/>
          <w:spacing w:val="0"/>
          <w:sz w:val="16"/>
          <w:szCs w:val="16"/>
        </w:rPr>
        <w:t>завершилось</w:t>
      </w:r>
      <w:r w:rsidRPr="002C1334">
        <w:rPr>
          <w:rStyle w:val="aff0"/>
          <w:rFonts w:ascii="Times New Roman" w:hAnsi="Times New Roman" w:cs="Times New Roman"/>
          <w:color w:val="0070C0"/>
          <w:spacing w:val="0"/>
          <w:sz w:val="16"/>
          <w:szCs w:val="16"/>
        </w:rPr>
        <w:t xml:space="preserve"> п</w:t>
      </w:r>
      <w:r w:rsidRPr="002C1334">
        <w:rPr>
          <w:rStyle w:val="aff0"/>
          <w:rFonts w:ascii="Times New Roman" w:hAnsi="Times New Roman" w:cs="Times New Roman"/>
          <w:color w:val="0070C0"/>
          <w:spacing w:val="0"/>
          <w:sz w:val="16"/>
          <w:szCs w:val="16"/>
        </w:rPr>
        <w:t xml:space="preserve">роектирование </w:t>
      </w:r>
      <w:r w:rsidRPr="002C1334">
        <w:rPr>
          <w:rStyle w:val="aff0"/>
          <w:rFonts w:ascii="Times New Roman" w:hAnsi="Times New Roman" w:cs="Times New Roman"/>
          <w:color w:val="0070C0"/>
          <w:spacing w:val="0"/>
          <w:sz w:val="16"/>
          <w:szCs w:val="16"/>
        </w:rPr>
        <w:t xml:space="preserve">реактивного двишателя </w:t>
      </w:r>
      <w:r w:rsidRPr="002C1334">
        <w:rPr>
          <w:rStyle w:val="aff0"/>
          <w:rFonts w:ascii="Times New Roman" w:hAnsi="Times New Roman" w:cs="Times New Roman"/>
          <w:color w:val="0070C0"/>
          <w:spacing w:val="0"/>
          <w:sz w:val="16"/>
          <w:szCs w:val="16"/>
          <w:lang w:val="en-US" w:eastAsia="en-US"/>
        </w:rPr>
        <w:t>Ne</w:t>
      </w:r>
      <w:r w:rsidRPr="002C1334">
        <w:rPr>
          <w:rStyle w:val="aff0"/>
          <w:rFonts w:ascii="Times New Roman" w:hAnsi="Times New Roman" w:cs="Times New Roman"/>
          <w:color w:val="0070C0"/>
          <w:spacing w:val="0"/>
          <w:sz w:val="16"/>
          <w:szCs w:val="16"/>
          <w:lang w:eastAsia="en-US"/>
        </w:rPr>
        <w:t>-20</w:t>
      </w:r>
      <w:r w:rsidRPr="002C1334">
        <w:rPr>
          <w:rStyle w:val="aff0"/>
          <w:rFonts w:ascii="Times New Roman" w:hAnsi="Times New Roman" w:cs="Times New Roman"/>
          <w:color w:val="0070C0"/>
          <w:spacing w:val="0"/>
          <w:sz w:val="16"/>
          <w:szCs w:val="16"/>
        </w:rPr>
        <w:t>, и началась подготовка его серийного производства. Первый запуск двигателя на стенде состоялся 26 марта 1945 года</w:t>
      </w:r>
      <w:r w:rsidRPr="002C1334">
        <w:rPr>
          <w:rStyle w:val="aff0"/>
          <w:rFonts w:ascii="Times New Roman" w:hAnsi="Times New Roman" w:cs="Times New Roman"/>
          <w:color w:val="0070C0"/>
          <w:spacing w:val="0"/>
          <w:sz w:val="16"/>
          <w:szCs w:val="16"/>
        </w:rPr>
        <w:t>.</w:t>
      </w:r>
    </w:p>
    <w:p w14:paraId="7BD9AAAB" w14:textId="7391762C" w:rsidR="002C1334" w:rsidRPr="002C1334" w:rsidRDefault="002C1334" w:rsidP="002C1334">
      <w:pPr>
        <w:jc w:val="both"/>
        <w:rPr>
          <w:color w:val="0070C0"/>
          <w:sz w:val="16"/>
          <w:szCs w:val="16"/>
        </w:rPr>
      </w:pPr>
      <w:r w:rsidRPr="002C1334">
        <w:rPr>
          <w:rStyle w:val="aff0"/>
          <w:rFonts w:ascii="Times New Roman" w:hAnsi="Times New Roman" w:cs="Times New Roman"/>
          <w:color w:val="0070C0"/>
          <w:spacing w:val="0"/>
          <w:sz w:val="16"/>
          <w:szCs w:val="16"/>
        </w:rPr>
        <w:t>Работы над реактивными двигателями ве</w:t>
      </w:r>
      <w:r w:rsidRPr="002C1334">
        <w:rPr>
          <w:rStyle w:val="aff0"/>
          <w:rFonts w:ascii="Times New Roman" w:hAnsi="Times New Roman" w:cs="Times New Roman"/>
          <w:color w:val="0070C0"/>
          <w:spacing w:val="0"/>
          <w:sz w:val="16"/>
          <w:szCs w:val="16"/>
        </w:rPr>
        <w:softHyphen/>
        <w:t>лись в Японии еще до начала Второй мировой войны, хотя поначалу они носили в основном поисковый характер. Активный интерес к ре</w:t>
      </w:r>
      <w:r w:rsidRPr="002C1334">
        <w:rPr>
          <w:rStyle w:val="aff0"/>
          <w:rFonts w:ascii="Times New Roman" w:hAnsi="Times New Roman" w:cs="Times New Roman"/>
          <w:color w:val="0070C0"/>
          <w:spacing w:val="0"/>
          <w:sz w:val="16"/>
          <w:szCs w:val="16"/>
        </w:rPr>
        <w:softHyphen/>
        <w:t>активной технике возник, когда руководителем двигательного отдела в Военно-морском ави</w:t>
      </w:r>
      <w:r w:rsidRPr="002C1334">
        <w:rPr>
          <w:rStyle w:val="aff0"/>
          <w:rFonts w:ascii="Times New Roman" w:hAnsi="Times New Roman" w:cs="Times New Roman"/>
          <w:color w:val="0070C0"/>
          <w:spacing w:val="0"/>
          <w:sz w:val="16"/>
          <w:szCs w:val="16"/>
        </w:rPr>
        <w:softHyphen/>
        <w:t>ационном арсенале в Йокосуке (организация,</w:t>
      </w:r>
      <w:r w:rsidRPr="002C1334">
        <w:rPr>
          <w:rStyle w:val="aff0"/>
          <w:rFonts w:ascii="Times New Roman" w:hAnsi="Times New Roman" w:cs="Times New Roman"/>
          <w:color w:val="0070C0"/>
          <w:spacing w:val="0"/>
          <w:sz w:val="16"/>
          <w:szCs w:val="16"/>
        </w:rPr>
        <w:t xml:space="preserve"> </w:t>
      </w:r>
      <w:r w:rsidRPr="002C1334">
        <w:rPr>
          <w:rStyle w:val="aff0"/>
          <w:rFonts w:ascii="Times New Roman" w:hAnsi="Times New Roman" w:cs="Times New Roman"/>
          <w:color w:val="0070C0"/>
          <w:spacing w:val="0"/>
          <w:sz w:val="16"/>
          <w:szCs w:val="16"/>
        </w:rPr>
        <w:t>близкая по статусу к нашим НИИ)</w:t>
      </w:r>
      <w:r w:rsidRPr="002C1334">
        <w:rPr>
          <w:rStyle w:val="aff0"/>
          <w:rFonts w:ascii="Times New Roman" w:hAnsi="Times New Roman" w:cs="Times New Roman"/>
          <w:color w:val="0070C0"/>
          <w:spacing w:val="0"/>
          <w:sz w:val="16"/>
          <w:szCs w:val="16"/>
        </w:rPr>
        <w:t>. Руководителем работ</w:t>
      </w:r>
      <w:r w:rsidRPr="002C1334">
        <w:rPr>
          <w:rStyle w:val="aff0"/>
          <w:rFonts w:ascii="Times New Roman" w:hAnsi="Times New Roman" w:cs="Times New Roman"/>
          <w:color w:val="0070C0"/>
          <w:spacing w:val="0"/>
          <w:sz w:val="16"/>
          <w:szCs w:val="16"/>
        </w:rPr>
        <w:t xml:space="preserve"> стал капитан Н.Т. Танегасима. Он считал приоритетной раз</w:t>
      </w:r>
      <w:r w:rsidRPr="002C1334">
        <w:rPr>
          <w:rStyle w:val="aff0"/>
          <w:rFonts w:ascii="Times New Roman" w:hAnsi="Times New Roman" w:cs="Times New Roman"/>
          <w:color w:val="0070C0"/>
          <w:spacing w:val="0"/>
          <w:sz w:val="16"/>
          <w:szCs w:val="16"/>
        </w:rPr>
        <w:softHyphen/>
        <w:t>работку турбовинтового двигателя, однако после консультаций в 1938 году профессора Ф. Нумасихо, известного в Японии специалиста по осевым компрессорам, изменил свое мнение и занялся турбореактивными двигателями (ТРД).</w:t>
      </w:r>
    </w:p>
    <w:p w14:paraId="68756D8F" w14:textId="77777777" w:rsidR="002C1334" w:rsidRPr="002C1334" w:rsidRDefault="002C1334" w:rsidP="002C1334">
      <w:pPr>
        <w:jc w:val="both"/>
        <w:rPr>
          <w:color w:val="0070C0"/>
          <w:sz w:val="16"/>
          <w:szCs w:val="16"/>
        </w:rPr>
      </w:pPr>
      <w:r w:rsidRPr="002C1334">
        <w:rPr>
          <w:rStyle w:val="aff0"/>
          <w:rFonts w:ascii="Times New Roman" w:hAnsi="Times New Roman" w:cs="Times New Roman"/>
          <w:color w:val="0070C0"/>
          <w:spacing w:val="0"/>
          <w:sz w:val="16"/>
          <w:szCs w:val="16"/>
        </w:rPr>
        <w:t xml:space="preserve">Первый опытный мотор </w:t>
      </w:r>
      <w:r w:rsidRPr="002C1334">
        <w:rPr>
          <w:rStyle w:val="aff0"/>
          <w:rFonts w:ascii="Times New Roman" w:hAnsi="Times New Roman" w:cs="Times New Roman"/>
          <w:color w:val="0070C0"/>
          <w:spacing w:val="0"/>
          <w:sz w:val="16"/>
          <w:szCs w:val="16"/>
          <w:lang w:val="en-US" w:eastAsia="en-US"/>
        </w:rPr>
        <w:t>TR</w:t>
      </w:r>
      <w:r w:rsidRPr="002C1334">
        <w:rPr>
          <w:rStyle w:val="aff0"/>
          <w:rFonts w:ascii="Times New Roman" w:hAnsi="Times New Roman" w:cs="Times New Roman"/>
          <w:color w:val="0070C0"/>
          <w:spacing w:val="0"/>
          <w:sz w:val="16"/>
          <w:szCs w:val="16"/>
          <w:lang w:eastAsia="en-US"/>
        </w:rPr>
        <w:t xml:space="preserve">-10 </w:t>
      </w:r>
      <w:r w:rsidRPr="002C1334">
        <w:rPr>
          <w:rStyle w:val="aff0"/>
          <w:rFonts w:ascii="Times New Roman" w:hAnsi="Times New Roman" w:cs="Times New Roman"/>
          <w:color w:val="0070C0"/>
          <w:spacing w:val="0"/>
          <w:sz w:val="16"/>
          <w:szCs w:val="16"/>
        </w:rPr>
        <w:t>имел одно</w:t>
      </w:r>
      <w:r w:rsidRPr="002C1334">
        <w:rPr>
          <w:rStyle w:val="aff0"/>
          <w:rFonts w:ascii="Times New Roman" w:hAnsi="Times New Roman" w:cs="Times New Roman"/>
          <w:color w:val="0070C0"/>
          <w:spacing w:val="0"/>
          <w:sz w:val="16"/>
          <w:szCs w:val="16"/>
        </w:rPr>
        <w:softHyphen/>
        <w:t>ступенчатый центробежный компрессор и одноступенчатую осевую турбину. Он был создан на основе большого турбокомпрессора для наддува поршневого двигателя. Впервые этот двигатель запустили летом 1943 года, но его эффективность оставляла желать лучшего.</w:t>
      </w:r>
    </w:p>
    <w:p w14:paraId="7BF9087F" w14:textId="61A79144" w:rsidR="002C1334" w:rsidRPr="002C1334" w:rsidRDefault="002C1334" w:rsidP="002C1334">
      <w:pPr>
        <w:jc w:val="both"/>
        <w:rPr>
          <w:color w:val="0070C0"/>
          <w:sz w:val="16"/>
          <w:szCs w:val="16"/>
        </w:rPr>
      </w:pPr>
      <w:r w:rsidRPr="002C1334">
        <w:rPr>
          <w:rStyle w:val="aff0"/>
          <w:rFonts w:ascii="Times New Roman" w:hAnsi="Times New Roman" w:cs="Times New Roman"/>
          <w:color w:val="0070C0"/>
          <w:spacing w:val="0"/>
          <w:sz w:val="16"/>
          <w:szCs w:val="16"/>
        </w:rPr>
        <w:t xml:space="preserve">ТРД </w:t>
      </w:r>
      <w:r w:rsidRPr="002C1334">
        <w:rPr>
          <w:rStyle w:val="aff0"/>
          <w:rFonts w:ascii="Times New Roman" w:hAnsi="Times New Roman" w:cs="Times New Roman"/>
          <w:color w:val="0070C0"/>
          <w:spacing w:val="0"/>
          <w:sz w:val="16"/>
          <w:szCs w:val="16"/>
          <w:lang w:val="en-US" w:eastAsia="en-US"/>
        </w:rPr>
        <w:t>Ne</w:t>
      </w:r>
      <w:r w:rsidRPr="002C1334">
        <w:rPr>
          <w:rStyle w:val="aff0"/>
          <w:rFonts w:ascii="Times New Roman" w:hAnsi="Times New Roman" w:cs="Times New Roman"/>
          <w:color w:val="0070C0"/>
          <w:spacing w:val="0"/>
          <w:sz w:val="16"/>
          <w:szCs w:val="16"/>
        </w:rPr>
        <w:t>-</w:t>
      </w:r>
      <w:r w:rsidRPr="002C1334">
        <w:rPr>
          <w:rStyle w:val="aff0"/>
          <w:rFonts w:ascii="Times New Roman" w:hAnsi="Times New Roman" w:cs="Times New Roman"/>
          <w:color w:val="0070C0"/>
          <w:spacing w:val="0"/>
          <w:sz w:val="16"/>
          <w:szCs w:val="16"/>
        </w:rPr>
        <w:t>10</w:t>
      </w:r>
      <w:r w:rsidRPr="002C1334">
        <w:rPr>
          <w:rStyle w:val="aff0"/>
          <w:rFonts w:ascii="Times New Roman" w:hAnsi="Times New Roman" w:cs="Times New Roman"/>
          <w:color w:val="0070C0"/>
          <w:spacing w:val="0"/>
          <w:sz w:val="16"/>
          <w:szCs w:val="16"/>
        </w:rPr>
        <w:t xml:space="preserve"> оснащался уже четырехступенча</w:t>
      </w:r>
      <w:r w:rsidRPr="002C1334">
        <w:rPr>
          <w:rStyle w:val="aff0"/>
          <w:rFonts w:ascii="Times New Roman" w:hAnsi="Times New Roman" w:cs="Times New Roman"/>
          <w:color w:val="0070C0"/>
          <w:spacing w:val="0"/>
          <w:sz w:val="16"/>
          <w:szCs w:val="16"/>
        </w:rPr>
        <w:softHyphen/>
        <w:t>тым осевым компрессором. На его основе соз</w:t>
      </w:r>
      <w:r w:rsidRPr="002C1334">
        <w:rPr>
          <w:rStyle w:val="aff0"/>
          <w:rFonts w:ascii="Times New Roman" w:hAnsi="Times New Roman" w:cs="Times New Roman"/>
          <w:color w:val="0070C0"/>
          <w:spacing w:val="0"/>
          <w:sz w:val="16"/>
          <w:szCs w:val="16"/>
        </w:rPr>
        <w:softHyphen/>
        <w:t xml:space="preserve">дали двигатель </w:t>
      </w:r>
      <w:r w:rsidRPr="002C1334">
        <w:rPr>
          <w:rStyle w:val="aff0"/>
          <w:rFonts w:ascii="Times New Roman" w:hAnsi="Times New Roman" w:cs="Times New Roman"/>
          <w:color w:val="0070C0"/>
          <w:spacing w:val="0"/>
          <w:sz w:val="16"/>
          <w:szCs w:val="16"/>
          <w:lang w:val="en-US" w:eastAsia="en-US"/>
        </w:rPr>
        <w:t>Ne</w:t>
      </w:r>
      <w:r w:rsidRPr="002C1334">
        <w:rPr>
          <w:rStyle w:val="aff0"/>
          <w:rFonts w:ascii="Times New Roman" w:hAnsi="Times New Roman" w:cs="Times New Roman"/>
          <w:color w:val="0070C0"/>
          <w:spacing w:val="0"/>
          <w:sz w:val="16"/>
          <w:szCs w:val="16"/>
          <w:lang w:eastAsia="en-US"/>
        </w:rPr>
        <w:t xml:space="preserve">-12 </w:t>
      </w:r>
      <w:r w:rsidRPr="002C1334">
        <w:rPr>
          <w:rStyle w:val="aff0"/>
          <w:rFonts w:ascii="Times New Roman" w:hAnsi="Times New Roman" w:cs="Times New Roman"/>
          <w:color w:val="0070C0"/>
          <w:spacing w:val="0"/>
          <w:sz w:val="16"/>
          <w:szCs w:val="16"/>
        </w:rPr>
        <w:t xml:space="preserve">и его облегченную версию </w:t>
      </w:r>
      <w:r w:rsidRPr="002C1334">
        <w:rPr>
          <w:rStyle w:val="aff0"/>
          <w:rFonts w:ascii="Times New Roman" w:hAnsi="Times New Roman" w:cs="Times New Roman"/>
          <w:color w:val="0070C0"/>
          <w:spacing w:val="0"/>
          <w:sz w:val="16"/>
          <w:szCs w:val="16"/>
          <w:lang w:val="en-US" w:eastAsia="en-US"/>
        </w:rPr>
        <w:t>Ne</w:t>
      </w:r>
      <w:r w:rsidRPr="002C1334">
        <w:rPr>
          <w:rStyle w:val="aff0"/>
          <w:rFonts w:ascii="Times New Roman" w:hAnsi="Times New Roman" w:cs="Times New Roman"/>
          <w:color w:val="0070C0"/>
          <w:spacing w:val="0"/>
          <w:sz w:val="16"/>
          <w:szCs w:val="16"/>
          <w:lang w:eastAsia="en-US"/>
        </w:rPr>
        <w:t>-12</w:t>
      </w:r>
      <w:r w:rsidRPr="002C1334">
        <w:rPr>
          <w:rStyle w:val="aff0"/>
          <w:rFonts w:ascii="Times New Roman" w:hAnsi="Times New Roman" w:cs="Times New Roman"/>
          <w:color w:val="0070C0"/>
          <w:spacing w:val="0"/>
          <w:sz w:val="16"/>
          <w:szCs w:val="16"/>
          <w:lang w:val="en-US" w:eastAsia="en-US"/>
        </w:rPr>
        <w:t>B</w:t>
      </w:r>
      <w:r w:rsidRPr="002C1334">
        <w:rPr>
          <w:rStyle w:val="aff0"/>
          <w:rFonts w:ascii="Times New Roman" w:hAnsi="Times New Roman" w:cs="Times New Roman"/>
          <w:color w:val="0070C0"/>
          <w:spacing w:val="0"/>
          <w:sz w:val="16"/>
          <w:szCs w:val="16"/>
          <w:lang w:eastAsia="en-US"/>
        </w:rPr>
        <w:t xml:space="preserve">. </w:t>
      </w:r>
      <w:r w:rsidRPr="002C1334">
        <w:rPr>
          <w:rStyle w:val="aff0"/>
          <w:rFonts w:ascii="Times New Roman" w:hAnsi="Times New Roman" w:cs="Times New Roman"/>
          <w:color w:val="0070C0"/>
          <w:spacing w:val="0"/>
          <w:sz w:val="16"/>
          <w:szCs w:val="16"/>
        </w:rPr>
        <w:t xml:space="preserve">Всего построили 40 таких моторов для разрабатываемого истребителя </w:t>
      </w:r>
      <w:r w:rsidRPr="002C1334">
        <w:rPr>
          <w:rStyle w:val="aff0"/>
          <w:rFonts w:ascii="Times New Roman" w:hAnsi="Times New Roman" w:cs="Times New Roman"/>
          <w:color w:val="0070C0"/>
          <w:spacing w:val="0"/>
          <w:sz w:val="16"/>
          <w:szCs w:val="16"/>
          <w:lang w:val="en-US" w:eastAsia="en-US"/>
        </w:rPr>
        <w:t>Kikka</w:t>
      </w:r>
      <w:r w:rsidRPr="002C1334">
        <w:rPr>
          <w:rStyle w:val="aff0"/>
          <w:rFonts w:ascii="Times New Roman" w:hAnsi="Times New Roman" w:cs="Times New Roman"/>
          <w:color w:val="0070C0"/>
          <w:spacing w:val="0"/>
          <w:sz w:val="16"/>
          <w:szCs w:val="16"/>
          <w:lang w:eastAsia="en-US"/>
        </w:rPr>
        <w:t xml:space="preserve"> (25794)</w:t>
      </w:r>
      <w:r w:rsidRPr="002C1334">
        <w:rPr>
          <w:rStyle w:val="aff0"/>
          <w:rFonts w:ascii="Times New Roman" w:hAnsi="Times New Roman" w:cs="Times New Roman"/>
          <w:color w:val="0070C0"/>
          <w:spacing w:val="0"/>
          <w:sz w:val="16"/>
          <w:szCs w:val="16"/>
          <w:lang w:eastAsia="en-US"/>
        </w:rPr>
        <w:t>.</w:t>
      </w:r>
    </w:p>
    <w:p w14:paraId="40D321D4" w14:textId="77777777" w:rsidR="002C1334" w:rsidRPr="002C1334" w:rsidRDefault="002C1334" w:rsidP="002C1334">
      <w:pPr>
        <w:jc w:val="both"/>
        <w:rPr>
          <w:rStyle w:val="aff0"/>
          <w:rFonts w:ascii="Times New Roman" w:hAnsi="Times New Roman" w:cs="Times New Roman"/>
          <w:color w:val="0070C0"/>
          <w:spacing w:val="0"/>
          <w:sz w:val="16"/>
          <w:szCs w:val="16"/>
        </w:rPr>
      </w:pPr>
    </w:p>
    <w:p w14:paraId="31AB3D27" w14:textId="092E4AE9"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155C7C1" w14:textId="77777777" w:rsidR="00C2313B" w:rsidRPr="00925F26" w:rsidRDefault="00C2313B" w:rsidP="00925F26">
      <w:pPr>
        <w:autoSpaceDE w:val="0"/>
        <w:autoSpaceDN w:val="0"/>
        <w:adjustRightInd w:val="0"/>
        <w:jc w:val="both"/>
        <w:rPr>
          <w:iCs/>
          <w:color w:val="000000" w:themeColor="text1"/>
          <w:sz w:val="16"/>
          <w:szCs w:val="16"/>
        </w:rPr>
      </w:pPr>
    </w:p>
    <w:p w14:paraId="22DCEEA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на совместном совеща</w:t>
      </w:r>
      <w:r w:rsidRPr="00925F26">
        <w:rPr>
          <w:color w:val="000000" w:themeColor="text1"/>
          <w:sz w:val="16"/>
          <w:szCs w:val="16"/>
        </w:rPr>
        <w:softHyphen/>
        <w:t>нии ВВС и НКАП были ут</w:t>
      </w:r>
      <w:r w:rsidRPr="00925F26">
        <w:rPr>
          <w:color w:val="000000" w:themeColor="text1"/>
          <w:sz w:val="16"/>
          <w:szCs w:val="16"/>
        </w:rPr>
        <w:softHyphen/>
        <w:t>вержденные технические условия на самолет Ил-10, но они оказались для заводов высокими. Усиление конструкции самолета (кры</w:t>
      </w:r>
      <w:r w:rsidRPr="00925F26">
        <w:rPr>
          <w:color w:val="000000" w:themeColor="text1"/>
          <w:sz w:val="16"/>
          <w:szCs w:val="16"/>
        </w:rPr>
        <w:softHyphen/>
        <w:t>ло, фюзеляж, шасси и т.д.), внесение различного рода изменений и дора</w:t>
      </w:r>
      <w:r w:rsidRPr="00925F26">
        <w:rPr>
          <w:color w:val="000000" w:themeColor="text1"/>
          <w:sz w:val="16"/>
          <w:szCs w:val="16"/>
        </w:rPr>
        <w:softHyphen/>
        <w:t>ботки машины, естественно, сопро</w:t>
      </w:r>
      <w:r w:rsidRPr="00925F26">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25F26">
        <w:rPr>
          <w:color w:val="000000" w:themeColor="text1"/>
          <w:sz w:val="16"/>
          <w:szCs w:val="16"/>
        </w:rPr>
        <w:softHyphen/>
        <w:t>емности. Естественно, усилились тре</w:t>
      </w:r>
      <w:r w:rsidRPr="00925F26">
        <w:rPr>
          <w:color w:val="000000" w:themeColor="text1"/>
          <w:sz w:val="16"/>
          <w:szCs w:val="16"/>
        </w:rPr>
        <w:softHyphen/>
        <w:t>ния между заводами и военными представителями по вопросам при</w:t>
      </w:r>
      <w:r w:rsidRPr="00925F26">
        <w:rPr>
          <w:color w:val="000000" w:themeColor="text1"/>
          <w:sz w:val="16"/>
          <w:szCs w:val="16"/>
        </w:rPr>
        <w:softHyphen/>
        <w:t>емки самолетов и их оплаты. На мно</w:t>
      </w:r>
      <w:r w:rsidRPr="00925F26">
        <w:rPr>
          <w:color w:val="000000" w:themeColor="text1"/>
          <w:sz w:val="16"/>
          <w:szCs w:val="16"/>
        </w:rPr>
        <w:softHyphen/>
        <w:t>гочисленных совещаниях по устране</w:t>
      </w:r>
      <w:r w:rsidRPr="00925F26">
        <w:rPr>
          <w:color w:val="000000" w:themeColor="text1"/>
          <w:sz w:val="16"/>
          <w:szCs w:val="16"/>
        </w:rPr>
        <w:softHyphen/>
        <w:t>нию дефектов Ил-10 не всегда уда</w:t>
      </w:r>
      <w:r w:rsidRPr="00925F26">
        <w:rPr>
          <w:color w:val="000000" w:themeColor="text1"/>
          <w:sz w:val="16"/>
          <w:szCs w:val="16"/>
        </w:rPr>
        <w:softHyphen/>
        <w:t>валось прийти к соглашению. Пред</w:t>
      </w:r>
      <w:r w:rsidRPr="00925F26">
        <w:rPr>
          <w:color w:val="000000" w:themeColor="text1"/>
          <w:sz w:val="16"/>
          <w:szCs w:val="16"/>
        </w:rPr>
        <w:softHyphen/>
        <w:t>ставители промышленности каждый раз принимали на себя обязатель</w:t>
      </w:r>
      <w:r w:rsidRPr="00925F26">
        <w:rPr>
          <w:color w:val="000000" w:themeColor="text1"/>
          <w:sz w:val="16"/>
          <w:szCs w:val="16"/>
        </w:rPr>
        <w:softHyphen/>
        <w:t>ства по улучшению летных и эксплу</w:t>
      </w:r>
      <w:r w:rsidRPr="00925F26">
        <w:rPr>
          <w:color w:val="000000" w:themeColor="text1"/>
          <w:sz w:val="16"/>
          <w:szCs w:val="16"/>
        </w:rPr>
        <w:softHyphen/>
        <w:t>атационных качеств машины и вся</w:t>
      </w:r>
      <w:r w:rsidRPr="00925F26">
        <w:rPr>
          <w:color w:val="000000" w:themeColor="text1"/>
          <w:sz w:val="16"/>
          <w:szCs w:val="16"/>
        </w:rPr>
        <w:softHyphen/>
        <w:t>кий раз их не выдерживали. Соот</w:t>
      </w:r>
      <w:r w:rsidRPr="00925F26">
        <w:rPr>
          <w:color w:val="000000" w:themeColor="text1"/>
          <w:sz w:val="16"/>
          <w:szCs w:val="16"/>
        </w:rPr>
        <w:softHyphen/>
        <w:t>ветственно, военные делали офици</w:t>
      </w:r>
      <w:r w:rsidRPr="00925F26">
        <w:rPr>
          <w:color w:val="000000" w:themeColor="text1"/>
          <w:sz w:val="16"/>
          <w:szCs w:val="16"/>
        </w:rPr>
        <w:softHyphen/>
        <w:t xml:space="preserve">альные выводы: </w:t>
      </w:r>
      <w:r w:rsidRPr="00925F26">
        <w:rPr>
          <w:iCs/>
          <w:color w:val="000000" w:themeColor="text1"/>
          <w:sz w:val="16"/>
          <w:szCs w:val="16"/>
        </w:rPr>
        <w:t>"Со стороны НКАП сроки выполнения Постановлений ГОКО, СНК и приказов НКАП не вы</w:t>
      </w:r>
      <w:r w:rsidRPr="00925F26">
        <w:rPr>
          <w:iCs/>
          <w:color w:val="000000" w:themeColor="text1"/>
          <w:sz w:val="16"/>
          <w:szCs w:val="16"/>
        </w:rPr>
        <w:softHyphen/>
        <w:t xml:space="preserve">держиваются". </w:t>
      </w:r>
      <w:r w:rsidRPr="00925F26">
        <w:rPr>
          <w:color w:val="000000" w:themeColor="text1"/>
          <w:sz w:val="16"/>
          <w:szCs w:val="16"/>
        </w:rPr>
        <w:t>Напряженность во взаимоотношениях ВВС и НКАП на</w:t>
      </w:r>
      <w:r w:rsidRPr="00925F26">
        <w:rPr>
          <w:color w:val="000000" w:themeColor="text1"/>
          <w:sz w:val="16"/>
          <w:szCs w:val="16"/>
        </w:rPr>
        <w:softHyphen/>
        <w:t>растала с каждым месяцем (11431).</w:t>
      </w:r>
    </w:p>
    <w:p w14:paraId="10BBAD8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AFD8E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18-й авиазавод сдал ВВС 50 машин Ил-10 (7489).</w:t>
      </w:r>
    </w:p>
    <w:p w14:paraId="3C51B380" w14:textId="77777777" w:rsidR="00C2313B" w:rsidRPr="00925F26" w:rsidRDefault="00C2313B" w:rsidP="00925F26">
      <w:pPr>
        <w:autoSpaceDE w:val="0"/>
        <w:autoSpaceDN w:val="0"/>
        <w:adjustRightInd w:val="0"/>
        <w:jc w:val="both"/>
        <w:rPr>
          <w:color w:val="000000" w:themeColor="text1"/>
          <w:sz w:val="16"/>
          <w:szCs w:val="16"/>
        </w:rPr>
      </w:pPr>
    </w:p>
    <w:p w14:paraId="3E0C0F86" w14:textId="77777777" w:rsidR="004176D6" w:rsidRPr="001A0BAA" w:rsidRDefault="004176D6" w:rsidP="004176D6">
      <w:pPr>
        <w:jc w:val="both"/>
        <w:rPr>
          <w:color w:val="0070C0"/>
          <w:sz w:val="16"/>
          <w:szCs w:val="16"/>
        </w:rPr>
      </w:pPr>
      <w:r w:rsidRPr="001A0BAA">
        <w:rPr>
          <w:rStyle w:val="aff0"/>
          <w:rFonts w:ascii="Times New Roman" w:hAnsi="Times New Roman" w:cs="Times New Roman"/>
          <w:color w:val="0070C0"/>
          <w:spacing w:val="0"/>
          <w:sz w:val="16"/>
          <w:szCs w:val="16"/>
        </w:rPr>
        <w:t>В январе 1945 г. только завод № 18 отправил на фронт 50 машин Ил-10, в марте - 90, а в мае – 163 (25091).</w:t>
      </w:r>
    </w:p>
    <w:p w14:paraId="6FBC577A" w14:textId="77777777" w:rsidR="004176D6" w:rsidRPr="001A0BAA" w:rsidRDefault="004176D6" w:rsidP="004176D6">
      <w:pPr>
        <w:jc w:val="both"/>
        <w:rPr>
          <w:color w:val="0070C0"/>
          <w:sz w:val="16"/>
          <w:szCs w:val="16"/>
        </w:rPr>
      </w:pPr>
    </w:p>
    <w:p w14:paraId="256002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согласно приказу командующего ВВС ПриВО генерал-майора Игнатова 1-я заб должна была переучить на самолет Ил-10: 78-й и 108-й гшап, 20 экипажей 43-го и 50-го зап, 16 экипажей перегоночных штурмовых авиаполков (1000-й, 245-й, 217-й и 620-й пшап), 10 инспекто</w:t>
      </w:r>
      <w:r w:rsidRPr="00925F26">
        <w:rPr>
          <w:color w:val="000000" w:themeColor="text1"/>
          <w:sz w:val="16"/>
          <w:szCs w:val="16"/>
        </w:rPr>
        <w:softHyphen/>
        <w:t>ров по технике пилотирования для воздушных армий и военных округов, а также весь постоянный состав бри</w:t>
      </w:r>
      <w:r w:rsidRPr="00925F26">
        <w:rPr>
          <w:color w:val="000000" w:themeColor="text1"/>
          <w:sz w:val="16"/>
          <w:szCs w:val="16"/>
        </w:rPr>
        <w:softHyphen/>
        <w:t>гады (5-й, 10-й, 12-й зап и 850-й пшап) - всего 137 человек.</w:t>
      </w:r>
    </w:p>
    <w:p w14:paraId="6F5C23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Комбриг А. И. Подольский прика</w:t>
      </w:r>
      <w:r w:rsidRPr="00925F26">
        <w:rPr>
          <w:color w:val="000000" w:themeColor="text1"/>
          <w:sz w:val="16"/>
          <w:szCs w:val="16"/>
        </w:rPr>
        <w:softHyphen/>
        <w:t>зал командирам запасных авиаполков при поступлении переменного летно</w:t>
      </w:r>
      <w:r w:rsidRPr="00925F26">
        <w:rPr>
          <w:color w:val="000000" w:themeColor="text1"/>
          <w:sz w:val="16"/>
          <w:szCs w:val="16"/>
        </w:rPr>
        <w:softHyphen/>
        <w:t>го и технического со</w:t>
      </w:r>
      <w:r w:rsidRPr="00925F26">
        <w:rPr>
          <w:color w:val="000000" w:themeColor="text1"/>
          <w:sz w:val="16"/>
          <w:szCs w:val="16"/>
        </w:rPr>
        <w:softHyphen/>
        <w:t>става для переучива</w:t>
      </w:r>
      <w:r w:rsidRPr="00925F26">
        <w:rPr>
          <w:color w:val="000000" w:themeColor="text1"/>
          <w:sz w:val="16"/>
          <w:szCs w:val="16"/>
        </w:rPr>
        <w:softHyphen/>
        <w:t>ния на самолет Ил-10 немедленно при</w:t>
      </w:r>
      <w:r w:rsidRPr="00925F26">
        <w:rPr>
          <w:color w:val="000000" w:themeColor="text1"/>
          <w:sz w:val="16"/>
          <w:szCs w:val="16"/>
        </w:rPr>
        <w:softHyphen/>
        <w:t>ступить к организа</w:t>
      </w:r>
      <w:r w:rsidRPr="00925F26">
        <w:rPr>
          <w:color w:val="000000" w:themeColor="text1"/>
          <w:sz w:val="16"/>
          <w:szCs w:val="16"/>
        </w:rPr>
        <w:softHyphen/>
        <w:t>ции занятий по на</w:t>
      </w:r>
      <w:r w:rsidRPr="00925F26">
        <w:rPr>
          <w:color w:val="000000" w:themeColor="text1"/>
          <w:sz w:val="16"/>
          <w:szCs w:val="16"/>
        </w:rPr>
        <w:softHyphen/>
        <w:t>земной подготовке. При этом вся ответ</w:t>
      </w:r>
      <w:r w:rsidRPr="00925F26">
        <w:rPr>
          <w:color w:val="000000" w:themeColor="text1"/>
          <w:sz w:val="16"/>
          <w:szCs w:val="16"/>
        </w:rPr>
        <w:softHyphen/>
        <w:t>ственность за прием</w:t>
      </w:r>
      <w:r w:rsidRPr="00925F26">
        <w:rPr>
          <w:color w:val="000000" w:themeColor="text1"/>
          <w:sz w:val="16"/>
          <w:szCs w:val="16"/>
        </w:rPr>
        <w:softHyphen/>
        <w:t>ку летного состава, контроль и органи</w:t>
      </w:r>
      <w:r w:rsidRPr="00925F26">
        <w:rPr>
          <w:color w:val="000000" w:themeColor="text1"/>
          <w:sz w:val="16"/>
          <w:szCs w:val="16"/>
        </w:rPr>
        <w:softHyphen/>
        <w:t>зацию обучения, как обычно, возлагалась лично на командиров запасных полков.</w:t>
      </w:r>
    </w:p>
    <w:p w14:paraId="3CD429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этого, с целью ускорения темпов переучивания и обеспечения плановых показателей учебно-боевой подготовки приказами по 1-й заб ин</w:t>
      </w:r>
      <w:r w:rsidRPr="00925F26">
        <w:rPr>
          <w:color w:val="000000" w:themeColor="text1"/>
          <w:sz w:val="16"/>
          <w:szCs w:val="16"/>
        </w:rPr>
        <w:softHyphen/>
        <w:t>структорский состав запасных авиа</w:t>
      </w:r>
      <w:r w:rsidRPr="00925F26">
        <w:rPr>
          <w:color w:val="000000" w:themeColor="text1"/>
          <w:sz w:val="16"/>
          <w:szCs w:val="16"/>
        </w:rPr>
        <w:softHyphen/>
        <w:t>полков обязан был производить по</w:t>
      </w:r>
      <w:r w:rsidRPr="00925F26">
        <w:rPr>
          <w:color w:val="000000" w:themeColor="text1"/>
          <w:sz w:val="16"/>
          <w:szCs w:val="16"/>
        </w:rPr>
        <w:softHyphen/>
        <w:t>леты на личную тренировку только на самолете Ил-10. Отделы по боевой под</w:t>
      </w:r>
      <w:r w:rsidRPr="00925F26">
        <w:rPr>
          <w:color w:val="000000" w:themeColor="text1"/>
          <w:sz w:val="16"/>
          <w:szCs w:val="16"/>
        </w:rPr>
        <w:softHyphen/>
        <w:t>готовке полков с получением програм</w:t>
      </w:r>
      <w:r w:rsidRPr="00925F26">
        <w:rPr>
          <w:color w:val="000000" w:themeColor="text1"/>
          <w:sz w:val="16"/>
          <w:szCs w:val="16"/>
        </w:rPr>
        <w:softHyphen/>
        <w:t>мы наземной подготовки летно-техни-ческого состава на Ил-10 должны были немедленно приступить к составлению преподавательским составом конспек</w:t>
      </w:r>
      <w:r w:rsidRPr="00925F26">
        <w:rPr>
          <w:color w:val="000000" w:themeColor="text1"/>
          <w:sz w:val="16"/>
          <w:szCs w:val="16"/>
        </w:rPr>
        <w:softHyphen/>
        <w:t>тов и к 5 января 1945 г. оборудовать классы необходимыми наглядными по</w:t>
      </w:r>
      <w:r w:rsidRPr="00925F26">
        <w:rPr>
          <w:color w:val="000000" w:themeColor="text1"/>
          <w:sz w:val="16"/>
          <w:szCs w:val="16"/>
        </w:rPr>
        <w:softHyphen/>
        <w:t>собиями.</w:t>
      </w:r>
    </w:p>
    <w:p w14:paraId="32427E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Согласно программе переучивания на Ил-10 на изучение матчасти и сдачу зачетов отводилось 7 дней для летно</w:t>
      </w:r>
      <w:r w:rsidRPr="00925F26">
        <w:rPr>
          <w:color w:val="000000" w:themeColor="text1"/>
          <w:sz w:val="16"/>
          <w:szCs w:val="16"/>
        </w:rPr>
        <w:softHyphen/>
        <w:t>го состава, 12 дней - для технического состава и 4 дня - для воздушных стрел</w:t>
      </w:r>
      <w:r w:rsidRPr="00925F26">
        <w:rPr>
          <w:color w:val="000000" w:themeColor="text1"/>
          <w:sz w:val="16"/>
          <w:szCs w:val="16"/>
        </w:rPr>
        <w:softHyphen/>
        <w:t>ков. Затем следовало продолжение изучения матчасти Ил-10 и АМ-42 на серийных авиазаводах и ознакомле</w:t>
      </w:r>
      <w:r w:rsidRPr="00925F26">
        <w:rPr>
          <w:color w:val="000000" w:themeColor="text1"/>
          <w:sz w:val="16"/>
          <w:szCs w:val="16"/>
        </w:rPr>
        <w:softHyphen/>
        <w:t>ние с конструктивно-производствен</w:t>
      </w:r>
      <w:r w:rsidRPr="00925F26">
        <w:rPr>
          <w:color w:val="000000" w:themeColor="text1"/>
          <w:sz w:val="16"/>
          <w:szCs w:val="16"/>
        </w:rPr>
        <w:softHyphen/>
        <w:t>ными дефектами и эксплуатационны</w:t>
      </w:r>
      <w:r w:rsidRPr="00925F26">
        <w:rPr>
          <w:color w:val="000000" w:themeColor="text1"/>
          <w:sz w:val="16"/>
          <w:szCs w:val="16"/>
        </w:rPr>
        <w:softHyphen/>
        <w:t>ми особенностями самолета и мотора. Техническому составу отводилось два дня на изучение мотора АМ-42 на за</w:t>
      </w:r>
      <w:r w:rsidRPr="00925F26">
        <w:rPr>
          <w:color w:val="000000" w:themeColor="text1"/>
          <w:sz w:val="16"/>
          <w:szCs w:val="16"/>
        </w:rPr>
        <w:softHyphen/>
        <w:t>воде № 24 и три дня - для изучения конструкции самолета Ил-10 на авиа</w:t>
      </w:r>
      <w:r w:rsidRPr="00925F26">
        <w:rPr>
          <w:color w:val="000000" w:themeColor="text1"/>
          <w:sz w:val="16"/>
          <w:szCs w:val="16"/>
        </w:rPr>
        <w:softHyphen/>
        <w:t>заводах №№ 1 и 18. Летному составу предоставлялось три дня для изучения матчасти и только на одном из само</w:t>
      </w:r>
      <w:r w:rsidRPr="00925F26">
        <w:rPr>
          <w:color w:val="000000" w:themeColor="text1"/>
          <w:sz w:val="16"/>
          <w:szCs w:val="16"/>
        </w:rPr>
        <w:softHyphen/>
        <w:t>летных заводов.</w:t>
      </w:r>
    </w:p>
    <w:p w14:paraId="3C040E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обучения на 24-м заводе фор</w:t>
      </w:r>
      <w:r w:rsidRPr="00925F26">
        <w:rPr>
          <w:color w:val="000000" w:themeColor="text1"/>
          <w:sz w:val="16"/>
          <w:szCs w:val="16"/>
        </w:rPr>
        <w:softHyphen/>
        <w:t>мировалась группа технического со</w:t>
      </w:r>
      <w:r w:rsidRPr="00925F26">
        <w:rPr>
          <w:color w:val="000000" w:themeColor="text1"/>
          <w:sz w:val="16"/>
          <w:szCs w:val="16"/>
        </w:rPr>
        <w:softHyphen/>
        <w:t>става в количестве 30 человек, а на 18-м и 1-м авиазаводах - по две группы летного и технического состава по 30 человек каждая и по одной группе по вооружению и спецоборудованию в количестве 20 человек.</w:t>
      </w:r>
    </w:p>
    <w:p w14:paraId="02A713F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«Летная» часть программы пере</w:t>
      </w:r>
      <w:r w:rsidRPr="00925F26">
        <w:rPr>
          <w:color w:val="000000" w:themeColor="text1"/>
          <w:sz w:val="16"/>
          <w:szCs w:val="16"/>
        </w:rPr>
        <w:softHyphen/>
        <w:t>учивания включала: один полет УИл-2 для проверки техники пилотирования - 30 мин, 8 контрольно-провозных полетов на УИл-2 - 48 мин, 6 самосто</w:t>
      </w:r>
      <w:r w:rsidRPr="00925F26">
        <w:rPr>
          <w:color w:val="000000" w:themeColor="text1"/>
          <w:sz w:val="16"/>
          <w:szCs w:val="16"/>
        </w:rPr>
        <w:softHyphen/>
        <w:t>ятельных полетов на Ил-2 (взлет, по</w:t>
      </w:r>
      <w:r w:rsidRPr="00925F26">
        <w:rPr>
          <w:color w:val="000000" w:themeColor="text1"/>
          <w:sz w:val="16"/>
          <w:szCs w:val="16"/>
        </w:rPr>
        <w:softHyphen/>
        <w:t>лет по кругу и посадка) - 36 мин, 10 самостоятельных полетов по кругу на Ил-10 - 1 ч, два полета на самостоя</w:t>
      </w:r>
      <w:r w:rsidRPr="00925F26">
        <w:rPr>
          <w:color w:val="000000" w:themeColor="text1"/>
          <w:sz w:val="16"/>
          <w:szCs w:val="16"/>
        </w:rPr>
        <w:softHyphen/>
        <w:t>тельное упражнение (максимальный угол набора высоты, виражи с креном 30-60°, боевые развороты, спираль с креном 30°) - 1 ч, один полет на по</w:t>
      </w:r>
      <w:r w:rsidRPr="00925F26">
        <w:rPr>
          <w:color w:val="000000" w:themeColor="text1"/>
          <w:sz w:val="16"/>
          <w:szCs w:val="16"/>
        </w:rPr>
        <w:softHyphen/>
        <w:t>лигон для стрельбы и бомбометания по наземной цели - 30 мин, один по</w:t>
      </w:r>
      <w:r w:rsidRPr="00925F26">
        <w:rPr>
          <w:color w:val="000000" w:themeColor="text1"/>
          <w:sz w:val="16"/>
          <w:szCs w:val="16"/>
        </w:rPr>
        <w:softHyphen/>
        <w:t>лет по маршруту в составе пары с бом</w:t>
      </w:r>
      <w:r w:rsidRPr="00925F26">
        <w:rPr>
          <w:color w:val="000000" w:themeColor="text1"/>
          <w:sz w:val="16"/>
          <w:szCs w:val="16"/>
        </w:rPr>
        <w:softHyphen/>
        <w:t>бометанием и стрельбой на полигоне - 50 мин, один полет на бомбомета</w:t>
      </w:r>
      <w:r w:rsidRPr="00925F26">
        <w:rPr>
          <w:color w:val="000000" w:themeColor="text1"/>
          <w:sz w:val="16"/>
          <w:szCs w:val="16"/>
        </w:rPr>
        <w:softHyphen/>
        <w:t>ние и стрельбу в составе звена - 30 мин, два полета по маршруту в соста</w:t>
      </w:r>
      <w:r w:rsidRPr="00925F26">
        <w:rPr>
          <w:color w:val="000000" w:themeColor="text1"/>
          <w:sz w:val="16"/>
          <w:szCs w:val="16"/>
        </w:rPr>
        <w:softHyphen/>
        <w:t>ве шестерки с заходом на полигон в боевом порядке «пеленг», после бом</w:t>
      </w:r>
      <w:r w:rsidRPr="00925F26">
        <w:rPr>
          <w:color w:val="000000" w:themeColor="text1"/>
          <w:sz w:val="16"/>
          <w:szCs w:val="16"/>
        </w:rPr>
        <w:softHyphen/>
        <w:t>бометания оборонительный круг - 1 ч 40 мин. То есть, программа переучи</w:t>
      </w:r>
      <w:r w:rsidRPr="00925F26">
        <w:rPr>
          <w:color w:val="000000" w:themeColor="text1"/>
          <w:sz w:val="16"/>
          <w:szCs w:val="16"/>
        </w:rPr>
        <w:softHyphen/>
        <w:t>вания предусматривала 17 полетов на Ил-10 с налетом 5 ч 30 мин на каждо</w:t>
      </w:r>
      <w:r w:rsidRPr="00925F26">
        <w:rPr>
          <w:color w:val="000000" w:themeColor="text1"/>
          <w:sz w:val="16"/>
          <w:szCs w:val="16"/>
        </w:rPr>
        <w:softHyphen/>
        <w:t>го летчика.</w:t>
      </w:r>
    </w:p>
    <w:p w14:paraId="5EB5EE4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это обычно бывает, начальству захотелось быстрее испытать новый самолет в деле. В связи с этим плано</w:t>
      </w:r>
      <w:r w:rsidRPr="00925F26">
        <w:rPr>
          <w:color w:val="000000" w:themeColor="text1"/>
          <w:sz w:val="16"/>
          <w:szCs w:val="16"/>
        </w:rPr>
        <w:softHyphen/>
        <w:t>мерная подготовка летного и техничес</w:t>
      </w:r>
      <w:r w:rsidRPr="00925F26">
        <w:rPr>
          <w:color w:val="000000" w:themeColor="text1"/>
          <w:sz w:val="16"/>
          <w:szCs w:val="16"/>
        </w:rPr>
        <w:softHyphen/>
        <w:t>кого состава лидерных полков была нарушена. Уже впервых числах янва</w:t>
      </w:r>
      <w:r w:rsidRPr="00925F26">
        <w:rPr>
          <w:color w:val="000000" w:themeColor="text1"/>
          <w:sz w:val="16"/>
          <w:szCs w:val="16"/>
        </w:rPr>
        <w:softHyphen/>
        <w:t>ря 1945 г. по личному распоряжению заместителя начальника Управления формирования и комплектования пол</w:t>
      </w:r>
      <w:r w:rsidRPr="00925F26">
        <w:rPr>
          <w:color w:val="000000" w:themeColor="text1"/>
          <w:sz w:val="16"/>
          <w:szCs w:val="16"/>
        </w:rPr>
        <w:softHyphen/>
        <w:t>ковника Бронштейна 78-му гшап над</w:t>
      </w:r>
      <w:r w:rsidRPr="00925F26">
        <w:rPr>
          <w:color w:val="000000" w:themeColor="text1"/>
          <w:sz w:val="16"/>
          <w:szCs w:val="16"/>
        </w:rPr>
        <w:softHyphen/>
        <w:t>лежало срочно завершить программу переучивания и убыть в действующую армию в состав 2-й гвардейской штур</w:t>
      </w:r>
      <w:r w:rsidRPr="00925F26">
        <w:rPr>
          <w:color w:val="000000" w:themeColor="text1"/>
          <w:sz w:val="16"/>
          <w:szCs w:val="16"/>
        </w:rPr>
        <w:softHyphen/>
        <w:t>мовой авиадивизии 16-й ВА.</w:t>
      </w:r>
    </w:p>
    <w:p w14:paraId="0483FE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этому времени летный состав полка успел отработать на Ил-10 толь</w:t>
      </w:r>
      <w:r w:rsidRPr="00925F26">
        <w:rPr>
          <w:color w:val="000000" w:themeColor="text1"/>
          <w:sz w:val="16"/>
          <w:szCs w:val="16"/>
        </w:rPr>
        <w:softHyphen/>
        <w:t>ко 10-е, 12-е и 13-е упражнения по программе переучивания с налетом на одного летчика 57 минут (б посадок). На боевое применение никто из лет</w:t>
      </w:r>
      <w:r w:rsidRPr="00925F26">
        <w:rPr>
          <w:color w:val="000000" w:themeColor="text1"/>
          <w:sz w:val="16"/>
          <w:szCs w:val="16"/>
        </w:rPr>
        <w:softHyphen/>
        <w:t>чиков не вылетал. Полк срочно попол</w:t>
      </w:r>
      <w:r w:rsidRPr="00925F26">
        <w:rPr>
          <w:color w:val="000000" w:themeColor="text1"/>
          <w:sz w:val="16"/>
          <w:szCs w:val="16"/>
        </w:rPr>
        <w:softHyphen/>
        <w:t>нили до штата 20 летчиками, прошед</w:t>
      </w:r>
      <w:r w:rsidRPr="00925F26">
        <w:rPr>
          <w:color w:val="000000" w:themeColor="text1"/>
          <w:sz w:val="16"/>
          <w:szCs w:val="16"/>
        </w:rPr>
        <w:softHyphen/>
        <w:t>шими 1-й и 2-й разделы курса боевой подготовки штурмовой авиации 1944 г., 20 самолетами Ил-2 и 15 самолета</w:t>
      </w:r>
      <w:r w:rsidRPr="00925F26">
        <w:rPr>
          <w:color w:val="000000" w:themeColor="text1"/>
          <w:sz w:val="16"/>
          <w:szCs w:val="16"/>
        </w:rPr>
        <w:softHyphen/>
        <w:t>ми Ил-10. 10 января 1945 г. переучи</w:t>
      </w:r>
      <w:r w:rsidRPr="00925F26">
        <w:rPr>
          <w:color w:val="000000" w:themeColor="text1"/>
          <w:sz w:val="16"/>
          <w:szCs w:val="16"/>
        </w:rPr>
        <w:softHyphen/>
        <w:t>вание полка на новую матчасть офи</w:t>
      </w:r>
      <w:r w:rsidRPr="00925F26">
        <w:rPr>
          <w:color w:val="000000" w:themeColor="text1"/>
          <w:sz w:val="16"/>
          <w:szCs w:val="16"/>
        </w:rPr>
        <w:softHyphen/>
        <w:t>циально закончилось, и уже через два дня полк был признан готовым к пере</w:t>
      </w:r>
      <w:r w:rsidRPr="00925F26">
        <w:rPr>
          <w:color w:val="000000" w:themeColor="text1"/>
          <w:sz w:val="16"/>
          <w:szCs w:val="16"/>
        </w:rPr>
        <w:softHyphen/>
        <w:t>лету на фронт. Акт подписали коман</w:t>
      </w:r>
      <w:r w:rsidRPr="00925F26">
        <w:rPr>
          <w:color w:val="000000" w:themeColor="text1"/>
          <w:sz w:val="16"/>
          <w:szCs w:val="16"/>
        </w:rPr>
        <w:softHyphen/>
        <w:t>дир 12-го зап п-п-к Горошко, началь</w:t>
      </w:r>
      <w:r w:rsidRPr="00925F26">
        <w:rPr>
          <w:color w:val="000000" w:themeColor="text1"/>
          <w:sz w:val="16"/>
          <w:szCs w:val="16"/>
        </w:rPr>
        <w:softHyphen/>
        <w:t>ник штаба 12-го зап п-к Теплое, ко</w:t>
      </w:r>
      <w:r w:rsidRPr="00925F26">
        <w:rPr>
          <w:color w:val="000000" w:themeColor="text1"/>
          <w:sz w:val="16"/>
          <w:szCs w:val="16"/>
        </w:rPr>
        <w:softHyphen/>
        <w:t xml:space="preserve">мандир 78-го гшап </w:t>
      </w:r>
      <w:proofErr w:type="gramStart"/>
      <w:r w:rsidRPr="00925F26">
        <w:rPr>
          <w:color w:val="000000" w:themeColor="text1"/>
          <w:sz w:val="16"/>
          <w:szCs w:val="16"/>
        </w:rPr>
        <w:t>м-р Варило</w:t>
      </w:r>
      <w:proofErr w:type="gramEnd"/>
      <w:r w:rsidRPr="00925F26">
        <w:rPr>
          <w:color w:val="000000" w:themeColor="text1"/>
          <w:sz w:val="16"/>
          <w:szCs w:val="16"/>
        </w:rPr>
        <w:t>, началь</w:t>
      </w:r>
      <w:r w:rsidRPr="00925F26">
        <w:rPr>
          <w:color w:val="000000" w:themeColor="text1"/>
          <w:sz w:val="16"/>
          <w:szCs w:val="16"/>
        </w:rPr>
        <w:softHyphen/>
        <w:t>ник штаба 78-го гшап к-н Семенов и командир 3-й эскадрильи 12-го зап ст. л-т Вавилов. Отбытие назначили на 12 января. Однако долго не было годных к перелету самолетов Ил-10. К тому же полк решили доукомплектовать «десят</w:t>
      </w:r>
      <w:r w:rsidRPr="00925F26">
        <w:rPr>
          <w:color w:val="000000" w:themeColor="text1"/>
          <w:sz w:val="16"/>
          <w:szCs w:val="16"/>
        </w:rPr>
        <w:softHyphen/>
        <w:t>ками» до штатного состава. Затем жда</w:t>
      </w:r>
      <w:r w:rsidRPr="00925F26">
        <w:rPr>
          <w:color w:val="000000" w:themeColor="text1"/>
          <w:sz w:val="16"/>
          <w:szCs w:val="16"/>
        </w:rPr>
        <w:softHyphen/>
        <w:t>ли погоду. Только 21 января первый эшелон полка в составе 20 Ил-2 и 11 Ил-10 смог вылететь к месту назначе</w:t>
      </w:r>
      <w:r w:rsidRPr="00925F26">
        <w:rPr>
          <w:color w:val="000000" w:themeColor="text1"/>
          <w:sz w:val="16"/>
          <w:szCs w:val="16"/>
        </w:rPr>
        <w:softHyphen/>
        <w:t>ния. Второй летный эшелон в составе 10 экипажей на Ил-10 вылетел на сле</w:t>
      </w:r>
      <w:r w:rsidRPr="00925F26">
        <w:rPr>
          <w:color w:val="000000" w:themeColor="text1"/>
          <w:sz w:val="16"/>
          <w:szCs w:val="16"/>
        </w:rPr>
        <w:softHyphen/>
        <w:t>дующий день.</w:t>
      </w:r>
    </w:p>
    <w:p w14:paraId="56CE29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Фактически 78-й гшап был не го</w:t>
      </w:r>
      <w:r w:rsidRPr="00925F26">
        <w:rPr>
          <w:color w:val="000000" w:themeColor="text1"/>
          <w:sz w:val="16"/>
          <w:szCs w:val="16"/>
        </w:rPr>
        <w:softHyphen/>
        <w:t>тов к боевым действиям на новом штур</w:t>
      </w:r>
      <w:r w:rsidRPr="00925F26">
        <w:rPr>
          <w:color w:val="000000" w:themeColor="text1"/>
          <w:sz w:val="16"/>
          <w:szCs w:val="16"/>
        </w:rPr>
        <w:softHyphen/>
        <w:t>мовике Ил-10. В тоже время летный состав, прибывший в Куйбышев на пе</w:t>
      </w:r>
      <w:r w:rsidRPr="00925F26">
        <w:rPr>
          <w:color w:val="000000" w:themeColor="text1"/>
          <w:sz w:val="16"/>
          <w:szCs w:val="16"/>
        </w:rPr>
        <w:softHyphen/>
        <w:t>реучивание, имел солидный боевой опыт. Боевой налет на самолете Ил-2 на одного летчика в среднем состав</w:t>
      </w:r>
      <w:r w:rsidRPr="00925F26">
        <w:rPr>
          <w:color w:val="000000" w:themeColor="text1"/>
          <w:sz w:val="16"/>
          <w:szCs w:val="16"/>
        </w:rPr>
        <w:softHyphen/>
        <w:t>лял 78 боевых вылетов. Налет молоде</w:t>
      </w:r>
      <w:r w:rsidRPr="00925F26">
        <w:rPr>
          <w:color w:val="000000" w:themeColor="text1"/>
          <w:sz w:val="16"/>
          <w:szCs w:val="16"/>
        </w:rPr>
        <w:softHyphen/>
        <w:t>жи, прибывшей на пополнение, со</w:t>
      </w:r>
      <w:r w:rsidRPr="00925F26">
        <w:rPr>
          <w:color w:val="000000" w:themeColor="text1"/>
          <w:sz w:val="16"/>
          <w:szCs w:val="16"/>
        </w:rPr>
        <w:softHyphen/>
        <w:t>ставлял 23 ч 49 мин (61 посадка), в том числе 13 ч (41 посадка) на боевое при</w:t>
      </w:r>
      <w:r w:rsidRPr="00925F26">
        <w:rPr>
          <w:color w:val="000000" w:themeColor="text1"/>
          <w:sz w:val="16"/>
          <w:szCs w:val="16"/>
        </w:rPr>
        <w:softHyphen/>
        <w:t>менение. Неплохую подготовку имели молодые летчики в «слепом» полете -в среднем по 10 ч (20 посадок) каж</w:t>
      </w:r>
      <w:r w:rsidRPr="00925F26">
        <w:rPr>
          <w:color w:val="000000" w:themeColor="text1"/>
          <w:sz w:val="16"/>
          <w:szCs w:val="16"/>
        </w:rPr>
        <w:softHyphen/>
        <w:t>дый. Из числа «старых» летчиков 9 име</w:t>
      </w:r>
      <w:r w:rsidRPr="00925F26">
        <w:rPr>
          <w:color w:val="000000" w:themeColor="text1"/>
          <w:sz w:val="16"/>
          <w:szCs w:val="16"/>
        </w:rPr>
        <w:softHyphen/>
        <w:t xml:space="preserve">ли </w:t>
      </w:r>
      <w:r w:rsidRPr="00925F26">
        <w:rPr>
          <w:iCs/>
          <w:color w:val="000000" w:themeColor="text1"/>
          <w:sz w:val="16"/>
          <w:szCs w:val="16"/>
        </w:rPr>
        <w:t xml:space="preserve">в </w:t>
      </w:r>
      <w:r w:rsidRPr="00925F26">
        <w:rPr>
          <w:color w:val="000000" w:themeColor="text1"/>
          <w:sz w:val="16"/>
          <w:szCs w:val="16"/>
        </w:rPr>
        <w:t xml:space="preserve">своем активе свыше 100 боевых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w:t>
      </w:r>
      <w:r w:rsidRPr="00925F26">
        <w:rPr>
          <w:iCs/>
          <w:color w:val="000000" w:themeColor="text1"/>
          <w:sz w:val="16"/>
          <w:szCs w:val="16"/>
        </w:rPr>
        <w:t xml:space="preserve">В </w:t>
      </w:r>
      <w:r w:rsidRPr="00925F26">
        <w:rPr>
          <w:color w:val="000000" w:themeColor="text1"/>
          <w:sz w:val="16"/>
          <w:szCs w:val="16"/>
        </w:rPr>
        <w:t>пилотов - от 50 до 100 вылетов, три пилота - менее 50 вылетов и только один летчик - не имел боевых вылетов, но его налет на Ил-2 составлял 892 ч. (11131).</w:t>
      </w:r>
    </w:p>
    <w:p w14:paraId="3E1F1B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A761CDB" w14:textId="77777777" w:rsidR="008C5307" w:rsidRPr="00925F26" w:rsidRDefault="008C5307" w:rsidP="00925F26">
      <w:pPr>
        <w:jc w:val="both"/>
        <w:rPr>
          <w:color w:val="000000" w:themeColor="text1"/>
          <w:sz w:val="16"/>
          <w:szCs w:val="16"/>
        </w:rPr>
      </w:pPr>
      <w:r w:rsidRPr="00925F26">
        <w:rPr>
          <w:color w:val="000000" w:themeColor="text1"/>
          <w:sz w:val="16"/>
          <w:szCs w:val="16"/>
        </w:rPr>
        <w:t>В январе 1945 г. выявилась недостаточная прочность отдельных агрегатов штурмовика Ил-10. При статиспытаниях в ЦАГИ произошло разрушение центроплана самолета при 97% от расчетной нагрузки, а при нагрузке 99% от расчетной обнаружилась потеря устойчивости рам хвостовой части фюзеляжа. Очевидно, этот дефект был связан с «истребительным» прошлым Ил-10. При переделке истребителя Ил-1 в штурмовик вес самолета увеличился и, кроме этого, в центроплане сделали вырезы под бомболюки. В результате прочность крыла снизилась. 31 января 1945 г. вышло заключение ЦАГИ о том, что в строевые части ушло свыше трех сотен самолетов Ил-10, имевших недостаточную прочность конструкции. ОКБ в авральном порядке занялось разработкой комплекса мероприятий по усилению конструкции самолета. В начале марта 1945 г. С. В. Ильюшин гарантировал выпуск Ил-10 с усиленной конструкцией, начиная с первого самолета 7-й серии (19727).</w:t>
      </w:r>
    </w:p>
    <w:p w14:paraId="303DE94F" w14:textId="77777777" w:rsidR="008C5307" w:rsidRPr="00925F26" w:rsidRDefault="008C5307" w:rsidP="00925F26">
      <w:pPr>
        <w:jc w:val="both"/>
        <w:rPr>
          <w:color w:val="000000" w:themeColor="text1"/>
          <w:sz w:val="16"/>
          <w:szCs w:val="16"/>
        </w:rPr>
      </w:pPr>
    </w:p>
    <w:p w14:paraId="522C36D1" w14:textId="77777777" w:rsidR="008C5307" w:rsidRPr="00925F26" w:rsidRDefault="008C5307" w:rsidP="00925F26">
      <w:pPr>
        <w:jc w:val="both"/>
        <w:textAlignment w:val="top"/>
        <w:rPr>
          <w:color w:val="000000" w:themeColor="text1"/>
          <w:sz w:val="16"/>
          <w:szCs w:val="16"/>
        </w:rPr>
      </w:pPr>
      <w:r w:rsidRPr="00925F26">
        <w:rPr>
          <w:color w:val="000000" w:themeColor="text1"/>
          <w:sz w:val="16"/>
          <w:szCs w:val="16"/>
        </w:rPr>
        <w:t>В январе 1945 вышел приказ НКАП</w:t>
      </w:r>
    </w:p>
    <w:p w14:paraId="053FD5D5" w14:textId="5C5018B3" w:rsidR="008C5307" w:rsidRPr="00925F26" w:rsidRDefault="008C5307" w:rsidP="00925F26">
      <w:pPr>
        <w:jc w:val="both"/>
        <w:textAlignment w:val="top"/>
        <w:rPr>
          <w:color w:val="000000" w:themeColor="text1"/>
          <w:sz w:val="16"/>
          <w:szCs w:val="16"/>
        </w:rPr>
      </w:pPr>
      <w:r w:rsidRPr="00925F26">
        <w:rPr>
          <w:color w:val="000000" w:themeColor="text1"/>
          <w:sz w:val="16"/>
          <w:szCs w:val="16"/>
        </w:rPr>
        <w:t>О выпуске Ил-10 с пушкой Березина 20 мм в кабине стрелка. В 02.45 - 30 самолетов, в 03.45 - 75 самолетов, в 04.45 - полностью перейти.</w:t>
      </w:r>
      <w:r w:rsidR="00997EDF" w:rsidRPr="00925F26">
        <w:rPr>
          <w:color w:val="000000" w:themeColor="text1"/>
          <w:sz w:val="16"/>
          <w:szCs w:val="16"/>
        </w:rPr>
        <w:t xml:space="preserve">  </w:t>
      </w:r>
    </w:p>
    <w:p w14:paraId="7CFB010D" w14:textId="77777777" w:rsidR="008C5307" w:rsidRPr="00925F26" w:rsidRDefault="008C5307" w:rsidP="00925F26">
      <w:pPr>
        <w:jc w:val="both"/>
        <w:textAlignment w:val="top"/>
        <w:rPr>
          <w:color w:val="000000" w:themeColor="text1"/>
          <w:sz w:val="16"/>
          <w:szCs w:val="16"/>
        </w:rPr>
      </w:pPr>
    </w:p>
    <w:p w14:paraId="6772F4B4" w14:textId="77777777" w:rsidR="00F1364C" w:rsidRPr="00925F26" w:rsidRDefault="00F1364C" w:rsidP="00925F26">
      <w:pPr>
        <w:jc w:val="both"/>
        <w:rPr>
          <w:color w:val="000000" w:themeColor="text1"/>
          <w:sz w:val="16"/>
          <w:szCs w:val="16"/>
        </w:rPr>
      </w:pPr>
      <w:r w:rsidRPr="00925F26">
        <w:rPr>
          <w:color w:val="000000" w:themeColor="text1"/>
          <w:sz w:val="16"/>
          <w:szCs w:val="16"/>
        </w:rPr>
        <w:t>январь 1945 г.</w:t>
      </w:r>
    </w:p>
    <w:p w14:paraId="402288B1" w14:textId="77777777" w:rsidR="00F1364C" w:rsidRPr="00925F26" w:rsidRDefault="00F1364C" w:rsidP="00925F26">
      <w:pPr>
        <w:jc w:val="both"/>
        <w:rPr>
          <w:color w:val="000000" w:themeColor="text1"/>
          <w:sz w:val="16"/>
          <w:szCs w:val="16"/>
        </w:rPr>
      </w:pPr>
      <w:r w:rsidRPr="00925F26">
        <w:rPr>
          <w:color w:val="000000" w:themeColor="text1"/>
          <w:sz w:val="16"/>
          <w:szCs w:val="16"/>
        </w:rPr>
        <w:t>Из отчетного доклада директора завода № 18 о роли рационализаторов на производстве</w:t>
      </w:r>
    </w:p>
    <w:p w14:paraId="07E2B45D" w14:textId="77777777" w:rsidR="00F1364C" w:rsidRPr="00925F26" w:rsidRDefault="00F1364C" w:rsidP="00925F26">
      <w:pPr>
        <w:jc w:val="both"/>
        <w:rPr>
          <w:color w:val="000000" w:themeColor="text1"/>
          <w:sz w:val="16"/>
          <w:szCs w:val="16"/>
        </w:rPr>
      </w:pPr>
      <w:r w:rsidRPr="00925F26">
        <w:rPr>
          <w:color w:val="000000" w:themeColor="text1"/>
          <w:sz w:val="16"/>
          <w:szCs w:val="16"/>
        </w:rPr>
        <w:t>январь 1945 г.</w:t>
      </w:r>
    </w:p>
    <w:p w14:paraId="1F2E00E5" w14:textId="77777777" w:rsidR="00F1364C" w:rsidRPr="00925F26" w:rsidRDefault="00F1364C" w:rsidP="00925F26">
      <w:pPr>
        <w:jc w:val="both"/>
        <w:rPr>
          <w:color w:val="000000" w:themeColor="text1"/>
          <w:sz w:val="16"/>
          <w:szCs w:val="16"/>
        </w:rPr>
      </w:pPr>
      <w:r w:rsidRPr="00925F26">
        <w:rPr>
          <w:color w:val="000000" w:themeColor="text1"/>
          <w:sz w:val="16"/>
          <w:szCs w:val="16"/>
        </w:rPr>
        <w:t>Сов. секретно</w:t>
      </w:r>
    </w:p>
    <w:p w14:paraId="42E51201" w14:textId="77777777" w:rsidR="00F1364C" w:rsidRPr="00925F26" w:rsidRDefault="00F1364C" w:rsidP="00925F26">
      <w:pPr>
        <w:jc w:val="both"/>
        <w:rPr>
          <w:color w:val="000000" w:themeColor="text1"/>
          <w:sz w:val="16"/>
          <w:szCs w:val="16"/>
        </w:rPr>
      </w:pPr>
      <w:r w:rsidRPr="00925F26">
        <w:rPr>
          <w:color w:val="000000" w:themeColor="text1"/>
          <w:sz w:val="16"/>
          <w:szCs w:val="16"/>
        </w:rPr>
        <w:lastRenderedPageBreak/>
        <w:t>Результаты рационализаторской работы в отчетном году были более эффективны. Принятые и внедренные рационализаторские предложения и усовершенствования дали снижение норм рабочего времени на машину в количестве 503,3 часа против 404 часов в 1943 году, или больше на 24%. Но не только снижение норм рабочего времени дали заводу рационализаторы. Снижение расхода материала, замена остродефицитных недефицитными, упрощение и улучшение технологии производства, усовершенствование линий потока и т.п. - частые темы рационализаторских предложений и усовершенствований.</w:t>
      </w:r>
    </w:p>
    <w:p w14:paraId="68F08EC5" w14:textId="77777777" w:rsidR="00F1364C" w:rsidRPr="00925F26" w:rsidRDefault="00F1364C" w:rsidP="00925F26">
      <w:pPr>
        <w:jc w:val="both"/>
        <w:rPr>
          <w:color w:val="000000" w:themeColor="text1"/>
          <w:sz w:val="16"/>
          <w:szCs w:val="16"/>
        </w:rPr>
      </w:pPr>
      <w:r w:rsidRPr="00925F26">
        <w:rPr>
          <w:color w:val="000000" w:themeColor="text1"/>
          <w:sz w:val="16"/>
          <w:szCs w:val="16"/>
        </w:rPr>
        <w:t xml:space="preserve">Намеченный на 1944 год общий план получения условий экономии в 3500 тысяч рублей фактически оказался </w:t>
      </w:r>
      <w:proofErr w:type="gramStart"/>
      <w:r w:rsidRPr="00925F26">
        <w:rPr>
          <w:color w:val="000000" w:themeColor="text1"/>
          <w:sz w:val="16"/>
          <w:szCs w:val="16"/>
        </w:rPr>
        <w:t>перевыполненным.Фактически</w:t>
      </w:r>
      <w:proofErr w:type="gramEnd"/>
      <w:r w:rsidRPr="00925F26">
        <w:rPr>
          <w:color w:val="000000" w:themeColor="text1"/>
          <w:sz w:val="16"/>
          <w:szCs w:val="16"/>
        </w:rPr>
        <w:t xml:space="preserve"> полученная за год условная экономия составила 3850,1 тыс. руб., или 110% к плану...</w:t>
      </w:r>
    </w:p>
    <w:p w14:paraId="6FA216AC" w14:textId="77777777" w:rsidR="00F1364C" w:rsidRPr="00925F26" w:rsidRDefault="00F1364C"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P-3454. On. 1. </w:t>
      </w:r>
      <w:r w:rsidRPr="00925F26">
        <w:rPr>
          <w:color w:val="000000" w:themeColor="text1"/>
          <w:sz w:val="16"/>
          <w:szCs w:val="16"/>
        </w:rPr>
        <w:t>Д</w:t>
      </w:r>
      <w:r w:rsidRPr="00925F26">
        <w:rPr>
          <w:color w:val="000000" w:themeColor="text1"/>
          <w:sz w:val="16"/>
          <w:szCs w:val="16"/>
          <w:lang w:val="en-US"/>
        </w:rPr>
        <w:t xml:space="preserve">. 43. </w:t>
      </w:r>
      <w:r w:rsidRPr="00925F26">
        <w:rPr>
          <w:color w:val="000000" w:themeColor="text1"/>
          <w:sz w:val="16"/>
          <w:szCs w:val="16"/>
        </w:rPr>
        <w:t>Л</w:t>
      </w:r>
      <w:r w:rsidRPr="00925F26">
        <w:rPr>
          <w:color w:val="000000" w:themeColor="text1"/>
          <w:sz w:val="16"/>
          <w:szCs w:val="16"/>
          <w:lang w:val="en-US"/>
        </w:rPr>
        <w:t xml:space="preserve">. 38-39. </w:t>
      </w:r>
      <w:r w:rsidRPr="00925F26">
        <w:rPr>
          <w:color w:val="000000" w:themeColor="text1"/>
          <w:sz w:val="16"/>
          <w:szCs w:val="16"/>
        </w:rPr>
        <w:t>Подлинник (20517).</w:t>
      </w:r>
    </w:p>
    <w:p w14:paraId="384CAF09" w14:textId="77777777" w:rsidR="00F1364C" w:rsidRPr="00925F26" w:rsidRDefault="00F1364C" w:rsidP="00925F26">
      <w:pPr>
        <w:jc w:val="both"/>
        <w:rPr>
          <w:color w:val="000000" w:themeColor="text1"/>
          <w:sz w:val="16"/>
          <w:szCs w:val="16"/>
        </w:rPr>
      </w:pPr>
    </w:p>
    <w:p w14:paraId="70E3AB22" w14:textId="77777777" w:rsidR="00F1364C" w:rsidRPr="00925F26" w:rsidRDefault="00F1364C" w:rsidP="00925F26">
      <w:pPr>
        <w:jc w:val="both"/>
        <w:rPr>
          <w:color w:val="000000" w:themeColor="text1"/>
          <w:sz w:val="16"/>
          <w:szCs w:val="16"/>
        </w:rPr>
      </w:pPr>
      <w:r w:rsidRPr="00925F26">
        <w:rPr>
          <w:color w:val="000000" w:themeColor="text1"/>
          <w:sz w:val="16"/>
          <w:szCs w:val="16"/>
        </w:rPr>
        <w:t>январь 1945 г.</w:t>
      </w:r>
    </w:p>
    <w:p w14:paraId="69292066" w14:textId="77777777" w:rsidR="00F1364C" w:rsidRPr="00925F26" w:rsidRDefault="00F1364C" w:rsidP="00925F26">
      <w:pPr>
        <w:jc w:val="both"/>
        <w:rPr>
          <w:color w:val="000000" w:themeColor="text1"/>
          <w:sz w:val="16"/>
          <w:szCs w:val="16"/>
        </w:rPr>
      </w:pPr>
      <w:r w:rsidRPr="00925F26">
        <w:rPr>
          <w:color w:val="000000" w:themeColor="text1"/>
          <w:sz w:val="16"/>
          <w:szCs w:val="16"/>
        </w:rPr>
        <w:t>Из отчетного доклада директора завода № 18</w:t>
      </w:r>
    </w:p>
    <w:p w14:paraId="69CCDC5E" w14:textId="77777777" w:rsidR="00F1364C" w:rsidRPr="00925F26" w:rsidRDefault="00F1364C" w:rsidP="00925F26">
      <w:pPr>
        <w:jc w:val="both"/>
        <w:rPr>
          <w:color w:val="000000" w:themeColor="text1"/>
          <w:sz w:val="16"/>
          <w:szCs w:val="16"/>
        </w:rPr>
      </w:pPr>
      <w:r w:rsidRPr="00925F26">
        <w:rPr>
          <w:color w:val="000000" w:themeColor="text1"/>
          <w:sz w:val="16"/>
          <w:szCs w:val="16"/>
        </w:rPr>
        <w:t>об улучшении конструкции машин, модернизации</w:t>
      </w:r>
    </w:p>
    <w:p w14:paraId="732EF0E4" w14:textId="77777777" w:rsidR="00F1364C" w:rsidRPr="00925F26" w:rsidRDefault="00F1364C" w:rsidP="00925F26">
      <w:pPr>
        <w:jc w:val="both"/>
        <w:rPr>
          <w:color w:val="000000" w:themeColor="text1"/>
          <w:sz w:val="16"/>
          <w:szCs w:val="16"/>
        </w:rPr>
      </w:pPr>
      <w:r w:rsidRPr="00925F26">
        <w:rPr>
          <w:color w:val="000000" w:themeColor="text1"/>
          <w:sz w:val="16"/>
          <w:szCs w:val="16"/>
        </w:rPr>
        <w:t>и опытных работах в 1944 году</w:t>
      </w:r>
    </w:p>
    <w:p w14:paraId="6ADC467F" w14:textId="77777777" w:rsidR="00F1364C" w:rsidRPr="00925F26" w:rsidRDefault="00F1364C" w:rsidP="00925F26">
      <w:pPr>
        <w:jc w:val="both"/>
        <w:rPr>
          <w:color w:val="000000" w:themeColor="text1"/>
          <w:sz w:val="16"/>
          <w:szCs w:val="16"/>
        </w:rPr>
      </w:pPr>
      <w:r w:rsidRPr="00925F26">
        <w:rPr>
          <w:color w:val="000000" w:themeColor="text1"/>
          <w:sz w:val="16"/>
          <w:szCs w:val="16"/>
        </w:rPr>
        <w:t>январь 1945 г.</w:t>
      </w:r>
    </w:p>
    <w:p w14:paraId="1F897717" w14:textId="77777777" w:rsidR="00F1364C" w:rsidRPr="00925F26" w:rsidRDefault="00F1364C" w:rsidP="00925F26">
      <w:pPr>
        <w:jc w:val="both"/>
        <w:rPr>
          <w:color w:val="000000" w:themeColor="text1"/>
          <w:sz w:val="16"/>
          <w:szCs w:val="16"/>
        </w:rPr>
      </w:pPr>
      <w:r w:rsidRPr="00925F26">
        <w:rPr>
          <w:color w:val="000000" w:themeColor="text1"/>
          <w:sz w:val="16"/>
          <w:szCs w:val="16"/>
        </w:rPr>
        <w:t>Сов. секретно</w:t>
      </w:r>
    </w:p>
    <w:p w14:paraId="77AA780E" w14:textId="77777777" w:rsidR="00F1364C" w:rsidRPr="00925F26" w:rsidRDefault="00F1364C" w:rsidP="00925F26">
      <w:pPr>
        <w:jc w:val="both"/>
        <w:rPr>
          <w:color w:val="000000" w:themeColor="text1"/>
          <w:sz w:val="16"/>
          <w:szCs w:val="16"/>
        </w:rPr>
      </w:pPr>
      <w:r w:rsidRPr="00925F26">
        <w:rPr>
          <w:color w:val="000000" w:themeColor="text1"/>
          <w:sz w:val="16"/>
          <w:szCs w:val="16"/>
        </w:rPr>
        <w:t>Помимо оперативного разрешения возникавших в процессе производства вопросов по конструкции серийного самолета, коллектив конструкторов завода за год провел много конструктивных изменений по самолету ИЛ-2, в том числе ряд достаточно серьезных по содержанию.</w:t>
      </w:r>
    </w:p>
    <w:p w14:paraId="61CCB4F5" w14:textId="77777777" w:rsidR="00F1364C" w:rsidRPr="00925F26" w:rsidRDefault="00F1364C" w:rsidP="00925F26">
      <w:pPr>
        <w:jc w:val="both"/>
        <w:rPr>
          <w:color w:val="000000" w:themeColor="text1"/>
          <w:sz w:val="16"/>
          <w:szCs w:val="16"/>
        </w:rPr>
      </w:pPr>
      <w:r w:rsidRPr="00925F26">
        <w:rPr>
          <w:color w:val="000000" w:themeColor="text1"/>
          <w:sz w:val="16"/>
          <w:szCs w:val="16"/>
        </w:rPr>
        <w:t>Особенно напряженной была работа конструкторов в период запуска, увязки и отработки на производстве чертежей нового самолета ИЛ-10.</w:t>
      </w:r>
    </w:p>
    <w:p w14:paraId="05470F39" w14:textId="77777777" w:rsidR="00F1364C" w:rsidRPr="00925F26" w:rsidRDefault="00F1364C" w:rsidP="00925F26">
      <w:pPr>
        <w:jc w:val="both"/>
        <w:rPr>
          <w:color w:val="000000" w:themeColor="text1"/>
          <w:sz w:val="16"/>
          <w:szCs w:val="16"/>
        </w:rPr>
      </w:pPr>
      <w:r w:rsidRPr="00925F26">
        <w:rPr>
          <w:color w:val="000000" w:themeColor="text1"/>
          <w:sz w:val="16"/>
          <w:szCs w:val="16"/>
        </w:rPr>
        <w:t>Правильному решению отдельных сложных вопросов по конструкции машин во многом помогала своей работой заводская лаборатория стат-испытаний.</w:t>
      </w:r>
    </w:p>
    <w:p w14:paraId="121FA69F" w14:textId="77777777" w:rsidR="00F1364C" w:rsidRPr="00925F26" w:rsidRDefault="00F1364C" w:rsidP="00925F26">
      <w:pPr>
        <w:jc w:val="both"/>
        <w:rPr>
          <w:color w:val="000000" w:themeColor="text1"/>
          <w:sz w:val="16"/>
          <w:szCs w:val="16"/>
        </w:rPr>
      </w:pPr>
      <w:r w:rsidRPr="00925F26">
        <w:rPr>
          <w:color w:val="000000" w:themeColor="text1"/>
          <w:sz w:val="16"/>
          <w:szCs w:val="16"/>
        </w:rPr>
        <w:t>Конструктивные изменения самолета ИЛ-2</w:t>
      </w:r>
    </w:p>
    <w:p w14:paraId="6347DBFB" w14:textId="77777777" w:rsidR="00F1364C" w:rsidRPr="00925F26" w:rsidRDefault="00F1364C" w:rsidP="00925F26">
      <w:pPr>
        <w:jc w:val="both"/>
        <w:rPr>
          <w:color w:val="000000" w:themeColor="text1"/>
          <w:sz w:val="16"/>
          <w:szCs w:val="16"/>
        </w:rPr>
      </w:pPr>
      <w:r w:rsidRPr="00925F26">
        <w:rPr>
          <w:color w:val="000000" w:themeColor="text1"/>
          <w:sz w:val="16"/>
          <w:szCs w:val="16"/>
        </w:rPr>
        <w:t>Необходимость дальнейшего улучшения эксплуатационных данных самолета ИЛ-2 вызвала очень серьезное изменение его конструкции.</w:t>
      </w:r>
    </w:p>
    <w:p w14:paraId="56CF0B31" w14:textId="77777777" w:rsidR="00F1364C" w:rsidRPr="00925F26" w:rsidRDefault="00F1364C" w:rsidP="00925F26">
      <w:pPr>
        <w:jc w:val="both"/>
        <w:rPr>
          <w:color w:val="000000" w:themeColor="text1"/>
          <w:sz w:val="16"/>
          <w:szCs w:val="16"/>
        </w:rPr>
      </w:pPr>
      <w:r w:rsidRPr="00925F26">
        <w:rPr>
          <w:color w:val="000000" w:themeColor="text1"/>
          <w:sz w:val="16"/>
          <w:szCs w:val="16"/>
        </w:rPr>
        <w:t>Перед заводом была поставлена задача в короткий срок модернизировать крыло, освоить его в производстве и, не снижая темпов выпуска машин, давать на вооружение Красной Армии самолеты ИЛ-2 измененной конструкции, улучшенного качества.</w:t>
      </w:r>
    </w:p>
    <w:p w14:paraId="5FED3CED" w14:textId="77777777" w:rsidR="00F1364C" w:rsidRPr="00925F26" w:rsidRDefault="00F1364C" w:rsidP="00925F26">
      <w:pPr>
        <w:jc w:val="both"/>
        <w:rPr>
          <w:color w:val="000000" w:themeColor="text1"/>
          <w:sz w:val="16"/>
          <w:szCs w:val="16"/>
        </w:rPr>
      </w:pPr>
      <w:r w:rsidRPr="00925F26">
        <w:rPr>
          <w:color w:val="000000" w:themeColor="text1"/>
          <w:sz w:val="16"/>
          <w:szCs w:val="16"/>
        </w:rPr>
        <w:t xml:space="preserve">Изменение конструкции самолета ИЛ-2 заключалось в ведении крыла со стрелкой в плане. Стрельчатое крыло по технологии изготовления его мало отличается от старого, но все же оно увеличило трудоемкость машины, потребовало несколько увеличенного расхода материала. </w:t>
      </w:r>
    </w:p>
    <w:p w14:paraId="2B47400B" w14:textId="77777777" w:rsidR="00F1364C" w:rsidRPr="00925F26" w:rsidRDefault="00F1364C" w:rsidP="00925F26">
      <w:pPr>
        <w:jc w:val="both"/>
        <w:rPr>
          <w:color w:val="000000" w:themeColor="text1"/>
          <w:sz w:val="16"/>
          <w:szCs w:val="16"/>
        </w:rPr>
      </w:pPr>
      <w:r w:rsidRPr="00925F26">
        <w:rPr>
          <w:color w:val="000000" w:themeColor="text1"/>
          <w:sz w:val="16"/>
          <w:szCs w:val="16"/>
        </w:rPr>
        <w:t>Независимо от этого, введение нового крыла относится к крупным конструктивным изменениям. Внедрение в серийное производство нового крыла заняло достаточно длительное время. В связи с тем, что угол наклона нового крыла в плане увеличен, потребовалось заменить всю старую специальную оснастку по крылу на новую в агрегато-крыльевых, механических и заготовительных цехах.</w:t>
      </w:r>
    </w:p>
    <w:p w14:paraId="6770A7B5" w14:textId="77777777" w:rsidR="00F1364C" w:rsidRPr="00925F26" w:rsidRDefault="00F1364C" w:rsidP="00925F26">
      <w:pPr>
        <w:jc w:val="both"/>
        <w:rPr>
          <w:color w:val="000000" w:themeColor="text1"/>
          <w:sz w:val="16"/>
          <w:szCs w:val="16"/>
        </w:rPr>
      </w:pPr>
      <w:r w:rsidRPr="00925F26">
        <w:rPr>
          <w:color w:val="000000" w:themeColor="text1"/>
          <w:sz w:val="16"/>
          <w:szCs w:val="16"/>
        </w:rPr>
        <w:t>Текущие конструктивные изменения самолета ИЛ-2 проводились, главным образом, по извещениям Главного конструктора т. Ильюшина С.В., частично по приказам НКАП, по требованию заказчика, по инициативе завода. Так, за год по извещениям гл. конструктора по самолету ИЛ-2 было проведено 45 изменений, по приказам НКАП 6 изменений, по требованию заказчика 7 изменений и по инициативе завода 6 изменений. Всего, таким образом, было проведено за год 64 конструктивных изменения.</w:t>
      </w:r>
    </w:p>
    <w:p w14:paraId="67DEB00E" w14:textId="77777777" w:rsidR="00F1364C" w:rsidRPr="00925F26" w:rsidRDefault="00F1364C" w:rsidP="00925F26">
      <w:pPr>
        <w:jc w:val="both"/>
        <w:rPr>
          <w:color w:val="000000" w:themeColor="text1"/>
          <w:sz w:val="16"/>
          <w:szCs w:val="16"/>
        </w:rPr>
      </w:pPr>
      <w:r w:rsidRPr="00925F26">
        <w:rPr>
          <w:color w:val="000000" w:themeColor="text1"/>
          <w:sz w:val="16"/>
          <w:szCs w:val="16"/>
        </w:rPr>
        <w:t>По группам самолета проведенные конструктивные изменения разделяются так: по группе оборудования - 18, по винтомоторной группе - 8, по группе шасси и управления - 8, по фюзеляжу и оперению - 12, по группе вооружения - 8, по группе крыла и центроплана -10 изменений.</w:t>
      </w:r>
    </w:p>
    <w:p w14:paraId="6514F91A" w14:textId="77777777" w:rsidR="00F1364C" w:rsidRPr="00925F26" w:rsidRDefault="00F1364C" w:rsidP="00925F26">
      <w:pPr>
        <w:jc w:val="both"/>
        <w:rPr>
          <w:color w:val="000000" w:themeColor="text1"/>
          <w:sz w:val="16"/>
          <w:szCs w:val="16"/>
        </w:rPr>
      </w:pPr>
      <w:r w:rsidRPr="00925F26">
        <w:rPr>
          <w:color w:val="000000" w:themeColor="text1"/>
          <w:sz w:val="16"/>
          <w:szCs w:val="16"/>
        </w:rPr>
        <w:t>Все проведенные конструктивные изменения по самолету ИЛ-2 по своему характеру касаются или улучшения эксплуатационных данных и аэродинамики машины, или преследовали цель снижения трудоемкости изготовления ее.</w:t>
      </w:r>
    </w:p>
    <w:p w14:paraId="70A5497D" w14:textId="77777777" w:rsidR="00F1364C" w:rsidRPr="00925F26" w:rsidRDefault="00F1364C" w:rsidP="00925F26">
      <w:pPr>
        <w:jc w:val="both"/>
        <w:rPr>
          <w:color w:val="000000" w:themeColor="text1"/>
          <w:sz w:val="16"/>
          <w:szCs w:val="16"/>
        </w:rPr>
      </w:pPr>
      <w:r w:rsidRPr="00925F26">
        <w:rPr>
          <w:color w:val="000000" w:themeColor="text1"/>
          <w:sz w:val="16"/>
          <w:szCs w:val="16"/>
        </w:rPr>
        <w:t xml:space="preserve">Конструктивные изменения по улучшению аэродинамики </w:t>
      </w:r>
      <w:proofErr w:type="gramStart"/>
      <w:r w:rsidRPr="00925F26">
        <w:rPr>
          <w:color w:val="000000" w:themeColor="text1"/>
          <w:sz w:val="16"/>
          <w:szCs w:val="16"/>
        </w:rPr>
        <w:t>самолета  одновременно</w:t>
      </w:r>
      <w:proofErr w:type="gramEnd"/>
      <w:r w:rsidRPr="00925F26">
        <w:rPr>
          <w:color w:val="000000" w:themeColor="text1"/>
          <w:sz w:val="16"/>
          <w:szCs w:val="16"/>
        </w:rPr>
        <w:t xml:space="preserve"> позволили несколько увеличить скорость, улучшить внешний вид и отделку самолета. К таким изменениям относятся улучшенный фонарь пилота (по типу завода № 30), съемный концевой обтекатель крыла, запотаивание всех выступающих болтов и заклепок по фюзеляжу, клепка впотай крыла и стабилизатора.</w:t>
      </w:r>
    </w:p>
    <w:p w14:paraId="10012198" w14:textId="77777777" w:rsidR="00F1364C" w:rsidRPr="00925F26" w:rsidRDefault="00F1364C" w:rsidP="00925F26">
      <w:pPr>
        <w:jc w:val="both"/>
        <w:rPr>
          <w:color w:val="000000" w:themeColor="text1"/>
          <w:sz w:val="16"/>
          <w:szCs w:val="16"/>
        </w:rPr>
      </w:pPr>
      <w:r w:rsidRPr="00925F26">
        <w:rPr>
          <w:color w:val="000000" w:themeColor="text1"/>
          <w:sz w:val="16"/>
          <w:szCs w:val="16"/>
        </w:rPr>
        <w:t>Улучшение эксплуатационных данных самолета ИЛ-2 достигалось за счет внедрения ряда конструктивных изменений...</w:t>
      </w:r>
    </w:p>
    <w:p w14:paraId="16728E53" w14:textId="77777777" w:rsidR="00F1364C" w:rsidRPr="00925F26" w:rsidRDefault="00F1364C" w:rsidP="00925F26">
      <w:pPr>
        <w:jc w:val="both"/>
        <w:rPr>
          <w:color w:val="000000" w:themeColor="text1"/>
          <w:sz w:val="16"/>
          <w:szCs w:val="16"/>
        </w:rPr>
      </w:pPr>
      <w:r w:rsidRPr="00925F26">
        <w:rPr>
          <w:color w:val="000000" w:themeColor="text1"/>
          <w:sz w:val="16"/>
          <w:szCs w:val="16"/>
        </w:rPr>
        <w:t>Постановка производства самолета ИЛ-10.</w:t>
      </w:r>
    </w:p>
    <w:p w14:paraId="43CAD248" w14:textId="77777777" w:rsidR="00F1364C" w:rsidRPr="00925F26" w:rsidRDefault="00F1364C" w:rsidP="00925F26">
      <w:pPr>
        <w:jc w:val="both"/>
        <w:rPr>
          <w:color w:val="000000" w:themeColor="text1"/>
          <w:sz w:val="16"/>
          <w:szCs w:val="16"/>
        </w:rPr>
      </w:pPr>
      <w:r w:rsidRPr="00925F26">
        <w:rPr>
          <w:color w:val="000000" w:themeColor="text1"/>
          <w:sz w:val="16"/>
          <w:szCs w:val="16"/>
        </w:rPr>
        <w:t>В первом квартале отчетного года на заводе продолжалось изготовление опытного экземпляра самолета ИЛ-10 (ИЛ-1) по заказу гл. конструктора тов. Ильюшина С.В. Коллектив конструкторов обеспечивал чертежами, планами и др. документацией изготовление этой опытной машины и принимал непосредственное участие в руководстве монтажами ее.</w:t>
      </w:r>
    </w:p>
    <w:p w14:paraId="56F1DC9C" w14:textId="77777777" w:rsidR="00F1364C" w:rsidRPr="00925F26" w:rsidRDefault="00F1364C" w:rsidP="00925F26">
      <w:pPr>
        <w:jc w:val="both"/>
        <w:rPr>
          <w:color w:val="000000" w:themeColor="text1"/>
          <w:sz w:val="16"/>
          <w:szCs w:val="16"/>
        </w:rPr>
      </w:pPr>
      <w:r w:rsidRPr="00925F26">
        <w:rPr>
          <w:color w:val="000000" w:themeColor="text1"/>
          <w:sz w:val="16"/>
          <w:szCs w:val="16"/>
        </w:rPr>
        <w:t>Предполагалось, что эта машина после постройки опытного образца и испытания будет внедряться на заводе в серийное производство, поэтому она особенно приковывала к себе внимание конструкторов, технологов и руководящего состава цехов. Особенно серьезное внимание было обращено на качество изготовления отдельных деталей, узлов, агрегатов и окончательную отделку машины в целом.</w:t>
      </w:r>
    </w:p>
    <w:p w14:paraId="17A93F51" w14:textId="77777777" w:rsidR="00F1364C" w:rsidRPr="00925F26" w:rsidRDefault="00F1364C" w:rsidP="00925F26">
      <w:pPr>
        <w:jc w:val="both"/>
        <w:rPr>
          <w:color w:val="000000" w:themeColor="text1"/>
          <w:sz w:val="16"/>
          <w:szCs w:val="16"/>
        </w:rPr>
      </w:pPr>
      <w:r w:rsidRPr="00925F26">
        <w:rPr>
          <w:color w:val="000000" w:themeColor="text1"/>
          <w:sz w:val="16"/>
          <w:szCs w:val="16"/>
        </w:rPr>
        <w:t>В результате опытная машина, без особых доделок на заводе 240, успешно прошла заводские и государственные испытания, показав при этом хорошие летно-тактические данные.</w:t>
      </w:r>
    </w:p>
    <w:p w14:paraId="52EEB674" w14:textId="77777777" w:rsidR="00F1364C" w:rsidRPr="00925F26" w:rsidRDefault="00F1364C" w:rsidP="00925F26">
      <w:pPr>
        <w:jc w:val="both"/>
        <w:rPr>
          <w:color w:val="000000" w:themeColor="text1"/>
          <w:sz w:val="16"/>
          <w:szCs w:val="16"/>
        </w:rPr>
      </w:pPr>
      <w:r w:rsidRPr="00925F26">
        <w:rPr>
          <w:color w:val="000000" w:themeColor="text1"/>
          <w:sz w:val="16"/>
          <w:szCs w:val="16"/>
        </w:rPr>
        <w:t>По особому постановлению ГКО завод получил на освоение и внедрение в серийное производство новый самолет Ил-10, опытный образец которого им был изготовлен ранее.</w:t>
      </w:r>
    </w:p>
    <w:p w14:paraId="2ADA6A8A" w14:textId="77777777" w:rsidR="00F1364C" w:rsidRPr="00925F26" w:rsidRDefault="00F1364C" w:rsidP="00925F26">
      <w:pPr>
        <w:jc w:val="both"/>
        <w:rPr>
          <w:color w:val="000000" w:themeColor="text1"/>
          <w:sz w:val="16"/>
          <w:szCs w:val="16"/>
        </w:rPr>
      </w:pPr>
      <w:r w:rsidRPr="00925F26">
        <w:rPr>
          <w:color w:val="000000" w:themeColor="text1"/>
          <w:sz w:val="16"/>
          <w:szCs w:val="16"/>
        </w:rPr>
        <w:t>Успех разработки конструкции новой машины и запуска чертежей в производство был обеспечен качественной работой конструкторов по опытной машине...</w:t>
      </w:r>
    </w:p>
    <w:p w14:paraId="18360747" w14:textId="77777777" w:rsidR="00F1364C" w:rsidRPr="00925F26" w:rsidRDefault="00F1364C"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P-3454. On. 1.</w:t>
      </w:r>
      <w:r w:rsidRPr="00925F26">
        <w:rPr>
          <w:color w:val="000000" w:themeColor="text1"/>
          <w:sz w:val="16"/>
          <w:szCs w:val="16"/>
        </w:rPr>
        <w:t>Д</w:t>
      </w:r>
      <w:r w:rsidRPr="00925F26">
        <w:rPr>
          <w:color w:val="000000" w:themeColor="text1"/>
          <w:sz w:val="16"/>
          <w:szCs w:val="16"/>
          <w:lang w:val="en-US"/>
        </w:rPr>
        <w:t xml:space="preserve">. 43. </w:t>
      </w:r>
      <w:r w:rsidRPr="00925F26">
        <w:rPr>
          <w:color w:val="000000" w:themeColor="text1"/>
          <w:sz w:val="16"/>
          <w:szCs w:val="16"/>
        </w:rPr>
        <w:t>Л</w:t>
      </w:r>
      <w:r w:rsidRPr="00925F26">
        <w:rPr>
          <w:color w:val="000000" w:themeColor="text1"/>
          <w:sz w:val="16"/>
          <w:szCs w:val="16"/>
          <w:lang w:val="en-US"/>
        </w:rPr>
        <w:t xml:space="preserve">. 25-30. </w:t>
      </w:r>
      <w:r w:rsidRPr="00925F26">
        <w:rPr>
          <w:color w:val="000000" w:themeColor="text1"/>
          <w:sz w:val="16"/>
          <w:szCs w:val="16"/>
        </w:rPr>
        <w:t>Подлинник (20515).</w:t>
      </w:r>
    </w:p>
    <w:p w14:paraId="6BC1EBC8" w14:textId="77777777" w:rsidR="00F1364C" w:rsidRPr="00925F26" w:rsidRDefault="00F1364C" w:rsidP="00925F26">
      <w:pPr>
        <w:jc w:val="both"/>
        <w:rPr>
          <w:color w:val="000000" w:themeColor="text1"/>
          <w:sz w:val="16"/>
          <w:szCs w:val="16"/>
        </w:rPr>
      </w:pPr>
    </w:p>
    <w:p w14:paraId="097F5251" w14:textId="77777777" w:rsidR="00F1364C" w:rsidRPr="00925F26" w:rsidRDefault="00F1364C" w:rsidP="00925F26">
      <w:pPr>
        <w:jc w:val="both"/>
        <w:rPr>
          <w:color w:val="000000" w:themeColor="text1"/>
          <w:sz w:val="16"/>
          <w:szCs w:val="16"/>
        </w:rPr>
      </w:pPr>
      <w:r w:rsidRPr="00925F26">
        <w:rPr>
          <w:color w:val="000000" w:themeColor="text1"/>
          <w:sz w:val="16"/>
          <w:szCs w:val="16"/>
        </w:rPr>
        <w:t>Январь 1945 г.</w:t>
      </w:r>
    </w:p>
    <w:p w14:paraId="7485AE3C" w14:textId="77777777" w:rsidR="00F1364C" w:rsidRPr="00925F26" w:rsidRDefault="00F1364C" w:rsidP="00925F26">
      <w:pPr>
        <w:jc w:val="both"/>
        <w:rPr>
          <w:color w:val="000000" w:themeColor="text1"/>
          <w:sz w:val="16"/>
          <w:szCs w:val="16"/>
        </w:rPr>
      </w:pPr>
      <w:r w:rsidRPr="00925F26">
        <w:rPr>
          <w:color w:val="000000" w:themeColor="text1"/>
          <w:sz w:val="16"/>
          <w:szCs w:val="16"/>
        </w:rPr>
        <w:t>Из отчетного доклада директора завода № 18</w:t>
      </w:r>
    </w:p>
    <w:p w14:paraId="477A3892" w14:textId="77777777" w:rsidR="00F1364C" w:rsidRPr="00925F26" w:rsidRDefault="00F1364C" w:rsidP="00925F26">
      <w:pPr>
        <w:jc w:val="both"/>
        <w:rPr>
          <w:color w:val="000000" w:themeColor="text1"/>
          <w:sz w:val="16"/>
          <w:szCs w:val="16"/>
        </w:rPr>
      </w:pPr>
      <w:r w:rsidRPr="00925F26">
        <w:rPr>
          <w:color w:val="000000" w:themeColor="text1"/>
          <w:sz w:val="16"/>
          <w:szCs w:val="16"/>
        </w:rPr>
        <w:t>об общих итогах работы завода в 1944 году январь 1945 г.</w:t>
      </w:r>
    </w:p>
    <w:p w14:paraId="36D90DC9" w14:textId="77777777" w:rsidR="00F1364C" w:rsidRPr="00925F26" w:rsidRDefault="00F1364C" w:rsidP="00925F26">
      <w:pPr>
        <w:jc w:val="both"/>
        <w:rPr>
          <w:color w:val="000000" w:themeColor="text1"/>
          <w:sz w:val="16"/>
          <w:szCs w:val="16"/>
        </w:rPr>
      </w:pPr>
      <w:r w:rsidRPr="00925F26">
        <w:rPr>
          <w:color w:val="000000" w:themeColor="text1"/>
          <w:sz w:val="16"/>
          <w:szCs w:val="16"/>
        </w:rPr>
        <w:t>Сов. секретно</w:t>
      </w:r>
    </w:p>
    <w:p w14:paraId="3FF29C34" w14:textId="77777777" w:rsidR="00F1364C" w:rsidRPr="00925F26" w:rsidRDefault="00F1364C" w:rsidP="00925F26">
      <w:pPr>
        <w:jc w:val="both"/>
        <w:rPr>
          <w:color w:val="000000" w:themeColor="text1"/>
          <w:sz w:val="16"/>
          <w:szCs w:val="16"/>
        </w:rPr>
      </w:pPr>
      <w:r w:rsidRPr="00925F26">
        <w:rPr>
          <w:color w:val="000000" w:themeColor="text1"/>
          <w:sz w:val="16"/>
          <w:szCs w:val="16"/>
        </w:rPr>
        <w:t>...За истекший военный год много раз Партия и Правительство высоко оценивали работу коллектива нашего завода. Большую часть года заводу присуждалось переходящее Красное Знамя Государственного Комитета Обороны. Больше полугода непрерывно завод держал это Знамя как символ победы в социалистическом соревновании заводов авиационной промышленности. Оценка работы коллектива нашего завода была высокой и справедливой.</w:t>
      </w:r>
    </w:p>
    <w:p w14:paraId="595F5BF8" w14:textId="77777777" w:rsidR="00F1364C" w:rsidRPr="00925F26" w:rsidRDefault="00F1364C" w:rsidP="00925F26">
      <w:pPr>
        <w:jc w:val="both"/>
        <w:rPr>
          <w:color w:val="000000" w:themeColor="text1"/>
          <w:sz w:val="16"/>
          <w:szCs w:val="16"/>
        </w:rPr>
      </w:pPr>
      <w:r w:rsidRPr="00925F26">
        <w:rPr>
          <w:color w:val="000000" w:themeColor="text1"/>
          <w:sz w:val="16"/>
          <w:szCs w:val="16"/>
        </w:rPr>
        <w:t xml:space="preserve">Правительством было поручено заводу изготовить опытный </w:t>
      </w:r>
      <w:proofErr w:type="gramStart"/>
      <w:r w:rsidRPr="00925F26">
        <w:rPr>
          <w:color w:val="000000" w:themeColor="text1"/>
          <w:sz w:val="16"/>
          <w:szCs w:val="16"/>
        </w:rPr>
        <w:t>экземпляр  нового</w:t>
      </w:r>
      <w:proofErr w:type="gramEnd"/>
      <w:r w:rsidRPr="00925F26">
        <w:rPr>
          <w:color w:val="000000" w:themeColor="text1"/>
          <w:sz w:val="16"/>
          <w:szCs w:val="16"/>
        </w:rPr>
        <w:t xml:space="preserve"> самолета ИЛ-1, штурмовика более высокого класса. Завод успешно выполнил это задание. Государственные испытания показали высокие качества этого самолета.</w:t>
      </w:r>
    </w:p>
    <w:p w14:paraId="3A581435" w14:textId="77777777" w:rsidR="00F1364C" w:rsidRPr="00925F26" w:rsidRDefault="00F1364C" w:rsidP="00925F26">
      <w:pPr>
        <w:jc w:val="both"/>
        <w:rPr>
          <w:color w:val="000000" w:themeColor="text1"/>
          <w:sz w:val="16"/>
          <w:szCs w:val="16"/>
        </w:rPr>
      </w:pPr>
      <w:r w:rsidRPr="00925F26">
        <w:rPr>
          <w:color w:val="000000" w:themeColor="text1"/>
          <w:sz w:val="16"/>
          <w:szCs w:val="16"/>
        </w:rPr>
        <w:t>По заданию Правительства модернизировать самолет ИЛ-2 за счет введения крыла новой конструкции - со стрелкой в плане, освоить производство его и давать серийный выпуск модернизированных машин. Коллектив завода успешно и вполне удовлетворительно справлялся с этой задачей. Начиная со второго квартала, завод дает Красной Армии модернизированные машины ИЛ-2 в большем количестве, чем было предусмотрено планом.</w:t>
      </w:r>
    </w:p>
    <w:p w14:paraId="600C0A4C" w14:textId="77777777" w:rsidR="00F1364C" w:rsidRPr="00925F26" w:rsidRDefault="00F1364C" w:rsidP="00925F26">
      <w:pPr>
        <w:jc w:val="both"/>
        <w:rPr>
          <w:color w:val="000000" w:themeColor="text1"/>
          <w:sz w:val="16"/>
          <w:szCs w:val="16"/>
        </w:rPr>
      </w:pPr>
      <w:r w:rsidRPr="00925F26">
        <w:rPr>
          <w:color w:val="000000" w:themeColor="text1"/>
          <w:sz w:val="16"/>
          <w:szCs w:val="16"/>
        </w:rPr>
        <w:t>Во втором полугодии новую ответственную задачу Правительства о внедрении новой боевой машины ИЛ-10 завод принципиально решил. При большом недостатке рабочей силы на заводе до конца года было собрано 73 новых машины, из них 43 сдано Кр. Армии.</w:t>
      </w:r>
    </w:p>
    <w:p w14:paraId="48F3E5AB" w14:textId="77777777" w:rsidR="00F1364C" w:rsidRPr="00925F26" w:rsidRDefault="00F1364C" w:rsidP="00925F26">
      <w:pPr>
        <w:jc w:val="both"/>
        <w:rPr>
          <w:color w:val="000000" w:themeColor="text1"/>
          <w:sz w:val="16"/>
          <w:szCs w:val="16"/>
        </w:rPr>
      </w:pPr>
      <w:r w:rsidRPr="00925F26">
        <w:rPr>
          <w:color w:val="000000" w:themeColor="text1"/>
          <w:sz w:val="16"/>
          <w:szCs w:val="16"/>
        </w:rPr>
        <w:t>Перманентно совершенствовался на заводе техпроцесс, внедрялись многоместные, высокопроизводительные приспособления и поточные методы работы. За счет потоков снижена норма на машину на 671 н/час., высвобождено на другие работы 764 квалифицированных производственных рабочих.</w:t>
      </w:r>
    </w:p>
    <w:p w14:paraId="4FBEA5B7" w14:textId="77777777" w:rsidR="00F1364C" w:rsidRPr="00925F26" w:rsidRDefault="00F1364C" w:rsidP="00925F26">
      <w:pPr>
        <w:jc w:val="both"/>
        <w:rPr>
          <w:color w:val="000000" w:themeColor="text1"/>
          <w:sz w:val="16"/>
          <w:szCs w:val="16"/>
        </w:rPr>
      </w:pPr>
      <w:r w:rsidRPr="00925F26">
        <w:rPr>
          <w:color w:val="000000" w:themeColor="text1"/>
          <w:sz w:val="16"/>
          <w:szCs w:val="16"/>
        </w:rPr>
        <w:t>Рационализаторы производства дали заводу 3850 т. р. экономии.</w:t>
      </w:r>
    </w:p>
    <w:p w14:paraId="5FE83A17" w14:textId="77777777" w:rsidR="00F1364C" w:rsidRPr="00925F26" w:rsidRDefault="00F1364C" w:rsidP="00925F26">
      <w:pPr>
        <w:jc w:val="both"/>
        <w:rPr>
          <w:color w:val="000000" w:themeColor="text1"/>
          <w:sz w:val="16"/>
          <w:szCs w:val="16"/>
        </w:rPr>
      </w:pPr>
      <w:r w:rsidRPr="00925F26">
        <w:rPr>
          <w:color w:val="000000" w:themeColor="text1"/>
          <w:sz w:val="16"/>
          <w:szCs w:val="16"/>
        </w:rPr>
        <w:t>Завод расширил охват соцсоревнованием до 84,2%. Число рабочих -стахановцев возросло до 87,6%. Выросло число фронтовых бригад до 777, с охватом 3102 рабочих, в том числе 526 бригад молодежных, с охватом 2148 рабочих. Молодежная бригада т. Извекова во Всесоюзном соревновании завоевала первое место, а бригада тов. Трухачева - второе.</w:t>
      </w:r>
    </w:p>
    <w:p w14:paraId="6B0971AC" w14:textId="77777777" w:rsidR="00F1364C" w:rsidRPr="00925F26" w:rsidRDefault="00F1364C" w:rsidP="00925F26">
      <w:pPr>
        <w:jc w:val="both"/>
        <w:rPr>
          <w:color w:val="000000" w:themeColor="text1"/>
          <w:sz w:val="16"/>
          <w:szCs w:val="16"/>
        </w:rPr>
      </w:pPr>
      <w:r w:rsidRPr="00925F26">
        <w:rPr>
          <w:color w:val="000000" w:themeColor="text1"/>
          <w:sz w:val="16"/>
          <w:szCs w:val="16"/>
        </w:rPr>
        <w:t>Внедряется на заводе почин тов. Агаркова.</w:t>
      </w:r>
    </w:p>
    <w:p w14:paraId="645AD436" w14:textId="77777777" w:rsidR="00F1364C" w:rsidRPr="00925F26" w:rsidRDefault="00F1364C" w:rsidP="00925F26">
      <w:pPr>
        <w:jc w:val="both"/>
        <w:rPr>
          <w:color w:val="000000" w:themeColor="text1"/>
          <w:sz w:val="16"/>
          <w:szCs w:val="16"/>
        </w:rPr>
      </w:pPr>
      <w:r w:rsidRPr="00925F26">
        <w:rPr>
          <w:color w:val="000000" w:themeColor="text1"/>
          <w:sz w:val="16"/>
          <w:szCs w:val="16"/>
        </w:rPr>
        <w:t>Ряд цехов завода занимал первые и вторые места в соцсоревновании по городу.</w:t>
      </w:r>
    </w:p>
    <w:p w14:paraId="0B8BF7DC" w14:textId="77777777" w:rsidR="00F1364C" w:rsidRPr="00925F26" w:rsidRDefault="00F1364C" w:rsidP="00925F26">
      <w:pPr>
        <w:jc w:val="both"/>
        <w:rPr>
          <w:color w:val="000000" w:themeColor="text1"/>
          <w:sz w:val="16"/>
          <w:szCs w:val="16"/>
        </w:rPr>
      </w:pPr>
      <w:r w:rsidRPr="00925F26">
        <w:rPr>
          <w:color w:val="000000" w:themeColor="text1"/>
          <w:sz w:val="16"/>
          <w:szCs w:val="16"/>
        </w:rPr>
        <w:t>Задание по производительности труда рабочих заводу было повышено до 102,5% по сравнению с 1943 годом. Это повышенное задание завод выполнил на 104,5%, доведя производительность труда в четвертом квартале до 108,7% к плану.</w:t>
      </w:r>
    </w:p>
    <w:p w14:paraId="13B0570A" w14:textId="77777777" w:rsidR="00F1364C" w:rsidRPr="00925F26" w:rsidRDefault="00F1364C" w:rsidP="00925F26">
      <w:pPr>
        <w:jc w:val="both"/>
        <w:rPr>
          <w:color w:val="000000" w:themeColor="text1"/>
          <w:sz w:val="16"/>
          <w:szCs w:val="16"/>
        </w:rPr>
      </w:pPr>
      <w:r w:rsidRPr="00925F26">
        <w:rPr>
          <w:color w:val="000000" w:themeColor="text1"/>
          <w:sz w:val="16"/>
          <w:szCs w:val="16"/>
        </w:rPr>
        <w:t>При пониженном против плана числе рабочих (93,4%) завод выполнил план по товарной продукции на 100,6% и по валовой продукции на 97,6%.</w:t>
      </w:r>
    </w:p>
    <w:p w14:paraId="6F07E33C" w14:textId="77777777" w:rsidR="00F1364C" w:rsidRPr="00925F26" w:rsidRDefault="00F1364C" w:rsidP="00925F26">
      <w:pPr>
        <w:jc w:val="both"/>
        <w:rPr>
          <w:color w:val="000000" w:themeColor="text1"/>
          <w:sz w:val="16"/>
          <w:szCs w:val="16"/>
        </w:rPr>
      </w:pPr>
      <w:r w:rsidRPr="00925F26">
        <w:rPr>
          <w:color w:val="000000" w:themeColor="text1"/>
          <w:sz w:val="16"/>
          <w:szCs w:val="16"/>
        </w:rPr>
        <w:t>Задание по снижению коммерческой себестоимости сравнимой продукции заводом перевыполнено на 2,71%. Завод дал за год сверхплановой прибыли от производства 16066 тыс. руб., а всей прибыли 29114 тыс. руб.</w:t>
      </w:r>
    </w:p>
    <w:p w14:paraId="1CA57560" w14:textId="77777777" w:rsidR="00F1364C" w:rsidRPr="00925F26" w:rsidRDefault="00F1364C" w:rsidP="00925F26">
      <w:pPr>
        <w:jc w:val="both"/>
        <w:rPr>
          <w:color w:val="000000" w:themeColor="text1"/>
          <w:sz w:val="16"/>
          <w:szCs w:val="16"/>
        </w:rPr>
      </w:pPr>
      <w:r w:rsidRPr="00925F26">
        <w:rPr>
          <w:color w:val="000000" w:themeColor="text1"/>
          <w:sz w:val="16"/>
          <w:szCs w:val="16"/>
        </w:rPr>
        <w:t xml:space="preserve">За год завод сэкономил 4882 тыс. </w:t>
      </w:r>
      <w:proofErr w:type="gramStart"/>
      <w:r w:rsidRPr="00925F26">
        <w:rPr>
          <w:color w:val="000000" w:themeColor="text1"/>
          <w:sz w:val="16"/>
          <w:szCs w:val="16"/>
        </w:rPr>
        <w:t>квт.часов</w:t>
      </w:r>
      <w:proofErr w:type="gramEnd"/>
      <w:r w:rsidRPr="00925F26">
        <w:rPr>
          <w:color w:val="000000" w:themeColor="text1"/>
          <w:sz w:val="16"/>
          <w:szCs w:val="16"/>
        </w:rPr>
        <w:t xml:space="preserve"> электроэнергии, 11129 тонн пара; возврат конденсата доведен до 72%.</w:t>
      </w:r>
    </w:p>
    <w:p w14:paraId="1294B207" w14:textId="77777777" w:rsidR="00F1364C" w:rsidRPr="00925F26" w:rsidRDefault="00F1364C" w:rsidP="00925F26">
      <w:pPr>
        <w:jc w:val="both"/>
        <w:rPr>
          <w:color w:val="000000" w:themeColor="text1"/>
          <w:sz w:val="16"/>
          <w:szCs w:val="16"/>
        </w:rPr>
      </w:pPr>
      <w:r w:rsidRPr="00925F26">
        <w:rPr>
          <w:color w:val="000000" w:themeColor="text1"/>
          <w:sz w:val="16"/>
          <w:szCs w:val="16"/>
        </w:rPr>
        <w:t>К новому хозяйственному году завод пришел снова победителем в соцсоревновании. За работу в декабре завод вновь получил переходящее Красное Знамя ГКО...</w:t>
      </w:r>
    </w:p>
    <w:p w14:paraId="6D7E7B53" w14:textId="77777777" w:rsidR="00F1364C" w:rsidRPr="00925F26" w:rsidRDefault="00F1364C"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P-3454. On. 1. </w:t>
      </w:r>
      <w:r w:rsidRPr="00925F26">
        <w:rPr>
          <w:color w:val="000000" w:themeColor="text1"/>
          <w:sz w:val="16"/>
          <w:szCs w:val="16"/>
        </w:rPr>
        <w:t>Д</w:t>
      </w:r>
      <w:r w:rsidRPr="00925F26">
        <w:rPr>
          <w:color w:val="000000" w:themeColor="text1"/>
          <w:sz w:val="16"/>
          <w:szCs w:val="16"/>
          <w:lang w:val="en-US"/>
        </w:rPr>
        <w:t xml:space="preserve">. 43. </w:t>
      </w:r>
      <w:r w:rsidRPr="00925F26">
        <w:rPr>
          <w:color w:val="000000" w:themeColor="text1"/>
          <w:sz w:val="16"/>
          <w:szCs w:val="16"/>
        </w:rPr>
        <w:t>Л</w:t>
      </w:r>
      <w:r w:rsidRPr="00925F26">
        <w:rPr>
          <w:color w:val="000000" w:themeColor="text1"/>
          <w:sz w:val="16"/>
          <w:szCs w:val="16"/>
          <w:lang w:val="en-US"/>
        </w:rPr>
        <w:t xml:space="preserve">. 4-5. </w:t>
      </w:r>
      <w:r w:rsidRPr="00925F26">
        <w:rPr>
          <w:color w:val="000000" w:themeColor="text1"/>
          <w:sz w:val="16"/>
          <w:szCs w:val="16"/>
        </w:rPr>
        <w:t>Подлинник (20516).</w:t>
      </w:r>
    </w:p>
    <w:p w14:paraId="284E159E" w14:textId="77777777" w:rsidR="00F1364C" w:rsidRPr="00925F26" w:rsidRDefault="00F1364C" w:rsidP="00925F26">
      <w:pPr>
        <w:jc w:val="both"/>
        <w:rPr>
          <w:color w:val="000000" w:themeColor="text1"/>
          <w:sz w:val="16"/>
          <w:szCs w:val="16"/>
        </w:rPr>
      </w:pPr>
    </w:p>
    <w:p w14:paraId="3B6D3DC5" w14:textId="77777777" w:rsidR="00F1364C" w:rsidRPr="00925F26" w:rsidRDefault="00F1364C"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lastRenderedPageBreak/>
        <w:t>До января 1945 г. доводился опытный Су-6 АМ-42, но в связи с закрытием всех работ по нему в ГК НИИ ВВС решили официально прекратить и государственные испытания машины с оформлением отчета «за про</w:t>
      </w:r>
      <w:r w:rsidRPr="00925F26">
        <w:rPr>
          <w:rFonts w:ascii="Times New Roman" w:hAnsi="Times New Roman"/>
          <w:color w:val="000000" w:themeColor="text1"/>
          <w:sz w:val="16"/>
          <w:szCs w:val="16"/>
        </w:rPr>
        <w:softHyphen/>
        <w:t>веденную часть испытательной работы».</w:t>
      </w:r>
    </w:p>
    <w:p w14:paraId="68E781E2" w14:textId="77777777" w:rsidR="00F1364C" w:rsidRPr="00925F26" w:rsidRDefault="00F1364C"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 заключении отчета констатирова</w:t>
      </w:r>
      <w:r w:rsidRPr="00925F26">
        <w:rPr>
          <w:rFonts w:ascii="Times New Roman" w:hAnsi="Times New Roman"/>
          <w:color w:val="000000" w:themeColor="text1"/>
          <w:sz w:val="16"/>
          <w:szCs w:val="16"/>
        </w:rPr>
        <w:softHyphen/>
        <w:t>лось:</w:t>
      </w:r>
    </w:p>
    <w:p w14:paraId="146EBAB5" w14:textId="77777777" w:rsidR="00F1364C" w:rsidRPr="00925F26" w:rsidRDefault="00F1364C"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«1) Опытный 2-х местный брониро</w:t>
      </w:r>
      <w:r w:rsidRPr="00925F26">
        <w:rPr>
          <w:rFonts w:ascii="Times New Roman" w:hAnsi="Times New Roman" w:cs="Times New Roman"/>
          <w:b w:val="0"/>
          <w:bCs w:val="0"/>
          <w:color w:val="000000" w:themeColor="text1"/>
          <w:sz w:val="16"/>
          <w:szCs w:val="16"/>
        </w:rPr>
        <w:softHyphen/>
        <w:t>ванный штурмовик Су-6 с АМ-42 и винтом АВ-9л-172 конструкции т. Сухого по своим летным данным, технике пилотирования и управляемости уступает запущенному в серийное производство самолету Ил-10 с АМ-42 конструкции тов. Ильюшина.</w:t>
      </w:r>
    </w:p>
    <w:p w14:paraId="76FD720A" w14:textId="77777777" w:rsidR="00F1364C" w:rsidRPr="00925F26" w:rsidRDefault="00F1364C"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2) Запуск Су-6 с АМ-42 в серийное про</w:t>
      </w:r>
      <w:r w:rsidRPr="00925F26">
        <w:rPr>
          <w:rFonts w:ascii="Times New Roman" w:hAnsi="Times New Roman" w:cs="Times New Roman"/>
          <w:b w:val="0"/>
          <w:bCs w:val="0"/>
          <w:color w:val="000000" w:themeColor="text1"/>
          <w:sz w:val="16"/>
          <w:szCs w:val="16"/>
        </w:rPr>
        <w:softHyphen/>
        <w:t>изводство считать нецелесообразным».</w:t>
      </w:r>
    </w:p>
    <w:p w14:paraId="740CE3FD" w14:textId="77777777" w:rsidR="00F1364C" w:rsidRPr="00925F26" w:rsidRDefault="00F1364C"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Материалы отчета и заключение под</w:t>
      </w:r>
      <w:r w:rsidRPr="00925F26">
        <w:rPr>
          <w:rFonts w:ascii="Times New Roman" w:hAnsi="Times New Roman"/>
          <w:color w:val="000000" w:themeColor="text1"/>
          <w:sz w:val="16"/>
          <w:szCs w:val="16"/>
        </w:rPr>
        <w:softHyphen/>
        <w:t>писали: начальник 1-го Управления ГК НИИ ВВС генерал-майор Сафронов и на</w:t>
      </w:r>
      <w:r w:rsidRPr="00925F26">
        <w:rPr>
          <w:rFonts w:ascii="Times New Roman" w:hAnsi="Times New Roman"/>
          <w:color w:val="000000" w:themeColor="text1"/>
          <w:sz w:val="16"/>
          <w:szCs w:val="16"/>
        </w:rPr>
        <w:softHyphen/>
        <w:t>чальник 5-го отдела 1-го Управления ин</w:t>
      </w:r>
      <w:r w:rsidRPr="00925F26">
        <w:rPr>
          <w:rFonts w:ascii="Times New Roman" w:hAnsi="Times New Roman"/>
          <w:color w:val="000000" w:themeColor="text1"/>
          <w:sz w:val="16"/>
          <w:szCs w:val="16"/>
        </w:rPr>
        <w:softHyphen/>
        <w:t>женер-подполковник Холопов.</w:t>
      </w:r>
    </w:p>
    <w:p w14:paraId="2D935294" w14:textId="77777777" w:rsidR="00F1364C" w:rsidRPr="00925F26" w:rsidRDefault="00F1364C"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Начальник института генерал-лейтенант Лосюков утвердил отчет 2 февраля, вычеркнув при этом п.2 Заключения.</w:t>
      </w:r>
    </w:p>
    <w:p w14:paraId="07D3C060" w14:textId="77777777" w:rsidR="00F1364C" w:rsidRPr="00925F26" w:rsidRDefault="00F1364C"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Отметим, что за создание двух</w:t>
      </w:r>
      <w:r w:rsidRPr="00925F26">
        <w:rPr>
          <w:rFonts w:ascii="Times New Roman" w:hAnsi="Times New Roman"/>
          <w:color w:val="000000" w:themeColor="text1"/>
          <w:sz w:val="16"/>
          <w:szCs w:val="16"/>
        </w:rPr>
        <w:softHyphen/>
        <w:t>местного штурмовика Су-6 М-71ф глав</w:t>
      </w:r>
      <w:r w:rsidRPr="00925F26">
        <w:rPr>
          <w:rFonts w:ascii="Times New Roman" w:hAnsi="Times New Roman"/>
          <w:color w:val="000000" w:themeColor="text1"/>
          <w:sz w:val="16"/>
          <w:szCs w:val="16"/>
        </w:rPr>
        <w:softHyphen/>
        <w:t>ный конструктор самолета П.О. Сухой в 1943 г. был удостоен Сталинской премии 1-й степени, которую он передал в Фонд обороны (19853).</w:t>
      </w:r>
    </w:p>
    <w:p w14:paraId="6187D6B9" w14:textId="77777777" w:rsidR="00F1364C" w:rsidRPr="00925F26" w:rsidRDefault="00F1364C" w:rsidP="00925F26">
      <w:pPr>
        <w:pStyle w:val="76"/>
        <w:shd w:val="clear" w:color="auto" w:fill="auto"/>
        <w:spacing w:line="240" w:lineRule="auto"/>
        <w:ind w:firstLine="0"/>
        <w:jc w:val="both"/>
        <w:rPr>
          <w:rFonts w:ascii="Times New Roman" w:hAnsi="Times New Roman"/>
          <w:color w:val="000000" w:themeColor="text1"/>
          <w:sz w:val="16"/>
          <w:szCs w:val="16"/>
        </w:rPr>
      </w:pPr>
    </w:p>
    <w:p w14:paraId="46517F9F" w14:textId="77777777" w:rsidR="00F5318A" w:rsidRPr="001A0BAA" w:rsidRDefault="00F5318A" w:rsidP="00F5318A">
      <w:pPr>
        <w:jc w:val="both"/>
        <w:rPr>
          <w:color w:val="0070C0"/>
          <w:sz w:val="16"/>
          <w:szCs w:val="16"/>
        </w:rPr>
      </w:pPr>
      <w:r w:rsidRPr="001A0BAA">
        <w:rPr>
          <w:color w:val="0070C0"/>
          <w:sz w:val="16"/>
          <w:szCs w:val="16"/>
        </w:rPr>
        <w:t>В январе 1945 года летчик-испытатель Комаров выполнил первый полет на Су-7. Су-7</w:t>
      </w:r>
      <w:r w:rsidRPr="001A0BAA">
        <w:rPr>
          <w:b/>
          <w:bCs/>
          <w:color w:val="0070C0"/>
          <w:sz w:val="16"/>
          <w:szCs w:val="16"/>
        </w:rPr>
        <w:t xml:space="preserve"> </w:t>
      </w:r>
      <w:r w:rsidRPr="001A0BAA">
        <w:rPr>
          <w:color w:val="0070C0"/>
          <w:sz w:val="16"/>
          <w:szCs w:val="16"/>
        </w:rPr>
        <w:t>(первый с этим названием) - опытный (а по сути дела экспериментальный) истребитель-перехватчик, модификация штурмовика Су-6 одноместного, но без бронекоробки, с теми же контурами и размерами. Силовая установка - комбинированная: двигатель - АШ-82ФН с двумя турбокомпрессорами ТАК-3 и ракетным ускорителем РД-1-Х3 В.П.Глушко. Тяга его - 300 кгс при расходе топлива (керосин и азотная кислота) 1,6 кг/с. РД устанавливался в крайней хвостовой части фюзеляжа, горючее - за кабиной летчика. Полетная масса стала 4360 кг. Вооружение: три пушки калибра 20 мм (370 снарядов).</w:t>
      </w:r>
    </w:p>
    <w:p w14:paraId="3F99C9C8" w14:textId="77777777" w:rsidR="00F5318A" w:rsidRPr="001A0BAA" w:rsidRDefault="00F5318A" w:rsidP="00F5318A">
      <w:pPr>
        <w:jc w:val="both"/>
        <w:rPr>
          <w:color w:val="0070C0"/>
          <w:sz w:val="16"/>
          <w:szCs w:val="16"/>
        </w:rPr>
      </w:pPr>
      <w:r w:rsidRPr="001A0BAA">
        <w:rPr>
          <w:color w:val="0070C0"/>
          <w:sz w:val="16"/>
          <w:szCs w:val="16"/>
        </w:rPr>
        <w:t>Скорость максимальная у земли была получена 480 км/ч, на высоте 7500 м - 590 км/ч без ЖРД и 680 км/ч с ЖРД и на высоте 12000 м - соответственно 510 и 705 км/ч, потолок практический - 12750 м. Продолжительность непрерывной работы ЖРД была около 4 мин, длина разбега с ним - около 300 м. Летные испытания тормозились сильным факелением выхлопных патрубков, приводящим к обгоранию краски на бортах фюзеляжа. Все попытки устранить это явление оказались безуспешными, и в конце-концов турбокомпрессоры отключили от выхлопной системы. Ко второму этапу испытаний приступили 18 февраля, он продолжался до середины декабря. Испытания выявили ненадежность двигателей РД-1 и небезопасность их эксплуатации. В декабре 1945 года решением 18-го ГУ НКАП работы по самолету были прекращены (24925).</w:t>
      </w:r>
    </w:p>
    <w:p w14:paraId="09DEE164" w14:textId="77777777" w:rsidR="00F5318A" w:rsidRPr="001A0BAA" w:rsidRDefault="00F5318A" w:rsidP="00F5318A">
      <w:pPr>
        <w:jc w:val="both"/>
        <w:rPr>
          <w:color w:val="0070C0"/>
          <w:sz w:val="16"/>
          <w:szCs w:val="16"/>
        </w:rPr>
      </w:pPr>
    </w:p>
    <w:p w14:paraId="446444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вышел отчет о заводских испытаниях Пе-2 с ВК-105ПФ N 11/427. Макс. скорость 474 км/час у земли и 528 км/час на 3700 м (1880,167).</w:t>
      </w:r>
    </w:p>
    <w:p w14:paraId="5597BD39" w14:textId="77777777" w:rsidR="00C2313B" w:rsidRPr="00925F26" w:rsidRDefault="00C2313B" w:rsidP="00925F26">
      <w:pPr>
        <w:autoSpaceDE w:val="0"/>
        <w:autoSpaceDN w:val="0"/>
        <w:adjustRightInd w:val="0"/>
        <w:jc w:val="both"/>
        <w:rPr>
          <w:color w:val="000000" w:themeColor="text1"/>
          <w:sz w:val="16"/>
          <w:szCs w:val="16"/>
        </w:rPr>
      </w:pPr>
    </w:p>
    <w:p w14:paraId="394315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Мясищев жаловался в письменной форме Окулову на то, что «к 15 октября 1944 г. завод должен был построить и передать на войсковые испытания пять Пе-2И, но не выпущено ни одного. Состояние производства очень плохое. В цехе окончательной сборки всего один самолет, без капотов, коков винтов и т.д. По заделам на остальных четырех машинах работы практически не ведутся» (12049).</w:t>
      </w:r>
    </w:p>
    <w:p w14:paraId="5DAA972D" w14:textId="77777777" w:rsidR="00C2313B" w:rsidRPr="00925F26" w:rsidRDefault="00C2313B" w:rsidP="00925F26">
      <w:pPr>
        <w:autoSpaceDE w:val="0"/>
        <w:autoSpaceDN w:val="0"/>
        <w:adjustRightInd w:val="0"/>
        <w:jc w:val="both"/>
        <w:rPr>
          <w:color w:val="000000" w:themeColor="text1"/>
          <w:sz w:val="16"/>
          <w:szCs w:val="16"/>
        </w:rPr>
      </w:pPr>
    </w:p>
    <w:p w14:paraId="747675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вышел приказ НКАП: «передать из Казани в ЛИИ для испытаний Пе-8 № 42047 с 10Х и Пе-2 с реактивным двигателем Челомея (видимо речь идет о летающем стенде Пе-2 с двигателем от ФАУ-1 на задней части фюзеляжа - авт.)». Относительно крылатых ракет: в апреле в приказе НКАП отмечалось, что «первые 6 изделий (10Х) с завода № 456 отправлены заказчику с производственными дефектами» (12049).</w:t>
      </w:r>
    </w:p>
    <w:p w14:paraId="7F8CA5D7" w14:textId="77777777" w:rsidR="00C2313B" w:rsidRPr="00925F26" w:rsidRDefault="00C2313B" w:rsidP="00925F26">
      <w:pPr>
        <w:autoSpaceDE w:val="0"/>
        <w:autoSpaceDN w:val="0"/>
        <w:adjustRightInd w:val="0"/>
        <w:jc w:val="both"/>
        <w:rPr>
          <w:color w:val="000000" w:themeColor="text1"/>
          <w:sz w:val="16"/>
          <w:szCs w:val="16"/>
        </w:rPr>
      </w:pPr>
    </w:p>
    <w:p w14:paraId="51C314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А.И.Ш. писал И.В.С.:</w:t>
      </w:r>
    </w:p>
    <w:p w14:paraId="43E432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"Первые 50 Ер-2, выпущенных с АЧ-30Б первых серий, м.б. использованы для учебно-тренировочных полетов... не первое время в радиусе действия до 500 км.</w:t>
      </w:r>
    </w:p>
    <w:p w14:paraId="2465B5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 остальные самолеты могут быть использованы без ограничений в соответствии с ТТД... Для перевооружения на Ер-2 выделяется 8ГАД (командир В.Г.Тихонов) в составе 327, 329, 332 (а т. 328) ап. Первый полк этой дивизии будет подготовлен к 15 марта, второй - к 15 апреля, а дивизия в целом - к 15 мая 1945." (2865,11).</w:t>
      </w:r>
    </w:p>
    <w:p w14:paraId="6CFD3272" w14:textId="77777777" w:rsidR="00C2313B" w:rsidRPr="00925F26" w:rsidRDefault="00C2313B" w:rsidP="00925F26">
      <w:pPr>
        <w:autoSpaceDE w:val="0"/>
        <w:autoSpaceDN w:val="0"/>
        <w:adjustRightInd w:val="0"/>
        <w:jc w:val="both"/>
        <w:rPr>
          <w:color w:val="000000" w:themeColor="text1"/>
          <w:sz w:val="16"/>
          <w:szCs w:val="16"/>
        </w:rPr>
      </w:pPr>
    </w:p>
    <w:p w14:paraId="4885349A" w14:textId="77777777" w:rsidR="00BC1830" w:rsidRPr="00925F26" w:rsidRDefault="00BC1830" w:rsidP="00925F26">
      <w:pPr>
        <w:shd w:val="clear" w:color="auto" w:fill="FFFFFF"/>
        <w:jc w:val="both"/>
        <w:rPr>
          <w:color w:val="000000" w:themeColor="text1"/>
          <w:sz w:val="16"/>
          <w:szCs w:val="16"/>
        </w:rPr>
      </w:pPr>
      <w:r w:rsidRPr="00925F26">
        <w:rPr>
          <w:color w:val="000000" w:themeColor="text1"/>
          <w:sz w:val="16"/>
          <w:szCs w:val="16"/>
        </w:rPr>
        <w:t>В январе 1945 года первый Ер-2ОН был передан аэродромному цеху. Ответственным за проведение заводских летных испытаний по утвержденной программе ОКБ был назначен начальник аэродромного цеха Н.И. Лениц. Завершить испытания планировались выполнить за 15 рабочих дней. Ведущим инженером по испытаниям назначается Л.М. Малышев, предполетное и послеполетное обслуживание возлагается на бригаду бортмеханика Д.Е. Токарева. Испытания головной машины Ер-2ОН прошли успешно. Был отработан весь предусмотренный комплекс наземных и летных испытаний, выполнено несколько полетов на дальность. В начале апреля самолет приготовили к беспосадочному перелету Иркутск – Москва (аэродром Тушино). Разрешение на его выполнение В.Г. Ермолаевым было получено у Наркома А.И.Шахурина еще в конце ноября 1944 года (15223).</w:t>
      </w:r>
    </w:p>
    <w:p w14:paraId="393FD515" w14:textId="77777777" w:rsidR="00BC1830" w:rsidRPr="00925F26" w:rsidRDefault="00BC1830" w:rsidP="00925F26">
      <w:pPr>
        <w:shd w:val="clear" w:color="auto" w:fill="FFFFFF"/>
        <w:jc w:val="both"/>
        <w:rPr>
          <w:color w:val="000000" w:themeColor="text1"/>
          <w:sz w:val="16"/>
          <w:szCs w:val="16"/>
        </w:rPr>
      </w:pPr>
    </w:p>
    <w:p w14:paraId="60DE58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Павел Осипович сообщал Шахурину:</w:t>
      </w:r>
    </w:p>
    <w:p w14:paraId="4CE2DB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"Основными дефектами Ер-2 являются большой разбег и малый вес, допускающий полет на одном моторе. Рассмотрение причин, обуславливающих эти недостатки, приводит к заключению, что крыло самолета имеет недостаточную подъемную силу, благодаря малонесущей дужке (профилю крыла. - Прим. авт.) и наличия срыва потока при входе и выходе из туннелей водо- и маслора- диаторов, а также в месте образования диффузора (потока обтекания. - Прим. авт.) на верхней поверхности крыла благодаря "обратной чайке".</w:t>
      </w:r>
    </w:p>
    <w:p w14:paraId="361A25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Устранение последнего дефекта возможно в дальнейшем при более глубокой модификации. В данный момент увеличение подъемной силы предложено произвести за счет улучшения входа и выхода в туннелях водорадиаторов, переноса водо- и маслорадиаторов в мотогондолу, модификации носика дужки отъемной и концевой частей крыла.</w:t>
      </w:r>
    </w:p>
    <w:p w14:paraId="241B77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будет проведено улучшение обтекания выступающих в поток частей самолета и его герметизация. В результате указанных мероприятий и установки форсированных моторов и флюгерных винтов надо ожидать улучшения летных качеств самолета Ер-2...</w:t>
      </w:r>
    </w:p>
    <w:p w14:paraId="4CB247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предлагаю увеличить скорость самолета с 420 до 470 км/ч, полетный вес на одном моторе с 12 500 до 14 500 кг и уменьшить разбег с 720 до 550 м.</w:t>
      </w:r>
    </w:p>
    <w:p w14:paraId="6E7FDBA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целесообразности предложенных изменений будет произведена натурная продувка в трубе № 100 (Т-101) и на самолете № 11 будут проведены все изменения, с таким расчетом, чтобы в первой половине марта начать летные испытания модифицированного самолета. Соображения по более глубокой модификации, обеспечивающей дальнейшее улучшение летных качеств, будут мною доложены Вам немедленно по окончании проработки проекта".</w:t>
      </w:r>
    </w:p>
    <w:p w14:paraId="3A1B22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резолюции Шахурина отмечалось: "Это очень важные и интересные предложения, их нужно быстрее реализовать. Предварительно нужно провести продувки в трубе и не обязательно связываться с форсированными моторами" (11994).</w:t>
      </w:r>
    </w:p>
    <w:p w14:paraId="3E07CAF0" w14:textId="77777777" w:rsidR="00C2313B" w:rsidRPr="00925F26" w:rsidRDefault="00C2313B" w:rsidP="00925F26">
      <w:pPr>
        <w:autoSpaceDE w:val="0"/>
        <w:autoSpaceDN w:val="0"/>
        <w:adjustRightInd w:val="0"/>
        <w:jc w:val="both"/>
        <w:rPr>
          <w:color w:val="000000" w:themeColor="text1"/>
          <w:sz w:val="16"/>
          <w:szCs w:val="16"/>
        </w:rPr>
      </w:pPr>
    </w:p>
    <w:p w14:paraId="4C0140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по решению наркомата, согласованному с командованием АДД, завод N 39 был обязан изготовить и сдать на гос. испытания в НИИ ВВС два эталонных Ер-2 с изменениями, внесенными главным конструктором, и устраненными дефектами. В качестве таковых были выделены самолеты зав. NN 7103901 и 7103902. Однако внезапная смерть Ермолаева и неразбериха, возникшая в связи с ней, позволили директору Абрамову по-тихому "замотать" указание НКАП (3322,42).</w:t>
      </w:r>
    </w:p>
    <w:p w14:paraId="671D6D8C" w14:textId="77777777" w:rsidR="00C2313B" w:rsidRPr="00925F26" w:rsidRDefault="00C2313B" w:rsidP="00925F26">
      <w:pPr>
        <w:autoSpaceDE w:val="0"/>
        <w:autoSpaceDN w:val="0"/>
        <w:adjustRightInd w:val="0"/>
        <w:jc w:val="both"/>
        <w:rPr>
          <w:color w:val="000000" w:themeColor="text1"/>
          <w:sz w:val="16"/>
          <w:szCs w:val="16"/>
        </w:rPr>
      </w:pPr>
    </w:p>
    <w:p w14:paraId="6F007A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самолет "63" с АМ-39Ф начал проходить и показал при этом высокие летные данные, но ставка была сделана на самолет "68" (9032).</w:t>
      </w:r>
    </w:p>
    <w:p w14:paraId="006307D9" w14:textId="77777777" w:rsidR="00C2313B" w:rsidRPr="00925F26" w:rsidRDefault="00C2313B" w:rsidP="00925F26">
      <w:pPr>
        <w:autoSpaceDE w:val="0"/>
        <w:autoSpaceDN w:val="0"/>
        <w:adjustRightInd w:val="0"/>
        <w:jc w:val="both"/>
        <w:rPr>
          <w:color w:val="000000" w:themeColor="text1"/>
          <w:sz w:val="16"/>
          <w:szCs w:val="16"/>
        </w:rPr>
      </w:pPr>
    </w:p>
    <w:p w14:paraId="7230BD0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проходили официальные заводские испытания АМ-39ФН (ФНВ). Летом того же года моторы испытывались на бомбардиров</w:t>
      </w:r>
      <w:r w:rsidRPr="00925F26">
        <w:rPr>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925F26">
        <w:rPr>
          <w:color w:val="000000" w:themeColor="text1"/>
          <w:sz w:val="16"/>
          <w:szCs w:val="16"/>
        </w:rPr>
        <w:softHyphen/>
        <w:t>сматривалось проектом самолета СПС (11852).</w:t>
      </w:r>
    </w:p>
    <w:p w14:paraId="52D00A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225887A" w14:textId="77777777" w:rsidR="00A96EA6" w:rsidRPr="00925F26" w:rsidRDefault="00A96EA6" w:rsidP="00925F26">
      <w:pPr>
        <w:tabs>
          <w:tab w:val="left" w:pos="2372"/>
        </w:tabs>
        <w:jc w:val="both"/>
        <w:rPr>
          <w:color w:val="000000" w:themeColor="text1"/>
          <w:sz w:val="16"/>
          <w:szCs w:val="16"/>
        </w:rPr>
      </w:pPr>
      <w:r w:rsidRPr="00925F26">
        <w:rPr>
          <w:color w:val="000000" w:themeColor="text1"/>
          <w:sz w:val="16"/>
          <w:szCs w:val="16"/>
        </w:rPr>
        <w:t>В период с января по конец февраля 1945 года проводились испытания на заводе №22 Пе-8ОН. Испытания проводил экипаж в составе ведущего летчика-испытателя Б.Г.Говорова, второго летчика Н.Н.Аржанова, ведущего инженера АА.Янукьяна, ведущего бортмеханика А. П. 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44F15A48" w14:textId="77777777" w:rsidR="00A96EA6" w:rsidRPr="00925F26" w:rsidRDefault="00A96EA6" w:rsidP="00925F26">
      <w:pPr>
        <w:jc w:val="both"/>
        <w:rPr>
          <w:color w:val="000000" w:themeColor="text1"/>
          <w:sz w:val="16"/>
          <w:szCs w:val="16"/>
        </w:rPr>
      </w:pPr>
      <w:r w:rsidRPr="00925F26">
        <w:rPr>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7A214B34" w14:textId="77777777" w:rsidR="00A96EA6" w:rsidRPr="00925F26" w:rsidRDefault="00A96EA6" w:rsidP="00925F26">
      <w:pPr>
        <w:jc w:val="both"/>
        <w:rPr>
          <w:color w:val="000000" w:themeColor="text1"/>
          <w:sz w:val="16"/>
          <w:szCs w:val="16"/>
        </w:rPr>
      </w:pPr>
      <w:r w:rsidRPr="00925F26">
        <w:rPr>
          <w:color w:val="000000" w:themeColor="text1"/>
          <w:sz w:val="16"/>
          <w:szCs w:val="16"/>
        </w:rPr>
        <w:t xml:space="preserve">Отмечалось, что АЧ-ЗОБ работали в полетах удовлетворительно. Наблюдалось выбивание масла </w:t>
      </w:r>
      <w:proofErr w:type="gramStart"/>
      <w:r w:rsidRPr="00925F26">
        <w:rPr>
          <w:color w:val="000000" w:themeColor="text1"/>
          <w:sz w:val="16"/>
          <w:szCs w:val="16"/>
        </w:rPr>
        <w:t>через суфлер</w:t>
      </w:r>
      <w:proofErr w:type="gramEnd"/>
      <w:r w:rsidRPr="00925F26">
        <w:rPr>
          <w:color w:val="000000" w:themeColor="text1"/>
          <w:sz w:val="16"/>
          <w:szCs w:val="16"/>
        </w:rPr>
        <w:t xml:space="preserve">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w:t>
      </w:r>
      <w:r w:rsidRPr="00925F26">
        <w:rPr>
          <w:color w:val="000000" w:themeColor="text1"/>
          <w:sz w:val="16"/>
          <w:szCs w:val="16"/>
        </w:rPr>
        <w:lastRenderedPageBreak/>
        <w:t>пассажирские салоны. В результате заводских испытаний первой машины Пе-80Н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6A4EFBEE" w14:textId="77777777" w:rsidR="00A96EA6" w:rsidRPr="00925F26" w:rsidRDefault="00A96EA6" w:rsidP="00925F26">
      <w:pPr>
        <w:jc w:val="both"/>
        <w:rPr>
          <w:color w:val="000000" w:themeColor="text1"/>
          <w:sz w:val="16"/>
          <w:szCs w:val="16"/>
        </w:rPr>
      </w:pPr>
      <w:r w:rsidRPr="00925F26">
        <w:rPr>
          <w:color w:val="000000" w:themeColor="text1"/>
          <w:sz w:val="16"/>
          <w:szCs w:val="16"/>
        </w:rPr>
        <w:t>С двигателями АЧ-ЗОБ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w:t>
      </w:r>
    </w:p>
    <w:p w14:paraId="7323C4FB" w14:textId="77777777" w:rsidR="00A96EA6" w:rsidRPr="00925F26" w:rsidRDefault="00A96EA6" w:rsidP="00925F26">
      <w:pPr>
        <w:tabs>
          <w:tab w:val="left" w:pos="2513"/>
        </w:tabs>
        <w:jc w:val="both"/>
        <w:rPr>
          <w:color w:val="000000" w:themeColor="text1"/>
          <w:sz w:val="16"/>
          <w:szCs w:val="16"/>
        </w:rPr>
      </w:pPr>
      <w:r w:rsidRPr="00925F26">
        <w:rPr>
          <w:color w:val="000000" w:themeColor="text1"/>
          <w:sz w:val="16"/>
          <w:szCs w:val="16"/>
        </w:rPr>
        <w:t>Пока проходили испытания Пе- 80Н №42612, второй Пе-80Н №42712 заканчивали в производстве. В феврале 1945 года второй самолет начал проходить заводские контрольные испытания. С 25 февраля по 4 марта 1945 года по программе этих испытаний было выполнено три полета, общей продолжительностью 2 ч 50 мин. Испытания проводил тот же самый экипаж, что испытывал первую машину. После их окончания второй Пе-80Н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w:t>
      </w:r>
    </w:p>
    <w:p w14:paraId="3E48C420" w14:textId="77777777" w:rsidR="00A96EA6" w:rsidRPr="00925F26" w:rsidRDefault="00A96EA6" w:rsidP="00925F26">
      <w:pPr>
        <w:jc w:val="both"/>
        <w:rPr>
          <w:color w:val="000000" w:themeColor="text1"/>
          <w:sz w:val="16"/>
          <w:szCs w:val="16"/>
        </w:rPr>
      </w:pPr>
      <w:r w:rsidRPr="00925F26">
        <w:rPr>
          <w:color w:val="000000" w:themeColor="text1"/>
          <w:sz w:val="16"/>
          <w:szCs w:val="16"/>
        </w:rPr>
        <w:t>В этот же день Б. Г Говоров перегнал машину на аэродром ГК НИИ ВВС. Государственные испытания в ГК НИИ ВВС машина проходила до конца мая 1945 года. Самолет испытывал экипаж военных летчиков-испытателей во главе с ведущим летчиком- испытателем В.И.Ждановым (ведущий инженер Панюшкин М.И.</w:t>
      </w:r>
      <w:proofErr w:type="gramStart"/>
      <w:r w:rsidRPr="00925F26">
        <w:rPr>
          <w:color w:val="000000" w:themeColor="text1"/>
          <w:sz w:val="16"/>
          <w:szCs w:val="16"/>
        </w:rPr>
        <w:t>)</w:t>
      </w:r>
      <w:proofErr w:type="gramEnd"/>
      <w:r w:rsidRPr="00925F26">
        <w:rPr>
          <w:color w:val="000000" w:themeColor="text1"/>
          <w:sz w:val="16"/>
          <w:szCs w:val="16"/>
        </w:rPr>
        <w:t xml:space="preserve">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44"/>
        <w:gridCol w:w="2966"/>
      </w:tblGrid>
      <w:tr w:rsidR="000F5689" w:rsidRPr="00925F26" w14:paraId="3E910A6D" w14:textId="77777777" w:rsidTr="009E68E9">
        <w:trPr>
          <w:trHeight w:val="392"/>
        </w:trPr>
        <w:tc>
          <w:tcPr>
            <w:tcW w:w="6444" w:type="dxa"/>
          </w:tcPr>
          <w:p w14:paraId="0898CBAE" w14:textId="77777777" w:rsidR="00A96EA6" w:rsidRPr="00925F26" w:rsidRDefault="00A96EA6" w:rsidP="00925F26">
            <w:pPr>
              <w:jc w:val="both"/>
              <w:rPr>
                <w:color w:val="000000" w:themeColor="text1"/>
                <w:sz w:val="16"/>
                <w:szCs w:val="16"/>
              </w:rPr>
            </w:pPr>
            <w:r w:rsidRPr="00925F26">
              <w:rPr>
                <w:color w:val="000000" w:themeColor="text1"/>
                <w:sz w:val="16"/>
                <w:szCs w:val="16"/>
              </w:rPr>
              <w:t>Масса пустого самолета, кг</w:t>
            </w:r>
          </w:p>
        </w:tc>
        <w:tc>
          <w:tcPr>
            <w:tcW w:w="2966" w:type="dxa"/>
          </w:tcPr>
          <w:p w14:paraId="68CA93B2" w14:textId="77777777" w:rsidR="00A96EA6" w:rsidRPr="00925F26" w:rsidRDefault="00A96EA6" w:rsidP="00925F26">
            <w:pPr>
              <w:jc w:val="both"/>
              <w:rPr>
                <w:color w:val="000000" w:themeColor="text1"/>
                <w:sz w:val="16"/>
                <w:szCs w:val="16"/>
              </w:rPr>
            </w:pPr>
            <w:r w:rsidRPr="00925F26">
              <w:rPr>
                <w:color w:val="000000" w:themeColor="text1"/>
                <w:sz w:val="16"/>
                <w:szCs w:val="16"/>
              </w:rPr>
              <w:t>22864</w:t>
            </w:r>
          </w:p>
        </w:tc>
      </w:tr>
      <w:tr w:rsidR="000F5689" w:rsidRPr="00925F26" w14:paraId="0EF29564" w14:textId="77777777" w:rsidTr="009E68E9">
        <w:trPr>
          <w:trHeight w:val="274"/>
        </w:trPr>
        <w:tc>
          <w:tcPr>
            <w:tcW w:w="6444" w:type="dxa"/>
          </w:tcPr>
          <w:p w14:paraId="5D49CD9D" w14:textId="77777777" w:rsidR="00A96EA6" w:rsidRPr="00925F26" w:rsidRDefault="00A96EA6" w:rsidP="00925F26">
            <w:pPr>
              <w:jc w:val="both"/>
              <w:rPr>
                <w:color w:val="000000" w:themeColor="text1"/>
                <w:sz w:val="16"/>
                <w:szCs w:val="16"/>
              </w:rPr>
            </w:pPr>
            <w:r w:rsidRPr="00925F26">
              <w:rPr>
                <w:color w:val="000000" w:themeColor="text1"/>
                <w:sz w:val="16"/>
                <w:szCs w:val="16"/>
              </w:rPr>
              <w:t>Нормальная полетная масса, кг</w:t>
            </w:r>
          </w:p>
        </w:tc>
        <w:tc>
          <w:tcPr>
            <w:tcW w:w="2966" w:type="dxa"/>
          </w:tcPr>
          <w:p w14:paraId="7361EDF4" w14:textId="77777777" w:rsidR="00A96EA6" w:rsidRPr="00925F26" w:rsidRDefault="00A96EA6" w:rsidP="00925F26">
            <w:pPr>
              <w:jc w:val="both"/>
              <w:rPr>
                <w:color w:val="000000" w:themeColor="text1"/>
                <w:sz w:val="16"/>
                <w:szCs w:val="16"/>
              </w:rPr>
            </w:pPr>
            <w:r w:rsidRPr="00925F26">
              <w:rPr>
                <w:color w:val="000000" w:themeColor="text1"/>
                <w:sz w:val="16"/>
                <w:szCs w:val="16"/>
              </w:rPr>
              <w:t>30000</w:t>
            </w:r>
          </w:p>
        </w:tc>
      </w:tr>
      <w:tr w:rsidR="000F5689" w:rsidRPr="00925F26" w14:paraId="2ACE993F" w14:textId="77777777" w:rsidTr="009E68E9">
        <w:trPr>
          <w:trHeight w:val="274"/>
        </w:trPr>
        <w:tc>
          <w:tcPr>
            <w:tcW w:w="6444" w:type="dxa"/>
          </w:tcPr>
          <w:p w14:paraId="0B59D89A" w14:textId="77777777" w:rsidR="00A96EA6" w:rsidRPr="00925F26" w:rsidRDefault="00A96EA6" w:rsidP="00925F26">
            <w:pPr>
              <w:jc w:val="both"/>
              <w:rPr>
                <w:color w:val="000000" w:themeColor="text1"/>
                <w:sz w:val="16"/>
                <w:szCs w:val="16"/>
              </w:rPr>
            </w:pPr>
            <w:r w:rsidRPr="00925F26">
              <w:rPr>
                <w:color w:val="000000" w:themeColor="text1"/>
                <w:sz w:val="16"/>
                <w:szCs w:val="16"/>
              </w:rPr>
              <w:t>Перегрузочная масса, кг</w:t>
            </w:r>
          </w:p>
        </w:tc>
        <w:tc>
          <w:tcPr>
            <w:tcW w:w="2966" w:type="dxa"/>
          </w:tcPr>
          <w:p w14:paraId="10D73310" w14:textId="77777777" w:rsidR="00A96EA6" w:rsidRPr="00925F26" w:rsidRDefault="00A96EA6" w:rsidP="00925F26">
            <w:pPr>
              <w:jc w:val="both"/>
              <w:rPr>
                <w:color w:val="000000" w:themeColor="text1"/>
                <w:sz w:val="16"/>
                <w:szCs w:val="16"/>
              </w:rPr>
            </w:pPr>
            <w:r w:rsidRPr="00925F26">
              <w:rPr>
                <w:color w:val="000000" w:themeColor="text1"/>
                <w:sz w:val="16"/>
                <w:szCs w:val="16"/>
              </w:rPr>
              <w:t>35500</w:t>
            </w:r>
          </w:p>
        </w:tc>
      </w:tr>
      <w:tr w:rsidR="000F5689" w:rsidRPr="00925F26" w14:paraId="7868B9FB" w14:textId="77777777" w:rsidTr="009E68E9">
        <w:trPr>
          <w:trHeight w:val="259"/>
        </w:trPr>
        <w:tc>
          <w:tcPr>
            <w:tcW w:w="6444" w:type="dxa"/>
          </w:tcPr>
          <w:p w14:paraId="52D9D4B6" w14:textId="77777777" w:rsidR="00A96EA6" w:rsidRPr="00925F26" w:rsidRDefault="00A96EA6" w:rsidP="00925F26">
            <w:pPr>
              <w:jc w:val="both"/>
              <w:rPr>
                <w:color w:val="000000" w:themeColor="text1"/>
                <w:sz w:val="16"/>
                <w:szCs w:val="16"/>
              </w:rPr>
            </w:pPr>
            <w:r w:rsidRPr="00925F26">
              <w:rPr>
                <w:color w:val="000000" w:themeColor="text1"/>
                <w:sz w:val="16"/>
                <w:szCs w:val="16"/>
              </w:rPr>
              <w:t>Емкость топливных баков, л</w:t>
            </w:r>
          </w:p>
        </w:tc>
        <w:tc>
          <w:tcPr>
            <w:tcW w:w="2966" w:type="dxa"/>
          </w:tcPr>
          <w:p w14:paraId="09C22742" w14:textId="77777777" w:rsidR="00A96EA6" w:rsidRPr="00925F26" w:rsidRDefault="00A96EA6" w:rsidP="00925F26">
            <w:pPr>
              <w:jc w:val="both"/>
              <w:rPr>
                <w:color w:val="000000" w:themeColor="text1"/>
                <w:sz w:val="16"/>
                <w:szCs w:val="16"/>
              </w:rPr>
            </w:pPr>
            <w:r w:rsidRPr="00925F26">
              <w:rPr>
                <w:color w:val="000000" w:themeColor="text1"/>
                <w:sz w:val="16"/>
                <w:szCs w:val="16"/>
              </w:rPr>
              <w:t>13600</w:t>
            </w:r>
          </w:p>
        </w:tc>
      </w:tr>
      <w:tr w:rsidR="000F5689" w:rsidRPr="00925F26" w14:paraId="491320D3" w14:textId="77777777" w:rsidTr="009E68E9">
        <w:trPr>
          <w:trHeight w:val="277"/>
        </w:trPr>
        <w:tc>
          <w:tcPr>
            <w:tcW w:w="6444" w:type="dxa"/>
          </w:tcPr>
          <w:p w14:paraId="64B3DC6D" w14:textId="77777777" w:rsidR="00A96EA6" w:rsidRPr="00925F26" w:rsidRDefault="00A96EA6" w:rsidP="00925F26">
            <w:pPr>
              <w:jc w:val="both"/>
              <w:rPr>
                <w:color w:val="000000" w:themeColor="text1"/>
                <w:sz w:val="16"/>
                <w:szCs w:val="16"/>
              </w:rPr>
            </w:pPr>
            <w:r w:rsidRPr="00925F26">
              <w:rPr>
                <w:color w:val="000000" w:themeColor="text1"/>
                <w:sz w:val="16"/>
                <w:szCs w:val="16"/>
              </w:rPr>
              <w:t>Экипаж, ч</w:t>
            </w:r>
          </w:p>
        </w:tc>
        <w:tc>
          <w:tcPr>
            <w:tcW w:w="2966" w:type="dxa"/>
          </w:tcPr>
          <w:p w14:paraId="631C2061" w14:textId="77777777" w:rsidR="00A96EA6" w:rsidRPr="00925F26" w:rsidRDefault="00A96EA6" w:rsidP="00925F26">
            <w:pPr>
              <w:jc w:val="both"/>
              <w:rPr>
                <w:color w:val="000000" w:themeColor="text1"/>
                <w:sz w:val="16"/>
                <w:szCs w:val="16"/>
              </w:rPr>
            </w:pPr>
            <w:r w:rsidRPr="00925F26">
              <w:rPr>
                <w:color w:val="000000" w:themeColor="text1"/>
                <w:sz w:val="16"/>
                <w:szCs w:val="16"/>
              </w:rPr>
              <w:t>9</w:t>
            </w:r>
          </w:p>
        </w:tc>
      </w:tr>
      <w:tr w:rsidR="000F5689" w:rsidRPr="00925F26" w14:paraId="34C84BA4" w14:textId="77777777" w:rsidTr="009E68E9">
        <w:trPr>
          <w:trHeight w:val="295"/>
        </w:trPr>
        <w:tc>
          <w:tcPr>
            <w:tcW w:w="6444" w:type="dxa"/>
          </w:tcPr>
          <w:p w14:paraId="7DDF1497" w14:textId="77777777" w:rsidR="00A96EA6" w:rsidRPr="00925F26" w:rsidRDefault="00A96EA6" w:rsidP="00925F26">
            <w:pPr>
              <w:jc w:val="both"/>
              <w:rPr>
                <w:color w:val="000000" w:themeColor="text1"/>
                <w:sz w:val="16"/>
                <w:szCs w:val="16"/>
              </w:rPr>
            </w:pPr>
            <w:r w:rsidRPr="00925F26">
              <w:rPr>
                <w:color w:val="000000" w:themeColor="text1"/>
                <w:sz w:val="16"/>
                <w:szCs w:val="16"/>
              </w:rPr>
              <w:t>Максимальная скорость, км/ч</w:t>
            </w:r>
          </w:p>
        </w:tc>
        <w:tc>
          <w:tcPr>
            <w:tcW w:w="2966" w:type="dxa"/>
          </w:tcPr>
          <w:p w14:paraId="7225F22B" w14:textId="77777777" w:rsidR="00A96EA6" w:rsidRPr="00925F26" w:rsidRDefault="00A96EA6" w:rsidP="00925F26">
            <w:pPr>
              <w:jc w:val="both"/>
              <w:rPr>
                <w:color w:val="000000" w:themeColor="text1"/>
                <w:sz w:val="16"/>
                <w:szCs w:val="16"/>
              </w:rPr>
            </w:pPr>
          </w:p>
        </w:tc>
      </w:tr>
      <w:tr w:rsidR="000F5689" w:rsidRPr="00925F26" w14:paraId="1E9F9CD2" w14:textId="77777777" w:rsidTr="009E68E9">
        <w:trPr>
          <w:trHeight w:val="259"/>
        </w:trPr>
        <w:tc>
          <w:tcPr>
            <w:tcW w:w="6444" w:type="dxa"/>
          </w:tcPr>
          <w:p w14:paraId="030A9B56" w14:textId="77777777" w:rsidR="00A96EA6" w:rsidRPr="00925F26" w:rsidRDefault="00A96EA6" w:rsidP="00925F26">
            <w:pPr>
              <w:jc w:val="both"/>
              <w:rPr>
                <w:color w:val="000000" w:themeColor="text1"/>
                <w:sz w:val="16"/>
                <w:szCs w:val="16"/>
              </w:rPr>
            </w:pPr>
            <w:r w:rsidRPr="00925F26">
              <w:rPr>
                <w:color w:val="000000" w:themeColor="text1"/>
                <w:sz w:val="16"/>
                <w:szCs w:val="16"/>
              </w:rPr>
              <w:t>у земли</w:t>
            </w:r>
          </w:p>
        </w:tc>
        <w:tc>
          <w:tcPr>
            <w:tcW w:w="2966" w:type="dxa"/>
          </w:tcPr>
          <w:p w14:paraId="48F5F407" w14:textId="77777777" w:rsidR="00A96EA6" w:rsidRPr="00925F26" w:rsidRDefault="00A96EA6" w:rsidP="00925F26">
            <w:pPr>
              <w:jc w:val="both"/>
              <w:rPr>
                <w:color w:val="000000" w:themeColor="text1"/>
                <w:sz w:val="16"/>
                <w:szCs w:val="16"/>
              </w:rPr>
            </w:pPr>
            <w:r w:rsidRPr="00925F26">
              <w:rPr>
                <w:color w:val="000000" w:themeColor="text1"/>
                <w:sz w:val="16"/>
                <w:szCs w:val="16"/>
              </w:rPr>
              <w:t>342</w:t>
            </w:r>
          </w:p>
        </w:tc>
      </w:tr>
      <w:tr w:rsidR="000F5689" w:rsidRPr="00925F26" w14:paraId="23F38DFB" w14:textId="77777777" w:rsidTr="009E68E9">
        <w:trPr>
          <w:trHeight w:val="277"/>
        </w:trPr>
        <w:tc>
          <w:tcPr>
            <w:tcW w:w="6444" w:type="dxa"/>
          </w:tcPr>
          <w:p w14:paraId="6C4FDA76" w14:textId="77777777" w:rsidR="00A96EA6" w:rsidRPr="00925F26" w:rsidRDefault="00A96EA6" w:rsidP="00925F26">
            <w:pPr>
              <w:jc w:val="both"/>
              <w:rPr>
                <w:color w:val="000000" w:themeColor="text1"/>
                <w:sz w:val="16"/>
                <w:szCs w:val="16"/>
              </w:rPr>
            </w:pPr>
            <w:r w:rsidRPr="00925F26">
              <w:rPr>
                <w:color w:val="000000" w:themeColor="text1"/>
                <w:sz w:val="16"/>
                <w:szCs w:val="16"/>
              </w:rPr>
              <w:t>на высоте 6000 м</w:t>
            </w:r>
          </w:p>
        </w:tc>
        <w:tc>
          <w:tcPr>
            <w:tcW w:w="2966" w:type="dxa"/>
          </w:tcPr>
          <w:p w14:paraId="4E7CC738" w14:textId="77777777" w:rsidR="00A96EA6" w:rsidRPr="00925F26" w:rsidRDefault="00A96EA6" w:rsidP="00925F26">
            <w:pPr>
              <w:jc w:val="both"/>
              <w:rPr>
                <w:color w:val="000000" w:themeColor="text1"/>
                <w:sz w:val="16"/>
                <w:szCs w:val="16"/>
              </w:rPr>
            </w:pPr>
            <w:r w:rsidRPr="00925F26">
              <w:rPr>
                <w:color w:val="000000" w:themeColor="text1"/>
                <w:sz w:val="16"/>
                <w:szCs w:val="16"/>
              </w:rPr>
              <w:t>390</w:t>
            </w:r>
          </w:p>
        </w:tc>
      </w:tr>
      <w:tr w:rsidR="000F5689" w:rsidRPr="00925F26" w14:paraId="65ECAE7E" w14:textId="77777777" w:rsidTr="009E68E9">
        <w:trPr>
          <w:trHeight w:val="295"/>
        </w:trPr>
        <w:tc>
          <w:tcPr>
            <w:tcW w:w="6444" w:type="dxa"/>
          </w:tcPr>
          <w:p w14:paraId="519A9978" w14:textId="77777777" w:rsidR="00A96EA6" w:rsidRPr="00925F26" w:rsidRDefault="00A96EA6" w:rsidP="00925F26">
            <w:pPr>
              <w:jc w:val="both"/>
              <w:rPr>
                <w:color w:val="000000" w:themeColor="text1"/>
                <w:sz w:val="16"/>
                <w:szCs w:val="16"/>
              </w:rPr>
            </w:pPr>
            <w:r w:rsidRPr="00925F26">
              <w:rPr>
                <w:color w:val="000000" w:themeColor="text1"/>
                <w:sz w:val="16"/>
                <w:szCs w:val="16"/>
              </w:rPr>
              <w:t>Практический потолок, м</w:t>
            </w:r>
          </w:p>
        </w:tc>
        <w:tc>
          <w:tcPr>
            <w:tcW w:w="2966" w:type="dxa"/>
          </w:tcPr>
          <w:p w14:paraId="32FE6EC8" w14:textId="77777777" w:rsidR="00A96EA6" w:rsidRPr="00925F26" w:rsidRDefault="00A96EA6" w:rsidP="00925F26">
            <w:pPr>
              <w:jc w:val="both"/>
              <w:rPr>
                <w:color w:val="000000" w:themeColor="text1"/>
                <w:sz w:val="16"/>
                <w:szCs w:val="16"/>
              </w:rPr>
            </w:pPr>
            <w:r w:rsidRPr="00925F26">
              <w:rPr>
                <w:color w:val="000000" w:themeColor="text1"/>
                <w:sz w:val="16"/>
                <w:szCs w:val="16"/>
              </w:rPr>
              <w:t>8200</w:t>
            </w:r>
          </w:p>
        </w:tc>
      </w:tr>
      <w:tr w:rsidR="000F5689" w:rsidRPr="00925F26" w14:paraId="0CACA7B9" w14:textId="77777777" w:rsidTr="009E68E9">
        <w:trPr>
          <w:trHeight w:val="270"/>
        </w:trPr>
        <w:tc>
          <w:tcPr>
            <w:tcW w:w="6444" w:type="dxa"/>
          </w:tcPr>
          <w:p w14:paraId="43EF0EAF" w14:textId="77777777" w:rsidR="00A96EA6" w:rsidRPr="00925F26" w:rsidRDefault="00A96EA6" w:rsidP="00925F26">
            <w:pPr>
              <w:jc w:val="both"/>
              <w:rPr>
                <w:color w:val="000000" w:themeColor="text1"/>
                <w:sz w:val="16"/>
                <w:szCs w:val="16"/>
              </w:rPr>
            </w:pPr>
            <w:r w:rsidRPr="00925F26">
              <w:rPr>
                <w:color w:val="000000" w:themeColor="text1"/>
                <w:sz w:val="16"/>
                <w:szCs w:val="16"/>
              </w:rPr>
              <w:t>Время подъема на высоту 5000 м, мин</w:t>
            </w:r>
          </w:p>
        </w:tc>
        <w:tc>
          <w:tcPr>
            <w:tcW w:w="2966" w:type="dxa"/>
          </w:tcPr>
          <w:p w14:paraId="45133387" w14:textId="77777777" w:rsidR="00A96EA6" w:rsidRPr="00925F26" w:rsidRDefault="00A96EA6" w:rsidP="00925F26">
            <w:pPr>
              <w:jc w:val="both"/>
              <w:rPr>
                <w:color w:val="000000" w:themeColor="text1"/>
                <w:sz w:val="16"/>
                <w:szCs w:val="16"/>
              </w:rPr>
            </w:pPr>
            <w:r w:rsidRPr="00925F26">
              <w:rPr>
                <w:color w:val="000000" w:themeColor="text1"/>
                <w:sz w:val="16"/>
                <w:szCs w:val="16"/>
              </w:rPr>
              <w:t>19,2</w:t>
            </w:r>
          </w:p>
        </w:tc>
      </w:tr>
      <w:tr w:rsidR="000F5689" w:rsidRPr="00925F26" w14:paraId="0BB4570E" w14:textId="77777777" w:rsidTr="009E68E9">
        <w:trPr>
          <w:trHeight w:val="270"/>
        </w:trPr>
        <w:tc>
          <w:tcPr>
            <w:tcW w:w="6444" w:type="dxa"/>
          </w:tcPr>
          <w:p w14:paraId="56AB2A57" w14:textId="77777777" w:rsidR="00A96EA6" w:rsidRPr="00925F26" w:rsidRDefault="00A96EA6" w:rsidP="00925F26">
            <w:pPr>
              <w:jc w:val="both"/>
              <w:rPr>
                <w:color w:val="000000" w:themeColor="text1"/>
                <w:sz w:val="16"/>
                <w:szCs w:val="16"/>
              </w:rPr>
            </w:pPr>
            <w:r w:rsidRPr="00925F26">
              <w:rPr>
                <w:color w:val="000000" w:themeColor="text1"/>
                <w:sz w:val="16"/>
                <w:szCs w:val="16"/>
              </w:rPr>
              <w:t>Дальность полета, км</w:t>
            </w:r>
          </w:p>
        </w:tc>
        <w:tc>
          <w:tcPr>
            <w:tcW w:w="2966" w:type="dxa"/>
          </w:tcPr>
          <w:p w14:paraId="7F84260A" w14:textId="77777777" w:rsidR="00A96EA6" w:rsidRPr="00925F26" w:rsidRDefault="00A96EA6" w:rsidP="00925F26">
            <w:pPr>
              <w:jc w:val="both"/>
              <w:rPr>
                <w:color w:val="000000" w:themeColor="text1"/>
                <w:sz w:val="16"/>
                <w:szCs w:val="16"/>
              </w:rPr>
            </w:pPr>
            <w:r w:rsidRPr="00925F26">
              <w:rPr>
                <w:color w:val="000000" w:themeColor="text1"/>
                <w:sz w:val="16"/>
                <w:szCs w:val="16"/>
              </w:rPr>
              <w:t>5600</w:t>
            </w:r>
          </w:p>
        </w:tc>
      </w:tr>
      <w:tr w:rsidR="000F5689" w:rsidRPr="00925F26" w14:paraId="0F1B4D81" w14:textId="77777777" w:rsidTr="009E68E9">
        <w:trPr>
          <w:trHeight w:val="281"/>
        </w:trPr>
        <w:tc>
          <w:tcPr>
            <w:tcW w:w="6444" w:type="dxa"/>
          </w:tcPr>
          <w:p w14:paraId="207C6CA9" w14:textId="77777777" w:rsidR="00A96EA6" w:rsidRPr="00925F26" w:rsidRDefault="00A96EA6" w:rsidP="00925F26">
            <w:pPr>
              <w:jc w:val="both"/>
              <w:rPr>
                <w:color w:val="000000" w:themeColor="text1"/>
                <w:sz w:val="16"/>
                <w:szCs w:val="16"/>
              </w:rPr>
            </w:pPr>
            <w:r w:rsidRPr="00925F26">
              <w:rPr>
                <w:color w:val="000000" w:themeColor="text1"/>
                <w:sz w:val="16"/>
                <w:szCs w:val="16"/>
              </w:rPr>
              <w:t>Длина разбега, м</w:t>
            </w:r>
          </w:p>
        </w:tc>
        <w:tc>
          <w:tcPr>
            <w:tcW w:w="2966" w:type="dxa"/>
          </w:tcPr>
          <w:p w14:paraId="60614830" w14:textId="77777777" w:rsidR="00A96EA6" w:rsidRPr="00925F26" w:rsidRDefault="00A96EA6" w:rsidP="00925F26">
            <w:pPr>
              <w:jc w:val="both"/>
              <w:rPr>
                <w:color w:val="000000" w:themeColor="text1"/>
                <w:sz w:val="16"/>
                <w:szCs w:val="16"/>
              </w:rPr>
            </w:pPr>
            <w:r w:rsidRPr="00925F26">
              <w:rPr>
                <w:color w:val="000000" w:themeColor="text1"/>
                <w:sz w:val="16"/>
                <w:szCs w:val="16"/>
              </w:rPr>
              <w:t>600</w:t>
            </w:r>
          </w:p>
        </w:tc>
      </w:tr>
      <w:tr w:rsidR="000F5689" w:rsidRPr="00925F26" w14:paraId="7B9F5AF4" w14:textId="77777777" w:rsidTr="009E68E9">
        <w:trPr>
          <w:trHeight w:val="281"/>
        </w:trPr>
        <w:tc>
          <w:tcPr>
            <w:tcW w:w="6444" w:type="dxa"/>
          </w:tcPr>
          <w:p w14:paraId="25790F34" w14:textId="77777777" w:rsidR="00A96EA6" w:rsidRPr="00925F26" w:rsidRDefault="00A96EA6" w:rsidP="00925F26">
            <w:pPr>
              <w:jc w:val="both"/>
              <w:rPr>
                <w:color w:val="000000" w:themeColor="text1"/>
                <w:sz w:val="16"/>
                <w:szCs w:val="16"/>
              </w:rPr>
            </w:pPr>
            <w:r w:rsidRPr="00925F26">
              <w:rPr>
                <w:color w:val="000000" w:themeColor="text1"/>
                <w:sz w:val="16"/>
                <w:szCs w:val="16"/>
              </w:rPr>
              <w:t>Длина пробега, м</w:t>
            </w:r>
          </w:p>
        </w:tc>
        <w:tc>
          <w:tcPr>
            <w:tcW w:w="2966" w:type="dxa"/>
          </w:tcPr>
          <w:p w14:paraId="3049005A" w14:textId="77777777" w:rsidR="00A96EA6" w:rsidRPr="00925F26" w:rsidRDefault="00A96EA6" w:rsidP="00925F26">
            <w:pPr>
              <w:jc w:val="both"/>
              <w:rPr>
                <w:color w:val="000000" w:themeColor="text1"/>
                <w:sz w:val="16"/>
                <w:szCs w:val="16"/>
              </w:rPr>
            </w:pPr>
            <w:r w:rsidRPr="00925F26">
              <w:rPr>
                <w:color w:val="000000" w:themeColor="text1"/>
                <w:sz w:val="16"/>
                <w:szCs w:val="16"/>
              </w:rPr>
              <w:t>770</w:t>
            </w:r>
          </w:p>
        </w:tc>
      </w:tr>
      <w:tr w:rsidR="000F5689" w:rsidRPr="00925F26" w14:paraId="3D69501C" w14:textId="77777777" w:rsidTr="009E68E9">
        <w:trPr>
          <w:trHeight w:val="392"/>
        </w:trPr>
        <w:tc>
          <w:tcPr>
            <w:tcW w:w="6444" w:type="dxa"/>
          </w:tcPr>
          <w:p w14:paraId="2B712FD0" w14:textId="77777777" w:rsidR="00A96EA6" w:rsidRPr="00925F26" w:rsidRDefault="00A96EA6" w:rsidP="00925F26">
            <w:pPr>
              <w:jc w:val="both"/>
              <w:rPr>
                <w:color w:val="000000" w:themeColor="text1"/>
                <w:sz w:val="16"/>
                <w:szCs w:val="16"/>
              </w:rPr>
            </w:pPr>
            <w:r w:rsidRPr="00925F26">
              <w:rPr>
                <w:color w:val="000000" w:themeColor="text1"/>
                <w:sz w:val="16"/>
                <w:szCs w:val="16"/>
              </w:rPr>
              <w:t>Посадочная скорость, км/ч</w:t>
            </w:r>
          </w:p>
        </w:tc>
        <w:tc>
          <w:tcPr>
            <w:tcW w:w="2966" w:type="dxa"/>
          </w:tcPr>
          <w:p w14:paraId="30440B11" w14:textId="77777777" w:rsidR="00A96EA6" w:rsidRPr="00925F26" w:rsidRDefault="00A96EA6" w:rsidP="00925F26">
            <w:pPr>
              <w:jc w:val="both"/>
              <w:rPr>
                <w:color w:val="000000" w:themeColor="text1"/>
                <w:sz w:val="16"/>
                <w:szCs w:val="16"/>
              </w:rPr>
            </w:pPr>
            <w:r w:rsidRPr="00925F26">
              <w:rPr>
                <w:color w:val="000000" w:themeColor="text1"/>
                <w:sz w:val="16"/>
                <w:szCs w:val="16"/>
              </w:rPr>
              <w:t>130</w:t>
            </w:r>
          </w:p>
        </w:tc>
      </w:tr>
    </w:tbl>
    <w:p w14:paraId="0C332036" w14:textId="77777777" w:rsidR="00A96EA6" w:rsidRPr="00925F26" w:rsidRDefault="00A96EA6" w:rsidP="00925F26">
      <w:pPr>
        <w:jc w:val="both"/>
        <w:rPr>
          <w:color w:val="000000" w:themeColor="text1"/>
          <w:sz w:val="16"/>
          <w:szCs w:val="16"/>
        </w:rPr>
      </w:pPr>
      <w:r w:rsidRPr="00925F26">
        <w:rPr>
          <w:color w:val="000000" w:themeColor="text1"/>
          <w:sz w:val="16"/>
          <w:szCs w:val="16"/>
        </w:rPr>
        <w:t>Дальность полета была получена по результатам контрольного полета для полетной массы 35500 кг, при массе топлива 9150 кг.</w:t>
      </w:r>
    </w:p>
    <w:p w14:paraId="20676986" w14:textId="77777777" w:rsidR="00A96EA6" w:rsidRPr="00925F26" w:rsidRDefault="00A96EA6" w:rsidP="00925F26">
      <w:pPr>
        <w:jc w:val="both"/>
        <w:rPr>
          <w:color w:val="000000" w:themeColor="text1"/>
          <w:sz w:val="16"/>
          <w:szCs w:val="16"/>
        </w:rPr>
      </w:pPr>
      <w:r w:rsidRPr="00925F26">
        <w:rPr>
          <w:color w:val="000000" w:themeColor="text1"/>
          <w:sz w:val="16"/>
          <w:szCs w:val="16"/>
        </w:rPr>
        <w:t>Получить на испытаниях максимальную дальность не удалось из-за выбрасывания масла в полете через дренаж.</w:t>
      </w:r>
    </w:p>
    <w:p w14:paraId="3A47EC1B" w14:textId="77777777" w:rsidR="00A96EA6" w:rsidRPr="00925F26" w:rsidRDefault="00A96EA6" w:rsidP="00925F26">
      <w:pPr>
        <w:jc w:val="both"/>
        <w:rPr>
          <w:color w:val="000000" w:themeColor="text1"/>
          <w:sz w:val="16"/>
          <w:szCs w:val="16"/>
        </w:rPr>
      </w:pPr>
      <w:r w:rsidRPr="00925F26">
        <w:rPr>
          <w:color w:val="000000" w:themeColor="text1"/>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7439AB03" w14:textId="77777777" w:rsidR="00A96EA6" w:rsidRPr="00925F26" w:rsidRDefault="00A96EA6" w:rsidP="00925F26">
      <w:pPr>
        <w:jc w:val="both"/>
        <w:rPr>
          <w:color w:val="000000" w:themeColor="text1"/>
          <w:sz w:val="16"/>
          <w:szCs w:val="16"/>
        </w:rPr>
      </w:pPr>
      <w:r w:rsidRPr="00925F26">
        <w:rPr>
          <w:color w:val="000000" w:themeColor="text1"/>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w:t>
      </w:r>
    </w:p>
    <w:p w14:paraId="63627ECF" w14:textId="77777777" w:rsidR="00A96EA6" w:rsidRPr="00925F26" w:rsidRDefault="00A96EA6" w:rsidP="00925F26">
      <w:pPr>
        <w:jc w:val="both"/>
        <w:rPr>
          <w:color w:val="000000" w:themeColor="text1"/>
          <w:sz w:val="16"/>
          <w:szCs w:val="16"/>
        </w:rPr>
      </w:pPr>
    </w:p>
    <w:p w14:paraId="54A7BA9E" w14:textId="77777777" w:rsidR="008C5307" w:rsidRPr="00925F26" w:rsidRDefault="008C5307"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январе 1945 г. в НИИ ВВС прошёл контрольные испытания серийный Як-9У № 39-083 завода № 166, укомплектованный двумя пулемётами УБС и пушкой МП-20. По сравнению с машиной № 25-021, испытывавшейся в прошлом году, установили механизм аварийного сбрасывания подвиж</w:t>
      </w:r>
      <w:r w:rsidRPr="00925F26">
        <w:rPr>
          <w:rFonts w:ascii="Times New Roman" w:cs="Times New Roman"/>
          <w:color w:val="000000" w:themeColor="text1"/>
          <w:spacing w:val="0"/>
        </w:rPr>
        <w:softHyphen/>
        <w:t>ной части фонаря и козырёк с плоскими гранями. Обрезали заднюю кромку элеро</w:t>
      </w:r>
      <w:r w:rsidRPr="00925F26">
        <w:rPr>
          <w:rFonts w:ascii="Times New Roman" w:cs="Times New Roman"/>
          <w:color w:val="000000" w:themeColor="text1"/>
          <w:spacing w:val="0"/>
        </w:rPr>
        <w:softHyphen/>
        <w:t>нов и сняли из-под зализов оперения груз весом 20 кг. Тогда же разместили в системе охлаждения двигателя сепаратор в расши</w:t>
      </w:r>
      <w:r w:rsidRPr="00925F26">
        <w:rPr>
          <w:rFonts w:ascii="Times New Roman" w:cs="Times New Roman"/>
          <w:color w:val="000000" w:themeColor="text1"/>
          <w:spacing w:val="0"/>
        </w:rPr>
        <w:softHyphen/>
        <w:t>рительном бачке и диффузор в трубопрово</w:t>
      </w:r>
      <w:r w:rsidRPr="00925F26">
        <w:rPr>
          <w:rFonts w:ascii="Times New Roman" w:cs="Times New Roman"/>
          <w:color w:val="000000" w:themeColor="text1"/>
          <w:spacing w:val="0"/>
        </w:rPr>
        <w:softHyphen/>
        <w:t>де перед помпой, увеличили входную и вы</w:t>
      </w:r>
      <w:r w:rsidRPr="00925F26">
        <w:rPr>
          <w:rFonts w:ascii="Times New Roman" w:cs="Times New Roman"/>
          <w:color w:val="000000" w:themeColor="text1"/>
          <w:spacing w:val="0"/>
        </w:rPr>
        <w:softHyphen/>
        <w:t>ходную части тоннеля водяного радиатора. Передатчик РСИ-3 заменили на РСИ-ЗМ-1, коробки регуляторов и фильтров генератора перенесли под обшивку нулевых нервюр. Одновременно изменили пневмосистему. Но существенных преимуществ всё это не дало.</w:t>
      </w:r>
    </w:p>
    <w:p w14:paraId="41AF1D0F" w14:textId="77777777" w:rsidR="008C5307" w:rsidRPr="00925F26" w:rsidRDefault="008C5307"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Специалисты НИИ ВВС констатировали, что не устранены дефекты, выявленные на головном экземпляре: большие нагрузки на ручку от элеронов и руля высоты, тряс</w:t>
      </w:r>
      <w:r w:rsidRPr="00925F26">
        <w:rPr>
          <w:rFonts w:ascii="Times New Roman" w:cs="Times New Roman"/>
          <w:color w:val="000000" w:themeColor="text1"/>
          <w:spacing w:val="0"/>
        </w:rPr>
        <w:softHyphen/>
        <w:t>ка мотора на некоторых режимах, частый отказ свечей АС-142, перегрев масла при максимальной скороподъёмности, отсутст</w:t>
      </w:r>
      <w:r w:rsidRPr="00925F26">
        <w:rPr>
          <w:rFonts w:ascii="Times New Roman" w:cs="Times New Roman"/>
          <w:color w:val="000000" w:themeColor="text1"/>
          <w:spacing w:val="0"/>
        </w:rPr>
        <w:softHyphen/>
        <w:t>вие фильтра во всасывающем патрубке и недостаточная жёсткость приборной дос</w:t>
      </w:r>
      <w:r w:rsidRPr="00925F26">
        <w:rPr>
          <w:rFonts w:ascii="Times New Roman" w:cs="Times New Roman"/>
          <w:color w:val="000000" w:themeColor="text1"/>
          <w:spacing w:val="0"/>
        </w:rPr>
        <w:softHyphen/>
        <w:t>ки, что приводило к колебаниям стрелок индикаторов и их отказам. Тем не менее, машину рекомендовали к дальнейшему серийному производству, хотя в очередной раз - с устранением недостатков (19103).</w:t>
      </w:r>
    </w:p>
    <w:p w14:paraId="75FAA43C" w14:textId="77777777" w:rsidR="008C5307" w:rsidRPr="00925F26" w:rsidRDefault="008C5307" w:rsidP="00925F26">
      <w:pPr>
        <w:pStyle w:val="27"/>
        <w:shd w:val="clear" w:color="auto" w:fill="auto"/>
        <w:spacing w:after="0" w:line="240" w:lineRule="auto"/>
        <w:ind w:firstLine="0"/>
        <w:rPr>
          <w:rFonts w:ascii="Times New Roman" w:cs="Times New Roman"/>
          <w:color w:val="000000" w:themeColor="text1"/>
          <w:spacing w:val="0"/>
        </w:rPr>
      </w:pPr>
    </w:p>
    <w:p w14:paraId="48BC8028" w14:textId="77777777" w:rsidR="00F5318A" w:rsidRPr="001A0BAA" w:rsidRDefault="00F5318A" w:rsidP="00F5318A">
      <w:pPr>
        <w:jc w:val="both"/>
        <w:rPr>
          <w:color w:val="0070C0"/>
          <w:sz w:val="16"/>
          <w:szCs w:val="16"/>
        </w:rPr>
      </w:pPr>
      <w:r w:rsidRPr="001A0BAA">
        <w:rPr>
          <w:color w:val="0070C0"/>
          <w:sz w:val="16"/>
          <w:szCs w:val="16"/>
        </w:rPr>
        <w:t>В январе 1945 г. вышли на испытания Як-3П</w:t>
      </w:r>
      <w:r w:rsidRPr="001A0BAA">
        <w:rPr>
          <w:b/>
          <w:bCs/>
          <w:color w:val="0070C0"/>
          <w:sz w:val="16"/>
          <w:szCs w:val="16"/>
        </w:rPr>
        <w:t xml:space="preserve"> </w:t>
      </w:r>
      <w:r w:rsidRPr="001A0BAA">
        <w:rPr>
          <w:color w:val="0070C0"/>
          <w:sz w:val="16"/>
          <w:szCs w:val="16"/>
        </w:rPr>
        <w:t>(«пушечный»), вооружённый мотор-пушкой Б-20М и двумя синхронными пушками Б-20С, и Як-3Т («танковый») с мотор-пушкой Н-37 и двумя Б-20С. Як-3П пошёл в серию лишь в апреле и на войну опоздал; Як-3Т остался в единственном экземпляре (24932).</w:t>
      </w:r>
    </w:p>
    <w:p w14:paraId="028D498A" w14:textId="77777777" w:rsidR="00F5318A" w:rsidRPr="001A0BAA" w:rsidRDefault="00F5318A" w:rsidP="00F5318A">
      <w:pPr>
        <w:jc w:val="both"/>
        <w:rPr>
          <w:color w:val="0070C0"/>
          <w:sz w:val="16"/>
          <w:szCs w:val="16"/>
        </w:rPr>
      </w:pPr>
    </w:p>
    <w:p w14:paraId="2B7B7F32" w14:textId="77777777" w:rsidR="008C5307" w:rsidRPr="00925F26" w:rsidRDefault="008C5307" w:rsidP="00925F26">
      <w:pPr>
        <w:jc w:val="both"/>
        <w:rPr>
          <w:color w:val="000000" w:themeColor="text1"/>
          <w:sz w:val="16"/>
          <w:szCs w:val="16"/>
        </w:rPr>
      </w:pPr>
      <w:r w:rsidRPr="00925F26">
        <w:rPr>
          <w:color w:val="000000" w:themeColor="text1"/>
          <w:sz w:val="16"/>
          <w:szCs w:val="16"/>
        </w:rPr>
        <w:t>В январе 1945 г. начались летные испытания самолета «120», с крылом, набранным из ламинарных профилей. Серийно этот самолет не строился, но новое крыло, доказав свою эффективность, получило путевку в жизнь. Отра бо - танные принципы компоновки ламинарных крыльев стали основой при создании послевоенных истребителей Ла-5 и Ла-11 (19727).</w:t>
      </w:r>
    </w:p>
    <w:p w14:paraId="3BCB5C22" w14:textId="77777777" w:rsidR="008C5307" w:rsidRPr="00925F26" w:rsidRDefault="008C5307" w:rsidP="00925F26">
      <w:pPr>
        <w:jc w:val="both"/>
        <w:rPr>
          <w:color w:val="000000" w:themeColor="text1"/>
          <w:sz w:val="16"/>
          <w:szCs w:val="16"/>
        </w:rPr>
      </w:pPr>
    </w:p>
    <w:p w14:paraId="2A920FC0" w14:textId="77777777" w:rsidR="00F5318A" w:rsidRPr="001A0BAA" w:rsidRDefault="00F5318A" w:rsidP="00F5318A">
      <w:pPr>
        <w:jc w:val="both"/>
        <w:rPr>
          <w:color w:val="0070C0"/>
          <w:sz w:val="16"/>
          <w:szCs w:val="16"/>
        </w:rPr>
      </w:pPr>
      <w:r w:rsidRPr="001A0BAA">
        <w:rPr>
          <w:color w:val="0070C0"/>
          <w:sz w:val="16"/>
          <w:szCs w:val="16"/>
        </w:rPr>
        <w:t>В январе 1945 года нача</w:t>
      </w:r>
      <w:r w:rsidRPr="001A0BAA">
        <w:rPr>
          <w:color w:val="0070C0"/>
          <w:sz w:val="16"/>
          <w:szCs w:val="16"/>
        </w:rPr>
        <w:softHyphen/>
        <w:t>лись испытания опытного самолета С.А.Л. «120», и в июле на нем достигли скорости 735 км/ч, что на 24км/ч превышало аналогичный показатель Ла-7 с таким же мотором. И все это на номи</w:t>
      </w:r>
      <w:r w:rsidRPr="001A0BAA">
        <w:rPr>
          <w:color w:val="0070C0"/>
          <w:sz w:val="16"/>
          <w:szCs w:val="16"/>
        </w:rPr>
        <w:softHyphen/>
        <w:t>нальном режиме работы двигателя, а ведь у него имелся резерв — боевой режим, ко</w:t>
      </w:r>
      <w:r w:rsidRPr="001A0BAA">
        <w:rPr>
          <w:color w:val="0070C0"/>
          <w:sz w:val="16"/>
          <w:szCs w:val="16"/>
        </w:rPr>
        <w:softHyphen/>
        <w:t>торый, правда, не довелось опробовать. Дело в том, что AШ-83 требовал доводки, и за время испытаний сменили пять мо</w:t>
      </w:r>
      <w:r w:rsidRPr="001A0BAA">
        <w:rPr>
          <w:color w:val="0070C0"/>
          <w:sz w:val="16"/>
          <w:szCs w:val="16"/>
        </w:rPr>
        <w:softHyphen/>
        <w:t>торов. Видимо, это обстоятельство ста</w:t>
      </w:r>
      <w:r w:rsidRPr="001A0BAA">
        <w:rPr>
          <w:color w:val="0070C0"/>
          <w:sz w:val="16"/>
          <w:szCs w:val="16"/>
        </w:rPr>
        <w:softHyphen/>
        <w:t>ло причиной прекращения дальнейшей работы над ним. Всего же построили две машины (24988).</w:t>
      </w:r>
    </w:p>
    <w:p w14:paraId="4072EF4C" w14:textId="77777777" w:rsidR="00F5318A" w:rsidRPr="001A0BAA" w:rsidRDefault="00F5318A" w:rsidP="00F5318A">
      <w:pPr>
        <w:jc w:val="both"/>
        <w:rPr>
          <w:color w:val="0070C0"/>
          <w:sz w:val="16"/>
          <w:szCs w:val="16"/>
        </w:rPr>
      </w:pPr>
    </w:p>
    <w:p w14:paraId="14531971" w14:textId="77777777" w:rsidR="00F5318A" w:rsidRPr="001A0BAA" w:rsidRDefault="00F5318A" w:rsidP="00F5318A">
      <w:pPr>
        <w:jc w:val="both"/>
        <w:rPr>
          <w:color w:val="0070C0"/>
          <w:sz w:val="16"/>
          <w:szCs w:val="16"/>
        </w:rPr>
      </w:pPr>
      <w:r w:rsidRPr="001A0BAA">
        <w:rPr>
          <w:rStyle w:val="aff0"/>
          <w:rFonts w:ascii="Times New Roman" w:hAnsi="Times New Roman" w:cs="Times New Roman"/>
          <w:color w:val="0070C0"/>
          <w:spacing w:val="0"/>
          <w:sz w:val="16"/>
          <w:szCs w:val="16"/>
        </w:rPr>
        <w:t>В январе 1945 года</w:t>
      </w:r>
      <w:r w:rsidRPr="001A0BAA">
        <w:rPr>
          <w:color w:val="0070C0"/>
          <w:sz w:val="16"/>
          <w:szCs w:val="16"/>
        </w:rPr>
        <w:t xml:space="preserve"> нача</w:t>
      </w:r>
      <w:r w:rsidRPr="001A0BAA">
        <w:rPr>
          <w:color w:val="0070C0"/>
          <w:sz w:val="16"/>
          <w:szCs w:val="16"/>
        </w:rPr>
        <w:softHyphen/>
        <w:t>лись испытания опытного самолета С.А.Л. «120». Использование</w:t>
      </w:r>
      <w:r w:rsidRPr="001A0BAA">
        <w:rPr>
          <w:rStyle w:val="aff0"/>
          <w:rFonts w:ascii="Times New Roman" w:hAnsi="Times New Roman" w:cs="Times New Roman"/>
          <w:color w:val="0070C0"/>
          <w:spacing w:val="0"/>
          <w:sz w:val="16"/>
          <w:szCs w:val="16"/>
        </w:rPr>
        <w:t xml:space="preserve"> металла позволило снизить вес планера почти на 150 кг. За счет более рациональной конструкции фюзеля</w:t>
      </w:r>
      <w:r w:rsidRPr="001A0BAA">
        <w:rPr>
          <w:rStyle w:val="aff0"/>
          <w:rFonts w:ascii="Times New Roman" w:hAnsi="Times New Roman" w:cs="Times New Roman"/>
          <w:color w:val="0070C0"/>
          <w:spacing w:val="0"/>
          <w:sz w:val="16"/>
          <w:szCs w:val="16"/>
        </w:rPr>
        <w:softHyphen/>
        <w:t>жа, состоявшего из передней металлической и задней дере</w:t>
      </w:r>
      <w:r w:rsidRPr="001A0BAA">
        <w:rPr>
          <w:rStyle w:val="aff0"/>
          <w:rFonts w:ascii="Times New Roman" w:hAnsi="Times New Roman" w:cs="Times New Roman"/>
          <w:color w:val="0070C0"/>
          <w:spacing w:val="0"/>
          <w:sz w:val="16"/>
          <w:szCs w:val="16"/>
        </w:rPr>
        <w:softHyphen/>
        <w:t xml:space="preserve">вянной частей, удалось расширить кабину пилота. Крыло стало однолонжеронным, а вес его одного квадратного метра снизился до 22 кг. У Ла-5 этот параметр достигал 23,8 кг, у </w:t>
      </w:r>
      <w:r w:rsidRPr="001A0BAA">
        <w:rPr>
          <w:rStyle w:val="aff0"/>
          <w:rFonts w:ascii="Times New Roman" w:hAnsi="Times New Roman" w:cs="Times New Roman"/>
          <w:color w:val="0070C0"/>
          <w:spacing w:val="0"/>
          <w:sz w:val="16"/>
          <w:szCs w:val="16"/>
          <w:lang w:val="en-US"/>
        </w:rPr>
        <w:t>Bf</w:t>
      </w:r>
      <w:r w:rsidRPr="001A0BAA">
        <w:rPr>
          <w:rStyle w:val="aff0"/>
          <w:rFonts w:ascii="Times New Roman" w:hAnsi="Times New Roman" w:cs="Times New Roman"/>
          <w:color w:val="0070C0"/>
          <w:spacing w:val="0"/>
          <w:sz w:val="16"/>
          <w:szCs w:val="16"/>
        </w:rPr>
        <w:t>-109</w:t>
      </w:r>
      <w:r w:rsidRPr="001A0BAA">
        <w:rPr>
          <w:rStyle w:val="aff0"/>
          <w:rFonts w:ascii="Times New Roman" w:hAnsi="Times New Roman" w:cs="Times New Roman"/>
          <w:color w:val="0070C0"/>
          <w:spacing w:val="0"/>
          <w:sz w:val="16"/>
          <w:szCs w:val="16"/>
          <w:lang w:val="en-US"/>
        </w:rPr>
        <w:t>G</w:t>
      </w:r>
      <w:r w:rsidRPr="001A0BAA">
        <w:rPr>
          <w:rStyle w:val="aff0"/>
          <w:rFonts w:ascii="Times New Roman" w:hAnsi="Times New Roman" w:cs="Times New Roman"/>
          <w:color w:val="0070C0"/>
          <w:spacing w:val="0"/>
          <w:sz w:val="16"/>
          <w:szCs w:val="16"/>
        </w:rPr>
        <w:t>-2 — 22 кг, а у Р-39 «Аэрокобра» — 21,4 кг. Шасси облегчили на 22 кг.</w:t>
      </w:r>
    </w:p>
    <w:p w14:paraId="5303CDEE" w14:textId="77777777" w:rsidR="00F5318A" w:rsidRPr="001A0BAA" w:rsidRDefault="00F5318A" w:rsidP="00F5318A">
      <w:pPr>
        <w:jc w:val="both"/>
        <w:rPr>
          <w:color w:val="0070C0"/>
          <w:sz w:val="16"/>
          <w:szCs w:val="16"/>
        </w:rPr>
      </w:pPr>
      <w:r w:rsidRPr="001A0BAA">
        <w:rPr>
          <w:rStyle w:val="aff0"/>
          <w:rFonts w:ascii="Times New Roman" w:hAnsi="Times New Roman" w:cs="Times New Roman"/>
          <w:color w:val="0070C0"/>
          <w:spacing w:val="0"/>
          <w:sz w:val="16"/>
          <w:szCs w:val="16"/>
        </w:rPr>
        <w:t>Замена синхронных пушек ШВАК на НС-23С калибра 23 мм, установленных на новом ферменном лафете, увели</w:t>
      </w:r>
      <w:r w:rsidRPr="001A0BAA">
        <w:rPr>
          <w:rStyle w:val="aff0"/>
          <w:rFonts w:ascii="Times New Roman" w:hAnsi="Times New Roman" w:cs="Times New Roman"/>
          <w:color w:val="0070C0"/>
          <w:spacing w:val="0"/>
          <w:sz w:val="16"/>
          <w:szCs w:val="16"/>
        </w:rPr>
        <w:softHyphen/>
        <w:t>чила секундный залп бортового оружия почти в 1,5 раза. Но, пожалуй, самым важным отличием стало крыло с ла</w:t>
      </w:r>
      <w:r w:rsidRPr="001A0BAA">
        <w:rPr>
          <w:rStyle w:val="aff0"/>
          <w:rFonts w:ascii="Times New Roman" w:hAnsi="Times New Roman" w:cs="Times New Roman"/>
          <w:color w:val="0070C0"/>
          <w:spacing w:val="0"/>
          <w:sz w:val="16"/>
          <w:szCs w:val="16"/>
        </w:rPr>
        <w:softHyphen/>
        <w:t>минарным профилем, позволившее увеличить скорость на 20 км/ч (25252).</w:t>
      </w:r>
    </w:p>
    <w:p w14:paraId="5400010C" w14:textId="77777777" w:rsidR="00F5318A" w:rsidRPr="001A0BAA" w:rsidRDefault="00F5318A" w:rsidP="00F5318A">
      <w:pPr>
        <w:jc w:val="both"/>
        <w:rPr>
          <w:color w:val="0070C0"/>
          <w:sz w:val="16"/>
          <w:szCs w:val="16"/>
        </w:rPr>
      </w:pPr>
    </w:p>
    <w:p w14:paraId="0D9E9DDC" w14:textId="77777777" w:rsidR="00F1364C" w:rsidRPr="00925F26" w:rsidRDefault="00F1364C" w:rsidP="00925F26">
      <w:pPr>
        <w:jc w:val="both"/>
        <w:rPr>
          <w:color w:val="000000" w:themeColor="text1"/>
          <w:sz w:val="16"/>
          <w:szCs w:val="16"/>
        </w:rPr>
      </w:pPr>
      <w:r w:rsidRPr="00925F26">
        <w:rPr>
          <w:color w:val="000000" w:themeColor="text1"/>
          <w:sz w:val="16"/>
          <w:szCs w:val="16"/>
        </w:rPr>
        <w:t xml:space="preserve">В январе 1945 г. захватили первый исправный экземпляр </w:t>
      </w:r>
      <w:r w:rsidRPr="00925F26">
        <w:rPr>
          <w:color w:val="000000" w:themeColor="text1"/>
          <w:sz w:val="16"/>
          <w:szCs w:val="16"/>
          <w:lang w:val="en-US"/>
        </w:rPr>
        <w:t>Bf</w:t>
      </w:r>
      <w:r w:rsidRPr="00925F26">
        <w:rPr>
          <w:color w:val="000000" w:themeColor="text1"/>
          <w:sz w:val="16"/>
          <w:szCs w:val="16"/>
        </w:rPr>
        <w:t xml:space="preserve"> 109 </w:t>
      </w:r>
      <w:r w:rsidRPr="00925F26">
        <w:rPr>
          <w:color w:val="000000" w:themeColor="text1"/>
          <w:sz w:val="16"/>
          <w:szCs w:val="16"/>
          <w:lang w:val="en-US"/>
        </w:rPr>
        <w:t>G</w:t>
      </w:r>
      <w:r w:rsidRPr="00925F26">
        <w:rPr>
          <w:color w:val="000000" w:themeColor="text1"/>
          <w:sz w:val="16"/>
          <w:szCs w:val="16"/>
        </w:rPr>
        <w:t>-6№783959. Испытания в НИИ ВВС проводил В.Е. Голофастов. Выяснилось, что на высотах до 5000 м немецкий истребитель уступает Як-3, Як-9У и Ла-7. Максимальной скорости достигли на высоте 7000 м - 630 км/ч, а у земли получили всего 492 км/ч. Правда, изучение мотора на этой машине показало, что форсированный режим на нем отключен (23186).</w:t>
      </w:r>
    </w:p>
    <w:p w14:paraId="191AB719" w14:textId="77777777" w:rsidR="00F1364C" w:rsidRPr="00925F26" w:rsidRDefault="00F1364C" w:rsidP="00925F26">
      <w:pPr>
        <w:jc w:val="both"/>
        <w:rPr>
          <w:color w:val="000000" w:themeColor="text1"/>
          <w:sz w:val="16"/>
          <w:szCs w:val="16"/>
        </w:rPr>
      </w:pPr>
    </w:p>
    <w:p w14:paraId="098FA9E3" w14:textId="77777777" w:rsidR="0058703C" w:rsidRPr="00925F26" w:rsidRDefault="0058703C" w:rsidP="00925F26">
      <w:pPr>
        <w:jc w:val="both"/>
        <w:rPr>
          <w:color w:val="000000" w:themeColor="text1"/>
          <w:sz w:val="16"/>
          <w:szCs w:val="16"/>
        </w:rPr>
      </w:pPr>
      <w:r w:rsidRPr="00925F26">
        <w:rPr>
          <w:color w:val="000000" w:themeColor="text1"/>
          <w:sz w:val="16"/>
          <w:szCs w:val="16"/>
        </w:rPr>
        <w:t>В январе 1945 г. один Р-38 совершил вынужденную посадку у ме</w:t>
      </w:r>
      <w:r w:rsidRPr="00925F26">
        <w:rPr>
          <w:color w:val="000000" w:themeColor="text1"/>
          <w:sz w:val="16"/>
          <w:szCs w:val="16"/>
        </w:rPr>
        <w:softHyphen/>
        <w:t>стечка Надькереш под Будапештом. Этот самолет с надписью «Прайд оф Джейн» сопровождал бомбардировщики, был под</w:t>
      </w:r>
      <w:r w:rsidRPr="00925F26">
        <w:rPr>
          <w:color w:val="000000" w:themeColor="text1"/>
          <w:sz w:val="16"/>
          <w:szCs w:val="16"/>
        </w:rPr>
        <w:softHyphen/>
        <w:t>бит и с убранным шасси плюхнулся на по</w:t>
      </w:r>
      <w:r w:rsidRPr="00925F26">
        <w:rPr>
          <w:color w:val="000000" w:themeColor="text1"/>
          <w:sz w:val="16"/>
          <w:szCs w:val="16"/>
        </w:rPr>
        <w:softHyphen/>
        <w:t>крытое талым снегом поле. Согнул винты, смял капоты моторов. Пилот не постра</w:t>
      </w:r>
      <w:r w:rsidRPr="00925F26">
        <w:rPr>
          <w:color w:val="000000" w:themeColor="text1"/>
          <w:sz w:val="16"/>
          <w:szCs w:val="16"/>
        </w:rPr>
        <w:softHyphen/>
        <w:t xml:space="preserve">дал и был </w:t>
      </w:r>
      <w:r w:rsidRPr="00925F26">
        <w:rPr>
          <w:color w:val="000000" w:themeColor="text1"/>
          <w:sz w:val="16"/>
          <w:szCs w:val="16"/>
        </w:rPr>
        <w:lastRenderedPageBreak/>
        <w:t>эвакуирован командой специ</w:t>
      </w:r>
      <w:r w:rsidRPr="00925F26">
        <w:rPr>
          <w:color w:val="000000" w:themeColor="text1"/>
          <w:sz w:val="16"/>
          <w:szCs w:val="16"/>
        </w:rPr>
        <w:softHyphen/>
        <w:t>алистов советской 5-й воздушной армии, увозя с собой саблю венгерского генерала, выменянную у наших пехотинцев на пара</w:t>
      </w:r>
      <w:r w:rsidRPr="00925F26">
        <w:rPr>
          <w:color w:val="000000" w:themeColor="text1"/>
          <w:sz w:val="16"/>
          <w:szCs w:val="16"/>
        </w:rPr>
        <w:softHyphen/>
        <w:t>шют. Были и другие подобные случаи.</w:t>
      </w:r>
    </w:p>
    <w:p w14:paraId="67750D34" w14:textId="77777777" w:rsidR="0058703C" w:rsidRPr="00925F26" w:rsidRDefault="0058703C" w:rsidP="00925F26">
      <w:pPr>
        <w:jc w:val="both"/>
        <w:rPr>
          <w:color w:val="000000" w:themeColor="text1"/>
          <w:sz w:val="16"/>
          <w:szCs w:val="16"/>
        </w:rPr>
      </w:pPr>
      <w:r w:rsidRPr="00925F26">
        <w:rPr>
          <w:color w:val="000000" w:themeColor="text1"/>
          <w:sz w:val="16"/>
          <w:szCs w:val="16"/>
        </w:rPr>
        <w:t>Но привести в состояние пригодности для полетов, по-видимому, удалось толь</w:t>
      </w:r>
      <w:r w:rsidRPr="00925F26">
        <w:rPr>
          <w:color w:val="000000" w:themeColor="text1"/>
          <w:sz w:val="16"/>
          <w:szCs w:val="16"/>
        </w:rPr>
        <w:softHyphen/>
        <w:t>ко один «Лайтнинг». Этот самолет самой массовой модификации P-38L участвовал в «челночных» операциях, совершил вы</w:t>
      </w:r>
      <w:r w:rsidRPr="00925F26">
        <w:rPr>
          <w:color w:val="000000" w:themeColor="text1"/>
          <w:sz w:val="16"/>
          <w:szCs w:val="16"/>
        </w:rPr>
        <w:softHyphen/>
        <w:t>нужденную посадку и был брошен. Это был P-38L-1 № 42-4384 с бортовой надпи</w:t>
      </w:r>
      <w:r w:rsidRPr="00925F26">
        <w:rPr>
          <w:color w:val="000000" w:themeColor="text1"/>
          <w:sz w:val="16"/>
          <w:szCs w:val="16"/>
        </w:rPr>
        <w:softHyphen/>
        <w:t>сью «Блэки». Некоторое время он принад</w:t>
      </w:r>
      <w:r w:rsidRPr="00925F26">
        <w:rPr>
          <w:color w:val="000000" w:themeColor="text1"/>
          <w:sz w:val="16"/>
          <w:szCs w:val="16"/>
        </w:rPr>
        <w:softHyphen/>
        <w:t>лежал 173-му ап 56-й иад, вооруженному A-20G, переделанными в тяжелые истре</w:t>
      </w:r>
      <w:r w:rsidRPr="00925F26">
        <w:rPr>
          <w:color w:val="000000" w:themeColor="text1"/>
          <w:sz w:val="16"/>
          <w:szCs w:val="16"/>
        </w:rPr>
        <w:softHyphen/>
        <w:t>бители. Но на нем там совершали только учебные полеты. Полк базировался под Минском, а затем перелетел под Ченстохов в Польше.</w:t>
      </w:r>
    </w:p>
    <w:p w14:paraId="10887662" w14:textId="77777777" w:rsidR="0058703C" w:rsidRPr="00925F26" w:rsidRDefault="0058703C" w:rsidP="00925F26">
      <w:pPr>
        <w:jc w:val="both"/>
        <w:rPr>
          <w:color w:val="000000" w:themeColor="text1"/>
          <w:sz w:val="16"/>
          <w:szCs w:val="16"/>
        </w:rPr>
      </w:pPr>
      <w:r w:rsidRPr="00925F26">
        <w:rPr>
          <w:color w:val="000000" w:themeColor="text1"/>
          <w:sz w:val="16"/>
          <w:szCs w:val="16"/>
        </w:rPr>
        <w:t>Уже после войны этот «Лайтнинг» пе</w:t>
      </w:r>
      <w:r w:rsidRPr="00925F26">
        <w:rPr>
          <w:color w:val="000000" w:themeColor="text1"/>
          <w:sz w:val="16"/>
          <w:szCs w:val="16"/>
        </w:rPr>
        <w:softHyphen/>
        <w:t>редали в НИИ ВВС. В начале 1947 г. там провели испытания американского ис</w:t>
      </w:r>
      <w:r w:rsidRPr="00925F26">
        <w:rPr>
          <w:color w:val="000000" w:themeColor="text1"/>
          <w:sz w:val="16"/>
          <w:szCs w:val="16"/>
        </w:rPr>
        <w:softHyphen/>
        <w:t>требителя. Ведущим летчиком являл</w:t>
      </w:r>
      <w:r w:rsidRPr="00925F26">
        <w:rPr>
          <w:color w:val="000000" w:themeColor="text1"/>
          <w:sz w:val="16"/>
          <w:szCs w:val="16"/>
        </w:rPr>
        <w:softHyphen/>
        <w:t>ся В.И. Хомяков, но в облете машины участвовали также П.М. Стефановский и Ю.А. Антипов. «Лайтнинг» подни</w:t>
      </w:r>
      <w:r w:rsidRPr="00925F26">
        <w:rPr>
          <w:color w:val="000000" w:themeColor="text1"/>
          <w:sz w:val="16"/>
          <w:szCs w:val="16"/>
        </w:rPr>
        <w:softHyphen/>
        <w:t>мался в воздух без подвесных баков. Оценивались в первую очередь возможности самолета как истребителя сопрово</w:t>
      </w:r>
      <w:r w:rsidRPr="00925F26">
        <w:rPr>
          <w:color w:val="000000" w:themeColor="text1"/>
          <w:sz w:val="16"/>
          <w:szCs w:val="16"/>
        </w:rPr>
        <w:softHyphen/>
        <w:t>ждения в сравнении с отечественным Як- 9ДД. Испытания в основном подтвердили заявлявшиеся фирмой «Локхид» харак</w:t>
      </w:r>
      <w:r w:rsidRPr="00925F26">
        <w:rPr>
          <w:color w:val="000000" w:themeColor="text1"/>
          <w:sz w:val="16"/>
          <w:szCs w:val="16"/>
        </w:rPr>
        <w:softHyphen/>
        <w:t>теристики. Не смогли только произвести замеры на максимальном кратковремен</w:t>
      </w:r>
      <w:r w:rsidRPr="00925F26">
        <w:rPr>
          <w:color w:val="000000" w:themeColor="text1"/>
          <w:sz w:val="16"/>
          <w:szCs w:val="16"/>
        </w:rPr>
        <w:softHyphen/>
        <w:t>ном режиме работы моторов. Причина была вполне прозаическая — в НИИ не нашлось импортного 100-октанового бен</w:t>
      </w:r>
      <w:r w:rsidRPr="00925F26">
        <w:rPr>
          <w:color w:val="000000" w:themeColor="text1"/>
          <w:sz w:val="16"/>
          <w:szCs w:val="16"/>
        </w:rPr>
        <w:softHyphen/>
        <w:t>зина, который наши заводы не выпускали. К 1947 г. «Лайтнинг» уже устарел и боль</w:t>
      </w:r>
      <w:r w:rsidRPr="00925F26">
        <w:rPr>
          <w:color w:val="000000" w:themeColor="text1"/>
          <w:sz w:val="16"/>
          <w:szCs w:val="16"/>
        </w:rPr>
        <w:softHyphen/>
        <w:t>шого интереса не представлял. В условиях перехода на реактивную технику возиться с ним смысла не имело. В США в 1949 г. его уже сняли с вооружения.</w:t>
      </w:r>
    </w:p>
    <w:p w14:paraId="5E32560E" w14:textId="77777777" w:rsidR="0058703C" w:rsidRPr="00925F26" w:rsidRDefault="0058703C" w:rsidP="00925F26">
      <w:pPr>
        <w:jc w:val="both"/>
        <w:rPr>
          <w:color w:val="000000" w:themeColor="text1"/>
          <w:sz w:val="16"/>
          <w:szCs w:val="16"/>
        </w:rPr>
      </w:pPr>
      <w:r w:rsidRPr="00925F26">
        <w:rPr>
          <w:color w:val="000000" w:themeColor="text1"/>
          <w:sz w:val="16"/>
          <w:szCs w:val="16"/>
        </w:rPr>
        <w:t>Данные истребителя Локхид P-38L «Лайтнинг»</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81"/>
      </w:tblGrid>
      <w:tr w:rsidR="0058703C" w:rsidRPr="00925F26" w14:paraId="1EF3D9C5" w14:textId="77777777" w:rsidTr="004C5D62">
        <w:trPr>
          <w:trHeight w:val="317"/>
        </w:trPr>
        <w:tc>
          <w:tcPr>
            <w:tcW w:w="4186" w:type="dxa"/>
            <w:tcBorders>
              <w:top w:val="single" w:sz="4" w:space="0" w:color="auto"/>
              <w:left w:val="single" w:sz="4" w:space="0" w:color="auto"/>
            </w:tcBorders>
            <w:vAlign w:val="bottom"/>
          </w:tcPr>
          <w:p w14:paraId="4C1C49BA" w14:textId="77777777" w:rsidR="0058703C" w:rsidRPr="00925F26" w:rsidRDefault="0058703C" w:rsidP="00925F26">
            <w:pPr>
              <w:jc w:val="both"/>
              <w:rPr>
                <w:color w:val="000000" w:themeColor="text1"/>
                <w:sz w:val="16"/>
                <w:szCs w:val="16"/>
              </w:rPr>
            </w:pPr>
            <w:r w:rsidRPr="00925F26">
              <w:rPr>
                <w:color w:val="000000" w:themeColor="text1"/>
                <w:sz w:val="16"/>
                <w:szCs w:val="16"/>
              </w:rPr>
              <w:t>Длина, м</w:t>
            </w:r>
          </w:p>
        </w:tc>
        <w:tc>
          <w:tcPr>
            <w:tcW w:w="4181" w:type="dxa"/>
            <w:tcBorders>
              <w:top w:val="single" w:sz="4" w:space="0" w:color="auto"/>
              <w:left w:val="single" w:sz="4" w:space="0" w:color="auto"/>
              <w:right w:val="single" w:sz="4" w:space="0" w:color="auto"/>
            </w:tcBorders>
            <w:vAlign w:val="bottom"/>
          </w:tcPr>
          <w:p w14:paraId="74453AF6" w14:textId="77777777" w:rsidR="0058703C" w:rsidRPr="00925F26" w:rsidRDefault="0058703C" w:rsidP="00925F26">
            <w:pPr>
              <w:jc w:val="both"/>
              <w:rPr>
                <w:color w:val="000000" w:themeColor="text1"/>
                <w:sz w:val="16"/>
                <w:szCs w:val="16"/>
              </w:rPr>
            </w:pPr>
            <w:r w:rsidRPr="00925F26">
              <w:rPr>
                <w:color w:val="000000" w:themeColor="text1"/>
                <w:sz w:val="16"/>
                <w:szCs w:val="16"/>
              </w:rPr>
              <w:t>11,53</w:t>
            </w:r>
          </w:p>
        </w:tc>
      </w:tr>
      <w:tr w:rsidR="0058703C" w:rsidRPr="00925F26" w14:paraId="11B1CE73" w14:textId="77777777" w:rsidTr="004C5D62">
        <w:trPr>
          <w:trHeight w:val="302"/>
        </w:trPr>
        <w:tc>
          <w:tcPr>
            <w:tcW w:w="4186" w:type="dxa"/>
            <w:tcBorders>
              <w:top w:val="single" w:sz="4" w:space="0" w:color="auto"/>
              <w:left w:val="single" w:sz="4" w:space="0" w:color="auto"/>
            </w:tcBorders>
            <w:vAlign w:val="bottom"/>
          </w:tcPr>
          <w:p w14:paraId="0BF60B59" w14:textId="77777777" w:rsidR="0058703C" w:rsidRPr="00925F26" w:rsidRDefault="0058703C" w:rsidP="00925F26">
            <w:pPr>
              <w:jc w:val="both"/>
              <w:rPr>
                <w:color w:val="000000" w:themeColor="text1"/>
                <w:sz w:val="16"/>
                <w:szCs w:val="16"/>
              </w:rPr>
            </w:pPr>
            <w:r w:rsidRPr="00925F26">
              <w:rPr>
                <w:color w:val="000000" w:themeColor="text1"/>
                <w:sz w:val="16"/>
                <w:szCs w:val="16"/>
              </w:rPr>
              <w:t>Размах, м</w:t>
            </w:r>
          </w:p>
        </w:tc>
        <w:tc>
          <w:tcPr>
            <w:tcW w:w="4181" w:type="dxa"/>
            <w:tcBorders>
              <w:top w:val="single" w:sz="4" w:space="0" w:color="auto"/>
              <w:left w:val="single" w:sz="4" w:space="0" w:color="auto"/>
              <w:right w:val="single" w:sz="4" w:space="0" w:color="auto"/>
            </w:tcBorders>
            <w:vAlign w:val="bottom"/>
          </w:tcPr>
          <w:p w14:paraId="791E1252" w14:textId="77777777" w:rsidR="0058703C" w:rsidRPr="00925F26" w:rsidRDefault="0058703C" w:rsidP="00925F26">
            <w:pPr>
              <w:jc w:val="both"/>
              <w:rPr>
                <w:color w:val="000000" w:themeColor="text1"/>
                <w:sz w:val="16"/>
                <w:szCs w:val="16"/>
              </w:rPr>
            </w:pPr>
            <w:r w:rsidRPr="00925F26">
              <w:rPr>
                <w:color w:val="000000" w:themeColor="text1"/>
                <w:sz w:val="16"/>
                <w:szCs w:val="16"/>
              </w:rPr>
              <w:t>15,85</w:t>
            </w:r>
          </w:p>
        </w:tc>
      </w:tr>
      <w:tr w:rsidR="0058703C" w:rsidRPr="00925F26" w14:paraId="38D60A73" w14:textId="77777777" w:rsidTr="004C5D62">
        <w:trPr>
          <w:trHeight w:val="307"/>
        </w:trPr>
        <w:tc>
          <w:tcPr>
            <w:tcW w:w="4186" w:type="dxa"/>
            <w:tcBorders>
              <w:top w:val="single" w:sz="4" w:space="0" w:color="auto"/>
              <w:left w:val="single" w:sz="4" w:space="0" w:color="auto"/>
            </w:tcBorders>
            <w:vAlign w:val="bottom"/>
          </w:tcPr>
          <w:p w14:paraId="6D49D296" w14:textId="77777777" w:rsidR="0058703C" w:rsidRPr="00925F26" w:rsidRDefault="0058703C" w:rsidP="00925F26">
            <w:pPr>
              <w:jc w:val="both"/>
              <w:rPr>
                <w:color w:val="000000" w:themeColor="text1"/>
                <w:sz w:val="16"/>
                <w:szCs w:val="16"/>
              </w:rPr>
            </w:pPr>
            <w:r w:rsidRPr="00925F26">
              <w:rPr>
                <w:color w:val="000000" w:themeColor="text1"/>
                <w:sz w:val="16"/>
                <w:szCs w:val="16"/>
              </w:rPr>
              <w:t>Высота, м</w:t>
            </w:r>
          </w:p>
        </w:tc>
        <w:tc>
          <w:tcPr>
            <w:tcW w:w="4181" w:type="dxa"/>
            <w:tcBorders>
              <w:top w:val="single" w:sz="4" w:space="0" w:color="auto"/>
              <w:left w:val="single" w:sz="4" w:space="0" w:color="auto"/>
              <w:right w:val="single" w:sz="4" w:space="0" w:color="auto"/>
            </w:tcBorders>
            <w:vAlign w:val="bottom"/>
          </w:tcPr>
          <w:p w14:paraId="4420C944" w14:textId="77777777" w:rsidR="0058703C" w:rsidRPr="00925F26" w:rsidRDefault="0058703C" w:rsidP="00925F26">
            <w:pPr>
              <w:jc w:val="both"/>
              <w:rPr>
                <w:color w:val="000000" w:themeColor="text1"/>
                <w:sz w:val="16"/>
                <w:szCs w:val="16"/>
              </w:rPr>
            </w:pPr>
            <w:r w:rsidRPr="00925F26">
              <w:rPr>
                <w:color w:val="000000" w:themeColor="text1"/>
                <w:sz w:val="16"/>
                <w:szCs w:val="16"/>
              </w:rPr>
              <w:t>3,9</w:t>
            </w:r>
          </w:p>
        </w:tc>
      </w:tr>
      <w:tr w:rsidR="0058703C" w:rsidRPr="00925F26" w14:paraId="4B0F7251" w14:textId="77777777" w:rsidTr="004C5D62">
        <w:trPr>
          <w:trHeight w:val="782"/>
        </w:trPr>
        <w:tc>
          <w:tcPr>
            <w:tcW w:w="4186" w:type="dxa"/>
            <w:tcBorders>
              <w:top w:val="single" w:sz="4" w:space="0" w:color="auto"/>
              <w:left w:val="single" w:sz="4" w:space="0" w:color="auto"/>
            </w:tcBorders>
            <w:vAlign w:val="bottom"/>
          </w:tcPr>
          <w:p w14:paraId="065BA1F7" w14:textId="77777777" w:rsidR="0058703C" w:rsidRPr="00925F26" w:rsidRDefault="0058703C" w:rsidP="00925F26">
            <w:pPr>
              <w:jc w:val="both"/>
              <w:rPr>
                <w:color w:val="000000" w:themeColor="text1"/>
                <w:sz w:val="16"/>
                <w:szCs w:val="16"/>
              </w:rPr>
            </w:pPr>
            <w:r w:rsidRPr="00925F26">
              <w:rPr>
                <w:color w:val="000000" w:themeColor="text1"/>
                <w:sz w:val="16"/>
                <w:szCs w:val="16"/>
              </w:rPr>
              <w:t>Вес, кг</w:t>
            </w:r>
          </w:p>
          <w:p w14:paraId="04613F73" w14:textId="77777777" w:rsidR="0058703C" w:rsidRPr="00925F26" w:rsidRDefault="0058703C" w:rsidP="00925F26">
            <w:pPr>
              <w:jc w:val="both"/>
              <w:rPr>
                <w:color w:val="000000" w:themeColor="text1"/>
                <w:sz w:val="16"/>
                <w:szCs w:val="16"/>
              </w:rPr>
            </w:pPr>
            <w:r w:rsidRPr="00925F26">
              <w:rPr>
                <w:color w:val="000000" w:themeColor="text1"/>
                <w:sz w:val="16"/>
                <w:szCs w:val="16"/>
              </w:rPr>
              <w:t>пустого</w:t>
            </w:r>
          </w:p>
          <w:p w14:paraId="21CBD387" w14:textId="77777777" w:rsidR="0058703C" w:rsidRPr="00925F26" w:rsidRDefault="0058703C" w:rsidP="00925F26">
            <w:pPr>
              <w:jc w:val="both"/>
              <w:rPr>
                <w:color w:val="000000" w:themeColor="text1"/>
                <w:sz w:val="16"/>
                <w:szCs w:val="16"/>
              </w:rPr>
            </w:pPr>
            <w:r w:rsidRPr="00925F26">
              <w:rPr>
                <w:color w:val="000000" w:themeColor="text1"/>
                <w:sz w:val="16"/>
                <w:szCs w:val="16"/>
              </w:rPr>
              <w:t>взлетный нормальный</w:t>
            </w:r>
          </w:p>
        </w:tc>
        <w:tc>
          <w:tcPr>
            <w:tcW w:w="4181" w:type="dxa"/>
            <w:tcBorders>
              <w:top w:val="single" w:sz="4" w:space="0" w:color="auto"/>
              <w:left w:val="single" w:sz="4" w:space="0" w:color="auto"/>
              <w:right w:val="single" w:sz="4" w:space="0" w:color="auto"/>
            </w:tcBorders>
            <w:vAlign w:val="bottom"/>
          </w:tcPr>
          <w:p w14:paraId="237EB717" w14:textId="77777777" w:rsidR="0058703C" w:rsidRPr="00925F26" w:rsidRDefault="0058703C" w:rsidP="00925F26">
            <w:pPr>
              <w:jc w:val="both"/>
              <w:rPr>
                <w:color w:val="000000" w:themeColor="text1"/>
                <w:sz w:val="16"/>
                <w:szCs w:val="16"/>
              </w:rPr>
            </w:pPr>
            <w:r w:rsidRPr="00925F26">
              <w:rPr>
                <w:color w:val="000000" w:themeColor="text1"/>
                <w:sz w:val="16"/>
                <w:szCs w:val="16"/>
              </w:rPr>
              <w:t>6205</w:t>
            </w:r>
          </w:p>
          <w:p w14:paraId="4F42A70D" w14:textId="77777777" w:rsidR="0058703C" w:rsidRPr="00925F26" w:rsidRDefault="0058703C" w:rsidP="00925F26">
            <w:pPr>
              <w:jc w:val="both"/>
              <w:rPr>
                <w:color w:val="000000" w:themeColor="text1"/>
                <w:sz w:val="16"/>
                <w:szCs w:val="16"/>
              </w:rPr>
            </w:pPr>
            <w:r w:rsidRPr="00925F26">
              <w:rPr>
                <w:color w:val="000000" w:themeColor="text1"/>
                <w:sz w:val="16"/>
                <w:szCs w:val="16"/>
              </w:rPr>
              <w:t>7950</w:t>
            </w:r>
          </w:p>
        </w:tc>
      </w:tr>
      <w:tr w:rsidR="0058703C" w:rsidRPr="00925F26" w14:paraId="47B52338" w14:textId="77777777" w:rsidTr="004C5D62">
        <w:trPr>
          <w:trHeight w:val="302"/>
        </w:trPr>
        <w:tc>
          <w:tcPr>
            <w:tcW w:w="4186" w:type="dxa"/>
            <w:tcBorders>
              <w:top w:val="single" w:sz="4" w:space="0" w:color="auto"/>
              <w:left w:val="single" w:sz="4" w:space="0" w:color="auto"/>
            </w:tcBorders>
            <w:vAlign w:val="bottom"/>
          </w:tcPr>
          <w:p w14:paraId="2AA16A0A" w14:textId="77777777" w:rsidR="0058703C" w:rsidRPr="00925F26" w:rsidRDefault="0058703C" w:rsidP="00925F26">
            <w:pPr>
              <w:jc w:val="both"/>
              <w:rPr>
                <w:color w:val="000000" w:themeColor="text1"/>
                <w:sz w:val="16"/>
                <w:szCs w:val="16"/>
              </w:rPr>
            </w:pPr>
            <w:r w:rsidRPr="00925F26">
              <w:rPr>
                <w:color w:val="000000" w:themeColor="text1"/>
                <w:sz w:val="16"/>
                <w:szCs w:val="16"/>
              </w:rPr>
              <w:t>Скорость максимальная, км/ч</w:t>
            </w:r>
          </w:p>
        </w:tc>
        <w:tc>
          <w:tcPr>
            <w:tcW w:w="4181" w:type="dxa"/>
            <w:tcBorders>
              <w:top w:val="single" w:sz="4" w:space="0" w:color="auto"/>
              <w:left w:val="single" w:sz="4" w:space="0" w:color="auto"/>
              <w:right w:val="single" w:sz="4" w:space="0" w:color="auto"/>
            </w:tcBorders>
            <w:vAlign w:val="bottom"/>
          </w:tcPr>
          <w:p w14:paraId="0D6DC898" w14:textId="77777777" w:rsidR="0058703C" w:rsidRPr="00925F26" w:rsidRDefault="0058703C" w:rsidP="00925F26">
            <w:pPr>
              <w:jc w:val="both"/>
              <w:rPr>
                <w:color w:val="000000" w:themeColor="text1"/>
                <w:sz w:val="16"/>
                <w:szCs w:val="16"/>
              </w:rPr>
            </w:pPr>
            <w:r w:rsidRPr="00925F26">
              <w:rPr>
                <w:color w:val="000000" w:themeColor="text1"/>
                <w:sz w:val="16"/>
                <w:szCs w:val="16"/>
              </w:rPr>
              <w:t>670</w:t>
            </w:r>
          </w:p>
        </w:tc>
      </w:tr>
      <w:tr w:rsidR="0058703C" w:rsidRPr="00925F26" w14:paraId="479E2A7F" w14:textId="77777777" w:rsidTr="004C5D62">
        <w:trPr>
          <w:trHeight w:val="307"/>
        </w:trPr>
        <w:tc>
          <w:tcPr>
            <w:tcW w:w="4186" w:type="dxa"/>
            <w:tcBorders>
              <w:top w:val="single" w:sz="4" w:space="0" w:color="auto"/>
              <w:left w:val="single" w:sz="4" w:space="0" w:color="auto"/>
            </w:tcBorders>
            <w:vAlign w:val="bottom"/>
          </w:tcPr>
          <w:p w14:paraId="0B14F76F" w14:textId="77777777" w:rsidR="0058703C" w:rsidRPr="00925F26" w:rsidRDefault="0058703C" w:rsidP="00925F26">
            <w:pPr>
              <w:jc w:val="both"/>
              <w:rPr>
                <w:color w:val="000000" w:themeColor="text1"/>
                <w:sz w:val="16"/>
                <w:szCs w:val="16"/>
              </w:rPr>
            </w:pPr>
            <w:r w:rsidRPr="00925F26">
              <w:rPr>
                <w:color w:val="000000" w:themeColor="text1"/>
                <w:sz w:val="16"/>
                <w:szCs w:val="16"/>
              </w:rPr>
              <w:t>Практический потолок, м</w:t>
            </w:r>
          </w:p>
        </w:tc>
        <w:tc>
          <w:tcPr>
            <w:tcW w:w="4181" w:type="dxa"/>
            <w:tcBorders>
              <w:top w:val="single" w:sz="4" w:space="0" w:color="auto"/>
              <w:left w:val="single" w:sz="4" w:space="0" w:color="auto"/>
              <w:right w:val="single" w:sz="4" w:space="0" w:color="auto"/>
            </w:tcBorders>
            <w:vAlign w:val="bottom"/>
          </w:tcPr>
          <w:p w14:paraId="3E6519DE" w14:textId="77777777" w:rsidR="0058703C" w:rsidRPr="00925F26" w:rsidRDefault="0058703C" w:rsidP="00925F26">
            <w:pPr>
              <w:jc w:val="both"/>
              <w:rPr>
                <w:color w:val="000000" w:themeColor="text1"/>
                <w:sz w:val="16"/>
                <w:szCs w:val="16"/>
              </w:rPr>
            </w:pPr>
            <w:r w:rsidRPr="00925F26">
              <w:rPr>
                <w:color w:val="000000" w:themeColor="text1"/>
                <w:sz w:val="16"/>
                <w:szCs w:val="16"/>
              </w:rPr>
              <w:t>13 600</w:t>
            </w:r>
          </w:p>
        </w:tc>
      </w:tr>
      <w:tr w:rsidR="0058703C" w:rsidRPr="00925F26" w14:paraId="14BF4CB6" w14:textId="77777777" w:rsidTr="004C5D62">
        <w:trPr>
          <w:trHeight w:val="302"/>
        </w:trPr>
        <w:tc>
          <w:tcPr>
            <w:tcW w:w="4186" w:type="dxa"/>
            <w:tcBorders>
              <w:top w:val="single" w:sz="4" w:space="0" w:color="auto"/>
              <w:left w:val="single" w:sz="4" w:space="0" w:color="auto"/>
            </w:tcBorders>
            <w:vAlign w:val="bottom"/>
          </w:tcPr>
          <w:p w14:paraId="19D1239B" w14:textId="77777777" w:rsidR="0058703C" w:rsidRPr="00925F26" w:rsidRDefault="0058703C" w:rsidP="00925F26">
            <w:pPr>
              <w:jc w:val="both"/>
              <w:rPr>
                <w:color w:val="000000" w:themeColor="text1"/>
                <w:sz w:val="16"/>
                <w:szCs w:val="16"/>
              </w:rPr>
            </w:pPr>
            <w:r w:rsidRPr="00925F26">
              <w:rPr>
                <w:color w:val="000000" w:themeColor="text1"/>
                <w:sz w:val="16"/>
                <w:szCs w:val="16"/>
              </w:rPr>
              <w:t>Дальность полета, км</w:t>
            </w:r>
          </w:p>
        </w:tc>
        <w:tc>
          <w:tcPr>
            <w:tcW w:w="4181" w:type="dxa"/>
            <w:tcBorders>
              <w:top w:val="single" w:sz="4" w:space="0" w:color="auto"/>
              <w:left w:val="single" w:sz="4" w:space="0" w:color="auto"/>
              <w:right w:val="single" w:sz="4" w:space="0" w:color="auto"/>
            </w:tcBorders>
            <w:vAlign w:val="bottom"/>
          </w:tcPr>
          <w:p w14:paraId="074FA024" w14:textId="77777777" w:rsidR="0058703C" w:rsidRPr="00925F26" w:rsidRDefault="0058703C" w:rsidP="00925F26">
            <w:pPr>
              <w:jc w:val="both"/>
              <w:rPr>
                <w:color w:val="000000" w:themeColor="text1"/>
                <w:sz w:val="16"/>
                <w:szCs w:val="16"/>
              </w:rPr>
            </w:pPr>
            <w:r w:rsidRPr="00925F26">
              <w:rPr>
                <w:color w:val="000000" w:themeColor="text1"/>
                <w:sz w:val="16"/>
                <w:szCs w:val="16"/>
              </w:rPr>
              <w:t>3370</w:t>
            </w:r>
          </w:p>
        </w:tc>
      </w:tr>
      <w:tr w:rsidR="0058703C" w:rsidRPr="00925F26" w14:paraId="5E528CEB" w14:textId="77777777" w:rsidTr="004C5D62">
        <w:trPr>
          <w:trHeight w:val="307"/>
        </w:trPr>
        <w:tc>
          <w:tcPr>
            <w:tcW w:w="4186" w:type="dxa"/>
            <w:tcBorders>
              <w:top w:val="single" w:sz="4" w:space="0" w:color="auto"/>
              <w:left w:val="single" w:sz="4" w:space="0" w:color="auto"/>
            </w:tcBorders>
            <w:vAlign w:val="bottom"/>
          </w:tcPr>
          <w:p w14:paraId="09EEAE79" w14:textId="77777777" w:rsidR="0058703C" w:rsidRPr="00925F26" w:rsidRDefault="0058703C" w:rsidP="00925F26">
            <w:pPr>
              <w:jc w:val="both"/>
              <w:rPr>
                <w:color w:val="000000" w:themeColor="text1"/>
                <w:sz w:val="16"/>
                <w:szCs w:val="16"/>
              </w:rPr>
            </w:pPr>
            <w:r w:rsidRPr="00925F26">
              <w:rPr>
                <w:color w:val="000000" w:themeColor="text1"/>
                <w:sz w:val="16"/>
                <w:szCs w:val="16"/>
              </w:rPr>
              <w:t>Вооружение</w:t>
            </w:r>
          </w:p>
        </w:tc>
        <w:tc>
          <w:tcPr>
            <w:tcW w:w="4181" w:type="dxa"/>
            <w:tcBorders>
              <w:top w:val="single" w:sz="4" w:space="0" w:color="auto"/>
              <w:left w:val="single" w:sz="4" w:space="0" w:color="auto"/>
              <w:right w:val="single" w:sz="4" w:space="0" w:color="auto"/>
            </w:tcBorders>
            <w:vAlign w:val="bottom"/>
          </w:tcPr>
          <w:p w14:paraId="24A80EF5" w14:textId="77777777" w:rsidR="0058703C" w:rsidRPr="00925F26" w:rsidRDefault="0058703C" w:rsidP="00925F26">
            <w:pPr>
              <w:jc w:val="both"/>
              <w:rPr>
                <w:color w:val="000000" w:themeColor="text1"/>
                <w:sz w:val="16"/>
                <w:szCs w:val="16"/>
              </w:rPr>
            </w:pPr>
            <w:r w:rsidRPr="00925F26">
              <w:rPr>
                <w:color w:val="000000" w:themeColor="text1"/>
                <w:sz w:val="16"/>
                <w:szCs w:val="16"/>
              </w:rPr>
              <w:t>1x20+4x12,7</w:t>
            </w:r>
          </w:p>
        </w:tc>
      </w:tr>
      <w:tr w:rsidR="0058703C" w:rsidRPr="00925F26" w14:paraId="6F06D7A9" w14:textId="77777777" w:rsidTr="004C5D62">
        <w:trPr>
          <w:trHeight w:val="317"/>
        </w:trPr>
        <w:tc>
          <w:tcPr>
            <w:tcW w:w="4186" w:type="dxa"/>
            <w:tcBorders>
              <w:top w:val="single" w:sz="4" w:space="0" w:color="auto"/>
              <w:left w:val="single" w:sz="4" w:space="0" w:color="auto"/>
              <w:bottom w:val="single" w:sz="4" w:space="0" w:color="auto"/>
            </w:tcBorders>
            <w:vAlign w:val="bottom"/>
          </w:tcPr>
          <w:p w14:paraId="1FF4EAE4" w14:textId="77777777" w:rsidR="0058703C" w:rsidRPr="00925F26" w:rsidRDefault="0058703C" w:rsidP="00925F26">
            <w:pPr>
              <w:jc w:val="both"/>
              <w:rPr>
                <w:color w:val="000000" w:themeColor="text1"/>
                <w:sz w:val="16"/>
                <w:szCs w:val="16"/>
              </w:rPr>
            </w:pPr>
            <w:r w:rsidRPr="00925F26">
              <w:rPr>
                <w:color w:val="000000" w:themeColor="text1"/>
                <w:sz w:val="16"/>
                <w:szCs w:val="16"/>
              </w:rPr>
              <w:t>Бомбовая нагрузка, кг</w:t>
            </w:r>
          </w:p>
        </w:tc>
        <w:tc>
          <w:tcPr>
            <w:tcW w:w="4181" w:type="dxa"/>
            <w:tcBorders>
              <w:top w:val="single" w:sz="4" w:space="0" w:color="auto"/>
              <w:left w:val="single" w:sz="4" w:space="0" w:color="auto"/>
              <w:bottom w:val="single" w:sz="4" w:space="0" w:color="auto"/>
              <w:right w:val="single" w:sz="4" w:space="0" w:color="auto"/>
            </w:tcBorders>
            <w:vAlign w:val="bottom"/>
          </w:tcPr>
          <w:p w14:paraId="11E3E64D" w14:textId="77777777" w:rsidR="0058703C" w:rsidRPr="00925F26" w:rsidRDefault="0058703C" w:rsidP="00925F26">
            <w:pPr>
              <w:jc w:val="both"/>
              <w:rPr>
                <w:color w:val="000000" w:themeColor="text1"/>
                <w:sz w:val="16"/>
                <w:szCs w:val="16"/>
              </w:rPr>
            </w:pPr>
            <w:r w:rsidRPr="00925F26">
              <w:rPr>
                <w:color w:val="000000" w:themeColor="text1"/>
                <w:sz w:val="16"/>
                <w:szCs w:val="16"/>
              </w:rPr>
              <w:t>1816</w:t>
            </w:r>
          </w:p>
        </w:tc>
      </w:tr>
    </w:tbl>
    <w:p w14:paraId="748C575E"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(23513) </w:t>
      </w:r>
    </w:p>
    <w:p w14:paraId="47009D6B" w14:textId="77777777" w:rsidR="0058703C" w:rsidRPr="00925F26" w:rsidRDefault="0058703C" w:rsidP="00925F26">
      <w:pPr>
        <w:jc w:val="both"/>
        <w:rPr>
          <w:color w:val="000000" w:themeColor="text1"/>
          <w:sz w:val="16"/>
          <w:szCs w:val="16"/>
        </w:rPr>
      </w:pPr>
    </w:p>
    <w:p w14:paraId="039A5C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М-105ПВ испытывался на самолетах Як-3 и Пе-2. М-105ПВ (ВК-105ПВ), М-105ПФ с ПЦН от мотора М-1. Создан на заводе № 16 в 1944 г. Номинальная мощность 1320 л.с. (11852)</w:t>
      </w:r>
    </w:p>
    <w:p w14:paraId="53D472B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84157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января по конец февраля 1945 г. экипажем Б.Г. Говорова проводились заводские испытания первого Пе-8ОН.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АЧ-ЗОБ работали удовлетворительно, хотя наблюдались выбивание масла </w:t>
      </w:r>
      <w:proofErr w:type="gramStart"/>
      <w:r w:rsidRPr="00925F26">
        <w:rPr>
          <w:color w:val="000000" w:themeColor="text1"/>
          <w:sz w:val="16"/>
          <w:szCs w:val="16"/>
        </w:rPr>
        <w:t>через суфлёр</w:t>
      </w:r>
      <w:proofErr w:type="gramEnd"/>
      <w:r w:rsidRPr="00925F26">
        <w:rPr>
          <w:color w:val="000000" w:themeColor="text1"/>
          <w:sz w:val="16"/>
          <w:szCs w:val="16"/>
        </w:rPr>
        <w:t xml:space="preserve">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1DB6857E" w14:textId="77777777" w:rsidR="00C2313B" w:rsidRPr="00925F26" w:rsidRDefault="00C2313B" w:rsidP="00925F26">
      <w:pPr>
        <w:autoSpaceDE w:val="0"/>
        <w:autoSpaceDN w:val="0"/>
        <w:adjustRightInd w:val="0"/>
        <w:jc w:val="both"/>
        <w:rPr>
          <w:color w:val="000000" w:themeColor="text1"/>
          <w:sz w:val="16"/>
          <w:szCs w:val="16"/>
        </w:rPr>
      </w:pPr>
    </w:p>
    <w:p w14:paraId="108A6D3F" w14:textId="77777777" w:rsidR="00F5318A" w:rsidRPr="001A0BAA" w:rsidRDefault="00F5318A" w:rsidP="00F5318A">
      <w:pPr>
        <w:jc w:val="both"/>
        <w:rPr>
          <w:color w:val="0070C0"/>
          <w:sz w:val="16"/>
          <w:szCs w:val="16"/>
        </w:rPr>
      </w:pPr>
      <w:r w:rsidRPr="001A0BAA">
        <w:rPr>
          <w:color w:val="0070C0"/>
          <w:sz w:val="16"/>
          <w:szCs w:val="16"/>
        </w:rPr>
        <w:t>В январе 1945 г. одну машину Ли-2 119-й серии (№ 18411906) передали в НИИ ВВС на государствен</w:t>
      </w:r>
      <w:r w:rsidRPr="001A0BAA">
        <w:rPr>
          <w:color w:val="0070C0"/>
          <w:sz w:val="16"/>
          <w:szCs w:val="16"/>
        </w:rPr>
        <w:softHyphen/>
        <w:t>ные испытания. Новый «НБ» испытывал экипаж из пилота М.А. Нюхтикова и штурмана Н.П. Цветкова. Летные дан</w:t>
      </w:r>
      <w:r w:rsidRPr="001A0BAA">
        <w:rPr>
          <w:color w:val="0070C0"/>
          <w:sz w:val="16"/>
          <w:szCs w:val="16"/>
        </w:rPr>
        <w:softHyphen/>
        <w:t>ные, по сравнению с серийными Ли-2, не изменились. Обзор у штурмана стал ху</w:t>
      </w:r>
      <w:r w:rsidRPr="001A0BAA">
        <w:rPr>
          <w:color w:val="0070C0"/>
          <w:sz w:val="16"/>
          <w:szCs w:val="16"/>
        </w:rPr>
        <w:softHyphen/>
        <w:t>же, чем раньше, при этом связи между пилотами и штурманом не имелось. Но изменения, по отношению к машинам предыдущих серий, были минимальны, и внедрение Ли-2НБ в производство со</w:t>
      </w:r>
      <w:r w:rsidRPr="001A0BAA">
        <w:rPr>
          <w:color w:val="0070C0"/>
          <w:sz w:val="16"/>
          <w:szCs w:val="16"/>
        </w:rPr>
        <w:softHyphen/>
        <w:t>чли оправданным. Эти самолеты приня</w:t>
      </w:r>
      <w:r w:rsidRPr="001A0BAA">
        <w:rPr>
          <w:color w:val="0070C0"/>
          <w:sz w:val="16"/>
          <w:szCs w:val="16"/>
        </w:rPr>
        <w:softHyphen/>
        <w:t>ли участие во многих операциях завер</w:t>
      </w:r>
      <w:r w:rsidRPr="001A0BAA">
        <w:rPr>
          <w:color w:val="0070C0"/>
          <w:sz w:val="16"/>
          <w:szCs w:val="16"/>
        </w:rPr>
        <w:softHyphen/>
        <w:t>шающего периода войны и как бомбар</w:t>
      </w:r>
      <w:r w:rsidRPr="001A0BAA">
        <w:rPr>
          <w:color w:val="0070C0"/>
          <w:sz w:val="16"/>
          <w:szCs w:val="16"/>
        </w:rPr>
        <w:softHyphen/>
        <w:t>дировщики, и как транспортники.</w:t>
      </w:r>
    </w:p>
    <w:p w14:paraId="298DB1E6" w14:textId="77777777" w:rsidR="00F5318A" w:rsidRPr="001A0BAA" w:rsidRDefault="00F5318A" w:rsidP="00F5318A">
      <w:pPr>
        <w:jc w:val="both"/>
        <w:rPr>
          <w:color w:val="0070C0"/>
          <w:sz w:val="16"/>
          <w:szCs w:val="16"/>
        </w:rPr>
      </w:pPr>
      <w:r w:rsidRPr="001A0BAA">
        <w:rPr>
          <w:color w:val="0070C0"/>
          <w:sz w:val="16"/>
          <w:szCs w:val="16"/>
        </w:rPr>
        <w:t>Испытания самолета 119-й серии еще раз подтвердили неэффективность су</w:t>
      </w:r>
      <w:r w:rsidRPr="001A0BAA">
        <w:rPr>
          <w:color w:val="0070C0"/>
          <w:sz w:val="16"/>
          <w:szCs w:val="16"/>
        </w:rPr>
        <w:softHyphen/>
        <w:t>ществующего антиобледенительного оборудования. В связи с этим в США ре шили заказать пневматические антиоб</w:t>
      </w:r>
      <w:r w:rsidRPr="001A0BAA">
        <w:rPr>
          <w:color w:val="0070C0"/>
          <w:sz w:val="16"/>
          <w:szCs w:val="16"/>
        </w:rPr>
        <w:softHyphen/>
        <w:t>леденители «Гудрич», хорошо зареко</w:t>
      </w:r>
      <w:r w:rsidRPr="001A0BAA">
        <w:rPr>
          <w:color w:val="0070C0"/>
          <w:sz w:val="16"/>
          <w:szCs w:val="16"/>
        </w:rPr>
        <w:softHyphen/>
        <w:t>мендовавшие себя на DC-3 и С-47. На заводе № 84 разработали проект их раз</w:t>
      </w:r>
      <w:r w:rsidRPr="001A0BAA">
        <w:rPr>
          <w:color w:val="0070C0"/>
          <w:sz w:val="16"/>
          <w:szCs w:val="16"/>
        </w:rPr>
        <w:softHyphen/>
        <w:t>мещения на самолете (25015).</w:t>
      </w:r>
    </w:p>
    <w:p w14:paraId="3BEE9E3F" w14:textId="77777777" w:rsidR="00F5318A" w:rsidRPr="001A0BAA" w:rsidRDefault="00F5318A" w:rsidP="00F5318A">
      <w:pPr>
        <w:jc w:val="both"/>
        <w:rPr>
          <w:color w:val="0070C0"/>
          <w:sz w:val="16"/>
          <w:szCs w:val="16"/>
        </w:rPr>
      </w:pPr>
    </w:p>
    <w:p w14:paraId="7E2BE379" w14:textId="77777777" w:rsidR="00BC1830" w:rsidRPr="00925F26" w:rsidRDefault="00BC1830" w:rsidP="00925F26">
      <w:pPr>
        <w:jc w:val="both"/>
        <w:rPr>
          <w:color w:val="000000" w:themeColor="text1"/>
          <w:sz w:val="16"/>
          <w:szCs w:val="16"/>
        </w:rPr>
      </w:pPr>
      <w:r w:rsidRPr="00925F26">
        <w:rPr>
          <w:color w:val="000000" w:themeColor="text1"/>
          <w:sz w:val="16"/>
          <w:szCs w:val="16"/>
        </w:rPr>
        <w:t>В январе 1945 г. в докладе «О ра</w:t>
      </w:r>
      <w:r w:rsidRPr="00925F26">
        <w:rPr>
          <w:color w:val="000000" w:themeColor="text1"/>
          <w:sz w:val="16"/>
          <w:szCs w:val="16"/>
        </w:rPr>
        <w:softHyphen/>
        <w:t>боте моторов АШ-82ФН, установленных на самолётах Ла-5 и Ла-7 в 1-м Гвардейском истребительном авиационном Минском корпусе» говорилось:</w:t>
      </w:r>
    </w:p>
    <w:p w14:paraId="74C29BB4" w14:textId="77777777" w:rsidR="00BC1830" w:rsidRPr="00925F26" w:rsidRDefault="00BC1830" w:rsidP="00925F26">
      <w:pPr>
        <w:jc w:val="both"/>
        <w:rPr>
          <w:color w:val="000000" w:themeColor="text1"/>
          <w:sz w:val="16"/>
          <w:szCs w:val="16"/>
        </w:rPr>
      </w:pPr>
      <w:r w:rsidRPr="00925F26">
        <w:rPr>
          <w:color w:val="000000" w:themeColor="text1"/>
          <w:sz w:val="16"/>
          <w:szCs w:val="16"/>
        </w:rPr>
        <w:t>«Первоначальное объяснение причин ступенчатой выработки цилиндров — «эксплу</w:t>
      </w:r>
      <w:r w:rsidRPr="00925F26">
        <w:rPr>
          <w:color w:val="000000" w:themeColor="text1"/>
          <w:sz w:val="16"/>
          <w:szCs w:val="16"/>
        </w:rPr>
        <w:softHyphen/>
        <w:t>атация самолётов на пыльных аэродромах», явилось не правильным, так как целый ряд предупредительных мероприя</w:t>
      </w:r>
      <w:r w:rsidRPr="00925F26">
        <w:rPr>
          <w:color w:val="000000" w:themeColor="text1"/>
          <w:sz w:val="16"/>
          <w:szCs w:val="16"/>
        </w:rPr>
        <w:softHyphen/>
        <w:t>тий (смазывание маслом внут</w:t>
      </w:r>
      <w:r w:rsidRPr="00925F26">
        <w:rPr>
          <w:color w:val="000000" w:themeColor="text1"/>
          <w:sz w:val="16"/>
          <w:szCs w:val="16"/>
        </w:rPr>
        <w:softHyphen/>
        <w:t>ренней полости всасывающего сопла и противопыльных фильтров, регулярная замена масла через каждые пять часов полёта, строгое соблюдение правил эксплуатации данного мотора лётным составом и дру</w:t>
      </w:r>
      <w:r w:rsidRPr="00925F26">
        <w:rPr>
          <w:color w:val="000000" w:themeColor="text1"/>
          <w:sz w:val="16"/>
          <w:szCs w:val="16"/>
        </w:rPr>
        <w:softHyphen/>
        <w:t>гих мероприятий, проводимые техническим составом) положи</w:t>
      </w:r>
      <w:r w:rsidRPr="00925F26">
        <w:rPr>
          <w:color w:val="000000" w:themeColor="text1"/>
          <w:sz w:val="16"/>
          <w:szCs w:val="16"/>
        </w:rPr>
        <w:softHyphen/>
        <w:t>тельных результатов по умень</w:t>
      </w:r>
      <w:r w:rsidRPr="00925F26">
        <w:rPr>
          <w:color w:val="000000" w:themeColor="text1"/>
          <w:sz w:val="16"/>
          <w:szCs w:val="16"/>
        </w:rPr>
        <w:softHyphen/>
        <w:t>шению расхода масла не дало, а поэтому основной причиной ступенчатой выработки цилиндров нужно считать: — несоответствие техническим условиям изготовление цилиндров, поршневых колец и направляющих клапанов» (15829).</w:t>
      </w:r>
    </w:p>
    <w:p w14:paraId="68DC473E" w14:textId="77777777" w:rsidR="00BC1830" w:rsidRPr="00925F26" w:rsidRDefault="00BC1830" w:rsidP="00925F26">
      <w:pPr>
        <w:jc w:val="both"/>
        <w:rPr>
          <w:color w:val="000000" w:themeColor="text1"/>
          <w:sz w:val="16"/>
          <w:szCs w:val="16"/>
        </w:rPr>
      </w:pPr>
    </w:p>
    <w:p w14:paraId="65A6034B" w14:textId="77777777" w:rsidR="00BC1830" w:rsidRPr="00925F26" w:rsidRDefault="00BC1830" w:rsidP="00925F26">
      <w:pPr>
        <w:jc w:val="both"/>
        <w:rPr>
          <w:color w:val="000000" w:themeColor="text1"/>
          <w:sz w:val="16"/>
          <w:szCs w:val="16"/>
        </w:rPr>
      </w:pPr>
      <w:r w:rsidRPr="00925F26">
        <w:rPr>
          <w:color w:val="000000" w:themeColor="text1"/>
          <w:sz w:val="16"/>
          <w:szCs w:val="16"/>
        </w:rPr>
        <w:t>В январе 1945 г. в отчёте старшего военпреда завода №19 инженер-майора И.К. Четверика отмеча</w:t>
      </w:r>
      <w:r w:rsidRPr="00925F26">
        <w:rPr>
          <w:color w:val="000000" w:themeColor="text1"/>
          <w:sz w:val="16"/>
          <w:szCs w:val="16"/>
        </w:rPr>
        <w:softHyphen/>
        <w:t>лось:</w:t>
      </w:r>
    </w:p>
    <w:p w14:paraId="2CD9320F" w14:textId="77777777" w:rsidR="00BC1830" w:rsidRPr="00925F26" w:rsidRDefault="00BC1830" w:rsidP="00925F26">
      <w:pPr>
        <w:jc w:val="both"/>
        <w:rPr>
          <w:color w:val="000000" w:themeColor="text1"/>
          <w:sz w:val="16"/>
          <w:szCs w:val="16"/>
        </w:rPr>
      </w:pPr>
      <w:r w:rsidRPr="00925F26">
        <w:rPr>
          <w:color w:val="000000" w:themeColor="text1"/>
          <w:sz w:val="16"/>
          <w:szCs w:val="16"/>
        </w:rPr>
        <w:t>«...Эксплуатация моторов проводилась на Ту-2, Пе-8, Ла-5, Ла-7, Ли-2. На Ту-2 и Пе-8 в большинстве случаев моторы отрабатывают свой ресурс, а на всех остальных лимитирует цилиндро</w:t>
      </w:r>
      <w:r w:rsidRPr="00925F26">
        <w:rPr>
          <w:color w:val="000000" w:themeColor="text1"/>
          <w:sz w:val="16"/>
          <w:szCs w:val="16"/>
        </w:rPr>
        <w:softHyphen/>
        <w:t>вая группа, особенно на Ла-7.</w:t>
      </w:r>
    </w:p>
    <w:p w14:paraId="23622CD0" w14:textId="77777777" w:rsidR="00BC1830" w:rsidRPr="00925F26" w:rsidRDefault="00BC1830" w:rsidP="00925F26">
      <w:pPr>
        <w:jc w:val="both"/>
        <w:rPr>
          <w:color w:val="000000" w:themeColor="text1"/>
          <w:sz w:val="16"/>
          <w:szCs w:val="16"/>
        </w:rPr>
      </w:pPr>
      <w:r w:rsidRPr="00925F26">
        <w:rPr>
          <w:color w:val="000000" w:themeColor="text1"/>
          <w:sz w:val="16"/>
          <w:szCs w:val="16"/>
        </w:rPr>
        <w:t>Для устранения преждевременного износа ци</w:t>
      </w:r>
      <w:r w:rsidRPr="00925F26">
        <w:rPr>
          <w:color w:val="000000" w:themeColor="text1"/>
          <w:sz w:val="16"/>
          <w:szCs w:val="16"/>
        </w:rPr>
        <w:softHyphen/>
        <w:t>линдровой группы на самолётах Ла-7 заводом вы</w:t>
      </w:r>
      <w:r w:rsidRPr="00925F26">
        <w:rPr>
          <w:color w:val="000000" w:themeColor="text1"/>
          <w:sz w:val="16"/>
          <w:szCs w:val="16"/>
        </w:rPr>
        <w:softHyphen/>
        <w:t>пускается эксплуатационный бюллетень, в котором предусмотрены профилактические мероприятия...» (15829).</w:t>
      </w:r>
    </w:p>
    <w:p w14:paraId="085DE65B" w14:textId="77777777" w:rsidR="00BC1830" w:rsidRPr="00925F26" w:rsidRDefault="00BC1830" w:rsidP="00925F26">
      <w:pPr>
        <w:jc w:val="both"/>
        <w:rPr>
          <w:color w:val="000000" w:themeColor="text1"/>
          <w:sz w:val="16"/>
          <w:szCs w:val="16"/>
        </w:rPr>
      </w:pPr>
      <w:r w:rsidRPr="00925F26">
        <w:rPr>
          <w:color w:val="000000" w:themeColor="text1"/>
          <w:sz w:val="16"/>
          <w:szCs w:val="16"/>
        </w:rPr>
        <w:t>В марте 1945 в отчёте старшего военпреда завода №19 инженер-майора И.К. Четверика отмеча</w:t>
      </w:r>
      <w:r w:rsidRPr="00925F26">
        <w:rPr>
          <w:color w:val="000000" w:themeColor="text1"/>
          <w:sz w:val="16"/>
          <w:szCs w:val="16"/>
        </w:rPr>
        <w:softHyphen/>
        <w:t>лось:</w:t>
      </w:r>
    </w:p>
    <w:p w14:paraId="155AECC8" w14:textId="77777777" w:rsidR="00BC1830" w:rsidRPr="00925F26" w:rsidRDefault="00BC1830" w:rsidP="00925F26">
      <w:pPr>
        <w:jc w:val="both"/>
        <w:rPr>
          <w:color w:val="000000" w:themeColor="text1"/>
          <w:sz w:val="16"/>
          <w:szCs w:val="16"/>
        </w:rPr>
      </w:pPr>
      <w:r w:rsidRPr="00925F26">
        <w:rPr>
          <w:color w:val="000000" w:themeColor="text1"/>
          <w:sz w:val="16"/>
          <w:szCs w:val="16"/>
        </w:rPr>
        <w:t>«В каждой воздушной армии созданы то</w:t>
      </w:r>
      <w:r w:rsidRPr="00925F26">
        <w:rPr>
          <w:color w:val="000000" w:themeColor="text1"/>
          <w:sz w:val="16"/>
          <w:szCs w:val="16"/>
        </w:rPr>
        <w:softHyphen/>
        <w:t>чки по замене цилиндров на Ла-7, куда выделены заводские бригады. Для меньшего простоя самолё</w:t>
      </w:r>
      <w:r w:rsidRPr="00925F26">
        <w:rPr>
          <w:color w:val="000000" w:themeColor="text1"/>
          <w:sz w:val="16"/>
          <w:szCs w:val="16"/>
        </w:rPr>
        <w:softHyphen/>
        <w:t>ты в указанные точки приходят лётом, где после за</w:t>
      </w:r>
      <w:r w:rsidRPr="00925F26">
        <w:rPr>
          <w:color w:val="000000" w:themeColor="text1"/>
          <w:sz w:val="16"/>
          <w:szCs w:val="16"/>
        </w:rPr>
        <w:softHyphen/>
        <w:t>мены цилиндровой группы проводят приработку мотора и облёт по кругу, с последующей отметкой в формуляре о допуске мотора к эксплоатации...</w:t>
      </w:r>
    </w:p>
    <w:p w14:paraId="5C3A5F37" w14:textId="77777777" w:rsidR="00BC1830" w:rsidRPr="00925F26" w:rsidRDefault="00BC1830" w:rsidP="00925F26">
      <w:pPr>
        <w:jc w:val="both"/>
        <w:rPr>
          <w:color w:val="000000" w:themeColor="text1"/>
          <w:sz w:val="16"/>
          <w:szCs w:val="16"/>
        </w:rPr>
      </w:pPr>
      <w:r w:rsidRPr="00925F26">
        <w:rPr>
          <w:color w:val="000000" w:themeColor="text1"/>
          <w:sz w:val="16"/>
          <w:szCs w:val="16"/>
        </w:rPr>
        <w:t>Из поступивших отчётов можно сделать вывод, что цилиндровая группа моторов АШ-82ФН лими</w:t>
      </w:r>
      <w:r w:rsidRPr="00925F26">
        <w:rPr>
          <w:color w:val="000000" w:themeColor="text1"/>
          <w:sz w:val="16"/>
          <w:szCs w:val="16"/>
        </w:rPr>
        <w:softHyphen/>
        <w:t>тирует ресурс работы моторов как на Ла-7, так и на Ла-5. Выработка установленного ресурса рабо</w:t>
      </w:r>
      <w:r w:rsidRPr="00925F26">
        <w:rPr>
          <w:color w:val="000000" w:themeColor="text1"/>
          <w:sz w:val="16"/>
          <w:szCs w:val="16"/>
        </w:rPr>
        <w:softHyphen/>
        <w:t>ты мотора является редким явлением, и притом с заменой нескольких цилиндров...» (14829).</w:t>
      </w:r>
    </w:p>
    <w:p w14:paraId="4663A16A" w14:textId="77777777" w:rsidR="00BC1830" w:rsidRPr="00925F26" w:rsidRDefault="00BC1830" w:rsidP="00925F26">
      <w:pPr>
        <w:jc w:val="both"/>
        <w:rPr>
          <w:color w:val="000000" w:themeColor="text1"/>
          <w:sz w:val="16"/>
          <w:szCs w:val="16"/>
        </w:rPr>
      </w:pPr>
    </w:p>
    <w:p w14:paraId="448E23C2" w14:textId="77777777" w:rsidR="00F5318A" w:rsidRPr="001A0BAA" w:rsidRDefault="00F5318A" w:rsidP="00F5318A">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январе 1945 г. на заводских испытаниях мотора АМ-39ФН с непосредственным впрыском топлива была зафик</w:t>
      </w:r>
      <w:r w:rsidRPr="001A0BAA">
        <w:rPr>
          <w:rStyle w:val="aff0"/>
          <w:rFonts w:ascii="Times New Roman" w:hAnsi="Times New Roman" w:cs="Times New Roman"/>
          <w:color w:val="0070C0"/>
          <w:spacing w:val="0"/>
          <w:sz w:val="16"/>
          <w:szCs w:val="16"/>
        </w:rPr>
        <w:softHyphen/>
        <w:t>сирована максимальная мощность 1850 л.с., позже ее довели до 2130 л.с. И все же этот вариант двигателя запоздал и оказался, по сути, невостребованным для серийных машин (25145).</w:t>
      </w:r>
    </w:p>
    <w:p w14:paraId="1BFEA9C3" w14:textId="77777777" w:rsidR="00F5318A" w:rsidRPr="001A0BAA" w:rsidRDefault="00F5318A" w:rsidP="00F5318A">
      <w:pPr>
        <w:jc w:val="both"/>
        <w:rPr>
          <w:color w:val="0070C0"/>
          <w:sz w:val="16"/>
          <w:szCs w:val="16"/>
        </w:rPr>
      </w:pPr>
    </w:p>
    <w:p w14:paraId="773430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январе 1945 года А.И.Шахурин писал письмо наркому ВМФ адмиралу </w:t>
      </w:r>
      <w:proofErr w:type="gramStart"/>
      <w:r w:rsidRPr="00925F26">
        <w:rPr>
          <w:color w:val="000000" w:themeColor="text1"/>
          <w:sz w:val="16"/>
          <w:szCs w:val="16"/>
        </w:rPr>
        <w:t>Кузнецову</w:t>
      </w:r>
      <w:proofErr w:type="gramEnd"/>
      <w:r w:rsidRPr="00925F26">
        <w:rPr>
          <w:color w:val="000000" w:themeColor="text1"/>
          <w:sz w:val="16"/>
          <w:szCs w:val="16"/>
        </w:rPr>
        <w:t xml:space="preserve"> На N 97сс</w:t>
      </w:r>
    </w:p>
    <w:p w14:paraId="28388C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Согласен включить в проект Постановления ГОКО задание опытно-конструкторскому бюро завода N 455 конструктивно разработать и отработать техническую документацию на прибор ХАРП-250-200А.</w:t>
      </w:r>
    </w:p>
    <w:p w14:paraId="1C64E3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Изготовление опытных образцов для гос. испытаний ОКБ-455 поручить </w:t>
      </w:r>
      <w:proofErr w:type="gramStart"/>
      <w:r w:rsidRPr="00925F26">
        <w:rPr>
          <w:color w:val="000000" w:themeColor="text1"/>
          <w:sz w:val="16"/>
          <w:szCs w:val="16"/>
        </w:rPr>
        <w:t>не возможно</w:t>
      </w:r>
      <w:proofErr w:type="gramEnd"/>
      <w:r w:rsidRPr="00925F26">
        <w:rPr>
          <w:color w:val="000000" w:themeColor="text1"/>
          <w:sz w:val="16"/>
          <w:szCs w:val="16"/>
        </w:rPr>
        <w:t xml:space="preserve"> из-за отсутствия производственных мощностей.</w:t>
      </w:r>
    </w:p>
    <w:p w14:paraId="657D1A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Изготовление опытной партии по чертежам ОКБ-455 для гос. испытаний целесообразно поручить НКБ (завод N 67), так как аналогичный прибор ХАРП-500-300А идет у них в серийном производстве (2595,8).</w:t>
      </w:r>
    </w:p>
    <w:p w14:paraId="0B6DEB14" w14:textId="77777777" w:rsidR="00C2313B" w:rsidRPr="00925F26" w:rsidRDefault="00C2313B" w:rsidP="00925F26">
      <w:pPr>
        <w:autoSpaceDE w:val="0"/>
        <w:autoSpaceDN w:val="0"/>
        <w:adjustRightInd w:val="0"/>
        <w:jc w:val="both"/>
        <w:rPr>
          <w:color w:val="000000" w:themeColor="text1"/>
          <w:sz w:val="16"/>
          <w:szCs w:val="16"/>
        </w:rPr>
      </w:pPr>
    </w:p>
    <w:p w14:paraId="12E024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гл. конструктор ОКБ-455 Картуков писал письмо Шахурину.</w:t>
      </w:r>
    </w:p>
    <w:p w14:paraId="3BE6F7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вопросу требования НК ВМФ на отработку и изготовление опытных образцов химического авиационного разового прибора ХАРП-200А докладываю:</w:t>
      </w:r>
    </w:p>
    <w:p w14:paraId="26A793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Прибор ХАРП-250-200А по принципу работы подобен принятому на вооружение ВВС ВМФ - прибору ХАРП-500-300А, который был разработан и отработан в ОКБ-455 в 1942-44 г.г. По заказу ВВС ВМФ завод N 67 НКБ изготавливает в настоящее время малую серию этих приборов. В связи с тем, что мое ОКБ имеет опытный цех с малой мощностью, изготовить в 1945 году опытную партию приборов ХАРП-250-200А для гос. испытаний без ущерба для других опытных работ мы не сможем.</w:t>
      </w:r>
    </w:p>
    <w:p w14:paraId="05D6A7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Считаю возможным принять к выполнению в ОКБ-455 в I-II квартале 45 года разработку чертежей, отработку технической документации и изготовление нескольких приборов для проверки на заводских наземных испытаниях правильности выбранных конструктивных параметров.</w:t>
      </w:r>
    </w:p>
    <w:p w14:paraId="16D966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Изготовление опытной партии в количестве 50-100 шт. для проведения гос. испытаний считаю целесообразным поручить по нашим чертежам и технической документации заводу N 67 НКБ (2595,9).</w:t>
      </w:r>
    </w:p>
    <w:p w14:paraId="2D3B836C" w14:textId="77777777" w:rsidR="00C2313B" w:rsidRPr="00925F26" w:rsidRDefault="00C2313B" w:rsidP="00925F26">
      <w:pPr>
        <w:autoSpaceDE w:val="0"/>
        <w:autoSpaceDN w:val="0"/>
        <w:adjustRightInd w:val="0"/>
        <w:jc w:val="both"/>
        <w:rPr>
          <w:color w:val="000000" w:themeColor="text1"/>
          <w:sz w:val="16"/>
          <w:szCs w:val="16"/>
        </w:rPr>
      </w:pPr>
    </w:p>
    <w:p w14:paraId="5F2D8A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январе 1945 г. состоялись контрольные испытания опытно-серийной партии авиабомб </w:t>
      </w:r>
      <w:proofErr w:type="gramStart"/>
      <w:r w:rsidRPr="00925F26">
        <w:rPr>
          <w:color w:val="000000" w:themeColor="text1"/>
          <w:sz w:val="16"/>
          <w:szCs w:val="16"/>
        </w:rPr>
        <w:t>в 50 штук</w:t>
      </w:r>
      <w:proofErr w:type="gramEnd"/>
      <w:r w:rsidRPr="00925F26">
        <w:rPr>
          <w:color w:val="000000" w:themeColor="text1"/>
          <w:sz w:val="16"/>
          <w:szCs w:val="16"/>
        </w:rPr>
        <w:t xml:space="preserve"> и они закончились с положительным результатом за исключением отмеченного ранее превышения массы боеприпаса на 1,3 кг. Однако это не помешало принять его на вооружение ВВС с присвоением номера чертежа 3-01460 и индекса ВВС 7-ОФ-276 (7453).</w:t>
      </w:r>
    </w:p>
    <w:p w14:paraId="7129CFB0" w14:textId="77777777" w:rsidR="00C2313B" w:rsidRPr="00925F26" w:rsidRDefault="00C2313B" w:rsidP="00925F26">
      <w:pPr>
        <w:autoSpaceDE w:val="0"/>
        <w:autoSpaceDN w:val="0"/>
        <w:adjustRightInd w:val="0"/>
        <w:jc w:val="both"/>
        <w:rPr>
          <w:color w:val="000000" w:themeColor="text1"/>
          <w:sz w:val="16"/>
          <w:szCs w:val="16"/>
        </w:rPr>
      </w:pPr>
    </w:p>
    <w:p w14:paraId="6C118C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на вооружение приняли авиационные парашютные донные неконтактные мины АМД-2-500 и АМД-2-1000 с двухканальным взрывателем. Их с декабря 1942 по июль 1943 в Каспийском море (1085,176).</w:t>
      </w:r>
    </w:p>
    <w:p w14:paraId="783B49ED" w14:textId="77777777" w:rsidR="00C2313B" w:rsidRPr="00925F26" w:rsidRDefault="00C2313B" w:rsidP="00925F26">
      <w:pPr>
        <w:autoSpaceDE w:val="0"/>
        <w:autoSpaceDN w:val="0"/>
        <w:adjustRightInd w:val="0"/>
        <w:jc w:val="both"/>
        <w:rPr>
          <w:color w:val="000000" w:themeColor="text1"/>
          <w:sz w:val="16"/>
          <w:szCs w:val="16"/>
        </w:rPr>
      </w:pPr>
    </w:p>
    <w:p w14:paraId="158FF0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донные неконтактные мины АМД-2-500 приняли на вооружение (561,28).</w:t>
      </w:r>
    </w:p>
    <w:p w14:paraId="4DFBCC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Оценить успехи минной постановки не удалось. Поставили 2387 за 1658 вылетов. После войны на складах осталось 3000. Плотность постановки была низкой, восстановление полей и их защита не проводились, систематического наблюдения не вели и оценить эффективность невозможно (1086,177).</w:t>
      </w:r>
    </w:p>
    <w:p w14:paraId="4FD497F0" w14:textId="77777777" w:rsidR="00C2313B" w:rsidRPr="00925F26" w:rsidRDefault="00C2313B" w:rsidP="00925F26">
      <w:pPr>
        <w:autoSpaceDE w:val="0"/>
        <w:autoSpaceDN w:val="0"/>
        <w:adjustRightInd w:val="0"/>
        <w:jc w:val="both"/>
        <w:rPr>
          <w:color w:val="000000" w:themeColor="text1"/>
          <w:sz w:val="16"/>
          <w:szCs w:val="16"/>
        </w:rPr>
      </w:pPr>
    </w:p>
    <w:p w14:paraId="29D5B7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января 1945 года началось планомерное изучение В-29. В общем итоге в руках ВВС Тихоокеанского Флота оказалось три В-29 в различной степени исправности. Нарком военно-морского флота адмирал Н.Г.Кузнецов приказал организовать изучение новой американской техники. Для этого на Дальний Восток направили заместителя начальника летной инспекции ВВС ВМФ подполковника С.Б.Рейделя. Рейдель, работавший ранее испытателем в Отдельном морском отряде Научно-испытательного института ВВС, а затем в НИИ ВВС Военно-морского флота в Севастополе, за свою жизнь освоил много типов самолетов, владел английским языком. Поскольку па Тихоокеанском флоте в то время не было пилотов, знакомых с американскими машинами (ленд-лизовские самолеты шли прямо на фронт), с Черного моря откомандировали еще двух летчиков (одним из них был В. П.Марунов), до этого летавших на американских А-20. Инженеров А.Ф.Чернова и М.М.Круглова отобрали из состава ВВС Тихоокеанского флота. Рейдель самостоятельно освоил В-29, используя документацию, найденную на одном из самолетов. Сначала он </w:t>
      </w:r>
      <w:proofErr w:type="gramStart"/>
      <w:r w:rsidRPr="00925F26">
        <w:rPr>
          <w:color w:val="000000" w:themeColor="text1"/>
          <w:sz w:val="16"/>
          <w:szCs w:val="16"/>
        </w:rPr>
        <w:t>рулил</w:t>
      </w:r>
      <w:proofErr w:type="gramEnd"/>
      <w:r w:rsidRPr="00925F26">
        <w:rPr>
          <w:color w:val="000000" w:themeColor="text1"/>
          <w:sz w:val="16"/>
          <w:szCs w:val="16"/>
        </w:rPr>
        <w:t xml:space="preserve"> но аэродрому, делал подлеты и, наконец, взлетел (3457,120).</w:t>
      </w:r>
    </w:p>
    <w:p w14:paraId="06FB85C9" w14:textId="77777777" w:rsidR="00C2313B" w:rsidRPr="00925F26" w:rsidRDefault="00C2313B" w:rsidP="00925F26">
      <w:pPr>
        <w:autoSpaceDE w:val="0"/>
        <w:autoSpaceDN w:val="0"/>
        <w:adjustRightInd w:val="0"/>
        <w:jc w:val="both"/>
        <w:rPr>
          <w:color w:val="000000" w:themeColor="text1"/>
          <w:sz w:val="16"/>
          <w:szCs w:val="16"/>
        </w:rPr>
      </w:pPr>
    </w:p>
    <w:p w14:paraId="7A4824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года в отчете старшего военпреда завода №19 инженер-майора И.К. Четверика от</w:t>
      </w:r>
      <w:r w:rsidRPr="00925F26">
        <w:rPr>
          <w:color w:val="000000" w:themeColor="text1"/>
          <w:sz w:val="16"/>
          <w:szCs w:val="16"/>
        </w:rPr>
        <w:softHyphen/>
        <w:t>мечалось:</w:t>
      </w:r>
    </w:p>
    <w:p w14:paraId="3C9D8F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Эксплоатация моторов прово</w:t>
      </w:r>
      <w:r w:rsidRPr="00925F26">
        <w:rPr>
          <w:color w:val="000000" w:themeColor="text1"/>
          <w:sz w:val="16"/>
          <w:szCs w:val="16"/>
        </w:rPr>
        <w:softHyphen/>
        <w:t>дилась на самолетах Ту-2, Пе-8, Ла-5, Ла-7, Ли-2. На самолетах Ту-2 и Пе-8 в большинстве случаев моторы от</w:t>
      </w:r>
      <w:r w:rsidRPr="00925F26">
        <w:rPr>
          <w:color w:val="000000" w:themeColor="text1"/>
          <w:sz w:val="16"/>
          <w:szCs w:val="16"/>
        </w:rPr>
        <w:softHyphen/>
        <w:t>рабатывают свой ресурс, а на всех остальных лимитирует цилиндровая группа, особенно на самолетах Ла-7.</w:t>
      </w:r>
    </w:p>
    <w:p w14:paraId="03A17D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устранения преждевременно</w:t>
      </w:r>
      <w:r w:rsidRPr="00925F26">
        <w:rPr>
          <w:color w:val="000000" w:themeColor="text1"/>
          <w:sz w:val="16"/>
          <w:szCs w:val="16"/>
        </w:rPr>
        <w:softHyphen/>
        <w:t>го износа цилиндровой группы на са</w:t>
      </w:r>
      <w:r w:rsidRPr="00925F26">
        <w:rPr>
          <w:color w:val="000000" w:themeColor="text1"/>
          <w:sz w:val="16"/>
          <w:szCs w:val="16"/>
        </w:rPr>
        <w:softHyphen/>
        <w:t>молетах Ла-7 заводом выпускается эксплоатационный бюллетень, в ко</w:t>
      </w:r>
      <w:r w:rsidRPr="00925F26">
        <w:rPr>
          <w:color w:val="000000" w:themeColor="text1"/>
          <w:sz w:val="16"/>
          <w:szCs w:val="16"/>
        </w:rPr>
        <w:softHyphen/>
        <w:t>тором предусмотрены профилакти</w:t>
      </w:r>
      <w:r w:rsidRPr="00925F26">
        <w:rPr>
          <w:color w:val="000000" w:themeColor="text1"/>
          <w:sz w:val="16"/>
          <w:szCs w:val="16"/>
        </w:rPr>
        <w:softHyphen/>
        <w:t>ческие мероприятия...» (10730).</w:t>
      </w:r>
    </w:p>
    <w:p w14:paraId="6566667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474F11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года в докладе «О работе моторов АШ-82ФН, установленных на самолетах Ла-5 и Ла-7 в 1-м Гвардейском ис</w:t>
      </w:r>
      <w:r w:rsidRPr="00925F26">
        <w:rPr>
          <w:color w:val="000000" w:themeColor="text1"/>
          <w:sz w:val="16"/>
          <w:szCs w:val="16"/>
        </w:rPr>
        <w:softHyphen/>
        <w:t>требительном авиационном Минском корпусе» говорилось:</w:t>
      </w:r>
    </w:p>
    <w:p w14:paraId="3552CD3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«Первоначальное объяснение причин ступенчатой выработки ци</w:t>
      </w:r>
      <w:r w:rsidRPr="00925F26">
        <w:rPr>
          <w:color w:val="000000" w:themeColor="text1"/>
          <w:sz w:val="16"/>
          <w:szCs w:val="16"/>
        </w:rPr>
        <w:softHyphen/>
        <w:t>линдров — «эксплоатация самолетов на пыльных аэродромах», явилось не правильным, так как целый ряд пре</w:t>
      </w:r>
      <w:r w:rsidRPr="00925F26">
        <w:rPr>
          <w:color w:val="000000" w:themeColor="text1"/>
          <w:sz w:val="16"/>
          <w:szCs w:val="16"/>
        </w:rPr>
        <w:softHyphen/>
        <w:t>дупредительных мероприятий (сма</w:t>
      </w:r>
      <w:r w:rsidRPr="00925F26">
        <w:rPr>
          <w:color w:val="000000" w:themeColor="text1"/>
          <w:sz w:val="16"/>
          <w:szCs w:val="16"/>
        </w:rPr>
        <w:softHyphen/>
        <w:t>зывание маслом внутренней полос</w:t>
      </w:r>
      <w:r w:rsidRPr="00925F26">
        <w:rPr>
          <w:color w:val="000000" w:themeColor="text1"/>
          <w:sz w:val="16"/>
          <w:szCs w:val="16"/>
        </w:rPr>
        <w:softHyphen/>
        <w:t>ти всасывающего сопла и противо</w:t>
      </w:r>
      <w:r w:rsidRPr="00925F26">
        <w:rPr>
          <w:color w:val="000000" w:themeColor="text1"/>
          <w:sz w:val="16"/>
          <w:szCs w:val="16"/>
        </w:rPr>
        <w:softHyphen/>
        <w:t>пыльных фильтров, регулярная заме</w:t>
      </w:r>
      <w:r w:rsidRPr="00925F26">
        <w:rPr>
          <w:color w:val="000000" w:themeColor="text1"/>
          <w:sz w:val="16"/>
          <w:szCs w:val="16"/>
        </w:rPr>
        <w:softHyphen/>
        <w:t>на масла через каждые пять часов полета, строгое соблюдение правил эксплоатации данного мотора лет</w:t>
      </w:r>
      <w:r w:rsidRPr="00925F26">
        <w:rPr>
          <w:color w:val="000000" w:themeColor="text1"/>
          <w:sz w:val="16"/>
          <w:szCs w:val="16"/>
        </w:rPr>
        <w:softHyphen/>
        <w:t>ным составом и других мероприя</w:t>
      </w:r>
      <w:r w:rsidRPr="00925F26">
        <w:rPr>
          <w:color w:val="000000" w:themeColor="text1"/>
          <w:sz w:val="16"/>
          <w:szCs w:val="16"/>
        </w:rPr>
        <w:softHyphen/>
        <w:t>тий, проводимые техническим соста</w:t>
      </w:r>
      <w:r w:rsidRPr="00925F26">
        <w:rPr>
          <w:color w:val="000000" w:themeColor="text1"/>
          <w:sz w:val="16"/>
          <w:szCs w:val="16"/>
        </w:rPr>
        <w:softHyphen/>
        <w:t>вом) положительных результатов по уменьшению расхода масла не дало, а поэтому основной причиной сту</w:t>
      </w:r>
      <w:r w:rsidRPr="00925F26">
        <w:rPr>
          <w:color w:val="000000" w:themeColor="text1"/>
          <w:sz w:val="16"/>
          <w:szCs w:val="16"/>
        </w:rPr>
        <w:softHyphen/>
        <w:t>пенчатой выработки цилиндров нуж</w:t>
      </w:r>
      <w:r w:rsidRPr="00925F26">
        <w:rPr>
          <w:color w:val="000000" w:themeColor="text1"/>
          <w:sz w:val="16"/>
          <w:szCs w:val="16"/>
        </w:rPr>
        <w:softHyphen/>
        <w:t>но считать: - несоответствие техни</w:t>
      </w:r>
      <w:r w:rsidRPr="00925F26">
        <w:rPr>
          <w:color w:val="000000" w:themeColor="text1"/>
          <w:sz w:val="16"/>
          <w:szCs w:val="16"/>
        </w:rPr>
        <w:softHyphen/>
        <w:t>ческим условиям изготовление ци</w:t>
      </w:r>
      <w:r w:rsidRPr="00925F26">
        <w:rPr>
          <w:color w:val="000000" w:themeColor="text1"/>
          <w:sz w:val="16"/>
          <w:szCs w:val="16"/>
        </w:rPr>
        <w:softHyphen/>
        <w:t>линдров, поршневых колец и направ</w:t>
      </w:r>
      <w:r w:rsidRPr="00925F26">
        <w:rPr>
          <w:color w:val="000000" w:themeColor="text1"/>
          <w:sz w:val="16"/>
          <w:szCs w:val="16"/>
        </w:rPr>
        <w:softHyphen/>
        <w:t>ляющих клапанов» (10730).</w:t>
      </w:r>
    </w:p>
    <w:p w14:paraId="44985F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49935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проводились испытания нагнетателя "Э-67В" на Ла-5 с АШ-82ФН N 39212183. Прошли удовлетворительно (744,3).</w:t>
      </w:r>
    </w:p>
    <w:p w14:paraId="2493EDFD" w14:textId="77777777" w:rsidR="00C2313B" w:rsidRPr="00925F26" w:rsidRDefault="00C2313B" w:rsidP="00925F26">
      <w:pPr>
        <w:autoSpaceDE w:val="0"/>
        <w:autoSpaceDN w:val="0"/>
        <w:adjustRightInd w:val="0"/>
        <w:jc w:val="both"/>
        <w:rPr>
          <w:color w:val="000000" w:themeColor="text1"/>
          <w:sz w:val="16"/>
          <w:szCs w:val="16"/>
        </w:rPr>
      </w:pPr>
    </w:p>
    <w:p w14:paraId="5A1DCF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начались летные испытания самолета "120" - прообраза будущего Ла-9. В конструкции "120" более широко, чем на Ла-7, применялся металл, но он еще не был цельнометаллическим; крыло имело ламинарный профиль, вооружение усилено за счет установки двух новых пушек НС-23. С двигателем АШ-83 опытный истребитель "120" достиг на испытаниях скорости 725 км/ч; Ла-7 с обычным крылом и двигателем АШ-83 на испытаниях в августе 1944 показал только 701 км/ч - прирост скорости в 24 км/ч произошел на "120" за счет применения ламинарного крыла и улучшения аэродинамики. Следующим шагом к Ла-9 стал самолет "126", испытания которого с декабря 1945 г. по апрель 1946 г. проводили летчики А.В.Давыдов, И.Е.Федоров и А.А.Попов. От "120" он отличался двигателем АШ-82ФН и усиленным четырехпушечным вооружением (4 пушки НС-23 с боезапасом 290 снарядов). Крыло "126-го" имело фанерную обшивку, но уже металлический силовой набор. Следующим шагом стал полностью металлический самолет "130", запущенный в серийное производство под обозначением Ла-9 (4707).</w:t>
      </w:r>
    </w:p>
    <w:p w14:paraId="44A7FA92" w14:textId="77777777" w:rsidR="00C2313B" w:rsidRPr="00925F26" w:rsidRDefault="00C2313B" w:rsidP="00925F26">
      <w:pPr>
        <w:autoSpaceDE w:val="0"/>
        <w:autoSpaceDN w:val="0"/>
        <w:adjustRightInd w:val="0"/>
        <w:jc w:val="both"/>
        <w:rPr>
          <w:color w:val="000000" w:themeColor="text1"/>
          <w:sz w:val="16"/>
          <w:szCs w:val="16"/>
        </w:rPr>
      </w:pPr>
    </w:p>
    <w:p w14:paraId="7B4495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начались испытания самолета "120", а в июле на нем достигли скорости 735 км/ч, что на 24 км/ч превышало аналогичный показатель опытного образца Ла-7 с таким же мотором. И все это на номинальном режиме работы двигателя, а ведь у него имелся резерв - боевой режим, который, правда, так и не довелось опробовать. АШ-83 требовал доводки, за время испытаний на истребителе сменили пять моторов. Видимо, это обстоятельство и стало причиной прекращения дальнейшей работы над этим двигателем. Поскольку АШ-83 не смог достичь требуемого уровня надежности, его выпуск довольно быстро прекратили. После войны ряд технических решений, опробованных на нем, использовали при создании двигателя АШ-82Т. Так АШ-83 решил судьбу самолета "120", построенного всего в двух экземплярах.</w:t>
      </w:r>
    </w:p>
    <w:p w14:paraId="111C770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Один из них в 1945 г. превратили в "полуреактивный" истребитель "120Р". При его проектировании использовали опыт, полученный при испытаниях более ранних аналогичных машин Ла-7Р-1 и Ла-7Р-2. Поршневой мотор дополнили ЖРД РД-1ХЗ, установленным в хвостовой части фюзеляжа. ЖРД, развивавший тягу в 300 кг, позволял ненадолго, но значительно увеличить скорость самолета; при этом возрастала и скороподъемность. Такой истребитель мог быть использован как перехватчик малого радиуса действия для защиты особо важных объектов. По замыслу конструкторов, "полуреактивный" самолет должен был быстро набирать высоту и догонять противника. Но после израсходования горючего и окислителя ЖРД и его баки становились бесполезным грузом, ухудшая летные данные машины. Кроме того, для размещения баков для ЖРД приходилось частично жертвовать запасом бензина для поршневого мотора. Это ограничивало дальность полета.</w:t>
      </w:r>
    </w:p>
    <w:p w14:paraId="0C1030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Двигатель РД-1ХЗ работал на керосине и азотной кислоте, подававшихся из отдельных баков насосным агрегатом, приводившимся от мотора АШ-83. Буквы "ХЗ" означали "химическое зажигание" с помощью самовоспламеняющихся компонентов. Бак окислителя, вмещавший 270 кг азотной кислоты, находился в центроплане, а бак горючего (на 60 кг керосина) - в правой консоли крыла. Этого хватало на 3 - 3,5 мин полета. При этом запас бензина сократился до 210 кг. Управление ЖРД осуществлялось с помощью рычага газа и пускового крана (вентиля).</w:t>
      </w:r>
    </w:p>
    <w:p w14:paraId="64206A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Прежде чем установить на самолет "120" двигатель РД-1ХЗ, машину пришлось основательно перекомпоновать и полностью заменить хвостовую часть фюзеляжа вместе с оперением. Для компенсации дополнительного веса вместо одной из пушек НС-23 поставили более легкую Б-20. Мотор АШ-83 для сохранения центровки сместили на 70 мм вперед. Для той же цели "переехали" на другие места аккумулятор, маслобак и воздушный баллон. Внесли и кое-какие другие, более мелкие изменения. В результате появился самолет "120Р".</w:t>
      </w:r>
    </w:p>
    <w:p w14:paraId="4A9DA5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использование в силовой установке таких кислотостойких материалов, как чистый алюминий и его сплавы, а также нержавеющая сталь, агрессивная кислота, попадая на некоторые агрегаты и узлы, безжалостно их разъедала, приводя в негодность. Подготовка самолета к полету была сопряжена с постоянной опасностью, особенно в момент заправки бака окислителем. Ядовитые пары азотной кислоты вызывали законную настороженность и у летчиков, и у наземного состава. Надежность РЛ-1ХЗ была выше, чем у его предшественника РД-1, но никто не мог дать гарантии, что вместо запуска не произойдет взрыв, что уже имело место на Ла-7Р-2.</w:t>
      </w:r>
    </w:p>
    <w:p w14:paraId="1CD8F0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испытаниях, кроме доводки ЖРД, пришлось повозиться с доработкой топливной и масляной систем истребителя. На самолете "120Р" из шестнадцати полетов с работающим ЖРД удалось сделать лишь семь. В одном из них зарегистрировали скорость 725 км/ч, то есть дополнительный двигатель дал прирост 103 км/ч. Самолет "120Р" публично продемонстрировали на воздушном празднике в Тушино в 1946 г., пилотировал его летчик А.В. Давыдов. Испытания этой машины завершились 13 августа, когда из-за воспламенения смеси компонентов топлива в подкапотном пространстве ЖРД обгорели хвостовая часть фюзеляжа и оперение. К этому времени ресурс мотора АШ-83 был почти выработан, да и планер истребителя оказался подпорчен азотной кислотой. Это поставило точку в биографии самолета "120Р" (11990).</w:t>
      </w:r>
    </w:p>
    <w:p w14:paraId="4980C2BB" w14:textId="77777777" w:rsidR="00C2313B" w:rsidRPr="00925F26" w:rsidRDefault="00C2313B" w:rsidP="00925F26">
      <w:pPr>
        <w:autoSpaceDE w:val="0"/>
        <w:autoSpaceDN w:val="0"/>
        <w:adjustRightInd w:val="0"/>
        <w:jc w:val="both"/>
        <w:rPr>
          <w:color w:val="000000" w:themeColor="text1"/>
          <w:sz w:val="16"/>
          <w:szCs w:val="16"/>
        </w:rPr>
      </w:pPr>
    </w:p>
    <w:p w14:paraId="6BBB68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при полетах Як-9 с мотором ВК-105ПД была выявлена неудовлетворительная работа винтомоторной группы (перебои в работе мотора на высотах 12800 м и 13000 м), высокая температура масла на выходе из мотора - 115 градусов С и падение давления масла до нижнего предела - 3,5 атм. (2592,223).</w:t>
      </w:r>
    </w:p>
    <w:p w14:paraId="0F9A99A5" w14:textId="77777777" w:rsidR="00C2313B" w:rsidRPr="00925F26" w:rsidRDefault="00C2313B" w:rsidP="00925F26">
      <w:pPr>
        <w:autoSpaceDE w:val="0"/>
        <w:autoSpaceDN w:val="0"/>
        <w:adjustRightInd w:val="0"/>
        <w:jc w:val="both"/>
        <w:rPr>
          <w:color w:val="000000" w:themeColor="text1"/>
          <w:sz w:val="16"/>
          <w:szCs w:val="16"/>
        </w:rPr>
      </w:pPr>
    </w:p>
    <w:p w14:paraId="39050C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проходили гос. испытания Як-9У N 39-083 с ВК-107А и ВИШ-107ЛО (1145,24). Это были контрольные испытания (65,154).</w:t>
      </w:r>
    </w:p>
    <w:p w14:paraId="11B6037A" w14:textId="77777777" w:rsidR="00C2313B" w:rsidRPr="00925F26" w:rsidRDefault="00C2313B" w:rsidP="00925F26">
      <w:pPr>
        <w:autoSpaceDE w:val="0"/>
        <w:autoSpaceDN w:val="0"/>
        <w:adjustRightInd w:val="0"/>
        <w:jc w:val="both"/>
        <w:rPr>
          <w:color w:val="000000" w:themeColor="text1"/>
          <w:sz w:val="16"/>
          <w:szCs w:val="16"/>
        </w:rPr>
      </w:pPr>
    </w:p>
    <w:p w14:paraId="0EB00B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январе 1945 года в НИИ ВВС прошел контрольные испытания серийный Як-9У № 39-083 завода № 166, укомплектованный двумя синхронными УБСами и пушкой М П-20. По сравнению с серийной машиной № 25-021, испытывавшейся в прошлом году, установили механизм аварийного сбрасывания подвижной части фонаря и козырек с плоскими гранями в кабине пилота. Обрезали заднюю кромку элеронов и сняли </w:t>
      </w:r>
      <w:proofErr w:type="gramStart"/>
      <w:r w:rsidRPr="00925F26">
        <w:rPr>
          <w:color w:val="000000" w:themeColor="text1"/>
          <w:sz w:val="16"/>
          <w:szCs w:val="16"/>
        </w:rPr>
        <w:t>из под</w:t>
      </w:r>
      <w:proofErr w:type="gramEnd"/>
      <w:r w:rsidRPr="00925F26">
        <w:rPr>
          <w:color w:val="000000" w:themeColor="text1"/>
          <w:sz w:val="16"/>
          <w:szCs w:val="16"/>
        </w:rPr>
        <w:t xml:space="preserve"> зализов оперения груз весом 20 кг. Тогда же разместили в системе охлаждения двигателя сепаратор в расширительном бачке и диффузор в трубопроводе перед помпой, увеличили входную и выходную части тоннеля во- дорадиатора. Передатчик РСИ-3 заменили РСИ-ЗМ-1, коробки регуляторов и фильтров генератора перенесли под обшивку нулевых нервюр. Одновременно изменили пневмосистему, улучшили аэродинамику.</w:t>
      </w:r>
    </w:p>
    <w:p w14:paraId="12B43A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Однако существенных преимуществ это не дало. Как следует из заключения по результатам контрольных испытаний, на самолете не устранили тряску мотора на пониженных режимах и перегрев масла при наборе высоты на режиме максимальной скороподъемности. Отсутствовал противопыль- ный фильтр во всасывающем патрубке. По- прежнему нагрузки на ручку управления от элеронов и руля высоты были большие; дальность радиосвязи считалась недостаточной и отсутствовала амортизация приборной доски (12046).</w:t>
      </w:r>
    </w:p>
    <w:p w14:paraId="273361C3" w14:textId="77777777" w:rsidR="00C2313B" w:rsidRPr="00925F26" w:rsidRDefault="00C2313B" w:rsidP="00925F26">
      <w:pPr>
        <w:autoSpaceDE w:val="0"/>
        <w:autoSpaceDN w:val="0"/>
        <w:adjustRightInd w:val="0"/>
        <w:jc w:val="both"/>
        <w:rPr>
          <w:color w:val="000000" w:themeColor="text1"/>
          <w:sz w:val="16"/>
          <w:szCs w:val="16"/>
        </w:rPr>
      </w:pPr>
    </w:p>
    <w:p w14:paraId="793A45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заводские испытания проходил первый высотный АМ-46. Новый двигатель был более чем в три раза мощнее микулинского первенца М-34. Удельная масса АМ-46Ф на чрезвычайном режиме составляла всего 0,37 кг/л.с., а на взлетном режиме - 0,40 кг/л.с. Такие данные свидетельствовали об огромном прогрессе, достигнутом ОКБ Микулина в первой половине сороковых годов (9030).</w:t>
      </w:r>
    </w:p>
    <w:p w14:paraId="4B914915" w14:textId="77777777" w:rsidR="00C2313B" w:rsidRPr="00925F26" w:rsidRDefault="00C2313B" w:rsidP="00925F26">
      <w:pPr>
        <w:autoSpaceDE w:val="0"/>
        <w:autoSpaceDN w:val="0"/>
        <w:adjustRightInd w:val="0"/>
        <w:jc w:val="both"/>
        <w:rPr>
          <w:color w:val="000000" w:themeColor="text1"/>
          <w:sz w:val="16"/>
          <w:szCs w:val="16"/>
        </w:rPr>
      </w:pPr>
    </w:p>
    <w:p w14:paraId="1FAD8F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один Р-38 совершил вынужденную посадку у местечка Надькереш под Будапештом. Этот самолет с надписью "Прайд оф Джейн" сопровождал бомбардировщики, был подбит и с убранным шасси плюхнулся на покрытое талым снегом поле, согнул винты, смял капоты моторов. Пилот не пострадал и был эвакуирован командой специалистов советской 5-й воздушной армии, увозя с собой саблю венгерского генерала, выменянную у наших пехотинцев на парашют (3457,89).</w:t>
      </w:r>
    </w:p>
    <w:p w14:paraId="6057EEE6" w14:textId="77777777" w:rsidR="00C2313B" w:rsidRPr="00925F26" w:rsidRDefault="00C2313B" w:rsidP="00925F26">
      <w:pPr>
        <w:autoSpaceDE w:val="0"/>
        <w:autoSpaceDN w:val="0"/>
        <w:adjustRightInd w:val="0"/>
        <w:jc w:val="both"/>
        <w:rPr>
          <w:color w:val="000000" w:themeColor="text1"/>
          <w:sz w:val="16"/>
          <w:szCs w:val="16"/>
        </w:rPr>
      </w:pPr>
    </w:p>
    <w:p w14:paraId="00D2F6A5" w14:textId="77777777" w:rsidR="00155D62" w:rsidRPr="001A0BAA" w:rsidRDefault="00155D62" w:rsidP="00155D62">
      <w:pPr>
        <w:jc w:val="both"/>
        <w:rPr>
          <w:color w:val="0070C0"/>
          <w:sz w:val="16"/>
          <w:szCs w:val="16"/>
        </w:rPr>
      </w:pPr>
      <w:r w:rsidRPr="001A0BAA">
        <w:rPr>
          <w:color w:val="0070C0"/>
          <w:sz w:val="16"/>
          <w:szCs w:val="16"/>
        </w:rPr>
        <w:t>В январе 1945 г. специально для изучения американской техники в составе ВВС ТОФ создаётся 35-я отдельная дальнебомбардировочная эскадрилья. Она базировалась на аэродроме Сергеевка. Замечу, что Сергеевка – это один из четырёх аэродромов 4-го минно-торпедного полка ВВС ТОФ, официально базировавшегося в деревне Романовке.</w:t>
      </w:r>
    </w:p>
    <w:p w14:paraId="384CD2C3" w14:textId="77777777" w:rsidR="00155D62" w:rsidRPr="001A0BAA" w:rsidRDefault="00155D62" w:rsidP="00155D62">
      <w:pPr>
        <w:jc w:val="both"/>
        <w:rPr>
          <w:color w:val="0070C0"/>
          <w:sz w:val="16"/>
          <w:szCs w:val="16"/>
        </w:rPr>
      </w:pPr>
      <w:r w:rsidRPr="001A0BAA">
        <w:rPr>
          <w:color w:val="0070C0"/>
          <w:sz w:val="16"/>
          <w:szCs w:val="16"/>
        </w:rPr>
        <w:t>Первоначально в состав 35-й эскадрильи вошли два В-29 и один В-25. После изучения большинство самолётов эскадрильи перегонялись в Москву.</w:t>
      </w:r>
    </w:p>
    <w:p w14:paraId="763E4CDE" w14:textId="77777777" w:rsidR="00155D62" w:rsidRPr="001A0BAA" w:rsidRDefault="00155D62" w:rsidP="00155D62">
      <w:pPr>
        <w:jc w:val="both"/>
        <w:rPr>
          <w:color w:val="0070C0"/>
          <w:sz w:val="16"/>
          <w:szCs w:val="16"/>
        </w:rPr>
      </w:pPr>
      <w:r w:rsidRPr="001A0BAA">
        <w:rPr>
          <w:color w:val="0070C0"/>
          <w:sz w:val="16"/>
          <w:szCs w:val="16"/>
        </w:rPr>
        <w:t>Началось планомерное изучение и испытания В-29. В. П. Марунову и А. Ф. Чернову на освоение самолёта Рейдель выделил два дня. По бомбардировщику они лазили с толстым томом англо-русского словаря. На третий день Рейдель официально принял у них зачет (25184).</w:t>
      </w:r>
    </w:p>
    <w:p w14:paraId="4F17D7A2" w14:textId="77777777" w:rsidR="00155D62" w:rsidRPr="001A0BAA" w:rsidRDefault="00155D62" w:rsidP="00155D62">
      <w:pPr>
        <w:jc w:val="both"/>
        <w:rPr>
          <w:color w:val="0070C0"/>
          <w:sz w:val="16"/>
          <w:szCs w:val="16"/>
        </w:rPr>
      </w:pPr>
    </w:p>
    <w:p w14:paraId="2874E3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был готов Як-10 (4,350).</w:t>
      </w:r>
    </w:p>
    <w:p w14:paraId="274B0EBD" w14:textId="77777777" w:rsidR="00C2313B" w:rsidRPr="00925F26" w:rsidRDefault="00C2313B" w:rsidP="00925F26">
      <w:pPr>
        <w:autoSpaceDE w:val="0"/>
        <w:autoSpaceDN w:val="0"/>
        <w:adjustRightInd w:val="0"/>
        <w:jc w:val="both"/>
        <w:rPr>
          <w:color w:val="000000" w:themeColor="text1"/>
          <w:sz w:val="16"/>
          <w:szCs w:val="16"/>
        </w:rPr>
      </w:pPr>
    </w:p>
    <w:p w14:paraId="058133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1945-го ОКБ А.С.Я. выпустило самолет, аналогичный Як-13 по назначению, но по схеме подкосного высокоплана - Як-10 (первоначально обозначавшийся Як-14). Самолет имел тот же двигатель М-11ФМ, но неубирающееся шасси.</w:t>
      </w:r>
    </w:p>
    <w:p w14:paraId="4890D4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Обе схемы - свободнонесущий низко-план Як-13 и подкосный высокоплан Як-10 имели свои преимущества. Схема низкоплана при одинаковой мощности двигатели обеспечивала большую максимальную скорость и скороподъемность, лучшее аэродинамическое качество и, как следствие, большую дальность полета. Схема высокоплана -более простую технику пилотирования и, следовательно, более быстрое освоение летчиками.</w:t>
      </w:r>
    </w:p>
    <w:p w14:paraId="77410D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Як-13 по летно-техническим характеристикам полностью соответствовал предъявляемым к нему требованиям и значительно превосходил Як-10 по максимальной скорости, скороподъемности и дальности полета. Но Як-10 требовал меньшую ВПП, то есть лучше подходил для санитарной и сельскохозяйственной авиации. В условиях 1945-го, когда экономика страны еще лежала в руинах, строить одновременно два практически однотипных самолета было не целесообразно. В серию запустили Як-10, имевший более широкий диапазон применения (6411).</w:t>
      </w:r>
    </w:p>
    <w:p w14:paraId="15BEFE55" w14:textId="77777777" w:rsidR="00C2313B" w:rsidRPr="00925F26" w:rsidRDefault="00C2313B" w:rsidP="00925F26">
      <w:pPr>
        <w:autoSpaceDE w:val="0"/>
        <w:autoSpaceDN w:val="0"/>
        <w:adjustRightInd w:val="0"/>
        <w:jc w:val="both"/>
        <w:rPr>
          <w:color w:val="000000" w:themeColor="text1"/>
          <w:sz w:val="16"/>
          <w:szCs w:val="16"/>
        </w:rPr>
      </w:pPr>
    </w:p>
    <w:p w14:paraId="5B2FCB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американские С-47 обслуживали линии из Москвы в Тбилиси, Ташкент, Алма-Ату, Хабаровск. Экипажи принимали технику прямо на трассе АЛСИБа - в Якутске. Всего ГВФ тогда получила 58 самолетов этого типа (3457,138).</w:t>
      </w:r>
    </w:p>
    <w:p w14:paraId="53986E85" w14:textId="77777777" w:rsidR="00C2313B" w:rsidRPr="00925F26" w:rsidRDefault="00C2313B" w:rsidP="00925F26">
      <w:pPr>
        <w:autoSpaceDE w:val="0"/>
        <w:autoSpaceDN w:val="0"/>
        <w:adjustRightInd w:val="0"/>
        <w:jc w:val="both"/>
        <w:rPr>
          <w:color w:val="000000" w:themeColor="text1"/>
          <w:sz w:val="16"/>
          <w:szCs w:val="16"/>
        </w:rPr>
      </w:pPr>
    </w:p>
    <w:p w14:paraId="19D4BA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С-47 стали летать из Москвы в Тегеран, где происходила стыковка с линией, обслуживавшейся американской военно-транспортной авиацией. Для этой цели США дополнительно предоставили десять самолетов. К концу войны 19-й полк насчитывал около полусотни машин (3457,137).</w:t>
      </w:r>
    </w:p>
    <w:p w14:paraId="110B9C28" w14:textId="77777777" w:rsidR="00C2313B" w:rsidRPr="00925F26" w:rsidRDefault="00C2313B" w:rsidP="00925F26">
      <w:pPr>
        <w:autoSpaceDE w:val="0"/>
        <w:autoSpaceDN w:val="0"/>
        <w:adjustRightInd w:val="0"/>
        <w:jc w:val="both"/>
        <w:rPr>
          <w:color w:val="000000" w:themeColor="text1"/>
          <w:sz w:val="16"/>
          <w:szCs w:val="16"/>
        </w:rPr>
      </w:pPr>
    </w:p>
    <w:p w14:paraId="05725B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И.Ф.Флоров в 4 секторе НИИ-1 начал разработку самолета с РД-2М3Ц (2928,79).</w:t>
      </w:r>
    </w:p>
    <w:p w14:paraId="0F25C90F" w14:textId="77777777" w:rsidR="00C2313B" w:rsidRPr="00925F26" w:rsidRDefault="00C2313B" w:rsidP="00925F26">
      <w:pPr>
        <w:autoSpaceDE w:val="0"/>
        <w:autoSpaceDN w:val="0"/>
        <w:adjustRightInd w:val="0"/>
        <w:jc w:val="both"/>
        <w:rPr>
          <w:color w:val="000000" w:themeColor="text1"/>
          <w:sz w:val="16"/>
          <w:szCs w:val="16"/>
        </w:rPr>
      </w:pPr>
    </w:p>
    <w:p w14:paraId="379EF2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Б.Н.Кудрин выполнил два полета на БИ с лыжным шасси и РД-1 А.М.Исаева - развитии Д-1А-1100. Всего было построено 9 Би и 30-40 недостроенных были уничтожены после гибели Г.Я.Бахчиванджи (173,408).</w:t>
      </w:r>
    </w:p>
    <w:p w14:paraId="67C55A56" w14:textId="77777777" w:rsidR="00C2313B" w:rsidRPr="00925F26" w:rsidRDefault="00C2313B" w:rsidP="00925F26">
      <w:pPr>
        <w:autoSpaceDE w:val="0"/>
        <w:autoSpaceDN w:val="0"/>
        <w:adjustRightInd w:val="0"/>
        <w:jc w:val="both"/>
        <w:rPr>
          <w:color w:val="000000" w:themeColor="text1"/>
          <w:sz w:val="16"/>
          <w:szCs w:val="16"/>
        </w:rPr>
      </w:pPr>
    </w:p>
    <w:p w14:paraId="1927930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января 1945 в КБ завода № 24 под руководством М.Р.Флисского разрабатывался М-45 (АМ-45) - дальнейшее развитие АМ-44 с двухступенчатым ПЦН, интеркулером и непосредственным впрыском. Для этого двигателя в ЦИАМ специально спроектировали двухступенчатый четырехскоростной нагнетатель, испытывавшийся там же на стенде в марте - апреле 1945. 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1E410C3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Характеристики:</w:t>
      </w:r>
    </w:p>
    <w:p w14:paraId="407ED0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диаметр цилиндра/ход поршня 160/190 (в цилиндрах с прицепными шатунами 196,8) мм;</w:t>
      </w:r>
    </w:p>
    <w:p w14:paraId="5C2030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объем 46,66 л;</w:t>
      </w:r>
    </w:p>
    <w:p w14:paraId="59EB42F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мощность и вес в зависимости от модификации;</w:t>
      </w:r>
    </w:p>
    <w:p w14:paraId="3174AA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запуск сжатым воздухом.</w:t>
      </w:r>
    </w:p>
    <w:p w14:paraId="63BF3B6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Известны три модификации:</w:t>
      </w:r>
    </w:p>
    <w:p w14:paraId="3A5800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925F26">
        <w:rPr>
          <w:color w:val="000000" w:themeColor="text1"/>
          <w:sz w:val="16"/>
          <w:szCs w:val="16"/>
        </w:rPr>
        <w:softHyphen/>
        <w:t>ные испытания.</w:t>
      </w:r>
    </w:p>
    <w:p w14:paraId="5D0D37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5F1A6E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АМ-45Ш, 2400/3000 л.с. Изготовлен в двух экземплярах в 1948 г., проходил заводские испытания.</w:t>
      </w:r>
    </w:p>
    <w:p w14:paraId="13FFAC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Существовал проект модификации Ил-10 с этим двигателем (11852).</w:t>
      </w:r>
    </w:p>
    <w:p w14:paraId="528598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A3EF3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Даже на январь 1945 г. в авиапромышленности СССР превалировала сравнительно малоквалифицированная рабочая сила.</w:t>
      </w:r>
    </w:p>
    <w:p w14:paraId="0C140A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Распределение рабочих по разрядам на 01.01.1945 (%) (РГАЭ. Ф. 8044. </w:t>
      </w:r>
      <w:r w:rsidRPr="00925F26">
        <w:rPr>
          <w:color w:val="000000" w:themeColor="text1"/>
          <w:sz w:val="16"/>
          <w:szCs w:val="16"/>
          <w:lang w:val="en-US"/>
        </w:rPr>
        <w:t xml:space="preserve">On. </w:t>
      </w:r>
      <w:r w:rsidRPr="00925F26">
        <w:rPr>
          <w:color w:val="000000" w:themeColor="text1"/>
          <w:sz w:val="16"/>
          <w:szCs w:val="16"/>
        </w:rPr>
        <w:t>1 Д. 2873. Л. 11)</w:t>
      </w:r>
    </w:p>
    <w:tbl>
      <w:tblPr>
        <w:tblW w:w="0" w:type="auto"/>
        <w:tblInd w:w="8" w:type="dxa"/>
        <w:tblLayout w:type="fixed"/>
        <w:tblCellMar>
          <w:left w:w="0" w:type="dxa"/>
          <w:right w:w="0" w:type="dxa"/>
        </w:tblCellMar>
        <w:tblLook w:val="0000" w:firstRow="0" w:lastRow="0" w:firstColumn="0" w:lastColumn="0" w:noHBand="0" w:noVBand="0"/>
      </w:tblPr>
      <w:tblGrid>
        <w:gridCol w:w="749"/>
        <w:gridCol w:w="734"/>
        <w:gridCol w:w="739"/>
        <w:gridCol w:w="734"/>
        <w:gridCol w:w="739"/>
        <w:gridCol w:w="739"/>
        <w:gridCol w:w="734"/>
        <w:gridCol w:w="749"/>
      </w:tblGrid>
      <w:tr w:rsidR="000F5689" w:rsidRPr="00925F26" w14:paraId="1E57AC52" w14:textId="77777777">
        <w:trPr>
          <w:trHeight w:val="235"/>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7ED3D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I</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635357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0F3E89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Ш</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6D384F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IV</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459D0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V</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4A369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VI</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2C0B76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lang w:val="en-US"/>
              </w:rPr>
              <w:t>vn</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4EDD64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lang w:val="en-US"/>
              </w:rPr>
              <w:t>vm</w:t>
            </w:r>
          </w:p>
        </w:tc>
      </w:tr>
      <w:tr w:rsidR="000F5689" w:rsidRPr="00925F26" w14:paraId="4D855E96" w14:textId="77777777">
        <w:trPr>
          <w:trHeight w:val="240"/>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47A87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0BA19F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5269E6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31,0</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43CCFF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26,5</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A7825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5E50C5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IV</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5BB7BC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32CBBF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0,9</w:t>
            </w:r>
          </w:p>
        </w:tc>
      </w:tr>
    </w:tbl>
    <w:p w14:paraId="108A7B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рабочие высших разрядов (VI—VIII) со</w:t>
      </w:r>
      <w:r w:rsidRPr="00925F26">
        <w:rPr>
          <w:color w:val="000000" w:themeColor="text1"/>
          <w:sz w:val="16"/>
          <w:szCs w:val="16"/>
        </w:rPr>
        <w:softHyphen/>
        <w:t>ставляли менее одной пятой всех рабочих Авиапрома. Инте</w:t>
      </w:r>
      <w:r w:rsidRPr="00925F26">
        <w:rPr>
          <w:color w:val="000000" w:themeColor="text1"/>
          <w:sz w:val="16"/>
          <w:szCs w:val="16"/>
        </w:rPr>
        <w:softHyphen/>
        <w:t>ресно, что в связи с этой ситуацией руководство НКАП по шло на создание особой группы заводов, на которых концен трировались высококвалифицированные кадры.</w:t>
      </w:r>
    </w:p>
    <w:p w14:paraId="2BA93E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Распределение заводов </w:t>
      </w:r>
      <w:proofErr w:type="gramStart"/>
      <w:r w:rsidRPr="00925F26">
        <w:rPr>
          <w:color w:val="000000" w:themeColor="text1"/>
          <w:sz w:val="16"/>
          <w:szCs w:val="16"/>
        </w:rPr>
        <w:t>НКАП</w:t>
      </w:r>
      <w:proofErr w:type="gramEnd"/>
      <w:r w:rsidRPr="00925F26">
        <w:rPr>
          <w:color w:val="000000" w:themeColor="text1"/>
          <w:sz w:val="16"/>
          <w:szCs w:val="16"/>
        </w:rPr>
        <w:t xml:space="preserve"> но преобладающим на них разрядам рабочих на 01.01.1945 г. (РГАЭ. Ф. 8044. </w:t>
      </w:r>
      <w:r w:rsidRPr="00925F26">
        <w:rPr>
          <w:color w:val="000000" w:themeColor="text1"/>
          <w:sz w:val="16"/>
          <w:szCs w:val="16"/>
          <w:lang w:val="en-US"/>
        </w:rPr>
        <w:t xml:space="preserve">On. </w:t>
      </w:r>
      <w:r w:rsidRPr="00925F26">
        <w:rPr>
          <w:color w:val="000000" w:themeColor="text1"/>
          <w:sz w:val="16"/>
          <w:szCs w:val="16"/>
        </w:rPr>
        <w:t>1 Д. 2873. Л. 11)</w:t>
      </w:r>
    </w:p>
    <w:tbl>
      <w:tblPr>
        <w:tblW w:w="0" w:type="auto"/>
        <w:tblInd w:w="8" w:type="dxa"/>
        <w:tblLayout w:type="fixed"/>
        <w:tblCellMar>
          <w:left w:w="0" w:type="dxa"/>
          <w:right w:w="0" w:type="dxa"/>
        </w:tblCellMar>
        <w:tblLook w:val="0000" w:firstRow="0" w:lastRow="0" w:firstColumn="0" w:lastColumn="0" w:noHBand="0" w:noVBand="0"/>
      </w:tblPr>
      <w:tblGrid>
        <w:gridCol w:w="2496"/>
        <w:gridCol w:w="686"/>
        <w:gridCol w:w="682"/>
        <w:gridCol w:w="682"/>
        <w:gridCol w:w="682"/>
        <w:gridCol w:w="696"/>
      </w:tblGrid>
      <w:tr w:rsidR="000F5689" w:rsidRPr="00925F26" w14:paraId="3B9E1741" w14:textId="77777777">
        <w:trPr>
          <w:trHeight w:val="235"/>
        </w:trPr>
        <w:tc>
          <w:tcPr>
            <w:tcW w:w="2496" w:type="dxa"/>
            <w:tcBorders>
              <w:top w:val="single" w:sz="6" w:space="0" w:color="auto"/>
              <w:left w:val="single" w:sz="6" w:space="0" w:color="auto"/>
              <w:bottom w:val="single" w:sz="6" w:space="0" w:color="auto"/>
              <w:right w:val="single" w:sz="6" w:space="0" w:color="auto"/>
            </w:tcBorders>
            <w:shd w:val="clear" w:color="auto" w:fill="FFFFFF"/>
          </w:tcPr>
          <w:p w14:paraId="16DDBB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заводов</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36319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II</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E550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ш</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75D07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IV</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6F4CC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V</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85839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VI</w:t>
            </w:r>
          </w:p>
        </w:tc>
      </w:tr>
      <w:tr w:rsidR="000F5689" w:rsidRPr="00925F26" w14:paraId="0EF6352C" w14:textId="77777777">
        <w:trPr>
          <w:trHeight w:val="240"/>
        </w:trPr>
        <w:tc>
          <w:tcPr>
            <w:tcW w:w="2496" w:type="dxa"/>
            <w:tcBorders>
              <w:top w:val="single" w:sz="6" w:space="0" w:color="auto"/>
              <w:left w:val="single" w:sz="6" w:space="0" w:color="auto"/>
              <w:bottom w:val="single" w:sz="6" w:space="0" w:color="auto"/>
              <w:right w:val="single" w:sz="6" w:space="0" w:color="auto"/>
            </w:tcBorders>
            <w:shd w:val="clear" w:color="auto" w:fill="FFFFFF"/>
          </w:tcPr>
          <w:p w14:paraId="3AEEEA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132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AA1AB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747E1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0BACC2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D9CEF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899CA6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w:t>
            </w:r>
          </w:p>
        </w:tc>
      </w:tr>
    </w:tbl>
    <w:p w14:paraId="1662A0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годы войны квалификация сотрудников НКАП карди</w:t>
      </w:r>
      <w:r w:rsidRPr="00925F26">
        <w:rPr>
          <w:color w:val="000000" w:themeColor="text1"/>
          <w:sz w:val="16"/>
          <w:szCs w:val="16"/>
        </w:rPr>
        <w:softHyphen/>
        <w:t>нально не изменилась. Мы позволим привести себе данные лишь о пиковых значениях изменения среднего уровня ква</w:t>
      </w:r>
      <w:r w:rsidRPr="00925F26">
        <w:rPr>
          <w:color w:val="000000" w:themeColor="text1"/>
          <w:sz w:val="16"/>
          <w:szCs w:val="16"/>
        </w:rPr>
        <w:softHyphen/>
        <w:t>лификации по заводам, на остальных разница между средним уровнем разрядности по квалификационной сетке была ещё меньше.</w:t>
      </w:r>
    </w:p>
    <w:p w14:paraId="60B2DA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Изменения среднего разряда </w:t>
      </w:r>
      <w:proofErr w:type="gramStart"/>
      <w:r w:rsidRPr="00925F26">
        <w:rPr>
          <w:color w:val="000000" w:themeColor="text1"/>
          <w:sz w:val="16"/>
          <w:szCs w:val="16"/>
        </w:rPr>
        <w:t>квалификации</w:t>
      </w:r>
      <w:proofErr w:type="gramEnd"/>
      <w:r w:rsidRPr="00925F26">
        <w:rPr>
          <w:color w:val="000000" w:themeColor="text1"/>
          <w:sz w:val="16"/>
          <w:szCs w:val="16"/>
        </w:rPr>
        <w:t xml:space="preserve"> но заводам (приводится в извлечении) (РГАЭ. Ф. 8044. </w:t>
      </w:r>
      <w:r w:rsidRPr="00925F26">
        <w:rPr>
          <w:color w:val="000000" w:themeColor="text1"/>
          <w:sz w:val="16"/>
          <w:szCs w:val="16"/>
          <w:lang w:val="en-US"/>
        </w:rPr>
        <w:t xml:space="preserve">On. </w:t>
      </w:r>
      <w:r w:rsidRPr="00925F26">
        <w:rPr>
          <w:color w:val="000000" w:themeColor="text1"/>
          <w:sz w:val="16"/>
          <w:szCs w:val="16"/>
        </w:rPr>
        <w:t>1 Д. 2985. Л. 39)</w:t>
      </w:r>
    </w:p>
    <w:tbl>
      <w:tblPr>
        <w:tblW w:w="0" w:type="auto"/>
        <w:tblInd w:w="8" w:type="dxa"/>
        <w:tblLayout w:type="fixed"/>
        <w:tblCellMar>
          <w:left w:w="0" w:type="dxa"/>
          <w:right w:w="0" w:type="dxa"/>
        </w:tblCellMar>
        <w:tblLook w:val="0000" w:firstRow="0" w:lastRow="0" w:firstColumn="0" w:lastColumn="0" w:noHBand="0" w:noVBand="0"/>
      </w:tblPr>
      <w:tblGrid>
        <w:gridCol w:w="782"/>
        <w:gridCol w:w="2059"/>
        <w:gridCol w:w="2045"/>
        <w:gridCol w:w="1066"/>
      </w:tblGrid>
      <w:tr w:rsidR="000F5689" w:rsidRPr="00925F26" w14:paraId="4D852003" w14:textId="77777777">
        <w:trPr>
          <w:trHeight w:val="427"/>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86264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завода</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01AFD0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Средний разряд по заводу на 15.05.1941</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50CD14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Средняя разряд по заводу па 01.01.1945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69A6E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Разница</w:t>
            </w:r>
          </w:p>
        </w:tc>
      </w:tr>
      <w:tr w:rsidR="000F5689" w:rsidRPr="00925F26" w14:paraId="3F234E65" w14:textId="77777777">
        <w:trPr>
          <w:trHeight w:val="221"/>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0729EF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153</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EE353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21F76B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4,09</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BE304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+0,69</w:t>
            </w:r>
          </w:p>
        </w:tc>
      </w:tr>
      <w:tr w:rsidR="000F5689" w:rsidRPr="00925F26" w14:paraId="677D5B4C" w14:textId="77777777">
        <w:trPr>
          <w:trHeight w:val="22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88346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22</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F3BD1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64E166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63698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+0,6</w:t>
            </w:r>
          </w:p>
        </w:tc>
      </w:tr>
      <w:tr w:rsidR="000F5689" w:rsidRPr="00925F26" w14:paraId="2282EE20" w14:textId="77777777">
        <w:trPr>
          <w:trHeight w:val="21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F245B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0DA4F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122208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E9CDA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+0,62</w:t>
            </w:r>
          </w:p>
        </w:tc>
      </w:tr>
      <w:tr w:rsidR="000F5689" w:rsidRPr="00925F26" w14:paraId="65DC48DC" w14:textId="77777777">
        <w:trPr>
          <w:trHeight w:val="22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13F5FA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305</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E9A8E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6A6062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EA833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-0,22</w:t>
            </w:r>
          </w:p>
        </w:tc>
      </w:tr>
      <w:tr w:rsidR="000F5689" w:rsidRPr="00925F26" w14:paraId="5609C114" w14:textId="77777777">
        <w:trPr>
          <w:trHeight w:val="221"/>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EE40A3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D69E31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02389D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4,22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10F61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+0,72</w:t>
            </w:r>
          </w:p>
        </w:tc>
      </w:tr>
      <w:tr w:rsidR="000F5689" w:rsidRPr="00925F26" w14:paraId="4C220FC3" w14:textId="77777777">
        <w:trPr>
          <w:trHeight w:val="245"/>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F40F8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0A9B76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09206E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C4C09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-0,27</w:t>
            </w:r>
          </w:p>
        </w:tc>
      </w:tr>
    </w:tbl>
    <w:p w14:paraId="51C38E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 в последнюю очередь успехи НКАП объясняются ши</w:t>
      </w:r>
      <w:r w:rsidRPr="00925F26">
        <w:rPr>
          <w:color w:val="000000" w:themeColor="text1"/>
          <w:sz w:val="16"/>
          <w:szCs w:val="16"/>
        </w:rPr>
        <w:softHyphen/>
        <w:t>роким внедрением перспективных форм стимулирования трудовой активности.</w:t>
      </w:r>
    </w:p>
    <w:p w14:paraId="563C86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Распространение сдельной и сдельно-прогрессивной оплаты труда в НКАП на 01.01.1945 г. (РГАЭ. Ф. 8044. </w:t>
      </w:r>
      <w:r w:rsidRPr="00925F26">
        <w:rPr>
          <w:color w:val="000000" w:themeColor="text1"/>
          <w:sz w:val="16"/>
          <w:szCs w:val="16"/>
          <w:lang w:val="en-US"/>
        </w:rPr>
        <w:t xml:space="preserve">On. </w:t>
      </w:r>
      <w:r w:rsidRPr="00925F26">
        <w:rPr>
          <w:color w:val="000000" w:themeColor="text1"/>
          <w:sz w:val="16"/>
          <w:szCs w:val="16"/>
        </w:rPr>
        <w:t>1 Д. 2873. Л. 12)</w:t>
      </w:r>
    </w:p>
    <w:tbl>
      <w:tblPr>
        <w:tblW w:w="0" w:type="auto"/>
        <w:tblInd w:w="8" w:type="dxa"/>
        <w:tblLayout w:type="fixed"/>
        <w:tblCellMar>
          <w:left w:w="0" w:type="dxa"/>
          <w:right w:w="0" w:type="dxa"/>
        </w:tblCellMar>
        <w:tblLook w:val="0000" w:firstRow="0" w:lastRow="0" w:firstColumn="0" w:lastColumn="0" w:noHBand="0" w:noVBand="0"/>
      </w:tblPr>
      <w:tblGrid>
        <w:gridCol w:w="2995"/>
        <w:gridCol w:w="1070"/>
        <w:gridCol w:w="854"/>
        <w:gridCol w:w="1022"/>
      </w:tblGrid>
      <w:tr w:rsidR="000F5689" w:rsidRPr="00925F26" w14:paraId="4EB0B233" w14:textId="77777777">
        <w:trPr>
          <w:trHeight w:val="422"/>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6B0A5DB2" w14:textId="77777777" w:rsidR="00C2313B" w:rsidRPr="00925F26" w:rsidRDefault="00C2313B" w:rsidP="00925F26">
            <w:pPr>
              <w:autoSpaceDE w:val="0"/>
              <w:autoSpaceDN w:val="0"/>
              <w:adjustRightInd w:val="0"/>
              <w:jc w:val="both"/>
              <w:rPr>
                <w:color w:val="000000" w:themeColor="text1"/>
                <w:sz w:val="16"/>
                <w:szCs w:val="16"/>
              </w:rPr>
            </w:pP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B96F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 по НКАП, в т.ч.:</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FFFE1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основных цехах</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68DF3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 вспомога</w:t>
            </w:r>
            <w:r w:rsidRPr="00925F26">
              <w:rPr>
                <w:color w:val="000000" w:themeColor="text1"/>
                <w:sz w:val="16"/>
                <w:szCs w:val="16"/>
              </w:rPr>
              <w:softHyphen/>
              <w:t>тельных цеш</w:t>
            </w:r>
          </w:p>
        </w:tc>
      </w:tr>
      <w:tr w:rsidR="000F5689" w:rsidRPr="00925F26" w14:paraId="0CE3B070" w14:textId="77777777">
        <w:trPr>
          <w:trHeight w:val="226"/>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6BB12E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Сдельщики (% ко всем рабочим)</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6084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68,2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CCAA1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753</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49896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Я,6</w:t>
            </w:r>
          </w:p>
        </w:tc>
      </w:tr>
      <w:tr w:rsidR="000F5689" w:rsidRPr="00925F26" w14:paraId="5EE304DB" w14:textId="77777777">
        <w:trPr>
          <w:trHeight w:val="432"/>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15F469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Сдельщики на прогрессивке (% ко всем сдельщикам)</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5C707E3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2A786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35,7</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FD950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8,7</w:t>
            </w:r>
          </w:p>
        </w:tc>
      </w:tr>
    </w:tbl>
    <w:p w14:paraId="463E38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распространение сдельщины к 1945 г. су</w:t>
      </w:r>
      <w:r w:rsidRPr="00925F26">
        <w:rPr>
          <w:color w:val="000000" w:themeColor="text1"/>
          <w:sz w:val="16"/>
          <w:szCs w:val="16"/>
        </w:rPr>
        <w:softHyphen/>
        <w:t>щественно превысило 62 %, характерные для НКАП в 1938— 1939 гг. (12011).</w:t>
      </w:r>
    </w:p>
    <w:p w14:paraId="5C12F203" w14:textId="77777777" w:rsidR="00C2313B" w:rsidRPr="00925F26" w:rsidRDefault="00C2313B" w:rsidP="00925F26">
      <w:pPr>
        <w:autoSpaceDE w:val="0"/>
        <w:autoSpaceDN w:val="0"/>
        <w:adjustRightInd w:val="0"/>
        <w:jc w:val="both"/>
        <w:rPr>
          <w:color w:val="000000" w:themeColor="text1"/>
          <w:sz w:val="16"/>
          <w:szCs w:val="16"/>
        </w:rPr>
      </w:pPr>
    </w:p>
    <w:p w14:paraId="5DDB510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завод № 36 был включен в число действующих предприятий и стал впервые работать по графику.</w:t>
      </w:r>
    </w:p>
    <w:p w14:paraId="41BF6D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 проведением работ по мотору М-251 (ОКБ) завод проводил работу по организации нового ОКБ.</w:t>
      </w:r>
    </w:p>
    <w:p w14:paraId="67CA55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584644C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ACAAD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Директора завода:</w:t>
      </w:r>
    </w:p>
    <w:p w14:paraId="6C6B8A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Сова С.М. – с 1942 года по 1944 год</w:t>
      </w:r>
    </w:p>
    <w:p w14:paraId="74B7FB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Григорьев Г.М. – с 1944 года по 1947 год</w:t>
      </w:r>
    </w:p>
    <w:p w14:paraId="512E32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Петров А.П. – с 1947 года по 1949 год</w:t>
      </w:r>
    </w:p>
    <w:p w14:paraId="744A61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Субботин М.И. – с 1949 года по 1956 год</w:t>
      </w:r>
    </w:p>
    <w:p w14:paraId="6492B6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Смирнов А.Д. – с 1956 года</w:t>
      </w:r>
    </w:p>
    <w:p w14:paraId="6B6074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Должность гл. конструктора с 1943 года занимает Добрынин В.А.</w:t>
      </w:r>
    </w:p>
    <w:p w14:paraId="6E693F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Смирнов</w:t>
      </w:r>
    </w:p>
    <w:p w14:paraId="56BEC0F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Рыбинск, п/я 20</w:t>
      </w:r>
    </w:p>
    <w:p w14:paraId="6EFDFA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авиационный моторостроительный завод (9825).</w:t>
      </w:r>
    </w:p>
    <w:p w14:paraId="208A9AD5" w14:textId="77777777" w:rsidR="00C2313B" w:rsidRPr="00925F26" w:rsidRDefault="00C2313B" w:rsidP="00925F26">
      <w:pPr>
        <w:autoSpaceDE w:val="0"/>
        <w:autoSpaceDN w:val="0"/>
        <w:adjustRightInd w:val="0"/>
        <w:jc w:val="both"/>
        <w:rPr>
          <w:color w:val="000000" w:themeColor="text1"/>
          <w:sz w:val="16"/>
          <w:szCs w:val="16"/>
        </w:rPr>
      </w:pPr>
    </w:p>
    <w:p w14:paraId="00629E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января 1945 года директором завода № 213 стал Кочеров П.П.</w:t>
      </w:r>
    </w:p>
    <w:p w14:paraId="626CDB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052B13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609FDB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Завод № 213 должен был специализироваться на выпуске авиационных приборов, </w:t>
      </w:r>
      <w:proofErr w:type="gramStart"/>
      <w:r w:rsidRPr="00925F26">
        <w:rPr>
          <w:color w:val="000000" w:themeColor="text1"/>
          <w:sz w:val="16"/>
          <w:szCs w:val="16"/>
        </w:rPr>
        <w:t>согласно проектного задания</w:t>
      </w:r>
      <w:proofErr w:type="gramEnd"/>
      <w:r w:rsidRPr="00925F26">
        <w:rPr>
          <w:color w:val="000000" w:themeColor="text1"/>
          <w:sz w:val="16"/>
          <w:szCs w:val="16"/>
        </w:rPr>
        <w:t>, гироскопических и манометрических приборов.</w:t>
      </w:r>
    </w:p>
    <w:p w14:paraId="6FB761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692665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011261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Смирнов</w:t>
      </w:r>
    </w:p>
    <w:p w14:paraId="392534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Саратов 5, п/я 176, Б. Садовая, д. 239</w:t>
      </w:r>
    </w:p>
    <w:p w14:paraId="6367D2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авиаприборостроение, гироскопическое-ракетное (9837).</w:t>
      </w:r>
    </w:p>
    <w:p w14:paraId="210DD89D" w14:textId="77777777" w:rsidR="00C2313B" w:rsidRPr="00925F26" w:rsidRDefault="00C2313B" w:rsidP="00925F26">
      <w:pPr>
        <w:autoSpaceDE w:val="0"/>
        <w:autoSpaceDN w:val="0"/>
        <w:adjustRightInd w:val="0"/>
        <w:jc w:val="both"/>
        <w:rPr>
          <w:color w:val="000000" w:themeColor="text1"/>
          <w:sz w:val="16"/>
          <w:szCs w:val="16"/>
        </w:rPr>
      </w:pPr>
    </w:p>
    <w:p w14:paraId="4C2431E0" w14:textId="77777777" w:rsidR="004176D6" w:rsidRPr="001A0BAA" w:rsidRDefault="004176D6" w:rsidP="004176D6">
      <w:pPr>
        <w:jc w:val="both"/>
        <w:rPr>
          <w:color w:val="0070C0"/>
          <w:sz w:val="16"/>
          <w:szCs w:val="16"/>
        </w:rPr>
      </w:pPr>
      <w:r w:rsidRPr="001A0BAA">
        <w:rPr>
          <w:color w:val="0070C0"/>
          <w:sz w:val="16"/>
          <w:szCs w:val="16"/>
        </w:rPr>
        <w:t>В январе 1945 г. был подготовлен Технический отчет Новосибирского филиала Центрального аэрогидродинамического института им. профессора Н. Е. Жуковского за 1944 г.</w:t>
      </w:r>
    </w:p>
    <w:p w14:paraId="239A404F" w14:textId="77777777" w:rsidR="004176D6" w:rsidRPr="001A0BAA" w:rsidRDefault="004176D6" w:rsidP="004176D6">
      <w:pPr>
        <w:jc w:val="both"/>
        <w:rPr>
          <w:color w:val="0070C0"/>
          <w:sz w:val="16"/>
          <w:szCs w:val="16"/>
        </w:rPr>
      </w:pPr>
      <w:r w:rsidRPr="001A0BAA">
        <w:rPr>
          <w:color w:val="0070C0"/>
          <w:sz w:val="16"/>
          <w:szCs w:val="16"/>
        </w:rPr>
        <w:t>[г. Новосибирск] ... января 1945 г.</w:t>
      </w:r>
    </w:p>
    <w:p w14:paraId="6FA1D9AF" w14:textId="77777777" w:rsidR="004176D6" w:rsidRPr="001A0BAA" w:rsidRDefault="004176D6" w:rsidP="004176D6">
      <w:pPr>
        <w:jc w:val="both"/>
        <w:rPr>
          <w:color w:val="0070C0"/>
          <w:sz w:val="16"/>
          <w:szCs w:val="16"/>
        </w:rPr>
      </w:pPr>
      <w:r w:rsidRPr="001A0BAA">
        <w:rPr>
          <w:color w:val="0070C0"/>
          <w:sz w:val="16"/>
          <w:szCs w:val="16"/>
        </w:rPr>
        <w:t>Новосибирский филиал ЦАГИ. Начальник филиала С. А. Каплан.</w:t>
      </w:r>
    </w:p>
    <w:p w14:paraId="2F28F740" w14:textId="77777777" w:rsidR="004176D6" w:rsidRPr="001A0BAA" w:rsidRDefault="004176D6" w:rsidP="004176D6">
      <w:pPr>
        <w:jc w:val="both"/>
        <w:rPr>
          <w:color w:val="0070C0"/>
          <w:sz w:val="16"/>
          <w:szCs w:val="16"/>
        </w:rPr>
      </w:pPr>
      <w:r w:rsidRPr="001A0BAA">
        <w:rPr>
          <w:color w:val="0070C0"/>
          <w:sz w:val="16"/>
          <w:szCs w:val="16"/>
        </w:rPr>
        <w:t>В условиях Отечественной войны, именно в тот период, когда враг приближался к столице, Государственный Комитет Обороны вынес постановление «О создании второй научно-исследовательской базы по авиации на Востоке СССР» (постановление ГКО № 512 с от 19 августа 1941 г.)</w:t>
      </w:r>
    </w:p>
    <w:p w14:paraId="51A222A6" w14:textId="77777777" w:rsidR="004176D6" w:rsidRPr="001A0BAA" w:rsidRDefault="004176D6" w:rsidP="004176D6">
      <w:pPr>
        <w:jc w:val="both"/>
        <w:rPr>
          <w:color w:val="0070C0"/>
          <w:sz w:val="16"/>
          <w:szCs w:val="16"/>
        </w:rPr>
      </w:pPr>
      <w:r w:rsidRPr="001A0BAA">
        <w:rPr>
          <w:color w:val="0070C0"/>
          <w:sz w:val="16"/>
          <w:szCs w:val="16"/>
        </w:rPr>
        <w:t>В развитие этого постановления нарком авиационной промышленности издал приказ о строительстве аэродинамической лаборатории и установил срок его окончания (приказ наркома авиапромышленности № 88с от 21 августа 1941 г.)</w:t>
      </w:r>
    </w:p>
    <w:p w14:paraId="54181052" w14:textId="77777777" w:rsidR="004176D6" w:rsidRPr="001A0BAA" w:rsidRDefault="004176D6" w:rsidP="004176D6">
      <w:pPr>
        <w:jc w:val="both"/>
        <w:rPr>
          <w:color w:val="0070C0"/>
          <w:sz w:val="16"/>
          <w:szCs w:val="16"/>
        </w:rPr>
      </w:pPr>
      <w:r w:rsidRPr="001A0BAA">
        <w:rPr>
          <w:color w:val="0070C0"/>
          <w:sz w:val="16"/>
          <w:szCs w:val="16"/>
        </w:rPr>
        <w:t>В Новосибирске, на территории, прилежащей к заводу № 153 им. В. П. Чкалова, с конца 1941 г. началось строительство здания аэродинамической лаборатории с помещениями, обеспечивающими его работу. Работой руководила группа работников в ЦАГИ, возглавляемая кандидатом технических наук К. Н. Суржиным46 и проф. Мусинянцем и получившая наименование филиала № 2 ЦАГИ.</w:t>
      </w:r>
    </w:p>
    <w:p w14:paraId="3A3707B6" w14:textId="77777777" w:rsidR="004176D6" w:rsidRPr="001A0BAA" w:rsidRDefault="004176D6" w:rsidP="004176D6">
      <w:pPr>
        <w:jc w:val="both"/>
        <w:rPr>
          <w:color w:val="0070C0"/>
          <w:sz w:val="16"/>
          <w:szCs w:val="16"/>
        </w:rPr>
      </w:pPr>
      <w:r w:rsidRPr="001A0BAA">
        <w:rPr>
          <w:color w:val="0070C0"/>
          <w:sz w:val="16"/>
          <w:szCs w:val="16"/>
        </w:rPr>
        <w:t>В тяжелые для всей нашей страны дни октября - ноября 1941 г. в г. Новосибирск в филиал № 2 по решению правительства была эвакуирована значительная часть сотрудников ЦАГИ, временно обосновавшаяся в здании авиатехникума. В январе 1942 г. по указанию заместителя наркомата т. Яковлева А. С. кроме аэродинамической лаборатории начато строительство лаборатории прочности, включающей статико</w:t>
      </w:r>
      <w:r w:rsidRPr="001A0BAA">
        <w:rPr>
          <w:color w:val="0070C0"/>
          <w:sz w:val="16"/>
          <w:szCs w:val="16"/>
        </w:rPr>
        <w:softHyphen/>
        <w:t>динамический зал с бытовками. Таким образом, были запроектированы две очереди строительства, в сумме дающие комплекс лабораторий, соответствующих структуре ЦАГИ, который после его осуществления будет являться основным звеном в развитии «второй научно-исследовательской базы по авиации на востоке СССР».</w:t>
      </w:r>
    </w:p>
    <w:p w14:paraId="6C2F9680" w14:textId="77777777" w:rsidR="004176D6" w:rsidRPr="001A0BAA" w:rsidRDefault="004176D6" w:rsidP="004176D6">
      <w:pPr>
        <w:jc w:val="both"/>
        <w:rPr>
          <w:color w:val="0070C0"/>
          <w:sz w:val="16"/>
          <w:szCs w:val="16"/>
        </w:rPr>
      </w:pPr>
      <w:r w:rsidRPr="001A0BAA">
        <w:rPr>
          <w:color w:val="0070C0"/>
          <w:sz w:val="16"/>
          <w:szCs w:val="16"/>
        </w:rPr>
        <w:t>Подводя итоги работы Новосибирского филиала ЦАГИ за 1944 г. и выдавая первый технический отчет о работе филиала, уместно кратко коснуться истории филиала за три года (август 1941 г. - сентябрь 1944 г.).</w:t>
      </w:r>
    </w:p>
    <w:p w14:paraId="78AD8DFB" w14:textId="77777777" w:rsidR="004176D6" w:rsidRPr="001A0BAA" w:rsidRDefault="004176D6" w:rsidP="004176D6">
      <w:pPr>
        <w:jc w:val="both"/>
        <w:rPr>
          <w:color w:val="0070C0"/>
          <w:sz w:val="16"/>
          <w:szCs w:val="16"/>
        </w:rPr>
      </w:pPr>
      <w:r w:rsidRPr="001A0BAA">
        <w:rPr>
          <w:color w:val="0070C0"/>
          <w:sz w:val="16"/>
          <w:szCs w:val="16"/>
        </w:rPr>
        <w:t>Весь этот период может быть четко разделен на три этапа.</w:t>
      </w:r>
    </w:p>
    <w:p w14:paraId="352CBC29" w14:textId="77777777" w:rsidR="004176D6" w:rsidRPr="001A0BAA" w:rsidRDefault="004176D6" w:rsidP="004176D6">
      <w:pPr>
        <w:jc w:val="both"/>
        <w:rPr>
          <w:color w:val="0070C0"/>
          <w:sz w:val="16"/>
          <w:szCs w:val="16"/>
        </w:rPr>
      </w:pPr>
      <w:r w:rsidRPr="001A0BAA">
        <w:rPr>
          <w:color w:val="0070C0"/>
          <w:sz w:val="16"/>
          <w:szCs w:val="16"/>
        </w:rPr>
        <w:t>Первый этап жизни филиала охватывает период от постановления ГКО до ноября 1943 г., в течение которого произошла эвакуация в Новосибирск и реэвакуация большинства сотрудников филиала № 2 в связи с восстановлением лабораторий ЦАГИ-Стаханово.</w:t>
      </w:r>
    </w:p>
    <w:p w14:paraId="103B52FB" w14:textId="77777777" w:rsidR="004176D6" w:rsidRPr="001A0BAA" w:rsidRDefault="004176D6" w:rsidP="004176D6">
      <w:pPr>
        <w:jc w:val="both"/>
        <w:rPr>
          <w:color w:val="0070C0"/>
          <w:sz w:val="16"/>
          <w:szCs w:val="16"/>
        </w:rPr>
      </w:pPr>
      <w:r w:rsidRPr="001A0BAA">
        <w:rPr>
          <w:color w:val="0070C0"/>
          <w:sz w:val="16"/>
          <w:szCs w:val="16"/>
        </w:rPr>
        <w:t>Только к ноябрю 1943 г. состав сотрудников филиала стабилизировался. В это же время производилась стройка аэродинамической лаборатории (1-я очередь), и в октябре 1943 г. начался переезд сотрудников филиала в свое здание, причем переезд растянулся на 5 месяцев, так как приходилось переезжать в недостроенное здание по мере его готовности, в здание, где рядом с основными сотрудниками филиала заканчивали свою работу строители. Этот период также характерен участием в жизни филиала одного из основателей ЦАГИ, старейшего ученика Н. Е. Жуковского - академика С. А. Чаплыгина, проведшего последние дни своей жизни в эвакуации вместе с филиалом ЦАГИ. В частности, его авторитету, его живейшему участию во всех вопросах жизни филиала и стройки лаборатории филиала ЦАГИ обязан тем, что уже к концу 1943 г. сотрудники филиала ЦАГИ смогли переехать в свое здание, против главного входа в которое находится могила этого великого ученого и гражданина.</w:t>
      </w:r>
    </w:p>
    <w:p w14:paraId="4EEB11BE" w14:textId="77777777" w:rsidR="004176D6" w:rsidRPr="001A0BAA" w:rsidRDefault="004176D6" w:rsidP="004176D6">
      <w:pPr>
        <w:jc w:val="both"/>
        <w:rPr>
          <w:color w:val="0070C0"/>
          <w:sz w:val="16"/>
          <w:szCs w:val="16"/>
        </w:rPr>
      </w:pPr>
      <w:r w:rsidRPr="001A0BAA">
        <w:rPr>
          <w:color w:val="0070C0"/>
          <w:sz w:val="16"/>
          <w:szCs w:val="16"/>
        </w:rPr>
        <w:t>Второй этап охватывает период с ноября 1943 г. по октябрь 1944 г. За этот период осваивалось новое помещение. Приходилось после двух с лишним лет жизни филиала начинать все сначала. Хозяйство было в тяжелом состоянии. Каждое из звеньев, которые в целом создают организм, требовало серьезнейшего внимания и коренной перестройки: от психологии временного жильца, снимающего угол, нужно было перейти к психологии человека, въехавшего в собственную квартиру.</w:t>
      </w:r>
    </w:p>
    <w:p w14:paraId="2B148675" w14:textId="77777777" w:rsidR="004176D6" w:rsidRPr="001A0BAA" w:rsidRDefault="004176D6" w:rsidP="004176D6">
      <w:pPr>
        <w:jc w:val="both"/>
        <w:rPr>
          <w:color w:val="0070C0"/>
          <w:sz w:val="16"/>
          <w:szCs w:val="16"/>
        </w:rPr>
      </w:pPr>
      <w:r w:rsidRPr="001A0BAA">
        <w:rPr>
          <w:color w:val="0070C0"/>
          <w:sz w:val="16"/>
          <w:szCs w:val="16"/>
        </w:rPr>
        <w:t xml:space="preserve">17 и 23 февраля был произведен первый пуск аэродинамической трубы по проектной скорости. И с этого момента, несмотря на ряд недоделок, начинается наладка лаборатории, сколачивание ее коллектива. Работающая труба, наличие собственного здания и вытекающие отсюда заботы и перспективы благотворно сказались на внутренней обстановке филиала, однако это был только первый шаг. К этому же времени относится период, занявший последние полгода, когда вопрос о дальнейших </w:t>
      </w:r>
      <w:r w:rsidRPr="001A0BAA">
        <w:rPr>
          <w:color w:val="0070C0"/>
          <w:sz w:val="16"/>
          <w:szCs w:val="16"/>
        </w:rPr>
        <w:lastRenderedPageBreak/>
        <w:t>перспективах филиала не получил еще окончательного разрешения, что, естественно, создавало дополнительные трудности. Такое положение усугублялось также рядом чисто хозяйственных затруднений, которые коллективу филиала приходилось решать с большой затратой сил и энергии. Все же в течение этого последнего полугодия коллектив филиала успешно справился с основными вопросами внутренней организации. Были закончены все наладочные работы по аэродинамической лаборатории, и лаборатория приступила, помимо ряда методических работ, к выполнению первых промышленных заданий. Начали нормально работать производственные цеха филиала: слесарно</w:t>
      </w:r>
      <w:r w:rsidRPr="001A0BAA">
        <w:rPr>
          <w:color w:val="0070C0"/>
          <w:sz w:val="16"/>
          <w:szCs w:val="16"/>
        </w:rPr>
        <w:softHyphen/>
        <w:t>механический, модельно-столярный, отделы главного электрика и главного механика. Одновременно продолжалась работа по выполнению утвержденного на второе полугодие основного плана научно-исследовательских работ. Хозяйственная деятельность филиала также постепенно приходила в нормальное состояние. Третий этап - этап прочного становления и развития филиала - начался с октября 1944 г. после появления приказа наркома авиапромышленности № 563с от 14 сентября. Этим приказом филиалу дается четкая программа его дальнейшего существования и развития. Таким образом, филиал ЦАГИ подводит итоги работы за 1944 г. в условиях полного завершения внутренней организации филиала и четких перспектив на 1945 год.</w:t>
      </w:r>
    </w:p>
    <w:p w14:paraId="4D770793" w14:textId="77777777" w:rsidR="004176D6" w:rsidRPr="001A0BAA" w:rsidRDefault="004176D6" w:rsidP="004176D6">
      <w:pPr>
        <w:jc w:val="both"/>
        <w:rPr>
          <w:color w:val="0070C0"/>
          <w:sz w:val="16"/>
          <w:szCs w:val="16"/>
        </w:rPr>
      </w:pPr>
      <w:r w:rsidRPr="001A0BAA">
        <w:rPr>
          <w:color w:val="0070C0"/>
          <w:sz w:val="16"/>
          <w:szCs w:val="16"/>
        </w:rPr>
        <w:t>Структура Новосибирского филиала ЦАГИ</w:t>
      </w:r>
    </w:p>
    <w:p w14:paraId="6A6A80C5" w14:textId="77777777" w:rsidR="004176D6" w:rsidRPr="001A0BAA" w:rsidRDefault="004176D6" w:rsidP="004176D6">
      <w:pPr>
        <w:jc w:val="both"/>
        <w:rPr>
          <w:color w:val="0070C0"/>
          <w:sz w:val="16"/>
          <w:szCs w:val="16"/>
        </w:rPr>
      </w:pPr>
      <w:r w:rsidRPr="001A0BAA">
        <w:rPr>
          <w:color w:val="0070C0"/>
          <w:sz w:val="16"/>
          <w:szCs w:val="16"/>
        </w:rPr>
        <w:t>Новосибирский филиал ЦАГИ работает по основному плану научно-исследовательских работ ЦАГИ и имеет в своем составе следующие подразделения:</w:t>
      </w:r>
    </w:p>
    <w:p w14:paraId="12DAF4C3" w14:textId="77777777" w:rsidR="004176D6" w:rsidRPr="001A0BAA" w:rsidRDefault="004176D6" w:rsidP="004176D6">
      <w:pPr>
        <w:jc w:val="both"/>
        <w:rPr>
          <w:color w:val="0070C0"/>
          <w:sz w:val="16"/>
          <w:szCs w:val="16"/>
        </w:rPr>
      </w:pPr>
      <w:r w:rsidRPr="001A0BAA">
        <w:rPr>
          <w:color w:val="0070C0"/>
          <w:sz w:val="16"/>
          <w:szCs w:val="16"/>
        </w:rPr>
        <w:t>Научно-исследовательская часть</w:t>
      </w:r>
    </w:p>
    <w:p w14:paraId="74ECA598" w14:textId="77777777" w:rsidR="004176D6" w:rsidRPr="001A0BAA" w:rsidRDefault="004176D6" w:rsidP="004176D6">
      <w:pPr>
        <w:jc w:val="both"/>
        <w:rPr>
          <w:color w:val="0070C0"/>
          <w:sz w:val="16"/>
          <w:szCs w:val="16"/>
        </w:rPr>
      </w:pPr>
      <w:r w:rsidRPr="001A0BAA">
        <w:rPr>
          <w:color w:val="0070C0"/>
          <w:sz w:val="16"/>
          <w:szCs w:val="16"/>
        </w:rPr>
        <w:t>Лаборатория № 1 (самолетная) - решает вопросы аэродинамики самолета, его маневренности и устойчивости, компоновки крыла и самолета в целом, а также вопросы больших скоростей и пограничного слоя. Начальник лаборатории - ст[арший] инженер Табачников В. Г., начальник отдела № 1 (аэродинамики самолета)</w:t>
      </w:r>
    </w:p>
    <w:p w14:paraId="3599A05F" w14:textId="77777777" w:rsidR="004176D6" w:rsidRPr="001A0BAA" w:rsidRDefault="004176D6" w:rsidP="004176D6">
      <w:pPr>
        <w:jc w:val="both"/>
        <w:rPr>
          <w:color w:val="0070C0"/>
          <w:sz w:val="16"/>
          <w:szCs w:val="16"/>
        </w:rPr>
      </w:pPr>
      <w:bookmarkStart w:id="4" w:name="bookmark112"/>
      <w:bookmarkEnd w:id="4"/>
      <w:r w:rsidRPr="001A0BAA">
        <w:rPr>
          <w:color w:val="0070C0"/>
          <w:sz w:val="16"/>
          <w:szCs w:val="16"/>
        </w:rPr>
        <w:t>канд[идат] технических наук Коровин Е. П., начальник отдела № 2 (аэродинамики крыла) - ст[арший] инженер Николаев В. П., начальник отдела № 3 (физической аэродинамики) - канд[идат] физ[ико]-мат[ематических] наук Солодкин Е. Е.</w:t>
      </w:r>
    </w:p>
    <w:p w14:paraId="61AA2291" w14:textId="77777777" w:rsidR="004176D6" w:rsidRPr="001A0BAA" w:rsidRDefault="004176D6" w:rsidP="004176D6">
      <w:pPr>
        <w:jc w:val="both"/>
        <w:rPr>
          <w:color w:val="0070C0"/>
          <w:sz w:val="16"/>
          <w:szCs w:val="16"/>
        </w:rPr>
      </w:pPr>
      <w:r w:rsidRPr="001A0BAA">
        <w:rPr>
          <w:color w:val="0070C0"/>
          <w:sz w:val="16"/>
          <w:szCs w:val="16"/>
        </w:rPr>
        <w:t>Лаборатория № 2 (винтовая) - решает вопросы аэродинамики винта, компоновки систем охлаждения воды и масла, капотирования моторов воздушного охлаждения. Начальник лаборатории № 2 и нач[альник] отдела № 1 (охлаждающих устройств)</w:t>
      </w:r>
    </w:p>
    <w:p w14:paraId="56FD0E82" w14:textId="77777777" w:rsidR="004176D6" w:rsidRPr="001A0BAA" w:rsidRDefault="004176D6" w:rsidP="004176D6">
      <w:pPr>
        <w:jc w:val="both"/>
        <w:rPr>
          <w:color w:val="0070C0"/>
          <w:sz w:val="16"/>
          <w:szCs w:val="16"/>
        </w:rPr>
      </w:pPr>
      <w:bookmarkStart w:id="5" w:name="bookmark113"/>
      <w:bookmarkEnd w:id="5"/>
      <w:r w:rsidRPr="001A0BAA">
        <w:rPr>
          <w:color w:val="0070C0"/>
          <w:sz w:val="16"/>
          <w:szCs w:val="16"/>
        </w:rPr>
        <w:t>старший инженер Лыткин С. Г., нач[альник] отдела № 2 (аэродинамики винтов) - ст[арший] инж[енер] Дружинин А. С.</w:t>
      </w:r>
    </w:p>
    <w:p w14:paraId="45227867" w14:textId="77777777" w:rsidR="004176D6" w:rsidRPr="001A0BAA" w:rsidRDefault="004176D6" w:rsidP="004176D6">
      <w:pPr>
        <w:jc w:val="both"/>
        <w:rPr>
          <w:color w:val="0070C0"/>
          <w:sz w:val="16"/>
          <w:szCs w:val="16"/>
        </w:rPr>
      </w:pPr>
      <w:r w:rsidRPr="001A0BAA">
        <w:rPr>
          <w:color w:val="0070C0"/>
          <w:sz w:val="16"/>
          <w:szCs w:val="16"/>
        </w:rPr>
        <w:t>Лаборатория № 3 (прочности самолета) - решает вопросы, связанные со статической и динамической прочностью частей самолета, разрабатывает методику испытаний на прочность и выполняет работы по заданиям промышленности. Начальник лаборатории № 3 - ст[арший] инженер Носов С. А., нач[альник] отдела № 1 (статической прочности) - ст[арший]. инженер Полоцкий А. Г., начальник отдела № 2 (динамической прочности) - ст[арший] инженер Серебрянский Н. П., начальник отдела № 3 (технологического) - ст[арший] инженер Строгин В. С.</w:t>
      </w:r>
    </w:p>
    <w:p w14:paraId="5671E5D4" w14:textId="77777777" w:rsidR="004176D6" w:rsidRPr="001A0BAA" w:rsidRDefault="004176D6" w:rsidP="004176D6">
      <w:pPr>
        <w:jc w:val="both"/>
        <w:rPr>
          <w:color w:val="0070C0"/>
          <w:sz w:val="16"/>
          <w:szCs w:val="16"/>
        </w:rPr>
      </w:pPr>
      <w:r w:rsidRPr="001A0BAA">
        <w:rPr>
          <w:color w:val="0070C0"/>
          <w:sz w:val="16"/>
          <w:szCs w:val="16"/>
        </w:rPr>
        <w:t>Лаборатория № 4 (аэродинамическая) - располагает аэродинамической трубой Т-203 (типа Т-103 Стаханово) и выполняет все аэродинамические исследования как по научно-исследовательской тематике филиала, так и по заданиям промышленности. Начальник лаборатории № 4 - ст[арший] инженер Трубчиков Б. Я., начальник отдела № 1 (экспериментальный) - инженер Сувернев В. Г., начальник отдела № 2 (подготовки эксперимента) - инженер Чернов К. И.</w:t>
      </w:r>
    </w:p>
    <w:p w14:paraId="6A8ACAC2" w14:textId="77777777" w:rsidR="004176D6" w:rsidRPr="001A0BAA" w:rsidRDefault="004176D6" w:rsidP="004176D6">
      <w:pPr>
        <w:jc w:val="both"/>
        <w:rPr>
          <w:color w:val="0070C0"/>
          <w:sz w:val="16"/>
          <w:szCs w:val="16"/>
        </w:rPr>
      </w:pPr>
      <w:r w:rsidRPr="001A0BAA">
        <w:rPr>
          <w:color w:val="0070C0"/>
          <w:sz w:val="16"/>
          <w:szCs w:val="16"/>
        </w:rPr>
        <w:t>Лаборатория № 5 (приборно-конструкторская) - решает вопросы, связанные с созданием нового и совершенствованием существующего экспериментального оборудования для всех лабораторий филиала, проектирует экспериментальные объекты, а также проводит тарировку и наладку всех приборов, находящихся в распоряжении филиала. Начальник лаборатории № 5 и начальник отдела № 1 (конструкторского) - ст[арший] инженер Овчинников В. Н., начальник отдела № 2 (приборного) - ст[арший] инженер Пришлецов Б. Н.</w:t>
      </w:r>
    </w:p>
    <w:p w14:paraId="69915F06" w14:textId="77777777" w:rsidR="004176D6" w:rsidRPr="001A0BAA" w:rsidRDefault="004176D6" w:rsidP="004176D6">
      <w:pPr>
        <w:jc w:val="both"/>
        <w:rPr>
          <w:color w:val="0070C0"/>
          <w:sz w:val="16"/>
          <w:szCs w:val="16"/>
        </w:rPr>
      </w:pPr>
      <w:r w:rsidRPr="001A0BAA">
        <w:rPr>
          <w:color w:val="0070C0"/>
          <w:sz w:val="16"/>
          <w:szCs w:val="16"/>
        </w:rPr>
        <w:t>Информационный отдел - обеспечивает всю необходимую научно-техническую информацию как собственным фондом технической литературы, так и с помощью связи со всеми библиотеками города и состоит из научно-технической библиотеки (около 7000 томов), переводческой и оформительской группы и фотолаборатории. И. о. начальника отдела - инженер Энгель Н. В.</w:t>
      </w:r>
    </w:p>
    <w:p w14:paraId="08F74E43" w14:textId="77777777" w:rsidR="004176D6" w:rsidRPr="001A0BAA" w:rsidRDefault="004176D6" w:rsidP="004176D6">
      <w:pPr>
        <w:jc w:val="both"/>
        <w:rPr>
          <w:color w:val="0070C0"/>
          <w:sz w:val="16"/>
          <w:szCs w:val="16"/>
        </w:rPr>
      </w:pPr>
      <w:r w:rsidRPr="001A0BAA">
        <w:rPr>
          <w:color w:val="0070C0"/>
          <w:sz w:val="16"/>
          <w:szCs w:val="16"/>
        </w:rPr>
        <w:t>Производственная часть</w:t>
      </w:r>
    </w:p>
    <w:p w14:paraId="12821518" w14:textId="77777777" w:rsidR="004176D6" w:rsidRPr="001A0BAA" w:rsidRDefault="004176D6" w:rsidP="004176D6">
      <w:pPr>
        <w:jc w:val="both"/>
        <w:rPr>
          <w:color w:val="0070C0"/>
          <w:sz w:val="16"/>
          <w:szCs w:val="16"/>
        </w:rPr>
      </w:pPr>
      <w:r w:rsidRPr="001A0BAA">
        <w:rPr>
          <w:color w:val="0070C0"/>
          <w:sz w:val="16"/>
          <w:szCs w:val="16"/>
        </w:rPr>
        <w:t>Слесарно-механические мастерские - располагая минимальным станочным оборудованием, обеспечивают выполнение всех необходимых работ по производству оборудования, приборов и приспособлений для эксперимента во всех лабораториях, а также объектов испытаний. Начальник мастерских - кандидат технических наук Пескарев Н. А.</w:t>
      </w:r>
    </w:p>
    <w:p w14:paraId="236FE867" w14:textId="77777777" w:rsidR="004176D6" w:rsidRPr="001A0BAA" w:rsidRDefault="004176D6" w:rsidP="004176D6">
      <w:pPr>
        <w:jc w:val="both"/>
        <w:rPr>
          <w:color w:val="0070C0"/>
          <w:sz w:val="16"/>
          <w:szCs w:val="16"/>
        </w:rPr>
      </w:pPr>
      <w:r w:rsidRPr="001A0BAA">
        <w:rPr>
          <w:color w:val="0070C0"/>
          <w:sz w:val="16"/>
          <w:szCs w:val="16"/>
        </w:rPr>
        <w:t>Модельно-столярные мастерские - изготовляют необходимые филиалу для выполнения основного плана научно-исследовательских работ объекты исследования (модели самолетов, крыльев), одновременно производя необходимую для оборудования здания филиала мебель. Начальник мастерских - Сколов Н. А.</w:t>
      </w:r>
    </w:p>
    <w:p w14:paraId="1733711E" w14:textId="77777777" w:rsidR="004176D6" w:rsidRPr="001A0BAA" w:rsidRDefault="004176D6" w:rsidP="004176D6">
      <w:pPr>
        <w:jc w:val="both"/>
        <w:rPr>
          <w:color w:val="0070C0"/>
          <w:sz w:val="16"/>
          <w:szCs w:val="16"/>
        </w:rPr>
      </w:pPr>
      <w:r w:rsidRPr="001A0BAA">
        <w:rPr>
          <w:color w:val="0070C0"/>
          <w:sz w:val="16"/>
          <w:szCs w:val="16"/>
        </w:rPr>
        <w:t>Отдел главного электрика - обеспечивает эксплуатацию машинного зала, трубы, обслуживание всего станочного парка мастерских и всю необходимую текущую работу. Начальник отдела главного электрика - инженер Журавлев К. М.</w:t>
      </w:r>
    </w:p>
    <w:p w14:paraId="2B873A21" w14:textId="77777777" w:rsidR="004176D6" w:rsidRPr="001A0BAA" w:rsidRDefault="004176D6" w:rsidP="004176D6">
      <w:pPr>
        <w:jc w:val="both"/>
        <w:rPr>
          <w:color w:val="0070C0"/>
          <w:sz w:val="16"/>
          <w:szCs w:val="16"/>
        </w:rPr>
      </w:pPr>
      <w:r w:rsidRPr="001A0BAA">
        <w:rPr>
          <w:color w:val="0070C0"/>
          <w:sz w:val="16"/>
          <w:szCs w:val="16"/>
        </w:rPr>
        <w:t>Отдел главного механика - проводит работу по эксплуатации здания филиала, ремонту оборудования и по обеспечению всех работ, встречающихся в хозяйстве филиала. Начальник отдела главного механика - инженер Соколов В. В.</w:t>
      </w:r>
    </w:p>
    <w:p w14:paraId="7DCDE099" w14:textId="77777777" w:rsidR="004176D6" w:rsidRPr="001A0BAA" w:rsidRDefault="004176D6" w:rsidP="004176D6">
      <w:pPr>
        <w:jc w:val="both"/>
        <w:rPr>
          <w:color w:val="0070C0"/>
          <w:sz w:val="16"/>
          <w:szCs w:val="16"/>
        </w:rPr>
      </w:pPr>
      <w:r w:rsidRPr="001A0BAA">
        <w:rPr>
          <w:color w:val="0070C0"/>
          <w:sz w:val="16"/>
          <w:szCs w:val="16"/>
        </w:rPr>
        <w:t>Кроме производственных подразделений филиал ЦАГИ располагает всеми необходимыми для нормальной работы обслуживающими подразделениями.</w:t>
      </w:r>
    </w:p>
    <w:p w14:paraId="5E2E3AE7" w14:textId="77777777" w:rsidR="004176D6" w:rsidRPr="001A0BAA" w:rsidRDefault="004176D6" w:rsidP="004176D6">
      <w:pPr>
        <w:jc w:val="both"/>
        <w:rPr>
          <w:color w:val="0070C0"/>
          <w:sz w:val="16"/>
          <w:szCs w:val="16"/>
        </w:rPr>
      </w:pPr>
      <w:r w:rsidRPr="001A0BAA">
        <w:rPr>
          <w:color w:val="0070C0"/>
          <w:sz w:val="16"/>
          <w:szCs w:val="16"/>
        </w:rPr>
        <w:t>Итоги и очередные задачи филиала</w:t>
      </w:r>
    </w:p>
    <w:p w14:paraId="2E968A5C" w14:textId="77777777" w:rsidR="004176D6" w:rsidRPr="001A0BAA" w:rsidRDefault="004176D6" w:rsidP="004176D6">
      <w:pPr>
        <w:jc w:val="both"/>
        <w:rPr>
          <w:color w:val="0070C0"/>
          <w:sz w:val="16"/>
          <w:szCs w:val="16"/>
        </w:rPr>
      </w:pPr>
      <w:r w:rsidRPr="001A0BAA">
        <w:rPr>
          <w:color w:val="0070C0"/>
          <w:sz w:val="16"/>
          <w:szCs w:val="16"/>
        </w:rPr>
        <w:t>Настоящий технический отчет является первым за время существования филиала ЦАГИ в Новосибирске. Из не вошедших в отчет работ следует упомянуть несколько заданий промышленности, выполненных как аэродинамиками: исследование моделей 410 для завода № 4477, модели 501 - для завода [№] 456, так и прочнистами (испытания самолета Ли-2 на заводе № 84, частотные испытания ЛЛ-143 на заводе № 477).</w:t>
      </w:r>
    </w:p>
    <w:p w14:paraId="6046A81D" w14:textId="77777777" w:rsidR="004176D6" w:rsidRPr="001A0BAA" w:rsidRDefault="004176D6" w:rsidP="004176D6">
      <w:pPr>
        <w:jc w:val="both"/>
        <w:rPr>
          <w:color w:val="0070C0"/>
          <w:sz w:val="16"/>
          <w:szCs w:val="16"/>
        </w:rPr>
      </w:pPr>
      <w:r w:rsidRPr="001A0BAA">
        <w:rPr>
          <w:color w:val="0070C0"/>
          <w:sz w:val="16"/>
          <w:szCs w:val="16"/>
        </w:rPr>
        <w:t>Работники филиала ЦАГИ прочли также ряд докладов в воинских частях, на заводах и на конференции молодых ученых Новосибирска. Все доклады были отмечены грамотами и премиями.</w:t>
      </w:r>
    </w:p>
    <w:p w14:paraId="11AC3F53" w14:textId="77777777" w:rsidR="004176D6" w:rsidRPr="001A0BAA" w:rsidRDefault="004176D6" w:rsidP="004176D6">
      <w:pPr>
        <w:jc w:val="both"/>
        <w:rPr>
          <w:color w:val="0070C0"/>
          <w:sz w:val="16"/>
          <w:szCs w:val="16"/>
        </w:rPr>
      </w:pPr>
      <w:r w:rsidRPr="001A0BAA">
        <w:rPr>
          <w:color w:val="0070C0"/>
          <w:sz w:val="16"/>
          <w:szCs w:val="16"/>
        </w:rPr>
        <w:t>Каковы задачи филиала на 1945 г.?</w:t>
      </w:r>
    </w:p>
    <w:p w14:paraId="1805FE04" w14:textId="77777777" w:rsidR="004176D6" w:rsidRPr="001A0BAA" w:rsidRDefault="004176D6" w:rsidP="004176D6">
      <w:pPr>
        <w:jc w:val="both"/>
        <w:rPr>
          <w:color w:val="0070C0"/>
          <w:sz w:val="16"/>
          <w:szCs w:val="16"/>
        </w:rPr>
      </w:pPr>
      <w:r w:rsidRPr="001A0BAA">
        <w:rPr>
          <w:color w:val="0070C0"/>
          <w:sz w:val="16"/>
          <w:szCs w:val="16"/>
        </w:rPr>
        <w:t>Выполнение плана научно-исследовательских работ на высоком научно-техническом уровне. Техническая помощь авиационной промышленности Новосибирска и Востока СССР, внедрение на заводах новых достижений авиационной науки и культуры. Привлечение новых кадров научных работников и передача им научной культуры и научных традиций Большого ЦАГИ.</w:t>
      </w:r>
    </w:p>
    <w:p w14:paraId="38EE8F09" w14:textId="77777777" w:rsidR="004176D6" w:rsidRPr="001A0BAA" w:rsidRDefault="004176D6" w:rsidP="004176D6">
      <w:pPr>
        <w:jc w:val="both"/>
        <w:rPr>
          <w:color w:val="0070C0"/>
          <w:sz w:val="16"/>
          <w:szCs w:val="16"/>
        </w:rPr>
      </w:pPr>
      <w:r w:rsidRPr="001A0BAA">
        <w:rPr>
          <w:color w:val="0070C0"/>
          <w:sz w:val="16"/>
          <w:szCs w:val="16"/>
        </w:rPr>
        <w:t>Итоги 1944 г., реализация приказа наркома авиационной промышленности о развитии филиала ЦАГИ создают уверенность, что коллектив Новосибирского филиала ЦАГИ с поставленными задачами справится. [...].</w:t>
      </w:r>
    </w:p>
    <w:p w14:paraId="32F20CDC" w14:textId="77777777" w:rsidR="004176D6" w:rsidRPr="001A0BAA" w:rsidRDefault="004176D6" w:rsidP="004176D6">
      <w:pPr>
        <w:jc w:val="both"/>
        <w:rPr>
          <w:color w:val="0070C0"/>
          <w:sz w:val="16"/>
          <w:szCs w:val="16"/>
        </w:rPr>
      </w:pPr>
      <w:r w:rsidRPr="001A0BAA">
        <w:rPr>
          <w:color w:val="0070C0"/>
          <w:sz w:val="16"/>
          <w:szCs w:val="16"/>
        </w:rPr>
        <w:t>[Без подписи.]</w:t>
      </w:r>
    </w:p>
    <w:p w14:paraId="0AE41D6E" w14:textId="77777777" w:rsidR="004176D6" w:rsidRPr="001A0BAA" w:rsidRDefault="004176D6" w:rsidP="004176D6">
      <w:pPr>
        <w:jc w:val="both"/>
        <w:rPr>
          <w:color w:val="0070C0"/>
          <w:sz w:val="16"/>
          <w:szCs w:val="16"/>
        </w:rPr>
      </w:pPr>
      <w:r w:rsidRPr="001A0BAA">
        <w:rPr>
          <w:color w:val="0070C0"/>
          <w:sz w:val="16"/>
          <w:szCs w:val="16"/>
        </w:rPr>
        <w:t>ГАНО. Ф. П. 4. Оп. 9. Д. 355. Л. 4-11. Машинопись. Копия (24921).</w:t>
      </w:r>
    </w:p>
    <w:p w14:paraId="6C49BFB4" w14:textId="77777777" w:rsidR="004176D6" w:rsidRPr="001A0BAA" w:rsidRDefault="004176D6" w:rsidP="004176D6">
      <w:pPr>
        <w:jc w:val="both"/>
        <w:rPr>
          <w:color w:val="0070C0"/>
          <w:sz w:val="16"/>
          <w:szCs w:val="16"/>
        </w:rPr>
      </w:pPr>
    </w:p>
    <w:p w14:paraId="2B3BBA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на Артиллерийском полигоне Артиллерийской Академии (ст. Алабино) было проведено учение по разведке реактивных минометов противника. Задача учений – “сбор опытного материала по оптической и звуковой разведке реактивных минометов с последующей обработкой его и составление войсковой инструкции для засечки реактивных минометов средствами АИР” [78] (артиллерийской инструментальной разведки).</w:t>
      </w:r>
    </w:p>
    <w:p w14:paraId="2D80EE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выводах по алабинскому учению, на основании полученного богатого опытного материала, утверждается полная возможность не только оптической, но и звуковой разведки реактивных минометов, причем, даже при наличие записей с плохими или отсутствующими началами. Точность звуковой засечки цели получена в пределах 14-30 малых делений угломера” [79].</w:t>
      </w:r>
    </w:p>
    <w:p w14:paraId="46502A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одном из документов ЦАМО имеется следующая информация по упомянутому вопросу.</w:t>
      </w:r>
    </w:p>
    <w:p w14:paraId="0C7677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ходе Великой Отечественной войны, и главным образом, сразу же после её окончания у нас в СССР начались работы по отысканию средств разведывания реактивных установок. С этой целью, по заданию Командующего Артиллерией Советской Армии, Артиллерийский Стрелково-Тактический Комитет /ныне НИИ-1 А.А.Н, МВС/ провел два больших учения: первое – на Алабинском Полигоне под Москвой в 1945 году и второе на Лужском Полигоне в 1946 году с привлечением всех средств артиллерийского инструментального разведывания. </w:t>
      </w:r>
      <w:proofErr w:type="gramStart"/>
      <w:r w:rsidRPr="00925F26">
        <w:rPr>
          <w:color w:val="000000" w:themeColor="text1"/>
          <w:sz w:val="16"/>
          <w:szCs w:val="16"/>
        </w:rPr>
        <w:t>Кроме того</w:t>
      </w:r>
      <w:proofErr w:type="gramEnd"/>
      <w:r w:rsidRPr="00925F26">
        <w:rPr>
          <w:color w:val="000000" w:themeColor="text1"/>
          <w:sz w:val="16"/>
          <w:szCs w:val="16"/>
        </w:rPr>
        <w:t xml:space="preserve"> в 1947 году в несколько меньшем </w:t>
      </w:r>
      <w:proofErr w:type="gramStart"/>
      <w:r w:rsidRPr="00925F26">
        <w:rPr>
          <w:color w:val="000000" w:themeColor="text1"/>
          <w:sz w:val="16"/>
          <w:szCs w:val="16"/>
        </w:rPr>
        <w:t>об”еме</w:t>
      </w:r>
      <w:proofErr w:type="gramEnd"/>
      <w:r w:rsidRPr="00925F26">
        <w:rPr>
          <w:color w:val="000000" w:themeColor="text1"/>
          <w:sz w:val="16"/>
          <w:szCs w:val="16"/>
        </w:rPr>
        <w:t>, подобные учения провела Высшая Офицерская Артиллерийская Школа /ВОАШ/.</w:t>
      </w:r>
    </w:p>
    <w:p w14:paraId="37C2D1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Выводы этих учений еще раз подтвердили то положение, что существующие методы и приборы АИР не пригодны для разведки реактивных установок. Для этого необходимы новые методы и приборы.</w:t>
      </w:r>
    </w:p>
    <w:p w14:paraId="47E5F4B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Отыскание новых методов разведывания реактивных установок /РУ/ невозможно без знания тех явлений, которые можно использовать для разведки реактивных систем. Вначале эта работа была поставлена в НИИАП /ныне НИИ-5 ААН МВС/, а затем в 1947 году на ГНИАП”е. Ввиду того, что НИИАП поставленную задачу решил недостаточно полно, комплексное исследование всех физических явлений, возникающих при реактивном выстреле , было поставлено и практически, впервые, начато в 1947 г. на ГНИАП”е” [80] (11772).</w:t>
      </w:r>
    </w:p>
    <w:p w14:paraId="5BE9B87E" w14:textId="77777777" w:rsidR="00C2313B" w:rsidRPr="00925F26" w:rsidRDefault="00C2313B" w:rsidP="00925F26">
      <w:pPr>
        <w:autoSpaceDE w:val="0"/>
        <w:autoSpaceDN w:val="0"/>
        <w:adjustRightInd w:val="0"/>
        <w:jc w:val="both"/>
        <w:rPr>
          <w:color w:val="000000" w:themeColor="text1"/>
          <w:sz w:val="16"/>
          <w:szCs w:val="16"/>
        </w:rPr>
      </w:pPr>
    </w:p>
    <w:p w14:paraId="0F9C0473" w14:textId="77777777" w:rsidR="00F5318A" w:rsidRPr="001A0BAA" w:rsidRDefault="00F5318A" w:rsidP="00F5318A">
      <w:pPr>
        <w:jc w:val="both"/>
        <w:rPr>
          <w:color w:val="0070C0"/>
          <w:sz w:val="16"/>
          <w:szCs w:val="16"/>
        </w:rPr>
      </w:pPr>
      <w:r w:rsidRPr="001A0BAA">
        <w:rPr>
          <w:rStyle w:val="aff0"/>
          <w:rFonts w:ascii="Times New Roman" w:hAnsi="Times New Roman" w:cs="Times New Roman"/>
          <w:color w:val="0070C0"/>
          <w:spacing w:val="0"/>
          <w:sz w:val="16"/>
          <w:szCs w:val="16"/>
        </w:rPr>
        <w:t>В январе 1945 г., чтобы снять нагрузку на УПА, которое ожидала очередная навигация в Арктике, ГКО поставил на повестку дня вопрос «О вывозе никеля из Норильска. Он обязал Управление Авиации дальнего действия НКО СССР передан. Норильскому комбинату НКВД СССР пять само</w:t>
      </w:r>
      <w:r w:rsidRPr="001A0BAA">
        <w:rPr>
          <w:rStyle w:val="aff0"/>
          <w:rFonts w:ascii="Times New Roman" w:hAnsi="Times New Roman" w:cs="Times New Roman"/>
          <w:color w:val="0070C0"/>
          <w:spacing w:val="0"/>
          <w:sz w:val="16"/>
          <w:szCs w:val="16"/>
        </w:rPr>
        <w:softHyphen/>
        <w:t>лётов Си-47, находившихся в Красноярске с комплектом за</w:t>
      </w:r>
      <w:r w:rsidRPr="001A0BAA">
        <w:rPr>
          <w:rStyle w:val="aff0"/>
          <w:rFonts w:ascii="Times New Roman" w:hAnsi="Times New Roman" w:cs="Times New Roman"/>
          <w:color w:val="0070C0"/>
          <w:spacing w:val="0"/>
          <w:sz w:val="16"/>
          <w:szCs w:val="16"/>
        </w:rPr>
        <w:softHyphen/>
        <w:t>пасных моторов и личным составом. Одновременно получил указание направить на Енисейскую авиатрассу 15 самолётов Си-47 и ГУ ГВФ. При этом было установлено задание по вы</w:t>
      </w:r>
      <w:r w:rsidRPr="001A0BAA">
        <w:rPr>
          <w:rStyle w:val="aff0"/>
          <w:rFonts w:ascii="Times New Roman" w:hAnsi="Times New Roman" w:cs="Times New Roman"/>
          <w:color w:val="0070C0"/>
          <w:spacing w:val="0"/>
          <w:sz w:val="16"/>
          <w:szCs w:val="16"/>
        </w:rPr>
        <w:softHyphen/>
        <w:t>возке никеля: самолётами 200 тонн и ГУ ГВФ 800 тонн. Кроме того, НКВД СССР поручалось подготовить па Енисейской авиатрассе 4 посадочных площад</w:t>
      </w:r>
      <w:r w:rsidRPr="001A0BAA">
        <w:rPr>
          <w:rStyle w:val="aff0"/>
          <w:rFonts w:ascii="Times New Roman" w:hAnsi="Times New Roman" w:cs="Times New Roman"/>
          <w:color w:val="0070C0"/>
          <w:spacing w:val="0"/>
          <w:sz w:val="16"/>
          <w:szCs w:val="16"/>
        </w:rPr>
        <w:softHyphen/>
        <w:t>ки -в Дудинке, Туруханске, Игарке и Подкаменной Тунгуске. Так «воздушный мост» соединял комбинат с фронтом (25653).</w:t>
      </w:r>
    </w:p>
    <w:p w14:paraId="6F636234" w14:textId="77777777" w:rsidR="00F5318A" w:rsidRPr="001A0BAA" w:rsidRDefault="00F5318A" w:rsidP="00F5318A">
      <w:pPr>
        <w:jc w:val="both"/>
        <w:rPr>
          <w:color w:val="0070C0"/>
          <w:sz w:val="16"/>
          <w:szCs w:val="16"/>
        </w:rPr>
      </w:pPr>
    </w:p>
    <w:p w14:paraId="3A97F62E" w14:textId="77777777" w:rsidR="00F5318A" w:rsidRPr="00925F26" w:rsidRDefault="00F5318A" w:rsidP="00F5318A">
      <w:pPr>
        <w:autoSpaceDE w:val="0"/>
        <w:autoSpaceDN w:val="0"/>
        <w:adjustRightInd w:val="0"/>
        <w:jc w:val="both"/>
        <w:rPr>
          <w:color w:val="000000" w:themeColor="text1"/>
          <w:sz w:val="16"/>
          <w:szCs w:val="16"/>
        </w:rPr>
      </w:pPr>
      <w:r w:rsidRPr="00925F26">
        <w:rPr>
          <w:color w:val="000000" w:themeColor="text1"/>
          <w:sz w:val="16"/>
          <w:szCs w:val="16"/>
        </w:rPr>
        <w:lastRenderedPageBreak/>
        <w:t>В январе 1945 корабельная ПУ 16-М-13 была принята на вооружение ВМФ. Всего в ходе ВОВ изготовили и поставили флотам 92 ПУ М-8-М, 30 М-13-М1, 35 16-М-13 и 49 24-М-8. Ставили как на бронекатера проектов 1124 и 1125, так и на ТК, сторожевики, трофейные десантные баржи (4305,35).</w:t>
      </w:r>
    </w:p>
    <w:p w14:paraId="72CC20E5" w14:textId="77777777" w:rsidR="00F5318A" w:rsidRPr="00925F26" w:rsidRDefault="00F5318A" w:rsidP="00F5318A">
      <w:pPr>
        <w:autoSpaceDE w:val="0"/>
        <w:autoSpaceDN w:val="0"/>
        <w:adjustRightInd w:val="0"/>
        <w:jc w:val="both"/>
        <w:rPr>
          <w:color w:val="000000" w:themeColor="text1"/>
          <w:sz w:val="16"/>
          <w:szCs w:val="16"/>
        </w:rPr>
      </w:pPr>
    </w:p>
    <w:p w14:paraId="7B07BEA6" w14:textId="77777777" w:rsidR="00F5318A" w:rsidRPr="001A0BAA" w:rsidRDefault="00F5318A" w:rsidP="00F5318A">
      <w:pPr>
        <w:jc w:val="both"/>
        <w:rPr>
          <w:color w:val="0070C0"/>
          <w:sz w:val="16"/>
          <w:szCs w:val="16"/>
        </w:rPr>
      </w:pPr>
      <w:r w:rsidRPr="001A0BAA">
        <w:rPr>
          <w:color w:val="0070C0"/>
          <w:sz w:val="16"/>
          <w:szCs w:val="16"/>
        </w:rPr>
        <w:t>В январе 1945 г. корабельная пусковая установка 16-М-13 была принята на вооружение ВМФ (25435).</w:t>
      </w:r>
    </w:p>
    <w:p w14:paraId="7329E71B" w14:textId="77777777" w:rsidR="00F5318A" w:rsidRPr="001A0BAA" w:rsidRDefault="00F5318A" w:rsidP="00F5318A">
      <w:pPr>
        <w:jc w:val="both"/>
        <w:rPr>
          <w:color w:val="0070C0"/>
          <w:sz w:val="16"/>
          <w:szCs w:val="16"/>
        </w:rPr>
      </w:pPr>
    </w:p>
    <w:p w14:paraId="3057937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AC0FFF8" w14:textId="77777777" w:rsidR="00C2313B" w:rsidRPr="00925F26" w:rsidRDefault="00C2313B" w:rsidP="00925F26">
      <w:pPr>
        <w:autoSpaceDE w:val="0"/>
        <w:autoSpaceDN w:val="0"/>
        <w:adjustRightInd w:val="0"/>
        <w:jc w:val="both"/>
        <w:rPr>
          <w:iCs/>
          <w:color w:val="000000" w:themeColor="text1"/>
          <w:sz w:val="16"/>
          <w:szCs w:val="16"/>
        </w:rPr>
      </w:pPr>
    </w:p>
    <w:p w14:paraId="492888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январе 1945 г. Ленинградский филиал ЦАКБ (ЦКБ-34 МОП, МО, ГКОТ, Морское артиллерийское КБ (МАКБ) НКВ, МАЦКБ, КБ средств механизации (КБСМ) </w:t>
      </w:r>
      <w:r w:rsidRPr="00925F26">
        <w:rPr>
          <w:color w:val="000000" w:themeColor="text1"/>
          <w:sz w:val="16"/>
          <w:szCs w:val="16"/>
          <w:lang w:val="en-US"/>
        </w:rPr>
        <w:t>MOM</w:t>
      </w:r>
      <w:r w:rsidRPr="00925F26">
        <w:rPr>
          <w:color w:val="000000" w:themeColor="text1"/>
          <w:sz w:val="16"/>
          <w:szCs w:val="16"/>
        </w:rPr>
        <w:t>, ФГУП, ОАО «КБ Специального машиностроения» (КБСМ) /194100  г. Ленинград,  г. Санкт-Петербург Лесной пр-д, 64А, 64Б и ул. Бобруйская, 7, и ул. Кантемировская, 15А, 15Б, 17А тел. 245-51-13/) начал проектирование 220-мм атиллерийской башни для крейсера пр. 82. В 1945 г. сюда из ЦАКБ переданы работы по 100-мм палубной артустановке С-44, здесь она переименована в СМ-5 («СМ» - фирменный индекс ЦКБ-34, возможно, «система морская»</w:t>
      </w:r>
      <w:r w:rsidRPr="00925F26">
        <w:rPr>
          <w:color w:val="000000" w:themeColor="text1"/>
          <w:sz w:val="16"/>
          <w:szCs w:val="16"/>
          <w:vertAlign w:val="superscript"/>
        </w:rPr>
        <w:t>148</w:t>
      </w:r>
      <w:r w:rsidRPr="00925F26">
        <w:rPr>
          <w:color w:val="000000" w:themeColor="text1"/>
          <w:sz w:val="16"/>
          <w:szCs w:val="16"/>
        </w:rPr>
        <w:t>). Приказом МВМС № 0059 от 11,05.1949 г. СМ-5-1 пнв.</w:t>
      </w:r>
    </w:p>
    <w:p w14:paraId="330425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14.03.1946 г. выдано задание на модернизацию 3-орудийной 152-мм установки МК-5. Техпроект установки утвержден 23.09.1947 г., пост. СМ № 3850-1538 от 22.08.1952 г. башня МК-5бис пнв.</w:t>
      </w:r>
    </w:p>
    <w:p w14:paraId="41164E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0FC063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1940-</w:t>
      </w:r>
      <w:proofErr w:type="gramStart"/>
      <w:r w:rsidRPr="00925F26">
        <w:rPr>
          <w:color w:val="000000" w:themeColor="text1"/>
          <w:sz w:val="16"/>
          <w:szCs w:val="16"/>
        </w:rPr>
        <w:t>х  г.</w:t>
      </w:r>
      <w:proofErr w:type="gramEnd"/>
      <w:r w:rsidRPr="00925F26">
        <w:rPr>
          <w:color w:val="000000" w:themeColor="text1"/>
          <w:sz w:val="16"/>
          <w:szCs w:val="16"/>
        </w:rPr>
        <w:t xml:space="preserve"> КБ было привлечено к изучению немецкого опыта по созданию </w:t>
      </w:r>
      <w:r w:rsidRPr="00925F26">
        <w:rPr>
          <w:color w:val="000000" w:themeColor="text1"/>
          <w:sz w:val="16"/>
          <w:szCs w:val="16"/>
          <w:lang w:val="en-US"/>
        </w:rPr>
        <w:t>PC</w:t>
      </w:r>
      <w:r w:rsidRPr="00925F26">
        <w:rPr>
          <w:color w:val="000000" w:themeColor="text1"/>
          <w:sz w:val="16"/>
          <w:szCs w:val="16"/>
        </w:rPr>
        <w:t xml:space="preserve"> и пусковых установок. Разрабатывало ПУ для больших кораблей и ПЛ.</w:t>
      </w:r>
    </w:p>
    <w:p w14:paraId="62B782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Разработана 180-мм пушка СМ-45 и 2-орудийная башня СМ-48 для крейсера пр. 84, пост, правительства от 25.08.1956 г. работы по ним прекращены.</w:t>
      </w:r>
    </w:p>
    <w:p w14:paraId="350D62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1953 г. КБ поручена разработка ПУ для передвижного ЗРК С-75.</w:t>
      </w:r>
    </w:p>
    <w:p w14:paraId="5D8646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034E07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ГКОТ от 14.06.1960 г. начата разработка ШПУ «Шексна» для Р-16.</w:t>
      </w:r>
    </w:p>
    <w:p w14:paraId="637E2B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1961 г. в ЦКБ переданы тематика и личный состав ликвидированного ОКБ-43.</w:t>
      </w:r>
    </w:p>
    <w:p w14:paraId="7A4CDD6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1965 г. ЦКБ-34 ГКОТ передано в ведение 4ГУ </w:t>
      </w:r>
      <w:r w:rsidRPr="00925F26">
        <w:rPr>
          <w:color w:val="000000" w:themeColor="text1"/>
          <w:sz w:val="16"/>
          <w:szCs w:val="16"/>
          <w:lang w:val="en-US"/>
        </w:rPr>
        <w:t>MOM</w:t>
      </w:r>
      <w:r w:rsidRPr="00925F26">
        <w:rPr>
          <w:color w:val="000000" w:themeColor="text1"/>
          <w:sz w:val="16"/>
          <w:szCs w:val="16"/>
        </w:rPr>
        <w:t xml:space="preserve"> и по приказу от 6.03.1966 г. преобразовано в КБСМ (средств механизации).</w:t>
      </w:r>
      <w:r w:rsidRPr="00925F26">
        <w:rPr>
          <w:color w:val="000000" w:themeColor="text1"/>
          <w:sz w:val="16"/>
          <w:szCs w:val="16"/>
          <w:vertAlign w:val="superscript"/>
        </w:rPr>
        <w:t>77</w:t>
      </w:r>
      <w:r w:rsidRPr="00925F26">
        <w:rPr>
          <w:color w:val="000000" w:themeColor="text1"/>
          <w:sz w:val="16"/>
          <w:szCs w:val="16"/>
        </w:rPr>
        <w:t xml:space="preserve"> В 1970-80-</w:t>
      </w:r>
      <w:proofErr w:type="gramStart"/>
      <w:r w:rsidRPr="00925F26">
        <w:rPr>
          <w:color w:val="000000" w:themeColor="text1"/>
          <w:sz w:val="16"/>
          <w:szCs w:val="16"/>
        </w:rPr>
        <w:t>е  г.</w:t>
      </w:r>
      <w:proofErr w:type="gramEnd"/>
      <w:r w:rsidRPr="00925F26">
        <w:rPr>
          <w:color w:val="000000" w:themeColor="text1"/>
          <w:sz w:val="16"/>
          <w:szCs w:val="16"/>
        </w:rPr>
        <w:t xml:space="preserve"> КБ специального машиностроения вновь вошло в </w:t>
      </w:r>
      <w:r w:rsidRPr="00925F26">
        <w:rPr>
          <w:color w:val="000000" w:themeColor="text1"/>
          <w:sz w:val="16"/>
          <w:szCs w:val="16"/>
          <w:lang w:val="en-US"/>
        </w:rPr>
        <w:t>MOM</w:t>
      </w:r>
      <w:r w:rsidRPr="00925F26">
        <w:rPr>
          <w:color w:val="000000" w:themeColor="text1"/>
          <w:sz w:val="16"/>
          <w:szCs w:val="16"/>
        </w:rPr>
        <w:t xml:space="preserve"> (в ведении 4ГУ).</w:t>
      </w:r>
    </w:p>
    <w:p w14:paraId="71D6DC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1960-</w:t>
      </w:r>
      <w:proofErr w:type="gramStart"/>
      <w:r w:rsidRPr="00925F26">
        <w:rPr>
          <w:color w:val="000000" w:themeColor="text1"/>
          <w:sz w:val="16"/>
          <w:szCs w:val="16"/>
        </w:rPr>
        <w:t>х  г.</w:t>
      </w:r>
      <w:proofErr w:type="gramEnd"/>
      <w:r w:rsidRPr="00925F26">
        <w:rPr>
          <w:color w:val="000000" w:themeColor="text1"/>
          <w:sz w:val="16"/>
          <w:szCs w:val="16"/>
        </w:rPr>
        <w:t xml:space="preserve">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w:t>
      </w:r>
      <w:proofErr w:type="gramStart"/>
      <w:r w:rsidRPr="00925F26">
        <w:rPr>
          <w:color w:val="000000" w:themeColor="text1"/>
          <w:sz w:val="16"/>
          <w:szCs w:val="16"/>
        </w:rPr>
        <w:t>е  г.</w:t>
      </w:r>
      <w:proofErr w:type="gramEnd"/>
      <w:r w:rsidRPr="00925F26">
        <w:rPr>
          <w:color w:val="000000" w:themeColor="text1"/>
          <w:sz w:val="16"/>
          <w:szCs w:val="16"/>
        </w:rPr>
        <w:t xml:space="preserve"> создан стенд для определения давления на железнодорожное полотно при старте ракеты БЖРК.</w:t>
      </w:r>
    </w:p>
    <w:p w14:paraId="5AD09F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Создан ряд антенн диаметром до 32 м, радиотелескоп с диаметром зеркала 70 м.</w:t>
      </w:r>
    </w:p>
    <w:p w14:paraId="108D32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13DC5F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1990-</w:t>
      </w:r>
      <w:proofErr w:type="gramStart"/>
      <w:r w:rsidRPr="00925F26">
        <w:rPr>
          <w:color w:val="000000" w:themeColor="text1"/>
          <w:sz w:val="16"/>
          <w:szCs w:val="16"/>
        </w:rPr>
        <w:t>х  г.</w:t>
      </w:r>
      <w:proofErr w:type="gramEnd"/>
      <w:r w:rsidRPr="00925F26">
        <w:rPr>
          <w:color w:val="000000" w:themeColor="text1"/>
          <w:sz w:val="16"/>
          <w:szCs w:val="16"/>
        </w:rPr>
        <w:t xml:space="preserve">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0840B6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35A29E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Имело в своем составе КБ-4 (1970-</w:t>
      </w:r>
      <w:proofErr w:type="gramStart"/>
      <w:r w:rsidRPr="00925F26">
        <w:rPr>
          <w:color w:val="000000" w:themeColor="text1"/>
          <w:sz w:val="16"/>
          <w:szCs w:val="16"/>
        </w:rPr>
        <w:t>е  г.</w:t>
      </w:r>
      <w:proofErr w:type="gramEnd"/>
      <w:r w:rsidRPr="00925F26">
        <w:rPr>
          <w:color w:val="000000" w:themeColor="text1"/>
          <w:sz w:val="16"/>
          <w:szCs w:val="16"/>
        </w:rPr>
        <w:t xml:space="preserve">, работы по ШПУ, БЖРК). Имело филиал в КБОМ </w:t>
      </w:r>
      <w:proofErr w:type="gramStart"/>
      <w:r w:rsidRPr="00925F26">
        <w:rPr>
          <w:color w:val="000000" w:themeColor="text1"/>
          <w:sz w:val="16"/>
          <w:szCs w:val="16"/>
        </w:rPr>
        <w:t>( г.</w:t>
      </w:r>
      <w:proofErr w:type="gramEnd"/>
      <w:r w:rsidRPr="00925F26">
        <w:rPr>
          <w:color w:val="000000" w:themeColor="text1"/>
          <w:sz w:val="16"/>
          <w:szCs w:val="16"/>
        </w:rPr>
        <w:t xml:space="preserve"> Москва).</w:t>
      </w:r>
    </w:p>
    <w:p w14:paraId="3AB220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5EA1DA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составе экспериментальной базы имелся (2005 г.) комплексный стен грузоподъемностью 140 т для бросковых испытаний контейнеров.</w:t>
      </w:r>
      <w:r w:rsidRPr="00925F26">
        <w:rPr>
          <w:color w:val="000000" w:themeColor="text1"/>
          <w:sz w:val="16"/>
          <w:szCs w:val="16"/>
          <w:vertAlign w:val="superscript"/>
        </w:rPr>
        <w:t>101</w:t>
      </w:r>
    </w:p>
    <w:p w14:paraId="024EF6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2A458E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Площадь территории (2010 г.)- 3,71 га.</w:t>
      </w:r>
    </w:p>
    <w:p w14:paraId="4965AE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(2002 г.) -1900 чел.</w:t>
      </w:r>
    </w:p>
    <w:p w14:paraId="5CEF07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(1944-50-е)- И.И. Иванов, (1950-е-69 г.-&gt; Е. Г. Рудяк {2.01.1908-4.04.1991 г.},</w:t>
      </w:r>
      <w:r w:rsidRPr="00925F26">
        <w:rPr>
          <w:color w:val="000000" w:themeColor="text1"/>
          <w:sz w:val="16"/>
          <w:szCs w:val="16"/>
          <w:vertAlign w:val="superscript"/>
        </w:rPr>
        <w:t>58</w:t>
      </w:r>
      <w:r w:rsidRPr="00925F26">
        <w:rPr>
          <w:color w:val="000000" w:themeColor="text1"/>
          <w:sz w:val="16"/>
          <w:szCs w:val="16"/>
        </w:rPr>
        <w:t xml:space="preserve"> (1970-</w:t>
      </w:r>
      <w:proofErr w:type="gramStart"/>
      <w:r w:rsidRPr="00925F26">
        <w:rPr>
          <w:color w:val="000000" w:themeColor="text1"/>
          <w:sz w:val="16"/>
          <w:szCs w:val="16"/>
        </w:rPr>
        <w:t>е  г.</w:t>
      </w:r>
      <w:proofErr w:type="gramEnd"/>
      <w:r w:rsidRPr="00925F26">
        <w:rPr>
          <w:color w:val="000000" w:themeColor="text1"/>
          <w:sz w:val="16"/>
          <w:szCs w:val="16"/>
        </w:rPr>
        <w:t xml:space="preserve">)-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xml:space="preserve">. </w:t>
      </w:r>
      <w:proofErr w:type="gramStart"/>
      <w:r w:rsidRPr="00925F26">
        <w:rPr>
          <w:color w:val="000000" w:themeColor="text1"/>
          <w:sz w:val="16"/>
          <w:szCs w:val="16"/>
        </w:rPr>
        <w:t>Степанов,  Г.А.</w:t>
      </w:r>
      <w:proofErr w:type="gramEnd"/>
      <w:r w:rsidRPr="00925F26">
        <w:rPr>
          <w:color w:val="000000" w:themeColor="text1"/>
          <w:sz w:val="16"/>
          <w:szCs w:val="16"/>
        </w:rPr>
        <w:t xml:space="preserve"> Белов, (1980-е-2003 г.)- А.Ф. Уткин. Ген. конструктор (2003-06 г.-)- Н.А. Трофимов.</w:t>
      </w:r>
    </w:p>
    <w:p w14:paraId="58F204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(1950-е)- И.И. Иванов, (2002 г.)- Н.А. Трофимов. Гендиректор (2006 г.)- Н.А. Трофимов.</w:t>
      </w:r>
    </w:p>
    <w:p w14:paraId="579589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инженер (2002 г.)- В. Г. Долбенков.</w:t>
      </w:r>
    </w:p>
    <w:p w14:paraId="1ECAFA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1-й зам. Начальника (2002 г.)- В. Г. Долбенков. Зам. Начальника по экономике (2002 г.)- И.В. Маркелов.</w:t>
      </w:r>
      <w:r w:rsidRPr="00925F26">
        <w:rPr>
          <w:color w:val="000000" w:themeColor="text1"/>
          <w:sz w:val="16"/>
          <w:szCs w:val="16"/>
          <w:vertAlign w:val="superscript"/>
        </w:rPr>
        <w:t>69</w:t>
      </w:r>
    </w:p>
    <w:p w14:paraId="6BF632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(1953 г.-)- Б.С. Коробов (ПУ С-75), (1950-е)- И.П. Шахов (СМ-71П), (1963 г.)- Б. Г. Бочков (СМ-97, -97А, -101, -107), (1972 г.)- А.Ф. Уткин (ШПУ для МР-УРЮО).</w:t>
      </w:r>
    </w:p>
    <w:p w14:paraId="5F0562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КО (08.1944 г.-)- Т.Д. Вылкост.</w:t>
      </w:r>
    </w:p>
    <w:p w14:paraId="6C9789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лаборатории: (1958 г.-)- Е.А. Угрюмов.</w:t>
      </w:r>
    </w:p>
    <w:p w14:paraId="0C90E8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w:t>
      </w:r>
      <w:r w:rsidRPr="00925F26">
        <w:rPr>
          <w:color w:val="000000" w:themeColor="text1"/>
          <w:sz w:val="16"/>
          <w:szCs w:val="16"/>
          <w:lang w:val="en-US"/>
        </w:rPr>
        <w:t>JIM</w:t>
      </w:r>
      <w:r w:rsidRPr="00925F26">
        <w:rPr>
          <w:color w:val="000000" w:themeColor="text1"/>
          <w:sz w:val="16"/>
          <w:szCs w:val="16"/>
        </w:rPr>
        <w:t>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925F26">
        <w:rPr>
          <w:color w:val="000000" w:themeColor="text1"/>
          <w:sz w:val="16"/>
          <w:szCs w:val="16"/>
          <w:vertAlign w:val="superscript"/>
        </w:rPr>
        <w:t>58</w:t>
      </w:r>
      <w:r w:rsidRPr="00925F26">
        <w:rPr>
          <w:color w:val="000000" w:themeColor="text1"/>
          <w:sz w:val="16"/>
          <w:szCs w:val="16"/>
        </w:rPr>
        <w:t xml:space="preserve"> ЗС14Э для "</w:t>
      </w:r>
      <w:r w:rsidRPr="00925F26">
        <w:rPr>
          <w:color w:val="000000" w:themeColor="text1"/>
          <w:sz w:val="16"/>
          <w:szCs w:val="16"/>
          <w:lang w:val="en-US"/>
        </w:rPr>
        <w:t>Club</w:t>
      </w:r>
      <w:r w:rsidRPr="00925F26">
        <w:rPr>
          <w:color w:val="000000" w:themeColor="text1"/>
          <w:sz w:val="16"/>
          <w:szCs w:val="16"/>
        </w:rPr>
        <w:t>-</w:t>
      </w:r>
      <w:r w:rsidRPr="00925F26">
        <w:rPr>
          <w:color w:val="000000" w:themeColor="text1"/>
          <w:sz w:val="16"/>
          <w:szCs w:val="16"/>
          <w:lang w:val="en-US"/>
        </w:rPr>
        <w:t>N</w:t>
      </w:r>
      <w:r w:rsidRPr="00925F26">
        <w:rPr>
          <w:color w:val="000000" w:themeColor="text1"/>
          <w:sz w:val="16"/>
          <w:szCs w:val="16"/>
        </w:rPr>
        <w:t>";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2E291C16" w14:textId="77777777" w:rsidR="00C2313B" w:rsidRPr="00925F26" w:rsidRDefault="00C2313B" w:rsidP="00925F26">
      <w:pPr>
        <w:autoSpaceDE w:val="0"/>
        <w:autoSpaceDN w:val="0"/>
        <w:adjustRightInd w:val="0"/>
        <w:jc w:val="both"/>
        <w:rPr>
          <w:color w:val="000000" w:themeColor="text1"/>
          <w:sz w:val="16"/>
          <w:szCs w:val="16"/>
        </w:rPr>
      </w:pPr>
    </w:p>
    <w:p w14:paraId="7A2741DE" w14:textId="77777777" w:rsidR="00BC1830" w:rsidRPr="00925F26" w:rsidRDefault="00BC1830" w:rsidP="00925F26">
      <w:pPr>
        <w:jc w:val="both"/>
        <w:rPr>
          <w:color w:val="000000" w:themeColor="text1"/>
          <w:sz w:val="16"/>
          <w:szCs w:val="16"/>
        </w:rPr>
      </w:pPr>
      <w:r w:rsidRPr="00925F26">
        <w:rPr>
          <w:color w:val="000000" w:themeColor="text1"/>
          <w:sz w:val="16"/>
          <w:szCs w:val="16"/>
        </w:rPr>
        <w:t>В январе 1945</w:t>
      </w:r>
    </w:p>
    <w:p w14:paraId="4F16E599" w14:textId="77777777" w:rsidR="00BC1830" w:rsidRPr="00925F26" w:rsidRDefault="00BC1830" w:rsidP="00925F26">
      <w:pPr>
        <w:jc w:val="both"/>
        <w:rPr>
          <w:color w:val="000000" w:themeColor="text1"/>
          <w:sz w:val="16"/>
          <w:szCs w:val="16"/>
        </w:rPr>
      </w:pPr>
      <w:r w:rsidRPr="00925F26">
        <w:rPr>
          <w:color w:val="000000" w:themeColor="text1"/>
          <w:sz w:val="16"/>
          <w:szCs w:val="16"/>
        </w:rPr>
        <w:t>Секретно</w:t>
      </w:r>
    </w:p>
    <w:p w14:paraId="3C72F37A" w14:textId="77777777" w:rsidR="00BC1830" w:rsidRPr="00925F26" w:rsidRDefault="00BC1830" w:rsidP="00925F26">
      <w:pPr>
        <w:jc w:val="both"/>
        <w:rPr>
          <w:color w:val="000000" w:themeColor="text1"/>
          <w:sz w:val="16"/>
          <w:szCs w:val="16"/>
        </w:rPr>
      </w:pPr>
      <w:r w:rsidRPr="00925F26">
        <w:rPr>
          <w:color w:val="000000" w:themeColor="text1"/>
          <w:sz w:val="16"/>
          <w:szCs w:val="16"/>
        </w:rPr>
        <w:t>Товарищу Берия Л.П.</w:t>
      </w:r>
    </w:p>
    <w:p w14:paraId="20F36172" w14:textId="77777777" w:rsidR="00BC1830" w:rsidRPr="00925F26" w:rsidRDefault="00BC1830" w:rsidP="00925F26">
      <w:pPr>
        <w:jc w:val="both"/>
        <w:rPr>
          <w:color w:val="000000" w:themeColor="text1"/>
          <w:sz w:val="16"/>
          <w:szCs w:val="16"/>
        </w:rPr>
      </w:pPr>
      <w:r w:rsidRPr="00925F26">
        <w:rPr>
          <w:color w:val="000000" w:themeColor="text1"/>
          <w:sz w:val="16"/>
          <w:szCs w:val="16"/>
        </w:rPr>
        <w:t>По Вашему поручению, в связи со спецдонесением ВРИО начальника УНКГБ по Хабаровскому краю тов. Гоглидзе - о ненормальностях с выпуском боеприпасов на Хабаровском заводе № 106 Наркомвооружения, докладываем:</w:t>
      </w:r>
    </w:p>
    <w:p w14:paraId="33EE08E3" w14:textId="0A8B375E" w:rsidR="00BC1830" w:rsidRPr="00925F26" w:rsidRDefault="00BC1830" w:rsidP="00925F26">
      <w:pPr>
        <w:jc w:val="both"/>
        <w:rPr>
          <w:color w:val="000000" w:themeColor="text1"/>
          <w:sz w:val="16"/>
          <w:szCs w:val="16"/>
        </w:rPr>
      </w:pPr>
      <w:r w:rsidRPr="00925F26">
        <w:rPr>
          <w:color w:val="000000" w:themeColor="text1"/>
          <w:sz w:val="16"/>
          <w:szCs w:val="16"/>
        </w:rPr>
        <w:t xml:space="preserve">Приведенные в письме тов Гоглидзе факты невыполнения программы по минам 120мм, выпуска мин с дефектами и другие недостатки имевшие место на заводе № 106 НКВ в </w:t>
      </w:r>
      <w:r w:rsidR="00997EDF" w:rsidRPr="00925F26">
        <w:rPr>
          <w:color w:val="000000" w:themeColor="text1"/>
          <w:sz w:val="16"/>
          <w:szCs w:val="16"/>
        </w:rPr>
        <w:t xml:space="preserve">  </w:t>
      </w:r>
      <w:r w:rsidRPr="00925F26">
        <w:rPr>
          <w:color w:val="000000" w:themeColor="text1"/>
          <w:sz w:val="16"/>
          <w:szCs w:val="16"/>
        </w:rPr>
        <w:t>1944</w:t>
      </w:r>
      <w:r w:rsidR="00997EDF" w:rsidRPr="00925F26">
        <w:rPr>
          <w:color w:val="000000" w:themeColor="text1"/>
          <w:sz w:val="16"/>
          <w:szCs w:val="16"/>
        </w:rPr>
        <w:t xml:space="preserve">  </w:t>
      </w:r>
      <w:r w:rsidRPr="00925F26">
        <w:rPr>
          <w:color w:val="000000" w:themeColor="text1"/>
          <w:sz w:val="16"/>
          <w:szCs w:val="16"/>
        </w:rPr>
        <w:t xml:space="preserve"> г. подтвердились.</w:t>
      </w:r>
    </w:p>
    <w:p w14:paraId="4DD7C854" w14:textId="77777777" w:rsidR="00BC1830" w:rsidRPr="00925F26" w:rsidRDefault="00BC1830" w:rsidP="00925F26">
      <w:pPr>
        <w:jc w:val="both"/>
        <w:rPr>
          <w:color w:val="000000" w:themeColor="text1"/>
          <w:sz w:val="16"/>
          <w:szCs w:val="16"/>
        </w:rPr>
      </w:pPr>
      <w:r w:rsidRPr="00925F26">
        <w:rPr>
          <w:color w:val="000000" w:themeColor="text1"/>
          <w:sz w:val="16"/>
          <w:szCs w:val="16"/>
        </w:rPr>
        <w:t>В целях выправления работы завода № 106 Наркомвооружения и ГАУ КА приняты следующие меры:</w:t>
      </w:r>
    </w:p>
    <w:p w14:paraId="6A2D0C84" w14:textId="77777777" w:rsidR="00BC1830" w:rsidRPr="00925F26" w:rsidRDefault="00BC1830" w:rsidP="00925F26">
      <w:pPr>
        <w:jc w:val="both"/>
        <w:rPr>
          <w:color w:val="000000" w:themeColor="text1"/>
          <w:sz w:val="16"/>
          <w:szCs w:val="16"/>
        </w:rPr>
      </w:pPr>
      <w:r w:rsidRPr="00925F26">
        <w:rPr>
          <w:color w:val="000000" w:themeColor="text1"/>
          <w:sz w:val="16"/>
          <w:szCs w:val="16"/>
        </w:rPr>
        <w:t>1. директор завода № 106 т. Третьяков от руководства заводом отстранен;</w:t>
      </w:r>
    </w:p>
    <w:p w14:paraId="5D46012A" w14:textId="77777777" w:rsidR="00BC1830" w:rsidRPr="00925F26" w:rsidRDefault="00BC1830" w:rsidP="00925F26">
      <w:pPr>
        <w:jc w:val="both"/>
        <w:rPr>
          <w:color w:val="000000" w:themeColor="text1"/>
          <w:sz w:val="16"/>
          <w:szCs w:val="16"/>
        </w:rPr>
      </w:pPr>
      <w:r w:rsidRPr="00925F26">
        <w:rPr>
          <w:color w:val="000000" w:themeColor="text1"/>
          <w:sz w:val="16"/>
          <w:szCs w:val="16"/>
        </w:rPr>
        <w:t>2. Главному инженеру заводу тов. Пьянкову об"явлен строгий выговор с предупреждением;</w:t>
      </w:r>
    </w:p>
    <w:p w14:paraId="61A78099" w14:textId="77777777" w:rsidR="00BC1830" w:rsidRPr="00925F26" w:rsidRDefault="00BC1830" w:rsidP="00925F26">
      <w:pPr>
        <w:jc w:val="both"/>
        <w:rPr>
          <w:color w:val="000000" w:themeColor="text1"/>
          <w:sz w:val="16"/>
          <w:szCs w:val="16"/>
        </w:rPr>
      </w:pPr>
      <w:r w:rsidRPr="00925F26">
        <w:rPr>
          <w:color w:val="000000" w:themeColor="text1"/>
          <w:sz w:val="16"/>
          <w:szCs w:val="16"/>
        </w:rPr>
        <w:t>3. начальник ОТК завода освобожден от работы;</w:t>
      </w:r>
    </w:p>
    <w:p w14:paraId="71FD4D56" w14:textId="77777777" w:rsidR="00BC1830" w:rsidRPr="00925F26" w:rsidRDefault="00BC1830" w:rsidP="00925F26">
      <w:pPr>
        <w:jc w:val="both"/>
        <w:rPr>
          <w:color w:val="000000" w:themeColor="text1"/>
          <w:sz w:val="16"/>
          <w:szCs w:val="16"/>
        </w:rPr>
      </w:pPr>
      <w:r w:rsidRPr="00925F26">
        <w:rPr>
          <w:color w:val="000000" w:themeColor="text1"/>
          <w:sz w:val="16"/>
          <w:szCs w:val="16"/>
        </w:rPr>
        <w:t>4. районный военный инженер полковник Посашков понижен в должности и переведен на работу военным представителем в г. Горький;</w:t>
      </w:r>
    </w:p>
    <w:p w14:paraId="1D8CE1B1" w14:textId="77777777" w:rsidR="00BC1830" w:rsidRPr="00925F26" w:rsidRDefault="00BC1830" w:rsidP="00925F26">
      <w:pPr>
        <w:jc w:val="both"/>
        <w:rPr>
          <w:color w:val="000000" w:themeColor="text1"/>
          <w:sz w:val="16"/>
          <w:szCs w:val="16"/>
        </w:rPr>
      </w:pPr>
      <w:r w:rsidRPr="00925F26">
        <w:rPr>
          <w:color w:val="000000" w:themeColor="text1"/>
          <w:sz w:val="16"/>
          <w:szCs w:val="16"/>
        </w:rPr>
        <w:t>5. все ранее забракованные корпуса мин 120 мм вновь пересмотрены и сданы на снаряжение, отход в брак составил около 6,5%;</w:t>
      </w:r>
    </w:p>
    <w:p w14:paraId="40BB0A1C" w14:textId="77777777" w:rsidR="00BC1830" w:rsidRPr="00925F26" w:rsidRDefault="00BC1830" w:rsidP="00925F26">
      <w:pPr>
        <w:jc w:val="both"/>
        <w:rPr>
          <w:color w:val="000000" w:themeColor="text1"/>
          <w:sz w:val="16"/>
          <w:szCs w:val="16"/>
        </w:rPr>
      </w:pPr>
      <w:r w:rsidRPr="00925F26">
        <w:rPr>
          <w:color w:val="000000" w:themeColor="text1"/>
          <w:sz w:val="16"/>
          <w:szCs w:val="16"/>
        </w:rPr>
        <w:t>6. для оказания технической помощи и улучшения хозяйственной деятельности на завод командированы специалисты Наркомвооружения (металлург, нач. технического сектора и диспетчер наркомата);</w:t>
      </w:r>
    </w:p>
    <w:p w14:paraId="627FA099" w14:textId="77777777" w:rsidR="00BC1830" w:rsidRPr="00925F26" w:rsidRDefault="00BC1830" w:rsidP="00925F26">
      <w:pPr>
        <w:jc w:val="both"/>
        <w:rPr>
          <w:color w:val="000000" w:themeColor="text1"/>
          <w:sz w:val="16"/>
          <w:szCs w:val="16"/>
        </w:rPr>
      </w:pPr>
      <w:r w:rsidRPr="00925F26">
        <w:rPr>
          <w:color w:val="000000" w:themeColor="text1"/>
          <w:sz w:val="16"/>
          <w:szCs w:val="16"/>
        </w:rPr>
        <w:t>7. пересмотрен заново технологический процесс и пересмотрена цепочка по изготовлению корпусов. Заменен контрольно-измерительный инструмент.</w:t>
      </w:r>
    </w:p>
    <w:p w14:paraId="5540F1E9" w14:textId="77777777" w:rsidR="00BC1830" w:rsidRPr="00925F26" w:rsidRDefault="00BC1830" w:rsidP="00925F26">
      <w:pPr>
        <w:jc w:val="both"/>
        <w:rPr>
          <w:color w:val="000000" w:themeColor="text1"/>
          <w:sz w:val="16"/>
          <w:szCs w:val="16"/>
        </w:rPr>
      </w:pPr>
      <w:r w:rsidRPr="00925F26">
        <w:rPr>
          <w:color w:val="000000" w:themeColor="text1"/>
          <w:sz w:val="16"/>
          <w:szCs w:val="16"/>
        </w:rPr>
        <w:t>В результате принятых мер работа завода № 106 в январе-феврале с.г. улучшилась. План производства боеприпасов выполняется, качество выпускаемой продукции улучшилось.</w:t>
      </w:r>
    </w:p>
    <w:p w14:paraId="378D59CD" w14:textId="77777777" w:rsidR="00BC1830" w:rsidRPr="00925F26" w:rsidRDefault="00BC1830" w:rsidP="00925F26">
      <w:pPr>
        <w:jc w:val="both"/>
        <w:rPr>
          <w:color w:val="000000" w:themeColor="text1"/>
          <w:sz w:val="16"/>
          <w:szCs w:val="16"/>
        </w:rPr>
      </w:pPr>
      <w:r w:rsidRPr="00925F26">
        <w:rPr>
          <w:color w:val="000000" w:themeColor="text1"/>
          <w:sz w:val="16"/>
          <w:szCs w:val="16"/>
        </w:rPr>
        <w:lastRenderedPageBreak/>
        <w:t>В.Рябиков</w:t>
      </w:r>
    </w:p>
    <w:p w14:paraId="44BAE55D" w14:textId="77777777" w:rsidR="00BC1830" w:rsidRPr="00925F26" w:rsidRDefault="00BC1830" w:rsidP="00925F26">
      <w:pPr>
        <w:jc w:val="both"/>
        <w:rPr>
          <w:color w:val="000000" w:themeColor="text1"/>
          <w:sz w:val="16"/>
          <w:szCs w:val="16"/>
        </w:rPr>
      </w:pPr>
      <w:r w:rsidRPr="00925F26">
        <w:rPr>
          <w:color w:val="000000" w:themeColor="text1"/>
          <w:sz w:val="16"/>
          <w:szCs w:val="16"/>
        </w:rPr>
        <w:t>Н.Борисов</w:t>
      </w:r>
    </w:p>
    <w:p w14:paraId="50FDFD19" w14:textId="77777777" w:rsidR="00BC1830" w:rsidRPr="00925F26" w:rsidRDefault="00BC1830" w:rsidP="00925F26">
      <w:pPr>
        <w:jc w:val="both"/>
        <w:rPr>
          <w:color w:val="000000" w:themeColor="text1"/>
          <w:sz w:val="16"/>
          <w:szCs w:val="16"/>
        </w:rPr>
      </w:pPr>
      <w:r w:rsidRPr="00925F26">
        <w:rPr>
          <w:color w:val="000000" w:themeColor="text1"/>
          <w:sz w:val="16"/>
          <w:szCs w:val="16"/>
        </w:rPr>
        <w:t>П.Кирпичников"</w:t>
      </w:r>
    </w:p>
    <w:p w14:paraId="3AE37988" w14:textId="77777777" w:rsidR="00BC1830" w:rsidRPr="00925F26" w:rsidRDefault="00BC1830" w:rsidP="00925F26">
      <w:pPr>
        <w:jc w:val="both"/>
        <w:rPr>
          <w:color w:val="000000" w:themeColor="text1"/>
          <w:sz w:val="16"/>
          <w:szCs w:val="16"/>
        </w:rPr>
      </w:pPr>
      <w:r w:rsidRPr="00925F26">
        <w:rPr>
          <w:color w:val="000000" w:themeColor="text1"/>
          <w:sz w:val="16"/>
          <w:szCs w:val="16"/>
        </w:rPr>
        <w:t>(РГАЭ ф. 4372 д. 307 л. 160) (15492).</w:t>
      </w:r>
    </w:p>
    <w:p w14:paraId="43BA1AE4" w14:textId="77777777" w:rsidR="00BC1830" w:rsidRPr="00925F26" w:rsidRDefault="00BC1830" w:rsidP="00925F26">
      <w:pPr>
        <w:jc w:val="both"/>
        <w:rPr>
          <w:color w:val="000000" w:themeColor="text1"/>
          <w:sz w:val="16"/>
          <w:szCs w:val="16"/>
        </w:rPr>
      </w:pPr>
    </w:p>
    <w:p w14:paraId="2F8257FC" w14:textId="77777777" w:rsidR="00B96C0B" w:rsidRPr="001A0BAA" w:rsidRDefault="00B96C0B" w:rsidP="00B96C0B">
      <w:pPr>
        <w:jc w:val="both"/>
        <w:rPr>
          <w:color w:val="0070C0"/>
          <w:sz w:val="16"/>
          <w:szCs w:val="16"/>
        </w:rPr>
      </w:pPr>
      <w:r w:rsidRPr="001A0BAA">
        <w:rPr>
          <w:color w:val="0070C0"/>
          <w:sz w:val="16"/>
          <w:szCs w:val="16"/>
        </w:rPr>
        <w:t>В январе 1945 года КБ завода №235 (г. Воткинск) представило проект 85-мм орудия В-13. Разработанное под руководством К.Ф. Федоренко орудие предлагалось в нескольких вариантах. Базировалось оно на конструкции танковой системы ЗИС-С-53. Первый вариант был без дульного тормоза, при сопротивлении откату 11,5 тонн оно явно было ненужным. Второй вариант, с дульным тормозом, имел силу сопротивления откату 5,7 тонн. Третий вариант, который приняли в работу, имел длину отката 400 мм, но требовал переделки кормовой части рубки (24993).</w:t>
      </w:r>
    </w:p>
    <w:p w14:paraId="36762AE6" w14:textId="77777777" w:rsidR="00B96C0B" w:rsidRPr="001A0BAA" w:rsidRDefault="00B96C0B" w:rsidP="00B96C0B">
      <w:pPr>
        <w:jc w:val="both"/>
        <w:rPr>
          <w:color w:val="0070C0"/>
          <w:sz w:val="16"/>
          <w:szCs w:val="16"/>
        </w:rPr>
      </w:pPr>
    </w:p>
    <w:p w14:paraId="55A677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завод № 13 спроектировал повозку ЗУ-17 весом 3600 кг под пушку КС-18 весом 3300 кг. В феврале 1947 года на заводе № 8 изготовлен "повторный образец" КС-18 с ССП. Проведены заводские и полигонные испытания на НИЗАПе. Испытания показали, что повозка КЗУ-17 имеет ряд недостатков и следует:</w:t>
      </w:r>
    </w:p>
    <w:p w14:paraId="6E400E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изменить конструкцию подрессоривания;</w:t>
      </w:r>
    </w:p>
    <w:p w14:paraId="2A791B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усилить стебель трубы;</w:t>
      </w:r>
    </w:p>
    <w:p w14:paraId="030F47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упрочить хребтовую балку;</w:t>
      </w:r>
    </w:p>
    <w:p w14:paraId="7C2546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 увеличить клиренс до 400 мм.</w:t>
      </w:r>
    </w:p>
    <w:p w14:paraId="3D1C6C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1948 году завод № 8 изготовил опытную серию из 4-х пушек. Из них две с ССП (КС-18) и две с ручным приводом (КС-18А). Все пушки сделаны в октябре 1948 года.</w:t>
      </w:r>
    </w:p>
    <w:p w14:paraId="067277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марте 1949 года были проведены полигонные испытания КС-18, а осенью 1949 года проведены войсковые испытания КС-18А.</w:t>
      </w:r>
    </w:p>
    <w:p w14:paraId="7066BF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рассмотрении результатов совместных войсковых испытаний 85-мм зенитной пушки КС-18А, КС-18 и КС-1, проведенные в 1949 году в комплексе с ПУАЗО-4А и стереодальномером "ДЯ-6", комиссией Арткома было решено провести 2-й этап войсковых испытаний КС-18А с ПУАЗО-6 и радиолокатором "Гром".</w:t>
      </w:r>
    </w:p>
    <w:p w14:paraId="30C6E7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Однако, в связи с задержкой в изготовлении ПУАЗО-6 и "Грома" в целях ускорения решения вопроса о пушке, в июле 1950 года было решено провести 2-ф этап войсковых испытаний батареи КС-18А с ПУАЗО-4А, стереодальномером ДЯ-6 и радиолокатором "Луч" с системой связи ССП.</w:t>
      </w:r>
    </w:p>
    <w:p w14:paraId="59A3B9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Войсковые испытания проводились на основе директивы заместителя Военного министра Соколовского по программе, утвержденной комиссией Арткома.</w:t>
      </w:r>
    </w:p>
    <w:p w14:paraId="790C951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Комиссия рекомендовала принят на вооружение войсковой зенитной артиллерии и зенитной артиллерии РВК КС-18А вместо 85-мм зенитных пушек обр. 1939 г. и обр. 1944 г.</w:t>
      </w:r>
    </w:p>
    <w:p w14:paraId="72C134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КС-18А рекомендована на вооружение зенитных артиллерийских полков, артиллерийских дивизий (бригад), армий и РВК, и корпусной зенитной артиллерии полков (дивизионов) войсковой зенитной артиллерии.</w:t>
      </w:r>
    </w:p>
    <w:p w14:paraId="78FC91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27 ноября по 24 декабря были проведены дополнительные испытания возкой за гусеничным тягачом АТ-С и М-2.</w:t>
      </w:r>
    </w:p>
    <w:p w14:paraId="0C63B0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итоге войсковых испытаний КС-18А в объеме 1014 выстрелов и 1500 км пробега (2 орудия по 1514 и 1484 км) установлено:</w:t>
      </w:r>
    </w:p>
    <w:p w14:paraId="677DD1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КС-18А проста по конструкции, надежна в работе и достаточно устойчива при стрельбе по воздушным и наземным целям.</w:t>
      </w:r>
    </w:p>
    <w:p w14:paraId="60ECA0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Кучность по наземным целям на небольшой дальности по сравнению с первым этапом войсковых испытаний улучшилась в 1,52 раза и является вполне удовлетворительной.</w:t>
      </w:r>
    </w:p>
    <w:p w14:paraId="70D77D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Результаты стрельбы по количеству нормальных отклонений средних точек разрывов от цели по сравнению с первым этапом войсковых испытаний улучшены в 1,52 раза.</w:t>
      </w:r>
    </w:p>
    <w:p w14:paraId="15ED56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Количество захватывающих залпов при стрельбе по наблюдаемым и ненаблюдаемым воздушным целям на высотах 6000, 7000 и 8000 м в среднем 4055%, что вполне приемлемо.</w:t>
      </w:r>
    </w:p>
    <w:p w14:paraId="4D297EB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Ввиду низкой точности решения задачи встречи, отсутствия специального механизма для учета запаздывания выстрела, а также больших трудностей в работе номеров при стрельбе по скоростным воздушным целям использование батареи КС-18А с ПУАЗО-4А может быть допущено временно до принятия на вооружение более совершенных ПУАЗО.</w:t>
      </w:r>
    </w:p>
    <w:p w14:paraId="4BEE77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КС-18А на пробеге по гравийному и булыжному шоссе, а также по бездорожью, показали достаточную устойчивость, поворотливость и сравнительно легкую преодолеваемость небольших препятствий.</w:t>
      </w:r>
    </w:p>
    <w:p w14:paraId="167A17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Повозка КЗУ-17 надежное основание пушки как при стрельбе, так и при возке.</w:t>
      </w:r>
    </w:p>
    <w:p w14:paraId="64EA59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Недостатки тоже выявлены.</w:t>
      </w:r>
    </w:p>
    <w:p w14:paraId="0D85E7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КС-18А на 2-м этапе войсковых испытаний была укомплектована противооткатными устройствами от 100-мм зенитной пушки КС-19 с передним уплотнением по второму варианту.</w:t>
      </w:r>
    </w:p>
    <w:p w14:paraId="650FC5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Противооткатные устройства работали нормально, однако необходимо изготовить и испытать зимой противооткатные устройства с двойным запором азота и улучшенным плавающим поршнем.</w:t>
      </w:r>
    </w:p>
    <w:p w14:paraId="291ED7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Скорость движения в зависимости от качества дороги:</w:t>
      </w:r>
    </w:p>
    <w:p w14:paraId="1F34EA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2-м этапе войсковых испытаний за "Студебеккером" от 10 до 50 км/час;</w:t>
      </w:r>
    </w:p>
    <w:p w14:paraId="4C0C5D7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дополнительных испытаниях: за АТ-С 1035 км/час;</w:t>
      </w:r>
    </w:p>
    <w:p w14:paraId="116A768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М-2 925 км/час.</w:t>
      </w:r>
    </w:p>
    <w:p w14:paraId="3C50BE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Колеса недостаточно прочные образовались трещины в дисках задних колес и т.д.</w:t>
      </w:r>
    </w:p>
    <w:p w14:paraId="00B96D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Металлическая часть колеса взята от колеса 85-мм зенитной пушки обр. 1939 г. (от ЗИС-5), а резиновая часть с камерой ГК от ЗИС-150.</w:t>
      </w:r>
    </w:p>
    <w:p w14:paraId="64A30F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колею: ЗИС-5 1100 кг, ЗИС-150 1500 кг.</w:t>
      </w:r>
    </w:p>
    <w:p w14:paraId="5E9DE8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 комиссии:</w:t>
      </w:r>
    </w:p>
    <w:p w14:paraId="6AF2E41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КС-18А 2-й этап войсковых испытаний стрельбой и пробегом выдержала. Недостатки повозки могут быть устранены.</w:t>
      </w:r>
    </w:p>
    <w:p w14:paraId="03256A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КС-18А по своим боевым качествам является современным зенитным орудием.</w:t>
      </w:r>
    </w:p>
    <w:p w14:paraId="4D85AE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Учитывая хорошее конструктивное решение, относительно небольшой вес, надежность работы и достаточную скорострельность считать необходимым принять пушку на вооружение.</w:t>
      </w:r>
    </w:p>
    <w:p w14:paraId="1C916C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Так как войсковые испытания проводились в летнее время, провести в 1851 году зимой дополнительные испытания в объеме 300 выстрелов (особенно противооткатных устройств).</w:t>
      </w:r>
    </w:p>
    <w:p w14:paraId="120B17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Заводам № 8 и № 13 внести изменения в чертежи, чтобы избавиться от недостатков.</w:t>
      </w:r>
    </w:p>
    <w:p w14:paraId="4E9E18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Совета министров № 465-207 от 18 марте 1954 года завод № 8 изготовил 6 пушек КС-18А. В августе 1954 года все 6 пушек были собраны. В сентябре-октябре 1954 года четыре пушки прошли полигонные испытания на НИАПе. В декабре 1954 года сданы две пушки КС-18А, доделанные по результатам полигонных испытаний.</w:t>
      </w:r>
    </w:p>
    <w:p w14:paraId="221623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июне 1954 года в ОКБ-8 был закончен технический проект и рабочие чертежи 85-мм пушка КС-18 с ГССП-100М и АУВ. Изготовление двух опытных образцов их было перенесено на I квартал 1955 года. К 1 января 1955 года производилось изготовление деталей.</w:t>
      </w:r>
    </w:p>
    <w:p w14:paraId="466558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КС-18А подвижное орудие, установленное на четырехколесной повозке с торсионным подрессориванием и неотделяемым в боевом положении ходом. Пушка имеет досылатель и лоток.</w:t>
      </w:r>
    </w:p>
    <w:p w14:paraId="38FE67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Камора и гильза КС-18 и КС-18А одинаковы с Д-48. (3861).</w:t>
      </w:r>
    </w:p>
    <w:p w14:paraId="12C9F74E" w14:textId="77777777" w:rsidR="00C2313B" w:rsidRPr="00925F26" w:rsidRDefault="00C2313B" w:rsidP="00925F26">
      <w:pPr>
        <w:autoSpaceDE w:val="0"/>
        <w:autoSpaceDN w:val="0"/>
        <w:adjustRightInd w:val="0"/>
        <w:jc w:val="both"/>
        <w:rPr>
          <w:color w:val="000000" w:themeColor="text1"/>
          <w:sz w:val="16"/>
          <w:szCs w:val="16"/>
        </w:rPr>
      </w:pPr>
    </w:p>
    <w:p w14:paraId="0D37795C" w14:textId="77777777" w:rsidR="00155D62" w:rsidRPr="001A0BAA" w:rsidRDefault="00155D62" w:rsidP="00155D62">
      <w:pPr>
        <w:jc w:val="both"/>
        <w:rPr>
          <w:color w:val="0070C0"/>
          <w:sz w:val="16"/>
          <w:szCs w:val="16"/>
        </w:rPr>
      </w:pPr>
      <w:r w:rsidRPr="001A0BAA">
        <w:rPr>
          <w:color w:val="0070C0"/>
          <w:sz w:val="16"/>
          <w:szCs w:val="16"/>
        </w:rPr>
        <w:t xml:space="preserve">В январе 1945 г. Красная Армия захватила секретный завод под Бреслау концерн ИГ Фарбениндустри, который изготовил более 13 000 тонн табуна. Также войсками Красной Армии были оккупированы территории, на которых находились небольшие заводы по выпуску газов зарин и зоман (24960). </w:t>
      </w:r>
    </w:p>
    <w:p w14:paraId="24376948" w14:textId="77777777" w:rsidR="00155D62" w:rsidRPr="001A0BAA" w:rsidRDefault="00155D62" w:rsidP="00155D62">
      <w:pPr>
        <w:jc w:val="both"/>
        <w:rPr>
          <w:color w:val="0070C0"/>
          <w:sz w:val="16"/>
          <w:szCs w:val="16"/>
        </w:rPr>
      </w:pPr>
    </w:p>
    <w:p w14:paraId="692134C3" w14:textId="77777777" w:rsidR="000C332D" w:rsidRPr="00925F26" w:rsidRDefault="000C332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январе 1945 года был произведён обстрел двух башен ИС-6, изготовленных на УЗТМ из стали 70Л и 72Л. Обстрел борта башни из 88-мм пушки Pak 43L/71 показал, что вторым выстрелом 150-мм борт оказался пробит, то же самое случилось и при попадании второго снаряда в участок толщиной 160 мм. Далее была пробита корма башни снарядом 75-мм пушки KwK 42 L/70. После пятого выстрела башня из стали 72Л раскололась. Башня из стали 70Л показала более удовлетворительный результат, но стало ясно, что насчёт формы башни в НКТП и ГБТУ КА просчитались. Впрочем, это произойдёт потом, а по состоянию на конец 1944 года ИС-6 считался приоритетом (19090).</w:t>
      </w:r>
    </w:p>
    <w:p w14:paraId="39F21D58" w14:textId="77777777" w:rsidR="000C332D" w:rsidRPr="00925F26" w:rsidRDefault="000C332D" w:rsidP="00925F26">
      <w:pPr>
        <w:pStyle w:val="ae"/>
        <w:shd w:val="clear" w:color="auto" w:fill="FFFFFF"/>
        <w:spacing w:before="0" w:after="0"/>
        <w:jc w:val="both"/>
        <w:textAlignment w:val="baseline"/>
        <w:rPr>
          <w:color w:val="000000" w:themeColor="text1"/>
          <w:sz w:val="16"/>
          <w:szCs w:val="16"/>
        </w:rPr>
      </w:pPr>
    </w:p>
    <w:p w14:paraId="185C8027" w14:textId="77777777" w:rsidR="000C332D" w:rsidRPr="00925F26" w:rsidRDefault="000C332D" w:rsidP="00925F26">
      <w:pPr>
        <w:jc w:val="both"/>
        <w:rPr>
          <w:color w:val="000000" w:themeColor="text1"/>
          <w:sz w:val="16"/>
          <w:szCs w:val="16"/>
        </w:rPr>
      </w:pPr>
      <w:r w:rsidRPr="00925F26">
        <w:rPr>
          <w:color w:val="000000" w:themeColor="text1"/>
          <w:sz w:val="16"/>
          <w:szCs w:val="16"/>
        </w:rPr>
        <w:t>В январе 1945 года на УЗТМ для рассмотрения переработанных проектов прибыла специальная комиссия НКТП, которую возглавлял И.С. Бер. Рассмотрев проекты на месте, комиссия согласилась с выводами КБ УЗТМ. Вариант с кормовым расположением боевого отделения выглядел более перспективно. Расчёты показывали, что даже в случае увеличения толщины брони боевая масса возрастает незначительно. Кроме того, в боевое отделение вполне вписывалось не только 100-мм орудие Д-10С, но и более громоздкая Д-25. По итогам комиссия указала на ряд недостатков, которые следовало устранить в финальном варианте проекта (19525).</w:t>
      </w:r>
    </w:p>
    <w:p w14:paraId="2FAD2113" w14:textId="77777777" w:rsidR="000C332D" w:rsidRPr="00925F26" w:rsidRDefault="000C332D" w:rsidP="00925F26">
      <w:pPr>
        <w:pStyle w:val="ae"/>
        <w:shd w:val="clear" w:color="auto" w:fill="FFFFFF"/>
        <w:spacing w:before="0" w:after="0"/>
        <w:jc w:val="both"/>
        <w:textAlignment w:val="baseline"/>
        <w:rPr>
          <w:color w:val="000000" w:themeColor="text1"/>
          <w:sz w:val="16"/>
          <w:szCs w:val="16"/>
        </w:rPr>
      </w:pPr>
    </w:p>
    <w:p w14:paraId="1FDAA5A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двухстворчатая крыш</w:t>
      </w:r>
      <w:r w:rsidRPr="00925F26">
        <w:rPr>
          <w:color w:val="000000" w:themeColor="text1"/>
          <w:sz w:val="16"/>
          <w:szCs w:val="16"/>
        </w:rPr>
        <w:softHyphen/>
        <w:t>ка люка командирской башенки была заменена на одностворчатую (10703).</w:t>
      </w:r>
    </w:p>
    <w:p w14:paraId="2210CF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9E7F7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двустворчатую крышку люка командирской башенки Т-34-85 заменили на одностворчатую, а после войны на Т-34 завода Красное Сормово перенесли один из вентиляторов (4390).</w:t>
      </w:r>
    </w:p>
    <w:p w14:paraId="531ACEF0" w14:textId="77777777" w:rsidR="00C2313B" w:rsidRPr="00925F26" w:rsidRDefault="00C2313B" w:rsidP="00925F26">
      <w:pPr>
        <w:autoSpaceDE w:val="0"/>
        <w:autoSpaceDN w:val="0"/>
        <w:adjustRightInd w:val="0"/>
        <w:jc w:val="both"/>
        <w:rPr>
          <w:color w:val="000000" w:themeColor="text1"/>
          <w:sz w:val="16"/>
          <w:szCs w:val="16"/>
        </w:rPr>
      </w:pPr>
    </w:p>
    <w:p w14:paraId="4681A8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был изготовлен опытный образец машины Т-34 с ЗИС-1,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7719C7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303A6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был изготовлен опыт</w:t>
      </w:r>
      <w:r w:rsidRPr="00925F26">
        <w:rPr>
          <w:color w:val="000000" w:themeColor="text1"/>
          <w:sz w:val="16"/>
          <w:szCs w:val="16"/>
        </w:rPr>
        <w:softHyphen/>
        <w:t>ный образец танка Т-34-85ПХ (ТПХ-2), который был разработан в 1944 - 1945 гг. конст</w:t>
      </w:r>
      <w:r w:rsidRPr="00925F26">
        <w:rPr>
          <w:color w:val="000000" w:themeColor="text1"/>
          <w:sz w:val="16"/>
          <w:szCs w:val="16"/>
        </w:rPr>
        <w:softHyphen/>
        <w:t>рукторским отделом завода "Красное Сормово" (ведущий конструкто</w:t>
      </w:r>
      <w:r w:rsidRPr="00925F26">
        <w:rPr>
          <w:color w:val="000000" w:themeColor="text1"/>
          <w:sz w:val="16"/>
          <w:szCs w:val="16"/>
        </w:rPr>
        <w:softHyphen/>
        <w:t>р машины Ю.П. Новиков), с оборудованием для подводного вождения и летом то</w:t>
      </w:r>
      <w:r w:rsidRPr="00925F26">
        <w:rPr>
          <w:color w:val="000000" w:themeColor="text1"/>
          <w:sz w:val="16"/>
          <w:szCs w:val="16"/>
        </w:rPr>
        <w:softHyphen/>
        <w:t>го же года прошел полигонные испытания. На вооружение танк ТПХ-2 не принимался и в серийном производстве не состоял. Машина была создана на базе танка Т-34-85 обр. 1944 г. и отлича</w:t>
      </w:r>
      <w:r w:rsidRPr="00925F26">
        <w:rPr>
          <w:color w:val="000000" w:themeColor="text1"/>
          <w:sz w:val="16"/>
          <w:szCs w:val="16"/>
        </w:rPr>
        <w:softHyphen/>
        <w:t xml:space="preserve">лась от пего проведением дополнительных </w:t>
      </w:r>
      <w:proofErr w:type="gramStart"/>
      <w:r w:rsidRPr="00925F26">
        <w:rPr>
          <w:color w:val="000000" w:themeColor="text1"/>
          <w:sz w:val="16"/>
          <w:szCs w:val="16"/>
        </w:rPr>
        <w:t>мероприятий</w:t>
      </w:r>
      <w:proofErr w:type="gramEnd"/>
      <w:r w:rsidRPr="00925F26">
        <w:rPr>
          <w:color w:val="000000" w:themeColor="text1"/>
          <w:sz w:val="16"/>
          <w:szCs w:val="16"/>
        </w:rPr>
        <w:t xml:space="preserve"> но герметиза</w:t>
      </w:r>
      <w:r w:rsidRPr="00925F26">
        <w:rPr>
          <w:color w:val="000000" w:themeColor="text1"/>
          <w:sz w:val="16"/>
          <w:szCs w:val="16"/>
        </w:rPr>
        <w:softHyphen/>
        <w:t>ции корпуса и башни танка, а также установкой специального оборудо</w:t>
      </w:r>
      <w:r w:rsidRPr="00925F26">
        <w:rPr>
          <w:color w:val="000000" w:themeColor="text1"/>
          <w:sz w:val="16"/>
          <w:szCs w:val="16"/>
        </w:rPr>
        <w:softHyphen/>
        <w:t>вания, обеспечивавшего ему возможность свободного преодоления вод</w:t>
      </w:r>
      <w:r w:rsidRPr="00925F26">
        <w:rPr>
          <w:color w:val="000000" w:themeColor="text1"/>
          <w:sz w:val="16"/>
          <w:szCs w:val="16"/>
        </w:rPr>
        <w:softHyphen/>
        <w:t>ных преград по дну глубиной до 5 м (10703).</w:t>
      </w:r>
    </w:p>
    <w:p w14:paraId="2E2459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390237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был изготовлен опыт</w:t>
      </w:r>
      <w:r w:rsidRPr="00925F26">
        <w:rPr>
          <w:color w:val="000000" w:themeColor="text1"/>
          <w:sz w:val="16"/>
          <w:szCs w:val="16"/>
        </w:rPr>
        <w:softHyphen/>
        <w:t>ный образец танка Т-34-85ПХ (ТПХ-1), который был разработан в 1944 - 1945 гг. конст</w:t>
      </w:r>
      <w:r w:rsidRPr="00925F26">
        <w:rPr>
          <w:color w:val="000000" w:themeColor="text1"/>
          <w:sz w:val="16"/>
          <w:szCs w:val="16"/>
        </w:rPr>
        <w:softHyphen/>
        <w:t>рукторским отделом завода "Красное Сормово" (ведущим конструкто</w:t>
      </w:r>
      <w:r w:rsidRPr="00925F26">
        <w:rPr>
          <w:color w:val="000000" w:themeColor="text1"/>
          <w:sz w:val="16"/>
          <w:szCs w:val="16"/>
        </w:rPr>
        <w:softHyphen/>
        <w:t>ром машины был Ю.П. Новиков) с оборудованием для подводного вождения, который прошел полигонные испытания. На вооружение не принимался и в се</w:t>
      </w:r>
      <w:r w:rsidRPr="00925F26">
        <w:rPr>
          <w:color w:val="000000" w:themeColor="text1"/>
          <w:sz w:val="16"/>
          <w:szCs w:val="16"/>
        </w:rPr>
        <w:softHyphen/>
        <w:t>рийном производстве не состоял. Танк ТПХ-1 отличался от танка ТПХ-2 наличием более сложных по конструкции и исполнению отдельных специальных узлов и систем, свойственных тапку подводного вождения. Корпус машины по конструкции и технологии был усложнен за счет установки на машине более сложных систем приема воздуха в машину, охлаждения и выпуска отработавших газов. Боковая система приема воздуха в машину с поворачивавшейся тру</w:t>
      </w:r>
      <w:r w:rsidRPr="00925F26">
        <w:rPr>
          <w:color w:val="000000" w:themeColor="text1"/>
          <w:sz w:val="16"/>
          <w:szCs w:val="16"/>
        </w:rPr>
        <w:softHyphen/>
        <w:t>бой потребовала выреза отверстия в левом наклонном бортовом броне</w:t>
      </w:r>
      <w:r w:rsidRPr="00925F26">
        <w:rPr>
          <w:color w:val="000000" w:themeColor="text1"/>
          <w:sz w:val="16"/>
          <w:szCs w:val="16"/>
        </w:rPr>
        <w:softHyphen/>
        <w:t>вом листе и приварки мортиры (10703).</w:t>
      </w:r>
    </w:p>
    <w:p w14:paraId="0BACCD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43DA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ИС-2 начали оборудовать противокумулятивными экранами, которые изготавливались и устанавливались большей частью кустарно силами танкоремонтных подразделений из тонких металлических листов сетки и даже спиралей Бруно, сплющенных танковыми гусеницами. Кумулятивная граната "фаустпатрона" взрываясь на экране, разносила его в клочья, но на основной броне оставляла лишь оплавленную вороночку, которую танкисты с черным юмором людей, ежеминутно смотрящих в глаза смерти назвали "засос ведьмы</w:t>
      </w:r>
      <w:proofErr w:type="gramStart"/>
      <w:r w:rsidRPr="00925F26">
        <w:rPr>
          <w:color w:val="000000" w:themeColor="text1"/>
          <w:sz w:val="16"/>
          <w:szCs w:val="16"/>
        </w:rPr>
        <w:t>"..</w:t>
      </w:r>
      <w:proofErr w:type="gramEnd"/>
    </w:p>
    <w:p w14:paraId="691A56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сожалению, разрывами снарядов и обломками зданий экраны часто срывало или деформировало. О том, какие это вызывало последствия, рассказал в своей повести-воспоминании "Последний бой - он трудный самый" В.Миндлин, участник штурма Берлина, подполковник гвардии, командир 11-го Гв. ттпп:..</w:t>
      </w:r>
    </w:p>
    <w:p w14:paraId="326C8B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"Вот стоит машина с наглухо задраенными люками, из нее сквозь броню слышен визг вращающегося умформера радиостанции. Но экипаж молчит... Не отзывается ни на стук, ни по радио. В башне - маленькая, диаметром с копейку, оплавленная дырочка - мизинец не пройдет. А это - "фауст", его работа". Экран в этом месте сорван, концентрированный взрыв ударил по броне... Синеватыми огоньками брызжет сварка: только так можно вскрыть задраенный изнутри люк. Из башни достаем четырех погибших танкистов. Молодые, еще недавно веселые сильные парни. Им бы жить да жить....</w:t>
      </w:r>
    </w:p>
    <w:p w14:paraId="0942D9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Кумулятивная граната прожгла сталь брони, огненным вихрем ворвалась в машину. Брызги расплавленной стали поразили всех насмерть... Не затронуты ни боеукладка, ни баки с горючим, ни механизмы. Погибли лишь люди, и вот, как будто в последнем строю, лежат они, танкисты, у гусеницы своей боевой машины. А танк - живой - стоит посреди улицы, низко к мостовой опустив пушку, как бы скорбя по погибшему экипажу. А людей уже нет. Кто видел танковый бой, тот знает, как страшно гибнут танкисты. Если снаряд или "фауст" поразил боеукладку, баки с горючим, танк погибает мгновенно - взрывается, и ничего живого в нем и возле танка не остается. Экипаж погибает без </w:t>
      </w:r>
      <w:proofErr w:type="gramStart"/>
      <w:r w:rsidRPr="00925F26">
        <w:rPr>
          <w:color w:val="000000" w:themeColor="text1"/>
          <w:sz w:val="16"/>
          <w:szCs w:val="16"/>
        </w:rPr>
        <w:t>мучений..</w:t>
      </w:r>
      <w:proofErr w:type="gramEnd"/>
    </w:p>
    <w:p w14:paraId="64A966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Однако бывает и так: пробил снаряд или "фауст" броню, тяжело ранены все члены экипажа, и машина горит, огонь идет к боеукладке, к бакам с горючим, а погасить его экипаж не в состоянии. Надо покинуть танк и до взрыва успеть отбежать на безопасное расстояние. Но у раненых танкистов уже нет сил отдраить люки, открыть их. И слышишь крики заживо горящих людей. Помочь им нельзя: люки закрыты изнутри, можно, повторю, открыть только </w:t>
      </w:r>
      <w:proofErr w:type="gramStart"/>
      <w:r w:rsidRPr="00925F26">
        <w:rPr>
          <w:color w:val="000000" w:themeColor="text1"/>
          <w:sz w:val="16"/>
          <w:szCs w:val="16"/>
        </w:rPr>
        <w:t>сваркой..</w:t>
      </w:r>
      <w:proofErr w:type="gramEnd"/>
    </w:p>
    <w:p w14:paraId="51D234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Нет более жестокого боя, чем танковый бой. Нет страшнее смерти, чем смерть в горящем танке</w:t>
      </w:r>
      <w:proofErr w:type="gramStart"/>
      <w:r w:rsidRPr="00925F26">
        <w:rPr>
          <w:color w:val="000000" w:themeColor="text1"/>
          <w:sz w:val="16"/>
          <w:szCs w:val="16"/>
        </w:rPr>
        <w:t>"..</w:t>
      </w:r>
      <w:proofErr w:type="gramEnd"/>
    </w:p>
    <w:p w14:paraId="08409D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Вести уличный бои с открытыми башенными люками было нельзя, так как из любого окна могла вылететь ручная граната. Поэтому экипажи получили приказ: люки </w:t>
      </w:r>
      <w:proofErr w:type="gramStart"/>
      <w:r w:rsidRPr="00925F26">
        <w:rPr>
          <w:color w:val="000000" w:themeColor="text1"/>
          <w:sz w:val="16"/>
          <w:szCs w:val="16"/>
        </w:rPr>
        <w:t>закрывать</w:t>
      </w:r>
      <w:proofErr w:type="gramEnd"/>
      <w:r w:rsidRPr="00925F26">
        <w:rPr>
          <w:color w:val="000000" w:themeColor="text1"/>
          <w:sz w:val="16"/>
          <w:szCs w:val="16"/>
        </w:rPr>
        <w:t xml:space="preserve"> но не задраивать. В результате безвозвратные потери личного состава несколько снизились. Для боя в городских кварталах применялось специальное построение под названием "елочка</w:t>
      </w:r>
      <w:proofErr w:type="gramStart"/>
      <w:r w:rsidRPr="00925F26">
        <w:rPr>
          <w:color w:val="000000" w:themeColor="text1"/>
          <w:sz w:val="16"/>
          <w:szCs w:val="16"/>
        </w:rPr>
        <w:t>"..</w:t>
      </w:r>
      <w:proofErr w:type="gramEnd"/>
    </w:p>
    <w:p w14:paraId="31DE69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Танки взаимодействовали огнем </w:t>
      </w:r>
      <w:proofErr w:type="gramStart"/>
      <w:r w:rsidRPr="00925F26">
        <w:rPr>
          <w:color w:val="000000" w:themeColor="text1"/>
          <w:sz w:val="16"/>
          <w:szCs w:val="16"/>
        </w:rPr>
        <w:t>попарно</w:t>
      </w:r>
      <w:proofErr w:type="gramEnd"/>
      <w:r w:rsidRPr="00925F26">
        <w:rPr>
          <w:color w:val="000000" w:themeColor="text1"/>
          <w:sz w:val="16"/>
          <w:szCs w:val="16"/>
        </w:rPr>
        <w:t xml:space="preserve"> а пары между собой. Танковый взвод, два тяжелых танка ИС-2, простреливал всю улицу, один танк ее правую сторону, а другой левую. Такая пара двигалась уступом, друг за другом, по обеим сторонам улицы. Другая пара шла следом за первой и поддерживала ее </w:t>
      </w:r>
      <w:proofErr w:type="gramStart"/>
      <w:r w:rsidRPr="00925F26">
        <w:rPr>
          <w:color w:val="000000" w:themeColor="text1"/>
          <w:sz w:val="16"/>
          <w:szCs w:val="16"/>
        </w:rPr>
        <w:t>огнем..</w:t>
      </w:r>
      <w:proofErr w:type="gramEnd"/>
    </w:p>
    <w:p w14:paraId="3C8198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Каждой танковой роте придавался взвод автоматчиков, состоявший из пяти отделений, по числу тяжелых танков в роте. Автоматчики передвигались на броне, при встрече с противником они спешивались и вели бой в тесном взаимодействии с экипажем "своего" </w:t>
      </w:r>
      <w:proofErr w:type="gramStart"/>
      <w:r w:rsidRPr="00925F26">
        <w:rPr>
          <w:color w:val="000000" w:themeColor="text1"/>
          <w:sz w:val="16"/>
          <w:szCs w:val="16"/>
        </w:rPr>
        <w:t>танка..</w:t>
      </w:r>
      <w:proofErr w:type="gramEnd"/>
    </w:p>
    <w:p w14:paraId="52D0F4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уличных боях именно на пехотинцев ложилась основная работа по уничтожению "фаустников". Создавались специальные штурмовые группы: взвод автоматчиков и одно полевое орудие, чаще всего ЗИС-3. О применении таких групп упоминает и артиллерист М.Бадигин в своих </w:t>
      </w:r>
      <w:proofErr w:type="gramStart"/>
      <w:r w:rsidRPr="00925F26">
        <w:rPr>
          <w:color w:val="000000" w:themeColor="text1"/>
          <w:sz w:val="16"/>
          <w:szCs w:val="16"/>
        </w:rPr>
        <w:t>воспоминаниях..</w:t>
      </w:r>
      <w:proofErr w:type="gramEnd"/>
    </w:p>
    <w:p w14:paraId="35448D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борьбе с "фаустниками" неплохо зарекомендовали себя и крупнокалиберные зенитные пулеметы ДШК. Правда, на улицах Берлина задранные вверх стволы этих пулеметов цеплялись за все провода, особенно за трамвайные. Поэтому на части танков ДШК были сняты. (3862).</w:t>
      </w:r>
    </w:p>
    <w:p w14:paraId="2204246B" w14:textId="77777777" w:rsidR="00C2313B" w:rsidRPr="00925F26" w:rsidRDefault="00C2313B" w:rsidP="00925F26">
      <w:pPr>
        <w:autoSpaceDE w:val="0"/>
        <w:autoSpaceDN w:val="0"/>
        <w:adjustRightInd w:val="0"/>
        <w:jc w:val="both"/>
        <w:rPr>
          <w:color w:val="000000" w:themeColor="text1"/>
          <w:sz w:val="16"/>
          <w:szCs w:val="16"/>
        </w:rPr>
      </w:pPr>
    </w:p>
    <w:p w14:paraId="13F5E661" w14:textId="77777777" w:rsidR="008C5307" w:rsidRPr="00925F26" w:rsidRDefault="008C5307" w:rsidP="00925F26">
      <w:pPr>
        <w:jc w:val="both"/>
        <w:rPr>
          <w:color w:val="000000" w:themeColor="text1"/>
          <w:sz w:val="16"/>
          <w:szCs w:val="16"/>
        </w:rPr>
      </w:pPr>
      <w:r w:rsidRPr="00925F26">
        <w:rPr>
          <w:color w:val="000000" w:themeColor="text1"/>
          <w:sz w:val="16"/>
          <w:szCs w:val="16"/>
        </w:rPr>
        <w:t>В январе 1945 года план производства ИСУ-152 на ЧКЗ снова был перевыполнен. Из-за нехватки систем А-19 было выпущено 90 ИСУ-122 и 110 ИСУ-152, в феврале и марте — по 100 ИСУ-152. Как и на ИС-2, с 1 февраля на самоходных установках стали монтировать дымовые шашки МДШ (18171).</w:t>
      </w:r>
    </w:p>
    <w:p w14:paraId="5B93D1FB" w14:textId="77777777" w:rsidR="008C5307" w:rsidRPr="00925F26" w:rsidRDefault="008C5307" w:rsidP="00925F26">
      <w:pPr>
        <w:jc w:val="both"/>
        <w:rPr>
          <w:color w:val="000000" w:themeColor="text1"/>
          <w:sz w:val="16"/>
          <w:szCs w:val="16"/>
        </w:rPr>
      </w:pPr>
    </w:p>
    <w:p w14:paraId="50EB739B" w14:textId="77777777" w:rsidR="008C5307" w:rsidRPr="00925F26" w:rsidRDefault="008C5307" w:rsidP="00925F26">
      <w:pPr>
        <w:jc w:val="both"/>
        <w:rPr>
          <w:color w:val="000000" w:themeColor="text1"/>
          <w:sz w:val="16"/>
          <w:szCs w:val="16"/>
        </w:rPr>
      </w:pPr>
      <w:r w:rsidRPr="00925F26">
        <w:rPr>
          <w:color w:val="000000" w:themeColor="text1"/>
          <w:sz w:val="16"/>
          <w:szCs w:val="16"/>
        </w:rPr>
        <w:t>С января 1945 года зенитными пулемётами оснащались все ИС-2 и ИСУ. Это было крайне полезное нововведение: для ДШКТ хватало не только воздушных, но и наземных целей, до его появления экипажам приходилось бороться с вражеской пехотой при помощи личного оружия (18171).</w:t>
      </w:r>
    </w:p>
    <w:p w14:paraId="73BEF0F3" w14:textId="77777777" w:rsidR="008C5307" w:rsidRPr="00925F26" w:rsidRDefault="008C5307" w:rsidP="00925F26">
      <w:pPr>
        <w:jc w:val="both"/>
        <w:rPr>
          <w:color w:val="000000" w:themeColor="text1"/>
          <w:sz w:val="16"/>
          <w:szCs w:val="16"/>
        </w:rPr>
      </w:pPr>
    </w:p>
    <w:p w14:paraId="3E00C501" w14:textId="77777777" w:rsidR="00F1364C" w:rsidRPr="00925F26" w:rsidRDefault="00F1364C" w:rsidP="00925F26">
      <w:pPr>
        <w:shd w:val="clear" w:color="auto" w:fill="FFFFFF"/>
        <w:jc w:val="both"/>
        <w:rPr>
          <w:rStyle w:val="700"/>
          <w:rFonts w:ascii="Times New Roman" w:eastAsiaTheme="minorHAnsi" w:hAnsi="Times New Roman" w:cs="Times New Roman"/>
          <w:color w:val="000000" w:themeColor="text1"/>
          <w:sz w:val="16"/>
          <w:szCs w:val="16"/>
        </w:rPr>
      </w:pPr>
      <w:r w:rsidRPr="00925F26">
        <w:rPr>
          <w:rStyle w:val="690"/>
          <w:rFonts w:ascii="Times New Roman" w:hAnsi="Times New Roman" w:cs="Times New Roman"/>
          <w:color w:val="000000" w:themeColor="text1"/>
          <w:sz w:val="16"/>
          <w:szCs w:val="16"/>
        </w:rPr>
        <w:t>В январе 1945 года имели место более существенные доработки ИС-2. Изменения, впрочем, носили незначительный объем, в ос</w:t>
      </w:r>
      <w:r w:rsidRPr="00925F26">
        <w:rPr>
          <w:rStyle w:val="690"/>
          <w:rFonts w:ascii="Times New Roman" w:hAnsi="Times New Roman" w:cs="Times New Roman"/>
          <w:color w:val="000000" w:themeColor="text1"/>
          <w:sz w:val="16"/>
          <w:szCs w:val="16"/>
        </w:rPr>
        <w:softHyphen/>
        <w:t>новном улучшались мелкие детали, например, добавили ребро жесткости на вертикальную тягу педали газа и тросик с рукояткой для обеспечения спуска воды из водяной помпы. С 10 января ввели крепление ППШ, также в ян</w:t>
      </w:r>
      <w:r w:rsidRPr="00925F26">
        <w:rPr>
          <w:rStyle w:val="690"/>
          <w:rFonts w:ascii="Times New Roman" w:hAnsi="Times New Roman" w:cs="Times New Roman"/>
          <w:color w:val="000000" w:themeColor="text1"/>
          <w:sz w:val="16"/>
          <w:szCs w:val="16"/>
        </w:rPr>
        <w:softHyphen/>
        <w:t>варе внедрили генератор Г-73 и новые типы приборов. Наиболее важным моментом стало то, что с 1 января 1945 года все танки и САУ, выпускавшиеся в Челябинске, получали зе</w:t>
      </w:r>
      <w:r w:rsidRPr="00925F26">
        <w:rPr>
          <w:rStyle w:val="690"/>
          <w:rFonts w:ascii="Times New Roman" w:hAnsi="Times New Roman" w:cs="Times New Roman"/>
          <w:color w:val="000000" w:themeColor="text1"/>
          <w:sz w:val="16"/>
          <w:szCs w:val="16"/>
        </w:rPr>
        <w:softHyphen/>
        <w:t>нитные</w:t>
      </w:r>
      <w:r w:rsidRPr="00925F26">
        <w:rPr>
          <w:color w:val="000000" w:themeColor="text1"/>
          <w:sz w:val="16"/>
          <w:szCs w:val="16"/>
        </w:rPr>
        <w:t xml:space="preserve"> </w:t>
      </w:r>
      <w:r w:rsidRPr="00925F26">
        <w:rPr>
          <w:rStyle w:val="690"/>
          <w:rFonts w:ascii="Times New Roman" w:hAnsi="Times New Roman" w:cs="Times New Roman"/>
          <w:color w:val="000000" w:themeColor="text1"/>
          <w:sz w:val="16"/>
          <w:szCs w:val="16"/>
        </w:rPr>
        <w:t>зе</w:t>
      </w:r>
      <w:r w:rsidRPr="00925F26">
        <w:rPr>
          <w:rStyle w:val="690"/>
          <w:rFonts w:ascii="Times New Roman" w:hAnsi="Times New Roman" w:cs="Times New Roman"/>
          <w:color w:val="000000" w:themeColor="text1"/>
          <w:sz w:val="16"/>
          <w:szCs w:val="16"/>
        </w:rPr>
        <w:softHyphen/>
        <w:t>нитные турели с крупнокалиберным пулеме</w:t>
      </w:r>
      <w:r w:rsidRPr="00925F26">
        <w:rPr>
          <w:rStyle w:val="690"/>
          <w:rFonts w:ascii="Times New Roman" w:hAnsi="Times New Roman" w:cs="Times New Roman"/>
          <w:color w:val="000000" w:themeColor="text1"/>
          <w:sz w:val="16"/>
          <w:szCs w:val="16"/>
        </w:rPr>
        <w:softHyphen/>
        <w:t xml:space="preserve">том ДШК. За декабрь 1944 года их поставили </w:t>
      </w:r>
      <w:r w:rsidRPr="00925F26">
        <w:rPr>
          <w:rStyle w:val="700"/>
          <w:rFonts w:ascii="Times New Roman" w:eastAsiaTheme="minorHAnsi" w:hAnsi="Times New Roman" w:cs="Times New Roman"/>
          <w:color w:val="000000" w:themeColor="text1"/>
          <w:sz w:val="16"/>
          <w:szCs w:val="16"/>
        </w:rPr>
        <w:t>на 125 танков. В походном положении пуле</w:t>
      </w:r>
      <w:r w:rsidRPr="00925F26">
        <w:rPr>
          <w:rStyle w:val="700"/>
          <w:rFonts w:ascii="Times New Roman" w:eastAsiaTheme="minorHAnsi" w:hAnsi="Times New Roman" w:cs="Times New Roman"/>
          <w:color w:val="000000" w:themeColor="text1"/>
          <w:sz w:val="16"/>
          <w:szCs w:val="16"/>
        </w:rPr>
        <w:softHyphen/>
        <w:t>меты вешались на креплениях, которые уста</w:t>
      </w:r>
      <w:r w:rsidRPr="00925F26">
        <w:rPr>
          <w:rStyle w:val="700"/>
          <w:rFonts w:ascii="Times New Roman" w:eastAsiaTheme="minorHAnsi" w:hAnsi="Times New Roman" w:cs="Times New Roman"/>
          <w:color w:val="000000" w:themeColor="text1"/>
          <w:sz w:val="16"/>
          <w:szCs w:val="16"/>
        </w:rPr>
        <w:softHyphen/>
        <w:t>новили на правом борту башни. В дальней</w:t>
      </w:r>
      <w:r w:rsidRPr="00925F26">
        <w:rPr>
          <w:rStyle w:val="700"/>
          <w:rFonts w:ascii="Times New Roman" w:eastAsiaTheme="minorHAnsi" w:hAnsi="Times New Roman" w:cs="Times New Roman"/>
          <w:color w:val="000000" w:themeColor="text1"/>
          <w:sz w:val="16"/>
          <w:szCs w:val="16"/>
        </w:rPr>
        <w:softHyphen/>
        <w:t>шем, по мере возможности, зенитными пуле</w:t>
      </w:r>
      <w:r w:rsidRPr="00925F26">
        <w:rPr>
          <w:rStyle w:val="700"/>
          <w:rFonts w:ascii="Times New Roman" w:eastAsiaTheme="minorHAnsi" w:hAnsi="Times New Roman" w:cs="Times New Roman"/>
          <w:color w:val="000000" w:themeColor="text1"/>
          <w:sz w:val="16"/>
          <w:szCs w:val="16"/>
        </w:rPr>
        <w:softHyphen/>
        <w:t>метами оснащались и танки более раннего выпуска, но происходило это крайне медлен</w:t>
      </w:r>
      <w:r w:rsidRPr="00925F26">
        <w:rPr>
          <w:rStyle w:val="700"/>
          <w:rFonts w:ascii="Times New Roman" w:eastAsiaTheme="minorHAnsi" w:hAnsi="Times New Roman" w:cs="Times New Roman"/>
          <w:color w:val="000000" w:themeColor="text1"/>
          <w:sz w:val="16"/>
          <w:szCs w:val="16"/>
        </w:rPr>
        <w:softHyphen/>
        <w:t>но. Главным тормозящим фактором был де</w:t>
      </w:r>
      <w:r w:rsidRPr="00925F26">
        <w:rPr>
          <w:rStyle w:val="700"/>
          <w:rFonts w:ascii="Times New Roman" w:eastAsiaTheme="minorHAnsi" w:hAnsi="Times New Roman" w:cs="Times New Roman"/>
          <w:color w:val="000000" w:themeColor="text1"/>
          <w:sz w:val="16"/>
          <w:szCs w:val="16"/>
        </w:rPr>
        <w:softHyphen/>
        <w:t>фицит пулеметов и турелей, которых понача</w:t>
      </w:r>
      <w:r w:rsidRPr="00925F26">
        <w:rPr>
          <w:rStyle w:val="700"/>
          <w:rFonts w:ascii="Times New Roman" w:eastAsiaTheme="minorHAnsi" w:hAnsi="Times New Roman" w:cs="Times New Roman"/>
          <w:color w:val="000000" w:themeColor="text1"/>
          <w:sz w:val="16"/>
          <w:szCs w:val="16"/>
        </w:rPr>
        <w:softHyphen/>
        <w:t>лу едва хватало для обеспечения производ</w:t>
      </w:r>
      <w:r w:rsidRPr="00925F26">
        <w:rPr>
          <w:rStyle w:val="700"/>
          <w:rFonts w:ascii="Times New Roman" w:eastAsiaTheme="minorHAnsi" w:hAnsi="Times New Roman" w:cs="Times New Roman"/>
          <w:color w:val="000000" w:themeColor="text1"/>
          <w:sz w:val="16"/>
          <w:szCs w:val="16"/>
        </w:rPr>
        <w:softHyphen/>
        <w:t>ства новых танков. Посему танки более ран</w:t>
      </w:r>
      <w:r w:rsidRPr="00925F26">
        <w:rPr>
          <w:rStyle w:val="700"/>
          <w:rFonts w:ascii="Times New Roman" w:eastAsiaTheme="minorHAnsi" w:hAnsi="Times New Roman" w:cs="Times New Roman"/>
          <w:color w:val="000000" w:themeColor="text1"/>
          <w:sz w:val="16"/>
          <w:szCs w:val="16"/>
        </w:rPr>
        <w:softHyphen/>
        <w:t>него выпуска с зенитными пулеметами явля</w:t>
      </w:r>
      <w:r w:rsidRPr="00925F26">
        <w:rPr>
          <w:rStyle w:val="700"/>
          <w:rFonts w:ascii="Times New Roman" w:eastAsiaTheme="minorHAnsi" w:hAnsi="Times New Roman" w:cs="Times New Roman"/>
          <w:color w:val="000000" w:themeColor="text1"/>
          <w:sz w:val="16"/>
          <w:szCs w:val="16"/>
        </w:rPr>
        <w:softHyphen/>
        <w:t>лись скорее исключением, чем правилом (19880).</w:t>
      </w:r>
    </w:p>
    <w:p w14:paraId="3E92994C" w14:textId="77777777" w:rsidR="00F1364C" w:rsidRPr="00925F26" w:rsidRDefault="00F1364C" w:rsidP="00925F26">
      <w:pPr>
        <w:shd w:val="clear" w:color="auto" w:fill="FFFFFF"/>
        <w:jc w:val="both"/>
        <w:rPr>
          <w:color w:val="000000" w:themeColor="text1"/>
          <w:sz w:val="16"/>
          <w:szCs w:val="16"/>
        </w:rPr>
      </w:pPr>
    </w:p>
    <w:p w14:paraId="7F2E8CD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ЧКЗ приступил к изготовлению опытных образцов танка “Кировец-1”. Второй опытный образец танка ИС-3 ("Объект 703"), изготовлен</w:t>
      </w:r>
      <w:r w:rsidRPr="00925F26">
        <w:rPr>
          <w:color w:val="000000" w:themeColor="text1"/>
          <w:sz w:val="16"/>
          <w:szCs w:val="16"/>
        </w:rPr>
        <w:softHyphen/>
        <w:t>ный на ЧКЗ, значительно отличался от первого образца танка ИС-3 ("Кировец-1") и являлся результатом объединения двух проектов -ЧКЗ и завода № 100 (10703).</w:t>
      </w:r>
    </w:p>
    <w:p w14:paraId="37DE09F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C313E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проект самоходной установки был рассмотрен на за</w:t>
      </w:r>
      <w:r w:rsidRPr="00925F26">
        <w:rPr>
          <w:color w:val="000000" w:themeColor="text1"/>
          <w:sz w:val="16"/>
          <w:szCs w:val="16"/>
        </w:rPr>
        <w:softHyphen/>
        <w:t>воде и после устранения отмеченных комиссией недостатков в марте то</w:t>
      </w:r>
      <w:r w:rsidRPr="00925F26">
        <w:rPr>
          <w:color w:val="000000" w:themeColor="text1"/>
          <w:sz w:val="16"/>
          <w:szCs w:val="16"/>
        </w:rPr>
        <w:softHyphen/>
        <w:t>го же года был представлен в Технический совет НКТП и Военный совет БТ и МВ. Учитывая исключительно большую инициативу, проявленную заводом при создании новой установки, машине было присвоено наиме</w:t>
      </w:r>
      <w:r w:rsidRPr="00925F26">
        <w:rPr>
          <w:color w:val="000000" w:themeColor="text1"/>
          <w:sz w:val="16"/>
          <w:szCs w:val="16"/>
        </w:rPr>
        <w:softHyphen/>
        <w:t>нование "Уралмаш-1". В разработке машины активное участие приняли конструкторы А.М. Лехтцид, И.И. Эммануилов, А.Г. Гайворонских, Г.Ф. Ксюнин, И.Ф. Вахрушев, Л.А. Пинус, Е.К. Карлинский, Е.И. Линькова, Д.А. Гериев, В.Л. Лихоманов, Н.Н. Ефимов, А.Д. Нехлюдов и др. (10703).</w:t>
      </w:r>
    </w:p>
    <w:p w14:paraId="682F9C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5A1870E" w14:textId="77777777" w:rsidR="002D465A" w:rsidRPr="00925F26" w:rsidRDefault="002D465A"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За январь 1945 года завод №40 сдал 140 машин СУ-76М, а ГАЗ им. Молотова — 435. В феврале объём выпуска не изменился. В марте в Горьком сдали 450, а в Мытищах — 150 машин. Темп по 600 машин в месяц заводы продолжали сохранять и в дальнейшем, когда начался серийный выпуск СУ-76М с модернизированным корпусом. Называть эту САУ, о которой речь пойдёт в отдельном материале, «СУ-76 послевоенного выпуска» в корне неверно. Ведь ещё до окончания Великой </w:t>
      </w:r>
      <w:r w:rsidRPr="00925F26">
        <w:rPr>
          <w:color w:val="000000" w:themeColor="text1"/>
          <w:sz w:val="16"/>
          <w:szCs w:val="16"/>
        </w:rPr>
        <w:lastRenderedPageBreak/>
        <w:t>Отечественной войны было сдано не менее 600 таких машин (17728).</w:t>
      </w:r>
    </w:p>
    <w:p w14:paraId="20C6E37A" w14:textId="77777777" w:rsidR="002D465A" w:rsidRPr="00925F26" w:rsidRDefault="002D465A" w:rsidP="00925F26">
      <w:pPr>
        <w:jc w:val="both"/>
        <w:rPr>
          <w:color w:val="000000" w:themeColor="text1"/>
          <w:sz w:val="16"/>
          <w:szCs w:val="16"/>
        </w:rPr>
      </w:pPr>
    </w:p>
    <w:p w14:paraId="4CEBCAD8" w14:textId="77777777" w:rsidR="00F5318A" w:rsidRPr="001A0BAA" w:rsidRDefault="00F5318A" w:rsidP="00F5318A">
      <w:pPr>
        <w:jc w:val="both"/>
        <w:rPr>
          <w:color w:val="0070C0"/>
          <w:sz w:val="16"/>
          <w:szCs w:val="16"/>
        </w:rPr>
      </w:pPr>
      <w:r w:rsidRPr="001A0BAA">
        <w:rPr>
          <w:color w:val="0070C0"/>
          <w:sz w:val="16"/>
          <w:szCs w:val="16"/>
        </w:rPr>
        <w:t>В январе 1945 года Наркомтанкпром направил на завод Уралмаш специальную комиссию призванную рас</w:t>
      </w:r>
      <w:r w:rsidRPr="001A0BAA">
        <w:rPr>
          <w:color w:val="0070C0"/>
          <w:sz w:val="16"/>
          <w:szCs w:val="16"/>
        </w:rPr>
        <w:softHyphen/>
        <w:t>смотреть проекты СУ-122-44 и СУ-100-М-2 с задним расположением боевого отделе</w:t>
      </w:r>
      <w:r w:rsidRPr="001A0BAA">
        <w:rPr>
          <w:color w:val="0070C0"/>
          <w:sz w:val="16"/>
          <w:szCs w:val="16"/>
        </w:rPr>
        <w:softHyphen/>
        <w:t>ния и ситуацию на месте. После ознакомления с проектами комис</w:t>
      </w:r>
      <w:r w:rsidRPr="001A0BAA">
        <w:rPr>
          <w:color w:val="0070C0"/>
          <w:sz w:val="16"/>
          <w:szCs w:val="16"/>
        </w:rPr>
        <w:softHyphen/>
        <w:t>сия сделала свои замечания об их досто</w:t>
      </w:r>
      <w:r w:rsidRPr="001A0BAA">
        <w:rPr>
          <w:color w:val="0070C0"/>
          <w:sz w:val="16"/>
          <w:szCs w:val="16"/>
        </w:rPr>
        <w:softHyphen/>
        <w:t>инствах и недостатках (25002).</w:t>
      </w:r>
    </w:p>
    <w:p w14:paraId="0CD19F68" w14:textId="77777777" w:rsidR="00F5318A" w:rsidRPr="001A0BAA" w:rsidRDefault="00F5318A" w:rsidP="00F5318A">
      <w:pPr>
        <w:jc w:val="both"/>
        <w:rPr>
          <w:color w:val="0070C0"/>
          <w:sz w:val="16"/>
          <w:szCs w:val="16"/>
        </w:rPr>
      </w:pPr>
    </w:p>
    <w:p w14:paraId="60DD1193" w14:textId="77777777" w:rsidR="00F5318A" w:rsidRPr="001A0BAA" w:rsidRDefault="00F5318A" w:rsidP="00F5318A">
      <w:pPr>
        <w:jc w:val="both"/>
        <w:rPr>
          <w:color w:val="0070C0"/>
          <w:sz w:val="16"/>
          <w:szCs w:val="16"/>
        </w:rPr>
      </w:pPr>
      <w:r w:rsidRPr="001A0BAA">
        <w:rPr>
          <w:color w:val="0070C0"/>
          <w:sz w:val="16"/>
          <w:szCs w:val="16"/>
        </w:rPr>
        <w:t>В январе 1945 года повторные испытания СУ-85А, проведенные на НИБТ Полигоне, отчасти подтвердили выводы ГАУ КА. В чистом виде орудие Д-5С-85А не годилось, поскольку сила отдачи оказалась чрезмерной. Правда, в Артиллерийском комитете как-то забыли упомянуть, что проблема была не в САУ, а в орудии. Кроме того, про Д-5С-85А, к тому моменту, модно было говорить либо хорошее, либо ничего. Выпуск системы на заводе №8 прекратился, поскольку УЗТМ полностью перешел на выпуск СУ-100. Одним словом, наметилась проблема иного характера - поиск орудийной системы.</w:t>
      </w:r>
    </w:p>
    <w:p w14:paraId="1BF82878" w14:textId="77777777" w:rsidR="00F5318A" w:rsidRPr="001A0BAA" w:rsidRDefault="00F5318A" w:rsidP="00F5318A">
      <w:pPr>
        <w:jc w:val="both"/>
        <w:rPr>
          <w:color w:val="0070C0"/>
          <w:sz w:val="16"/>
          <w:szCs w:val="16"/>
        </w:rPr>
      </w:pPr>
      <w:r w:rsidRPr="001A0BAA">
        <w:rPr>
          <w:color w:val="0070C0"/>
          <w:sz w:val="16"/>
          <w:szCs w:val="16"/>
        </w:rPr>
        <w:t xml:space="preserve">У ГАБТУ КА сама по себе СУ-85А продолжала вызывать неподдельный интерес. Согласно подсчетам КЭО ГАЗ им. Молотова, в случае принятия машины на вооружение перевод заводов на ее выпуск происходил был всего за полтора месяца. Началась работа по постройке второй опытной машины, но неопределенность затормозила процесс. Что делать с орудием, в ГБТУ КА решили еще в январе 1945 года. Искать замену долго не пришлось: еще одной 85-мм системой, которая находилась в серии, была ЗИС-С-53. Ее с производства никто не собирался снимать, поскольку ЗИС-С-53 ставилась в Т-34-85 и Т-44. </w:t>
      </w:r>
      <w:proofErr w:type="gramStart"/>
      <w:r w:rsidRPr="001A0BAA">
        <w:rPr>
          <w:color w:val="0070C0"/>
          <w:sz w:val="16"/>
          <w:szCs w:val="16"/>
        </w:rPr>
        <w:t>В числом</w:t>
      </w:r>
      <w:proofErr w:type="gramEnd"/>
      <w:r w:rsidRPr="001A0BAA">
        <w:rPr>
          <w:color w:val="0070C0"/>
          <w:sz w:val="16"/>
          <w:szCs w:val="16"/>
        </w:rPr>
        <w:t xml:space="preserve"> виде она также не годилась, поэтому на завод №92 и в ЦАКБ (Центральный артиллерийский КБ) были отправлены задания по разработке системы с уменьшенным откатом (24993).</w:t>
      </w:r>
    </w:p>
    <w:p w14:paraId="1A3544EF" w14:textId="77777777" w:rsidR="00F5318A" w:rsidRPr="001A0BAA" w:rsidRDefault="00F5318A" w:rsidP="00F5318A">
      <w:pPr>
        <w:jc w:val="both"/>
        <w:rPr>
          <w:color w:val="0070C0"/>
          <w:sz w:val="16"/>
          <w:szCs w:val="16"/>
        </w:rPr>
      </w:pPr>
    </w:p>
    <w:p w14:paraId="09118C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при НИИ-5 был образован Опытный инструментальный завод НИИ-5 (Опытный завод НИИЧаспрома, Инструментальный завод ММиП /г. Москва, 57 п/я 1312 (1948 г.)/). В 05.1945 г. он выделен в самостоятельный Инструментальный завод Главчаспрома для производства инструмента и станков для часовой промышленности. В 06.1945 г. завод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0144E1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1947-48 г. завод - в ведении Главчаспрома ММиП.</w:t>
      </w:r>
    </w:p>
    <w:p w14:paraId="4A8DC1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3B4AFE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оборудования: (1946 г.)- 327 ед., (1947 г.)- 473 ед.</w:t>
      </w:r>
    </w:p>
    <w:p w14:paraId="4722DE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Площадь: территории (1947 г.)- 7,008 га; застройки (1947 г.)- 14126 м</w:t>
      </w:r>
      <w:r w:rsidRPr="00925F26">
        <w:rPr>
          <w:color w:val="000000" w:themeColor="text1"/>
          <w:sz w:val="16"/>
          <w:szCs w:val="16"/>
          <w:vertAlign w:val="superscript"/>
        </w:rPr>
        <w:t>2</w:t>
      </w:r>
      <w:r w:rsidRPr="00925F26">
        <w:rPr>
          <w:color w:val="000000" w:themeColor="text1"/>
          <w:sz w:val="16"/>
          <w:szCs w:val="16"/>
        </w:rPr>
        <w:t>; производственная (1946 г.)-8200 м</w:t>
      </w:r>
      <w:r w:rsidRPr="00925F26">
        <w:rPr>
          <w:color w:val="000000" w:themeColor="text1"/>
          <w:sz w:val="16"/>
          <w:szCs w:val="16"/>
          <w:vertAlign w:val="superscript"/>
        </w:rPr>
        <w:t>2</w:t>
      </w:r>
      <w:r w:rsidRPr="00925F26">
        <w:rPr>
          <w:color w:val="000000" w:themeColor="text1"/>
          <w:sz w:val="16"/>
          <w:szCs w:val="16"/>
        </w:rPr>
        <w:t>, (1947 г.)- 11065 м</w:t>
      </w:r>
      <w:r w:rsidRPr="00925F26">
        <w:rPr>
          <w:color w:val="000000" w:themeColor="text1"/>
          <w:sz w:val="16"/>
          <w:szCs w:val="16"/>
          <w:vertAlign w:val="superscript"/>
        </w:rPr>
        <w:t>2</w:t>
      </w:r>
      <w:r w:rsidRPr="00925F26">
        <w:rPr>
          <w:color w:val="000000" w:themeColor="text1"/>
          <w:sz w:val="16"/>
          <w:szCs w:val="16"/>
        </w:rPr>
        <w:t>.</w:t>
      </w:r>
    </w:p>
    <w:p w14:paraId="1FCE3A1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(1946 г.)- 878 чел., (1947 г.)- 843 чел.</w:t>
      </w:r>
    </w:p>
    <w:p w14:paraId="4596FC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(1948 г.)- Смирнов.</w:t>
      </w:r>
    </w:p>
    <w:p w14:paraId="4C587E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(1948 г.)- Жардецкий.</w:t>
      </w:r>
    </w:p>
    <w:p w14:paraId="7A07CD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1851A990" w14:textId="77777777" w:rsidR="00C2313B" w:rsidRPr="00925F26" w:rsidRDefault="00C2313B" w:rsidP="00925F26">
      <w:pPr>
        <w:autoSpaceDE w:val="0"/>
        <w:autoSpaceDN w:val="0"/>
        <w:adjustRightInd w:val="0"/>
        <w:jc w:val="both"/>
        <w:rPr>
          <w:color w:val="000000" w:themeColor="text1"/>
          <w:sz w:val="16"/>
          <w:szCs w:val="16"/>
        </w:rPr>
      </w:pPr>
    </w:p>
    <w:p w14:paraId="174C3B8E" w14:textId="77777777" w:rsidR="00F5318A" w:rsidRPr="001A0BAA" w:rsidRDefault="00F5318A" w:rsidP="00F5318A">
      <w:pPr>
        <w:jc w:val="both"/>
        <w:rPr>
          <w:color w:val="0070C0"/>
          <w:sz w:val="16"/>
          <w:szCs w:val="16"/>
        </w:rPr>
      </w:pPr>
      <w:r w:rsidRPr="001A0BAA">
        <w:rPr>
          <w:color w:val="0070C0"/>
          <w:sz w:val="16"/>
          <w:szCs w:val="16"/>
        </w:rPr>
        <w:t>В январе 1946 г. заместителю наркома обороны Н.А. Булганину нарком электропро</w:t>
      </w:r>
      <w:r w:rsidRPr="001A0BAA">
        <w:rPr>
          <w:color w:val="0070C0"/>
          <w:sz w:val="16"/>
          <w:szCs w:val="16"/>
        </w:rPr>
        <w:softHyphen/>
        <w:t>мышленности И.Г. Кабанов направил запрос и список из дюжины требуемых специалистов ЭНИН, ранее призванных в армию. Однако военные не только не отпустили запрашиваемых работников, но и сам инженер-капитан И.С. Маршак был командирован НИИ ВВС в Германию для изучения трофеев. Конструк</w:t>
      </w:r>
      <w:r w:rsidRPr="001A0BAA">
        <w:rPr>
          <w:color w:val="0070C0"/>
          <w:sz w:val="16"/>
          <w:szCs w:val="16"/>
        </w:rPr>
        <w:softHyphen/>
        <w:t>торское бюро всё же было организовано, но примерно через год и не в ВЭИ, а в системе промышленности (25027).</w:t>
      </w:r>
    </w:p>
    <w:p w14:paraId="629580D7" w14:textId="77777777" w:rsidR="00F5318A" w:rsidRPr="001A0BAA" w:rsidRDefault="00F5318A" w:rsidP="00F5318A">
      <w:pPr>
        <w:jc w:val="both"/>
        <w:rPr>
          <w:color w:val="0070C0"/>
          <w:sz w:val="16"/>
          <w:szCs w:val="16"/>
        </w:rPr>
      </w:pPr>
    </w:p>
    <w:p w14:paraId="0FE2C45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января 1945 г. в Морском центральном ЦКБ началось проектирование 220-мм артиллерийской башни. Комиссия С. П. Ставицкого в на</w:t>
      </w:r>
      <w:r w:rsidRPr="00925F26">
        <w:rPr>
          <w:color w:val="000000" w:themeColor="text1"/>
          <w:sz w:val="16"/>
          <w:szCs w:val="16"/>
        </w:rPr>
        <w:softHyphen/>
        <w:t>чале 1945 г. обосновала необходимость развития трех подклассов крейсеров: тяжелого с 220-мм артиллерией, легкого — со 152-мм и промежуточного типа — просто "крейсера" — со 180-мм оруди</w:t>
      </w:r>
      <w:r w:rsidRPr="00925F26">
        <w:rPr>
          <w:color w:val="000000" w:themeColor="text1"/>
          <w:sz w:val="16"/>
          <w:szCs w:val="16"/>
        </w:rPr>
        <w:softHyphen/>
        <w:t>ями (3898).</w:t>
      </w:r>
    </w:p>
    <w:p w14:paraId="09922A73" w14:textId="77777777" w:rsidR="00C2313B" w:rsidRPr="00925F26" w:rsidRDefault="00C2313B" w:rsidP="00925F26">
      <w:pPr>
        <w:autoSpaceDE w:val="0"/>
        <w:autoSpaceDN w:val="0"/>
        <w:adjustRightInd w:val="0"/>
        <w:jc w:val="both"/>
        <w:rPr>
          <w:color w:val="000000" w:themeColor="text1"/>
          <w:sz w:val="16"/>
          <w:szCs w:val="16"/>
        </w:rPr>
      </w:pPr>
    </w:p>
    <w:p w14:paraId="5B70CF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течение января 1945 продолжались работы на десяти БМО, имевших техническую готовность от 8 до 93%. В аварийно-боевом ремонте находились 15 БМО. Ремонт производился также на спасательном судне "Коммуна". Велись работы по разборке и изучению опытных акустических торпед вражеской подводной лодки U-250, потопленной нашим МО на Балтике (10671). На Балтийском заводе в постройке находились ТЩ типа МТ-2. К концу января 2 ТЩ достраивались на стапеле, 3 ТЩ - на стапельных местах поточной линии, там же в начальной стадии постройки - 3 ТЩ. Готовилась закладка одного (33-го) ТЩ на поточной линии и 3 ТЩ - в корпусном цехе на площадке предварительной сборки (34-36-го). Седьмой ТЩ типа МТ-2 являлся макетным (10671). На Адмиралтейском заводе работа велась на 7 МБК (10671).</w:t>
      </w:r>
    </w:p>
    <w:p w14:paraId="11D454A3" w14:textId="77777777" w:rsidR="00C2313B" w:rsidRPr="00925F26" w:rsidRDefault="00C2313B" w:rsidP="00925F26">
      <w:pPr>
        <w:autoSpaceDE w:val="0"/>
        <w:autoSpaceDN w:val="0"/>
        <w:adjustRightInd w:val="0"/>
        <w:jc w:val="both"/>
        <w:rPr>
          <w:color w:val="000000" w:themeColor="text1"/>
          <w:sz w:val="16"/>
          <w:szCs w:val="16"/>
        </w:rPr>
      </w:pPr>
    </w:p>
    <w:p w14:paraId="19BFB8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производство малых охотников типа ОД-200 в Сосновке посетила делегация военной миссии США по ленд-лизу (на строящихся катерах уста</w:t>
      </w:r>
      <w:r w:rsidRPr="00925F26">
        <w:rPr>
          <w:color w:val="000000" w:themeColor="text1"/>
          <w:sz w:val="16"/>
          <w:szCs w:val="16"/>
        </w:rPr>
        <w:softHyphen/>
        <w:t>навливались американские двигатели фирмы "Паккард"), на ко</w:t>
      </w:r>
      <w:r w:rsidRPr="00925F26">
        <w:rPr>
          <w:color w:val="000000" w:themeColor="text1"/>
          <w:sz w:val="16"/>
          <w:szCs w:val="16"/>
        </w:rPr>
        <w:softHyphen/>
        <w:t>торую увиденное произвело впечатление (3898).</w:t>
      </w:r>
    </w:p>
    <w:p w14:paraId="6B14C9D4" w14:textId="77777777" w:rsidR="00C2313B" w:rsidRPr="00925F26" w:rsidRDefault="00C2313B" w:rsidP="00925F26">
      <w:pPr>
        <w:autoSpaceDE w:val="0"/>
        <w:autoSpaceDN w:val="0"/>
        <w:adjustRightInd w:val="0"/>
        <w:jc w:val="both"/>
        <w:rPr>
          <w:color w:val="000000" w:themeColor="text1"/>
          <w:sz w:val="16"/>
          <w:szCs w:val="16"/>
        </w:rPr>
      </w:pPr>
    </w:p>
    <w:p w14:paraId="178FBB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на Севере эсминцу "Разъяренным" взрывом акустической торпеды с немецкой подводной лодки оторвало кор</w:t>
      </w:r>
      <w:r w:rsidRPr="00925F26">
        <w:rPr>
          <w:color w:val="000000" w:themeColor="text1"/>
          <w:sz w:val="16"/>
          <w:szCs w:val="16"/>
        </w:rPr>
        <w:softHyphen/>
        <w:t>му. Корабль удалось спасти и привести в базу (3898).</w:t>
      </w:r>
    </w:p>
    <w:p w14:paraId="002B70AB" w14:textId="77777777" w:rsidR="00C2313B" w:rsidRPr="00925F26" w:rsidRDefault="00C2313B" w:rsidP="00925F26">
      <w:pPr>
        <w:autoSpaceDE w:val="0"/>
        <w:autoSpaceDN w:val="0"/>
        <w:adjustRightInd w:val="0"/>
        <w:jc w:val="both"/>
        <w:rPr>
          <w:color w:val="000000" w:themeColor="text1"/>
          <w:sz w:val="16"/>
          <w:szCs w:val="16"/>
        </w:rPr>
      </w:pPr>
    </w:p>
    <w:p w14:paraId="1D8DF37D" w14:textId="077C2A55" w:rsidR="008C5307" w:rsidRPr="00925F26" w:rsidRDefault="008C5307"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В январе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года</w:t>
      </w:r>
      <w:proofErr w:type="gramEnd"/>
      <w:r w:rsidRPr="00925F26">
        <w:rPr>
          <w:color w:val="000000" w:themeColor="text1"/>
          <w:sz w:val="16"/>
          <w:szCs w:val="16"/>
        </w:rPr>
        <w:t xml:space="preserve"> по распоряжению наркома ВМФ из ведущих специалистов Военно-морского флота СССР была образована комиссия, подготовившая материалы по типам и основным тактико-техническим элементам (характеристикам) перспективных кораблей, в т.ч. подлодок.</w:t>
      </w:r>
    </w:p>
    <w:p w14:paraId="69C2D20F" w14:textId="7BD180B6" w:rsidR="008C5307" w:rsidRPr="00925F26" w:rsidRDefault="008C530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На основе материалов комиссии Главный морской штаб (ГМШ) разработал предложения Наркомата ВМФ (НК ВМФ) в план кораблестроения на 1946—1955</w:t>
      </w:r>
      <w:r w:rsidR="00997EDF" w:rsidRPr="00925F26">
        <w:rPr>
          <w:color w:val="000000" w:themeColor="text1"/>
          <w:sz w:val="16"/>
          <w:szCs w:val="16"/>
        </w:rPr>
        <w:t xml:space="preserve">  </w:t>
      </w:r>
      <w:r w:rsidRPr="00925F26">
        <w:rPr>
          <w:color w:val="000000" w:themeColor="text1"/>
          <w:sz w:val="16"/>
          <w:szCs w:val="16"/>
        </w:rPr>
        <w:t>гг. и 28</w:t>
      </w:r>
      <w:r w:rsidR="00997EDF" w:rsidRPr="00925F26">
        <w:rPr>
          <w:color w:val="000000" w:themeColor="text1"/>
          <w:sz w:val="16"/>
          <w:szCs w:val="16"/>
        </w:rPr>
        <w:t xml:space="preserve">  </w:t>
      </w:r>
      <w:r w:rsidRPr="00925F26">
        <w:rPr>
          <w:color w:val="000000" w:themeColor="text1"/>
          <w:sz w:val="16"/>
          <w:szCs w:val="16"/>
        </w:rPr>
        <w:t>апреля 1945</w:t>
      </w:r>
      <w:r w:rsidR="00997EDF" w:rsidRPr="00925F26">
        <w:rPr>
          <w:color w:val="000000" w:themeColor="text1"/>
          <w:sz w:val="16"/>
          <w:szCs w:val="16"/>
        </w:rPr>
        <w:t xml:space="preserve">  </w:t>
      </w:r>
      <w:r w:rsidRPr="00925F26">
        <w:rPr>
          <w:color w:val="000000" w:themeColor="text1"/>
          <w:sz w:val="16"/>
          <w:szCs w:val="16"/>
        </w:rPr>
        <w:t>года отправил наркому судостроительной промышленности И.И.</w:t>
      </w:r>
      <w:r w:rsidR="00997EDF" w:rsidRPr="00925F26">
        <w:rPr>
          <w:color w:val="000000" w:themeColor="text1"/>
          <w:sz w:val="16"/>
          <w:szCs w:val="16"/>
        </w:rPr>
        <w:t xml:space="preserve">  </w:t>
      </w:r>
      <w:r w:rsidRPr="00925F26">
        <w:rPr>
          <w:color w:val="000000" w:themeColor="text1"/>
          <w:sz w:val="16"/>
          <w:szCs w:val="16"/>
        </w:rPr>
        <w:t xml:space="preserve">Носенко ориентировочную заявку потребности ВМФ в кораблях на </w:t>
      </w:r>
      <w:proofErr w:type="gramStart"/>
      <w:r w:rsidRPr="00925F26">
        <w:rPr>
          <w:color w:val="000000" w:themeColor="text1"/>
          <w:sz w:val="16"/>
          <w:szCs w:val="16"/>
        </w:rPr>
        <w:t>10</w:t>
      </w:r>
      <w:r w:rsidR="00997EDF" w:rsidRPr="00925F26">
        <w:rPr>
          <w:color w:val="000000" w:themeColor="text1"/>
          <w:sz w:val="16"/>
          <w:szCs w:val="16"/>
        </w:rPr>
        <w:t xml:space="preserve">  </w:t>
      </w:r>
      <w:r w:rsidRPr="00925F26">
        <w:rPr>
          <w:color w:val="000000" w:themeColor="text1"/>
          <w:sz w:val="16"/>
          <w:szCs w:val="16"/>
        </w:rPr>
        <w:t>лет</w:t>
      </w:r>
      <w:proofErr w:type="gramEnd"/>
      <w:r w:rsidRPr="00925F26">
        <w:rPr>
          <w:color w:val="000000" w:themeColor="text1"/>
          <w:sz w:val="16"/>
          <w:szCs w:val="16"/>
        </w:rPr>
        <w:t>.</w:t>
      </w:r>
    </w:p>
    <w:p w14:paraId="720174E5" w14:textId="5C5E58C4" w:rsidR="008C5307" w:rsidRPr="00925F26" w:rsidRDefault="008C530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НК ВМФ предложил выполнять десятилетний план военного судостроения в три этапа. На первом — в 1946—</w:t>
      </w:r>
      <w:proofErr w:type="gramStart"/>
      <w:r w:rsidRPr="00925F26">
        <w:rPr>
          <w:color w:val="000000" w:themeColor="text1"/>
          <w:sz w:val="16"/>
          <w:szCs w:val="16"/>
        </w:rPr>
        <w:t>1948</w:t>
      </w:r>
      <w:r w:rsidR="00997EDF" w:rsidRPr="00925F26">
        <w:rPr>
          <w:color w:val="000000" w:themeColor="text1"/>
          <w:sz w:val="16"/>
          <w:szCs w:val="16"/>
        </w:rPr>
        <w:t xml:space="preserve">  </w:t>
      </w:r>
      <w:r w:rsidRPr="00925F26">
        <w:rPr>
          <w:color w:val="000000" w:themeColor="text1"/>
          <w:sz w:val="16"/>
          <w:szCs w:val="16"/>
        </w:rPr>
        <w:t>гг.</w:t>
      </w:r>
      <w:proofErr w:type="gramEnd"/>
      <w:r w:rsidRPr="00925F26">
        <w:rPr>
          <w:color w:val="000000" w:themeColor="text1"/>
          <w:sz w:val="16"/>
          <w:szCs w:val="16"/>
        </w:rPr>
        <w:t xml:space="preserve"> строить освоенные типы кораблей и достраивать законсервированные, а также разрабатывать новые проекты. На втором — в 1949—</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гг.</w:t>
      </w:r>
      <w:proofErr w:type="gramEnd"/>
      <w:r w:rsidRPr="00925F26">
        <w:rPr>
          <w:color w:val="000000" w:themeColor="text1"/>
          <w:sz w:val="16"/>
          <w:szCs w:val="16"/>
        </w:rPr>
        <w:t xml:space="preserve"> отработать головные образцы новых проектов и строить освоенные. На третьем — в 1951—</w:t>
      </w:r>
      <w:proofErr w:type="gramStart"/>
      <w:r w:rsidRPr="00925F26">
        <w:rPr>
          <w:color w:val="000000" w:themeColor="text1"/>
          <w:sz w:val="16"/>
          <w:szCs w:val="16"/>
        </w:rPr>
        <w:t>1955</w:t>
      </w:r>
      <w:r w:rsidR="00997EDF" w:rsidRPr="00925F26">
        <w:rPr>
          <w:color w:val="000000" w:themeColor="text1"/>
          <w:sz w:val="16"/>
          <w:szCs w:val="16"/>
        </w:rPr>
        <w:t xml:space="preserve">  </w:t>
      </w:r>
      <w:r w:rsidRPr="00925F26">
        <w:rPr>
          <w:color w:val="000000" w:themeColor="text1"/>
          <w:sz w:val="16"/>
          <w:szCs w:val="16"/>
        </w:rPr>
        <w:t>гг.</w:t>
      </w:r>
      <w:proofErr w:type="gramEnd"/>
      <w:r w:rsidRPr="00925F26">
        <w:rPr>
          <w:color w:val="000000" w:themeColor="text1"/>
          <w:sz w:val="16"/>
          <w:szCs w:val="16"/>
        </w:rPr>
        <w:t xml:space="preserve"> строить все типы кораблей по заявке флота (19841).</w:t>
      </w:r>
    </w:p>
    <w:p w14:paraId="3CEE612A" w14:textId="77777777" w:rsidR="008C5307" w:rsidRDefault="008C5307" w:rsidP="00925F26">
      <w:pPr>
        <w:pStyle w:val="ae"/>
        <w:shd w:val="clear" w:color="auto" w:fill="FFFFFF"/>
        <w:spacing w:before="0" w:after="0"/>
        <w:jc w:val="both"/>
        <w:rPr>
          <w:color w:val="000000" w:themeColor="text1"/>
          <w:sz w:val="16"/>
          <w:szCs w:val="16"/>
        </w:rPr>
      </w:pPr>
    </w:p>
    <w:p w14:paraId="7AA68A06" w14:textId="56099310" w:rsidR="001F76AE" w:rsidRDefault="001F76AE" w:rsidP="00925F26">
      <w:pPr>
        <w:pStyle w:val="ae"/>
        <w:shd w:val="clear" w:color="auto" w:fill="FFFFFF"/>
        <w:spacing w:before="0" w:after="0"/>
        <w:jc w:val="both"/>
        <w:rPr>
          <w:color w:val="0070C0"/>
          <w:sz w:val="16"/>
          <w:szCs w:val="16"/>
        </w:rPr>
      </w:pPr>
      <w:r w:rsidRPr="001F76AE">
        <w:rPr>
          <w:color w:val="0070C0"/>
          <w:sz w:val="16"/>
          <w:szCs w:val="16"/>
        </w:rPr>
        <w:t>В январе 1945 года по распоряжению наркома ВМФ из ведущих специалистов Военноморского флота СССР была образована комиссия, подготовившая материалы по типам и основным тактика-техническим элементам1 (характеристикам) перспективных кораблей, в т.ч. подлодок</w:t>
      </w:r>
      <w:r>
        <w:rPr>
          <w:color w:val="0070C0"/>
          <w:sz w:val="16"/>
          <w:szCs w:val="16"/>
        </w:rPr>
        <w:t>:</w:t>
      </w:r>
    </w:p>
    <w:p w14:paraId="4C66FEDA" w14:textId="477C0A21" w:rsidR="001F76AE" w:rsidRDefault="001F76AE" w:rsidP="00925F26">
      <w:pPr>
        <w:pStyle w:val="ae"/>
        <w:shd w:val="clear" w:color="auto" w:fill="FFFFFF"/>
        <w:spacing w:before="0" w:after="0"/>
        <w:jc w:val="both"/>
        <w:rPr>
          <w:color w:val="0070C0"/>
          <w:sz w:val="16"/>
          <w:szCs w:val="16"/>
        </w:rPr>
      </w:pPr>
      <w:r w:rsidRPr="001F76AE">
        <w:rPr>
          <w:color w:val="0070C0"/>
          <w:sz w:val="16"/>
          <w:szCs w:val="16"/>
        </w:rPr>
        <w:t>Требования ВМФ к тактика-техническим элементам (характеристикам) подлодок, сформированные в 1945 г. Тактика-технические элементы По водоизмещению (характеристики) большие средние малые Водоизмещение (тонн) 1710 900 390 носовые 6 4 4 Торпедные аппараты кормовые 4 2 - Запас торпед 12 12 4 Число мин взамен торпед 22 22 - Наибольшаs:~ надводная 18 18 18 скорость (узлов) подводнаs:~ 15 13 15 Дальность плаваниs:~ в надводном положении 18 ООО 8500 2700 (миль) под электромоторами* 430 350 - * Оперативный радиус (миль) 4500 2125 675 Автономность (суток) 75 30 10 Глубина погружения (метров) 220 220</w:t>
      </w:r>
      <w:r>
        <w:rPr>
          <w:color w:val="0070C0"/>
          <w:sz w:val="16"/>
          <w:szCs w:val="16"/>
        </w:rPr>
        <w:t> </w:t>
      </w:r>
      <w:r w:rsidRPr="001F76AE">
        <w:rPr>
          <w:color w:val="0070C0"/>
          <w:sz w:val="16"/>
          <w:szCs w:val="16"/>
        </w:rPr>
        <w:t>120</w:t>
      </w:r>
    </w:p>
    <w:p w14:paraId="67B224C0" w14:textId="7C9D5D0A" w:rsidR="001F76AE" w:rsidRPr="001F76AE" w:rsidRDefault="001F76AE" w:rsidP="00925F26">
      <w:pPr>
        <w:pStyle w:val="ae"/>
        <w:shd w:val="clear" w:color="auto" w:fill="FFFFFF"/>
        <w:spacing w:before="0" w:after="0"/>
        <w:jc w:val="both"/>
        <w:rPr>
          <w:color w:val="0070C0"/>
          <w:sz w:val="16"/>
          <w:szCs w:val="16"/>
        </w:rPr>
      </w:pPr>
      <w:r w:rsidRPr="001F76AE">
        <w:rPr>
          <w:color w:val="0070C0"/>
          <w:sz w:val="16"/>
          <w:szCs w:val="16"/>
        </w:rPr>
        <w:t>Составлена по: Архивный отдел ( на Балтийском флоте, г. Калининград) филиала Центрального архива Министерства обороныРФ(архивВоенно-МорскогоФлота, г. Гатчина). Ф. 78.Д. 39103.Л. 136.</w:t>
      </w:r>
    </w:p>
    <w:p w14:paraId="25283B30" w14:textId="79628C1C" w:rsidR="001F76AE" w:rsidRPr="001F76AE" w:rsidRDefault="001F76AE" w:rsidP="00925F26">
      <w:pPr>
        <w:pStyle w:val="ae"/>
        <w:shd w:val="clear" w:color="auto" w:fill="FFFFFF"/>
        <w:spacing w:before="0" w:after="0"/>
        <w:jc w:val="both"/>
        <w:rPr>
          <w:color w:val="0070C0"/>
          <w:sz w:val="16"/>
          <w:szCs w:val="16"/>
        </w:rPr>
      </w:pPr>
      <w:r w:rsidRPr="001F76AE">
        <w:rPr>
          <w:color w:val="0070C0"/>
          <w:sz w:val="16"/>
          <w:szCs w:val="16"/>
        </w:rPr>
        <w:t>На основе материалов комиссии Главный морской штаб (ГМШ) разработал предложения Наркомата ВМФ (НК ВМФ) в план кораблестроения на 1946-1955 гг. (25889).</w:t>
      </w:r>
    </w:p>
    <w:p w14:paraId="4B63FE4C" w14:textId="77777777" w:rsidR="001F76AE" w:rsidRPr="001F76AE" w:rsidRDefault="001F76AE" w:rsidP="00925F26">
      <w:pPr>
        <w:pStyle w:val="ae"/>
        <w:shd w:val="clear" w:color="auto" w:fill="FFFFFF"/>
        <w:spacing w:before="0" w:after="0"/>
        <w:jc w:val="both"/>
        <w:rPr>
          <w:color w:val="0070C0"/>
          <w:sz w:val="16"/>
          <w:szCs w:val="16"/>
        </w:rPr>
      </w:pPr>
    </w:p>
    <w:p w14:paraId="5A0ABDE7" w14:textId="7A288147" w:rsidR="00155D62" w:rsidRPr="00155D62" w:rsidRDefault="00155D62" w:rsidP="00155D62">
      <w:pPr>
        <w:rPr>
          <w:color w:val="0070C0"/>
          <w:sz w:val="16"/>
          <w:szCs w:val="16"/>
        </w:rPr>
      </w:pPr>
      <w:r w:rsidRPr="00155D62">
        <w:rPr>
          <w:rStyle w:val="5e"/>
          <w:rFonts w:ascii="Times New Roman" w:hAnsi="Times New Roman"/>
          <w:color w:val="0070C0"/>
          <w:spacing w:val="0"/>
          <w:sz w:val="16"/>
          <w:szCs w:val="16"/>
        </w:rPr>
        <w:t xml:space="preserve">В </w:t>
      </w:r>
      <w:r w:rsidRPr="00155D62">
        <w:rPr>
          <w:color w:val="0070C0"/>
          <w:sz w:val="16"/>
          <w:szCs w:val="16"/>
        </w:rPr>
        <w:t>январе 1945 г. в Москве состоялось совещание руководящего состава судострои</w:t>
      </w:r>
      <w:r w:rsidRPr="00155D62">
        <w:rPr>
          <w:color w:val="0070C0"/>
          <w:sz w:val="16"/>
          <w:szCs w:val="16"/>
        </w:rPr>
        <w:softHyphen/>
        <w:t>тельной отрасли, на котором присутствовали главные катерники страны: ди</w:t>
      </w:r>
      <w:r w:rsidRPr="00155D62">
        <w:rPr>
          <w:color w:val="0070C0"/>
          <w:sz w:val="16"/>
          <w:szCs w:val="16"/>
        </w:rPr>
        <w:softHyphen/>
        <w:t>ректор ЦКБ-32 А. М. Фокин, директор ЦКБ-19 В. М. Бурлаков, главный кон</w:t>
      </w:r>
      <w:r w:rsidRPr="00155D62">
        <w:rPr>
          <w:color w:val="0070C0"/>
          <w:sz w:val="16"/>
          <w:szCs w:val="16"/>
        </w:rPr>
        <w:softHyphen/>
        <w:t>структор ЦКБ-19 Л. Л. Ермаш, главный конструктор ЦКБ-32 К. Ю. Буханевич и другие. Примечательно, что на совещании в числе других рассматривался ход создания на заводе № 112 катера на подводных крыльях. Начальник гидролаборатории Р. Е. Алексеев готовил материалы для доклада (25139).</w:t>
      </w:r>
    </w:p>
    <w:p w14:paraId="69243FED" w14:textId="77777777" w:rsidR="00155D62" w:rsidRPr="00155D62" w:rsidRDefault="00155D62" w:rsidP="00155D62">
      <w:pPr>
        <w:rPr>
          <w:color w:val="0070C0"/>
          <w:sz w:val="16"/>
          <w:szCs w:val="16"/>
        </w:rPr>
      </w:pPr>
    </w:p>
    <w:p w14:paraId="2012585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AD47B90" w14:textId="77777777" w:rsidR="00C2313B" w:rsidRPr="00925F26" w:rsidRDefault="00C2313B" w:rsidP="00925F26">
      <w:pPr>
        <w:autoSpaceDE w:val="0"/>
        <w:autoSpaceDN w:val="0"/>
        <w:adjustRightInd w:val="0"/>
        <w:jc w:val="both"/>
        <w:rPr>
          <w:iCs/>
          <w:color w:val="000000" w:themeColor="text1"/>
          <w:sz w:val="16"/>
          <w:szCs w:val="16"/>
        </w:rPr>
      </w:pPr>
    </w:p>
    <w:p w14:paraId="449541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w:t>
      </w:r>
      <w:r w:rsidRPr="00925F26">
        <w:rPr>
          <w:color w:val="000000" w:themeColor="text1"/>
          <w:sz w:val="16"/>
          <w:szCs w:val="16"/>
        </w:rPr>
        <w:softHyphen/>
        <w:t>ре 1945 г. 108-й гвардейский штурмовой авиационный полк, также как и 78-й гшап, был переучен на Ил-10. В Акте от 21 января кон</w:t>
      </w:r>
      <w:r w:rsidRPr="00925F26">
        <w:rPr>
          <w:color w:val="000000" w:themeColor="text1"/>
          <w:sz w:val="16"/>
          <w:szCs w:val="16"/>
        </w:rPr>
        <w:softHyphen/>
        <w:t>статировалось, что «полк составе 41 летчика подготовлен к перелету на фронт на Ил-10 днем в простых ме</w:t>
      </w:r>
      <w:r w:rsidRPr="00925F26">
        <w:rPr>
          <w:color w:val="000000" w:themeColor="text1"/>
          <w:sz w:val="16"/>
          <w:szCs w:val="16"/>
        </w:rPr>
        <w:softHyphen/>
        <w:t>теоусловиях».</w:t>
      </w:r>
    </w:p>
    <w:p w14:paraId="2D06F3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этому времени каждый летчик полка успел налетать на самолете Ил-10 по программе переучивания в сред</w:t>
      </w:r>
      <w:r w:rsidRPr="00925F26">
        <w:rPr>
          <w:color w:val="000000" w:themeColor="text1"/>
          <w:sz w:val="16"/>
          <w:szCs w:val="16"/>
        </w:rPr>
        <w:softHyphen/>
        <w:t>нем 2 ч 58 мин (10 посадок), в том чис</w:t>
      </w:r>
      <w:r w:rsidRPr="00925F26">
        <w:rPr>
          <w:color w:val="000000" w:themeColor="text1"/>
          <w:sz w:val="16"/>
          <w:szCs w:val="16"/>
        </w:rPr>
        <w:softHyphen/>
        <w:t>ле около 2 ч на боевое применение. В тоже время весь летный состав полка имел боевой опыт на самолете Ил-2 -боевой налет на одного летчика в сред</w:t>
      </w:r>
      <w:r w:rsidRPr="00925F26">
        <w:rPr>
          <w:color w:val="000000" w:themeColor="text1"/>
          <w:sz w:val="16"/>
          <w:szCs w:val="16"/>
        </w:rPr>
        <w:softHyphen/>
        <w:t>нем составлял 53 вылета.</w:t>
      </w:r>
    </w:p>
    <w:p w14:paraId="7EC3F6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Поскольку предполагалось, что на базе 108-го гшап пройдут войсковые испытания нового штурмовика, то по</w:t>
      </w:r>
      <w:r w:rsidRPr="00925F26">
        <w:rPr>
          <w:color w:val="000000" w:themeColor="text1"/>
          <w:sz w:val="16"/>
          <w:szCs w:val="16"/>
        </w:rPr>
        <w:softHyphen/>
        <w:t>полнению полка самолетами было уде</w:t>
      </w:r>
      <w:r w:rsidRPr="00925F26">
        <w:rPr>
          <w:color w:val="000000" w:themeColor="text1"/>
          <w:sz w:val="16"/>
          <w:szCs w:val="16"/>
        </w:rPr>
        <w:softHyphen/>
        <w:t>лено пристальное внимание. Самолеты отбирались из числа имевших наи</w:t>
      </w:r>
      <w:r w:rsidRPr="00925F26">
        <w:rPr>
          <w:color w:val="000000" w:themeColor="text1"/>
          <w:sz w:val="16"/>
          <w:szCs w:val="16"/>
        </w:rPr>
        <w:softHyphen/>
        <w:t>меньшее количество производствен</w:t>
      </w:r>
      <w:r w:rsidRPr="00925F26">
        <w:rPr>
          <w:color w:val="000000" w:themeColor="text1"/>
          <w:sz w:val="16"/>
          <w:szCs w:val="16"/>
        </w:rPr>
        <w:softHyphen/>
        <w:t>ных и конструктивных дефектов и тща</w:t>
      </w:r>
      <w:r w:rsidRPr="00925F26">
        <w:rPr>
          <w:color w:val="000000" w:themeColor="text1"/>
          <w:sz w:val="16"/>
          <w:szCs w:val="16"/>
        </w:rPr>
        <w:softHyphen/>
        <w:t>тельно проверялись, как заводскими бригадами, так и техническим составом полка. В общей сложности полк полу</w:t>
      </w:r>
      <w:r w:rsidRPr="00925F26">
        <w:rPr>
          <w:color w:val="000000" w:themeColor="text1"/>
          <w:sz w:val="16"/>
          <w:szCs w:val="16"/>
        </w:rPr>
        <w:softHyphen/>
        <w:t>чил 42 самолета Ил-10, в том числе 37 «десяток» производства авиазавода № 18 (2 машины из 1-й серии, остальные 2-й и 3-й серии) и 5 самолетов выпуска авиазавода № 1 (зав. № 102012,102021, 103031, 103052, 103059).</w:t>
      </w:r>
    </w:p>
    <w:p w14:paraId="3EC1923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Отлет на фронт был назначен на 2 февраля. При этом с целью ускорения перебазирования полка инженеры и техники летели вместо стрелков, кото</w:t>
      </w:r>
      <w:r w:rsidRPr="00925F26">
        <w:rPr>
          <w:color w:val="000000" w:themeColor="text1"/>
          <w:sz w:val="16"/>
          <w:szCs w:val="16"/>
        </w:rPr>
        <w:softHyphen/>
        <w:t>рых насчитывалось в полку всего 7 человек, и должны были самостоятель</w:t>
      </w:r>
      <w:r w:rsidRPr="00925F26">
        <w:rPr>
          <w:color w:val="000000" w:themeColor="text1"/>
          <w:sz w:val="16"/>
          <w:szCs w:val="16"/>
        </w:rPr>
        <w:softHyphen/>
        <w:t>но готовить машины на всех промежу</w:t>
      </w:r>
      <w:r w:rsidRPr="00925F26">
        <w:rPr>
          <w:color w:val="000000" w:themeColor="text1"/>
          <w:sz w:val="16"/>
          <w:szCs w:val="16"/>
        </w:rPr>
        <w:softHyphen/>
        <w:t>точных аэродромах.</w:t>
      </w:r>
    </w:p>
    <w:p w14:paraId="2312A8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тщательность подго</w:t>
      </w:r>
      <w:r w:rsidRPr="00925F26">
        <w:rPr>
          <w:color w:val="000000" w:themeColor="text1"/>
          <w:sz w:val="16"/>
          <w:szCs w:val="16"/>
        </w:rPr>
        <w:softHyphen/>
        <w:t>товки перелета, первый самостоятель</w:t>
      </w:r>
      <w:r w:rsidRPr="00925F26">
        <w:rPr>
          <w:color w:val="000000" w:themeColor="text1"/>
          <w:sz w:val="16"/>
          <w:szCs w:val="16"/>
        </w:rPr>
        <w:softHyphen/>
        <w:t>ный вылет полка закончился полной неудачей. В последний момент был сменен первый промежуточный аэро</w:t>
      </w:r>
      <w:r w:rsidRPr="00925F26">
        <w:rPr>
          <w:color w:val="000000" w:themeColor="text1"/>
          <w:sz w:val="16"/>
          <w:szCs w:val="16"/>
        </w:rPr>
        <w:softHyphen/>
        <w:t>дром перелета. Вместо аэродрома Раз-бойщина следовало лететь на аэродром Багай-Барановка. Естественно, летный состав к новому маршруту подгото</w:t>
      </w:r>
      <w:r w:rsidRPr="00925F26">
        <w:rPr>
          <w:color w:val="000000" w:themeColor="text1"/>
          <w:sz w:val="16"/>
          <w:szCs w:val="16"/>
        </w:rPr>
        <w:softHyphen/>
        <w:t xml:space="preserve">виться должным образом не успел, а на аэродроме </w:t>
      </w:r>
      <w:proofErr w:type="gramStart"/>
      <w:r w:rsidRPr="00925F26">
        <w:rPr>
          <w:color w:val="000000" w:themeColor="text1"/>
          <w:sz w:val="16"/>
          <w:szCs w:val="16"/>
        </w:rPr>
        <w:t>вылета</w:t>
      </w:r>
      <w:proofErr w:type="gramEnd"/>
      <w:r w:rsidRPr="00925F26">
        <w:rPr>
          <w:color w:val="000000" w:themeColor="text1"/>
          <w:sz w:val="16"/>
          <w:szCs w:val="16"/>
        </w:rPr>
        <w:t xml:space="preserve"> Толкай не было подготовлено положения по органи</w:t>
      </w:r>
      <w:r w:rsidRPr="00925F26">
        <w:rPr>
          <w:color w:val="000000" w:themeColor="text1"/>
          <w:sz w:val="16"/>
          <w:szCs w:val="16"/>
        </w:rPr>
        <w:softHyphen/>
        <w:t>зации перелета.</w:t>
      </w:r>
    </w:p>
    <w:p w14:paraId="1DE5D7B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первая группа в со</w:t>
      </w:r>
      <w:r w:rsidRPr="00925F26">
        <w:rPr>
          <w:color w:val="000000" w:themeColor="text1"/>
          <w:sz w:val="16"/>
          <w:szCs w:val="16"/>
        </w:rPr>
        <w:softHyphen/>
        <w:t>ставе 5 Ил-10 (ведущий группы по</w:t>
      </w:r>
      <w:r w:rsidRPr="00925F26">
        <w:rPr>
          <w:color w:val="000000" w:themeColor="text1"/>
          <w:sz w:val="16"/>
          <w:szCs w:val="16"/>
        </w:rPr>
        <w:softHyphen/>
        <w:t>мощник командира полка по воздуш</w:t>
      </w:r>
      <w:r w:rsidRPr="00925F26">
        <w:rPr>
          <w:color w:val="000000" w:themeColor="text1"/>
          <w:sz w:val="16"/>
          <w:szCs w:val="16"/>
        </w:rPr>
        <w:softHyphen/>
        <w:t xml:space="preserve">но-стрелковой службе к-н Сироткин), вылетев в 13.55 </w:t>
      </w:r>
      <w:r w:rsidRPr="00925F26">
        <w:rPr>
          <w:iCs/>
          <w:color w:val="000000" w:themeColor="text1"/>
          <w:sz w:val="16"/>
          <w:szCs w:val="16"/>
        </w:rPr>
        <w:t xml:space="preserve">с </w:t>
      </w:r>
      <w:r w:rsidRPr="00925F26">
        <w:rPr>
          <w:color w:val="000000" w:themeColor="text1"/>
          <w:sz w:val="16"/>
          <w:szCs w:val="16"/>
        </w:rPr>
        <w:t>базового аэродро</w:t>
      </w:r>
      <w:r w:rsidRPr="00925F26">
        <w:rPr>
          <w:color w:val="000000" w:themeColor="text1"/>
          <w:sz w:val="16"/>
          <w:szCs w:val="16"/>
        </w:rPr>
        <w:softHyphen/>
        <w:t>ма, благополучно добралась до ново</w:t>
      </w:r>
      <w:r w:rsidRPr="00925F26">
        <w:rPr>
          <w:color w:val="000000" w:themeColor="text1"/>
          <w:sz w:val="16"/>
          <w:szCs w:val="16"/>
        </w:rPr>
        <w:softHyphen/>
        <w:t>го аэродрома, выполнив в 15.05 по</w:t>
      </w:r>
      <w:r w:rsidRPr="00925F26">
        <w:rPr>
          <w:color w:val="000000" w:themeColor="text1"/>
          <w:sz w:val="16"/>
          <w:szCs w:val="16"/>
        </w:rPr>
        <w:softHyphen/>
        <w:t>садку.</w:t>
      </w:r>
    </w:p>
    <w:p w14:paraId="1590893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7 Ил-10 второй группы долете</w:t>
      </w:r>
      <w:r w:rsidRPr="00925F26">
        <w:rPr>
          <w:color w:val="000000" w:themeColor="text1"/>
          <w:sz w:val="16"/>
          <w:szCs w:val="16"/>
        </w:rPr>
        <w:softHyphen/>
        <w:t>ла до нового аэродрома только четвер</w:t>
      </w:r>
      <w:r w:rsidRPr="00925F26">
        <w:rPr>
          <w:color w:val="000000" w:themeColor="text1"/>
          <w:sz w:val="16"/>
          <w:szCs w:val="16"/>
        </w:rPr>
        <w:softHyphen/>
        <w:t>ка во главе с ведущим группы капита</w:t>
      </w:r>
      <w:r w:rsidRPr="00925F26">
        <w:rPr>
          <w:color w:val="000000" w:themeColor="text1"/>
          <w:sz w:val="16"/>
          <w:szCs w:val="16"/>
        </w:rPr>
        <w:softHyphen/>
        <w:t>ном Зиновьевым. Звено во главе с мл. лейтенантом Мазуром оторвалась от общей группы сразу же с места выле</w:t>
      </w:r>
      <w:r w:rsidRPr="00925F26">
        <w:rPr>
          <w:color w:val="000000" w:themeColor="text1"/>
          <w:sz w:val="16"/>
          <w:szCs w:val="16"/>
        </w:rPr>
        <w:softHyphen/>
        <w:t>та. Затем летчики заблудились и, выра</w:t>
      </w:r>
      <w:r w:rsidRPr="00925F26">
        <w:rPr>
          <w:color w:val="000000" w:themeColor="text1"/>
          <w:sz w:val="16"/>
          <w:szCs w:val="16"/>
        </w:rPr>
        <w:softHyphen/>
        <w:t>ботав горючее, сели в поле. В итоге: одна авария и одна поломка самолета.</w:t>
      </w:r>
    </w:p>
    <w:p w14:paraId="64ED4D6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Третья группа из 10 Ил-10 (веду</w:t>
      </w:r>
      <w:r w:rsidRPr="00925F26">
        <w:rPr>
          <w:color w:val="000000" w:themeColor="text1"/>
          <w:sz w:val="16"/>
          <w:szCs w:val="16"/>
        </w:rPr>
        <w:softHyphen/>
        <w:t>щий к-н Железняков), вылетевшая в 14.35, долетела до г.Балаково и воз</w:t>
      </w:r>
      <w:r w:rsidRPr="00925F26">
        <w:rPr>
          <w:color w:val="000000" w:themeColor="text1"/>
          <w:sz w:val="16"/>
          <w:szCs w:val="16"/>
        </w:rPr>
        <w:softHyphen/>
        <w:t>вратилась по метеоусловиям, совер</w:t>
      </w:r>
      <w:r w:rsidRPr="00925F26">
        <w:rPr>
          <w:color w:val="000000" w:themeColor="text1"/>
          <w:sz w:val="16"/>
          <w:szCs w:val="16"/>
        </w:rPr>
        <w:softHyphen/>
        <w:t>шив посадку в Чапаевске на аэродро</w:t>
      </w:r>
      <w:r w:rsidRPr="00925F26">
        <w:rPr>
          <w:color w:val="000000" w:themeColor="text1"/>
          <w:sz w:val="16"/>
          <w:szCs w:val="16"/>
        </w:rPr>
        <w:softHyphen/>
        <w:t>ме 12-го зап. Из состава группы мл. л-т Кирюшкин сел на вынужденную по причине отказа мотора - самолет по</w:t>
      </w:r>
      <w:r w:rsidRPr="00925F26">
        <w:rPr>
          <w:color w:val="000000" w:themeColor="text1"/>
          <w:sz w:val="16"/>
          <w:szCs w:val="16"/>
        </w:rPr>
        <w:softHyphen/>
        <w:t>ломан и требует ремонта. Лейтенант Максимов выработал горючее и потер</w:t>
      </w:r>
      <w:r w:rsidRPr="00925F26">
        <w:rPr>
          <w:color w:val="000000" w:themeColor="text1"/>
          <w:sz w:val="16"/>
          <w:szCs w:val="16"/>
        </w:rPr>
        <w:softHyphen/>
        <w:t>пел аварию в районе Чапаевска. Млад</w:t>
      </w:r>
      <w:r w:rsidRPr="00925F26">
        <w:rPr>
          <w:color w:val="000000" w:themeColor="text1"/>
          <w:sz w:val="16"/>
          <w:szCs w:val="16"/>
        </w:rPr>
        <w:softHyphen/>
        <w:t>ший лейтенант Юдаев произвел посад</w:t>
      </w:r>
      <w:r w:rsidRPr="00925F26">
        <w:rPr>
          <w:color w:val="000000" w:themeColor="text1"/>
          <w:sz w:val="16"/>
          <w:szCs w:val="16"/>
        </w:rPr>
        <w:softHyphen/>
        <w:t>ку на одно колесо по причине не вы</w:t>
      </w:r>
      <w:r w:rsidRPr="00925F26">
        <w:rPr>
          <w:color w:val="000000" w:themeColor="text1"/>
          <w:sz w:val="16"/>
          <w:szCs w:val="16"/>
        </w:rPr>
        <w:softHyphen/>
        <w:t>хода шасси - самолет поломан и тре</w:t>
      </w:r>
      <w:r w:rsidRPr="00925F26">
        <w:rPr>
          <w:color w:val="000000" w:themeColor="text1"/>
          <w:sz w:val="16"/>
          <w:szCs w:val="16"/>
        </w:rPr>
        <w:softHyphen/>
        <w:t>бует ремонта.</w:t>
      </w:r>
    </w:p>
    <w:p w14:paraId="7EC0939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Четвертая группа из 4 Ил-10 (веду</w:t>
      </w:r>
      <w:r w:rsidRPr="00925F26">
        <w:rPr>
          <w:color w:val="000000" w:themeColor="text1"/>
          <w:sz w:val="16"/>
          <w:szCs w:val="16"/>
        </w:rPr>
        <w:softHyphen/>
        <w:t>щий к-н Новиков), вылетев в 14.45, возвратилась с маршрута и произвела посадку на аэродроме в Чапаевске.</w:t>
      </w:r>
    </w:p>
    <w:p w14:paraId="3CEAA9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Таким образом, из 26 Ил-10, вы</w:t>
      </w:r>
      <w:r w:rsidRPr="00925F26">
        <w:rPr>
          <w:color w:val="000000" w:themeColor="text1"/>
          <w:sz w:val="16"/>
          <w:szCs w:val="16"/>
        </w:rPr>
        <w:softHyphen/>
        <w:t>летевших с аэродрома Толкай, на ме</w:t>
      </w:r>
      <w:r w:rsidRPr="00925F26">
        <w:rPr>
          <w:color w:val="000000" w:themeColor="text1"/>
          <w:sz w:val="16"/>
          <w:szCs w:val="16"/>
        </w:rPr>
        <w:softHyphen/>
        <w:t>сто назначения прибыло только 9 самолетов, 13 самолетов - сели в Ча</w:t>
      </w:r>
      <w:r w:rsidRPr="00925F26">
        <w:rPr>
          <w:color w:val="000000" w:themeColor="text1"/>
          <w:sz w:val="16"/>
          <w:szCs w:val="16"/>
        </w:rPr>
        <w:softHyphen/>
        <w:t>паевске, плюс две аварии и три по</w:t>
      </w:r>
      <w:r w:rsidRPr="00925F26">
        <w:rPr>
          <w:color w:val="000000" w:themeColor="text1"/>
          <w:sz w:val="16"/>
          <w:szCs w:val="16"/>
        </w:rPr>
        <w:softHyphen/>
        <w:t>ломки самолетов.</w:t>
      </w:r>
    </w:p>
    <w:p w14:paraId="11727C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разбора полетов и раздачи «слонов» всем «заинтересованным» ли</w:t>
      </w:r>
      <w:r w:rsidRPr="00925F26">
        <w:rPr>
          <w:color w:val="000000" w:themeColor="text1"/>
          <w:sz w:val="16"/>
          <w:szCs w:val="16"/>
        </w:rPr>
        <w:softHyphen/>
        <w:t>цам, 108-й гвардейский шап в два при</w:t>
      </w:r>
      <w:r w:rsidRPr="00925F26">
        <w:rPr>
          <w:color w:val="000000" w:themeColor="text1"/>
          <w:sz w:val="16"/>
          <w:szCs w:val="16"/>
        </w:rPr>
        <w:softHyphen/>
        <w:t xml:space="preserve">ема - 9 и 20 </w:t>
      </w:r>
      <w:proofErr w:type="gramStart"/>
      <w:r w:rsidRPr="00925F26">
        <w:rPr>
          <w:color w:val="000000" w:themeColor="text1"/>
          <w:sz w:val="16"/>
          <w:szCs w:val="16"/>
        </w:rPr>
        <w:t>февраля,убыл</w:t>
      </w:r>
      <w:proofErr w:type="gramEnd"/>
      <w:r w:rsidRPr="00925F26">
        <w:rPr>
          <w:color w:val="000000" w:themeColor="text1"/>
          <w:sz w:val="16"/>
          <w:szCs w:val="16"/>
        </w:rPr>
        <w:t xml:space="preserve"> таки полным составом в действующую армию.</w:t>
      </w:r>
    </w:p>
    <w:p w14:paraId="701D87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двух лидерных маршевых авиаполков, в 1-й заб в течение янва</w:t>
      </w:r>
      <w:r w:rsidRPr="00925F26">
        <w:rPr>
          <w:color w:val="000000" w:themeColor="text1"/>
          <w:sz w:val="16"/>
          <w:szCs w:val="16"/>
        </w:rPr>
        <w:softHyphen/>
        <w:t>ря было переучено на самолете Ил-10 20 летчиков-инструкторов для 43-го и 50-го запасных авиаполков, 12 эки</w:t>
      </w:r>
      <w:r w:rsidRPr="00925F26">
        <w:rPr>
          <w:color w:val="000000" w:themeColor="text1"/>
          <w:sz w:val="16"/>
          <w:szCs w:val="16"/>
        </w:rPr>
        <w:softHyphen/>
        <w:t>пажей перегоночных авиаполков, 10 инспекторов полетной подготовке (по одному для 3-й, 14-й и 2-й ВА, по од</w:t>
      </w:r>
      <w:r w:rsidRPr="00925F26">
        <w:rPr>
          <w:color w:val="000000" w:themeColor="text1"/>
          <w:sz w:val="16"/>
          <w:szCs w:val="16"/>
        </w:rPr>
        <w:softHyphen/>
        <w:t>ному - для Московского, Киевского, Бе</w:t>
      </w:r>
      <w:r w:rsidRPr="00925F26">
        <w:rPr>
          <w:color w:val="000000" w:themeColor="text1"/>
          <w:sz w:val="16"/>
          <w:szCs w:val="16"/>
        </w:rPr>
        <w:softHyphen/>
        <w:t>лорусского и Одесского Военных ок</w:t>
      </w:r>
      <w:r w:rsidRPr="00925F26">
        <w:rPr>
          <w:color w:val="000000" w:themeColor="text1"/>
          <w:sz w:val="16"/>
          <w:szCs w:val="16"/>
        </w:rPr>
        <w:softHyphen/>
        <w:t>ругов и три-для Инспекции ВВСКА), а также 51 летчик из постоянного со</w:t>
      </w:r>
      <w:r w:rsidRPr="00925F26">
        <w:rPr>
          <w:color w:val="000000" w:themeColor="text1"/>
          <w:sz w:val="16"/>
          <w:szCs w:val="16"/>
        </w:rPr>
        <w:softHyphen/>
        <w:t>става бригады. Из этого числа два ин</w:t>
      </w:r>
      <w:r w:rsidRPr="00925F26">
        <w:rPr>
          <w:color w:val="000000" w:themeColor="text1"/>
          <w:sz w:val="16"/>
          <w:szCs w:val="16"/>
        </w:rPr>
        <w:softHyphen/>
        <w:t>спектора по технике пилотирования для 2-й воздушной армии и для Киевс</w:t>
      </w:r>
      <w:r w:rsidRPr="00925F26">
        <w:rPr>
          <w:color w:val="000000" w:themeColor="text1"/>
          <w:sz w:val="16"/>
          <w:szCs w:val="16"/>
        </w:rPr>
        <w:softHyphen/>
        <w:t>кого Военного округа убыли к месту назначения 26 января поездом, а ос</w:t>
      </w:r>
      <w:r w:rsidRPr="00925F26">
        <w:rPr>
          <w:color w:val="000000" w:themeColor="text1"/>
          <w:sz w:val="16"/>
          <w:szCs w:val="16"/>
        </w:rPr>
        <w:softHyphen/>
        <w:t>тальные - 1 февраля, также поездом.</w:t>
      </w:r>
    </w:p>
    <w:p w14:paraId="37ED6BC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Отправка инструкторов для 43-го и 50-го зап состоялась 7 и 9 февраля (поез</w:t>
      </w:r>
      <w:r w:rsidRPr="00925F26">
        <w:rPr>
          <w:color w:val="000000" w:themeColor="text1"/>
          <w:sz w:val="16"/>
          <w:szCs w:val="16"/>
        </w:rPr>
        <w:softHyphen/>
        <w:t>дом), а летчиков-перегонщиков для 245-го (летом на Ил-10), 1000-го и 217-го (поездом) перегоночных полков - 9, 15 и 16 февраля, соответственно (11131).</w:t>
      </w:r>
    </w:p>
    <w:p w14:paraId="2A4D60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58E37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1945 г. 108-й гшап, также как и 78-й, бы пере</w:t>
      </w:r>
      <w:r w:rsidRPr="00925F26">
        <w:rPr>
          <w:color w:val="000000" w:themeColor="text1"/>
          <w:sz w:val="16"/>
          <w:szCs w:val="16"/>
        </w:rPr>
        <w:softHyphen/>
        <w:t>учен на Ил-10. Акт от 21 января констатировал, что полк «в со-ставе 41 летчика подготовлен к перелету на фронт на Ил-10 днем в простых метео</w:t>
      </w:r>
      <w:r w:rsidRPr="00925F26">
        <w:rPr>
          <w:color w:val="000000" w:themeColor="text1"/>
          <w:sz w:val="16"/>
          <w:szCs w:val="16"/>
        </w:rPr>
        <w:softHyphen/>
        <w:t>условиях». Летный состав был подготов</w:t>
      </w:r>
      <w:r w:rsidRPr="00925F26">
        <w:rPr>
          <w:color w:val="000000" w:themeColor="text1"/>
          <w:sz w:val="16"/>
          <w:szCs w:val="16"/>
        </w:rPr>
        <w:softHyphen/>
        <w:t>лен несколько лучше, чем в 78-м полку. Налет на Ил-10 составлял в среднем 2 ч 58 мин (10 посадок), в том числе около 2 ч в тренировках на боевое примене</w:t>
      </w:r>
      <w:r w:rsidRPr="00925F26">
        <w:rPr>
          <w:color w:val="000000" w:themeColor="text1"/>
          <w:sz w:val="16"/>
          <w:szCs w:val="16"/>
        </w:rPr>
        <w:softHyphen/>
        <w:t>ние. Весь летный состав полка уже полу</w:t>
      </w:r>
      <w:r w:rsidRPr="00925F26">
        <w:rPr>
          <w:color w:val="000000" w:themeColor="text1"/>
          <w:sz w:val="16"/>
          <w:szCs w:val="16"/>
        </w:rPr>
        <w:softHyphen/>
        <w:t>чил боевой опыт, воюя на штурмовиках Ил-2. Поскольку предполагалось, что в этом полку пройдут войсковые испытания но</w:t>
      </w:r>
      <w:r w:rsidRPr="00925F26">
        <w:rPr>
          <w:color w:val="000000" w:themeColor="text1"/>
          <w:sz w:val="16"/>
          <w:szCs w:val="16"/>
        </w:rPr>
        <w:softHyphen/>
        <w:t>вого самолета, то пополнению полка техникой уделили самое пристальное внимание. Штурмовики отбирались из числа имевших наименьшее количество производственных и конструктивных де</w:t>
      </w:r>
      <w:r w:rsidRPr="00925F26">
        <w:rPr>
          <w:color w:val="000000" w:themeColor="text1"/>
          <w:sz w:val="16"/>
          <w:szCs w:val="16"/>
        </w:rPr>
        <w:softHyphen/>
        <w:t>фектов и тщательно проверялись как заводскими бригадами, так и техничес</w:t>
      </w:r>
      <w:r w:rsidRPr="00925F26">
        <w:rPr>
          <w:color w:val="000000" w:themeColor="text1"/>
          <w:sz w:val="16"/>
          <w:szCs w:val="16"/>
        </w:rPr>
        <w:softHyphen/>
        <w:t>ким составом части. В общей сложности полк получил 42 Ил-10, в том числе 37 производства завода № 18 и 5 выпуска завода № 1 (10681).</w:t>
      </w:r>
    </w:p>
    <w:p w14:paraId="6C04688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02AA60A" w14:textId="77777777" w:rsidR="002D465A" w:rsidRPr="00925F26" w:rsidRDefault="002D465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С января 1945 года первые маршевые полки - 78-й майора С. П. Барило и 108-й подполковника О. В. Топилина гвардейские штурмовые авиаполки (в составе 108 гшап насчитывался 41 летчик, а в составе 78 гшап - только 21 летчик, поэтому полк требовал пополнения в количестве 20 человек летного состава) приступил к практическому курсу освоения новой машины. 78-й гвардейский штурмовой авиаполк проходил переучивание на базе 12 зап на аэродроме г. Чапаевск, а 108-й гвардейский - на базе 5 зап на аэродроме Толкай около ст. Кинель-Черкасы.</w:t>
      </w:r>
    </w:p>
    <w:p w14:paraId="7F307A83" w14:textId="77777777" w:rsidR="002D465A" w:rsidRPr="00925F26" w:rsidRDefault="002D465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До возобновления серийного выпуска Ил-10 летный и технический состав запасных полков и вновь прибывших маршевых полков занимался исключительно изучением матчасти «десятки» и мотора АМ-42. После сдачи зачетов личный состав маршевых полков перебазировался на аэродромы запасных полков 1 заб.</w:t>
      </w:r>
    </w:p>
    <w:p w14:paraId="01D8EC3B"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Согласно приказу командующего ВВС ПриВО генерал-майора Игнатова 1 заб в январе 1945 года должна была переучить на самолет Ил-10: 78 и 108 гшап, 20 экипажей 43 и 50 зап, 16 экипажей перегоночных штурмовых авиаполков (1000, 245, 217 и 620 пшап), 10 инспекторов по технике пилотирования для воздушных армий и военных округов, а также весь постоянный состав бригады (5, 10, 12 зап и 850 пшап) - всего 137 человек.</w:t>
      </w:r>
    </w:p>
    <w:p w14:paraId="79EB3FDD" w14:textId="77777777" w:rsidR="002D465A" w:rsidRPr="00925F26" w:rsidRDefault="002D465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Комбриг А. И. Подольский приказал командирам запасных авиаполков при поступлении переменного летного и технического состава для переучивания на самолет Ил-10 немедленно приступить к организации занятий по наземной подготовке. При этом вся ответственность за приемку летного состава, контроль и организацию обучения, как обычно, возлагалась лично на командиров запасных полков.</w:t>
      </w:r>
    </w:p>
    <w:p w14:paraId="50FDF67A"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Кроме этого, с целью ускорения темпов переучивания и обеспечения плановых показателей учебно -боевой подготовки приказами по 1 заб инструкторский состав запасных авиаполков обязан был производить полеты на личную тренировку только на самолете Ил-10. Отделы по боевой подготовке полков с получением программы наземной подготовки летно -технического состава на Ил-10 должны были немедленно приступить к составлению преподавательским составом конспектов и к 5 января 1945 года оборудовать классы необходимыми наглядными пособиями.</w:t>
      </w:r>
    </w:p>
    <w:p w14:paraId="39E5742C"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Согласно программе переучивания на изучение матчасти самолета Ил-10 и мотора АМ-42 и сдачу зачетов отводилось 7 дней для летного состава, 12 дней - для технического состава и 4 дня - для воздушных стрелков. Затем следовало продолжение изучения матчасти на серийных авиазаводах и ознакомление с конструктивно-производственными дефектами и эксплуатационными особенностями самолета и мотора. Техническому составу отводилось два дня на изучение мотора АМ-42 на заводе № 24 и три дня - для изучения конструкции самолета Ил-10 на авиазаводах № 1 и № 18. Летному составу предоставлялось три дня для изучения материальной части на одном из самолетных заводов.</w:t>
      </w:r>
    </w:p>
    <w:p w14:paraId="32A68B42" w14:textId="77777777" w:rsidR="002D465A" w:rsidRPr="00925F26" w:rsidRDefault="002D465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Для обучения на 24-м заводе формировалась группа технического состава в количестве 30 человек, а на 18-м и 1-м авиазаводах - по две группы летного и технического состава по 30 человек каждая и по одной группе по вооружению и спецоборудованию в количестве 20 человек.</w:t>
      </w:r>
    </w:p>
    <w:p w14:paraId="3A39438F"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Летная часть программы переучивания включала: один полет на УИл-2 для проверки техники пилотирования - 30 мин, 8 контрольно-провозных полетов на УИл-2 - 48 мин, 6 самостоятельных полетов на Ил-2 (взлет, полет по кругу, посадка) - 36 мин, 10 самостоятельных полетов по кругу на Ил-10 - 1 ч, два полета на самостоятельное упражнение (максимальный угол набора высоты, виражи с креном 30-60°, боевые развороты, спираль с креном 30°) - 1 ч, один полет на полигон для стрельбы и бомбометания по наземной цели - 30 мин, один полет по маршруту в составе пары с бомбометанием и стрельбой на полигоне - 50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оборонительный круг - 1 ч 40 мин. То есть программа переучивания предусматривала 17 полетов на Ил-10 с налетом 5 ч 30 мин на каждого летчика.</w:t>
      </w:r>
    </w:p>
    <w:p w14:paraId="41E1A3F5"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Как это обычно бывает, захотелось быстрее испытать новый самолет в деле. В связи с этим планомерная подготовка летного и технического состава лидерных полков была нарушена. Уже в первых числах января 1945 года по личному распоряжению заместителя начальника Управления формирования и комплектования полковника Бронштейна 78 гшап надлежало срочно завершить программу переучивания и убыть в действующую армию в состав 2-й гвардейской штурмовой авиадивизии 16 ВА.</w:t>
      </w:r>
    </w:p>
    <w:p w14:paraId="085BD423"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К этому времени летный состав полка успел отработать на Ил-10 только 10, 12 и 13-е упражнения по программе переучивания с налетом на одного летчика 57 минут (6 посадок). На боевое применение никто из летчиков не вылетал. Полк срочно пополнили до штата 20 летчиками, прошедшими 1-й и 2-й разделы «Курса боевой подготовки штурмовой авиации 1944 г.», 20 самолетами Ил-2 и 15 самолетами Ил-10. Переучивание полка на новой матчасти официально закончилось 10 января. Уже через два дня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45E5E5EE" w14:textId="77777777" w:rsidR="002D465A" w:rsidRPr="00925F26" w:rsidRDefault="002D465A" w:rsidP="00925F26">
      <w:pPr>
        <w:jc w:val="both"/>
        <w:rPr>
          <w:color w:val="000000" w:themeColor="text1"/>
          <w:sz w:val="16"/>
          <w:szCs w:val="16"/>
        </w:rPr>
      </w:pPr>
      <w:r w:rsidRPr="00925F26">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1FB2C38A" w14:textId="77777777" w:rsidR="002D465A" w:rsidRPr="00925F26" w:rsidRDefault="002D465A" w:rsidP="00925F26">
      <w:pPr>
        <w:jc w:val="both"/>
        <w:rPr>
          <w:color w:val="000000" w:themeColor="text1"/>
          <w:sz w:val="16"/>
          <w:szCs w:val="16"/>
        </w:rPr>
      </w:pPr>
    </w:p>
    <w:p w14:paraId="280444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января 1945 г. 10-го зап (командир подполковник К.Н. Холобаев) и первые строевые полки -78-й гвардейский штурмовой авиаполк (гшап) майора С.П. Барило и 108-й гшап подполковника О.В. Топилина после возобновления выпуска Ил-10 были направлены на аэродромы начался практический курс. 78-й гшап проходил переучивание на базе 12-го зап в Чапаевске, а 108-й гшап - на базе 5-го зап на аэродроме Толкай око</w:t>
      </w:r>
      <w:r w:rsidRPr="00925F26">
        <w:rPr>
          <w:color w:val="000000" w:themeColor="text1"/>
          <w:sz w:val="16"/>
          <w:szCs w:val="16"/>
        </w:rPr>
        <w:softHyphen/>
        <w:t>ло станции Кинель. Из-за приостановки производства и постоянных переделок уже собранных штурмовиков «десяток» в 1-й заб посто</w:t>
      </w:r>
      <w:r w:rsidRPr="00925F26">
        <w:rPr>
          <w:color w:val="000000" w:themeColor="text1"/>
          <w:sz w:val="16"/>
          <w:szCs w:val="16"/>
        </w:rPr>
        <w:softHyphen/>
        <w:t>янно не хватало. На 5 января 1945 г. там числились 45 Ил-10, в течение следую</w:t>
      </w:r>
      <w:r w:rsidRPr="00925F26">
        <w:rPr>
          <w:color w:val="000000" w:themeColor="text1"/>
          <w:sz w:val="16"/>
          <w:szCs w:val="16"/>
        </w:rPr>
        <w:softHyphen/>
        <w:t>щих двух недель поступило еще 65. В феврале пришли 83 машины, в марте -145, в апреле - 265 и в мае - 257 штур</w:t>
      </w:r>
      <w:r w:rsidRPr="00925F26">
        <w:rPr>
          <w:color w:val="000000" w:themeColor="text1"/>
          <w:sz w:val="16"/>
          <w:szCs w:val="16"/>
        </w:rPr>
        <w:softHyphen/>
        <w:t xml:space="preserve">мовиков. В общей сложности к 1 июля 1945 г. 1-я заб получила 1077 </w:t>
      </w:r>
      <w:r w:rsidRPr="00925F26">
        <w:rPr>
          <w:color w:val="000000" w:themeColor="text1"/>
          <w:sz w:val="16"/>
          <w:szCs w:val="16"/>
        </w:rPr>
        <w:lastRenderedPageBreak/>
        <w:t>боевых Ил-10 и три учебно-тренировочных «де</w:t>
      </w:r>
      <w:r w:rsidRPr="00925F26">
        <w:rPr>
          <w:color w:val="000000" w:themeColor="text1"/>
          <w:sz w:val="16"/>
          <w:szCs w:val="16"/>
        </w:rPr>
        <w:softHyphen/>
        <w:t>сятки». Командующий ВВС Приволжского воен</w:t>
      </w:r>
      <w:r w:rsidRPr="00925F26">
        <w:rPr>
          <w:color w:val="000000" w:themeColor="text1"/>
          <w:sz w:val="16"/>
          <w:szCs w:val="16"/>
        </w:rPr>
        <w:softHyphen/>
        <w:t>ного округа генерал-майор Игнатов по</w:t>
      </w:r>
      <w:r w:rsidRPr="00925F26">
        <w:rPr>
          <w:color w:val="000000" w:themeColor="text1"/>
          <w:sz w:val="16"/>
          <w:szCs w:val="16"/>
        </w:rPr>
        <w:softHyphen/>
        <w:t>ставил задачу в январе 1945 г. подгото</w:t>
      </w:r>
      <w:r w:rsidRPr="00925F26">
        <w:rPr>
          <w:color w:val="000000" w:themeColor="text1"/>
          <w:sz w:val="16"/>
          <w:szCs w:val="16"/>
        </w:rPr>
        <w:softHyphen/>
        <w:t>вить 78-й (21 экипаж) и 108-й (41 экипаж) гшап, 20 экипажей из 43-го и 50-го зап, 16 экипажей для перегоночных полков (1000, 245, 217-го и 620-го), 10 инспекто</w:t>
      </w:r>
      <w:r w:rsidRPr="00925F26">
        <w:rPr>
          <w:color w:val="000000" w:themeColor="text1"/>
          <w:sz w:val="16"/>
          <w:szCs w:val="16"/>
        </w:rPr>
        <w:softHyphen/>
        <w:t>ров по технике пилотирования для воз</w:t>
      </w:r>
      <w:r w:rsidRPr="00925F26">
        <w:rPr>
          <w:color w:val="000000" w:themeColor="text1"/>
          <w:sz w:val="16"/>
          <w:szCs w:val="16"/>
        </w:rPr>
        <w:softHyphen/>
        <w:t>душных армий и военных округов, а так</w:t>
      </w:r>
      <w:r w:rsidRPr="00925F26">
        <w:rPr>
          <w:color w:val="000000" w:themeColor="text1"/>
          <w:sz w:val="16"/>
          <w:szCs w:val="16"/>
        </w:rPr>
        <w:softHyphen/>
        <w:t>же весь постоянный состав запасной бригады (5, 10, 12-й зап и 850-й перего</w:t>
      </w:r>
      <w:r w:rsidRPr="00925F26">
        <w:rPr>
          <w:color w:val="000000" w:themeColor="text1"/>
          <w:sz w:val="16"/>
          <w:szCs w:val="16"/>
        </w:rPr>
        <w:softHyphen/>
        <w:t>ночный полк) - всего 137 человек. Для ускорения темпов переучивания инструкторский состав запасных полков обязан был производить полеты на лич</w:t>
      </w:r>
      <w:r w:rsidRPr="00925F26">
        <w:rPr>
          <w:color w:val="000000" w:themeColor="text1"/>
          <w:sz w:val="16"/>
          <w:szCs w:val="16"/>
        </w:rPr>
        <w:softHyphen/>
        <w:t>ную тренировку только на Ил-10. Отде</w:t>
      </w:r>
      <w:r w:rsidRPr="00925F26">
        <w:rPr>
          <w:color w:val="000000" w:themeColor="text1"/>
          <w:sz w:val="16"/>
          <w:szCs w:val="16"/>
        </w:rPr>
        <w:softHyphen/>
        <w:t>лы по боевой подготовке полков с полу</w:t>
      </w:r>
      <w:r w:rsidRPr="00925F26">
        <w:rPr>
          <w:color w:val="000000" w:themeColor="text1"/>
          <w:sz w:val="16"/>
          <w:szCs w:val="16"/>
        </w:rPr>
        <w:softHyphen/>
        <w:t>чением программы наземной подготовки должны были немедленно приступить к составлению преподавательским соста</w:t>
      </w:r>
      <w:r w:rsidRPr="00925F26">
        <w:rPr>
          <w:color w:val="000000" w:themeColor="text1"/>
          <w:sz w:val="16"/>
          <w:szCs w:val="16"/>
        </w:rPr>
        <w:softHyphen/>
        <w:t>вом конспектов и к 5 января 1945 г. обо</w:t>
      </w:r>
      <w:r w:rsidRPr="00925F26">
        <w:rPr>
          <w:color w:val="000000" w:themeColor="text1"/>
          <w:sz w:val="16"/>
          <w:szCs w:val="16"/>
        </w:rPr>
        <w:softHyphen/>
        <w:t>рудовать классы необходимыми нагляд</w:t>
      </w:r>
      <w:r w:rsidRPr="00925F26">
        <w:rPr>
          <w:color w:val="000000" w:themeColor="text1"/>
          <w:sz w:val="16"/>
          <w:szCs w:val="16"/>
        </w:rPr>
        <w:softHyphen/>
        <w:t>ными пособиями. Согласно программе на изучение матчасти и сдачу зачетов отводилось 7 дней для летного состава, 12 дней - для технического и 4 дня - для воздушных стрелков. Затем следовали продолжение изучения Ил-10 и АМ-42 на заводах и ознакомление с конструк</w:t>
      </w:r>
      <w:r w:rsidRPr="00925F26">
        <w:rPr>
          <w:color w:val="000000" w:themeColor="text1"/>
          <w:sz w:val="16"/>
          <w:szCs w:val="16"/>
        </w:rPr>
        <w:softHyphen/>
        <w:t>тивно-производственными дефектами и эксплуатационными особенностями са</w:t>
      </w:r>
      <w:r w:rsidRPr="00925F26">
        <w:rPr>
          <w:color w:val="000000" w:themeColor="text1"/>
          <w:sz w:val="16"/>
          <w:szCs w:val="16"/>
        </w:rPr>
        <w:softHyphen/>
        <w:t>молета и мотора. Техническому составу отводилось два дня на изучение АМ-42 на заводе № 24 и три - на сам Ил-10 на заводах №1 и №18. Летному составу предоставлялось три дня для изучения матчасти, и только на одном из самоле</w:t>
      </w:r>
      <w:r w:rsidRPr="00925F26">
        <w:rPr>
          <w:color w:val="000000" w:themeColor="text1"/>
          <w:sz w:val="16"/>
          <w:szCs w:val="16"/>
        </w:rPr>
        <w:softHyphen/>
        <w:t>тостроительных заводов. Летная часть программы переучива</w:t>
      </w:r>
      <w:r w:rsidRPr="00925F26">
        <w:rPr>
          <w:color w:val="000000" w:themeColor="text1"/>
          <w:sz w:val="16"/>
          <w:szCs w:val="16"/>
        </w:rPr>
        <w:softHyphen/>
        <w:t>ния включала один полет на проверку техники пилотирования на УИл-2 - на</w:t>
      </w:r>
      <w:r w:rsidRPr="00925F26">
        <w:rPr>
          <w:color w:val="000000" w:themeColor="text1"/>
          <w:sz w:val="16"/>
          <w:szCs w:val="16"/>
        </w:rPr>
        <w:softHyphen/>
        <w:t>лет 30 мин; 8 контрольно-провозных по</w:t>
      </w:r>
      <w:r w:rsidRPr="00925F26">
        <w:rPr>
          <w:color w:val="000000" w:themeColor="text1"/>
          <w:sz w:val="16"/>
          <w:szCs w:val="16"/>
        </w:rPr>
        <w:softHyphen/>
        <w:t>летов на УИл-2 - 48 мин; 6 самостоя</w:t>
      </w:r>
      <w:r w:rsidRPr="00925F26">
        <w:rPr>
          <w:color w:val="000000" w:themeColor="text1"/>
          <w:sz w:val="16"/>
          <w:szCs w:val="16"/>
        </w:rPr>
        <w:softHyphen/>
        <w:t>тельных полетов на Ил-2 (взлет, полет по кругу и посадка) - 36 мин; 10 само</w:t>
      </w:r>
      <w:r w:rsidRPr="00925F26">
        <w:rPr>
          <w:color w:val="000000" w:themeColor="text1"/>
          <w:sz w:val="16"/>
          <w:szCs w:val="16"/>
        </w:rPr>
        <w:softHyphen/>
        <w:t>стоятельных полетов по кругу на Ил-10 -1 ч; 2 полета на самостоятельное уп</w:t>
      </w:r>
      <w:r w:rsidRPr="00925F26">
        <w:rPr>
          <w:color w:val="000000" w:themeColor="text1"/>
          <w:sz w:val="16"/>
          <w:szCs w:val="16"/>
        </w:rPr>
        <w:softHyphen/>
        <w:t>ражнение (максимальный угол набора высоты, виражи с креном 30° - 60°, бое</w:t>
      </w:r>
      <w:r w:rsidRPr="00925F26">
        <w:rPr>
          <w:color w:val="000000" w:themeColor="text1"/>
          <w:sz w:val="16"/>
          <w:szCs w:val="16"/>
        </w:rPr>
        <w:softHyphen/>
        <w:t>вые развороты, спираль с креном 30° с высоты 1000 - 1500 м) - 1 ч; один полет на полигон для стрельбы и бомбомета</w:t>
      </w:r>
      <w:r w:rsidRPr="00925F26">
        <w:rPr>
          <w:color w:val="000000" w:themeColor="text1"/>
          <w:sz w:val="16"/>
          <w:szCs w:val="16"/>
        </w:rPr>
        <w:softHyphen/>
        <w:t>ния по наземной цели - 30 мин; один по</w:t>
      </w:r>
      <w:r w:rsidRPr="00925F26">
        <w:rPr>
          <w:color w:val="000000" w:themeColor="text1"/>
          <w:sz w:val="16"/>
          <w:szCs w:val="16"/>
        </w:rPr>
        <w:softHyphen/>
        <w:t>лет по маршруту в составе пары с бом</w:t>
      </w:r>
      <w:r w:rsidRPr="00925F26">
        <w:rPr>
          <w:color w:val="000000" w:themeColor="text1"/>
          <w:sz w:val="16"/>
          <w:szCs w:val="16"/>
        </w:rPr>
        <w:softHyphen/>
        <w:t>бометанием и стрельбой на полигоне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w:t>
      </w:r>
      <w:r w:rsidRPr="00925F26">
        <w:rPr>
          <w:color w:val="000000" w:themeColor="text1"/>
          <w:sz w:val="16"/>
          <w:szCs w:val="16"/>
        </w:rPr>
        <w:softHyphen/>
        <w:t>нительный круг - 1 ч 40 мин. В общей сложности программа переучивания предусматривала 17 полетов на Ил-10 с налетом 5 ч 30 мин на каждого пилота. Как это обычно бывает, начальству за</w:t>
      </w:r>
      <w:r w:rsidRPr="00925F26">
        <w:rPr>
          <w:color w:val="000000" w:themeColor="text1"/>
          <w:sz w:val="16"/>
          <w:szCs w:val="16"/>
        </w:rPr>
        <w:softHyphen/>
        <w:t>хотелось побыстрее испытать новый са</w:t>
      </w:r>
      <w:r w:rsidRPr="00925F26">
        <w:rPr>
          <w:color w:val="000000" w:themeColor="text1"/>
          <w:sz w:val="16"/>
          <w:szCs w:val="16"/>
        </w:rPr>
        <w:softHyphen/>
        <w:t>молет в деле, в связи с чем планомер</w:t>
      </w:r>
      <w:r w:rsidRPr="00925F26">
        <w:rPr>
          <w:color w:val="000000" w:themeColor="text1"/>
          <w:sz w:val="16"/>
          <w:szCs w:val="16"/>
        </w:rPr>
        <w:softHyphen/>
        <w:t>ная подготовка летного и технического состава была нарушена (10681).</w:t>
      </w:r>
    </w:p>
    <w:p w14:paraId="46B456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F6974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из-за испортившейся погоды на маршруте Иркутск-Красноярск-Омск-Свердловск и необходимости выполнения доработок, связанных с заменой фонаря кабины пилотов, ни одна из машин не перегонялась, зато в феврале, марте и апреле ВВС КА получили 33, 30 и 41 самолет, соответственно. Подавляющее большинство из них опять-таки предназначалось для 2-го гвардейского авиакорпуса. Однако в целом следует признать, что доля бомбардировщиков, переданных в войска, по отношению к суммарному объему выпуска Ер-2 оказалась небольшой (25% в 1944 г. и около 50% по состоянию на конец апреля 1945 г.). Налицо были серьезные технические проблемы, препятствовавшие широкому внедрению самолета в строевые части (3322,43).</w:t>
      </w:r>
    </w:p>
    <w:p w14:paraId="5BAC25AB" w14:textId="77777777" w:rsidR="00C2313B" w:rsidRPr="00925F26" w:rsidRDefault="00C2313B" w:rsidP="00925F26">
      <w:pPr>
        <w:autoSpaceDE w:val="0"/>
        <w:autoSpaceDN w:val="0"/>
        <w:adjustRightInd w:val="0"/>
        <w:jc w:val="both"/>
        <w:rPr>
          <w:color w:val="000000" w:themeColor="text1"/>
          <w:sz w:val="16"/>
          <w:szCs w:val="16"/>
        </w:rPr>
      </w:pPr>
    </w:p>
    <w:p w14:paraId="762E01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за четыре месяца до падения столицы Германии, в наших войсках было 1300 бомбардировщиков и 345 разведчиков Пе-2, что составляло более половины фронтовых бомбардировщиков Красной Армии (12049).</w:t>
      </w:r>
    </w:p>
    <w:p w14:paraId="5DFCEA1C" w14:textId="77777777" w:rsidR="00C2313B" w:rsidRPr="00925F26" w:rsidRDefault="00C2313B" w:rsidP="00925F26">
      <w:pPr>
        <w:autoSpaceDE w:val="0"/>
        <w:autoSpaceDN w:val="0"/>
        <w:adjustRightInd w:val="0"/>
        <w:jc w:val="both"/>
        <w:rPr>
          <w:color w:val="000000" w:themeColor="text1"/>
          <w:sz w:val="16"/>
          <w:szCs w:val="16"/>
        </w:rPr>
      </w:pPr>
    </w:p>
    <w:p w14:paraId="4AAE27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на P-47D-22 начались боевые вылеты на Балтике, куда "Тандерболты" попали чуть позже. Пять P-47D-22, первый из которых прибыл в ноябре 1944 года, вошли в состав 15-го разведывательного полка. Четыре "Тандерболта" базировались в Паланге, а пятый - в Паневежисе. С середины января 1945 американские самолеты довольно интенсивно использовались для разведки в западной части Балтийского моря. Летали они как поодиночке, так и парами (3457,86).</w:t>
      </w:r>
    </w:p>
    <w:p w14:paraId="16222F50" w14:textId="77777777" w:rsidR="00C2313B" w:rsidRPr="00925F26" w:rsidRDefault="00C2313B" w:rsidP="00925F26">
      <w:pPr>
        <w:autoSpaceDE w:val="0"/>
        <w:autoSpaceDN w:val="0"/>
        <w:adjustRightInd w:val="0"/>
        <w:jc w:val="both"/>
        <w:rPr>
          <w:color w:val="000000" w:themeColor="text1"/>
          <w:sz w:val="16"/>
          <w:szCs w:val="16"/>
        </w:rPr>
      </w:pPr>
    </w:p>
    <w:p w14:paraId="387DBF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на территории СССР начала формироваться 1-я чехословацкая смешанная авиадивизия. Согласно договору о безвозмездной передаче вооружения и боевой техники для укомплектования входившего в эту дивизию по штату бомбардировочного полка Советский Союз выделил 32 Пе-2 (4476).</w:t>
      </w:r>
    </w:p>
    <w:p w14:paraId="4B281DCA" w14:textId="77777777" w:rsidR="00C2313B" w:rsidRPr="00925F26" w:rsidRDefault="00C2313B" w:rsidP="00925F26">
      <w:pPr>
        <w:autoSpaceDE w:val="0"/>
        <w:autoSpaceDN w:val="0"/>
        <w:adjustRightInd w:val="0"/>
        <w:jc w:val="both"/>
        <w:rPr>
          <w:color w:val="000000" w:themeColor="text1"/>
          <w:sz w:val="16"/>
          <w:szCs w:val="16"/>
        </w:rPr>
      </w:pPr>
    </w:p>
    <w:p w14:paraId="5D0BA0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на территории СССР начала формироваться 1-я чехословацкая смешанная авиадивизия. Согласно договору о безвозмездной передаче вооружения и боевой техники для укомплектования входившего в эту дивизию по штату бомбардировочного полка, Советский Союз выделил 32 Пе-2. В мае 1946 г. советские экипажи перегнали в Прагу 30 Пе-2 и два УПе-2. С 20 июня по 1 августа наши инструкторы обучили чехословацких летчиков.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220AF2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19000A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 (12042).</w:t>
      </w:r>
    </w:p>
    <w:p w14:paraId="319D36D1" w14:textId="77777777" w:rsidR="00C2313B" w:rsidRPr="00925F26" w:rsidRDefault="00C2313B" w:rsidP="00925F26">
      <w:pPr>
        <w:autoSpaceDE w:val="0"/>
        <w:autoSpaceDN w:val="0"/>
        <w:adjustRightInd w:val="0"/>
        <w:jc w:val="both"/>
        <w:rPr>
          <w:color w:val="000000" w:themeColor="text1"/>
          <w:sz w:val="16"/>
          <w:szCs w:val="16"/>
        </w:rPr>
      </w:pPr>
    </w:p>
    <w:p w14:paraId="774CB861"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January of 1945, it was arranged by the Soviets for four crews of B-29 to "escape" to the West via Teheran, but their B-29s remained behind (1034).</w:t>
      </w:r>
    </w:p>
    <w:p w14:paraId="554A53E1" w14:textId="77777777" w:rsidR="00C2313B" w:rsidRPr="00925F26" w:rsidRDefault="00C2313B" w:rsidP="00925F26">
      <w:pPr>
        <w:autoSpaceDE w:val="0"/>
        <w:autoSpaceDN w:val="0"/>
        <w:adjustRightInd w:val="0"/>
        <w:jc w:val="both"/>
        <w:rPr>
          <w:color w:val="000000" w:themeColor="text1"/>
          <w:sz w:val="16"/>
          <w:szCs w:val="16"/>
          <w:lang w:val="en-US"/>
        </w:rPr>
      </w:pPr>
    </w:p>
    <w:p w14:paraId="1F80B5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1944 СССР позволили экипажам 4 В-29 покинуть страну через Тегеран, но самолеты остались в СССР (1034).</w:t>
      </w:r>
    </w:p>
    <w:p w14:paraId="27B75D21" w14:textId="77777777" w:rsidR="00C2313B" w:rsidRPr="00925F26" w:rsidRDefault="00C2313B" w:rsidP="00925F26">
      <w:pPr>
        <w:autoSpaceDE w:val="0"/>
        <w:autoSpaceDN w:val="0"/>
        <w:adjustRightInd w:val="0"/>
        <w:jc w:val="both"/>
        <w:rPr>
          <w:color w:val="000000" w:themeColor="text1"/>
          <w:sz w:val="16"/>
          <w:szCs w:val="16"/>
        </w:rPr>
      </w:pPr>
    </w:p>
    <w:p w14:paraId="407C89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во время Висло-Одерской операции Пе-2 использовались не только в своей основной роли фронтовых бомбардировщиков, но и как транспортные самолеты, доставляя горючее вырвавшимся вперед частям 2-й гв. танковой армии (3542).</w:t>
      </w:r>
    </w:p>
    <w:p w14:paraId="04C2AD93" w14:textId="77777777" w:rsidR="00C2313B" w:rsidRPr="00925F26" w:rsidRDefault="00C2313B" w:rsidP="00925F26">
      <w:pPr>
        <w:autoSpaceDE w:val="0"/>
        <w:autoSpaceDN w:val="0"/>
        <w:adjustRightInd w:val="0"/>
        <w:jc w:val="both"/>
        <w:rPr>
          <w:color w:val="000000" w:themeColor="text1"/>
          <w:sz w:val="16"/>
          <w:szCs w:val="16"/>
        </w:rPr>
      </w:pPr>
    </w:p>
    <w:p w14:paraId="3B8987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261806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02B047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3FC344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41383A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252547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2222A7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26833F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141CFD2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w:t>
      </w:r>
      <w:r w:rsidRPr="00925F26">
        <w:rPr>
          <w:color w:val="000000" w:themeColor="text1"/>
          <w:sz w:val="16"/>
          <w:szCs w:val="16"/>
        </w:rPr>
        <w:lastRenderedPageBreak/>
        <w:t>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372837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1CF758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5805E7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75A1A6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Германские ударные управляемые средства...</w:t>
      </w:r>
    </w:p>
    <w:p w14:paraId="55807B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3D0F6B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13A05F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0A6DF0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6A190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6F241F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57DA65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707293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68C4587" w14:textId="77777777" w:rsidR="00C2313B" w:rsidRPr="00925F26" w:rsidRDefault="00C2313B" w:rsidP="00925F26">
      <w:pPr>
        <w:autoSpaceDE w:val="0"/>
        <w:autoSpaceDN w:val="0"/>
        <w:adjustRightInd w:val="0"/>
        <w:jc w:val="both"/>
        <w:rPr>
          <w:color w:val="000000" w:themeColor="text1"/>
          <w:sz w:val="16"/>
          <w:szCs w:val="16"/>
        </w:rPr>
      </w:pPr>
    </w:p>
    <w:p w14:paraId="767F1427" w14:textId="77777777" w:rsidR="00155D62" w:rsidRPr="001A0BAA" w:rsidRDefault="00155D62" w:rsidP="00155D62">
      <w:pPr>
        <w:jc w:val="both"/>
        <w:rPr>
          <w:rStyle w:val="aff0"/>
          <w:rFonts w:ascii="Times New Roman" w:hAnsi="Times New Roman" w:cs="Times New Roman"/>
          <w:color w:val="0070C0"/>
          <w:spacing w:val="0"/>
          <w:sz w:val="16"/>
          <w:szCs w:val="16"/>
        </w:rPr>
      </w:pPr>
      <w:r w:rsidRPr="001A0BAA">
        <w:rPr>
          <w:rFonts w:eastAsia="Trebuchet MS"/>
          <w:color w:val="0070C0"/>
          <w:sz w:val="16"/>
          <w:szCs w:val="16"/>
          <w:shd w:val="clear" w:color="auto" w:fill="FFFFFF"/>
        </w:rPr>
        <w:t>В январе 1945 года в ходе Будапештской операции началось массовое боевое применение СУ-100. Учитывая, что к началу 1945 года Красная Армия была достаточно насыщена противотанковой артиллерией, новыми танками Т-34-85 и ИС-2, а также эффективно использовала в борьбе с танками самоходки СУ-85, ИСУ-122 и ИСУ-152, новые САУ СУ-100 не оказали решающего воздействия на ход боев. Более того, в начале эксплуатации СУ-100 возникали проблемы из-за ряда конструктивных и производственных недостатков. На некоторых машинах появлялись трещины в сварных швах корпуса, а также разрушались детали орудийной установки во время стрельбы. Несмотря на усиление опорных катков и внесение улучшений в конструкцию подвески, основанных на опыте эксплуатации СУ-122 и СУ-85, наблюдался повышенный износ первой пары опорных катков. Разрушались не только бандажи, но и обнаруживались трещины в дисках. В результате пришлось одновременно поставлять в войска новые опорные катки и разрабатывать усиленный передний опорный каток с соответствующим балансиром (25488).</w:t>
      </w:r>
    </w:p>
    <w:p w14:paraId="04351B8D" w14:textId="77777777" w:rsidR="00155D62" w:rsidRPr="001A0BAA" w:rsidRDefault="00155D62" w:rsidP="00155D62">
      <w:pPr>
        <w:jc w:val="both"/>
        <w:rPr>
          <w:rStyle w:val="aff0"/>
          <w:rFonts w:ascii="Times New Roman" w:hAnsi="Times New Roman" w:cs="Times New Roman"/>
          <w:color w:val="0070C0"/>
          <w:spacing w:val="0"/>
          <w:sz w:val="16"/>
          <w:szCs w:val="16"/>
        </w:rPr>
      </w:pPr>
    </w:p>
    <w:p w14:paraId="7E5437DC"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В январе 1945 г. Гитлер отдал приказ о подготовке к операции, получившей кодовое наименование «Железный молот». 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 В течение 1944 г. Шпеер трижды – 4 февраля, 23 мая и 28 июля –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Германская авиация не имела стратегических бомбардировщиков, способных преодолевать расстояние в несколько тысяч километров и при этом нести достаточную бомбовую нагрузку. Поэтому для атаки советских электростанций Шпеер и Баумбах предложили использовать новое «чудо-оружие» – авиационный ударный комплекс «Мистел-2». Это был необычный летательный аппарат, представлявший собой связку двух самолетов. На фюзеляже беспилотного бомбардировщика Ju-88 на специальных стойках был закреплен истребитель FW-190, пилот которого при помощи электродистанционной системы управлял всем комплексом. «Мистел» имел ряд преимуществ по сравнению с обычным бомбардировщиком. Его пилоту не нужно было пролетать непосредственно над целью. Подойдя на дистанцию три-четыре километра, он на высоте 3000 м переводил комплекс в пологое пикирование. Поймав цель в прицел, летчик включал автопилот, удерживавший самолет-снаряд на выбранном курсе, а затем при помощи пиропатронов производил расцепку и уходил из зоны зенитного огня. В носовой части Ju-88 вместо кабины экипажа была установлена кумулятивная боеголовка с 1700 кг взрывчатки, пробивавшая броню толщиной 50 см или слой железобетона толщиной до 18 м и тем самым гарантировавшая уничтожение любых целей. В завершение пилот выполнял обратный полет на FW-190 и имел хорошие шансы уйти от вражеских истребителей. Каждую электростанцию должны были атаковать от трех до шести «Мистелов», главной целью которых были здания турбинных залов. В распоряжении летчиков были аэрофотоснимки и детальные трехмерные модели электростанций и окружающей местности. Кроме того, Штайнманн имел множество фотографий зданий турбинных залов, которые были сделаны с земли в различных погодных условиях и при различной освещенности. Их предоставила фирма «Сименс», которая в свое время изготавливала турбины </w:t>
      </w:r>
      <w:proofErr w:type="gramStart"/>
      <w:r w:rsidRPr="00925F26">
        <w:rPr>
          <w:color w:val="000000" w:themeColor="text1"/>
          <w:sz w:val="16"/>
          <w:szCs w:val="16"/>
        </w:rPr>
        <w:t>для советских электростанций</w:t>
      </w:r>
      <w:proofErr w:type="gramEnd"/>
      <w:r w:rsidRPr="00925F26">
        <w:rPr>
          <w:color w:val="000000" w:themeColor="text1"/>
          <w:sz w:val="16"/>
          <w:szCs w:val="16"/>
        </w:rPr>
        <w:t xml:space="preserve"> и чьи специалисты затем монтировали их, попутно снимая «на память» результаты своей работы.  Не менее тщательно был разработан и маршрут полета к целям. В операции планировалось использовать 80 «Мистелов-2» и 150 цельфиндеров и разведчиков Ju-88, Ju-188, а также четырехмоторных Ju-290. Вся эта армада должна была взлететь с шести аэродромов в Северо-Восточной Германии в интервале между 16.00 и 19.00 в один из трех дней в конце марта, приходившихся на период полнолуния. Последнее обстоятельство было крайне важным, поскольку большая часть полета проходила в ночное время и яркая луна значительно облегчала ориентировку пилотов.  Пройдя над Балтийским морем, Прибалтикой и Белоруссией, самолеты должны были достичь Смоленска. Дальше одна группа отворачивала на восток, чтобы атаковать электростанции в Алексине, Туле, Кашире и Сталиногорске, а оставшаяся и большая часть продолжала полет прежним курсом. Северо-западнее Москвы она разделялась еще на три группы: одна шла к Рыбинску, Ярославлю и Угличу, вторая – к Шатуре, а третья – к Горькому, Балахне и Дзержинску. По всей трассе самолеты-цельфиндеры в специальных контрольных точках должны были выстреливать сигнальные ракеты, облегчавшие пилотам «Мистелов» ориентировку. Общая протяженность перелета от аэродромов в районе Берлина до Горького составляла около 2250 км, и летчикам предстояло потратить восемь часов, чтобы преодолеть их. Самолеты должны были выйти к целям на рассвете. Предполагалось, что будут разрушены восемь из тринадцати электростанций. Это вызвало бы снижение объемов производства промышленности Центрально-промышленного района СССР на 40%.  После атаки пилотам «Мистелов» теперь уже только на одних FW-190, а также экипажам цельфиндеров предстояло пролететь еще 1200 км до аэродромов в Латвии, где узкая 150-км полоса берега удерживалась группой армий «Курляндия». Запаса топлива едва хватало, и была высокая вероятность, что кому-то придется возвращаться пешком (11742).</w:t>
      </w:r>
    </w:p>
    <w:p w14:paraId="7FF001CE" w14:textId="77777777" w:rsidR="00C2313B" w:rsidRPr="00925F26" w:rsidRDefault="00C2313B" w:rsidP="00925F26">
      <w:pPr>
        <w:widowControl w:val="0"/>
        <w:autoSpaceDE w:val="0"/>
        <w:autoSpaceDN w:val="0"/>
        <w:adjustRightInd w:val="0"/>
        <w:jc w:val="both"/>
        <w:rPr>
          <w:color w:val="000000" w:themeColor="text1"/>
          <w:sz w:val="16"/>
          <w:szCs w:val="16"/>
        </w:rPr>
      </w:pPr>
    </w:p>
    <w:p w14:paraId="35824B06" w14:textId="77777777" w:rsidR="00BC1830" w:rsidRPr="00925F26" w:rsidRDefault="00BC1830" w:rsidP="00925F26">
      <w:pPr>
        <w:jc w:val="both"/>
        <w:rPr>
          <w:color w:val="000000" w:themeColor="text1"/>
          <w:sz w:val="16"/>
          <w:szCs w:val="16"/>
        </w:rPr>
      </w:pPr>
      <w:r w:rsidRPr="00925F26">
        <w:rPr>
          <w:color w:val="000000" w:themeColor="text1"/>
          <w:sz w:val="16"/>
          <w:szCs w:val="16"/>
        </w:rPr>
        <w:t>В январе 1945 года на Артиллерийском полигоне Артиллерийской Академии (ст. Алабино) было проведено учение по разведке реактивных минометов противника. Задача учений – “</w:t>
      </w:r>
      <w:r w:rsidRPr="00925F26">
        <w:rPr>
          <w:iCs/>
          <w:color w:val="000000" w:themeColor="text1"/>
          <w:sz w:val="16"/>
          <w:szCs w:val="16"/>
        </w:rPr>
        <w:t>сбор опытного материала по оптической и звуковой разведке реактивных минометов с последующей обработкой его и составление войсковой инструкции для засечки реактивных минометов средствами АИР</w:t>
      </w:r>
      <w:r w:rsidRPr="00925F26">
        <w:rPr>
          <w:color w:val="000000" w:themeColor="text1"/>
          <w:sz w:val="16"/>
          <w:szCs w:val="16"/>
        </w:rPr>
        <w:t>” (артиллерийской инструментальной разведки).</w:t>
      </w:r>
    </w:p>
    <w:p w14:paraId="62850383" w14:textId="13EBD8E7" w:rsidR="00BC1830" w:rsidRPr="00925F26" w:rsidRDefault="00BC1830" w:rsidP="00925F26">
      <w:pPr>
        <w:jc w:val="both"/>
        <w:rPr>
          <w:color w:val="000000" w:themeColor="text1"/>
          <w:sz w:val="16"/>
          <w:szCs w:val="16"/>
        </w:rPr>
      </w:pPr>
      <w:r w:rsidRPr="00925F26">
        <w:rPr>
          <w:color w:val="000000" w:themeColor="text1"/>
          <w:sz w:val="16"/>
          <w:szCs w:val="16"/>
        </w:rPr>
        <w:t>“В выводах по алабинскому учению, на основании полученного богатого опытного материала, утверждается полная возможность не только оптической, но и звуковой разведки реактивных минометов, причем, даже при наличии записей с плохими или отсутствующими началами. Точность звуковой</w:t>
      </w:r>
      <w:r w:rsidR="00997EDF" w:rsidRPr="00925F26">
        <w:rPr>
          <w:color w:val="000000" w:themeColor="text1"/>
          <w:sz w:val="16"/>
          <w:szCs w:val="16"/>
        </w:rPr>
        <w:t xml:space="preserve">  </w:t>
      </w:r>
      <w:r w:rsidRPr="00925F26">
        <w:rPr>
          <w:color w:val="000000" w:themeColor="text1"/>
          <w:sz w:val="16"/>
          <w:szCs w:val="16"/>
        </w:rPr>
        <w:t xml:space="preserve"> засечки цели получена в пределах 14-30 малых делений угломера”.</w:t>
      </w:r>
    </w:p>
    <w:p w14:paraId="23E4ACBB" w14:textId="77777777" w:rsidR="00BC1830" w:rsidRPr="00925F26" w:rsidRDefault="00BC1830" w:rsidP="00925F26">
      <w:pPr>
        <w:jc w:val="both"/>
        <w:rPr>
          <w:color w:val="000000" w:themeColor="text1"/>
          <w:sz w:val="16"/>
          <w:szCs w:val="16"/>
        </w:rPr>
      </w:pPr>
      <w:r w:rsidRPr="00925F26">
        <w:rPr>
          <w:color w:val="000000" w:themeColor="text1"/>
          <w:sz w:val="16"/>
          <w:szCs w:val="16"/>
        </w:rPr>
        <w:t>В одном из документов ЦАМО имеется следующая информация по упомянутому вопросу.</w:t>
      </w:r>
    </w:p>
    <w:p w14:paraId="16C34A3E" w14:textId="77777777" w:rsidR="00BC1830" w:rsidRPr="00925F26" w:rsidRDefault="00BC1830" w:rsidP="00925F26">
      <w:pPr>
        <w:jc w:val="both"/>
        <w:rPr>
          <w:color w:val="000000" w:themeColor="text1"/>
          <w:sz w:val="16"/>
          <w:szCs w:val="16"/>
        </w:rPr>
      </w:pPr>
      <w:r w:rsidRPr="00925F26">
        <w:rPr>
          <w:color w:val="000000" w:themeColor="text1"/>
          <w:sz w:val="16"/>
          <w:szCs w:val="16"/>
        </w:rPr>
        <w:lastRenderedPageBreak/>
        <w:t xml:space="preserve">“В ходе Великой Отечественной войны, и главным образом, сразу же после её окончания у нас в СССР начались работы по отысканию средств разведывания реактивных установок. С этой целью, по заданию Командующего Артиллерией Советской Армии, Артиллерийский Стрелково-Тактический Комитет /ныне НИИ-1 А.А.Н, МВС/ провел два больших учения: первое – на Алабинском Полигоне под Москвой в 1945 году и второе на Лужском Полигоне в 1946 году с привлечением всех средств артиллерийского инструментального разведывания. </w:t>
      </w:r>
      <w:proofErr w:type="gramStart"/>
      <w:r w:rsidRPr="00925F26">
        <w:rPr>
          <w:color w:val="000000" w:themeColor="text1"/>
          <w:sz w:val="16"/>
          <w:szCs w:val="16"/>
        </w:rPr>
        <w:t>Кроме того</w:t>
      </w:r>
      <w:proofErr w:type="gramEnd"/>
      <w:r w:rsidRPr="00925F26">
        <w:rPr>
          <w:color w:val="000000" w:themeColor="text1"/>
          <w:sz w:val="16"/>
          <w:szCs w:val="16"/>
        </w:rPr>
        <w:t xml:space="preserve"> в 1947 году в несколько меньшем </w:t>
      </w:r>
      <w:proofErr w:type="gramStart"/>
      <w:r w:rsidRPr="00925F26">
        <w:rPr>
          <w:color w:val="000000" w:themeColor="text1"/>
          <w:sz w:val="16"/>
          <w:szCs w:val="16"/>
        </w:rPr>
        <w:t>об”еме</w:t>
      </w:r>
      <w:proofErr w:type="gramEnd"/>
      <w:r w:rsidRPr="00925F26">
        <w:rPr>
          <w:color w:val="000000" w:themeColor="text1"/>
          <w:sz w:val="16"/>
          <w:szCs w:val="16"/>
        </w:rPr>
        <w:t>, подобные учения провела Высшая Офицерская Артиллерийская Школа /ВОАШ/.</w:t>
      </w:r>
    </w:p>
    <w:p w14:paraId="5D03EADD" w14:textId="77777777" w:rsidR="00BC1830" w:rsidRPr="00925F26" w:rsidRDefault="00BC1830" w:rsidP="00925F26">
      <w:pPr>
        <w:jc w:val="both"/>
        <w:rPr>
          <w:color w:val="000000" w:themeColor="text1"/>
          <w:sz w:val="16"/>
          <w:szCs w:val="16"/>
        </w:rPr>
      </w:pPr>
      <w:r w:rsidRPr="00925F26">
        <w:rPr>
          <w:color w:val="000000" w:themeColor="text1"/>
          <w:sz w:val="16"/>
          <w:szCs w:val="16"/>
        </w:rPr>
        <w:t>Выводы этих учений еще раз подтвердили то положение, что существующие методы и приборы АИР не пригодны для разведки реактивных установок. Для этого необходимы новые методы и приборы (15981).</w:t>
      </w:r>
    </w:p>
    <w:p w14:paraId="7A55FEEB" w14:textId="77777777" w:rsidR="00BC1830" w:rsidRPr="00925F26" w:rsidRDefault="00BC1830" w:rsidP="00925F26">
      <w:pPr>
        <w:jc w:val="both"/>
        <w:rPr>
          <w:color w:val="000000" w:themeColor="text1"/>
          <w:sz w:val="16"/>
          <w:szCs w:val="16"/>
        </w:rPr>
      </w:pPr>
    </w:p>
    <w:p w14:paraId="50216705" w14:textId="77777777" w:rsidR="006C4B00" w:rsidRPr="00925F26" w:rsidRDefault="006C4B00"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C7A0927" w14:textId="77777777" w:rsidR="006C4B00" w:rsidRPr="00925F26" w:rsidRDefault="006C4B00" w:rsidP="00925F26">
      <w:pPr>
        <w:autoSpaceDE w:val="0"/>
        <w:autoSpaceDN w:val="0"/>
        <w:adjustRightInd w:val="0"/>
        <w:jc w:val="both"/>
        <w:rPr>
          <w:iCs/>
          <w:color w:val="000000" w:themeColor="text1"/>
          <w:sz w:val="16"/>
          <w:szCs w:val="16"/>
        </w:rPr>
      </w:pPr>
    </w:p>
    <w:p w14:paraId="60BDEAF1" w14:textId="77777777" w:rsidR="006C4B00" w:rsidRPr="00925F26" w:rsidRDefault="006C4B00" w:rsidP="00925F26">
      <w:pPr>
        <w:jc w:val="both"/>
        <w:rPr>
          <w:color w:val="000000" w:themeColor="text1"/>
          <w:sz w:val="16"/>
          <w:szCs w:val="16"/>
        </w:rPr>
      </w:pPr>
      <w:r w:rsidRPr="00925F26">
        <w:rPr>
          <w:color w:val="000000" w:themeColor="text1"/>
          <w:sz w:val="16"/>
          <w:szCs w:val="16"/>
        </w:rPr>
        <w:t xml:space="preserve">В январе 1945 г. был выработан окончательный вариант позиции СССР к предстоявшим переговорам по репарациям с союзниками в Ялте. Он включал в себя следующие пункты: 1) единовременные изъятия промышленного оборудования и транспорта (до 75% в тяжелой индустрии) в течение двух лет после капитуляции Германии; 2) поставки готовой продукции в течение 10 лет; 3) использование германского труда в пострадавших от войны странах на протяжении 10 лет «в таком количестве, какое они сочтут желательным получить». Советский Союз претендовал на получение 75—80 % всего оборудования, 75 % ежегодных поставок и 5 млн немецких рабочих </w:t>
      </w:r>
      <w:proofErr w:type="gramStart"/>
      <w:r w:rsidRPr="00925F26">
        <w:rPr>
          <w:color w:val="000000" w:themeColor="text1"/>
          <w:sz w:val="16"/>
          <w:szCs w:val="16"/>
        </w:rPr>
        <w:t>14 .</w:t>
      </w:r>
      <w:proofErr w:type="gramEnd"/>
      <w:r w:rsidRPr="00925F26">
        <w:rPr>
          <w:color w:val="000000" w:themeColor="text1"/>
          <w:sz w:val="16"/>
          <w:szCs w:val="16"/>
        </w:rPr>
        <w:t xml:space="preserve"> На Ялтинской конференции (4—11 февраля 1945 г.) Советский Союз впервые представил план, в соответствии с которым Германия должна была выплатить 20 млрд долларов (в ценах 1938 г.), из которых 10 млрд имел бы право получить СССР, 8 млрд — США и Великобритания и 2 млрд — остальные союзники стран «большой тройки» </w:t>
      </w:r>
      <w:proofErr w:type="gramStart"/>
      <w:r w:rsidRPr="00925F26">
        <w:rPr>
          <w:color w:val="000000" w:themeColor="text1"/>
          <w:sz w:val="16"/>
          <w:szCs w:val="16"/>
        </w:rPr>
        <w:t>15 .</w:t>
      </w:r>
      <w:proofErr w:type="gramEnd"/>
      <w:r w:rsidRPr="00925F26">
        <w:rPr>
          <w:color w:val="000000" w:themeColor="text1"/>
          <w:sz w:val="16"/>
          <w:szCs w:val="16"/>
        </w:rPr>
        <w:t xml:space="preserve"> Американская делегация отреагировала на предложения советской стороны сдержанно, но не категорически отрицательно, тогда как британцы сочли советские требования слишком высокими. Для Лондона первостепенную важность представляли не репарации, а вопросы, связанные с покрытием немецкого довоенного долга, возвращением британского имущества и бесперебойным финансированием импорта </w:t>
      </w:r>
      <w:proofErr w:type="gramStart"/>
      <w:r w:rsidRPr="00925F26">
        <w:rPr>
          <w:color w:val="000000" w:themeColor="text1"/>
          <w:sz w:val="16"/>
          <w:szCs w:val="16"/>
        </w:rPr>
        <w:t>16 .</w:t>
      </w:r>
      <w:proofErr w:type="gramEnd"/>
      <w:r w:rsidRPr="00925F26">
        <w:rPr>
          <w:color w:val="000000" w:themeColor="text1"/>
          <w:sz w:val="16"/>
          <w:szCs w:val="16"/>
        </w:rPr>
        <w:t xml:space="preserve"> Найденное компромиссное решение по результатам Крымской конференции заключалось в том, что, как было заявлено лидерами «большой тройки», немцы должны компенсировать причиненный ими материальный ущерб «в максимально возможной мере». В итоге, решено было взимать репарации в трех формах: 1) единовременное изъятие из национальной собственности Германии, как на ее территории, так и за ее пределами (демонтаж промышленных предприятий и оборудования, конфискация транспортных средств, зарубежных активов и прочее) в течение двух лет после капитуляции; 2) ежегодные поставки товаров и сырья; 3) использование труда немецких рабочих. Сроки действия по второму и третьему пунктам установлены не были [Советский Союз, 1979. С. 278—279] (19850).</w:t>
      </w:r>
    </w:p>
    <w:p w14:paraId="70EB0E38" w14:textId="77777777" w:rsidR="006C4B00" w:rsidRPr="00925F26" w:rsidRDefault="006C4B00" w:rsidP="00925F26">
      <w:pPr>
        <w:jc w:val="both"/>
        <w:rPr>
          <w:color w:val="000000" w:themeColor="text1"/>
          <w:sz w:val="16"/>
          <w:szCs w:val="16"/>
        </w:rPr>
      </w:pPr>
    </w:p>
    <w:p w14:paraId="048D5F0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E842DFF" w14:textId="77777777" w:rsidR="00C2313B" w:rsidRPr="00925F26" w:rsidRDefault="00C2313B" w:rsidP="00925F26">
      <w:pPr>
        <w:autoSpaceDE w:val="0"/>
        <w:autoSpaceDN w:val="0"/>
        <w:adjustRightInd w:val="0"/>
        <w:jc w:val="both"/>
        <w:rPr>
          <w:iCs/>
          <w:color w:val="000000" w:themeColor="text1"/>
          <w:sz w:val="16"/>
          <w:szCs w:val="16"/>
        </w:rPr>
      </w:pPr>
    </w:p>
    <w:p w14:paraId="6FE552EB" w14:textId="77777777" w:rsidR="00BC1830" w:rsidRPr="00925F26" w:rsidRDefault="00BC1830" w:rsidP="00925F26">
      <w:pPr>
        <w:jc w:val="both"/>
        <w:rPr>
          <w:color w:val="000000" w:themeColor="text1"/>
          <w:sz w:val="16"/>
          <w:szCs w:val="16"/>
        </w:rPr>
      </w:pPr>
      <w:r w:rsidRPr="00925F26">
        <w:rPr>
          <w:color w:val="000000" w:themeColor="text1"/>
          <w:sz w:val="16"/>
          <w:szCs w:val="16"/>
        </w:rPr>
        <w:t>В январе 1945г., пока на ГВФ разворачивалось серийное производство Go.229, в Геттингене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4BAB05EB" w14:textId="77777777" w:rsidR="00BC1830" w:rsidRPr="00925F26" w:rsidRDefault="00BC1830" w:rsidP="00925F26">
      <w:pPr>
        <w:jc w:val="both"/>
        <w:rPr>
          <w:color w:val="000000" w:themeColor="text1"/>
          <w:sz w:val="16"/>
          <w:szCs w:val="16"/>
        </w:rPr>
      </w:pPr>
    </w:p>
    <w:p w14:paraId="7B0EEEA5" w14:textId="77777777" w:rsidR="00BC1830" w:rsidRPr="00925F26" w:rsidRDefault="00BC1830" w:rsidP="00925F26">
      <w:pPr>
        <w:jc w:val="both"/>
        <w:rPr>
          <w:color w:val="000000" w:themeColor="text1"/>
          <w:sz w:val="16"/>
          <w:szCs w:val="16"/>
        </w:rPr>
      </w:pPr>
      <w:r w:rsidRPr="00925F26">
        <w:rPr>
          <w:color w:val="000000" w:themeColor="text1"/>
          <w:sz w:val="16"/>
          <w:szCs w:val="16"/>
        </w:rPr>
        <w:t xml:space="preserve">В январе 1945 г. началось серийное производство </w:t>
      </w:r>
      <w:proofErr w:type="gramStart"/>
      <w:r w:rsidRPr="00925F26">
        <w:rPr>
          <w:color w:val="000000" w:themeColor="text1"/>
          <w:sz w:val="16"/>
          <w:szCs w:val="16"/>
        </w:rPr>
        <w:t>истребителей</w:t>
      </w:r>
      <w:proofErr w:type="gramEnd"/>
      <w:r w:rsidRPr="00925F26">
        <w:rPr>
          <w:color w:val="000000" w:themeColor="text1"/>
          <w:sz w:val="16"/>
          <w:szCs w:val="16"/>
        </w:rPr>
        <w:t xml:space="preserve"> Не 162 и были изготовлены первые 6 самолетов. Всего до конца войны частям Люфтваффе было передано примерно 120 машин, и еще более 200 изтовленных самолетов проходили заводские летные испытания. Более или менее достоверные данные о боевом использовании "народных истребителей" отсутствуют, однако имеются отчеты, свидетельствующие о многочисленных авариях и катастрофах этих самолетов, обусловленных конструкторскими ошибками и производственными дефектами. Например, только в течении трех недель с 13 апреля до конца войны 1-я эскадрилья 1-й эскадры, вооруженной </w:t>
      </w:r>
      <w:proofErr w:type="gramStart"/>
      <w:r w:rsidRPr="00925F26">
        <w:rPr>
          <w:color w:val="000000" w:themeColor="text1"/>
          <w:sz w:val="16"/>
          <w:szCs w:val="16"/>
        </w:rPr>
        <w:t>самолетами</w:t>
      </w:r>
      <w:proofErr w:type="gramEnd"/>
      <w:r w:rsidRPr="00925F26">
        <w:rPr>
          <w:color w:val="000000" w:themeColor="text1"/>
          <w:sz w:val="16"/>
          <w:szCs w:val="16"/>
        </w:rPr>
        <w:t xml:space="preserve"> Не 162, потеряла 13 самолета и 10 пилотов, из них только 3 самолета были уничтожены противником, а остальные потери являлись результатом аварий и катастроф. Таким образом, в этой эскадрилье на каждые два дня в среднем приходилось одна авария. Однако эти данные следует рассматривать в контексте тотального развала промышленности и вооруженных сил Германии в результате фактически уже свершившегося военного поражения Германии. Если бы этот скоростной истребитель появился хотя бы на год раньше (такая возможность имелась, так как двигатель BMW 003 был готов уже в 1941 г., а первая промышленная серия двигателей BMW 003A1 была заказана в октябре 1943 г.), то авиации СССР и союзников пришлось бы пережить немало трудных дней (15139).</w:t>
      </w:r>
    </w:p>
    <w:p w14:paraId="06E62DD3" w14:textId="77777777" w:rsidR="00BC1830" w:rsidRPr="00925F26" w:rsidRDefault="00BC1830" w:rsidP="00925F26">
      <w:pPr>
        <w:jc w:val="both"/>
        <w:rPr>
          <w:color w:val="000000" w:themeColor="text1"/>
          <w:sz w:val="16"/>
          <w:szCs w:val="16"/>
        </w:rPr>
      </w:pPr>
    </w:p>
    <w:p w14:paraId="0B96D122"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В январе 1945 г. </w:t>
      </w:r>
      <w:proofErr w:type="gramStart"/>
      <w:r w:rsidRPr="00925F26">
        <w:rPr>
          <w:color w:val="000000" w:themeColor="text1"/>
          <w:sz w:val="16"/>
          <w:szCs w:val="16"/>
        </w:rPr>
        <w:t>истребитель</w:t>
      </w:r>
      <w:proofErr w:type="gramEnd"/>
      <w:r w:rsidRPr="00925F26">
        <w:rPr>
          <w:color w:val="000000" w:themeColor="text1"/>
          <w:sz w:val="16"/>
          <w:szCs w:val="16"/>
        </w:rPr>
        <w:t xml:space="preserve"> Не 162 - последний серийный реактивный самолет фашистской Германии - запустили в серийное производство, так как он удовлетворял почти всем требованиям задания - был технологичен и предельно прост при изготовлении, в конструкции широко применялось дерево. При этом с двигателем BMW 003E максимальная скорость достигала 840 км/ч, В принципе, в 1945 г. такие самолеты, вооружение которых состояло из двух пушек МС151/20 или Мк 108, могли достойно противостоять поршневым самолетам союзников. Вот только продолжалось бы это не долго - на вооружение сил антигитлеровской коалиции уже начинали поступать реактивные боевые машины. Да и количеством "задавить" союзников было бы непросто - даже при условии налаживания массового </w:t>
      </w:r>
      <w:proofErr w:type="gramStart"/>
      <w:r w:rsidRPr="00925F26">
        <w:rPr>
          <w:color w:val="000000" w:themeColor="text1"/>
          <w:sz w:val="16"/>
          <w:szCs w:val="16"/>
        </w:rPr>
        <w:t>производства</w:t>
      </w:r>
      <w:proofErr w:type="gramEnd"/>
      <w:r w:rsidRPr="00925F26">
        <w:rPr>
          <w:color w:val="000000" w:themeColor="text1"/>
          <w:sz w:val="16"/>
          <w:szCs w:val="16"/>
        </w:rPr>
        <w:t xml:space="preserve"> Не 162 летчиков для них катастрофически не хватало бы. Причина проста - самолет оказался достаточно строгим в пилотировании и требовал от летчика хорошей выучки, а ее просто не могло быть у выпускников планерных школ и ускоренных курсов</w:t>
      </w:r>
      <w:proofErr w:type="gramStart"/>
      <w:r w:rsidRPr="00925F26">
        <w:rPr>
          <w:color w:val="000000" w:themeColor="text1"/>
          <w:sz w:val="16"/>
          <w:szCs w:val="16"/>
        </w:rPr>
        <w:t>...(</w:t>
      </w:r>
      <w:proofErr w:type="gramEnd"/>
      <w:r w:rsidRPr="00925F26">
        <w:rPr>
          <w:color w:val="000000" w:themeColor="text1"/>
          <w:sz w:val="16"/>
          <w:szCs w:val="16"/>
        </w:rPr>
        <w:t>23463).</w:t>
      </w:r>
    </w:p>
    <w:p w14:paraId="33E1C27E" w14:textId="77777777" w:rsidR="0058703C" w:rsidRPr="00925F26" w:rsidRDefault="0058703C" w:rsidP="00925F26">
      <w:pPr>
        <w:jc w:val="both"/>
        <w:rPr>
          <w:color w:val="000000" w:themeColor="text1"/>
          <w:sz w:val="16"/>
          <w:szCs w:val="16"/>
        </w:rPr>
      </w:pPr>
    </w:p>
    <w:p w14:paraId="76EF3E00" w14:textId="77777777" w:rsidR="0058703C" w:rsidRPr="00925F26" w:rsidRDefault="0058703C" w:rsidP="00925F26">
      <w:pPr>
        <w:jc w:val="both"/>
        <w:rPr>
          <w:color w:val="000000" w:themeColor="text1"/>
          <w:sz w:val="16"/>
          <w:szCs w:val="16"/>
        </w:rPr>
      </w:pPr>
      <w:proofErr w:type="gramStart"/>
      <w:r w:rsidRPr="00925F26">
        <w:rPr>
          <w:color w:val="000000" w:themeColor="text1"/>
          <w:sz w:val="16"/>
          <w:szCs w:val="16"/>
        </w:rPr>
        <w:t>В  январе</w:t>
      </w:r>
      <w:proofErr w:type="gramEnd"/>
      <w:r w:rsidRPr="00925F26">
        <w:rPr>
          <w:color w:val="000000" w:themeColor="text1"/>
          <w:sz w:val="16"/>
          <w:szCs w:val="16"/>
        </w:rPr>
        <w:t xml:space="preserve"> </w:t>
      </w:r>
      <w:proofErr w:type="gramStart"/>
      <w:r w:rsidRPr="00925F26">
        <w:rPr>
          <w:color w:val="000000" w:themeColor="text1"/>
          <w:sz w:val="16"/>
          <w:szCs w:val="16"/>
        </w:rPr>
        <w:t>1945  г.</w:t>
      </w:r>
      <w:proofErr w:type="gramEnd"/>
      <w:r w:rsidRPr="00925F26">
        <w:rPr>
          <w:color w:val="000000" w:themeColor="text1"/>
          <w:sz w:val="16"/>
          <w:szCs w:val="16"/>
        </w:rPr>
        <w:t xml:space="preserve"> союзники захватили большинство стартовых позиций, </w:t>
      </w:r>
      <w:proofErr w:type="gramStart"/>
      <w:r w:rsidRPr="00925F26">
        <w:rPr>
          <w:color w:val="000000" w:themeColor="text1"/>
          <w:sz w:val="16"/>
          <w:szCs w:val="16"/>
        </w:rPr>
        <w:t>с  которых</w:t>
      </w:r>
      <w:proofErr w:type="gramEnd"/>
      <w:r w:rsidRPr="00925F26">
        <w:rPr>
          <w:color w:val="000000" w:themeColor="text1"/>
          <w:sz w:val="16"/>
          <w:szCs w:val="16"/>
        </w:rPr>
        <w:t xml:space="preserve"> немцы обстреливали Англию, </w:t>
      </w:r>
      <w:proofErr w:type="gramStart"/>
      <w:r w:rsidRPr="00925F26">
        <w:rPr>
          <w:color w:val="000000" w:themeColor="text1"/>
          <w:sz w:val="16"/>
          <w:szCs w:val="16"/>
        </w:rPr>
        <w:t>и  атаки</w:t>
      </w:r>
      <w:proofErr w:type="gramEnd"/>
      <w:r w:rsidRPr="00925F26">
        <w:rPr>
          <w:color w:val="000000" w:themeColor="text1"/>
          <w:sz w:val="16"/>
          <w:szCs w:val="16"/>
        </w:rPr>
        <w:t xml:space="preserve"> V-1 сильно сократились. Тогда германское командование перенацелило большинство ракетных батарей на бельгийские города Антверпен (7687 ракет), Льеж (2775 ракет) и Брюссель (151 ракета), а также Париж (цифра не сообщается). Всего — 10.613 ракет, без учета выпущенных по Парижу (23372).</w:t>
      </w:r>
    </w:p>
    <w:p w14:paraId="532A8B39" w14:textId="77777777" w:rsidR="0058703C" w:rsidRPr="00925F26" w:rsidRDefault="0058703C" w:rsidP="00925F26">
      <w:pPr>
        <w:jc w:val="both"/>
        <w:rPr>
          <w:color w:val="000000" w:themeColor="text1"/>
          <w:sz w:val="16"/>
          <w:szCs w:val="16"/>
        </w:rPr>
      </w:pPr>
    </w:p>
    <w:p w14:paraId="222BE20D" w14:textId="77777777" w:rsidR="0058703C" w:rsidRPr="00925F26" w:rsidRDefault="0058703C" w:rsidP="00925F26">
      <w:pPr>
        <w:jc w:val="both"/>
        <w:rPr>
          <w:color w:val="000000" w:themeColor="text1"/>
          <w:sz w:val="16"/>
          <w:szCs w:val="16"/>
        </w:rPr>
      </w:pPr>
      <w:r w:rsidRPr="00925F26">
        <w:rPr>
          <w:color w:val="000000" w:themeColor="text1"/>
          <w:sz w:val="16"/>
          <w:szCs w:val="16"/>
        </w:rPr>
        <w:t>В январе 1945 г. все аэродромы в За</w:t>
      </w:r>
      <w:r w:rsidRPr="00925F26">
        <w:rPr>
          <w:color w:val="000000" w:themeColor="text1"/>
          <w:sz w:val="16"/>
          <w:szCs w:val="16"/>
        </w:rPr>
        <w:softHyphen/>
        <w:t>падной Европе, откуда можно было бы стартовать для нанесения удара по анг</w:t>
      </w:r>
      <w:r w:rsidRPr="00925F26">
        <w:rPr>
          <w:color w:val="000000" w:themeColor="text1"/>
          <w:sz w:val="16"/>
          <w:szCs w:val="16"/>
        </w:rPr>
        <w:softHyphen/>
        <w:t>лийскому флоту в Скапа-Флоу, были ут</w:t>
      </w:r>
      <w:r w:rsidRPr="00925F26">
        <w:rPr>
          <w:color w:val="000000" w:themeColor="text1"/>
          <w:sz w:val="16"/>
          <w:szCs w:val="16"/>
        </w:rPr>
        <w:softHyphen/>
        <w:t>рачены. Тогда были высказаны еще нес</w:t>
      </w:r>
      <w:r w:rsidRPr="00925F26">
        <w:rPr>
          <w:color w:val="000000" w:themeColor="text1"/>
          <w:sz w:val="16"/>
          <w:szCs w:val="16"/>
        </w:rPr>
        <w:softHyphen/>
        <w:t>колько предложений по использованию "Мистелей", например, против наиболее важных предприятий в глубине СССР. Операцию планировали провести не ра</w:t>
      </w:r>
      <w:r w:rsidRPr="00925F26">
        <w:rPr>
          <w:color w:val="000000" w:themeColor="text1"/>
          <w:sz w:val="16"/>
          <w:szCs w:val="16"/>
        </w:rPr>
        <w:softHyphen/>
        <w:t>нее марта 1945 г, что диктовалось нех</w:t>
      </w:r>
      <w:r w:rsidRPr="00925F26">
        <w:rPr>
          <w:color w:val="000000" w:themeColor="text1"/>
          <w:sz w:val="16"/>
          <w:szCs w:val="16"/>
        </w:rPr>
        <w:softHyphen/>
        <w:t>ваткой "Мистелей" и подготовленных пилотов. Всего в операции "Железный молот" планировали применить не ме</w:t>
      </w:r>
      <w:r w:rsidRPr="00925F26">
        <w:rPr>
          <w:color w:val="000000" w:themeColor="text1"/>
          <w:sz w:val="16"/>
          <w:szCs w:val="16"/>
        </w:rPr>
        <w:softHyphen/>
        <w:t>нее 100 "Мистелей". Однако к началу марту Красная Армия продвинулась на запад так далеко, что у немцев не оста</w:t>
      </w:r>
      <w:r w:rsidRPr="00925F26">
        <w:rPr>
          <w:color w:val="000000" w:themeColor="text1"/>
          <w:sz w:val="16"/>
          <w:szCs w:val="16"/>
        </w:rPr>
        <w:softHyphen/>
        <w:t>лось аэродромов, с которых можно бы</w:t>
      </w:r>
      <w:r w:rsidRPr="00925F26">
        <w:rPr>
          <w:color w:val="000000" w:themeColor="text1"/>
          <w:sz w:val="16"/>
          <w:szCs w:val="16"/>
        </w:rPr>
        <w:softHyphen/>
        <w:t>ло бы "достать" уральский промышлен</w:t>
      </w:r>
      <w:r w:rsidRPr="00925F26">
        <w:rPr>
          <w:color w:val="000000" w:themeColor="text1"/>
          <w:sz w:val="16"/>
          <w:szCs w:val="16"/>
        </w:rPr>
        <w:softHyphen/>
        <w:t>ный район (24193).</w:t>
      </w:r>
    </w:p>
    <w:p w14:paraId="088BC61F" w14:textId="77777777" w:rsidR="0058703C" w:rsidRPr="00925F26" w:rsidRDefault="0058703C" w:rsidP="00925F26">
      <w:pPr>
        <w:jc w:val="both"/>
        <w:rPr>
          <w:color w:val="000000" w:themeColor="text1"/>
          <w:sz w:val="16"/>
          <w:szCs w:val="16"/>
        </w:rPr>
      </w:pPr>
    </w:p>
    <w:p w14:paraId="4778B11F" w14:textId="77777777" w:rsidR="00BC1830" w:rsidRPr="00925F26" w:rsidRDefault="00BC1830" w:rsidP="00925F26">
      <w:pPr>
        <w:pStyle w:val="book"/>
        <w:ind w:firstLine="0"/>
        <w:jc w:val="both"/>
        <w:rPr>
          <w:color w:val="000000" w:themeColor="text1"/>
          <w:sz w:val="16"/>
          <w:szCs w:val="16"/>
        </w:rPr>
      </w:pPr>
      <w:r w:rsidRPr="00925F26">
        <w:rPr>
          <w:color w:val="000000" w:themeColor="text1"/>
          <w:sz w:val="16"/>
          <w:szCs w:val="16"/>
        </w:rPr>
        <w:t>До января 1945 г. было произведено 6 пусков ракет «Рейнтохтер R-3F» в неуправляемом варианте. Разработка ракеты «Рейнтохтер R-3F» началась только в 1944 г. и велась очень быстрыми темпами. В ней полномасштабно использовались уже отработанные элементы ракеты «Рейнтохтер R-1P». Но до летных испытаний, которые планировалось провести весной 1945 г. на полигоне ракетного центра в Пенемюнде, ракету довести не успели, поскольку советские войска стремительно приближались, и ракетный центр пришлось эвакуировать. Ракета «Рейнтохтер R-3F» была скомпонована по аэродинамической схеме «утка». Она имела 4 воздушных руля в носовой части и 4 стреловидных крыла, расположенных под углом 90° в хвостовой части. Длина ракеты составляла 4900 мм, диаметр корпуса 530 мм, размах крыльев 2600 мм. Ракета была снабжена боевой частью, имевшей разрывной заряд ВВ с зажигательными элементами весом 150 кг. Вес ракеты составлял 1600 кг. Ракета оснащалась ЖРД «Конрад» и двумя стартовыми пороховыми реактивными двигателями, крепившимися на наружной поверхности корпуса ракеты. ЖРД развивал максимальную тягу около 2200 кгс в течение 5 с, а затем 1800 кгс в течение 38 с. В ЖРД использовались следующие компоненты топлива: горючее — визоль (88 кг) и окислитель — азотная кислота (335 кг). В двигателе использовалась вытеснительная система подачи компонентов топлива. Каждый из двух стартовых двигателей имел заряд динитро-диэтиленгликолевого пороха весом 150 кг и развивал тягу около 25 000 кгс в течение 0,9 с. ЗУР «Рейнтохтер», как и «Вассерфаль», наводилась на цель системой управления «Эльзас». Для запуска ракеты предполагалось использовать передвижную пусковую установку с направляющей, устанавливаемой в направлении цели под углом возвышения около 70° (15225).</w:t>
      </w:r>
    </w:p>
    <w:p w14:paraId="7C2FD850" w14:textId="77777777" w:rsidR="00BC1830" w:rsidRPr="00925F26" w:rsidRDefault="00BC1830" w:rsidP="00925F26">
      <w:pPr>
        <w:pStyle w:val="book"/>
        <w:ind w:firstLine="0"/>
        <w:jc w:val="both"/>
        <w:rPr>
          <w:color w:val="000000" w:themeColor="text1"/>
          <w:sz w:val="16"/>
          <w:szCs w:val="16"/>
        </w:rPr>
      </w:pPr>
    </w:p>
    <w:p w14:paraId="528A5E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 Берлине высшему командованию Рейха демонстрировали Як-3, захваченный в Восточной Пруссии. Оказался на малых высотах лучше Ме-109 и ФВ-190 (1134,28).</w:t>
      </w:r>
    </w:p>
    <w:p w14:paraId="21466B8B" w14:textId="77777777" w:rsidR="00C2313B" w:rsidRPr="00925F26" w:rsidRDefault="00C2313B" w:rsidP="00925F26">
      <w:pPr>
        <w:autoSpaceDE w:val="0"/>
        <w:autoSpaceDN w:val="0"/>
        <w:adjustRightInd w:val="0"/>
        <w:jc w:val="both"/>
        <w:rPr>
          <w:color w:val="000000" w:themeColor="text1"/>
          <w:sz w:val="16"/>
          <w:szCs w:val="16"/>
        </w:rPr>
      </w:pPr>
    </w:p>
    <w:p w14:paraId="33CCCD4D" w14:textId="77777777" w:rsidR="00A40927" w:rsidRPr="00925F26" w:rsidRDefault="00A40927" w:rsidP="00925F26">
      <w:pPr>
        <w:jc w:val="both"/>
        <w:rPr>
          <w:color w:val="000000" w:themeColor="text1"/>
          <w:sz w:val="16"/>
          <w:szCs w:val="16"/>
        </w:rPr>
      </w:pPr>
      <w:r w:rsidRPr="00925F26">
        <w:rPr>
          <w:color w:val="000000" w:themeColor="text1"/>
          <w:sz w:val="16"/>
          <w:szCs w:val="16"/>
        </w:rPr>
        <w:t>В январе 1945 года союзники захватили все пусковые установки, с которых немцы обстреливали Англию, и удары прекратились. Новой целью для крылатых ракет стал крупнейший в Европе порт Антверпен. Он являлся основным пунктом снабжения союзников после высадки в Нормандии. О начале обстрелов было известно заранее, система противоракетной обороны была организована своевременно — и эффективность действия крылатых ракет оказалась чрезвычайно низкой (22878).</w:t>
      </w:r>
    </w:p>
    <w:p w14:paraId="52ECE175" w14:textId="77777777" w:rsidR="00A40927" w:rsidRPr="00925F26" w:rsidRDefault="00A40927" w:rsidP="00925F26">
      <w:pPr>
        <w:jc w:val="both"/>
        <w:rPr>
          <w:color w:val="000000" w:themeColor="text1"/>
          <w:sz w:val="16"/>
          <w:szCs w:val="16"/>
        </w:rPr>
      </w:pPr>
    </w:p>
    <w:p w14:paraId="64922137" w14:textId="77777777" w:rsidR="00A40927" w:rsidRPr="00925F26" w:rsidRDefault="00A40927" w:rsidP="00925F26">
      <w:pPr>
        <w:pStyle w:val="ae"/>
        <w:spacing w:before="0" w:after="0"/>
        <w:jc w:val="both"/>
        <w:rPr>
          <w:color w:val="000000" w:themeColor="text1"/>
          <w:sz w:val="16"/>
          <w:szCs w:val="16"/>
        </w:rPr>
      </w:pPr>
      <w:r w:rsidRPr="00925F26">
        <w:rPr>
          <w:color w:val="000000" w:themeColor="text1"/>
          <w:sz w:val="16"/>
          <w:szCs w:val="16"/>
        </w:rPr>
        <w:t xml:space="preserve">В январе 1945 г. провели испытания самолета-снаряда MXY7 «Ока» Модель 11 на полной тяге в беспилотном режиме. На высоте 3500 м скорость планирования была </w:t>
      </w:r>
      <w:r w:rsidRPr="00925F26">
        <w:rPr>
          <w:color w:val="000000" w:themeColor="text1"/>
          <w:sz w:val="16"/>
          <w:szCs w:val="16"/>
        </w:rPr>
        <w:lastRenderedPageBreak/>
        <w:t>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55112168" w14:textId="77777777" w:rsidR="00A40927" w:rsidRPr="00925F26" w:rsidRDefault="00A40927" w:rsidP="00925F26">
      <w:pPr>
        <w:jc w:val="both"/>
        <w:rPr>
          <w:color w:val="000000" w:themeColor="text1"/>
          <w:sz w:val="16"/>
          <w:szCs w:val="16"/>
        </w:rPr>
      </w:pPr>
    </w:p>
    <w:p w14:paraId="259879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немцы предупредили Швецию, что нанесут удар V-1 по Стокгольму если Швеция вступит в войну (1227,21).</w:t>
      </w:r>
    </w:p>
    <w:p w14:paraId="6567F0F6" w14:textId="77777777" w:rsidR="00C2313B" w:rsidRPr="00925F26" w:rsidRDefault="00C2313B" w:rsidP="00925F26">
      <w:pPr>
        <w:autoSpaceDE w:val="0"/>
        <w:autoSpaceDN w:val="0"/>
        <w:adjustRightInd w:val="0"/>
        <w:jc w:val="both"/>
        <w:rPr>
          <w:color w:val="000000" w:themeColor="text1"/>
          <w:sz w:val="16"/>
          <w:szCs w:val="16"/>
        </w:rPr>
      </w:pPr>
    </w:p>
    <w:p w14:paraId="5F93EB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январе 1945 г. испытательный пуск «американской» ракеты закончился провалом. Фон Браун поспешил с новым предложением – заменить вторую ступень крылатым реактивным снарядом </w:t>
      </w:r>
      <w:proofErr w:type="gramStart"/>
      <w:r w:rsidRPr="00925F26">
        <w:rPr>
          <w:color w:val="000000" w:themeColor="text1"/>
          <w:sz w:val="16"/>
          <w:szCs w:val="16"/>
        </w:rPr>
        <w:t>с...</w:t>
      </w:r>
      <w:proofErr w:type="gramEnd"/>
      <w:r w:rsidRPr="00925F26">
        <w:rPr>
          <w:color w:val="000000" w:themeColor="text1"/>
          <w:sz w:val="16"/>
          <w:szCs w:val="16"/>
        </w:rPr>
        <w:t xml:space="preserve"> пилотом. Учитывая физические условия подъема ракеты на высоту 290 км, пилот ракеты оказался бы смертником, но он стал бы еще и первым в мире космонавтом.</w:t>
      </w:r>
    </w:p>
    <w:p w14:paraId="48AC47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Небольшой отряд смертников, как было сказано выше, уже был создан СД при участии О. Скорцени для наведения сброшенных с самолетов пилотируемых снарядов Райхенберг на промышленные объекты в глубине Советского Союза. Продвижение Красной Армии и отсутствие у Германии стратегической авиации оставили самоубийц без работы, и теперь им предлагалась новая задача – наведение баллистических ракет по городам США на Восточном побережье.</w:t>
      </w:r>
    </w:p>
    <w:p w14:paraId="14394E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января 1945 г. фон Браун заявил, что проблема создания последней ступени решена. Но от «принципиального решения» до работающего «железа» долгий путь, тем более что германская промышленность уже исчерпала свои ресурсы и потеряла большую часть мощностей. Высококвалифицированный инженер фон Браун не мог этого не понимать. Но он был еще и штурмбаннфюрером СС и обязан был поддерживать иллюзии фюрера (11686).</w:t>
      </w:r>
    </w:p>
    <w:p w14:paraId="759521F9" w14:textId="77777777" w:rsidR="00C2313B" w:rsidRPr="00925F26" w:rsidRDefault="00C2313B" w:rsidP="00925F26">
      <w:pPr>
        <w:autoSpaceDE w:val="0"/>
        <w:autoSpaceDN w:val="0"/>
        <w:adjustRightInd w:val="0"/>
        <w:jc w:val="both"/>
        <w:rPr>
          <w:color w:val="000000" w:themeColor="text1"/>
          <w:sz w:val="16"/>
          <w:szCs w:val="16"/>
        </w:rPr>
      </w:pPr>
    </w:p>
    <w:p w14:paraId="75454BC9" w14:textId="77777777" w:rsidR="00C2313B" w:rsidRPr="00925F26" w:rsidRDefault="00C2313B" w:rsidP="00925F26">
      <w:pPr>
        <w:tabs>
          <w:tab w:val="left" w:pos="5529"/>
        </w:tabs>
        <w:autoSpaceDE w:val="0"/>
        <w:autoSpaceDN w:val="0"/>
        <w:adjustRightInd w:val="0"/>
        <w:jc w:val="both"/>
        <w:rPr>
          <w:color w:val="000000" w:themeColor="text1"/>
          <w:sz w:val="16"/>
          <w:szCs w:val="16"/>
        </w:rPr>
      </w:pPr>
      <w:r w:rsidRPr="00925F26">
        <w:rPr>
          <w:color w:val="000000" w:themeColor="text1"/>
          <w:sz w:val="16"/>
          <w:szCs w:val="16"/>
        </w:rPr>
        <w:t>В январе 1945 был готов макет и началась сборка 5 ЕФ-126 (1795,71). Осенью 1945 Бааде предложил Олехновичу л одноместный штурмовик ЕФ-126 с ПВРД Аргус на основе Физелер 103 (V-1). К концу войны было сделано 175 Фи- 103 и хотели использовать для камикадзе. Идею дала Анна Райч. Нам предложили оснастить 2х20 мм пушками и лыжей для посадки, а стартовать с катапульты с помощью пороховых ракет (1795,71).</w:t>
      </w:r>
    </w:p>
    <w:p w14:paraId="7E794172" w14:textId="77777777" w:rsidR="00C2313B" w:rsidRPr="00925F26" w:rsidRDefault="00C2313B" w:rsidP="00925F26">
      <w:pPr>
        <w:autoSpaceDE w:val="0"/>
        <w:autoSpaceDN w:val="0"/>
        <w:adjustRightInd w:val="0"/>
        <w:jc w:val="both"/>
        <w:rPr>
          <w:color w:val="000000" w:themeColor="text1"/>
          <w:sz w:val="16"/>
          <w:szCs w:val="16"/>
        </w:rPr>
      </w:pPr>
    </w:p>
    <w:p w14:paraId="0CD0B41E"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During January 1945 German Luftwaffe formed special squadron of 16 Me-262 jet fighters, each armed with twenty-four 55-mm high-explosive rockets, which operated with high success against Allied bomber formations (1038).</w:t>
      </w:r>
    </w:p>
    <w:p w14:paraId="3D9AA68F" w14:textId="77777777" w:rsidR="00C2313B" w:rsidRPr="00925F26" w:rsidRDefault="00C2313B" w:rsidP="00925F26">
      <w:pPr>
        <w:autoSpaceDE w:val="0"/>
        <w:autoSpaceDN w:val="0"/>
        <w:adjustRightInd w:val="0"/>
        <w:jc w:val="both"/>
        <w:rPr>
          <w:color w:val="000000" w:themeColor="text1"/>
          <w:sz w:val="16"/>
          <w:szCs w:val="16"/>
          <w:lang w:val="en-US"/>
        </w:rPr>
      </w:pPr>
    </w:p>
    <w:p w14:paraId="70F496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 Люфтваффе был сформирован специальный эскадрон истребителей Ме-262 с 55 мм ракетами под крыльями, которые действовали против бомбардировщиков союзников (1038).</w:t>
      </w:r>
    </w:p>
    <w:p w14:paraId="7242D6A1" w14:textId="77777777" w:rsidR="00C2313B" w:rsidRPr="00925F26" w:rsidRDefault="00C2313B" w:rsidP="00925F26">
      <w:pPr>
        <w:autoSpaceDE w:val="0"/>
        <w:autoSpaceDN w:val="0"/>
        <w:adjustRightInd w:val="0"/>
        <w:jc w:val="both"/>
        <w:rPr>
          <w:color w:val="000000" w:themeColor="text1"/>
          <w:sz w:val="16"/>
          <w:szCs w:val="16"/>
        </w:rPr>
      </w:pPr>
    </w:p>
    <w:p w14:paraId="0930D7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До января 1945 года, до начала эвакуации в Германии химический завод "Аноргана Верк ГМБХ" по производству фосфорорганических ОВ (ФОВ), построенный в 1939-1942 годах в Дихернфурте-на-Одере (Силезия) и принадлежащий концерну "ИГ Фарбениндустри", вел производство табуна. Здесь была создана опытная установка по выпуску зарина (мощность - 300 т в месяц), однако монтаж основного оборудования в цехе по выпуску зарина (последняя стадия) к моменту захвата завода закончен не был. Разведчики 1-го Украинского фронта вышли к заводу в Дихернфурте-на-Одере в начале 1945 года. Они очень хорошо знали, что искать. День 9 февраля 1945 года мало чем заметен в истории, ну разве что тем, что в тот день был арестован командир артиллерийской батареи капитан А.И.Солженицын, чтоб не доверял письмам свои сомнения. И уж совсем никому не известно, что в тот день 9 февраля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1C24AB9" w14:textId="77777777" w:rsidR="00C2313B" w:rsidRPr="00925F26" w:rsidRDefault="00C2313B" w:rsidP="00925F26">
      <w:pPr>
        <w:autoSpaceDE w:val="0"/>
        <w:autoSpaceDN w:val="0"/>
        <w:adjustRightInd w:val="0"/>
        <w:jc w:val="both"/>
        <w:rPr>
          <w:color w:val="000000" w:themeColor="text1"/>
          <w:sz w:val="16"/>
          <w:szCs w:val="16"/>
        </w:rPr>
      </w:pPr>
    </w:p>
    <w:p w14:paraId="05B969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армейское командование поручило фирме «Кавасаки» создать специальный бомбардировщик для камикадзе.</w:t>
      </w:r>
    </w:p>
    <w:p w14:paraId="350E93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Конструкторы спроектировали самолет за три месяца. Это должен был быть легкий одноместный одномоторный самолет Ка васаки Кi119. Бомбардировщик должен был доставлять одну 800-килограммовую бомбу на внешней подвеске. Элементы самолета должны были производиться на небольших частных предприятиях, а собирался бомбардировщик на подземном заводе. Вследствие налета американской авиации на завод в Камигахара в июне 1945 г. чертежи Кi119 были уничтожены и проект не был реализован (11886).</w:t>
      </w:r>
    </w:p>
    <w:p w14:paraId="0B2D323F" w14:textId="77777777" w:rsidR="00C2313B" w:rsidRPr="00925F26" w:rsidRDefault="00C2313B" w:rsidP="00925F26">
      <w:pPr>
        <w:autoSpaceDE w:val="0"/>
        <w:autoSpaceDN w:val="0"/>
        <w:adjustRightInd w:val="0"/>
        <w:jc w:val="both"/>
        <w:rPr>
          <w:color w:val="000000" w:themeColor="text1"/>
          <w:sz w:val="16"/>
          <w:szCs w:val="16"/>
        </w:rPr>
      </w:pPr>
    </w:p>
    <w:p w14:paraId="5FED55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 (11686).</w:t>
      </w:r>
    </w:p>
    <w:p w14:paraId="2EF24B4D" w14:textId="77777777" w:rsidR="00C2313B" w:rsidRPr="00925F26" w:rsidRDefault="00C2313B" w:rsidP="00925F26">
      <w:pPr>
        <w:autoSpaceDE w:val="0"/>
        <w:autoSpaceDN w:val="0"/>
        <w:adjustRightInd w:val="0"/>
        <w:jc w:val="both"/>
        <w:rPr>
          <w:color w:val="000000" w:themeColor="text1"/>
          <w:sz w:val="16"/>
          <w:szCs w:val="16"/>
        </w:rPr>
      </w:pPr>
    </w:p>
    <w:p w14:paraId="203F9E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Тирана. Указы Президиума АНОС: о конфискации государственной собственности Италии и Германии в Албании; о ликвидации всех иностранных банков и создании Банка Албании; о введении чрезвычайного единовременного прогрессивного налога на буржуазию. Обращение правительства Албании в Подготовительный комитет ООН с просьбой о приеме Албании в члены этой организации (7594).</w:t>
      </w:r>
    </w:p>
    <w:p w14:paraId="43B4DE7A" w14:textId="77777777" w:rsidR="00C2313B" w:rsidRPr="00925F26" w:rsidRDefault="00C2313B" w:rsidP="00925F26">
      <w:pPr>
        <w:autoSpaceDE w:val="0"/>
        <w:autoSpaceDN w:val="0"/>
        <w:adjustRightInd w:val="0"/>
        <w:jc w:val="both"/>
        <w:rPr>
          <w:color w:val="000000" w:themeColor="text1"/>
          <w:sz w:val="16"/>
          <w:szCs w:val="16"/>
        </w:rPr>
      </w:pPr>
    </w:p>
    <w:p w14:paraId="0CC7C8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Джон фон Нейман присоединился к группе разработчиков ENIAC и описал устройство будущего компьютера EDVAC - с этой работы началась архитектура фон Неймана (3463).</w:t>
      </w:r>
    </w:p>
    <w:p w14:paraId="675C5E4E" w14:textId="77777777" w:rsidR="00C2313B" w:rsidRPr="00925F26" w:rsidRDefault="00C2313B" w:rsidP="00925F26">
      <w:pPr>
        <w:autoSpaceDE w:val="0"/>
        <w:autoSpaceDN w:val="0"/>
        <w:adjustRightInd w:val="0"/>
        <w:jc w:val="both"/>
        <w:rPr>
          <w:color w:val="000000" w:themeColor="text1"/>
          <w:sz w:val="16"/>
          <w:szCs w:val="16"/>
        </w:rPr>
      </w:pPr>
    </w:p>
    <w:p w14:paraId="5D9ACDD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6D7CCCF" w14:textId="77777777" w:rsidR="00C2313B" w:rsidRPr="00925F26" w:rsidRDefault="00C2313B" w:rsidP="00925F26">
      <w:pPr>
        <w:autoSpaceDE w:val="0"/>
        <w:autoSpaceDN w:val="0"/>
        <w:adjustRightInd w:val="0"/>
        <w:jc w:val="both"/>
        <w:rPr>
          <w:iCs/>
          <w:color w:val="000000" w:themeColor="text1"/>
          <w:sz w:val="16"/>
          <w:szCs w:val="16"/>
        </w:rPr>
      </w:pPr>
    </w:p>
    <w:p w14:paraId="6FD8E5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января по конец февраля 1945 года на заводе №22 проводились испытания Пе-8ОН №42612. Испытания проводил экипаж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6EF8E4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5D6D64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Отмечалось, что АЧ-ЗОБ работали в полетах удовлетворительно. Наблюдалось выбивание масла </w:t>
      </w:r>
      <w:proofErr w:type="gramStart"/>
      <w:r w:rsidRPr="00925F26">
        <w:rPr>
          <w:color w:val="000000" w:themeColor="text1"/>
          <w:sz w:val="16"/>
          <w:szCs w:val="16"/>
        </w:rPr>
        <w:t>через суфлер</w:t>
      </w:r>
      <w:proofErr w:type="gramEnd"/>
      <w:r w:rsidRPr="00925F26">
        <w:rPr>
          <w:color w:val="000000" w:themeColor="text1"/>
          <w:sz w:val="16"/>
          <w:szCs w:val="16"/>
        </w:rPr>
        <w:t xml:space="preserve">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Пе-8ОН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48B799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С двигателями АЧ-30Б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w:t>
      </w:r>
      <w:r w:rsidRPr="00925F26">
        <w:rPr>
          <w:color w:val="000000" w:themeColor="text1"/>
          <w:sz w:val="16"/>
          <w:szCs w:val="16"/>
        </w:rPr>
        <w:lastRenderedPageBreak/>
        <w:t>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 (7685).</w:t>
      </w:r>
    </w:p>
    <w:p w14:paraId="468FE9AD" w14:textId="77777777" w:rsidR="00C2313B" w:rsidRPr="00925F26" w:rsidRDefault="00C2313B" w:rsidP="00925F26">
      <w:pPr>
        <w:autoSpaceDE w:val="0"/>
        <w:autoSpaceDN w:val="0"/>
        <w:adjustRightInd w:val="0"/>
        <w:jc w:val="both"/>
        <w:rPr>
          <w:color w:val="000000" w:themeColor="text1"/>
          <w:sz w:val="16"/>
          <w:szCs w:val="16"/>
        </w:rPr>
      </w:pPr>
    </w:p>
    <w:p w14:paraId="1A046B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январе-апреле 1945 г. на Ла-7Р, оснащенном ЖРД РД-1 конструкции В.П.Глушко, летчики-испытатели Г.М.Шиянов и А.В.Давыдов совершили 15 полетов. Запас горючего (керосин) и окислителя (азотная кислота) обеспечивал работу ЖРД в течение 3-3,5 мин. При работающим ракетном двигателе скорость Ла-7Р возрастала порой на 190 км/ч, максимально достигнутая на Ла-7Р скорость составляет 795 км/ч. В ходе испытаний ненадежность одного из первых ЖРД проявилась в полной мере: один раз движок взорвался при аэродромных гонках (точнее - пусках), второй - 27 марта 1945 г. в воздухе, Шиянов смог посадить поврежденную машину. Доработанный ЖРД был установлен на опытный самолет "120" (4707).</w:t>
      </w:r>
    </w:p>
    <w:p w14:paraId="369E50DE" w14:textId="77777777" w:rsidR="00C2313B" w:rsidRPr="00925F26" w:rsidRDefault="00C2313B" w:rsidP="00925F26">
      <w:pPr>
        <w:autoSpaceDE w:val="0"/>
        <w:autoSpaceDN w:val="0"/>
        <w:adjustRightInd w:val="0"/>
        <w:jc w:val="both"/>
        <w:rPr>
          <w:color w:val="000000" w:themeColor="text1"/>
          <w:sz w:val="16"/>
          <w:szCs w:val="16"/>
        </w:rPr>
      </w:pPr>
    </w:p>
    <w:p w14:paraId="710ACCDD" w14:textId="77777777" w:rsidR="00C34926" w:rsidRPr="001A0BAA" w:rsidRDefault="00C34926" w:rsidP="00C34926">
      <w:pPr>
        <w:jc w:val="both"/>
        <w:rPr>
          <w:color w:val="0070C0"/>
          <w:sz w:val="16"/>
          <w:szCs w:val="16"/>
        </w:rPr>
      </w:pPr>
      <w:r w:rsidRPr="001A0BAA">
        <w:rPr>
          <w:rStyle w:val="aff0"/>
          <w:rFonts w:ascii="Times New Roman" w:hAnsi="Times New Roman" w:cs="Times New Roman"/>
          <w:color w:val="0070C0"/>
          <w:spacing w:val="0"/>
          <w:sz w:val="16"/>
          <w:szCs w:val="16"/>
        </w:rPr>
        <w:t>В январе–апреле 1945 г. в НИИ ВВС про</w:t>
      </w:r>
      <w:r w:rsidRPr="001A0BAA">
        <w:rPr>
          <w:rStyle w:val="aff0"/>
          <w:rFonts w:ascii="Times New Roman" w:hAnsi="Times New Roman" w:cs="Times New Roman"/>
          <w:color w:val="0070C0"/>
          <w:spacing w:val="0"/>
          <w:sz w:val="16"/>
          <w:szCs w:val="16"/>
        </w:rPr>
        <w:softHyphen/>
        <w:t>ходили летные испытания истребители Як‑3Т (зав. №36‑20) и Як‑9УТ (зав. №40‑022) с пуш</w:t>
      </w:r>
      <w:r w:rsidRPr="001A0BAA">
        <w:rPr>
          <w:rStyle w:val="aff0"/>
          <w:rFonts w:ascii="Times New Roman" w:hAnsi="Times New Roman" w:cs="Times New Roman"/>
          <w:color w:val="0070C0"/>
          <w:spacing w:val="0"/>
          <w:sz w:val="16"/>
          <w:szCs w:val="16"/>
        </w:rPr>
        <w:softHyphen/>
        <w:t>кой Н‑37 и двумя пушками Б‑20С. Боекомплект к Н‑37 включал 25 и 30 патронов, к Б‑20С – 200 и 240 патронов, соответственно, для Як‑3Т и Як‑9УТ. По мощности огня (5,76 кг/с) тяжелые «яки» превосходили на тот момент все отечест</w:t>
      </w:r>
      <w:r w:rsidRPr="001A0BAA">
        <w:rPr>
          <w:rStyle w:val="aff0"/>
          <w:rFonts w:ascii="Times New Roman" w:hAnsi="Times New Roman" w:cs="Times New Roman"/>
          <w:color w:val="0070C0"/>
          <w:spacing w:val="0"/>
          <w:sz w:val="16"/>
          <w:szCs w:val="16"/>
        </w:rPr>
        <w:softHyphen/>
        <w:t>венные серийные истребители.</w:t>
      </w:r>
    </w:p>
    <w:p w14:paraId="46621C71" w14:textId="77777777" w:rsidR="00C34926" w:rsidRPr="001A0BAA" w:rsidRDefault="00C34926" w:rsidP="00C34926">
      <w:pPr>
        <w:jc w:val="both"/>
        <w:rPr>
          <w:color w:val="0070C0"/>
          <w:sz w:val="16"/>
          <w:szCs w:val="16"/>
        </w:rPr>
      </w:pPr>
      <w:r w:rsidRPr="001A0BAA">
        <w:rPr>
          <w:rStyle w:val="aff0"/>
          <w:rFonts w:ascii="Times New Roman" w:hAnsi="Times New Roman" w:cs="Times New Roman"/>
          <w:color w:val="0070C0"/>
          <w:spacing w:val="0"/>
          <w:sz w:val="16"/>
          <w:szCs w:val="16"/>
        </w:rPr>
        <w:t>Испытания показали, что при стрельбе из всего оружия на всем диапазоне скоростей (от 350 км/ч и до максимальной) и при всех эволюциях Як‑9УТ и Як‑3Т вели себя устойчиво. Устойчивость самолетов при стрельбе оценива</w:t>
      </w:r>
      <w:r w:rsidRPr="001A0BAA">
        <w:rPr>
          <w:rStyle w:val="aff0"/>
          <w:rFonts w:ascii="Times New Roman" w:hAnsi="Times New Roman" w:cs="Times New Roman"/>
          <w:color w:val="0070C0"/>
          <w:spacing w:val="0"/>
          <w:sz w:val="16"/>
          <w:szCs w:val="16"/>
        </w:rPr>
        <w:softHyphen/>
        <w:t>лась много выше, чем серийных Як‑9Т и Як‑9К. Отдача пушки Н‑37 при длине очереди в 3–4 выстрела практически не сказывалась на при</w:t>
      </w:r>
      <w:r w:rsidRPr="001A0BAA">
        <w:rPr>
          <w:rStyle w:val="aff0"/>
          <w:rFonts w:ascii="Times New Roman" w:hAnsi="Times New Roman" w:cs="Times New Roman"/>
          <w:color w:val="0070C0"/>
          <w:spacing w:val="0"/>
          <w:sz w:val="16"/>
          <w:szCs w:val="16"/>
        </w:rPr>
        <w:softHyphen/>
        <w:t>целивании, что повышало меткость огня. Со</w:t>
      </w:r>
      <w:r w:rsidRPr="001A0BAA">
        <w:rPr>
          <w:rStyle w:val="aff0"/>
          <w:rFonts w:ascii="Times New Roman" w:hAnsi="Times New Roman" w:cs="Times New Roman"/>
          <w:color w:val="0070C0"/>
          <w:spacing w:val="0"/>
          <w:sz w:val="16"/>
          <w:szCs w:val="16"/>
        </w:rPr>
        <w:softHyphen/>
        <w:t>здавался лишь незначительный кабрирующий момент, который легко парировался летчиком. Это позволяло производить 2–3 прицельные очереди в одной атаке и уверенно поражать противника.</w:t>
      </w:r>
    </w:p>
    <w:p w14:paraId="3CE9F318" w14:textId="77777777" w:rsidR="00C34926" w:rsidRPr="001A0BAA" w:rsidRDefault="00C34926" w:rsidP="00C34926">
      <w:pPr>
        <w:jc w:val="both"/>
        <w:rPr>
          <w:color w:val="0070C0"/>
          <w:sz w:val="16"/>
          <w:szCs w:val="16"/>
        </w:rPr>
      </w:pPr>
      <w:r w:rsidRPr="001A0BAA">
        <w:rPr>
          <w:rStyle w:val="aff0"/>
          <w:rFonts w:ascii="Times New Roman" w:hAnsi="Times New Roman" w:cs="Times New Roman"/>
          <w:color w:val="0070C0"/>
          <w:spacing w:val="0"/>
          <w:sz w:val="16"/>
          <w:szCs w:val="16"/>
        </w:rPr>
        <w:t>Другими словами, достаточно высокие лет</w:t>
      </w:r>
      <w:r w:rsidRPr="001A0BAA">
        <w:rPr>
          <w:rStyle w:val="aff0"/>
          <w:rFonts w:ascii="Times New Roman" w:hAnsi="Times New Roman" w:cs="Times New Roman"/>
          <w:color w:val="0070C0"/>
          <w:spacing w:val="0"/>
          <w:sz w:val="16"/>
          <w:szCs w:val="16"/>
        </w:rPr>
        <w:softHyphen/>
        <w:t>ные данные и мощное вооружение позволя</w:t>
      </w:r>
      <w:r w:rsidRPr="001A0BAA">
        <w:rPr>
          <w:rStyle w:val="aff0"/>
          <w:rFonts w:ascii="Times New Roman" w:hAnsi="Times New Roman" w:cs="Times New Roman"/>
          <w:color w:val="0070C0"/>
          <w:spacing w:val="0"/>
          <w:sz w:val="16"/>
          <w:szCs w:val="16"/>
        </w:rPr>
        <w:softHyphen/>
        <w:t>ли Як‑9УТ и Як‑3Т вести эффективные воздуш</w:t>
      </w:r>
      <w:r w:rsidRPr="001A0BAA">
        <w:rPr>
          <w:rStyle w:val="aff0"/>
          <w:rFonts w:ascii="Times New Roman" w:hAnsi="Times New Roman" w:cs="Times New Roman"/>
          <w:color w:val="0070C0"/>
          <w:spacing w:val="0"/>
          <w:sz w:val="16"/>
          <w:szCs w:val="16"/>
        </w:rPr>
        <w:softHyphen/>
        <w:t>ные бои с немецкими истребителями, сбивать бомбардировщики уже в первой атаке, а также с успехом выполнять задачи по уничтожению легких бронированных целей, автомашин, желез</w:t>
      </w:r>
      <w:r w:rsidRPr="001A0BAA">
        <w:rPr>
          <w:rStyle w:val="aff0"/>
          <w:rFonts w:ascii="Times New Roman" w:hAnsi="Times New Roman" w:cs="Times New Roman"/>
          <w:color w:val="0070C0"/>
          <w:spacing w:val="0"/>
          <w:sz w:val="16"/>
          <w:szCs w:val="16"/>
        </w:rPr>
        <w:softHyphen/>
        <w:t>нодорожных составов, блокировке аэродромов.</w:t>
      </w:r>
    </w:p>
    <w:p w14:paraId="761FA39A" w14:textId="77777777" w:rsidR="00C34926" w:rsidRPr="001A0BAA" w:rsidRDefault="00C34926" w:rsidP="00C34926">
      <w:pPr>
        <w:jc w:val="both"/>
        <w:rPr>
          <w:color w:val="0070C0"/>
          <w:sz w:val="16"/>
          <w:szCs w:val="16"/>
        </w:rPr>
      </w:pPr>
      <w:r w:rsidRPr="001A0BAA">
        <w:rPr>
          <w:rStyle w:val="aff0"/>
          <w:rFonts w:ascii="Times New Roman" w:hAnsi="Times New Roman" w:cs="Times New Roman"/>
          <w:color w:val="0070C0"/>
          <w:spacing w:val="0"/>
          <w:sz w:val="16"/>
          <w:szCs w:val="16"/>
        </w:rPr>
        <w:t>То есть самолеты получили вполне доста</w:t>
      </w:r>
      <w:r w:rsidRPr="001A0BAA">
        <w:rPr>
          <w:rStyle w:val="aff0"/>
          <w:rFonts w:ascii="Times New Roman" w:hAnsi="Times New Roman" w:cs="Times New Roman"/>
          <w:color w:val="0070C0"/>
          <w:spacing w:val="0"/>
          <w:sz w:val="16"/>
          <w:szCs w:val="16"/>
        </w:rPr>
        <w:softHyphen/>
        <w:t>точную универсальность боевого примене</w:t>
      </w:r>
      <w:r w:rsidRPr="001A0BAA">
        <w:rPr>
          <w:rStyle w:val="aff0"/>
          <w:rFonts w:ascii="Times New Roman" w:hAnsi="Times New Roman" w:cs="Times New Roman"/>
          <w:color w:val="0070C0"/>
          <w:spacing w:val="0"/>
          <w:sz w:val="16"/>
          <w:szCs w:val="16"/>
        </w:rPr>
        <w:softHyphen/>
        <w:t>ния. Требовалось только увеличить боеком</w:t>
      </w:r>
      <w:r w:rsidRPr="001A0BAA">
        <w:rPr>
          <w:rStyle w:val="aff0"/>
          <w:rFonts w:ascii="Times New Roman" w:hAnsi="Times New Roman" w:cs="Times New Roman"/>
          <w:color w:val="0070C0"/>
          <w:spacing w:val="0"/>
          <w:sz w:val="16"/>
          <w:szCs w:val="16"/>
        </w:rPr>
        <w:softHyphen/>
        <w:t>плект, поднять дальность и продолжительность полета для обеспечения эффективной авиа</w:t>
      </w:r>
      <w:r w:rsidRPr="001A0BAA">
        <w:rPr>
          <w:rStyle w:val="aff0"/>
          <w:rFonts w:ascii="Times New Roman" w:hAnsi="Times New Roman" w:cs="Times New Roman"/>
          <w:color w:val="0070C0"/>
          <w:spacing w:val="0"/>
          <w:sz w:val="16"/>
          <w:szCs w:val="16"/>
        </w:rPr>
        <w:softHyphen/>
        <w:t>ционной поддержки подвижных групп фрон</w:t>
      </w:r>
      <w:r w:rsidRPr="001A0BAA">
        <w:rPr>
          <w:rStyle w:val="aff0"/>
          <w:rFonts w:ascii="Times New Roman" w:hAnsi="Times New Roman" w:cs="Times New Roman"/>
          <w:color w:val="0070C0"/>
          <w:spacing w:val="0"/>
          <w:sz w:val="16"/>
          <w:szCs w:val="16"/>
        </w:rPr>
        <w:softHyphen/>
        <w:t>та при их действии в отрыве от основных сил. На Як‑3Т надлежало установить систему ней</w:t>
      </w:r>
      <w:r w:rsidRPr="001A0BAA">
        <w:rPr>
          <w:rStyle w:val="aff0"/>
          <w:rFonts w:ascii="Times New Roman" w:hAnsi="Times New Roman" w:cs="Times New Roman"/>
          <w:color w:val="0070C0"/>
          <w:spacing w:val="0"/>
          <w:sz w:val="16"/>
          <w:szCs w:val="16"/>
        </w:rPr>
        <w:softHyphen/>
        <w:t>трального газа, бронеподлокотник, броненадголовник и бронеспинку летчика.</w:t>
      </w:r>
    </w:p>
    <w:p w14:paraId="36D43A84" w14:textId="77777777" w:rsidR="00C34926" w:rsidRPr="001A0BAA" w:rsidRDefault="00C34926" w:rsidP="00C34926">
      <w:pPr>
        <w:jc w:val="both"/>
        <w:rPr>
          <w:color w:val="0070C0"/>
          <w:sz w:val="16"/>
          <w:szCs w:val="16"/>
        </w:rPr>
      </w:pPr>
      <w:r w:rsidRPr="001A0BAA">
        <w:rPr>
          <w:rStyle w:val="aff0"/>
          <w:rFonts w:ascii="Times New Roman" w:hAnsi="Times New Roman" w:cs="Times New Roman"/>
          <w:color w:val="0070C0"/>
          <w:spacing w:val="0"/>
          <w:sz w:val="16"/>
          <w:szCs w:val="16"/>
        </w:rPr>
        <w:t>Из‑за неудовлетворительной работы маслосистемы Як‑3Т испытаний так и не завершил. По просьбе главного конструктора А.С. Яков</w:t>
      </w:r>
      <w:r w:rsidRPr="001A0BAA">
        <w:rPr>
          <w:rStyle w:val="aff0"/>
          <w:rFonts w:ascii="Times New Roman" w:hAnsi="Times New Roman" w:cs="Times New Roman"/>
          <w:color w:val="0070C0"/>
          <w:spacing w:val="0"/>
          <w:sz w:val="16"/>
          <w:szCs w:val="16"/>
        </w:rPr>
        <w:softHyphen/>
        <w:t>лева его возвратили для доводки на завод №115 НКАП.</w:t>
      </w:r>
    </w:p>
    <w:p w14:paraId="06D59F44" w14:textId="77777777" w:rsidR="00C34926" w:rsidRPr="001A0BAA" w:rsidRDefault="00C34926" w:rsidP="00C34926">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Тяжелый истребитель Як‑9УТ испытания завершил с удовлетворительным результатом, был рекомендован к принятию на вооруже</w:t>
      </w:r>
      <w:r w:rsidRPr="001A0BAA">
        <w:rPr>
          <w:rStyle w:val="aff0"/>
          <w:rFonts w:ascii="Times New Roman" w:hAnsi="Times New Roman" w:cs="Times New Roman"/>
          <w:color w:val="0070C0"/>
          <w:spacing w:val="0"/>
          <w:sz w:val="16"/>
          <w:szCs w:val="16"/>
        </w:rPr>
        <w:softHyphen/>
        <w:t>ние ВВС и затем выпускался небольшой сери</w:t>
      </w:r>
      <w:r w:rsidRPr="001A0BAA">
        <w:rPr>
          <w:rStyle w:val="aff0"/>
          <w:rFonts w:ascii="Times New Roman" w:hAnsi="Times New Roman" w:cs="Times New Roman"/>
          <w:color w:val="0070C0"/>
          <w:spacing w:val="0"/>
          <w:sz w:val="16"/>
          <w:szCs w:val="16"/>
        </w:rPr>
        <w:softHyphen/>
        <w:t>ей, но с моторной пушкой НС‑23М и двумя син</w:t>
      </w:r>
      <w:r w:rsidRPr="001A0BAA">
        <w:rPr>
          <w:rStyle w:val="aff0"/>
          <w:rFonts w:ascii="Times New Roman" w:hAnsi="Times New Roman" w:cs="Times New Roman"/>
          <w:color w:val="0070C0"/>
          <w:spacing w:val="0"/>
          <w:sz w:val="16"/>
          <w:szCs w:val="16"/>
        </w:rPr>
        <w:softHyphen/>
        <w:t>хронными Б‑20С. Считалось, что в такой конфи</w:t>
      </w:r>
      <w:r w:rsidRPr="001A0BAA">
        <w:rPr>
          <w:rStyle w:val="aff0"/>
          <w:rFonts w:ascii="Times New Roman" w:hAnsi="Times New Roman" w:cs="Times New Roman"/>
          <w:color w:val="0070C0"/>
          <w:spacing w:val="0"/>
          <w:sz w:val="16"/>
          <w:szCs w:val="16"/>
        </w:rPr>
        <w:softHyphen/>
        <w:t>гурации самолет лучше подходит для воздуш</w:t>
      </w:r>
      <w:r w:rsidRPr="001A0BAA">
        <w:rPr>
          <w:rStyle w:val="aff0"/>
          <w:rFonts w:ascii="Times New Roman" w:hAnsi="Times New Roman" w:cs="Times New Roman"/>
          <w:color w:val="0070C0"/>
          <w:spacing w:val="0"/>
          <w:sz w:val="16"/>
          <w:szCs w:val="16"/>
        </w:rPr>
        <w:softHyphen/>
        <w:t>ного боя. Всего построили 282 Як‑9УТ (25101).</w:t>
      </w:r>
    </w:p>
    <w:p w14:paraId="4C4BA7DA" w14:textId="77777777" w:rsidR="00C34926" w:rsidRPr="001A0BAA" w:rsidRDefault="00C34926" w:rsidP="00C34926">
      <w:pPr>
        <w:jc w:val="both"/>
        <w:rPr>
          <w:rStyle w:val="aff0"/>
          <w:rFonts w:ascii="Times New Roman" w:hAnsi="Times New Roman" w:cs="Times New Roman"/>
          <w:color w:val="0070C0"/>
          <w:spacing w:val="0"/>
          <w:sz w:val="16"/>
          <w:szCs w:val="16"/>
        </w:rPr>
      </w:pPr>
    </w:p>
    <w:p w14:paraId="7291364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7DC35A2" w14:textId="77777777" w:rsidR="00C2313B" w:rsidRPr="00925F26" w:rsidRDefault="00C2313B" w:rsidP="00925F26">
      <w:pPr>
        <w:autoSpaceDE w:val="0"/>
        <w:autoSpaceDN w:val="0"/>
        <w:adjustRightInd w:val="0"/>
        <w:jc w:val="both"/>
        <w:rPr>
          <w:iCs/>
          <w:color w:val="000000" w:themeColor="text1"/>
          <w:sz w:val="16"/>
          <w:szCs w:val="16"/>
        </w:rPr>
      </w:pPr>
    </w:p>
    <w:p w14:paraId="191B8565" w14:textId="77777777" w:rsidR="00155D62" w:rsidRPr="001A0BAA" w:rsidRDefault="00155D62" w:rsidP="00155D62">
      <w:pPr>
        <w:jc w:val="both"/>
        <w:rPr>
          <w:color w:val="0070C0"/>
          <w:sz w:val="16"/>
          <w:szCs w:val="16"/>
        </w:rPr>
      </w:pPr>
      <w:r w:rsidRPr="001A0BAA">
        <w:rPr>
          <w:color w:val="0070C0"/>
          <w:sz w:val="16"/>
          <w:szCs w:val="16"/>
        </w:rPr>
        <w:t>В течение января - мая 1945 года в порядке устранения конструктивных не</w:t>
      </w:r>
      <w:r w:rsidRPr="001A0BAA">
        <w:rPr>
          <w:color w:val="0070C0"/>
          <w:sz w:val="16"/>
          <w:szCs w:val="16"/>
        </w:rPr>
        <w:softHyphen/>
        <w:t>достатков танков Т-44 в чертежи машины было вне</w:t>
      </w:r>
      <w:r w:rsidRPr="001A0BAA">
        <w:rPr>
          <w:color w:val="0070C0"/>
          <w:sz w:val="16"/>
          <w:szCs w:val="16"/>
        </w:rPr>
        <w:softHyphen/>
        <w:t>сено свыше трех тысяч различных измене</w:t>
      </w:r>
      <w:r w:rsidRPr="001A0BAA">
        <w:rPr>
          <w:color w:val="0070C0"/>
          <w:sz w:val="16"/>
          <w:szCs w:val="16"/>
        </w:rPr>
        <w:softHyphen/>
        <w:t>ний. Внедрение в производство тех или иных конструктивных изменений производи</w:t>
      </w:r>
      <w:r w:rsidRPr="001A0BAA">
        <w:rPr>
          <w:color w:val="0070C0"/>
          <w:sz w:val="16"/>
          <w:szCs w:val="16"/>
        </w:rPr>
        <w:softHyphen/>
        <w:t>лось по особым приказам, согласованным со старшим военпредом ГБТУ КА. Измене</w:t>
      </w:r>
      <w:r w:rsidRPr="001A0BAA">
        <w:rPr>
          <w:color w:val="0070C0"/>
          <w:sz w:val="16"/>
          <w:szCs w:val="16"/>
        </w:rPr>
        <w:softHyphen/>
        <w:t>ния принципиального порядка, меняющие тактико-техническую характеристику ма</w:t>
      </w:r>
      <w:r w:rsidRPr="001A0BAA">
        <w:rPr>
          <w:color w:val="0070C0"/>
          <w:sz w:val="16"/>
          <w:szCs w:val="16"/>
        </w:rPr>
        <w:softHyphen/>
        <w:t>шины, внедрялись лишь после утверждения танковым управлением ГБТУ КА.</w:t>
      </w:r>
    </w:p>
    <w:p w14:paraId="4FD931BB" w14:textId="77777777" w:rsidR="00155D62" w:rsidRPr="001A0BAA" w:rsidRDefault="00155D62" w:rsidP="00155D62">
      <w:pPr>
        <w:jc w:val="both"/>
        <w:rPr>
          <w:color w:val="0070C0"/>
          <w:sz w:val="16"/>
          <w:szCs w:val="16"/>
        </w:rPr>
      </w:pPr>
      <w:r w:rsidRPr="001A0BAA">
        <w:rPr>
          <w:color w:val="0070C0"/>
          <w:sz w:val="16"/>
          <w:szCs w:val="16"/>
        </w:rPr>
        <w:t>Представления об осуществлении кон</w:t>
      </w:r>
      <w:r w:rsidRPr="001A0BAA">
        <w:rPr>
          <w:color w:val="0070C0"/>
          <w:sz w:val="16"/>
          <w:szCs w:val="16"/>
        </w:rPr>
        <w:softHyphen/>
        <w:t>структивных изменений вносились обычно цехами и вызывались чаще всего техноло</w:t>
      </w:r>
      <w:r w:rsidRPr="001A0BAA">
        <w:rPr>
          <w:color w:val="0070C0"/>
          <w:sz w:val="16"/>
          <w:szCs w:val="16"/>
        </w:rPr>
        <w:softHyphen/>
        <w:t>гическими соображениями или явными не</w:t>
      </w:r>
      <w:r w:rsidRPr="001A0BAA">
        <w:rPr>
          <w:color w:val="0070C0"/>
          <w:sz w:val="16"/>
          <w:szCs w:val="16"/>
        </w:rPr>
        <w:softHyphen/>
        <w:t>увязками в чертежах. Изменения, улучша</w:t>
      </w:r>
      <w:r w:rsidRPr="001A0BAA">
        <w:rPr>
          <w:color w:val="0070C0"/>
          <w:sz w:val="16"/>
          <w:szCs w:val="16"/>
        </w:rPr>
        <w:softHyphen/>
        <w:t>ющие боевые и эксплуатационные качества машины, проводились в большинстве случа</w:t>
      </w:r>
      <w:r w:rsidRPr="001A0BAA">
        <w:rPr>
          <w:color w:val="0070C0"/>
          <w:sz w:val="16"/>
          <w:szCs w:val="16"/>
        </w:rPr>
        <w:softHyphen/>
        <w:t>ев по требованию военной приемки на осно</w:t>
      </w:r>
      <w:r w:rsidRPr="001A0BAA">
        <w:rPr>
          <w:color w:val="0070C0"/>
          <w:sz w:val="16"/>
          <w:szCs w:val="16"/>
        </w:rPr>
        <w:softHyphen/>
        <w:t>вании данных испытания машин на заводе и эксплуатации их в войсках, а также по ини</w:t>
      </w:r>
      <w:r w:rsidRPr="001A0BAA">
        <w:rPr>
          <w:color w:val="0070C0"/>
          <w:sz w:val="16"/>
          <w:szCs w:val="16"/>
        </w:rPr>
        <w:softHyphen/>
        <w:t>циативе конструкторского отдела (25012).</w:t>
      </w:r>
    </w:p>
    <w:p w14:paraId="5A55BC0F" w14:textId="77777777" w:rsidR="00155D62" w:rsidRPr="001A0BAA" w:rsidRDefault="00155D62" w:rsidP="00155D62">
      <w:pPr>
        <w:jc w:val="both"/>
        <w:rPr>
          <w:color w:val="0070C0"/>
          <w:sz w:val="16"/>
          <w:szCs w:val="16"/>
        </w:rPr>
      </w:pPr>
    </w:p>
    <w:p w14:paraId="66025AC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январе-феврале 1945 г. заводом № 183 был изготовлен Опытный обра</w:t>
      </w:r>
      <w:r w:rsidRPr="00925F26">
        <w:rPr>
          <w:color w:val="000000" w:themeColor="text1"/>
          <w:sz w:val="16"/>
          <w:szCs w:val="16"/>
        </w:rPr>
        <w:softHyphen/>
        <w:t>зец танка Т-54 (первый образец). После пока</w:t>
      </w:r>
      <w:r w:rsidRPr="00925F26">
        <w:rPr>
          <w:color w:val="000000" w:themeColor="text1"/>
          <w:sz w:val="16"/>
          <w:szCs w:val="16"/>
        </w:rPr>
        <w:softHyphen/>
        <w:t>за членам Правительства, танк в марте — апреле того же года прошел ис</w:t>
      </w:r>
      <w:r w:rsidRPr="00925F26">
        <w:rPr>
          <w:color w:val="000000" w:themeColor="text1"/>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925F26">
        <w:rPr>
          <w:color w:val="000000" w:themeColor="text1"/>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925F26">
        <w:rPr>
          <w:color w:val="000000" w:themeColor="text1"/>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036220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693DF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 феврале 1945 г. на осно</w:t>
      </w:r>
      <w:r w:rsidRPr="00925F26">
        <w:rPr>
          <w:color w:val="000000" w:themeColor="text1"/>
          <w:sz w:val="16"/>
          <w:szCs w:val="16"/>
        </w:rPr>
        <w:softHyphen/>
        <w:t>ве объединения технических проектов тяжелых танков, разработанных ЧКЗ и заводом № 100 под общим руководством Ж.Я. Котина был разработан Танк "Объект 703" (ИС-3, образец № 2), который являлся дальнейшим раз</w:t>
      </w:r>
      <w:r w:rsidRPr="00925F26">
        <w:rPr>
          <w:color w:val="000000" w:themeColor="text1"/>
          <w:sz w:val="16"/>
          <w:szCs w:val="16"/>
        </w:rPr>
        <w:softHyphen/>
        <w:t>витием танка "Кировец-1" в отношении улучшения конструкции броне</w:t>
      </w:r>
      <w:r w:rsidRPr="00925F26">
        <w:rPr>
          <w:color w:val="000000" w:themeColor="text1"/>
          <w:sz w:val="16"/>
          <w:szCs w:val="16"/>
        </w:rPr>
        <w:softHyphen/>
        <w:t>вой защиты и устранения недостатков, выявленных во время полигон</w:t>
      </w:r>
      <w:r w:rsidRPr="00925F26">
        <w:rPr>
          <w:color w:val="000000" w:themeColor="text1"/>
          <w:sz w:val="16"/>
          <w:szCs w:val="16"/>
        </w:rPr>
        <w:softHyphen/>
        <w:t>ных испытаний. Восемь опытных образцов установочной партии были изготовлены на ЧКЗ в феврале 1945 г. и в период с 23 марта по 11 апреля 1945 г. один опытный образец танка успешно прошел полигонные испытания, по результатам которых было принято решение о принятии танка на вооружение Крас</w:t>
      </w:r>
      <w:r w:rsidRPr="00925F26">
        <w:rPr>
          <w:color w:val="000000" w:themeColor="text1"/>
          <w:sz w:val="16"/>
          <w:szCs w:val="16"/>
        </w:rPr>
        <w:softHyphen/>
        <w:t>ной Армии и организации на ЧКЗ его серийного производства (10703).</w:t>
      </w:r>
    </w:p>
    <w:p w14:paraId="520199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266E14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FDC5679" w14:textId="77777777" w:rsidR="00C2313B" w:rsidRPr="00925F26" w:rsidRDefault="00C2313B" w:rsidP="00925F26">
      <w:pPr>
        <w:autoSpaceDE w:val="0"/>
        <w:autoSpaceDN w:val="0"/>
        <w:adjustRightInd w:val="0"/>
        <w:jc w:val="both"/>
        <w:rPr>
          <w:iCs/>
          <w:color w:val="000000" w:themeColor="text1"/>
          <w:sz w:val="16"/>
          <w:szCs w:val="16"/>
        </w:rPr>
      </w:pPr>
    </w:p>
    <w:p w14:paraId="22EE54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январе-феврале 1945 года "Вентуры" совершили 62 самолето-вылета. В документах дивизии они числятся как В-34. Одну "Вентуру" облюбовал командир дивизии подполковник М.А.Еремин (3457,124).</w:t>
      </w:r>
    </w:p>
    <w:p w14:paraId="2C25AB00" w14:textId="77777777" w:rsidR="00C2313B" w:rsidRPr="00925F26" w:rsidRDefault="00C2313B" w:rsidP="00925F26">
      <w:pPr>
        <w:autoSpaceDE w:val="0"/>
        <w:autoSpaceDN w:val="0"/>
        <w:adjustRightInd w:val="0"/>
        <w:jc w:val="both"/>
        <w:rPr>
          <w:color w:val="000000" w:themeColor="text1"/>
          <w:sz w:val="16"/>
          <w:szCs w:val="16"/>
        </w:rPr>
      </w:pPr>
    </w:p>
    <w:p w14:paraId="3C1DF7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январе-марте 1945 оборонительные опера</w:t>
      </w:r>
      <w:r w:rsidRPr="00925F26">
        <w:rPr>
          <w:color w:val="000000" w:themeColor="text1"/>
          <w:sz w:val="16"/>
          <w:szCs w:val="16"/>
        </w:rPr>
        <w:softHyphen/>
        <w:t>ции в районе озер Балатон — Веленце стали наиболее яркими примера</w:t>
      </w:r>
      <w:r w:rsidRPr="00925F26">
        <w:rPr>
          <w:color w:val="000000" w:themeColor="text1"/>
          <w:sz w:val="16"/>
          <w:szCs w:val="16"/>
        </w:rPr>
        <w:softHyphen/>
        <w:t>ми использования САУ, где получили боевое крещение полки и бригады с СУ-100, которые ввиду хорошей броневой защиты приме</w:t>
      </w:r>
      <w:r w:rsidRPr="00925F26">
        <w:rPr>
          <w:color w:val="000000" w:themeColor="text1"/>
          <w:sz w:val="16"/>
          <w:szCs w:val="16"/>
        </w:rPr>
        <w:softHyphen/>
        <w:t>нялись для прикрытия собой танков в ходе контратак не</w:t>
      </w:r>
      <w:r w:rsidRPr="00925F26">
        <w:rPr>
          <w:color w:val="000000" w:themeColor="text1"/>
          <w:sz w:val="16"/>
          <w:szCs w:val="16"/>
        </w:rPr>
        <w:softHyphen/>
        <w:t>мецких и венгерских позиций. Там же, несмотря на, каза</w:t>
      </w:r>
      <w:r w:rsidRPr="00925F26">
        <w:rPr>
          <w:color w:val="000000" w:themeColor="text1"/>
          <w:sz w:val="16"/>
          <w:szCs w:val="16"/>
        </w:rPr>
        <w:softHyphen/>
        <w:t>лось бы, слабое вооружение, хорошо проявили себя легкие СУ-76, бывшие на вооружении кавалерийских и стрелко</w:t>
      </w:r>
      <w:r w:rsidRPr="00925F26">
        <w:rPr>
          <w:color w:val="000000" w:themeColor="text1"/>
          <w:sz w:val="16"/>
          <w:szCs w:val="16"/>
        </w:rPr>
        <w:softHyphen/>
        <w:t>вых частей. Они продемонстрировали хорошую проходи</w:t>
      </w:r>
      <w:r w:rsidRPr="00925F26">
        <w:rPr>
          <w:color w:val="000000" w:themeColor="text1"/>
          <w:sz w:val="16"/>
          <w:szCs w:val="16"/>
        </w:rPr>
        <w:softHyphen/>
        <w:t>мость на раскисшей почве и могли маневрировать на ней даже в тех условиях, когда средние СУ-85 и СУ-100 закапы</w:t>
      </w:r>
      <w:r w:rsidRPr="00925F26">
        <w:rPr>
          <w:color w:val="000000" w:themeColor="text1"/>
          <w:sz w:val="16"/>
          <w:szCs w:val="16"/>
        </w:rPr>
        <w:softHyphen/>
        <w:t>вались «по самое брюхо» в чернозем и из подвижных огне</w:t>
      </w:r>
      <w:r w:rsidRPr="00925F26">
        <w:rPr>
          <w:color w:val="000000" w:themeColor="text1"/>
          <w:sz w:val="16"/>
          <w:szCs w:val="16"/>
        </w:rPr>
        <w:softHyphen/>
        <w:t>вых точек превращались в неподвижные (11417).</w:t>
      </w:r>
    </w:p>
    <w:p w14:paraId="64A6A4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5D39F9E" w14:textId="2EE77758" w:rsidR="00B6122E" w:rsidRPr="00925F26" w:rsidRDefault="00B6122E"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6EC87331" w14:textId="77777777" w:rsidR="00B6122E" w:rsidRPr="00925F26" w:rsidRDefault="00B6122E" w:rsidP="00925F26">
      <w:pPr>
        <w:autoSpaceDE w:val="0"/>
        <w:autoSpaceDN w:val="0"/>
        <w:adjustRightInd w:val="0"/>
        <w:jc w:val="both"/>
        <w:rPr>
          <w:i/>
          <w:iCs/>
          <w:color w:val="000000" w:themeColor="text1"/>
          <w:sz w:val="16"/>
          <w:szCs w:val="16"/>
        </w:rPr>
      </w:pPr>
    </w:p>
    <w:p w14:paraId="00DA42F0" w14:textId="77777777" w:rsidR="00B6122E" w:rsidRPr="00925F26" w:rsidRDefault="00B6122E" w:rsidP="00925F26">
      <w:pPr>
        <w:jc w:val="both"/>
        <w:rPr>
          <w:color w:val="000000" w:themeColor="text1"/>
          <w:sz w:val="16"/>
          <w:szCs w:val="16"/>
        </w:rPr>
      </w:pPr>
      <w:r w:rsidRPr="00925F26">
        <w:rPr>
          <w:color w:val="000000" w:themeColor="text1"/>
          <w:sz w:val="16"/>
          <w:szCs w:val="16"/>
        </w:rPr>
        <w:t>В январе-мае 1945 года выпуск «модели 28» «Консолидейтед» завершили, сдав последний из 175 машин версии PBY-6А для ВМС, параллельно 75 таких амфибий было выпущено для ВВС Армии США, но последние не имели бомбардировочного вооружения. Главное отличие «шестерки» заключалось в штатной установке РЛС (до того радары ставились по спецзаказу) (22816).</w:t>
      </w:r>
    </w:p>
    <w:p w14:paraId="5046AE1B" w14:textId="77777777" w:rsidR="00B6122E" w:rsidRPr="00925F26" w:rsidRDefault="00B6122E" w:rsidP="00925F26">
      <w:pPr>
        <w:jc w:val="both"/>
        <w:rPr>
          <w:color w:val="000000" w:themeColor="text1"/>
          <w:sz w:val="16"/>
          <w:szCs w:val="16"/>
        </w:rPr>
      </w:pPr>
    </w:p>
    <w:p w14:paraId="67FC62DE" w14:textId="429F27D8"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869CBBE" w14:textId="77777777" w:rsidR="00C2313B" w:rsidRPr="00925F26" w:rsidRDefault="00C2313B" w:rsidP="00925F26">
      <w:pPr>
        <w:autoSpaceDE w:val="0"/>
        <w:autoSpaceDN w:val="0"/>
        <w:adjustRightInd w:val="0"/>
        <w:jc w:val="both"/>
        <w:rPr>
          <w:iCs/>
          <w:color w:val="000000" w:themeColor="text1"/>
          <w:sz w:val="16"/>
          <w:szCs w:val="16"/>
        </w:rPr>
      </w:pPr>
    </w:p>
    <w:p w14:paraId="6DBA23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две НС-45 поставили на Ил-2. Прошел гос. испытания, но в связи с концом войны в серии не был (177,310).</w:t>
      </w:r>
    </w:p>
    <w:p w14:paraId="18FDFDEC" w14:textId="77777777" w:rsidR="00C2313B" w:rsidRPr="00925F26" w:rsidRDefault="00C2313B" w:rsidP="00925F26">
      <w:pPr>
        <w:autoSpaceDE w:val="0"/>
        <w:autoSpaceDN w:val="0"/>
        <w:adjustRightInd w:val="0"/>
        <w:jc w:val="both"/>
        <w:rPr>
          <w:color w:val="000000" w:themeColor="text1"/>
          <w:sz w:val="16"/>
          <w:szCs w:val="16"/>
        </w:rPr>
      </w:pPr>
    </w:p>
    <w:p w14:paraId="630302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был подготовлен отчет завода 18 за 1944:</w:t>
      </w:r>
    </w:p>
    <w:p w14:paraId="057C2D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"Правительством поручено заводу изготовить опытный экз. нового самолета Ил-1, штурмовика более высокого класса. Завод успешно выполнил это задание.</w:t>
      </w:r>
    </w:p>
    <w:p w14:paraId="07E38B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заданию Правительства в отчетном году завод д.б. модифицировать Ил-2 за счет введения крыла новой конструкции - со стрелкой в плане, освоить производство его и давать серийный выпуск модернизированных машин.</w:t>
      </w:r>
    </w:p>
    <w:p w14:paraId="3F6A24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Начиная со 2 кв. завод дает армии модернизированный Ил-2 в большем количестве, чем было предусмотрено планом.</w:t>
      </w:r>
    </w:p>
    <w:p w14:paraId="66092A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Во 2 полугодии - задачу внедрения новой машины Ил-10 завод принципиально решил. При большом недостатке РС на заводе до конца года было собрано 73 новых машины, из них сдано КА 43 самолета." (1356).</w:t>
      </w:r>
    </w:p>
    <w:p w14:paraId="08B57A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выпуску Ил-10 возникла необходимость в доработке конструкции мотора М-42. Без этого приемка готовых самолетов не оформлялась заводом.</w:t>
      </w:r>
    </w:p>
    <w:p w14:paraId="353868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Выпуск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0F5689" w:rsidRPr="00925F26" w14:paraId="708D1316" w14:textId="77777777">
        <w:tc>
          <w:tcPr>
            <w:tcW w:w="2254" w:type="dxa"/>
          </w:tcPr>
          <w:p w14:paraId="50025188" w14:textId="77777777" w:rsidR="00C2313B" w:rsidRPr="00925F26" w:rsidRDefault="00C2313B" w:rsidP="00925F26">
            <w:pPr>
              <w:autoSpaceDE w:val="0"/>
              <w:autoSpaceDN w:val="0"/>
              <w:adjustRightInd w:val="0"/>
              <w:jc w:val="both"/>
              <w:rPr>
                <w:color w:val="000000" w:themeColor="text1"/>
                <w:sz w:val="16"/>
                <w:szCs w:val="16"/>
              </w:rPr>
            </w:pPr>
          </w:p>
        </w:tc>
        <w:tc>
          <w:tcPr>
            <w:tcW w:w="2254" w:type="dxa"/>
          </w:tcPr>
          <w:p w14:paraId="03FEA2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2254" w:type="dxa"/>
          </w:tcPr>
          <w:p w14:paraId="5AAED463" w14:textId="77777777" w:rsidR="00C2313B" w:rsidRPr="00925F26" w:rsidRDefault="00C2313B" w:rsidP="00925F26">
            <w:pPr>
              <w:autoSpaceDE w:val="0"/>
              <w:autoSpaceDN w:val="0"/>
              <w:adjustRightInd w:val="0"/>
              <w:jc w:val="both"/>
              <w:rPr>
                <w:color w:val="000000" w:themeColor="text1"/>
                <w:sz w:val="16"/>
                <w:szCs w:val="16"/>
              </w:rPr>
            </w:pPr>
          </w:p>
        </w:tc>
        <w:tc>
          <w:tcPr>
            <w:tcW w:w="2254" w:type="dxa"/>
          </w:tcPr>
          <w:p w14:paraId="0016B9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Ил-10</w:t>
            </w:r>
          </w:p>
        </w:tc>
        <w:tc>
          <w:tcPr>
            <w:tcW w:w="2254" w:type="dxa"/>
          </w:tcPr>
          <w:p w14:paraId="02DCED6D"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1805C0B7" w14:textId="77777777">
        <w:tc>
          <w:tcPr>
            <w:tcW w:w="2254" w:type="dxa"/>
          </w:tcPr>
          <w:p w14:paraId="6F222C18" w14:textId="77777777" w:rsidR="00C2313B" w:rsidRPr="00925F26" w:rsidRDefault="00C2313B" w:rsidP="00925F26">
            <w:pPr>
              <w:autoSpaceDE w:val="0"/>
              <w:autoSpaceDN w:val="0"/>
              <w:adjustRightInd w:val="0"/>
              <w:jc w:val="both"/>
              <w:rPr>
                <w:color w:val="000000" w:themeColor="text1"/>
                <w:sz w:val="16"/>
                <w:szCs w:val="16"/>
              </w:rPr>
            </w:pPr>
          </w:p>
        </w:tc>
        <w:tc>
          <w:tcPr>
            <w:tcW w:w="2254" w:type="dxa"/>
          </w:tcPr>
          <w:p w14:paraId="0D027B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2254" w:type="dxa"/>
          </w:tcPr>
          <w:p w14:paraId="333B1F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w:t>
            </w:r>
          </w:p>
        </w:tc>
        <w:tc>
          <w:tcPr>
            <w:tcW w:w="2254" w:type="dxa"/>
          </w:tcPr>
          <w:p w14:paraId="7E464B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2254" w:type="dxa"/>
          </w:tcPr>
          <w:p w14:paraId="69D128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w:t>
            </w:r>
          </w:p>
        </w:tc>
      </w:tr>
      <w:tr w:rsidR="000F5689" w:rsidRPr="00925F26" w14:paraId="381F5627" w14:textId="77777777">
        <w:tc>
          <w:tcPr>
            <w:tcW w:w="2254" w:type="dxa"/>
          </w:tcPr>
          <w:p w14:paraId="2FBEF2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кв.</w:t>
            </w:r>
          </w:p>
        </w:tc>
        <w:tc>
          <w:tcPr>
            <w:tcW w:w="2254" w:type="dxa"/>
          </w:tcPr>
          <w:p w14:paraId="4B79CA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1155</w:t>
            </w:r>
          </w:p>
        </w:tc>
        <w:tc>
          <w:tcPr>
            <w:tcW w:w="2254" w:type="dxa"/>
          </w:tcPr>
          <w:p w14:paraId="1A6BEB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1161</w:t>
            </w:r>
          </w:p>
        </w:tc>
        <w:tc>
          <w:tcPr>
            <w:tcW w:w="2254" w:type="dxa"/>
          </w:tcPr>
          <w:p w14:paraId="393946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54" w:type="dxa"/>
          </w:tcPr>
          <w:p w14:paraId="6559911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003AE08" w14:textId="77777777">
        <w:tc>
          <w:tcPr>
            <w:tcW w:w="2254" w:type="dxa"/>
          </w:tcPr>
          <w:p w14:paraId="2538DE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кв.</w:t>
            </w:r>
          </w:p>
        </w:tc>
        <w:tc>
          <w:tcPr>
            <w:tcW w:w="2254" w:type="dxa"/>
          </w:tcPr>
          <w:p w14:paraId="11B30D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1140</w:t>
            </w:r>
          </w:p>
        </w:tc>
        <w:tc>
          <w:tcPr>
            <w:tcW w:w="2254" w:type="dxa"/>
          </w:tcPr>
          <w:p w14:paraId="1D0870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1147</w:t>
            </w:r>
          </w:p>
        </w:tc>
        <w:tc>
          <w:tcPr>
            <w:tcW w:w="2254" w:type="dxa"/>
          </w:tcPr>
          <w:p w14:paraId="67CB3B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54" w:type="dxa"/>
          </w:tcPr>
          <w:p w14:paraId="7AB9ABE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8360419" w14:textId="77777777">
        <w:tc>
          <w:tcPr>
            <w:tcW w:w="2254" w:type="dxa"/>
          </w:tcPr>
          <w:p w14:paraId="683833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3 кв.</w:t>
            </w:r>
          </w:p>
        </w:tc>
        <w:tc>
          <w:tcPr>
            <w:tcW w:w="2254" w:type="dxa"/>
          </w:tcPr>
          <w:p w14:paraId="4F2C44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878</w:t>
            </w:r>
          </w:p>
        </w:tc>
        <w:tc>
          <w:tcPr>
            <w:tcW w:w="2254" w:type="dxa"/>
          </w:tcPr>
          <w:p w14:paraId="705311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859</w:t>
            </w:r>
          </w:p>
        </w:tc>
        <w:tc>
          <w:tcPr>
            <w:tcW w:w="2254" w:type="dxa"/>
          </w:tcPr>
          <w:p w14:paraId="3DD2B9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2254" w:type="dxa"/>
          </w:tcPr>
          <w:p w14:paraId="581712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DF96AB9" w14:textId="77777777">
        <w:tc>
          <w:tcPr>
            <w:tcW w:w="2254" w:type="dxa"/>
          </w:tcPr>
          <w:p w14:paraId="1B47F2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кв.</w:t>
            </w:r>
          </w:p>
        </w:tc>
        <w:tc>
          <w:tcPr>
            <w:tcW w:w="2254" w:type="dxa"/>
          </w:tcPr>
          <w:p w14:paraId="321F79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2254" w:type="dxa"/>
          </w:tcPr>
          <w:p w14:paraId="7C8CD9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804</w:t>
            </w:r>
          </w:p>
        </w:tc>
        <w:tc>
          <w:tcPr>
            <w:tcW w:w="2254" w:type="dxa"/>
          </w:tcPr>
          <w:p w14:paraId="4279B3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2254" w:type="dxa"/>
          </w:tcPr>
          <w:p w14:paraId="51ECA1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r>
      <w:tr w:rsidR="000F5689" w:rsidRPr="00925F26" w14:paraId="0C0D4F0B" w14:textId="77777777">
        <w:tc>
          <w:tcPr>
            <w:tcW w:w="2254" w:type="dxa"/>
          </w:tcPr>
          <w:p w14:paraId="648027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Год</w:t>
            </w:r>
          </w:p>
        </w:tc>
        <w:tc>
          <w:tcPr>
            <w:tcW w:w="2254" w:type="dxa"/>
          </w:tcPr>
          <w:p w14:paraId="2382DE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3789</w:t>
            </w:r>
          </w:p>
        </w:tc>
        <w:tc>
          <w:tcPr>
            <w:tcW w:w="2254" w:type="dxa"/>
          </w:tcPr>
          <w:p w14:paraId="6EA937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3971</w:t>
            </w:r>
          </w:p>
        </w:tc>
        <w:tc>
          <w:tcPr>
            <w:tcW w:w="2254" w:type="dxa"/>
          </w:tcPr>
          <w:p w14:paraId="6CCFC1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225</w:t>
            </w:r>
          </w:p>
        </w:tc>
        <w:tc>
          <w:tcPr>
            <w:tcW w:w="2254" w:type="dxa"/>
          </w:tcPr>
          <w:p w14:paraId="793BF4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w:t>
            </w:r>
          </w:p>
        </w:tc>
      </w:tr>
      <w:tr w:rsidR="000F5689" w:rsidRPr="00925F26" w14:paraId="5D4B94CC" w14:textId="77777777">
        <w:tc>
          <w:tcPr>
            <w:tcW w:w="2254" w:type="dxa"/>
          </w:tcPr>
          <w:p w14:paraId="759E09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вкл. учеб.</w:t>
            </w:r>
          </w:p>
        </w:tc>
        <w:tc>
          <w:tcPr>
            <w:tcW w:w="2254" w:type="dxa"/>
          </w:tcPr>
          <w:p w14:paraId="4AE9D4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370</w:t>
            </w:r>
          </w:p>
        </w:tc>
        <w:tc>
          <w:tcPr>
            <w:tcW w:w="2254" w:type="dxa"/>
          </w:tcPr>
          <w:p w14:paraId="0781C8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2254" w:type="dxa"/>
          </w:tcPr>
          <w:p w14:paraId="19077A68" w14:textId="77777777" w:rsidR="00C2313B" w:rsidRPr="00925F26" w:rsidRDefault="00C2313B" w:rsidP="00925F26">
            <w:pPr>
              <w:autoSpaceDE w:val="0"/>
              <w:autoSpaceDN w:val="0"/>
              <w:adjustRightInd w:val="0"/>
              <w:jc w:val="both"/>
              <w:rPr>
                <w:color w:val="000000" w:themeColor="text1"/>
                <w:sz w:val="16"/>
                <w:szCs w:val="16"/>
              </w:rPr>
            </w:pPr>
          </w:p>
        </w:tc>
        <w:tc>
          <w:tcPr>
            <w:tcW w:w="2254" w:type="dxa"/>
          </w:tcPr>
          <w:p w14:paraId="4EEFB6FB" w14:textId="77777777" w:rsidR="00C2313B" w:rsidRPr="00925F26" w:rsidRDefault="00C2313B" w:rsidP="00925F26">
            <w:pPr>
              <w:autoSpaceDE w:val="0"/>
              <w:autoSpaceDN w:val="0"/>
              <w:adjustRightInd w:val="0"/>
              <w:jc w:val="both"/>
              <w:rPr>
                <w:color w:val="000000" w:themeColor="text1"/>
                <w:sz w:val="16"/>
                <w:szCs w:val="16"/>
              </w:rPr>
            </w:pPr>
          </w:p>
        </w:tc>
      </w:tr>
    </w:tbl>
    <w:p w14:paraId="379839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выполнении плана выпуска основных изделий завод в то же время выполнил и ряд непредусмотренных планом важных работ. В частности, в 1 кв. завод закончил и сдал 1 опытный самолет Ил-1 по заказу ГК С.В.И." (2480).</w:t>
      </w:r>
    </w:p>
    <w:p w14:paraId="65D8BEE9" w14:textId="77777777" w:rsidR="00C2313B" w:rsidRPr="00925F26" w:rsidRDefault="00C2313B" w:rsidP="00925F26">
      <w:pPr>
        <w:autoSpaceDE w:val="0"/>
        <w:autoSpaceDN w:val="0"/>
        <w:adjustRightInd w:val="0"/>
        <w:jc w:val="both"/>
        <w:rPr>
          <w:color w:val="000000" w:themeColor="text1"/>
          <w:sz w:val="16"/>
          <w:szCs w:val="16"/>
        </w:rPr>
      </w:pPr>
    </w:p>
    <w:p w14:paraId="4720E4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начала 1945 г. начали поступать со</w:t>
      </w:r>
      <w:r w:rsidRPr="00925F26">
        <w:rPr>
          <w:color w:val="000000" w:themeColor="text1"/>
          <w:sz w:val="16"/>
          <w:szCs w:val="16"/>
        </w:rPr>
        <w:softHyphen/>
        <w:t>общения о деформациях и даже срыве обшивки крыла Ил-10. Листы обшивки шли волнами, заклепки срезались или выры</w:t>
      </w:r>
      <w:r w:rsidRPr="00925F26">
        <w:rPr>
          <w:color w:val="000000" w:themeColor="text1"/>
          <w:sz w:val="16"/>
          <w:szCs w:val="16"/>
        </w:rPr>
        <w:softHyphen/>
        <w:t>вались при резком выходе из пикирова</w:t>
      </w:r>
      <w:r w:rsidRPr="00925F26">
        <w:rPr>
          <w:color w:val="000000" w:themeColor="text1"/>
          <w:sz w:val="16"/>
          <w:szCs w:val="16"/>
        </w:rPr>
        <w:softHyphen/>
        <w:t>ния. На некоторых машинах наблюда</w:t>
      </w:r>
      <w:r w:rsidRPr="00925F26">
        <w:rPr>
          <w:color w:val="000000" w:themeColor="text1"/>
          <w:sz w:val="16"/>
          <w:szCs w:val="16"/>
        </w:rPr>
        <w:softHyphen/>
        <w:t>лось отставание листов нижней обшив</w:t>
      </w:r>
      <w:r w:rsidRPr="00925F26">
        <w:rPr>
          <w:color w:val="000000" w:themeColor="text1"/>
          <w:sz w:val="16"/>
          <w:szCs w:val="16"/>
        </w:rPr>
        <w:softHyphen/>
        <w:t>ки центроплана. Это было связано с истребительным прошлым Ил-10. При переделке Ил-1 в штурмовик вес самолета увеличился и, кроме этого, в центроплане сделали вы</w:t>
      </w:r>
      <w:r w:rsidRPr="00925F26">
        <w:rPr>
          <w:color w:val="000000" w:themeColor="text1"/>
          <w:sz w:val="16"/>
          <w:szCs w:val="16"/>
        </w:rPr>
        <w:softHyphen/>
        <w:t>резы под бомболюки. В результате проч</w:t>
      </w:r>
      <w:r w:rsidRPr="00925F26">
        <w:rPr>
          <w:color w:val="000000" w:themeColor="text1"/>
          <w:sz w:val="16"/>
          <w:szCs w:val="16"/>
        </w:rPr>
        <w:softHyphen/>
        <w:t>ность крыла снизилась. ОКБ Ильюшина срочно занялось усилением конструк</w:t>
      </w:r>
      <w:r w:rsidRPr="00925F26">
        <w:rPr>
          <w:color w:val="000000" w:themeColor="text1"/>
          <w:sz w:val="16"/>
          <w:szCs w:val="16"/>
        </w:rPr>
        <w:softHyphen/>
        <w:t>ции. Уже с мая 1945 г. (с 9-й серии завода № 18) все машины стали выпускать</w:t>
      </w:r>
      <w:r w:rsidRPr="00925F26">
        <w:rPr>
          <w:color w:val="000000" w:themeColor="text1"/>
          <w:sz w:val="16"/>
          <w:szCs w:val="16"/>
        </w:rPr>
        <w:softHyphen/>
        <w:t>ся с доработанным крылом. В строевые части выехали специальные бригады для переделки штурмовиков на местах (10680).</w:t>
      </w:r>
    </w:p>
    <w:p w14:paraId="53DBDC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34A68A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вышел отчетный доклад завода 1 за 1944:</w:t>
      </w:r>
    </w:p>
    <w:p w14:paraId="742935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завод выпустил 3721 Ил-2 и Ил-10 при задании 3697.</w:t>
      </w:r>
    </w:p>
    <w:p w14:paraId="6BF13A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момента перебазирования на новую площадку по 1 января 1945 завод дал армии 19884 самолетов.</w:t>
      </w:r>
    </w:p>
    <w:p w14:paraId="204FDB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завод перешел с выпуска Ил-2 с деревянным крылом на выпуск этого самолета с металлическим крылом и в кратчайший срок освоил серийный выпуск цельнометаллического Ил-10." (2481).</w:t>
      </w:r>
    </w:p>
    <w:p w14:paraId="32B32320" w14:textId="77777777" w:rsidR="00C2313B" w:rsidRPr="00925F26" w:rsidRDefault="00C2313B" w:rsidP="00925F26">
      <w:pPr>
        <w:autoSpaceDE w:val="0"/>
        <w:autoSpaceDN w:val="0"/>
        <w:adjustRightInd w:val="0"/>
        <w:jc w:val="both"/>
        <w:rPr>
          <w:color w:val="000000" w:themeColor="text1"/>
          <w:sz w:val="16"/>
          <w:szCs w:val="16"/>
        </w:rPr>
      </w:pPr>
    </w:p>
    <w:p w14:paraId="1D575B0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начала 1945 г. начали посту</w:t>
      </w:r>
      <w:r w:rsidRPr="00925F26">
        <w:rPr>
          <w:color w:val="000000" w:themeColor="text1"/>
          <w:sz w:val="16"/>
          <w:szCs w:val="16"/>
        </w:rPr>
        <w:softHyphen/>
        <w:t>пать сообщения о деформациях и даже срыве обшивки крыла Ил-10. Листы обшивки шли волнами, заклепки срезались или вырывались при резком входе из пикирования. На некоторых машинах наблюдалось отставание листов нижней обшив</w:t>
      </w:r>
      <w:r w:rsidRPr="00925F26">
        <w:rPr>
          <w:color w:val="000000" w:themeColor="text1"/>
          <w:sz w:val="16"/>
          <w:szCs w:val="16"/>
        </w:rPr>
        <w:softHyphen/>
        <w:t>ки центроплана. Это было связано с истребитель</w:t>
      </w:r>
      <w:r w:rsidRPr="00925F26">
        <w:rPr>
          <w:color w:val="000000" w:themeColor="text1"/>
          <w:sz w:val="16"/>
          <w:szCs w:val="16"/>
        </w:rPr>
        <w:softHyphen/>
        <w:t>ным прошлым Ил-10, при передел</w:t>
      </w:r>
      <w:r w:rsidRPr="00925F26">
        <w:rPr>
          <w:color w:val="000000" w:themeColor="text1"/>
          <w:sz w:val="16"/>
          <w:szCs w:val="16"/>
        </w:rPr>
        <w:softHyphen/>
        <w:t>ке опытного бронированного истре</w:t>
      </w:r>
      <w:r w:rsidRPr="00925F26">
        <w:rPr>
          <w:color w:val="000000" w:themeColor="text1"/>
          <w:sz w:val="16"/>
          <w:szCs w:val="16"/>
        </w:rPr>
        <w:softHyphen/>
        <w:t>бителя Ил-1 в штурмовик вес само</w:t>
      </w:r>
      <w:r w:rsidRPr="00925F26">
        <w:rPr>
          <w:color w:val="000000" w:themeColor="text1"/>
          <w:sz w:val="16"/>
          <w:szCs w:val="16"/>
        </w:rPr>
        <w:softHyphen/>
        <w:t>лета увеличился и, кроме этого, в центроплане сделали вырезы под бомболкжи. В результате прочность крыла снизилась. ОКБ Ильюшина срочно занялось усилением конструкции. Уже с мая 1945 г. (с 9-й се</w:t>
      </w:r>
      <w:r w:rsidRPr="00925F26">
        <w:rPr>
          <w:color w:val="000000" w:themeColor="text1"/>
          <w:sz w:val="16"/>
          <w:szCs w:val="16"/>
        </w:rPr>
        <w:softHyphen/>
        <w:t>рии завода № 18) все машины стали выпускаться с доработанным кры</w:t>
      </w:r>
      <w:r w:rsidRPr="00925F26">
        <w:rPr>
          <w:color w:val="000000" w:themeColor="text1"/>
          <w:sz w:val="16"/>
          <w:szCs w:val="16"/>
        </w:rPr>
        <w:softHyphen/>
        <w:t>лом. В строевые части выехали спе</w:t>
      </w:r>
      <w:r w:rsidRPr="00925F26">
        <w:rPr>
          <w:color w:val="000000" w:themeColor="text1"/>
          <w:sz w:val="16"/>
          <w:szCs w:val="16"/>
        </w:rPr>
        <w:softHyphen/>
        <w:t>циальные бригады для переделки штурмовиков на местах (11132).</w:t>
      </w:r>
    </w:p>
    <w:p w14:paraId="3B4C75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3F25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вышел Технический отчет по опытному самолетостроению за 1944:</w:t>
      </w:r>
    </w:p>
    <w:p w14:paraId="348A0E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По штурмовикам:</w:t>
      </w:r>
    </w:p>
    <w:p w14:paraId="2F4AB0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Проектом плана основного задания на 1944 по штурмовикам было определено создание бронированного штурмовика со скоростью у земли около 500 км/час.</w:t>
      </w:r>
    </w:p>
    <w:p w14:paraId="5F71DBD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Это задание успешно выполнено. Уже в первой половине 1944 закончил гос. испытания и принят в серийное производство бронированный штурмовик Ил-10 с АМ-42, имеющий макс. скорость у земли 507 км/час, на высоте 551 км/час и вооруженный пушкой 20 мм для стрельбы назад, вместо пулемета 12.7 мм на серийном Ил-2.</w:t>
      </w:r>
    </w:p>
    <w:p w14:paraId="2E0AE6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выпущен также и закончил гос. испытания штурмовик Ил-8 с АМ-42 с усиленным бронированием и увеличенной на 400 кг бомбовой нагрузкой по сравнению с серийным штурмовиком Ил-2.</w:t>
      </w:r>
    </w:p>
    <w:p w14:paraId="7345F6D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 показал макс. скорость у земли 428 км/час и на высоте 471 км/час.</w:t>
      </w:r>
    </w:p>
    <w:p w14:paraId="5E1B1C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1944 выпущен улучшенный экз. этого самолета с расчетной макс. скоростью у земли 470 км/час и на высоте 2500 м - 510 км/час.</w:t>
      </w:r>
    </w:p>
    <w:p w14:paraId="512038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Выводы:</w:t>
      </w:r>
    </w:p>
    <w:p w14:paraId="5C2D31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совершен резкий скачек в деле серьезного улучшения ЛТД наших штурмовиков. Принятый в серию в 1944 штурмовик Ил-10 с АМ-42 полностью удовлетворяет всем требованиям и превосходит серийный штурмовик Ил-2 с АМ-38Ф по макс. скорости у земли больше, чем на 100 км/час, а на высоте почти на 150 км/час.</w:t>
      </w:r>
    </w:p>
    <w:p w14:paraId="4CD2E3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По бомбардировщикам</w:t>
      </w:r>
    </w:p>
    <w:p w14:paraId="516830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4-х моторным бомбардировщикам в 1944 в соответствии с проектом плана К А.Н.Т., С.В.И. В.М.М. и Незваль проведено предварительное проектирование и разработаны компоновочные схемы новых тяжелых 4-х моторных бомбардировщиков.</w:t>
      </w:r>
    </w:p>
    <w:p w14:paraId="251601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Выводы:</w:t>
      </w:r>
    </w:p>
    <w:p w14:paraId="5849AD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Работы по 4-х моторным бомбардировщикам в 1944 заключались лишь в выполнении предварительного проектирования и компоновочных схем.</w:t>
      </w:r>
    </w:p>
    <w:p w14:paraId="1D9A4E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Краткая характеристика состояния работ по основным объектам опытного самолетостроения:</w:t>
      </w:r>
    </w:p>
    <w:p w14:paraId="43B20D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 240, ГК С.В.И.</w:t>
      </w:r>
    </w:p>
    <w:p w14:paraId="20C6CA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Бронированный штурмовик Ил-8 второй с АМ-42. Самолет прошел гос. испытания</w:t>
      </w:r>
    </w:p>
    <w:p w14:paraId="054166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Бронированный штурмовик Ил-10 с АМ-42. Самолет принят в серию</w:t>
      </w:r>
    </w:p>
    <w:p w14:paraId="390ED4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Самолет Ил-6 с 2хАЧ-30Б. Самолет закончил испытания.</w:t>
      </w:r>
    </w:p>
    <w:p w14:paraId="090A41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Транспортный самолет с 2хАЧ-30Б. Готовность самолета - 45%</w:t>
      </w:r>
    </w:p>
    <w:p w14:paraId="698117A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Подписал Шишкин - нач. 7 ГУ (1919,52).</w:t>
      </w:r>
    </w:p>
    <w:p w14:paraId="18748D27" w14:textId="77777777" w:rsidR="00C2313B" w:rsidRPr="00925F26" w:rsidRDefault="00C2313B" w:rsidP="00925F26">
      <w:pPr>
        <w:autoSpaceDE w:val="0"/>
        <w:autoSpaceDN w:val="0"/>
        <w:adjustRightInd w:val="0"/>
        <w:jc w:val="both"/>
        <w:rPr>
          <w:color w:val="000000" w:themeColor="text1"/>
          <w:sz w:val="16"/>
          <w:szCs w:val="16"/>
        </w:rPr>
      </w:pPr>
    </w:p>
    <w:p w14:paraId="4A57C8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В.К. Коккинаки совершил на Ил-16 первый полет. Но вскоре работы по самолету из-за недоведенности силовой установки, а также в свя</w:t>
      </w:r>
      <w:r w:rsidRPr="00925F26">
        <w:rPr>
          <w:color w:val="000000" w:themeColor="text1"/>
          <w:sz w:val="16"/>
          <w:szCs w:val="16"/>
        </w:rPr>
        <w:softHyphen/>
        <w:t>зи с окончанием войны и отсутствием четких взглядов на пути раз</w:t>
      </w:r>
      <w:r w:rsidRPr="00925F26">
        <w:rPr>
          <w:color w:val="000000" w:themeColor="text1"/>
          <w:sz w:val="16"/>
          <w:szCs w:val="16"/>
        </w:rPr>
        <w:softHyphen/>
        <w:t>вития штурмовиков по указанию Главкома ВВС были прекращены. Планировалось использовать этот мотор также и на послевоен</w:t>
      </w:r>
      <w:r w:rsidRPr="00925F26">
        <w:rPr>
          <w:color w:val="000000" w:themeColor="text1"/>
          <w:sz w:val="16"/>
          <w:szCs w:val="16"/>
        </w:rPr>
        <w:softHyphen/>
        <w:t>ных модификациях самолета Ил-10 вместо АМ-42, но этот замысел не был реализован из-за недоведенности мотора. В декабре 1945 г. проходил испытания только один экземпляр самолета Ил-10 с этим двигателем. Получили максимальную скорость у земли 540 км/ч, а на расчетной высоте 2200 м — 575 км/ч. (10781).</w:t>
      </w:r>
    </w:p>
    <w:p w14:paraId="24C0B85F" w14:textId="77777777" w:rsidR="00C2313B" w:rsidRPr="00925F26" w:rsidRDefault="00C2313B" w:rsidP="00925F26">
      <w:pPr>
        <w:autoSpaceDE w:val="0"/>
        <w:autoSpaceDN w:val="0"/>
        <w:adjustRightInd w:val="0"/>
        <w:jc w:val="both"/>
        <w:rPr>
          <w:color w:val="000000" w:themeColor="text1"/>
          <w:sz w:val="16"/>
          <w:szCs w:val="16"/>
        </w:rPr>
      </w:pPr>
    </w:p>
    <w:p w14:paraId="106DED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Постройка трех опытных образцов Ил-16 на заводе N 18 была завершена в начале 1945 Первый полет выполнил В.К.Коккинаки. Оказалось, что при такой мощности двигателя реактивный момент винта при коротком хвосте сильно сказывается на продольной устойчивости. Хвостовую часть удлинили на 500 мм и увеличили площадь вертикального оперения, поставили триммер.</w:t>
      </w:r>
    </w:p>
    <w:p w14:paraId="643586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Подготовка к серийному производству Ил-16 началась еще до проведения летных испытаний, так как считалось, что боевая эффективность машины, значительно превышающей Ил-10 по скорости и маневренности при сохранении оборонительного и наступательного вооружения и большей мощности двигателя, будет значительно выше.</w:t>
      </w:r>
    </w:p>
    <w:p w14:paraId="74695911" w14:textId="77777777" w:rsidR="00C2313B" w:rsidRPr="00925F26" w:rsidRDefault="00C2313B" w:rsidP="00925F26">
      <w:pPr>
        <w:autoSpaceDE w:val="0"/>
        <w:autoSpaceDN w:val="0"/>
        <w:adjustRightInd w:val="0"/>
        <w:jc w:val="both"/>
        <w:rPr>
          <w:color w:val="000000" w:themeColor="text1"/>
          <w:sz w:val="16"/>
          <w:szCs w:val="16"/>
        </w:rPr>
      </w:pPr>
    </w:p>
    <w:p w14:paraId="088AD0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были построены три опытных экземпляра скоростного бронированного штурмовика Ил-16 с АМ-43, затем началась постройка малой серии (25 экземпляров). Из-за недоведенности силовой установки, а также в связи с окончанием войны работы по Ил-16 были свернуты (9032). Планировалось использовать этот мотор также и на послевоенных модификациях самолета Ил-10 вместо АМ-42, но этот замысел не был реализован из-за недоведенности мотора (9032).</w:t>
      </w:r>
    </w:p>
    <w:p w14:paraId="506E5528" w14:textId="77777777" w:rsidR="00C2313B" w:rsidRPr="00925F26" w:rsidRDefault="00C2313B" w:rsidP="00925F26">
      <w:pPr>
        <w:autoSpaceDE w:val="0"/>
        <w:autoSpaceDN w:val="0"/>
        <w:adjustRightInd w:val="0"/>
        <w:jc w:val="both"/>
        <w:rPr>
          <w:color w:val="000000" w:themeColor="text1"/>
          <w:sz w:val="16"/>
          <w:szCs w:val="16"/>
        </w:rPr>
      </w:pPr>
    </w:p>
    <w:p w14:paraId="33C5CD6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1945-го серийный завод завершил постройку опытного Ил-16, летчик-испытатель В.К.Коккинаки совершил на нем первый полет. Летные испытания Ил-16 затянулись из-за недостатков двигателя М-43НВ, довести который до требуемого состояния не удалось.</w:t>
      </w:r>
    </w:p>
    <w:p w14:paraId="4664C0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Начало проектных работ по еще более скоростному и маневренному штурмовику Ил-16 облегченного типа определили Высокие летно-тактические данные штурмовика Ил-10, его способность вести активный воздушный бой с истребителями противника.</w:t>
      </w:r>
    </w:p>
    <w:p w14:paraId="223FAC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Штурмовик Ил-16 проектировался под новый двигатель жидкостного охлаждения М-43НВ взлетной мощностью 2300 л.с.</w:t>
      </w:r>
    </w:p>
    <w:p w14:paraId="7FC0B8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своей схеме, аэродинамической и конструктивной компоновке Ил-16 был практически одинаков с Ил-10, но имел несколько меньшие геометрические размеры и массу. В сочетании с более мощным двигателем это должно было обеспечить новому штурмовику максимальную расчетную скорость 625 км/ч. Летом 1946-го работы по Ил-16 прекратили (9523,5).</w:t>
      </w:r>
    </w:p>
    <w:p w14:paraId="1F767DC8" w14:textId="77777777" w:rsidR="00C2313B" w:rsidRPr="00925F26" w:rsidRDefault="00C2313B" w:rsidP="00925F26">
      <w:pPr>
        <w:autoSpaceDE w:val="0"/>
        <w:autoSpaceDN w:val="0"/>
        <w:adjustRightInd w:val="0"/>
        <w:jc w:val="both"/>
        <w:rPr>
          <w:color w:val="000000" w:themeColor="text1"/>
          <w:sz w:val="16"/>
          <w:szCs w:val="16"/>
        </w:rPr>
      </w:pPr>
    </w:p>
    <w:p w14:paraId="1FC41E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серийный завод завершил постройку опытного Ил-16, и летчик-испытатель В.К.Коккинаки совершил первый полет. Выяснилось, что при таком мощном моторе реактивный момент воздушного винта и короткий хвост сильно сказываются на продольной устойчивости. Для ее улучшения на 500 мм удлинили хвостовую часть фюзеляжа, увеличили площадь вертикального оперения, а на руле направления поставили триммер. Доработанный самолет стал более устойчив и лучше управляем. Тем не менее, летные испытания затянулись из-за недостатков М-43НВ. Довести двигатель до требуемого состояния не удалось, поэтому летом 1946 г. работы по Ил-16 прекратили (9528).</w:t>
      </w:r>
    </w:p>
    <w:p w14:paraId="41C47B81" w14:textId="77777777" w:rsidR="00C2313B" w:rsidRPr="00925F26" w:rsidRDefault="00C2313B" w:rsidP="00925F26">
      <w:pPr>
        <w:autoSpaceDE w:val="0"/>
        <w:autoSpaceDN w:val="0"/>
        <w:adjustRightInd w:val="0"/>
        <w:jc w:val="both"/>
        <w:rPr>
          <w:color w:val="000000" w:themeColor="text1"/>
          <w:sz w:val="16"/>
          <w:szCs w:val="16"/>
        </w:rPr>
      </w:pPr>
    </w:p>
    <w:p w14:paraId="02348851" w14:textId="77777777" w:rsidR="000512A8" w:rsidRPr="001A0BAA" w:rsidRDefault="000512A8" w:rsidP="000512A8">
      <w:pPr>
        <w:jc w:val="both"/>
        <w:rPr>
          <w:color w:val="0070C0"/>
          <w:sz w:val="16"/>
          <w:szCs w:val="16"/>
        </w:rPr>
      </w:pPr>
      <w:r w:rsidRPr="001A0BAA">
        <w:rPr>
          <w:rStyle w:val="aff0"/>
          <w:rFonts w:ascii="Times New Roman" w:hAnsi="Times New Roman" w:cs="Times New Roman"/>
          <w:color w:val="0070C0"/>
          <w:spacing w:val="0"/>
          <w:sz w:val="16"/>
          <w:szCs w:val="16"/>
        </w:rPr>
        <w:lastRenderedPageBreak/>
        <w:t>В начале 1945 года построили Ил-16, и в апреле В.К. Коккинаки совершил на нем первый полет. Выяснилось, что при таком мощном двигателе реактивный момент воздуш</w:t>
      </w:r>
      <w:r w:rsidRPr="001A0BAA">
        <w:rPr>
          <w:rStyle w:val="aff0"/>
          <w:rFonts w:ascii="Times New Roman" w:hAnsi="Times New Roman" w:cs="Times New Roman"/>
          <w:color w:val="0070C0"/>
          <w:spacing w:val="0"/>
          <w:sz w:val="16"/>
          <w:szCs w:val="16"/>
        </w:rPr>
        <w:softHyphen/>
        <w:t>ного винта стремился перевернуть машину через крыло, а короткий фюзеляж не позволял обеспечить требуемый за</w:t>
      </w:r>
      <w:r w:rsidRPr="001A0BAA">
        <w:rPr>
          <w:rStyle w:val="aff0"/>
          <w:rFonts w:ascii="Times New Roman" w:hAnsi="Times New Roman" w:cs="Times New Roman"/>
          <w:color w:val="0070C0"/>
          <w:spacing w:val="0"/>
          <w:sz w:val="16"/>
          <w:szCs w:val="16"/>
        </w:rPr>
        <w:softHyphen/>
        <w:t>пас продольной устойчивости. Не лучше обстояли дела и с двигателем, который также требовал доводки.</w:t>
      </w:r>
    </w:p>
    <w:p w14:paraId="345E4532" w14:textId="77777777" w:rsidR="000512A8" w:rsidRPr="001A0BAA" w:rsidRDefault="000512A8" w:rsidP="000512A8">
      <w:pPr>
        <w:jc w:val="both"/>
        <w:rPr>
          <w:color w:val="0070C0"/>
          <w:sz w:val="16"/>
          <w:szCs w:val="16"/>
        </w:rPr>
      </w:pPr>
      <w:r w:rsidRPr="001A0BAA">
        <w:rPr>
          <w:rStyle w:val="aff0"/>
          <w:rFonts w:ascii="Times New Roman" w:hAnsi="Times New Roman" w:cs="Times New Roman"/>
          <w:color w:val="0070C0"/>
          <w:spacing w:val="0"/>
          <w:sz w:val="16"/>
          <w:szCs w:val="16"/>
        </w:rPr>
        <w:t>Если, удлинив на 0,5 метра хвостовую часть фюзеляжа и увеличив площадь вертикального оперения, удалось улуч</w:t>
      </w:r>
      <w:r w:rsidRPr="001A0BAA">
        <w:rPr>
          <w:rStyle w:val="aff0"/>
          <w:rFonts w:ascii="Times New Roman" w:hAnsi="Times New Roman" w:cs="Times New Roman"/>
          <w:color w:val="0070C0"/>
          <w:spacing w:val="0"/>
          <w:sz w:val="16"/>
          <w:szCs w:val="16"/>
        </w:rPr>
        <w:softHyphen/>
        <w:t>шить аэродинамику штурмовика, то доработка двигателя затянулась на неопределенный срок. В итоге летом 1946 года дальнейшую работу по Ил- 16 прекратили (25091).</w:t>
      </w:r>
    </w:p>
    <w:p w14:paraId="1F916ABB" w14:textId="77777777" w:rsidR="000512A8" w:rsidRPr="001A0BAA" w:rsidRDefault="000512A8" w:rsidP="000512A8">
      <w:pPr>
        <w:jc w:val="both"/>
        <w:rPr>
          <w:color w:val="0070C0"/>
          <w:sz w:val="16"/>
          <w:szCs w:val="16"/>
        </w:rPr>
      </w:pPr>
    </w:p>
    <w:p w14:paraId="4302B151"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 приступили к постройке опытного бомбардировщика Ил-14. Государственная. макетная комиссия, осмотрев в июне строящийся самолёт, рекомендовала завершить его постройку в варианте с двухместной кабиной лётчиков, сидящих рядом, увеличить боезапас оборонительного вооружения и установить спаренные пушки для защиты задней полусферы, причём пушечные установки вверху и внизу должны были обеспечивать круговой обстрел (С.В.Ильюшин с этим не согласился). В связи с окончанием Второй мировой войны постройку самолёта, несмотря на возражения военных, прекратили. Весной 1946 г., после известной речи У.Черчилля в Фултоне, провозгласившей начало «холодной войны», была предпринята попытка разработать на основе конструкции этого бомбарди</w:t>
      </w:r>
      <w:r w:rsidRPr="00925F26">
        <w:rPr>
          <w:color w:val="000000" w:themeColor="text1"/>
          <w:sz w:val="16"/>
          <w:szCs w:val="16"/>
        </w:rPr>
        <w:softHyphen/>
        <w:t>ровщика тяжёлый барражирующий истребитель с радиолокационным оборудованием и с мощным наступательным вооружением, состоявшим из двух пушек калибра 45 мм с общим боезапасом в 400 снарядов. Самолёт предназначался для отражения массированных налётов тяжёлых бомбардировщиков типа Боинг В-29 и В-50, состоявших на вооружении ВВС США. Однако затем правительство СССР сделало ставку на создание более перспективного оружия - зенитных управляемых ракет, и работа над указанным проектом была прекращена Постановлением СМ СССР от 30 ноября 1946 г. (23907).</w:t>
      </w:r>
    </w:p>
    <w:p w14:paraId="595958A6" w14:textId="77777777" w:rsidR="0058703C" w:rsidRPr="00925F26" w:rsidRDefault="0058703C" w:rsidP="00925F26">
      <w:pPr>
        <w:jc w:val="both"/>
        <w:rPr>
          <w:color w:val="000000" w:themeColor="text1"/>
          <w:sz w:val="16"/>
          <w:szCs w:val="16"/>
        </w:rPr>
      </w:pPr>
    </w:p>
    <w:p w14:paraId="02A82126" w14:textId="77777777" w:rsidR="000512A8" w:rsidRPr="00925F26" w:rsidRDefault="000512A8" w:rsidP="000512A8">
      <w:pPr>
        <w:autoSpaceDE w:val="0"/>
        <w:autoSpaceDN w:val="0"/>
        <w:adjustRightInd w:val="0"/>
        <w:jc w:val="both"/>
        <w:rPr>
          <w:color w:val="000000" w:themeColor="text1"/>
          <w:sz w:val="16"/>
          <w:szCs w:val="16"/>
        </w:rPr>
      </w:pPr>
      <w:r w:rsidRPr="00925F26">
        <w:rPr>
          <w:color w:val="000000" w:themeColor="text1"/>
          <w:sz w:val="16"/>
          <w:szCs w:val="16"/>
        </w:rPr>
        <w:t>В начале 1945 г. были выпущены рабочие чертежи Ил-14 (первого самолета под таким обозначением), предназначавшегося для замены самолета Ил-4 и способного превысить скорость 700 км/ч, а затем, в соответствии с планом опытного строительства НКАП на 1945 г., началась постройка опытной машины (9528).</w:t>
      </w:r>
    </w:p>
    <w:p w14:paraId="070C5E9D" w14:textId="77777777" w:rsidR="000512A8" w:rsidRPr="00925F26" w:rsidRDefault="000512A8" w:rsidP="000512A8">
      <w:pPr>
        <w:autoSpaceDE w:val="0"/>
        <w:autoSpaceDN w:val="0"/>
        <w:adjustRightInd w:val="0"/>
        <w:jc w:val="both"/>
        <w:rPr>
          <w:color w:val="000000" w:themeColor="text1"/>
          <w:sz w:val="16"/>
          <w:szCs w:val="16"/>
        </w:rPr>
      </w:pPr>
    </w:p>
    <w:p w14:paraId="29C2E1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64 завод в Воронеже начал сборку Ил-4 из готовых агрегатов (236,42).</w:t>
      </w:r>
    </w:p>
    <w:p w14:paraId="344FCD99" w14:textId="77777777" w:rsidR="00C2313B" w:rsidRPr="00925F26" w:rsidRDefault="00C2313B" w:rsidP="00925F26">
      <w:pPr>
        <w:autoSpaceDE w:val="0"/>
        <w:autoSpaceDN w:val="0"/>
        <w:adjustRightInd w:val="0"/>
        <w:jc w:val="both"/>
        <w:rPr>
          <w:color w:val="000000" w:themeColor="text1"/>
          <w:sz w:val="16"/>
          <w:szCs w:val="16"/>
        </w:rPr>
      </w:pPr>
    </w:p>
    <w:p w14:paraId="748F31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был выпущен Ер-2 с АЧ-30БФ (4,281).</w:t>
      </w:r>
    </w:p>
    <w:p w14:paraId="3473DA41" w14:textId="77777777" w:rsidR="00C2313B" w:rsidRPr="00925F26" w:rsidRDefault="00C2313B" w:rsidP="00925F26">
      <w:pPr>
        <w:autoSpaceDE w:val="0"/>
        <w:autoSpaceDN w:val="0"/>
        <w:adjustRightInd w:val="0"/>
        <w:jc w:val="both"/>
        <w:rPr>
          <w:color w:val="000000" w:themeColor="text1"/>
          <w:sz w:val="16"/>
          <w:szCs w:val="16"/>
        </w:rPr>
      </w:pPr>
    </w:p>
    <w:p w14:paraId="5B88CB4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ОКБ А.Н.Т. подготовило проект еще одного фронтового скоростного бомбардировщика - модификацию Ту-2 под АМ-39ФНВ. Получил обозначение 68 и Ту-4, а затем - Ту-10. Уширили фонарь носовой части фюзеляжа, три окна стрелка заменили на одно большое, установили водорадиаторы в центроплане, увеличили ВО, сделали управляемый стабилизатор, стрелковую установку штурмана ВУШ заменили на ВУС-1, а стрелка - ВУБ-2 на ВУБ-65 и увеличили вынос колес на 125 мм, а также поставили более крупное хвостовое колесо (1835,57).</w:t>
      </w:r>
    </w:p>
    <w:p w14:paraId="29EA35B6" w14:textId="77777777" w:rsidR="00C2313B" w:rsidRPr="00925F26" w:rsidRDefault="00C2313B" w:rsidP="00925F26">
      <w:pPr>
        <w:autoSpaceDE w:val="0"/>
        <w:autoSpaceDN w:val="0"/>
        <w:adjustRightInd w:val="0"/>
        <w:jc w:val="both"/>
        <w:rPr>
          <w:color w:val="000000" w:themeColor="text1"/>
          <w:sz w:val="16"/>
          <w:szCs w:val="16"/>
        </w:rPr>
      </w:pPr>
    </w:p>
    <w:p w14:paraId="191B4A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А.Н.Т. получил задание на новый 4 моторный бомбардировщик - самолет 64 (4,384).</w:t>
      </w:r>
    </w:p>
    <w:p w14:paraId="46FF4FBB" w14:textId="77777777" w:rsidR="00C2313B" w:rsidRPr="00925F26" w:rsidRDefault="00C2313B" w:rsidP="00925F26">
      <w:pPr>
        <w:autoSpaceDE w:val="0"/>
        <w:autoSpaceDN w:val="0"/>
        <w:adjustRightInd w:val="0"/>
        <w:jc w:val="both"/>
        <w:rPr>
          <w:color w:val="000000" w:themeColor="text1"/>
          <w:sz w:val="16"/>
          <w:szCs w:val="16"/>
        </w:rPr>
      </w:pPr>
    </w:p>
    <w:p w14:paraId="171D3DD6"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 самолет Пе-8 ОН №42612 с двигателя</w:t>
      </w:r>
      <w:r w:rsidRPr="00925F26">
        <w:rPr>
          <w:color w:val="000000" w:themeColor="text1"/>
          <w:sz w:val="16"/>
          <w:szCs w:val="16"/>
        </w:rPr>
        <w:softHyphen/>
        <w:t>ми АЧ—ЗОБ и опытными винтами завода №28 УФ—61В проходил заводские испытания. Самолет был оборудован антиобледенительной системой «Гуд</w:t>
      </w:r>
      <w:r w:rsidRPr="00925F26">
        <w:rPr>
          <w:color w:val="000000" w:themeColor="text1"/>
          <w:sz w:val="16"/>
          <w:szCs w:val="16"/>
        </w:rPr>
        <w:softHyphen/>
        <w:t>рич» — крыло, киль и стабилизатор. «В результате заводских испытаний под</w:t>
      </w:r>
      <w:r w:rsidRPr="00925F26">
        <w:rPr>
          <w:color w:val="000000" w:themeColor="text1"/>
          <w:sz w:val="16"/>
          <w:szCs w:val="16"/>
        </w:rPr>
        <w:softHyphen/>
        <w:t>твердилось, что летные данные самолета Пе—8 в пассажирском варианте с мото</w:t>
      </w:r>
      <w:r w:rsidRPr="00925F26">
        <w:rPr>
          <w:color w:val="000000" w:themeColor="text1"/>
          <w:sz w:val="16"/>
          <w:szCs w:val="16"/>
        </w:rPr>
        <w:softHyphen/>
        <w:t>рами АЧ—ЗОБ соответствуют данным, за</w:t>
      </w:r>
      <w:r w:rsidRPr="00925F26">
        <w:rPr>
          <w:color w:val="000000" w:themeColor="text1"/>
          <w:sz w:val="16"/>
          <w:szCs w:val="16"/>
        </w:rPr>
        <w:softHyphen/>
        <w:t>явленным конструкторским отделом в эскизном проекте». Отчет по результа</w:t>
      </w:r>
      <w:r w:rsidRPr="00925F26">
        <w:rPr>
          <w:color w:val="000000" w:themeColor="text1"/>
          <w:sz w:val="16"/>
          <w:szCs w:val="16"/>
        </w:rPr>
        <w:softHyphen/>
        <w:t>там испытаний был подписан 28 февра</w:t>
      </w:r>
      <w:r w:rsidRPr="00925F26">
        <w:rPr>
          <w:color w:val="000000" w:themeColor="text1"/>
          <w:sz w:val="16"/>
          <w:szCs w:val="16"/>
        </w:rPr>
        <w:softHyphen/>
        <w:t>ля 1945 г. (23474).</w:t>
      </w:r>
    </w:p>
    <w:p w14:paraId="57D9ED05" w14:textId="77777777" w:rsidR="0058703C" w:rsidRPr="00925F26" w:rsidRDefault="0058703C" w:rsidP="00925F26">
      <w:pPr>
        <w:jc w:val="both"/>
        <w:rPr>
          <w:color w:val="000000" w:themeColor="text1"/>
          <w:sz w:val="16"/>
          <w:szCs w:val="16"/>
        </w:rPr>
      </w:pPr>
    </w:p>
    <w:p w14:paraId="4BA2A3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прекратили производство последних модификаций Пе-8 (2494,8).</w:t>
      </w:r>
    </w:p>
    <w:p w14:paraId="395DEB27" w14:textId="77777777" w:rsidR="00C2313B" w:rsidRPr="00925F26" w:rsidRDefault="00C2313B" w:rsidP="00925F26">
      <w:pPr>
        <w:autoSpaceDE w:val="0"/>
        <w:autoSpaceDN w:val="0"/>
        <w:adjustRightInd w:val="0"/>
        <w:jc w:val="both"/>
        <w:rPr>
          <w:color w:val="000000" w:themeColor="text1"/>
          <w:sz w:val="16"/>
          <w:szCs w:val="16"/>
        </w:rPr>
      </w:pPr>
    </w:p>
    <w:p w14:paraId="6312F8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прекратили производство Пе-8 (ТБ-7), а до этого строили 3-4 в месяц (556,160).</w:t>
      </w:r>
    </w:p>
    <w:p w14:paraId="69CBB613" w14:textId="77777777" w:rsidR="00C2313B" w:rsidRPr="00925F26" w:rsidRDefault="00C2313B" w:rsidP="00925F26">
      <w:pPr>
        <w:autoSpaceDE w:val="0"/>
        <w:autoSpaceDN w:val="0"/>
        <w:adjustRightInd w:val="0"/>
        <w:jc w:val="both"/>
        <w:rPr>
          <w:color w:val="000000" w:themeColor="text1"/>
          <w:sz w:val="16"/>
          <w:szCs w:val="16"/>
        </w:rPr>
      </w:pPr>
    </w:p>
    <w:p w14:paraId="4714E1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были предложения реанимировать серийное производство Пе-8, судя по всему в модернизированном варианте, но это предложение было отвергнуто в самом начале. Под влиянием предложений авиапрома и военных (например, письмо в НКАП В.М.Мясищева и "представления" В-29 Сталину Головановым) Сталин принимает историческое для нашей авиации решение - копировать В-29 на основе нескольких машин, интернированных СССР на Дальнем Востоке (7685).</w:t>
      </w:r>
    </w:p>
    <w:p w14:paraId="071CBDBB" w14:textId="77777777" w:rsidR="00C2313B" w:rsidRPr="00925F26" w:rsidRDefault="00C2313B" w:rsidP="00925F26">
      <w:pPr>
        <w:autoSpaceDE w:val="0"/>
        <w:autoSpaceDN w:val="0"/>
        <w:adjustRightInd w:val="0"/>
        <w:jc w:val="both"/>
        <w:rPr>
          <w:color w:val="000000" w:themeColor="text1"/>
          <w:sz w:val="16"/>
          <w:szCs w:val="16"/>
        </w:rPr>
      </w:pPr>
    </w:p>
    <w:p w14:paraId="74A75F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из самолетов Пе-8 4М-82 был переоборудован в самолет-носитель для испытаний челомеевских самолетов-снарядов серии "Х"(10Х, 14Х, 16Х), проектировавшихся на базе немецких ФАУ-1 (7685).</w:t>
      </w:r>
    </w:p>
    <w:p w14:paraId="5409ECBB" w14:textId="77777777" w:rsidR="00C2313B" w:rsidRPr="00925F26" w:rsidRDefault="00C2313B" w:rsidP="00925F26">
      <w:pPr>
        <w:autoSpaceDE w:val="0"/>
        <w:autoSpaceDN w:val="0"/>
        <w:adjustRightInd w:val="0"/>
        <w:jc w:val="both"/>
        <w:rPr>
          <w:color w:val="000000" w:themeColor="text1"/>
          <w:sz w:val="16"/>
          <w:szCs w:val="16"/>
        </w:rPr>
      </w:pPr>
    </w:p>
    <w:p w14:paraId="1BCB9E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один Пе-8 с М-82 переоборудовали в носитель самолётов-снарядов (крылатых ракет) 10Х, 14Х и 16Х. В марте того же года в Средней Азии их сбрасывали и запускали с этого самолёта.</w:t>
      </w:r>
    </w:p>
    <w:p w14:paraId="6D8B47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Другой Пе-8, с моторами М-82, в ЛИИ превратили в носитель опытного ракетного самолёта "5" конструкции М.Р. Бисновата. Полёты по программе его испытаний выполнялись в 1948 - 1949 гг.</w:t>
      </w:r>
    </w:p>
    <w:p w14:paraId="1353ED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Уже после снятия Пе-8 с производства проводилось переоборудование машин в летающие лаборатории. К Незвалю обратился начальник НИИ ВВС генерал П.А. Лосюков с просьбой переделать серийный Пе-8 с моторами АМ-35А в летающую лабораторию для испытаний АШ-82ФН. Последний устанавливался в носовой части фюзеляжа вместо кабины штурмана. Переделку осуществляли мастерские НИИ ВВС (11996).</w:t>
      </w:r>
    </w:p>
    <w:p w14:paraId="15C73DD8" w14:textId="77777777" w:rsidR="00C2313B" w:rsidRPr="00925F26" w:rsidRDefault="00C2313B" w:rsidP="00925F26">
      <w:pPr>
        <w:autoSpaceDE w:val="0"/>
        <w:autoSpaceDN w:val="0"/>
        <w:adjustRightInd w:val="0"/>
        <w:jc w:val="both"/>
        <w:rPr>
          <w:color w:val="000000" w:themeColor="text1"/>
          <w:sz w:val="16"/>
          <w:szCs w:val="16"/>
        </w:rPr>
      </w:pPr>
    </w:p>
    <w:p w14:paraId="179C4E8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 отказались и решили делать правительственные машины на основе доработки обычных серийных машин. С осени 1944 по начало 1945 в бригаде Б.М.Кондорского КБ А.Н.Т. прорабатывался пассажирский самолет для спецперевозок MN и было рассмотрено около 10 вариантов (2546,36).</w:t>
      </w:r>
    </w:p>
    <w:p w14:paraId="627C65D4" w14:textId="77777777" w:rsidR="00C2313B" w:rsidRPr="00925F26" w:rsidRDefault="00C2313B" w:rsidP="00925F26">
      <w:pPr>
        <w:autoSpaceDE w:val="0"/>
        <w:autoSpaceDN w:val="0"/>
        <w:adjustRightInd w:val="0"/>
        <w:jc w:val="both"/>
        <w:rPr>
          <w:color w:val="000000" w:themeColor="text1"/>
          <w:sz w:val="16"/>
          <w:szCs w:val="16"/>
        </w:rPr>
      </w:pPr>
    </w:p>
    <w:p w14:paraId="595B74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М.Л. Миль, впоследствии известный конструктор вертолетов, предложил для улучшения маневренности истребителя использовать посадочные шитки. В марте машина прошла исследования в ЛИИ, показавшие, что время виража на высоте 1000 м сокращалось на 1,5-2,5 секунды, а на высоте 4000 м - на 2,5- 3,5 секунды. При этом радиус виража уменьшался на 15-20 м и 50-60 м соответственно. Было предложено использовать идею на самолетах Ла-7, выпускавшихся заводом № 381. Война уже шла к концу, предложение так и осталось не внедренным, но не потеряло своей актуальности и по сей день (12032).</w:t>
      </w:r>
    </w:p>
    <w:p w14:paraId="248B3740" w14:textId="77777777" w:rsidR="00C2313B" w:rsidRPr="00925F26" w:rsidRDefault="00C2313B" w:rsidP="00925F26">
      <w:pPr>
        <w:autoSpaceDE w:val="0"/>
        <w:autoSpaceDN w:val="0"/>
        <w:adjustRightInd w:val="0"/>
        <w:jc w:val="both"/>
        <w:rPr>
          <w:color w:val="000000" w:themeColor="text1"/>
          <w:sz w:val="16"/>
          <w:szCs w:val="16"/>
        </w:rPr>
      </w:pPr>
    </w:p>
    <w:p w14:paraId="69622962" w14:textId="77777777" w:rsidR="000512A8" w:rsidRPr="001A0BAA" w:rsidRDefault="000512A8" w:rsidP="000512A8">
      <w:pPr>
        <w:jc w:val="both"/>
        <w:rPr>
          <w:color w:val="0070C0"/>
          <w:sz w:val="16"/>
          <w:szCs w:val="16"/>
        </w:rPr>
      </w:pPr>
      <w:r w:rsidRPr="001A0BAA">
        <w:rPr>
          <w:color w:val="0070C0"/>
          <w:sz w:val="16"/>
          <w:szCs w:val="16"/>
        </w:rPr>
        <w:t>В начале 1945 г. МЛ. Миль, впос</w:t>
      </w:r>
      <w:r w:rsidRPr="001A0BAA">
        <w:rPr>
          <w:color w:val="0070C0"/>
          <w:sz w:val="16"/>
          <w:szCs w:val="16"/>
        </w:rPr>
        <w:softHyphen/>
        <w:t>ледствии известный конструктор вер</w:t>
      </w:r>
      <w:r w:rsidRPr="001A0BAA">
        <w:rPr>
          <w:color w:val="0070C0"/>
          <w:sz w:val="16"/>
          <w:szCs w:val="16"/>
        </w:rPr>
        <w:softHyphen/>
        <w:t>толетов, предложил для улучшения маневренности истребителя Ла-5 использо</w:t>
      </w:r>
      <w:r w:rsidRPr="001A0BAA">
        <w:rPr>
          <w:color w:val="0070C0"/>
          <w:sz w:val="16"/>
          <w:szCs w:val="16"/>
        </w:rPr>
        <w:softHyphen/>
        <w:t>вать посадочные щитки. В марте этого же года машина прошла исследования в ЛИИ, показавшие, что при выпуске щитков время виража на высоте 1000 м сокращалось на 1,5 - 2,5 с. а на высоте 4000 м - на 2.5 - 3,5 с. При этом радиус виража уменьшался на 15 - 20 м и 50 - 60 м соответственно. Предложили ис</w:t>
      </w:r>
      <w:r w:rsidRPr="001A0BAA">
        <w:rPr>
          <w:color w:val="0070C0"/>
          <w:sz w:val="16"/>
          <w:szCs w:val="16"/>
        </w:rPr>
        <w:softHyphen/>
        <w:t>пользовать данную идею на самолетах Ла-7, выпускавшихся заводом №381. Война уже шла к концу, и предложение Миля так и осталось не внедренным, но не потеряло своей актуальности и по сей день (24930).</w:t>
      </w:r>
    </w:p>
    <w:p w14:paraId="75DA851A" w14:textId="77777777" w:rsidR="000512A8" w:rsidRPr="001A0BAA" w:rsidRDefault="000512A8" w:rsidP="000512A8">
      <w:pPr>
        <w:jc w:val="both"/>
        <w:rPr>
          <w:color w:val="0070C0"/>
          <w:sz w:val="16"/>
          <w:szCs w:val="16"/>
        </w:rPr>
      </w:pPr>
    </w:p>
    <w:p w14:paraId="05AD8E8E" w14:textId="77777777" w:rsidR="00B6122E" w:rsidRPr="00925F26" w:rsidRDefault="00B6122E" w:rsidP="00925F26">
      <w:pPr>
        <w:jc w:val="both"/>
        <w:rPr>
          <w:color w:val="000000" w:themeColor="text1"/>
          <w:sz w:val="16"/>
          <w:szCs w:val="16"/>
        </w:rPr>
      </w:pPr>
      <w:r w:rsidRPr="00925F26">
        <w:rPr>
          <w:color w:val="000000" w:themeColor="text1"/>
          <w:sz w:val="16"/>
          <w:szCs w:val="16"/>
        </w:rPr>
        <w:t>С начала 1945 г. самолеты Ла-7 стали комплектоваться радиополукомпасами РПКО-10, а со второго полугодия — и ответчиками «свой-чужой» СЧ-3, которые выдавали сигнал опознавания наземным радиолокаторам с приставкой-запросчиком. Истребитель Лавочкина стал первой советской машиной, которая получила такое оборудование штатно в ходе производства, а не в порядке доработки единичных машин или отдельных серий по спецзаказам. К лету 1945-го процент Ла-7, оснащенных РПКО-10 и СЧ-3, был выше, чем аналогичных истребителей Яковлева. Но антенна СЧ-3 была расположена так, что летчик, прыгая с парашютом, мог удариться об нее. Специалистами НИИ ВВС в сентябре 1945 г. была разработана внутрифюзеляжная антенна ответчика (22769).</w:t>
      </w:r>
    </w:p>
    <w:p w14:paraId="6E428CDD" w14:textId="77777777" w:rsidR="00B6122E" w:rsidRPr="00925F26" w:rsidRDefault="00B6122E" w:rsidP="00925F26">
      <w:pPr>
        <w:jc w:val="both"/>
        <w:rPr>
          <w:color w:val="000000" w:themeColor="text1"/>
          <w:sz w:val="16"/>
          <w:szCs w:val="16"/>
        </w:rPr>
      </w:pPr>
    </w:p>
    <w:p w14:paraId="0BD35F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ХАЗ получил правительственное задание переделать уже готовые истребители Як-9М в истребители-бомбардировщики. Ремонт и выпуск Як-9 всех модификаций шел, не прекращаясь, до самого последнего дня войны (10674).</w:t>
      </w:r>
    </w:p>
    <w:p w14:paraId="470675A0" w14:textId="77777777" w:rsidR="00C2313B" w:rsidRPr="00925F26" w:rsidRDefault="00C2313B" w:rsidP="00925F26">
      <w:pPr>
        <w:autoSpaceDE w:val="0"/>
        <w:autoSpaceDN w:val="0"/>
        <w:adjustRightInd w:val="0"/>
        <w:jc w:val="both"/>
        <w:rPr>
          <w:color w:val="000000" w:themeColor="text1"/>
          <w:sz w:val="16"/>
          <w:szCs w:val="16"/>
        </w:rPr>
      </w:pPr>
    </w:p>
    <w:p w14:paraId="5DDB52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года А.С.Яковлев вновь взялся за установ</w:t>
      </w:r>
      <w:r w:rsidRPr="00925F26">
        <w:rPr>
          <w:color w:val="000000" w:themeColor="text1"/>
          <w:sz w:val="16"/>
          <w:szCs w:val="16"/>
        </w:rPr>
        <w:softHyphen/>
        <w:t>ку АШ-82ФН на свой самолет, те</w:t>
      </w:r>
      <w:r w:rsidRPr="00925F26">
        <w:rPr>
          <w:color w:val="000000" w:themeColor="text1"/>
          <w:sz w:val="16"/>
          <w:szCs w:val="16"/>
        </w:rPr>
        <w:softHyphen/>
        <w:t>перь уже Як-3. К апрелю Як-ЗУ с этим мотором был построен, но опоздал -война закончилась, и самолет остал</w:t>
      </w:r>
      <w:r w:rsidRPr="00925F26">
        <w:rPr>
          <w:color w:val="000000" w:themeColor="text1"/>
          <w:sz w:val="16"/>
          <w:szCs w:val="16"/>
        </w:rPr>
        <w:softHyphen/>
        <w:t>ся не у дел (10714).</w:t>
      </w:r>
    </w:p>
    <w:p w14:paraId="41ECFE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99888AE" w14:textId="77777777" w:rsidR="00B6122E" w:rsidRPr="00925F26" w:rsidRDefault="00B6122E" w:rsidP="00925F26">
      <w:pPr>
        <w:jc w:val="both"/>
        <w:rPr>
          <w:color w:val="000000" w:themeColor="text1"/>
          <w:sz w:val="16"/>
          <w:szCs w:val="16"/>
        </w:rPr>
      </w:pPr>
      <w:r w:rsidRPr="00925F26">
        <w:rPr>
          <w:color w:val="000000" w:themeColor="text1"/>
          <w:sz w:val="16"/>
          <w:szCs w:val="16"/>
        </w:rPr>
        <w:t>В начале 1945 Як-3 № 1630 выпуска завода № 292 «провалил» контрольные испытания. Такие машины старались не давать на фронт, а использовать для различных опытных работ или в запасных полках для тренировки пилотов (22751).</w:t>
      </w:r>
    </w:p>
    <w:p w14:paraId="1BC06D54" w14:textId="77777777" w:rsidR="00B6122E" w:rsidRPr="00925F26" w:rsidRDefault="00B6122E" w:rsidP="00925F26">
      <w:pPr>
        <w:jc w:val="both"/>
        <w:rPr>
          <w:color w:val="000000" w:themeColor="text1"/>
          <w:sz w:val="16"/>
          <w:szCs w:val="16"/>
        </w:rPr>
      </w:pPr>
    </w:p>
    <w:p w14:paraId="3BE04F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76444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4CB4EC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53E9562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399A3E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D6260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21D65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завода Хведелиани</w:t>
      </w:r>
    </w:p>
    <w:p w14:paraId="6CC1EB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Тбилиси, п/я 51</w:t>
      </w:r>
    </w:p>
    <w:p w14:paraId="66817B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июля 1956 года завод приступил к освоению нового самолета МИГ-21 (9821).</w:t>
      </w:r>
    </w:p>
    <w:p w14:paraId="1074B30B" w14:textId="77777777" w:rsidR="00C2313B" w:rsidRPr="00925F26" w:rsidRDefault="00C2313B" w:rsidP="00925F26">
      <w:pPr>
        <w:autoSpaceDE w:val="0"/>
        <w:autoSpaceDN w:val="0"/>
        <w:adjustRightInd w:val="0"/>
        <w:jc w:val="both"/>
        <w:rPr>
          <w:color w:val="000000" w:themeColor="text1"/>
          <w:sz w:val="16"/>
          <w:szCs w:val="16"/>
        </w:rPr>
      </w:pPr>
    </w:p>
    <w:p w14:paraId="324364F0" w14:textId="77777777" w:rsidR="000512A8" w:rsidRPr="001A0BAA" w:rsidRDefault="000512A8" w:rsidP="000512A8">
      <w:pPr>
        <w:jc w:val="both"/>
        <w:rPr>
          <w:color w:val="0070C0"/>
          <w:sz w:val="16"/>
          <w:szCs w:val="16"/>
        </w:rPr>
      </w:pPr>
      <w:r w:rsidRPr="001A0BAA">
        <w:rPr>
          <w:color w:val="0070C0"/>
          <w:sz w:val="16"/>
          <w:szCs w:val="16"/>
        </w:rPr>
        <w:t>В начале 1945 г. появился вариант Як-9УТ</w:t>
      </w:r>
      <w:r w:rsidRPr="001A0BAA">
        <w:rPr>
          <w:b/>
          <w:bCs/>
          <w:color w:val="0070C0"/>
          <w:sz w:val="16"/>
          <w:szCs w:val="16"/>
        </w:rPr>
        <w:t xml:space="preserve"> </w:t>
      </w:r>
      <w:r w:rsidRPr="001A0BAA">
        <w:rPr>
          <w:color w:val="0070C0"/>
          <w:sz w:val="16"/>
          <w:szCs w:val="16"/>
        </w:rPr>
        <w:t>(«танковый») с мотор-пушкой Н-37 и двумя синхронными 20-мм пушками Б-20С конструкции М.Е. Березина; вес секундного залпа достигал 6 кг против 2,81 кг у Як-9У. С февраля по май 1945 г. завод №166 выпустил 282 Як-9УТ (24932).</w:t>
      </w:r>
    </w:p>
    <w:p w14:paraId="5E841BE2" w14:textId="77777777" w:rsidR="000512A8" w:rsidRPr="001A0BAA" w:rsidRDefault="000512A8" w:rsidP="000512A8">
      <w:pPr>
        <w:jc w:val="both"/>
        <w:rPr>
          <w:color w:val="0070C0"/>
          <w:sz w:val="16"/>
          <w:szCs w:val="16"/>
        </w:rPr>
      </w:pPr>
    </w:p>
    <w:p w14:paraId="68055501" w14:textId="77777777" w:rsidR="000C332D" w:rsidRPr="00925F26" w:rsidRDefault="000C332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начале 1945 г. на 1-й ремонт</w:t>
      </w:r>
      <w:r w:rsidRPr="00925F26">
        <w:rPr>
          <w:rFonts w:ascii="Times New Roman" w:cs="Times New Roman"/>
          <w:color w:val="000000" w:themeColor="text1"/>
          <w:spacing w:val="0"/>
        </w:rPr>
        <w:softHyphen/>
        <w:t>ной базе 13-й воздушной армии передела</w:t>
      </w:r>
      <w:r w:rsidRPr="00925F26">
        <w:rPr>
          <w:rFonts w:ascii="Times New Roman" w:cs="Times New Roman"/>
          <w:color w:val="000000" w:themeColor="text1"/>
          <w:spacing w:val="0"/>
        </w:rPr>
        <w:softHyphen/>
        <w:t>ли Як-9 с мотором ВК-105ПФ в двухместный учебно-</w:t>
      </w:r>
      <w:proofErr w:type="gramStart"/>
      <w:r w:rsidRPr="00925F26">
        <w:rPr>
          <w:rFonts w:ascii="Times New Roman" w:cs="Times New Roman"/>
          <w:color w:val="000000" w:themeColor="text1"/>
          <w:spacing w:val="0"/>
        </w:rPr>
        <w:t>трениро-вочный</w:t>
      </w:r>
      <w:proofErr w:type="gramEnd"/>
      <w:r w:rsidRPr="00925F26">
        <w:rPr>
          <w:rFonts w:ascii="Times New Roman" w:cs="Times New Roman"/>
          <w:color w:val="000000" w:themeColor="text1"/>
          <w:spacing w:val="0"/>
        </w:rPr>
        <w:t xml:space="preserve"> самолёт. Машина, названная Як-9В («вывозной»), отличалась наличием места для инструктора и двой</w:t>
      </w:r>
      <w:r w:rsidRPr="00925F26">
        <w:rPr>
          <w:rFonts w:ascii="Times New Roman" w:cs="Times New Roman"/>
          <w:color w:val="000000" w:themeColor="text1"/>
          <w:spacing w:val="0"/>
        </w:rPr>
        <w:softHyphen/>
        <w:t>ным управлением. На ней имелся приёмник РСИ-4А, связанный с СПУ, а вооружение от</w:t>
      </w:r>
      <w:r w:rsidRPr="00925F26">
        <w:rPr>
          <w:rFonts w:ascii="Times New Roman" w:cs="Times New Roman"/>
          <w:color w:val="000000" w:themeColor="text1"/>
          <w:spacing w:val="0"/>
        </w:rPr>
        <w:softHyphen/>
        <w:t>сутствовало. В марте того же года самолёт испытали в НИИ ВВС и рекомендовали для обучения и тренировки лётного состава при условии проведения статических испытаний и устранения выявленных дефектов.</w:t>
      </w:r>
    </w:p>
    <w:p w14:paraId="2F9B076B" w14:textId="77777777" w:rsidR="000C332D" w:rsidRPr="00925F26" w:rsidRDefault="000C332D" w:rsidP="00925F26">
      <w:pPr>
        <w:jc w:val="both"/>
        <w:rPr>
          <w:color w:val="000000" w:themeColor="text1"/>
          <w:sz w:val="16"/>
          <w:szCs w:val="16"/>
        </w:rPr>
      </w:pPr>
      <w:r w:rsidRPr="00925F26">
        <w:rPr>
          <w:color w:val="000000" w:themeColor="text1"/>
          <w:sz w:val="16"/>
          <w:szCs w:val="16"/>
        </w:rPr>
        <w:t>Но этого не сделали, зато сходным обра</w:t>
      </w:r>
      <w:r w:rsidRPr="00925F26">
        <w:rPr>
          <w:color w:val="000000" w:themeColor="text1"/>
          <w:sz w:val="16"/>
          <w:szCs w:val="16"/>
        </w:rPr>
        <w:softHyphen/>
        <w:t>зом модифицировали Як-9Т, построенный заводом № 153. Кабину обучаемого смес</w:t>
      </w:r>
      <w:r w:rsidRPr="00925F26">
        <w:rPr>
          <w:color w:val="000000" w:themeColor="text1"/>
          <w:sz w:val="16"/>
          <w:szCs w:val="16"/>
        </w:rPr>
        <w:softHyphen/>
        <w:t>тили вперёд на 400 мм, а между 2-й и 3-й рамами фюзеляжа разместили инструктора. Обе кабины закрывались общим фонарём с механизмом аварийного сброса. Бронеспин</w:t>
      </w:r>
      <w:r w:rsidRPr="00925F26">
        <w:rPr>
          <w:color w:val="000000" w:themeColor="text1"/>
          <w:sz w:val="16"/>
          <w:szCs w:val="16"/>
        </w:rPr>
        <w:softHyphen/>
        <w:t>ки заменили фанерными. Объём маслобака уменьшили до 51 л, а с бензобаков сняли протекторы и систему нейтрального газа. Радиостанцию и кислородное оборудование демонтировали.</w:t>
      </w:r>
    </w:p>
    <w:p w14:paraId="6978579B" w14:textId="77777777" w:rsidR="000C332D" w:rsidRPr="00925F26" w:rsidRDefault="000C332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задней кабине разместили ручное и ножное управление рулями и элеронами, управление тормозами (при этом инструк</w:t>
      </w:r>
      <w:r w:rsidRPr="00925F26">
        <w:rPr>
          <w:rFonts w:ascii="Times New Roman" w:cs="Times New Roman"/>
          <w:color w:val="000000" w:themeColor="text1"/>
          <w:spacing w:val="0"/>
        </w:rPr>
        <w:softHyphen/>
        <w:t>тор кнопкой мог выключить управление ими из передней кабины), сектора газа и управления шагом винта, переключатель магнето, две осветительные лампы и при</w:t>
      </w:r>
      <w:r w:rsidRPr="00925F26">
        <w:rPr>
          <w:rFonts w:ascii="Times New Roman" w:cs="Times New Roman"/>
          <w:color w:val="000000" w:themeColor="text1"/>
          <w:spacing w:val="0"/>
        </w:rPr>
        <w:softHyphen/>
        <w:t>борную доску. Пушку НС-37 и пулемёт УБС заменили на одну МП-20 с боезапасом 90 патронов.</w:t>
      </w:r>
    </w:p>
    <w:p w14:paraId="48C5B6F1" w14:textId="77777777" w:rsidR="000C332D" w:rsidRPr="00925F26" w:rsidRDefault="000C332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Этот самолёт тоже проходил испытания. Из-за недостаточного объёма оборудования и неудобства задней кабины Як-9В не ре</w:t>
      </w:r>
      <w:r w:rsidRPr="00925F26">
        <w:rPr>
          <w:rFonts w:ascii="Times New Roman" w:cs="Times New Roman"/>
          <w:color w:val="000000" w:themeColor="text1"/>
          <w:spacing w:val="0"/>
        </w:rPr>
        <w:softHyphen/>
        <w:t>комендовали для использования в лётных школах и запасных полках. Тем не менее, его запустили в серию, поскольку по технике пилотирования он ничем не отличался от серийных машин с мотором ВК-105ПФ (19103).</w:t>
      </w:r>
    </w:p>
    <w:p w14:paraId="64080906" w14:textId="77777777" w:rsidR="000C332D" w:rsidRPr="00925F26" w:rsidRDefault="000C332D" w:rsidP="00925F26">
      <w:pPr>
        <w:pStyle w:val="27"/>
        <w:shd w:val="clear" w:color="auto" w:fill="auto"/>
        <w:spacing w:after="0" w:line="240" w:lineRule="auto"/>
        <w:ind w:firstLine="0"/>
        <w:rPr>
          <w:rFonts w:ascii="Times New Roman" w:cs="Times New Roman"/>
          <w:color w:val="000000" w:themeColor="text1"/>
          <w:spacing w:val="0"/>
        </w:rPr>
      </w:pPr>
    </w:p>
    <w:p w14:paraId="234F24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наркомат авиапромышленности утвердил план первого квартала, в котором ОКБ П.О. Сухого поручалось создание реактивного истребителя к 1 марта 1946 г. Однако впоследствии тема была исключена из плана из-за отсутствия летного образца двигателя С-18 конструкции А.М. Люлька. Эти обстоятельства вынудили проектировщиков переориентироваться на трофейный двигатель Jumo 004. В октябре 1945 г. эскизный проект двухмоторного самолета, получивший в ОКБ шифр "Л", был утвержден.</w:t>
      </w:r>
    </w:p>
    <w:p w14:paraId="2E31EC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Машина предназначалась для ведения активного воздушного боя с истребителями и бомбардировщиками противника в прифронтовой зоне и представляла собой цельнометаллический среднеплан с трехколесным убирающимся в полете шасси. Вооружение состояло из пушки калибра 37 мм с боезапасом 45 снарядов и двух пушек калибра 20 мм с суммарным боекомплектом 300 патронов.</w:t>
      </w:r>
    </w:p>
    <w:p w14:paraId="4C4815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выводах заключения по эскизному проекту указывалось, что проект "…представляет интерес для ВВС КА..."</w:t>
      </w:r>
    </w:p>
    <w:p w14:paraId="045E317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утверждении заключения главный инженер ВВС КА генерал-полковник ИАС А.К. Репин отметил, что "Конструкция истребителя должна позволять установку двигателей ЮМО с тягой до 1200 кг" (11179).</w:t>
      </w:r>
    </w:p>
    <w:p w14:paraId="2C9C1306" w14:textId="77777777" w:rsidR="00C2313B" w:rsidRPr="00925F26" w:rsidRDefault="00C2313B" w:rsidP="00925F26">
      <w:pPr>
        <w:autoSpaceDE w:val="0"/>
        <w:autoSpaceDN w:val="0"/>
        <w:adjustRightInd w:val="0"/>
        <w:jc w:val="both"/>
        <w:rPr>
          <w:color w:val="000000" w:themeColor="text1"/>
          <w:sz w:val="16"/>
          <w:szCs w:val="16"/>
        </w:rPr>
      </w:pPr>
    </w:p>
    <w:p w14:paraId="7A9285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начале 1945 г. УГУ НКАП СССР утвердило план </w:t>
      </w:r>
      <w:r w:rsidRPr="00925F26">
        <w:rPr>
          <w:color w:val="000000" w:themeColor="text1"/>
          <w:sz w:val="16"/>
          <w:szCs w:val="16"/>
          <w:lang w:val="en-US"/>
        </w:rPr>
        <w:t>I</w:t>
      </w:r>
      <w:r w:rsidRPr="00925F26">
        <w:rPr>
          <w:color w:val="000000" w:themeColor="text1"/>
          <w:sz w:val="16"/>
          <w:szCs w:val="16"/>
        </w:rPr>
        <w:t xml:space="preserve"> квартала со сроком завершения работ по реактивному истребителю к 1 марта 1946 г., но во </w:t>
      </w:r>
      <w:r w:rsidRPr="00925F26">
        <w:rPr>
          <w:color w:val="000000" w:themeColor="text1"/>
          <w:sz w:val="16"/>
          <w:szCs w:val="16"/>
          <w:lang w:val="en-US"/>
        </w:rPr>
        <w:t>II</w:t>
      </w:r>
      <w:r w:rsidRPr="00925F26">
        <w:rPr>
          <w:color w:val="000000" w:themeColor="text1"/>
          <w:sz w:val="16"/>
          <w:szCs w:val="16"/>
        </w:rPr>
        <w:t xml:space="preserve"> и </w:t>
      </w:r>
      <w:r w:rsidRPr="00925F26">
        <w:rPr>
          <w:color w:val="000000" w:themeColor="text1"/>
          <w:sz w:val="16"/>
          <w:szCs w:val="16"/>
          <w:lang w:val="en-US"/>
        </w:rPr>
        <w:t>III</w:t>
      </w:r>
      <w:r w:rsidRPr="00925F26">
        <w:rPr>
          <w:color w:val="000000" w:themeColor="text1"/>
          <w:sz w:val="16"/>
          <w:szCs w:val="16"/>
        </w:rPr>
        <w:t xml:space="preserve"> кварталах тему иск</w:t>
      </w:r>
      <w:r w:rsidRPr="00925F26">
        <w:rPr>
          <w:color w:val="000000" w:themeColor="text1"/>
          <w:sz w:val="16"/>
          <w:szCs w:val="16"/>
        </w:rPr>
        <w:softHyphen/>
        <w:t>лючили из плана, и работа по ней опять перешла в разряд инициативных. К тому же от</w:t>
      </w:r>
      <w:r w:rsidRPr="00925F26">
        <w:rPr>
          <w:color w:val="000000" w:themeColor="text1"/>
          <w:sz w:val="16"/>
          <w:szCs w:val="16"/>
        </w:rPr>
        <w:softHyphen/>
        <w:t>сутствие лётного образца двигателя С-18 вынудило проектировщиков использовать трофейный иито-004 (11696).</w:t>
      </w:r>
    </w:p>
    <w:p w14:paraId="621956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9D008BA" w14:textId="77777777" w:rsidR="006C4B00" w:rsidRPr="00925F26" w:rsidRDefault="006C4B00" w:rsidP="00925F26">
      <w:pPr>
        <w:jc w:val="both"/>
        <w:rPr>
          <w:color w:val="000000" w:themeColor="text1"/>
          <w:sz w:val="16"/>
          <w:szCs w:val="16"/>
        </w:rPr>
      </w:pPr>
      <w:r w:rsidRPr="00925F26">
        <w:rPr>
          <w:color w:val="000000" w:themeColor="text1"/>
          <w:sz w:val="16"/>
          <w:szCs w:val="16"/>
        </w:rPr>
        <w:t>В начале 1945 г. в трубе Т-101 продули опытный самолет Ла-7л, крыло которого имело оптимальную форму в плане (19727).</w:t>
      </w:r>
    </w:p>
    <w:p w14:paraId="6CEBC945" w14:textId="77777777" w:rsidR="006C4B00" w:rsidRPr="00925F26" w:rsidRDefault="006C4B00" w:rsidP="00925F26">
      <w:pPr>
        <w:jc w:val="both"/>
        <w:rPr>
          <w:color w:val="000000" w:themeColor="text1"/>
          <w:sz w:val="16"/>
          <w:szCs w:val="16"/>
        </w:rPr>
      </w:pPr>
    </w:p>
    <w:p w14:paraId="5C2CE1BB" w14:textId="77777777" w:rsidR="0058703C" w:rsidRPr="00925F26" w:rsidRDefault="0058703C" w:rsidP="00925F26">
      <w:pPr>
        <w:jc w:val="both"/>
        <w:rPr>
          <w:color w:val="000000" w:themeColor="text1"/>
          <w:sz w:val="16"/>
          <w:szCs w:val="16"/>
        </w:rPr>
      </w:pPr>
      <w:r w:rsidRPr="00925F26">
        <w:rPr>
          <w:color w:val="000000" w:themeColor="text1"/>
          <w:sz w:val="16"/>
          <w:szCs w:val="16"/>
        </w:rPr>
        <w:t>В самом начале 1945 г. последние пять машин типа P-39Q прош</w:t>
      </w:r>
      <w:r w:rsidRPr="00925F26">
        <w:rPr>
          <w:color w:val="000000" w:themeColor="text1"/>
          <w:sz w:val="16"/>
          <w:szCs w:val="16"/>
        </w:rPr>
        <w:softHyphen/>
        <w:t>ли по АЛСИБу Всего, по различным источникам, из США поставили от 4719 до 4746 .«Аэрокобр» разных модификаций. Еще 212 самолетов реэкспортировали из Великобритании, до места из них дошли 158. В СССР были приняты 4952 машины. У нас, правда, учи</w:t>
      </w:r>
      <w:r w:rsidRPr="00925F26">
        <w:rPr>
          <w:color w:val="000000" w:themeColor="text1"/>
          <w:sz w:val="16"/>
          <w:szCs w:val="16"/>
        </w:rPr>
        <w:softHyphen/>
        <w:t>тывались и неисправные истребители, присылавшиеся англичанами вместо груп</w:t>
      </w:r>
      <w:r w:rsidRPr="00925F26">
        <w:rPr>
          <w:color w:val="000000" w:themeColor="text1"/>
          <w:sz w:val="16"/>
          <w:szCs w:val="16"/>
        </w:rPr>
        <w:softHyphen/>
        <w:t>повых комплектов запчастей. Разбивка по модификациям известна только из отчетов об американской военной помо</w:t>
      </w:r>
      <w:r w:rsidRPr="00925F26">
        <w:rPr>
          <w:color w:val="000000" w:themeColor="text1"/>
          <w:sz w:val="16"/>
          <w:szCs w:val="16"/>
        </w:rPr>
        <w:softHyphen/>
        <w:t>щи. Согласно им, отправлено 108 P-39D, 40Р-39К, 137P-39L, 157 Р-39М, 1113P-39N и 3291 P-39Q (23513).</w:t>
      </w:r>
    </w:p>
    <w:p w14:paraId="40DCBBA5" w14:textId="77777777" w:rsidR="0058703C" w:rsidRPr="00925F26" w:rsidRDefault="0058703C" w:rsidP="00925F26">
      <w:pPr>
        <w:jc w:val="both"/>
        <w:rPr>
          <w:color w:val="000000" w:themeColor="text1"/>
          <w:sz w:val="16"/>
          <w:szCs w:val="16"/>
        </w:rPr>
      </w:pPr>
    </w:p>
    <w:p w14:paraId="2C9546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на Ли-2 было установлено две крыльевые пушки ДС-45. Самолет прошел с ними летные испытания, но серийно не строился в связи с прекращением войны (10695).</w:t>
      </w:r>
    </w:p>
    <w:p w14:paraId="75ABDB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339EAB8" w14:textId="77777777" w:rsidR="00B6122E" w:rsidRPr="00925F26" w:rsidRDefault="00B6122E" w:rsidP="00925F26">
      <w:pPr>
        <w:jc w:val="both"/>
        <w:rPr>
          <w:color w:val="000000" w:themeColor="text1"/>
          <w:sz w:val="16"/>
          <w:szCs w:val="16"/>
        </w:rPr>
      </w:pPr>
      <w:r w:rsidRPr="00925F26">
        <w:rPr>
          <w:color w:val="000000" w:themeColor="text1"/>
          <w:sz w:val="16"/>
          <w:szCs w:val="16"/>
        </w:rPr>
        <w:t>В начале 1945</w:t>
      </w:r>
    </w:p>
    <w:p w14:paraId="1FEE77FA" w14:textId="77777777" w:rsidR="00B6122E" w:rsidRPr="00925F26" w:rsidRDefault="00B6122E" w:rsidP="00925F26">
      <w:pPr>
        <w:jc w:val="both"/>
        <w:rPr>
          <w:color w:val="000000" w:themeColor="text1"/>
          <w:sz w:val="16"/>
          <w:szCs w:val="16"/>
        </w:rPr>
      </w:pPr>
      <w:r w:rsidRPr="00925F26">
        <w:rPr>
          <w:color w:val="000000" w:themeColor="text1"/>
          <w:sz w:val="16"/>
          <w:szCs w:val="16"/>
        </w:rPr>
        <w:t>ВЫПИСКА ИЗ ДИСПЕТЧЕРСКОГО ЖУРНАЛА НАРКОМАТА АВИАЦИОННОЙ ПРОМЫШЛЕННОСТИ СССР "ДИНАМИКА ПРОИЗВОДСТВА САМОЛЕТОВ"</w:t>
      </w:r>
    </w:p>
    <w:p w14:paraId="1A7D7136" w14:textId="77777777" w:rsidR="00B6122E" w:rsidRPr="00925F26" w:rsidRDefault="00B6122E" w:rsidP="00925F26">
      <w:pPr>
        <w:jc w:val="both"/>
        <w:rPr>
          <w:color w:val="000000" w:themeColor="text1"/>
          <w:sz w:val="16"/>
          <w:szCs w:val="16"/>
        </w:rPr>
      </w:pPr>
      <w:r w:rsidRPr="00925F26">
        <w:rPr>
          <w:color w:val="000000" w:themeColor="text1"/>
          <w:sz w:val="16"/>
          <w:szCs w:val="16"/>
        </w:rPr>
        <w:t>[1944 г.]</w:t>
      </w:r>
    </w:p>
    <w:p w14:paraId="596CF1B8" w14:textId="77777777" w:rsidR="00B6122E" w:rsidRPr="00925F26" w:rsidRDefault="00B6122E" w:rsidP="00925F26">
      <w:pPr>
        <w:jc w:val="both"/>
        <w:rPr>
          <w:color w:val="000000" w:themeColor="text1"/>
          <w:sz w:val="16"/>
          <w:szCs w:val="16"/>
        </w:rPr>
      </w:pPr>
      <w:r w:rsidRPr="00925F26">
        <w:rPr>
          <w:color w:val="000000" w:themeColor="text1"/>
          <w:sz w:val="16"/>
          <w:szCs w:val="16"/>
        </w:rPr>
        <w:t>№</w:t>
      </w:r>
      <w:proofErr w:type="gramStart"/>
      <w:r w:rsidRPr="00925F26">
        <w:rPr>
          <w:color w:val="000000" w:themeColor="text1"/>
          <w:sz w:val="16"/>
          <w:szCs w:val="16"/>
        </w:rPr>
        <w:t>№  п</w:t>
      </w:r>
      <w:proofErr w:type="gramEnd"/>
      <w:r w:rsidRPr="00925F26">
        <w:rPr>
          <w:color w:val="000000" w:themeColor="text1"/>
          <w:sz w:val="16"/>
          <w:szCs w:val="16"/>
        </w:rPr>
        <w:t>/п</w:t>
      </w:r>
      <w:r w:rsidRPr="00925F26">
        <w:rPr>
          <w:color w:val="000000" w:themeColor="text1"/>
          <w:sz w:val="16"/>
          <w:szCs w:val="16"/>
        </w:rPr>
        <w:tab/>
        <w:t>Изделие</w:t>
      </w:r>
      <w:r w:rsidRPr="00925F26">
        <w:rPr>
          <w:color w:val="000000" w:themeColor="text1"/>
          <w:sz w:val="16"/>
          <w:szCs w:val="16"/>
        </w:rPr>
        <w:tab/>
        <w:t>Выпуск самолетов и моторов по годам</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4381F629" w14:textId="77777777" w:rsidR="00B6122E" w:rsidRPr="00925F26" w:rsidRDefault="00B6122E" w:rsidP="00925F26">
      <w:pPr>
        <w:jc w:val="both"/>
        <w:rPr>
          <w:color w:val="000000" w:themeColor="text1"/>
          <w:sz w:val="16"/>
          <w:szCs w:val="16"/>
        </w:rPr>
      </w:pPr>
      <w:r w:rsidRPr="00925F26">
        <w:rPr>
          <w:color w:val="000000" w:themeColor="text1"/>
          <w:sz w:val="16"/>
          <w:szCs w:val="16"/>
        </w:rPr>
        <w:tab/>
      </w:r>
      <w:r w:rsidRPr="00925F26">
        <w:rPr>
          <w:color w:val="000000" w:themeColor="text1"/>
          <w:sz w:val="16"/>
          <w:szCs w:val="16"/>
        </w:rPr>
        <w:tab/>
        <w:t>1939</w:t>
      </w:r>
      <w:r w:rsidRPr="00925F26">
        <w:rPr>
          <w:color w:val="000000" w:themeColor="text1"/>
          <w:sz w:val="16"/>
          <w:szCs w:val="16"/>
        </w:rPr>
        <w:tab/>
        <w:t>1940</w:t>
      </w:r>
      <w:r w:rsidRPr="00925F26">
        <w:rPr>
          <w:color w:val="000000" w:themeColor="text1"/>
          <w:sz w:val="16"/>
          <w:szCs w:val="16"/>
        </w:rPr>
        <w:tab/>
        <w:t>1941</w:t>
      </w:r>
      <w:r w:rsidRPr="00925F26">
        <w:rPr>
          <w:color w:val="000000" w:themeColor="text1"/>
          <w:sz w:val="16"/>
          <w:szCs w:val="16"/>
        </w:rPr>
        <w:tab/>
        <w:t>1942</w:t>
      </w:r>
      <w:r w:rsidRPr="00925F26">
        <w:rPr>
          <w:color w:val="000000" w:themeColor="text1"/>
          <w:sz w:val="16"/>
          <w:szCs w:val="16"/>
        </w:rPr>
        <w:tab/>
        <w:t>1943</w:t>
      </w:r>
      <w:r w:rsidRPr="00925F26">
        <w:rPr>
          <w:color w:val="000000" w:themeColor="text1"/>
          <w:sz w:val="16"/>
          <w:szCs w:val="16"/>
        </w:rPr>
        <w:tab/>
        <w:t>1944</w:t>
      </w:r>
    </w:p>
    <w:p w14:paraId="6BCD6652" w14:textId="77777777" w:rsidR="00B6122E" w:rsidRPr="00925F26" w:rsidRDefault="00B6122E" w:rsidP="00925F26">
      <w:pPr>
        <w:jc w:val="both"/>
        <w:rPr>
          <w:color w:val="000000" w:themeColor="text1"/>
          <w:sz w:val="16"/>
          <w:szCs w:val="16"/>
        </w:rPr>
      </w:pPr>
      <w:r w:rsidRPr="00925F26">
        <w:rPr>
          <w:color w:val="000000" w:themeColor="text1"/>
          <w:sz w:val="16"/>
          <w:szCs w:val="16"/>
        </w:rPr>
        <w:t>1</w:t>
      </w:r>
      <w:r w:rsidRPr="00925F26">
        <w:rPr>
          <w:color w:val="000000" w:themeColor="text1"/>
          <w:sz w:val="16"/>
          <w:szCs w:val="16"/>
        </w:rPr>
        <w:tab/>
        <w:t>2</w:t>
      </w:r>
      <w:r w:rsidRPr="00925F26">
        <w:rPr>
          <w:color w:val="000000" w:themeColor="text1"/>
          <w:sz w:val="16"/>
          <w:szCs w:val="16"/>
        </w:rPr>
        <w:tab/>
        <w:t>3</w:t>
      </w:r>
      <w:r w:rsidRPr="00925F26">
        <w:rPr>
          <w:color w:val="000000" w:themeColor="text1"/>
          <w:sz w:val="16"/>
          <w:szCs w:val="16"/>
        </w:rPr>
        <w:tab/>
        <w:t>4</w:t>
      </w:r>
      <w:r w:rsidRPr="00925F26">
        <w:rPr>
          <w:color w:val="000000" w:themeColor="text1"/>
          <w:sz w:val="16"/>
          <w:szCs w:val="16"/>
        </w:rPr>
        <w:tab/>
        <w:t>5</w:t>
      </w:r>
      <w:r w:rsidRPr="00925F26">
        <w:rPr>
          <w:color w:val="000000" w:themeColor="text1"/>
          <w:sz w:val="16"/>
          <w:szCs w:val="16"/>
        </w:rPr>
        <w:tab/>
        <w:t>6</w:t>
      </w:r>
      <w:r w:rsidRPr="00925F26">
        <w:rPr>
          <w:color w:val="000000" w:themeColor="text1"/>
          <w:sz w:val="16"/>
          <w:szCs w:val="16"/>
        </w:rPr>
        <w:tab/>
        <w:t>7</w:t>
      </w:r>
      <w:r w:rsidRPr="00925F26">
        <w:rPr>
          <w:color w:val="000000" w:themeColor="text1"/>
          <w:sz w:val="16"/>
          <w:szCs w:val="16"/>
        </w:rPr>
        <w:tab/>
        <w:t>8</w:t>
      </w:r>
    </w:p>
    <w:p w14:paraId="41DB596A" w14:textId="77777777" w:rsidR="00B6122E" w:rsidRPr="00925F26" w:rsidRDefault="00B6122E" w:rsidP="00925F26">
      <w:pPr>
        <w:jc w:val="both"/>
        <w:rPr>
          <w:color w:val="000000" w:themeColor="text1"/>
          <w:sz w:val="16"/>
          <w:szCs w:val="16"/>
        </w:rPr>
      </w:pPr>
      <w:r w:rsidRPr="00925F26">
        <w:rPr>
          <w:color w:val="000000" w:themeColor="text1"/>
          <w:sz w:val="16"/>
          <w:szCs w:val="16"/>
        </w:rPr>
        <w:t>Истребители</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17021AA4" w14:textId="77777777" w:rsidR="00B6122E" w:rsidRPr="00925F26" w:rsidRDefault="00B6122E" w:rsidP="00925F26">
      <w:pPr>
        <w:jc w:val="both"/>
        <w:rPr>
          <w:color w:val="000000" w:themeColor="text1"/>
          <w:sz w:val="16"/>
          <w:szCs w:val="16"/>
        </w:rPr>
      </w:pPr>
      <w:r w:rsidRPr="00925F26">
        <w:rPr>
          <w:color w:val="000000" w:themeColor="text1"/>
          <w:sz w:val="16"/>
          <w:szCs w:val="16"/>
        </w:rPr>
        <w:t>И-15</w:t>
      </w:r>
      <w:r w:rsidRPr="00925F26">
        <w:rPr>
          <w:color w:val="000000" w:themeColor="text1"/>
          <w:sz w:val="16"/>
          <w:szCs w:val="16"/>
        </w:rPr>
        <w:tab/>
      </w:r>
      <w:r w:rsidRPr="00925F26">
        <w:rPr>
          <w:color w:val="000000" w:themeColor="text1"/>
          <w:sz w:val="16"/>
          <w:szCs w:val="16"/>
        </w:rPr>
        <w:tab/>
        <w:t>1303</w:t>
      </w:r>
      <w:r w:rsidRPr="00925F26">
        <w:rPr>
          <w:color w:val="000000" w:themeColor="text1"/>
          <w:sz w:val="16"/>
          <w:szCs w:val="16"/>
        </w:rPr>
        <w:tab/>
        <w:t>-</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r>
    </w:p>
    <w:p w14:paraId="46C4C4F8" w14:textId="77777777" w:rsidR="00B6122E" w:rsidRPr="00925F26" w:rsidRDefault="00B6122E" w:rsidP="00925F26">
      <w:pPr>
        <w:jc w:val="both"/>
        <w:rPr>
          <w:color w:val="000000" w:themeColor="text1"/>
          <w:sz w:val="16"/>
          <w:szCs w:val="16"/>
        </w:rPr>
      </w:pPr>
      <w:r w:rsidRPr="00925F26">
        <w:rPr>
          <w:color w:val="000000" w:themeColor="text1"/>
          <w:sz w:val="16"/>
          <w:szCs w:val="16"/>
        </w:rPr>
        <w:t>И-153</w:t>
      </w:r>
      <w:r w:rsidRPr="00925F26">
        <w:rPr>
          <w:color w:val="000000" w:themeColor="text1"/>
          <w:sz w:val="16"/>
          <w:szCs w:val="16"/>
        </w:rPr>
        <w:tab/>
      </w:r>
      <w:r w:rsidRPr="00925F26">
        <w:rPr>
          <w:color w:val="000000" w:themeColor="text1"/>
          <w:sz w:val="16"/>
          <w:szCs w:val="16"/>
        </w:rPr>
        <w:tab/>
        <w:t>1011</w:t>
      </w:r>
      <w:r w:rsidRPr="00925F26">
        <w:rPr>
          <w:color w:val="000000" w:themeColor="text1"/>
          <w:sz w:val="16"/>
          <w:szCs w:val="16"/>
        </w:rPr>
        <w:tab/>
        <w:t>2362</w:t>
      </w:r>
      <w:r w:rsidRPr="00925F26">
        <w:rPr>
          <w:color w:val="000000" w:themeColor="text1"/>
          <w:sz w:val="16"/>
          <w:szCs w:val="16"/>
        </w:rPr>
        <w:tab/>
        <w:t>64</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05C52B33" w14:textId="77777777" w:rsidR="00B6122E" w:rsidRPr="00925F26" w:rsidRDefault="00B6122E" w:rsidP="00925F26">
      <w:pPr>
        <w:jc w:val="both"/>
        <w:rPr>
          <w:color w:val="000000" w:themeColor="text1"/>
          <w:sz w:val="16"/>
          <w:szCs w:val="16"/>
        </w:rPr>
      </w:pPr>
      <w:r w:rsidRPr="00925F26">
        <w:rPr>
          <w:color w:val="000000" w:themeColor="text1"/>
          <w:sz w:val="16"/>
          <w:szCs w:val="16"/>
        </w:rPr>
        <w:t>И-16</w:t>
      </w:r>
      <w:r w:rsidRPr="00925F26">
        <w:rPr>
          <w:color w:val="000000" w:themeColor="text1"/>
          <w:sz w:val="16"/>
          <w:szCs w:val="16"/>
        </w:rPr>
        <w:tab/>
      </w:r>
      <w:r w:rsidRPr="00925F26">
        <w:rPr>
          <w:color w:val="000000" w:themeColor="text1"/>
          <w:sz w:val="16"/>
          <w:szCs w:val="16"/>
        </w:rPr>
        <w:tab/>
        <w:t>1411</w:t>
      </w:r>
      <w:r w:rsidRPr="00925F26">
        <w:rPr>
          <w:color w:val="000000" w:themeColor="text1"/>
          <w:sz w:val="16"/>
          <w:szCs w:val="16"/>
        </w:rPr>
        <w:tab/>
        <w:t>2110</w:t>
      </w:r>
      <w:r w:rsidRPr="00925F26">
        <w:rPr>
          <w:color w:val="000000" w:themeColor="text1"/>
          <w:sz w:val="16"/>
          <w:szCs w:val="16"/>
        </w:rPr>
        <w:tab/>
        <w:t>99</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7816F37A" w14:textId="77777777" w:rsidR="00B6122E" w:rsidRPr="00925F26" w:rsidRDefault="00B6122E" w:rsidP="00925F26">
      <w:pPr>
        <w:jc w:val="both"/>
        <w:rPr>
          <w:color w:val="000000" w:themeColor="text1"/>
          <w:sz w:val="16"/>
          <w:szCs w:val="16"/>
        </w:rPr>
      </w:pPr>
      <w:r w:rsidRPr="00925F26">
        <w:rPr>
          <w:color w:val="000000" w:themeColor="text1"/>
          <w:sz w:val="16"/>
          <w:szCs w:val="16"/>
        </w:rPr>
        <w:t>ДИ-6</w:t>
      </w:r>
      <w:r w:rsidRPr="00925F26">
        <w:rPr>
          <w:color w:val="000000" w:themeColor="text1"/>
          <w:sz w:val="16"/>
          <w:szCs w:val="16"/>
        </w:rPr>
        <w:tab/>
      </w:r>
      <w:r w:rsidRPr="00925F26">
        <w:rPr>
          <w:color w:val="000000" w:themeColor="text1"/>
          <w:sz w:val="16"/>
          <w:szCs w:val="16"/>
        </w:rPr>
        <w:tab/>
        <w:t>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387991E" w14:textId="77777777" w:rsidR="00B6122E" w:rsidRPr="00925F26" w:rsidRDefault="00B6122E" w:rsidP="00925F26">
      <w:pPr>
        <w:jc w:val="both"/>
        <w:rPr>
          <w:color w:val="000000" w:themeColor="text1"/>
          <w:sz w:val="16"/>
          <w:szCs w:val="16"/>
        </w:rPr>
      </w:pPr>
      <w:r w:rsidRPr="00925F26">
        <w:rPr>
          <w:color w:val="000000" w:themeColor="text1"/>
          <w:sz w:val="16"/>
          <w:szCs w:val="16"/>
        </w:rPr>
        <w:t>И-180</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1</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p>
    <w:p w14:paraId="2409C8E0" w14:textId="77777777" w:rsidR="00B6122E" w:rsidRPr="00925F26" w:rsidRDefault="00B6122E" w:rsidP="00925F26">
      <w:pPr>
        <w:jc w:val="both"/>
        <w:rPr>
          <w:color w:val="000000" w:themeColor="text1"/>
          <w:sz w:val="16"/>
          <w:szCs w:val="16"/>
        </w:rPr>
      </w:pPr>
      <w:r w:rsidRPr="00925F26">
        <w:rPr>
          <w:color w:val="000000" w:themeColor="text1"/>
          <w:sz w:val="16"/>
          <w:szCs w:val="16"/>
        </w:rPr>
        <w:t>И-26</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64</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66BFCF6" w14:textId="77777777" w:rsidR="00B6122E" w:rsidRPr="00925F26" w:rsidRDefault="00B6122E" w:rsidP="00925F26">
      <w:pPr>
        <w:jc w:val="both"/>
        <w:rPr>
          <w:color w:val="000000" w:themeColor="text1"/>
          <w:sz w:val="16"/>
          <w:szCs w:val="16"/>
        </w:rPr>
      </w:pPr>
      <w:r w:rsidRPr="00925F26">
        <w:rPr>
          <w:color w:val="000000" w:themeColor="text1"/>
          <w:sz w:val="16"/>
          <w:szCs w:val="16"/>
        </w:rPr>
        <w:t>МИГ-1</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100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17D43D11" w14:textId="77777777" w:rsidR="00B6122E" w:rsidRPr="00925F26" w:rsidRDefault="00B6122E" w:rsidP="00925F26">
      <w:pPr>
        <w:jc w:val="both"/>
        <w:rPr>
          <w:color w:val="000000" w:themeColor="text1"/>
          <w:sz w:val="16"/>
          <w:szCs w:val="16"/>
        </w:rPr>
      </w:pPr>
      <w:r w:rsidRPr="00925F26">
        <w:rPr>
          <w:color w:val="000000" w:themeColor="text1"/>
          <w:sz w:val="16"/>
          <w:szCs w:val="16"/>
        </w:rPr>
        <w:t>МИГ-3</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20</w:t>
      </w:r>
      <w:r w:rsidRPr="00925F26">
        <w:rPr>
          <w:color w:val="000000" w:themeColor="text1"/>
          <w:sz w:val="16"/>
          <w:szCs w:val="16"/>
        </w:rPr>
        <w:tab/>
        <w:t>3100</w:t>
      </w:r>
      <w:r w:rsidRPr="00925F26">
        <w:rPr>
          <w:color w:val="000000" w:themeColor="text1"/>
          <w:sz w:val="16"/>
          <w:szCs w:val="16"/>
        </w:rPr>
        <w:tab/>
        <w:t>52</w:t>
      </w:r>
      <w:r w:rsidRPr="00925F26">
        <w:rPr>
          <w:color w:val="000000" w:themeColor="text1"/>
          <w:sz w:val="16"/>
          <w:szCs w:val="16"/>
        </w:rPr>
        <w:tab/>
        <w:t>6</w:t>
      </w:r>
      <w:r w:rsidRPr="00925F26">
        <w:rPr>
          <w:color w:val="000000" w:themeColor="text1"/>
          <w:sz w:val="16"/>
          <w:szCs w:val="16"/>
        </w:rPr>
        <w:tab/>
        <w:t>-</w:t>
      </w:r>
    </w:p>
    <w:p w14:paraId="44376488" w14:textId="77777777" w:rsidR="00B6122E" w:rsidRPr="00925F26" w:rsidRDefault="00B6122E" w:rsidP="00925F26">
      <w:pPr>
        <w:jc w:val="both"/>
        <w:rPr>
          <w:color w:val="000000" w:themeColor="text1"/>
          <w:sz w:val="16"/>
          <w:szCs w:val="16"/>
        </w:rPr>
      </w:pPr>
      <w:r w:rsidRPr="00925F26">
        <w:rPr>
          <w:color w:val="000000" w:themeColor="text1"/>
          <w:sz w:val="16"/>
          <w:szCs w:val="16"/>
        </w:rPr>
        <w:t>ЛАГГ-3</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2463</w:t>
      </w:r>
      <w:r w:rsidRPr="00925F26">
        <w:rPr>
          <w:color w:val="000000" w:themeColor="text1"/>
          <w:sz w:val="16"/>
          <w:szCs w:val="16"/>
        </w:rPr>
        <w:tab/>
        <w:t>2771</w:t>
      </w:r>
      <w:r w:rsidRPr="00925F26">
        <w:rPr>
          <w:color w:val="000000" w:themeColor="text1"/>
          <w:sz w:val="16"/>
          <w:szCs w:val="16"/>
        </w:rPr>
        <w:tab/>
        <w:t>1065</w:t>
      </w:r>
      <w:r w:rsidRPr="00925F26">
        <w:rPr>
          <w:color w:val="000000" w:themeColor="text1"/>
          <w:sz w:val="16"/>
          <w:szCs w:val="16"/>
        </w:rPr>
        <w:tab/>
        <w:t>229</w:t>
      </w:r>
    </w:p>
    <w:p w14:paraId="1C188775" w14:textId="77777777" w:rsidR="00B6122E" w:rsidRPr="00925F26" w:rsidRDefault="00B6122E" w:rsidP="00925F26">
      <w:pPr>
        <w:jc w:val="both"/>
        <w:rPr>
          <w:color w:val="000000" w:themeColor="text1"/>
          <w:sz w:val="16"/>
          <w:szCs w:val="16"/>
        </w:rPr>
      </w:pPr>
      <w:r w:rsidRPr="00925F26">
        <w:rPr>
          <w:color w:val="000000" w:themeColor="text1"/>
          <w:sz w:val="16"/>
          <w:szCs w:val="16"/>
        </w:rPr>
        <w:t>И-21</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74114301" w14:textId="77777777" w:rsidR="00B6122E" w:rsidRPr="00925F26" w:rsidRDefault="00B6122E" w:rsidP="00925F26">
      <w:pPr>
        <w:jc w:val="both"/>
        <w:rPr>
          <w:color w:val="000000" w:themeColor="text1"/>
          <w:sz w:val="16"/>
          <w:szCs w:val="16"/>
        </w:rPr>
      </w:pPr>
      <w:r w:rsidRPr="00925F26">
        <w:rPr>
          <w:color w:val="000000" w:themeColor="text1"/>
          <w:sz w:val="16"/>
          <w:szCs w:val="16"/>
        </w:rPr>
        <w:t>ЯК-1</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1354</w:t>
      </w:r>
      <w:r w:rsidRPr="00925F26">
        <w:rPr>
          <w:color w:val="000000" w:themeColor="text1"/>
          <w:sz w:val="16"/>
          <w:szCs w:val="16"/>
        </w:rPr>
        <w:tab/>
        <w:t>3476</w:t>
      </w:r>
      <w:r w:rsidRPr="00925F26">
        <w:rPr>
          <w:color w:val="000000" w:themeColor="text1"/>
          <w:sz w:val="16"/>
          <w:szCs w:val="16"/>
        </w:rPr>
        <w:tab/>
        <w:t>2720</w:t>
      </w:r>
      <w:r w:rsidRPr="00925F26">
        <w:rPr>
          <w:color w:val="000000" w:themeColor="text1"/>
          <w:sz w:val="16"/>
          <w:szCs w:val="16"/>
        </w:rPr>
        <w:tab/>
        <w:t>1128</w:t>
      </w:r>
    </w:p>
    <w:p w14:paraId="554483B5" w14:textId="77777777" w:rsidR="00B6122E" w:rsidRPr="00925F26" w:rsidRDefault="00B6122E" w:rsidP="00925F26">
      <w:pPr>
        <w:jc w:val="both"/>
        <w:rPr>
          <w:color w:val="000000" w:themeColor="text1"/>
          <w:sz w:val="16"/>
          <w:szCs w:val="16"/>
        </w:rPr>
      </w:pPr>
      <w:r w:rsidRPr="00925F26">
        <w:rPr>
          <w:color w:val="000000" w:themeColor="text1"/>
          <w:sz w:val="16"/>
          <w:szCs w:val="16"/>
        </w:rPr>
        <w:t>ЯК-7</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2431</w:t>
      </w:r>
      <w:r w:rsidRPr="00925F26">
        <w:rPr>
          <w:color w:val="000000" w:themeColor="text1"/>
          <w:sz w:val="16"/>
          <w:szCs w:val="16"/>
        </w:rPr>
        <w:tab/>
        <w:t>3296</w:t>
      </w:r>
      <w:r w:rsidRPr="00925F26">
        <w:rPr>
          <w:color w:val="000000" w:themeColor="text1"/>
          <w:sz w:val="16"/>
          <w:szCs w:val="16"/>
        </w:rPr>
        <w:tab/>
        <w:t>465</w:t>
      </w:r>
    </w:p>
    <w:p w14:paraId="407DAAD1" w14:textId="77777777" w:rsidR="00B6122E" w:rsidRPr="00925F26" w:rsidRDefault="00B6122E" w:rsidP="00925F26">
      <w:pPr>
        <w:jc w:val="both"/>
        <w:rPr>
          <w:color w:val="000000" w:themeColor="text1"/>
          <w:sz w:val="16"/>
          <w:szCs w:val="16"/>
        </w:rPr>
      </w:pPr>
      <w:r w:rsidRPr="00925F26">
        <w:rPr>
          <w:color w:val="000000" w:themeColor="text1"/>
          <w:sz w:val="16"/>
          <w:szCs w:val="16"/>
        </w:rPr>
        <w:t>Л А-5</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1129</w:t>
      </w:r>
      <w:r w:rsidRPr="00925F26">
        <w:rPr>
          <w:color w:val="000000" w:themeColor="text1"/>
          <w:sz w:val="16"/>
          <w:szCs w:val="16"/>
        </w:rPr>
        <w:tab/>
        <w:t>5047</w:t>
      </w:r>
      <w:r w:rsidRPr="00925F26">
        <w:rPr>
          <w:color w:val="000000" w:themeColor="text1"/>
          <w:sz w:val="16"/>
          <w:szCs w:val="16"/>
        </w:rPr>
        <w:tab/>
        <w:t>3826</w:t>
      </w:r>
    </w:p>
    <w:p w14:paraId="300EFBA1" w14:textId="77777777" w:rsidR="00B6122E" w:rsidRPr="00925F26" w:rsidRDefault="00B6122E" w:rsidP="00925F26">
      <w:pPr>
        <w:jc w:val="both"/>
        <w:rPr>
          <w:color w:val="000000" w:themeColor="text1"/>
          <w:sz w:val="16"/>
          <w:szCs w:val="16"/>
        </w:rPr>
      </w:pPr>
      <w:r w:rsidRPr="00925F26">
        <w:rPr>
          <w:color w:val="000000" w:themeColor="text1"/>
          <w:sz w:val="16"/>
          <w:szCs w:val="16"/>
        </w:rPr>
        <w:t>ЯК-9</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59</w:t>
      </w:r>
      <w:r w:rsidRPr="00925F26">
        <w:rPr>
          <w:color w:val="000000" w:themeColor="text1"/>
          <w:sz w:val="16"/>
          <w:szCs w:val="16"/>
        </w:rPr>
        <w:tab/>
        <w:t>2493</w:t>
      </w:r>
      <w:r w:rsidRPr="00925F26">
        <w:rPr>
          <w:color w:val="000000" w:themeColor="text1"/>
          <w:sz w:val="16"/>
          <w:szCs w:val="16"/>
        </w:rPr>
        <w:tab/>
        <w:t>7831</w:t>
      </w:r>
    </w:p>
    <w:p w14:paraId="49D811F3" w14:textId="77777777" w:rsidR="00B6122E" w:rsidRPr="00925F26" w:rsidRDefault="00B6122E" w:rsidP="00925F26">
      <w:pPr>
        <w:jc w:val="both"/>
        <w:rPr>
          <w:color w:val="000000" w:themeColor="text1"/>
          <w:sz w:val="16"/>
          <w:szCs w:val="16"/>
        </w:rPr>
      </w:pPr>
      <w:r w:rsidRPr="00925F26">
        <w:rPr>
          <w:color w:val="000000" w:themeColor="text1"/>
          <w:sz w:val="16"/>
          <w:szCs w:val="16"/>
        </w:rPr>
        <w:t>ЯК-3</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2180</w:t>
      </w:r>
    </w:p>
    <w:p w14:paraId="0135758B" w14:textId="77777777" w:rsidR="00B6122E" w:rsidRPr="00925F26" w:rsidRDefault="00B6122E" w:rsidP="00925F26">
      <w:pPr>
        <w:jc w:val="both"/>
        <w:rPr>
          <w:color w:val="000000" w:themeColor="text1"/>
          <w:sz w:val="16"/>
          <w:szCs w:val="16"/>
        </w:rPr>
      </w:pPr>
      <w:r w:rsidRPr="00925F26">
        <w:rPr>
          <w:color w:val="000000" w:themeColor="text1"/>
          <w:sz w:val="16"/>
          <w:szCs w:val="16"/>
        </w:rPr>
        <w:t>ЛА-7</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2238</w:t>
      </w:r>
    </w:p>
    <w:p w14:paraId="7AEAF5F0" w14:textId="77777777" w:rsidR="00B6122E" w:rsidRPr="00925F26" w:rsidRDefault="00B6122E" w:rsidP="00925F26">
      <w:pPr>
        <w:jc w:val="both"/>
        <w:rPr>
          <w:color w:val="000000" w:themeColor="text1"/>
          <w:sz w:val="16"/>
          <w:szCs w:val="16"/>
        </w:rPr>
      </w:pPr>
      <w:r w:rsidRPr="00925F26">
        <w:rPr>
          <w:color w:val="000000" w:themeColor="text1"/>
          <w:sz w:val="16"/>
          <w:szCs w:val="16"/>
        </w:rPr>
        <w:lastRenderedPageBreak/>
        <w:t>Итого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22E9EAFB" w14:textId="77777777" w:rsidR="00B6122E" w:rsidRPr="00925F26" w:rsidRDefault="00B6122E" w:rsidP="00925F26">
      <w:pPr>
        <w:jc w:val="both"/>
        <w:rPr>
          <w:color w:val="000000" w:themeColor="text1"/>
          <w:sz w:val="16"/>
          <w:szCs w:val="16"/>
        </w:rPr>
      </w:pPr>
      <w:r w:rsidRPr="00925F26">
        <w:rPr>
          <w:color w:val="000000" w:themeColor="text1"/>
          <w:sz w:val="16"/>
          <w:szCs w:val="16"/>
        </w:rPr>
        <w:t>истребителей</w:t>
      </w:r>
      <w:r w:rsidRPr="00925F26">
        <w:rPr>
          <w:color w:val="000000" w:themeColor="text1"/>
          <w:sz w:val="16"/>
          <w:szCs w:val="16"/>
        </w:rPr>
        <w:tab/>
      </w:r>
      <w:r w:rsidRPr="00925F26">
        <w:rPr>
          <w:color w:val="000000" w:themeColor="text1"/>
          <w:sz w:val="16"/>
          <w:szCs w:val="16"/>
        </w:rPr>
        <w:tab/>
        <w:t>3726</w:t>
      </w:r>
      <w:r w:rsidRPr="00925F26">
        <w:rPr>
          <w:color w:val="000000" w:themeColor="text1"/>
          <w:sz w:val="16"/>
          <w:szCs w:val="16"/>
        </w:rPr>
        <w:tab/>
        <w:t>4657</w:t>
      </w:r>
      <w:r w:rsidRPr="00925F26">
        <w:rPr>
          <w:color w:val="000000" w:themeColor="text1"/>
          <w:sz w:val="16"/>
          <w:szCs w:val="16"/>
        </w:rPr>
        <w:tab/>
        <w:t>7081</w:t>
      </w:r>
      <w:r w:rsidRPr="00925F26">
        <w:rPr>
          <w:color w:val="000000" w:themeColor="text1"/>
          <w:sz w:val="16"/>
          <w:szCs w:val="16"/>
        </w:rPr>
        <w:tab/>
        <w:t>9918</w:t>
      </w:r>
      <w:r w:rsidRPr="00925F26">
        <w:rPr>
          <w:color w:val="000000" w:themeColor="text1"/>
          <w:sz w:val="16"/>
          <w:szCs w:val="16"/>
        </w:rPr>
        <w:tab/>
        <w:t>14627</w:t>
      </w:r>
      <w:r w:rsidRPr="00925F26">
        <w:rPr>
          <w:color w:val="000000" w:themeColor="text1"/>
          <w:sz w:val="16"/>
          <w:szCs w:val="16"/>
        </w:rPr>
        <w:tab/>
        <w:t>13895</w:t>
      </w:r>
    </w:p>
    <w:p w14:paraId="02E868B1" w14:textId="77777777" w:rsidR="00B6122E" w:rsidRPr="00925F26" w:rsidRDefault="00B6122E" w:rsidP="00925F26">
      <w:pPr>
        <w:jc w:val="both"/>
        <w:rPr>
          <w:color w:val="000000" w:themeColor="text1"/>
          <w:sz w:val="16"/>
          <w:szCs w:val="16"/>
        </w:rPr>
      </w:pPr>
      <w:r w:rsidRPr="00925F26">
        <w:rPr>
          <w:color w:val="000000" w:themeColor="text1"/>
          <w:sz w:val="16"/>
          <w:szCs w:val="16"/>
        </w:rPr>
        <w:t>Разведчики</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2905090C" w14:textId="77777777" w:rsidR="00B6122E" w:rsidRPr="00925F26" w:rsidRDefault="00B6122E" w:rsidP="00925F26">
      <w:pPr>
        <w:jc w:val="both"/>
        <w:rPr>
          <w:color w:val="000000" w:themeColor="text1"/>
          <w:sz w:val="16"/>
          <w:szCs w:val="16"/>
        </w:rPr>
      </w:pPr>
      <w:r w:rsidRPr="00925F26">
        <w:rPr>
          <w:color w:val="000000" w:themeColor="text1"/>
          <w:sz w:val="16"/>
          <w:szCs w:val="16"/>
        </w:rPr>
        <w:t>МБР-2</w:t>
      </w:r>
      <w:r w:rsidRPr="00925F26">
        <w:rPr>
          <w:color w:val="000000" w:themeColor="text1"/>
          <w:sz w:val="16"/>
          <w:szCs w:val="16"/>
        </w:rPr>
        <w:tab/>
      </w:r>
      <w:r w:rsidRPr="00925F26">
        <w:rPr>
          <w:color w:val="000000" w:themeColor="text1"/>
          <w:sz w:val="16"/>
          <w:szCs w:val="16"/>
        </w:rPr>
        <w:tab/>
        <w:t>192</w:t>
      </w:r>
      <w:r w:rsidRPr="00925F26">
        <w:rPr>
          <w:color w:val="000000" w:themeColor="text1"/>
          <w:sz w:val="16"/>
          <w:szCs w:val="16"/>
        </w:rPr>
        <w:tab/>
        <w:t>38</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4138D46C" w14:textId="77777777" w:rsidR="00B6122E" w:rsidRPr="00925F26" w:rsidRDefault="00B6122E" w:rsidP="00925F26">
      <w:pPr>
        <w:jc w:val="both"/>
        <w:rPr>
          <w:color w:val="000000" w:themeColor="text1"/>
          <w:sz w:val="16"/>
          <w:szCs w:val="16"/>
        </w:rPr>
      </w:pPr>
      <w:r w:rsidRPr="00925F26">
        <w:rPr>
          <w:color w:val="000000" w:themeColor="text1"/>
          <w:sz w:val="16"/>
          <w:szCs w:val="16"/>
        </w:rPr>
        <w:t>КОР-1</w:t>
      </w:r>
      <w:r w:rsidRPr="00925F26">
        <w:rPr>
          <w:color w:val="000000" w:themeColor="text1"/>
          <w:sz w:val="16"/>
          <w:szCs w:val="16"/>
        </w:rPr>
        <w:tab/>
      </w:r>
      <w:r w:rsidRPr="00925F26">
        <w:rPr>
          <w:color w:val="000000" w:themeColor="text1"/>
          <w:sz w:val="16"/>
          <w:szCs w:val="16"/>
        </w:rPr>
        <w:tab/>
        <w:t>3</w:t>
      </w:r>
      <w:r w:rsidRPr="00925F26">
        <w:rPr>
          <w:color w:val="000000" w:themeColor="text1"/>
          <w:sz w:val="16"/>
          <w:szCs w:val="16"/>
        </w:rPr>
        <w:tab/>
        <w:t>9</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3C3A1385" w14:textId="77777777" w:rsidR="00B6122E" w:rsidRPr="00925F26" w:rsidRDefault="00B6122E" w:rsidP="00925F26">
      <w:pPr>
        <w:jc w:val="both"/>
        <w:rPr>
          <w:color w:val="000000" w:themeColor="text1"/>
          <w:sz w:val="16"/>
          <w:szCs w:val="16"/>
        </w:rPr>
      </w:pPr>
      <w:r w:rsidRPr="00925F26">
        <w:rPr>
          <w:color w:val="000000" w:themeColor="text1"/>
          <w:sz w:val="16"/>
          <w:szCs w:val="16"/>
        </w:rPr>
        <w:t>Консолидейтед</w:t>
      </w:r>
      <w:r w:rsidRPr="00925F26">
        <w:rPr>
          <w:color w:val="000000" w:themeColor="text1"/>
          <w:sz w:val="16"/>
          <w:szCs w:val="16"/>
        </w:rPr>
        <w:tab/>
      </w:r>
      <w:r w:rsidRPr="00925F26">
        <w:rPr>
          <w:color w:val="000000" w:themeColor="text1"/>
          <w:sz w:val="16"/>
          <w:szCs w:val="16"/>
        </w:rPr>
        <w:tab/>
        <w:t>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1B0B9874" w14:textId="77777777" w:rsidR="00B6122E" w:rsidRPr="00925F26" w:rsidRDefault="00B6122E" w:rsidP="00925F26">
      <w:pPr>
        <w:jc w:val="both"/>
        <w:rPr>
          <w:color w:val="000000" w:themeColor="text1"/>
          <w:sz w:val="16"/>
          <w:szCs w:val="16"/>
        </w:rPr>
      </w:pPr>
      <w:r w:rsidRPr="00925F26">
        <w:rPr>
          <w:color w:val="000000" w:themeColor="text1"/>
          <w:sz w:val="16"/>
          <w:szCs w:val="16"/>
        </w:rPr>
        <w:t>Р-10</w:t>
      </w:r>
      <w:r w:rsidRPr="00925F26">
        <w:rPr>
          <w:color w:val="000000" w:themeColor="text1"/>
          <w:sz w:val="16"/>
          <w:szCs w:val="16"/>
        </w:rPr>
        <w:tab/>
      </w:r>
      <w:r w:rsidRPr="00925F26">
        <w:rPr>
          <w:color w:val="000000" w:themeColor="text1"/>
          <w:sz w:val="16"/>
          <w:szCs w:val="16"/>
        </w:rPr>
        <w:tab/>
        <w:t>331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6E46A64" w14:textId="77777777" w:rsidR="00B6122E" w:rsidRPr="00925F26" w:rsidRDefault="00B6122E" w:rsidP="00925F26">
      <w:pPr>
        <w:jc w:val="both"/>
        <w:rPr>
          <w:color w:val="000000" w:themeColor="text1"/>
          <w:sz w:val="16"/>
          <w:szCs w:val="16"/>
        </w:rPr>
      </w:pPr>
      <w:r w:rsidRPr="00925F26">
        <w:rPr>
          <w:color w:val="000000" w:themeColor="text1"/>
          <w:sz w:val="16"/>
          <w:szCs w:val="16"/>
        </w:rPr>
        <w:t>ГСТ</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21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3D24669" w14:textId="77777777" w:rsidR="00B6122E" w:rsidRPr="00925F26" w:rsidRDefault="00B6122E" w:rsidP="00925F26">
      <w:pPr>
        <w:jc w:val="both"/>
        <w:rPr>
          <w:color w:val="000000" w:themeColor="text1"/>
          <w:sz w:val="16"/>
          <w:szCs w:val="16"/>
        </w:rPr>
      </w:pPr>
      <w:r w:rsidRPr="00925F26">
        <w:rPr>
          <w:color w:val="000000" w:themeColor="text1"/>
          <w:sz w:val="16"/>
          <w:szCs w:val="16"/>
        </w:rPr>
        <w:t>М2Р-6</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13</w:t>
      </w:r>
      <w:r w:rsidRPr="00925F26">
        <w:rPr>
          <w:color w:val="000000" w:themeColor="text1"/>
          <w:sz w:val="16"/>
          <w:szCs w:val="16"/>
        </w:rPr>
        <w:tab/>
        <w:t>25</w:t>
      </w:r>
      <w:r w:rsidRPr="00925F26">
        <w:rPr>
          <w:color w:val="000000" w:themeColor="text1"/>
          <w:sz w:val="16"/>
          <w:szCs w:val="16"/>
        </w:rPr>
        <w:tab/>
        <w:t>5</w:t>
      </w:r>
      <w:r w:rsidRPr="00925F26">
        <w:rPr>
          <w:color w:val="000000" w:themeColor="text1"/>
          <w:sz w:val="16"/>
          <w:szCs w:val="16"/>
        </w:rPr>
        <w:tab/>
        <w:t>-</w:t>
      </w:r>
      <w:r w:rsidRPr="00925F26">
        <w:rPr>
          <w:color w:val="000000" w:themeColor="text1"/>
          <w:sz w:val="16"/>
          <w:szCs w:val="16"/>
        </w:rPr>
        <w:tab/>
        <w:t>-</w:t>
      </w:r>
    </w:p>
    <w:p w14:paraId="54E3F9F1" w14:textId="77777777" w:rsidR="00B6122E" w:rsidRPr="00925F26" w:rsidRDefault="00B6122E" w:rsidP="00925F26">
      <w:pPr>
        <w:jc w:val="both"/>
        <w:rPr>
          <w:color w:val="000000" w:themeColor="text1"/>
          <w:sz w:val="16"/>
          <w:szCs w:val="16"/>
        </w:rPr>
      </w:pPr>
      <w:r w:rsidRPr="00925F26">
        <w:rPr>
          <w:color w:val="000000" w:themeColor="text1"/>
          <w:sz w:val="16"/>
          <w:szCs w:val="16"/>
        </w:rPr>
        <w:t>ХАИ-5</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18</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w:t>
      </w:r>
    </w:p>
    <w:p w14:paraId="48F87D8C" w14:textId="77777777" w:rsidR="00B6122E" w:rsidRPr="00925F26" w:rsidRDefault="00B6122E" w:rsidP="00925F26">
      <w:pPr>
        <w:jc w:val="both"/>
        <w:rPr>
          <w:color w:val="000000" w:themeColor="text1"/>
          <w:sz w:val="16"/>
          <w:szCs w:val="16"/>
        </w:rPr>
      </w:pPr>
      <w:r w:rsidRPr="00925F26">
        <w:rPr>
          <w:color w:val="000000" w:themeColor="text1"/>
          <w:sz w:val="16"/>
          <w:szCs w:val="16"/>
        </w:rPr>
        <w:t>Итого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7FF54C61" w14:textId="77777777" w:rsidR="00B6122E" w:rsidRPr="00925F26" w:rsidRDefault="00B6122E" w:rsidP="00925F26">
      <w:pPr>
        <w:jc w:val="both"/>
        <w:rPr>
          <w:color w:val="000000" w:themeColor="text1"/>
          <w:sz w:val="16"/>
          <w:szCs w:val="16"/>
        </w:rPr>
      </w:pPr>
      <w:r w:rsidRPr="00925F26">
        <w:rPr>
          <w:color w:val="000000" w:themeColor="text1"/>
          <w:sz w:val="16"/>
          <w:szCs w:val="16"/>
        </w:rPr>
        <w:t>разведчиков</w:t>
      </w:r>
      <w:r w:rsidRPr="00925F26">
        <w:rPr>
          <w:color w:val="000000" w:themeColor="text1"/>
          <w:sz w:val="16"/>
          <w:szCs w:val="16"/>
        </w:rPr>
        <w:tab/>
      </w:r>
      <w:r w:rsidRPr="00925F26">
        <w:rPr>
          <w:color w:val="000000" w:themeColor="text1"/>
          <w:sz w:val="16"/>
          <w:szCs w:val="16"/>
        </w:rPr>
        <w:tab/>
        <w:t>527</w:t>
      </w:r>
      <w:r w:rsidRPr="00925F26">
        <w:rPr>
          <w:color w:val="000000" w:themeColor="text1"/>
          <w:sz w:val="16"/>
          <w:szCs w:val="16"/>
        </w:rPr>
        <w:tab/>
        <w:t>99</w:t>
      </w:r>
      <w:r w:rsidRPr="00925F26">
        <w:rPr>
          <w:color w:val="000000" w:themeColor="text1"/>
          <w:sz w:val="16"/>
          <w:szCs w:val="16"/>
        </w:rPr>
        <w:tab/>
        <w:t>25</w:t>
      </w:r>
      <w:r w:rsidRPr="00925F26">
        <w:rPr>
          <w:color w:val="000000" w:themeColor="text1"/>
          <w:sz w:val="16"/>
          <w:szCs w:val="16"/>
        </w:rPr>
        <w:tab/>
        <w:t>5</w:t>
      </w:r>
      <w:r w:rsidRPr="00925F26">
        <w:rPr>
          <w:color w:val="000000" w:themeColor="text1"/>
          <w:sz w:val="16"/>
          <w:szCs w:val="16"/>
        </w:rPr>
        <w:tab/>
        <w:t>-</w:t>
      </w:r>
      <w:r w:rsidRPr="00925F26">
        <w:rPr>
          <w:color w:val="000000" w:themeColor="text1"/>
          <w:sz w:val="16"/>
          <w:szCs w:val="16"/>
        </w:rPr>
        <w:tab/>
        <w:t>-</w:t>
      </w:r>
    </w:p>
    <w:p w14:paraId="0080345B" w14:textId="77777777" w:rsidR="00B6122E" w:rsidRPr="00925F26" w:rsidRDefault="00B6122E" w:rsidP="00925F26">
      <w:pPr>
        <w:jc w:val="both"/>
        <w:rPr>
          <w:color w:val="000000" w:themeColor="text1"/>
          <w:sz w:val="16"/>
          <w:szCs w:val="16"/>
        </w:rPr>
      </w:pPr>
      <w:r w:rsidRPr="00925F26">
        <w:rPr>
          <w:color w:val="000000" w:themeColor="text1"/>
          <w:sz w:val="16"/>
          <w:szCs w:val="16"/>
        </w:rPr>
        <w:t>И</w:t>
      </w:r>
      <w:r w:rsidRPr="00925F26">
        <w:rPr>
          <w:color w:val="000000" w:themeColor="text1"/>
          <w:sz w:val="16"/>
          <w:szCs w:val="16"/>
        </w:rPr>
        <w:tab/>
      </w:r>
      <w:r w:rsidRPr="00925F26">
        <w:rPr>
          <w:color w:val="000000" w:themeColor="text1"/>
          <w:sz w:val="16"/>
          <w:szCs w:val="16"/>
        </w:rPr>
        <w:tab/>
        <w:t>Li</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L3</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Li</w:t>
      </w:r>
      <w:r w:rsidRPr="00925F26">
        <w:rPr>
          <w:color w:val="000000" w:themeColor="text1"/>
          <w:sz w:val="16"/>
          <w:szCs w:val="16"/>
        </w:rPr>
        <w:tab/>
      </w:r>
      <w:r w:rsidRPr="00925F26">
        <w:rPr>
          <w:color w:val="000000" w:themeColor="text1"/>
          <w:sz w:val="16"/>
          <w:szCs w:val="16"/>
        </w:rPr>
        <w:tab/>
        <w:t>_J5</w:t>
      </w:r>
      <w:r w:rsidRPr="00925F26">
        <w:rPr>
          <w:color w:val="000000" w:themeColor="text1"/>
          <w:sz w:val="16"/>
          <w:szCs w:val="16"/>
        </w:rPr>
        <w:tab/>
      </w:r>
      <w:r w:rsidRPr="00925F26">
        <w:rPr>
          <w:color w:val="000000" w:themeColor="text1"/>
          <w:sz w:val="16"/>
          <w:szCs w:val="16"/>
        </w:rPr>
        <w:tab/>
        <w:t>le</w:t>
      </w:r>
      <w:r w:rsidRPr="00925F26">
        <w:rPr>
          <w:color w:val="000000" w:themeColor="text1"/>
          <w:sz w:val="16"/>
          <w:szCs w:val="16"/>
        </w:rPr>
        <w:tab/>
        <w:t>I7</w:t>
      </w:r>
      <w:r w:rsidRPr="00925F26">
        <w:rPr>
          <w:color w:val="000000" w:themeColor="text1"/>
          <w:sz w:val="16"/>
          <w:szCs w:val="16"/>
        </w:rPr>
        <w:tab/>
        <w:t>|8 |</w:t>
      </w:r>
    </w:p>
    <w:p w14:paraId="51653823" w14:textId="77777777" w:rsidR="00B6122E" w:rsidRPr="00925F26" w:rsidRDefault="00B6122E" w:rsidP="00925F26">
      <w:pPr>
        <w:jc w:val="both"/>
        <w:rPr>
          <w:color w:val="000000" w:themeColor="text1"/>
          <w:sz w:val="16"/>
          <w:szCs w:val="16"/>
        </w:rPr>
      </w:pPr>
      <w:r w:rsidRPr="00925F26">
        <w:rPr>
          <w:color w:val="000000" w:themeColor="text1"/>
          <w:sz w:val="16"/>
          <w:szCs w:val="16"/>
        </w:rPr>
        <w:t>ИЛ-2</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1542</w:t>
      </w:r>
      <w:r w:rsidRPr="00925F26">
        <w:rPr>
          <w:color w:val="000000" w:themeColor="text1"/>
          <w:sz w:val="16"/>
          <w:szCs w:val="16"/>
        </w:rPr>
        <w:tab/>
        <w:t>8229</w:t>
      </w:r>
      <w:r w:rsidRPr="00925F26">
        <w:rPr>
          <w:color w:val="000000" w:themeColor="text1"/>
          <w:sz w:val="16"/>
          <w:szCs w:val="16"/>
        </w:rPr>
        <w:tab/>
        <w:t>11193</w:t>
      </w:r>
      <w:r w:rsidRPr="00925F26">
        <w:rPr>
          <w:color w:val="000000" w:themeColor="text1"/>
          <w:sz w:val="16"/>
          <w:szCs w:val="16"/>
        </w:rPr>
        <w:tab/>
        <w:t>10888</w:t>
      </w:r>
    </w:p>
    <w:p w14:paraId="33276F95" w14:textId="77777777" w:rsidR="00B6122E" w:rsidRPr="00925F26" w:rsidRDefault="00B6122E" w:rsidP="00925F26">
      <w:pPr>
        <w:jc w:val="both"/>
        <w:rPr>
          <w:color w:val="000000" w:themeColor="text1"/>
          <w:sz w:val="16"/>
          <w:szCs w:val="16"/>
        </w:rPr>
      </w:pPr>
      <w:r w:rsidRPr="00925F26">
        <w:rPr>
          <w:color w:val="000000" w:themeColor="text1"/>
          <w:sz w:val="16"/>
          <w:szCs w:val="16"/>
        </w:rPr>
        <w:t>ИЛ-10</w:t>
      </w:r>
      <w:r w:rsidRPr="00925F26">
        <w:rPr>
          <w:color w:val="000000" w:themeColor="text1"/>
          <w:sz w:val="16"/>
          <w:szCs w:val="16"/>
        </w:rPr>
        <w:tab/>
        <w:t>~</w:t>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222</w:t>
      </w:r>
    </w:p>
    <w:p w14:paraId="0AF07668" w14:textId="77777777" w:rsidR="00B6122E" w:rsidRPr="00925F26" w:rsidRDefault="00B6122E" w:rsidP="00925F26">
      <w:pPr>
        <w:jc w:val="both"/>
        <w:rPr>
          <w:color w:val="000000" w:themeColor="text1"/>
          <w:sz w:val="16"/>
          <w:szCs w:val="16"/>
        </w:rPr>
      </w:pPr>
      <w:r w:rsidRPr="00925F26">
        <w:rPr>
          <w:color w:val="000000" w:themeColor="text1"/>
          <w:sz w:val="16"/>
          <w:szCs w:val="16"/>
        </w:rPr>
        <w:t>Итого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45FB2E00" w14:textId="77777777" w:rsidR="00B6122E" w:rsidRPr="00925F26" w:rsidRDefault="00B6122E" w:rsidP="00925F26">
      <w:pPr>
        <w:jc w:val="both"/>
        <w:rPr>
          <w:color w:val="000000" w:themeColor="text1"/>
          <w:sz w:val="16"/>
          <w:szCs w:val="16"/>
        </w:rPr>
      </w:pPr>
      <w:proofErr w:type="gramStart"/>
      <w:r w:rsidRPr="00925F26">
        <w:rPr>
          <w:color w:val="000000" w:themeColor="text1"/>
          <w:sz w:val="16"/>
          <w:szCs w:val="16"/>
        </w:rPr>
        <w:t>штурмовиков  Бомбардировщики</w:t>
      </w:r>
      <w:proofErr w:type="gramEnd"/>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1542</w:t>
      </w:r>
      <w:r w:rsidRPr="00925F26">
        <w:rPr>
          <w:color w:val="000000" w:themeColor="text1"/>
          <w:sz w:val="16"/>
          <w:szCs w:val="16"/>
        </w:rPr>
        <w:tab/>
        <w:t>8229</w:t>
      </w:r>
      <w:r w:rsidRPr="00925F26">
        <w:rPr>
          <w:color w:val="000000" w:themeColor="text1"/>
          <w:sz w:val="16"/>
          <w:szCs w:val="16"/>
        </w:rPr>
        <w:tab/>
        <w:t>11193</w:t>
      </w:r>
      <w:r w:rsidRPr="00925F26">
        <w:rPr>
          <w:color w:val="000000" w:themeColor="text1"/>
          <w:sz w:val="16"/>
          <w:szCs w:val="16"/>
        </w:rPr>
        <w:tab/>
        <w:t>11110</w:t>
      </w:r>
    </w:p>
    <w:p w14:paraId="50209502" w14:textId="77777777" w:rsidR="00B6122E" w:rsidRPr="00925F26" w:rsidRDefault="00B6122E" w:rsidP="00925F26">
      <w:pPr>
        <w:jc w:val="both"/>
        <w:rPr>
          <w:color w:val="000000" w:themeColor="text1"/>
          <w:sz w:val="16"/>
          <w:szCs w:val="16"/>
        </w:rPr>
      </w:pPr>
      <w:r w:rsidRPr="00925F26">
        <w:rPr>
          <w:color w:val="000000" w:themeColor="text1"/>
          <w:sz w:val="16"/>
          <w:szCs w:val="16"/>
        </w:rPr>
        <w:t>ДБ-3</w:t>
      </w:r>
      <w:r w:rsidRPr="00925F26">
        <w:rPr>
          <w:color w:val="000000" w:themeColor="text1"/>
          <w:sz w:val="16"/>
          <w:szCs w:val="16"/>
        </w:rPr>
        <w:tab/>
        <w:t>959</w:t>
      </w:r>
      <w:r w:rsidRPr="00925F26">
        <w:rPr>
          <w:color w:val="000000" w:themeColor="text1"/>
          <w:sz w:val="16"/>
          <w:szCs w:val="16"/>
        </w:rPr>
        <w:tab/>
        <w:t>100</w:t>
      </w:r>
      <w:r w:rsidRPr="00925F26">
        <w:rPr>
          <w:color w:val="000000" w:themeColor="text1"/>
          <w:sz w:val="16"/>
          <w:szCs w:val="16"/>
        </w:rPr>
        <w:tab/>
        <w:t>25</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0D0153DB" w14:textId="77777777" w:rsidR="00B6122E" w:rsidRPr="00925F26" w:rsidRDefault="00B6122E" w:rsidP="00925F26">
      <w:pPr>
        <w:jc w:val="both"/>
        <w:rPr>
          <w:color w:val="000000" w:themeColor="text1"/>
          <w:sz w:val="16"/>
          <w:szCs w:val="16"/>
        </w:rPr>
      </w:pPr>
      <w:r w:rsidRPr="00925F26">
        <w:rPr>
          <w:color w:val="000000" w:themeColor="text1"/>
          <w:sz w:val="16"/>
          <w:szCs w:val="16"/>
        </w:rPr>
        <w:t>ДБ-А</w:t>
      </w:r>
      <w:r w:rsidRPr="00925F26">
        <w:rPr>
          <w:color w:val="000000" w:themeColor="text1"/>
          <w:sz w:val="16"/>
          <w:szCs w:val="16"/>
        </w:rPr>
        <w:tab/>
        <w:t>5</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06FAC224" w14:textId="77777777" w:rsidR="00B6122E" w:rsidRPr="00925F26" w:rsidRDefault="00B6122E" w:rsidP="00925F26">
      <w:pPr>
        <w:jc w:val="both"/>
        <w:rPr>
          <w:color w:val="000000" w:themeColor="text1"/>
          <w:sz w:val="16"/>
          <w:szCs w:val="16"/>
        </w:rPr>
      </w:pPr>
      <w:r w:rsidRPr="00925F26">
        <w:rPr>
          <w:color w:val="000000" w:themeColor="text1"/>
          <w:sz w:val="16"/>
          <w:szCs w:val="16"/>
        </w:rPr>
        <w:t>СБ</w:t>
      </w:r>
      <w:r w:rsidRPr="00925F26">
        <w:rPr>
          <w:color w:val="000000" w:themeColor="text1"/>
          <w:sz w:val="16"/>
          <w:szCs w:val="16"/>
        </w:rPr>
        <w:tab/>
        <w:t>1778</w:t>
      </w:r>
      <w:r w:rsidRPr="00925F26">
        <w:rPr>
          <w:color w:val="000000" w:themeColor="text1"/>
          <w:sz w:val="16"/>
          <w:szCs w:val="16"/>
        </w:rPr>
        <w:tab/>
        <w:t>2124</w:t>
      </w:r>
      <w:r w:rsidRPr="00925F26">
        <w:rPr>
          <w:color w:val="000000" w:themeColor="text1"/>
          <w:sz w:val="16"/>
          <w:szCs w:val="16"/>
        </w:rPr>
        <w:tab/>
        <w:t>93</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5CF6A0CA" w14:textId="77777777" w:rsidR="00B6122E" w:rsidRPr="00925F26" w:rsidRDefault="00B6122E" w:rsidP="00925F26">
      <w:pPr>
        <w:jc w:val="both"/>
        <w:rPr>
          <w:color w:val="000000" w:themeColor="text1"/>
          <w:sz w:val="16"/>
          <w:szCs w:val="16"/>
        </w:rPr>
      </w:pPr>
      <w:r w:rsidRPr="00925F26">
        <w:rPr>
          <w:color w:val="000000" w:themeColor="text1"/>
          <w:sz w:val="16"/>
          <w:szCs w:val="16"/>
        </w:rPr>
        <w:t>ПЕ-8</w:t>
      </w:r>
      <w:r w:rsidRPr="00925F26">
        <w:rPr>
          <w:color w:val="000000" w:themeColor="text1"/>
          <w:sz w:val="16"/>
          <w:szCs w:val="16"/>
        </w:rPr>
        <w:tab/>
        <w:t>2</w:t>
      </w:r>
      <w:r w:rsidRPr="00925F26">
        <w:rPr>
          <w:color w:val="000000" w:themeColor="text1"/>
          <w:sz w:val="16"/>
          <w:szCs w:val="16"/>
        </w:rPr>
        <w:tab/>
        <w:t>10</w:t>
      </w:r>
      <w:r w:rsidRPr="00925F26">
        <w:rPr>
          <w:color w:val="000000" w:themeColor="text1"/>
          <w:sz w:val="16"/>
          <w:szCs w:val="16"/>
        </w:rPr>
        <w:tab/>
        <w:t>23</w:t>
      </w:r>
      <w:r w:rsidRPr="00925F26">
        <w:rPr>
          <w:color w:val="000000" w:themeColor="text1"/>
          <w:sz w:val="16"/>
          <w:szCs w:val="16"/>
        </w:rPr>
        <w:tab/>
        <w:t>22</w:t>
      </w:r>
      <w:r w:rsidRPr="00925F26">
        <w:rPr>
          <w:color w:val="000000" w:themeColor="text1"/>
          <w:sz w:val="16"/>
          <w:szCs w:val="16"/>
        </w:rPr>
        <w:tab/>
        <w:t>29</w:t>
      </w:r>
      <w:r w:rsidRPr="00925F26">
        <w:rPr>
          <w:color w:val="000000" w:themeColor="text1"/>
          <w:sz w:val="16"/>
          <w:szCs w:val="16"/>
        </w:rPr>
        <w:tab/>
        <w:t>5</w:t>
      </w:r>
    </w:p>
    <w:p w14:paraId="7C834AAF" w14:textId="77777777" w:rsidR="00B6122E" w:rsidRPr="00925F26" w:rsidRDefault="00B6122E" w:rsidP="00925F26">
      <w:pPr>
        <w:jc w:val="both"/>
        <w:rPr>
          <w:color w:val="000000" w:themeColor="text1"/>
          <w:sz w:val="16"/>
          <w:szCs w:val="16"/>
        </w:rPr>
      </w:pPr>
      <w:r w:rsidRPr="00925F26">
        <w:rPr>
          <w:color w:val="000000" w:themeColor="text1"/>
          <w:sz w:val="16"/>
          <w:szCs w:val="16"/>
        </w:rPr>
        <w:t>ИЛ-4</w:t>
      </w:r>
      <w:r w:rsidRPr="00925F26">
        <w:rPr>
          <w:color w:val="000000" w:themeColor="text1"/>
          <w:sz w:val="16"/>
          <w:szCs w:val="16"/>
        </w:rPr>
        <w:tab/>
        <w:t>-</w:t>
      </w:r>
      <w:r w:rsidRPr="00925F26">
        <w:rPr>
          <w:color w:val="000000" w:themeColor="text1"/>
          <w:sz w:val="16"/>
          <w:szCs w:val="16"/>
        </w:rPr>
        <w:tab/>
        <w:t>1006</w:t>
      </w:r>
      <w:r w:rsidRPr="00925F26">
        <w:rPr>
          <w:color w:val="000000" w:themeColor="text1"/>
          <w:sz w:val="16"/>
          <w:szCs w:val="16"/>
        </w:rPr>
        <w:tab/>
        <w:t>732</w:t>
      </w:r>
      <w:r w:rsidRPr="00925F26">
        <w:rPr>
          <w:color w:val="000000" w:themeColor="text1"/>
          <w:sz w:val="16"/>
          <w:szCs w:val="16"/>
        </w:rPr>
        <w:tab/>
        <w:t>858</w:t>
      </w:r>
      <w:r w:rsidRPr="00925F26">
        <w:rPr>
          <w:color w:val="000000" w:themeColor="text1"/>
          <w:sz w:val="16"/>
          <w:szCs w:val="16"/>
        </w:rPr>
        <w:tab/>
        <w:t>1568</w:t>
      </w:r>
      <w:r w:rsidRPr="00925F26">
        <w:rPr>
          <w:color w:val="000000" w:themeColor="text1"/>
          <w:sz w:val="16"/>
          <w:szCs w:val="16"/>
        </w:rPr>
        <w:tab/>
        <w:t>706</w:t>
      </w:r>
    </w:p>
    <w:p w14:paraId="53D50B97" w14:textId="77777777" w:rsidR="00B6122E" w:rsidRPr="00925F26" w:rsidRDefault="00B6122E" w:rsidP="00925F26">
      <w:pPr>
        <w:jc w:val="both"/>
        <w:rPr>
          <w:color w:val="000000" w:themeColor="text1"/>
          <w:sz w:val="16"/>
          <w:szCs w:val="16"/>
        </w:rPr>
      </w:pPr>
      <w:r w:rsidRPr="00925F26">
        <w:rPr>
          <w:color w:val="000000" w:themeColor="text1"/>
          <w:sz w:val="16"/>
          <w:szCs w:val="16"/>
        </w:rPr>
        <w:t>АР-2</w:t>
      </w:r>
      <w:r w:rsidRPr="00925F26">
        <w:rPr>
          <w:color w:val="000000" w:themeColor="text1"/>
          <w:sz w:val="16"/>
          <w:szCs w:val="16"/>
        </w:rPr>
        <w:tab/>
        <w:t>-</w:t>
      </w:r>
      <w:r w:rsidRPr="00925F26">
        <w:rPr>
          <w:color w:val="000000" w:themeColor="text1"/>
          <w:sz w:val="16"/>
          <w:szCs w:val="16"/>
        </w:rPr>
        <w:tab/>
        <w:t>71</w:t>
      </w:r>
      <w:r w:rsidRPr="00925F26">
        <w:rPr>
          <w:color w:val="000000" w:themeColor="text1"/>
          <w:sz w:val="16"/>
          <w:szCs w:val="16"/>
        </w:rPr>
        <w:tab/>
        <w:t>127</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F2A8EFA" w14:textId="77777777" w:rsidR="00B6122E" w:rsidRPr="00925F26" w:rsidRDefault="00B6122E" w:rsidP="00925F26">
      <w:pPr>
        <w:jc w:val="both"/>
        <w:rPr>
          <w:color w:val="000000" w:themeColor="text1"/>
          <w:sz w:val="16"/>
          <w:szCs w:val="16"/>
        </w:rPr>
      </w:pPr>
      <w:r w:rsidRPr="00925F26">
        <w:rPr>
          <w:color w:val="000000" w:themeColor="text1"/>
          <w:sz w:val="16"/>
          <w:szCs w:val="16"/>
        </w:rPr>
        <w:t>ЯК-4</w:t>
      </w:r>
      <w:r w:rsidRPr="00925F26">
        <w:rPr>
          <w:color w:val="000000" w:themeColor="text1"/>
          <w:sz w:val="16"/>
          <w:szCs w:val="16"/>
        </w:rPr>
        <w:tab/>
        <w:t>-</w:t>
      </w:r>
      <w:r w:rsidRPr="00925F26">
        <w:rPr>
          <w:color w:val="000000" w:themeColor="text1"/>
          <w:sz w:val="16"/>
          <w:szCs w:val="16"/>
        </w:rPr>
        <w:tab/>
        <w:t>138</w:t>
      </w:r>
      <w:r w:rsidRPr="00925F26">
        <w:rPr>
          <w:color w:val="000000" w:themeColor="text1"/>
          <w:sz w:val="16"/>
          <w:szCs w:val="16"/>
        </w:rPr>
        <w:tab/>
        <w:t>63</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0EBBCE9C" w14:textId="77777777" w:rsidR="00B6122E" w:rsidRPr="00925F26" w:rsidRDefault="00B6122E" w:rsidP="00925F26">
      <w:pPr>
        <w:jc w:val="both"/>
        <w:rPr>
          <w:color w:val="000000" w:themeColor="text1"/>
          <w:sz w:val="16"/>
          <w:szCs w:val="16"/>
        </w:rPr>
      </w:pPr>
      <w:r w:rsidRPr="00925F26">
        <w:rPr>
          <w:color w:val="000000" w:themeColor="text1"/>
          <w:sz w:val="16"/>
          <w:szCs w:val="16"/>
        </w:rPr>
        <w:t>СУ-2</w:t>
      </w:r>
      <w:r w:rsidRPr="00925F26">
        <w:rPr>
          <w:color w:val="000000" w:themeColor="text1"/>
          <w:sz w:val="16"/>
          <w:szCs w:val="16"/>
        </w:rPr>
        <w:tab/>
        <w:t>-</w:t>
      </w:r>
      <w:r w:rsidRPr="00925F26">
        <w:rPr>
          <w:color w:val="000000" w:themeColor="text1"/>
          <w:sz w:val="16"/>
          <w:szCs w:val="16"/>
        </w:rPr>
        <w:tab/>
        <w:t>125</w:t>
      </w:r>
      <w:r w:rsidRPr="00925F26">
        <w:rPr>
          <w:color w:val="000000" w:themeColor="text1"/>
          <w:sz w:val="16"/>
          <w:szCs w:val="16"/>
        </w:rPr>
        <w:tab/>
        <w:t>728</w:t>
      </w:r>
      <w:r w:rsidRPr="00925F26">
        <w:rPr>
          <w:color w:val="000000" w:themeColor="text1"/>
          <w:sz w:val="16"/>
          <w:szCs w:val="16"/>
        </w:rPr>
        <w:tab/>
        <w:t>40</w:t>
      </w:r>
      <w:r w:rsidRPr="00925F26">
        <w:rPr>
          <w:color w:val="000000" w:themeColor="text1"/>
          <w:sz w:val="16"/>
          <w:szCs w:val="16"/>
        </w:rPr>
        <w:tab/>
        <w:t>-</w:t>
      </w:r>
      <w:r w:rsidRPr="00925F26">
        <w:rPr>
          <w:color w:val="000000" w:themeColor="text1"/>
          <w:sz w:val="16"/>
          <w:szCs w:val="16"/>
        </w:rPr>
        <w:tab/>
        <w:t>-</w:t>
      </w:r>
    </w:p>
    <w:p w14:paraId="55F1FC94" w14:textId="77777777" w:rsidR="00B6122E" w:rsidRPr="00925F26" w:rsidRDefault="00B6122E" w:rsidP="00925F26">
      <w:pPr>
        <w:jc w:val="both"/>
        <w:rPr>
          <w:color w:val="000000" w:themeColor="text1"/>
          <w:sz w:val="16"/>
          <w:szCs w:val="16"/>
        </w:rPr>
      </w:pPr>
      <w:r w:rsidRPr="00925F26">
        <w:rPr>
          <w:color w:val="000000" w:themeColor="text1"/>
          <w:sz w:val="16"/>
          <w:szCs w:val="16"/>
        </w:rPr>
        <w:t>БЕ-4</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6</w:t>
      </w:r>
      <w:r w:rsidRPr="00925F26">
        <w:rPr>
          <w:color w:val="000000" w:themeColor="text1"/>
          <w:sz w:val="16"/>
          <w:szCs w:val="16"/>
        </w:rPr>
        <w:tab/>
        <w:t>-</w:t>
      </w:r>
      <w:r w:rsidRPr="00925F26">
        <w:rPr>
          <w:color w:val="000000" w:themeColor="text1"/>
          <w:sz w:val="16"/>
          <w:szCs w:val="16"/>
        </w:rPr>
        <w:tab/>
        <w:t>-</w:t>
      </w:r>
    </w:p>
    <w:p w14:paraId="3F73A5AA" w14:textId="77777777" w:rsidR="00B6122E" w:rsidRPr="00925F26" w:rsidRDefault="00B6122E" w:rsidP="00925F26">
      <w:pPr>
        <w:jc w:val="both"/>
        <w:rPr>
          <w:color w:val="000000" w:themeColor="text1"/>
          <w:sz w:val="16"/>
          <w:szCs w:val="16"/>
        </w:rPr>
      </w:pPr>
      <w:r w:rsidRPr="00925F26">
        <w:rPr>
          <w:color w:val="000000" w:themeColor="text1"/>
          <w:sz w:val="16"/>
          <w:szCs w:val="16"/>
        </w:rPr>
        <w:t>ПЕ-2 и ПЕ-3</w:t>
      </w:r>
      <w:r w:rsidRPr="00925F26">
        <w:rPr>
          <w:color w:val="000000" w:themeColor="text1"/>
          <w:sz w:val="16"/>
          <w:szCs w:val="16"/>
        </w:rPr>
        <w:tab/>
        <w:t>-</w:t>
      </w:r>
      <w:r w:rsidRPr="00925F26">
        <w:rPr>
          <w:color w:val="000000" w:themeColor="text1"/>
          <w:sz w:val="16"/>
          <w:szCs w:val="16"/>
        </w:rPr>
        <w:tab/>
        <w:t>1</w:t>
      </w:r>
      <w:r w:rsidRPr="00925F26">
        <w:rPr>
          <w:color w:val="000000" w:themeColor="text1"/>
          <w:sz w:val="16"/>
          <w:szCs w:val="16"/>
        </w:rPr>
        <w:tab/>
        <w:t>1867</w:t>
      </w:r>
      <w:r w:rsidRPr="00925F26">
        <w:rPr>
          <w:color w:val="000000" w:themeColor="text1"/>
          <w:sz w:val="16"/>
          <w:szCs w:val="16"/>
        </w:rPr>
        <w:tab/>
        <w:t>2524</w:t>
      </w:r>
      <w:r w:rsidRPr="00925F26">
        <w:rPr>
          <w:color w:val="000000" w:themeColor="text1"/>
          <w:sz w:val="16"/>
          <w:szCs w:val="16"/>
        </w:rPr>
        <w:tab/>
        <w:t>2441</w:t>
      </w:r>
      <w:r w:rsidRPr="00925F26">
        <w:rPr>
          <w:color w:val="000000" w:themeColor="text1"/>
          <w:sz w:val="16"/>
          <w:szCs w:val="16"/>
        </w:rPr>
        <w:tab/>
        <w:t>2963</w:t>
      </w:r>
    </w:p>
    <w:p w14:paraId="52A733D0" w14:textId="77777777" w:rsidR="00B6122E" w:rsidRPr="00925F26" w:rsidRDefault="00B6122E" w:rsidP="00925F26">
      <w:pPr>
        <w:jc w:val="both"/>
        <w:rPr>
          <w:color w:val="000000" w:themeColor="text1"/>
          <w:sz w:val="16"/>
          <w:szCs w:val="16"/>
        </w:rPr>
      </w:pPr>
      <w:r w:rsidRPr="00925F26">
        <w:rPr>
          <w:color w:val="000000" w:themeColor="text1"/>
          <w:sz w:val="16"/>
          <w:szCs w:val="16"/>
        </w:rPr>
        <w:t>ЕР-2</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71</w:t>
      </w:r>
      <w:r w:rsidRPr="00925F26">
        <w:rPr>
          <w:color w:val="000000" w:themeColor="text1"/>
          <w:sz w:val="16"/>
          <w:szCs w:val="16"/>
        </w:rPr>
        <w:tab/>
        <w:t>-</w:t>
      </w:r>
      <w:r w:rsidRPr="00925F26">
        <w:rPr>
          <w:color w:val="000000" w:themeColor="text1"/>
          <w:sz w:val="16"/>
          <w:szCs w:val="16"/>
        </w:rPr>
        <w:tab/>
        <w:t>2</w:t>
      </w:r>
      <w:r w:rsidRPr="00925F26">
        <w:rPr>
          <w:color w:val="000000" w:themeColor="text1"/>
          <w:sz w:val="16"/>
          <w:szCs w:val="16"/>
        </w:rPr>
        <w:tab/>
        <w:t>148</w:t>
      </w:r>
    </w:p>
    <w:p w14:paraId="737B9038" w14:textId="77777777" w:rsidR="00B6122E" w:rsidRPr="00925F26" w:rsidRDefault="00B6122E" w:rsidP="00925F26">
      <w:pPr>
        <w:jc w:val="both"/>
        <w:rPr>
          <w:color w:val="000000" w:themeColor="text1"/>
          <w:sz w:val="16"/>
          <w:szCs w:val="16"/>
        </w:rPr>
      </w:pPr>
      <w:r w:rsidRPr="00925F26">
        <w:rPr>
          <w:color w:val="000000" w:themeColor="text1"/>
          <w:sz w:val="16"/>
          <w:szCs w:val="16"/>
        </w:rPr>
        <w:t>ТУ-2</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79</w:t>
      </w:r>
      <w:r w:rsidRPr="00925F26">
        <w:rPr>
          <w:color w:val="000000" w:themeColor="text1"/>
          <w:sz w:val="16"/>
          <w:szCs w:val="16"/>
        </w:rPr>
        <w:tab/>
        <w:t>17</w:t>
      </w:r>
      <w:r w:rsidRPr="00925F26">
        <w:rPr>
          <w:color w:val="000000" w:themeColor="text1"/>
          <w:sz w:val="16"/>
          <w:szCs w:val="16"/>
        </w:rPr>
        <w:tab/>
        <w:t>378</w:t>
      </w:r>
    </w:p>
    <w:p w14:paraId="6658B67E" w14:textId="77777777" w:rsidR="00B6122E" w:rsidRPr="00925F26" w:rsidRDefault="00B6122E" w:rsidP="00925F26">
      <w:pPr>
        <w:jc w:val="both"/>
        <w:rPr>
          <w:color w:val="000000" w:themeColor="text1"/>
          <w:sz w:val="16"/>
          <w:szCs w:val="16"/>
        </w:rPr>
      </w:pPr>
      <w:r w:rsidRPr="00925F26">
        <w:rPr>
          <w:color w:val="000000" w:themeColor="text1"/>
          <w:sz w:val="16"/>
          <w:szCs w:val="16"/>
        </w:rPr>
        <w:t xml:space="preserve">Итого бомбардировщиков </w:t>
      </w:r>
    </w:p>
    <w:p w14:paraId="745DED3E" w14:textId="77777777" w:rsidR="00B6122E" w:rsidRPr="00925F26" w:rsidRDefault="00B6122E" w:rsidP="00925F26">
      <w:pPr>
        <w:jc w:val="both"/>
        <w:rPr>
          <w:color w:val="000000" w:themeColor="text1"/>
          <w:sz w:val="16"/>
          <w:szCs w:val="16"/>
        </w:rPr>
      </w:pPr>
      <w:r w:rsidRPr="00925F26">
        <w:rPr>
          <w:color w:val="000000" w:themeColor="text1"/>
          <w:sz w:val="16"/>
          <w:szCs w:val="16"/>
        </w:rPr>
        <w:t>Всего боевых</w:t>
      </w:r>
      <w:r w:rsidRPr="00925F26">
        <w:rPr>
          <w:color w:val="000000" w:themeColor="text1"/>
          <w:sz w:val="16"/>
          <w:szCs w:val="16"/>
        </w:rPr>
        <w:tab/>
        <w:t>2744</w:t>
      </w:r>
      <w:r w:rsidRPr="00925F26">
        <w:rPr>
          <w:color w:val="000000" w:themeColor="text1"/>
          <w:sz w:val="16"/>
          <w:szCs w:val="16"/>
        </w:rPr>
        <w:tab/>
        <w:t>3576</w:t>
      </w:r>
      <w:r w:rsidRPr="00925F26">
        <w:rPr>
          <w:color w:val="000000" w:themeColor="text1"/>
          <w:sz w:val="16"/>
          <w:szCs w:val="16"/>
        </w:rPr>
        <w:tab/>
        <w:t>3729</w:t>
      </w:r>
      <w:r w:rsidRPr="00925F26">
        <w:rPr>
          <w:color w:val="000000" w:themeColor="text1"/>
          <w:sz w:val="16"/>
          <w:szCs w:val="16"/>
        </w:rPr>
        <w:tab/>
        <w:t>3529</w:t>
      </w:r>
      <w:r w:rsidRPr="00925F26">
        <w:rPr>
          <w:color w:val="000000" w:themeColor="text1"/>
          <w:sz w:val="16"/>
          <w:szCs w:val="16"/>
        </w:rPr>
        <w:tab/>
        <w:t>4057</w:t>
      </w:r>
      <w:r w:rsidRPr="00925F26">
        <w:rPr>
          <w:color w:val="000000" w:themeColor="text1"/>
          <w:sz w:val="16"/>
          <w:szCs w:val="16"/>
        </w:rPr>
        <w:tab/>
        <w:t>4200</w:t>
      </w:r>
    </w:p>
    <w:p w14:paraId="52634BD3" w14:textId="77777777" w:rsidR="00B6122E" w:rsidRPr="00925F26" w:rsidRDefault="00B6122E" w:rsidP="00925F26">
      <w:pPr>
        <w:jc w:val="both"/>
        <w:rPr>
          <w:color w:val="000000" w:themeColor="text1"/>
          <w:sz w:val="16"/>
          <w:szCs w:val="16"/>
        </w:rPr>
      </w:pPr>
      <w:r w:rsidRPr="00925F26">
        <w:rPr>
          <w:color w:val="000000" w:themeColor="text1"/>
          <w:sz w:val="16"/>
          <w:szCs w:val="16"/>
        </w:rPr>
        <w:t>самолетов</w:t>
      </w:r>
      <w:r w:rsidRPr="00925F26">
        <w:rPr>
          <w:color w:val="000000" w:themeColor="text1"/>
          <w:sz w:val="16"/>
          <w:szCs w:val="16"/>
        </w:rPr>
        <w:tab/>
        <w:t>6997</w:t>
      </w:r>
      <w:r w:rsidRPr="00925F26">
        <w:rPr>
          <w:color w:val="000000" w:themeColor="text1"/>
          <w:sz w:val="16"/>
          <w:szCs w:val="16"/>
        </w:rPr>
        <w:tab/>
        <w:t>8331</w:t>
      </w:r>
      <w:r w:rsidRPr="00925F26">
        <w:rPr>
          <w:color w:val="000000" w:themeColor="text1"/>
          <w:sz w:val="16"/>
          <w:szCs w:val="16"/>
        </w:rPr>
        <w:tab/>
        <w:t>12377</w:t>
      </w:r>
      <w:r w:rsidRPr="00925F26">
        <w:rPr>
          <w:color w:val="000000" w:themeColor="text1"/>
          <w:sz w:val="16"/>
          <w:szCs w:val="16"/>
        </w:rPr>
        <w:tab/>
        <w:t>21681</w:t>
      </w:r>
      <w:r w:rsidRPr="00925F26">
        <w:rPr>
          <w:color w:val="000000" w:themeColor="text1"/>
          <w:sz w:val="16"/>
          <w:szCs w:val="16"/>
        </w:rPr>
        <w:tab/>
        <w:t>29877</w:t>
      </w:r>
      <w:r w:rsidRPr="00925F26">
        <w:rPr>
          <w:color w:val="000000" w:themeColor="text1"/>
          <w:sz w:val="16"/>
          <w:szCs w:val="16"/>
        </w:rPr>
        <w:tab/>
        <w:t>33205</w:t>
      </w:r>
    </w:p>
    <w:p w14:paraId="4660B17F" w14:textId="77777777" w:rsidR="00B6122E" w:rsidRPr="00925F26" w:rsidRDefault="00B6122E" w:rsidP="00925F26">
      <w:pPr>
        <w:jc w:val="both"/>
        <w:rPr>
          <w:color w:val="000000" w:themeColor="text1"/>
          <w:sz w:val="16"/>
          <w:szCs w:val="16"/>
        </w:rPr>
      </w:pPr>
      <w:r w:rsidRPr="00925F26">
        <w:rPr>
          <w:color w:val="000000" w:themeColor="text1"/>
          <w:sz w:val="16"/>
          <w:szCs w:val="16"/>
        </w:rPr>
        <w:t>Транспортные</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068638CC" w14:textId="77777777" w:rsidR="00B6122E" w:rsidRPr="00925F26" w:rsidRDefault="00B6122E" w:rsidP="00925F26">
      <w:pPr>
        <w:jc w:val="both"/>
        <w:rPr>
          <w:color w:val="000000" w:themeColor="text1"/>
          <w:sz w:val="16"/>
          <w:szCs w:val="16"/>
        </w:rPr>
      </w:pPr>
      <w:r w:rsidRPr="00925F26">
        <w:rPr>
          <w:color w:val="000000" w:themeColor="text1"/>
          <w:sz w:val="16"/>
          <w:szCs w:val="16"/>
        </w:rPr>
        <w:t>ЛИ-2</w:t>
      </w:r>
      <w:r w:rsidRPr="00925F26">
        <w:rPr>
          <w:color w:val="000000" w:themeColor="text1"/>
          <w:sz w:val="16"/>
          <w:szCs w:val="16"/>
        </w:rPr>
        <w:tab/>
        <w:t>6</w:t>
      </w:r>
      <w:r w:rsidRPr="00925F26">
        <w:rPr>
          <w:color w:val="000000" w:themeColor="text1"/>
          <w:sz w:val="16"/>
          <w:szCs w:val="16"/>
        </w:rPr>
        <w:tab/>
        <w:t>61</w:t>
      </w:r>
      <w:r w:rsidRPr="00925F26">
        <w:rPr>
          <w:color w:val="000000" w:themeColor="text1"/>
          <w:sz w:val="16"/>
          <w:szCs w:val="16"/>
        </w:rPr>
        <w:tab/>
        <w:t>237</w:t>
      </w:r>
      <w:r w:rsidRPr="00925F26">
        <w:rPr>
          <w:color w:val="000000" w:themeColor="text1"/>
          <w:sz w:val="16"/>
          <w:szCs w:val="16"/>
        </w:rPr>
        <w:tab/>
        <w:t>423</w:t>
      </w:r>
      <w:r w:rsidRPr="00925F26">
        <w:rPr>
          <w:color w:val="000000" w:themeColor="text1"/>
          <w:sz w:val="16"/>
          <w:szCs w:val="16"/>
        </w:rPr>
        <w:tab/>
        <w:t>618</w:t>
      </w:r>
      <w:r w:rsidRPr="00925F26">
        <w:rPr>
          <w:color w:val="000000" w:themeColor="text1"/>
          <w:sz w:val="16"/>
          <w:szCs w:val="16"/>
        </w:rPr>
        <w:tab/>
        <w:t>626</w:t>
      </w:r>
    </w:p>
    <w:p w14:paraId="663D8D8C" w14:textId="77777777" w:rsidR="00B6122E" w:rsidRPr="00925F26" w:rsidRDefault="00B6122E" w:rsidP="00925F26">
      <w:pPr>
        <w:jc w:val="both"/>
        <w:rPr>
          <w:color w:val="000000" w:themeColor="text1"/>
          <w:sz w:val="16"/>
          <w:szCs w:val="16"/>
        </w:rPr>
      </w:pPr>
      <w:r w:rsidRPr="00925F26">
        <w:rPr>
          <w:color w:val="000000" w:themeColor="text1"/>
          <w:sz w:val="16"/>
          <w:szCs w:val="16"/>
        </w:rPr>
        <w:t>СП-35</w:t>
      </w:r>
      <w:r w:rsidRPr="00925F26">
        <w:rPr>
          <w:color w:val="000000" w:themeColor="text1"/>
          <w:sz w:val="16"/>
          <w:szCs w:val="16"/>
        </w:rPr>
        <w:tab/>
        <w:t>8</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626C30D7" w14:textId="77777777" w:rsidR="00B6122E" w:rsidRPr="00925F26" w:rsidRDefault="00B6122E" w:rsidP="00925F26">
      <w:pPr>
        <w:jc w:val="both"/>
        <w:rPr>
          <w:color w:val="000000" w:themeColor="text1"/>
          <w:sz w:val="16"/>
          <w:szCs w:val="16"/>
        </w:rPr>
      </w:pPr>
      <w:r w:rsidRPr="00925F26">
        <w:rPr>
          <w:color w:val="000000" w:themeColor="text1"/>
          <w:sz w:val="16"/>
          <w:szCs w:val="16"/>
        </w:rPr>
        <w:t>АП</w:t>
      </w:r>
      <w:r w:rsidRPr="00925F26">
        <w:rPr>
          <w:color w:val="000000" w:themeColor="text1"/>
          <w:sz w:val="16"/>
          <w:szCs w:val="16"/>
        </w:rPr>
        <w:tab/>
        <w:t>125</w:t>
      </w:r>
      <w:r w:rsidRPr="00925F26">
        <w:rPr>
          <w:color w:val="000000" w:themeColor="text1"/>
          <w:sz w:val="16"/>
          <w:szCs w:val="16"/>
        </w:rPr>
        <w:tab/>
        <w:t>125</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6B9A810B" w14:textId="77777777" w:rsidR="00B6122E" w:rsidRPr="00925F26" w:rsidRDefault="00B6122E" w:rsidP="00925F26">
      <w:pPr>
        <w:jc w:val="both"/>
        <w:rPr>
          <w:color w:val="000000" w:themeColor="text1"/>
          <w:sz w:val="16"/>
          <w:szCs w:val="16"/>
        </w:rPr>
      </w:pPr>
      <w:r w:rsidRPr="00925F26">
        <w:rPr>
          <w:color w:val="000000" w:themeColor="text1"/>
          <w:sz w:val="16"/>
          <w:szCs w:val="16"/>
        </w:rPr>
        <w:t>СП</w:t>
      </w:r>
      <w:r w:rsidRPr="00925F26">
        <w:rPr>
          <w:color w:val="000000" w:themeColor="text1"/>
          <w:sz w:val="16"/>
          <w:szCs w:val="16"/>
        </w:rPr>
        <w:tab/>
        <w:t>126</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1557424" w14:textId="77777777" w:rsidR="00B6122E" w:rsidRPr="00925F26" w:rsidRDefault="00B6122E" w:rsidP="00925F26">
      <w:pPr>
        <w:jc w:val="both"/>
        <w:rPr>
          <w:color w:val="000000" w:themeColor="text1"/>
          <w:sz w:val="16"/>
          <w:szCs w:val="16"/>
        </w:rPr>
      </w:pPr>
      <w:r w:rsidRPr="00925F26">
        <w:rPr>
          <w:color w:val="000000" w:themeColor="text1"/>
          <w:sz w:val="16"/>
          <w:szCs w:val="16"/>
        </w:rPr>
        <w:t>МГ</w:t>
      </w:r>
      <w:r w:rsidRPr="00925F26">
        <w:rPr>
          <w:color w:val="000000" w:themeColor="text1"/>
          <w:sz w:val="16"/>
          <w:szCs w:val="16"/>
        </w:rPr>
        <w:tab/>
        <w:t>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66554757" w14:textId="77777777" w:rsidR="00B6122E" w:rsidRPr="00925F26" w:rsidRDefault="00B6122E" w:rsidP="00925F26">
      <w:pPr>
        <w:jc w:val="both"/>
        <w:rPr>
          <w:color w:val="000000" w:themeColor="text1"/>
          <w:sz w:val="16"/>
          <w:szCs w:val="16"/>
        </w:rPr>
      </w:pPr>
      <w:r w:rsidRPr="00925F26">
        <w:rPr>
          <w:color w:val="000000" w:themeColor="text1"/>
          <w:sz w:val="16"/>
          <w:szCs w:val="16"/>
        </w:rPr>
        <w:t>ПО-2С</w:t>
      </w:r>
      <w:r w:rsidRPr="00925F26">
        <w:rPr>
          <w:color w:val="000000" w:themeColor="text1"/>
          <w:sz w:val="16"/>
          <w:szCs w:val="16"/>
        </w:rPr>
        <w:tab/>
        <w:t>-</w:t>
      </w:r>
      <w:r w:rsidRPr="00925F26">
        <w:rPr>
          <w:color w:val="000000" w:themeColor="text1"/>
          <w:sz w:val="16"/>
          <w:szCs w:val="16"/>
        </w:rPr>
        <w:tab/>
        <w:t>365</w:t>
      </w:r>
      <w:r w:rsidRPr="00925F26">
        <w:rPr>
          <w:color w:val="000000" w:themeColor="text1"/>
          <w:sz w:val="16"/>
          <w:szCs w:val="16"/>
        </w:rPr>
        <w:tab/>
        <w:t>20</w:t>
      </w:r>
      <w:r w:rsidRPr="00925F26">
        <w:rPr>
          <w:color w:val="000000" w:themeColor="text1"/>
          <w:sz w:val="16"/>
          <w:szCs w:val="16"/>
        </w:rPr>
        <w:tab/>
        <w:t>18</w:t>
      </w:r>
      <w:r w:rsidRPr="00925F26">
        <w:rPr>
          <w:color w:val="000000" w:themeColor="text1"/>
          <w:sz w:val="16"/>
          <w:szCs w:val="16"/>
        </w:rPr>
        <w:tab/>
        <w:t>270</w:t>
      </w:r>
      <w:r w:rsidRPr="00925F26">
        <w:rPr>
          <w:color w:val="000000" w:themeColor="text1"/>
          <w:sz w:val="16"/>
          <w:szCs w:val="16"/>
        </w:rPr>
        <w:tab/>
        <w:t>695</w:t>
      </w:r>
    </w:p>
    <w:p w14:paraId="709ED2A2" w14:textId="77777777" w:rsidR="00B6122E" w:rsidRPr="00925F26" w:rsidRDefault="00B6122E" w:rsidP="00925F26">
      <w:pPr>
        <w:jc w:val="both"/>
        <w:rPr>
          <w:color w:val="000000" w:themeColor="text1"/>
          <w:sz w:val="16"/>
          <w:szCs w:val="16"/>
        </w:rPr>
      </w:pPr>
      <w:r w:rsidRPr="00925F26">
        <w:rPr>
          <w:color w:val="000000" w:themeColor="text1"/>
          <w:sz w:val="16"/>
          <w:szCs w:val="16"/>
        </w:rPr>
        <w:t>ЯК-6</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28</w:t>
      </w:r>
      <w:r w:rsidRPr="00925F26">
        <w:rPr>
          <w:color w:val="000000" w:themeColor="text1"/>
          <w:sz w:val="16"/>
          <w:szCs w:val="16"/>
        </w:rPr>
        <w:tab/>
        <w:t>353</w:t>
      </w:r>
      <w:r w:rsidRPr="00925F26">
        <w:rPr>
          <w:color w:val="000000" w:themeColor="text1"/>
          <w:sz w:val="16"/>
          <w:szCs w:val="16"/>
        </w:rPr>
        <w:tab/>
        <w:t>-</w:t>
      </w:r>
    </w:p>
    <w:p w14:paraId="18037EA0" w14:textId="77777777" w:rsidR="00B6122E" w:rsidRPr="00925F26" w:rsidRDefault="00B6122E" w:rsidP="00925F26">
      <w:pPr>
        <w:jc w:val="both"/>
        <w:rPr>
          <w:color w:val="000000" w:themeColor="text1"/>
          <w:sz w:val="16"/>
          <w:szCs w:val="16"/>
        </w:rPr>
      </w:pPr>
      <w:r w:rsidRPr="00925F26">
        <w:rPr>
          <w:color w:val="000000" w:themeColor="text1"/>
          <w:sz w:val="16"/>
          <w:szCs w:val="16"/>
        </w:rPr>
        <w:t>ЩЕ-2</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222</w:t>
      </w:r>
    </w:p>
    <w:p w14:paraId="591D77A5" w14:textId="77777777" w:rsidR="00B6122E" w:rsidRPr="00925F26" w:rsidRDefault="00B6122E" w:rsidP="00925F26">
      <w:pPr>
        <w:jc w:val="both"/>
        <w:rPr>
          <w:color w:val="000000" w:themeColor="text1"/>
          <w:sz w:val="16"/>
          <w:szCs w:val="16"/>
        </w:rPr>
      </w:pPr>
      <w:r w:rsidRPr="00925F26">
        <w:rPr>
          <w:color w:val="000000" w:themeColor="text1"/>
          <w:sz w:val="16"/>
          <w:szCs w:val="16"/>
        </w:rPr>
        <w:t>Итого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5A83E5A2" w14:textId="77777777" w:rsidR="00B6122E" w:rsidRPr="00925F26" w:rsidRDefault="00B6122E" w:rsidP="00925F26">
      <w:pPr>
        <w:jc w:val="both"/>
        <w:rPr>
          <w:color w:val="000000" w:themeColor="text1"/>
          <w:sz w:val="16"/>
          <w:szCs w:val="16"/>
        </w:rPr>
      </w:pPr>
      <w:r w:rsidRPr="00925F26">
        <w:rPr>
          <w:color w:val="000000" w:themeColor="text1"/>
          <w:sz w:val="16"/>
          <w:szCs w:val="16"/>
        </w:rPr>
        <w:t>транспортных</w:t>
      </w:r>
      <w:r w:rsidRPr="00925F26">
        <w:rPr>
          <w:color w:val="000000" w:themeColor="text1"/>
          <w:sz w:val="16"/>
          <w:szCs w:val="16"/>
        </w:rPr>
        <w:tab/>
        <w:t>266</w:t>
      </w:r>
      <w:r w:rsidRPr="00925F26">
        <w:rPr>
          <w:color w:val="000000" w:themeColor="text1"/>
          <w:sz w:val="16"/>
          <w:szCs w:val="16"/>
        </w:rPr>
        <w:tab/>
        <w:t>551</w:t>
      </w:r>
      <w:r w:rsidRPr="00925F26">
        <w:rPr>
          <w:color w:val="000000" w:themeColor="text1"/>
          <w:sz w:val="16"/>
          <w:szCs w:val="16"/>
        </w:rPr>
        <w:tab/>
        <w:t>257</w:t>
      </w:r>
      <w:r w:rsidRPr="00925F26">
        <w:rPr>
          <w:color w:val="000000" w:themeColor="text1"/>
          <w:sz w:val="16"/>
          <w:szCs w:val="16"/>
        </w:rPr>
        <w:tab/>
        <w:t>469</w:t>
      </w:r>
      <w:r w:rsidRPr="00925F26">
        <w:rPr>
          <w:color w:val="000000" w:themeColor="text1"/>
          <w:sz w:val="16"/>
          <w:szCs w:val="16"/>
        </w:rPr>
        <w:tab/>
        <w:t>1241</w:t>
      </w:r>
      <w:r w:rsidRPr="00925F26">
        <w:rPr>
          <w:color w:val="000000" w:themeColor="text1"/>
          <w:sz w:val="16"/>
          <w:szCs w:val="16"/>
        </w:rPr>
        <w:tab/>
        <w:t>1543</w:t>
      </w:r>
    </w:p>
    <w:p w14:paraId="110D58E3" w14:textId="77777777" w:rsidR="00B6122E" w:rsidRPr="00925F26" w:rsidRDefault="00B6122E" w:rsidP="00925F26">
      <w:pPr>
        <w:jc w:val="both"/>
        <w:rPr>
          <w:color w:val="000000" w:themeColor="text1"/>
          <w:sz w:val="16"/>
          <w:szCs w:val="16"/>
        </w:rPr>
      </w:pPr>
      <w:r w:rsidRPr="00925F26">
        <w:rPr>
          <w:color w:val="000000" w:themeColor="text1"/>
          <w:sz w:val="16"/>
          <w:szCs w:val="16"/>
        </w:rPr>
        <w:t>Учебные</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4817B88F" w14:textId="77777777" w:rsidR="00B6122E" w:rsidRPr="00925F26" w:rsidRDefault="00B6122E" w:rsidP="00925F26">
      <w:pPr>
        <w:jc w:val="both"/>
        <w:rPr>
          <w:color w:val="000000" w:themeColor="text1"/>
          <w:sz w:val="16"/>
          <w:szCs w:val="16"/>
        </w:rPr>
      </w:pPr>
      <w:r w:rsidRPr="00925F26">
        <w:rPr>
          <w:color w:val="000000" w:themeColor="text1"/>
          <w:sz w:val="16"/>
          <w:szCs w:val="16"/>
        </w:rPr>
        <w:t>УТИ-4</w:t>
      </w:r>
      <w:r w:rsidRPr="00925F26">
        <w:rPr>
          <w:color w:val="000000" w:themeColor="text1"/>
          <w:sz w:val="16"/>
          <w:szCs w:val="16"/>
        </w:rPr>
        <w:tab/>
        <w:t>424</w:t>
      </w:r>
      <w:r w:rsidRPr="00925F26">
        <w:rPr>
          <w:color w:val="000000" w:themeColor="text1"/>
          <w:sz w:val="16"/>
          <w:szCs w:val="16"/>
        </w:rPr>
        <w:tab/>
        <w:t>600</w:t>
      </w:r>
      <w:r w:rsidRPr="00925F26">
        <w:rPr>
          <w:color w:val="000000" w:themeColor="text1"/>
          <w:sz w:val="16"/>
          <w:szCs w:val="16"/>
        </w:rPr>
        <w:tab/>
        <w:t>1016</w:t>
      </w:r>
      <w:r w:rsidRPr="00925F26">
        <w:rPr>
          <w:color w:val="000000" w:themeColor="text1"/>
          <w:sz w:val="16"/>
          <w:szCs w:val="16"/>
        </w:rPr>
        <w:tab/>
        <w:t>83</w:t>
      </w:r>
      <w:r w:rsidRPr="00925F26">
        <w:rPr>
          <w:color w:val="000000" w:themeColor="text1"/>
          <w:sz w:val="16"/>
          <w:szCs w:val="16"/>
        </w:rPr>
        <w:tab/>
        <w:t>-</w:t>
      </w:r>
      <w:r w:rsidRPr="00925F26">
        <w:rPr>
          <w:color w:val="000000" w:themeColor="text1"/>
          <w:sz w:val="16"/>
          <w:szCs w:val="16"/>
        </w:rPr>
        <w:tab/>
        <w:t>-</w:t>
      </w:r>
    </w:p>
    <w:p w14:paraId="51101359" w14:textId="77777777" w:rsidR="00B6122E" w:rsidRPr="00925F26" w:rsidRDefault="00B6122E" w:rsidP="00925F26">
      <w:pPr>
        <w:jc w:val="both"/>
        <w:rPr>
          <w:color w:val="000000" w:themeColor="text1"/>
          <w:sz w:val="16"/>
          <w:szCs w:val="16"/>
        </w:rPr>
      </w:pPr>
      <w:r w:rsidRPr="00925F26">
        <w:rPr>
          <w:color w:val="000000" w:themeColor="text1"/>
          <w:sz w:val="16"/>
          <w:szCs w:val="16"/>
        </w:rPr>
        <w:t>ПО-2</w:t>
      </w:r>
      <w:r w:rsidRPr="00925F26">
        <w:rPr>
          <w:color w:val="000000" w:themeColor="text1"/>
          <w:sz w:val="16"/>
          <w:szCs w:val="16"/>
        </w:rPr>
        <w:tab/>
        <w:t>1584</w:t>
      </w:r>
      <w:r w:rsidRPr="00925F26">
        <w:rPr>
          <w:color w:val="000000" w:themeColor="text1"/>
          <w:sz w:val="16"/>
          <w:szCs w:val="16"/>
        </w:rPr>
        <w:tab/>
        <w:t>522</w:t>
      </w:r>
      <w:r w:rsidRPr="00925F26">
        <w:rPr>
          <w:color w:val="000000" w:themeColor="text1"/>
          <w:sz w:val="16"/>
          <w:szCs w:val="16"/>
        </w:rPr>
        <w:tab/>
        <w:t>1245</w:t>
      </w:r>
      <w:r w:rsidRPr="00925F26">
        <w:rPr>
          <w:color w:val="000000" w:themeColor="text1"/>
          <w:sz w:val="16"/>
          <w:szCs w:val="16"/>
        </w:rPr>
        <w:tab/>
        <w:t>2225</w:t>
      </w:r>
      <w:r w:rsidRPr="00925F26">
        <w:rPr>
          <w:color w:val="000000" w:themeColor="text1"/>
          <w:sz w:val="16"/>
          <w:szCs w:val="16"/>
        </w:rPr>
        <w:tab/>
        <w:t>2857</w:t>
      </w:r>
      <w:r w:rsidRPr="00925F26">
        <w:rPr>
          <w:color w:val="000000" w:themeColor="text1"/>
          <w:sz w:val="16"/>
          <w:szCs w:val="16"/>
        </w:rPr>
        <w:tab/>
        <w:t>4438</w:t>
      </w:r>
    </w:p>
    <w:p w14:paraId="70C32F85" w14:textId="77777777" w:rsidR="00B6122E" w:rsidRPr="00925F26" w:rsidRDefault="00B6122E" w:rsidP="00925F26">
      <w:pPr>
        <w:jc w:val="both"/>
        <w:rPr>
          <w:color w:val="000000" w:themeColor="text1"/>
          <w:sz w:val="16"/>
          <w:szCs w:val="16"/>
        </w:rPr>
      </w:pPr>
      <w:r w:rsidRPr="00925F26">
        <w:rPr>
          <w:color w:val="000000" w:themeColor="text1"/>
          <w:sz w:val="16"/>
          <w:szCs w:val="16"/>
        </w:rPr>
        <w:t>УТ-1</w:t>
      </w:r>
      <w:r w:rsidRPr="00925F26">
        <w:rPr>
          <w:color w:val="000000" w:themeColor="text1"/>
          <w:sz w:val="16"/>
          <w:szCs w:val="16"/>
        </w:rPr>
        <w:tab/>
        <w:t>551</w:t>
      </w:r>
      <w:r w:rsidRPr="00925F26">
        <w:rPr>
          <w:color w:val="000000" w:themeColor="text1"/>
          <w:sz w:val="16"/>
          <w:szCs w:val="16"/>
        </w:rPr>
        <w:tab/>
        <w:t>1</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0B02FAA1" w14:textId="77777777" w:rsidR="00B6122E" w:rsidRPr="00925F26" w:rsidRDefault="00B6122E" w:rsidP="00925F26">
      <w:pPr>
        <w:jc w:val="both"/>
        <w:rPr>
          <w:color w:val="000000" w:themeColor="text1"/>
          <w:sz w:val="16"/>
          <w:szCs w:val="16"/>
        </w:rPr>
      </w:pPr>
      <w:r w:rsidRPr="00925F26">
        <w:rPr>
          <w:color w:val="000000" w:themeColor="text1"/>
          <w:sz w:val="16"/>
          <w:szCs w:val="16"/>
        </w:rPr>
        <w:t>УТ-2</w:t>
      </w:r>
      <w:r w:rsidRPr="00925F26">
        <w:rPr>
          <w:color w:val="000000" w:themeColor="text1"/>
          <w:sz w:val="16"/>
          <w:szCs w:val="16"/>
        </w:rPr>
        <w:tab/>
        <w:t>540</w:t>
      </w:r>
      <w:r w:rsidRPr="00925F26">
        <w:rPr>
          <w:color w:val="000000" w:themeColor="text1"/>
          <w:sz w:val="16"/>
          <w:szCs w:val="16"/>
        </w:rPr>
        <w:tab/>
        <w:t>548</w:t>
      </w:r>
      <w:r w:rsidRPr="00925F26">
        <w:rPr>
          <w:color w:val="000000" w:themeColor="text1"/>
          <w:sz w:val="16"/>
          <w:szCs w:val="16"/>
        </w:rPr>
        <w:tab/>
        <w:t>654</w:t>
      </w:r>
      <w:r w:rsidRPr="00925F26">
        <w:rPr>
          <w:color w:val="000000" w:themeColor="text1"/>
          <w:sz w:val="16"/>
          <w:szCs w:val="16"/>
        </w:rPr>
        <w:tab/>
        <w:t>978</w:t>
      </w:r>
      <w:r w:rsidRPr="00925F26">
        <w:rPr>
          <w:color w:val="000000" w:themeColor="text1"/>
          <w:sz w:val="16"/>
          <w:szCs w:val="16"/>
        </w:rPr>
        <w:tab/>
        <w:t>909</w:t>
      </w:r>
      <w:r w:rsidRPr="00925F26">
        <w:rPr>
          <w:color w:val="000000" w:themeColor="text1"/>
          <w:sz w:val="16"/>
          <w:szCs w:val="16"/>
        </w:rPr>
        <w:tab/>
        <w:t>1055</w:t>
      </w:r>
    </w:p>
    <w:p w14:paraId="0C55A8F7" w14:textId="77777777" w:rsidR="00B6122E" w:rsidRPr="00925F26" w:rsidRDefault="00B6122E" w:rsidP="00925F26">
      <w:pPr>
        <w:jc w:val="both"/>
        <w:rPr>
          <w:color w:val="000000" w:themeColor="text1"/>
          <w:sz w:val="16"/>
          <w:szCs w:val="16"/>
        </w:rPr>
      </w:pPr>
      <w:r w:rsidRPr="00925F26">
        <w:rPr>
          <w:color w:val="000000" w:themeColor="text1"/>
          <w:sz w:val="16"/>
          <w:szCs w:val="16"/>
        </w:rPr>
        <w:t>УТ-3</w:t>
      </w:r>
      <w:r w:rsidRPr="00925F26">
        <w:rPr>
          <w:color w:val="000000" w:themeColor="text1"/>
          <w:sz w:val="16"/>
          <w:szCs w:val="16"/>
        </w:rPr>
        <w:tab/>
        <w:t>-</w:t>
      </w:r>
      <w:r w:rsidRPr="00925F26">
        <w:rPr>
          <w:color w:val="000000" w:themeColor="text1"/>
          <w:sz w:val="16"/>
          <w:szCs w:val="16"/>
        </w:rPr>
        <w:tab/>
        <w:t>12</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4D3FC13B" w14:textId="77777777" w:rsidR="00B6122E" w:rsidRPr="00925F26" w:rsidRDefault="00B6122E" w:rsidP="00925F26">
      <w:pPr>
        <w:jc w:val="both"/>
        <w:rPr>
          <w:color w:val="000000" w:themeColor="text1"/>
          <w:sz w:val="16"/>
          <w:szCs w:val="16"/>
        </w:rPr>
      </w:pPr>
      <w:r w:rsidRPr="00925F26">
        <w:rPr>
          <w:color w:val="000000" w:themeColor="text1"/>
          <w:sz w:val="16"/>
          <w:szCs w:val="16"/>
        </w:rPr>
        <w:t>УТИ-26</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186</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w:t>
      </w:r>
    </w:p>
    <w:p w14:paraId="21E4C270" w14:textId="77777777" w:rsidR="00B6122E" w:rsidRPr="00925F26" w:rsidRDefault="00B6122E" w:rsidP="00925F26">
      <w:pPr>
        <w:jc w:val="both"/>
        <w:rPr>
          <w:color w:val="000000" w:themeColor="text1"/>
          <w:sz w:val="16"/>
          <w:szCs w:val="16"/>
        </w:rPr>
      </w:pPr>
      <w:r w:rsidRPr="00925F26">
        <w:rPr>
          <w:color w:val="000000" w:themeColor="text1"/>
          <w:sz w:val="16"/>
          <w:szCs w:val="16"/>
        </w:rPr>
        <w:t>Итого учебных</w:t>
      </w:r>
      <w:r w:rsidRPr="00925F26">
        <w:rPr>
          <w:color w:val="000000" w:themeColor="text1"/>
          <w:sz w:val="16"/>
          <w:szCs w:val="16"/>
        </w:rPr>
        <w:tab/>
        <w:t>3099</w:t>
      </w:r>
      <w:r w:rsidRPr="00925F26">
        <w:rPr>
          <w:color w:val="000000" w:themeColor="text1"/>
          <w:sz w:val="16"/>
          <w:szCs w:val="16"/>
        </w:rPr>
        <w:tab/>
        <w:t>1623</w:t>
      </w:r>
      <w:r w:rsidRPr="00925F26">
        <w:rPr>
          <w:color w:val="000000" w:themeColor="text1"/>
          <w:sz w:val="16"/>
          <w:szCs w:val="16"/>
        </w:rPr>
        <w:tab/>
        <w:t>3101</w:t>
      </w:r>
      <w:r w:rsidRPr="00925F26">
        <w:rPr>
          <w:color w:val="000000" w:themeColor="text1"/>
          <w:sz w:val="16"/>
          <w:szCs w:val="16"/>
        </w:rPr>
        <w:tab/>
        <w:t>3286</w:t>
      </w:r>
      <w:r w:rsidRPr="00925F26">
        <w:rPr>
          <w:color w:val="000000" w:themeColor="text1"/>
          <w:sz w:val="16"/>
          <w:szCs w:val="16"/>
        </w:rPr>
        <w:tab/>
        <w:t>2766</w:t>
      </w:r>
      <w:r w:rsidRPr="00925F26">
        <w:rPr>
          <w:color w:val="000000" w:themeColor="text1"/>
          <w:sz w:val="16"/>
          <w:szCs w:val="16"/>
        </w:rPr>
        <w:tab/>
        <w:t>5493</w:t>
      </w:r>
    </w:p>
    <w:p w14:paraId="6003F989" w14:textId="77777777" w:rsidR="00B6122E" w:rsidRPr="00925F26" w:rsidRDefault="00B6122E" w:rsidP="00925F26">
      <w:pPr>
        <w:jc w:val="both"/>
        <w:rPr>
          <w:color w:val="000000" w:themeColor="text1"/>
          <w:sz w:val="16"/>
          <w:szCs w:val="16"/>
        </w:rPr>
      </w:pPr>
      <w:r w:rsidRPr="00925F26">
        <w:rPr>
          <w:color w:val="000000" w:themeColor="text1"/>
          <w:sz w:val="16"/>
          <w:szCs w:val="16"/>
        </w:rPr>
        <w:t>Всего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1388D51D" w14:textId="77777777" w:rsidR="00B6122E" w:rsidRPr="00925F26" w:rsidRDefault="00B6122E" w:rsidP="00925F26">
      <w:pPr>
        <w:jc w:val="both"/>
        <w:rPr>
          <w:color w:val="000000" w:themeColor="text1"/>
          <w:sz w:val="16"/>
          <w:szCs w:val="16"/>
        </w:rPr>
      </w:pPr>
      <w:r w:rsidRPr="00925F26">
        <w:rPr>
          <w:color w:val="000000" w:themeColor="text1"/>
          <w:sz w:val="16"/>
          <w:szCs w:val="16"/>
        </w:rPr>
        <w:t>самолетов</w:t>
      </w:r>
      <w:r w:rsidRPr="00925F26">
        <w:rPr>
          <w:color w:val="000000" w:themeColor="text1"/>
          <w:sz w:val="16"/>
          <w:szCs w:val="16"/>
        </w:rPr>
        <w:tab/>
        <w:t>10362</w:t>
      </w:r>
      <w:r w:rsidRPr="00925F26">
        <w:rPr>
          <w:color w:val="000000" w:themeColor="text1"/>
          <w:sz w:val="16"/>
          <w:szCs w:val="16"/>
        </w:rPr>
        <w:tab/>
        <w:t>10565</w:t>
      </w:r>
      <w:r w:rsidRPr="00925F26">
        <w:rPr>
          <w:color w:val="000000" w:themeColor="text1"/>
          <w:sz w:val="16"/>
          <w:szCs w:val="16"/>
        </w:rPr>
        <w:tab/>
        <w:t>15735</w:t>
      </w:r>
      <w:r w:rsidRPr="00925F26">
        <w:rPr>
          <w:color w:val="000000" w:themeColor="text1"/>
          <w:sz w:val="16"/>
          <w:szCs w:val="16"/>
        </w:rPr>
        <w:tab/>
        <w:t>25436</w:t>
      </w:r>
      <w:r w:rsidRPr="00925F26">
        <w:rPr>
          <w:color w:val="000000" w:themeColor="text1"/>
          <w:sz w:val="16"/>
          <w:szCs w:val="16"/>
        </w:rPr>
        <w:tab/>
        <w:t>34884</w:t>
      </w:r>
      <w:r w:rsidRPr="00925F26">
        <w:rPr>
          <w:color w:val="000000" w:themeColor="text1"/>
          <w:sz w:val="16"/>
          <w:szCs w:val="16"/>
        </w:rPr>
        <w:tab/>
        <w:t>40241</w:t>
      </w:r>
    </w:p>
    <w:p w14:paraId="036472EF" w14:textId="77777777" w:rsidR="00B6122E" w:rsidRPr="00925F26" w:rsidRDefault="00B6122E" w:rsidP="00925F26">
      <w:pPr>
        <w:jc w:val="both"/>
        <w:rPr>
          <w:color w:val="000000" w:themeColor="text1"/>
          <w:sz w:val="16"/>
          <w:szCs w:val="16"/>
        </w:rPr>
      </w:pPr>
      <w:r w:rsidRPr="00925F26">
        <w:rPr>
          <w:color w:val="000000" w:themeColor="text1"/>
          <w:sz w:val="16"/>
          <w:szCs w:val="16"/>
        </w:rPr>
        <w:t>Кроме того,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3F99F38C" w14:textId="77777777" w:rsidR="00B6122E" w:rsidRPr="00925F26" w:rsidRDefault="00B6122E" w:rsidP="00925F26">
      <w:pPr>
        <w:jc w:val="both"/>
        <w:rPr>
          <w:color w:val="000000" w:themeColor="text1"/>
          <w:sz w:val="16"/>
          <w:szCs w:val="16"/>
        </w:rPr>
      </w:pPr>
      <w:r w:rsidRPr="00925F26">
        <w:rPr>
          <w:color w:val="000000" w:themeColor="text1"/>
          <w:sz w:val="16"/>
          <w:szCs w:val="16"/>
        </w:rPr>
        <w:t>БЕ-4</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20</w:t>
      </w:r>
    </w:p>
    <w:p w14:paraId="10210898" w14:textId="77777777" w:rsidR="00B6122E" w:rsidRPr="00925F26" w:rsidRDefault="00B6122E" w:rsidP="00925F26">
      <w:pPr>
        <w:jc w:val="both"/>
        <w:rPr>
          <w:color w:val="000000" w:themeColor="text1"/>
          <w:sz w:val="16"/>
          <w:szCs w:val="16"/>
        </w:rPr>
      </w:pPr>
      <w:r w:rsidRPr="00925F26">
        <w:rPr>
          <w:color w:val="000000" w:themeColor="text1"/>
          <w:sz w:val="16"/>
          <w:szCs w:val="16"/>
        </w:rPr>
        <w:t>РГАЭ. Ф.8044. Оп. 1. Д.3233. Ял. 1-4. Рукопись в журнале, исполненном типографским способом. Подписи исполнителей отсутствуют (20549, 20550).</w:t>
      </w:r>
    </w:p>
    <w:p w14:paraId="5E5374AD" w14:textId="77777777" w:rsidR="00B6122E" w:rsidRPr="00925F26" w:rsidRDefault="00B6122E" w:rsidP="00925F26">
      <w:pPr>
        <w:jc w:val="both"/>
        <w:rPr>
          <w:color w:val="000000" w:themeColor="text1"/>
          <w:sz w:val="16"/>
          <w:szCs w:val="16"/>
        </w:rPr>
      </w:pPr>
    </w:p>
    <w:p w14:paraId="5D08D6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была подготовлена Объяснительная записка к годовому бухгалтерскому отчету завода за 1944 год о выпуске самолетной продукции</w:t>
      </w:r>
    </w:p>
    <w:p w14:paraId="3710B8A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Секретно</w:t>
      </w:r>
    </w:p>
    <w:p w14:paraId="1788E9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Коллектив завода № 83 в своей работе, постоянно помня указание тов. Сталина "не останавливаться на достигнутом, а непрерывно двигаться вперед", вместе со всеми работниками авиационной промышленности, неустанно мобилизуя внутренние резервы и умение претворить эти резервы в действительность, 1944 г. ознаменовал новыми производственными успехами, которые находят свое подтверждение в следующих показателях:</w:t>
      </w:r>
    </w:p>
    <w:p w14:paraId="7A75F0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Выпуск самолетной продукции возрос в сравнении с 1943 г. на 11,3%, в том числе по самолетам ИЛ-4 на 24 процента.</w:t>
      </w:r>
    </w:p>
    <w:p w14:paraId="198C535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Освоены в производстве и обеспечен выпуск не менее двух машин в сутки следующих новых агрегатов к самолетам ИЛ-4:</w:t>
      </w:r>
    </w:p>
    <w:p w14:paraId="37659A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элероны крыла измененной конструкции (с полотняной обшивкой вместо металлической);</w:t>
      </w:r>
    </w:p>
    <w:p w14:paraId="4FF649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посадочные щитки центроплана, мотоотсека, отъемной части крыла;</w:t>
      </w:r>
    </w:p>
    <w:p w14:paraId="366F6D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рули высоты;</w:t>
      </w:r>
    </w:p>
    <w:p w14:paraId="6BB852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руль поворота;</w:t>
      </w:r>
    </w:p>
    <w:p w14:paraId="1932DEB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концевые обтекатели крыла;</w:t>
      </w:r>
    </w:p>
    <w:p w14:paraId="4F9673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 створки бомболюков;</w:t>
      </w:r>
    </w:p>
    <w:p w14:paraId="59E6A7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ж) окончательно отработан в производстве носок фюзеляжа по восьмую полураму.</w:t>
      </w:r>
    </w:p>
    <w:p w14:paraId="00B183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Снижена трудоемкость выпускаемых агрегатов за 1944 г. на 33,4 процента.</w:t>
      </w:r>
    </w:p>
    <w:p w14:paraId="34FE232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4. Увеличена выработка на одного рабочего в 1944 г. в сравнении с планом 1944 г. на 16,8 процента. &lt;...&gt;* </w:t>
      </w:r>
    </w:p>
    <w:p w14:paraId="1497724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Указанные положительные результаты работы завода потребовали от всего коллектива напряжения всех сил и способностей. Для обеспечения выполнения поставленных задач потребовалось решение целого ряда </w:t>
      </w:r>
      <w:proofErr w:type="gramStart"/>
      <w:r w:rsidRPr="00925F26">
        <w:rPr>
          <w:color w:val="000000" w:themeColor="text1"/>
          <w:sz w:val="16"/>
          <w:szCs w:val="16"/>
        </w:rPr>
        <w:t>возникших</w:t>
      </w:r>
      <w:proofErr w:type="gramEnd"/>
      <w:r w:rsidRPr="00925F26">
        <w:rPr>
          <w:color w:val="000000" w:themeColor="text1"/>
          <w:sz w:val="16"/>
          <w:szCs w:val="16"/>
        </w:rPr>
        <w:t xml:space="preserve"> в связи с этим вопросов как в области технологии и ее оснащенности, так и в области внедрения в производство более совершенных методов организации производства. Успешное и правильное решение этих вопросов позволило заводу закончить 1944 год с изложенными показателями. &lt;...&gt; **</w:t>
      </w:r>
    </w:p>
    <w:p w14:paraId="1108BE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Директор завода № 83 им. М. Горького Муратов</w:t>
      </w:r>
    </w:p>
    <w:p w14:paraId="178F00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о. главного бухгалтера Рыбин</w:t>
      </w:r>
    </w:p>
    <w:p w14:paraId="64012FF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 Р-498. Оп. 3. Д. 31. Л. 1, 2, 112. Машинописный подлинник (11629).</w:t>
      </w:r>
    </w:p>
    <w:p w14:paraId="1C9B40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AFB2F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1945-го двигатель М-11ФМ удовлетворительно прошел 300-часовые испытания на стенде, а затем 200-часовые летные испытания на По-2ВС (6411).</w:t>
      </w:r>
    </w:p>
    <w:p w14:paraId="61578AAA" w14:textId="77777777" w:rsidR="00C2313B" w:rsidRPr="00925F26" w:rsidRDefault="00C2313B" w:rsidP="00925F26">
      <w:pPr>
        <w:autoSpaceDE w:val="0"/>
        <w:autoSpaceDN w:val="0"/>
        <w:adjustRightInd w:val="0"/>
        <w:jc w:val="both"/>
        <w:rPr>
          <w:color w:val="000000" w:themeColor="text1"/>
          <w:sz w:val="16"/>
          <w:szCs w:val="16"/>
        </w:rPr>
      </w:pPr>
    </w:p>
    <w:p w14:paraId="766F97B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1945 г. О.К.А., не дождавшись ответа из НИИ ГВФ, показал проект своего грузового биплана А.С.Яковлеву и предложил строить “Везделет” на заводе №115 НКАП - так называлось в то время ОКБ, возглавляемое Александром Сергеевичем. Но шеф ответил Антонову отказом, сказав, что "эта машина не его профиля”. Тогда </w:t>
      </w:r>
      <w:r w:rsidRPr="00925F26">
        <w:rPr>
          <w:color w:val="000000" w:themeColor="text1"/>
          <w:sz w:val="16"/>
          <w:szCs w:val="16"/>
        </w:rPr>
        <w:lastRenderedPageBreak/>
        <w:t>Олег Константинович стал задумываться о самостоятельной реализации проекта, и в августе 1945 г., когда война окончилась,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321B2569" w14:textId="77777777" w:rsidR="00C2313B" w:rsidRPr="00925F26" w:rsidRDefault="00C2313B" w:rsidP="00925F26">
      <w:pPr>
        <w:autoSpaceDE w:val="0"/>
        <w:autoSpaceDN w:val="0"/>
        <w:adjustRightInd w:val="0"/>
        <w:jc w:val="both"/>
        <w:rPr>
          <w:color w:val="000000" w:themeColor="text1"/>
          <w:sz w:val="16"/>
          <w:szCs w:val="16"/>
        </w:rPr>
      </w:pPr>
    </w:p>
    <w:p w14:paraId="56770B5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1945 был испытан опытный экз. двухбалочного планера САМ-23 А.С.Москалева для перевозки грузов до 1500 кг, но в связи с окончанием войны и разработкой Ц-25 строить не стали. Москалева перевели </w:t>
      </w:r>
      <w:proofErr w:type="gramStart"/>
      <w:r w:rsidRPr="00925F26">
        <w:rPr>
          <w:color w:val="000000" w:themeColor="text1"/>
          <w:sz w:val="16"/>
          <w:szCs w:val="16"/>
        </w:rPr>
        <w:t>в Ленинград</w:t>
      </w:r>
      <w:proofErr w:type="gramEnd"/>
      <w:r w:rsidRPr="00925F26">
        <w:rPr>
          <w:color w:val="000000" w:themeColor="text1"/>
          <w:sz w:val="16"/>
          <w:szCs w:val="16"/>
        </w:rPr>
        <w:t xml:space="preserve"> и он планерами заниматься перестал (94,101).</w:t>
      </w:r>
    </w:p>
    <w:p w14:paraId="2FFA7BB8" w14:textId="77777777" w:rsidR="00C2313B" w:rsidRPr="00925F26" w:rsidRDefault="00C2313B" w:rsidP="00925F26">
      <w:pPr>
        <w:autoSpaceDE w:val="0"/>
        <w:autoSpaceDN w:val="0"/>
        <w:adjustRightInd w:val="0"/>
        <w:jc w:val="both"/>
        <w:rPr>
          <w:color w:val="000000" w:themeColor="text1"/>
          <w:sz w:val="16"/>
          <w:szCs w:val="16"/>
        </w:rPr>
      </w:pPr>
    </w:p>
    <w:p w14:paraId="376912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1945 на заводе N 499 в Заводоуковске А.Москалев сделал 22 местный планер </w:t>
      </w:r>
      <w:proofErr w:type="gramStart"/>
      <w:r w:rsidRPr="00925F26">
        <w:rPr>
          <w:color w:val="000000" w:themeColor="text1"/>
          <w:sz w:val="16"/>
          <w:szCs w:val="16"/>
        </w:rPr>
        <w:t>САМ-23</w:t>
      </w:r>
      <w:proofErr w:type="gramEnd"/>
      <w:r w:rsidRPr="00925F26">
        <w:rPr>
          <w:color w:val="000000" w:themeColor="text1"/>
          <w:sz w:val="16"/>
          <w:szCs w:val="16"/>
        </w:rPr>
        <w:t xml:space="preserve"> и он успешно прошел испытания. В планере могла размещаться танкетка или пушка. Из-за окончания войны планер строить не стали (2889,131).</w:t>
      </w:r>
    </w:p>
    <w:p w14:paraId="54F36A48" w14:textId="77777777" w:rsidR="00C2313B" w:rsidRPr="00925F26" w:rsidRDefault="00C2313B" w:rsidP="00925F26">
      <w:pPr>
        <w:autoSpaceDE w:val="0"/>
        <w:autoSpaceDN w:val="0"/>
        <w:adjustRightInd w:val="0"/>
        <w:jc w:val="both"/>
        <w:rPr>
          <w:color w:val="000000" w:themeColor="text1"/>
          <w:sz w:val="16"/>
          <w:szCs w:val="16"/>
        </w:rPr>
      </w:pPr>
    </w:p>
    <w:p w14:paraId="194131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начало 1945 г. НКАП имел следующий состав (РГАЭ. Ф. 8044. </w:t>
      </w:r>
      <w:r w:rsidRPr="00925F26">
        <w:rPr>
          <w:color w:val="000000" w:themeColor="text1"/>
          <w:sz w:val="16"/>
          <w:szCs w:val="16"/>
          <w:lang w:val="en-US"/>
        </w:rPr>
        <w:t>On</w:t>
      </w:r>
      <w:r w:rsidRPr="00925F26">
        <w:rPr>
          <w:color w:val="000000" w:themeColor="text1"/>
          <w:sz w:val="16"/>
          <w:szCs w:val="16"/>
        </w:rPr>
        <w:t>. 1. Д. 2885. Л. 34—37):</w:t>
      </w:r>
    </w:p>
    <w:p w14:paraId="7521A4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I ГУ — заводы № 21, 31, 381, 301, 82, 99, 153, 166, 292, 167, 305,447.</w:t>
      </w:r>
    </w:p>
    <w:p w14:paraId="26BEFFD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 ГУ — заводы № 32, 43, 481, 145, 454, 119, 34, 469, 286, 261,472, 124, 219,455,483,485,120.</w:t>
      </w:r>
    </w:p>
    <w:p w14:paraId="0868B1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Ш ГУ — заводы № 16, 19, 24, 26, 29, 36, 41, 45, 154, 500, 466, 265,478.</w:t>
      </w:r>
    </w:p>
    <w:p w14:paraId="3375B90E" w14:textId="77777777" w:rsidR="00C2313B" w:rsidRPr="00925F26" w:rsidRDefault="00C2313B" w:rsidP="00925F26">
      <w:pPr>
        <w:tabs>
          <w:tab w:val="left" w:pos="577"/>
        </w:tabs>
        <w:autoSpaceDE w:val="0"/>
        <w:autoSpaceDN w:val="0"/>
        <w:adjustRightInd w:val="0"/>
        <w:jc w:val="both"/>
        <w:rPr>
          <w:color w:val="000000" w:themeColor="text1"/>
          <w:sz w:val="16"/>
          <w:szCs w:val="16"/>
        </w:rPr>
      </w:pPr>
      <w:r w:rsidRPr="00925F26">
        <w:rPr>
          <w:color w:val="000000" w:themeColor="text1"/>
          <w:sz w:val="16"/>
          <w:szCs w:val="16"/>
        </w:rPr>
        <w:t>IV ГУ — заводы № 140,315,451,476,20,161, 85,266,296, 306, 307,132, 284, 33, 480, 488, 489.</w:t>
      </w:r>
    </w:p>
    <w:p w14:paraId="46491B30" w14:textId="77777777" w:rsidR="00C2313B" w:rsidRPr="00925F26" w:rsidRDefault="00C2313B" w:rsidP="00925F26">
      <w:pPr>
        <w:tabs>
          <w:tab w:val="left" w:pos="510"/>
        </w:tabs>
        <w:autoSpaceDE w:val="0"/>
        <w:autoSpaceDN w:val="0"/>
        <w:adjustRightInd w:val="0"/>
        <w:jc w:val="both"/>
        <w:rPr>
          <w:color w:val="000000" w:themeColor="text1"/>
          <w:sz w:val="16"/>
          <w:szCs w:val="16"/>
        </w:rPr>
      </w:pPr>
      <w:r w:rsidRPr="00925F26">
        <w:rPr>
          <w:color w:val="000000" w:themeColor="text1"/>
          <w:sz w:val="16"/>
          <w:szCs w:val="16"/>
        </w:rPr>
        <w:t>V ГУ — заводы № 213, 448, 230, 280, 214, 474, 279, 470, 118,122,133, 282, 295,149,218,224,157.</w:t>
      </w:r>
    </w:p>
    <w:p w14:paraId="7DA4D6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VI ГУ — заводы № 135,163,225,473,475.</w:t>
      </w:r>
    </w:p>
    <w:p w14:paraId="37CF8D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lang w:val="en-US"/>
        </w:rPr>
        <w:t>VII</w:t>
      </w:r>
      <w:r w:rsidRPr="00925F26">
        <w:rPr>
          <w:color w:val="000000" w:themeColor="text1"/>
          <w:sz w:val="16"/>
          <w:szCs w:val="16"/>
        </w:rPr>
        <w:t xml:space="preserve"> ГУ — заводы № 240, 81,155,41,134,482,156, 115.</w:t>
      </w:r>
    </w:p>
    <w:p w14:paraId="3075E8D6" w14:textId="77777777" w:rsidR="00C2313B" w:rsidRPr="00925F26" w:rsidRDefault="00C2313B" w:rsidP="00925F26">
      <w:pPr>
        <w:tabs>
          <w:tab w:val="left" w:pos="731"/>
        </w:tabs>
        <w:autoSpaceDE w:val="0"/>
        <w:autoSpaceDN w:val="0"/>
        <w:adjustRightInd w:val="0"/>
        <w:jc w:val="both"/>
        <w:rPr>
          <w:color w:val="000000" w:themeColor="text1"/>
          <w:sz w:val="16"/>
          <w:szCs w:val="16"/>
        </w:rPr>
      </w:pPr>
      <w:r w:rsidRPr="00925F26">
        <w:rPr>
          <w:color w:val="000000" w:themeColor="text1"/>
          <w:sz w:val="16"/>
          <w:szCs w:val="16"/>
        </w:rPr>
        <w:t>VIII ГУ — ОКБ-19, ОКБ-315, завод № 300.</w:t>
      </w:r>
    </w:p>
    <w:p w14:paraId="36721D54" w14:textId="77777777" w:rsidR="00C2313B" w:rsidRPr="00925F26" w:rsidRDefault="00C2313B" w:rsidP="00925F26">
      <w:pPr>
        <w:tabs>
          <w:tab w:val="left" w:pos="573"/>
        </w:tabs>
        <w:autoSpaceDE w:val="0"/>
        <w:autoSpaceDN w:val="0"/>
        <w:adjustRightInd w:val="0"/>
        <w:jc w:val="both"/>
        <w:rPr>
          <w:color w:val="000000" w:themeColor="text1"/>
          <w:sz w:val="16"/>
          <w:szCs w:val="16"/>
        </w:rPr>
      </w:pPr>
      <w:r w:rsidRPr="00925F26">
        <w:rPr>
          <w:color w:val="000000" w:themeColor="text1"/>
          <w:sz w:val="16"/>
          <w:szCs w:val="16"/>
        </w:rPr>
        <w:t>IX ГУ — заводы № 65,150, 95, 268, 269,496.</w:t>
      </w:r>
    </w:p>
    <w:p w14:paraId="52DBF336" w14:textId="77777777" w:rsidR="00C2313B" w:rsidRPr="00925F26" w:rsidRDefault="00C2313B" w:rsidP="00925F26">
      <w:pPr>
        <w:tabs>
          <w:tab w:val="left" w:pos="519"/>
        </w:tabs>
        <w:autoSpaceDE w:val="0"/>
        <w:autoSpaceDN w:val="0"/>
        <w:adjustRightInd w:val="0"/>
        <w:jc w:val="both"/>
        <w:rPr>
          <w:color w:val="000000" w:themeColor="text1"/>
          <w:sz w:val="16"/>
          <w:szCs w:val="16"/>
        </w:rPr>
      </w:pPr>
      <w:r w:rsidRPr="00925F26">
        <w:rPr>
          <w:color w:val="000000" w:themeColor="text1"/>
          <w:sz w:val="16"/>
          <w:szCs w:val="16"/>
        </w:rPr>
        <w:t>X ГУ — заводы № 1, 18, 207, 22, 294, 23, 30, 125, 456, 83,126, 84,477, 86, 64.</w:t>
      </w:r>
    </w:p>
    <w:p w14:paraId="5B0E3455" w14:textId="77777777" w:rsidR="00C2313B" w:rsidRPr="00925F26" w:rsidRDefault="00C2313B" w:rsidP="00925F26">
      <w:pPr>
        <w:tabs>
          <w:tab w:val="left" w:pos="620"/>
        </w:tabs>
        <w:autoSpaceDE w:val="0"/>
        <w:autoSpaceDN w:val="0"/>
        <w:adjustRightInd w:val="0"/>
        <w:jc w:val="both"/>
        <w:rPr>
          <w:color w:val="000000" w:themeColor="text1"/>
          <w:sz w:val="16"/>
          <w:szCs w:val="16"/>
        </w:rPr>
      </w:pPr>
      <w:r w:rsidRPr="00925F26">
        <w:rPr>
          <w:color w:val="000000" w:themeColor="text1"/>
          <w:sz w:val="16"/>
          <w:szCs w:val="16"/>
        </w:rPr>
        <w:t xml:space="preserve">XI ГУ — заводы № 47, 116, 387, 164, 464, 468, 471, </w:t>
      </w:r>
      <w:r w:rsidRPr="00925F26">
        <w:rPr>
          <w:color w:val="000000" w:themeColor="text1"/>
          <w:sz w:val="16"/>
          <w:szCs w:val="16"/>
          <w:lang w:val="en-US"/>
        </w:rPr>
        <w:t>Ai</w:t>
      </w:r>
      <w:r w:rsidRPr="00925F26">
        <w:rPr>
          <w:color w:val="000000" w:themeColor="text1"/>
          <w:sz w:val="16"/>
          <w:szCs w:val="16"/>
        </w:rPr>
        <w:t xml:space="preserve"> 499,463,168,273.</w:t>
      </w:r>
    </w:p>
    <w:p w14:paraId="4AFA994A" w14:textId="77777777" w:rsidR="00C2313B" w:rsidRPr="00925F26" w:rsidRDefault="00C2313B" w:rsidP="00925F26">
      <w:pPr>
        <w:tabs>
          <w:tab w:val="left" w:pos="736"/>
        </w:tabs>
        <w:autoSpaceDE w:val="0"/>
        <w:autoSpaceDN w:val="0"/>
        <w:adjustRightInd w:val="0"/>
        <w:jc w:val="both"/>
        <w:rPr>
          <w:color w:val="000000" w:themeColor="text1"/>
          <w:sz w:val="16"/>
          <w:szCs w:val="16"/>
        </w:rPr>
      </w:pPr>
      <w:r w:rsidRPr="00925F26">
        <w:rPr>
          <w:color w:val="000000" w:themeColor="text1"/>
          <w:sz w:val="16"/>
          <w:szCs w:val="16"/>
        </w:rPr>
        <w:t>XIV ГУ — заводы № 27,28, 35,162, 383,467.</w:t>
      </w:r>
    </w:p>
    <w:p w14:paraId="0AD781C1" w14:textId="77777777" w:rsidR="00C2313B" w:rsidRPr="00925F26" w:rsidRDefault="00C2313B" w:rsidP="00925F26">
      <w:pPr>
        <w:tabs>
          <w:tab w:val="left" w:pos="664"/>
        </w:tabs>
        <w:autoSpaceDE w:val="0"/>
        <w:autoSpaceDN w:val="0"/>
        <w:adjustRightInd w:val="0"/>
        <w:jc w:val="both"/>
        <w:rPr>
          <w:color w:val="000000" w:themeColor="text1"/>
          <w:sz w:val="16"/>
          <w:szCs w:val="16"/>
        </w:rPr>
      </w:pPr>
      <w:r w:rsidRPr="00925F26">
        <w:rPr>
          <w:color w:val="000000" w:themeColor="text1"/>
          <w:sz w:val="16"/>
          <w:szCs w:val="16"/>
        </w:rPr>
        <w:t>XV ГУ — заводы № 52, 53, 57.</w:t>
      </w:r>
    </w:p>
    <w:p w14:paraId="089982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XVII ГУ — заводы № 339,382,452,278.</w:t>
      </w:r>
    </w:p>
    <w:p w14:paraId="043933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оборудования — заводы № 165,492,491,4, 493.</w:t>
      </w:r>
    </w:p>
    <w:p w14:paraId="2189C5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ХУШ ГУ — заводы № 289,225.</w:t>
      </w:r>
    </w:p>
    <w:p w14:paraId="3D6953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Как видим, количество главков по сравнению с 1941 г. существенно возросло. К сожалению, на сегодняшний день документов, детально описывающих порядок и хронологию административного переустройства наркомата в годы войны, не обнаружено, остаётся лишь надеяться, что архивные изыскания позволят в будущем осветить эту тему более подробно.</w:t>
      </w:r>
    </w:p>
    <w:p w14:paraId="0CA8C3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Рост производственных мощностей советского авиастроения в годы Великой Отечественной войны (Самолётостроение в СССР. 1917—1945. Кн. 2. М„ 1994. С. 233.)</w:t>
      </w:r>
    </w:p>
    <w:tbl>
      <w:tblPr>
        <w:tblW w:w="0" w:type="auto"/>
        <w:tblInd w:w="8" w:type="dxa"/>
        <w:tblLayout w:type="fixed"/>
        <w:tblCellMar>
          <w:left w:w="0" w:type="dxa"/>
          <w:right w:w="0" w:type="dxa"/>
        </w:tblCellMar>
        <w:tblLook w:val="0000" w:firstRow="0" w:lastRow="0" w:firstColumn="0" w:lastColumn="0" w:noHBand="0" w:noVBand="0"/>
      </w:tblPr>
      <w:tblGrid>
        <w:gridCol w:w="1685"/>
        <w:gridCol w:w="998"/>
        <w:gridCol w:w="1013"/>
        <w:gridCol w:w="1128"/>
        <w:gridCol w:w="1114"/>
      </w:tblGrid>
      <w:tr w:rsidR="000F5689" w:rsidRPr="00925F26" w14:paraId="3EF222D0" w14:textId="77777777">
        <w:trPr>
          <w:trHeight w:val="230"/>
        </w:trPr>
        <w:tc>
          <w:tcPr>
            <w:tcW w:w="1685" w:type="dxa"/>
            <w:tcBorders>
              <w:top w:val="single" w:sz="6" w:space="0" w:color="auto"/>
              <w:left w:val="single" w:sz="6" w:space="0" w:color="auto"/>
              <w:bottom w:val="nil"/>
              <w:right w:val="single" w:sz="6" w:space="0" w:color="auto"/>
            </w:tcBorders>
            <w:shd w:val="clear" w:color="auto" w:fill="FFFFFF"/>
          </w:tcPr>
          <w:p w14:paraId="41569F2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Производственные показателя</w:t>
            </w:r>
          </w:p>
        </w:tc>
        <w:tc>
          <w:tcPr>
            <w:tcW w:w="2011" w:type="dxa"/>
            <w:gridSpan w:val="2"/>
            <w:tcBorders>
              <w:top w:val="single" w:sz="6" w:space="0" w:color="auto"/>
              <w:left w:val="single" w:sz="6" w:space="0" w:color="auto"/>
              <w:bottom w:val="single" w:sz="6" w:space="0" w:color="auto"/>
              <w:right w:val="single" w:sz="6" w:space="0" w:color="auto"/>
            </w:tcBorders>
            <w:shd w:val="clear" w:color="auto" w:fill="FFFFFF"/>
          </w:tcPr>
          <w:p w14:paraId="33236F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Самолётостроительные заводы</w:t>
            </w:r>
          </w:p>
        </w:tc>
        <w:tc>
          <w:tcPr>
            <w:tcW w:w="2242" w:type="dxa"/>
            <w:gridSpan w:val="2"/>
            <w:tcBorders>
              <w:top w:val="single" w:sz="6" w:space="0" w:color="auto"/>
              <w:left w:val="single" w:sz="6" w:space="0" w:color="auto"/>
              <w:bottom w:val="single" w:sz="6" w:space="0" w:color="auto"/>
              <w:right w:val="single" w:sz="6" w:space="0" w:color="auto"/>
            </w:tcBorders>
            <w:shd w:val="clear" w:color="auto" w:fill="FFFFFF"/>
          </w:tcPr>
          <w:p w14:paraId="717F62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Моторостроительные заводы</w:t>
            </w:r>
          </w:p>
        </w:tc>
      </w:tr>
      <w:tr w:rsidR="000F5689" w:rsidRPr="00925F26" w14:paraId="1D0F65C4" w14:textId="77777777">
        <w:trPr>
          <w:trHeight w:val="221"/>
        </w:trPr>
        <w:tc>
          <w:tcPr>
            <w:tcW w:w="1685" w:type="dxa"/>
            <w:tcBorders>
              <w:top w:val="nil"/>
              <w:left w:val="single" w:sz="6" w:space="0" w:color="auto"/>
              <w:bottom w:val="single" w:sz="6" w:space="0" w:color="auto"/>
              <w:right w:val="single" w:sz="6" w:space="0" w:color="auto"/>
            </w:tcBorders>
            <w:shd w:val="clear" w:color="auto" w:fill="FFFFFF"/>
          </w:tcPr>
          <w:p w14:paraId="6A2E5176" w14:textId="77777777" w:rsidR="00C2313B" w:rsidRPr="00925F26" w:rsidRDefault="00C2313B" w:rsidP="00925F26">
            <w:pPr>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0DF81C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1941г.</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025C90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34104A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1941с</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701628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r>
      <w:tr w:rsidR="000F5689" w:rsidRPr="00925F26" w14:paraId="32D08FF5" w14:textId="77777777">
        <w:trPr>
          <w:trHeight w:val="413"/>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72BFE4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Число металлорежущих станков</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46BF02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12095</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28CE4E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26572</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0D96D7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14616</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6EE06D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37845</w:t>
            </w:r>
          </w:p>
        </w:tc>
      </w:tr>
      <w:tr w:rsidR="000F5689" w:rsidRPr="00925F26" w14:paraId="0F78C752" w14:textId="77777777">
        <w:trPr>
          <w:trHeight w:val="413"/>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062F77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Производственная площадь, тыс. м</w:t>
            </w:r>
            <w:r w:rsidRPr="00925F26">
              <w:rPr>
                <w:color w:val="000000" w:themeColor="text1"/>
                <w:sz w:val="16"/>
                <w:szCs w:val="16"/>
                <w:vertAlign w:val="superscript"/>
              </w:rPr>
              <w:t>!</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60A5C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1410,2</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3685B3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3070,8</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42402D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791,7</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3320E1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1897,6</w:t>
            </w:r>
          </w:p>
        </w:tc>
      </w:tr>
      <w:tr w:rsidR="000F5689" w:rsidRPr="00925F26" w14:paraId="1F69BB6E" w14:textId="77777777">
        <w:trPr>
          <w:trHeight w:val="235"/>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27834F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Число рабочих, тыс. чел.</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737ADE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105,4</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4BBFB86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179,5</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1512F7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69,0</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13A441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93,6</w:t>
            </w:r>
          </w:p>
        </w:tc>
      </w:tr>
    </w:tbl>
    <w:p w14:paraId="364834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число станков и производственная пло</w:t>
      </w:r>
      <w:r w:rsidRPr="00925F26">
        <w:rPr>
          <w:color w:val="000000" w:themeColor="text1"/>
          <w:sz w:val="16"/>
          <w:szCs w:val="16"/>
        </w:rPr>
        <w:softHyphen/>
        <w:t>щадь росли опережающими, сравнительно с численностью рабочих, темпами. К сожалению, надо признать, что в области авиамоторостроения прорыва так и не наступило — масшта</w:t>
      </w:r>
      <w:r w:rsidRPr="00925F26">
        <w:rPr>
          <w:color w:val="000000" w:themeColor="text1"/>
          <w:sz w:val="16"/>
          <w:szCs w:val="16"/>
        </w:rPr>
        <w:softHyphen/>
        <w:t>бы авиавыпуска лимитировались именно поставками авиа</w:t>
      </w:r>
      <w:r w:rsidRPr="00925F26">
        <w:rPr>
          <w:color w:val="000000" w:themeColor="text1"/>
          <w:sz w:val="16"/>
          <w:szCs w:val="16"/>
        </w:rPr>
        <w:softHyphen/>
        <w:t>моторов. Скажем, в марте 1945 г. (!) завод № 153 вынужден был снизить сдачу самолётов с 20 (уровень июня 1944 — апреля 1945 гг</w:t>
      </w:r>
      <w:r w:rsidRPr="00925F26">
        <w:rPr>
          <w:smallCaps/>
          <w:color w:val="000000" w:themeColor="text1"/>
          <w:sz w:val="16"/>
          <w:szCs w:val="16"/>
        </w:rPr>
        <w:t>.</w:t>
      </w:r>
      <w:r w:rsidRPr="00925F26">
        <w:rPr>
          <w:color w:val="000000" w:themeColor="text1"/>
          <w:sz w:val="16"/>
          <w:szCs w:val="16"/>
        </w:rPr>
        <w:t>) до 16 самолётов в сутки только по причине недопоставки двигателей. В результате на 13 марта на заводе стопилось уже 235 некомплектных машин, которыми были заставлены все проезды, включая противопо</w:t>
      </w:r>
      <w:r w:rsidRPr="00925F26">
        <w:rPr>
          <w:color w:val="000000" w:themeColor="text1"/>
          <w:sz w:val="16"/>
          <w:szCs w:val="16"/>
        </w:rPr>
        <w:softHyphen/>
        <w:t>жарные (</w:t>
      </w:r>
      <w:r w:rsidRPr="00925F26">
        <w:rPr>
          <w:iCs/>
          <w:color w:val="000000" w:themeColor="text1"/>
          <w:sz w:val="16"/>
          <w:szCs w:val="16"/>
        </w:rPr>
        <w:t>Савицкий И.М.</w:t>
      </w:r>
      <w:r w:rsidRPr="00925F26">
        <w:rPr>
          <w:color w:val="000000" w:themeColor="text1"/>
          <w:sz w:val="16"/>
          <w:szCs w:val="16"/>
        </w:rPr>
        <w:t xml:space="preserve"> Указ. соч. С. 131) (12011).</w:t>
      </w:r>
    </w:p>
    <w:p w14:paraId="0B25B970" w14:textId="77777777" w:rsidR="00C2313B" w:rsidRPr="00925F26" w:rsidRDefault="00C2313B" w:rsidP="00925F26">
      <w:pPr>
        <w:autoSpaceDE w:val="0"/>
        <w:autoSpaceDN w:val="0"/>
        <w:adjustRightInd w:val="0"/>
        <w:jc w:val="both"/>
        <w:rPr>
          <w:color w:val="000000" w:themeColor="text1"/>
          <w:sz w:val="16"/>
          <w:szCs w:val="16"/>
        </w:rPr>
      </w:pPr>
    </w:p>
    <w:p w14:paraId="00254D5B" w14:textId="77777777" w:rsidR="001C340E" w:rsidRPr="001A0BAA" w:rsidRDefault="001C340E" w:rsidP="001C340E">
      <w:pPr>
        <w:jc w:val="both"/>
        <w:rPr>
          <w:color w:val="0070C0"/>
          <w:sz w:val="16"/>
          <w:szCs w:val="16"/>
        </w:rPr>
      </w:pPr>
      <w:r w:rsidRPr="001A0BAA">
        <w:rPr>
          <w:color w:val="0070C0"/>
          <w:sz w:val="16"/>
          <w:szCs w:val="16"/>
        </w:rPr>
        <w:t>С нача</w:t>
      </w:r>
      <w:r w:rsidRPr="001A0BAA">
        <w:rPr>
          <w:color w:val="0070C0"/>
          <w:sz w:val="16"/>
          <w:szCs w:val="16"/>
        </w:rPr>
        <w:softHyphen/>
        <w:t>ла 1945 года на самолеты стали устанав</w:t>
      </w:r>
      <w:r w:rsidRPr="001A0BAA">
        <w:rPr>
          <w:color w:val="0070C0"/>
          <w:sz w:val="16"/>
          <w:szCs w:val="16"/>
        </w:rPr>
        <w:softHyphen/>
        <w:t>ливать приборы (приемо-передатчики) «МА», позволяющие определять их госу</w:t>
      </w:r>
      <w:r w:rsidRPr="001A0BAA">
        <w:rPr>
          <w:color w:val="0070C0"/>
          <w:sz w:val="16"/>
          <w:szCs w:val="16"/>
        </w:rPr>
        <w:softHyphen/>
        <w:t>дарственную принадлежность. На Ла-7 их рекомендовалось ставить за бронеспин</w:t>
      </w:r>
      <w:r w:rsidRPr="001A0BAA">
        <w:rPr>
          <w:color w:val="0070C0"/>
          <w:sz w:val="16"/>
          <w:szCs w:val="16"/>
        </w:rPr>
        <w:softHyphen/>
        <w:t>кой летчика между 6-м и 7-м шпангоутами самолетов завода № 381 и на специаль</w:t>
      </w:r>
      <w:r w:rsidRPr="001A0BAA">
        <w:rPr>
          <w:color w:val="0070C0"/>
          <w:sz w:val="16"/>
          <w:szCs w:val="16"/>
        </w:rPr>
        <w:softHyphen/>
        <w:t>ной полке — горьковских машин (24988).</w:t>
      </w:r>
    </w:p>
    <w:p w14:paraId="32154499" w14:textId="77777777" w:rsidR="001C340E" w:rsidRPr="001A0BAA" w:rsidRDefault="001C340E" w:rsidP="001C340E">
      <w:pPr>
        <w:jc w:val="both"/>
        <w:rPr>
          <w:color w:val="0070C0"/>
          <w:sz w:val="16"/>
          <w:szCs w:val="16"/>
        </w:rPr>
      </w:pPr>
    </w:p>
    <w:p w14:paraId="4147A3E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в полках ГВФ на фронте все еще было 38 Р-5. были Р-5 и на ДВ (3551,19).</w:t>
      </w:r>
    </w:p>
    <w:p w14:paraId="7467A0D1" w14:textId="77777777" w:rsidR="00C2313B" w:rsidRPr="00925F26" w:rsidRDefault="00C2313B" w:rsidP="00925F26">
      <w:pPr>
        <w:autoSpaceDE w:val="0"/>
        <w:autoSpaceDN w:val="0"/>
        <w:adjustRightInd w:val="0"/>
        <w:jc w:val="both"/>
        <w:rPr>
          <w:color w:val="000000" w:themeColor="text1"/>
          <w:sz w:val="16"/>
          <w:szCs w:val="16"/>
        </w:rPr>
      </w:pPr>
    </w:p>
    <w:p w14:paraId="46917234" w14:textId="77777777" w:rsidR="00BC1830" w:rsidRPr="00925F26" w:rsidRDefault="00BC1830" w:rsidP="00925F26">
      <w:pPr>
        <w:jc w:val="both"/>
        <w:rPr>
          <w:color w:val="000000" w:themeColor="text1"/>
          <w:sz w:val="16"/>
          <w:szCs w:val="16"/>
        </w:rPr>
      </w:pPr>
      <w:r w:rsidRPr="00925F26">
        <w:rPr>
          <w:color w:val="000000" w:themeColor="text1"/>
          <w:sz w:val="16"/>
          <w:szCs w:val="16"/>
        </w:rPr>
        <w:t xml:space="preserve">В начале 1945 г. стала возможной разработка и постройка экспериментальной машин, выполненной по аэродинамической схеме «утка». В феврале по инициативе главного конструктора в бригаде проектов, возглавляемой Н.З. Матюком, началась проработка компоновки самолёта «У». Заниматься этим поручили Н.И. Андрианову и К.В. Пеленбергу. На них же возложили проработку общего вида машины. Аэродинамический расчёт, а также расчёты продольной статической устойчивости, взлётной дистанции и посадочной скорости поручили провести] М.Е. Житомирскому. Активное участие в разработке экспериментального самолёта приняли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Блок, Т.А. Малькова, Я.И. Селецкий и А.А. Чумаченко.</w:t>
      </w:r>
    </w:p>
    <w:p w14:paraId="54D70D88" w14:textId="77777777" w:rsidR="00BC1830" w:rsidRPr="00925F26" w:rsidRDefault="00BC1830" w:rsidP="00925F26">
      <w:pPr>
        <w:jc w:val="both"/>
        <w:rPr>
          <w:color w:val="000000" w:themeColor="text1"/>
          <w:sz w:val="16"/>
          <w:szCs w:val="16"/>
        </w:rPr>
      </w:pPr>
      <w:r w:rsidRPr="00925F26">
        <w:rPr>
          <w:color w:val="000000" w:themeColor="text1"/>
          <w:sz w:val="16"/>
          <w:szCs w:val="16"/>
        </w:rPr>
        <w:t>Основным назначением «Утки» была оценка устойчивости и управляемости машин данной аэродинамической схемы в воздухе и проверка работы крыла большой стреловидности. Для более удобного изучения поставленных задач «Утку» запроектировали трёхместной: одно место пилота и два пассажирских. Чтобы упростить постройку самолёта в качестве силовой установки выбрали мотор воздушного охлаждения М-11ФМ с толкающим винтом постоянного шага. В свою очередь, применение на машине такой силовой установки по</w:t>
      </w:r>
      <w:r w:rsidRPr="00925F26">
        <w:rPr>
          <w:color w:val="000000" w:themeColor="text1"/>
          <w:sz w:val="16"/>
          <w:szCs w:val="16"/>
        </w:rPr>
        <w:softHyphen/>
        <w:t>зволяло проверить её управляемость на малых скоростях при отсутствии обдува крыла вин</w:t>
      </w:r>
      <w:r w:rsidRPr="00925F26">
        <w:rPr>
          <w:color w:val="000000" w:themeColor="text1"/>
          <w:sz w:val="16"/>
          <w:szCs w:val="16"/>
        </w:rPr>
        <w:softHyphen/>
        <w:t>том. Как отметили в пояснительной записке А.И. Микоян и М.И. Гуревич:</w:t>
      </w:r>
      <w:r w:rsidRPr="00925F26">
        <w:rPr>
          <w:rStyle w:val="aff6"/>
          <w:rFonts w:ascii="Times New Roman" w:eastAsia="Arial Narrow" w:hAnsi="Times New Roman" w:cs="Times New Roman"/>
          <w:i w:val="0"/>
          <w:color w:val="000000" w:themeColor="text1"/>
        </w:rPr>
        <w:t xml:space="preserve"> «Это представляет </w:t>
      </w:r>
      <w:r w:rsidRPr="00925F26">
        <w:rPr>
          <w:color w:val="000000" w:themeColor="text1"/>
          <w:sz w:val="16"/>
          <w:szCs w:val="16"/>
        </w:rPr>
        <w:t>интерес для самолётов с чисто реактивными дви</w:t>
      </w:r>
      <w:r w:rsidRPr="00925F26">
        <w:rPr>
          <w:color w:val="000000" w:themeColor="text1"/>
          <w:sz w:val="16"/>
          <w:szCs w:val="16"/>
        </w:rPr>
        <w:softHyphen/>
        <w:t>гателями. Эксплуатация этого самолёта позволит изучить вопросы, связан</w:t>
      </w:r>
      <w:r w:rsidRPr="00925F26">
        <w:rPr>
          <w:color w:val="000000" w:themeColor="text1"/>
          <w:sz w:val="16"/>
          <w:szCs w:val="16"/>
        </w:rPr>
        <w:softHyphen/>
        <w:t>ные с управляемостью самолёта на земле и во</w:t>
      </w:r>
      <w:r w:rsidRPr="00925F26">
        <w:rPr>
          <w:color w:val="000000" w:themeColor="text1"/>
          <w:sz w:val="16"/>
          <w:szCs w:val="16"/>
        </w:rPr>
        <w:softHyphen/>
        <w:t>просы взлёта и посадки (заход на второй круг) в условиях отсутствия об</w:t>
      </w:r>
      <w:r w:rsidRPr="00925F26">
        <w:rPr>
          <w:color w:val="000000" w:themeColor="text1"/>
          <w:sz w:val="16"/>
          <w:szCs w:val="16"/>
        </w:rPr>
        <w:softHyphen/>
        <w:t>дувки винтом органов управления» (15848).</w:t>
      </w:r>
    </w:p>
    <w:p w14:paraId="592EEFAC" w14:textId="77777777" w:rsidR="00BC1830" w:rsidRPr="00925F26" w:rsidRDefault="00BC1830" w:rsidP="00925F26">
      <w:pPr>
        <w:jc w:val="both"/>
        <w:rPr>
          <w:color w:val="000000" w:themeColor="text1"/>
          <w:sz w:val="16"/>
          <w:szCs w:val="16"/>
        </w:rPr>
      </w:pPr>
    </w:p>
    <w:p w14:paraId="78AD8E72" w14:textId="77777777" w:rsidR="00BC1830" w:rsidRPr="00925F26" w:rsidRDefault="00BC1830" w:rsidP="00925F26">
      <w:pPr>
        <w:jc w:val="both"/>
        <w:rPr>
          <w:color w:val="000000" w:themeColor="text1"/>
          <w:sz w:val="16"/>
          <w:szCs w:val="16"/>
        </w:rPr>
      </w:pPr>
      <w:r w:rsidRPr="00925F26">
        <w:rPr>
          <w:color w:val="000000" w:themeColor="text1"/>
          <w:sz w:val="16"/>
          <w:szCs w:val="16"/>
        </w:rPr>
        <w:t>К началу 1945 г. М-83 подготови</w:t>
      </w:r>
      <w:r w:rsidRPr="00925F26">
        <w:rPr>
          <w:color w:val="000000" w:themeColor="text1"/>
          <w:sz w:val="16"/>
          <w:szCs w:val="16"/>
        </w:rPr>
        <w:softHyphen/>
        <w:t>ли к запуску в серию, которую, однако, так практически и не развернули (15829).</w:t>
      </w:r>
    </w:p>
    <w:p w14:paraId="353E9A02" w14:textId="77777777" w:rsidR="00BC1830" w:rsidRPr="00925F26" w:rsidRDefault="00BC1830" w:rsidP="00925F26">
      <w:pPr>
        <w:jc w:val="both"/>
        <w:rPr>
          <w:color w:val="000000" w:themeColor="text1"/>
          <w:sz w:val="16"/>
          <w:szCs w:val="16"/>
        </w:rPr>
      </w:pPr>
    </w:p>
    <w:p w14:paraId="3DA71C76" w14:textId="77777777" w:rsidR="00BC1830" w:rsidRPr="00925F26" w:rsidRDefault="00BC1830" w:rsidP="00925F26">
      <w:pPr>
        <w:jc w:val="both"/>
        <w:rPr>
          <w:color w:val="000000" w:themeColor="text1"/>
          <w:sz w:val="16"/>
          <w:szCs w:val="16"/>
        </w:rPr>
      </w:pPr>
      <w:r w:rsidRPr="00925F26">
        <w:rPr>
          <w:color w:val="000000" w:themeColor="text1"/>
          <w:sz w:val="16"/>
          <w:szCs w:val="16"/>
        </w:rPr>
        <w:t>В начале 1945 г. А.С. Яковлев вновь взялся за установку АШ-82ФН на свой самолёт, теперь уже Як-3. К апрелю Як-ЗУ с этим мотором построили, но он опоздал — война закончилась, и самолёт остался не у дел (15829).</w:t>
      </w:r>
    </w:p>
    <w:p w14:paraId="4EFBBD9F" w14:textId="77777777" w:rsidR="00BC1830" w:rsidRPr="00925F26" w:rsidRDefault="00BC1830" w:rsidP="00925F26">
      <w:pPr>
        <w:jc w:val="both"/>
        <w:rPr>
          <w:color w:val="000000" w:themeColor="text1"/>
          <w:sz w:val="16"/>
          <w:szCs w:val="16"/>
        </w:rPr>
      </w:pPr>
    </w:p>
    <w:p w14:paraId="2AA666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ОКБ-16 стало ясно, что пушку Н-37 надо ставить на реактивный истребитель (263,96).</w:t>
      </w:r>
    </w:p>
    <w:p w14:paraId="4CA548FA" w14:textId="77777777" w:rsidR="00C2313B" w:rsidRPr="00925F26" w:rsidRDefault="00C2313B" w:rsidP="00925F26">
      <w:pPr>
        <w:autoSpaceDE w:val="0"/>
        <w:autoSpaceDN w:val="0"/>
        <w:adjustRightInd w:val="0"/>
        <w:jc w:val="both"/>
        <w:rPr>
          <w:color w:val="000000" w:themeColor="text1"/>
          <w:sz w:val="16"/>
          <w:szCs w:val="16"/>
        </w:rPr>
      </w:pPr>
    </w:p>
    <w:p w14:paraId="7BED73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была подготовлена объяснительная записка ПГУ к отчету за 1944:</w:t>
      </w:r>
    </w:p>
    <w:p w14:paraId="5F6BC66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"Основными производственно-хозяйственными задачами ПГУ на 1944 являлись:</w:t>
      </w:r>
    </w:p>
    <w:p w14:paraId="44A646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Внедрение в производство новых типов самолетов Ла-7 АШ-82ФН, Як-3 с ВК-105ПФ, Як-9 с ВК-107А, а также связанная с этим конструкторская доводка данных самолетов" (1960).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107"/>
        <w:gridCol w:w="2107"/>
        <w:gridCol w:w="2107"/>
        <w:gridCol w:w="2107"/>
        <w:gridCol w:w="2107"/>
      </w:tblGrid>
      <w:tr w:rsidR="000F5689" w:rsidRPr="00925F26" w14:paraId="000785D2" w14:textId="77777777">
        <w:tc>
          <w:tcPr>
            <w:tcW w:w="675" w:type="dxa"/>
            <w:tcBorders>
              <w:top w:val="single" w:sz="12" w:space="0" w:color="auto"/>
            </w:tcBorders>
          </w:tcPr>
          <w:p w14:paraId="39EED0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w:t>
            </w:r>
          </w:p>
        </w:tc>
        <w:tc>
          <w:tcPr>
            <w:tcW w:w="2107" w:type="dxa"/>
            <w:tcBorders>
              <w:top w:val="single" w:sz="12" w:space="0" w:color="auto"/>
            </w:tcBorders>
          </w:tcPr>
          <w:p w14:paraId="19B010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2107" w:type="dxa"/>
            <w:tcBorders>
              <w:top w:val="single" w:sz="12" w:space="0" w:color="auto"/>
            </w:tcBorders>
          </w:tcPr>
          <w:p w14:paraId="128494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Сборка</w:t>
            </w:r>
          </w:p>
        </w:tc>
        <w:tc>
          <w:tcPr>
            <w:tcW w:w="2107" w:type="dxa"/>
            <w:tcBorders>
              <w:top w:val="single" w:sz="12" w:space="0" w:color="auto"/>
            </w:tcBorders>
          </w:tcPr>
          <w:p w14:paraId="0345C45F"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Borders>
              <w:top w:val="single" w:sz="12" w:space="0" w:color="auto"/>
            </w:tcBorders>
          </w:tcPr>
          <w:p w14:paraId="268B1D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бою</w:t>
            </w:r>
          </w:p>
        </w:tc>
        <w:tc>
          <w:tcPr>
            <w:tcW w:w="2107" w:type="dxa"/>
            <w:tcBorders>
              <w:top w:val="single" w:sz="12" w:space="0" w:color="auto"/>
            </w:tcBorders>
          </w:tcPr>
          <w:p w14:paraId="41FC1D94" w14:textId="77777777" w:rsidR="00C2313B" w:rsidRPr="00925F26" w:rsidRDefault="00C2313B" w:rsidP="00925F26">
            <w:pPr>
              <w:autoSpaceDE w:val="0"/>
              <w:autoSpaceDN w:val="0"/>
              <w:adjustRightInd w:val="0"/>
              <w:jc w:val="both"/>
              <w:rPr>
                <w:color w:val="000000" w:themeColor="text1"/>
                <w:sz w:val="16"/>
                <w:szCs w:val="16"/>
              </w:rPr>
            </w:pPr>
          </w:p>
        </w:tc>
      </w:tr>
      <w:tr w:rsidR="000F5689" w:rsidRPr="00925F26" w14:paraId="4E36B75A" w14:textId="77777777">
        <w:tc>
          <w:tcPr>
            <w:tcW w:w="675" w:type="dxa"/>
          </w:tcPr>
          <w:p w14:paraId="3BA56E9B"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5490F551"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582017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 1943</w:t>
            </w:r>
          </w:p>
        </w:tc>
        <w:tc>
          <w:tcPr>
            <w:tcW w:w="2107" w:type="dxa"/>
          </w:tcPr>
          <w:p w14:paraId="6221BD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 1944</w:t>
            </w:r>
          </w:p>
        </w:tc>
        <w:tc>
          <w:tcPr>
            <w:tcW w:w="2107" w:type="dxa"/>
          </w:tcPr>
          <w:p w14:paraId="43724E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 1943</w:t>
            </w:r>
          </w:p>
        </w:tc>
        <w:tc>
          <w:tcPr>
            <w:tcW w:w="2107" w:type="dxa"/>
          </w:tcPr>
          <w:p w14:paraId="132A06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Отчет 1944</w:t>
            </w:r>
          </w:p>
        </w:tc>
      </w:tr>
      <w:tr w:rsidR="000F5689" w:rsidRPr="00925F26" w14:paraId="11DB2312" w14:textId="77777777">
        <w:tc>
          <w:tcPr>
            <w:tcW w:w="675" w:type="dxa"/>
          </w:tcPr>
          <w:p w14:paraId="2424CB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2107" w:type="dxa"/>
          </w:tcPr>
          <w:p w14:paraId="32B290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Ла-5 и Ла-5ФН</w:t>
            </w:r>
          </w:p>
        </w:tc>
        <w:tc>
          <w:tcPr>
            <w:tcW w:w="2107" w:type="dxa"/>
          </w:tcPr>
          <w:p w14:paraId="074B9A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4619</w:t>
            </w:r>
          </w:p>
        </w:tc>
        <w:tc>
          <w:tcPr>
            <w:tcW w:w="2107" w:type="dxa"/>
          </w:tcPr>
          <w:p w14:paraId="7A742C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3503</w:t>
            </w:r>
          </w:p>
        </w:tc>
        <w:tc>
          <w:tcPr>
            <w:tcW w:w="2107" w:type="dxa"/>
          </w:tcPr>
          <w:p w14:paraId="55D33D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4610</w:t>
            </w:r>
          </w:p>
        </w:tc>
        <w:tc>
          <w:tcPr>
            <w:tcW w:w="2107" w:type="dxa"/>
          </w:tcPr>
          <w:p w14:paraId="23E135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3559</w:t>
            </w:r>
          </w:p>
        </w:tc>
      </w:tr>
      <w:tr w:rsidR="000F5689" w:rsidRPr="00925F26" w14:paraId="61D87FB1" w14:textId="77777777">
        <w:tc>
          <w:tcPr>
            <w:tcW w:w="675" w:type="dxa"/>
          </w:tcPr>
          <w:p w14:paraId="1EDD123A"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221106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2107" w:type="dxa"/>
          </w:tcPr>
          <w:p w14:paraId="023CB8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6E88CF7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1558</w:t>
            </w:r>
          </w:p>
        </w:tc>
        <w:tc>
          <w:tcPr>
            <w:tcW w:w="2107" w:type="dxa"/>
          </w:tcPr>
          <w:p w14:paraId="118C75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5491362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1150</w:t>
            </w:r>
          </w:p>
        </w:tc>
      </w:tr>
      <w:tr w:rsidR="000F5689" w:rsidRPr="00925F26" w14:paraId="047714E9" w14:textId="77777777">
        <w:tc>
          <w:tcPr>
            <w:tcW w:w="675" w:type="dxa"/>
          </w:tcPr>
          <w:p w14:paraId="49A7823E"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3A3C4F4D"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36BB21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43FF28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5061</w:t>
            </w:r>
          </w:p>
        </w:tc>
        <w:tc>
          <w:tcPr>
            <w:tcW w:w="2107" w:type="dxa"/>
          </w:tcPr>
          <w:p w14:paraId="2ECFC2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736BAA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4709</w:t>
            </w:r>
          </w:p>
        </w:tc>
      </w:tr>
      <w:tr w:rsidR="000F5689" w:rsidRPr="00925F26" w14:paraId="5464EA9E" w14:textId="77777777">
        <w:tc>
          <w:tcPr>
            <w:tcW w:w="675" w:type="dxa"/>
          </w:tcPr>
          <w:p w14:paraId="6769F05B"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6636B85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ЛаГГ-3</w:t>
            </w:r>
          </w:p>
        </w:tc>
        <w:tc>
          <w:tcPr>
            <w:tcW w:w="2107" w:type="dxa"/>
          </w:tcPr>
          <w:p w14:paraId="5C4B91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5A1764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4E803B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2107" w:type="dxa"/>
          </w:tcPr>
          <w:p w14:paraId="2868B7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F9B72F1" w14:textId="77777777">
        <w:tc>
          <w:tcPr>
            <w:tcW w:w="675" w:type="dxa"/>
          </w:tcPr>
          <w:p w14:paraId="3E89A2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2107" w:type="dxa"/>
          </w:tcPr>
          <w:p w14:paraId="4125AF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ЛаГГ-3</w:t>
            </w:r>
          </w:p>
        </w:tc>
        <w:tc>
          <w:tcPr>
            <w:tcW w:w="2107" w:type="dxa"/>
          </w:tcPr>
          <w:p w14:paraId="5DCAE8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1065</w:t>
            </w:r>
          </w:p>
        </w:tc>
        <w:tc>
          <w:tcPr>
            <w:tcW w:w="2107" w:type="dxa"/>
          </w:tcPr>
          <w:p w14:paraId="4C3885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229</w:t>
            </w:r>
          </w:p>
        </w:tc>
        <w:tc>
          <w:tcPr>
            <w:tcW w:w="2107" w:type="dxa"/>
          </w:tcPr>
          <w:p w14:paraId="2F6EB9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1037</w:t>
            </w:r>
          </w:p>
        </w:tc>
        <w:tc>
          <w:tcPr>
            <w:tcW w:w="2107" w:type="dxa"/>
          </w:tcPr>
          <w:p w14:paraId="45C05C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317</w:t>
            </w:r>
          </w:p>
        </w:tc>
      </w:tr>
      <w:tr w:rsidR="000F5689" w:rsidRPr="00925F26" w14:paraId="359C6508" w14:textId="77777777">
        <w:tc>
          <w:tcPr>
            <w:tcW w:w="675" w:type="dxa"/>
          </w:tcPr>
          <w:p w14:paraId="09958BA7"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491B42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Як-3ПФ</w:t>
            </w:r>
          </w:p>
        </w:tc>
        <w:tc>
          <w:tcPr>
            <w:tcW w:w="2107" w:type="dxa"/>
          </w:tcPr>
          <w:p w14:paraId="35C502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62015E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498</w:t>
            </w:r>
          </w:p>
        </w:tc>
        <w:tc>
          <w:tcPr>
            <w:tcW w:w="2107" w:type="dxa"/>
          </w:tcPr>
          <w:p w14:paraId="699ED9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0E10CD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436</w:t>
            </w:r>
          </w:p>
        </w:tc>
      </w:tr>
      <w:tr w:rsidR="000F5689" w:rsidRPr="00925F26" w14:paraId="4DDC9393" w14:textId="77777777">
        <w:tc>
          <w:tcPr>
            <w:tcW w:w="675" w:type="dxa"/>
          </w:tcPr>
          <w:p w14:paraId="4BDCBF65"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6EA757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Ла-5Ф</w:t>
            </w:r>
          </w:p>
        </w:tc>
        <w:tc>
          <w:tcPr>
            <w:tcW w:w="2107" w:type="dxa"/>
          </w:tcPr>
          <w:p w14:paraId="24C9A4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2107" w:type="dxa"/>
          </w:tcPr>
          <w:p w14:paraId="66B60C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711872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2107" w:type="dxa"/>
          </w:tcPr>
          <w:p w14:paraId="51F20CA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BD42ACA" w14:textId="77777777">
        <w:tc>
          <w:tcPr>
            <w:tcW w:w="675" w:type="dxa"/>
          </w:tcPr>
          <w:p w14:paraId="221642A0"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4B06ADE5"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5A4A05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1070</w:t>
            </w:r>
          </w:p>
        </w:tc>
        <w:tc>
          <w:tcPr>
            <w:tcW w:w="2107" w:type="dxa"/>
          </w:tcPr>
          <w:p w14:paraId="64CB95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727</w:t>
            </w:r>
          </w:p>
        </w:tc>
        <w:tc>
          <w:tcPr>
            <w:tcW w:w="2107" w:type="dxa"/>
          </w:tcPr>
          <w:p w14:paraId="713722A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1041</w:t>
            </w:r>
          </w:p>
        </w:tc>
        <w:tc>
          <w:tcPr>
            <w:tcW w:w="2107" w:type="dxa"/>
          </w:tcPr>
          <w:p w14:paraId="6B38C4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753</w:t>
            </w:r>
          </w:p>
        </w:tc>
      </w:tr>
      <w:tr w:rsidR="000F5689" w:rsidRPr="00925F26" w14:paraId="4E3C3ECA" w14:textId="77777777">
        <w:tc>
          <w:tcPr>
            <w:tcW w:w="675" w:type="dxa"/>
          </w:tcPr>
          <w:p w14:paraId="157A73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82</w:t>
            </w:r>
          </w:p>
        </w:tc>
        <w:tc>
          <w:tcPr>
            <w:tcW w:w="2107" w:type="dxa"/>
          </w:tcPr>
          <w:p w14:paraId="15A27A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Як-7ПФ</w:t>
            </w:r>
          </w:p>
        </w:tc>
        <w:tc>
          <w:tcPr>
            <w:tcW w:w="2107" w:type="dxa"/>
          </w:tcPr>
          <w:p w14:paraId="153F1D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640</w:t>
            </w:r>
          </w:p>
        </w:tc>
        <w:tc>
          <w:tcPr>
            <w:tcW w:w="2107" w:type="dxa"/>
          </w:tcPr>
          <w:p w14:paraId="315244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465</w:t>
            </w:r>
          </w:p>
        </w:tc>
        <w:tc>
          <w:tcPr>
            <w:tcW w:w="2107" w:type="dxa"/>
          </w:tcPr>
          <w:p w14:paraId="3C11D5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2107" w:type="dxa"/>
          </w:tcPr>
          <w:p w14:paraId="134B63B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485</w:t>
            </w:r>
          </w:p>
        </w:tc>
      </w:tr>
      <w:tr w:rsidR="000F5689" w:rsidRPr="00925F26" w14:paraId="6EE0E759" w14:textId="77777777">
        <w:tc>
          <w:tcPr>
            <w:tcW w:w="675" w:type="dxa"/>
          </w:tcPr>
          <w:p w14:paraId="78419BC7"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08021D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2107" w:type="dxa"/>
          </w:tcPr>
          <w:p w14:paraId="54393D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32F584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373</w:t>
            </w:r>
          </w:p>
        </w:tc>
        <w:tc>
          <w:tcPr>
            <w:tcW w:w="2107" w:type="dxa"/>
          </w:tcPr>
          <w:p w14:paraId="0FDC20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0AE0D8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219</w:t>
            </w:r>
          </w:p>
        </w:tc>
      </w:tr>
      <w:tr w:rsidR="000F5689" w:rsidRPr="00925F26" w14:paraId="5BF6D614" w14:textId="77777777">
        <w:tc>
          <w:tcPr>
            <w:tcW w:w="675" w:type="dxa"/>
          </w:tcPr>
          <w:p w14:paraId="451835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99</w:t>
            </w:r>
          </w:p>
        </w:tc>
        <w:tc>
          <w:tcPr>
            <w:tcW w:w="2107" w:type="dxa"/>
          </w:tcPr>
          <w:p w14:paraId="4CD3AA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Ла-5ФН</w:t>
            </w:r>
          </w:p>
        </w:tc>
        <w:tc>
          <w:tcPr>
            <w:tcW w:w="2107" w:type="dxa"/>
          </w:tcPr>
          <w:p w14:paraId="6F4FF5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2107" w:type="dxa"/>
          </w:tcPr>
          <w:p w14:paraId="69842F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102</w:t>
            </w:r>
          </w:p>
        </w:tc>
        <w:tc>
          <w:tcPr>
            <w:tcW w:w="2107" w:type="dxa"/>
          </w:tcPr>
          <w:p w14:paraId="0F147A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177</w:t>
            </w:r>
          </w:p>
        </w:tc>
        <w:tc>
          <w:tcPr>
            <w:tcW w:w="2107" w:type="dxa"/>
          </w:tcPr>
          <w:p w14:paraId="1F9CC3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110</w:t>
            </w:r>
          </w:p>
        </w:tc>
      </w:tr>
      <w:tr w:rsidR="000F5689" w:rsidRPr="00925F26" w14:paraId="6D4CFC32" w14:textId="77777777">
        <w:tc>
          <w:tcPr>
            <w:tcW w:w="675" w:type="dxa"/>
          </w:tcPr>
          <w:p w14:paraId="277F983B"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64FFD6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2107" w:type="dxa"/>
          </w:tcPr>
          <w:p w14:paraId="45D654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4A71FA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2107" w:type="dxa"/>
          </w:tcPr>
          <w:p w14:paraId="119727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6ECA98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w:t>
            </w:r>
          </w:p>
        </w:tc>
      </w:tr>
      <w:tr w:rsidR="000F5689" w:rsidRPr="00925F26" w14:paraId="42D7AC8E" w14:textId="77777777">
        <w:tc>
          <w:tcPr>
            <w:tcW w:w="675" w:type="dxa"/>
          </w:tcPr>
          <w:p w14:paraId="3D7409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153</w:t>
            </w:r>
          </w:p>
        </w:tc>
        <w:tc>
          <w:tcPr>
            <w:tcW w:w="2107" w:type="dxa"/>
          </w:tcPr>
          <w:p w14:paraId="279C0B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Як-7ПФ</w:t>
            </w:r>
          </w:p>
        </w:tc>
        <w:tc>
          <w:tcPr>
            <w:tcW w:w="2107" w:type="dxa"/>
          </w:tcPr>
          <w:p w14:paraId="286FFF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2656</w:t>
            </w:r>
          </w:p>
        </w:tc>
        <w:tc>
          <w:tcPr>
            <w:tcW w:w="2107" w:type="dxa"/>
          </w:tcPr>
          <w:p w14:paraId="6BB786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7ABECF3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2811</w:t>
            </w:r>
          </w:p>
        </w:tc>
        <w:tc>
          <w:tcPr>
            <w:tcW w:w="2107" w:type="dxa"/>
          </w:tcPr>
          <w:p w14:paraId="05204A8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33</w:t>
            </w:r>
          </w:p>
        </w:tc>
      </w:tr>
      <w:tr w:rsidR="000F5689" w:rsidRPr="00925F26" w14:paraId="4119184D" w14:textId="77777777">
        <w:tc>
          <w:tcPr>
            <w:tcW w:w="675" w:type="dxa"/>
          </w:tcPr>
          <w:p w14:paraId="67038E10"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0E6DEA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Як-9ПФ</w:t>
            </w:r>
          </w:p>
        </w:tc>
        <w:tc>
          <w:tcPr>
            <w:tcW w:w="2107" w:type="dxa"/>
          </w:tcPr>
          <w:p w14:paraId="29D4D4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831</w:t>
            </w:r>
          </w:p>
        </w:tc>
        <w:tc>
          <w:tcPr>
            <w:tcW w:w="2107" w:type="dxa"/>
          </w:tcPr>
          <w:p w14:paraId="64F73D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4541</w:t>
            </w:r>
          </w:p>
        </w:tc>
        <w:tc>
          <w:tcPr>
            <w:tcW w:w="2107" w:type="dxa"/>
          </w:tcPr>
          <w:p w14:paraId="7BF239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816</w:t>
            </w:r>
          </w:p>
        </w:tc>
        <w:tc>
          <w:tcPr>
            <w:tcW w:w="2107" w:type="dxa"/>
          </w:tcPr>
          <w:p w14:paraId="16832B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4457</w:t>
            </w:r>
          </w:p>
        </w:tc>
      </w:tr>
      <w:tr w:rsidR="000F5689" w:rsidRPr="00925F26" w14:paraId="060D6197" w14:textId="77777777">
        <w:tc>
          <w:tcPr>
            <w:tcW w:w="675" w:type="dxa"/>
          </w:tcPr>
          <w:p w14:paraId="7AC620FA"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1DEC235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Як-9ПФ МП-37</w:t>
            </w:r>
          </w:p>
        </w:tc>
        <w:tc>
          <w:tcPr>
            <w:tcW w:w="2107" w:type="dxa"/>
          </w:tcPr>
          <w:p w14:paraId="07137D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930</w:t>
            </w:r>
          </w:p>
        </w:tc>
        <w:tc>
          <w:tcPr>
            <w:tcW w:w="2107" w:type="dxa"/>
          </w:tcPr>
          <w:p w14:paraId="11CAC4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1267</w:t>
            </w:r>
          </w:p>
        </w:tc>
        <w:tc>
          <w:tcPr>
            <w:tcW w:w="2107" w:type="dxa"/>
          </w:tcPr>
          <w:p w14:paraId="2AE229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900</w:t>
            </w:r>
          </w:p>
        </w:tc>
        <w:tc>
          <w:tcPr>
            <w:tcW w:w="2107" w:type="dxa"/>
          </w:tcPr>
          <w:p w14:paraId="416CCD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1208</w:t>
            </w:r>
          </w:p>
        </w:tc>
      </w:tr>
      <w:tr w:rsidR="000F5689" w:rsidRPr="00925F26" w14:paraId="19A36E49" w14:textId="77777777">
        <w:tc>
          <w:tcPr>
            <w:tcW w:w="675" w:type="dxa"/>
          </w:tcPr>
          <w:p w14:paraId="4A658412"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338872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 М107А</w:t>
            </w:r>
          </w:p>
        </w:tc>
        <w:tc>
          <w:tcPr>
            <w:tcW w:w="2107" w:type="dxa"/>
          </w:tcPr>
          <w:p w14:paraId="149B32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20FF06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2107" w:type="dxa"/>
          </w:tcPr>
          <w:p w14:paraId="72A43F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222FAA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50</w:t>
            </w:r>
          </w:p>
        </w:tc>
      </w:tr>
      <w:tr w:rsidR="000F5689" w:rsidRPr="00925F26" w14:paraId="2DF7189F" w14:textId="77777777">
        <w:tc>
          <w:tcPr>
            <w:tcW w:w="675" w:type="dxa"/>
          </w:tcPr>
          <w:p w14:paraId="2DCAA4D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166</w:t>
            </w:r>
          </w:p>
        </w:tc>
        <w:tc>
          <w:tcPr>
            <w:tcW w:w="2107" w:type="dxa"/>
          </w:tcPr>
          <w:p w14:paraId="52236A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Як-9ПФ</w:t>
            </w:r>
          </w:p>
        </w:tc>
        <w:tc>
          <w:tcPr>
            <w:tcW w:w="2107" w:type="dxa"/>
          </w:tcPr>
          <w:p w14:paraId="33BBB33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721</w:t>
            </w:r>
          </w:p>
        </w:tc>
        <w:tc>
          <w:tcPr>
            <w:tcW w:w="2107" w:type="dxa"/>
          </w:tcPr>
          <w:p w14:paraId="42D7E2F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480</w:t>
            </w:r>
          </w:p>
        </w:tc>
        <w:tc>
          <w:tcPr>
            <w:tcW w:w="2107" w:type="dxa"/>
          </w:tcPr>
          <w:p w14:paraId="6F2B9D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681</w:t>
            </w:r>
          </w:p>
        </w:tc>
        <w:tc>
          <w:tcPr>
            <w:tcW w:w="2107" w:type="dxa"/>
          </w:tcPr>
          <w:p w14:paraId="7741AF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516</w:t>
            </w:r>
          </w:p>
        </w:tc>
      </w:tr>
      <w:tr w:rsidR="000F5689" w:rsidRPr="00925F26" w14:paraId="76E24E96" w14:textId="77777777">
        <w:tc>
          <w:tcPr>
            <w:tcW w:w="675" w:type="dxa"/>
          </w:tcPr>
          <w:p w14:paraId="7B78521E"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51F3383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Як-9 М107А</w:t>
            </w:r>
          </w:p>
        </w:tc>
        <w:tc>
          <w:tcPr>
            <w:tcW w:w="2107" w:type="dxa"/>
          </w:tcPr>
          <w:p w14:paraId="7AC1795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2107" w:type="dxa"/>
          </w:tcPr>
          <w:p w14:paraId="6B59D2A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1119</w:t>
            </w:r>
          </w:p>
        </w:tc>
        <w:tc>
          <w:tcPr>
            <w:tcW w:w="2107" w:type="dxa"/>
          </w:tcPr>
          <w:p w14:paraId="6FF24F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3DDD891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1002</w:t>
            </w:r>
          </w:p>
        </w:tc>
      </w:tr>
      <w:tr w:rsidR="000F5689" w:rsidRPr="00925F26" w14:paraId="41E2E096" w14:textId="77777777">
        <w:tc>
          <w:tcPr>
            <w:tcW w:w="675" w:type="dxa"/>
          </w:tcPr>
          <w:p w14:paraId="62EDD9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2107" w:type="dxa"/>
          </w:tcPr>
          <w:p w14:paraId="59AB20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Як-1 ПФ</w:t>
            </w:r>
          </w:p>
        </w:tc>
        <w:tc>
          <w:tcPr>
            <w:tcW w:w="2107" w:type="dxa"/>
          </w:tcPr>
          <w:p w14:paraId="14FC7C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2720</w:t>
            </w:r>
          </w:p>
        </w:tc>
        <w:tc>
          <w:tcPr>
            <w:tcW w:w="2107" w:type="dxa"/>
          </w:tcPr>
          <w:p w14:paraId="3536F9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1128</w:t>
            </w:r>
          </w:p>
        </w:tc>
        <w:tc>
          <w:tcPr>
            <w:tcW w:w="2107" w:type="dxa"/>
          </w:tcPr>
          <w:p w14:paraId="190950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2852</w:t>
            </w:r>
          </w:p>
        </w:tc>
        <w:tc>
          <w:tcPr>
            <w:tcW w:w="2107" w:type="dxa"/>
          </w:tcPr>
          <w:p w14:paraId="155D93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1189</w:t>
            </w:r>
          </w:p>
        </w:tc>
      </w:tr>
      <w:tr w:rsidR="000F5689" w:rsidRPr="00925F26" w14:paraId="602D3579" w14:textId="77777777">
        <w:tc>
          <w:tcPr>
            <w:tcW w:w="675" w:type="dxa"/>
          </w:tcPr>
          <w:p w14:paraId="37CEB4C8"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0FFA31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Як-3ПФ</w:t>
            </w:r>
          </w:p>
        </w:tc>
        <w:tc>
          <w:tcPr>
            <w:tcW w:w="2107" w:type="dxa"/>
          </w:tcPr>
          <w:p w14:paraId="0C545F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1BF20A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1682</w:t>
            </w:r>
          </w:p>
        </w:tc>
        <w:tc>
          <w:tcPr>
            <w:tcW w:w="2107" w:type="dxa"/>
          </w:tcPr>
          <w:p w14:paraId="2F88C74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2D52E5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1137</w:t>
            </w:r>
          </w:p>
        </w:tc>
      </w:tr>
      <w:tr w:rsidR="000F5689" w:rsidRPr="00925F26" w14:paraId="16376A8E" w14:textId="77777777">
        <w:tc>
          <w:tcPr>
            <w:tcW w:w="675" w:type="dxa"/>
          </w:tcPr>
          <w:p w14:paraId="416940E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381</w:t>
            </w:r>
          </w:p>
        </w:tc>
        <w:tc>
          <w:tcPr>
            <w:tcW w:w="2107" w:type="dxa"/>
          </w:tcPr>
          <w:p w14:paraId="7DEC48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Ла-5ФН</w:t>
            </w:r>
          </w:p>
        </w:tc>
        <w:tc>
          <w:tcPr>
            <w:tcW w:w="2107" w:type="dxa"/>
          </w:tcPr>
          <w:p w14:paraId="6CACA5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239</w:t>
            </w:r>
          </w:p>
        </w:tc>
        <w:tc>
          <w:tcPr>
            <w:tcW w:w="2107" w:type="dxa"/>
          </w:tcPr>
          <w:p w14:paraId="364406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221</w:t>
            </w:r>
          </w:p>
        </w:tc>
        <w:tc>
          <w:tcPr>
            <w:tcW w:w="2107" w:type="dxa"/>
          </w:tcPr>
          <w:p w14:paraId="6AC34A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222</w:t>
            </w:r>
          </w:p>
        </w:tc>
        <w:tc>
          <w:tcPr>
            <w:tcW w:w="2107" w:type="dxa"/>
          </w:tcPr>
          <w:p w14:paraId="61124D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231</w:t>
            </w:r>
          </w:p>
        </w:tc>
      </w:tr>
      <w:tr w:rsidR="000F5689" w:rsidRPr="00925F26" w14:paraId="6550D0DE" w14:textId="77777777">
        <w:tc>
          <w:tcPr>
            <w:tcW w:w="675" w:type="dxa"/>
          </w:tcPr>
          <w:p w14:paraId="66FF951D"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Pr>
          <w:p w14:paraId="760856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2107" w:type="dxa"/>
          </w:tcPr>
          <w:p w14:paraId="38FD55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69BFBE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638</w:t>
            </w:r>
          </w:p>
        </w:tc>
        <w:tc>
          <w:tcPr>
            <w:tcW w:w="2107" w:type="dxa"/>
          </w:tcPr>
          <w:p w14:paraId="7BEEA5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107" w:type="dxa"/>
          </w:tcPr>
          <w:p w14:paraId="0D61359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604</w:t>
            </w:r>
          </w:p>
        </w:tc>
      </w:tr>
      <w:tr w:rsidR="000F5689" w:rsidRPr="00925F26" w14:paraId="53A98C00" w14:textId="77777777">
        <w:tc>
          <w:tcPr>
            <w:tcW w:w="675" w:type="dxa"/>
            <w:tcBorders>
              <w:bottom w:val="single" w:sz="12" w:space="0" w:color="auto"/>
            </w:tcBorders>
          </w:tcPr>
          <w:p w14:paraId="6869C2A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2107" w:type="dxa"/>
            <w:tcBorders>
              <w:bottom w:val="single" w:sz="12" w:space="0" w:color="auto"/>
            </w:tcBorders>
          </w:tcPr>
          <w:p w14:paraId="3C5D004B" w14:textId="77777777" w:rsidR="00C2313B" w:rsidRPr="00925F26" w:rsidRDefault="00C2313B" w:rsidP="00925F26">
            <w:pPr>
              <w:autoSpaceDE w:val="0"/>
              <w:autoSpaceDN w:val="0"/>
              <w:adjustRightInd w:val="0"/>
              <w:jc w:val="both"/>
              <w:rPr>
                <w:color w:val="000000" w:themeColor="text1"/>
                <w:sz w:val="16"/>
                <w:szCs w:val="16"/>
              </w:rPr>
            </w:pPr>
          </w:p>
        </w:tc>
        <w:tc>
          <w:tcPr>
            <w:tcW w:w="2107" w:type="dxa"/>
            <w:tcBorders>
              <w:bottom w:val="single" w:sz="12" w:space="0" w:color="auto"/>
            </w:tcBorders>
          </w:tcPr>
          <w:p w14:paraId="56E11A9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14621</w:t>
            </w:r>
          </w:p>
        </w:tc>
        <w:tc>
          <w:tcPr>
            <w:tcW w:w="2107" w:type="dxa"/>
            <w:tcBorders>
              <w:bottom w:val="single" w:sz="12" w:space="0" w:color="auto"/>
            </w:tcBorders>
          </w:tcPr>
          <w:p w14:paraId="14C692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17894</w:t>
            </w:r>
          </w:p>
        </w:tc>
        <w:tc>
          <w:tcPr>
            <w:tcW w:w="2107" w:type="dxa"/>
            <w:tcBorders>
              <w:bottom w:val="single" w:sz="12" w:space="0" w:color="auto"/>
            </w:tcBorders>
          </w:tcPr>
          <w:p w14:paraId="20F25C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14739</w:t>
            </w:r>
          </w:p>
        </w:tc>
        <w:tc>
          <w:tcPr>
            <w:tcW w:w="2107" w:type="dxa"/>
            <w:tcBorders>
              <w:bottom w:val="single" w:sz="12" w:space="0" w:color="auto"/>
            </w:tcBorders>
          </w:tcPr>
          <w:p w14:paraId="0CC0989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16988</w:t>
            </w:r>
          </w:p>
        </w:tc>
      </w:tr>
    </w:tbl>
    <w:p w14:paraId="2A6CC4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(1960,3)</w:t>
      </w:r>
    </w:p>
    <w:p w14:paraId="29CD70A8" w14:textId="77777777" w:rsidR="00C2313B" w:rsidRPr="00925F26" w:rsidRDefault="00C2313B" w:rsidP="00925F26">
      <w:pPr>
        <w:autoSpaceDE w:val="0"/>
        <w:autoSpaceDN w:val="0"/>
        <w:adjustRightInd w:val="0"/>
        <w:jc w:val="both"/>
        <w:rPr>
          <w:color w:val="000000" w:themeColor="text1"/>
          <w:sz w:val="16"/>
          <w:szCs w:val="16"/>
        </w:rPr>
      </w:pPr>
    </w:p>
    <w:p w14:paraId="49679B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в 29-й отдельной разведывательной эскад</w:t>
      </w:r>
      <w:r w:rsidRPr="00925F26">
        <w:rPr>
          <w:color w:val="000000" w:themeColor="text1"/>
          <w:sz w:val="16"/>
          <w:szCs w:val="16"/>
        </w:rPr>
        <w:softHyphen/>
        <w:t>рилье числилось 10 Бе-4: №№ 4770205, 4770301, 4770302, 4770303, 4770305, 4770401, 4770402, 4770403, 4770404, 4770405. Задачами гид</w:t>
      </w:r>
      <w:r w:rsidRPr="00925F26">
        <w:rPr>
          <w:color w:val="000000" w:themeColor="text1"/>
          <w:sz w:val="16"/>
          <w:szCs w:val="16"/>
        </w:rPr>
        <w:softHyphen/>
        <w:t>росамолетов стало ведение противолодоч</w:t>
      </w:r>
      <w:r w:rsidRPr="00925F26">
        <w:rPr>
          <w:color w:val="000000" w:themeColor="text1"/>
          <w:sz w:val="16"/>
          <w:szCs w:val="16"/>
        </w:rPr>
        <w:softHyphen/>
        <w:t>ного поиска, а также спасение экипажей сбитых самолетов. Например, 22 июля 1944 г. после нанесения удара по немецким кораблям совершил вынужденную посадку в Финском заливе штурмовик Ил-2 из 8-го Гвардейского штурмового полка 11-й штур</w:t>
      </w:r>
      <w:r w:rsidRPr="00925F26">
        <w:rPr>
          <w:color w:val="000000" w:themeColor="text1"/>
          <w:sz w:val="16"/>
          <w:szCs w:val="16"/>
        </w:rPr>
        <w:softHyphen/>
        <w:t>мовой авиадивизии. Самолет быстро зато</w:t>
      </w:r>
      <w:r w:rsidRPr="00925F26">
        <w:rPr>
          <w:color w:val="000000" w:themeColor="text1"/>
          <w:sz w:val="16"/>
          <w:szCs w:val="16"/>
        </w:rPr>
        <w:softHyphen/>
        <w:t>нул, а пилот Кузнецов и стрелок Стрижак перебрались в спасательную лодку и чуть позже были вывезены Бе-4, вылетевшим с гидроаэродрома Гора Валдай (10685).</w:t>
      </w:r>
    </w:p>
    <w:p w14:paraId="26C909C3" w14:textId="77777777" w:rsidR="00C2313B" w:rsidRPr="00925F26" w:rsidRDefault="00C2313B" w:rsidP="00925F26">
      <w:pPr>
        <w:autoSpaceDE w:val="0"/>
        <w:autoSpaceDN w:val="0"/>
        <w:adjustRightInd w:val="0"/>
        <w:jc w:val="both"/>
        <w:rPr>
          <w:color w:val="000000" w:themeColor="text1"/>
          <w:sz w:val="16"/>
          <w:szCs w:val="16"/>
        </w:rPr>
      </w:pPr>
    </w:p>
    <w:p w14:paraId="098834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на базе ЦАРБ-Аэрофлота на ЦА было создано ОКБ 482 В.М.М. (1847,83).</w:t>
      </w:r>
    </w:p>
    <w:p w14:paraId="495CFC26" w14:textId="77777777" w:rsidR="00C2313B" w:rsidRPr="00925F26" w:rsidRDefault="00C2313B" w:rsidP="00925F26">
      <w:pPr>
        <w:autoSpaceDE w:val="0"/>
        <w:autoSpaceDN w:val="0"/>
        <w:adjustRightInd w:val="0"/>
        <w:jc w:val="both"/>
        <w:rPr>
          <w:color w:val="000000" w:themeColor="text1"/>
          <w:sz w:val="16"/>
          <w:szCs w:val="16"/>
        </w:rPr>
      </w:pPr>
    </w:p>
    <w:p w14:paraId="0F4219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самом начале 1945 года последние пять машин типа P-39Q "Аэрокобра" прошли по АЛСИБу, хотя производство Р-39 на заводе "Белл" в Ниагара-Фоллз прекратили еще в 1944 году. Всего, но различным источникам, из США поставили от 4719 до 4746 "Аэрокобр" разных модификаций. Еще 212 самолетов реэкспортировали из Великобритании, до места из них дошли 158. По нашим данным, в СССР приняты 4952 машины. У нас, правда, учитывались и неисправные истребители, присылавшиеся англичанами вместо группкомплектов запчастей. Разбивка по модификациям известна только из отчетов об американской военной помощи. Согласно им, отправлено 108 Р 39D, 40 Р 39К, 137 P-39L, 157 Р 39М, 1113 P-39N и 3291 P-39Q (3457,77).</w:t>
      </w:r>
    </w:p>
    <w:p w14:paraId="75D6E382" w14:textId="77777777" w:rsidR="00C2313B" w:rsidRPr="00925F26" w:rsidRDefault="00C2313B" w:rsidP="00925F26">
      <w:pPr>
        <w:autoSpaceDE w:val="0"/>
        <w:autoSpaceDN w:val="0"/>
        <w:adjustRightInd w:val="0"/>
        <w:jc w:val="both"/>
        <w:rPr>
          <w:color w:val="000000" w:themeColor="text1"/>
          <w:sz w:val="16"/>
          <w:szCs w:val="16"/>
        </w:rPr>
      </w:pPr>
    </w:p>
    <w:p w14:paraId="4FE2DB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поступил даже один экземпляр Р-63А-10, оснащенный РЛС. Правда, радар был не поисковый, а предназначенный для предупреждения об атаке сзади (3457,78).</w:t>
      </w:r>
    </w:p>
    <w:p w14:paraId="4D171EC3" w14:textId="77777777" w:rsidR="00C2313B" w:rsidRPr="00925F26" w:rsidRDefault="00C2313B" w:rsidP="00925F26">
      <w:pPr>
        <w:autoSpaceDE w:val="0"/>
        <w:autoSpaceDN w:val="0"/>
        <w:adjustRightInd w:val="0"/>
        <w:jc w:val="both"/>
        <w:rPr>
          <w:color w:val="000000" w:themeColor="text1"/>
          <w:sz w:val="16"/>
          <w:szCs w:val="16"/>
        </w:rPr>
      </w:pPr>
    </w:p>
    <w:p w14:paraId="0B041023" w14:textId="77777777" w:rsidR="00573476" w:rsidRPr="00925F26" w:rsidRDefault="00573476" w:rsidP="00925F26">
      <w:pPr>
        <w:jc w:val="both"/>
        <w:rPr>
          <w:color w:val="000000" w:themeColor="text1"/>
          <w:sz w:val="16"/>
          <w:szCs w:val="16"/>
        </w:rPr>
      </w:pPr>
      <w:r w:rsidRPr="00925F26">
        <w:rPr>
          <w:color w:val="000000" w:themeColor="text1"/>
          <w:sz w:val="16"/>
          <w:szCs w:val="16"/>
        </w:rPr>
        <w:t>В начале 1945 г. опытный экземпляр САМ-23 прошел испытания, но в серию не передавался. Война заканчивалась, и много оружия уже было не нужно. Предпочтение отдали планеру Ц-25 КБ Цыбина, хотя ОДНО преимущество У САМ-23 перел. Ц-25 было — это хвостовой погрузочный люк. Носовой люк (как у Ц-25) в боевых условиях часто повреждается при по</w:t>
      </w:r>
      <w:r w:rsidRPr="00925F26">
        <w:rPr>
          <w:color w:val="000000" w:themeColor="text1"/>
          <w:sz w:val="16"/>
          <w:szCs w:val="16"/>
        </w:rPr>
        <w:softHyphen/>
        <w:t>садке.</w:t>
      </w:r>
    </w:p>
    <w:p w14:paraId="35EBB468" w14:textId="77777777" w:rsidR="00573476" w:rsidRPr="00925F26" w:rsidRDefault="00573476" w:rsidP="00925F26">
      <w:pPr>
        <w:jc w:val="both"/>
        <w:rPr>
          <w:color w:val="000000" w:themeColor="text1"/>
          <w:sz w:val="16"/>
          <w:szCs w:val="16"/>
        </w:rPr>
      </w:pPr>
      <w:r w:rsidRPr="00925F26">
        <w:rPr>
          <w:color w:val="000000" w:themeColor="text1"/>
          <w:sz w:val="16"/>
          <w:szCs w:val="16"/>
        </w:rPr>
        <w:t>ОСНОВНЫЕ ДАННЫЕ ТРАНСПОРТНЫХ ПЛАНЕРОВ, СОЗДАННЫХ В СССР В ПЕРИОД 1941-1945 гг.</w:t>
      </w:r>
    </w:p>
    <w:tbl>
      <w:tblPr>
        <w:tblW w:w="0" w:type="auto"/>
        <w:tblInd w:w="-18" w:type="dxa"/>
        <w:tblLayout w:type="fixed"/>
        <w:tblCellMar>
          <w:left w:w="10" w:type="dxa"/>
          <w:right w:w="10" w:type="dxa"/>
        </w:tblCellMar>
        <w:tblLook w:val="0000" w:firstRow="0" w:lastRow="0" w:firstColumn="0" w:lastColumn="0" w:noHBand="0" w:noVBand="0"/>
      </w:tblPr>
      <w:tblGrid>
        <w:gridCol w:w="2696"/>
        <w:gridCol w:w="1670"/>
        <w:gridCol w:w="1638"/>
        <w:gridCol w:w="1577"/>
        <w:gridCol w:w="2048"/>
      </w:tblGrid>
      <w:tr w:rsidR="000F5689" w:rsidRPr="00925F26" w14:paraId="056FF094" w14:textId="77777777" w:rsidTr="00573476">
        <w:trPr>
          <w:trHeight w:val="58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E74BB45" w14:textId="77777777" w:rsidR="00573476" w:rsidRPr="00925F26" w:rsidRDefault="00573476" w:rsidP="00925F26">
            <w:pPr>
              <w:jc w:val="both"/>
              <w:rPr>
                <w:color w:val="000000" w:themeColor="text1"/>
                <w:sz w:val="16"/>
                <w:szCs w:val="16"/>
              </w:rPr>
            </w:pPr>
            <w:r w:rsidRPr="00925F26">
              <w:rPr>
                <w:color w:val="000000" w:themeColor="text1"/>
                <w:sz w:val="16"/>
                <w:szCs w:val="16"/>
              </w:rPr>
              <w:t>Типы планеров Характеристики -—</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F411677" w14:textId="77777777" w:rsidR="00573476" w:rsidRPr="00925F26" w:rsidRDefault="00573476" w:rsidP="00925F26">
            <w:pPr>
              <w:jc w:val="both"/>
              <w:rPr>
                <w:color w:val="000000" w:themeColor="text1"/>
                <w:sz w:val="16"/>
                <w:szCs w:val="16"/>
              </w:rPr>
            </w:pPr>
            <w:r w:rsidRPr="00925F26">
              <w:rPr>
                <w:color w:val="000000" w:themeColor="text1"/>
                <w:sz w:val="16"/>
                <w:szCs w:val="16"/>
              </w:rPr>
              <w:t>БДП-1 (БДП-2)</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0F07A940" w14:textId="77777777" w:rsidR="00573476" w:rsidRPr="00925F26" w:rsidRDefault="00573476" w:rsidP="00925F26">
            <w:pPr>
              <w:jc w:val="both"/>
              <w:rPr>
                <w:color w:val="000000" w:themeColor="text1"/>
                <w:sz w:val="16"/>
                <w:szCs w:val="16"/>
              </w:rPr>
            </w:pPr>
            <w:r w:rsidRPr="00925F26">
              <w:rPr>
                <w:color w:val="000000" w:themeColor="text1"/>
                <w:sz w:val="16"/>
                <w:szCs w:val="16"/>
              </w:rPr>
              <w:t>КГ</w:t>
            </w:r>
          </w:p>
          <w:p w14:paraId="33F4C3CF" w14:textId="77777777" w:rsidR="00573476" w:rsidRPr="00925F26" w:rsidRDefault="00573476" w:rsidP="00925F26">
            <w:pPr>
              <w:jc w:val="both"/>
              <w:rPr>
                <w:color w:val="000000" w:themeColor="text1"/>
                <w:sz w:val="16"/>
                <w:szCs w:val="16"/>
              </w:rPr>
            </w:pPr>
            <w:r w:rsidRPr="00925F26">
              <w:rPr>
                <w:color w:val="000000" w:themeColor="text1"/>
                <w:sz w:val="16"/>
                <w:szCs w:val="16"/>
              </w:rPr>
              <w:t>(КГ-Эталон)</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008A195" w14:textId="77777777" w:rsidR="00573476" w:rsidRPr="00925F26" w:rsidRDefault="00573476" w:rsidP="00925F26">
            <w:pPr>
              <w:jc w:val="both"/>
              <w:rPr>
                <w:color w:val="000000" w:themeColor="text1"/>
                <w:sz w:val="16"/>
                <w:szCs w:val="16"/>
              </w:rPr>
            </w:pPr>
            <w:r w:rsidRPr="00925F26">
              <w:rPr>
                <w:color w:val="000000" w:themeColor="text1"/>
                <w:sz w:val="16"/>
                <w:szCs w:val="16"/>
              </w:rPr>
              <w:t>А-40 (КТ, ЛТ)</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62BB29C" w14:textId="77777777" w:rsidR="00573476" w:rsidRPr="00925F26" w:rsidRDefault="00573476" w:rsidP="00925F26">
            <w:pPr>
              <w:jc w:val="both"/>
              <w:rPr>
                <w:color w:val="000000" w:themeColor="text1"/>
                <w:sz w:val="16"/>
                <w:szCs w:val="16"/>
              </w:rPr>
            </w:pPr>
            <w:r w:rsidRPr="00925F26">
              <w:rPr>
                <w:color w:val="000000" w:themeColor="text1"/>
                <w:sz w:val="16"/>
                <w:szCs w:val="16"/>
              </w:rPr>
              <w:t>САМ-23</w:t>
            </w:r>
          </w:p>
        </w:tc>
      </w:tr>
      <w:tr w:rsidR="000F5689" w:rsidRPr="00925F26" w14:paraId="2186A1E9" w14:textId="77777777" w:rsidTr="00573476">
        <w:trPr>
          <w:trHeight w:val="536"/>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326D1271" w14:textId="77777777" w:rsidR="00573476" w:rsidRPr="00925F26" w:rsidRDefault="00573476" w:rsidP="00925F26">
            <w:pPr>
              <w:jc w:val="both"/>
              <w:rPr>
                <w:color w:val="000000" w:themeColor="text1"/>
                <w:sz w:val="16"/>
                <w:szCs w:val="16"/>
              </w:rPr>
            </w:pPr>
            <w:r w:rsidRPr="00925F26">
              <w:rPr>
                <w:color w:val="000000" w:themeColor="text1"/>
                <w:sz w:val="16"/>
                <w:szCs w:val="16"/>
              </w:rPr>
              <w:t>Дата первого вылета</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D694721" w14:textId="77777777" w:rsidR="00573476" w:rsidRPr="00925F26" w:rsidRDefault="00573476" w:rsidP="00925F26">
            <w:pPr>
              <w:jc w:val="both"/>
              <w:rPr>
                <w:color w:val="000000" w:themeColor="text1"/>
                <w:sz w:val="16"/>
                <w:szCs w:val="16"/>
              </w:rPr>
            </w:pPr>
            <w:r w:rsidRPr="00925F26">
              <w:rPr>
                <w:color w:val="000000" w:themeColor="text1"/>
                <w:sz w:val="16"/>
                <w:szCs w:val="16"/>
              </w:rPr>
              <w:t>Сентябрь 1941 г. (10.02.42 г.)</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6ADA7ACD" w14:textId="77777777" w:rsidR="00573476" w:rsidRPr="00925F26" w:rsidRDefault="00573476" w:rsidP="00925F26">
            <w:pPr>
              <w:jc w:val="both"/>
              <w:rPr>
                <w:color w:val="000000" w:themeColor="text1"/>
                <w:sz w:val="16"/>
                <w:szCs w:val="16"/>
              </w:rPr>
            </w:pPr>
            <w:r w:rsidRPr="00925F26">
              <w:rPr>
                <w:color w:val="000000" w:themeColor="text1"/>
                <w:sz w:val="16"/>
                <w:szCs w:val="16"/>
              </w:rPr>
              <w:t>09.01.1942 г.</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AA6050E" w14:textId="77777777" w:rsidR="00573476" w:rsidRPr="00925F26" w:rsidRDefault="00573476" w:rsidP="00925F26">
            <w:pPr>
              <w:jc w:val="both"/>
              <w:rPr>
                <w:color w:val="000000" w:themeColor="text1"/>
                <w:sz w:val="16"/>
                <w:szCs w:val="16"/>
              </w:rPr>
            </w:pPr>
            <w:r w:rsidRPr="00925F26">
              <w:rPr>
                <w:color w:val="000000" w:themeColor="text1"/>
                <w:sz w:val="16"/>
                <w:szCs w:val="16"/>
              </w:rPr>
              <w:t>02.09.1942 г.</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E1CCA38" w14:textId="77777777" w:rsidR="00573476" w:rsidRPr="00925F26" w:rsidRDefault="00573476" w:rsidP="00925F26">
            <w:pPr>
              <w:jc w:val="both"/>
              <w:rPr>
                <w:color w:val="000000" w:themeColor="text1"/>
                <w:sz w:val="16"/>
                <w:szCs w:val="16"/>
              </w:rPr>
            </w:pPr>
            <w:r w:rsidRPr="00925F26">
              <w:rPr>
                <w:color w:val="000000" w:themeColor="text1"/>
                <w:sz w:val="16"/>
                <w:szCs w:val="16"/>
              </w:rPr>
              <w:t>Начало 1945 г.</w:t>
            </w:r>
          </w:p>
        </w:tc>
      </w:tr>
      <w:tr w:rsidR="000F5689" w:rsidRPr="00925F26" w14:paraId="0F672064"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4FE19C6" w14:textId="77777777" w:rsidR="00573476" w:rsidRPr="00925F26" w:rsidRDefault="00573476" w:rsidP="00925F26">
            <w:pPr>
              <w:jc w:val="both"/>
              <w:rPr>
                <w:color w:val="000000" w:themeColor="text1"/>
                <w:sz w:val="16"/>
                <w:szCs w:val="16"/>
              </w:rPr>
            </w:pPr>
            <w:r w:rsidRPr="00925F26">
              <w:rPr>
                <w:color w:val="000000" w:themeColor="text1"/>
                <w:sz w:val="16"/>
                <w:szCs w:val="16"/>
              </w:rPr>
              <w:t>Общее число построен</w:t>
            </w:r>
            <w:r w:rsidRPr="00925F26">
              <w:rPr>
                <w:color w:val="000000" w:themeColor="text1"/>
                <w:sz w:val="16"/>
                <w:szCs w:val="16"/>
              </w:rPr>
              <w:softHyphen/>
              <w:t>ных планеров, шт.</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32F8842" w14:textId="77777777" w:rsidR="00573476" w:rsidRPr="00925F26" w:rsidRDefault="00573476" w:rsidP="00925F26">
            <w:pPr>
              <w:jc w:val="both"/>
              <w:rPr>
                <w:color w:val="000000" w:themeColor="text1"/>
                <w:sz w:val="16"/>
                <w:szCs w:val="16"/>
              </w:rPr>
            </w:pPr>
            <w:r w:rsidRPr="00925F26">
              <w:rPr>
                <w:color w:val="000000" w:themeColor="text1"/>
                <w:sz w:val="16"/>
                <w:szCs w:val="16"/>
              </w:rPr>
              <w:t>4</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18B492F" w14:textId="77777777" w:rsidR="00573476" w:rsidRPr="00925F26" w:rsidRDefault="00573476" w:rsidP="00925F26">
            <w:pPr>
              <w:jc w:val="both"/>
              <w:rPr>
                <w:color w:val="000000" w:themeColor="text1"/>
                <w:sz w:val="16"/>
                <w:szCs w:val="16"/>
              </w:rPr>
            </w:pPr>
            <w:r w:rsidRPr="00925F26">
              <w:rPr>
                <w:color w:val="000000" w:themeColor="text1"/>
                <w:sz w:val="16"/>
                <w:szCs w:val="16"/>
              </w:rPr>
              <w:t>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783578E" w14:textId="77777777" w:rsidR="00573476" w:rsidRPr="00925F26" w:rsidRDefault="00573476" w:rsidP="00925F26">
            <w:pPr>
              <w:jc w:val="both"/>
              <w:rPr>
                <w:color w:val="000000" w:themeColor="text1"/>
                <w:sz w:val="16"/>
                <w:szCs w:val="16"/>
              </w:rPr>
            </w:pPr>
            <w:r w:rsidRPr="00925F26">
              <w:rPr>
                <w:color w:val="000000" w:themeColor="text1"/>
                <w:sz w:val="16"/>
                <w:szCs w:val="16"/>
              </w:rPr>
              <w:t>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4C2C75E" w14:textId="77777777" w:rsidR="00573476" w:rsidRPr="00925F26" w:rsidRDefault="00573476" w:rsidP="00925F26">
            <w:pPr>
              <w:jc w:val="both"/>
              <w:rPr>
                <w:color w:val="000000" w:themeColor="text1"/>
                <w:sz w:val="16"/>
                <w:szCs w:val="16"/>
              </w:rPr>
            </w:pPr>
            <w:r w:rsidRPr="00925F26">
              <w:rPr>
                <w:color w:val="000000" w:themeColor="text1"/>
                <w:sz w:val="16"/>
                <w:szCs w:val="16"/>
              </w:rPr>
              <w:t>1</w:t>
            </w:r>
          </w:p>
        </w:tc>
      </w:tr>
      <w:tr w:rsidR="000F5689" w:rsidRPr="00925F26" w14:paraId="5EF0E08D" w14:textId="77777777" w:rsidTr="00573476">
        <w:trPr>
          <w:trHeight w:val="36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2525B7F" w14:textId="77777777" w:rsidR="00573476" w:rsidRPr="00925F26" w:rsidRDefault="00573476" w:rsidP="00925F26">
            <w:pPr>
              <w:jc w:val="both"/>
              <w:rPr>
                <w:color w:val="000000" w:themeColor="text1"/>
                <w:sz w:val="16"/>
                <w:szCs w:val="16"/>
              </w:rPr>
            </w:pPr>
            <w:r w:rsidRPr="00925F26">
              <w:rPr>
                <w:color w:val="000000" w:themeColor="text1"/>
                <w:sz w:val="16"/>
                <w:szCs w:val="16"/>
              </w:rPr>
              <w:t>Длина,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2C8CCF56" w14:textId="77777777" w:rsidR="00573476" w:rsidRPr="00925F26" w:rsidRDefault="00573476" w:rsidP="00925F26">
            <w:pPr>
              <w:jc w:val="both"/>
              <w:rPr>
                <w:color w:val="000000" w:themeColor="text1"/>
                <w:sz w:val="16"/>
                <w:szCs w:val="16"/>
              </w:rPr>
            </w:pPr>
            <w:r w:rsidRPr="00925F26">
              <w:rPr>
                <w:color w:val="000000" w:themeColor="text1"/>
                <w:sz w:val="16"/>
                <w:szCs w:val="16"/>
              </w:rPr>
              <w:t>13,6</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0FAD290" w14:textId="77777777" w:rsidR="00573476" w:rsidRPr="00925F26" w:rsidRDefault="00573476" w:rsidP="00925F26">
            <w:pPr>
              <w:jc w:val="both"/>
              <w:rPr>
                <w:color w:val="000000" w:themeColor="text1"/>
                <w:sz w:val="16"/>
                <w:szCs w:val="16"/>
              </w:rPr>
            </w:pPr>
            <w:r w:rsidRPr="00925F26">
              <w:rPr>
                <w:color w:val="000000" w:themeColor="text1"/>
                <w:sz w:val="16"/>
                <w:szCs w:val="16"/>
              </w:rPr>
              <w:t>16,2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16CB143" w14:textId="77777777" w:rsidR="00573476" w:rsidRPr="00925F26" w:rsidRDefault="00573476" w:rsidP="00925F26">
            <w:pPr>
              <w:jc w:val="both"/>
              <w:rPr>
                <w:color w:val="000000" w:themeColor="text1"/>
                <w:sz w:val="16"/>
                <w:szCs w:val="16"/>
              </w:rPr>
            </w:pPr>
            <w:r w:rsidRPr="00925F26">
              <w:rPr>
                <w:color w:val="000000" w:themeColor="text1"/>
                <w:sz w:val="16"/>
                <w:szCs w:val="16"/>
              </w:rPr>
              <w:t>12,06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1D90DBC" w14:textId="77777777" w:rsidR="00573476" w:rsidRPr="00925F26" w:rsidRDefault="00573476" w:rsidP="00925F26">
            <w:pPr>
              <w:jc w:val="both"/>
              <w:rPr>
                <w:color w:val="000000" w:themeColor="text1"/>
                <w:sz w:val="16"/>
                <w:szCs w:val="16"/>
              </w:rPr>
            </w:pPr>
            <w:r w:rsidRPr="00925F26">
              <w:rPr>
                <w:color w:val="000000" w:themeColor="text1"/>
                <w:sz w:val="16"/>
                <w:szCs w:val="16"/>
              </w:rPr>
              <w:t>11.8** (12,5***)</w:t>
            </w:r>
          </w:p>
        </w:tc>
      </w:tr>
      <w:tr w:rsidR="000F5689" w:rsidRPr="00925F26" w14:paraId="2BF7E78E" w14:textId="77777777" w:rsidTr="00573476">
        <w:trPr>
          <w:trHeight w:val="35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59E379B5" w14:textId="77777777" w:rsidR="00573476" w:rsidRPr="00925F26" w:rsidRDefault="00573476" w:rsidP="00925F26">
            <w:pPr>
              <w:jc w:val="both"/>
              <w:rPr>
                <w:color w:val="000000" w:themeColor="text1"/>
                <w:sz w:val="16"/>
                <w:szCs w:val="16"/>
              </w:rPr>
            </w:pPr>
            <w:r w:rsidRPr="00925F26">
              <w:rPr>
                <w:color w:val="000000" w:themeColor="text1"/>
                <w:sz w:val="16"/>
                <w:szCs w:val="16"/>
              </w:rPr>
              <w:t>Размах крыла,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6C0F198" w14:textId="77777777" w:rsidR="00573476" w:rsidRPr="00925F26" w:rsidRDefault="00573476" w:rsidP="00925F26">
            <w:pPr>
              <w:jc w:val="both"/>
              <w:rPr>
                <w:color w:val="000000" w:themeColor="text1"/>
                <w:sz w:val="16"/>
                <w:szCs w:val="16"/>
              </w:rPr>
            </w:pPr>
            <w:r w:rsidRPr="00925F26">
              <w:rPr>
                <w:color w:val="000000" w:themeColor="text1"/>
                <w:sz w:val="16"/>
                <w:szCs w:val="16"/>
              </w:rPr>
              <w:t>20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30109B8" w14:textId="77777777" w:rsidR="00573476" w:rsidRPr="00925F26" w:rsidRDefault="00573476" w:rsidP="00925F26">
            <w:pPr>
              <w:jc w:val="both"/>
              <w:rPr>
                <w:color w:val="000000" w:themeColor="text1"/>
                <w:sz w:val="16"/>
                <w:szCs w:val="16"/>
              </w:rPr>
            </w:pPr>
            <w:r w:rsidRPr="00925F26">
              <w:rPr>
                <w:color w:val="000000" w:themeColor="text1"/>
                <w:sz w:val="16"/>
                <w:szCs w:val="16"/>
              </w:rPr>
              <w:t>20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9DEA5D8" w14:textId="77777777" w:rsidR="00573476" w:rsidRPr="00925F26" w:rsidRDefault="00573476" w:rsidP="00925F26">
            <w:pPr>
              <w:jc w:val="both"/>
              <w:rPr>
                <w:color w:val="000000" w:themeColor="text1"/>
                <w:sz w:val="16"/>
                <w:szCs w:val="16"/>
              </w:rPr>
            </w:pPr>
            <w:r w:rsidRPr="00925F26">
              <w:rPr>
                <w:color w:val="000000" w:themeColor="text1"/>
                <w:sz w:val="16"/>
                <w:szCs w:val="16"/>
              </w:rPr>
              <w:t>18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D8D2CAD" w14:textId="77777777" w:rsidR="00573476" w:rsidRPr="00925F26" w:rsidRDefault="00573476" w:rsidP="00925F26">
            <w:pPr>
              <w:jc w:val="both"/>
              <w:rPr>
                <w:color w:val="000000" w:themeColor="text1"/>
                <w:sz w:val="16"/>
                <w:szCs w:val="16"/>
              </w:rPr>
            </w:pPr>
            <w:r w:rsidRPr="00925F26">
              <w:rPr>
                <w:color w:val="000000" w:themeColor="text1"/>
                <w:sz w:val="16"/>
                <w:szCs w:val="16"/>
              </w:rPr>
              <w:t>20** (16,5***)</w:t>
            </w:r>
          </w:p>
        </w:tc>
      </w:tr>
      <w:tr w:rsidR="000F5689" w:rsidRPr="00925F26" w14:paraId="7EEB9A54" w14:textId="77777777" w:rsidTr="00573476">
        <w:trPr>
          <w:trHeight w:val="36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607AEC0E" w14:textId="77777777" w:rsidR="00573476" w:rsidRPr="00925F26" w:rsidRDefault="00573476" w:rsidP="00925F26">
            <w:pPr>
              <w:jc w:val="both"/>
              <w:rPr>
                <w:color w:val="000000" w:themeColor="text1"/>
                <w:sz w:val="16"/>
                <w:szCs w:val="16"/>
              </w:rPr>
            </w:pPr>
            <w:r w:rsidRPr="00925F26">
              <w:rPr>
                <w:color w:val="000000" w:themeColor="text1"/>
                <w:sz w:val="16"/>
                <w:szCs w:val="16"/>
              </w:rPr>
              <w:t>Высота,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6BEBB23" w14:textId="77777777" w:rsidR="00573476" w:rsidRPr="00925F26" w:rsidRDefault="00573476" w:rsidP="00925F26">
            <w:pPr>
              <w:jc w:val="both"/>
              <w:rPr>
                <w:color w:val="000000" w:themeColor="text1"/>
                <w:sz w:val="16"/>
                <w:szCs w:val="16"/>
              </w:rPr>
            </w:pPr>
            <w:r w:rsidRPr="00925F26">
              <w:rPr>
                <w:color w:val="000000" w:themeColor="text1"/>
                <w:sz w:val="16"/>
                <w:szCs w:val="16"/>
              </w:rPr>
              <w:t>2,85</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E1E16B1" w14:textId="77777777" w:rsidR="00573476" w:rsidRPr="00925F26" w:rsidRDefault="00573476" w:rsidP="00925F26">
            <w:pPr>
              <w:jc w:val="both"/>
              <w:rPr>
                <w:color w:val="000000" w:themeColor="text1"/>
                <w:sz w:val="16"/>
                <w:szCs w:val="16"/>
              </w:rPr>
            </w:pPr>
            <w:r w:rsidRPr="00925F26">
              <w:rPr>
                <w:color w:val="000000" w:themeColor="text1"/>
                <w:sz w:val="16"/>
                <w:szCs w:val="16"/>
              </w:rPr>
              <w:t>2,85</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3594A23" w14:textId="77777777" w:rsidR="00573476" w:rsidRPr="00925F26" w:rsidRDefault="00573476" w:rsidP="00925F26">
            <w:pPr>
              <w:jc w:val="both"/>
              <w:rPr>
                <w:color w:val="000000" w:themeColor="text1"/>
                <w:sz w:val="16"/>
                <w:szCs w:val="16"/>
              </w:rPr>
            </w:pPr>
            <w:r w:rsidRPr="00925F26">
              <w:rPr>
                <w:color w:val="000000" w:themeColor="text1"/>
                <w:sz w:val="16"/>
                <w:szCs w:val="16"/>
              </w:rPr>
              <w:t>3,67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37DDF48"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r>
      <w:tr w:rsidR="000F5689" w:rsidRPr="00925F26" w14:paraId="44EE846A"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F8C8C2A" w14:textId="77777777" w:rsidR="00573476" w:rsidRPr="00925F26" w:rsidRDefault="00573476" w:rsidP="00925F26">
            <w:pPr>
              <w:jc w:val="both"/>
              <w:rPr>
                <w:color w:val="000000" w:themeColor="text1"/>
                <w:sz w:val="16"/>
                <w:szCs w:val="16"/>
              </w:rPr>
            </w:pPr>
            <w:r w:rsidRPr="00925F26">
              <w:rPr>
                <w:color w:val="000000" w:themeColor="text1"/>
                <w:sz w:val="16"/>
                <w:szCs w:val="16"/>
              </w:rPr>
              <w:t>Площадь крыла, кв.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DEA06A4" w14:textId="77777777" w:rsidR="00573476" w:rsidRPr="00925F26" w:rsidRDefault="00573476" w:rsidP="00925F26">
            <w:pPr>
              <w:jc w:val="both"/>
              <w:rPr>
                <w:color w:val="000000" w:themeColor="text1"/>
                <w:sz w:val="16"/>
                <w:szCs w:val="16"/>
              </w:rPr>
            </w:pPr>
            <w:r w:rsidRPr="00925F26">
              <w:rPr>
                <w:color w:val="000000" w:themeColor="text1"/>
                <w:sz w:val="16"/>
                <w:szCs w:val="16"/>
              </w:rPr>
              <w:t>44,72</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560DA42F" w14:textId="77777777" w:rsidR="00573476" w:rsidRPr="00925F26" w:rsidRDefault="00573476" w:rsidP="00925F26">
            <w:pPr>
              <w:jc w:val="both"/>
              <w:rPr>
                <w:color w:val="000000" w:themeColor="text1"/>
                <w:sz w:val="16"/>
                <w:szCs w:val="16"/>
              </w:rPr>
            </w:pPr>
            <w:r w:rsidRPr="00925F26">
              <w:rPr>
                <w:color w:val="000000" w:themeColor="text1"/>
                <w:sz w:val="16"/>
                <w:szCs w:val="16"/>
              </w:rPr>
              <w:t>80 (80,2)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4607A69" w14:textId="77777777" w:rsidR="00573476" w:rsidRPr="00925F26" w:rsidRDefault="00573476" w:rsidP="00925F26">
            <w:pPr>
              <w:jc w:val="both"/>
              <w:rPr>
                <w:color w:val="000000" w:themeColor="text1"/>
                <w:sz w:val="16"/>
                <w:szCs w:val="16"/>
              </w:rPr>
            </w:pPr>
            <w:r w:rsidRPr="00925F26">
              <w:rPr>
                <w:color w:val="000000" w:themeColor="text1"/>
                <w:sz w:val="16"/>
                <w:szCs w:val="16"/>
              </w:rPr>
              <w:t>85,8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444F817" w14:textId="77777777" w:rsidR="00573476" w:rsidRPr="00925F26" w:rsidRDefault="00573476" w:rsidP="00925F26">
            <w:pPr>
              <w:jc w:val="both"/>
              <w:rPr>
                <w:color w:val="000000" w:themeColor="text1"/>
                <w:sz w:val="16"/>
                <w:szCs w:val="16"/>
              </w:rPr>
            </w:pPr>
            <w:r w:rsidRPr="00925F26">
              <w:rPr>
                <w:color w:val="000000" w:themeColor="text1"/>
                <w:sz w:val="16"/>
                <w:szCs w:val="16"/>
              </w:rPr>
              <w:t>42** (38***)</w:t>
            </w:r>
          </w:p>
        </w:tc>
      </w:tr>
      <w:tr w:rsidR="000F5689" w:rsidRPr="00925F26" w14:paraId="3B58338C"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D5AAC3B" w14:textId="77777777" w:rsidR="00573476" w:rsidRPr="00925F26" w:rsidRDefault="00573476" w:rsidP="00925F26">
            <w:pPr>
              <w:jc w:val="both"/>
              <w:rPr>
                <w:color w:val="000000" w:themeColor="text1"/>
                <w:sz w:val="16"/>
                <w:szCs w:val="16"/>
              </w:rPr>
            </w:pPr>
            <w:r w:rsidRPr="00925F26">
              <w:rPr>
                <w:color w:val="000000" w:themeColor="text1"/>
                <w:sz w:val="16"/>
                <w:szCs w:val="16"/>
              </w:rPr>
              <w:t>Вес пустого планера, кг</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A8DFF1D" w14:textId="77777777" w:rsidR="00573476" w:rsidRPr="00925F26" w:rsidRDefault="00573476" w:rsidP="00925F26">
            <w:pPr>
              <w:jc w:val="both"/>
              <w:rPr>
                <w:color w:val="000000" w:themeColor="text1"/>
                <w:sz w:val="16"/>
                <w:szCs w:val="16"/>
              </w:rPr>
            </w:pPr>
            <w:r w:rsidRPr="00925F26">
              <w:rPr>
                <w:color w:val="000000" w:themeColor="text1"/>
                <w:sz w:val="16"/>
                <w:szCs w:val="16"/>
              </w:rPr>
              <w:t>1457 (1557)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6480F7C4" w14:textId="77777777" w:rsidR="00573476" w:rsidRPr="00925F26" w:rsidRDefault="00573476" w:rsidP="00925F26">
            <w:pPr>
              <w:jc w:val="both"/>
              <w:rPr>
                <w:color w:val="000000" w:themeColor="text1"/>
                <w:sz w:val="16"/>
                <w:szCs w:val="16"/>
              </w:rPr>
            </w:pPr>
            <w:r w:rsidRPr="00925F26">
              <w:rPr>
                <w:color w:val="000000" w:themeColor="text1"/>
                <w:sz w:val="16"/>
                <w:szCs w:val="16"/>
              </w:rPr>
              <w:t>2941 (3740)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2ADFA30" w14:textId="77777777" w:rsidR="00573476" w:rsidRPr="00925F26" w:rsidRDefault="00573476" w:rsidP="00925F26">
            <w:pPr>
              <w:jc w:val="both"/>
              <w:rPr>
                <w:color w:val="000000" w:themeColor="text1"/>
                <w:sz w:val="16"/>
                <w:szCs w:val="16"/>
              </w:rPr>
            </w:pPr>
            <w:r w:rsidRPr="00925F26">
              <w:rPr>
                <w:color w:val="000000" w:themeColor="text1"/>
                <w:sz w:val="16"/>
                <w:szCs w:val="16"/>
              </w:rPr>
              <w:t>2000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763D111"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r>
      <w:tr w:rsidR="000F5689" w:rsidRPr="00925F26" w14:paraId="1DEF22EB" w14:textId="77777777" w:rsidTr="00573476">
        <w:trPr>
          <w:trHeight w:val="529"/>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1BE4871" w14:textId="77777777" w:rsidR="00573476" w:rsidRPr="00925F26" w:rsidRDefault="00573476" w:rsidP="00925F26">
            <w:pPr>
              <w:jc w:val="both"/>
              <w:rPr>
                <w:color w:val="000000" w:themeColor="text1"/>
                <w:sz w:val="16"/>
                <w:szCs w:val="16"/>
              </w:rPr>
            </w:pPr>
            <w:r w:rsidRPr="00925F26">
              <w:rPr>
                <w:color w:val="000000" w:themeColor="text1"/>
                <w:sz w:val="16"/>
                <w:szCs w:val="16"/>
              </w:rPr>
              <w:t>Вес взлетный, нормальный, кг</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BEDF4F0" w14:textId="77777777" w:rsidR="00573476" w:rsidRPr="00925F26" w:rsidRDefault="00573476" w:rsidP="00925F26">
            <w:pPr>
              <w:jc w:val="both"/>
              <w:rPr>
                <w:color w:val="000000" w:themeColor="text1"/>
                <w:sz w:val="16"/>
                <w:szCs w:val="16"/>
              </w:rPr>
            </w:pPr>
            <w:r w:rsidRPr="00925F26">
              <w:rPr>
                <w:color w:val="000000" w:themeColor="text1"/>
                <w:sz w:val="16"/>
                <w:szCs w:val="16"/>
              </w:rPr>
              <w:t>3391 (3437)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2DA6584" w14:textId="77777777" w:rsidR="00573476" w:rsidRPr="00925F26" w:rsidRDefault="00573476" w:rsidP="00925F26">
            <w:pPr>
              <w:jc w:val="both"/>
              <w:rPr>
                <w:color w:val="000000" w:themeColor="text1"/>
                <w:sz w:val="16"/>
                <w:szCs w:val="16"/>
              </w:rPr>
            </w:pPr>
            <w:r w:rsidRPr="00925F26">
              <w:rPr>
                <w:color w:val="000000" w:themeColor="text1"/>
                <w:sz w:val="16"/>
                <w:szCs w:val="16"/>
              </w:rPr>
              <w:t>3430* 6000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7F7559FB" w14:textId="77777777" w:rsidR="00573476" w:rsidRPr="00925F26" w:rsidRDefault="00573476" w:rsidP="00925F26">
            <w:pPr>
              <w:jc w:val="both"/>
              <w:rPr>
                <w:color w:val="000000" w:themeColor="text1"/>
                <w:sz w:val="16"/>
                <w:szCs w:val="16"/>
              </w:rPr>
            </w:pPr>
            <w:r w:rsidRPr="00925F26">
              <w:rPr>
                <w:color w:val="000000" w:themeColor="text1"/>
                <w:sz w:val="16"/>
                <w:szCs w:val="16"/>
              </w:rPr>
              <w:t>7804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409FB00"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r>
      <w:tr w:rsidR="000F5689" w:rsidRPr="00925F26" w14:paraId="120037A2"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7A1B44C5" w14:textId="77777777" w:rsidR="00573476" w:rsidRPr="00925F26" w:rsidRDefault="00573476" w:rsidP="00925F26">
            <w:pPr>
              <w:jc w:val="both"/>
              <w:rPr>
                <w:color w:val="000000" w:themeColor="text1"/>
                <w:sz w:val="16"/>
                <w:szCs w:val="16"/>
              </w:rPr>
            </w:pPr>
            <w:r w:rsidRPr="00925F26">
              <w:rPr>
                <w:color w:val="000000" w:themeColor="text1"/>
                <w:sz w:val="16"/>
                <w:szCs w:val="16"/>
              </w:rPr>
              <w:t>Нагрузка на крыло, кг/кв.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32A2AA3" w14:textId="77777777" w:rsidR="00573476" w:rsidRPr="00925F26" w:rsidRDefault="00573476" w:rsidP="00925F26">
            <w:pPr>
              <w:jc w:val="both"/>
              <w:rPr>
                <w:color w:val="000000" w:themeColor="text1"/>
                <w:sz w:val="16"/>
                <w:szCs w:val="16"/>
              </w:rPr>
            </w:pPr>
            <w:r w:rsidRPr="00925F26">
              <w:rPr>
                <w:color w:val="000000" w:themeColor="text1"/>
                <w:sz w:val="16"/>
                <w:szCs w:val="16"/>
              </w:rPr>
              <w:t>75,8 (76,8)</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03B26671" w14:textId="77777777" w:rsidR="00573476" w:rsidRPr="00925F26" w:rsidRDefault="00573476" w:rsidP="00925F26">
            <w:pPr>
              <w:jc w:val="both"/>
              <w:rPr>
                <w:color w:val="000000" w:themeColor="text1"/>
                <w:sz w:val="16"/>
                <w:szCs w:val="16"/>
              </w:rPr>
            </w:pPr>
            <w:r w:rsidRPr="00925F26">
              <w:rPr>
                <w:color w:val="000000" w:themeColor="text1"/>
                <w:sz w:val="16"/>
                <w:szCs w:val="16"/>
              </w:rPr>
              <w:t>91 (-)</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E10AB82" w14:textId="77777777" w:rsidR="00573476" w:rsidRPr="00925F26" w:rsidRDefault="00573476" w:rsidP="00925F26">
            <w:pPr>
              <w:jc w:val="both"/>
              <w:rPr>
                <w:color w:val="000000" w:themeColor="text1"/>
                <w:sz w:val="16"/>
                <w:szCs w:val="16"/>
              </w:rPr>
            </w:pPr>
            <w:r w:rsidRPr="00925F26">
              <w:rPr>
                <w:color w:val="000000" w:themeColor="text1"/>
                <w:sz w:val="16"/>
                <w:szCs w:val="16"/>
              </w:rPr>
              <w:t>91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0907C60"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r>
      <w:tr w:rsidR="000F5689" w:rsidRPr="00925F26" w14:paraId="25898EC6" w14:textId="77777777" w:rsidTr="00573476">
        <w:trPr>
          <w:trHeight w:val="392"/>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D6303A4" w14:textId="77777777" w:rsidR="00573476" w:rsidRPr="00925F26" w:rsidRDefault="00573476" w:rsidP="00925F26">
            <w:pPr>
              <w:jc w:val="both"/>
              <w:rPr>
                <w:color w:val="000000" w:themeColor="text1"/>
                <w:sz w:val="16"/>
                <w:szCs w:val="16"/>
              </w:rPr>
            </w:pPr>
            <w:r w:rsidRPr="00925F26">
              <w:rPr>
                <w:color w:val="000000" w:themeColor="text1"/>
                <w:sz w:val="16"/>
                <w:szCs w:val="16"/>
              </w:rPr>
              <w:t>Экипаж: пилоты + десантники</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A8F707C" w14:textId="77777777" w:rsidR="00573476" w:rsidRPr="00925F26" w:rsidRDefault="00573476" w:rsidP="00925F26">
            <w:pPr>
              <w:jc w:val="both"/>
              <w:rPr>
                <w:color w:val="000000" w:themeColor="text1"/>
                <w:sz w:val="16"/>
                <w:szCs w:val="16"/>
              </w:rPr>
            </w:pPr>
            <w:r w:rsidRPr="00925F26">
              <w:rPr>
                <w:color w:val="000000" w:themeColor="text1"/>
                <w:sz w:val="16"/>
                <w:szCs w:val="16"/>
              </w:rPr>
              <w:t>1 + 16</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7BDB30F1" w14:textId="77777777" w:rsidR="00573476" w:rsidRPr="00925F26" w:rsidRDefault="00573476" w:rsidP="00925F26">
            <w:pPr>
              <w:jc w:val="both"/>
              <w:rPr>
                <w:color w:val="000000" w:themeColor="text1"/>
                <w:sz w:val="16"/>
                <w:szCs w:val="16"/>
              </w:rPr>
            </w:pPr>
            <w:r w:rsidRPr="00925F26">
              <w:rPr>
                <w:color w:val="000000" w:themeColor="text1"/>
                <w:sz w:val="16"/>
                <w:szCs w:val="16"/>
              </w:rPr>
              <w:t>1 +20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2F17CF9" w14:textId="77777777" w:rsidR="00573476" w:rsidRPr="00925F26" w:rsidRDefault="00573476" w:rsidP="00925F26">
            <w:pPr>
              <w:jc w:val="both"/>
              <w:rPr>
                <w:color w:val="000000" w:themeColor="text1"/>
                <w:sz w:val="16"/>
                <w:szCs w:val="16"/>
              </w:rPr>
            </w:pPr>
            <w:r w:rsidRPr="00925F26">
              <w:rPr>
                <w:color w:val="000000" w:themeColor="text1"/>
                <w:sz w:val="16"/>
                <w:szCs w:val="16"/>
              </w:rPr>
              <w:t>2 + танк</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55413D5" w14:textId="77777777" w:rsidR="00573476" w:rsidRPr="00925F26" w:rsidRDefault="00573476" w:rsidP="00925F26">
            <w:pPr>
              <w:jc w:val="both"/>
              <w:rPr>
                <w:color w:val="000000" w:themeColor="text1"/>
                <w:sz w:val="16"/>
                <w:szCs w:val="16"/>
              </w:rPr>
            </w:pPr>
            <w:r w:rsidRPr="00925F26">
              <w:rPr>
                <w:color w:val="000000" w:themeColor="text1"/>
                <w:sz w:val="16"/>
                <w:szCs w:val="16"/>
              </w:rPr>
              <w:t>2+ 13** (2+18***)</w:t>
            </w:r>
          </w:p>
        </w:tc>
      </w:tr>
      <w:tr w:rsidR="000F5689" w:rsidRPr="00925F26" w14:paraId="586F5D03"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93704D8" w14:textId="77777777" w:rsidR="00573476" w:rsidRPr="00925F26" w:rsidRDefault="00573476" w:rsidP="00925F26">
            <w:pPr>
              <w:jc w:val="both"/>
              <w:rPr>
                <w:color w:val="000000" w:themeColor="text1"/>
                <w:sz w:val="16"/>
                <w:szCs w:val="16"/>
              </w:rPr>
            </w:pPr>
            <w:r w:rsidRPr="00925F26">
              <w:rPr>
                <w:color w:val="000000" w:themeColor="text1"/>
                <w:sz w:val="16"/>
                <w:szCs w:val="16"/>
              </w:rPr>
              <w:t>Макс, скорость бук</w:t>
            </w:r>
            <w:r w:rsidRPr="00925F26">
              <w:rPr>
                <w:color w:val="000000" w:themeColor="text1"/>
                <w:sz w:val="16"/>
                <w:szCs w:val="16"/>
              </w:rPr>
              <w:softHyphen/>
              <w:t>сировки,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EC18DD0" w14:textId="77777777" w:rsidR="00573476" w:rsidRPr="00925F26" w:rsidRDefault="00573476" w:rsidP="00925F26">
            <w:pPr>
              <w:jc w:val="both"/>
              <w:rPr>
                <w:color w:val="000000" w:themeColor="text1"/>
                <w:sz w:val="16"/>
                <w:szCs w:val="16"/>
              </w:rPr>
            </w:pPr>
            <w:r w:rsidRPr="00925F26">
              <w:rPr>
                <w:color w:val="000000" w:themeColor="text1"/>
                <w:sz w:val="16"/>
                <w:szCs w:val="16"/>
              </w:rPr>
              <w:t>250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226A3902" w14:textId="77777777" w:rsidR="00573476" w:rsidRPr="00925F26" w:rsidRDefault="00573476" w:rsidP="00925F26">
            <w:pPr>
              <w:jc w:val="both"/>
              <w:rPr>
                <w:color w:val="000000" w:themeColor="text1"/>
                <w:sz w:val="16"/>
                <w:szCs w:val="16"/>
              </w:rPr>
            </w:pPr>
            <w:r w:rsidRPr="00925F26">
              <w:rPr>
                <w:color w:val="000000" w:themeColor="text1"/>
                <w:sz w:val="16"/>
                <w:szCs w:val="16"/>
              </w:rPr>
              <w:t>170* (200*)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019D066" w14:textId="77777777" w:rsidR="00573476" w:rsidRPr="00925F26" w:rsidRDefault="00573476" w:rsidP="00925F26">
            <w:pPr>
              <w:jc w:val="both"/>
              <w:rPr>
                <w:color w:val="000000" w:themeColor="text1"/>
                <w:sz w:val="16"/>
                <w:szCs w:val="16"/>
              </w:rPr>
            </w:pPr>
            <w:r w:rsidRPr="00925F26">
              <w:rPr>
                <w:color w:val="000000" w:themeColor="text1"/>
                <w:sz w:val="16"/>
                <w:szCs w:val="16"/>
              </w:rPr>
              <w:t>250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95CCE9E" w14:textId="77777777" w:rsidR="00573476" w:rsidRPr="00925F26" w:rsidRDefault="00573476" w:rsidP="00925F26">
            <w:pPr>
              <w:jc w:val="both"/>
              <w:rPr>
                <w:color w:val="000000" w:themeColor="text1"/>
                <w:sz w:val="16"/>
                <w:szCs w:val="16"/>
              </w:rPr>
            </w:pPr>
            <w:r w:rsidRPr="00925F26">
              <w:rPr>
                <w:color w:val="000000" w:themeColor="text1"/>
                <w:sz w:val="16"/>
                <w:szCs w:val="16"/>
              </w:rPr>
              <w:t>250</w:t>
            </w:r>
          </w:p>
        </w:tc>
      </w:tr>
      <w:tr w:rsidR="000F5689" w:rsidRPr="00925F26" w14:paraId="542DDCA1"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3501F38" w14:textId="77777777" w:rsidR="00573476" w:rsidRPr="00925F26" w:rsidRDefault="00573476" w:rsidP="00925F26">
            <w:pPr>
              <w:jc w:val="both"/>
              <w:rPr>
                <w:color w:val="000000" w:themeColor="text1"/>
                <w:sz w:val="16"/>
                <w:szCs w:val="16"/>
              </w:rPr>
            </w:pPr>
            <w:r w:rsidRPr="00925F26">
              <w:rPr>
                <w:color w:val="000000" w:themeColor="text1"/>
                <w:sz w:val="16"/>
                <w:szCs w:val="16"/>
              </w:rPr>
              <w:t>Скорость взлетная,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73CA8D18" w14:textId="77777777" w:rsidR="00573476" w:rsidRPr="00925F26" w:rsidRDefault="00573476" w:rsidP="00925F26">
            <w:pPr>
              <w:jc w:val="both"/>
              <w:rPr>
                <w:color w:val="000000" w:themeColor="text1"/>
                <w:sz w:val="16"/>
                <w:szCs w:val="16"/>
              </w:rPr>
            </w:pPr>
            <w:r w:rsidRPr="00925F26">
              <w:rPr>
                <w:color w:val="000000" w:themeColor="text1"/>
                <w:sz w:val="16"/>
                <w:szCs w:val="16"/>
              </w:rPr>
              <w:t>~ 115</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C93C52F" w14:textId="77777777" w:rsidR="00573476" w:rsidRPr="00925F26" w:rsidRDefault="00573476" w:rsidP="00925F26">
            <w:pPr>
              <w:jc w:val="both"/>
              <w:rPr>
                <w:color w:val="000000" w:themeColor="text1"/>
                <w:sz w:val="16"/>
                <w:szCs w:val="16"/>
              </w:rPr>
            </w:pPr>
            <w:r w:rsidRPr="00925F26">
              <w:rPr>
                <w:color w:val="000000" w:themeColor="text1"/>
                <w:sz w:val="16"/>
                <w:szCs w:val="16"/>
              </w:rPr>
              <w:t>95-100 («115)</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0C007278" w14:textId="77777777" w:rsidR="00573476" w:rsidRPr="00925F26" w:rsidRDefault="00573476" w:rsidP="00925F26">
            <w:pPr>
              <w:jc w:val="both"/>
              <w:rPr>
                <w:color w:val="000000" w:themeColor="text1"/>
                <w:sz w:val="16"/>
                <w:szCs w:val="16"/>
              </w:rPr>
            </w:pPr>
            <w:r w:rsidRPr="00925F26">
              <w:rPr>
                <w:color w:val="000000" w:themeColor="text1"/>
                <w:sz w:val="16"/>
                <w:szCs w:val="16"/>
              </w:rPr>
              <w:t>115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83429A2"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r>
      <w:tr w:rsidR="000F5689" w:rsidRPr="00925F26" w14:paraId="54C76217" w14:textId="77777777" w:rsidTr="00573476">
        <w:trPr>
          <w:trHeight w:val="536"/>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7E75EFD7" w14:textId="77777777" w:rsidR="00573476" w:rsidRPr="00925F26" w:rsidRDefault="00573476" w:rsidP="00925F26">
            <w:pPr>
              <w:jc w:val="both"/>
              <w:rPr>
                <w:color w:val="000000" w:themeColor="text1"/>
                <w:sz w:val="16"/>
                <w:szCs w:val="16"/>
              </w:rPr>
            </w:pPr>
            <w:r w:rsidRPr="00925F26">
              <w:rPr>
                <w:color w:val="000000" w:themeColor="text1"/>
                <w:sz w:val="16"/>
                <w:szCs w:val="16"/>
              </w:rPr>
              <w:t>Скорость посадочная,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D7F05C4" w14:textId="77777777" w:rsidR="00573476" w:rsidRPr="00925F26" w:rsidRDefault="00573476" w:rsidP="00925F26">
            <w:pPr>
              <w:jc w:val="both"/>
              <w:rPr>
                <w:color w:val="000000" w:themeColor="text1"/>
                <w:sz w:val="16"/>
                <w:szCs w:val="16"/>
              </w:rPr>
            </w:pPr>
            <w:r w:rsidRPr="00925F26">
              <w:rPr>
                <w:color w:val="000000" w:themeColor="text1"/>
                <w:sz w:val="16"/>
                <w:szCs w:val="16"/>
              </w:rPr>
              <w:t>105-110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5D0CF104" w14:textId="77777777" w:rsidR="00573476" w:rsidRPr="00925F26" w:rsidRDefault="00573476" w:rsidP="00925F26">
            <w:pPr>
              <w:jc w:val="both"/>
              <w:rPr>
                <w:color w:val="000000" w:themeColor="text1"/>
                <w:sz w:val="16"/>
                <w:szCs w:val="16"/>
              </w:rPr>
            </w:pPr>
            <w:r w:rsidRPr="00925F26">
              <w:rPr>
                <w:color w:val="000000" w:themeColor="text1"/>
                <w:sz w:val="16"/>
                <w:szCs w:val="16"/>
              </w:rPr>
              <w:t>90-92* (110)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48704DD"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AD26707" w14:textId="77777777" w:rsidR="00573476" w:rsidRPr="00925F26" w:rsidRDefault="00573476" w:rsidP="00925F26">
            <w:pPr>
              <w:jc w:val="both"/>
              <w:rPr>
                <w:color w:val="000000" w:themeColor="text1"/>
                <w:sz w:val="16"/>
                <w:szCs w:val="16"/>
              </w:rPr>
            </w:pPr>
            <w:r w:rsidRPr="00925F26">
              <w:rPr>
                <w:color w:val="000000" w:themeColor="text1"/>
                <w:sz w:val="16"/>
                <w:szCs w:val="16"/>
              </w:rPr>
              <w:t>82-88</w:t>
            </w:r>
          </w:p>
        </w:tc>
      </w:tr>
      <w:tr w:rsidR="000F5689" w:rsidRPr="00925F26" w14:paraId="6276455C" w14:textId="77777777" w:rsidTr="00573476">
        <w:trPr>
          <w:trHeight w:val="554"/>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00AF170" w14:textId="77777777" w:rsidR="00573476" w:rsidRPr="00925F26" w:rsidRDefault="00573476" w:rsidP="00925F26">
            <w:pPr>
              <w:jc w:val="both"/>
              <w:rPr>
                <w:color w:val="000000" w:themeColor="text1"/>
                <w:sz w:val="16"/>
                <w:szCs w:val="16"/>
              </w:rPr>
            </w:pPr>
            <w:r w:rsidRPr="00925F26">
              <w:rPr>
                <w:color w:val="000000" w:themeColor="text1"/>
                <w:sz w:val="16"/>
                <w:szCs w:val="16"/>
              </w:rPr>
              <w:t>Макс, аэродинамическое каче</w:t>
            </w:r>
            <w:r w:rsidRPr="00925F26">
              <w:rPr>
                <w:color w:val="000000" w:themeColor="text1"/>
                <w:sz w:val="16"/>
                <w:szCs w:val="16"/>
              </w:rPr>
              <w:softHyphen/>
              <w:t>ство</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EDD0A70" w14:textId="77777777" w:rsidR="00573476" w:rsidRPr="00925F26" w:rsidRDefault="00573476" w:rsidP="00925F26">
            <w:pPr>
              <w:jc w:val="both"/>
              <w:rPr>
                <w:color w:val="000000" w:themeColor="text1"/>
                <w:sz w:val="16"/>
                <w:szCs w:val="16"/>
              </w:rPr>
            </w:pPr>
            <w:r w:rsidRPr="00925F26">
              <w:rPr>
                <w:color w:val="000000" w:themeColor="text1"/>
                <w:sz w:val="16"/>
                <w:szCs w:val="16"/>
              </w:rPr>
              <w:t>я 17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40E63FBC" w14:textId="77777777" w:rsidR="00573476" w:rsidRPr="00925F26" w:rsidRDefault="00573476" w:rsidP="00925F26">
            <w:pPr>
              <w:jc w:val="both"/>
              <w:rPr>
                <w:color w:val="000000" w:themeColor="text1"/>
                <w:sz w:val="16"/>
                <w:szCs w:val="16"/>
              </w:rPr>
            </w:pPr>
            <w:r w:rsidRPr="00925F26">
              <w:rPr>
                <w:color w:val="000000" w:themeColor="text1"/>
                <w:sz w:val="16"/>
                <w:szCs w:val="16"/>
              </w:rPr>
              <w:t>13,2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C27D6A1" w14:textId="77777777" w:rsidR="00573476" w:rsidRPr="00925F26" w:rsidRDefault="00573476" w:rsidP="00925F26">
            <w:pPr>
              <w:jc w:val="both"/>
              <w:rPr>
                <w:color w:val="000000" w:themeColor="text1"/>
                <w:sz w:val="16"/>
                <w:szCs w:val="16"/>
              </w:rPr>
            </w:pPr>
            <w:r w:rsidRPr="00925F26">
              <w:rPr>
                <w:color w:val="000000" w:themeColor="text1"/>
                <w:sz w:val="16"/>
                <w:szCs w:val="16"/>
              </w:rPr>
              <w:t>—</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F61B554" w14:textId="77777777" w:rsidR="00573476" w:rsidRPr="00925F26" w:rsidRDefault="00573476" w:rsidP="00925F26">
            <w:pPr>
              <w:jc w:val="both"/>
              <w:rPr>
                <w:color w:val="000000" w:themeColor="text1"/>
                <w:sz w:val="16"/>
                <w:szCs w:val="16"/>
              </w:rPr>
            </w:pPr>
            <w:r w:rsidRPr="00925F26">
              <w:rPr>
                <w:color w:val="000000" w:themeColor="text1"/>
                <w:sz w:val="16"/>
                <w:szCs w:val="16"/>
              </w:rPr>
              <w:t>16,2</w:t>
            </w:r>
          </w:p>
        </w:tc>
      </w:tr>
    </w:tbl>
    <w:p w14:paraId="6E4FBF59" w14:textId="77777777" w:rsidR="00573476" w:rsidRPr="00925F26" w:rsidRDefault="00573476" w:rsidP="00925F26">
      <w:pPr>
        <w:jc w:val="both"/>
        <w:rPr>
          <w:color w:val="000000" w:themeColor="text1"/>
          <w:sz w:val="16"/>
          <w:szCs w:val="16"/>
        </w:rPr>
      </w:pPr>
      <w:r w:rsidRPr="00925F26">
        <w:rPr>
          <w:color w:val="000000" w:themeColor="text1"/>
          <w:sz w:val="16"/>
          <w:szCs w:val="16"/>
        </w:rPr>
        <w:t>* В перегрузочном варианте. ** Данные из Грибовского К.В. [2]. *** Данные из Красильщикова А.П. [1] (12300).</w:t>
      </w:r>
    </w:p>
    <w:p w14:paraId="046CACE0" w14:textId="77777777" w:rsidR="00573476" w:rsidRPr="00925F26" w:rsidRDefault="00573476" w:rsidP="00925F26">
      <w:pPr>
        <w:jc w:val="both"/>
        <w:rPr>
          <w:color w:val="000000" w:themeColor="text1"/>
          <w:sz w:val="16"/>
          <w:szCs w:val="16"/>
        </w:rPr>
      </w:pPr>
    </w:p>
    <w:p w14:paraId="5830C47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начале 1945 года 7ГУ НКАП СССР утвердило план I квартала со сроком завершения работ по реак</w:t>
      </w:r>
      <w:r w:rsidRPr="00925F26">
        <w:rPr>
          <w:color w:val="000000" w:themeColor="text1"/>
          <w:sz w:val="16"/>
          <w:szCs w:val="16"/>
        </w:rPr>
        <w:softHyphen/>
        <w:t>тивному истребителю к 1 марта 1946 года, но во II и III кварталах тема была исключена из плана, и работа по ней опять перешла в разряд инициатив</w:t>
      </w:r>
      <w:r w:rsidRPr="00925F26">
        <w:rPr>
          <w:color w:val="000000" w:themeColor="text1"/>
          <w:sz w:val="16"/>
          <w:szCs w:val="16"/>
        </w:rPr>
        <w:softHyphen/>
        <w:t>ных. К тому же, отсутствие летного об</w:t>
      </w:r>
      <w:r w:rsidRPr="00925F26">
        <w:rPr>
          <w:color w:val="000000" w:themeColor="text1"/>
          <w:sz w:val="16"/>
          <w:szCs w:val="16"/>
        </w:rPr>
        <w:softHyphen/>
        <w:t>разца двигателя С-18 вынудило проек</w:t>
      </w:r>
      <w:r w:rsidRPr="00925F26">
        <w:rPr>
          <w:color w:val="000000" w:themeColor="text1"/>
          <w:sz w:val="16"/>
          <w:szCs w:val="16"/>
        </w:rPr>
        <w:softHyphen/>
        <w:t>тировщиков использовать трофейный двигатель Jumo-004 (10706).</w:t>
      </w:r>
    </w:p>
    <w:p w14:paraId="61ED36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456C4C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года назаводе № 165 был изготовлен первый экземпляр экспериментального ТРД С-18, спроектированного группой А.М.Люльки (10706).</w:t>
      </w:r>
    </w:p>
    <w:p w14:paraId="6FC859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421D8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Кравченко был подготовлен "Краткий отчет о работах 4-го спецотдела НКВД СССР с 1939 по 1944 г". для Л.П.Берия:</w:t>
      </w:r>
    </w:p>
    <w:p w14:paraId="5177226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 отмечается в документе.</w:t>
      </w:r>
    </w:p>
    <w:p w14:paraId="626FE4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Далее дается краткий перечень основных работ, выполненных 4-м Спецотделом.</w:t>
      </w:r>
    </w:p>
    <w:p w14:paraId="79ACFB5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"Пикирующий бомбардировщик под названием Пе-2 был принят на вооружение ВВС КА, и является в настоящее время основным типом советского пикирующего бомбардировщика, принимающего участие в боевых операциях на всех фронтах Отечественной войны"</w:t>
      </w:r>
    </w:p>
    <w:p w14:paraId="7C33CD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"решению ГСКО самолет... под названием Ту-2 принят на вооружение... для выполнения особо важных боевых операций на фронтах Отечественной войны".</w:t>
      </w:r>
    </w:p>
    <w:p w14:paraId="6A6F6D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"Полковая 76 мм пушка является основным оружием непосредственной поддержки пехоты и конницы. По решению ГКО пушка принята на вооружение Красной Армии и изготовляется в валовом производстве" (11694).</w:t>
      </w:r>
    </w:p>
    <w:p w14:paraId="4FCBFC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ACCCE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на небольшом московском механическом заводе штампов и приспособлений № 165, где развернули опытно-конструкторскую базу по изготовлению реактивных двигателей, был изготовлен первый экземпляр экспериментального ТРД С-18, спроектированного группой А.М. Люльки (11407).</w:t>
      </w:r>
    </w:p>
    <w:p w14:paraId="033DDB18" w14:textId="77777777" w:rsidR="00C2313B" w:rsidRPr="00925F26" w:rsidRDefault="00C2313B" w:rsidP="00925F26">
      <w:pPr>
        <w:autoSpaceDE w:val="0"/>
        <w:autoSpaceDN w:val="0"/>
        <w:adjustRightInd w:val="0"/>
        <w:jc w:val="both"/>
        <w:rPr>
          <w:color w:val="000000" w:themeColor="text1"/>
          <w:sz w:val="16"/>
          <w:szCs w:val="16"/>
        </w:rPr>
      </w:pPr>
    </w:p>
    <w:p w14:paraId="770AD0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в Болгарию прибыла советская техническая комиссия для модернизации болгарских ВВС, которые за исключением Ме-109 были вооружены старьем (241,40).</w:t>
      </w:r>
    </w:p>
    <w:p w14:paraId="74DB921B" w14:textId="77777777" w:rsidR="00C2313B" w:rsidRPr="00925F26" w:rsidRDefault="00C2313B" w:rsidP="00925F26">
      <w:pPr>
        <w:autoSpaceDE w:val="0"/>
        <w:autoSpaceDN w:val="0"/>
        <w:adjustRightInd w:val="0"/>
        <w:jc w:val="both"/>
        <w:rPr>
          <w:color w:val="000000" w:themeColor="text1"/>
          <w:sz w:val="16"/>
          <w:szCs w:val="16"/>
        </w:rPr>
      </w:pPr>
    </w:p>
    <w:p w14:paraId="268106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на заводе 165 был изготовлен первый экземпляр разработанного люльковцами экспериментального газотурбинного ВРД С-18 с восьмиступенчатым компрессором, а затем - еще четыре таких двигателя. На двух первых проводились огневые испытания, на третьем двигателе - отработка агрегатов, на четвертом и пятом двигателях велась отработка конструкции двигателя в целом и снятие характеристик. В ходе доводки для снижения температуры газов за турбиной была изъята восьмая ступень компрессора (9018).</w:t>
      </w:r>
    </w:p>
    <w:p w14:paraId="3EE05DBD" w14:textId="77777777" w:rsidR="00C2313B" w:rsidRPr="00925F26" w:rsidRDefault="00C2313B" w:rsidP="00925F26">
      <w:pPr>
        <w:autoSpaceDE w:val="0"/>
        <w:autoSpaceDN w:val="0"/>
        <w:adjustRightInd w:val="0"/>
        <w:jc w:val="both"/>
        <w:rPr>
          <w:color w:val="000000" w:themeColor="text1"/>
          <w:sz w:val="16"/>
          <w:szCs w:val="16"/>
        </w:rPr>
      </w:pPr>
    </w:p>
    <w:p w14:paraId="16EE974A" w14:textId="77777777" w:rsidR="001C340E" w:rsidRPr="001A0BAA" w:rsidRDefault="001C340E" w:rsidP="001C340E">
      <w:pPr>
        <w:jc w:val="both"/>
        <w:rPr>
          <w:color w:val="0070C0"/>
          <w:sz w:val="16"/>
          <w:szCs w:val="16"/>
        </w:rPr>
      </w:pPr>
      <w:r w:rsidRPr="001A0BAA">
        <w:rPr>
          <w:color w:val="0070C0"/>
          <w:sz w:val="16"/>
          <w:szCs w:val="16"/>
        </w:rPr>
        <w:t>В начале 1945 г. в главном немецком авиационном научно-исследовательском центре DVL работало 2128 человек, в том числе 13 профессоров, 125 докторов-инженеров (кандидатов технических наук в отечественной терминологии), 450 инженеров и 195 техников, конструкторов и чертежников. В задачи института входили разработка и изучение проблемных вопросов авиации, улучшение и модификация существовавших образцов самолётов, моторов, предметов оборудования, проведение испытаний. DVL располагал высококвалифицированными кадрами, хорошо оборудованными лабораториями и большой производственной базой.</w:t>
      </w:r>
    </w:p>
    <w:p w14:paraId="5A2EC008" w14:textId="77777777" w:rsidR="001C340E" w:rsidRPr="001A0BAA" w:rsidRDefault="001C340E" w:rsidP="001C340E">
      <w:pPr>
        <w:jc w:val="both"/>
        <w:rPr>
          <w:color w:val="0070C0"/>
          <w:sz w:val="16"/>
          <w:szCs w:val="16"/>
        </w:rPr>
      </w:pPr>
      <w:r w:rsidRPr="001A0BAA">
        <w:rPr>
          <w:color w:val="0070C0"/>
          <w:sz w:val="16"/>
          <w:szCs w:val="16"/>
        </w:rPr>
        <w:t>В состав DVL организационно входили 18 институтов: Аэродинамики, Лопаточных машин, Прочности самолётов, Термодинамики и рабочего процесса, Моторных установок, Моторной механики, Механики полёта, Газодинамики, Исследования материалов, Испытания материалов, Электрофизики, Исследования горючего и смазочного [материалов], Бортовых приборов и аэронавигации, Аэрофотографии, Наземной и астрономической навигации, Авиационной медицины, Техники регулирования, Гидроавиации (институт находился в Гамбурге).</w:t>
      </w:r>
    </w:p>
    <w:p w14:paraId="4E89DE0E" w14:textId="77777777" w:rsidR="001C340E" w:rsidRPr="001A0BAA" w:rsidRDefault="001C340E" w:rsidP="001C340E">
      <w:pPr>
        <w:jc w:val="both"/>
        <w:rPr>
          <w:color w:val="0070C0"/>
          <w:sz w:val="16"/>
          <w:szCs w:val="16"/>
        </w:rPr>
      </w:pPr>
      <w:r w:rsidRPr="001A0BAA">
        <w:rPr>
          <w:color w:val="0070C0"/>
          <w:sz w:val="16"/>
          <w:szCs w:val="16"/>
        </w:rPr>
        <w:t>Среди экспериментального оборудования наибольший интерес вызвала скоростная аэродинамическая труба замкнутого типа. Максимальная скорость потока в рабочей части диаметром 2,7 м составляла 300 м/с (М-0.88). Эта труба, отличавшаяся высоким качеством потока (малой турбулентностью в рабочей части), являлась главнейшей экспериментальной установкой 1Л1 для исследований в области больших дозвуковых скоростей. Любопытно, что труба работала ещё 20 апреля 1945 г. (25184).</w:t>
      </w:r>
    </w:p>
    <w:p w14:paraId="1A188F30" w14:textId="77777777" w:rsidR="001C340E" w:rsidRPr="001A0BAA" w:rsidRDefault="001C340E" w:rsidP="001C340E">
      <w:pPr>
        <w:jc w:val="both"/>
        <w:rPr>
          <w:color w:val="0070C0"/>
          <w:sz w:val="16"/>
          <w:szCs w:val="16"/>
        </w:rPr>
      </w:pPr>
    </w:p>
    <w:p w14:paraId="3B39DE95" w14:textId="77777777" w:rsidR="001C340E" w:rsidRPr="001A0BAA" w:rsidRDefault="001C340E" w:rsidP="001C340E">
      <w:pPr>
        <w:jc w:val="both"/>
        <w:rPr>
          <w:color w:val="0070C0"/>
          <w:sz w:val="16"/>
          <w:szCs w:val="16"/>
        </w:rPr>
      </w:pPr>
      <w:r w:rsidRPr="001A0BAA">
        <w:rPr>
          <w:color w:val="0070C0"/>
          <w:sz w:val="16"/>
          <w:szCs w:val="16"/>
        </w:rPr>
        <w:t>В начале 1945 г. из-за бомбардировок Берлина производ</w:t>
      </w:r>
      <w:r w:rsidRPr="001A0BAA">
        <w:rPr>
          <w:color w:val="0070C0"/>
          <w:sz w:val="16"/>
          <w:szCs w:val="16"/>
        </w:rPr>
        <w:softHyphen/>
        <w:t>ство ТРД из Шпандау перевели на подземный завод в Штрасфурте (Саксония). В апреле 1945 г. завод заняли американс</w:t>
      </w:r>
      <w:r w:rsidRPr="001A0BAA">
        <w:rPr>
          <w:color w:val="0070C0"/>
          <w:sz w:val="16"/>
          <w:szCs w:val="16"/>
        </w:rPr>
        <w:softHyphen/>
        <w:t>кие войска, и к моменту передачи этого предприятия СССР, все собранные двигатели и документация уже находились в США. Американцы увезли с собой и ведущих конструкторов предприятия доктора Брукманна и доктора Зигеля. После пе</w:t>
      </w:r>
      <w:r w:rsidRPr="001A0BAA">
        <w:rPr>
          <w:color w:val="0070C0"/>
          <w:sz w:val="16"/>
          <w:szCs w:val="16"/>
        </w:rPr>
        <w:softHyphen/>
        <w:t>рехода Саксонии в советскую зону оккупации, завод в Штрасфурте был переименован в ОТБ-2 (ОКБ-2). Общее руководство осуществлял А.И. Исаев, заместителями назначили Ф.Г. Ква</w:t>
      </w:r>
      <w:r w:rsidRPr="001A0BAA">
        <w:rPr>
          <w:color w:val="0070C0"/>
          <w:sz w:val="16"/>
          <w:szCs w:val="16"/>
        </w:rPr>
        <w:softHyphen/>
        <w:t>сова (ЦИАМ) и И.Н. Смирнова (завод № 500). Развитием опыт</w:t>
      </w:r>
      <w:r w:rsidRPr="001A0BAA">
        <w:rPr>
          <w:color w:val="0070C0"/>
          <w:sz w:val="16"/>
          <w:szCs w:val="16"/>
        </w:rPr>
        <w:softHyphen/>
        <w:t>но-конструкторских работ поручили заниматься немецкому специалисту по двигателям К. Престелю. Инженер Макелла был его заместителем [63] (24920).</w:t>
      </w:r>
    </w:p>
    <w:p w14:paraId="361CD22C" w14:textId="77777777" w:rsidR="001C340E" w:rsidRPr="001A0BAA" w:rsidRDefault="001C340E" w:rsidP="001C340E">
      <w:pPr>
        <w:jc w:val="both"/>
        <w:rPr>
          <w:color w:val="0070C0"/>
          <w:sz w:val="16"/>
          <w:szCs w:val="16"/>
        </w:rPr>
      </w:pPr>
    </w:p>
    <w:p w14:paraId="4078E2D8" w14:textId="77777777" w:rsidR="00BC1830" w:rsidRPr="00925F26" w:rsidRDefault="00BC1830"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начале 1945 г. для ликвидации отставания СССР приняли решение об использова</w:t>
      </w:r>
      <w:r w:rsidRPr="00925F26">
        <w:rPr>
          <w:rFonts w:ascii="Times New Roman" w:cs="Times New Roman"/>
          <w:color w:val="000000" w:themeColor="text1"/>
          <w:spacing w:val="0"/>
          <w:sz w:val="16"/>
          <w:szCs w:val="16"/>
        </w:rPr>
        <w:softHyphen/>
        <w:t>нии опыта немецких, а позднее и английских фирм — производителей ТРД. Как только в расположении наших войск обнаружили первые немецкие реактивные самолёты, на</w:t>
      </w:r>
      <w:r w:rsidRPr="00925F26">
        <w:rPr>
          <w:rFonts w:ascii="Times New Roman" w:cs="Times New Roman"/>
          <w:color w:val="000000" w:themeColor="text1"/>
          <w:spacing w:val="0"/>
          <w:sz w:val="16"/>
          <w:szCs w:val="16"/>
        </w:rPr>
        <w:softHyphen/>
        <w:t xml:space="preserve">чалось тщательное изучение трофейных двигателей </w:t>
      </w:r>
      <w:r w:rsidRPr="00925F26">
        <w:rPr>
          <w:rFonts w:ascii="Times New Roman" w:cs="Times New Roman"/>
          <w:color w:val="000000" w:themeColor="text1"/>
          <w:spacing w:val="0"/>
          <w:sz w:val="16"/>
          <w:szCs w:val="16"/>
          <w:lang w:val="en-US"/>
        </w:rPr>
        <w:t>BMW</w:t>
      </w:r>
      <w:r w:rsidRPr="00925F26">
        <w:rPr>
          <w:rFonts w:ascii="Times New Roman" w:cs="Times New Roman"/>
          <w:color w:val="000000" w:themeColor="text1"/>
          <w:spacing w:val="0"/>
          <w:sz w:val="16"/>
          <w:szCs w:val="16"/>
        </w:rPr>
        <w:t xml:space="preserve">-003 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Кроме того, при вступлении советских войск на территорию Германии в начале 1945 г., представи</w:t>
      </w:r>
      <w:r w:rsidRPr="00925F26">
        <w:rPr>
          <w:rFonts w:ascii="Times New Roman" w:cs="Times New Roman"/>
          <w:color w:val="000000" w:themeColor="text1"/>
          <w:spacing w:val="0"/>
          <w:sz w:val="16"/>
          <w:szCs w:val="16"/>
        </w:rPr>
        <w:softHyphen/>
        <w:t>тели НКАП, находящиеся при действующей армии, приняли меры к обнаружению образ</w:t>
      </w:r>
      <w:r w:rsidRPr="00925F26">
        <w:rPr>
          <w:rFonts w:ascii="Times New Roman" w:cs="Times New Roman"/>
          <w:color w:val="000000" w:themeColor="text1"/>
          <w:spacing w:val="0"/>
          <w:sz w:val="16"/>
          <w:szCs w:val="16"/>
        </w:rPr>
        <w:softHyphen/>
        <w:t xml:space="preserve">цов новой немецкой авиационной техники, их сохранению и отправке в Советский Союз. Первые образцы двигателей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вернее, их обломки, поступили в ЦИАМ в нача</w:t>
      </w:r>
      <w:r w:rsidRPr="00925F26">
        <w:rPr>
          <w:rFonts w:ascii="Times New Roman" w:cs="Times New Roman"/>
          <w:color w:val="000000" w:themeColor="text1"/>
          <w:spacing w:val="0"/>
          <w:sz w:val="16"/>
          <w:szCs w:val="16"/>
        </w:rPr>
        <w:softHyphen/>
        <w:t>ле марта 1945 г. В апреле 1945 г. на участке 2-го Белорусского фронта в Ростоке об</w:t>
      </w:r>
      <w:r w:rsidRPr="00925F26">
        <w:rPr>
          <w:rFonts w:ascii="Times New Roman" w:cs="Times New Roman"/>
          <w:color w:val="000000" w:themeColor="text1"/>
          <w:spacing w:val="0"/>
          <w:sz w:val="16"/>
          <w:szCs w:val="16"/>
        </w:rPr>
        <w:softHyphen/>
        <w:t xml:space="preserve">наружили ящики с двигателями </w:t>
      </w:r>
      <w:r w:rsidRPr="00925F26">
        <w:rPr>
          <w:rFonts w:ascii="Times New Roman" w:cs="Times New Roman"/>
          <w:color w:val="000000" w:themeColor="text1"/>
          <w:spacing w:val="0"/>
          <w:sz w:val="16"/>
          <w:szCs w:val="16"/>
          <w:lang w:val="en-US"/>
        </w:rPr>
        <w:t>BMW</w:t>
      </w:r>
      <w:r w:rsidRPr="00925F26">
        <w:rPr>
          <w:rFonts w:ascii="Times New Roman" w:cs="Times New Roman"/>
          <w:color w:val="000000" w:themeColor="text1"/>
          <w:spacing w:val="0"/>
          <w:sz w:val="16"/>
          <w:szCs w:val="16"/>
        </w:rPr>
        <w:t xml:space="preserve">-003. Тогда же на аэродроме в Пенемюнде в запасных комплектах к Ме-262 нашлись и двигатели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(15791).</w:t>
      </w:r>
    </w:p>
    <w:p w14:paraId="78A3415F" w14:textId="77777777" w:rsidR="00BC1830" w:rsidRPr="00925F26" w:rsidRDefault="00BC1830"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нача</w:t>
      </w:r>
      <w:r w:rsidRPr="00925F26">
        <w:rPr>
          <w:rFonts w:ascii="Times New Roman" w:cs="Times New Roman"/>
          <w:color w:val="000000" w:themeColor="text1"/>
          <w:spacing w:val="0"/>
          <w:sz w:val="16"/>
          <w:szCs w:val="16"/>
        </w:rPr>
        <w:softHyphen/>
        <w:t xml:space="preserve">ле марта 1945 г. первые образцы двигателей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вернее, их обломки, поступили в ЦИАМ. В апреле 1945 г. на участке 2-го Белорусского фронта в Ростоке об</w:t>
      </w:r>
      <w:r w:rsidRPr="00925F26">
        <w:rPr>
          <w:rFonts w:ascii="Times New Roman" w:cs="Times New Roman"/>
          <w:color w:val="000000" w:themeColor="text1"/>
          <w:spacing w:val="0"/>
          <w:sz w:val="16"/>
          <w:szCs w:val="16"/>
        </w:rPr>
        <w:softHyphen/>
        <w:t xml:space="preserve">наружили ящики с двигателями </w:t>
      </w:r>
      <w:r w:rsidRPr="00925F26">
        <w:rPr>
          <w:rFonts w:ascii="Times New Roman" w:cs="Times New Roman"/>
          <w:color w:val="000000" w:themeColor="text1"/>
          <w:spacing w:val="0"/>
          <w:sz w:val="16"/>
          <w:szCs w:val="16"/>
          <w:lang w:val="en-US"/>
        </w:rPr>
        <w:t>BMW</w:t>
      </w:r>
      <w:r w:rsidRPr="00925F26">
        <w:rPr>
          <w:rFonts w:ascii="Times New Roman" w:cs="Times New Roman"/>
          <w:color w:val="000000" w:themeColor="text1"/>
          <w:spacing w:val="0"/>
          <w:sz w:val="16"/>
          <w:szCs w:val="16"/>
        </w:rPr>
        <w:t xml:space="preserve">-003. Тогда же на аэродроме в Пенемюнде в запасных комплектах к Ме-262 нашлись и двигатели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(15791).</w:t>
      </w:r>
    </w:p>
    <w:p w14:paraId="2A0FCF9A" w14:textId="77777777" w:rsidR="00BC1830" w:rsidRPr="00925F26" w:rsidRDefault="00BC1830" w:rsidP="00925F26">
      <w:pPr>
        <w:pStyle w:val="36"/>
        <w:shd w:val="clear" w:color="auto" w:fill="auto"/>
        <w:spacing w:after="0" w:line="240" w:lineRule="auto"/>
        <w:jc w:val="both"/>
        <w:rPr>
          <w:rFonts w:ascii="Times New Roman" w:cs="Times New Roman"/>
          <w:color w:val="000000" w:themeColor="text1"/>
          <w:spacing w:val="0"/>
          <w:sz w:val="16"/>
          <w:szCs w:val="16"/>
        </w:rPr>
      </w:pPr>
    </w:p>
    <w:p w14:paraId="3B9C049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П.О.Сухой предлагал ВРДК, расположенные под консо</w:t>
      </w:r>
      <w:r w:rsidRPr="00925F26">
        <w:rPr>
          <w:color w:val="000000" w:themeColor="text1"/>
          <w:sz w:val="16"/>
          <w:szCs w:val="16"/>
        </w:rPr>
        <w:softHyphen/>
        <w:t>лями крыла, как ускорители, необхо</w:t>
      </w:r>
      <w:r w:rsidRPr="00925F26">
        <w:rPr>
          <w:color w:val="000000" w:themeColor="text1"/>
          <w:sz w:val="16"/>
          <w:szCs w:val="16"/>
        </w:rPr>
        <w:softHyphen/>
        <w:t>димые для кратковременного увеличе</w:t>
      </w:r>
      <w:r w:rsidRPr="00925F26">
        <w:rPr>
          <w:color w:val="000000" w:themeColor="text1"/>
          <w:sz w:val="16"/>
          <w:szCs w:val="16"/>
        </w:rPr>
        <w:softHyphen/>
        <w:t>ния скорости полета самолета Ер-2 (10669).</w:t>
      </w:r>
    </w:p>
    <w:p w14:paraId="6B69C1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32A28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работу по теме Пе-2 с РУ-1 свернули, а уже весной В.П. Глушко и С.П. Королев, освобожденные из-под стражи, но не реабилитированные, в офицерских мундирах, но без единой орденской планки, появились в Германии, где занялись изучением немецкой ракеты V-2 и ее двигателя (4476).</w:t>
      </w:r>
    </w:p>
    <w:p w14:paraId="136C1B5D" w14:textId="77777777" w:rsidR="00C2313B" w:rsidRPr="00925F26" w:rsidRDefault="00C2313B" w:rsidP="00925F26">
      <w:pPr>
        <w:autoSpaceDE w:val="0"/>
        <w:autoSpaceDN w:val="0"/>
        <w:adjustRightInd w:val="0"/>
        <w:jc w:val="both"/>
        <w:rPr>
          <w:color w:val="000000" w:themeColor="text1"/>
          <w:sz w:val="16"/>
          <w:szCs w:val="16"/>
        </w:rPr>
      </w:pPr>
    </w:p>
    <w:p w14:paraId="35627E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вновь образованный отдел опытного дизелестроения 1600 приступил к работе в восстановленных зданиях. Его начальником был назначен С.И. Коропов, главным инженером - М.А. Турчин. В 1946 г. отдел возглавил Д.И. Толмачев, который в годы войны был директором Барнаульского моторного завода № 77, выпускавшего танковые дизели В-2. В течение первых же лет работы отдел выдал "на-гора" и провел испытания трех новых моторов. Один из них - тепловозный дизель Д50, прототипом которого послужил американский двигатель фирмы "Алко", а два других представляли собой принципиально новые и оригинальные разработки, и сегодня вызывающие интерес своеобразием инженерных решений. Несмотря на то, что значительная часть завода продолжала лежать в развалинах, не хватало самого необходимого: производственных помещений, станочного оборудования, рабочих рук, электричества и тепла - на постройку опытных образцов ушел минимум времени (9024).</w:t>
      </w:r>
    </w:p>
    <w:p w14:paraId="1EAC1028" w14:textId="77777777" w:rsidR="00C2313B" w:rsidRPr="00925F26" w:rsidRDefault="00C2313B" w:rsidP="00925F26">
      <w:pPr>
        <w:autoSpaceDE w:val="0"/>
        <w:autoSpaceDN w:val="0"/>
        <w:adjustRightInd w:val="0"/>
        <w:jc w:val="both"/>
        <w:rPr>
          <w:color w:val="000000" w:themeColor="text1"/>
          <w:sz w:val="16"/>
          <w:szCs w:val="16"/>
        </w:rPr>
      </w:pPr>
    </w:p>
    <w:p w14:paraId="49F4A2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в транспортных полках ГВФ насчитывалось всего 38 П-5. Немного их осталось и в тылу (12034).</w:t>
      </w:r>
    </w:p>
    <w:p w14:paraId="48F7C12D" w14:textId="77777777" w:rsidR="00C2313B" w:rsidRPr="00925F26" w:rsidRDefault="00C2313B" w:rsidP="00925F26">
      <w:pPr>
        <w:autoSpaceDE w:val="0"/>
        <w:autoSpaceDN w:val="0"/>
        <w:adjustRightInd w:val="0"/>
        <w:jc w:val="both"/>
        <w:rPr>
          <w:color w:val="000000" w:themeColor="text1"/>
          <w:sz w:val="16"/>
          <w:szCs w:val="16"/>
        </w:rPr>
      </w:pPr>
    </w:p>
    <w:p w14:paraId="63BAB9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1945 года на реэвакуированом б. заводе № 67 Мостяжарт организовали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w:t>
      </w:r>
      <w:proofErr w:type="gramStart"/>
      <w:r w:rsidRPr="00925F26">
        <w:rPr>
          <w:color w:val="000000" w:themeColor="text1"/>
          <w:sz w:val="16"/>
          <w:szCs w:val="16"/>
        </w:rPr>
        <w:t>МСХМ</w:t>
      </w:r>
      <w:proofErr w:type="gramEnd"/>
      <w:r w:rsidRPr="00925F26">
        <w:rPr>
          <w:color w:val="000000" w:themeColor="text1"/>
          <w:sz w:val="16"/>
          <w:szCs w:val="16"/>
        </w:rPr>
        <w:t xml:space="preserve">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D751C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w:t>
      </w:r>
      <w:proofErr w:type="gramStart"/>
      <w:r w:rsidRPr="00925F26">
        <w:rPr>
          <w:color w:val="000000" w:themeColor="text1"/>
          <w:sz w:val="16"/>
          <w:szCs w:val="16"/>
        </w:rPr>
        <w:t>с ОКБ-52</w:t>
      </w:r>
      <w:proofErr w:type="gramEnd"/>
      <w:r w:rsidRPr="00925F26">
        <w:rPr>
          <w:color w:val="000000" w:themeColor="text1"/>
          <w:sz w:val="16"/>
          <w:szCs w:val="16"/>
        </w:rPr>
        <w:t xml:space="preserve"> и дальнейшая реконструкция производства проходит всецело по профилю и тематике ОКБ-52.</w:t>
      </w:r>
    </w:p>
    <w:p w14:paraId="60C87AE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061F61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7CFBDC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542E3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Москва, Семеновская застава, Вельяминовская ул., д. 32, п/я 2350</w:t>
      </w:r>
    </w:p>
    <w:p w14:paraId="5227836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50E9EE86" w14:textId="77777777" w:rsidR="00C2313B" w:rsidRPr="00925F26" w:rsidRDefault="00C2313B" w:rsidP="00925F26">
      <w:pPr>
        <w:autoSpaceDE w:val="0"/>
        <w:autoSpaceDN w:val="0"/>
        <w:adjustRightInd w:val="0"/>
        <w:jc w:val="both"/>
        <w:rPr>
          <w:color w:val="000000" w:themeColor="text1"/>
          <w:sz w:val="16"/>
          <w:szCs w:val="16"/>
        </w:rPr>
      </w:pPr>
    </w:p>
    <w:p w14:paraId="3970632C" w14:textId="77777777" w:rsidR="00BC1830" w:rsidRPr="00925F26" w:rsidRDefault="00BC1830" w:rsidP="00925F26">
      <w:pPr>
        <w:jc w:val="both"/>
        <w:rPr>
          <w:color w:val="000000" w:themeColor="text1"/>
          <w:sz w:val="16"/>
          <w:szCs w:val="16"/>
        </w:rPr>
      </w:pPr>
      <w:r w:rsidRPr="00925F26">
        <w:rPr>
          <w:color w:val="000000" w:themeColor="text1"/>
          <w:sz w:val="16"/>
          <w:szCs w:val="16"/>
        </w:rPr>
        <w:t>В начале 1945 года ГСКБ-47 была поручена работа по созданию управляемых и планирующих авиабомб. Возглавил эти работы А. Ф. Турахин. Его отдел был укомплектован кадровыми работниками ГСКБ. В отдел также пришли некоторые бывшие сотрудники предприятий авиационной промышленности, молодые специалисты из МВТУ им. Баумана. Специалисты отдела тщательно изучили трофейную техническую документацию и образцы немецких управляемых авиабомб «Хеншель-293» и «Фритц-Х».</w:t>
      </w:r>
    </w:p>
    <w:p w14:paraId="27995651" w14:textId="77777777" w:rsidR="00BC1830" w:rsidRPr="00925F26" w:rsidRDefault="00BC1830" w:rsidP="00925F26">
      <w:pPr>
        <w:jc w:val="both"/>
        <w:rPr>
          <w:color w:val="000000" w:themeColor="text1"/>
          <w:sz w:val="16"/>
          <w:szCs w:val="16"/>
        </w:rPr>
      </w:pPr>
      <w:r w:rsidRPr="00925F26">
        <w:rPr>
          <w:color w:val="000000" w:themeColor="text1"/>
          <w:sz w:val="16"/>
          <w:szCs w:val="16"/>
        </w:rPr>
        <w:t>Предполагалось развивать работы по двум направлениям – по линии создания управляемых планирующих и управляемых непланирующих авиабомб.</w:t>
      </w:r>
    </w:p>
    <w:p w14:paraId="40913845" w14:textId="77777777" w:rsidR="00BC1830" w:rsidRPr="00925F26" w:rsidRDefault="00BC1830" w:rsidP="00925F26">
      <w:pPr>
        <w:jc w:val="both"/>
        <w:rPr>
          <w:color w:val="000000" w:themeColor="text1"/>
          <w:sz w:val="16"/>
          <w:szCs w:val="16"/>
        </w:rPr>
      </w:pPr>
      <w:r w:rsidRPr="00925F26">
        <w:rPr>
          <w:color w:val="000000" w:themeColor="text1"/>
          <w:sz w:val="16"/>
          <w:szCs w:val="16"/>
        </w:rPr>
        <w:t>Две конструкции планирующих авиабомб массой 1000 кг, управление которыми осуществлялось с помощью аэродинамических рулей, были созданы достаточно быстро. Обе конструкции успешно прошли летные испытания.</w:t>
      </w:r>
    </w:p>
    <w:p w14:paraId="1E28768D" w14:textId="77777777" w:rsidR="00BC1830" w:rsidRPr="00925F26" w:rsidRDefault="00BC1830" w:rsidP="00925F26">
      <w:pPr>
        <w:jc w:val="both"/>
        <w:rPr>
          <w:color w:val="000000" w:themeColor="text1"/>
          <w:sz w:val="16"/>
          <w:szCs w:val="16"/>
        </w:rPr>
      </w:pPr>
      <w:r w:rsidRPr="00925F26">
        <w:rPr>
          <w:color w:val="000000" w:themeColor="text1"/>
          <w:sz w:val="16"/>
          <w:szCs w:val="16"/>
        </w:rPr>
        <w:t>Непланирующими авиабомбами предполагалось управлять с помощью интерцепторов. Однако работа над этим направлением показала, что успешная разработка подобной техники силами сравнительно небольшого отдела невозможна.</w:t>
      </w:r>
    </w:p>
    <w:p w14:paraId="1158BDA4" w14:textId="77777777" w:rsidR="00BC1830" w:rsidRPr="00925F26" w:rsidRDefault="00BC1830" w:rsidP="00925F26">
      <w:pPr>
        <w:jc w:val="both"/>
        <w:rPr>
          <w:color w:val="000000" w:themeColor="text1"/>
          <w:sz w:val="16"/>
          <w:szCs w:val="16"/>
        </w:rPr>
      </w:pPr>
      <w:r w:rsidRPr="00925F26">
        <w:rPr>
          <w:color w:val="000000" w:themeColor="text1"/>
          <w:sz w:val="16"/>
          <w:szCs w:val="16"/>
        </w:rPr>
        <w:t>В 1948 году государственными органами принимается решение о передаче этой тематики вместе с основным составом отдела в новую специализированную конструкторскую организацию (15794).</w:t>
      </w:r>
    </w:p>
    <w:p w14:paraId="146FFBD2" w14:textId="77777777" w:rsidR="00BC1830" w:rsidRPr="00925F26" w:rsidRDefault="00BC1830" w:rsidP="00925F26">
      <w:pPr>
        <w:jc w:val="both"/>
        <w:rPr>
          <w:color w:val="000000" w:themeColor="text1"/>
          <w:sz w:val="16"/>
          <w:szCs w:val="16"/>
        </w:rPr>
      </w:pPr>
    </w:p>
    <w:p w14:paraId="271C6675" w14:textId="77777777" w:rsidR="00BC1830" w:rsidRPr="00925F26" w:rsidRDefault="00BC1830" w:rsidP="00925F26">
      <w:pPr>
        <w:pStyle w:val="36"/>
        <w:shd w:val="clear" w:color="auto" w:fill="auto"/>
        <w:tabs>
          <w:tab w:val="left" w:pos="3098"/>
        </w:tabs>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начале 1945 года СССР был готовы применить самолеты-снаряды. Но ЦК ВКП(б), Советское правительство приняли решение отказаться от применения этого оружия. Согласно, воспоминаниям Шахурина,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925F26">
        <w:rPr>
          <w:rFonts w:ascii="Times New Roman" w:cs="Times New Roman"/>
          <w:color w:val="000000" w:themeColor="text1"/>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925F26">
        <w:rPr>
          <w:rFonts w:ascii="Times New Roman" w:cs="Times New Roman"/>
          <w:color w:val="000000" w:themeColor="text1"/>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 (десятая модификация неизвестного оружия), так и не взлетели со своих аэ</w:t>
      </w:r>
      <w:r w:rsidRPr="00925F26">
        <w:rPr>
          <w:rFonts w:ascii="Times New Roman" w:cs="Times New Roman"/>
          <w:color w:val="000000" w:themeColor="text1"/>
          <w:spacing w:val="0"/>
          <w:sz w:val="16"/>
          <w:szCs w:val="16"/>
        </w:rPr>
        <w:softHyphen/>
        <w:t>родромов для нанесения боевых ударов (15790).</w:t>
      </w:r>
    </w:p>
    <w:p w14:paraId="07934EB4" w14:textId="77777777" w:rsidR="00BC1830" w:rsidRPr="00925F26" w:rsidRDefault="00BC1830" w:rsidP="00925F26">
      <w:pPr>
        <w:pStyle w:val="36"/>
        <w:shd w:val="clear" w:color="auto" w:fill="auto"/>
        <w:spacing w:after="0" w:line="240" w:lineRule="auto"/>
        <w:jc w:val="both"/>
        <w:rPr>
          <w:rFonts w:ascii="Times New Roman" w:cs="Times New Roman"/>
          <w:color w:val="000000" w:themeColor="text1"/>
          <w:spacing w:val="0"/>
          <w:sz w:val="16"/>
          <w:szCs w:val="16"/>
        </w:rPr>
      </w:pPr>
    </w:p>
    <w:p w14:paraId="393F0BB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2B1010F" w14:textId="77777777" w:rsidR="00C2313B" w:rsidRPr="00925F26" w:rsidRDefault="00C2313B" w:rsidP="00925F26">
      <w:pPr>
        <w:autoSpaceDE w:val="0"/>
        <w:autoSpaceDN w:val="0"/>
        <w:adjustRightInd w:val="0"/>
        <w:jc w:val="both"/>
        <w:rPr>
          <w:iCs/>
          <w:color w:val="000000" w:themeColor="text1"/>
          <w:sz w:val="16"/>
          <w:szCs w:val="16"/>
        </w:rPr>
      </w:pPr>
    </w:p>
    <w:p w14:paraId="1B8282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на ниву соревнования с немецким 88-мм противотанковым орудием обр. 1943 г. вступило КБ завода № 9. В январе-феврале 1945 г. в корпусе СУ-100 прошла испытания 85-мм пушка большой мощности Д-10-85. Это орудие имело составную трубу ствола. Се</w:t>
      </w:r>
      <w:r w:rsidRPr="00925F26">
        <w:rPr>
          <w:color w:val="000000" w:themeColor="text1"/>
          <w:sz w:val="16"/>
          <w:szCs w:val="16"/>
        </w:rPr>
        <w:softHyphen/>
        <w:t>рийная 100-мм пушка Д-10 была оснащена 85-мм нарез</w:t>
      </w:r>
      <w:r w:rsidRPr="00925F26">
        <w:rPr>
          <w:color w:val="000000" w:themeColor="text1"/>
          <w:sz w:val="16"/>
          <w:szCs w:val="16"/>
        </w:rPr>
        <w:softHyphen/>
        <w:t>ной частью ствола, при этом сохранила гильзу от 100-мм орудия Б-34, а ствол был удлинен гладкоствольной дуль</w:t>
      </w:r>
      <w:r w:rsidRPr="00925F26">
        <w:rPr>
          <w:color w:val="000000" w:themeColor="text1"/>
          <w:sz w:val="16"/>
          <w:szCs w:val="16"/>
        </w:rPr>
        <w:softHyphen/>
        <w:t>ной надставкой, применение которой значительно упрос</w:t>
      </w:r>
      <w:r w:rsidRPr="00925F26">
        <w:rPr>
          <w:color w:val="000000" w:themeColor="text1"/>
          <w:sz w:val="16"/>
          <w:szCs w:val="16"/>
        </w:rPr>
        <w:softHyphen/>
        <w:t>тило технологию изготовления пушки. Проведенные испытания стрельбой показали, что ряд снарядов также кувыркается, но случаи срыва ведущих по</w:t>
      </w:r>
      <w:r w:rsidRPr="00925F26">
        <w:rPr>
          <w:color w:val="000000" w:themeColor="text1"/>
          <w:sz w:val="16"/>
          <w:szCs w:val="16"/>
        </w:rPr>
        <w:softHyphen/>
        <w:t>ясков уменьшились. В ходе отработки заряда удалось до</w:t>
      </w:r>
      <w:r w:rsidRPr="00925F26">
        <w:rPr>
          <w:color w:val="000000" w:themeColor="text1"/>
          <w:sz w:val="16"/>
          <w:szCs w:val="16"/>
        </w:rPr>
        <w:softHyphen/>
        <w:t>стичь начальной скорости бронебойного снаряда в 1050 м/с, но для более стабильного поведения снаряда на траек</w:t>
      </w:r>
      <w:r w:rsidRPr="00925F26">
        <w:rPr>
          <w:color w:val="000000" w:themeColor="text1"/>
          <w:sz w:val="16"/>
          <w:szCs w:val="16"/>
        </w:rPr>
        <w:softHyphen/>
        <w:t>тории требовалось увеличить число ведущих поясков. Но это решение значительно усложняло производство боепри</w:t>
      </w:r>
      <w:r w:rsidRPr="00925F26">
        <w:rPr>
          <w:color w:val="000000" w:themeColor="text1"/>
          <w:sz w:val="16"/>
          <w:szCs w:val="16"/>
        </w:rPr>
        <w:softHyphen/>
        <w:t>пасов, и потому от него вскоре отказались. Кроме того, все дальнейшие расчеты, проведенные в ЦАКБ и Техуправлении НКВ, показывали, что достичь за</w:t>
      </w:r>
      <w:r w:rsidRPr="00925F26">
        <w:rPr>
          <w:color w:val="000000" w:themeColor="text1"/>
          <w:sz w:val="16"/>
          <w:szCs w:val="16"/>
        </w:rPr>
        <w:softHyphen/>
        <w:t>планированных характеристик бронепробиваемости мож</w:t>
      </w:r>
      <w:r w:rsidRPr="00925F26">
        <w:rPr>
          <w:color w:val="000000" w:themeColor="text1"/>
          <w:sz w:val="16"/>
          <w:szCs w:val="16"/>
        </w:rPr>
        <w:softHyphen/>
        <w:t>но лишь в случае применения 85—100-мм выстрела с гиль</w:t>
      </w:r>
      <w:r w:rsidRPr="00925F26">
        <w:rPr>
          <w:color w:val="000000" w:themeColor="text1"/>
          <w:sz w:val="16"/>
          <w:szCs w:val="16"/>
        </w:rPr>
        <w:softHyphen/>
        <w:t>зой и пороховым зарядом 122-мм пушки типа Д-25/А-19. Но в этом случае маневрировать выстрелом указанных га</w:t>
      </w:r>
      <w:r w:rsidRPr="00925F26">
        <w:rPr>
          <w:color w:val="000000" w:themeColor="text1"/>
          <w:sz w:val="16"/>
          <w:szCs w:val="16"/>
        </w:rPr>
        <w:softHyphen/>
        <w:t>баритов и массы было бы уже крайне затруднительно, и по</w:t>
      </w:r>
      <w:r w:rsidRPr="00925F26">
        <w:rPr>
          <w:color w:val="000000" w:themeColor="text1"/>
          <w:sz w:val="16"/>
          <w:szCs w:val="16"/>
        </w:rPr>
        <w:softHyphen/>
        <w:t>тому от развития данного направления отказались. Догнать «малой кровью» немецких артиллерийских конструкторов без изменения конструкции снаряда не уда</w:t>
      </w:r>
      <w:r w:rsidRPr="00925F26">
        <w:rPr>
          <w:color w:val="000000" w:themeColor="text1"/>
          <w:sz w:val="16"/>
          <w:szCs w:val="16"/>
        </w:rPr>
        <w:softHyphen/>
        <w:t>лось ни одному отечественному артиллерийскому КБ. Чу</w:t>
      </w:r>
      <w:r w:rsidRPr="00925F26">
        <w:rPr>
          <w:color w:val="000000" w:themeColor="text1"/>
          <w:sz w:val="16"/>
          <w:szCs w:val="16"/>
        </w:rPr>
        <w:softHyphen/>
        <w:t>дес не бывает. Опытные пушки так и остались опытными. (11417).</w:t>
      </w:r>
    </w:p>
    <w:p w14:paraId="78CCB1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D03D7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ввиду приближающегося окончания воен</w:t>
      </w:r>
      <w:r w:rsidRPr="00925F26">
        <w:rPr>
          <w:color w:val="000000" w:themeColor="text1"/>
          <w:sz w:val="16"/>
          <w:szCs w:val="16"/>
        </w:rPr>
        <w:softHyphen/>
        <w:t>ных действий, советское правительство стабилизировало воен</w:t>
      </w:r>
      <w:r w:rsidRPr="00925F26">
        <w:rPr>
          <w:color w:val="000000" w:themeColor="text1"/>
          <w:sz w:val="16"/>
          <w:szCs w:val="16"/>
        </w:rPr>
        <w:softHyphen/>
        <w:t>ные расходы на уровне 1944 г., предполагая направить прирост национального дохода на увеличение накопления и потребления. Объем накопления, по сравнению с предыдущим годом, предпо</w:t>
      </w:r>
      <w:r w:rsidRPr="00925F26">
        <w:rPr>
          <w:color w:val="000000" w:themeColor="text1"/>
          <w:sz w:val="16"/>
          <w:szCs w:val="16"/>
        </w:rPr>
        <w:softHyphen/>
        <w:t>лагалось увеличить на 37%, а объем потребления на 19%. При</w:t>
      </w:r>
      <w:r w:rsidRPr="00925F26">
        <w:rPr>
          <w:color w:val="000000" w:themeColor="text1"/>
          <w:sz w:val="16"/>
          <w:szCs w:val="16"/>
        </w:rPr>
        <w:softHyphen/>
        <w:t>рост национального дохода, по плану, обеспечивался увеличени</w:t>
      </w:r>
      <w:r w:rsidRPr="00925F26">
        <w:rPr>
          <w:color w:val="000000" w:themeColor="text1"/>
          <w:sz w:val="16"/>
          <w:szCs w:val="16"/>
        </w:rPr>
        <w:softHyphen/>
        <w:t>ем валовой продукции «гражданской» промышленности на 1 9% и сокращением производства военной продукции почти в полтора раза. Однако, накапливавшиеся в предыдущие годы несоответст</w:t>
      </w:r>
      <w:r w:rsidRPr="00925F26">
        <w:rPr>
          <w:color w:val="000000" w:themeColor="text1"/>
          <w:sz w:val="16"/>
          <w:szCs w:val="16"/>
        </w:rPr>
        <w:softHyphen/>
        <w:t>вия между натуральной и ценностной формами выражения сто</w:t>
      </w:r>
      <w:r w:rsidRPr="00925F26">
        <w:rPr>
          <w:color w:val="000000" w:themeColor="text1"/>
          <w:sz w:val="16"/>
          <w:szCs w:val="16"/>
        </w:rPr>
        <w:softHyphen/>
        <w:t>имости общественного продукта и национального дохода привели к тому, что план развития народного хозяйства СССР в 1945 г. составлялся с серьезными диспропорциями. Так, баланс средств производства формировался с дефицитом в 24 млд. руб., а баланс предметов потребления — с дефицитом 20 млд. руб. (РГАЭ ф. 4372, оп. 94, д. 115, л. 42).</w:t>
      </w:r>
    </w:p>
    <w:p w14:paraId="52D37B9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Далее, Госплан СССР допустил грубую ошибку при определе</w:t>
      </w:r>
      <w:r w:rsidRPr="00925F26">
        <w:rPr>
          <w:color w:val="000000" w:themeColor="text1"/>
          <w:sz w:val="16"/>
          <w:szCs w:val="16"/>
        </w:rPr>
        <w:softHyphen/>
        <w:t>нии размеров национального дохода в 1945 г., назвав в начале цифру 518 млд. руб., затем — 476 млд. руб. Фактически он со</w:t>
      </w:r>
      <w:r w:rsidRPr="00925F26">
        <w:rPr>
          <w:color w:val="000000" w:themeColor="text1"/>
          <w:sz w:val="16"/>
          <w:szCs w:val="16"/>
        </w:rPr>
        <w:softHyphen/>
        <w:t>ставил 441,4 млд. руб., или на 48,2 млд. руб. меньше, чем в 1944 году. Распределение национального дохода в 1945 г., по сравнению с запланированными показателями, характеризуется следующими данными.</w:t>
      </w:r>
    </w:p>
    <w:p w14:paraId="163822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Баланс общественного продукта СССР</w:t>
      </w:r>
    </w:p>
    <w:p w14:paraId="027E0A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млд. руб. в действующих ценах)</w:t>
      </w:r>
    </w:p>
    <w:tbl>
      <w:tblPr>
        <w:tblW w:w="0" w:type="auto"/>
        <w:tblInd w:w="40" w:type="dxa"/>
        <w:tblLayout w:type="fixed"/>
        <w:tblCellMar>
          <w:left w:w="40" w:type="dxa"/>
          <w:right w:w="40" w:type="dxa"/>
        </w:tblCellMar>
        <w:tblLook w:val="0000" w:firstRow="0" w:lastRow="0" w:firstColumn="0" w:lastColumn="0" w:noHBand="0" w:noVBand="0"/>
      </w:tblPr>
      <w:tblGrid>
        <w:gridCol w:w="4680"/>
        <w:gridCol w:w="14"/>
        <w:gridCol w:w="1606"/>
        <w:gridCol w:w="7"/>
      </w:tblGrid>
      <w:tr w:rsidR="000F5689" w:rsidRPr="00925F26" w14:paraId="5388B0DB" w14:textId="77777777">
        <w:trPr>
          <w:gridAfter w:val="1"/>
          <w:wAfter w:w="7" w:type="dxa"/>
          <w:trHeight w:val="509"/>
        </w:trPr>
        <w:tc>
          <w:tcPr>
            <w:tcW w:w="4680" w:type="dxa"/>
            <w:tcBorders>
              <w:top w:val="single" w:sz="12" w:space="0" w:color="auto"/>
              <w:left w:val="single" w:sz="12" w:space="0" w:color="auto"/>
              <w:bottom w:val="single" w:sz="6" w:space="0" w:color="auto"/>
              <w:right w:val="single" w:sz="6" w:space="0" w:color="auto"/>
            </w:tcBorders>
          </w:tcPr>
          <w:p w14:paraId="38631E6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w:t>
            </w:r>
          </w:p>
          <w:p w14:paraId="4D91A28B" w14:textId="77777777" w:rsidR="00C2313B" w:rsidRPr="00925F26" w:rsidRDefault="00092917"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w:t>
            </w:r>
            <w:r w:rsidR="00C2313B" w:rsidRPr="00925F26">
              <w:rPr>
                <w:color w:val="000000" w:themeColor="text1"/>
                <w:sz w:val="16"/>
                <w:szCs w:val="16"/>
              </w:rPr>
              <w:t>тчет</w:t>
            </w:r>
          </w:p>
        </w:tc>
        <w:tc>
          <w:tcPr>
            <w:tcW w:w="1620" w:type="dxa"/>
            <w:gridSpan w:val="2"/>
            <w:tcBorders>
              <w:top w:val="single" w:sz="12" w:space="0" w:color="auto"/>
              <w:left w:val="single" w:sz="6" w:space="0" w:color="auto"/>
              <w:bottom w:val="single" w:sz="6" w:space="0" w:color="auto"/>
              <w:right w:val="single" w:sz="12" w:space="0" w:color="auto"/>
            </w:tcBorders>
          </w:tcPr>
          <w:p w14:paraId="6715928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1945 1945</w:t>
            </w:r>
          </w:p>
          <w:p w14:paraId="41A30B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 вып.</w:t>
            </w:r>
          </w:p>
          <w:p w14:paraId="26F6578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AB04624" w14:textId="77777777">
        <w:trPr>
          <w:gridAfter w:val="1"/>
          <w:wAfter w:w="7" w:type="dxa"/>
          <w:trHeight w:val="902"/>
        </w:trPr>
        <w:tc>
          <w:tcPr>
            <w:tcW w:w="4680" w:type="dxa"/>
            <w:tcBorders>
              <w:top w:val="single" w:sz="6" w:space="0" w:color="auto"/>
              <w:left w:val="single" w:sz="12" w:space="0" w:color="auto"/>
              <w:bottom w:val="single" w:sz="12" w:space="0" w:color="auto"/>
              <w:right w:val="single" w:sz="6" w:space="0" w:color="auto"/>
            </w:tcBorders>
          </w:tcPr>
          <w:p w14:paraId="3DF5A1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Поступление</w:t>
            </w:r>
          </w:p>
          <w:p w14:paraId="1331DFE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Произведенный общественный продукт 708,6</w:t>
            </w:r>
          </w:p>
          <w:p w14:paraId="7B674DA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Поступление из др. источников 44,7</w:t>
            </w:r>
          </w:p>
          <w:p w14:paraId="451AC4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Годовой общественный продукт 753,3</w:t>
            </w:r>
          </w:p>
          <w:p w14:paraId="2EDE270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20" w:type="dxa"/>
            <w:gridSpan w:val="2"/>
            <w:tcBorders>
              <w:top w:val="single" w:sz="6" w:space="0" w:color="auto"/>
              <w:left w:val="single" w:sz="6" w:space="0" w:color="auto"/>
              <w:bottom w:val="single" w:sz="12" w:space="0" w:color="auto"/>
              <w:right w:val="single" w:sz="12" w:space="0" w:color="auto"/>
            </w:tcBorders>
          </w:tcPr>
          <w:p w14:paraId="1B8B97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53920F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727,0 640,4</w:t>
            </w:r>
          </w:p>
          <w:p w14:paraId="0BB1BCE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40,0 36,5</w:t>
            </w:r>
          </w:p>
          <w:p w14:paraId="3CA9C8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767,0 676,9</w:t>
            </w:r>
          </w:p>
          <w:p w14:paraId="5872799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520B7EEE" w14:textId="77777777">
        <w:trPr>
          <w:trHeight w:val="470"/>
        </w:trPr>
        <w:tc>
          <w:tcPr>
            <w:tcW w:w="4694" w:type="dxa"/>
            <w:gridSpan w:val="2"/>
            <w:tcBorders>
              <w:top w:val="single" w:sz="6" w:space="0" w:color="auto"/>
              <w:left w:val="single" w:sz="12" w:space="0" w:color="auto"/>
              <w:bottom w:val="single" w:sz="6" w:space="0" w:color="auto"/>
              <w:right w:val="single" w:sz="6" w:space="0" w:color="auto"/>
            </w:tcBorders>
          </w:tcPr>
          <w:p w14:paraId="177F9F3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w:t>
            </w:r>
          </w:p>
          <w:p w14:paraId="160B7C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отчет</w:t>
            </w:r>
          </w:p>
          <w:p w14:paraId="51BC1E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38E6DF1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1945 1945</w:t>
            </w:r>
          </w:p>
          <w:p w14:paraId="0C0913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 вып.</w:t>
            </w:r>
          </w:p>
          <w:p w14:paraId="532BCA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55B206C" w14:textId="77777777">
        <w:trPr>
          <w:trHeight w:val="250"/>
        </w:trPr>
        <w:tc>
          <w:tcPr>
            <w:tcW w:w="4694" w:type="dxa"/>
            <w:gridSpan w:val="2"/>
            <w:tcBorders>
              <w:top w:val="single" w:sz="6" w:space="0" w:color="auto"/>
              <w:left w:val="single" w:sz="12" w:space="0" w:color="auto"/>
              <w:bottom w:val="single" w:sz="12" w:space="0" w:color="auto"/>
              <w:right w:val="single" w:sz="6" w:space="0" w:color="auto"/>
            </w:tcBorders>
          </w:tcPr>
          <w:p w14:paraId="1E1144C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Распределение</w:t>
            </w:r>
          </w:p>
        </w:tc>
        <w:tc>
          <w:tcPr>
            <w:tcW w:w="1613" w:type="dxa"/>
            <w:gridSpan w:val="2"/>
            <w:tcBorders>
              <w:top w:val="single" w:sz="6" w:space="0" w:color="auto"/>
              <w:left w:val="single" w:sz="6" w:space="0" w:color="auto"/>
              <w:bottom w:val="single" w:sz="12" w:space="0" w:color="auto"/>
              <w:right w:val="single" w:sz="12" w:space="0" w:color="auto"/>
            </w:tcBorders>
          </w:tcPr>
          <w:p w14:paraId="178787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0410C69" w14:textId="77777777">
        <w:trPr>
          <w:trHeight w:val="240"/>
        </w:trPr>
        <w:tc>
          <w:tcPr>
            <w:tcW w:w="4694" w:type="dxa"/>
            <w:gridSpan w:val="2"/>
            <w:tcBorders>
              <w:top w:val="nil"/>
              <w:left w:val="single" w:sz="12" w:space="0" w:color="auto"/>
              <w:bottom w:val="single" w:sz="6" w:space="0" w:color="auto"/>
              <w:right w:val="single" w:sz="6" w:space="0" w:color="auto"/>
            </w:tcBorders>
          </w:tcPr>
          <w:p w14:paraId="53F7A8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Производственное потребление 219,0</w:t>
            </w:r>
          </w:p>
          <w:p w14:paraId="5EF8B1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nil"/>
              <w:left w:val="single" w:sz="6" w:space="0" w:color="auto"/>
              <w:bottom w:val="single" w:sz="6" w:space="0" w:color="auto"/>
              <w:right w:val="single" w:sz="12" w:space="0" w:color="auto"/>
            </w:tcBorders>
          </w:tcPr>
          <w:p w14:paraId="05B4F3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252,0 199,0</w:t>
            </w:r>
          </w:p>
          <w:p w14:paraId="09E34E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8A3190D" w14:textId="77777777">
        <w:trPr>
          <w:trHeight w:val="221"/>
        </w:trPr>
        <w:tc>
          <w:tcPr>
            <w:tcW w:w="4694" w:type="dxa"/>
            <w:gridSpan w:val="2"/>
            <w:tcBorders>
              <w:top w:val="single" w:sz="6" w:space="0" w:color="auto"/>
              <w:left w:val="single" w:sz="12" w:space="0" w:color="auto"/>
              <w:bottom w:val="single" w:sz="6" w:space="0" w:color="auto"/>
              <w:right w:val="single" w:sz="6" w:space="0" w:color="auto"/>
            </w:tcBorders>
          </w:tcPr>
          <w:p w14:paraId="0A8609D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Потребление населения и учреждений 457,5</w:t>
            </w:r>
          </w:p>
          <w:p w14:paraId="5333392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6F2500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392,0 400,1</w:t>
            </w:r>
          </w:p>
          <w:p w14:paraId="799DDF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A731BFA" w14:textId="77777777">
        <w:trPr>
          <w:trHeight w:val="240"/>
        </w:trPr>
        <w:tc>
          <w:tcPr>
            <w:tcW w:w="4694" w:type="dxa"/>
            <w:gridSpan w:val="2"/>
            <w:tcBorders>
              <w:top w:val="single" w:sz="6" w:space="0" w:color="auto"/>
              <w:left w:val="single" w:sz="12" w:space="0" w:color="auto"/>
              <w:bottom w:val="single" w:sz="6" w:space="0" w:color="auto"/>
              <w:right w:val="single" w:sz="6" w:space="0" w:color="auto"/>
            </w:tcBorders>
          </w:tcPr>
          <w:p w14:paraId="6404DED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Военные затраты 93,7</w:t>
            </w:r>
          </w:p>
          <w:p w14:paraId="29E6A7A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0BA12E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62,0 64,9</w:t>
            </w:r>
          </w:p>
          <w:p w14:paraId="4D72DC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CB536E0" w14:textId="77777777">
        <w:trPr>
          <w:trHeight w:val="182"/>
        </w:trPr>
        <w:tc>
          <w:tcPr>
            <w:tcW w:w="4694" w:type="dxa"/>
            <w:gridSpan w:val="2"/>
            <w:tcBorders>
              <w:top w:val="single" w:sz="6" w:space="0" w:color="auto"/>
              <w:left w:val="single" w:sz="12" w:space="0" w:color="auto"/>
              <w:bottom w:val="single" w:sz="6" w:space="0" w:color="auto"/>
              <w:right w:val="single" w:sz="6" w:space="0" w:color="auto"/>
            </w:tcBorders>
          </w:tcPr>
          <w:p w14:paraId="3D051E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087709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59BDCCF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616DCF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E44C003" w14:textId="77777777">
        <w:trPr>
          <w:trHeight w:val="250"/>
        </w:trPr>
        <w:tc>
          <w:tcPr>
            <w:tcW w:w="4694" w:type="dxa"/>
            <w:gridSpan w:val="2"/>
            <w:tcBorders>
              <w:top w:val="single" w:sz="6" w:space="0" w:color="auto"/>
              <w:left w:val="single" w:sz="12" w:space="0" w:color="auto"/>
              <w:bottom w:val="single" w:sz="6" w:space="0" w:color="auto"/>
              <w:right w:val="single" w:sz="6" w:space="0" w:color="auto"/>
            </w:tcBorders>
          </w:tcPr>
          <w:p w14:paraId="5F06FA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военная продукция 55,1</w:t>
            </w:r>
          </w:p>
          <w:p w14:paraId="29CBAD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5D525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50,5 39,3</w:t>
            </w:r>
          </w:p>
          <w:p w14:paraId="5D039A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3129F4F"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5E872D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Потери общественного продукта 11,1</w:t>
            </w:r>
          </w:p>
          <w:p w14:paraId="02D900A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59FADCD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10,5</w:t>
            </w:r>
          </w:p>
          <w:p w14:paraId="07F6D3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E6EE49E"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1C764C8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Накопление 10,6</w:t>
            </w:r>
          </w:p>
          <w:p w14:paraId="0161AA3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ACAA53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53,0 28,0</w:t>
            </w:r>
          </w:p>
          <w:p w14:paraId="6B3013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334B1532" w14:textId="77777777">
        <w:trPr>
          <w:trHeight w:val="202"/>
        </w:trPr>
        <w:tc>
          <w:tcPr>
            <w:tcW w:w="4694" w:type="dxa"/>
            <w:gridSpan w:val="2"/>
            <w:tcBorders>
              <w:top w:val="single" w:sz="6" w:space="0" w:color="auto"/>
              <w:left w:val="single" w:sz="12" w:space="0" w:color="auto"/>
              <w:bottom w:val="single" w:sz="6" w:space="0" w:color="auto"/>
              <w:right w:val="single" w:sz="6" w:space="0" w:color="auto"/>
            </w:tcBorders>
          </w:tcPr>
          <w:p w14:paraId="6F4555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51F54E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4ACD9C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4D077C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41FDFE48" w14:textId="77777777">
        <w:trPr>
          <w:trHeight w:val="250"/>
        </w:trPr>
        <w:tc>
          <w:tcPr>
            <w:tcW w:w="4694" w:type="dxa"/>
            <w:gridSpan w:val="2"/>
            <w:tcBorders>
              <w:top w:val="single" w:sz="6" w:space="0" w:color="auto"/>
              <w:left w:val="single" w:sz="12" w:space="0" w:color="auto"/>
              <w:bottom w:val="single" w:sz="6" w:space="0" w:color="auto"/>
              <w:right w:val="single" w:sz="6" w:space="0" w:color="auto"/>
            </w:tcBorders>
          </w:tcPr>
          <w:p w14:paraId="6278E16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Прирост основных фондов 29,1</w:t>
            </w:r>
          </w:p>
          <w:p w14:paraId="526BF5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2C0801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46,3 34,7</w:t>
            </w:r>
          </w:p>
          <w:p w14:paraId="7DFF30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245EE869" w14:textId="77777777">
        <w:trPr>
          <w:trHeight w:val="221"/>
        </w:trPr>
        <w:tc>
          <w:tcPr>
            <w:tcW w:w="4694" w:type="dxa"/>
            <w:gridSpan w:val="2"/>
            <w:tcBorders>
              <w:top w:val="single" w:sz="6" w:space="0" w:color="auto"/>
              <w:left w:val="single" w:sz="12" w:space="0" w:color="auto"/>
              <w:bottom w:val="single" w:sz="6" w:space="0" w:color="auto"/>
              <w:right w:val="single" w:sz="6" w:space="0" w:color="auto"/>
            </w:tcBorders>
          </w:tcPr>
          <w:p w14:paraId="4810E36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Прирост запасов -20,5</w:t>
            </w:r>
          </w:p>
          <w:p w14:paraId="4AF0B8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FEA22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-8,7</w:t>
            </w:r>
          </w:p>
          <w:p w14:paraId="244273B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69F6B459"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6806DA4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Прирост резервов 2,0</w:t>
            </w:r>
          </w:p>
          <w:p w14:paraId="69F2048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4A59F1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2,0 2,0</w:t>
            </w:r>
          </w:p>
          <w:p w14:paraId="60D5179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D010DD8"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3871B8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РАСПРЕДЕЛЕНО 753,3</w:t>
            </w:r>
          </w:p>
        </w:tc>
        <w:tc>
          <w:tcPr>
            <w:tcW w:w="1613" w:type="dxa"/>
            <w:gridSpan w:val="2"/>
            <w:tcBorders>
              <w:top w:val="single" w:sz="6" w:space="0" w:color="auto"/>
              <w:left w:val="single" w:sz="6" w:space="0" w:color="auto"/>
              <w:bottom w:val="single" w:sz="6" w:space="0" w:color="auto"/>
              <w:right w:val="single" w:sz="12" w:space="0" w:color="auto"/>
            </w:tcBorders>
          </w:tcPr>
          <w:p w14:paraId="7DCEAE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509,0 676,9</w:t>
            </w:r>
          </w:p>
        </w:tc>
      </w:tr>
      <w:tr w:rsidR="000F5689" w:rsidRPr="00925F26" w14:paraId="6B3FCBA7" w14:textId="77777777">
        <w:trPr>
          <w:trHeight w:val="230"/>
        </w:trPr>
        <w:tc>
          <w:tcPr>
            <w:tcW w:w="4694" w:type="dxa"/>
            <w:gridSpan w:val="2"/>
            <w:tcBorders>
              <w:top w:val="single" w:sz="6" w:space="0" w:color="auto"/>
              <w:left w:val="single" w:sz="12" w:space="0" w:color="auto"/>
              <w:bottom w:val="single" w:sz="12" w:space="0" w:color="auto"/>
              <w:right w:val="single" w:sz="6" w:space="0" w:color="auto"/>
            </w:tcBorders>
          </w:tcPr>
          <w:p w14:paraId="2C7D03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НАЦИОНАЛЬНЫЙ ДОХОД 489,6</w:t>
            </w:r>
          </w:p>
        </w:tc>
        <w:tc>
          <w:tcPr>
            <w:tcW w:w="1613" w:type="dxa"/>
            <w:gridSpan w:val="2"/>
            <w:tcBorders>
              <w:top w:val="single" w:sz="6" w:space="0" w:color="auto"/>
              <w:left w:val="single" w:sz="6" w:space="0" w:color="auto"/>
              <w:bottom w:val="single" w:sz="12" w:space="0" w:color="auto"/>
              <w:right w:val="single" w:sz="12" w:space="0" w:color="auto"/>
            </w:tcBorders>
          </w:tcPr>
          <w:p w14:paraId="530B15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475,0 441,4</w:t>
            </w:r>
          </w:p>
        </w:tc>
      </w:tr>
    </w:tbl>
    <w:p w14:paraId="0974C65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Источник: РГАЭ ф.4372, оп.95, д.168, л.45.</w:t>
      </w:r>
    </w:p>
    <w:p w14:paraId="5FE90C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сокращении годового общественного продукта и нацио</w:t>
      </w:r>
      <w:r w:rsidRPr="00925F26">
        <w:rPr>
          <w:color w:val="000000" w:themeColor="text1"/>
          <w:sz w:val="16"/>
          <w:szCs w:val="16"/>
        </w:rPr>
        <w:softHyphen/>
        <w:t>нального дохода в 1945 г., увеличение размеров накопления и покрытие военных затрат могло осуществляться за счет тех же источников, что и в период войны, то есть сокращения производ</w:t>
      </w:r>
      <w:r w:rsidRPr="00925F26">
        <w:rPr>
          <w:color w:val="000000" w:themeColor="text1"/>
          <w:sz w:val="16"/>
          <w:szCs w:val="16"/>
        </w:rPr>
        <w:softHyphen/>
        <w:t>ственного потребления и потребление населения. Дополнитель</w:t>
      </w:r>
      <w:r w:rsidRPr="00925F26">
        <w:rPr>
          <w:color w:val="000000" w:themeColor="text1"/>
          <w:sz w:val="16"/>
          <w:szCs w:val="16"/>
        </w:rPr>
        <w:softHyphen/>
        <w:t>ными источниками накопления и покрытия военных расходов в советской экономике в 1945 г. продолжали оставаться рост цен на товары широкого потребления и кредитная эмиссия Государ</w:t>
      </w:r>
      <w:r w:rsidRPr="00925F26">
        <w:rPr>
          <w:color w:val="000000" w:themeColor="text1"/>
          <w:sz w:val="16"/>
          <w:szCs w:val="16"/>
        </w:rPr>
        <w:softHyphen/>
        <w:t>ственного Банка СССР (РГАЭ ф. 4372, оп. 95, д. 78, л. 60).</w:t>
      </w:r>
    </w:p>
    <w:p w14:paraId="0AA3E72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1945 г. возникли проблемы с выполнением утвержден</w:t>
      </w:r>
      <w:r w:rsidRPr="00925F26">
        <w:rPr>
          <w:color w:val="000000" w:themeColor="text1"/>
          <w:sz w:val="16"/>
          <w:szCs w:val="16"/>
        </w:rPr>
        <w:softHyphen/>
        <w:t>ного правительством бюджетного плана. Доходы оказались на 8,2 млд. руб. меньше ожидаемых. Расходы союзного бюд</w:t>
      </w:r>
      <w:r w:rsidRPr="00925F26">
        <w:rPr>
          <w:color w:val="000000" w:themeColor="text1"/>
          <w:sz w:val="16"/>
          <w:szCs w:val="16"/>
        </w:rPr>
        <w:softHyphen/>
        <w:t>жета сократились, против плана, на 9,6 млд. руб.; при этом рас</w:t>
      </w:r>
      <w:r w:rsidRPr="00925F26">
        <w:rPr>
          <w:color w:val="000000" w:themeColor="text1"/>
          <w:sz w:val="16"/>
          <w:szCs w:val="16"/>
        </w:rPr>
        <w:softHyphen/>
        <w:t>ходы на оборону остались на запланированном уровне (98,2 млд. руб. или 54,3% от общей суммы расходной части бюджета страны) (РГАЭ ф. 4372, оп. 94, д. 1453, л. 43). Таким образом, последний год войны и начало Первого года мирной жизни для экономики СССР ознаменова</w:t>
      </w:r>
      <w:r w:rsidRPr="00925F26">
        <w:rPr>
          <w:color w:val="000000" w:themeColor="text1"/>
          <w:sz w:val="16"/>
          <w:szCs w:val="16"/>
        </w:rPr>
        <w:softHyphen/>
        <w:t>лись глубоким кризисом, который, на самом деле, являлся про</w:t>
      </w:r>
      <w:r w:rsidRPr="00925F26">
        <w:rPr>
          <w:color w:val="000000" w:themeColor="text1"/>
          <w:sz w:val="16"/>
          <w:szCs w:val="16"/>
        </w:rPr>
        <w:softHyphen/>
        <w:t>должением общего экономического спада, обусловленного гиган</w:t>
      </w:r>
      <w:r w:rsidRPr="00925F26">
        <w:rPr>
          <w:color w:val="000000" w:themeColor="text1"/>
          <w:sz w:val="16"/>
          <w:szCs w:val="16"/>
        </w:rPr>
        <w:softHyphen/>
        <w:t>тскими экономическими потерями и военными затратами 1941-1945 годов (1566).</w:t>
      </w:r>
    </w:p>
    <w:p w14:paraId="4CE89C1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12B7EF2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поставили на вооружение ж. д. бригады обе ж. д. батареи, которые финны восстановили после их подрыва отступающей КА на Ханко и в сентябре 1944 возвратили в СССР (3861).</w:t>
      </w:r>
    </w:p>
    <w:p w14:paraId="355F5143" w14:textId="77777777" w:rsidR="00C2313B" w:rsidRPr="00925F26" w:rsidRDefault="00C2313B" w:rsidP="00925F26">
      <w:pPr>
        <w:autoSpaceDE w:val="0"/>
        <w:autoSpaceDN w:val="0"/>
        <w:adjustRightInd w:val="0"/>
        <w:jc w:val="both"/>
        <w:rPr>
          <w:color w:val="000000" w:themeColor="text1"/>
          <w:sz w:val="16"/>
          <w:szCs w:val="16"/>
        </w:rPr>
      </w:pPr>
    </w:p>
    <w:p w14:paraId="24BD4EDC" w14:textId="3938C3F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В начале 1945 года ГБТУ Красной Армии разработало тактико-технические требования для проектирования нового тяжелого танка мощного бронирования. В феврале того же года приказом наркома танковой промышленности разработка такой боевой машины поручалась конструкторскому бюро Челябинского Кировского завода под руководством Н.Л. Духова и КБ опытного завода №</w:t>
      </w:r>
      <w:r w:rsidR="00997EDF" w:rsidRPr="00925F26">
        <w:rPr>
          <w:color w:val="000000" w:themeColor="text1"/>
          <w:sz w:val="16"/>
          <w:szCs w:val="16"/>
        </w:rPr>
        <w:t xml:space="preserve">  </w:t>
      </w:r>
      <w:r w:rsidRPr="00925F26">
        <w:rPr>
          <w:color w:val="000000" w:themeColor="text1"/>
          <w:sz w:val="16"/>
          <w:szCs w:val="16"/>
        </w:rPr>
        <w:t xml:space="preserve">100 Ж.Я. Котина. Предполагалось создать машину с бронированием, обеспечивающим защиту от снарядов танковой и противотанковой артиллерии противника калибром 88-128-мм с начальной скоростью </w:t>
      </w:r>
      <w:proofErr w:type="gramStart"/>
      <w:r w:rsidRPr="00925F26">
        <w:rPr>
          <w:color w:val="000000" w:themeColor="text1"/>
          <w:sz w:val="16"/>
          <w:szCs w:val="16"/>
        </w:rPr>
        <w:t>1200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/с. В качестве вооружения предусматривалось использование 122-мм пушки большой мощности или 152-мм орудия. Новый танк должен был иметь дизель в 1000–1200 л.с., обеспечивающий скорость до </w:t>
      </w:r>
      <w:proofErr w:type="gramStart"/>
      <w:r w:rsidRPr="00925F26">
        <w:rPr>
          <w:color w:val="000000" w:themeColor="text1"/>
          <w:sz w:val="16"/>
          <w:szCs w:val="16"/>
        </w:rPr>
        <w:t>60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/ч, механическую планетарную или электромеханическую трансмиссию.</w:t>
      </w:r>
    </w:p>
    <w:p w14:paraId="0D870765"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Челябинский Кировский завода, загруженный работами по обеспечению серийного выпуска танков ИС-2 и самоходок, а также доведению и испытанию своего нового танка «объект 701», сильно затянул с проектированием. Его вариант машины мощного бронирования был готов лишь осенью 1946 года. Этот танк, получивший обозначение «объект 705», представлял собой 100-тонную машину с экипажем из пяти человек, вооруженную 130 или 152-мм орудием и пятью пулеметами (три 14,5-мм и четыре 7,62-мм). В качестве силовой установки планировалось использовать дизель мощностью 1800–2000 л.с., проектированием которого занимался двигательный отдел ЧКЗ под руководством И.Я. Трашутина. Однако из-за работ по подготовке к серийному выпуску танка ИС-4 и его последующей доработке, завершение проектирования «объекта 705» передвинулось сначала на осень 1947 года, затем — на 1948-й. А в октябре 1949 года все работы по «объекту 705» прекратили (17434).</w:t>
      </w:r>
    </w:p>
    <w:p w14:paraId="10336D62" w14:textId="77777777" w:rsidR="00092917" w:rsidRPr="00925F26" w:rsidRDefault="00092917" w:rsidP="00925F26">
      <w:pPr>
        <w:pStyle w:val="ae"/>
        <w:spacing w:before="0" w:after="0"/>
        <w:jc w:val="both"/>
        <w:rPr>
          <w:color w:val="000000" w:themeColor="text1"/>
          <w:sz w:val="16"/>
          <w:szCs w:val="16"/>
        </w:rPr>
      </w:pPr>
    </w:p>
    <w:p w14:paraId="0B23FE5B" w14:textId="77777777" w:rsidR="001C340E" w:rsidRPr="001A0BAA" w:rsidRDefault="001C340E" w:rsidP="001C340E">
      <w:pPr>
        <w:jc w:val="both"/>
        <w:rPr>
          <w:color w:val="0070C0"/>
          <w:sz w:val="16"/>
          <w:szCs w:val="16"/>
        </w:rPr>
      </w:pPr>
      <w:r w:rsidRPr="001A0BAA">
        <w:rPr>
          <w:color w:val="0070C0"/>
          <w:sz w:val="16"/>
          <w:szCs w:val="16"/>
        </w:rPr>
        <w:t>В начале 1945 года, захваченную в Венгрии САУ «Хетцер» испытывали совместно с СУ-57б, причем в заключении говорилось:</w:t>
      </w:r>
    </w:p>
    <w:p w14:paraId="7EE1A4A0" w14:textId="77777777" w:rsidR="001C340E" w:rsidRPr="001A0BAA" w:rsidRDefault="001C340E" w:rsidP="001C340E">
      <w:pPr>
        <w:jc w:val="both"/>
        <w:rPr>
          <w:color w:val="0070C0"/>
          <w:sz w:val="16"/>
          <w:szCs w:val="16"/>
        </w:rPr>
      </w:pPr>
      <w:r w:rsidRPr="001A0BAA">
        <w:rPr>
          <w:color w:val="0070C0"/>
          <w:sz w:val="16"/>
          <w:szCs w:val="16"/>
        </w:rPr>
        <w:t>«Таким образом, немецкий опыт танкостроения показывает, что применение малоразмерных безбашенных танков в современной войне полностью себя оправдало… Сравнение немецкого безбашенного танка типа „оса‛ с машиной СУ-57б горьковского завода, имеющими сходную массу, показывает некоторые преимущества отечественной машины, связанные с применением дизель-мотора… Весьма удачным следует считать установку на крыше немецкого танка оборонительного пулемета с возможностью ведения огня из-за брони… К недостаткам СУ-57б можно отнести отсутствие в ее боекомплекте мощного осколочного или осколочно-фугасного снаряда…» (25343).</w:t>
      </w:r>
    </w:p>
    <w:p w14:paraId="3175777A" w14:textId="77777777" w:rsidR="001C340E" w:rsidRPr="001A0BAA" w:rsidRDefault="001C340E" w:rsidP="001C340E">
      <w:pPr>
        <w:jc w:val="both"/>
        <w:rPr>
          <w:color w:val="0070C0"/>
          <w:sz w:val="16"/>
          <w:szCs w:val="16"/>
        </w:rPr>
      </w:pPr>
    </w:p>
    <w:p w14:paraId="1FF80B3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заводом № 112 и НИИ-627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09D302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F1FCA7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проходили испытания 4-х специально пе</w:t>
      </w:r>
      <w:r w:rsidRPr="00925F26">
        <w:rPr>
          <w:color w:val="000000" w:themeColor="text1"/>
          <w:sz w:val="16"/>
          <w:szCs w:val="16"/>
        </w:rPr>
        <w:softHyphen/>
        <w:t>реоборудованных танков, оснащенных стабилизаторами (названные разработчиком Т-34-85-СТ). Испытания показали многообещающие результаты. Стабилизатор облег</w:t>
      </w:r>
      <w:r w:rsidRPr="00925F26">
        <w:rPr>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925F26">
        <w:rPr>
          <w:color w:val="000000" w:themeColor="text1"/>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01A810F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79F17B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заводом № 112 для проведения полигонных ис</w:t>
      </w:r>
      <w:r w:rsidRPr="00925F26">
        <w:rPr>
          <w:color w:val="000000" w:themeColor="text1"/>
          <w:sz w:val="16"/>
          <w:szCs w:val="16"/>
        </w:rPr>
        <w:softHyphen/>
        <w:t>пытаний была выпущена опытная партия из пяти танков Т-34-85, осна</w:t>
      </w:r>
      <w:r w:rsidRPr="00925F26">
        <w:rPr>
          <w:color w:val="000000" w:themeColor="text1"/>
          <w:sz w:val="16"/>
          <w:szCs w:val="16"/>
        </w:rPr>
        <w:softHyphen/>
        <w:t>щенных этим одноплоскостным стабилизатором. Из-за больших разме</w:t>
      </w:r>
      <w:r w:rsidRPr="00925F26">
        <w:rPr>
          <w:color w:val="000000" w:themeColor="text1"/>
          <w:sz w:val="16"/>
          <w:szCs w:val="16"/>
        </w:rPr>
        <w:softHyphen/>
        <w:t>ров узлов и механизмов силовые стабилизаторы не были установлены в серийных танках (10703).</w:t>
      </w:r>
    </w:p>
    <w:p w14:paraId="1D5D8E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92B64A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на завод № 183 были поставлены два восьмишпиндельных полуавтомата «Буллард». Начиная с этого момента механический цех на заводе мог сам изготавливать все новые 5-скоростные КПП самостоятельно, а не получать детали для их сборки по кооперации с других предприятий.</w:t>
      </w:r>
    </w:p>
    <w:p w14:paraId="00C2561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Была внедрена технология расточки бандажей до диамет</w:t>
      </w:r>
      <w:r w:rsidRPr="00925F26">
        <w:rPr>
          <w:color w:val="000000" w:themeColor="text1"/>
          <w:sz w:val="16"/>
          <w:szCs w:val="16"/>
        </w:rPr>
        <w:softHyphen/>
        <w:t>ра 660 мм без предварительной черновой обработки. В част</w:t>
      </w:r>
      <w:r w:rsidRPr="00925F26">
        <w:rPr>
          <w:color w:val="000000" w:themeColor="text1"/>
          <w:sz w:val="16"/>
          <w:szCs w:val="16"/>
        </w:rPr>
        <w:softHyphen/>
        <w:t>ности все необходимые для наварки шин канавки на глубину 60% от установленной формировались за один проход (11135).</w:t>
      </w:r>
    </w:p>
    <w:p w14:paraId="3A6CAD1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63A3F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w:t>
      </w:r>
      <w:r w:rsidRPr="00925F26">
        <w:rPr>
          <w:color w:val="000000" w:themeColor="text1"/>
          <w:sz w:val="16"/>
          <w:szCs w:val="16"/>
        </w:rPr>
        <w:softHyphen/>
        <w:t>чале 1945 г. в целях дальнейшего усиления огневой мощи средних танков завод № 183 изготовил и испытал опытный образец средне</w:t>
      </w:r>
      <w:r w:rsidRPr="00925F26">
        <w:rPr>
          <w:color w:val="000000" w:themeColor="text1"/>
          <w:sz w:val="16"/>
          <w:szCs w:val="16"/>
        </w:rPr>
        <w:softHyphen/>
        <w:t>го танка со 100-мм пушкой ЛБ-1, разработанной заводом № 92. В фев</w:t>
      </w:r>
      <w:r w:rsidRPr="00925F26">
        <w:rPr>
          <w:color w:val="000000" w:themeColor="text1"/>
          <w:sz w:val="16"/>
          <w:szCs w:val="16"/>
        </w:rPr>
        <w:softHyphen/>
        <w:t>рале 1945 г. завод № 9 спроектировал и изготовил 100-мм нарезную пушку Д- ЮТ,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925F26">
        <w:rPr>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339F953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C2CDC77" w14:textId="77777777" w:rsidR="00573476" w:rsidRPr="00925F26" w:rsidRDefault="00573476" w:rsidP="00925F26">
      <w:pPr>
        <w:jc w:val="both"/>
        <w:rPr>
          <w:color w:val="000000" w:themeColor="text1"/>
          <w:sz w:val="16"/>
          <w:szCs w:val="16"/>
        </w:rPr>
      </w:pPr>
      <w:r w:rsidRPr="00925F26">
        <w:rPr>
          <w:color w:val="000000" w:themeColor="text1"/>
          <w:sz w:val="16"/>
          <w:szCs w:val="16"/>
        </w:rPr>
        <w:t>В начале 1945 года новый танк поручивший обозначение Т-34-100, изготовили, а с 28 февраля по 2 марта в нем испытывалась стрельбой (1000 выстрелов) и возкой (500 километров пробега) 100-мм пушка ЗИС-100 завода № 92 НКВ. В выводах об испытаниях говорилось:</w:t>
      </w:r>
    </w:p>
    <w:p w14:paraId="30128784" w14:textId="77777777" w:rsidR="00573476" w:rsidRPr="00925F26" w:rsidRDefault="00573476" w:rsidP="00925F26">
      <w:pPr>
        <w:jc w:val="both"/>
        <w:rPr>
          <w:color w:val="000000" w:themeColor="text1"/>
          <w:sz w:val="16"/>
          <w:szCs w:val="16"/>
        </w:rPr>
      </w:pPr>
      <w:r w:rsidRPr="00925F26">
        <w:rPr>
          <w:color w:val="000000" w:themeColor="text1"/>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51E594F7" w14:textId="77777777" w:rsidR="00573476" w:rsidRPr="00925F26" w:rsidRDefault="00573476" w:rsidP="00925F26">
      <w:pPr>
        <w:jc w:val="both"/>
        <w:rPr>
          <w:color w:val="000000" w:themeColor="text1"/>
          <w:sz w:val="16"/>
          <w:szCs w:val="16"/>
        </w:rPr>
      </w:pPr>
      <w:r w:rsidRPr="00925F26">
        <w:rPr>
          <w:color w:val="000000" w:themeColor="text1"/>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6F90A28A" w14:textId="77777777" w:rsidR="00573476" w:rsidRPr="00925F26" w:rsidRDefault="00573476" w:rsidP="00925F26">
      <w:pPr>
        <w:jc w:val="both"/>
        <w:rPr>
          <w:color w:val="000000" w:themeColor="text1"/>
          <w:sz w:val="16"/>
          <w:szCs w:val="16"/>
        </w:rPr>
      </w:pPr>
      <w:r w:rsidRPr="00925F26">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1AB88E08" w14:textId="77777777" w:rsidR="00573476" w:rsidRPr="00925F26" w:rsidRDefault="00573476" w:rsidP="00925F26">
      <w:pPr>
        <w:jc w:val="both"/>
        <w:rPr>
          <w:color w:val="000000" w:themeColor="text1"/>
          <w:sz w:val="16"/>
          <w:szCs w:val="16"/>
        </w:rPr>
      </w:pPr>
      <w:r w:rsidRPr="00925F26">
        <w:rPr>
          <w:color w:val="000000" w:themeColor="text1"/>
          <w:sz w:val="16"/>
          <w:szCs w:val="16"/>
        </w:rPr>
        <w:lastRenderedPageBreak/>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артсистемы для новых типов средних танков, а Т-34-100 - как стенд для испытания 100-мм орудий (12217).</w:t>
      </w:r>
    </w:p>
    <w:p w14:paraId="352D9329" w14:textId="77777777" w:rsidR="00573476" w:rsidRPr="00925F26" w:rsidRDefault="00573476" w:rsidP="00925F26">
      <w:pPr>
        <w:jc w:val="both"/>
        <w:rPr>
          <w:color w:val="000000" w:themeColor="text1"/>
          <w:sz w:val="16"/>
          <w:szCs w:val="16"/>
        </w:rPr>
      </w:pPr>
    </w:p>
    <w:p w14:paraId="307365F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были продолжены дальнейшие работы по созданию электромеханических трансмис</w:t>
      </w:r>
      <w:r w:rsidRPr="00925F26">
        <w:rPr>
          <w:color w:val="000000" w:themeColor="text1"/>
          <w:sz w:val="16"/>
          <w:szCs w:val="16"/>
        </w:rPr>
        <w:softHyphen/>
        <w:t>сий в нашей стране, когда начались проектные работы над новым тяжелым танком ИС-7. Было разработано несколько проектов тяжелого танка с электромеханической трансмис</w:t>
      </w:r>
      <w:r w:rsidRPr="00925F26">
        <w:rPr>
          <w:color w:val="000000" w:themeColor="text1"/>
          <w:sz w:val="16"/>
          <w:szCs w:val="16"/>
        </w:rPr>
        <w:softHyphen/>
        <w:t>сией. Проекты этих машин получили заводское обозначение "Объект 257", "Объект 259", "Объект 260" и "Объект 261". В трансмиссиях этих машин планировалось использование тяговых реверсивных электро</w:t>
      </w:r>
      <w:r w:rsidRPr="00925F26">
        <w:rPr>
          <w:color w:val="000000" w:themeColor="text1"/>
          <w:sz w:val="16"/>
          <w:szCs w:val="16"/>
        </w:rPr>
        <w:softHyphen/>
        <w:t>двигателей постоянного тока с электропитанием независимых обмоток возбуждения от электромашинных усилителей. Изменение передаточ</w:t>
      </w:r>
      <w:r w:rsidRPr="00925F26">
        <w:rPr>
          <w:color w:val="000000" w:themeColor="text1"/>
          <w:sz w:val="16"/>
          <w:szCs w:val="16"/>
        </w:rPr>
        <w:softHyphen/>
        <w:t>ных чисел трансмиссии в разработанных проектах было выполнено сту</w:t>
      </w:r>
      <w:r w:rsidRPr="00925F26">
        <w:rPr>
          <w:color w:val="000000" w:themeColor="text1"/>
          <w:sz w:val="16"/>
          <w:szCs w:val="16"/>
        </w:rPr>
        <w:softHyphen/>
        <w:t>пенчатым (по типу управления танка ЭКВ). Управление осуществля</w:t>
      </w:r>
      <w:r w:rsidRPr="00925F26">
        <w:rPr>
          <w:color w:val="000000" w:themeColor="text1"/>
          <w:sz w:val="16"/>
          <w:szCs w:val="16"/>
        </w:rPr>
        <w:softHyphen/>
        <w:t>лось за счет переключения двух тяговых электродвигателей либо после</w:t>
      </w:r>
      <w:r w:rsidRPr="00925F26">
        <w:rPr>
          <w:color w:val="000000" w:themeColor="text1"/>
          <w:sz w:val="16"/>
          <w:szCs w:val="16"/>
        </w:rPr>
        <w:softHyphen/>
        <w:t>довательно, либо параллельно. В проекте танка "Объект 260" был при</w:t>
      </w:r>
      <w:r w:rsidRPr="00925F26">
        <w:rPr>
          <w:color w:val="000000" w:themeColor="text1"/>
          <w:sz w:val="16"/>
          <w:szCs w:val="16"/>
        </w:rPr>
        <w:softHyphen/>
        <w:t>менен один тяговый двигатель, что значительно упростило электрическую схему, так как поворот машины осуществлялся с помощью ПМП. В проекте танка "Объект 261" использовался блок двух дизелей и тягово</w:t>
      </w:r>
      <w:r w:rsidRPr="00925F26">
        <w:rPr>
          <w:color w:val="000000" w:themeColor="text1"/>
          <w:sz w:val="16"/>
          <w:szCs w:val="16"/>
        </w:rPr>
        <w:softHyphen/>
        <w:t>го генератора ГТ-261. Проекты этих машин не были воплощены в ме</w:t>
      </w:r>
      <w:r w:rsidRPr="00925F26">
        <w:rPr>
          <w:color w:val="000000" w:themeColor="text1"/>
          <w:sz w:val="16"/>
          <w:szCs w:val="16"/>
        </w:rPr>
        <w:softHyphen/>
        <w:t>талле. Дальнейшие работы по созданию электромеханической транс</w:t>
      </w:r>
      <w:r w:rsidRPr="00925F26">
        <w:rPr>
          <w:color w:val="000000" w:themeColor="text1"/>
          <w:sz w:val="16"/>
          <w:szCs w:val="16"/>
        </w:rPr>
        <w:softHyphen/>
        <w:t>миссии для тяжелого отечественного танка были продолжены уже по</w:t>
      </w:r>
      <w:r w:rsidRPr="00925F26">
        <w:rPr>
          <w:color w:val="000000" w:themeColor="text1"/>
          <w:sz w:val="16"/>
          <w:szCs w:val="16"/>
        </w:rPr>
        <w:softHyphen/>
        <w:t>сле войны в ходе дальнейших работ по танку "Объект 701" и разработ</w:t>
      </w:r>
      <w:r w:rsidRPr="00925F26">
        <w:rPr>
          <w:color w:val="000000" w:themeColor="text1"/>
          <w:sz w:val="16"/>
          <w:szCs w:val="16"/>
        </w:rPr>
        <w:softHyphen/>
        <w:t>ки для него электромеханической трансмиссии ЭМТ-701. Одновременно с опытно-конструкторскими работами по созданию тяжелого танка на заводе № 100 в конструкторском бюро ЧКЗ по своей инициативе, начиная с июля 1943 г. на основании тактико-технических требований ГБТУ была начата ОКР по созданию нового тяжелого тан</w:t>
      </w:r>
      <w:r w:rsidRPr="00925F26">
        <w:rPr>
          <w:color w:val="000000" w:themeColor="text1"/>
          <w:sz w:val="16"/>
          <w:szCs w:val="16"/>
        </w:rPr>
        <w:softHyphen/>
        <w:t>ка, который получил заводское обозначение, отличное от ранее установ</w:t>
      </w:r>
      <w:r w:rsidRPr="00925F26">
        <w:rPr>
          <w:color w:val="000000" w:themeColor="text1"/>
          <w:sz w:val="16"/>
          <w:szCs w:val="16"/>
        </w:rPr>
        <w:softHyphen/>
        <w:t>ленных для ЧКЗ и завода № 100 - "Объект 701". Завод поставил перед собой задачу — сделать новый тяжелый танк, который по своим БТХ, конструктивному оформлению превосходил бы как отечественные, так и иностранные тяжелые танки. В проектировании танка также прини</w:t>
      </w:r>
      <w:r w:rsidRPr="00925F26">
        <w:rPr>
          <w:color w:val="000000" w:themeColor="text1"/>
          <w:sz w:val="16"/>
          <w:szCs w:val="16"/>
        </w:rPr>
        <w:softHyphen/>
        <w:t>мали участие группы конструкторов по трансмиссии - из МВТУ им. Баумана и по вооружению — из ЦАКБ НКВ. Эскизный проект нового танка был утвержден 10 декабря 1943 г. (10703).</w:t>
      </w:r>
    </w:p>
    <w:p w14:paraId="561B4E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0A27727" w14:textId="77777777" w:rsidR="001E5A84" w:rsidRPr="00925F26" w:rsidRDefault="001E5A84" w:rsidP="00925F26">
      <w:pPr>
        <w:shd w:val="clear" w:color="auto" w:fill="FFFFFF"/>
        <w:jc w:val="both"/>
        <w:rPr>
          <w:color w:val="000000" w:themeColor="text1"/>
          <w:sz w:val="16"/>
          <w:szCs w:val="16"/>
        </w:rPr>
      </w:pPr>
      <w:r w:rsidRPr="00925F26">
        <w:rPr>
          <w:color w:val="000000" w:themeColor="text1"/>
          <w:sz w:val="16"/>
          <w:szCs w:val="16"/>
        </w:rPr>
        <w:t>По состоянию на начало 1945 года работы по ИС-6 оказались свёрнуты, и завод №100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НКТП! Не последнюю роль в этих напряжённых отношениях сыграла история с ИС-6, который столь упрямо проталкивался Котиным и который при этом всё равно проиграл Объекту 701 (16735).</w:t>
      </w:r>
    </w:p>
    <w:p w14:paraId="23C208E2" w14:textId="77777777" w:rsidR="001E5A84" w:rsidRPr="00925F26" w:rsidRDefault="001E5A84" w:rsidP="00925F26">
      <w:pPr>
        <w:jc w:val="both"/>
        <w:rPr>
          <w:rStyle w:val="107"/>
          <w:rFonts w:eastAsiaTheme="minorHAnsi"/>
          <w:color w:val="000000" w:themeColor="text1"/>
          <w:sz w:val="16"/>
          <w:szCs w:val="16"/>
        </w:rPr>
      </w:pPr>
    </w:p>
    <w:p w14:paraId="38FBF761"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года завод №100 разработал спарку 122-мм орудий Д-25с на шасси ИСУ. Первое упоминание данной разработки датировано мартом 1945 года, и вот ведь совпадение. Проекты танков СТ-I и СТ-II прибыли в отдел изобретений ГБТУ КА в мае 1945 года, буквально спустя 2 месяца. Вряд ли такое бывает случайно (23482).</w:t>
      </w:r>
    </w:p>
    <w:p w14:paraId="354E0D5F" w14:textId="77777777" w:rsidR="0058703C" w:rsidRPr="00925F26" w:rsidRDefault="0058703C" w:rsidP="00925F26">
      <w:pPr>
        <w:jc w:val="both"/>
        <w:rPr>
          <w:color w:val="000000" w:themeColor="text1"/>
          <w:sz w:val="16"/>
          <w:szCs w:val="16"/>
        </w:rPr>
      </w:pPr>
    </w:p>
    <w:p w14:paraId="65DB875D" w14:textId="77777777" w:rsidR="00712FB3" w:rsidRPr="00925F26" w:rsidRDefault="00712FB3" w:rsidP="00925F26">
      <w:pPr>
        <w:jc w:val="both"/>
        <w:rPr>
          <w:color w:val="000000" w:themeColor="text1"/>
          <w:sz w:val="16"/>
          <w:szCs w:val="16"/>
        </w:rPr>
      </w:pPr>
      <w:r w:rsidRPr="00925F26">
        <w:rPr>
          <w:color w:val="000000" w:themeColor="text1"/>
          <w:sz w:val="16"/>
          <w:szCs w:val="16"/>
        </w:rPr>
        <w:t>В начале 1945 года началось боевое применение СУ-100. Организационно полки, вооружённые СУ-100, имели ту же структуру, что и самоходные артиллерийские полки (САП), оснащавшиеся СУ-85. По штату №010/462 в полку имелась 21 машина (четыре батареи по пять машин в каждой плюс командирская машина). Так как производство СУ-100 началось в сентябре 1944 года, а фактические поставки в войска — ближе к ноябрю, эта машина оказалась куда менее заметным явлением на поле боя. На дату боевого дебюта СУ-100 повлияли и выявившиеся дефекты, прежде всего, выход из строя передних опорных катков. Также поступали жалобы на различные детали орудийной установки, а также трещины, проявлявшиеся в месте стыка бортов рубки и «косынок».</w:t>
      </w:r>
    </w:p>
    <w:p w14:paraId="31E4DCA5" w14:textId="32433CFE" w:rsidR="00712FB3" w:rsidRPr="00925F26" w:rsidRDefault="00712FB3" w:rsidP="00925F26">
      <w:pPr>
        <w:jc w:val="both"/>
        <w:rPr>
          <w:color w:val="000000" w:themeColor="text1"/>
          <w:sz w:val="16"/>
          <w:szCs w:val="16"/>
        </w:rPr>
      </w:pPr>
      <w:r w:rsidRPr="00925F26">
        <w:rPr>
          <w:color w:val="000000" w:themeColor="text1"/>
          <w:sz w:val="16"/>
          <w:szCs w:val="16"/>
        </w:rPr>
        <w:t>Одними из первых СУ-100 применили САП, входившие в состав 1-го Гвардейского танкового корпуса. Это произошло в начале января 1945 года во время боёв в Венгрии. К 5 января в состав корпуса вошли 1453-й САП, 1821-й САП и 382-й ГвСАП, имевшие на вооружении новые САУ. Впервые новые машины по-настоящему показали себя 11 января, когда, по данным командования корпуса,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w:t>
      </w:r>
      <w:r w:rsidR="00997EDF" w:rsidRPr="00925F26">
        <w:rPr>
          <w:color w:val="000000" w:themeColor="text1"/>
          <w:sz w:val="16"/>
          <w:szCs w:val="16"/>
        </w:rPr>
        <w:t xml:space="preserve">  </w:t>
      </w:r>
      <w:hyperlink r:id="rId18" w:history="1">
        <w:r w:rsidRPr="00925F26">
          <w:rPr>
            <w:rStyle w:val="a5"/>
            <w:color w:val="000000" w:themeColor="text1"/>
            <w:sz w:val="16"/>
            <w:szCs w:val="16"/>
          </w:rPr>
          <w:t>на подступах к Будапешту</w:t>
        </w:r>
      </w:hyperlink>
      <w:r w:rsidRPr="00925F26">
        <w:rPr>
          <w:color w:val="000000" w:themeColor="text1"/>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33F161F6" w14:textId="77777777" w:rsidR="00712FB3" w:rsidRPr="00925F26" w:rsidRDefault="00712FB3" w:rsidP="00925F26">
      <w:pPr>
        <w:jc w:val="both"/>
        <w:rPr>
          <w:color w:val="000000" w:themeColor="text1"/>
          <w:sz w:val="16"/>
          <w:szCs w:val="16"/>
        </w:rPr>
      </w:pPr>
      <w:r w:rsidRPr="00925F26">
        <w:rPr>
          <w:color w:val="000000" w:themeColor="text1"/>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4E47E0CD" w14:textId="6826166E" w:rsidR="00712FB3" w:rsidRPr="00925F26" w:rsidRDefault="00712FB3" w:rsidP="00925F26">
      <w:pPr>
        <w:jc w:val="both"/>
        <w:rPr>
          <w:color w:val="000000" w:themeColor="text1"/>
          <w:sz w:val="16"/>
          <w:szCs w:val="16"/>
        </w:rPr>
      </w:pPr>
      <w:r w:rsidRPr="00925F26">
        <w:rPr>
          <w:color w:val="000000" w:themeColor="text1"/>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w:t>
      </w:r>
      <w:r w:rsidR="00997EDF" w:rsidRPr="00925F26">
        <w:rPr>
          <w:color w:val="000000" w:themeColor="text1"/>
          <w:sz w:val="16"/>
          <w:szCs w:val="16"/>
        </w:rPr>
        <w:t xml:space="preserve">  </w:t>
      </w:r>
      <w:hyperlink r:id="rId19" w:history="1">
        <w:r w:rsidRPr="00925F26">
          <w:rPr>
            <w:rStyle w:val="a5"/>
            <w:color w:val="000000" w:themeColor="text1"/>
            <w:sz w:val="16"/>
            <w:szCs w:val="16"/>
          </w:rPr>
          <w:t>в районе озера Балатон</w:t>
        </w:r>
      </w:hyperlink>
      <w:r w:rsidRPr="00925F26">
        <w:rPr>
          <w:color w:val="000000" w:themeColor="text1"/>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3687E86C" w14:textId="77777777" w:rsidR="00712FB3" w:rsidRPr="00925F26" w:rsidRDefault="00712FB3" w:rsidP="00925F26">
      <w:pPr>
        <w:jc w:val="both"/>
        <w:rPr>
          <w:color w:val="000000" w:themeColor="text1"/>
          <w:sz w:val="16"/>
          <w:szCs w:val="16"/>
        </w:rPr>
      </w:pPr>
      <w:r w:rsidRPr="00925F26">
        <w:rPr>
          <w:color w:val="000000" w:themeColor="text1"/>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16EC49CF" w14:textId="77777777" w:rsidR="00712FB3" w:rsidRPr="00925F26" w:rsidRDefault="00712FB3" w:rsidP="00925F26">
      <w:pPr>
        <w:jc w:val="both"/>
        <w:rPr>
          <w:color w:val="000000" w:themeColor="text1"/>
          <w:sz w:val="16"/>
          <w:szCs w:val="16"/>
        </w:rPr>
      </w:pPr>
      <w:r w:rsidRPr="00925F26">
        <w:rPr>
          <w:color w:val="000000" w:themeColor="text1"/>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01D8441F" w14:textId="77777777" w:rsidR="00712FB3" w:rsidRPr="00925F26" w:rsidRDefault="00712FB3" w:rsidP="00925F26">
      <w:pPr>
        <w:jc w:val="both"/>
        <w:rPr>
          <w:color w:val="000000" w:themeColor="text1"/>
          <w:sz w:val="16"/>
          <w:szCs w:val="16"/>
        </w:rPr>
      </w:pPr>
    </w:p>
    <w:p w14:paraId="60BA1C65"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По состоянию на начало 1945 года работы по ИС-6 в КБ опытного завода №100 оказались свернуты, и завод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w:t>
      </w:r>
      <w:hyperlink r:id="rId20" w:history="1">
        <w:r w:rsidRPr="00925F26">
          <w:rPr>
            <w:rStyle w:val="a5"/>
            <w:color w:val="000000" w:themeColor="text1"/>
            <w:sz w:val="16"/>
            <w:szCs w:val="16"/>
          </w:rPr>
          <w:t>наркома танковой промышленности В.А. Малышева</w:t>
        </w:r>
      </w:hyperlink>
      <w:r w:rsidRPr="00925F26">
        <w:rPr>
          <w:color w:val="000000" w:themeColor="text1"/>
          <w:sz w:val="16"/>
          <w:szCs w:val="16"/>
        </w:rPr>
        <w:t>! Не последнюю роль в этих напряженных отношениях сыграла история с ИС-6, который столь упрямо проталкивался Котиным и который при этом все равно проиграл Объекту 701 (17209).</w:t>
      </w:r>
    </w:p>
    <w:p w14:paraId="5EE0454E" w14:textId="77777777" w:rsidR="00FA59CB" w:rsidRPr="00925F26" w:rsidRDefault="00FA59CB" w:rsidP="00925F26">
      <w:pPr>
        <w:pStyle w:val="ae"/>
        <w:shd w:val="clear" w:color="auto" w:fill="FFFFFF"/>
        <w:spacing w:before="0" w:after="0"/>
        <w:jc w:val="both"/>
        <w:rPr>
          <w:color w:val="000000" w:themeColor="text1"/>
          <w:sz w:val="16"/>
          <w:szCs w:val="16"/>
        </w:rPr>
      </w:pPr>
    </w:p>
    <w:p w14:paraId="5CCFA06B" w14:textId="77777777" w:rsidR="00712FB3" w:rsidRPr="00925F26" w:rsidRDefault="00712FB3" w:rsidP="00925F26">
      <w:pPr>
        <w:jc w:val="both"/>
        <w:rPr>
          <w:color w:val="000000" w:themeColor="text1"/>
          <w:sz w:val="16"/>
          <w:szCs w:val="16"/>
        </w:rPr>
      </w:pPr>
      <w:r w:rsidRPr="00925F26">
        <w:rPr>
          <w:color w:val="000000" w:themeColor="text1"/>
          <w:sz w:val="16"/>
          <w:szCs w:val="16"/>
        </w:rPr>
        <w:t>С начала 1945 года, запустили разработку самоходной установки с использованием шасси «Кировца-1». Как и в случае с ИСУ-152, ведущим инженером машины являлся Л.С. Троянов. В переписке завода данная машина проходила как «Кировец-2», при этом машина получила чертёжный индекс 704 (также использовалось обозначение Объект 704). В отечественной литературе данную машину нередко называют ИСУ-152 обр.1945 года, но это не более чем послевоенное «изобретение». С большой долей вероятности придумали этот индекс в Кубинке, где Объект 704 всё ещё хранится как музейный экспонат (18636).</w:t>
      </w:r>
    </w:p>
    <w:p w14:paraId="244A15F8" w14:textId="77777777" w:rsidR="00712FB3" w:rsidRPr="00925F26" w:rsidRDefault="00712FB3" w:rsidP="00925F26">
      <w:pPr>
        <w:jc w:val="both"/>
        <w:rPr>
          <w:color w:val="000000" w:themeColor="text1"/>
          <w:sz w:val="16"/>
          <w:szCs w:val="16"/>
        </w:rPr>
      </w:pPr>
    </w:p>
    <w:p w14:paraId="4939908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1945 г. автозаво</w:t>
      </w:r>
      <w:r w:rsidRPr="00925F26">
        <w:rPr>
          <w:color w:val="000000" w:themeColor="text1"/>
          <w:sz w:val="16"/>
          <w:szCs w:val="16"/>
        </w:rPr>
        <w:softHyphen/>
        <w:t>дом был изготовлен опытный образец Самоходной установки СУ-85Б (СУ-15Б), которая была разработана в КБ Горковского автозавода под руководством Н.А. Астрова в 1944 г. и явля</w:t>
      </w:r>
      <w:r w:rsidRPr="00925F26">
        <w:rPr>
          <w:color w:val="000000" w:themeColor="text1"/>
          <w:sz w:val="16"/>
          <w:szCs w:val="16"/>
        </w:rPr>
        <w:softHyphen/>
        <w:t>лась модернизированным вариантом СУ-85А, который в апреле - мае 1945 г. ус</w:t>
      </w:r>
      <w:r w:rsidRPr="00925F26">
        <w:rPr>
          <w:color w:val="000000" w:themeColor="text1"/>
          <w:sz w:val="16"/>
          <w:szCs w:val="16"/>
        </w:rPr>
        <w:softHyphen/>
        <w:t>пешно выдержал испытания на НИБТ полигоне и был рекомендован для принятия на вооружение. В связи с окончанием Великой Отечест</w:t>
      </w:r>
      <w:r w:rsidRPr="00925F26">
        <w:rPr>
          <w:color w:val="000000" w:themeColor="text1"/>
          <w:sz w:val="16"/>
          <w:szCs w:val="16"/>
        </w:rPr>
        <w:softHyphen/>
        <w:t>венной войны в серийном производстве СУ-85Б не состояла. Машина была создана на базе установки СУ-85А и отличалась от последней вооружением, броневой защитой и увеличенной мощностью силовой установки. Кроме того, была улучшена обзорность из броневой рубки. Экипаж состоял из четырех человек (10703).</w:t>
      </w:r>
    </w:p>
    <w:p w14:paraId="406B59A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715BFD43" w14:textId="77777777" w:rsidR="005C1F60" w:rsidRPr="00925F26" w:rsidRDefault="005C1F60" w:rsidP="00925F26">
      <w:pPr>
        <w:pStyle w:val="ae"/>
        <w:spacing w:before="0" w:after="0"/>
        <w:jc w:val="both"/>
        <w:textAlignment w:val="baseline"/>
        <w:rPr>
          <w:color w:val="000000" w:themeColor="text1"/>
          <w:sz w:val="16"/>
          <w:szCs w:val="16"/>
        </w:rPr>
      </w:pPr>
      <w:r w:rsidRPr="00925F26">
        <w:rPr>
          <w:color w:val="000000" w:themeColor="text1"/>
          <w:sz w:val="16"/>
          <w:szCs w:val="16"/>
        </w:rPr>
        <w:t>В начале 1945 года в бой пошли СУ-100, имевшие лучшую защиту лобовой части и куда более мощные орудия. Но СУ-85 оставались основными советскими САУ до самого конца войны. Эти машины, в том числе некоторое количество СУ-85М, оказались и на вооружении Войска Польского. После войны эти машины состояли на вооружении польской армии вместе с СУ-100. Именно в Польше до наших дней сохранилось больше всего комплектных машин этого типа. Кроме двух уцелевших СУ-85, в военном музее города Познань имеется единственная сохранившаяся СУ-85М. Всего же до наших дней в том или ином виде дожило 11 СУ-85. Наиболее интересный экземпляр находится в Тбилиси. Это единственная сохранившаяся СУ-85 выпуска 1943 года (17719).</w:t>
      </w:r>
    </w:p>
    <w:p w14:paraId="710FF51D" w14:textId="77777777" w:rsidR="005C1F60" w:rsidRPr="00925F26" w:rsidRDefault="005C1F60" w:rsidP="00925F26">
      <w:pPr>
        <w:jc w:val="both"/>
        <w:rPr>
          <w:rStyle w:val="107"/>
          <w:rFonts w:eastAsiaTheme="minorHAnsi"/>
          <w:color w:val="000000" w:themeColor="text1"/>
          <w:sz w:val="16"/>
          <w:szCs w:val="16"/>
        </w:rPr>
      </w:pPr>
    </w:p>
    <w:p w14:paraId="0C3B4A75" w14:textId="77777777" w:rsidR="006C4B00" w:rsidRPr="00925F26" w:rsidRDefault="006C4B00" w:rsidP="00925F26">
      <w:pPr>
        <w:jc w:val="both"/>
        <w:rPr>
          <w:color w:val="000000" w:themeColor="text1"/>
          <w:sz w:val="16"/>
          <w:szCs w:val="16"/>
        </w:rPr>
      </w:pPr>
      <w:r w:rsidRPr="00925F26">
        <w:rPr>
          <w:color w:val="000000" w:themeColor="text1"/>
          <w:sz w:val="16"/>
          <w:szCs w:val="16"/>
        </w:rPr>
        <w:t xml:space="preserve">В начале 1945 года НКВ возложил работы по 85-мм орудию для СУ-76М на Центральное артиллерийское конструкторское бюро (ЦАКБ). Там для проведения опытных работ затребовали серийную СУ-76М. Чем закончилась эта история, не совсем понятно, но собственную установку 85-мм орудия ЦАКБ разработало. Данная работа получила обозначение С-68. К сожалению, эскизного проекта не сохранилось, но, судя по описанию, С-68 мало отличалась от установки СУ-76М. В конструкцию рубки вносились изменения, связанные с установкой более громоздкой системы. С-68 также имела дульный тормоз, но длина отката получилась существенно большей </w:t>
      </w:r>
      <w:r w:rsidRPr="00925F26">
        <w:rPr>
          <w:color w:val="000000" w:themeColor="text1"/>
          <w:sz w:val="16"/>
          <w:szCs w:val="16"/>
        </w:rPr>
        <w:lastRenderedPageBreak/>
        <w:t>— 900 мм. Плюсом являлся меньший вес: качающаяся часть СУ-68 имела массу 895 кг, а качающаяся часть ЛБ-2 — 1390 кг. ЛБ-2 ставилась в рамке, а С-68 на вертлюге. Вместо телескопического прицела ТШ-15 предполагалось использовать перископический прицел 10Т. Боекомплект САУ с орудием С-68 должен был состоять из 40 патронов калибра 85 мм.</w:t>
      </w:r>
    </w:p>
    <w:p w14:paraId="59A413CA" w14:textId="77777777" w:rsidR="006C4B00" w:rsidRPr="00925F26" w:rsidRDefault="006C4B00" w:rsidP="00925F26">
      <w:pPr>
        <w:jc w:val="both"/>
        <w:rPr>
          <w:color w:val="000000" w:themeColor="text1"/>
          <w:sz w:val="16"/>
          <w:szCs w:val="16"/>
        </w:rPr>
      </w:pPr>
      <w:r w:rsidRPr="00925F26">
        <w:rPr>
          <w:color w:val="000000" w:themeColor="text1"/>
          <w:sz w:val="16"/>
          <w:szCs w:val="16"/>
        </w:rPr>
        <w:t>Проект ЦАКБ так и остался на бумаге: летом 1945 года от него отказались и в ГАУ, и в ГБТУ, поскольку он уступал ЛБ-2.</w:t>
      </w:r>
    </w:p>
    <w:p w14:paraId="06980973" w14:textId="77777777" w:rsidR="006C4B00" w:rsidRPr="00925F26" w:rsidRDefault="006C4B00" w:rsidP="00925F26">
      <w:pPr>
        <w:jc w:val="both"/>
        <w:rPr>
          <w:color w:val="000000" w:themeColor="text1"/>
          <w:sz w:val="16"/>
          <w:szCs w:val="16"/>
        </w:rPr>
      </w:pPr>
      <w:r w:rsidRPr="00925F26">
        <w:rPr>
          <w:color w:val="000000" w:themeColor="text1"/>
          <w:sz w:val="16"/>
          <w:szCs w:val="16"/>
        </w:rPr>
        <w:t>Как и в СУ-85А, орудие ЛБ-2 устанавливалось с некоторым смещением влево. Правда, смещение стало меньшим: 125 мм вместо 175 мм у Д-5С-85А. Прицельный механизм остался прежним — ломающийся телескопический прицел ТШ-15. Орудийная установка и рубка снова подверглись переделкам. Особенно они были заметны сзади. Вместо невысокого заднего люка появилась полноценная дверь, которая одновременно служила укладкой для пяти патронов к ЛБ-2.</w:t>
      </w:r>
    </w:p>
    <w:p w14:paraId="11AF24D2" w14:textId="77777777" w:rsidR="006C4B00" w:rsidRPr="00925F26" w:rsidRDefault="006C4B00" w:rsidP="00925F26">
      <w:pPr>
        <w:jc w:val="both"/>
        <w:rPr>
          <w:color w:val="000000" w:themeColor="text1"/>
          <w:sz w:val="16"/>
          <w:szCs w:val="16"/>
        </w:rPr>
      </w:pPr>
      <w:r w:rsidRPr="00925F26">
        <w:rPr>
          <w:color w:val="000000" w:themeColor="text1"/>
          <w:sz w:val="16"/>
          <w:szCs w:val="16"/>
        </w:rPr>
        <w:t>Обзорность улучшилась: командир машины получил новый смотровой прибор в лобовом листе рубки, имевший призму по типу командирской башенки американского среднего танка M4A2(</w:t>
      </w:r>
      <w:proofErr w:type="gramStart"/>
      <w:r w:rsidRPr="00925F26">
        <w:rPr>
          <w:color w:val="000000" w:themeColor="text1"/>
          <w:sz w:val="16"/>
          <w:szCs w:val="16"/>
        </w:rPr>
        <w:t>76)W.</w:t>
      </w:r>
      <w:proofErr w:type="gramEnd"/>
      <w:r w:rsidRPr="00925F26">
        <w:rPr>
          <w:color w:val="000000" w:themeColor="text1"/>
          <w:sz w:val="16"/>
          <w:szCs w:val="16"/>
        </w:rPr>
        <w:t xml:space="preserve"> Также переделке подверглись перископические смотровые приборы. Наконец, были учтены замечания к размещению боекомплекта. Из 43 патронов калибра 85 мм в основной укладке перед наводчиком находились 24 штуки. Остальные удалось разместить на правом борту рубки и её корме. Это улучшило условия работы заряжающего.</w:t>
      </w:r>
    </w:p>
    <w:p w14:paraId="07244DEE" w14:textId="77777777" w:rsidR="006C4B00" w:rsidRPr="00925F26" w:rsidRDefault="006C4B00" w:rsidP="00925F26">
      <w:pPr>
        <w:jc w:val="both"/>
        <w:rPr>
          <w:color w:val="000000" w:themeColor="text1"/>
          <w:sz w:val="16"/>
          <w:szCs w:val="16"/>
        </w:rPr>
      </w:pPr>
      <w:r w:rsidRPr="00925F26">
        <w:rPr>
          <w:color w:val="000000" w:themeColor="text1"/>
          <w:sz w:val="16"/>
          <w:szCs w:val="16"/>
        </w:rPr>
        <w:t>Переделка машины в СУ-85Б была закончена к 28 марта 1945 года. Далее последовали заводские испытания. С 28 марта по 5 апреля машина прошла 300 километров, из её орудия произвели 30 выстрелов. 7–8 апреля на Гороховецком АНИОП было сделано ещё 70 выстрелов. Существенное снижение сопротивления откату дало свои результаты. Согласно заводскому отчёту, теперь толчки при выстреле не мешали работе наводчика и командира. Улучшилась ситуация со сбиваемостью прицела при стрельбе, кучность была признана удовлетворительной. Максимальная скорострельность составила 11 выстрелов в минуту, а практическая скорострельность — 10 выстрелов в минуту. Улучшилась и ситуация с защитой боевого отделения при обстреле лобовой части из пулемёта.</w:t>
      </w:r>
    </w:p>
    <w:p w14:paraId="16CE5B6F" w14:textId="77777777" w:rsidR="006C4B00" w:rsidRPr="00925F26" w:rsidRDefault="006C4B00" w:rsidP="00925F26">
      <w:pPr>
        <w:jc w:val="both"/>
        <w:rPr>
          <w:color w:val="000000" w:themeColor="text1"/>
          <w:sz w:val="16"/>
          <w:szCs w:val="16"/>
        </w:rPr>
      </w:pPr>
      <w:r w:rsidRPr="00925F26">
        <w:rPr>
          <w:color w:val="000000" w:themeColor="text1"/>
          <w:sz w:val="16"/>
          <w:szCs w:val="16"/>
        </w:rPr>
        <w:t>Следующий этап испытаний также проходил на Гороховецком АНИОП 20–25 апреля 1945 года.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05967F1B" w14:textId="77777777" w:rsidR="006C4B00" w:rsidRPr="00925F26" w:rsidRDefault="006C4B00" w:rsidP="00925F26">
      <w:pPr>
        <w:jc w:val="both"/>
        <w:rPr>
          <w:color w:val="000000" w:themeColor="text1"/>
          <w:sz w:val="16"/>
          <w:szCs w:val="16"/>
        </w:rPr>
      </w:pPr>
      <w:r w:rsidRPr="00925F26">
        <w:rPr>
          <w:color w:val="000000" w:themeColor="text1"/>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7996D0BF" w14:textId="77777777" w:rsidR="006C4B00" w:rsidRPr="00925F26" w:rsidRDefault="006C4B00" w:rsidP="00925F26">
      <w:pPr>
        <w:jc w:val="both"/>
        <w:rPr>
          <w:color w:val="000000" w:themeColor="text1"/>
          <w:sz w:val="16"/>
          <w:szCs w:val="16"/>
        </w:rPr>
      </w:pPr>
      <w:r w:rsidRPr="00925F26">
        <w:rPr>
          <w:color w:val="000000" w:themeColor="text1"/>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29D33A75" w14:textId="77777777" w:rsidR="006C4B00" w:rsidRPr="00925F26" w:rsidRDefault="006C4B00" w:rsidP="00925F26">
      <w:pPr>
        <w:jc w:val="both"/>
        <w:rPr>
          <w:color w:val="000000" w:themeColor="text1"/>
          <w:sz w:val="16"/>
          <w:szCs w:val="16"/>
        </w:rPr>
      </w:pPr>
    </w:p>
    <w:p w14:paraId="277652C7" w14:textId="77777777" w:rsidR="00712FB3" w:rsidRPr="00925F26" w:rsidRDefault="00712FB3" w:rsidP="00925F26">
      <w:pPr>
        <w:jc w:val="both"/>
        <w:rPr>
          <w:color w:val="000000" w:themeColor="text1"/>
          <w:sz w:val="16"/>
          <w:szCs w:val="16"/>
        </w:rPr>
      </w:pPr>
      <w:r w:rsidRPr="00925F26">
        <w:rPr>
          <w:color w:val="000000" w:themeColor="text1"/>
          <w:sz w:val="16"/>
          <w:szCs w:val="16"/>
        </w:rPr>
        <w:t>В начале 1945 года в процесс модернизации СУ-76 включились конструкторы ГАЗ им. Молотова под руководством Н.А. Астрова. Техническое совещание 12 января 1945 года рассмотрело проекты модернизации, предложенные этим предприятием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01525F95" w14:textId="77777777" w:rsidR="00712FB3" w:rsidRPr="00925F26" w:rsidRDefault="00712FB3" w:rsidP="00925F26">
      <w:pPr>
        <w:jc w:val="both"/>
        <w:rPr>
          <w:color w:val="000000" w:themeColor="text1"/>
          <w:sz w:val="16"/>
          <w:szCs w:val="16"/>
        </w:rPr>
      </w:pPr>
      <w:r w:rsidRPr="00925F26">
        <w:rPr>
          <w:color w:val="000000" w:themeColor="text1"/>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50298EF3" w14:textId="77777777" w:rsidR="00712FB3" w:rsidRPr="00925F26" w:rsidRDefault="00712FB3" w:rsidP="00925F26">
      <w:pPr>
        <w:jc w:val="both"/>
        <w:rPr>
          <w:color w:val="000000" w:themeColor="text1"/>
          <w:sz w:val="16"/>
          <w:szCs w:val="16"/>
        </w:rPr>
      </w:pPr>
      <w:r w:rsidRPr="00925F26">
        <w:rPr>
          <w:color w:val="000000" w:themeColor="text1"/>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655DE67B" w14:textId="77777777" w:rsidR="00712FB3" w:rsidRPr="00925F26" w:rsidRDefault="00712FB3" w:rsidP="00925F26">
      <w:pPr>
        <w:jc w:val="both"/>
        <w:rPr>
          <w:color w:val="000000" w:themeColor="text1"/>
          <w:sz w:val="16"/>
          <w:szCs w:val="16"/>
        </w:rPr>
      </w:pPr>
      <w:r w:rsidRPr="00925F26">
        <w:rPr>
          <w:color w:val="000000" w:themeColor="text1"/>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5E5FD8B2" w14:textId="77777777" w:rsidR="00712FB3" w:rsidRPr="00925F26" w:rsidRDefault="00712FB3" w:rsidP="00925F26">
      <w:pPr>
        <w:jc w:val="both"/>
        <w:rPr>
          <w:color w:val="000000" w:themeColor="text1"/>
          <w:sz w:val="16"/>
          <w:szCs w:val="16"/>
        </w:rPr>
      </w:pPr>
      <w:r w:rsidRPr="00925F26">
        <w:rPr>
          <w:color w:val="000000" w:themeColor="text1"/>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1E09009A" w14:textId="77777777" w:rsidR="00712FB3" w:rsidRPr="00925F26" w:rsidRDefault="00712FB3" w:rsidP="00925F26">
      <w:pPr>
        <w:jc w:val="both"/>
        <w:rPr>
          <w:color w:val="000000" w:themeColor="text1"/>
          <w:sz w:val="16"/>
          <w:szCs w:val="16"/>
        </w:rPr>
      </w:pPr>
    </w:p>
    <w:p w14:paraId="5A68E8E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захваченную в Венгрии САУ “Хетцер” испытывали совместно с СУ-576, причем в заключении говорилось: “Таким образом, немецкий опыт танкостроения показывает, что применение малоразмерных безбашенных танков в современной войне полностью себя оправдало... Сравнение немецкого безбашенного танка типа “оса” с машиной СУ-576 горьковского завода, имеющими сходную массу, показывает некоторые преимущества отечественной машины, связанные с применением дизельмотора... Весьма удачным следует считать установку на крыше немецкого танка оборонительного пулемета с возможностью ведения огня из-за брони... К недостаткам СУ-576 можно отнести отсутствие в ее боекомплекте мощного осколочного или осколочно-фугасного снаряда</w:t>
      </w:r>
      <w:proofErr w:type="gramStart"/>
      <w:r w:rsidRPr="00925F26">
        <w:rPr>
          <w:color w:val="000000" w:themeColor="text1"/>
          <w:sz w:val="16"/>
          <w:szCs w:val="16"/>
        </w:rPr>
        <w:t>... ”</w:t>
      </w:r>
      <w:proofErr w:type="gramEnd"/>
      <w:r w:rsidRPr="00925F26">
        <w:rPr>
          <w:color w:val="000000" w:themeColor="text1"/>
          <w:sz w:val="16"/>
          <w:szCs w:val="16"/>
        </w:rPr>
        <w:t xml:space="preserve"> (5742, 14).</w:t>
      </w:r>
    </w:p>
    <w:p w14:paraId="05BC321A" w14:textId="77777777" w:rsidR="00C2313B" w:rsidRPr="00925F26" w:rsidRDefault="00C2313B" w:rsidP="00925F26">
      <w:pPr>
        <w:autoSpaceDE w:val="0"/>
        <w:autoSpaceDN w:val="0"/>
        <w:adjustRightInd w:val="0"/>
        <w:jc w:val="both"/>
        <w:rPr>
          <w:color w:val="000000" w:themeColor="text1"/>
          <w:sz w:val="16"/>
          <w:szCs w:val="16"/>
        </w:rPr>
      </w:pPr>
    </w:p>
    <w:p w14:paraId="1FDAC1CD" w14:textId="77777777" w:rsidR="00712FB3" w:rsidRPr="00925F26" w:rsidRDefault="00712FB3" w:rsidP="00925F26">
      <w:pPr>
        <w:jc w:val="both"/>
        <w:rPr>
          <w:color w:val="000000" w:themeColor="text1"/>
          <w:sz w:val="16"/>
          <w:szCs w:val="16"/>
        </w:rPr>
      </w:pPr>
      <w:r w:rsidRPr="00925F26">
        <w:rPr>
          <w:color w:val="000000" w:themeColor="text1"/>
          <w:sz w:val="16"/>
          <w:szCs w:val="16"/>
        </w:rPr>
        <w:t>В начале 1945 года, захваченную в Венгрии САУ "Хетцер" испытывали совместно с СУ-57б, причем в заключении говорилось:</w:t>
      </w:r>
    </w:p>
    <w:p w14:paraId="26498B59" w14:textId="77777777" w:rsidR="00712FB3" w:rsidRPr="00925F26" w:rsidRDefault="00712FB3" w:rsidP="00925F26">
      <w:pPr>
        <w:jc w:val="both"/>
        <w:rPr>
          <w:color w:val="000000" w:themeColor="text1"/>
          <w:sz w:val="16"/>
          <w:szCs w:val="16"/>
        </w:rPr>
      </w:pPr>
      <w:r w:rsidRPr="00925F26">
        <w:rPr>
          <w:color w:val="000000" w:themeColor="text1"/>
          <w:sz w:val="16"/>
          <w:szCs w:val="16"/>
        </w:rPr>
        <w:t xml:space="preserve">"Таким образом, немецкий опыт </w:t>
      </w:r>
      <w:hyperlink r:id="rId21" w:tgtFrame="_blank" w:history="1">
        <w:r w:rsidRPr="00925F26">
          <w:rPr>
            <w:color w:val="000000" w:themeColor="text1"/>
            <w:sz w:val="16"/>
            <w:szCs w:val="16"/>
          </w:rPr>
          <w:t>танк</w:t>
        </w:r>
      </w:hyperlink>
      <w:r w:rsidRPr="00925F26">
        <w:rPr>
          <w:color w:val="000000" w:themeColor="text1"/>
          <w:sz w:val="16"/>
          <w:szCs w:val="16"/>
        </w:rPr>
        <w:t xml:space="preserve">остроения показывает, что применение малоразмерных безбашенных </w:t>
      </w:r>
      <w:hyperlink r:id="rId22" w:tgtFrame="_blank" w:history="1">
        <w:r w:rsidRPr="00925F26">
          <w:rPr>
            <w:color w:val="000000" w:themeColor="text1"/>
            <w:sz w:val="16"/>
            <w:szCs w:val="16"/>
          </w:rPr>
          <w:t>танк</w:t>
        </w:r>
      </w:hyperlink>
      <w:r w:rsidRPr="00925F26">
        <w:rPr>
          <w:color w:val="000000" w:themeColor="text1"/>
          <w:sz w:val="16"/>
          <w:szCs w:val="16"/>
        </w:rPr>
        <w:t xml:space="preserve">ов в современной войне полностью себя оправдало... Сравнение немецкого безбашенного </w:t>
      </w:r>
      <w:hyperlink r:id="rId23" w:tgtFrame="_blank" w:history="1">
        <w:r w:rsidRPr="00925F26">
          <w:rPr>
            <w:color w:val="000000" w:themeColor="text1"/>
            <w:sz w:val="16"/>
            <w:szCs w:val="16"/>
          </w:rPr>
          <w:t>танк</w:t>
        </w:r>
      </w:hyperlink>
      <w:r w:rsidRPr="00925F26">
        <w:rPr>
          <w:color w:val="000000" w:themeColor="text1"/>
          <w:sz w:val="16"/>
          <w:szCs w:val="16"/>
        </w:rPr>
        <w:t xml:space="preserve">а типа "оса" с машиной СУ-57б горьковского завода, имеющими сходную массу, показывает некоторые преимущества отечественной машины, связанные с применением дизель-мотора... Весьма удачным следует считать установку на крыше немецкого </w:t>
      </w:r>
      <w:hyperlink r:id="rId24" w:tgtFrame="_blank" w:history="1">
        <w:r w:rsidRPr="00925F26">
          <w:rPr>
            <w:color w:val="000000" w:themeColor="text1"/>
            <w:sz w:val="16"/>
            <w:szCs w:val="16"/>
          </w:rPr>
          <w:t>танк</w:t>
        </w:r>
      </w:hyperlink>
      <w:r w:rsidRPr="00925F26">
        <w:rPr>
          <w:color w:val="000000" w:themeColor="text1"/>
          <w:sz w:val="16"/>
          <w:szCs w:val="16"/>
        </w:rPr>
        <w:t>а оборонительного пулемета с возможностью ведения огня из-за брони... К недостаткам СУ-57б можно отнести отсутствие в ее боекомплекте мощного осколочного или осколочно-фугасного снаряда..." (15642).</w:t>
      </w:r>
    </w:p>
    <w:p w14:paraId="6E739FCF" w14:textId="77777777" w:rsidR="00712FB3" w:rsidRPr="00925F26" w:rsidRDefault="00712FB3" w:rsidP="00925F26">
      <w:pPr>
        <w:jc w:val="both"/>
        <w:rPr>
          <w:color w:val="000000" w:themeColor="text1"/>
          <w:sz w:val="16"/>
          <w:szCs w:val="16"/>
        </w:rPr>
      </w:pPr>
    </w:p>
    <w:p w14:paraId="64C6B72B"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С начала 1945 года до конца июля на НИИБТ полигоне повторно изучался M4A2E8. К моменту, когда испытания подходили к концу, поставки танков этого типа закончились, в СССР начали приходить более совершенные M4A2E8. Столь долгий срок испытаний оказался связан с тем, что сверху пришло указание о длительном ресурсном пробеге. Теперь речь шла не просто о более глубоком изучении машины, а о полноценных испытаниях. Столь радикальное изменение задания появилось неспроста: боевая масса танка выросла с 30,9 до 34,1 тонн, что не могло не повлиять на его динамические характеристики и надежность.</w:t>
      </w:r>
    </w:p>
    <w:p w14:paraId="366DC6E9"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Помимо выросшей боевой массы, заинтересовали руководство ГБТУ КА и другие технические особенности танка. Как и в случае с советским Т-34–85, M4A2(76)W был не просто танком предыдущего образца с новой пушкой. Машина имела совершенно новую башню, которая, помимо большего размера, отличалась целым рядом иных особенностей. Прежде всего, речь идет о новой командирской башенке D82183. Она заинтересовала специалистов настолько, что ей был посвящен отдельный отчет, подготовленный в конце декабря 1944 года. Каждый из смотровых приборов, установленных на ней, обеспечивал обзорность в пределах 145 градусов по горизонтали и до 90 градусов по вертикали. Также здесь имелся перископ, установленный в башенном люке. Насколько башенка понравилась советским специалистам, можно судить по заключению:</w:t>
      </w:r>
    </w:p>
    <w:p w14:paraId="2C74ADC4" w14:textId="77777777" w:rsidR="005C1F60" w:rsidRPr="00925F26" w:rsidRDefault="005C1F60" w:rsidP="00925F26">
      <w:pPr>
        <w:shd w:val="clear" w:color="auto" w:fill="FFFFFF"/>
        <w:jc w:val="both"/>
        <w:rPr>
          <w:color w:val="000000" w:themeColor="text1"/>
          <w:sz w:val="16"/>
          <w:szCs w:val="16"/>
        </w:rPr>
      </w:pPr>
      <w:r w:rsidRPr="00925F26">
        <w:rPr>
          <w:iCs/>
          <w:color w:val="000000" w:themeColor="text1"/>
          <w:sz w:val="16"/>
          <w:szCs w:val="16"/>
        </w:rPr>
        <w:t>«1. Рекомендовать командирскую башенку американского модернизированного танка М4А2 для установки на отечественных танках, как наиболее полно отвечающую тактико-техническим требованиям, предъявляемым к танковым командирским башенкам.</w:t>
      </w:r>
    </w:p>
    <w:p w14:paraId="133AF8DF" w14:textId="77777777" w:rsidR="005C1F60" w:rsidRPr="00925F26" w:rsidRDefault="005C1F60" w:rsidP="00925F26">
      <w:pPr>
        <w:shd w:val="clear" w:color="auto" w:fill="FFFFFF"/>
        <w:jc w:val="both"/>
        <w:rPr>
          <w:color w:val="000000" w:themeColor="text1"/>
          <w:sz w:val="16"/>
          <w:szCs w:val="16"/>
        </w:rPr>
      </w:pPr>
      <w:r w:rsidRPr="00925F26">
        <w:rPr>
          <w:iCs/>
          <w:color w:val="000000" w:themeColor="text1"/>
          <w:sz w:val="16"/>
          <w:szCs w:val="16"/>
        </w:rPr>
        <w:t>2. Наружные и внутренние габариты командирской башенки позволяют установку ее на танках Т-34 и ИС».</w:t>
      </w:r>
    </w:p>
    <w:p w14:paraId="586A2D1F"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 xml:space="preserve">И хотя башенка эта в чистом виде так на наши танки не попала, ее конструкция оставила свой след в отечественном танкостроении. Особенно это касается смотровых приборов, которые обеспечивали хороший обзор. Практически в неизменном виде они использовались на одном из образцов танка </w:t>
      </w:r>
      <w:hyperlink r:id="rId25" w:history="1">
        <w:r w:rsidRPr="00925F26">
          <w:rPr>
            <w:color w:val="000000" w:themeColor="text1"/>
            <w:sz w:val="16"/>
            <w:szCs w:val="16"/>
          </w:rPr>
          <w:t>ИС-7</w:t>
        </w:r>
      </w:hyperlink>
      <w:r w:rsidRPr="00925F26">
        <w:rPr>
          <w:color w:val="000000" w:themeColor="text1"/>
          <w:sz w:val="16"/>
          <w:szCs w:val="16"/>
        </w:rPr>
        <w:t>, они же применялись и на БТР-152.</w:t>
      </w:r>
    </w:p>
    <w:p w14:paraId="7C51DB3F"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Неплохой оказалась и общая обзорность модернизированного американского танка. Помимо двух перископов, установленных на крыше отделения управления, имелось еще по одному перископу в люках механика-водителя и его помощника. Непросматриваемое вперед пространство составляло всего 6 метров, что для танка немного. Кроме того, сиденья имели регулировку по высоте, так что в походном положении механик-водитель мог ехать, высунувшись из люка. Вполне достаточным оказался и обзор с мест наводчика и заряжающего, также имевших перископические приборы.</w:t>
      </w:r>
    </w:p>
    <w:p w14:paraId="6B54E9AF"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 xml:space="preserve">Более подробного описания удостоилось и размещение боеприпасов внутри танка. Боекомплект снизился до 71 выстрела. Из них 6 находилось в укладке на полу башни, они использовались в первую очередь. Основной же боекомплект находился под полом башни в специальных кассетах. С правой стороны боеприпасы находились в наклонных кассетах по 5 выстрелов в каждой (всего 35 штук), причем доставать их более сподручно было помощнику механика-водителя. Еще 30 выстрелов находились слева по ходу движения, эта укладка являлась основной для заряжающего. Мокрыми укладки назывались по той причине, что между кассетам </w:t>
      </w:r>
      <w:r w:rsidRPr="00925F26">
        <w:rPr>
          <w:color w:val="000000" w:themeColor="text1"/>
          <w:sz w:val="16"/>
          <w:szCs w:val="16"/>
        </w:rPr>
        <w:lastRenderedPageBreak/>
        <w:t>размещались специальные бачки. Летом они заполнялась водой, а зимой – антифризом. Это заметно снижало вероятность детонации боеукладки при попадании вражеского снаряда.</w:t>
      </w:r>
    </w:p>
    <w:p w14:paraId="3395CAB2"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Специалисты НИБТ Полигона оценили подобную укладку неоднозначно. С одной стороны, перевод боекомплекта из надгусеничных полок на пол боевого отделения, а также система «мокрой» укладки снизили уязвимость танка от вражеских снарядов. Также укладки получились простыми по конструкции, а заодно теоретически повысилось удобство их использования. Однако в некоторых положениях башни укладками становилось пользоваться очень неудобно, а для выемки выстрелов из укладки с правой стороны приходилось отвлекать помощника механика-водителя.</w:t>
      </w:r>
    </w:p>
    <w:p w14:paraId="148DECB4"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Как бы то ни было, новая укладка заставила американских инженеров отказаться от полика и ограждения башни. Это было скорее плюсом, потому как в ряде случаев ограждение становилось смертельной ловушкой для экипажа, который не мог выбраться из машины. Подобное изменение испытатели причислили к положительным сторонам новой машины.</w:t>
      </w:r>
    </w:p>
    <w:p w14:paraId="23BE674C"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Как уже упоминалось, программу испытаний танка серьезно изменили. Это было связано с тем, что в ГБТУ КА решили проверить реальность ресурса танка, определенного производителем в размере 300 моточасов или 2000 км. Общий километраж ходовых испытаний был установлен в 3000 км, из них 100 км танк должен был пройти по шоссе, 1700 по проселочным дорогам в зимних условиях, а оставшиеся 1200 – по проселку в весенних условиях.</w:t>
      </w:r>
    </w:p>
    <w:p w14:paraId="5A8D8109"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Также в программу испытаний входило определение максимальной скорости танка. Она составила 51,4 км/ч, то есть даже больше, чем паспортная (48 км/ч). Для сравнения, летом 1943 года М4А2 на резино-металлических гусеницах развил скорость 50 км/ч. Средняя скорость танка по шоссе составила 26 км/ч, а расход топлива – 330 литров на 100 километров. Это было в 2 раза больше, чем у обычного М4А2, но более высокий расход топлива объяснялся сложными дорожными условиями. Это же касалось и низкой средней скорости, которая у М4А2 составила 39,7 км/ч.</w:t>
      </w:r>
    </w:p>
    <w:p w14:paraId="019C197B"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 xml:space="preserve">Подобное объяснение подтверждается показателями движения на проселочных дорогах. Для М4А2 средняя скорость по проселку составила 20 км/ч, а расход топлива 246 литров. Зимой те же показатели составили 22,4 км/ч и 268 литров соответственно. Что же касается М4А2–76 мм, то для него средняя техническая скорость составила 19,2 км/ч по весеннему проселку, и 15,8 км/ч по зимней проселочной дороге, покрытой снегом глубиной до 0,8 метра. Учитывая характер местности, это вполне достойные показатели. Расход топлива по заснеженному проселку составил 371 литр на 100 километров, а </w:t>
      </w:r>
      <w:proofErr w:type="gramStart"/>
      <w:r w:rsidRPr="00925F26">
        <w:rPr>
          <w:color w:val="000000" w:themeColor="text1"/>
          <w:sz w:val="16"/>
          <w:szCs w:val="16"/>
        </w:rPr>
        <w:t>по весеннему</w:t>
      </w:r>
      <w:proofErr w:type="gramEnd"/>
      <w:r w:rsidRPr="00925F26">
        <w:rPr>
          <w:color w:val="000000" w:themeColor="text1"/>
          <w:sz w:val="16"/>
          <w:szCs w:val="16"/>
        </w:rPr>
        <w:t xml:space="preserve"> – до 410 литров на 100 километров. Как можно заметить, разница между шоссе и проселком оказалась небольшой.</w:t>
      </w:r>
    </w:p>
    <w:p w14:paraId="5C8A23AD"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В программу испытаний попало и преодоление склонов. Зимой для американского танка непреодолимым стал подъем крутизной 22 градуса, а летом танку удалось преодолеть подъем крутизной 26 градусов. Испытания движения по косогору выявили, что зимой максимальный крен составляет 12 градусов, а летом 20 градусов. Во многом ограничивающим проходимость фактором стали траки T49, не обеспечивавшие надежного сцепления с грунтом. Свою лепту вносила и особенность работы механизма поворота с двойным дифференциалом, который допускал пробуксовку на скользком грунте. Испытания в виде буксировки Т-34–85 показали, что М4А2–76 мм может тащить этот танк на второй-третьей передачах со средней скоростью 9,5 км/ч, при этом расход топлива вырастал до 490 литров на 100 километров.</w:t>
      </w:r>
    </w:p>
    <w:p w14:paraId="3A879331"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Надежность танка оказалась вполне соответствующей указанным данным. Без проблем, впрочем, не обошлось. На 949-м километре испытаний вышел из строя правый двигатель. Случилось это потому, что мотор работал в перегрузочном режиме – танк преодолевал тяжелую заснеженную проселочную дорогу. Второй мотор проработал 2126 километров, после чего ему потребовался небольшой ремонт. Проблемы вызвала и работа ходовой части. Начиная с 1339-го километра началось разрушение бандажей опорных катков, в основном это касалось тех катков, которые находились ближе к кормовой части. Гораздо надежнее оказались траки – до начала частых разрывов лент они выдержали 3120 километров. Также имел место износ венцов ведущих колес, требовали замены пружины.</w:t>
      </w:r>
    </w:p>
    <w:p w14:paraId="7E26A0F4"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В целом итоги испытаний показали, что американский танк после модернизации не ухудшился с точки зрения надежности. Исключение составляли отдельные элементы ходовой части. С другой стороны, установка более мощного орудия значительно повысила эффективность машины на поле боя. Для сравнения, 75-мм пушка пробивала бортовую броню «Тигра» на дистанции 500 метров, а новое орудие делало то же самое на дистанции 2,5 километра. Также отмечалось значительное улучшение обзорности. Испытания стрельбой показали, что пушка имеет хорошую кучность и точность боя. Понравился испытателям и гидравлический привод поворота башни. Наличие гироскопического стабилизатора увеличило точность орудия при стрельбе с ходу на скорости 15 км/ч в 2 раза, а на скорости 25 км/ч – в 5–6 раз. Одним словом, модернизация явно удалась (17678).</w:t>
      </w:r>
    </w:p>
    <w:p w14:paraId="2AF9AEE5" w14:textId="77777777" w:rsidR="005C1F60" w:rsidRPr="00925F26" w:rsidRDefault="005C1F60" w:rsidP="00925F26">
      <w:pPr>
        <w:jc w:val="both"/>
        <w:rPr>
          <w:rStyle w:val="107"/>
          <w:rFonts w:eastAsiaTheme="minorHAnsi"/>
          <w:color w:val="000000" w:themeColor="text1"/>
          <w:sz w:val="16"/>
          <w:szCs w:val="16"/>
        </w:rPr>
      </w:pPr>
    </w:p>
    <w:p w14:paraId="47B76394" w14:textId="77777777" w:rsidR="005C1F60" w:rsidRPr="00925F26" w:rsidRDefault="005C1F60" w:rsidP="00925F26">
      <w:pPr>
        <w:shd w:val="clear" w:color="auto" w:fill="FFFFFF"/>
        <w:jc w:val="both"/>
        <w:rPr>
          <w:color w:val="000000" w:themeColor="text1"/>
          <w:sz w:val="16"/>
          <w:szCs w:val="16"/>
        </w:rPr>
      </w:pPr>
      <w:r w:rsidRPr="00925F26">
        <w:rPr>
          <w:color w:val="000000" w:themeColor="text1"/>
          <w:sz w:val="16"/>
          <w:szCs w:val="16"/>
        </w:rPr>
        <w:t>В начале 1945 года был поднят вопрос закупки легких танков M24. К тому моменту эти машины уже активно применялись в Западной Европе и не представляли собой большого секрета. Даже пяти машин, (в таком количестве были приобретены Light Tank M5A1) советской закупочной комиссии показалось много. В результате количество заказанных танков сократилось до двух (17684).</w:t>
      </w:r>
    </w:p>
    <w:p w14:paraId="6173FD2E" w14:textId="77777777" w:rsidR="005C1F60" w:rsidRPr="00925F26" w:rsidRDefault="005C1F60" w:rsidP="00925F26">
      <w:pPr>
        <w:jc w:val="both"/>
        <w:rPr>
          <w:rStyle w:val="107"/>
          <w:rFonts w:eastAsiaTheme="minorHAnsi"/>
          <w:color w:val="000000" w:themeColor="text1"/>
          <w:sz w:val="16"/>
          <w:szCs w:val="16"/>
        </w:rPr>
      </w:pPr>
    </w:p>
    <w:p w14:paraId="14D482A5"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В начале 1945 г. все заводы, выпускающие В-2 (Кировский, № 76 и 77), продолжали изготавливать двигатели, не способные пройти полный объем </w:t>
      </w:r>
      <w:proofErr w:type="gramStart"/>
      <w:r w:rsidRPr="00925F26">
        <w:rPr>
          <w:color w:val="000000" w:themeColor="text1"/>
          <w:sz w:val="16"/>
          <w:szCs w:val="16"/>
        </w:rPr>
        <w:t>испытаний[</w:t>
      </w:r>
      <w:proofErr w:type="gramEnd"/>
      <w:r w:rsidRPr="00925F26">
        <w:rPr>
          <w:color w:val="000000" w:themeColor="text1"/>
          <w:sz w:val="16"/>
          <w:szCs w:val="16"/>
        </w:rPr>
        <w:t xml:space="preserve">1095]. В I квартале 1945 г. гарантийные испытания на заводах №№ 76 и 77 выдержали только 2 мотора из 3. Резко вырос процент съема двигателей на стендовых испытаниях: на заводе № 76 в январе 1945 г. было снято 35,2 % моторов, в феврале - 43,4 %, в марте - 43,2 %; на заводе № 77-17,3 %, 34,4 % и 20,3 % </w:t>
      </w:r>
      <w:proofErr w:type="gramStart"/>
      <w:r w:rsidRPr="00925F26">
        <w:rPr>
          <w:color w:val="000000" w:themeColor="text1"/>
          <w:sz w:val="16"/>
          <w:szCs w:val="16"/>
        </w:rPr>
        <w:t>соответственно[</w:t>
      </w:r>
      <w:proofErr w:type="gramEnd"/>
      <w:r w:rsidRPr="00925F26">
        <w:rPr>
          <w:color w:val="000000" w:themeColor="text1"/>
          <w:sz w:val="16"/>
          <w:szCs w:val="16"/>
        </w:rPr>
        <w:t>1096]. Такой большой рост дефектных моторов можно объяснить только значительным увеличением гарантийного срока службы двигателей, к которому свердловский и барнаульский заводы оказались не готовы.</w:t>
      </w:r>
    </w:p>
    <w:p w14:paraId="37A49EA7"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Относительно высокий процент моторов, снятых с испытаний, совершенно не означал, что в реальных условиях все двигатели непременно будут постоянно ломаться. Старший инженер-инспектор завода № 76 Вандаловский с 3 декабря 1944 г. по 20 марта 1945 г. был командирован на фронт, где в боевых условиях наблюдал двигатели В-2-34, установленные на СУ-100. За этот период машины прошли 400-860 км, но ни одного случая поломки двигателя по вине завода-изготовителя зафиксировано не </w:t>
      </w:r>
      <w:proofErr w:type="gramStart"/>
      <w:r w:rsidRPr="00925F26">
        <w:rPr>
          <w:color w:val="000000" w:themeColor="text1"/>
          <w:sz w:val="16"/>
          <w:szCs w:val="16"/>
        </w:rPr>
        <w:t>было[</w:t>
      </w:r>
      <w:proofErr w:type="gramEnd"/>
      <w:r w:rsidRPr="00925F26">
        <w:rPr>
          <w:color w:val="000000" w:themeColor="text1"/>
          <w:sz w:val="16"/>
          <w:szCs w:val="16"/>
        </w:rPr>
        <w:t>1097]. Правда, в последней фразе есть существенная оговорка: «по вине завода-изготовителя». Следовательно, при несоблюдении необходимых регламентных работ мотор вполне ожидаемо выходил из строя, но это действительно уже не прямая вина завода.</w:t>
      </w:r>
    </w:p>
    <w:p w14:paraId="416734AD"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К концу войны отдельные экземпляры В-2 в условиях реальной эксплуатации могли намного превысить ресурс, заложенный заводом- изготовителем, и обеспечивали надежную работу бронетехники на протяжении многих сотен километров. Кроме описанного выше случая можно найти множество других примеров успешного применения советского дизеля в боевых условиях. Авторы монографии «Боевые машины Уралвагонзавода. Танк Т-34» приводят их: переброска 5-го гвардейского танкового корпуса в район Прохоровки на 330-380 км в июле 1943 г.; успешная работа танков 1-й гвардейской танковой армии в 1944 г., когда машины отрабатывали свой ресурс до 150 %; наступление советских войск на Дальневосточном театре военных действий летом 1945 г. и </w:t>
      </w:r>
      <w:proofErr w:type="gramStart"/>
      <w:r w:rsidRPr="00925F26">
        <w:rPr>
          <w:color w:val="000000" w:themeColor="text1"/>
          <w:sz w:val="16"/>
          <w:szCs w:val="16"/>
        </w:rPr>
        <w:t>прочее[</w:t>
      </w:r>
      <w:proofErr w:type="gramEnd"/>
      <w:r w:rsidRPr="00925F26">
        <w:rPr>
          <w:color w:val="000000" w:themeColor="text1"/>
          <w:sz w:val="16"/>
          <w:szCs w:val="16"/>
        </w:rPr>
        <w:t>1098].</w:t>
      </w:r>
    </w:p>
    <w:p w14:paraId="2F5C99AE" w14:textId="77777777" w:rsidR="0058703C" w:rsidRPr="00925F26" w:rsidRDefault="0058703C" w:rsidP="00925F26">
      <w:pPr>
        <w:jc w:val="both"/>
        <w:rPr>
          <w:color w:val="000000" w:themeColor="text1"/>
          <w:sz w:val="16"/>
          <w:szCs w:val="16"/>
        </w:rPr>
      </w:pPr>
      <w:r w:rsidRPr="00925F26">
        <w:rPr>
          <w:color w:val="000000" w:themeColor="text1"/>
          <w:sz w:val="16"/>
          <w:szCs w:val="16"/>
        </w:rPr>
        <w:t>Мы должны согласиться с уважаемыми авторами в том, что, безусловно, надежность и качество двигателей резко выросли к 1945 г. Этот факт бесспорен. И отметим, что долю дефектных моторов в начале 1945 г. и в предыдущие периоды нельзя сравнивать напрямую. С усложнением требований к продукции возрастали критерии «качественности». И если предъявлять к двигателям выпуска конца войны условия приемки начала или середины военного времени, то окажется, что процент дефектных экземпляров резко упадет (если не исчезнет совсем). Необходимо отметить другое. Надежной, гарантированной работы для всех выпускаемых двигателей добиться все еще не удалось. Моторы были очень дифференцированы в этом отношении. Часть партии обеспечивала работу танка в течение многих сотен километров, и в то же время другая часть могла сломаться еще до исчерпания гарантированного ресурса. Именно этот факт подтверждают результаты гарантийных и серийных испытаний В-2 на дизельных заводах. Даже на самом передовом Кировском заводе часть моторов выбраковывалась на этих этапах.</w:t>
      </w:r>
    </w:p>
    <w:p w14:paraId="0E8070F8"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Ситуация усугублялась тем, что фактически только Кировский завод смог организовать массовый выпуск топливной аппаратуры для дизельных двигателей. Некоторое количество этой продукции (для собственных нужд) изготавливалось на барнаульском заводе № 77[1099]. Начиная с конца 1942 г. цех топливной аппаратуры должен был быть построен на свердловском дизельном заводе, но это строительство так и осталось в планах вплоть до конца войны (см. II главу). Весь 1943 г. Наркомат танкопрома пытался заставить завод № 76 организовать хотя бы собственное производство форсунок. Но и это оказалось </w:t>
      </w:r>
      <w:proofErr w:type="gramStart"/>
      <w:r w:rsidRPr="00925F26">
        <w:rPr>
          <w:color w:val="000000" w:themeColor="text1"/>
          <w:sz w:val="16"/>
          <w:szCs w:val="16"/>
        </w:rPr>
        <w:t>невыполнимо[</w:t>
      </w:r>
      <w:proofErr w:type="gramEnd"/>
      <w:r w:rsidRPr="00925F26">
        <w:rPr>
          <w:color w:val="000000" w:themeColor="text1"/>
          <w:sz w:val="16"/>
          <w:szCs w:val="16"/>
        </w:rPr>
        <w:t xml:space="preserve">1100]. Следовательно, основное дизельное производство (сам Кировский завод и завод № 76) напрямую зависело от качества челябинских топливных аппаратов, которые долгое время находились на низком </w:t>
      </w:r>
      <w:proofErr w:type="gramStart"/>
      <w:r w:rsidRPr="00925F26">
        <w:rPr>
          <w:color w:val="000000" w:themeColor="text1"/>
          <w:sz w:val="16"/>
          <w:szCs w:val="16"/>
        </w:rPr>
        <w:t>уровне[</w:t>
      </w:r>
      <w:proofErr w:type="gramEnd"/>
      <w:r w:rsidRPr="00925F26">
        <w:rPr>
          <w:color w:val="000000" w:themeColor="text1"/>
          <w:sz w:val="16"/>
          <w:szCs w:val="16"/>
        </w:rPr>
        <w:t xml:space="preserve">1101]. Во второй половине 1943 г. 10-11 % всех рекламаций на моторы из действующих частей приходилось на топливную </w:t>
      </w:r>
      <w:proofErr w:type="gramStart"/>
      <w:r w:rsidRPr="00925F26">
        <w:rPr>
          <w:color w:val="000000" w:themeColor="text1"/>
          <w:sz w:val="16"/>
          <w:szCs w:val="16"/>
        </w:rPr>
        <w:t>аппаратуру[</w:t>
      </w:r>
      <w:proofErr w:type="gramEnd"/>
      <w:r w:rsidRPr="00925F26">
        <w:rPr>
          <w:color w:val="000000" w:themeColor="text1"/>
          <w:sz w:val="16"/>
          <w:szCs w:val="16"/>
        </w:rPr>
        <w:t>1102].</w:t>
      </w:r>
    </w:p>
    <w:p w14:paraId="707A9BE1" w14:textId="77777777" w:rsidR="0058703C" w:rsidRPr="00925F26" w:rsidRDefault="0058703C" w:rsidP="00925F26">
      <w:pPr>
        <w:jc w:val="both"/>
        <w:rPr>
          <w:color w:val="000000" w:themeColor="text1"/>
          <w:sz w:val="16"/>
          <w:szCs w:val="16"/>
        </w:rPr>
      </w:pPr>
      <w:r w:rsidRPr="00925F26">
        <w:rPr>
          <w:color w:val="000000" w:themeColor="text1"/>
          <w:sz w:val="16"/>
          <w:szCs w:val="16"/>
        </w:rPr>
        <w:t xml:space="preserve">Наркомат отмечал, что наибольшие проблемы были в работе механических цехов. Особые нарекания вызвал цех топливной аппаратуры, когда повысилось количество бракованных топливных насосов и </w:t>
      </w:r>
      <w:proofErr w:type="gramStart"/>
      <w:r w:rsidRPr="00925F26">
        <w:rPr>
          <w:color w:val="000000" w:themeColor="text1"/>
          <w:sz w:val="16"/>
          <w:szCs w:val="16"/>
        </w:rPr>
        <w:t>форсунок[</w:t>
      </w:r>
      <w:proofErr w:type="gramEnd"/>
      <w:r w:rsidRPr="00925F26">
        <w:rPr>
          <w:color w:val="000000" w:themeColor="text1"/>
          <w:sz w:val="16"/>
          <w:szCs w:val="16"/>
        </w:rPr>
        <w:t xml:space="preserve">1103]. Следовательно, сразу оба ведущих дизельных завода (сам Кировский и свердловский) массово получали дефектное топливное оборудование. По данным наркома В.А. Малышева, в течение III квартала 1944 г. на всех заводах в результате заводских и военпредовских испытаний было снято 28 % топливных насосов и 40 % </w:t>
      </w:r>
      <w:proofErr w:type="gramStart"/>
      <w:r w:rsidRPr="00925F26">
        <w:rPr>
          <w:color w:val="000000" w:themeColor="text1"/>
          <w:sz w:val="16"/>
          <w:szCs w:val="16"/>
        </w:rPr>
        <w:t>форсунок[</w:t>
      </w:r>
      <w:proofErr w:type="gramEnd"/>
      <w:r w:rsidRPr="00925F26">
        <w:rPr>
          <w:color w:val="000000" w:themeColor="text1"/>
          <w:sz w:val="16"/>
          <w:szCs w:val="16"/>
        </w:rPr>
        <w:t>1104]. Это колоссальные цифры! Получается, что топливная аппаратура в значительной мере даже в конце войны выпускалась низкого качества (23536).</w:t>
      </w:r>
    </w:p>
    <w:p w14:paraId="2ABAF303" w14:textId="77777777" w:rsidR="0058703C" w:rsidRPr="00925F26" w:rsidRDefault="0058703C" w:rsidP="00925F26">
      <w:pPr>
        <w:jc w:val="both"/>
        <w:rPr>
          <w:color w:val="000000" w:themeColor="text1"/>
          <w:sz w:val="16"/>
          <w:szCs w:val="16"/>
        </w:rPr>
      </w:pPr>
    </w:p>
    <w:p w14:paraId="39C4B470" w14:textId="77777777" w:rsidR="00712FB3" w:rsidRPr="00925F26" w:rsidRDefault="00712FB3" w:rsidP="00925F26">
      <w:pPr>
        <w:jc w:val="both"/>
        <w:rPr>
          <w:color w:val="000000" w:themeColor="text1"/>
          <w:sz w:val="16"/>
          <w:szCs w:val="16"/>
        </w:rPr>
      </w:pPr>
      <w:r w:rsidRPr="00925F26">
        <w:rPr>
          <w:color w:val="000000" w:themeColor="text1"/>
          <w:sz w:val="16"/>
          <w:szCs w:val="16"/>
        </w:rPr>
        <w:t>В начале 1945 года бронированные канадские снегоходы прибыли в Советский Союз. К тому моменту над аэросанями в СССР начали сгущаться тучи. Если в начале войны об их применении поступали положительные отзывы, а зимой 1942–1943 годов использование аэросаней Красной армией достигло апогея, то в следующий зимний сезон ситуация изменилась. Фактически аэросани продолжали применять на севере и северо-западе, на других участках погодные условия не дали возможности использовать данный тип машин. Впрочем, и зимой 1942–1943 годов дела шли гладко не везде: часть аэросанных батальонов так и простояла без движения, поскольку снежный покров оказался недостаточным (18251).</w:t>
      </w:r>
    </w:p>
    <w:p w14:paraId="4A4B07A6" w14:textId="77777777" w:rsidR="00712FB3" w:rsidRPr="00925F26" w:rsidRDefault="00712FB3" w:rsidP="00925F26">
      <w:pPr>
        <w:jc w:val="both"/>
        <w:rPr>
          <w:color w:val="000000" w:themeColor="text1"/>
          <w:sz w:val="16"/>
          <w:szCs w:val="16"/>
        </w:rPr>
      </w:pPr>
      <w:r w:rsidRPr="00925F26">
        <w:rPr>
          <w:color w:val="000000" w:themeColor="text1"/>
          <w:sz w:val="16"/>
          <w:szCs w:val="16"/>
        </w:rPr>
        <w:t xml:space="preserve">Несмотря на ряд выявившихся проблем, Аэросанное управление Красной армии (подчинялось Управлению бронепоездов и бронемашин ГБТУ КА) продолжало работу над новыми машинами. Прежде всего это касалось транспортных аэросаней. В 1944 году на испытания вышли штабные аэросани НКЛ-38, а 1 февраля 1945 года начались испытания улучшенной версии машины. Она существенно отличалась от аэросаней НКЛ-26: форма корпуса больше напоминала автомобиль, кроме </w:t>
      </w:r>
      <w:r w:rsidRPr="00925F26">
        <w:rPr>
          <w:color w:val="000000" w:themeColor="text1"/>
          <w:sz w:val="16"/>
          <w:szCs w:val="16"/>
        </w:rPr>
        <w:lastRenderedPageBreak/>
        <w:t>того, в машине учли ряд недостатков предшественников. Машина имела ряд дефектов, часть из которых устранили в ходе модернизации. Впрочем, эти дефекты были не самой большой проблемой. Главным препятствием на пути к серии оказался канадский снегоход, который в переписке ГБТУ КА проходил как «канадский бронированный снегоход Mk-1 (B-3)». В переписке Аэросанного управления Красной армии он появился в феврале 1945 года (18251).</w:t>
      </w:r>
    </w:p>
    <w:p w14:paraId="3B7158C7" w14:textId="77777777" w:rsidR="00712FB3" w:rsidRPr="00925F26" w:rsidRDefault="00712FB3" w:rsidP="00925F26">
      <w:pPr>
        <w:jc w:val="both"/>
        <w:rPr>
          <w:color w:val="000000" w:themeColor="text1"/>
          <w:sz w:val="16"/>
          <w:szCs w:val="16"/>
        </w:rPr>
      </w:pPr>
    </w:p>
    <w:p w14:paraId="06678C3C" w14:textId="77777777" w:rsidR="00BC1830" w:rsidRPr="00925F26" w:rsidRDefault="00BC1830" w:rsidP="00925F26">
      <w:pPr>
        <w:widowControl w:val="0"/>
        <w:jc w:val="both"/>
        <w:rPr>
          <w:color w:val="000000" w:themeColor="text1"/>
          <w:sz w:val="16"/>
          <w:szCs w:val="16"/>
        </w:rPr>
      </w:pPr>
      <w:r w:rsidRPr="00925F26">
        <w:rPr>
          <w:color w:val="000000" w:themeColor="text1"/>
          <w:sz w:val="16"/>
          <w:szCs w:val="16"/>
        </w:rPr>
        <w:t>В начале 1945 года творческими усилиями главного конструктора завода А.А. Липгарта, начальников бюро А.М. Кригера и Ю.Н. Сорочкина, ведущего конструктора А.Д. Просвирнина, конструкторов В.Н. Борисова, С.А. Зислина, Д.М. Гороховского, Л.В. Косткина, Н.Г. Мозохина и других были созданы новые грузовые автомобили ГАЗ-51 с 6-цилинровым двигателем взамен устаревшей модели ГАЗ-АА, ГАЗ-63 с двумя ведущими мостами, легковой автомобиль М-20 («Победа») с новым 4-цилиндровым двигателем. Опытные образцы этих автомобилей были представлены правительственной комиссии и утверждены для производства. 28 августа 1945 года вышел приказ НКСМ о начале выпуска грузового автомобиля ГАЗ-51 в декабре 1945 года (15218).</w:t>
      </w:r>
    </w:p>
    <w:p w14:paraId="4D7B8747" w14:textId="77777777" w:rsidR="00BC1830" w:rsidRPr="00925F26" w:rsidRDefault="00BC1830" w:rsidP="00925F26">
      <w:pPr>
        <w:widowControl w:val="0"/>
        <w:jc w:val="both"/>
        <w:rPr>
          <w:color w:val="000000" w:themeColor="text1"/>
          <w:sz w:val="16"/>
          <w:szCs w:val="16"/>
        </w:rPr>
      </w:pPr>
    </w:p>
    <w:p w14:paraId="170192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1945 года Разведчики 1-го Украинского фронта вышли к заводу в Дихернфурте-на-Одере. Они очень хорошо знали, что искать. День 9 февраля 1945 года мало чем заметен в истории, ну разве что тем, что в тот день был арестован командир артиллерийской батареи капитан А.И.Солженицын, чтоб не доверял письмам свои сомнения. И уж совсем никому не известно, что в тот день 9 февраля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25C0F95" w14:textId="77777777" w:rsidR="00C2313B" w:rsidRPr="00925F26" w:rsidRDefault="00C2313B" w:rsidP="00925F26">
      <w:pPr>
        <w:autoSpaceDE w:val="0"/>
        <w:autoSpaceDN w:val="0"/>
        <w:adjustRightInd w:val="0"/>
        <w:jc w:val="both"/>
        <w:rPr>
          <w:color w:val="000000" w:themeColor="text1"/>
          <w:sz w:val="16"/>
          <w:szCs w:val="16"/>
        </w:rPr>
      </w:pPr>
    </w:p>
    <w:p w14:paraId="10CE9D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были заводы №№ 656 и 697 НК электропрома (8971)</w:t>
      </w:r>
    </w:p>
    <w:p w14:paraId="618681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была подготовлена:</w:t>
      </w:r>
    </w:p>
    <w:p w14:paraId="001C3E4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Справка о предприятиях местной промышленности и артелях промокооперации Московской области, переведенных в госпромышленность за годы войны (1941-1944 гг.)</w:t>
      </w:r>
    </w:p>
    <w:p w14:paraId="568EA7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 “Пресс”</w:t>
      </w:r>
    </w:p>
    <w:p w14:paraId="39C5544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Место: Серпухов</w:t>
      </w:r>
    </w:p>
    <w:p w14:paraId="623FEC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 войны завод выпускал заводную металлическую игрушку широкой номенклатуры.</w:t>
      </w:r>
    </w:p>
    <w:p w14:paraId="494DE0F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Передан НКАП в 1940 году на основании распоряжения СНК РСФСР (8950)</w:t>
      </w:r>
    </w:p>
    <w:p w14:paraId="4BBD491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Хотьковский лакокрасочный завод</w:t>
      </w:r>
    </w:p>
    <w:p w14:paraId="37A8CE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Место: Хотьково Загорского района</w:t>
      </w:r>
    </w:p>
    <w:p w14:paraId="61F45C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Передан НК химической промышленности в 1942 году на основании распоряжения СНК РСФСР (8950)</w:t>
      </w:r>
    </w:p>
    <w:p w14:paraId="7680F3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Фабрика целлулоидных изделий Балашихинского райпромкомбината</w:t>
      </w:r>
    </w:p>
    <w:p w14:paraId="4C03B4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Передана НК боеприпасов в 1941 году (8950)</w:t>
      </w:r>
    </w:p>
    <w:p w14:paraId="452535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Чугунолитейный завод Ногинского горпромкомбината</w:t>
      </w:r>
    </w:p>
    <w:p w14:paraId="3F7832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Место: Ногинск</w:t>
      </w:r>
    </w:p>
    <w:p w14:paraId="014129C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Передан Ново-Краматорскому заводу в 1941 году на основании распоряжения СНК РСФСР (8950)</w:t>
      </w:r>
    </w:p>
    <w:p w14:paraId="3BEB97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цех артели “Спортснабжение”</w:t>
      </w:r>
    </w:p>
    <w:p w14:paraId="5827658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Место: д. Новая Лужа Химкинского района</w:t>
      </w:r>
    </w:p>
    <w:p w14:paraId="7A6FA8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Передана заводу № 293 НКАП на основании Постановления СНК РСФСР от 4 сентября 1942 года (8950)</w:t>
      </w:r>
    </w:p>
    <w:p w14:paraId="288D7A7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Артель “Крюковский стекольный завод”</w:t>
      </w:r>
    </w:p>
    <w:p w14:paraId="56A01F5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Место: пос. Крюково</w:t>
      </w:r>
    </w:p>
    <w:p w14:paraId="57DF2CF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Передана НКВ в ноябре 1943 года на основании Постановления ГОКО (8950)</w:t>
      </w:r>
    </w:p>
    <w:p w14:paraId="27CCC9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w:t>
      </w:r>
      <w:r w:rsidRPr="00925F26">
        <w:rPr>
          <w:color w:val="000000" w:themeColor="text1"/>
          <w:sz w:val="16"/>
          <w:szCs w:val="16"/>
        </w:rPr>
        <w:softHyphen/>
        <w:t>чале 1945 г. Комиссия С. П. Ставицкого обосновала необходимость развития трех подклассов крейсеров: тяжелого с 220-мм артиллерией, легкого — со 152-мм и промежуточного типа — просто "крейсера" — со 180-мм оруди</w:t>
      </w:r>
      <w:r w:rsidRPr="00925F26">
        <w:rPr>
          <w:color w:val="000000" w:themeColor="text1"/>
          <w:sz w:val="16"/>
          <w:szCs w:val="16"/>
        </w:rPr>
        <w:softHyphen/>
        <w:t>ями (3898).</w:t>
      </w:r>
    </w:p>
    <w:p w14:paraId="7667E2DE" w14:textId="77777777" w:rsidR="00C2313B" w:rsidRPr="00925F26" w:rsidRDefault="00C2313B" w:rsidP="00925F26">
      <w:pPr>
        <w:autoSpaceDE w:val="0"/>
        <w:autoSpaceDN w:val="0"/>
        <w:adjustRightInd w:val="0"/>
        <w:jc w:val="both"/>
        <w:rPr>
          <w:color w:val="000000" w:themeColor="text1"/>
          <w:sz w:val="16"/>
          <w:szCs w:val="16"/>
        </w:rPr>
      </w:pPr>
    </w:p>
    <w:p w14:paraId="0A774D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был также создан Научно-технический совет по радиолокации, главной задачей которого было определять научно-техническую политику в развитии радиолокации, отвечавшую, с одной стороны, нуждам армии и флота, а с другой - возможностям науки, техники и промышленности. НТС возглавил профессор А. Н. Щукин, отозванный из Военно-морской академии РККФ, где возглавлял кафедру (9921).</w:t>
      </w:r>
    </w:p>
    <w:p w14:paraId="1DE3C0F3" w14:textId="77777777" w:rsidR="00C2313B" w:rsidRPr="00925F26" w:rsidRDefault="00C2313B" w:rsidP="00925F26">
      <w:pPr>
        <w:autoSpaceDE w:val="0"/>
        <w:autoSpaceDN w:val="0"/>
        <w:adjustRightInd w:val="0"/>
        <w:jc w:val="both"/>
        <w:rPr>
          <w:color w:val="000000" w:themeColor="text1"/>
          <w:sz w:val="16"/>
          <w:szCs w:val="16"/>
        </w:rPr>
      </w:pPr>
    </w:p>
    <w:p w14:paraId="456DE1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подкомиссия по авианосцам пришла к выводу о необходимости развивать два типа таких кораблей — большой (60 самолетов) и малый (30). Были проработаны варианты воору</w:t>
      </w:r>
      <w:r w:rsidRPr="00925F26">
        <w:rPr>
          <w:color w:val="000000" w:themeColor="text1"/>
          <w:sz w:val="16"/>
          <w:szCs w:val="16"/>
        </w:rPr>
        <w:softHyphen/>
        <w:t>жения для стандартнь1х водоизмещении 23 700, 30 000, 45 000 и 60 000 т. Однако все эти варианты заданий не были воплощены в проектах, так как до утверждения послевоенной программы сама перспектива строительства авианосцев вызывала сомнение (3898).</w:t>
      </w:r>
    </w:p>
    <w:p w14:paraId="236820B5" w14:textId="77777777" w:rsidR="00C2313B" w:rsidRPr="00925F26" w:rsidRDefault="00C2313B" w:rsidP="00925F26">
      <w:pPr>
        <w:autoSpaceDE w:val="0"/>
        <w:autoSpaceDN w:val="0"/>
        <w:adjustRightInd w:val="0"/>
        <w:jc w:val="both"/>
        <w:rPr>
          <w:color w:val="000000" w:themeColor="text1"/>
          <w:sz w:val="16"/>
          <w:szCs w:val="16"/>
        </w:rPr>
      </w:pPr>
    </w:p>
    <w:p w14:paraId="6CBB97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на заводе "Ленинская кузница", который получил но</w:t>
      </w:r>
      <w:r w:rsidRPr="00925F26">
        <w:rPr>
          <w:color w:val="000000" w:themeColor="text1"/>
          <w:sz w:val="16"/>
          <w:szCs w:val="16"/>
        </w:rPr>
        <w:softHyphen/>
        <w:t>вый литерный номер (302 вместо 300), были заложены первые после его освобождения корабли (3898).</w:t>
      </w:r>
    </w:p>
    <w:p w14:paraId="73A711E6" w14:textId="77777777" w:rsidR="00C2313B" w:rsidRPr="00925F26" w:rsidRDefault="00C2313B" w:rsidP="00925F26">
      <w:pPr>
        <w:autoSpaceDE w:val="0"/>
        <w:autoSpaceDN w:val="0"/>
        <w:adjustRightInd w:val="0"/>
        <w:jc w:val="both"/>
        <w:rPr>
          <w:color w:val="000000" w:themeColor="text1"/>
          <w:sz w:val="16"/>
          <w:szCs w:val="16"/>
        </w:rPr>
      </w:pPr>
    </w:p>
    <w:p w14:paraId="6B668AA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7E3253A" w14:textId="77777777" w:rsidR="00C2313B" w:rsidRPr="00925F26" w:rsidRDefault="00C2313B" w:rsidP="00925F26">
      <w:pPr>
        <w:autoSpaceDE w:val="0"/>
        <w:autoSpaceDN w:val="0"/>
        <w:adjustRightInd w:val="0"/>
        <w:jc w:val="both"/>
        <w:rPr>
          <w:iCs/>
          <w:color w:val="000000" w:themeColor="text1"/>
          <w:sz w:val="16"/>
          <w:szCs w:val="16"/>
        </w:rPr>
      </w:pPr>
    </w:p>
    <w:p w14:paraId="401811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полки Ил-10 вылетели из Куйбышева на фронт для участия в операциях прорыва на Берлинском направлении. В 108 гвардейском, орденов Суворова и Богдана Хмельницкого, Рава-Русском шап 2-й воздушной армии проводились войсковые испытания на боевое применение. В состав бригады входили: А.К.Долгов - ведущий летчик, С.Г.Фролов, В.Н.Ковынев, В.Д.Кабанов, С.Т.Глущенко - контролировал испытания от ГКО. Отчет по испытаниям утверждал И.В.Сталин (172,162).</w:t>
      </w:r>
    </w:p>
    <w:p w14:paraId="76584696" w14:textId="77777777" w:rsidR="00C2313B" w:rsidRPr="00925F26" w:rsidRDefault="00C2313B" w:rsidP="00925F26">
      <w:pPr>
        <w:autoSpaceDE w:val="0"/>
        <w:autoSpaceDN w:val="0"/>
        <w:adjustRightInd w:val="0"/>
        <w:jc w:val="both"/>
        <w:rPr>
          <w:color w:val="000000" w:themeColor="text1"/>
          <w:sz w:val="16"/>
          <w:szCs w:val="16"/>
        </w:rPr>
      </w:pPr>
    </w:p>
    <w:p w14:paraId="3398D4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наблюдая за портами Клайпеда и Лиепая, воздухоплаватели не позволили немцам вывезти из Литвы и Латвии награбленные ценности (11328).</w:t>
      </w:r>
    </w:p>
    <w:p w14:paraId="092728D1" w14:textId="77777777" w:rsidR="00C2313B" w:rsidRPr="00925F26" w:rsidRDefault="00C2313B" w:rsidP="00925F26">
      <w:pPr>
        <w:autoSpaceDE w:val="0"/>
        <w:autoSpaceDN w:val="0"/>
        <w:adjustRightInd w:val="0"/>
        <w:jc w:val="both"/>
        <w:rPr>
          <w:color w:val="000000" w:themeColor="text1"/>
          <w:sz w:val="16"/>
          <w:szCs w:val="16"/>
        </w:rPr>
      </w:pPr>
    </w:p>
    <w:p w14:paraId="3E5583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в составе 3-го гвардейского бомбардировочного авиакорпуса (бывшего 7-го ак ДД) имелся еще один авиаполк, вооруженный самолетами Ер-2 - 333-й бап. До середины марта полк возглавлял гвардии подполковник М.А.Аркатов, а позднее - гвардии майор П.М.Засорин. Поскольку в 1944 г. эта авиачасть получила всего три бомбардировщика, а в апреле 1945 г. исправные Ер-2 в ней отсутствовали, то очевидно, что боеготовой она стать не успела и в боевых действиях не участвовала. В июле 1945 г. полк приказом командующего 18-й ВА был передан в состав 48-й бад. К концу 1945 г. в нем имелось по шесть бомбардировщиков Ер-2 и Ли-2 (3322,49).</w:t>
      </w:r>
    </w:p>
    <w:p w14:paraId="71A5EB07" w14:textId="77777777" w:rsidR="00C2313B" w:rsidRPr="00925F26" w:rsidRDefault="00C2313B" w:rsidP="00925F26">
      <w:pPr>
        <w:autoSpaceDE w:val="0"/>
        <w:autoSpaceDN w:val="0"/>
        <w:adjustRightInd w:val="0"/>
        <w:jc w:val="both"/>
        <w:rPr>
          <w:color w:val="000000" w:themeColor="text1"/>
          <w:sz w:val="16"/>
          <w:szCs w:val="16"/>
        </w:rPr>
      </w:pPr>
    </w:p>
    <w:p w14:paraId="05366E12" w14:textId="77777777" w:rsidR="006C4B00" w:rsidRPr="00925F26" w:rsidRDefault="006C4B00" w:rsidP="00925F26">
      <w:pPr>
        <w:pStyle w:val="rtejustify"/>
        <w:shd w:val="clear" w:color="auto" w:fill="FFFFFF"/>
        <w:spacing w:before="0" w:after="0"/>
        <w:rPr>
          <w:color w:val="000000" w:themeColor="text1"/>
          <w:sz w:val="16"/>
          <w:szCs w:val="16"/>
        </w:rPr>
      </w:pPr>
      <w:r w:rsidRPr="00925F26">
        <w:rPr>
          <w:color w:val="000000" w:themeColor="text1"/>
          <w:sz w:val="16"/>
          <w:szCs w:val="16"/>
        </w:rPr>
        <w:lastRenderedPageBreak/>
        <w:t>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(19199).</w:t>
      </w:r>
    </w:p>
    <w:p w14:paraId="14296C34" w14:textId="77777777" w:rsidR="006C4B00" w:rsidRPr="00925F26" w:rsidRDefault="006C4B00" w:rsidP="00925F26">
      <w:pPr>
        <w:shd w:val="clear" w:color="auto" w:fill="FFFFFF"/>
        <w:jc w:val="both"/>
        <w:textAlignment w:val="baseline"/>
        <w:rPr>
          <w:color w:val="000000" w:themeColor="text1"/>
          <w:sz w:val="16"/>
          <w:szCs w:val="16"/>
        </w:rPr>
      </w:pPr>
    </w:p>
    <w:p w14:paraId="1428BB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 процент неисправных самолетов снизился до 8% (4107) (3573).</w:t>
      </w:r>
    </w:p>
    <w:p w14:paraId="79A21865" w14:textId="77777777" w:rsidR="00C2313B" w:rsidRPr="00925F26" w:rsidRDefault="00C2313B" w:rsidP="00925F26">
      <w:pPr>
        <w:autoSpaceDE w:val="0"/>
        <w:autoSpaceDN w:val="0"/>
        <w:adjustRightInd w:val="0"/>
        <w:jc w:val="both"/>
        <w:rPr>
          <w:color w:val="000000" w:themeColor="text1"/>
          <w:sz w:val="16"/>
          <w:szCs w:val="16"/>
        </w:rPr>
      </w:pPr>
    </w:p>
    <w:p w14:paraId="5A8ED37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1945-го в "Люфтваффе" боевые вылеты продолжали совершать лишь две эскадрильи Hs 129, и то на Восточном фронте. Остальные соединения понесли невосполнимые потери и были расформированы (3039,31).</w:t>
      </w:r>
    </w:p>
    <w:p w14:paraId="3453C1AB" w14:textId="77777777" w:rsidR="00C2313B" w:rsidRPr="00925F26" w:rsidRDefault="00C2313B" w:rsidP="00925F26">
      <w:pPr>
        <w:autoSpaceDE w:val="0"/>
        <w:autoSpaceDN w:val="0"/>
        <w:adjustRightInd w:val="0"/>
        <w:jc w:val="both"/>
        <w:rPr>
          <w:color w:val="000000" w:themeColor="text1"/>
          <w:sz w:val="16"/>
          <w:szCs w:val="16"/>
        </w:rPr>
      </w:pPr>
    </w:p>
    <w:p w14:paraId="0C398881" w14:textId="77777777" w:rsidR="00A96EA6" w:rsidRPr="00925F26" w:rsidRDefault="00A96EA6"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С начала 1945 г. Як-9У во все возрас</w:t>
      </w:r>
      <w:r w:rsidRPr="00925F26">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925F26">
        <w:rPr>
          <w:rFonts w:ascii="Times New Roman" w:cs="Times New Roman"/>
          <w:color w:val="000000" w:themeColor="text1"/>
          <w:spacing w:val="0"/>
        </w:rPr>
        <w:softHyphen/>
        <w:t>лет этого типа, включая две сотни Як-9УТ с усиленным вооружением.</w:t>
      </w:r>
    </w:p>
    <w:p w14:paraId="16366600" w14:textId="77777777" w:rsidR="00A96EA6" w:rsidRPr="00925F26" w:rsidRDefault="00A96EA6"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К сожалению, все недостатки винто</w:t>
      </w:r>
      <w:r w:rsidRPr="00925F26">
        <w:rPr>
          <w:rFonts w:ascii="Times New Roman" w:cs="Times New Roman"/>
          <w:color w:val="000000" w:themeColor="text1"/>
          <w:spacing w:val="0"/>
        </w:rPr>
        <w:softHyphen/>
        <w:t>моторной группы в условиях военного вре</w:t>
      </w:r>
      <w:r w:rsidRPr="00925F26">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925F26">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3FF3DD20" w14:textId="77777777" w:rsidR="00A96EA6" w:rsidRPr="00925F26" w:rsidRDefault="00A96EA6"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Совершенно иное отношение к само</w:t>
      </w:r>
      <w:r w:rsidRPr="00925F26">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925F26">
        <w:rPr>
          <w:rFonts w:ascii="Times New Roman" w:cs="Times New Roman"/>
          <w:color w:val="000000" w:themeColor="text1"/>
          <w:spacing w:val="0"/>
        </w:rPr>
        <w:softHyphen/>
        <w:t>шанную конструкцию, что и более ран</w:t>
      </w:r>
      <w:r w:rsidRPr="00925F26">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925F26">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925F26">
        <w:rPr>
          <w:rFonts w:ascii="Times New Roman" w:cs="Times New Roman"/>
          <w:color w:val="000000" w:themeColor="text1"/>
          <w:spacing w:val="0"/>
        </w:rPr>
        <w:softHyphen/>
        <w:t>дили в негодность очень быстро.</w:t>
      </w:r>
    </w:p>
    <w:p w14:paraId="0976E746" w14:textId="77777777" w:rsidR="00A96EA6" w:rsidRPr="00925F26" w:rsidRDefault="00A96EA6"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К началу 1946 г. в отечественной ави</w:t>
      </w:r>
      <w:r w:rsidRPr="00925F26">
        <w:rPr>
          <w:rFonts w:ascii="Times New Roman" w:cs="Times New Roman"/>
          <w:color w:val="000000" w:themeColor="text1"/>
          <w:spacing w:val="0"/>
        </w:rPr>
        <w:softHyphen/>
        <w:t>ации сложилась и вовсе парадоксаль</w:t>
      </w:r>
      <w:r w:rsidRPr="00925F26">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925F26">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925F26">
        <w:rPr>
          <w:rFonts w:ascii="Times New Roman" w:cs="Times New Roman"/>
          <w:color w:val="000000" w:themeColor="text1"/>
          <w:spacing w:val="0"/>
        </w:rPr>
        <w:softHyphen/>
        <w:t>ствах, достаточных для того, чтобы перело</w:t>
      </w:r>
      <w:r w:rsidRPr="00925F26">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31932952" w14:textId="77777777" w:rsidR="00A96EA6" w:rsidRPr="00925F26" w:rsidRDefault="00A96EA6" w:rsidP="00925F26">
      <w:pPr>
        <w:pStyle w:val="27"/>
        <w:shd w:val="clear" w:color="auto" w:fill="auto"/>
        <w:spacing w:after="0" w:line="240" w:lineRule="auto"/>
        <w:ind w:firstLine="0"/>
        <w:rPr>
          <w:rFonts w:ascii="Times New Roman" w:cs="Times New Roman"/>
          <w:color w:val="000000" w:themeColor="text1"/>
          <w:spacing w:val="0"/>
        </w:rPr>
      </w:pPr>
    </w:p>
    <w:p w14:paraId="75A4ED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года численности "Кобр" в системе ПВО достигла 597 по сравнению с 65 в системе в конце 1943. Например, 57-й, 101-и и 66-й гвардейские полки (все па Р-39) привлекались к прикрытию американских авиабаз па Украине. Интересно, что "Кобрами" в первую очередь вооружали полки, расположенные поближе к фронту, а в тылу обходились "Харрикейнами" и "Киттихаукамн". К концу войны в системе ПВО имелись восемь полков на Р 39 (частично уже переоснащенных Р 63). В общей сложности они сбили 95 немецких самолетов (3457,74).</w:t>
      </w:r>
    </w:p>
    <w:p w14:paraId="5343C875" w14:textId="77777777" w:rsidR="00C2313B" w:rsidRPr="00925F26" w:rsidRDefault="00C2313B" w:rsidP="00925F26">
      <w:pPr>
        <w:autoSpaceDE w:val="0"/>
        <w:autoSpaceDN w:val="0"/>
        <w:adjustRightInd w:val="0"/>
        <w:jc w:val="both"/>
        <w:rPr>
          <w:color w:val="000000" w:themeColor="text1"/>
          <w:sz w:val="16"/>
          <w:szCs w:val="16"/>
        </w:rPr>
      </w:pPr>
    </w:p>
    <w:p w14:paraId="6A6E1B6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был сформирован польский 1-й смешанный ак (г Ф.А.Агальцов) в составе 1-й Польской бомбардировочной ад, 1-й польской шд и 3-й польской ид (340,175).</w:t>
      </w:r>
    </w:p>
    <w:p w14:paraId="1D1F06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 второй половины августа 1944 по конец войны польские ВВС выполнили 6000 вылетов (340,176).</w:t>
      </w:r>
    </w:p>
    <w:p w14:paraId="4A3BF30A" w14:textId="77777777" w:rsidR="00C2313B" w:rsidRPr="00925F26" w:rsidRDefault="00C2313B" w:rsidP="00925F26">
      <w:pPr>
        <w:autoSpaceDE w:val="0"/>
        <w:autoSpaceDN w:val="0"/>
        <w:adjustRightInd w:val="0"/>
        <w:jc w:val="both"/>
        <w:rPr>
          <w:color w:val="000000" w:themeColor="text1"/>
          <w:sz w:val="16"/>
          <w:szCs w:val="16"/>
        </w:rPr>
      </w:pPr>
    </w:p>
    <w:p w14:paraId="78E79D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 в полках ГВФ на фронте имелось 38 самолетов Р-5. В армейских частях самолеты-ветераны к этому моменту уже не учитываются. Тем не менее Р-5 применялись вплоть до последних дней войны в Европе (5016).</w:t>
      </w:r>
    </w:p>
    <w:p w14:paraId="6893F8AC" w14:textId="77777777" w:rsidR="00C2313B" w:rsidRPr="00925F26" w:rsidRDefault="00C2313B" w:rsidP="00925F26">
      <w:pPr>
        <w:autoSpaceDE w:val="0"/>
        <w:autoSpaceDN w:val="0"/>
        <w:adjustRightInd w:val="0"/>
        <w:jc w:val="both"/>
        <w:rPr>
          <w:color w:val="000000" w:themeColor="text1"/>
          <w:sz w:val="16"/>
          <w:szCs w:val="16"/>
        </w:rPr>
      </w:pPr>
    </w:p>
    <w:p w14:paraId="0FB7BF3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г.на КБФ в боевом составе числились 78 Пе-2. Началось наращивание количества “пешек” и на Дальнем Востоке: с 5 единиц, имевшихся на 1 января 1944 г., оно выросло до 52 машин к началу 1945 г. Оставалась значительной и группировка “пешек” на Черном море (80 машин), а вот в составе ВВС СФ на эту дату сохранились всего 5 Пе-2. Безусловно, наиболее известным и заслуженным полком морских “пешек” в годы войны стал 12. В марте-апреле 1945 г. полк принимал участие в борьбе за военно-морскую базу Пиллау, а затем - во взятии Кенигсберга (4476).</w:t>
      </w:r>
    </w:p>
    <w:p w14:paraId="172F8DEE" w14:textId="77777777" w:rsidR="00C2313B" w:rsidRPr="00925F26" w:rsidRDefault="00C2313B" w:rsidP="00925F26">
      <w:pPr>
        <w:autoSpaceDE w:val="0"/>
        <w:autoSpaceDN w:val="0"/>
        <w:adjustRightInd w:val="0"/>
        <w:jc w:val="both"/>
        <w:rPr>
          <w:color w:val="000000" w:themeColor="text1"/>
          <w:sz w:val="16"/>
          <w:szCs w:val="16"/>
        </w:rPr>
      </w:pPr>
    </w:p>
    <w:p w14:paraId="16649A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12 гвардейский бомбардировочный авиационный Таллинский Краснознаменный ордена Ушакова полк (бывший 73-й бап), которым командовал дважды Герой Советского Союза полковник В.И. Раков, а позднее - Герой Советского Союза майор К.С. Усенко принимал участие в атаках кораблей и судов в военно-морской базе Пиллау, других германских портах, хотя погодные условия не благоприятствовали активным действиям.</w:t>
      </w:r>
    </w:p>
    <w:p w14:paraId="2C9A7F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наступлением морозов ненастье в Прибалтике прекратилось, - вспоминал ветеран части полковник А.Ф. Калиничен- ко. - Однажды утром я взглянул в окно и увидел, что земля одета пушистым снежным покрывалом. На аэродром мы выехали в хорошем настроении. Радовали не только синее небо и яркое солнце. Поступил приказ немедленно перелететь поближе к объектам вражеской обороны. Взаимодействовавшие с нами истребители 14-го гвардейского авиаполка должны были перебазироваться на соседний аэродром...</w:t>
      </w:r>
    </w:p>
    <w:p w14:paraId="3E28956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Мы взлетели, через несколько минут к нам пристроились истребители прикрытия. Группа, насчитывающая около 50 самолетов, взяла курс в море. Нашим пикировщикам предстояло уничтожить караван вражеских транспортов, вышедших из Пиллау (ныне Балтийск)... Пересекли береговую черту. Море встретило нас 8-бальной облачностью. На высоте 2000 м висели слоистые облака. Лететь ниже было рискованно. Для обороны караванов с войсками гитлеровцы использовали боевые корабли, оснащенные дополнительными зенитными средствами. Гвардии майор К.С. Усенко повел группу над облаками. Долго висела под крылом белесая муть. Казалось, что внизу не облачность, а холмистая пустыня, покрытая снегом, и что летим мы над самой землей. Посмотрел на высотомер - прибор показывал 3500 </w:t>
      </w:r>
      <w:proofErr w:type="gramStart"/>
      <w:r w:rsidRPr="00925F26">
        <w:rPr>
          <w:color w:val="000000" w:themeColor="text1"/>
          <w:sz w:val="16"/>
          <w:szCs w:val="16"/>
        </w:rPr>
        <w:t>м...</w:t>
      </w:r>
      <w:proofErr w:type="gramEnd"/>
      <w:r w:rsidRPr="00925F26">
        <w:rPr>
          <w:color w:val="000000" w:themeColor="text1"/>
          <w:sz w:val="16"/>
          <w:szCs w:val="16"/>
        </w:rPr>
        <w:t>"</w:t>
      </w:r>
    </w:p>
    <w:p w14:paraId="35F899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Неожиданно атаковав противника из-за облаков, группа пикировщиков потопила вражеский транспорт, и без потерь вернулась на аэродром. По нашим данным, наиболее успешный удар флотские бомбардировщики по кораблям и судам в гавани Пиллау нанесли 9 апреля. В тот день совместно со штурмовиками из 47-го шап им удалось потопить до восьми транспортов, танкер и два сторожевых корабля, еще большее число неприятельских судов получили повреждения. За период с 9 по 25 апреля по ВМБ Пиллау в ходе пяти массированных налетов было совершено до 900 боевых вылетов, из них 141 самолетами Пе-2. Поданным штаба ВВС КБФ, противник понес значительные потери: не менее 50 кораблей и судов были потоплены или получили повреждения (12042).</w:t>
      </w:r>
    </w:p>
    <w:p w14:paraId="1D1B8690" w14:textId="77777777" w:rsidR="00C2313B" w:rsidRPr="00925F26" w:rsidRDefault="00C2313B" w:rsidP="00925F26">
      <w:pPr>
        <w:autoSpaceDE w:val="0"/>
        <w:autoSpaceDN w:val="0"/>
        <w:adjustRightInd w:val="0"/>
        <w:jc w:val="both"/>
        <w:rPr>
          <w:color w:val="000000" w:themeColor="text1"/>
          <w:sz w:val="16"/>
          <w:szCs w:val="16"/>
        </w:rPr>
      </w:pPr>
    </w:p>
    <w:p w14:paraId="44060E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в Финляндии оставалось восемь И-153. В феврале полеты на них прекратили и поставили на прикол. В законсервированном виде самолеты хранились до наступления 1950 г, когда их окончательно списали (6592).</w:t>
      </w:r>
    </w:p>
    <w:p w14:paraId="37594E06" w14:textId="77777777" w:rsidR="00C2313B" w:rsidRPr="00925F26" w:rsidRDefault="00C2313B" w:rsidP="00925F26">
      <w:pPr>
        <w:autoSpaceDE w:val="0"/>
        <w:autoSpaceDN w:val="0"/>
        <w:adjustRightInd w:val="0"/>
        <w:jc w:val="both"/>
        <w:rPr>
          <w:color w:val="000000" w:themeColor="text1"/>
          <w:sz w:val="16"/>
          <w:szCs w:val="16"/>
        </w:rPr>
      </w:pPr>
    </w:p>
    <w:p w14:paraId="781318F0" w14:textId="77777777" w:rsidR="00573476" w:rsidRPr="00925F26" w:rsidRDefault="00573476" w:rsidP="00925F26">
      <w:pPr>
        <w:jc w:val="both"/>
        <w:rPr>
          <w:color w:val="000000" w:themeColor="text1"/>
          <w:sz w:val="16"/>
          <w:szCs w:val="16"/>
        </w:rPr>
      </w:pPr>
      <w:r w:rsidRPr="00925F26">
        <w:rPr>
          <w:color w:val="000000" w:themeColor="text1"/>
          <w:sz w:val="16"/>
          <w:szCs w:val="16"/>
        </w:rPr>
        <w:t>В начале 1945 г. был сфор</w:t>
      </w:r>
      <w:r w:rsidRPr="00925F26">
        <w:rPr>
          <w:color w:val="000000" w:themeColor="text1"/>
          <w:sz w:val="16"/>
          <w:szCs w:val="16"/>
        </w:rPr>
        <w:softHyphen/>
        <w:t>мирован 45-й учебно-тренировочный авиапланёрный полк (45-й утапп). С 25 февраля им командовал майор З.П. Медведев. Туда перевели часть опытных планеристов из 208-го и 209-го полков. Эта часть в 1947 г. перебазиро</w:t>
      </w:r>
      <w:r w:rsidRPr="00925F26">
        <w:rPr>
          <w:color w:val="000000" w:themeColor="text1"/>
          <w:sz w:val="16"/>
          <w:szCs w:val="16"/>
        </w:rPr>
        <w:softHyphen/>
        <w:t>валась в Торжок, где стала осваивать тяжёлый планёр Ц-25 (12266).</w:t>
      </w:r>
    </w:p>
    <w:p w14:paraId="0FB0AA73" w14:textId="77777777" w:rsidR="00573476" w:rsidRPr="00925F26" w:rsidRDefault="00573476" w:rsidP="00925F26">
      <w:pPr>
        <w:jc w:val="both"/>
        <w:rPr>
          <w:color w:val="000000" w:themeColor="text1"/>
          <w:sz w:val="16"/>
          <w:szCs w:val="16"/>
        </w:rPr>
      </w:pPr>
    </w:p>
    <w:p w14:paraId="0787A9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Посты станций “Редут”, “Пегматит” и МРУ-105 дислоцировались в городах и населенных пунктах Вязьма, Юхнов, Серпухов, Ржев, Ярополец (под Волоколамском), Клин, Кубинка, Одинцово, Люберцы, Богородское (под Горьким), Рыбинск, Красногвардейск, Красное Село, Волосово, Приозерск (четыре последних расположены под Ленинградом), Архангельск, Кандалакша, Мурманск и др. (10109).</w:t>
      </w:r>
    </w:p>
    <w:p w14:paraId="7A82A979" w14:textId="77777777" w:rsidR="00C2313B" w:rsidRPr="00925F26" w:rsidRDefault="00C2313B" w:rsidP="00925F26">
      <w:pPr>
        <w:autoSpaceDE w:val="0"/>
        <w:autoSpaceDN w:val="0"/>
        <w:adjustRightInd w:val="0"/>
        <w:jc w:val="both"/>
        <w:rPr>
          <w:color w:val="000000" w:themeColor="text1"/>
          <w:sz w:val="16"/>
          <w:szCs w:val="16"/>
        </w:rPr>
      </w:pPr>
    </w:p>
    <w:p w14:paraId="613DD8B4"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 20-й шап, переброшенный из Приморья на Камчатку, начал получать «Кингкобры», превратившись в 410-й иап. Во входивший в ту же дивизию 888-й иап новая техника прибыла всего за пять дней до начала бо</w:t>
      </w:r>
      <w:r w:rsidRPr="00925F26">
        <w:rPr>
          <w:color w:val="000000" w:themeColor="text1"/>
          <w:sz w:val="16"/>
          <w:szCs w:val="16"/>
        </w:rPr>
        <w:softHyphen/>
        <w:t>евых действий, тем не менее часть его са</w:t>
      </w:r>
      <w:r w:rsidRPr="00925F26">
        <w:rPr>
          <w:color w:val="000000" w:themeColor="text1"/>
          <w:sz w:val="16"/>
          <w:szCs w:val="16"/>
        </w:rPr>
        <w:softHyphen/>
        <w:t>молетов тоже задействовали в операциях против японцев.</w:t>
      </w:r>
    </w:p>
    <w:p w14:paraId="1CAF562C" w14:textId="77777777" w:rsidR="0058703C" w:rsidRPr="00925F26" w:rsidRDefault="0058703C" w:rsidP="00925F26">
      <w:pPr>
        <w:jc w:val="both"/>
        <w:rPr>
          <w:color w:val="000000" w:themeColor="text1"/>
          <w:sz w:val="16"/>
          <w:szCs w:val="16"/>
        </w:rPr>
      </w:pPr>
      <w:r w:rsidRPr="00925F26">
        <w:rPr>
          <w:color w:val="000000" w:themeColor="text1"/>
          <w:sz w:val="16"/>
          <w:szCs w:val="16"/>
        </w:rPr>
        <w:t>888-й и 410-й полки с Камчатки нано</w:t>
      </w:r>
      <w:r w:rsidRPr="00925F26">
        <w:rPr>
          <w:color w:val="000000" w:themeColor="text1"/>
          <w:sz w:val="16"/>
          <w:szCs w:val="16"/>
        </w:rPr>
        <w:softHyphen/>
        <w:t>сили удары по японским базам на близ</w:t>
      </w:r>
      <w:r w:rsidRPr="00925F26">
        <w:rPr>
          <w:color w:val="000000" w:themeColor="text1"/>
          <w:sz w:val="16"/>
          <w:szCs w:val="16"/>
        </w:rPr>
        <w:softHyphen/>
        <w:t>лежащих островах Шумшу и Парамушир, а затем обеспечивали высадку на них де</w:t>
      </w:r>
      <w:r w:rsidRPr="00925F26">
        <w:rPr>
          <w:color w:val="000000" w:themeColor="text1"/>
          <w:sz w:val="16"/>
          <w:szCs w:val="16"/>
        </w:rPr>
        <w:softHyphen/>
        <w:t>сантов. Истребители прикрывали на пере</w:t>
      </w:r>
      <w:r w:rsidRPr="00925F26">
        <w:rPr>
          <w:color w:val="000000" w:themeColor="text1"/>
          <w:sz w:val="16"/>
          <w:szCs w:val="16"/>
        </w:rPr>
        <w:softHyphen/>
        <w:t>ходе суда с войсками, бомбили и обстре</w:t>
      </w:r>
      <w:r w:rsidRPr="00925F26">
        <w:rPr>
          <w:color w:val="000000" w:themeColor="text1"/>
          <w:sz w:val="16"/>
          <w:szCs w:val="16"/>
        </w:rPr>
        <w:softHyphen/>
        <w:t>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выполнил капитан В.А. Деркачев. 18 августа он разбился, вре</w:t>
      </w:r>
      <w:r w:rsidRPr="00925F26">
        <w:rPr>
          <w:color w:val="000000" w:themeColor="text1"/>
          <w:sz w:val="16"/>
          <w:szCs w:val="16"/>
        </w:rPr>
        <w:softHyphen/>
        <w:t>завшись в склон вулкана Горелый. Место катастрофы искали с У-2, но смогли сесть лишь в нескольких километрах от него, разбив свой биплан.</w:t>
      </w:r>
    </w:p>
    <w:p w14:paraId="0D89953A" w14:textId="77777777" w:rsidR="0058703C" w:rsidRPr="00925F26" w:rsidRDefault="0058703C" w:rsidP="00925F26">
      <w:pPr>
        <w:jc w:val="both"/>
        <w:rPr>
          <w:color w:val="000000" w:themeColor="text1"/>
          <w:sz w:val="16"/>
          <w:szCs w:val="16"/>
        </w:rPr>
      </w:pPr>
      <w:r w:rsidRPr="00925F26">
        <w:rPr>
          <w:color w:val="000000" w:themeColor="text1"/>
          <w:sz w:val="16"/>
          <w:szCs w:val="16"/>
        </w:rPr>
        <w:t>«Кингкобры» также совершили не</w:t>
      </w:r>
      <w:r w:rsidRPr="00925F26">
        <w:rPr>
          <w:color w:val="000000" w:themeColor="text1"/>
          <w:sz w:val="16"/>
          <w:szCs w:val="16"/>
        </w:rPr>
        <w:softHyphen/>
        <w:t>сколько вылетов без применения ору</w:t>
      </w:r>
      <w:r w:rsidRPr="00925F26">
        <w:rPr>
          <w:color w:val="000000" w:themeColor="text1"/>
          <w:sz w:val="16"/>
          <w:szCs w:val="16"/>
        </w:rPr>
        <w:softHyphen/>
        <w:t>жия для устрашения японцев, проживав</w:t>
      </w:r>
      <w:r w:rsidRPr="00925F26">
        <w:rPr>
          <w:color w:val="000000" w:themeColor="text1"/>
          <w:sz w:val="16"/>
          <w:szCs w:val="16"/>
        </w:rPr>
        <w:softHyphen/>
        <w:t>ших на Камчатке в поселках Большевик и Октябрьский, где размещались крабо</w:t>
      </w:r>
      <w:r w:rsidRPr="00925F26">
        <w:rPr>
          <w:color w:val="000000" w:themeColor="text1"/>
          <w:sz w:val="16"/>
          <w:szCs w:val="16"/>
        </w:rPr>
        <w:softHyphen/>
        <w:t>ловные концессии. После объявления войны всех японских граждан объявили интернированными, но они попытались уплыть на краболовных судах. Самолеты обнаружили их в океане и вернули обрат</w:t>
      </w:r>
      <w:r w:rsidRPr="00925F26">
        <w:rPr>
          <w:color w:val="000000" w:themeColor="text1"/>
          <w:sz w:val="16"/>
          <w:szCs w:val="16"/>
        </w:rPr>
        <w:softHyphen/>
        <w:t>но в порт.</w:t>
      </w:r>
    </w:p>
    <w:p w14:paraId="722E913B" w14:textId="77777777" w:rsidR="0058703C" w:rsidRPr="00925F26" w:rsidRDefault="0058703C" w:rsidP="00925F26">
      <w:pPr>
        <w:jc w:val="both"/>
        <w:rPr>
          <w:color w:val="000000" w:themeColor="text1"/>
          <w:sz w:val="16"/>
          <w:szCs w:val="16"/>
        </w:rPr>
      </w:pPr>
      <w:r w:rsidRPr="00925F26">
        <w:rPr>
          <w:color w:val="000000" w:themeColor="text1"/>
          <w:sz w:val="16"/>
          <w:szCs w:val="16"/>
        </w:rPr>
        <w:t>Японская авиация практически не ока</w:t>
      </w:r>
      <w:r w:rsidRPr="00925F26">
        <w:rPr>
          <w:color w:val="000000" w:themeColor="text1"/>
          <w:sz w:val="16"/>
          <w:szCs w:val="16"/>
        </w:rPr>
        <w:softHyphen/>
        <w:t>зывала серьезного противодействия на</w:t>
      </w:r>
      <w:r w:rsidRPr="00925F26">
        <w:rPr>
          <w:color w:val="000000" w:themeColor="text1"/>
          <w:sz w:val="16"/>
          <w:szCs w:val="16"/>
        </w:rPr>
        <w:softHyphen/>
        <w:t>ступающим советским армиям, поэтому проверить качества «Кингкобры» в воз</w:t>
      </w:r>
      <w:r w:rsidRPr="00925F26">
        <w:rPr>
          <w:color w:val="000000" w:themeColor="text1"/>
          <w:sz w:val="16"/>
          <w:szCs w:val="16"/>
        </w:rPr>
        <w:softHyphen/>
        <w:t>душных боях не удалось. Единственный успешный бой на Р-63 провел млад</w:t>
      </w:r>
      <w:r w:rsidRPr="00925F26">
        <w:rPr>
          <w:color w:val="000000" w:themeColor="text1"/>
          <w:sz w:val="16"/>
          <w:szCs w:val="16"/>
        </w:rPr>
        <w:softHyphen/>
        <w:t>ший лейтенант И.Ф. Мирошниченко из 17-го иап. 15 августа он вместе со сво</w:t>
      </w:r>
      <w:r w:rsidRPr="00925F26">
        <w:rPr>
          <w:color w:val="000000" w:themeColor="text1"/>
          <w:sz w:val="16"/>
          <w:szCs w:val="16"/>
        </w:rPr>
        <w:softHyphen/>
        <w:t>им ведущим, Героем Советского Союза В.Ф. Сиротиным, атаковал два японских истребителя, напавших на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w:t>
      </w:r>
      <w:r w:rsidRPr="00925F26">
        <w:rPr>
          <w:color w:val="000000" w:themeColor="text1"/>
          <w:sz w:val="16"/>
          <w:szCs w:val="16"/>
        </w:rPr>
        <w:softHyphen/>
        <w:t>ных документах указывается по-разному: и как «И-97» (то есть Накадзима Ки.27), и как «Оскар» (по американскому коду так обозначался Ки.43). Но и тот, и другой яв</w:t>
      </w:r>
      <w:r w:rsidRPr="00925F26">
        <w:rPr>
          <w:color w:val="000000" w:themeColor="text1"/>
          <w:sz w:val="16"/>
          <w:szCs w:val="16"/>
        </w:rPr>
        <w:softHyphen/>
        <w:t>лялись давно устаревшими самолетами, так что исход боя фактически был предре</w:t>
      </w:r>
      <w:r w:rsidRPr="00925F26">
        <w:rPr>
          <w:color w:val="000000" w:themeColor="text1"/>
          <w:sz w:val="16"/>
          <w:szCs w:val="16"/>
        </w:rPr>
        <w:softHyphen/>
        <w:t>шен с самого начала.</w:t>
      </w:r>
    </w:p>
    <w:p w14:paraId="7F86895A" w14:textId="77777777" w:rsidR="0058703C" w:rsidRPr="00925F26" w:rsidRDefault="0058703C" w:rsidP="00925F26">
      <w:pPr>
        <w:jc w:val="both"/>
        <w:rPr>
          <w:color w:val="000000" w:themeColor="text1"/>
          <w:sz w:val="16"/>
          <w:szCs w:val="16"/>
        </w:rPr>
      </w:pPr>
      <w:r w:rsidRPr="00925F26">
        <w:rPr>
          <w:color w:val="000000" w:themeColor="text1"/>
          <w:sz w:val="16"/>
          <w:szCs w:val="16"/>
        </w:rPr>
        <w:lastRenderedPageBreak/>
        <w:t>В это же время первые Р-63 посту</w:t>
      </w:r>
      <w:r w:rsidRPr="00925F26">
        <w:rPr>
          <w:color w:val="000000" w:themeColor="text1"/>
          <w:sz w:val="16"/>
          <w:szCs w:val="16"/>
        </w:rPr>
        <w:softHyphen/>
        <w:t>пили в 7-ю иад ВВС Тихоокеанского флота. К 9 августа, когда началась вой</w:t>
      </w:r>
      <w:r w:rsidRPr="00925F26">
        <w:rPr>
          <w:color w:val="000000" w:themeColor="text1"/>
          <w:sz w:val="16"/>
          <w:szCs w:val="16"/>
        </w:rPr>
        <w:softHyphen/>
        <w:t>на с Японией, дивизия имела десять «Кингкобр». Еще около двух десятков ма</w:t>
      </w:r>
      <w:r w:rsidRPr="00925F26">
        <w:rPr>
          <w:color w:val="000000" w:themeColor="text1"/>
          <w:sz w:val="16"/>
          <w:szCs w:val="16"/>
        </w:rPr>
        <w:softHyphen/>
        <w:t>шин прибыло уже в ходе боевых действий, до 31 августа. Никакого участия в опера</w:t>
      </w:r>
      <w:r w:rsidRPr="00925F26">
        <w:rPr>
          <w:color w:val="000000" w:themeColor="text1"/>
          <w:sz w:val="16"/>
          <w:szCs w:val="16"/>
        </w:rPr>
        <w:softHyphen/>
        <w:t>циях против японцев они не принимали (23513).</w:t>
      </w:r>
    </w:p>
    <w:p w14:paraId="67504AE3" w14:textId="77777777" w:rsidR="0058703C" w:rsidRPr="00925F26" w:rsidRDefault="0058703C" w:rsidP="00925F26">
      <w:pPr>
        <w:jc w:val="both"/>
        <w:rPr>
          <w:color w:val="000000" w:themeColor="text1"/>
          <w:sz w:val="16"/>
          <w:szCs w:val="16"/>
        </w:rPr>
      </w:pPr>
    </w:p>
    <w:p w14:paraId="0E55D6C9"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 «Митчеллы» ре</w:t>
      </w:r>
      <w:r w:rsidRPr="00925F26">
        <w:rPr>
          <w:color w:val="000000" w:themeColor="text1"/>
          <w:sz w:val="16"/>
          <w:szCs w:val="16"/>
        </w:rPr>
        <w:softHyphen/>
        <w:t>шили передать в 3-ю дивизию связи, бази</w:t>
      </w:r>
      <w:r w:rsidRPr="00925F26">
        <w:rPr>
          <w:color w:val="000000" w:themeColor="text1"/>
          <w:sz w:val="16"/>
          <w:szCs w:val="16"/>
        </w:rPr>
        <w:softHyphen/>
        <w:t>ровавшуюся на подмосковном аэродроме Мячково. Ее основной задачей являлась перевозка курьеров и документации к фронту и обратно. В феврале инженеры дивизии разработали проект переделки В-25 в связной самолет. В марте в Мячково прибыли два самолета, причем оба отно</w:t>
      </w:r>
      <w:r w:rsidRPr="00925F26">
        <w:rPr>
          <w:color w:val="000000" w:themeColor="text1"/>
          <w:sz w:val="16"/>
          <w:szCs w:val="16"/>
        </w:rPr>
        <w:softHyphen/>
        <w:t>сились к модификации B-25G. В том же месяце первый из них подвергся доработ</w:t>
      </w:r>
      <w:r w:rsidRPr="00925F26">
        <w:rPr>
          <w:color w:val="000000" w:themeColor="text1"/>
          <w:sz w:val="16"/>
          <w:szCs w:val="16"/>
        </w:rPr>
        <w:softHyphen/>
        <w:t>ке. Позднее он прошел испытания в НИИ ГВФ; летал на нем Б. Остапчук. С апреля началась постоянная эксплуатация этих машин. В июне к двум имевшимся ранее добавилась третья.</w:t>
      </w:r>
    </w:p>
    <w:p w14:paraId="0E1D9B37" w14:textId="77777777" w:rsidR="0058703C" w:rsidRPr="00925F26" w:rsidRDefault="0058703C" w:rsidP="00925F26">
      <w:pPr>
        <w:jc w:val="both"/>
        <w:rPr>
          <w:color w:val="000000" w:themeColor="text1"/>
          <w:sz w:val="16"/>
          <w:szCs w:val="16"/>
        </w:rPr>
      </w:pPr>
      <w:r w:rsidRPr="00925F26">
        <w:rPr>
          <w:color w:val="000000" w:themeColor="text1"/>
          <w:sz w:val="16"/>
          <w:szCs w:val="16"/>
        </w:rPr>
        <w:t>Руководство ГВФ рассчитывало на широкое их применение в гражданской авиации после войны. По расчетам специ</w:t>
      </w:r>
      <w:r w:rsidRPr="00925F26">
        <w:rPr>
          <w:color w:val="000000" w:themeColor="text1"/>
          <w:sz w:val="16"/>
          <w:szCs w:val="16"/>
        </w:rPr>
        <w:softHyphen/>
        <w:t>алистов из НИИ ГВФ, по экономическим показателям разоруженные В-25 при</w:t>
      </w:r>
      <w:r w:rsidRPr="00925F26">
        <w:rPr>
          <w:color w:val="000000" w:themeColor="text1"/>
          <w:sz w:val="16"/>
          <w:szCs w:val="16"/>
        </w:rPr>
        <w:softHyphen/>
        <w:t>ближались к С-47 и Ли-2. Их заключение гласило: «Самолет В-25 является наибо</w:t>
      </w:r>
      <w:r w:rsidRPr="00925F26">
        <w:rPr>
          <w:color w:val="000000" w:themeColor="text1"/>
          <w:sz w:val="16"/>
          <w:szCs w:val="16"/>
        </w:rPr>
        <w:softHyphen/>
        <w:t>лее рентабельным из военных самолетов. Может быть использован в ГВФ в качестве грузового и грузо-пассажирского экспрес</w:t>
      </w:r>
      <w:r w:rsidRPr="00925F26">
        <w:rPr>
          <w:color w:val="000000" w:themeColor="text1"/>
          <w:sz w:val="16"/>
          <w:szCs w:val="16"/>
        </w:rPr>
        <w:softHyphen/>
        <w:t>са на основных магистралях».</w:t>
      </w:r>
    </w:p>
    <w:p w14:paraId="20D83751" w14:textId="77777777" w:rsidR="0058703C" w:rsidRPr="00925F26" w:rsidRDefault="0058703C" w:rsidP="00925F26">
      <w:pPr>
        <w:jc w:val="both"/>
        <w:rPr>
          <w:color w:val="000000" w:themeColor="text1"/>
          <w:sz w:val="16"/>
          <w:szCs w:val="16"/>
        </w:rPr>
      </w:pPr>
      <w:r w:rsidRPr="00925F26">
        <w:rPr>
          <w:color w:val="000000" w:themeColor="text1"/>
          <w:sz w:val="16"/>
          <w:szCs w:val="16"/>
        </w:rPr>
        <w:t>Были разработаны два варианта пере</w:t>
      </w:r>
      <w:r w:rsidRPr="00925F26">
        <w:rPr>
          <w:color w:val="000000" w:themeColor="text1"/>
          <w:sz w:val="16"/>
          <w:szCs w:val="16"/>
        </w:rPr>
        <w:softHyphen/>
        <w:t xml:space="preserve">делки: грузовой и </w:t>
      </w:r>
      <w:proofErr w:type="gramStart"/>
      <w:r w:rsidRPr="00925F26">
        <w:rPr>
          <w:color w:val="000000" w:themeColor="text1"/>
          <w:sz w:val="16"/>
          <w:szCs w:val="16"/>
        </w:rPr>
        <w:t>грузо-пассажирский</w:t>
      </w:r>
      <w:proofErr w:type="gramEnd"/>
      <w:r w:rsidRPr="00925F26">
        <w:rPr>
          <w:color w:val="000000" w:themeColor="text1"/>
          <w:sz w:val="16"/>
          <w:szCs w:val="16"/>
        </w:rPr>
        <w:t>. Первый перевозил 2700 кг груза, вто</w:t>
      </w:r>
      <w:r w:rsidRPr="00925F26">
        <w:rPr>
          <w:color w:val="000000" w:themeColor="text1"/>
          <w:sz w:val="16"/>
          <w:szCs w:val="16"/>
        </w:rPr>
        <w:softHyphen/>
        <w:t>рой — 1400 кг плюс пять-восемь пасса</w:t>
      </w:r>
      <w:r w:rsidRPr="00925F26">
        <w:rPr>
          <w:color w:val="000000" w:themeColor="text1"/>
          <w:sz w:val="16"/>
          <w:szCs w:val="16"/>
        </w:rPr>
        <w:softHyphen/>
        <w:t>жиров. Людей собирались разместить в кабине за бомбоотсеком. С самолета хотели снять все вооружение, внутрен</w:t>
      </w:r>
      <w:r w:rsidRPr="00925F26">
        <w:rPr>
          <w:color w:val="000000" w:themeColor="text1"/>
          <w:sz w:val="16"/>
          <w:szCs w:val="16"/>
        </w:rPr>
        <w:softHyphen/>
        <w:t>ние перегородки, заделать бомболюк, перенести в другое место радиостанцию. Загрузочные люки планировали проре</w:t>
      </w:r>
      <w:r w:rsidRPr="00925F26">
        <w:rPr>
          <w:color w:val="000000" w:themeColor="text1"/>
          <w:sz w:val="16"/>
          <w:szCs w:val="16"/>
        </w:rPr>
        <w:softHyphen/>
        <w:t>зать в носовой части снизу и под крылом. Пассажирский вариант должен был еще получить кресла и окна в бортах. Но ком</w:t>
      </w:r>
      <w:r w:rsidRPr="00925F26">
        <w:rPr>
          <w:color w:val="000000" w:themeColor="text1"/>
          <w:sz w:val="16"/>
          <w:szCs w:val="16"/>
        </w:rPr>
        <w:softHyphen/>
        <w:t>форт для пассажиров при этом практиче</w:t>
      </w:r>
      <w:r w:rsidRPr="00925F26">
        <w:rPr>
          <w:color w:val="000000" w:themeColor="text1"/>
          <w:sz w:val="16"/>
          <w:szCs w:val="16"/>
        </w:rPr>
        <w:softHyphen/>
        <w:t>ски отсутствовал.</w:t>
      </w:r>
    </w:p>
    <w:p w14:paraId="21CEE9F5" w14:textId="77777777" w:rsidR="0058703C" w:rsidRPr="00925F26" w:rsidRDefault="0058703C" w:rsidP="00925F26">
      <w:pPr>
        <w:jc w:val="both"/>
        <w:rPr>
          <w:color w:val="000000" w:themeColor="text1"/>
          <w:sz w:val="16"/>
          <w:szCs w:val="16"/>
        </w:rPr>
      </w:pPr>
      <w:r w:rsidRPr="00925F26">
        <w:rPr>
          <w:color w:val="000000" w:themeColor="text1"/>
          <w:sz w:val="16"/>
          <w:szCs w:val="16"/>
        </w:rPr>
        <w:t>Руководивший тогда ГВФ маршал Ф.А. Астахов обратился к штабу ВВС с просьбой передать излишние В-25. Однако он получил отказ. Для того, чтобы «демобилизовать» нужное коли</w:t>
      </w:r>
      <w:r w:rsidRPr="00925F26">
        <w:rPr>
          <w:color w:val="000000" w:themeColor="text1"/>
          <w:sz w:val="16"/>
          <w:szCs w:val="16"/>
        </w:rPr>
        <w:softHyphen/>
        <w:t>чество бомбардировщиков, потребо</w:t>
      </w:r>
      <w:r w:rsidRPr="00925F26">
        <w:rPr>
          <w:color w:val="000000" w:themeColor="text1"/>
          <w:sz w:val="16"/>
          <w:szCs w:val="16"/>
        </w:rPr>
        <w:softHyphen/>
        <w:t>валось бы расформировать одну из ди</w:t>
      </w:r>
      <w:r w:rsidRPr="00925F26">
        <w:rPr>
          <w:color w:val="000000" w:themeColor="text1"/>
          <w:sz w:val="16"/>
          <w:szCs w:val="16"/>
        </w:rPr>
        <w:softHyphen/>
        <w:t>визий Дальней авиации. Командование ВВС на это не пошло. Самолеты из 3-й дивизии связи перешли к Якутскому управлению ГВФ и летали там до нояб</w:t>
      </w:r>
      <w:r w:rsidRPr="00925F26">
        <w:rPr>
          <w:color w:val="000000" w:themeColor="text1"/>
          <w:sz w:val="16"/>
          <w:szCs w:val="16"/>
        </w:rPr>
        <w:softHyphen/>
        <w:t>ря 1948 г.</w:t>
      </w:r>
    </w:p>
    <w:p w14:paraId="19F21314" w14:textId="77777777" w:rsidR="0058703C" w:rsidRPr="00925F26" w:rsidRDefault="0058703C" w:rsidP="00925F26">
      <w:pPr>
        <w:jc w:val="both"/>
        <w:rPr>
          <w:color w:val="000000" w:themeColor="text1"/>
          <w:sz w:val="16"/>
          <w:szCs w:val="16"/>
        </w:rPr>
      </w:pPr>
      <w:r w:rsidRPr="00925F26">
        <w:rPr>
          <w:color w:val="000000" w:themeColor="text1"/>
          <w:sz w:val="16"/>
          <w:szCs w:val="16"/>
        </w:rPr>
        <w:t>Данные бомбардировщика Норт Америкэн В-25 «Митчелл»</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3144"/>
        <w:gridCol w:w="1853"/>
        <w:gridCol w:w="1862"/>
        <w:gridCol w:w="1862"/>
        <w:gridCol w:w="1867"/>
      </w:tblGrid>
      <w:tr w:rsidR="0058703C" w:rsidRPr="00925F26" w14:paraId="0721D2E1" w14:textId="77777777" w:rsidTr="004C5D62">
        <w:trPr>
          <w:trHeight w:val="317"/>
        </w:trPr>
        <w:tc>
          <w:tcPr>
            <w:tcW w:w="3144" w:type="dxa"/>
            <w:tcBorders>
              <w:top w:val="single" w:sz="4" w:space="0" w:color="auto"/>
              <w:left w:val="single" w:sz="4" w:space="0" w:color="auto"/>
            </w:tcBorders>
          </w:tcPr>
          <w:p w14:paraId="76D2AD25" w14:textId="77777777" w:rsidR="0058703C" w:rsidRPr="00925F26" w:rsidRDefault="0058703C" w:rsidP="00925F26">
            <w:pPr>
              <w:jc w:val="both"/>
              <w:rPr>
                <w:color w:val="000000" w:themeColor="text1"/>
                <w:sz w:val="16"/>
                <w:szCs w:val="16"/>
              </w:rPr>
            </w:pPr>
          </w:p>
        </w:tc>
        <w:tc>
          <w:tcPr>
            <w:tcW w:w="1853" w:type="dxa"/>
            <w:tcBorders>
              <w:top w:val="single" w:sz="4" w:space="0" w:color="auto"/>
              <w:left w:val="single" w:sz="4" w:space="0" w:color="auto"/>
            </w:tcBorders>
            <w:vAlign w:val="bottom"/>
          </w:tcPr>
          <w:p w14:paraId="0B495E34" w14:textId="77777777" w:rsidR="0058703C" w:rsidRPr="00925F26" w:rsidRDefault="0058703C" w:rsidP="00925F26">
            <w:pPr>
              <w:jc w:val="both"/>
              <w:rPr>
                <w:color w:val="000000" w:themeColor="text1"/>
                <w:sz w:val="16"/>
                <w:szCs w:val="16"/>
              </w:rPr>
            </w:pPr>
            <w:r w:rsidRPr="00925F26">
              <w:rPr>
                <w:color w:val="000000" w:themeColor="text1"/>
                <w:sz w:val="16"/>
                <w:szCs w:val="16"/>
              </w:rPr>
              <w:t>В-25В</w:t>
            </w:r>
          </w:p>
        </w:tc>
        <w:tc>
          <w:tcPr>
            <w:tcW w:w="1862" w:type="dxa"/>
            <w:tcBorders>
              <w:top w:val="single" w:sz="4" w:space="0" w:color="auto"/>
              <w:left w:val="single" w:sz="4" w:space="0" w:color="auto"/>
            </w:tcBorders>
            <w:vAlign w:val="bottom"/>
          </w:tcPr>
          <w:p w14:paraId="18AFAAD0" w14:textId="77777777" w:rsidR="0058703C" w:rsidRPr="00925F26" w:rsidRDefault="0058703C" w:rsidP="00925F26">
            <w:pPr>
              <w:jc w:val="both"/>
              <w:rPr>
                <w:color w:val="000000" w:themeColor="text1"/>
                <w:sz w:val="16"/>
                <w:szCs w:val="16"/>
              </w:rPr>
            </w:pPr>
            <w:r w:rsidRPr="00925F26">
              <w:rPr>
                <w:color w:val="000000" w:themeColor="text1"/>
                <w:sz w:val="16"/>
                <w:szCs w:val="16"/>
              </w:rPr>
              <w:t>В-25С</w:t>
            </w:r>
          </w:p>
        </w:tc>
        <w:tc>
          <w:tcPr>
            <w:tcW w:w="1862" w:type="dxa"/>
            <w:tcBorders>
              <w:top w:val="single" w:sz="4" w:space="0" w:color="auto"/>
              <w:left w:val="single" w:sz="4" w:space="0" w:color="auto"/>
            </w:tcBorders>
            <w:vAlign w:val="bottom"/>
          </w:tcPr>
          <w:p w14:paraId="2638B0B3" w14:textId="77777777" w:rsidR="0058703C" w:rsidRPr="00925F26" w:rsidRDefault="0058703C" w:rsidP="00925F26">
            <w:pPr>
              <w:jc w:val="both"/>
              <w:rPr>
                <w:color w:val="000000" w:themeColor="text1"/>
                <w:sz w:val="16"/>
                <w:szCs w:val="16"/>
              </w:rPr>
            </w:pPr>
            <w:r w:rsidRPr="00925F26">
              <w:rPr>
                <w:color w:val="000000" w:themeColor="text1"/>
                <w:sz w:val="16"/>
                <w:szCs w:val="16"/>
              </w:rPr>
              <w:t>B-25G</w:t>
            </w:r>
          </w:p>
        </w:tc>
        <w:tc>
          <w:tcPr>
            <w:tcW w:w="1867" w:type="dxa"/>
            <w:tcBorders>
              <w:top w:val="single" w:sz="4" w:space="0" w:color="auto"/>
              <w:left w:val="single" w:sz="4" w:space="0" w:color="auto"/>
              <w:right w:val="single" w:sz="4" w:space="0" w:color="auto"/>
            </w:tcBorders>
            <w:vAlign w:val="bottom"/>
          </w:tcPr>
          <w:p w14:paraId="67DF9346" w14:textId="77777777" w:rsidR="0058703C" w:rsidRPr="00925F26" w:rsidRDefault="0058703C" w:rsidP="00925F26">
            <w:pPr>
              <w:jc w:val="both"/>
              <w:rPr>
                <w:color w:val="000000" w:themeColor="text1"/>
                <w:sz w:val="16"/>
                <w:szCs w:val="16"/>
              </w:rPr>
            </w:pPr>
            <w:r w:rsidRPr="00925F26">
              <w:rPr>
                <w:color w:val="000000" w:themeColor="text1"/>
                <w:sz w:val="16"/>
                <w:szCs w:val="16"/>
              </w:rPr>
              <w:t>B-25J</w:t>
            </w:r>
          </w:p>
        </w:tc>
      </w:tr>
      <w:tr w:rsidR="0058703C" w:rsidRPr="00925F26" w14:paraId="55DFD733" w14:textId="77777777" w:rsidTr="004C5D62">
        <w:trPr>
          <w:trHeight w:val="302"/>
        </w:trPr>
        <w:tc>
          <w:tcPr>
            <w:tcW w:w="3144" w:type="dxa"/>
            <w:tcBorders>
              <w:top w:val="single" w:sz="4" w:space="0" w:color="auto"/>
              <w:left w:val="single" w:sz="4" w:space="0" w:color="auto"/>
            </w:tcBorders>
            <w:vAlign w:val="bottom"/>
          </w:tcPr>
          <w:p w14:paraId="37A3AB2D" w14:textId="77777777" w:rsidR="0058703C" w:rsidRPr="00925F26" w:rsidRDefault="0058703C" w:rsidP="00925F26">
            <w:pPr>
              <w:jc w:val="both"/>
              <w:rPr>
                <w:color w:val="000000" w:themeColor="text1"/>
                <w:sz w:val="16"/>
                <w:szCs w:val="16"/>
              </w:rPr>
            </w:pPr>
            <w:r w:rsidRPr="00925F26">
              <w:rPr>
                <w:color w:val="000000" w:themeColor="text1"/>
                <w:sz w:val="16"/>
                <w:szCs w:val="16"/>
              </w:rPr>
              <w:t>Длина, м</w:t>
            </w:r>
          </w:p>
        </w:tc>
        <w:tc>
          <w:tcPr>
            <w:tcW w:w="1853" w:type="dxa"/>
            <w:tcBorders>
              <w:top w:val="single" w:sz="4" w:space="0" w:color="auto"/>
              <w:left w:val="single" w:sz="4" w:space="0" w:color="auto"/>
            </w:tcBorders>
            <w:vAlign w:val="bottom"/>
          </w:tcPr>
          <w:p w14:paraId="1CEAA1FC" w14:textId="77777777" w:rsidR="0058703C" w:rsidRPr="00925F26" w:rsidRDefault="0058703C" w:rsidP="00925F26">
            <w:pPr>
              <w:jc w:val="both"/>
              <w:rPr>
                <w:color w:val="000000" w:themeColor="text1"/>
                <w:sz w:val="16"/>
                <w:szCs w:val="16"/>
              </w:rPr>
            </w:pPr>
            <w:r w:rsidRPr="00925F26">
              <w:rPr>
                <w:color w:val="000000" w:themeColor="text1"/>
                <w:sz w:val="16"/>
                <w:szCs w:val="16"/>
              </w:rPr>
              <w:t>16,13</w:t>
            </w:r>
          </w:p>
        </w:tc>
        <w:tc>
          <w:tcPr>
            <w:tcW w:w="1862" w:type="dxa"/>
            <w:tcBorders>
              <w:top w:val="single" w:sz="4" w:space="0" w:color="auto"/>
              <w:left w:val="single" w:sz="4" w:space="0" w:color="auto"/>
            </w:tcBorders>
            <w:vAlign w:val="bottom"/>
          </w:tcPr>
          <w:p w14:paraId="705502B5" w14:textId="77777777" w:rsidR="0058703C" w:rsidRPr="00925F26" w:rsidRDefault="0058703C" w:rsidP="00925F26">
            <w:pPr>
              <w:jc w:val="both"/>
              <w:rPr>
                <w:color w:val="000000" w:themeColor="text1"/>
                <w:sz w:val="16"/>
                <w:szCs w:val="16"/>
              </w:rPr>
            </w:pPr>
            <w:r w:rsidRPr="00925F26">
              <w:rPr>
                <w:color w:val="000000" w:themeColor="text1"/>
                <w:sz w:val="16"/>
                <w:szCs w:val="16"/>
              </w:rPr>
              <w:t>16,13</w:t>
            </w:r>
          </w:p>
        </w:tc>
        <w:tc>
          <w:tcPr>
            <w:tcW w:w="1862" w:type="dxa"/>
            <w:tcBorders>
              <w:top w:val="single" w:sz="4" w:space="0" w:color="auto"/>
              <w:left w:val="single" w:sz="4" w:space="0" w:color="auto"/>
            </w:tcBorders>
            <w:vAlign w:val="bottom"/>
          </w:tcPr>
          <w:p w14:paraId="0855C282" w14:textId="77777777" w:rsidR="0058703C" w:rsidRPr="00925F26" w:rsidRDefault="0058703C" w:rsidP="00925F26">
            <w:pPr>
              <w:jc w:val="both"/>
              <w:rPr>
                <w:color w:val="000000" w:themeColor="text1"/>
                <w:sz w:val="16"/>
                <w:szCs w:val="16"/>
              </w:rPr>
            </w:pPr>
            <w:r w:rsidRPr="00925F26">
              <w:rPr>
                <w:color w:val="000000" w:themeColor="text1"/>
                <w:sz w:val="16"/>
                <w:szCs w:val="16"/>
              </w:rPr>
              <w:t>15,54</w:t>
            </w:r>
          </w:p>
        </w:tc>
        <w:tc>
          <w:tcPr>
            <w:tcW w:w="1867" w:type="dxa"/>
            <w:tcBorders>
              <w:top w:val="single" w:sz="4" w:space="0" w:color="auto"/>
              <w:left w:val="single" w:sz="4" w:space="0" w:color="auto"/>
              <w:right w:val="single" w:sz="4" w:space="0" w:color="auto"/>
            </w:tcBorders>
            <w:vAlign w:val="bottom"/>
          </w:tcPr>
          <w:p w14:paraId="5D13A64E" w14:textId="77777777" w:rsidR="0058703C" w:rsidRPr="00925F26" w:rsidRDefault="0058703C" w:rsidP="00925F26">
            <w:pPr>
              <w:jc w:val="both"/>
              <w:rPr>
                <w:color w:val="000000" w:themeColor="text1"/>
                <w:sz w:val="16"/>
                <w:szCs w:val="16"/>
              </w:rPr>
            </w:pPr>
            <w:r w:rsidRPr="00925F26">
              <w:rPr>
                <w:color w:val="000000" w:themeColor="text1"/>
                <w:sz w:val="16"/>
                <w:szCs w:val="16"/>
              </w:rPr>
              <w:t>16,3</w:t>
            </w:r>
          </w:p>
        </w:tc>
      </w:tr>
      <w:tr w:rsidR="0058703C" w:rsidRPr="00925F26" w14:paraId="59A709A2" w14:textId="77777777" w:rsidTr="004C5D62">
        <w:trPr>
          <w:trHeight w:val="302"/>
        </w:trPr>
        <w:tc>
          <w:tcPr>
            <w:tcW w:w="3144" w:type="dxa"/>
            <w:tcBorders>
              <w:top w:val="single" w:sz="4" w:space="0" w:color="auto"/>
              <w:left w:val="single" w:sz="4" w:space="0" w:color="auto"/>
            </w:tcBorders>
            <w:vAlign w:val="bottom"/>
          </w:tcPr>
          <w:p w14:paraId="074FA9B4" w14:textId="77777777" w:rsidR="0058703C" w:rsidRPr="00925F26" w:rsidRDefault="0058703C" w:rsidP="00925F26">
            <w:pPr>
              <w:jc w:val="both"/>
              <w:rPr>
                <w:color w:val="000000" w:themeColor="text1"/>
                <w:sz w:val="16"/>
                <w:szCs w:val="16"/>
              </w:rPr>
            </w:pPr>
            <w:r w:rsidRPr="00925F26">
              <w:rPr>
                <w:color w:val="000000" w:themeColor="text1"/>
                <w:sz w:val="16"/>
                <w:szCs w:val="16"/>
              </w:rPr>
              <w:t>Размах, м</w:t>
            </w:r>
          </w:p>
        </w:tc>
        <w:tc>
          <w:tcPr>
            <w:tcW w:w="1853" w:type="dxa"/>
            <w:tcBorders>
              <w:top w:val="single" w:sz="4" w:space="0" w:color="auto"/>
              <w:left w:val="single" w:sz="4" w:space="0" w:color="auto"/>
            </w:tcBorders>
            <w:vAlign w:val="bottom"/>
          </w:tcPr>
          <w:p w14:paraId="162E20A1" w14:textId="77777777" w:rsidR="0058703C" w:rsidRPr="00925F26" w:rsidRDefault="0058703C" w:rsidP="00925F26">
            <w:pPr>
              <w:jc w:val="both"/>
              <w:rPr>
                <w:color w:val="000000" w:themeColor="text1"/>
                <w:sz w:val="16"/>
                <w:szCs w:val="16"/>
              </w:rPr>
            </w:pPr>
            <w:r w:rsidRPr="00925F26">
              <w:rPr>
                <w:color w:val="000000" w:themeColor="text1"/>
                <w:sz w:val="16"/>
                <w:szCs w:val="16"/>
              </w:rPr>
              <w:t>20,6</w:t>
            </w:r>
          </w:p>
        </w:tc>
        <w:tc>
          <w:tcPr>
            <w:tcW w:w="1862" w:type="dxa"/>
            <w:tcBorders>
              <w:top w:val="single" w:sz="4" w:space="0" w:color="auto"/>
              <w:left w:val="single" w:sz="4" w:space="0" w:color="auto"/>
            </w:tcBorders>
            <w:vAlign w:val="bottom"/>
          </w:tcPr>
          <w:p w14:paraId="02A689D9" w14:textId="77777777" w:rsidR="0058703C" w:rsidRPr="00925F26" w:rsidRDefault="0058703C" w:rsidP="00925F26">
            <w:pPr>
              <w:jc w:val="both"/>
              <w:rPr>
                <w:color w:val="000000" w:themeColor="text1"/>
                <w:sz w:val="16"/>
                <w:szCs w:val="16"/>
              </w:rPr>
            </w:pPr>
            <w:r w:rsidRPr="00925F26">
              <w:rPr>
                <w:color w:val="000000" w:themeColor="text1"/>
                <w:sz w:val="16"/>
                <w:szCs w:val="16"/>
              </w:rPr>
              <w:t>20,6</w:t>
            </w:r>
          </w:p>
        </w:tc>
        <w:tc>
          <w:tcPr>
            <w:tcW w:w="1862" w:type="dxa"/>
            <w:tcBorders>
              <w:top w:val="single" w:sz="4" w:space="0" w:color="auto"/>
              <w:left w:val="single" w:sz="4" w:space="0" w:color="auto"/>
            </w:tcBorders>
            <w:vAlign w:val="bottom"/>
          </w:tcPr>
          <w:p w14:paraId="4A02F6A4" w14:textId="77777777" w:rsidR="0058703C" w:rsidRPr="00925F26" w:rsidRDefault="0058703C" w:rsidP="00925F26">
            <w:pPr>
              <w:jc w:val="both"/>
              <w:rPr>
                <w:color w:val="000000" w:themeColor="text1"/>
                <w:sz w:val="16"/>
                <w:szCs w:val="16"/>
              </w:rPr>
            </w:pPr>
            <w:r w:rsidRPr="00925F26">
              <w:rPr>
                <w:color w:val="000000" w:themeColor="text1"/>
                <w:sz w:val="16"/>
                <w:szCs w:val="16"/>
              </w:rPr>
              <w:t>20,6</w:t>
            </w:r>
          </w:p>
        </w:tc>
        <w:tc>
          <w:tcPr>
            <w:tcW w:w="1867" w:type="dxa"/>
            <w:tcBorders>
              <w:top w:val="single" w:sz="4" w:space="0" w:color="auto"/>
              <w:left w:val="single" w:sz="4" w:space="0" w:color="auto"/>
              <w:right w:val="single" w:sz="4" w:space="0" w:color="auto"/>
            </w:tcBorders>
            <w:vAlign w:val="bottom"/>
          </w:tcPr>
          <w:p w14:paraId="6EBCBCE2" w14:textId="77777777" w:rsidR="0058703C" w:rsidRPr="00925F26" w:rsidRDefault="0058703C" w:rsidP="00925F26">
            <w:pPr>
              <w:jc w:val="both"/>
              <w:rPr>
                <w:color w:val="000000" w:themeColor="text1"/>
                <w:sz w:val="16"/>
                <w:szCs w:val="16"/>
              </w:rPr>
            </w:pPr>
            <w:r w:rsidRPr="00925F26">
              <w:rPr>
                <w:color w:val="000000" w:themeColor="text1"/>
                <w:sz w:val="16"/>
                <w:szCs w:val="16"/>
              </w:rPr>
              <w:t>20,6</w:t>
            </w:r>
          </w:p>
        </w:tc>
      </w:tr>
      <w:tr w:rsidR="0058703C" w:rsidRPr="00925F26" w14:paraId="11B329D6" w14:textId="77777777" w:rsidTr="004C5D62">
        <w:trPr>
          <w:trHeight w:val="302"/>
        </w:trPr>
        <w:tc>
          <w:tcPr>
            <w:tcW w:w="3144" w:type="dxa"/>
            <w:tcBorders>
              <w:top w:val="single" w:sz="4" w:space="0" w:color="auto"/>
              <w:left w:val="single" w:sz="4" w:space="0" w:color="auto"/>
            </w:tcBorders>
            <w:vAlign w:val="bottom"/>
          </w:tcPr>
          <w:p w14:paraId="78297C77" w14:textId="77777777" w:rsidR="0058703C" w:rsidRPr="00925F26" w:rsidRDefault="0058703C" w:rsidP="00925F26">
            <w:pPr>
              <w:jc w:val="both"/>
              <w:rPr>
                <w:color w:val="000000" w:themeColor="text1"/>
                <w:sz w:val="16"/>
                <w:szCs w:val="16"/>
              </w:rPr>
            </w:pPr>
            <w:r w:rsidRPr="00925F26">
              <w:rPr>
                <w:color w:val="000000" w:themeColor="text1"/>
                <w:sz w:val="16"/>
                <w:szCs w:val="16"/>
              </w:rPr>
              <w:t>Высота, м</w:t>
            </w:r>
          </w:p>
        </w:tc>
        <w:tc>
          <w:tcPr>
            <w:tcW w:w="1853" w:type="dxa"/>
            <w:tcBorders>
              <w:top w:val="single" w:sz="4" w:space="0" w:color="auto"/>
              <w:left w:val="single" w:sz="4" w:space="0" w:color="auto"/>
            </w:tcBorders>
            <w:vAlign w:val="bottom"/>
          </w:tcPr>
          <w:p w14:paraId="6A98E1A8" w14:textId="77777777" w:rsidR="0058703C" w:rsidRPr="00925F26" w:rsidRDefault="0058703C" w:rsidP="00925F26">
            <w:pPr>
              <w:jc w:val="both"/>
              <w:rPr>
                <w:color w:val="000000" w:themeColor="text1"/>
                <w:sz w:val="16"/>
                <w:szCs w:val="16"/>
              </w:rPr>
            </w:pPr>
            <w:r w:rsidRPr="00925F26">
              <w:rPr>
                <w:color w:val="000000" w:themeColor="text1"/>
                <w:sz w:val="16"/>
                <w:szCs w:val="16"/>
              </w:rPr>
              <w:t>4,80</w:t>
            </w:r>
          </w:p>
        </w:tc>
        <w:tc>
          <w:tcPr>
            <w:tcW w:w="1862" w:type="dxa"/>
            <w:tcBorders>
              <w:top w:val="single" w:sz="4" w:space="0" w:color="auto"/>
              <w:left w:val="single" w:sz="4" w:space="0" w:color="auto"/>
            </w:tcBorders>
            <w:vAlign w:val="bottom"/>
          </w:tcPr>
          <w:p w14:paraId="0615D0C3" w14:textId="77777777" w:rsidR="0058703C" w:rsidRPr="00925F26" w:rsidRDefault="0058703C" w:rsidP="00925F26">
            <w:pPr>
              <w:jc w:val="both"/>
              <w:rPr>
                <w:color w:val="000000" w:themeColor="text1"/>
                <w:sz w:val="16"/>
                <w:szCs w:val="16"/>
              </w:rPr>
            </w:pPr>
            <w:r w:rsidRPr="00925F26">
              <w:rPr>
                <w:color w:val="000000" w:themeColor="text1"/>
                <w:sz w:val="16"/>
                <w:szCs w:val="16"/>
              </w:rPr>
              <w:t>4,83</w:t>
            </w:r>
          </w:p>
        </w:tc>
        <w:tc>
          <w:tcPr>
            <w:tcW w:w="1862" w:type="dxa"/>
            <w:tcBorders>
              <w:top w:val="single" w:sz="4" w:space="0" w:color="auto"/>
              <w:left w:val="single" w:sz="4" w:space="0" w:color="auto"/>
            </w:tcBorders>
            <w:vAlign w:val="bottom"/>
          </w:tcPr>
          <w:p w14:paraId="0DF67D71" w14:textId="77777777" w:rsidR="0058703C" w:rsidRPr="00925F26" w:rsidRDefault="0058703C" w:rsidP="00925F26">
            <w:pPr>
              <w:jc w:val="both"/>
              <w:rPr>
                <w:color w:val="000000" w:themeColor="text1"/>
                <w:sz w:val="16"/>
                <w:szCs w:val="16"/>
              </w:rPr>
            </w:pPr>
            <w:r w:rsidRPr="00925F26">
              <w:rPr>
                <w:color w:val="000000" w:themeColor="text1"/>
                <w:sz w:val="16"/>
                <w:szCs w:val="16"/>
              </w:rPr>
              <w:t>4,80</w:t>
            </w:r>
          </w:p>
        </w:tc>
        <w:tc>
          <w:tcPr>
            <w:tcW w:w="1867" w:type="dxa"/>
            <w:tcBorders>
              <w:top w:val="single" w:sz="4" w:space="0" w:color="auto"/>
              <w:left w:val="single" w:sz="4" w:space="0" w:color="auto"/>
              <w:right w:val="single" w:sz="4" w:space="0" w:color="auto"/>
            </w:tcBorders>
            <w:vAlign w:val="bottom"/>
          </w:tcPr>
          <w:p w14:paraId="44371F28" w14:textId="77777777" w:rsidR="0058703C" w:rsidRPr="00925F26" w:rsidRDefault="0058703C" w:rsidP="00925F26">
            <w:pPr>
              <w:jc w:val="both"/>
              <w:rPr>
                <w:color w:val="000000" w:themeColor="text1"/>
                <w:sz w:val="16"/>
                <w:szCs w:val="16"/>
              </w:rPr>
            </w:pPr>
            <w:r w:rsidRPr="00925F26">
              <w:rPr>
                <w:color w:val="000000" w:themeColor="text1"/>
                <w:sz w:val="16"/>
                <w:szCs w:val="16"/>
              </w:rPr>
              <w:t>4,88</w:t>
            </w:r>
          </w:p>
        </w:tc>
      </w:tr>
      <w:tr w:rsidR="0058703C" w:rsidRPr="00925F26" w14:paraId="59153F95" w14:textId="77777777" w:rsidTr="004C5D62">
        <w:trPr>
          <w:trHeight w:val="1027"/>
        </w:trPr>
        <w:tc>
          <w:tcPr>
            <w:tcW w:w="3144" w:type="dxa"/>
            <w:tcBorders>
              <w:top w:val="single" w:sz="4" w:space="0" w:color="auto"/>
              <w:left w:val="single" w:sz="4" w:space="0" w:color="auto"/>
            </w:tcBorders>
            <w:vAlign w:val="bottom"/>
          </w:tcPr>
          <w:p w14:paraId="2158A43A" w14:textId="77777777" w:rsidR="0058703C" w:rsidRPr="00925F26" w:rsidRDefault="0058703C" w:rsidP="00925F26">
            <w:pPr>
              <w:jc w:val="both"/>
              <w:rPr>
                <w:color w:val="000000" w:themeColor="text1"/>
                <w:sz w:val="16"/>
                <w:szCs w:val="16"/>
              </w:rPr>
            </w:pPr>
            <w:r w:rsidRPr="00925F26">
              <w:rPr>
                <w:color w:val="000000" w:themeColor="text1"/>
                <w:sz w:val="16"/>
                <w:szCs w:val="16"/>
              </w:rPr>
              <w:t>Вес, кг</w:t>
            </w:r>
          </w:p>
          <w:p w14:paraId="60A1025C" w14:textId="77777777" w:rsidR="0058703C" w:rsidRPr="00925F26" w:rsidRDefault="0058703C" w:rsidP="00925F26">
            <w:pPr>
              <w:jc w:val="both"/>
              <w:rPr>
                <w:color w:val="000000" w:themeColor="text1"/>
                <w:sz w:val="16"/>
                <w:szCs w:val="16"/>
              </w:rPr>
            </w:pPr>
            <w:r w:rsidRPr="00925F26">
              <w:rPr>
                <w:color w:val="000000" w:themeColor="text1"/>
                <w:sz w:val="16"/>
                <w:szCs w:val="16"/>
              </w:rPr>
              <w:t>пустого</w:t>
            </w:r>
          </w:p>
          <w:p w14:paraId="1BE47398" w14:textId="77777777" w:rsidR="0058703C" w:rsidRPr="00925F26" w:rsidRDefault="0058703C" w:rsidP="00925F26">
            <w:pPr>
              <w:jc w:val="both"/>
              <w:rPr>
                <w:color w:val="000000" w:themeColor="text1"/>
                <w:sz w:val="16"/>
                <w:szCs w:val="16"/>
              </w:rPr>
            </w:pPr>
            <w:r w:rsidRPr="00925F26">
              <w:rPr>
                <w:color w:val="000000" w:themeColor="text1"/>
                <w:sz w:val="16"/>
                <w:szCs w:val="16"/>
              </w:rPr>
              <w:t>взлетный нормальный</w:t>
            </w:r>
          </w:p>
          <w:p w14:paraId="26333E79" w14:textId="77777777" w:rsidR="0058703C" w:rsidRPr="00925F26" w:rsidRDefault="0058703C" w:rsidP="00925F26">
            <w:pPr>
              <w:jc w:val="both"/>
              <w:rPr>
                <w:color w:val="000000" w:themeColor="text1"/>
                <w:sz w:val="16"/>
                <w:szCs w:val="16"/>
              </w:rPr>
            </w:pPr>
            <w:r w:rsidRPr="00925F26">
              <w:rPr>
                <w:color w:val="000000" w:themeColor="text1"/>
                <w:sz w:val="16"/>
                <w:szCs w:val="16"/>
              </w:rPr>
              <w:t>взлетный максимальный</w:t>
            </w:r>
          </w:p>
        </w:tc>
        <w:tc>
          <w:tcPr>
            <w:tcW w:w="1853" w:type="dxa"/>
            <w:tcBorders>
              <w:top w:val="single" w:sz="4" w:space="0" w:color="auto"/>
              <w:left w:val="single" w:sz="4" w:space="0" w:color="auto"/>
            </w:tcBorders>
            <w:vAlign w:val="center"/>
          </w:tcPr>
          <w:p w14:paraId="16F080E6" w14:textId="77777777" w:rsidR="0058703C" w:rsidRPr="00925F26" w:rsidRDefault="0058703C" w:rsidP="00925F26">
            <w:pPr>
              <w:jc w:val="both"/>
              <w:rPr>
                <w:color w:val="000000" w:themeColor="text1"/>
                <w:sz w:val="16"/>
                <w:szCs w:val="16"/>
              </w:rPr>
            </w:pPr>
            <w:r w:rsidRPr="00925F26">
              <w:rPr>
                <w:color w:val="000000" w:themeColor="text1"/>
                <w:sz w:val="16"/>
                <w:szCs w:val="16"/>
              </w:rPr>
              <w:t>8885</w:t>
            </w:r>
          </w:p>
          <w:p w14:paraId="238DC256" w14:textId="77777777" w:rsidR="0058703C" w:rsidRPr="00925F26" w:rsidRDefault="0058703C" w:rsidP="00925F26">
            <w:pPr>
              <w:jc w:val="both"/>
              <w:rPr>
                <w:color w:val="000000" w:themeColor="text1"/>
                <w:sz w:val="16"/>
                <w:szCs w:val="16"/>
              </w:rPr>
            </w:pPr>
            <w:r w:rsidRPr="00925F26">
              <w:rPr>
                <w:color w:val="000000" w:themeColor="text1"/>
                <w:sz w:val="16"/>
                <w:szCs w:val="16"/>
              </w:rPr>
              <w:t>12 300</w:t>
            </w:r>
          </w:p>
        </w:tc>
        <w:tc>
          <w:tcPr>
            <w:tcW w:w="1862" w:type="dxa"/>
            <w:tcBorders>
              <w:top w:val="single" w:sz="4" w:space="0" w:color="auto"/>
              <w:left w:val="single" w:sz="4" w:space="0" w:color="auto"/>
            </w:tcBorders>
            <w:vAlign w:val="bottom"/>
          </w:tcPr>
          <w:p w14:paraId="10651B5C" w14:textId="77777777" w:rsidR="0058703C" w:rsidRPr="00925F26" w:rsidRDefault="0058703C" w:rsidP="00925F26">
            <w:pPr>
              <w:jc w:val="both"/>
              <w:rPr>
                <w:color w:val="000000" w:themeColor="text1"/>
                <w:sz w:val="16"/>
                <w:szCs w:val="16"/>
              </w:rPr>
            </w:pPr>
            <w:r w:rsidRPr="00925F26">
              <w:rPr>
                <w:color w:val="000000" w:themeColor="text1"/>
                <w:sz w:val="16"/>
                <w:szCs w:val="16"/>
              </w:rPr>
              <w:t>89653</w:t>
            </w:r>
          </w:p>
          <w:p w14:paraId="11D76228" w14:textId="77777777" w:rsidR="0058703C" w:rsidRPr="00925F26" w:rsidRDefault="0058703C" w:rsidP="00925F26">
            <w:pPr>
              <w:jc w:val="both"/>
              <w:rPr>
                <w:color w:val="000000" w:themeColor="text1"/>
                <w:sz w:val="16"/>
                <w:szCs w:val="16"/>
              </w:rPr>
            </w:pPr>
            <w:r w:rsidRPr="00925F26">
              <w:rPr>
                <w:color w:val="000000" w:themeColor="text1"/>
                <w:sz w:val="16"/>
                <w:szCs w:val="16"/>
              </w:rPr>
              <w:t>12 900</w:t>
            </w:r>
          </w:p>
          <w:p w14:paraId="0EDD41D2" w14:textId="77777777" w:rsidR="0058703C" w:rsidRPr="00925F26" w:rsidRDefault="0058703C" w:rsidP="00925F26">
            <w:pPr>
              <w:jc w:val="both"/>
              <w:rPr>
                <w:color w:val="000000" w:themeColor="text1"/>
                <w:sz w:val="16"/>
                <w:szCs w:val="16"/>
              </w:rPr>
            </w:pPr>
            <w:r w:rsidRPr="00925F26">
              <w:rPr>
                <w:color w:val="000000" w:themeColor="text1"/>
                <w:sz w:val="16"/>
                <w:szCs w:val="16"/>
              </w:rPr>
              <w:t>13 5004</w:t>
            </w:r>
          </w:p>
        </w:tc>
        <w:tc>
          <w:tcPr>
            <w:tcW w:w="1862" w:type="dxa"/>
            <w:tcBorders>
              <w:top w:val="single" w:sz="4" w:space="0" w:color="auto"/>
              <w:left w:val="single" w:sz="4" w:space="0" w:color="auto"/>
            </w:tcBorders>
            <w:vAlign w:val="bottom"/>
          </w:tcPr>
          <w:p w14:paraId="5932CBFC" w14:textId="77777777" w:rsidR="0058703C" w:rsidRPr="00925F26" w:rsidRDefault="0058703C" w:rsidP="00925F26">
            <w:pPr>
              <w:jc w:val="both"/>
              <w:rPr>
                <w:color w:val="000000" w:themeColor="text1"/>
                <w:sz w:val="16"/>
                <w:szCs w:val="16"/>
              </w:rPr>
            </w:pPr>
            <w:r w:rsidRPr="00925F26">
              <w:rPr>
                <w:color w:val="000000" w:themeColor="text1"/>
                <w:sz w:val="16"/>
                <w:szCs w:val="16"/>
              </w:rPr>
              <w:t>9060</w:t>
            </w:r>
          </w:p>
          <w:p w14:paraId="0CC87351" w14:textId="77777777" w:rsidR="0058703C" w:rsidRPr="00925F26" w:rsidRDefault="0058703C" w:rsidP="00925F26">
            <w:pPr>
              <w:jc w:val="both"/>
              <w:rPr>
                <w:color w:val="000000" w:themeColor="text1"/>
                <w:sz w:val="16"/>
                <w:szCs w:val="16"/>
              </w:rPr>
            </w:pPr>
            <w:r w:rsidRPr="00925F26">
              <w:rPr>
                <w:color w:val="000000" w:themeColor="text1"/>
                <w:sz w:val="16"/>
                <w:szCs w:val="16"/>
              </w:rPr>
              <w:t>15 870</w:t>
            </w:r>
          </w:p>
        </w:tc>
        <w:tc>
          <w:tcPr>
            <w:tcW w:w="1867" w:type="dxa"/>
            <w:tcBorders>
              <w:top w:val="single" w:sz="4" w:space="0" w:color="auto"/>
              <w:left w:val="single" w:sz="4" w:space="0" w:color="auto"/>
              <w:right w:val="single" w:sz="4" w:space="0" w:color="auto"/>
            </w:tcBorders>
            <w:vAlign w:val="bottom"/>
          </w:tcPr>
          <w:p w14:paraId="00FCAC11" w14:textId="77777777" w:rsidR="0058703C" w:rsidRPr="00925F26" w:rsidRDefault="0058703C" w:rsidP="00925F26">
            <w:pPr>
              <w:jc w:val="both"/>
              <w:rPr>
                <w:color w:val="000000" w:themeColor="text1"/>
                <w:sz w:val="16"/>
                <w:szCs w:val="16"/>
              </w:rPr>
            </w:pPr>
            <w:r w:rsidRPr="00925F26">
              <w:rPr>
                <w:color w:val="000000" w:themeColor="text1"/>
                <w:sz w:val="16"/>
                <w:szCs w:val="16"/>
              </w:rPr>
              <w:t>8840</w:t>
            </w:r>
          </w:p>
          <w:p w14:paraId="7861C025" w14:textId="77777777" w:rsidR="0058703C" w:rsidRPr="00925F26" w:rsidRDefault="0058703C" w:rsidP="00925F26">
            <w:pPr>
              <w:jc w:val="both"/>
              <w:rPr>
                <w:color w:val="000000" w:themeColor="text1"/>
                <w:sz w:val="16"/>
                <w:szCs w:val="16"/>
              </w:rPr>
            </w:pPr>
            <w:r w:rsidRPr="00925F26">
              <w:rPr>
                <w:color w:val="000000" w:themeColor="text1"/>
                <w:sz w:val="16"/>
                <w:szCs w:val="16"/>
              </w:rPr>
              <w:t>15 150</w:t>
            </w:r>
          </w:p>
        </w:tc>
      </w:tr>
      <w:tr w:rsidR="0058703C" w:rsidRPr="00925F26" w14:paraId="76E779CA" w14:textId="77777777" w:rsidTr="004C5D62">
        <w:trPr>
          <w:trHeight w:val="782"/>
        </w:trPr>
        <w:tc>
          <w:tcPr>
            <w:tcW w:w="3144" w:type="dxa"/>
            <w:tcBorders>
              <w:top w:val="single" w:sz="4" w:space="0" w:color="auto"/>
              <w:left w:val="single" w:sz="4" w:space="0" w:color="auto"/>
            </w:tcBorders>
            <w:vAlign w:val="bottom"/>
          </w:tcPr>
          <w:p w14:paraId="1F350AFA" w14:textId="77777777" w:rsidR="0058703C" w:rsidRPr="00925F26" w:rsidRDefault="0058703C" w:rsidP="00925F26">
            <w:pPr>
              <w:jc w:val="both"/>
              <w:rPr>
                <w:color w:val="000000" w:themeColor="text1"/>
                <w:sz w:val="16"/>
                <w:szCs w:val="16"/>
              </w:rPr>
            </w:pPr>
            <w:r w:rsidRPr="00925F26">
              <w:rPr>
                <w:color w:val="000000" w:themeColor="text1"/>
                <w:sz w:val="16"/>
                <w:szCs w:val="16"/>
              </w:rPr>
              <w:t>Скорость максимальная, км/ч у земли на высоте</w:t>
            </w:r>
          </w:p>
        </w:tc>
        <w:tc>
          <w:tcPr>
            <w:tcW w:w="1853" w:type="dxa"/>
            <w:tcBorders>
              <w:top w:val="single" w:sz="4" w:space="0" w:color="auto"/>
              <w:left w:val="single" w:sz="4" w:space="0" w:color="auto"/>
            </w:tcBorders>
            <w:vAlign w:val="bottom"/>
          </w:tcPr>
          <w:p w14:paraId="50F2D61C" w14:textId="77777777" w:rsidR="0058703C" w:rsidRPr="00925F26" w:rsidRDefault="0058703C" w:rsidP="00925F26">
            <w:pPr>
              <w:jc w:val="both"/>
              <w:rPr>
                <w:color w:val="000000" w:themeColor="text1"/>
                <w:sz w:val="16"/>
                <w:szCs w:val="16"/>
              </w:rPr>
            </w:pPr>
            <w:r w:rsidRPr="00925F26">
              <w:rPr>
                <w:color w:val="000000" w:themeColor="text1"/>
                <w:sz w:val="16"/>
                <w:szCs w:val="16"/>
              </w:rPr>
              <w:t>451</w:t>
            </w:r>
          </w:p>
          <w:p w14:paraId="0F0CE058" w14:textId="77777777" w:rsidR="0058703C" w:rsidRPr="00925F26" w:rsidRDefault="0058703C" w:rsidP="00925F26">
            <w:pPr>
              <w:jc w:val="both"/>
              <w:rPr>
                <w:color w:val="000000" w:themeColor="text1"/>
                <w:sz w:val="16"/>
                <w:szCs w:val="16"/>
              </w:rPr>
            </w:pPr>
            <w:r w:rsidRPr="00925F26">
              <w:rPr>
                <w:color w:val="000000" w:themeColor="text1"/>
                <w:sz w:val="16"/>
                <w:szCs w:val="16"/>
              </w:rPr>
              <w:t>491</w:t>
            </w:r>
          </w:p>
        </w:tc>
        <w:tc>
          <w:tcPr>
            <w:tcW w:w="1862" w:type="dxa"/>
            <w:tcBorders>
              <w:top w:val="single" w:sz="4" w:space="0" w:color="auto"/>
              <w:left w:val="single" w:sz="4" w:space="0" w:color="auto"/>
            </w:tcBorders>
            <w:vAlign w:val="bottom"/>
          </w:tcPr>
          <w:p w14:paraId="7C074038" w14:textId="77777777" w:rsidR="0058703C" w:rsidRPr="00925F26" w:rsidRDefault="0058703C" w:rsidP="00925F26">
            <w:pPr>
              <w:jc w:val="both"/>
              <w:rPr>
                <w:color w:val="000000" w:themeColor="text1"/>
                <w:sz w:val="16"/>
                <w:szCs w:val="16"/>
              </w:rPr>
            </w:pPr>
            <w:r w:rsidRPr="00925F26">
              <w:rPr>
                <w:color w:val="000000" w:themeColor="text1"/>
                <w:sz w:val="16"/>
                <w:szCs w:val="16"/>
              </w:rPr>
              <w:t>447</w:t>
            </w:r>
          </w:p>
          <w:p w14:paraId="3D37A3A6" w14:textId="77777777" w:rsidR="0058703C" w:rsidRPr="00925F26" w:rsidRDefault="0058703C" w:rsidP="00925F26">
            <w:pPr>
              <w:jc w:val="both"/>
              <w:rPr>
                <w:color w:val="000000" w:themeColor="text1"/>
                <w:sz w:val="16"/>
                <w:szCs w:val="16"/>
              </w:rPr>
            </w:pPr>
            <w:r w:rsidRPr="00925F26">
              <w:rPr>
                <w:color w:val="000000" w:themeColor="text1"/>
                <w:sz w:val="16"/>
                <w:szCs w:val="16"/>
              </w:rPr>
              <w:t>490</w:t>
            </w:r>
          </w:p>
        </w:tc>
        <w:tc>
          <w:tcPr>
            <w:tcW w:w="1862" w:type="dxa"/>
            <w:tcBorders>
              <w:top w:val="single" w:sz="4" w:space="0" w:color="auto"/>
              <w:left w:val="single" w:sz="4" w:space="0" w:color="auto"/>
            </w:tcBorders>
            <w:vAlign w:val="bottom"/>
          </w:tcPr>
          <w:p w14:paraId="1A8DE229" w14:textId="77777777" w:rsidR="0058703C" w:rsidRPr="00925F26" w:rsidRDefault="0058703C" w:rsidP="00925F26">
            <w:pPr>
              <w:jc w:val="both"/>
              <w:rPr>
                <w:color w:val="000000" w:themeColor="text1"/>
                <w:sz w:val="16"/>
                <w:szCs w:val="16"/>
              </w:rPr>
            </w:pPr>
            <w:r w:rsidRPr="00925F26">
              <w:rPr>
                <w:color w:val="000000" w:themeColor="text1"/>
                <w:sz w:val="16"/>
                <w:szCs w:val="16"/>
              </w:rPr>
              <w:t>454</w:t>
            </w:r>
          </w:p>
        </w:tc>
        <w:tc>
          <w:tcPr>
            <w:tcW w:w="1867" w:type="dxa"/>
            <w:tcBorders>
              <w:top w:val="single" w:sz="4" w:space="0" w:color="auto"/>
              <w:left w:val="single" w:sz="4" w:space="0" w:color="auto"/>
              <w:right w:val="single" w:sz="4" w:space="0" w:color="auto"/>
            </w:tcBorders>
            <w:vAlign w:val="bottom"/>
          </w:tcPr>
          <w:p w14:paraId="502A03FA" w14:textId="77777777" w:rsidR="0058703C" w:rsidRPr="00925F26" w:rsidRDefault="0058703C" w:rsidP="00925F26">
            <w:pPr>
              <w:jc w:val="both"/>
              <w:rPr>
                <w:color w:val="000000" w:themeColor="text1"/>
                <w:sz w:val="16"/>
                <w:szCs w:val="16"/>
              </w:rPr>
            </w:pPr>
            <w:r w:rsidRPr="00925F26">
              <w:rPr>
                <w:color w:val="000000" w:themeColor="text1"/>
                <w:sz w:val="16"/>
                <w:szCs w:val="16"/>
              </w:rPr>
              <w:t>444</w:t>
            </w:r>
          </w:p>
        </w:tc>
      </w:tr>
      <w:tr w:rsidR="0058703C" w:rsidRPr="00925F26" w14:paraId="531956F5" w14:textId="77777777" w:rsidTr="004C5D62">
        <w:trPr>
          <w:trHeight w:val="782"/>
        </w:trPr>
        <w:tc>
          <w:tcPr>
            <w:tcW w:w="3144" w:type="dxa"/>
            <w:tcBorders>
              <w:top w:val="single" w:sz="4" w:space="0" w:color="auto"/>
              <w:left w:val="single" w:sz="4" w:space="0" w:color="auto"/>
            </w:tcBorders>
          </w:tcPr>
          <w:p w14:paraId="293830C5" w14:textId="77777777" w:rsidR="0058703C" w:rsidRPr="00925F26" w:rsidRDefault="0058703C" w:rsidP="00925F26">
            <w:pPr>
              <w:jc w:val="both"/>
              <w:rPr>
                <w:color w:val="000000" w:themeColor="text1"/>
                <w:sz w:val="16"/>
                <w:szCs w:val="16"/>
              </w:rPr>
            </w:pPr>
            <w:r w:rsidRPr="00925F26">
              <w:rPr>
                <w:color w:val="000000" w:themeColor="text1"/>
                <w:sz w:val="16"/>
                <w:szCs w:val="16"/>
              </w:rPr>
              <w:t>Набор высоты, мин 3000 м 5000 м</w:t>
            </w:r>
          </w:p>
        </w:tc>
        <w:tc>
          <w:tcPr>
            <w:tcW w:w="1853" w:type="dxa"/>
            <w:tcBorders>
              <w:top w:val="single" w:sz="4" w:space="0" w:color="auto"/>
              <w:left w:val="single" w:sz="4" w:space="0" w:color="auto"/>
            </w:tcBorders>
            <w:vAlign w:val="bottom"/>
          </w:tcPr>
          <w:p w14:paraId="6BB3CF1A" w14:textId="77777777" w:rsidR="0058703C" w:rsidRPr="00925F26" w:rsidRDefault="0058703C" w:rsidP="00925F26">
            <w:pPr>
              <w:jc w:val="both"/>
              <w:rPr>
                <w:color w:val="000000" w:themeColor="text1"/>
                <w:sz w:val="16"/>
                <w:szCs w:val="16"/>
              </w:rPr>
            </w:pPr>
            <w:r w:rsidRPr="00925F26">
              <w:rPr>
                <w:color w:val="000000" w:themeColor="text1"/>
                <w:sz w:val="16"/>
                <w:szCs w:val="16"/>
              </w:rPr>
              <w:t>6,0</w:t>
            </w:r>
          </w:p>
          <w:p w14:paraId="6C1D1AF8" w14:textId="77777777" w:rsidR="0058703C" w:rsidRPr="00925F26" w:rsidRDefault="0058703C" w:rsidP="00925F26">
            <w:pPr>
              <w:jc w:val="both"/>
              <w:rPr>
                <w:color w:val="000000" w:themeColor="text1"/>
                <w:sz w:val="16"/>
                <w:szCs w:val="16"/>
              </w:rPr>
            </w:pPr>
            <w:r w:rsidRPr="00925F26">
              <w:rPr>
                <w:color w:val="000000" w:themeColor="text1"/>
                <w:sz w:val="16"/>
                <w:szCs w:val="16"/>
              </w:rPr>
              <w:t>12,0</w:t>
            </w:r>
          </w:p>
        </w:tc>
        <w:tc>
          <w:tcPr>
            <w:tcW w:w="1862" w:type="dxa"/>
            <w:tcBorders>
              <w:top w:val="single" w:sz="4" w:space="0" w:color="auto"/>
              <w:left w:val="single" w:sz="4" w:space="0" w:color="auto"/>
            </w:tcBorders>
            <w:vAlign w:val="bottom"/>
          </w:tcPr>
          <w:p w14:paraId="33A0861E" w14:textId="77777777" w:rsidR="0058703C" w:rsidRPr="00925F26" w:rsidRDefault="0058703C" w:rsidP="00925F26">
            <w:pPr>
              <w:jc w:val="both"/>
              <w:rPr>
                <w:color w:val="000000" w:themeColor="text1"/>
                <w:sz w:val="16"/>
                <w:szCs w:val="16"/>
              </w:rPr>
            </w:pPr>
            <w:r w:rsidRPr="00925F26">
              <w:rPr>
                <w:color w:val="000000" w:themeColor="text1"/>
                <w:sz w:val="16"/>
                <w:szCs w:val="16"/>
              </w:rPr>
              <w:t>12,45</w:t>
            </w:r>
          </w:p>
        </w:tc>
        <w:tc>
          <w:tcPr>
            <w:tcW w:w="1862" w:type="dxa"/>
            <w:tcBorders>
              <w:top w:val="single" w:sz="4" w:space="0" w:color="auto"/>
              <w:left w:val="single" w:sz="4" w:space="0" w:color="auto"/>
            </w:tcBorders>
            <w:vAlign w:val="center"/>
          </w:tcPr>
          <w:p w14:paraId="304607A3" w14:textId="77777777" w:rsidR="0058703C" w:rsidRPr="00925F26" w:rsidRDefault="0058703C" w:rsidP="00925F26">
            <w:pPr>
              <w:jc w:val="both"/>
              <w:rPr>
                <w:color w:val="000000" w:themeColor="text1"/>
                <w:sz w:val="16"/>
                <w:szCs w:val="16"/>
              </w:rPr>
            </w:pPr>
            <w:r w:rsidRPr="00925F26">
              <w:rPr>
                <w:color w:val="000000" w:themeColor="text1"/>
                <w:sz w:val="16"/>
                <w:szCs w:val="16"/>
              </w:rPr>
              <w:t>-</w:t>
            </w:r>
          </w:p>
        </w:tc>
        <w:tc>
          <w:tcPr>
            <w:tcW w:w="1867" w:type="dxa"/>
            <w:tcBorders>
              <w:top w:val="single" w:sz="4" w:space="0" w:color="auto"/>
              <w:left w:val="single" w:sz="4" w:space="0" w:color="auto"/>
              <w:right w:val="single" w:sz="4" w:space="0" w:color="auto"/>
            </w:tcBorders>
            <w:vAlign w:val="center"/>
          </w:tcPr>
          <w:p w14:paraId="099FD0C9" w14:textId="77777777" w:rsidR="0058703C" w:rsidRPr="00925F26" w:rsidRDefault="0058703C" w:rsidP="00925F26">
            <w:pPr>
              <w:jc w:val="both"/>
              <w:rPr>
                <w:color w:val="000000" w:themeColor="text1"/>
                <w:sz w:val="16"/>
                <w:szCs w:val="16"/>
              </w:rPr>
            </w:pPr>
            <w:r w:rsidRPr="00925F26">
              <w:rPr>
                <w:color w:val="000000" w:themeColor="text1"/>
                <w:sz w:val="16"/>
                <w:szCs w:val="16"/>
              </w:rPr>
              <w:t>-</w:t>
            </w:r>
          </w:p>
        </w:tc>
      </w:tr>
      <w:tr w:rsidR="0058703C" w:rsidRPr="00925F26" w14:paraId="1B63F284" w14:textId="77777777" w:rsidTr="004C5D62">
        <w:trPr>
          <w:trHeight w:val="302"/>
        </w:trPr>
        <w:tc>
          <w:tcPr>
            <w:tcW w:w="3144" w:type="dxa"/>
            <w:tcBorders>
              <w:top w:val="single" w:sz="4" w:space="0" w:color="auto"/>
              <w:left w:val="single" w:sz="4" w:space="0" w:color="auto"/>
            </w:tcBorders>
            <w:vAlign w:val="bottom"/>
          </w:tcPr>
          <w:p w14:paraId="0E29C7BA" w14:textId="77777777" w:rsidR="0058703C" w:rsidRPr="00925F26" w:rsidRDefault="0058703C" w:rsidP="00925F26">
            <w:pPr>
              <w:jc w:val="both"/>
              <w:rPr>
                <w:color w:val="000000" w:themeColor="text1"/>
                <w:sz w:val="16"/>
                <w:szCs w:val="16"/>
              </w:rPr>
            </w:pPr>
            <w:r w:rsidRPr="00925F26">
              <w:rPr>
                <w:color w:val="000000" w:themeColor="text1"/>
                <w:sz w:val="16"/>
                <w:szCs w:val="16"/>
              </w:rPr>
              <w:t>Практический потолок, м</w:t>
            </w:r>
          </w:p>
        </w:tc>
        <w:tc>
          <w:tcPr>
            <w:tcW w:w="1853" w:type="dxa"/>
            <w:tcBorders>
              <w:top w:val="single" w:sz="4" w:space="0" w:color="auto"/>
              <w:left w:val="single" w:sz="4" w:space="0" w:color="auto"/>
            </w:tcBorders>
            <w:vAlign w:val="bottom"/>
          </w:tcPr>
          <w:p w14:paraId="73DFF26C" w14:textId="77777777" w:rsidR="0058703C" w:rsidRPr="00925F26" w:rsidRDefault="0058703C" w:rsidP="00925F26">
            <w:pPr>
              <w:jc w:val="both"/>
              <w:rPr>
                <w:color w:val="000000" w:themeColor="text1"/>
                <w:sz w:val="16"/>
                <w:szCs w:val="16"/>
              </w:rPr>
            </w:pPr>
            <w:r w:rsidRPr="00925F26">
              <w:rPr>
                <w:color w:val="000000" w:themeColor="text1"/>
                <w:sz w:val="16"/>
                <w:szCs w:val="16"/>
              </w:rPr>
              <w:t>7650</w:t>
            </w:r>
          </w:p>
        </w:tc>
        <w:tc>
          <w:tcPr>
            <w:tcW w:w="1862" w:type="dxa"/>
            <w:tcBorders>
              <w:top w:val="single" w:sz="4" w:space="0" w:color="auto"/>
              <w:left w:val="single" w:sz="4" w:space="0" w:color="auto"/>
            </w:tcBorders>
            <w:vAlign w:val="bottom"/>
          </w:tcPr>
          <w:p w14:paraId="716420DA" w14:textId="77777777" w:rsidR="0058703C" w:rsidRPr="00925F26" w:rsidRDefault="0058703C" w:rsidP="00925F26">
            <w:pPr>
              <w:jc w:val="both"/>
              <w:rPr>
                <w:color w:val="000000" w:themeColor="text1"/>
                <w:sz w:val="16"/>
                <w:szCs w:val="16"/>
              </w:rPr>
            </w:pPr>
            <w:r w:rsidRPr="00925F26">
              <w:rPr>
                <w:color w:val="000000" w:themeColor="text1"/>
                <w:sz w:val="16"/>
                <w:szCs w:val="16"/>
              </w:rPr>
              <w:t>7500</w:t>
            </w:r>
          </w:p>
        </w:tc>
        <w:tc>
          <w:tcPr>
            <w:tcW w:w="1862" w:type="dxa"/>
            <w:tcBorders>
              <w:top w:val="single" w:sz="4" w:space="0" w:color="auto"/>
              <w:left w:val="single" w:sz="4" w:space="0" w:color="auto"/>
            </w:tcBorders>
            <w:vAlign w:val="bottom"/>
          </w:tcPr>
          <w:p w14:paraId="294D42B5" w14:textId="77777777" w:rsidR="0058703C" w:rsidRPr="00925F26" w:rsidRDefault="0058703C" w:rsidP="00925F26">
            <w:pPr>
              <w:jc w:val="both"/>
              <w:rPr>
                <w:color w:val="000000" w:themeColor="text1"/>
                <w:sz w:val="16"/>
                <w:szCs w:val="16"/>
              </w:rPr>
            </w:pPr>
            <w:r w:rsidRPr="00925F26">
              <w:rPr>
                <w:color w:val="000000" w:themeColor="text1"/>
                <w:sz w:val="16"/>
                <w:szCs w:val="16"/>
              </w:rPr>
              <w:t>7410</w:t>
            </w:r>
          </w:p>
        </w:tc>
        <w:tc>
          <w:tcPr>
            <w:tcW w:w="1867" w:type="dxa"/>
            <w:tcBorders>
              <w:top w:val="single" w:sz="4" w:space="0" w:color="auto"/>
              <w:left w:val="single" w:sz="4" w:space="0" w:color="auto"/>
              <w:right w:val="single" w:sz="4" w:space="0" w:color="auto"/>
            </w:tcBorders>
            <w:vAlign w:val="bottom"/>
          </w:tcPr>
          <w:p w14:paraId="1404E8CE" w14:textId="77777777" w:rsidR="0058703C" w:rsidRPr="00925F26" w:rsidRDefault="0058703C" w:rsidP="00925F26">
            <w:pPr>
              <w:jc w:val="both"/>
              <w:rPr>
                <w:color w:val="000000" w:themeColor="text1"/>
                <w:sz w:val="16"/>
                <w:szCs w:val="16"/>
              </w:rPr>
            </w:pPr>
            <w:r w:rsidRPr="00925F26">
              <w:rPr>
                <w:color w:val="000000" w:themeColor="text1"/>
                <w:sz w:val="16"/>
                <w:szCs w:val="16"/>
              </w:rPr>
              <w:t>7470</w:t>
            </w:r>
          </w:p>
        </w:tc>
      </w:tr>
      <w:tr w:rsidR="0058703C" w:rsidRPr="00925F26" w14:paraId="70B2CC05" w14:textId="77777777" w:rsidTr="004C5D62">
        <w:trPr>
          <w:trHeight w:val="307"/>
        </w:trPr>
        <w:tc>
          <w:tcPr>
            <w:tcW w:w="3144" w:type="dxa"/>
            <w:tcBorders>
              <w:top w:val="single" w:sz="4" w:space="0" w:color="auto"/>
              <w:left w:val="single" w:sz="4" w:space="0" w:color="auto"/>
            </w:tcBorders>
            <w:vAlign w:val="bottom"/>
          </w:tcPr>
          <w:p w14:paraId="645B76F6" w14:textId="77777777" w:rsidR="0058703C" w:rsidRPr="00925F26" w:rsidRDefault="0058703C" w:rsidP="00925F26">
            <w:pPr>
              <w:jc w:val="both"/>
              <w:rPr>
                <w:color w:val="000000" w:themeColor="text1"/>
                <w:sz w:val="16"/>
                <w:szCs w:val="16"/>
              </w:rPr>
            </w:pPr>
            <w:r w:rsidRPr="00925F26">
              <w:rPr>
                <w:color w:val="000000" w:themeColor="text1"/>
                <w:sz w:val="16"/>
                <w:szCs w:val="16"/>
              </w:rPr>
              <w:t>Дальность полета, км</w:t>
            </w:r>
          </w:p>
        </w:tc>
        <w:tc>
          <w:tcPr>
            <w:tcW w:w="1853" w:type="dxa"/>
            <w:tcBorders>
              <w:top w:val="single" w:sz="4" w:space="0" w:color="auto"/>
              <w:left w:val="single" w:sz="4" w:space="0" w:color="auto"/>
            </w:tcBorders>
            <w:vAlign w:val="bottom"/>
          </w:tcPr>
          <w:p w14:paraId="23EFA05F" w14:textId="77777777" w:rsidR="0058703C" w:rsidRPr="00925F26" w:rsidRDefault="0058703C" w:rsidP="00925F26">
            <w:pPr>
              <w:jc w:val="both"/>
              <w:rPr>
                <w:color w:val="000000" w:themeColor="text1"/>
                <w:sz w:val="16"/>
                <w:szCs w:val="16"/>
              </w:rPr>
            </w:pPr>
            <w:r w:rsidRPr="00925F26">
              <w:rPr>
                <w:color w:val="000000" w:themeColor="text1"/>
                <w:sz w:val="16"/>
                <w:szCs w:val="16"/>
              </w:rPr>
              <w:t>18451</w:t>
            </w:r>
          </w:p>
        </w:tc>
        <w:tc>
          <w:tcPr>
            <w:tcW w:w="1862" w:type="dxa"/>
            <w:tcBorders>
              <w:top w:val="single" w:sz="4" w:space="0" w:color="auto"/>
              <w:left w:val="single" w:sz="4" w:space="0" w:color="auto"/>
            </w:tcBorders>
            <w:vAlign w:val="bottom"/>
          </w:tcPr>
          <w:p w14:paraId="3AE830A8" w14:textId="77777777" w:rsidR="0058703C" w:rsidRPr="00925F26" w:rsidRDefault="0058703C" w:rsidP="00925F26">
            <w:pPr>
              <w:jc w:val="both"/>
              <w:rPr>
                <w:color w:val="000000" w:themeColor="text1"/>
                <w:sz w:val="16"/>
                <w:szCs w:val="16"/>
              </w:rPr>
            </w:pPr>
            <w:r w:rsidRPr="00925F26">
              <w:rPr>
                <w:color w:val="000000" w:themeColor="text1"/>
                <w:sz w:val="16"/>
                <w:szCs w:val="16"/>
              </w:rPr>
              <w:t>2120</w:t>
            </w:r>
          </w:p>
        </w:tc>
        <w:tc>
          <w:tcPr>
            <w:tcW w:w="1862" w:type="dxa"/>
            <w:tcBorders>
              <w:top w:val="single" w:sz="4" w:space="0" w:color="auto"/>
              <w:left w:val="single" w:sz="4" w:space="0" w:color="auto"/>
            </w:tcBorders>
            <w:vAlign w:val="bottom"/>
          </w:tcPr>
          <w:p w14:paraId="789F7631" w14:textId="77777777" w:rsidR="0058703C" w:rsidRPr="00925F26" w:rsidRDefault="0058703C" w:rsidP="00925F26">
            <w:pPr>
              <w:jc w:val="both"/>
              <w:rPr>
                <w:color w:val="000000" w:themeColor="text1"/>
                <w:sz w:val="16"/>
                <w:szCs w:val="16"/>
              </w:rPr>
            </w:pPr>
            <w:r w:rsidRPr="00925F26">
              <w:rPr>
                <w:color w:val="000000" w:themeColor="text1"/>
                <w:sz w:val="16"/>
                <w:szCs w:val="16"/>
              </w:rPr>
              <w:t>39606</w:t>
            </w:r>
          </w:p>
        </w:tc>
        <w:tc>
          <w:tcPr>
            <w:tcW w:w="1867" w:type="dxa"/>
            <w:tcBorders>
              <w:top w:val="single" w:sz="4" w:space="0" w:color="auto"/>
              <w:left w:val="single" w:sz="4" w:space="0" w:color="auto"/>
              <w:right w:val="single" w:sz="4" w:space="0" w:color="auto"/>
            </w:tcBorders>
            <w:vAlign w:val="bottom"/>
          </w:tcPr>
          <w:p w14:paraId="18863BDA" w14:textId="77777777" w:rsidR="0058703C" w:rsidRPr="00925F26" w:rsidRDefault="0058703C" w:rsidP="00925F26">
            <w:pPr>
              <w:jc w:val="both"/>
              <w:rPr>
                <w:color w:val="000000" w:themeColor="text1"/>
                <w:sz w:val="16"/>
                <w:szCs w:val="16"/>
              </w:rPr>
            </w:pPr>
            <w:r w:rsidRPr="00925F26">
              <w:rPr>
                <w:color w:val="000000" w:themeColor="text1"/>
                <w:sz w:val="16"/>
                <w:szCs w:val="16"/>
              </w:rPr>
              <w:t>52356</w:t>
            </w:r>
          </w:p>
        </w:tc>
      </w:tr>
      <w:tr w:rsidR="0058703C" w:rsidRPr="00925F26" w14:paraId="4AF85AA5" w14:textId="77777777" w:rsidTr="004C5D62">
        <w:trPr>
          <w:trHeight w:val="302"/>
        </w:trPr>
        <w:tc>
          <w:tcPr>
            <w:tcW w:w="3144" w:type="dxa"/>
            <w:tcBorders>
              <w:top w:val="single" w:sz="4" w:space="0" w:color="auto"/>
              <w:left w:val="single" w:sz="4" w:space="0" w:color="auto"/>
            </w:tcBorders>
            <w:vAlign w:val="bottom"/>
          </w:tcPr>
          <w:p w14:paraId="1649D401" w14:textId="77777777" w:rsidR="0058703C" w:rsidRPr="00925F26" w:rsidRDefault="0058703C" w:rsidP="00925F26">
            <w:pPr>
              <w:jc w:val="both"/>
              <w:rPr>
                <w:color w:val="000000" w:themeColor="text1"/>
                <w:sz w:val="16"/>
                <w:szCs w:val="16"/>
              </w:rPr>
            </w:pPr>
            <w:r w:rsidRPr="00925F26">
              <w:rPr>
                <w:color w:val="000000" w:themeColor="text1"/>
                <w:sz w:val="16"/>
                <w:szCs w:val="16"/>
              </w:rPr>
              <w:t>Вооружение</w:t>
            </w:r>
          </w:p>
        </w:tc>
        <w:tc>
          <w:tcPr>
            <w:tcW w:w="1853" w:type="dxa"/>
            <w:tcBorders>
              <w:top w:val="single" w:sz="4" w:space="0" w:color="auto"/>
              <w:left w:val="single" w:sz="4" w:space="0" w:color="auto"/>
            </w:tcBorders>
            <w:vAlign w:val="bottom"/>
          </w:tcPr>
          <w:p w14:paraId="2956EB54" w14:textId="77777777" w:rsidR="0058703C" w:rsidRPr="00925F26" w:rsidRDefault="0058703C" w:rsidP="00925F26">
            <w:pPr>
              <w:jc w:val="both"/>
              <w:rPr>
                <w:color w:val="000000" w:themeColor="text1"/>
                <w:sz w:val="16"/>
                <w:szCs w:val="16"/>
              </w:rPr>
            </w:pPr>
            <w:r w:rsidRPr="00925F26">
              <w:rPr>
                <w:color w:val="000000" w:themeColor="text1"/>
                <w:sz w:val="16"/>
                <w:szCs w:val="16"/>
              </w:rPr>
              <w:t>4х 12,7+1x7,62</w:t>
            </w:r>
          </w:p>
        </w:tc>
        <w:tc>
          <w:tcPr>
            <w:tcW w:w="1862" w:type="dxa"/>
            <w:tcBorders>
              <w:top w:val="single" w:sz="4" w:space="0" w:color="auto"/>
              <w:left w:val="single" w:sz="4" w:space="0" w:color="auto"/>
            </w:tcBorders>
            <w:vAlign w:val="bottom"/>
          </w:tcPr>
          <w:p w14:paraId="068EBB81" w14:textId="77777777" w:rsidR="0058703C" w:rsidRPr="00925F26" w:rsidRDefault="0058703C" w:rsidP="00925F26">
            <w:pPr>
              <w:jc w:val="both"/>
              <w:rPr>
                <w:color w:val="000000" w:themeColor="text1"/>
                <w:sz w:val="16"/>
                <w:szCs w:val="16"/>
              </w:rPr>
            </w:pPr>
            <w:r w:rsidRPr="00925F26">
              <w:rPr>
                <w:color w:val="000000" w:themeColor="text1"/>
                <w:sz w:val="16"/>
                <w:szCs w:val="16"/>
              </w:rPr>
              <w:t>4x12,7+1x7,62</w:t>
            </w:r>
          </w:p>
        </w:tc>
        <w:tc>
          <w:tcPr>
            <w:tcW w:w="1862" w:type="dxa"/>
            <w:tcBorders>
              <w:top w:val="single" w:sz="4" w:space="0" w:color="auto"/>
              <w:left w:val="single" w:sz="4" w:space="0" w:color="auto"/>
            </w:tcBorders>
            <w:vAlign w:val="bottom"/>
          </w:tcPr>
          <w:p w14:paraId="2CBBEA01" w14:textId="77777777" w:rsidR="0058703C" w:rsidRPr="00925F26" w:rsidRDefault="0058703C" w:rsidP="00925F26">
            <w:pPr>
              <w:jc w:val="both"/>
              <w:rPr>
                <w:color w:val="000000" w:themeColor="text1"/>
                <w:sz w:val="16"/>
                <w:szCs w:val="16"/>
              </w:rPr>
            </w:pPr>
            <w:r w:rsidRPr="00925F26">
              <w:rPr>
                <w:color w:val="000000" w:themeColor="text1"/>
                <w:sz w:val="16"/>
                <w:szCs w:val="16"/>
              </w:rPr>
              <w:t>1x75+6x12,7</w:t>
            </w:r>
          </w:p>
        </w:tc>
        <w:tc>
          <w:tcPr>
            <w:tcW w:w="1867" w:type="dxa"/>
            <w:tcBorders>
              <w:top w:val="single" w:sz="4" w:space="0" w:color="auto"/>
              <w:left w:val="single" w:sz="4" w:space="0" w:color="auto"/>
              <w:right w:val="single" w:sz="4" w:space="0" w:color="auto"/>
            </w:tcBorders>
            <w:vAlign w:val="bottom"/>
          </w:tcPr>
          <w:p w14:paraId="400CED4C" w14:textId="77777777" w:rsidR="0058703C" w:rsidRPr="00925F26" w:rsidRDefault="0058703C" w:rsidP="00925F26">
            <w:pPr>
              <w:jc w:val="both"/>
              <w:rPr>
                <w:color w:val="000000" w:themeColor="text1"/>
                <w:sz w:val="16"/>
                <w:szCs w:val="16"/>
              </w:rPr>
            </w:pPr>
            <w:r w:rsidRPr="00925F26">
              <w:rPr>
                <w:color w:val="000000" w:themeColor="text1"/>
                <w:sz w:val="16"/>
                <w:szCs w:val="16"/>
              </w:rPr>
              <w:t>8x12,7+1x7,62</w:t>
            </w:r>
          </w:p>
        </w:tc>
      </w:tr>
      <w:tr w:rsidR="0058703C" w:rsidRPr="00925F26" w14:paraId="3E99F221" w14:textId="77777777" w:rsidTr="004C5D62">
        <w:trPr>
          <w:trHeight w:val="317"/>
        </w:trPr>
        <w:tc>
          <w:tcPr>
            <w:tcW w:w="3144" w:type="dxa"/>
            <w:tcBorders>
              <w:top w:val="single" w:sz="4" w:space="0" w:color="auto"/>
              <w:left w:val="single" w:sz="4" w:space="0" w:color="auto"/>
              <w:bottom w:val="single" w:sz="4" w:space="0" w:color="auto"/>
            </w:tcBorders>
            <w:vAlign w:val="bottom"/>
          </w:tcPr>
          <w:p w14:paraId="34BA4435" w14:textId="77777777" w:rsidR="0058703C" w:rsidRPr="00925F26" w:rsidRDefault="0058703C" w:rsidP="00925F26">
            <w:pPr>
              <w:jc w:val="both"/>
              <w:rPr>
                <w:color w:val="000000" w:themeColor="text1"/>
                <w:sz w:val="16"/>
                <w:szCs w:val="16"/>
              </w:rPr>
            </w:pPr>
            <w:r w:rsidRPr="00925F26">
              <w:rPr>
                <w:color w:val="000000" w:themeColor="text1"/>
                <w:sz w:val="16"/>
                <w:szCs w:val="16"/>
              </w:rPr>
              <w:t>Бомбовая нагрузка, кг</w:t>
            </w:r>
          </w:p>
        </w:tc>
        <w:tc>
          <w:tcPr>
            <w:tcW w:w="1853" w:type="dxa"/>
            <w:tcBorders>
              <w:top w:val="single" w:sz="4" w:space="0" w:color="auto"/>
              <w:left w:val="single" w:sz="4" w:space="0" w:color="auto"/>
              <w:bottom w:val="single" w:sz="4" w:space="0" w:color="auto"/>
            </w:tcBorders>
            <w:vAlign w:val="bottom"/>
          </w:tcPr>
          <w:p w14:paraId="68D77E0B" w14:textId="77777777" w:rsidR="0058703C" w:rsidRPr="00925F26" w:rsidRDefault="0058703C" w:rsidP="00925F26">
            <w:pPr>
              <w:jc w:val="both"/>
              <w:rPr>
                <w:color w:val="000000" w:themeColor="text1"/>
                <w:sz w:val="16"/>
                <w:szCs w:val="16"/>
              </w:rPr>
            </w:pPr>
            <w:r w:rsidRPr="00925F26">
              <w:rPr>
                <w:color w:val="000000" w:themeColor="text1"/>
                <w:sz w:val="16"/>
                <w:szCs w:val="16"/>
              </w:rPr>
              <w:t>13602</w:t>
            </w:r>
          </w:p>
        </w:tc>
        <w:tc>
          <w:tcPr>
            <w:tcW w:w="1862" w:type="dxa"/>
            <w:tcBorders>
              <w:top w:val="single" w:sz="4" w:space="0" w:color="auto"/>
              <w:left w:val="single" w:sz="4" w:space="0" w:color="auto"/>
              <w:bottom w:val="single" w:sz="4" w:space="0" w:color="auto"/>
            </w:tcBorders>
            <w:vAlign w:val="bottom"/>
          </w:tcPr>
          <w:p w14:paraId="2E0B4F34" w14:textId="77777777" w:rsidR="0058703C" w:rsidRPr="00925F26" w:rsidRDefault="0058703C" w:rsidP="00925F26">
            <w:pPr>
              <w:jc w:val="both"/>
              <w:rPr>
                <w:color w:val="000000" w:themeColor="text1"/>
                <w:sz w:val="16"/>
                <w:szCs w:val="16"/>
              </w:rPr>
            </w:pPr>
            <w:r w:rsidRPr="00925F26">
              <w:rPr>
                <w:color w:val="000000" w:themeColor="text1"/>
                <w:sz w:val="16"/>
                <w:szCs w:val="16"/>
              </w:rPr>
              <w:t>13605</w:t>
            </w:r>
          </w:p>
        </w:tc>
        <w:tc>
          <w:tcPr>
            <w:tcW w:w="1862" w:type="dxa"/>
            <w:tcBorders>
              <w:top w:val="single" w:sz="4" w:space="0" w:color="auto"/>
              <w:left w:val="single" w:sz="4" w:space="0" w:color="auto"/>
              <w:bottom w:val="single" w:sz="4" w:space="0" w:color="auto"/>
            </w:tcBorders>
            <w:vAlign w:val="bottom"/>
          </w:tcPr>
          <w:p w14:paraId="02EA4441" w14:textId="77777777" w:rsidR="0058703C" w:rsidRPr="00925F26" w:rsidRDefault="0058703C" w:rsidP="00925F26">
            <w:pPr>
              <w:jc w:val="both"/>
              <w:rPr>
                <w:color w:val="000000" w:themeColor="text1"/>
                <w:sz w:val="16"/>
                <w:szCs w:val="16"/>
              </w:rPr>
            </w:pPr>
            <w:r w:rsidRPr="00925F26">
              <w:rPr>
                <w:color w:val="000000" w:themeColor="text1"/>
                <w:sz w:val="16"/>
                <w:szCs w:val="16"/>
              </w:rPr>
              <w:t>1360</w:t>
            </w:r>
          </w:p>
        </w:tc>
        <w:tc>
          <w:tcPr>
            <w:tcW w:w="1867" w:type="dxa"/>
            <w:tcBorders>
              <w:top w:val="single" w:sz="4" w:space="0" w:color="auto"/>
              <w:left w:val="single" w:sz="4" w:space="0" w:color="auto"/>
              <w:bottom w:val="single" w:sz="4" w:space="0" w:color="auto"/>
              <w:right w:val="single" w:sz="4" w:space="0" w:color="auto"/>
            </w:tcBorders>
            <w:vAlign w:val="bottom"/>
          </w:tcPr>
          <w:p w14:paraId="7049143A" w14:textId="77777777" w:rsidR="0058703C" w:rsidRPr="00925F26" w:rsidRDefault="0058703C" w:rsidP="00925F26">
            <w:pPr>
              <w:jc w:val="both"/>
              <w:rPr>
                <w:color w:val="000000" w:themeColor="text1"/>
                <w:sz w:val="16"/>
                <w:szCs w:val="16"/>
              </w:rPr>
            </w:pPr>
            <w:r w:rsidRPr="00925F26">
              <w:rPr>
                <w:color w:val="000000" w:themeColor="text1"/>
                <w:sz w:val="16"/>
                <w:szCs w:val="16"/>
              </w:rPr>
              <w:t>1815</w:t>
            </w:r>
          </w:p>
        </w:tc>
      </w:tr>
    </w:tbl>
    <w:p w14:paraId="32EAAC8A" w14:textId="77777777" w:rsidR="0058703C" w:rsidRPr="00925F26" w:rsidRDefault="0058703C" w:rsidP="00925F26">
      <w:pPr>
        <w:jc w:val="both"/>
        <w:rPr>
          <w:color w:val="000000" w:themeColor="text1"/>
          <w:sz w:val="16"/>
          <w:szCs w:val="16"/>
        </w:rPr>
      </w:pPr>
      <w:r w:rsidRPr="00925F26">
        <w:rPr>
          <w:color w:val="000000" w:themeColor="text1"/>
          <w:sz w:val="16"/>
          <w:szCs w:val="16"/>
        </w:rPr>
        <w:t>1 Без бомб — 3275 км;2 с советскими бомбами — 900 кг;3 в варианте разведчика — 9110 кг;4 в варианте разведчика — 13 355 кг;5 с советскими бомбами — 2000 кг;6 перегоночная дальность — с дополнительными баками без бомб (23512)</w:t>
      </w:r>
    </w:p>
    <w:p w14:paraId="6FE9E7B9" w14:textId="77777777" w:rsidR="0058703C" w:rsidRPr="00925F26" w:rsidRDefault="0058703C" w:rsidP="00925F26">
      <w:pPr>
        <w:jc w:val="both"/>
        <w:rPr>
          <w:color w:val="000000" w:themeColor="text1"/>
          <w:sz w:val="16"/>
          <w:szCs w:val="16"/>
        </w:rPr>
      </w:pPr>
    </w:p>
    <w:p w14:paraId="7B6B89E2"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 в 29-й отдельной разведывательной эскадрильи на БФ числилось 10 самолетов Бе-4: №№ 4770205, 4770301, 4770302, 4770303, 4770305, 4770401, 4770402, 4770403, 4770404, 4770405. Задачами гидросамолетов стало ведение противолодочного поиска, а также спасение экипажей со сбитых самолетов.</w:t>
      </w:r>
    </w:p>
    <w:p w14:paraId="67958FAC" w14:textId="77777777" w:rsidR="0058703C" w:rsidRPr="00925F26" w:rsidRDefault="0058703C" w:rsidP="00925F26">
      <w:pPr>
        <w:jc w:val="both"/>
        <w:rPr>
          <w:color w:val="000000" w:themeColor="text1"/>
          <w:sz w:val="16"/>
          <w:szCs w:val="16"/>
        </w:rPr>
      </w:pPr>
      <w:r w:rsidRPr="00925F26">
        <w:rPr>
          <w:color w:val="000000" w:themeColor="text1"/>
          <w:sz w:val="16"/>
          <w:szCs w:val="16"/>
        </w:rPr>
        <w:t>Например, 22 июля 1944 г., после нанесения удара по немецким кораблям, совершил вынужденную посадку в Финском заливе штурмовик Ил-2 из состава 8-го гвардейского штурмового полка 11-й штурмовой авиадивизии. Самолет быстро затонул, а пилот Кузнецов и стрелок Стрижак перебрались в спасательную лодку и чуть позже были вывезены Бе-4, вылетевшим с аэродрома Гора Валдай (23541).</w:t>
      </w:r>
    </w:p>
    <w:p w14:paraId="6FB59AF7" w14:textId="77777777" w:rsidR="0058703C" w:rsidRPr="00925F26" w:rsidRDefault="0058703C" w:rsidP="00925F26">
      <w:pPr>
        <w:jc w:val="both"/>
        <w:rPr>
          <w:color w:val="000000" w:themeColor="text1"/>
          <w:sz w:val="16"/>
          <w:szCs w:val="16"/>
        </w:rPr>
      </w:pPr>
    </w:p>
    <w:p w14:paraId="01AC8511" w14:textId="77777777" w:rsidR="006C4B00" w:rsidRPr="00925F26" w:rsidRDefault="006C4B00" w:rsidP="00925F26">
      <w:pPr>
        <w:jc w:val="both"/>
        <w:rPr>
          <w:color w:val="000000" w:themeColor="text1"/>
          <w:sz w:val="16"/>
          <w:szCs w:val="16"/>
        </w:rPr>
      </w:pPr>
      <w:r w:rsidRPr="00925F26">
        <w:rPr>
          <w:color w:val="000000" w:themeColor="text1"/>
          <w:sz w:val="16"/>
          <w:szCs w:val="16"/>
        </w:rPr>
        <w:t>В начале 1945 г. части 1-го Украинского фронта (командующий 1-м Украинским фронтом маршал Советского Союза И.С. Конев), наступая на Берлин с юго-востока, в обход, окружили и блокировали крупную группировку немецких войск в районе Бреслау. Немцы пытались снабжать окружённые войска по воздуху, направляя в этот район авиационные соединения транспортной авиации, которые использовали аэродромы, имевшиеся в распоряжении немцев под Бреслау. Эти аэродромы были способны принимать за ночь от 30 до 60 транспортных самолётов. Одной из основных задач, поставленных перед войсками Западного фронта ПВО в этом районе, была блокировка окружённого Бреслау с воздуха. В крепости Бреслау находилось до 65 тыс. вражеских солдат и офицеров, большое количество боевой техники, и изоляция этой мощной группы имела большое значение.</w:t>
      </w:r>
    </w:p>
    <w:p w14:paraId="52798543" w14:textId="77777777" w:rsidR="006C4B00" w:rsidRPr="00925F26" w:rsidRDefault="006C4B00" w:rsidP="00925F26">
      <w:pPr>
        <w:jc w:val="both"/>
        <w:rPr>
          <w:color w:val="000000" w:themeColor="text1"/>
          <w:sz w:val="16"/>
          <w:szCs w:val="16"/>
        </w:rPr>
      </w:pPr>
      <w:r w:rsidRPr="00925F26">
        <w:rPr>
          <w:color w:val="000000" w:themeColor="text1"/>
          <w:sz w:val="16"/>
          <w:szCs w:val="16"/>
        </w:rPr>
        <w:t>Аппаратура РД, которой были оснащены самолеты 45-го авиационного полка 56-й истребительной авиационной дивизии, ставила целью существенно сократить и упростить процесс радиолокационного наведения истребителей. Для этого вместо команд по радио на самолет, имевший небольшой телевизионный приёмник, передавалось изображение планшета, и летчик, имея перед собой экран телевизионной трубки диаметром около 17 см, на котором было изображение карты местности с нанесёнными на ней планшетными данными, в том числе высота полёта цели, мог самостоятельно выходить на цель. Это не только упрощало наведение, но и позволяло летчику проявлять тактическую инициативу при перехвате, что повысило эффективность воздушного боя.</w:t>
      </w:r>
    </w:p>
    <w:p w14:paraId="1AFA3C01" w14:textId="77777777" w:rsidR="006C4B00" w:rsidRPr="00925F26" w:rsidRDefault="006C4B00" w:rsidP="00925F26">
      <w:pPr>
        <w:jc w:val="both"/>
        <w:rPr>
          <w:color w:val="000000" w:themeColor="text1"/>
          <w:sz w:val="16"/>
          <w:szCs w:val="16"/>
        </w:rPr>
      </w:pPr>
      <w:r w:rsidRPr="00925F26">
        <w:rPr>
          <w:color w:val="000000" w:themeColor="text1"/>
          <w:sz w:val="16"/>
          <w:szCs w:val="16"/>
        </w:rPr>
        <w:t>Прибывшие на аэродромы сотрудники 108-го института Е.С. Губенко и Н.Н. Батухтина вместе с представителем НИИ ВВС А.В. Пивоваровым, будущим первым заместителем А.А. Расплетина по ЗРК С-25, помогали летчикам 45-го авиационного полка осваивать новые для них приборы РД, а наземному персоналу – осуществлять телепередачу на самолёты с командного пункта. При необходимости они также ремонтировали аппаратуру. Таким образом, войсковые испытания аппаратуры проводились непосредственно в боевых условиях. Они помогли нашим лётчикам блокировать с воздуха Бреслау и перехватывать вражеские самолёты во всем районе боевых действий 45-го авиационного полка истребительной авиации.</w:t>
      </w:r>
    </w:p>
    <w:p w14:paraId="0CDCA29F" w14:textId="77777777" w:rsidR="006C4B00" w:rsidRPr="00925F26" w:rsidRDefault="006C4B00" w:rsidP="00925F26">
      <w:pPr>
        <w:jc w:val="both"/>
        <w:rPr>
          <w:color w:val="000000" w:themeColor="text1"/>
          <w:sz w:val="16"/>
          <w:szCs w:val="16"/>
        </w:rPr>
      </w:pPr>
      <w:r w:rsidRPr="00925F26">
        <w:rPr>
          <w:color w:val="000000" w:themeColor="text1"/>
          <w:sz w:val="16"/>
          <w:szCs w:val="16"/>
        </w:rPr>
        <w:t>6 мая 1945 г. командующий обороной Бреслау генерал Никгоф капитулировал с 40-тысячной группой войск.</w:t>
      </w:r>
    </w:p>
    <w:p w14:paraId="07576058" w14:textId="77777777" w:rsidR="006C4B00" w:rsidRPr="00925F26" w:rsidRDefault="006C4B00" w:rsidP="00925F26">
      <w:pPr>
        <w:jc w:val="both"/>
        <w:rPr>
          <w:color w:val="000000" w:themeColor="text1"/>
          <w:sz w:val="16"/>
          <w:szCs w:val="16"/>
        </w:rPr>
      </w:pPr>
      <w:r w:rsidRPr="00925F26">
        <w:rPr>
          <w:color w:val="000000" w:themeColor="text1"/>
          <w:sz w:val="16"/>
          <w:szCs w:val="16"/>
        </w:rPr>
        <w:t>Опыт, полученный при испытании аппаратуры в боевых условиях под Ленинградом и Бреслау, позволил А.А. Расплетину уяснить важные тактические возможности использования телевизионной системы наведения истребителей на цель. Именно в это время А.А. Расплетин чётко сформулировал требования учёта тактики боевого применения новой техники. Его заслуга как конструктора заключается не только в том, что он разрабатывал боевые системы, комплексы, но и создавал тренажёрную аппаратуру для обучения личного состава (18588).</w:t>
      </w:r>
    </w:p>
    <w:p w14:paraId="3E17B462" w14:textId="77777777" w:rsidR="006C4B00" w:rsidRPr="00925F26" w:rsidRDefault="006C4B00" w:rsidP="00925F26">
      <w:pPr>
        <w:jc w:val="both"/>
        <w:rPr>
          <w:color w:val="000000" w:themeColor="text1"/>
          <w:sz w:val="16"/>
          <w:szCs w:val="16"/>
        </w:rPr>
      </w:pPr>
    </w:p>
    <w:p w14:paraId="2E6FF815" w14:textId="77777777" w:rsidR="006C4B00" w:rsidRPr="00925F26" w:rsidRDefault="006C4B00"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88D075C" w14:textId="77777777" w:rsidR="006C4B00" w:rsidRPr="00925F26" w:rsidRDefault="006C4B00" w:rsidP="00925F26">
      <w:pPr>
        <w:autoSpaceDE w:val="0"/>
        <w:autoSpaceDN w:val="0"/>
        <w:adjustRightInd w:val="0"/>
        <w:jc w:val="both"/>
        <w:rPr>
          <w:iCs/>
          <w:color w:val="000000" w:themeColor="text1"/>
          <w:sz w:val="16"/>
          <w:szCs w:val="16"/>
        </w:rPr>
      </w:pPr>
    </w:p>
    <w:p w14:paraId="75602411" w14:textId="77777777" w:rsidR="006C4B00" w:rsidRPr="00925F26" w:rsidRDefault="006C4B00" w:rsidP="00925F26">
      <w:pPr>
        <w:jc w:val="both"/>
        <w:rPr>
          <w:color w:val="000000" w:themeColor="text1"/>
          <w:sz w:val="16"/>
          <w:szCs w:val="16"/>
        </w:rPr>
      </w:pPr>
      <w:r w:rsidRPr="00925F26">
        <w:rPr>
          <w:color w:val="000000" w:themeColor="text1"/>
          <w:sz w:val="16"/>
          <w:szCs w:val="16"/>
        </w:rPr>
        <w:t>Начало 1945 года. А. А. Андреева вспоминала: "Был уже конец войны, шла зима 44/45 года, близилась последняя военная весна. И многих молодых мужчин, мобилизованных по возрасту, на фронт уже не отправляли. Им давали безопасную, но очень нудную работу. Они патрулировали на улицах, особенно много их было в метро на всех выходах. Эти здоровые молодые парни должны были следить, не нарушает ли установленный порядок кто-то из военных. Штатские их не касались. Может быть, в подоплеке этого приказа лежало желание поймать переодетых шпионов, но превратилось все в совершенный фарс. Парни от скуки останавливали всех, кого хотели. Например, обращается такой патрульный к генералу или полковнику. Тот обязан остановиться, предъявить документы, и мальчишка нарочно медленно разглядывает их, долго сравнивает фотографию с лицом стоящего человека. Словом, развлекается" (18688).</w:t>
      </w:r>
    </w:p>
    <w:p w14:paraId="0454A39B" w14:textId="77777777" w:rsidR="006C4B00" w:rsidRPr="00925F26" w:rsidRDefault="006C4B00" w:rsidP="00925F26">
      <w:pPr>
        <w:jc w:val="both"/>
        <w:rPr>
          <w:color w:val="000000" w:themeColor="text1"/>
          <w:sz w:val="16"/>
          <w:szCs w:val="16"/>
        </w:rPr>
      </w:pPr>
    </w:p>
    <w:p w14:paraId="3E151580" w14:textId="77777777" w:rsidR="00712FB3" w:rsidRPr="00925F26" w:rsidRDefault="00712FB3" w:rsidP="00925F26">
      <w:pPr>
        <w:jc w:val="both"/>
        <w:rPr>
          <w:color w:val="000000" w:themeColor="text1"/>
          <w:sz w:val="16"/>
          <w:szCs w:val="16"/>
        </w:rPr>
      </w:pPr>
      <w:r w:rsidRPr="00925F26">
        <w:rPr>
          <w:color w:val="000000" w:themeColor="text1"/>
          <w:sz w:val="16"/>
          <w:szCs w:val="16"/>
        </w:rPr>
        <w:t>В начале 1945 г., ввиду приближающегося окончания военных действий, советское правительство стабилизировало военные расходы на уровне 1944 г., предполагая направить прирост национального дохода на увеличение накопления и потребления. Начиная с 1944 г. государственный бюджет исполнялся с превышением доходов над расходами, а следовательно, отпала и необходимость в бюджетном использовании денежной эмиссии.</w:t>
      </w:r>
    </w:p>
    <w:p w14:paraId="49E69F13" w14:textId="77777777" w:rsidR="00712FB3" w:rsidRPr="00925F26" w:rsidRDefault="00712FB3" w:rsidP="00925F26">
      <w:pPr>
        <w:jc w:val="both"/>
        <w:rPr>
          <w:color w:val="000000" w:themeColor="text1"/>
          <w:sz w:val="16"/>
          <w:szCs w:val="16"/>
        </w:rPr>
      </w:pPr>
      <w:r w:rsidRPr="00925F26">
        <w:rPr>
          <w:color w:val="000000" w:themeColor="text1"/>
          <w:sz w:val="16"/>
          <w:szCs w:val="16"/>
        </w:rPr>
        <w:t>Однако, как известно, в 1945 г. в связи с гигантскими экономическими потерями и военными затратами в 1941 - 1945 гг. возникли серьезные проблемы с выполнением утвержденного Правительством бюджетного плана. Доходы оказались на 8,2 млрд. руб. меньше ожидаемых. Расходы союзного бюджета сократились, против плана, на 9,6 млрд. руб. При этом расходы на оборону остались на запланированном уровне (98,2 млрд. руб., или 54,3% от общей суммы расходной части бюджета страны). Национальный доход в 1945 г. составил 441,4 млрд. руб., или на 48,2 млрд. меньше, чем в 1944 г.</w:t>
      </w:r>
    </w:p>
    <w:p w14:paraId="2F7171FF" w14:textId="77777777" w:rsidR="00712FB3" w:rsidRPr="00925F26" w:rsidRDefault="00712FB3" w:rsidP="00925F26">
      <w:pPr>
        <w:jc w:val="both"/>
        <w:rPr>
          <w:color w:val="000000" w:themeColor="text1"/>
          <w:sz w:val="16"/>
          <w:szCs w:val="16"/>
        </w:rPr>
      </w:pPr>
      <w:r w:rsidRPr="00925F26">
        <w:rPr>
          <w:color w:val="000000" w:themeColor="text1"/>
          <w:sz w:val="16"/>
          <w:szCs w:val="16"/>
        </w:rPr>
        <w:t>За 1941 - 1945 гг. расходы государственного бюджета СССР составили 1146,8 млрд. руб., из них 582,4 млрд. было направлено на покрытие расходов Наркоматов обороны и Военно-Морского Флота, т. е. половина всех ресурсов бюджета была израсходована на военные цели.</w:t>
      </w:r>
    </w:p>
    <w:p w14:paraId="2E2F122A" w14:textId="77777777" w:rsidR="00712FB3" w:rsidRPr="00925F26" w:rsidRDefault="00712FB3" w:rsidP="00925F26">
      <w:pPr>
        <w:jc w:val="both"/>
        <w:rPr>
          <w:color w:val="000000" w:themeColor="text1"/>
          <w:sz w:val="16"/>
          <w:szCs w:val="16"/>
        </w:rPr>
      </w:pPr>
      <w:r w:rsidRPr="00925F26">
        <w:rPr>
          <w:color w:val="000000" w:themeColor="text1"/>
          <w:sz w:val="16"/>
          <w:szCs w:val="16"/>
        </w:rPr>
        <w:t>В денежном исчислении только прямой ущерб, нанесенный государству и населению вражеским вторжением и оцененный по довоенным государственным ценам, составил 679 млрд. руб., или 128 млрд. американских долларов. С учетом прямых военных расходов и дополнительных расходов, вызванных войной и перестройкой народного хозяйства (включая финансирование военного строительства и производства, расходы на противовоздушную оборону, эвакуацию и реэвакуацию предприятий, выплату военных пенсий), а также с учетом потерь доходов населения вследствие прекращения производства в оккупированных районах материальный ущерб составил 1890 млрд. руб. в государственных довоенных ценах, или 357 млрд. американских долларов (18390).</w:t>
      </w:r>
    </w:p>
    <w:p w14:paraId="5ED89685" w14:textId="77777777" w:rsidR="00712FB3" w:rsidRPr="00925F26" w:rsidRDefault="00712FB3" w:rsidP="00925F26">
      <w:pPr>
        <w:jc w:val="both"/>
        <w:rPr>
          <w:color w:val="000000" w:themeColor="text1"/>
          <w:sz w:val="16"/>
          <w:szCs w:val="16"/>
        </w:rPr>
      </w:pPr>
    </w:p>
    <w:p w14:paraId="36134E2C"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DAAD05E" w14:textId="77777777" w:rsidR="00C2313B" w:rsidRPr="00925F26" w:rsidRDefault="00C2313B" w:rsidP="00925F26">
      <w:pPr>
        <w:autoSpaceDE w:val="0"/>
        <w:autoSpaceDN w:val="0"/>
        <w:adjustRightInd w:val="0"/>
        <w:jc w:val="both"/>
        <w:rPr>
          <w:iCs/>
          <w:color w:val="000000" w:themeColor="text1"/>
          <w:sz w:val="16"/>
          <w:szCs w:val="16"/>
        </w:rPr>
      </w:pPr>
    </w:p>
    <w:p w14:paraId="3D086C95" w14:textId="77777777" w:rsidR="00BC1830" w:rsidRPr="00925F26" w:rsidRDefault="00BC1830" w:rsidP="00925F26">
      <w:pPr>
        <w:jc w:val="both"/>
        <w:rPr>
          <w:color w:val="000000" w:themeColor="text1"/>
          <w:sz w:val="16"/>
          <w:szCs w:val="16"/>
        </w:rPr>
      </w:pPr>
      <w:r w:rsidRPr="00925F26">
        <w:rPr>
          <w:color w:val="000000" w:themeColor="text1"/>
          <w:sz w:val="16"/>
          <w:szCs w:val="16"/>
        </w:rPr>
        <w:t>В начале 1945 года в Германии была ещё одна попытка создания сверхлёг</w:t>
      </w:r>
      <w:r w:rsidRPr="00925F26">
        <w:rPr>
          <w:color w:val="000000" w:themeColor="text1"/>
          <w:sz w:val="16"/>
          <w:szCs w:val="16"/>
        </w:rPr>
        <w:softHyphen/>
        <w:t>кого штурмовика путём установки сразу четырёх гра</w:t>
      </w:r>
      <w:r w:rsidRPr="00925F26">
        <w:rPr>
          <w:color w:val="000000" w:themeColor="text1"/>
          <w:sz w:val="16"/>
          <w:szCs w:val="16"/>
        </w:rPr>
        <w:softHyphen/>
        <w:t xml:space="preserve">натомётов </w:t>
      </w:r>
      <w:r w:rsidRPr="00925F26">
        <w:rPr>
          <w:color w:val="000000" w:themeColor="text1"/>
          <w:sz w:val="16"/>
          <w:szCs w:val="16"/>
          <w:lang w:val="en-US"/>
        </w:rPr>
        <w:t>Panzerfaust</w:t>
      </w:r>
      <w:r w:rsidRPr="00925F26">
        <w:rPr>
          <w:color w:val="000000" w:themeColor="text1"/>
          <w:sz w:val="16"/>
          <w:szCs w:val="16"/>
        </w:rPr>
        <w:t xml:space="preserve"> над и под крыльями учебного самолёта </w:t>
      </w:r>
      <w:r w:rsidRPr="00925F26">
        <w:rPr>
          <w:color w:val="000000" w:themeColor="text1"/>
          <w:sz w:val="16"/>
          <w:szCs w:val="16"/>
          <w:lang w:val="en-US"/>
        </w:rPr>
        <w:t>Backer</w:t>
      </w:r>
      <w:r w:rsidRPr="00925F26">
        <w:rPr>
          <w:color w:val="000000" w:themeColor="text1"/>
          <w:sz w:val="16"/>
          <w:szCs w:val="16"/>
        </w:rPr>
        <w:t xml:space="preserve"> Ви.18Ю </w:t>
      </w:r>
      <w:r w:rsidRPr="00925F26">
        <w:rPr>
          <w:color w:val="000000" w:themeColor="text1"/>
          <w:sz w:val="16"/>
          <w:szCs w:val="16"/>
          <w:lang w:val="en-US"/>
        </w:rPr>
        <w:t>Bestmann</w:t>
      </w:r>
      <w:r w:rsidRPr="00925F26">
        <w:rPr>
          <w:color w:val="000000" w:themeColor="text1"/>
          <w:sz w:val="16"/>
          <w:szCs w:val="16"/>
        </w:rPr>
        <w:t xml:space="preserve"> (15846).</w:t>
      </w:r>
    </w:p>
    <w:p w14:paraId="073A6015" w14:textId="77777777" w:rsidR="00BC1830" w:rsidRPr="00925F26" w:rsidRDefault="00BC1830" w:rsidP="00925F26">
      <w:pPr>
        <w:jc w:val="both"/>
        <w:rPr>
          <w:color w:val="000000" w:themeColor="text1"/>
          <w:sz w:val="16"/>
          <w:szCs w:val="16"/>
        </w:rPr>
      </w:pPr>
    </w:p>
    <w:p w14:paraId="6584B1D6" w14:textId="77777777" w:rsidR="00BC1830" w:rsidRPr="00925F26" w:rsidRDefault="00BC1830" w:rsidP="00925F26">
      <w:pPr>
        <w:jc w:val="both"/>
        <w:rPr>
          <w:color w:val="000000" w:themeColor="text1"/>
          <w:sz w:val="16"/>
          <w:szCs w:val="16"/>
        </w:rPr>
      </w:pPr>
      <w:r w:rsidRPr="00925F26">
        <w:rPr>
          <w:color w:val="000000" w:themeColor="text1"/>
          <w:sz w:val="16"/>
          <w:szCs w:val="16"/>
        </w:rPr>
        <w:t>В начале 1945 года в виду неоспоримого превосходства проекта Hs-117 "Schmetterling" над всеми другими вариантами, Третий Рейх принял решение о развертывании массового производства этих ракет. К концу 1945 года планировалось иметь 600 батарей ракет для обороны воздушного пространства Германии на Западе. Однако этим планам не суждено было сбыться. Впоследствии Hs-117 "Schmetterling" под обозначением Р-105 испытывалась специалистами из НИИ ВВС РККА на полигоне Капустин Яр, где подтвердила свои высокие характеристики (14139).</w:t>
      </w:r>
    </w:p>
    <w:p w14:paraId="2EA73F07" w14:textId="77777777" w:rsidR="00BC1830" w:rsidRPr="00925F26" w:rsidRDefault="00BC1830" w:rsidP="00925F26">
      <w:pPr>
        <w:jc w:val="both"/>
        <w:rPr>
          <w:color w:val="000000" w:themeColor="text1"/>
          <w:sz w:val="16"/>
          <w:szCs w:val="16"/>
        </w:rPr>
      </w:pPr>
    </w:p>
    <w:p w14:paraId="6129B2A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у Германии на всех фронтах было 15 ракетных бригад по 108 ПУ каждый - примерно половина от числа советских и четверть по числу направляющих РС (3815).</w:t>
      </w:r>
    </w:p>
    <w:p w14:paraId="17B88D76" w14:textId="77777777" w:rsidR="00C2313B" w:rsidRPr="00925F26" w:rsidRDefault="00C2313B" w:rsidP="00925F26">
      <w:pPr>
        <w:autoSpaceDE w:val="0"/>
        <w:autoSpaceDN w:val="0"/>
        <w:adjustRightInd w:val="0"/>
        <w:jc w:val="both"/>
        <w:rPr>
          <w:color w:val="000000" w:themeColor="text1"/>
          <w:sz w:val="16"/>
          <w:szCs w:val="16"/>
        </w:rPr>
      </w:pPr>
    </w:p>
    <w:p w14:paraId="1E17AFF3" w14:textId="77777777" w:rsidR="00BE5234" w:rsidRPr="00925F26" w:rsidRDefault="00BE5234"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начале 1945 г. неожиданно получили указания го</w:t>
      </w:r>
      <w:r w:rsidRPr="00925F26">
        <w:rPr>
          <w:rFonts w:ascii="Times New Roman" w:cs="Times New Roman"/>
          <w:color w:val="000000" w:themeColor="text1"/>
          <w:spacing w:val="0"/>
          <w:sz w:val="16"/>
          <w:szCs w:val="16"/>
        </w:rPr>
        <w:softHyphen/>
        <w:t xml:space="preserve">товить крупносерийное производство самолёта.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1 перегнали в военный испы</w:t>
      </w:r>
      <w:r w:rsidRPr="00925F26">
        <w:rPr>
          <w:rFonts w:ascii="Times New Roman" w:cs="Times New Roman"/>
          <w:color w:val="000000" w:themeColor="text1"/>
          <w:spacing w:val="0"/>
          <w:sz w:val="16"/>
          <w:szCs w:val="16"/>
        </w:rPr>
        <w:softHyphen/>
        <w:t>тательный центр в Рехлин, где и продолжили его испытания. Однако во время тяжёлой бомбардировки самолёт был серьёзно поврежден.</w:t>
      </w:r>
    </w:p>
    <w:p w14:paraId="0DC5CD14" w14:textId="77777777" w:rsidR="00BE5234" w:rsidRPr="00925F26" w:rsidRDefault="00BE5234"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Работы продолжались на опытном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2 и прототипе серии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3 на неболь</w:t>
      </w:r>
      <w:r w:rsidRPr="00925F26">
        <w:rPr>
          <w:rFonts w:ascii="Times New Roman" w:cs="Times New Roman"/>
          <w:color w:val="000000" w:themeColor="text1"/>
          <w:spacing w:val="0"/>
          <w:sz w:val="16"/>
          <w:szCs w:val="16"/>
        </w:rPr>
        <w:softHyphen/>
        <w:t>ших заводах фирмы «Юнкере», расположенных на окраинах Лейпцига недалеко от аэро</w:t>
      </w:r>
      <w:r w:rsidRPr="00925F26">
        <w:rPr>
          <w:rFonts w:ascii="Times New Roman" w:cs="Times New Roman"/>
          <w:color w:val="000000" w:themeColor="text1"/>
          <w:spacing w:val="0"/>
          <w:sz w:val="16"/>
          <w:szCs w:val="16"/>
        </w:rPr>
        <w:softHyphen/>
        <w:t xml:space="preserve">дрома Брандис. Крыло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2 осталось таким же, как и на первом самолёте, но фюзеляж, оперение и шасси сделали новыми. Стойки шасси и их колёса полностью уби</w:t>
      </w:r>
      <w:r w:rsidRPr="00925F26">
        <w:rPr>
          <w:rFonts w:ascii="Times New Roman" w:cs="Times New Roman"/>
          <w:color w:val="000000" w:themeColor="text1"/>
          <w:spacing w:val="0"/>
          <w:sz w:val="16"/>
          <w:szCs w:val="16"/>
        </w:rPr>
        <w:softHyphen/>
        <w:t xml:space="preserve">рались в фюзеляж. При этом колесо передней стойки при уборке поворачивалось на 90°. Передняя часть фюзеляжа была подобна фюзеляжу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-388.</w:t>
      </w:r>
    </w:p>
    <w:p w14:paraId="78593CE6" w14:textId="77777777" w:rsidR="00BE5234" w:rsidRPr="00925F26" w:rsidRDefault="00BE5234"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соответствии с создавшимся тогда положением с изготовлением двигателей меня</w:t>
      </w:r>
      <w:r w:rsidRPr="00925F26">
        <w:rPr>
          <w:rFonts w:ascii="Times New Roman" w:cs="Times New Roman"/>
          <w:color w:val="000000" w:themeColor="text1"/>
          <w:spacing w:val="0"/>
          <w:sz w:val="16"/>
          <w:szCs w:val="16"/>
        </w:rPr>
        <w:softHyphen/>
        <w:t xml:space="preserve">лись и решения об их использовании: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 xml:space="preserve">-012, затем Хе-011, </w:t>
      </w:r>
      <w:r w:rsidRPr="00925F26">
        <w:rPr>
          <w:rFonts w:ascii="Times New Roman" w:cs="Times New Roman"/>
          <w:color w:val="000000" w:themeColor="text1"/>
          <w:spacing w:val="0"/>
          <w:sz w:val="16"/>
          <w:szCs w:val="16"/>
          <w:lang w:val="en-US"/>
        </w:rPr>
        <w:t>BMW</w:t>
      </w:r>
      <w:r w:rsidRPr="00925F26">
        <w:rPr>
          <w:rFonts w:ascii="Times New Roman" w:cs="Times New Roman"/>
          <w:color w:val="000000" w:themeColor="text1"/>
          <w:spacing w:val="0"/>
          <w:sz w:val="16"/>
          <w:szCs w:val="16"/>
        </w:rPr>
        <w:t xml:space="preserve">-003 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Так как их тяга очень различалась — от 2900 до 800 кгс, менялось и число потребных дви</w:t>
      </w:r>
      <w:r w:rsidRPr="00925F26">
        <w:rPr>
          <w:rFonts w:ascii="Times New Roman" w:cs="Times New Roman"/>
          <w:color w:val="000000" w:themeColor="text1"/>
          <w:spacing w:val="0"/>
          <w:sz w:val="16"/>
          <w:szCs w:val="16"/>
        </w:rPr>
        <w:softHyphen/>
        <w:t xml:space="preserve">гателей. Разработали проекты с двумя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—012, подвешенными к крыльям снизу. Но этот двигатель ещё не был готов, так что пришлось временно удовлетвориться четырь</w:t>
      </w:r>
      <w:r w:rsidRPr="00925F26">
        <w:rPr>
          <w:rFonts w:ascii="Times New Roman" w:cs="Times New Roman"/>
          <w:color w:val="000000" w:themeColor="text1"/>
          <w:spacing w:val="0"/>
          <w:sz w:val="16"/>
          <w:szCs w:val="16"/>
        </w:rPr>
        <w:softHyphen/>
        <w:t xml:space="preserve">мя </w:t>
      </w:r>
      <w:r w:rsidRPr="00925F26">
        <w:rPr>
          <w:rFonts w:ascii="Times New Roman" w:cs="Times New Roman"/>
          <w:color w:val="000000" w:themeColor="text1"/>
          <w:spacing w:val="0"/>
          <w:sz w:val="16"/>
          <w:szCs w:val="16"/>
          <w:lang w:val="en-US"/>
        </w:rPr>
        <w:t>HeS</w:t>
      </w:r>
      <w:r w:rsidRPr="00925F26">
        <w:rPr>
          <w:rFonts w:ascii="Times New Roman" w:cs="Times New Roman"/>
          <w:color w:val="000000" w:themeColor="text1"/>
          <w:spacing w:val="0"/>
          <w:sz w:val="16"/>
          <w:szCs w:val="16"/>
        </w:rPr>
        <w:t xml:space="preserve">-011 с тягой по 1300 кгс. Эти двигатели предполагали установить, как на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1. В это время выяснилось, что и этих двигателей тоже нет. Оставался выбор между </w:t>
      </w:r>
      <w:r w:rsidRPr="00925F26">
        <w:rPr>
          <w:rFonts w:ascii="Times New Roman" w:cs="Times New Roman"/>
          <w:color w:val="000000" w:themeColor="text1"/>
          <w:spacing w:val="0"/>
          <w:sz w:val="16"/>
          <w:szCs w:val="16"/>
          <w:lang w:val="en-US"/>
        </w:rPr>
        <w:t>BMW</w:t>
      </w:r>
      <w:r w:rsidRPr="00925F26">
        <w:rPr>
          <w:rFonts w:ascii="Times New Roman" w:cs="Times New Roman"/>
          <w:color w:val="000000" w:themeColor="text1"/>
          <w:spacing w:val="0"/>
          <w:sz w:val="16"/>
          <w:szCs w:val="16"/>
        </w:rPr>
        <w:t xml:space="preserve">-003 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каждого из них требовалось по 6 штук. Но реально оба ти</w:t>
      </w:r>
      <w:r w:rsidRPr="00925F26">
        <w:rPr>
          <w:rFonts w:ascii="Times New Roman" w:cs="Times New Roman"/>
          <w:color w:val="000000" w:themeColor="text1"/>
          <w:spacing w:val="0"/>
          <w:sz w:val="16"/>
          <w:szCs w:val="16"/>
        </w:rPr>
        <w:softHyphen/>
        <w:t>па двигателей забронировало Министерство авиации для истребителей. Все варианты установки двигателей тщательно проверяли на моделях в аэродинамической трубе (15791).</w:t>
      </w:r>
    </w:p>
    <w:p w14:paraId="12822C15" w14:textId="77777777" w:rsidR="00BE5234" w:rsidRPr="00925F26" w:rsidRDefault="00BE5234"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На летающей лаборатории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1 было только 2 члена экипажа, на </w:t>
      </w:r>
      <w:r w:rsidRPr="00925F26">
        <w:rPr>
          <w:rFonts w:ascii="Times New Roman" w:cs="Times New Roman"/>
          <w:color w:val="000000" w:themeColor="text1"/>
          <w:spacing w:val="0"/>
          <w:sz w:val="16"/>
          <w:szCs w:val="16"/>
          <w:lang w:val="en-US"/>
        </w:rPr>
        <w:t>Ju</w:t>
      </w:r>
      <w:r w:rsidRPr="00925F26">
        <w:rPr>
          <w:rFonts w:ascii="Times New Roman" w:cs="Times New Roman"/>
          <w:color w:val="000000" w:themeColor="text1"/>
          <w:spacing w:val="0"/>
          <w:sz w:val="16"/>
          <w:szCs w:val="16"/>
        </w:rPr>
        <w:t>-287</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2 и </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3 — по 3 человека. На </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1 и </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2 кабины негерметичные, а на </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 xml:space="preserve">3 — герметичные. На </w:t>
      </w:r>
      <w:r w:rsidRPr="00925F26">
        <w:rPr>
          <w:rFonts w:ascii="Times New Roman" w:cs="Times New Roman"/>
          <w:color w:val="000000" w:themeColor="text1"/>
          <w:spacing w:val="0"/>
          <w:sz w:val="16"/>
          <w:szCs w:val="16"/>
          <w:lang w:val="en-US"/>
        </w:rPr>
        <w:t>V</w:t>
      </w:r>
      <w:r w:rsidRPr="00925F26">
        <w:rPr>
          <w:rFonts w:ascii="Times New Roman" w:cs="Times New Roman"/>
          <w:color w:val="000000" w:themeColor="text1"/>
          <w:spacing w:val="0"/>
          <w:sz w:val="16"/>
          <w:szCs w:val="16"/>
        </w:rPr>
        <w:t>3 дол</w:t>
      </w:r>
      <w:r w:rsidRPr="00925F26">
        <w:rPr>
          <w:rFonts w:ascii="Times New Roman" w:cs="Times New Roman"/>
          <w:color w:val="000000" w:themeColor="text1"/>
          <w:spacing w:val="0"/>
          <w:sz w:val="16"/>
          <w:szCs w:val="16"/>
        </w:rPr>
        <w:softHyphen/>
        <w:t>жна была стоять хво</w:t>
      </w:r>
      <w:r w:rsidRPr="00925F26">
        <w:rPr>
          <w:rFonts w:ascii="Times New Roman" w:cs="Times New Roman"/>
          <w:color w:val="000000" w:themeColor="text1"/>
          <w:spacing w:val="0"/>
          <w:sz w:val="16"/>
          <w:szCs w:val="16"/>
        </w:rPr>
        <w:softHyphen/>
        <w:t>стовая башня с дву</w:t>
      </w:r>
      <w:r w:rsidRPr="00925F26">
        <w:rPr>
          <w:rFonts w:ascii="Times New Roman" w:cs="Times New Roman"/>
          <w:color w:val="000000" w:themeColor="text1"/>
          <w:spacing w:val="0"/>
          <w:sz w:val="16"/>
          <w:szCs w:val="16"/>
        </w:rPr>
        <w:softHyphen/>
        <w:t>мя 13-мм пулемёта</w:t>
      </w:r>
      <w:r w:rsidRPr="00925F26">
        <w:rPr>
          <w:rFonts w:ascii="Times New Roman" w:cs="Times New Roman"/>
          <w:color w:val="000000" w:themeColor="text1"/>
          <w:spacing w:val="0"/>
          <w:sz w:val="16"/>
          <w:szCs w:val="16"/>
        </w:rPr>
        <w:softHyphen/>
        <w:t xml:space="preserve">ми </w:t>
      </w:r>
      <w:r w:rsidRPr="00925F26">
        <w:rPr>
          <w:rFonts w:ascii="Times New Roman" w:cs="Times New Roman"/>
          <w:color w:val="000000" w:themeColor="text1"/>
          <w:spacing w:val="0"/>
          <w:sz w:val="16"/>
          <w:szCs w:val="16"/>
          <w:lang w:val="en-US"/>
        </w:rPr>
        <w:t>MG</w:t>
      </w:r>
      <w:r w:rsidRPr="00925F26">
        <w:rPr>
          <w:rFonts w:ascii="Times New Roman" w:cs="Times New Roman"/>
          <w:color w:val="000000" w:themeColor="text1"/>
          <w:spacing w:val="0"/>
          <w:sz w:val="16"/>
          <w:szCs w:val="16"/>
        </w:rPr>
        <w:t>-131, управля</w:t>
      </w:r>
      <w:r w:rsidRPr="00925F26">
        <w:rPr>
          <w:rFonts w:ascii="Times New Roman" w:cs="Times New Roman"/>
          <w:color w:val="000000" w:themeColor="text1"/>
          <w:spacing w:val="0"/>
          <w:sz w:val="16"/>
          <w:szCs w:val="16"/>
        </w:rPr>
        <w:softHyphen/>
        <w:t>емыми дистанцион</w:t>
      </w:r>
      <w:r w:rsidRPr="00925F26">
        <w:rPr>
          <w:rFonts w:ascii="Times New Roman" w:cs="Times New Roman"/>
          <w:color w:val="000000" w:themeColor="text1"/>
          <w:spacing w:val="0"/>
          <w:sz w:val="16"/>
          <w:szCs w:val="16"/>
        </w:rPr>
        <w:softHyphen/>
        <w:t>но с помощью пери</w:t>
      </w:r>
      <w:r w:rsidRPr="00925F26">
        <w:rPr>
          <w:rFonts w:ascii="Times New Roman" w:cs="Times New Roman"/>
          <w:color w:val="000000" w:themeColor="text1"/>
          <w:spacing w:val="0"/>
          <w:sz w:val="16"/>
          <w:szCs w:val="16"/>
        </w:rPr>
        <w:softHyphen/>
        <w:t>скопа (15791).</w:t>
      </w:r>
    </w:p>
    <w:p w14:paraId="26E1E418" w14:textId="77777777" w:rsidR="00BE5234" w:rsidRPr="00925F26" w:rsidRDefault="00BE5234" w:rsidP="00925F26">
      <w:pPr>
        <w:pStyle w:val="36"/>
        <w:shd w:val="clear" w:color="auto" w:fill="auto"/>
        <w:spacing w:after="0" w:line="240" w:lineRule="auto"/>
        <w:jc w:val="both"/>
        <w:rPr>
          <w:rFonts w:ascii="Times New Roman" w:cs="Times New Roman"/>
          <w:color w:val="000000" w:themeColor="text1"/>
          <w:spacing w:val="0"/>
          <w:sz w:val="16"/>
          <w:szCs w:val="16"/>
        </w:rPr>
      </w:pPr>
    </w:p>
    <w:p w14:paraId="42F824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года увидела свет модификация «Ме-163С», развивавшая скорость 944 км/ч и достигавшая высоты 16 км. На ней была установлена новая версия двигателя «Walter HWK 109-509C» с двумя камерами сгорания: главной «стартовой» и вспомогательной, которая могла работать при малых тягах.</w:t>
      </w:r>
    </w:p>
    <w:p w14:paraId="44A188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бюро «Липпиш-Мессершмитт» начало работу над еще более совершенной версией ракетоплана, получившей обозначение «Me-163D».</w:t>
      </w:r>
    </w:p>
    <w:p w14:paraId="03F325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Фактически «Me-163D» представлял собой другой самолет с удлиненным на 0,85 метра фюзеляжем, вмещавшим большой запас топлива. Он сохранил от предшественника крыло, но его конструкция была изменена, чтобы увеличить емкость баков. Однако самое концептуальное изменение касалось шасси. Сбрасываемая тележка и выдвижная лыжа были заменены классическим шасси, полностью убирающимся в фюзеляж в полете. Вооружение «Ме-163D» состояло из двух пушек «МК-108» калибром 30 мм, размещенных в прикорневых частях крыла.</w:t>
      </w:r>
    </w:p>
    <w:p w14:paraId="21F968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Первый опытный «Me-163D-V1» был готов в конце весны 1944 года. Планерные испытания с фиксированными стойками прошли успешно, но к этому времени в Министерстве авиации решили, что фирма Мессершмитта просто не обладает необходимыми людскими ресурсами, чтобы довести «Me-163D» до серийного производства. В результате поступило распоряжение перевести работы по ракетоплану на завод фирмы «Юнкерс» в Дассау.</w:t>
      </w:r>
    </w:p>
    <w:p w14:paraId="782C58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Под руководством профессора Генриха Хертеля ракетоплан несколько перепроектировали, после чего он был назван «Ju-248» («Junkers»). В процессе работ было изменено остекленение кабины пилота, самолет оснастили каплевидным фонарем с обзором в 360°. Неподвижные предкрылки были заменены на автоматические, а площадь закрылков увеличена. Фюзеляж цельнометаллической конструкции выполнялся из трех секций. Передняя вмещала кабину, нишу носового колеса, радиостанцию и генератор. Она приклепывалась к основной секции, вмещавшей баки и ниши основных стоек шасси. Задняя секция была съемной для технического обследования двигательной установки. Бронированный носовой конус от «Me-163B» на новый самолет не ставился, а защита пилота обеспечивалась 20-миллиметровой плитой, прикрывавшей ноги и половину туловища, двух 12-миллиметровых бронеплит, прикрывавших верхнюю часть туловища, и 100-миллиметрового бронестекла. Вооружение состояло из пушек «МК-108» с 75 снарядами на ствол в корне крыльев. Боезапас помещался в фюзеляже над нишами шасси (11688).</w:t>
      </w:r>
    </w:p>
    <w:p w14:paraId="5843E6C6" w14:textId="77777777" w:rsidR="00C2313B" w:rsidRPr="00925F26" w:rsidRDefault="00C2313B" w:rsidP="00925F26">
      <w:pPr>
        <w:autoSpaceDE w:val="0"/>
        <w:autoSpaceDN w:val="0"/>
        <w:adjustRightInd w:val="0"/>
        <w:jc w:val="both"/>
        <w:rPr>
          <w:color w:val="000000" w:themeColor="text1"/>
          <w:sz w:val="16"/>
          <w:szCs w:val="16"/>
        </w:rPr>
      </w:pPr>
    </w:p>
    <w:p w14:paraId="3FF916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завод Юнкерса в Бернбурге наладил выпуск новой модификации сцепки Mistel3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51D9F9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325293D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4FE2D5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461E501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13F2D13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65508B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Германские ударные управляемые средства...</w:t>
      </w:r>
    </w:p>
    <w:p w14:paraId="5E0D8E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4931F0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 Окончание войны не дало немецким «сверхчеловекам» возможности наладить массовое производство и применение планирующей бомбы Арадо Е377.</w:t>
      </w:r>
    </w:p>
    <w:p w14:paraId="1BE21C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4C5A37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C1D4A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4AC427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621ECC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52A763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A959EF3" w14:textId="77777777" w:rsidR="00C2313B" w:rsidRPr="00925F26" w:rsidRDefault="00C2313B" w:rsidP="00925F26">
      <w:pPr>
        <w:autoSpaceDE w:val="0"/>
        <w:autoSpaceDN w:val="0"/>
        <w:adjustRightInd w:val="0"/>
        <w:jc w:val="both"/>
        <w:rPr>
          <w:color w:val="000000" w:themeColor="text1"/>
          <w:sz w:val="16"/>
          <w:szCs w:val="16"/>
        </w:rPr>
      </w:pPr>
    </w:p>
    <w:p w14:paraId="58FFC1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немцы сформировали в Баварии единственную вертолетную часть в Люфтваффе - 40 транспортную, вооруженную тремя вертолетами поперечной схемы Fa-223 и пятью Fi-282 c перекрещивающимися винтами. Корректировали артогонь в Северных Альпах, осуществляли транспортные и связные операции (1146,10).</w:t>
      </w:r>
    </w:p>
    <w:p w14:paraId="669DAB12" w14:textId="77777777" w:rsidR="00C2313B" w:rsidRPr="00925F26" w:rsidRDefault="00C2313B" w:rsidP="00925F26">
      <w:pPr>
        <w:autoSpaceDE w:val="0"/>
        <w:autoSpaceDN w:val="0"/>
        <w:adjustRightInd w:val="0"/>
        <w:jc w:val="both"/>
        <w:rPr>
          <w:color w:val="000000" w:themeColor="text1"/>
          <w:sz w:val="16"/>
          <w:szCs w:val="16"/>
        </w:rPr>
      </w:pPr>
    </w:p>
    <w:p w14:paraId="49B8B6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немцы формируют в Баварии единственную вертолетную часть в Люфтваффе - 40-ю транспортную эскадрилью. В состав эскадрильи входили три вертолета поперечной схемы Fa-223 Генриха Фокке и пять FI-282 с перекрещивающимися винтами Антона Флеттнера. Винтокрылые машины со свастикой на фюзеляже участвовали в Северных Альпах в корректировке артиллерийского огня, а также в транспортных и связных операциях (11860).</w:t>
      </w:r>
    </w:p>
    <w:p w14:paraId="4E4B461F" w14:textId="77777777" w:rsidR="00C2313B" w:rsidRPr="00925F26" w:rsidRDefault="00C2313B" w:rsidP="00925F26">
      <w:pPr>
        <w:autoSpaceDE w:val="0"/>
        <w:autoSpaceDN w:val="0"/>
        <w:adjustRightInd w:val="0"/>
        <w:jc w:val="both"/>
        <w:rPr>
          <w:color w:val="000000" w:themeColor="text1"/>
          <w:sz w:val="16"/>
          <w:szCs w:val="16"/>
        </w:rPr>
      </w:pPr>
    </w:p>
    <w:p w14:paraId="38CE02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фирма «Хеншель» развернула работы по созданию нового образца управляемой ракеты «воздух–поверхность», получившей название Zitterrochen («Электрический скат»). Конструкция была разработана профессором Вагнером.</w:t>
      </w:r>
    </w:p>
    <w:p w14:paraId="523B4B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Испытания в аэродинамической трубе на скоростях М=1,5 дали обнадеживающие результаты, но работы были прекращены в связи с поражением Германии в войне (11686).</w:t>
      </w:r>
    </w:p>
    <w:p w14:paraId="47CCF758" w14:textId="77777777" w:rsidR="00C2313B" w:rsidRPr="00925F26" w:rsidRDefault="00C2313B" w:rsidP="00925F26">
      <w:pPr>
        <w:autoSpaceDE w:val="0"/>
        <w:autoSpaceDN w:val="0"/>
        <w:adjustRightInd w:val="0"/>
        <w:jc w:val="both"/>
        <w:rPr>
          <w:color w:val="000000" w:themeColor="text1"/>
          <w:sz w:val="16"/>
          <w:szCs w:val="16"/>
        </w:rPr>
      </w:pPr>
    </w:p>
    <w:p w14:paraId="1D39D6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макет ракеты А4b проходил испытания в аэродинамической трубе института. Эвакуация Пенемюнде положила конец еще одному зловещему плану фашистов, разрабатывавшемуся для массового уничтожения людей.</w:t>
      </w:r>
    </w:p>
    <w:p w14:paraId="4EE66C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Интересно отметить, что параллельно с беспилотным вариантом разрабатывался и пилотируемый вариант ракеты А4b. Герметичная кабина летчика размещалась в носовой части. Вариант А4b, который предназначался для летных испытаний, помимо кабины содержал и убирающееся в полете самолетное шасси, дополнительный турбореактивный или прямоточный воздушно-реактивный двигатель в нижнем стабилизаторе. Позднее этой модификации был присвоен индекс А6.</w:t>
      </w:r>
    </w:p>
    <w:p w14:paraId="78D784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Ракета А6 рассматривалась в качестве сверхзвукового пилотируемого фоторазведчика. Ее проектная скорость составляла 2900 км/ч. Длина ракеты составляла 15,75 м, размах стреловидных крыльев – 6,33 м, тяга двигателя – около 12 т. Взлет ракеты А6 должен был осуществляться вертикально. После отключения ракетного двигателя в работу вступал воздушно-реактивный двигатель. Ракета переходила в горизонтальный полет, который осуществляла в течение 15–20 минут. Приземление совершалось по-самолетному – с помощью выпускаемого колесного шасси. Для уменьшения длины разбега предусматривался тормозной парашют. Концепция ракеты А6 была после Второй мировой войны реализована в американском проекте Х15.</w:t>
      </w:r>
    </w:p>
    <w:p w14:paraId="7F06BB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Проект ракеты А7 был вариантом ракеты А6, но с дельтовидным крылом. Расчетный радиус действия составлял 800 км, высота полета – 95 км. В. фон Браун предлагал этот проект в качестве сверхзвукового перехватчика. Ракета А7 должна была запускаться с самолета. Однако руководство люфтваффе отвергло это предложение.</w:t>
      </w:r>
    </w:p>
    <w:p w14:paraId="4053CF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Интересно, что планы производства ракеты А4b существовали еще в 1941 г. По поручению фон Брауна известный германский ракетчик Г. Оберт подготовил такие расчеты. Но тогда, как мы говорили выше, был востребован более реалистичный проект – баллистическая ракета А4.</w:t>
      </w:r>
    </w:p>
    <w:p w14:paraId="6A56DAA2" w14:textId="77777777" w:rsidR="00C2313B" w:rsidRPr="00925F26" w:rsidRDefault="00C2313B" w:rsidP="00925F26">
      <w:pPr>
        <w:autoSpaceDE w:val="0"/>
        <w:autoSpaceDN w:val="0"/>
        <w:adjustRightInd w:val="0"/>
        <w:jc w:val="both"/>
        <w:rPr>
          <w:color w:val="000000" w:themeColor="text1"/>
          <w:sz w:val="16"/>
          <w:szCs w:val="16"/>
        </w:rPr>
      </w:pPr>
    </w:p>
    <w:p w14:paraId="06A5828A" w14:textId="77777777" w:rsidR="0058703C" w:rsidRPr="00925F26" w:rsidRDefault="0058703C" w:rsidP="00925F26">
      <w:pPr>
        <w:jc w:val="both"/>
        <w:rPr>
          <w:color w:val="000000" w:themeColor="text1"/>
          <w:sz w:val="16"/>
          <w:szCs w:val="16"/>
        </w:rPr>
      </w:pPr>
      <w:r w:rsidRPr="00925F26">
        <w:rPr>
          <w:color w:val="000000" w:themeColor="text1"/>
          <w:sz w:val="16"/>
          <w:szCs w:val="16"/>
        </w:rPr>
        <w:t>В начале 1945 года машина EE223/G использовалась для испытаний двигателей W.2B/37 «Дервент», с которыми максимальная скорость увеличилась до 748 км/ч (23379).</w:t>
      </w:r>
    </w:p>
    <w:p w14:paraId="168DAA99" w14:textId="77777777" w:rsidR="0058703C" w:rsidRPr="00925F26" w:rsidRDefault="0058703C" w:rsidP="00925F26">
      <w:pPr>
        <w:jc w:val="both"/>
        <w:rPr>
          <w:color w:val="000000" w:themeColor="text1"/>
          <w:sz w:val="16"/>
          <w:szCs w:val="16"/>
        </w:rPr>
      </w:pPr>
    </w:p>
    <w:p w14:paraId="210E74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РЛС группы американских кораблей, готовившихся к вторжению на Окинаву и продвигавшихся вдоль архипелага Нансей-Шото обнаружили 200-300 объектов, двигавшихся со скоростью 1600 км/час на высоте 600 м. Самолеты, поднятые с авианосцев, проследовали сквозь них ничего не заметив (3712).</w:t>
      </w:r>
    </w:p>
    <w:p w14:paraId="42A30721" w14:textId="77777777" w:rsidR="00C2313B" w:rsidRPr="00925F26" w:rsidRDefault="00C2313B" w:rsidP="00925F26">
      <w:pPr>
        <w:autoSpaceDE w:val="0"/>
        <w:autoSpaceDN w:val="0"/>
        <w:adjustRightInd w:val="0"/>
        <w:jc w:val="both"/>
        <w:rPr>
          <w:color w:val="000000" w:themeColor="text1"/>
          <w:sz w:val="16"/>
          <w:szCs w:val="16"/>
        </w:rPr>
      </w:pPr>
    </w:p>
    <w:p w14:paraId="03555B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по решению армейского командования фирма «Накадзима» стала разрабатывать специальный одноместный штурмовой самолет. Самолет получил название Цуруги и должен был быть максимально простым в производстве, обслуживании и управлении. По проекту на нем могли использоваться любые моторы, имевшиеся в наличии. После взлета неубирающиеся стойки шасси должны были сбрасываться. Под крыльями для резкого увеличения скорости пикирования предполагалось установить два твердотопливных ракетных ускорителя. Планировалось быстро организовать массовое производство «летающей бомбы» на многочисленных мелких предприятиях. Уже в марте 1945 г. Цуруги совершил первый полет. Доводка самолета продолжалась до середины июня, после чего поступил заказ на постройку 104 штурмовиков. Дальнейшим развитием самолета Цу руги стали варианты Кi115 Оцу и Кi230. В боевых действиях самолеты участия не приняли (11686).</w:t>
      </w:r>
    </w:p>
    <w:p w14:paraId="7C94AD50" w14:textId="77777777" w:rsidR="00C2313B" w:rsidRPr="00925F26" w:rsidRDefault="00C2313B" w:rsidP="00925F26">
      <w:pPr>
        <w:autoSpaceDE w:val="0"/>
        <w:autoSpaceDN w:val="0"/>
        <w:adjustRightInd w:val="0"/>
        <w:jc w:val="both"/>
        <w:rPr>
          <w:color w:val="000000" w:themeColor="text1"/>
          <w:sz w:val="16"/>
          <w:szCs w:val="16"/>
        </w:rPr>
      </w:pPr>
    </w:p>
    <w:p w14:paraId="6EC9D118" w14:textId="77777777" w:rsidR="00573476" w:rsidRPr="00925F26" w:rsidRDefault="00573476" w:rsidP="00925F26">
      <w:pPr>
        <w:jc w:val="both"/>
        <w:rPr>
          <w:color w:val="000000" w:themeColor="text1"/>
          <w:sz w:val="16"/>
          <w:szCs w:val="16"/>
        </w:rPr>
      </w:pPr>
      <w:r w:rsidRPr="00925F26">
        <w:rPr>
          <w:color w:val="000000" w:themeColor="text1"/>
          <w:sz w:val="16"/>
          <w:szCs w:val="16"/>
        </w:rPr>
        <w:t>В начале 1945 г. в единственном образце был построен построен Р-63Э. «Автомобильные» двери пилотской кабины нравились не всем; многие лётчики считали, что они усложняют покидание машины в аварийной ситуации. Во всяком случае, англичане на истребителе «Тайфун» от них со временем отказались, перейдя на традиционного типа фонарь со сдвигающейся назад секцией остекления. То же самое попытались проделать и с «Кингкоброй». Модификация Э получила фонарь кругового обзора, состоявший из неподвижного трёхгранного козырька и беспереплётной задней части, сдвигавшейся по направляющим. В аварийной ситуации задняя часть сбрасывалась.</w:t>
      </w:r>
    </w:p>
    <w:p w14:paraId="4F678060" w14:textId="77777777" w:rsidR="00573476" w:rsidRPr="00925F26" w:rsidRDefault="00573476" w:rsidP="00925F26">
      <w:pPr>
        <w:jc w:val="both"/>
        <w:rPr>
          <w:color w:val="000000" w:themeColor="text1"/>
          <w:sz w:val="16"/>
          <w:szCs w:val="16"/>
        </w:rPr>
      </w:pPr>
      <w:r w:rsidRPr="00925F26">
        <w:rPr>
          <w:color w:val="000000" w:themeColor="text1"/>
          <w:sz w:val="16"/>
          <w:szCs w:val="16"/>
        </w:rPr>
        <w:t>Самолёт получил мотор \/-1710-109 мощностью 1425 л.с. Ппанёр в целом соответствовал Р-63А, но размах крыла увеличили на 254 мм. Гребень под хвостовой частью фюзепяжа отсутствовал. На испытаниях ХР-630 показал максимальную скорость 703 км/ч. Но единственный построенный экземпляр этой модификации потерпел катастрофу, не выйдя из пикирования; испытатель Р. Боршерт погиб.</w:t>
      </w:r>
    </w:p>
    <w:p w14:paraId="50B4CA0D" w14:textId="77777777" w:rsidR="00573476" w:rsidRPr="00925F26" w:rsidRDefault="00573476" w:rsidP="00925F26">
      <w:pPr>
        <w:jc w:val="both"/>
        <w:rPr>
          <w:color w:val="000000" w:themeColor="text1"/>
          <w:sz w:val="16"/>
          <w:szCs w:val="16"/>
        </w:rPr>
      </w:pPr>
      <w:r w:rsidRPr="00925F26">
        <w:rPr>
          <w:color w:val="000000" w:themeColor="text1"/>
          <w:sz w:val="16"/>
          <w:szCs w:val="16"/>
        </w:rPr>
        <w:t>За этой машиной последовала небольшая серия из 13 самолётов Р-63Е-1, именовавшихся конструкторами «модель 41». Они сочетали новые крыло и мо-тоустановку со стандартной кабиной с «автомобильными» дверями. Пушечно- пулемётное и бомбовое вооружение дополнялось связками трубчатых направляющих для неуправляемых ракет, как у типа А-10. Эти истребители вывели на испытания к маю 1945 г. Хотя максимальный взлётный вес достиг 5085 кг, лётные данные оказались весьма высокими. Модификация считалась очень перспективной, и военные заказали сразу 2930 экземпляров. Но к моменту подготовки массового производства война подошла к концу, и контракты расторгли.</w:t>
      </w:r>
    </w:p>
    <w:p w14:paraId="42B83322" w14:textId="77777777" w:rsidR="00573476" w:rsidRPr="00925F26" w:rsidRDefault="00573476" w:rsidP="00925F26">
      <w:pPr>
        <w:jc w:val="both"/>
        <w:rPr>
          <w:color w:val="000000" w:themeColor="text1"/>
          <w:sz w:val="16"/>
          <w:szCs w:val="16"/>
        </w:rPr>
      </w:pPr>
      <w:r w:rsidRPr="00925F26">
        <w:rPr>
          <w:color w:val="000000" w:themeColor="text1"/>
          <w:sz w:val="16"/>
          <w:szCs w:val="16"/>
        </w:rPr>
        <w:t>Дальнейшим развитием варианта Е стала модификация Р-63Р. На ней изменили вертикальное оперение, вытянув его вверх и снабдив форкилем. Подфю- зеляжный гребень тоже присутствовал. Самолёт получил двигатель N/-1710-135 мощностью 1425 л.с. Система впрыска воды позволяла кратковременно форсировать его до 1800 л.с. Эту машину изготовили в двух экземплярах (12265).</w:t>
      </w:r>
    </w:p>
    <w:p w14:paraId="2F8E7419" w14:textId="77777777" w:rsidR="00573476" w:rsidRPr="00925F26" w:rsidRDefault="00573476" w:rsidP="00925F26">
      <w:pPr>
        <w:jc w:val="both"/>
        <w:rPr>
          <w:color w:val="000000" w:themeColor="text1"/>
          <w:sz w:val="16"/>
          <w:szCs w:val="16"/>
        </w:rPr>
      </w:pPr>
    </w:p>
    <w:p w14:paraId="206C6D4E" w14:textId="77777777" w:rsidR="001C340E" w:rsidRPr="00925F26" w:rsidRDefault="001C340E" w:rsidP="001C340E">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AA9FE4F" w14:textId="77777777" w:rsidR="001C340E" w:rsidRPr="00925F26" w:rsidRDefault="001C340E" w:rsidP="001C340E">
      <w:pPr>
        <w:autoSpaceDE w:val="0"/>
        <w:autoSpaceDN w:val="0"/>
        <w:adjustRightInd w:val="0"/>
        <w:jc w:val="both"/>
        <w:rPr>
          <w:iCs/>
          <w:color w:val="000000" w:themeColor="text1"/>
          <w:sz w:val="16"/>
          <w:szCs w:val="16"/>
        </w:rPr>
      </w:pPr>
    </w:p>
    <w:p w14:paraId="6F973550" w14:textId="77777777" w:rsidR="001C340E" w:rsidRPr="001A0BAA" w:rsidRDefault="001C340E" w:rsidP="001C340E">
      <w:pPr>
        <w:jc w:val="both"/>
        <w:rPr>
          <w:color w:val="0070C0"/>
          <w:sz w:val="16"/>
          <w:szCs w:val="16"/>
        </w:rPr>
      </w:pPr>
      <w:r w:rsidRPr="001A0BAA">
        <w:rPr>
          <w:color w:val="0070C0"/>
          <w:sz w:val="16"/>
          <w:szCs w:val="16"/>
        </w:rPr>
        <w:t>Зимой-весной 1945 года на ИС-6 - Объекте 252 отрабатывали гидро-сервопривод планетарного механизма поворота. Также продолжались работы по модернизированным опорным каткам. Их увеличили в диаметре до 800 мм, а конструкция больше напоминала опорный каток ИС-2. Тем не менее, было очевидно, что танк не получился. Поэтому в дальнейшем начались работы над принципиально новым танком - ИС-7 (Объект 257). В его облике хорошо угадывался предшественник, хотя сама по себе концепция танка заметно изменилась (25682).</w:t>
      </w:r>
    </w:p>
    <w:p w14:paraId="16E53F04" w14:textId="77777777" w:rsidR="001C340E" w:rsidRPr="001A0BAA" w:rsidRDefault="001C340E" w:rsidP="001C340E">
      <w:pPr>
        <w:jc w:val="both"/>
        <w:rPr>
          <w:color w:val="0070C0"/>
          <w:sz w:val="16"/>
          <w:szCs w:val="16"/>
        </w:rPr>
      </w:pPr>
    </w:p>
    <w:p w14:paraId="0708A74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Авиапромышленность:</w:t>
      </w:r>
    </w:p>
    <w:p w14:paraId="7205C0C7" w14:textId="77777777" w:rsidR="00C2313B" w:rsidRPr="00925F26" w:rsidRDefault="00C2313B" w:rsidP="00925F26">
      <w:pPr>
        <w:autoSpaceDE w:val="0"/>
        <w:autoSpaceDN w:val="0"/>
        <w:adjustRightInd w:val="0"/>
        <w:jc w:val="both"/>
        <w:rPr>
          <w:iCs/>
          <w:color w:val="000000" w:themeColor="text1"/>
          <w:sz w:val="16"/>
          <w:szCs w:val="16"/>
        </w:rPr>
      </w:pPr>
    </w:p>
    <w:p w14:paraId="61C193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февралю 1945 г. авиазаводами № 1 и 30 было выпущено всего 800 комп</w:t>
      </w:r>
      <w:r w:rsidRPr="00925F26">
        <w:rPr>
          <w:color w:val="000000" w:themeColor="text1"/>
          <w:sz w:val="16"/>
          <w:szCs w:val="16"/>
        </w:rPr>
        <w:softHyphen/>
        <w:t>лектов ремонтного варианта бронекор</w:t>
      </w:r>
      <w:r w:rsidRPr="00925F26">
        <w:rPr>
          <w:color w:val="000000" w:themeColor="text1"/>
          <w:sz w:val="16"/>
          <w:szCs w:val="16"/>
        </w:rPr>
        <w:softHyphen/>
        <w:t>пуса Ил-2 (300 и 500 соответственно).</w:t>
      </w:r>
    </w:p>
    <w:p w14:paraId="5A4EC1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частях штурмовой авиации поле</w:t>
      </w:r>
      <w:r w:rsidRPr="00925F26">
        <w:rPr>
          <w:color w:val="000000" w:themeColor="text1"/>
          <w:sz w:val="16"/>
          <w:szCs w:val="16"/>
        </w:rPr>
        <w:softHyphen/>
        <w:t>вой вариант дополнительного брониро</w:t>
      </w:r>
      <w:r w:rsidRPr="00925F26">
        <w:rPr>
          <w:color w:val="000000" w:themeColor="text1"/>
          <w:sz w:val="16"/>
          <w:szCs w:val="16"/>
        </w:rPr>
        <w:softHyphen/>
        <w:t>вания Ил-2 встретили "на ура". Первые же бои показали его высокую эффек</w:t>
      </w:r>
      <w:r w:rsidRPr="00925F26">
        <w:rPr>
          <w:color w:val="000000" w:themeColor="text1"/>
          <w:sz w:val="16"/>
          <w:szCs w:val="16"/>
        </w:rPr>
        <w:softHyphen/>
        <w:t>тивность. Броня хорошо защищала воз</w:t>
      </w:r>
      <w:r w:rsidRPr="00925F26">
        <w:rPr>
          <w:color w:val="000000" w:themeColor="text1"/>
          <w:sz w:val="16"/>
          <w:szCs w:val="16"/>
        </w:rPr>
        <w:softHyphen/>
        <w:t xml:space="preserve">душного стрелка. Например, в 311 -и </w:t>
      </w:r>
      <w:r w:rsidRPr="00925F26">
        <w:rPr>
          <w:iCs/>
          <w:color w:val="000000" w:themeColor="text1"/>
          <w:sz w:val="16"/>
          <w:szCs w:val="16"/>
        </w:rPr>
        <w:t xml:space="preserve">шад </w:t>
      </w:r>
      <w:r w:rsidRPr="00925F26">
        <w:rPr>
          <w:color w:val="000000" w:themeColor="text1"/>
          <w:sz w:val="16"/>
          <w:szCs w:val="16"/>
        </w:rPr>
        <w:t>1 -и ВА был случай, когда в кабину стрел</w:t>
      </w:r>
      <w:r w:rsidRPr="00925F26">
        <w:rPr>
          <w:color w:val="000000" w:themeColor="text1"/>
          <w:sz w:val="16"/>
          <w:szCs w:val="16"/>
        </w:rPr>
        <w:softHyphen/>
        <w:t>ка попали два 20-мм снаряда, но стре</w:t>
      </w:r>
      <w:r w:rsidRPr="00925F26">
        <w:rPr>
          <w:color w:val="000000" w:themeColor="text1"/>
          <w:sz w:val="16"/>
          <w:szCs w:val="16"/>
        </w:rPr>
        <w:softHyphen/>
        <w:t>лок остался жив (6467).</w:t>
      </w:r>
    </w:p>
    <w:p w14:paraId="1A665DBC" w14:textId="77777777" w:rsidR="00C2313B" w:rsidRPr="00925F26" w:rsidRDefault="00C2313B" w:rsidP="00925F26">
      <w:pPr>
        <w:autoSpaceDE w:val="0"/>
        <w:autoSpaceDN w:val="0"/>
        <w:adjustRightInd w:val="0"/>
        <w:jc w:val="both"/>
        <w:rPr>
          <w:color w:val="000000" w:themeColor="text1"/>
          <w:sz w:val="16"/>
          <w:szCs w:val="16"/>
        </w:rPr>
      </w:pPr>
    </w:p>
    <w:p w14:paraId="6426A387" w14:textId="77777777" w:rsidR="00712FB3" w:rsidRPr="00925F26" w:rsidRDefault="00712FB3" w:rsidP="00925F26">
      <w:pPr>
        <w:jc w:val="both"/>
        <w:rPr>
          <w:color w:val="000000" w:themeColor="text1"/>
          <w:sz w:val="16"/>
          <w:szCs w:val="16"/>
        </w:rPr>
      </w:pPr>
      <w:r w:rsidRPr="00925F26">
        <w:rPr>
          <w:color w:val="000000" w:themeColor="text1"/>
          <w:sz w:val="16"/>
          <w:szCs w:val="16"/>
        </w:rPr>
        <w:t>К февралю 1945 г. было выпущено 800 комплектов дополнительной брони для стрелка Ил-2, а к концу года в строевые части поступило 593 Ил-2 с удлиненным бронекорпусом.</w:t>
      </w:r>
    </w:p>
    <w:p w14:paraId="395C4EA8"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Штурмовики с «длинным» бронекорпусом на фронт не попали, но дополни</w:t>
      </w:r>
      <w:r w:rsidRPr="00925F26">
        <w:rPr>
          <w:rFonts w:ascii="Times New Roman" w:hAnsi="Times New Roman" w:cs="Times New Roman"/>
          <w:color w:val="000000" w:themeColor="text1"/>
          <w:sz w:val="16"/>
          <w:szCs w:val="16"/>
        </w:rPr>
        <w:softHyphen/>
        <w:t>тельная броня стрелка была испытана в боях. С октября 1944 г. по март 1945 г. в частях 1,3,4 и 15 ВА было установлено 303 комплекта дополнительного брони</w:t>
      </w:r>
      <w:r w:rsidRPr="00925F26">
        <w:rPr>
          <w:rFonts w:ascii="Times New Roman" w:hAnsi="Times New Roman" w:cs="Times New Roman"/>
          <w:color w:val="000000" w:themeColor="text1"/>
          <w:sz w:val="16"/>
          <w:szCs w:val="16"/>
        </w:rPr>
        <w:softHyphen/>
        <w:t>рования.</w:t>
      </w:r>
    </w:p>
    <w:p w14:paraId="254249FE"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 сожалению, без проблем не обо</w:t>
      </w:r>
      <w:r w:rsidRPr="00925F26">
        <w:rPr>
          <w:rFonts w:ascii="Times New Roman" w:hAnsi="Times New Roman" w:cs="Times New Roman"/>
          <w:color w:val="000000" w:themeColor="text1"/>
          <w:sz w:val="16"/>
          <w:szCs w:val="16"/>
        </w:rPr>
        <w:softHyphen/>
        <w:t>шлось. Как докладывал начальник отде</w:t>
      </w:r>
      <w:r w:rsidRPr="00925F26">
        <w:rPr>
          <w:rFonts w:ascii="Times New Roman" w:hAnsi="Times New Roman" w:cs="Times New Roman"/>
          <w:color w:val="000000" w:themeColor="text1"/>
          <w:sz w:val="16"/>
          <w:szCs w:val="16"/>
        </w:rPr>
        <w:softHyphen/>
        <w:t>ления материалов УОС ГУ ИАС ВВС инже</w:t>
      </w:r>
      <w:r w:rsidRPr="00925F26">
        <w:rPr>
          <w:rFonts w:ascii="Times New Roman" w:hAnsi="Times New Roman" w:cs="Times New Roman"/>
          <w:color w:val="000000" w:themeColor="text1"/>
          <w:sz w:val="16"/>
          <w:szCs w:val="16"/>
        </w:rPr>
        <w:softHyphen/>
        <w:t>нер-подполковник Огилько, «в противо</w:t>
      </w:r>
      <w:r w:rsidRPr="00925F26">
        <w:rPr>
          <w:rFonts w:ascii="Times New Roman" w:hAnsi="Times New Roman" w:cs="Times New Roman"/>
          <w:color w:val="000000" w:themeColor="text1"/>
          <w:sz w:val="16"/>
          <w:szCs w:val="16"/>
        </w:rPr>
        <w:softHyphen/>
        <w:t>положность заключению ГК НИИ ВВС по</w:t>
      </w:r>
      <w:r w:rsidRPr="00925F26">
        <w:rPr>
          <w:rFonts w:ascii="Times New Roman" w:hAnsi="Times New Roman" w:cs="Times New Roman"/>
          <w:color w:val="000000" w:themeColor="text1"/>
          <w:sz w:val="16"/>
          <w:szCs w:val="16"/>
        </w:rPr>
        <w:softHyphen/>
        <w:t>чти весь летный состав частей отмечает ухудшение маневренности и взлетных качеств самолетов Ил-2 с дополнитель</w:t>
      </w:r>
      <w:r w:rsidRPr="00925F26">
        <w:rPr>
          <w:rFonts w:ascii="Times New Roman" w:hAnsi="Times New Roman" w:cs="Times New Roman"/>
          <w:color w:val="000000" w:themeColor="text1"/>
          <w:sz w:val="16"/>
          <w:szCs w:val="16"/>
        </w:rPr>
        <w:softHyphen/>
        <w:t>ной броней, особенно при работе на пло</w:t>
      </w:r>
      <w:r w:rsidRPr="00925F26">
        <w:rPr>
          <w:rFonts w:ascii="Times New Roman" w:hAnsi="Times New Roman" w:cs="Times New Roman"/>
          <w:color w:val="000000" w:themeColor="text1"/>
          <w:sz w:val="16"/>
          <w:szCs w:val="16"/>
        </w:rPr>
        <w:softHyphen/>
        <w:t>хих аэродромах и на старой материаль</w:t>
      </w:r>
      <w:r w:rsidRPr="00925F26">
        <w:rPr>
          <w:rFonts w:ascii="Times New Roman" w:hAnsi="Times New Roman" w:cs="Times New Roman"/>
          <w:color w:val="000000" w:themeColor="text1"/>
          <w:sz w:val="16"/>
          <w:szCs w:val="16"/>
        </w:rPr>
        <w:softHyphen/>
        <w:t>ной части».</w:t>
      </w:r>
    </w:p>
    <w:p w14:paraId="7B1D4945"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некоторых самолетах установка дополнительной брони настолько ухуд</w:t>
      </w:r>
      <w:r w:rsidRPr="00925F26">
        <w:rPr>
          <w:rFonts w:ascii="Times New Roman" w:hAnsi="Times New Roman" w:cs="Times New Roman"/>
          <w:color w:val="000000" w:themeColor="text1"/>
          <w:sz w:val="16"/>
          <w:szCs w:val="16"/>
        </w:rPr>
        <w:softHyphen/>
        <w:t>шила летные качества, «что даже вы</w:t>
      </w:r>
      <w:r w:rsidRPr="00925F26">
        <w:rPr>
          <w:rFonts w:ascii="Times New Roman" w:hAnsi="Times New Roman" w:cs="Times New Roman"/>
          <w:color w:val="000000" w:themeColor="text1"/>
          <w:sz w:val="16"/>
          <w:szCs w:val="16"/>
        </w:rPr>
        <w:softHyphen/>
        <w:t>сококвалифицированные летчики 76-го гшап (имевшего в своем составе 16 Героев Советского Союза), работав</w:t>
      </w:r>
      <w:r w:rsidRPr="00925F26">
        <w:rPr>
          <w:rFonts w:ascii="Times New Roman" w:hAnsi="Times New Roman" w:cs="Times New Roman"/>
          <w:color w:val="000000" w:themeColor="text1"/>
          <w:sz w:val="16"/>
          <w:szCs w:val="16"/>
        </w:rPr>
        <w:softHyphen/>
        <w:t>шие прежде ночными штурмовиками, от этих самолетов отказывались». Более того, после неоднократных требований летного состава старший инженер диви</w:t>
      </w:r>
      <w:r w:rsidRPr="00925F26">
        <w:rPr>
          <w:rFonts w:ascii="Times New Roman" w:hAnsi="Times New Roman" w:cs="Times New Roman"/>
          <w:color w:val="000000" w:themeColor="text1"/>
          <w:sz w:val="16"/>
          <w:szCs w:val="16"/>
        </w:rPr>
        <w:softHyphen/>
        <w:t>зии инженер-полковник Поляков вынуж</w:t>
      </w:r>
      <w:r w:rsidRPr="00925F26">
        <w:rPr>
          <w:rFonts w:ascii="Times New Roman" w:hAnsi="Times New Roman" w:cs="Times New Roman"/>
          <w:color w:val="000000" w:themeColor="text1"/>
          <w:sz w:val="16"/>
          <w:szCs w:val="16"/>
        </w:rPr>
        <w:softHyphen/>
        <w:t>ден был на Ил-2 зав. №303156 броню стрелка снять.</w:t>
      </w:r>
    </w:p>
    <w:p w14:paraId="2D90DE85"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Летчики в один голос утверждали, что Ил-2 с дополнительной броней теряют управляемость при значительно меньших повреждениях, чем самолеты без брони стрелка.</w:t>
      </w:r>
    </w:p>
    <w:p w14:paraId="29B550EF"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Не было зафиксировано ни одного случая, чтобы Ил-2 с дополнительным бронированием при серьезных повре</w:t>
      </w:r>
      <w:r w:rsidRPr="00925F26">
        <w:rPr>
          <w:rFonts w:ascii="Times New Roman" w:hAnsi="Times New Roman" w:cs="Times New Roman"/>
          <w:color w:val="000000" w:themeColor="text1"/>
          <w:sz w:val="16"/>
          <w:szCs w:val="16"/>
        </w:rPr>
        <w:softHyphen/>
        <w:t>ждениях хвостовой части самолета (ста</w:t>
      </w:r>
      <w:r w:rsidRPr="00925F26">
        <w:rPr>
          <w:rFonts w:ascii="Times New Roman" w:hAnsi="Times New Roman" w:cs="Times New Roman"/>
          <w:color w:val="000000" w:themeColor="text1"/>
          <w:sz w:val="16"/>
          <w:szCs w:val="16"/>
        </w:rPr>
        <w:softHyphen/>
        <w:t>билизатора и рулей глубины) сделал нор</w:t>
      </w:r>
      <w:r w:rsidRPr="00925F26">
        <w:rPr>
          <w:rFonts w:ascii="Times New Roman" w:hAnsi="Times New Roman" w:cs="Times New Roman"/>
          <w:color w:val="000000" w:themeColor="text1"/>
          <w:sz w:val="16"/>
          <w:szCs w:val="16"/>
        </w:rPr>
        <w:softHyphen/>
        <w:t>мальную посадку, в то время как на «нор</w:t>
      </w:r>
      <w:r w:rsidRPr="00925F26">
        <w:rPr>
          <w:rFonts w:ascii="Times New Roman" w:hAnsi="Times New Roman" w:cs="Times New Roman"/>
          <w:color w:val="000000" w:themeColor="text1"/>
          <w:sz w:val="16"/>
          <w:szCs w:val="16"/>
        </w:rPr>
        <w:softHyphen/>
        <w:t>мальных» Ил-2 такие посадки исчисля</w:t>
      </w:r>
      <w:r w:rsidRPr="00925F26">
        <w:rPr>
          <w:rFonts w:ascii="Times New Roman" w:hAnsi="Times New Roman" w:cs="Times New Roman"/>
          <w:color w:val="000000" w:themeColor="text1"/>
          <w:sz w:val="16"/>
          <w:szCs w:val="16"/>
        </w:rPr>
        <w:softHyphen/>
        <w:t>лись сотнями.</w:t>
      </w:r>
    </w:p>
    <w:p w14:paraId="2BEEB8A4"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Так, в 1-й и 4-й ВА из 78 Ил-2 с до</w:t>
      </w:r>
      <w:r w:rsidRPr="00925F26">
        <w:rPr>
          <w:rFonts w:ascii="Times New Roman" w:hAnsi="Times New Roman" w:cs="Times New Roman"/>
          <w:color w:val="000000" w:themeColor="text1"/>
          <w:sz w:val="16"/>
          <w:szCs w:val="16"/>
        </w:rPr>
        <w:softHyphen/>
        <w:t>полнительной броней 44 машины были потеряны в боях, из них только четыре Ил-2 были сбиты над целью, осталь</w:t>
      </w:r>
      <w:r w:rsidRPr="00925F26">
        <w:rPr>
          <w:rFonts w:ascii="Times New Roman" w:hAnsi="Times New Roman" w:cs="Times New Roman"/>
          <w:color w:val="000000" w:themeColor="text1"/>
          <w:sz w:val="16"/>
          <w:szCs w:val="16"/>
        </w:rPr>
        <w:softHyphen/>
        <w:t>ные - подбиты и затем разбиты при вынужденных посадках из-за плохой управляемости, причем два самолета при подходе к своему аэродрому пере</w:t>
      </w:r>
      <w:r w:rsidRPr="00925F26">
        <w:rPr>
          <w:rFonts w:ascii="Times New Roman" w:hAnsi="Times New Roman" w:cs="Times New Roman"/>
          <w:color w:val="000000" w:themeColor="text1"/>
          <w:sz w:val="16"/>
          <w:szCs w:val="16"/>
        </w:rPr>
        <w:softHyphen/>
        <w:t>вернулись в воздухе.</w:t>
      </w:r>
    </w:p>
    <w:p w14:paraId="002E40ED"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Тем не менее, по единодушному мне</w:t>
      </w:r>
      <w:r w:rsidRPr="00925F26">
        <w:rPr>
          <w:rFonts w:ascii="Times New Roman" w:hAnsi="Times New Roman" w:cs="Times New Roman"/>
          <w:color w:val="000000" w:themeColor="text1"/>
          <w:sz w:val="16"/>
          <w:szCs w:val="16"/>
        </w:rPr>
        <w:softHyphen/>
        <w:t>нию летного состава полевой комплект „ дополнительной брони на Ил-2 необхо</w:t>
      </w:r>
      <w:r w:rsidRPr="00925F26">
        <w:rPr>
          <w:rFonts w:ascii="Times New Roman" w:hAnsi="Times New Roman" w:cs="Times New Roman"/>
          <w:color w:val="000000" w:themeColor="text1"/>
          <w:sz w:val="16"/>
          <w:szCs w:val="16"/>
        </w:rPr>
        <w:softHyphen/>
        <w:t>дим, «так как процент раненых воздуш</w:t>
      </w:r>
      <w:r w:rsidRPr="00925F26">
        <w:rPr>
          <w:rFonts w:ascii="Times New Roman" w:hAnsi="Times New Roman" w:cs="Times New Roman"/>
          <w:color w:val="000000" w:themeColor="text1"/>
          <w:sz w:val="16"/>
          <w:szCs w:val="16"/>
        </w:rPr>
        <w:softHyphen/>
        <w:t>ных стрелков на других самолетах очень велик», но требовалось сохранить цент</w:t>
      </w:r>
      <w:r w:rsidRPr="00925F26">
        <w:rPr>
          <w:rFonts w:ascii="Times New Roman" w:hAnsi="Times New Roman" w:cs="Times New Roman"/>
          <w:color w:val="000000" w:themeColor="text1"/>
          <w:sz w:val="16"/>
          <w:szCs w:val="16"/>
        </w:rPr>
        <w:softHyphen/>
        <w:t>ровку самолета на прежнем уровне, на</w:t>
      </w:r>
      <w:r w:rsidRPr="00925F26">
        <w:rPr>
          <w:rFonts w:ascii="Times New Roman" w:hAnsi="Times New Roman" w:cs="Times New Roman"/>
          <w:color w:val="000000" w:themeColor="text1"/>
          <w:sz w:val="16"/>
          <w:szCs w:val="16"/>
        </w:rPr>
        <w:softHyphen/>
        <w:t>пример, «путем уменьшения боковых плит кабины воздушного стрелка».</w:t>
      </w:r>
    </w:p>
    <w:p w14:paraId="097D734E" w14:textId="77777777" w:rsidR="00712FB3" w:rsidRPr="00925F26" w:rsidRDefault="00712FB3" w:rsidP="00925F26">
      <w:pPr>
        <w:pStyle w:val="184"/>
        <w:shd w:val="clear" w:color="auto" w:fill="auto"/>
        <w:spacing w:before="0" w:after="0"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Анализ случившегося показал, что в отличие от строевых частей, государст</w:t>
      </w:r>
      <w:r w:rsidRPr="00925F26">
        <w:rPr>
          <w:rFonts w:ascii="Times New Roman" w:hAnsi="Times New Roman" w:cs="Times New Roman"/>
          <w:color w:val="000000" w:themeColor="text1"/>
          <w:sz w:val="16"/>
          <w:szCs w:val="16"/>
        </w:rPr>
        <w:softHyphen/>
        <w:t>венные испытания Ил-2 с дополнитель</w:t>
      </w:r>
      <w:r w:rsidRPr="00925F26">
        <w:rPr>
          <w:rFonts w:ascii="Times New Roman" w:hAnsi="Times New Roman" w:cs="Times New Roman"/>
          <w:color w:val="000000" w:themeColor="text1"/>
          <w:sz w:val="16"/>
          <w:szCs w:val="16"/>
        </w:rPr>
        <w:softHyphen/>
        <w:t>ной броней проводились с хороших аэро</w:t>
      </w:r>
      <w:r w:rsidRPr="00925F26">
        <w:rPr>
          <w:rFonts w:ascii="Times New Roman" w:hAnsi="Times New Roman" w:cs="Times New Roman"/>
          <w:color w:val="000000" w:themeColor="text1"/>
          <w:sz w:val="16"/>
          <w:szCs w:val="16"/>
        </w:rPr>
        <w:softHyphen/>
        <w:t>дромов и на совершенно новой матери</w:t>
      </w:r>
      <w:r w:rsidRPr="00925F26">
        <w:rPr>
          <w:rFonts w:ascii="Times New Roman" w:hAnsi="Times New Roman" w:cs="Times New Roman"/>
          <w:color w:val="000000" w:themeColor="text1"/>
          <w:sz w:val="16"/>
          <w:szCs w:val="16"/>
        </w:rPr>
        <w:softHyphen/>
        <w:t>альной части. К тому же «ГК НИИ ВВС КА не мог учесть влияние различных повре</w:t>
      </w:r>
      <w:r w:rsidRPr="00925F26">
        <w:rPr>
          <w:rFonts w:ascii="Times New Roman" w:hAnsi="Times New Roman" w:cs="Times New Roman"/>
          <w:color w:val="000000" w:themeColor="text1"/>
          <w:sz w:val="16"/>
          <w:szCs w:val="16"/>
        </w:rPr>
        <w:softHyphen/>
        <w:t>ждений матчасти на управляемость само</w:t>
      </w:r>
      <w:r w:rsidRPr="00925F26">
        <w:rPr>
          <w:rFonts w:ascii="Times New Roman" w:hAnsi="Times New Roman" w:cs="Times New Roman"/>
          <w:color w:val="000000" w:themeColor="text1"/>
          <w:sz w:val="16"/>
          <w:szCs w:val="16"/>
        </w:rPr>
        <w:softHyphen/>
        <w:t>летов Ил-2 с дополнительной броней и без нее, что для самолетов Ил-2 по усло</w:t>
      </w:r>
      <w:r w:rsidRPr="00925F26">
        <w:rPr>
          <w:rFonts w:ascii="Times New Roman" w:hAnsi="Times New Roman" w:cs="Times New Roman"/>
          <w:color w:val="000000" w:themeColor="text1"/>
          <w:sz w:val="16"/>
          <w:szCs w:val="16"/>
        </w:rPr>
        <w:softHyphen/>
        <w:t>виям их боевой работы имеет особое зна</w:t>
      </w:r>
      <w:r w:rsidRPr="00925F26">
        <w:rPr>
          <w:rFonts w:ascii="Times New Roman" w:hAnsi="Times New Roman" w:cs="Times New Roman"/>
          <w:color w:val="000000" w:themeColor="text1"/>
          <w:sz w:val="16"/>
          <w:szCs w:val="16"/>
        </w:rPr>
        <w:softHyphen/>
        <w:t>чение» (19558).</w:t>
      </w:r>
    </w:p>
    <w:p w14:paraId="2CBD3B73" w14:textId="77777777" w:rsidR="00712FB3" w:rsidRPr="00925F26" w:rsidRDefault="00712FB3" w:rsidP="00925F26">
      <w:pPr>
        <w:jc w:val="both"/>
        <w:rPr>
          <w:rStyle w:val="9pt80"/>
          <w:rFonts w:ascii="Times New Roman" w:hAnsi="Times New Roman" w:cs="Times New Roman"/>
          <w:color w:val="000000" w:themeColor="text1"/>
          <w:w w:val="100"/>
          <w:sz w:val="16"/>
          <w:szCs w:val="16"/>
        </w:rPr>
      </w:pPr>
    </w:p>
    <w:p w14:paraId="729E70E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февралю 1945 г. первый доработанный экземпляр Пе-2И испытали в ЛИИ. Изменение передаточного соотношения редуктора двигателя, использование режима форсажа на взлете (увеличение взлетной мощности почти на 100 л.с.), облегчение планера и другие изменения способствовали улучшению взлетно-посадочных характеристик и увеличению дальности полета. В этом же году ОКБ-482 предложило проекты Пе-2И с двигателями АМ-39Ф в вариантах "Москито" с облегченным оборонительным вооружением и фронтового бомбардировщика. Пе-2И с двигателями ВК-107А, несмотря на высокие характеристики, был выпущен 22-м заводом в пяти экземплярах, предназначенных для войсковых испытаний. Все самолеты предназначались для ВВС, но заказчик, из-за большого количества дефектов, так и не оплатил их. Многие из технических решений, отработанных на нем, нашли применение в других самолетах, правда, тоже, опытных (3337).</w:t>
      </w:r>
    </w:p>
    <w:p w14:paraId="435E191C" w14:textId="77777777" w:rsidR="00C2313B" w:rsidRPr="00925F26" w:rsidRDefault="00C2313B" w:rsidP="00925F26">
      <w:pPr>
        <w:autoSpaceDE w:val="0"/>
        <w:autoSpaceDN w:val="0"/>
        <w:adjustRightInd w:val="0"/>
        <w:jc w:val="both"/>
        <w:rPr>
          <w:color w:val="000000" w:themeColor="text1"/>
          <w:sz w:val="16"/>
          <w:szCs w:val="16"/>
        </w:rPr>
      </w:pPr>
    </w:p>
    <w:p w14:paraId="0BF618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февралю 1945 года первый доработанный экзем</w:t>
      </w:r>
      <w:r w:rsidRPr="00925F26">
        <w:rPr>
          <w:color w:val="000000" w:themeColor="text1"/>
          <w:sz w:val="16"/>
          <w:szCs w:val="16"/>
        </w:rPr>
        <w:softHyphen/>
        <w:t>пляр Пе-2И испытали в ЛИИ. Изменение передаточно</w:t>
      </w:r>
      <w:r w:rsidRPr="00925F26">
        <w:rPr>
          <w:color w:val="000000" w:themeColor="text1"/>
          <w:sz w:val="16"/>
          <w:szCs w:val="16"/>
        </w:rPr>
        <w:softHyphen/>
        <w:t>го соотношения редуктора двигателя, использование режима «форсажа» на взлете, облегчение планера и другие изменения способствовали улучшению взлет</w:t>
      </w:r>
      <w:r w:rsidRPr="00925F26">
        <w:rPr>
          <w:color w:val="000000" w:themeColor="text1"/>
          <w:sz w:val="16"/>
          <w:szCs w:val="16"/>
        </w:rPr>
        <w:softHyphen/>
        <w:t>но-посадочных характеристик и увеличению дально</w:t>
      </w:r>
      <w:r w:rsidRPr="00925F26">
        <w:rPr>
          <w:color w:val="000000" w:themeColor="text1"/>
          <w:sz w:val="16"/>
          <w:szCs w:val="16"/>
        </w:rPr>
        <w:softHyphen/>
        <w:t>сти полета.</w:t>
      </w:r>
    </w:p>
    <w:p w14:paraId="7B159080" w14:textId="77777777" w:rsidR="00C2313B" w:rsidRPr="00925F26" w:rsidRDefault="00C2313B"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Спустя два месяца эту машину передали в НИИ ВВС, где подтвердили полученные в ЛИИ длину разбе</w:t>
      </w:r>
      <w:r w:rsidRPr="00925F26">
        <w:rPr>
          <w:color w:val="000000" w:themeColor="text1"/>
          <w:sz w:val="16"/>
          <w:szCs w:val="16"/>
        </w:rPr>
        <w:softHyphen/>
        <w:t>га 420—480 м при взлетном весе 8980 кг (с 500 кг бомб), а при весе 9480 кг (с бомбовой нагрузкой 1000 кг) разбег не превышал 500 м.</w:t>
      </w:r>
    </w:p>
    <w:p w14:paraId="055587B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Специалисты НИИ ВВС отмечали большие нагруз</w:t>
      </w:r>
      <w:r w:rsidRPr="00925F26">
        <w:rPr>
          <w:color w:val="000000" w:themeColor="text1"/>
          <w:sz w:val="16"/>
          <w:szCs w:val="16"/>
        </w:rPr>
        <w:softHyphen/>
        <w:t>ки на штурвал, но не рекомендовали пользоваться триммером для упрощения управлением самолетом. В то же время, учтя рекомендации ЦАГИ и ЛИИ, ввели дополнительную сервокомпенсацию руля высоты.</w:t>
      </w:r>
    </w:p>
    <w:p w14:paraId="3D43819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этом же году ОКБ-482 предложило проекты Пе-2И с двигателями АМ-39Ф в вариантах «Москито» с об</w:t>
      </w:r>
      <w:r w:rsidRPr="00925F26">
        <w:rPr>
          <w:color w:val="000000" w:themeColor="text1"/>
          <w:sz w:val="16"/>
          <w:szCs w:val="16"/>
        </w:rPr>
        <w:softHyphen/>
        <w:t>легченным оборонительным вооружением и фронто</w:t>
      </w:r>
      <w:r w:rsidRPr="00925F26">
        <w:rPr>
          <w:color w:val="000000" w:themeColor="text1"/>
          <w:sz w:val="16"/>
          <w:szCs w:val="16"/>
        </w:rPr>
        <w:softHyphen/>
        <w:t>вого бомбардировщика.</w:t>
      </w:r>
    </w:p>
    <w:p w14:paraId="61D06EF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Пе-2И с двигателями ВК-107А, несмотря на высо</w:t>
      </w:r>
      <w:r w:rsidRPr="00925F26">
        <w:rPr>
          <w:color w:val="000000" w:themeColor="text1"/>
          <w:sz w:val="16"/>
          <w:szCs w:val="16"/>
        </w:rPr>
        <w:softHyphen/>
        <w:t>кие характеристики, был выпущен 22-м заводом в пяти экземплярах, предназначенных для войсковых испы</w:t>
      </w:r>
      <w:r w:rsidRPr="00925F26">
        <w:rPr>
          <w:color w:val="000000" w:themeColor="text1"/>
          <w:sz w:val="16"/>
          <w:szCs w:val="16"/>
        </w:rPr>
        <w:softHyphen/>
        <w:t>таний. Внедрение Пе-2И в серию потребовало изменить около трети чертежей Пе-2И соответственно его про</w:t>
      </w:r>
      <w:r w:rsidRPr="00925F26">
        <w:rPr>
          <w:color w:val="000000" w:themeColor="text1"/>
          <w:sz w:val="16"/>
          <w:szCs w:val="16"/>
        </w:rPr>
        <w:softHyphen/>
        <w:t>изводственной оснастки,</w:t>
      </w:r>
    </w:p>
    <w:p w14:paraId="143D57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самолеты предназначались для ВВС, но за</w:t>
      </w:r>
      <w:r w:rsidRPr="00925F26">
        <w:rPr>
          <w:color w:val="000000" w:themeColor="text1"/>
          <w:sz w:val="16"/>
          <w:szCs w:val="16"/>
        </w:rPr>
        <w:softHyphen/>
        <w:t>казчик, из-за большого количества дефектов, так и не оплатил их. Многие из технических решений, отработайных на нем, нашли применение в других самолетах, правда, тоже опытных (11446).</w:t>
      </w:r>
    </w:p>
    <w:p w14:paraId="104C70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76A5C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5C2FD43" w14:textId="77777777" w:rsidR="00C2313B" w:rsidRPr="00925F26" w:rsidRDefault="00C2313B" w:rsidP="00925F26">
      <w:pPr>
        <w:autoSpaceDE w:val="0"/>
        <w:autoSpaceDN w:val="0"/>
        <w:adjustRightInd w:val="0"/>
        <w:jc w:val="both"/>
        <w:rPr>
          <w:iCs/>
          <w:color w:val="000000" w:themeColor="text1"/>
          <w:sz w:val="16"/>
          <w:szCs w:val="16"/>
        </w:rPr>
      </w:pPr>
    </w:p>
    <w:p w14:paraId="047AED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февралю 1945 в ВМФ США было 17 вертолетов (3032,129).</w:t>
      </w:r>
    </w:p>
    <w:p w14:paraId="7AE6B849" w14:textId="77777777" w:rsidR="00C2313B" w:rsidRPr="00925F26" w:rsidRDefault="00C2313B" w:rsidP="00925F26">
      <w:pPr>
        <w:autoSpaceDE w:val="0"/>
        <w:autoSpaceDN w:val="0"/>
        <w:adjustRightInd w:val="0"/>
        <w:jc w:val="both"/>
        <w:rPr>
          <w:color w:val="000000" w:themeColor="text1"/>
          <w:sz w:val="16"/>
          <w:szCs w:val="16"/>
        </w:rPr>
      </w:pPr>
    </w:p>
    <w:p w14:paraId="0038D16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EC6A3F4" w14:textId="77777777" w:rsidR="00C2313B" w:rsidRPr="00925F26" w:rsidRDefault="00C2313B" w:rsidP="00925F26">
      <w:pPr>
        <w:autoSpaceDE w:val="0"/>
        <w:autoSpaceDN w:val="0"/>
        <w:adjustRightInd w:val="0"/>
        <w:jc w:val="both"/>
        <w:rPr>
          <w:iCs/>
          <w:color w:val="000000" w:themeColor="text1"/>
          <w:sz w:val="16"/>
          <w:szCs w:val="16"/>
        </w:rPr>
      </w:pPr>
    </w:p>
    <w:p w14:paraId="458C9651" w14:textId="77777777" w:rsidR="003D013D" w:rsidRPr="00925F26" w:rsidRDefault="003D013D" w:rsidP="00925F26">
      <w:pPr>
        <w:jc w:val="both"/>
        <w:rPr>
          <w:color w:val="000000" w:themeColor="text1"/>
          <w:sz w:val="16"/>
          <w:szCs w:val="16"/>
        </w:rPr>
      </w:pPr>
      <w:r w:rsidRPr="00925F26">
        <w:rPr>
          <w:color w:val="000000" w:themeColor="text1"/>
          <w:sz w:val="16"/>
          <w:szCs w:val="16"/>
        </w:rPr>
        <w:t>1 февраля 1945 г. в до</w:t>
      </w:r>
      <w:r w:rsidRPr="00925F26">
        <w:rPr>
          <w:color w:val="000000" w:themeColor="text1"/>
          <w:sz w:val="16"/>
          <w:szCs w:val="16"/>
        </w:rPr>
        <w:softHyphen/>
        <w:t>полнение к высотному истребителю Як-9 на лётную станцию передали высотный ис</w:t>
      </w:r>
      <w:r w:rsidRPr="00925F26">
        <w:rPr>
          <w:color w:val="000000" w:themeColor="text1"/>
          <w:sz w:val="16"/>
          <w:szCs w:val="16"/>
        </w:rPr>
        <w:softHyphen/>
        <w:t>требитель Як-3 с ВК-105ПД и двухступенчатым нагнетателем Э-100, с передаточным числом 9,72. Площадь крыла увеличили по сравнению с серийным Як-3 на 0,5 м</w:t>
      </w:r>
      <w:r w:rsidRPr="00925F26">
        <w:rPr>
          <w:color w:val="000000" w:themeColor="text1"/>
          <w:sz w:val="16"/>
          <w:szCs w:val="16"/>
          <w:vertAlign w:val="superscript"/>
        </w:rPr>
        <w:t>2</w:t>
      </w:r>
      <w:r w:rsidRPr="00925F26">
        <w:rPr>
          <w:color w:val="000000" w:themeColor="text1"/>
          <w:sz w:val="16"/>
          <w:szCs w:val="16"/>
        </w:rPr>
        <w:t>, а раз</w:t>
      </w:r>
      <w:r w:rsidRPr="00925F26">
        <w:rPr>
          <w:color w:val="000000" w:themeColor="text1"/>
          <w:sz w:val="16"/>
          <w:szCs w:val="16"/>
        </w:rPr>
        <w:softHyphen/>
        <w:t>мах крыла — на 0,6 м. В период с 23 февраля по 3 мая 1945 г. лётчик-испытатель С.Н. Анохин совершил на нём 18 полётов. Из-за ненормальной работы мотора испытания ча</w:t>
      </w:r>
      <w:r w:rsidRPr="00925F26">
        <w:rPr>
          <w:color w:val="000000" w:themeColor="text1"/>
          <w:sz w:val="16"/>
          <w:szCs w:val="16"/>
        </w:rPr>
        <w:softHyphen/>
        <w:t>сто приходилось прерывать, а 14 мая полёты с этим мотором пришлось прекратить со</w:t>
      </w:r>
      <w:r w:rsidRPr="00925F26">
        <w:rPr>
          <w:color w:val="000000" w:themeColor="text1"/>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3D6F7F03" w14:textId="77777777" w:rsidR="003D013D" w:rsidRPr="00925F26" w:rsidRDefault="003D013D" w:rsidP="00925F26">
      <w:pPr>
        <w:jc w:val="both"/>
        <w:rPr>
          <w:color w:val="000000" w:themeColor="text1"/>
          <w:sz w:val="16"/>
          <w:szCs w:val="16"/>
        </w:rPr>
      </w:pPr>
      <w:r w:rsidRPr="00925F26">
        <w:rPr>
          <w:color w:val="000000" w:themeColor="text1"/>
          <w:sz w:val="16"/>
          <w:szCs w:val="16"/>
        </w:rPr>
        <w:t>Ощущения И.И. Шунейко в том полёте очень образно описал И.И. Шелест:</w:t>
      </w:r>
    </w:p>
    <w:p w14:paraId="79686AE8" w14:textId="77777777" w:rsidR="003D013D" w:rsidRPr="00925F26" w:rsidRDefault="003D013D" w:rsidP="00925F26">
      <w:pPr>
        <w:jc w:val="both"/>
        <w:rPr>
          <w:color w:val="000000" w:themeColor="text1"/>
          <w:sz w:val="16"/>
          <w:szCs w:val="16"/>
        </w:rPr>
      </w:pPr>
      <w:r w:rsidRPr="00925F26">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925F26">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35DA37CC" w14:textId="77777777" w:rsidR="003D013D" w:rsidRPr="00925F26" w:rsidRDefault="003D013D" w:rsidP="00925F26">
      <w:pPr>
        <w:jc w:val="both"/>
        <w:rPr>
          <w:color w:val="000000" w:themeColor="text1"/>
          <w:sz w:val="16"/>
          <w:szCs w:val="16"/>
        </w:rPr>
      </w:pPr>
      <w:r w:rsidRPr="00925F26">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925F26">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0F9B6E25" w14:textId="77777777" w:rsidR="003D013D" w:rsidRPr="00925F26" w:rsidRDefault="003D013D" w:rsidP="00925F26">
      <w:pPr>
        <w:jc w:val="both"/>
        <w:rPr>
          <w:color w:val="000000" w:themeColor="text1"/>
          <w:sz w:val="16"/>
          <w:szCs w:val="16"/>
        </w:rPr>
      </w:pPr>
      <w:r w:rsidRPr="00925F26">
        <w:rPr>
          <w:color w:val="000000" w:themeColor="text1"/>
          <w:sz w:val="16"/>
          <w:szCs w:val="16"/>
        </w:rPr>
        <w:t>«Видно, это будет наш общий потолок — и мотора и мой, — продолжал свою заме</w:t>
      </w:r>
      <w:r w:rsidRPr="00925F26">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58DD3D88" w14:textId="77777777" w:rsidR="003D013D" w:rsidRPr="00925F26" w:rsidRDefault="003D013D" w:rsidP="00925F26">
      <w:pPr>
        <w:jc w:val="both"/>
        <w:rPr>
          <w:color w:val="000000" w:themeColor="text1"/>
          <w:sz w:val="16"/>
          <w:szCs w:val="16"/>
        </w:rPr>
      </w:pPr>
      <w:r w:rsidRPr="00925F26">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925F26">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3A8E7E2C" w14:textId="77777777" w:rsidR="003D013D" w:rsidRPr="00925F26" w:rsidRDefault="003D013D" w:rsidP="00925F26">
      <w:pPr>
        <w:jc w:val="both"/>
        <w:rPr>
          <w:color w:val="000000" w:themeColor="text1"/>
          <w:sz w:val="16"/>
          <w:szCs w:val="16"/>
        </w:rPr>
      </w:pPr>
      <w:r w:rsidRPr="00925F26">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925F26">
        <w:rPr>
          <w:color w:val="000000" w:themeColor="text1"/>
          <w:sz w:val="16"/>
          <w:szCs w:val="16"/>
        </w:rPr>
        <w:softHyphen/>
        <w:t>лной грудью. И с этим вздохом в душу его влетела некая птица дотоле неведомой вели</w:t>
      </w:r>
      <w:r w:rsidRPr="00925F26">
        <w:rPr>
          <w:color w:val="000000" w:themeColor="text1"/>
          <w:sz w:val="16"/>
          <w:szCs w:val="16"/>
        </w:rPr>
        <w:softHyphen/>
        <w:t>кой радости. Он понял, что</w:t>
      </w:r>
      <w:r w:rsidRPr="00925F26">
        <w:rPr>
          <w:rStyle w:val="MSReferenceSansSerif85pt"/>
          <w:rFonts w:ascii="Times New Roman" w:hAnsi="Times New Roman" w:cs="Times New Roman"/>
          <w:b w:val="0"/>
          <w:i w:val="0"/>
          <w:color w:val="000000" w:themeColor="text1"/>
          <w:sz w:val="16"/>
          <w:szCs w:val="16"/>
        </w:rPr>
        <w:t xml:space="preserve"> этот день его.</w:t>
      </w:r>
      <w:r w:rsidRPr="00925F26">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078B29D1" w14:textId="77777777" w:rsidR="003D013D" w:rsidRPr="00925F26" w:rsidRDefault="003D013D" w:rsidP="00925F26">
      <w:pPr>
        <w:jc w:val="both"/>
        <w:rPr>
          <w:color w:val="000000" w:themeColor="text1"/>
          <w:sz w:val="16"/>
          <w:szCs w:val="16"/>
        </w:rPr>
      </w:pPr>
      <w:r w:rsidRPr="00925F26">
        <w:rPr>
          <w:color w:val="000000" w:themeColor="text1"/>
          <w:sz w:val="16"/>
          <w:szCs w:val="16"/>
        </w:rPr>
        <w:t>Впоследствии начальник лётной части ЛИИ Даниил Степанович Зосим, сам инже</w:t>
      </w:r>
      <w:r w:rsidRPr="00925F26">
        <w:rPr>
          <w:color w:val="000000" w:themeColor="text1"/>
          <w:sz w:val="16"/>
          <w:szCs w:val="16"/>
        </w:rPr>
        <w:softHyphen/>
        <w:t>нер-лётчик, знакомый с высотными полётами (перед войной он принимал участие в ис</w:t>
      </w:r>
      <w:r w:rsidRPr="00925F26">
        <w:rPr>
          <w:color w:val="000000" w:themeColor="text1"/>
          <w:sz w:val="16"/>
          <w:szCs w:val="16"/>
        </w:rPr>
        <w:softHyphen/>
        <w:t>пытаниях одного из первых советских скафандров), спросил Шунейко:</w:t>
      </w:r>
    </w:p>
    <w:p w14:paraId="00CFE383" w14:textId="77777777" w:rsidR="003D013D" w:rsidRPr="00925F26" w:rsidRDefault="003D013D" w:rsidP="00925F26">
      <w:pPr>
        <w:numPr>
          <w:ilvl w:val="0"/>
          <w:numId w:val="1"/>
        </w:numPr>
        <w:tabs>
          <w:tab w:val="left" w:pos="423"/>
        </w:tabs>
        <w:jc w:val="both"/>
        <w:rPr>
          <w:color w:val="000000" w:themeColor="text1"/>
          <w:sz w:val="16"/>
          <w:szCs w:val="16"/>
        </w:rPr>
      </w:pPr>
      <w:r w:rsidRPr="00925F26">
        <w:rPr>
          <w:color w:val="000000" w:themeColor="text1"/>
          <w:sz w:val="16"/>
          <w:szCs w:val="16"/>
        </w:rPr>
        <w:t>Скажи, пожалуйста, Иван Иванович, будучи на моем месте, сколько бы ты запла</w:t>
      </w:r>
      <w:r w:rsidRPr="00925F26">
        <w:rPr>
          <w:color w:val="000000" w:themeColor="text1"/>
          <w:sz w:val="16"/>
          <w:szCs w:val="16"/>
        </w:rPr>
        <w:softHyphen/>
        <w:t>тил лётчику за риск таких полётов на высоту?</w:t>
      </w:r>
    </w:p>
    <w:p w14:paraId="4257CEFD" w14:textId="77777777" w:rsidR="003D013D" w:rsidRPr="00925F26" w:rsidRDefault="003D013D" w:rsidP="00925F26">
      <w:pPr>
        <w:jc w:val="both"/>
        <w:rPr>
          <w:color w:val="000000" w:themeColor="text1"/>
          <w:sz w:val="16"/>
          <w:szCs w:val="16"/>
        </w:rPr>
      </w:pPr>
      <w:r w:rsidRPr="00925F26">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3DAC94CE" w14:textId="77777777" w:rsidR="003D013D" w:rsidRPr="00925F26" w:rsidRDefault="003D013D" w:rsidP="00925F26">
      <w:pPr>
        <w:numPr>
          <w:ilvl w:val="0"/>
          <w:numId w:val="1"/>
        </w:numPr>
        <w:tabs>
          <w:tab w:val="left" w:pos="420"/>
        </w:tabs>
        <w:jc w:val="both"/>
        <w:rPr>
          <w:color w:val="000000" w:themeColor="text1"/>
          <w:sz w:val="16"/>
          <w:szCs w:val="16"/>
        </w:rPr>
      </w:pPr>
      <w:r w:rsidRPr="00925F26">
        <w:rPr>
          <w:color w:val="000000" w:themeColor="text1"/>
          <w:sz w:val="16"/>
          <w:szCs w:val="16"/>
        </w:rPr>
        <w:t>На мой взгляд... эти полёты стоят столько, сколько стоит моя жизнь» (15830).</w:t>
      </w:r>
    </w:p>
    <w:p w14:paraId="20D5806C" w14:textId="77777777" w:rsidR="003D013D" w:rsidRPr="00925F26" w:rsidRDefault="003D013D" w:rsidP="00925F26">
      <w:pPr>
        <w:tabs>
          <w:tab w:val="left" w:pos="420"/>
        </w:tabs>
        <w:jc w:val="both"/>
        <w:rPr>
          <w:color w:val="000000" w:themeColor="text1"/>
          <w:sz w:val="16"/>
          <w:szCs w:val="16"/>
        </w:rPr>
      </w:pPr>
    </w:p>
    <w:p w14:paraId="39AC84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состоялся первый полет предпоследнего советского дирижабля ДМ-20 "Победа", а последнего - СССР В-12-бис "Патриот" - 8 августа 1947 (233,166).</w:t>
      </w:r>
    </w:p>
    <w:p w14:paraId="2A52D83E" w14:textId="77777777" w:rsidR="00C2313B" w:rsidRPr="00925F26" w:rsidRDefault="00C2313B" w:rsidP="00925F26">
      <w:pPr>
        <w:autoSpaceDE w:val="0"/>
        <w:autoSpaceDN w:val="0"/>
        <w:adjustRightInd w:val="0"/>
        <w:jc w:val="both"/>
        <w:rPr>
          <w:color w:val="000000" w:themeColor="text1"/>
          <w:sz w:val="16"/>
          <w:szCs w:val="16"/>
        </w:rPr>
      </w:pPr>
    </w:p>
    <w:p w14:paraId="473E7D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февраля 1945 года решением ГКО и приказом НКАП в марте 1945 года был организован завод № 794 с профилем: производство деталей из тонкой керамики для радиолокационной аппаратуры. Для размещения завода № 794 была предоставлена площадка бывш. завода № 123 (по Таврической ул.), на которой завод был до 1 июня 1945 года. В июне 1945 года площадка завода № 794 МАП была передана НК среднего машиностроения, а заводу № 794 по приказу НКАП за № 249 от 15 июня 1945 года была предоставлена новая площадка бывш. завода № 273 (Волковская ул., д. 23), который занимался выпуском лыж и катеров.</w:t>
      </w:r>
    </w:p>
    <w:p w14:paraId="4352C36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переходом на новую площадку изменился и профиль завода.</w:t>
      </w:r>
    </w:p>
    <w:p w14:paraId="591E7E7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01E74C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 А.П. – с 1 апреля 1945 года</w:t>
      </w:r>
    </w:p>
    <w:p w14:paraId="217C90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ОКБ:</w:t>
      </w:r>
    </w:p>
    <w:p w14:paraId="42CA07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Комедатов Ю.Г. – с 3 июня 1946 года по 3 сентября 1950 года</w:t>
      </w:r>
    </w:p>
    <w:p w14:paraId="5B7FF3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Котов А.А. – с 3 сентября 1950 года по 23 сентября 1954 года</w:t>
      </w:r>
    </w:p>
    <w:p w14:paraId="56BD7F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Зазорин Е.А. – с 23 сентября 1954 года</w:t>
      </w:r>
    </w:p>
    <w:p w14:paraId="3ECD3D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w:t>
      </w:r>
    </w:p>
    <w:p w14:paraId="62C302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Адрес: Ленинград, Волковская ул., д. 27 (9866).</w:t>
      </w:r>
    </w:p>
    <w:p w14:paraId="6E33FEB3" w14:textId="77777777" w:rsidR="00C2313B" w:rsidRPr="00925F26" w:rsidRDefault="00C2313B" w:rsidP="00925F26">
      <w:pPr>
        <w:autoSpaceDE w:val="0"/>
        <w:autoSpaceDN w:val="0"/>
        <w:adjustRightInd w:val="0"/>
        <w:jc w:val="both"/>
        <w:rPr>
          <w:color w:val="000000" w:themeColor="text1"/>
          <w:sz w:val="16"/>
          <w:szCs w:val="16"/>
        </w:rPr>
      </w:pPr>
    </w:p>
    <w:p w14:paraId="5BBF0AC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Распоряжение ГКО № 7436 [О выдаче по 1 кг хлеба в день 5100 заключенным и спецконтингенту, занятым на заготовке, вывозке и отгрузке авиационной фанерной березы и сосны.] (7304, 62).</w:t>
      </w:r>
    </w:p>
    <w:p w14:paraId="4B0CF737"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B74D60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C442E66" w14:textId="77777777" w:rsidR="00C2313B" w:rsidRPr="00925F26" w:rsidRDefault="00C2313B" w:rsidP="00925F26">
      <w:pPr>
        <w:autoSpaceDE w:val="0"/>
        <w:autoSpaceDN w:val="0"/>
        <w:adjustRightInd w:val="0"/>
        <w:jc w:val="both"/>
        <w:rPr>
          <w:iCs/>
          <w:color w:val="000000" w:themeColor="text1"/>
          <w:sz w:val="16"/>
          <w:szCs w:val="16"/>
        </w:rPr>
      </w:pPr>
    </w:p>
    <w:p w14:paraId="3EB4E70E" w14:textId="77777777" w:rsidR="004945E9" w:rsidRPr="00925F26" w:rsidRDefault="004945E9" w:rsidP="00925F26">
      <w:pPr>
        <w:jc w:val="both"/>
        <w:rPr>
          <w:color w:val="000000" w:themeColor="text1"/>
          <w:sz w:val="16"/>
          <w:szCs w:val="16"/>
        </w:rPr>
      </w:pPr>
      <w:r w:rsidRPr="00925F26">
        <w:rPr>
          <w:color w:val="000000" w:themeColor="text1"/>
          <w:sz w:val="16"/>
          <w:szCs w:val="16"/>
        </w:rPr>
        <w:t>1 февраля 1945 г. ИЗ ОТЧЕТА О РАБОТЕ ОТДЕЛА ОБОРОННОЙ ПРОМЫШЛЕННОСТИ НОВОСИБИРСКОГО ГОРКОМА ВКП(б) ЗА 1944 г.</w:t>
      </w:r>
    </w:p>
    <w:p w14:paraId="3D10E26C" w14:textId="77777777" w:rsidR="004945E9" w:rsidRPr="00925F26" w:rsidRDefault="004945E9" w:rsidP="00925F26">
      <w:pPr>
        <w:jc w:val="both"/>
        <w:rPr>
          <w:color w:val="000000" w:themeColor="text1"/>
          <w:sz w:val="16"/>
          <w:szCs w:val="16"/>
        </w:rPr>
      </w:pPr>
      <w:r w:rsidRPr="00925F26">
        <w:rPr>
          <w:color w:val="000000" w:themeColor="text1"/>
          <w:sz w:val="16"/>
          <w:szCs w:val="16"/>
        </w:rPr>
        <w:t>В отдел оборонной промышленности горкома ВКП(б) входят следующие отрасли промышленности: промышленность боеприпасов, промышленность вооружения, промышленность авиации, промышленность черной металлургии. В истекшем 1944 году оборонные предприятия города работали в условиях, требовавших увеличения выпуска продукции при прежнем или уменьшенном количестве рабочих. Поэтому в своей практической работе оборонные заводы города должны были решить, и в подавляющем большинстве успешно решили, основную поставленную задачу - с меньшим количеством людей дать больше боевой продукции. Решение задачи - с меньшим числом рабочих дать больше продукции — было направлено по пути резкого увеличения производительности труда за счет: усовершенствования технологии, организации труда, организации производства, механизации трудоемких операций и процессов, повышения квалификации рабочих. Каких же результатов добились отдельные предприятия оборонной промышленности? Ордена Ленина комбинат № 179. В 1944 году на комбинате был осуществлен большой план организационно-технических мероприятий по дальнейшему усовершенствованию технологии и конструкции изделий, внедрению поточных методов производства, усилению механизации трудоемких операций и процессов, улучшению организации производства и организации труда. По комбинату Х 179 увеличение производительности труда в 1944 г. - 28% против 1943 года - позволило увеличить выпуск боеприпасов за этот период на 28,7%, при уменьшении количества рабочей силы. Выполнение годового плана закончено на 37 дней раньше. Комбинат за 1944 год дал фронту боевой продукции сверх плана [на] сумму 70 млн. рублей. Почти все изделия, выпускаемые комбинатом, являются самыми дешевыми изделиями, выпускаемыми аналогичными заводами нашей страны. Завоевав в марте месяце переходящее Красное знамя ЦК ВКП(б), комбинат держит его до настоящего времени. Ордена Трудового Красного Знамени завод № 635. Установление четырех ленточных транспортеров для погрузки готовой продукции непосредственно в железнодорожные вагоны позволило заводу высвободить 40 человек рабочих-грузчиков. Только за счет реконструкции склада, где хранятся пустые корпуса, высвобождено 10 человек рабочих, две единицы гужевого транспорта. Проведение ряда технологических усовершенствований по цеху приготовления суррогатов позволило увеличить его производительность в два раза и этим обеспечить рост выпуска боеприпасов. Коллектив завода досрочно к 5 декабря - дню Сталинской Конституции закончил выполнение годового плана. Этот завод дал прирост продукции в 1944 году на 35,9%, против 1943 года, при меньшем количестве людей. Только за один 1944 год дано заводом сверхплановой продукции на 76 млн. рублей. Коллектив завода по праву занимает с февраля месяца 1944 года первое место во Всесоюзном соревновании и беспрерывно в течение 11 месяцев держит переходящее Красное знамя ЦК ВКП(б). Завод № 386. Организация поточных линий в производстве резко сказалась на увеличении выпуска продукции и ее удешевлении. Например, на изготовление изделия ... расход рабочего времени на единицу сократился на 45% (вместо 15,7 чел./часа потребовалось только 8,7 чел./часа). Расход зарплаты на одну единицу снизился с 33 рублей до 24 рублей. Себестоимость единицы изделия снижена на 26%. По изделию ...' до внедрения поточного метода расход рабочего времени на единицу изделия составлял 92 чел./часа, а после внедрения потока потребовалось только 60 чел./часов. Следовательно, это дало возможность увеличить выпуск этого изделия на 50%. Завод № 188. Из заводов промышленности вооружения необходимо особо отметить работу по улучшению технико-экономических показателей коллектива завода № 188. Если в 1943 г. за счет удорожания выпускаемой продукции завод дал убытка свыше 15 млн. рублей, то в 1944 году в результате проведения ряда организационно-технических мероприятий, направленных на снижение непроизводительных расходов, завод дал около 3 млн. сверхплановых накоплений. Завод № 702 Наркомчермета на 204% увеличил выпуск продукции против 1943 года и почти на 8 млн. рублей дал сверхплановой продукции в 1944 г. Этот завод за 1944 год дал государству сверхплановых накоплений 27 млн. рублей. Завод № 350. В текущем 1944 году коллективом завода изготовлено 11 единиц опытных образцов новых изделий и произведен запуск в производство двух сложнейших объектов вооружения. Большая работа проведена по усовершенствованию технологии, например: переведено на холодную и горячую штамповку — 38 деталей, переведено с токарной на револьверную обработку — 34 детали, переведено на автоматы — 30 деталей, переведено на пластмассу - 10 деталей, применена скоростная полировка оптических изделий и ряд других, что позволило заводу в 1944 г. сэкономить: черного металла — 12 тонн, цветного металла - 2,8 тонны, спирта — 4 тонны, топлива — 497 тонн, электроэнергии - 256 тыс. кВт.час. Проведение указанных мероприятий не могло не сказаться на себестоимости выпускаемой продукции. В 1944 году себестоимость продукции снижена на 11%, что дало возможность заводу получить свыше 3 млн. рублей экономии. План 1944 года по производительности труда выполнен на 110,7%, что дает увеличение против 1943 года на 30,7%. Это дало возможность заводу увеличить выпуск продукции в 1944 году на 17%, при уменьшении количества рабочей силы на 5%. Завод им. Чкалова. В 1944 году большой рост выпуска продукции дал завод им. Чкалова, увеличив его на 25,6% против 1943 года, при уменьшении количества рабочих на 8%. Такое увеличение выпуска продукции шло исключительно за счет роста производительности труда, снижения трудоемкости обработки изделий, за счет усовершенствования конструкций и улучшения технологического процесса, широкого внедрения поточного метода производства и улучшения организации труда. Введено 19 поточных линий, что позволило снизить трудоемкость против 1943 года в среднем на 29%. Производительность труда в 1944 году составила 106,2%, а против 1943 года — увеличилась на 41%. Проведение в жизнь ряда организационно-технических мероприятий позволило коллективу завода снизить себестоимость выпускаемой продукции, против 1943 года, на 12% и получить за счет этого 80 млн. рублей экономии. Наряду с передовыми заводами, которые в 1944 году сумели напряженной и творческой работой преодолеть трудности в снабжении энергией, топливом, основными металлами и обеспечили перевыполнение заданий Государственного Комитета Обороны, мы имеем заводы № 677 и № 556</w:t>
      </w:r>
      <w:proofErr w:type="gramStart"/>
      <w:r w:rsidRPr="00925F26">
        <w:rPr>
          <w:color w:val="000000" w:themeColor="text1"/>
          <w:sz w:val="16"/>
          <w:szCs w:val="16"/>
        </w:rPr>
        <w:t>.</w:t>
      </w:r>
      <w:proofErr w:type="gramEnd"/>
      <w:r w:rsidRPr="00925F26">
        <w:rPr>
          <w:color w:val="000000" w:themeColor="text1"/>
          <w:sz w:val="16"/>
          <w:szCs w:val="16"/>
        </w:rPr>
        <w:t xml:space="preserve"> которые сорвали выполнение планов 1944 года. Эти заводы не дали увеличения выпуска продукции против выпуска 1943 года, хотя количество рабочей силы осталось почти без изменений. Основной причиной плохой работы завода N° 677 является недостаточная борьба руководства завода за своевременное снабжение металлом механических цехов, за освоение заменителей автоматной стали и плохая организация производственных процессов, вследствие чего завод имел большие убытки от брака, который в конце года увеличился по детали N° 6 до 19%. За год потери от брака по этой детали составили такое количество, которое обеспечивает выполнение 2-месячной программы. Одной из основных причин невыполнения плана в 1944 году по заводу № 556 является также брак, убытки от которого, против 1943 года, увеличились на 2,5 млн. рублей и составили за 1944 год свыше 11 млн. рублей. Если в 1943 году было внедрено рацпредложений 3 000 с экономическим эффектом в 90 млн. рублей, то в 1944 году их внедрено 4 100 с экономическим эффектом в 92,6 млн. рублей. Наиболее активизировалась работа с рационализаторами и изобретателями на заводах промышленности вооружения. Если в 1943 году было подано рацпредложений 1 333, из них внедрено 630 и получен экономический эффект в 7 433 тыс. рублей, то в 1944 году подано 2 840 рацпредложений, из них внедрено 1 298 и получен экономический эффект в 11,5 млн. рублей. На заводе им. Чкалова в 1944 году внедрено 1 314 рацпредложений, против 779 в 1943 году, и получена экономия в 13 млн. рублей, против 11,5 млн. рублей в 1943 году. Положительные результаты в этой работе имеет ряд заводов промышленности боеприпасов (заводы №Л^ 564, 386). Внесено много рационализаторских предложений, заслуживших общего внимания. Например, на заводе № 564 т. Кулагин предложил такое приспособление калибровки мелких резьб, которое позволило в 2-3 раза увеличить производительность труда контролеров на данной операции. На заводе № 556 начальник лаборатории тов. Колосветов предложил изготавливать матрицы с победитовыми кольцами. Испытание их показало большую стойкость и производительность. Это предложение дает заводу годовую экономию свыше двух миллионов рублей. Начальник цеха тов. Чернышев совместно с технологом цеха тов. Бобриным предложили ленточный транспортер для перемещения изделий и создания поточности производства. Внедрение этого предложения освобождает 126 человек рабочих. Экономический эффект- 1,5 млн. рублей в год. На заводе № 386 также имеется ряд ценных рацпредложений, внедрение которых позволило заводу в 1944 году дать экономии 636 тыс. рублей, против 56 тыс. рублей в 1943 году. Наиболее ценными предложениями являются: предложение по рациональному способу резки стандартного листа фольги вместо 16 на 18 частей. Внедрение этого предложения позволило заводу сэкономить 12% дорогостоящего металла. Годовая экономия — 416 тыс. рублей; применение нового инструмента для прессования одного изделия - вместо обычных 10 гнезд применили 14. Это дало возможность увеличить производительность на 40%. На заводе им. Ленина проведение 2 смотров рационализации и изобретательства значительно повысило роль рационализатора на производстве, а проведение в жизнь предложений, поступивших в период смотра, резко сказалось на улучшении работы всего завода. Например, предложение </w:t>
      </w:r>
      <w:r w:rsidRPr="00925F26">
        <w:rPr>
          <w:color w:val="000000" w:themeColor="text1"/>
          <w:sz w:val="16"/>
          <w:szCs w:val="16"/>
        </w:rPr>
        <w:lastRenderedPageBreak/>
        <w:t xml:space="preserve">старшего мастера литейного цеха тов. Белова об изменении технологии заливки металла позволило сократить брак на 50% и дать годовую экономию в 44 тыс. рублей. Предложение слесаря Сту-пенкова о замене ручной работы работой на прессе увеличило производительность в 10 раз и дало годовой экономии в 11 тыс. рублей. Но наряду с этим мы имеем и такие заводы, где работа с рационализаторами и изобретателями в целом по заводу пошла на убыль. Это можно видеть на примере завода № 556 и передового завода ордена Трудового Красного Знамени № 635. По заводу № 556 в 1943 году было подано рацпредложений 458, из них внедрено - 209 и получено экономии от внедрения рацпредложений 14 млн. рублей, а в 1944 году поступило предложений всего только 178, из них внедрено за год только 109, получено экономии 8 млн. рублей. По заводу № 635 в 1943 году экономический эффект от внедрения рацпредложений составил около 2,5 млн. рублей, а в 1944 году получена экономия всего лишь 800 тыс. рублей. Материально-бытовые условия трудящихся заводов оборонной промышленности Партийные организации заводов, успешно решая производственные вопросы по обеспечению выполнения государственных планов, в 1944 году проводили работу и по улучшению материально-бытовых и культурных условий трудящихся. На заводе ордена Трудового Красного Знамени № 635 в 1944 году введены в эксплуатацию новые жилые дома, что дало возможность расселить рабочих и полностью отказаться от 2-ярусных нар. Для улучшения культурного обслуживания трудящихся завода выстроен и введен в эксплуатацию клуб на 300 посадочных мест, летняя эстрада на 700 мест и танцевальная площадка. Закончено строительство детского сада на 100 ребят и открыт родильный дом. На зиму рабочие завода обеспечены на 90% теплыми костюмами, полушубками, меховыми жилетами. Выдано 400 пар валенок. Все общежития обеспечены топливом. Питание на этом заводе улучшено - все рабочие пользуются трехразовым питанием, помимо дополнительного. Вместе с тем на этом заводе имеется еще много рабочих-одиночек, не имеющих смены белья, верхней одежды. В общежитиях не хватает смены постельного белья, вместо кроватей рабочие спят на топчанах с грязными матрацами; общежития не обеспечены тумбочками, табуретами. Совершенно не организовано изготовление предметов широкого потребления для продажи рабочим завода, хотя возможности для этого имеются. Все это происходит потому, что партийная организация не взяла под свой контроль вопрос улучшения быта рабочих, хозяйственное руководство ослабило внимание к условиям быта. На заводе им. Ленина больным вопросом являются жилищные условия рабочих. С 1941 года многие рабочие живут в землянках, которые уже приходят в негодность. В настоящее время 324 семьи живут в землянках. Кроме того, многие рабочие живут в порядке подселения, в частном секторе. Все это обязывало партийное руководство завода им. Ленина серьезно заняться данным вопросом и взять под особый контроль вопрос жилищного строительства. Но партийное руководство, в унисон хозяйственному руководству завода, формально отнеслось к этому вопросу, считая, что строительство жилья ведет СибОВСУ, поэтому не стоит вмешиваться в это. Формальное отношение к вопросу улучшения быта со стороны партийного руководства заключается и в том, что, несмотря на явный холод в общежитиях (+5°), норма выдачи угля не увеличивается свыше 10 кг в день и партийное руководство, в лице т. Гицеля, считает это вполне законным. Плохо подготовлен завод к зиме в отношении обеспечения рабочих топливом. Если на заводе организованы заводские цеха по изготовлению такого ширпотреба, как катка валенок, изготовление резиновой обуви, пошив кожаной обуви, пошив верхнего и нижнего платья, ремонт обуви, то к изготовлению столь необходимого ширпотреба в виде посуды, ведер, корыт, железных кроватей и прочих до сих пор по-серьезному не приступили, хотя возможность на это завод имеет. В течение 1944 года в цехах образованы мастерские по ремонту обуви, в 7 цехах - пошивочные мастерские по пошивке и ремонту одежды. Очень мало сделано на заводе по улучшению качества питания, вследствие чего летом 1944 года имели место случаи отравления рабочих. Отсутствие контроля со стороны партийных организаций за улучшением быта рабочих привело к тому, что, например, на комбинате № 179 во многих общежитиях грязь, холод, недостает кроватей, тумбочек, табуреток и другого инвентаря, не говоря уже о хозяйственной посуде. Питание на комбинате № 179 и заводе X? 677 организовано плохо. XVI Пленум горкома ВКП(б) осудил такую практику руководства парторганизаций комбината № 179, заводов № № 677 и 69 и предложил всем секретарям парторганизаций установить строгий контроль за работой аппаратов ЖКО и ОРСов. Такое положение по вопросу улучшения быта рабочих можно встретить на каждом заводе. Вопрос улучшения материально-бытовых условий трудящихся обязывает всю партийную организацию города в 1945 году решить очень много вопросов, связанных с развертыванием жилстроительства, обеспечением рабочих одеждой, бельем, резким улучшением качества питания, своевременным обеспечением топливом рабочих, не доводя это дело до зимы, улучшением культурного обслуживания рабочих и усилением политического воспитания их. В текущем году необходимо коренным образом изменить отношение заводов к вопросу развертывания и массового выпуска предметов широкого потребления. Роль и влияние отдела на работу промышленности в 1944 </w:t>
      </w:r>
      <w:proofErr w:type="gramStart"/>
      <w:r w:rsidRPr="00925F26">
        <w:rPr>
          <w:color w:val="000000" w:themeColor="text1"/>
          <w:sz w:val="16"/>
          <w:szCs w:val="16"/>
        </w:rPr>
        <w:t>году</w:t>
      </w:r>
      <w:proofErr w:type="gramEnd"/>
      <w:r w:rsidRPr="00925F26">
        <w:rPr>
          <w:color w:val="000000" w:themeColor="text1"/>
          <w:sz w:val="16"/>
          <w:szCs w:val="16"/>
        </w:rPr>
        <w:t xml:space="preserve"> В истекшем году отделом оборонной промышленности были проведены следующие наиболее крупные мероприятия. На бюро горкома ВКП(б) были поставлены вопросы: о работе парторганизаций завода № 556 и комбината № 179 в вопросе укрепления трудовой дисциплины; об улучшении материально-бытовых условий трудящихся завода Ленина; об улучшении технико-экономических показателей завода № 188; о развитии многостаночного обслуживания на заводе N? 564; о ходе выполнения задания обкома ВКП(б) по изготовлению запасных частей (заводы №№ 153, 556, 564); о случаях возникновения пожаров на заводах 556 и 564.</w:t>
      </w:r>
    </w:p>
    <w:p w14:paraId="4BCB1702" w14:textId="77777777" w:rsidR="004945E9" w:rsidRPr="00925F26" w:rsidRDefault="004945E9" w:rsidP="00925F26">
      <w:pPr>
        <w:jc w:val="both"/>
        <w:rPr>
          <w:color w:val="000000" w:themeColor="text1"/>
          <w:sz w:val="16"/>
          <w:szCs w:val="16"/>
        </w:rPr>
      </w:pPr>
      <w:r w:rsidRPr="00925F26">
        <w:rPr>
          <w:color w:val="000000" w:themeColor="text1"/>
          <w:sz w:val="16"/>
          <w:szCs w:val="16"/>
        </w:rPr>
        <w:t>Зам. зав. отделом оборонной промышленности горкома ВКП(б) Черепанов</w:t>
      </w:r>
    </w:p>
    <w:p w14:paraId="493E9665" w14:textId="77777777" w:rsidR="004945E9" w:rsidRPr="00925F26" w:rsidRDefault="004945E9" w:rsidP="00925F26">
      <w:pPr>
        <w:jc w:val="both"/>
        <w:rPr>
          <w:color w:val="000000" w:themeColor="text1"/>
          <w:sz w:val="16"/>
          <w:szCs w:val="16"/>
        </w:rPr>
      </w:pPr>
      <w:r w:rsidRPr="00925F26">
        <w:rPr>
          <w:color w:val="000000" w:themeColor="text1"/>
          <w:sz w:val="16"/>
          <w:szCs w:val="16"/>
        </w:rPr>
        <w:t>ГАНС Ф. П-22. Оп. 3. Д. 1594. Л. 22-25, 29-30. Подлинник.</w:t>
      </w:r>
    </w:p>
    <w:p w14:paraId="011C8566" w14:textId="77777777" w:rsidR="004945E9" w:rsidRPr="00925F26" w:rsidRDefault="004945E9" w:rsidP="00925F26">
      <w:pPr>
        <w:jc w:val="both"/>
        <w:rPr>
          <w:color w:val="000000" w:themeColor="text1"/>
          <w:sz w:val="16"/>
          <w:szCs w:val="16"/>
        </w:rPr>
      </w:pPr>
      <w:r w:rsidRPr="00925F26">
        <w:rPr>
          <w:color w:val="000000" w:themeColor="text1"/>
          <w:sz w:val="16"/>
          <w:szCs w:val="16"/>
        </w:rPr>
        <w:t>Подпись-автограф Черепанова. Один из экземпляров машинописной закладки. Документ датируется по проставленной при ого подписании Черепановым дате: 1.11.1945 г. (12160).</w:t>
      </w:r>
    </w:p>
    <w:p w14:paraId="3E365254" w14:textId="77777777" w:rsidR="004945E9" w:rsidRPr="00925F26" w:rsidRDefault="004945E9" w:rsidP="00925F26">
      <w:pPr>
        <w:jc w:val="both"/>
        <w:rPr>
          <w:color w:val="000000" w:themeColor="text1"/>
          <w:sz w:val="16"/>
          <w:szCs w:val="16"/>
        </w:rPr>
      </w:pPr>
    </w:p>
    <w:p w14:paraId="450123CD" w14:textId="77777777" w:rsidR="00A524F6" w:rsidRPr="00925F26" w:rsidRDefault="00A524F6" w:rsidP="00925F26">
      <w:pPr>
        <w:jc w:val="both"/>
        <w:rPr>
          <w:color w:val="000000" w:themeColor="text1"/>
          <w:sz w:val="16"/>
          <w:szCs w:val="16"/>
        </w:rPr>
      </w:pPr>
      <w:r w:rsidRPr="00925F26">
        <w:rPr>
          <w:color w:val="000000" w:themeColor="text1"/>
          <w:sz w:val="16"/>
          <w:szCs w:val="16"/>
        </w:rPr>
        <w:t>1 февраля 1945 года начались испытания улучшенной версии машины НКЛ-26. Несмотря на ряд выявившихся проблем, Аэросанное управление Красной армии (подчинялось Управлению бронепоездов и бронемашин ГБТУ КА) продолжало работу над новыми машинами. Прежде всего это касалось транспортных аэросаней. В 1944 году на испытания вышли штабные аэросани НКЛ-38</w:t>
      </w:r>
    </w:p>
    <w:p w14:paraId="57C7591F" w14:textId="77777777" w:rsidR="00A524F6" w:rsidRPr="00925F26" w:rsidRDefault="00A524F6" w:rsidP="00925F26">
      <w:pPr>
        <w:jc w:val="both"/>
        <w:rPr>
          <w:color w:val="000000" w:themeColor="text1"/>
          <w:sz w:val="16"/>
          <w:szCs w:val="16"/>
        </w:rPr>
      </w:pPr>
      <w:r w:rsidRPr="00925F26">
        <w:rPr>
          <w:color w:val="000000" w:themeColor="text1"/>
          <w:sz w:val="16"/>
          <w:szCs w:val="16"/>
        </w:rPr>
        <w:t>Она существенно отличалась от аэросаней НКЛ-26: форма корпуса больше напоминала автомобиль, кроме того, в машине учли ряд недостатков предшественников. Машина имела ряд дефектов, часть из которых устранили в ходе модернизации. Впрочем, эти дефекты были не самой большой проблемой. Главным препятствием на пути к серии оказался канадский снегоход, который в переписке ГБТУ КА проходил как «канадский бронированный снегоход Mk-1 (B-3)». В переписке Аэросанного управления Красной армии он появился в феврале 1945 года (18251).</w:t>
      </w:r>
    </w:p>
    <w:p w14:paraId="15B2D873" w14:textId="77777777" w:rsidR="00A524F6" w:rsidRPr="00925F26" w:rsidRDefault="00A524F6" w:rsidP="00925F26">
      <w:pPr>
        <w:jc w:val="both"/>
        <w:rPr>
          <w:color w:val="000000" w:themeColor="text1"/>
          <w:sz w:val="16"/>
          <w:szCs w:val="16"/>
        </w:rPr>
      </w:pPr>
    </w:p>
    <w:p w14:paraId="0926739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7432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 I квартале 1945 года. РГАНИР, Фонд ГКО, д. 365, лл. 11-16, 17-57 (11012).</w:t>
      </w:r>
    </w:p>
    <w:p w14:paraId="232E44F3" w14:textId="77777777" w:rsidR="00C2313B" w:rsidRPr="00925F26" w:rsidRDefault="00C2313B" w:rsidP="00925F26">
      <w:pPr>
        <w:autoSpaceDE w:val="0"/>
        <w:autoSpaceDN w:val="0"/>
        <w:adjustRightInd w:val="0"/>
        <w:jc w:val="both"/>
        <w:rPr>
          <w:color w:val="000000" w:themeColor="text1"/>
          <w:sz w:val="16"/>
          <w:szCs w:val="16"/>
        </w:rPr>
      </w:pPr>
    </w:p>
    <w:p w14:paraId="4117DBDE"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7437 О плане распределения электроэнергии на февраль 1945 г. (7304, 63-65,66-77).</w:t>
      </w:r>
    </w:p>
    <w:p w14:paraId="4B5AB95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28491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7438 О мерах помощи предприятиям Наркомчермета углем, мазутом и электроэнергией в феврале 1945 года. РГАНИР, Фонд ГКО, д. 365, лл. 78-82, 83-88 (11012).</w:t>
      </w:r>
    </w:p>
    <w:p w14:paraId="62D467BE" w14:textId="77777777" w:rsidR="00C2313B" w:rsidRPr="00925F26" w:rsidRDefault="00C2313B" w:rsidP="00925F26">
      <w:pPr>
        <w:autoSpaceDE w:val="0"/>
        <w:autoSpaceDN w:val="0"/>
        <w:adjustRightInd w:val="0"/>
        <w:jc w:val="both"/>
        <w:rPr>
          <w:color w:val="000000" w:themeColor="text1"/>
          <w:sz w:val="16"/>
          <w:szCs w:val="16"/>
        </w:rPr>
      </w:pPr>
    </w:p>
    <w:p w14:paraId="099CC728"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7446 О мероприятиях по улучшению материально-бытовых условий работников НКПС и управлений железных дорог. (7304, 101-102,103).</w:t>
      </w:r>
    </w:p>
    <w:p w14:paraId="5E9108E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D1012D5"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7447 О частичном изменении постановления ГОКО от 28 января 1945 г. № 7412с о перешивке железных дорог Польши и Германии в пределах 2-го Белорусского фронта. (7304, 104).</w:t>
      </w:r>
    </w:p>
    <w:p w14:paraId="6CAF720F"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1B78C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7451 О плане ремонта бронеавтомобилей, бронетранспортеров, мотоциклов и велосипедов для Красной Армии на I квартал 1945 года. РГАНИР, Фонд ГКО, д. 365, лл. 116-118, 119-136 (11012).</w:t>
      </w:r>
    </w:p>
    <w:p w14:paraId="19A46F14" w14:textId="77777777" w:rsidR="00C2313B" w:rsidRPr="00925F26" w:rsidRDefault="00C2313B" w:rsidP="00925F26">
      <w:pPr>
        <w:autoSpaceDE w:val="0"/>
        <w:autoSpaceDN w:val="0"/>
        <w:adjustRightInd w:val="0"/>
        <w:jc w:val="both"/>
        <w:rPr>
          <w:color w:val="000000" w:themeColor="text1"/>
          <w:sz w:val="16"/>
          <w:szCs w:val="16"/>
        </w:rPr>
      </w:pPr>
    </w:p>
    <w:p w14:paraId="544615D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7452 Об изготовлении мостовых металлических ферм для НКПС в первом полугодии 1945 г. (7304, 137-142).</w:t>
      </w:r>
    </w:p>
    <w:p w14:paraId="1FC11FE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EF1438C"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7453 О плане ремонта автомобилей для Красной Армии, Военно-Морского Флота и централизованного резерва на I квартал 1945 г. (7305, 1-10,11-97).</w:t>
      </w:r>
    </w:p>
    <w:p w14:paraId="18B923E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1A3512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7454 О плане ремонта и производства военно-технического имущества на I кв. 1945 г. по Наркомату Обороны СССР. РГАНИР, Фонд ГКО, д. 366, лл. 98-100, 101-158 (11012).</w:t>
      </w:r>
    </w:p>
    <w:p w14:paraId="416CFECA" w14:textId="77777777" w:rsidR="00C2313B" w:rsidRPr="00925F26" w:rsidRDefault="00C2313B" w:rsidP="00925F26">
      <w:pPr>
        <w:autoSpaceDE w:val="0"/>
        <w:autoSpaceDN w:val="0"/>
        <w:adjustRightInd w:val="0"/>
        <w:jc w:val="both"/>
        <w:rPr>
          <w:color w:val="000000" w:themeColor="text1"/>
          <w:sz w:val="16"/>
          <w:szCs w:val="16"/>
        </w:rPr>
      </w:pPr>
    </w:p>
    <w:p w14:paraId="0D7759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7455 О плане производства серийных радиолокационных станций, запасного имущества и комплектующих изделий к ним и о материально-техническом обеспечении радиолокационной промышленности в I квартале 1945 года. РГАНИР, Фонд ГКО, д. 366, лл. 159-169, 170-207 (11012).</w:t>
      </w:r>
    </w:p>
    <w:p w14:paraId="369E8276" w14:textId="77777777" w:rsidR="00C2313B" w:rsidRPr="00925F26" w:rsidRDefault="00C2313B" w:rsidP="00925F26">
      <w:pPr>
        <w:autoSpaceDE w:val="0"/>
        <w:autoSpaceDN w:val="0"/>
        <w:adjustRightInd w:val="0"/>
        <w:jc w:val="both"/>
        <w:rPr>
          <w:color w:val="000000" w:themeColor="text1"/>
          <w:sz w:val="16"/>
          <w:szCs w:val="16"/>
        </w:rPr>
      </w:pPr>
    </w:p>
    <w:p w14:paraId="79FFAF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Распоряжение ГКО № 7456. О реэвакуации оборудования, строительных материалов и рабочей силы со строительства Челябинской станции на Лисичанскую станцию Подземгаза. РГАНИР, Фонд ГКО, д. 366, лл. 208 (11012).</w:t>
      </w:r>
    </w:p>
    <w:p w14:paraId="60FAACA9" w14:textId="77777777" w:rsidR="00C2313B" w:rsidRPr="00925F26" w:rsidRDefault="00C2313B" w:rsidP="00925F26">
      <w:pPr>
        <w:autoSpaceDE w:val="0"/>
        <w:autoSpaceDN w:val="0"/>
        <w:adjustRightInd w:val="0"/>
        <w:jc w:val="both"/>
        <w:rPr>
          <w:color w:val="000000" w:themeColor="text1"/>
          <w:sz w:val="16"/>
          <w:szCs w:val="16"/>
        </w:rPr>
      </w:pPr>
    </w:p>
    <w:p w14:paraId="0BBEC02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7457 О подготовке квалифицированных кадров для Дашкесанского рудника Наркомчермета в Азербайджанской ССР. (7305, 209).</w:t>
      </w:r>
    </w:p>
    <w:p w14:paraId="2FDECCE5"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1674B8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7458 Об организации Украинского дорожно-строительного треста Гушосдора НКВД СССР. (7305, 210-212,213).</w:t>
      </w:r>
    </w:p>
    <w:p w14:paraId="42C947D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3ED50B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7459 О мероприятиях по развитию производства флотационных масел в 1945 году. РГАНИР, Фонд ГКО, д. 366, лл. 214-216, 217-218 (11012).</w:t>
      </w:r>
    </w:p>
    <w:p w14:paraId="0E2AAAED" w14:textId="77777777" w:rsidR="00C2313B" w:rsidRPr="00925F26" w:rsidRDefault="00C2313B" w:rsidP="00925F26">
      <w:pPr>
        <w:autoSpaceDE w:val="0"/>
        <w:autoSpaceDN w:val="0"/>
        <w:adjustRightInd w:val="0"/>
        <w:jc w:val="both"/>
        <w:rPr>
          <w:color w:val="000000" w:themeColor="text1"/>
          <w:sz w:val="16"/>
          <w:szCs w:val="16"/>
        </w:rPr>
      </w:pPr>
    </w:p>
    <w:p w14:paraId="15EBFE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7460 О неотложных мероприятиях по строительству Широковской гидроэлектростанции. РГАНИР, Фонд ГКО, д. 366, лл. 219-222 (11012).</w:t>
      </w:r>
    </w:p>
    <w:p w14:paraId="198A45CD" w14:textId="77777777" w:rsidR="00C2313B" w:rsidRPr="00925F26" w:rsidRDefault="00C2313B" w:rsidP="00925F26">
      <w:pPr>
        <w:autoSpaceDE w:val="0"/>
        <w:autoSpaceDN w:val="0"/>
        <w:adjustRightInd w:val="0"/>
        <w:jc w:val="both"/>
        <w:rPr>
          <w:color w:val="000000" w:themeColor="text1"/>
          <w:sz w:val="16"/>
          <w:szCs w:val="16"/>
        </w:rPr>
      </w:pPr>
    </w:p>
    <w:p w14:paraId="68A481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7461 Об обеспечении НКО СССР маскировочными красками. РГАНИР, Фонд ГКО, д. 366, лл. 223-225, 226 (11012).</w:t>
      </w:r>
    </w:p>
    <w:p w14:paraId="0A010074" w14:textId="77777777" w:rsidR="00C2313B" w:rsidRPr="00925F26" w:rsidRDefault="00C2313B" w:rsidP="00925F26">
      <w:pPr>
        <w:autoSpaceDE w:val="0"/>
        <w:autoSpaceDN w:val="0"/>
        <w:adjustRightInd w:val="0"/>
        <w:jc w:val="both"/>
        <w:rPr>
          <w:color w:val="000000" w:themeColor="text1"/>
          <w:sz w:val="16"/>
          <w:szCs w:val="16"/>
        </w:rPr>
      </w:pPr>
    </w:p>
    <w:p w14:paraId="637B0C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7462 Об обеспечении монтажа радиолокационных приборов на кораблях и береговых установках Наркомвоенморфлота. РГАНИР, Фонд ГКО, д. 366, лл. 227-229, 230-231 (11012).</w:t>
      </w:r>
    </w:p>
    <w:p w14:paraId="0294B01C" w14:textId="77777777" w:rsidR="00C2313B" w:rsidRPr="00925F26" w:rsidRDefault="00C2313B" w:rsidP="00925F26">
      <w:pPr>
        <w:autoSpaceDE w:val="0"/>
        <w:autoSpaceDN w:val="0"/>
        <w:adjustRightInd w:val="0"/>
        <w:jc w:val="both"/>
        <w:rPr>
          <w:color w:val="000000" w:themeColor="text1"/>
          <w:sz w:val="16"/>
          <w:szCs w:val="16"/>
        </w:rPr>
      </w:pPr>
    </w:p>
    <w:p w14:paraId="1D34E17D"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7464 О ремонте узкоколейного железнодорожного транспорта Главторфа НКЭС. (7305, 238-242,243-247).</w:t>
      </w:r>
    </w:p>
    <w:p w14:paraId="10BB3E8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A5B4BE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B7D102E" w14:textId="77777777" w:rsidR="00C2313B" w:rsidRPr="00925F26" w:rsidRDefault="00C2313B" w:rsidP="00925F26">
      <w:pPr>
        <w:autoSpaceDE w:val="0"/>
        <w:autoSpaceDN w:val="0"/>
        <w:adjustRightInd w:val="0"/>
        <w:jc w:val="both"/>
        <w:rPr>
          <w:iCs/>
          <w:color w:val="000000" w:themeColor="text1"/>
          <w:sz w:val="16"/>
          <w:szCs w:val="16"/>
        </w:rPr>
      </w:pPr>
    </w:p>
    <w:p w14:paraId="27E26E08" w14:textId="77777777" w:rsidR="003D013D" w:rsidRPr="00925F26" w:rsidRDefault="003D013D" w:rsidP="00925F26">
      <w:pPr>
        <w:jc w:val="both"/>
        <w:rPr>
          <w:color w:val="000000" w:themeColor="text1"/>
          <w:sz w:val="16"/>
          <w:szCs w:val="16"/>
        </w:rPr>
      </w:pPr>
      <w:r w:rsidRPr="00925F26">
        <w:rPr>
          <w:bCs/>
          <w:color w:val="000000" w:themeColor="text1"/>
          <w:sz w:val="16"/>
          <w:szCs w:val="16"/>
        </w:rPr>
        <w:t>1 февраля</w:t>
      </w:r>
      <w:r w:rsidRPr="00925F26">
        <w:rPr>
          <w:color w:val="000000" w:themeColor="text1"/>
          <w:sz w:val="16"/>
          <w:szCs w:val="16"/>
        </w:rPr>
        <w:t xml:space="preserve"> в 1945 году оперативная сводка Совинформбюро:</w:t>
      </w:r>
    </w:p>
    <w:p w14:paraId="34A40106" w14:textId="77777777" w:rsidR="003D013D" w:rsidRPr="00925F26" w:rsidRDefault="003D013D" w:rsidP="00925F26">
      <w:pPr>
        <w:jc w:val="both"/>
        <w:rPr>
          <w:color w:val="000000" w:themeColor="text1"/>
          <w:sz w:val="16"/>
          <w:szCs w:val="16"/>
        </w:rPr>
      </w:pPr>
      <w:r w:rsidRPr="00925F26">
        <w:rPr>
          <w:color w:val="000000" w:themeColor="text1"/>
          <w:sz w:val="16"/>
          <w:szCs w:val="16"/>
        </w:rPr>
        <w:t>«В течение 1 февраля в Восточной Пруссии наши войска продолжали вести наступательные бои, в ходе которых овладели городом Зеeбург, а также с боями заняли более 50 других населённых пунктов и среди них Другенен, Куменен, Поерштитен, Понакен, Шудиттен (17 километров северо-западнее Кенигсберга), Кнаутен, Роггенхаузен, Толнигr, Зигфридсвальде, Лекиттен, Флеминг, Эшенау, Глоттау.</w:t>
      </w:r>
    </w:p>
    <w:p w14:paraId="12C80E09" w14:textId="77777777" w:rsidR="003D013D" w:rsidRPr="00925F26" w:rsidRDefault="003D013D" w:rsidP="00925F26">
      <w:pPr>
        <w:jc w:val="both"/>
        <w:rPr>
          <w:color w:val="000000" w:themeColor="text1"/>
          <w:sz w:val="16"/>
          <w:szCs w:val="16"/>
        </w:rPr>
      </w:pPr>
      <w:r w:rsidRPr="00925F26">
        <w:rPr>
          <w:color w:val="000000" w:themeColor="text1"/>
          <w:sz w:val="16"/>
          <w:szCs w:val="16"/>
        </w:rPr>
        <w:t>Войска 2-го Белорусского фронта, сломив сопротивление окружённой группировки противника, 1 февраля штурмом овладели городом и крепостью Торунь (Торн)— важным узлом коммуникаций и мощным опорным пунктом обороны немцев на реке Висла.</w:t>
      </w:r>
    </w:p>
    <w:p w14:paraId="1FCF345B"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Севернее и северо-западнее города Шнайдемюль наши войска, продолжая наступление, овладели городом Ратцебур, а также с боями заняли населённые пункты Пиннов, Бризенитц, Цамборст, Виссульке, Лебенке, Шпрингберг. Наши войска окружили гарнизон противника в городе Шнайдемюль и вели бои по его уничтожению.</w:t>
      </w:r>
    </w:p>
    <w:p w14:paraId="6B184CAA"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Северо-восточнее и восточнее Франкфурта-на-Одере наши войска с боем овладели городом и железнодорожным узлом Шверин, а также заняли на территории Бранденбургской провинции более 100 других населённых пунктов, в том числе крупные населённые пункты Либенов, Дюрингсхоф, Хаммер, Кенигсвальде, Глайссен, Зеерен, Лагов, Мюльбок, Гризель, Лайтерсдорф.</w:t>
      </w:r>
    </w:p>
    <w:p w14:paraId="1E420C26" w14:textId="77777777" w:rsidR="003D013D" w:rsidRPr="00925F26" w:rsidRDefault="003D013D" w:rsidP="00925F26">
      <w:pPr>
        <w:jc w:val="both"/>
        <w:rPr>
          <w:color w:val="000000" w:themeColor="text1"/>
          <w:sz w:val="16"/>
          <w:szCs w:val="16"/>
        </w:rPr>
      </w:pPr>
      <w:r w:rsidRPr="00925F26">
        <w:rPr>
          <w:color w:val="000000" w:themeColor="text1"/>
          <w:sz w:val="16"/>
          <w:szCs w:val="16"/>
        </w:rPr>
        <w:t>В районе Познани продолжались бои по уничтожению окружённых в городе частей противника.</w:t>
      </w:r>
    </w:p>
    <w:p w14:paraId="66D8C0FB" w14:textId="77777777" w:rsidR="003D013D" w:rsidRPr="00925F26" w:rsidRDefault="003D013D" w:rsidP="00925F26">
      <w:pPr>
        <w:jc w:val="both"/>
        <w:rPr>
          <w:color w:val="000000" w:themeColor="text1"/>
          <w:sz w:val="16"/>
          <w:szCs w:val="16"/>
        </w:rPr>
      </w:pPr>
      <w:r w:rsidRPr="00925F26">
        <w:rPr>
          <w:color w:val="000000" w:themeColor="text1"/>
          <w:sz w:val="16"/>
          <w:szCs w:val="16"/>
        </w:rPr>
        <w:t>Западнее города Лешно (Лисса) наши войска пересекли германскую границу и с боем овладели на территории Германии городами Шлезирзе и Фрауштадт, а также с боями заняли более 50 других населённых пунктов, среди которых крупные населённые пункты Шуссенце, Шенаве, Мерцдорф, Лангемарк, Курсдорф, Шлихтингсхайм.</w:t>
      </w:r>
    </w:p>
    <w:p w14:paraId="24703959"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наши войска продолжали вести бои по уничтожению окружённого гарнизона противника в западной части города (Буда) и заняли несколько кварталов.</w:t>
      </w:r>
    </w:p>
    <w:p w14:paraId="0054CED9" w14:textId="77777777" w:rsidR="003D013D" w:rsidRPr="00925F26" w:rsidRDefault="003D013D" w:rsidP="00925F26">
      <w:pPr>
        <w:jc w:val="both"/>
        <w:rPr>
          <w:color w:val="000000" w:themeColor="text1"/>
          <w:sz w:val="16"/>
          <w:szCs w:val="16"/>
        </w:rPr>
      </w:pPr>
      <w:r w:rsidRPr="00925F26">
        <w:rPr>
          <w:color w:val="000000" w:themeColor="text1"/>
          <w:sz w:val="16"/>
          <w:szCs w:val="16"/>
        </w:rPr>
        <w:t>За 31 января на всех фронтах подбито и уничтожено 195 немецких танков. В воздушных боях и огнём зенитной артиллерии сбито 26 самолётов противника.</w:t>
      </w:r>
    </w:p>
    <w:p w14:paraId="50900132" w14:textId="77777777" w:rsidR="003D013D" w:rsidRPr="00925F26" w:rsidRDefault="003D013D" w:rsidP="00925F26">
      <w:pPr>
        <w:jc w:val="both"/>
        <w:rPr>
          <w:color w:val="000000" w:themeColor="text1"/>
          <w:sz w:val="16"/>
          <w:szCs w:val="16"/>
        </w:rPr>
      </w:pPr>
      <w:r w:rsidRPr="00925F26">
        <w:rPr>
          <w:color w:val="000000" w:themeColor="text1"/>
          <w:sz w:val="16"/>
          <w:szCs w:val="16"/>
        </w:rPr>
        <w:t>В Восточной Пруссии наши войска продолжали наступление. Части Н-ского соединения, действующие северо-западнее города Кенигсберг, переправились через реку Мюленфлис, заняли ряд населённых пунктов и ведут бои в 12 километрах от побережья Данцигской бухты. Ожесточённые бои происходили также за сильно укреплённый город Зеебург. Противник, опираясь на заранее подготовленные позиции, оказывал упорное сопротивление. Советские пехотинцы и танкисты преодолели полосу немецкой обороны и овладели городом Зеебург. В течение дня уничтожено несколько тысяч гитлеровцев. Подбито и сожжено более 40 немецких танков. Захвачены трофеи, в числе которых 25 танков и самоходных орудий, 49 полевых орудий, 6 паровозов и 150 вагонов с грузами. Взято в плен свыше 2.000 немцев.</w:t>
      </w:r>
    </w:p>
    <w:p w14:paraId="3F8AB501"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Северо-западнее города Алленштайн наши войска, успешно отразив попытки немцев пробиться в западном направлении, нанесли им тяжёлые потери. Места боёв усеяны трупами гитлеровцев, разбитой техникой и вооружением противника.</w:t>
      </w:r>
    </w:p>
    <w:p w14:paraId="474EC76C" w14:textId="77777777" w:rsidR="003D013D" w:rsidRPr="00925F26" w:rsidRDefault="003D013D" w:rsidP="00925F26">
      <w:pPr>
        <w:jc w:val="both"/>
        <w:rPr>
          <w:color w:val="000000" w:themeColor="text1"/>
          <w:sz w:val="16"/>
          <w:szCs w:val="16"/>
        </w:rPr>
      </w:pPr>
      <w:r w:rsidRPr="00925F26">
        <w:rPr>
          <w:color w:val="000000" w:themeColor="text1"/>
          <w:sz w:val="16"/>
          <w:szCs w:val="16"/>
        </w:rPr>
        <w:t>Войска 2-го Белорусского фронта сегодня штурмом овладели городом и крепостью Торунь (Торн). Подступы к Торуни прикрыты двенадцатью фортами с трёхметровыми бетонированными стенами. Впереди фортов проходила полоса укреплений полевого типа, проволочные заграждения, противотанковый ров и широкие минные поля. Крепость обороняли специально подготовленные крепостные батальоны и другие части противника, располагавшие большим количеством артиллерии. Немецкий гарнизон получил от гитлеровского командования строжайший приказ сражаться до последнего человека. Специальные группы эсэсовцев расстреливали на месте солдат, пытавшихся сдаться в плен. Мощным ударом с трёх сторон наши войска прорвали полевые укрепления противника, уничтожив при этом два полка вражеской пехоты. После упорных боёв на подступах к городу советские части, поддержанные огнём артиллерии, пошли на штурм крепости. Гитлеровцы яростно сопротивлялись, но не смогли сдержать напора наших войск. Один за другим пали все форты. Советские штурмовые отряды стремительно продвинулись вперёд и расчленили гарнизон противника. Одна группа вражеской пехоты пыталась вырваться из города в северо-западном направлении. Наши войска атаковали немцев со всех сторон. В непродолжительном бою колонна немцев численностью до полутора полков пехоты была разгромлена. Большая часть гитлеровцев истреблена, а остальные сложили оружие и сдались в плен.</w:t>
      </w:r>
    </w:p>
    <w:p w14:paraId="34454ED4"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Северо-восточнее и восточнее Франкфурта-на-Одере наши войска продолжали наступление. В результате ожесточённых боёв - советские части овладели городом Шверин — важным опорным пунктом немецкой обороны, расположенным при впадении реки Обра в судоходную реку Варта. Другие наши части, уничтожая на своём пути войска противника, продвинулись вперёд на 20 километров. Занят населённый пункт Лагов, находящийся в 50 километрах от города Франкфурт-на-Одре. По неполным данным, наши войска за день истребили до 3 тысяч немецких солдат и офицеров и взяли 1.617 пленных. Захвачены у немцев большие трофеи, в том числе 247 орудий и 150 бронетранспортёров.</w:t>
      </w:r>
    </w:p>
    <w:p w14:paraId="61EDF7A0" w14:textId="77777777" w:rsidR="003D013D" w:rsidRPr="00925F26" w:rsidRDefault="003D013D" w:rsidP="00925F26">
      <w:pPr>
        <w:jc w:val="both"/>
        <w:rPr>
          <w:color w:val="000000" w:themeColor="text1"/>
          <w:sz w:val="16"/>
          <w:szCs w:val="16"/>
        </w:rPr>
      </w:pPr>
      <w:r w:rsidRPr="00925F26">
        <w:rPr>
          <w:color w:val="000000" w:themeColor="text1"/>
          <w:sz w:val="16"/>
          <w:szCs w:val="16"/>
        </w:rPr>
        <w:t>Западнее города Лешно (Лисса) наши войска, преодолевая сопротивление противника, пересекли польско-германскую границу и углубились на территорию Германии на 20 километров. Советские части овладели немецкими городами Шлезирзе и Фрауштадт — сильно укреплёнными опорными пунктами обороны противника. Занята также железнодорожная станция Шлихтингсхайм у реки Одер. За последние дни наши войска разгромили в лесах в районе города Лешно две группировки немцев. За два дня боёв уничтожено несколько тысяч солдат и офицеров противника. Взято в плен 2.800 немцев.» (15027).</w:t>
      </w:r>
    </w:p>
    <w:p w14:paraId="0141A273" w14:textId="77777777" w:rsidR="003D013D" w:rsidRPr="00925F26" w:rsidRDefault="003D013D" w:rsidP="00925F26">
      <w:pPr>
        <w:jc w:val="both"/>
        <w:rPr>
          <w:color w:val="000000" w:themeColor="text1"/>
          <w:sz w:val="16"/>
          <w:szCs w:val="16"/>
        </w:rPr>
      </w:pPr>
    </w:p>
    <w:p w14:paraId="4E01C9C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советские войска освободили от фашистов Торунь (Польша) (4962).</w:t>
      </w:r>
    </w:p>
    <w:p w14:paraId="35A6B36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73C7E9B"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1, 1945: In its drive toward the Oder, the Soviet 1st Belorussian Front (Zhukov) reaches the river NW of Kustrin. Since the beginning of the Soviet offensive in East Prussia that started on Jan 20, the Kriegsmarine has evacuated by sea 140,000 cvilian refugees and 18,000 wounded soldiers (3819).</w:t>
      </w:r>
    </w:p>
    <w:p w14:paraId="46D1EF81" w14:textId="77777777" w:rsidR="00C2313B" w:rsidRPr="00925F26" w:rsidRDefault="00C2313B" w:rsidP="00925F26">
      <w:pPr>
        <w:autoSpaceDE w:val="0"/>
        <w:autoSpaceDN w:val="0"/>
        <w:adjustRightInd w:val="0"/>
        <w:jc w:val="both"/>
        <w:rPr>
          <w:color w:val="000000" w:themeColor="text1"/>
          <w:sz w:val="16"/>
          <w:szCs w:val="16"/>
          <w:lang w:val="en-US"/>
        </w:rPr>
      </w:pPr>
    </w:p>
    <w:p w14:paraId="7EDDF09D"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1 February 1945 (February) Red Army crosses River Oder and advances into Germany (270).</w:t>
      </w:r>
    </w:p>
    <w:p w14:paraId="2364C58D" w14:textId="77777777" w:rsidR="00C2313B" w:rsidRPr="00925F26" w:rsidRDefault="00C2313B" w:rsidP="00925F26">
      <w:pPr>
        <w:autoSpaceDE w:val="0"/>
        <w:autoSpaceDN w:val="0"/>
        <w:adjustRightInd w:val="0"/>
        <w:jc w:val="both"/>
        <w:rPr>
          <w:color w:val="000000" w:themeColor="text1"/>
          <w:sz w:val="16"/>
          <w:szCs w:val="16"/>
          <w:lang w:val="en-US"/>
        </w:rPr>
      </w:pPr>
    </w:p>
    <w:p w14:paraId="6BFB784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СА форсировала Одер и продвинулась в Германию (270).</w:t>
      </w:r>
    </w:p>
    <w:p w14:paraId="294235A1" w14:textId="77777777" w:rsidR="00C2313B" w:rsidRPr="00925F26" w:rsidRDefault="00C2313B" w:rsidP="00925F26">
      <w:pPr>
        <w:autoSpaceDE w:val="0"/>
        <w:autoSpaceDN w:val="0"/>
        <w:adjustRightInd w:val="0"/>
        <w:jc w:val="both"/>
        <w:rPr>
          <w:color w:val="000000" w:themeColor="text1"/>
          <w:sz w:val="16"/>
          <w:szCs w:val="16"/>
        </w:rPr>
      </w:pPr>
    </w:p>
    <w:p w14:paraId="6C10227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Распоряжение ГКО № 7433 [О сокращении штатной численности МПВО г. Ленинграда.] (7304, 58-59).</w:t>
      </w:r>
    </w:p>
    <w:p w14:paraId="4206822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EBAD2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Распоряжение ГКО № 7434. О введении в феврале и марте 1945 г. зимних норм снабжения хлебом личного состава ТОФ и войск НКВД в Забайкальском, Хабаровском, Грузинском и Азербайджанском ВО. РГАНИР, Фонд ГКО, д. 365, лл. 60 (11012).</w:t>
      </w:r>
    </w:p>
    <w:p w14:paraId="3021C0AA" w14:textId="77777777" w:rsidR="00C2313B" w:rsidRPr="00925F26" w:rsidRDefault="00C2313B" w:rsidP="00925F26">
      <w:pPr>
        <w:autoSpaceDE w:val="0"/>
        <w:autoSpaceDN w:val="0"/>
        <w:adjustRightInd w:val="0"/>
        <w:jc w:val="both"/>
        <w:rPr>
          <w:color w:val="000000" w:themeColor="text1"/>
          <w:sz w:val="16"/>
          <w:szCs w:val="16"/>
        </w:rPr>
      </w:pPr>
    </w:p>
    <w:p w14:paraId="19E90F8E"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Распоряжение ГКО № 7435 [О выделении 5500 т картофеля НКВМФ из госрезерва в Украинской ССР.] (7304, 61).</w:t>
      </w:r>
    </w:p>
    <w:p w14:paraId="1D066D3D"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A998EE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7463 О подготовке в 1945 г. шоферов-стажеров для Красной Армии. (7305, 232-236,237).</w:t>
      </w:r>
    </w:p>
    <w:p w14:paraId="100C3AA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0326FA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9F358B3" w14:textId="77777777" w:rsidR="00C2313B" w:rsidRPr="00925F26" w:rsidRDefault="00C2313B" w:rsidP="00925F26">
      <w:pPr>
        <w:autoSpaceDE w:val="0"/>
        <w:autoSpaceDN w:val="0"/>
        <w:adjustRightInd w:val="0"/>
        <w:jc w:val="both"/>
        <w:rPr>
          <w:iCs/>
          <w:color w:val="000000" w:themeColor="text1"/>
          <w:sz w:val="16"/>
          <w:szCs w:val="16"/>
        </w:rPr>
      </w:pPr>
    </w:p>
    <w:p w14:paraId="379EB9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7448 О размещении заказов для нужд фронта на предприятиях г. Мишколц (Венгрия). РГАНИР, Фонд ГКО, д. 365, лл. 105-106, 107-110 (11012).</w:t>
      </w:r>
    </w:p>
    <w:p w14:paraId="5F4C861C" w14:textId="77777777" w:rsidR="00C2313B" w:rsidRPr="00925F26" w:rsidRDefault="00C2313B" w:rsidP="00925F26">
      <w:pPr>
        <w:autoSpaceDE w:val="0"/>
        <w:autoSpaceDN w:val="0"/>
        <w:adjustRightInd w:val="0"/>
        <w:jc w:val="both"/>
        <w:rPr>
          <w:color w:val="000000" w:themeColor="text1"/>
          <w:sz w:val="16"/>
          <w:szCs w:val="16"/>
        </w:rPr>
      </w:pPr>
    </w:p>
    <w:p w14:paraId="15C1B6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7449 О размещении заказов для нужд народного хозяйства СССР на предприятиях г. г. Мишколц и Озд (Венгрия). РГАНИР, Фонд ГКО, д. 365, лл. 111, 112-113 (11012).</w:t>
      </w:r>
    </w:p>
    <w:p w14:paraId="43859CB6" w14:textId="77777777" w:rsidR="00C2313B" w:rsidRPr="00925F26" w:rsidRDefault="00C2313B" w:rsidP="00925F26">
      <w:pPr>
        <w:autoSpaceDE w:val="0"/>
        <w:autoSpaceDN w:val="0"/>
        <w:adjustRightInd w:val="0"/>
        <w:jc w:val="both"/>
        <w:rPr>
          <w:color w:val="000000" w:themeColor="text1"/>
          <w:sz w:val="16"/>
          <w:szCs w:val="16"/>
        </w:rPr>
      </w:pPr>
    </w:p>
    <w:p w14:paraId="77D9C9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вышло Постановление ГКО № 7450 Об организации в г. Будапешт на заводе Хофнер и Шранц базы по капитальному ремонту средних и тяжелых танков. РГАНИР, Фонд ГКО, д. 365, лл. 114-115 (11012).</w:t>
      </w:r>
    </w:p>
    <w:p w14:paraId="790ACC54" w14:textId="77777777" w:rsidR="00C2313B" w:rsidRPr="00925F26" w:rsidRDefault="00C2313B" w:rsidP="00925F26">
      <w:pPr>
        <w:autoSpaceDE w:val="0"/>
        <w:autoSpaceDN w:val="0"/>
        <w:adjustRightInd w:val="0"/>
        <w:jc w:val="both"/>
        <w:rPr>
          <w:color w:val="000000" w:themeColor="text1"/>
          <w:sz w:val="16"/>
          <w:szCs w:val="16"/>
        </w:rPr>
      </w:pPr>
    </w:p>
    <w:p w14:paraId="2E4DAD5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4FF17E6" w14:textId="77777777" w:rsidR="00C2313B" w:rsidRPr="00925F26" w:rsidRDefault="00C2313B" w:rsidP="00925F26">
      <w:pPr>
        <w:autoSpaceDE w:val="0"/>
        <w:autoSpaceDN w:val="0"/>
        <w:adjustRightInd w:val="0"/>
        <w:jc w:val="both"/>
        <w:rPr>
          <w:iCs/>
          <w:color w:val="000000" w:themeColor="text1"/>
          <w:sz w:val="16"/>
          <w:szCs w:val="16"/>
        </w:rPr>
      </w:pPr>
    </w:p>
    <w:p w14:paraId="7944CF15" w14:textId="77777777" w:rsidR="003D013D" w:rsidRPr="00925F26" w:rsidRDefault="003D013D" w:rsidP="00925F26">
      <w:pPr>
        <w:jc w:val="both"/>
        <w:rPr>
          <w:color w:val="000000" w:themeColor="text1"/>
          <w:sz w:val="16"/>
          <w:szCs w:val="16"/>
        </w:rPr>
      </w:pPr>
      <w:r w:rsidRPr="00925F26">
        <w:rPr>
          <w:bCs/>
          <w:color w:val="000000" w:themeColor="text1"/>
          <w:sz w:val="16"/>
          <w:szCs w:val="16"/>
        </w:rPr>
        <w:t>1 февраля</w:t>
      </w:r>
      <w:r w:rsidRPr="00925F26">
        <w:rPr>
          <w:color w:val="000000" w:themeColor="text1"/>
          <w:sz w:val="16"/>
          <w:szCs w:val="16"/>
        </w:rPr>
        <w:t xml:space="preserve"> в 1945 году первый полет истребителя</w:t>
      </w:r>
      <w:hyperlink r:id="rId26" w:tgtFrame="_blank" w:history="1">
        <w:r w:rsidRPr="00925F26">
          <w:rPr>
            <w:color w:val="000000" w:themeColor="text1"/>
            <w:sz w:val="16"/>
            <w:szCs w:val="16"/>
          </w:rPr>
          <w:t xml:space="preserve"> «Kawasaki Ki-100». </w:t>
        </w:r>
      </w:hyperlink>
    </w:p>
    <w:p w14:paraId="5FC954A2" w14:textId="77777777" w:rsidR="003D013D" w:rsidRPr="00925F26" w:rsidRDefault="003D013D" w:rsidP="00925F26">
      <w:pPr>
        <w:jc w:val="both"/>
        <w:rPr>
          <w:color w:val="000000" w:themeColor="text1"/>
          <w:sz w:val="16"/>
          <w:szCs w:val="16"/>
        </w:rPr>
      </w:pPr>
    </w:p>
    <w:p w14:paraId="0BEE518E" w14:textId="77777777" w:rsidR="002A4526" w:rsidRPr="00925F26" w:rsidRDefault="002A4526" w:rsidP="00925F26">
      <w:pPr>
        <w:jc w:val="both"/>
        <w:rPr>
          <w:color w:val="000000" w:themeColor="text1"/>
          <w:sz w:val="16"/>
          <w:szCs w:val="16"/>
        </w:rPr>
      </w:pPr>
      <w:r w:rsidRPr="00925F26">
        <w:rPr>
          <w:color w:val="000000" w:themeColor="text1"/>
          <w:sz w:val="16"/>
          <w:szCs w:val="16"/>
        </w:rPr>
        <w:t>1 февраля 1945 первый полет Kawasaki Ki-100 (20371).</w:t>
      </w:r>
    </w:p>
    <w:p w14:paraId="50BB75D9" w14:textId="77777777" w:rsidR="002A4526" w:rsidRPr="00925F26" w:rsidRDefault="002A4526" w:rsidP="00925F26">
      <w:pPr>
        <w:jc w:val="both"/>
        <w:rPr>
          <w:color w:val="000000" w:themeColor="text1"/>
          <w:sz w:val="16"/>
          <w:szCs w:val="16"/>
        </w:rPr>
      </w:pPr>
    </w:p>
    <w:p w14:paraId="49C0BC5E" w14:textId="77777777" w:rsidR="003D013D" w:rsidRPr="00925F26" w:rsidRDefault="003D013D" w:rsidP="00925F26">
      <w:pPr>
        <w:jc w:val="both"/>
        <w:rPr>
          <w:color w:val="000000" w:themeColor="text1"/>
          <w:sz w:val="16"/>
          <w:szCs w:val="16"/>
        </w:rPr>
      </w:pPr>
      <w:r w:rsidRPr="00925F26">
        <w:rPr>
          <w:bCs/>
          <w:color w:val="000000" w:themeColor="text1"/>
          <w:sz w:val="16"/>
          <w:szCs w:val="16"/>
        </w:rPr>
        <w:t>1 февраля</w:t>
      </w:r>
      <w:r w:rsidRPr="00925F26">
        <w:rPr>
          <w:color w:val="000000" w:themeColor="text1"/>
          <w:sz w:val="16"/>
          <w:szCs w:val="16"/>
        </w:rPr>
        <w:t xml:space="preserve"> в 1945 году немецкие дивизионы проводившие стрельбы ракетами "A-4"/SS-1/Scunner были переименованы: 836-й в 901-й, 485-й в 902-й, SS Werfer Batterie 500 в SS Werfer Abteilung Batterie 500 (15027).</w:t>
      </w:r>
    </w:p>
    <w:p w14:paraId="0207431C" w14:textId="77777777" w:rsidR="003D013D" w:rsidRPr="00925F26" w:rsidRDefault="003D013D" w:rsidP="00925F26">
      <w:pPr>
        <w:jc w:val="both"/>
        <w:rPr>
          <w:color w:val="000000" w:themeColor="text1"/>
          <w:sz w:val="16"/>
          <w:szCs w:val="16"/>
        </w:rPr>
      </w:pPr>
    </w:p>
    <w:p w14:paraId="45B2F397" w14:textId="77777777" w:rsidR="00382F18" w:rsidRPr="00925F26" w:rsidRDefault="00382F18" w:rsidP="00925F26">
      <w:pPr>
        <w:jc w:val="both"/>
        <w:rPr>
          <w:color w:val="000000" w:themeColor="text1"/>
          <w:sz w:val="16"/>
          <w:szCs w:val="16"/>
        </w:rPr>
      </w:pPr>
      <w:r w:rsidRPr="00925F26">
        <w:rPr>
          <w:color w:val="000000" w:themeColor="text1"/>
          <w:sz w:val="16"/>
          <w:szCs w:val="16"/>
        </w:rPr>
        <w:t xml:space="preserve">По состоянию на 1 февраля 1945 г. в ракетном центре Пенемюнде работали 4325 человек, в  т.ч. 778 женщин (18 %). Из них примерно 2 тысячи занимались устранением недостатков в ракете А4, 270 — крылатой ракетой А4b, 1220 — управляемей зенитной ракетой «Водопад», 185 — неуправляемой зенитной ракетой «Тайфун». Остальные 650 человек — сотрудники администрация и люди, отвечавшие за материально-техническое и бытовое обеспечение. Эвакуация началась 17 февраля. За неделю две тысячи автомашин с тысячью прицепов вывезли научных и технических сотрудников ракетного центра вместе </w:t>
      </w:r>
      <w:proofErr w:type="gramStart"/>
      <w:r w:rsidRPr="00925F26">
        <w:rPr>
          <w:color w:val="000000" w:themeColor="text1"/>
          <w:sz w:val="16"/>
          <w:szCs w:val="16"/>
        </w:rPr>
        <w:t>с  семьями</w:t>
      </w:r>
      <w:proofErr w:type="gramEnd"/>
      <w:r w:rsidRPr="00925F26">
        <w:rPr>
          <w:color w:val="000000" w:themeColor="text1"/>
          <w:sz w:val="16"/>
          <w:szCs w:val="16"/>
        </w:rPr>
        <w:t xml:space="preserve">, документацию, аппаратуру. Часть их разместили в Нордхаузене, остальных в небольших окрестных городах Бляйхероде (Bleicherode), Бад-Закса (Bad Sachsa), Зангерхаузен (Sangerhausen) или в деревнях. Опасаясь, что чертежи и рабочая документация могут быть уничтожены людьми Каммлера, Браун приказал спрятать их в заброшенной железнорудной шахте около города Гослар, на северозападе от Нордхаузена. (В мае 1945 г. контрразведка армии США нашла это место после допросов Брауна и Дорнбергера. Американцы извлекли из шахты 14 тонн документов!) В  Пенемюнде остался только персонал полигона. Последняя ракета А4 взлетела с  площадки на Узедоме 14 февраля. </w:t>
      </w:r>
      <w:proofErr w:type="gramStart"/>
      <w:r w:rsidRPr="00925F26">
        <w:rPr>
          <w:color w:val="000000" w:themeColor="text1"/>
          <w:sz w:val="16"/>
          <w:szCs w:val="16"/>
        </w:rPr>
        <w:t>В  конце</w:t>
      </w:r>
      <w:proofErr w:type="gramEnd"/>
      <w:r w:rsidRPr="00925F26">
        <w:rPr>
          <w:color w:val="000000" w:themeColor="text1"/>
          <w:sz w:val="16"/>
          <w:szCs w:val="16"/>
        </w:rPr>
        <w:t xml:space="preserve"> марта уехл и этот персонал, тогда же армейские саперы взорвали стартовые столы </w:t>
      </w:r>
      <w:proofErr w:type="gramStart"/>
      <w:r w:rsidRPr="00925F26">
        <w:rPr>
          <w:color w:val="000000" w:themeColor="text1"/>
          <w:sz w:val="16"/>
          <w:szCs w:val="16"/>
        </w:rPr>
        <w:t>и  другие</w:t>
      </w:r>
      <w:proofErr w:type="gramEnd"/>
      <w:r w:rsidRPr="00925F26">
        <w:rPr>
          <w:color w:val="000000" w:themeColor="text1"/>
          <w:sz w:val="16"/>
          <w:szCs w:val="16"/>
        </w:rPr>
        <w:t xml:space="preserve"> сооружения, крупногабаритное оборудование, не подлежавшее вывозу (23372).</w:t>
      </w:r>
    </w:p>
    <w:p w14:paraId="7D37D0AD" w14:textId="77777777" w:rsidR="00382F18" w:rsidRPr="00925F26" w:rsidRDefault="00382F18" w:rsidP="00925F26">
      <w:pPr>
        <w:jc w:val="both"/>
        <w:rPr>
          <w:color w:val="000000" w:themeColor="text1"/>
          <w:sz w:val="16"/>
          <w:szCs w:val="16"/>
        </w:rPr>
      </w:pPr>
    </w:p>
    <w:p w14:paraId="6BA63E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февраля 1945 в освобожденном Кошице начала работать делегация Словацкого национального совета, принявшего на себя функции высшей исполнительной власти (3186).</w:t>
      </w:r>
    </w:p>
    <w:p w14:paraId="63B0BB22" w14:textId="77777777" w:rsidR="00C2313B" w:rsidRPr="00925F26" w:rsidRDefault="00C2313B" w:rsidP="00925F26">
      <w:pPr>
        <w:autoSpaceDE w:val="0"/>
        <w:autoSpaceDN w:val="0"/>
        <w:adjustRightInd w:val="0"/>
        <w:jc w:val="both"/>
        <w:rPr>
          <w:color w:val="000000" w:themeColor="text1"/>
          <w:sz w:val="16"/>
          <w:szCs w:val="16"/>
        </w:rPr>
      </w:pPr>
    </w:p>
    <w:p w14:paraId="0E07E9E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0A45778" w14:textId="77777777" w:rsidR="00C2313B" w:rsidRPr="00925F26" w:rsidRDefault="00C2313B" w:rsidP="00925F26">
      <w:pPr>
        <w:autoSpaceDE w:val="0"/>
        <w:autoSpaceDN w:val="0"/>
        <w:adjustRightInd w:val="0"/>
        <w:jc w:val="both"/>
        <w:rPr>
          <w:iCs/>
          <w:color w:val="000000" w:themeColor="text1"/>
          <w:sz w:val="16"/>
          <w:szCs w:val="16"/>
        </w:rPr>
      </w:pPr>
    </w:p>
    <w:p w14:paraId="165F5BD8" w14:textId="77777777" w:rsidR="001C340E" w:rsidRPr="001A0BAA" w:rsidRDefault="001C340E" w:rsidP="001C340E">
      <w:pPr>
        <w:jc w:val="both"/>
        <w:rPr>
          <w:color w:val="0070C0"/>
          <w:sz w:val="16"/>
          <w:szCs w:val="16"/>
        </w:rPr>
      </w:pPr>
      <w:r w:rsidRPr="001A0BAA">
        <w:rPr>
          <w:color w:val="0070C0"/>
          <w:sz w:val="16"/>
          <w:szCs w:val="16"/>
        </w:rPr>
        <w:t>2 февраля 1945 были проведены испытательные полёты войсковой серии новых штурмовиков Ил-10 на фронте в Германии на реке Нейсе, где 108-й гвардейский штурмовой Равва-Русский полк под командованием Героя Советского Союза полковника Ф.А. Жигаринского наносил удары по мотопехоте и танкам противника в районе Шпроттау. В июне куйбышевские предприятия полностью перешли на новую машину, а сборка Ил-2 была свёрнута (25127).</w:t>
      </w:r>
    </w:p>
    <w:p w14:paraId="63533E2A" w14:textId="77777777" w:rsidR="001C340E" w:rsidRPr="001A0BAA" w:rsidRDefault="001C340E" w:rsidP="001C340E">
      <w:pPr>
        <w:jc w:val="both"/>
        <w:rPr>
          <w:color w:val="0070C0"/>
          <w:sz w:val="16"/>
          <w:szCs w:val="16"/>
        </w:rPr>
      </w:pPr>
    </w:p>
    <w:p w14:paraId="1BBC84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февраля 1945 вышел приказ НКАП о постройке на заводе № 30 в Москве трех опытных экземпляров Ил-16. Пер-выи из них использовали для проведе</w:t>
      </w:r>
      <w:r w:rsidRPr="00925F26">
        <w:rPr>
          <w:color w:val="000000" w:themeColor="text1"/>
          <w:sz w:val="16"/>
          <w:szCs w:val="16"/>
        </w:rPr>
        <w:softHyphen/>
        <w:t>ния статических испытаний, а два других - для летных. Работы над Ил-16 как еще более эффективного бронированного штурмовика начались сразу же после принятия решения о запуске Ил-10 в серию. В первую очередь, планировали улуч</w:t>
      </w:r>
      <w:r w:rsidRPr="00925F26">
        <w:rPr>
          <w:color w:val="000000" w:themeColor="text1"/>
          <w:sz w:val="16"/>
          <w:szCs w:val="16"/>
        </w:rPr>
        <w:softHyphen/>
        <w:t>шить скоростные данные и маневрен</w:t>
      </w:r>
      <w:r w:rsidRPr="00925F26">
        <w:rPr>
          <w:color w:val="000000" w:themeColor="text1"/>
          <w:sz w:val="16"/>
          <w:szCs w:val="16"/>
        </w:rPr>
        <w:softHyphen/>
        <w:t>ность в вертикальной плоскости. Для этого требовалось снизить вес планера и поставить более мощный мотор АМ-43. Новый самолет по схеме и компоновке был подобен пред</w:t>
      </w:r>
      <w:r w:rsidRPr="00925F26">
        <w:rPr>
          <w:color w:val="000000" w:themeColor="text1"/>
          <w:sz w:val="16"/>
          <w:szCs w:val="16"/>
        </w:rPr>
        <w:softHyphen/>
        <w:t>шественнику, но меньше по размерам. Уменьшились размах и площадь крыла, а также длина фюзеляжа. Длина самоле</w:t>
      </w:r>
      <w:r w:rsidRPr="00925F26">
        <w:rPr>
          <w:color w:val="000000" w:themeColor="text1"/>
          <w:sz w:val="16"/>
          <w:szCs w:val="16"/>
        </w:rPr>
        <w:softHyphen/>
        <w:t>та составляла 10,19 м, размах крыла -12,5 м, площадь крыла - 24 м</w:t>
      </w:r>
      <w:r w:rsidRPr="00925F26">
        <w:rPr>
          <w:color w:val="000000" w:themeColor="text1"/>
          <w:sz w:val="16"/>
          <w:szCs w:val="16"/>
          <w:vertAlign w:val="superscript"/>
        </w:rPr>
        <w:t>2</w:t>
      </w:r>
      <w:r w:rsidRPr="00925F26">
        <w:rPr>
          <w:color w:val="000000" w:themeColor="text1"/>
          <w:sz w:val="16"/>
          <w:szCs w:val="16"/>
        </w:rPr>
        <w:t>. Стрело</w:t>
      </w:r>
      <w:r w:rsidRPr="00925F26">
        <w:rPr>
          <w:color w:val="000000" w:themeColor="text1"/>
          <w:sz w:val="16"/>
          <w:szCs w:val="16"/>
        </w:rPr>
        <w:softHyphen/>
        <w:t xml:space="preserve">видность крыла по передней кромке 65°. Предполагалось использовать </w:t>
      </w:r>
      <w:proofErr w:type="gramStart"/>
      <w:r w:rsidRPr="00925F26">
        <w:rPr>
          <w:color w:val="000000" w:themeColor="text1"/>
          <w:sz w:val="16"/>
          <w:szCs w:val="16"/>
        </w:rPr>
        <w:t>четырех-лопастный</w:t>
      </w:r>
      <w:proofErr w:type="gramEnd"/>
      <w:r w:rsidRPr="00925F26">
        <w:rPr>
          <w:color w:val="000000" w:themeColor="text1"/>
          <w:sz w:val="16"/>
          <w:szCs w:val="16"/>
        </w:rPr>
        <w:t xml:space="preserve"> винт диаметром 3,4 м. Экономия веса достигалась отчасти за счет изменения схемы бронирования. В верхней части капота площадь неза</w:t>
      </w:r>
      <w:r w:rsidRPr="00925F26">
        <w:rPr>
          <w:color w:val="000000" w:themeColor="text1"/>
          <w:sz w:val="16"/>
          <w:szCs w:val="16"/>
        </w:rPr>
        <w:softHyphen/>
        <w:t>бронированной части увеличили, а тол</w:t>
      </w:r>
      <w:r w:rsidRPr="00925F26">
        <w:rPr>
          <w:color w:val="000000" w:themeColor="text1"/>
          <w:sz w:val="16"/>
          <w:szCs w:val="16"/>
        </w:rPr>
        <w:softHyphen/>
        <w:t>щину боковых листов уменьшили. Ожидаемая скорость составляла 560 км/ч у земли, на высоте 3400 м - 625 км/ч, посадочная - 145 км/ч, дальность полета на высоте 500 м на скорости 375 км/ч -800 км, время подъема на высоту 5000 м -6,5 мин. Предполагалось вооружение из двух пушек НС-23 (боекомплект 280 снаря</w:t>
      </w:r>
      <w:r w:rsidRPr="00925F26">
        <w:rPr>
          <w:color w:val="000000" w:themeColor="text1"/>
          <w:sz w:val="16"/>
          <w:szCs w:val="16"/>
        </w:rPr>
        <w:softHyphen/>
        <w:t>дов), двух пулеметов ШКАС (1400 патро</w:t>
      </w:r>
      <w:r w:rsidRPr="00925F26">
        <w:rPr>
          <w:color w:val="000000" w:themeColor="text1"/>
          <w:sz w:val="16"/>
          <w:szCs w:val="16"/>
        </w:rPr>
        <w:softHyphen/>
        <w:t>нов), оборонительной пушки УБ-20 (150 снарядов), 10 авиационных гранат АГ-2; нормальная бомбовая нагрузка неболь</w:t>
      </w:r>
      <w:r w:rsidRPr="00925F26">
        <w:rPr>
          <w:color w:val="000000" w:themeColor="text1"/>
          <w:sz w:val="16"/>
          <w:szCs w:val="16"/>
        </w:rPr>
        <w:softHyphen/>
        <w:t xml:space="preserve">шая - 200 кг (в перегрузку 400 кг). Бомбы размещались в двух центропланных </w:t>
      </w:r>
      <w:proofErr w:type="gramStart"/>
      <w:r w:rsidRPr="00925F26">
        <w:rPr>
          <w:color w:val="000000" w:themeColor="text1"/>
          <w:sz w:val="16"/>
          <w:szCs w:val="16"/>
        </w:rPr>
        <w:t>бом-боотсеках</w:t>
      </w:r>
      <w:proofErr w:type="gramEnd"/>
      <w:r w:rsidRPr="00925F26">
        <w:rPr>
          <w:color w:val="000000" w:themeColor="text1"/>
          <w:sz w:val="16"/>
          <w:szCs w:val="16"/>
        </w:rPr>
        <w:t xml:space="preserve"> по типу Ил-10. Позднее вес бомбовой нагрузки увеличили до 400 кг в нормальном и 500 кг в перегрузочном ва</w:t>
      </w:r>
      <w:r w:rsidRPr="00925F26">
        <w:rPr>
          <w:color w:val="000000" w:themeColor="text1"/>
          <w:sz w:val="16"/>
          <w:szCs w:val="16"/>
        </w:rPr>
        <w:softHyphen/>
        <w:t>рианте (10681).</w:t>
      </w:r>
    </w:p>
    <w:p w14:paraId="2A3A411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21893E3E" w14:textId="77777777" w:rsidR="002A4526" w:rsidRPr="00925F26" w:rsidRDefault="002A4526" w:rsidP="00925F26">
      <w:pPr>
        <w:jc w:val="both"/>
        <w:rPr>
          <w:color w:val="000000" w:themeColor="text1"/>
          <w:sz w:val="16"/>
          <w:szCs w:val="16"/>
        </w:rPr>
      </w:pPr>
      <w:r w:rsidRPr="00925F26">
        <w:rPr>
          <w:color w:val="000000" w:themeColor="text1"/>
          <w:sz w:val="16"/>
          <w:szCs w:val="16"/>
        </w:rPr>
        <w:t>2 февраля 1945 Начальник НИИ ВВС генерал-лейтенант Лосюков утвердил отчет по госиспытаниям Су-6 АМ-42, вычеркнув при этом п.2 Заключения.</w:t>
      </w:r>
    </w:p>
    <w:p w14:paraId="29259B8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Опытный Су-6 АМ-42 доводился до января 1945 г., но в связи с закрытием всех работ по нему в ГК НИИ ВВС решили официально прекратить и государственные испытания машины с оформлением отчета «за про</w:t>
      </w:r>
      <w:r w:rsidRPr="00925F26">
        <w:rPr>
          <w:rFonts w:ascii="Times New Roman" w:hAnsi="Times New Roman"/>
          <w:color w:val="000000" w:themeColor="text1"/>
          <w:sz w:val="16"/>
          <w:szCs w:val="16"/>
        </w:rPr>
        <w:softHyphen/>
        <w:t>веденную часть испытательной работы».</w:t>
      </w:r>
    </w:p>
    <w:p w14:paraId="22CC741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 заключении отчета констатирова</w:t>
      </w:r>
      <w:r w:rsidRPr="00925F26">
        <w:rPr>
          <w:rFonts w:ascii="Times New Roman" w:hAnsi="Times New Roman"/>
          <w:color w:val="000000" w:themeColor="text1"/>
          <w:sz w:val="16"/>
          <w:szCs w:val="16"/>
        </w:rPr>
        <w:softHyphen/>
        <w:t>лось:</w:t>
      </w:r>
    </w:p>
    <w:p w14:paraId="188D8AD7" w14:textId="77777777" w:rsidR="002A4526" w:rsidRPr="00925F26" w:rsidRDefault="002A4526"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«1) Опытный 2-х местный брониро</w:t>
      </w:r>
      <w:r w:rsidRPr="00925F26">
        <w:rPr>
          <w:rFonts w:ascii="Times New Roman" w:hAnsi="Times New Roman" w:cs="Times New Roman"/>
          <w:b w:val="0"/>
          <w:bCs w:val="0"/>
          <w:color w:val="000000" w:themeColor="text1"/>
          <w:sz w:val="16"/>
          <w:szCs w:val="16"/>
        </w:rPr>
        <w:softHyphen/>
        <w:t>ванный штурмовик Су-6 с АМ-42 и винтом АВ-9л-172 конструкции т. Сухого по своим летным данным, технике пилотирования и управляемости уступает запущенному в серийное производство самолету Ил-10 с АМ-42 конструкции тов. Ильюшина.</w:t>
      </w:r>
    </w:p>
    <w:p w14:paraId="09142BB5" w14:textId="77777777" w:rsidR="002A4526" w:rsidRPr="00925F26" w:rsidRDefault="002A4526"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2) Запуск Су-6 с АМ-42 в серийное про</w:t>
      </w:r>
      <w:r w:rsidRPr="00925F26">
        <w:rPr>
          <w:rFonts w:ascii="Times New Roman" w:hAnsi="Times New Roman" w:cs="Times New Roman"/>
          <w:b w:val="0"/>
          <w:bCs w:val="0"/>
          <w:color w:val="000000" w:themeColor="text1"/>
          <w:sz w:val="16"/>
          <w:szCs w:val="16"/>
        </w:rPr>
        <w:softHyphen/>
        <w:t>изводство считать нецелесообразным».</w:t>
      </w:r>
    </w:p>
    <w:p w14:paraId="65DD6AC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Материалы отчета и заключение под</w:t>
      </w:r>
      <w:r w:rsidRPr="00925F26">
        <w:rPr>
          <w:rFonts w:ascii="Times New Roman" w:hAnsi="Times New Roman"/>
          <w:color w:val="000000" w:themeColor="text1"/>
          <w:sz w:val="16"/>
          <w:szCs w:val="16"/>
        </w:rPr>
        <w:softHyphen/>
        <w:t>писали: начальник 1-го Управления ГК НИИ ВВС генерал-майор Сафронов и на</w:t>
      </w:r>
      <w:r w:rsidRPr="00925F26">
        <w:rPr>
          <w:rFonts w:ascii="Times New Roman" w:hAnsi="Times New Roman"/>
          <w:color w:val="000000" w:themeColor="text1"/>
          <w:sz w:val="16"/>
          <w:szCs w:val="16"/>
        </w:rPr>
        <w:softHyphen/>
        <w:t>чальник 5-го отдела 1-го Управления ин</w:t>
      </w:r>
      <w:r w:rsidRPr="00925F26">
        <w:rPr>
          <w:rFonts w:ascii="Times New Roman" w:hAnsi="Times New Roman"/>
          <w:color w:val="000000" w:themeColor="text1"/>
          <w:sz w:val="16"/>
          <w:szCs w:val="16"/>
        </w:rPr>
        <w:softHyphen/>
        <w:t>женер-подполковник Холопов.</w:t>
      </w:r>
    </w:p>
    <w:p w14:paraId="7A577FE8" w14:textId="77777777" w:rsidR="002A4526" w:rsidRPr="00925F26" w:rsidRDefault="002A4526" w:rsidP="00925F26">
      <w:pPr>
        <w:jc w:val="both"/>
        <w:rPr>
          <w:color w:val="000000" w:themeColor="text1"/>
          <w:sz w:val="16"/>
          <w:szCs w:val="16"/>
        </w:rPr>
      </w:pPr>
      <w:r w:rsidRPr="00925F26">
        <w:rPr>
          <w:color w:val="000000" w:themeColor="text1"/>
          <w:sz w:val="16"/>
          <w:szCs w:val="16"/>
        </w:rPr>
        <w:t>Летные данные опытных и серийных бронированных штурмовиков Су-6, Ил-2, Ил-8, Ил-10</w:t>
      </w:r>
    </w:p>
    <w:tbl>
      <w:tblPr>
        <w:tblW w:w="0" w:type="auto"/>
        <w:tblInd w:w="-5" w:type="dxa"/>
        <w:tblLayout w:type="fixed"/>
        <w:tblCellMar>
          <w:left w:w="10" w:type="dxa"/>
          <w:right w:w="10" w:type="dxa"/>
        </w:tblCellMar>
        <w:tblLook w:val="0000" w:firstRow="0" w:lastRow="0" w:firstColumn="0" w:lastColumn="0" w:noHBand="0" w:noVBand="0"/>
      </w:tblPr>
      <w:tblGrid>
        <w:gridCol w:w="1560"/>
        <w:gridCol w:w="708"/>
        <w:gridCol w:w="709"/>
        <w:gridCol w:w="709"/>
        <w:gridCol w:w="709"/>
        <w:gridCol w:w="708"/>
        <w:gridCol w:w="709"/>
        <w:gridCol w:w="709"/>
        <w:gridCol w:w="709"/>
        <w:gridCol w:w="708"/>
        <w:gridCol w:w="709"/>
        <w:gridCol w:w="709"/>
        <w:gridCol w:w="709"/>
      </w:tblGrid>
      <w:tr w:rsidR="000F5689" w:rsidRPr="00925F26" w14:paraId="4D5E3E87" w14:textId="77777777" w:rsidTr="00076D96">
        <w:trPr>
          <w:trHeight w:val="107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9D2D907" w14:textId="77777777" w:rsidR="002A4526" w:rsidRPr="00925F26" w:rsidRDefault="002A4526" w:rsidP="00925F26">
            <w:pPr>
              <w:jc w:val="both"/>
              <w:rPr>
                <w:color w:val="000000" w:themeColor="text1"/>
                <w:sz w:val="16"/>
                <w:szCs w:val="16"/>
              </w:rPr>
            </w:pP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8DC8AD3"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Ил-2 опытный з-д №39 ГИ, 03.41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FC6C414"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Су-6 опытный з-д №289 ГИ, 09.41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75CFDD2"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Су-6</w:t>
            </w:r>
            <w:r w:rsidRPr="00925F26">
              <w:rPr>
                <w:rFonts w:ascii="Times New Roman" w:hAnsi="Times New Roman" w:cs="Times New Roman"/>
                <w:color w:val="000000" w:themeColor="text1"/>
                <w:sz w:val="16"/>
                <w:szCs w:val="16"/>
                <w:vertAlign w:val="superscript"/>
                <w:lang w:val="ru-RU"/>
              </w:rPr>
              <w:t xml:space="preserve">1 </w:t>
            </w:r>
            <w:r w:rsidRPr="00925F26">
              <w:rPr>
                <w:rFonts w:ascii="Times New Roman" w:hAnsi="Times New Roman" w:cs="Times New Roman"/>
                <w:color w:val="000000" w:themeColor="text1"/>
                <w:sz w:val="16"/>
                <w:szCs w:val="16"/>
                <w:lang w:val="ru-RU"/>
              </w:rPr>
              <w:t>опытный з-д №289 ГИ, 07.42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8230DD"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Ил-2 №1862402 з-д №18 КИ, 06.41 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E996460"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Ил-2 №1861704 з-д №18 ГИ, 10.41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DACABC3"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Ил-2 №16526 з-д №1 КИ, 04.43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463F77"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Ил-2 №302349 з-д №30 ГИ, 06.43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FD9A16"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Су-6 опытный з-д №289 ГИ, 08.43 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D0D205F"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Су-6</w:t>
            </w:r>
            <w:r w:rsidRPr="00925F26">
              <w:rPr>
                <w:rFonts w:ascii="Times New Roman" w:hAnsi="Times New Roman" w:cs="Times New Roman"/>
                <w:color w:val="000000" w:themeColor="text1"/>
                <w:sz w:val="16"/>
                <w:szCs w:val="16"/>
                <w:vertAlign w:val="superscript"/>
                <w:lang w:val="ru-RU"/>
              </w:rPr>
              <w:t xml:space="preserve">6 </w:t>
            </w:r>
            <w:r w:rsidRPr="00925F26">
              <w:rPr>
                <w:rFonts w:ascii="Times New Roman" w:hAnsi="Times New Roman" w:cs="Times New Roman"/>
                <w:color w:val="000000" w:themeColor="text1"/>
                <w:sz w:val="16"/>
                <w:szCs w:val="16"/>
                <w:lang w:val="ru-RU"/>
              </w:rPr>
              <w:t>опытный з-д №289 ГИ, 07.44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B9FC94E"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Ил-8 опытный з-д №240 ГИ, 04.44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BFAABA6"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Ил-10 опытный з-д №18 з-д №240 ГИ, 05.44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A97D1F4" w14:textId="77777777" w:rsidR="002A4526" w:rsidRPr="00925F26" w:rsidRDefault="002A4526" w:rsidP="00925F26">
            <w:pPr>
              <w:pStyle w:val="57"/>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Ил-10 серийный №1892908 КИ, 07.45 г.</w:t>
            </w:r>
          </w:p>
        </w:tc>
      </w:tr>
      <w:tr w:rsidR="000F5689" w:rsidRPr="00925F26" w14:paraId="142AC98D"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391A66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Число членов экипажа</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5AA4DD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79B57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34115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9891DE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C4CF9B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014B04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BC7D7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265C5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0B0E66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838F6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B212CA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2BBA80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r>
      <w:tr w:rsidR="000F5689" w:rsidRPr="00925F26" w14:paraId="02333ABC"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4882DCF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Тип двигателей</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F64F40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EF1D49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М-71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761D0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М-71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44131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АМ-38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29C739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0BC1A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АМ-38ф</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11BE8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АМ-38ф</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C6E8D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М-71ф</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1DEF82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1E3335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360A9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84034B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АМ-42</w:t>
            </w:r>
          </w:p>
        </w:tc>
      </w:tr>
      <w:tr w:rsidR="000F5689" w:rsidRPr="00925F26" w14:paraId="513BAAB7" w14:textId="77777777" w:rsidTr="00076D96">
        <w:trPr>
          <w:trHeight w:val="46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260E12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 xml:space="preserve">Мощность, </w:t>
            </w:r>
            <w:proofErr w:type="gramStart"/>
            <w:r w:rsidRPr="00925F26">
              <w:rPr>
                <w:rFonts w:ascii="Times New Roman" w:hAnsi="Times New Roman"/>
                <w:color w:val="000000" w:themeColor="text1"/>
                <w:sz w:val="16"/>
                <w:szCs w:val="16"/>
              </w:rPr>
              <w:t>взлет./</w:t>
            </w:r>
            <w:proofErr w:type="gramEnd"/>
            <w:r w:rsidRPr="00925F26">
              <w:rPr>
                <w:rFonts w:ascii="Times New Roman" w:hAnsi="Times New Roman"/>
                <w:color w:val="000000" w:themeColor="text1"/>
                <w:sz w:val="16"/>
                <w:szCs w:val="16"/>
              </w:rPr>
              <w:t xml:space="preserve"> номинал, у земли, л.с.</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9A9E75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1600/1500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1BD29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2000/1600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6B61B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2000/1600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691A34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1623/1525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C31617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1623/1525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D74CC1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1720/1500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4C5D76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1720/1500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4E691B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2200/1800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70215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4BD0CD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3A2209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CA340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2000/1750</w:t>
            </w:r>
          </w:p>
        </w:tc>
      </w:tr>
      <w:tr w:rsidR="000F5689" w:rsidRPr="00925F26" w14:paraId="323AAC36"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911202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Длина самолета,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0B1A5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1FE287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9,13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E6415A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9,13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0A09EF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CFFFD2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A0295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25FF7A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ADA3B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9,24</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E6E13E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9,24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FFE1A6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12,99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48801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11,12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266F10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11,12</w:t>
            </w:r>
          </w:p>
        </w:tc>
      </w:tr>
      <w:tr w:rsidR="000F5689" w:rsidRPr="00925F26" w14:paraId="4A9A8B0B"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FED635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Размах крыла,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08E4A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38077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847B8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A832B7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527CDD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0FDDB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B9629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07FBA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64EAD8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3640F2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0A60F5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A7D4C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13,4</w:t>
            </w:r>
          </w:p>
        </w:tc>
      </w:tr>
      <w:tr w:rsidR="000F5689" w:rsidRPr="00925F26" w14:paraId="7B826259"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5D4FA0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Площадь крыла, м2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68931B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84427E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9BB58E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4D7DA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38,5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EDAB90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7F8117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2C2BB4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39668D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C4174E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28,6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62E5F2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39,02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C04BBC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CA470A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30,0</w:t>
            </w:r>
          </w:p>
        </w:tc>
      </w:tr>
      <w:tr w:rsidR="000F5689" w:rsidRPr="00925F26" w14:paraId="76553C4F"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403ECA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Вес пустого самолета,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59A103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3990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26DEAF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3387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DD159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3727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5935EA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4016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A2600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4076,5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4A5A4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4540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7589E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4678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037C9A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4110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74076C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4370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F1A232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5265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8C2C3F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4680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E3C04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4675</w:t>
            </w:r>
          </w:p>
        </w:tc>
      </w:tr>
      <w:tr w:rsidR="000F5689" w:rsidRPr="00925F26" w14:paraId="2E39412B"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EF7A9F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Полетный вес,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E3F947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5310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82E594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4214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523519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5250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FE813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5336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B0405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5864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0A16B9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6143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A9C1B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6247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A789FD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5534</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09883D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07E58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7260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FCDB2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6335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A7178E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6345</w:t>
            </w:r>
          </w:p>
        </w:tc>
      </w:tr>
      <w:tr w:rsidR="000F5689" w:rsidRPr="00925F26" w14:paraId="4D1D118C"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6585C80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Нагрузка на крыло, кг/м</w:t>
            </w:r>
            <w:r w:rsidRPr="00925F26">
              <w:rPr>
                <w:rFonts w:ascii="Times New Roman" w:hAnsi="Times New Roman"/>
                <w:color w:val="000000" w:themeColor="text1"/>
                <w:sz w:val="16"/>
                <w:szCs w:val="16"/>
                <w:vertAlign w:val="superscript"/>
              </w:rPr>
              <w:t>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857208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137,92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8814D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162,08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954E1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201,92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E24A4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138,60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247A7E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152,31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0158A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159,56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8B2012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162,26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FE3789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212,85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495D22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216,78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2ACBBB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213,30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AA0F7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212,30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20BDC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211,5</w:t>
            </w:r>
          </w:p>
        </w:tc>
      </w:tr>
      <w:tr w:rsidR="000F5689" w:rsidRPr="00925F26" w14:paraId="3715ED4A"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6F36FFA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Нагрузка на мощность, кг/л.с.</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BFB653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3,32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65DE7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13867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1B69C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3,29</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3B53D8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3,61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B0615C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3,57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7EFDF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9E1B1D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2,52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26F648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70ABD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7E442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3,17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098A9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3,17</w:t>
            </w:r>
          </w:p>
        </w:tc>
      </w:tr>
      <w:tr w:rsidR="000F5689" w:rsidRPr="00925F26" w14:paraId="7AABE280"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F3CF91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Вес брони,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12CAC9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811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9E5F06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544673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37E9D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925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811CC0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DCDA90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962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5DA1BA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963,5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B63B2A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642,6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AC99A7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895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37B35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1237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AE861A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1010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FF73B5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994</w:t>
            </w:r>
          </w:p>
        </w:tc>
      </w:tr>
      <w:tr w:rsidR="000F5689" w:rsidRPr="00925F26" w14:paraId="6F1EAF6D" w14:textId="77777777" w:rsidTr="00076D96">
        <w:trPr>
          <w:trHeight w:val="658"/>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F1D326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lastRenderedPageBreak/>
              <w:t>Максимальная скорость, км/ч:</w:t>
            </w:r>
          </w:p>
          <w:p w14:paraId="0E2259AE" w14:textId="77777777" w:rsidR="002A4526" w:rsidRPr="00925F26" w:rsidRDefault="002A4526" w:rsidP="00925F26">
            <w:pPr>
              <w:pStyle w:val="76"/>
              <w:numPr>
                <w:ilvl w:val="0"/>
                <w:numId w:val="3"/>
              </w:numPr>
              <w:shd w:val="clear" w:color="auto" w:fill="auto"/>
              <w:tabs>
                <w:tab w:val="left" w:pos="162"/>
              </w:tabs>
              <w:overflowPunct/>
              <w:autoSpaceDE/>
              <w:autoSpaceDN/>
              <w:adjustRightInd/>
              <w:spacing w:line="240" w:lineRule="auto"/>
              <w:ind w:firstLine="0"/>
              <w:jc w:val="both"/>
              <w:textAlignment w:val="auto"/>
              <w:rPr>
                <w:rFonts w:ascii="Times New Roman" w:hAnsi="Times New Roman"/>
                <w:color w:val="000000" w:themeColor="text1"/>
                <w:sz w:val="16"/>
                <w:szCs w:val="16"/>
              </w:rPr>
            </w:pPr>
            <w:r w:rsidRPr="00925F26">
              <w:rPr>
                <w:rFonts w:ascii="Times New Roman" w:hAnsi="Times New Roman"/>
                <w:color w:val="000000" w:themeColor="text1"/>
                <w:sz w:val="16"/>
                <w:szCs w:val="16"/>
              </w:rPr>
              <w:t>у земли</w:t>
            </w:r>
          </w:p>
          <w:p w14:paraId="56D722A7" w14:textId="77777777" w:rsidR="002A4526" w:rsidRPr="00925F26" w:rsidRDefault="002A4526" w:rsidP="00925F26">
            <w:pPr>
              <w:pStyle w:val="76"/>
              <w:numPr>
                <w:ilvl w:val="0"/>
                <w:numId w:val="3"/>
              </w:numPr>
              <w:shd w:val="clear" w:color="auto" w:fill="auto"/>
              <w:tabs>
                <w:tab w:val="left" w:pos="171"/>
              </w:tabs>
              <w:overflowPunct/>
              <w:autoSpaceDE/>
              <w:autoSpaceDN/>
              <w:adjustRightInd/>
              <w:spacing w:line="240" w:lineRule="auto"/>
              <w:ind w:firstLine="0"/>
              <w:jc w:val="both"/>
              <w:textAlignment w:val="auto"/>
              <w:rPr>
                <w:rFonts w:ascii="Times New Roman" w:hAnsi="Times New Roman"/>
                <w:color w:val="000000" w:themeColor="text1"/>
                <w:sz w:val="16"/>
                <w:szCs w:val="16"/>
              </w:rPr>
            </w:pPr>
            <w:r w:rsidRPr="00925F26">
              <w:rPr>
                <w:rFonts w:ascii="Times New Roman" w:hAnsi="Times New Roman"/>
                <w:color w:val="000000" w:themeColor="text1"/>
                <w:sz w:val="16"/>
                <w:szCs w:val="16"/>
              </w:rPr>
              <w:t>на высоте/м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659549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419 450/2460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0EB1E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474 (518ф) 566/5700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CB68E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445 491/2500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883F6C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423 451/2500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99F051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373 409/2400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493F4B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387 397/1100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B1EE4E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373 387/1320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B4000A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480 514/3850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166E4B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492 521/1860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361CBC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428 472/2500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9D25B3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507 551/2800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6023E5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492 528/2660</w:t>
            </w:r>
          </w:p>
        </w:tc>
      </w:tr>
      <w:tr w:rsidR="000F5689" w:rsidRPr="00925F26" w14:paraId="71532824" w14:textId="77777777" w:rsidTr="00076D96">
        <w:trPr>
          <w:trHeight w:val="653"/>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73CD34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Время набора высоты, мин: -1000 м -3000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382D74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1,6 5,0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88F83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1,16 6,25/5000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A7056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1,7 5,1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87662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1,7 3,5/2000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96704A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2,12 4,24/2000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029E7F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B3AC4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3,0 6,6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1E5855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1,8 6,0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D3A7C5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2,0 6,0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C0952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2,35 7,5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226F61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1,6 5,0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BBB08F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2Д 6,4</w:t>
            </w:r>
          </w:p>
        </w:tc>
      </w:tr>
      <w:tr w:rsidR="000F5689" w:rsidRPr="00925F26" w14:paraId="1BC5D25A"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1E37F36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Дальность полета/высота, км/м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3826A4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508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34CD5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700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B5388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576/670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464AF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510/348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FB5C65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582/336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B8783EC"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8DCE008"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C8B70F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973/1000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78A5D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790/1000</w:t>
            </w:r>
            <w:r w:rsidRPr="00925F26">
              <w:rPr>
                <w:rFonts w:ascii="Times New Roman" w:hAnsi="Times New Roman"/>
                <w:color w:val="000000" w:themeColor="text1"/>
                <w:sz w:val="16"/>
                <w:szCs w:val="16"/>
                <w:vertAlign w:val="superscript"/>
              </w:rPr>
              <w:t>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B7E1BB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820/1000</w:t>
            </w:r>
            <w:r w:rsidRPr="00925F26">
              <w:rPr>
                <w:rFonts w:ascii="Times New Roman" w:hAnsi="Times New Roman"/>
                <w:color w:val="000000" w:themeColor="text1"/>
                <w:sz w:val="16"/>
                <w:szCs w:val="16"/>
                <w:vertAlign w:val="superscript"/>
              </w:rPr>
              <w:t>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FA1EC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790/1000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7AEC3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830</w:t>
            </w:r>
          </w:p>
        </w:tc>
      </w:tr>
      <w:tr w:rsidR="000F5689" w:rsidRPr="00925F26" w14:paraId="28DE89C4"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F2399A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Посадочная скорость, км/ч</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3CA055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3BAF80"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4C893A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D4179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9A247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074F769"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447ACB"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8279D2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2C3DD9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F18EB8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A11908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EE2AB9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149</w:t>
            </w:r>
          </w:p>
        </w:tc>
      </w:tr>
      <w:tr w:rsidR="000F5689" w:rsidRPr="00925F26" w14:paraId="582E0FAE" w14:textId="77777777" w:rsidTr="00076D96">
        <w:trPr>
          <w:trHeight w:val="25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C57F4F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Разбег при взлете,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55DED5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F6615D2"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5FC12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681C0E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410 (385ф)</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AD2E9B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515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85CCBFF" w14:textId="77777777" w:rsidR="002A4526" w:rsidRPr="00925F26" w:rsidRDefault="002A4526" w:rsidP="00925F26">
            <w:pPr>
              <w:jc w:val="both"/>
              <w:rPr>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B0AF08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440ф</w:t>
            </w:r>
            <w:r w:rsidRPr="00925F26">
              <w:rPr>
                <w:rFonts w:ascii="Times New Roman" w:hAnsi="Times New Roman"/>
                <w:color w:val="000000" w:themeColor="text1"/>
                <w:sz w:val="16"/>
                <w:szCs w:val="16"/>
                <w:vertAlign w:val="superscript"/>
              </w:rPr>
              <w:t>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B9F3F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lang w:val="en-US"/>
              </w:rPr>
              <w:t>410</w:t>
            </w:r>
            <w:r w:rsidRPr="00925F26">
              <w:rPr>
                <w:rFonts w:ascii="Times New Roman" w:hAnsi="Times New Roman"/>
                <w:color w:val="000000" w:themeColor="text1"/>
                <w:sz w:val="16"/>
                <w:szCs w:val="16"/>
                <w:vertAlign w:val="superscript"/>
                <w:lang w:val="en-US"/>
              </w:rPr>
              <w:t>s</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1D0EF7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540</w:t>
            </w:r>
            <w:r w:rsidRPr="00925F26">
              <w:rPr>
                <w:rFonts w:ascii="Times New Roman" w:hAnsi="Times New Roman"/>
                <w:color w:val="000000" w:themeColor="text1"/>
                <w:sz w:val="16"/>
                <w:szCs w:val="16"/>
                <w:vertAlign w:val="superscript"/>
              </w:rPr>
              <w:t>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77EC28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FA88C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475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5DB67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480</w:t>
            </w:r>
          </w:p>
        </w:tc>
      </w:tr>
      <w:tr w:rsidR="000F5689" w:rsidRPr="00925F26" w14:paraId="2F2492CF" w14:textId="77777777" w:rsidTr="00076D96">
        <w:trPr>
          <w:trHeight w:val="254"/>
        </w:trPr>
        <w:tc>
          <w:tcPr>
            <w:tcW w:w="10065" w:type="dxa"/>
            <w:gridSpan w:val="13"/>
            <w:tcBorders>
              <w:top w:val="single" w:sz="4" w:space="0" w:color="auto"/>
              <w:left w:val="single" w:sz="4" w:space="0" w:color="auto"/>
              <w:bottom w:val="single" w:sz="4" w:space="0" w:color="auto"/>
              <w:right w:val="single" w:sz="4" w:space="0" w:color="auto"/>
            </w:tcBorders>
            <w:shd w:val="clear" w:color="auto" w:fill="FFFFFF"/>
          </w:tcPr>
          <w:p w14:paraId="7A1C6A3D" w14:textId="77777777" w:rsidR="002A4526" w:rsidRPr="00925F26" w:rsidRDefault="002A4526"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Наступательное вооружение:</w:t>
            </w:r>
          </w:p>
        </w:tc>
      </w:tr>
      <w:tr w:rsidR="000F5689" w:rsidRPr="00925F26" w14:paraId="2685E938" w14:textId="77777777" w:rsidTr="00076D96">
        <w:trPr>
          <w:trHeight w:val="456"/>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920D15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бомбовое: нормальное/ максимальная,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B0C9F2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43324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120/200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EC98C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9AE9D2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400/600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ACEDEB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43099F"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D4C4E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0925E8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A40687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F52CE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600/1000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FC930D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6374D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400/600</w:t>
            </w:r>
          </w:p>
        </w:tc>
      </w:tr>
      <w:tr w:rsidR="000F5689" w:rsidRPr="00925F26" w14:paraId="62E67AA5" w14:textId="77777777" w:rsidTr="00076D96">
        <w:trPr>
          <w:trHeight w:val="45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A50DB1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пушечное:</w:t>
            </w:r>
          </w:p>
          <w:p w14:paraId="0AF1E1B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C6CF3B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2/20/420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ACF4D5C" w14:textId="77777777" w:rsidR="002A4526" w:rsidRPr="00925F26" w:rsidRDefault="002A4526" w:rsidP="00925F26">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r w:rsidRPr="00925F26">
              <w:rPr>
                <w:rFonts w:ascii="Times New Roman" w:hAnsi="Times New Roman" w:cs="Times New Roman"/>
                <w:color w:val="000000" w:themeColor="text1"/>
                <w:spacing w:val="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D7A92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2/23/230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80F1D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2/20/420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ECAB99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2/37/80</w:t>
            </w:r>
            <w:r w:rsidRPr="00925F26">
              <w:rPr>
                <w:rFonts w:ascii="Times New Roman" w:hAnsi="Times New Roman"/>
                <w:color w:val="000000" w:themeColor="text1"/>
                <w:sz w:val="16"/>
                <w:szCs w:val="16"/>
                <w:vertAlign w:val="superscript"/>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3FCD8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2/20/500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BD43F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2/37/120</w:t>
            </w:r>
            <w:r w:rsidRPr="00925F26">
              <w:rPr>
                <w:rFonts w:ascii="Times New Roman" w:hAnsi="Times New Roman"/>
                <w:color w:val="000000" w:themeColor="text1"/>
                <w:sz w:val="16"/>
                <w:szCs w:val="16"/>
                <w:vertAlign w:val="superscript"/>
              </w:rPr>
              <w:t>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BE4EE8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2/37/90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89EEFA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2/23/240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5BDDBD"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2/23/300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35664D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2/23/300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685DE1"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2/23/300</w:t>
            </w:r>
          </w:p>
        </w:tc>
      </w:tr>
      <w:tr w:rsidR="000F5689" w:rsidRPr="00925F26" w14:paraId="13480D4D" w14:textId="77777777" w:rsidTr="00076D96">
        <w:trPr>
          <w:trHeight w:val="45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EFBFA2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стрелковое:</w:t>
            </w:r>
          </w:p>
          <w:p w14:paraId="63B8D82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549212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8A2FA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2/7,62с/1520 4/7,62/3160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D53335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4/7,62/3000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E5A5B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41322C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2A79E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193303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6AD88B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2/7,62/1400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A62D368"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553172"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56B52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86FC79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2/7,62/1500</w:t>
            </w:r>
          </w:p>
        </w:tc>
      </w:tr>
      <w:tr w:rsidR="000F5689" w:rsidRPr="00925F26" w14:paraId="61A34830"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4E32ED9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ракетное: число/калибр, мм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2D23AB6"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6232512" w14:textId="77777777" w:rsidR="002A4526" w:rsidRPr="00925F26" w:rsidRDefault="002A4526" w:rsidP="00925F26">
            <w:pPr>
              <w:pStyle w:val="60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51EBEC"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10</w:t>
            </w:r>
            <w:proofErr w:type="gramStart"/>
            <w:r w:rsidRPr="00925F26">
              <w:rPr>
                <w:rFonts w:ascii="Times New Roman" w:hAnsi="Times New Roman"/>
                <w:color w:val="000000" w:themeColor="text1"/>
                <w:sz w:val="16"/>
                <w:szCs w:val="16"/>
              </w:rPr>
              <w:t>/(</w:t>
            </w:r>
            <w:proofErr w:type="gramEnd"/>
            <w:r w:rsidRPr="00925F26">
              <w:rPr>
                <w:rFonts w:ascii="Times New Roman" w:hAnsi="Times New Roman"/>
                <w:color w:val="000000" w:themeColor="text1"/>
                <w:sz w:val="16"/>
                <w:szCs w:val="16"/>
              </w:rPr>
              <w:t>132-82)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AD4820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8/132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58DBA8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938F74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9722CE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31DE9A"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w:t>
            </w:r>
            <w:proofErr w:type="gramStart"/>
            <w:r w:rsidRPr="00925F26">
              <w:rPr>
                <w:rFonts w:ascii="Times New Roman" w:hAnsi="Times New Roman"/>
                <w:color w:val="000000" w:themeColor="text1"/>
                <w:sz w:val="16"/>
                <w:szCs w:val="16"/>
              </w:rPr>
              <w:t>/(</w:t>
            </w:r>
            <w:proofErr w:type="gramEnd"/>
            <w:r w:rsidRPr="00925F26">
              <w:rPr>
                <w:rFonts w:ascii="Times New Roman" w:hAnsi="Times New Roman"/>
                <w:color w:val="000000" w:themeColor="text1"/>
                <w:sz w:val="16"/>
                <w:szCs w:val="16"/>
              </w:rPr>
              <w:t>132-82)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035B2B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6</w:t>
            </w:r>
            <w:proofErr w:type="gramStart"/>
            <w:r w:rsidRPr="00925F26">
              <w:rPr>
                <w:rFonts w:ascii="Times New Roman" w:hAnsi="Times New Roman"/>
                <w:color w:val="000000" w:themeColor="text1"/>
                <w:sz w:val="16"/>
                <w:szCs w:val="16"/>
              </w:rPr>
              <w:t>/(</w:t>
            </w:r>
            <w:proofErr w:type="gramEnd"/>
            <w:r w:rsidRPr="00925F26">
              <w:rPr>
                <w:rFonts w:ascii="Times New Roman" w:hAnsi="Times New Roman"/>
                <w:color w:val="000000" w:themeColor="text1"/>
                <w:sz w:val="16"/>
                <w:szCs w:val="16"/>
              </w:rPr>
              <w:t>132-82)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7168248"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590CF89"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768A4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4/82</w:t>
            </w:r>
          </w:p>
        </w:tc>
      </w:tr>
      <w:tr w:rsidR="000F5689" w:rsidRPr="00925F26" w14:paraId="5D08C6AA" w14:textId="77777777" w:rsidTr="00076D96">
        <w:trPr>
          <w:trHeight w:val="250"/>
        </w:trPr>
        <w:tc>
          <w:tcPr>
            <w:tcW w:w="10065" w:type="dxa"/>
            <w:gridSpan w:val="13"/>
            <w:tcBorders>
              <w:top w:val="single" w:sz="4" w:space="0" w:color="auto"/>
              <w:left w:val="single" w:sz="4" w:space="0" w:color="auto"/>
              <w:bottom w:val="single" w:sz="4" w:space="0" w:color="auto"/>
              <w:right w:val="single" w:sz="4" w:space="0" w:color="auto"/>
            </w:tcBorders>
            <w:shd w:val="clear" w:color="auto" w:fill="FFFFFF"/>
          </w:tcPr>
          <w:p w14:paraId="50155272" w14:textId="77777777" w:rsidR="002A4526" w:rsidRPr="00925F26" w:rsidRDefault="002A4526"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Оборонительное вооружение:</w:t>
            </w:r>
          </w:p>
        </w:tc>
      </w:tr>
      <w:tr w:rsidR="000F5689" w:rsidRPr="00925F26" w14:paraId="50475BBC" w14:textId="77777777" w:rsidTr="00076D96">
        <w:trPr>
          <w:trHeight w:val="25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4BA4D23"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A2E0856"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302B62B"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A134AD1"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129FA6F"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279623E" w14:textId="77777777" w:rsidR="002A4526" w:rsidRPr="00925F26" w:rsidRDefault="002A4526" w:rsidP="00925F26">
            <w:pPr>
              <w:pStyle w:val="58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5BAD05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D7A87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E67D287"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1/12,7/196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00435F9"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1/12,7/196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C975C6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5C00E05"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1/20/150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3E6974E"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1/12,7/150</w:t>
            </w:r>
          </w:p>
        </w:tc>
      </w:tr>
      <w:tr w:rsidR="000F5689" w:rsidRPr="00925F26" w14:paraId="3F03103A"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C971150"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авиаграната АГ-2, 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A8017FC" w14:textId="77777777" w:rsidR="002A4526" w:rsidRPr="00925F26" w:rsidRDefault="002A4526" w:rsidP="00925F26">
            <w:pPr>
              <w:pStyle w:val="58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F24E3EF"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54902F2"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02BD74" w14:textId="77777777" w:rsidR="002A4526" w:rsidRPr="00925F26" w:rsidRDefault="002A4526" w:rsidP="00925F26">
            <w:pPr>
              <w:pStyle w:val="623"/>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D2AE62D" w14:textId="77777777" w:rsidR="002A4526" w:rsidRPr="00925F26" w:rsidRDefault="002A4526" w:rsidP="00925F26">
            <w:pPr>
              <w:pStyle w:val="58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1CD40C9" w14:textId="77777777" w:rsidR="002A4526" w:rsidRPr="00925F26" w:rsidRDefault="002A4526" w:rsidP="00925F26">
            <w:pPr>
              <w:pStyle w:val="58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A3B4333"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8DCFBF" w14:textId="77777777" w:rsidR="002A4526" w:rsidRPr="00925F26" w:rsidRDefault="002A4526" w:rsidP="00925F26">
            <w:pPr>
              <w:pStyle w:val="58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167B286" w14:textId="77777777" w:rsidR="002A4526" w:rsidRPr="00925F26" w:rsidRDefault="002A4526" w:rsidP="00925F26">
            <w:pPr>
              <w:pStyle w:val="58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3873E2" w14:textId="77777777" w:rsidR="002A4526" w:rsidRPr="00925F26" w:rsidRDefault="002A4526" w:rsidP="00925F26">
            <w:pPr>
              <w:pStyle w:val="591"/>
              <w:shd w:val="clear" w:color="auto" w:fill="auto"/>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AC2573B"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994544" w14:textId="77777777" w:rsidR="002A4526" w:rsidRPr="00925F26" w:rsidRDefault="002A4526" w:rsidP="00925F26">
            <w:pPr>
              <w:pStyle w:val="76"/>
              <w:shd w:val="clear" w:color="auto" w:fill="auto"/>
              <w:spacing w:line="240" w:lineRule="auto"/>
              <w:ind w:firstLine="0"/>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10</w:t>
            </w:r>
          </w:p>
        </w:tc>
      </w:tr>
    </w:tbl>
    <w:p w14:paraId="739268B1" w14:textId="77777777" w:rsidR="002A4526" w:rsidRPr="00925F26" w:rsidRDefault="002A4526" w:rsidP="00925F26">
      <w:pPr>
        <w:jc w:val="both"/>
        <w:rPr>
          <w:color w:val="000000" w:themeColor="text1"/>
          <w:sz w:val="16"/>
          <w:szCs w:val="16"/>
        </w:rPr>
      </w:pPr>
      <w:r w:rsidRPr="00925F26">
        <w:rPr>
          <w:color w:val="000000" w:themeColor="text1"/>
          <w:sz w:val="16"/>
          <w:szCs w:val="16"/>
        </w:rPr>
        <w:t>(19853).</w:t>
      </w:r>
    </w:p>
    <w:p w14:paraId="52C75685" w14:textId="77777777" w:rsidR="002A4526" w:rsidRPr="00925F26" w:rsidRDefault="002A4526" w:rsidP="00925F26">
      <w:pPr>
        <w:jc w:val="both"/>
        <w:rPr>
          <w:color w:val="000000" w:themeColor="text1"/>
          <w:sz w:val="16"/>
          <w:szCs w:val="16"/>
        </w:rPr>
      </w:pPr>
    </w:p>
    <w:p w14:paraId="17DF75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О.К.А. в качестве зам ГК А.С.Я. писал письмо по особенностям гос. испытаний Як-3Т с Н-37 (65,181).</w:t>
      </w:r>
    </w:p>
    <w:p w14:paraId="72ABBC83" w14:textId="77777777" w:rsidR="00C2313B" w:rsidRPr="00925F26" w:rsidRDefault="00C2313B" w:rsidP="00925F26">
      <w:pPr>
        <w:autoSpaceDE w:val="0"/>
        <w:autoSpaceDN w:val="0"/>
        <w:adjustRightInd w:val="0"/>
        <w:jc w:val="both"/>
        <w:rPr>
          <w:color w:val="000000" w:themeColor="text1"/>
          <w:sz w:val="16"/>
          <w:szCs w:val="16"/>
        </w:rPr>
      </w:pPr>
    </w:p>
    <w:p w14:paraId="33076C44" w14:textId="77777777" w:rsidR="001C340E" w:rsidRPr="001A0BAA" w:rsidRDefault="001C340E" w:rsidP="001C340E">
      <w:pPr>
        <w:jc w:val="both"/>
        <w:rPr>
          <w:color w:val="0070C0"/>
          <w:sz w:val="16"/>
          <w:szCs w:val="16"/>
        </w:rPr>
      </w:pPr>
      <w:r w:rsidRPr="001A0BAA">
        <w:rPr>
          <w:color w:val="0070C0"/>
          <w:sz w:val="16"/>
          <w:szCs w:val="16"/>
        </w:rPr>
        <w:t>2 февраля 1945 года Приказом НКАП № 393 Лавочкина перевели с заво</w:t>
      </w:r>
      <w:r w:rsidRPr="001A0BAA">
        <w:rPr>
          <w:color w:val="0070C0"/>
          <w:sz w:val="16"/>
          <w:szCs w:val="16"/>
        </w:rPr>
        <w:softHyphen/>
        <w:t>да № 21 в подмосковные Химки на завод №301 (24988).</w:t>
      </w:r>
    </w:p>
    <w:p w14:paraId="3ED14D49" w14:textId="77777777" w:rsidR="001C340E" w:rsidRPr="001A0BAA" w:rsidRDefault="001C340E" w:rsidP="001C340E">
      <w:pPr>
        <w:jc w:val="both"/>
        <w:rPr>
          <w:color w:val="0070C0"/>
          <w:sz w:val="16"/>
          <w:szCs w:val="16"/>
        </w:rPr>
      </w:pPr>
    </w:p>
    <w:p w14:paraId="416BE7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ГОКО N 7442с о демонтаже и вывозу оборудования завода Хорти Легет в Будапеште на 64 завод в Воронеж (1874,10).</w:t>
      </w:r>
    </w:p>
    <w:p w14:paraId="63AE2094" w14:textId="77777777" w:rsidR="00C2313B" w:rsidRPr="00925F26" w:rsidRDefault="00C2313B" w:rsidP="00925F26">
      <w:pPr>
        <w:autoSpaceDE w:val="0"/>
        <w:autoSpaceDN w:val="0"/>
        <w:adjustRightInd w:val="0"/>
        <w:jc w:val="both"/>
        <w:rPr>
          <w:color w:val="000000" w:themeColor="text1"/>
          <w:sz w:val="16"/>
          <w:szCs w:val="16"/>
        </w:rPr>
      </w:pPr>
    </w:p>
    <w:p w14:paraId="2A24BCA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E6672A3" w14:textId="77777777" w:rsidR="00C2313B" w:rsidRPr="00925F26" w:rsidRDefault="00C2313B" w:rsidP="00925F26">
      <w:pPr>
        <w:autoSpaceDE w:val="0"/>
        <w:autoSpaceDN w:val="0"/>
        <w:adjustRightInd w:val="0"/>
        <w:jc w:val="both"/>
        <w:rPr>
          <w:iCs/>
          <w:color w:val="000000" w:themeColor="text1"/>
          <w:sz w:val="16"/>
          <w:szCs w:val="16"/>
        </w:rPr>
      </w:pPr>
    </w:p>
    <w:p w14:paraId="1B48CFDA" w14:textId="77777777" w:rsidR="004945E9" w:rsidRPr="00925F26" w:rsidRDefault="004945E9" w:rsidP="00925F26">
      <w:pPr>
        <w:jc w:val="both"/>
        <w:rPr>
          <w:color w:val="000000" w:themeColor="text1"/>
          <w:sz w:val="16"/>
          <w:szCs w:val="16"/>
        </w:rPr>
      </w:pPr>
      <w:r w:rsidRPr="00925F26">
        <w:rPr>
          <w:color w:val="000000" w:themeColor="text1"/>
          <w:sz w:val="16"/>
          <w:szCs w:val="16"/>
        </w:rPr>
        <w:t>2 февраля 1945 г. из СПЕЦИАЛЬНОГО СООБЩЕНИЯ НАЧАЛЬНИКА УПРАВЛЕНИЯ НКВД ПО НОВОСИБИРСКОЙ ОБЛАСТИ Ф.П. ПЕТРОВСКОГО СЕКРЕТАРЮ НОВОСИБИРСКОГО ОБКОМА ВКП(б) И.Д. ЯКОВЛЕВУ «О ЖИЛИЩНО-БЫТОВЫХ УСЛОВИЯХ СПЕЦПЕРЕСЕЛЕНЦЕВ-НЕМЦЕВ, ТРУДОУСТРОЕННЫХ НА ЗАВОДЕ № 65 г. НОВОСИБИРСКА»</w:t>
      </w:r>
    </w:p>
    <w:p w14:paraId="535AA29B" w14:textId="77777777" w:rsidR="004945E9" w:rsidRPr="00925F26" w:rsidRDefault="004945E9" w:rsidP="00925F26">
      <w:pPr>
        <w:jc w:val="both"/>
        <w:rPr>
          <w:color w:val="000000" w:themeColor="text1"/>
          <w:sz w:val="16"/>
          <w:szCs w:val="16"/>
        </w:rPr>
      </w:pPr>
      <w:r w:rsidRPr="00925F26">
        <w:rPr>
          <w:color w:val="000000" w:themeColor="text1"/>
          <w:sz w:val="16"/>
          <w:szCs w:val="16"/>
        </w:rPr>
        <w:t>В связи с создавшимися крайне тяжелыми жилищно-бытовыми условиями спецпереселенцев-немцев, трудоустроенных и работающих на заводе № 65 по инициативе отдела спецпоселений УНКВД, была создана комиссия из представителей районных организаций Кировского района для проверки истинного положения обстоятельств дела. Произведенной проверкой установлено, что расселенные в трех общих бараках так называемой зоны Затона 295 семей, с общим количеством в них 775 человек спецпереселенцев-немцев, из которых работает на заводе 492 человека, или 64% к общему числу расселенных, действительно живут в нетерпимых условиях, крайне скученно, завшивлены, полураздеты, в постоянном холоде из-за непригодности бараков и отсутствия топлива, вследствие чего имеют место массовые заболевания и смертность. Только за последние 6 месяцев умерло 54 человека, из них -39 человек от дистрофии. Состояние бараков, в которых живут немцы, характеризуется так: Бараки засыпного типа постройки 1941 года, оштукатурены только с одной внутренней стороны. Засыпка стен во многих местах значительно осела, образовались большие пустоты со щелями. Жилые комнаты отделены от холодного коридора одинарной обшивной перегородкой из досок в 2,5 см, без всякого утепления, сама обшивка сделана небрежно, имеются большие щели. Наружные двери не утеплены, плохо пригнаны, имеются щели. Стекла в оконных переплетах отсутствуют на 30-40% и заменены досчаткой, при этом небрежно, со щелями. По изложенным причинам тепло в бараках не держится даже при условии топки. В момент обследования температура в бараках стояла от 5 до 9 градусов тепла при наружной температуре 20 градусов мороза. Топливом общежития обеспечиваются с большими перебоями и в крайне ограниченных размерах. На день обследования никакого запаса топлива не было. При среднесуточной потребности дров для отопления жилых бараков и бани 15 кубометров завозится только один-полтора кубометра. Во всех общежитиях исключительная антисанитария, спецпереселенцы мыла не получают, баню не посещают, так как она топится очень редко, ввиду этого все без исключения они сильно завшивлены. Подавляющее большинство рабочих и иждивенцев постельных принадлежностей не имеют, спят на голых нарах, укрываются грязными рабочими телогрейками и другими предметами старой грязной рвани. Значительная часть спецпереселенцев совершенно не имеет нательного белья, многие из них ходят, надев на голое тело грязные фуфайки или другие грязные и рваные одежды, которые нечем сменить. В таком именно одеянии при проверке оказались: станочница 17[-го] цеха Бауэр Мария Петровна, рабочая 15[-го] цеха Шпрингер Елизавета Фридри-ховна и ряд других - 30 человек. Спецпереселенки: Куласало, Бауэр, Тельту, Гах, Габриль и многие другие - прекратили выход на работу в цеха завода по причине раздетости и разутости. Многие не возвращаются из цехов в бараки по несколько дней из-за отсутствия одежды и обуви. В организованном при зоне детсаде помещено 180 человек детей спецпереселенцев в возрасте от 2 до 8 лет, из которых 70 человек совсем раздеты и ходят в одних нижних рубашках. Так как детсад из-за недостаточности топлива обслуживается очень плохо, то дети днями просиживают укутанными одеялами. Ввиду таких условий с июня месяца по 23 декабря 1944 года все спецпереселенцы, проживающие в этих бараках, были закарантированы по поводу сыпного тифа. Там же и по настоящее время не прекращаются заболевания брюшным тифом. Питание спецпереселенцев очень плохое, мер к организации трехразового питания за счет ресурсов подсобного хозяйства руководство завода не принимает. Также не реагирует на систематические перебои в доставке хлеба для продажи спецпереселенцам. В частности, с 31 декабря 1944 года по 4 января 1945 года совсем не завозился хлеб в магазин зоны обслуживания спецпереселенцев. В результате таких нетерпимых условий, наряду с многочисленной заболеваемостью и смертностью среди немцев, о чем сказано выше, имеются массовые случаи бегства спецпереселенцев. Только за последние 4 месяца бежало 129 человек. После указанного обследования комиссия посетила директора завода № 65 тов. Яковлева, ознакомила его с положением дел и поинтересовалась, что предпринимается дирекцией завода к устранению имеющих место ненормальностей в жилищно-бытовых условиях немцев. Выслушав комиссию, тов. Яковлев заявил, что в течение ноября и декабря месяцев он лично пять раз был в общежитиях немцев и положение их знает хорошо, пообещал дать распоряжение о ежедневном завозе туда 5 кубометров дров (вместо необходимых 15 кубометров) и выдать 200 матрацев. В отношении разрешения всех остальных вопросов т. Яковлев заявил, что ему не спецпереселенцы нужны, а выполнение производственной программы, поэтому, заявил он, заниматься улучшением жилищно-бытовых условий спецпереселенцев мне некогда. Основываясь на указаниях НКВД СССР о применении репрессий к тем предприятиям, которые не выполняют требований органов НКВД в части создания нормальных жилищно-бытовых условий используемым ими спецпереселенцам, мною принято решение об изъятии из завода № 65 указанных немцев и передаче другому предприятию, способному обеспечить их нормальными условиями быта. Одновременно считаю целесообразным заслушать на бюро обкома ВКП(б) директора завода № 65 т. Яковлева о безобразных жилищно-бытовых условиях спецпереселенцев-немцев, создавшихся по вине директора завода.</w:t>
      </w:r>
    </w:p>
    <w:p w14:paraId="571CE7ED" w14:textId="77777777" w:rsidR="004945E9" w:rsidRPr="00925F26" w:rsidRDefault="004945E9" w:rsidP="00925F26">
      <w:pPr>
        <w:jc w:val="both"/>
        <w:rPr>
          <w:color w:val="000000" w:themeColor="text1"/>
          <w:sz w:val="16"/>
          <w:szCs w:val="16"/>
        </w:rPr>
      </w:pPr>
      <w:r w:rsidRPr="00925F26">
        <w:rPr>
          <w:color w:val="000000" w:themeColor="text1"/>
          <w:sz w:val="16"/>
          <w:szCs w:val="16"/>
        </w:rPr>
        <w:t>Начальник управления НКВД по Новосибирской области Ф. Петровский</w:t>
      </w:r>
    </w:p>
    <w:p w14:paraId="0AFA6437" w14:textId="77777777" w:rsidR="004945E9" w:rsidRPr="00925F26" w:rsidRDefault="004945E9" w:rsidP="00925F26">
      <w:pPr>
        <w:jc w:val="both"/>
        <w:rPr>
          <w:color w:val="000000" w:themeColor="text1"/>
          <w:sz w:val="16"/>
          <w:szCs w:val="16"/>
        </w:rPr>
      </w:pPr>
      <w:r w:rsidRPr="00925F26">
        <w:rPr>
          <w:color w:val="000000" w:themeColor="text1"/>
          <w:sz w:val="16"/>
          <w:szCs w:val="16"/>
        </w:rPr>
        <w:t>ГЛНО. Ф. П-4. Оп. 9. Д. 348. Л. 30-32. Подлинник.</w:t>
      </w:r>
    </w:p>
    <w:p w14:paraId="42E341C9" w14:textId="77777777" w:rsidR="004945E9" w:rsidRPr="00925F26" w:rsidRDefault="004945E9" w:rsidP="00925F26">
      <w:pPr>
        <w:jc w:val="both"/>
        <w:rPr>
          <w:color w:val="000000" w:themeColor="text1"/>
          <w:sz w:val="16"/>
          <w:szCs w:val="16"/>
        </w:rPr>
      </w:pPr>
      <w:r w:rsidRPr="00925F26">
        <w:rPr>
          <w:color w:val="000000" w:themeColor="text1"/>
          <w:sz w:val="16"/>
          <w:szCs w:val="16"/>
        </w:rPr>
        <w:lastRenderedPageBreak/>
        <w:t xml:space="preserve">Подпись-автограф Петровского. Документ датируется по дате, проставленной автором при его подписании: 2 февраля 1945 г. На первом листе документа резолюция И.Д. Яковлева: «Срочно. Только лично Саханиикому. Прошу немедленно предоставить обкому объяснение о причинах такого положения и о Ваших мерях для обсуждения на бюро обкома. Справку после ознакомления верните. </w:t>
      </w:r>
    </w:p>
    <w:p w14:paraId="235F9184" w14:textId="77777777" w:rsidR="004945E9" w:rsidRPr="00925F26" w:rsidRDefault="004945E9" w:rsidP="00925F26">
      <w:pPr>
        <w:jc w:val="both"/>
        <w:rPr>
          <w:color w:val="000000" w:themeColor="text1"/>
          <w:sz w:val="16"/>
          <w:szCs w:val="16"/>
        </w:rPr>
      </w:pPr>
    </w:p>
    <w:p w14:paraId="245E32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вышло Распоряжение ГКО № 7439. О направлении 4 тыс. осужденных за самовольный уход с предприятий военной промышленности и бытовые преступления на заводы НКВ в феврале 1945 г. РГАНИР, Фонд ГКО, д. 365, лл. 89-90 (11012).</w:t>
      </w:r>
    </w:p>
    <w:p w14:paraId="4CB4A4F3" w14:textId="77777777" w:rsidR="00C2313B" w:rsidRPr="00925F26" w:rsidRDefault="00C2313B" w:rsidP="00925F26">
      <w:pPr>
        <w:autoSpaceDE w:val="0"/>
        <w:autoSpaceDN w:val="0"/>
        <w:adjustRightInd w:val="0"/>
        <w:jc w:val="both"/>
        <w:rPr>
          <w:color w:val="000000" w:themeColor="text1"/>
          <w:sz w:val="16"/>
          <w:szCs w:val="16"/>
        </w:rPr>
      </w:pPr>
    </w:p>
    <w:p w14:paraId="4928DD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7440 О плане поставок хлебофуража для Красной Армии в феврале и марте 1945 г. и об изменении плана поставок I квартала 1945 г. по другим продовольственным товарам. РГАНИР, Фонд ГКО, д. 365, лл. 91-92, 93 (11012).</w:t>
      </w:r>
    </w:p>
    <w:p w14:paraId="3FB85FE8" w14:textId="77777777" w:rsidR="00C2313B" w:rsidRPr="00925F26" w:rsidRDefault="00C2313B" w:rsidP="00925F26">
      <w:pPr>
        <w:autoSpaceDE w:val="0"/>
        <w:autoSpaceDN w:val="0"/>
        <w:adjustRightInd w:val="0"/>
        <w:jc w:val="both"/>
        <w:rPr>
          <w:color w:val="000000" w:themeColor="text1"/>
          <w:sz w:val="16"/>
          <w:szCs w:val="16"/>
        </w:rPr>
      </w:pPr>
    </w:p>
    <w:p w14:paraId="1F44191B"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7445 [О мерах по ускорению продвижения поездов и обеспечению государственного плана перевозки воинских и народнохозяйственных грузов.] (7304, 99-100).</w:t>
      </w:r>
    </w:p>
    <w:p w14:paraId="1283E1C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8792EE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7465 О плане и мерах по обеспечению перевозок народнохозяйственных грузов по железнодорожному и морскому транспорту на февраль 1945 г. (7306, 1-7,8-243).</w:t>
      </w:r>
    </w:p>
    <w:p w14:paraId="0C09938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66CCD86"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7466 Об общем плане перевозок по железнодорожному и морскому транспорту на февраль 1945 г. (7307, 1).</w:t>
      </w:r>
    </w:p>
    <w:p w14:paraId="77156BB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BD223C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7B22F54" w14:textId="77777777" w:rsidR="00C2313B" w:rsidRPr="00925F26" w:rsidRDefault="00C2313B" w:rsidP="00925F26">
      <w:pPr>
        <w:autoSpaceDE w:val="0"/>
        <w:autoSpaceDN w:val="0"/>
        <w:adjustRightInd w:val="0"/>
        <w:jc w:val="both"/>
        <w:rPr>
          <w:iCs/>
          <w:color w:val="000000" w:themeColor="text1"/>
          <w:sz w:val="16"/>
          <w:szCs w:val="16"/>
        </w:rPr>
      </w:pPr>
    </w:p>
    <w:p w14:paraId="29CE744C" w14:textId="77777777" w:rsidR="003D013D" w:rsidRPr="00925F26" w:rsidRDefault="003D013D" w:rsidP="00925F26">
      <w:pPr>
        <w:jc w:val="both"/>
        <w:rPr>
          <w:color w:val="000000" w:themeColor="text1"/>
          <w:sz w:val="16"/>
          <w:szCs w:val="16"/>
        </w:rPr>
      </w:pPr>
      <w:r w:rsidRPr="00925F26">
        <w:rPr>
          <w:bCs/>
          <w:color w:val="000000" w:themeColor="text1"/>
          <w:sz w:val="16"/>
          <w:szCs w:val="16"/>
        </w:rPr>
        <w:t>2 февраля</w:t>
      </w:r>
      <w:r w:rsidRPr="00925F26">
        <w:rPr>
          <w:color w:val="000000" w:themeColor="text1"/>
          <w:sz w:val="16"/>
          <w:szCs w:val="16"/>
        </w:rPr>
        <w:t xml:space="preserve"> в 1945 году оперативная сводка Совинформбюро:</w:t>
      </w:r>
    </w:p>
    <w:p w14:paraId="705045B9" w14:textId="77777777" w:rsidR="003D013D" w:rsidRPr="00925F26" w:rsidRDefault="003D013D" w:rsidP="00925F26">
      <w:pPr>
        <w:jc w:val="both"/>
        <w:rPr>
          <w:color w:val="000000" w:themeColor="text1"/>
          <w:sz w:val="16"/>
          <w:szCs w:val="16"/>
        </w:rPr>
      </w:pPr>
      <w:r w:rsidRPr="00925F26">
        <w:rPr>
          <w:color w:val="000000" w:themeColor="text1"/>
          <w:sz w:val="16"/>
          <w:szCs w:val="16"/>
        </w:rPr>
        <w:t>«В течение 2 февраля в Восточной Пруссии наши войска, продолжая наступление, овладели городами Домнау, Шиппенбайль, Гутштадт, а также с боями заняли более 100 других населённых пунктов, в том числе крупные населённые пункты Гермау, Ромиттен, Шенбрух, Лангендорф, Ляндскрон, Юдиттен, Лисиен, Тромиттен, Редденау, Петерсхаген, Зюссенберг, Штольцхаген, Альткирх, Байсвальде, Лаутервальде.</w:t>
      </w:r>
    </w:p>
    <w:p w14:paraId="528FBA4D" w14:textId="77777777" w:rsidR="003D013D" w:rsidRPr="00925F26" w:rsidRDefault="003D013D" w:rsidP="00925F26">
      <w:pPr>
        <w:jc w:val="both"/>
        <w:rPr>
          <w:color w:val="000000" w:themeColor="text1"/>
          <w:sz w:val="16"/>
          <w:szCs w:val="16"/>
        </w:rPr>
      </w:pPr>
      <w:r w:rsidRPr="00925F26">
        <w:rPr>
          <w:color w:val="000000" w:themeColor="text1"/>
          <w:sz w:val="16"/>
          <w:szCs w:val="16"/>
        </w:rPr>
        <w:t>В районе Шнайдемюля наши войска вели бои по уничтожению окружённого гарнизона противника.</w:t>
      </w:r>
    </w:p>
    <w:p w14:paraId="6EEAEB9E"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Северо-восточнее и восточнее Франкфурта-на-Одере наши войска с боем овладели городами Зольдин, Дроссен, а также заняли более 150 других населённых пунктов, среди которых крупные населённые пункты Штаффельде, Альт Лиммритц, Радах, Мальсов, Валльвитц.</w:t>
      </w:r>
    </w:p>
    <w:p w14:paraId="455E0FD3" w14:textId="77777777" w:rsidR="003D013D" w:rsidRPr="00925F26" w:rsidRDefault="003D013D" w:rsidP="00925F26">
      <w:pPr>
        <w:jc w:val="both"/>
        <w:rPr>
          <w:color w:val="000000" w:themeColor="text1"/>
          <w:sz w:val="16"/>
          <w:szCs w:val="16"/>
        </w:rPr>
      </w:pPr>
      <w:r w:rsidRPr="00925F26">
        <w:rPr>
          <w:color w:val="000000" w:themeColor="text1"/>
          <w:sz w:val="16"/>
          <w:szCs w:val="16"/>
        </w:rPr>
        <w:t>В районе Познани продолжались бои по уничтожению окружённых в городе частей противника.</w:t>
      </w:r>
    </w:p>
    <w:p w14:paraId="4491DC35" w14:textId="77777777" w:rsidR="003D013D" w:rsidRPr="00925F26" w:rsidRDefault="003D013D" w:rsidP="00925F26">
      <w:pPr>
        <w:jc w:val="both"/>
        <w:rPr>
          <w:color w:val="000000" w:themeColor="text1"/>
          <w:sz w:val="16"/>
          <w:szCs w:val="16"/>
        </w:rPr>
      </w:pPr>
      <w:r w:rsidRPr="00925F26">
        <w:rPr>
          <w:color w:val="000000" w:themeColor="text1"/>
          <w:sz w:val="16"/>
          <w:szCs w:val="16"/>
        </w:rPr>
        <w:t>Западнее города Лешно (Лисса) наши войска вышли к реке Одер, заняв при этом крупные населённые пункты Кольциг, Контопп. Либенциг, Бойадель, Пирних, Липпен.</w:t>
      </w:r>
    </w:p>
    <w:p w14:paraId="2AB9ACD4"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наши войска, продолжая бои по уничтожению окружённого в западной части города (Буда) гарнизона противника, заняли 23 квартала.</w:t>
      </w:r>
    </w:p>
    <w:p w14:paraId="3028171C" w14:textId="77777777" w:rsidR="003D013D" w:rsidRPr="00925F26" w:rsidRDefault="003D013D" w:rsidP="00925F26">
      <w:pPr>
        <w:jc w:val="both"/>
        <w:rPr>
          <w:color w:val="000000" w:themeColor="text1"/>
          <w:sz w:val="16"/>
          <w:szCs w:val="16"/>
        </w:rPr>
      </w:pPr>
      <w:r w:rsidRPr="00925F26">
        <w:rPr>
          <w:color w:val="000000" w:themeColor="text1"/>
          <w:sz w:val="16"/>
          <w:szCs w:val="16"/>
        </w:rPr>
        <w:t>За 1 февраля на всех фронтах подбито и уничтожено 133 немецких танка. В воздушных боях и огнём зенитной артиллерии сбито 26 самолётов противника.</w:t>
      </w:r>
    </w:p>
    <w:p w14:paraId="0D0B5BB3" w14:textId="77777777" w:rsidR="003D013D" w:rsidRPr="00925F26" w:rsidRDefault="003D013D" w:rsidP="00925F26">
      <w:pPr>
        <w:jc w:val="both"/>
        <w:rPr>
          <w:color w:val="000000" w:themeColor="text1"/>
          <w:sz w:val="16"/>
          <w:szCs w:val="16"/>
        </w:rPr>
      </w:pPr>
      <w:r w:rsidRPr="00925F26">
        <w:rPr>
          <w:color w:val="000000" w:themeColor="text1"/>
          <w:sz w:val="16"/>
          <w:szCs w:val="16"/>
        </w:rPr>
        <w:t>В Восточной Пруссии наши войска продолжали наступление. В ходе боёв немцы несут тяжёлые потери. Восточно-прусская группировка противника, отрезанная от центральных районов Германии, стремится ценой любых жертв удержать занимаемые позиции. Немецкие офицеры и специальные команды эсэсовцев на месте расстреливают своих отступающих солдат. Советские войска, нанося врагу мощные удары, всё теснее сжимают кольцо вокруг вражеской группировки. Северо-западнее Кенигсберга немцы выбиты из опорного пункта Гермау, находящегося в 6 километрах от побережья Данцигской бухты. Юго-западнее города Инстербург наши войска, преодолевая упорное сопротивление гитлеровцев, продвинулись вперёд на 10 километров и овладели городом Домнау. Другие советские части, наступающие вдоль реки Алле, в результате ночной атаки танков и пехоты заняли город Гутштадт. За день боёв уничтожено свыше 4.000 гитлеровцев, подбито и сожжено 70 танков, бронемашин и бронетранспортёров противника. Взято в плен 800 немцев.</w:t>
      </w:r>
    </w:p>
    <w:p w14:paraId="07C9A34B" w14:textId="77777777" w:rsidR="003D013D" w:rsidRPr="00925F26" w:rsidRDefault="003D013D" w:rsidP="00925F26">
      <w:pPr>
        <w:jc w:val="both"/>
        <w:rPr>
          <w:color w:val="000000" w:themeColor="text1"/>
          <w:sz w:val="16"/>
          <w:szCs w:val="16"/>
        </w:rPr>
      </w:pPr>
      <w:r w:rsidRPr="00925F26">
        <w:rPr>
          <w:color w:val="000000" w:themeColor="text1"/>
          <w:sz w:val="16"/>
          <w:szCs w:val="16"/>
        </w:rPr>
        <w:t>В районе Шнайдемюля наши войска вели бои по уничтожению окружённого в городе гарнизона противника. Советские бойцы, действуя штурмовыми группами, выбили немцев из сильно укреплённых позиций. Уничтожено до батальона гитлеровцев. Захвачено 45 орудий, более тысячи винтовок, несколько складов с вооружением и военным имуществом. Взяты пленные.</w:t>
      </w:r>
    </w:p>
    <w:p w14:paraId="5D8A2FBD"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Северо-восточнее и восточнее города Франкфурт-на-Одере наши войска продолжали наступление. Противник непрерывно усиливает и пополняет свои потрёпанные войска свежими силами. За последние дни немцы ввели в бой несколько дивизий и десятки отдельных охранных, полицейских и других батальонов. Гитлеровцы упорно сопротивляются, но под ударами советских войск теряют одну позицию за другой и откатываются на запад. Бойцы Н-ского соединения преодолели лесной массив и, продвигаясь вперёд, ворвались в город Зольдин. В ожесточённом бою наши части разгромили вражеский гарнизон и заняли город. Сегодня наши войска выбили немцев из города Дроссен, расположенного в 22 километрах северо-восточнее Франкфурта-на-Одере. На поле боя остались сотни вражеских трупов. Захвачены трофеи и пленные.</w:t>
      </w:r>
    </w:p>
    <w:p w14:paraId="1956480B" w14:textId="77777777" w:rsidR="003D013D" w:rsidRPr="00925F26" w:rsidRDefault="003D013D" w:rsidP="00925F26">
      <w:pPr>
        <w:jc w:val="both"/>
        <w:rPr>
          <w:color w:val="000000" w:themeColor="text1"/>
          <w:sz w:val="16"/>
          <w:szCs w:val="16"/>
        </w:rPr>
      </w:pPr>
      <w:r w:rsidRPr="00925F26">
        <w:rPr>
          <w:color w:val="000000" w:themeColor="text1"/>
          <w:sz w:val="16"/>
          <w:szCs w:val="16"/>
        </w:rPr>
        <w:t>Западнее города Лешно (Лисса) немцы пытались задержать наши войска на рубеже озёр и реки Фауле-Обра. Части Н-ского соединения преодолели укреплённый район противника и, стремительно продвинувшись вперёд, вышли к реке Одер. Разрозненные вражеские отряды были прижаты к реке и уничтожены. Захвачено у немцев 29 танков и самоходных орудий, 30 бронетранспортёров и 35 орудий. Взято в плен 1.500 немецких солдат и офицеров.</w:t>
      </w:r>
    </w:p>
    <w:p w14:paraId="1E16946E" w14:textId="77777777" w:rsidR="003D013D" w:rsidRPr="00925F26" w:rsidRDefault="003D013D" w:rsidP="00925F26">
      <w:pPr>
        <w:jc w:val="both"/>
        <w:rPr>
          <w:color w:val="000000" w:themeColor="text1"/>
          <w:sz w:val="16"/>
          <w:szCs w:val="16"/>
        </w:rPr>
      </w:pPr>
      <w:r w:rsidRPr="00925F26">
        <w:rPr>
          <w:color w:val="000000" w:themeColor="text1"/>
          <w:sz w:val="16"/>
          <w:szCs w:val="16"/>
        </w:rPr>
        <w:t>Советские лётчики в воздушных боях за день сбили 16 самолётов противника. Кроме того, 8 немецких самолетов уничтожены огнём нашей зенитной артиллерии.</w:t>
      </w:r>
    </w:p>
    <w:p w14:paraId="63490FE8"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наши войска продолжали вести бои по ликвидации группировки противника, окружённой в западной части города. Гитлеровцы приспособили каменные дома для долговременной круговой обороны и оказывают упорное сопротивление. Советские штурмовые группы, при поддержке артиллерии, подавляют вражеские опорные пункты и настойчиво продвигаются вперёд. Артиллеристы старшего лейтенанта Иванова на руках втащили орудия на второй и третий этажи большого дома и огнём прямой наводкой уничтожили узел сопротивления противника. Воспользовавшись замешательством среди гитлеровцев, наши подразделения перешли в атаку, выбили противника из нескольких кварталов и овладели господствующими над местностью позициями. Бронебойщики подразделения офицера Кошица, отражая вражескую контратаку, сожгли 3 немецких танка. На другом участке наши части разгромили два вражеских батальона. Взято в плен 478 немецких и венгерских солдат и офицеров.» (15028).</w:t>
      </w:r>
    </w:p>
    <w:p w14:paraId="04F43038" w14:textId="77777777" w:rsidR="003D013D" w:rsidRPr="00925F26" w:rsidRDefault="003D013D" w:rsidP="00925F26">
      <w:pPr>
        <w:jc w:val="both"/>
        <w:rPr>
          <w:color w:val="000000" w:themeColor="text1"/>
          <w:sz w:val="16"/>
          <w:szCs w:val="16"/>
        </w:rPr>
      </w:pPr>
    </w:p>
    <w:p w14:paraId="26EA8E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февраля 1945 несмотря на тщательность подго</w:t>
      </w:r>
      <w:r w:rsidRPr="00925F26">
        <w:rPr>
          <w:color w:val="000000" w:themeColor="text1"/>
          <w:sz w:val="16"/>
          <w:szCs w:val="16"/>
        </w:rPr>
        <w:softHyphen/>
        <w:t>товки перелета 108 шап на фронт, первый самостоятель</w:t>
      </w:r>
      <w:r w:rsidRPr="00925F26">
        <w:rPr>
          <w:color w:val="000000" w:themeColor="text1"/>
          <w:sz w:val="16"/>
          <w:szCs w:val="16"/>
        </w:rPr>
        <w:softHyphen/>
        <w:t>ный вылет полка закончился полной неудачей. В последний момент был сменен первый промежуточный аэро</w:t>
      </w:r>
      <w:r w:rsidRPr="00925F26">
        <w:rPr>
          <w:color w:val="000000" w:themeColor="text1"/>
          <w:sz w:val="16"/>
          <w:szCs w:val="16"/>
        </w:rPr>
        <w:softHyphen/>
        <w:t>дром перелета. Вместо аэродрома Разбойщина следовало лететь на аэродром Багай-Барановка. Естественно, летный состав к новому маршруту подгото</w:t>
      </w:r>
      <w:r w:rsidRPr="00925F26">
        <w:rPr>
          <w:color w:val="000000" w:themeColor="text1"/>
          <w:sz w:val="16"/>
          <w:szCs w:val="16"/>
        </w:rPr>
        <w:softHyphen/>
        <w:t xml:space="preserve">виться должным образом не успел, а на аэродроме </w:t>
      </w:r>
      <w:proofErr w:type="gramStart"/>
      <w:r w:rsidRPr="00925F26">
        <w:rPr>
          <w:color w:val="000000" w:themeColor="text1"/>
          <w:sz w:val="16"/>
          <w:szCs w:val="16"/>
        </w:rPr>
        <w:t>вылета</w:t>
      </w:r>
      <w:proofErr w:type="gramEnd"/>
      <w:r w:rsidRPr="00925F26">
        <w:rPr>
          <w:color w:val="000000" w:themeColor="text1"/>
          <w:sz w:val="16"/>
          <w:szCs w:val="16"/>
        </w:rPr>
        <w:t xml:space="preserve"> Толкай не было подготовлено положения по органи</w:t>
      </w:r>
      <w:r w:rsidRPr="00925F26">
        <w:rPr>
          <w:color w:val="000000" w:themeColor="text1"/>
          <w:sz w:val="16"/>
          <w:szCs w:val="16"/>
        </w:rPr>
        <w:softHyphen/>
        <w:t>зации перелета.</w:t>
      </w:r>
    </w:p>
    <w:p w14:paraId="0F6089D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первая группа в со</w:t>
      </w:r>
      <w:r w:rsidRPr="00925F26">
        <w:rPr>
          <w:color w:val="000000" w:themeColor="text1"/>
          <w:sz w:val="16"/>
          <w:szCs w:val="16"/>
        </w:rPr>
        <w:softHyphen/>
        <w:t>ставе 5 Ил-10 (ведущий группы по</w:t>
      </w:r>
      <w:r w:rsidRPr="00925F26">
        <w:rPr>
          <w:color w:val="000000" w:themeColor="text1"/>
          <w:sz w:val="16"/>
          <w:szCs w:val="16"/>
        </w:rPr>
        <w:softHyphen/>
        <w:t>мощник командира полка по воздуш</w:t>
      </w:r>
      <w:r w:rsidRPr="00925F26">
        <w:rPr>
          <w:color w:val="000000" w:themeColor="text1"/>
          <w:sz w:val="16"/>
          <w:szCs w:val="16"/>
        </w:rPr>
        <w:softHyphen/>
        <w:t xml:space="preserve">но-стрелковой службе к-н Сироткин), вылетев в 13.55 </w:t>
      </w:r>
      <w:r w:rsidRPr="00925F26">
        <w:rPr>
          <w:iCs/>
          <w:color w:val="000000" w:themeColor="text1"/>
          <w:sz w:val="16"/>
          <w:szCs w:val="16"/>
        </w:rPr>
        <w:t xml:space="preserve">с </w:t>
      </w:r>
      <w:r w:rsidRPr="00925F26">
        <w:rPr>
          <w:color w:val="000000" w:themeColor="text1"/>
          <w:sz w:val="16"/>
          <w:szCs w:val="16"/>
        </w:rPr>
        <w:t>базового аэродро</w:t>
      </w:r>
      <w:r w:rsidRPr="00925F26">
        <w:rPr>
          <w:color w:val="000000" w:themeColor="text1"/>
          <w:sz w:val="16"/>
          <w:szCs w:val="16"/>
        </w:rPr>
        <w:softHyphen/>
        <w:t>ма, благополучно добралась до ново</w:t>
      </w:r>
      <w:r w:rsidRPr="00925F26">
        <w:rPr>
          <w:color w:val="000000" w:themeColor="text1"/>
          <w:sz w:val="16"/>
          <w:szCs w:val="16"/>
        </w:rPr>
        <w:softHyphen/>
        <w:t>го аэродрома, выполнив в 15.05 по</w:t>
      </w:r>
      <w:r w:rsidRPr="00925F26">
        <w:rPr>
          <w:color w:val="000000" w:themeColor="text1"/>
          <w:sz w:val="16"/>
          <w:szCs w:val="16"/>
        </w:rPr>
        <w:softHyphen/>
        <w:t>садку.</w:t>
      </w:r>
    </w:p>
    <w:p w14:paraId="0594CD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7 Ил-10 второй группы долете</w:t>
      </w:r>
      <w:r w:rsidRPr="00925F26">
        <w:rPr>
          <w:color w:val="000000" w:themeColor="text1"/>
          <w:sz w:val="16"/>
          <w:szCs w:val="16"/>
        </w:rPr>
        <w:softHyphen/>
        <w:t>ла до нового аэродрома только четвер</w:t>
      </w:r>
      <w:r w:rsidRPr="00925F26">
        <w:rPr>
          <w:color w:val="000000" w:themeColor="text1"/>
          <w:sz w:val="16"/>
          <w:szCs w:val="16"/>
        </w:rPr>
        <w:softHyphen/>
        <w:t>ка во главе с ведущим группы капита</w:t>
      </w:r>
      <w:r w:rsidRPr="00925F26">
        <w:rPr>
          <w:color w:val="000000" w:themeColor="text1"/>
          <w:sz w:val="16"/>
          <w:szCs w:val="16"/>
        </w:rPr>
        <w:softHyphen/>
        <w:t>ном Зиновьевым. Звено во главе с мл. лейтенантом Мазуром оторвалась от общей группы сразу же с места выле</w:t>
      </w:r>
      <w:r w:rsidRPr="00925F26">
        <w:rPr>
          <w:color w:val="000000" w:themeColor="text1"/>
          <w:sz w:val="16"/>
          <w:szCs w:val="16"/>
        </w:rPr>
        <w:softHyphen/>
        <w:t>та. Затем летчики заблудились и, выра</w:t>
      </w:r>
      <w:r w:rsidRPr="00925F26">
        <w:rPr>
          <w:color w:val="000000" w:themeColor="text1"/>
          <w:sz w:val="16"/>
          <w:szCs w:val="16"/>
        </w:rPr>
        <w:softHyphen/>
        <w:t>ботав горючее, сели в поле. В итоге: одна авария и одна поломка самолета.</w:t>
      </w:r>
    </w:p>
    <w:p w14:paraId="3896E42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Третья группа из 10 Ил-10 (веду</w:t>
      </w:r>
      <w:r w:rsidRPr="00925F26">
        <w:rPr>
          <w:color w:val="000000" w:themeColor="text1"/>
          <w:sz w:val="16"/>
          <w:szCs w:val="16"/>
        </w:rPr>
        <w:softHyphen/>
        <w:t>щий к-н Железняков), вылетевшая в 14.35, долетела до г.Балаково и воз</w:t>
      </w:r>
      <w:r w:rsidRPr="00925F26">
        <w:rPr>
          <w:color w:val="000000" w:themeColor="text1"/>
          <w:sz w:val="16"/>
          <w:szCs w:val="16"/>
        </w:rPr>
        <w:softHyphen/>
        <w:t>вратилась по метеоусловиям, совер</w:t>
      </w:r>
      <w:r w:rsidRPr="00925F26">
        <w:rPr>
          <w:color w:val="000000" w:themeColor="text1"/>
          <w:sz w:val="16"/>
          <w:szCs w:val="16"/>
        </w:rPr>
        <w:softHyphen/>
        <w:t>шив посадку в Чапаевске на аэродро</w:t>
      </w:r>
      <w:r w:rsidRPr="00925F26">
        <w:rPr>
          <w:color w:val="000000" w:themeColor="text1"/>
          <w:sz w:val="16"/>
          <w:szCs w:val="16"/>
        </w:rPr>
        <w:softHyphen/>
        <w:t>ме 12-го зап. Из состава группы мл. л-т Кирюшкин сел на вынужденную по причине отказа мотора - самолет по</w:t>
      </w:r>
      <w:r w:rsidRPr="00925F26">
        <w:rPr>
          <w:color w:val="000000" w:themeColor="text1"/>
          <w:sz w:val="16"/>
          <w:szCs w:val="16"/>
        </w:rPr>
        <w:softHyphen/>
        <w:t>ломан и требует ремонта. Лейтенант Максимов выработал горючее и потер</w:t>
      </w:r>
      <w:r w:rsidRPr="00925F26">
        <w:rPr>
          <w:color w:val="000000" w:themeColor="text1"/>
          <w:sz w:val="16"/>
          <w:szCs w:val="16"/>
        </w:rPr>
        <w:softHyphen/>
        <w:t>пел аварию в районе Чапаевска. Млад</w:t>
      </w:r>
      <w:r w:rsidRPr="00925F26">
        <w:rPr>
          <w:color w:val="000000" w:themeColor="text1"/>
          <w:sz w:val="16"/>
          <w:szCs w:val="16"/>
        </w:rPr>
        <w:softHyphen/>
        <w:t>ший лейтенант Юдаев произвел посад</w:t>
      </w:r>
      <w:r w:rsidRPr="00925F26">
        <w:rPr>
          <w:color w:val="000000" w:themeColor="text1"/>
          <w:sz w:val="16"/>
          <w:szCs w:val="16"/>
        </w:rPr>
        <w:softHyphen/>
        <w:t>ку на одно колесо по причине не вы</w:t>
      </w:r>
      <w:r w:rsidRPr="00925F26">
        <w:rPr>
          <w:color w:val="000000" w:themeColor="text1"/>
          <w:sz w:val="16"/>
          <w:szCs w:val="16"/>
        </w:rPr>
        <w:softHyphen/>
        <w:t>хода шасси - самолет поломан и тре</w:t>
      </w:r>
      <w:r w:rsidRPr="00925F26">
        <w:rPr>
          <w:color w:val="000000" w:themeColor="text1"/>
          <w:sz w:val="16"/>
          <w:szCs w:val="16"/>
        </w:rPr>
        <w:softHyphen/>
        <w:t>бует ремонта.</w:t>
      </w:r>
    </w:p>
    <w:p w14:paraId="0FBB08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Четвертая группа из 4 Ил-10 (веду</w:t>
      </w:r>
      <w:r w:rsidRPr="00925F26">
        <w:rPr>
          <w:color w:val="000000" w:themeColor="text1"/>
          <w:sz w:val="16"/>
          <w:szCs w:val="16"/>
        </w:rPr>
        <w:softHyphen/>
        <w:t>щий к-н Новиков), вылетев в 14.45, возвратилась с маршрута и произвела посадку на аэродроме в Чапаевске.</w:t>
      </w:r>
    </w:p>
    <w:p w14:paraId="1550646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Таким образом, из 26 Ил-10, вы</w:t>
      </w:r>
      <w:r w:rsidRPr="00925F26">
        <w:rPr>
          <w:color w:val="000000" w:themeColor="text1"/>
          <w:sz w:val="16"/>
          <w:szCs w:val="16"/>
        </w:rPr>
        <w:softHyphen/>
        <w:t>летевших с аэродрома Толкай, на ме</w:t>
      </w:r>
      <w:r w:rsidRPr="00925F26">
        <w:rPr>
          <w:color w:val="000000" w:themeColor="text1"/>
          <w:sz w:val="16"/>
          <w:szCs w:val="16"/>
        </w:rPr>
        <w:softHyphen/>
        <w:t>сто назначения прибыло только 9 самолетов, 13 самолетов - сели в Ча</w:t>
      </w:r>
      <w:r w:rsidRPr="00925F26">
        <w:rPr>
          <w:color w:val="000000" w:themeColor="text1"/>
          <w:sz w:val="16"/>
          <w:szCs w:val="16"/>
        </w:rPr>
        <w:softHyphen/>
        <w:t>паевске, плюс две аварии и три по</w:t>
      </w:r>
      <w:r w:rsidRPr="00925F26">
        <w:rPr>
          <w:color w:val="000000" w:themeColor="text1"/>
          <w:sz w:val="16"/>
          <w:szCs w:val="16"/>
        </w:rPr>
        <w:softHyphen/>
        <w:t>ломки самолетов.</w:t>
      </w:r>
    </w:p>
    <w:p w14:paraId="482779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разбора полетов и раздачи «слонов» всем «заинтересованным» ли</w:t>
      </w:r>
      <w:r w:rsidRPr="00925F26">
        <w:rPr>
          <w:color w:val="000000" w:themeColor="text1"/>
          <w:sz w:val="16"/>
          <w:szCs w:val="16"/>
        </w:rPr>
        <w:softHyphen/>
        <w:t>цам, 108-й гвардейский шап в два при</w:t>
      </w:r>
      <w:r w:rsidRPr="00925F26">
        <w:rPr>
          <w:color w:val="000000" w:themeColor="text1"/>
          <w:sz w:val="16"/>
          <w:szCs w:val="16"/>
        </w:rPr>
        <w:softHyphen/>
        <w:t xml:space="preserve">ема - 9 и 20 </w:t>
      </w:r>
      <w:proofErr w:type="gramStart"/>
      <w:r w:rsidRPr="00925F26">
        <w:rPr>
          <w:color w:val="000000" w:themeColor="text1"/>
          <w:sz w:val="16"/>
          <w:szCs w:val="16"/>
        </w:rPr>
        <w:t>февраля,убыл</w:t>
      </w:r>
      <w:proofErr w:type="gramEnd"/>
      <w:r w:rsidRPr="00925F26">
        <w:rPr>
          <w:color w:val="000000" w:themeColor="text1"/>
          <w:sz w:val="16"/>
          <w:szCs w:val="16"/>
        </w:rPr>
        <w:t xml:space="preserve"> таки полным составом в действующую армию.</w:t>
      </w:r>
    </w:p>
    <w:p w14:paraId="2D5B370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двух лидерных маршевых авиаполков, в 1-й заб в течение янва</w:t>
      </w:r>
      <w:r w:rsidRPr="00925F26">
        <w:rPr>
          <w:color w:val="000000" w:themeColor="text1"/>
          <w:sz w:val="16"/>
          <w:szCs w:val="16"/>
        </w:rPr>
        <w:softHyphen/>
        <w:t>ря было переучено на самолете Ил-10 20 летчиков-инструкторов для 43-го и 50-го запасных авиаполков, 12 эки</w:t>
      </w:r>
      <w:r w:rsidRPr="00925F26">
        <w:rPr>
          <w:color w:val="000000" w:themeColor="text1"/>
          <w:sz w:val="16"/>
          <w:szCs w:val="16"/>
        </w:rPr>
        <w:softHyphen/>
        <w:t>пажей перегоночных авиаполков, 10 инспекторов полетной подготовке (по одному для 3-й, 14-й и 2-й ВА, по од</w:t>
      </w:r>
      <w:r w:rsidRPr="00925F26">
        <w:rPr>
          <w:color w:val="000000" w:themeColor="text1"/>
          <w:sz w:val="16"/>
          <w:szCs w:val="16"/>
        </w:rPr>
        <w:softHyphen/>
        <w:t>ному - для Московского, Киевского, Бе</w:t>
      </w:r>
      <w:r w:rsidRPr="00925F26">
        <w:rPr>
          <w:color w:val="000000" w:themeColor="text1"/>
          <w:sz w:val="16"/>
          <w:szCs w:val="16"/>
        </w:rPr>
        <w:softHyphen/>
        <w:t>лорусского и Одесского Военных ок</w:t>
      </w:r>
      <w:r w:rsidRPr="00925F26">
        <w:rPr>
          <w:color w:val="000000" w:themeColor="text1"/>
          <w:sz w:val="16"/>
          <w:szCs w:val="16"/>
        </w:rPr>
        <w:softHyphen/>
        <w:t>ругов и три-для Инспекции ВВСКА), а также 51 летчик из постоянного со</w:t>
      </w:r>
      <w:r w:rsidRPr="00925F26">
        <w:rPr>
          <w:color w:val="000000" w:themeColor="text1"/>
          <w:sz w:val="16"/>
          <w:szCs w:val="16"/>
        </w:rPr>
        <w:softHyphen/>
        <w:t>става бригады. Из этого числа два ин</w:t>
      </w:r>
      <w:r w:rsidRPr="00925F26">
        <w:rPr>
          <w:color w:val="000000" w:themeColor="text1"/>
          <w:sz w:val="16"/>
          <w:szCs w:val="16"/>
        </w:rPr>
        <w:softHyphen/>
        <w:t>спектора по технике пилотирования для 2-й воздушной армии и для Киевс</w:t>
      </w:r>
      <w:r w:rsidRPr="00925F26">
        <w:rPr>
          <w:color w:val="000000" w:themeColor="text1"/>
          <w:sz w:val="16"/>
          <w:szCs w:val="16"/>
        </w:rPr>
        <w:softHyphen/>
        <w:t>кого Военного округа убыли к месту назначения 26 января поездом, а ос</w:t>
      </w:r>
      <w:r w:rsidRPr="00925F26">
        <w:rPr>
          <w:color w:val="000000" w:themeColor="text1"/>
          <w:sz w:val="16"/>
          <w:szCs w:val="16"/>
        </w:rPr>
        <w:softHyphen/>
        <w:t>тальные - 1 февраля, также поездом.</w:t>
      </w:r>
    </w:p>
    <w:p w14:paraId="1F5A921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Отправка инструкторов для 43-го и 50-го зап состоялась 7 и 9 февраля (поез</w:t>
      </w:r>
      <w:r w:rsidRPr="00925F26">
        <w:rPr>
          <w:color w:val="000000" w:themeColor="text1"/>
          <w:sz w:val="16"/>
          <w:szCs w:val="16"/>
        </w:rPr>
        <w:softHyphen/>
        <w:t>дом), а летчиков-перегонщиков для 245-го (летом на Ил-10), 1000-го и 217-го (поездом) перегоночных полков - 9, 15 и 16 февраля, соответственно (11131).</w:t>
      </w:r>
    </w:p>
    <w:p w14:paraId="70A407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B13C7F"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lastRenderedPageBreak/>
        <w:t>На 2 февраля 1945 был назначен отлет на фронт 108 полка. При этом с целью ускорения перебазирования полка инженеры и техники летели вместо стрелков, которых насчитывалось в полку всего 7 человек, и должны были самостоятельно готовить машины на всех промежуточных аэродромах.</w:t>
      </w:r>
    </w:p>
    <w:p w14:paraId="2D6ABC10"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 xml:space="preserve">Несмотря на тщательность подготовки перелета, первый самостоятельный вылет полка закончился полной неудачей. В последний момент был сменен первый промежуточный аэродром перелета. Вместо аэродрома Разбойщина следовало лететь на аэродром Багай-Барановка. Естественно, летный состав к новому маршруту подготовиться должным образом не успел, а на аэродроме </w:t>
      </w:r>
      <w:proofErr w:type="gramStart"/>
      <w:r w:rsidRPr="00925F26">
        <w:rPr>
          <w:rStyle w:val="107"/>
          <w:rFonts w:eastAsiaTheme="minorHAnsi"/>
          <w:color w:val="000000" w:themeColor="text1"/>
          <w:sz w:val="16"/>
          <w:szCs w:val="16"/>
        </w:rPr>
        <w:t>вылета</w:t>
      </w:r>
      <w:proofErr w:type="gramEnd"/>
      <w:r w:rsidRPr="00925F26">
        <w:rPr>
          <w:rStyle w:val="107"/>
          <w:rFonts w:eastAsiaTheme="minorHAnsi"/>
          <w:color w:val="000000" w:themeColor="text1"/>
          <w:sz w:val="16"/>
          <w:szCs w:val="16"/>
        </w:rPr>
        <w:t xml:space="preserve"> Толкай не было подготовлено положения по организации перелета.</w:t>
      </w:r>
    </w:p>
    <w:p w14:paraId="72BD892D"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В результате первая группа в составе 5 Ил-10 (ведущий группы - помощник командира полка по воздушно-стрелковой службе капитан Сироткин), вылетев в 13.55 с базового аэродрома, благополучно добралась до нового аэродрома, выполнив в 15.05 посадку.</w:t>
      </w:r>
    </w:p>
    <w:p w14:paraId="6C447B9B"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Из 7 Ил-10 второй группы долетела до нового аэродрома только четверка командира 3-й эскадрильи капитана Зиновьева.</w:t>
      </w:r>
    </w:p>
    <w:p w14:paraId="1A46D7AE"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Звено во главе с замкомэска младшим лейтенантом Мазуром оторвалась от общей группы сразу же с места вылета. Затем летчики заблудились и, выработав горючее, сели в поле. В итоге: одна авария - Ил-10 зав. № 1890602 и одна поломка - Ил-10 зав. № 1891302.</w:t>
      </w:r>
    </w:p>
    <w:p w14:paraId="2ACCF71E"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Третья группа из 10 Ил-10 (ведущий капитан Железняков), вылетевшая в 14.35, долетела до г. Балаково и возвратилась по метеоусловиям, совершив посадку в Чапаевске на аэродроме 12 зап.</w:t>
      </w:r>
    </w:p>
    <w:p w14:paraId="143109A0"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Из состава группы младший лейтенант Кирюшкин (Ил-10 зав. № 1891902) вынужденно сел по причине отказа мотора (АМ-42 зав. № 45315) - «самолет разбит при вынужденной посадке вне аэродрома». Из -за отсутствия давления масла разрушился ведущий валик маслонасоса.</w:t>
      </w:r>
    </w:p>
    <w:p w14:paraId="384AFCCB"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На самолете Ил-10 (зав. № 1890801) лейтенанта Максимова «в полете лопнула мембрана редуктора рабочей сети, воздух из системы стравился в атмосферу». Над аэродромом Чапаевск Максимов попытался выпустить шасси при помощи аварийной лебедки. Шасси вышло только наполовину, когда оборвались тросы лебедки. Пришлось садиться с наполовину выпущенным шасси. В результате погнут воздушный винт, сломаны шасси, но главное, деформировался центроплан. Самолет списали.</w:t>
      </w:r>
    </w:p>
    <w:p w14:paraId="2FD0BE08"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Младший лейтенант Юдаев (Ил-10 зав. № 1891002) произвел посадку на одно колесо из -за невыхода шасси («по причине проскакивания обтекателя колеса в купол центроплана»). Самолет поломан, требует ремонта.</w:t>
      </w:r>
    </w:p>
    <w:p w14:paraId="7616FAEA"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Четвертая группа из 4 Ил-10 (ведущий командир 2-й эскадрильи капитан Новиков), вылетев в 14.45, возвратилась с маршрута и произвела посадку на аэродроме в Чапаевске.</w:t>
      </w:r>
    </w:p>
    <w:p w14:paraId="6AA4E42F"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 xml:space="preserve">Таким образом, из 26 Ил-10, вылетевших с </w:t>
      </w:r>
      <w:proofErr w:type="gramStart"/>
      <w:r w:rsidRPr="00925F26">
        <w:rPr>
          <w:rStyle w:val="107"/>
          <w:rFonts w:eastAsiaTheme="minorHAnsi"/>
          <w:color w:val="000000" w:themeColor="text1"/>
          <w:sz w:val="16"/>
          <w:szCs w:val="16"/>
        </w:rPr>
        <w:t>аэродрома</w:t>
      </w:r>
      <w:proofErr w:type="gramEnd"/>
      <w:r w:rsidRPr="00925F26">
        <w:rPr>
          <w:rStyle w:val="107"/>
          <w:rFonts w:eastAsiaTheme="minorHAnsi"/>
          <w:color w:val="000000" w:themeColor="text1"/>
          <w:sz w:val="16"/>
          <w:szCs w:val="16"/>
        </w:rPr>
        <w:t xml:space="preserve"> Толкай, на место назначения прибыло только 9 экипажей, 13 - сели в Чапаевске плюс три аварии и две поломки самолетов. Безвозвратные потери составили 2 Ил-10.</w:t>
      </w:r>
    </w:p>
    <w:p w14:paraId="52D2BE9B"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После «разбора полетов» и раздачи «слонов» всем «заинтересованным» лицам 108 гшап в два приема - 9 и 20 февраля - все же убыл оставшимся составом в действующую армию.</w:t>
      </w:r>
    </w:p>
    <w:p w14:paraId="79E730D9"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Помимо двух лидерных маршевых авиаполков, в 1 заб в течение января было переучено на самолете Ил-10 20 летчиков-инструкторов для 43-го и 50-го запасных авиаполков, 12 экипажей перегоночных авиаполков, 10 инспекторов по летной подготовке (по одному для 3, 14 и 2 ВА, по одному - для Московского, Киевского, Белорусского и Одесского военных округов и три - для Инспекции ВВС КА), а также 51 летчик из постоянного состава бригады. Из этого числа два инспектора по технике пилотирования для 2-й воздушной армии и для Киевского военного округа убыли к месту назначения 26 января поездом, а остальные - 1 февраля, также поездом. Отправка инструкторов для 43 и 50 зап состоялась 7 и 9 февраля (поездом), а летчиков-перегонщиков для 245 (летом на Ил-10), 1000 и 217-го (поездом) перегоночных полков - 9, 15 и 16 февраля соответственно (17490).</w:t>
      </w:r>
    </w:p>
    <w:p w14:paraId="3549EE4B" w14:textId="77777777" w:rsidR="001907E8" w:rsidRPr="00925F26" w:rsidRDefault="001907E8" w:rsidP="00925F26">
      <w:pPr>
        <w:jc w:val="both"/>
        <w:rPr>
          <w:color w:val="000000" w:themeColor="text1"/>
          <w:sz w:val="16"/>
          <w:szCs w:val="16"/>
        </w:rPr>
      </w:pPr>
    </w:p>
    <w:p w14:paraId="704777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по данным ОКБ С.В.И. эскадрилья, ведомая Героем Советского Союза Ф.А.Жигариным - штурманом 108 гшап - впервые штурмовала танки и мотопехоту у реки Нейсе (5,123).</w:t>
      </w:r>
    </w:p>
    <w:p w14:paraId="00C63B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Это, очевидно, недоразумение и должно быть не февраля, а апреля. Стреляли РС и бросали ПТАБ, а также пушки и пулеметы. Вернулись все (111,176).</w:t>
      </w:r>
    </w:p>
    <w:p w14:paraId="4FEB446B" w14:textId="77777777" w:rsidR="00C2313B" w:rsidRPr="00925F26" w:rsidRDefault="00C2313B" w:rsidP="00925F26">
      <w:pPr>
        <w:autoSpaceDE w:val="0"/>
        <w:autoSpaceDN w:val="0"/>
        <w:adjustRightInd w:val="0"/>
        <w:jc w:val="both"/>
        <w:rPr>
          <w:color w:val="000000" w:themeColor="text1"/>
          <w:sz w:val="16"/>
          <w:szCs w:val="16"/>
        </w:rPr>
      </w:pPr>
    </w:p>
    <w:p w14:paraId="0FAC93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было первое применение Ил-10 в боевых действиях под Шпротау у р. Нейсе под управлением командира эскадрильи 108 гшап 2ВА Ф.А.Жигарина (3846,20).</w:t>
      </w:r>
    </w:p>
    <w:p w14:paraId="6A91C796" w14:textId="77777777" w:rsidR="00C2313B" w:rsidRPr="00925F26" w:rsidRDefault="00C2313B" w:rsidP="00925F26">
      <w:pPr>
        <w:autoSpaceDE w:val="0"/>
        <w:autoSpaceDN w:val="0"/>
        <w:adjustRightInd w:val="0"/>
        <w:jc w:val="both"/>
        <w:rPr>
          <w:color w:val="000000" w:themeColor="text1"/>
          <w:sz w:val="16"/>
          <w:szCs w:val="16"/>
        </w:rPr>
      </w:pPr>
    </w:p>
    <w:p w14:paraId="75A2C7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фев</w:t>
      </w:r>
      <w:r w:rsidRPr="00925F26">
        <w:rPr>
          <w:color w:val="000000" w:themeColor="text1"/>
          <w:sz w:val="16"/>
          <w:szCs w:val="16"/>
        </w:rPr>
        <w:softHyphen/>
        <w:t>раля 1945 чтобы ускорить перебазирование 108 полка, инженеры и техники летели вме</w:t>
      </w:r>
      <w:r w:rsidRPr="00925F26">
        <w:rPr>
          <w:color w:val="000000" w:themeColor="text1"/>
          <w:sz w:val="16"/>
          <w:szCs w:val="16"/>
        </w:rPr>
        <w:softHyphen/>
        <w:t>сто стрелков, которых насчитывалось в полку всего 7 человек, и должны были самостоятельно готовить машины на всех промежуточных аэродромах. Несмотря на тщательность подготов</w:t>
      </w:r>
      <w:r w:rsidRPr="00925F26">
        <w:rPr>
          <w:color w:val="000000" w:themeColor="text1"/>
          <w:sz w:val="16"/>
          <w:szCs w:val="16"/>
        </w:rPr>
        <w:softHyphen/>
        <w:t>ки перелета, он закончился неудачей. В последний момент сменили первый промежуточный пункт. Вместо аэродро</w:t>
      </w:r>
      <w:r w:rsidRPr="00925F26">
        <w:rPr>
          <w:color w:val="000000" w:themeColor="text1"/>
          <w:sz w:val="16"/>
          <w:szCs w:val="16"/>
        </w:rPr>
        <w:softHyphen/>
        <w:t>ма Разбойщина следовало лететь в Багай-Барановку. Летный состав к новому маршруту подготовиться должным об</w:t>
      </w:r>
      <w:r w:rsidRPr="00925F26">
        <w:rPr>
          <w:color w:val="000000" w:themeColor="text1"/>
          <w:sz w:val="16"/>
          <w:szCs w:val="16"/>
        </w:rPr>
        <w:softHyphen/>
        <w:t>разом не успел. Первая группа из пяти машин, лиди-руемая капитаном Сироткиным, добра</w:t>
      </w:r>
      <w:r w:rsidRPr="00925F26">
        <w:rPr>
          <w:color w:val="000000" w:themeColor="text1"/>
          <w:sz w:val="16"/>
          <w:szCs w:val="16"/>
        </w:rPr>
        <w:softHyphen/>
        <w:t>лась до нового аэродрома благополуч</w:t>
      </w:r>
      <w:r w:rsidRPr="00925F26">
        <w:rPr>
          <w:color w:val="000000" w:themeColor="text1"/>
          <w:sz w:val="16"/>
          <w:szCs w:val="16"/>
        </w:rPr>
        <w:softHyphen/>
        <w:t>но. Из второй (семь Ил-10) долетела только четверка во главе с ведущим группы капитаном Зиновьевым. Звено младшего лейтенанта Мазура оторва</w:t>
      </w:r>
      <w:r w:rsidRPr="00925F26">
        <w:rPr>
          <w:color w:val="000000" w:themeColor="text1"/>
          <w:sz w:val="16"/>
          <w:szCs w:val="16"/>
        </w:rPr>
        <w:softHyphen/>
        <w:t>лось от группы сразу же. Летчики заблу</w:t>
      </w:r>
      <w:r w:rsidRPr="00925F26">
        <w:rPr>
          <w:color w:val="000000" w:themeColor="text1"/>
          <w:sz w:val="16"/>
          <w:szCs w:val="16"/>
        </w:rPr>
        <w:softHyphen/>
        <w:t>дились и, выработав горючее, сели в по</w:t>
      </w:r>
      <w:r w:rsidRPr="00925F26">
        <w:rPr>
          <w:color w:val="000000" w:themeColor="text1"/>
          <w:sz w:val="16"/>
          <w:szCs w:val="16"/>
        </w:rPr>
        <w:softHyphen/>
        <w:t>ле. В итоге - одна авария и одна полом</w:t>
      </w:r>
      <w:r w:rsidRPr="00925F26">
        <w:rPr>
          <w:color w:val="000000" w:themeColor="text1"/>
          <w:sz w:val="16"/>
          <w:szCs w:val="16"/>
        </w:rPr>
        <w:softHyphen/>
        <w:t xml:space="preserve">ка. Третья группа из 10 Ил-10 (ведущий капитан Железняков) долетела до </w:t>
      </w:r>
      <w:proofErr w:type="gramStart"/>
      <w:r w:rsidRPr="00925F26">
        <w:rPr>
          <w:color w:val="000000" w:themeColor="text1"/>
          <w:sz w:val="16"/>
          <w:szCs w:val="16"/>
        </w:rPr>
        <w:t>Бала-ково</w:t>
      </w:r>
      <w:proofErr w:type="gramEnd"/>
      <w:r w:rsidRPr="00925F26">
        <w:rPr>
          <w:color w:val="000000" w:themeColor="text1"/>
          <w:sz w:val="16"/>
          <w:szCs w:val="16"/>
        </w:rPr>
        <w:t xml:space="preserve"> и возвратилась из-за плохой пого</w:t>
      </w:r>
      <w:r w:rsidRPr="00925F26">
        <w:rPr>
          <w:color w:val="000000" w:themeColor="text1"/>
          <w:sz w:val="16"/>
          <w:szCs w:val="16"/>
        </w:rPr>
        <w:softHyphen/>
        <w:t>ды. На обратном пути младший лейте</w:t>
      </w:r>
      <w:r w:rsidRPr="00925F26">
        <w:rPr>
          <w:color w:val="000000" w:themeColor="text1"/>
          <w:sz w:val="16"/>
          <w:szCs w:val="16"/>
        </w:rPr>
        <w:softHyphen/>
        <w:t>нант Кирюшкин совершил вынужденную посадку - отказал мотор. Его самолет был поврежден. Лейтенант Максимов выработал горючее и потерпел аварию в районе Чапаевска. Младшему лейте</w:t>
      </w:r>
      <w:r w:rsidRPr="00925F26">
        <w:rPr>
          <w:color w:val="000000" w:themeColor="text1"/>
          <w:sz w:val="16"/>
          <w:szCs w:val="16"/>
        </w:rPr>
        <w:softHyphen/>
        <w:t>нанту Юдаеву пришлось садиться на одно колесо - не вышла вторая стойка. Четвертая группа во главе с капитаном Новиковым (четыре Ил-10) тоже верну</w:t>
      </w:r>
      <w:r w:rsidRPr="00925F26">
        <w:rPr>
          <w:color w:val="000000" w:themeColor="text1"/>
          <w:sz w:val="16"/>
          <w:szCs w:val="16"/>
        </w:rPr>
        <w:softHyphen/>
        <w:t>лась и приземлилась в Чапаевске. Та</w:t>
      </w:r>
      <w:r w:rsidRPr="00925F26">
        <w:rPr>
          <w:color w:val="000000" w:themeColor="text1"/>
          <w:sz w:val="16"/>
          <w:szCs w:val="16"/>
        </w:rPr>
        <w:softHyphen/>
        <w:t>ким образом, из 26 самолетов, вылетев</w:t>
      </w:r>
      <w:r w:rsidRPr="00925F26">
        <w:rPr>
          <w:color w:val="000000" w:themeColor="text1"/>
          <w:sz w:val="16"/>
          <w:szCs w:val="16"/>
        </w:rPr>
        <w:softHyphen/>
        <w:t>ших с аэродрома Толкай, на место назначения прибыли девять. После разби</w:t>
      </w:r>
      <w:r w:rsidRPr="00925F26">
        <w:rPr>
          <w:color w:val="000000" w:themeColor="text1"/>
          <w:sz w:val="16"/>
          <w:szCs w:val="16"/>
        </w:rPr>
        <w:softHyphen/>
        <w:t>рательства и принятия мер 108-й гшап в два приема - 9 и 20 февраля убыл-таки полным составом в действующую ар</w:t>
      </w:r>
      <w:r w:rsidRPr="00925F26">
        <w:rPr>
          <w:color w:val="000000" w:themeColor="text1"/>
          <w:sz w:val="16"/>
          <w:szCs w:val="16"/>
        </w:rPr>
        <w:softHyphen/>
        <w:t>мию. Кроме этого, 25 января на стажи</w:t>
      </w:r>
      <w:r w:rsidRPr="00925F26">
        <w:rPr>
          <w:color w:val="000000" w:themeColor="text1"/>
          <w:sz w:val="16"/>
          <w:szCs w:val="16"/>
        </w:rPr>
        <w:softHyphen/>
        <w:t>ровку во 2-ю воздушную армию отпра</w:t>
      </w:r>
      <w:r w:rsidRPr="00925F26">
        <w:rPr>
          <w:color w:val="000000" w:themeColor="text1"/>
          <w:sz w:val="16"/>
          <w:szCs w:val="16"/>
        </w:rPr>
        <w:softHyphen/>
        <w:t>вилось на Ил-10 звено от управления бригады (10681).</w:t>
      </w:r>
    </w:p>
    <w:p w14:paraId="00C64C7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271493A"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 1945: The Soviet 1st Belorussian Front reaches the Oder south of Frankfurt. Ecuador declares war on Germany (3819).</w:t>
      </w:r>
    </w:p>
    <w:p w14:paraId="5F130C8A" w14:textId="77777777" w:rsidR="00C2313B" w:rsidRPr="00925F26" w:rsidRDefault="00C2313B" w:rsidP="00925F26">
      <w:pPr>
        <w:autoSpaceDE w:val="0"/>
        <w:autoSpaceDN w:val="0"/>
        <w:adjustRightInd w:val="0"/>
        <w:jc w:val="both"/>
        <w:rPr>
          <w:color w:val="000000" w:themeColor="text1"/>
          <w:sz w:val="16"/>
          <w:szCs w:val="16"/>
          <w:lang w:val="en-US"/>
        </w:rPr>
      </w:pPr>
    </w:p>
    <w:p w14:paraId="78D4E099"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2 </w:t>
      </w:r>
      <w:r w:rsidRPr="00925F26">
        <w:rPr>
          <w:color w:val="000000" w:themeColor="text1"/>
          <w:sz w:val="16"/>
          <w:szCs w:val="16"/>
        </w:rPr>
        <w:t>февраля</w:t>
      </w:r>
      <w:r w:rsidRPr="00925F26">
        <w:rPr>
          <w:color w:val="000000" w:themeColor="text1"/>
          <w:sz w:val="16"/>
          <w:szCs w:val="16"/>
          <w:lang w:val="en-US"/>
        </w:rPr>
        <w:t xml:space="preserve"> 1945 1</w:t>
      </w:r>
      <w:r w:rsidRPr="00925F26">
        <w:rPr>
          <w:color w:val="000000" w:themeColor="text1"/>
          <w:sz w:val="16"/>
          <w:szCs w:val="16"/>
        </w:rPr>
        <w:t>БФвышелкОдерунаЮгеуФранкфурта</w:t>
      </w:r>
      <w:r w:rsidRPr="00925F26">
        <w:rPr>
          <w:color w:val="000000" w:themeColor="text1"/>
          <w:sz w:val="16"/>
          <w:szCs w:val="16"/>
          <w:lang w:val="en-US"/>
        </w:rPr>
        <w:t xml:space="preserve">. </w:t>
      </w:r>
      <w:r w:rsidRPr="00925F26">
        <w:rPr>
          <w:color w:val="000000" w:themeColor="text1"/>
          <w:sz w:val="16"/>
          <w:szCs w:val="16"/>
        </w:rPr>
        <w:t>Эквадор</w:t>
      </w:r>
      <w:r w:rsidRPr="00925F26">
        <w:rPr>
          <w:color w:val="000000" w:themeColor="text1"/>
          <w:sz w:val="16"/>
          <w:szCs w:val="16"/>
          <w:lang w:val="en-US"/>
        </w:rPr>
        <w:t xml:space="preserve"> </w:t>
      </w:r>
      <w:r w:rsidRPr="00925F26">
        <w:rPr>
          <w:color w:val="000000" w:themeColor="text1"/>
          <w:sz w:val="16"/>
          <w:szCs w:val="16"/>
        </w:rPr>
        <w:t>объявил</w:t>
      </w:r>
      <w:r w:rsidRPr="00925F26">
        <w:rPr>
          <w:color w:val="000000" w:themeColor="text1"/>
          <w:sz w:val="16"/>
          <w:szCs w:val="16"/>
          <w:lang w:val="en-US"/>
        </w:rPr>
        <w:t xml:space="preserve"> </w:t>
      </w:r>
      <w:r w:rsidRPr="00925F26">
        <w:rPr>
          <w:color w:val="000000" w:themeColor="text1"/>
          <w:sz w:val="16"/>
          <w:szCs w:val="16"/>
        </w:rPr>
        <w:t>войну</w:t>
      </w:r>
      <w:r w:rsidRPr="00925F26">
        <w:rPr>
          <w:color w:val="000000" w:themeColor="text1"/>
          <w:sz w:val="16"/>
          <w:szCs w:val="16"/>
          <w:lang w:val="en-US"/>
        </w:rPr>
        <w:t xml:space="preserve"> </w:t>
      </w:r>
      <w:r w:rsidRPr="00925F26">
        <w:rPr>
          <w:color w:val="000000" w:themeColor="text1"/>
          <w:sz w:val="16"/>
          <w:szCs w:val="16"/>
        </w:rPr>
        <w:t>Германии</w:t>
      </w:r>
      <w:r w:rsidRPr="00925F26">
        <w:rPr>
          <w:color w:val="000000" w:themeColor="text1"/>
          <w:sz w:val="16"/>
          <w:szCs w:val="16"/>
          <w:lang w:val="en-US"/>
        </w:rPr>
        <w:t xml:space="preserve"> (3819).</w:t>
      </w:r>
    </w:p>
    <w:p w14:paraId="19B93EF4" w14:textId="77777777" w:rsidR="00C2313B" w:rsidRPr="00925F26" w:rsidRDefault="00C2313B" w:rsidP="00925F26">
      <w:pPr>
        <w:autoSpaceDE w:val="0"/>
        <w:autoSpaceDN w:val="0"/>
        <w:adjustRightInd w:val="0"/>
        <w:jc w:val="both"/>
        <w:rPr>
          <w:color w:val="000000" w:themeColor="text1"/>
          <w:sz w:val="16"/>
          <w:szCs w:val="16"/>
          <w:lang w:val="en-US"/>
        </w:rPr>
      </w:pPr>
    </w:p>
    <w:p w14:paraId="72B0C35F"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февраля 1945 в бою с фашистами погиб русский солдат Федор Полетаев, национальный герой Италии (4962).</w:t>
      </w:r>
    </w:p>
    <w:p w14:paraId="0243FE37"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57C2A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7443 Об утверждении генерал-майора Баюкова В.А. в должности зам. начальника Тыла КА. РГАНИР, Фонд ГКО, д. 365, лл. 97 (11012).</w:t>
      </w:r>
    </w:p>
    <w:p w14:paraId="076E6BF1" w14:textId="77777777" w:rsidR="00C2313B" w:rsidRPr="00925F26" w:rsidRDefault="00C2313B" w:rsidP="00925F26">
      <w:pPr>
        <w:autoSpaceDE w:val="0"/>
        <w:autoSpaceDN w:val="0"/>
        <w:adjustRightInd w:val="0"/>
        <w:jc w:val="both"/>
        <w:rPr>
          <w:color w:val="000000" w:themeColor="text1"/>
          <w:sz w:val="16"/>
          <w:szCs w:val="16"/>
        </w:rPr>
      </w:pPr>
    </w:p>
    <w:p w14:paraId="322FC2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7444 О т.т. Дребедневе М.Ф. и Егорове Н.В. РГАНИР, Фонд ГКО, д. 365, лл. 98 (11012).</w:t>
      </w:r>
    </w:p>
    <w:p w14:paraId="6D57B182" w14:textId="77777777" w:rsidR="00C2313B" w:rsidRPr="00925F26" w:rsidRDefault="00C2313B" w:rsidP="00925F26">
      <w:pPr>
        <w:autoSpaceDE w:val="0"/>
        <w:autoSpaceDN w:val="0"/>
        <w:adjustRightInd w:val="0"/>
        <w:jc w:val="both"/>
        <w:rPr>
          <w:color w:val="000000" w:themeColor="text1"/>
          <w:sz w:val="16"/>
          <w:szCs w:val="16"/>
        </w:rPr>
      </w:pPr>
    </w:p>
    <w:p w14:paraId="5841C67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г. в своей резиденции Каринхалле реихсмаршал Геринг принял Власова и Мальцева, а 4 марта состоялось окончательное признание ВВС РОА как самостоятельной структуры, что и было зафиксировано соответствующим приказом Коллеоа. С этого дня русское командование получило формальную независимым (4538).</w:t>
      </w:r>
    </w:p>
    <w:p w14:paraId="6E683911" w14:textId="77777777" w:rsidR="00C2313B" w:rsidRPr="00925F26" w:rsidRDefault="00C2313B" w:rsidP="00925F26">
      <w:pPr>
        <w:autoSpaceDE w:val="0"/>
        <w:autoSpaceDN w:val="0"/>
        <w:adjustRightInd w:val="0"/>
        <w:jc w:val="both"/>
        <w:rPr>
          <w:color w:val="000000" w:themeColor="text1"/>
          <w:sz w:val="16"/>
          <w:szCs w:val="16"/>
        </w:rPr>
      </w:pPr>
    </w:p>
    <w:p w14:paraId="2F623FF5"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73C5A5E" w14:textId="77777777" w:rsidR="00C2313B" w:rsidRPr="00925F26" w:rsidRDefault="00C2313B" w:rsidP="00925F26">
      <w:pPr>
        <w:autoSpaceDE w:val="0"/>
        <w:autoSpaceDN w:val="0"/>
        <w:adjustRightInd w:val="0"/>
        <w:jc w:val="both"/>
        <w:rPr>
          <w:iCs/>
          <w:color w:val="000000" w:themeColor="text1"/>
          <w:sz w:val="16"/>
          <w:szCs w:val="16"/>
        </w:rPr>
      </w:pPr>
    </w:p>
    <w:p w14:paraId="1163A3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на Поместном соборе патриархом РЦП был избран митрополит Ленинградский и Новгородский Алексий (3186).</w:t>
      </w:r>
    </w:p>
    <w:p w14:paraId="367556A5" w14:textId="77777777" w:rsidR="00C2313B" w:rsidRPr="00925F26" w:rsidRDefault="00C2313B" w:rsidP="00925F26">
      <w:pPr>
        <w:autoSpaceDE w:val="0"/>
        <w:autoSpaceDN w:val="0"/>
        <w:adjustRightInd w:val="0"/>
        <w:jc w:val="both"/>
        <w:rPr>
          <w:color w:val="000000" w:themeColor="text1"/>
          <w:sz w:val="16"/>
          <w:szCs w:val="16"/>
        </w:rPr>
      </w:pPr>
    </w:p>
    <w:p w14:paraId="4E89B9E1" w14:textId="77777777" w:rsidR="00A524F6" w:rsidRPr="00925F26" w:rsidRDefault="00A524F6" w:rsidP="00925F26">
      <w:pPr>
        <w:jc w:val="both"/>
        <w:rPr>
          <w:color w:val="000000" w:themeColor="text1"/>
          <w:sz w:val="16"/>
          <w:szCs w:val="16"/>
        </w:rPr>
      </w:pPr>
      <w:r w:rsidRPr="00925F26">
        <w:rPr>
          <w:color w:val="000000" w:themeColor="text1"/>
          <w:sz w:val="16"/>
          <w:szCs w:val="16"/>
        </w:rPr>
        <w:t>2 февраля 1945. Патриархом Московским и всея Руси избран митрополит Ленинградский и Новгородский Алексий (Симанский) (18688).</w:t>
      </w:r>
    </w:p>
    <w:p w14:paraId="14ACC096" w14:textId="77777777" w:rsidR="00A524F6" w:rsidRPr="00925F26" w:rsidRDefault="00A524F6" w:rsidP="00925F26">
      <w:pPr>
        <w:jc w:val="both"/>
        <w:rPr>
          <w:color w:val="000000" w:themeColor="text1"/>
          <w:sz w:val="16"/>
          <w:szCs w:val="16"/>
        </w:rPr>
      </w:pPr>
    </w:p>
    <w:p w14:paraId="4264F7C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682A3D3" w14:textId="77777777" w:rsidR="00C2313B" w:rsidRPr="00925F26" w:rsidRDefault="00C2313B" w:rsidP="00925F26">
      <w:pPr>
        <w:autoSpaceDE w:val="0"/>
        <w:autoSpaceDN w:val="0"/>
        <w:adjustRightInd w:val="0"/>
        <w:jc w:val="both"/>
        <w:rPr>
          <w:iCs/>
          <w:color w:val="000000" w:themeColor="text1"/>
          <w:sz w:val="16"/>
          <w:szCs w:val="16"/>
        </w:rPr>
      </w:pPr>
    </w:p>
    <w:p w14:paraId="4CD3AC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вышло Постановление ГКО № 7441 О помощи продовольствием населению г. Варшавы. РГАНИР, Фонд ГКО, д. 365, лл. 94 (11012).</w:t>
      </w:r>
    </w:p>
    <w:p w14:paraId="6F84AC01" w14:textId="77777777" w:rsidR="00C2313B" w:rsidRPr="00925F26" w:rsidRDefault="00C2313B" w:rsidP="00925F26">
      <w:pPr>
        <w:autoSpaceDE w:val="0"/>
        <w:autoSpaceDN w:val="0"/>
        <w:adjustRightInd w:val="0"/>
        <w:jc w:val="both"/>
        <w:rPr>
          <w:color w:val="000000" w:themeColor="text1"/>
          <w:sz w:val="16"/>
          <w:szCs w:val="16"/>
        </w:rPr>
      </w:pPr>
    </w:p>
    <w:p w14:paraId="4FC79381"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672A07E" w14:textId="77777777" w:rsidR="00C2313B" w:rsidRPr="00925F26" w:rsidRDefault="00C2313B" w:rsidP="00925F26">
      <w:pPr>
        <w:autoSpaceDE w:val="0"/>
        <w:autoSpaceDN w:val="0"/>
        <w:adjustRightInd w:val="0"/>
        <w:jc w:val="both"/>
        <w:rPr>
          <w:iCs/>
          <w:color w:val="000000" w:themeColor="text1"/>
          <w:sz w:val="16"/>
          <w:szCs w:val="16"/>
        </w:rPr>
      </w:pPr>
    </w:p>
    <w:p w14:paraId="0FA7229B" w14:textId="77777777" w:rsidR="002A4526" w:rsidRPr="00925F26" w:rsidRDefault="002A4526" w:rsidP="00925F26">
      <w:pPr>
        <w:jc w:val="both"/>
        <w:rPr>
          <w:color w:val="000000" w:themeColor="text1"/>
          <w:sz w:val="16"/>
          <w:szCs w:val="16"/>
        </w:rPr>
      </w:pPr>
      <w:r w:rsidRPr="00925F26">
        <w:rPr>
          <w:color w:val="000000" w:themeColor="text1"/>
          <w:sz w:val="16"/>
          <w:szCs w:val="16"/>
        </w:rPr>
        <w:t>2 февраля 1945 первый полет Horten H.IX V2, первого мощного прототипа Horten Ho 229 (20371).</w:t>
      </w:r>
    </w:p>
    <w:p w14:paraId="19E74E3B" w14:textId="77777777" w:rsidR="002A4526" w:rsidRPr="00925F26" w:rsidRDefault="002A4526" w:rsidP="00925F26">
      <w:pPr>
        <w:jc w:val="both"/>
        <w:rPr>
          <w:color w:val="000000" w:themeColor="text1"/>
          <w:sz w:val="16"/>
          <w:szCs w:val="16"/>
        </w:rPr>
      </w:pPr>
    </w:p>
    <w:p w14:paraId="59B0F091" w14:textId="77777777" w:rsidR="002A4526" w:rsidRPr="00925F26" w:rsidRDefault="002A4526" w:rsidP="00925F26">
      <w:pPr>
        <w:jc w:val="both"/>
        <w:rPr>
          <w:color w:val="000000" w:themeColor="text1"/>
          <w:sz w:val="16"/>
          <w:szCs w:val="16"/>
        </w:rPr>
      </w:pPr>
      <w:r w:rsidRPr="00925F26">
        <w:rPr>
          <w:color w:val="000000" w:themeColor="text1"/>
          <w:sz w:val="16"/>
          <w:szCs w:val="16"/>
        </w:rPr>
        <w:t>2 февраля 1945 Horten H.IX V2, второй прототип и первый прототип Horten Ho 229 с двигателем, совершает первый полет в Ораниенбурге, Германия. Это первый в мире полет на турбореактивного самолет типа летающее крыло (20371).</w:t>
      </w:r>
    </w:p>
    <w:p w14:paraId="7409E149" w14:textId="77777777" w:rsidR="002A4526" w:rsidRPr="00925F26" w:rsidRDefault="002A4526" w:rsidP="00925F26">
      <w:pPr>
        <w:jc w:val="both"/>
        <w:rPr>
          <w:color w:val="000000" w:themeColor="text1"/>
          <w:sz w:val="16"/>
          <w:szCs w:val="16"/>
        </w:rPr>
      </w:pPr>
    </w:p>
    <w:p w14:paraId="6683D97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1200 английских бомбардировщиков бомбили Висбаден и Карлсруе (2100).</w:t>
      </w:r>
    </w:p>
    <w:p w14:paraId="6B398B75" w14:textId="77777777" w:rsidR="00C2313B" w:rsidRPr="00925F26" w:rsidRDefault="00C2313B" w:rsidP="00925F26">
      <w:pPr>
        <w:autoSpaceDE w:val="0"/>
        <w:autoSpaceDN w:val="0"/>
        <w:adjustRightInd w:val="0"/>
        <w:jc w:val="both"/>
        <w:rPr>
          <w:color w:val="000000" w:themeColor="text1"/>
          <w:sz w:val="16"/>
          <w:szCs w:val="16"/>
        </w:rPr>
      </w:pPr>
    </w:p>
    <w:p w14:paraId="19A7E5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февраля 1945 г. усовершенствованной ракете V1 удалось достичь скорости 800 км/ч. Потеря стартовых позиций на побережье ЛаМанша потребовала увеличения дальности полета КР до 400 км (Новичков Н.Н. Развитие крылатых ракет самолетных схем. Диссертация кандидата технических наук. М.: Институт истории естествознания и техники, 1982.). Поскольку величину удельного расхода топлива ПуВРД не удалось снизить до уровня менее 4,8 кг/кгсч при скорости полета КР 530–550 км и тяги 270 кгс, то увеличение дальности было осуществлено за счет снижения массы полезной нагрузки, увеличения запаса топлива и применения деревянного крыла. Благодаря этому дальность Fi.103 возросла с 240 км до 370 км. Кроме того, инженеры фирмы «Аскания» создали и опробовали гироскопический автопилот, значительно повысивший точность полета и попадания в цель. Гитлеровцы вновь решили применить КР по Англии с наземных пусковых установок. В Западной Голландии было построено шесть стартовых позиций. Из этих позиций до 29 марта 1945 г. по Англии было запущено 275 крылатых ракет. Однако эти удары уже не могли остановить крах Третьего рейха (11686).</w:t>
      </w:r>
    </w:p>
    <w:p w14:paraId="591517C9" w14:textId="77777777" w:rsidR="00C2313B" w:rsidRPr="00925F26" w:rsidRDefault="00C2313B" w:rsidP="00925F26">
      <w:pPr>
        <w:autoSpaceDE w:val="0"/>
        <w:autoSpaceDN w:val="0"/>
        <w:adjustRightInd w:val="0"/>
        <w:jc w:val="both"/>
        <w:rPr>
          <w:color w:val="000000" w:themeColor="text1"/>
          <w:sz w:val="16"/>
          <w:szCs w:val="16"/>
        </w:rPr>
      </w:pPr>
    </w:p>
    <w:p w14:paraId="193E5F2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8D5FD12" w14:textId="77777777" w:rsidR="00C2313B" w:rsidRPr="00925F26" w:rsidRDefault="00C2313B" w:rsidP="00925F26">
      <w:pPr>
        <w:autoSpaceDE w:val="0"/>
        <w:autoSpaceDN w:val="0"/>
        <w:adjustRightInd w:val="0"/>
        <w:jc w:val="both"/>
        <w:rPr>
          <w:iCs/>
          <w:color w:val="000000" w:themeColor="text1"/>
          <w:sz w:val="16"/>
          <w:szCs w:val="16"/>
        </w:rPr>
      </w:pPr>
    </w:p>
    <w:p w14:paraId="145A461A" w14:textId="77777777" w:rsidR="0032140A" w:rsidRPr="00925F26" w:rsidRDefault="0032140A" w:rsidP="00925F26">
      <w:pPr>
        <w:jc w:val="both"/>
        <w:rPr>
          <w:color w:val="000000" w:themeColor="text1"/>
          <w:sz w:val="16"/>
          <w:szCs w:val="16"/>
        </w:rPr>
      </w:pPr>
      <w:r w:rsidRPr="00925F26">
        <w:rPr>
          <w:color w:val="000000" w:themeColor="text1"/>
          <w:sz w:val="16"/>
          <w:szCs w:val="16"/>
        </w:rPr>
        <w:t>3 февраля 1945 г. генерал-полковник А.К. Репин обратился к заместителю наркома авиационной промышленности СССР гене</w:t>
      </w:r>
      <w:r w:rsidRPr="00925F26">
        <w:rPr>
          <w:color w:val="000000" w:themeColor="text1"/>
          <w:sz w:val="16"/>
          <w:szCs w:val="16"/>
        </w:rPr>
        <w:softHyphen/>
        <w:t>рал-лейтенанту А.С. Яковлеву с предложением заменить цементованную броню гомогенной для всех бронедеталей, располагаемых внутри фюзеляжа самолета, а также отработать более рациональную систему броневой защиты на истребителях, отвечающую современным тре</w:t>
      </w:r>
      <w:r w:rsidRPr="00925F26">
        <w:rPr>
          <w:color w:val="000000" w:themeColor="text1"/>
          <w:sz w:val="16"/>
          <w:szCs w:val="16"/>
        </w:rPr>
        <w:softHyphen/>
        <w:t>бованиям.</w:t>
      </w:r>
    </w:p>
    <w:p w14:paraId="66400D83" w14:textId="77777777" w:rsidR="0032140A" w:rsidRPr="00925F26" w:rsidRDefault="0032140A" w:rsidP="00925F26">
      <w:pPr>
        <w:jc w:val="both"/>
        <w:rPr>
          <w:color w:val="000000" w:themeColor="text1"/>
          <w:sz w:val="16"/>
          <w:szCs w:val="16"/>
        </w:rPr>
      </w:pPr>
      <w:r w:rsidRPr="00925F26">
        <w:rPr>
          <w:color w:val="000000" w:themeColor="text1"/>
          <w:sz w:val="16"/>
          <w:szCs w:val="16"/>
        </w:rPr>
        <w:t>К этому времени в ГК НИИ ВВС в ходе ис</w:t>
      </w:r>
      <w:r w:rsidRPr="00925F26">
        <w:rPr>
          <w:color w:val="000000" w:themeColor="text1"/>
          <w:sz w:val="16"/>
          <w:szCs w:val="16"/>
        </w:rPr>
        <w:softHyphen/>
        <w:t>следования влияния элементов конструкции самолета на стойкость авиационной брони внутри самолета выяснилось, что пули кали</w:t>
      </w:r>
      <w:r w:rsidRPr="00925F26">
        <w:rPr>
          <w:color w:val="000000" w:themeColor="text1"/>
          <w:sz w:val="16"/>
          <w:szCs w:val="16"/>
        </w:rPr>
        <w:softHyphen/>
        <w:t>бра 7,62 мм не пробивают практически с лю</w:t>
      </w:r>
      <w:r w:rsidRPr="00925F26">
        <w:rPr>
          <w:color w:val="000000" w:themeColor="text1"/>
          <w:sz w:val="16"/>
          <w:szCs w:val="16"/>
        </w:rPr>
        <w:softHyphen/>
        <w:t>бых дистанций цементованную и гомогенную броню толщиной 8,5 мм, расположенную в конструкции самолета. То есть, цементованная броня в реальных условиях ее работы на само</w:t>
      </w:r>
      <w:r w:rsidRPr="00925F26">
        <w:rPr>
          <w:color w:val="000000" w:themeColor="text1"/>
          <w:sz w:val="16"/>
          <w:szCs w:val="16"/>
        </w:rPr>
        <w:softHyphen/>
        <w:t>лете не имела явных преимуществ перед го</w:t>
      </w:r>
      <w:r w:rsidRPr="00925F26">
        <w:rPr>
          <w:color w:val="000000" w:themeColor="text1"/>
          <w:sz w:val="16"/>
          <w:szCs w:val="16"/>
        </w:rPr>
        <w:softHyphen/>
        <w:t>могенной броней. В то же время применяемая для бронеспинок броня толщиной 8,5 мм (как в гомогенном, так и в цементованном варианте) не обеспечивает защиту летчика в воздушном бою, так как пробивается боеприпасами кали</w:t>
      </w:r>
      <w:r w:rsidRPr="00925F26">
        <w:rPr>
          <w:color w:val="000000" w:themeColor="text1"/>
          <w:sz w:val="16"/>
          <w:szCs w:val="16"/>
        </w:rPr>
        <w:softHyphen/>
        <w:t>бра 13-20 мм с дистанции до 400 м в конусе ±30° от продольной оси самолета.</w:t>
      </w:r>
    </w:p>
    <w:p w14:paraId="42535207" w14:textId="77777777" w:rsidR="0032140A" w:rsidRPr="00925F26" w:rsidRDefault="0032140A" w:rsidP="00925F26">
      <w:pPr>
        <w:jc w:val="both"/>
        <w:rPr>
          <w:color w:val="000000" w:themeColor="text1"/>
          <w:sz w:val="16"/>
          <w:szCs w:val="16"/>
        </w:rPr>
      </w:pPr>
      <w:r w:rsidRPr="00925F26">
        <w:rPr>
          <w:color w:val="000000" w:themeColor="text1"/>
          <w:sz w:val="16"/>
          <w:szCs w:val="16"/>
        </w:rPr>
        <w:t>Репин просил поручить ВИАМ и заводу №125</w:t>
      </w:r>
      <w:r w:rsidRPr="00925F26">
        <w:rPr>
          <w:rStyle w:val="aff6"/>
          <w:rFonts w:ascii="Times New Roman" w:hAnsi="Times New Roman" w:cs="Times New Roman"/>
          <w:i w:val="0"/>
          <w:color w:val="000000" w:themeColor="text1"/>
        </w:rPr>
        <w:t xml:space="preserve"> «отработать параметры гомогенной брони (марка стали, твердость) для указан</w:t>
      </w:r>
      <w:r w:rsidRPr="00925F26">
        <w:rPr>
          <w:rStyle w:val="aff6"/>
          <w:rFonts w:ascii="Times New Roman" w:hAnsi="Times New Roman" w:cs="Times New Roman"/>
          <w:i w:val="0"/>
          <w:color w:val="000000" w:themeColor="text1"/>
        </w:rPr>
        <w:softHyphen/>
        <w:t>ных бронедеталей в связи с отказом от их це</w:t>
      </w:r>
      <w:r w:rsidRPr="00925F26">
        <w:rPr>
          <w:rStyle w:val="aff6"/>
          <w:rFonts w:ascii="Times New Roman" w:hAnsi="Times New Roman" w:cs="Times New Roman"/>
          <w:i w:val="0"/>
          <w:color w:val="000000" w:themeColor="text1"/>
        </w:rPr>
        <w:softHyphen/>
        <w:t>ментации».</w:t>
      </w:r>
      <w:r w:rsidRPr="00925F26">
        <w:rPr>
          <w:color w:val="000000" w:themeColor="text1"/>
          <w:sz w:val="16"/>
          <w:szCs w:val="16"/>
        </w:rPr>
        <w:t xml:space="preserve"> Для этого самолетостроительным заводам следовало представить заводу №125 по два фюзеляжа Як-3, Як-9, Ла-7 и Ил-2 с хво</w:t>
      </w:r>
      <w:r w:rsidRPr="00925F26">
        <w:rPr>
          <w:color w:val="000000" w:themeColor="text1"/>
          <w:sz w:val="16"/>
          <w:szCs w:val="16"/>
        </w:rPr>
        <w:softHyphen/>
        <w:t>стовым оперением и макетами расположенных внутри фюзеляжа приборов и агрегатов. Кро</w:t>
      </w:r>
      <w:r w:rsidRPr="00925F26">
        <w:rPr>
          <w:color w:val="000000" w:themeColor="text1"/>
          <w:sz w:val="16"/>
          <w:szCs w:val="16"/>
        </w:rPr>
        <w:softHyphen/>
        <w:t>ме этого, считалось необходимым поручить ВИАМу и заводу №125 срочно провести экс</w:t>
      </w:r>
      <w:r w:rsidRPr="00925F26">
        <w:rPr>
          <w:color w:val="000000" w:themeColor="text1"/>
          <w:sz w:val="16"/>
          <w:szCs w:val="16"/>
        </w:rPr>
        <w:softHyphen/>
        <w:t>периментальные работы по изысканию рацио</w:t>
      </w:r>
      <w:r w:rsidRPr="00925F26">
        <w:rPr>
          <w:color w:val="000000" w:themeColor="text1"/>
          <w:sz w:val="16"/>
          <w:szCs w:val="16"/>
        </w:rPr>
        <w:softHyphen/>
        <w:t>нальных защитных систем на данных самоле</w:t>
      </w:r>
      <w:r w:rsidRPr="00925F26">
        <w:rPr>
          <w:color w:val="000000" w:themeColor="text1"/>
          <w:sz w:val="16"/>
          <w:szCs w:val="16"/>
        </w:rPr>
        <w:softHyphen/>
        <w:t>тах, отвечающих современным требованиям (17479).</w:t>
      </w:r>
    </w:p>
    <w:p w14:paraId="117E9E8D" w14:textId="77777777" w:rsidR="0032140A" w:rsidRPr="00925F26" w:rsidRDefault="0032140A" w:rsidP="00925F26">
      <w:pPr>
        <w:jc w:val="both"/>
        <w:rPr>
          <w:color w:val="000000" w:themeColor="text1"/>
          <w:sz w:val="16"/>
          <w:szCs w:val="16"/>
        </w:rPr>
      </w:pPr>
    </w:p>
    <w:p w14:paraId="4195500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вышел приказ НКАП N 38с:</w:t>
      </w:r>
    </w:p>
    <w:p w14:paraId="182CF1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обеспечения выпуска самолета Ту-2 с 2АМ-39ФРНВ:</w:t>
      </w:r>
    </w:p>
    <w:p w14:paraId="0F46AD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ГК и отв. руководителю завода 156 А.Н.Т. спроектировать и построить опытный образец серийного самолета Ту-2 с 2АМ-39ФРНВ и передать его на летные испытания к 10 апреля 1945." (1890,205).</w:t>
      </w:r>
    </w:p>
    <w:p w14:paraId="257182E3" w14:textId="77777777" w:rsidR="00C2313B" w:rsidRPr="00925F26" w:rsidRDefault="00C2313B" w:rsidP="00925F26">
      <w:pPr>
        <w:autoSpaceDE w:val="0"/>
        <w:autoSpaceDN w:val="0"/>
        <w:adjustRightInd w:val="0"/>
        <w:jc w:val="both"/>
        <w:rPr>
          <w:color w:val="000000" w:themeColor="text1"/>
          <w:sz w:val="16"/>
          <w:szCs w:val="16"/>
        </w:rPr>
      </w:pPr>
    </w:p>
    <w:p w14:paraId="0EB70400" w14:textId="77777777" w:rsidR="003D013D" w:rsidRPr="00925F26" w:rsidRDefault="003D013D" w:rsidP="00925F26">
      <w:pPr>
        <w:jc w:val="both"/>
        <w:rPr>
          <w:color w:val="000000" w:themeColor="text1"/>
          <w:sz w:val="16"/>
          <w:szCs w:val="16"/>
        </w:rPr>
      </w:pPr>
      <w:r w:rsidRPr="00925F26">
        <w:rPr>
          <w:bCs/>
          <w:color w:val="000000" w:themeColor="text1"/>
          <w:sz w:val="16"/>
          <w:szCs w:val="16"/>
        </w:rPr>
        <w:t>3 февраля</w:t>
      </w:r>
      <w:r w:rsidRPr="00925F26">
        <w:rPr>
          <w:color w:val="000000" w:themeColor="text1"/>
          <w:sz w:val="16"/>
          <w:szCs w:val="16"/>
        </w:rPr>
        <w:t xml:space="preserve"> в 1945 году НКАП своим приказом №38 обязал ОКБ Туполева выпустить скоростной пикирующий бомбардировщик </w:t>
      </w:r>
      <w:hyperlink r:id="rId27" w:tgtFrame="_blank" w:history="1">
        <w:r w:rsidRPr="00925F26">
          <w:rPr>
            <w:color w:val="000000" w:themeColor="text1"/>
            <w:sz w:val="16"/>
            <w:szCs w:val="16"/>
          </w:rPr>
          <w:t xml:space="preserve">«Ту-10» </w:t>
        </w:r>
      </w:hyperlink>
      <w:r w:rsidRPr="00925F26">
        <w:rPr>
          <w:color w:val="000000" w:themeColor="text1"/>
          <w:sz w:val="16"/>
          <w:szCs w:val="16"/>
        </w:rPr>
        <w:t>на базе серийного «Ту-2» №16/20 производства завода №23. Машина подверглась весьма существенным переделкам. Установили новый фонарь пилота и штурмана, одно большое круглое окно нижней стрелковой установки вместо трех маленьких, увеличили вертикальное оперение и вынос колес шасси (на 125 мм), поставили новое хвостовое колесо 480 х 200 мм. Винтомоторную группу сконструировали заново под моторы «АМ-39ФНВ» с непосредственным впрыском топлива в цилиндры, в центроплане разместили водяные радиаторы системы охлаждения, а хвостовую часть крыла переделали в связи с заменой баков №6 и 7 одним общим. Изменения коснулись и вооружения. Установку БУШ у штурмана заменили на «ВУС-1», «ВУБ-2М» у стрелка-радиста - на «ВУБ-65», модернизировали люковую установку, усовершенствовали систему подъема бомб. Вобрав в себя все эти изменения, серийный «Ту-2» №16/20 превратился в середине мая в самолет "68" «2хАМ-39ФНВ» (15029).</w:t>
      </w:r>
    </w:p>
    <w:p w14:paraId="1E213D0F" w14:textId="77777777" w:rsidR="003D013D" w:rsidRPr="00925F26" w:rsidRDefault="003D013D" w:rsidP="00925F26">
      <w:pPr>
        <w:jc w:val="both"/>
        <w:rPr>
          <w:color w:val="000000" w:themeColor="text1"/>
          <w:sz w:val="16"/>
          <w:szCs w:val="16"/>
        </w:rPr>
      </w:pPr>
    </w:p>
    <w:p w14:paraId="7C301F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вышел приказ НКАП N 39с:</w:t>
      </w:r>
    </w:p>
    <w:p w14:paraId="5D3EBE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"ГКО постановлением N 7309 от 13 января 1945 утвердил ГК самолета Ер-2 П.О.С.</w:t>
      </w:r>
    </w:p>
    <w:p w14:paraId="4B128B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целях дальнейшего развития и успешного проведения работ по усовершенствованию самолета Ер-2:</w:t>
      </w:r>
    </w:p>
    <w:p w14:paraId="217CC9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Объединить заводы 134 и 289, считая основной базой объединенного завода территорию завода 134. Присвоить объединенному заводу номер 134 и сохранить за ним территорию, сооружения и жилые дома, числящиеся на балансе заводов 289 и 134 в Москве, Тушино и Калининграде.</w:t>
      </w:r>
    </w:p>
    <w:p w14:paraId="4B48C7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Утвердить директором и ГК объединенного завода 134 П.О.С.." (1890,217).</w:t>
      </w:r>
    </w:p>
    <w:p w14:paraId="42297FD9" w14:textId="77777777" w:rsidR="00C2313B" w:rsidRPr="00925F26" w:rsidRDefault="00C2313B" w:rsidP="00925F26">
      <w:pPr>
        <w:autoSpaceDE w:val="0"/>
        <w:autoSpaceDN w:val="0"/>
        <w:adjustRightInd w:val="0"/>
        <w:jc w:val="both"/>
        <w:rPr>
          <w:color w:val="000000" w:themeColor="text1"/>
          <w:sz w:val="16"/>
          <w:szCs w:val="16"/>
        </w:rPr>
      </w:pPr>
    </w:p>
    <w:p w14:paraId="4D1A71A3"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3 февраля 1945 г.</w:t>
      </w:r>
    </w:p>
    <w:p w14:paraId="0A8650D6"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Докладная записка заместителя начальника ВВС ВМФ по тылу А.К. Купреева директору завода № 477 И.Я. Рехтману</w:t>
      </w:r>
    </w:p>
    <w:p w14:paraId="5DD7D451"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г. Москва 3 февраля 1945 г.</w:t>
      </w:r>
    </w:p>
    <w:p w14:paraId="3BF91891"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На приемку и оплату пяти самолетов Бе-4 с облетом их в воинской части согласен.</w:t>
      </w:r>
    </w:p>
    <w:p w14:paraId="5E305727"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Самолеты будут отправлены на ВВС ТОФ2 с бригадой завода.</w:t>
      </w:r>
    </w:p>
    <w:p w14:paraId="7F8C6342"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Туда же, к указанным самолетам, в ближайшее время будут отправлены из Москвы винты ВИШ 105/62.</w:t>
      </w:r>
    </w:p>
    <w:p w14:paraId="47C8D0FD"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На месте оплачивается военпредом 80 % стоимости, остальные 20 % – по сдаче войсковой части в абсолютной исправности после облета, отдельно в соответствии с осн[овным] договором.</w:t>
      </w:r>
    </w:p>
    <w:p w14:paraId="7E06570B"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Зам[еститель] начальника ВВС ВМФ по тылу генерал-лейтенант интендантской службы подпись Купреев</w:t>
      </w:r>
    </w:p>
    <w:p w14:paraId="544638BB"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r w:rsidRPr="00925F26">
        <w:rPr>
          <w:rFonts w:eastAsia="TimesNewRomanPSMT"/>
          <w:iCs/>
          <w:color w:val="000000" w:themeColor="text1"/>
          <w:sz w:val="16"/>
          <w:szCs w:val="16"/>
        </w:rPr>
        <w:t>КГКУ «ГАКК». Ф.Р-1341. Оп. 5. Д. 17. Л. 2. Подлинник. Машинопись с рукописными вставками (19799).</w:t>
      </w:r>
    </w:p>
    <w:p w14:paraId="24FB41F7" w14:textId="77777777" w:rsidR="00A524F6" w:rsidRPr="00925F26" w:rsidRDefault="00A524F6" w:rsidP="00925F26">
      <w:pPr>
        <w:autoSpaceDE w:val="0"/>
        <w:autoSpaceDN w:val="0"/>
        <w:adjustRightInd w:val="0"/>
        <w:jc w:val="both"/>
        <w:rPr>
          <w:rFonts w:eastAsia="TimesNewRomanPSMT"/>
          <w:iCs/>
          <w:color w:val="000000" w:themeColor="text1"/>
          <w:sz w:val="16"/>
          <w:szCs w:val="16"/>
        </w:rPr>
      </w:pPr>
    </w:p>
    <w:p w14:paraId="561E67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г. по приказу НКАП № 39с в состав завода № 134 7ГУ НКАП с 1.01.1945 г. был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6762C67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завод № 134 НКАП после смерти Ермолаева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925F26">
        <w:rPr>
          <w:color w:val="000000" w:themeColor="text1"/>
          <w:sz w:val="16"/>
          <w:szCs w:val="16"/>
          <w:vertAlign w:val="superscript"/>
        </w:rPr>
        <w:t>34</w:t>
      </w:r>
      <w:r w:rsidRPr="00925F26">
        <w:rPr>
          <w:color w:val="000000" w:themeColor="text1"/>
          <w:sz w:val="16"/>
          <w:szCs w:val="16"/>
        </w:rPr>
        <w:t>.</w:t>
      </w:r>
    </w:p>
    <w:p w14:paraId="53649E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560FEB8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3BCB8A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393сс от 24.05.1949 г. все помещения на территориях «а» и «б» переданы НИИ-2.</w:t>
      </w:r>
    </w:p>
    <w:p w14:paraId="0A906F9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925F26">
        <w:rPr>
          <w:color w:val="000000" w:themeColor="text1"/>
          <w:sz w:val="16"/>
          <w:szCs w:val="16"/>
          <w:lang w:val="en-US"/>
        </w:rPr>
        <w:t>MB</w:t>
      </w:r>
      <w:r w:rsidRPr="00925F26">
        <w:rPr>
          <w:color w:val="000000" w:themeColor="text1"/>
          <w:sz w:val="16"/>
          <w:szCs w:val="16"/>
        </w:rPr>
        <w:t>.</w:t>
      </w:r>
    </w:p>
    <w:p w14:paraId="6215B83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1946 г. на завод передано 386 единиц оборудования с завода Юнкерса в  г. Хальберштадт (Германия).</w:t>
      </w:r>
    </w:p>
    <w:p w14:paraId="7647FC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42ACC1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Работы по комплексным системам огневой защиты Ту-16 и Ту-95.</w:t>
      </w:r>
    </w:p>
    <w:p w14:paraId="787566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4AD827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617DEC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925F26">
        <w:rPr>
          <w:color w:val="000000" w:themeColor="text1"/>
          <w:sz w:val="16"/>
          <w:szCs w:val="16"/>
        </w:rPr>
        <w:t>с  Г.И.</w:t>
      </w:r>
      <w:proofErr w:type="gramEnd"/>
      <w:r w:rsidRPr="00925F26">
        <w:rPr>
          <w:color w:val="000000" w:themeColor="text1"/>
          <w:sz w:val="16"/>
          <w:szCs w:val="16"/>
        </w:rPr>
        <w:t xml:space="preserve"> Хохловым.</w:t>
      </w:r>
    </w:p>
    <w:p w14:paraId="36E9B2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1985 г. НИР «Клеенка» по разработке Р-27П. В начале 1990-</w:t>
      </w:r>
      <w:proofErr w:type="gramStart"/>
      <w:r w:rsidRPr="00925F26">
        <w:rPr>
          <w:color w:val="000000" w:themeColor="text1"/>
          <w:sz w:val="16"/>
          <w:szCs w:val="16"/>
        </w:rPr>
        <w:t>х  г.</w:t>
      </w:r>
      <w:proofErr w:type="gramEnd"/>
      <w:r w:rsidRPr="00925F26">
        <w:rPr>
          <w:color w:val="000000" w:themeColor="text1"/>
          <w:sz w:val="16"/>
          <w:szCs w:val="16"/>
        </w:rPr>
        <w:t xml:space="preserve"> - НИР «Ельник» по ракете РВВ-АЕ.</w:t>
      </w:r>
    </w:p>
    <w:p w14:paraId="3E6FA09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Головное предприятие по разработке УРВВ, УРВП, ЗУР. К 2005 г. создано более 40 типов ракет, более 200 образцов ПУ и установок вооружения.</w:t>
      </w:r>
    </w:p>
    <w:p w14:paraId="5B70D7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Ильин. Руководитель (1981-2004 г.)</w:t>
      </w:r>
      <w:proofErr w:type="gramStart"/>
      <w:r w:rsidRPr="00925F26">
        <w:rPr>
          <w:color w:val="000000" w:themeColor="text1"/>
          <w:sz w:val="16"/>
          <w:szCs w:val="16"/>
        </w:rPr>
        <w:t>-  Г.А.</w:t>
      </w:r>
      <w:proofErr w:type="gramEnd"/>
      <w:r w:rsidRPr="00925F26">
        <w:rPr>
          <w:color w:val="000000" w:themeColor="text1"/>
          <w:sz w:val="16"/>
          <w:szCs w:val="16"/>
        </w:rPr>
        <w:t xml:space="preserve"> Соколовский. Гендиректор (2005 г.)- В.А. Рац.</w:t>
      </w:r>
    </w:p>
    <w:p w14:paraId="130C67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Зам. гендиректора: по производству (1999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Ильин; по ВЭД (2002 г.)- В.Н. Сычев.</w:t>
      </w:r>
    </w:p>
    <w:p w14:paraId="5DDFB5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w:t>
      </w:r>
      <w:proofErr w:type="gramStart"/>
      <w:r w:rsidRPr="00925F26">
        <w:rPr>
          <w:color w:val="000000" w:themeColor="text1"/>
          <w:sz w:val="16"/>
          <w:szCs w:val="16"/>
        </w:rPr>
        <w:t>-  Г.А.</w:t>
      </w:r>
      <w:proofErr w:type="gramEnd"/>
      <w:r w:rsidRPr="00925F26">
        <w:rPr>
          <w:color w:val="000000" w:themeColor="text1"/>
          <w:sz w:val="16"/>
          <w:szCs w:val="16"/>
        </w:rPr>
        <w:t xml:space="preserve"> Соколовский {10.08.1934-}.</w:t>
      </w:r>
    </w:p>
    <w:p w14:paraId="6A4C05E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(1980-е)- В.А. Пустовойтов.</w:t>
      </w:r>
    </w:p>
    <w:p w14:paraId="018C2F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79F45E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производства (-1961 г.)- А.Л. Ляпин.</w:t>
      </w:r>
    </w:p>
    <w:p w14:paraId="2EE301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Ведущие конструкторы: (1949 г.)- Б.С. Абрамович (ПВ-23).</w:t>
      </w:r>
    </w:p>
    <w:p w14:paraId="55B202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Ведущие инженеры: (1944 г.)- Казанли, (1944 г.)- Сверчевский, (1944 г.)- Н.В. Синельников (Ер-20Н), (1946 г.)- Фисун (УТБ-2).</w:t>
      </w:r>
    </w:p>
    <w:p w14:paraId="2904B4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Летчики-испытатели: (1946 г.)- Фиксон, (1946 г.)- Шиянов.</w:t>
      </w:r>
    </w:p>
    <w:p w14:paraId="347D9F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52539D10" w14:textId="77777777" w:rsidR="00C2313B" w:rsidRPr="00925F26" w:rsidRDefault="00C2313B" w:rsidP="00925F26">
      <w:pPr>
        <w:autoSpaceDE w:val="0"/>
        <w:autoSpaceDN w:val="0"/>
        <w:adjustRightInd w:val="0"/>
        <w:jc w:val="both"/>
        <w:rPr>
          <w:color w:val="000000" w:themeColor="text1"/>
          <w:sz w:val="16"/>
          <w:szCs w:val="16"/>
        </w:rPr>
      </w:pPr>
    </w:p>
    <w:p w14:paraId="6CBD52D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г. приказом НКАП № 39с в соответствии с пост. ГКО № 7309 от 13.01.1945 г. ОКБ вновь образованного завода № 134 НКАП возглавил П.О. Сухой, назначенный гл. конструктором самолета Ер-2. Продолжены работы по модификации Ер-2: Ер-20Н, Ер-2 с дизелями АЧ-31, Сухой назначен гл. конструктором по Ер-2. Создан учебно-тренировочный бомбардировщик УТБ, первый полет 21.07.1946 г.</w:t>
      </w:r>
    </w:p>
    <w:p w14:paraId="361FEEC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Созданы экспериментальные и опытные реактивные истребители Су-9, Су-10, Су-11 (28.05.1947 г.), Су-12, Су- 15, Су-17. Первый реактивный истребитель П.О. Сухого Су-9 взлетел 13.11.1946 г.</w:t>
      </w:r>
    </w:p>
    <w:p w14:paraId="02172447" w14:textId="77777777" w:rsidR="00C2313B" w:rsidRPr="00925F26" w:rsidRDefault="00C2313B"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В соответствии с пост</w:t>
      </w:r>
      <w:proofErr w:type="gramEnd"/>
      <w:r w:rsidRPr="00925F26">
        <w:rPr>
          <w:color w:val="000000" w:themeColor="text1"/>
          <w:sz w:val="16"/>
          <w:szCs w:val="16"/>
        </w:rPr>
        <w:t xml:space="preserve">, правительства от 26.02.1946 г. и приказом МАП от 27.03.1946 г. был разработан скоростной бомбардировщик Су-10 («Е») с 4 </w:t>
      </w:r>
      <w:r w:rsidRPr="00925F26">
        <w:rPr>
          <w:color w:val="000000" w:themeColor="text1"/>
          <w:sz w:val="16"/>
          <w:szCs w:val="16"/>
          <w:lang w:val="en-US"/>
        </w:rPr>
        <w:t>Jumo</w:t>
      </w:r>
      <w:r w:rsidRPr="00925F26">
        <w:rPr>
          <w:color w:val="000000" w:themeColor="text1"/>
          <w:sz w:val="16"/>
          <w:szCs w:val="16"/>
        </w:rPr>
        <w:t>-004, построен в конце 1947 г., не испытывался.</w:t>
      </w:r>
    </w:p>
    <w:p w14:paraId="4CD77A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 приказу № 361сс от 7.06.1946 г. планировалось перевести опытную базу ОКБ в Подлипки на площади бывшего завода № 289 НКАП. Решение не было выполнено, площади в Подлипках переданы НИИ-88 </w:t>
      </w:r>
      <w:r w:rsidRPr="00925F26">
        <w:rPr>
          <w:color w:val="000000" w:themeColor="text1"/>
          <w:sz w:val="16"/>
          <w:szCs w:val="16"/>
          <w:lang w:val="en-US"/>
        </w:rPr>
        <w:t>MB</w:t>
      </w:r>
      <w:r w:rsidRPr="00925F26">
        <w:rPr>
          <w:color w:val="000000" w:themeColor="text1"/>
          <w:sz w:val="16"/>
          <w:szCs w:val="16"/>
        </w:rPr>
        <w:t>.</w:t>
      </w:r>
    </w:p>
    <w:p w14:paraId="01770E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Далее вышло Постановление СМ СССР «О сокращении расходов на опытные и научно-исследовательские работы по авиационной промышленности». В соответствии с </w:t>
      </w:r>
      <w:proofErr w:type="gramStart"/>
      <w:r w:rsidRPr="00925F26">
        <w:rPr>
          <w:color w:val="000000" w:themeColor="text1"/>
          <w:sz w:val="16"/>
          <w:szCs w:val="16"/>
        </w:rPr>
        <w:t>пост.ениями</w:t>
      </w:r>
      <w:proofErr w:type="gramEnd"/>
      <w:r w:rsidRPr="00925F26">
        <w:rPr>
          <w:color w:val="000000" w:themeColor="text1"/>
          <w:sz w:val="16"/>
          <w:szCs w:val="16"/>
        </w:rPr>
        <w:t xml:space="preserve"> СМ СССР № 1923-752с от 4.06.1948 г. и № 5185-1980сс от 14.11.1949 г. и приказом № 914сс от 18.11.1949 г. ОКБ Сухого закрыто и влито в ОКБ Туполева вместе со всем личным составом, часть конструкторов и рабочих (40 чел.) переведены в ОКБ-240.</w:t>
      </w:r>
    </w:p>
    <w:p w14:paraId="4F611E4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(02.1945-11.1949 г.)- П.О. Сухой.</w:t>
      </w:r>
    </w:p>
    <w:p w14:paraId="5BD40C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(02.1945 г.-)- Д.А. Ромейко-Гурко, (-1946-49 г.)- Е.С. Фельснер (11982).</w:t>
      </w:r>
    </w:p>
    <w:p w14:paraId="70F4175B" w14:textId="77777777" w:rsidR="00C2313B" w:rsidRPr="00925F26" w:rsidRDefault="00C2313B" w:rsidP="00925F26">
      <w:pPr>
        <w:autoSpaceDE w:val="0"/>
        <w:autoSpaceDN w:val="0"/>
        <w:adjustRightInd w:val="0"/>
        <w:jc w:val="both"/>
        <w:rPr>
          <w:color w:val="000000" w:themeColor="text1"/>
          <w:sz w:val="16"/>
          <w:szCs w:val="16"/>
        </w:rPr>
      </w:pPr>
    </w:p>
    <w:p w14:paraId="5F30EC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г. приказом № 39с в соответствии с пост. ГКО № 7309 от 13.01.1945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 (11982).</w:t>
      </w:r>
    </w:p>
    <w:p w14:paraId="72F68059" w14:textId="77777777" w:rsidR="003D013D" w:rsidRPr="00925F26" w:rsidRDefault="003D013D" w:rsidP="00925F26">
      <w:pPr>
        <w:autoSpaceDE w:val="0"/>
        <w:autoSpaceDN w:val="0"/>
        <w:adjustRightInd w:val="0"/>
        <w:jc w:val="both"/>
        <w:rPr>
          <w:color w:val="000000" w:themeColor="text1"/>
          <w:sz w:val="16"/>
          <w:szCs w:val="16"/>
        </w:rPr>
      </w:pPr>
    </w:p>
    <w:p w14:paraId="75A6BBE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года Шахурин писал письмо N Н-35/543 наркому ВМФ адмиралу флота Кузнецову Н.Г.</w:t>
      </w:r>
    </w:p>
    <w:p w14:paraId="1884A55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N 97сс.</w:t>
      </w:r>
    </w:p>
    <w:p w14:paraId="33C84C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Вашим предложением о включении в проект постановления ГОКО задания опытно-конструкторскому бюро завода N 455 по конструктивной разработке и отработке технической документации на прибор ХАРП 250-200А- согласен.</w:t>
      </w:r>
    </w:p>
    <w:p w14:paraId="26251C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Изготовление опытных образцов для государственных испытаний поручить ОКБ-455 не представляется возможным из-за отсутствия производственных мощностей.</w:t>
      </w:r>
    </w:p>
    <w:p w14:paraId="78B655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Завод N 67 НКБ выпускает в серии аналогичный прибор ХАРП-500-300 А, поэтому считаю целесообразным поручить заводу N 67 изготовление опытной партии по чертежам ОКБ-455 (2595).</w:t>
      </w:r>
    </w:p>
    <w:p w14:paraId="05F8B642" w14:textId="77777777" w:rsidR="00C2313B" w:rsidRPr="00925F26" w:rsidRDefault="00C2313B" w:rsidP="00925F26">
      <w:pPr>
        <w:autoSpaceDE w:val="0"/>
        <w:autoSpaceDN w:val="0"/>
        <w:adjustRightInd w:val="0"/>
        <w:jc w:val="both"/>
        <w:rPr>
          <w:color w:val="000000" w:themeColor="text1"/>
          <w:sz w:val="16"/>
          <w:szCs w:val="16"/>
        </w:rPr>
      </w:pPr>
    </w:p>
    <w:p w14:paraId="3174AC2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года Шахурин писал письмо N Н-35/544 наркому ВМФ адмиралу флота Кузнецову Н.Г.</w:t>
      </w:r>
    </w:p>
    <w:p w14:paraId="63FD84D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N 91сс.</w:t>
      </w:r>
    </w:p>
    <w:p w14:paraId="0FDE5E8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Гидравлические тормоза, в т.ч. необходимые Вам тормоза "Т-2-Д-А", изготовлялись в серии не Московским авиационным институтом, а специализированным заводом НКАП. С началом войны производство тормозов было прекращено.</w:t>
      </w:r>
    </w:p>
    <w:p w14:paraId="60DC8DB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НКАП сам испытавает нужду в гидравлических тормозах, однако, восстановление завода для их изготовления в настоящее время не представляется возможным, организация же изготовления тормозов в МАИ не является целесообразной.</w:t>
      </w:r>
    </w:p>
    <w:p w14:paraId="0835CC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связщи с этим, Вашу просьбу об изготовлении в 1945 10-12 тормозов типа НКАП удовлетворить не может (2595,10).</w:t>
      </w:r>
    </w:p>
    <w:p w14:paraId="12F8B900" w14:textId="77777777" w:rsidR="00C2313B" w:rsidRPr="00925F26" w:rsidRDefault="00C2313B" w:rsidP="00925F26">
      <w:pPr>
        <w:autoSpaceDE w:val="0"/>
        <w:autoSpaceDN w:val="0"/>
        <w:adjustRightInd w:val="0"/>
        <w:jc w:val="both"/>
        <w:rPr>
          <w:color w:val="000000" w:themeColor="text1"/>
          <w:sz w:val="16"/>
          <w:szCs w:val="16"/>
        </w:rPr>
      </w:pPr>
    </w:p>
    <w:p w14:paraId="6ADDED6B"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EEA1975" w14:textId="77777777" w:rsidR="00C2313B" w:rsidRPr="00925F26" w:rsidRDefault="00C2313B" w:rsidP="00925F26">
      <w:pPr>
        <w:autoSpaceDE w:val="0"/>
        <w:autoSpaceDN w:val="0"/>
        <w:adjustRightInd w:val="0"/>
        <w:jc w:val="both"/>
        <w:rPr>
          <w:iCs/>
          <w:color w:val="000000" w:themeColor="text1"/>
          <w:sz w:val="16"/>
          <w:szCs w:val="16"/>
        </w:rPr>
      </w:pPr>
    </w:p>
    <w:p w14:paraId="55DF7372" w14:textId="77777777" w:rsidR="00A524F6" w:rsidRPr="00925F26" w:rsidRDefault="00A524F6"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3 февраля 1945 года началась сборка первых двух образцов улучшенных танков «Кировец-1». При этом речь шла о шасси (башни с завода №200 ещё не прибыли). Перед началом сборки корпус взвесили. Оказалось, что его масса (16 985 кг) ниже не только корпуса ИС-2 завода №200 (18 185 кг), но и УЗТМ (17 851 кг). Танк со свердловским корпусом начали собирать 6 февраля, а ещё одну, уже четвёртую по счёту машину (также с корпусом УЗТМ) — 9 февраля. Также к 9 февраля прибыли две башни производства УЗТМ, при взвешивании выяснилось, что масса башни «Кировец-1» составляет 7470 кг, а башни ИС-2 — 6795 кг. К 15 февраля в разной степени сборки находилось уже 8 танков и 4 башни, а на следующий день первая машина (серийный номер 2) с уже установленной башней отправилась в тестовый пробег (19731).</w:t>
      </w:r>
    </w:p>
    <w:p w14:paraId="785CC35D" w14:textId="77777777" w:rsidR="00A524F6" w:rsidRPr="00925F26" w:rsidRDefault="00A524F6" w:rsidP="00925F26">
      <w:pPr>
        <w:pStyle w:val="ae"/>
        <w:shd w:val="clear" w:color="auto" w:fill="FFFFFF"/>
        <w:spacing w:before="0" w:after="0"/>
        <w:jc w:val="both"/>
        <w:textAlignment w:val="baseline"/>
        <w:rPr>
          <w:color w:val="000000" w:themeColor="text1"/>
          <w:sz w:val="16"/>
          <w:szCs w:val="16"/>
        </w:rPr>
      </w:pPr>
    </w:p>
    <w:p w14:paraId="19BFB6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вышло Постановление ГКО № 7468 О мероприятиях по обеспечению заводов Наркомнефти нефтесырьем в феврале 1945 г. РГАНИР, Фонд ГКО, д. 369, лл. 6-9, 10-11 (11012).</w:t>
      </w:r>
    </w:p>
    <w:p w14:paraId="6ACF05D9" w14:textId="77777777" w:rsidR="00C2313B" w:rsidRPr="00925F26" w:rsidRDefault="00C2313B" w:rsidP="00925F26">
      <w:pPr>
        <w:autoSpaceDE w:val="0"/>
        <w:autoSpaceDN w:val="0"/>
        <w:adjustRightInd w:val="0"/>
        <w:jc w:val="both"/>
        <w:rPr>
          <w:color w:val="000000" w:themeColor="text1"/>
          <w:sz w:val="16"/>
          <w:szCs w:val="16"/>
        </w:rPr>
      </w:pPr>
    </w:p>
    <w:p w14:paraId="2320463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февраля 1945 вышло Постановление ГКО № 7469 [О плане перевозок нефтепродуктов по Черному морю в феврале 1945 г.] (7307, 12-13,14).</w:t>
      </w:r>
    </w:p>
    <w:p w14:paraId="2832E43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436A78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вышло Постановление ГКО № 7470 О плане снабжения горюче-смазочными материалами Красной Армии и Военно-Морского Флота на февраль 1945 года. РГАНИР, Фонд ГКО, д. 369, лл. 15-17, 18-42 (11012).</w:t>
      </w:r>
    </w:p>
    <w:p w14:paraId="668AD6FD" w14:textId="77777777" w:rsidR="00C2313B" w:rsidRPr="00925F26" w:rsidRDefault="00C2313B" w:rsidP="00925F26">
      <w:pPr>
        <w:autoSpaceDE w:val="0"/>
        <w:autoSpaceDN w:val="0"/>
        <w:adjustRightInd w:val="0"/>
        <w:jc w:val="both"/>
        <w:rPr>
          <w:color w:val="000000" w:themeColor="text1"/>
          <w:sz w:val="16"/>
          <w:szCs w:val="16"/>
        </w:rPr>
      </w:pPr>
    </w:p>
    <w:p w14:paraId="7766A82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84F1214" w14:textId="77777777" w:rsidR="00C2313B" w:rsidRPr="00925F26" w:rsidRDefault="00C2313B" w:rsidP="00925F26">
      <w:pPr>
        <w:autoSpaceDE w:val="0"/>
        <w:autoSpaceDN w:val="0"/>
        <w:adjustRightInd w:val="0"/>
        <w:jc w:val="both"/>
        <w:rPr>
          <w:iCs/>
          <w:color w:val="000000" w:themeColor="text1"/>
          <w:sz w:val="16"/>
          <w:szCs w:val="16"/>
        </w:rPr>
      </w:pPr>
    </w:p>
    <w:p w14:paraId="4C755E9C" w14:textId="77777777" w:rsidR="003D013D" w:rsidRPr="00925F26" w:rsidRDefault="003D013D" w:rsidP="00925F26">
      <w:pPr>
        <w:jc w:val="both"/>
        <w:rPr>
          <w:color w:val="000000" w:themeColor="text1"/>
          <w:sz w:val="16"/>
          <w:szCs w:val="16"/>
        </w:rPr>
      </w:pPr>
      <w:r w:rsidRPr="00925F26">
        <w:rPr>
          <w:bCs/>
          <w:color w:val="000000" w:themeColor="text1"/>
          <w:sz w:val="16"/>
          <w:szCs w:val="16"/>
        </w:rPr>
        <w:t>3 февраля</w:t>
      </w:r>
      <w:r w:rsidRPr="00925F26">
        <w:rPr>
          <w:color w:val="000000" w:themeColor="text1"/>
          <w:sz w:val="16"/>
          <w:szCs w:val="16"/>
        </w:rPr>
        <w:t xml:space="preserve"> в 1945 году оперативная сводка Совинформбюро:</w:t>
      </w:r>
    </w:p>
    <w:p w14:paraId="4DBB5C3D" w14:textId="77777777" w:rsidR="003D013D" w:rsidRPr="00925F26" w:rsidRDefault="003D013D" w:rsidP="00925F26">
      <w:pPr>
        <w:jc w:val="both"/>
        <w:rPr>
          <w:color w:val="000000" w:themeColor="text1"/>
          <w:sz w:val="16"/>
          <w:szCs w:val="16"/>
        </w:rPr>
      </w:pPr>
      <w:r w:rsidRPr="00925F26">
        <w:rPr>
          <w:color w:val="000000" w:themeColor="text1"/>
          <w:sz w:val="16"/>
          <w:szCs w:val="16"/>
        </w:rPr>
        <w:t>«В течение 3 февраля в Восточной Пруссии наши войска продолжали вести наступательные бои, в ходе которых заняли более 30 населённых пунктов и среди них Шпиттенен, Айххорн, Хаусхаген, Райхенберг, Петерсвальде, Грона, Зоммерфельд.</w:t>
      </w:r>
    </w:p>
    <w:p w14:paraId="27CE7AA3"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Северо-западнее и западнее города Шнайдемюль наши войска с боем овладели городами Фройденфир, Шлоппе, а также заняли более 40 других населённых пунктов, в том числе Ягдхауз, Клавиттерсдорф, Загемюль, Квирим, Карльсруэ, Арнсфельде, Рушендорф, Мелентин.</w:t>
      </w:r>
    </w:p>
    <w:p w14:paraId="374376F6"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Северо-восточнее и восточнее Франкфурта-на-Одере наши войска, продолжая наступление, овладели городами Витц, Зоненбург, Циленциг, Реппен, Штернберг, а также с боями заняли более 150 других населенных пунктов. Юго-восточнее Кюстрина наши войска окружили в лесах значительную группу немецких войск и после упорного боя полностью разгромили её, захватив при этом следующие трофеи: орудий — 163, миномётов — 55, пулемётов — 167, автомашин — 1.626, мотоциклов — 500, подвод с военными грузами — 200. Взято в плен 9.450 немецких солдат и офицеров. На поле боя осталось более 8.000 трупов немецких солдат и офицеров.</w:t>
      </w:r>
    </w:p>
    <w:p w14:paraId="32379A9A"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гарнизона противника, окружённого в западной части города (Буда), в ходе которых наши войска заняли 10 кварталов.</w:t>
      </w:r>
    </w:p>
    <w:p w14:paraId="1A32DA9E" w14:textId="77777777" w:rsidR="003D013D" w:rsidRPr="00925F26" w:rsidRDefault="003D013D" w:rsidP="00925F26">
      <w:pPr>
        <w:jc w:val="both"/>
        <w:rPr>
          <w:color w:val="000000" w:themeColor="text1"/>
          <w:sz w:val="16"/>
          <w:szCs w:val="16"/>
        </w:rPr>
      </w:pPr>
      <w:r w:rsidRPr="00925F26">
        <w:rPr>
          <w:color w:val="000000" w:themeColor="text1"/>
          <w:sz w:val="16"/>
          <w:szCs w:val="16"/>
        </w:rPr>
        <w:t>Восточнее и юго-восточнее города Секешфехервар наши войска в результате предпринятых атак продвинулись вперёд до 20 километров, заняв при этом более 60 населённых пунктов, в том числе крупные населённые пункты Кишвеленце, Гардонь, Адони-Саболч, Перката, Херцегфальва, Шарбогард.</w:t>
      </w:r>
    </w:p>
    <w:p w14:paraId="2BF99C9E" w14:textId="77777777" w:rsidR="003D013D" w:rsidRPr="00925F26" w:rsidRDefault="003D013D"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1FA1C3D" w14:textId="77777777" w:rsidR="003D013D" w:rsidRPr="00925F26" w:rsidRDefault="003D013D" w:rsidP="00925F26">
      <w:pPr>
        <w:jc w:val="both"/>
        <w:rPr>
          <w:color w:val="000000" w:themeColor="text1"/>
          <w:sz w:val="16"/>
          <w:szCs w:val="16"/>
        </w:rPr>
      </w:pPr>
      <w:r w:rsidRPr="00925F26">
        <w:rPr>
          <w:color w:val="000000" w:themeColor="text1"/>
          <w:sz w:val="16"/>
          <w:szCs w:val="16"/>
        </w:rPr>
        <w:lastRenderedPageBreak/>
        <w:t>За 2 февраля на всех фронтах подбито и уничтожено 176 немецких танков. В воздушных боях и огнём зенитной артиллерии сбит 21 самолёт противника.</w:t>
      </w:r>
    </w:p>
    <w:p w14:paraId="131A048A" w14:textId="77777777" w:rsidR="003D013D" w:rsidRPr="00925F26" w:rsidRDefault="003D013D" w:rsidP="00925F26">
      <w:pPr>
        <w:jc w:val="both"/>
        <w:rPr>
          <w:color w:val="000000" w:themeColor="text1"/>
          <w:sz w:val="16"/>
          <w:szCs w:val="16"/>
        </w:rPr>
      </w:pPr>
      <w:r w:rsidRPr="00925F26">
        <w:rPr>
          <w:color w:val="000000" w:themeColor="text1"/>
          <w:sz w:val="16"/>
          <w:szCs w:val="16"/>
        </w:rPr>
        <w:t>В Восточной Пруссии наши войска продолжали наступление. Части Н-ского соединения в ходе ожесточенных боёв сломили сопротивление немцев, засевших в железобетонных дотах, и заняли населённый пункт Шпиттенен, находящийся в 3 километрах к западу от города Бартенштайн. Другие наши части продвинулись вперёд до 15 километров и ведут бои на подступах к городу Ландсберг — важному узлу шоссейных дорог. В этих боях немцы потеряли только убитыми до 6 тысяч солдат и офицеров. Уничтожено 68 танков и самоходных орудий, 33 бронетранспортёра и 50 полевых орудий. Повсюду валяются разбитая техника и вооружение, брошенные гитлеровцами. Захвачены трофеи, в числе которых 25 паровозов, 500 железнодорожных вагонов, 69 тягачей и 470 автомашин. Взято в плен 700 солдат и офицеров противника.</w:t>
      </w:r>
    </w:p>
    <w:p w14:paraId="682CD455" w14:textId="77777777" w:rsidR="003D013D" w:rsidRPr="00925F26" w:rsidRDefault="003D013D" w:rsidP="00925F26">
      <w:pPr>
        <w:jc w:val="both"/>
        <w:rPr>
          <w:color w:val="000000" w:themeColor="text1"/>
          <w:sz w:val="16"/>
          <w:szCs w:val="16"/>
        </w:rPr>
      </w:pPr>
      <w:r w:rsidRPr="00925F26">
        <w:rPr>
          <w:color w:val="000000" w:themeColor="text1"/>
          <w:sz w:val="16"/>
          <w:szCs w:val="16"/>
        </w:rPr>
        <w:t>Советские воины проявляют мужество и отвагу в борьбе с немецкими захватчиками. Бронебойщик Михаил Горячев, отражая вражескую контратаку, поджёг два немецких танка. Экипаж самоходного орудия лейтенанта Катаруша, поддерживая наступление пехоты, уничтожил в одном бою 4 немецких пулемёта, одно орудие, бронетранспортёр и истребил несколько десятков гитлеровцев. Бойцы стрелкового отделения во главе с сержантом Близнюком в рукопашной схватке уничтожили 20 немцев и взяли 7 пленных.</w:t>
      </w:r>
    </w:p>
    <w:p w14:paraId="1ADAB58B"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Северо-западнее и западнее города Шнайдемюль наши войска, с боями продвигаясь вперёд, вышли на подступы к городу Шлоппе. Немецкий гарнизон, занявший удобные и заранее подготовленные позиции, оказывал упорное сопротивление. Наши подразделения отрезали противнику пути отхода, а затем штурмам заняли город Шлоппе — узел шоссейных дорог и сильный опорный пункт обороны немцев. На другом участке наши войска овладели городом Фройденфир. Уничтожено до двух батальонов немецкой пехоты, сожжено и подбито 14 танков противника.</w:t>
      </w:r>
    </w:p>
    <w:p w14:paraId="53736837"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Северо-восточнее и восточнее города Франкфурт-на-Одере наши войска продолжали наступление. Несмотря на начавшуюся оттепель, советские части настойчиво продвигаются вперёд, уничтожая на своём пути гарнизоны опорных пунктов противника. После ожесточённых боёв занят город Зоненбург, расположенный в 8 километрах от города и крепости Кюстрин. В результате стремительного обходного манёвра и атаки с фронта наши войска овладели сильным опорным пунктом обороны немцев городом Циленциг. Вражеские войска выбиты также из города Решен, расположенного в 18 километрах к востоку от Франкфурта-на-Одере. В ходе боёв разгромлено несколько частей противника, только что переброшенных на этот участок фронта. В числе других трофеев захвачено у немцев 350 железнодорожных вагонов и платформ, из них 16 платформ с самолётами.</w:t>
      </w:r>
    </w:p>
    <w:p w14:paraId="0D71F434" w14:textId="77777777" w:rsidR="003D013D" w:rsidRPr="00925F26" w:rsidRDefault="003D013D" w:rsidP="00925F26">
      <w:pPr>
        <w:jc w:val="both"/>
        <w:rPr>
          <w:color w:val="000000" w:themeColor="text1"/>
          <w:sz w:val="16"/>
          <w:szCs w:val="16"/>
        </w:rPr>
      </w:pPr>
      <w:r w:rsidRPr="00925F26">
        <w:rPr>
          <w:color w:val="000000" w:themeColor="text1"/>
          <w:sz w:val="16"/>
          <w:szCs w:val="16"/>
        </w:rPr>
        <w:t>Восточнее и юго-восточнее города Секешфехервар противник, сосредоточив крупные силы танков и пехоты, за последнее время неоднократно пытался пробиться на помощь своей группировке, окружённой в городе Будапеште. Как уже сообщалось, ценою огромных потерь немцам первоначально удалось несколько продвинуться вперёд. Измотав врага в оборонительных боях, наши войска предприняли сильные атаки. Ударом с юга и севера советские танкисты, пехотинцы и артиллеристы сломили вражеское сопротивление и окружили группу немецких войск. В непродолжительном бою вражеская группа, зажатая со всех сторон, была ликвидирована. Только в течение дня уничтожено свыше 2 тысяч гитлеровцев, подбито и сожжено 39 немецких танков и бронетранспортёров. Захвачено много орудий, миномётов, пулемётов и автомашин противника.</w:t>
      </w:r>
    </w:p>
    <w:p w14:paraId="67B229C8" w14:textId="77777777" w:rsidR="003D013D" w:rsidRPr="00925F26" w:rsidRDefault="003D013D" w:rsidP="00925F26">
      <w:pPr>
        <w:jc w:val="both"/>
        <w:rPr>
          <w:color w:val="000000" w:themeColor="text1"/>
          <w:sz w:val="16"/>
          <w:szCs w:val="16"/>
        </w:rPr>
      </w:pPr>
      <w:r w:rsidRPr="00925F26">
        <w:rPr>
          <w:color w:val="000000" w:themeColor="text1"/>
          <w:sz w:val="16"/>
          <w:szCs w:val="16"/>
        </w:rPr>
        <w:t>На 2-ом Белорусском фронте на сторону Красной Армии перешёл командир 1-го батальона 30-го мотолодка 18-й немецкой мотодивизии капитан Генрих Депта. Перебежчик рассказал: «Невиданный размах наступления советских войск ошеломил нас. Я участвовал в походе немецкой армии во Францию, воевал в Африке, в Италии и на различных участках советско-германского фронта. Я был во многих боях и испытал много горьких минут. Однако такого поражения, какое мы потерпели в январские дни, я ещё никогда не переживал. Мой батальон, насчитывавший 650 активных штыков, был уничтожен за несколько дней. Молниеносные удары русских войск деморализовали не только солдат, но и офицеров. Теперь даже ограниченные и близорукие офицеры видят, что Германия стоит на краю пропасти. Командир 30-го мотополка полковник Шене и командир 18-й мотодивизии генерал-майор Бельзен в личных беседах неоднократно говорили, что теперь, когда всем очевиден крах Германии, нелепо продолжать сопротивление. Так думают многие офицеры, но они не решаются действовать. Наступление Красной Армии окончательно убедило меня в том, что война скоро закончится полным разгромом немецкой армии и уничтожением гитлеровского режима. Я понял, что при сложившихся условиях бессмысленно продолжать борьбу, и перешёл на сторону Красной Армии» (15029).</w:t>
      </w:r>
    </w:p>
    <w:p w14:paraId="38F9D505" w14:textId="77777777" w:rsidR="003D013D" w:rsidRPr="00925F26" w:rsidRDefault="003D013D" w:rsidP="00925F26">
      <w:pPr>
        <w:jc w:val="both"/>
        <w:rPr>
          <w:color w:val="000000" w:themeColor="text1"/>
          <w:sz w:val="16"/>
          <w:szCs w:val="16"/>
        </w:rPr>
      </w:pPr>
    </w:p>
    <w:p w14:paraId="636DE1DA" w14:textId="77777777" w:rsidR="003D013D" w:rsidRPr="00925F26" w:rsidRDefault="003D013D" w:rsidP="00925F26">
      <w:pPr>
        <w:jc w:val="both"/>
        <w:rPr>
          <w:color w:val="000000" w:themeColor="text1"/>
          <w:sz w:val="16"/>
          <w:szCs w:val="16"/>
        </w:rPr>
      </w:pPr>
      <w:r w:rsidRPr="00925F26">
        <w:rPr>
          <w:bCs/>
          <w:color w:val="000000" w:themeColor="text1"/>
          <w:sz w:val="16"/>
          <w:szCs w:val="16"/>
        </w:rPr>
        <w:t>3 февраля</w:t>
      </w:r>
      <w:r w:rsidRPr="00925F26">
        <w:rPr>
          <w:color w:val="000000" w:themeColor="text1"/>
          <w:sz w:val="16"/>
          <w:szCs w:val="16"/>
        </w:rPr>
        <w:t xml:space="preserve"> в 1945 году завершилась Висло-Одерская операция. Войска 1-го Белорусского фронта, проводившие Варшавско-Познанскую операцию, очистили от немцев правый берег реки Одер в 100-километровой полосе к югу от Цедента и захватили плацдарм на левом берегу севернее и южнее Кюстрина. Войска 1-го Украинского фронта, осуществлявшие Сандомирско-Силезскую операцию, разгромив 4-ую танковую и основные силы 17-й армии противника, продвинулись на 400-500 км, захватили несколько плацдармов на левом берегу реки Одер и закрепились на них, во взаимодействии с 1-ым Белорусским и 4-ым Украинским фронтами освободили южные районы Польши и перенесли военные действия на территорию фашистской Германии (15029).</w:t>
      </w:r>
    </w:p>
    <w:p w14:paraId="097E5B83" w14:textId="77777777" w:rsidR="003D013D" w:rsidRPr="00925F26" w:rsidRDefault="003D013D" w:rsidP="00925F26">
      <w:pPr>
        <w:jc w:val="both"/>
        <w:rPr>
          <w:color w:val="000000" w:themeColor="text1"/>
          <w:sz w:val="16"/>
          <w:szCs w:val="16"/>
        </w:rPr>
      </w:pPr>
    </w:p>
    <w:p w14:paraId="4F8978F8" w14:textId="77777777" w:rsidR="003D013D" w:rsidRPr="00925F26" w:rsidRDefault="003D013D"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в ходе Висло-Одерской операции 1БФ (Г.К.Ж.) форсировал одер и захватил плацдарм на левом берегу в районе Кюстрина (3398,57).</w:t>
      </w:r>
    </w:p>
    <w:p w14:paraId="67F2ADC3" w14:textId="77777777" w:rsidR="003D013D" w:rsidRPr="00925F26" w:rsidRDefault="003D013D" w:rsidP="00925F26">
      <w:pPr>
        <w:autoSpaceDE w:val="0"/>
        <w:autoSpaceDN w:val="0"/>
        <w:adjustRightInd w:val="0"/>
        <w:jc w:val="both"/>
        <w:rPr>
          <w:color w:val="000000" w:themeColor="text1"/>
          <w:sz w:val="16"/>
          <w:szCs w:val="16"/>
        </w:rPr>
      </w:pPr>
    </w:p>
    <w:p w14:paraId="640112B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февраля 1945 вышло Постановление ГКО № 7467 [О мерах очищения тыла действующих фронтов от террористов и диверсантов.] (7307, 2-5).</w:t>
      </w:r>
    </w:p>
    <w:p w14:paraId="1837E08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B1491E9" w14:textId="77777777" w:rsidR="00161A39" w:rsidRPr="00925F26" w:rsidRDefault="00161A39" w:rsidP="00925F26">
      <w:pPr>
        <w:jc w:val="both"/>
        <w:rPr>
          <w:color w:val="000000" w:themeColor="text1"/>
          <w:sz w:val="16"/>
          <w:szCs w:val="16"/>
        </w:rPr>
      </w:pPr>
      <w:r w:rsidRPr="00925F26">
        <w:rPr>
          <w:color w:val="000000" w:themeColor="text1"/>
          <w:sz w:val="16"/>
          <w:szCs w:val="16"/>
        </w:rPr>
        <w:t xml:space="preserve">3 февраля 1945, направляющийся к Кольскому заливу в Советском Союзе, Convoy JW 64 становится первым арктическим конвоем, отправившимся с реки Клайд. Его эскорт, получивший обозначение Operation Hotbed, включает британские авианосцы сопровождения HMS Campania и HMS </w:t>
      </w:r>
      <w:proofErr w:type="gramStart"/>
      <w:r w:rsidRPr="00925F26">
        <w:rPr>
          <w:color w:val="000000" w:themeColor="text1"/>
          <w:sz w:val="16"/>
          <w:szCs w:val="16"/>
        </w:rPr>
        <w:t>Nairana .</w:t>
      </w:r>
      <w:proofErr w:type="gramEnd"/>
      <w:r w:rsidRPr="00925F26">
        <w:rPr>
          <w:color w:val="000000" w:themeColor="text1"/>
          <w:sz w:val="16"/>
          <w:szCs w:val="16"/>
        </w:rPr>
        <w:t xml:space="preserve"> Кампания несет первый ночной истребитель, участвовавший в операции по сопровождению конвоя, Fairey Fulmar, оснащенный бортовым радаром перехвата (20371).</w:t>
      </w:r>
    </w:p>
    <w:p w14:paraId="3F2E887D" w14:textId="77777777" w:rsidR="00161A39" w:rsidRPr="00925F26" w:rsidRDefault="00161A39" w:rsidP="00925F26">
      <w:pPr>
        <w:jc w:val="both"/>
        <w:rPr>
          <w:color w:val="000000" w:themeColor="text1"/>
          <w:sz w:val="16"/>
          <w:szCs w:val="16"/>
        </w:rPr>
      </w:pPr>
    </w:p>
    <w:p w14:paraId="32AC8F8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10AFFA4" w14:textId="77777777" w:rsidR="00C2313B" w:rsidRPr="00925F26" w:rsidRDefault="00C2313B" w:rsidP="00925F26">
      <w:pPr>
        <w:autoSpaceDE w:val="0"/>
        <w:autoSpaceDN w:val="0"/>
        <w:adjustRightInd w:val="0"/>
        <w:jc w:val="both"/>
        <w:rPr>
          <w:iCs/>
          <w:color w:val="000000" w:themeColor="text1"/>
          <w:sz w:val="16"/>
          <w:szCs w:val="16"/>
        </w:rPr>
      </w:pPr>
    </w:p>
    <w:p w14:paraId="3DFE0900" w14:textId="77777777" w:rsidR="003D013D" w:rsidRPr="00925F26" w:rsidRDefault="003D013D" w:rsidP="00925F26">
      <w:pPr>
        <w:jc w:val="both"/>
        <w:rPr>
          <w:color w:val="000000" w:themeColor="text1"/>
          <w:sz w:val="16"/>
          <w:szCs w:val="16"/>
        </w:rPr>
      </w:pPr>
      <w:r w:rsidRPr="00925F26">
        <w:rPr>
          <w:bCs/>
          <w:color w:val="000000" w:themeColor="text1"/>
          <w:sz w:val="16"/>
          <w:szCs w:val="16"/>
        </w:rPr>
        <w:t>3 февраля</w:t>
      </w:r>
      <w:r w:rsidRPr="00925F26">
        <w:rPr>
          <w:color w:val="000000" w:themeColor="text1"/>
          <w:sz w:val="16"/>
          <w:szCs w:val="16"/>
        </w:rPr>
        <w:t xml:space="preserve"> в 1945 году пилот Боб Чилтон поднял в воздух первый </w:t>
      </w:r>
      <w:hyperlink r:id="rId28" w:tgtFrame="_blank" w:history="1">
        <w:r w:rsidRPr="00925F26">
          <w:rPr>
            <w:color w:val="000000" w:themeColor="text1"/>
            <w:sz w:val="16"/>
            <w:szCs w:val="16"/>
          </w:rPr>
          <w:t xml:space="preserve">«P-51H-1-NA» «Mustang». </w:t>
        </w:r>
      </w:hyperlink>
      <w:r w:rsidRPr="00925F26">
        <w:rPr>
          <w:color w:val="000000" w:themeColor="text1"/>
          <w:sz w:val="16"/>
          <w:szCs w:val="16"/>
        </w:rPr>
        <w:t>Всего изготовили 20 самолетов серии «P-51H-1-NA» с хвостовым оперением от «XP-51F» (15029).</w:t>
      </w:r>
    </w:p>
    <w:p w14:paraId="55AC1758" w14:textId="77777777" w:rsidR="003D013D" w:rsidRPr="00925F26" w:rsidRDefault="003D013D" w:rsidP="00925F26">
      <w:pPr>
        <w:jc w:val="both"/>
        <w:rPr>
          <w:color w:val="000000" w:themeColor="text1"/>
          <w:sz w:val="16"/>
          <w:szCs w:val="16"/>
        </w:rPr>
      </w:pPr>
    </w:p>
    <w:p w14:paraId="46087CB6"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3, 1945. A total of 959 B-17 crews carry out the largest raid to date against Berlin by American bombers (1089).</w:t>
      </w:r>
    </w:p>
    <w:p w14:paraId="4EA5219E" w14:textId="77777777" w:rsidR="00C2313B" w:rsidRPr="00925F26" w:rsidRDefault="00C2313B" w:rsidP="00925F26">
      <w:pPr>
        <w:autoSpaceDE w:val="0"/>
        <w:autoSpaceDN w:val="0"/>
        <w:adjustRightInd w:val="0"/>
        <w:jc w:val="both"/>
        <w:rPr>
          <w:color w:val="000000" w:themeColor="text1"/>
          <w:sz w:val="16"/>
          <w:szCs w:val="16"/>
          <w:lang w:val="en-US"/>
        </w:rPr>
      </w:pPr>
    </w:p>
    <w:p w14:paraId="30077986"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rPr>
        <w:t>3 февраля 1945 состоялся крупнейший американский налет на Берлин, в котором приняло участие 959 В-17 (1089). Сбросили</w:t>
      </w:r>
      <w:r w:rsidRPr="00925F26">
        <w:rPr>
          <w:color w:val="000000" w:themeColor="text1"/>
          <w:sz w:val="16"/>
          <w:szCs w:val="16"/>
          <w:lang w:val="en-US"/>
        </w:rPr>
        <w:t xml:space="preserve"> 3000 </w:t>
      </w:r>
      <w:r w:rsidRPr="00925F26">
        <w:rPr>
          <w:color w:val="000000" w:themeColor="text1"/>
          <w:sz w:val="16"/>
          <w:szCs w:val="16"/>
        </w:rPr>
        <w:t>тбомб</w:t>
      </w:r>
      <w:r w:rsidRPr="00925F26">
        <w:rPr>
          <w:color w:val="000000" w:themeColor="text1"/>
          <w:sz w:val="16"/>
          <w:szCs w:val="16"/>
          <w:lang w:val="en-US"/>
        </w:rPr>
        <w:t xml:space="preserve"> (2100).</w:t>
      </w:r>
    </w:p>
    <w:p w14:paraId="29CDDC54" w14:textId="77777777" w:rsidR="00C2313B" w:rsidRPr="00925F26" w:rsidRDefault="00C2313B" w:rsidP="00925F26">
      <w:pPr>
        <w:autoSpaceDE w:val="0"/>
        <w:autoSpaceDN w:val="0"/>
        <w:adjustRightInd w:val="0"/>
        <w:jc w:val="both"/>
        <w:rPr>
          <w:color w:val="000000" w:themeColor="text1"/>
          <w:sz w:val="16"/>
          <w:szCs w:val="16"/>
          <w:lang w:val="en-US"/>
        </w:rPr>
      </w:pPr>
    </w:p>
    <w:p w14:paraId="598A4367"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3, 1945: The US 8th Air Force, with 937 bombers and 613 fighters, carries out the heaviest attack to date against Berlin which levels large areas of the city and kills more than 25,000 civilians (3819).</w:t>
      </w:r>
    </w:p>
    <w:p w14:paraId="2848ABCC" w14:textId="77777777" w:rsidR="00C2313B" w:rsidRPr="00925F26" w:rsidRDefault="00C2313B" w:rsidP="00925F26">
      <w:pPr>
        <w:autoSpaceDE w:val="0"/>
        <w:autoSpaceDN w:val="0"/>
        <w:adjustRightInd w:val="0"/>
        <w:jc w:val="both"/>
        <w:rPr>
          <w:color w:val="000000" w:themeColor="text1"/>
          <w:sz w:val="16"/>
          <w:szCs w:val="16"/>
          <w:lang w:val="en-US"/>
        </w:rPr>
      </w:pPr>
    </w:p>
    <w:p w14:paraId="06F381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937 б и 613 и 8ВА совершили налет на Берлин и погибло около 25 тыс. гражданского населения (3819).</w:t>
      </w:r>
    </w:p>
    <w:p w14:paraId="46C4CDDB" w14:textId="77777777" w:rsidR="00C2313B" w:rsidRPr="00925F26" w:rsidRDefault="00C2313B" w:rsidP="00925F26">
      <w:pPr>
        <w:autoSpaceDE w:val="0"/>
        <w:autoSpaceDN w:val="0"/>
        <w:adjustRightInd w:val="0"/>
        <w:jc w:val="both"/>
        <w:rPr>
          <w:color w:val="000000" w:themeColor="text1"/>
          <w:sz w:val="16"/>
          <w:szCs w:val="16"/>
        </w:rPr>
      </w:pPr>
    </w:p>
    <w:p w14:paraId="071A2C1E" w14:textId="2236FBDD" w:rsidR="00FA59CB" w:rsidRPr="00925F26" w:rsidRDefault="00FA59CB" w:rsidP="00925F26">
      <w:pPr>
        <w:pStyle w:val="ae"/>
        <w:shd w:val="clear" w:color="auto" w:fill="FFFFFF"/>
        <w:spacing w:before="0" w:after="0"/>
        <w:jc w:val="both"/>
        <w:rPr>
          <w:color w:val="000000" w:themeColor="text1"/>
          <w:sz w:val="16"/>
          <w:szCs w:val="16"/>
        </w:rPr>
      </w:pPr>
      <w:r w:rsidRPr="00925F26">
        <w:rPr>
          <w:rStyle w:val="a7"/>
          <w:b w:val="0"/>
          <w:color w:val="000000" w:themeColor="text1"/>
          <w:sz w:val="16"/>
          <w:szCs w:val="16"/>
        </w:rPr>
        <w:t>3 февраля 1945 года</w:t>
      </w:r>
      <w:r w:rsidRPr="00925F26">
        <w:rPr>
          <w:color w:val="000000" w:themeColor="text1"/>
          <w:sz w:val="16"/>
          <w:szCs w:val="16"/>
        </w:rPr>
        <w:t xml:space="preserve"> под прикрытием 785 истребителей Р-51 «Мустанг» над Берлином появились 950 «летающих крепостей». Воздушная армада вывалила на городские кварталы 2298 тонн бомб, распахав районы Темпельхоф и Шёнеберг, а также центр города. По «средним» прикидкам количество жертв среди населения в этот день исчислялось тысячами – называют цифры до </w:t>
      </w:r>
      <w:proofErr w:type="gramStart"/>
      <w:r w:rsidRPr="00925F26">
        <w:rPr>
          <w:color w:val="000000" w:themeColor="text1"/>
          <w:sz w:val="16"/>
          <w:szCs w:val="16"/>
        </w:rPr>
        <w:t>25</w:t>
      </w:r>
      <w:r w:rsidR="00997EDF" w:rsidRPr="00925F26">
        <w:rPr>
          <w:color w:val="000000" w:themeColor="text1"/>
          <w:sz w:val="16"/>
          <w:szCs w:val="16"/>
        </w:rPr>
        <w:t xml:space="preserve">  </w:t>
      </w:r>
      <w:r w:rsidRPr="00925F26">
        <w:rPr>
          <w:color w:val="000000" w:themeColor="text1"/>
          <w:sz w:val="16"/>
          <w:szCs w:val="16"/>
        </w:rPr>
        <w:t>000</w:t>
      </w:r>
      <w:proofErr w:type="gramEnd"/>
      <w:r w:rsidRPr="00925F26">
        <w:rPr>
          <w:color w:val="000000" w:themeColor="text1"/>
          <w:sz w:val="16"/>
          <w:szCs w:val="16"/>
        </w:rPr>
        <w:t xml:space="preserve"> убитых.</w:t>
      </w:r>
    </w:p>
    <w:p w14:paraId="121B4169" w14:textId="7108C33E" w:rsidR="00FA59CB" w:rsidRPr="00925F26" w:rsidRDefault="00FA59CB" w:rsidP="00925F26">
      <w:pPr>
        <w:pStyle w:val="ae"/>
        <w:shd w:val="clear" w:color="auto" w:fill="FFFFFF"/>
        <w:spacing w:before="0" w:after="0"/>
        <w:jc w:val="both"/>
        <w:rPr>
          <w:color w:val="000000" w:themeColor="text1"/>
          <w:sz w:val="16"/>
          <w:szCs w:val="16"/>
        </w:rPr>
      </w:pPr>
      <w:r w:rsidRPr="00925F26">
        <w:rPr>
          <w:rStyle w:val="a7"/>
          <w:b w:val="0"/>
          <w:color w:val="000000" w:themeColor="text1"/>
          <w:sz w:val="16"/>
          <w:szCs w:val="16"/>
        </w:rPr>
        <w:t>26 февраля 1945 г</w:t>
      </w:r>
      <w:r w:rsidRPr="00925F26">
        <w:rPr>
          <w:color w:val="000000" w:themeColor="text1"/>
          <w:sz w:val="16"/>
          <w:szCs w:val="16"/>
        </w:rPr>
        <w:t xml:space="preserve">. ужас повторился в ещё больших масштабах — </w:t>
      </w:r>
      <w:r w:rsidR="00997EDF" w:rsidRPr="00925F26">
        <w:rPr>
          <w:color w:val="000000" w:themeColor="text1"/>
          <w:sz w:val="16"/>
          <w:szCs w:val="16"/>
        </w:rPr>
        <w:t xml:space="preserve">  </w:t>
      </w:r>
      <w:r w:rsidRPr="00925F26">
        <w:rPr>
          <w:color w:val="000000" w:themeColor="text1"/>
          <w:sz w:val="16"/>
          <w:szCs w:val="16"/>
        </w:rPr>
        <w:t xml:space="preserve">781 В-17 и 285 В-24, сбросили на город 2796 тонн бомб, практически не имея потерь со своей стороны. </w:t>
      </w:r>
      <w:proofErr w:type="gramStart"/>
      <w:r w:rsidRPr="00925F26">
        <w:rPr>
          <w:color w:val="000000" w:themeColor="text1"/>
          <w:sz w:val="16"/>
          <w:szCs w:val="16"/>
        </w:rPr>
        <w:t>Конечно</w:t>
      </w:r>
      <w:proofErr w:type="gramEnd"/>
      <w:r w:rsidRPr="00925F26">
        <w:rPr>
          <w:color w:val="000000" w:themeColor="text1"/>
          <w:sz w:val="16"/>
          <w:szCs w:val="16"/>
        </w:rPr>
        <w:t xml:space="preserve"> это был не конец – отрабатывая новую тактику, </w:t>
      </w:r>
      <w:r w:rsidRPr="00925F26">
        <w:rPr>
          <w:rStyle w:val="a7"/>
          <w:b w:val="0"/>
          <w:color w:val="000000" w:themeColor="text1"/>
          <w:sz w:val="16"/>
          <w:szCs w:val="16"/>
        </w:rPr>
        <w:t>18 марта</w:t>
      </w:r>
      <w:r w:rsidRPr="00925F26">
        <w:rPr>
          <w:color w:val="000000" w:themeColor="text1"/>
          <w:sz w:val="16"/>
          <w:szCs w:val="16"/>
        </w:rPr>
        <w:t xml:space="preserve">, </w:t>
      </w:r>
      <w:r w:rsidRPr="00925F26">
        <w:rPr>
          <w:rStyle w:val="a7"/>
          <w:b w:val="0"/>
          <w:color w:val="000000" w:themeColor="text1"/>
          <w:sz w:val="16"/>
          <w:szCs w:val="16"/>
        </w:rPr>
        <w:t>24 марта</w:t>
      </w:r>
      <w:r w:rsidRPr="00925F26">
        <w:rPr>
          <w:color w:val="000000" w:themeColor="text1"/>
          <w:sz w:val="16"/>
          <w:szCs w:val="16"/>
        </w:rPr>
        <w:t xml:space="preserve">, </w:t>
      </w:r>
      <w:r w:rsidRPr="00925F26">
        <w:rPr>
          <w:rStyle w:val="a7"/>
          <w:b w:val="0"/>
          <w:color w:val="000000" w:themeColor="text1"/>
          <w:sz w:val="16"/>
          <w:szCs w:val="16"/>
        </w:rPr>
        <w:t>20 апреля</w:t>
      </w:r>
      <w:r w:rsidRPr="00925F26">
        <w:rPr>
          <w:color w:val="000000" w:themeColor="text1"/>
          <w:sz w:val="16"/>
          <w:szCs w:val="16"/>
        </w:rPr>
        <w:t xml:space="preserve"> американцы раз за разом повторяли рейды, в которых участвовали до 1200 бомбардировщиков за раз. Город под ними превратился в руины, а точное число погибших не представлялось возможным установить – по примерным подсчетам оно составляло около </w:t>
      </w:r>
      <w:proofErr w:type="gramStart"/>
      <w:r w:rsidRPr="00925F26">
        <w:rPr>
          <w:color w:val="000000" w:themeColor="text1"/>
          <w:sz w:val="16"/>
          <w:szCs w:val="16"/>
        </w:rPr>
        <w:t>50</w:t>
      </w:r>
      <w:r w:rsidR="00997EDF" w:rsidRPr="00925F26">
        <w:rPr>
          <w:color w:val="000000" w:themeColor="text1"/>
          <w:sz w:val="16"/>
          <w:szCs w:val="16"/>
        </w:rPr>
        <w:t xml:space="preserve">  </w:t>
      </w:r>
      <w:r w:rsidRPr="00925F26">
        <w:rPr>
          <w:color w:val="000000" w:themeColor="text1"/>
          <w:sz w:val="16"/>
          <w:szCs w:val="16"/>
        </w:rPr>
        <w:t>000</w:t>
      </w:r>
      <w:proofErr w:type="gramEnd"/>
      <w:r w:rsidRPr="00925F26">
        <w:rPr>
          <w:color w:val="000000" w:themeColor="text1"/>
          <w:sz w:val="16"/>
          <w:szCs w:val="16"/>
        </w:rPr>
        <w:t xml:space="preserve"> человек.</w:t>
      </w:r>
    </w:p>
    <w:p w14:paraId="3AA909B3" w14:textId="72165C5B" w:rsidR="00FA59CB" w:rsidRPr="00925F26" w:rsidRDefault="00FA59CB" w:rsidP="00925F26">
      <w:pPr>
        <w:jc w:val="both"/>
        <w:rPr>
          <w:color w:val="000000" w:themeColor="text1"/>
          <w:sz w:val="16"/>
          <w:szCs w:val="16"/>
        </w:rPr>
      </w:pPr>
      <w:r w:rsidRPr="00925F26">
        <w:rPr>
          <w:color w:val="000000" w:themeColor="text1"/>
          <w:sz w:val="16"/>
          <w:szCs w:val="16"/>
        </w:rPr>
        <w:t xml:space="preserve">В Берлине из имевшихся в 1939 году 1 502 383 зданий, к концу войны осталось относительно неповрежденными </w:t>
      </w:r>
      <w:proofErr w:type="gramStart"/>
      <w:r w:rsidRPr="00925F26">
        <w:rPr>
          <w:color w:val="000000" w:themeColor="text1"/>
          <w:sz w:val="16"/>
          <w:szCs w:val="16"/>
        </w:rPr>
        <w:t>976</w:t>
      </w:r>
      <w:r w:rsidR="00997EDF" w:rsidRPr="00925F26">
        <w:rPr>
          <w:color w:val="000000" w:themeColor="text1"/>
          <w:sz w:val="16"/>
          <w:szCs w:val="16"/>
        </w:rPr>
        <w:t xml:space="preserve">  </w:t>
      </w:r>
      <w:r w:rsidRPr="00925F26">
        <w:rPr>
          <w:color w:val="000000" w:themeColor="text1"/>
          <w:sz w:val="16"/>
          <w:szCs w:val="16"/>
        </w:rPr>
        <w:t>500</w:t>
      </w:r>
      <w:proofErr w:type="gramEnd"/>
      <w:r w:rsidRPr="00925F26">
        <w:rPr>
          <w:color w:val="000000" w:themeColor="text1"/>
          <w:sz w:val="16"/>
          <w:szCs w:val="16"/>
        </w:rPr>
        <w:t>. Однако, несмотря на весь ужас ковровых бомбардировок, дух защитников города они не сломили, зато прекрасно справлялись с задачей озлобления как военных, так и гражданского населения. Этот факт, а также то, что несмотря на все разрушения и постоянную бомбежку, авиации союзников так и не удалось разрушить германскую промышленность, которая продолжала исправно работать до конца войны, ставят под большое сомнение пользу такого способа ведения войны (17416).</w:t>
      </w:r>
    </w:p>
    <w:p w14:paraId="01E5E67B" w14:textId="77777777" w:rsidR="00FA59CB" w:rsidRPr="00925F26" w:rsidRDefault="00FA59CB" w:rsidP="00925F26">
      <w:pPr>
        <w:jc w:val="both"/>
        <w:rPr>
          <w:color w:val="000000" w:themeColor="text1"/>
          <w:sz w:val="16"/>
          <w:szCs w:val="16"/>
        </w:rPr>
      </w:pPr>
    </w:p>
    <w:p w14:paraId="679C5114" w14:textId="77777777" w:rsidR="00161A39" w:rsidRPr="00925F26" w:rsidRDefault="00161A39" w:rsidP="00925F26">
      <w:pPr>
        <w:jc w:val="both"/>
        <w:rPr>
          <w:color w:val="000000" w:themeColor="text1"/>
          <w:sz w:val="16"/>
          <w:szCs w:val="16"/>
        </w:rPr>
      </w:pPr>
      <w:r w:rsidRPr="00925F26">
        <w:rPr>
          <w:color w:val="000000" w:themeColor="text1"/>
          <w:sz w:val="16"/>
          <w:szCs w:val="16"/>
        </w:rPr>
        <w:t>3 февраля 1945 состоялся самый тяжелый американский стратегический бомбардировочный налет на Берлин в ходе войны (свыше одной тысячи бомбардировщиков и 575 P-51 Mustang в сопровождении). Среди почти 3000 немцев, погибших в результате налета, был печально известный нацистский судья Volksgerichtshof Роланд Фрейслер (20371).</w:t>
      </w:r>
    </w:p>
    <w:p w14:paraId="72DF4CC5" w14:textId="77777777" w:rsidR="00161A39" w:rsidRPr="00925F26" w:rsidRDefault="00161A39" w:rsidP="00925F26">
      <w:pPr>
        <w:jc w:val="both"/>
        <w:rPr>
          <w:color w:val="000000" w:themeColor="text1"/>
          <w:sz w:val="16"/>
          <w:szCs w:val="16"/>
        </w:rPr>
      </w:pPr>
    </w:p>
    <w:p w14:paraId="7B911FF8" w14:textId="15954CF9" w:rsidR="00161A39" w:rsidRPr="00925F26" w:rsidRDefault="00161A39" w:rsidP="00925F26">
      <w:pPr>
        <w:jc w:val="both"/>
        <w:rPr>
          <w:color w:val="000000" w:themeColor="text1"/>
          <w:sz w:val="16"/>
          <w:szCs w:val="16"/>
        </w:rPr>
      </w:pPr>
      <w:r w:rsidRPr="00925F26">
        <w:rPr>
          <w:color w:val="000000" w:themeColor="text1"/>
          <w:sz w:val="16"/>
          <w:szCs w:val="16"/>
        </w:rPr>
        <w:t xml:space="preserve">3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 xml:space="preserve">Берлин пережил самый тяжелый воздушный налет в войне. В этот день в плотно затянутом облаками небе над столицей Третьего рейха появились 937 американских бомбардировщиков Б-17 и Б-24, которых сопровождали 613 истребителей. За 53 минуты они сбросили на городские районы Темпельхоф, Шёнеберг, Кройцберг 2267 тонн бомб. При этом 36 бомбардировщиков и 9 истребителей были сбиты. Это был первый дневной американский террористический налет на жилые </w:t>
      </w:r>
      <w:r w:rsidRPr="00925F26">
        <w:rPr>
          <w:color w:val="000000" w:themeColor="text1"/>
          <w:sz w:val="16"/>
          <w:szCs w:val="16"/>
        </w:rPr>
        <w:lastRenderedPageBreak/>
        <w:t>кварталы Берлина в духе ночных налетов англичан. Четыре квадратных километра площади было полностью разрушено, при этом, по американским данным, погибло около 23 тыс. человек (22635).</w:t>
      </w:r>
    </w:p>
    <w:p w14:paraId="0984576C" w14:textId="77777777" w:rsidR="00161A39" w:rsidRPr="00925F26" w:rsidRDefault="00161A39" w:rsidP="00925F26">
      <w:pPr>
        <w:jc w:val="both"/>
        <w:rPr>
          <w:color w:val="000000" w:themeColor="text1"/>
          <w:sz w:val="16"/>
          <w:szCs w:val="16"/>
        </w:rPr>
      </w:pPr>
    </w:p>
    <w:p w14:paraId="6BC7B6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февраля 1945 морские пехотинцы США высадились в Маниле на Филиппинах (2248,2).</w:t>
      </w:r>
    </w:p>
    <w:p w14:paraId="67C37ACC" w14:textId="77777777" w:rsidR="00C2313B" w:rsidRPr="00925F26" w:rsidRDefault="00C2313B" w:rsidP="00925F26">
      <w:pPr>
        <w:autoSpaceDE w:val="0"/>
        <w:autoSpaceDN w:val="0"/>
        <w:adjustRightInd w:val="0"/>
        <w:jc w:val="both"/>
        <w:rPr>
          <w:color w:val="000000" w:themeColor="text1"/>
          <w:sz w:val="16"/>
          <w:szCs w:val="16"/>
        </w:rPr>
      </w:pPr>
    </w:p>
    <w:p w14:paraId="514ADD1E" w14:textId="77777777" w:rsidR="003D013D" w:rsidRPr="00925F26" w:rsidRDefault="003D013D" w:rsidP="00925F26">
      <w:pPr>
        <w:jc w:val="both"/>
        <w:rPr>
          <w:color w:val="000000" w:themeColor="text1"/>
          <w:sz w:val="16"/>
          <w:szCs w:val="16"/>
        </w:rPr>
      </w:pPr>
      <w:r w:rsidRPr="00925F26">
        <w:rPr>
          <w:bCs/>
          <w:color w:val="000000" w:themeColor="text1"/>
          <w:sz w:val="16"/>
          <w:szCs w:val="16"/>
        </w:rPr>
        <w:t>3 февраля</w:t>
      </w:r>
      <w:r w:rsidRPr="00925F26">
        <w:rPr>
          <w:color w:val="000000" w:themeColor="text1"/>
          <w:sz w:val="16"/>
          <w:szCs w:val="16"/>
        </w:rPr>
        <w:t xml:space="preserve"> в 1945 году на Филиппинах части американской армии начинают сражение за Манилу. 3 марта город будет взят (15029).</w:t>
      </w:r>
    </w:p>
    <w:p w14:paraId="4011AF26" w14:textId="77777777" w:rsidR="003D013D" w:rsidRPr="00925F26" w:rsidRDefault="003D013D" w:rsidP="00925F26">
      <w:pPr>
        <w:jc w:val="both"/>
        <w:rPr>
          <w:color w:val="000000" w:themeColor="text1"/>
          <w:sz w:val="16"/>
          <w:szCs w:val="16"/>
        </w:rPr>
      </w:pPr>
    </w:p>
    <w:p w14:paraId="01792A30"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февраля 1945 немецкий гарнизон г. Кольмар (Франция) сдался союзникам (4962).</w:t>
      </w:r>
    </w:p>
    <w:p w14:paraId="20541DB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6042096" w14:textId="77777777" w:rsidR="003D013D" w:rsidRPr="00925F26" w:rsidRDefault="003D013D" w:rsidP="00925F26">
      <w:pPr>
        <w:jc w:val="both"/>
        <w:rPr>
          <w:color w:val="000000" w:themeColor="text1"/>
          <w:sz w:val="16"/>
          <w:szCs w:val="16"/>
        </w:rPr>
      </w:pPr>
      <w:r w:rsidRPr="00925F26">
        <w:rPr>
          <w:bCs/>
          <w:color w:val="000000" w:themeColor="text1"/>
          <w:sz w:val="16"/>
          <w:szCs w:val="16"/>
        </w:rPr>
        <w:t>3 февраля</w:t>
      </w:r>
      <w:r w:rsidRPr="00925F26">
        <w:rPr>
          <w:color w:val="000000" w:themeColor="text1"/>
          <w:sz w:val="16"/>
          <w:szCs w:val="16"/>
        </w:rPr>
        <w:t xml:space="preserve"> в 1945 году американские войска прорвали германскую оборонительную линию «Зигфрид» (15029).</w:t>
      </w:r>
    </w:p>
    <w:p w14:paraId="7763078C" w14:textId="77777777" w:rsidR="003D013D" w:rsidRPr="00925F26" w:rsidRDefault="003D013D" w:rsidP="00925F26">
      <w:pPr>
        <w:jc w:val="both"/>
        <w:rPr>
          <w:color w:val="000000" w:themeColor="text1"/>
          <w:sz w:val="16"/>
          <w:szCs w:val="16"/>
        </w:rPr>
      </w:pPr>
    </w:p>
    <w:p w14:paraId="2D258158" w14:textId="77777777" w:rsidR="00C2313B" w:rsidRPr="00925F26" w:rsidRDefault="001561D1" w:rsidP="00925F26">
      <w:pPr>
        <w:tabs>
          <w:tab w:val="left" w:pos="11199"/>
        </w:tabs>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2DFCDA3" w14:textId="77777777" w:rsidR="00C2313B" w:rsidRPr="00925F26" w:rsidRDefault="00C2313B" w:rsidP="00925F26">
      <w:pPr>
        <w:tabs>
          <w:tab w:val="left" w:pos="11199"/>
        </w:tabs>
        <w:autoSpaceDE w:val="0"/>
        <w:autoSpaceDN w:val="0"/>
        <w:adjustRightInd w:val="0"/>
        <w:jc w:val="both"/>
        <w:rPr>
          <w:iCs/>
          <w:color w:val="000000" w:themeColor="text1"/>
          <w:sz w:val="16"/>
          <w:szCs w:val="16"/>
        </w:rPr>
      </w:pPr>
    </w:p>
    <w:p w14:paraId="2EE0905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января 1945 была подготовлена докладная записка по результатам командировки ви 3 отд. 1 упр. ТК НИИ ВВС КА им Алексеенко на завод 21:</w:t>
      </w:r>
    </w:p>
    <w:p w14:paraId="780D9D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21 по 26 июня 1944 была командировка на завод № 21 бригады НИИ ВВС по с-ту 120 и трещинам тавриков передних лонжеронов цп с-та Ла-7:</w:t>
      </w:r>
    </w:p>
    <w:p w14:paraId="3D5231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“...Кроме ознакомления с технологией обработки полок лонжеронов, мы проверили качество контроля со стороны военпреда технологии сборки (по просьбе старшего военпреда завода). В результате нашего осмотра самолета, ВМГ которого была окончательно принята </w:t>
      </w:r>
      <w:proofErr w:type="gramStart"/>
      <w:r w:rsidRPr="00925F26">
        <w:rPr>
          <w:color w:val="000000" w:themeColor="text1"/>
          <w:sz w:val="16"/>
          <w:szCs w:val="16"/>
        </w:rPr>
        <w:t>в,пред.</w:t>
      </w:r>
      <w:proofErr w:type="gramEnd"/>
      <w:r w:rsidRPr="00925F26">
        <w:rPr>
          <w:color w:val="000000" w:themeColor="text1"/>
          <w:sz w:val="16"/>
          <w:szCs w:val="16"/>
        </w:rPr>
        <w:t xml:space="preserve"> цеха, обнаружено 12 существенных дефектов, о которых мы почти в каждом акте пишем: чеканка трубок высокого давления, чеканка патрубков, неудовлетворительная герметизация внутреннего капота и 1-й рамы фюзеляжа, неудовлетворительная подгонка заслонок во всасявающем патрубке и т.д.</w:t>
      </w:r>
    </w:p>
    <w:p w14:paraId="15425A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Зам. военпреда цеха объясняет наличие дефектов графиком (темпами), что якобы нет смысла им писать при приемкуе самолета много дефектов (на этом самолете написано только 9), т.к. иногда ими обнаруженные дефекты не устраняются и их винят в задержке самолетов.</w:t>
      </w:r>
    </w:p>
    <w:p w14:paraId="2D9ED61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строевых частях (так и у нас) необходимо самолет на несколько дней выводить из строя для устранения дефектов (742).</w:t>
      </w:r>
    </w:p>
    <w:p w14:paraId="41878E90" w14:textId="77777777" w:rsidR="00C2313B" w:rsidRPr="00925F26" w:rsidRDefault="00C2313B" w:rsidP="00925F26">
      <w:pPr>
        <w:autoSpaceDE w:val="0"/>
        <w:autoSpaceDN w:val="0"/>
        <w:adjustRightInd w:val="0"/>
        <w:jc w:val="both"/>
        <w:rPr>
          <w:color w:val="000000" w:themeColor="text1"/>
          <w:sz w:val="16"/>
          <w:szCs w:val="16"/>
        </w:rPr>
      </w:pPr>
    </w:p>
    <w:p w14:paraId="0875073A"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CA2F88A" w14:textId="77777777" w:rsidR="00C2313B" w:rsidRPr="00925F26" w:rsidRDefault="00C2313B" w:rsidP="00925F26">
      <w:pPr>
        <w:autoSpaceDE w:val="0"/>
        <w:autoSpaceDN w:val="0"/>
        <w:adjustRightInd w:val="0"/>
        <w:jc w:val="both"/>
        <w:rPr>
          <w:iCs/>
          <w:color w:val="000000" w:themeColor="text1"/>
          <w:sz w:val="16"/>
          <w:szCs w:val="16"/>
        </w:rPr>
      </w:pPr>
    </w:p>
    <w:p w14:paraId="632590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7471. О дополнительной отгрузке угля из Кузбасса заводу № 129 НКБ. РГАНИР, Фонд ГКО, д. 369, лл. 43 (11012).</w:t>
      </w:r>
    </w:p>
    <w:p w14:paraId="3312A0AD" w14:textId="77777777" w:rsidR="00C2313B" w:rsidRPr="00925F26" w:rsidRDefault="00C2313B" w:rsidP="00925F26">
      <w:pPr>
        <w:autoSpaceDE w:val="0"/>
        <w:autoSpaceDN w:val="0"/>
        <w:adjustRightInd w:val="0"/>
        <w:jc w:val="both"/>
        <w:rPr>
          <w:color w:val="000000" w:themeColor="text1"/>
          <w:sz w:val="16"/>
          <w:szCs w:val="16"/>
        </w:rPr>
      </w:pPr>
    </w:p>
    <w:p w14:paraId="6CAAE1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Постановление ГКО № 7472 О мероприятиях по обеспечению мазутом важнейших заводов Наркомбоеприпасов в феврале 1945 года. РГАНИР, Фонд ГКО, д. 369, лл. 44-46 (11012).</w:t>
      </w:r>
    </w:p>
    <w:p w14:paraId="72A02845" w14:textId="77777777" w:rsidR="00C2313B" w:rsidRPr="00925F26" w:rsidRDefault="00C2313B" w:rsidP="00925F26">
      <w:pPr>
        <w:autoSpaceDE w:val="0"/>
        <w:autoSpaceDN w:val="0"/>
        <w:adjustRightInd w:val="0"/>
        <w:jc w:val="both"/>
        <w:rPr>
          <w:color w:val="000000" w:themeColor="text1"/>
          <w:sz w:val="16"/>
          <w:szCs w:val="16"/>
        </w:rPr>
      </w:pPr>
    </w:p>
    <w:p w14:paraId="0535E67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7473 [О дополнительной отгрузке угля в феврале-марте 1945 г. для строительства № 500 НКВД.] (7307, 47).</w:t>
      </w:r>
    </w:p>
    <w:p w14:paraId="7FD71F65"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7ADC606C"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7474 [Об изменении плана поставки угля НКПС на февраль 1945 г.] (7307, 48).</w:t>
      </w:r>
    </w:p>
    <w:p w14:paraId="736BFD73"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0E72C7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7475 [О выделении бензина в феврале-марте 1945 г. для перевозок колхозников, переселяющихся на Карельский перешеек и в Грозненскую обл.] (7307, 49).</w:t>
      </w:r>
    </w:p>
    <w:p w14:paraId="0FA1F60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36721E2"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вышло Постановление ГКО № 7476 О закладке в мобрезерв сушеных овощей и картофеля. (7307, 50).</w:t>
      </w:r>
    </w:p>
    <w:p w14:paraId="368BCAA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BEAED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7477. О снабжении рабочих предприятий НКХП, занятых на особо вредных работах, и о дополнительном снабжении руководящих работников центрального аппарата НКНП. РГАНИР, Фонд ГКО, д. 369, лл. 51-52 (11012).</w:t>
      </w:r>
    </w:p>
    <w:p w14:paraId="6EAE7F63" w14:textId="77777777" w:rsidR="00C2313B" w:rsidRPr="00925F26" w:rsidRDefault="00C2313B" w:rsidP="00925F26">
      <w:pPr>
        <w:autoSpaceDE w:val="0"/>
        <w:autoSpaceDN w:val="0"/>
        <w:adjustRightInd w:val="0"/>
        <w:jc w:val="both"/>
        <w:rPr>
          <w:color w:val="000000" w:themeColor="text1"/>
          <w:sz w:val="16"/>
          <w:szCs w:val="16"/>
        </w:rPr>
      </w:pPr>
    </w:p>
    <w:p w14:paraId="3759E71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7478. Об обеспечении крепежным лесом шахт Кузбасса. РГАНИР, Фонд ГКО, д. 369, лл. 53-55 (11012).</w:t>
      </w:r>
    </w:p>
    <w:p w14:paraId="0F03F79D" w14:textId="77777777" w:rsidR="00C2313B" w:rsidRPr="00925F26" w:rsidRDefault="00C2313B" w:rsidP="00925F26">
      <w:pPr>
        <w:autoSpaceDE w:val="0"/>
        <w:autoSpaceDN w:val="0"/>
        <w:adjustRightInd w:val="0"/>
        <w:jc w:val="both"/>
        <w:rPr>
          <w:color w:val="000000" w:themeColor="text1"/>
          <w:sz w:val="16"/>
          <w:szCs w:val="16"/>
        </w:rPr>
      </w:pPr>
    </w:p>
    <w:p w14:paraId="263EFE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7479. О поставках спецукупорки 160 мм мин заводам НКМВ. РГАНИР, Фонд ГКО, д. 369, лл. 56-58, 59-62 (11012).</w:t>
      </w:r>
    </w:p>
    <w:p w14:paraId="59BF045A" w14:textId="77777777" w:rsidR="00C2313B" w:rsidRPr="00925F26" w:rsidRDefault="00C2313B" w:rsidP="00925F26">
      <w:pPr>
        <w:autoSpaceDE w:val="0"/>
        <w:autoSpaceDN w:val="0"/>
        <w:adjustRightInd w:val="0"/>
        <w:jc w:val="both"/>
        <w:rPr>
          <w:color w:val="000000" w:themeColor="text1"/>
          <w:sz w:val="16"/>
          <w:szCs w:val="16"/>
        </w:rPr>
      </w:pPr>
    </w:p>
    <w:p w14:paraId="1016E8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7480. Об организации ремонта автоматических расцепок на складах ВВС КА. РГАНИР, Фонд ГКО, д. 369, лл. 63 (11012).</w:t>
      </w:r>
    </w:p>
    <w:p w14:paraId="59D9E819" w14:textId="77777777" w:rsidR="00C2313B" w:rsidRPr="00925F26" w:rsidRDefault="00C2313B" w:rsidP="00925F26">
      <w:pPr>
        <w:autoSpaceDE w:val="0"/>
        <w:autoSpaceDN w:val="0"/>
        <w:adjustRightInd w:val="0"/>
        <w:jc w:val="both"/>
        <w:rPr>
          <w:color w:val="000000" w:themeColor="text1"/>
          <w:sz w:val="16"/>
          <w:szCs w:val="16"/>
        </w:rPr>
      </w:pPr>
    </w:p>
    <w:p w14:paraId="17A9EE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Постановление ГКО № 7481 О производстве и поставке бензотары, средств заправки, подогрева и других спецмашин Наркомату обороны СССР и Наркомвоенморфлоту в I квартале 1945 г. РГАНИР, Фонд ГКО, д. 369, лл. 64-65, 66-71 (11012).</w:t>
      </w:r>
    </w:p>
    <w:p w14:paraId="6D1D98C6" w14:textId="77777777" w:rsidR="00C2313B" w:rsidRPr="00925F26" w:rsidRDefault="00C2313B" w:rsidP="00925F26">
      <w:pPr>
        <w:autoSpaceDE w:val="0"/>
        <w:autoSpaceDN w:val="0"/>
        <w:adjustRightInd w:val="0"/>
        <w:jc w:val="both"/>
        <w:rPr>
          <w:color w:val="000000" w:themeColor="text1"/>
          <w:sz w:val="16"/>
          <w:szCs w:val="16"/>
        </w:rPr>
      </w:pPr>
    </w:p>
    <w:p w14:paraId="237AC5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вышло Распоряжение ГКО № 7482. Об обеспечении снаряжательных заводов Наркомбоеприпасов корпусами снарядов и мин. РГАНИР, Фонд ГКО, д. 369, лл. 72-78, 79-89 (11012).</w:t>
      </w:r>
    </w:p>
    <w:p w14:paraId="37E5D3B2" w14:textId="77777777" w:rsidR="00C2313B" w:rsidRPr="00925F26" w:rsidRDefault="00C2313B" w:rsidP="00925F26">
      <w:pPr>
        <w:autoSpaceDE w:val="0"/>
        <w:autoSpaceDN w:val="0"/>
        <w:adjustRightInd w:val="0"/>
        <w:jc w:val="both"/>
        <w:rPr>
          <w:color w:val="000000" w:themeColor="text1"/>
          <w:sz w:val="16"/>
          <w:szCs w:val="16"/>
        </w:rPr>
      </w:pPr>
    </w:p>
    <w:p w14:paraId="06F71CF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11E3C1E" w14:textId="77777777" w:rsidR="00C2313B" w:rsidRPr="00925F26" w:rsidRDefault="00C2313B" w:rsidP="00925F26">
      <w:pPr>
        <w:autoSpaceDE w:val="0"/>
        <w:autoSpaceDN w:val="0"/>
        <w:adjustRightInd w:val="0"/>
        <w:jc w:val="both"/>
        <w:rPr>
          <w:iCs/>
          <w:color w:val="000000" w:themeColor="text1"/>
          <w:sz w:val="16"/>
          <w:szCs w:val="16"/>
        </w:rPr>
      </w:pPr>
    </w:p>
    <w:p w14:paraId="0FF51A53" w14:textId="77777777" w:rsidR="003D013D" w:rsidRPr="00925F26" w:rsidRDefault="003D013D" w:rsidP="00925F26">
      <w:pPr>
        <w:jc w:val="both"/>
        <w:rPr>
          <w:color w:val="000000" w:themeColor="text1"/>
          <w:sz w:val="16"/>
          <w:szCs w:val="16"/>
        </w:rPr>
      </w:pPr>
      <w:r w:rsidRPr="00925F26">
        <w:rPr>
          <w:bCs/>
          <w:color w:val="000000" w:themeColor="text1"/>
          <w:sz w:val="16"/>
          <w:szCs w:val="16"/>
        </w:rPr>
        <w:t>4 февраля</w:t>
      </w:r>
      <w:r w:rsidRPr="00925F26">
        <w:rPr>
          <w:color w:val="000000" w:themeColor="text1"/>
          <w:sz w:val="16"/>
          <w:szCs w:val="16"/>
        </w:rPr>
        <w:t xml:space="preserve"> в 1945 году оперативная сводка Совинформбюро:</w:t>
      </w:r>
    </w:p>
    <w:p w14:paraId="48FFAA4F" w14:textId="77777777" w:rsidR="003D013D" w:rsidRPr="00925F26" w:rsidRDefault="003D013D" w:rsidP="00925F26">
      <w:pPr>
        <w:jc w:val="both"/>
        <w:rPr>
          <w:color w:val="000000" w:themeColor="text1"/>
          <w:sz w:val="16"/>
          <w:szCs w:val="16"/>
        </w:rPr>
      </w:pPr>
      <w:r w:rsidRPr="00925F26">
        <w:rPr>
          <w:color w:val="000000" w:themeColor="text1"/>
          <w:sz w:val="16"/>
          <w:szCs w:val="16"/>
        </w:rPr>
        <w:t>«В течение 4 февраля севернее и северо-западнее Кенигсберга наши войска вели бои по очищению от противника Земландского полуострова и овладели при этом городом и железнодорожной станцией Гранц, а также заняли более 30 других населённых пунктов, в том числе Михеляу, Грюнхофф, Гарбзайден, Алляйнен, Побетен, Регенен. Наши войска полностью очистили от противника приморскую косу Курише Нерунг, отделяющую залив Курише Гаф от Балтийского моря.</w:t>
      </w:r>
    </w:p>
    <w:p w14:paraId="13356F78" w14:textId="77777777" w:rsidR="003D013D" w:rsidRPr="00925F26" w:rsidRDefault="003D013D" w:rsidP="00925F26">
      <w:pPr>
        <w:jc w:val="both"/>
        <w:rPr>
          <w:color w:val="000000" w:themeColor="text1"/>
          <w:sz w:val="16"/>
          <w:szCs w:val="16"/>
        </w:rPr>
      </w:pPr>
      <w:r w:rsidRPr="00925F26">
        <w:rPr>
          <w:color w:val="000000" w:themeColor="text1"/>
          <w:sz w:val="16"/>
          <w:szCs w:val="16"/>
        </w:rPr>
        <w:t>Войска 3-го Белорусского фронта, продолжая наступление, с боем овладели городами Ландсберг и Бартенштайн — крупными узлами коммуникаций и сильными опорными пунктами обороны немцев в центральных районах Восточной Пруссии, а также заняли более 40 других населённых пунктов, среди которых крупные населённые пункты Ной Ассмунис, Зиддау, Легинен, Дамерау, Альбрехтсдорф, Айхен.</w:t>
      </w:r>
    </w:p>
    <w:p w14:paraId="04020F1C"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Севернее и юго-восточнее Франкфурта-на-Одере наши войска, в результате наступательных боёв, овладели городами Бзрвальде, Нойдамм, Цибинген и заняли более 100 других населённых пунктов.</w:t>
      </w:r>
    </w:p>
    <w:p w14:paraId="5E0A67B5" w14:textId="77777777" w:rsidR="003D013D" w:rsidRPr="00925F26" w:rsidRDefault="003D013D" w:rsidP="00925F26">
      <w:pPr>
        <w:jc w:val="both"/>
        <w:rPr>
          <w:color w:val="000000" w:themeColor="text1"/>
          <w:sz w:val="16"/>
          <w:szCs w:val="16"/>
        </w:rPr>
      </w:pPr>
      <w:r w:rsidRPr="00925F26">
        <w:rPr>
          <w:color w:val="000000" w:themeColor="text1"/>
          <w:sz w:val="16"/>
          <w:szCs w:val="16"/>
        </w:rPr>
        <w:t>За 3 февраля в этом районе наши войска захватили у противника 180 орудий и взяли в плен свыше 1.500 немецких солдат и офицеров.</w:t>
      </w:r>
    </w:p>
    <w:p w14:paraId="50396FFB"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наши войска продолжали бои по уничтожению гарнизона противника, окружённого в западной части города (Буда), и заняли 12 кварталов.</w:t>
      </w:r>
    </w:p>
    <w:p w14:paraId="4689D93C" w14:textId="77777777" w:rsidR="003D013D" w:rsidRPr="00925F26" w:rsidRDefault="003D013D"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315F9F99" w14:textId="77777777" w:rsidR="003D013D" w:rsidRPr="00925F26" w:rsidRDefault="003D013D" w:rsidP="00925F26">
      <w:pPr>
        <w:jc w:val="both"/>
        <w:rPr>
          <w:color w:val="000000" w:themeColor="text1"/>
          <w:sz w:val="16"/>
          <w:szCs w:val="16"/>
        </w:rPr>
      </w:pPr>
      <w:r w:rsidRPr="00925F26">
        <w:rPr>
          <w:color w:val="000000" w:themeColor="text1"/>
          <w:sz w:val="16"/>
          <w:szCs w:val="16"/>
        </w:rPr>
        <w:t>За 3 февраля подбито и уничтожено 120 немецких танков. В воздушных боях и огнём зенитной артиллерии сбито 30 самолётов противника.</w:t>
      </w:r>
    </w:p>
    <w:p w14:paraId="3C7A9164"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Севернее и северо-западнее города Кенигсберг наши стрелковые и танковые части, при поддержке артиллерии, нанесли мощный удар противнику и, стремительно продвинувшись вперёд, вышли на побережье Данцигской бухты. Таким образом, группировка немецких войск, действующая на Земландском полуострове, оказалась расчленённой на две изолированные друг от друга части. Продолжая наращивать удары, наши войска заняли город Гранц на побережье Балтийского моря. Места боёв усеяны трупами гитлеровцев, вражеской техникой и вооружением. Разбитые и деморализованные немецкие части потеряли между собою связь. Советские бойцы прижимают вражеские группы к морю и уничтожают их. Отдельные подразделения противника прекращают сопротивление и складывают оружие. Отмечен ряд случаев, когда немецкие солдаты, перед тем как сдаться в плен, убивают эсэсовцев и офицеров, заставлявших их продолжать борьбу.</w:t>
      </w:r>
    </w:p>
    <w:p w14:paraId="452876E1" w14:textId="77777777" w:rsidR="003D013D" w:rsidRPr="00925F26" w:rsidRDefault="003D013D" w:rsidP="00925F26">
      <w:pPr>
        <w:jc w:val="both"/>
        <w:rPr>
          <w:color w:val="000000" w:themeColor="text1"/>
          <w:sz w:val="16"/>
          <w:szCs w:val="16"/>
        </w:rPr>
      </w:pPr>
      <w:r w:rsidRPr="00925F26">
        <w:rPr>
          <w:color w:val="000000" w:themeColor="text1"/>
          <w:sz w:val="16"/>
          <w:szCs w:val="16"/>
        </w:rPr>
        <w:t>В заливе Курише Гаф наши войска захватили 130 речных судов.</w:t>
      </w:r>
    </w:p>
    <w:p w14:paraId="3C656F81" w14:textId="77777777" w:rsidR="003D013D" w:rsidRPr="00925F26" w:rsidRDefault="003D013D" w:rsidP="00925F26">
      <w:pPr>
        <w:jc w:val="both"/>
        <w:rPr>
          <w:color w:val="000000" w:themeColor="text1"/>
          <w:sz w:val="16"/>
          <w:szCs w:val="16"/>
        </w:rPr>
      </w:pPr>
      <w:r w:rsidRPr="00925F26">
        <w:rPr>
          <w:color w:val="000000" w:themeColor="text1"/>
          <w:sz w:val="16"/>
          <w:szCs w:val="16"/>
        </w:rPr>
        <w:t>Войска З-го Белорусского фронта продолжали успешное наступление. Советские части прорвали долговременную оборону противника и, обойдя с севера и запада город Бартенштайн, отрезали вражескому гарнизону основные пути отхода. После сильного артиллерийского обстрела вражеских укреплений советские пехотинцы перешли в атаку. В ожесточённом уличном бою наши войска разгромили немецкий гарнизон и сегодня овладели городом Бартенштайн — сильно укрепленным опорным пунктом обороны противника. Лишь немногие немецкие солдаты из состава гарнизона города спаслись бегством. Бартенштайн является промышленным городом Восточной Пруссии. В нём имеются машиностроительные и другие предприятия. Наши войска, сломив упорное сопротивление противника, овладели также городом Ландсберг. В течение дня уничтожено несколько тысяч немецких солдат и офицеров. Сожжено и подбито 49 танков и самоходных орудий противника. Захвачено у немцев 8 танков, 23 орудия, 140 пулемётов, 76 автомашин и 8 крупных складов. Взято в плен 600 немецких солдат и офицеров.</w:t>
      </w:r>
    </w:p>
    <w:p w14:paraId="1A737292" w14:textId="77777777" w:rsidR="003D013D" w:rsidRPr="00925F26" w:rsidRDefault="003D013D" w:rsidP="00925F26">
      <w:pPr>
        <w:jc w:val="both"/>
        <w:rPr>
          <w:color w:val="000000" w:themeColor="text1"/>
          <w:sz w:val="16"/>
          <w:szCs w:val="16"/>
        </w:rPr>
      </w:pPr>
      <w:r w:rsidRPr="00925F26">
        <w:rPr>
          <w:color w:val="000000" w:themeColor="text1"/>
          <w:sz w:val="16"/>
          <w:szCs w:val="16"/>
        </w:rPr>
        <w:t xml:space="preserve">Севернее города Франкфурт-на-Одере наши пехотинцы и танкисты стремительно продвинулись вперёд на 20 километров. Заняты важные узлы дорог и опорные пункты немцев города Нойдамм и Бэрвальде. Противник подтянул свежие резервы и с хода, бросил их в бой. В ожесточённом бою советские части разгромили </w:t>
      </w:r>
      <w:r w:rsidRPr="00925F26">
        <w:rPr>
          <w:color w:val="000000" w:themeColor="text1"/>
          <w:sz w:val="16"/>
          <w:szCs w:val="16"/>
        </w:rPr>
        <w:lastRenderedPageBreak/>
        <w:t>немецкую пехотную дивизию, только что прибывшую на фронт. Юго-восточнее Франкфурта-на-Одере наши войска вели бои в обширном лесном районе, изобилующем болотами и озёрами. Используя выгодную для обороны местность, гитлеровцы оказывали упорное сопротивление. Советские части преодолели укреплённый район противника и, развивая успех, овладели городом Цибинген, находящимся в 6 километрах восточнее реки Одер. За день боёв немцы потеряли только убитыми до 5 тысяч солдат и офицеров.</w:t>
      </w:r>
    </w:p>
    <w:p w14:paraId="59FF022F"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в западной части города (Буда), наши войска вели бои по уничтожению окружённой группировки противника. Советские штурмовые группы, преодолевая на своём пути многочисленные баррикады, минные и проволочные заграждения, продолжают теснить противника. Очищено от гитлеровцев несколько кварталов. В результате упорного боя нашими подразделениями занято здание Промышленно-технологического музея, превращенного немцами в опорный пункт обороны. Взято в плен 340 немецких и венгерских солдат и офицеров.</w:t>
      </w:r>
    </w:p>
    <w:p w14:paraId="2703B94A" w14:textId="77777777" w:rsidR="003D013D" w:rsidRPr="00925F26" w:rsidRDefault="003D013D" w:rsidP="00925F26">
      <w:pPr>
        <w:jc w:val="both"/>
        <w:rPr>
          <w:color w:val="000000" w:themeColor="text1"/>
          <w:sz w:val="16"/>
          <w:szCs w:val="16"/>
        </w:rPr>
      </w:pPr>
      <w:r w:rsidRPr="00925F26">
        <w:rPr>
          <w:color w:val="000000" w:themeColor="text1"/>
          <w:sz w:val="16"/>
          <w:szCs w:val="16"/>
        </w:rPr>
        <w:t>На 1-м Украинском фронте взят в плен начальник штаба 42-го немецкого армейского корпуса полковник Драбих Вехтер. Пленный заявил: «Немецкое командование принимало отчаянные меры, чтобы остановить наступление русских войск, но не смогло изменить ход событий. Германия войну проиграла. Гигантское и успешное наступление Красной Армии ускоряет окончание войны и день крушения Германии».</w:t>
      </w:r>
    </w:p>
    <w:p w14:paraId="54E81B28" w14:textId="77777777" w:rsidR="003D013D" w:rsidRPr="00925F26" w:rsidRDefault="003D013D" w:rsidP="00925F26">
      <w:pPr>
        <w:jc w:val="both"/>
        <w:rPr>
          <w:color w:val="000000" w:themeColor="text1"/>
          <w:sz w:val="16"/>
          <w:szCs w:val="16"/>
        </w:rPr>
      </w:pPr>
      <w:r w:rsidRPr="00925F26">
        <w:rPr>
          <w:color w:val="000000" w:themeColor="text1"/>
          <w:sz w:val="16"/>
          <w:szCs w:val="16"/>
        </w:rPr>
        <w:t>Советским войскам сдался в полном составе 242-й немецкий батальон во главе со своим командиром капитаном Карлом Дрендель. Пленный капитан сообщил: «242-й батальон сформирован в начале января и через десять дней был послан на фронт. По дороге к месту назначения мы расположились на ночлег в здании школы. Ночью в селе поднялась тревога, послышались выстрелы. Солдаты заволновались. Я успокоил их и приказал сидеть и ждать, пока обстановка прояснится. Вскоре русские подошли совсем близко. Было уже поздно что-либо предпринимать. Весь батальон сложил оружие и сдался в плен» (15030).</w:t>
      </w:r>
    </w:p>
    <w:p w14:paraId="6766AE1D" w14:textId="77777777" w:rsidR="003D013D" w:rsidRPr="00925F26" w:rsidRDefault="003D013D" w:rsidP="00925F26">
      <w:pPr>
        <w:jc w:val="both"/>
        <w:rPr>
          <w:color w:val="000000" w:themeColor="text1"/>
          <w:sz w:val="16"/>
          <w:szCs w:val="16"/>
        </w:rPr>
      </w:pPr>
    </w:p>
    <w:p w14:paraId="69326D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г. на аэродроме в Хебе Власов устроил смотр своей авиации. Среди отмеченных в тот день его приказом были майоры С.Т.Бычков, А.Меттль, Ильюхин, капитаны Б.Р.Антилевский, С.Артемов, К.Арзамасцев, Науменко, Д.Соколов, старшие лейтенанты Кузнецов, П.Песиголовец, В.Шиян, поручики А.Алексеев, П.Воронин, А.Григорьев, И.Ляхов, Н.Лушпаев, В.Пискунов, М.Сашин, П.Сердюк, А.Скобченко, О.Соколов, В.Строкун, Н.Щербина, Г.Школьный и А.Ярославец. Из числа новичков, недавно попавших в РОА, в приказе упоминались капитаны А.Иванов, В.Микушев, старший лейтенант И.Стежар, лейтенанты И.Бачурин, В.Беликин, В.Грилев, А.Новосель-цев, И.Петров. И.Попонин, В.Рвачев, В.Сининых, Е.Табулия, Н.Чебукин. С.Чургин, Г.Хамитов и другие. По этому случаю журнал “Наши крылья” в номере от 22 марта 1945 писал: "...стоя плечом к плечу со свободомыслящим русским человеком и всем миром, открыто заявляем: мы. лучшие из летчиков, вступаем в ряды РОА и даем торжественную присягу - все свои силы</w:t>
      </w:r>
      <w:proofErr w:type="gramStart"/>
      <w:r w:rsidRPr="00925F26">
        <w:rPr>
          <w:color w:val="000000" w:themeColor="text1"/>
          <w:sz w:val="16"/>
          <w:szCs w:val="16"/>
        </w:rPr>
        <w:t>.</w:t>
      </w:r>
      <w:proofErr w:type="gramEnd"/>
      <w:r w:rsidRPr="00925F26">
        <w:rPr>
          <w:color w:val="000000" w:themeColor="text1"/>
          <w:sz w:val="16"/>
          <w:szCs w:val="16"/>
        </w:rPr>
        <w:t xml:space="preserve"> а если понадобится, то и жизнь, отдать за освобождение нашей страны от большевизма. Мы ждем лишь приказа, чтобы взять в руки штурвал самолета и направить наши машины в бой за светлое будущее...” (4538).</w:t>
      </w:r>
    </w:p>
    <w:p w14:paraId="4EA1539F" w14:textId="77777777" w:rsidR="00C2313B" w:rsidRPr="00925F26" w:rsidRDefault="00C2313B" w:rsidP="00925F26">
      <w:pPr>
        <w:autoSpaceDE w:val="0"/>
        <w:autoSpaceDN w:val="0"/>
        <w:adjustRightInd w:val="0"/>
        <w:jc w:val="both"/>
        <w:rPr>
          <w:color w:val="000000" w:themeColor="text1"/>
          <w:sz w:val="16"/>
          <w:szCs w:val="16"/>
        </w:rPr>
      </w:pPr>
    </w:p>
    <w:p w14:paraId="1E11EAB5" w14:textId="77777777" w:rsidR="00A524F6" w:rsidRPr="00925F26" w:rsidRDefault="00A524F6"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065E378" w14:textId="77777777" w:rsidR="00A524F6" w:rsidRPr="00925F26" w:rsidRDefault="00A524F6" w:rsidP="00925F26">
      <w:pPr>
        <w:autoSpaceDE w:val="0"/>
        <w:autoSpaceDN w:val="0"/>
        <w:adjustRightInd w:val="0"/>
        <w:jc w:val="both"/>
        <w:rPr>
          <w:iCs/>
          <w:color w:val="000000" w:themeColor="text1"/>
          <w:sz w:val="16"/>
          <w:szCs w:val="16"/>
        </w:rPr>
      </w:pPr>
    </w:p>
    <w:p w14:paraId="4FD43188" w14:textId="77777777" w:rsidR="00A524F6" w:rsidRPr="00925F26" w:rsidRDefault="00A524F6" w:rsidP="00925F26">
      <w:pPr>
        <w:jc w:val="both"/>
        <w:rPr>
          <w:color w:val="000000" w:themeColor="text1"/>
          <w:sz w:val="16"/>
          <w:szCs w:val="16"/>
        </w:rPr>
      </w:pPr>
      <w:r w:rsidRPr="00925F26">
        <w:rPr>
          <w:color w:val="000000" w:themeColor="text1"/>
          <w:sz w:val="16"/>
          <w:szCs w:val="16"/>
        </w:rPr>
        <w:t>4 февраля 1945. В Богоявленском кафедральном соборе, что в Елохове, за торжественной литургией состоялась интронизация вновь избранного патриарха Московского и всея Руси Алексия (18688).</w:t>
      </w:r>
    </w:p>
    <w:p w14:paraId="1A7D1E6D" w14:textId="77777777" w:rsidR="00A524F6" w:rsidRPr="00925F26" w:rsidRDefault="00A524F6" w:rsidP="00925F26">
      <w:pPr>
        <w:jc w:val="both"/>
        <w:rPr>
          <w:color w:val="000000" w:themeColor="text1"/>
          <w:sz w:val="16"/>
          <w:szCs w:val="16"/>
        </w:rPr>
      </w:pPr>
    </w:p>
    <w:p w14:paraId="4D05044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481F8F9" w14:textId="77777777" w:rsidR="00C2313B" w:rsidRPr="00925F26" w:rsidRDefault="00C2313B" w:rsidP="00925F26">
      <w:pPr>
        <w:autoSpaceDE w:val="0"/>
        <w:autoSpaceDN w:val="0"/>
        <w:adjustRightInd w:val="0"/>
        <w:jc w:val="both"/>
        <w:rPr>
          <w:iCs/>
          <w:color w:val="000000" w:themeColor="text1"/>
          <w:sz w:val="16"/>
          <w:szCs w:val="16"/>
        </w:rPr>
      </w:pPr>
    </w:p>
    <w:p w14:paraId="193958DA"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в Ялте началась Крымская конференция глав США, СССР и Британии (4962).</w:t>
      </w:r>
    </w:p>
    <w:p w14:paraId="4812685B"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53A37A4"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4 February 1945 (4-10-February) Conference in Yalta, Crimea with Churchill, Stalin and Roosevelt (270).</w:t>
      </w:r>
    </w:p>
    <w:p w14:paraId="2575341F"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Main results: Plans for dealing with defeat of Germany; policy for postwar Europe; agreement on forming a United Nations organization; agreement on conditions under which Russia would enter war against Japan (1052).</w:t>
      </w:r>
    </w:p>
    <w:p w14:paraId="1C5D3CD1" w14:textId="77777777" w:rsidR="00C2313B" w:rsidRPr="00925F26" w:rsidRDefault="00C2313B" w:rsidP="00925F26">
      <w:pPr>
        <w:autoSpaceDE w:val="0"/>
        <w:autoSpaceDN w:val="0"/>
        <w:adjustRightInd w:val="0"/>
        <w:jc w:val="both"/>
        <w:rPr>
          <w:color w:val="000000" w:themeColor="text1"/>
          <w:sz w:val="16"/>
          <w:szCs w:val="16"/>
          <w:lang w:val="en-US"/>
        </w:rPr>
      </w:pPr>
    </w:p>
    <w:p w14:paraId="3FF2D03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4 по 10 февраля 1944 состоялась Ялтинская конференция на высшем уровне, в которой приняли участие Ф.Д.Р., У.Черчиль и И.В.С. (270). Рассматривали вопросы послевоенного устройства Европы, соглашение о создании ООН и условия вступления СССР в войну с Японией (1052).</w:t>
      </w:r>
    </w:p>
    <w:p w14:paraId="612A30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Одним из последних заданий черноморской авиации была защита участников Ялтинской конференции, которая проходила с 4 по 11 февраля 1945. Флот выделил для защиты Ялты пять полков, а ВВС - два полка. Днем над Ялтой кружило по 140-170 истребителей, а ночью - 48. Всего на боевом дежурстве находилось 119 пилотов, способных летать ночью (2691).</w:t>
      </w:r>
    </w:p>
    <w:p w14:paraId="2A86637F" w14:textId="77777777" w:rsidR="00C2313B" w:rsidRPr="00925F26" w:rsidRDefault="00C2313B" w:rsidP="00925F26">
      <w:pPr>
        <w:autoSpaceDE w:val="0"/>
        <w:autoSpaceDN w:val="0"/>
        <w:adjustRightInd w:val="0"/>
        <w:jc w:val="both"/>
        <w:rPr>
          <w:color w:val="000000" w:themeColor="text1"/>
          <w:sz w:val="16"/>
          <w:szCs w:val="16"/>
        </w:rPr>
      </w:pPr>
    </w:p>
    <w:p w14:paraId="00A3C75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4-11 февраля 1945 г. состоялась Ялтинская (Крымская) конференция Большой Тройки. Перед Ялтой британская и американская делегации встретились на Мальте; это, однако, не сняло ряда противоречий. Рузвельт был твердо намерен вести сотрудничество с СССР. По его мнению, СССР, в отличие от Великобритании, не был империалистической державой, а Рузвельт считал ликвидацию колониальной системы одним из приоритетов послевоенного урегулирования. Рузвельт вел сложную дипломатическую игру: с одной стороны, Великобритания продолжала оставаться его ближайшим союзником, и атомный проект осуществлялся с ведома Лондона, но в тайне от Москвы; с другой стороны, советско-американское сотрудничество, на взгляд президента, позволяло осуществлять глобальное регулирование системы международных отношений.</w:t>
      </w:r>
    </w:p>
    <w:p w14:paraId="26243EE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Большая Тройка вернулась к вопросу о судьбе Германии. Черчиль предложил отделить от Германии Пруссию и образовать южно-германское государство со столицей в Вене. Сталин и Рузвельт согласились с тем, что Германия должна быть расчленена. Однако, приняв это решение, конференция не установила процедуру расчленения или хотя бы его примерные территориальные контуры.</w:t>
      </w:r>
    </w:p>
    <w:p w14:paraId="578D46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Рузвельт и Черчиль предложили предоставить Франции зону оккупации в Германии, причем Рузвельт подчеркнул, что американские войска не останутся в Европе дольше двух лет. Однако Сталин не хотел включать Францию в Контрольную Комиссию, и Рузвельт поначалу с готовностью с ним согласился. Ни Рузвельт, ни Сталин включать Францию в число великих держав не хотели. Однако в конце концов Рузвельт заявил, что если включить Францию в Контрольную Комиссию, то это заставит де Голля быть более уступчивым. Сталин, которому пошли навстречу в других вопросах, согласился.</w:t>
      </w:r>
    </w:p>
    <w:p w14:paraId="61E434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Советская сторона подняла вопрос о репарациях, предлагая две формы их: вывоз оборудования и ежегодные платежи. Она также предложила создать комиссию по репарациям в Москве. Однако конечная сумма репараций установлена не была. На последнем настаивала британская сторона; Рузвельт же благожелательно воспринял советское предложение определить общую сумму репараций в 20 миллиардов долларов, из которых 50 процентов должны были быть выплачены Советскому Союзу.</w:t>
      </w:r>
    </w:p>
    <w:p w14:paraId="0AB891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Усеченное советское предложение о членстве советских республик в ООН было принято, однако их число было ограничено двумя (Молотов предлагал две-три - Украину, Белоруссию и Литву, мотивируя это тем, что Британское Содружество представлено в полном составе). Было решено провести учредительную конференцию ООН в США в апреле. Советская сторона согласилась с американским предложением, согласно которому постоянный член Совета Безопасности не мог голосовать, если вопрос касался его. Рузвельт воспринял советскую уступку с воодушевлением.</w:t>
      </w:r>
    </w:p>
    <w:p w14:paraId="65A9EF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Рузвельт серьезно относился к принципу опеки ООН над колониальными территориями. Когда американская сторона представила соответствующий документ в Ялте, Черчиль вознегодовал. Он заявил, что не допустит вмешательства в дела Британской империи. Как, вопрошал Черчиль, апеллируя к СССР, отнесся бы Сталин к предложению интернационализировать Крым? Американская сторона, отступая, заявила, что в виду имелись территории, отвоеванные у врага, - например, острова в Тихом океане. Согласились на том, что американское предложение распространяется на подмандатные территории Лиги Наций, территории, отобранные у противника, и территории, которые добровольно согласятся на надзор ООН.</w:t>
      </w:r>
    </w:p>
    <w:p w14:paraId="4359406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Конференция обсудила ряд вопросов, связанных с малыми европейскими государствами. Сталин не оспаривал британо-американского контроля над Италией, в которой все еще шли бои.</w:t>
      </w:r>
    </w:p>
    <w:p w14:paraId="5209AE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Ялте был, в общем, подтвержден паритет СССР и Великобритании в отношении Югославии, хотя практическое урегулирование ситуации в Югославии было предусмотрено не так, как его хотел видеть Черчиль. Черчиля беспокоило также территориальное урегулирование между Югославией и Австрией и Югославией и Италией. В Ялте было решено, что эти проблемы будут обсуждаться по обычным дипломатическим каналам.</w:t>
      </w:r>
    </w:p>
    <w:p w14:paraId="586DC0F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Аналогичное решение было принято и по жалобам американской и британской сторон на то, что СССР не консультировался с ними в решении политических проблем Румынии и Болгарии. Ситуация в Венгрии, где советская сторона опять-таки исключила западных союзников из процесса политического урегулирования, подробно не обсуждалась.</w:t>
      </w:r>
    </w:p>
    <w:p w14:paraId="05915C3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общем, в Ялте de facto подразумевалось, что вся Восточная Европа остается в советской сфере влияния. Это было отходом от "процентной дипломатии", однако Великобритания могла надеяться на некоторую корректировку советской позиции в ходе послевоенного урегулирования.</w:t>
      </w:r>
    </w:p>
    <w:p w14:paraId="348A72B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Американская сторона представила в Ялте документ, названный "Декларация об освобожденной Европе". Она основывалась на тех же демократических принципах, что и предшествующие документы того же порядка. Главы союзных правительств, в частности, обязались согласовывать друг с другом свою политику по разрешению демократическими методами политических и экономических проблем освобожденных стран в период "временной" нестабильности. Союзники обязались создавать условия для установления демократических форм правления через свободные выборы. Декларация была принята. Однако она оставалась голословным документом, не имеющим практической ценности.</w:t>
      </w:r>
    </w:p>
    <w:p w14:paraId="3E5F585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Без всякого энтузиазма участники конференции взялись обсуждать польский вопрос. К этому времени просоветское правительство уже перебралось в Варшаву из Люблина, но по-прежнему именовалось западными державами "люблинским".</w:t>
      </w:r>
    </w:p>
    <w:p w14:paraId="6ACD634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Рузвельт, поддержанный Черчилем, предложил, чтобы СССР вернул Польше Львов. Однако и Рузвельта, и Черчиля вопрос о польских границах занимал не слишком; польская независимость - вот что стояло на повестке дня. Сталин повторил свою позицию: западная граница Польши должна быть передвинута, восточная - проходить по линии Керзона, варшавское правительство с польским лондонским дела иметь не будет. Черчиль заявил, что, по его сведению, люблинское правительство представляет взгляды не больше трети поляков, и ситуация может привести к кровопролитию, арестам и депортациям. Сталин согласился на включение в польское временное правительство некоторых "демократических" лидеров из польских эмигрантских кругов.</w:t>
      </w:r>
    </w:p>
    <w:p w14:paraId="6466EB9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Рузвельт предлагал создание президентского совета в Польше, состоящего из представителей различных сил, который бы сформировал польское правительство, однако вскоре снял свое предложение. Последовали долгие дискуссии. В конечном счете было решено реорганизовать временное польское правительство на "широкой демократической основе" и провести как можно скорее свободные выборы. Все три державы обязались установить дипломатические отношения с реорганизованным правительством. Восточная граница Польши определялась по линии Керзона; территориальные приращения за счет Германии были упомянуты расплывчато. Окончательное определение западной границы Польши откладывалось до мирной конференции.</w:t>
      </w:r>
    </w:p>
    <w:p w14:paraId="5B69EF3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Было заключено соглашение по вступлению СССР в войну против Японии через два-три месяца после окончания войны в Европе. В ходе раздельных переговоров Сталина с Рузвельтом и Черчилем была достигнута договоренность об усилении позиций СССР на Дальнем Востоке. Сталин выдвинул следующие условия: сохранение статуса Монголии, возвращение России Южного Сахалина и прилегающих островов, интернационализация порта Далянь (Дальний), восстановление военно-морской базы в Порт-Артуре, совместное советско-китайское владение КВЖД и ЮМЖД, передача СССР Курильских островов. По всем этим вопросам с западной стороны инициатива уступки принадлежала Рузвельту (3871).</w:t>
      </w:r>
    </w:p>
    <w:p w14:paraId="0A0B74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Общая стоимость претензий СССР к Германии составляла 750 млрд. Долл., но И.В.С. ее не озвучил, т.к. запад мог обвинить его в приказе все сжигать перед отступлением (4301).</w:t>
      </w:r>
    </w:p>
    <w:p w14:paraId="7479FEA5" w14:textId="77777777" w:rsidR="00C2313B" w:rsidRPr="00925F26" w:rsidRDefault="00C2313B" w:rsidP="00925F26">
      <w:pPr>
        <w:autoSpaceDE w:val="0"/>
        <w:autoSpaceDN w:val="0"/>
        <w:adjustRightInd w:val="0"/>
        <w:jc w:val="both"/>
        <w:rPr>
          <w:color w:val="000000" w:themeColor="text1"/>
          <w:sz w:val="16"/>
          <w:szCs w:val="16"/>
        </w:rPr>
      </w:pPr>
    </w:p>
    <w:p w14:paraId="072AFB21" w14:textId="77777777" w:rsidR="003D013D" w:rsidRPr="00925F26" w:rsidRDefault="003D013D" w:rsidP="00925F26">
      <w:pPr>
        <w:jc w:val="both"/>
        <w:rPr>
          <w:color w:val="000000" w:themeColor="text1"/>
          <w:sz w:val="16"/>
          <w:szCs w:val="16"/>
        </w:rPr>
      </w:pPr>
      <w:r w:rsidRPr="00925F26">
        <w:rPr>
          <w:bCs/>
          <w:color w:val="000000" w:themeColor="text1"/>
          <w:sz w:val="16"/>
          <w:szCs w:val="16"/>
        </w:rPr>
        <w:t>4 февраля</w:t>
      </w:r>
      <w:r w:rsidRPr="00925F26">
        <w:rPr>
          <w:color w:val="000000" w:themeColor="text1"/>
          <w:sz w:val="16"/>
          <w:szCs w:val="16"/>
        </w:rPr>
        <w:t xml:space="preserve"> в 1945 году в Ливадии под Ялтой открылась Конференция глав правительств трех великих держав антигитлеровской коалиции во Второй мировой войне - СССР, США и Великобритании. Конференция проходила до 11 февраля 1945 года. В ее работе приняли участие Председатель Совета Народных Комиссаров И.В.Сталин, Президент США Ф.Рузвельт, и премьер-министр Великобритании У.Черчилль, министры иностранных дел трех держав В.Молотов, Э.Стеттиниус, А.Иден, представители генеральных штабов. На Крымской (Ялтинской) конференции были определены и согласованы военные планы союзников и намечены основные принципы послевоенной политики с целью создания прочного мира и системы международной безопасности. Участники Крымской конференции объявили своей целью уничтожение германского милитаризма и нацизма, приняли решения о создании в Германии зон оккупации трёх держав (а также Франции, в случае её согласия) и общегерманского контрольного органа союзных держав, о взыскании с Германии репараций, о создании ООН и др. СССР выразил согласие вступить в войну против Японии через 2—3 месяца после окончания войны в Европе (15030).</w:t>
      </w:r>
    </w:p>
    <w:p w14:paraId="16F0C5C8" w14:textId="77777777" w:rsidR="003D013D" w:rsidRPr="00925F26" w:rsidRDefault="003D013D" w:rsidP="00925F26">
      <w:pPr>
        <w:jc w:val="both"/>
        <w:rPr>
          <w:color w:val="000000" w:themeColor="text1"/>
          <w:sz w:val="16"/>
          <w:szCs w:val="16"/>
        </w:rPr>
      </w:pPr>
    </w:p>
    <w:p w14:paraId="2DE0444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FA726BE" w14:textId="77777777" w:rsidR="00C2313B" w:rsidRPr="00925F26" w:rsidRDefault="00C2313B" w:rsidP="00925F26">
      <w:pPr>
        <w:autoSpaceDE w:val="0"/>
        <w:autoSpaceDN w:val="0"/>
        <w:adjustRightInd w:val="0"/>
        <w:jc w:val="both"/>
        <w:rPr>
          <w:iCs/>
          <w:color w:val="000000" w:themeColor="text1"/>
          <w:sz w:val="16"/>
          <w:szCs w:val="16"/>
        </w:rPr>
      </w:pPr>
    </w:p>
    <w:p w14:paraId="1A85F22F" w14:textId="77777777" w:rsidR="003D013D" w:rsidRPr="00925F26" w:rsidRDefault="003D013D" w:rsidP="00925F26">
      <w:pPr>
        <w:jc w:val="both"/>
        <w:rPr>
          <w:color w:val="000000" w:themeColor="text1"/>
          <w:sz w:val="16"/>
          <w:szCs w:val="16"/>
        </w:rPr>
      </w:pPr>
      <w:r w:rsidRPr="00925F26">
        <w:rPr>
          <w:bCs/>
          <w:color w:val="000000" w:themeColor="text1"/>
          <w:sz w:val="16"/>
          <w:szCs w:val="16"/>
        </w:rPr>
        <w:t>4 февраля</w:t>
      </w:r>
      <w:r w:rsidRPr="00925F26">
        <w:rPr>
          <w:color w:val="000000" w:themeColor="text1"/>
          <w:sz w:val="16"/>
          <w:szCs w:val="16"/>
        </w:rPr>
        <w:t xml:space="preserve"> в 1945 году во время полета на «Не.162М6» оторвалось хвостовое оперение, летчик Г.Вейдемейер погиб (15030).</w:t>
      </w:r>
    </w:p>
    <w:p w14:paraId="1FA8C088" w14:textId="77777777" w:rsidR="003D013D" w:rsidRPr="00925F26" w:rsidRDefault="003D013D" w:rsidP="00925F26">
      <w:pPr>
        <w:jc w:val="both"/>
        <w:rPr>
          <w:color w:val="000000" w:themeColor="text1"/>
          <w:sz w:val="16"/>
          <w:szCs w:val="16"/>
        </w:rPr>
      </w:pPr>
    </w:p>
    <w:p w14:paraId="3518EF35" w14:textId="77777777" w:rsidR="000510C1" w:rsidRPr="00925F26" w:rsidRDefault="000510C1" w:rsidP="00925F26">
      <w:pPr>
        <w:jc w:val="both"/>
        <w:rPr>
          <w:color w:val="000000" w:themeColor="text1"/>
          <w:sz w:val="16"/>
          <w:szCs w:val="16"/>
        </w:rPr>
      </w:pPr>
      <w:r w:rsidRPr="00925F26">
        <w:rPr>
          <w:color w:val="000000" w:themeColor="text1"/>
          <w:sz w:val="16"/>
          <w:szCs w:val="16"/>
        </w:rPr>
        <w:t>4 февраля 1945 реактивный истребитель Gloster Meteor F.3 Королевских ВВС отправляется в Мельсбрук в Бельгии для работы в составе ВВС (20371).</w:t>
      </w:r>
    </w:p>
    <w:p w14:paraId="189D95A1" w14:textId="77777777" w:rsidR="000510C1" w:rsidRPr="00925F26" w:rsidRDefault="000510C1" w:rsidP="00925F26">
      <w:pPr>
        <w:jc w:val="both"/>
        <w:rPr>
          <w:color w:val="000000" w:themeColor="text1"/>
          <w:sz w:val="16"/>
          <w:szCs w:val="16"/>
        </w:rPr>
      </w:pPr>
    </w:p>
    <w:p w14:paraId="27EED18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Бельгия полностью освобождена от фашистов (4962).</w:t>
      </w:r>
    </w:p>
    <w:p w14:paraId="0FE85999"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FC1EF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немцы эвакуировались из Бельгии (2100).</w:t>
      </w:r>
    </w:p>
    <w:p w14:paraId="2E03DAE4" w14:textId="77777777" w:rsidR="00C2313B" w:rsidRPr="00925F26" w:rsidRDefault="00C2313B" w:rsidP="00925F26">
      <w:pPr>
        <w:autoSpaceDE w:val="0"/>
        <w:autoSpaceDN w:val="0"/>
        <w:adjustRightInd w:val="0"/>
        <w:jc w:val="both"/>
        <w:rPr>
          <w:color w:val="000000" w:themeColor="text1"/>
          <w:sz w:val="16"/>
          <w:szCs w:val="16"/>
        </w:rPr>
      </w:pPr>
    </w:p>
    <w:p w14:paraId="64F12D99"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февраля 1945 находившийся в тюремном госпитале в Уэльсе, бывший заместитель Гитлера Рудольф Гесс попытался вскрыть себе вены хлебным ножом (4962).</w:t>
      </w:r>
    </w:p>
    <w:p w14:paraId="136F3F7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2DE1AB5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февраля 1945 на ТО американские бомбардировщики проведи экспериментальную бомбардировку Кобе с низкой высоты зажигательными бомбами и потом стали применять широко (3907,255).</w:t>
      </w:r>
    </w:p>
    <w:p w14:paraId="4577FC68" w14:textId="77777777" w:rsidR="00C2313B" w:rsidRPr="00925F26" w:rsidRDefault="00C2313B" w:rsidP="00925F26">
      <w:pPr>
        <w:autoSpaceDE w:val="0"/>
        <w:autoSpaceDN w:val="0"/>
        <w:adjustRightInd w:val="0"/>
        <w:jc w:val="both"/>
        <w:rPr>
          <w:color w:val="000000" w:themeColor="text1"/>
          <w:sz w:val="16"/>
          <w:szCs w:val="16"/>
        </w:rPr>
      </w:pPr>
    </w:p>
    <w:p w14:paraId="271AF1A8" w14:textId="77777777" w:rsidR="003D013D" w:rsidRPr="00925F26" w:rsidRDefault="003D013D" w:rsidP="00925F26">
      <w:pPr>
        <w:jc w:val="both"/>
        <w:rPr>
          <w:color w:val="000000" w:themeColor="text1"/>
          <w:sz w:val="16"/>
          <w:szCs w:val="16"/>
        </w:rPr>
      </w:pPr>
      <w:r w:rsidRPr="00925F26">
        <w:rPr>
          <w:bCs/>
          <w:color w:val="000000" w:themeColor="text1"/>
          <w:sz w:val="16"/>
          <w:szCs w:val="16"/>
        </w:rPr>
        <w:t>4 февраля</w:t>
      </w:r>
      <w:r w:rsidRPr="00925F26">
        <w:rPr>
          <w:color w:val="000000" w:themeColor="text1"/>
          <w:sz w:val="16"/>
          <w:szCs w:val="16"/>
        </w:rPr>
        <w:t xml:space="preserve"> в 1945 году на Тихом океане американские бомбардировщики проводят "экспериментальную" бомбардировку японского города Кобе с низкой высоты зажигательными бомбами. Успех операции дает основание для применения этого способа бомбометания в возрастающем масштабе при налетах на другие японские города (15030).</w:t>
      </w:r>
    </w:p>
    <w:p w14:paraId="4FB585A2" w14:textId="77777777" w:rsidR="003D013D" w:rsidRPr="00925F26" w:rsidRDefault="003D013D" w:rsidP="00925F26">
      <w:pPr>
        <w:jc w:val="both"/>
        <w:rPr>
          <w:color w:val="000000" w:themeColor="text1"/>
          <w:sz w:val="16"/>
          <w:szCs w:val="16"/>
        </w:rPr>
      </w:pPr>
    </w:p>
    <w:p w14:paraId="6DDCAB27" w14:textId="77777777" w:rsidR="000510C1" w:rsidRPr="00925F26" w:rsidRDefault="000510C1" w:rsidP="00925F26">
      <w:pPr>
        <w:jc w:val="both"/>
        <w:rPr>
          <w:color w:val="000000" w:themeColor="text1"/>
          <w:sz w:val="16"/>
          <w:szCs w:val="16"/>
        </w:rPr>
      </w:pPr>
      <w:r w:rsidRPr="00925F26">
        <w:rPr>
          <w:color w:val="000000" w:themeColor="text1"/>
          <w:sz w:val="16"/>
          <w:szCs w:val="16"/>
        </w:rPr>
        <w:t>4 февраля 1945 британский Тихоокеанский флот прибывает в Фримантл, Австралия (20371).</w:t>
      </w:r>
    </w:p>
    <w:p w14:paraId="459EF798" w14:textId="77777777" w:rsidR="000510C1" w:rsidRPr="00925F26" w:rsidRDefault="000510C1" w:rsidP="00925F26">
      <w:pPr>
        <w:jc w:val="both"/>
        <w:rPr>
          <w:color w:val="000000" w:themeColor="text1"/>
          <w:sz w:val="16"/>
          <w:szCs w:val="16"/>
        </w:rPr>
      </w:pPr>
    </w:p>
    <w:p w14:paraId="01D47C4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FAFB2BD" w14:textId="77777777" w:rsidR="00C2313B" w:rsidRPr="00925F26" w:rsidRDefault="00C2313B" w:rsidP="00925F26">
      <w:pPr>
        <w:autoSpaceDE w:val="0"/>
        <w:autoSpaceDN w:val="0"/>
        <w:adjustRightInd w:val="0"/>
        <w:jc w:val="both"/>
        <w:rPr>
          <w:iCs/>
          <w:color w:val="000000" w:themeColor="text1"/>
          <w:sz w:val="16"/>
          <w:szCs w:val="16"/>
        </w:rPr>
      </w:pPr>
    </w:p>
    <w:p w14:paraId="2268D06F" w14:textId="77777777" w:rsidR="0032140A" w:rsidRPr="00925F26" w:rsidRDefault="0032140A" w:rsidP="00925F26">
      <w:pPr>
        <w:jc w:val="both"/>
        <w:rPr>
          <w:color w:val="000000" w:themeColor="text1"/>
          <w:sz w:val="16"/>
          <w:szCs w:val="16"/>
        </w:rPr>
      </w:pPr>
      <w:r w:rsidRPr="00925F26">
        <w:rPr>
          <w:color w:val="000000" w:themeColor="text1"/>
          <w:sz w:val="16"/>
          <w:szCs w:val="16"/>
        </w:rPr>
        <w:t>5 февраля 1945 г. директор завода №125 Свет обратился в НИИ ВВС с просьбой дать согласие на изготовление гомогенной брони толщиной 15 и 8 мм из стали ХД (содержание углерода 0,28-0,34%). Эту сталь предполага</w:t>
      </w:r>
      <w:r w:rsidRPr="00925F26">
        <w:rPr>
          <w:color w:val="000000" w:themeColor="text1"/>
          <w:sz w:val="16"/>
          <w:szCs w:val="16"/>
        </w:rPr>
        <w:softHyphen/>
        <w:t>лось выпускать вплоть до решения вопроса о принятии на вооружение новых марок стали и освоения их заводами Наркомчермета и НКАП.</w:t>
      </w:r>
    </w:p>
    <w:p w14:paraId="2A10FFA7" w14:textId="77777777" w:rsidR="0032140A" w:rsidRPr="00925F26" w:rsidRDefault="0032140A" w:rsidP="00925F26">
      <w:pPr>
        <w:jc w:val="both"/>
        <w:rPr>
          <w:color w:val="000000" w:themeColor="text1"/>
          <w:sz w:val="16"/>
          <w:szCs w:val="16"/>
        </w:rPr>
      </w:pPr>
      <w:r w:rsidRPr="00925F26">
        <w:rPr>
          <w:color w:val="000000" w:themeColor="text1"/>
          <w:sz w:val="16"/>
          <w:szCs w:val="16"/>
        </w:rPr>
        <w:t>Одновременно он просил включить сталь ХД-693 в программу государственных испы</w:t>
      </w:r>
      <w:r w:rsidRPr="00925F26">
        <w:rPr>
          <w:color w:val="000000" w:themeColor="text1"/>
          <w:sz w:val="16"/>
          <w:szCs w:val="16"/>
        </w:rPr>
        <w:softHyphen/>
        <w:t xml:space="preserve">таний новых марок гомогенной авиаброни для всех толщин бронекорпуса Ил-2 и </w:t>
      </w:r>
      <w:proofErr w:type="gramStart"/>
      <w:r w:rsidRPr="00925F26">
        <w:rPr>
          <w:color w:val="000000" w:themeColor="text1"/>
          <w:sz w:val="16"/>
          <w:szCs w:val="16"/>
        </w:rPr>
        <w:t>бронезащи- ты</w:t>
      </w:r>
      <w:proofErr w:type="gramEnd"/>
      <w:r w:rsidRPr="00925F26">
        <w:rPr>
          <w:color w:val="000000" w:themeColor="text1"/>
          <w:sz w:val="16"/>
          <w:szCs w:val="16"/>
        </w:rPr>
        <w:t xml:space="preserve"> других самолетов.</w:t>
      </w:r>
    </w:p>
    <w:p w14:paraId="692C6E86" w14:textId="77777777" w:rsidR="0032140A" w:rsidRPr="00925F26" w:rsidRDefault="0032140A" w:rsidP="00925F26">
      <w:pPr>
        <w:jc w:val="both"/>
        <w:rPr>
          <w:color w:val="000000" w:themeColor="text1"/>
          <w:sz w:val="16"/>
          <w:szCs w:val="16"/>
        </w:rPr>
      </w:pPr>
      <w:r w:rsidRPr="00925F26">
        <w:rPr>
          <w:color w:val="000000" w:themeColor="text1"/>
          <w:sz w:val="16"/>
          <w:szCs w:val="16"/>
        </w:rPr>
        <w:t>В обоснование позиции завода приводи</w:t>
      </w:r>
      <w:r w:rsidRPr="00925F26">
        <w:rPr>
          <w:color w:val="000000" w:themeColor="text1"/>
          <w:sz w:val="16"/>
          <w:szCs w:val="16"/>
        </w:rPr>
        <w:softHyphen/>
        <w:t>лись следующие сведения. При получении за</w:t>
      </w:r>
      <w:r w:rsidRPr="00925F26">
        <w:rPr>
          <w:color w:val="000000" w:themeColor="text1"/>
          <w:sz w:val="16"/>
          <w:szCs w:val="16"/>
        </w:rPr>
        <w:softHyphen/>
        <w:t>каза ВВС на изготовление 15-мм бронеспинки для самолета Ту-2 оказалось, что серийная сталь КП-2 (АБ-2. -</w:t>
      </w:r>
      <w:r w:rsidRPr="00925F26">
        <w:rPr>
          <w:rStyle w:val="aff6"/>
          <w:rFonts w:ascii="Times New Roman" w:hAnsi="Times New Roman" w:cs="Times New Roman"/>
          <w:i w:val="0"/>
          <w:color w:val="000000" w:themeColor="text1"/>
        </w:rPr>
        <w:t xml:space="preserve"> Прим. авт.)</w:t>
      </w:r>
      <w:r w:rsidRPr="00925F26">
        <w:rPr>
          <w:color w:val="000000" w:themeColor="text1"/>
          <w:sz w:val="16"/>
          <w:szCs w:val="16"/>
        </w:rPr>
        <w:t xml:space="preserve"> такой толщи</w:t>
      </w:r>
      <w:r w:rsidRPr="00925F26">
        <w:rPr>
          <w:color w:val="000000" w:themeColor="text1"/>
          <w:sz w:val="16"/>
          <w:szCs w:val="16"/>
        </w:rPr>
        <w:softHyphen/>
        <w:t>ны дает расколы и трещины при обстреле пу</w:t>
      </w:r>
      <w:r w:rsidRPr="00925F26">
        <w:rPr>
          <w:color w:val="000000" w:themeColor="text1"/>
          <w:sz w:val="16"/>
          <w:szCs w:val="16"/>
        </w:rPr>
        <w:softHyphen/>
        <w:t>лями калибра 12,7 мм. Поэтому завод №125 перешел на гомогенную броню марки ХД, ко</w:t>
      </w:r>
      <w:r w:rsidRPr="00925F26">
        <w:rPr>
          <w:color w:val="000000" w:themeColor="text1"/>
          <w:sz w:val="16"/>
          <w:szCs w:val="16"/>
        </w:rPr>
        <w:softHyphen/>
        <w:t>торая при полигонных испытаниях продемон</w:t>
      </w:r>
      <w:r w:rsidRPr="00925F26">
        <w:rPr>
          <w:color w:val="000000" w:themeColor="text1"/>
          <w:sz w:val="16"/>
          <w:szCs w:val="16"/>
        </w:rPr>
        <w:softHyphen/>
        <w:t>стрировала полное соответствие техническим условиям ВВС. Опыт работы в течение 1944 г. показал, что сталь ХД обладает отличной живу</w:t>
      </w:r>
      <w:r w:rsidRPr="00925F26">
        <w:rPr>
          <w:color w:val="000000" w:themeColor="text1"/>
          <w:sz w:val="16"/>
          <w:szCs w:val="16"/>
        </w:rPr>
        <w:softHyphen/>
        <w:t>честью, а процент некондиционных поражений не превышает среднего уровня для гомоген</w:t>
      </w:r>
      <w:r w:rsidRPr="00925F26">
        <w:rPr>
          <w:color w:val="000000" w:themeColor="text1"/>
          <w:sz w:val="16"/>
          <w:szCs w:val="16"/>
        </w:rPr>
        <w:softHyphen/>
        <w:t>ной брони из КП-2.</w:t>
      </w:r>
    </w:p>
    <w:p w14:paraId="6899081C" w14:textId="77777777" w:rsidR="0032140A" w:rsidRPr="00925F26" w:rsidRDefault="0032140A" w:rsidP="00925F26">
      <w:pPr>
        <w:jc w:val="both"/>
        <w:rPr>
          <w:color w:val="000000" w:themeColor="text1"/>
          <w:sz w:val="16"/>
          <w:szCs w:val="16"/>
        </w:rPr>
      </w:pPr>
      <w:r w:rsidRPr="00925F26">
        <w:rPr>
          <w:color w:val="000000" w:themeColor="text1"/>
          <w:sz w:val="16"/>
          <w:szCs w:val="16"/>
        </w:rPr>
        <w:t>В 1945 г. завод начал серийный выпуск уд</w:t>
      </w:r>
      <w:r w:rsidRPr="00925F26">
        <w:rPr>
          <w:color w:val="000000" w:themeColor="text1"/>
          <w:sz w:val="16"/>
          <w:szCs w:val="16"/>
        </w:rPr>
        <w:softHyphen/>
        <w:t>линенных бронекорпусов самолета Ил-2У. На них толщину нижних боковых крышек капота мотора по требованию ГК НИИ ВВС увеличили с 4 до 8 мм для надежной защиты от снарядов малокалиберной зенитной артиллерии и пуль крупного калибра. Поэтому следовало выбрать для таких деталей марку стали, не дающую хрупких разрушений при обстреле снарядами и пулями калибра 12,7 и 15 мм.</w:t>
      </w:r>
    </w:p>
    <w:p w14:paraId="51D8F68F" w14:textId="77777777" w:rsidR="0032140A" w:rsidRPr="00925F26" w:rsidRDefault="0032140A" w:rsidP="00925F26">
      <w:pPr>
        <w:jc w:val="both"/>
        <w:rPr>
          <w:color w:val="000000" w:themeColor="text1"/>
          <w:sz w:val="16"/>
          <w:szCs w:val="16"/>
        </w:rPr>
      </w:pPr>
      <w:r w:rsidRPr="00925F26">
        <w:rPr>
          <w:color w:val="000000" w:themeColor="text1"/>
          <w:sz w:val="16"/>
          <w:szCs w:val="16"/>
        </w:rPr>
        <w:t>Такой маркой оказалась обработанная в гомогенном виде сталь ХД. На полигонных ис</w:t>
      </w:r>
      <w:r w:rsidRPr="00925F26">
        <w:rPr>
          <w:color w:val="000000" w:themeColor="text1"/>
          <w:sz w:val="16"/>
          <w:szCs w:val="16"/>
        </w:rPr>
        <w:softHyphen/>
        <w:t xml:space="preserve">пытаниях пяти различных плавок этой стали </w:t>
      </w:r>
      <w:proofErr w:type="gramStart"/>
      <w:r w:rsidRPr="00925F26">
        <w:rPr>
          <w:color w:val="000000" w:themeColor="text1"/>
          <w:sz w:val="16"/>
          <w:szCs w:val="16"/>
        </w:rPr>
        <w:t>в от</w:t>
      </w:r>
      <w:proofErr w:type="gramEnd"/>
      <w:r w:rsidRPr="00925F26">
        <w:rPr>
          <w:color w:val="000000" w:themeColor="text1"/>
          <w:sz w:val="16"/>
          <w:szCs w:val="16"/>
        </w:rPr>
        <w:t xml:space="preserve"> 0,29 до 0,37% они не дали ни одной трещи</w:t>
      </w:r>
      <w:r w:rsidRPr="00925F26">
        <w:rPr>
          <w:color w:val="000000" w:themeColor="text1"/>
          <w:sz w:val="16"/>
          <w:szCs w:val="16"/>
        </w:rPr>
        <w:softHyphen/>
        <w:t>ны или раскола при обстреле отечественны</w:t>
      </w:r>
      <w:r w:rsidRPr="00925F26">
        <w:rPr>
          <w:color w:val="000000" w:themeColor="text1"/>
          <w:sz w:val="16"/>
          <w:szCs w:val="16"/>
        </w:rPr>
        <w:softHyphen/>
        <w:t>ми и немецкими пулями и снарядами калибра 12,7,15 и 20 мм (17479).</w:t>
      </w:r>
    </w:p>
    <w:p w14:paraId="0B77A45E" w14:textId="77777777" w:rsidR="0032140A" w:rsidRPr="00925F26" w:rsidRDefault="0032140A" w:rsidP="00925F26">
      <w:pPr>
        <w:jc w:val="both"/>
        <w:rPr>
          <w:color w:val="000000" w:themeColor="text1"/>
          <w:sz w:val="16"/>
          <w:szCs w:val="16"/>
        </w:rPr>
      </w:pPr>
    </w:p>
    <w:p w14:paraId="07E96A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и 8 февраля 1945 л М.И.Иванов испытал в двух непродолжительных полетах Як-3ПД с М-105ПД, сделанный на основе серийной машины N 36-20 292 завода. Первый полет был с винтом СВ-02, а второй - Л-2. 19 февраля М.И.Иванов перегнал машину в ЛИИ для доводок (65,174).</w:t>
      </w:r>
    </w:p>
    <w:p w14:paraId="20A7FE8E" w14:textId="77777777" w:rsidR="00C2313B" w:rsidRPr="00925F26" w:rsidRDefault="00C2313B" w:rsidP="00925F26">
      <w:pPr>
        <w:autoSpaceDE w:val="0"/>
        <w:autoSpaceDN w:val="0"/>
        <w:adjustRightInd w:val="0"/>
        <w:jc w:val="both"/>
        <w:rPr>
          <w:color w:val="000000" w:themeColor="text1"/>
          <w:sz w:val="16"/>
          <w:szCs w:val="16"/>
        </w:rPr>
      </w:pPr>
    </w:p>
    <w:p w14:paraId="67DD54B1" w14:textId="77777777" w:rsidR="003D013D" w:rsidRPr="00925F26" w:rsidRDefault="003D013D" w:rsidP="00925F26">
      <w:pPr>
        <w:jc w:val="both"/>
        <w:rPr>
          <w:color w:val="000000" w:themeColor="text1"/>
          <w:sz w:val="16"/>
          <w:szCs w:val="16"/>
        </w:rPr>
      </w:pPr>
      <w:r w:rsidRPr="00925F26">
        <w:rPr>
          <w:bCs/>
          <w:color w:val="000000" w:themeColor="text1"/>
          <w:sz w:val="16"/>
          <w:szCs w:val="16"/>
        </w:rPr>
        <w:t>5 февраля</w:t>
      </w:r>
      <w:r w:rsidRPr="00925F26">
        <w:rPr>
          <w:color w:val="000000" w:themeColor="text1"/>
          <w:sz w:val="16"/>
          <w:szCs w:val="16"/>
        </w:rPr>
        <w:t xml:space="preserve"> в 1945 году летчик М.И.Иванов испытывал ВМГ модифицированного высотного самолета </w:t>
      </w:r>
      <w:hyperlink r:id="rId29" w:tgtFrame="_blank" w:history="1">
        <w:r w:rsidRPr="00925F26">
          <w:rPr>
            <w:color w:val="000000" w:themeColor="text1"/>
            <w:sz w:val="16"/>
            <w:szCs w:val="16"/>
          </w:rPr>
          <w:t xml:space="preserve">«Як-3ПД» </w:t>
        </w:r>
      </w:hyperlink>
      <w:r w:rsidRPr="00925F26">
        <w:rPr>
          <w:color w:val="000000" w:themeColor="text1"/>
          <w:sz w:val="16"/>
          <w:szCs w:val="16"/>
        </w:rPr>
        <w:t xml:space="preserve">в двух непродолжительных полетах с Центрального аэродрома 5 февраля (с винтом «СВ-02») и 18 февраля (с винтом «Л-2»). Фактически полетная масса составляла 2616 кг с 270 кг горючего. Была достигнута высота 9000 м, на которой давление бензина упало до нуля. Двигатель давал перебои. </w:t>
      </w:r>
      <w:hyperlink r:id="rId30" w:tgtFrame="_blank" w:history="1">
        <w:r w:rsidRPr="00925F26">
          <w:rPr>
            <w:color w:val="000000" w:themeColor="text1"/>
            <w:sz w:val="16"/>
            <w:szCs w:val="16"/>
          </w:rPr>
          <w:t xml:space="preserve">«Як-ЗПД» </w:t>
        </w:r>
      </w:hyperlink>
      <w:r w:rsidRPr="00925F26">
        <w:rPr>
          <w:color w:val="000000" w:themeColor="text1"/>
          <w:sz w:val="16"/>
          <w:szCs w:val="16"/>
        </w:rPr>
        <w:t>серийно не строился, но исследования в ЛИИ продолжались. Так, в марте 1947 г. был выпущен отчет об исследовании работы в высотных условиях водо - и маслорадиаторов на самолете «Як-ЗПД» с двигателем «ВК-105ПВ» (15031).</w:t>
      </w:r>
    </w:p>
    <w:p w14:paraId="3106F29A" w14:textId="77777777" w:rsidR="003D013D" w:rsidRPr="00925F26" w:rsidRDefault="003D013D" w:rsidP="00925F26">
      <w:pPr>
        <w:jc w:val="both"/>
        <w:rPr>
          <w:color w:val="000000" w:themeColor="text1"/>
          <w:sz w:val="16"/>
          <w:szCs w:val="16"/>
        </w:rPr>
      </w:pPr>
    </w:p>
    <w:p w14:paraId="7295D1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5 февраля 1945 года летчик М.И. Иванов начал заводские испытания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w:t>
      </w:r>
      <w:proofErr w:type="gramStart"/>
      <w:r w:rsidRPr="00925F26">
        <w:rPr>
          <w:color w:val="000000" w:themeColor="text1"/>
          <w:sz w:val="16"/>
          <w:szCs w:val="16"/>
        </w:rPr>
        <w:t>спирто-вод- ной</w:t>
      </w:r>
      <w:proofErr w:type="gramEnd"/>
      <w:r w:rsidRPr="00925F26">
        <w:rPr>
          <w:color w:val="000000" w:themeColor="text1"/>
          <w:sz w:val="16"/>
          <w:szCs w:val="16"/>
        </w:rPr>
        <w:t xml:space="preserve"> смеси, располагавшейся между ступенями нагнетателя.</w:t>
      </w:r>
    </w:p>
    <w:p w14:paraId="789E16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63C0479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62872A1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7667BE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051477D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7D475D8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35DC1B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8086F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69B8DF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28A316AD" w14:textId="77777777" w:rsidR="00C2313B" w:rsidRPr="00925F26" w:rsidRDefault="00C2313B" w:rsidP="00925F26">
      <w:pPr>
        <w:autoSpaceDE w:val="0"/>
        <w:autoSpaceDN w:val="0"/>
        <w:adjustRightInd w:val="0"/>
        <w:jc w:val="both"/>
        <w:rPr>
          <w:color w:val="000000" w:themeColor="text1"/>
          <w:sz w:val="16"/>
          <w:szCs w:val="16"/>
        </w:rPr>
      </w:pPr>
    </w:p>
    <w:p w14:paraId="60C566A3" w14:textId="77777777" w:rsidR="001C340E" w:rsidRPr="001A0BAA" w:rsidRDefault="001C340E" w:rsidP="001C340E">
      <w:pPr>
        <w:jc w:val="both"/>
        <w:rPr>
          <w:color w:val="0070C0"/>
          <w:sz w:val="16"/>
          <w:szCs w:val="16"/>
        </w:rPr>
      </w:pPr>
      <w:r w:rsidRPr="001A0BAA">
        <w:rPr>
          <w:color w:val="0070C0"/>
          <w:sz w:val="16"/>
          <w:szCs w:val="16"/>
        </w:rPr>
        <w:t>5 февраля 1945 г. первый прототип</w:t>
      </w:r>
      <w:r w:rsidRPr="001A0BAA">
        <w:rPr>
          <w:b/>
          <w:bCs/>
          <w:color w:val="0070C0"/>
          <w:sz w:val="16"/>
          <w:szCs w:val="16"/>
        </w:rPr>
        <w:t xml:space="preserve"> </w:t>
      </w:r>
      <w:r w:rsidRPr="001A0BAA">
        <w:rPr>
          <w:color w:val="0070C0"/>
          <w:sz w:val="16"/>
          <w:szCs w:val="16"/>
        </w:rPr>
        <w:t>высотного перехватчика Як-3ПД</w:t>
      </w:r>
      <w:r w:rsidRPr="001A0BAA">
        <w:rPr>
          <w:b/>
          <w:bCs/>
          <w:color w:val="0070C0"/>
          <w:sz w:val="16"/>
          <w:szCs w:val="16"/>
        </w:rPr>
        <w:t xml:space="preserve"> </w:t>
      </w:r>
      <w:r w:rsidRPr="001A0BAA">
        <w:rPr>
          <w:color w:val="0070C0"/>
          <w:sz w:val="16"/>
          <w:szCs w:val="16"/>
        </w:rPr>
        <w:t>с двухскоростным нагнетателем Э-100, который должен был достичь высоты 12900 м и скорости 715 км/ч на высоте 10800 м, первоначально с ВК-105ПД, поднялся в воздух Он имел крыло увеличенного на 0,6 м размаха, опытный винт ВИШ-105Л-2 и сокращённое до одной пушки НС-23 вооружение, что снизило вес до 2616 кг. Капризный двигатель не позволил достичь высоты более 11500 м. Второй Як-3ПД был оснащён двигателем ВК-105ПВ с винтом ВИШ-105ТЛ-2; позже его поставили и на первый экземпляр, на котором лётчик-испытатель И.И. Шунейко 6 июля 1943 г. достиг высоты 13300 м. Однако оба варианта двигателя работали ненадёжно, и продолжения эта работа не получила (24932).</w:t>
      </w:r>
    </w:p>
    <w:p w14:paraId="0FFF6A43" w14:textId="77777777" w:rsidR="001C340E" w:rsidRPr="001A0BAA" w:rsidRDefault="001C340E" w:rsidP="001C340E">
      <w:pPr>
        <w:jc w:val="both"/>
        <w:rPr>
          <w:color w:val="0070C0"/>
          <w:sz w:val="16"/>
          <w:szCs w:val="16"/>
        </w:rPr>
      </w:pPr>
    </w:p>
    <w:p w14:paraId="13A9B6A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вышел приказ НКАП N 42сс:</w:t>
      </w:r>
    </w:p>
    <w:p w14:paraId="70D1DDC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1944 г. в результате совместной работы завода 22 и ОКБ ГК В.М.М., достигнуты положительные результаты повышения скорости серийного самолета Пе-2. Максимальная скорость доведена до 530 км/час.</w:t>
      </w:r>
    </w:p>
    <w:p w14:paraId="3E3691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Наряду с этим, отмечено невыполнение заводом 22 и ОКБ В.М.М. задания по выпуску к 15 октября 1944 5 самолетов Пе-2 с ВК-107А.</w:t>
      </w:r>
    </w:p>
    <w:p w14:paraId="4E78FD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целях дальнейшего повышения скорости серийного самолета Пе-2 и подготовки производства к переходу на выпуск самолетов с ВК-107А:</w:t>
      </w:r>
    </w:p>
    <w:p w14:paraId="1299202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22 Окулову и ГК В.М.М.:</w:t>
      </w:r>
    </w:p>
    <w:p w14:paraId="1772403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обеспечить в 1945 выпуск серийных самолетов Пе-2 с макс. скоростью, равной 550 км/час, для чего утвердить представленный заводом 22 и ОКБ В.М.М. перечень мероприятий (см. приложение).</w:t>
      </w:r>
    </w:p>
    <w:p w14:paraId="151680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построить 2 самолета Пе-2 с внесением в них утвержденных мною мероприятий, направленных к дельнейшему повышению макс. скорости самолета Пе-2, и передать их к 1 мая 1945 в ЛИИ на испытания.</w:t>
      </w:r>
    </w:p>
    <w:p w14:paraId="1B5DFDF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всемерно ускорить выпуск 5 самолетов Пе-2 с ВК-107А, разрешив заводу 22 на одном самолете установить стрелковое вооружение по чертежам ГК В.М.М. Одновременно с этим вести дальнейшую подготовку производства для серийного выпуска самолетов Пе-2 с ВК-107А.</w:t>
      </w:r>
    </w:p>
    <w:p w14:paraId="7FE4A0B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ГК В.М.М.:</w:t>
      </w:r>
    </w:p>
    <w:p w14:paraId="00F7020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предъявить на гос. испытания к 25 апреля 1945 один экз. самолета с ВК-108 с увеличенным бомбовым отсеком и стрелковым вооружением по типу серийного самолета Пе-2.</w:t>
      </w:r>
    </w:p>
    <w:p w14:paraId="1F155CC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 предъявить на гос. испытания к 31 марта 1945 самолет Пе-2 с ВК-107А, установив на нем стрелковое вооружение по типу серийного самолета Пе-2." (1889,12).</w:t>
      </w:r>
    </w:p>
    <w:p w14:paraId="1195D5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Перечень мероприятий по увеличению макс. скорости серийного самолета Пе-2 с 2хВК-105ПФ:</w:t>
      </w:r>
    </w:p>
    <w:p w14:paraId="3C3CC5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установить новые винты с целью увеличения макс. скорости самолета</w:t>
      </w:r>
    </w:p>
    <w:p w14:paraId="028292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Изменить положение оси вращения створок жалюзи водорадиаторов с целью улучшения аэродинамики самолета</w:t>
      </w:r>
    </w:p>
    <w:p w14:paraId="664554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Улучшить обтекание на индивидуальных выхлопных патрубках</w:t>
      </w:r>
    </w:p>
    <w:p w14:paraId="0CB651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Установить улучшенную жароупорную крышку капота</w:t>
      </w:r>
    </w:p>
    <w:p w14:paraId="495A4BB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Ликвидировать ступеньку между коком и передним диском капота</w:t>
      </w:r>
    </w:p>
    <w:p w14:paraId="2816B92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Снять из воздушного потока кронштейны крепления обтекателя патрубков к балке капота</w:t>
      </w:r>
    </w:p>
    <w:p w14:paraId="0AC96C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Улучшить стыки тоннелей водорадиатора в центроплане и крыле</w:t>
      </w:r>
    </w:p>
    <w:p w14:paraId="6C629C3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Устранить отсос створок люков шасси в полете.</w:t>
      </w:r>
    </w:p>
    <w:p w14:paraId="1E0F2D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т.п. до 23. Улучшить аэродинамику люковой стрелковой установки в боевом положении с открытыми створками." (Окулов, Мясищев) (1889,15).</w:t>
      </w:r>
    </w:p>
    <w:p w14:paraId="4757A434" w14:textId="77777777" w:rsidR="00C2313B" w:rsidRPr="00925F26" w:rsidRDefault="00C2313B" w:rsidP="00925F26">
      <w:pPr>
        <w:autoSpaceDE w:val="0"/>
        <w:autoSpaceDN w:val="0"/>
        <w:adjustRightInd w:val="0"/>
        <w:jc w:val="both"/>
        <w:rPr>
          <w:color w:val="000000" w:themeColor="text1"/>
          <w:sz w:val="16"/>
          <w:szCs w:val="16"/>
        </w:rPr>
      </w:pPr>
    </w:p>
    <w:p w14:paraId="084349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 вышел приказ НКАП N 42, в соответствии с которым В.М.М. предписывалось разработать и предъявить на государственные испытания 31 марта самолет Пе-2 с двигателями ВК-107А и усиленным вооружением, состоявшем из трех пушек Б-20. Одна из них, неподвижная, предназначалась для стрельбы вперед, две других - для обстрела верхней и нижней задних полусфер. Самолет должен был развивать скорость 625 км/ч на высоте 5900 м и летать на расстояние 2300 км с 1000 кг бомб на внутренней подвеске. Эту машину, получившую впоследствии обозначение Пе-2М, переделали из второго опытного Пе-2И. Кроме более мощного вооружения, в задней части фюзеляжа разместили кабину стрелка-радиста с усиленной бронезащитой и фонарем с улучшенным обзором. Изменили стреловидность передней и задней кромок крыла с одновременным увеличением площади законцовок. Новое шасси с увеличенным ходом амортизации упрощало посадку (3337).</w:t>
      </w:r>
    </w:p>
    <w:p w14:paraId="1870B240" w14:textId="77777777" w:rsidR="00C2313B" w:rsidRPr="00925F26" w:rsidRDefault="00C2313B" w:rsidP="00925F26">
      <w:pPr>
        <w:autoSpaceDE w:val="0"/>
        <w:autoSpaceDN w:val="0"/>
        <w:adjustRightInd w:val="0"/>
        <w:jc w:val="both"/>
        <w:rPr>
          <w:color w:val="000000" w:themeColor="text1"/>
          <w:sz w:val="16"/>
          <w:szCs w:val="16"/>
        </w:rPr>
      </w:pPr>
    </w:p>
    <w:p w14:paraId="36730B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февраля 1945 года вышел приказ НКАП № 42, в соответствии с которым предписывалось разрабо</w:t>
      </w:r>
      <w:r w:rsidRPr="00925F26">
        <w:rPr>
          <w:color w:val="000000" w:themeColor="text1"/>
          <w:sz w:val="16"/>
          <w:szCs w:val="16"/>
        </w:rPr>
        <w:softHyphen/>
        <w:t>тать и предъявить на государственные испытания 31 марта самолет Пе-2 с двигателями ВК-107А и уси</w:t>
      </w:r>
      <w:r w:rsidRPr="00925F26">
        <w:rPr>
          <w:color w:val="000000" w:themeColor="text1"/>
          <w:sz w:val="16"/>
          <w:szCs w:val="16"/>
        </w:rPr>
        <w:softHyphen/>
        <w:t>ленным вооружением, состоявшим из трех пушек Б-20. Одна из них, неподвижная, предназначалась для стрельбы вперед, две других — для обстрела верхней и нижней задних полусфер. Самолет должен был раз</w:t>
      </w:r>
      <w:r w:rsidRPr="00925F26">
        <w:rPr>
          <w:color w:val="000000" w:themeColor="text1"/>
          <w:sz w:val="16"/>
          <w:szCs w:val="16"/>
        </w:rPr>
        <w:softHyphen/>
        <w:t>вивать скорость 625 км/ч на высоте 5900 м и летать на расстояние 2300 км с 1000 кг бомб на внутренней под</w:t>
      </w:r>
      <w:r w:rsidRPr="00925F26">
        <w:rPr>
          <w:color w:val="000000" w:themeColor="text1"/>
          <w:sz w:val="16"/>
          <w:szCs w:val="16"/>
        </w:rPr>
        <w:softHyphen/>
        <w:t>веске. Эту машину, получившую впоследствии обо</w:t>
      </w:r>
      <w:r w:rsidRPr="00925F26">
        <w:rPr>
          <w:color w:val="000000" w:themeColor="text1"/>
          <w:sz w:val="16"/>
          <w:szCs w:val="16"/>
        </w:rPr>
        <w:softHyphen/>
        <w:t>значение Пе-2М, переделали из второго опытного Пе-2И. Кроме более мощного вооружения, в задней части фюзеляжа разместили кабину стрелка-радиста с уси</w:t>
      </w:r>
      <w:r w:rsidRPr="00925F26">
        <w:rPr>
          <w:color w:val="000000" w:themeColor="text1"/>
          <w:sz w:val="16"/>
          <w:szCs w:val="16"/>
        </w:rPr>
        <w:softHyphen/>
        <w:t>ленной бронезащитой и фонарем с улучшенным обзо</w:t>
      </w:r>
      <w:r w:rsidRPr="00925F26">
        <w:rPr>
          <w:color w:val="000000" w:themeColor="text1"/>
          <w:sz w:val="16"/>
          <w:szCs w:val="16"/>
        </w:rPr>
        <w:softHyphen/>
        <w:t>ром. Изменили стреловидность передней и задней кромок крыла с одновременным увеличением площа</w:t>
      </w:r>
      <w:r w:rsidRPr="00925F26">
        <w:rPr>
          <w:color w:val="000000" w:themeColor="text1"/>
          <w:sz w:val="16"/>
          <w:szCs w:val="16"/>
        </w:rPr>
        <w:softHyphen/>
        <w:t>ди законцовок. Новое шасси с увеличенным ходом амортизации упрощало посадку.</w:t>
      </w:r>
    </w:p>
    <w:p w14:paraId="769B8D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Второй Пе-2И, переделанный в вариант Пе-2М, по</w:t>
      </w:r>
      <w:r w:rsidRPr="00925F26">
        <w:rPr>
          <w:color w:val="000000" w:themeColor="text1"/>
          <w:sz w:val="16"/>
          <w:szCs w:val="16"/>
        </w:rPr>
        <w:softHyphen/>
        <w:t>строили к 1 марта и через шесть дней приказом НКАП № 92 для проведения заводских летных испытаний на</w:t>
      </w:r>
      <w:r w:rsidRPr="00925F26">
        <w:rPr>
          <w:color w:val="000000" w:themeColor="text1"/>
          <w:sz w:val="16"/>
          <w:szCs w:val="16"/>
        </w:rPr>
        <w:softHyphen/>
        <w:t>значили ведущим летчиком-испытателем Ф.Ф. Опад-чего. В состав испытательной бригады входили также ведущий инженер К. Попов, инженер летно-</w:t>
      </w:r>
      <w:proofErr w:type="gramStart"/>
      <w:r w:rsidRPr="00925F26">
        <w:rPr>
          <w:color w:val="000000" w:themeColor="text1"/>
          <w:sz w:val="16"/>
          <w:szCs w:val="16"/>
        </w:rPr>
        <w:t>испыта-тельной</w:t>
      </w:r>
      <w:proofErr w:type="gramEnd"/>
      <w:r w:rsidRPr="00925F26">
        <w:rPr>
          <w:color w:val="000000" w:themeColor="text1"/>
          <w:sz w:val="16"/>
          <w:szCs w:val="16"/>
        </w:rPr>
        <w:t xml:space="preserve"> станции А.И. Никонов, техник В.П. Белоусов и бортмеханик А. Артамошин.</w:t>
      </w:r>
    </w:p>
    <w:p w14:paraId="4887D52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целом результаты испытаний Пе-2М были удов</w:t>
      </w:r>
      <w:r w:rsidRPr="00925F26">
        <w:rPr>
          <w:color w:val="000000" w:themeColor="text1"/>
          <w:sz w:val="16"/>
          <w:szCs w:val="16"/>
        </w:rPr>
        <w:softHyphen/>
        <w:t>летворительные. Правда, много неприятностей опять-таки доставляли двигатели. В частности, в полете 25 апреля на высоте 4500 м загорелся правый двигатель. Летчик-испытатель А. Пальчиков сумел посадить ма</w:t>
      </w:r>
      <w:r w:rsidRPr="00925F26">
        <w:rPr>
          <w:color w:val="000000" w:themeColor="text1"/>
          <w:sz w:val="16"/>
          <w:szCs w:val="16"/>
        </w:rPr>
        <w:softHyphen/>
        <w:t>шину на аэродром и вместе с ведущим инженером Н.Лашкевичем ликвидировать пожар. В мае 1945 года проходил заводские испытания Пе-2М с двигателями ВК-108. В этом же месяце машина испытывалась в НИИ ВВС.</w:t>
      </w:r>
    </w:p>
    <w:p w14:paraId="1E0822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Много рекламаций было на стрелковые установки завода № 43, обладавшие низкой надежностью, что и стало главной причиной отказа от Пе-2М.</w:t>
      </w:r>
    </w:p>
    <w:p w14:paraId="390EA5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Пе-2И стал базовой машиной, на основе которой в ОКБ-22 разработали дальний истребитель сопровож</w:t>
      </w:r>
      <w:r w:rsidRPr="00925F26">
        <w:rPr>
          <w:color w:val="000000" w:themeColor="text1"/>
          <w:sz w:val="16"/>
          <w:szCs w:val="16"/>
        </w:rPr>
        <w:softHyphen/>
        <w:t>дения «ДИС» (№ 12), дневной бомбардировщик «ДБ» и высотный бомбардировщик «ВБ» (11446).</w:t>
      </w:r>
    </w:p>
    <w:p w14:paraId="01E8B31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72A9E8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 в приказе НКАП № 42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 стрелка-радиста (4476).</w:t>
      </w:r>
    </w:p>
    <w:p w14:paraId="19110EA5" w14:textId="77777777" w:rsidR="00C2313B" w:rsidRPr="00925F26" w:rsidRDefault="00C2313B" w:rsidP="00925F26">
      <w:pPr>
        <w:autoSpaceDE w:val="0"/>
        <w:autoSpaceDN w:val="0"/>
        <w:adjustRightInd w:val="0"/>
        <w:jc w:val="both"/>
        <w:rPr>
          <w:color w:val="000000" w:themeColor="text1"/>
          <w:sz w:val="16"/>
          <w:szCs w:val="16"/>
        </w:rPr>
      </w:pPr>
    </w:p>
    <w:p w14:paraId="3E6B99BF" w14:textId="77777777" w:rsidR="003D013D" w:rsidRPr="00925F26" w:rsidRDefault="003D013D" w:rsidP="00925F26">
      <w:pPr>
        <w:jc w:val="both"/>
        <w:rPr>
          <w:color w:val="000000" w:themeColor="text1"/>
          <w:sz w:val="16"/>
          <w:szCs w:val="16"/>
        </w:rPr>
      </w:pPr>
      <w:r w:rsidRPr="00925F26">
        <w:rPr>
          <w:bCs/>
          <w:color w:val="000000" w:themeColor="text1"/>
          <w:sz w:val="16"/>
          <w:szCs w:val="16"/>
        </w:rPr>
        <w:t>5 февраля</w:t>
      </w:r>
      <w:r w:rsidRPr="00925F26">
        <w:rPr>
          <w:color w:val="000000" w:themeColor="text1"/>
          <w:sz w:val="16"/>
          <w:szCs w:val="16"/>
        </w:rPr>
        <w:t xml:space="preserve"> в 1945 году приказом НКАП № 42 поставлена задача об усилении оборонительного вооружения второго опытного прототипа </w:t>
      </w:r>
      <w:hyperlink r:id="rId31" w:tgtFrame="_blank" w:history="1">
        <w:r w:rsidRPr="00925F26">
          <w:rPr>
            <w:color w:val="000000" w:themeColor="text1"/>
            <w:sz w:val="16"/>
            <w:szCs w:val="16"/>
          </w:rPr>
          <w:t xml:space="preserve">«ДБ-108» </w:t>
        </w:r>
      </w:hyperlink>
      <w:r w:rsidRPr="00925F26">
        <w:rPr>
          <w:color w:val="000000" w:themeColor="text1"/>
          <w:sz w:val="16"/>
          <w:szCs w:val="16"/>
        </w:rPr>
        <w:t xml:space="preserve">усиленным вариантом вооружения", включавшим люковую пушечную установку и пулемет УБТ на шкворне у третьего члена экипажа - стрелка-радиста. Однако окончательно решить задачу создания дистанционно управляемой пушечной установки советская авиапромышленность сумела лишь спустя несколько лет, после ознакомления с </w:t>
      </w:r>
      <w:r w:rsidRPr="00925F26">
        <w:rPr>
          <w:color w:val="000000" w:themeColor="text1"/>
          <w:sz w:val="16"/>
          <w:szCs w:val="16"/>
        </w:rPr>
        <w:lastRenderedPageBreak/>
        <w:t>трофейными немецкими разработками и подвижными башнями американского бомбардировщика «В-29». В 1943 г. В.М.Мясищев был назначен руководителем конструкторского бюро вместо В.М.Петлякова, погибшего в авиационной катастрофе 12 января 1942 г. Под руководством В.М.Мясищева на базе двухместного бомбардировщика «Пе-2И» с двигателями «ВК-107А» летом 1944 г. началась разработка дальнего бомбардировщика «ДБ-108» с двигателями «ВК-108». С окончанием войны все работы по «ДБ-108» были прекращены. Характеристики «ДБ-108» («ВМ-16»): экипаж – 2 человека, силовая установка – 2 х ВК-108 мощностью по 1800 л. е., размах крыла – 17,8 м и его площадь – 43,0 м2, длина самолета – 13,47 м, вес пустого – 6953 кг, взлетный вес – 9431 кг, максимальная скорость – 700 км/ч, дальность – 2250 км, скороподъемность – 1000 м/мин, практический потолок – 11 000 м, вооружение – 1 пушка ШВАК калибра 20 мм, 2 пулемета УБК калибра 12,7 мм, 1 пулемет ШКАС калибра 7,62 мм и 3000 кг бомб (15031).</w:t>
      </w:r>
    </w:p>
    <w:p w14:paraId="40F60B01" w14:textId="77777777" w:rsidR="003D013D" w:rsidRPr="00925F26" w:rsidRDefault="003D013D" w:rsidP="00925F26">
      <w:pPr>
        <w:jc w:val="both"/>
        <w:rPr>
          <w:color w:val="000000" w:themeColor="text1"/>
          <w:sz w:val="16"/>
          <w:szCs w:val="16"/>
        </w:rPr>
      </w:pPr>
    </w:p>
    <w:p w14:paraId="3A10FE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 в приказе НКАП № 42 от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стрелка радиста. Постройка этой машины была завершена 25 мая 1945 г. При всем несовершенстве сделанных на скорую руку новых подвижных установок их внедрение диктовалось крайней необходимостью. Довести страдающую хроническими дефектами хвостовую ДЭУ по-прежнему не удавалось.</w:t>
      </w:r>
    </w:p>
    <w:p w14:paraId="38F8C1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 первых дней летных испытаний прототипа ДБ-108 стало очевидно, что новые моторы являются еще более "сырыми" и капризными, чем ВК-107А. Доводка машины оказалась исключительно сложным и опасным делом. В одном из испытательных полетов 5 июня 1945 г. произошла катастрофа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3A155A0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02B15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6FD87B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5F0F454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67E1329E" w14:textId="77777777" w:rsidR="00C2313B" w:rsidRPr="00925F26" w:rsidRDefault="00C2313B" w:rsidP="00925F26">
      <w:pPr>
        <w:autoSpaceDE w:val="0"/>
        <w:autoSpaceDN w:val="0"/>
        <w:adjustRightInd w:val="0"/>
        <w:jc w:val="both"/>
        <w:rPr>
          <w:color w:val="000000" w:themeColor="text1"/>
          <w:sz w:val="16"/>
          <w:szCs w:val="16"/>
        </w:rPr>
      </w:pPr>
    </w:p>
    <w:p w14:paraId="455FCD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сборочный цех 51 завода первый с/с 10Х с ПВРД Д-3 и автопилотом АП-4 В.М.Сорокина и потом из изготовленных 19 17 направили на летные испытания, а 2 - оставили в качестве эталонов. Устройствами подвески оборудовали три Пе-8 и два Ер-2, но в Средней Азии, где проходили испытания, Ер-2 с нагрузкой из-за жары подняться не смогли. Потом, правда, летал в Подмосковье (1800,3).</w:t>
      </w:r>
    </w:p>
    <w:p w14:paraId="07553257" w14:textId="77777777" w:rsidR="00C2313B" w:rsidRPr="00925F26" w:rsidRDefault="00C2313B" w:rsidP="00925F26">
      <w:pPr>
        <w:autoSpaceDE w:val="0"/>
        <w:autoSpaceDN w:val="0"/>
        <w:adjustRightInd w:val="0"/>
        <w:jc w:val="both"/>
        <w:rPr>
          <w:color w:val="000000" w:themeColor="text1"/>
          <w:sz w:val="16"/>
          <w:szCs w:val="16"/>
        </w:rPr>
      </w:pPr>
    </w:p>
    <w:p w14:paraId="6A78DBC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 из сборочного цеха завода выкатили первый серийный самолет-снаряд 10Х. Всего в первой серии было изготовлено 19 таких самолетов-снарядов. 17 из них было отправлено на летные испытания, две ракеты были оставлены в качестве эталона (11686).</w:t>
      </w:r>
    </w:p>
    <w:p w14:paraId="3993D5D4" w14:textId="77777777" w:rsidR="00C2313B" w:rsidRPr="00925F26" w:rsidRDefault="00C2313B" w:rsidP="00925F26">
      <w:pPr>
        <w:autoSpaceDE w:val="0"/>
        <w:autoSpaceDN w:val="0"/>
        <w:adjustRightInd w:val="0"/>
        <w:jc w:val="both"/>
        <w:rPr>
          <w:color w:val="000000" w:themeColor="text1"/>
          <w:sz w:val="16"/>
          <w:szCs w:val="16"/>
        </w:rPr>
      </w:pPr>
    </w:p>
    <w:p w14:paraId="777F07D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года П. Дементьев писал письмо N Н-35/555 командующему ВВС ВМФ маршалу авиации Жаворонкову.</w:t>
      </w:r>
    </w:p>
    <w:p w14:paraId="5F5DD86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 озера вблизи Констанца были найдены несколько десятков реактивных подвесных ускорителей для старта тяжелых гидросамолетов, а также бочки с катализатором и специальные алюминиевые бочки для перевозки перекиси водорода.</w:t>
      </w:r>
    </w:p>
    <w:p w14:paraId="2E4361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указаний командующему ВВС ЧМФ Ермаченкову организовать сбор этого имущества и отправку его в Москву в НИИ-1 НКАП для изучения и использования (2595,13).</w:t>
      </w:r>
    </w:p>
    <w:p w14:paraId="69F4B871" w14:textId="77777777" w:rsidR="00C2313B" w:rsidRPr="00925F26" w:rsidRDefault="00C2313B" w:rsidP="00925F26">
      <w:pPr>
        <w:autoSpaceDE w:val="0"/>
        <w:autoSpaceDN w:val="0"/>
        <w:adjustRightInd w:val="0"/>
        <w:jc w:val="both"/>
        <w:rPr>
          <w:color w:val="000000" w:themeColor="text1"/>
          <w:sz w:val="16"/>
          <w:szCs w:val="16"/>
        </w:rPr>
      </w:pPr>
    </w:p>
    <w:p w14:paraId="6C54BBD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года вышел приказ НКАП:</w:t>
      </w:r>
    </w:p>
    <w:p w14:paraId="09B7EDF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Утвердить Шаройко Я.Е. директором завода № 471, освободив Голубкова П.Н. (8958).</w:t>
      </w:r>
    </w:p>
    <w:p w14:paraId="70301CAD" w14:textId="77777777" w:rsidR="00C2313B" w:rsidRPr="00925F26" w:rsidRDefault="00C2313B" w:rsidP="00925F26">
      <w:pPr>
        <w:autoSpaceDE w:val="0"/>
        <w:autoSpaceDN w:val="0"/>
        <w:adjustRightInd w:val="0"/>
        <w:jc w:val="both"/>
        <w:rPr>
          <w:color w:val="000000" w:themeColor="text1"/>
          <w:sz w:val="16"/>
          <w:szCs w:val="16"/>
        </w:rPr>
      </w:pPr>
    </w:p>
    <w:p w14:paraId="00C908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года группу авиационных инженеров во главе с начальником НИИ ГВФ генерал-лейтенантом И.Н. Петровым Государственный Комитет Обороны направил в расположение 1-го Украинского фронта для изучения техники, захваченной войсками на немецком полигоне по испытанию самолетов-снарядов и авиабомб. Вскоре в Москву поступило сообщение, что на этом полигоне обнаружили Фау-3.</w:t>
      </w:r>
    </w:p>
    <w:p w14:paraId="3B63159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марта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По указанию Г.М. Маленкова уже 8 марта в 17 часов 15 минут самолет С-47 доставил в столицу образец секретного оружия Третьего рейха.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6340CE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4840C4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7AFDADB" w14:textId="77777777" w:rsidR="00C2313B" w:rsidRPr="00925F26" w:rsidRDefault="00C2313B" w:rsidP="00925F26">
      <w:pPr>
        <w:autoSpaceDE w:val="0"/>
        <w:autoSpaceDN w:val="0"/>
        <w:adjustRightInd w:val="0"/>
        <w:jc w:val="both"/>
        <w:rPr>
          <w:color w:val="000000" w:themeColor="text1"/>
          <w:sz w:val="16"/>
          <w:szCs w:val="16"/>
        </w:rPr>
      </w:pPr>
    </w:p>
    <w:p w14:paraId="5A81E5CA" w14:textId="77777777" w:rsidR="001C340E" w:rsidRPr="001A0BAA" w:rsidRDefault="001C340E" w:rsidP="001C340E">
      <w:pPr>
        <w:jc w:val="both"/>
        <w:rPr>
          <w:rStyle w:val="35"/>
          <w:rFonts w:ascii="Times New Roman" w:cs="Times New Roman"/>
          <w:color w:val="0070C0"/>
          <w:spacing w:val="0"/>
          <w:sz w:val="16"/>
          <w:szCs w:val="16"/>
        </w:rPr>
      </w:pPr>
      <w:r w:rsidRPr="001A0BAA">
        <w:rPr>
          <w:rStyle w:val="35"/>
          <w:rFonts w:ascii="Times New Roman" w:cs="Times New Roman"/>
          <w:color w:val="0070C0"/>
          <w:spacing w:val="0"/>
          <w:sz w:val="16"/>
          <w:szCs w:val="16"/>
        </w:rPr>
        <w:t>5 февраля 1945 г. в соответствии с вышедшим Постановлением ГОКО №7455с НИИ радиопромышленности (НИИ-22) изготовил эталонные образцы РЛС Г-5С и Г-5М и вместе с технической документацией передал на завод №339 НКАП для освоения их серийным производством.</w:t>
      </w:r>
    </w:p>
    <w:p w14:paraId="44595A0A" w14:textId="77777777" w:rsidR="001C340E" w:rsidRPr="001A0BAA" w:rsidRDefault="001C340E" w:rsidP="001C340E">
      <w:pPr>
        <w:jc w:val="both"/>
        <w:rPr>
          <w:color w:val="0070C0"/>
          <w:sz w:val="16"/>
          <w:szCs w:val="16"/>
        </w:rPr>
      </w:pPr>
      <w:r w:rsidRPr="001A0BAA">
        <w:rPr>
          <w:rStyle w:val="35"/>
          <w:rFonts w:ascii="Times New Roman" w:cs="Times New Roman"/>
          <w:color w:val="0070C0"/>
          <w:spacing w:val="0"/>
          <w:sz w:val="16"/>
          <w:szCs w:val="16"/>
        </w:rPr>
        <w:lastRenderedPageBreak/>
        <w:t>Радиолокатор Г-5 - «Гнейс-5» сразу выполнили в двух модифи</w:t>
      </w:r>
      <w:r w:rsidRPr="001A0BAA">
        <w:rPr>
          <w:rStyle w:val="35"/>
          <w:rFonts w:ascii="Times New Roman" w:cs="Times New Roman"/>
          <w:color w:val="0070C0"/>
          <w:spacing w:val="0"/>
          <w:sz w:val="16"/>
          <w:szCs w:val="16"/>
        </w:rPr>
        <w:softHyphen/>
        <w:t>кациях – «С» для перехватчиков и «М» для развед</w:t>
      </w:r>
      <w:r w:rsidRPr="001A0BAA">
        <w:rPr>
          <w:rStyle w:val="35"/>
          <w:rFonts w:ascii="Times New Roman" w:cs="Times New Roman"/>
          <w:color w:val="0070C0"/>
          <w:spacing w:val="0"/>
          <w:sz w:val="16"/>
          <w:szCs w:val="16"/>
        </w:rPr>
        <w:softHyphen/>
        <w:t>чиков и торпедоносцев ВМФ. По составу оборудования обе модификации были идентичны, но различались антенными устройствами. Локаторы работали на волне длиной 1,43 м. РЛС Г-5 обоих вариантов могла использо</w:t>
      </w:r>
      <w:r w:rsidRPr="001A0BAA">
        <w:rPr>
          <w:rStyle w:val="35"/>
          <w:rFonts w:ascii="Times New Roman" w:cs="Times New Roman"/>
          <w:color w:val="0070C0"/>
          <w:spacing w:val="0"/>
          <w:sz w:val="16"/>
          <w:szCs w:val="16"/>
        </w:rPr>
        <w:softHyphen/>
        <w:t>ваться для привода своего самолета к маяку с расстояния порядка 90 км.</w:t>
      </w:r>
    </w:p>
    <w:p w14:paraId="32DFFB70" w14:textId="77777777" w:rsidR="001C340E" w:rsidRPr="001A0BAA" w:rsidRDefault="001C340E" w:rsidP="001C340E">
      <w:pPr>
        <w:jc w:val="both"/>
        <w:rPr>
          <w:color w:val="0070C0"/>
          <w:sz w:val="16"/>
          <w:szCs w:val="16"/>
        </w:rPr>
      </w:pPr>
      <w:r w:rsidRPr="001A0BAA">
        <w:rPr>
          <w:rStyle w:val="35"/>
          <w:rFonts w:ascii="Times New Roman" w:cs="Times New Roman"/>
          <w:color w:val="0070C0"/>
          <w:spacing w:val="0"/>
          <w:sz w:val="16"/>
          <w:szCs w:val="16"/>
        </w:rPr>
        <w:t>По результатам испытаний «Гнейс-5С» отмечалось, что он «по всем параметрам превосходит серийный отечественный радиолокатор типа «Гнейс-2» и не уступает аналогичному английскому радиолокатору типа «</w:t>
      </w:r>
      <w:r w:rsidRPr="001A0BAA">
        <w:rPr>
          <w:rStyle w:val="35"/>
          <w:rFonts w:ascii="Times New Roman" w:cs="Times New Roman"/>
          <w:color w:val="0070C0"/>
          <w:spacing w:val="0"/>
          <w:sz w:val="16"/>
          <w:szCs w:val="16"/>
          <w:lang w:val="en-US"/>
        </w:rPr>
        <w:t>A</w:t>
      </w:r>
      <w:r w:rsidRPr="001A0BAA">
        <w:rPr>
          <w:rStyle w:val="35"/>
          <w:rFonts w:ascii="Times New Roman" w:cs="Times New Roman"/>
          <w:color w:val="0070C0"/>
          <w:spacing w:val="0"/>
          <w:sz w:val="16"/>
          <w:szCs w:val="16"/>
        </w:rPr>
        <w:t xml:space="preserve">-1 </w:t>
      </w:r>
      <w:r w:rsidRPr="001A0BAA">
        <w:rPr>
          <w:rStyle w:val="35"/>
          <w:rFonts w:ascii="Times New Roman" w:cs="Times New Roman"/>
          <w:color w:val="0070C0"/>
          <w:spacing w:val="0"/>
          <w:sz w:val="16"/>
          <w:szCs w:val="16"/>
          <w:lang w:val="en-US"/>
        </w:rPr>
        <w:t>MK</w:t>
      </w:r>
      <w:r w:rsidRPr="001A0BAA">
        <w:rPr>
          <w:rStyle w:val="35"/>
          <w:rFonts w:ascii="Times New Roman" w:cs="Times New Roman"/>
          <w:color w:val="0070C0"/>
          <w:spacing w:val="0"/>
          <w:sz w:val="16"/>
          <w:szCs w:val="16"/>
        </w:rPr>
        <w:t xml:space="preserve"> 1</w:t>
      </w:r>
      <w:r w:rsidRPr="001A0BAA">
        <w:rPr>
          <w:rStyle w:val="35"/>
          <w:rFonts w:ascii="Times New Roman" w:cs="Times New Roman"/>
          <w:color w:val="0070C0"/>
          <w:spacing w:val="0"/>
          <w:sz w:val="16"/>
          <w:szCs w:val="16"/>
          <w:lang w:val="en-US"/>
        </w:rPr>
        <w:t>Y</w:t>
      </w:r>
      <w:r w:rsidRPr="001A0BAA">
        <w:rPr>
          <w:rStyle w:val="35"/>
          <w:rFonts w:ascii="Times New Roman" w:cs="Times New Roman"/>
          <w:color w:val="0070C0"/>
          <w:spacing w:val="0"/>
          <w:sz w:val="16"/>
          <w:szCs w:val="16"/>
        </w:rPr>
        <w:t>», а по дальности действия и радиусу мертвой зоны – превосходит английский»</w:t>
      </w:r>
    </w:p>
    <w:p w14:paraId="55BDCE4E" w14:textId="77777777" w:rsidR="001C340E" w:rsidRPr="001A0BAA" w:rsidRDefault="001C340E" w:rsidP="001C340E">
      <w:pPr>
        <w:jc w:val="both"/>
        <w:rPr>
          <w:rStyle w:val="35"/>
          <w:rFonts w:ascii="Times New Roman" w:cs="Times New Roman"/>
          <w:color w:val="0070C0"/>
          <w:spacing w:val="0"/>
          <w:sz w:val="16"/>
          <w:szCs w:val="16"/>
        </w:rPr>
      </w:pPr>
      <w:r w:rsidRPr="001A0BAA">
        <w:rPr>
          <w:rStyle w:val="35"/>
          <w:rFonts w:ascii="Times New Roman" w:cs="Times New Roman"/>
          <w:color w:val="0070C0"/>
          <w:spacing w:val="0"/>
          <w:sz w:val="16"/>
          <w:szCs w:val="16"/>
        </w:rPr>
        <w:t>В 1944 г. было изготовлено 24 РЛС Г-5 и в 1945 г. еще 86. Помимо самолетов «Бостон», РЛС Г-5 устанавливали на Ту-2, которые стали поступать военным уже в послево</w:t>
      </w:r>
      <w:r w:rsidRPr="001A0BAA">
        <w:rPr>
          <w:rStyle w:val="35"/>
          <w:rFonts w:ascii="Times New Roman" w:cs="Times New Roman"/>
          <w:color w:val="0070C0"/>
          <w:spacing w:val="0"/>
          <w:sz w:val="16"/>
          <w:szCs w:val="16"/>
        </w:rPr>
        <w:softHyphen/>
        <w:t>енный период.</w:t>
      </w:r>
    </w:p>
    <w:p w14:paraId="6DA05F46" w14:textId="77777777" w:rsidR="001C340E" w:rsidRPr="001A0BAA" w:rsidRDefault="001C340E" w:rsidP="001C340E">
      <w:pPr>
        <w:jc w:val="both"/>
        <w:rPr>
          <w:color w:val="0070C0"/>
          <w:sz w:val="16"/>
          <w:szCs w:val="16"/>
        </w:rPr>
      </w:pPr>
      <w:r w:rsidRPr="001A0BAA">
        <w:rPr>
          <w:rStyle w:val="35"/>
          <w:rFonts w:ascii="Times New Roman" w:cs="Times New Roman"/>
          <w:color w:val="0070C0"/>
          <w:spacing w:val="0"/>
          <w:sz w:val="16"/>
          <w:szCs w:val="16"/>
        </w:rPr>
        <w:t>К 1945 г. завод №339 НКАП был в достаточной степени оборудован, чтобы организовать серийный выпуск не только приборов СЧ, но и самолетных РЛС (25631).</w:t>
      </w:r>
    </w:p>
    <w:p w14:paraId="3C73F192" w14:textId="77777777" w:rsidR="001C340E" w:rsidRPr="001A0BAA" w:rsidRDefault="001C340E" w:rsidP="001C340E">
      <w:pPr>
        <w:jc w:val="both"/>
        <w:rPr>
          <w:color w:val="0070C0"/>
          <w:sz w:val="16"/>
          <w:szCs w:val="16"/>
        </w:rPr>
      </w:pPr>
    </w:p>
    <w:p w14:paraId="306BF35A"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8639DD6" w14:textId="77777777" w:rsidR="00C2313B" w:rsidRPr="00925F26" w:rsidRDefault="00C2313B" w:rsidP="00925F26">
      <w:pPr>
        <w:autoSpaceDE w:val="0"/>
        <w:autoSpaceDN w:val="0"/>
        <w:adjustRightInd w:val="0"/>
        <w:jc w:val="both"/>
        <w:rPr>
          <w:iCs/>
          <w:color w:val="000000" w:themeColor="text1"/>
          <w:sz w:val="16"/>
          <w:szCs w:val="16"/>
        </w:rPr>
      </w:pPr>
    </w:p>
    <w:p w14:paraId="60AAE1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февраля 1945 г. были подготовлены ПРЕДЛОЖЕНИЯ УСА ГБТУ КА ПО ДАЛЬНЕЙШЕМУ УСИЛЕНИЮ ТАНКОВОГО И АРТСАМОХОДНОГО ВООРУЖЕНИЯ</w:t>
      </w:r>
    </w:p>
    <w:p w14:paraId="16AA0A0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Оценка танкового вооружения</w:t>
      </w:r>
    </w:p>
    <w:p w14:paraId="144E98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1944 году немцы приняли на вооружение новый танк Тигр Б, который в настоящее время яв</w:t>
      </w:r>
      <w:r w:rsidRPr="00925F26">
        <w:rPr>
          <w:color w:val="000000" w:themeColor="text1"/>
          <w:sz w:val="16"/>
          <w:szCs w:val="16"/>
        </w:rPr>
        <w:softHyphen/>
        <w:t>ляется основным типом тяжелых танков противника.</w:t>
      </w:r>
    </w:p>
    <w:p w14:paraId="262D680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Тигр Б при наличии мощного лобового бронирования имеет сильную 88-мм пушку КШК-43. Бронебойный снаряд этой пушки имеет начальную скорость свыше 1000 м/с при скорост</w:t>
      </w:r>
      <w:r w:rsidRPr="00925F26">
        <w:rPr>
          <w:color w:val="000000" w:themeColor="text1"/>
          <w:sz w:val="16"/>
          <w:szCs w:val="16"/>
        </w:rPr>
        <w:softHyphen/>
        <w:t>рельности (прицельной) около 6 выстрелов в минуту.</w:t>
      </w:r>
    </w:p>
    <w:p w14:paraId="36FC74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Вторым основным типом немецких танков является средний танк Пантера. Этот танк имеет на вооружении 75-мм пушку, бронебойный снаряд которой имеет начальную скорость также свы</w:t>
      </w:r>
      <w:r w:rsidRPr="00925F26">
        <w:rPr>
          <w:color w:val="000000" w:themeColor="text1"/>
          <w:sz w:val="16"/>
          <w:szCs w:val="16"/>
        </w:rPr>
        <w:softHyphen/>
        <w:t>ше 1000 м/с при скорострельности 7-8 выстрелов в минуту.</w:t>
      </w:r>
    </w:p>
    <w:p w14:paraId="0E0CBB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Бронебойные снаряды указанных выше танковых пушек противника способны пробивать бро</w:t>
      </w:r>
      <w:r w:rsidRPr="00925F26">
        <w:rPr>
          <w:color w:val="000000" w:themeColor="text1"/>
          <w:sz w:val="16"/>
          <w:szCs w:val="16"/>
        </w:rPr>
        <w:softHyphen/>
        <w:t>ню наших танков с дистанций 1500-2000 м.</w:t>
      </w:r>
    </w:p>
    <w:p w14:paraId="197814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Состоящая на вооружении американских средних танков М4-А2 76-мм пушка М-1, имеющая начальную скорость бронебойного снаряда около 800 м/с, пробивает 80 мм броню с дистанции 2000 м.</w:t>
      </w:r>
    </w:p>
    <w:p w14:paraId="2EB106C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Основным типом танка Красной Армии является танк Т-34.</w:t>
      </w:r>
    </w:p>
    <w:p w14:paraId="585DCA7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Этот танк имеет на вооружении 85-мм пушку ЗИС-С-53, бронебойный снаряд которой проби</w:t>
      </w:r>
      <w:r w:rsidRPr="00925F26">
        <w:rPr>
          <w:color w:val="000000" w:themeColor="text1"/>
          <w:sz w:val="16"/>
          <w:szCs w:val="16"/>
        </w:rPr>
        <w:softHyphen/>
        <w:t>вает бортовую броню танка Пантера со всех предельных дистанций и бортовую 80-мм [броню] тан</w:t>
      </w:r>
      <w:r w:rsidRPr="00925F26">
        <w:rPr>
          <w:color w:val="000000" w:themeColor="text1"/>
          <w:sz w:val="16"/>
          <w:szCs w:val="16"/>
        </w:rPr>
        <w:softHyphen/>
        <w:t>ка Тигр Б с дистанций не свыше 1200 м.</w:t>
      </w:r>
    </w:p>
    <w:p w14:paraId="212D570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Причем пушка ЗИС-С-53 не пробивает лобовой брони немецких танков Тигр Б и Пантера.</w:t>
      </w:r>
    </w:p>
    <w:p w14:paraId="637178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Состоящая на вооружении тяжелых танков ИС 122-мм пушка Д-25 по мощности бронебойного выстрела превосходит все известные иностранные образцы танковых пушек, уступая им лишь в прицельной скорострельности.</w:t>
      </w:r>
    </w:p>
    <w:p w14:paraId="132593E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Пушка Д-25 в состоянии вести эффективную борьбу с немецкими танками со всех прицельных дистанций.</w:t>
      </w:r>
    </w:p>
    <w:p w14:paraId="23A73E5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приведенного видно, что превосходство в вооружении имеет только танк ИС-122, тогда как вооружение средних танков Т-34 по своей мощности уступает вооружению средних немецких и американских танков.</w:t>
      </w:r>
    </w:p>
    <w:p w14:paraId="620F3F0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этом следует отметить, что 88-мм и 75-мм пушки противника могут поражать наши танки, в том числе и лобовые детали с дистанций 2000 м, тогда как 85-мм пушки танка Т-34 могут поражать лишь бортовую и кормовую броню танка Тигр Б с дистанций 1200 м и лобовую броню танка Тигр Б с дистанций 700 м.</w:t>
      </w:r>
    </w:p>
    <w:p w14:paraId="7DF215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Предлагаемые мероприятия</w:t>
      </w:r>
    </w:p>
    <w:p w14:paraId="4B2763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усиления танкового вооружения, для обеспечения возможности надежного пробития брони современных танков противника необходимо провести:</w:t>
      </w:r>
    </w:p>
    <w:p w14:paraId="4118082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Отработать и ввести на вооружение танков Т-44 100-мм пушку Д-1 ОТ. Срок отработки следует установить 15 февраля 1945 года.</w:t>
      </w:r>
    </w:p>
    <w:p w14:paraId="51FCF7C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Наладить на заводе №112 выпуск танков Т-44, вооруженных 100-мм пушками с тем, что</w:t>
      </w:r>
      <w:r w:rsidRPr="00925F26">
        <w:rPr>
          <w:color w:val="000000" w:themeColor="text1"/>
          <w:sz w:val="16"/>
          <w:szCs w:val="16"/>
        </w:rPr>
        <w:softHyphen/>
        <w:t>бы к 1 июня 1945 г. перейти целиком на выпуск Т-44.</w:t>
      </w:r>
    </w:p>
    <w:p w14:paraId="70BAC8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Наладить на заводе №174 выпуск атрсамоходов СУ-100 с тем, чтобы, начиная с марта 1945 го</w:t>
      </w:r>
      <w:r w:rsidRPr="00925F26">
        <w:rPr>
          <w:color w:val="000000" w:themeColor="text1"/>
          <w:sz w:val="16"/>
          <w:szCs w:val="16"/>
        </w:rPr>
        <w:softHyphen/>
        <w:t>да, перейти целиком на выпуск СУ-100.</w:t>
      </w:r>
    </w:p>
    <w:p w14:paraId="48A66D2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Поставить перед НКВ и ГАУ КА вопрос об обеспечении 100-мм пушками и прицелами ТШ-19 все выпускаемые танки и артсамоходы.</w:t>
      </w:r>
    </w:p>
    <w:p w14:paraId="33B686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Для обеспечения повышения скорострельности ускорить отработку механизма подачи сна</w:t>
      </w:r>
      <w:r w:rsidRPr="00925F26">
        <w:rPr>
          <w:color w:val="000000" w:themeColor="text1"/>
          <w:sz w:val="16"/>
          <w:szCs w:val="16"/>
        </w:rPr>
        <w:softHyphen/>
        <w:t>рядов пушки Д-25 с тем, чтобы к 1 апреля с. г. устанавливать его на всех выпускаемых танках ИС и артсамоходах ИСУ-122С.</w:t>
      </w:r>
    </w:p>
    <w:p w14:paraId="7C58767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Поставить перед НКВ и ГАУ КА вопрос о повышении качества 85-мм бронебойных снарядов с тем, чтобы обеспечить пробитие бортовой брони тяжелых немецких танков с дистанции 2000 м.</w:t>
      </w:r>
    </w:p>
    <w:p w14:paraId="68C52C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Дать задание НКВ и ГАУ КА на разработку установки в тяжелые танки крупнокалиберного пулемета вместо спаренного с пушкой пулемета ДТ.</w:t>
      </w:r>
    </w:p>
    <w:p w14:paraId="6F45A4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Дать задание НКВ и ГАУ КА на разработку установки в танках Т-34, взамен пулеметов ДТ, пу</w:t>
      </w:r>
      <w:r w:rsidRPr="00925F26">
        <w:rPr>
          <w:color w:val="000000" w:themeColor="text1"/>
          <w:sz w:val="16"/>
          <w:szCs w:val="16"/>
        </w:rPr>
        <w:softHyphen/>
        <w:t>леметов ленточного питания ГВГ.</w:t>
      </w:r>
    </w:p>
    <w:p w14:paraId="5DB5E2E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Поставить перед НКВ и ГАУ КА вопрос об ускорении отработки 85-мм пушки для установки ее на легкие артсамоходы вместо 76-мм пушки ЗИС-3.</w:t>
      </w:r>
    </w:p>
    <w:p w14:paraId="25CF514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Поставить перед НКСМ вопрос о переводе завода №40 на выпуск СУ-85, согласовав сроки раз</w:t>
      </w:r>
      <w:r w:rsidRPr="00925F26">
        <w:rPr>
          <w:color w:val="000000" w:themeColor="text1"/>
          <w:sz w:val="16"/>
          <w:szCs w:val="16"/>
        </w:rPr>
        <w:softHyphen/>
        <w:t>вертывания выпуска СУ-85 со сроками выпуска 85-мм пушек.</w:t>
      </w:r>
    </w:p>
    <w:p w14:paraId="1D6DC6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Поставить перед НКСМ вопрос о развертывании, в соответствии с результатами испыта</w:t>
      </w:r>
      <w:r w:rsidRPr="00925F26">
        <w:rPr>
          <w:color w:val="000000" w:themeColor="text1"/>
          <w:sz w:val="16"/>
          <w:szCs w:val="16"/>
        </w:rPr>
        <w:softHyphen/>
        <w:t>ний, выпуска на заводе №40 не менее 50 штук ежемесячно зенитных артсамоходов СУ-37.</w:t>
      </w:r>
    </w:p>
    <w:p w14:paraId="176878B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Поставить перед НКВ и НКТП вопрос об ускорении отработки и запуске в серийное произ</w:t>
      </w:r>
      <w:r w:rsidRPr="00925F26">
        <w:rPr>
          <w:color w:val="000000" w:themeColor="text1"/>
          <w:sz w:val="16"/>
          <w:szCs w:val="16"/>
        </w:rPr>
        <w:softHyphen/>
        <w:t>водство 122-мм пушки Д-30 для установки в танки и артсамоходы, начиная с июля 1945 года.</w:t>
      </w:r>
    </w:p>
    <w:p w14:paraId="1DEC6AA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3 отдела УСА ГБТУ КА инженер-подполковник Ратников</w:t>
      </w:r>
    </w:p>
    <w:p w14:paraId="11C4AF3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2732. Л. 4,5-7. Копия (11420).</w:t>
      </w:r>
    </w:p>
    <w:p w14:paraId="41836278" w14:textId="77777777" w:rsidR="00C2313B" w:rsidRPr="00925F26" w:rsidRDefault="00C2313B" w:rsidP="00925F26">
      <w:pPr>
        <w:autoSpaceDE w:val="0"/>
        <w:autoSpaceDN w:val="0"/>
        <w:adjustRightInd w:val="0"/>
        <w:jc w:val="both"/>
        <w:rPr>
          <w:color w:val="000000" w:themeColor="text1"/>
          <w:sz w:val="16"/>
          <w:szCs w:val="16"/>
        </w:rPr>
      </w:pPr>
    </w:p>
    <w:p w14:paraId="68656EFB" w14:textId="77777777" w:rsidR="004945E9" w:rsidRPr="00925F26" w:rsidRDefault="004945E9" w:rsidP="00925F26">
      <w:pPr>
        <w:jc w:val="both"/>
        <w:rPr>
          <w:color w:val="000000" w:themeColor="text1"/>
          <w:sz w:val="16"/>
          <w:szCs w:val="16"/>
        </w:rPr>
      </w:pPr>
      <w:r w:rsidRPr="00925F26">
        <w:rPr>
          <w:color w:val="000000" w:themeColor="text1"/>
          <w:sz w:val="16"/>
          <w:szCs w:val="16"/>
        </w:rPr>
        <w:t>5 февраля 1945 г. вышел приказ НКТП №66, в соответствии с которым в мае 1945 г. конструкторским бюро ЧКЗ (СКБ-2) и Опытного завода N9100 (ОКБ) была поручена разработка эскизных проектов различных вариантов тяжелых танков мощного бронирования (). Вариант тяжелого танка, создававшийся в СКБ-2 ЧКЗ под руководством Н.Л. Духова, имел индекс «ОБЪЕКТ 705»; в ОКБ Опытного завода №100 работы по машине, получившей наименование ИС-7 («ОБЪЕКТ 257»), осуществлялись под руководством Ж.Я. Котина и А.С. Ермолаева.</w:t>
      </w:r>
    </w:p>
    <w:p w14:paraId="165F87C6" w14:textId="77777777" w:rsidR="004945E9" w:rsidRPr="00925F26" w:rsidRDefault="004945E9" w:rsidP="00925F26">
      <w:pPr>
        <w:jc w:val="both"/>
        <w:rPr>
          <w:color w:val="000000" w:themeColor="text1"/>
          <w:sz w:val="16"/>
          <w:szCs w:val="16"/>
        </w:rPr>
      </w:pPr>
      <w:r w:rsidRPr="00925F26">
        <w:rPr>
          <w:color w:val="000000" w:themeColor="text1"/>
          <w:sz w:val="16"/>
          <w:szCs w:val="16"/>
        </w:rPr>
        <w:t>Разработка этих машин велась в соответствии с требованиями, аналогичными для танка ИС-4.</w:t>
      </w:r>
    </w:p>
    <w:p w14:paraId="69E882AE" w14:textId="77777777" w:rsidR="004945E9" w:rsidRPr="00925F26" w:rsidRDefault="004945E9" w:rsidP="00925F26">
      <w:pPr>
        <w:jc w:val="both"/>
        <w:rPr>
          <w:color w:val="000000" w:themeColor="text1"/>
          <w:sz w:val="16"/>
          <w:szCs w:val="16"/>
        </w:rPr>
      </w:pPr>
      <w:r w:rsidRPr="00925F26">
        <w:rPr>
          <w:color w:val="000000" w:themeColor="text1"/>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17EA3F8E" w14:textId="77777777" w:rsidR="004945E9" w:rsidRPr="00925F26" w:rsidRDefault="004945E9" w:rsidP="00925F26">
      <w:pPr>
        <w:jc w:val="both"/>
        <w:rPr>
          <w:color w:val="000000" w:themeColor="text1"/>
          <w:sz w:val="16"/>
          <w:szCs w:val="16"/>
        </w:rPr>
      </w:pPr>
      <w:r w:rsidRPr="00925F26">
        <w:rPr>
          <w:color w:val="000000" w:themeColor="text1"/>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1094E51C" w14:textId="77777777" w:rsidR="004945E9" w:rsidRPr="00925F26" w:rsidRDefault="004945E9" w:rsidP="00925F26">
      <w:pPr>
        <w:jc w:val="both"/>
        <w:rPr>
          <w:color w:val="000000" w:themeColor="text1"/>
          <w:sz w:val="16"/>
          <w:szCs w:val="16"/>
        </w:rPr>
      </w:pPr>
      <w:r w:rsidRPr="00925F26">
        <w:rPr>
          <w:color w:val="000000" w:themeColor="text1"/>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3B261154" w14:textId="77777777" w:rsidR="004945E9" w:rsidRPr="00925F26" w:rsidRDefault="004945E9" w:rsidP="00925F26">
      <w:pPr>
        <w:jc w:val="both"/>
        <w:rPr>
          <w:color w:val="000000" w:themeColor="text1"/>
          <w:sz w:val="16"/>
          <w:szCs w:val="16"/>
        </w:rPr>
      </w:pPr>
      <w:r w:rsidRPr="00925F26">
        <w:rPr>
          <w:color w:val="000000" w:themeColor="text1"/>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3E739929" w14:textId="77777777" w:rsidR="004945E9" w:rsidRPr="00925F26" w:rsidRDefault="004945E9" w:rsidP="00925F26">
      <w:pPr>
        <w:jc w:val="both"/>
        <w:rPr>
          <w:color w:val="000000" w:themeColor="text1"/>
          <w:sz w:val="16"/>
          <w:szCs w:val="16"/>
        </w:rPr>
      </w:pPr>
      <w:r w:rsidRPr="00925F26">
        <w:rPr>
          <w:color w:val="000000" w:themeColor="text1"/>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(12259).</w:t>
      </w:r>
    </w:p>
    <w:p w14:paraId="73C784F8" w14:textId="77777777" w:rsidR="004945E9" w:rsidRPr="00925F26" w:rsidRDefault="004945E9" w:rsidP="00925F26">
      <w:pPr>
        <w:jc w:val="both"/>
        <w:rPr>
          <w:color w:val="000000" w:themeColor="text1"/>
          <w:sz w:val="16"/>
          <w:szCs w:val="16"/>
        </w:rPr>
      </w:pPr>
    </w:p>
    <w:p w14:paraId="48451E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вышло Постановление ГКО № 7484 О неотложных мерах помощи углем заводам Наркомвооружения № 3, 71, 235, 92 и 232. РГАНИР, Фонд ГКО, д. 369, лл. 92-95 (11012).</w:t>
      </w:r>
    </w:p>
    <w:p w14:paraId="1EADDB1A" w14:textId="77777777" w:rsidR="00C2313B" w:rsidRPr="00925F26" w:rsidRDefault="00C2313B" w:rsidP="00925F26">
      <w:pPr>
        <w:autoSpaceDE w:val="0"/>
        <w:autoSpaceDN w:val="0"/>
        <w:adjustRightInd w:val="0"/>
        <w:jc w:val="both"/>
        <w:rPr>
          <w:color w:val="000000" w:themeColor="text1"/>
          <w:sz w:val="16"/>
          <w:szCs w:val="16"/>
        </w:rPr>
      </w:pPr>
    </w:p>
    <w:p w14:paraId="0EBB2633"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февраля 1945 вышло Постановление ГКО № 7486 О мерах по усилению в феврале с.г. отгрузки угля железным дорогам, промышленности и электростанциям. (7307, 98-103,104-105).</w:t>
      </w:r>
    </w:p>
    <w:p w14:paraId="3CB53D62"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0009DB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2AE2E8D" w14:textId="77777777" w:rsidR="00C2313B" w:rsidRPr="00925F26" w:rsidRDefault="00C2313B" w:rsidP="00925F26">
      <w:pPr>
        <w:autoSpaceDE w:val="0"/>
        <w:autoSpaceDN w:val="0"/>
        <w:adjustRightInd w:val="0"/>
        <w:jc w:val="both"/>
        <w:rPr>
          <w:iCs/>
          <w:color w:val="000000" w:themeColor="text1"/>
          <w:sz w:val="16"/>
          <w:szCs w:val="16"/>
        </w:rPr>
      </w:pPr>
    </w:p>
    <w:p w14:paraId="6F3C80E1" w14:textId="77777777" w:rsidR="003D013D" w:rsidRPr="00925F26" w:rsidRDefault="003D013D" w:rsidP="00925F26">
      <w:pPr>
        <w:jc w:val="both"/>
        <w:rPr>
          <w:color w:val="000000" w:themeColor="text1"/>
          <w:sz w:val="16"/>
          <w:szCs w:val="16"/>
        </w:rPr>
      </w:pPr>
      <w:r w:rsidRPr="00925F26">
        <w:rPr>
          <w:bCs/>
          <w:color w:val="000000" w:themeColor="text1"/>
          <w:sz w:val="16"/>
          <w:szCs w:val="16"/>
        </w:rPr>
        <w:t>5 февраля</w:t>
      </w:r>
      <w:r w:rsidRPr="00925F26">
        <w:rPr>
          <w:color w:val="000000" w:themeColor="text1"/>
          <w:sz w:val="16"/>
          <w:szCs w:val="16"/>
        </w:rPr>
        <w:t xml:space="preserve"> в 1945 году оперативная сводка Совинформбюро:</w:t>
      </w:r>
    </w:p>
    <w:p w14:paraId="7F2937A4" w14:textId="77777777" w:rsidR="003D013D" w:rsidRPr="00925F26" w:rsidRDefault="003D013D" w:rsidP="00925F26">
      <w:pPr>
        <w:jc w:val="both"/>
        <w:rPr>
          <w:color w:val="000000" w:themeColor="text1"/>
          <w:sz w:val="16"/>
          <w:szCs w:val="16"/>
        </w:rPr>
      </w:pPr>
      <w:r w:rsidRPr="00925F26">
        <w:rPr>
          <w:color w:val="000000" w:themeColor="text1"/>
          <w:sz w:val="16"/>
          <w:szCs w:val="16"/>
        </w:rPr>
        <w:lastRenderedPageBreak/>
        <w:t>«В течение 5 февраля северо-западнее Кенигсберга наши войска продолжали бои по очищению от противника Земландского полуострова, в ходе которых заняли несколько населённых пунктов и среди них Ватцум, Гросс Лядткайм, Тиренберг, Каллен, Повайен.</w:t>
      </w:r>
    </w:p>
    <w:p w14:paraId="6B4881BE"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Севернее и юго-восточнее Франкфурта-на-Одере наши войска с боями вышли и реке Одер, заняв при этом город и железнодорожную станцию Геритц и более 100 других населённых пунктов, в том числе крупные населённые пункты Целлин, Ноймюль, Альт Шаумбург, Тирпитц, Райпциг, Мачдорф, Рампитц, Шенфельд, Гюнтерсберг, Реднитц.</w:t>
      </w:r>
    </w:p>
    <w:p w14:paraId="57A636E8" w14:textId="77777777" w:rsidR="003D013D" w:rsidRPr="00925F26" w:rsidRDefault="003D013D" w:rsidP="00925F26">
      <w:pPr>
        <w:jc w:val="both"/>
        <w:rPr>
          <w:color w:val="000000" w:themeColor="text1"/>
          <w:sz w:val="16"/>
          <w:szCs w:val="16"/>
        </w:rPr>
      </w:pPr>
      <w:r w:rsidRPr="00925F26">
        <w:rPr>
          <w:color w:val="000000" w:themeColor="text1"/>
          <w:sz w:val="16"/>
          <w:szCs w:val="16"/>
        </w:rPr>
        <w:t>В городе Познани продолжались бои по уничтожению окружённого гарнизона противника. Наши наступающие части овладели в городе оружейным заводом, на котором захватили 58 орудий, 1.250 ручных и станковых пулемётов, 130 автоматов и 1.500 винтовок.</w:t>
      </w:r>
    </w:p>
    <w:p w14:paraId="1E9536E1"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16 кварталов.</w:t>
      </w:r>
    </w:p>
    <w:p w14:paraId="5D670BFC" w14:textId="77777777" w:rsidR="003D013D" w:rsidRPr="00925F26" w:rsidRDefault="003D013D" w:rsidP="00925F26">
      <w:pPr>
        <w:jc w:val="both"/>
        <w:rPr>
          <w:color w:val="000000" w:themeColor="text1"/>
          <w:sz w:val="16"/>
          <w:szCs w:val="16"/>
        </w:rPr>
      </w:pPr>
      <w:r w:rsidRPr="00925F26">
        <w:rPr>
          <w:color w:val="000000" w:themeColor="text1"/>
          <w:sz w:val="16"/>
          <w:szCs w:val="16"/>
        </w:rPr>
        <w:t>Юго-западнее Будапешта наши войска в результате предпринятых атак овладели крупными населёнными пунктами Шерегельеш, Шарашд, Аба, Шаркерестур, Силашбалхаш.</w:t>
      </w:r>
    </w:p>
    <w:p w14:paraId="5543AFDE" w14:textId="77777777" w:rsidR="003D013D" w:rsidRPr="00925F26" w:rsidRDefault="003D013D"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0BEB204" w14:textId="77777777" w:rsidR="003D013D" w:rsidRPr="00925F26" w:rsidRDefault="003D013D" w:rsidP="00925F26">
      <w:pPr>
        <w:jc w:val="both"/>
        <w:rPr>
          <w:color w:val="000000" w:themeColor="text1"/>
          <w:sz w:val="16"/>
          <w:szCs w:val="16"/>
        </w:rPr>
      </w:pPr>
      <w:r w:rsidRPr="00925F26">
        <w:rPr>
          <w:color w:val="000000" w:themeColor="text1"/>
          <w:sz w:val="16"/>
          <w:szCs w:val="16"/>
        </w:rPr>
        <w:t>За 4 февраля подбито и уничтожено 136 немецких танков. В воздушных боях и огнём зенитной артиллерии сбито 56 самолётов противника.</w:t>
      </w:r>
    </w:p>
    <w:p w14:paraId="4EBFF92D"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Северо-западнее города Кенигсберг наши войска очищали от немцев Земландский полуостров. Зажатые на узкой полосе побережья, гитлеровцы оказывали упорное сопротивление. Советские части, с боями продвигаясь вперёд, заняли несколько сильно укреплённых населённых пунктов. На одном участке немцы предприняли ряд контратак, бросив в бой крупные силы пехоты и танков. Наши артиллеристы и пехотинцы отбили вражеские контратаки и уничтожили до полка пехоты противника и 54 немецких танка. За день боев захвачено у немцев 30 танков и самоходных орудий, 3 самолёта, 186 молевых орудий, 267 пулемётов и 1.160 автомашин. Взято в плен 1.600 немецких солдат и офицеров.</w:t>
      </w:r>
    </w:p>
    <w:p w14:paraId="35C71641" w14:textId="77777777" w:rsidR="003D013D" w:rsidRPr="00925F26" w:rsidRDefault="003D013D" w:rsidP="00925F26">
      <w:pPr>
        <w:jc w:val="both"/>
        <w:rPr>
          <w:color w:val="000000" w:themeColor="text1"/>
          <w:sz w:val="16"/>
          <w:szCs w:val="16"/>
        </w:rPr>
      </w:pPr>
      <w:r w:rsidRPr="00925F26">
        <w:rPr>
          <w:color w:val="000000" w:themeColor="text1"/>
          <w:sz w:val="16"/>
          <w:szCs w:val="16"/>
        </w:rPr>
        <w:t>Севернее и юго-восточнее города Франкфурт-на-Одере наши войска сломили сопротивление противника и вышли к реке Одер. Многочисленные группы немцев были прижаты к реке и уничтожены. Занят населённый пункт Альт Шаумбург, находящийся в 3 километрах северо-западнее немецкой крепости Кюстрин. Другие наши части с боями овладели городом Геритц, расположенным на берегу Одера в 10 километраж южнее Кюстрина. Большие потери убитыми и пленными понесла 25-я немецкая моторизованная дивизия, только что переброшенная на советско-германский фронт с Западного фронта. В одном районе наши кавалерийские части ликвидировали окружённую группу противника, состоявшую из подразделений ранее разгромлённых немецких дивизий. В течение дня наши войска уничтожили свыше 5.000 немецких солдат и офицеров. Захвачены большие трофеи, в числе которых 70 орудий, 200 пулемётов и 18 больших складов с военным имуществом. Взято в плен 1.350 немцев.</w:t>
      </w:r>
    </w:p>
    <w:p w14:paraId="31AD8C76" w14:textId="77777777" w:rsidR="003D013D" w:rsidRPr="00925F26" w:rsidRDefault="003D013D" w:rsidP="00925F26">
      <w:pPr>
        <w:jc w:val="both"/>
        <w:rPr>
          <w:color w:val="000000" w:themeColor="text1"/>
          <w:sz w:val="16"/>
          <w:szCs w:val="16"/>
        </w:rPr>
      </w:pPr>
      <w:r w:rsidRPr="00925F26">
        <w:rPr>
          <w:color w:val="000000" w:themeColor="text1"/>
          <w:sz w:val="16"/>
          <w:szCs w:val="16"/>
        </w:rPr>
        <w:t>В Будапеште, в западной части города, наши войска вели бои по уничтожению окружённой группировки противника. Оставшиеся в руках немцев городские районы расположены на холмистой местности и представляют удобный район для обороны. Противник превратил каждый каменный дом в опорный пункт сопротивления. Советские артиллеристы огнём прямой наводкой разрушают укрепления врага и подавляют его огневые точки. Вслед за этим наши штурмовые группы продвигаются вперёд и очищают от гитлеровцев дома и улицы. Артиллеристы гвардии капитана Варыгина и гвардии старшего лейтенанта Воронкова в ночном бою уничтожили десять огневых точек противника, преграждавших путь нашей пехоте. Миномётчики гвардии старших сержантов Булычёва, Конова и Любимова подбили два немецких самоходных орудия и рассеяли большую группу вражеских автоматчиков. Бойцы капитана Хайруллина выбили противника из большого здания, превращённого им в крупный опорный пункт обороны. Истреблено несколько десятков немцев.</w:t>
      </w:r>
    </w:p>
    <w:p w14:paraId="69F26454" w14:textId="77777777" w:rsidR="003D013D" w:rsidRPr="00925F26" w:rsidRDefault="003D013D" w:rsidP="00925F26">
      <w:pPr>
        <w:jc w:val="both"/>
        <w:rPr>
          <w:color w:val="000000" w:themeColor="text1"/>
          <w:sz w:val="16"/>
          <w:szCs w:val="16"/>
        </w:rPr>
      </w:pPr>
      <w:r w:rsidRPr="00925F26">
        <w:rPr>
          <w:color w:val="000000" w:themeColor="text1"/>
          <w:sz w:val="16"/>
          <w:szCs w:val="16"/>
        </w:rPr>
        <w:t>Юго-западнее Будапешта наши войска атаковали противника и овладели сильно укреплёнными позициями. Стремясь восстановить положение, гитлеровцы предприняли несколько контратак, но были отброшены. Отражая вражеские контратаки, наши артиллеристы и бронебойщики сожгли и подбили 35 танков и 15 бронетранспортеров противника.</w:t>
      </w:r>
    </w:p>
    <w:p w14:paraId="12FFE613" w14:textId="77777777" w:rsidR="003D013D" w:rsidRPr="00925F26" w:rsidRDefault="003D013D" w:rsidP="00925F26">
      <w:pPr>
        <w:jc w:val="both"/>
        <w:rPr>
          <w:color w:val="000000" w:themeColor="text1"/>
          <w:sz w:val="16"/>
          <w:szCs w:val="16"/>
        </w:rPr>
      </w:pPr>
      <w:r w:rsidRPr="00925F26">
        <w:rPr>
          <w:color w:val="000000" w:themeColor="text1"/>
          <w:sz w:val="16"/>
          <w:szCs w:val="16"/>
        </w:rPr>
        <w:t>Советские воины в боях с немецкими захватчиками показывают примеры мужества и геройства. Экипаж танка офицера Пшеничникова в одной схватке подбил немецкий танк «Пантера» и 4 бронетранспортёра. Бронебойщик гвардии рядовой Григораш уничтожил самоходное орудие противника. Орудийный расчёт гвардии сержанта Анисимова, отражая вражескую атаку, подбил 2 немецких танка и удержал свою позицию. Возвращаясь на свой аэродром, летчики лейтенант Долгов и младший лейтенант Курцидзе подверглись нападению шести немецких истребителей. Гитлеровцы атаковали самолёт Курцидзе. Лейтенант Долгов поспешил на выручку товарища и меткой очередью сбил немецкий истребитель</w:t>
      </w:r>
      <w:proofErr w:type="gramStart"/>
      <w:r w:rsidRPr="00925F26">
        <w:rPr>
          <w:color w:val="000000" w:themeColor="text1"/>
          <w:sz w:val="16"/>
          <w:szCs w:val="16"/>
        </w:rPr>
        <w:t>, Вслед</w:t>
      </w:r>
      <w:proofErr w:type="gramEnd"/>
      <w:r w:rsidRPr="00925F26">
        <w:rPr>
          <w:color w:val="000000" w:themeColor="text1"/>
          <w:sz w:val="16"/>
          <w:szCs w:val="16"/>
        </w:rPr>
        <w:t xml:space="preserve"> за этим воздушный стрелок лейтенанта Долгова старший сержант Мартынов один за другим сбил ещё два вражеских самолета. Наши штурмовики благополучно приземлились на своём аэродроме.</w:t>
      </w:r>
    </w:p>
    <w:p w14:paraId="7E2A2E88" w14:textId="77777777" w:rsidR="003D013D" w:rsidRPr="00925F26" w:rsidRDefault="003D013D" w:rsidP="00925F26">
      <w:pPr>
        <w:jc w:val="both"/>
        <w:rPr>
          <w:color w:val="000000" w:themeColor="text1"/>
          <w:sz w:val="16"/>
          <w:szCs w:val="16"/>
        </w:rPr>
      </w:pPr>
      <w:r w:rsidRPr="00925F26">
        <w:rPr>
          <w:color w:val="000000" w:themeColor="text1"/>
          <w:sz w:val="16"/>
          <w:szCs w:val="16"/>
        </w:rPr>
        <w:t xml:space="preserve">В Восточной Пруссии взят в плен капитан Рихтер. Пленный рассказал: «Я был преподавателем тактики в унтер-офицерской школе. Недавно школу спешно бросили на фронт, а меня назначили её командиром. Немецкое командование считало оборону на реке Дайме неприступной и уверяло, что </w:t>
      </w:r>
      <w:proofErr w:type="gramStart"/>
      <w:r w:rsidRPr="00925F26">
        <w:rPr>
          <w:color w:val="000000" w:themeColor="text1"/>
          <w:sz w:val="16"/>
          <w:szCs w:val="16"/>
        </w:rPr>
        <w:t>на эхом</w:t>
      </w:r>
      <w:proofErr w:type="gramEnd"/>
      <w:r w:rsidRPr="00925F26">
        <w:rPr>
          <w:color w:val="000000" w:themeColor="text1"/>
          <w:sz w:val="16"/>
          <w:szCs w:val="16"/>
        </w:rPr>
        <w:t xml:space="preserve"> участке русские не пройдут. Однако советские войска прорвали наши укрепления. Это был очень чувствительный удар, опрокинувший все наши планы».</w:t>
      </w:r>
    </w:p>
    <w:p w14:paraId="33480A1F" w14:textId="77777777" w:rsidR="003D013D" w:rsidRPr="00925F26" w:rsidRDefault="003D013D" w:rsidP="00925F26">
      <w:pPr>
        <w:jc w:val="both"/>
        <w:rPr>
          <w:color w:val="000000" w:themeColor="text1"/>
          <w:sz w:val="16"/>
          <w:szCs w:val="16"/>
        </w:rPr>
      </w:pPr>
      <w:r w:rsidRPr="00925F26">
        <w:rPr>
          <w:color w:val="000000" w:themeColor="text1"/>
          <w:sz w:val="16"/>
          <w:szCs w:val="16"/>
        </w:rPr>
        <w:t>Пленный командир 23-го немецкого крепостного пулемётного батальона капитан Отто Шундт сообщил: «Результаты последних боёв окончательно убедили меня в том, что никакие, даже самые мощные укрепления уже не спасут Германию от неизбежного разгрома. Буквально за несколько дней русские штурмом взяли несколько первоклассных крепостей. Большинство солдат моего батальона погибло. С оставшейся группой в 30 человек я сдался в плен» (15031).</w:t>
      </w:r>
    </w:p>
    <w:p w14:paraId="6DB924B2" w14:textId="77777777" w:rsidR="003D013D" w:rsidRPr="00925F26" w:rsidRDefault="003D013D" w:rsidP="00925F26">
      <w:pPr>
        <w:jc w:val="both"/>
        <w:rPr>
          <w:color w:val="000000" w:themeColor="text1"/>
          <w:sz w:val="16"/>
          <w:szCs w:val="16"/>
        </w:rPr>
      </w:pPr>
    </w:p>
    <w:p w14:paraId="72C1ADE8"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5, 1945: On the Eastern front, the Red Army approaches Elbing and Marienburg in East Prussia (3819).</w:t>
      </w:r>
    </w:p>
    <w:p w14:paraId="0B399731" w14:textId="77777777" w:rsidR="00C2313B" w:rsidRPr="00925F26" w:rsidRDefault="00C2313B" w:rsidP="00925F26">
      <w:pPr>
        <w:autoSpaceDE w:val="0"/>
        <w:autoSpaceDN w:val="0"/>
        <w:adjustRightInd w:val="0"/>
        <w:jc w:val="both"/>
        <w:rPr>
          <w:color w:val="000000" w:themeColor="text1"/>
          <w:sz w:val="16"/>
          <w:szCs w:val="16"/>
          <w:lang w:val="en-US"/>
        </w:rPr>
      </w:pPr>
    </w:p>
    <w:p w14:paraId="3B69FA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КА взяла Эльбинг и Мариенбург (3819).</w:t>
      </w:r>
    </w:p>
    <w:p w14:paraId="6BC1E049" w14:textId="77777777" w:rsidR="00C2313B" w:rsidRPr="00925F26" w:rsidRDefault="00C2313B" w:rsidP="00925F26">
      <w:pPr>
        <w:autoSpaceDE w:val="0"/>
        <w:autoSpaceDN w:val="0"/>
        <w:adjustRightInd w:val="0"/>
        <w:jc w:val="both"/>
        <w:rPr>
          <w:color w:val="000000" w:themeColor="text1"/>
          <w:sz w:val="16"/>
          <w:szCs w:val="16"/>
        </w:rPr>
      </w:pPr>
    </w:p>
    <w:p w14:paraId="07C647E2"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февраля 1945 отряды советской армии пересекли реку Одер (4962).</w:t>
      </w:r>
    </w:p>
    <w:p w14:paraId="5CC06A36"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CB793E6" w14:textId="77777777" w:rsidR="003D013D" w:rsidRPr="00925F26" w:rsidRDefault="003D013D" w:rsidP="00925F26">
      <w:pPr>
        <w:jc w:val="both"/>
        <w:rPr>
          <w:color w:val="000000" w:themeColor="text1"/>
          <w:sz w:val="16"/>
          <w:szCs w:val="16"/>
        </w:rPr>
      </w:pPr>
      <w:r w:rsidRPr="00925F26">
        <w:rPr>
          <w:bCs/>
          <w:color w:val="000000" w:themeColor="text1"/>
          <w:sz w:val="16"/>
          <w:szCs w:val="16"/>
        </w:rPr>
        <w:t>5 февраля</w:t>
      </w:r>
      <w:r w:rsidRPr="00925F26">
        <w:rPr>
          <w:color w:val="000000" w:themeColor="text1"/>
          <w:sz w:val="16"/>
          <w:szCs w:val="16"/>
        </w:rPr>
        <w:t xml:space="preserve"> в 1945 году отряды советской армии форсировали реку Одер (15031).</w:t>
      </w:r>
    </w:p>
    <w:p w14:paraId="09B1C92E" w14:textId="77777777" w:rsidR="003D013D" w:rsidRPr="00925F26" w:rsidRDefault="003D013D" w:rsidP="00925F26">
      <w:pPr>
        <w:jc w:val="both"/>
        <w:rPr>
          <w:color w:val="000000" w:themeColor="text1"/>
          <w:sz w:val="16"/>
          <w:szCs w:val="16"/>
        </w:rPr>
      </w:pPr>
    </w:p>
    <w:p w14:paraId="047FAF66"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1788CAF" w14:textId="77777777" w:rsidR="00C2313B" w:rsidRPr="00925F26" w:rsidRDefault="00C2313B" w:rsidP="00925F26">
      <w:pPr>
        <w:autoSpaceDE w:val="0"/>
        <w:autoSpaceDN w:val="0"/>
        <w:adjustRightInd w:val="0"/>
        <w:jc w:val="both"/>
        <w:rPr>
          <w:iCs/>
          <w:color w:val="000000" w:themeColor="text1"/>
          <w:sz w:val="16"/>
          <w:szCs w:val="16"/>
        </w:rPr>
      </w:pPr>
    </w:p>
    <w:p w14:paraId="78B9EA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февраля 1945 г. впервые официальная советская позиция о репарациях с Германии была из</w:t>
      </w:r>
      <w:r w:rsidRPr="00925F26">
        <w:rPr>
          <w:color w:val="000000" w:themeColor="text1"/>
          <w:sz w:val="16"/>
          <w:szCs w:val="16"/>
        </w:rPr>
        <w:softHyphen/>
        <w:t>ложена еще во время войны, на Крымской конференции союзных держав. В результате переговоров главами правительств Великобритании, СССР и США был подписан протокол о переговорах по вопросу о репарациях с Германии. Стороны договорились о том, что репарации должны взиматься натурой путем еди</w:t>
      </w:r>
      <w:r w:rsidRPr="00925F26">
        <w:rPr>
          <w:color w:val="000000" w:themeColor="text1"/>
          <w:sz w:val="16"/>
          <w:szCs w:val="16"/>
        </w:rPr>
        <w:softHyphen/>
        <w:t>новременных изъятий из национального богатства Германии и ежегодных товар</w:t>
      </w:r>
      <w:r w:rsidRPr="00925F26">
        <w:rPr>
          <w:color w:val="000000" w:themeColor="text1"/>
          <w:sz w:val="16"/>
          <w:szCs w:val="16"/>
        </w:rPr>
        <w:softHyphen/>
        <w:t>ных поставок из текущей продукции. Для выработки подробного репарационного плана предусматривалось учреждение в Москве Международной комиссии по репа</w:t>
      </w:r>
      <w:r w:rsidRPr="00925F26">
        <w:rPr>
          <w:color w:val="000000" w:themeColor="text1"/>
          <w:sz w:val="16"/>
          <w:szCs w:val="16"/>
        </w:rPr>
        <w:softHyphen/>
        <w:t>рациям в составе представителей трех держав. Стороны согласились принять в ка</w:t>
      </w:r>
      <w:r w:rsidRPr="00925F26">
        <w:rPr>
          <w:color w:val="000000" w:themeColor="text1"/>
          <w:sz w:val="16"/>
          <w:szCs w:val="16"/>
        </w:rPr>
        <w:softHyphen/>
        <w:t>честве базы для обсуждения советское предложение о том, что общая сумма репара</w:t>
      </w:r>
      <w:r w:rsidRPr="00925F26">
        <w:rPr>
          <w:color w:val="000000" w:themeColor="text1"/>
          <w:sz w:val="16"/>
          <w:szCs w:val="16"/>
        </w:rPr>
        <w:softHyphen/>
        <w:t>ций должна составлять 20 млрд долларов США и что 50% этой суммы пойдет Советскому Союзу.</w:t>
      </w:r>
    </w:p>
    <w:p w14:paraId="0F78EE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Берлинской конференции трех держав в июле — августе 1945 г. вопрос о ре</w:t>
      </w:r>
      <w:r w:rsidRPr="00925F26">
        <w:rPr>
          <w:color w:val="000000" w:themeColor="text1"/>
          <w:sz w:val="16"/>
          <w:szCs w:val="16"/>
        </w:rPr>
        <w:softHyphen/>
        <w:t>парациях с Германии стал предметом острых дискуссий. Советская сторона в прин</w:t>
      </w:r>
      <w:r w:rsidRPr="00925F26">
        <w:rPr>
          <w:color w:val="000000" w:themeColor="text1"/>
          <w:sz w:val="16"/>
          <w:szCs w:val="16"/>
        </w:rPr>
        <w:softHyphen/>
        <w:t>ципе согласилась с позицией западных держав о взимании репараций по отдельным оккупационным зонам, понимая нереалистичность своего первоначального предло</w:t>
      </w:r>
      <w:r w:rsidRPr="00925F26">
        <w:rPr>
          <w:color w:val="000000" w:themeColor="text1"/>
          <w:sz w:val="16"/>
          <w:szCs w:val="16"/>
        </w:rPr>
        <w:softHyphen/>
        <w:t>жения о составлении общего для всех союзников плана репарационных платежей с Германии. В третьем разделе протокола конференции, касавшемся репараций, было записано, что СССР получит дополнительно из западных оккупационных зон 15% промышленного оборудования в обмен на эквивалентную стоимость некоторых то</w:t>
      </w:r>
      <w:r w:rsidRPr="00925F26">
        <w:rPr>
          <w:color w:val="000000" w:themeColor="text1"/>
          <w:sz w:val="16"/>
          <w:szCs w:val="16"/>
        </w:rPr>
        <w:softHyphen/>
        <w:t>варов из Советской зоны оккупации и еще 10% оборудования без оплаты или возме</w:t>
      </w:r>
      <w:r w:rsidRPr="00925F26">
        <w:rPr>
          <w:color w:val="000000" w:themeColor="text1"/>
          <w:sz w:val="16"/>
          <w:szCs w:val="16"/>
        </w:rPr>
        <w:softHyphen/>
        <w:t>щения. При этом количество оборудования, подлежащего изъятию из западных зон в счет репараций для СССР, должно было быть определено в течение шести меся</w:t>
      </w:r>
      <w:r w:rsidRPr="00925F26">
        <w:rPr>
          <w:color w:val="000000" w:themeColor="text1"/>
          <w:sz w:val="16"/>
          <w:szCs w:val="16"/>
        </w:rPr>
        <w:softHyphen/>
        <w:t>цев. В соответствии с решениями Берлинской конференции СССР также взял на себя обязательство удовлетворить репарационные претензии Польши к Германии из своей репарационной доли. Соответствующее соглашение между СССР и Поль</w:t>
      </w:r>
      <w:r w:rsidRPr="00925F26">
        <w:rPr>
          <w:color w:val="000000" w:themeColor="text1"/>
          <w:sz w:val="16"/>
          <w:szCs w:val="16"/>
        </w:rPr>
        <w:softHyphen/>
        <w:t>шей было заключено 16 августа 1945 г. СССР уступал Польше 15% всех репарацион</w:t>
      </w:r>
      <w:r w:rsidRPr="00925F26">
        <w:rPr>
          <w:color w:val="000000" w:themeColor="text1"/>
          <w:sz w:val="16"/>
          <w:szCs w:val="16"/>
        </w:rPr>
        <w:softHyphen/>
        <w:t>ных поставок из Советской зоны оккупации Германии, которые он должен был по</w:t>
      </w:r>
      <w:r w:rsidRPr="00925F26">
        <w:rPr>
          <w:color w:val="000000" w:themeColor="text1"/>
          <w:sz w:val="16"/>
          <w:szCs w:val="16"/>
        </w:rPr>
        <w:softHyphen/>
        <w:t>лучить в порядке обмена на другие товары, и 15% оборудования, которое вывозилось из Советской зоны оккупации без возмещения. Де-факто с первых дней оккупации Германии СССР взял курс на зональное изъятие репараций. Это прояви</w:t>
      </w:r>
      <w:r w:rsidRPr="00925F26">
        <w:rPr>
          <w:color w:val="000000" w:themeColor="text1"/>
          <w:sz w:val="16"/>
          <w:szCs w:val="16"/>
        </w:rPr>
        <w:softHyphen/>
        <w:t>лось в массовом демонтаже немецких предприятий и других технических объектов. Являясь в этот период времени основной формой возмещения огромного матери</w:t>
      </w:r>
      <w:r w:rsidRPr="00925F26">
        <w:rPr>
          <w:color w:val="000000" w:themeColor="text1"/>
          <w:sz w:val="16"/>
          <w:szCs w:val="16"/>
        </w:rPr>
        <w:softHyphen/>
        <w:t>ального ущерба, нанесенного Советскому Союзу немецкой агрессией, демонтажные работы в Советской зоне оккупации имели безусловный приоритет для советских оккупационных властей. То, что державами-победительницами еще даже не были выработаны основы совместной репарационной политики в отношении Германии, совершенно не меняло позиции советской стороны по этому вопросу. Лишь в сере</w:t>
      </w:r>
      <w:r w:rsidRPr="00925F26">
        <w:rPr>
          <w:color w:val="000000" w:themeColor="text1"/>
          <w:sz w:val="16"/>
          <w:szCs w:val="16"/>
        </w:rPr>
        <w:softHyphen/>
        <w:t>дине октября 1945 г. появилось распоряжение СНК СССР о «прекращении само</w:t>
      </w:r>
      <w:r w:rsidRPr="00925F26">
        <w:rPr>
          <w:color w:val="000000" w:themeColor="text1"/>
          <w:sz w:val="16"/>
          <w:szCs w:val="16"/>
        </w:rPr>
        <w:softHyphen/>
        <w:t>вольного изъятия трофеев» в Советской зоне оккупации Германии, при этом распо</w:t>
      </w:r>
      <w:r w:rsidRPr="00925F26">
        <w:rPr>
          <w:color w:val="000000" w:themeColor="text1"/>
          <w:sz w:val="16"/>
          <w:szCs w:val="16"/>
        </w:rPr>
        <w:softHyphen/>
        <w:t>ряжение СНК весьма красноречиво комментировалось телеграммой наркома иностранных дел СССР В.М. Молотова, адресованной Главноначальствующему СВАГ Г.К. Жукову: «Текст постановления Совнаркома сформулирован таким обра</w:t>
      </w:r>
      <w:r w:rsidRPr="00925F26">
        <w:rPr>
          <w:color w:val="000000" w:themeColor="text1"/>
          <w:sz w:val="16"/>
          <w:szCs w:val="16"/>
        </w:rPr>
        <w:softHyphen/>
        <w:t>зом, чтобы в случае необходимости он мог быть использован в будущем для предъ</w:t>
      </w:r>
      <w:r w:rsidRPr="00925F26">
        <w:rPr>
          <w:color w:val="000000" w:themeColor="text1"/>
          <w:sz w:val="16"/>
          <w:szCs w:val="16"/>
        </w:rPr>
        <w:softHyphen/>
        <w:t>явления союзникам». Одновременно подчеркивалось, что это решение «отнюдь не должно задерживать выполнение решений ГКО о демонтаже германских предприя</w:t>
      </w:r>
      <w:r w:rsidRPr="00925F26">
        <w:rPr>
          <w:color w:val="000000" w:themeColor="text1"/>
          <w:sz w:val="16"/>
          <w:szCs w:val="16"/>
        </w:rPr>
        <w:softHyphen/>
        <w:t>тий и вывозе трофейного имущества» (см.: ГА РФ. Ф. Р-9401. Оп. 2. Д. 104. Л. 281). После Берлинской конференции вопрос о репарациях продолжал оставаться посто</w:t>
      </w:r>
      <w:r w:rsidRPr="00925F26">
        <w:rPr>
          <w:color w:val="000000" w:themeColor="text1"/>
          <w:sz w:val="16"/>
          <w:szCs w:val="16"/>
        </w:rPr>
        <w:softHyphen/>
        <w:t>янным раздражителем в отношениях СССР и западных союзников в Германии. По</w:t>
      </w:r>
      <w:r w:rsidRPr="00925F26">
        <w:rPr>
          <w:color w:val="000000" w:themeColor="text1"/>
          <w:sz w:val="16"/>
          <w:szCs w:val="16"/>
        </w:rPr>
        <w:softHyphen/>
        <w:t>этому основные усилия Москвы и советских оккупационных властей в этом направ</w:t>
      </w:r>
      <w:r w:rsidRPr="00925F26">
        <w:rPr>
          <w:color w:val="000000" w:themeColor="text1"/>
          <w:sz w:val="16"/>
          <w:szCs w:val="16"/>
        </w:rPr>
        <w:softHyphen/>
        <w:t>лении сосредоточились на Советской оккупационной зоне. Так, например, в 1946 г. упор был сделан на изъятие репараций в форме поставок продукции из текущего производства зоны. Для этой цели несколько сотен немецких промышленных пред</w:t>
      </w:r>
      <w:r w:rsidRPr="00925F26">
        <w:rPr>
          <w:color w:val="000000" w:themeColor="text1"/>
          <w:sz w:val="16"/>
          <w:szCs w:val="16"/>
        </w:rPr>
        <w:softHyphen/>
        <w:t>приятий и др. технических объектов были объявлены собственностью СССР и на их базе был образован ряд Советских акционерных обществ в Германии. См.: Пос</w:t>
      </w:r>
      <w:r w:rsidRPr="00925F26">
        <w:rPr>
          <w:color w:val="000000" w:themeColor="text1"/>
          <w:sz w:val="16"/>
          <w:szCs w:val="16"/>
        </w:rPr>
        <w:softHyphen/>
        <w:t xml:space="preserve">тановление Совета Народных Комиссаров </w:t>
      </w:r>
      <w:r w:rsidRPr="00925F26">
        <w:rPr>
          <w:color w:val="000000" w:themeColor="text1"/>
          <w:sz w:val="16"/>
          <w:szCs w:val="16"/>
        </w:rPr>
        <w:lastRenderedPageBreak/>
        <w:t>СССР № 175-68с от 25 января 1946 г. об изъятии в собственность СССР германских предприятий и об организации на базе этих предприятий акционерных обществ. Приложение: список германских пред</w:t>
      </w:r>
      <w:r w:rsidRPr="00925F26">
        <w:rPr>
          <w:color w:val="000000" w:themeColor="text1"/>
          <w:sz w:val="16"/>
          <w:szCs w:val="16"/>
        </w:rPr>
        <w:softHyphen/>
        <w:t>приятий, изымаемых в собственность Советского Союза. Там же. Ф. Р-7317. Оп. 7. Д. 17. Л. 3—18; Приказ Главноначальствующего СВАГ № 003 от 8 марта 1946 г. «Об изъятии и передаче в собственность СССР германских предприятий и об организа</w:t>
      </w:r>
      <w:r w:rsidRPr="00925F26">
        <w:rPr>
          <w:color w:val="000000" w:themeColor="text1"/>
          <w:sz w:val="16"/>
          <w:szCs w:val="16"/>
        </w:rPr>
        <w:softHyphen/>
        <w:t>ции на базе этих предприятий акционерных обществ». Там же. Д. 29. Л. 9—25; При</w:t>
      </w:r>
      <w:r w:rsidRPr="00925F26">
        <w:rPr>
          <w:color w:val="000000" w:themeColor="text1"/>
          <w:sz w:val="16"/>
          <w:szCs w:val="16"/>
        </w:rPr>
        <w:softHyphen/>
        <w:t>каз Главноначальствующего СВАГ № 167 от 5 июня 1946 г. о переходе в собствен</w:t>
      </w:r>
      <w:r w:rsidRPr="00925F26">
        <w:rPr>
          <w:color w:val="000000" w:themeColor="text1"/>
          <w:sz w:val="16"/>
          <w:szCs w:val="16"/>
        </w:rPr>
        <w:softHyphen/>
        <w:t>ность СССР предприятий в Германии в порядке удовлетворения репарационных претензий СССР. Там же. Оп. 8. Д. 5. Л. 312—324 (11419).</w:t>
      </w:r>
    </w:p>
    <w:p w14:paraId="2D6E61A1" w14:textId="77777777" w:rsidR="00C2313B" w:rsidRPr="00925F26" w:rsidRDefault="00C2313B" w:rsidP="00925F26">
      <w:pPr>
        <w:autoSpaceDE w:val="0"/>
        <w:autoSpaceDN w:val="0"/>
        <w:adjustRightInd w:val="0"/>
        <w:jc w:val="both"/>
        <w:rPr>
          <w:color w:val="000000" w:themeColor="text1"/>
          <w:sz w:val="16"/>
          <w:szCs w:val="16"/>
        </w:rPr>
      </w:pPr>
    </w:p>
    <w:p w14:paraId="7EA41C9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февраля 1945 вышло Постановление ГКО № 7483 Об использовании для ремонта боевой техники промышленных предприятий Будапешта. РГАНИР, Фонд ГКО, д. 369, лл. 90-91 (11012).</w:t>
      </w:r>
    </w:p>
    <w:p w14:paraId="78E9315B" w14:textId="77777777" w:rsidR="00C2313B" w:rsidRPr="00925F26" w:rsidRDefault="00C2313B" w:rsidP="00925F26">
      <w:pPr>
        <w:autoSpaceDE w:val="0"/>
        <w:autoSpaceDN w:val="0"/>
        <w:adjustRightInd w:val="0"/>
        <w:jc w:val="both"/>
        <w:rPr>
          <w:color w:val="000000" w:themeColor="text1"/>
          <w:sz w:val="16"/>
          <w:szCs w:val="16"/>
        </w:rPr>
      </w:pPr>
    </w:p>
    <w:p w14:paraId="251756F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B6EF7CD" w14:textId="77777777" w:rsidR="00C2313B" w:rsidRPr="00925F26" w:rsidRDefault="00C2313B" w:rsidP="00925F26">
      <w:pPr>
        <w:autoSpaceDE w:val="0"/>
        <w:autoSpaceDN w:val="0"/>
        <w:adjustRightInd w:val="0"/>
        <w:jc w:val="both"/>
        <w:rPr>
          <w:iCs/>
          <w:color w:val="000000" w:themeColor="text1"/>
          <w:sz w:val="16"/>
          <w:szCs w:val="16"/>
        </w:rPr>
      </w:pPr>
    </w:p>
    <w:p w14:paraId="3B25394E" w14:textId="77777777" w:rsidR="003D013D" w:rsidRPr="00925F26" w:rsidRDefault="003D013D" w:rsidP="00925F26">
      <w:pPr>
        <w:jc w:val="both"/>
        <w:rPr>
          <w:color w:val="000000" w:themeColor="text1"/>
          <w:sz w:val="16"/>
          <w:szCs w:val="16"/>
        </w:rPr>
      </w:pPr>
      <w:r w:rsidRPr="00925F26">
        <w:rPr>
          <w:bCs/>
          <w:color w:val="000000" w:themeColor="text1"/>
          <w:sz w:val="16"/>
          <w:szCs w:val="16"/>
        </w:rPr>
        <w:t>5 февраля</w:t>
      </w:r>
      <w:r w:rsidRPr="00925F26">
        <w:rPr>
          <w:color w:val="000000" w:themeColor="text1"/>
          <w:sz w:val="16"/>
          <w:szCs w:val="16"/>
        </w:rPr>
        <w:t xml:space="preserve"> в 1945 году из-за ухудшающейся ситуации на фронтах вся работа над германским самолетом-разведчиком </w:t>
      </w:r>
      <w:hyperlink r:id="rId32" w:tgtFrame="_blank" w:history="1">
        <w:r w:rsidRPr="00925F26">
          <w:rPr>
            <w:color w:val="000000" w:themeColor="text1"/>
            <w:sz w:val="16"/>
            <w:szCs w:val="16"/>
          </w:rPr>
          <w:t xml:space="preserve">«Ju 635» </w:t>
        </w:r>
      </w:hyperlink>
      <w:r w:rsidRPr="00925F26">
        <w:rPr>
          <w:color w:val="000000" w:themeColor="text1"/>
          <w:sz w:val="16"/>
          <w:szCs w:val="16"/>
        </w:rPr>
        <w:t>была остановлена (15031).</w:t>
      </w:r>
    </w:p>
    <w:p w14:paraId="1E144A44" w14:textId="77777777" w:rsidR="003D013D" w:rsidRPr="00925F26" w:rsidRDefault="003D013D" w:rsidP="00925F26">
      <w:pPr>
        <w:jc w:val="both"/>
        <w:rPr>
          <w:color w:val="000000" w:themeColor="text1"/>
          <w:sz w:val="16"/>
          <w:szCs w:val="16"/>
        </w:rPr>
      </w:pPr>
    </w:p>
    <w:p w14:paraId="0B71DFE2"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февраля 1945 левые греческие партизаны согласились сложить оружие в обмен на обещание амнистии со стороны проанглийского правительства Греции (4962).</w:t>
      </w:r>
    </w:p>
    <w:p w14:paraId="2AA69807"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5422FD7D" w14:textId="77777777" w:rsidR="003D013D" w:rsidRPr="00925F26" w:rsidRDefault="003D013D" w:rsidP="00925F26">
      <w:pPr>
        <w:jc w:val="both"/>
        <w:rPr>
          <w:color w:val="000000" w:themeColor="text1"/>
          <w:sz w:val="16"/>
          <w:szCs w:val="16"/>
        </w:rPr>
      </w:pPr>
      <w:r w:rsidRPr="00925F26">
        <w:rPr>
          <w:bCs/>
          <w:color w:val="000000" w:themeColor="text1"/>
          <w:sz w:val="16"/>
          <w:szCs w:val="16"/>
        </w:rPr>
        <w:t>5 февраля</w:t>
      </w:r>
      <w:r w:rsidRPr="00925F26">
        <w:rPr>
          <w:color w:val="000000" w:themeColor="text1"/>
          <w:sz w:val="16"/>
          <w:szCs w:val="16"/>
        </w:rPr>
        <w:t xml:space="preserve"> в 1945 году левые греческие партизаны соглашаются сложить оружие в обмен на обещание амнистии со стороны проанглийского правительства Греции (15031).</w:t>
      </w:r>
    </w:p>
    <w:p w14:paraId="5D63800C" w14:textId="77777777" w:rsidR="003D013D" w:rsidRPr="00925F26" w:rsidRDefault="003D013D" w:rsidP="00925F26">
      <w:pPr>
        <w:jc w:val="both"/>
        <w:rPr>
          <w:color w:val="000000" w:themeColor="text1"/>
          <w:sz w:val="16"/>
          <w:szCs w:val="16"/>
        </w:rPr>
      </w:pPr>
    </w:p>
    <w:p w14:paraId="4D342BD1" w14:textId="77777777" w:rsidR="003D013D" w:rsidRPr="00925F26" w:rsidRDefault="003D013D"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февраля 1945 на скачках в Мексике лошадь Большая Ракета установила мировой рекорд скорости - 70 км/ч (4962).</w:t>
      </w:r>
    </w:p>
    <w:p w14:paraId="6581DA7F" w14:textId="77777777" w:rsidR="003D013D" w:rsidRPr="00925F26" w:rsidRDefault="003D013D" w:rsidP="00925F26">
      <w:pPr>
        <w:tabs>
          <w:tab w:val="left" w:pos="11199"/>
        </w:tabs>
        <w:autoSpaceDE w:val="0"/>
        <w:autoSpaceDN w:val="0"/>
        <w:adjustRightInd w:val="0"/>
        <w:jc w:val="both"/>
        <w:rPr>
          <w:color w:val="000000" w:themeColor="text1"/>
          <w:sz w:val="16"/>
          <w:szCs w:val="16"/>
        </w:rPr>
      </w:pPr>
    </w:p>
    <w:p w14:paraId="41A837B7"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D6E51CD" w14:textId="77777777" w:rsidR="00C2313B" w:rsidRPr="00925F26" w:rsidRDefault="00C2313B" w:rsidP="00925F26">
      <w:pPr>
        <w:autoSpaceDE w:val="0"/>
        <w:autoSpaceDN w:val="0"/>
        <w:adjustRightInd w:val="0"/>
        <w:jc w:val="both"/>
        <w:rPr>
          <w:iCs/>
          <w:color w:val="000000" w:themeColor="text1"/>
          <w:sz w:val="16"/>
          <w:szCs w:val="16"/>
        </w:rPr>
      </w:pPr>
    </w:p>
    <w:p w14:paraId="3C451C0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вышел приказ НКАП N 43сс:</w:t>
      </w:r>
    </w:p>
    <w:p w14:paraId="425060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39 Нестерову построить один опытный летный экз. нового бронированного штурмовика (Ил-16) с АМ-43 с нижеследующими ЛД:</w:t>
      </w:r>
    </w:p>
    <w:p w14:paraId="208D3E8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Макс. скорость у земли - 560 км/час</w:t>
      </w:r>
    </w:p>
    <w:p w14:paraId="65A5899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Макс. скорость на высоте 3400 м - 625 км/час</w:t>
      </w:r>
    </w:p>
    <w:p w14:paraId="1A9CC5B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Потолок - 9000 м</w:t>
      </w:r>
    </w:p>
    <w:p w14:paraId="0B5AD9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Макс. дальность - 800 км</w:t>
      </w:r>
    </w:p>
    <w:p w14:paraId="3768F80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Норм. бомбовая нагрузка - 400 кг</w:t>
      </w:r>
    </w:p>
    <w:p w14:paraId="510004D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Перегрузочный вариант бомб - 500 кг</w:t>
      </w:r>
    </w:p>
    <w:p w14:paraId="08C5FC2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Вооружение:</w:t>
      </w:r>
    </w:p>
    <w:p w14:paraId="2E6734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а) вперед - 2х23мм НС с 300</w:t>
      </w:r>
    </w:p>
    <w:p w14:paraId="4852B4F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- 2хШКАС с 1000</w:t>
      </w:r>
    </w:p>
    <w:p w14:paraId="27F4C47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назад - Б20 мм со 150</w:t>
      </w:r>
    </w:p>
    <w:p w14:paraId="7420E7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заводские летные испытания выпустить 15 июня</w:t>
      </w:r>
    </w:p>
    <w:p w14:paraId="2D650D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ГК С.В.И. сдать рабочие чертежи нового ш заводу 30 6 февраля 1945." (1889,26).</w:t>
      </w:r>
    </w:p>
    <w:p w14:paraId="18B460E9" w14:textId="77777777" w:rsidR="00C2313B" w:rsidRPr="00925F26" w:rsidRDefault="00C2313B" w:rsidP="00925F26">
      <w:pPr>
        <w:autoSpaceDE w:val="0"/>
        <w:autoSpaceDN w:val="0"/>
        <w:adjustRightInd w:val="0"/>
        <w:jc w:val="both"/>
        <w:rPr>
          <w:color w:val="000000" w:themeColor="text1"/>
          <w:sz w:val="16"/>
          <w:szCs w:val="16"/>
        </w:rPr>
      </w:pPr>
    </w:p>
    <w:p w14:paraId="5AF6828A"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6 февраля 1945 вышел приказ НКАП о постройке на заводе № 30 в Москве трех опытных экземпляров Ил-16. Второй экземпляр планировалось использовать для проведения статических испытаний,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Бомбы - 400 кг (500 кг в перегрузку). Максимальная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устанавливался 15 июня 1945 года.</w:t>
      </w:r>
    </w:p>
    <w:p w14:paraId="3DFAD54E"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 xml:space="preserve">По схеме и компоновке Ил-16 был подобен Ил-10, но меньше по размерам. Уменьшили размах и площадь крыла, а также длину фюзеляжа. Профиль крыла: по борту фюзеляжа -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0018, по внутренней хорде элеронов -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230, на конце крыла -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4410. Использовался четырехлопастный винт серии Ф-1 диаметром 3,4 м.</w:t>
      </w:r>
    </w:p>
    <w:p w14:paraId="5AD5DDC3" w14:textId="77777777" w:rsidR="001907E8" w:rsidRPr="00925F26" w:rsidRDefault="001907E8" w:rsidP="00925F26">
      <w:pPr>
        <w:jc w:val="both"/>
        <w:rPr>
          <w:color w:val="000000" w:themeColor="text1"/>
          <w:sz w:val="16"/>
          <w:szCs w:val="16"/>
        </w:rPr>
      </w:pPr>
      <w:r w:rsidRPr="00925F26">
        <w:rPr>
          <w:rStyle w:val="107"/>
          <w:rFonts w:eastAsiaTheme="minorHAnsi"/>
          <w:color w:val="000000" w:themeColor="text1"/>
          <w:sz w:val="16"/>
          <w:szCs w:val="16"/>
        </w:rPr>
        <w:t>Некоторая экономия веса достигалась и за счет изменения схемы бронирования. В верхней части капота площадь незабронированной части увеличили, а толщину боковых листов уменьшили (17490).</w:t>
      </w:r>
    </w:p>
    <w:p w14:paraId="59A9662B" w14:textId="77777777" w:rsidR="001907E8" w:rsidRPr="00925F26" w:rsidRDefault="001907E8" w:rsidP="00925F26">
      <w:pPr>
        <w:jc w:val="both"/>
        <w:rPr>
          <w:rStyle w:val="107"/>
          <w:rFonts w:eastAsiaTheme="minorHAnsi"/>
          <w:color w:val="000000" w:themeColor="text1"/>
          <w:sz w:val="16"/>
          <w:szCs w:val="16"/>
        </w:rPr>
      </w:pPr>
    </w:p>
    <w:p w14:paraId="52C161C7" w14:textId="77777777" w:rsidR="004D08EC" w:rsidRPr="00925F26" w:rsidRDefault="004D08EC"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на завод 30 была передана конструкторская документация по Ил-16 с АМ-43НВ (3846,20).</w:t>
      </w:r>
    </w:p>
    <w:p w14:paraId="5FD0E72F" w14:textId="77777777" w:rsidR="004D08EC" w:rsidRPr="00925F26" w:rsidRDefault="004D08EC" w:rsidP="00925F26">
      <w:pPr>
        <w:autoSpaceDE w:val="0"/>
        <w:autoSpaceDN w:val="0"/>
        <w:adjustRightInd w:val="0"/>
        <w:jc w:val="both"/>
        <w:rPr>
          <w:color w:val="000000" w:themeColor="text1"/>
          <w:sz w:val="16"/>
          <w:szCs w:val="16"/>
        </w:rPr>
      </w:pPr>
    </w:p>
    <w:p w14:paraId="6C41D2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Нач. 1 отд. 2У ГК НИИ ВВС и/п Гервасов подписал, а 9 февраля 1945 Левин утвердил Отчет по обобщению результатов летных испытаний по замеру расхода горючего с применением высотного корректора на самолетах с ВК-105ПФ, ВК-107В и АМ-38Ф в 1943-1944 (809,2).</w:t>
      </w:r>
    </w:p>
    <w:p w14:paraId="3430F1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Ответственный исполнитель К.А.Савенко</w:t>
      </w:r>
    </w:p>
    <w:p w14:paraId="54AA341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Сделаны выводы об эффективности применения высотных корректоров на различных режимах полета.</w:t>
      </w:r>
    </w:p>
    <w:p w14:paraId="209C51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Были использованы данные из отчетов по испытаниям с-тов Як, Пе-2, и Ил-2</w:t>
      </w:r>
    </w:p>
    <w:p w14:paraId="27F85F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исследовании эффнективности применения высотных корректоров последний открывался по внешним причинам работы мотора</w:t>
      </w:r>
    </w:p>
    <w:p w14:paraId="7E8038C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Положение сектора высотного корректора в кабине с-та отмечалось л по спецметкам, разбивающим ход сектора на равные части (кроме с-та Як-9У № 31166011, где положение сектора регистрировалось при помощи самописца).</w:t>
      </w:r>
    </w:p>
    <w:p w14:paraId="180E12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 Як-9Д № 0715306 с ВК-105ПФ № 335-1896 (апрель-май 1944)</w:t>
      </w:r>
    </w:p>
    <w:p w14:paraId="6EEAFF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 к Ф.Ф.Демида</w:t>
      </w:r>
    </w:p>
    <w:p w14:paraId="484735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 Як-9 № 09-09 с ВК-105ПФ № 325-2056 (май-июнь 1944)</w:t>
      </w:r>
    </w:p>
    <w:p w14:paraId="6EED3C9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 м-р Антипов</w:t>
      </w:r>
    </w:p>
    <w:p w14:paraId="1E3A1EC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 Ил-2 № 1122 АМ-38Ф февраля 1943</w:t>
      </w:r>
    </w:p>
    <w:p w14:paraId="36BAD16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Л Демидов</w:t>
      </w:r>
    </w:p>
    <w:p w14:paraId="3800C0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0FEB84C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Обобщение материадлов летных испытаний по замеру расхода горючего с применением высотного корректора на с-тах с моторами ВК-105ПФ, ВК-107А, АМ-38Ф показало, что экономия горючего за счет применения корректора по внешним причинам работы мотора весьма значительна и достигает в отдельных случаях 35%.</w:t>
      </w:r>
    </w:p>
    <w:p w14:paraId="5951DCB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Применение высотного корректора на режиме максимальной скорости на высоте более 4000 м дало значительный прирост скорости с-та Як-9ДД № 01-10, достигший 33 км/час (809,2).</w:t>
      </w:r>
    </w:p>
    <w:p w14:paraId="348E8166" w14:textId="77777777" w:rsidR="00C2313B" w:rsidRPr="00925F26" w:rsidRDefault="00C2313B" w:rsidP="00925F26">
      <w:pPr>
        <w:autoSpaceDE w:val="0"/>
        <w:autoSpaceDN w:val="0"/>
        <w:adjustRightInd w:val="0"/>
        <w:jc w:val="both"/>
        <w:rPr>
          <w:color w:val="000000" w:themeColor="text1"/>
          <w:sz w:val="16"/>
          <w:szCs w:val="16"/>
        </w:rPr>
      </w:pPr>
    </w:p>
    <w:p w14:paraId="5A07031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г. А.И.Ш. наложил резолюцию: "Это очень важные и интересные предложения, их нужно быстрее реализовать. Предварительно нужно провести продувки в трубе и не обязательно связываться с форсированными моторами" на январское письмо П.О.С., которая стала отправной точкой для малой модернизации Ер-2. К подготовке рабочих чертежей приступили в середине февраля. Основой для опытных экземпляров Ер-2ММ стали машины № 7063901 и № 7023901, к доработке которых приступили в апреле. На самолете № 7063901 с моторами АЧ-ЗОБ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5A0F604D" w14:textId="77777777" w:rsidR="00C2313B" w:rsidRPr="00925F26" w:rsidRDefault="00C2313B" w:rsidP="00925F26">
      <w:pPr>
        <w:autoSpaceDE w:val="0"/>
        <w:autoSpaceDN w:val="0"/>
        <w:adjustRightInd w:val="0"/>
        <w:jc w:val="both"/>
        <w:rPr>
          <w:color w:val="000000" w:themeColor="text1"/>
          <w:sz w:val="16"/>
          <w:szCs w:val="16"/>
        </w:rPr>
      </w:pPr>
    </w:p>
    <w:p w14:paraId="1AEE51F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года вышел приказ НКАП:</w:t>
      </w:r>
    </w:p>
    <w:p w14:paraId="43CB9BC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Утвердить Волкова П.П. директором завода № 230, освободив Соколовского А.Н. (8958)</w:t>
      </w:r>
    </w:p>
    <w:p w14:paraId="75248885" w14:textId="77777777" w:rsidR="00C2313B" w:rsidRPr="00925F26" w:rsidRDefault="00C2313B" w:rsidP="00925F26">
      <w:pPr>
        <w:autoSpaceDE w:val="0"/>
        <w:autoSpaceDN w:val="0"/>
        <w:adjustRightInd w:val="0"/>
        <w:jc w:val="both"/>
        <w:rPr>
          <w:iCs/>
          <w:color w:val="000000" w:themeColor="text1"/>
          <w:sz w:val="16"/>
          <w:szCs w:val="16"/>
        </w:rPr>
      </w:pPr>
    </w:p>
    <w:p w14:paraId="159644FD"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0E15C53" w14:textId="77777777" w:rsidR="00C2313B" w:rsidRPr="00925F26" w:rsidRDefault="00C2313B" w:rsidP="00925F26">
      <w:pPr>
        <w:autoSpaceDE w:val="0"/>
        <w:autoSpaceDN w:val="0"/>
        <w:adjustRightInd w:val="0"/>
        <w:jc w:val="both"/>
        <w:rPr>
          <w:iCs/>
          <w:color w:val="000000" w:themeColor="text1"/>
          <w:sz w:val="16"/>
          <w:szCs w:val="16"/>
        </w:rPr>
      </w:pPr>
    </w:p>
    <w:p w14:paraId="209FC1C2"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6 февраля 1945 был издан приказ №66 по Народному комиссариату тяжелой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w:t>
      </w:r>
      <w:r w:rsidRPr="00925F26">
        <w:rPr>
          <w:color w:val="000000" w:themeColor="text1"/>
          <w:sz w:val="16"/>
          <w:szCs w:val="16"/>
        </w:rPr>
        <w:lastRenderedPageBreak/>
        <w:t>Шла доработка Объекта 701, машина неоднократно меняла конфигурацию корпуса и башни, и света в конце тоннеля все еще не было видно. Кроме того, как раз 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 (17209).</w:t>
      </w:r>
    </w:p>
    <w:p w14:paraId="2BD8EEA5" w14:textId="77777777" w:rsidR="00FA59CB" w:rsidRPr="00925F26" w:rsidRDefault="00FA59CB" w:rsidP="00925F26">
      <w:pPr>
        <w:pStyle w:val="ae"/>
        <w:shd w:val="clear" w:color="auto" w:fill="FFFFFF"/>
        <w:spacing w:before="0" w:after="0"/>
        <w:jc w:val="both"/>
        <w:rPr>
          <w:color w:val="000000" w:themeColor="text1"/>
          <w:sz w:val="16"/>
          <w:szCs w:val="16"/>
        </w:rPr>
      </w:pPr>
    </w:p>
    <w:p w14:paraId="3C47E823" w14:textId="77777777" w:rsidR="004D08EC" w:rsidRPr="00925F26" w:rsidRDefault="004D08EC" w:rsidP="00925F26">
      <w:pPr>
        <w:shd w:val="clear" w:color="auto" w:fill="FFFFFF"/>
        <w:jc w:val="both"/>
        <w:rPr>
          <w:color w:val="000000" w:themeColor="text1"/>
          <w:sz w:val="16"/>
          <w:szCs w:val="16"/>
        </w:rPr>
      </w:pPr>
      <w:r w:rsidRPr="00925F26">
        <w:rPr>
          <w:color w:val="000000" w:themeColor="text1"/>
          <w:sz w:val="16"/>
          <w:szCs w:val="16"/>
        </w:rPr>
        <w:t>6 февраля 1945 был издан приказ №66 по Народному комиссариату танковой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всё ещё не было видно. Кроме того, как раз в феврале 1945 года происходила доводка модернизированного ИС-2, получившего заводской индекс Кировец-1, а также чертёжный индекс 703 (Объект 703). Месяц спустя, 29 марта 1945 года, 703-й приняли на вооружение как ИС-3, что ещё сильнее отдалило перспективу запуска Объекта 701 в серию (16735).</w:t>
      </w:r>
    </w:p>
    <w:p w14:paraId="2DA16966" w14:textId="77777777" w:rsidR="004D08EC" w:rsidRPr="00925F26" w:rsidRDefault="004D08EC" w:rsidP="00925F26">
      <w:pPr>
        <w:jc w:val="both"/>
        <w:rPr>
          <w:rStyle w:val="107"/>
          <w:rFonts w:eastAsiaTheme="minorHAnsi"/>
          <w:color w:val="000000" w:themeColor="text1"/>
          <w:sz w:val="16"/>
          <w:szCs w:val="16"/>
        </w:rPr>
      </w:pPr>
    </w:p>
    <w:p w14:paraId="279CA5FE" w14:textId="77777777" w:rsidR="00720F7B" w:rsidRPr="001A0BAA" w:rsidRDefault="00720F7B" w:rsidP="00720F7B">
      <w:pPr>
        <w:jc w:val="both"/>
        <w:rPr>
          <w:color w:val="0070C0"/>
          <w:sz w:val="16"/>
          <w:szCs w:val="16"/>
        </w:rPr>
      </w:pPr>
      <w:r w:rsidRPr="001A0BAA">
        <w:rPr>
          <w:color w:val="0070C0"/>
          <w:sz w:val="16"/>
          <w:szCs w:val="16"/>
        </w:rPr>
        <w:t>6 февраля 1945 года В.А. Малышев подписал приказ №66 по Наркомату Танковой промышленности. Согласно ему, СКБ-2 ЧКЗ должно было разработать концепцию нового тяжелого танка, который разрабатывался на замену Объекту 701 и Объекту 703. На тот момент СКБ-2 ЧКЗ оказалось занято по другим задачам, чем воспользовались на заводе №100. Уже 17 февраля гвардии инженер-подполковник Ф.Ф. Вовк, старший военпред завода №100, написал жалобу наверх. Связано это оказалось с тем, что завод проектировал некий тяжелый танк, о котором ему ничего не докладывали.</w:t>
      </w:r>
    </w:p>
    <w:p w14:paraId="3F98B81F" w14:textId="77777777" w:rsidR="00720F7B" w:rsidRPr="001A0BAA" w:rsidRDefault="00720F7B" w:rsidP="00720F7B">
      <w:pPr>
        <w:jc w:val="both"/>
        <w:rPr>
          <w:color w:val="0070C0"/>
          <w:sz w:val="16"/>
          <w:szCs w:val="16"/>
        </w:rPr>
      </w:pPr>
      <w:r w:rsidRPr="001A0BAA">
        <w:rPr>
          <w:color w:val="0070C0"/>
          <w:sz w:val="16"/>
          <w:szCs w:val="16"/>
        </w:rPr>
        <w:t>Это уже был не первый случай, когда Вовк писал наверх подобные письма. Весной 1944 года сложилась ровно такая же ситуация, в то время завод №100 втихую разрабатывал ИС-6. И вот теперь, ровно так же, начиналась разработка нового танка. Такую тактику выработал Ж.Я. Котин, поскольку осенью 1943 года ему уже выносили предупреждение насчет инициативных проектов. Поэтому проект не показывали до тех пор, пока он не будет более-менее проработан. Иронично, что работы по данной теме шли по линии НКТП, при этом от наркома данные работы скрывались.</w:t>
      </w:r>
    </w:p>
    <w:p w14:paraId="60DC559A" w14:textId="77777777" w:rsidR="00720F7B" w:rsidRPr="001A0BAA" w:rsidRDefault="00720F7B" w:rsidP="00720F7B">
      <w:pPr>
        <w:jc w:val="both"/>
        <w:rPr>
          <w:color w:val="0070C0"/>
          <w:sz w:val="16"/>
          <w:szCs w:val="16"/>
        </w:rPr>
      </w:pPr>
      <w:r w:rsidRPr="001A0BAA">
        <w:rPr>
          <w:color w:val="0070C0"/>
          <w:sz w:val="16"/>
          <w:szCs w:val="16"/>
        </w:rPr>
        <w:t>Новый танк получил индекс ИС-7 и чертежный номер 257. Ведущим инженером машины стал П.П. Исаков.</w:t>
      </w:r>
    </w:p>
    <w:p w14:paraId="7FCCD4B3" w14:textId="77777777" w:rsidR="00720F7B" w:rsidRPr="001A0BAA" w:rsidRDefault="00720F7B" w:rsidP="00720F7B">
      <w:pPr>
        <w:jc w:val="both"/>
        <w:rPr>
          <w:color w:val="0070C0"/>
          <w:sz w:val="16"/>
          <w:szCs w:val="16"/>
        </w:rPr>
      </w:pPr>
      <w:r w:rsidRPr="001A0BAA">
        <w:rPr>
          <w:color w:val="0070C0"/>
          <w:sz w:val="16"/>
          <w:szCs w:val="16"/>
        </w:rPr>
        <w:t>Объект 257, как еще иногда именуют эту машину, практически не оставил о себе следов. Связано это оказалось с тем, что создание его шло в обстановке секретности (25507).</w:t>
      </w:r>
    </w:p>
    <w:p w14:paraId="7008DC79" w14:textId="77777777" w:rsidR="00720F7B" w:rsidRPr="001A0BAA" w:rsidRDefault="00720F7B" w:rsidP="00720F7B">
      <w:pPr>
        <w:jc w:val="both"/>
        <w:rPr>
          <w:color w:val="0070C0"/>
          <w:sz w:val="16"/>
          <w:szCs w:val="16"/>
        </w:rPr>
      </w:pPr>
    </w:p>
    <w:p w14:paraId="24552A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вышло Постановление ГКО № 7487 О неотложных мероприятиях по предохранению взорванных набережных на р. Западная Двина в г. Риге от дальнейшего разрушения при весеннем паводке. РГАНИР, Фонд ГКО, д. 369, лл. 106-108 (11012).</w:t>
      </w:r>
    </w:p>
    <w:p w14:paraId="72390176" w14:textId="77777777" w:rsidR="00C2313B" w:rsidRPr="00925F26" w:rsidRDefault="00C2313B" w:rsidP="00925F26">
      <w:pPr>
        <w:autoSpaceDE w:val="0"/>
        <w:autoSpaceDN w:val="0"/>
        <w:adjustRightInd w:val="0"/>
        <w:jc w:val="both"/>
        <w:rPr>
          <w:color w:val="000000" w:themeColor="text1"/>
          <w:sz w:val="16"/>
          <w:szCs w:val="16"/>
        </w:rPr>
      </w:pPr>
    </w:p>
    <w:p w14:paraId="0FFA06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вышло Постановление ГКО № 7488 О мероприятиях по обеспечению углем электростанций НКЭС: казанских, омских, Барнаульской и Игумновской. РГАНИР, Фонд ГКО, д. 369, лл. 109-112 (11012).</w:t>
      </w:r>
    </w:p>
    <w:p w14:paraId="05D08A53" w14:textId="77777777" w:rsidR="00C2313B" w:rsidRPr="00925F26" w:rsidRDefault="00C2313B" w:rsidP="00925F26">
      <w:pPr>
        <w:autoSpaceDE w:val="0"/>
        <w:autoSpaceDN w:val="0"/>
        <w:adjustRightInd w:val="0"/>
        <w:jc w:val="both"/>
        <w:rPr>
          <w:color w:val="000000" w:themeColor="text1"/>
          <w:sz w:val="16"/>
          <w:szCs w:val="16"/>
        </w:rPr>
      </w:pPr>
    </w:p>
    <w:p w14:paraId="2C57372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вышло Постановление ГКО № 7489 О мероприятиях по обеспечению топливом куйбышевских электростанций. РГАНИР, Фонд ГКО, д. 369, лл. 113-115 (11012).</w:t>
      </w:r>
    </w:p>
    <w:p w14:paraId="28EC3C1F" w14:textId="77777777" w:rsidR="00C2313B" w:rsidRPr="00925F26" w:rsidRDefault="00C2313B" w:rsidP="00925F26">
      <w:pPr>
        <w:autoSpaceDE w:val="0"/>
        <w:autoSpaceDN w:val="0"/>
        <w:adjustRightInd w:val="0"/>
        <w:jc w:val="both"/>
        <w:rPr>
          <w:color w:val="000000" w:themeColor="text1"/>
          <w:sz w:val="16"/>
          <w:szCs w:val="16"/>
        </w:rPr>
      </w:pPr>
    </w:p>
    <w:p w14:paraId="09CB4064"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февраля 1945 вышло Распоряжение ГКО № 7490 [О мерах по обеспечению вывоза соли из затопляемых мест.] (7307, 116-118).</w:t>
      </w:r>
    </w:p>
    <w:p w14:paraId="5571E89C"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0DF58FE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На Балтийском заводе заложен 14-й ТЩ типа МТ-2 (10671).</w:t>
      </w:r>
    </w:p>
    <w:p w14:paraId="209F361D" w14:textId="77777777" w:rsidR="00C2313B" w:rsidRPr="00925F26" w:rsidRDefault="00C2313B" w:rsidP="00925F26">
      <w:pPr>
        <w:autoSpaceDE w:val="0"/>
        <w:autoSpaceDN w:val="0"/>
        <w:adjustRightInd w:val="0"/>
        <w:jc w:val="both"/>
        <w:rPr>
          <w:color w:val="000000" w:themeColor="text1"/>
          <w:sz w:val="16"/>
          <w:szCs w:val="16"/>
        </w:rPr>
      </w:pPr>
    </w:p>
    <w:p w14:paraId="16EBC729"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E443474" w14:textId="77777777" w:rsidR="00C2313B" w:rsidRPr="00925F26" w:rsidRDefault="00C2313B" w:rsidP="00925F26">
      <w:pPr>
        <w:autoSpaceDE w:val="0"/>
        <w:autoSpaceDN w:val="0"/>
        <w:adjustRightInd w:val="0"/>
        <w:jc w:val="both"/>
        <w:rPr>
          <w:iCs/>
          <w:color w:val="000000" w:themeColor="text1"/>
          <w:sz w:val="16"/>
          <w:szCs w:val="16"/>
        </w:rPr>
      </w:pPr>
    </w:p>
    <w:p w14:paraId="499D27B2" w14:textId="77777777" w:rsidR="00DB43FF" w:rsidRPr="00925F26" w:rsidRDefault="00DB43FF" w:rsidP="00925F26">
      <w:pPr>
        <w:jc w:val="both"/>
        <w:rPr>
          <w:color w:val="000000" w:themeColor="text1"/>
          <w:sz w:val="16"/>
          <w:szCs w:val="16"/>
        </w:rPr>
      </w:pPr>
      <w:r w:rsidRPr="00925F26">
        <w:rPr>
          <w:bCs/>
          <w:color w:val="000000" w:themeColor="text1"/>
          <w:sz w:val="16"/>
          <w:szCs w:val="16"/>
        </w:rPr>
        <w:t>6 февраля</w:t>
      </w:r>
      <w:r w:rsidRPr="00925F26">
        <w:rPr>
          <w:color w:val="000000" w:themeColor="text1"/>
          <w:sz w:val="16"/>
          <w:szCs w:val="16"/>
        </w:rPr>
        <w:t xml:space="preserve"> в 1945 году оперативная сводка Совинформбюро:</w:t>
      </w:r>
    </w:p>
    <w:p w14:paraId="2D08C4B0" w14:textId="77777777" w:rsidR="00DB43FF" w:rsidRPr="00925F26" w:rsidRDefault="00DB43FF" w:rsidP="00925F26">
      <w:pPr>
        <w:jc w:val="both"/>
        <w:rPr>
          <w:color w:val="000000" w:themeColor="text1"/>
          <w:sz w:val="16"/>
          <w:szCs w:val="16"/>
        </w:rPr>
      </w:pPr>
      <w:r w:rsidRPr="00925F26">
        <w:rPr>
          <w:color w:val="000000" w:themeColor="text1"/>
          <w:sz w:val="16"/>
          <w:szCs w:val="16"/>
        </w:rPr>
        <w:t>«В течение 6 февраля в Восточной Пруссии, севернее города Алленштайн, наши войска в результате наступательных боёв заняли населённые пункты Восседен, Лангвизе, Лаунау, Фраймаркт, Бенерн, Арнсдорф, Фойгтсдорф.</w:t>
      </w:r>
    </w:p>
    <w:p w14:paraId="446E526E"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форсировали реку Одер юго-восточнее города Бреслау (Бреславль), прорвали сильно укреплённую долговременную оборону немцев на западном берегу реки и за три дня наступательных боёв продвинулись вперёд до 20 километров, расширив плацдарм до 80 километров по фронту.</w:t>
      </w:r>
    </w:p>
    <w:p w14:paraId="575D0C2B" w14:textId="77777777" w:rsidR="00DB43FF" w:rsidRPr="00925F26" w:rsidRDefault="00DB43FF" w:rsidP="00925F26">
      <w:pPr>
        <w:jc w:val="both"/>
        <w:rPr>
          <w:color w:val="000000" w:themeColor="text1"/>
          <w:sz w:val="16"/>
          <w:szCs w:val="16"/>
        </w:rPr>
      </w:pPr>
      <w:r w:rsidRPr="00925F26">
        <w:rPr>
          <w:color w:val="000000" w:themeColor="text1"/>
          <w:sz w:val="16"/>
          <w:szCs w:val="16"/>
        </w:rPr>
        <w:t>В ходе наступления войска фронта овладели городами Олау, Бриг, Томаскирх, Гротткау, Левен и Шургаст — важными узлами коммуникаций и сильными опорными пунктами обороны немцев на западном берегу Одера, а также с боями заняли более 60 других населённых пунктов.</w:t>
      </w:r>
    </w:p>
    <w:p w14:paraId="27A8AF08"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наши войска продолжали бои по уничтожению окружённого гарнизона противника в западной части города (Буда) и заняли 12 кварталов.</w:t>
      </w:r>
    </w:p>
    <w:p w14:paraId="0D4F7E7B" w14:textId="77777777" w:rsidR="00DB43FF" w:rsidRPr="00925F26" w:rsidRDefault="00DB43FF" w:rsidP="00925F26">
      <w:pPr>
        <w:jc w:val="both"/>
        <w:rPr>
          <w:color w:val="000000" w:themeColor="text1"/>
          <w:sz w:val="16"/>
          <w:szCs w:val="16"/>
        </w:rPr>
      </w:pPr>
      <w:r w:rsidRPr="00925F26">
        <w:rPr>
          <w:color w:val="000000" w:themeColor="text1"/>
          <w:sz w:val="16"/>
          <w:szCs w:val="16"/>
        </w:rPr>
        <w:t>На 1 -м Белорусском фронте нашими войсками взят в плен командир 433-й немецкой пехотной дивизии генерал-лейтенант Люббе.</w:t>
      </w:r>
    </w:p>
    <w:p w14:paraId="3DB3ED7B" w14:textId="77777777" w:rsidR="00DB43FF" w:rsidRPr="00925F26" w:rsidRDefault="00DB43FF" w:rsidP="00925F26">
      <w:pPr>
        <w:jc w:val="both"/>
        <w:rPr>
          <w:color w:val="000000" w:themeColor="text1"/>
          <w:sz w:val="16"/>
          <w:szCs w:val="16"/>
        </w:rPr>
      </w:pPr>
      <w:r w:rsidRPr="00925F26">
        <w:rPr>
          <w:color w:val="000000" w:themeColor="text1"/>
          <w:sz w:val="16"/>
          <w:szCs w:val="16"/>
        </w:rPr>
        <w:t>За 5 февраля наши войска на всех фронтах подбили и уничтожили 189 немецких танков. В воздушных боях и огнём зенитной артиллерии сбит 21 самолёт противника.</w:t>
      </w:r>
    </w:p>
    <w:p w14:paraId="3AAA5563" w14:textId="77777777" w:rsidR="00DB43FF" w:rsidRPr="00925F26" w:rsidRDefault="00DB43FF" w:rsidP="00925F26">
      <w:pPr>
        <w:jc w:val="both"/>
        <w:rPr>
          <w:color w:val="000000" w:themeColor="text1"/>
          <w:sz w:val="16"/>
          <w:szCs w:val="16"/>
        </w:rPr>
      </w:pPr>
      <w:r w:rsidRPr="00925F26">
        <w:rPr>
          <w:color w:val="000000" w:themeColor="text1"/>
          <w:sz w:val="16"/>
          <w:szCs w:val="16"/>
        </w:rPr>
        <w:t>В Восточной Пруссии, севернее города Алленштайн, наши войска продолжали наступление. Немцы укрепились на заранее подготовленном рубеже, усиленном дотами, и оказывали упорное сопротивление. Части Н-ского соединения, после артиллерийского обстрела вражеских позиций, перешли в атаку. В результате упорного боя, неоднократно переходившего в рукопашные схватки, наши войска заняли несколько опорных пунктов обороны противника. Подтянув резервы, гитлеровцы предприняли ряд контратак, но были отброшены. На поле боя осталось много вражеских трупов. Уничтожено 38 танков и самоходных орудий, 70 полевых орудий и миномётов противника. Взято в плен 1.600 немцев.</w:t>
      </w:r>
    </w:p>
    <w:p w14:paraId="339A784E" w14:textId="77777777" w:rsidR="00DB43FF" w:rsidRPr="00925F26" w:rsidRDefault="00DB43FF" w:rsidP="00925F26">
      <w:pPr>
        <w:jc w:val="both"/>
        <w:rPr>
          <w:color w:val="000000" w:themeColor="text1"/>
          <w:sz w:val="16"/>
          <w:szCs w:val="16"/>
        </w:rPr>
      </w:pPr>
      <w:r w:rsidRPr="00925F26">
        <w:rPr>
          <w:color w:val="000000" w:themeColor="text1"/>
          <w:sz w:val="16"/>
          <w:szCs w:val="16"/>
        </w:rPr>
        <w:t>На одном участке немецкая пехота при поддержке танков ночью атаковала наши позиции. Завязался ожесточённый бой. Наводчик самоходного орудия Владимир Полозов меткими выстрелами подбил один немецкий танк и два бронетранспортёра. Вскоре командир и механик самоходного орудия были ранены. Оставшись один, Полозов стрелял до тех пор, пока не кончились все снаряды. Между тем гитлеровцы наседали. Тогда Полозов взял пулемёт, лёг под орудие и меткими очередями нанёс врагу большой урон. Подоспевшие советские пехотинцы завершили разгром немцев. В другом районе наша стрелковая рота атаковала опорный пункт противника. Рядовой Шубако первый ворвался в траншею и гранатами уничтожил два немецких пулемёта вместе с их расчётами. За день боя т. Шубако истребил 21 гитлеровца.</w:t>
      </w:r>
    </w:p>
    <w:p w14:paraId="48060ACC" w14:textId="77777777" w:rsidR="00DB43FF" w:rsidRPr="00925F26" w:rsidRDefault="00DB43FF" w:rsidP="00925F26">
      <w:pPr>
        <w:jc w:val="both"/>
        <w:rPr>
          <w:color w:val="000000" w:themeColor="text1"/>
          <w:sz w:val="16"/>
          <w:szCs w:val="16"/>
        </w:rPr>
      </w:pPr>
      <w:r w:rsidRPr="00925F26">
        <w:rPr>
          <w:color w:val="000000" w:themeColor="text1"/>
          <w:sz w:val="16"/>
          <w:szCs w:val="16"/>
        </w:rPr>
        <w:t>Советские лётчики в воздушных боях в течение дня сбили 7 немецких самолётов. Кроме того, на аэродромах уничтожено и повреждено 26 самолётов противника.</w:t>
      </w:r>
    </w:p>
    <w:p w14:paraId="2AD9125F"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форсировали реку Одер юго-восточнее города Бреслау (Бреславль). Переправа через Одер была сопряжена с огромными трудностями. В полосе обороны, проходящей по левому берегу реки, немцы построили долговременные укрепления и заранее сосредоточили в них крупные силы своих войск. Ширина Одера в этом районе достигает 150 метров. Река не замёрзла, и лишь у её берегов образовались кромки льда. Передовые советские отряды на подручных средствах переправились через Одер и захватили несколько небольших плацдармов. Героическими усилиями советских сапёров, под огнём врага, были наведены переправы. Основные силы нашей пехоты, танков и артиллерии устремились на плацдармы, которые удерживали передовые отряды. Затем советские части с севера и юга атаковали город Олау и овладели этим мощным узлом сопротивления немцев. Другие наши части расширили плацдарм северо-западнее города Оппельн. Отразив многочисленные контратаки немцев и накопив силы за Одером, наши войска нанесли врагу мощный удар с плацдарма в районе Олау в южном направлении и с плацдарма в районе Оппельна в северо-западном направлении. Долговременная и сильно укреплённая оборона немцев на западном берегу реки Одер была прорвана. Наши войска стремительно продвинулись вперед и соединились в районе юго-западнее города Бриг. Таким образом, немецкий гарнизон города Бриг оказался в мешке. Наши части пошли на штурм и после ожесточённых уличных боёв овладели городом и крепостью Бриг. На подступах к городу советские части захватили 11 немецких самолётов, 26 танков и 25 бронетранспортеров. На поле боя остались тысячи вражеских трупов. В городе Бриг имеется 18 промышленных предприятий, производящих оружие и боевую технику. Развивая успех, наши танкисты стремительно продвинулись в юго-западном направлении и с двух сторон ворвались в город Гротткау. Вместе с подоспевшей пехотой танкисты разгромили вражеский гарнизон и овладели важным узлом коммуникаций городом Гротткау. Захвачены большие трофеи, в числе которых 37 тяжёлых орудий на бетонированных площадках. Только за день боёв уничтожено 70 танков и бронетранспортёров противника. Взято в плен 1.270 немецких солдат и офицеров.</w:t>
      </w:r>
    </w:p>
    <w:p w14:paraId="64A28D51"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в западной части города, наши войска продолжали бои по ликвидации гарнизона противника. Советские части всё теснее сжимают кольцо окружения, истребляя живую силу врага и его технику. Наши штурмовые отряды продвинулись вперёд и разгромили несколько узлов сопротивления немцев. На улицах, занятых сегодня советскими войсками, валяются сотни трупов гитлеровцев. Захвачены трофеи и взято в плен 2.890 солдат и офицеров противника.</w:t>
      </w:r>
    </w:p>
    <w:p w14:paraId="4B144F37" w14:textId="77777777" w:rsidR="00DB43FF" w:rsidRPr="00925F26" w:rsidRDefault="00DB43FF"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атаковала в Данцигской бухте корабли противника. В результате торпедобомбового удара потоплено три немецких транспорта и один танкер общим водоизмещением в 24 тысячи тонн.</w:t>
      </w:r>
    </w:p>
    <w:p w14:paraId="652FD54F" w14:textId="77777777" w:rsidR="00DB43FF" w:rsidRPr="00925F26" w:rsidRDefault="00DB43FF"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повредили эсминец противника.</w:t>
      </w:r>
    </w:p>
    <w:p w14:paraId="771719DA" w14:textId="77777777" w:rsidR="00DB43FF" w:rsidRPr="00925F26" w:rsidRDefault="00DB43FF" w:rsidP="00925F26">
      <w:pPr>
        <w:jc w:val="both"/>
        <w:rPr>
          <w:color w:val="000000" w:themeColor="text1"/>
          <w:sz w:val="16"/>
          <w:szCs w:val="16"/>
        </w:rPr>
      </w:pPr>
      <w:r w:rsidRPr="00925F26">
        <w:rPr>
          <w:color w:val="000000" w:themeColor="text1"/>
          <w:sz w:val="16"/>
          <w:szCs w:val="16"/>
        </w:rPr>
        <w:t>Взятый в плен в Восточной Пруссии офицер штаба 1-го батальона 927-го полка 286-й немецкой пехотной дивизии лейтенант Рихард Шмидт заявил: «Война для Германии безнадёжно проиграна. У нас уже не осталось никаких надежд, никаких иллюзий. Немецкие солдаты и офицеры, которые теперь ежедневно тысячами гибнут на поле боя, защищают не Германию. Никакая сила в мире уже не может её спасти.</w:t>
      </w:r>
    </w:p>
    <w:p w14:paraId="4C47BE73" w14:textId="77777777" w:rsidR="00DB43FF" w:rsidRPr="00925F26" w:rsidRDefault="00DB43FF" w:rsidP="00925F26">
      <w:pPr>
        <w:jc w:val="both"/>
        <w:rPr>
          <w:color w:val="000000" w:themeColor="text1"/>
          <w:sz w:val="16"/>
          <w:szCs w:val="16"/>
        </w:rPr>
      </w:pPr>
      <w:r w:rsidRPr="00925F26">
        <w:rPr>
          <w:color w:val="000000" w:themeColor="text1"/>
          <w:sz w:val="16"/>
          <w:szCs w:val="16"/>
        </w:rPr>
        <w:t>Солдаты гибнут потому, что этого хотят Гитлер, Гиммлер и их приспешники, которые цепляются за власть и хотят хотя бы ненадолго продлить свою жизнь» (15032).</w:t>
      </w:r>
    </w:p>
    <w:p w14:paraId="77621E29" w14:textId="77777777" w:rsidR="00DB43FF" w:rsidRPr="00925F26" w:rsidRDefault="00DB43FF" w:rsidP="00925F26">
      <w:pPr>
        <w:jc w:val="both"/>
        <w:rPr>
          <w:color w:val="000000" w:themeColor="text1"/>
          <w:sz w:val="16"/>
          <w:szCs w:val="16"/>
        </w:rPr>
      </w:pPr>
    </w:p>
    <w:p w14:paraId="0A2C09AD"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6, 1945: The Soviet 1st Belorussian Front (Zhukov) makes further advances to reach the Oder between Kustrin and Frankfurt (3819).</w:t>
      </w:r>
    </w:p>
    <w:p w14:paraId="567BF236" w14:textId="77777777" w:rsidR="00C2313B" w:rsidRPr="00925F26" w:rsidRDefault="00C2313B" w:rsidP="00925F26">
      <w:pPr>
        <w:autoSpaceDE w:val="0"/>
        <w:autoSpaceDN w:val="0"/>
        <w:adjustRightInd w:val="0"/>
        <w:jc w:val="both"/>
        <w:rPr>
          <w:color w:val="000000" w:themeColor="text1"/>
          <w:sz w:val="16"/>
          <w:szCs w:val="16"/>
          <w:lang w:val="en-US"/>
        </w:rPr>
      </w:pPr>
    </w:p>
    <w:p w14:paraId="6C07DC9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6 февраля 1945 СА закрепилась на другом берегу Одера (2248,2).</w:t>
      </w:r>
    </w:p>
    <w:p w14:paraId="04A6073D" w14:textId="77777777" w:rsidR="00C2313B" w:rsidRPr="00925F26" w:rsidRDefault="00C2313B" w:rsidP="00925F26">
      <w:pPr>
        <w:autoSpaceDE w:val="0"/>
        <w:autoSpaceDN w:val="0"/>
        <w:adjustRightInd w:val="0"/>
        <w:jc w:val="both"/>
        <w:rPr>
          <w:color w:val="000000" w:themeColor="text1"/>
          <w:sz w:val="16"/>
          <w:szCs w:val="16"/>
        </w:rPr>
      </w:pPr>
    </w:p>
    <w:p w14:paraId="7070712B" w14:textId="77777777" w:rsidR="00DB43FF"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4B27FCD" w14:textId="77777777" w:rsidR="00DB43FF" w:rsidRPr="00925F26" w:rsidRDefault="00DB43FF" w:rsidP="00925F26">
      <w:pPr>
        <w:autoSpaceDE w:val="0"/>
        <w:autoSpaceDN w:val="0"/>
        <w:adjustRightInd w:val="0"/>
        <w:jc w:val="both"/>
        <w:rPr>
          <w:iCs/>
          <w:color w:val="000000" w:themeColor="text1"/>
          <w:sz w:val="16"/>
          <w:szCs w:val="16"/>
        </w:rPr>
      </w:pPr>
    </w:p>
    <w:p w14:paraId="6EDD94A4" w14:textId="77777777" w:rsidR="00DB43FF" w:rsidRPr="00925F26" w:rsidRDefault="00DB43FF" w:rsidP="00925F26">
      <w:pPr>
        <w:jc w:val="both"/>
        <w:rPr>
          <w:color w:val="000000" w:themeColor="text1"/>
          <w:sz w:val="16"/>
          <w:szCs w:val="16"/>
        </w:rPr>
      </w:pPr>
      <w:r w:rsidRPr="00925F26">
        <w:rPr>
          <w:bCs/>
          <w:color w:val="000000" w:themeColor="text1"/>
          <w:sz w:val="16"/>
          <w:szCs w:val="16"/>
        </w:rPr>
        <w:t>6 февраля</w:t>
      </w:r>
      <w:r w:rsidRPr="00925F26">
        <w:rPr>
          <w:color w:val="000000" w:themeColor="text1"/>
          <w:sz w:val="16"/>
          <w:szCs w:val="16"/>
        </w:rPr>
        <w:t xml:space="preserve"> в 1945 году на Ялтинской конференции обсуждается польская проблема (15032).</w:t>
      </w:r>
    </w:p>
    <w:p w14:paraId="459C481F" w14:textId="77777777" w:rsidR="00DB43FF" w:rsidRPr="00925F26" w:rsidRDefault="00DB43FF" w:rsidP="00925F26">
      <w:pPr>
        <w:jc w:val="both"/>
        <w:rPr>
          <w:color w:val="000000" w:themeColor="text1"/>
          <w:sz w:val="16"/>
          <w:szCs w:val="16"/>
        </w:rPr>
      </w:pPr>
    </w:p>
    <w:p w14:paraId="1787A083"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9256D7F" w14:textId="77777777" w:rsidR="00C2313B" w:rsidRPr="00925F26" w:rsidRDefault="00C2313B" w:rsidP="00925F26">
      <w:pPr>
        <w:autoSpaceDE w:val="0"/>
        <w:autoSpaceDN w:val="0"/>
        <w:adjustRightInd w:val="0"/>
        <w:jc w:val="both"/>
        <w:rPr>
          <w:iCs/>
          <w:color w:val="000000" w:themeColor="text1"/>
          <w:sz w:val="16"/>
          <w:szCs w:val="16"/>
        </w:rPr>
      </w:pPr>
    </w:p>
    <w:p w14:paraId="3BE68BE9" w14:textId="77777777" w:rsidR="00DB43FF" w:rsidRPr="00925F26" w:rsidRDefault="00DB43FF" w:rsidP="00925F26">
      <w:pPr>
        <w:jc w:val="both"/>
        <w:rPr>
          <w:color w:val="000000" w:themeColor="text1"/>
          <w:sz w:val="16"/>
          <w:szCs w:val="16"/>
        </w:rPr>
      </w:pPr>
      <w:r w:rsidRPr="00925F26">
        <w:rPr>
          <w:color w:val="000000" w:themeColor="text1"/>
          <w:sz w:val="16"/>
          <w:szCs w:val="16"/>
        </w:rPr>
        <w:t>6 февраля 1945 года, - дата официального прекращения работ над ЗУР "Rheintocher", однако, конструкторам не удалось закончить работы и получить готовую к боевому применению зенитную управляемую ракету, многие технические и технологические решения, найденные немецкими конструкторами, были воплощены в послевоенных разработках в США, СССР и других странах (15139).</w:t>
      </w:r>
    </w:p>
    <w:p w14:paraId="16923D44" w14:textId="77777777" w:rsidR="00DB43FF" w:rsidRPr="00925F26" w:rsidRDefault="00DB43FF" w:rsidP="00925F26">
      <w:pPr>
        <w:jc w:val="both"/>
        <w:rPr>
          <w:color w:val="000000" w:themeColor="text1"/>
          <w:sz w:val="16"/>
          <w:szCs w:val="16"/>
        </w:rPr>
      </w:pPr>
    </w:p>
    <w:p w14:paraId="696AFF03" w14:textId="77777777" w:rsidR="00480A84" w:rsidRPr="00925F26" w:rsidRDefault="00480A84" w:rsidP="00925F26">
      <w:pPr>
        <w:jc w:val="both"/>
        <w:rPr>
          <w:color w:val="000000" w:themeColor="text1"/>
          <w:sz w:val="16"/>
          <w:szCs w:val="16"/>
        </w:rPr>
      </w:pPr>
      <w:r w:rsidRPr="00925F26">
        <w:rPr>
          <w:color w:val="000000" w:themeColor="text1"/>
          <w:sz w:val="16"/>
          <w:szCs w:val="16"/>
        </w:rPr>
        <w:t>6 февраля 1945 обергруппенфюрер СС Ханс Каммлер отменяет проект Хеншель Hs 117 (20371).</w:t>
      </w:r>
    </w:p>
    <w:p w14:paraId="48C61039" w14:textId="77777777" w:rsidR="00480A84" w:rsidRPr="00925F26" w:rsidRDefault="00480A84" w:rsidP="00925F26">
      <w:pPr>
        <w:jc w:val="both"/>
        <w:rPr>
          <w:color w:val="000000" w:themeColor="text1"/>
          <w:sz w:val="16"/>
          <w:szCs w:val="16"/>
        </w:rPr>
      </w:pPr>
    </w:p>
    <w:p w14:paraId="03452875" w14:textId="77777777" w:rsidR="00DB43FF" w:rsidRPr="00925F26" w:rsidRDefault="00DB43FF" w:rsidP="00925F26">
      <w:pPr>
        <w:jc w:val="both"/>
        <w:rPr>
          <w:color w:val="000000" w:themeColor="text1"/>
          <w:sz w:val="16"/>
          <w:szCs w:val="16"/>
        </w:rPr>
      </w:pPr>
      <w:r w:rsidRPr="00925F26">
        <w:rPr>
          <w:bCs/>
          <w:color w:val="000000" w:themeColor="text1"/>
          <w:sz w:val="16"/>
          <w:szCs w:val="16"/>
        </w:rPr>
        <w:t>6 февраля</w:t>
      </w:r>
      <w:r w:rsidRPr="00925F26">
        <w:rPr>
          <w:color w:val="000000" w:themeColor="text1"/>
          <w:sz w:val="16"/>
          <w:szCs w:val="16"/>
        </w:rPr>
        <w:t xml:space="preserve"> в 1945 году в Лондоне начинает работать I Всемирная конференция профсоюзов, организованная Британским конгрессом тред-юнионов. Создается Всемирная федерация профсоюзов. Присутствуют представители союзных государств и нейтральных стран (15032).</w:t>
      </w:r>
    </w:p>
    <w:p w14:paraId="0F2DC050" w14:textId="77777777" w:rsidR="00DB43FF" w:rsidRPr="00925F26" w:rsidRDefault="00DB43FF" w:rsidP="00925F26">
      <w:pPr>
        <w:jc w:val="both"/>
        <w:rPr>
          <w:color w:val="000000" w:themeColor="text1"/>
          <w:sz w:val="16"/>
          <w:szCs w:val="16"/>
        </w:rPr>
      </w:pPr>
    </w:p>
    <w:p w14:paraId="69376C31"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февраля 1945 Гитлер не разрешил Гиммлеру эвакуировать нескольких евреев из немецких концлагерей в Швейцарию (4962).</w:t>
      </w:r>
    </w:p>
    <w:p w14:paraId="0E3E8E50"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10E645DE"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D130EF7" w14:textId="77777777" w:rsidR="00C2313B" w:rsidRPr="00925F26" w:rsidRDefault="00C2313B" w:rsidP="00925F26">
      <w:pPr>
        <w:autoSpaceDE w:val="0"/>
        <w:autoSpaceDN w:val="0"/>
        <w:adjustRightInd w:val="0"/>
        <w:jc w:val="both"/>
        <w:rPr>
          <w:iCs/>
          <w:color w:val="000000" w:themeColor="text1"/>
          <w:sz w:val="16"/>
          <w:szCs w:val="16"/>
        </w:rPr>
      </w:pPr>
    </w:p>
    <w:p w14:paraId="0F321836"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 xml:space="preserve">В самом начале февраля 1945 специальной комиссией были проведены испытания на взаимозаменяемость основных агрегатов </w:t>
      </w:r>
      <w:proofErr w:type="gramStart"/>
      <w:r w:rsidRPr="00925F26">
        <w:rPr>
          <w:rStyle w:val="107"/>
          <w:rFonts w:eastAsiaTheme="minorHAnsi"/>
          <w:color w:val="000000" w:themeColor="text1"/>
          <w:sz w:val="16"/>
          <w:szCs w:val="16"/>
        </w:rPr>
        <w:t>двух серийных</w:t>
      </w:r>
      <w:proofErr w:type="gramEnd"/>
      <w:r w:rsidRPr="00925F26">
        <w:rPr>
          <w:rStyle w:val="107"/>
          <w:rFonts w:eastAsiaTheme="minorHAnsi"/>
          <w:color w:val="000000" w:themeColor="text1"/>
          <w:sz w:val="16"/>
          <w:szCs w:val="16"/>
        </w:rPr>
        <w:t xml:space="preserve"> самолетов Ил-10 зав. № 1891003 и № 104089 производства заводов № 18 и № 1 соответственно.</w:t>
      </w:r>
    </w:p>
    <w:p w14:paraId="0FD79A79"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 xml:space="preserve">Оказалось, что консоль от самолета завода № 1 нельзя подстыковать к центроплану самолета завода № 18, и наоборот: «Не выдержан размер между узлами переднего и заднего лонжеронов крыла на 1,5 </w:t>
      </w:r>
      <w:proofErr w:type="gramStart"/>
      <w:r w:rsidRPr="00925F26">
        <w:rPr>
          <w:rStyle w:val="107"/>
          <w:rFonts w:eastAsiaTheme="minorHAnsi"/>
          <w:color w:val="000000" w:themeColor="text1"/>
          <w:sz w:val="16"/>
          <w:szCs w:val="16"/>
        </w:rPr>
        <w:t>мм./</w:t>
      </w:r>
      <w:proofErr w:type="gramEnd"/>
      <w:r w:rsidRPr="00925F26">
        <w:rPr>
          <w:rStyle w:val="107"/>
          <w:rFonts w:eastAsiaTheme="minorHAnsi"/>
          <w:color w:val="000000" w:themeColor="text1"/>
          <w:sz w:val="16"/>
          <w:szCs w:val="16"/>
        </w:rPr>
        <w:t xml:space="preserve">.../То же самое и на центроплане на 5 </w:t>
      </w:r>
      <w:proofErr w:type="gramStart"/>
      <w:r w:rsidRPr="00925F26">
        <w:rPr>
          <w:rStyle w:val="107"/>
          <w:rFonts w:eastAsiaTheme="minorHAnsi"/>
          <w:color w:val="000000" w:themeColor="text1"/>
          <w:sz w:val="16"/>
          <w:szCs w:val="16"/>
        </w:rPr>
        <w:t>мм./</w:t>
      </w:r>
      <w:proofErr w:type="gramEnd"/>
      <w:r w:rsidRPr="00925F26">
        <w:rPr>
          <w:rStyle w:val="107"/>
          <w:rFonts w:eastAsiaTheme="minorHAnsi"/>
          <w:color w:val="000000" w:themeColor="text1"/>
          <w:sz w:val="16"/>
          <w:szCs w:val="16"/>
        </w:rPr>
        <w:t>.../Разделка отверстий узлов разъема производится не в стапеле, а на месте».</w:t>
      </w:r>
    </w:p>
    <w:p w14:paraId="5D4DD90A"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Не удалось поменять местами стабилизаторы самолетов, так как «на хвостовом отсеке завода № 18 расстояние между узлами крепления стабилизатора заужено на 6 мм».</w:t>
      </w:r>
    </w:p>
    <w:p w14:paraId="0E8C409C"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Если левая половина руля высоты самолета завода № 1 не встала на левый концевой кронштейн стабилизатора самолета завода № 18, то обе части руля высоты от самолета № 18 полностью встали на стабилизатор от самолета завода № 1. Однако «лобовая часть левой половины РВ имела трение о вертикальные угольники заднего лонжерона стабилизатора» и «деревянные бобышки кронштейнов стабилизатора».</w:t>
      </w:r>
    </w:p>
    <w:p w14:paraId="35974A55"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Щитки центроплана заводов № 1 и № 18 поставить на свое место не удалось по причине отсутствия соосности в узле центропланов самолетов.</w:t>
      </w:r>
    </w:p>
    <w:p w14:paraId="080B786C"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Элероны также не смогли поменять на самолетах, поскольку имели место заметные «смещения узлов крепления элеронов по хорде».</w:t>
      </w:r>
    </w:p>
    <w:p w14:paraId="3B177D09" w14:textId="77777777" w:rsidR="004D08EC" w:rsidRPr="00925F26" w:rsidRDefault="004D08EC"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Правый маслобак от самолета завода № 18 с большим трудом удалось установить на место правого маслобака самолета № 1. Однако при его снятии были «обнаружены следы глубоких забоин и общая вмятина обичайки». Комиссия установила, что «забоины образовались в результате упирания бака в острие грани гайки коллектора зажигания». Маслобак сочли негодным для дальнейшего использования.</w:t>
      </w:r>
    </w:p>
    <w:p w14:paraId="0F2485C9"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В маслосистеме самолетов невзаимозаменяемыми оказались трубки суфлирования мотора, а в воздушной системе - абсолютно все «трубки воздушной проводки» («имеют разъемы в различных местах и различную конфигурацию»).</w:t>
      </w:r>
    </w:p>
    <w:p w14:paraId="072D1663"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После разборки эталонов самолетов заводов № 1 и № 18 выяснилось, что именно по всем этим агрегатам обе машины имеют заметные различия. В итоговом акте от 9 февраля 1945 года комиссия потребовала с целью обеспечения взаимозаменяемости отработать между заводами единые эталоны крыла, центроплана, стабилизатора, хвостового отсека, щитков, элеронов и рулей высоты, трубок воздушной и масляной систем.</w:t>
      </w:r>
    </w:p>
    <w:p w14:paraId="67C08770" w14:textId="77777777" w:rsidR="004D08EC" w:rsidRPr="00925F26" w:rsidRDefault="004D08EC" w:rsidP="00925F26">
      <w:pPr>
        <w:jc w:val="both"/>
        <w:rPr>
          <w:color w:val="000000" w:themeColor="text1"/>
          <w:sz w:val="16"/>
          <w:szCs w:val="16"/>
        </w:rPr>
      </w:pPr>
      <w:r w:rsidRPr="00925F26">
        <w:rPr>
          <w:rStyle w:val="107"/>
          <w:rFonts w:eastAsiaTheme="minorHAnsi"/>
          <w:color w:val="000000" w:themeColor="text1"/>
          <w:sz w:val="16"/>
          <w:szCs w:val="16"/>
        </w:rPr>
        <w:t>Кроме этого, предлагалось ввести «разделку узлов разъема центроплана на разделочном стапеле, а не по месту, как это сейчас происходит», и «стапельную оснастку сборки стабилизатора и хвостовых отсеков». Обязательно проводить при помощи единых для двух заводов контрольных рамок проверку узлов разъемов центроплана и консолей, на стабилизаторе и хвостовом отсеке, а также соосность узлов крепления щитка на центроплане и узлов щитка. Увязать макеты руля высоты заводов «на однотипность вырезов под узлы стабилизатора и профиля лобовой части руля» и «толщину деревянных бобышек на узлах стабилизатора» (17490).</w:t>
      </w:r>
    </w:p>
    <w:p w14:paraId="6018CBB9" w14:textId="77777777" w:rsidR="004D08EC" w:rsidRPr="00925F26" w:rsidRDefault="004D08EC" w:rsidP="00925F26">
      <w:pPr>
        <w:jc w:val="both"/>
        <w:rPr>
          <w:rStyle w:val="107"/>
          <w:rFonts w:eastAsiaTheme="minorHAnsi"/>
          <w:color w:val="000000" w:themeColor="text1"/>
          <w:sz w:val="16"/>
          <w:szCs w:val="16"/>
        </w:rPr>
      </w:pPr>
    </w:p>
    <w:p w14:paraId="324C51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февраля 1945 года ГК НИИ ВВС КА подготовил отчет о проведении государственных испы</w:t>
      </w:r>
      <w:r w:rsidRPr="00925F26">
        <w:rPr>
          <w:color w:val="000000" w:themeColor="text1"/>
          <w:sz w:val="16"/>
          <w:szCs w:val="16"/>
        </w:rPr>
        <w:softHyphen/>
        <w:t>таний самолета Су-6 с мотором АМ-42, утвержденный П.А.Лосюковым 8 февраля.</w:t>
      </w:r>
    </w:p>
    <w:p w14:paraId="34E328C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заключении отчета отмеча</w:t>
      </w:r>
      <w:r w:rsidRPr="00925F26">
        <w:rPr>
          <w:color w:val="000000" w:themeColor="text1"/>
          <w:sz w:val="16"/>
          <w:szCs w:val="16"/>
        </w:rPr>
        <w:softHyphen/>
        <w:t>лось, что: «Опытный двухместный бронированный штурмовик Су-6 с мотором АМ-42 с винтом АВ-9Л-172, конструкции тов. Сухого, по своим летным данным, технике пилотиро</w:t>
      </w:r>
      <w:r w:rsidRPr="00925F26">
        <w:rPr>
          <w:color w:val="000000" w:themeColor="text1"/>
          <w:sz w:val="16"/>
          <w:szCs w:val="16"/>
        </w:rPr>
        <w:softHyphen/>
        <w:t>вания и управляемости уступает запущенному в серийное производ</w:t>
      </w:r>
      <w:r w:rsidRPr="00925F26">
        <w:rPr>
          <w:color w:val="000000" w:themeColor="text1"/>
          <w:sz w:val="16"/>
          <w:szCs w:val="16"/>
        </w:rPr>
        <w:softHyphen/>
        <w:t>ство самолету Ил-10 с АМ-42, кон</w:t>
      </w:r>
      <w:r w:rsidRPr="00925F26">
        <w:rPr>
          <w:color w:val="000000" w:themeColor="text1"/>
          <w:sz w:val="16"/>
          <w:szCs w:val="16"/>
        </w:rPr>
        <w:softHyphen/>
        <w:t>струкции товарища Ильюшина» (11845).</w:t>
      </w:r>
    </w:p>
    <w:p w14:paraId="09A158F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0DDE549F" w14:textId="77777777" w:rsidR="004D08EC" w:rsidRPr="00925F26" w:rsidRDefault="004D08EC" w:rsidP="00925F26">
      <w:pPr>
        <w:jc w:val="both"/>
        <w:rPr>
          <w:color w:val="000000" w:themeColor="text1"/>
          <w:sz w:val="16"/>
          <w:szCs w:val="16"/>
        </w:rPr>
      </w:pPr>
      <w:r w:rsidRPr="00925F26">
        <w:rPr>
          <w:color w:val="000000" w:themeColor="text1"/>
          <w:sz w:val="16"/>
          <w:szCs w:val="16"/>
        </w:rPr>
        <w:t>До начала февраля 1945 года доводился Су-6 с АМ-42 пока ГК НИИ ВВС вынес окончательное заключение о нецелесообразности дальнейших работ по самолету (17490).</w:t>
      </w:r>
    </w:p>
    <w:p w14:paraId="25611248" w14:textId="77777777" w:rsidR="004D08EC" w:rsidRPr="00925F26" w:rsidRDefault="004D08EC" w:rsidP="00925F26">
      <w:pPr>
        <w:jc w:val="both"/>
        <w:rPr>
          <w:color w:val="000000" w:themeColor="text1"/>
          <w:sz w:val="16"/>
          <w:szCs w:val="16"/>
        </w:rPr>
      </w:pPr>
    </w:p>
    <w:p w14:paraId="180728AE" w14:textId="77777777" w:rsidR="00C2313B" w:rsidRPr="00925F26" w:rsidRDefault="001561D1" w:rsidP="00925F26">
      <w:pPr>
        <w:tabs>
          <w:tab w:val="left" w:pos="11199"/>
        </w:tabs>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5B04A7D" w14:textId="77777777" w:rsidR="00C2313B" w:rsidRPr="00925F26" w:rsidRDefault="00C2313B" w:rsidP="00925F26">
      <w:pPr>
        <w:tabs>
          <w:tab w:val="left" w:pos="11199"/>
        </w:tabs>
        <w:autoSpaceDE w:val="0"/>
        <w:autoSpaceDN w:val="0"/>
        <w:adjustRightInd w:val="0"/>
        <w:jc w:val="both"/>
        <w:rPr>
          <w:iCs/>
          <w:color w:val="000000" w:themeColor="text1"/>
          <w:sz w:val="16"/>
          <w:szCs w:val="16"/>
        </w:rPr>
      </w:pPr>
    </w:p>
    <w:p w14:paraId="37268EDA"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начале февраля 1945 года имели место первые подвижки по созданию танка нового поколения, который должен был в перспективе заменить Объект 701. 6 февраля был издан приказ №66 по Народному комиссариату тяжелой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все еще не было видно. Кроме того, как раз 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w:t>
      </w:r>
    </w:p>
    <w:p w14:paraId="5D431B2F"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Совсем иное положение дел сложилось у КБ опытного завода №100. По состоянию на начало 1945 года работы по ИС-6 оказались свернуты, и завод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w:t>
      </w:r>
      <w:hyperlink r:id="rId33" w:history="1">
        <w:r w:rsidRPr="00925F26">
          <w:rPr>
            <w:rStyle w:val="a5"/>
            <w:color w:val="000000" w:themeColor="text1"/>
            <w:sz w:val="16"/>
            <w:szCs w:val="16"/>
            <w:u w:val="none"/>
          </w:rPr>
          <w:t>наркома танковой промышленности В.А. Малышева</w:t>
        </w:r>
      </w:hyperlink>
      <w:r w:rsidRPr="00925F26">
        <w:rPr>
          <w:color w:val="000000" w:themeColor="text1"/>
          <w:sz w:val="16"/>
          <w:szCs w:val="16"/>
        </w:rPr>
        <w:t>! Не последнюю роль в этих напряженных отношениях сыграла история с ИС-6, который столь упрямо проталкивался Котиным и который при этом все равно проиграл Объекту 701 (17209).</w:t>
      </w:r>
    </w:p>
    <w:p w14:paraId="7276B9AE" w14:textId="77777777" w:rsidR="00FA59CB" w:rsidRPr="00925F26" w:rsidRDefault="00FA59CB" w:rsidP="00925F26">
      <w:pPr>
        <w:pStyle w:val="ae"/>
        <w:shd w:val="clear" w:color="auto" w:fill="FFFFFF"/>
        <w:spacing w:before="0" w:after="0"/>
        <w:jc w:val="both"/>
        <w:rPr>
          <w:color w:val="000000" w:themeColor="text1"/>
          <w:sz w:val="16"/>
          <w:szCs w:val="16"/>
        </w:rPr>
      </w:pPr>
    </w:p>
    <w:p w14:paraId="4FBE3FB9" w14:textId="77777777" w:rsidR="00A524F6" w:rsidRPr="00925F26" w:rsidRDefault="00A524F6"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начале февраля 1945 отчёте завода № 183 за январь 1945 года примерной датой изготовления танка Т-44Б указывали 15 февраля. Так оно и получилось: 14 февраля монтаж танков закончился, после чего провели опытные стрельбы. Испытания показали, что накат иногда происходил не полностью, кроме того, не всегда происходила экстракция гильз. Вместе с тем на заводе №183 посчитали, что проведённых кратковременных испытаний вполне достаточно. Во время пробега до стрельбища и обратно танк преодолел 50 км, в ходе которых никаких дефектов не обнаружилось. 16 февраля Т-54 отправили на НИБТ Полигон, причём вместе с Т-34-100 (19090).</w:t>
      </w:r>
    </w:p>
    <w:p w14:paraId="509F6B41" w14:textId="77777777" w:rsidR="00A524F6" w:rsidRPr="00925F26" w:rsidRDefault="00A524F6" w:rsidP="00925F26">
      <w:pPr>
        <w:pStyle w:val="ae"/>
        <w:shd w:val="clear" w:color="auto" w:fill="FFFFFF"/>
        <w:spacing w:before="0" w:after="0"/>
        <w:jc w:val="both"/>
        <w:textAlignment w:val="baseline"/>
        <w:rPr>
          <w:color w:val="000000" w:themeColor="text1"/>
          <w:sz w:val="16"/>
          <w:szCs w:val="16"/>
        </w:rPr>
      </w:pPr>
    </w:p>
    <w:p w14:paraId="0EE28EA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началу февраля 1945 года на ИСУ-122-1 поставили новый ствол, т.к. предварительных испытаний в Гороховце не выдержала из-за низкой живучести ствола.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(11638).</w:t>
      </w:r>
    </w:p>
    <w:p w14:paraId="2487880B" w14:textId="77777777" w:rsidR="00C2313B" w:rsidRPr="00925F26" w:rsidRDefault="00C2313B" w:rsidP="00925F26">
      <w:pPr>
        <w:autoSpaceDE w:val="0"/>
        <w:autoSpaceDN w:val="0"/>
        <w:adjustRightInd w:val="0"/>
        <w:jc w:val="both"/>
        <w:rPr>
          <w:iCs/>
          <w:color w:val="000000" w:themeColor="text1"/>
          <w:sz w:val="16"/>
          <w:szCs w:val="16"/>
        </w:rPr>
      </w:pPr>
    </w:p>
    <w:p w14:paraId="098423CB" w14:textId="77777777" w:rsidR="00C441EE" w:rsidRPr="001A0BAA" w:rsidRDefault="00C441EE" w:rsidP="00C441EE">
      <w:pPr>
        <w:jc w:val="both"/>
        <w:rPr>
          <w:color w:val="0070C0"/>
          <w:sz w:val="16"/>
          <w:szCs w:val="16"/>
        </w:rPr>
      </w:pPr>
      <w:r w:rsidRPr="001A0BAA">
        <w:rPr>
          <w:color w:val="0070C0"/>
          <w:sz w:val="16"/>
          <w:szCs w:val="16"/>
        </w:rPr>
        <w:t xml:space="preserve">В начале февраля 1945 года была дана команда отправить СУ-85А с НИБТ Полигона обратно на ГАЗ им. Молотова. В марте на заводе приступили к модернизации машины, работы закончились 28 марта. Одним только орудием дело не ограничилось. Рубку переработали, в частности, командир получил новый смотровой прибор (как указывалось, по типу M4A2, похожие призмы позже использовались на БТР-40). Доработали и кормовую часть рубки. За счет того, что заднюю стенку чуть </w:t>
      </w:r>
      <w:r w:rsidRPr="001A0BAA">
        <w:rPr>
          <w:color w:val="0070C0"/>
          <w:sz w:val="16"/>
          <w:szCs w:val="16"/>
        </w:rPr>
        <w:lastRenderedPageBreak/>
        <w:t>выдвинули назад, удалось выкроить чуть больше места. Также появилась полноценная дверь, на которую вынесли часть снарядной укладки. Это позволило поднять боекомплект до 43 унитаров, а главное, более удобно его разместить (24993).</w:t>
      </w:r>
    </w:p>
    <w:p w14:paraId="2D5DE895" w14:textId="77777777" w:rsidR="00C441EE" w:rsidRPr="001A0BAA" w:rsidRDefault="00C441EE" w:rsidP="00C441EE">
      <w:pPr>
        <w:jc w:val="both"/>
        <w:rPr>
          <w:color w:val="0070C0"/>
          <w:sz w:val="16"/>
          <w:szCs w:val="16"/>
        </w:rPr>
      </w:pPr>
    </w:p>
    <w:p w14:paraId="7E7ACCA2"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8095D5C" w14:textId="77777777" w:rsidR="00C2313B" w:rsidRPr="00925F26" w:rsidRDefault="00C2313B" w:rsidP="00925F26">
      <w:pPr>
        <w:autoSpaceDE w:val="0"/>
        <w:autoSpaceDN w:val="0"/>
        <w:adjustRightInd w:val="0"/>
        <w:jc w:val="both"/>
        <w:rPr>
          <w:iCs/>
          <w:color w:val="000000" w:themeColor="text1"/>
          <w:sz w:val="16"/>
          <w:szCs w:val="16"/>
        </w:rPr>
      </w:pPr>
    </w:p>
    <w:p w14:paraId="2A4F6BA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февраля 1945 г. в районе Пиллау - Эйлау “Нормандия - Неман” сошлась в смертельной схватке с ис</w:t>
      </w:r>
      <w:r w:rsidRPr="00925F26">
        <w:rPr>
          <w:color w:val="000000" w:themeColor="text1"/>
          <w:sz w:val="16"/>
          <w:szCs w:val="16"/>
        </w:rPr>
        <w:softHyphen/>
        <w:t>ключительно опытными и опасными противниками из истребительной эс</w:t>
      </w:r>
      <w:r w:rsidRPr="00925F26">
        <w:rPr>
          <w:color w:val="000000" w:themeColor="text1"/>
          <w:sz w:val="16"/>
          <w:szCs w:val="16"/>
        </w:rPr>
        <w:softHyphen/>
        <w:t>кадры JG54 “Зеленое сердце”. Погиб</w:t>
      </w:r>
      <w:r w:rsidRPr="00925F26">
        <w:rPr>
          <w:color w:val="000000" w:themeColor="text1"/>
          <w:sz w:val="16"/>
          <w:szCs w:val="16"/>
        </w:rPr>
        <w:softHyphen/>
        <w:t>ли младшие лейтенанты Р.Пенверн и Р. Ирибарн, еще два пилота получили тяжелые ранения. Серьезные потери понесли также другие полки 303-й иад. В “Нормандии” осталось всего 24 лет</w:t>
      </w:r>
      <w:r w:rsidRPr="00925F26">
        <w:rPr>
          <w:color w:val="000000" w:themeColor="text1"/>
          <w:sz w:val="16"/>
          <w:szCs w:val="16"/>
        </w:rPr>
        <w:softHyphen/>
        <w:t>чика, поэтому пришлось расформиро</w:t>
      </w:r>
      <w:r w:rsidRPr="00925F26">
        <w:rPr>
          <w:color w:val="000000" w:themeColor="text1"/>
          <w:sz w:val="16"/>
          <w:szCs w:val="16"/>
        </w:rPr>
        <w:softHyphen/>
        <w:t>вать еще одну эскадрилью. Тем време</w:t>
      </w:r>
      <w:r w:rsidRPr="00925F26">
        <w:rPr>
          <w:color w:val="000000" w:themeColor="text1"/>
          <w:sz w:val="16"/>
          <w:szCs w:val="16"/>
        </w:rPr>
        <w:softHyphen/>
        <w:t>нем, на основании директивы Гене</w:t>
      </w:r>
      <w:r w:rsidRPr="00925F26">
        <w:rPr>
          <w:color w:val="000000" w:themeColor="text1"/>
          <w:sz w:val="16"/>
          <w:szCs w:val="16"/>
        </w:rPr>
        <w:softHyphen/>
        <w:t>рального штаба Красной Армии нача</w:t>
      </w:r>
      <w:r w:rsidRPr="00925F26">
        <w:rPr>
          <w:color w:val="000000" w:themeColor="text1"/>
          <w:sz w:val="16"/>
          <w:szCs w:val="16"/>
        </w:rPr>
        <w:softHyphen/>
        <w:t>лось формирование долгожданной 1-й французской смешанной авиадивизии. Помимо “Нормандии - Неман”, в ее со</w:t>
      </w:r>
      <w:r w:rsidRPr="00925F26">
        <w:rPr>
          <w:color w:val="000000" w:themeColor="text1"/>
          <w:sz w:val="16"/>
          <w:szCs w:val="16"/>
        </w:rPr>
        <w:softHyphen/>
        <w:t>став планировалось ввести 2-й бом</w:t>
      </w:r>
      <w:r w:rsidRPr="00925F26">
        <w:rPr>
          <w:color w:val="000000" w:themeColor="text1"/>
          <w:sz w:val="16"/>
          <w:szCs w:val="16"/>
        </w:rPr>
        <w:softHyphen/>
        <w:t>бардировочный авиаполк “Бретань” на самолетах Пе-2 и 3-й истребительный авиаполк “Париж” на самолетах Як-3. “Бретань” в марте 1945 г. была укомп</w:t>
      </w:r>
      <w:r w:rsidRPr="00925F26">
        <w:rPr>
          <w:color w:val="000000" w:themeColor="text1"/>
          <w:sz w:val="16"/>
          <w:szCs w:val="16"/>
        </w:rPr>
        <w:softHyphen/>
        <w:t>лектована французскими экипажами и советским инженерно-техническим со</w:t>
      </w:r>
      <w:r w:rsidRPr="00925F26">
        <w:rPr>
          <w:color w:val="000000" w:themeColor="text1"/>
          <w:sz w:val="16"/>
          <w:szCs w:val="16"/>
        </w:rPr>
        <w:softHyphen/>
        <w:t>ставом, получила она и технику: 31 Пе-2 и 3 УПе-2. Полк базировался на аэродроме Клоково в Московском во</w:t>
      </w:r>
      <w:r w:rsidRPr="00925F26">
        <w:rPr>
          <w:color w:val="000000" w:themeColor="text1"/>
          <w:sz w:val="16"/>
          <w:szCs w:val="16"/>
        </w:rPr>
        <w:softHyphen/>
        <w:t>енном округе. Переучивание опытных французских летчиков серьезно тор</w:t>
      </w:r>
      <w:r w:rsidRPr="00925F26">
        <w:rPr>
          <w:color w:val="000000" w:themeColor="text1"/>
          <w:sz w:val="16"/>
          <w:szCs w:val="16"/>
        </w:rPr>
        <w:softHyphen/>
        <w:t>мозилось из-за незнания ими русского языка. Инструкторам из 9-го запасно</w:t>
      </w:r>
      <w:r w:rsidRPr="00925F26">
        <w:rPr>
          <w:color w:val="000000" w:themeColor="text1"/>
          <w:sz w:val="16"/>
          <w:szCs w:val="16"/>
        </w:rPr>
        <w:softHyphen/>
        <w:t>го авиаполка приходилось нелегко. И все же к концу апреля почти половина экипажей “Бретани” смогла вылететь самостоятельно (3956). “Париж” также не успел закончить подготовку к моменту окончания вой</w:t>
      </w:r>
      <w:r w:rsidRPr="00925F26">
        <w:rPr>
          <w:color w:val="000000" w:themeColor="text1"/>
          <w:sz w:val="16"/>
          <w:szCs w:val="16"/>
        </w:rPr>
        <w:softHyphen/>
        <w:t>ны в Европе. Ему не хватило всего па</w:t>
      </w:r>
      <w:r w:rsidRPr="00925F26">
        <w:rPr>
          <w:color w:val="000000" w:themeColor="text1"/>
          <w:sz w:val="16"/>
          <w:szCs w:val="16"/>
        </w:rPr>
        <w:softHyphen/>
        <w:t>ры месяцев, а в результате истреби</w:t>
      </w:r>
      <w:r w:rsidRPr="00925F26">
        <w:rPr>
          <w:color w:val="000000" w:themeColor="text1"/>
          <w:sz w:val="16"/>
          <w:szCs w:val="16"/>
        </w:rPr>
        <w:softHyphen/>
        <w:t>тельный авиаполк “Нормандия - Не</w:t>
      </w:r>
      <w:r w:rsidRPr="00925F26">
        <w:rPr>
          <w:color w:val="000000" w:themeColor="text1"/>
          <w:sz w:val="16"/>
          <w:szCs w:val="16"/>
        </w:rPr>
        <w:softHyphen/>
        <w:t>ман” так и остался единственной французской авиачастью, принявшей участие в боях на советско-германском фронте.</w:t>
      </w:r>
    </w:p>
    <w:p w14:paraId="43E2190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начале февраля 1945 г. первые самолеты Ил-10 были брошены в бой и добились неплохих результатов. В отчете по войсковым испытаниям отмечалась "недостаточная надежность мотора АМ-42 и короткий срок его службы вследствие:</w:t>
      </w:r>
    </w:p>
    <w:p w14:paraId="53E7B55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а) большого износа поршневых колец, приведшего к потере компрессии АМ-42 при эксплуатации с полевых аэродромов (выход из строя 76 % моторов);</w:t>
      </w:r>
    </w:p>
    <w:p w14:paraId="7B252F4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 б) появления бронзовой, стальной и алюминиевой стружки, попадания воды в картер и выбрасывания масла (выход из строя 16 % </w:t>
      </w:r>
      <w:proofErr w:type="gramStart"/>
      <w:r w:rsidRPr="00925F26">
        <w:rPr>
          <w:color w:val="000000" w:themeColor="text1"/>
          <w:sz w:val="16"/>
          <w:szCs w:val="16"/>
        </w:rPr>
        <w:t>моторов)...</w:t>
      </w:r>
      <w:proofErr w:type="gramEnd"/>
    </w:p>
    <w:p w14:paraId="5C93EB7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Выходу моторов из строя способствовало отсутствие в системе забора воздуха в мотор противопыльного фильтра".</w:t>
      </w:r>
    </w:p>
    <w:p w14:paraId="31BC4B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Дефекты мотора устранялись в процессе его доводки в серийном производстве. Как отмечал Микулин, активную роль в избавлении двигателя от "детских болезней" сыграл главный конструктор завода № 24 М.Р. Флиский (9032).</w:t>
      </w:r>
    </w:p>
    <w:p w14:paraId="1FB6E96D" w14:textId="77777777" w:rsidR="00C2313B" w:rsidRPr="00925F26" w:rsidRDefault="00C2313B" w:rsidP="00925F26">
      <w:pPr>
        <w:autoSpaceDE w:val="0"/>
        <w:autoSpaceDN w:val="0"/>
        <w:adjustRightInd w:val="0"/>
        <w:jc w:val="both"/>
        <w:rPr>
          <w:color w:val="000000" w:themeColor="text1"/>
          <w:sz w:val="16"/>
          <w:szCs w:val="16"/>
        </w:rPr>
      </w:pPr>
    </w:p>
    <w:p w14:paraId="4725BE68"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E068462" w14:textId="77777777" w:rsidR="00C2313B" w:rsidRPr="00925F26" w:rsidRDefault="00C2313B" w:rsidP="00925F26">
      <w:pPr>
        <w:autoSpaceDE w:val="0"/>
        <w:autoSpaceDN w:val="0"/>
        <w:adjustRightInd w:val="0"/>
        <w:jc w:val="both"/>
        <w:rPr>
          <w:iCs/>
          <w:color w:val="000000" w:themeColor="text1"/>
          <w:sz w:val="16"/>
          <w:szCs w:val="16"/>
        </w:rPr>
      </w:pPr>
    </w:p>
    <w:p w14:paraId="2B116C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Нач. ГУЗ ВВС КА г-л ИАС Селезнев писал письмо N 701485 Чл. Военного Совета ВВС КА г-п Авиации Шиманову "По вопросу выпуска модифицированных самолетов Ил-2 с удлиненным бронекорпусом и установки полевого варианта бронезащиты стрелка":</w:t>
      </w:r>
    </w:p>
    <w:p w14:paraId="568DC62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 времени последнего обращения Военного Совета ВВС КА в НКАП по вопросу о внедрении в серию самолетов Ил-2 с удлиненным бронекорпусом и установки на серийных заводах полевого варианта защиты стрелка, прошло 3 месяца; приказ НКАП, однако, до сего времени не вышел.</w:t>
      </w:r>
    </w:p>
    <w:p w14:paraId="17F877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К настоящему времени, выпуск модифицированных самолетов не только не лимитируется какими-либо производственными затруднениями, но наоборот, представляется более рентабельным в отношении трудоемкости сборки самолетов и экономии топлива и РС в производстве бронекорпусов. Массовый выпуск модифицированных самолетов задерживается исключительно из-за отсутствия приказа НКАП.</w:t>
      </w:r>
    </w:p>
    <w:p w14:paraId="32130A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сообщаю, что установка полевого варианта бронезащиты в деревянной кабине стрелка на серийных самолетах Ил-2, до сего времени, заводами не производится. С заводов 30, 1 и 18 отправляются на фронт самолеты Ил-2 без бронезащиты стрелка, в то самое время, как с этих же заводов на фронт отправляется бронезащита стрелка ж/д транспортом.</w:t>
      </w:r>
    </w:p>
    <w:p w14:paraId="1F7B19C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Такое положение в настоящее время тем более нетерпимо, что коммуникации непрерывно растягиваются, ж/д транспорты, в зимних условиях, идут к месту назначения по 1.5 - 2 месяца, а установка брони практически производится на фронте на тех самых машинах, которые выпущены заводами одновременно с выпуском брони, или позднее.</w:t>
      </w:r>
    </w:p>
    <w:p w14:paraId="509893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на заводе 1 имеется 500 комплектов, а на заводе 30 - 800 комплектов полевого варианта бронезащиты стрелка, которые могут быть легко установлены на выпускаемых заводами серийных самолетах Ил-2 с деревянной кабиной. В противном случае, эта броня сможет быть установлена в строевых частях силами техсостава не ранее, чем через 2-3 месяца.</w:t>
      </w:r>
    </w:p>
    <w:p w14:paraId="0853F6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Необходим срочный выпуск приказа НКАП о массовом производстве модифицированных самолетов Ил-2 с удлиненном бронекорпусом и установка полевого варианта на всех самолетах Ил-2 с деревянной кабиной стрелка.</w:t>
      </w:r>
    </w:p>
    <w:p w14:paraId="181CBB9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содействия.</w:t>
      </w:r>
    </w:p>
    <w:p w14:paraId="215584F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Приложение: 1. Отзыв 1 ВА о полевом варианте бронезащиты стрелка</w:t>
      </w:r>
    </w:p>
    <w:p w14:paraId="68DAF44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Копия письма Военного Совета ВВС КА в НКАП. (1879,58)"</w:t>
      </w:r>
    </w:p>
    <w:p w14:paraId="32D983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"копия с письма от вх. 0209</w:t>
      </w:r>
    </w:p>
    <w:p w14:paraId="5DA365E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 Управления технической эксплуатации ВВС КА г-л ИАС Шульговскому:</w:t>
      </w:r>
    </w:p>
    <w:p w14:paraId="6088715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Доношу: согласно указанию ГИ ВВС КА N 140, на пяти самолетах Ил-2 со стреловидным крылом, произведена установка дополнительного бронирования кабины стрелка.</w:t>
      </w:r>
    </w:p>
    <w:p w14:paraId="6D70A8B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Установку производил представитель завода 30. На самолеты производства завода 30, комплекты бронеплит подходят хорошо и на их полный монтаж 2 человека затрачивают 2 рабочих дня.</w:t>
      </w:r>
    </w:p>
    <w:p w14:paraId="160632D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 самолеты производства завода 18 бронеплиты по месту не подходят и для их подгонки необходима перестановка: баллона с СО, СПУ-Ф с кронштейном и задней бронестенки.</w:t>
      </w:r>
    </w:p>
    <w:p w14:paraId="06D9A71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Время установки бронирования в этом случае - 2 человека затрачивают три рабочих дня.</w:t>
      </w:r>
    </w:p>
    <w:p w14:paraId="66EC0BA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Дополнительное бронирование кабины стрелка целесообразно и части просят произвести установку на всех самолетах.</w:t>
      </w:r>
    </w:p>
    <w:p w14:paraId="0887C78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311 шад, самолет вернулся с боевого задания с двумя попаданиями 20 мм снаряда в кабину стрелка и только благодаря наличию дополнительного бронирования кабины стрелок остался невредим.</w:t>
      </w:r>
    </w:p>
    <w:p w14:paraId="5BFE79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установки дополнительного бронирования на всех самолетах, прошу вместе с комплектами бронеплит направлять также и бригады НКАП.</w:t>
      </w:r>
    </w:p>
    <w:p w14:paraId="4C7FA6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 ОТЭ ИАС 1ВА и-м Ануреев (31.01.1945)" (1979,60).</w:t>
      </w:r>
    </w:p>
    <w:p w14:paraId="5833E8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копия.</w:t>
      </w:r>
    </w:p>
    <w:p w14:paraId="5A61DF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 Ком. ВВС КА гпа Никитин и чл. ВС ВВС КА гпа Шиманов писали письмо НКАП ГПИАС А.И.Ш.</w:t>
      </w:r>
    </w:p>
    <w:p w14:paraId="77D1B6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Проблема повышения. эффективности бронирования жизненно-важных агрегатов и бронезащиты стрелка с-та -Ил-2, без снижения бомбовой нагрузки и ухудшещя. летных ка</w:t>
      </w:r>
      <w:r w:rsidRPr="00925F26">
        <w:rPr>
          <w:color w:val="000000" w:themeColor="text1"/>
          <w:sz w:val="16"/>
          <w:szCs w:val="16"/>
        </w:rPr>
        <w:softHyphen/>
        <w:t>честв самолета, к настоящему времени решена, путем ра</w:t>
      </w:r>
      <w:r w:rsidRPr="00925F26">
        <w:rPr>
          <w:color w:val="000000" w:themeColor="text1"/>
          <w:sz w:val="16"/>
          <w:szCs w:val="16"/>
        </w:rPr>
        <w:softHyphen/>
        <w:t>ционального перераспределения толщин брони.</w:t>
      </w:r>
    </w:p>
    <w:p w14:paraId="434B4A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Ил-2 с моторов АМ-38ф, с перераспределенньм бронекорпусом, удлиненным на величину кабины стрел</w:t>
      </w:r>
      <w:r w:rsidRPr="00925F26">
        <w:rPr>
          <w:color w:val="000000" w:themeColor="text1"/>
          <w:sz w:val="16"/>
          <w:szCs w:val="16"/>
        </w:rPr>
        <w:softHyphen/>
        <w:t>ка, успешно прошел государственные испытания в ГК НИИ ВВС КА и рекомендован для внедрения всерию.</w:t>
      </w:r>
    </w:p>
    <w:p w14:paraId="3A7679C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процессе изготовления 3-х опытных самолетов и установочной партии модернизированных броне корпусов, </w:t>
      </w:r>
      <w:proofErr w:type="gramStart"/>
      <w:r w:rsidRPr="00925F26">
        <w:rPr>
          <w:color w:val="000000" w:themeColor="text1"/>
          <w:sz w:val="16"/>
          <w:szCs w:val="16"/>
        </w:rPr>
        <w:t>заводами .</w:t>
      </w:r>
      <w:proofErr w:type="gramEnd"/>
      <w:r w:rsidRPr="00925F26">
        <w:rPr>
          <w:color w:val="000000" w:themeColor="text1"/>
          <w:sz w:val="16"/>
          <w:szCs w:val="16"/>
        </w:rPr>
        <w:t>№ 30 и 125 полностью отработаны все необходи</w:t>
      </w:r>
      <w:r w:rsidRPr="00925F26">
        <w:rPr>
          <w:color w:val="000000" w:themeColor="text1"/>
          <w:sz w:val="16"/>
          <w:szCs w:val="16"/>
        </w:rPr>
        <w:softHyphen/>
        <w:t>мые чертежи и оснастка для внедрения в серию.</w:t>
      </w:r>
    </w:p>
    <w:p w14:paraId="6E29A5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защиты стрелка на серийных самолетах Ил-2, находящихся в эксплоатации и имеющих деревянную хвостовую часть фюзеляжа, по чертежам Главного Конструктора, изготовлено 1700 комплектов полевого варианта бронезащиты стрелка.</w:t>
      </w:r>
    </w:p>
    <w:p w14:paraId="4EC878E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Самолет Ил-2 с -мотором АМ-38Ф, с увеличенной стрельчатостью крыла и оборудозанный дополнительной броней, также успешно прошел государственные испытания в ГК НИИ ВВС </w:t>
      </w:r>
      <w:proofErr w:type="gramStart"/>
      <w:r w:rsidRPr="00925F26">
        <w:rPr>
          <w:color w:val="000000" w:themeColor="text1"/>
          <w:sz w:val="16"/>
          <w:szCs w:val="16"/>
        </w:rPr>
        <w:t>КА</w:t>
      </w:r>
      <w:proofErr w:type="gramEnd"/>
      <w:r w:rsidRPr="00925F26">
        <w:rPr>
          <w:color w:val="000000" w:themeColor="text1"/>
          <w:sz w:val="16"/>
          <w:szCs w:val="16"/>
        </w:rPr>
        <w:t xml:space="preserve"> и дополнительная броня рекомендована для установки в частях ВВС КА и на серийных отводах.</w:t>
      </w:r>
    </w:p>
    <w:p w14:paraId="7BD36B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Детали полевого варианта бронирования кабины стрел</w:t>
      </w:r>
      <w:r w:rsidRPr="00925F26">
        <w:rPr>
          <w:color w:val="000000" w:themeColor="text1"/>
          <w:sz w:val="16"/>
          <w:szCs w:val="16"/>
        </w:rPr>
        <w:softHyphen/>
        <w:t>ка самолета Ил-2, отправляются, в настоящее время, с завода № 30 в Воздушные Армии и устанавливается там на боевых самолетах техсоставом полков и ПАРМом.</w:t>
      </w:r>
    </w:p>
    <w:p w14:paraId="78CEB8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Придавая исключительное значение повышению эффек</w:t>
      </w:r>
      <w:r w:rsidRPr="00925F26">
        <w:rPr>
          <w:color w:val="000000" w:themeColor="text1"/>
          <w:sz w:val="16"/>
          <w:szCs w:val="16"/>
        </w:rPr>
        <w:softHyphen/>
        <w:t>тивности бронирования самолета Ил-2 для повышения его боевой живучести и уменьшения потерь стрелков, прошу Ваших указаний о внедрении в серию на заводе № 30 самолета Ид-2 с модернизированным бронекорпусом и об уста</w:t>
      </w:r>
      <w:r w:rsidRPr="00925F26">
        <w:rPr>
          <w:color w:val="000000" w:themeColor="text1"/>
          <w:sz w:val="16"/>
          <w:szCs w:val="16"/>
        </w:rPr>
        <w:softHyphen/>
        <w:t>новке дополнительной брони стрелка на серийных самолетах, выпускаемых заводом № 30, до-внедрения в серию модернизированного бронекорпуса.</w:t>
      </w:r>
    </w:p>
    <w:p w14:paraId="2D96708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Проект приказа на 2-х листах (1979,61).</w:t>
      </w:r>
    </w:p>
    <w:p w14:paraId="7F675263" w14:textId="77777777" w:rsidR="00C2313B" w:rsidRPr="00925F26" w:rsidRDefault="00C2313B" w:rsidP="00925F26">
      <w:pPr>
        <w:autoSpaceDE w:val="0"/>
        <w:autoSpaceDN w:val="0"/>
        <w:adjustRightInd w:val="0"/>
        <w:jc w:val="both"/>
        <w:rPr>
          <w:color w:val="000000" w:themeColor="text1"/>
          <w:sz w:val="16"/>
          <w:szCs w:val="16"/>
        </w:rPr>
      </w:pPr>
    </w:p>
    <w:p w14:paraId="39D0A96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А.E.Репин утвердил Отчет N 11 по войсковым испытаниям на боевое применение самолетов Як-9 У с ВК-107А производства 82 завода. Испытывалось 42 самолета, из которых 6 - 2-й серии, 15 - 3-й серии, 21 - 4-й серии в 163 Истребительном авиационном Седлецком Краснознаменном полку 336 ИАД 3 ВА (986,7).</w:t>
      </w:r>
    </w:p>
    <w:p w14:paraId="14FEF38A" w14:textId="77777777" w:rsidR="00C2313B" w:rsidRPr="00925F26" w:rsidRDefault="00C2313B" w:rsidP="00925F26">
      <w:pPr>
        <w:autoSpaceDE w:val="0"/>
        <w:autoSpaceDN w:val="0"/>
        <w:adjustRightInd w:val="0"/>
        <w:jc w:val="both"/>
        <w:rPr>
          <w:color w:val="000000" w:themeColor="text1"/>
          <w:sz w:val="16"/>
          <w:szCs w:val="16"/>
        </w:rPr>
      </w:pPr>
    </w:p>
    <w:p w14:paraId="13D1ADE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г. главный инженер ВВС генерал А.К.Репин утвердил Отчет по гос. испытаниям Як-7У, который выглядел более чем оптимистично. Особенно обращает внимание фраза, где утверждается о полном превосходстве Як-9У перед FW190, которые являлись основными противниками советских летчиков в Прибалтике зимой 1944-1945 гг. По данным отчета, после одной атаки и как правило двух-трех очередей, вражеский самолет падал на землю.</w:t>
      </w:r>
    </w:p>
    <w:p w14:paraId="6E0A512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Скажу несколько слов об условиях, в которых проходили войсковые испытания (4842).</w:t>
      </w:r>
    </w:p>
    <w:p w14:paraId="1CD87999" w14:textId="77777777" w:rsidR="00C2313B" w:rsidRPr="00925F26" w:rsidRDefault="00C2313B" w:rsidP="00925F26">
      <w:pPr>
        <w:autoSpaceDE w:val="0"/>
        <w:autoSpaceDN w:val="0"/>
        <w:adjustRightInd w:val="0"/>
        <w:jc w:val="both"/>
        <w:rPr>
          <w:color w:val="000000" w:themeColor="text1"/>
          <w:sz w:val="16"/>
          <w:szCs w:val="16"/>
        </w:rPr>
      </w:pPr>
    </w:p>
    <w:p w14:paraId="37BDA50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прекращены из-за ненадежной работы вооружения гос. испытания модифицированного Ла-7 № 38100358 с 3 пушками Б-20, которые начались 25 января 1945.</w:t>
      </w:r>
    </w:p>
    <w:p w14:paraId="0171754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С-ты № 38100358, 38105758 производства завода № 381</w:t>
      </w:r>
    </w:p>
    <w:p w14:paraId="78AC2BC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Отв. Исп. И-м Г.В.Чертявский</w:t>
      </w:r>
    </w:p>
    <w:p w14:paraId="00188A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Вед. Л м Кубышкин</w:t>
      </w:r>
    </w:p>
    <w:p w14:paraId="4884274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С-ты производства з-да № 381 выпуска января-февраля 1945 г</w:t>
      </w:r>
    </w:p>
    <w:p w14:paraId="10E3D64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5758 испытания начаты 22 февраля и закончены 25 марта 1945 г.</w:t>
      </w:r>
    </w:p>
    <w:p w14:paraId="0F9FBF6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 время полетов на с-те № 0358 налет составил 2:50</w:t>
      </w:r>
    </w:p>
    <w:p w14:paraId="7E7E9DF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2675, полетный - 3312</w:t>
      </w:r>
    </w:p>
    <w:p w14:paraId="5A7E2A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571, на 1 гр. (2900) - 632, на 5000 - 636, на 2 гр. (6100) - 662 км/час</w:t>
      </w:r>
    </w:p>
    <w:p w14:paraId="352B85A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5000 - 5,1</w:t>
      </w:r>
    </w:p>
    <w:p w14:paraId="61B3320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10325, время набора 26 мин.</w:t>
      </w:r>
    </w:p>
    <w:p w14:paraId="329338F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54FE4B2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3A96F48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работы 20мм пушек Б-20с и их синхронной установки не обеспечена.</w:t>
      </w:r>
    </w:p>
    <w:p w14:paraId="4C30EB6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Материалы испытаний оставить для внутреннего пользованияч.</w:t>
      </w:r>
    </w:p>
    <w:p w14:paraId="0BC416B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7CA7BF0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Подписали Кочетков, Л.. 2 апреля 1945 (743,1).</w:t>
      </w:r>
    </w:p>
    <w:p w14:paraId="4A581588" w14:textId="4E4221C8" w:rsidR="00C2313B" w:rsidRPr="00925F26" w:rsidRDefault="00C2313B" w:rsidP="00925F26">
      <w:pPr>
        <w:autoSpaceDE w:val="0"/>
        <w:autoSpaceDN w:val="0"/>
        <w:adjustRightInd w:val="0"/>
        <w:jc w:val="both"/>
        <w:rPr>
          <w:color w:val="000000" w:themeColor="text1"/>
          <w:sz w:val="16"/>
          <w:szCs w:val="16"/>
        </w:rPr>
      </w:pPr>
    </w:p>
    <w:p w14:paraId="303EDFD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года адмирал Л. Галлер писал письмо N 151642с Шахурину.</w:t>
      </w:r>
    </w:p>
    <w:p w14:paraId="771E285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 времени Вашего письма на имя Ворошилова от 30 августа 1944 года N Н-33/4113 о необходимости продувки модели ПС-84 с тральным кольцом с целью аэродинамической проверки самолета-тральщика, запроектированного конструктором Голубковым А.П., прошло уже пять с половиной месяцев, однако этот вопрос на сегодня не нашел еще должного решения.</w:t>
      </w:r>
    </w:p>
    <w:p w14:paraId="5AFED81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Учитывая исключительную важность вопроса о принятии на вооружение самолета минного тральщика, как эффективного средства борьбы с неконтактными минами противника, особенно в настоящее время на реках Дунае, Висле и др., прошу Вашего распоряжения об ускорении решения вопроса по изготовлению отечественных самолетов-тральщиков (2595,6).</w:t>
      </w:r>
    </w:p>
    <w:p w14:paraId="7DB4CAA3" w14:textId="77777777" w:rsidR="00C2313B" w:rsidRPr="00925F26" w:rsidRDefault="00C2313B" w:rsidP="00925F26">
      <w:pPr>
        <w:autoSpaceDE w:val="0"/>
        <w:autoSpaceDN w:val="0"/>
        <w:adjustRightInd w:val="0"/>
        <w:jc w:val="both"/>
        <w:rPr>
          <w:color w:val="000000" w:themeColor="text1"/>
          <w:sz w:val="16"/>
          <w:szCs w:val="16"/>
        </w:rPr>
      </w:pPr>
    </w:p>
    <w:p w14:paraId="21C4C6C9" w14:textId="77777777" w:rsidR="00104B87" w:rsidRPr="00925F26" w:rsidRDefault="00104B87" w:rsidP="00925F26">
      <w:pPr>
        <w:jc w:val="both"/>
        <w:rPr>
          <w:color w:val="000000" w:themeColor="text1"/>
          <w:sz w:val="16"/>
          <w:szCs w:val="16"/>
        </w:rPr>
      </w:pPr>
      <w:r w:rsidRPr="00925F26">
        <w:rPr>
          <w:color w:val="000000" w:themeColor="text1"/>
          <w:sz w:val="16"/>
          <w:szCs w:val="16"/>
        </w:rPr>
        <w:t>7 февраля 1945 г. Из отчетного доклада директора завода № 22 В. А. Окулова за 1944 г. — о выполнении производственной программы по оборонной продукции в воинских частях и опытных работах ОКБ-22</w:t>
      </w:r>
    </w:p>
    <w:p w14:paraId="150ACFDC" w14:textId="77777777" w:rsidR="00104B87" w:rsidRPr="00925F26" w:rsidRDefault="00104B87" w:rsidP="00925F26">
      <w:pPr>
        <w:jc w:val="both"/>
        <w:rPr>
          <w:color w:val="000000" w:themeColor="text1"/>
          <w:sz w:val="16"/>
          <w:szCs w:val="16"/>
        </w:rPr>
      </w:pPr>
      <w:r w:rsidRPr="00925F26">
        <w:rPr>
          <w:color w:val="000000" w:themeColor="text1"/>
          <w:sz w:val="16"/>
          <w:szCs w:val="16"/>
        </w:rPr>
        <w:t>Производственно-хозяйственная деятельность завода за отчетный 1944 г. характеризуется следующими основными показателями:</w:t>
      </w:r>
    </w:p>
    <w:p w14:paraId="5AD4DF4C" w14:textId="77777777" w:rsidR="00104B87" w:rsidRPr="00925F26" w:rsidRDefault="00104B87" w:rsidP="00925F26">
      <w:pPr>
        <w:jc w:val="both"/>
        <w:rPr>
          <w:color w:val="000000" w:themeColor="text1"/>
          <w:sz w:val="16"/>
          <w:szCs w:val="16"/>
        </w:rPr>
      </w:pPr>
      <w:r w:rsidRPr="00925F26">
        <w:rPr>
          <w:color w:val="000000" w:themeColor="text1"/>
          <w:sz w:val="16"/>
          <w:szCs w:val="16"/>
        </w:rPr>
        <w:t>1. Увеличен выпуск продукции</w:t>
      </w:r>
    </w:p>
    <w:p w14:paraId="33873F2D"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По сборке в </w:t>
      </w:r>
      <w:proofErr w:type="gramStart"/>
      <w:r w:rsidRPr="00925F26">
        <w:rPr>
          <w:color w:val="000000" w:themeColor="text1"/>
          <w:sz w:val="16"/>
          <w:szCs w:val="16"/>
        </w:rPr>
        <w:t>машинах</w:t>
      </w:r>
      <w:proofErr w:type="gramEnd"/>
      <w:r w:rsidRPr="00925F26">
        <w:rPr>
          <w:color w:val="000000" w:themeColor="text1"/>
          <w:sz w:val="16"/>
          <w:szCs w:val="16"/>
        </w:rPr>
        <w:t xml:space="preserve"> По всей товарной продукции К 1943 г.</w:t>
      </w:r>
      <w:r w:rsidRPr="00925F26">
        <w:rPr>
          <w:color w:val="000000" w:themeColor="text1"/>
          <w:sz w:val="16"/>
          <w:szCs w:val="16"/>
        </w:rPr>
        <w:tab/>
        <w:t>121,5 %</w:t>
      </w:r>
      <w:r w:rsidRPr="00925F26">
        <w:rPr>
          <w:color w:val="000000" w:themeColor="text1"/>
          <w:sz w:val="16"/>
          <w:szCs w:val="16"/>
        </w:rPr>
        <w:tab/>
        <w:t>113,3 %</w:t>
      </w:r>
    </w:p>
    <w:p w14:paraId="668F6FA5" w14:textId="77777777" w:rsidR="00104B87" w:rsidRPr="00925F26" w:rsidRDefault="00104B87" w:rsidP="00925F26">
      <w:pPr>
        <w:jc w:val="both"/>
        <w:rPr>
          <w:color w:val="000000" w:themeColor="text1"/>
          <w:sz w:val="16"/>
          <w:szCs w:val="16"/>
        </w:rPr>
      </w:pPr>
      <w:r w:rsidRPr="00925F26">
        <w:rPr>
          <w:color w:val="000000" w:themeColor="text1"/>
          <w:sz w:val="16"/>
          <w:szCs w:val="16"/>
        </w:rPr>
        <w:t>К плану 1944г. 100,0%</w:t>
      </w:r>
      <w:r w:rsidRPr="00925F26">
        <w:rPr>
          <w:color w:val="000000" w:themeColor="text1"/>
          <w:sz w:val="16"/>
          <w:szCs w:val="16"/>
        </w:rPr>
        <w:tab/>
        <w:t>100,5%</w:t>
      </w:r>
    </w:p>
    <w:p w14:paraId="27BB0607" w14:textId="77777777" w:rsidR="00104B87" w:rsidRPr="00925F26" w:rsidRDefault="00104B87" w:rsidP="00925F26">
      <w:pPr>
        <w:jc w:val="both"/>
        <w:rPr>
          <w:color w:val="000000" w:themeColor="text1"/>
          <w:sz w:val="16"/>
          <w:szCs w:val="16"/>
        </w:rPr>
      </w:pPr>
      <w:r w:rsidRPr="00925F26">
        <w:rPr>
          <w:color w:val="000000" w:themeColor="text1"/>
          <w:sz w:val="16"/>
          <w:szCs w:val="16"/>
        </w:rPr>
        <w:t>2. Снижена технологическая трудоемкость на единицу изделия за год на 23 % и фактические затраты времени на 25,5 %.</w:t>
      </w:r>
    </w:p>
    <w:p w14:paraId="4CE30266" w14:textId="77777777" w:rsidR="00104B87" w:rsidRPr="00925F26" w:rsidRDefault="00104B87" w:rsidP="00925F26">
      <w:pPr>
        <w:jc w:val="both"/>
        <w:rPr>
          <w:color w:val="000000" w:themeColor="text1"/>
          <w:sz w:val="16"/>
          <w:szCs w:val="16"/>
        </w:rPr>
      </w:pPr>
      <w:r w:rsidRPr="00925F26">
        <w:rPr>
          <w:color w:val="000000" w:themeColor="text1"/>
          <w:sz w:val="16"/>
          <w:szCs w:val="16"/>
        </w:rPr>
        <w:t>3. Увеличена производительность труда против 1943 г. на 31,2 % и против плана на 3,9 %.</w:t>
      </w:r>
    </w:p>
    <w:p w14:paraId="3BDFE450" w14:textId="77777777" w:rsidR="00104B87" w:rsidRPr="00925F26" w:rsidRDefault="00104B87" w:rsidP="00925F26">
      <w:pPr>
        <w:jc w:val="both"/>
        <w:rPr>
          <w:color w:val="000000" w:themeColor="text1"/>
          <w:sz w:val="16"/>
          <w:szCs w:val="16"/>
        </w:rPr>
      </w:pPr>
      <w:r w:rsidRPr="00925F26">
        <w:rPr>
          <w:color w:val="000000" w:themeColor="text1"/>
          <w:sz w:val="16"/>
          <w:szCs w:val="16"/>
        </w:rPr>
        <w:t>4. Повышена заработная плата одного рабочего против 1943 г. на 10,8 %.</w:t>
      </w:r>
    </w:p>
    <w:p w14:paraId="1746A210" w14:textId="77777777" w:rsidR="00104B87" w:rsidRPr="00925F26" w:rsidRDefault="00104B87" w:rsidP="00925F26">
      <w:pPr>
        <w:jc w:val="both"/>
        <w:rPr>
          <w:color w:val="000000" w:themeColor="text1"/>
          <w:sz w:val="16"/>
          <w:szCs w:val="16"/>
        </w:rPr>
      </w:pPr>
      <w:r w:rsidRPr="00925F26">
        <w:rPr>
          <w:color w:val="000000" w:themeColor="text1"/>
          <w:sz w:val="16"/>
          <w:szCs w:val="16"/>
        </w:rPr>
        <w:t>5. Увеличена скорость самолета на 22 км/час.</w:t>
      </w:r>
    </w:p>
    <w:p w14:paraId="0BC400DB" w14:textId="77777777" w:rsidR="00104B87" w:rsidRPr="00925F26" w:rsidRDefault="00104B87" w:rsidP="00925F26">
      <w:pPr>
        <w:jc w:val="both"/>
        <w:rPr>
          <w:color w:val="000000" w:themeColor="text1"/>
          <w:sz w:val="16"/>
          <w:szCs w:val="16"/>
        </w:rPr>
      </w:pPr>
      <w:r w:rsidRPr="00925F26">
        <w:rPr>
          <w:color w:val="000000" w:themeColor="text1"/>
          <w:sz w:val="16"/>
          <w:szCs w:val="16"/>
        </w:rPr>
        <w:t>6. Построен и прошел государственные испытания самолет Пе-2 с мотором ВК108А со скоростью 657 км/час.</w:t>
      </w:r>
    </w:p>
    <w:p w14:paraId="79617825" w14:textId="77777777" w:rsidR="00104B87" w:rsidRPr="00925F26" w:rsidRDefault="00104B87" w:rsidP="00925F26">
      <w:pPr>
        <w:jc w:val="both"/>
        <w:rPr>
          <w:color w:val="000000" w:themeColor="text1"/>
          <w:sz w:val="16"/>
          <w:szCs w:val="16"/>
        </w:rPr>
      </w:pPr>
      <w:r w:rsidRPr="00925F26">
        <w:rPr>
          <w:color w:val="000000" w:themeColor="text1"/>
          <w:sz w:val="16"/>
          <w:szCs w:val="16"/>
        </w:rPr>
        <w:t>Основные технико-экономические показатели работы завода</w:t>
      </w:r>
    </w:p>
    <w:p w14:paraId="2B4B1230" w14:textId="77777777" w:rsidR="00104B87" w:rsidRPr="00925F26" w:rsidRDefault="00104B87" w:rsidP="00925F26">
      <w:pPr>
        <w:jc w:val="both"/>
        <w:rPr>
          <w:color w:val="000000" w:themeColor="text1"/>
          <w:sz w:val="16"/>
          <w:szCs w:val="16"/>
        </w:rPr>
      </w:pPr>
      <w:r w:rsidRPr="00925F26">
        <w:rPr>
          <w:color w:val="000000" w:themeColor="text1"/>
          <w:sz w:val="16"/>
          <w:szCs w:val="16"/>
        </w:rPr>
        <w:t>за 1944 г.</w:t>
      </w:r>
    </w:p>
    <w:tbl>
      <w:tblPr>
        <w:tblStyle w:val="affc"/>
        <w:tblW w:w="0" w:type="auto"/>
        <w:tblInd w:w="150" w:type="dxa"/>
        <w:tblLook w:val="04A0" w:firstRow="1" w:lastRow="0" w:firstColumn="1" w:lastColumn="0" w:noHBand="0" w:noVBand="1"/>
      </w:tblPr>
      <w:tblGrid>
        <w:gridCol w:w="150"/>
        <w:gridCol w:w="2639"/>
        <w:gridCol w:w="33"/>
        <w:gridCol w:w="992"/>
        <w:gridCol w:w="9"/>
        <w:gridCol w:w="1125"/>
        <w:gridCol w:w="9"/>
        <w:gridCol w:w="1409"/>
        <w:gridCol w:w="8"/>
        <w:gridCol w:w="1126"/>
        <w:gridCol w:w="8"/>
        <w:gridCol w:w="1551"/>
        <w:gridCol w:w="8"/>
        <w:gridCol w:w="1619"/>
        <w:gridCol w:w="74"/>
      </w:tblGrid>
      <w:tr w:rsidR="00104B87" w:rsidRPr="00925F26" w14:paraId="566189D9" w14:textId="77777777" w:rsidTr="004C5D62">
        <w:trPr>
          <w:gridBefore w:val="1"/>
          <w:gridAfter w:val="1"/>
          <w:wBefore w:w="150" w:type="dxa"/>
          <w:wAfter w:w="74" w:type="dxa"/>
        </w:trPr>
        <w:tc>
          <w:tcPr>
            <w:tcW w:w="2639" w:type="dxa"/>
          </w:tcPr>
          <w:p w14:paraId="7A0580E5" w14:textId="77777777" w:rsidR="00104B87" w:rsidRPr="00925F26" w:rsidRDefault="00104B87" w:rsidP="00925F26">
            <w:pPr>
              <w:jc w:val="both"/>
              <w:rPr>
                <w:color w:val="000000" w:themeColor="text1"/>
                <w:sz w:val="16"/>
                <w:szCs w:val="16"/>
              </w:rPr>
            </w:pPr>
            <w:r w:rsidRPr="00925F26">
              <w:rPr>
                <w:color w:val="000000" w:themeColor="text1"/>
                <w:sz w:val="16"/>
                <w:szCs w:val="16"/>
              </w:rPr>
              <w:t>Периоды/показатели</w:t>
            </w:r>
          </w:p>
        </w:tc>
        <w:tc>
          <w:tcPr>
            <w:tcW w:w="1034" w:type="dxa"/>
            <w:gridSpan w:val="3"/>
          </w:tcPr>
          <w:p w14:paraId="402EB9A4" w14:textId="77777777" w:rsidR="00104B87" w:rsidRPr="00925F26" w:rsidRDefault="00104B87" w:rsidP="00925F26">
            <w:pPr>
              <w:jc w:val="both"/>
              <w:rPr>
                <w:color w:val="000000" w:themeColor="text1"/>
                <w:sz w:val="16"/>
                <w:szCs w:val="16"/>
              </w:rPr>
            </w:pPr>
            <w:r w:rsidRPr="00925F26">
              <w:rPr>
                <w:color w:val="000000" w:themeColor="text1"/>
                <w:sz w:val="16"/>
                <w:szCs w:val="16"/>
              </w:rPr>
              <w:t>Ед.  из-</w:t>
            </w:r>
          </w:p>
        </w:tc>
        <w:tc>
          <w:tcPr>
            <w:tcW w:w="1134" w:type="dxa"/>
            <w:gridSpan w:val="2"/>
          </w:tcPr>
          <w:p w14:paraId="5B94AA82"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Отчет  за</w:t>
            </w:r>
            <w:proofErr w:type="gramEnd"/>
          </w:p>
        </w:tc>
        <w:tc>
          <w:tcPr>
            <w:tcW w:w="1417" w:type="dxa"/>
            <w:gridSpan w:val="2"/>
          </w:tcPr>
          <w:p w14:paraId="715E2693" w14:textId="77777777" w:rsidR="00104B87" w:rsidRPr="00925F26" w:rsidRDefault="00104B87" w:rsidP="00925F26">
            <w:pPr>
              <w:jc w:val="both"/>
              <w:rPr>
                <w:color w:val="000000" w:themeColor="text1"/>
                <w:sz w:val="16"/>
                <w:szCs w:val="16"/>
              </w:rPr>
            </w:pPr>
            <w:r w:rsidRPr="00925F26">
              <w:rPr>
                <w:color w:val="000000" w:themeColor="text1"/>
                <w:sz w:val="16"/>
                <w:szCs w:val="16"/>
              </w:rPr>
              <w:t>1944 г.</w:t>
            </w:r>
          </w:p>
        </w:tc>
        <w:tc>
          <w:tcPr>
            <w:tcW w:w="1134" w:type="dxa"/>
            <w:gridSpan w:val="2"/>
          </w:tcPr>
          <w:p w14:paraId="43FABE14" w14:textId="77777777" w:rsidR="00104B87" w:rsidRPr="00925F26" w:rsidRDefault="00104B87" w:rsidP="00925F26">
            <w:pPr>
              <w:jc w:val="both"/>
              <w:rPr>
                <w:color w:val="000000" w:themeColor="text1"/>
                <w:sz w:val="16"/>
                <w:szCs w:val="16"/>
              </w:rPr>
            </w:pPr>
          </w:p>
        </w:tc>
        <w:tc>
          <w:tcPr>
            <w:tcW w:w="1559" w:type="dxa"/>
            <w:gridSpan w:val="2"/>
          </w:tcPr>
          <w:p w14:paraId="055AD5AB"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Отчет :</w:t>
            </w:r>
            <w:proofErr w:type="gramEnd"/>
            <w:r w:rsidRPr="00925F26">
              <w:rPr>
                <w:color w:val="000000" w:themeColor="text1"/>
                <w:sz w:val="16"/>
                <w:szCs w:val="16"/>
              </w:rPr>
              <w:t xml:space="preserve">  в</w:t>
            </w:r>
          </w:p>
        </w:tc>
        <w:tc>
          <w:tcPr>
            <w:tcW w:w="1619" w:type="dxa"/>
          </w:tcPr>
          <w:p w14:paraId="08C3B0C7" w14:textId="77777777" w:rsidR="00104B87" w:rsidRPr="00925F26" w:rsidRDefault="00104B87" w:rsidP="00925F26">
            <w:pPr>
              <w:jc w:val="both"/>
              <w:rPr>
                <w:color w:val="000000" w:themeColor="text1"/>
                <w:sz w:val="16"/>
                <w:szCs w:val="16"/>
              </w:rPr>
            </w:pPr>
            <w:r w:rsidRPr="00925F26">
              <w:rPr>
                <w:color w:val="000000" w:themeColor="text1"/>
                <w:sz w:val="16"/>
                <w:szCs w:val="16"/>
              </w:rPr>
              <w:t>за 1944 г. %% к</w:t>
            </w:r>
          </w:p>
        </w:tc>
      </w:tr>
      <w:tr w:rsidR="00104B87" w:rsidRPr="00925F26" w14:paraId="12D7E20C" w14:textId="77777777" w:rsidTr="004C5D62">
        <w:trPr>
          <w:gridBefore w:val="1"/>
          <w:gridAfter w:val="1"/>
          <w:wBefore w:w="150" w:type="dxa"/>
          <w:wAfter w:w="74" w:type="dxa"/>
        </w:trPr>
        <w:tc>
          <w:tcPr>
            <w:tcW w:w="2639" w:type="dxa"/>
          </w:tcPr>
          <w:p w14:paraId="76F23593" w14:textId="77777777" w:rsidR="00104B87" w:rsidRPr="00925F26" w:rsidRDefault="00104B87" w:rsidP="00925F26">
            <w:pPr>
              <w:jc w:val="both"/>
              <w:rPr>
                <w:color w:val="000000" w:themeColor="text1"/>
                <w:sz w:val="16"/>
                <w:szCs w:val="16"/>
              </w:rPr>
            </w:pPr>
          </w:p>
        </w:tc>
        <w:tc>
          <w:tcPr>
            <w:tcW w:w="1034" w:type="dxa"/>
            <w:gridSpan w:val="3"/>
          </w:tcPr>
          <w:p w14:paraId="44FE503F" w14:textId="77777777" w:rsidR="00104B87" w:rsidRPr="00925F26" w:rsidRDefault="00104B87" w:rsidP="00925F26">
            <w:pPr>
              <w:jc w:val="both"/>
              <w:rPr>
                <w:color w:val="000000" w:themeColor="text1"/>
                <w:sz w:val="16"/>
                <w:szCs w:val="16"/>
              </w:rPr>
            </w:pPr>
            <w:r w:rsidRPr="00925F26">
              <w:rPr>
                <w:color w:val="000000" w:themeColor="text1"/>
                <w:sz w:val="16"/>
                <w:szCs w:val="16"/>
              </w:rPr>
              <w:t>мер.</w:t>
            </w:r>
          </w:p>
        </w:tc>
        <w:tc>
          <w:tcPr>
            <w:tcW w:w="1134" w:type="dxa"/>
            <w:gridSpan w:val="2"/>
          </w:tcPr>
          <w:p w14:paraId="6B5966DD" w14:textId="77777777" w:rsidR="00104B87" w:rsidRPr="00925F26" w:rsidRDefault="00104B87" w:rsidP="00925F26">
            <w:pPr>
              <w:jc w:val="both"/>
              <w:rPr>
                <w:color w:val="000000" w:themeColor="text1"/>
                <w:sz w:val="16"/>
                <w:szCs w:val="16"/>
              </w:rPr>
            </w:pPr>
            <w:r w:rsidRPr="00925F26">
              <w:rPr>
                <w:color w:val="000000" w:themeColor="text1"/>
                <w:sz w:val="16"/>
                <w:szCs w:val="16"/>
              </w:rPr>
              <w:t>1943 г.</w:t>
            </w:r>
          </w:p>
        </w:tc>
        <w:tc>
          <w:tcPr>
            <w:tcW w:w="1417" w:type="dxa"/>
            <w:gridSpan w:val="2"/>
          </w:tcPr>
          <w:p w14:paraId="5FCC0E4A" w14:textId="77777777" w:rsidR="00104B87" w:rsidRPr="00925F26" w:rsidRDefault="00104B87" w:rsidP="00925F26">
            <w:pPr>
              <w:jc w:val="both"/>
              <w:rPr>
                <w:color w:val="000000" w:themeColor="text1"/>
                <w:sz w:val="16"/>
                <w:szCs w:val="16"/>
              </w:rPr>
            </w:pPr>
            <w:r w:rsidRPr="00925F26">
              <w:rPr>
                <w:color w:val="000000" w:themeColor="text1"/>
                <w:sz w:val="16"/>
                <w:szCs w:val="16"/>
              </w:rPr>
              <w:t>план</w:t>
            </w:r>
          </w:p>
        </w:tc>
        <w:tc>
          <w:tcPr>
            <w:tcW w:w="1134" w:type="dxa"/>
            <w:gridSpan w:val="2"/>
          </w:tcPr>
          <w:p w14:paraId="324D1D34" w14:textId="77777777" w:rsidR="00104B87" w:rsidRPr="00925F26" w:rsidRDefault="00104B87" w:rsidP="00925F26">
            <w:pPr>
              <w:jc w:val="both"/>
              <w:rPr>
                <w:color w:val="000000" w:themeColor="text1"/>
                <w:sz w:val="16"/>
                <w:szCs w:val="16"/>
              </w:rPr>
            </w:pPr>
            <w:r w:rsidRPr="00925F26">
              <w:rPr>
                <w:color w:val="000000" w:themeColor="text1"/>
                <w:sz w:val="16"/>
                <w:szCs w:val="16"/>
              </w:rPr>
              <w:t>отчет</w:t>
            </w:r>
          </w:p>
        </w:tc>
        <w:tc>
          <w:tcPr>
            <w:tcW w:w="1559" w:type="dxa"/>
            <w:gridSpan w:val="2"/>
          </w:tcPr>
          <w:p w14:paraId="53661215" w14:textId="77777777" w:rsidR="00104B87" w:rsidRPr="00925F26" w:rsidRDefault="00104B87" w:rsidP="00925F26">
            <w:pPr>
              <w:jc w:val="both"/>
              <w:rPr>
                <w:color w:val="000000" w:themeColor="text1"/>
                <w:sz w:val="16"/>
                <w:szCs w:val="16"/>
              </w:rPr>
            </w:pPr>
            <w:r w:rsidRPr="00925F26">
              <w:rPr>
                <w:color w:val="000000" w:themeColor="text1"/>
                <w:sz w:val="16"/>
                <w:szCs w:val="16"/>
              </w:rPr>
              <w:t>плану</w:t>
            </w:r>
          </w:p>
        </w:tc>
        <w:tc>
          <w:tcPr>
            <w:tcW w:w="1619" w:type="dxa"/>
          </w:tcPr>
          <w:p w14:paraId="0DD08054"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прошлому  году</w:t>
            </w:r>
            <w:proofErr w:type="gramEnd"/>
          </w:p>
        </w:tc>
      </w:tr>
      <w:tr w:rsidR="00104B87" w:rsidRPr="00925F26" w14:paraId="72C5C814" w14:textId="77777777" w:rsidTr="004C5D62">
        <w:trPr>
          <w:gridBefore w:val="1"/>
          <w:gridAfter w:val="1"/>
          <w:wBefore w:w="150" w:type="dxa"/>
          <w:wAfter w:w="74" w:type="dxa"/>
        </w:trPr>
        <w:tc>
          <w:tcPr>
            <w:tcW w:w="2639" w:type="dxa"/>
          </w:tcPr>
          <w:p w14:paraId="7F079D6E" w14:textId="77777777" w:rsidR="00104B87" w:rsidRPr="00925F26" w:rsidRDefault="00104B87" w:rsidP="00925F26">
            <w:pPr>
              <w:jc w:val="both"/>
              <w:rPr>
                <w:color w:val="000000" w:themeColor="text1"/>
                <w:sz w:val="16"/>
                <w:szCs w:val="16"/>
              </w:rPr>
            </w:pPr>
            <w:r w:rsidRPr="00925F26">
              <w:rPr>
                <w:color w:val="000000" w:themeColor="text1"/>
                <w:sz w:val="16"/>
                <w:szCs w:val="16"/>
              </w:rPr>
              <w:t>А. Оборонная продукция 1. Самолеты Пе-2 а) сдача по оконч. сборке</w:t>
            </w:r>
          </w:p>
        </w:tc>
        <w:tc>
          <w:tcPr>
            <w:tcW w:w="1034" w:type="dxa"/>
            <w:gridSpan w:val="3"/>
          </w:tcPr>
          <w:p w14:paraId="622F7234" w14:textId="77777777" w:rsidR="00104B87" w:rsidRPr="00925F26" w:rsidRDefault="00104B87" w:rsidP="00925F26">
            <w:pPr>
              <w:jc w:val="both"/>
              <w:rPr>
                <w:color w:val="000000" w:themeColor="text1"/>
                <w:sz w:val="16"/>
                <w:szCs w:val="16"/>
              </w:rPr>
            </w:pPr>
            <w:r w:rsidRPr="00925F26">
              <w:rPr>
                <w:color w:val="000000" w:themeColor="text1"/>
                <w:sz w:val="16"/>
                <w:szCs w:val="16"/>
              </w:rPr>
              <w:t>шт.</w:t>
            </w:r>
          </w:p>
        </w:tc>
        <w:tc>
          <w:tcPr>
            <w:tcW w:w="1134" w:type="dxa"/>
            <w:gridSpan w:val="2"/>
          </w:tcPr>
          <w:p w14:paraId="513D2ECC" w14:textId="77777777" w:rsidR="00104B87" w:rsidRPr="00925F26" w:rsidRDefault="00104B87" w:rsidP="00925F26">
            <w:pPr>
              <w:jc w:val="both"/>
              <w:rPr>
                <w:color w:val="000000" w:themeColor="text1"/>
                <w:sz w:val="16"/>
                <w:szCs w:val="16"/>
              </w:rPr>
            </w:pPr>
            <w:r w:rsidRPr="00925F26">
              <w:rPr>
                <w:color w:val="000000" w:themeColor="text1"/>
                <w:sz w:val="16"/>
                <w:szCs w:val="16"/>
              </w:rPr>
              <w:t>2423</w:t>
            </w:r>
          </w:p>
        </w:tc>
        <w:tc>
          <w:tcPr>
            <w:tcW w:w="1417" w:type="dxa"/>
            <w:gridSpan w:val="2"/>
          </w:tcPr>
          <w:p w14:paraId="33393641" w14:textId="77777777" w:rsidR="00104B87" w:rsidRPr="00925F26" w:rsidRDefault="00104B87" w:rsidP="00925F26">
            <w:pPr>
              <w:jc w:val="both"/>
              <w:rPr>
                <w:color w:val="000000" w:themeColor="text1"/>
                <w:sz w:val="16"/>
                <w:szCs w:val="16"/>
              </w:rPr>
            </w:pPr>
            <w:r w:rsidRPr="00925F26">
              <w:rPr>
                <w:color w:val="000000" w:themeColor="text1"/>
                <w:sz w:val="16"/>
                <w:szCs w:val="16"/>
              </w:rPr>
              <w:t>2907</w:t>
            </w:r>
          </w:p>
        </w:tc>
        <w:tc>
          <w:tcPr>
            <w:tcW w:w="1134" w:type="dxa"/>
            <w:gridSpan w:val="2"/>
          </w:tcPr>
          <w:p w14:paraId="34E335E7" w14:textId="77777777" w:rsidR="00104B87" w:rsidRPr="00925F26" w:rsidRDefault="00104B87" w:rsidP="00925F26">
            <w:pPr>
              <w:jc w:val="both"/>
              <w:rPr>
                <w:color w:val="000000" w:themeColor="text1"/>
                <w:sz w:val="16"/>
                <w:szCs w:val="16"/>
              </w:rPr>
            </w:pPr>
            <w:r w:rsidRPr="00925F26">
              <w:rPr>
                <w:color w:val="000000" w:themeColor="text1"/>
                <w:sz w:val="16"/>
                <w:szCs w:val="16"/>
              </w:rPr>
              <w:t>2944</w:t>
            </w:r>
          </w:p>
        </w:tc>
        <w:tc>
          <w:tcPr>
            <w:tcW w:w="1559" w:type="dxa"/>
            <w:gridSpan w:val="2"/>
          </w:tcPr>
          <w:p w14:paraId="0B97B40A" w14:textId="77777777" w:rsidR="00104B87" w:rsidRPr="00925F26" w:rsidRDefault="00104B87" w:rsidP="00925F26">
            <w:pPr>
              <w:jc w:val="both"/>
              <w:rPr>
                <w:color w:val="000000" w:themeColor="text1"/>
                <w:sz w:val="16"/>
                <w:szCs w:val="16"/>
              </w:rPr>
            </w:pPr>
            <w:r w:rsidRPr="00925F26">
              <w:rPr>
                <w:color w:val="000000" w:themeColor="text1"/>
                <w:sz w:val="16"/>
                <w:szCs w:val="16"/>
              </w:rPr>
              <w:t>101,3</w:t>
            </w:r>
          </w:p>
        </w:tc>
        <w:tc>
          <w:tcPr>
            <w:tcW w:w="1619" w:type="dxa"/>
          </w:tcPr>
          <w:p w14:paraId="55E2A44B" w14:textId="77777777" w:rsidR="00104B87" w:rsidRPr="00925F26" w:rsidRDefault="00104B87" w:rsidP="00925F26">
            <w:pPr>
              <w:jc w:val="both"/>
              <w:rPr>
                <w:color w:val="000000" w:themeColor="text1"/>
                <w:sz w:val="16"/>
                <w:szCs w:val="16"/>
              </w:rPr>
            </w:pPr>
            <w:r w:rsidRPr="00925F26">
              <w:rPr>
                <w:color w:val="000000" w:themeColor="text1"/>
                <w:sz w:val="16"/>
                <w:szCs w:val="16"/>
              </w:rPr>
              <w:t>121,5</w:t>
            </w:r>
          </w:p>
        </w:tc>
      </w:tr>
      <w:tr w:rsidR="00104B87" w:rsidRPr="00925F26" w14:paraId="58E0112C" w14:textId="77777777" w:rsidTr="004C5D62">
        <w:trPr>
          <w:gridBefore w:val="1"/>
          <w:gridAfter w:val="1"/>
          <w:wBefore w:w="150" w:type="dxa"/>
          <w:wAfter w:w="74" w:type="dxa"/>
        </w:trPr>
        <w:tc>
          <w:tcPr>
            <w:tcW w:w="2639" w:type="dxa"/>
          </w:tcPr>
          <w:p w14:paraId="2899AA9E" w14:textId="77777777" w:rsidR="00104B87" w:rsidRPr="00925F26" w:rsidRDefault="00104B87" w:rsidP="00925F26">
            <w:pPr>
              <w:jc w:val="both"/>
              <w:rPr>
                <w:color w:val="000000" w:themeColor="text1"/>
                <w:sz w:val="16"/>
                <w:szCs w:val="16"/>
              </w:rPr>
            </w:pPr>
            <w:r w:rsidRPr="00925F26">
              <w:rPr>
                <w:color w:val="000000" w:themeColor="text1"/>
                <w:sz w:val="16"/>
                <w:szCs w:val="16"/>
              </w:rPr>
              <w:t>вт. ч. учебные:</w:t>
            </w:r>
          </w:p>
        </w:tc>
        <w:tc>
          <w:tcPr>
            <w:tcW w:w="1034" w:type="dxa"/>
            <w:gridSpan w:val="3"/>
          </w:tcPr>
          <w:p w14:paraId="2A3332E9"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0934E160" w14:textId="77777777" w:rsidR="00104B87" w:rsidRPr="00925F26" w:rsidRDefault="00104B87" w:rsidP="00925F26">
            <w:pPr>
              <w:jc w:val="both"/>
              <w:rPr>
                <w:color w:val="000000" w:themeColor="text1"/>
                <w:sz w:val="16"/>
                <w:szCs w:val="16"/>
              </w:rPr>
            </w:pPr>
            <w:r w:rsidRPr="00925F26">
              <w:rPr>
                <w:color w:val="000000" w:themeColor="text1"/>
                <w:sz w:val="16"/>
                <w:szCs w:val="16"/>
              </w:rPr>
              <w:t>107</w:t>
            </w:r>
          </w:p>
        </w:tc>
        <w:tc>
          <w:tcPr>
            <w:tcW w:w="1417" w:type="dxa"/>
            <w:gridSpan w:val="2"/>
          </w:tcPr>
          <w:p w14:paraId="4CB6D35A" w14:textId="77777777" w:rsidR="00104B87" w:rsidRPr="00925F26" w:rsidRDefault="00104B87" w:rsidP="00925F26">
            <w:pPr>
              <w:jc w:val="both"/>
              <w:rPr>
                <w:color w:val="000000" w:themeColor="text1"/>
                <w:sz w:val="16"/>
                <w:szCs w:val="16"/>
              </w:rPr>
            </w:pPr>
            <w:r w:rsidRPr="00925F26">
              <w:rPr>
                <w:color w:val="000000" w:themeColor="text1"/>
                <w:sz w:val="16"/>
                <w:szCs w:val="16"/>
              </w:rPr>
              <w:t>155</w:t>
            </w:r>
          </w:p>
        </w:tc>
        <w:tc>
          <w:tcPr>
            <w:tcW w:w="1134" w:type="dxa"/>
            <w:gridSpan w:val="2"/>
          </w:tcPr>
          <w:p w14:paraId="1CD6F55F" w14:textId="77777777" w:rsidR="00104B87" w:rsidRPr="00925F26" w:rsidRDefault="00104B87" w:rsidP="00925F26">
            <w:pPr>
              <w:jc w:val="both"/>
              <w:rPr>
                <w:color w:val="000000" w:themeColor="text1"/>
                <w:sz w:val="16"/>
                <w:szCs w:val="16"/>
              </w:rPr>
            </w:pPr>
            <w:r w:rsidRPr="00925F26">
              <w:rPr>
                <w:color w:val="000000" w:themeColor="text1"/>
                <w:sz w:val="16"/>
                <w:szCs w:val="16"/>
              </w:rPr>
              <w:t>138</w:t>
            </w:r>
          </w:p>
        </w:tc>
        <w:tc>
          <w:tcPr>
            <w:tcW w:w="1559" w:type="dxa"/>
            <w:gridSpan w:val="2"/>
          </w:tcPr>
          <w:p w14:paraId="7D8FF089" w14:textId="77777777" w:rsidR="00104B87" w:rsidRPr="00925F26" w:rsidRDefault="00104B87" w:rsidP="00925F26">
            <w:pPr>
              <w:jc w:val="both"/>
              <w:rPr>
                <w:color w:val="000000" w:themeColor="text1"/>
                <w:sz w:val="16"/>
                <w:szCs w:val="16"/>
              </w:rPr>
            </w:pPr>
            <w:r w:rsidRPr="00925F26">
              <w:rPr>
                <w:color w:val="000000" w:themeColor="text1"/>
                <w:sz w:val="16"/>
                <w:szCs w:val="16"/>
              </w:rPr>
              <w:t>89,0</w:t>
            </w:r>
          </w:p>
        </w:tc>
        <w:tc>
          <w:tcPr>
            <w:tcW w:w="1619" w:type="dxa"/>
          </w:tcPr>
          <w:p w14:paraId="160BAC5C" w14:textId="77777777" w:rsidR="00104B87" w:rsidRPr="00925F26" w:rsidRDefault="00104B87" w:rsidP="00925F26">
            <w:pPr>
              <w:jc w:val="both"/>
              <w:rPr>
                <w:color w:val="000000" w:themeColor="text1"/>
                <w:sz w:val="16"/>
                <w:szCs w:val="16"/>
              </w:rPr>
            </w:pPr>
            <w:r w:rsidRPr="00925F26">
              <w:rPr>
                <w:color w:val="000000" w:themeColor="text1"/>
                <w:sz w:val="16"/>
                <w:szCs w:val="16"/>
              </w:rPr>
              <w:t>129,0</w:t>
            </w:r>
          </w:p>
        </w:tc>
      </w:tr>
      <w:tr w:rsidR="00104B87" w:rsidRPr="00925F26" w14:paraId="04713393" w14:textId="77777777" w:rsidTr="004C5D62">
        <w:trPr>
          <w:gridBefore w:val="1"/>
          <w:gridAfter w:val="1"/>
          <w:wBefore w:w="150" w:type="dxa"/>
          <w:wAfter w:w="74" w:type="dxa"/>
        </w:trPr>
        <w:tc>
          <w:tcPr>
            <w:tcW w:w="2639" w:type="dxa"/>
          </w:tcPr>
          <w:p w14:paraId="26FFB754" w14:textId="77777777" w:rsidR="00104B87" w:rsidRPr="00925F26" w:rsidRDefault="00104B87" w:rsidP="00925F26">
            <w:pPr>
              <w:jc w:val="both"/>
              <w:rPr>
                <w:color w:val="000000" w:themeColor="text1"/>
                <w:sz w:val="16"/>
                <w:szCs w:val="16"/>
              </w:rPr>
            </w:pPr>
            <w:r w:rsidRPr="00925F26">
              <w:rPr>
                <w:color w:val="000000" w:themeColor="text1"/>
                <w:sz w:val="16"/>
                <w:szCs w:val="16"/>
              </w:rPr>
              <w:t>б) сдача по готовности к бою</w:t>
            </w:r>
          </w:p>
        </w:tc>
        <w:tc>
          <w:tcPr>
            <w:tcW w:w="1034" w:type="dxa"/>
            <w:gridSpan w:val="3"/>
          </w:tcPr>
          <w:p w14:paraId="3B28CC09" w14:textId="77777777" w:rsidR="00104B87" w:rsidRPr="00925F26" w:rsidRDefault="00104B87" w:rsidP="00925F26">
            <w:pPr>
              <w:jc w:val="both"/>
              <w:rPr>
                <w:color w:val="000000" w:themeColor="text1"/>
                <w:sz w:val="16"/>
                <w:szCs w:val="16"/>
              </w:rPr>
            </w:pPr>
            <w:r w:rsidRPr="00925F26">
              <w:rPr>
                <w:color w:val="000000" w:themeColor="text1"/>
                <w:sz w:val="16"/>
                <w:szCs w:val="16"/>
              </w:rPr>
              <w:t>шт.</w:t>
            </w:r>
          </w:p>
        </w:tc>
        <w:tc>
          <w:tcPr>
            <w:tcW w:w="1134" w:type="dxa"/>
            <w:gridSpan w:val="2"/>
          </w:tcPr>
          <w:p w14:paraId="272849CA" w14:textId="77777777" w:rsidR="00104B87" w:rsidRPr="00925F26" w:rsidRDefault="00104B87" w:rsidP="00925F26">
            <w:pPr>
              <w:jc w:val="both"/>
              <w:rPr>
                <w:color w:val="000000" w:themeColor="text1"/>
                <w:sz w:val="16"/>
                <w:szCs w:val="16"/>
              </w:rPr>
            </w:pPr>
            <w:r w:rsidRPr="00925F26">
              <w:rPr>
                <w:color w:val="000000" w:themeColor="text1"/>
                <w:sz w:val="16"/>
                <w:szCs w:val="16"/>
              </w:rPr>
              <w:t>2450</w:t>
            </w:r>
          </w:p>
        </w:tc>
        <w:tc>
          <w:tcPr>
            <w:tcW w:w="1417" w:type="dxa"/>
            <w:gridSpan w:val="2"/>
          </w:tcPr>
          <w:p w14:paraId="4FA3A006" w14:textId="77777777" w:rsidR="00104B87" w:rsidRPr="00925F26" w:rsidRDefault="00104B87" w:rsidP="00925F26">
            <w:pPr>
              <w:jc w:val="both"/>
              <w:rPr>
                <w:color w:val="000000" w:themeColor="text1"/>
                <w:sz w:val="16"/>
                <w:szCs w:val="16"/>
              </w:rPr>
            </w:pPr>
            <w:r w:rsidRPr="00925F26">
              <w:rPr>
                <w:color w:val="000000" w:themeColor="text1"/>
                <w:sz w:val="16"/>
                <w:szCs w:val="16"/>
              </w:rPr>
              <w:t>2907</w:t>
            </w:r>
          </w:p>
        </w:tc>
        <w:tc>
          <w:tcPr>
            <w:tcW w:w="1134" w:type="dxa"/>
            <w:gridSpan w:val="2"/>
          </w:tcPr>
          <w:p w14:paraId="533EF79F" w14:textId="77777777" w:rsidR="00104B87" w:rsidRPr="00925F26" w:rsidRDefault="00104B87" w:rsidP="00925F26">
            <w:pPr>
              <w:jc w:val="both"/>
              <w:rPr>
                <w:color w:val="000000" w:themeColor="text1"/>
                <w:sz w:val="16"/>
                <w:szCs w:val="16"/>
              </w:rPr>
            </w:pPr>
            <w:r w:rsidRPr="00925F26">
              <w:rPr>
                <w:color w:val="000000" w:themeColor="text1"/>
                <w:sz w:val="16"/>
                <w:szCs w:val="16"/>
              </w:rPr>
              <w:t>2929</w:t>
            </w:r>
          </w:p>
        </w:tc>
        <w:tc>
          <w:tcPr>
            <w:tcW w:w="1559" w:type="dxa"/>
            <w:gridSpan w:val="2"/>
          </w:tcPr>
          <w:p w14:paraId="31AE68C0" w14:textId="77777777" w:rsidR="00104B87" w:rsidRPr="00925F26" w:rsidRDefault="00104B87" w:rsidP="00925F26">
            <w:pPr>
              <w:jc w:val="both"/>
              <w:rPr>
                <w:color w:val="000000" w:themeColor="text1"/>
                <w:sz w:val="16"/>
                <w:szCs w:val="16"/>
              </w:rPr>
            </w:pPr>
            <w:r w:rsidRPr="00925F26">
              <w:rPr>
                <w:color w:val="000000" w:themeColor="text1"/>
                <w:sz w:val="16"/>
                <w:szCs w:val="16"/>
              </w:rPr>
              <w:t>100,7</w:t>
            </w:r>
          </w:p>
        </w:tc>
        <w:tc>
          <w:tcPr>
            <w:tcW w:w="1619" w:type="dxa"/>
          </w:tcPr>
          <w:p w14:paraId="0AF56D5D" w14:textId="77777777" w:rsidR="00104B87" w:rsidRPr="00925F26" w:rsidRDefault="00104B87" w:rsidP="00925F26">
            <w:pPr>
              <w:jc w:val="both"/>
              <w:rPr>
                <w:color w:val="000000" w:themeColor="text1"/>
                <w:sz w:val="16"/>
                <w:szCs w:val="16"/>
              </w:rPr>
            </w:pPr>
            <w:r w:rsidRPr="00925F26">
              <w:rPr>
                <w:color w:val="000000" w:themeColor="text1"/>
                <w:sz w:val="16"/>
                <w:szCs w:val="16"/>
              </w:rPr>
              <w:t>119,5</w:t>
            </w:r>
          </w:p>
        </w:tc>
      </w:tr>
      <w:tr w:rsidR="00104B87" w:rsidRPr="00925F26" w14:paraId="4A4D1203" w14:textId="77777777" w:rsidTr="004C5D62">
        <w:trPr>
          <w:gridBefore w:val="1"/>
          <w:gridAfter w:val="1"/>
          <w:wBefore w:w="150" w:type="dxa"/>
          <w:wAfter w:w="74" w:type="dxa"/>
        </w:trPr>
        <w:tc>
          <w:tcPr>
            <w:tcW w:w="2639" w:type="dxa"/>
          </w:tcPr>
          <w:p w14:paraId="05D43704" w14:textId="77777777" w:rsidR="00104B87" w:rsidRPr="00925F26" w:rsidRDefault="00104B87" w:rsidP="00925F26">
            <w:pPr>
              <w:jc w:val="both"/>
              <w:rPr>
                <w:color w:val="000000" w:themeColor="text1"/>
                <w:sz w:val="16"/>
                <w:szCs w:val="16"/>
              </w:rPr>
            </w:pPr>
            <w:r w:rsidRPr="00925F26">
              <w:rPr>
                <w:color w:val="000000" w:themeColor="text1"/>
                <w:sz w:val="16"/>
                <w:szCs w:val="16"/>
              </w:rPr>
              <w:t>вт. ч. учебные:</w:t>
            </w:r>
          </w:p>
        </w:tc>
        <w:tc>
          <w:tcPr>
            <w:tcW w:w="1034" w:type="dxa"/>
            <w:gridSpan w:val="3"/>
          </w:tcPr>
          <w:p w14:paraId="394F592A"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341C6964" w14:textId="77777777" w:rsidR="00104B87" w:rsidRPr="00925F26" w:rsidRDefault="00104B87" w:rsidP="00925F26">
            <w:pPr>
              <w:jc w:val="both"/>
              <w:rPr>
                <w:color w:val="000000" w:themeColor="text1"/>
                <w:sz w:val="16"/>
                <w:szCs w:val="16"/>
              </w:rPr>
            </w:pPr>
            <w:r w:rsidRPr="00925F26">
              <w:rPr>
                <w:color w:val="000000" w:themeColor="text1"/>
                <w:sz w:val="16"/>
                <w:szCs w:val="16"/>
              </w:rPr>
              <w:t>105</w:t>
            </w:r>
          </w:p>
        </w:tc>
        <w:tc>
          <w:tcPr>
            <w:tcW w:w="1417" w:type="dxa"/>
            <w:gridSpan w:val="2"/>
          </w:tcPr>
          <w:p w14:paraId="4103DF98" w14:textId="77777777" w:rsidR="00104B87" w:rsidRPr="00925F26" w:rsidRDefault="00104B87" w:rsidP="00925F26">
            <w:pPr>
              <w:jc w:val="both"/>
              <w:rPr>
                <w:color w:val="000000" w:themeColor="text1"/>
                <w:sz w:val="16"/>
                <w:szCs w:val="16"/>
              </w:rPr>
            </w:pPr>
            <w:r w:rsidRPr="00925F26">
              <w:rPr>
                <w:color w:val="000000" w:themeColor="text1"/>
                <w:sz w:val="16"/>
                <w:szCs w:val="16"/>
              </w:rPr>
              <w:t>155</w:t>
            </w:r>
          </w:p>
        </w:tc>
        <w:tc>
          <w:tcPr>
            <w:tcW w:w="1134" w:type="dxa"/>
            <w:gridSpan w:val="2"/>
          </w:tcPr>
          <w:p w14:paraId="4CA5A1E2" w14:textId="77777777" w:rsidR="00104B87" w:rsidRPr="00925F26" w:rsidRDefault="00104B87" w:rsidP="00925F26">
            <w:pPr>
              <w:jc w:val="both"/>
              <w:rPr>
                <w:color w:val="000000" w:themeColor="text1"/>
                <w:sz w:val="16"/>
                <w:szCs w:val="16"/>
              </w:rPr>
            </w:pPr>
            <w:r w:rsidRPr="00925F26">
              <w:rPr>
                <w:color w:val="000000" w:themeColor="text1"/>
                <w:sz w:val="16"/>
                <w:szCs w:val="16"/>
              </w:rPr>
              <w:t>133</w:t>
            </w:r>
          </w:p>
        </w:tc>
        <w:tc>
          <w:tcPr>
            <w:tcW w:w="1559" w:type="dxa"/>
            <w:gridSpan w:val="2"/>
          </w:tcPr>
          <w:p w14:paraId="094048E0" w14:textId="77777777" w:rsidR="00104B87" w:rsidRPr="00925F26" w:rsidRDefault="00104B87" w:rsidP="00925F26">
            <w:pPr>
              <w:jc w:val="both"/>
              <w:rPr>
                <w:color w:val="000000" w:themeColor="text1"/>
                <w:sz w:val="16"/>
                <w:szCs w:val="16"/>
              </w:rPr>
            </w:pPr>
            <w:r w:rsidRPr="00925F26">
              <w:rPr>
                <w:color w:val="000000" w:themeColor="text1"/>
                <w:sz w:val="16"/>
                <w:szCs w:val="16"/>
              </w:rPr>
              <w:t>85,8</w:t>
            </w:r>
          </w:p>
        </w:tc>
        <w:tc>
          <w:tcPr>
            <w:tcW w:w="1619" w:type="dxa"/>
          </w:tcPr>
          <w:p w14:paraId="023870D3" w14:textId="77777777" w:rsidR="00104B87" w:rsidRPr="00925F26" w:rsidRDefault="00104B87" w:rsidP="00925F26">
            <w:pPr>
              <w:jc w:val="both"/>
              <w:rPr>
                <w:color w:val="000000" w:themeColor="text1"/>
                <w:sz w:val="16"/>
                <w:szCs w:val="16"/>
              </w:rPr>
            </w:pPr>
            <w:r w:rsidRPr="00925F26">
              <w:rPr>
                <w:color w:val="000000" w:themeColor="text1"/>
                <w:sz w:val="16"/>
                <w:szCs w:val="16"/>
              </w:rPr>
              <w:t>126,6</w:t>
            </w:r>
          </w:p>
        </w:tc>
      </w:tr>
      <w:tr w:rsidR="00104B87" w:rsidRPr="00925F26" w14:paraId="1A7099E8" w14:textId="77777777" w:rsidTr="004C5D62">
        <w:trPr>
          <w:gridBefore w:val="1"/>
          <w:gridAfter w:val="1"/>
          <w:wBefore w:w="150" w:type="dxa"/>
          <w:wAfter w:w="74" w:type="dxa"/>
        </w:trPr>
        <w:tc>
          <w:tcPr>
            <w:tcW w:w="2639" w:type="dxa"/>
          </w:tcPr>
          <w:p w14:paraId="09B8E240" w14:textId="77777777" w:rsidR="00104B87" w:rsidRPr="00925F26" w:rsidRDefault="00104B87" w:rsidP="00925F26">
            <w:pPr>
              <w:jc w:val="both"/>
              <w:rPr>
                <w:color w:val="000000" w:themeColor="text1"/>
                <w:sz w:val="16"/>
                <w:szCs w:val="16"/>
              </w:rPr>
            </w:pPr>
            <w:r w:rsidRPr="00925F26">
              <w:rPr>
                <w:color w:val="000000" w:themeColor="text1"/>
                <w:sz w:val="16"/>
                <w:szCs w:val="16"/>
              </w:rPr>
              <w:t>в) отправка в в/части</w:t>
            </w:r>
          </w:p>
        </w:tc>
        <w:tc>
          <w:tcPr>
            <w:tcW w:w="1034" w:type="dxa"/>
            <w:gridSpan w:val="3"/>
          </w:tcPr>
          <w:p w14:paraId="14CC5D9C" w14:textId="77777777" w:rsidR="00104B87" w:rsidRPr="00925F26" w:rsidRDefault="00104B87" w:rsidP="00925F26">
            <w:pPr>
              <w:jc w:val="both"/>
              <w:rPr>
                <w:color w:val="000000" w:themeColor="text1"/>
                <w:sz w:val="16"/>
                <w:szCs w:val="16"/>
              </w:rPr>
            </w:pPr>
            <w:r w:rsidRPr="00925F26">
              <w:rPr>
                <w:color w:val="000000" w:themeColor="text1"/>
                <w:sz w:val="16"/>
                <w:szCs w:val="16"/>
              </w:rPr>
              <w:t>шт.</w:t>
            </w:r>
          </w:p>
        </w:tc>
        <w:tc>
          <w:tcPr>
            <w:tcW w:w="1134" w:type="dxa"/>
            <w:gridSpan w:val="2"/>
          </w:tcPr>
          <w:p w14:paraId="7F2FF186" w14:textId="77777777" w:rsidR="00104B87" w:rsidRPr="00925F26" w:rsidRDefault="00104B87" w:rsidP="00925F26">
            <w:pPr>
              <w:jc w:val="both"/>
              <w:rPr>
                <w:color w:val="000000" w:themeColor="text1"/>
                <w:sz w:val="16"/>
                <w:szCs w:val="16"/>
              </w:rPr>
            </w:pPr>
            <w:r w:rsidRPr="00925F26">
              <w:rPr>
                <w:color w:val="000000" w:themeColor="text1"/>
                <w:sz w:val="16"/>
                <w:szCs w:val="16"/>
              </w:rPr>
              <w:t>2453</w:t>
            </w:r>
          </w:p>
        </w:tc>
        <w:tc>
          <w:tcPr>
            <w:tcW w:w="1417" w:type="dxa"/>
            <w:gridSpan w:val="2"/>
          </w:tcPr>
          <w:p w14:paraId="6D51A94C" w14:textId="77777777" w:rsidR="00104B87" w:rsidRPr="00925F26" w:rsidRDefault="00104B87" w:rsidP="00925F26">
            <w:pPr>
              <w:jc w:val="both"/>
              <w:rPr>
                <w:color w:val="000000" w:themeColor="text1"/>
                <w:sz w:val="16"/>
                <w:szCs w:val="16"/>
              </w:rPr>
            </w:pPr>
            <w:r w:rsidRPr="00925F26">
              <w:rPr>
                <w:color w:val="000000" w:themeColor="text1"/>
                <w:sz w:val="16"/>
                <w:szCs w:val="16"/>
              </w:rPr>
              <w:t>2907</w:t>
            </w:r>
          </w:p>
        </w:tc>
        <w:tc>
          <w:tcPr>
            <w:tcW w:w="1134" w:type="dxa"/>
            <w:gridSpan w:val="2"/>
          </w:tcPr>
          <w:p w14:paraId="70D8C01E" w14:textId="77777777" w:rsidR="00104B87" w:rsidRPr="00925F26" w:rsidRDefault="00104B87" w:rsidP="00925F26">
            <w:pPr>
              <w:jc w:val="both"/>
              <w:rPr>
                <w:color w:val="000000" w:themeColor="text1"/>
                <w:sz w:val="16"/>
                <w:szCs w:val="16"/>
              </w:rPr>
            </w:pPr>
            <w:r w:rsidRPr="00925F26">
              <w:rPr>
                <w:color w:val="000000" w:themeColor="text1"/>
                <w:sz w:val="16"/>
                <w:szCs w:val="16"/>
              </w:rPr>
              <w:t>2944</w:t>
            </w:r>
          </w:p>
        </w:tc>
        <w:tc>
          <w:tcPr>
            <w:tcW w:w="1559" w:type="dxa"/>
            <w:gridSpan w:val="2"/>
          </w:tcPr>
          <w:p w14:paraId="464F3450" w14:textId="77777777" w:rsidR="00104B87" w:rsidRPr="00925F26" w:rsidRDefault="00104B87" w:rsidP="00925F26">
            <w:pPr>
              <w:jc w:val="both"/>
              <w:rPr>
                <w:color w:val="000000" w:themeColor="text1"/>
                <w:sz w:val="16"/>
                <w:szCs w:val="16"/>
              </w:rPr>
            </w:pPr>
            <w:r w:rsidRPr="00925F26">
              <w:rPr>
                <w:color w:val="000000" w:themeColor="text1"/>
                <w:sz w:val="16"/>
                <w:szCs w:val="16"/>
              </w:rPr>
              <w:t>101,3</w:t>
            </w:r>
          </w:p>
        </w:tc>
        <w:tc>
          <w:tcPr>
            <w:tcW w:w="1619" w:type="dxa"/>
          </w:tcPr>
          <w:p w14:paraId="6796ACD0" w14:textId="77777777" w:rsidR="00104B87" w:rsidRPr="00925F26" w:rsidRDefault="00104B87" w:rsidP="00925F26">
            <w:pPr>
              <w:jc w:val="both"/>
              <w:rPr>
                <w:color w:val="000000" w:themeColor="text1"/>
                <w:sz w:val="16"/>
                <w:szCs w:val="16"/>
              </w:rPr>
            </w:pPr>
            <w:r w:rsidRPr="00925F26">
              <w:rPr>
                <w:color w:val="000000" w:themeColor="text1"/>
                <w:sz w:val="16"/>
                <w:szCs w:val="16"/>
              </w:rPr>
              <w:t>120,0</w:t>
            </w:r>
          </w:p>
        </w:tc>
      </w:tr>
      <w:tr w:rsidR="00104B87" w:rsidRPr="00925F26" w14:paraId="0552A064" w14:textId="77777777" w:rsidTr="004C5D62">
        <w:trPr>
          <w:gridBefore w:val="1"/>
          <w:gridAfter w:val="1"/>
          <w:wBefore w:w="150" w:type="dxa"/>
          <w:wAfter w:w="74" w:type="dxa"/>
        </w:trPr>
        <w:tc>
          <w:tcPr>
            <w:tcW w:w="2639" w:type="dxa"/>
          </w:tcPr>
          <w:p w14:paraId="6CCD13CC" w14:textId="77777777" w:rsidR="00104B87" w:rsidRPr="00925F26" w:rsidRDefault="00104B87" w:rsidP="00925F26">
            <w:pPr>
              <w:jc w:val="both"/>
              <w:rPr>
                <w:color w:val="000000" w:themeColor="text1"/>
                <w:sz w:val="16"/>
                <w:szCs w:val="16"/>
              </w:rPr>
            </w:pPr>
            <w:r w:rsidRPr="00925F26">
              <w:rPr>
                <w:color w:val="000000" w:themeColor="text1"/>
                <w:sz w:val="16"/>
                <w:szCs w:val="16"/>
              </w:rPr>
              <w:t>вт. ч. учебные:</w:t>
            </w:r>
          </w:p>
        </w:tc>
        <w:tc>
          <w:tcPr>
            <w:tcW w:w="1034" w:type="dxa"/>
            <w:gridSpan w:val="3"/>
          </w:tcPr>
          <w:p w14:paraId="127D73FF"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71D7ACEA" w14:textId="77777777" w:rsidR="00104B87" w:rsidRPr="00925F26" w:rsidRDefault="00104B87" w:rsidP="00925F26">
            <w:pPr>
              <w:jc w:val="both"/>
              <w:rPr>
                <w:color w:val="000000" w:themeColor="text1"/>
                <w:sz w:val="16"/>
                <w:szCs w:val="16"/>
              </w:rPr>
            </w:pPr>
            <w:r w:rsidRPr="00925F26">
              <w:rPr>
                <w:color w:val="000000" w:themeColor="text1"/>
                <w:sz w:val="16"/>
                <w:szCs w:val="16"/>
              </w:rPr>
              <w:t>103</w:t>
            </w:r>
          </w:p>
        </w:tc>
        <w:tc>
          <w:tcPr>
            <w:tcW w:w="1417" w:type="dxa"/>
            <w:gridSpan w:val="2"/>
          </w:tcPr>
          <w:p w14:paraId="7A117E72" w14:textId="77777777" w:rsidR="00104B87" w:rsidRPr="00925F26" w:rsidRDefault="00104B87" w:rsidP="00925F26">
            <w:pPr>
              <w:jc w:val="both"/>
              <w:rPr>
                <w:color w:val="000000" w:themeColor="text1"/>
                <w:sz w:val="16"/>
                <w:szCs w:val="16"/>
              </w:rPr>
            </w:pPr>
            <w:r w:rsidRPr="00925F26">
              <w:rPr>
                <w:color w:val="000000" w:themeColor="text1"/>
                <w:sz w:val="16"/>
                <w:szCs w:val="16"/>
              </w:rPr>
              <w:t>155</w:t>
            </w:r>
          </w:p>
        </w:tc>
        <w:tc>
          <w:tcPr>
            <w:tcW w:w="1134" w:type="dxa"/>
            <w:gridSpan w:val="2"/>
          </w:tcPr>
          <w:p w14:paraId="0C2CDBEB" w14:textId="77777777" w:rsidR="00104B87" w:rsidRPr="00925F26" w:rsidRDefault="00104B87" w:rsidP="00925F26">
            <w:pPr>
              <w:jc w:val="both"/>
              <w:rPr>
                <w:color w:val="000000" w:themeColor="text1"/>
                <w:sz w:val="16"/>
                <w:szCs w:val="16"/>
              </w:rPr>
            </w:pPr>
            <w:r w:rsidRPr="00925F26">
              <w:rPr>
                <w:color w:val="000000" w:themeColor="text1"/>
                <w:sz w:val="16"/>
                <w:szCs w:val="16"/>
              </w:rPr>
              <w:t>135</w:t>
            </w:r>
          </w:p>
        </w:tc>
        <w:tc>
          <w:tcPr>
            <w:tcW w:w="1559" w:type="dxa"/>
            <w:gridSpan w:val="2"/>
          </w:tcPr>
          <w:p w14:paraId="2FFD8DA1" w14:textId="77777777" w:rsidR="00104B87" w:rsidRPr="00925F26" w:rsidRDefault="00104B87" w:rsidP="00925F26">
            <w:pPr>
              <w:jc w:val="both"/>
              <w:rPr>
                <w:color w:val="000000" w:themeColor="text1"/>
                <w:sz w:val="16"/>
                <w:szCs w:val="16"/>
              </w:rPr>
            </w:pPr>
            <w:r w:rsidRPr="00925F26">
              <w:rPr>
                <w:color w:val="000000" w:themeColor="text1"/>
                <w:sz w:val="16"/>
                <w:szCs w:val="16"/>
              </w:rPr>
              <w:t>87,1</w:t>
            </w:r>
          </w:p>
        </w:tc>
        <w:tc>
          <w:tcPr>
            <w:tcW w:w="1619" w:type="dxa"/>
          </w:tcPr>
          <w:p w14:paraId="2D2F295D" w14:textId="77777777" w:rsidR="00104B87" w:rsidRPr="00925F26" w:rsidRDefault="00104B87" w:rsidP="00925F26">
            <w:pPr>
              <w:jc w:val="both"/>
              <w:rPr>
                <w:color w:val="000000" w:themeColor="text1"/>
                <w:sz w:val="16"/>
                <w:szCs w:val="16"/>
              </w:rPr>
            </w:pPr>
            <w:r w:rsidRPr="00925F26">
              <w:rPr>
                <w:color w:val="000000" w:themeColor="text1"/>
                <w:sz w:val="16"/>
                <w:szCs w:val="16"/>
              </w:rPr>
              <w:t>131, 6</w:t>
            </w:r>
          </w:p>
        </w:tc>
      </w:tr>
      <w:tr w:rsidR="00104B87" w:rsidRPr="00925F26" w14:paraId="0B0F0977" w14:textId="77777777" w:rsidTr="004C5D62">
        <w:trPr>
          <w:gridBefore w:val="1"/>
          <w:gridAfter w:val="1"/>
          <w:wBefore w:w="150" w:type="dxa"/>
          <w:wAfter w:w="74" w:type="dxa"/>
        </w:trPr>
        <w:tc>
          <w:tcPr>
            <w:tcW w:w="2639" w:type="dxa"/>
          </w:tcPr>
          <w:p w14:paraId="4DDFDA5E" w14:textId="77777777" w:rsidR="00104B87" w:rsidRPr="00925F26" w:rsidRDefault="00104B87" w:rsidP="00925F26">
            <w:pPr>
              <w:jc w:val="both"/>
              <w:rPr>
                <w:color w:val="000000" w:themeColor="text1"/>
                <w:sz w:val="16"/>
                <w:szCs w:val="16"/>
              </w:rPr>
            </w:pPr>
            <w:r w:rsidRPr="00925F26">
              <w:rPr>
                <w:color w:val="000000" w:themeColor="text1"/>
                <w:sz w:val="16"/>
                <w:szCs w:val="16"/>
              </w:rPr>
              <w:t>2. Самолеты Пе-3 а) сдача по оконч. сборке</w:t>
            </w:r>
          </w:p>
        </w:tc>
        <w:tc>
          <w:tcPr>
            <w:tcW w:w="1034" w:type="dxa"/>
            <w:gridSpan w:val="3"/>
          </w:tcPr>
          <w:p w14:paraId="1FC93146"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04741E34"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417" w:type="dxa"/>
            <w:gridSpan w:val="2"/>
          </w:tcPr>
          <w:p w14:paraId="75B76736" w14:textId="77777777" w:rsidR="00104B87" w:rsidRPr="00925F26" w:rsidRDefault="00104B87" w:rsidP="00925F26">
            <w:pPr>
              <w:jc w:val="both"/>
              <w:rPr>
                <w:color w:val="000000" w:themeColor="text1"/>
                <w:sz w:val="16"/>
                <w:szCs w:val="16"/>
              </w:rPr>
            </w:pPr>
            <w:r w:rsidRPr="00925F26">
              <w:rPr>
                <w:color w:val="000000" w:themeColor="text1"/>
                <w:sz w:val="16"/>
                <w:szCs w:val="16"/>
              </w:rPr>
              <w:t>55</w:t>
            </w:r>
          </w:p>
        </w:tc>
        <w:tc>
          <w:tcPr>
            <w:tcW w:w="1134" w:type="dxa"/>
            <w:gridSpan w:val="2"/>
          </w:tcPr>
          <w:p w14:paraId="17FF76E9" w14:textId="77777777" w:rsidR="00104B87" w:rsidRPr="00925F26" w:rsidRDefault="00104B87" w:rsidP="00925F26">
            <w:pPr>
              <w:jc w:val="both"/>
              <w:rPr>
                <w:color w:val="000000" w:themeColor="text1"/>
                <w:sz w:val="16"/>
                <w:szCs w:val="16"/>
              </w:rPr>
            </w:pPr>
            <w:r w:rsidRPr="00925F26">
              <w:rPr>
                <w:color w:val="000000" w:themeColor="text1"/>
                <w:sz w:val="16"/>
                <w:szCs w:val="16"/>
              </w:rPr>
              <w:t>19</w:t>
            </w:r>
          </w:p>
        </w:tc>
        <w:tc>
          <w:tcPr>
            <w:tcW w:w="1559" w:type="dxa"/>
            <w:gridSpan w:val="2"/>
          </w:tcPr>
          <w:p w14:paraId="3E817886" w14:textId="77777777" w:rsidR="00104B87" w:rsidRPr="00925F26" w:rsidRDefault="00104B87" w:rsidP="00925F26">
            <w:pPr>
              <w:jc w:val="both"/>
              <w:rPr>
                <w:color w:val="000000" w:themeColor="text1"/>
                <w:sz w:val="16"/>
                <w:szCs w:val="16"/>
              </w:rPr>
            </w:pPr>
            <w:r w:rsidRPr="00925F26">
              <w:rPr>
                <w:color w:val="000000" w:themeColor="text1"/>
                <w:sz w:val="16"/>
                <w:szCs w:val="16"/>
              </w:rPr>
              <w:t>34,5</w:t>
            </w:r>
          </w:p>
        </w:tc>
        <w:tc>
          <w:tcPr>
            <w:tcW w:w="1619" w:type="dxa"/>
          </w:tcPr>
          <w:p w14:paraId="07F98925"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r>
      <w:tr w:rsidR="00104B87" w:rsidRPr="00925F26" w14:paraId="7AE5EF32" w14:textId="77777777" w:rsidTr="004C5D62">
        <w:trPr>
          <w:gridBefore w:val="1"/>
          <w:gridAfter w:val="1"/>
          <w:wBefore w:w="150" w:type="dxa"/>
          <w:wAfter w:w="74" w:type="dxa"/>
        </w:trPr>
        <w:tc>
          <w:tcPr>
            <w:tcW w:w="2639" w:type="dxa"/>
          </w:tcPr>
          <w:p w14:paraId="5AEAD679" w14:textId="77777777" w:rsidR="00104B87" w:rsidRPr="00925F26" w:rsidRDefault="00104B87" w:rsidP="00925F26">
            <w:pPr>
              <w:jc w:val="both"/>
              <w:rPr>
                <w:color w:val="000000" w:themeColor="text1"/>
                <w:sz w:val="16"/>
                <w:szCs w:val="16"/>
              </w:rPr>
            </w:pPr>
            <w:r w:rsidRPr="00925F26">
              <w:rPr>
                <w:color w:val="000000" w:themeColor="text1"/>
                <w:sz w:val="16"/>
                <w:szCs w:val="16"/>
              </w:rPr>
              <w:t>б) сдача по готовности к бою</w:t>
            </w:r>
          </w:p>
        </w:tc>
        <w:tc>
          <w:tcPr>
            <w:tcW w:w="1034" w:type="dxa"/>
            <w:gridSpan w:val="3"/>
          </w:tcPr>
          <w:p w14:paraId="7E32BB4B"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7B481631" w14:textId="77777777" w:rsidR="00104B87" w:rsidRPr="00925F26" w:rsidRDefault="00104B87" w:rsidP="00925F26">
            <w:pPr>
              <w:jc w:val="both"/>
              <w:rPr>
                <w:color w:val="000000" w:themeColor="text1"/>
                <w:sz w:val="16"/>
                <w:szCs w:val="16"/>
              </w:rPr>
            </w:pPr>
          </w:p>
        </w:tc>
        <w:tc>
          <w:tcPr>
            <w:tcW w:w="1417" w:type="dxa"/>
            <w:gridSpan w:val="2"/>
          </w:tcPr>
          <w:p w14:paraId="17885003" w14:textId="77777777" w:rsidR="00104B87" w:rsidRPr="00925F26" w:rsidRDefault="00104B87" w:rsidP="00925F26">
            <w:pPr>
              <w:jc w:val="both"/>
              <w:rPr>
                <w:color w:val="000000" w:themeColor="text1"/>
                <w:sz w:val="16"/>
                <w:szCs w:val="16"/>
              </w:rPr>
            </w:pPr>
            <w:r w:rsidRPr="00925F26">
              <w:rPr>
                <w:color w:val="000000" w:themeColor="text1"/>
                <w:sz w:val="16"/>
                <w:szCs w:val="16"/>
              </w:rPr>
              <w:t>55</w:t>
            </w:r>
          </w:p>
        </w:tc>
        <w:tc>
          <w:tcPr>
            <w:tcW w:w="1134" w:type="dxa"/>
            <w:gridSpan w:val="2"/>
          </w:tcPr>
          <w:p w14:paraId="63724074" w14:textId="77777777" w:rsidR="00104B87" w:rsidRPr="00925F26" w:rsidRDefault="00104B87" w:rsidP="00925F26">
            <w:pPr>
              <w:jc w:val="both"/>
              <w:rPr>
                <w:color w:val="000000" w:themeColor="text1"/>
                <w:sz w:val="16"/>
                <w:szCs w:val="16"/>
              </w:rPr>
            </w:pPr>
            <w:r w:rsidRPr="00925F26">
              <w:rPr>
                <w:color w:val="000000" w:themeColor="text1"/>
                <w:sz w:val="16"/>
                <w:szCs w:val="16"/>
              </w:rPr>
              <w:t>18</w:t>
            </w:r>
          </w:p>
        </w:tc>
        <w:tc>
          <w:tcPr>
            <w:tcW w:w="1559" w:type="dxa"/>
            <w:gridSpan w:val="2"/>
          </w:tcPr>
          <w:p w14:paraId="311F9947" w14:textId="77777777" w:rsidR="00104B87" w:rsidRPr="00925F26" w:rsidRDefault="00104B87" w:rsidP="00925F26">
            <w:pPr>
              <w:jc w:val="both"/>
              <w:rPr>
                <w:color w:val="000000" w:themeColor="text1"/>
                <w:sz w:val="16"/>
                <w:szCs w:val="16"/>
              </w:rPr>
            </w:pPr>
            <w:r w:rsidRPr="00925F26">
              <w:rPr>
                <w:color w:val="000000" w:themeColor="text1"/>
                <w:sz w:val="16"/>
                <w:szCs w:val="16"/>
              </w:rPr>
              <w:t>32,7</w:t>
            </w:r>
          </w:p>
        </w:tc>
        <w:tc>
          <w:tcPr>
            <w:tcW w:w="1619" w:type="dxa"/>
          </w:tcPr>
          <w:p w14:paraId="24480B4B" w14:textId="77777777" w:rsidR="00104B87" w:rsidRPr="00925F26" w:rsidRDefault="00104B87" w:rsidP="00925F26">
            <w:pPr>
              <w:jc w:val="both"/>
              <w:rPr>
                <w:color w:val="000000" w:themeColor="text1"/>
                <w:sz w:val="16"/>
                <w:szCs w:val="16"/>
              </w:rPr>
            </w:pPr>
          </w:p>
        </w:tc>
      </w:tr>
      <w:tr w:rsidR="00104B87" w:rsidRPr="00925F26" w14:paraId="49C8F736" w14:textId="77777777" w:rsidTr="004C5D62">
        <w:trPr>
          <w:gridBefore w:val="1"/>
          <w:gridAfter w:val="1"/>
          <w:wBefore w:w="150" w:type="dxa"/>
          <w:wAfter w:w="74" w:type="dxa"/>
        </w:trPr>
        <w:tc>
          <w:tcPr>
            <w:tcW w:w="2639" w:type="dxa"/>
          </w:tcPr>
          <w:p w14:paraId="62163EC8" w14:textId="77777777" w:rsidR="00104B87" w:rsidRPr="00925F26" w:rsidRDefault="00104B87" w:rsidP="00925F26">
            <w:pPr>
              <w:jc w:val="both"/>
              <w:rPr>
                <w:color w:val="000000" w:themeColor="text1"/>
                <w:sz w:val="16"/>
                <w:szCs w:val="16"/>
              </w:rPr>
            </w:pPr>
            <w:r w:rsidRPr="00925F26">
              <w:rPr>
                <w:color w:val="000000" w:themeColor="text1"/>
                <w:sz w:val="16"/>
                <w:szCs w:val="16"/>
              </w:rPr>
              <w:t>в) отправка в в/части</w:t>
            </w:r>
          </w:p>
        </w:tc>
        <w:tc>
          <w:tcPr>
            <w:tcW w:w="1034" w:type="dxa"/>
            <w:gridSpan w:val="3"/>
          </w:tcPr>
          <w:p w14:paraId="0A7374F9"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0A5B20AB"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417" w:type="dxa"/>
            <w:gridSpan w:val="2"/>
          </w:tcPr>
          <w:p w14:paraId="6500FA0A" w14:textId="77777777" w:rsidR="00104B87" w:rsidRPr="00925F26" w:rsidRDefault="00104B87" w:rsidP="00925F26">
            <w:pPr>
              <w:jc w:val="both"/>
              <w:rPr>
                <w:color w:val="000000" w:themeColor="text1"/>
                <w:sz w:val="16"/>
                <w:szCs w:val="16"/>
              </w:rPr>
            </w:pPr>
            <w:r w:rsidRPr="00925F26">
              <w:rPr>
                <w:color w:val="000000" w:themeColor="text1"/>
                <w:sz w:val="16"/>
                <w:szCs w:val="16"/>
              </w:rPr>
              <w:t>55</w:t>
            </w:r>
          </w:p>
        </w:tc>
        <w:tc>
          <w:tcPr>
            <w:tcW w:w="1134" w:type="dxa"/>
            <w:gridSpan w:val="2"/>
          </w:tcPr>
          <w:p w14:paraId="71853B21" w14:textId="77777777" w:rsidR="00104B87" w:rsidRPr="00925F26" w:rsidRDefault="00104B87" w:rsidP="00925F26">
            <w:pPr>
              <w:jc w:val="both"/>
              <w:rPr>
                <w:color w:val="000000" w:themeColor="text1"/>
                <w:sz w:val="16"/>
                <w:szCs w:val="16"/>
              </w:rPr>
            </w:pPr>
            <w:r w:rsidRPr="00925F26">
              <w:rPr>
                <w:color w:val="000000" w:themeColor="text1"/>
                <w:sz w:val="16"/>
                <w:szCs w:val="16"/>
              </w:rPr>
              <w:t>18</w:t>
            </w:r>
          </w:p>
        </w:tc>
        <w:tc>
          <w:tcPr>
            <w:tcW w:w="1559" w:type="dxa"/>
            <w:gridSpan w:val="2"/>
          </w:tcPr>
          <w:p w14:paraId="1F3A579A" w14:textId="77777777" w:rsidR="00104B87" w:rsidRPr="00925F26" w:rsidRDefault="00104B87" w:rsidP="00925F26">
            <w:pPr>
              <w:jc w:val="both"/>
              <w:rPr>
                <w:color w:val="000000" w:themeColor="text1"/>
                <w:sz w:val="16"/>
                <w:szCs w:val="16"/>
              </w:rPr>
            </w:pPr>
            <w:r w:rsidRPr="00925F26">
              <w:rPr>
                <w:color w:val="000000" w:themeColor="text1"/>
                <w:sz w:val="16"/>
                <w:szCs w:val="16"/>
              </w:rPr>
              <w:t>32,7</w:t>
            </w:r>
          </w:p>
        </w:tc>
        <w:tc>
          <w:tcPr>
            <w:tcW w:w="1619" w:type="dxa"/>
          </w:tcPr>
          <w:p w14:paraId="1C3F771B"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r>
      <w:tr w:rsidR="00104B87" w:rsidRPr="00925F26" w14:paraId="50FD00EB" w14:textId="77777777" w:rsidTr="004C5D62">
        <w:trPr>
          <w:gridBefore w:val="1"/>
          <w:gridAfter w:val="1"/>
          <w:wBefore w:w="150" w:type="dxa"/>
          <w:wAfter w:w="74" w:type="dxa"/>
        </w:trPr>
        <w:tc>
          <w:tcPr>
            <w:tcW w:w="2639" w:type="dxa"/>
          </w:tcPr>
          <w:p w14:paraId="3DC0B97F" w14:textId="77777777" w:rsidR="00104B87" w:rsidRPr="00925F26" w:rsidRDefault="00104B87" w:rsidP="00925F26">
            <w:pPr>
              <w:jc w:val="both"/>
              <w:rPr>
                <w:color w:val="000000" w:themeColor="text1"/>
                <w:sz w:val="16"/>
                <w:szCs w:val="16"/>
              </w:rPr>
            </w:pPr>
            <w:r w:rsidRPr="00925F26">
              <w:rPr>
                <w:color w:val="000000" w:themeColor="text1"/>
                <w:sz w:val="16"/>
                <w:szCs w:val="16"/>
              </w:rPr>
              <w:t>3. Самолеты Пе-8 а) сдача по оконч. сборке</w:t>
            </w:r>
          </w:p>
        </w:tc>
        <w:tc>
          <w:tcPr>
            <w:tcW w:w="1034" w:type="dxa"/>
            <w:gridSpan w:val="3"/>
          </w:tcPr>
          <w:p w14:paraId="2598FFAD"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79954EB6" w14:textId="77777777" w:rsidR="00104B87" w:rsidRPr="00925F26" w:rsidRDefault="00104B87" w:rsidP="00925F26">
            <w:pPr>
              <w:jc w:val="both"/>
              <w:rPr>
                <w:color w:val="000000" w:themeColor="text1"/>
                <w:sz w:val="16"/>
                <w:szCs w:val="16"/>
              </w:rPr>
            </w:pPr>
            <w:r w:rsidRPr="00925F26">
              <w:rPr>
                <w:color w:val="000000" w:themeColor="text1"/>
                <w:sz w:val="16"/>
                <w:szCs w:val="16"/>
              </w:rPr>
              <w:t>29</w:t>
            </w:r>
          </w:p>
        </w:tc>
        <w:tc>
          <w:tcPr>
            <w:tcW w:w="1417" w:type="dxa"/>
            <w:gridSpan w:val="2"/>
          </w:tcPr>
          <w:p w14:paraId="6FF9852A" w14:textId="77777777" w:rsidR="00104B87" w:rsidRPr="00925F26" w:rsidRDefault="00104B87" w:rsidP="00925F26">
            <w:pPr>
              <w:jc w:val="both"/>
              <w:rPr>
                <w:color w:val="000000" w:themeColor="text1"/>
                <w:sz w:val="16"/>
                <w:szCs w:val="16"/>
              </w:rPr>
            </w:pPr>
            <w:r w:rsidRPr="00925F26">
              <w:rPr>
                <w:color w:val="000000" w:themeColor="text1"/>
                <w:sz w:val="16"/>
                <w:szCs w:val="16"/>
              </w:rPr>
              <w:t>6</w:t>
            </w:r>
          </w:p>
        </w:tc>
        <w:tc>
          <w:tcPr>
            <w:tcW w:w="1134" w:type="dxa"/>
            <w:gridSpan w:val="2"/>
          </w:tcPr>
          <w:p w14:paraId="52768F92" w14:textId="77777777" w:rsidR="00104B87" w:rsidRPr="00925F26" w:rsidRDefault="00104B87" w:rsidP="00925F26">
            <w:pPr>
              <w:jc w:val="both"/>
              <w:rPr>
                <w:color w:val="000000" w:themeColor="text1"/>
                <w:sz w:val="16"/>
                <w:szCs w:val="16"/>
              </w:rPr>
            </w:pPr>
            <w:r w:rsidRPr="00925F26">
              <w:rPr>
                <w:color w:val="000000" w:themeColor="text1"/>
                <w:sz w:val="16"/>
                <w:szCs w:val="16"/>
              </w:rPr>
              <w:t>4</w:t>
            </w:r>
          </w:p>
        </w:tc>
        <w:tc>
          <w:tcPr>
            <w:tcW w:w="1559" w:type="dxa"/>
            <w:gridSpan w:val="2"/>
          </w:tcPr>
          <w:p w14:paraId="296EC2DC" w14:textId="77777777" w:rsidR="00104B87" w:rsidRPr="00925F26" w:rsidRDefault="00104B87" w:rsidP="00925F26">
            <w:pPr>
              <w:jc w:val="both"/>
              <w:rPr>
                <w:color w:val="000000" w:themeColor="text1"/>
                <w:sz w:val="16"/>
                <w:szCs w:val="16"/>
              </w:rPr>
            </w:pPr>
            <w:r w:rsidRPr="00925F26">
              <w:rPr>
                <w:color w:val="000000" w:themeColor="text1"/>
                <w:sz w:val="16"/>
                <w:szCs w:val="16"/>
              </w:rPr>
              <w:t>66,6</w:t>
            </w:r>
          </w:p>
        </w:tc>
        <w:tc>
          <w:tcPr>
            <w:tcW w:w="1619" w:type="dxa"/>
          </w:tcPr>
          <w:p w14:paraId="19363E34" w14:textId="77777777" w:rsidR="00104B87" w:rsidRPr="00925F26" w:rsidRDefault="00104B87" w:rsidP="00925F26">
            <w:pPr>
              <w:jc w:val="both"/>
              <w:rPr>
                <w:color w:val="000000" w:themeColor="text1"/>
                <w:sz w:val="16"/>
                <w:szCs w:val="16"/>
              </w:rPr>
            </w:pPr>
            <w:r w:rsidRPr="00925F26">
              <w:rPr>
                <w:color w:val="000000" w:themeColor="text1"/>
                <w:sz w:val="16"/>
                <w:szCs w:val="16"/>
              </w:rPr>
              <w:t>13,8</w:t>
            </w:r>
          </w:p>
        </w:tc>
      </w:tr>
      <w:tr w:rsidR="00104B87" w:rsidRPr="00925F26" w14:paraId="62F651EA" w14:textId="77777777" w:rsidTr="004C5D62">
        <w:trPr>
          <w:gridBefore w:val="1"/>
          <w:gridAfter w:val="1"/>
          <w:wBefore w:w="150" w:type="dxa"/>
          <w:wAfter w:w="74" w:type="dxa"/>
        </w:trPr>
        <w:tc>
          <w:tcPr>
            <w:tcW w:w="2639" w:type="dxa"/>
          </w:tcPr>
          <w:p w14:paraId="151921C6" w14:textId="77777777" w:rsidR="00104B87" w:rsidRPr="00925F26" w:rsidRDefault="00104B87" w:rsidP="00925F26">
            <w:pPr>
              <w:jc w:val="both"/>
              <w:rPr>
                <w:color w:val="000000" w:themeColor="text1"/>
                <w:sz w:val="16"/>
                <w:szCs w:val="16"/>
              </w:rPr>
            </w:pPr>
            <w:r w:rsidRPr="00925F26">
              <w:rPr>
                <w:color w:val="000000" w:themeColor="text1"/>
                <w:sz w:val="16"/>
                <w:szCs w:val="16"/>
              </w:rPr>
              <w:t>б) сдача по готовности к бою</w:t>
            </w:r>
          </w:p>
        </w:tc>
        <w:tc>
          <w:tcPr>
            <w:tcW w:w="1034" w:type="dxa"/>
            <w:gridSpan w:val="3"/>
          </w:tcPr>
          <w:p w14:paraId="003159B6"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004B581D" w14:textId="77777777" w:rsidR="00104B87" w:rsidRPr="00925F26" w:rsidRDefault="00104B87" w:rsidP="00925F26">
            <w:pPr>
              <w:jc w:val="both"/>
              <w:rPr>
                <w:color w:val="000000" w:themeColor="text1"/>
                <w:sz w:val="16"/>
                <w:szCs w:val="16"/>
              </w:rPr>
            </w:pPr>
            <w:r w:rsidRPr="00925F26">
              <w:rPr>
                <w:color w:val="000000" w:themeColor="text1"/>
                <w:sz w:val="16"/>
                <w:szCs w:val="16"/>
              </w:rPr>
              <w:t>31</w:t>
            </w:r>
          </w:p>
        </w:tc>
        <w:tc>
          <w:tcPr>
            <w:tcW w:w="1417" w:type="dxa"/>
            <w:gridSpan w:val="2"/>
          </w:tcPr>
          <w:p w14:paraId="657FFE77" w14:textId="77777777" w:rsidR="00104B87" w:rsidRPr="00925F26" w:rsidRDefault="00104B87" w:rsidP="00925F26">
            <w:pPr>
              <w:jc w:val="both"/>
              <w:rPr>
                <w:color w:val="000000" w:themeColor="text1"/>
                <w:sz w:val="16"/>
                <w:szCs w:val="16"/>
              </w:rPr>
            </w:pPr>
            <w:r w:rsidRPr="00925F26">
              <w:rPr>
                <w:color w:val="000000" w:themeColor="text1"/>
                <w:sz w:val="16"/>
                <w:szCs w:val="16"/>
              </w:rPr>
              <w:t>6</w:t>
            </w:r>
          </w:p>
        </w:tc>
        <w:tc>
          <w:tcPr>
            <w:tcW w:w="1134" w:type="dxa"/>
            <w:gridSpan w:val="2"/>
          </w:tcPr>
          <w:p w14:paraId="7A5210B4" w14:textId="77777777" w:rsidR="00104B87" w:rsidRPr="00925F26" w:rsidRDefault="00104B87" w:rsidP="00925F26">
            <w:pPr>
              <w:jc w:val="both"/>
              <w:rPr>
                <w:color w:val="000000" w:themeColor="text1"/>
                <w:sz w:val="16"/>
                <w:szCs w:val="16"/>
              </w:rPr>
            </w:pPr>
            <w:r w:rsidRPr="00925F26">
              <w:rPr>
                <w:color w:val="000000" w:themeColor="text1"/>
                <w:sz w:val="16"/>
                <w:szCs w:val="16"/>
              </w:rPr>
              <w:t>6</w:t>
            </w:r>
          </w:p>
        </w:tc>
        <w:tc>
          <w:tcPr>
            <w:tcW w:w="1559" w:type="dxa"/>
            <w:gridSpan w:val="2"/>
          </w:tcPr>
          <w:p w14:paraId="3957BCC8" w14:textId="77777777" w:rsidR="00104B87" w:rsidRPr="00925F26" w:rsidRDefault="00104B87" w:rsidP="00925F26">
            <w:pPr>
              <w:jc w:val="both"/>
              <w:rPr>
                <w:color w:val="000000" w:themeColor="text1"/>
                <w:sz w:val="16"/>
                <w:szCs w:val="16"/>
              </w:rPr>
            </w:pPr>
            <w:r w:rsidRPr="00925F26">
              <w:rPr>
                <w:color w:val="000000" w:themeColor="text1"/>
                <w:sz w:val="16"/>
                <w:szCs w:val="16"/>
              </w:rPr>
              <w:t>100,0</w:t>
            </w:r>
          </w:p>
        </w:tc>
        <w:tc>
          <w:tcPr>
            <w:tcW w:w="1619" w:type="dxa"/>
          </w:tcPr>
          <w:p w14:paraId="75F21401" w14:textId="77777777" w:rsidR="00104B87" w:rsidRPr="00925F26" w:rsidRDefault="00104B87" w:rsidP="00925F26">
            <w:pPr>
              <w:jc w:val="both"/>
              <w:rPr>
                <w:color w:val="000000" w:themeColor="text1"/>
                <w:sz w:val="16"/>
                <w:szCs w:val="16"/>
              </w:rPr>
            </w:pPr>
            <w:r w:rsidRPr="00925F26">
              <w:rPr>
                <w:color w:val="000000" w:themeColor="text1"/>
                <w:sz w:val="16"/>
                <w:szCs w:val="16"/>
              </w:rPr>
              <w:t>19,3</w:t>
            </w:r>
          </w:p>
        </w:tc>
      </w:tr>
      <w:tr w:rsidR="00104B87" w:rsidRPr="00925F26" w14:paraId="771327F9" w14:textId="77777777" w:rsidTr="004C5D62">
        <w:trPr>
          <w:gridBefore w:val="1"/>
          <w:gridAfter w:val="1"/>
          <w:wBefore w:w="150" w:type="dxa"/>
          <w:wAfter w:w="74" w:type="dxa"/>
        </w:trPr>
        <w:tc>
          <w:tcPr>
            <w:tcW w:w="2639" w:type="dxa"/>
          </w:tcPr>
          <w:p w14:paraId="1EB1590C" w14:textId="77777777" w:rsidR="00104B87" w:rsidRPr="00925F26" w:rsidRDefault="00104B87" w:rsidP="00925F26">
            <w:pPr>
              <w:jc w:val="both"/>
              <w:rPr>
                <w:color w:val="000000" w:themeColor="text1"/>
                <w:sz w:val="16"/>
                <w:szCs w:val="16"/>
              </w:rPr>
            </w:pPr>
            <w:r w:rsidRPr="00925F26">
              <w:rPr>
                <w:color w:val="000000" w:themeColor="text1"/>
                <w:sz w:val="16"/>
                <w:szCs w:val="16"/>
              </w:rPr>
              <w:t>в) отправка в в/части</w:t>
            </w:r>
          </w:p>
        </w:tc>
        <w:tc>
          <w:tcPr>
            <w:tcW w:w="1034" w:type="dxa"/>
            <w:gridSpan w:val="3"/>
          </w:tcPr>
          <w:p w14:paraId="14B1EF70"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093B5982" w14:textId="77777777" w:rsidR="00104B87" w:rsidRPr="00925F26" w:rsidRDefault="00104B87" w:rsidP="00925F26">
            <w:pPr>
              <w:jc w:val="both"/>
              <w:rPr>
                <w:color w:val="000000" w:themeColor="text1"/>
                <w:sz w:val="16"/>
                <w:szCs w:val="16"/>
              </w:rPr>
            </w:pPr>
            <w:r w:rsidRPr="00925F26">
              <w:rPr>
                <w:color w:val="000000" w:themeColor="text1"/>
                <w:sz w:val="16"/>
                <w:szCs w:val="16"/>
              </w:rPr>
              <w:t>30</w:t>
            </w:r>
          </w:p>
        </w:tc>
        <w:tc>
          <w:tcPr>
            <w:tcW w:w="1417" w:type="dxa"/>
            <w:gridSpan w:val="2"/>
          </w:tcPr>
          <w:p w14:paraId="44E57E15" w14:textId="77777777" w:rsidR="00104B87" w:rsidRPr="00925F26" w:rsidRDefault="00104B87" w:rsidP="00925F26">
            <w:pPr>
              <w:jc w:val="both"/>
              <w:rPr>
                <w:color w:val="000000" w:themeColor="text1"/>
                <w:sz w:val="16"/>
                <w:szCs w:val="16"/>
              </w:rPr>
            </w:pPr>
            <w:r w:rsidRPr="00925F26">
              <w:rPr>
                <w:color w:val="000000" w:themeColor="text1"/>
                <w:sz w:val="16"/>
                <w:szCs w:val="16"/>
              </w:rPr>
              <w:t>6</w:t>
            </w:r>
          </w:p>
        </w:tc>
        <w:tc>
          <w:tcPr>
            <w:tcW w:w="1134" w:type="dxa"/>
            <w:gridSpan w:val="2"/>
          </w:tcPr>
          <w:p w14:paraId="3322CBC3" w14:textId="77777777" w:rsidR="00104B87" w:rsidRPr="00925F26" w:rsidRDefault="00104B87" w:rsidP="00925F26">
            <w:pPr>
              <w:jc w:val="both"/>
              <w:rPr>
                <w:color w:val="000000" w:themeColor="text1"/>
                <w:sz w:val="16"/>
                <w:szCs w:val="16"/>
              </w:rPr>
            </w:pPr>
            <w:r w:rsidRPr="00925F26">
              <w:rPr>
                <w:color w:val="000000" w:themeColor="text1"/>
                <w:sz w:val="16"/>
                <w:szCs w:val="16"/>
              </w:rPr>
              <w:t>10</w:t>
            </w:r>
          </w:p>
        </w:tc>
        <w:tc>
          <w:tcPr>
            <w:tcW w:w="1559" w:type="dxa"/>
            <w:gridSpan w:val="2"/>
          </w:tcPr>
          <w:p w14:paraId="58EFD367" w14:textId="77777777" w:rsidR="00104B87" w:rsidRPr="00925F26" w:rsidRDefault="00104B87" w:rsidP="00925F26">
            <w:pPr>
              <w:jc w:val="both"/>
              <w:rPr>
                <w:color w:val="000000" w:themeColor="text1"/>
                <w:sz w:val="16"/>
                <w:szCs w:val="16"/>
              </w:rPr>
            </w:pPr>
            <w:r w:rsidRPr="00925F26">
              <w:rPr>
                <w:color w:val="000000" w:themeColor="text1"/>
                <w:sz w:val="16"/>
                <w:szCs w:val="16"/>
              </w:rPr>
              <w:t>166, 6</w:t>
            </w:r>
          </w:p>
        </w:tc>
        <w:tc>
          <w:tcPr>
            <w:tcW w:w="1619" w:type="dxa"/>
          </w:tcPr>
          <w:p w14:paraId="038DEEEA" w14:textId="77777777" w:rsidR="00104B87" w:rsidRPr="00925F26" w:rsidRDefault="00104B87" w:rsidP="00925F26">
            <w:pPr>
              <w:jc w:val="both"/>
              <w:rPr>
                <w:color w:val="000000" w:themeColor="text1"/>
                <w:sz w:val="16"/>
                <w:szCs w:val="16"/>
              </w:rPr>
            </w:pPr>
            <w:r w:rsidRPr="00925F26">
              <w:rPr>
                <w:color w:val="000000" w:themeColor="text1"/>
                <w:sz w:val="16"/>
                <w:szCs w:val="16"/>
              </w:rPr>
              <w:t>33,3</w:t>
            </w:r>
          </w:p>
        </w:tc>
      </w:tr>
      <w:tr w:rsidR="00104B87" w:rsidRPr="00925F26" w14:paraId="5D0A347F" w14:textId="77777777" w:rsidTr="004C5D62">
        <w:tc>
          <w:tcPr>
            <w:tcW w:w="2822" w:type="dxa"/>
            <w:gridSpan w:val="3"/>
          </w:tcPr>
          <w:p w14:paraId="34F178AA" w14:textId="77777777" w:rsidR="00104B87" w:rsidRPr="00925F26" w:rsidRDefault="00104B87" w:rsidP="00925F26">
            <w:pPr>
              <w:jc w:val="both"/>
              <w:rPr>
                <w:color w:val="000000" w:themeColor="text1"/>
                <w:sz w:val="16"/>
                <w:szCs w:val="16"/>
              </w:rPr>
            </w:pPr>
            <w:r w:rsidRPr="00925F26">
              <w:rPr>
                <w:color w:val="000000" w:themeColor="text1"/>
                <w:sz w:val="16"/>
                <w:szCs w:val="16"/>
              </w:rPr>
              <w:t>Периоды/показатели</w:t>
            </w:r>
          </w:p>
        </w:tc>
        <w:tc>
          <w:tcPr>
            <w:tcW w:w="992" w:type="dxa"/>
          </w:tcPr>
          <w:p w14:paraId="2EAED951" w14:textId="77777777" w:rsidR="00104B87" w:rsidRPr="00925F26" w:rsidRDefault="00104B87" w:rsidP="00925F26">
            <w:pPr>
              <w:jc w:val="both"/>
              <w:rPr>
                <w:color w:val="000000" w:themeColor="text1"/>
                <w:sz w:val="16"/>
                <w:szCs w:val="16"/>
              </w:rPr>
            </w:pPr>
            <w:r w:rsidRPr="00925F26">
              <w:rPr>
                <w:color w:val="000000" w:themeColor="text1"/>
                <w:sz w:val="16"/>
                <w:szCs w:val="16"/>
              </w:rPr>
              <w:t>Ед.  из-</w:t>
            </w:r>
          </w:p>
        </w:tc>
        <w:tc>
          <w:tcPr>
            <w:tcW w:w="1134" w:type="dxa"/>
            <w:gridSpan w:val="2"/>
          </w:tcPr>
          <w:p w14:paraId="04D3BDD0"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Отчет  за</w:t>
            </w:r>
            <w:proofErr w:type="gramEnd"/>
          </w:p>
        </w:tc>
        <w:tc>
          <w:tcPr>
            <w:tcW w:w="1418" w:type="dxa"/>
            <w:gridSpan w:val="2"/>
          </w:tcPr>
          <w:p w14:paraId="4A258FAE" w14:textId="77777777" w:rsidR="00104B87" w:rsidRPr="00925F26" w:rsidRDefault="00104B87" w:rsidP="00925F26">
            <w:pPr>
              <w:jc w:val="both"/>
              <w:rPr>
                <w:color w:val="000000" w:themeColor="text1"/>
                <w:sz w:val="16"/>
                <w:szCs w:val="16"/>
              </w:rPr>
            </w:pPr>
            <w:r w:rsidRPr="00925F26">
              <w:rPr>
                <w:color w:val="000000" w:themeColor="text1"/>
                <w:sz w:val="16"/>
                <w:szCs w:val="16"/>
              </w:rPr>
              <w:t>1944 г.</w:t>
            </w:r>
          </w:p>
        </w:tc>
        <w:tc>
          <w:tcPr>
            <w:tcW w:w="1134" w:type="dxa"/>
            <w:gridSpan w:val="2"/>
          </w:tcPr>
          <w:p w14:paraId="1E05EC1E" w14:textId="77777777" w:rsidR="00104B87" w:rsidRPr="00925F26" w:rsidRDefault="00104B87" w:rsidP="00925F26">
            <w:pPr>
              <w:jc w:val="both"/>
              <w:rPr>
                <w:color w:val="000000" w:themeColor="text1"/>
                <w:sz w:val="16"/>
                <w:szCs w:val="16"/>
              </w:rPr>
            </w:pPr>
          </w:p>
        </w:tc>
        <w:tc>
          <w:tcPr>
            <w:tcW w:w="1559" w:type="dxa"/>
            <w:gridSpan w:val="2"/>
          </w:tcPr>
          <w:p w14:paraId="643FEF92"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Отчет </w:t>
            </w:r>
            <w:proofErr w:type="gramStart"/>
            <w:r w:rsidRPr="00925F26">
              <w:rPr>
                <w:color w:val="000000" w:themeColor="text1"/>
                <w:sz w:val="16"/>
                <w:szCs w:val="16"/>
              </w:rPr>
              <w:t>5  в</w:t>
            </w:r>
            <w:proofErr w:type="gramEnd"/>
          </w:p>
        </w:tc>
        <w:tc>
          <w:tcPr>
            <w:tcW w:w="1701" w:type="dxa"/>
            <w:gridSpan w:val="3"/>
          </w:tcPr>
          <w:p w14:paraId="03D6A87B" w14:textId="77777777" w:rsidR="00104B87" w:rsidRPr="00925F26" w:rsidRDefault="00104B87" w:rsidP="00925F26">
            <w:pPr>
              <w:jc w:val="both"/>
              <w:rPr>
                <w:color w:val="000000" w:themeColor="text1"/>
                <w:sz w:val="16"/>
                <w:szCs w:val="16"/>
              </w:rPr>
            </w:pPr>
            <w:r w:rsidRPr="00925F26">
              <w:rPr>
                <w:color w:val="000000" w:themeColor="text1"/>
                <w:sz w:val="16"/>
                <w:szCs w:val="16"/>
              </w:rPr>
              <w:t>за 1944 г. %% к</w:t>
            </w:r>
          </w:p>
        </w:tc>
      </w:tr>
      <w:tr w:rsidR="00104B87" w:rsidRPr="00925F26" w14:paraId="7D064D0D" w14:textId="77777777" w:rsidTr="004C5D62">
        <w:tc>
          <w:tcPr>
            <w:tcW w:w="2822" w:type="dxa"/>
            <w:gridSpan w:val="3"/>
          </w:tcPr>
          <w:p w14:paraId="6B8CE6B8" w14:textId="77777777" w:rsidR="00104B87" w:rsidRPr="00925F26" w:rsidRDefault="00104B87" w:rsidP="00925F26">
            <w:pPr>
              <w:jc w:val="both"/>
              <w:rPr>
                <w:color w:val="000000" w:themeColor="text1"/>
                <w:sz w:val="16"/>
                <w:szCs w:val="16"/>
              </w:rPr>
            </w:pPr>
          </w:p>
        </w:tc>
        <w:tc>
          <w:tcPr>
            <w:tcW w:w="992" w:type="dxa"/>
          </w:tcPr>
          <w:p w14:paraId="177C00FB" w14:textId="77777777" w:rsidR="00104B87" w:rsidRPr="00925F26" w:rsidRDefault="00104B87" w:rsidP="00925F26">
            <w:pPr>
              <w:jc w:val="both"/>
              <w:rPr>
                <w:color w:val="000000" w:themeColor="text1"/>
                <w:sz w:val="16"/>
                <w:szCs w:val="16"/>
              </w:rPr>
            </w:pPr>
            <w:r w:rsidRPr="00925F26">
              <w:rPr>
                <w:color w:val="000000" w:themeColor="text1"/>
                <w:sz w:val="16"/>
                <w:szCs w:val="16"/>
              </w:rPr>
              <w:t>мер.</w:t>
            </w:r>
          </w:p>
        </w:tc>
        <w:tc>
          <w:tcPr>
            <w:tcW w:w="1134" w:type="dxa"/>
            <w:gridSpan w:val="2"/>
          </w:tcPr>
          <w:p w14:paraId="0B3E5276" w14:textId="77777777" w:rsidR="00104B87" w:rsidRPr="00925F26" w:rsidRDefault="00104B87" w:rsidP="00925F26">
            <w:pPr>
              <w:jc w:val="both"/>
              <w:rPr>
                <w:color w:val="000000" w:themeColor="text1"/>
                <w:sz w:val="16"/>
                <w:szCs w:val="16"/>
              </w:rPr>
            </w:pPr>
            <w:r w:rsidRPr="00925F26">
              <w:rPr>
                <w:color w:val="000000" w:themeColor="text1"/>
                <w:sz w:val="16"/>
                <w:szCs w:val="16"/>
              </w:rPr>
              <w:t>1943 г.</w:t>
            </w:r>
          </w:p>
        </w:tc>
        <w:tc>
          <w:tcPr>
            <w:tcW w:w="1418" w:type="dxa"/>
            <w:gridSpan w:val="2"/>
          </w:tcPr>
          <w:p w14:paraId="70EE31F6" w14:textId="77777777" w:rsidR="00104B87" w:rsidRPr="00925F26" w:rsidRDefault="00104B87" w:rsidP="00925F26">
            <w:pPr>
              <w:jc w:val="both"/>
              <w:rPr>
                <w:color w:val="000000" w:themeColor="text1"/>
                <w:sz w:val="16"/>
                <w:szCs w:val="16"/>
              </w:rPr>
            </w:pPr>
            <w:r w:rsidRPr="00925F26">
              <w:rPr>
                <w:color w:val="000000" w:themeColor="text1"/>
                <w:sz w:val="16"/>
                <w:szCs w:val="16"/>
              </w:rPr>
              <w:t>план</w:t>
            </w:r>
          </w:p>
        </w:tc>
        <w:tc>
          <w:tcPr>
            <w:tcW w:w="1134" w:type="dxa"/>
            <w:gridSpan w:val="2"/>
          </w:tcPr>
          <w:p w14:paraId="7CFF93F0" w14:textId="77777777" w:rsidR="00104B87" w:rsidRPr="00925F26" w:rsidRDefault="00104B87" w:rsidP="00925F26">
            <w:pPr>
              <w:jc w:val="both"/>
              <w:rPr>
                <w:color w:val="000000" w:themeColor="text1"/>
                <w:sz w:val="16"/>
                <w:szCs w:val="16"/>
              </w:rPr>
            </w:pPr>
            <w:r w:rsidRPr="00925F26">
              <w:rPr>
                <w:color w:val="000000" w:themeColor="text1"/>
                <w:sz w:val="16"/>
                <w:szCs w:val="16"/>
              </w:rPr>
              <w:t>отчет</w:t>
            </w:r>
          </w:p>
        </w:tc>
        <w:tc>
          <w:tcPr>
            <w:tcW w:w="1559" w:type="dxa"/>
            <w:gridSpan w:val="2"/>
          </w:tcPr>
          <w:p w14:paraId="73DB5BD7" w14:textId="77777777" w:rsidR="00104B87" w:rsidRPr="00925F26" w:rsidRDefault="00104B87" w:rsidP="00925F26">
            <w:pPr>
              <w:jc w:val="both"/>
              <w:rPr>
                <w:color w:val="000000" w:themeColor="text1"/>
                <w:sz w:val="16"/>
                <w:szCs w:val="16"/>
              </w:rPr>
            </w:pPr>
            <w:r w:rsidRPr="00925F26">
              <w:rPr>
                <w:color w:val="000000" w:themeColor="text1"/>
                <w:sz w:val="16"/>
                <w:szCs w:val="16"/>
              </w:rPr>
              <w:t>плану</w:t>
            </w:r>
          </w:p>
        </w:tc>
        <w:tc>
          <w:tcPr>
            <w:tcW w:w="1701" w:type="dxa"/>
            <w:gridSpan w:val="3"/>
          </w:tcPr>
          <w:p w14:paraId="415F3879"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прошлому  году</w:t>
            </w:r>
            <w:proofErr w:type="gramEnd"/>
          </w:p>
        </w:tc>
      </w:tr>
      <w:tr w:rsidR="00104B87" w:rsidRPr="00925F26" w14:paraId="736310D2" w14:textId="77777777" w:rsidTr="004C5D62">
        <w:tc>
          <w:tcPr>
            <w:tcW w:w="2822" w:type="dxa"/>
            <w:gridSpan w:val="3"/>
          </w:tcPr>
          <w:p w14:paraId="75C6D66B" w14:textId="77777777" w:rsidR="00104B87" w:rsidRPr="00925F26" w:rsidRDefault="00104B87" w:rsidP="00925F26">
            <w:pPr>
              <w:jc w:val="both"/>
              <w:rPr>
                <w:color w:val="000000" w:themeColor="text1"/>
                <w:sz w:val="16"/>
                <w:szCs w:val="16"/>
              </w:rPr>
            </w:pPr>
            <w:r w:rsidRPr="00925F26">
              <w:rPr>
                <w:color w:val="000000" w:themeColor="text1"/>
                <w:sz w:val="16"/>
                <w:szCs w:val="16"/>
              </w:rPr>
              <w:t>4. Ремонт самолетов (</w:t>
            </w:r>
            <w:proofErr w:type="gramStart"/>
            <w:r w:rsidRPr="00925F26">
              <w:rPr>
                <w:color w:val="000000" w:themeColor="text1"/>
                <w:sz w:val="16"/>
                <w:szCs w:val="16"/>
              </w:rPr>
              <w:t>ОЭР)  а</w:t>
            </w:r>
            <w:proofErr w:type="gramEnd"/>
            <w:r w:rsidRPr="00925F26">
              <w:rPr>
                <w:color w:val="000000" w:themeColor="text1"/>
                <w:sz w:val="16"/>
                <w:szCs w:val="16"/>
              </w:rPr>
              <w:t xml:space="preserve">) отремонтировано </w:t>
            </w:r>
            <w:proofErr w:type="gramStart"/>
            <w:r w:rsidRPr="00925F26">
              <w:rPr>
                <w:color w:val="000000" w:themeColor="text1"/>
                <w:sz w:val="16"/>
                <w:szCs w:val="16"/>
              </w:rPr>
              <w:t>само- летов</w:t>
            </w:r>
            <w:proofErr w:type="gramEnd"/>
            <w:r w:rsidRPr="00925F26">
              <w:rPr>
                <w:color w:val="000000" w:themeColor="text1"/>
                <w:sz w:val="16"/>
                <w:szCs w:val="16"/>
              </w:rPr>
              <w:t xml:space="preserve"> в счет плана НКАП</w:t>
            </w:r>
          </w:p>
        </w:tc>
        <w:tc>
          <w:tcPr>
            <w:tcW w:w="992" w:type="dxa"/>
          </w:tcPr>
          <w:p w14:paraId="681CB9E2" w14:textId="77777777" w:rsidR="00104B87" w:rsidRPr="00925F26" w:rsidRDefault="00104B87" w:rsidP="00925F26">
            <w:pPr>
              <w:jc w:val="both"/>
              <w:rPr>
                <w:color w:val="000000" w:themeColor="text1"/>
                <w:sz w:val="16"/>
                <w:szCs w:val="16"/>
              </w:rPr>
            </w:pPr>
            <w:r w:rsidRPr="00925F26">
              <w:rPr>
                <w:color w:val="000000" w:themeColor="text1"/>
                <w:sz w:val="16"/>
                <w:szCs w:val="16"/>
              </w:rPr>
              <w:t>•  «</w:t>
            </w:r>
          </w:p>
        </w:tc>
        <w:tc>
          <w:tcPr>
            <w:tcW w:w="1134" w:type="dxa"/>
            <w:gridSpan w:val="2"/>
          </w:tcPr>
          <w:p w14:paraId="31140C69" w14:textId="77777777" w:rsidR="00104B87" w:rsidRPr="00925F26" w:rsidRDefault="00104B87" w:rsidP="00925F26">
            <w:pPr>
              <w:jc w:val="both"/>
              <w:rPr>
                <w:color w:val="000000" w:themeColor="text1"/>
                <w:sz w:val="16"/>
                <w:szCs w:val="16"/>
              </w:rPr>
            </w:pPr>
            <w:r w:rsidRPr="00925F26">
              <w:rPr>
                <w:color w:val="000000" w:themeColor="text1"/>
                <w:sz w:val="16"/>
                <w:szCs w:val="16"/>
              </w:rPr>
              <w:t>685</w:t>
            </w:r>
          </w:p>
        </w:tc>
        <w:tc>
          <w:tcPr>
            <w:tcW w:w="1418" w:type="dxa"/>
            <w:gridSpan w:val="2"/>
          </w:tcPr>
          <w:p w14:paraId="692CF4E7" w14:textId="77777777" w:rsidR="00104B87" w:rsidRPr="00925F26" w:rsidRDefault="00104B87" w:rsidP="00925F26">
            <w:pPr>
              <w:jc w:val="both"/>
              <w:rPr>
                <w:color w:val="000000" w:themeColor="text1"/>
                <w:sz w:val="16"/>
                <w:szCs w:val="16"/>
              </w:rPr>
            </w:pPr>
            <w:r w:rsidRPr="00925F26">
              <w:rPr>
                <w:color w:val="000000" w:themeColor="text1"/>
                <w:sz w:val="16"/>
                <w:szCs w:val="16"/>
              </w:rPr>
              <w:t>435</w:t>
            </w:r>
          </w:p>
        </w:tc>
        <w:tc>
          <w:tcPr>
            <w:tcW w:w="1134" w:type="dxa"/>
            <w:gridSpan w:val="2"/>
          </w:tcPr>
          <w:p w14:paraId="7CBC3D2C" w14:textId="77777777" w:rsidR="00104B87" w:rsidRPr="00925F26" w:rsidRDefault="00104B87" w:rsidP="00925F26">
            <w:pPr>
              <w:jc w:val="both"/>
              <w:rPr>
                <w:color w:val="000000" w:themeColor="text1"/>
                <w:sz w:val="16"/>
                <w:szCs w:val="16"/>
              </w:rPr>
            </w:pPr>
            <w:r w:rsidRPr="00925F26">
              <w:rPr>
                <w:color w:val="000000" w:themeColor="text1"/>
                <w:sz w:val="16"/>
                <w:szCs w:val="16"/>
              </w:rPr>
              <w:t>454</w:t>
            </w:r>
          </w:p>
        </w:tc>
        <w:tc>
          <w:tcPr>
            <w:tcW w:w="1559" w:type="dxa"/>
            <w:gridSpan w:val="2"/>
          </w:tcPr>
          <w:p w14:paraId="5C83B978" w14:textId="77777777" w:rsidR="00104B87" w:rsidRPr="00925F26" w:rsidRDefault="00104B87" w:rsidP="00925F26">
            <w:pPr>
              <w:jc w:val="both"/>
              <w:rPr>
                <w:color w:val="000000" w:themeColor="text1"/>
                <w:sz w:val="16"/>
                <w:szCs w:val="16"/>
              </w:rPr>
            </w:pPr>
            <w:r w:rsidRPr="00925F26">
              <w:rPr>
                <w:color w:val="000000" w:themeColor="text1"/>
                <w:sz w:val="16"/>
                <w:szCs w:val="16"/>
              </w:rPr>
              <w:t>104,4</w:t>
            </w:r>
          </w:p>
        </w:tc>
        <w:tc>
          <w:tcPr>
            <w:tcW w:w="1701" w:type="dxa"/>
            <w:gridSpan w:val="3"/>
          </w:tcPr>
          <w:p w14:paraId="446F0D6E" w14:textId="77777777" w:rsidR="00104B87" w:rsidRPr="00925F26" w:rsidRDefault="00104B87" w:rsidP="00925F26">
            <w:pPr>
              <w:jc w:val="both"/>
              <w:rPr>
                <w:color w:val="000000" w:themeColor="text1"/>
                <w:sz w:val="16"/>
                <w:szCs w:val="16"/>
              </w:rPr>
            </w:pPr>
            <w:r w:rsidRPr="00925F26">
              <w:rPr>
                <w:color w:val="000000" w:themeColor="text1"/>
                <w:sz w:val="16"/>
                <w:szCs w:val="16"/>
              </w:rPr>
              <w:t>66,3</w:t>
            </w:r>
          </w:p>
        </w:tc>
      </w:tr>
      <w:tr w:rsidR="00104B87" w:rsidRPr="00925F26" w14:paraId="18FA080C" w14:textId="77777777" w:rsidTr="004C5D62">
        <w:tc>
          <w:tcPr>
            <w:tcW w:w="2822" w:type="dxa"/>
            <w:gridSpan w:val="3"/>
          </w:tcPr>
          <w:p w14:paraId="3A893CA7" w14:textId="77777777" w:rsidR="00104B87" w:rsidRPr="00925F26" w:rsidRDefault="00104B87" w:rsidP="00925F26">
            <w:pPr>
              <w:jc w:val="both"/>
              <w:rPr>
                <w:color w:val="000000" w:themeColor="text1"/>
                <w:sz w:val="16"/>
                <w:szCs w:val="16"/>
              </w:rPr>
            </w:pPr>
            <w:r w:rsidRPr="00925F26">
              <w:rPr>
                <w:color w:val="000000" w:themeColor="text1"/>
                <w:sz w:val="16"/>
                <w:szCs w:val="16"/>
              </w:rPr>
              <w:t>5. Групповые комплекты запчастей а) к самолету Пе-2 комплект 1 : 10</w:t>
            </w:r>
          </w:p>
        </w:tc>
        <w:tc>
          <w:tcPr>
            <w:tcW w:w="992" w:type="dxa"/>
          </w:tcPr>
          <w:p w14:paraId="3DE8AFF4" w14:textId="77777777" w:rsidR="00104B87" w:rsidRPr="00925F26" w:rsidRDefault="00104B87" w:rsidP="00925F26">
            <w:pPr>
              <w:jc w:val="both"/>
              <w:rPr>
                <w:color w:val="000000" w:themeColor="text1"/>
                <w:sz w:val="16"/>
                <w:szCs w:val="16"/>
              </w:rPr>
            </w:pPr>
            <w:r w:rsidRPr="00925F26">
              <w:rPr>
                <w:color w:val="000000" w:themeColor="text1"/>
                <w:sz w:val="16"/>
                <w:szCs w:val="16"/>
              </w:rPr>
              <w:t>ком.</w:t>
            </w:r>
          </w:p>
        </w:tc>
        <w:tc>
          <w:tcPr>
            <w:tcW w:w="1134" w:type="dxa"/>
            <w:gridSpan w:val="2"/>
          </w:tcPr>
          <w:p w14:paraId="22B302F4" w14:textId="77777777" w:rsidR="00104B87" w:rsidRPr="00925F26" w:rsidRDefault="00104B87" w:rsidP="00925F26">
            <w:pPr>
              <w:jc w:val="both"/>
              <w:rPr>
                <w:color w:val="000000" w:themeColor="text1"/>
                <w:sz w:val="16"/>
                <w:szCs w:val="16"/>
              </w:rPr>
            </w:pPr>
            <w:r w:rsidRPr="00925F26">
              <w:rPr>
                <w:color w:val="000000" w:themeColor="text1"/>
                <w:sz w:val="16"/>
                <w:szCs w:val="16"/>
              </w:rPr>
              <w:t>62</w:t>
            </w:r>
          </w:p>
        </w:tc>
        <w:tc>
          <w:tcPr>
            <w:tcW w:w="1418" w:type="dxa"/>
            <w:gridSpan w:val="2"/>
          </w:tcPr>
          <w:p w14:paraId="4884FFEA" w14:textId="77777777" w:rsidR="00104B87" w:rsidRPr="00925F26" w:rsidRDefault="00104B87" w:rsidP="00925F26">
            <w:pPr>
              <w:jc w:val="both"/>
              <w:rPr>
                <w:color w:val="000000" w:themeColor="text1"/>
                <w:sz w:val="16"/>
                <w:szCs w:val="16"/>
              </w:rPr>
            </w:pPr>
          </w:p>
        </w:tc>
        <w:tc>
          <w:tcPr>
            <w:tcW w:w="1134" w:type="dxa"/>
            <w:gridSpan w:val="2"/>
          </w:tcPr>
          <w:p w14:paraId="315A9378" w14:textId="77777777" w:rsidR="00104B87" w:rsidRPr="00925F26" w:rsidRDefault="00104B87" w:rsidP="00925F26">
            <w:pPr>
              <w:jc w:val="both"/>
              <w:rPr>
                <w:color w:val="000000" w:themeColor="text1"/>
                <w:sz w:val="16"/>
                <w:szCs w:val="16"/>
              </w:rPr>
            </w:pPr>
          </w:p>
        </w:tc>
        <w:tc>
          <w:tcPr>
            <w:tcW w:w="1559" w:type="dxa"/>
            <w:gridSpan w:val="2"/>
          </w:tcPr>
          <w:p w14:paraId="7AD825CD" w14:textId="77777777" w:rsidR="00104B87" w:rsidRPr="00925F26" w:rsidRDefault="00104B87" w:rsidP="00925F26">
            <w:pPr>
              <w:jc w:val="both"/>
              <w:rPr>
                <w:color w:val="000000" w:themeColor="text1"/>
                <w:sz w:val="16"/>
                <w:szCs w:val="16"/>
              </w:rPr>
            </w:pPr>
          </w:p>
        </w:tc>
        <w:tc>
          <w:tcPr>
            <w:tcW w:w="1701" w:type="dxa"/>
            <w:gridSpan w:val="3"/>
          </w:tcPr>
          <w:p w14:paraId="512F270D" w14:textId="77777777" w:rsidR="00104B87" w:rsidRPr="00925F26" w:rsidRDefault="00104B87" w:rsidP="00925F26">
            <w:pPr>
              <w:jc w:val="both"/>
              <w:rPr>
                <w:color w:val="000000" w:themeColor="text1"/>
                <w:sz w:val="16"/>
                <w:szCs w:val="16"/>
              </w:rPr>
            </w:pPr>
          </w:p>
        </w:tc>
      </w:tr>
      <w:tr w:rsidR="00104B87" w:rsidRPr="00925F26" w14:paraId="0078E9CF" w14:textId="77777777" w:rsidTr="004C5D62">
        <w:tc>
          <w:tcPr>
            <w:tcW w:w="2822" w:type="dxa"/>
            <w:gridSpan w:val="3"/>
          </w:tcPr>
          <w:p w14:paraId="4B138488"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1 :</w:t>
            </w:r>
            <w:proofErr w:type="gramEnd"/>
            <w:r w:rsidRPr="00925F26">
              <w:rPr>
                <w:color w:val="000000" w:themeColor="text1"/>
                <w:sz w:val="16"/>
                <w:szCs w:val="16"/>
              </w:rPr>
              <w:t xml:space="preserve"> 20</w:t>
            </w:r>
          </w:p>
        </w:tc>
        <w:tc>
          <w:tcPr>
            <w:tcW w:w="992" w:type="dxa"/>
          </w:tcPr>
          <w:p w14:paraId="46D03CE2"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3DBC7E06" w14:textId="77777777" w:rsidR="00104B87" w:rsidRPr="00925F26" w:rsidRDefault="00104B87" w:rsidP="00925F26">
            <w:pPr>
              <w:jc w:val="both"/>
              <w:rPr>
                <w:color w:val="000000" w:themeColor="text1"/>
                <w:sz w:val="16"/>
                <w:szCs w:val="16"/>
              </w:rPr>
            </w:pPr>
            <w:r w:rsidRPr="00925F26">
              <w:rPr>
                <w:color w:val="000000" w:themeColor="text1"/>
                <w:sz w:val="16"/>
                <w:szCs w:val="16"/>
              </w:rPr>
              <w:t>91</w:t>
            </w:r>
          </w:p>
        </w:tc>
        <w:tc>
          <w:tcPr>
            <w:tcW w:w="1418" w:type="dxa"/>
            <w:gridSpan w:val="2"/>
          </w:tcPr>
          <w:p w14:paraId="033B7072" w14:textId="77777777" w:rsidR="00104B87" w:rsidRPr="00925F26" w:rsidRDefault="00104B87" w:rsidP="00925F26">
            <w:pPr>
              <w:jc w:val="both"/>
              <w:rPr>
                <w:color w:val="000000" w:themeColor="text1"/>
                <w:sz w:val="16"/>
                <w:szCs w:val="16"/>
              </w:rPr>
            </w:pPr>
            <w:r w:rsidRPr="00925F26">
              <w:rPr>
                <w:color w:val="000000" w:themeColor="text1"/>
                <w:sz w:val="16"/>
                <w:szCs w:val="16"/>
              </w:rPr>
              <w:t>145</w:t>
            </w:r>
          </w:p>
        </w:tc>
        <w:tc>
          <w:tcPr>
            <w:tcW w:w="1134" w:type="dxa"/>
            <w:gridSpan w:val="2"/>
          </w:tcPr>
          <w:p w14:paraId="1A5564BD" w14:textId="77777777" w:rsidR="00104B87" w:rsidRPr="00925F26" w:rsidRDefault="00104B87" w:rsidP="00925F26">
            <w:pPr>
              <w:jc w:val="both"/>
              <w:rPr>
                <w:color w:val="000000" w:themeColor="text1"/>
                <w:sz w:val="16"/>
                <w:szCs w:val="16"/>
              </w:rPr>
            </w:pPr>
            <w:r w:rsidRPr="00925F26">
              <w:rPr>
                <w:color w:val="000000" w:themeColor="text1"/>
                <w:sz w:val="16"/>
                <w:szCs w:val="16"/>
              </w:rPr>
              <w:t>150</w:t>
            </w:r>
          </w:p>
        </w:tc>
        <w:tc>
          <w:tcPr>
            <w:tcW w:w="1559" w:type="dxa"/>
            <w:gridSpan w:val="2"/>
          </w:tcPr>
          <w:p w14:paraId="5906574A" w14:textId="77777777" w:rsidR="00104B87" w:rsidRPr="00925F26" w:rsidRDefault="00104B87" w:rsidP="00925F26">
            <w:pPr>
              <w:jc w:val="both"/>
              <w:rPr>
                <w:color w:val="000000" w:themeColor="text1"/>
                <w:sz w:val="16"/>
                <w:szCs w:val="16"/>
              </w:rPr>
            </w:pPr>
            <w:r w:rsidRPr="00925F26">
              <w:rPr>
                <w:color w:val="000000" w:themeColor="text1"/>
                <w:sz w:val="16"/>
                <w:szCs w:val="16"/>
              </w:rPr>
              <w:t>103,4</w:t>
            </w:r>
          </w:p>
        </w:tc>
        <w:tc>
          <w:tcPr>
            <w:tcW w:w="1701" w:type="dxa"/>
            <w:gridSpan w:val="3"/>
          </w:tcPr>
          <w:p w14:paraId="634F9E4D" w14:textId="77777777" w:rsidR="00104B87" w:rsidRPr="00925F26" w:rsidRDefault="00104B87" w:rsidP="00925F26">
            <w:pPr>
              <w:jc w:val="both"/>
              <w:rPr>
                <w:color w:val="000000" w:themeColor="text1"/>
                <w:sz w:val="16"/>
                <w:szCs w:val="16"/>
              </w:rPr>
            </w:pPr>
            <w:r w:rsidRPr="00925F26">
              <w:rPr>
                <w:color w:val="000000" w:themeColor="text1"/>
                <w:sz w:val="16"/>
                <w:szCs w:val="16"/>
              </w:rPr>
              <w:t>165,0</w:t>
            </w:r>
          </w:p>
        </w:tc>
      </w:tr>
      <w:tr w:rsidR="00104B87" w:rsidRPr="00925F26" w14:paraId="65AA7898" w14:textId="77777777" w:rsidTr="004C5D62">
        <w:tc>
          <w:tcPr>
            <w:tcW w:w="2822" w:type="dxa"/>
            <w:gridSpan w:val="3"/>
          </w:tcPr>
          <w:p w14:paraId="39AE6B03"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1 :</w:t>
            </w:r>
            <w:proofErr w:type="gramEnd"/>
            <w:r w:rsidRPr="00925F26">
              <w:rPr>
                <w:color w:val="000000" w:themeColor="text1"/>
                <w:sz w:val="16"/>
                <w:szCs w:val="16"/>
              </w:rPr>
              <w:t xml:space="preserve"> 30</w:t>
            </w:r>
          </w:p>
        </w:tc>
        <w:tc>
          <w:tcPr>
            <w:tcW w:w="992" w:type="dxa"/>
          </w:tcPr>
          <w:p w14:paraId="734C307F"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4CED7EB5" w14:textId="77777777" w:rsidR="00104B87" w:rsidRPr="00925F26" w:rsidRDefault="00104B87" w:rsidP="00925F26">
            <w:pPr>
              <w:jc w:val="both"/>
              <w:rPr>
                <w:color w:val="000000" w:themeColor="text1"/>
                <w:sz w:val="16"/>
                <w:szCs w:val="16"/>
              </w:rPr>
            </w:pPr>
            <w:r w:rsidRPr="00925F26">
              <w:rPr>
                <w:color w:val="000000" w:themeColor="text1"/>
                <w:sz w:val="16"/>
                <w:szCs w:val="16"/>
              </w:rPr>
              <w:t>21</w:t>
            </w:r>
          </w:p>
        </w:tc>
        <w:tc>
          <w:tcPr>
            <w:tcW w:w="1418" w:type="dxa"/>
            <w:gridSpan w:val="2"/>
          </w:tcPr>
          <w:p w14:paraId="4E22C849"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276A6CE4"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559" w:type="dxa"/>
            <w:gridSpan w:val="2"/>
          </w:tcPr>
          <w:p w14:paraId="38E02E89"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701" w:type="dxa"/>
            <w:gridSpan w:val="3"/>
          </w:tcPr>
          <w:p w14:paraId="0B661118"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r>
      <w:tr w:rsidR="00104B87" w:rsidRPr="00925F26" w14:paraId="7E8DB223" w14:textId="77777777" w:rsidTr="004C5D62">
        <w:tc>
          <w:tcPr>
            <w:tcW w:w="2822" w:type="dxa"/>
            <w:gridSpan w:val="3"/>
          </w:tcPr>
          <w:p w14:paraId="57E145DF"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1 :</w:t>
            </w:r>
            <w:proofErr w:type="gramEnd"/>
            <w:r w:rsidRPr="00925F26">
              <w:rPr>
                <w:color w:val="000000" w:themeColor="text1"/>
                <w:sz w:val="16"/>
                <w:szCs w:val="16"/>
              </w:rPr>
              <w:t xml:space="preserve"> 100</w:t>
            </w:r>
          </w:p>
        </w:tc>
        <w:tc>
          <w:tcPr>
            <w:tcW w:w="992" w:type="dxa"/>
          </w:tcPr>
          <w:p w14:paraId="78425001"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230427F5" w14:textId="77777777" w:rsidR="00104B87" w:rsidRPr="00925F26" w:rsidRDefault="00104B87" w:rsidP="00925F26">
            <w:pPr>
              <w:jc w:val="both"/>
              <w:rPr>
                <w:color w:val="000000" w:themeColor="text1"/>
                <w:sz w:val="16"/>
                <w:szCs w:val="16"/>
              </w:rPr>
            </w:pPr>
            <w:r w:rsidRPr="00925F26">
              <w:rPr>
                <w:color w:val="000000" w:themeColor="text1"/>
                <w:sz w:val="16"/>
                <w:szCs w:val="16"/>
              </w:rPr>
              <w:t>6</w:t>
            </w:r>
          </w:p>
        </w:tc>
        <w:tc>
          <w:tcPr>
            <w:tcW w:w="1418" w:type="dxa"/>
            <w:gridSpan w:val="2"/>
          </w:tcPr>
          <w:p w14:paraId="717DA390"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7BF8C90A"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559" w:type="dxa"/>
            <w:gridSpan w:val="2"/>
          </w:tcPr>
          <w:p w14:paraId="12457D0C"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701" w:type="dxa"/>
            <w:gridSpan w:val="3"/>
          </w:tcPr>
          <w:p w14:paraId="0EDAE4F1"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r>
      <w:tr w:rsidR="00104B87" w:rsidRPr="00925F26" w14:paraId="63652C78" w14:textId="77777777" w:rsidTr="004C5D62">
        <w:tc>
          <w:tcPr>
            <w:tcW w:w="2822" w:type="dxa"/>
            <w:gridSpan w:val="3"/>
          </w:tcPr>
          <w:p w14:paraId="1CF7D896" w14:textId="77777777" w:rsidR="00104B87" w:rsidRPr="00925F26" w:rsidRDefault="00104B87" w:rsidP="00925F26">
            <w:pPr>
              <w:jc w:val="both"/>
              <w:rPr>
                <w:color w:val="000000" w:themeColor="text1"/>
                <w:sz w:val="16"/>
                <w:szCs w:val="16"/>
              </w:rPr>
            </w:pPr>
            <w:r w:rsidRPr="00925F26">
              <w:rPr>
                <w:color w:val="000000" w:themeColor="text1"/>
                <w:sz w:val="16"/>
                <w:szCs w:val="16"/>
              </w:rPr>
              <w:t>б) к самолету Пе-3 комплект 1 : 20</w:t>
            </w:r>
          </w:p>
        </w:tc>
        <w:tc>
          <w:tcPr>
            <w:tcW w:w="992" w:type="dxa"/>
          </w:tcPr>
          <w:p w14:paraId="6B3CAD4F"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11D1A018"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418" w:type="dxa"/>
            <w:gridSpan w:val="2"/>
          </w:tcPr>
          <w:p w14:paraId="31F77DE1" w14:textId="77777777" w:rsidR="00104B87" w:rsidRPr="00925F26" w:rsidRDefault="00104B87" w:rsidP="00925F26">
            <w:pPr>
              <w:jc w:val="both"/>
              <w:rPr>
                <w:color w:val="000000" w:themeColor="text1"/>
                <w:sz w:val="16"/>
                <w:szCs w:val="16"/>
              </w:rPr>
            </w:pPr>
            <w:r w:rsidRPr="00925F26">
              <w:rPr>
                <w:color w:val="000000" w:themeColor="text1"/>
                <w:sz w:val="16"/>
                <w:szCs w:val="16"/>
              </w:rPr>
              <w:t>3</w:t>
            </w:r>
          </w:p>
        </w:tc>
        <w:tc>
          <w:tcPr>
            <w:tcW w:w="1134" w:type="dxa"/>
            <w:gridSpan w:val="2"/>
          </w:tcPr>
          <w:p w14:paraId="7EA4ED50"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559" w:type="dxa"/>
            <w:gridSpan w:val="2"/>
          </w:tcPr>
          <w:p w14:paraId="18310855"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701" w:type="dxa"/>
            <w:gridSpan w:val="3"/>
          </w:tcPr>
          <w:p w14:paraId="2C195882" w14:textId="77777777" w:rsidR="00104B87" w:rsidRPr="00925F26" w:rsidRDefault="00104B87" w:rsidP="00925F26">
            <w:pPr>
              <w:jc w:val="both"/>
              <w:rPr>
                <w:color w:val="000000" w:themeColor="text1"/>
                <w:sz w:val="16"/>
                <w:szCs w:val="16"/>
              </w:rPr>
            </w:pPr>
          </w:p>
        </w:tc>
      </w:tr>
      <w:tr w:rsidR="00104B87" w:rsidRPr="00925F26" w14:paraId="5DDAD9CD" w14:textId="77777777" w:rsidTr="004C5D62">
        <w:tc>
          <w:tcPr>
            <w:tcW w:w="2822" w:type="dxa"/>
            <w:gridSpan w:val="3"/>
          </w:tcPr>
          <w:p w14:paraId="3B67EF1B" w14:textId="77777777" w:rsidR="00104B87" w:rsidRPr="00925F26" w:rsidRDefault="00104B87" w:rsidP="00925F26">
            <w:pPr>
              <w:jc w:val="both"/>
              <w:rPr>
                <w:color w:val="000000" w:themeColor="text1"/>
                <w:sz w:val="16"/>
                <w:szCs w:val="16"/>
              </w:rPr>
            </w:pPr>
            <w:r w:rsidRPr="00925F26">
              <w:rPr>
                <w:color w:val="000000" w:themeColor="text1"/>
                <w:sz w:val="16"/>
                <w:szCs w:val="16"/>
              </w:rPr>
              <w:t>в) к самолету Пе-8 комплект 1 : 10</w:t>
            </w:r>
          </w:p>
        </w:tc>
        <w:tc>
          <w:tcPr>
            <w:tcW w:w="992" w:type="dxa"/>
          </w:tcPr>
          <w:p w14:paraId="1D4CADC9"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21B3BCBB" w14:textId="77777777" w:rsidR="00104B87" w:rsidRPr="00925F26" w:rsidRDefault="00104B87" w:rsidP="00925F26">
            <w:pPr>
              <w:jc w:val="both"/>
              <w:rPr>
                <w:color w:val="000000" w:themeColor="text1"/>
                <w:sz w:val="16"/>
                <w:szCs w:val="16"/>
              </w:rPr>
            </w:pPr>
            <w:r w:rsidRPr="00925F26">
              <w:rPr>
                <w:color w:val="000000" w:themeColor="text1"/>
                <w:sz w:val="16"/>
                <w:szCs w:val="16"/>
              </w:rPr>
              <w:t>3</w:t>
            </w:r>
          </w:p>
        </w:tc>
        <w:tc>
          <w:tcPr>
            <w:tcW w:w="1418" w:type="dxa"/>
            <w:gridSpan w:val="2"/>
          </w:tcPr>
          <w:p w14:paraId="075C1B11"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134" w:type="dxa"/>
            <w:gridSpan w:val="2"/>
          </w:tcPr>
          <w:p w14:paraId="73871970" w14:textId="77777777" w:rsidR="00104B87" w:rsidRPr="00925F26" w:rsidRDefault="00104B87" w:rsidP="00925F26">
            <w:pPr>
              <w:jc w:val="both"/>
              <w:rPr>
                <w:color w:val="000000" w:themeColor="text1"/>
                <w:sz w:val="16"/>
                <w:szCs w:val="16"/>
              </w:rPr>
            </w:pPr>
            <w:r w:rsidRPr="00925F26">
              <w:rPr>
                <w:color w:val="000000" w:themeColor="text1"/>
                <w:sz w:val="16"/>
                <w:szCs w:val="16"/>
              </w:rPr>
              <w:t>2</w:t>
            </w:r>
          </w:p>
        </w:tc>
        <w:tc>
          <w:tcPr>
            <w:tcW w:w="1559" w:type="dxa"/>
            <w:gridSpan w:val="2"/>
          </w:tcPr>
          <w:p w14:paraId="20E7DBB8"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1701" w:type="dxa"/>
            <w:gridSpan w:val="3"/>
          </w:tcPr>
          <w:p w14:paraId="79E4E966" w14:textId="77777777" w:rsidR="00104B87" w:rsidRPr="00925F26" w:rsidRDefault="00104B87" w:rsidP="00925F26">
            <w:pPr>
              <w:jc w:val="both"/>
              <w:rPr>
                <w:color w:val="000000" w:themeColor="text1"/>
                <w:sz w:val="16"/>
                <w:szCs w:val="16"/>
              </w:rPr>
            </w:pPr>
            <w:r w:rsidRPr="00925F26">
              <w:rPr>
                <w:color w:val="000000" w:themeColor="text1"/>
                <w:sz w:val="16"/>
                <w:szCs w:val="16"/>
              </w:rPr>
              <w:t>66,7 [il1</w:t>
            </w:r>
          </w:p>
        </w:tc>
      </w:tr>
    </w:tbl>
    <w:p w14:paraId="2FE26F1B" w14:textId="77777777" w:rsidR="00104B87" w:rsidRPr="00925F26" w:rsidRDefault="00104B87" w:rsidP="00925F26">
      <w:pPr>
        <w:jc w:val="both"/>
        <w:rPr>
          <w:color w:val="000000" w:themeColor="text1"/>
          <w:sz w:val="16"/>
          <w:szCs w:val="16"/>
        </w:rPr>
      </w:pPr>
      <w:r w:rsidRPr="00925F26">
        <w:rPr>
          <w:color w:val="000000" w:themeColor="text1"/>
          <w:sz w:val="16"/>
          <w:szCs w:val="16"/>
        </w:rPr>
        <w:t>Ремонт самолетов в воинских частях</w:t>
      </w:r>
    </w:p>
    <w:p w14:paraId="1CCD2C49" w14:textId="77777777" w:rsidR="00104B87" w:rsidRPr="00925F26" w:rsidRDefault="00104B87" w:rsidP="00925F26">
      <w:pPr>
        <w:jc w:val="both"/>
        <w:rPr>
          <w:color w:val="000000" w:themeColor="text1"/>
          <w:sz w:val="16"/>
          <w:szCs w:val="16"/>
        </w:rPr>
      </w:pPr>
      <w:r w:rsidRPr="00925F26">
        <w:rPr>
          <w:color w:val="000000" w:themeColor="text1"/>
          <w:sz w:val="16"/>
          <w:szCs w:val="16"/>
        </w:rPr>
        <w:t>1. Ремонт</w:t>
      </w:r>
    </w:p>
    <w:p w14:paraId="0628BF52" w14:textId="77777777" w:rsidR="00104B87" w:rsidRPr="00925F26" w:rsidRDefault="00104B87" w:rsidP="00925F26">
      <w:pPr>
        <w:jc w:val="both"/>
        <w:rPr>
          <w:color w:val="000000" w:themeColor="text1"/>
          <w:sz w:val="16"/>
          <w:szCs w:val="16"/>
        </w:rPr>
      </w:pPr>
      <w:r w:rsidRPr="00925F26">
        <w:rPr>
          <w:color w:val="000000" w:themeColor="text1"/>
          <w:sz w:val="16"/>
          <w:szCs w:val="16"/>
        </w:rPr>
        <w:t>В отчетном году ремонт самолетов в воинских частях производился преимущественно по графикам ГКО.</w:t>
      </w:r>
    </w:p>
    <w:p w14:paraId="64405540" w14:textId="77777777" w:rsidR="00104B87" w:rsidRPr="00925F26" w:rsidRDefault="00104B87" w:rsidP="00925F26">
      <w:pPr>
        <w:jc w:val="both"/>
        <w:rPr>
          <w:color w:val="000000" w:themeColor="text1"/>
          <w:sz w:val="16"/>
          <w:szCs w:val="16"/>
        </w:rPr>
      </w:pPr>
      <w:r w:rsidRPr="00925F26">
        <w:rPr>
          <w:color w:val="000000" w:themeColor="text1"/>
          <w:sz w:val="16"/>
          <w:szCs w:val="16"/>
        </w:rPr>
        <w:t>Ремонт производился как самолетов собственного производства, так и других отечественных и иностранных машин.</w:t>
      </w:r>
    </w:p>
    <w:p w14:paraId="13135564" w14:textId="77777777" w:rsidR="00104B87" w:rsidRPr="00925F26" w:rsidRDefault="00104B87" w:rsidP="00925F26">
      <w:pPr>
        <w:jc w:val="both"/>
        <w:rPr>
          <w:color w:val="000000" w:themeColor="text1"/>
          <w:sz w:val="16"/>
          <w:szCs w:val="16"/>
        </w:rPr>
      </w:pPr>
      <w:r w:rsidRPr="00925F26">
        <w:rPr>
          <w:color w:val="000000" w:themeColor="text1"/>
          <w:sz w:val="16"/>
          <w:szCs w:val="16"/>
        </w:rPr>
        <w:t>Весь ремонт, производимый по графику ГКО, обеспечивался заводом материалами, запчастями и некоторыми видами готовых изделий заводов-смежников.</w:t>
      </w:r>
    </w:p>
    <w:p w14:paraId="67BF8856" w14:textId="77777777" w:rsidR="00104B87" w:rsidRPr="00925F26" w:rsidRDefault="00104B87" w:rsidP="00925F26">
      <w:pPr>
        <w:jc w:val="both"/>
        <w:rPr>
          <w:color w:val="000000" w:themeColor="text1"/>
          <w:sz w:val="16"/>
          <w:szCs w:val="16"/>
        </w:rPr>
      </w:pPr>
      <w:r w:rsidRPr="00925F26">
        <w:rPr>
          <w:color w:val="000000" w:themeColor="text1"/>
          <w:sz w:val="16"/>
          <w:szCs w:val="16"/>
        </w:rPr>
        <w:t>Выполнение графика ГКО и типы отремонтированных машин приведены в следующей таблице:</w:t>
      </w:r>
    </w:p>
    <w:tbl>
      <w:tblPr>
        <w:tblStyle w:val="affc"/>
        <w:tblW w:w="0" w:type="auto"/>
        <w:tblInd w:w="150" w:type="dxa"/>
        <w:tblLook w:val="04A0" w:firstRow="1" w:lastRow="0" w:firstColumn="1" w:lastColumn="0" w:noHBand="0" w:noVBand="1"/>
      </w:tblPr>
      <w:tblGrid>
        <w:gridCol w:w="1066"/>
        <w:gridCol w:w="993"/>
        <w:gridCol w:w="850"/>
        <w:gridCol w:w="729"/>
        <w:gridCol w:w="916"/>
        <w:gridCol w:w="916"/>
        <w:gridCol w:w="916"/>
        <w:gridCol w:w="916"/>
        <w:gridCol w:w="916"/>
      </w:tblGrid>
      <w:tr w:rsidR="00104B87" w:rsidRPr="00925F26" w14:paraId="32C167EF" w14:textId="77777777" w:rsidTr="004C5D62">
        <w:tc>
          <w:tcPr>
            <w:tcW w:w="979" w:type="dxa"/>
          </w:tcPr>
          <w:p w14:paraId="39DE2F1F" w14:textId="77777777" w:rsidR="00104B87" w:rsidRPr="00925F26" w:rsidRDefault="00104B87" w:rsidP="00925F26">
            <w:pPr>
              <w:jc w:val="both"/>
              <w:rPr>
                <w:color w:val="000000" w:themeColor="text1"/>
                <w:sz w:val="16"/>
                <w:szCs w:val="16"/>
              </w:rPr>
            </w:pPr>
            <w:r w:rsidRPr="00925F26">
              <w:rPr>
                <w:color w:val="000000" w:themeColor="text1"/>
                <w:sz w:val="16"/>
                <w:szCs w:val="16"/>
              </w:rPr>
              <w:t>Типы машин Виды ремонта</w:t>
            </w:r>
          </w:p>
        </w:tc>
        <w:tc>
          <w:tcPr>
            <w:tcW w:w="993" w:type="dxa"/>
          </w:tcPr>
          <w:p w14:paraId="1BC296F9" w14:textId="77777777" w:rsidR="00104B87" w:rsidRPr="00925F26" w:rsidRDefault="00104B87" w:rsidP="00925F26">
            <w:pPr>
              <w:jc w:val="both"/>
              <w:rPr>
                <w:color w:val="000000" w:themeColor="text1"/>
                <w:sz w:val="16"/>
                <w:szCs w:val="16"/>
              </w:rPr>
            </w:pPr>
            <w:r w:rsidRPr="00925F26">
              <w:rPr>
                <w:color w:val="000000" w:themeColor="text1"/>
                <w:sz w:val="16"/>
                <w:szCs w:val="16"/>
              </w:rPr>
              <w:t>Пе-2</w:t>
            </w:r>
          </w:p>
        </w:tc>
        <w:tc>
          <w:tcPr>
            <w:tcW w:w="850" w:type="dxa"/>
          </w:tcPr>
          <w:p w14:paraId="132698B7" w14:textId="77777777" w:rsidR="00104B87" w:rsidRPr="00925F26" w:rsidRDefault="00104B87" w:rsidP="00925F26">
            <w:pPr>
              <w:jc w:val="both"/>
              <w:rPr>
                <w:color w:val="000000" w:themeColor="text1"/>
                <w:sz w:val="16"/>
                <w:szCs w:val="16"/>
              </w:rPr>
            </w:pPr>
            <w:r w:rsidRPr="00925F26">
              <w:rPr>
                <w:color w:val="000000" w:themeColor="text1"/>
                <w:sz w:val="16"/>
                <w:szCs w:val="16"/>
              </w:rPr>
              <w:t>Пе-8</w:t>
            </w:r>
          </w:p>
        </w:tc>
        <w:tc>
          <w:tcPr>
            <w:tcW w:w="729" w:type="dxa"/>
          </w:tcPr>
          <w:p w14:paraId="4ABD582E" w14:textId="77777777" w:rsidR="00104B87" w:rsidRPr="00925F26" w:rsidRDefault="00104B87" w:rsidP="00925F26">
            <w:pPr>
              <w:jc w:val="both"/>
              <w:rPr>
                <w:color w:val="000000" w:themeColor="text1"/>
                <w:sz w:val="16"/>
                <w:szCs w:val="16"/>
              </w:rPr>
            </w:pPr>
            <w:r w:rsidRPr="00925F26">
              <w:rPr>
                <w:color w:val="000000" w:themeColor="text1"/>
                <w:sz w:val="16"/>
                <w:szCs w:val="16"/>
              </w:rPr>
              <w:t>СБ</w:t>
            </w:r>
          </w:p>
        </w:tc>
        <w:tc>
          <w:tcPr>
            <w:tcW w:w="916" w:type="dxa"/>
          </w:tcPr>
          <w:p w14:paraId="5CECC349"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Разные  отече-  ствен-  ные</w:t>
            </w:r>
            <w:proofErr w:type="gramEnd"/>
          </w:p>
        </w:tc>
        <w:tc>
          <w:tcPr>
            <w:tcW w:w="916" w:type="dxa"/>
          </w:tcPr>
          <w:p w14:paraId="020CBAEA"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Разные  иност-  ранные</w:t>
            </w:r>
            <w:proofErr w:type="gramEnd"/>
          </w:p>
        </w:tc>
        <w:tc>
          <w:tcPr>
            <w:tcW w:w="916" w:type="dxa"/>
          </w:tcPr>
          <w:p w14:paraId="3D6B4BFE"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Всего  отре-  монти-  ровано</w:t>
            </w:r>
            <w:proofErr w:type="gramEnd"/>
          </w:p>
        </w:tc>
        <w:tc>
          <w:tcPr>
            <w:tcW w:w="916" w:type="dxa"/>
          </w:tcPr>
          <w:p w14:paraId="584F36D3" w14:textId="77777777" w:rsidR="00104B87" w:rsidRPr="00925F26" w:rsidRDefault="00104B87" w:rsidP="00925F26">
            <w:pPr>
              <w:jc w:val="both"/>
              <w:rPr>
                <w:color w:val="000000" w:themeColor="text1"/>
                <w:sz w:val="16"/>
                <w:szCs w:val="16"/>
              </w:rPr>
            </w:pPr>
            <w:r w:rsidRPr="00925F26">
              <w:rPr>
                <w:color w:val="000000" w:themeColor="text1"/>
                <w:sz w:val="16"/>
                <w:szCs w:val="16"/>
              </w:rPr>
              <w:t>Всего задано по гра- фику ГКО</w:t>
            </w:r>
          </w:p>
        </w:tc>
        <w:tc>
          <w:tcPr>
            <w:tcW w:w="916" w:type="dxa"/>
          </w:tcPr>
          <w:p w14:paraId="71F72E8A"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о,  "о  выпол-  нения</w:t>
            </w:r>
            <w:proofErr w:type="gramEnd"/>
            <w:r w:rsidRPr="00925F26">
              <w:rPr>
                <w:color w:val="000000" w:themeColor="text1"/>
                <w:sz w:val="16"/>
                <w:szCs w:val="16"/>
              </w:rPr>
              <w:t xml:space="preserve">  графика</w:t>
            </w:r>
          </w:p>
        </w:tc>
      </w:tr>
      <w:tr w:rsidR="00104B87" w:rsidRPr="00925F26" w14:paraId="09308D51" w14:textId="77777777" w:rsidTr="004C5D62">
        <w:tc>
          <w:tcPr>
            <w:tcW w:w="979" w:type="dxa"/>
          </w:tcPr>
          <w:p w14:paraId="40BD02C8" w14:textId="77777777" w:rsidR="00104B87" w:rsidRPr="00925F26" w:rsidRDefault="00104B87" w:rsidP="00925F26">
            <w:pPr>
              <w:jc w:val="both"/>
              <w:rPr>
                <w:color w:val="000000" w:themeColor="text1"/>
                <w:sz w:val="16"/>
                <w:szCs w:val="16"/>
              </w:rPr>
            </w:pPr>
            <w:r w:rsidRPr="00925F26">
              <w:rPr>
                <w:color w:val="000000" w:themeColor="text1"/>
                <w:sz w:val="16"/>
                <w:szCs w:val="16"/>
              </w:rPr>
              <w:lastRenderedPageBreak/>
              <w:t>Восстанови</w:t>
            </w:r>
            <w:proofErr w:type="gramStart"/>
            <w:r w:rsidRPr="00925F26">
              <w:rPr>
                <w:color w:val="000000" w:themeColor="text1"/>
                <w:sz w:val="16"/>
                <w:szCs w:val="16"/>
              </w:rPr>
              <w:t>-  тельный</w:t>
            </w:r>
            <w:proofErr w:type="gramEnd"/>
          </w:p>
        </w:tc>
        <w:tc>
          <w:tcPr>
            <w:tcW w:w="993" w:type="dxa"/>
          </w:tcPr>
          <w:p w14:paraId="2E208D05" w14:textId="77777777" w:rsidR="00104B87" w:rsidRPr="00925F26" w:rsidRDefault="00104B87" w:rsidP="00925F26">
            <w:pPr>
              <w:jc w:val="both"/>
              <w:rPr>
                <w:color w:val="000000" w:themeColor="text1"/>
                <w:sz w:val="16"/>
                <w:szCs w:val="16"/>
              </w:rPr>
            </w:pPr>
            <w:r w:rsidRPr="00925F26">
              <w:rPr>
                <w:color w:val="000000" w:themeColor="text1"/>
                <w:sz w:val="16"/>
                <w:szCs w:val="16"/>
              </w:rPr>
              <w:t>14</w:t>
            </w:r>
          </w:p>
        </w:tc>
        <w:tc>
          <w:tcPr>
            <w:tcW w:w="850" w:type="dxa"/>
          </w:tcPr>
          <w:p w14:paraId="31CED4E8" w14:textId="77777777" w:rsidR="00104B87" w:rsidRPr="00925F26" w:rsidRDefault="00104B87" w:rsidP="00925F26">
            <w:pPr>
              <w:jc w:val="both"/>
              <w:rPr>
                <w:color w:val="000000" w:themeColor="text1"/>
                <w:sz w:val="16"/>
                <w:szCs w:val="16"/>
              </w:rPr>
            </w:pPr>
            <w:r w:rsidRPr="00925F26">
              <w:rPr>
                <w:color w:val="000000" w:themeColor="text1"/>
                <w:sz w:val="16"/>
                <w:szCs w:val="16"/>
              </w:rPr>
              <w:t>1</w:t>
            </w:r>
          </w:p>
        </w:tc>
        <w:tc>
          <w:tcPr>
            <w:tcW w:w="729" w:type="dxa"/>
          </w:tcPr>
          <w:p w14:paraId="66CA84D2"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916" w:type="dxa"/>
          </w:tcPr>
          <w:p w14:paraId="02566381" w14:textId="77777777" w:rsidR="00104B87" w:rsidRPr="00925F26" w:rsidRDefault="00104B87" w:rsidP="00925F26">
            <w:pPr>
              <w:jc w:val="both"/>
              <w:rPr>
                <w:color w:val="000000" w:themeColor="text1"/>
                <w:sz w:val="16"/>
                <w:szCs w:val="16"/>
              </w:rPr>
            </w:pPr>
            <w:r w:rsidRPr="00925F26">
              <w:rPr>
                <w:color w:val="000000" w:themeColor="text1"/>
                <w:sz w:val="16"/>
                <w:szCs w:val="16"/>
              </w:rPr>
              <w:t>4</w:t>
            </w:r>
          </w:p>
        </w:tc>
        <w:tc>
          <w:tcPr>
            <w:tcW w:w="916" w:type="dxa"/>
          </w:tcPr>
          <w:p w14:paraId="4733FEF7" w14:textId="77777777" w:rsidR="00104B87" w:rsidRPr="00925F26" w:rsidRDefault="00104B87" w:rsidP="00925F26">
            <w:pPr>
              <w:jc w:val="both"/>
              <w:rPr>
                <w:color w:val="000000" w:themeColor="text1"/>
                <w:sz w:val="16"/>
                <w:szCs w:val="16"/>
              </w:rPr>
            </w:pPr>
          </w:p>
        </w:tc>
        <w:tc>
          <w:tcPr>
            <w:tcW w:w="916" w:type="dxa"/>
          </w:tcPr>
          <w:p w14:paraId="30C91EED" w14:textId="77777777" w:rsidR="00104B87" w:rsidRPr="00925F26" w:rsidRDefault="00104B87" w:rsidP="00925F26">
            <w:pPr>
              <w:jc w:val="both"/>
              <w:rPr>
                <w:color w:val="000000" w:themeColor="text1"/>
                <w:sz w:val="16"/>
                <w:szCs w:val="16"/>
              </w:rPr>
            </w:pPr>
            <w:r w:rsidRPr="00925F26">
              <w:rPr>
                <w:color w:val="000000" w:themeColor="text1"/>
                <w:sz w:val="16"/>
                <w:szCs w:val="16"/>
              </w:rPr>
              <w:t>19</w:t>
            </w:r>
          </w:p>
        </w:tc>
        <w:tc>
          <w:tcPr>
            <w:tcW w:w="916" w:type="dxa"/>
          </w:tcPr>
          <w:p w14:paraId="2EB448BC" w14:textId="77777777" w:rsidR="00104B87" w:rsidRPr="00925F26" w:rsidRDefault="00104B87" w:rsidP="00925F26">
            <w:pPr>
              <w:jc w:val="both"/>
              <w:rPr>
                <w:color w:val="000000" w:themeColor="text1"/>
                <w:sz w:val="16"/>
                <w:szCs w:val="16"/>
              </w:rPr>
            </w:pPr>
          </w:p>
        </w:tc>
        <w:tc>
          <w:tcPr>
            <w:tcW w:w="916" w:type="dxa"/>
          </w:tcPr>
          <w:p w14:paraId="55571795" w14:textId="77777777" w:rsidR="00104B87" w:rsidRPr="00925F26" w:rsidRDefault="00104B87" w:rsidP="00925F26">
            <w:pPr>
              <w:jc w:val="both"/>
              <w:rPr>
                <w:color w:val="000000" w:themeColor="text1"/>
                <w:sz w:val="16"/>
                <w:szCs w:val="16"/>
              </w:rPr>
            </w:pPr>
            <w:r w:rsidRPr="00925F26">
              <w:rPr>
                <w:color w:val="000000" w:themeColor="text1"/>
                <w:sz w:val="16"/>
                <w:szCs w:val="16"/>
              </w:rPr>
              <w:t>т^т</w:t>
            </w:r>
          </w:p>
        </w:tc>
      </w:tr>
      <w:tr w:rsidR="00104B87" w:rsidRPr="00925F26" w14:paraId="33BD5B1E" w14:textId="77777777" w:rsidTr="004C5D62">
        <w:tc>
          <w:tcPr>
            <w:tcW w:w="979" w:type="dxa"/>
          </w:tcPr>
          <w:p w14:paraId="26AA1C44" w14:textId="77777777" w:rsidR="00104B87" w:rsidRPr="00925F26" w:rsidRDefault="00104B87" w:rsidP="00925F26">
            <w:pPr>
              <w:jc w:val="both"/>
              <w:rPr>
                <w:color w:val="000000" w:themeColor="text1"/>
                <w:sz w:val="16"/>
                <w:szCs w:val="16"/>
              </w:rPr>
            </w:pPr>
            <w:r w:rsidRPr="00925F26">
              <w:rPr>
                <w:color w:val="000000" w:themeColor="text1"/>
                <w:sz w:val="16"/>
                <w:szCs w:val="16"/>
              </w:rPr>
              <w:t>Аварийный</w:t>
            </w:r>
          </w:p>
        </w:tc>
        <w:tc>
          <w:tcPr>
            <w:tcW w:w="993" w:type="dxa"/>
          </w:tcPr>
          <w:p w14:paraId="670B2D40" w14:textId="77777777" w:rsidR="00104B87" w:rsidRPr="00925F26" w:rsidRDefault="00104B87" w:rsidP="00925F26">
            <w:pPr>
              <w:jc w:val="both"/>
              <w:rPr>
                <w:color w:val="000000" w:themeColor="text1"/>
                <w:sz w:val="16"/>
                <w:szCs w:val="16"/>
              </w:rPr>
            </w:pPr>
            <w:r w:rsidRPr="00925F26">
              <w:rPr>
                <w:color w:val="000000" w:themeColor="text1"/>
                <w:sz w:val="16"/>
                <w:szCs w:val="16"/>
              </w:rPr>
              <w:t>130</w:t>
            </w:r>
          </w:p>
        </w:tc>
        <w:tc>
          <w:tcPr>
            <w:tcW w:w="850" w:type="dxa"/>
          </w:tcPr>
          <w:p w14:paraId="32D3D435" w14:textId="77777777" w:rsidR="00104B87" w:rsidRPr="00925F26" w:rsidRDefault="00104B87" w:rsidP="00925F26">
            <w:pPr>
              <w:jc w:val="both"/>
              <w:rPr>
                <w:color w:val="000000" w:themeColor="text1"/>
                <w:sz w:val="16"/>
                <w:szCs w:val="16"/>
              </w:rPr>
            </w:pPr>
            <w:r w:rsidRPr="00925F26">
              <w:rPr>
                <w:color w:val="000000" w:themeColor="text1"/>
                <w:sz w:val="16"/>
                <w:szCs w:val="16"/>
              </w:rPr>
              <w:t>1</w:t>
            </w:r>
          </w:p>
        </w:tc>
        <w:tc>
          <w:tcPr>
            <w:tcW w:w="729" w:type="dxa"/>
          </w:tcPr>
          <w:p w14:paraId="0380B493" w14:textId="77777777" w:rsidR="00104B87" w:rsidRPr="00925F26" w:rsidRDefault="00104B87" w:rsidP="00925F26">
            <w:pPr>
              <w:jc w:val="both"/>
              <w:rPr>
                <w:color w:val="000000" w:themeColor="text1"/>
                <w:sz w:val="16"/>
                <w:szCs w:val="16"/>
              </w:rPr>
            </w:pPr>
            <w:r w:rsidRPr="00925F26">
              <w:rPr>
                <w:color w:val="000000" w:themeColor="text1"/>
                <w:sz w:val="16"/>
                <w:szCs w:val="16"/>
              </w:rPr>
              <w:t>1</w:t>
            </w:r>
          </w:p>
        </w:tc>
        <w:tc>
          <w:tcPr>
            <w:tcW w:w="916" w:type="dxa"/>
          </w:tcPr>
          <w:p w14:paraId="7B9C0B2B" w14:textId="77777777" w:rsidR="00104B87" w:rsidRPr="00925F26" w:rsidRDefault="00104B87" w:rsidP="00925F26">
            <w:pPr>
              <w:jc w:val="both"/>
              <w:rPr>
                <w:color w:val="000000" w:themeColor="text1"/>
                <w:sz w:val="16"/>
                <w:szCs w:val="16"/>
              </w:rPr>
            </w:pPr>
            <w:r w:rsidRPr="00925F26">
              <w:rPr>
                <w:color w:val="000000" w:themeColor="text1"/>
                <w:sz w:val="16"/>
                <w:szCs w:val="16"/>
              </w:rPr>
              <w:t>14</w:t>
            </w:r>
          </w:p>
        </w:tc>
        <w:tc>
          <w:tcPr>
            <w:tcW w:w="916" w:type="dxa"/>
          </w:tcPr>
          <w:p w14:paraId="2C65716D" w14:textId="77777777" w:rsidR="00104B87" w:rsidRPr="00925F26" w:rsidRDefault="00104B87" w:rsidP="00925F26">
            <w:pPr>
              <w:jc w:val="both"/>
              <w:rPr>
                <w:color w:val="000000" w:themeColor="text1"/>
                <w:sz w:val="16"/>
                <w:szCs w:val="16"/>
              </w:rPr>
            </w:pPr>
            <w:r w:rsidRPr="00925F26">
              <w:rPr>
                <w:color w:val="000000" w:themeColor="text1"/>
                <w:sz w:val="16"/>
                <w:szCs w:val="16"/>
              </w:rPr>
              <w:t>17</w:t>
            </w:r>
          </w:p>
        </w:tc>
        <w:tc>
          <w:tcPr>
            <w:tcW w:w="916" w:type="dxa"/>
          </w:tcPr>
          <w:p w14:paraId="4ABD1F5D" w14:textId="77777777" w:rsidR="00104B87" w:rsidRPr="00925F26" w:rsidRDefault="00104B87" w:rsidP="00925F26">
            <w:pPr>
              <w:jc w:val="both"/>
              <w:rPr>
                <w:color w:val="000000" w:themeColor="text1"/>
                <w:sz w:val="16"/>
                <w:szCs w:val="16"/>
              </w:rPr>
            </w:pPr>
            <w:r w:rsidRPr="00925F26">
              <w:rPr>
                <w:color w:val="000000" w:themeColor="text1"/>
                <w:sz w:val="16"/>
                <w:szCs w:val="16"/>
              </w:rPr>
              <w:t>163</w:t>
            </w:r>
          </w:p>
        </w:tc>
        <w:tc>
          <w:tcPr>
            <w:tcW w:w="916" w:type="dxa"/>
          </w:tcPr>
          <w:p w14:paraId="54691889"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916" w:type="dxa"/>
          </w:tcPr>
          <w:p w14:paraId="5EDF333C"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r>
      <w:tr w:rsidR="00104B87" w:rsidRPr="00925F26" w14:paraId="7360ECD2" w14:textId="77777777" w:rsidTr="004C5D62">
        <w:tc>
          <w:tcPr>
            <w:tcW w:w="979" w:type="dxa"/>
          </w:tcPr>
          <w:p w14:paraId="025D4AF8" w14:textId="77777777" w:rsidR="00104B87" w:rsidRPr="00925F26" w:rsidRDefault="00104B87" w:rsidP="00925F26">
            <w:pPr>
              <w:jc w:val="both"/>
              <w:rPr>
                <w:color w:val="000000" w:themeColor="text1"/>
                <w:sz w:val="16"/>
                <w:szCs w:val="16"/>
              </w:rPr>
            </w:pPr>
            <w:r w:rsidRPr="00925F26">
              <w:rPr>
                <w:color w:val="000000" w:themeColor="text1"/>
                <w:sz w:val="16"/>
                <w:szCs w:val="16"/>
              </w:rPr>
              <w:t>Т е кущий</w:t>
            </w:r>
          </w:p>
        </w:tc>
        <w:tc>
          <w:tcPr>
            <w:tcW w:w="993" w:type="dxa"/>
          </w:tcPr>
          <w:p w14:paraId="5011C0FE" w14:textId="77777777" w:rsidR="00104B87" w:rsidRPr="00925F26" w:rsidRDefault="00104B87" w:rsidP="00925F26">
            <w:pPr>
              <w:jc w:val="both"/>
              <w:rPr>
                <w:color w:val="000000" w:themeColor="text1"/>
                <w:sz w:val="16"/>
                <w:szCs w:val="16"/>
              </w:rPr>
            </w:pPr>
            <w:r w:rsidRPr="00925F26">
              <w:rPr>
                <w:color w:val="000000" w:themeColor="text1"/>
                <w:sz w:val="16"/>
                <w:szCs w:val="16"/>
              </w:rPr>
              <w:t>207</w:t>
            </w:r>
          </w:p>
        </w:tc>
        <w:tc>
          <w:tcPr>
            <w:tcW w:w="850" w:type="dxa"/>
          </w:tcPr>
          <w:p w14:paraId="5425B341" w14:textId="77777777" w:rsidR="00104B87" w:rsidRPr="00925F26" w:rsidRDefault="00104B87" w:rsidP="00925F26">
            <w:pPr>
              <w:jc w:val="both"/>
              <w:rPr>
                <w:color w:val="000000" w:themeColor="text1"/>
                <w:sz w:val="16"/>
                <w:szCs w:val="16"/>
              </w:rPr>
            </w:pPr>
            <w:r w:rsidRPr="00925F26">
              <w:rPr>
                <w:color w:val="000000" w:themeColor="text1"/>
                <w:sz w:val="16"/>
                <w:szCs w:val="16"/>
              </w:rPr>
              <w:t>4</w:t>
            </w:r>
          </w:p>
        </w:tc>
        <w:tc>
          <w:tcPr>
            <w:tcW w:w="729" w:type="dxa"/>
          </w:tcPr>
          <w:p w14:paraId="455AB36F" w14:textId="77777777" w:rsidR="00104B87" w:rsidRPr="00925F26" w:rsidRDefault="00104B87" w:rsidP="00925F26">
            <w:pPr>
              <w:jc w:val="both"/>
              <w:rPr>
                <w:color w:val="000000" w:themeColor="text1"/>
                <w:sz w:val="16"/>
                <w:szCs w:val="16"/>
              </w:rPr>
            </w:pPr>
            <w:r w:rsidRPr="00925F26">
              <w:rPr>
                <w:color w:val="000000" w:themeColor="text1"/>
                <w:sz w:val="16"/>
                <w:szCs w:val="16"/>
              </w:rPr>
              <w:t>13</w:t>
            </w:r>
          </w:p>
        </w:tc>
        <w:tc>
          <w:tcPr>
            <w:tcW w:w="916" w:type="dxa"/>
          </w:tcPr>
          <w:p w14:paraId="43A2759A" w14:textId="77777777" w:rsidR="00104B87" w:rsidRPr="00925F26" w:rsidRDefault="00104B87" w:rsidP="00925F26">
            <w:pPr>
              <w:jc w:val="both"/>
              <w:rPr>
                <w:color w:val="000000" w:themeColor="text1"/>
                <w:sz w:val="16"/>
                <w:szCs w:val="16"/>
              </w:rPr>
            </w:pPr>
            <w:r w:rsidRPr="00925F26">
              <w:rPr>
                <w:color w:val="000000" w:themeColor="text1"/>
                <w:sz w:val="16"/>
                <w:szCs w:val="16"/>
              </w:rPr>
              <w:t>28</w:t>
            </w:r>
          </w:p>
        </w:tc>
        <w:tc>
          <w:tcPr>
            <w:tcW w:w="916" w:type="dxa"/>
          </w:tcPr>
          <w:p w14:paraId="4A866B56" w14:textId="77777777" w:rsidR="00104B87" w:rsidRPr="00925F26" w:rsidRDefault="00104B87" w:rsidP="00925F26">
            <w:pPr>
              <w:jc w:val="both"/>
              <w:rPr>
                <w:color w:val="000000" w:themeColor="text1"/>
                <w:sz w:val="16"/>
                <w:szCs w:val="16"/>
              </w:rPr>
            </w:pPr>
            <w:r w:rsidRPr="00925F26">
              <w:rPr>
                <w:color w:val="000000" w:themeColor="text1"/>
                <w:sz w:val="16"/>
                <w:szCs w:val="16"/>
              </w:rPr>
              <w:t>26</w:t>
            </w:r>
          </w:p>
        </w:tc>
        <w:tc>
          <w:tcPr>
            <w:tcW w:w="916" w:type="dxa"/>
          </w:tcPr>
          <w:p w14:paraId="21D0ACA4" w14:textId="77777777" w:rsidR="00104B87" w:rsidRPr="00925F26" w:rsidRDefault="00104B87" w:rsidP="00925F26">
            <w:pPr>
              <w:jc w:val="both"/>
              <w:rPr>
                <w:color w:val="000000" w:themeColor="text1"/>
                <w:sz w:val="16"/>
                <w:szCs w:val="16"/>
              </w:rPr>
            </w:pPr>
            <w:r w:rsidRPr="00925F26">
              <w:rPr>
                <w:color w:val="000000" w:themeColor="text1"/>
                <w:sz w:val="16"/>
                <w:szCs w:val="16"/>
              </w:rPr>
              <w:t>278</w:t>
            </w:r>
          </w:p>
        </w:tc>
        <w:tc>
          <w:tcPr>
            <w:tcW w:w="916" w:type="dxa"/>
          </w:tcPr>
          <w:p w14:paraId="5D7BE6B8"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c>
          <w:tcPr>
            <w:tcW w:w="916" w:type="dxa"/>
          </w:tcPr>
          <w:p w14:paraId="754F0432" w14:textId="77777777" w:rsidR="00104B87" w:rsidRPr="00925F26" w:rsidRDefault="00104B87" w:rsidP="00925F26">
            <w:pPr>
              <w:jc w:val="both"/>
              <w:rPr>
                <w:color w:val="000000" w:themeColor="text1"/>
                <w:sz w:val="16"/>
                <w:szCs w:val="16"/>
              </w:rPr>
            </w:pPr>
            <w:r w:rsidRPr="00925F26">
              <w:rPr>
                <w:color w:val="000000" w:themeColor="text1"/>
                <w:sz w:val="16"/>
                <w:szCs w:val="16"/>
              </w:rPr>
              <w:t>—</w:t>
            </w:r>
          </w:p>
        </w:tc>
      </w:tr>
      <w:tr w:rsidR="00104B87" w:rsidRPr="00925F26" w14:paraId="7F0D281D" w14:textId="77777777" w:rsidTr="004C5D62">
        <w:tc>
          <w:tcPr>
            <w:tcW w:w="979" w:type="dxa"/>
          </w:tcPr>
          <w:p w14:paraId="686A1B77" w14:textId="77777777" w:rsidR="00104B87" w:rsidRPr="00925F26" w:rsidRDefault="00104B87" w:rsidP="00925F26">
            <w:pPr>
              <w:jc w:val="both"/>
              <w:rPr>
                <w:color w:val="000000" w:themeColor="text1"/>
                <w:sz w:val="16"/>
                <w:szCs w:val="16"/>
              </w:rPr>
            </w:pPr>
            <w:r w:rsidRPr="00925F26">
              <w:rPr>
                <w:color w:val="000000" w:themeColor="text1"/>
                <w:sz w:val="16"/>
                <w:szCs w:val="16"/>
              </w:rPr>
              <w:t>Всего:</w:t>
            </w:r>
          </w:p>
        </w:tc>
        <w:tc>
          <w:tcPr>
            <w:tcW w:w="993" w:type="dxa"/>
          </w:tcPr>
          <w:p w14:paraId="49AC82B7" w14:textId="77777777" w:rsidR="00104B87" w:rsidRPr="00925F26" w:rsidRDefault="00104B87" w:rsidP="00925F26">
            <w:pPr>
              <w:jc w:val="both"/>
              <w:rPr>
                <w:color w:val="000000" w:themeColor="text1"/>
                <w:sz w:val="16"/>
                <w:szCs w:val="16"/>
              </w:rPr>
            </w:pPr>
            <w:r w:rsidRPr="00925F26">
              <w:rPr>
                <w:color w:val="000000" w:themeColor="text1"/>
                <w:sz w:val="16"/>
                <w:szCs w:val="16"/>
              </w:rPr>
              <w:t>351</w:t>
            </w:r>
          </w:p>
        </w:tc>
        <w:tc>
          <w:tcPr>
            <w:tcW w:w="850" w:type="dxa"/>
          </w:tcPr>
          <w:p w14:paraId="7A1F8231" w14:textId="77777777" w:rsidR="00104B87" w:rsidRPr="00925F26" w:rsidRDefault="00104B87" w:rsidP="00925F26">
            <w:pPr>
              <w:jc w:val="both"/>
              <w:rPr>
                <w:color w:val="000000" w:themeColor="text1"/>
                <w:sz w:val="16"/>
                <w:szCs w:val="16"/>
              </w:rPr>
            </w:pPr>
            <w:r w:rsidRPr="00925F26">
              <w:rPr>
                <w:color w:val="000000" w:themeColor="text1"/>
                <w:sz w:val="16"/>
                <w:szCs w:val="16"/>
              </w:rPr>
              <w:t>6</w:t>
            </w:r>
          </w:p>
        </w:tc>
        <w:tc>
          <w:tcPr>
            <w:tcW w:w="729" w:type="dxa"/>
          </w:tcPr>
          <w:p w14:paraId="25D2783B" w14:textId="77777777" w:rsidR="00104B87" w:rsidRPr="00925F26" w:rsidRDefault="00104B87" w:rsidP="00925F26">
            <w:pPr>
              <w:jc w:val="both"/>
              <w:rPr>
                <w:color w:val="000000" w:themeColor="text1"/>
                <w:sz w:val="16"/>
                <w:szCs w:val="16"/>
              </w:rPr>
            </w:pPr>
            <w:r w:rsidRPr="00925F26">
              <w:rPr>
                <w:color w:val="000000" w:themeColor="text1"/>
                <w:sz w:val="16"/>
                <w:szCs w:val="16"/>
              </w:rPr>
              <w:t>14</w:t>
            </w:r>
          </w:p>
        </w:tc>
        <w:tc>
          <w:tcPr>
            <w:tcW w:w="916" w:type="dxa"/>
          </w:tcPr>
          <w:p w14:paraId="165B2E9A" w14:textId="77777777" w:rsidR="00104B87" w:rsidRPr="00925F26" w:rsidRDefault="00104B87" w:rsidP="00925F26">
            <w:pPr>
              <w:jc w:val="both"/>
              <w:rPr>
                <w:color w:val="000000" w:themeColor="text1"/>
                <w:sz w:val="16"/>
                <w:szCs w:val="16"/>
              </w:rPr>
            </w:pPr>
            <w:r w:rsidRPr="00925F26">
              <w:rPr>
                <w:color w:val="000000" w:themeColor="text1"/>
                <w:sz w:val="16"/>
                <w:szCs w:val="16"/>
              </w:rPr>
              <w:t>46</w:t>
            </w:r>
          </w:p>
        </w:tc>
        <w:tc>
          <w:tcPr>
            <w:tcW w:w="916" w:type="dxa"/>
          </w:tcPr>
          <w:p w14:paraId="43178224" w14:textId="77777777" w:rsidR="00104B87" w:rsidRPr="00925F26" w:rsidRDefault="00104B87" w:rsidP="00925F26">
            <w:pPr>
              <w:jc w:val="both"/>
              <w:rPr>
                <w:color w:val="000000" w:themeColor="text1"/>
                <w:sz w:val="16"/>
                <w:szCs w:val="16"/>
              </w:rPr>
            </w:pPr>
            <w:r w:rsidRPr="00925F26">
              <w:rPr>
                <w:color w:val="000000" w:themeColor="text1"/>
                <w:sz w:val="16"/>
                <w:szCs w:val="16"/>
              </w:rPr>
              <w:t>43</w:t>
            </w:r>
          </w:p>
        </w:tc>
        <w:tc>
          <w:tcPr>
            <w:tcW w:w="916" w:type="dxa"/>
          </w:tcPr>
          <w:p w14:paraId="77E881C1" w14:textId="77777777" w:rsidR="00104B87" w:rsidRPr="00925F26" w:rsidRDefault="00104B87" w:rsidP="00925F26">
            <w:pPr>
              <w:jc w:val="both"/>
              <w:rPr>
                <w:color w:val="000000" w:themeColor="text1"/>
                <w:sz w:val="16"/>
                <w:szCs w:val="16"/>
              </w:rPr>
            </w:pPr>
            <w:r w:rsidRPr="00925F26">
              <w:rPr>
                <w:color w:val="000000" w:themeColor="text1"/>
                <w:sz w:val="16"/>
                <w:szCs w:val="16"/>
              </w:rPr>
              <w:t>460</w:t>
            </w:r>
          </w:p>
        </w:tc>
        <w:tc>
          <w:tcPr>
            <w:tcW w:w="916" w:type="dxa"/>
          </w:tcPr>
          <w:p w14:paraId="2DC6D1C9" w14:textId="77777777" w:rsidR="00104B87" w:rsidRPr="00925F26" w:rsidRDefault="00104B87" w:rsidP="00925F26">
            <w:pPr>
              <w:jc w:val="both"/>
              <w:rPr>
                <w:color w:val="000000" w:themeColor="text1"/>
                <w:sz w:val="16"/>
                <w:szCs w:val="16"/>
              </w:rPr>
            </w:pPr>
            <w:r w:rsidRPr="00925F26">
              <w:rPr>
                <w:color w:val="000000" w:themeColor="text1"/>
                <w:sz w:val="16"/>
                <w:szCs w:val="16"/>
              </w:rPr>
              <w:t>446</w:t>
            </w:r>
          </w:p>
        </w:tc>
        <w:tc>
          <w:tcPr>
            <w:tcW w:w="916" w:type="dxa"/>
          </w:tcPr>
          <w:p w14:paraId="3F6ACB7C" w14:textId="77777777" w:rsidR="00104B87" w:rsidRPr="00925F26" w:rsidRDefault="00104B87" w:rsidP="00925F26">
            <w:pPr>
              <w:jc w:val="both"/>
              <w:rPr>
                <w:color w:val="000000" w:themeColor="text1"/>
                <w:sz w:val="16"/>
                <w:szCs w:val="16"/>
              </w:rPr>
            </w:pPr>
            <w:r w:rsidRPr="00925F26">
              <w:rPr>
                <w:color w:val="000000" w:themeColor="text1"/>
                <w:sz w:val="16"/>
                <w:szCs w:val="16"/>
              </w:rPr>
              <w:t>103, 0</w:t>
            </w:r>
          </w:p>
        </w:tc>
      </w:tr>
    </w:tbl>
    <w:p w14:paraId="36C8D918" w14:textId="77777777" w:rsidR="00104B87" w:rsidRPr="00925F26" w:rsidRDefault="00104B87" w:rsidP="00925F26">
      <w:pPr>
        <w:jc w:val="both"/>
        <w:rPr>
          <w:color w:val="000000" w:themeColor="text1"/>
          <w:sz w:val="16"/>
          <w:szCs w:val="16"/>
        </w:rPr>
      </w:pPr>
      <w:r w:rsidRPr="00925F26">
        <w:rPr>
          <w:color w:val="000000" w:themeColor="text1"/>
          <w:sz w:val="16"/>
          <w:szCs w:val="16"/>
        </w:rPr>
        <w:t>На производственный ремонт указанных машин ремонтными бригадами затрачено 443385 чел/часов.</w:t>
      </w:r>
    </w:p>
    <w:p w14:paraId="523D5199" w14:textId="77777777" w:rsidR="00104B87" w:rsidRPr="00925F26" w:rsidRDefault="00104B87" w:rsidP="00925F26">
      <w:pPr>
        <w:jc w:val="both"/>
        <w:rPr>
          <w:color w:val="000000" w:themeColor="text1"/>
          <w:sz w:val="16"/>
          <w:szCs w:val="16"/>
        </w:rPr>
      </w:pPr>
      <w:r w:rsidRPr="00925F26">
        <w:rPr>
          <w:color w:val="000000" w:themeColor="text1"/>
          <w:sz w:val="16"/>
          <w:szCs w:val="16"/>
        </w:rPr>
        <w:t>Надо отметить, что в счет графика засчитывались отремонтированные самолеты, на которые затрачено не менее 150 чел/часов.</w:t>
      </w:r>
    </w:p>
    <w:p w14:paraId="1570394B"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Ремонтными бригадами, кроме того, отремонтировано 226 самолетов мелким ремонтом с трудоемкостью на каждую машину </w:t>
      </w:r>
      <w:r w:rsidRPr="00925F26">
        <w:rPr>
          <w:rFonts w:ascii="Tahoma" w:hAnsi="Tahoma" w:cs="Tahoma"/>
          <w:color w:val="000000" w:themeColor="text1"/>
          <w:sz w:val="16"/>
          <w:szCs w:val="16"/>
        </w:rPr>
        <w:t>﻿</w:t>
      </w:r>
      <w:r w:rsidRPr="00925F26">
        <w:rPr>
          <w:color w:val="000000" w:themeColor="text1"/>
          <w:sz w:val="16"/>
          <w:szCs w:val="16"/>
        </w:rPr>
        <w:t xml:space="preserve">менее 100 </w:t>
      </w:r>
      <w:proofErr w:type="gramStart"/>
      <w:r w:rsidRPr="00925F26">
        <w:rPr>
          <w:color w:val="000000" w:themeColor="text1"/>
          <w:sz w:val="16"/>
          <w:szCs w:val="16"/>
        </w:rPr>
        <w:t>чел/час</w:t>
      </w:r>
      <w:proofErr w:type="gramEnd"/>
      <w:r w:rsidRPr="00925F26">
        <w:rPr>
          <w:color w:val="000000" w:themeColor="text1"/>
          <w:sz w:val="16"/>
          <w:szCs w:val="16"/>
        </w:rPr>
        <w:t>, а также 25 самолетов, потерпевших аварии, как на аэродроме завода, так и в воинских частях.</w:t>
      </w:r>
    </w:p>
    <w:p w14:paraId="0D52BC81" w14:textId="77777777" w:rsidR="00104B87" w:rsidRPr="00925F26" w:rsidRDefault="00104B87" w:rsidP="00925F26">
      <w:pPr>
        <w:jc w:val="both"/>
        <w:rPr>
          <w:color w:val="000000" w:themeColor="text1"/>
          <w:sz w:val="16"/>
          <w:szCs w:val="16"/>
        </w:rPr>
      </w:pPr>
      <w:r w:rsidRPr="00925F26">
        <w:rPr>
          <w:color w:val="000000" w:themeColor="text1"/>
          <w:sz w:val="16"/>
          <w:szCs w:val="16"/>
        </w:rPr>
        <w:t>Общее количество отремонтированных за отчетный год самолетов достигло 711 шт., при 33 бригадах, с количеством в них 282 человек рабочих и мастеров. [...]</w:t>
      </w:r>
    </w:p>
    <w:p w14:paraId="3A165491" w14:textId="77777777" w:rsidR="00104B87" w:rsidRPr="00925F26" w:rsidRDefault="00104B87" w:rsidP="00925F26">
      <w:pPr>
        <w:jc w:val="both"/>
        <w:rPr>
          <w:color w:val="000000" w:themeColor="text1"/>
          <w:sz w:val="16"/>
          <w:szCs w:val="16"/>
        </w:rPr>
      </w:pPr>
      <w:r w:rsidRPr="00925F26">
        <w:rPr>
          <w:color w:val="000000" w:themeColor="text1"/>
          <w:sz w:val="16"/>
          <w:szCs w:val="16"/>
        </w:rPr>
        <w:t>Опытные работы</w:t>
      </w:r>
    </w:p>
    <w:p w14:paraId="05B6FEE5" w14:textId="77777777" w:rsidR="00104B87" w:rsidRPr="00925F26" w:rsidRDefault="00104B87" w:rsidP="00925F26">
      <w:pPr>
        <w:jc w:val="both"/>
        <w:rPr>
          <w:color w:val="000000" w:themeColor="text1"/>
          <w:sz w:val="16"/>
          <w:szCs w:val="16"/>
        </w:rPr>
      </w:pPr>
      <w:r w:rsidRPr="00925F26">
        <w:rPr>
          <w:color w:val="000000" w:themeColor="text1"/>
          <w:sz w:val="16"/>
          <w:szCs w:val="16"/>
        </w:rPr>
        <w:t>А. Опытные работы по самолетам типа Пе-2</w:t>
      </w:r>
    </w:p>
    <w:p w14:paraId="585D3DDA" w14:textId="77777777" w:rsidR="00104B87" w:rsidRPr="00925F26" w:rsidRDefault="00104B87" w:rsidP="00925F26">
      <w:pPr>
        <w:jc w:val="both"/>
        <w:rPr>
          <w:color w:val="000000" w:themeColor="text1"/>
          <w:sz w:val="16"/>
          <w:szCs w:val="16"/>
        </w:rPr>
      </w:pPr>
      <w:r w:rsidRPr="00925F26">
        <w:rPr>
          <w:color w:val="000000" w:themeColor="text1"/>
          <w:sz w:val="16"/>
          <w:szCs w:val="16"/>
        </w:rPr>
        <w:t>Работы, выполняемые ОКБ главного конструктора тов. Мясищева на заводе № 22, состояли из следующих объектов:</w:t>
      </w:r>
    </w:p>
    <w:p w14:paraId="0C1AC9E9" w14:textId="77777777" w:rsidR="00104B87" w:rsidRPr="00925F26" w:rsidRDefault="00104B87" w:rsidP="00925F26">
      <w:pPr>
        <w:jc w:val="both"/>
        <w:rPr>
          <w:color w:val="000000" w:themeColor="text1"/>
          <w:sz w:val="16"/>
          <w:szCs w:val="16"/>
        </w:rPr>
      </w:pPr>
      <w:r w:rsidRPr="00925F26">
        <w:rPr>
          <w:color w:val="000000" w:themeColor="text1"/>
          <w:sz w:val="16"/>
          <w:szCs w:val="16"/>
        </w:rPr>
        <w:t>1. Модификация Пе-2 с 2 М-1 (Пе-2Е)</w:t>
      </w:r>
    </w:p>
    <w:p w14:paraId="7AC0B0D4" w14:textId="77777777" w:rsidR="00104B87" w:rsidRPr="00925F26" w:rsidRDefault="00104B87" w:rsidP="00925F26">
      <w:pPr>
        <w:jc w:val="both"/>
        <w:rPr>
          <w:color w:val="000000" w:themeColor="text1"/>
          <w:sz w:val="16"/>
          <w:szCs w:val="16"/>
        </w:rPr>
      </w:pPr>
      <w:r w:rsidRPr="00925F26">
        <w:rPr>
          <w:color w:val="000000" w:themeColor="text1"/>
          <w:sz w:val="16"/>
          <w:szCs w:val="16"/>
        </w:rPr>
        <w:t>Работы по установке М-1 на серийном самолете Пе-2 были предусмотрены для ОКБ-22 тематическим планом IV-ro квартала 1943</w:t>
      </w:r>
      <w:r w:rsidRPr="00925F26">
        <w:rPr>
          <w:color w:val="000000" w:themeColor="text1"/>
          <w:sz w:val="16"/>
          <w:szCs w:val="16"/>
        </w:rPr>
        <w:tab/>
        <w:t>г. и на 1944 г., а впоследствии приказом НКАП от 8 марта 1944</w:t>
      </w:r>
      <w:r w:rsidRPr="00925F26">
        <w:rPr>
          <w:color w:val="000000" w:themeColor="text1"/>
          <w:sz w:val="16"/>
          <w:szCs w:val="16"/>
        </w:rPr>
        <w:tab/>
        <w:t>г. К проектированию установки М-1 ОКБ приступило с августа месяца 1943 г., в начале ноября месяца на самолете № 12/224 были закончены все работы по установке М-1 и самолет был передан на заводские испытания, которые окончились 18 февраля 1944 г.</w:t>
      </w:r>
    </w:p>
    <w:p w14:paraId="4D4CB644" w14:textId="77777777" w:rsidR="00104B87" w:rsidRPr="00925F26" w:rsidRDefault="00104B87" w:rsidP="00925F26">
      <w:pPr>
        <w:jc w:val="both"/>
        <w:rPr>
          <w:color w:val="000000" w:themeColor="text1"/>
          <w:sz w:val="16"/>
          <w:szCs w:val="16"/>
        </w:rPr>
      </w:pPr>
      <w:r w:rsidRPr="00925F26">
        <w:rPr>
          <w:color w:val="000000" w:themeColor="text1"/>
          <w:sz w:val="16"/>
          <w:szCs w:val="16"/>
        </w:rPr>
        <w:t>Отчет по летно-заводским испытаниям самолета отправлен в 7-ое Главное управление НКАП 13 марта 1944 г.</w:t>
      </w:r>
    </w:p>
    <w:p w14:paraId="12F93548" w14:textId="77777777" w:rsidR="00104B87" w:rsidRPr="00925F26" w:rsidRDefault="00104B87" w:rsidP="00925F26">
      <w:pPr>
        <w:jc w:val="both"/>
        <w:rPr>
          <w:color w:val="000000" w:themeColor="text1"/>
          <w:sz w:val="16"/>
          <w:szCs w:val="16"/>
        </w:rPr>
      </w:pPr>
      <w:r w:rsidRPr="00925F26">
        <w:rPr>
          <w:color w:val="000000" w:themeColor="text1"/>
          <w:sz w:val="16"/>
          <w:szCs w:val="16"/>
        </w:rPr>
        <w:t>Самолет № 12/224 в настоящее время восстановлен до серийного состояния и сдан в ЛИС завода № 22.</w:t>
      </w:r>
    </w:p>
    <w:p w14:paraId="7D7DD82E" w14:textId="77777777" w:rsidR="00104B87" w:rsidRPr="00925F26" w:rsidRDefault="00104B87" w:rsidP="00925F26">
      <w:pPr>
        <w:jc w:val="both"/>
        <w:rPr>
          <w:color w:val="000000" w:themeColor="text1"/>
          <w:sz w:val="16"/>
          <w:szCs w:val="16"/>
        </w:rPr>
      </w:pPr>
      <w:r w:rsidRPr="00925F26">
        <w:rPr>
          <w:color w:val="000000" w:themeColor="text1"/>
          <w:sz w:val="16"/>
          <w:szCs w:val="16"/>
        </w:rPr>
        <w:t>2. Изготовление стенда ВМГ</w:t>
      </w:r>
    </w:p>
    <w:p w14:paraId="5FDB526C" w14:textId="77777777" w:rsidR="00104B87" w:rsidRPr="00925F26" w:rsidRDefault="00104B87" w:rsidP="00925F26">
      <w:pPr>
        <w:jc w:val="both"/>
        <w:rPr>
          <w:color w:val="000000" w:themeColor="text1"/>
          <w:sz w:val="16"/>
          <w:szCs w:val="16"/>
        </w:rPr>
      </w:pPr>
      <w:r w:rsidRPr="00925F26">
        <w:rPr>
          <w:color w:val="000000" w:themeColor="text1"/>
          <w:sz w:val="16"/>
          <w:szCs w:val="16"/>
        </w:rPr>
        <w:t>Работы по проектированию и постройке стенда ВМГ под М-107А были начаты в октябре месяце 1943 г. и закончены в начале 1944 г.</w:t>
      </w:r>
    </w:p>
    <w:p w14:paraId="7BF5E0DB" w14:textId="77777777" w:rsidR="00104B87" w:rsidRPr="00925F26" w:rsidRDefault="00104B87" w:rsidP="00925F26">
      <w:pPr>
        <w:jc w:val="both"/>
        <w:rPr>
          <w:color w:val="000000" w:themeColor="text1"/>
          <w:sz w:val="16"/>
          <w:szCs w:val="16"/>
        </w:rPr>
      </w:pPr>
      <w:r w:rsidRPr="00925F26">
        <w:rPr>
          <w:color w:val="000000" w:themeColor="text1"/>
          <w:sz w:val="16"/>
          <w:szCs w:val="16"/>
        </w:rPr>
        <w:t>Сборка стенда производится в г. Москве на заводе № 482.</w:t>
      </w:r>
    </w:p>
    <w:p w14:paraId="22C039C8" w14:textId="77777777" w:rsidR="00104B87" w:rsidRPr="00925F26" w:rsidRDefault="00104B87" w:rsidP="00925F26">
      <w:pPr>
        <w:jc w:val="both"/>
        <w:rPr>
          <w:color w:val="000000" w:themeColor="text1"/>
          <w:sz w:val="16"/>
          <w:szCs w:val="16"/>
        </w:rPr>
      </w:pPr>
      <w:r w:rsidRPr="00925F26">
        <w:rPr>
          <w:color w:val="000000" w:themeColor="text1"/>
          <w:sz w:val="16"/>
          <w:szCs w:val="16"/>
        </w:rPr>
        <w:t>3. Модификация Пе-2А с 2 М-105ПФ</w:t>
      </w:r>
    </w:p>
    <w:p w14:paraId="437569D3" w14:textId="77777777" w:rsidR="00104B87" w:rsidRPr="00925F26" w:rsidRDefault="00104B87" w:rsidP="00925F26">
      <w:pPr>
        <w:jc w:val="both"/>
        <w:rPr>
          <w:color w:val="000000" w:themeColor="text1"/>
          <w:sz w:val="16"/>
          <w:szCs w:val="16"/>
        </w:rPr>
      </w:pPr>
      <w:r w:rsidRPr="00925F26">
        <w:rPr>
          <w:color w:val="000000" w:themeColor="text1"/>
          <w:sz w:val="16"/>
          <w:szCs w:val="16"/>
        </w:rPr>
        <w:t>Проектирование Пе-2А было начато в марте месяце 1943 г. на основании приказа НКАП от 10 апреля 1943 г. Постройка самолета закончилась в сентябре месяце 1943 г. (самолет № 17/176).</w:t>
      </w:r>
    </w:p>
    <w:p w14:paraId="0A699806" w14:textId="77777777" w:rsidR="00104B87" w:rsidRPr="00925F26" w:rsidRDefault="00104B87" w:rsidP="00925F26">
      <w:pPr>
        <w:jc w:val="both"/>
        <w:rPr>
          <w:color w:val="000000" w:themeColor="text1"/>
          <w:sz w:val="16"/>
          <w:szCs w:val="16"/>
        </w:rPr>
      </w:pPr>
      <w:r w:rsidRPr="00925F26">
        <w:rPr>
          <w:color w:val="000000" w:themeColor="text1"/>
          <w:sz w:val="16"/>
          <w:szCs w:val="16"/>
        </w:rPr>
        <w:t>Заводские летные испытания закончены в середине февраля 1944 г. Цель модификации — повышение максимальной скорости серийного самолета Пе-2 на 528 км. Работа производилась за счет завода № 22.</w:t>
      </w:r>
    </w:p>
    <w:p w14:paraId="0FF9E5E4" w14:textId="77777777" w:rsidR="00104B87" w:rsidRPr="00925F26" w:rsidRDefault="00104B87" w:rsidP="00925F26">
      <w:pPr>
        <w:jc w:val="both"/>
        <w:rPr>
          <w:color w:val="000000" w:themeColor="text1"/>
          <w:sz w:val="16"/>
          <w:szCs w:val="16"/>
        </w:rPr>
      </w:pPr>
      <w:r w:rsidRPr="00925F26">
        <w:rPr>
          <w:color w:val="000000" w:themeColor="text1"/>
          <w:sz w:val="16"/>
          <w:szCs w:val="16"/>
        </w:rPr>
        <w:t>Отчет по заводским испытаниям самолета 17/176 отправлен в 7-ое Главное управление НКАП в марте месяце 1944 г. за № 2127. Самолет 17/176 оставлен в ОКБ-22 для производства дальнейших опытных работ.</w:t>
      </w:r>
    </w:p>
    <w:p w14:paraId="00F508CA" w14:textId="77777777" w:rsidR="00104B87" w:rsidRPr="00925F26" w:rsidRDefault="00104B87" w:rsidP="00925F26">
      <w:pPr>
        <w:jc w:val="both"/>
        <w:rPr>
          <w:color w:val="000000" w:themeColor="text1"/>
          <w:sz w:val="16"/>
          <w:szCs w:val="16"/>
        </w:rPr>
      </w:pPr>
      <w:r w:rsidRPr="00925F26">
        <w:rPr>
          <w:color w:val="000000" w:themeColor="text1"/>
          <w:sz w:val="16"/>
          <w:szCs w:val="16"/>
        </w:rPr>
        <w:t>Работы по второму экземпляру самолета Пе-2 не производились, так как они были совмещены на следующей модификации серийного самолета Пе-2Б.</w:t>
      </w:r>
    </w:p>
    <w:p w14:paraId="535EE042" w14:textId="77777777" w:rsidR="00104B87" w:rsidRPr="00925F26" w:rsidRDefault="00104B87" w:rsidP="00925F26">
      <w:pPr>
        <w:jc w:val="both"/>
        <w:rPr>
          <w:color w:val="000000" w:themeColor="text1"/>
          <w:sz w:val="16"/>
          <w:szCs w:val="16"/>
        </w:rPr>
      </w:pPr>
      <w:r w:rsidRPr="00925F26">
        <w:rPr>
          <w:color w:val="000000" w:themeColor="text1"/>
          <w:sz w:val="16"/>
          <w:szCs w:val="16"/>
        </w:rPr>
        <w:t>4. Модификация Пе-2Б с 2 М-105ПФ</w:t>
      </w:r>
    </w:p>
    <w:p w14:paraId="79CE2AA0" w14:textId="77777777" w:rsidR="00104B87" w:rsidRPr="00925F26" w:rsidRDefault="00104B87" w:rsidP="00925F26">
      <w:pPr>
        <w:jc w:val="both"/>
        <w:rPr>
          <w:color w:val="000000" w:themeColor="text1"/>
          <w:sz w:val="16"/>
          <w:szCs w:val="16"/>
        </w:rPr>
      </w:pPr>
      <w:r w:rsidRPr="00925F26">
        <w:rPr>
          <w:color w:val="000000" w:themeColor="text1"/>
          <w:sz w:val="16"/>
          <w:szCs w:val="16"/>
        </w:rPr>
        <w:t>На основании приказа НКАП от 26 июня 1943 г. с июля месяца 1943 г. ОКБ-22 приступило к дальнейшей модификации серийного самолета, имеющей целью увеличение скорости до 540 км в час, улучшения условий стрельбы и работы штурмана.</w:t>
      </w:r>
    </w:p>
    <w:p w14:paraId="754641F2" w14:textId="77777777" w:rsidR="00104B87" w:rsidRPr="00925F26" w:rsidRDefault="00104B87" w:rsidP="00925F26">
      <w:pPr>
        <w:jc w:val="both"/>
        <w:rPr>
          <w:color w:val="000000" w:themeColor="text1"/>
          <w:sz w:val="16"/>
          <w:szCs w:val="16"/>
        </w:rPr>
      </w:pPr>
      <w:r w:rsidRPr="00925F26">
        <w:rPr>
          <w:color w:val="000000" w:themeColor="text1"/>
          <w:sz w:val="16"/>
          <w:szCs w:val="16"/>
        </w:rPr>
        <w:t>Указанное было проведено в жизнь на серийном самолете № 19/223 (Пе-2Б). Постройка самолета Пе-2Б была закончена в декабре месяце 1943 г.</w:t>
      </w:r>
    </w:p>
    <w:p w14:paraId="235CCAA4"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В первом квартале 1944 г. самолет прошел заводские испытания и 6 апреля 1944 г. был направлен в НИИ ВВС КА, где прошел </w:t>
      </w:r>
      <w:r w:rsidRPr="00925F26">
        <w:rPr>
          <w:rFonts w:ascii="Tahoma" w:hAnsi="Tahoma" w:cs="Tahoma"/>
          <w:color w:val="000000" w:themeColor="text1"/>
          <w:sz w:val="16"/>
          <w:szCs w:val="16"/>
        </w:rPr>
        <w:t>﻿</w:t>
      </w:r>
      <w:r w:rsidRPr="00925F26">
        <w:rPr>
          <w:color w:val="000000" w:themeColor="text1"/>
          <w:sz w:val="16"/>
          <w:szCs w:val="16"/>
        </w:rPr>
        <w:t>государственные испытания (акт госиспытаний от 17 июля 1944 г. № 0722) и был рекомендован для внедрения в серию.</w:t>
      </w:r>
    </w:p>
    <w:p w14:paraId="39D6B472" w14:textId="77777777" w:rsidR="00104B87" w:rsidRPr="00925F26" w:rsidRDefault="00104B87" w:rsidP="00925F26">
      <w:pPr>
        <w:jc w:val="both"/>
        <w:rPr>
          <w:color w:val="000000" w:themeColor="text1"/>
          <w:sz w:val="16"/>
          <w:szCs w:val="16"/>
        </w:rPr>
      </w:pPr>
      <w:r w:rsidRPr="00925F26">
        <w:rPr>
          <w:color w:val="000000" w:themeColor="text1"/>
          <w:sz w:val="16"/>
          <w:szCs w:val="16"/>
        </w:rPr>
        <w:t>Работы по этой схеме также производились за счет завода 22.</w:t>
      </w:r>
    </w:p>
    <w:p w14:paraId="7CD53C19" w14:textId="77777777" w:rsidR="00104B87" w:rsidRPr="00925F26" w:rsidRDefault="00104B87" w:rsidP="00925F26">
      <w:pPr>
        <w:jc w:val="both"/>
        <w:rPr>
          <w:color w:val="000000" w:themeColor="text1"/>
          <w:sz w:val="16"/>
          <w:szCs w:val="16"/>
        </w:rPr>
      </w:pPr>
      <w:r w:rsidRPr="00925F26">
        <w:rPr>
          <w:color w:val="000000" w:themeColor="text1"/>
          <w:sz w:val="16"/>
          <w:szCs w:val="16"/>
        </w:rPr>
        <w:t>5. Самолет Пе-2 с 2ВК-105 с установкой РД-1</w:t>
      </w:r>
    </w:p>
    <w:p w14:paraId="1B6F7E40" w14:textId="77777777" w:rsidR="00104B87" w:rsidRPr="00925F26" w:rsidRDefault="00104B87" w:rsidP="00925F26">
      <w:pPr>
        <w:jc w:val="both"/>
        <w:rPr>
          <w:color w:val="000000" w:themeColor="text1"/>
          <w:sz w:val="16"/>
          <w:szCs w:val="16"/>
        </w:rPr>
      </w:pPr>
      <w:r w:rsidRPr="00925F26">
        <w:rPr>
          <w:color w:val="000000" w:themeColor="text1"/>
          <w:sz w:val="16"/>
          <w:szCs w:val="16"/>
        </w:rPr>
        <w:t>По проекту ОКБ завода № 16 и при участии ОКБ-22 в мае месяце 1943 г. в серийном производстве завода № 22 была начата установка однокамерного РД-1 на самолете Пе-2 за № 15/185, на основании приказа НКАП от 12 марта 1943 г. и от 29 мая 1943 г.</w:t>
      </w:r>
    </w:p>
    <w:p w14:paraId="1F4B17C5" w14:textId="77777777" w:rsidR="00104B87" w:rsidRPr="00925F26" w:rsidRDefault="00104B87" w:rsidP="00925F26">
      <w:pPr>
        <w:jc w:val="both"/>
        <w:rPr>
          <w:color w:val="000000" w:themeColor="text1"/>
          <w:sz w:val="16"/>
          <w:szCs w:val="16"/>
        </w:rPr>
      </w:pPr>
      <w:r w:rsidRPr="00925F26">
        <w:rPr>
          <w:color w:val="000000" w:themeColor="text1"/>
          <w:sz w:val="16"/>
          <w:szCs w:val="16"/>
        </w:rPr>
        <w:t>Самолет № 15/185 с установкой был передан в августе месяце 1943 г. в ЛЭС для испытания и доводок. После проведения первого этапа испытаний был произведен ряд доработок двигателя РД-1 и работы перешли на 1944 г.</w:t>
      </w:r>
    </w:p>
    <w:p w14:paraId="1EDBB516" w14:textId="77777777" w:rsidR="00104B87" w:rsidRPr="00925F26" w:rsidRDefault="00104B87" w:rsidP="00925F26">
      <w:pPr>
        <w:jc w:val="both"/>
        <w:rPr>
          <w:color w:val="000000" w:themeColor="text1"/>
          <w:sz w:val="16"/>
          <w:szCs w:val="16"/>
        </w:rPr>
      </w:pPr>
      <w:r w:rsidRPr="00925F26">
        <w:rPr>
          <w:color w:val="000000" w:themeColor="text1"/>
          <w:sz w:val="16"/>
          <w:szCs w:val="16"/>
        </w:rPr>
        <w:t>В 1944 г. работы по этой теме продолжались, в ноябре месяце 1944 г. на самолете 15/185 была произведена установка нового усовершенствованного двигателя РД-1 и к концу этого года самолет находился в стадии подготовки к прохождению летных испытаний.</w:t>
      </w:r>
    </w:p>
    <w:p w14:paraId="6DBEE2A2" w14:textId="77777777" w:rsidR="00104B87" w:rsidRPr="00925F26" w:rsidRDefault="00104B87" w:rsidP="00925F26">
      <w:pPr>
        <w:jc w:val="both"/>
        <w:rPr>
          <w:color w:val="000000" w:themeColor="text1"/>
          <w:sz w:val="16"/>
          <w:szCs w:val="16"/>
        </w:rPr>
      </w:pPr>
      <w:r w:rsidRPr="00925F26">
        <w:rPr>
          <w:color w:val="000000" w:themeColor="text1"/>
          <w:sz w:val="16"/>
          <w:szCs w:val="16"/>
        </w:rPr>
        <w:t>Для отработки отдельных вопросов по двигателю РД-1 в 1943 г. был выделен еще самолет № 11/189, который в 1944 г. был восстановлен до серийного состояния и сдан в ЛИС завода № 22.</w:t>
      </w:r>
    </w:p>
    <w:p w14:paraId="4F09524B" w14:textId="77777777" w:rsidR="00104B87" w:rsidRPr="00925F26" w:rsidRDefault="00104B87" w:rsidP="00925F26">
      <w:pPr>
        <w:jc w:val="both"/>
        <w:rPr>
          <w:color w:val="000000" w:themeColor="text1"/>
          <w:sz w:val="16"/>
          <w:szCs w:val="16"/>
        </w:rPr>
      </w:pPr>
      <w:r w:rsidRPr="00925F26">
        <w:rPr>
          <w:color w:val="000000" w:themeColor="text1"/>
          <w:sz w:val="16"/>
          <w:szCs w:val="16"/>
        </w:rPr>
        <w:t>Приказом НКАП от 13 марта 1944 г. ОКБ-22, совместно с ОКБ-16 и серийным заводом № 22 было предложено выпустить в 1944 г. еще три самолета, оборудованные двигателем РД-1, но работы эти выполнены не были из-за неподачи ОКБ-16 двигателей и комплекта необходимых чертежей. В середине декабря 1944 г. возбуждено ходатайство перед 7-м Главным управлением НКАП о снятии этой темы с тематического плана ОКО и передачи ее 18-му Главному управлению, так как вся эта работа носит еще экспериментальный характер отработки самого двигателя, и первый опытный самолет № 15/185 не прошел еще заводских испытаний.</w:t>
      </w:r>
    </w:p>
    <w:p w14:paraId="33A6E163" w14:textId="77777777" w:rsidR="00104B87" w:rsidRPr="00925F26" w:rsidRDefault="00104B87" w:rsidP="00925F26">
      <w:pPr>
        <w:jc w:val="both"/>
        <w:rPr>
          <w:color w:val="000000" w:themeColor="text1"/>
          <w:sz w:val="16"/>
          <w:szCs w:val="16"/>
        </w:rPr>
      </w:pPr>
      <w:r w:rsidRPr="00925F26">
        <w:rPr>
          <w:color w:val="000000" w:themeColor="text1"/>
          <w:sz w:val="16"/>
          <w:szCs w:val="16"/>
        </w:rPr>
        <w:t>6. Самолет Пе-2 с 2ВК-105ПФ со впрыском воды в цилиндры</w:t>
      </w:r>
    </w:p>
    <w:p w14:paraId="24215A26" w14:textId="77777777" w:rsidR="00104B87" w:rsidRPr="00925F26" w:rsidRDefault="00104B87" w:rsidP="00925F26">
      <w:pPr>
        <w:jc w:val="both"/>
        <w:rPr>
          <w:color w:val="000000" w:themeColor="text1"/>
          <w:sz w:val="16"/>
          <w:szCs w:val="16"/>
        </w:rPr>
      </w:pPr>
      <w:r w:rsidRPr="00925F26">
        <w:rPr>
          <w:color w:val="000000" w:themeColor="text1"/>
          <w:sz w:val="16"/>
          <w:szCs w:val="16"/>
        </w:rPr>
        <w:t>Работы по этой теме проводились на основании приказов НКАП от 16 ноября 1943 г. и от 14 июня 1943 г. на самолете № 14/226 с августа месяца 1943 г. Испытание схемы завода № 16 было закончено в ноябре 1943 г. с отрицательным результатом, после чего дальнейшие работы были временно приостановлены, а самолет № 14/226 был передан под другие модификации.</w:t>
      </w:r>
    </w:p>
    <w:p w14:paraId="2E8C2CB6" w14:textId="77777777" w:rsidR="00104B87" w:rsidRPr="00925F26" w:rsidRDefault="00104B87" w:rsidP="00925F26">
      <w:pPr>
        <w:jc w:val="both"/>
        <w:rPr>
          <w:color w:val="000000" w:themeColor="text1"/>
          <w:sz w:val="16"/>
          <w:szCs w:val="16"/>
        </w:rPr>
      </w:pPr>
      <w:r w:rsidRPr="00925F26">
        <w:rPr>
          <w:color w:val="000000" w:themeColor="text1"/>
          <w:sz w:val="16"/>
          <w:szCs w:val="16"/>
        </w:rPr>
        <w:t>На основании приказа НКАП от 2 марта 1944 г. с октября месяца 1944 г. работы по впрыску были возобновлены, но монтаж впрыска на самолетах в 1944 г. произведен не был, так как заводом № 16 вместо десяти моторов по приказу, были поданы только два мотора, приспособленные к оборудованию системой впрыска</w:t>
      </w:r>
    </w:p>
    <w:p w14:paraId="529C11D7" w14:textId="77777777" w:rsidR="00104B87" w:rsidRPr="00925F26" w:rsidRDefault="00104B87" w:rsidP="00925F26">
      <w:pPr>
        <w:jc w:val="both"/>
        <w:rPr>
          <w:color w:val="000000" w:themeColor="text1"/>
          <w:sz w:val="16"/>
          <w:szCs w:val="16"/>
        </w:rPr>
      </w:pPr>
      <w:r w:rsidRPr="00925F26">
        <w:rPr>
          <w:color w:val="000000" w:themeColor="text1"/>
          <w:sz w:val="16"/>
          <w:szCs w:val="16"/>
        </w:rPr>
        <w:t>ОКБ возбуждено ходатайство перед 7-м Главным управлением о перенесении этой темы на 1945 г.</w:t>
      </w:r>
    </w:p>
    <w:p w14:paraId="48654922" w14:textId="77777777" w:rsidR="00104B87" w:rsidRPr="00925F26" w:rsidRDefault="00104B87" w:rsidP="00925F26">
      <w:pPr>
        <w:jc w:val="both"/>
        <w:rPr>
          <w:color w:val="000000" w:themeColor="text1"/>
          <w:sz w:val="16"/>
          <w:szCs w:val="16"/>
        </w:rPr>
      </w:pPr>
      <w:r w:rsidRPr="00925F26">
        <w:rPr>
          <w:color w:val="000000" w:themeColor="text1"/>
          <w:sz w:val="16"/>
          <w:szCs w:val="16"/>
        </w:rPr>
        <w:t>7. Модификация самолета Пе-2 с 2 ВК-107А (2 экз.)</w:t>
      </w:r>
    </w:p>
    <w:p w14:paraId="70B389FF" w14:textId="77777777" w:rsidR="00104B87" w:rsidRPr="00925F26" w:rsidRDefault="00104B87" w:rsidP="00925F26">
      <w:pPr>
        <w:jc w:val="both"/>
        <w:rPr>
          <w:color w:val="000000" w:themeColor="text1"/>
          <w:sz w:val="16"/>
          <w:szCs w:val="16"/>
        </w:rPr>
      </w:pPr>
      <w:r w:rsidRPr="00925F26">
        <w:rPr>
          <w:color w:val="000000" w:themeColor="text1"/>
          <w:sz w:val="16"/>
          <w:szCs w:val="16"/>
        </w:rPr>
        <w:t>Дневной скоростной бомбардировщик с двумя моторами ВК-107А (Пе-2И) является модификацией на базе самолета Пе-2, имеющий цель увеличения скорости, дальности и грузоподъемности серийного самолета.</w:t>
      </w:r>
    </w:p>
    <w:p w14:paraId="32C1E403" w14:textId="77777777" w:rsidR="00104B87" w:rsidRPr="00925F26" w:rsidRDefault="00104B87" w:rsidP="00925F26">
      <w:pPr>
        <w:jc w:val="both"/>
        <w:rPr>
          <w:color w:val="000000" w:themeColor="text1"/>
          <w:sz w:val="16"/>
          <w:szCs w:val="16"/>
        </w:rPr>
      </w:pPr>
      <w:r w:rsidRPr="00925F26">
        <w:rPr>
          <w:color w:val="000000" w:themeColor="text1"/>
          <w:sz w:val="16"/>
          <w:szCs w:val="16"/>
        </w:rPr>
        <w:t>На основании приказа НКАП от 14 января 1944 г. ОКБ-22 с 16 января 1944 г. приступило к проектированию самолета 116-214, закончив его 22 февраля 1944 г. Макет самолета был закончен 28 февраля 1944 г., а 29 февраля 1944 г. принят Государственной макетной комиссией.</w:t>
      </w:r>
    </w:p>
    <w:p w14:paraId="535521FA" w14:textId="77777777" w:rsidR="00104B87" w:rsidRPr="00925F26" w:rsidRDefault="00104B87" w:rsidP="00925F26">
      <w:pPr>
        <w:jc w:val="both"/>
        <w:rPr>
          <w:color w:val="000000" w:themeColor="text1"/>
          <w:sz w:val="16"/>
          <w:szCs w:val="16"/>
        </w:rPr>
      </w:pPr>
      <w:r w:rsidRPr="00925F26">
        <w:rPr>
          <w:color w:val="000000" w:themeColor="text1"/>
          <w:sz w:val="16"/>
          <w:szCs w:val="16"/>
        </w:rPr>
        <w:t>Постройка 1-го экземпляра самолета была закончена 10 марта 1944 г., заводские предварительные испытания — 25 марта 1944 г., после чего самолет был отправлен 28 февраля 1944 г. в НИИ ВВС Красной Армии для проведения совместных испытаний.</w:t>
      </w:r>
    </w:p>
    <w:p w14:paraId="04055A54" w14:textId="77777777" w:rsidR="00104B87" w:rsidRPr="00925F26" w:rsidRDefault="00104B87" w:rsidP="00925F26">
      <w:pPr>
        <w:jc w:val="both"/>
        <w:rPr>
          <w:color w:val="000000" w:themeColor="text1"/>
          <w:sz w:val="16"/>
          <w:szCs w:val="16"/>
        </w:rPr>
      </w:pPr>
      <w:r w:rsidRPr="00925F26">
        <w:rPr>
          <w:color w:val="000000" w:themeColor="text1"/>
          <w:sz w:val="16"/>
          <w:szCs w:val="16"/>
        </w:rPr>
        <w:t>Постройка 2-го экземпляра самолета была закончена 30 апреля 1944 г., а 1 июня 1944 г. после прохождения предварительных заводских испытаний самолет был передан в НИИ ВВС Красной Армии на совместные испытания.</w:t>
      </w:r>
    </w:p>
    <w:p w14:paraId="5C66E835" w14:textId="77777777" w:rsidR="00104B87" w:rsidRPr="00925F26" w:rsidRDefault="00104B87" w:rsidP="00925F26">
      <w:pPr>
        <w:jc w:val="both"/>
        <w:rPr>
          <w:color w:val="000000" w:themeColor="text1"/>
          <w:sz w:val="16"/>
          <w:szCs w:val="16"/>
        </w:rPr>
      </w:pPr>
      <w:r w:rsidRPr="00925F26">
        <w:rPr>
          <w:color w:val="000000" w:themeColor="text1"/>
          <w:sz w:val="16"/>
          <w:szCs w:val="16"/>
        </w:rPr>
        <w:t>Статиспытание агрегатов самолета Пе-2И было закончено 25 марта 1944 г. По окончанию госиспытаний и отработок выявленных дефектов 1-й экземпляр самолета передан для продолжения испытаний в ЛИИ, а 2-й экземпляр — на завод № 482, где эти самолеты находятся и в настоящее время (акт госиспытаний от 31 июля № ЦИС/01150).</w:t>
      </w:r>
    </w:p>
    <w:p w14:paraId="72E73316" w14:textId="77777777" w:rsidR="00104B87" w:rsidRPr="00925F26" w:rsidRDefault="00104B87" w:rsidP="00925F26">
      <w:pPr>
        <w:jc w:val="both"/>
        <w:rPr>
          <w:color w:val="000000" w:themeColor="text1"/>
          <w:sz w:val="16"/>
          <w:szCs w:val="16"/>
        </w:rPr>
      </w:pPr>
      <w:r w:rsidRPr="00925F26">
        <w:rPr>
          <w:color w:val="000000" w:themeColor="text1"/>
          <w:sz w:val="16"/>
          <w:szCs w:val="16"/>
        </w:rPr>
        <w:t>Кроме того, ОКБ был разработан и изготовлен в опытном цехе в ноябре месяце 1944 г. стенд (макет) технологических разъемов Ф-1 и Ф—3.</w:t>
      </w:r>
    </w:p>
    <w:p w14:paraId="2A9FBA2C" w14:textId="77777777" w:rsidR="00104B87" w:rsidRPr="00925F26" w:rsidRDefault="00104B87" w:rsidP="00925F26">
      <w:pPr>
        <w:jc w:val="both"/>
        <w:rPr>
          <w:color w:val="000000" w:themeColor="text1"/>
          <w:sz w:val="16"/>
          <w:szCs w:val="16"/>
        </w:rPr>
      </w:pPr>
      <w:r w:rsidRPr="00925F26">
        <w:rPr>
          <w:color w:val="000000" w:themeColor="text1"/>
          <w:sz w:val="16"/>
          <w:szCs w:val="16"/>
        </w:rPr>
        <w:t>8. Модификация самолета Пе-2И с 2ВК-107А в варианте истребителя с дополнительным пушечным вооружением</w:t>
      </w:r>
    </w:p>
    <w:p w14:paraId="4CB5E21B" w14:textId="77777777" w:rsidR="00104B87" w:rsidRPr="00925F26" w:rsidRDefault="00104B87" w:rsidP="00925F26">
      <w:pPr>
        <w:jc w:val="both"/>
        <w:rPr>
          <w:color w:val="000000" w:themeColor="text1"/>
          <w:sz w:val="16"/>
          <w:szCs w:val="16"/>
        </w:rPr>
      </w:pPr>
      <w:r w:rsidRPr="00925F26">
        <w:rPr>
          <w:color w:val="000000" w:themeColor="text1"/>
          <w:sz w:val="16"/>
          <w:szCs w:val="16"/>
        </w:rPr>
        <w:t>Проектирование Пе-2И с дополнительным пушечным сооружением было в основном закончено 22 июня 1944 г.</w:t>
      </w:r>
    </w:p>
    <w:p w14:paraId="78B00185" w14:textId="77777777" w:rsidR="00104B87" w:rsidRPr="00925F26" w:rsidRDefault="00104B87" w:rsidP="00925F26">
      <w:pPr>
        <w:jc w:val="both"/>
        <w:rPr>
          <w:color w:val="000000" w:themeColor="text1"/>
          <w:sz w:val="16"/>
          <w:szCs w:val="16"/>
        </w:rPr>
      </w:pPr>
      <w:r w:rsidRPr="00925F26">
        <w:rPr>
          <w:color w:val="000000" w:themeColor="text1"/>
          <w:sz w:val="16"/>
          <w:szCs w:val="16"/>
        </w:rPr>
        <w:t>В 1944 г. закончено изготовление специального стенда для отстрела батареи, лафета и всего необходимого оборудования для монтажа оружия на самолете и отправлено на завод № 482, где будет произведен отстрел батареи.</w:t>
      </w:r>
    </w:p>
    <w:p w14:paraId="133731BF" w14:textId="77777777" w:rsidR="00104B87" w:rsidRPr="00925F26" w:rsidRDefault="00104B87" w:rsidP="00925F26">
      <w:pPr>
        <w:jc w:val="both"/>
        <w:rPr>
          <w:color w:val="000000" w:themeColor="text1"/>
          <w:sz w:val="16"/>
          <w:szCs w:val="16"/>
        </w:rPr>
      </w:pPr>
      <w:r w:rsidRPr="00925F26">
        <w:rPr>
          <w:color w:val="000000" w:themeColor="text1"/>
          <w:sz w:val="16"/>
          <w:szCs w:val="16"/>
        </w:rPr>
        <w:t>Закончена постройка самолетного стенда для отработки отстрела батареи (этот стенд временно был использован под макет самолета ДБ-108). Установка батареи на самолет в 1944 г. произведена не была, так как завод № 22 не подал предназначенного для этой цели самолета из головной серии самолетов Пе-2И, поэтому было возбуждено ходатайство перед 7-м Главным управлением НКАП о перенесении этой темы на 1945 г.</w:t>
      </w:r>
    </w:p>
    <w:p w14:paraId="477C2B8D" w14:textId="77777777" w:rsidR="00104B87" w:rsidRPr="00925F26" w:rsidRDefault="00104B87" w:rsidP="00925F26">
      <w:pPr>
        <w:jc w:val="both"/>
        <w:rPr>
          <w:color w:val="000000" w:themeColor="text1"/>
          <w:sz w:val="16"/>
          <w:szCs w:val="16"/>
        </w:rPr>
      </w:pPr>
      <w:r w:rsidRPr="00925F26">
        <w:rPr>
          <w:color w:val="000000" w:themeColor="text1"/>
          <w:sz w:val="16"/>
          <w:szCs w:val="16"/>
        </w:rPr>
        <w:t>9. Услуги заводу № 22 по головной серии самолетов Пе-2И</w:t>
      </w:r>
    </w:p>
    <w:p w14:paraId="019F9EC9" w14:textId="77777777" w:rsidR="00104B87" w:rsidRPr="00925F26" w:rsidRDefault="00104B87" w:rsidP="00925F26">
      <w:pPr>
        <w:jc w:val="both"/>
        <w:rPr>
          <w:color w:val="000000" w:themeColor="text1"/>
          <w:sz w:val="16"/>
          <w:szCs w:val="16"/>
        </w:rPr>
      </w:pPr>
      <w:r w:rsidRPr="00925F26">
        <w:rPr>
          <w:color w:val="000000" w:themeColor="text1"/>
          <w:sz w:val="16"/>
          <w:szCs w:val="16"/>
        </w:rPr>
        <w:t>На основании приказа НКАП от 27 июня 1944 г. ОКБ-22 разработало серийные чертежи самолета Пе-2И, закончив сдачу их в СКО завода № 22 к 24 июля 1944 г.</w:t>
      </w:r>
    </w:p>
    <w:p w14:paraId="639B4156" w14:textId="77777777" w:rsidR="00104B87" w:rsidRPr="00925F26" w:rsidRDefault="00104B87" w:rsidP="00925F26">
      <w:pPr>
        <w:jc w:val="both"/>
        <w:rPr>
          <w:color w:val="000000" w:themeColor="text1"/>
          <w:sz w:val="16"/>
          <w:szCs w:val="16"/>
        </w:rPr>
      </w:pPr>
      <w:r w:rsidRPr="00925F26">
        <w:rPr>
          <w:color w:val="000000" w:themeColor="text1"/>
          <w:sz w:val="16"/>
          <w:szCs w:val="16"/>
        </w:rPr>
        <w:t>10. Двухмоторный скоростной дневной бомбардировщик с 2ВК-108 (2 экз.)</w:t>
      </w:r>
    </w:p>
    <w:p w14:paraId="5626628C" w14:textId="77777777" w:rsidR="00104B87" w:rsidRPr="00925F26" w:rsidRDefault="00104B87" w:rsidP="00925F26">
      <w:pPr>
        <w:jc w:val="both"/>
        <w:rPr>
          <w:color w:val="000000" w:themeColor="text1"/>
          <w:sz w:val="16"/>
          <w:szCs w:val="16"/>
        </w:rPr>
      </w:pPr>
      <w:r w:rsidRPr="00925F26">
        <w:rPr>
          <w:color w:val="000000" w:themeColor="text1"/>
          <w:sz w:val="16"/>
          <w:szCs w:val="16"/>
        </w:rPr>
        <w:t>С августа месяца 1944 г. на основании приказа НКАП от 27 июня 1944 г. ОКБ-22 приступило к проектированию самолета ДБ-108.</w:t>
      </w:r>
    </w:p>
    <w:p w14:paraId="199F8627"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Проектирование самолета было закончено 10 сентября 1944 г. </w:t>
      </w:r>
    </w:p>
    <w:p w14:paraId="17EA5239" w14:textId="77777777" w:rsidR="00104B87" w:rsidRPr="00925F26" w:rsidRDefault="00104B87" w:rsidP="00925F26">
      <w:pPr>
        <w:jc w:val="both"/>
        <w:rPr>
          <w:color w:val="000000" w:themeColor="text1"/>
          <w:sz w:val="16"/>
          <w:szCs w:val="16"/>
        </w:rPr>
      </w:pPr>
      <w:r w:rsidRPr="00925F26">
        <w:rPr>
          <w:color w:val="000000" w:themeColor="text1"/>
          <w:sz w:val="16"/>
          <w:szCs w:val="16"/>
        </w:rPr>
        <w:t>Макет самолета был принят Государственной макетной комиссией 9 декабря 1944 г. К постройке 1-го экземпляра самолета опыт- ныи цех приступил с сентября месяца 1944 г., но работы сильно задержались из-за несвоевременной подачи агрегатов самолета серийными цехами завода № 22 [...] и готовых изделий заводами поставщиками [...] .1</w:t>
      </w:r>
    </w:p>
    <w:p w14:paraId="13611633" w14:textId="77777777" w:rsidR="00104B87" w:rsidRPr="00925F26" w:rsidRDefault="00104B87" w:rsidP="00925F26">
      <w:pPr>
        <w:jc w:val="both"/>
        <w:rPr>
          <w:color w:val="000000" w:themeColor="text1"/>
          <w:sz w:val="16"/>
          <w:szCs w:val="16"/>
        </w:rPr>
      </w:pPr>
      <w:r w:rsidRPr="00925F26">
        <w:rPr>
          <w:color w:val="000000" w:themeColor="text1"/>
          <w:sz w:val="16"/>
          <w:szCs w:val="16"/>
        </w:rPr>
        <w:lastRenderedPageBreak/>
        <w:t xml:space="preserve">30 декабря 1944 г. первый экземпляр самолета ДБ-108 закончен в производстве и передан в ЛЭС для проведения работ по третьему этапу графика главного конструктора (наземные испытания, гонки моторов и проведения дальнейших доводочных работ в процессе наземных испытаний и по замечаниям макетной комиссии, </w:t>
      </w:r>
      <w:proofErr w:type="gramStart"/>
      <w:r w:rsidRPr="00925F26">
        <w:rPr>
          <w:color w:val="000000" w:themeColor="text1"/>
          <w:sz w:val="16"/>
          <w:szCs w:val="16"/>
        </w:rPr>
        <w:t>согласно перечня</w:t>
      </w:r>
      <w:proofErr w:type="gramEnd"/>
      <w:r w:rsidRPr="00925F26">
        <w:rPr>
          <w:color w:val="000000" w:themeColor="text1"/>
          <w:sz w:val="16"/>
          <w:szCs w:val="16"/>
        </w:rPr>
        <w:t xml:space="preserve"> работ, утвержденного главным конструктором).</w:t>
      </w:r>
    </w:p>
    <w:p w14:paraId="0E9D4C91" w14:textId="77777777" w:rsidR="00104B87" w:rsidRPr="00925F26" w:rsidRDefault="00104B87" w:rsidP="00925F26">
      <w:pPr>
        <w:jc w:val="both"/>
        <w:rPr>
          <w:color w:val="000000" w:themeColor="text1"/>
          <w:sz w:val="16"/>
          <w:szCs w:val="16"/>
        </w:rPr>
      </w:pPr>
      <w:r w:rsidRPr="00925F26">
        <w:rPr>
          <w:color w:val="000000" w:themeColor="text1"/>
          <w:sz w:val="16"/>
          <w:szCs w:val="16"/>
        </w:rPr>
        <w:t>По второму экземпляру в 1944 г. велись лишь заготовительные работы, так как готовые изделия (моторы ВК-108, винты, радиаторы и т. д.) в 1944 г. ОКБ были получены только в одном комплекте (на 1-ю машину).</w:t>
      </w:r>
    </w:p>
    <w:p w14:paraId="438F0655" w14:textId="77777777" w:rsidR="00104B87" w:rsidRPr="00925F26" w:rsidRDefault="00104B87" w:rsidP="00925F26">
      <w:pPr>
        <w:jc w:val="both"/>
        <w:rPr>
          <w:color w:val="000000" w:themeColor="text1"/>
          <w:sz w:val="16"/>
          <w:szCs w:val="16"/>
        </w:rPr>
      </w:pPr>
      <w:r w:rsidRPr="00925F26">
        <w:rPr>
          <w:color w:val="000000" w:themeColor="text1"/>
          <w:sz w:val="16"/>
          <w:szCs w:val="16"/>
        </w:rPr>
        <w:t>Из агрегатов для статиспытаний от завода № 22 в конце декабря месяца был получен комплект крыльев.</w:t>
      </w:r>
    </w:p>
    <w:p w14:paraId="60F2B26F" w14:textId="77777777" w:rsidR="00104B87" w:rsidRPr="00925F26" w:rsidRDefault="00104B87" w:rsidP="00925F26">
      <w:pPr>
        <w:jc w:val="both"/>
        <w:rPr>
          <w:color w:val="000000" w:themeColor="text1"/>
          <w:sz w:val="16"/>
          <w:szCs w:val="16"/>
        </w:rPr>
      </w:pPr>
      <w:r w:rsidRPr="00925F26">
        <w:rPr>
          <w:color w:val="000000" w:themeColor="text1"/>
          <w:sz w:val="16"/>
          <w:szCs w:val="16"/>
        </w:rPr>
        <w:t>По указанным причинам ОКБ было возбуждено ходатайство перед заместителем начальника 7-го Главного управления НКАП тов. Алексеевым о перенесении постройки второго экземпляра самолета ДБ-108 на I квартал 1945 г. (письмо от 15 декабря 1944 г.).</w:t>
      </w:r>
    </w:p>
    <w:p w14:paraId="59B43812" w14:textId="77777777" w:rsidR="00104B87" w:rsidRPr="00925F26" w:rsidRDefault="00104B87" w:rsidP="00925F26">
      <w:pPr>
        <w:jc w:val="both"/>
        <w:rPr>
          <w:color w:val="000000" w:themeColor="text1"/>
          <w:sz w:val="16"/>
          <w:szCs w:val="16"/>
        </w:rPr>
      </w:pPr>
      <w:r w:rsidRPr="00925F26">
        <w:rPr>
          <w:color w:val="000000" w:themeColor="text1"/>
          <w:sz w:val="16"/>
          <w:szCs w:val="16"/>
        </w:rPr>
        <w:t>Опытные работы по тяжелым самолетам (проводимые ОКБ главного конструктора т. Незваль И.Ф.)</w:t>
      </w:r>
    </w:p>
    <w:p w14:paraId="71D7EC05" w14:textId="77777777" w:rsidR="00104B87" w:rsidRPr="00925F26" w:rsidRDefault="00104B87" w:rsidP="00925F26">
      <w:pPr>
        <w:jc w:val="both"/>
        <w:rPr>
          <w:color w:val="000000" w:themeColor="text1"/>
          <w:sz w:val="16"/>
          <w:szCs w:val="16"/>
        </w:rPr>
      </w:pPr>
      <w:r w:rsidRPr="00925F26">
        <w:rPr>
          <w:color w:val="000000" w:themeColor="text1"/>
          <w:sz w:val="16"/>
          <w:szCs w:val="16"/>
        </w:rPr>
        <w:t>В отчетном 1944 г. работа проходила по следующим темам:</w:t>
      </w:r>
    </w:p>
    <w:p w14:paraId="038661B9" w14:textId="77777777" w:rsidR="00104B87" w:rsidRPr="00925F26" w:rsidRDefault="00104B87" w:rsidP="00925F26">
      <w:pPr>
        <w:jc w:val="both"/>
        <w:rPr>
          <w:color w:val="000000" w:themeColor="text1"/>
          <w:sz w:val="16"/>
          <w:szCs w:val="16"/>
        </w:rPr>
      </w:pPr>
      <w:r w:rsidRPr="00925F26">
        <w:rPr>
          <w:color w:val="000000" w:themeColor="text1"/>
          <w:sz w:val="16"/>
          <w:szCs w:val="16"/>
        </w:rPr>
        <w:t>1. Проектирование и постройка модифицированного тяжелого дальнего бомбардировщика Пе-8 с увеличенной бомбовой нагрузкой с 4АШ-82ФН с ТК-3.</w:t>
      </w:r>
    </w:p>
    <w:p w14:paraId="555FAAE1" w14:textId="77777777" w:rsidR="00104B87" w:rsidRPr="00925F26" w:rsidRDefault="00104B87" w:rsidP="00925F26">
      <w:pPr>
        <w:jc w:val="both"/>
        <w:rPr>
          <w:color w:val="000000" w:themeColor="text1"/>
          <w:sz w:val="16"/>
          <w:szCs w:val="16"/>
        </w:rPr>
      </w:pPr>
      <w:r w:rsidRPr="00925F26">
        <w:rPr>
          <w:color w:val="000000" w:themeColor="text1"/>
          <w:sz w:val="16"/>
          <w:szCs w:val="16"/>
        </w:rPr>
        <w:t>Проектирование и постройка вышеуказанного самолета первоначально производилась в соответствии с приказом НКАП от 18 октября 1943 г.</w:t>
      </w:r>
    </w:p>
    <w:p w14:paraId="522B6E2D" w14:textId="77777777" w:rsidR="00104B87" w:rsidRPr="00925F26" w:rsidRDefault="00104B87" w:rsidP="00925F26">
      <w:pPr>
        <w:jc w:val="both"/>
        <w:rPr>
          <w:color w:val="000000" w:themeColor="text1"/>
          <w:sz w:val="16"/>
          <w:szCs w:val="16"/>
        </w:rPr>
      </w:pPr>
      <w:r w:rsidRPr="00925F26">
        <w:rPr>
          <w:color w:val="000000" w:themeColor="text1"/>
          <w:sz w:val="16"/>
          <w:szCs w:val="16"/>
        </w:rPr>
        <w:t>По сравнению с серийным самолетом Пе-8 проект предусматривал следующие изменения:</w:t>
      </w:r>
    </w:p>
    <w:p w14:paraId="672E9886" w14:textId="77777777" w:rsidR="00104B87" w:rsidRPr="00925F26" w:rsidRDefault="00104B87" w:rsidP="00925F26">
      <w:pPr>
        <w:jc w:val="both"/>
        <w:rPr>
          <w:color w:val="000000" w:themeColor="text1"/>
          <w:sz w:val="16"/>
          <w:szCs w:val="16"/>
        </w:rPr>
      </w:pPr>
      <w:r w:rsidRPr="00925F26">
        <w:rPr>
          <w:color w:val="000000" w:themeColor="text1"/>
          <w:sz w:val="16"/>
          <w:szCs w:val="16"/>
        </w:rPr>
        <w:t>а) новую компоновку передней части фюзеляжа с целью расположения обоих летчиков рядом;</w:t>
      </w:r>
    </w:p>
    <w:p w14:paraId="019E4744" w14:textId="77777777" w:rsidR="00104B87" w:rsidRPr="00925F26" w:rsidRDefault="00104B87" w:rsidP="00925F26">
      <w:pPr>
        <w:jc w:val="both"/>
        <w:rPr>
          <w:color w:val="000000" w:themeColor="text1"/>
          <w:sz w:val="16"/>
          <w:szCs w:val="16"/>
        </w:rPr>
      </w:pPr>
      <w:r w:rsidRPr="00925F26">
        <w:rPr>
          <w:color w:val="000000" w:themeColor="text1"/>
          <w:sz w:val="16"/>
          <w:szCs w:val="16"/>
        </w:rPr>
        <w:t>б) увеличение длины бомбового отсека, обеспечивающего размещение:</w:t>
      </w:r>
    </w:p>
    <w:p w14:paraId="3020B579" w14:textId="77777777" w:rsidR="00104B87" w:rsidRPr="00925F26" w:rsidRDefault="00104B87" w:rsidP="00925F26">
      <w:pPr>
        <w:jc w:val="both"/>
        <w:rPr>
          <w:color w:val="000000" w:themeColor="text1"/>
          <w:sz w:val="16"/>
          <w:szCs w:val="16"/>
        </w:rPr>
      </w:pPr>
      <w:r w:rsidRPr="00925F26">
        <w:rPr>
          <w:color w:val="000000" w:themeColor="text1"/>
          <w:sz w:val="16"/>
          <w:szCs w:val="16"/>
        </w:rPr>
        <w:t>1 бомбы — ФАБ — 5000</w:t>
      </w:r>
    </w:p>
    <w:p w14:paraId="71DEBE85" w14:textId="77777777" w:rsidR="00104B87" w:rsidRPr="00925F26" w:rsidRDefault="00104B87" w:rsidP="00925F26">
      <w:pPr>
        <w:jc w:val="both"/>
        <w:rPr>
          <w:color w:val="000000" w:themeColor="text1"/>
          <w:sz w:val="16"/>
          <w:szCs w:val="16"/>
        </w:rPr>
      </w:pPr>
      <w:r w:rsidRPr="00925F26">
        <w:rPr>
          <w:color w:val="000000" w:themeColor="text1"/>
          <w:sz w:val="16"/>
          <w:szCs w:val="16"/>
        </w:rPr>
        <w:t>2 бомб - ФАБ - 2000</w:t>
      </w:r>
    </w:p>
    <w:p w14:paraId="093FD850" w14:textId="77777777" w:rsidR="00104B87" w:rsidRPr="00925F26" w:rsidRDefault="00104B87" w:rsidP="00925F26">
      <w:pPr>
        <w:jc w:val="both"/>
        <w:rPr>
          <w:color w:val="000000" w:themeColor="text1"/>
          <w:sz w:val="16"/>
          <w:szCs w:val="16"/>
        </w:rPr>
      </w:pPr>
      <w:r w:rsidRPr="00925F26">
        <w:rPr>
          <w:color w:val="000000" w:themeColor="text1"/>
          <w:sz w:val="16"/>
          <w:szCs w:val="16"/>
        </w:rPr>
        <w:t>3 бомб - ФАБ - 1000</w:t>
      </w:r>
    </w:p>
    <w:p w14:paraId="715A24CA" w14:textId="77777777" w:rsidR="00104B87" w:rsidRPr="00925F26" w:rsidRDefault="00104B87" w:rsidP="00925F26">
      <w:pPr>
        <w:jc w:val="both"/>
        <w:rPr>
          <w:color w:val="000000" w:themeColor="text1"/>
          <w:sz w:val="16"/>
          <w:szCs w:val="16"/>
        </w:rPr>
      </w:pPr>
      <w:r w:rsidRPr="00925F26">
        <w:rPr>
          <w:color w:val="000000" w:themeColor="text1"/>
          <w:sz w:val="16"/>
          <w:szCs w:val="16"/>
        </w:rPr>
        <w:t>и так далее;</w:t>
      </w:r>
    </w:p>
    <w:p w14:paraId="2A424E46" w14:textId="77777777" w:rsidR="00104B87" w:rsidRPr="00925F26" w:rsidRDefault="00104B87" w:rsidP="00925F26">
      <w:pPr>
        <w:jc w:val="both"/>
        <w:rPr>
          <w:color w:val="000000" w:themeColor="text1"/>
          <w:sz w:val="16"/>
          <w:szCs w:val="16"/>
        </w:rPr>
      </w:pPr>
      <w:r w:rsidRPr="00925F26">
        <w:rPr>
          <w:color w:val="000000" w:themeColor="text1"/>
          <w:sz w:val="16"/>
          <w:szCs w:val="16"/>
        </w:rPr>
        <w:t>в) улучшение аэродинамики самолета;</w:t>
      </w:r>
    </w:p>
    <w:p w14:paraId="4CC194B1" w14:textId="77777777" w:rsidR="00104B87" w:rsidRPr="00925F26" w:rsidRDefault="00104B87" w:rsidP="00925F26">
      <w:pPr>
        <w:jc w:val="both"/>
        <w:rPr>
          <w:color w:val="000000" w:themeColor="text1"/>
          <w:sz w:val="16"/>
          <w:szCs w:val="16"/>
        </w:rPr>
      </w:pPr>
      <w:r w:rsidRPr="00925F26">
        <w:rPr>
          <w:color w:val="000000" w:themeColor="text1"/>
          <w:sz w:val="16"/>
          <w:szCs w:val="16"/>
        </w:rPr>
        <w:t>г) увеличение прочности лонжеронов центроплана, консоли крыла, фюзеляжа и шасси до полетного веса 37,5 тонн, что позволяет перевозить вдвое большее количество бомб (4000 кг) на расстояние в 5000 км.</w:t>
      </w:r>
    </w:p>
    <w:p w14:paraId="39722C28" w14:textId="77777777" w:rsidR="00104B87" w:rsidRPr="00925F26" w:rsidRDefault="00104B87" w:rsidP="00925F26">
      <w:pPr>
        <w:jc w:val="both"/>
        <w:rPr>
          <w:color w:val="000000" w:themeColor="text1"/>
          <w:sz w:val="16"/>
          <w:szCs w:val="16"/>
        </w:rPr>
      </w:pPr>
      <w:r w:rsidRPr="00925F26">
        <w:rPr>
          <w:color w:val="000000" w:themeColor="text1"/>
          <w:sz w:val="16"/>
          <w:szCs w:val="16"/>
        </w:rPr>
        <w:t>Модификация предусматривала установку на самолет дизельмоторов М-31, бензиновых моторов АШ-82 с ТК-3.</w:t>
      </w:r>
    </w:p>
    <w:p w14:paraId="6C14DCE9" w14:textId="77777777" w:rsidR="00104B87" w:rsidRPr="00925F26" w:rsidRDefault="00104B87" w:rsidP="00925F26">
      <w:pPr>
        <w:jc w:val="both"/>
        <w:rPr>
          <w:color w:val="000000" w:themeColor="text1"/>
          <w:sz w:val="16"/>
          <w:szCs w:val="16"/>
        </w:rPr>
      </w:pPr>
      <w:r w:rsidRPr="00925F26">
        <w:rPr>
          <w:color w:val="000000" w:themeColor="text1"/>
          <w:sz w:val="16"/>
          <w:szCs w:val="16"/>
        </w:rPr>
        <w:t>Модифицированный самолет Пе-8 обладал следующими летными и боевыми качествами:</w:t>
      </w:r>
    </w:p>
    <w:p w14:paraId="776BC370" w14:textId="77777777" w:rsidR="00104B87" w:rsidRPr="00925F26" w:rsidRDefault="00104B87" w:rsidP="00925F26">
      <w:pPr>
        <w:jc w:val="both"/>
        <w:rPr>
          <w:color w:val="000000" w:themeColor="text1"/>
          <w:sz w:val="16"/>
          <w:szCs w:val="16"/>
        </w:rPr>
      </w:pPr>
      <w:r w:rsidRPr="00925F26">
        <w:rPr>
          <w:color w:val="000000" w:themeColor="text1"/>
          <w:sz w:val="16"/>
          <w:szCs w:val="16"/>
        </w:rPr>
        <w:t>летные данные самолета при полетном весе 30 тонн:</w:t>
      </w:r>
    </w:p>
    <w:tbl>
      <w:tblPr>
        <w:tblStyle w:val="affc"/>
        <w:tblW w:w="0" w:type="auto"/>
        <w:tblInd w:w="150" w:type="dxa"/>
        <w:tblLook w:val="04A0" w:firstRow="1" w:lastRow="0" w:firstColumn="1" w:lastColumn="0" w:noHBand="0" w:noVBand="1"/>
      </w:tblPr>
      <w:tblGrid>
        <w:gridCol w:w="1219"/>
        <w:gridCol w:w="982"/>
        <w:gridCol w:w="1637"/>
        <w:gridCol w:w="916"/>
      </w:tblGrid>
      <w:tr w:rsidR="00104B87" w:rsidRPr="00925F26" w14:paraId="70944139" w14:textId="77777777" w:rsidTr="004C5D62">
        <w:tc>
          <w:tcPr>
            <w:tcW w:w="916" w:type="dxa"/>
          </w:tcPr>
          <w:p w14:paraId="7C3595FF" w14:textId="77777777" w:rsidR="00104B87" w:rsidRPr="00925F26" w:rsidRDefault="00104B87" w:rsidP="00925F26">
            <w:pPr>
              <w:jc w:val="both"/>
              <w:rPr>
                <w:color w:val="000000" w:themeColor="text1"/>
                <w:sz w:val="16"/>
                <w:szCs w:val="16"/>
              </w:rPr>
            </w:pPr>
            <w:r w:rsidRPr="00925F26">
              <w:rPr>
                <w:color w:val="000000" w:themeColor="text1"/>
                <w:sz w:val="16"/>
                <w:szCs w:val="16"/>
              </w:rPr>
              <w:t>Данные</w:t>
            </w:r>
          </w:p>
        </w:tc>
        <w:tc>
          <w:tcPr>
            <w:tcW w:w="916" w:type="dxa"/>
          </w:tcPr>
          <w:p w14:paraId="2EC850A6" w14:textId="77777777" w:rsidR="00104B87" w:rsidRPr="00925F26" w:rsidRDefault="00104B87" w:rsidP="00925F26">
            <w:pPr>
              <w:jc w:val="both"/>
              <w:rPr>
                <w:color w:val="000000" w:themeColor="text1"/>
                <w:sz w:val="16"/>
                <w:szCs w:val="16"/>
              </w:rPr>
            </w:pPr>
            <w:r w:rsidRPr="00925F26">
              <w:rPr>
                <w:color w:val="000000" w:themeColor="text1"/>
                <w:sz w:val="16"/>
                <w:szCs w:val="16"/>
              </w:rPr>
              <w:t>Серийный</w:t>
            </w:r>
          </w:p>
        </w:tc>
        <w:tc>
          <w:tcPr>
            <w:tcW w:w="916" w:type="dxa"/>
          </w:tcPr>
          <w:p w14:paraId="55CAB144" w14:textId="77777777" w:rsidR="00104B87" w:rsidRPr="00925F26" w:rsidRDefault="00104B87" w:rsidP="00925F26">
            <w:pPr>
              <w:jc w:val="both"/>
              <w:rPr>
                <w:color w:val="000000" w:themeColor="text1"/>
                <w:sz w:val="16"/>
                <w:szCs w:val="16"/>
              </w:rPr>
            </w:pPr>
            <w:r w:rsidRPr="00925F26">
              <w:rPr>
                <w:color w:val="000000" w:themeColor="text1"/>
                <w:sz w:val="16"/>
                <w:szCs w:val="16"/>
              </w:rPr>
              <w:t>Модифицированный самолет</w:t>
            </w:r>
          </w:p>
        </w:tc>
        <w:tc>
          <w:tcPr>
            <w:tcW w:w="916" w:type="dxa"/>
          </w:tcPr>
          <w:p w14:paraId="5BFF6A0C" w14:textId="77777777" w:rsidR="00104B87" w:rsidRPr="00925F26" w:rsidRDefault="00104B87" w:rsidP="00925F26">
            <w:pPr>
              <w:jc w:val="both"/>
              <w:rPr>
                <w:color w:val="000000" w:themeColor="text1"/>
                <w:sz w:val="16"/>
                <w:szCs w:val="16"/>
              </w:rPr>
            </w:pPr>
          </w:p>
        </w:tc>
      </w:tr>
      <w:tr w:rsidR="00104B87" w:rsidRPr="00925F26" w14:paraId="22954324" w14:textId="77777777" w:rsidTr="004C5D62">
        <w:tc>
          <w:tcPr>
            <w:tcW w:w="916" w:type="dxa"/>
          </w:tcPr>
          <w:p w14:paraId="02971302" w14:textId="77777777" w:rsidR="00104B87" w:rsidRPr="00925F26" w:rsidRDefault="00104B87" w:rsidP="00925F26">
            <w:pPr>
              <w:jc w:val="both"/>
              <w:rPr>
                <w:color w:val="000000" w:themeColor="text1"/>
                <w:sz w:val="16"/>
                <w:szCs w:val="16"/>
              </w:rPr>
            </w:pPr>
          </w:p>
        </w:tc>
        <w:tc>
          <w:tcPr>
            <w:tcW w:w="916" w:type="dxa"/>
          </w:tcPr>
          <w:p w14:paraId="78C0EB65" w14:textId="77777777" w:rsidR="00104B87" w:rsidRPr="00925F26" w:rsidRDefault="00104B87" w:rsidP="00925F26">
            <w:pPr>
              <w:jc w:val="both"/>
              <w:rPr>
                <w:color w:val="000000" w:themeColor="text1"/>
                <w:sz w:val="16"/>
                <w:szCs w:val="16"/>
              </w:rPr>
            </w:pPr>
            <w:r w:rsidRPr="00925F26">
              <w:rPr>
                <w:color w:val="000000" w:themeColor="text1"/>
                <w:sz w:val="16"/>
                <w:szCs w:val="16"/>
              </w:rPr>
              <w:t>самолет с АШ-82</w:t>
            </w:r>
          </w:p>
        </w:tc>
        <w:tc>
          <w:tcPr>
            <w:tcW w:w="916" w:type="dxa"/>
          </w:tcPr>
          <w:p w14:paraId="1C138053" w14:textId="77777777" w:rsidR="00104B87" w:rsidRPr="00925F26" w:rsidRDefault="00104B87" w:rsidP="00925F26">
            <w:pPr>
              <w:jc w:val="both"/>
              <w:rPr>
                <w:color w:val="000000" w:themeColor="text1"/>
                <w:sz w:val="16"/>
                <w:szCs w:val="16"/>
              </w:rPr>
            </w:pPr>
            <w:r w:rsidRPr="00925F26">
              <w:rPr>
                <w:color w:val="000000" w:themeColor="text1"/>
                <w:sz w:val="16"/>
                <w:szCs w:val="16"/>
              </w:rPr>
              <w:t>с М-31</w:t>
            </w:r>
          </w:p>
        </w:tc>
        <w:tc>
          <w:tcPr>
            <w:tcW w:w="916" w:type="dxa"/>
          </w:tcPr>
          <w:p w14:paraId="332EB9A8" w14:textId="77777777" w:rsidR="00104B87" w:rsidRPr="00925F26" w:rsidRDefault="00104B87" w:rsidP="00925F26">
            <w:pPr>
              <w:jc w:val="both"/>
              <w:rPr>
                <w:color w:val="000000" w:themeColor="text1"/>
                <w:sz w:val="16"/>
                <w:szCs w:val="16"/>
              </w:rPr>
            </w:pPr>
            <w:r w:rsidRPr="00925F26">
              <w:rPr>
                <w:color w:val="000000" w:themeColor="text1"/>
                <w:sz w:val="16"/>
                <w:szCs w:val="16"/>
              </w:rPr>
              <w:t>с АШ-82 ФН с ТК-3</w:t>
            </w:r>
          </w:p>
        </w:tc>
      </w:tr>
      <w:tr w:rsidR="00104B87" w:rsidRPr="00925F26" w14:paraId="38D06040" w14:textId="77777777" w:rsidTr="004C5D62">
        <w:tc>
          <w:tcPr>
            <w:tcW w:w="916" w:type="dxa"/>
          </w:tcPr>
          <w:p w14:paraId="533D7F23" w14:textId="77777777" w:rsidR="00104B87" w:rsidRPr="00925F26" w:rsidRDefault="00104B87" w:rsidP="00925F26">
            <w:pPr>
              <w:jc w:val="both"/>
              <w:rPr>
                <w:color w:val="000000" w:themeColor="text1"/>
                <w:sz w:val="16"/>
                <w:szCs w:val="16"/>
              </w:rPr>
            </w:pPr>
            <w:r w:rsidRPr="00925F26">
              <w:rPr>
                <w:color w:val="000000" w:themeColor="text1"/>
                <w:sz w:val="16"/>
                <w:szCs w:val="16"/>
              </w:rPr>
              <w:t>Максимальная скорость на Н=0</w:t>
            </w:r>
          </w:p>
        </w:tc>
        <w:tc>
          <w:tcPr>
            <w:tcW w:w="916" w:type="dxa"/>
          </w:tcPr>
          <w:p w14:paraId="7943515B" w14:textId="77777777" w:rsidR="00104B87" w:rsidRPr="00925F26" w:rsidRDefault="00104B87" w:rsidP="00925F26">
            <w:pPr>
              <w:jc w:val="both"/>
              <w:rPr>
                <w:color w:val="000000" w:themeColor="text1"/>
                <w:sz w:val="16"/>
                <w:szCs w:val="16"/>
              </w:rPr>
            </w:pPr>
            <w:r w:rsidRPr="00925F26">
              <w:rPr>
                <w:color w:val="000000" w:themeColor="text1"/>
                <w:sz w:val="16"/>
                <w:szCs w:val="16"/>
              </w:rPr>
              <w:t>360 км/час</w:t>
            </w:r>
          </w:p>
        </w:tc>
        <w:tc>
          <w:tcPr>
            <w:tcW w:w="916" w:type="dxa"/>
          </w:tcPr>
          <w:p w14:paraId="269502A0" w14:textId="77777777" w:rsidR="00104B87" w:rsidRPr="00925F26" w:rsidRDefault="00104B87" w:rsidP="00925F26">
            <w:pPr>
              <w:jc w:val="both"/>
              <w:rPr>
                <w:color w:val="000000" w:themeColor="text1"/>
                <w:sz w:val="16"/>
                <w:szCs w:val="16"/>
              </w:rPr>
            </w:pPr>
            <w:r w:rsidRPr="00925F26">
              <w:rPr>
                <w:color w:val="000000" w:themeColor="text1"/>
                <w:sz w:val="16"/>
                <w:szCs w:val="16"/>
              </w:rPr>
              <w:t>398 км/час</w:t>
            </w:r>
          </w:p>
        </w:tc>
        <w:tc>
          <w:tcPr>
            <w:tcW w:w="916" w:type="dxa"/>
          </w:tcPr>
          <w:p w14:paraId="3D9283A0" w14:textId="77777777" w:rsidR="00104B87" w:rsidRPr="00925F26" w:rsidRDefault="00104B87" w:rsidP="00925F26">
            <w:pPr>
              <w:jc w:val="both"/>
              <w:rPr>
                <w:color w:val="000000" w:themeColor="text1"/>
                <w:sz w:val="16"/>
                <w:szCs w:val="16"/>
              </w:rPr>
            </w:pPr>
            <w:r w:rsidRPr="00925F26">
              <w:rPr>
                <w:color w:val="000000" w:themeColor="text1"/>
                <w:sz w:val="16"/>
                <w:szCs w:val="16"/>
              </w:rPr>
              <w:t>388 км/час</w:t>
            </w:r>
          </w:p>
        </w:tc>
      </w:tr>
      <w:tr w:rsidR="00104B87" w:rsidRPr="00925F26" w14:paraId="7E9F000C" w14:textId="77777777" w:rsidTr="004C5D62">
        <w:tc>
          <w:tcPr>
            <w:tcW w:w="916" w:type="dxa"/>
          </w:tcPr>
          <w:p w14:paraId="2D0949E6"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Максимальная  скорость</w:t>
            </w:r>
            <w:proofErr w:type="gramEnd"/>
          </w:p>
        </w:tc>
        <w:tc>
          <w:tcPr>
            <w:tcW w:w="916" w:type="dxa"/>
          </w:tcPr>
          <w:p w14:paraId="5864BD71" w14:textId="77777777" w:rsidR="00104B87" w:rsidRPr="00925F26" w:rsidRDefault="00104B87" w:rsidP="00925F26">
            <w:pPr>
              <w:jc w:val="both"/>
              <w:rPr>
                <w:color w:val="000000" w:themeColor="text1"/>
                <w:sz w:val="16"/>
                <w:szCs w:val="16"/>
              </w:rPr>
            </w:pPr>
            <w:r w:rsidRPr="00925F26">
              <w:rPr>
                <w:color w:val="000000" w:themeColor="text1"/>
                <w:sz w:val="16"/>
                <w:szCs w:val="16"/>
              </w:rPr>
              <w:t>422_км/час</w:t>
            </w:r>
          </w:p>
        </w:tc>
        <w:tc>
          <w:tcPr>
            <w:tcW w:w="916" w:type="dxa"/>
          </w:tcPr>
          <w:p w14:paraId="2BC47D6E" w14:textId="77777777" w:rsidR="00104B87" w:rsidRPr="00925F26" w:rsidRDefault="00104B87" w:rsidP="00925F26">
            <w:pPr>
              <w:jc w:val="both"/>
              <w:rPr>
                <w:color w:val="000000" w:themeColor="text1"/>
                <w:sz w:val="16"/>
                <w:szCs w:val="16"/>
              </w:rPr>
            </w:pPr>
            <w:r w:rsidRPr="00925F26">
              <w:rPr>
                <w:color w:val="000000" w:themeColor="text1"/>
                <w:sz w:val="16"/>
                <w:szCs w:val="16"/>
              </w:rPr>
              <w:t>47? км/ияг.</w:t>
            </w:r>
          </w:p>
        </w:tc>
        <w:tc>
          <w:tcPr>
            <w:tcW w:w="916" w:type="dxa"/>
          </w:tcPr>
          <w:p w14:paraId="2C0CB596" w14:textId="77777777" w:rsidR="00104B87" w:rsidRPr="00925F26" w:rsidRDefault="00104B87" w:rsidP="00925F26">
            <w:pPr>
              <w:jc w:val="both"/>
              <w:rPr>
                <w:color w:val="000000" w:themeColor="text1"/>
                <w:sz w:val="16"/>
                <w:szCs w:val="16"/>
              </w:rPr>
            </w:pPr>
            <w:r w:rsidRPr="00925F26">
              <w:rPr>
                <w:color w:val="000000" w:themeColor="text1"/>
                <w:sz w:val="16"/>
                <w:szCs w:val="16"/>
              </w:rPr>
              <w:t>497 км/час</w:t>
            </w:r>
          </w:p>
        </w:tc>
      </w:tr>
      <w:tr w:rsidR="00104B87" w:rsidRPr="00925F26" w14:paraId="343F476B" w14:textId="77777777" w:rsidTr="004C5D62">
        <w:tc>
          <w:tcPr>
            <w:tcW w:w="916" w:type="dxa"/>
          </w:tcPr>
          <w:p w14:paraId="34D1D448" w14:textId="77777777" w:rsidR="00104B87" w:rsidRPr="00925F26" w:rsidRDefault="00104B87" w:rsidP="00925F26">
            <w:pPr>
              <w:jc w:val="both"/>
              <w:rPr>
                <w:color w:val="000000" w:themeColor="text1"/>
                <w:sz w:val="16"/>
                <w:szCs w:val="16"/>
              </w:rPr>
            </w:pPr>
            <w:r w:rsidRPr="00925F26">
              <w:rPr>
                <w:color w:val="000000" w:themeColor="text1"/>
                <w:sz w:val="16"/>
                <w:szCs w:val="16"/>
              </w:rPr>
              <w:t>на границе высоты</w:t>
            </w:r>
          </w:p>
        </w:tc>
        <w:tc>
          <w:tcPr>
            <w:tcW w:w="916" w:type="dxa"/>
          </w:tcPr>
          <w:p w14:paraId="70C994D0" w14:textId="77777777" w:rsidR="00104B87" w:rsidRPr="00925F26" w:rsidRDefault="00104B87" w:rsidP="00925F26">
            <w:pPr>
              <w:jc w:val="both"/>
              <w:rPr>
                <w:color w:val="000000" w:themeColor="text1"/>
                <w:sz w:val="16"/>
                <w:szCs w:val="16"/>
              </w:rPr>
            </w:pPr>
            <w:r w:rsidRPr="00925F26">
              <w:rPr>
                <w:color w:val="000000" w:themeColor="text1"/>
                <w:sz w:val="16"/>
                <w:szCs w:val="16"/>
              </w:rPr>
              <w:t>5600 м</w:t>
            </w:r>
          </w:p>
        </w:tc>
        <w:tc>
          <w:tcPr>
            <w:tcW w:w="916" w:type="dxa"/>
          </w:tcPr>
          <w:p w14:paraId="005ED46C" w14:textId="77777777" w:rsidR="00104B87" w:rsidRPr="00925F26" w:rsidRDefault="00104B87" w:rsidP="00925F26">
            <w:pPr>
              <w:jc w:val="both"/>
              <w:rPr>
                <w:color w:val="000000" w:themeColor="text1"/>
                <w:sz w:val="16"/>
                <w:szCs w:val="16"/>
              </w:rPr>
            </w:pPr>
            <w:r w:rsidRPr="00925F26">
              <w:rPr>
                <w:color w:val="000000" w:themeColor="text1"/>
                <w:sz w:val="16"/>
                <w:szCs w:val="16"/>
              </w:rPr>
              <w:t>6000 м</w:t>
            </w:r>
          </w:p>
        </w:tc>
        <w:tc>
          <w:tcPr>
            <w:tcW w:w="916" w:type="dxa"/>
          </w:tcPr>
          <w:p w14:paraId="5107D33A" w14:textId="77777777" w:rsidR="00104B87" w:rsidRPr="00925F26" w:rsidRDefault="00104B87" w:rsidP="00925F26">
            <w:pPr>
              <w:jc w:val="both"/>
              <w:rPr>
                <w:color w:val="000000" w:themeColor="text1"/>
                <w:sz w:val="16"/>
                <w:szCs w:val="16"/>
              </w:rPr>
            </w:pPr>
            <w:r w:rsidRPr="00925F26">
              <w:rPr>
                <w:color w:val="000000" w:themeColor="text1"/>
                <w:sz w:val="16"/>
                <w:szCs w:val="16"/>
              </w:rPr>
              <w:t>8300 м</w:t>
            </w:r>
          </w:p>
        </w:tc>
      </w:tr>
      <w:tr w:rsidR="00104B87" w:rsidRPr="00925F26" w14:paraId="5D2BAE94" w14:textId="77777777" w:rsidTr="004C5D62">
        <w:tc>
          <w:tcPr>
            <w:tcW w:w="916" w:type="dxa"/>
          </w:tcPr>
          <w:p w14:paraId="7AA39295" w14:textId="77777777" w:rsidR="00104B87" w:rsidRPr="00925F26" w:rsidRDefault="00104B87" w:rsidP="00925F26">
            <w:pPr>
              <w:jc w:val="both"/>
              <w:rPr>
                <w:color w:val="000000" w:themeColor="text1"/>
                <w:sz w:val="16"/>
                <w:szCs w:val="16"/>
              </w:rPr>
            </w:pPr>
            <w:proofErr w:type="gramStart"/>
            <w:r w:rsidRPr="00925F26">
              <w:rPr>
                <w:color w:val="000000" w:themeColor="text1"/>
                <w:sz w:val="16"/>
                <w:szCs w:val="16"/>
              </w:rPr>
              <w:t>Потолок  практический</w:t>
            </w:r>
            <w:proofErr w:type="gramEnd"/>
          </w:p>
        </w:tc>
        <w:tc>
          <w:tcPr>
            <w:tcW w:w="916" w:type="dxa"/>
          </w:tcPr>
          <w:p w14:paraId="703B5F9A" w14:textId="77777777" w:rsidR="00104B87" w:rsidRPr="00925F26" w:rsidRDefault="00104B87" w:rsidP="00925F26">
            <w:pPr>
              <w:jc w:val="both"/>
              <w:rPr>
                <w:color w:val="000000" w:themeColor="text1"/>
                <w:sz w:val="16"/>
                <w:szCs w:val="16"/>
              </w:rPr>
            </w:pPr>
            <w:r w:rsidRPr="00925F26">
              <w:rPr>
                <w:color w:val="000000" w:themeColor="text1"/>
                <w:sz w:val="16"/>
                <w:szCs w:val="16"/>
              </w:rPr>
              <w:t>8000 м</w:t>
            </w:r>
          </w:p>
        </w:tc>
        <w:tc>
          <w:tcPr>
            <w:tcW w:w="916" w:type="dxa"/>
          </w:tcPr>
          <w:p w14:paraId="30CF925A" w14:textId="77777777" w:rsidR="00104B87" w:rsidRPr="00925F26" w:rsidRDefault="00104B87" w:rsidP="00925F26">
            <w:pPr>
              <w:jc w:val="both"/>
              <w:rPr>
                <w:color w:val="000000" w:themeColor="text1"/>
                <w:sz w:val="16"/>
                <w:szCs w:val="16"/>
              </w:rPr>
            </w:pPr>
            <w:r w:rsidRPr="00925F26">
              <w:rPr>
                <w:color w:val="000000" w:themeColor="text1"/>
                <w:sz w:val="16"/>
                <w:szCs w:val="16"/>
              </w:rPr>
              <w:t>10000 м</w:t>
            </w:r>
          </w:p>
        </w:tc>
        <w:tc>
          <w:tcPr>
            <w:tcW w:w="916" w:type="dxa"/>
          </w:tcPr>
          <w:p w14:paraId="262E66D5" w14:textId="77777777" w:rsidR="00104B87" w:rsidRPr="00925F26" w:rsidRDefault="00104B87" w:rsidP="00925F26">
            <w:pPr>
              <w:jc w:val="both"/>
              <w:rPr>
                <w:color w:val="000000" w:themeColor="text1"/>
                <w:sz w:val="16"/>
                <w:szCs w:val="16"/>
              </w:rPr>
            </w:pPr>
            <w:r w:rsidRPr="00925F26">
              <w:rPr>
                <w:color w:val="000000" w:themeColor="text1"/>
                <w:sz w:val="16"/>
                <w:szCs w:val="16"/>
              </w:rPr>
              <w:t>10600 м</w:t>
            </w:r>
          </w:p>
        </w:tc>
      </w:tr>
    </w:tbl>
    <w:p w14:paraId="6FD53C41" w14:textId="77777777" w:rsidR="00104B87" w:rsidRPr="00925F26" w:rsidRDefault="00104B87" w:rsidP="00925F26">
      <w:pPr>
        <w:jc w:val="both"/>
        <w:rPr>
          <w:color w:val="000000" w:themeColor="text1"/>
          <w:sz w:val="16"/>
          <w:szCs w:val="16"/>
        </w:rPr>
      </w:pPr>
      <w:r w:rsidRPr="00925F26">
        <w:rPr>
          <w:color w:val="000000" w:themeColor="text1"/>
          <w:sz w:val="16"/>
          <w:szCs w:val="16"/>
        </w:rPr>
        <w:t>Макет самолета был построен к 15 января 1944 г. Макетная комиссия рассмотрела макет и протоколом от 8 февраля 1944 г. утвердила основное расположение оборудования самолета. Модифицированный самолет Пе-8 в производство на заводе был запущен в конце 1943 г. КБ выдало в производство полный комплект рабочих чертежей.</w:t>
      </w:r>
    </w:p>
    <w:p w14:paraId="6275774E" w14:textId="77777777" w:rsidR="00104B87" w:rsidRPr="00925F26" w:rsidRDefault="00104B87" w:rsidP="00925F26">
      <w:pPr>
        <w:jc w:val="both"/>
        <w:rPr>
          <w:color w:val="000000" w:themeColor="text1"/>
          <w:sz w:val="16"/>
          <w:szCs w:val="16"/>
        </w:rPr>
      </w:pPr>
      <w:r w:rsidRPr="00925F26">
        <w:rPr>
          <w:color w:val="000000" w:themeColor="text1"/>
          <w:sz w:val="16"/>
          <w:szCs w:val="16"/>
        </w:rPr>
        <w:t>Было изготовлено часть оснастки, а также некоторое количество деталей. Постановлением ГОКО от 5 марта 1944 г., в целях увеличения выпуска самолетов Пе-2, производство самолетов Пе-8 на заводе было прекращено. Одновременно с прекращением выпуска серийных самолетов Пе-8 завод прекратил дальнейшую работу по изготовлению модификации Пе-8, в связи с отсутствием приказа НКАП в развитие постановления ГОКО от 20 февраля 1944 г.</w:t>
      </w:r>
    </w:p>
    <w:p w14:paraId="4F6EE88A" w14:textId="77777777" w:rsidR="00104B87" w:rsidRPr="00925F26" w:rsidRDefault="00104B87" w:rsidP="00925F26">
      <w:pPr>
        <w:jc w:val="both"/>
        <w:rPr>
          <w:color w:val="000000" w:themeColor="text1"/>
          <w:sz w:val="16"/>
          <w:szCs w:val="16"/>
        </w:rPr>
      </w:pPr>
      <w:r w:rsidRPr="00925F26">
        <w:rPr>
          <w:color w:val="000000" w:themeColor="text1"/>
          <w:sz w:val="16"/>
          <w:szCs w:val="16"/>
        </w:rPr>
        <w:t>2. Проектирование и постройка пассажирского варианта самолета Пе-8 с 4АГ-30Б</w:t>
      </w:r>
    </w:p>
    <w:p w14:paraId="6CDBE3FA" w14:textId="77777777" w:rsidR="00104B87" w:rsidRPr="00925F26" w:rsidRDefault="00104B87" w:rsidP="00925F26">
      <w:pPr>
        <w:jc w:val="both"/>
        <w:rPr>
          <w:color w:val="000000" w:themeColor="text1"/>
          <w:sz w:val="16"/>
          <w:szCs w:val="16"/>
        </w:rPr>
      </w:pPr>
      <w:r w:rsidRPr="00925F26">
        <w:rPr>
          <w:color w:val="000000" w:themeColor="text1"/>
          <w:sz w:val="16"/>
          <w:szCs w:val="16"/>
        </w:rPr>
        <w:t>Переоборудование самолета Пе-8 под пассажирский вариант производилось на основании постановления ГОКО за № 5402 от 15 марта 1944 г. и приказа НКАП от 17 марта 1944 г., согласно этого приказа самолет должен был удовлетворять следующим требованиям:</w:t>
      </w:r>
    </w:p>
    <w:p w14:paraId="4AC5D299" w14:textId="77777777" w:rsidR="00104B87" w:rsidRPr="00925F26" w:rsidRDefault="00104B87" w:rsidP="00925F26">
      <w:pPr>
        <w:jc w:val="both"/>
        <w:rPr>
          <w:color w:val="000000" w:themeColor="text1"/>
          <w:sz w:val="16"/>
          <w:szCs w:val="16"/>
        </w:rPr>
      </w:pPr>
      <w:r w:rsidRPr="00925F26">
        <w:rPr>
          <w:color w:val="000000" w:themeColor="text1"/>
          <w:sz w:val="16"/>
          <w:szCs w:val="16"/>
        </w:rPr>
        <w:t>а) размещать 14 пассажирских мест;</w:t>
      </w:r>
    </w:p>
    <w:p w14:paraId="222D1D43" w14:textId="77777777" w:rsidR="00104B87" w:rsidRPr="00925F26" w:rsidRDefault="00104B87" w:rsidP="00925F26">
      <w:pPr>
        <w:jc w:val="both"/>
        <w:rPr>
          <w:color w:val="000000" w:themeColor="text1"/>
          <w:sz w:val="16"/>
          <w:szCs w:val="16"/>
        </w:rPr>
      </w:pPr>
      <w:r w:rsidRPr="00925F26">
        <w:rPr>
          <w:color w:val="000000" w:themeColor="text1"/>
          <w:sz w:val="16"/>
          <w:szCs w:val="16"/>
        </w:rPr>
        <w:t>б) иметь отапливаемую кабину и антиобледенительное устройство;</w:t>
      </w:r>
    </w:p>
    <w:p w14:paraId="37C85979"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в) иметь максимальную дальность полета в 6000 км при скорости 0,7 </w:t>
      </w:r>
      <w:proofErr w:type="gramStart"/>
      <w:r w:rsidRPr="00925F26">
        <w:rPr>
          <w:color w:val="000000" w:themeColor="text1"/>
          <w:sz w:val="16"/>
          <w:szCs w:val="16"/>
        </w:rPr>
        <w:t>от максимальной и полетном весе</w:t>
      </w:r>
      <w:proofErr w:type="gramEnd"/>
      <w:r w:rsidRPr="00925F26">
        <w:rPr>
          <w:color w:val="000000" w:themeColor="text1"/>
          <w:sz w:val="16"/>
          <w:szCs w:val="16"/>
        </w:rPr>
        <w:t xml:space="preserve"> 35,5 тонн;</w:t>
      </w:r>
    </w:p>
    <w:p w14:paraId="1C1D5166" w14:textId="77777777" w:rsidR="00104B87" w:rsidRPr="00925F26" w:rsidRDefault="00104B87" w:rsidP="00925F26">
      <w:pPr>
        <w:jc w:val="both"/>
        <w:rPr>
          <w:color w:val="000000" w:themeColor="text1"/>
          <w:sz w:val="16"/>
          <w:szCs w:val="16"/>
        </w:rPr>
      </w:pPr>
      <w:r w:rsidRPr="00925F26">
        <w:rPr>
          <w:color w:val="000000" w:themeColor="text1"/>
          <w:sz w:val="16"/>
          <w:szCs w:val="16"/>
        </w:rPr>
        <w:t>г) иметь вооружение: 1 пушку Швак калибра 20 мм, 3 пулемета Березина калибра 12,7 мм;</w:t>
      </w:r>
    </w:p>
    <w:p w14:paraId="2BC872C0" w14:textId="77777777" w:rsidR="00104B87" w:rsidRPr="00925F26" w:rsidRDefault="00104B87" w:rsidP="00925F26">
      <w:pPr>
        <w:jc w:val="both"/>
        <w:rPr>
          <w:color w:val="000000" w:themeColor="text1"/>
          <w:sz w:val="16"/>
          <w:szCs w:val="16"/>
        </w:rPr>
      </w:pPr>
      <w:r w:rsidRPr="00925F26">
        <w:rPr>
          <w:color w:val="000000" w:themeColor="text1"/>
          <w:sz w:val="16"/>
          <w:szCs w:val="16"/>
        </w:rPr>
        <w:t>д) установка дизель-моторов АГ-ЗОБ.</w:t>
      </w:r>
    </w:p>
    <w:p w14:paraId="43E6E82C" w14:textId="77777777" w:rsidR="00104B87" w:rsidRPr="00925F26" w:rsidRDefault="00104B87" w:rsidP="00925F26">
      <w:pPr>
        <w:jc w:val="both"/>
        <w:rPr>
          <w:color w:val="000000" w:themeColor="text1"/>
          <w:sz w:val="16"/>
          <w:szCs w:val="16"/>
        </w:rPr>
      </w:pPr>
      <w:r w:rsidRPr="00925F26">
        <w:rPr>
          <w:color w:val="000000" w:themeColor="text1"/>
          <w:sz w:val="16"/>
          <w:szCs w:val="16"/>
        </w:rPr>
        <w:t>Полный комплект рабочих чертежей был выдан производству к 10 апреля 1944 г.</w:t>
      </w:r>
    </w:p>
    <w:p w14:paraId="0C65B136" w14:textId="77777777" w:rsidR="00104B87" w:rsidRPr="00925F26" w:rsidRDefault="00104B87" w:rsidP="00925F26">
      <w:pPr>
        <w:jc w:val="both"/>
        <w:rPr>
          <w:color w:val="000000" w:themeColor="text1"/>
          <w:sz w:val="16"/>
          <w:szCs w:val="16"/>
        </w:rPr>
      </w:pPr>
      <w:r w:rsidRPr="00925F26">
        <w:rPr>
          <w:color w:val="000000" w:themeColor="text1"/>
          <w:sz w:val="16"/>
          <w:szCs w:val="16"/>
        </w:rPr>
        <w:t>Сборка 1-го самолета была закончена 31 октября и 2-го — 31 декабря 1944 г.</w:t>
      </w:r>
    </w:p>
    <w:p w14:paraId="344C1433" w14:textId="77777777" w:rsidR="00104B87" w:rsidRPr="00925F26" w:rsidRDefault="00104B87" w:rsidP="00925F26">
      <w:pPr>
        <w:jc w:val="both"/>
        <w:rPr>
          <w:color w:val="000000" w:themeColor="text1"/>
          <w:sz w:val="16"/>
          <w:szCs w:val="16"/>
        </w:rPr>
      </w:pPr>
      <w:r w:rsidRPr="00925F26">
        <w:rPr>
          <w:color w:val="000000" w:themeColor="text1"/>
          <w:sz w:val="16"/>
          <w:szCs w:val="16"/>
        </w:rPr>
        <w:t>Основная задержка сборочных работ произошла по причине долгого отсутствия моторов и винтов.</w:t>
      </w:r>
    </w:p>
    <w:p w14:paraId="65AFA91D"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3. Эскизное проектирование модифицированного пассажирского 48-ми местного 4-х моторного </w:t>
      </w:r>
    </w:p>
    <w:p w14:paraId="1EF7AD68" w14:textId="77777777" w:rsidR="00104B87" w:rsidRPr="00925F26" w:rsidRDefault="00104B87" w:rsidP="00925F26">
      <w:pPr>
        <w:jc w:val="both"/>
        <w:rPr>
          <w:color w:val="000000" w:themeColor="text1"/>
          <w:sz w:val="16"/>
          <w:szCs w:val="16"/>
        </w:rPr>
      </w:pPr>
      <w:r w:rsidRPr="00925F26">
        <w:rPr>
          <w:color w:val="000000" w:themeColor="text1"/>
          <w:sz w:val="16"/>
          <w:szCs w:val="16"/>
        </w:rPr>
        <w:t>самолета на базе самолета Пе-8</w:t>
      </w:r>
    </w:p>
    <w:p w14:paraId="1EC42987" w14:textId="77777777" w:rsidR="00104B87" w:rsidRPr="00925F26" w:rsidRDefault="00104B87" w:rsidP="00925F26">
      <w:pPr>
        <w:jc w:val="both"/>
        <w:rPr>
          <w:color w:val="000000" w:themeColor="text1"/>
          <w:sz w:val="16"/>
          <w:szCs w:val="16"/>
        </w:rPr>
      </w:pPr>
      <w:r w:rsidRPr="00925F26">
        <w:rPr>
          <w:color w:val="000000" w:themeColor="text1"/>
          <w:sz w:val="16"/>
          <w:szCs w:val="16"/>
        </w:rPr>
        <w:t>Предъявляемый в эскизном проекте пассажирский 48-ми местный самолет является дальнейшей модификацией тяжелого бомбардировщика Пе-8, в котором коренным образом изменяется фюзеляж с сохранением серийных крыльев и винто-моторной группы и постановкой самолета на 3-х колесное шасси.</w:t>
      </w:r>
    </w:p>
    <w:p w14:paraId="6679E31A" w14:textId="77777777" w:rsidR="00104B87" w:rsidRPr="00925F26" w:rsidRDefault="00104B87" w:rsidP="00925F26">
      <w:pPr>
        <w:jc w:val="both"/>
        <w:rPr>
          <w:color w:val="000000" w:themeColor="text1"/>
          <w:sz w:val="16"/>
          <w:szCs w:val="16"/>
        </w:rPr>
      </w:pPr>
      <w:r w:rsidRPr="00925F26">
        <w:rPr>
          <w:color w:val="000000" w:themeColor="text1"/>
          <w:sz w:val="16"/>
          <w:szCs w:val="16"/>
        </w:rPr>
        <w:t>Основные данные самолета:</w:t>
      </w:r>
    </w:p>
    <w:p w14:paraId="6D0A4C16" w14:textId="77777777" w:rsidR="00104B87" w:rsidRPr="00925F26" w:rsidRDefault="00104B87" w:rsidP="00925F26">
      <w:pPr>
        <w:jc w:val="both"/>
        <w:rPr>
          <w:color w:val="000000" w:themeColor="text1"/>
          <w:sz w:val="16"/>
          <w:szCs w:val="16"/>
        </w:rPr>
      </w:pPr>
      <w:r w:rsidRPr="00925F26">
        <w:rPr>
          <w:color w:val="000000" w:themeColor="text1"/>
          <w:sz w:val="16"/>
          <w:szCs w:val="16"/>
        </w:rPr>
        <w:t>а) скорость максимальная — 466 км/час;</w:t>
      </w:r>
    </w:p>
    <w:p w14:paraId="3F15DA8F" w14:textId="77777777" w:rsidR="00104B87" w:rsidRPr="00925F26" w:rsidRDefault="00104B87" w:rsidP="00925F26">
      <w:pPr>
        <w:jc w:val="both"/>
        <w:rPr>
          <w:color w:val="000000" w:themeColor="text1"/>
          <w:sz w:val="16"/>
          <w:szCs w:val="16"/>
        </w:rPr>
      </w:pPr>
      <w:r w:rsidRPr="00925F26">
        <w:rPr>
          <w:color w:val="000000" w:themeColor="text1"/>
          <w:sz w:val="16"/>
          <w:szCs w:val="16"/>
        </w:rPr>
        <w:t>б) дальность с 48 пассажирами и 10700 кг горючего расчетная высота полета — 5200 м;</w:t>
      </w:r>
    </w:p>
    <w:p w14:paraId="446E6F73" w14:textId="77777777" w:rsidR="00104B87" w:rsidRPr="00925F26" w:rsidRDefault="00104B87" w:rsidP="00925F26">
      <w:pPr>
        <w:jc w:val="both"/>
        <w:rPr>
          <w:color w:val="000000" w:themeColor="text1"/>
          <w:sz w:val="16"/>
          <w:szCs w:val="16"/>
        </w:rPr>
      </w:pPr>
      <w:r w:rsidRPr="00925F26">
        <w:rPr>
          <w:color w:val="000000" w:themeColor="text1"/>
          <w:sz w:val="16"/>
          <w:szCs w:val="16"/>
        </w:rPr>
        <w:t>взлетная дистанция — 1430 м;</w:t>
      </w:r>
    </w:p>
    <w:p w14:paraId="5BB65DE6" w14:textId="77777777" w:rsidR="00104B87" w:rsidRPr="00925F26" w:rsidRDefault="00104B87" w:rsidP="00925F26">
      <w:pPr>
        <w:jc w:val="both"/>
        <w:rPr>
          <w:color w:val="000000" w:themeColor="text1"/>
          <w:sz w:val="16"/>
          <w:szCs w:val="16"/>
        </w:rPr>
      </w:pPr>
      <w:r w:rsidRPr="00925F26">
        <w:rPr>
          <w:color w:val="000000" w:themeColor="text1"/>
          <w:sz w:val="16"/>
          <w:szCs w:val="16"/>
        </w:rPr>
        <w:t>в) — 17000 кг.</w:t>
      </w:r>
    </w:p>
    <w:p w14:paraId="7E3D398F" w14:textId="77777777" w:rsidR="00104B87" w:rsidRPr="00925F26" w:rsidRDefault="00104B87" w:rsidP="00925F26">
      <w:pPr>
        <w:jc w:val="both"/>
        <w:rPr>
          <w:color w:val="000000" w:themeColor="text1"/>
          <w:sz w:val="16"/>
          <w:szCs w:val="16"/>
        </w:rPr>
      </w:pPr>
      <w:r w:rsidRPr="00925F26">
        <w:rPr>
          <w:color w:val="000000" w:themeColor="text1"/>
          <w:sz w:val="16"/>
          <w:szCs w:val="16"/>
        </w:rPr>
        <w:t>г) 5000 км;</w:t>
      </w:r>
    </w:p>
    <w:p w14:paraId="0DD63091" w14:textId="77777777" w:rsidR="00104B87" w:rsidRPr="00925F26" w:rsidRDefault="00104B87" w:rsidP="00925F26">
      <w:pPr>
        <w:jc w:val="both"/>
        <w:rPr>
          <w:color w:val="000000" w:themeColor="text1"/>
          <w:sz w:val="16"/>
          <w:szCs w:val="16"/>
        </w:rPr>
      </w:pPr>
      <w:r w:rsidRPr="00925F26">
        <w:rPr>
          <w:color w:val="000000" w:themeColor="text1"/>
          <w:sz w:val="16"/>
          <w:szCs w:val="16"/>
        </w:rPr>
        <w:t>д) полетная нагрузка</w:t>
      </w:r>
    </w:p>
    <w:p w14:paraId="6D11E9D7" w14:textId="77777777" w:rsidR="00104B87" w:rsidRPr="00925F26" w:rsidRDefault="00104B87" w:rsidP="00925F26">
      <w:pPr>
        <w:jc w:val="both"/>
        <w:rPr>
          <w:color w:val="000000" w:themeColor="text1"/>
          <w:sz w:val="16"/>
          <w:szCs w:val="16"/>
        </w:rPr>
      </w:pPr>
      <w:r w:rsidRPr="00925F26">
        <w:rPr>
          <w:color w:val="000000" w:themeColor="text1"/>
          <w:sz w:val="16"/>
          <w:szCs w:val="16"/>
        </w:rPr>
        <w:t>Помимо работы над перечисленными тремя основными темами, КБ в 1944 г. выполнило ряд других работ:</w:t>
      </w:r>
    </w:p>
    <w:p w14:paraId="6344BBAA" w14:textId="77777777" w:rsidR="00104B87" w:rsidRPr="00925F26" w:rsidRDefault="00104B87" w:rsidP="00925F26">
      <w:pPr>
        <w:jc w:val="both"/>
        <w:rPr>
          <w:color w:val="000000" w:themeColor="text1"/>
          <w:sz w:val="16"/>
          <w:szCs w:val="16"/>
        </w:rPr>
      </w:pPr>
      <w:r w:rsidRPr="00925F26">
        <w:rPr>
          <w:color w:val="000000" w:themeColor="text1"/>
          <w:sz w:val="16"/>
          <w:szCs w:val="16"/>
        </w:rPr>
        <w:t>а) монтаж и отработка винто-моторной группы самолета Пе-8 с 4М-82ФН на машине № 047;</w:t>
      </w:r>
    </w:p>
    <w:p w14:paraId="5EE04B96" w14:textId="77777777" w:rsidR="00104B87" w:rsidRPr="00925F26" w:rsidRDefault="00104B87" w:rsidP="00925F26">
      <w:pPr>
        <w:jc w:val="both"/>
        <w:rPr>
          <w:color w:val="000000" w:themeColor="text1"/>
          <w:sz w:val="16"/>
          <w:szCs w:val="16"/>
        </w:rPr>
      </w:pPr>
      <w:r w:rsidRPr="00925F26">
        <w:rPr>
          <w:color w:val="000000" w:themeColor="text1"/>
          <w:sz w:val="16"/>
          <w:szCs w:val="16"/>
        </w:rPr>
        <w:t>б) разработка по заданию заместителя наркома т. Кузнецова А. И. конструкции управления заслонками всасывающих патрубков;</w:t>
      </w:r>
    </w:p>
    <w:p w14:paraId="5DC0A9BC" w14:textId="77777777" w:rsidR="00104B87" w:rsidRPr="00925F26" w:rsidRDefault="00104B87" w:rsidP="00925F26">
      <w:pPr>
        <w:jc w:val="both"/>
        <w:rPr>
          <w:color w:val="000000" w:themeColor="text1"/>
          <w:sz w:val="16"/>
          <w:szCs w:val="16"/>
        </w:rPr>
      </w:pPr>
      <w:r w:rsidRPr="00925F26">
        <w:rPr>
          <w:color w:val="000000" w:themeColor="text1"/>
          <w:sz w:val="16"/>
          <w:szCs w:val="16"/>
        </w:rPr>
        <w:t>в) техническое руководство по ремонту самолетов ЛИ-2;</w:t>
      </w:r>
    </w:p>
    <w:p w14:paraId="433C6EE2" w14:textId="77777777" w:rsidR="00104B87" w:rsidRPr="00925F26" w:rsidRDefault="00104B87" w:rsidP="00925F26">
      <w:pPr>
        <w:jc w:val="both"/>
        <w:rPr>
          <w:color w:val="000000" w:themeColor="text1"/>
          <w:sz w:val="16"/>
          <w:szCs w:val="16"/>
        </w:rPr>
      </w:pPr>
      <w:r w:rsidRPr="00925F26">
        <w:rPr>
          <w:color w:val="000000" w:themeColor="text1"/>
          <w:sz w:val="16"/>
          <w:szCs w:val="16"/>
        </w:rPr>
        <w:t>г) прочие работы. [...]</w:t>
      </w:r>
    </w:p>
    <w:p w14:paraId="0076A8ED" w14:textId="77777777" w:rsidR="00104B87" w:rsidRPr="00925F26" w:rsidRDefault="00104B87" w:rsidP="00925F26">
      <w:pPr>
        <w:jc w:val="both"/>
        <w:rPr>
          <w:color w:val="000000" w:themeColor="text1"/>
          <w:sz w:val="16"/>
          <w:szCs w:val="16"/>
        </w:rPr>
      </w:pPr>
      <w:r w:rsidRPr="00925F26">
        <w:rPr>
          <w:color w:val="000000" w:themeColor="text1"/>
          <w:sz w:val="16"/>
          <w:szCs w:val="16"/>
        </w:rPr>
        <w:t>Директор завода № 22 В. Окулов</w:t>
      </w:r>
    </w:p>
    <w:p w14:paraId="633B30E3" w14:textId="77777777" w:rsidR="00104B87" w:rsidRPr="00925F26" w:rsidRDefault="00104B87" w:rsidP="00925F26">
      <w:pPr>
        <w:jc w:val="both"/>
        <w:rPr>
          <w:color w:val="000000" w:themeColor="text1"/>
          <w:sz w:val="16"/>
          <w:szCs w:val="16"/>
        </w:rPr>
      </w:pPr>
      <w:r w:rsidRPr="00925F26">
        <w:rPr>
          <w:color w:val="000000" w:themeColor="text1"/>
          <w:sz w:val="16"/>
          <w:szCs w:val="16"/>
        </w:rPr>
        <w:t>Опущены 11 показателей социально-экономической деятельности завода, в т. ч. о снижении</w:t>
      </w:r>
    </w:p>
    <w:p w14:paraId="70CF556C" w14:textId="77777777" w:rsidR="00104B87" w:rsidRPr="00925F26" w:rsidRDefault="00104B87" w:rsidP="00925F26">
      <w:pPr>
        <w:jc w:val="both"/>
        <w:rPr>
          <w:color w:val="000000" w:themeColor="text1"/>
          <w:sz w:val="16"/>
          <w:szCs w:val="16"/>
        </w:rPr>
      </w:pPr>
      <w:r w:rsidRPr="00925F26">
        <w:rPr>
          <w:color w:val="000000" w:themeColor="text1"/>
          <w:sz w:val="16"/>
          <w:szCs w:val="16"/>
        </w:rPr>
        <w:t>электроэнергии, текучести работающих, о капитальном ремонте жилищного фонда.</w:t>
      </w:r>
    </w:p>
    <w:p w14:paraId="5D0CF72F" w14:textId="77777777" w:rsidR="00104B87" w:rsidRPr="00925F26" w:rsidRDefault="00104B87" w:rsidP="00925F26">
      <w:pPr>
        <w:jc w:val="both"/>
        <w:rPr>
          <w:color w:val="000000" w:themeColor="text1"/>
          <w:sz w:val="16"/>
          <w:szCs w:val="16"/>
        </w:rPr>
      </w:pPr>
      <w:r w:rsidRPr="00925F26">
        <w:rPr>
          <w:color w:val="000000" w:themeColor="text1"/>
          <w:sz w:val="16"/>
          <w:szCs w:val="16"/>
        </w:rPr>
        <w:t>НА РТ Ф. Р-2845. Оп. 3. Д. 287. Л. 5, 7-8, 18, 18 об., 32-35, 37-38 об. Подлинник.</w:t>
      </w:r>
    </w:p>
    <w:p w14:paraId="5573B617" w14:textId="77777777" w:rsidR="00104B87" w:rsidRPr="00925F26" w:rsidRDefault="00104B87" w:rsidP="00925F26">
      <w:pPr>
        <w:jc w:val="both"/>
        <w:rPr>
          <w:color w:val="000000" w:themeColor="text1"/>
          <w:sz w:val="16"/>
          <w:szCs w:val="16"/>
        </w:rPr>
      </w:pPr>
    </w:p>
    <w:p w14:paraId="1BCEB8B7"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7499 О мероприятиях по обеспечению углем заводов Наркомавиапрома. РГАНИР, Фонд ГКО, д. 370, лл. 7-9 (11012).</w:t>
      </w:r>
    </w:p>
    <w:p w14:paraId="649114BA" w14:textId="77777777" w:rsidR="00C2313B" w:rsidRPr="00925F26" w:rsidRDefault="00C2313B" w:rsidP="00925F26">
      <w:pPr>
        <w:autoSpaceDE w:val="0"/>
        <w:autoSpaceDN w:val="0"/>
        <w:adjustRightInd w:val="0"/>
        <w:jc w:val="both"/>
        <w:rPr>
          <w:color w:val="000000" w:themeColor="text1"/>
          <w:sz w:val="16"/>
          <w:szCs w:val="16"/>
        </w:rPr>
      </w:pPr>
    </w:p>
    <w:p w14:paraId="2CD51204" w14:textId="77777777" w:rsidR="00A524F6" w:rsidRPr="00925F26" w:rsidRDefault="00A524F6" w:rsidP="00925F26">
      <w:pPr>
        <w:jc w:val="both"/>
        <w:rPr>
          <w:color w:val="000000" w:themeColor="text1"/>
          <w:sz w:val="16"/>
          <w:szCs w:val="16"/>
        </w:rPr>
      </w:pPr>
      <w:r w:rsidRPr="00925F26">
        <w:rPr>
          <w:color w:val="000000" w:themeColor="text1"/>
          <w:sz w:val="16"/>
          <w:szCs w:val="16"/>
        </w:rPr>
        <w:t xml:space="preserve">7 февраля 1945 г. </w:t>
      </w:r>
      <w:proofErr w:type="gramStart"/>
      <w:r w:rsidRPr="00925F26">
        <w:rPr>
          <w:color w:val="000000" w:themeColor="text1"/>
          <w:sz w:val="16"/>
          <w:szCs w:val="16"/>
        </w:rPr>
        <w:t>во время</w:t>
      </w:r>
      <w:proofErr w:type="gramEnd"/>
      <w:r w:rsidRPr="00925F26">
        <w:rPr>
          <w:color w:val="000000" w:themeColor="text1"/>
          <w:sz w:val="16"/>
          <w:szCs w:val="16"/>
        </w:rPr>
        <w:t xml:space="preserve"> возвращение в СССР при заходе на посадку под Киевом самолет советской группы по ракетам разбился. Члены группы погибли во время авиакатастрофы (кроме Ю. А. Победоносцева и М. К. Тихонравова, которые должны были возвратиться позже). На этом завершился первый этап изучения в СССР немецкой ракетной техники [6, с. 106–115] (19800).</w:t>
      </w:r>
    </w:p>
    <w:p w14:paraId="0520F341" w14:textId="77777777" w:rsidR="00A524F6" w:rsidRPr="00925F26" w:rsidRDefault="00A524F6" w:rsidP="00925F26">
      <w:pPr>
        <w:jc w:val="both"/>
        <w:rPr>
          <w:color w:val="000000" w:themeColor="text1"/>
          <w:sz w:val="16"/>
          <w:szCs w:val="16"/>
        </w:rPr>
      </w:pPr>
    </w:p>
    <w:p w14:paraId="5C20C93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0D55E69" w14:textId="77777777" w:rsidR="00C2313B" w:rsidRPr="00925F26" w:rsidRDefault="00C2313B" w:rsidP="00925F26">
      <w:pPr>
        <w:autoSpaceDE w:val="0"/>
        <w:autoSpaceDN w:val="0"/>
        <w:adjustRightInd w:val="0"/>
        <w:jc w:val="both"/>
        <w:rPr>
          <w:iCs/>
          <w:color w:val="000000" w:themeColor="text1"/>
          <w:sz w:val="16"/>
          <w:szCs w:val="16"/>
        </w:rPr>
      </w:pPr>
    </w:p>
    <w:p w14:paraId="4493CAE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7491 Об упорядочении поставок деревообрабатывающего оборудования и строительных механизмов Наркоматом минометного вооружения. РГАНИР, Фонд ГКО, д. 369, лл. 119, 120-134 (11012).</w:t>
      </w:r>
    </w:p>
    <w:p w14:paraId="74DB8AA1" w14:textId="77777777" w:rsidR="00C2313B" w:rsidRPr="00925F26" w:rsidRDefault="00C2313B" w:rsidP="00925F26">
      <w:pPr>
        <w:autoSpaceDE w:val="0"/>
        <w:autoSpaceDN w:val="0"/>
        <w:adjustRightInd w:val="0"/>
        <w:jc w:val="both"/>
        <w:rPr>
          <w:color w:val="000000" w:themeColor="text1"/>
          <w:sz w:val="16"/>
          <w:szCs w:val="16"/>
        </w:rPr>
      </w:pPr>
    </w:p>
    <w:p w14:paraId="256241B8"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7492 О мерах по обеспечению углем предприятий Наркомчермета. РГАНИР, Фонд ГКО, д. 369, лл. 135-139, 140-146 (11012).</w:t>
      </w:r>
    </w:p>
    <w:p w14:paraId="457FF3CE" w14:textId="77777777" w:rsidR="00C2313B" w:rsidRPr="00925F26" w:rsidRDefault="00C2313B" w:rsidP="00925F26">
      <w:pPr>
        <w:autoSpaceDE w:val="0"/>
        <w:autoSpaceDN w:val="0"/>
        <w:adjustRightInd w:val="0"/>
        <w:jc w:val="both"/>
        <w:rPr>
          <w:color w:val="000000" w:themeColor="text1"/>
          <w:sz w:val="16"/>
          <w:szCs w:val="16"/>
        </w:rPr>
      </w:pPr>
    </w:p>
    <w:p w14:paraId="58B8F60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7493 О мероприятиях по обеспечению мазутом заводов Наркомвооружения. РГАНИР, Фонд ГКО, д. 369, лл. 147-149 (11012).</w:t>
      </w:r>
    </w:p>
    <w:p w14:paraId="4AC29234" w14:textId="77777777" w:rsidR="00C2313B" w:rsidRPr="00925F26" w:rsidRDefault="00C2313B" w:rsidP="00925F26">
      <w:pPr>
        <w:autoSpaceDE w:val="0"/>
        <w:autoSpaceDN w:val="0"/>
        <w:adjustRightInd w:val="0"/>
        <w:jc w:val="both"/>
        <w:rPr>
          <w:color w:val="000000" w:themeColor="text1"/>
          <w:sz w:val="16"/>
          <w:szCs w:val="16"/>
        </w:rPr>
      </w:pPr>
    </w:p>
    <w:p w14:paraId="256FA8D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7494 О мерах по оказанию неотложной помощи топливом ТЭЦ завода № 26 Наркомавиапрома. РГАНИР, Фонд ГКО, д. 369, лл. 150-151 (11012).</w:t>
      </w:r>
    </w:p>
    <w:p w14:paraId="47ABF7D2" w14:textId="77777777" w:rsidR="00C2313B" w:rsidRPr="00925F26" w:rsidRDefault="00C2313B" w:rsidP="00925F26">
      <w:pPr>
        <w:autoSpaceDE w:val="0"/>
        <w:autoSpaceDN w:val="0"/>
        <w:adjustRightInd w:val="0"/>
        <w:jc w:val="both"/>
        <w:rPr>
          <w:color w:val="000000" w:themeColor="text1"/>
          <w:sz w:val="16"/>
          <w:szCs w:val="16"/>
        </w:rPr>
      </w:pPr>
    </w:p>
    <w:p w14:paraId="2B4F1F5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7495 О мероприятиях по обеспечению крепежным лесом угольных шахт Наркомугля в Кузнецком бассейне. РГАНИР, Фонд ГКО, д. 369, лл. 152-158 (11012).</w:t>
      </w:r>
    </w:p>
    <w:p w14:paraId="1571FD3D" w14:textId="77777777" w:rsidR="00C2313B" w:rsidRPr="00925F26" w:rsidRDefault="00C2313B" w:rsidP="00925F26">
      <w:pPr>
        <w:autoSpaceDE w:val="0"/>
        <w:autoSpaceDN w:val="0"/>
        <w:adjustRightInd w:val="0"/>
        <w:jc w:val="both"/>
        <w:rPr>
          <w:color w:val="000000" w:themeColor="text1"/>
          <w:sz w:val="16"/>
          <w:szCs w:val="16"/>
        </w:rPr>
      </w:pPr>
    </w:p>
    <w:p w14:paraId="510CBC37" w14:textId="77777777" w:rsidR="00C2313B" w:rsidRPr="00925F26" w:rsidRDefault="00C2313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7496 О вывозе никеля из Норильска. (7307, 159-160).</w:t>
      </w:r>
    </w:p>
    <w:p w14:paraId="709D6684" w14:textId="77777777" w:rsidR="00C2313B" w:rsidRPr="00925F26" w:rsidRDefault="00C2313B" w:rsidP="00925F26">
      <w:pPr>
        <w:tabs>
          <w:tab w:val="left" w:pos="11199"/>
        </w:tabs>
        <w:autoSpaceDE w:val="0"/>
        <w:autoSpaceDN w:val="0"/>
        <w:adjustRightInd w:val="0"/>
        <w:jc w:val="both"/>
        <w:rPr>
          <w:color w:val="000000" w:themeColor="text1"/>
          <w:sz w:val="16"/>
          <w:szCs w:val="16"/>
        </w:rPr>
      </w:pPr>
    </w:p>
    <w:p w14:paraId="6172BC4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вышло Постановление ГКО № 7498 О мероприятиях по обеспечению углем в феврале 1945 года важнейших заводов Наркомбоеприпасов. РГАНИР, Фонд ГКО, д. 370, лл. 3-6 (11012).</w:t>
      </w:r>
    </w:p>
    <w:p w14:paraId="09AEDAF9" w14:textId="77777777" w:rsidR="00C2313B" w:rsidRPr="00925F26" w:rsidRDefault="00C2313B" w:rsidP="00925F26">
      <w:pPr>
        <w:autoSpaceDE w:val="0"/>
        <w:autoSpaceDN w:val="0"/>
        <w:adjustRightInd w:val="0"/>
        <w:jc w:val="both"/>
        <w:rPr>
          <w:color w:val="000000" w:themeColor="text1"/>
          <w:sz w:val="16"/>
          <w:szCs w:val="16"/>
        </w:rPr>
      </w:pPr>
    </w:p>
    <w:p w14:paraId="141345BF"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2676835" w14:textId="77777777" w:rsidR="00C2313B" w:rsidRPr="00925F26" w:rsidRDefault="00C2313B" w:rsidP="00925F26">
      <w:pPr>
        <w:autoSpaceDE w:val="0"/>
        <w:autoSpaceDN w:val="0"/>
        <w:adjustRightInd w:val="0"/>
        <w:jc w:val="both"/>
        <w:rPr>
          <w:iCs/>
          <w:color w:val="000000" w:themeColor="text1"/>
          <w:sz w:val="16"/>
          <w:szCs w:val="16"/>
        </w:rPr>
      </w:pPr>
    </w:p>
    <w:p w14:paraId="14159F76" w14:textId="77777777" w:rsidR="00DB43FF" w:rsidRPr="00925F26" w:rsidRDefault="00DB43FF" w:rsidP="00925F26">
      <w:pPr>
        <w:jc w:val="both"/>
        <w:rPr>
          <w:color w:val="000000" w:themeColor="text1"/>
          <w:sz w:val="16"/>
          <w:szCs w:val="16"/>
        </w:rPr>
      </w:pPr>
      <w:r w:rsidRPr="00925F26">
        <w:rPr>
          <w:bCs/>
          <w:color w:val="000000" w:themeColor="text1"/>
          <w:sz w:val="16"/>
          <w:szCs w:val="16"/>
        </w:rPr>
        <w:t>7 февраля</w:t>
      </w:r>
      <w:r w:rsidRPr="00925F26">
        <w:rPr>
          <w:color w:val="000000" w:themeColor="text1"/>
          <w:sz w:val="16"/>
          <w:szCs w:val="16"/>
        </w:rPr>
        <w:t xml:space="preserve"> в 1945 году оперативная сводка Совинформбюро:</w:t>
      </w:r>
    </w:p>
    <w:p w14:paraId="1C931C0E" w14:textId="77777777" w:rsidR="00DB43FF" w:rsidRPr="00925F26" w:rsidRDefault="00DB43FF" w:rsidP="00925F26">
      <w:pPr>
        <w:jc w:val="both"/>
        <w:rPr>
          <w:color w:val="000000" w:themeColor="text1"/>
          <w:sz w:val="16"/>
          <w:szCs w:val="16"/>
        </w:rPr>
      </w:pPr>
      <w:r w:rsidRPr="00925F26">
        <w:rPr>
          <w:color w:val="000000" w:themeColor="text1"/>
          <w:sz w:val="16"/>
          <w:szCs w:val="16"/>
        </w:rPr>
        <w:t>«В течение 7 февраля южнее Кенигсберга наши войска вели наступательные бои, в ходе которых заняли более 30 населённых пунктов и среди них Липникен, Золлау, Посмален, Лайдткайм, Лампаш, Пошлошен. За 5 и 6 февраля в районе Кенигсберга наши войска взяли в плен 2.260 немецких солдат и офицеров.</w:t>
      </w:r>
    </w:p>
    <w:p w14:paraId="52A802AD" w14:textId="77777777" w:rsidR="00DB43FF" w:rsidRPr="00925F26" w:rsidRDefault="00DB43FF" w:rsidP="00925F26">
      <w:pPr>
        <w:jc w:val="both"/>
        <w:rPr>
          <w:color w:val="000000" w:themeColor="text1"/>
          <w:sz w:val="16"/>
          <w:szCs w:val="16"/>
        </w:rPr>
      </w:pPr>
      <w:r w:rsidRPr="00925F26">
        <w:rPr>
          <w:color w:val="000000" w:themeColor="text1"/>
          <w:sz w:val="16"/>
          <w:szCs w:val="16"/>
        </w:rPr>
        <w:t>Севернее и южнее города Кюстрин (на Одере) наши войска вели бои по очищению от противника восточного берега реки Одер, заняв при этом населённые пункты Цэкерик, Альт Литцегерике, Гюстебизе, Хэльзе, Клевитц, Альт Древитц, Треттин, Кунерсдорф, Ауритц. В боях за 5 и 6 февраля в этом районе взято в плен свыше 4.000 немецких солдат и офицеров и захвачено на аэродромах 69 самолётов противника.</w:t>
      </w:r>
    </w:p>
    <w:p w14:paraId="127B8C87" w14:textId="77777777" w:rsidR="00DB43FF" w:rsidRPr="00925F26" w:rsidRDefault="00DB43FF" w:rsidP="00925F26">
      <w:pPr>
        <w:jc w:val="both"/>
        <w:rPr>
          <w:color w:val="000000" w:themeColor="text1"/>
          <w:sz w:val="16"/>
          <w:szCs w:val="16"/>
        </w:rPr>
      </w:pPr>
      <w:r w:rsidRPr="00925F26">
        <w:rPr>
          <w:color w:val="000000" w:themeColor="text1"/>
          <w:sz w:val="16"/>
          <w:szCs w:val="16"/>
        </w:rPr>
        <w:t>Юго-восточнее Бреслау (Бреславль) наши войска, продолжая бои по расширению плацдарма на западном берегу Одера, заняли более 50 населённых пунктов, в том числе крупные населённые пункты Мэрцдорф, Вюрбен, Гроссбург, Лихтенберг, Дойче-Лайппе, Михелау, Боркенхайн, Вольфсгрунд, Эйзенау, Прейсдорф. В боях за 5 и 6 февраля в этом районе взято в плен более 4.200 немецких солдат и офицеров и захвачено на аэродроме 28 самолётов противника.</w:t>
      </w:r>
    </w:p>
    <w:p w14:paraId="28CADD2D"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10 кварталов. В боях за 5 и 6 февраля в западной части города (Буда) взято в плен более 5.600 солдат и офицеров противника.</w:t>
      </w:r>
    </w:p>
    <w:p w14:paraId="0993E1CA" w14:textId="77777777" w:rsidR="00DB43FF" w:rsidRPr="00925F26" w:rsidRDefault="00DB43FF" w:rsidP="00925F26">
      <w:pPr>
        <w:jc w:val="both"/>
        <w:rPr>
          <w:color w:val="000000" w:themeColor="text1"/>
          <w:sz w:val="16"/>
          <w:szCs w:val="16"/>
        </w:rPr>
      </w:pPr>
      <w:r w:rsidRPr="00925F26">
        <w:rPr>
          <w:color w:val="000000" w:themeColor="text1"/>
          <w:sz w:val="16"/>
          <w:szCs w:val="16"/>
        </w:rPr>
        <w:t>За 6 февраля на всех фронтах подбито и уничтожено 140 немецких танков. В воздушных боях и огнём зенитной артиллерии сбито 26 самолётов противника.</w:t>
      </w:r>
    </w:p>
    <w:p w14:paraId="0949BF14" w14:textId="77777777" w:rsidR="00DB43FF" w:rsidRPr="00925F26" w:rsidRDefault="00DB43FF" w:rsidP="00925F26">
      <w:pPr>
        <w:jc w:val="both"/>
        <w:rPr>
          <w:color w:val="000000" w:themeColor="text1"/>
          <w:sz w:val="16"/>
          <w:szCs w:val="16"/>
        </w:rPr>
      </w:pPr>
      <w:r w:rsidRPr="00925F26">
        <w:rPr>
          <w:color w:val="000000" w:themeColor="text1"/>
          <w:sz w:val="16"/>
          <w:szCs w:val="16"/>
        </w:rPr>
        <w:t>За время наступательных боёв с 12 января по 4 февраля сего года на центральном участке фронта нашими войсками взяты в плен: командир 88-й немецкой пехотной дивизии генерал-лейтенант Ритберг, командир 304-й немецкой пехотной дивизии генерал-майор Лисс, командир 433-й немецкой пехотной дивизии генерал-лейтенант Люббе, командир 17-й немецкой танковой дивизии полковник Брукс, командир 10-й немецкой моторизованной дивизии полковник Виаль, начальник штаба 42-го немецкого армейского корпуса полковник Драбих-Вехтер, командующий артиллерией 42-го немецкого армейского корпуса полковник Розен, начальник отдела министерства авиации генерал авиации Манке, начальник 39-го трудового военного округа генерал Вессеман.</w:t>
      </w:r>
    </w:p>
    <w:p w14:paraId="6D341AAF" w14:textId="77777777" w:rsidR="00DB43FF" w:rsidRPr="00925F26" w:rsidRDefault="00DB43FF" w:rsidP="00925F26">
      <w:pPr>
        <w:jc w:val="both"/>
        <w:rPr>
          <w:color w:val="000000" w:themeColor="text1"/>
          <w:sz w:val="16"/>
          <w:szCs w:val="16"/>
        </w:rPr>
      </w:pPr>
      <w:r w:rsidRPr="00925F26">
        <w:rPr>
          <w:color w:val="000000" w:themeColor="text1"/>
          <w:sz w:val="16"/>
          <w:szCs w:val="16"/>
        </w:rPr>
        <w:t>Среди убитых немецких солдат и офицеров найдены трупы командира 42-го немецкого армейского корпуса генерала пехоты Рекнагеля, командира 56-го немецкого танкового корпуса генерала пехоты Блока, командира 69-й немецкой пехотной дивизии генерал-лейтенанта Райна, командира 72-й немецкой пехотной дивизии генерал-майора Хона, командира 78-й немецкой пехотной дивизии генерал-майора Гиршфельда, командира 214-й немецкой пехотной дивизии генерал-лейтенанта Кирбаха, командира 291-й немецкой пехотной дивизии генерал-майора Фингера, командира 342-й немецкой пехотной дивизии генерал-лейтенанта Никкеля.</w:t>
      </w:r>
    </w:p>
    <w:p w14:paraId="02F0A32A" w14:textId="77777777" w:rsidR="00DB43FF" w:rsidRPr="00925F26" w:rsidRDefault="00DB43FF" w:rsidP="00925F26">
      <w:pPr>
        <w:jc w:val="both"/>
        <w:rPr>
          <w:color w:val="000000" w:themeColor="text1"/>
          <w:sz w:val="16"/>
          <w:szCs w:val="16"/>
        </w:rPr>
      </w:pPr>
      <w:r w:rsidRPr="00925F26">
        <w:rPr>
          <w:color w:val="000000" w:themeColor="text1"/>
          <w:sz w:val="16"/>
          <w:szCs w:val="16"/>
        </w:rPr>
        <w:t>В Восточной Пруссии, южнее города Кенигсберг наши войска продолжали наступление и вышли к сильно укреплённой долговременной обороне противника у реки Посмор. В ходе ожесточённых боёв советские части форсировали реку и заняли на её левом берегу опорный пункт Посмален.</w:t>
      </w:r>
    </w:p>
    <w:p w14:paraId="64B031D6" w14:textId="77777777" w:rsidR="00DB43FF" w:rsidRPr="00925F26" w:rsidRDefault="00DB43FF" w:rsidP="00925F26">
      <w:pPr>
        <w:jc w:val="both"/>
        <w:rPr>
          <w:color w:val="000000" w:themeColor="text1"/>
          <w:sz w:val="16"/>
          <w:szCs w:val="16"/>
        </w:rPr>
      </w:pPr>
      <w:r w:rsidRPr="00925F26">
        <w:rPr>
          <w:color w:val="000000" w:themeColor="text1"/>
          <w:sz w:val="16"/>
          <w:szCs w:val="16"/>
        </w:rPr>
        <w:t>Захвачено 24 крупных дота. Немцы выбиты также из населённого пункта Лампаш, расположенного в 4 километрах северо-восточнее города Прейсиш-Айлау. За день боёв уничтожено более 3 тысяч вражеских солдат и офицеров, 28 танков и самоходных орудий противника.</w:t>
      </w:r>
    </w:p>
    <w:p w14:paraId="5674C5B2" w14:textId="77777777" w:rsidR="00DB43FF" w:rsidRPr="00925F26" w:rsidRDefault="00DB43FF" w:rsidP="00925F26">
      <w:pPr>
        <w:jc w:val="both"/>
        <w:rPr>
          <w:color w:val="000000" w:themeColor="text1"/>
          <w:sz w:val="16"/>
          <w:szCs w:val="16"/>
        </w:rPr>
      </w:pPr>
      <w:r w:rsidRPr="00925F26">
        <w:rPr>
          <w:color w:val="000000" w:themeColor="text1"/>
          <w:sz w:val="16"/>
          <w:szCs w:val="16"/>
        </w:rPr>
        <w:t>Севернее и южнее города Кюстрин наши войска вели наступательные бои. Противник пытается ценою любых потерь удержать плацдармы на восточном берегу реки Одер. Опираясь на долговременные оборонительные сооружения, гитлеровцы яростно сопротивлялись и неоднократно переходили в контратаки. В результате стремительного удара советские части овладели населённым пунктом Альт Древитц — северным предместьем города Кюстрин. Наши войска нанесли тяжёлое поражение группировке противника, обороняющей подступы к городу Франкфурт-на-Одере, и заняли населённый пункт Кунерсдорф, находящийся в пяти километрах восточнее Франкфурта. В течение дня противник потерял только убитыми до 5 тысяч солдат и офицеров. Подбито и сожжено 65 немецких танков и 90 бронетранспортёров.</w:t>
      </w:r>
    </w:p>
    <w:p w14:paraId="58D11E2C" w14:textId="77777777" w:rsidR="00DB43FF" w:rsidRPr="00925F26" w:rsidRDefault="00DB43FF" w:rsidP="00925F26">
      <w:pPr>
        <w:jc w:val="both"/>
        <w:rPr>
          <w:color w:val="000000" w:themeColor="text1"/>
          <w:sz w:val="16"/>
          <w:szCs w:val="16"/>
        </w:rPr>
      </w:pPr>
      <w:r w:rsidRPr="00925F26">
        <w:rPr>
          <w:color w:val="000000" w:themeColor="text1"/>
          <w:sz w:val="16"/>
          <w:szCs w:val="16"/>
        </w:rPr>
        <w:t>Занятый нашими войсками немецкий населённый пункт Кунерсдорф известен в русской военной истории. Во время Семилетней войны, 14 августа 1759 года, у Кунерсдорфа произошло крупное сражение между русскими войсками под командованием генерала Салтыкова и войсками прусского короля Фридриха II. Русские войска наголову разбили немцев и обратили их в бегство.</w:t>
      </w:r>
    </w:p>
    <w:p w14:paraId="697F5606" w14:textId="77777777" w:rsidR="00DB43FF" w:rsidRPr="00925F26" w:rsidRDefault="00DB43FF" w:rsidP="00925F26">
      <w:pPr>
        <w:jc w:val="both"/>
        <w:rPr>
          <w:color w:val="000000" w:themeColor="text1"/>
          <w:sz w:val="16"/>
          <w:szCs w:val="16"/>
        </w:rPr>
      </w:pPr>
      <w:r w:rsidRPr="00925F26">
        <w:rPr>
          <w:color w:val="000000" w:themeColor="text1"/>
          <w:sz w:val="16"/>
          <w:szCs w:val="16"/>
        </w:rPr>
        <w:t>Юго-восточнее Бреслау (Бреславль) наши войска, преодолевая упорное сопротивление противника, продолжали бои по расширению плацдарма на западном берегу реки Одер. Советские пехотинцы, при поддержке танкистов и артиллеристов, выбили немцев из населённого пункта Гроссбург, расположенного в 9 километрах севернее города Штрелен. Другие наши части, наступающие вдоль левого берега Одера, продвинулись вперёд на 10 километров и овладели Прейсдорфом — опорным пунктом обороны немцев.</w:t>
      </w:r>
    </w:p>
    <w:p w14:paraId="55140E6D" w14:textId="77777777" w:rsidR="00DB43FF" w:rsidRPr="00925F26" w:rsidRDefault="00DB43FF" w:rsidP="00925F26">
      <w:pPr>
        <w:jc w:val="both"/>
        <w:rPr>
          <w:color w:val="000000" w:themeColor="text1"/>
          <w:sz w:val="16"/>
          <w:szCs w:val="16"/>
        </w:rPr>
      </w:pPr>
      <w:r w:rsidRPr="00925F26">
        <w:rPr>
          <w:color w:val="000000" w:themeColor="text1"/>
          <w:sz w:val="16"/>
          <w:szCs w:val="16"/>
        </w:rPr>
        <w:t>В занятом вчера немецком городе Бриг советские войска захватили большие трофеи, в том числе 19 танков, 62 полевых орудия, 1.000 автомашин и много складов с военным имуществом.</w:t>
      </w:r>
    </w:p>
    <w:p w14:paraId="7D7A5B2A"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наши войска продолжали бои по ликвидации окружённой группировки противника. Упорная борьба произошла за гору Шашхедь, господствующую над всей остающейся в руках немцев частью города. Противник превратил Шашхедь в мощный узел обороны. Опираясь на укрепления, гитлеровцы оказывали ожесточённое сопротивление. Наши гвардейские подразделения очистили от врага улицу Зайоми и вышли к подножью торы с востока. Другие советские подразделения прорвались в этот район с юга и севера. Сегодня наши бойцы разгромили крупный немецкий гарнизон и овладели горой Шашхедь. Упорные бои произошли также за один парк. На территории марка немцы соорудили несколько дотов. Артиллеристы офицера Вакусова сильным огнём подавили вражеские огневые точки. Перешедшие в атаку советские пехотинцы очистили парк от немцев. Противник, зажаты в кольцо, несёт огромные потери. Места боёв усеяны трупами гитлеровцев.</w:t>
      </w:r>
    </w:p>
    <w:p w14:paraId="5A0845DB" w14:textId="77777777" w:rsidR="00DB43FF" w:rsidRPr="00925F26" w:rsidRDefault="00DB43FF" w:rsidP="00925F26">
      <w:pPr>
        <w:jc w:val="both"/>
        <w:rPr>
          <w:color w:val="000000" w:themeColor="text1"/>
          <w:sz w:val="16"/>
          <w:szCs w:val="16"/>
        </w:rPr>
      </w:pPr>
      <w:r w:rsidRPr="00925F26">
        <w:rPr>
          <w:color w:val="000000" w:themeColor="text1"/>
          <w:sz w:val="16"/>
          <w:szCs w:val="16"/>
        </w:rPr>
        <w:t>Нашими войсками захвачен новогодний приказ командующего центральной группой немецких армий генерал-полковника Рейнгардта. В приказе говорится: «Солдаты центральной группы! Мы пережили несчастливый 1944 военный год. Но мы не сломлены. Мы ещё живы, и сегодня наш фронт прочнее, чем в любую предыдущую зиму. Имеется достаточно признаков того, что кризис на восточном фронте преодолен. Теперь снова настал наш час. На западе наши товарищи уже перешли в наступление. Солдатам восточного фронта фюрер в нужный момент также бросит клич: «Вперёд». Пока этот великий час пробьёт, мы будем отстаивать каждый метр земли. Мы можем с гордо поднятой головой и с полной уверенностью в победе вступить в новый год борьбы».</w:t>
      </w:r>
    </w:p>
    <w:p w14:paraId="0A6CB61B" w14:textId="77777777" w:rsidR="00DB43FF" w:rsidRPr="00925F26" w:rsidRDefault="00DB43FF" w:rsidP="00925F26">
      <w:pPr>
        <w:jc w:val="both"/>
        <w:rPr>
          <w:color w:val="000000" w:themeColor="text1"/>
          <w:sz w:val="16"/>
          <w:szCs w:val="16"/>
        </w:rPr>
      </w:pPr>
      <w:r w:rsidRPr="00925F26">
        <w:rPr>
          <w:color w:val="000000" w:themeColor="text1"/>
          <w:sz w:val="16"/>
          <w:szCs w:val="16"/>
        </w:rPr>
        <w:t>Жизнь снова жестоко посмеялась над фашистскими генералами. Сотни тысяч гитлеровцев, к которым ещё недавно взывал генерал Рейнгардт, валяются на обширных полях сражений. Эти горы немецких трупов лучше всяких слов говорят о том, какое огромное поражение потерпели немецкие войска на советско-германском фронте в начале 1945 года.» (15033).</w:t>
      </w:r>
    </w:p>
    <w:p w14:paraId="0792F198" w14:textId="77777777" w:rsidR="00DB43FF" w:rsidRPr="00925F26" w:rsidRDefault="00DB43FF" w:rsidP="00925F26">
      <w:pPr>
        <w:jc w:val="both"/>
        <w:rPr>
          <w:color w:val="000000" w:themeColor="text1"/>
          <w:sz w:val="16"/>
          <w:szCs w:val="16"/>
        </w:rPr>
      </w:pPr>
    </w:p>
    <w:p w14:paraId="2B4B082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февраля 1945 г. был подготовлен ПЛАН РАСПРЕДЕЛЕНИЯ БОЕВЫХ МАШИН, ПОЛУЧАЕМЫХ ОТ ПРОМЫШЛЕННОСТИ ЗА ПЕРВУЮ ПОЛОВИНУ ФЕВРАЛЯ 1945 г.</w:t>
      </w:r>
    </w:p>
    <w:p w14:paraId="7884488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по 15 февраля будет получено:</w:t>
      </w:r>
    </w:p>
    <w:p w14:paraId="05E07C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 Т-34-580 штук, из них 460 отправляются по ранее принятым решениям. Остается свободных</w:t>
      </w:r>
    </w:p>
    <w:p w14:paraId="102753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Т-34—120 танков</w:t>
      </w:r>
    </w:p>
    <w:p w14:paraId="4FB6211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ИС— 79 танков</w:t>
      </w:r>
    </w:p>
    <w:p w14:paraId="1920C8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«Шерман»— 183 танка</w:t>
      </w:r>
    </w:p>
    <w:p w14:paraId="19AA39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ИСУ-152-122— 94 танка</w:t>
      </w:r>
    </w:p>
    <w:p w14:paraId="3276A1E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СУ-100—106 танков</w:t>
      </w:r>
    </w:p>
    <w:p w14:paraId="0C2E71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376 танков</w:t>
      </w:r>
    </w:p>
    <w:p w14:paraId="6CB451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Указанные боевые машины распределяются следующим образом:</w:t>
      </w:r>
    </w:p>
    <w:p w14:paraId="5CAB2BC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Третьему Белорусскому фронту т. Черняховскому танков ИС - 20</w:t>
      </w:r>
    </w:p>
    <w:p w14:paraId="2DBC53C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ИСУ-152-122 - 20</w:t>
      </w:r>
    </w:p>
    <w:p w14:paraId="2CE6E0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СУ-76 - 40</w:t>
      </w:r>
    </w:p>
    <w:p w14:paraId="30359A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- 80</w:t>
      </w:r>
    </w:p>
    <w:p w14:paraId="1370CF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Второму Белорусскому фронту т. Рокоссовскому</w:t>
      </w:r>
    </w:p>
    <w:p w14:paraId="69D2BE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 «Шерман» — 40</w:t>
      </w:r>
    </w:p>
    <w:p w14:paraId="54EC950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 ИС - 20</w:t>
      </w:r>
    </w:p>
    <w:p w14:paraId="131E201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ИСУ-152-122 - 30</w:t>
      </w:r>
    </w:p>
    <w:p w14:paraId="05C2A19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СУ-100 - 30</w:t>
      </w:r>
    </w:p>
    <w:p w14:paraId="16BE32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СУ-76 - 40</w:t>
      </w:r>
    </w:p>
    <w:p w14:paraId="19AD536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- 160</w:t>
      </w:r>
    </w:p>
    <w:p w14:paraId="296663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Первому Белорусскому фронту т. Жукову танков ИС - 20 танков</w:t>
      </w:r>
    </w:p>
    <w:p w14:paraId="580301D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«Шерман» — 80</w:t>
      </w:r>
    </w:p>
    <w:p w14:paraId="066B13C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ИСУ-152-122 - 40</w:t>
      </w:r>
    </w:p>
    <w:p w14:paraId="54E2EF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СУ-100 - 30</w:t>
      </w:r>
    </w:p>
    <w:p w14:paraId="20FA52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СУ-76 - 80</w:t>
      </w:r>
    </w:p>
    <w:p w14:paraId="3E35B4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- 250</w:t>
      </w:r>
    </w:p>
    <w:p w14:paraId="2D57140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Первому Украинскому фронту т. Коневу танков ИС - 20</w:t>
      </w:r>
    </w:p>
    <w:p w14:paraId="00A95D3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ИСУ-152-122 - 30</w:t>
      </w:r>
    </w:p>
    <w:p w14:paraId="7C69D1A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СУ-76 - 40</w:t>
      </w:r>
    </w:p>
    <w:p w14:paraId="029E04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- 90</w:t>
      </w:r>
    </w:p>
    <w:p w14:paraId="030F996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Четвертому Украинскому фронту т. Петрову танков ИС — 30</w:t>
      </w:r>
    </w:p>
    <w:p w14:paraId="087C12D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СУ-76 - 70</w:t>
      </w:r>
    </w:p>
    <w:p w14:paraId="1AEB31C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- 100</w:t>
      </w:r>
    </w:p>
    <w:p w14:paraId="4BE10DD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Второму Украинскому фронту т. Малиновскому</w:t>
      </w:r>
    </w:p>
    <w:p w14:paraId="13DD502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 ИС- 20</w:t>
      </w:r>
    </w:p>
    <w:p w14:paraId="2C5951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 Т-34- 55</w:t>
      </w:r>
    </w:p>
    <w:p w14:paraId="799E007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СУ-76- 60</w:t>
      </w:r>
    </w:p>
    <w:p w14:paraId="3D854AD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- 135</w:t>
      </w:r>
    </w:p>
    <w:p w14:paraId="3D952A7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Третьему Украинскому фронту т. Толбухину танков ИС - 20</w:t>
      </w:r>
    </w:p>
    <w:p w14:paraId="1E8BFE7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 «Шерман» — 60</w:t>
      </w:r>
    </w:p>
    <w:p w14:paraId="7BACE0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СУ-76 - 75</w:t>
      </w:r>
    </w:p>
    <w:p w14:paraId="322522F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- 155</w:t>
      </w:r>
    </w:p>
    <w:p w14:paraId="55BA49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Югославской танковой бригаде танков Т-34 — 65</w:t>
      </w:r>
    </w:p>
    <w:p w14:paraId="66B1C7E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11353. Д. 1449. Л. 103-104. Подлинник.</w:t>
      </w:r>
    </w:p>
    <w:p w14:paraId="4D4FEB5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орготдела штаба БТ и МВ КА инженер-полковник Мартынов (11420).</w:t>
      </w:r>
    </w:p>
    <w:p w14:paraId="0E039E48" w14:textId="77777777" w:rsidR="00C2313B" w:rsidRPr="00925F26" w:rsidRDefault="00C2313B" w:rsidP="00925F26">
      <w:pPr>
        <w:autoSpaceDE w:val="0"/>
        <w:autoSpaceDN w:val="0"/>
        <w:adjustRightInd w:val="0"/>
        <w:jc w:val="both"/>
        <w:rPr>
          <w:color w:val="000000" w:themeColor="text1"/>
          <w:sz w:val="16"/>
          <w:szCs w:val="16"/>
        </w:rPr>
      </w:pPr>
    </w:p>
    <w:p w14:paraId="3BDBDC71" w14:textId="77777777" w:rsidR="00C2313B" w:rsidRPr="00925F26" w:rsidRDefault="00C2313B"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7, 1945: In East Prussia, Soviet attacks north of Konigsberg are blocked with the help of naval gunfire by the cruisers Scheer and Lutzow (3819).</w:t>
      </w:r>
    </w:p>
    <w:p w14:paraId="7CA49BEF" w14:textId="77777777" w:rsidR="00C2313B" w:rsidRPr="00925F26" w:rsidRDefault="00C2313B" w:rsidP="00925F26">
      <w:pPr>
        <w:autoSpaceDE w:val="0"/>
        <w:autoSpaceDN w:val="0"/>
        <w:adjustRightInd w:val="0"/>
        <w:jc w:val="both"/>
        <w:rPr>
          <w:color w:val="000000" w:themeColor="text1"/>
          <w:sz w:val="16"/>
          <w:szCs w:val="16"/>
          <w:lang w:val="en-US"/>
        </w:rPr>
      </w:pPr>
    </w:p>
    <w:p w14:paraId="51FF2B9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в Восточной Пруссии КА атаковала северный Кенигсберг, но бала отбита огнем с кораблей, в т.ч. с Шеера и Лютцева (3819).</w:t>
      </w:r>
    </w:p>
    <w:p w14:paraId="45372A60" w14:textId="77777777" w:rsidR="00C2313B" w:rsidRPr="00925F26" w:rsidRDefault="00C2313B" w:rsidP="00925F26">
      <w:pPr>
        <w:autoSpaceDE w:val="0"/>
        <w:autoSpaceDN w:val="0"/>
        <w:adjustRightInd w:val="0"/>
        <w:jc w:val="both"/>
        <w:rPr>
          <w:color w:val="000000" w:themeColor="text1"/>
          <w:sz w:val="16"/>
          <w:szCs w:val="16"/>
        </w:rPr>
      </w:pPr>
    </w:p>
    <w:p w14:paraId="7061706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СА прорвала оборону в районе Бреслау и форсировав Одер вышла к городу с юга (455,168).</w:t>
      </w:r>
    </w:p>
    <w:p w14:paraId="6521FCD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Противник широко использовал авиацию (транспортные самолеты и бомбардировщики) для снабжения окруженных войск и особое значение имела воздушная блокада окруженного противника (518,174).</w:t>
      </w:r>
    </w:p>
    <w:p w14:paraId="63EE248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ходе операции немцы привлекали транспортные самолеты для снабжения </w:t>
      </w:r>
      <w:proofErr w:type="gramStart"/>
      <w:r w:rsidRPr="00925F26">
        <w:rPr>
          <w:color w:val="000000" w:themeColor="text1"/>
          <w:sz w:val="16"/>
          <w:szCs w:val="16"/>
        </w:rPr>
        <w:t>войск</w:t>
      </w:r>
      <w:proofErr w:type="gramEnd"/>
      <w:r w:rsidRPr="00925F26">
        <w:rPr>
          <w:color w:val="000000" w:themeColor="text1"/>
          <w:sz w:val="16"/>
          <w:szCs w:val="16"/>
        </w:rPr>
        <w:t xml:space="preserve"> и они понесли тяжелые потери (518,179).</w:t>
      </w:r>
    </w:p>
    <w:p w14:paraId="41FBB65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 операциях под Бреслау применяли 45-й дивизии истребителей дальнего действия применяли два С-47, работавших как посты наведения ночных истребителей. В 17-и дивизии АДД для ее командира полковника К.Ф.Логинова один С-47 превратили в летающим командный пункт с соответствующе оборудованным салоном и необходимыми средствами связи (3457,138).</w:t>
      </w:r>
    </w:p>
    <w:p w14:paraId="708E1D83" w14:textId="77777777" w:rsidR="00C2313B" w:rsidRPr="00925F26" w:rsidRDefault="00C2313B" w:rsidP="00925F26">
      <w:pPr>
        <w:autoSpaceDE w:val="0"/>
        <w:autoSpaceDN w:val="0"/>
        <w:adjustRightInd w:val="0"/>
        <w:jc w:val="both"/>
        <w:rPr>
          <w:color w:val="000000" w:themeColor="text1"/>
          <w:sz w:val="16"/>
          <w:szCs w:val="16"/>
        </w:rPr>
      </w:pPr>
    </w:p>
    <w:p w14:paraId="170F0D7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7 февраля 1945 года начался перегон самолетов 108 шап на фронт по маршруту: Толкой - Разбойщина - Курск - Львов - Ченстохов - Шпроттау. Ситуация осложнялась тем, что лететь пришлось как бы навстречу весне. Пролетая в день около 500-700 километров и двигаясь в западном направлении, полк сталкивался со всеми капризами погоды. Например, морозным ясным утром, взлетев с заснеженного аэродрома, самолеты совершают посадку на совершено раскисшее и похожее на огромную лужу поле. “Во время посадки поднялся такой водяной смерч, что самолета не было видно. Летчики едва удерживали машины от капотирования. Сели все благополучно. Со стоянки самолетов на КП все брели в меховых унтах по образовавшемуся озеру” (8683,36).</w:t>
      </w:r>
    </w:p>
    <w:p w14:paraId="378591FC" w14:textId="77777777" w:rsidR="00C2313B" w:rsidRPr="00925F26" w:rsidRDefault="00C2313B" w:rsidP="00925F26">
      <w:pPr>
        <w:autoSpaceDE w:val="0"/>
        <w:autoSpaceDN w:val="0"/>
        <w:adjustRightInd w:val="0"/>
        <w:jc w:val="both"/>
        <w:rPr>
          <w:color w:val="000000" w:themeColor="text1"/>
          <w:sz w:val="16"/>
          <w:szCs w:val="16"/>
        </w:rPr>
      </w:pPr>
    </w:p>
    <w:p w14:paraId="1A73B762" w14:textId="77777777" w:rsidR="00480A84" w:rsidRPr="00925F26" w:rsidRDefault="00480A84" w:rsidP="00925F26">
      <w:pPr>
        <w:jc w:val="both"/>
        <w:rPr>
          <w:color w:val="000000" w:themeColor="text1"/>
          <w:sz w:val="16"/>
          <w:szCs w:val="16"/>
        </w:rPr>
      </w:pPr>
      <w:r w:rsidRPr="00925F26">
        <w:rPr>
          <w:color w:val="000000" w:themeColor="text1"/>
          <w:sz w:val="16"/>
          <w:szCs w:val="16"/>
        </w:rPr>
        <w:t>7 - 12 февраля 1945 немецкие самолеты Junkers Ju 88 атакуют конвой JW 64 во время его рейса от Клайда до Кольского залива. Корвет сопровождения сбивает одного (20371).</w:t>
      </w:r>
    </w:p>
    <w:p w14:paraId="644EDF6D" w14:textId="77777777" w:rsidR="00480A84" w:rsidRPr="00925F26" w:rsidRDefault="00480A84" w:rsidP="00925F26">
      <w:pPr>
        <w:jc w:val="both"/>
        <w:rPr>
          <w:color w:val="000000" w:themeColor="text1"/>
          <w:sz w:val="16"/>
          <w:szCs w:val="16"/>
        </w:rPr>
      </w:pPr>
    </w:p>
    <w:p w14:paraId="1A3E4A04" w14:textId="77777777" w:rsidR="00A524F6" w:rsidRPr="00925F26" w:rsidRDefault="00A524F6"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2AA2A48" w14:textId="77777777" w:rsidR="00A524F6" w:rsidRPr="00925F26" w:rsidRDefault="00A524F6" w:rsidP="00925F26">
      <w:pPr>
        <w:autoSpaceDE w:val="0"/>
        <w:autoSpaceDN w:val="0"/>
        <w:adjustRightInd w:val="0"/>
        <w:jc w:val="both"/>
        <w:rPr>
          <w:iCs/>
          <w:color w:val="000000" w:themeColor="text1"/>
          <w:sz w:val="16"/>
          <w:szCs w:val="16"/>
        </w:rPr>
      </w:pPr>
    </w:p>
    <w:p w14:paraId="3524FA27" w14:textId="77777777" w:rsidR="00A524F6" w:rsidRPr="00925F26" w:rsidRDefault="00A524F6" w:rsidP="00925F26">
      <w:pPr>
        <w:jc w:val="both"/>
        <w:rPr>
          <w:color w:val="000000" w:themeColor="text1"/>
          <w:sz w:val="16"/>
          <w:szCs w:val="16"/>
        </w:rPr>
      </w:pPr>
      <w:r w:rsidRPr="00925F26">
        <w:rPr>
          <w:color w:val="000000" w:themeColor="text1"/>
          <w:sz w:val="16"/>
          <w:szCs w:val="16"/>
        </w:rPr>
        <w:t>7 февраля 1945 Молотов вручил Стеттиниусу и Идену краткий меморандум, в котором декларировалась общая сумма репараций в 20 млрд долл., распределявшихся следующим образом: СССР – 10 млрд, Великобритания и США – 8 млрд, остальные страны – 2 млрд долл. Предполагалось учредить Межсоюзную репарационную комиссию (МРК) из представителей трех стран, которая должна была работать в Москве [9. С. 106–107]. При обсуждении репарационных проблем главами делегаций Рузвельт высказался за принятие цифр, названных Майским, как «основы» для дальнейших переговоров. Черчилль высказался против. Он заявил: что «касается русского плана репараций, то для его рассмотрения требуется время. Он не может быть принят немедленно» [9. С. 76]. В Протоколе Ялтинской конференции констатировалось создание Межсоюзной комиссии по репарациям (МРК) в Москве. Советская и американская делегации согласились принять в качестве базы для обсуждения в МРК суммы репараций в 20 млрд долларов (50% этой суммы для СССР). По мнению британской делегации, пока не могут быть названы никакие цифры репараций [9. С. 253–254] (19851).</w:t>
      </w:r>
    </w:p>
    <w:p w14:paraId="669D7685" w14:textId="77777777" w:rsidR="00A524F6" w:rsidRPr="00925F26" w:rsidRDefault="00A524F6" w:rsidP="00925F26">
      <w:pPr>
        <w:jc w:val="both"/>
        <w:rPr>
          <w:color w:val="000000" w:themeColor="text1"/>
          <w:sz w:val="16"/>
          <w:szCs w:val="16"/>
        </w:rPr>
      </w:pPr>
    </w:p>
    <w:p w14:paraId="0EF4C2F4" w14:textId="507433F2" w:rsidR="00480A84" w:rsidRPr="00925F26" w:rsidRDefault="00480A84"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7BC01334" w14:textId="77777777" w:rsidR="00480A84" w:rsidRPr="00925F26" w:rsidRDefault="00480A84" w:rsidP="00925F26">
      <w:pPr>
        <w:autoSpaceDE w:val="0"/>
        <w:autoSpaceDN w:val="0"/>
        <w:adjustRightInd w:val="0"/>
        <w:jc w:val="both"/>
        <w:rPr>
          <w:i/>
          <w:iCs/>
          <w:color w:val="000000" w:themeColor="text1"/>
          <w:sz w:val="16"/>
          <w:szCs w:val="16"/>
        </w:rPr>
      </w:pPr>
    </w:p>
    <w:p w14:paraId="433B4273" w14:textId="77777777" w:rsidR="00480A84" w:rsidRPr="00925F26" w:rsidRDefault="00480A84" w:rsidP="00925F26">
      <w:pPr>
        <w:jc w:val="both"/>
        <w:rPr>
          <w:color w:val="000000" w:themeColor="text1"/>
          <w:sz w:val="16"/>
          <w:szCs w:val="16"/>
        </w:rPr>
      </w:pPr>
      <w:r w:rsidRPr="00925F26">
        <w:rPr>
          <w:color w:val="000000" w:themeColor="text1"/>
          <w:sz w:val="16"/>
          <w:szCs w:val="16"/>
        </w:rPr>
        <w:t>7 или 11 февраля первый полет Consolidated-Vultee XP-81 (с поршневым двигателем) (20371).</w:t>
      </w:r>
    </w:p>
    <w:p w14:paraId="537105F3" w14:textId="77777777" w:rsidR="00480A84" w:rsidRPr="00925F26" w:rsidRDefault="00480A84" w:rsidP="00925F26">
      <w:pPr>
        <w:jc w:val="both"/>
        <w:rPr>
          <w:color w:val="000000" w:themeColor="text1"/>
          <w:sz w:val="16"/>
          <w:szCs w:val="16"/>
        </w:rPr>
      </w:pPr>
    </w:p>
    <w:p w14:paraId="41D8A9AD" w14:textId="5EE7C010"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FF23820" w14:textId="77777777" w:rsidR="00C2313B" w:rsidRPr="00925F26" w:rsidRDefault="00C2313B" w:rsidP="00925F26">
      <w:pPr>
        <w:autoSpaceDE w:val="0"/>
        <w:autoSpaceDN w:val="0"/>
        <w:adjustRightInd w:val="0"/>
        <w:jc w:val="both"/>
        <w:rPr>
          <w:iCs/>
          <w:color w:val="000000" w:themeColor="text1"/>
          <w:sz w:val="16"/>
          <w:szCs w:val="16"/>
        </w:rPr>
      </w:pPr>
    </w:p>
    <w:p w14:paraId="7A5FFB2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года член Военного совета ВВС генерал-полковник авиации Шиманов писал письмо N 625032с Шахурину.</w:t>
      </w:r>
    </w:p>
    <w:p w14:paraId="4F3273E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Направляю на Ваше рассмотрение письмо начальника ГУЗ ВВС генерал-лейтенанта ИАС Селезнева о выпуске модифицированных самолетов Ил-2 с удлиненным бронекорпусом и установке полевого варианта бронезащиты стрелка.</w:t>
      </w:r>
    </w:p>
    <w:p w14:paraId="5D9597C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решения по этому вопросу.</w:t>
      </w:r>
    </w:p>
    <w:p w14:paraId="4EEC5082"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Приложение: вх. N 0418 (1879).</w:t>
      </w:r>
    </w:p>
    <w:p w14:paraId="5AD9734D" w14:textId="77777777" w:rsidR="00C2313B" w:rsidRPr="00925F26" w:rsidRDefault="00C2313B" w:rsidP="00925F26">
      <w:pPr>
        <w:autoSpaceDE w:val="0"/>
        <w:autoSpaceDN w:val="0"/>
        <w:adjustRightInd w:val="0"/>
        <w:jc w:val="both"/>
        <w:rPr>
          <w:color w:val="000000" w:themeColor="text1"/>
          <w:sz w:val="16"/>
          <w:szCs w:val="16"/>
        </w:rPr>
      </w:pPr>
    </w:p>
    <w:p w14:paraId="6329364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года. Шахурин и зам. командующего ВВС генерал-полковник авиации Никитин.</w:t>
      </w:r>
    </w:p>
    <w:p w14:paraId="3F140B7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Приказ</w:t>
      </w:r>
    </w:p>
    <w:p w14:paraId="7F080374"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по наркомату Авиапрома и ВВС</w:t>
      </w:r>
    </w:p>
    <w:p w14:paraId="717980AF"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Содержание</w:t>
      </w:r>
      <w:proofErr w:type="gramStart"/>
      <w:r w:rsidRPr="00925F26">
        <w:rPr>
          <w:color w:val="000000" w:themeColor="text1"/>
          <w:sz w:val="16"/>
          <w:szCs w:val="16"/>
        </w:rPr>
        <w:t>: Об</w:t>
      </w:r>
      <w:proofErr w:type="gramEnd"/>
      <w:r w:rsidRPr="00925F26">
        <w:rPr>
          <w:color w:val="000000" w:themeColor="text1"/>
          <w:sz w:val="16"/>
          <w:szCs w:val="16"/>
        </w:rPr>
        <w:t xml:space="preserve"> усилении бронирования самолета Ил-2 с АМ-38Ф с увеличенной стрельчатостью крыла.</w:t>
      </w:r>
    </w:p>
    <w:p w14:paraId="5D4AAA0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Для усиления бронирования экипажа и винтомоторной группы самолетов Ил-2 с мотором Ам-38Ф, приказываем:</w:t>
      </w:r>
    </w:p>
    <w:p w14:paraId="146A343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1. Организовать на заводе N 30 производство самолетов Ил-2 с удлиненным бронекорпусом и новым механизмом управления щитками, по чертежам гл. конструктора.</w:t>
      </w:r>
    </w:p>
    <w:p w14:paraId="496157F3"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2. Директору завода N 30 Смирнову обеспечить выпуск серийных модифицированных самолетов Ил-2:</w:t>
      </w:r>
    </w:p>
    <w:p w14:paraId="3677F3C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ноябре - 50 самолетов</w:t>
      </w:r>
    </w:p>
    <w:p w14:paraId="32D0AFE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декабре - 100 самолетов</w:t>
      </w:r>
    </w:p>
    <w:p w14:paraId="0AF80B41"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- 200 самолетов</w:t>
      </w:r>
    </w:p>
    <w:p w14:paraId="68D47F2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с февраля 1945 года перейти полностью на выпуск модифицированных самолетов. До полного внедрения в серию модифицированного самолета с удлиненным бронекорпусом, устанавливать на всех выпускаемых самолетах дополнительное бронирование стрелка, по чертежам гл. конструктора.</w:t>
      </w:r>
    </w:p>
    <w:p w14:paraId="3B1EBA09"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3. Директору завода N 125 Свет обеспечить изготовление удлиненных бронекорпусов для завода N 30 в сроки:</w:t>
      </w:r>
    </w:p>
    <w:p w14:paraId="24D3ADF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октябрь - 100 корпусов</w:t>
      </w:r>
    </w:p>
    <w:p w14:paraId="67C55CC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ноябрь - 100 корпусов</w:t>
      </w:r>
    </w:p>
    <w:p w14:paraId="19862BA5"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декабрь - 200 корпусов</w:t>
      </w:r>
    </w:p>
    <w:p w14:paraId="4B45267E"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и с января 1945 года перейти полностью на выпуск модифицированных бронекорпусов.</w:t>
      </w:r>
    </w:p>
    <w:p w14:paraId="36E2898A"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4. Начальнику 10 Главного управления НКАП Кузнецову А.И. обеспечить поставку ВВС в 4-м квартале 1500 комплектов дополнительной брони стрелка.</w:t>
      </w:r>
    </w:p>
    <w:p w14:paraId="2BC33DD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Гл. инженерам воздушных армий организовать установку дополнительной брони стрелка на всех самолетах Ил-2 с увеличенной стрельчатостью крыла, для чего выводить из строя одновременно до 10% машин (1879).</w:t>
      </w:r>
    </w:p>
    <w:p w14:paraId="7C281840" w14:textId="77777777" w:rsidR="00C2313B" w:rsidRPr="00925F26" w:rsidRDefault="00C2313B" w:rsidP="00925F26">
      <w:pPr>
        <w:autoSpaceDE w:val="0"/>
        <w:autoSpaceDN w:val="0"/>
        <w:adjustRightInd w:val="0"/>
        <w:jc w:val="both"/>
        <w:rPr>
          <w:color w:val="000000" w:themeColor="text1"/>
          <w:sz w:val="16"/>
          <w:szCs w:val="16"/>
        </w:rPr>
      </w:pPr>
    </w:p>
    <w:p w14:paraId="29374377" w14:textId="77777777" w:rsidR="00DB43FF" w:rsidRPr="00925F26" w:rsidRDefault="00DB43FF" w:rsidP="00925F26">
      <w:pPr>
        <w:jc w:val="both"/>
        <w:rPr>
          <w:rStyle w:val="ucoz-forum-post"/>
          <w:color w:val="000000" w:themeColor="text1"/>
          <w:sz w:val="16"/>
          <w:szCs w:val="16"/>
        </w:rPr>
      </w:pPr>
      <w:r w:rsidRPr="00925F26">
        <w:rPr>
          <w:bCs/>
          <w:color w:val="000000" w:themeColor="text1"/>
          <w:sz w:val="16"/>
          <w:szCs w:val="16"/>
        </w:rPr>
        <w:t>8 февраля</w:t>
      </w:r>
      <w:r w:rsidRPr="00925F26">
        <w:rPr>
          <w:color w:val="000000" w:themeColor="text1"/>
          <w:sz w:val="16"/>
          <w:szCs w:val="16"/>
        </w:rPr>
        <w:t xml:space="preserve"> в 1945 году з</w:t>
      </w:r>
      <w:r w:rsidRPr="00925F26">
        <w:rPr>
          <w:rStyle w:val="ucoz-forum-post"/>
          <w:color w:val="000000" w:themeColor="text1"/>
          <w:sz w:val="16"/>
          <w:szCs w:val="16"/>
        </w:rPr>
        <w:t>авершились повторные государственные испытания скоростного пикирующего бомбардировщика Ту-10 (на заводе он шел под шифром "68", в ВВС - Ту-10, а одно время машину обозначали Ту-4). В Акте НИИ ВВС № 17 за 1946 год по результатам повторных государственных испытаний самолета "68" 2АМ-39ФНВ с винтами АВ-5АВ-166Б дано заключение, что "самолет может быть рекомендован на вооружение ВВС при условии устранения всех дефектов, отмеченных в акте". Ту-10 стал последним серийным поршневым бомбардировщиком такого класса - ОКБ уже работало над реактивными самолетами (15034).</w:t>
      </w:r>
    </w:p>
    <w:p w14:paraId="4823FB94" w14:textId="77777777" w:rsidR="00DB43FF" w:rsidRPr="00925F26" w:rsidRDefault="00DB43FF" w:rsidP="00925F26">
      <w:pPr>
        <w:jc w:val="both"/>
        <w:rPr>
          <w:rStyle w:val="ucoz-forum-post"/>
          <w:color w:val="000000" w:themeColor="text1"/>
          <w:sz w:val="16"/>
          <w:szCs w:val="16"/>
        </w:rPr>
      </w:pPr>
    </w:p>
    <w:p w14:paraId="277744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февраля 1945 П.А.Лосюков утвердил подготовленный в начале февраля 1945 года ГК НИИ ВВС КА отчет о проведении государственных испы</w:t>
      </w:r>
      <w:r w:rsidRPr="00925F26">
        <w:rPr>
          <w:color w:val="000000" w:themeColor="text1"/>
          <w:sz w:val="16"/>
          <w:szCs w:val="16"/>
        </w:rPr>
        <w:softHyphen/>
        <w:t>таний самолета Су-6 с мотором АМ-42.</w:t>
      </w:r>
    </w:p>
    <w:p w14:paraId="2584B25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заключении отчета отмеча</w:t>
      </w:r>
      <w:r w:rsidRPr="00925F26">
        <w:rPr>
          <w:color w:val="000000" w:themeColor="text1"/>
          <w:sz w:val="16"/>
          <w:szCs w:val="16"/>
        </w:rPr>
        <w:softHyphen/>
        <w:t>лось, что: «Опытный двухместный бронированный штурмовик Су-6 с мотором АМ-42 с винтом АВ-9Л-172, конструкции тов. Сухого, по своим летным данным, технике пилотиро</w:t>
      </w:r>
      <w:r w:rsidRPr="00925F26">
        <w:rPr>
          <w:color w:val="000000" w:themeColor="text1"/>
          <w:sz w:val="16"/>
          <w:szCs w:val="16"/>
        </w:rPr>
        <w:softHyphen/>
        <w:t>вания и управляемости уступает запущенному в серийное производ</w:t>
      </w:r>
      <w:r w:rsidRPr="00925F26">
        <w:rPr>
          <w:color w:val="000000" w:themeColor="text1"/>
          <w:sz w:val="16"/>
          <w:szCs w:val="16"/>
        </w:rPr>
        <w:softHyphen/>
        <w:t>ство самолету Ил-10 с АМ-42, кон</w:t>
      </w:r>
      <w:r w:rsidRPr="00925F26">
        <w:rPr>
          <w:color w:val="000000" w:themeColor="text1"/>
          <w:sz w:val="16"/>
          <w:szCs w:val="16"/>
        </w:rPr>
        <w:softHyphen/>
        <w:t>струкции товарища Ильюшина» (11845).</w:t>
      </w:r>
    </w:p>
    <w:p w14:paraId="6EB98D9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p w14:paraId="5F78B9BB"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5 и 8 февраля 1945 л М.И.Иванов испытал в двух непродолжительных полетах Як-3ПД с М-105ПД, сделанный на основе серийной машины N 36-20 292 завода. Первый полет был с винтом СВ-02, а второй - Л-2. 19 февраля М.И.Иванов перегнал машину в ЛИИ для доводок (65,174).</w:t>
      </w:r>
    </w:p>
    <w:p w14:paraId="357A34D8" w14:textId="77777777" w:rsidR="00C2313B" w:rsidRPr="00925F26" w:rsidRDefault="00C2313B" w:rsidP="00925F26">
      <w:pPr>
        <w:autoSpaceDE w:val="0"/>
        <w:autoSpaceDN w:val="0"/>
        <w:adjustRightInd w:val="0"/>
        <w:jc w:val="both"/>
        <w:rPr>
          <w:color w:val="000000" w:themeColor="text1"/>
          <w:sz w:val="16"/>
          <w:szCs w:val="16"/>
        </w:rPr>
      </w:pPr>
    </w:p>
    <w:p w14:paraId="2C4A0A40" w14:textId="77777777" w:rsidR="00C2313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F78138A" w14:textId="77777777" w:rsidR="00C2313B" w:rsidRPr="00925F26" w:rsidRDefault="00C2313B" w:rsidP="00925F26">
      <w:pPr>
        <w:autoSpaceDE w:val="0"/>
        <w:autoSpaceDN w:val="0"/>
        <w:adjustRightInd w:val="0"/>
        <w:jc w:val="both"/>
        <w:rPr>
          <w:iCs/>
          <w:color w:val="000000" w:themeColor="text1"/>
          <w:sz w:val="16"/>
          <w:szCs w:val="16"/>
        </w:rPr>
      </w:pPr>
    </w:p>
    <w:p w14:paraId="2C926A4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февраля 1945 г. была подготовлена ДОКЛАД НАЧАЛЬНИКА ТАНКОВОГО УПРАВЛЕНИЯ ГБТУ КА ВОЕННОМУ СОВЕТУ БТ и МВ КА ПО РЕЗУЛЬТАТАМ ИСПЫТАНИЙ ОБЪЕКТА «701»</w:t>
      </w:r>
    </w:p>
    <w:p w14:paraId="0803004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Танк (объект №701) спроектирован и изготовлен в соответствии с постановлением ГОКО №5583 от 8.04.1944 года по инициативе коллектива Кировского завода, при участии группы конструкторов трансмиссии МВТУ им. Баумана и вооружения конструкторов ЦАКБ НКВ.</w:t>
      </w:r>
    </w:p>
    <w:p w14:paraId="762E744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Согласно приказу командующего БТ и МВ КА и НКТП за №368/01, комиссия, под председа</w:t>
      </w:r>
      <w:r w:rsidRPr="00925F26">
        <w:rPr>
          <w:color w:val="000000" w:themeColor="text1"/>
          <w:sz w:val="16"/>
          <w:szCs w:val="16"/>
        </w:rPr>
        <w:softHyphen/>
        <w:t>тельством генерал-лейтенанта танковых войск т. Вершинина, в период июнь-июль 1944 года прове</w:t>
      </w:r>
      <w:r w:rsidRPr="00925F26">
        <w:rPr>
          <w:color w:val="000000" w:themeColor="text1"/>
          <w:sz w:val="16"/>
          <w:szCs w:val="16"/>
        </w:rPr>
        <w:softHyphen/>
        <w:t>ла полигонные испытания 2-х образцов тяжелого танка (объект №701).</w:t>
      </w:r>
    </w:p>
    <w:p w14:paraId="6F2F31B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период июль-август 1944 года на НИБТ полигоне был проведен обстрел 2-х вариантов кор</w:t>
      </w:r>
      <w:r w:rsidRPr="00925F26">
        <w:rPr>
          <w:color w:val="000000" w:themeColor="text1"/>
          <w:sz w:val="16"/>
          <w:szCs w:val="16"/>
        </w:rPr>
        <w:softHyphen/>
        <w:t>пусов и башен танка.</w:t>
      </w:r>
    </w:p>
    <w:p w14:paraId="009216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Ходовые испытания 2-х новых опытных образцов танка показали, что трансмиссия танка не</w:t>
      </w:r>
      <w:r w:rsidRPr="00925F26">
        <w:rPr>
          <w:color w:val="000000" w:themeColor="text1"/>
          <w:sz w:val="16"/>
          <w:szCs w:val="16"/>
        </w:rPr>
        <w:softHyphen/>
        <w:t>достаточно отработана. За время испытаний неоднократно выходили из строя: правый бортредук-тор танка и коробка перемены передач.</w:t>
      </w:r>
    </w:p>
    <w:p w14:paraId="7F81F65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Повышенные температуры нагрева масла бортредукторов и коробки перемены передач огра</w:t>
      </w:r>
      <w:r w:rsidRPr="00925F26">
        <w:rPr>
          <w:color w:val="000000" w:themeColor="text1"/>
          <w:sz w:val="16"/>
          <w:szCs w:val="16"/>
        </w:rPr>
        <w:softHyphen/>
        <w:t>ничивали режимы испытаний.</w:t>
      </w:r>
    </w:p>
    <w:p w14:paraId="37D52E9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Вследствие наличия указанных выше конструктивных недостатков машины комиссия, прово</w:t>
      </w:r>
      <w:r w:rsidRPr="00925F26">
        <w:rPr>
          <w:color w:val="000000" w:themeColor="text1"/>
          <w:sz w:val="16"/>
          <w:szCs w:val="16"/>
        </w:rPr>
        <w:softHyphen/>
        <w:t>дившая испытания, воздержалась от принятия танка на вооружение. Комиссия рекомендовала до</w:t>
      </w:r>
      <w:r w:rsidRPr="00925F26">
        <w:rPr>
          <w:color w:val="000000" w:themeColor="text1"/>
          <w:sz w:val="16"/>
          <w:szCs w:val="16"/>
        </w:rPr>
        <w:softHyphen/>
        <w:t>работать узлы трансмиссии танка и внесла конкретный перечень предложений и замечаний по ус</w:t>
      </w:r>
      <w:r w:rsidRPr="00925F26">
        <w:rPr>
          <w:color w:val="000000" w:themeColor="text1"/>
          <w:sz w:val="16"/>
          <w:szCs w:val="16"/>
        </w:rPr>
        <w:softHyphen/>
        <w:t>транению конструктивных недостатков машины, выявившихся как при ходовых испытаниях, так и при испытаниях отстрелом корпуса.</w:t>
      </w:r>
    </w:p>
    <w:p w14:paraId="086956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С августа по декабрь 1944 года завод проводил доработку танка в целом, как по узлам транс</w:t>
      </w:r>
      <w:r w:rsidRPr="00925F26">
        <w:rPr>
          <w:color w:val="000000" w:themeColor="text1"/>
          <w:sz w:val="16"/>
          <w:szCs w:val="16"/>
        </w:rPr>
        <w:softHyphen/>
        <w:t>миссии, так и по бронированию.</w:t>
      </w:r>
    </w:p>
    <w:p w14:paraId="4C20ED6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декабре 1944 г. завод предъявил доработанный образец для полигонных испытаний.</w:t>
      </w:r>
    </w:p>
    <w:p w14:paraId="2640D7B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Изменению подвергся ряд узлов танка.</w:t>
      </w:r>
    </w:p>
    <w:p w14:paraId="20A184D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коробке перемены передач был уменьшен запас фрикциона с 8 до 2,5, что уменьшило инер</w:t>
      </w:r>
      <w:r w:rsidRPr="00925F26">
        <w:rPr>
          <w:color w:val="000000" w:themeColor="text1"/>
          <w:sz w:val="16"/>
          <w:szCs w:val="16"/>
        </w:rPr>
        <w:softHyphen/>
        <w:t>ционные нагрузки трансмиссии на 5-й передаче.</w:t>
      </w:r>
    </w:p>
    <w:p w14:paraId="6F73014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бортредукторах изменены: модуль, коррекция и число зубьев цилиндрической пары шестерен.</w:t>
      </w:r>
    </w:p>
    <w:p w14:paraId="2A03F4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Заводом внесены следующие изменения в броневой защите танков:</w:t>
      </w:r>
    </w:p>
    <w:p w14:paraId="74D4372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увеличена толщина башни со 160 до 200 мм;</w:t>
      </w:r>
    </w:p>
    <w:p w14:paraId="0C55316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увеличена толщина верхнего лобового листа со 120 мм до 140 мм;</w:t>
      </w:r>
    </w:p>
    <w:p w14:paraId="3B55330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увеличена толщина подкрылков со 120 мм до 160 мм;</w:t>
      </w:r>
    </w:p>
    <w:p w14:paraId="4E9381F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уменьшена толщина боковых задних листов со 140 мм до 120 мм и одновременно стыкование этих листов с бортовыми листами корпуса введением ласточкиного хвоста, усилено.</w:t>
      </w:r>
    </w:p>
    <w:p w14:paraId="0BEE96B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перечисленные изменения в толщинах заводом выполнены в металле в образце, находя</w:t>
      </w:r>
      <w:r w:rsidRPr="00925F26">
        <w:rPr>
          <w:color w:val="000000" w:themeColor="text1"/>
          <w:sz w:val="16"/>
          <w:szCs w:val="16"/>
        </w:rPr>
        <w:softHyphen/>
        <w:t>щемся на заводе.</w:t>
      </w:r>
    </w:p>
    <w:p w14:paraId="5B1888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101 замечания комиссии выполнено 70 замечаний, остальные находятся в стадии выполне</w:t>
      </w:r>
      <w:r w:rsidRPr="00925F26">
        <w:rPr>
          <w:color w:val="000000" w:themeColor="text1"/>
          <w:sz w:val="16"/>
          <w:szCs w:val="16"/>
        </w:rPr>
        <w:softHyphen/>
        <w:t>ния.</w:t>
      </w:r>
    </w:p>
    <w:p w14:paraId="5743164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Ходовые испытания опытного образца танка, проведенные в декабре-январе 1945 года, пока</w:t>
      </w:r>
      <w:r w:rsidRPr="00925F26">
        <w:rPr>
          <w:color w:val="000000" w:themeColor="text1"/>
          <w:sz w:val="16"/>
          <w:szCs w:val="16"/>
        </w:rPr>
        <w:softHyphen/>
        <w:t>зали:</w:t>
      </w:r>
    </w:p>
    <w:p w14:paraId="43BA642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Средние скорости движения танка по шоссе и проселку приближаются к скоростям движе</w:t>
      </w:r>
      <w:r w:rsidRPr="00925F26">
        <w:rPr>
          <w:color w:val="000000" w:themeColor="text1"/>
          <w:sz w:val="16"/>
          <w:szCs w:val="16"/>
        </w:rPr>
        <w:softHyphen/>
        <w:t>ния танка Т-34, испытанного при этих же условиях.</w:t>
      </w:r>
    </w:p>
    <w:p w14:paraId="60A2100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Средние скорости движения (объекта №701) по шоссе несколько выше, чем у танка ИС, а по проселку значительно выше, чем у танка ИС, что является следствием как большего запаса мощности, так и более удобного переключения передач.</w:t>
      </w:r>
    </w:p>
    <w:p w14:paraId="444CC1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Таблица сравнительных скоростей движения танков</w:t>
      </w:r>
    </w:p>
    <w:tbl>
      <w:tblPr>
        <w:tblW w:w="0" w:type="auto"/>
        <w:tblInd w:w="40" w:type="dxa"/>
        <w:tblLayout w:type="fixed"/>
        <w:tblCellMar>
          <w:left w:w="40" w:type="dxa"/>
          <w:right w:w="40" w:type="dxa"/>
        </w:tblCellMar>
        <w:tblLook w:val="0000" w:firstRow="0" w:lastRow="0" w:firstColumn="0" w:lastColumn="0" w:noHBand="0" w:noVBand="0"/>
      </w:tblPr>
      <w:tblGrid>
        <w:gridCol w:w="2371"/>
        <w:gridCol w:w="3158"/>
        <w:gridCol w:w="1315"/>
        <w:gridCol w:w="1325"/>
        <w:gridCol w:w="1334"/>
      </w:tblGrid>
      <w:tr w:rsidR="000F5689" w:rsidRPr="00925F26" w14:paraId="1E361F57" w14:textId="77777777">
        <w:trPr>
          <w:trHeight w:val="259"/>
        </w:trPr>
        <w:tc>
          <w:tcPr>
            <w:tcW w:w="2371" w:type="dxa"/>
            <w:tcBorders>
              <w:top w:val="single" w:sz="6" w:space="0" w:color="auto"/>
              <w:left w:val="single" w:sz="6" w:space="0" w:color="auto"/>
              <w:bottom w:val="single" w:sz="6" w:space="0" w:color="auto"/>
              <w:right w:val="single" w:sz="6" w:space="0" w:color="auto"/>
            </w:tcBorders>
          </w:tcPr>
          <w:p w14:paraId="4FA0264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smallCaps/>
                <w:color w:val="000000" w:themeColor="text1"/>
                <w:sz w:val="16"/>
                <w:szCs w:val="16"/>
              </w:rPr>
              <w:t xml:space="preserve">условия </w:t>
            </w:r>
            <w:r w:rsidRPr="00925F26">
              <w:rPr>
                <w:color w:val="000000" w:themeColor="text1"/>
                <w:sz w:val="16"/>
                <w:szCs w:val="16"/>
              </w:rPr>
              <w:t>движения</w:t>
            </w:r>
          </w:p>
          <w:p w14:paraId="4DEA197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28DF94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Скорости и километраж</w:t>
            </w:r>
          </w:p>
          <w:p w14:paraId="2447CAB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138E2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"701"</w:t>
            </w:r>
          </w:p>
          <w:p w14:paraId="2E603E9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4DE22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ИС-122</w:t>
            </w:r>
          </w:p>
          <w:p w14:paraId="6FE8B31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D2BBF3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Т-34-85</w:t>
            </w:r>
          </w:p>
          <w:p w14:paraId="22547C6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78958B4C" w14:textId="77777777">
        <w:trPr>
          <w:trHeight w:val="595"/>
        </w:trPr>
        <w:tc>
          <w:tcPr>
            <w:tcW w:w="2371" w:type="dxa"/>
            <w:tcBorders>
              <w:top w:val="single" w:sz="6" w:space="0" w:color="auto"/>
              <w:left w:val="single" w:sz="6" w:space="0" w:color="auto"/>
              <w:bottom w:val="single" w:sz="6" w:space="0" w:color="auto"/>
              <w:right w:val="single" w:sz="6" w:space="0" w:color="auto"/>
            </w:tcBorders>
          </w:tcPr>
          <w:p w14:paraId="1D5D19DC"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Шоссе</w:t>
            </w:r>
          </w:p>
          <w:p w14:paraId="17B5CAD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343268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Пройдено км. Ср. скорости чистого движения км/ч. Технические скорости км/ч.</w:t>
            </w:r>
          </w:p>
          <w:p w14:paraId="0CE969C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18B39C6"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205 30,6 30,6</w:t>
            </w:r>
          </w:p>
          <w:p w14:paraId="05345C4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4C44F9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103 29,7 29,7</w:t>
            </w:r>
          </w:p>
          <w:p w14:paraId="3A2DC76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94827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204 31,6 29,7</w:t>
            </w:r>
          </w:p>
          <w:p w14:paraId="302E3AE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r w:rsidR="000F5689" w:rsidRPr="00925F26" w14:paraId="10832BA9" w14:textId="77777777">
        <w:trPr>
          <w:trHeight w:val="662"/>
        </w:trPr>
        <w:tc>
          <w:tcPr>
            <w:tcW w:w="2371" w:type="dxa"/>
            <w:tcBorders>
              <w:top w:val="single" w:sz="6" w:space="0" w:color="auto"/>
              <w:left w:val="single" w:sz="6" w:space="0" w:color="auto"/>
              <w:bottom w:val="single" w:sz="6" w:space="0" w:color="auto"/>
              <w:right w:val="single" w:sz="6" w:space="0" w:color="auto"/>
            </w:tcBorders>
          </w:tcPr>
          <w:p w14:paraId="1C0DE05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Проселок</w:t>
            </w:r>
          </w:p>
          <w:p w14:paraId="5B643BA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2F514B8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Пройдено км. Ср. скорости чистого движения км/ч. Технические скорости км/ч.</w:t>
            </w:r>
          </w:p>
          <w:p w14:paraId="5CCBA6C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BC907B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112 20,8 19,4</w:t>
            </w:r>
          </w:p>
          <w:p w14:paraId="3A3ABE6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AA6EF4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102 16 15,5</w:t>
            </w:r>
          </w:p>
          <w:p w14:paraId="71362E50"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69BA3D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76 20,2 20,2</w:t>
            </w:r>
          </w:p>
          <w:p w14:paraId="5BE8E41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p>
        </w:tc>
      </w:tr>
    </w:tbl>
    <w:p w14:paraId="132EBC0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Применение планетарной трансмиссии обеспечило легкое управление танком и высокую мане</w:t>
      </w:r>
      <w:r w:rsidRPr="00925F26">
        <w:rPr>
          <w:color w:val="000000" w:themeColor="text1"/>
          <w:sz w:val="16"/>
          <w:szCs w:val="16"/>
        </w:rPr>
        <w:softHyphen/>
        <w:t>вренность.</w:t>
      </w:r>
    </w:p>
    <w:p w14:paraId="02F1076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Надежность агрегатов трансмиссии получена высокой, за 1421 км пробега на полигоне ни</w:t>
      </w:r>
      <w:r w:rsidRPr="00925F26">
        <w:rPr>
          <w:color w:val="000000" w:themeColor="text1"/>
          <w:sz w:val="16"/>
          <w:szCs w:val="16"/>
        </w:rPr>
        <w:softHyphen/>
        <w:t>каких аварий у агрегатов трансмиссии не было.</w:t>
      </w:r>
    </w:p>
    <w:p w14:paraId="73B5DB9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Вооружение танка выполнено в двух вариантах. На танке может быть установлена как се</w:t>
      </w:r>
      <w:r w:rsidRPr="00925F26">
        <w:rPr>
          <w:color w:val="000000" w:themeColor="text1"/>
          <w:sz w:val="16"/>
          <w:szCs w:val="16"/>
        </w:rPr>
        <w:softHyphen/>
        <w:t>рийная 122-мм пушка Д-25, так и 122-мм пушка С-34П.</w:t>
      </w:r>
    </w:p>
    <w:p w14:paraId="22B66CF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Баллистические свойства у обеих пушек одинаковы, но пушка С-34П имеет горизонтальный клин и продувку ствола после выстрела.</w:t>
      </w:r>
    </w:p>
    <w:p w14:paraId="4B7F8F0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тем, что пушка С-34П на вооружение не принята и на производстве не состоит, целе</w:t>
      </w:r>
      <w:r w:rsidRPr="00925F26">
        <w:rPr>
          <w:color w:val="000000" w:themeColor="text1"/>
          <w:sz w:val="16"/>
          <w:szCs w:val="16"/>
        </w:rPr>
        <w:softHyphen/>
        <w:t>сообразно для вооружения танка принять пушку Д-25.</w:t>
      </w:r>
    </w:p>
    <w:p w14:paraId="779FFCE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дальнейшем при отработке пушки Д-30, имеющей продувку канала ствола, последняя легко может быть установлена в танке.</w:t>
      </w:r>
    </w:p>
    <w:p w14:paraId="4FB6FF1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Лобовая часть не пробивается со всех дистанций снарядами калибра 75, 88-мм с начальной ско</w:t>
      </w:r>
      <w:r w:rsidRPr="00925F26">
        <w:rPr>
          <w:color w:val="000000" w:themeColor="text1"/>
          <w:sz w:val="16"/>
          <w:szCs w:val="16"/>
        </w:rPr>
        <w:softHyphen/>
        <w:t>ростью 1000 м/с, 122-мм бронебойными (тупоголовыми и остроголовыми) снарядами, с начальной скоростью 800 м/с, 152-мм бронебойными снарядами с начальной скоростью 600 м/с.</w:t>
      </w:r>
    </w:p>
    <w:p w14:paraId="3A6409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Борта корпуса не пробиваются по нормали:</w:t>
      </w:r>
    </w:p>
    <w:p w14:paraId="2ACBEF5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75-мм бронебойными снарядами с начальной скоростью 1000 м/с с дистанции 1600 м;</w:t>
      </w:r>
    </w:p>
    <w:p w14:paraId="6CAA105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88-мм бронебойными снарядами с начальной скоростью 1000 м/с с дистанции 3790 м;</w:t>
      </w:r>
    </w:p>
    <w:p w14:paraId="534269E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122-мм бронебойными снарядами с начальной скоростью 800 м/с с дистанции 4400 м (тупого</w:t>
      </w:r>
      <w:r w:rsidRPr="00925F26">
        <w:rPr>
          <w:color w:val="000000" w:themeColor="text1"/>
          <w:sz w:val="16"/>
          <w:szCs w:val="16"/>
        </w:rPr>
        <w:softHyphen/>
        <w:t>ловый</w:t>
      </w:r>
      <w:proofErr w:type="gramStart"/>
      <w:r w:rsidRPr="00925F26">
        <w:rPr>
          <w:color w:val="000000" w:themeColor="text1"/>
          <w:sz w:val="16"/>
          <w:szCs w:val="16"/>
        </w:rPr>
        <w:t>) .</w:t>
      </w:r>
      <w:proofErr w:type="gramEnd"/>
    </w:p>
    <w:p w14:paraId="35E55354"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Бортовая броня курсовым углом 30° не пробивается:</w:t>
      </w:r>
    </w:p>
    <w:p w14:paraId="39BA8EE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75-мм бронебойными снарядами с дистанции 655 м;</w:t>
      </w:r>
    </w:p>
    <w:p w14:paraId="45087E58"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88-мм бронебойными снарядами с дистанции 540 м;</w:t>
      </w:r>
    </w:p>
    <w:p w14:paraId="71E3D4A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122-мм бронебойными снарядами с дистанции 1960 м.</w:t>
      </w:r>
    </w:p>
    <w:p w14:paraId="4C62E177"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 танка ИС верхняя лобовая часть не пробивается:</w:t>
      </w:r>
    </w:p>
    <w:p w14:paraId="08706C5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75-мм бронебойными снарядами с дистанции 460 м;</w:t>
      </w:r>
    </w:p>
    <w:p w14:paraId="5BFA3FB1"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88-мм бронебойными снарядами с дистанции 250 м.</w:t>
      </w:r>
    </w:p>
    <w:p w14:paraId="2A6A5892"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Нижний лобовой лист не пробивается 75-мм бронебойными снарядами с дистанции 870 м.</w:t>
      </w:r>
    </w:p>
    <w:p w14:paraId="4CD4A8C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Борт корпуса ИС</w:t>
      </w:r>
    </w:p>
    <w:p w14:paraId="155B24D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прямым углом не пробивается:</w:t>
      </w:r>
    </w:p>
    <w:p w14:paraId="64A245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75-мм бронебойными снарядами с дистанции 2910 м;</w:t>
      </w:r>
    </w:p>
    <w:p w14:paraId="4049369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88-мм бронебойными снарядами с дистанции 6270 м.</w:t>
      </w:r>
    </w:p>
    <w:p w14:paraId="53C14C93"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Толщины броневой защиты танка (объект №701) позволяют танку вести огонь и поражать все немецкие танки с таких дистанций, с которых он сам поражаться не будет.</w:t>
      </w:r>
    </w:p>
    <w:p w14:paraId="39A382F0"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Эксплуатация и обслуживание танка ввиду достаточной отработки всех узлов танка затруд</w:t>
      </w:r>
      <w:r w:rsidRPr="00925F26">
        <w:rPr>
          <w:color w:val="000000" w:themeColor="text1"/>
          <w:sz w:val="16"/>
          <w:szCs w:val="16"/>
        </w:rPr>
        <w:softHyphen/>
        <w:t>нений экипажам представлять не будет.</w:t>
      </w:r>
    </w:p>
    <w:p w14:paraId="50E2FB5E"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Исходя из того, что танк (объект № 701):</w:t>
      </w:r>
    </w:p>
    <w:p w14:paraId="2ED2183F"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По толщинам брони превосходит все существующие танки, по вооружению не уступает оте</w:t>
      </w:r>
      <w:r w:rsidRPr="00925F26">
        <w:rPr>
          <w:color w:val="000000" w:themeColor="text1"/>
          <w:sz w:val="16"/>
          <w:szCs w:val="16"/>
        </w:rPr>
        <w:softHyphen/>
        <w:t>чественным тяжелым танкам, а по маневренности не уступает нашим средним танкам.</w:t>
      </w:r>
    </w:p>
    <w:p w14:paraId="4CF8ED39"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По надежности конструкции агрегатов трансмиссии, в результате длительной работы над опытными образцами коллектива завода и по замечаниям комиссии, проводящей испытания, мож</w:t>
      </w:r>
      <w:r w:rsidRPr="00925F26">
        <w:rPr>
          <w:color w:val="000000" w:themeColor="text1"/>
          <w:sz w:val="16"/>
          <w:szCs w:val="16"/>
        </w:rPr>
        <w:softHyphen/>
        <w:t>но считать отработанным.</w:t>
      </w:r>
    </w:p>
    <w:p w14:paraId="04B1705D"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Конструкция агрегатов моторно-трансмиссионной и ходовой части танка, рассчитанные на большую мощность и вес машины, чем это имеет место в наших тяжелых танках ИС, представляют собой перспективную базу для дальнейшего развития боевых качеств тяжелых танков (бронирова</w:t>
      </w:r>
      <w:r w:rsidRPr="00925F26">
        <w:rPr>
          <w:color w:val="000000" w:themeColor="text1"/>
          <w:sz w:val="16"/>
          <w:szCs w:val="16"/>
        </w:rPr>
        <w:softHyphen/>
        <w:t>ние и вооружение).</w:t>
      </w:r>
    </w:p>
    <w:p w14:paraId="26304C4B"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Считать необходимым принять на вооружение Красной Армии танк (объект №701), с обяза</w:t>
      </w:r>
      <w:r w:rsidRPr="00925F26">
        <w:rPr>
          <w:color w:val="000000" w:themeColor="text1"/>
          <w:sz w:val="16"/>
          <w:szCs w:val="16"/>
        </w:rPr>
        <w:softHyphen/>
        <w:t>тельством устранения отмеченных комиссией дефектов в установочной партии.</w:t>
      </w:r>
    </w:p>
    <w:p w14:paraId="25EBAF0A"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Войти в Правительство с ходатайством о принятии танка «701» на вооружение и немедлен</w:t>
      </w:r>
      <w:r w:rsidRPr="00925F26">
        <w:rPr>
          <w:color w:val="000000" w:themeColor="text1"/>
          <w:sz w:val="16"/>
          <w:szCs w:val="16"/>
        </w:rPr>
        <w:softHyphen/>
        <w:t>ной организации производства его на Кировском заводе, в счет основной программы самоходных установок ИСУ-122 и ИСУ-122с, с тем чтобы в феврале - марте месяцах выпустить установочную партию 25-30 шт., в апреле выпустить 50 шт., в мае -100 шт. без уменьшения общего количества тан</w:t>
      </w:r>
      <w:r w:rsidRPr="00925F26">
        <w:rPr>
          <w:color w:val="000000" w:themeColor="text1"/>
          <w:sz w:val="16"/>
          <w:szCs w:val="16"/>
        </w:rPr>
        <w:softHyphen/>
        <w:t>ков и арт. самоходов, выпускаемых Кировским заводом.</w:t>
      </w:r>
    </w:p>
    <w:p w14:paraId="5DA6EBA5" w14:textId="77777777" w:rsidR="00C2313B" w:rsidRPr="00925F26" w:rsidRDefault="00C2313B"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11355. Д. 3012. Л. 102-105. Подлинник.</w:t>
      </w:r>
    </w:p>
    <w:p w14:paraId="67AB11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Начальник ТУ ГБТУ КА инженер-полковник Благонравов (11420).</w:t>
      </w:r>
    </w:p>
    <w:p w14:paraId="28BA0015" w14:textId="77777777" w:rsidR="00C2313B" w:rsidRPr="00925F26" w:rsidRDefault="00C2313B" w:rsidP="00925F26">
      <w:pPr>
        <w:autoSpaceDE w:val="0"/>
        <w:autoSpaceDN w:val="0"/>
        <w:adjustRightInd w:val="0"/>
        <w:jc w:val="both"/>
        <w:rPr>
          <w:color w:val="000000" w:themeColor="text1"/>
          <w:sz w:val="16"/>
          <w:szCs w:val="16"/>
        </w:rPr>
      </w:pPr>
    </w:p>
    <w:p w14:paraId="02A1EF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вышло Распоряжение ГКО № 7497. О мерах по обеспечению поставки аккумуляторного шпона для производства танковых, авиационных и торпедных батарей на заводах НКЭП. РГАНИР, Фонд ГКО, д. 370, лл. 1-2 (11012).</w:t>
      </w:r>
    </w:p>
    <w:p w14:paraId="1976CB6D" w14:textId="77777777" w:rsidR="00C2313B" w:rsidRPr="00925F26" w:rsidRDefault="00C2313B" w:rsidP="00925F26">
      <w:pPr>
        <w:autoSpaceDE w:val="0"/>
        <w:autoSpaceDN w:val="0"/>
        <w:adjustRightInd w:val="0"/>
        <w:jc w:val="both"/>
        <w:rPr>
          <w:color w:val="000000" w:themeColor="text1"/>
          <w:sz w:val="16"/>
          <w:szCs w:val="16"/>
        </w:rPr>
      </w:pPr>
    </w:p>
    <w:p w14:paraId="7D66DD0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вышло Распоряжение ГКО № 7500. О поставках древесины Верхотурскому заводу НКлеса. РГАНИР, Фонд ГКО, д. 370, лл. 10 (11012).</w:t>
      </w:r>
    </w:p>
    <w:p w14:paraId="6E3B455D" w14:textId="77777777" w:rsidR="00C2313B" w:rsidRPr="00925F26" w:rsidRDefault="00C2313B" w:rsidP="00925F26">
      <w:pPr>
        <w:autoSpaceDE w:val="0"/>
        <w:autoSpaceDN w:val="0"/>
        <w:adjustRightInd w:val="0"/>
        <w:jc w:val="both"/>
        <w:rPr>
          <w:color w:val="000000" w:themeColor="text1"/>
          <w:sz w:val="16"/>
          <w:szCs w:val="16"/>
        </w:rPr>
      </w:pPr>
    </w:p>
    <w:p w14:paraId="72E0F48C"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вышло Постановление ГКО № 7501 Об обеспечении металлом строительства Сталинского алюминиевого завода Наркомцветмета. РГАНИР, Фонд ГКО, д. 370, лл. 11-12 (11012).</w:t>
      </w:r>
    </w:p>
    <w:p w14:paraId="3B129120" w14:textId="77777777" w:rsidR="00C2313B" w:rsidRPr="00925F26" w:rsidRDefault="00C2313B" w:rsidP="00925F26">
      <w:pPr>
        <w:autoSpaceDE w:val="0"/>
        <w:autoSpaceDN w:val="0"/>
        <w:adjustRightInd w:val="0"/>
        <w:jc w:val="both"/>
        <w:rPr>
          <w:color w:val="000000" w:themeColor="text1"/>
          <w:sz w:val="16"/>
          <w:szCs w:val="16"/>
        </w:rPr>
      </w:pPr>
    </w:p>
    <w:p w14:paraId="5256529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вышло Постановление ГКО № 7502 О мерах по обеспечению мазутом предприятий Наркомчермета в феврале 1945 года. РГАНИР, Фонд ГКО, д. 370, лл. 13-16 (11012).</w:t>
      </w:r>
    </w:p>
    <w:p w14:paraId="54AC30A5" w14:textId="77777777" w:rsidR="00C2313B" w:rsidRPr="00925F26" w:rsidRDefault="00C2313B" w:rsidP="00925F26">
      <w:pPr>
        <w:autoSpaceDE w:val="0"/>
        <w:autoSpaceDN w:val="0"/>
        <w:adjustRightInd w:val="0"/>
        <w:jc w:val="both"/>
        <w:rPr>
          <w:color w:val="000000" w:themeColor="text1"/>
          <w:sz w:val="16"/>
          <w:szCs w:val="16"/>
        </w:rPr>
      </w:pPr>
    </w:p>
    <w:p w14:paraId="6CD2FB16"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вышло Постановление ГКО № 7503 О плане изготовления радиолокационных изделий наркоматами и ведомствами. РГАНИР, Фонд ГКО, д. 370, лл. 17, 18-19 (11012).</w:t>
      </w:r>
    </w:p>
    <w:p w14:paraId="74F77054" w14:textId="77777777" w:rsidR="00C2313B" w:rsidRPr="00925F26" w:rsidRDefault="00C2313B" w:rsidP="00925F26">
      <w:pPr>
        <w:autoSpaceDE w:val="0"/>
        <w:autoSpaceDN w:val="0"/>
        <w:adjustRightInd w:val="0"/>
        <w:jc w:val="both"/>
        <w:rPr>
          <w:color w:val="000000" w:themeColor="text1"/>
          <w:sz w:val="16"/>
          <w:szCs w:val="16"/>
        </w:rPr>
      </w:pPr>
    </w:p>
    <w:p w14:paraId="539D31BD" w14:textId="77777777" w:rsidR="00C2313B" w:rsidRPr="00925F26" w:rsidRDefault="00C2313B"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вышло Постановление ГКО № 7504 О строительстве автосборочного завода Наркомсредмаша в гор. Одесса. РГАНИР, Фонд ГКО, д. 370, лл. 20-26, 27-31 (11012).</w:t>
      </w:r>
    </w:p>
    <w:p w14:paraId="5089F6CD" w14:textId="77777777" w:rsidR="00C2313B" w:rsidRPr="00925F26" w:rsidRDefault="00C2313B" w:rsidP="00925F26">
      <w:pPr>
        <w:autoSpaceDE w:val="0"/>
        <w:autoSpaceDN w:val="0"/>
        <w:adjustRightInd w:val="0"/>
        <w:jc w:val="both"/>
        <w:rPr>
          <w:color w:val="000000" w:themeColor="text1"/>
          <w:sz w:val="16"/>
          <w:szCs w:val="16"/>
        </w:rPr>
      </w:pPr>
    </w:p>
    <w:p w14:paraId="57CDF9D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3F60E50" w14:textId="77777777" w:rsidR="00665165" w:rsidRPr="00925F26" w:rsidRDefault="00665165" w:rsidP="00925F26">
      <w:pPr>
        <w:autoSpaceDE w:val="0"/>
        <w:autoSpaceDN w:val="0"/>
        <w:adjustRightInd w:val="0"/>
        <w:jc w:val="both"/>
        <w:rPr>
          <w:iCs/>
          <w:color w:val="000000" w:themeColor="text1"/>
          <w:sz w:val="16"/>
          <w:szCs w:val="16"/>
        </w:rPr>
      </w:pPr>
    </w:p>
    <w:p w14:paraId="618FD3CC" w14:textId="77777777" w:rsidR="00DB43FF" w:rsidRPr="00925F26" w:rsidRDefault="00DB43FF" w:rsidP="00925F26">
      <w:pPr>
        <w:jc w:val="both"/>
        <w:rPr>
          <w:color w:val="000000" w:themeColor="text1"/>
          <w:sz w:val="16"/>
          <w:szCs w:val="16"/>
        </w:rPr>
      </w:pPr>
      <w:r w:rsidRPr="00925F26">
        <w:rPr>
          <w:bCs/>
          <w:color w:val="000000" w:themeColor="text1"/>
          <w:sz w:val="16"/>
          <w:szCs w:val="16"/>
        </w:rPr>
        <w:t>8 февраля</w:t>
      </w:r>
      <w:r w:rsidRPr="00925F26">
        <w:rPr>
          <w:color w:val="000000" w:themeColor="text1"/>
          <w:sz w:val="16"/>
          <w:szCs w:val="16"/>
        </w:rPr>
        <w:t xml:space="preserve"> в 1945 году оперативная сводка Совинформбюро:</w:t>
      </w:r>
    </w:p>
    <w:p w14:paraId="65BD36E9" w14:textId="77777777" w:rsidR="00DB43FF" w:rsidRPr="00925F26" w:rsidRDefault="00DB43FF" w:rsidP="00925F26">
      <w:pPr>
        <w:jc w:val="both"/>
        <w:rPr>
          <w:color w:val="000000" w:themeColor="text1"/>
          <w:sz w:val="16"/>
          <w:szCs w:val="16"/>
        </w:rPr>
      </w:pPr>
      <w:r w:rsidRPr="00925F26">
        <w:rPr>
          <w:color w:val="000000" w:themeColor="text1"/>
          <w:sz w:val="16"/>
          <w:szCs w:val="16"/>
        </w:rPr>
        <w:t>«В течение 8 февраля в Восточной Пруссии южнее Кенигсберга наши войска в результате упорных боёв овладели городом Кройцбург, а также заняли населённые пункты Поршкайм, Зеебен, Бартельсдорф, Воркайм, Рамерс-Вальде, Раунау, Бюргервальде, Фрауендорф, Милленберг, Опен.</w:t>
      </w:r>
    </w:p>
    <w:p w14:paraId="26F087E0" w14:textId="77777777" w:rsidR="00DB43FF" w:rsidRPr="00925F26" w:rsidRDefault="00DB43FF" w:rsidP="00925F26">
      <w:pPr>
        <w:jc w:val="both"/>
        <w:rPr>
          <w:color w:val="000000" w:themeColor="text1"/>
          <w:sz w:val="16"/>
          <w:szCs w:val="16"/>
        </w:rPr>
      </w:pPr>
      <w:r w:rsidRPr="00925F26">
        <w:rPr>
          <w:color w:val="000000" w:themeColor="text1"/>
          <w:sz w:val="16"/>
          <w:szCs w:val="16"/>
        </w:rPr>
        <w:t>Юго-восточнее города Штаргард наши войска овладели на территории немецкой Померании городами Реетц и Бернштайн, а также с боями заняли более 100 других населённых пунктов, среди которых крупные населённые пункты Беркенбрюгге, Либенов, Ритциг, Замментин, Готтберг. За 7 февраля в этом районе наши войска взяли в плен более 1.800 немецких солдат и офицеров.</w:t>
      </w:r>
    </w:p>
    <w:p w14:paraId="7499602F" w14:textId="77777777" w:rsidR="00DB43FF" w:rsidRPr="00925F26" w:rsidRDefault="00DB43FF" w:rsidP="00925F26">
      <w:pPr>
        <w:jc w:val="both"/>
        <w:rPr>
          <w:color w:val="000000" w:themeColor="text1"/>
          <w:sz w:val="16"/>
          <w:szCs w:val="16"/>
        </w:rPr>
      </w:pPr>
      <w:r w:rsidRPr="00925F26">
        <w:rPr>
          <w:color w:val="000000" w:themeColor="text1"/>
          <w:sz w:val="16"/>
          <w:szCs w:val="16"/>
        </w:rPr>
        <w:t>Юго-восточнее Бреслау продолжались бои по расширению плацдарма на западном берегу Одера, в ходе которых наши войска овладели населёнными пунктами Курч, Кохерн, Лорцендорф, Мехайц, Кехендорф, Хермсдорф, Мариенау, Вальдау, Тифензе, Гросс-Зарне.</w:t>
      </w:r>
    </w:p>
    <w:p w14:paraId="3B0BD3AD" w14:textId="77777777" w:rsidR="00DB43FF" w:rsidRPr="00925F26" w:rsidRDefault="00DB43FF" w:rsidP="00925F26">
      <w:pPr>
        <w:jc w:val="both"/>
        <w:rPr>
          <w:color w:val="000000" w:themeColor="text1"/>
          <w:sz w:val="16"/>
          <w:szCs w:val="16"/>
        </w:rPr>
      </w:pPr>
      <w:r w:rsidRPr="00925F26">
        <w:rPr>
          <w:color w:val="000000" w:themeColor="text1"/>
          <w:sz w:val="16"/>
          <w:szCs w:val="16"/>
        </w:rPr>
        <w:t>Юго-западнее Кракова наши войска, действуя в трудных условиях горно-лесистой местности, с боями заняли более 40 населённых пунктов, в том числе крупные населённые пункты Задзеле, Ленкавица, Рыхвалд, Мощаница, Елесьня, Пшыборув.</w:t>
      </w:r>
    </w:p>
    <w:p w14:paraId="4FC45D34"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наши войска продолжали бои по уничтожению гарнизона противника, окружённого в западной части города (Буда), и заняли несколько кварталов. В боях за 7 февраля в этом районе взято в плен более 3.500 солдат и офицеров противника.</w:t>
      </w:r>
    </w:p>
    <w:p w14:paraId="3B386710" w14:textId="77777777" w:rsidR="00DB43FF" w:rsidRPr="00925F26" w:rsidRDefault="00DB43FF" w:rsidP="00925F26">
      <w:pPr>
        <w:jc w:val="both"/>
        <w:rPr>
          <w:color w:val="000000" w:themeColor="text1"/>
          <w:sz w:val="16"/>
          <w:szCs w:val="16"/>
        </w:rPr>
      </w:pPr>
      <w:r w:rsidRPr="00925F26">
        <w:rPr>
          <w:color w:val="000000" w:themeColor="text1"/>
          <w:sz w:val="16"/>
          <w:szCs w:val="16"/>
        </w:rPr>
        <w:t>За 7 февраля на всех фронтах подбито и уничтожено 146 немецких танков. В воздушных боях и огнём зенитной артиллерии сбито 30 самолётов противника.</w:t>
      </w:r>
    </w:p>
    <w:p w14:paraId="7DD69C1D" w14:textId="77777777" w:rsidR="00DB43FF" w:rsidRPr="00925F26" w:rsidRDefault="00DB43FF" w:rsidP="00925F26">
      <w:pPr>
        <w:jc w:val="both"/>
        <w:rPr>
          <w:color w:val="000000" w:themeColor="text1"/>
          <w:sz w:val="16"/>
          <w:szCs w:val="16"/>
        </w:rPr>
      </w:pPr>
      <w:r w:rsidRPr="00925F26">
        <w:rPr>
          <w:color w:val="000000" w:themeColor="text1"/>
          <w:sz w:val="16"/>
          <w:szCs w:val="16"/>
        </w:rPr>
        <w:t>В Восточной Пруссии, южнее города Кенигсберг, наши войска продолжали наступление. Ожесточённые бои произошли за город Кройцбург— мощный узел обороны немцев у реки Посмор. Противник подтянул резервы и оказывал упорное сопротивление. Советские части переправились через реку Посмор и атаковали гитлеровцев. Сегодня наши войска разгромили вражеский гарнизон и овладели городом Кройцбург. Противник потерял убитыми до 4 тысяч солдат и офицеров.</w:t>
      </w:r>
    </w:p>
    <w:p w14:paraId="2D2FF36E" w14:textId="77777777" w:rsidR="00DB43FF" w:rsidRPr="00925F26" w:rsidRDefault="00DB43FF" w:rsidP="00925F26">
      <w:pPr>
        <w:jc w:val="both"/>
        <w:rPr>
          <w:color w:val="000000" w:themeColor="text1"/>
          <w:sz w:val="16"/>
          <w:szCs w:val="16"/>
        </w:rPr>
      </w:pPr>
      <w:r w:rsidRPr="00925F26">
        <w:rPr>
          <w:color w:val="000000" w:themeColor="text1"/>
          <w:sz w:val="16"/>
          <w:szCs w:val="16"/>
        </w:rPr>
        <w:t>Юго-восточнее города Штаргард наши войска с боями продвигались вперёд. Советские пехотинцы, при поддержке артиллерии, прорвали оборону противника и вышли к городу Реетц. Наши подразделения переправились через реку, протекающую у западной окраины города, и блокировали вражеский гарнизон. В результате ожесточенного боя наши войска овладели городом Реетц — важным узлом шоссейных дорог, расположенным в 12 километрах северо-восточнее города Арнсвальде. В другом районе части Н-ского кавалерийского соединения окружили и ликвидировали группировку противника, состоявшую из эсэсовских пехотных и охранных подразделений. Захвачено много пленных, автомашин и вооружения.</w:t>
      </w:r>
    </w:p>
    <w:p w14:paraId="239A9635" w14:textId="77777777" w:rsidR="00DB43FF" w:rsidRPr="00925F26" w:rsidRDefault="00DB43FF" w:rsidP="00925F26">
      <w:pPr>
        <w:jc w:val="both"/>
        <w:rPr>
          <w:color w:val="000000" w:themeColor="text1"/>
          <w:sz w:val="16"/>
          <w:szCs w:val="16"/>
        </w:rPr>
      </w:pPr>
      <w:r w:rsidRPr="00925F26">
        <w:rPr>
          <w:color w:val="000000" w:themeColor="text1"/>
          <w:sz w:val="16"/>
          <w:szCs w:val="16"/>
        </w:rPr>
        <w:t>За день боёв на различных участках наши войска подбили и уничтожили 84 танка и самоходных орудия противника. Советские зенитчики, отражая атаки вражеской авиации, сбили 16 немецких самолётов.</w:t>
      </w:r>
    </w:p>
    <w:p w14:paraId="7C814186" w14:textId="77777777" w:rsidR="00DB43FF" w:rsidRPr="00925F26" w:rsidRDefault="00DB43FF" w:rsidP="00925F26">
      <w:pPr>
        <w:jc w:val="both"/>
        <w:rPr>
          <w:color w:val="000000" w:themeColor="text1"/>
          <w:sz w:val="16"/>
          <w:szCs w:val="16"/>
        </w:rPr>
      </w:pPr>
      <w:r w:rsidRPr="00925F26">
        <w:rPr>
          <w:color w:val="000000" w:themeColor="text1"/>
          <w:sz w:val="16"/>
          <w:szCs w:val="16"/>
        </w:rPr>
        <w:t>Юго-восточнее города Бреслау (Бреславль) немцы, стремясь остановить продвижение наших частей, предпринимали многочисленные контратаки. Преодолевая упорное сопротивление гитлеровцев, наши войска продолжали настойчиво продвигаться вперёд. Противник, выбит из селения Лорцендорф, расположенного в 6 километрах от города Штрелен. Занят также ряд других населённых пунктов. Взято в плен 320 немцев.</w:t>
      </w:r>
    </w:p>
    <w:p w14:paraId="05BB9C75" w14:textId="77777777" w:rsidR="00DB43FF" w:rsidRPr="00925F26" w:rsidRDefault="00DB43FF" w:rsidP="00925F26">
      <w:pPr>
        <w:jc w:val="both"/>
        <w:rPr>
          <w:color w:val="000000" w:themeColor="text1"/>
          <w:sz w:val="16"/>
          <w:szCs w:val="16"/>
        </w:rPr>
      </w:pPr>
      <w:r w:rsidRPr="00925F26">
        <w:rPr>
          <w:color w:val="000000" w:themeColor="text1"/>
          <w:sz w:val="16"/>
          <w:szCs w:val="16"/>
        </w:rPr>
        <w:t xml:space="preserve">В боях за расширение плацдарма за Одером советские воины проявляют доблесть и геройство. Группа танков под командованием капитана Плаксина стремительно атаковала сильно укреплённые позиции противника. Наши танкисты истребили более роты гитлеровцев и уничтожили 15 пулемётов, 3 миномёта, и 2 бронетранспортёра. Захвачено 50 пленных. Экипаж танка лейтенанта Фролова вырвался вперёд, огнём и гусеницами уничтожил немецкий обоз и 80 вражеских солдат и офицеров. Экипаж самоходного орудия старшего лейтенанта Гринь разбил 4 немецких бронетранспортёра и самоходное орудие. В одном бою пулемётчик сержант </w:t>
      </w:r>
      <w:r w:rsidRPr="00925F26">
        <w:rPr>
          <w:color w:val="000000" w:themeColor="text1"/>
          <w:sz w:val="16"/>
          <w:szCs w:val="16"/>
        </w:rPr>
        <w:lastRenderedPageBreak/>
        <w:t>Кузьменко уничтожил 30 немцев. Ефрейтор Мельницын из противотанкового ружья подбил легковую машину и убил немецкого офицера, пытавшегося спастись бегством.</w:t>
      </w:r>
    </w:p>
    <w:p w14:paraId="096DE1D7" w14:textId="77777777" w:rsidR="00DB43FF" w:rsidRPr="00925F26" w:rsidRDefault="00DB43FF" w:rsidP="00925F26">
      <w:pPr>
        <w:jc w:val="both"/>
        <w:rPr>
          <w:color w:val="000000" w:themeColor="text1"/>
          <w:sz w:val="16"/>
          <w:szCs w:val="16"/>
        </w:rPr>
      </w:pPr>
      <w:r w:rsidRPr="00925F26">
        <w:rPr>
          <w:color w:val="000000" w:themeColor="text1"/>
          <w:sz w:val="16"/>
          <w:szCs w:val="16"/>
        </w:rPr>
        <w:t>Юго-западнее города Краков наши войска вели наступательные бои. Противник, укрепившись в селениях Ленкавица и Мощаница, оказывал упорное сопротивление.</w:t>
      </w:r>
    </w:p>
    <w:p w14:paraId="577DA476" w14:textId="77777777" w:rsidR="00DB43FF" w:rsidRPr="00925F26" w:rsidRDefault="00DB43FF" w:rsidP="00925F26">
      <w:pPr>
        <w:jc w:val="both"/>
        <w:rPr>
          <w:color w:val="000000" w:themeColor="text1"/>
          <w:sz w:val="16"/>
          <w:szCs w:val="16"/>
        </w:rPr>
      </w:pPr>
      <w:r w:rsidRPr="00925F26">
        <w:rPr>
          <w:color w:val="000000" w:themeColor="text1"/>
          <w:sz w:val="16"/>
          <w:szCs w:val="16"/>
        </w:rPr>
        <w:t>Наши гвардейцы по склонам гор обошли эти опорные пункты и стремительным фланговым ударом разгромили немецкие гарнизоны. Продвигаясь на запад по южным склонам горного хребта Бескид Малы, наши войска овладели крупным населённым пунктом Задзеле. В бою за этот пункт советские бойцы взяли в плен 170 немцев, захватили 26 орудий и другие трофеи.</w:t>
      </w:r>
    </w:p>
    <w:p w14:paraId="0A1B14EB" w14:textId="77777777" w:rsidR="00DB43FF" w:rsidRPr="00925F26" w:rsidRDefault="00DB43FF" w:rsidP="00925F26">
      <w:pPr>
        <w:jc w:val="both"/>
        <w:rPr>
          <w:color w:val="000000" w:themeColor="text1"/>
          <w:sz w:val="16"/>
          <w:szCs w:val="16"/>
        </w:rPr>
      </w:pPr>
      <w:r w:rsidRPr="00925F26">
        <w:rPr>
          <w:color w:val="000000" w:themeColor="text1"/>
          <w:sz w:val="16"/>
          <w:szCs w:val="16"/>
        </w:rPr>
        <w:t>Взятый в плен на 1-м Украинском фронте начальник артиллерии 42-го немецкого армейского корпуса полковник Оскар Розен рассказал: «Когда русские начали наступление, мы рассчитывали, что положение будет быстро восстановлено. Насколько мне известно, нашим командованием были намечены энергичные контрмеры, предусматривавшие длительную и активную оборону. Немецкое командование возложило на 24-й танковый корпус задачу приостановить наступление Красной Армии на нашем участке. Однако первые же бои показали, что эти планы были построены на песке. Мощными ударами русские опрокинули нашу оборону, продвинулись вперёд и начали громить штабы и тылы. Мы понесли тяжёлые и невосполнимые потери в людях и технике. Наступавшие русские танковые части и мотопехота преследовали нас по пятам, не давая никакой передышки» (15034).</w:t>
      </w:r>
    </w:p>
    <w:p w14:paraId="4BFE2AE0" w14:textId="77777777" w:rsidR="00DB43FF" w:rsidRPr="00925F26" w:rsidRDefault="00DB43FF" w:rsidP="00925F26">
      <w:pPr>
        <w:jc w:val="both"/>
        <w:rPr>
          <w:color w:val="000000" w:themeColor="text1"/>
          <w:sz w:val="16"/>
          <w:szCs w:val="16"/>
        </w:rPr>
      </w:pPr>
    </w:p>
    <w:p w14:paraId="70BFB35B" w14:textId="77777777" w:rsidR="00DB43FF" w:rsidRPr="00925F26" w:rsidRDefault="00DB43FF" w:rsidP="00925F26">
      <w:pPr>
        <w:jc w:val="both"/>
        <w:rPr>
          <w:color w:val="000000" w:themeColor="text1"/>
          <w:sz w:val="16"/>
          <w:szCs w:val="16"/>
        </w:rPr>
      </w:pPr>
      <w:r w:rsidRPr="00925F26">
        <w:rPr>
          <w:bCs/>
          <w:color w:val="000000" w:themeColor="text1"/>
          <w:sz w:val="16"/>
          <w:szCs w:val="16"/>
        </w:rPr>
        <w:t>8 февраля</w:t>
      </w:r>
      <w:r w:rsidRPr="00925F26">
        <w:rPr>
          <w:color w:val="000000" w:themeColor="text1"/>
          <w:sz w:val="16"/>
          <w:szCs w:val="16"/>
        </w:rPr>
        <w:t xml:space="preserve"> в 1945 году войска правого крыла 1-го Украинского фронта (Маршал Советского Союза И.С.Конев) начали Нижнесилезскую операцию. В ходе операции, завершившейся 24 февраля, были уничтожены крупные немецко-фашистские гарнизоны в Глогау и Брослау (15034).</w:t>
      </w:r>
    </w:p>
    <w:p w14:paraId="05509E0D" w14:textId="77777777" w:rsidR="00DB43FF" w:rsidRPr="00925F26" w:rsidRDefault="00DB43FF" w:rsidP="00925F26">
      <w:pPr>
        <w:jc w:val="both"/>
        <w:rPr>
          <w:color w:val="000000" w:themeColor="text1"/>
          <w:sz w:val="16"/>
          <w:szCs w:val="16"/>
        </w:rPr>
      </w:pPr>
    </w:p>
    <w:p w14:paraId="00CC13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8 по 24 февраля 1945 прошла Нижне-Селезская операция и вышли на Западную Нейсе. Прорвали оборону на участке 250 км и продвинулись на 100 км. Окружили Бреслау и Глогау (2438,450).</w:t>
      </w:r>
    </w:p>
    <w:p w14:paraId="3005464D" w14:textId="77777777" w:rsidR="00665165" w:rsidRPr="00925F26" w:rsidRDefault="00665165" w:rsidP="00925F26">
      <w:pPr>
        <w:autoSpaceDE w:val="0"/>
        <w:autoSpaceDN w:val="0"/>
        <w:adjustRightInd w:val="0"/>
        <w:jc w:val="both"/>
        <w:rPr>
          <w:color w:val="000000" w:themeColor="text1"/>
          <w:sz w:val="16"/>
          <w:szCs w:val="16"/>
        </w:rPr>
      </w:pPr>
    </w:p>
    <w:p w14:paraId="5566D5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М.Девятаев на Хе-111 улетел от немцев (455,150) с девятью человеками на борту (340,180).</w:t>
      </w:r>
    </w:p>
    <w:p w14:paraId="65272EC0" w14:textId="77777777" w:rsidR="00665165" w:rsidRPr="00925F26" w:rsidRDefault="00665165" w:rsidP="00925F26">
      <w:pPr>
        <w:autoSpaceDE w:val="0"/>
        <w:autoSpaceDN w:val="0"/>
        <w:adjustRightInd w:val="0"/>
        <w:jc w:val="both"/>
        <w:rPr>
          <w:color w:val="000000" w:themeColor="text1"/>
          <w:sz w:val="16"/>
          <w:szCs w:val="16"/>
        </w:rPr>
      </w:pPr>
    </w:p>
    <w:p w14:paraId="2B396B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ли М.П.Девятаев совершил побег из плена, куда попал после того, как был сбит в июле 1944. Улетел на Не-111, прихватив 10 заключенных и за 3 часа прошел от Прибалтики до Варшавы. Стал ГСС (438,932).</w:t>
      </w:r>
    </w:p>
    <w:p w14:paraId="54D9CDE4" w14:textId="77777777" w:rsidR="00665165" w:rsidRPr="00925F26" w:rsidRDefault="00665165" w:rsidP="00925F26">
      <w:pPr>
        <w:autoSpaceDE w:val="0"/>
        <w:autoSpaceDN w:val="0"/>
        <w:adjustRightInd w:val="0"/>
        <w:jc w:val="both"/>
        <w:rPr>
          <w:color w:val="000000" w:themeColor="text1"/>
          <w:sz w:val="16"/>
          <w:szCs w:val="16"/>
        </w:rPr>
      </w:pPr>
    </w:p>
    <w:p w14:paraId="42BC999E" w14:textId="77777777" w:rsidR="00DB43FF" w:rsidRPr="00925F26" w:rsidRDefault="00DB43FF" w:rsidP="00925F26">
      <w:pPr>
        <w:jc w:val="both"/>
        <w:rPr>
          <w:color w:val="000000" w:themeColor="text1"/>
          <w:sz w:val="16"/>
          <w:szCs w:val="16"/>
        </w:rPr>
      </w:pPr>
      <w:r w:rsidRPr="00925F26">
        <w:rPr>
          <w:bCs/>
          <w:color w:val="000000" w:themeColor="text1"/>
          <w:sz w:val="16"/>
          <w:szCs w:val="16"/>
        </w:rPr>
        <w:t>8 февраля</w:t>
      </w:r>
      <w:r w:rsidRPr="00925F26">
        <w:rPr>
          <w:color w:val="000000" w:themeColor="text1"/>
          <w:sz w:val="16"/>
          <w:szCs w:val="16"/>
        </w:rPr>
        <w:t xml:space="preserve"> в 1945 году побег из плена на вражеском самолете летчика М.П.Девятаева. Старший лейтенант Михаил Петрович Девятаев (мордвин по национальности) участвовал в боях с первого дня войны. Сбил несколько самолетов, был награжден орденом Красного Знамени. После нескольких ранений его списали из истребителей, но оставили в тихоходной авиации. Девятаев служил в полку ночных бомбардировщиков, санитарной авиации, вывозя раненых партизан на Большую Землю. Узнав, что в дивизии Покрышкина служит его друг, Михаил сумел добиться перевода в истребительный полк. В июле 1944 года его самолет был подбит, и летчик оказался в плену. Пересыльный лагерь под Варшавой, лагеря в Лодзи, Кляйкенигсберге, Заксенхаузен. В лагере смерти его ждала неминуемая гибель как организатора неудавшегося побега. Помогла взаимовыручка: товарищам удалось подменить его документы. Так он стал солдатом Никитенко, умершим в лагере незадолго перед тем. Подпольщикам удалось включить Девятаева и в команду заключенных, отправляемых на работу на аэродром, расположенный на острове Свинемюнде (другой вариант - Узедон), где фашисты испытывали ракетные снаряды ФАУ. Узнав, что Девятаев - летчик, военнопленные стали готовить побег: сумели достать для изучения уцелевшую приборную доску с разбитого бомбардировщика, изучали поведение охраны и работников аэродромной службы. 8 февраля на взлетной полосе был подготовлен к полету бомбардировщик «хейнкель-111». В обеденный час пунктуальные немцы по звонку ушли в столовую. Другого такого шанса могло больше не подвернуться. Сказав своему конвоиру, что начальство отдало срочный приказ расчистить капонир, они вышли на летное поле. Когда фашист понял, что что-то неладно, было уже поздно. Сумев завести моторы и оторвать тяжелый самолет от земли, Девятаев повел его сначала в сторону Швеции, а потом свернул на восток. Каково же было удивление советских солдат, бежавших к самолету с крестами, чтобы захватить живьем экипаж, когда из бомбардировщика выбрались одетые в полосатые куртки 11 человек. Кроме Девятаева, в этом беспримерном побеге участвовали Ф.П.Адамов, М.А.Емец, И.П.Кривоногов, П.Кутергин, И.Олейник, И.М.Пацула, Т.Сердюк, В.Соколов, В.Тимченко, Н.Урбанович. </w:t>
      </w:r>
      <w:proofErr w:type="gramStart"/>
      <w:r w:rsidRPr="00925F26">
        <w:rPr>
          <w:color w:val="000000" w:themeColor="text1"/>
          <w:sz w:val="16"/>
          <w:szCs w:val="16"/>
        </w:rPr>
        <w:t>По разному</w:t>
      </w:r>
      <w:proofErr w:type="gramEnd"/>
      <w:r w:rsidRPr="00925F26">
        <w:rPr>
          <w:color w:val="000000" w:themeColor="text1"/>
          <w:sz w:val="16"/>
          <w:szCs w:val="16"/>
        </w:rPr>
        <w:t xml:space="preserve"> сложилась потом судьба героев: трое погибли в боях, о трех ничего не известно, а остальные вернулись в родные края и продолжали трудиться. Но не все было так безоблачно - еще долгое время над ними висело клеймо военнопленных. Лишь в августе 1957 года Девятаеву было присвоено звание Героя Советского Союза, а его товарищи удостоены государственных наград. Михаил Петрович вернулся к своей профессии речника, испытывал и водил первый катер на подводных крыльях «Ракета». Он почетный гражданин Республики Мордовия и города Казани. После войны удалось узнать и о событиях на Свинемюнде после побега. На пятый день прибыл рейхсмаршал Геринг в сопровождении эсэсовцев. Геринг устроил невиданный разнос. Комендант концлагеря, четыре эсэсовца из охраны и еще несколько солдат были приговорены к расстрелу, командира авиачасти спасло лишь заступничество самого Гитлера (15034).</w:t>
      </w:r>
    </w:p>
    <w:p w14:paraId="585E0A8E" w14:textId="77777777" w:rsidR="00DB43FF" w:rsidRPr="00925F26" w:rsidRDefault="00DB43FF" w:rsidP="00925F26">
      <w:pPr>
        <w:jc w:val="both"/>
        <w:rPr>
          <w:color w:val="000000" w:themeColor="text1"/>
          <w:sz w:val="16"/>
          <w:szCs w:val="16"/>
        </w:rPr>
      </w:pPr>
    </w:p>
    <w:p w14:paraId="2AC7C05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C2B2392" w14:textId="77777777" w:rsidR="00665165" w:rsidRPr="00925F26" w:rsidRDefault="00665165" w:rsidP="00925F26">
      <w:pPr>
        <w:autoSpaceDE w:val="0"/>
        <w:autoSpaceDN w:val="0"/>
        <w:adjustRightInd w:val="0"/>
        <w:jc w:val="both"/>
        <w:rPr>
          <w:iCs/>
          <w:color w:val="000000" w:themeColor="text1"/>
          <w:sz w:val="16"/>
          <w:szCs w:val="16"/>
        </w:rPr>
      </w:pPr>
    </w:p>
    <w:p w14:paraId="2E0080F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февраля 1945 лидеры СССР, США и Англии взяли день перерыва на Ялтинской конференции для осмотра крымских достопримечательностей (4962).</w:t>
      </w:r>
    </w:p>
    <w:p w14:paraId="645F5C6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969378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48535C1" w14:textId="77777777" w:rsidR="00665165" w:rsidRPr="00925F26" w:rsidRDefault="00665165" w:rsidP="00925F26">
      <w:pPr>
        <w:autoSpaceDE w:val="0"/>
        <w:autoSpaceDN w:val="0"/>
        <w:adjustRightInd w:val="0"/>
        <w:jc w:val="both"/>
        <w:rPr>
          <w:iCs/>
          <w:color w:val="000000" w:themeColor="text1"/>
          <w:sz w:val="16"/>
          <w:szCs w:val="16"/>
        </w:rPr>
      </w:pPr>
    </w:p>
    <w:p w14:paraId="556BE78E" w14:textId="77777777" w:rsidR="00DB43FF" w:rsidRPr="00925F26" w:rsidRDefault="00DB43FF" w:rsidP="00925F26">
      <w:pPr>
        <w:jc w:val="both"/>
        <w:rPr>
          <w:color w:val="000000" w:themeColor="text1"/>
          <w:sz w:val="16"/>
          <w:szCs w:val="16"/>
        </w:rPr>
      </w:pPr>
      <w:r w:rsidRPr="00925F26">
        <w:rPr>
          <w:bCs/>
          <w:color w:val="000000" w:themeColor="text1"/>
          <w:sz w:val="16"/>
          <w:szCs w:val="16"/>
        </w:rPr>
        <w:t>8 февраля</w:t>
      </w:r>
      <w:r w:rsidRPr="00925F26">
        <w:rPr>
          <w:color w:val="000000" w:themeColor="text1"/>
          <w:sz w:val="16"/>
          <w:szCs w:val="16"/>
        </w:rPr>
        <w:t xml:space="preserve"> в 1945 году поступил на испытания второй германский опытный высотный истребитель-перехватчик </w:t>
      </w:r>
      <w:hyperlink r:id="rId34" w:tgtFrame="_blank" w:history="1">
        <w:r w:rsidRPr="00925F26">
          <w:rPr>
            <w:color w:val="000000" w:themeColor="text1"/>
            <w:sz w:val="16"/>
            <w:szCs w:val="16"/>
          </w:rPr>
          <w:t xml:space="preserve">«ВV.155-V2». </w:t>
        </w:r>
      </w:hyperlink>
    </w:p>
    <w:p w14:paraId="279F2680" w14:textId="77777777" w:rsidR="00DB43FF" w:rsidRPr="00925F26" w:rsidRDefault="00DB43FF" w:rsidP="00925F26">
      <w:pPr>
        <w:jc w:val="both"/>
        <w:rPr>
          <w:color w:val="000000" w:themeColor="text1"/>
          <w:sz w:val="16"/>
          <w:szCs w:val="16"/>
        </w:rPr>
      </w:pPr>
    </w:p>
    <w:p w14:paraId="1F94D6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февраля 1945 англо-канадские войска начали наступление в Рейнской области (4962).</w:t>
      </w:r>
    </w:p>
    <w:p w14:paraId="2BECB96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91A8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8 февраля по 10 марта 1945 состоялась Маас-Рейнская операция англо-американской группы Б.Монтгомери. Продвинулись на 25-60 км выйдя к Рейну (2438,381) под названием Веритабл и шла до 21 марта (3907,255).</w:t>
      </w:r>
    </w:p>
    <w:p w14:paraId="75F21318" w14:textId="77777777" w:rsidR="00665165" w:rsidRPr="00925F26" w:rsidRDefault="00665165" w:rsidP="00925F26">
      <w:pPr>
        <w:autoSpaceDE w:val="0"/>
        <w:autoSpaceDN w:val="0"/>
        <w:adjustRightInd w:val="0"/>
        <w:jc w:val="both"/>
        <w:rPr>
          <w:color w:val="000000" w:themeColor="text1"/>
          <w:sz w:val="16"/>
          <w:szCs w:val="16"/>
        </w:rPr>
      </w:pPr>
    </w:p>
    <w:p w14:paraId="62D3755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8, 1945: In the West, the Canadian First Army (Crerar) begins an offensive in the area of Nijmegen in Holland. Paraguay declares war on Germany. In the East, Soviet attacks in East Prussia, Pommerania and on the Oder front opposite Berlin continue with unabated ferocity (3819).</w:t>
      </w:r>
    </w:p>
    <w:p w14:paraId="654A04CA" w14:textId="77777777" w:rsidR="00665165" w:rsidRPr="00925F26" w:rsidRDefault="00665165" w:rsidP="00925F26">
      <w:pPr>
        <w:autoSpaceDE w:val="0"/>
        <w:autoSpaceDN w:val="0"/>
        <w:adjustRightInd w:val="0"/>
        <w:jc w:val="both"/>
        <w:rPr>
          <w:color w:val="000000" w:themeColor="text1"/>
          <w:sz w:val="16"/>
          <w:szCs w:val="16"/>
          <w:lang w:val="en-US"/>
        </w:rPr>
      </w:pPr>
    </w:p>
    <w:p w14:paraId="63A6A6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февраля 1945 канадская 1А (Крерар) начала наступление в Голландии. Парагвай объявил войну Германии (3819).</w:t>
      </w:r>
    </w:p>
    <w:p w14:paraId="0B47C268" w14:textId="77777777" w:rsidR="00665165" w:rsidRPr="00925F26" w:rsidRDefault="00665165" w:rsidP="00925F26">
      <w:pPr>
        <w:autoSpaceDE w:val="0"/>
        <w:autoSpaceDN w:val="0"/>
        <w:adjustRightInd w:val="0"/>
        <w:jc w:val="both"/>
        <w:rPr>
          <w:color w:val="000000" w:themeColor="text1"/>
          <w:sz w:val="16"/>
          <w:szCs w:val="16"/>
        </w:rPr>
      </w:pPr>
    </w:p>
    <w:p w14:paraId="5AF9B3B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871876B" w14:textId="77777777" w:rsidR="00665165" w:rsidRPr="00925F26" w:rsidRDefault="00665165" w:rsidP="00925F26">
      <w:pPr>
        <w:autoSpaceDE w:val="0"/>
        <w:autoSpaceDN w:val="0"/>
        <w:adjustRightInd w:val="0"/>
        <w:jc w:val="both"/>
        <w:rPr>
          <w:iCs/>
          <w:color w:val="000000" w:themeColor="text1"/>
          <w:sz w:val="16"/>
          <w:szCs w:val="16"/>
        </w:rPr>
      </w:pPr>
    </w:p>
    <w:p w14:paraId="7664F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Левин утвердил Отчет по обобщению результатов летных испытаний по замеру расхода горючего с применением высотного корректора на самолетах с ВК-105ПФ, ВК-107В и АМ-38Ф в 1943-1944 (809,2).</w:t>
      </w:r>
    </w:p>
    <w:p w14:paraId="1A4AC1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Ответственный исполнитель К.А.Савенко</w:t>
      </w:r>
    </w:p>
    <w:p w14:paraId="40FE20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Сделаны выводы об эффективности применения высотных корректоров на различных режимах полета.</w:t>
      </w:r>
    </w:p>
    <w:p w14:paraId="7028F7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Были использованы данные из отчетов по испытаниям с-тов Як, Пе-2, и Ил-2</w:t>
      </w:r>
    </w:p>
    <w:p w14:paraId="6EA5C3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исследовании эффнективности применения высотных корректоров последний открывался по внешним причинам работы мотора</w:t>
      </w:r>
    </w:p>
    <w:p w14:paraId="684E0D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Положение сектора высотного корректора в кабине с-та отмечалось л по спецметкам, разбивающим ход сектора на равные части (кроме с-та Як-9У № 31166011, где положение сектора регистрировалось при помощи самописца).</w:t>
      </w:r>
    </w:p>
    <w:p w14:paraId="15562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Як-9Д № 0715306 с ВК-105ПФ № 335-1896 (апрель-май 1944)</w:t>
      </w:r>
    </w:p>
    <w:p w14:paraId="254D12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к Ф.Ф.Демида</w:t>
      </w:r>
    </w:p>
    <w:p w14:paraId="18BE88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Як-9 № 09-09 с ВК-105ПФ № 325-2056 (май-июнь 1944)</w:t>
      </w:r>
    </w:p>
    <w:p w14:paraId="60962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м-р Антипов</w:t>
      </w:r>
    </w:p>
    <w:p w14:paraId="7B3188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Ил-2 № 1122 АМ-38Ф февраля 1943</w:t>
      </w:r>
    </w:p>
    <w:p w14:paraId="364567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Демидов</w:t>
      </w:r>
    </w:p>
    <w:p w14:paraId="1FA743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6EC4E0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Обобщение материадлов летных испытаний по замеру расхода горючего с применением высотного корректора на с-тах с моторами ВК-105ПФ, ВК-107А, АМ-38Ф показало, что экономия горючего за счет применения корректора по внешним причинам работы мотора весьма значительна и достигает в отдельных случаях 35%.</w:t>
      </w:r>
    </w:p>
    <w:p w14:paraId="11E976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Применение высотного корректора на режиме максимальной скорости на высоте более 4000 м дало значительный прирост скорости с-та Як-9ДД № 01-10, достигший 33 км/час</w:t>
      </w:r>
    </w:p>
    <w:p w14:paraId="447B63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Подписал Нач. 1 отд. 2У ГК НИИ ВВС и/п Гкрвасов 6 февраля 1945 (809,2).</w:t>
      </w:r>
    </w:p>
    <w:p w14:paraId="4C97BCDD" w14:textId="77777777" w:rsidR="00665165" w:rsidRPr="00925F26" w:rsidRDefault="00665165" w:rsidP="00925F26">
      <w:pPr>
        <w:autoSpaceDE w:val="0"/>
        <w:autoSpaceDN w:val="0"/>
        <w:adjustRightInd w:val="0"/>
        <w:jc w:val="both"/>
        <w:rPr>
          <w:color w:val="000000" w:themeColor="text1"/>
          <w:sz w:val="16"/>
          <w:szCs w:val="16"/>
        </w:rPr>
      </w:pPr>
    </w:p>
    <w:p w14:paraId="743541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был выдан Мандат ГКО № 7485 Петрова Н.И., командированного с группой специалистов на 1 УФ для изучения немецкого полигона по испытанию самолетов-снарядов и авиабомб. РГАНИР, Фонд ГКО, д. 369, лл. 96 (11012).</w:t>
      </w:r>
    </w:p>
    <w:p w14:paraId="3A105678" w14:textId="77777777" w:rsidR="00665165" w:rsidRPr="00925F26" w:rsidRDefault="00665165" w:rsidP="00925F26">
      <w:pPr>
        <w:autoSpaceDE w:val="0"/>
        <w:autoSpaceDN w:val="0"/>
        <w:adjustRightInd w:val="0"/>
        <w:jc w:val="both"/>
        <w:rPr>
          <w:color w:val="000000" w:themeColor="text1"/>
          <w:sz w:val="16"/>
          <w:szCs w:val="16"/>
        </w:rPr>
      </w:pPr>
    </w:p>
    <w:p w14:paraId="1FD21E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Постановление ГКО № 7508 О неотложной поставке мазута заводам НКАП. РГАНИР, Фонд ГКО, д. 370, лл. 45-47 (11012).</w:t>
      </w:r>
    </w:p>
    <w:p w14:paraId="5AE9C7DB" w14:textId="77777777" w:rsidR="00665165" w:rsidRPr="00925F26" w:rsidRDefault="00665165" w:rsidP="00925F26">
      <w:pPr>
        <w:autoSpaceDE w:val="0"/>
        <w:autoSpaceDN w:val="0"/>
        <w:adjustRightInd w:val="0"/>
        <w:jc w:val="both"/>
        <w:rPr>
          <w:color w:val="000000" w:themeColor="text1"/>
          <w:sz w:val="16"/>
          <w:szCs w:val="16"/>
        </w:rPr>
      </w:pPr>
    </w:p>
    <w:p w14:paraId="55A4F9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Распоряжение ГКО № 7509. О производстве и применении антидетонационных присадок к авиабензину. РГАНИР, Фонд ГКО, д. 370, лл. 48-49 (11012).</w:t>
      </w:r>
    </w:p>
    <w:p w14:paraId="3511B2C7" w14:textId="77777777" w:rsidR="00665165" w:rsidRPr="00925F26" w:rsidRDefault="00665165" w:rsidP="00925F26">
      <w:pPr>
        <w:autoSpaceDE w:val="0"/>
        <w:autoSpaceDN w:val="0"/>
        <w:adjustRightInd w:val="0"/>
        <w:jc w:val="both"/>
        <w:rPr>
          <w:color w:val="000000" w:themeColor="text1"/>
          <w:sz w:val="16"/>
          <w:szCs w:val="16"/>
        </w:rPr>
      </w:pPr>
    </w:p>
    <w:p w14:paraId="030457E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8AE24EB" w14:textId="77777777" w:rsidR="00665165" w:rsidRPr="00925F26" w:rsidRDefault="00665165" w:rsidP="00925F26">
      <w:pPr>
        <w:autoSpaceDE w:val="0"/>
        <w:autoSpaceDN w:val="0"/>
        <w:adjustRightInd w:val="0"/>
        <w:jc w:val="both"/>
        <w:rPr>
          <w:iCs/>
          <w:color w:val="000000" w:themeColor="text1"/>
          <w:sz w:val="16"/>
          <w:szCs w:val="16"/>
        </w:rPr>
      </w:pPr>
    </w:p>
    <w:p w14:paraId="375ADC1E" w14:textId="77777777" w:rsidR="00104B87" w:rsidRPr="00925F26" w:rsidRDefault="00104B87" w:rsidP="00925F26">
      <w:pPr>
        <w:jc w:val="both"/>
        <w:rPr>
          <w:color w:val="000000" w:themeColor="text1"/>
          <w:sz w:val="16"/>
          <w:szCs w:val="16"/>
        </w:rPr>
      </w:pPr>
      <w:r w:rsidRPr="00925F26">
        <w:rPr>
          <w:color w:val="000000" w:themeColor="text1"/>
          <w:sz w:val="16"/>
          <w:szCs w:val="16"/>
        </w:rPr>
        <w:t>9 февраля 1945 г. Из объяснительной записки к годовому отчету завода № 708 за 1944 г. — о выполнении производственной программы по оборонной продукции</w:t>
      </w:r>
    </w:p>
    <w:p w14:paraId="33BB475C" w14:textId="77777777" w:rsidR="00104B87" w:rsidRPr="00925F26" w:rsidRDefault="00104B87" w:rsidP="00925F26">
      <w:pPr>
        <w:jc w:val="both"/>
        <w:rPr>
          <w:color w:val="000000" w:themeColor="text1"/>
          <w:sz w:val="16"/>
          <w:szCs w:val="16"/>
        </w:rPr>
      </w:pPr>
      <w:r w:rsidRPr="00925F26">
        <w:rPr>
          <w:color w:val="000000" w:themeColor="text1"/>
          <w:sz w:val="16"/>
          <w:szCs w:val="16"/>
        </w:rPr>
        <w:t>Производственная программа завода в 1944 г. состояла из приборов следующей номенклатуры:</w:t>
      </w:r>
    </w:p>
    <w:p w14:paraId="32AD73CF" w14:textId="77777777" w:rsidR="00104B87" w:rsidRPr="00925F26" w:rsidRDefault="00104B87" w:rsidP="00925F26">
      <w:pPr>
        <w:jc w:val="both"/>
        <w:rPr>
          <w:color w:val="000000" w:themeColor="text1"/>
          <w:sz w:val="16"/>
          <w:szCs w:val="16"/>
        </w:rPr>
      </w:pPr>
      <w:r w:rsidRPr="00925F26">
        <w:rPr>
          <w:color w:val="000000" w:themeColor="text1"/>
          <w:sz w:val="16"/>
          <w:szCs w:val="16"/>
        </w:rPr>
        <w:t>1. Принимающие ПУАЗО-З.</w:t>
      </w:r>
    </w:p>
    <w:p w14:paraId="43408871" w14:textId="77777777" w:rsidR="00104B87" w:rsidRPr="00925F26" w:rsidRDefault="00104B87" w:rsidP="00925F26">
      <w:pPr>
        <w:jc w:val="both"/>
        <w:rPr>
          <w:color w:val="000000" w:themeColor="text1"/>
          <w:sz w:val="16"/>
          <w:szCs w:val="16"/>
        </w:rPr>
      </w:pPr>
      <w:r w:rsidRPr="00925F26">
        <w:rPr>
          <w:color w:val="000000" w:themeColor="text1"/>
          <w:sz w:val="16"/>
          <w:szCs w:val="16"/>
        </w:rPr>
        <w:t>2. Приборы автоматической стабилизации подводной лодки «Спрут».</w:t>
      </w:r>
    </w:p>
    <w:p w14:paraId="1DBF3264" w14:textId="77777777" w:rsidR="00104B87" w:rsidRPr="00925F26" w:rsidRDefault="00104B87" w:rsidP="00925F26">
      <w:pPr>
        <w:jc w:val="both"/>
        <w:rPr>
          <w:color w:val="000000" w:themeColor="text1"/>
          <w:sz w:val="16"/>
          <w:szCs w:val="16"/>
        </w:rPr>
      </w:pPr>
      <w:r w:rsidRPr="00925F26">
        <w:rPr>
          <w:color w:val="000000" w:themeColor="text1"/>
          <w:sz w:val="16"/>
          <w:szCs w:val="16"/>
        </w:rPr>
        <w:t>3. Приборы управления безпузырной торпедной стрельбой (БТС).</w:t>
      </w:r>
    </w:p>
    <w:p w14:paraId="4AFCE9EA" w14:textId="77777777" w:rsidR="00104B87" w:rsidRPr="00925F26" w:rsidRDefault="00104B87" w:rsidP="00925F26">
      <w:pPr>
        <w:jc w:val="both"/>
        <w:rPr>
          <w:color w:val="000000" w:themeColor="text1"/>
          <w:sz w:val="16"/>
          <w:szCs w:val="16"/>
        </w:rPr>
      </w:pPr>
      <w:r w:rsidRPr="00925F26">
        <w:rPr>
          <w:color w:val="000000" w:themeColor="text1"/>
          <w:sz w:val="16"/>
          <w:szCs w:val="16"/>
        </w:rPr>
        <w:t>4. Прицелы для подводных лодок и катеров КЛН.</w:t>
      </w:r>
    </w:p>
    <w:p w14:paraId="63A689B3" w14:textId="77777777" w:rsidR="00104B87" w:rsidRPr="00925F26" w:rsidRDefault="00104B87" w:rsidP="00925F26">
      <w:pPr>
        <w:jc w:val="both"/>
        <w:rPr>
          <w:color w:val="000000" w:themeColor="text1"/>
          <w:sz w:val="16"/>
          <w:szCs w:val="16"/>
        </w:rPr>
      </w:pPr>
      <w:r w:rsidRPr="00925F26">
        <w:rPr>
          <w:color w:val="000000" w:themeColor="text1"/>
          <w:sz w:val="16"/>
          <w:szCs w:val="16"/>
        </w:rPr>
        <w:t>5. Приборы торпедных аппаратов (КБ и ККС</w:t>
      </w:r>
      <w:proofErr w:type="gramStart"/>
      <w:r w:rsidRPr="00925F26">
        <w:rPr>
          <w:color w:val="000000" w:themeColor="text1"/>
          <w:sz w:val="16"/>
          <w:szCs w:val="16"/>
        </w:rPr>
        <w:t>).[...]</w:t>
      </w:r>
      <w:proofErr w:type="gramEnd"/>
    </w:p>
    <w:p w14:paraId="06FD941D" w14:textId="77777777" w:rsidR="00104B87" w:rsidRPr="00925F26" w:rsidRDefault="00104B87" w:rsidP="00925F26">
      <w:pPr>
        <w:jc w:val="both"/>
        <w:rPr>
          <w:color w:val="000000" w:themeColor="text1"/>
          <w:sz w:val="16"/>
          <w:szCs w:val="16"/>
        </w:rPr>
      </w:pPr>
      <w:r w:rsidRPr="00925F26">
        <w:rPr>
          <w:color w:val="000000" w:themeColor="text1"/>
          <w:sz w:val="16"/>
          <w:szCs w:val="16"/>
        </w:rPr>
        <w:t>Программа истекшего отчетного года характеризуется увеличением удельного веса морской тематики, по сравнению с предыдущими годами.</w:t>
      </w:r>
    </w:p>
    <w:p w14:paraId="4927C838" w14:textId="77777777" w:rsidR="00104B87" w:rsidRPr="00925F26" w:rsidRDefault="00104B87" w:rsidP="00925F26">
      <w:pPr>
        <w:jc w:val="both"/>
        <w:rPr>
          <w:color w:val="000000" w:themeColor="text1"/>
          <w:sz w:val="16"/>
          <w:szCs w:val="16"/>
        </w:rPr>
      </w:pPr>
      <w:r w:rsidRPr="00925F26">
        <w:rPr>
          <w:color w:val="000000" w:themeColor="text1"/>
          <w:sz w:val="16"/>
          <w:szCs w:val="16"/>
        </w:rPr>
        <w:t>В 1942 г. завод выпускал исключительно принимающие приборы ПУАЗО-З и никакой другой продукции в номенклатуре не имел.</w:t>
      </w:r>
    </w:p>
    <w:p w14:paraId="1638E237" w14:textId="77777777" w:rsidR="00104B87" w:rsidRPr="00925F26" w:rsidRDefault="00104B87" w:rsidP="00925F26">
      <w:pPr>
        <w:jc w:val="both"/>
        <w:rPr>
          <w:color w:val="000000" w:themeColor="text1"/>
          <w:sz w:val="16"/>
          <w:szCs w:val="16"/>
        </w:rPr>
      </w:pPr>
      <w:r w:rsidRPr="00925F26">
        <w:rPr>
          <w:color w:val="000000" w:themeColor="text1"/>
          <w:sz w:val="16"/>
          <w:szCs w:val="16"/>
        </w:rPr>
        <w:t>В 1943 г. удельный вес морских приборов составлял 16,5 %.</w:t>
      </w:r>
    </w:p>
    <w:p w14:paraId="1F4B119A" w14:textId="77777777" w:rsidR="00104B87" w:rsidRPr="00925F26" w:rsidRDefault="00104B87" w:rsidP="00925F26">
      <w:pPr>
        <w:jc w:val="both"/>
        <w:rPr>
          <w:color w:val="000000" w:themeColor="text1"/>
          <w:sz w:val="16"/>
          <w:szCs w:val="16"/>
        </w:rPr>
      </w:pPr>
      <w:r w:rsidRPr="00925F26">
        <w:rPr>
          <w:color w:val="000000" w:themeColor="text1"/>
          <w:sz w:val="16"/>
          <w:szCs w:val="16"/>
        </w:rPr>
        <w:t>В 1944 г. удельный вес морских приборов составляет 29,2 % по отношению ко всей программе завода.</w:t>
      </w:r>
    </w:p>
    <w:p w14:paraId="1DEF0E93" w14:textId="77777777" w:rsidR="00104B87" w:rsidRPr="00925F26" w:rsidRDefault="00104B87" w:rsidP="00925F26">
      <w:pPr>
        <w:jc w:val="both"/>
        <w:rPr>
          <w:color w:val="000000" w:themeColor="text1"/>
          <w:sz w:val="16"/>
          <w:szCs w:val="16"/>
        </w:rPr>
      </w:pPr>
      <w:r w:rsidRPr="00925F26">
        <w:rPr>
          <w:color w:val="000000" w:themeColor="text1"/>
          <w:sz w:val="16"/>
          <w:szCs w:val="16"/>
        </w:rPr>
        <w:t>Выполнение программы по номенклатуре составляет:</w:t>
      </w:r>
    </w:p>
    <w:p w14:paraId="770ED7C5" w14:textId="77777777" w:rsidR="00104B87" w:rsidRPr="00925F26" w:rsidRDefault="00104B87" w:rsidP="00925F26">
      <w:pPr>
        <w:jc w:val="both"/>
        <w:rPr>
          <w:color w:val="000000" w:themeColor="text1"/>
          <w:sz w:val="16"/>
          <w:szCs w:val="16"/>
        </w:rPr>
      </w:pPr>
      <w:r w:rsidRPr="00925F26">
        <w:rPr>
          <w:color w:val="000000" w:themeColor="text1"/>
          <w:sz w:val="16"/>
          <w:szCs w:val="16"/>
        </w:rPr>
        <w:t>№№ п/п</w:t>
      </w:r>
      <w:r w:rsidRPr="00925F26">
        <w:rPr>
          <w:color w:val="000000" w:themeColor="text1"/>
          <w:sz w:val="16"/>
          <w:szCs w:val="16"/>
        </w:rPr>
        <w:tab/>
        <w:t>Наименование  изделий</w:t>
      </w:r>
      <w:r w:rsidRPr="00925F26">
        <w:rPr>
          <w:color w:val="000000" w:themeColor="text1"/>
          <w:sz w:val="16"/>
          <w:szCs w:val="16"/>
        </w:rPr>
        <w:tab/>
        <w:t>План  (к-во)</w:t>
      </w:r>
      <w:r w:rsidRPr="00925F26">
        <w:rPr>
          <w:color w:val="000000" w:themeColor="text1"/>
          <w:sz w:val="16"/>
          <w:szCs w:val="16"/>
        </w:rPr>
        <w:tab/>
        <w:t>Фактически  (к-во)</w:t>
      </w:r>
      <w:r w:rsidRPr="00925F26">
        <w:rPr>
          <w:color w:val="000000" w:themeColor="text1"/>
          <w:sz w:val="16"/>
          <w:szCs w:val="16"/>
        </w:rPr>
        <w:tab/>
        <w:t>О. 1 Л&gt;  выполнения</w:t>
      </w:r>
    </w:p>
    <w:p w14:paraId="0F788D84" w14:textId="77777777" w:rsidR="00104B87" w:rsidRPr="00925F26" w:rsidRDefault="00104B87" w:rsidP="00925F26">
      <w:pPr>
        <w:jc w:val="both"/>
        <w:rPr>
          <w:color w:val="000000" w:themeColor="text1"/>
          <w:sz w:val="16"/>
          <w:szCs w:val="16"/>
        </w:rPr>
      </w:pPr>
      <w:r w:rsidRPr="00925F26">
        <w:rPr>
          <w:color w:val="000000" w:themeColor="text1"/>
          <w:sz w:val="16"/>
          <w:szCs w:val="16"/>
        </w:rPr>
        <w:t>1.</w:t>
      </w:r>
      <w:r w:rsidRPr="00925F26">
        <w:rPr>
          <w:color w:val="000000" w:themeColor="text1"/>
          <w:sz w:val="16"/>
          <w:szCs w:val="16"/>
        </w:rPr>
        <w:tab/>
        <w:t>Принимающие ПУАЗО-З</w:t>
      </w:r>
      <w:r w:rsidRPr="00925F26">
        <w:rPr>
          <w:color w:val="000000" w:themeColor="text1"/>
          <w:sz w:val="16"/>
          <w:szCs w:val="16"/>
        </w:rPr>
        <w:tab/>
        <w:t>800</w:t>
      </w:r>
      <w:r w:rsidRPr="00925F26">
        <w:rPr>
          <w:color w:val="000000" w:themeColor="text1"/>
          <w:sz w:val="16"/>
          <w:szCs w:val="16"/>
        </w:rPr>
        <w:tab/>
        <w:t>664</w:t>
      </w:r>
      <w:r w:rsidRPr="00925F26">
        <w:rPr>
          <w:color w:val="000000" w:themeColor="text1"/>
          <w:sz w:val="16"/>
          <w:szCs w:val="16"/>
        </w:rPr>
        <w:tab/>
        <w:t>82,3</w:t>
      </w:r>
    </w:p>
    <w:p w14:paraId="1ED9B8A1" w14:textId="77777777" w:rsidR="00104B87" w:rsidRPr="00925F26" w:rsidRDefault="00104B87" w:rsidP="00925F26">
      <w:pPr>
        <w:jc w:val="both"/>
        <w:rPr>
          <w:color w:val="000000" w:themeColor="text1"/>
          <w:sz w:val="16"/>
          <w:szCs w:val="16"/>
        </w:rPr>
      </w:pPr>
      <w:r w:rsidRPr="00925F26">
        <w:rPr>
          <w:color w:val="000000" w:themeColor="text1"/>
          <w:sz w:val="16"/>
          <w:szCs w:val="16"/>
        </w:rPr>
        <w:t>2.</w:t>
      </w:r>
      <w:r w:rsidRPr="00925F26">
        <w:rPr>
          <w:color w:val="000000" w:themeColor="text1"/>
          <w:sz w:val="16"/>
          <w:szCs w:val="16"/>
        </w:rPr>
        <w:tab/>
        <w:t>Спруты</w:t>
      </w:r>
      <w:r w:rsidRPr="00925F26">
        <w:rPr>
          <w:color w:val="000000" w:themeColor="text1"/>
          <w:sz w:val="16"/>
          <w:szCs w:val="16"/>
        </w:rPr>
        <w:tab/>
        <w:t>60</w:t>
      </w:r>
      <w:r w:rsidRPr="00925F26">
        <w:rPr>
          <w:color w:val="000000" w:themeColor="text1"/>
          <w:sz w:val="16"/>
          <w:szCs w:val="16"/>
        </w:rPr>
        <w:tab/>
        <w:t>70</w:t>
      </w:r>
      <w:r w:rsidRPr="00925F26">
        <w:rPr>
          <w:color w:val="000000" w:themeColor="text1"/>
          <w:sz w:val="16"/>
          <w:szCs w:val="16"/>
        </w:rPr>
        <w:tab/>
        <w:t>116, 6</w:t>
      </w:r>
    </w:p>
    <w:p w14:paraId="218CAA65" w14:textId="77777777" w:rsidR="00104B87" w:rsidRPr="00925F26" w:rsidRDefault="00104B87" w:rsidP="00925F26">
      <w:pPr>
        <w:jc w:val="both"/>
        <w:rPr>
          <w:color w:val="000000" w:themeColor="text1"/>
          <w:sz w:val="16"/>
          <w:szCs w:val="16"/>
        </w:rPr>
      </w:pPr>
      <w:r w:rsidRPr="00925F26">
        <w:rPr>
          <w:color w:val="000000" w:themeColor="text1"/>
          <w:sz w:val="16"/>
          <w:szCs w:val="16"/>
        </w:rPr>
        <w:t>3.</w:t>
      </w:r>
      <w:r w:rsidRPr="00925F26">
        <w:rPr>
          <w:color w:val="000000" w:themeColor="text1"/>
          <w:sz w:val="16"/>
          <w:szCs w:val="16"/>
        </w:rPr>
        <w:tab/>
        <w:t>ПУТСы (БТС)</w:t>
      </w:r>
      <w:r w:rsidRPr="00925F26">
        <w:rPr>
          <w:color w:val="000000" w:themeColor="text1"/>
          <w:sz w:val="16"/>
          <w:szCs w:val="16"/>
        </w:rPr>
        <w:tab/>
        <w:t>50</w:t>
      </w:r>
      <w:r w:rsidRPr="00925F26">
        <w:rPr>
          <w:color w:val="000000" w:themeColor="text1"/>
          <w:sz w:val="16"/>
          <w:szCs w:val="16"/>
        </w:rPr>
        <w:tab/>
        <w:t>152</w:t>
      </w:r>
      <w:r w:rsidRPr="00925F26">
        <w:rPr>
          <w:color w:val="000000" w:themeColor="text1"/>
          <w:sz w:val="16"/>
          <w:szCs w:val="16"/>
        </w:rPr>
        <w:tab/>
        <w:t>304,0</w:t>
      </w:r>
    </w:p>
    <w:p w14:paraId="2C71971F" w14:textId="77777777" w:rsidR="00104B87" w:rsidRPr="00925F26" w:rsidRDefault="00104B87" w:rsidP="00925F26">
      <w:pPr>
        <w:jc w:val="both"/>
        <w:rPr>
          <w:color w:val="000000" w:themeColor="text1"/>
          <w:sz w:val="16"/>
          <w:szCs w:val="16"/>
        </w:rPr>
      </w:pPr>
      <w:r w:rsidRPr="00925F26">
        <w:rPr>
          <w:color w:val="000000" w:themeColor="text1"/>
          <w:sz w:val="16"/>
          <w:szCs w:val="16"/>
        </w:rPr>
        <w:t>4.</w:t>
      </w:r>
      <w:r w:rsidRPr="00925F26">
        <w:rPr>
          <w:color w:val="000000" w:themeColor="text1"/>
          <w:sz w:val="16"/>
          <w:szCs w:val="16"/>
        </w:rPr>
        <w:tab/>
        <w:t>Прицелы ЛН</w:t>
      </w:r>
      <w:r w:rsidRPr="00925F26">
        <w:rPr>
          <w:color w:val="000000" w:themeColor="text1"/>
          <w:sz w:val="16"/>
          <w:szCs w:val="16"/>
        </w:rPr>
        <w:tab/>
        <w:t>85</w:t>
      </w:r>
      <w:r w:rsidRPr="00925F26">
        <w:rPr>
          <w:color w:val="000000" w:themeColor="text1"/>
          <w:sz w:val="16"/>
          <w:szCs w:val="16"/>
        </w:rPr>
        <w:tab/>
        <w:t>126</w:t>
      </w:r>
      <w:r w:rsidRPr="00925F26">
        <w:rPr>
          <w:color w:val="000000" w:themeColor="text1"/>
          <w:sz w:val="16"/>
          <w:szCs w:val="16"/>
        </w:rPr>
        <w:tab/>
        <w:t>148,4</w:t>
      </w:r>
    </w:p>
    <w:p w14:paraId="1CBF3D1B" w14:textId="77777777" w:rsidR="00104B87" w:rsidRPr="00925F26" w:rsidRDefault="00104B87" w:rsidP="00925F26">
      <w:pPr>
        <w:jc w:val="both"/>
        <w:rPr>
          <w:color w:val="000000" w:themeColor="text1"/>
          <w:sz w:val="16"/>
          <w:szCs w:val="16"/>
        </w:rPr>
      </w:pPr>
      <w:r w:rsidRPr="00925F26">
        <w:rPr>
          <w:color w:val="000000" w:themeColor="text1"/>
          <w:sz w:val="16"/>
          <w:szCs w:val="16"/>
        </w:rPr>
        <w:t>5.</w:t>
      </w:r>
      <w:r w:rsidRPr="00925F26">
        <w:rPr>
          <w:color w:val="000000" w:themeColor="text1"/>
          <w:sz w:val="16"/>
          <w:szCs w:val="16"/>
        </w:rPr>
        <w:tab/>
        <w:t>КВ и ККС</w:t>
      </w:r>
      <w:r w:rsidRPr="00925F26">
        <w:rPr>
          <w:color w:val="000000" w:themeColor="text1"/>
          <w:sz w:val="16"/>
          <w:szCs w:val="16"/>
        </w:rPr>
        <w:tab/>
        <w:t>55</w:t>
      </w:r>
      <w:r w:rsidRPr="00925F26">
        <w:rPr>
          <w:color w:val="000000" w:themeColor="text1"/>
          <w:sz w:val="16"/>
          <w:szCs w:val="16"/>
        </w:rPr>
        <w:tab/>
        <w:t>60</w:t>
      </w:r>
      <w:r w:rsidRPr="00925F26">
        <w:rPr>
          <w:color w:val="000000" w:themeColor="text1"/>
          <w:sz w:val="16"/>
          <w:szCs w:val="16"/>
        </w:rPr>
        <w:tab/>
        <w:t>109,0 [...I</w:t>
      </w:r>
      <w:proofErr w:type="gramStart"/>
      <w:r w:rsidRPr="00925F26">
        <w:rPr>
          <w:color w:val="000000" w:themeColor="text1"/>
          <w:sz w:val="16"/>
          <w:szCs w:val="16"/>
        </w:rPr>
        <w:t>1 ]</w:t>
      </w:r>
      <w:proofErr w:type="gramEnd"/>
    </w:p>
    <w:p w14:paraId="6F97FB2A" w14:textId="77777777" w:rsidR="00104B87" w:rsidRPr="00925F26" w:rsidRDefault="00104B87" w:rsidP="00925F26">
      <w:pPr>
        <w:jc w:val="both"/>
        <w:rPr>
          <w:color w:val="000000" w:themeColor="text1"/>
          <w:sz w:val="16"/>
          <w:szCs w:val="16"/>
        </w:rPr>
      </w:pPr>
      <w:r w:rsidRPr="00925F26">
        <w:rPr>
          <w:color w:val="000000" w:themeColor="text1"/>
          <w:sz w:val="16"/>
          <w:szCs w:val="16"/>
        </w:rPr>
        <w:t>Изготовляя в 1-м полугодии отдельные партии приборов, заводом, начиная со 2-го полугодия, поставлялась вся комплектация принимающих приборов ПУАЗО-З с новым прибором трубки.</w:t>
      </w:r>
    </w:p>
    <w:p w14:paraId="348B699A"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Над освоением нового прибора и запуском его в серию заводом проделана большая работа, как по линии разработки конструкции, изготовления оснастки, так и обучения малоквалифицированных рабочих по изготовлению новых деталей. </w:t>
      </w:r>
      <w:proofErr w:type="gramStart"/>
      <w:r w:rsidRPr="00925F26">
        <w:rPr>
          <w:color w:val="000000" w:themeColor="text1"/>
          <w:sz w:val="16"/>
          <w:szCs w:val="16"/>
        </w:rPr>
        <w:t>Старый прибор</w:t>
      </w:r>
      <w:proofErr w:type="gramEnd"/>
      <w:r w:rsidRPr="00925F26">
        <w:rPr>
          <w:color w:val="000000" w:themeColor="text1"/>
          <w:sz w:val="16"/>
          <w:szCs w:val="16"/>
        </w:rPr>
        <w:t xml:space="preserve"> принимающий трубки по своей трудоемкости был на 50 % ниже</w:t>
      </w:r>
    </w:p>
    <w:p w14:paraId="635F0FC9" w14:textId="77777777" w:rsidR="00104B87" w:rsidRPr="00925F26" w:rsidRDefault="00104B87" w:rsidP="00925F26">
      <w:pPr>
        <w:jc w:val="both"/>
        <w:rPr>
          <w:color w:val="000000" w:themeColor="text1"/>
          <w:sz w:val="16"/>
          <w:szCs w:val="16"/>
        </w:rPr>
      </w:pPr>
      <w:r w:rsidRPr="00925F26">
        <w:rPr>
          <w:color w:val="000000" w:themeColor="text1"/>
          <w:sz w:val="16"/>
          <w:szCs w:val="16"/>
        </w:rPr>
        <w:t>нового прибора, что повлияло на повышение себестоимости комплекта принимающих приборов ПУАЗО-З.</w:t>
      </w:r>
    </w:p>
    <w:p w14:paraId="50ED7FDD" w14:textId="77777777" w:rsidR="00104B87" w:rsidRPr="00925F26" w:rsidRDefault="00104B87" w:rsidP="00925F26">
      <w:pPr>
        <w:jc w:val="both"/>
        <w:rPr>
          <w:color w:val="000000" w:themeColor="text1"/>
          <w:sz w:val="16"/>
          <w:szCs w:val="16"/>
        </w:rPr>
      </w:pPr>
      <w:r w:rsidRPr="00925F26">
        <w:rPr>
          <w:color w:val="000000" w:themeColor="text1"/>
          <w:sz w:val="16"/>
          <w:szCs w:val="16"/>
        </w:rPr>
        <w:t>Невыполнение программы по принимающим приборам ПУАЗО-З объясняется:</w:t>
      </w:r>
    </w:p>
    <w:p w14:paraId="424F2610" w14:textId="77777777" w:rsidR="00104B87" w:rsidRPr="00925F26" w:rsidRDefault="00104B87" w:rsidP="00925F26">
      <w:pPr>
        <w:jc w:val="both"/>
        <w:rPr>
          <w:color w:val="000000" w:themeColor="text1"/>
          <w:sz w:val="16"/>
          <w:szCs w:val="16"/>
        </w:rPr>
      </w:pPr>
      <w:r w:rsidRPr="00925F26">
        <w:rPr>
          <w:color w:val="000000" w:themeColor="text1"/>
          <w:sz w:val="16"/>
          <w:szCs w:val="16"/>
        </w:rPr>
        <w:t>1. Внедрением нового прибора, который по своей трудоемкости значительно выше старого и сложностями его освоения.</w:t>
      </w:r>
    </w:p>
    <w:p w14:paraId="7174196A" w14:textId="77777777" w:rsidR="00104B87" w:rsidRPr="00925F26" w:rsidRDefault="00104B87" w:rsidP="00925F26">
      <w:pPr>
        <w:jc w:val="both"/>
        <w:rPr>
          <w:color w:val="000000" w:themeColor="text1"/>
          <w:sz w:val="16"/>
          <w:szCs w:val="16"/>
        </w:rPr>
      </w:pPr>
      <w:r w:rsidRPr="00925F26">
        <w:rPr>
          <w:color w:val="000000" w:themeColor="text1"/>
          <w:sz w:val="16"/>
          <w:szCs w:val="16"/>
        </w:rPr>
        <w:t>2. Большими перебоями в снабжении материалами, в особенности материалами, необходимыми для изготовления моторов СТ (провод ПШО-0,47; ротора), отсутствие которых исключительно лихорадило завод и в течение всего года ограничивало выпуск приборов. [...]</w:t>
      </w:r>
    </w:p>
    <w:p w14:paraId="0DFFDD0A" w14:textId="77777777" w:rsidR="00104B87" w:rsidRPr="00925F26" w:rsidRDefault="00104B87" w:rsidP="00925F26">
      <w:pPr>
        <w:jc w:val="both"/>
        <w:rPr>
          <w:color w:val="000000" w:themeColor="text1"/>
          <w:sz w:val="16"/>
          <w:szCs w:val="16"/>
        </w:rPr>
      </w:pPr>
      <w:r w:rsidRPr="00925F26">
        <w:rPr>
          <w:color w:val="000000" w:themeColor="text1"/>
          <w:sz w:val="16"/>
          <w:szCs w:val="16"/>
        </w:rPr>
        <w:t>В 1944 г. на заводе проведен ряд организационно-технических мероприятий, направленных на увеличение производственной мощности завода, как за счет полученного нового импортного оборудования (33 ед.), так и за счет расширения и укомплектования отдельных цехов.</w:t>
      </w:r>
    </w:p>
    <w:p w14:paraId="2BCF80E8" w14:textId="77777777" w:rsidR="00104B87" w:rsidRPr="00925F26" w:rsidRDefault="00104B87" w:rsidP="00925F26">
      <w:pPr>
        <w:jc w:val="both"/>
        <w:rPr>
          <w:color w:val="000000" w:themeColor="text1"/>
          <w:sz w:val="16"/>
          <w:szCs w:val="16"/>
        </w:rPr>
      </w:pPr>
      <w:r w:rsidRPr="00925F26">
        <w:rPr>
          <w:color w:val="000000" w:themeColor="text1"/>
          <w:sz w:val="16"/>
          <w:szCs w:val="16"/>
        </w:rPr>
        <w:t>В этом году введено в эксплуатацию новое помещение цеха № 9 (цех морских приборов).</w:t>
      </w:r>
    </w:p>
    <w:p w14:paraId="52910791" w14:textId="77777777" w:rsidR="00104B87" w:rsidRPr="00925F26" w:rsidRDefault="00104B87" w:rsidP="00925F26">
      <w:pPr>
        <w:jc w:val="both"/>
        <w:rPr>
          <w:color w:val="000000" w:themeColor="text1"/>
          <w:sz w:val="16"/>
          <w:szCs w:val="16"/>
        </w:rPr>
      </w:pPr>
      <w:r w:rsidRPr="00925F26">
        <w:rPr>
          <w:color w:val="000000" w:themeColor="text1"/>
          <w:sz w:val="16"/>
          <w:szCs w:val="16"/>
        </w:rPr>
        <w:t xml:space="preserve">Данный цех, выпускающий всю продукцию морской тематики, имеет два участка (механический и сборочный). Механический участок в основном укомплектован новым импортным оборудованием </w:t>
      </w:r>
    </w:p>
    <w:p w14:paraId="20DC23DD" w14:textId="77777777" w:rsidR="00104B87" w:rsidRPr="00925F26" w:rsidRDefault="00104B87" w:rsidP="00925F26">
      <w:pPr>
        <w:jc w:val="both"/>
        <w:rPr>
          <w:color w:val="000000" w:themeColor="text1"/>
          <w:sz w:val="16"/>
          <w:szCs w:val="16"/>
        </w:rPr>
      </w:pPr>
      <w:r w:rsidRPr="00925F26">
        <w:rPr>
          <w:color w:val="000000" w:themeColor="text1"/>
          <w:sz w:val="16"/>
          <w:szCs w:val="16"/>
        </w:rPr>
        <w:t>[ ... ]</w:t>
      </w:r>
    </w:p>
    <w:p w14:paraId="38589520" w14:textId="77777777" w:rsidR="00104B87" w:rsidRPr="00925F26" w:rsidRDefault="00104B87" w:rsidP="00925F26">
      <w:pPr>
        <w:jc w:val="both"/>
        <w:rPr>
          <w:color w:val="000000" w:themeColor="text1"/>
          <w:sz w:val="16"/>
          <w:szCs w:val="16"/>
        </w:rPr>
      </w:pPr>
      <w:r w:rsidRPr="00925F26">
        <w:rPr>
          <w:color w:val="000000" w:themeColor="text1"/>
          <w:sz w:val="16"/>
          <w:szCs w:val="16"/>
        </w:rPr>
        <w:t>Директор завода № 708</w:t>
      </w:r>
    </w:p>
    <w:p w14:paraId="395DBD2C" w14:textId="77777777" w:rsidR="00104B87" w:rsidRPr="00925F26" w:rsidRDefault="00104B87" w:rsidP="00925F26">
      <w:pPr>
        <w:jc w:val="both"/>
        <w:rPr>
          <w:color w:val="000000" w:themeColor="text1"/>
          <w:sz w:val="16"/>
          <w:szCs w:val="16"/>
        </w:rPr>
      </w:pPr>
      <w:r w:rsidRPr="00925F26">
        <w:rPr>
          <w:color w:val="000000" w:themeColor="text1"/>
          <w:sz w:val="16"/>
          <w:szCs w:val="16"/>
        </w:rPr>
        <w:t>Главный инженер</w:t>
      </w:r>
    </w:p>
    <w:p w14:paraId="5C2F24F0" w14:textId="77777777" w:rsidR="00104B87" w:rsidRPr="00925F26" w:rsidRDefault="00104B87" w:rsidP="00925F26">
      <w:pPr>
        <w:jc w:val="both"/>
        <w:rPr>
          <w:color w:val="000000" w:themeColor="text1"/>
          <w:sz w:val="16"/>
          <w:szCs w:val="16"/>
        </w:rPr>
      </w:pPr>
      <w:r w:rsidRPr="00925F26">
        <w:rPr>
          <w:color w:val="000000" w:themeColor="text1"/>
          <w:sz w:val="16"/>
          <w:szCs w:val="16"/>
        </w:rPr>
        <w:t>НА FT Ф. P-4985. On. 1. Д. 4. Л. 3-5, 7 Отпуск (23663).</w:t>
      </w:r>
    </w:p>
    <w:p w14:paraId="17A8F0DE" w14:textId="77777777" w:rsidR="00104B87" w:rsidRPr="00925F26" w:rsidRDefault="00104B87" w:rsidP="00925F26">
      <w:pPr>
        <w:jc w:val="both"/>
        <w:rPr>
          <w:color w:val="000000" w:themeColor="text1"/>
          <w:sz w:val="16"/>
          <w:szCs w:val="16"/>
        </w:rPr>
      </w:pPr>
    </w:p>
    <w:p w14:paraId="2BCB34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Постановление ГКО № 7505 Об обеспечении плана поставки металлов для производства боеприпасов, танков, вооружения и самолетов в феврале 1945 года. РГАНИР, Фонд ГКО, д. 370, лл. 32-39, 40-41 (11012).</w:t>
      </w:r>
    </w:p>
    <w:p w14:paraId="2DBB1623" w14:textId="77777777" w:rsidR="00665165" w:rsidRPr="00925F26" w:rsidRDefault="00665165" w:rsidP="00925F26">
      <w:pPr>
        <w:autoSpaceDE w:val="0"/>
        <w:autoSpaceDN w:val="0"/>
        <w:adjustRightInd w:val="0"/>
        <w:jc w:val="both"/>
        <w:rPr>
          <w:color w:val="000000" w:themeColor="text1"/>
          <w:sz w:val="16"/>
          <w:szCs w:val="16"/>
        </w:rPr>
      </w:pPr>
    </w:p>
    <w:p w14:paraId="7D4CF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Распоряжение ГКО № 7506. О выделении четырех передвижных комплектных электростанций для городов Молдавской ССР. РГАНИР, Фонд ГКО, д. 370, лл. 42 (11012).</w:t>
      </w:r>
    </w:p>
    <w:p w14:paraId="0CC3ECAC" w14:textId="77777777" w:rsidR="00665165" w:rsidRPr="00925F26" w:rsidRDefault="00665165" w:rsidP="00925F26">
      <w:pPr>
        <w:autoSpaceDE w:val="0"/>
        <w:autoSpaceDN w:val="0"/>
        <w:adjustRightInd w:val="0"/>
        <w:jc w:val="both"/>
        <w:rPr>
          <w:color w:val="000000" w:themeColor="text1"/>
          <w:sz w:val="16"/>
          <w:szCs w:val="16"/>
        </w:rPr>
      </w:pPr>
    </w:p>
    <w:p w14:paraId="535B43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Постановление ГКО № 7510 О закреплении прибывающего из США электрооборудования за восстанавливаемыми и строящимися электростанциями. РГАНИР, Фонд ГКО, д. 370, лл. 50-51 (11012).</w:t>
      </w:r>
    </w:p>
    <w:p w14:paraId="6F3D1880" w14:textId="77777777" w:rsidR="00665165" w:rsidRPr="00925F26" w:rsidRDefault="00665165" w:rsidP="00925F26">
      <w:pPr>
        <w:autoSpaceDE w:val="0"/>
        <w:autoSpaceDN w:val="0"/>
        <w:adjustRightInd w:val="0"/>
        <w:jc w:val="both"/>
        <w:rPr>
          <w:color w:val="000000" w:themeColor="text1"/>
          <w:sz w:val="16"/>
          <w:szCs w:val="16"/>
        </w:rPr>
      </w:pPr>
    </w:p>
    <w:p w14:paraId="15E1D1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Постановление ГКО № 7511 Об использовании продуктов, предназначенных для 1 БФ, обеспеченного из местных ресурсов, на другие нужды. РГАНИР, Фонд ГКО, д. 370, лл. 52-53 (11012).</w:t>
      </w:r>
    </w:p>
    <w:p w14:paraId="13207E63" w14:textId="77777777" w:rsidR="00665165" w:rsidRPr="00925F26" w:rsidRDefault="00665165" w:rsidP="00925F26">
      <w:pPr>
        <w:autoSpaceDE w:val="0"/>
        <w:autoSpaceDN w:val="0"/>
        <w:adjustRightInd w:val="0"/>
        <w:jc w:val="both"/>
        <w:rPr>
          <w:color w:val="000000" w:themeColor="text1"/>
          <w:sz w:val="16"/>
          <w:szCs w:val="16"/>
        </w:rPr>
      </w:pPr>
    </w:p>
    <w:p w14:paraId="609D538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февраля 1945 вышло Распоряжение ГКО № 7512 [О перевозке зерна по железным дорогам.] (7308, 54).</w:t>
      </w:r>
    </w:p>
    <w:p w14:paraId="0E9B8C9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06E19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Распоряжение ГКО № 7513. О мерах по сохранению сооружений Днепрогэса при пропуске весеннего паводка. РГАНИР, Фонд ГКО, д. 370, лл. 55-56 (11012).</w:t>
      </w:r>
    </w:p>
    <w:p w14:paraId="1AD84BF6" w14:textId="77777777" w:rsidR="00665165" w:rsidRPr="00925F26" w:rsidRDefault="00665165" w:rsidP="00925F26">
      <w:pPr>
        <w:autoSpaceDE w:val="0"/>
        <w:autoSpaceDN w:val="0"/>
        <w:adjustRightInd w:val="0"/>
        <w:jc w:val="both"/>
        <w:rPr>
          <w:color w:val="000000" w:themeColor="text1"/>
          <w:sz w:val="16"/>
          <w:szCs w:val="16"/>
        </w:rPr>
      </w:pPr>
    </w:p>
    <w:p w14:paraId="76E6E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Постановление ГКО № 7514 О плане производства и распределения подвижных ремонтных мастерских для Красной Армии и Военно-Морского Флота на I квартал 1945 года. РГАНИР, Фонд ГКО, д. 370, лл. 57-59, 60-82 (11012).</w:t>
      </w:r>
    </w:p>
    <w:p w14:paraId="131BE7FA" w14:textId="77777777" w:rsidR="00665165" w:rsidRPr="00925F26" w:rsidRDefault="00665165" w:rsidP="00925F26">
      <w:pPr>
        <w:autoSpaceDE w:val="0"/>
        <w:autoSpaceDN w:val="0"/>
        <w:adjustRightInd w:val="0"/>
        <w:jc w:val="both"/>
        <w:rPr>
          <w:color w:val="000000" w:themeColor="text1"/>
          <w:sz w:val="16"/>
          <w:szCs w:val="16"/>
        </w:rPr>
      </w:pPr>
    </w:p>
    <w:p w14:paraId="309F1F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вышло Постановление ГКО № 7518 О мероприятиях по обеспечению углем заводов Наркомтанкопрома. РГАНИР, Фонд ГКО, д. 370, лл. 90-92 (11012).</w:t>
      </w:r>
    </w:p>
    <w:p w14:paraId="63768578" w14:textId="77777777" w:rsidR="00665165" w:rsidRPr="00925F26" w:rsidRDefault="00665165" w:rsidP="00925F26">
      <w:pPr>
        <w:autoSpaceDE w:val="0"/>
        <w:autoSpaceDN w:val="0"/>
        <w:adjustRightInd w:val="0"/>
        <w:jc w:val="both"/>
        <w:rPr>
          <w:color w:val="000000" w:themeColor="text1"/>
          <w:sz w:val="16"/>
          <w:szCs w:val="16"/>
        </w:rPr>
      </w:pPr>
    </w:p>
    <w:p w14:paraId="54EB27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г. химические войска Советской Армии в полосе 1-го Украинского фронта в заводской лаборатории завода "Аноргана Верк ГМБХ" в Дихернфурте-на-Одере (Силезия) нашли записную книжку с формулами производившихся на заводе фосфорорганических ОВ второго поколения - табуна и зарина (9067).</w:t>
      </w:r>
    </w:p>
    <w:p w14:paraId="5C50C071" w14:textId="77777777" w:rsidR="00665165" w:rsidRPr="00925F26" w:rsidRDefault="00665165" w:rsidP="00925F26">
      <w:pPr>
        <w:autoSpaceDE w:val="0"/>
        <w:autoSpaceDN w:val="0"/>
        <w:adjustRightInd w:val="0"/>
        <w:jc w:val="both"/>
        <w:rPr>
          <w:color w:val="000000" w:themeColor="text1"/>
          <w:sz w:val="16"/>
          <w:szCs w:val="16"/>
        </w:rPr>
      </w:pPr>
    </w:p>
    <w:p w14:paraId="20F3A3B7" w14:textId="77777777" w:rsidR="00DB43FF" w:rsidRPr="00925F26" w:rsidRDefault="00DB43FF" w:rsidP="00925F26">
      <w:pPr>
        <w:shd w:val="clear" w:color="auto" w:fill="FFFFFF"/>
        <w:jc w:val="both"/>
        <w:rPr>
          <w:color w:val="000000" w:themeColor="text1"/>
          <w:sz w:val="16"/>
          <w:szCs w:val="16"/>
        </w:rPr>
      </w:pPr>
      <w:r w:rsidRPr="00925F26">
        <w:rPr>
          <w:bCs/>
          <w:iCs/>
          <w:color w:val="000000" w:themeColor="text1"/>
          <w:sz w:val="16"/>
          <w:szCs w:val="16"/>
        </w:rPr>
        <w:t>9 февраля 1945 г</w:t>
      </w:r>
      <w:r w:rsidRPr="00925F26">
        <w:rPr>
          <w:color w:val="000000" w:themeColor="text1"/>
          <w:sz w:val="16"/>
          <w:szCs w:val="16"/>
        </w:rPr>
        <w:t>. Нахождение химическими войсками Советской Армии в заводской лаборатории завода «Аноргана Верк ГМБХ» в Дихернфурте-на-Одере (Германия) записной книжки с формулами производившихся на заводе фосфорорганических ОВ (ФОВ) второго поколения — табуна и зарина (17133).</w:t>
      </w:r>
    </w:p>
    <w:p w14:paraId="3DDC7634" w14:textId="77777777" w:rsidR="00DB43FF" w:rsidRPr="00925F26" w:rsidRDefault="00DB43FF" w:rsidP="00925F26">
      <w:pPr>
        <w:jc w:val="both"/>
        <w:rPr>
          <w:bCs/>
          <w:color w:val="000000" w:themeColor="text1"/>
          <w:sz w:val="16"/>
          <w:szCs w:val="16"/>
        </w:rPr>
      </w:pPr>
    </w:p>
    <w:p w14:paraId="4DAF70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9 февраля 1945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w:t>
      </w:r>
      <w:r w:rsidRPr="00925F26">
        <w:rPr>
          <w:color w:val="000000" w:themeColor="text1"/>
          <w:sz w:val="16"/>
          <w:szCs w:val="16"/>
        </w:rPr>
        <w:lastRenderedPageBreak/>
        <w:t xml:space="preserve">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5E8530A4" w14:textId="77777777" w:rsidR="00665165" w:rsidRPr="00925F26" w:rsidRDefault="00665165" w:rsidP="00925F26">
      <w:pPr>
        <w:autoSpaceDE w:val="0"/>
        <w:autoSpaceDN w:val="0"/>
        <w:adjustRightInd w:val="0"/>
        <w:jc w:val="both"/>
        <w:rPr>
          <w:color w:val="000000" w:themeColor="text1"/>
          <w:sz w:val="16"/>
          <w:szCs w:val="16"/>
        </w:rPr>
      </w:pPr>
    </w:p>
    <w:p w14:paraId="36A7FAF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552B096" w14:textId="77777777" w:rsidR="00665165" w:rsidRPr="00925F26" w:rsidRDefault="00665165" w:rsidP="00925F26">
      <w:pPr>
        <w:autoSpaceDE w:val="0"/>
        <w:autoSpaceDN w:val="0"/>
        <w:adjustRightInd w:val="0"/>
        <w:jc w:val="both"/>
        <w:rPr>
          <w:iCs/>
          <w:color w:val="000000" w:themeColor="text1"/>
          <w:sz w:val="16"/>
          <w:szCs w:val="16"/>
        </w:rPr>
      </w:pPr>
    </w:p>
    <w:p w14:paraId="304D5DCF" w14:textId="77777777" w:rsidR="00DB43FF" w:rsidRPr="00925F26" w:rsidRDefault="00DB43FF" w:rsidP="00925F26">
      <w:pPr>
        <w:jc w:val="both"/>
        <w:rPr>
          <w:color w:val="000000" w:themeColor="text1"/>
          <w:sz w:val="16"/>
          <w:szCs w:val="16"/>
        </w:rPr>
      </w:pPr>
      <w:r w:rsidRPr="00925F26">
        <w:rPr>
          <w:bCs/>
          <w:color w:val="000000" w:themeColor="text1"/>
          <w:sz w:val="16"/>
          <w:szCs w:val="16"/>
        </w:rPr>
        <w:t>9 февраля</w:t>
      </w:r>
      <w:r w:rsidRPr="00925F26">
        <w:rPr>
          <w:color w:val="000000" w:themeColor="text1"/>
          <w:sz w:val="16"/>
          <w:szCs w:val="16"/>
        </w:rPr>
        <w:t xml:space="preserve"> в 1945 году оперативная сводка Совинформбюро:</w:t>
      </w:r>
    </w:p>
    <w:p w14:paraId="23149695" w14:textId="77777777" w:rsidR="00DB43FF" w:rsidRPr="00925F26" w:rsidRDefault="00DB43FF" w:rsidP="00925F26">
      <w:pPr>
        <w:jc w:val="both"/>
        <w:rPr>
          <w:color w:val="000000" w:themeColor="text1"/>
          <w:sz w:val="16"/>
          <w:szCs w:val="16"/>
        </w:rPr>
      </w:pPr>
      <w:r w:rsidRPr="00925F26">
        <w:rPr>
          <w:color w:val="000000" w:themeColor="text1"/>
          <w:sz w:val="16"/>
          <w:szCs w:val="16"/>
        </w:rPr>
        <w:t>«В течение 9 февраля в Восточной Пруссии южнее Кенигсберга наши войска с боями заняли более 30 населённых пунктов и среди них Шнакайнен, Барслак, Дингорт, Шлодиттен, Нойендорф, Воринен, Штабункен. Одновременно северо-восточнее Эльбинга наши войска овладели на побережье залива Фришгаф городом Фрауенбург. Наши войска окружили город Эльбинг и вели бои по уничтожению гарнизона противника.</w:t>
      </w:r>
    </w:p>
    <w:p w14:paraId="67E1976F" w14:textId="77777777" w:rsidR="00DB43FF" w:rsidRPr="00925F26" w:rsidRDefault="00DB43FF" w:rsidP="00925F26">
      <w:pPr>
        <w:jc w:val="both"/>
        <w:rPr>
          <w:color w:val="000000" w:themeColor="text1"/>
          <w:sz w:val="16"/>
          <w:szCs w:val="16"/>
        </w:rPr>
      </w:pPr>
      <w:r w:rsidRPr="00925F26">
        <w:rPr>
          <w:color w:val="000000" w:themeColor="text1"/>
          <w:sz w:val="16"/>
          <w:szCs w:val="16"/>
        </w:rPr>
        <w:t>Восточнее и юго-восточнее города Штаргард наши войска в результате наступательных боёв овладели на территории немецкой Померании населёнными пунктами Гламбек, Клайн Зильбер, Штольценфельде, Петцник, Браллентин, Делитц, Пленцих и окружили гарнизон противника в городе Арнсвальде. В боях за 8 февраля в этом районе взято в плен более 800 немецких солдат и офицеров.</w:t>
      </w:r>
    </w:p>
    <w:p w14:paraId="547B7E33"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15 кварталов. В боях за 8 февраля в западной части города (Буда) взято в плен свыше 900 солдат и офицеров противника.</w:t>
      </w:r>
    </w:p>
    <w:p w14:paraId="20A5548E" w14:textId="77777777" w:rsidR="00DB43FF" w:rsidRPr="00925F26" w:rsidRDefault="00DB43FF" w:rsidP="00925F26">
      <w:pPr>
        <w:jc w:val="both"/>
        <w:rPr>
          <w:color w:val="000000" w:themeColor="text1"/>
          <w:sz w:val="16"/>
          <w:szCs w:val="16"/>
        </w:rPr>
      </w:pPr>
      <w:r w:rsidRPr="00925F26">
        <w:rPr>
          <w:color w:val="000000" w:themeColor="text1"/>
          <w:sz w:val="16"/>
          <w:szCs w:val="16"/>
        </w:rPr>
        <w:t>Южнее города Секешфехервар наши войска в результате предпринятых атак овладели крупными населёнными пунктами Шопонья, Калоз, Дег, Лайошкомаром, Эньинг, Шиофок.</w:t>
      </w:r>
    </w:p>
    <w:p w14:paraId="01A97FE4" w14:textId="77777777" w:rsidR="00DB43FF" w:rsidRPr="00925F26" w:rsidRDefault="00DB43FF" w:rsidP="00925F26">
      <w:pPr>
        <w:jc w:val="both"/>
        <w:rPr>
          <w:color w:val="000000" w:themeColor="text1"/>
          <w:sz w:val="16"/>
          <w:szCs w:val="16"/>
        </w:rPr>
      </w:pPr>
      <w:r w:rsidRPr="00925F26">
        <w:rPr>
          <w:color w:val="000000" w:themeColor="text1"/>
          <w:sz w:val="16"/>
          <w:szCs w:val="16"/>
        </w:rPr>
        <w:t>За 8 февраля на всех фронтах подбито и уничтожено 174 немецких танка. В воздушных боях и огнём зенитной артиллерии сбито 55 самолётов противника.</w:t>
      </w:r>
    </w:p>
    <w:p w14:paraId="5E9BF90F" w14:textId="77777777" w:rsidR="00DB43FF" w:rsidRPr="00925F26" w:rsidRDefault="00DB43FF" w:rsidP="00925F26">
      <w:pPr>
        <w:jc w:val="both"/>
        <w:rPr>
          <w:color w:val="000000" w:themeColor="text1"/>
          <w:sz w:val="16"/>
          <w:szCs w:val="16"/>
        </w:rPr>
      </w:pPr>
      <w:r w:rsidRPr="00925F26">
        <w:rPr>
          <w:color w:val="000000" w:themeColor="text1"/>
          <w:sz w:val="16"/>
          <w:szCs w:val="16"/>
        </w:rPr>
        <w:t>В Восточной Пруссии южнее города Кенигсберг наши войска в ходе ожесточённых боёв прорвали полосу долговременных укреплений противника, захватив при этом 102 железобетонных орудийных и пулемётных дота. Советские части продвинулись вперёд на 6 километров и ведут бои на подступах к городу Прейсиш Айлау.</w:t>
      </w:r>
    </w:p>
    <w:p w14:paraId="20AEAD3D" w14:textId="77777777" w:rsidR="00DB43FF" w:rsidRPr="00925F26" w:rsidRDefault="00DB43FF" w:rsidP="00925F26">
      <w:pPr>
        <w:jc w:val="both"/>
        <w:rPr>
          <w:color w:val="000000" w:themeColor="text1"/>
          <w:sz w:val="16"/>
          <w:szCs w:val="16"/>
        </w:rPr>
      </w:pPr>
      <w:r w:rsidRPr="00925F26">
        <w:rPr>
          <w:color w:val="000000" w:themeColor="text1"/>
          <w:sz w:val="16"/>
          <w:szCs w:val="16"/>
        </w:rPr>
        <w:t>Северо-восточнее города Эльбинг наши войска, преодолевая сопротивление противника, продвигались по побережью залива Фриш Гаф. На подступах к городу Фрауенбург советские части встретили особенно ожесточённое сопротивление немцев, укрепившихся на заранее подготовленном рубеже. Этот рубеж состоял из нескольких линий траншей, железобетонных дотов, а также широкого противотанкового рва и минных полей. С помощью сапёров советские стрелковые и танковые подразделения стремительной атакой прорвали немецкую оборону и завязали бои на улицах города. Сегодня наши войска разгромили вражеский гарнизон и овладели городом Фрауенбург. В боях за этот опорный пункт обороны противника полностью разгромлен 391-й немецкий пехотный полк, а его командир — подполковник Слауен взят в плен. Уничтожен 311-й немецкий батальон морской пехоты. Командир батальона майор Рихард с несколькими уцелевшими солдатами сдался в плен. Тяжёлый урон понесли и другие немецкие части.</w:t>
      </w:r>
    </w:p>
    <w:p w14:paraId="6838B49B" w14:textId="77777777" w:rsidR="00DB43FF" w:rsidRPr="00925F26" w:rsidRDefault="00DB43FF" w:rsidP="00925F26">
      <w:pPr>
        <w:jc w:val="both"/>
        <w:rPr>
          <w:color w:val="000000" w:themeColor="text1"/>
          <w:sz w:val="16"/>
          <w:szCs w:val="16"/>
        </w:rPr>
      </w:pPr>
      <w:r w:rsidRPr="00925F26">
        <w:rPr>
          <w:color w:val="000000" w:themeColor="text1"/>
          <w:sz w:val="16"/>
          <w:szCs w:val="16"/>
        </w:rPr>
        <w:t>За день боёв нашими войсками уничтожено несколько тысяч гитлеровцев. Подбито и сожжено свыше 60 танков и самоходных орудий противника. Захвачено у немцев 11 танков, 95 орудий, 140 автомашин, 20 паровозов и около 500 железнодорожных вагонов с военными грузами. Взято в плен более 2.600 немецких солдат и офицеров.</w:t>
      </w:r>
    </w:p>
    <w:p w14:paraId="62758808" w14:textId="77777777" w:rsidR="00DB43FF" w:rsidRPr="00925F26" w:rsidRDefault="00DB43FF" w:rsidP="00925F26">
      <w:pPr>
        <w:jc w:val="both"/>
        <w:rPr>
          <w:color w:val="000000" w:themeColor="text1"/>
          <w:sz w:val="16"/>
          <w:szCs w:val="16"/>
        </w:rPr>
      </w:pPr>
      <w:r w:rsidRPr="00925F26">
        <w:rPr>
          <w:color w:val="000000" w:themeColor="text1"/>
          <w:sz w:val="16"/>
          <w:szCs w:val="16"/>
        </w:rPr>
        <w:t>Восточнее и юго-восточнее города Штаргард наши войска с боями продвигались вперёд и окружили немецкий гарнизон в городе Арнсвальде. Противник подтянул резервы и пытался прорваться на помощь своим частям, окружённым в городе. Все контратаки немцев отбиты с большими для них потерями. За день наши войска уничтожили до 3 тысяч гитлеровцев. Захвачено много трофеев, в том числе 400 станковых и ручных пулемётов и 30 противотанковых ружей.</w:t>
      </w:r>
    </w:p>
    <w:p w14:paraId="51F0800F" w14:textId="77777777" w:rsidR="00DB43FF" w:rsidRPr="00925F26" w:rsidRDefault="00DB43FF" w:rsidP="00925F26">
      <w:pPr>
        <w:jc w:val="both"/>
        <w:rPr>
          <w:color w:val="000000" w:themeColor="text1"/>
          <w:sz w:val="16"/>
          <w:szCs w:val="16"/>
        </w:rPr>
      </w:pPr>
      <w:r w:rsidRPr="00925F26">
        <w:rPr>
          <w:color w:val="000000" w:themeColor="text1"/>
          <w:sz w:val="16"/>
          <w:szCs w:val="16"/>
        </w:rPr>
        <w:t>Советские лётчики в воздушных боях сбили 7 немецких самолётов. Огнём зенитной артиллерии уничтожено 27 самолётов противника.</w:t>
      </w:r>
    </w:p>
    <w:p w14:paraId="126DA189"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наши войска вели бои по ликвидации окружённой группировки противника. В оставшихся у немцев районах западной части города расположено много правительственных зданий и церквей. Под многими зданиями имеются подвалы и подземные ходы сообщения. Все эти здания немцы превратили в узлы обороны и оказывают яростное сопротивление. Советские гвардейские подразделения, овладевшие горой Шашхедь, заняли несколько кварталов и атаковали немцев, укрепившихся на кладбище Неметвельди. К исходу дня советские бойцы очистили кладбище от противника. Занято также несколько больших каменных домов. Захвачены трофеи, в числе которых 14 танков и бронетранспортёров, 30 орудий, 65 пулемётов и склад боеприпасов. Рота венгерских солдат и шесть офицеров перешли на сторону Красной Армии. Перебежчики принесли с собой всё своё вооружение. Сдались в плен 36 венгерских полицейских во главе с майором — командиром отряда.</w:t>
      </w:r>
    </w:p>
    <w:p w14:paraId="12DAAF55" w14:textId="77777777" w:rsidR="00DB43FF" w:rsidRPr="00925F26" w:rsidRDefault="00DB43FF" w:rsidP="00925F26">
      <w:pPr>
        <w:jc w:val="both"/>
        <w:rPr>
          <w:color w:val="000000" w:themeColor="text1"/>
          <w:sz w:val="16"/>
          <w:szCs w:val="16"/>
        </w:rPr>
      </w:pPr>
      <w:r w:rsidRPr="00925F26">
        <w:rPr>
          <w:color w:val="000000" w:themeColor="text1"/>
          <w:sz w:val="16"/>
          <w:szCs w:val="16"/>
        </w:rPr>
        <w:t>Южнее города Секешфехервар советские части, под прикрытием артиллерийского огня, атаковали немцев и выбили их из нескольких населённых пунктов. Советские воины проявляют в боях с врагом отвагу и высокую воинскую выучку. Пулемётчик Барзиков первым ворвался в населённый пункт, занятый противником. Пулемётным огнём Барзиков сдерживал натиск немцев. Когда кончились патроны, он захватил вражеский пулемёт, открыл огонь и уничтожил группу гитлеровцев. Немецкий танк раздавил станковый пулемёт гвардии красноармейца Задерея и засыпал землёй бойца, укрывшегося в траншее. Придя в себя и выбравшись наверх, т. Задерей увидел группу приближающихся к нему немцев. Советский воин бросил три гранаты и уничтожил 12 гитлеровцев. Бронебойщики сержанты Благодин и Иванчук в одном бою сожгли две самоходные пушки и два бронетранспортёра противника.</w:t>
      </w:r>
    </w:p>
    <w:p w14:paraId="6A8509F2" w14:textId="77777777" w:rsidR="00DB43FF" w:rsidRPr="00925F26" w:rsidRDefault="00DB43FF" w:rsidP="00925F26">
      <w:pPr>
        <w:jc w:val="both"/>
        <w:rPr>
          <w:color w:val="000000" w:themeColor="text1"/>
          <w:sz w:val="16"/>
          <w:szCs w:val="16"/>
        </w:rPr>
      </w:pPr>
      <w:r w:rsidRPr="00925F26">
        <w:rPr>
          <w:color w:val="000000" w:themeColor="text1"/>
          <w:sz w:val="16"/>
          <w:szCs w:val="16"/>
        </w:rPr>
        <w:t>Наши корабли атаковали и потопили в районе порта Либава немецкий транспорт водоизмещением в 6 тысяч тонн. Другому крупному транспорту противника нанесены серьёзные повреждения.</w:t>
      </w:r>
    </w:p>
    <w:p w14:paraId="0CDB805A" w14:textId="77777777" w:rsidR="00DB43FF" w:rsidRPr="00925F26" w:rsidRDefault="00DB43FF" w:rsidP="00925F26">
      <w:pPr>
        <w:jc w:val="both"/>
        <w:rPr>
          <w:color w:val="000000" w:themeColor="text1"/>
          <w:sz w:val="16"/>
          <w:szCs w:val="16"/>
        </w:rPr>
      </w:pPr>
      <w:r w:rsidRPr="00925F26">
        <w:rPr>
          <w:color w:val="000000" w:themeColor="text1"/>
          <w:sz w:val="16"/>
          <w:szCs w:val="16"/>
        </w:rPr>
        <w:t>В Восточной Пруссии взят в плен командир 3-го мотополка моторизованной дивизии «Герман Геринг» полковник Гейнц Хейгль. Пленный рассказал: «Дивизия «Герман Геринг» разгромлена. Перед началом русского наступления мой полк насчитывал 2.500 человек. Две трети личного состава полка погибли в боях. Такие же потери понесли и другие части. Командир 2-го мотополка майор Штау убит; командир артполка фон Кальден попал в плен». Далее Гейнц Хейгль заявил: «Германская армия, на которую обрушились такие мощные удары, уже не сможет оправиться. Когда русские войска летом 1944 года осуществили глубокий прорыв немецкой обороны в районе Витебска, фронт сразу откатился на сотни километров. Мы не могли тогда остановить Красную Армию ни у Минска, ни у Вильно. То же самое произошло и теперь. Прорвав наш фронт, русские войска вышли на Одер. Германия зашла в тупик, из которого ей уже не выбраться» (15035).</w:t>
      </w:r>
    </w:p>
    <w:p w14:paraId="5BD7C4B3" w14:textId="77777777" w:rsidR="00DB43FF" w:rsidRPr="00925F26" w:rsidRDefault="00DB43FF" w:rsidP="00925F26">
      <w:pPr>
        <w:jc w:val="both"/>
        <w:rPr>
          <w:color w:val="000000" w:themeColor="text1"/>
          <w:sz w:val="16"/>
          <w:szCs w:val="16"/>
        </w:rPr>
      </w:pPr>
    </w:p>
    <w:p w14:paraId="7FA1F638" w14:textId="77777777" w:rsidR="00DB43FF" w:rsidRPr="00925F26" w:rsidRDefault="00DB43FF" w:rsidP="00925F26">
      <w:pPr>
        <w:jc w:val="both"/>
        <w:rPr>
          <w:color w:val="000000" w:themeColor="text1"/>
          <w:sz w:val="16"/>
          <w:szCs w:val="16"/>
        </w:rPr>
      </w:pPr>
      <w:r w:rsidRPr="00925F26">
        <w:rPr>
          <w:bCs/>
          <w:color w:val="000000" w:themeColor="text1"/>
          <w:sz w:val="16"/>
          <w:szCs w:val="16"/>
        </w:rPr>
        <w:t>9 февраля</w:t>
      </w:r>
      <w:r w:rsidRPr="00925F26">
        <w:rPr>
          <w:color w:val="000000" w:themeColor="text1"/>
          <w:sz w:val="16"/>
          <w:szCs w:val="16"/>
        </w:rPr>
        <w:t xml:space="preserve"> в 1945 году началась Восточно-Померанская операция войск 2-го и 1-го Белорусских фонтов (15035).</w:t>
      </w:r>
    </w:p>
    <w:p w14:paraId="036FB177" w14:textId="77777777" w:rsidR="00DB43FF" w:rsidRPr="00925F26" w:rsidRDefault="00DB43FF" w:rsidP="00925F26">
      <w:pPr>
        <w:jc w:val="both"/>
        <w:rPr>
          <w:color w:val="000000" w:themeColor="text1"/>
          <w:sz w:val="16"/>
          <w:szCs w:val="16"/>
        </w:rPr>
      </w:pPr>
    </w:p>
    <w:p w14:paraId="6EF7E41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февраля 1945 советская подлодка капитана А. Маринеско потопила немецкий пароход “Генерал Штойбен” (4962).</w:t>
      </w:r>
    </w:p>
    <w:p w14:paraId="36F6399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0C64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во время Висло-Одерской операции 52 гв ТБр (3ГТА) оказалась впереди войск и продвигалась вперед. Немцы пытались остановить авиацией. 40 самолетов не уничтожили ни одного из 30-45 танков, хотя заходили сзади (3393).</w:t>
      </w:r>
    </w:p>
    <w:p w14:paraId="396AB6CF" w14:textId="77777777" w:rsidR="00665165" w:rsidRPr="00925F26" w:rsidRDefault="00665165" w:rsidP="00925F26">
      <w:pPr>
        <w:autoSpaceDE w:val="0"/>
        <w:autoSpaceDN w:val="0"/>
        <w:adjustRightInd w:val="0"/>
        <w:jc w:val="both"/>
        <w:rPr>
          <w:color w:val="000000" w:themeColor="text1"/>
          <w:sz w:val="16"/>
          <w:szCs w:val="16"/>
        </w:rPr>
      </w:pPr>
    </w:p>
    <w:p w14:paraId="4DF3F5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г. состоялось нахождение химическими войсками Советской Армии в полосе 1-го Украинского фронта в заводской лаборатории завода "Аноргана Верк ГМБХ" в Дихернфурте-на-Одере (Силезия) записной книжки с формулами производившихся на заводе фосфорорганических ОВ второго поколения - табуна и зарина (4423).</w:t>
      </w:r>
    </w:p>
    <w:p w14:paraId="230E8804" w14:textId="77777777" w:rsidR="00665165" w:rsidRPr="00925F26" w:rsidRDefault="00665165" w:rsidP="00925F26">
      <w:pPr>
        <w:autoSpaceDE w:val="0"/>
        <w:autoSpaceDN w:val="0"/>
        <w:adjustRightInd w:val="0"/>
        <w:jc w:val="both"/>
        <w:rPr>
          <w:color w:val="000000" w:themeColor="text1"/>
          <w:sz w:val="16"/>
          <w:szCs w:val="16"/>
        </w:rPr>
      </w:pPr>
    </w:p>
    <w:p w14:paraId="7F84C35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9, 1945: In the East, the Red Army encircles Elbing and Posen (3819).</w:t>
      </w:r>
    </w:p>
    <w:p w14:paraId="2345C74E" w14:textId="77777777" w:rsidR="00665165" w:rsidRPr="00925F26" w:rsidRDefault="00665165" w:rsidP="00925F26">
      <w:pPr>
        <w:autoSpaceDE w:val="0"/>
        <w:autoSpaceDN w:val="0"/>
        <w:adjustRightInd w:val="0"/>
        <w:jc w:val="both"/>
        <w:rPr>
          <w:color w:val="000000" w:themeColor="text1"/>
          <w:sz w:val="16"/>
          <w:szCs w:val="16"/>
          <w:lang w:val="en-US"/>
        </w:rPr>
      </w:pPr>
    </w:p>
    <w:p w14:paraId="46FBB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КА окружила Ельбиг и Поссен (3819).</w:t>
      </w:r>
    </w:p>
    <w:p w14:paraId="428A9AEC" w14:textId="77777777" w:rsidR="00665165" w:rsidRPr="00925F26" w:rsidRDefault="00665165" w:rsidP="00925F26">
      <w:pPr>
        <w:autoSpaceDE w:val="0"/>
        <w:autoSpaceDN w:val="0"/>
        <w:adjustRightInd w:val="0"/>
        <w:jc w:val="both"/>
        <w:rPr>
          <w:color w:val="000000" w:themeColor="text1"/>
          <w:sz w:val="16"/>
          <w:szCs w:val="16"/>
        </w:rPr>
      </w:pPr>
    </w:p>
    <w:p w14:paraId="5A6621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и 20 февраля 1945 108 полк убыл-таки полным составом в действующую ар</w:t>
      </w:r>
      <w:r w:rsidRPr="00925F26">
        <w:rPr>
          <w:color w:val="000000" w:themeColor="text1"/>
          <w:sz w:val="16"/>
          <w:szCs w:val="16"/>
        </w:rPr>
        <w:softHyphen/>
        <w:t>мию. Кроме этого, 25 января на стажи</w:t>
      </w:r>
      <w:r w:rsidRPr="00925F26">
        <w:rPr>
          <w:color w:val="000000" w:themeColor="text1"/>
          <w:sz w:val="16"/>
          <w:szCs w:val="16"/>
        </w:rPr>
        <w:softHyphen/>
        <w:t>ровку во 2-ю воздушную армию отпра</w:t>
      </w:r>
      <w:r w:rsidRPr="00925F26">
        <w:rPr>
          <w:color w:val="000000" w:themeColor="text1"/>
          <w:sz w:val="16"/>
          <w:szCs w:val="16"/>
        </w:rPr>
        <w:softHyphen/>
        <w:t>вилось на Ил-10 звено от управления бригады (10681).</w:t>
      </w:r>
    </w:p>
    <w:p w14:paraId="1B250B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741DFE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536ADFB" w14:textId="77777777" w:rsidR="00665165" w:rsidRPr="00925F26" w:rsidRDefault="00665165" w:rsidP="00925F26">
      <w:pPr>
        <w:autoSpaceDE w:val="0"/>
        <w:autoSpaceDN w:val="0"/>
        <w:adjustRightInd w:val="0"/>
        <w:jc w:val="both"/>
        <w:rPr>
          <w:iCs/>
          <w:color w:val="000000" w:themeColor="text1"/>
          <w:sz w:val="16"/>
          <w:szCs w:val="16"/>
        </w:rPr>
      </w:pPr>
    </w:p>
    <w:p w14:paraId="0DBD37C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9 февраля 1945 в Восточной Пруссии арестован и осужден на 8 лет лагерей командир артиллерийской батареи капитан Александр Солженицын (4962).</w:t>
      </w:r>
    </w:p>
    <w:p w14:paraId="2F1071C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4E8CB0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1C0FA06" w14:textId="77777777" w:rsidR="00665165" w:rsidRPr="00925F26" w:rsidRDefault="00665165" w:rsidP="00925F26">
      <w:pPr>
        <w:autoSpaceDE w:val="0"/>
        <w:autoSpaceDN w:val="0"/>
        <w:adjustRightInd w:val="0"/>
        <w:jc w:val="both"/>
        <w:rPr>
          <w:iCs/>
          <w:color w:val="000000" w:themeColor="text1"/>
          <w:sz w:val="16"/>
          <w:szCs w:val="16"/>
        </w:rPr>
      </w:pPr>
    </w:p>
    <w:p w14:paraId="33447A0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9 февраля 1945 вышло Постановление ГКО № 7507 О поставках хлеба в Польшу. РГАНИР</w:t>
      </w:r>
      <w:r w:rsidRPr="00925F26">
        <w:rPr>
          <w:color w:val="000000" w:themeColor="text1"/>
          <w:sz w:val="16"/>
          <w:szCs w:val="16"/>
          <w:lang w:val="en-US"/>
        </w:rPr>
        <w:t xml:space="preserve">, </w:t>
      </w:r>
      <w:r w:rsidRPr="00925F26">
        <w:rPr>
          <w:color w:val="000000" w:themeColor="text1"/>
          <w:sz w:val="16"/>
          <w:szCs w:val="16"/>
        </w:rPr>
        <w:t>ФондГКО</w:t>
      </w:r>
      <w:r w:rsidRPr="00925F26">
        <w:rPr>
          <w:color w:val="000000" w:themeColor="text1"/>
          <w:sz w:val="16"/>
          <w:szCs w:val="16"/>
          <w:lang w:val="en-US"/>
        </w:rPr>
        <w:t xml:space="preserve">, </w:t>
      </w:r>
      <w:r w:rsidRPr="00925F26">
        <w:rPr>
          <w:color w:val="000000" w:themeColor="text1"/>
          <w:sz w:val="16"/>
          <w:szCs w:val="16"/>
        </w:rPr>
        <w:t>д</w:t>
      </w:r>
      <w:r w:rsidRPr="00925F26">
        <w:rPr>
          <w:color w:val="000000" w:themeColor="text1"/>
          <w:sz w:val="16"/>
          <w:szCs w:val="16"/>
          <w:lang w:val="en-US"/>
        </w:rPr>
        <w:t xml:space="preserve">. 370, </w:t>
      </w:r>
      <w:r w:rsidRPr="00925F26">
        <w:rPr>
          <w:color w:val="000000" w:themeColor="text1"/>
          <w:sz w:val="16"/>
          <w:szCs w:val="16"/>
        </w:rPr>
        <w:t>лл</w:t>
      </w:r>
      <w:r w:rsidRPr="00925F26">
        <w:rPr>
          <w:color w:val="000000" w:themeColor="text1"/>
          <w:sz w:val="16"/>
          <w:szCs w:val="16"/>
          <w:lang w:val="en-US"/>
        </w:rPr>
        <w:t>. 43-44 (11012).</w:t>
      </w:r>
    </w:p>
    <w:p w14:paraId="650AC4DF" w14:textId="77777777" w:rsidR="00665165" w:rsidRPr="00925F26" w:rsidRDefault="00665165" w:rsidP="00925F26">
      <w:pPr>
        <w:autoSpaceDE w:val="0"/>
        <w:autoSpaceDN w:val="0"/>
        <w:adjustRightInd w:val="0"/>
        <w:jc w:val="both"/>
        <w:rPr>
          <w:color w:val="000000" w:themeColor="text1"/>
          <w:sz w:val="16"/>
          <w:szCs w:val="16"/>
          <w:lang w:val="en-US"/>
        </w:rPr>
      </w:pPr>
    </w:p>
    <w:p w14:paraId="692F86C9"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5F52BCD0" w14:textId="77777777" w:rsidR="00665165" w:rsidRPr="00925F26" w:rsidRDefault="00665165" w:rsidP="00925F26">
      <w:pPr>
        <w:autoSpaceDE w:val="0"/>
        <w:autoSpaceDN w:val="0"/>
        <w:adjustRightInd w:val="0"/>
        <w:jc w:val="both"/>
        <w:rPr>
          <w:iCs/>
          <w:color w:val="000000" w:themeColor="text1"/>
          <w:sz w:val="16"/>
          <w:szCs w:val="16"/>
          <w:lang w:val="en-US"/>
        </w:rPr>
      </w:pPr>
    </w:p>
    <w:p w14:paraId="042251B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9 February 1945 Allies break through the Seigfried Line (270).</w:t>
      </w:r>
    </w:p>
    <w:p w14:paraId="33A52D93" w14:textId="77777777" w:rsidR="00665165" w:rsidRPr="00925F26" w:rsidRDefault="00665165" w:rsidP="00925F26">
      <w:pPr>
        <w:autoSpaceDE w:val="0"/>
        <w:autoSpaceDN w:val="0"/>
        <w:adjustRightInd w:val="0"/>
        <w:jc w:val="both"/>
        <w:rPr>
          <w:color w:val="000000" w:themeColor="text1"/>
          <w:sz w:val="16"/>
          <w:szCs w:val="16"/>
          <w:lang w:val="en-US"/>
        </w:rPr>
      </w:pPr>
    </w:p>
    <w:p w14:paraId="62D229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союзники прорвались через линию Зигфрида (270).</w:t>
      </w:r>
    </w:p>
    <w:p w14:paraId="33878B6D" w14:textId="77777777" w:rsidR="00665165" w:rsidRPr="00925F26" w:rsidRDefault="00665165" w:rsidP="00925F26">
      <w:pPr>
        <w:autoSpaceDE w:val="0"/>
        <w:autoSpaceDN w:val="0"/>
        <w:adjustRightInd w:val="0"/>
        <w:jc w:val="both"/>
        <w:rPr>
          <w:color w:val="000000" w:themeColor="text1"/>
          <w:sz w:val="16"/>
          <w:szCs w:val="16"/>
        </w:rPr>
      </w:pPr>
    </w:p>
    <w:p w14:paraId="71FC9243" w14:textId="77777777" w:rsidR="00DB43FF" w:rsidRPr="00925F26" w:rsidRDefault="00DB43FF" w:rsidP="00925F26">
      <w:pPr>
        <w:jc w:val="both"/>
        <w:rPr>
          <w:color w:val="000000" w:themeColor="text1"/>
          <w:sz w:val="16"/>
          <w:szCs w:val="16"/>
        </w:rPr>
      </w:pPr>
      <w:r w:rsidRPr="00925F26">
        <w:rPr>
          <w:bCs/>
          <w:color w:val="000000" w:themeColor="text1"/>
          <w:sz w:val="16"/>
          <w:szCs w:val="16"/>
        </w:rPr>
        <w:t>9 февраля</w:t>
      </w:r>
      <w:r w:rsidRPr="00925F26">
        <w:rPr>
          <w:color w:val="000000" w:themeColor="text1"/>
          <w:sz w:val="16"/>
          <w:szCs w:val="16"/>
        </w:rPr>
        <w:t xml:space="preserve"> в 1945 году американо-английские войска завершили освобождение Эльзаса (15035).</w:t>
      </w:r>
    </w:p>
    <w:p w14:paraId="018400FD" w14:textId="77777777" w:rsidR="00DB43FF" w:rsidRPr="00925F26" w:rsidRDefault="00DB43FF" w:rsidP="00925F26">
      <w:pPr>
        <w:jc w:val="both"/>
        <w:rPr>
          <w:color w:val="000000" w:themeColor="text1"/>
          <w:sz w:val="16"/>
          <w:szCs w:val="16"/>
        </w:rPr>
      </w:pPr>
    </w:p>
    <w:p w14:paraId="4026AC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февраля 1945 Бофайтеры атаковали немецкие корабли в Форде-фиорде. Почти все Бофайтеры были повреждены немецкими истребителями и ЗА (4022,24).</w:t>
      </w:r>
    </w:p>
    <w:p w14:paraId="26A4174B" w14:textId="77777777" w:rsidR="00665165" w:rsidRPr="00925F26" w:rsidRDefault="00665165" w:rsidP="00925F26">
      <w:pPr>
        <w:autoSpaceDE w:val="0"/>
        <w:autoSpaceDN w:val="0"/>
        <w:adjustRightInd w:val="0"/>
        <w:jc w:val="both"/>
        <w:rPr>
          <w:color w:val="000000" w:themeColor="text1"/>
          <w:sz w:val="16"/>
          <w:szCs w:val="16"/>
        </w:rPr>
      </w:pPr>
    </w:p>
    <w:p w14:paraId="433DC9D8" w14:textId="77777777" w:rsidR="003E03D0" w:rsidRPr="00925F26" w:rsidRDefault="003E03D0" w:rsidP="00925F26">
      <w:pPr>
        <w:jc w:val="both"/>
        <w:rPr>
          <w:color w:val="000000" w:themeColor="text1"/>
          <w:sz w:val="16"/>
          <w:szCs w:val="16"/>
        </w:rPr>
      </w:pPr>
      <w:r w:rsidRPr="00925F26">
        <w:rPr>
          <w:color w:val="000000" w:themeColor="text1"/>
          <w:sz w:val="16"/>
          <w:szCs w:val="16"/>
        </w:rPr>
        <w:t xml:space="preserve">9 февраля 1945 дюжина истребителей Focke-Wulf Fw 190 из Jagdgeschwader 5 атакует более 30 истребителей британского Содружества Beaufighter в сопровождении примерно дюжины «Мустангов» Королевских ВВС над фьордом Фёрде в Норвегии, в то время как самолеты союзников наносят удар по кораблям ВМС Германии. Союзники теряют восемь Beaufighter и один Mustang в неудачном рейде, а немцы теряют несколько Fw 190. Два Fw 190, сбитых в бою, все еще </w:t>
      </w:r>
      <w:proofErr w:type="gramStart"/>
      <w:r w:rsidRPr="00925F26">
        <w:rPr>
          <w:color w:val="000000" w:themeColor="text1"/>
          <w:sz w:val="16"/>
          <w:szCs w:val="16"/>
        </w:rPr>
        <w:t>существуют ,</w:t>
      </w:r>
      <w:proofErr w:type="gramEnd"/>
      <w:r w:rsidRPr="00925F26">
        <w:rPr>
          <w:color w:val="000000" w:themeColor="text1"/>
          <w:sz w:val="16"/>
          <w:szCs w:val="16"/>
        </w:rPr>
        <w:t xml:space="preserve"> и по крайней мере один из них находится на стадии восстановления до летной годности (20371).</w:t>
      </w:r>
    </w:p>
    <w:p w14:paraId="347533F1" w14:textId="77777777" w:rsidR="003E03D0" w:rsidRPr="00925F26" w:rsidRDefault="003E03D0" w:rsidP="00925F26">
      <w:pPr>
        <w:jc w:val="both"/>
        <w:rPr>
          <w:color w:val="000000" w:themeColor="text1"/>
          <w:sz w:val="16"/>
          <w:szCs w:val="16"/>
        </w:rPr>
      </w:pPr>
    </w:p>
    <w:p w14:paraId="001E54A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февраля 1945 Парагвай объявил войну Германии и Японии (4962).</w:t>
      </w:r>
    </w:p>
    <w:p w14:paraId="26A1DA7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A47CF1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FE194BB" w14:textId="77777777" w:rsidR="00665165" w:rsidRPr="00925F26" w:rsidRDefault="00665165" w:rsidP="00925F26">
      <w:pPr>
        <w:autoSpaceDE w:val="0"/>
        <w:autoSpaceDN w:val="0"/>
        <w:adjustRightInd w:val="0"/>
        <w:jc w:val="both"/>
        <w:rPr>
          <w:iCs/>
          <w:color w:val="000000" w:themeColor="text1"/>
          <w:sz w:val="16"/>
          <w:szCs w:val="16"/>
        </w:rPr>
      </w:pPr>
    </w:p>
    <w:p w14:paraId="2C1393D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10 февраля 1945 состояние опытного строительства на заводе № 81 было следующим:</w:t>
      </w:r>
    </w:p>
    <w:p w14:paraId="061A702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АШ-82ФН с 3 пушками калибра 20 мм испытывается. Работы по доводке установки оружия - заканчиваются</w:t>
      </w:r>
    </w:p>
    <w:p w14:paraId="3F4D36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АШ-82ФН с доработанной вентиляцией кабины - намечено окончание 11 февраля.</w:t>
      </w:r>
    </w:p>
    <w:p w14:paraId="1035634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С-т “К - закончен и все чертежи переданы для изготовления макета. Приступили к изготовлению чертежей оснастки.</w:t>
      </w:r>
    </w:p>
    <w:p w14:paraId="6B2E7BB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“К” - одноместный одномоторный цельнометаллический истребитель-моноплан. Мотор АШ-83 (или АШ-84). Крыло - ламинизированное из профилей ЦАГИ-2. В хвосте фюзеляжа - РД-1. Вооружение 4хНС23 - 2 вверху в и 2 в зализах</w:t>
      </w:r>
    </w:p>
    <w:p w14:paraId="714E503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С-т 120Р </w:t>
      </w:r>
      <w:proofErr w:type="gramStart"/>
      <w:r w:rsidRPr="00925F26">
        <w:rPr>
          <w:color w:val="000000" w:themeColor="text1"/>
          <w:sz w:val="16"/>
          <w:szCs w:val="16"/>
        </w:rPr>
        <w:t>( 120</w:t>
      </w:r>
      <w:proofErr w:type="gramEnd"/>
      <w:r w:rsidRPr="00925F26">
        <w:rPr>
          <w:color w:val="000000" w:themeColor="text1"/>
          <w:sz w:val="16"/>
          <w:szCs w:val="16"/>
        </w:rPr>
        <w:t xml:space="preserve"> с РД-1) - изготовление деталей кислотно-керосиновой системы (738,35).</w:t>
      </w:r>
    </w:p>
    <w:p w14:paraId="646905C1" w14:textId="77777777" w:rsidR="00665165" w:rsidRPr="00925F26" w:rsidRDefault="00665165" w:rsidP="00925F26">
      <w:pPr>
        <w:widowControl w:val="0"/>
        <w:autoSpaceDE w:val="0"/>
        <w:autoSpaceDN w:val="0"/>
        <w:adjustRightInd w:val="0"/>
        <w:jc w:val="both"/>
        <w:rPr>
          <w:color w:val="000000" w:themeColor="text1"/>
          <w:sz w:val="16"/>
          <w:szCs w:val="16"/>
        </w:rPr>
      </w:pPr>
    </w:p>
    <w:p w14:paraId="2C0EB5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февраля 1945 года Главного инженера ВВС КА А.К. Ре</w:t>
      </w:r>
      <w:r w:rsidRPr="00925F26">
        <w:rPr>
          <w:color w:val="000000" w:themeColor="text1"/>
          <w:sz w:val="16"/>
          <w:szCs w:val="16"/>
        </w:rPr>
        <w:softHyphen/>
        <w:t>пин докладывал А.А. Новикову:</w:t>
      </w:r>
    </w:p>
    <w:p w14:paraId="4B67EA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о состоянии парка самолетов Ла-5 и Ла-7 с моторами АШ-82ФН, по состоянию на 1.2.45 года.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31"/>
        <w:gridCol w:w="1075"/>
        <w:gridCol w:w="1267"/>
        <w:gridCol w:w="1190"/>
      </w:tblGrid>
      <w:tr w:rsidR="000F5689" w:rsidRPr="00925F26" w14:paraId="6FAA21FE" w14:textId="77777777">
        <w:trPr>
          <w:trHeight w:val="278"/>
        </w:trPr>
        <w:tc>
          <w:tcPr>
            <w:tcW w:w="2266" w:type="dxa"/>
            <w:tcBorders>
              <w:top w:val="single" w:sz="12" w:space="0" w:color="auto"/>
            </w:tcBorders>
          </w:tcPr>
          <w:p w14:paraId="6CA675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12" w:space="0" w:color="auto"/>
            </w:tcBorders>
          </w:tcPr>
          <w:p w14:paraId="48EA82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075" w:type="dxa"/>
            <w:tcBorders>
              <w:top w:val="single" w:sz="12" w:space="0" w:color="auto"/>
            </w:tcBorders>
          </w:tcPr>
          <w:p w14:paraId="679602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Исправных</w:t>
            </w:r>
          </w:p>
        </w:tc>
        <w:tc>
          <w:tcPr>
            <w:tcW w:w="1267" w:type="dxa"/>
            <w:tcBorders>
              <w:top w:val="single" w:sz="12" w:space="0" w:color="auto"/>
            </w:tcBorders>
          </w:tcPr>
          <w:p w14:paraId="00F6D7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Неисправных</w:t>
            </w:r>
          </w:p>
        </w:tc>
        <w:tc>
          <w:tcPr>
            <w:tcW w:w="1190" w:type="dxa"/>
            <w:tcBorders>
              <w:top w:val="single" w:sz="12" w:space="0" w:color="auto"/>
            </w:tcBorders>
          </w:tcPr>
          <w:p w14:paraId="18C599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неиспр-х</w:t>
            </w:r>
          </w:p>
        </w:tc>
      </w:tr>
      <w:tr w:rsidR="000F5689" w:rsidRPr="00925F26" w14:paraId="4205AF61" w14:textId="77777777">
        <w:trPr>
          <w:trHeight w:val="192"/>
        </w:trPr>
        <w:tc>
          <w:tcPr>
            <w:tcW w:w="2266" w:type="dxa"/>
          </w:tcPr>
          <w:p w14:paraId="6CE6EE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частях Деист. Армии:</w:t>
            </w:r>
          </w:p>
        </w:tc>
        <w:tc>
          <w:tcPr>
            <w:tcW w:w="931" w:type="dxa"/>
          </w:tcPr>
          <w:p w14:paraId="725558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75" w:type="dxa"/>
          </w:tcPr>
          <w:p w14:paraId="4F390F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Pr>
          <w:p w14:paraId="5B2271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90" w:type="dxa"/>
          </w:tcPr>
          <w:p w14:paraId="537170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A6E7209" w14:textId="77777777">
        <w:trPr>
          <w:trHeight w:val="192"/>
        </w:trPr>
        <w:tc>
          <w:tcPr>
            <w:tcW w:w="2266" w:type="dxa"/>
          </w:tcPr>
          <w:p w14:paraId="6F25E5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с-тов Ла-5 АШ-82ФН</w:t>
            </w:r>
          </w:p>
        </w:tc>
        <w:tc>
          <w:tcPr>
            <w:tcW w:w="931" w:type="dxa"/>
          </w:tcPr>
          <w:p w14:paraId="1BD1AC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1075</w:t>
            </w:r>
          </w:p>
        </w:tc>
        <w:tc>
          <w:tcPr>
            <w:tcW w:w="1075" w:type="dxa"/>
          </w:tcPr>
          <w:p w14:paraId="55CBA1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866</w:t>
            </w:r>
          </w:p>
        </w:tc>
        <w:tc>
          <w:tcPr>
            <w:tcW w:w="1267" w:type="dxa"/>
          </w:tcPr>
          <w:p w14:paraId="7FFE6B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209</w:t>
            </w:r>
          </w:p>
        </w:tc>
        <w:tc>
          <w:tcPr>
            <w:tcW w:w="1190" w:type="dxa"/>
          </w:tcPr>
          <w:p w14:paraId="5E7BB2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w:t>
            </w:r>
            <w:proofErr w:type="gramStart"/>
            <w:r w:rsidRPr="00925F26">
              <w:rPr>
                <w:color w:val="000000" w:themeColor="text1"/>
                <w:sz w:val="16"/>
                <w:szCs w:val="16"/>
              </w:rPr>
              <w:t>5 .</w:t>
            </w:r>
            <w:proofErr w:type="gramEnd"/>
          </w:p>
        </w:tc>
      </w:tr>
      <w:tr w:rsidR="000F5689" w:rsidRPr="00925F26" w14:paraId="5A3A51DA" w14:textId="77777777">
        <w:trPr>
          <w:trHeight w:val="202"/>
        </w:trPr>
        <w:tc>
          <w:tcPr>
            <w:tcW w:w="2266" w:type="dxa"/>
          </w:tcPr>
          <w:p w14:paraId="0A19A4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с-тов Ла-7 АШ-82ФН</w:t>
            </w:r>
          </w:p>
        </w:tc>
        <w:tc>
          <w:tcPr>
            <w:tcW w:w="931" w:type="dxa"/>
          </w:tcPr>
          <w:p w14:paraId="14C3E0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433</w:t>
            </w:r>
          </w:p>
        </w:tc>
        <w:tc>
          <w:tcPr>
            <w:tcW w:w="1075" w:type="dxa"/>
          </w:tcPr>
          <w:p w14:paraId="3980B3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306</w:t>
            </w:r>
          </w:p>
        </w:tc>
        <w:tc>
          <w:tcPr>
            <w:tcW w:w="1267" w:type="dxa"/>
          </w:tcPr>
          <w:p w14:paraId="196990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w:t>
            </w:r>
          </w:p>
        </w:tc>
        <w:tc>
          <w:tcPr>
            <w:tcW w:w="1190" w:type="dxa"/>
          </w:tcPr>
          <w:p w14:paraId="01E571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29,3</w:t>
            </w:r>
          </w:p>
        </w:tc>
      </w:tr>
      <w:tr w:rsidR="000F5689" w:rsidRPr="00925F26" w14:paraId="4A543287" w14:textId="77777777">
        <w:trPr>
          <w:trHeight w:val="192"/>
        </w:trPr>
        <w:tc>
          <w:tcPr>
            <w:tcW w:w="2266" w:type="dxa"/>
          </w:tcPr>
          <w:p w14:paraId="0A62EE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31" w:type="dxa"/>
          </w:tcPr>
          <w:p w14:paraId="107651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1508</w:t>
            </w:r>
          </w:p>
        </w:tc>
        <w:tc>
          <w:tcPr>
            <w:tcW w:w="1075" w:type="dxa"/>
          </w:tcPr>
          <w:p w14:paraId="2617BD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1172</w:t>
            </w:r>
          </w:p>
        </w:tc>
        <w:tc>
          <w:tcPr>
            <w:tcW w:w="1267" w:type="dxa"/>
          </w:tcPr>
          <w:p w14:paraId="77D621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336</w:t>
            </w:r>
          </w:p>
        </w:tc>
        <w:tc>
          <w:tcPr>
            <w:tcW w:w="1190" w:type="dxa"/>
          </w:tcPr>
          <w:p w14:paraId="6CDF37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22,3</w:t>
            </w:r>
          </w:p>
        </w:tc>
      </w:tr>
      <w:tr w:rsidR="000F5689" w:rsidRPr="00925F26" w14:paraId="6F7263AA" w14:textId="77777777">
        <w:trPr>
          <w:trHeight w:val="202"/>
        </w:trPr>
        <w:tc>
          <w:tcPr>
            <w:tcW w:w="2266" w:type="dxa"/>
          </w:tcPr>
          <w:p w14:paraId="1B2351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тыловых частях ВВС КА:</w:t>
            </w:r>
          </w:p>
        </w:tc>
        <w:tc>
          <w:tcPr>
            <w:tcW w:w="931" w:type="dxa"/>
          </w:tcPr>
          <w:p w14:paraId="34E7D6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75" w:type="dxa"/>
          </w:tcPr>
          <w:p w14:paraId="3D1BDF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Pr>
          <w:p w14:paraId="7167D7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90" w:type="dxa"/>
          </w:tcPr>
          <w:p w14:paraId="37B32A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B8899CF" w14:textId="77777777">
        <w:trPr>
          <w:trHeight w:val="202"/>
        </w:trPr>
        <w:tc>
          <w:tcPr>
            <w:tcW w:w="2266" w:type="dxa"/>
          </w:tcPr>
          <w:p w14:paraId="126651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с-тов Ла-5 АШ-82ФН</w:t>
            </w:r>
          </w:p>
        </w:tc>
        <w:tc>
          <w:tcPr>
            <w:tcW w:w="931" w:type="dxa"/>
          </w:tcPr>
          <w:p w14:paraId="7A53F5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412</w:t>
            </w:r>
          </w:p>
        </w:tc>
        <w:tc>
          <w:tcPr>
            <w:tcW w:w="1075" w:type="dxa"/>
          </w:tcPr>
          <w:p w14:paraId="01F38B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301</w:t>
            </w:r>
          </w:p>
        </w:tc>
        <w:tc>
          <w:tcPr>
            <w:tcW w:w="1267" w:type="dxa"/>
          </w:tcPr>
          <w:p w14:paraId="77485B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111</w:t>
            </w:r>
          </w:p>
        </w:tc>
        <w:tc>
          <w:tcPr>
            <w:tcW w:w="1190" w:type="dxa"/>
          </w:tcPr>
          <w:p w14:paraId="2DEEC1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27,0</w:t>
            </w:r>
          </w:p>
        </w:tc>
      </w:tr>
      <w:tr w:rsidR="000F5689" w:rsidRPr="00925F26" w14:paraId="70252892" w14:textId="77777777">
        <w:trPr>
          <w:trHeight w:val="202"/>
        </w:trPr>
        <w:tc>
          <w:tcPr>
            <w:tcW w:w="2266" w:type="dxa"/>
          </w:tcPr>
          <w:p w14:paraId="028168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с-тов Ла-7 АШ-82ФН</w:t>
            </w:r>
          </w:p>
        </w:tc>
        <w:tc>
          <w:tcPr>
            <w:tcW w:w="931" w:type="dxa"/>
          </w:tcPr>
          <w:p w14:paraId="398469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458</w:t>
            </w:r>
          </w:p>
        </w:tc>
        <w:tc>
          <w:tcPr>
            <w:tcW w:w="1075" w:type="dxa"/>
          </w:tcPr>
          <w:p w14:paraId="27DE46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439</w:t>
            </w:r>
          </w:p>
        </w:tc>
        <w:tc>
          <w:tcPr>
            <w:tcW w:w="1267" w:type="dxa"/>
          </w:tcPr>
          <w:p w14:paraId="153496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w:t>
            </w:r>
          </w:p>
        </w:tc>
        <w:tc>
          <w:tcPr>
            <w:tcW w:w="1190" w:type="dxa"/>
          </w:tcPr>
          <w:p w14:paraId="1D80C5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w:t>
            </w:r>
          </w:p>
        </w:tc>
      </w:tr>
      <w:tr w:rsidR="000F5689" w:rsidRPr="00925F26" w14:paraId="1BEEC087" w14:textId="77777777">
        <w:trPr>
          <w:trHeight w:val="278"/>
        </w:trPr>
        <w:tc>
          <w:tcPr>
            <w:tcW w:w="2266" w:type="dxa"/>
            <w:tcBorders>
              <w:bottom w:val="single" w:sz="12" w:space="0" w:color="auto"/>
            </w:tcBorders>
          </w:tcPr>
          <w:p w14:paraId="5C9252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31" w:type="dxa"/>
            <w:tcBorders>
              <w:bottom w:val="single" w:sz="12" w:space="0" w:color="auto"/>
            </w:tcBorders>
          </w:tcPr>
          <w:p w14:paraId="7483A7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870</w:t>
            </w:r>
          </w:p>
        </w:tc>
        <w:tc>
          <w:tcPr>
            <w:tcW w:w="1075" w:type="dxa"/>
            <w:tcBorders>
              <w:bottom w:val="single" w:sz="12" w:space="0" w:color="auto"/>
            </w:tcBorders>
          </w:tcPr>
          <w:p w14:paraId="79C991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740</w:t>
            </w:r>
          </w:p>
        </w:tc>
        <w:tc>
          <w:tcPr>
            <w:tcW w:w="1267" w:type="dxa"/>
            <w:tcBorders>
              <w:bottom w:val="single" w:sz="12" w:space="0" w:color="auto"/>
            </w:tcBorders>
          </w:tcPr>
          <w:p w14:paraId="44CCC7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130</w:t>
            </w:r>
          </w:p>
        </w:tc>
        <w:tc>
          <w:tcPr>
            <w:tcW w:w="1190" w:type="dxa"/>
            <w:tcBorders>
              <w:bottom w:val="single" w:sz="12" w:space="0" w:color="auto"/>
            </w:tcBorders>
          </w:tcPr>
          <w:p w14:paraId="7F05C8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14,9</w:t>
            </w:r>
          </w:p>
        </w:tc>
      </w:tr>
    </w:tbl>
    <w:p w14:paraId="315CAE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числа неисправных 320 само</w:t>
      </w:r>
      <w:r w:rsidRPr="00925F26">
        <w:rPr>
          <w:color w:val="000000" w:themeColor="text1"/>
          <w:sz w:val="16"/>
          <w:szCs w:val="16"/>
        </w:rPr>
        <w:softHyphen/>
        <w:t>летов Ла-5 АШ-82ФН и 146 само</w:t>
      </w:r>
      <w:r w:rsidRPr="00925F26">
        <w:rPr>
          <w:color w:val="000000" w:themeColor="text1"/>
          <w:sz w:val="16"/>
          <w:szCs w:val="16"/>
        </w:rPr>
        <w:softHyphen/>
        <w:t>летов Ла-7 АШ-82ФН, т.е. 466 са</w:t>
      </w:r>
      <w:r w:rsidRPr="00925F26">
        <w:rPr>
          <w:color w:val="000000" w:themeColor="text1"/>
          <w:sz w:val="16"/>
          <w:szCs w:val="16"/>
        </w:rPr>
        <w:softHyphen/>
        <w:t>молетов с мотором АШ-82ФН, 203 самолета неисправны из-за мото</w:t>
      </w:r>
      <w:r w:rsidRPr="00925F26">
        <w:rPr>
          <w:color w:val="000000" w:themeColor="text1"/>
          <w:sz w:val="16"/>
          <w:szCs w:val="16"/>
        </w:rPr>
        <w:softHyphen/>
        <w:t>ров, что составляет 8,5% к всему парку самолетов Ла-5 и Ла-7...</w:t>
      </w:r>
    </w:p>
    <w:p w14:paraId="4B9476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Положение с моторами АШ-82ФН будет оставаться тяжелым, если нам не будет оказана со стороны НКАП действенная помощь реаль</w:t>
      </w:r>
      <w:r w:rsidRPr="00925F26">
        <w:rPr>
          <w:color w:val="000000" w:themeColor="text1"/>
          <w:sz w:val="16"/>
          <w:szCs w:val="16"/>
        </w:rPr>
        <w:softHyphen/>
        <w:t>ной поставкой запасных частей, и в первую очередь, цилиндров, а также самих моторов.</w:t>
      </w:r>
    </w:p>
    <w:p w14:paraId="19931C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характеристики положения обеспеченности ВВС моторами АШ-82 и запчастями к ним, привожу сле</w:t>
      </w:r>
      <w:r w:rsidRPr="00925F26">
        <w:rPr>
          <w:color w:val="000000" w:themeColor="text1"/>
          <w:sz w:val="16"/>
          <w:szCs w:val="16"/>
        </w:rPr>
        <w:softHyphen/>
        <w:t>дующую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0F5689" w:rsidRPr="00925F26" w14:paraId="63A6D59F" w14:textId="77777777">
        <w:tc>
          <w:tcPr>
            <w:tcW w:w="2394" w:type="dxa"/>
            <w:tcBorders>
              <w:top w:val="single" w:sz="12" w:space="0" w:color="auto"/>
            </w:tcBorders>
          </w:tcPr>
          <w:p w14:paraId="3BC24B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2394" w:type="dxa"/>
            <w:tcBorders>
              <w:top w:val="single" w:sz="12" w:space="0" w:color="auto"/>
            </w:tcBorders>
          </w:tcPr>
          <w:p w14:paraId="27D2EE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Фактическая потребность ВВС КА на 1 кв. 1945 г</w:t>
            </w:r>
          </w:p>
        </w:tc>
        <w:tc>
          <w:tcPr>
            <w:tcW w:w="2394" w:type="dxa"/>
            <w:tcBorders>
              <w:top w:val="single" w:sz="12" w:space="0" w:color="auto"/>
            </w:tcBorders>
          </w:tcPr>
          <w:p w14:paraId="622026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Принято к поставке НКАП в 1 кв. 1945 г.</w:t>
            </w:r>
          </w:p>
        </w:tc>
        <w:tc>
          <w:tcPr>
            <w:tcW w:w="2394" w:type="dxa"/>
            <w:tcBorders>
              <w:top w:val="single" w:sz="12" w:space="0" w:color="auto"/>
            </w:tcBorders>
          </w:tcPr>
          <w:p w14:paraId="067222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Поставлено НКАП в январе 1945 г.</w:t>
            </w:r>
          </w:p>
        </w:tc>
      </w:tr>
      <w:tr w:rsidR="000F5689" w:rsidRPr="00925F26" w14:paraId="6ACEC3FA" w14:textId="77777777">
        <w:tc>
          <w:tcPr>
            <w:tcW w:w="2394" w:type="dxa"/>
          </w:tcPr>
          <w:p w14:paraId="125E26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Моторы АШ-82ФН ред. 11/16 </w:t>
            </w:r>
          </w:p>
        </w:tc>
        <w:tc>
          <w:tcPr>
            <w:tcW w:w="2394" w:type="dxa"/>
          </w:tcPr>
          <w:p w14:paraId="410651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400 </w:t>
            </w:r>
          </w:p>
        </w:tc>
        <w:tc>
          <w:tcPr>
            <w:tcW w:w="2394" w:type="dxa"/>
          </w:tcPr>
          <w:p w14:paraId="2A79BA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w:t>
            </w:r>
          </w:p>
        </w:tc>
        <w:tc>
          <w:tcPr>
            <w:tcW w:w="2394" w:type="dxa"/>
          </w:tcPr>
          <w:p w14:paraId="1AEF56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45A2100D" w14:textId="77777777">
        <w:tc>
          <w:tcPr>
            <w:tcW w:w="2394" w:type="dxa"/>
          </w:tcPr>
          <w:p w14:paraId="19413F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Моторы АШ-82ФН ред. 9/16 </w:t>
            </w:r>
          </w:p>
        </w:tc>
        <w:tc>
          <w:tcPr>
            <w:tcW w:w="2394" w:type="dxa"/>
          </w:tcPr>
          <w:p w14:paraId="7724C7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250 </w:t>
            </w:r>
          </w:p>
        </w:tc>
        <w:tc>
          <w:tcPr>
            <w:tcW w:w="2394" w:type="dxa"/>
          </w:tcPr>
          <w:p w14:paraId="590580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tc>
        <w:tc>
          <w:tcPr>
            <w:tcW w:w="2394" w:type="dxa"/>
          </w:tcPr>
          <w:p w14:paraId="432D8D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tc>
      </w:tr>
      <w:tr w:rsidR="000F5689" w:rsidRPr="00925F26" w14:paraId="0CD5EFDC" w14:textId="77777777">
        <w:tc>
          <w:tcPr>
            <w:tcW w:w="2394" w:type="dxa"/>
            <w:tcBorders>
              <w:bottom w:val="single" w:sz="12" w:space="0" w:color="auto"/>
            </w:tcBorders>
          </w:tcPr>
          <w:p w14:paraId="754E9E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Цилиндры мотора АШ-82ФН</w:t>
            </w:r>
          </w:p>
        </w:tc>
        <w:tc>
          <w:tcPr>
            <w:tcW w:w="2394" w:type="dxa"/>
            <w:tcBorders>
              <w:bottom w:val="single" w:sz="12" w:space="0" w:color="auto"/>
            </w:tcBorders>
          </w:tcPr>
          <w:p w14:paraId="6423CE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10664</w:t>
            </w:r>
          </w:p>
        </w:tc>
        <w:tc>
          <w:tcPr>
            <w:tcW w:w="2394" w:type="dxa"/>
            <w:tcBorders>
              <w:bottom w:val="single" w:sz="12" w:space="0" w:color="auto"/>
            </w:tcBorders>
          </w:tcPr>
          <w:p w14:paraId="4CBA8B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4520</w:t>
            </w:r>
          </w:p>
        </w:tc>
        <w:tc>
          <w:tcPr>
            <w:tcW w:w="2394" w:type="dxa"/>
            <w:tcBorders>
              <w:bottom w:val="single" w:sz="12" w:space="0" w:color="auto"/>
            </w:tcBorders>
          </w:tcPr>
          <w:p w14:paraId="2B76EF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1518</w:t>
            </w:r>
          </w:p>
        </w:tc>
      </w:tr>
    </w:tbl>
    <w:p w14:paraId="065F71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того, для увеличения вы</w:t>
      </w:r>
      <w:r w:rsidRPr="00925F26">
        <w:rPr>
          <w:color w:val="000000" w:themeColor="text1"/>
          <w:sz w:val="16"/>
          <w:szCs w:val="16"/>
        </w:rPr>
        <w:softHyphen/>
        <w:t>пуска авиационных моторов из ка</w:t>
      </w:r>
      <w:r w:rsidRPr="00925F26">
        <w:rPr>
          <w:color w:val="000000" w:themeColor="text1"/>
          <w:sz w:val="16"/>
          <w:szCs w:val="16"/>
        </w:rPr>
        <w:softHyphen/>
        <w:t>питального ремонта требуется отпуск авиамастерским электроэнергии и хромового ангидрида. То и другое не</w:t>
      </w:r>
      <w:r w:rsidRPr="00925F26">
        <w:rPr>
          <w:color w:val="000000" w:themeColor="text1"/>
          <w:sz w:val="16"/>
          <w:szCs w:val="16"/>
        </w:rPr>
        <w:softHyphen/>
        <w:t>обходимо для восстановления цилин</w:t>
      </w:r>
      <w:r w:rsidRPr="00925F26">
        <w:rPr>
          <w:color w:val="000000" w:themeColor="text1"/>
          <w:sz w:val="16"/>
          <w:szCs w:val="16"/>
        </w:rPr>
        <w:softHyphen/>
        <w:t>дров хромированием.</w:t>
      </w:r>
    </w:p>
    <w:p w14:paraId="16A0D6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месяце большинство ма</w:t>
      </w:r>
      <w:r w:rsidRPr="00925F26">
        <w:rPr>
          <w:color w:val="000000" w:themeColor="text1"/>
          <w:sz w:val="16"/>
          <w:szCs w:val="16"/>
        </w:rPr>
        <w:softHyphen/>
        <w:t>стерских работало с плохой загруз</w:t>
      </w:r>
      <w:r w:rsidRPr="00925F26">
        <w:rPr>
          <w:color w:val="000000" w:themeColor="text1"/>
          <w:sz w:val="16"/>
          <w:szCs w:val="16"/>
        </w:rPr>
        <w:softHyphen/>
        <w:t>кой станочного парка из-за непода</w:t>
      </w:r>
      <w:r w:rsidRPr="00925F26">
        <w:rPr>
          <w:color w:val="000000" w:themeColor="text1"/>
          <w:sz w:val="16"/>
          <w:szCs w:val="16"/>
        </w:rPr>
        <w:softHyphen/>
        <w:t>чи электроэнергии, а хромового ан</w:t>
      </w:r>
      <w:r w:rsidRPr="00925F26">
        <w:rPr>
          <w:color w:val="000000" w:themeColor="text1"/>
          <w:sz w:val="16"/>
          <w:szCs w:val="16"/>
        </w:rPr>
        <w:softHyphen/>
        <w:t>гидрида в январе получили от про</w:t>
      </w:r>
      <w:r w:rsidRPr="00925F26">
        <w:rPr>
          <w:color w:val="000000" w:themeColor="text1"/>
          <w:sz w:val="16"/>
          <w:szCs w:val="16"/>
        </w:rPr>
        <w:softHyphen/>
        <w:t>мышленности вместо утвержденного постановлением ГОКО на I кв. 1945 г. - 30000 кгр, всего 1500 кгр» (10730).</w:t>
      </w:r>
    </w:p>
    <w:p w14:paraId="334B05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01411BB" w14:textId="77777777" w:rsidR="00DB43FF" w:rsidRPr="00925F26" w:rsidRDefault="00DB43FF" w:rsidP="00925F26">
      <w:pPr>
        <w:tabs>
          <w:tab w:val="left" w:pos="5146"/>
        </w:tabs>
        <w:jc w:val="both"/>
        <w:rPr>
          <w:color w:val="000000" w:themeColor="text1"/>
          <w:sz w:val="16"/>
          <w:szCs w:val="16"/>
        </w:rPr>
      </w:pPr>
      <w:r w:rsidRPr="00925F26">
        <w:rPr>
          <w:color w:val="000000" w:themeColor="text1"/>
          <w:sz w:val="16"/>
          <w:szCs w:val="16"/>
        </w:rPr>
        <w:t>10 февраля 1945 г. из доклада Главного инженера ВВС КА А.К. Репина А.А. Новико</w:t>
      </w:r>
      <w:r w:rsidRPr="00925F26">
        <w:rPr>
          <w:color w:val="000000" w:themeColor="text1"/>
          <w:sz w:val="16"/>
          <w:szCs w:val="16"/>
        </w:rPr>
        <w:softHyphen/>
        <w:t>ву:</w:t>
      </w:r>
    </w:p>
    <w:p w14:paraId="7CF90B58" w14:textId="77777777" w:rsidR="00DB43FF" w:rsidRPr="00925F26" w:rsidRDefault="00DB43FF" w:rsidP="00925F26">
      <w:pPr>
        <w:tabs>
          <w:tab w:val="left" w:pos="5146"/>
        </w:tabs>
        <w:jc w:val="both"/>
        <w:rPr>
          <w:color w:val="000000" w:themeColor="text1"/>
          <w:sz w:val="16"/>
          <w:szCs w:val="16"/>
        </w:rPr>
      </w:pPr>
      <w:r w:rsidRPr="00925F26">
        <w:rPr>
          <w:color w:val="000000" w:themeColor="text1"/>
          <w:sz w:val="16"/>
          <w:szCs w:val="16"/>
        </w:rPr>
        <w:t>«Докладываю о состоянии парка самолётов Ла-5 и Ла-7 с моторами АШ-82ФН, по состоянию на 1.2.45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48"/>
        <w:gridCol w:w="778"/>
        <w:gridCol w:w="1387"/>
        <w:gridCol w:w="1714"/>
        <w:gridCol w:w="1066"/>
      </w:tblGrid>
      <w:tr w:rsidR="000F5689" w:rsidRPr="00925F26" w14:paraId="0CC70C39" w14:textId="77777777" w:rsidTr="000F49EC">
        <w:trPr>
          <w:trHeight w:val="221"/>
        </w:trPr>
        <w:tc>
          <w:tcPr>
            <w:tcW w:w="2448" w:type="dxa"/>
            <w:shd w:val="clear" w:color="auto" w:fill="FFFFFF"/>
          </w:tcPr>
          <w:p w14:paraId="79353C0E" w14:textId="77777777" w:rsidR="00DB43FF" w:rsidRPr="00925F26" w:rsidRDefault="00DB43FF" w:rsidP="00925F26">
            <w:pPr>
              <w:jc w:val="both"/>
              <w:rPr>
                <w:color w:val="000000" w:themeColor="text1"/>
                <w:sz w:val="16"/>
                <w:szCs w:val="16"/>
              </w:rPr>
            </w:pPr>
          </w:p>
        </w:tc>
        <w:tc>
          <w:tcPr>
            <w:tcW w:w="778" w:type="dxa"/>
            <w:shd w:val="clear" w:color="auto" w:fill="FFFFFF"/>
          </w:tcPr>
          <w:p w14:paraId="0A4DE67E"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Всего</w:t>
            </w:r>
          </w:p>
        </w:tc>
        <w:tc>
          <w:tcPr>
            <w:tcW w:w="1387" w:type="dxa"/>
            <w:shd w:val="clear" w:color="auto" w:fill="FFFFFF"/>
          </w:tcPr>
          <w:p w14:paraId="6990178F"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Исправных</w:t>
            </w:r>
          </w:p>
        </w:tc>
        <w:tc>
          <w:tcPr>
            <w:tcW w:w="1714" w:type="dxa"/>
            <w:shd w:val="clear" w:color="auto" w:fill="FFFFFF"/>
          </w:tcPr>
          <w:p w14:paraId="57E4B418"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 xml:space="preserve">Неисправных </w:t>
            </w:r>
            <w:r w:rsidRPr="00925F26">
              <w:rPr>
                <w:rFonts w:ascii="Times New Roman" w:hAnsi="Times New Roman"/>
                <w:color w:val="000000" w:themeColor="text1"/>
                <w:spacing w:val="0"/>
                <w:sz w:val="16"/>
                <w:szCs w:val="16"/>
                <w:vertAlign w:val="superscript"/>
              </w:rPr>
              <w:t>1</w:t>
            </w:r>
          </w:p>
        </w:tc>
        <w:tc>
          <w:tcPr>
            <w:tcW w:w="1066" w:type="dxa"/>
            <w:shd w:val="clear" w:color="auto" w:fill="FFFFFF"/>
          </w:tcPr>
          <w:p w14:paraId="7BDDF32D"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 неиспра!</w:t>
            </w:r>
          </w:p>
        </w:tc>
      </w:tr>
      <w:tr w:rsidR="000F5689" w:rsidRPr="00925F26" w14:paraId="283CF0C3" w14:textId="77777777" w:rsidTr="000F49EC">
        <w:trPr>
          <w:trHeight w:val="216"/>
        </w:trPr>
        <w:tc>
          <w:tcPr>
            <w:tcW w:w="2448" w:type="dxa"/>
            <w:shd w:val="clear" w:color="auto" w:fill="FFFFFF"/>
          </w:tcPr>
          <w:p w14:paraId="4B2C9862" w14:textId="77777777" w:rsidR="00DB43FF" w:rsidRPr="00925F26" w:rsidRDefault="00DB43FF" w:rsidP="00925F26">
            <w:pPr>
              <w:jc w:val="both"/>
              <w:rPr>
                <w:color w:val="000000" w:themeColor="text1"/>
                <w:sz w:val="16"/>
                <w:szCs w:val="16"/>
              </w:rPr>
            </w:pPr>
            <w:r w:rsidRPr="00925F26">
              <w:rPr>
                <w:color w:val="000000" w:themeColor="text1"/>
                <w:sz w:val="16"/>
                <w:szCs w:val="16"/>
              </w:rPr>
              <w:t>В частях Действ. Армии</w:t>
            </w:r>
          </w:p>
        </w:tc>
        <w:tc>
          <w:tcPr>
            <w:tcW w:w="778" w:type="dxa"/>
            <w:shd w:val="clear" w:color="auto" w:fill="FFFFFF"/>
          </w:tcPr>
          <w:p w14:paraId="08DED1DB" w14:textId="77777777" w:rsidR="00DB43FF" w:rsidRPr="00925F26" w:rsidRDefault="00DB43FF" w:rsidP="00925F26">
            <w:pPr>
              <w:jc w:val="both"/>
              <w:rPr>
                <w:color w:val="000000" w:themeColor="text1"/>
                <w:sz w:val="16"/>
                <w:szCs w:val="16"/>
              </w:rPr>
            </w:pPr>
          </w:p>
        </w:tc>
        <w:tc>
          <w:tcPr>
            <w:tcW w:w="1387" w:type="dxa"/>
            <w:shd w:val="clear" w:color="auto" w:fill="FFFFFF"/>
          </w:tcPr>
          <w:p w14:paraId="67256166" w14:textId="77777777" w:rsidR="00DB43FF" w:rsidRPr="00925F26" w:rsidRDefault="00DB43FF" w:rsidP="00925F26">
            <w:pPr>
              <w:jc w:val="both"/>
              <w:rPr>
                <w:color w:val="000000" w:themeColor="text1"/>
                <w:sz w:val="16"/>
                <w:szCs w:val="16"/>
              </w:rPr>
            </w:pPr>
          </w:p>
        </w:tc>
        <w:tc>
          <w:tcPr>
            <w:tcW w:w="1714" w:type="dxa"/>
            <w:shd w:val="clear" w:color="auto" w:fill="FFFFFF"/>
          </w:tcPr>
          <w:p w14:paraId="201671A7" w14:textId="77777777" w:rsidR="00DB43FF" w:rsidRPr="00925F26" w:rsidRDefault="00DB43FF" w:rsidP="00925F26">
            <w:pPr>
              <w:jc w:val="both"/>
              <w:rPr>
                <w:color w:val="000000" w:themeColor="text1"/>
                <w:sz w:val="16"/>
                <w:szCs w:val="16"/>
              </w:rPr>
            </w:pPr>
          </w:p>
        </w:tc>
        <w:tc>
          <w:tcPr>
            <w:tcW w:w="1066" w:type="dxa"/>
            <w:shd w:val="clear" w:color="auto" w:fill="FFFFFF"/>
          </w:tcPr>
          <w:p w14:paraId="1812E737" w14:textId="77777777" w:rsidR="00DB43FF" w:rsidRPr="00925F26" w:rsidRDefault="00DB43FF" w:rsidP="00925F26">
            <w:pPr>
              <w:jc w:val="both"/>
              <w:rPr>
                <w:color w:val="000000" w:themeColor="text1"/>
                <w:sz w:val="16"/>
                <w:szCs w:val="16"/>
              </w:rPr>
            </w:pPr>
          </w:p>
        </w:tc>
      </w:tr>
      <w:tr w:rsidR="000F5689" w:rsidRPr="00925F26" w14:paraId="1CA40988" w14:textId="77777777" w:rsidTr="000F49EC">
        <w:trPr>
          <w:trHeight w:val="216"/>
        </w:trPr>
        <w:tc>
          <w:tcPr>
            <w:tcW w:w="2448" w:type="dxa"/>
            <w:shd w:val="clear" w:color="auto" w:fill="FFFFFF"/>
          </w:tcPr>
          <w:p w14:paraId="44ED4321" w14:textId="77777777" w:rsidR="00DB43FF" w:rsidRPr="00925F26" w:rsidRDefault="00DB43FF" w:rsidP="00925F26">
            <w:pPr>
              <w:jc w:val="both"/>
              <w:rPr>
                <w:color w:val="000000" w:themeColor="text1"/>
                <w:sz w:val="16"/>
                <w:szCs w:val="16"/>
              </w:rPr>
            </w:pPr>
            <w:r w:rsidRPr="00925F26">
              <w:rPr>
                <w:color w:val="000000" w:themeColor="text1"/>
                <w:sz w:val="16"/>
                <w:szCs w:val="16"/>
              </w:rPr>
              <w:t>с-тов Ла-5 АШ-82ФН</w:t>
            </w:r>
          </w:p>
        </w:tc>
        <w:tc>
          <w:tcPr>
            <w:tcW w:w="778" w:type="dxa"/>
            <w:shd w:val="clear" w:color="auto" w:fill="FFFFFF"/>
          </w:tcPr>
          <w:p w14:paraId="5D351E1B" w14:textId="77777777" w:rsidR="00DB43FF" w:rsidRPr="00925F26" w:rsidRDefault="00DB43FF" w:rsidP="00925F26">
            <w:pPr>
              <w:jc w:val="both"/>
              <w:rPr>
                <w:color w:val="000000" w:themeColor="text1"/>
                <w:sz w:val="16"/>
                <w:szCs w:val="16"/>
              </w:rPr>
            </w:pPr>
            <w:r w:rsidRPr="00925F26">
              <w:rPr>
                <w:color w:val="000000" w:themeColor="text1"/>
                <w:sz w:val="16"/>
                <w:szCs w:val="16"/>
              </w:rPr>
              <w:t>1075</w:t>
            </w:r>
          </w:p>
        </w:tc>
        <w:tc>
          <w:tcPr>
            <w:tcW w:w="1387" w:type="dxa"/>
            <w:shd w:val="clear" w:color="auto" w:fill="FFFFFF"/>
          </w:tcPr>
          <w:p w14:paraId="59D0D8D5" w14:textId="77777777" w:rsidR="00DB43FF" w:rsidRPr="00925F26" w:rsidRDefault="00DB43FF" w:rsidP="00925F26">
            <w:pPr>
              <w:jc w:val="both"/>
              <w:rPr>
                <w:color w:val="000000" w:themeColor="text1"/>
                <w:sz w:val="16"/>
                <w:szCs w:val="16"/>
              </w:rPr>
            </w:pPr>
            <w:r w:rsidRPr="00925F26">
              <w:rPr>
                <w:color w:val="000000" w:themeColor="text1"/>
                <w:sz w:val="16"/>
                <w:szCs w:val="16"/>
              </w:rPr>
              <w:t>866</w:t>
            </w:r>
          </w:p>
        </w:tc>
        <w:tc>
          <w:tcPr>
            <w:tcW w:w="1714" w:type="dxa"/>
            <w:shd w:val="clear" w:color="auto" w:fill="FFFFFF"/>
          </w:tcPr>
          <w:p w14:paraId="3C1B5A37" w14:textId="77777777" w:rsidR="00DB43FF" w:rsidRPr="00925F26" w:rsidRDefault="00DB43FF" w:rsidP="00925F26">
            <w:pPr>
              <w:jc w:val="both"/>
              <w:rPr>
                <w:color w:val="000000" w:themeColor="text1"/>
                <w:sz w:val="16"/>
                <w:szCs w:val="16"/>
              </w:rPr>
            </w:pPr>
            <w:r w:rsidRPr="00925F26">
              <w:rPr>
                <w:color w:val="000000" w:themeColor="text1"/>
                <w:sz w:val="16"/>
                <w:szCs w:val="16"/>
              </w:rPr>
              <w:t>209</w:t>
            </w:r>
          </w:p>
        </w:tc>
        <w:tc>
          <w:tcPr>
            <w:tcW w:w="1066" w:type="dxa"/>
            <w:shd w:val="clear" w:color="auto" w:fill="FFFFFF"/>
          </w:tcPr>
          <w:p w14:paraId="0060CCF8" w14:textId="77777777" w:rsidR="00DB43FF" w:rsidRPr="00925F26" w:rsidRDefault="00DB43FF" w:rsidP="00925F26">
            <w:pPr>
              <w:jc w:val="both"/>
              <w:rPr>
                <w:color w:val="000000" w:themeColor="text1"/>
                <w:sz w:val="16"/>
                <w:szCs w:val="16"/>
              </w:rPr>
            </w:pPr>
            <w:r w:rsidRPr="00925F26">
              <w:rPr>
                <w:color w:val="000000" w:themeColor="text1"/>
                <w:sz w:val="16"/>
                <w:szCs w:val="16"/>
              </w:rPr>
              <w:t>19,5</w:t>
            </w:r>
          </w:p>
        </w:tc>
      </w:tr>
      <w:tr w:rsidR="000F5689" w:rsidRPr="00925F26" w14:paraId="145C6F41" w14:textId="77777777" w:rsidTr="000F49EC">
        <w:trPr>
          <w:trHeight w:val="216"/>
        </w:trPr>
        <w:tc>
          <w:tcPr>
            <w:tcW w:w="2448" w:type="dxa"/>
            <w:shd w:val="clear" w:color="auto" w:fill="FFFFFF"/>
          </w:tcPr>
          <w:p w14:paraId="5C0E6C2A" w14:textId="77777777" w:rsidR="00DB43FF" w:rsidRPr="00925F26" w:rsidRDefault="00DB43FF" w:rsidP="00925F26">
            <w:pPr>
              <w:jc w:val="both"/>
              <w:rPr>
                <w:color w:val="000000" w:themeColor="text1"/>
                <w:sz w:val="16"/>
                <w:szCs w:val="16"/>
              </w:rPr>
            </w:pPr>
            <w:r w:rsidRPr="00925F26">
              <w:rPr>
                <w:color w:val="000000" w:themeColor="text1"/>
                <w:sz w:val="16"/>
                <w:szCs w:val="16"/>
              </w:rPr>
              <w:t>с-тов Ла-7 АШ-82ФН</w:t>
            </w:r>
          </w:p>
        </w:tc>
        <w:tc>
          <w:tcPr>
            <w:tcW w:w="778" w:type="dxa"/>
            <w:shd w:val="clear" w:color="auto" w:fill="FFFFFF"/>
          </w:tcPr>
          <w:p w14:paraId="3058739B" w14:textId="77777777" w:rsidR="00DB43FF" w:rsidRPr="00925F26" w:rsidRDefault="00DB43FF" w:rsidP="00925F26">
            <w:pPr>
              <w:jc w:val="both"/>
              <w:rPr>
                <w:color w:val="000000" w:themeColor="text1"/>
                <w:sz w:val="16"/>
                <w:szCs w:val="16"/>
              </w:rPr>
            </w:pPr>
            <w:r w:rsidRPr="00925F26">
              <w:rPr>
                <w:color w:val="000000" w:themeColor="text1"/>
                <w:sz w:val="16"/>
                <w:szCs w:val="16"/>
              </w:rPr>
              <w:t>433</w:t>
            </w:r>
          </w:p>
        </w:tc>
        <w:tc>
          <w:tcPr>
            <w:tcW w:w="1387" w:type="dxa"/>
            <w:shd w:val="clear" w:color="auto" w:fill="FFFFFF"/>
          </w:tcPr>
          <w:p w14:paraId="4C57CDCF" w14:textId="77777777" w:rsidR="00DB43FF" w:rsidRPr="00925F26" w:rsidRDefault="00DB43FF" w:rsidP="00925F26">
            <w:pPr>
              <w:jc w:val="both"/>
              <w:rPr>
                <w:color w:val="000000" w:themeColor="text1"/>
                <w:sz w:val="16"/>
                <w:szCs w:val="16"/>
              </w:rPr>
            </w:pPr>
            <w:r w:rsidRPr="00925F26">
              <w:rPr>
                <w:color w:val="000000" w:themeColor="text1"/>
                <w:sz w:val="16"/>
                <w:szCs w:val="16"/>
              </w:rPr>
              <w:t>306</w:t>
            </w:r>
          </w:p>
        </w:tc>
        <w:tc>
          <w:tcPr>
            <w:tcW w:w="1714" w:type="dxa"/>
            <w:shd w:val="clear" w:color="auto" w:fill="FFFFFF"/>
          </w:tcPr>
          <w:p w14:paraId="5F7F697F" w14:textId="77777777" w:rsidR="00DB43FF" w:rsidRPr="00925F26" w:rsidRDefault="00DB43FF" w:rsidP="00925F26">
            <w:pPr>
              <w:jc w:val="both"/>
              <w:rPr>
                <w:color w:val="000000" w:themeColor="text1"/>
                <w:sz w:val="16"/>
                <w:szCs w:val="16"/>
              </w:rPr>
            </w:pPr>
            <w:r w:rsidRPr="00925F26">
              <w:rPr>
                <w:color w:val="000000" w:themeColor="text1"/>
                <w:sz w:val="16"/>
                <w:szCs w:val="16"/>
              </w:rPr>
              <w:t>127</w:t>
            </w:r>
          </w:p>
        </w:tc>
        <w:tc>
          <w:tcPr>
            <w:tcW w:w="1066" w:type="dxa"/>
            <w:shd w:val="clear" w:color="auto" w:fill="FFFFFF"/>
          </w:tcPr>
          <w:p w14:paraId="35FF0B2C" w14:textId="77777777" w:rsidR="00DB43FF" w:rsidRPr="00925F26" w:rsidRDefault="00DB43FF" w:rsidP="00925F26">
            <w:pPr>
              <w:jc w:val="both"/>
              <w:rPr>
                <w:color w:val="000000" w:themeColor="text1"/>
                <w:sz w:val="16"/>
                <w:szCs w:val="16"/>
              </w:rPr>
            </w:pPr>
            <w:r w:rsidRPr="00925F26">
              <w:rPr>
                <w:color w:val="000000" w:themeColor="text1"/>
                <w:sz w:val="16"/>
                <w:szCs w:val="16"/>
              </w:rPr>
              <w:t>29,3</w:t>
            </w:r>
          </w:p>
        </w:tc>
      </w:tr>
      <w:tr w:rsidR="000F5689" w:rsidRPr="00925F26" w14:paraId="6D70B99B" w14:textId="77777777" w:rsidTr="000F49EC">
        <w:trPr>
          <w:trHeight w:val="221"/>
        </w:trPr>
        <w:tc>
          <w:tcPr>
            <w:tcW w:w="2448" w:type="dxa"/>
            <w:shd w:val="clear" w:color="auto" w:fill="FFFFFF"/>
          </w:tcPr>
          <w:p w14:paraId="3924C30A"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Всего:</w:t>
            </w:r>
          </w:p>
        </w:tc>
        <w:tc>
          <w:tcPr>
            <w:tcW w:w="778" w:type="dxa"/>
            <w:shd w:val="clear" w:color="auto" w:fill="FFFFFF"/>
          </w:tcPr>
          <w:p w14:paraId="525B39D6"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1508</w:t>
            </w:r>
          </w:p>
        </w:tc>
        <w:tc>
          <w:tcPr>
            <w:tcW w:w="1387" w:type="dxa"/>
            <w:shd w:val="clear" w:color="auto" w:fill="FFFFFF"/>
          </w:tcPr>
          <w:p w14:paraId="10C6B377"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1172</w:t>
            </w:r>
          </w:p>
        </w:tc>
        <w:tc>
          <w:tcPr>
            <w:tcW w:w="1714" w:type="dxa"/>
            <w:shd w:val="clear" w:color="auto" w:fill="FFFFFF"/>
          </w:tcPr>
          <w:p w14:paraId="31DFA536"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336</w:t>
            </w:r>
          </w:p>
        </w:tc>
        <w:tc>
          <w:tcPr>
            <w:tcW w:w="1066" w:type="dxa"/>
            <w:shd w:val="clear" w:color="auto" w:fill="FFFFFF"/>
          </w:tcPr>
          <w:p w14:paraId="6BD1DF4F"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22,3</w:t>
            </w:r>
          </w:p>
        </w:tc>
      </w:tr>
      <w:tr w:rsidR="000F5689" w:rsidRPr="00925F26" w14:paraId="280A70F7" w14:textId="77777777" w:rsidTr="000F49EC">
        <w:trPr>
          <w:trHeight w:val="216"/>
        </w:trPr>
        <w:tc>
          <w:tcPr>
            <w:tcW w:w="2448" w:type="dxa"/>
            <w:shd w:val="clear" w:color="auto" w:fill="FFFFFF"/>
          </w:tcPr>
          <w:p w14:paraId="188D5C55" w14:textId="77777777" w:rsidR="00DB43FF" w:rsidRPr="00925F26" w:rsidRDefault="00DB43FF" w:rsidP="00925F26">
            <w:pPr>
              <w:jc w:val="both"/>
              <w:rPr>
                <w:color w:val="000000" w:themeColor="text1"/>
                <w:sz w:val="16"/>
                <w:szCs w:val="16"/>
              </w:rPr>
            </w:pPr>
            <w:r w:rsidRPr="00925F26">
              <w:rPr>
                <w:color w:val="000000" w:themeColor="text1"/>
                <w:sz w:val="16"/>
                <w:szCs w:val="16"/>
              </w:rPr>
              <w:t>В тыловых частях ВВС КА</w:t>
            </w:r>
          </w:p>
        </w:tc>
        <w:tc>
          <w:tcPr>
            <w:tcW w:w="778" w:type="dxa"/>
            <w:shd w:val="clear" w:color="auto" w:fill="FFFFFF"/>
          </w:tcPr>
          <w:p w14:paraId="021BE773" w14:textId="77777777" w:rsidR="00DB43FF" w:rsidRPr="00925F26" w:rsidRDefault="00DB43FF" w:rsidP="00925F26">
            <w:pPr>
              <w:jc w:val="both"/>
              <w:rPr>
                <w:color w:val="000000" w:themeColor="text1"/>
                <w:sz w:val="16"/>
                <w:szCs w:val="16"/>
              </w:rPr>
            </w:pPr>
          </w:p>
        </w:tc>
        <w:tc>
          <w:tcPr>
            <w:tcW w:w="1387" w:type="dxa"/>
            <w:shd w:val="clear" w:color="auto" w:fill="FFFFFF"/>
          </w:tcPr>
          <w:p w14:paraId="038ACD98" w14:textId="77777777" w:rsidR="00DB43FF" w:rsidRPr="00925F26" w:rsidRDefault="00DB43FF" w:rsidP="00925F26">
            <w:pPr>
              <w:jc w:val="both"/>
              <w:rPr>
                <w:color w:val="000000" w:themeColor="text1"/>
                <w:sz w:val="16"/>
                <w:szCs w:val="16"/>
              </w:rPr>
            </w:pPr>
          </w:p>
        </w:tc>
        <w:tc>
          <w:tcPr>
            <w:tcW w:w="1714" w:type="dxa"/>
            <w:shd w:val="clear" w:color="auto" w:fill="FFFFFF"/>
          </w:tcPr>
          <w:p w14:paraId="7EFDF724" w14:textId="77777777" w:rsidR="00DB43FF" w:rsidRPr="00925F26" w:rsidRDefault="00DB43FF" w:rsidP="00925F26">
            <w:pPr>
              <w:jc w:val="both"/>
              <w:rPr>
                <w:color w:val="000000" w:themeColor="text1"/>
                <w:sz w:val="16"/>
                <w:szCs w:val="16"/>
              </w:rPr>
            </w:pPr>
          </w:p>
        </w:tc>
        <w:tc>
          <w:tcPr>
            <w:tcW w:w="1066" w:type="dxa"/>
            <w:shd w:val="clear" w:color="auto" w:fill="FFFFFF"/>
          </w:tcPr>
          <w:p w14:paraId="6FFF1661" w14:textId="77777777" w:rsidR="00DB43FF" w:rsidRPr="00925F26" w:rsidRDefault="00DB43FF" w:rsidP="00925F26">
            <w:pPr>
              <w:jc w:val="both"/>
              <w:rPr>
                <w:color w:val="000000" w:themeColor="text1"/>
                <w:sz w:val="16"/>
                <w:szCs w:val="16"/>
              </w:rPr>
            </w:pPr>
          </w:p>
        </w:tc>
      </w:tr>
      <w:tr w:rsidR="000F5689" w:rsidRPr="00925F26" w14:paraId="18B026DA" w14:textId="77777777" w:rsidTr="000F49EC">
        <w:trPr>
          <w:trHeight w:val="216"/>
        </w:trPr>
        <w:tc>
          <w:tcPr>
            <w:tcW w:w="2448" w:type="dxa"/>
            <w:shd w:val="clear" w:color="auto" w:fill="FFFFFF"/>
          </w:tcPr>
          <w:p w14:paraId="339C7299" w14:textId="77777777" w:rsidR="00DB43FF" w:rsidRPr="00925F26" w:rsidRDefault="00DB43FF" w:rsidP="00925F26">
            <w:pPr>
              <w:jc w:val="both"/>
              <w:rPr>
                <w:color w:val="000000" w:themeColor="text1"/>
                <w:sz w:val="16"/>
                <w:szCs w:val="16"/>
              </w:rPr>
            </w:pPr>
            <w:r w:rsidRPr="00925F26">
              <w:rPr>
                <w:color w:val="000000" w:themeColor="text1"/>
                <w:sz w:val="16"/>
                <w:szCs w:val="16"/>
              </w:rPr>
              <w:t>с-тов Ла-5 АШ-82ФН</w:t>
            </w:r>
          </w:p>
        </w:tc>
        <w:tc>
          <w:tcPr>
            <w:tcW w:w="778" w:type="dxa"/>
            <w:shd w:val="clear" w:color="auto" w:fill="FFFFFF"/>
          </w:tcPr>
          <w:p w14:paraId="13E51A45" w14:textId="77777777" w:rsidR="00DB43FF" w:rsidRPr="00925F26" w:rsidRDefault="00DB43FF" w:rsidP="00925F26">
            <w:pPr>
              <w:jc w:val="both"/>
              <w:rPr>
                <w:color w:val="000000" w:themeColor="text1"/>
                <w:sz w:val="16"/>
                <w:szCs w:val="16"/>
              </w:rPr>
            </w:pPr>
            <w:r w:rsidRPr="00925F26">
              <w:rPr>
                <w:color w:val="000000" w:themeColor="text1"/>
                <w:sz w:val="16"/>
                <w:szCs w:val="16"/>
              </w:rPr>
              <w:t>412</w:t>
            </w:r>
          </w:p>
        </w:tc>
        <w:tc>
          <w:tcPr>
            <w:tcW w:w="1387" w:type="dxa"/>
            <w:shd w:val="clear" w:color="auto" w:fill="FFFFFF"/>
          </w:tcPr>
          <w:p w14:paraId="572D95DE" w14:textId="77777777" w:rsidR="00DB43FF" w:rsidRPr="00925F26" w:rsidRDefault="00DB43FF" w:rsidP="00925F26">
            <w:pPr>
              <w:jc w:val="both"/>
              <w:rPr>
                <w:color w:val="000000" w:themeColor="text1"/>
                <w:sz w:val="16"/>
                <w:szCs w:val="16"/>
              </w:rPr>
            </w:pPr>
            <w:r w:rsidRPr="00925F26">
              <w:rPr>
                <w:color w:val="000000" w:themeColor="text1"/>
                <w:sz w:val="16"/>
                <w:szCs w:val="16"/>
              </w:rPr>
              <w:t>301</w:t>
            </w:r>
          </w:p>
        </w:tc>
        <w:tc>
          <w:tcPr>
            <w:tcW w:w="1714" w:type="dxa"/>
            <w:shd w:val="clear" w:color="auto" w:fill="FFFFFF"/>
          </w:tcPr>
          <w:p w14:paraId="0ADB4676" w14:textId="77777777" w:rsidR="00DB43FF" w:rsidRPr="00925F26" w:rsidRDefault="00DB43FF" w:rsidP="00925F26">
            <w:pPr>
              <w:jc w:val="both"/>
              <w:rPr>
                <w:color w:val="000000" w:themeColor="text1"/>
                <w:sz w:val="16"/>
                <w:szCs w:val="16"/>
              </w:rPr>
            </w:pPr>
            <w:r w:rsidRPr="00925F26">
              <w:rPr>
                <w:color w:val="000000" w:themeColor="text1"/>
                <w:sz w:val="16"/>
                <w:szCs w:val="16"/>
              </w:rPr>
              <w:t>111</w:t>
            </w:r>
          </w:p>
        </w:tc>
        <w:tc>
          <w:tcPr>
            <w:tcW w:w="1066" w:type="dxa"/>
            <w:shd w:val="clear" w:color="auto" w:fill="FFFFFF"/>
          </w:tcPr>
          <w:p w14:paraId="192AC40F" w14:textId="77777777" w:rsidR="00DB43FF" w:rsidRPr="00925F26" w:rsidRDefault="00DB43FF" w:rsidP="00925F26">
            <w:pPr>
              <w:jc w:val="both"/>
              <w:rPr>
                <w:color w:val="000000" w:themeColor="text1"/>
                <w:sz w:val="16"/>
                <w:szCs w:val="16"/>
              </w:rPr>
            </w:pPr>
            <w:r w:rsidRPr="00925F26">
              <w:rPr>
                <w:color w:val="000000" w:themeColor="text1"/>
                <w:sz w:val="16"/>
                <w:szCs w:val="16"/>
              </w:rPr>
              <w:t>27,0</w:t>
            </w:r>
          </w:p>
        </w:tc>
      </w:tr>
      <w:tr w:rsidR="000F5689" w:rsidRPr="00925F26" w14:paraId="52261D88" w14:textId="77777777" w:rsidTr="000F49EC">
        <w:trPr>
          <w:trHeight w:val="226"/>
        </w:trPr>
        <w:tc>
          <w:tcPr>
            <w:tcW w:w="2448" w:type="dxa"/>
            <w:shd w:val="clear" w:color="auto" w:fill="FFFFFF"/>
          </w:tcPr>
          <w:p w14:paraId="38CF43E6" w14:textId="77777777" w:rsidR="00DB43FF" w:rsidRPr="00925F26" w:rsidRDefault="00DB43FF" w:rsidP="00925F26">
            <w:pPr>
              <w:jc w:val="both"/>
              <w:rPr>
                <w:color w:val="000000" w:themeColor="text1"/>
                <w:sz w:val="16"/>
                <w:szCs w:val="16"/>
              </w:rPr>
            </w:pPr>
            <w:r w:rsidRPr="00925F26">
              <w:rPr>
                <w:color w:val="000000" w:themeColor="text1"/>
                <w:sz w:val="16"/>
                <w:szCs w:val="16"/>
              </w:rPr>
              <w:t>с-тов Ла-7 АШ-82ФН</w:t>
            </w:r>
          </w:p>
        </w:tc>
        <w:tc>
          <w:tcPr>
            <w:tcW w:w="778" w:type="dxa"/>
            <w:shd w:val="clear" w:color="auto" w:fill="FFFFFF"/>
          </w:tcPr>
          <w:p w14:paraId="026CAC12" w14:textId="77777777" w:rsidR="00DB43FF" w:rsidRPr="00925F26" w:rsidRDefault="00DB43FF" w:rsidP="00925F26">
            <w:pPr>
              <w:jc w:val="both"/>
              <w:rPr>
                <w:color w:val="000000" w:themeColor="text1"/>
                <w:sz w:val="16"/>
                <w:szCs w:val="16"/>
              </w:rPr>
            </w:pPr>
            <w:r w:rsidRPr="00925F26">
              <w:rPr>
                <w:color w:val="000000" w:themeColor="text1"/>
                <w:sz w:val="16"/>
                <w:szCs w:val="16"/>
              </w:rPr>
              <w:t>458</w:t>
            </w:r>
          </w:p>
        </w:tc>
        <w:tc>
          <w:tcPr>
            <w:tcW w:w="1387" w:type="dxa"/>
            <w:shd w:val="clear" w:color="auto" w:fill="FFFFFF"/>
          </w:tcPr>
          <w:p w14:paraId="1E11D607" w14:textId="77777777" w:rsidR="00DB43FF" w:rsidRPr="00925F26" w:rsidRDefault="00DB43FF" w:rsidP="00925F26">
            <w:pPr>
              <w:jc w:val="both"/>
              <w:rPr>
                <w:color w:val="000000" w:themeColor="text1"/>
                <w:sz w:val="16"/>
                <w:szCs w:val="16"/>
              </w:rPr>
            </w:pPr>
            <w:r w:rsidRPr="00925F26">
              <w:rPr>
                <w:color w:val="000000" w:themeColor="text1"/>
                <w:sz w:val="16"/>
                <w:szCs w:val="16"/>
              </w:rPr>
              <w:t>439</w:t>
            </w:r>
          </w:p>
        </w:tc>
        <w:tc>
          <w:tcPr>
            <w:tcW w:w="1714" w:type="dxa"/>
            <w:shd w:val="clear" w:color="auto" w:fill="FFFFFF"/>
          </w:tcPr>
          <w:p w14:paraId="2D4C99D2" w14:textId="77777777" w:rsidR="00DB43FF" w:rsidRPr="00925F26" w:rsidRDefault="00DB43FF" w:rsidP="00925F26">
            <w:pPr>
              <w:jc w:val="both"/>
              <w:rPr>
                <w:color w:val="000000" w:themeColor="text1"/>
                <w:sz w:val="16"/>
                <w:szCs w:val="16"/>
              </w:rPr>
            </w:pPr>
            <w:r w:rsidRPr="00925F26">
              <w:rPr>
                <w:color w:val="000000" w:themeColor="text1"/>
                <w:sz w:val="16"/>
                <w:szCs w:val="16"/>
              </w:rPr>
              <w:t>19</w:t>
            </w:r>
          </w:p>
        </w:tc>
        <w:tc>
          <w:tcPr>
            <w:tcW w:w="1066" w:type="dxa"/>
            <w:shd w:val="clear" w:color="auto" w:fill="FFFFFF"/>
          </w:tcPr>
          <w:p w14:paraId="6EB5DE82" w14:textId="77777777" w:rsidR="00DB43FF" w:rsidRPr="00925F26" w:rsidRDefault="00DB43FF" w:rsidP="00925F26">
            <w:pPr>
              <w:jc w:val="both"/>
              <w:rPr>
                <w:color w:val="000000" w:themeColor="text1"/>
                <w:sz w:val="16"/>
                <w:szCs w:val="16"/>
              </w:rPr>
            </w:pPr>
            <w:r w:rsidRPr="00925F26">
              <w:rPr>
                <w:color w:val="000000" w:themeColor="text1"/>
                <w:sz w:val="16"/>
                <w:szCs w:val="16"/>
              </w:rPr>
              <w:t>4,1</w:t>
            </w:r>
          </w:p>
        </w:tc>
      </w:tr>
      <w:tr w:rsidR="000F5689" w:rsidRPr="00925F26" w14:paraId="7B0AE6DC" w14:textId="77777777" w:rsidTr="000F49EC">
        <w:trPr>
          <w:trHeight w:val="245"/>
        </w:trPr>
        <w:tc>
          <w:tcPr>
            <w:tcW w:w="2448" w:type="dxa"/>
            <w:shd w:val="clear" w:color="auto" w:fill="FFFFFF"/>
          </w:tcPr>
          <w:p w14:paraId="1B47D16F"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Всего:</w:t>
            </w:r>
          </w:p>
        </w:tc>
        <w:tc>
          <w:tcPr>
            <w:tcW w:w="778" w:type="dxa"/>
            <w:shd w:val="clear" w:color="auto" w:fill="FFFFFF"/>
          </w:tcPr>
          <w:p w14:paraId="2D3A5FCC"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870</w:t>
            </w:r>
          </w:p>
        </w:tc>
        <w:tc>
          <w:tcPr>
            <w:tcW w:w="1387" w:type="dxa"/>
            <w:shd w:val="clear" w:color="auto" w:fill="FFFFFF"/>
          </w:tcPr>
          <w:p w14:paraId="3379F219"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740</w:t>
            </w:r>
          </w:p>
        </w:tc>
        <w:tc>
          <w:tcPr>
            <w:tcW w:w="1714" w:type="dxa"/>
            <w:shd w:val="clear" w:color="auto" w:fill="FFFFFF"/>
          </w:tcPr>
          <w:p w14:paraId="68496C84"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130</w:t>
            </w:r>
          </w:p>
        </w:tc>
        <w:tc>
          <w:tcPr>
            <w:tcW w:w="1066" w:type="dxa"/>
            <w:shd w:val="clear" w:color="auto" w:fill="FFFFFF"/>
          </w:tcPr>
          <w:p w14:paraId="63D4F013" w14:textId="77777777" w:rsidR="00DB43FF" w:rsidRPr="00925F26" w:rsidRDefault="00DB43FF"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14,9</w:t>
            </w:r>
          </w:p>
        </w:tc>
      </w:tr>
    </w:tbl>
    <w:p w14:paraId="6C477D94" w14:textId="77777777" w:rsidR="00DB43FF" w:rsidRPr="00925F26" w:rsidRDefault="00DB43FF" w:rsidP="00925F26">
      <w:pPr>
        <w:tabs>
          <w:tab w:val="left" w:pos="5061"/>
          <w:tab w:val="left" w:pos="6659"/>
        </w:tabs>
        <w:jc w:val="both"/>
        <w:rPr>
          <w:color w:val="000000" w:themeColor="text1"/>
          <w:sz w:val="16"/>
          <w:szCs w:val="16"/>
        </w:rPr>
      </w:pPr>
      <w:r w:rsidRPr="00925F26">
        <w:rPr>
          <w:color w:val="000000" w:themeColor="text1"/>
          <w:sz w:val="16"/>
          <w:szCs w:val="16"/>
        </w:rPr>
        <w:t xml:space="preserve">Из числа неисправных 320 самолётов Ла-5 АШ-82ФН и 146 самолётов Ла-7 АШ-82ФН, т.е. 466 самолётов с мотором АШ-82ФН, 203 самолёта неисправны из-за моторов, что составляет 8,5% к всему парку самолётов Ла-5 и Ла-7. </w:t>
      </w:r>
    </w:p>
    <w:p w14:paraId="0DA99A1E" w14:textId="77777777" w:rsidR="00DB43FF" w:rsidRPr="00925F26" w:rsidRDefault="00DB43FF" w:rsidP="00925F26">
      <w:pPr>
        <w:jc w:val="both"/>
        <w:rPr>
          <w:color w:val="000000" w:themeColor="text1"/>
          <w:sz w:val="16"/>
          <w:szCs w:val="16"/>
        </w:rPr>
      </w:pPr>
      <w:r w:rsidRPr="00925F26">
        <w:rPr>
          <w:color w:val="000000" w:themeColor="text1"/>
          <w:sz w:val="16"/>
          <w:szCs w:val="16"/>
        </w:rPr>
        <w:t>Для характеристики обеспеченности ВВС привожу следующую таблицу: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126"/>
        <w:gridCol w:w="1985"/>
        <w:gridCol w:w="1984"/>
      </w:tblGrid>
      <w:tr w:rsidR="000F5689" w:rsidRPr="00925F26" w14:paraId="0A32AA0B" w14:textId="77777777" w:rsidTr="008741BA">
        <w:tc>
          <w:tcPr>
            <w:tcW w:w="2547" w:type="dxa"/>
          </w:tcPr>
          <w:p w14:paraId="3E8A3469" w14:textId="77777777" w:rsidR="00DB43FF" w:rsidRPr="00925F26" w:rsidRDefault="00DB43FF" w:rsidP="00925F26">
            <w:pPr>
              <w:jc w:val="both"/>
              <w:rPr>
                <w:color w:val="000000" w:themeColor="text1"/>
                <w:sz w:val="16"/>
                <w:szCs w:val="16"/>
              </w:rPr>
            </w:pPr>
            <w:r w:rsidRPr="00925F26">
              <w:rPr>
                <w:color w:val="000000" w:themeColor="text1"/>
                <w:sz w:val="16"/>
                <w:szCs w:val="16"/>
              </w:rPr>
              <w:t>Наименование</w:t>
            </w:r>
          </w:p>
        </w:tc>
        <w:tc>
          <w:tcPr>
            <w:tcW w:w="2126" w:type="dxa"/>
          </w:tcPr>
          <w:p w14:paraId="57096CDF" w14:textId="77777777" w:rsidR="00DB43FF" w:rsidRPr="00925F26" w:rsidRDefault="00DB43FF" w:rsidP="00925F26">
            <w:pPr>
              <w:jc w:val="both"/>
              <w:rPr>
                <w:color w:val="000000" w:themeColor="text1"/>
                <w:sz w:val="16"/>
                <w:szCs w:val="16"/>
              </w:rPr>
            </w:pPr>
            <w:r w:rsidRPr="00925F26">
              <w:rPr>
                <w:color w:val="000000" w:themeColor="text1"/>
                <w:sz w:val="16"/>
                <w:szCs w:val="16"/>
              </w:rPr>
              <w:t>Фактическая потребность ВВС КА на 1 кв. 1945 г.</w:t>
            </w:r>
          </w:p>
        </w:tc>
        <w:tc>
          <w:tcPr>
            <w:tcW w:w="1985" w:type="dxa"/>
          </w:tcPr>
          <w:p w14:paraId="1FA280DA" w14:textId="77777777" w:rsidR="00DB43FF" w:rsidRPr="00925F26" w:rsidRDefault="00DB43FF" w:rsidP="00925F26">
            <w:pPr>
              <w:jc w:val="both"/>
              <w:rPr>
                <w:color w:val="000000" w:themeColor="text1"/>
                <w:sz w:val="16"/>
                <w:szCs w:val="16"/>
              </w:rPr>
            </w:pPr>
            <w:r w:rsidRPr="00925F26">
              <w:rPr>
                <w:color w:val="000000" w:themeColor="text1"/>
                <w:sz w:val="16"/>
                <w:szCs w:val="16"/>
              </w:rPr>
              <w:t>Принято к поставке НКАП в 1 кв. 1945 г.</w:t>
            </w:r>
          </w:p>
        </w:tc>
        <w:tc>
          <w:tcPr>
            <w:tcW w:w="1984" w:type="dxa"/>
          </w:tcPr>
          <w:p w14:paraId="3835FCDE" w14:textId="77777777" w:rsidR="00DB43FF" w:rsidRPr="00925F26" w:rsidRDefault="00DB43FF" w:rsidP="00925F26">
            <w:pPr>
              <w:jc w:val="both"/>
              <w:rPr>
                <w:color w:val="000000" w:themeColor="text1"/>
                <w:sz w:val="16"/>
                <w:szCs w:val="16"/>
              </w:rPr>
            </w:pPr>
            <w:r w:rsidRPr="00925F26">
              <w:rPr>
                <w:color w:val="000000" w:themeColor="text1"/>
                <w:sz w:val="16"/>
                <w:szCs w:val="16"/>
              </w:rPr>
              <w:t xml:space="preserve">Поставлено </w:t>
            </w:r>
            <w:bookmarkStart w:id="6" w:name="bookmark13"/>
            <w:r w:rsidRPr="00925F26">
              <w:rPr>
                <w:color w:val="000000" w:themeColor="text1"/>
                <w:sz w:val="16"/>
                <w:szCs w:val="16"/>
              </w:rPr>
              <w:t>НКАП в янв. 1945 г.</w:t>
            </w:r>
            <w:bookmarkEnd w:id="6"/>
          </w:p>
        </w:tc>
      </w:tr>
      <w:tr w:rsidR="000F5689" w:rsidRPr="00925F26" w14:paraId="6F08055C" w14:textId="77777777" w:rsidTr="008741BA">
        <w:tc>
          <w:tcPr>
            <w:tcW w:w="2547" w:type="dxa"/>
          </w:tcPr>
          <w:p w14:paraId="54B20FDB" w14:textId="77777777" w:rsidR="00DB43FF" w:rsidRPr="00925F26" w:rsidRDefault="00DB43FF" w:rsidP="00925F26">
            <w:pPr>
              <w:jc w:val="both"/>
              <w:rPr>
                <w:color w:val="000000" w:themeColor="text1"/>
                <w:sz w:val="16"/>
                <w:szCs w:val="16"/>
              </w:rPr>
            </w:pPr>
            <w:r w:rsidRPr="00925F26">
              <w:rPr>
                <w:color w:val="000000" w:themeColor="text1"/>
                <w:sz w:val="16"/>
                <w:szCs w:val="16"/>
              </w:rPr>
              <w:t>Моторы АШ-82ФН ред. 11/16</w:t>
            </w:r>
          </w:p>
        </w:tc>
        <w:tc>
          <w:tcPr>
            <w:tcW w:w="2126" w:type="dxa"/>
          </w:tcPr>
          <w:p w14:paraId="4E1736AD" w14:textId="77777777" w:rsidR="00DB43FF" w:rsidRPr="00925F26" w:rsidRDefault="00DB43FF" w:rsidP="00925F26">
            <w:pPr>
              <w:jc w:val="both"/>
              <w:rPr>
                <w:color w:val="000000" w:themeColor="text1"/>
                <w:sz w:val="16"/>
                <w:szCs w:val="16"/>
              </w:rPr>
            </w:pPr>
            <w:r w:rsidRPr="00925F26">
              <w:rPr>
                <w:color w:val="000000" w:themeColor="text1"/>
                <w:sz w:val="16"/>
                <w:szCs w:val="16"/>
              </w:rPr>
              <w:t>400</w:t>
            </w:r>
          </w:p>
        </w:tc>
        <w:tc>
          <w:tcPr>
            <w:tcW w:w="1985" w:type="dxa"/>
          </w:tcPr>
          <w:p w14:paraId="6B9956D3" w14:textId="77777777" w:rsidR="00DB43FF" w:rsidRPr="00925F26" w:rsidRDefault="00DB43FF" w:rsidP="00925F26">
            <w:pPr>
              <w:jc w:val="both"/>
              <w:rPr>
                <w:color w:val="000000" w:themeColor="text1"/>
                <w:sz w:val="16"/>
                <w:szCs w:val="16"/>
              </w:rPr>
            </w:pPr>
            <w:r w:rsidRPr="00925F26">
              <w:rPr>
                <w:color w:val="000000" w:themeColor="text1"/>
                <w:sz w:val="16"/>
                <w:szCs w:val="16"/>
              </w:rPr>
              <w:t>55</w:t>
            </w:r>
          </w:p>
        </w:tc>
        <w:tc>
          <w:tcPr>
            <w:tcW w:w="1984" w:type="dxa"/>
          </w:tcPr>
          <w:p w14:paraId="74A4BD88" w14:textId="77777777" w:rsidR="00DB43FF" w:rsidRPr="00925F26" w:rsidRDefault="00DB43FF" w:rsidP="00925F26">
            <w:pPr>
              <w:jc w:val="both"/>
              <w:rPr>
                <w:color w:val="000000" w:themeColor="text1"/>
                <w:sz w:val="16"/>
                <w:szCs w:val="16"/>
              </w:rPr>
            </w:pPr>
            <w:r w:rsidRPr="00925F26">
              <w:rPr>
                <w:color w:val="000000" w:themeColor="text1"/>
                <w:sz w:val="16"/>
                <w:szCs w:val="16"/>
              </w:rPr>
              <w:t>10</w:t>
            </w:r>
          </w:p>
        </w:tc>
      </w:tr>
      <w:tr w:rsidR="000F5689" w:rsidRPr="00925F26" w14:paraId="1F97338D" w14:textId="77777777" w:rsidTr="008741BA">
        <w:tc>
          <w:tcPr>
            <w:tcW w:w="2547" w:type="dxa"/>
          </w:tcPr>
          <w:p w14:paraId="21C29D79" w14:textId="77777777" w:rsidR="00DB43FF" w:rsidRPr="00925F26" w:rsidRDefault="00DB43FF" w:rsidP="00925F26">
            <w:pPr>
              <w:jc w:val="both"/>
              <w:rPr>
                <w:color w:val="000000" w:themeColor="text1"/>
                <w:sz w:val="16"/>
                <w:szCs w:val="16"/>
              </w:rPr>
            </w:pPr>
            <w:r w:rsidRPr="00925F26">
              <w:rPr>
                <w:color w:val="000000" w:themeColor="text1"/>
                <w:sz w:val="16"/>
                <w:szCs w:val="16"/>
              </w:rPr>
              <w:t>Моторы АШ-82ФН ред. 9/16</w:t>
            </w:r>
          </w:p>
        </w:tc>
        <w:tc>
          <w:tcPr>
            <w:tcW w:w="2126" w:type="dxa"/>
          </w:tcPr>
          <w:p w14:paraId="421FF8F5" w14:textId="77777777" w:rsidR="00DB43FF" w:rsidRPr="00925F26" w:rsidRDefault="00DB43FF" w:rsidP="00925F26">
            <w:pPr>
              <w:jc w:val="both"/>
              <w:rPr>
                <w:color w:val="000000" w:themeColor="text1"/>
                <w:sz w:val="16"/>
                <w:szCs w:val="16"/>
              </w:rPr>
            </w:pPr>
            <w:r w:rsidRPr="00925F26">
              <w:rPr>
                <w:color w:val="000000" w:themeColor="text1"/>
                <w:sz w:val="16"/>
                <w:szCs w:val="16"/>
              </w:rPr>
              <w:t>250</w:t>
            </w:r>
          </w:p>
        </w:tc>
        <w:tc>
          <w:tcPr>
            <w:tcW w:w="1985" w:type="dxa"/>
          </w:tcPr>
          <w:p w14:paraId="5F9EAC37" w14:textId="77777777" w:rsidR="00DB43FF" w:rsidRPr="00925F26" w:rsidRDefault="00DB43FF" w:rsidP="00925F26">
            <w:pPr>
              <w:jc w:val="both"/>
              <w:rPr>
                <w:color w:val="000000" w:themeColor="text1"/>
                <w:sz w:val="16"/>
                <w:szCs w:val="16"/>
              </w:rPr>
            </w:pPr>
            <w:r w:rsidRPr="00925F26">
              <w:rPr>
                <w:color w:val="000000" w:themeColor="text1"/>
                <w:sz w:val="16"/>
                <w:szCs w:val="16"/>
              </w:rPr>
              <w:t>35</w:t>
            </w:r>
          </w:p>
        </w:tc>
        <w:tc>
          <w:tcPr>
            <w:tcW w:w="1984" w:type="dxa"/>
          </w:tcPr>
          <w:p w14:paraId="65419252" w14:textId="77777777" w:rsidR="00DB43FF" w:rsidRPr="00925F26" w:rsidRDefault="00DB43FF" w:rsidP="00925F26">
            <w:pPr>
              <w:jc w:val="both"/>
              <w:rPr>
                <w:color w:val="000000" w:themeColor="text1"/>
                <w:sz w:val="16"/>
                <w:szCs w:val="16"/>
              </w:rPr>
            </w:pPr>
            <w:r w:rsidRPr="00925F26">
              <w:rPr>
                <w:color w:val="000000" w:themeColor="text1"/>
                <w:sz w:val="16"/>
                <w:szCs w:val="16"/>
              </w:rPr>
              <w:t>15</w:t>
            </w:r>
          </w:p>
        </w:tc>
      </w:tr>
      <w:tr w:rsidR="000F5689" w:rsidRPr="00925F26" w14:paraId="5DD2F489" w14:textId="77777777" w:rsidTr="008741BA">
        <w:tc>
          <w:tcPr>
            <w:tcW w:w="2547" w:type="dxa"/>
          </w:tcPr>
          <w:p w14:paraId="06A160F2" w14:textId="77777777" w:rsidR="00DB43FF" w:rsidRPr="00925F26" w:rsidRDefault="00DB43FF" w:rsidP="00925F26">
            <w:pPr>
              <w:jc w:val="both"/>
              <w:rPr>
                <w:color w:val="000000" w:themeColor="text1"/>
                <w:sz w:val="16"/>
                <w:szCs w:val="16"/>
              </w:rPr>
            </w:pPr>
            <w:r w:rsidRPr="00925F26">
              <w:rPr>
                <w:color w:val="000000" w:themeColor="text1"/>
                <w:sz w:val="16"/>
                <w:szCs w:val="16"/>
              </w:rPr>
              <w:t>Цилиндры мотора АШ-82ФН</w:t>
            </w:r>
          </w:p>
        </w:tc>
        <w:tc>
          <w:tcPr>
            <w:tcW w:w="2126" w:type="dxa"/>
          </w:tcPr>
          <w:p w14:paraId="7810EAA5" w14:textId="77777777" w:rsidR="00DB43FF" w:rsidRPr="00925F26" w:rsidRDefault="00DB43FF" w:rsidP="00925F26">
            <w:pPr>
              <w:jc w:val="both"/>
              <w:rPr>
                <w:color w:val="000000" w:themeColor="text1"/>
                <w:sz w:val="16"/>
                <w:szCs w:val="16"/>
              </w:rPr>
            </w:pPr>
            <w:r w:rsidRPr="00925F26">
              <w:rPr>
                <w:color w:val="000000" w:themeColor="text1"/>
                <w:sz w:val="16"/>
                <w:szCs w:val="16"/>
              </w:rPr>
              <w:t>10664</w:t>
            </w:r>
          </w:p>
        </w:tc>
        <w:tc>
          <w:tcPr>
            <w:tcW w:w="1985" w:type="dxa"/>
          </w:tcPr>
          <w:p w14:paraId="3C06A7C4" w14:textId="77777777" w:rsidR="00DB43FF" w:rsidRPr="00925F26" w:rsidRDefault="00DB43FF" w:rsidP="00925F26">
            <w:pPr>
              <w:jc w:val="both"/>
              <w:rPr>
                <w:color w:val="000000" w:themeColor="text1"/>
                <w:sz w:val="16"/>
                <w:szCs w:val="16"/>
              </w:rPr>
            </w:pPr>
            <w:r w:rsidRPr="00925F26">
              <w:rPr>
                <w:color w:val="000000" w:themeColor="text1"/>
                <w:sz w:val="16"/>
                <w:szCs w:val="16"/>
              </w:rPr>
              <w:t>4250</w:t>
            </w:r>
          </w:p>
        </w:tc>
        <w:tc>
          <w:tcPr>
            <w:tcW w:w="1984" w:type="dxa"/>
          </w:tcPr>
          <w:p w14:paraId="665ECC5D" w14:textId="77777777" w:rsidR="00DB43FF" w:rsidRPr="00925F26" w:rsidRDefault="00DB43FF" w:rsidP="00925F26">
            <w:pPr>
              <w:jc w:val="both"/>
              <w:rPr>
                <w:color w:val="000000" w:themeColor="text1"/>
                <w:sz w:val="16"/>
                <w:szCs w:val="16"/>
              </w:rPr>
            </w:pPr>
            <w:r w:rsidRPr="00925F26">
              <w:rPr>
                <w:color w:val="000000" w:themeColor="text1"/>
                <w:sz w:val="16"/>
                <w:szCs w:val="16"/>
              </w:rPr>
              <w:t>1518</w:t>
            </w:r>
          </w:p>
        </w:tc>
      </w:tr>
    </w:tbl>
    <w:p w14:paraId="00FC0311" w14:textId="77777777" w:rsidR="00DB43FF" w:rsidRPr="00925F26" w:rsidRDefault="00DB43FF" w:rsidP="00925F26">
      <w:pPr>
        <w:jc w:val="both"/>
        <w:rPr>
          <w:color w:val="000000" w:themeColor="text1"/>
          <w:sz w:val="16"/>
          <w:szCs w:val="16"/>
        </w:rPr>
      </w:pPr>
      <w:r w:rsidRPr="00925F26">
        <w:rPr>
          <w:color w:val="000000" w:themeColor="text1"/>
          <w:sz w:val="16"/>
          <w:szCs w:val="16"/>
        </w:rPr>
        <w:lastRenderedPageBreak/>
        <w:t>Кроме того, для увеличения выпуска авиационных моторов из капитального ремонта требуется отпуск авиамастерским электроэнергии и хромового ангидрида. То и другое необходимо для восстановления цилиндров хромированием.</w:t>
      </w:r>
    </w:p>
    <w:p w14:paraId="5F0E47BD" w14:textId="77777777" w:rsidR="00DB43FF" w:rsidRPr="00925F26" w:rsidRDefault="00DB43FF" w:rsidP="00925F26">
      <w:pPr>
        <w:jc w:val="both"/>
        <w:rPr>
          <w:color w:val="000000" w:themeColor="text1"/>
          <w:sz w:val="16"/>
          <w:szCs w:val="16"/>
        </w:rPr>
      </w:pPr>
      <w:r w:rsidRPr="00925F26">
        <w:rPr>
          <w:color w:val="000000" w:themeColor="text1"/>
          <w:sz w:val="16"/>
          <w:szCs w:val="16"/>
        </w:rPr>
        <w:t>В январе месяце большинство мастерских работало с плохой загрузкой станочного парка из-за неподачи электроэнергии, а хромового ангидрида в январе получили от про</w:t>
      </w:r>
      <w:r w:rsidRPr="00925F26">
        <w:rPr>
          <w:color w:val="000000" w:themeColor="text1"/>
          <w:sz w:val="16"/>
          <w:szCs w:val="16"/>
        </w:rPr>
        <w:softHyphen/>
        <w:t>мышленности вместо утвержденного постановлением ГОКО на I кв. 1945 г. — 30000 кгр, всего 1500 кгр» (15829).</w:t>
      </w:r>
    </w:p>
    <w:p w14:paraId="41E31014" w14:textId="77777777" w:rsidR="00DB43FF" w:rsidRPr="00925F26" w:rsidRDefault="00DB43FF" w:rsidP="00925F26">
      <w:pPr>
        <w:jc w:val="both"/>
        <w:rPr>
          <w:color w:val="000000" w:themeColor="text1"/>
          <w:sz w:val="16"/>
          <w:szCs w:val="16"/>
        </w:rPr>
      </w:pPr>
    </w:p>
    <w:p w14:paraId="3EEC9C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года П. Дементьев писал письмо зам. председателя СНК Вознесенскому Н.А.</w:t>
      </w:r>
    </w:p>
    <w:p w14:paraId="1631D8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Производственные площади бывш. завода № 49 НКАП были переданы заводу № 26 НКАП.</w:t>
      </w:r>
    </w:p>
    <w:p w14:paraId="11541C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Совнарком Башкирской республики просит передать производственные площади завода № 49 авторемонтному заводу, против чего НКАП не возражает (8959).</w:t>
      </w:r>
    </w:p>
    <w:p w14:paraId="62E4BE40" w14:textId="77777777" w:rsidR="00665165" w:rsidRPr="00925F26" w:rsidRDefault="00665165" w:rsidP="00925F26">
      <w:pPr>
        <w:autoSpaceDE w:val="0"/>
        <w:autoSpaceDN w:val="0"/>
        <w:adjustRightInd w:val="0"/>
        <w:jc w:val="both"/>
        <w:rPr>
          <w:color w:val="000000" w:themeColor="text1"/>
          <w:sz w:val="16"/>
          <w:szCs w:val="16"/>
        </w:rPr>
      </w:pPr>
    </w:p>
    <w:p w14:paraId="7C638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период с 10 февраля по 1 мая 1945 на базе 5-го гмтап ВВС ЧФ проводились испытания стабилизатора для торпеды СН-45 при скоростях сбрасывания 360-380 км/ч.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114963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925F26">
        <w:rPr>
          <w:color w:val="000000" w:themeColor="text1"/>
          <w:sz w:val="16"/>
          <w:szCs w:val="16"/>
        </w:rPr>
        <w:t>г. .</w:t>
      </w:r>
      <w:proofErr w:type="gramEnd"/>
      <w:r w:rsidRPr="00925F26">
        <w:rPr>
          <w:color w:val="000000" w:themeColor="text1"/>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476B6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7D86F296" w14:textId="77777777" w:rsidR="00665165" w:rsidRPr="00925F26" w:rsidRDefault="00665165" w:rsidP="00925F26">
      <w:pPr>
        <w:autoSpaceDE w:val="0"/>
        <w:autoSpaceDN w:val="0"/>
        <w:adjustRightInd w:val="0"/>
        <w:jc w:val="both"/>
        <w:rPr>
          <w:color w:val="000000" w:themeColor="text1"/>
          <w:sz w:val="16"/>
          <w:szCs w:val="16"/>
        </w:rPr>
      </w:pPr>
    </w:p>
    <w:p w14:paraId="32801CF7" w14:textId="77777777" w:rsidR="00317A72" w:rsidRPr="00925F26" w:rsidRDefault="00317A72" w:rsidP="00925F26">
      <w:pPr>
        <w:jc w:val="both"/>
        <w:rPr>
          <w:color w:val="000000" w:themeColor="text1"/>
          <w:sz w:val="16"/>
          <w:szCs w:val="16"/>
        </w:rPr>
      </w:pPr>
      <w:r w:rsidRPr="00925F26">
        <w:rPr>
          <w:color w:val="000000" w:themeColor="text1"/>
          <w:sz w:val="16"/>
          <w:szCs w:val="16"/>
        </w:rPr>
        <w:t>В период 10 февраля – 1 мая 1945 на базе 5-го гмтап ВВС ЧФ проходили испытаниях стабилизатора для торпеды СН-45 при скоростях сбрасывания 360-380 км/ч. Стабилизатор представлял собой легкую металлическую конструкцию ве</w:t>
      </w:r>
      <w:r w:rsidRPr="00925F26">
        <w:rPr>
          <w:color w:val="000000" w:themeColor="text1"/>
          <w:sz w:val="16"/>
          <w:szCs w:val="16"/>
        </w:rPr>
        <w:softHyphen/>
        <w:t>сом 8 кг, состоящую из нескольких колец, каркаса, вертикаль</w:t>
      </w:r>
      <w:r w:rsidRPr="00925F26">
        <w:rPr>
          <w:color w:val="000000" w:themeColor="text1"/>
          <w:sz w:val="16"/>
          <w:szCs w:val="16"/>
        </w:rPr>
        <w:softHyphen/>
        <w:t xml:space="preserve">ной планки и поворотного </w:t>
      </w:r>
      <w:proofErr w:type="gramStart"/>
      <w:r w:rsidRPr="00925F26">
        <w:rPr>
          <w:color w:val="000000" w:themeColor="text1"/>
          <w:sz w:val="16"/>
          <w:szCs w:val="16"/>
        </w:rPr>
        <w:t>крыла .</w:t>
      </w:r>
      <w:proofErr w:type="gramEnd"/>
      <w:r w:rsidRPr="00925F26">
        <w:rPr>
          <w:color w:val="000000" w:themeColor="text1"/>
          <w:sz w:val="16"/>
          <w:szCs w:val="16"/>
        </w:rPr>
        <w:t xml:space="preserve"> Система была принята на воору</w:t>
      </w:r>
      <w:r w:rsidRPr="00925F26">
        <w:rPr>
          <w:color w:val="000000" w:themeColor="text1"/>
          <w:sz w:val="16"/>
          <w:szCs w:val="16"/>
        </w:rPr>
        <w:softHyphen/>
        <w:t>жение приказом НК ВМФ №0387 от 17.07.1945.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w:t>
      </w:r>
      <w:r w:rsidRPr="00925F26">
        <w:rPr>
          <w:color w:val="000000" w:themeColor="text1"/>
          <w:sz w:val="16"/>
          <w:szCs w:val="16"/>
        </w:rPr>
        <w:softHyphen/>
        <w:t>циальной деревянной наделки на носовую часть торпеды удалось довести скорость сбрасывания до 400 км/ч, а высоту - до 100 м (23464).</w:t>
      </w:r>
    </w:p>
    <w:p w14:paraId="77E40538" w14:textId="77777777" w:rsidR="00317A72" w:rsidRPr="00925F26" w:rsidRDefault="00317A72" w:rsidP="00925F26">
      <w:pPr>
        <w:jc w:val="both"/>
        <w:rPr>
          <w:color w:val="000000" w:themeColor="text1"/>
          <w:sz w:val="16"/>
          <w:szCs w:val="16"/>
        </w:rPr>
      </w:pPr>
    </w:p>
    <w:p w14:paraId="3D1554F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6692D91" w14:textId="77777777" w:rsidR="00665165" w:rsidRPr="00925F26" w:rsidRDefault="00665165" w:rsidP="00925F26">
      <w:pPr>
        <w:autoSpaceDE w:val="0"/>
        <w:autoSpaceDN w:val="0"/>
        <w:adjustRightInd w:val="0"/>
        <w:jc w:val="both"/>
        <w:rPr>
          <w:iCs/>
          <w:color w:val="000000" w:themeColor="text1"/>
          <w:sz w:val="16"/>
          <w:szCs w:val="16"/>
        </w:rPr>
      </w:pPr>
    </w:p>
    <w:p w14:paraId="3C0609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7515 О мероприятиях по обеспечению мазутом заводов Наркомтанкопрома в феврале 1945 г. РГАНИР, Фонд ГКО, д. 370, лл. 83-86 (11012).</w:t>
      </w:r>
    </w:p>
    <w:p w14:paraId="4EA5E263" w14:textId="77777777" w:rsidR="00665165" w:rsidRPr="00925F26" w:rsidRDefault="00665165" w:rsidP="00925F26">
      <w:pPr>
        <w:autoSpaceDE w:val="0"/>
        <w:autoSpaceDN w:val="0"/>
        <w:adjustRightInd w:val="0"/>
        <w:jc w:val="both"/>
        <w:rPr>
          <w:color w:val="000000" w:themeColor="text1"/>
          <w:sz w:val="16"/>
          <w:szCs w:val="16"/>
        </w:rPr>
      </w:pPr>
    </w:p>
    <w:p w14:paraId="4CEAC6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Распоряжение ГКО № 7516. О срочной поставке топлива казанским электростанциям. РГАНИР, Фонд ГКО, д. 370, лл. 87 (11012).</w:t>
      </w:r>
    </w:p>
    <w:p w14:paraId="65D6DACF" w14:textId="77777777" w:rsidR="00665165" w:rsidRPr="00925F26" w:rsidRDefault="00665165" w:rsidP="00925F26">
      <w:pPr>
        <w:autoSpaceDE w:val="0"/>
        <w:autoSpaceDN w:val="0"/>
        <w:adjustRightInd w:val="0"/>
        <w:jc w:val="both"/>
        <w:rPr>
          <w:color w:val="000000" w:themeColor="text1"/>
          <w:sz w:val="16"/>
          <w:szCs w:val="16"/>
        </w:rPr>
      </w:pPr>
    </w:p>
    <w:p w14:paraId="7E9520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7517 О мероприятиях по обеспечению донецким углем Днепродзержинской ГРЭС. РГАНИР, Фонд ГКО, д. 370, лл. 88-89 (11012).</w:t>
      </w:r>
    </w:p>
    <w:p w14:paraId="39FD4450" w14:textId="77777777" w:rsidR="00665165" w:rsidRPr="00925F26" w:rsidRDefault="00665165" w:rsidP="00925F26">
      <w:pPr>
        <w:autoSpaceDE w:val="0"/>
        <w:autoSpaceDN w:val="0"/>
        <w:adjustRightInd w:val="0"/>
        <w:jc w:val="both"/>
        <w:rPr>
          <w:color w:val="000000" w:themeColor="text1"/>
          <w:sz w:val="16"/>
          <w:szCs w:val="16"/>
        </w:rPr>
      </w:pPr>
    </w:p>
    <w:p w14:paraId="44327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7519 О мероприятиях по обеспечению углем Орской ТЭЦ. РГАНИР, Фонд ГКО, д. 370, лл. 93-95 (11012).</w:t>
      </w:r>
    </w:p>
    <w:p w14:paraId="5E92396C" w14:textId="77777777" w:rsidR="00665165" w:rsidRPr="00925F26" w:rsidRDefault="00665165" w:rsidP="00925F26">
      <w:pPr>
        <w:autoSpaceDE w:val="0"/>
        <w:autoSpaceDN w:val="0"/>
        <w:adjustRightInd w:val="0"/>
        <w:jc w:val="both"/>
        <w:rPr>
          <w:color w:val="000000" w:themeColor="text1"/>
          <w:sz w:val="16"/>
          <w:szCs w:val="16"/>
        </w:rPr>
      </w:pPr>
    </w:p>
    <w:p w14:paraId="2AB1C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7520 О вывозе трофейного сахара на территорию СССР. РГАНИР, Фонд ГКО, д. 370, лл. 96-97, 98-100 (11012).</w:t>
      </w:r>
    </w:p>
    <w:p w14:paraId="0042EBAA" w14:textId="77777777" w:rsidR="00665165" w:rsidRPr="00925F26" w:rsidRDefault="00665165" w:rsidP="00925F26">
      <w:pPr>
        <w:autoSpaceDE w:val="0"/>
        <w:autoSpaceDN w:val="0"/>
        <w:adjustRightInd w:val="0"/>
        <w:jc w:val="both"/>
        <w:rPr>
          <w:color w:val="000000" w:themeColor="text1"/>
          <w:sz w:val="16"/>
          <w:szCs w:val="16"/>
        </w:rPr>
      </w:pPr>
    </w:p>
    <w:p w14:paraId="225788A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7521 О неотложных мерах по подготовке Ленинградского торгового порта к навигации 1945 г. (7308, 101-105,106-108).</w:t>
      </w:r>
    </w:p>
    <w:p w14:paraId="1321B1A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EAA279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февраля 1945 вышло Распоряжение ГКО № 7522 [Об изготовлении и поставке электровозов для Криворожского железорудного бассейна.] (7308, 109).</w:t>
      </w:r>
    </w:p>
    <w:p w14:paraId="30BEB63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60F8F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7523 О мерах помощи комбинату "Севкавполиметалл" Наркомцветмета. (7308, 110-112,113-116).</w:t>
      </w:r>
    </w:p>
    <w:p w14:paraId="663C73F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839F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7524 О мероприятиях по обеспечению топливом электростанций Кировэнерго Наркомэлектростанций в I полугодии 1945 года. РГАНИР, Фонд ГКО, д. 370, лл. 117-120, 121-123 (11012).</w:t>
      </w:r>
    </w:p>
    <w:p w14:paraId="2326F40F" w14:textId="77777777" w:rsidR="00665165" w:rsidRPr="00925F26" w:rsidRDefault="00665165" w:rsidP="00925F26">
      <w:pPr>
        <w:autoSpaceDE w:val="0"/>
        <w:autoSpaceDN w:val="0"/>
        <w:adjustRightInd w:val="0"/>
        <w:jc w:val="both"/>
        <w:rPr>
          <w:color w:val="000000" w:themeColor="text1"/>
          <w:sz w:val="16"/>
          <w:szCs w:val="16"/>
        </w:rPr>
      </w:pPr>
    </w:p>
    <w:p w14:paraId="286D9D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Распоряжение ГКО № 7525. О мерах по обеспечению предприятий НКЧМ строительными материалами. РГАНИР, Фонд ГКО, д. 370, лл. 124, 125-127 (11012).</w:t>
      </w:r>
    </w:p>
    <w:p w14:paraId="1040C864" w14:textId="77777777" w:rsidR="00665165" w:rsidRPr="00925F26" w:rsidRDefault="00665165" w:rsidP="00925F26">
      <w:pPr>
        <w:autoSpaceDE w:val="0"/>
        <w:autoSpaceDN w:val="0"/>
        <w:adjustRightInd w:val="0"/>
        <w:jc w:val="both"/>
        <w:rPr>
          <w:color w:val="000000" w:themeColor="text1"/>
          <w:sz w:val="16"/>
          <w:szCs w:val="16"/>
        </w:rPr>
      </w:pPr>
    </w:p>
    <w:p w14:paraId="20546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7526 О восстановлении Кегумской гидроэлектростанции в Латвийской ССР. РГАНИР, Фонд ГКО, д. 370, лл. 128-129, 130-134 (11012).</w:t>
      </w:r>
    </w:p>
    <w:p w14:paraId="61CCE812" w14:textId="77777777" w:rsidR="00665165" w:rsidRPr="00925F26" w:rsidRDefault="00665165" w:rsidP="00925F26">
      <w:pPr>
        <w:autoSpaceDE w:val="0"/>
        <w:autoSpaceDN w:val="0"/>
        <w:adjustRightInd w:val="0"/>
        <w:jc w:val="both"/>
        <w:rPr>
          <w:color w:val="000000" w:themeColor="text1"/>
          <w:sz w:val="16"/>
          <w:szCs w:val="16"/>
        </w:rPr>
      </w:pPr>
    </w:p>
    <w:p w14:paraId="0CEFE9A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AE3BA2E" w14:textId="77777777" w:rsidR="00665165" w:rsidRPr="00925F26" w:rsidRDefault="00665165" w:rsidP="00925F26">
      <w:pPr>
        <w:autoSpaceDE w:val="0"/>
        <w:autoSpaceDN w:val="0"/>
        <w:adjustRightInd w:val="0"/>
        <w:jc w:val="both"/>
        <w:rPr>
          <w:iCs/>
          <w:color w:val="000000" w:themeColor="text1"/>
          <w:sz w:val="16"/>
          <w:szCs w:val="16"/>
        </w:rPr>
      </w:pPr>
    </w:p>
    <w:p w14:paraId="3D6A62FC" w14:textId="77777777" w:rsidR="00DB43FF" w:rsidRPr="00925F26" w:rsidRDefault="00DB43FF" w:rsidP="00925F26">
      <w:pPr>
        <w:jc w:val="both"/>
        <w:rPr>
          <w:color w:val="000000" w:themeColor="text1"/>
          <w:sz w:val="16"/>
          <w:szCs w:val="16"/>
        </w:rPr>
      </w:pPr>
      <w:r w:rsidRPr="00925F26">
        <w:rPr>
          <w:bCs/>
          <w:color w:val="000000" w:themeColor="text1"/>
          <w:sz w:val="16"/>
          <w:szCs w:val="16"/>
        </w:rPr>
        <w:t>10 февраля</w:t>
      </w:r>
      <w:r w:rsidRPr="00925F26">
        <w:rPr>
          <w:color w:val="000000" w:themeColor="text1"/>
          <w:sz w:val="16"/>
          <w:szCs w:val="16"/>
        </w:rPr>
        <w:t xml:space="preserve"> в 1945 году оперативная сводка Совинформбюро:</w:t>
      </w:r>
    </w:p>
    <w:p w14:paraId="35642328"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3-го Белорусского фронта, продолжая наступление, 10 февраля с боем овладели городом Прейсиш Айлау — важным узлом коммуникаций и сильным опорным пунктом обороны немцев в Восточной Пруссии, а также с боями заняли более 30 других населённых пунктов и среди них Глобунен, Тифенталь, Коршеллен, Ваккерн, Родиттен, Шевекен, Топпринен, Галенен.</w:t>
      </w:r>
    </w:p>
    <w:p w14:paraId="5DA5858E"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2-го Белорусского фронта, сломив сопротивление окружённой группировки противника, 10 февраля штурмом овладели городом Эльбинг — крупным узлом коммуникаций и мощным опорным пунктом обороны немцев на правом берегу Вислы, прикрывающим подступы к Данцигской бухте. За 8 и 9 февраля войсками фронта взято в плен свыше 4.300 немецких солдат и офицеров.</w:t>
      </w:r>
    </w:p>
    <w:p w14:paraId="32017220" w14:textId="77777777" w:rsidR="00DB43FF" w:rsidRPr="00925F26" w:rsidRDefault="00DB43FF" w:rsidP="00925F26">
      <w:pPr>
        <w:jc w:val="both"/>
        <w:rPr>
          <w:color w:val="000000" w:themeColor="text1"/>
          <w:sz w:val="16"/>
          <w:szCs w:val="16"/>
        </w:rPr>
      </w:pPr>
      <w:r w:rsidRPr="00925F26">
        <w:rPr>
          <w:color w:val="000000" w:themeColor="text1"/>
          <w:sz w:val="16"/>
          <w:szCs w:val="16"/>
        </w:rPr>
        <w:t>Севернее и северо-западнее города Шнайдемюль наши войска с боями заняли более 40 населённых пунктов, в том числе крупные населённые пункты Кнакзее, Гросс Борн, Редеритц, Хофштедт, Хансфельде, Эккартсберге, Клаусдорф, Штранц, Клайн Накель, Марте, Денцих.</w:t>
      </w:r>
    </w:p>
    <w:p w14:paraId="7C8411C9" w14:textId="77777777" w:rsidR="00DB43FF" w:rsidRPr="00925F26" w:rsidRDefault="00DB43FF" w:rsidP="00925F26">
      <w:pPr>
        <w:jc w:val="both"/>
        <w:rPr>
          <w:color w:val="000000" w:themeColor="text1"/>
          <w:sz w:val="16"/>
          <w:szCs w:val="16"/>
        </w:rPr>
      </w:pPr>
      <w:r w:rsidRPr="00925F26">
        <w:rPr>
          <w:color w:val="000000" w:themeColor="text1"/>
          <w:sz w:val="16"/>
          <w:szCs w:val="16"/>
        </w:rPr>
        <w:t>В Шнайдемюле и Познани продолжались бои по уничтожению окружённых гарнизонов противника.</w:t>
      </w:r>
    </w:p>
    <w:p w14:paraId="71AB35E4" w14:textId="77777777" w:rsidR="00DB43FF" w:rsidRPr="00925F26" w:rsidRDefault="00DB43FF" w:rsidP="00925F26">
      <w:pPr>
        <w:jc w:val="both"/>
        <w:rPr>
          <w:color w:val="000000" w:themeColor="text1"/>
          <w:sz w:val="16"/>
          <w:szCs w:val="16"/>
        </w:rPr>
      </w:pPr>
      <w:r w:rsidRPr="00925F26">
        <w:rPr>
          <w:color w:val="000000" w:themeColor="text1"/>
          <w:sz w:val="16"/>
          <w:szCs w:val="16"/>
        </w:rPr>
        <w:t>В западной части Будапешта (Буда) наши войска, продолжая бои по уничтожению гарнизона противника, заняли несколько кварталов. За 9 февраля в этом районе взято в плен более 1.300 солдат и офицеров противника.</w:t>
      </w:r>
    </w:p>
    <w:p w14:paraId="503F5EFE" w14:textId="77777777" w:rsidR="00DB43FF" w:rsidRPr="00925F26" w:rsidRDefault="00DB43FF" w:rsidP="00925F26">
      <w:pPr>
        <w:jc w:val="both"/>
        <w:rPr>
          <w:color w:val="000000" w:themeColor="text1"/>
          <w:sz w:val="16"/>
          <w:szCs w:val="16"/>
        </w:rPr>
      </w:pPr>
      <w:r w:rsidRPr="00925F26">
        <w:rPr>
          <w:color w:val="000000" w:themeColor="text1"/>
          <w:sz w:val="16"/>
          <w:szCs w:val="16"/>
        </w:rPr>
        <w:t>За 9 февраля на всех фронтах подбито и уничтожено 110 немецких танков. В воздушных боях и огнём зенитной артиллерии сбито 70 самолётов противника.</w:t>
      </w:r>
    </w:p>
    <w:p w14:paraId="2A2C1728"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3-го Белорусского фронта, продолжая наступление, вышли на подступы к городу Прейсиш Айлау, являющемуся центром укреплённого района Восточной Пруссии. Этот район состоял из большого числа четырех амбразурных железобетонных дотов, прикрытых проволочными заграждениями и минными полями. Советские войска сломили упорное сопротивление немцев и в результате ожесточённого боя овладели городом Прейсиш Айлау — узлом трёх железных и шести шоссейных дорог. По предварительным данным, уничтожено до 4 тысяч гитлеровцев. Сожжено и подбито 20 немецких танков. Захвачено 6 танков, 32 орудия и большие склады боеприпасов.</w:t>
      </w:r>
    </w:p>
    <w:p w14:paraId="78812E0C" w14:textId="77777777" w:rsidR="00DB43FF" w:rsidRPr="00925F26" w:rsidRDefault="00DB43FF" w:rsidP="00925F26">
      <w:pPr>
        <w:jc w:val="both"/>
        <w:rPr>
          <w:color w:val="000000" w:themeColor="text1"/>
          <w:sz w:val="16"/>
          <w:szCs w:val="16"/>
        </w:rPr>
      </w:pPr>
      <w:r w:rsidRPr="00925F26">
        <w:rPr>
          <w:color w:val="000000" w:themeColor="text1"/>
          <w:sz w:val="16"/>
          <w:szCs w:val="16"/>
        </w:rPr>
        <w:t>Экипаж самоходного орудия офицера Алёхина в бою уничтожил 2 немецкие пушки и 3 автомашины. Орудийный расчёт старшего сержанта Каримова вместе с группой пехотинцев проник в тыл противника. Артиллеристы уничтожили танк, 2 бронетранспортёра и группу гитлеровцев. Миномётный расчёт сержанта Гаврильченко разбил дом, превращенный немцами в дот. Все гитлеровцы, находившиеся в нём, уничтожены. Миномётчик старший сержант Гаврилов, отражая вражескую контратаку, уничтожил 18 немцев.</w:t>
      </w:r>
    </w:p>
    <w:p w14:paraId="0ED07E5E" w14:textId="77777777" w:rsidR="00DB43FF" w:rsidRPr="00925F26" w:rsidRDefault="00DB43FF" w:rsidP="00925F26">
      <w:pPr>
        <w:jc w:val="both"/>
        <w:rPr>
          <w:color w:val="000000" w:themeColor="text1"/>
          <w:sz w:val="16"/>
          <w:szCs w:val="16"/>
        </w:rPr>
      </w:pPr>
      <w:r w:rsidRPr="00925F26">
        <w:rPr>
          <w:color w:val="000000" w:themeColor="text1"/>
          <w:sz w:val="16"/>
          <w:szCs w:val="16"/>
        </w:rPr>
        <w:t xml:space="preserve">Войска 2-го Белорусского фронта сегодня утром овладели городом Эльбинг. Противник придавал огромное значение этому городу и сосредоточил для его обороны крупные силы пехоты, танков, а также морские, сапёрные и другие части. Когда наши войска в результате обходного манёвра окружили Эльбинг, немецкое командование отдало своим войскам приказ пробиться к городу, «не обращая никакого внимания на потери». Пытаясь выполнить этот приказ, немцы понесли колоссальные потери, но так и не смогли прорвать несокрушимый заслон советских войск. Тем временем наши пехотные и танковые части, окружившие Эльбинг, предприняли штурм города. После мощного огневого налёта на вражеские укрепления советские бойцы овладели железнодорожной станцией, являвшейся базой </w:t>
      </w:r>
      <w:r w:rsidRPr="00925F26">
        <w:rPr>
          <w:color w:val="000000" w:themeColor="text1"/>
          <w:sz w:val="16"/>
          <w:szCs w:val="16"/>
        </w:rPr>
        <w:lastRenderedPageBreak/>
        <w:t>снабжения, гитлеровцев. Развивая успех, наши войска прорвались в центр города, разгромили вражескую группировку и сегодня полностью овладели городом. В боях за Эльбинг уничтожено несколько тысяч немецких солдат и офицеров. Захвачено большое количество вооружения, складов, вагонов и паровозов.</w:t>
      </w:r>
    </w:p>
    <w:p w14:paraId="6F8CA74D" w14:textId="77777777" w:rsidR="00DB43FF" w:rsidRPr="00925F26" w:rsidRDefault="00DB43FF" w:rsidP="00925F26">
      <w:pPr>
        <w:jc w:val="both"/>
        <w:rPr>
          <w:color w:val="000000" w:themeColor="text1"/>
          <w:sz w:val="16"/>
          <w:szCs w:val="16"/>
        </w:rPr>
      </w:pPr>
      <w:r w:rsidRPr="00925F26">
        <w:rPr>
          <w:color w:val="000000" w:themeColor="text1"/>
          <w:sz w:val="16"/>
          <w:szCs w:val="16"/>
        </w:rPr>
        <w:t>Эльбинт является вторым по величине городом Восточной Пруссии. В нём сосредоточен ряд важных предприятий. Заводы Шихау производили локомотивы, судовые моторы и подводные лодки. До войны эти заводы выпускали 6 подводных лодок в месяц. В Эльбинге имеются также верфи для постройки торпедных катеров и другие предприятия.</w:t>
      </w:r>
    </w:p>
    <w:p w14:paraId="01FB15EF" w14:textId="77777777" w:rsidR="00DB43FF" w:rsidRPr="00925F26" w:rsidRDefault="00DB43FF" w:rsidP="00925F26">
      <w:pPr>
        <w:jc w:val="both"/>
        <w:rPr>
          <w:color w:val="000000" w:themeColor="text1"/>
          <w:sz w:val="16"/>
          <w:szCs w:val="16"/>
        </w:rPr>
      </w:pPr>
      <w:r w:rsidRPr="00925F26">
        <w:rPr>
          <w:color w:val="000000" w:themeColor="text1"/>
          <w:sz w:val="16"/>
          <w:szCs w:val="16"/>
        </w:rPr>
        <w:t>Севернее и северо-западнее города Шнайдемюль наши войска выбили немцев из населённого пункта Кнакзее, находящегося в 16 километрах от важного узла, железных дорог города Нойштеттин. На другом участке советские пехотинцы, преодолевая упорное сопротивление противника, овладели селением Клаусдорф, расположенным в 4 километрах севернее города Дейч-Кроне, и опорным пунктом Штранц, находящимся в 5 километрах юго-западнее Дейч-Кроне. Таким образом, группировка противника, обороняющая город Дойч-Кроне, зажата нашими войсками с трёх сторон. В распоряжении немцев осталась одна шоссейная дорога, которая находится под артиллерийским обстрелом. За день боёв сожжено и подбито 40 немецких танков и самоходных орудий. Захвачено 8 железнодорожных эшелонов с военным имуществом. Взято в плен до 600 немцев.</w:t>
      </w:r>
    </w:p>
    <w:p w14:paraId="1885271A" w14:textId="77777777" w:rsidR="00DB43FF" w:rsidRPr="00925F26" w:rsidRDefault="00DB43FF" w:rsidP="00925F26">
      <w:pPr>
        <w:jc w:val="both"/>
        <w:rPr>
          <w:color w:val="000000" w:themeColor="text1"/>
          <w:sz w:val="16"/>
          <w:szCs w:val="16"/>
        </w:rPr>
      </w:pPr>
      <w:r w:rsidRPr="00925F26">
        <w:rPr>
          <w:color w:val="000000" w:themeColor="text1"/>
          <w:sz w:val="16"/>
          <w:szCs w:val="16"/>
        </w:rPr>
        <w:t>В западной части Будапешта наши гвардейские подразделения очистили от гитлеровцев военный и общедоступный госпиталь № 3 и, продвигаясь вперед, преодолели укреплённый участок железнодорожной линии. Другие наши части овладели заводом и выбили противника из железнодорожного тоннеля. Таким образом, наши войска на значительном участке прорвали оборонительный рубеж, построенный немцами по кольцевой магистрали. На месте боёв осталось много трупов вражеских солдат и офицеров. Захвачено у немцев 37 орудий, 260 автомашин, 3 паровоза, 790 железнодорожных вагонов и другие трофеи. Взято свыше 1.300 пленных, среди которых интендант 1-го венгерского армейского корпуса полковник Регал Густав, начальник административной службы корпуса полковник Лобон Лайош и другие офицеры.</w:t>
      </w:r>
    </w:p>
    <w:p w14:paraId="4739C98B" w14:textId="77777777" w:rsidR="00DB43FF" w:rsidRPr="00925F26" w:rsidRDefault="00DB43FF" w:rsidP="00925F26">
      <w:pPr>
        <w:jc w:val="both"/>
        <w:rPr>
          <w:color w:val="000000" w:themeColor="text1"/>
          <w:sz w:val="16"/>
          <w:szCs w:val="16"/>
        </w:rPr>
      </w:pPr>
      <w:r w:rsidRPr="00925F26">
        <w:rPr>
          <w:color w:val="000000" w:themeColor="text1"/>
          <w:sz w:val="16"/>
          <w:szCs w:val="16"/>
        </w:rPr>
        <w:t>Пленный унтер-офицер 25-й немецкой танковой дивизии Гейнц Киршайс рассказал: «Наша дивизия была окружена советскими войсками. Бой в окружении длился около шести часов. Мы потеряли более 90 танков и бронетранспортёров. Мой танк был подбит, и я с экипажем пытался лесами пробраться на запад. Целую ночь мы безостановочно шли. На утро, когда нам казалось, что мы уже выбрались из окружения, нас заметили русские пехотинцы. В плену я встретил многих сослуживцев. От них я узнал, что 25-я дивизия полностью разгромлена и уничтожена» (15036).</w:t>
      </w:r>
    </w:p>
    <w:p w14:paraId="0EF5B3B7" w14:textId="77777777" w:rsidR="00DB43FF" w:rsidRPr="00925F26" w:rsidRDefault="00DB43FF" w:rsidP="00925F26">
      <w:pPr>
        <w:jc w:val="both"/>
        <w:rPr>
          <w:color w:val="000000" w:themeColor="text1"/>
          <w:sz w:val="16"/>
          <w:szCs w:val="16"/>
        </w:rPr>
      </w:pPr>
    </w:p>
    <w:p w14:paraId="02FC1B45" w14:textId="77777777" w:rsidR="00DB43FF" w:rsidRPr="00925F26" w:rsidRDefault="00DB43FF" w:rsidP="00925F26">
      <w:pPr>
        <w:jc w:val="both"/>
        <w:rPr>
          <w:bCs/>
          <w:color w:val="000000" w:themeColor="text1"/>
          <w:sz w:val="16"/>
          <w:szCs w:val="16"/>
        </w:rPr>
      </w:pPr>
      <w:r w:rsidRPr="00925F26">
        <w:rPr>
          <w:bCs/>
          <w:color w:val="000000" w:themeColor="text1"/>
          <w:sz w:val="16"/>
          <w:szCs w:val="16"/>
        </w:rPr>
        <w:t>10 февраля</w:t>
      </w:r>
      <w:r w:rsidRPr="00925F26">
        <w:rPr>
          <w:color w:val="000000" w:themeColor="text1"/>
          <w:sz w:val="16"/>
          <w:szCs w:val="16"/>
        </w:rPr>
        <w:t xml:space="preserve"> в 1945 году началась Восточно-Померанская наступательная операция войск 1-го и 2-го Белорусских фронтов (командующие маршал Г.К.Жуков и маршал К.К.Рокоссовский). В результате операции, завершившейся 4 апреля, была разгромлена немецко-фашистская группа армий "Висла". Советские войска вышли к побережью Балтийского моря</w:t>
      </w:r>
    </w:p>
    <w:p w14:paraId="1CAEEADA" w14:textId="77777777" w:rsidR="00DB43FF" w:rsidRPr="00925F26" w:rsidRDefault="00DB43FF" w:rsidP="00925F26">
      <w:pPr>
        <w:jc w:val="both"/>
        <w:rPr>
          <w:bCs/>
          <w:color w:val="000000" w:themeColor="text1"/>
          <w:sz w:val="16"/>
          <w:szCs w:val="16"/>
        </w:rPr>
      </w:pPr>
    </w:p>
    <w:p w14:paraId="7D747D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 февраля по 4 апреля 1945 состоялась Восточно-Померанская операция. Разгромили 15 дивизий и 6 бригад, выйдя к Балтике (2438,152). Участвовали 1БФ (Г.К.Ж.) и 2БФ (К.К.Рокосовский) - разгромили группу армий Висла (ком. Г.Гимлер) и вышли к побережью БМ (3398,69).</w:t>
      </w:r>
    </w:p>
    <w:p w14:paraId="78F79D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на поддержку и прикрытие сухопутных войск ВВС флота выделяли от 20 до 35% самолетовылетов (518,183).</w:t>
      </w:r>
    </w:p>
    <w:p w14:paraId="4E6BEA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1D1108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Западно-Померанской операции из-за того, что действия проходили в приморских районах с неустойчивой погодой </w:t>
      </w:r>
      <w:proofErr w:type="gramStart"/>
      <w:r w:rsidRPr="00925F26">
        <w:rPr>
          <w:color w:val="000000" w:themeColor="text1"/>
          <w:sz w:val="16"/>
          <w:szCs w:val="16"/>
        </w:rPr>
        <w:t>4ВА</w:t>
      </w:r>
      <w:proofErr w:type="gramEnd"/>
      <w:r w:rsidRPr="00925F26">
        <w:rPr>
          <w:color w:val="000000" w:themeColor="text1"/>
          <w:sz w:val="16"/>
          <w:szCs w:val="16"/>
        </w:rPr>
        <w:t xml:space="preserve"> составила план боевых действий авиации в 3-х вариантах в зависимости от метеоусловий. В хорошую погоду д.б. летать эскадрильями и полковыми группами, в сложных - группами по 4-6 машин, в плохую погоду - парами или одиночными самолетами (518,117).</w:t>
      </w:r>
    </w:p>
    <w:p w14:paraId="318B4616" w14:textId="77777777" w:rsidR="00665165" w:rsidRPr="00925F26" w:rsidRDefault="00665165" w:rsidP="00925F26">
      <w:pPr>
        <w:autoSpaceDE w:val="0"/>
        <w:autoSpaceDN w:val="0"/>
        <w:adjustRightInd w:val="0"/>
        <w:jc w:val="both"/>
        <w:rPr>
          <w:color w:val="000000" w:themeColor="text1"/>
          <w:sz w:val="16"/>
          <w:szCs w:val="16"/>
        </w:rPr>
      </w:pPr>
    </w:p>
    <w:p w14:paraId="470C9AE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10, 1945: In the East, the attack by 2nd Belorussian Front (Rokossovsky) against the Pommernstellung is blocked by the German defenders. In Silesia, Liegnitz is captured by the 1st Ukrainian Front (Konev). In Hungary, the remnants of the defenders of Budapest give up and surrender (3819).</w:t>
      </w:r>
    </w:p>
    <w:p w14:paraId="499E57E5" w14:textId="77777777" w:rsidR="00665165" w:rsidRPr="00925F26" w:rsidRDefault="00665165" w:rsidP="00925F26">
      <w:pPr>
        <w:autoSpaceDE w:val="0"/>
        <w:autoSpaceDN w:val="0"/>
        <w:adjustRightInd w:val="0"/>
        <w:jc w:val="both"/>
        <w:rPr>
          <w:color w:val="000000" w:themeColor="text1"/>
          <w:sz w:val="16"/>
          <w:szCs w:val="16"/>
          <w:lang w:val="en-US"/>
        </w:rPr>
      </w:pPr>
    </w:p>
    <w:p w14:paraId="5A9EC1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наступление 2БФ (Рокосовский) было остановлено. 1УФ (Конев) занял Лейгниц в Силезии. В Венгрии сдались последние защитники Будапешта (3819).</w:t>
      </w:r>
    </w:p>
    <w:p w14:paraId="177EF9D3" w14:textId="77777777" w:rsidR="00665165" w:rsidRPr="00925F26" w:rsidRDefault="00665165" w:rsidP="00925F26">
      <w:pPr>
        <w:autoSpaceDE w:val="0"/>
        <w:autoSpaceDN w:val="0"/>
        <w:adjustRightInd w:val="0"/>
        <w:jc w:val="both"/>
        <w:rPr>
          <w:color w:val="000000" w:themeColor="text1"/>
          <w:sz w:val="16"/>
          <w:szCs w:val="16"/>
        </w:rPr>
      </w:pPr>
    </w:p>
    <w:p w14:paraId="7D42C7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 февраля 1945 г. штаб ВВС РОА перебрался из Карлсбада в Марианске Лазне (4538).</w:t>
      </w:r>
    </w:p>
    <w:p w14:paraId="05E3CE68" w14:textId="77777777" w:rsidR="00665165" w:rsidRPr="00925F26" w:rsidRDefault="00665165" w:rsidP="00925F26">
      <w:pPr>
        <w:autoSpaceDE w:val="0"/>
        <w:autoSpaceDN w:val="0"/>
        <w:adjustRightInd w:val="0"/>
        <w:jc w:val="both"/>
        <w:rPr>
          <w:color w:val="000000" w:themeColor="text1"/>
          <w:sz w:val="16"/>
          <w:szCs w:val="16"/>
        </w:rPr>
      </w:pPr>
    </w:p>
    <w:p w14:paraId="0F7216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лодка С-13 торпедировала и потопила военный транспорт "Генерал фон Штойбен" с 3 тыс. немецких военнослужащих. По суммарному тоннажу потопленных судов (47 тыс. тонн) подводной лодке С-13 принадлежит первое место в советском ВМФ (9873).</w:t>
      </w:r>
    </w:p>
    <w:p w14:paraId="26D887A7" w14:textId="77777777" w:rsidR="00665165" w:rsidRPr="00925F26" w:rsidRDefault="00665165" w:rsidP="00925F26">
      <w:pPr>
        <w:autoSpaceDE w:val="0"/>
        <w:autoSpaceDN w:val="0"/>
        <w:adjustRightInd w:val="0"/>
        <w:jc w:val="both"/>
        <w:rPr>
          <w:color w:val="000000" w:themeColor="text1"/>
          <w:sz w:val="16"/>
          <w:szCs w:val="16"/>
        </w:rPr>
      </w:pPr>
    </w:p>
    <w:p w14:paraId="5BD8D6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С-13 А.Маринеско потопила еще один транспорт Генерал фон Штойбен водоизмещением 14660 т и из 3000 на борту спасли 300 (255,23).</w:t>
      </w:r>
    </w:p>
    <w:p w14:paraId="28A5105F" w14:textId="77777777" w:rsidR="00665165" w:rsidRPr="00925F26" w:rsidRDefault="00665165" w:rsidP="00925F26">
      <w:pPr>
        <w:autoSpaceDE w:val="0"/>
        <w:autoSpaceDN w:val="0"/>
        <w:adjustRightInd w:val="0"/>
        <w:jc w:val="both"/>
        <w:rPr>
          <w:color w:val="000000" w:themeColor="text1"/>
          <w:sz w:val="16"/>
          <w:szCs w:val="16"/>
        </w:rPr>
      </w:pPr>
    </w:p>
    <w:p w14:paraId="5F71CAC7" w14:textId="77777777" w:rsidR="00DB43FF" w:rsidRPr="00925F26" w:rsidRDefault="00DB43FF" w:rsidP="00925F26">
      <w:pPr>
        <w:jc w:val="both"/>
        <w:rPr>
          <w:color w:val="000000" w:themeColor="text1"/>
          <w:sz w:val="16"/>
          <w:szCs w:val="16"/>
        </w:rPr>
      </w:pPr>
      <w:r w:rsidRPr="00925F26">
        <w:rPr>
          <w:bCs/>
          <w:color w:val="000000" w:themeColor="text1"/>
          <w:sz w:val="16"/>
          <w:szCs w:val="16"/>
        </w:rPr>
        <w:t>10 февраля</w:t>
      </w:r>
      <w:r w:rsidRPr="00925F26">
        <w:rPr>
          <w:color w:val="000000" w:themeColor="text1"/>
          <w:sz w:val="16"/>
          <w:szCs w:val="16"/>
        </w:rPr>
        <w:t xml:space="preserve"> в 1945 году на подходе к Гданьской бухте подводной лодкой С-13 под командованием Александра Ивановича Маринеско был потоплен немецкий транспорт «Генерал фон Штойбен. 9 февраля 1945 лайнер «Штойбен» вышел из порта Пиллау (ныне Балтийск) и направился в Киль, на борту лайнера находилось более 4000 человек — 2680 раненых военнослужащих, 100 солдат, около 900 беженцев, 270 человек военного медперсонала и 285 членов экипажа судна. Судно шло в сопровождении миноносца T-196 и тральщика TF-10. Немецкий лайнер был обнаружен вечером 9 февраля советской подводной лодкой С-13 под командованием Александра Маринеско. На протяжении четырёх с половиной часов советская подлодка преследовала «Штойбен» и наконец ночью 10 февраля в 00:55 торпедировала лайнер двумя торпедами. Лайнер затонул спустя 15 минут, при этом погибло более 3600 человек (приводятся следующие числа: погибло 3608, спасено 659 человек). При торпедировании лайнера командир подводной лодки Александр Маринеско был убеждён, что перед ним не пассажирский лайнер, а военный крейсер «Эмден». О том, что это не так, Маринеско узнал после возвращения на базу в финский Турку из местных газет. До декабря 1944 года «Штойбен» совершил 18 рейсов, эвакуировав в общей сложности 26 445 раненых и 6 694 беженцев (15036).</w:t>
      </w:r>
    </w:p>
    <w:p w14:paraId="2B7D0BF6" w14:textId="77777777" w:rsidR="00DB43FF" w:rsidRPr="00925F26" w:rsidRDefault="00DB43FF" w:rsidP="00925F26">
      <w:pPr>
        <w:jc w:val="both"/>
        <w:rPr>
          <w:color w:val="000000" w:themeColor="text1"/>
          <w:sz w:val="16"/>
          <w:szCs w:val="16"/>
        </w:rPr>
      </w:pPr>
    </w:p>
    <w:p w14:paraId="7740A3C5" w14:textId="77777777" w:rsidR="00A524F6" w:rsidRPr="00925F26" w:rsidRDefault="00A524F6"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5D7C0BE" w14:textId="77777777" w:rsidR="00A524F6" w:rsidRPr="00925F26" w:rsidRDefault="00A524F6" w:rsidP="00925F26">
      <w:pPr>
        <w:autoSpaceDE w:val="0"/>
        <w:autoSpaceDN w:val="0"/>
        <w:adjustRightInd w:val="0"/>
        <w:jc w:val="both"/>
        <w:rPr>
          <w:iCs/>
          <w:color w:val="000000" w:themeColor="text1"/>
          <w:sz w:val="16"/>
          <w:szCs w:val="16"/>
        </w:rPr>
      </w:pPr>
    </w:p>
    <w:p w14:paraId="4109FC62" w14:textId="77777777" w:rsidR="00A524F6" w:rsidRPr="00925F26" w:rsidRDefault="00A524F6" w:rsidP="00925F26">
      <w:pPr>
        <w:jc w:val="both"/>
        <w:rPr>
          <w:color w:val="000000" w:themeColor="text1"/>
          <w:sz w:val="16"/>
          <w:szCs w:val="16"/>
        </w:rPr>
      </w:pPr>
      <w:r w:rsidRPr="00925F26">
        <w:rPr>
          <w:color w:val="000000" w:themeColor="text1"/>
          <w:sz w:val="16"/>
          <w:szCs w:val="16"/>
        </w:rPr>
        <w:t>10 февраля 1945. Из записки заведующего оргинструкторским отделом МГК ВКП(б) Федотова в ЦК ВКП(б): "Многие спрашивают, что раньше религия считалась опиумом народа. Остается ли это положение в силе на будущее" Поскольку создан комитет по делам православной русской церкви и поместный собор, будут ли после этого внесены изменения в Конституцию СССР" Если в печати, даже в газете "Правда" стали широко популяризировать материалы поместного собора, то не последует ли за этим изменение в программе нашей партии об отношении к религии" Будут ли издаваться произведения Маркса, Энгельса, Ленина, Сталина, направленные против религии" Не является ли такое резко выраженное сочувственное отношение к духовенству со стороны.наше-го правительства результатом нажима союзников" Можно ли вести сейчас антирелигиозную пропаганду (18688)"</w:t>
      </w:r>
    </w:p>
    <w:p w14:paraId="372420C1" w14:textId="77777777" w:rsidR="00A524F6" w:rsidRPr="00925F26" w:rsidRDefault="00A524F6" w:rsidP="00925F26">
      <w:pPr>
        <w:jc w:val="both"/>
        <w:rPr>
          <w:color w:val="000000" w:themeColor="text1"/>
          <w:sz w:val="16"/>
          <w:szCs w:val="16"/>
        </w:rPr>
      </w:pPr>
    </w:p>
    <w:p w14:paraId="00096E3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4D54517" w14:textId="77777777" w:rsidR="00665165" w:rsidRPr="00925F26" w:rsidRDefault="00665165" w:rsidP="00925F26">
      <w:pPr>
        <w:autoSpaceDE w:val="0"/>
        <w:autoSpaceDN w:val="0"/>
        <w:adjustRightInd w:val="0"/>
        <w:jc w:val="both"/>
        <w:rPr>
          <w:iCs/>
          <w:color w:val="000000" w:themeColor="text1"/>
          <w:sz w:val="16"/>
          <w:szCs w:val="16"/>
        </w:rPr>
      </w:pPr>
    </w:p>
    <w:p w14:paraId="04C83D6E"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10 февраля 1945 г. в Кореизе в Юсуповском дворце состоялась встреча советского правительства с премьер-министром Великобритании Уинстоном Черчиллем и сопровождавшим его министром иностранных дел Энтони Иденом. Так, главы союзных держав договорились о следующем:</w:t>
      </w:r>
    </w:p>
    <w:p w14:paraId="10E95D54"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 Германия обязана возместить в натуре ущерб, причиненный ею в ходе войны союзным нациям.</w:t>
      </w:r>
    </w:p>
    <w:p w14:paraId="63AE21EB"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 Репарации должны получаться в первую очередь теми странами, которые вынесли главную тяжесть войны, понесли наибольшие потери и организовали победу над врагом.</w:t>
      </w:r>
    </w:p>
    <w:p w14:paraId="2A582A2E"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 Репарации должны взиматься с Германии в трех формах:</w:t>
      </w:r>
    </w:p>
    <w:p w14:paraId="1356E701"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а) единовременные изъятия в течение двух лет по капитуляции Германии или прекращении организованного сопротивления из национального богатства Германии, находящегося как на территории самой Германии, так и вне ее (оборудование, станки, суда, подвижной состав, германские вложения за границей, акции промышленных, транспортных, судоходных и других предприятий Германии и т.д.), причем эти изъятия должны быть проведены главным образом с целью уничтожения военного потенциала Германии;</w:t>
      </w:r>
    </w:p>
    <w:p w14:paraId="07E8BF00"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б) ежегодные товарные поставки из текущей продукции в течение периода, длительность которого должна быть установлена;</w:t>
      </w:r>
    </w:p>
    <w:p w14:paraId="06F407DE"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в) использование германского труда.</w:t>
      </w:r>
    </w:p>
    <w:p w14:paraId="5ADE9136"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Для выработки на основе вышеизложенных принципов подробного репарационного плана в Москве была учреждена межсоюзная комиссия по репарациям в составе представителей от СССР, США и Великобритании.</w:t>
      </w:r>
    </w:p>
    <w:p w14:paraId="27759BFC" w14:textId="77777777" w:rsidR="00DB43FF" w:rsidRPr="00925F26" w:rsidRDefault="00DB43FF" w:rsidP="00925F26">
      <w:pPr>
        <w:pStyle w:val="book"/>
        <w:ind w:firstLine="0"/>
        <w:jc w:val="both"/>
        <w:rPr>
          <w:color w:val="000000" w:themeColor="text1"/>
          <w:sz w:val="16"/>
          <w:szCs w:val="16"/>
        </w:rPr>
      </w:pPr>
      <w:r w:rsidRPr="00925F26">
        <w:rPr>
          <w:color w:val="000000" w:themeColor="text1"/>
          <w:sz w:val="16"/>
          <w:szCs w:val="16"/>
        </w:rPr>
        <w:t xml:space="preserve">В отношении определения общей суммы репараций, а также ее распределения между пострадавшими после германской агрессии странами советская и американская делегации согласились о следующем: «Московская комиссия по репарациям в первоначальной стадии своей работы примет в качестве базы для обсуждения </w:t>
      </w:r>
      <w:r w:rsidRPr="00925F26">
        <w:rPr>
          <w:color w:val="000000" w:themeColor="text1"/>
          <w:sz w:val="16"/>
          <w:szCs w:val="16"/>
        </w:rPr>
        <w:lastRenderedPageBreak/>
        <w:t>предложение Советского правительства о том, что общая сумма репараций в соответствии с пунктами "а" и "б" параграфа 2-го должна составлять 20 миллиардов долларов и что 50% этой суммы идет Советскому Союзу». Британская делегация считала, что впредь до рассмотрения вопроса о репарациях Московской комиссией по репарациям не могут быть названы никакие цифры репараций (15225).</w:t>
      </w:r>
    </w:p>
    <w:p w14:paraId="65EDE471" w14:textId="77777777" w:rsidR="00DB43FF" w:rsidRPr="00925F26" w:rsidRDefault="00DB43FF" w:rsidP="00925F26">
      <w:pPr>
        <w:pStyle w:val="book"/>
        <w:ind w:firstLine="0"/>
        <w:jc w:val="both"/>
        <w:rPr>
          <w:color w:val="000000" w:themeColor="text1"/>
          <w:sz w:val="16"/>
          <w:szCs w:val="16"/>
        </w:rPr>
      </w:pPr>
    </w:p>
    <w:p w14:paraId="7261B1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вышло Постановление ГКО № 7527 О мерах помощи Национальному комитету освобождения Югославии в реорганизации и вооружении армии. РГАНИР, Фонд ГКО, д. 370, лл. 135-140, 141-192 (11012).</w:t>
      </w:r>
    </w:p>
    <w:p w14:paraId="28DD6532" w14:textId="77777777" w:rsidR="00665165" w:rsidRPr="00925F26" w:rsidRDefault="00665165" w:rsidP="00925F26">
      <w:pPr>
        <w:autoSpaceDE w:val="0"/>
        <w:autoSpaceDN w:val="0"/>
        <w:adjustRightInd w:val="0"/>
        <w:jc w:val="both"/>
        <w:rPr>
          <w:color w:val="000000" w:themeColor="text1"/>
          <w:sz w:val="16"/>
          <w:szCs w:val="16"/>
        </w:rPr>
      </w:pPr>
    </w:p>
    <w:p w14:paraId="507FFC1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8F7D347" w14:textId="77777777" w:rsidR="00665165" w:rsidRPr="00925F26" w:rsidRDefault="00665165" w:rsidP="00925F26">
      <w:pPr>
        <w:autoSpaceDE w:val="0"/>
        <w:autoSpaceDN w:val="0"/>
        <w:adjustRightInd w:val="0"/>
        <w:jc w:val="both"/>
        <w:rPr>
          <w:iCs/>
          <w:color w:val="000000" w:themeColor="text1"/>
          <w:sz w:val="16"/>
          <w:szCs w:val="16"/>
        </w:rPr>
      </w:pPr>
    </w:p>
    <w:p w14:paraId="36713677" w14:textId="77777777" w:rsidR="00DB43FF" w:rsidRPr="00925F26" w:rsidRDefault="00DB43FF"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90 В-29 бомбили Токио (2248,2).</w:t>
      </w:r>
    </w:p>
    <w:p w14:paraId="30434DBF" w14:textId="77777777" w:rsidR="00DB43FF" w:rsidRPr="00925F26" w:rsidRDefault="00DB43FF" w:rsidP="00925F26">
      <w:pPr>
        <w:autoSpaceDE w:val="0"/>
        <w:autoSpaceDN w:val="0"/>
        <w:adjustRightInd w:val="0"/>
        <w:jc w:val="both"/>
        <w:rPr>
          <w:color w:val="000000" w:themeColor="text1"/>
          <w:sz w:val="16"/>
          <w:szCs w:val="16"/>
        </w:rPr>
      </w:pPr>
    </w:p>
    <w:p w14:paraId="210A5C0D" w14:textId="77777777" w:rsidR="00DB43FF" w:rsidRPr="00925F26" w:rsidRDefault="00DB43FF" w:rsidP="00925F26">
      <w:pPr>
        <w:jc w:val="both"/>
        <w:rPr>
          <w:color w:val="000000" w:themeColor="text1"/>
          <w:sz w:val="16"/>
          <w:szCs w:val="16"/>
        </w:rPr>
      </w:pPr>
      <w:r w:rsidRPr="00925F26">
        <w:rPr>
          <w:bCs/>
          <w:color w:val="000000" w:themeColor="text1"/>
          <w:sz w:val="16"/>
          <w:szCs w:val="16"/>
        </w:rPr>
        <w:t>10 февраля</w:t>
      </w:r>
      <w:r w:rsidRPr="00925F26">
        <w:rPr>
          <w:color w:val="000000" w:themeColor="text1"/>
          <w:sz w:val="16"/>
          <w:szCs w:val="16"/>
        </w:rPr>
        <w:t xml:space="preserve"> в 1945 году открыл свой счёт сбитых «В-29» японский пилот тяжелого ночного истребителя </w:t>
      </w:r>
      <w:hyperlink r:id="rId35" w:tgtFrame="_blank" w:history="1">
        <w:r w:rsidRPr="00925F26">
          <w:rPr>
            <w:color w:val="000000" w:themeColor="text1"/>
            <w:sz w:val="16"/>
            <w:szCs w:val="16"/>
          </w:rPr>
          <w:t xml:space="preserve">«D4Y2-S» </w:t>
        </w:r>
      </w:hyperlink>
      <w:r w:rsidRPr="00925F26">
        <w:rPr>
          <w:color w:val="000000" w:themeColor="text1"/>
          <w:sz w:val="16"/>
          <w:szCs w:val="16"/>
        </w:rPr>
        <w:t>боцман Йосимицу Нака. До конца войны сбил по японским данным пять американских бомбардировщиков «В-29» "Суперфортресс" и повредил еще четыре. Интересна установка под 30* к оси самолета 20-мм пушки "тип 99 модель 2" (15036).</w:t>
      </w:r>
    </w:p>
    <w:p w14:paraId="257A1306" w14:textId="77777777" w:rsidR="00DB43FF" w:rsidRPr="00925F26" w:rsidRDefault="00DB43FF" w:rsidP="00925F26">
      <w:pPr>
        <w:jc w:val="both"/>
        <w:rPr>
          <w:color w:val="000000" w:themeColor="text1"/>
          <w:sz w:val="16"/>
          <w:szCs w:val="16"/>
        </w:rPr>
      </w:pPr>
    </w:p>
    <w:p w14:paraId="697C3B3A" w14:textId="77777777" w:rsidR="00361C8C" w:rsidRPr="00925F26" w:rsidRDefault="00361C8C" w:rsidP="00925F26">
      <w:pPr>
        <w:jc w:val="both"/>
        <w:rPr>
          <w:color w:val="000000" w:themeColor="text1"/>
          <w:sz w:val="16"/>
          <w:szCs w:val="16"/>
        </w:rPr>
      </w:pPr>
      <w:r w:rsidRPr="00925F26">
        <w:rPr>
          <w:color w:val="000000" w:themeColor="text1"/>
          <w:sz w:val="16"/>
          <w:szCs w:val="16"/>
        </w:rPr>
        <w:t>10 февраля 1945 второй лейтенант ВВС США (USAAF) Луис Кердс на P-51D Mustang 4-й истребительной эскадрильи Bad Angel над островом Батан в проливе Формоза замечает Skytrain 39-й военно-воздушной эскадрильи USAAF C-47, приближающийся к японскому аэродрому . После того, как C-47 не отвечает на его попытку предупредить об ошибке, он стреляет по двигателям, заставляя экипаж сесть у берега, и пассажиров и экипаж пересесть на спасательные плоты. Затем он бросает им сообщение, призывающее держаться подальше от берега. Он и его ведомый возвращаются на базу, а затем возвращаются к плотам до рассвета следующего утра, чтобы прикрыть спасательные плоты, пока их не подберет летающая лодка- амфибия PBY-5A Catalina. Вернувшись на базу, он обнаруживает, что был на свидании с медсестрой, садящейся в самолет, за ночь до того, как он его сбил. Несмотря на то, что он носит американский флаг на своем P-51D, чтобы обозначить сбитый C-47, он не награжден официальной победой, но получает кластер дубовых листьев к его летному кресту и воздушную медаль за свои действия. Он становится единственным американским пилотом, сбившим немецкий, итальянский, японский и американский самолеты во время Второй мировой войны (20371).</w:t>
      </w:r>
    </w:p>
    <w:p w14:paraId="5DF9200C" w14:textId="77777777" w:rsidR="00361C8C" w:rsidRPr="00925F26" w:rsidRDefault="00361C8C" w:rsidP="00925F26">
      <w:pPr>
        <w:jc w:val="both"/>
        <w:rPr>
          <w:color w:val="000000" w:themeColor="text1"/>
          <w:sz w:val="16"/>
          <w:szCs w:val="16"/>
        </w:rPr>
      </w:pPr>
    </w:p>
    <w:p w14:paraId="394F4F7E" w14:textId="77777777" w:rsidR="00361C8C" w:rsidRPr="00925F26" w:rsidRDefault="00361C8C" w:rsidP="00925F26">
      <w:pPr>
        <w:jc w:val="both"/>
        <w:rPr>
          <w:color w:val="000000" w:themeColor="text1"/>
          <w:sz w:val="16"/>
          <w:szCs w:val="16"/>
        </w:rPr>
      </w:pPr>
      <w:r w:rsidRPr="00925F26">
        <w:rPr>
          <w:color w:val="000000" w:themeColor="text1"/>
          <w:sz w:val="16"/>
          <w:szCs w:val="16"/>
        </w:rPr>
        <w:t>10 февраля 1945 немецкие самолеты Junkers Ju 88 атакуют конвой JW 64 в Северном Ледовитом океане (29371).</w:t>
      </w:r>
    </w:p>
    <w:p w14:paraId="32A9542A" w14:textId="77777777" w:rsidR="00361C8C" w:rsidRPr="00925F26" w:rsidRDefault="00361C8C" w:rsidP="00925F26">
      <w:pPr>
        <w:jc w:val="both"/>
        <w:rPr>
          <w:color w:val="000000" w:themeColor="text1"/>
          <w:sz w:val="16"/>
          <w:szCs w:val="16"/>
        </w:rPr>
      </w:pPr>
    </w:p>
    <w:p w14:paraId="250E9C5C" w14:textId="77777777" w:rsidR="00361C8C" w:rsidRPr="00925F26" w:rsidRDefault="00361C8C" w:rsidP="00925F26">
      <w:pPr>
        <w:jc w:val="both"/>
        <w:rPr>
          <w:color w:val="000000" w:themeColor="text1"/>
          <w:sz w:val="16"/>
          <w:szCs w:val="16"/>
        </w:rPr>
      </w:pPr>
      <w:r w:rsidRPr="00925F26">
        <w:rPr>
          <w:color w:val="000000" w:themeColor="text1"/>
          <w:sz w:val="16"/>
          <w:szCs w:val="16"/>
        </w:rPr>
        <w:t>10 февраля 1945 года. Лайнер водоизмещением 14.600 тонн был поражен в ночных условиях в результате мастерской атаки двумя торпедами из кормовых аппаратов и затонул через 15 минут, унеся с собой на дно моря 3608 человек. Спаслись лишь 659 человек.</w:t>
      </w:r>
    </w:p>
    <w:p w14:paraId="3C914BBD" w14:textId="77777777" w:rsidR="00361C8C" w:rsidRPr="00925F26" w:rsidRDefault="00361C8C" w:rsidP="00925F26">
      <w:pPr>
        <w:jc w:val="both"/>
        <w:rPr>
          <w:color w:val="000000" w:themeColor="text1"/>
          <w:sz w:val="16"/>
          <w:szCs w:val="16"/>
        </w:rPr>
      </w:pPr>
      <w:r w:rsidRPr="00925F26">
        <w:rPr>
          <w:color w:val="000000" w:themeColor="text1"/>
          <w:sz w:val="16"/>
          <w:szCs w:val="16"/>
        </w:rPr>
        <w:t>По сообщению газеты "Гамбургер Абендблат", у побережья Балтики вблизи польского городка Штольп были обнаружены останки немецкого военного транспорта "Штойбен", потопленного экипажем подлодки "С-13"</w:t>
      </w:r>
    </w:p>
    <w:p w14:paraId="2D137517" w14:textId="77777777" w:rsidR="00361C8C" w:rsidRPr="00925F26" w:rsidRDefault="00361C8C" w:rsidP="00925F26">
      <w:pPr>
        <w:jc w:val="both"/>
        <w:rPr>
          <w:color w:val="000000" w:themeColor="text1"/>
          <w:sz w:val="16"/>
          <w:szCs w:val="16"/>
        </w:rPr>
      </w:pPr>
      <w:r w:rsidRPr="00925F26">
        <w:rPr>
          <w:color w:val="000000" w:themeColor="text1"/>
          <w:sz w:val="16"/>
          <w:szCs w:val="16"/>
        </w:rPr>
        <w:t>"Генерал Штойбен» - немецкий океанский лайнер. Был спущен на воду в 1922 году под названием «Мюнхен». Это был один из самых роскошных круизных океанских лайнеров в мире, имея в длину 168 метров, ширину 19,8 метров и увеличенное водоизмещение 14.660 тонн. На нем был оборудован танцевальный зал, два роскошных обеденных помещения. Каюты большей частью были оснащены ваннами или душами. Система вентиляции позволяла полностью обновлять воздух в каютах за шесть минут, а в обеденных залах - за четыре минуты. На верхней палубе находился бассейн. Так что недаром с началом Второй мировой войны "Штойбен" был переоборудован под гостиницу для высшего командного состава ВМС Германии. В августе 1944 года, когда германским адмиралам было уже не до отдыха, его превратили в транспорт для доставки раненых. Этот вид кораблей не являлся госпитальным судном в полном смысле этого слова, и не находился под защитой Женевской конвенции. Транспорты по доставке раненых, в том числе и "Штойбен" были перекрашены в серый защитный цвет. С них был убран Красный Крест, но зато установлено вооружение: четыре зенитных орудия калибра 37 миллиметров и четыре счетверенных зенитных пулемета. Орудийная прислуга насчитывала 65 солдат.</w:t>
      </w:r>
    </w:p>
    <w:p w14:paraId="5E7FCE9E" w14:textId="77777777" w:rsidR="00361C8C" w:rsidRPr="00925F26" w:rsidRDefault="00361C8C" w:rsidP="00925F26">
      <w:pPr>
        <w:jc w:val="both"/>
        <w:rPr>
          <w:color w:val="000000" w:themeColor="text1"/>
          <w:sz w:val="16"/>
          <w:szCs w:val="16"/>
        </w:rPr>
      </w:pPr>
      <w:r w:rsidRPr="00925F26">
        <w:rPr>
          <w:color w:val="000000" w:themeColor="text1"/>
          <w:sz w:val="16"/>
          <w:szCs w:val="16"/>
        </w:rPr>
        <w:t>Контр-адмирал К.Энгельхардт, отвечавший за морские перевозки, узнал о гибели "Штойбена" ранним утром 10 февраля. На следующий день он уже имел четкую картину о размере катастрофы и человеческих жертвах. Согласно представленным ему уточненным донесениям, всего на борту парохода находились 4.267 человек, включая экипаж торгового флота, а также военный и медицинский персонал ВМС.</w:t>
      </w:r>
    </w:p>
    <w:p w14:paraId="68266660" w14:textId="77777777" w:rsidR="00361C8C" w:rsidRPr="00925F26" w:rsidRDefault="00361C8C" w:rsidP="00925F26">
      <w:pPr>
        <w:jc w:val="both"/>
        <w:rPr>
          <w:color w:val="000000" w:themeColor="text1"/>
          <w:sz w:val="16"/>
          <w:szCs w:val="16"/>
        </w:rPr>
      </w:pPr>
      <w:r w:rsidRPr="00925F26">
        <w:rPr>
          <w:color w:val="000000" w:themeColor="text1"/>
          <w:sz w:val="16"/>
          <w:szCs w:val="16"/>
        </w:rPr>
        <w:t>По докладу торпедолова TF10, им были спасены 512 человек, а сторожевым кораблем Т196 - 147 человек. Таким образом, всего удалось спасти 659 человек. 3608 человек считаются пропавшими без вести в Балтийском море (20190).</w:t>
      </w:r>
    </w:p>
    <w:p w14:paraId="24326F0E" w14:textId="77777777" w:rsidR="00361C8C" w:rsidRPr="00925F26" w:rsidRDefault="00361C8C" w:rsidP="00925F26">
      <w:pPr>
        <w:jc w:val="both"/>
        <w:rPr>
          <w:color w:val="000000" w:themeColor="text1"/>
          <w:sz w:val="16"/>
          <w:szCs w:val="16"/>
        </w:rPr>
      </w:pPr>
    </w:p>
    <w:p w14:paraId="57389EC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февраля 1945 немцы открыли шлюзы плотины Швамменауль, затопив мосты через Рур и остановив наступление союзников (4962).</w:t>
      </w:r>
    </w:p>
    <w:p w14:paraId="32300AB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17E0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февраля 1945 была проведена реорганизация авиационных сил. Заодно силы были подсчитаны, и оказалось, что в военно-морском флоте имеется 162 самолета-снаряда Ока и 72 самолета-носителя (Иванов Ю.Г. Камикадзе: пилоты-смертники. Смоленск: Русич, 2001.). Тогда же было проведено несколько экспериментов с реактивными снарядами, чтобы исчерпывающе определить потенциал нового оружия. Эксперименты своей цели не достигли (11686).</w:t>
      </w:r>
    </w:p>
    <w:p w14:paraId="4718F065" w14:textId="77777777" w:rsidR="00665165" w:rsidRPr="00925F26" w:rsidRDefault="00665165" w:rsidP="00925F26">
      <w:pPr>
        <w:autoSpaceDE w:val="0"/>
        <w:autoSpaceDN w:val="0"/>
        <w:adjustRightInd w:val="0"/>
        <w:jc w:val="both"/>
        <w:rPr>
          <w:color w:val="000000" w:themeColor="text1"/>
          <w:sz w:val="16"/>
          <w:szCs w:val="16"/>
        </w:rPr>
      </w:pPr>
    </w:p>
    <w:p w14:paraId="22CB225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5F140AA" w14:textId="77777777" w:rsidR="00665165" w:rsidRPr="00925F26" w:rsidRDefault="00665165" w:rsidP="00925F26">
      <w:pPr>
        <w:autoSpaceDE w:val="0"/>
        <w:autoSpaceDN w:val="0"/>
        <w:adjustRightInd w:val="0"/>
        <w:jc w:val="both"/>
        <w:rPr>
          <w:iCs/>
          <w:color w:val="000000" w:themeColor="text1"/>
          <w:sz w:val="16"/>
          <w:szCs w:val="16"/>
        </w:rPr>
      </w:pPr>
    </w:p>
    <w:p w14:paraId="734AAA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г., согласно приказу НКАП от 30/XII-44 г. за N 712сс, Завод N 301 приступил к работе по переоборудованию самолетов ЯК на высотный вариант. Изготовление опытного самолета этого типа машин производилось на заводе N 115, а разработка чертежей велась параллельно с выпуском этой машины силами СКО завода N 301 под руководством конструкторов ОКБ-115. В процессе разработки конструкции высотного истребителя гл. конструктором Яковлевым было признано более целесообразным использовать для переоборудования самолета ЯК-9 с ВК 107А производства завода N 166, а не самолеты ЯК-9 с ВК 105 ПФ, как указано в приказе N 712сс (2074,120).</w:t>
      </w:r>
    </w:p>
    <w:p w14:paraId="127CBE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феврале-марте 1945 г. Для переоборудования под высотный вариант. Ст. военпредом на заводе N 301 были предоставлены н/заводу 30 самолетов типа ЯК-9 с ВК 107А, из числа прибывших на н/завод для сборки. Из-за неготовности чертежей завод N 301 практически приступил к переоборудованию головной машины в начале апреля 1945 г. (2074,120).</w:t>
      </w:r>
    </w:p>
    <w:p w14:paraId="56ABF78B" w14:textId="77777777" w:rsidR="00665165" w:rsidRPr="00925F26" w:rsidRDefault="00665165" w:rsidP="00925F26">
      <w:pPr>
        <w:autoSpaceDE w:val="0"/>
        <w:autoSpaceDN w:val="0"/>
        <w:adjustRightInd w:val="0"/>
        <w:jc w:val="both"/>
        <w:rPr>
          <w:color w:val="000000" w:themeColor="text1"/>
          <w:sz w:val="16"/>
          <w:szCs w:val="16"/>
        </w:rPr>
      </w:pPr>
    </w:p>
    <w:p w14:paraId="1E4483A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57ACC85" w14:textId="77777777" w:rsidR="00665165" w:rsidRPr="00925F26" w:rsidRDefault="00665165" w:rsidP="00925F26">
      <w:pPr>
        <w:autoSpaceDE w:val="0"/>
        <w:autoSpaceDN w:val="0"/>
        <w:adjustRightInd w:val="0"/>
        <w:jc w:val="both"/>
        <w:rPr>
          <w:iCs/>
          <w:color w:val="000000" w:themeColor="text1"/>
          <w:sz w:val="16"/>
          <w:szCs w:val="16"/>
        </w:rPr>
      </w:pPr>
    </w:p>
    <w:p w14:paraId="1304EF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Распоряжение ГКО № 7528. О срочной поставке нефти заводу № 172 НКВ. РГАНИР, Фонд ГКО, д. 370, лл. 193 (11012).</w:t>
      </w:r>
    </w:p>
    <w:p w14:paraId="3F527174" w14:textId="77777777" w:rsidR="00665165" w:rsidRPr="00925F26" w:rsidRDefault="00665165" w:rsidP="00925F26">
      <w:pPr>
        <w:autoSpaceDE w:val="0"/>
        <w:autoSpaceDN w:val="0"/>
        <w:adjustRightInd w:val="0"/>
        <w:jc w:val="both"/>
        <w:rPr>
          <w:color w:val="000000" w:themeColor="text1"/>
          <w:sz w:val="16"/>
          <w:szCs w:val="16"/>
        </w:rPr>
      </w:pPr>
    </w:p>
    <w:p w14:paraId="58D732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Постановление ГКО № 7529 № 7529 О мероприятиях по обеспечению мазутом заводов Наркомхимпрома: Кемеровского азотного, Березниковских азотного и № 761. РГАНИР, Фонд ГКО, д. 370, лл. 194-195 (11012).</w:t>
      </w:r>
    </w:p>
    <w:p w14:paraId="52B65DC8" w14:textId="77777777" w:rsidR="00665165" w:rsidRPr="00925F26" w:rsidRDefault="00665165" w:rsidP="00925F26">
      <w:pPr>
        <w:autoSpaceDE w:val="0"/>
        <w:autoSpaceDN w:val="0"/>
        <w:adjustRightInd w:val="0"/>
        <w:jc w:val="both"/>
        <w:rPr>
          <w:color w:val="000000" w:themeColor="text1"/>
          <w:sz w:val="16"/>
          <w:szCs w:val="16"/>
        </w:rPr>
      </w:pPr>
    </w:p>
    <w:p w14:paraId="3938A7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Постановление ГКО № 7530 О мероприятиях по обеспечению углем Черноморского, Михайловского содового, Чирчикского азотного, 102, Актюбхимкомбината, № 761, № 237, 1-го калийного комбината, № 755 и Сталиногорского азотного заводов Наркомхимпрома. РГАНИР, Фонд ГКО, д. 370, лл. (11012).</w:t>
      </w:r>
    </w:p>
    <w:p w14:paraId="4D8C7378" w14:textId="77777777" w:rsidR="00665165" w:rsidRPr="00925F26" w:rsidRDefault="00665165" w:rsidP="00925F26">
      <w:pPr>
        <w:autoSpaceDE w:val="0"/>
        <w:autoSpaceDN w:val="0"/>
        <w:adjustRightInd w:val="0"/>
        <w:jc w:val="both"/>
        <w:rPr>
          <w:color w:val="000000" w:themeColor="text1"/>
          <w:sz w:val="16"/>
          <w:szCs w:val="16"/>
        </w:rPr>
      </w:pPr>
    </w:p>
    <w:p w14:paraId="2036A6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Распоряжение ГКО № 7531. О дополнительном выделении бензина НКГБ СССР, Мособлисполкому и Куйбышевскому горисполкому. РГАНИР, Фонд ГКО, д. 370, лл. 198 (11012).</w:t>
      </w:r>
    </w:p>
    <w:p w14:paraId="6BA02E89" w14:textId="77777777" w:rsidR="00665165" w:rsidRPr="00925F26" w:rsidRDefault="00665165" w:rsidP="00925F26">
      <w:pPr>
        <w:autoSpaceDE w:val="0"/>
        <w:autoSpaceDN w:val="0"/>
        <w:adjustRightInd w:val="0"/>
        <w:jc w:val="both"/>
        <w:rPr>
          <w:color w:val="000000" w:themeColor="text1"/>
          <w:sz w:val="16"/>
          <w:szCs w:val="16"/>
        </w:rPr>
      </w:pPr>
    </w:p>
    <w:p w14:paraId="7B262A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Постановление ГКО № 7532 О мерах неотложной помощи углем Мосгорисполкому. РГАНИР, Фонд ГКО, д. 370, лл. 199-200 (11012).</w:t>
      </w:r>
    </w:p>
    <w:p w14:paraId="02304D25" w14:textId="77777777" w:rsidR="00665165" w:rsidRPr="00925F26" w:rsidRDefault="00665165" w:rsidP="00925F26">
      <w:pPr>
        <w:autoSpaceDE w:val="0"/>
        <w:autoSpaceDN w:val="0"/>
        <w:adjustRightInd w:val="0"/>
        <w:jc w:val="both"/>
        <w:rPr>
          <w:color w:val="000000" w:themeColor="text1"/>
          <w:sz w:val="16"/>
          <w:szCs w:val="16"/>
        </w:rPr>
      </w:pPr>
    </w:p>
    <w:p w14:paraId="120C4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Постановление ГКО № 7533 О производстве аэрофотоматериалов, кинопленки, киноаппаратуры в I квартале 1945 года. РГАНИР, Фонд ГКО, д. 370, лл. 201-205, 206-216 (11012).</w:t>
      </w:r>
    </w:p>
    <w:p w14:paraId="7B2E7401" w14:textId="77777777" w:rsidR="00665165" w:rsidRPr="00925F26" w:rsidRDefault="00665165" w:rsidP="00925F26">
      <w:pPr>
        <w:autoSpaceDE w:val="0"/>
        <w:autoSpaceDN w:val="0"/>
        <w:adjustRightInd w:val="0"/>
        <w:jc w:val="both"/>
        <w:rPr>
          <w:color w:val="000000" w:themeColor="text1"/>
          <w:sz w:val="16"/>
          <w:szCs w:val="16"/>
        </w:rPr>
      </w:pPr>
    </w:p>
    <w:p w14:paraId="402554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вышло Постановление ГКО № 7534 Об увеличении поставок абразивных изделий подшипниковым и другим заводам Наркомсредмаша в I квартале 1945 года и о мерах помощи абразивным заводам Наркомстанкостроения. РГАНИР, Фонд ГКО, д. 370, лл. 217-220 (11012).</w:t>
      </w:r>
    </w:p>
    <w:p w14:paraId="73343CA1" w14:textId="77777777" w:rsidR="00665165" w:rsidRPr="00925F26" w:rsidRDefault="00665165" w:rsidP="00925F26">
      <w:pPr>
        <w:autoSpaceDE w:val="0"/>
        <w:autoSpaceDN w:val="0"/>
        <w:adjustRightInd w:val="0"/>
        <w:jc w:val="both"/>
        <w:rPr>
          <w:color w:val="000000" w:themeColor="text1"/>
          <w:sz w:val="16"/>
          <w:szCs w:val="16"/>
        </w:rPr>
      </w:pPr>
    </w:p>
    <w:p w14:paraId="3606D0B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E82E45D" w14:textId="77777777" w:rsidR="00665165" w:rsidRPr="00925F26" w:rsidRDefault="00665165" w:rsidP="00925F26">
      <w:pPr>
        <w:autoSpaceDE w:val="0"/>
        <w:autoSpaceDN w:val="0"/>
        <w:adjustRightInd w:val="0"/>
        <w:jc w:val="both"/>
        <w:rPr>
          <w:iCs/>
          <w:color w:val="000000" w:themeColor="text1"/>
          <w:sz w:val="16"/>
          <w:szCs w:val="16"/>
        </w:rPr>
      </w:pPr>
    </w:p>
    <w:p w14:paraId="3E7F875F" w14:textId="77777777" w:rsidR="00DB43FF" w:rsidRPr="00925F26" w:rsidRDefault="00DB43FF" w:rsidP="00925F26">
      <w:pPr>
        <w:jc w:val="both"/>
        <w:rPr>
          <w:color w:val="000000" w:themeColor="text1"/>
          <w:sz w:val="16"/>
          <w:szCs w:val="16"/>
        </w:rPr>
      </w:pPr>
      <w:r w:rsidRPr="00925F26">
        <w:rPr>
          <w:bCs/>
          <w:color w:val="000000" w:themeColor="text1"/>
          <w:sz w:val="16"/>
          <w:szCs w:val="16"/>
        </w:rPr>
        <w:lastRenderedPageBreak/>
        <w:t>11 февраля</w:t>
      </w:r>
      <w:r w:rsidRPr="00925F26">
        <w:rPr>
          <w:color w:val="000000" w:themeColor="text1"/>
          <w:sz w:val="16"/>
          <w:szCs w:val="16"/>
        </w:rPr>
        <w:t xml:space="preserve"> в 1945 году оперативная сводка Совинформбюро:</w:t>
      </w:r>
    </w:p>
    <w:p w14:paraId="3D791B35" w14:textId="77777777" w:rsidR="00DB43FF" w:rsidRPr="00925F26" w:rsidRDefault="00DB43FF" w:rsidP="00925F26">
      <w:pPr>
        <w:jc w:val="both"/>
        <w:rPr>
          <w:color w:val="000000" w:themeColor="text1"/>
          <w:sz w:val="16"/>
          <w:szCs w:val="16"/>
        </w:rPr>
      </w:pPr>
      <w:r w:rsidRPr="00925F26">
        <w:rPr>
          <w:color w:val="000000" w:themeColor="text1"/>
          <w:sz w:val="16"/>
          <w:szCs w:val="16"/>
        </w:rPr>
        <w:t>«В течение 11 февраля в Восточной Пруссии наши войска в результате наступательных боёв овладели населёнными пунктами Мараунен, Хуссенен, Вондиттен, Вокелен, Гландау, Вагтен, Базен, Вузен. В боях за 10 февраля северо-западнее города Прейсиш Айлау войска 3-го Белорусского фронта захватили крупные военные склады, на которых, по предварительным данным, взято: автомашин — 4.200, новых орудийных стволов в упаковке — 1.000, орудийных лафетов — 400, стволов для станковых пулемётов — 5.000, танковых моторов — 400, автомобильных моторов — 250, мотоциклов — 500, бронетранспортёров — 50, тягачей — 211, вагонов с запасными частями для танков —100, вагонов с запасными частями для автомашин—100, мин — 1.000.000, снарядов — 1.000.000, железнодорожных вагонов с различным военным имуществом — 980.</w:t>
      </w:r>
    </w:p>
    <w:p w14:paraId="6A1595F8"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1-го Белорусского фронта, продолжая наступление, сегодня, 11 февраля, с боем овладели городами Дойч-Кроне и Меркиш-Фридланд — важными узлами коммуникаций и сильными опорными пунктами обороны немцев в Померании, а также с боями заняли более 30 других населённых пунктов.</w:t>
      </w:r>
    </w:p>
    <w:p w14:paraId="59274381" w14:textId="77777777" w:rsidR="00DB43FF" w:rsidRPr="00925F26" w:rsidRDefault="00DB43FF" w:rsidP="00925F26">
      <w:pPr>
        <w:jc w:val="both"/>
        <w:rPr>
          <w:color w:val="000000" w:themeColor="text1"/>
          <w:sz w:val="16"/>
          <w:szCs w:val="16"/>
        </w:rPr>
      </w:pPr>
      <w:r w:rsidRPr="00925F26">
        <w:rPr>
          <w:color w:val="000000" w:themeColor="text1"/>
          <w:sz w:val="16"/>
          <w:szCs w:val="16"/>
        </w:rPr>
        <w:t>В Шнайдемюле и Познани наши войска вели бои по уничтожению окружённых гарнизонов противника.</w:t>
      </w:r>
    </w:p>
    <w:p w14:paraId="525581BB"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1-го Украинского фронта форсировали реку Одер северо-западнее города Бреслау (Бреславль), прорвали сильно укреплённую долговременную оборону немцев на западном берегу реки и за четыре дня наступательных боёв продвинулись вперёд до 60 километров, расширив прорыв до 160 километров по фронту.</w:t>
      </w:r>
    </w:p>
    <w:p w14:paraId="355EC2EB" w14:textId="77777777" w:rsidR="00DB43FF" w:rsidRPr="00925F26" w:rsidRDefault="00DB43FF" w:rsidP="00925F26">
      <w:pPr>
        <w:jc w:val="both"/>
        <w:rPr>
          <w:color w:val="000000" w:themeColor="text1"/>
          <w:sz w:val="16"/>
          <w:szCs w:val="16"/>
        </w:rPr>
      </w:pPr>
      <w:r w:rsidRPr="00925F26">
        <w:rPr>
          <w:color w:val="000000" w:themeColor="text1"/>
          <w:sz w:val="16"/>
          <w:szCs w:val="16"/>
        </w:rPr>
        <w:t>В ходе наступления войска фронта овладели городами Лигниц, Штейнау, Любен, Гайнау, Ноймаркт и Кант — важными узлами коммуникаций и мощными опорными пунктами обороны немцев на западном берегу Одера, а также с боями заняли более 500 других населённых пунктов, среди которых крупные населённые пункты Придемост, Грамшюц, Фриденсхаген, Кваритц, Примкенау, Котценау, Гремсдорф, Нойдорф, Гросс Тинц, Гросс Баудисс, Костенблют, Рамфельд, Брейтенау.</w:t>
      </w:r>
    </w:p>
    <w:p w14:paraId="0F687F00" w14:textId="77777777" w:rsidR="00DB43FF" w:rsidRPr="00925F26" w:rsidRDefault="00DB43FF" w:rsidP="00925F26">
      <w:pPr>
        <w:jc w:val="both"/>
        <w:rPr>
          <w:color w:val="000000" w:themeColor="text1"/>
          <w:sz w:val="16"/>
          <w:szCs w:val="16"/>
        </w:rPr>
      </w:pPr>
      <w:r w:rsidRPr="00925F26">
        <w:rPr>
          <w:color w:val="000000" w:themeColor="text1"/>
          <w:sz w:val="16"/>
          <w:szCs w:val="16"/>
        </w:rPr>
        <w:t>Южнее города Катовице наши войска овладели городами Пшына, Дзедзице, а также с боями заняли населённые пункты Стара Весь, Лонка, Гочалковице, Забжег, Чеховице.</w:t>
      </w:r>
    </w:p>
    <w:p w14:paraId="36DCDD5F" w14:textId="77777777" w:rsidR="00DB43FF" w:rsidRPr="00925F26" w:rsidRDefault="00DB43FF" w:rsidP="00925F26">
      <w:pPr>
        <w:jc w:val="both"/>
        <w:rPr>
          <w:color w:val="000000" w:themeColor="text1"/>
          <w:sz w:val="16"/>
          <w:szCs w:val="16"/>
        </w:rPr>
      </w:pPr>
      <w:r w:rsidRPr="00925F26">
        <w:rPr>
          <w:color w:val="000000" w:themeColor="text1"/>
          <w:sz w:val="16"/>
          <w:szCs w:val="16"/>
        </w:rPr>
        <w:t>В Будапеште продолжались бои по уничтожению окружённого гарнизона противника, в ходе которых наши войска заняли 45 кварталов.</w:t>
      </w:r>
    </w:p>
    <w:p w14:paraId="52254C18" w14:textId="77777777" w:rsidR="00DB43FF" w:rsidRPr="00925F26" w:rsidRDefault="00DB43FF" w:rsidP="00925F26">
      <w:pPr>
        <w:jc w:val="both"/>
        <w:rPr>
          <w:color w:val="000000" w:themeColor="text1"/>
          <w:sz w:val="16"/>
          <w:szCs w:val="16"/>
        </w:rPr>
      </w:pPr>
      <w:r w:rsidRPr="00925F26">
        <w:rPr>
          <w:color w:val="000000" w:themeColor="text1"/>
          <w:sz w:val="16"/>
          <w:szCs w:val="16"/>
        </w:rPr>
        <w:t>При овладении городом Эльбинг войска 2-го Белорусского фронта взяли в плен более 2.700 немецких солдат и офицеров и захватили следующие трофеи: танков — 33, бронетранспортёров — 35, орудий — 200, автомашин — 790, паровозов — 40, вагонов — 1.141, пароходов — 2, складов с боеприпасами, снаряжением и продовольствием — 27. Противник потерял только убитыми до 5.000 солдат и офицеров.</w:t>
      </w:r>
    </w:p>
    <w:p w14:paraId="7BE5129A" w14:textId="77777777" w:rsidR="00DB43FF" w:rsidRPr="00925F26" w:rsidRDefault="00DB43FF"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1E078EA4" w14:textId="77777777" w:rsidR="00DB43FF" w:rsidRPr="00925F26" w:rsidRDefault="00DB43FF" w:rsidP="00925F26">
      <w:pPr>
        <w:jc w:val="both"/>
        <w:rPr>
          <w:color w:val="000000" w:themeColor="text1"/>
          <w:sz w:val="16"/>
          <w:szCs w:val="16"/>
        </w:rPr>
      </w:pPr>
      <w:r w:rsidRPr="00925F26">
        <w:rPr>
          <w:color w:val="000000" w:themeColor="text1"/>
          <w:sz w:val="16"/>
          <w:szCs w:val="16"/>
        </w:rPr>
        <w:t>За 10 февраля на всех фронтах подбито и уничтожено 220 немецких танков и самоходных орудий. В воздушных боях и огнём зенитной артиллерии сбито 26 самолётов противника.</w:t>
      </w:r>
    </w:p>
    <w:p w14:paraId="22F7E440" w14:textId="77777777" w:rsidR="00DB43FF" w:rsidRPr="00925F26" w:rsidRDefault="00DB43FF" w:rsidP="00925F26">
      <w:pPr>
        <w:jc w:val="both"/>
        <w:rPr>
          <w:color w:val="000000" w:themeColor="text1"/>
          <w:sz w:val="16"/>
          <w:szCs w:val="16"/>
        </w:rPr>
      </w:pPr>
      <w:r w:rsidRPr="00925F26">
        <w:rPr>
          <w:color w:val="000000" w:themeColor="text1"/>
          <w:sz w:val="16"/>
          <w:szCs w:val="16"/>
        </w:rPr>
        <w:t>В Восточной Пруссии южнее города Кенигсберга наши войска с боями продвигались вперёд. Противник, стремясь остановить наступление советских войск, предпринимал контратаки. Бои часто переходили в рукопашные схватки. Части Н-ского соединения прорвали сильно укреплённый рубеж немецкой обороны и ведут бои на подступах к городу Цинтен — важному узлу коммуникаций. Другие наши части выбили немцев из опорного пункта Вагтен, расположенного в трёх километрах западнее города Вормдитт. На поле боя осталось несколько тысяч трупов гитлеровцев. Сожжете и подбито 45 танков и самоходных орудий противника. Нашими войсками захвачено много трофеев и взято в плен 400 немцев.</w:t>
      </w:r>
    </w:p>
    <w:p w14:paraId="1AFC2758"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1-го Белорусского фронта продолжали наступление. Противник всё время подводит свежие резервы и с хода бросает их в контратаки. Особенно упорные бои произошли за город Дойч-Кроне. Немцы сильно укрепили город и подготовили его для круговой обороны. Советские пехотинцы, кавалеристы и танкисты преодолели лесной массив к западу от Дойч-Кроне и окружили гарнизон города. Гитлеровцы безуспешно пытались вырваться из «котла». Наши войска сегодня овладели городом Дойч-Кроне — узлом пяти железных и шести шоссейных дорог. Вражеский гарнизон ликвидирован. На улицах города и его окраинах осталось более 2.000 трупов немецких солдат и офицеров. Уничтожено 36 танков противника. Захвачено много трофеев и 600 пленных. Части 1-й Польской армии с боями продвинулись вперёд на 15 километров и в результате стремительной атаки овладели городом и железнодорожной станцией — Меркиш-Фридланд.</w:t>
      </w:r>
    </w:p>
    <w:p w14:paraId="567E285E" w14:textId="77777777" w:rsidR="00DB43FF" w:rsidRPr="00925F26" w:rsidRDefault="00DB43FF" w:rsidP="00925F26">
      <w:pPr>
        <w:jc w:val="both"/>
        <w:rPr>
          <w:color w:val="000000" w:themeColor="text1"/>
          <w:sz w:val="16"/>
          <w:szCs w:val="16"/>
        </w:rPr>
      </w:pPr>
      <w:r w:rsidRPr="00925F26">
        <w:rPr>
          <w:color w:val="000000" w:themeColor="text1"/>
          <w:sz w:val="16"/>
          <w:szCs w:val="16"/>
        </w:rPr>
        <w:t>Войска 1-го Украинского фронта перешли в наступление северо-западнее города Бреслау (Бреславль). Советские передовые отряды с помощью сапёрных подразделений форсировали реку Одер севернее и южнее города Штейнау и, отражая яростные контратаки немцев, обеспечили переправу через Одер наших основных сил. Совершив успешный манёвр, советские пехотинцы и танкисты окружили город Штейнау — мощную крепость на западном берегу Одера. На подступах к городу противник соорудил более 60 железобетонных много амбразурных дотов. В самом городе немцы превратили многие здания в сильные узлы сопротивления. Гарнизон Штейнау состоял из курсантов унтер-офицерской школы, танковых, гренадёрских и специальных батальонов. В ходе упорных боёв Штейнау был очищен от противника, а его гарнизон уничтожен. На улицах этого города осталось свыше 3 тысяч трупов немецких солдат и офицеров.</w:t>
      </w:r>
    </w:p>
    <w:p w14:paraId="40DF9057" w14:textId="77777777" w:rsidR="00DB43FF" w:rsidRPr="00925F26" w:rsidRDefault="00DB43FF" w:rsidP="00925F26">
      <w:pPr>
        <w:jc w:val="both"/>
        <w:rPr>
          <w:color w:val="000000" w:themeColor="text1"/>
          <w:sz w:val="16"/>
          <w:szCs w:val="16"/>
        </w:rPr>
      </w:pPr>
      <w:r w:rsidRPr="00925F26">
        <w:rPr>
          <w:color w:val="000000" w:themeColor="text1"/>
          <w:sz w:val="16"/>
          <w:szCs w:val="16"/>
        </w:rPr>
        <w:t>Захватив плацдарм на западном берегу Одера, советские пехотинцы, танкисты и артиллеристы в ходе ожесточённых боёв прорвали глубоко эшелонированную оборону противника и устремились в северо-западном, западном и юго-западном направлениях. Немцы ввели в бой крупные силы танков и пехоты, но не смогли задержать продвижения советских войск. Минуя минные поля, наши танкисты обошли город Любен с юга. Одновременно к городу приблизились с севера пехотные части. Вражеский гарнизон, оказавшийся в окружении, был наголову разбит. Ожесточённые бои произошли за крупный промышленный город Лигниц, превращенный немцами в мощный опорный пункт. Стремительно продвигаясь вперёд, наши танкисты ворвались в город с севера. В то же время пехотные соединения нанесли удар с юга. Упорные уличные бои продолжались весь день. Советские войска сегодня полностью овладели городом Лигниц — важным центром военной промышленности противника. Преодолевая сопротивление немцев на промежуточных рубежах, наши войска заняли города Гайнау, Ноймаркт, Кант и перерезали автомагистраль Бреслау — Берлин. Город Кант расположен в 16 километрах западнее Бреслау. Противник, подвергающийся непрерывным ударам советских подвижных соединений и пехоты, несет огромные потери. Только за один день уничтожено 60 немецких танков, 70 бронетранспортёров и 120 орудий. Захвачены большие трофеи, в том числе 37 немецких самолётов, много вооружения, крупный узел связи, склады с боеприпасами и военным имуществом. Взято в плен более 2.000 немецких солдат и офицеров.</w:t>
      </w:r>
    </w:p>
    <w:p w14:paraId="5BB12C8D" w14:textId="77777777" w:rsidR="00DB43FF" w:rsidRPr="00925F26" w:rsidRDefault="00DB43FF" w:rsidP="00925F26">
      <w:pPr>
        <w:jc w:val="both"/>
        <w:rPr>
          <w:color w:val="000000" w:themeColor="text1"/>
          <w:sz w:val="16"/>
          <w:szCs w:val="16"/>
          <w:lang w:val="en-US"/>
        </w:rPr>
      </w:pPr>
      <w:r w:rsidRPr="00925F26">
        <w:rPr>
          <w:color w:val="000000" w:themeColor="text1"/>
          <w:sz w:val="16"/>
          <w:szCs w:val="16"/>
        </w:rPr>
        <w:t xml:space="preserve">В западной части Будапешта наши гвардейские части, подержанные артиллерией, преодолели укреплённый участок железной дороги и овладели Южным вокзалом. Другие наши подразделения очистили от гитлеровцев несколько кварталов и ведут бои у подножья горы Геллертхедь. Взято 580 пленных. Захвачено 11 танков и бронетранспортёров, 37 орудий, 5 паровозов, 100 железнодорожных вагонов и другие трофеи.» </w:t>
      </w:r>
      <w:r w:rsidRPr="00925F26">
        <w:rPr>
          <w:color w:val="000000" w:themeColor="text1"/>
          <w:sz w:val="16"/>
          <w:szCs w:val="16"/>
          <w:lang w:val="en-US"/>
        </w:rPr>
        <w:t>(15037).</w:t>
      </w:r>
    </w:p>
    <w:p w14:paraId="3706F9FC" w14:textId="77777777" w:rsidR="00DB43FF" w:rsidRPr="00925F26" w:rsidRDefault="00DB43FF" w:rsidP="00925F26">
      <w:pPr>
        <w:jc w:val="both"/>
        <w:rPr>
          <w:color w:val="000000" w:themeColor="text1"/>
          <w:sz w:val="16"/>
          <w:szCs w:val="16"/>
          <w:lang w:val="en-US"/>
        </w:rPr>
      </w:pPr>
    </w:p>
    <w:p w14:paraId="21B10D7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11, 1945: In the East, the Red Army has encircled the fortress city of Kustrin on the Oder (3819).</w:t>
      </w:r>
    </w:p>
    <w:p w14:paraId="205D7A2D" w14:textId="77777777" w:rsidR="00665165" w:rsidRPr="00925F26" w:rsidRDefault="00665165" w:rsidP="00925F26">
      <w:pPr>
        <w:autoSpaceDE w:val="0"/>
        <w:autoSpaceDN w:val="0"/>
        <w:adjustRightInd w:val="0"/>
        <w:jc w:val="both"/>
        <w:rPr>
          <w:color w:val="000000" w:themeColor="text1"/>
          <w:sz w:val="16"/>
          <w:szCs w:val="16"/>
          <w:lang w:val="en-US"/>
        </w:rPr>
      </w:pPr>
    </w:p>
    <w:p w14:paraId="3D24C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февраля 1945 КА окружили Кюстрин на Одере (3819).</w:t>
      </w:r>
    </w:p>
    <w:p w14:paraId="46EC4227" w14:textId="77777777" w:rsidR="00665165" w:rsidRPr="00925F26" w:rsidRDefault="00665165" w:rsidP="00925F26">
      <w:pPr>
        <w:autoSpaceDE w:val="0"/>
        <w:autoSpaceDN w:val="0"/>
        <w:adjustRightInd w:val="0"/>
        <w:jc w:val="both"/>
        <w:rPr>
          <w:color w:val="000000" w:themeColor="text1"/>
          <w:sz w:val="16"/>
          <w:szCs w:val="16"/>
        </w:rPr>
      </w:pPr>
    </w:p>
    <w:p w14:paraId="70B2A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11 февраля 1945 погиб И.С.Полбин (271,224) - в 157 вылете в свой день рождения над Бреслау - врезался на горящей машине - подаренном Пе-2 - в батарею (455,168). По другим данным, на выходе из пикирования снаряд попал </w:t>
      </w:r>
      <w:proofErr w:type="gramStart"/>
      <w:r w:rsidRPr="00925F26">
        <w:rPr>
          <w:color w:val="000000" w:themeColor="text1"/>
          <w:sz w:val="16"/>
          <w:szCs w:val="16"/>
        </w:rPr>
        <w:t>в кабину</w:t>
      </w:r>
      <w:proofErr w:type="gramEnd"/>
      <w:r w:rsidRPr="00925F26">
        <w:rPr>
          <w:color w:val="000000" w:themeColor="text1"/>
          <w:sz w:val="16"/>
          <w:szCs w:val="16"/>
        </w:rPr>
        <w:t xml:space="preserve"> и машина взорвалась в воздухе (3044,114).</w:t>
      </w:r>
    </w:p>
    <w:p w14:paraId="0FB76ED6" w14:textId="77777777" w:rsidR="00665165" w:rsidRPr="00925F26" w:rsidRDefault="00665165" w:rsidP="00925F26">
      <w:pPr>
        <w:autoSpaceDE w:val="0"/>
        <w:autoSpaceDN w:val="0"/>
        <w:adjustRightInd w:val="0"/>
        <w:jc w:val="both"/>
        <w:rPr>
          <w:color w:val="000000" w:themeColor="text1"/>
          <w:sz w:val="16"/>
          <w:szCs w:val="16"/>
        </w:rPr>
      </w:pPr>
    </w:p>
    <w:p w14:paraId="0B23B9B9"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Внешняя</w:t>
      </w:r>
      <w:r w:rsidRPr="00925F26">
        <w:rPr>
          <w:i/>
          <w:iCs/>
          <w:color w:val="000000" w:themeColor="text1"/>
          <w:sz w:val="16"/>
          <w:szCs w:val="16"/>
          <w:lang w:val="en-US"/>
        </w:rPr>
        <w:t xml:space="preserve"> </w:t>
      </w:r>
      <w:r w:rsidRPr="00925F26">
        <w:rPr>
          <w:i/>
          <w:iCs/>
          <w:color w:val="000000" w:themeColor="text1"/>
          <w:sz w:val="16"/>
          <w:szCs w:val="16"/>
        </w:rPr>
        <w:t>политика</w:t>
      </w:r>
      <w:r w:rsidRPr="00925F26">
        <w:rPr>
          <w:i/>
          <w:iCs/>
          <w:color w:val="000000" w:themeColor="text1"/>
          <w:sz w:val="16"/>
          <w:szCs w:val="16"/>
          <w:lang w:val="en-US"/>
        </w:rPr>
        <w:t>:</w:t>
      </w:r>
    </w:p>
    <w:p w14:paraId="7498A799" w14:textId="77777777" w:rsidR="00665165" w:rsidRPr="00925F26" w:rsidRDefault="00665165" w:rsidP="00925F26">
      <w:pPr>
        <w:autoSpaceDE w:val="0"/>
        <w:autoSpaceDN w:val="0"/>
        <w:adjustRightInd w:val="0"/>
        <w:jc w:val="both"/>
        <w:rPr>
          <w:iCs/>
          <w:color w:val="000000" w:themeColor="text1"/>
          <w:sz w:val="16"/>
          <w:szCs w:val="16"/>
          <w:lang w:val="en-US"/>
        </w:rPr>
      </w:pPr>
    </w:p>
    <w:p w14:paraId="1F629E0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On February 11, 1945, following their meetings at Yalta, President Roosevelt, Prime Minister Churchill, and Premier Stalin declared their resolve to establish "a general international organization to maintain peace and security."(1286).</w:t>
      </w:r>
    </w:p>
    <w:p w14:paraId="25555FB7" w14:textId="77777777" w:rsidR="00665165" w:rsidRPr="00925F26" w:rsidRDefault="00665165" w:rsidP="00925F26">
      <w:pPr>
        <w:autoSpaceDE w:val="0"/>
        <w:autoSpaceDN w:val="0"/>
        <w:adjustRightInd w:val="0"/>
        <w:jc w:val="both"/>
        <w:rPr>
          <w:color w:val="000000" w:themeColor="text1"/>
          <w:sz w:val="16"/>
          <w:szCs w:val="16"/>
          <w:lang w:val="en-US"/>
        </w:rPr>
      </w:pPr>
    </w:p>
    <w:p w14:paraId="5745BBE8" w14:textId="77777777" w:rsidR="00DB43FF" w:rsidRPr="00925F26" w:rsidRDefault="00DB43FF" w:rsidP="00925F26">
      <w:pPr>
        <w:jc w:val="both"/>
        <w:rPr>
          <w:color w:val="000000" w:themeColor="text1"/>
          <w:sz w:val="16"/>
          <w:szCs w:val="16"/>
        </w:rPr>
      </w:pPr>
      <w:r w:rsidRPr="00925F26">
        <w:rPr>
          <w:bCs/>
          <w:color w:val="000000" w:themeColor="text1"/>
          <w:sz w:val="16"/>
          <w:szCs w:val="16"/>
        </w:rPr>
        <w:t>11 февраля</w:t>
      </w:r>
      <w:r w:rsidRPr="00925F26">
        <w:rPr>
          <w:color w:val="000000" w:themeColor="text1"/>
          <w:sz w:val="16"/>
          <w:szCs w:val="16"/>
        </w:rPr>
        <w:t xml:space="preserve"> в 1945 году завершила свою работу Крымская конференция «Большой тройки», на которой был принят план послевоенного устройства Европы (15037).</w:t>
      </w:r>
    </w:p>
    <w:p w14:paraId="2946979D" w14:textId="77777777" w:rsidR="00DB43FF" w:rsidRPr="00925F26" w:rsidRDefault="00DB43FF" w:rsidP="00925F26">
      <w:pPr>
        <w:jc w:val="both"/>
        <w:rPr>
          <w:color w:val="000000" w:themeColor="text1"/>
          <w:sz w:val="16"/>
          <w:szCs w:val="16"/>
        </w:rPr>
      </w:pPr>
    </w:p>
    <w:p w14:paraId="14331DD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80C25E9" w14:textId="77777777" w:rsidR="00665165" w:rsidRPr="00925F26" w:rsidRDefault="00665165" w:rsidP="00925F26">
      <w:pPr>
        <w:autoSpaceDE w:val="0"/>
        <w:autoSpaceDN w:val="0"/>
        <w:adjustRightInd w:val="0"/>
        <w:jc w:val="both"/>
        <w:rPr>
          <w:iCs/>
          <w:color w:val="000000" w:themeColor="text1"/>
          <w:sz w:val="16"/>
          <w:szCs w:val="16"/>
        </w:rPr>
      </w:pPr>
    </w:p>
    <w:p w14:paraId="2B58169A" w14:textId="492DB978" w:rsidR="00F0528A" w:rsidRPr="00925F26" w:rsidRDefault="00F0528A" w:rsidP="00925F26">
      <w:pPr>
        <w:jc w:val="both"/>
        <w:rPr>
          <w:color w:val="000000" w:themeColor="text1"/>
          <w:sz w:val="16"/>
          <w:szCs w:val="16"/>
        </w:rPr>
      </w:pPr>
      <w:r w:rsidRPr="00925F26">
        <w:rPr>
          <w:color w:val="000000" w:themeColor="text1"/>
          <w:sz w:val="16"/>
          <w:szCs w:val="16"/>
        </w:rPr>
        <w:t xml:space="preserve">11 февраля 1945 года — первый полёт </w:t>
      </w:r>
      <w:proofErr w:type="gramStart"/>
      <w:r w:rsidRPr="00925F26">
        <w:rPr>
          <w:color w:val="000000" w:themeColor="text1"/>
          <w:sz w:val="16"/>
          <w:szCs w:val="16"/>
        </w:rPr>
        <w:t>истребителя</w:t>
      </w:r>
      <w:r w:rsidR="00997EDF" w:rsidRPr="00925F26">
        <w:rPr>
          <w:color w:val="000000" w:themeColor="text1"/>
          <w:sz w:val="16"/>
          <w:szCs w:val="16"/>
        </w:rPr>
        <w:t xml:space="preserve">  </w:t>
      </w:r>
      <w:r w:rsidRPr="00925F26">
        <w:rPr>
          <w:color w:val="000000" w:themeColor="text1"/>
          <w:sz w:val="16"/>
          <w:szCs w:val="16"/>
        </w:rPr>
        <w:t>Consolidated</w:t>
      </w:r>
      <w:proofErr w:type="gramEnd"/>
      <w:r w:rsidRPr="00925F26">
        <w:rPr>
          <w:color w:val="000000" w:themeColor="text1"/>
          <w:sz w:val="16"/>
          <w:szCs w:val="16"/>
        </w:rPr>
        <w:t xml:space="preserve"> Vultee XP-81. /США/</w:t>
      </w:r>
    </w:p>
    <w:p w14:paraId="6D67E616" w14:textId="01C43A88" w:rsidR="00F0528A" w:rsidRPr="00925F26" w:rsidRDefault="00F0528A" w:rsidP="00925F26">
      <w:pPr>
        <w:jc w:val="both"/>
        <w:rPr>
          <w:color w:val="000000" w:themeColor="text1"/>
          <w:sz w:val="16"/>
          <w:szCs w:val="16"/>
        </w:rPr>
      </w:pPr>
      <w:r w:rsidRPr="00925F26">
        <w:rPr>
          <w:color w:val="000000" w:themeColor="text1"/>
          <w:sz w:val="16"/>
          <w:szCs w:val="16"/>
        </w:rPr>
        <w:t xml:space="preserve">К 1943 году ВВС США нуждалось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дальнем</w:t>
      </w:r>
      <w:proofErr w:type="gramEnd"/>
      <w:r w:rsidRPr="00925F26">
        <w:rPr>
          <w:color w:val="000000" w:themeColor="text1"/>
          <w:sz w:val="16"/>
          <w:szCs w:val="16"/>
        </w:rPr>
        <w:t xml:space="preserve"> истребителе для сопровождения бомбардировщиков. Было принято решение создать самолёт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реактивно</w:t>
      </w:r>
      <w:proofErr w:type="gramEnd"/>
      <w:r w:rsidRPr="00925F26">
        <w:rPr>
          <w:color w:val="000000" w:themeColor="text1"/>
          <w:sz w:val="16"/>
          <w:szCs w:val="16"/>
        </w:rPr>
        <w:t xml:space="preserve">-турбовинтовой силовой установкой. Разработку истребителя XP-81 заказали </w:t>
      </w:r>
      <w:proofErr w:type="gramStart"/>
      <w:r w:rsidRPr="00925F26">
        <w:rPr>
          <w:color w:val="000000" w:themeColor="text1"/>
          <w:sz w:val="16"/>
          <w:szCs w:val="16"/>
        </w:rPr>
        <w:t>корпорации</w:t>
      </w:r>
      <w:r w:rsidR="00997EDF" w:rsidRPr="00925F26">
        <w:rPr>
          <w:color w:val="000000" w:themeColor="text1"/>
          <w:sz w:val="16"/>
          <w:szCs w:val="16"/>
        </w:rPr>
        <w:t xml:space="preserve">  </w:t>
      </w:r>
      <w:r w:rsidRPr="00925F26">
        <w:rPr>
          <w:color w:val="000000" w:themeColor="text1"/>
          <w:sz w:val="16"/>
          <w:szCs w:val="16"/>
        </w:rPr>
        <w:t>Consolidated</w:t>
      </w:r>
      <w:proofErr w:type="gramEnd"/>
      <w:r w:rsidRPr="00925F26">
        <w:rPr>
          <w:color w:val="000000" w:themeColor="text1"/>
          <w:sz w:val="16"/>
          <w:szCs w:val="16"/>
        </w:rPr>
        <w:t xml:space="preserve"> Vultee.</w:t>
      </w:r>
    </w:p>
    <w:p w14:paraId="45F2D985" w14:textId="55E989A3" w:rsidR="00F0528A" w:rsidRPr="00925F26" w:rsidRDefault="00F0528A" w:rsidP="00925F26">
      <w:pPr>
        <w:jc w:val="both"/>
        <w:rPr>
          <w:color w:val="000000" w:themeColor="text1"/>
          <w:sz w:val="16"/>
          <w:szCs w:val="16"/>
        </w:rPr>
      </w:pPr>
      <w:r w:rsidRPr="00925F26">
        <w:rPr>
          <w:color w:val="000000" w:themeColor="text1"/>
          <w:sz w:val="16"/>
          <w:szCs w:val="16"/>
        </w:rPr>
        <w:t xml:space="preserve">XP-81 представлял собой низкоплан с трапециевидным крылом с прямой передней кромкой и убираемым шасси. Оснащался турбовинтовым </w:t>
      </w:r>
      <w:proofErr w:type="gramStart"/>
      <w:r w:rsidRPr="00925F26">
        <w:rPr>
          <w:color w:val="000000" w:themeColor="text1"/>
          <w:sz w:val="16"/>
          <w:szCs w:val="16"/>
        </w:rPr>
        <w:t>двигателем</w:t>
      </w:r>
      <w:r w:rsidR="00997EDF" w:rsidRPr="00925F26">
        <w:rPr>
          <w:color w:val="000000" w:themeColor="text1"/>
          <w:sz w:val="16"/>
          <w:szCs w:val="16"/>
        </w:rPr>
        <w:t xml:space="preserve">  </w:t>
      </w:r>
      <w:r w:rsidRPr="00925F26">
        <w:rPr>
          <w:color w:val="000000" w:themeColor="text1"/>
          <w:sz w:val="16"/>
          <w:szCs w:val="16"/>
        </w:rPr>
        <w:t>General</w:t>
      </w:r>
      <w:proofErr w:type="gramEnd"/>
      <w:r w:rsidRPr="00925F26">
        <w:rPr>
          <w:color w:val="000000" w:themeColor="text1"/>
          <w:sz w:val="16"/>
          <w:szCs w:val="16"/>
        </w:rPr>
        <w:t xml:space="preserve"> Electric T31-GE-</w:t>
      </w:r>
      <w:proofErr w:type="gramStart"/>
      <w:r w:rsidRPr="00925F26">
        <w:rPr>
          <w:color w:val="000000" w:themeColor="text1"/>
          <w:sz w:val="16"/>
          <w:szCs w:val="16"/>
        </w:rPr>
        <w:t>3</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но первые полёты выполнил с поршневым Packard V-1650 Merlin) и </w:t>
      </w:r>
      <w:proofErr w:type="gramStart"/>
      <w:r w:rsidRPr="00925F26">
        <w:rPr>
          <w:color w:val="000000" w:themeColor="text1"/>
          <w:sz w:val="16"/>
          <w:szCs w:val="16"/>
        </w:rPr>
        <w:t>турбореактивным</w:t>
      </w:r>
      <w:r w:rsidR="00997EDF" w:rsidRPr="00925F26">
        <w:rPr>
          <w:color w:val="000000" w:themeColor="text1"/>
          <w:sz w:val="16"/>
          <w:szCs w:val="16"/>
        </w:rPr>
        <w:t xml:space="preserve">  </w:t>
      </w:r>
      <w:r w:rsidRPr="00925F26">
        <w:rPr>
          <w:color w:val="000000" w:themeColor="text1"/>
          <w:sz w:val="16"/>
          <w:szCs w:val="16"/>
        </w:rPr>
        <w:t>General</w:t>
      </w:r>
      <w:proofErr w:type="gramEnd"/>
      <w:r w:rsidRPr="00925F26">
        <w:rPr>
          <w:color w:val="000000" w:themeColor="text1"/>
          <w:sz w:val="16"/>
          <w:szCs w:val="16"/>
        </w:rPr>
        <w:t xml:space="preserve"> Electric J33-GE-5.</w:t>
      </w:r>
      <w:r w:rsidR="00997EDF" w:rsidRPr="00925F26">
        <w:rPr>
          <w:color w:val="000000" w:themeColor="text1"/>
          <w:sz w:val="16"/>
          <w:szCs w:val="16"/>
        </w:rPr>
        <w:t xml:space="preserve">  </w:t>
      </w:r>
      <w:r w:rsidRPr="00925F26">
        <w:rPr>
          <w:color w:val="000000" w:themeColor="text1"/>
          <w:sz w:val="16"/>
          <w:szCs w:val="16"/>
        </w:rPr>
        <w:t xml:space="preserve">Максимальная скорость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816</w:t>
      </w:r>
      <w:proofErr w:type="gramEnd"/>
      <w:r w:rsidR="00997EDF" w:rsidRPr="00925F26">
        <w:rPr>
          <w:color w:val="000000" w:themeColor="text1"/>
          <w:sz w:val="16"/>
          <w:szCs w:val="16"/>
        </w:rPr>
        <w:t xml:space="preserve">  </w:t>
      </w:r>
      <w:r w:rsidRPr="00925F26">
        <w:rPr>
          <w:color w:val="000000" w:themeColor="text1"/>
          <w:sz w:val="16"/>
          <w:szCs w:val="16"/>
        </w:rPr>
        <w:t xml:space="preserve">км/ч, дальность полёта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4000</w:t>
      </w:r>
      <w:proofErr w:type="gramEnd"/>
      <w:r w:rsidR="00997EDF" w:rsidRPr="00925F26">
        <w:rPr>
          <w:color w:val="000000" w:themeColor="text1"/>
          <w:sz w:val="16"/>
          <w:szCs w:val="16"/>
        </w:rPr>
        <w:t xml:space="preserve">  </w:t>
      </w:r>
      <w:r w:rsidRPr="00925F26">
        <w:rPr>
          <w:color w:val="000000" w:themeColor="text1"/>
          <w:sz w:val="16"/>
          <w:szCs w:val="16"/>
        </w:rPr>
        <w:t>км. Вооружение состояло из 6 × 20-мм пушек и 910 кг бомб.</w:t>
      </w:r>
    </w:p>
    <w:p w14:paraId="108FA327" w14:textId="77777777" w:rsidR="00F0528A" w:rsidRPr="00925F26" w:rsidRDefault="00F0528A" w:rsidP="00925F26">
      <w:pPr>
        <w:jc w:val="both"/>
        <w:rPr>
          <w:color w:val="000000" w:themeColor="text1"/>
          <w:sz w:val="16"/>
          <w:szCs w:val="16"/>
        </w:rPr>
      </w:pPr>
      <w:r w:rsidRPr="00925F26">
        <w:rPr>
          <w:color w:val="000000" w:themeColor="text1"/>
          <w:sz w:val="16"/>
          <w:szCs w:val="16"/>
        </w:rPr>
        <w:t>Смешанная силовая установка не оправдала себя на испытаниях. К тому же, война закончилась и необходимость в таком истребителе отпала. Два построенных прототипа XP-81 отправились мишенями на полигон. После, то, что от них осталось передали в Национальный музей ВВС США (22300).</w:t>
      </w:r>
    </w:p>
    <w:p w14:paraId="7172CEDB" w14:textId="77777777" w:rsidR="00F0528A" w:rsidRPr="00925F26" w:rsidRDefault="00F0528A" w:rsidP="00925F26">
      <w:pPr>
        <w:jc w:val="both"/>
        <w:rPr>
          <w:color w:val="000000" w:themeColor="text1"/>
          <w:sz w:val="16"/>
          <w:szCs w:val="16"/>
        </w:rPr>
      </w:pPr>
    </w:p>
    <w:p w14:paraId="5C769088" w14:textId="737DB751" w:rsidR="00F0528A" w:rsidRPr="00925F26" w:rsidRDefault="00F0528A" w:rsidP="00925F26">
      <w:pPr>
        <w:jc w:val="both"/>
        <w:rPr>
          <w:color w:val="000000" w:themeColor="text1"/>
          <w:sz w:val="16"/>
          <w:szCs w:val="16"/>
        </w:rPr>
      </w:pPr>
      <w:r w:rsidRPr="00925F26">
        <w:rPr>
          <w:color w:val="000000" w:themeColor="text1"/>
          <w:sz w:val="16"/>
          <w:szCs w:val="16"/>
        </w:rPr>
        <w:t xml:space="preserve">11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дальнего эскортного </w:t>
      </w:r>
      <w:proofErr w:type="gramStart"/>
      <w:r w:rsidRPr="00925F26">
        <w:rPr>
          <w:color w:val="000000" w:themeColor="text1"/>
          <w:sz w:val="16"/>
          <w:szCs w:val="16"/>
        </w:rPr>
        <w:t>истребителя</w:t>
      </w:r>
      <w:r w:rsidR="00997EDF" w:rsidRPr="00925F26">
        <w:rPr>
          <w:color w:val="000000" w:themeColor="text1"/>
          <w:sz w:val="16"/>
          <w:szCs w:val="16"/>
        </w:rPr>
        <w:t xml:space="preserve">  </w:t>
      </w:r>
      <w:r w:rsidRPr="00925F26">
        <w:rPr>
          <w:color w:val="000000" w:themeColor="text1"/>
          <w:sz w:val="16"/>
          <w:szCs w:val="16"/>
        </w:rPr>
        <w:t>Consolidated</w:t>
      </w:r>
      <w:proofErr w:type="gramEnd"/>
      <w:r w:rsidRPr="00925F26">
        <w:rPr>
          <w:color w:val="000000" w:themeColor="text1"/>
          <w:sz w:val="16"/>
          <w:szCs w:val="16"/>
        </w:rPr>
        <w:t xml:space="preserve"> Vultee XP-81.</w:t>
      </w:r>
    </w:p>
    <w:p w14:paraId="4B939DAD" w14:textId="77777777" w:rsidR="00F0528A" w:rsidRPr="00925F26" w:rsidRDefault="00F0528A" w:rsidP="00925F26">
      <w:pPr>
        <w:jc w:val="both"/>
        <w:rPr>
          <w:color w:val="000000" w:themeColor="text1"/>
          <w:sz w:val="16"/>
          <w:szCs w:val="16"/>
        </w:rPr>
      </w:pPr>
      <w:r w:rsidRPr="00925F26">
        <w:rPr>
          <w:color w:val="000000" w:themeColor="text1"/>
          <w:sz w:val="16"/>
          <w:szCs w:val="16"/>
        </w:rPr>
        <w:t xml:space="preserve">После слияния в 1943 году фирм Consolidated и Vultee в одну корпорацию Convair одной из первых совместных разработок объединенного конструкторского бюро стал истребитель ХР-81. В то время силу набирала программа строительства реактивных самолётов, хотя наибольший приоритет пока отдавался машинам с поршневыми двигателями. Наибольший недостаток самолётов на реактивной тяге заключался в чрезмерно большом потреблении топлива, что отрицательно </w:t>
      </w:r>
      <w:r w:rsidRPr="00925F26">
        <w:rPr>
          <w:color w:val="000000" w:themeColor="text1"/>
          <w:sz w:val="16"/>
          <w:szCs w:val="16"/>
        </w:rPr>
        <w:lastRenderedPageBreak/>
        <w:t xml:space="preserve">сказывалось на продолжительности и дальности полёта. В качестве преимущества упор делался на высокую максимальную скорость чего так не хватало обычным самолётам. Выход казался в компромиссном варианте - соединении только появившегося, но очень перспективного, турбовинтового и реактивного двигателей, что и было оформлено в середине 1943 года </w:t>
      </w:r>
      <w:proofErr w:type="gramStart"/>
      <w:r w:rsidRPr="00925F26">
        <w:rPr>
          <w:color w:val="000000" w:themeColor="text1"/>
          <w:sz w:val="16"/>
          <w:szCs w:val="16"/>
        </w:rPr>
        <w:t>соответствующей спецификацией</w:t>
      </w:r>
      <w:proofErr w:type="gramEnd"/>
      <w:r w:rsidRPr="00925F26">
        <w:rPr>
          <w:color w:val="000000" w:themeColor="text1"/>
          <w:sz w:val="16"/>
          <w:szCs w:val="16"/>
        </w:rPr>
        <w:t xml:space="preserve"> выданной USАAF. Принцип использования обеих силовых установок заключался в следующем: старт осуществлялся при помощи реактивной тяги, а в горизонтальном полете включался турбовинтовой двигатель.</w:t>
      </w:r>
    </w:p>
    <w:p w14:paraId="7914E1BE" w14:textId="77777777" w:rsidR="00F0528A" w:rsidRPr="00925F26" w:rsidRDefault="00F0528A" w:rsidP="00925F26">
      <w:pPr>
        <w:jc w:val="both"/>
        <w:rPr>
          <w:color w:val="000000" w:themeColor="text1"/>
          <w:sz w:val="16"/>
          <w:szCs w:val="16"/>
        </w:rPr>
      </w:pPr>
      <w:r w:rsidRPr="00925F26">
        <w:rPr>
          <w:color w:val="000000" w:themeColor="text1"/>
          <w:sz w:val="16"/>
          <w:szCs w:val="16"/>
        </w:rPr>
        <w:t>Самое деятельное участие в создании истребителя со смешанной силовой установкой приняли инженер фирмы Vultee Чарльз Р."Джек" Ирвин и лётчик-испытатель Фрэнк В.Дэвис, сотрудничавшие со специалистами из USAAF. Совместными усилиями они спроектировали одноместный истребитель с низкорасположенным крылом, у которого экспериментальный турбовинтовой двигатель General Electric TG-100 (позднее переименованный в ХТ31) устанавливался в носовой части фюзеляжа, а реактивный Allison J33-GE-5 в хвостовой. Подача воздуха для него осуществлялась через два воздухозаборника расположенные на "спине" в средней части фюзеляжа.</w:t>
      </w:r>
    </w:p>
    <w:p w14:paraId="31252571" w14:textId="77777777" w:rsidR="00F0528A" w:rsidRPr="00925F26" w:rsidRDefault="00F0528A" w:rsidP="00925F26">
      <w:pPr>
        <w:jc w:val="both"/>
        <w:rPr>
          <w:color w:val="000000" w:themeColor="text1"/>
          <w:sz w:val="16"/>
          <w:szCs w:val="16"/>
        </w:rPr>
      </w:pPr>
      <w:r w:rsidRPr="00925F26">
        <w:rPr>
          <w:color w:val="000000" w:themeColor="text1"/>
          <w:sz w:val="16"/>
          <w:szCs w:val="16"/>
        </w:rPr>
        <w:t>Заканчивающаяся война и захват близлежащих к Японии островов привели к отказу ВВС от дальнего эскортного истребителя. Заказ на 13 предсерийных YР-81 аннулировали (22601).</w:t>
      </w:r>
    </w:p>
    <w:p w14:paraId="791A3DC8" w14:textId="77777777" w:rsidR="00F0528A" w:rsidRPr="00925F26" w:rsidRDefault="00F0528A" w:rsidP="00925F26">
      <w:pPr>
        <w:jc w:val="both"/>
        <w:rPr>
          <w:color w:val="000000" w:themeColor="text1"/>
          <w:sz w:val="16"/>
          <w:szCs w:val="16"/>
        </w:rPr>
      </w:pPr>
    </w:p>
    <w:p w14:paraId="7EC12AC6" w14:textId="77777777" w:rsidR="00F0528A" w:rsidRPr="00925F26" w:rsidRDefault="00F0528A" w:rsidP="00925F26">
      <w:pPr>
        <w:jc w:val="both"/>
        <w:rPr>
          <w:color w:val="000000" w:themeColor="text1"/>
          <w:sz w:val="16"/>
          <w:szCs w:val="16"/>
        </w:rPr>
      </w:pPr>
      <w:r w:rsidRPr="00925F26">
        <w:rPr>
          <w:color w:val="000000" w:themeColor="text1"/>
          <w:sz w:val="16"/>
          <w:szCs w:val="16"/>
        </w:rPr>
        <w:t>11 февраля 1945 реактивный бомбардировщик впервые сбит в воздушном бою, когда Hawker Tempest Mark V Королевских ВВС сбивает немецкий Luftwaffe Arado Ar 234B Blitz (Lightning) (20371).</w:t>
      </w:r>
    </w:p>
    <w:p w14:paraId="5392D75A" w14:textId="77777777" w:rsidR="00F0528A" w:rsidRPr="00925F26" w:rsidRDefault="00F0528A" w:rsidP="00925F26">
      <w:pPr>
        <w:jc w:val="both"/>
        <w:rPr>
          <w:color w:val="000000" w:themeColor="text1"/>
          <w:sz w:val="16"/>
          <w:szCs w:val="16"/>
        </w:rPr>
      </w:pPr>
    </w:p>
    <w:p w14:paraId="55171198" w14:textId="77777777" w:rsidR="00DB43FF" w:rsidRPr="00925F26" w:rsidRDefault="00DB43FF" w:rsidP="00925F26">
      <w:pPr>
        <w:jc w:val="both"/>
        <w:rPr>
          <w:color w:val="000000" w:themeColor="text1"/>
          <w:sz w:val="16"/>
          <w:szCs w:val="16"/>
        </w:rPr>
      </w:pPr>
      <w:r w:rsidRPr="00925F26">
        <w:rPr>
          <w:bCs/>
          <w:color w:val="000000" w:themeColor="text1"/>
          <w:sz w:val="16"/>
          <w:szCs w:val="16"/>
        </w:rPr>
        <w:t>11 февраля</w:t>
      </w:r>
      <w:r w:rsidRPr="00925F26">
        <w:rPr>
          <w:color w:val="000000" w:themeColor="text1"/>
          <w:sz w:val="16"/>
          <w:szCs w:val="16"/>
        </w:rPr>
        <w:t xml:space="preserve"> в 1945 году командир 174 эскадрильи Д.С.Фербенкс (D.C.Fairbanks) сбил над аэродромом Рейн при заходе на посадку самолет «Ar.234В2» (зав. № 140149, код 4V*DH), принадлежавший отряду 1(F)/123, в котором погиб капитан Г.Фельд (H.Felde). «Аг 234В-2» — первый одноместный серийный реактивный бомбардировщик. Вооружение — две неподвижные пушки MG 151. стрелявшие параллельно оси фюзеляжа назад, с боезапасом по 250 выстрелов на ствол. Бомбовая нагрузка могла браться в трех вариантах: одна бомба 1000 кг — под фюзеляжем, 2 бомбы по 500 кг — под гондолами двигателей, одна бомба 500 кг — под фюзеляжем и две бомбы по 250 кг — под гондолами двигателей.</w:t>
      </w:r>
    </w:p>
    <w:p w14:paraId="710AC5AA" w14:textId="77777777" w:rsidR="00DB43FF" w:rsidRPr="00925F26" w:rsidRDefault="00DB43FF" w:rsidP="00925F26">
      <w:pPr>
        <w:jc w:val="both"/>
        <w:rPr>
          <w:color w:val="000000" w:themeColor="text1"/>
          <w:sz w:val="16"/>
          <w:szCs w:val="16"/>
        </w:rPr>
      </w:pPr>
      <w:r w:rsidRPr="00925F26">
        <w:rPr>
          <w:color w:val="000000" w:themeColor="text1"/>
          <w:sz w:val="16"/>
          <w:szCs w:val="16"/>
        </w:rPr>
        <w:t>Он стал первым серийным самолетом с неподвижным оружием для стрельбы назад. Это было вызвано появлением в последние годы войны высокоскоростных, но маломаневренных реактивных истребителей, в связи с чем линия погони в воздушном бою приближалась к прямой и наиболее вероятной для истребителя являлась атака бомбардировщика с хвоста (15037).</w:t>
      </w:r>
    </w:p>
    <w:p w14:paraId="454DF59B" w14:textId="77777777" w:rsidR="00DB43FF" w:rsidRPr="00925F26" w:rsidRDefault="00DB43FF" w:rsidP="00925F26">
      <w:pPr>
        <w:jc w:val="both"/>
        <w:rPr>
          <w:color w:val="000000" w:themeColor="text1"/>
          <w:sz w:val="16"/>
          <w:szCs w:val="16"/>
        </w:rPr>
      </w:pPr>
    </w:p>
    <w:p w14:paraId="5AD4160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февраля 1945 в Германии женщины от 16 до 60 лет призваны в “фольксштурм” (4962).</w:t>
      </w:r>
    </w:p>
    <w:p w14:paraId="155EA2E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A9D2C6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февраля 1945 в освобожденной от фашистов Бельгии сформировано правительство национального единства (4962).</w:t>
      </w:r>
    </w:p>
    <w:p w14:paraId="2ABD17C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45F52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февраля 1945 лидеры русской белой эмиграции в Париже приветствовали победы Красной Армии (4962).</w:t>
      </w:r>
    </w:p>
    <w:p w14:paraId="1DDA941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56EFACF" w14:textId="77777777" w:rsidR="00DB43FF" w:rsidRPr="00925F26" w:rsidRDefault="00DB43FF" w:rsidP="00925F26">
      <w:pPr>
        <w:jc w:val="both"/>
        <w:rPr>
          <w:color w:val="000000" w:themeColor="text1"/>
          <w:sz w:val="16"/>
          <w:szCs w:val="16"/>
        </w:rPr>
      </w:pPr>
      <w:r w:rsidRPr="00925F26">
        <w:rPr>
          <w:bCs/>
          <w:color w:val="000000" w:themeColor="text1"/>
          <w:sz w:val="16"/>
          <w:szCs w:val="16"/>
        </w:rPr>
        <w:t>11 февраля</w:t>
      </w:r>
      <w:r w:rsidRPr="00925F26">
        <w:rPr>
          <w:color w:val="000000" w:themeColor="text1"/>
          <w:sz w:val="16"/>
          <w:szCs w:val="16"/>
        </w:rPr>
        <w:t xml:space="preserve"> в 1945 году в Финляндии вышла первая книжка Туве Янссон о приключениях муми-троллей «Маленькие тролли и большое наводнение» (15037).</w:t>
      </w:r>
    </w:p>
    <w:p w14:paraId="6D98BE99" w14:textId="77777777" w:rsidR="00DB43FF" w:rsidRPr="00925F26" w:rsidRDefault="00DB43FF" w:rsidP="00925F26">
      <w:pPr>
        <w:jc w:val="both"/>
        <w:rPr>
          <w:color w:val="000000" w:themeColor="text1"/>
          <w:sz w:val="16"/>
          <w:szCs w:val="16"/>
        </w:rPr>
      </w:pPr>
    </w:p>
    <w:p w14:paraId="17D4E6E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DAACE02" w14:textId="77777777" w:rsidR="00665165" w:rsidRPr="00925F26" w:rsidRDefault="00665165" w:rsidP="00925F26">
      <w:pPr>
        <w:autoSpaceDE w:val="0"/>
        <w:autoSpaceDN w:val="0"/>
        <w:adjustRightInd w:val="0"/>
        <w:jc w:val="both"/>
        <w:rPr>
          <w:iCs/>
          <w:color w:val="000000" w:themeColor="text1"/>
          <w:sz w:val="16"/>
          <w:szCs w:val="16"/>
        </w:rPr>
      </w:pPr>
    </w:p>
    <w:p w14:paraId="7CAE15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12 - 17 февраля 1945 года. VIII Пленум ЦК профсоюза. Из доклада А.М. Вассермана (подводит итоги работы за время войны): "... В первый год или, вернее, полугодие, состав президиума, да и в целом состав ответственных работников ЦК союза, в связи с уходом в Красную Армию значительно сократился. Так, из 37 ответственных работников ЦК ушло в Красную Армию 22 человека, а из 9 членов президиума осталось только двое. Некоторые из ушедших товарищей, защищая нашу Родину, пали смертью храбрых. Остальные и сейчас со всем советским патриотизмом бьют фашистского зверя в его собственной берлоге. ... Созванный в ноябре 1942 года V пленум ЦК союза явился поворотным моментом в работе президиума и в целом ЦК нашей промышленности... После V пленума президиум ЦК союза взял твердый курс на коренное улучшение работы профсоюзных организаций в дни Отечественной войны. ... За бесперебойное снабжение фронта самолетами во все возрастающем количестве в 1941-1943 гг. правительством были награждены орденами целый ряд заводов АП, как-то: №№ 1, 18, 21, 24 и другие. За годы Отечественной войны 5384 рабочих, инженеров, техников и служащих АП награждены правительством орденами и медалями... До войны мы имели при заводах нашей промышленности 35 клубов. В начале войны большинство клубов было занято под специальные цели, часть клубного имущества при эвакуации была растеряна…В настоящее время мы имеем 64 действующих клуба. Огромные государственные ассигнования позволили НКАП в годы войны наращивать наличный жилой фонд от 12 % до 25 % ежегодно. ... Президиумом ЦК союза и заводскими комитетами была проведена большая работа по организации летнего отдыха детей. В 1944 году вывезли детей в п/лагеря 59 100 человек. По плану, утвержденному ВЦСПС, должны были вывести 50 000 детей</w:t>
      </w:r>
      <w:proofErr w:type="gramStart"/>
      <w:r w:rsidRPr="00925F26">
        <w:rPr>
          <w:color w:val="000000" w:themeColor="text1"/>
          <w:sz w:val="16"/>
          <w:szCs w:val="16"/>
        </w:rPr>
        <w:t xml:space="preserve"> ..</w:t>
      </w:r>
      <w:proofErr w:type="gramEnd"/>
      <w:r w:rsidRPr="00925F26">
        <w:rPr>
          <w:color w:val="000000" w:themeColor="text1"/>
          <w:sz w:val="16"/>
          <w:szCs w:val="16"/>
        </w:rPr>
        <w:t>,. В 1945 году нам предстоит в полтора раза увеличить вывоз детей в пионерлагеря... ... На 01.01.45 года мы имеем членов профсоюза 83,4%..." (11764).</w:t>
      </w:r>
    </w:p>
    <w:p w14:paraId="3D768D8B" w14:textId="77777777" w:rsidR="00665165" w:rsidRPr="00925F26" w:rsidRDefault="00665165" w:rsidP="00925F26">
      <w:pPr>
        <w:autoSpaceDE w:val="0"/>
        <w:autoSpaceDN w:val="0"/>
        <w:adjustRightInd w:val="0"/>
        <w:jc w:val="both"/>
        <w:rPr>
          <w:color w:val="000000" w:themeColor="text1"/>
          <w:sz w:val="16"/>
          <w:szCs w:val="16"/>
        </w:rPr>
      </w:pPr>
    </w:p>
    <w:p w14:paraId="0820D19C" w14:textId="77777777" w:rsidR="00720DFE" w:rsidRPr="00925F26" w:rsidRDefault="00720DFE" w:rsidP="00925F26">
      <w:pPr>
        <w:jc w:val="both"/>
        <w:rPr>
          <w:color w:val="000000" w:themeColor="text1"/>
          <w:sz w:val="16"/>
          <w:szCs w:val="16"/>
        </w:rPr>
      </w:pPr>
      <w:r w:rsidRPr="00925F26">
        <w:rPr>
          <w:color w:val="000000" w:themeColor="text1"/>
          <w:sz w:val="16"/>
          <w:szCs w:val="16"/>
        </w:rPr>
        <w:t>12 – 17 февраля 1945 года VIII Пленум ЦК профсоюза работников АП.</w:t>
      </w:r>
    </w:p>
    <w:p w14:paraId="6E16056B" w14:textId="77777777" w:rsidR="00720DFE" w:rsidRPr="00925F26" w:rsidRDefault="00720DFE" w:rsidP="00925F26">
      <w:pPr>
        <w:jc w:val="both"/>
        <w:rPr>
          <w:color w:val="000000" w:themeColor="text1"/>
          <w:sz w:val="16"/>
          <w:szCs w:val="16"/>
        </w:rPr>
      </w:pPr>
      <w:r w:rsidRPr="00925F26">
        <w:rPr>
          <w:color w:val="000000" w:themeColor="text1"/>
          <w:sz w:val="16"/>
          <w:szCs w:val="16"/>
        </w:rPr>
        <w:t>Из доклада А. М. Вассермана (подводит итоги работы за время войны):</w:t>
      </w:r>
    </w:p>
    <w:p w14:paraId="5DDAB91A" w14:textId="77777777" w:rsidR="00720DFE" w:rsidRPr="00925F26" w:rsidRDefault="00720DFE" w:rsidP="00925F26">
      <w:pPr>
        <w:jc w:val="both"/>
        <w:rPr>
          <w:color w:val="000000" w:themeColor="text1"/>
          <w:sz w:val="16"/>
          <w:szCs w:val="16"/>
        </w:rPr>
      </w:pPr>
      <w:r w:rsidRPr="00925F26">
        <w:rPr>
          <w:color w:val="000000" w:themeColor="text1"/>
          <w:sz w:val="16"/>
          <w:szCs w:val="16"/>
        </w:rPr>
        <w:t>"...В первый год или, вернее, полугодие, состав президиума, да и в целом состав ответственных работников ЦК союза, в связи с уходом в Красную Армию значительно сократился. Так, из 37 ответственных работников ЦК ушло в Красную Армию 22 человека, а из 9 членов президиума осталось только двое. Некоторые из ушедших товарищей, защищая нашу Родину, пали смертью храбрых. Остальные и сейчас со всем советским патриотизмом бьют фашистского зверя в его собственной берлоге.</w:t>
      </w:r>
    </w:p>
    <w:p w14:paraId="2AFC158E" w14:textId="77777777" w:rsidR="00720DFE" w:rsidRPr="00925F26" w:rsidRDefault="00720DFE" w:rsidP="00925F26">
      <w:pPr>
        <w:jc w:val="both"/>
        <w:rPr>
          <w:color w:val="000000" w:themeColor="text1"/>
          <w:sz w:val="16"/>
          <w:szCs w:val="16"/>
        </w:rPr>
      </w:pPr>
      <w:r w:rsidRPr="00925F26">
        <w:rPr>
          <w:color w:val="000000" w:themeColor="text1"/>
          <w:sz w:val="16"/>
          <w:szCs w:val="16"/>
        </w:rPr>
        <w:t>...Созванный в ноябре 1942 года V пленум ЦК союза явился поворотным моментом в работе президиума и в целом ЦК нашей промышленности... После V пленума президиум ЦК союза взял твердый курс на коренное улучшение работы профсоюзных организаций в дни Отечественной войны.</w:t>
      </w:r>
    </w:p>
    <w:p w14:paraId="23D3ACC6"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 За бесперебойное снабжение фронта самолетами во все возрастающем количестве в 1941-1943 гг. правительством были награждены орденами целый ряд заводов АП, </w:t>
      </w:r>
      <w:proofErr w:type="gramStart"/>
      <w:r w:rsidRPr="00925F26">
        <w:rPr>
          <w:color w:val="000000" w:themeColor="text1"/>
          <w:sz w:val="16"/>
          <w:szCs w:val="16"/>
        </w:rPr>
        <w:t>как то</w:t>
      </w:r>
      <w:proofErr w:type="gramEnd"/>
      <w:r w:rsidRPr="00925F26">
        <w:rPr>
          <w:color w:val="000000" w:themeColor="text1"/>
          <w:sz w:val="16"/>
          <w:szCs w:val="16"/>
        </w:rPr>
        <w:t>: №№ 1, 18, 21, 24 и другие. За годы Отечественной войны 5384 рабочих, инженеров, техников и служащих АП награждены правительством орденами и медалями...</w:t>
      </w:r>
    </w:p>
    <w:p w14:paraId="0A97E6A6" w14:textId="77777777" w:rsidR="00720DFE" w:rsidRPr="00925F26" w:rsidRDefault="00720DFE" w:rsidP="00925F26">
      <w:pPr>
        <w:jc w:val="both"/>
        <w:rPr>
          <w:color w:val="000000" w:themeColor="text1"/>
          <w:sz w:val="16"/>
          <w:szCs w:val="16"/>
        </w:rPr>
      </w:pPr>
      <w:r w:rsidRPr="00925F26">
        <w:rPr>
          <w:color w:val="000000" w:themeColor="text1"/>
          <w:sz w:val="16"/>
          <w:szCs w:val="16"/>
        </w:rPr>
        <w:t>До войны мы имели при заводах нашей промышленности 35 клубов. В начале войны большинство клубов было занято под специальные цели, часть клубного имущества при эвакуации была растеряна... В настоящее время мы имеем 64 действующих клуба.</w:t>
      </w:r>
    </w:p>
    <w:p w14:paraId="0078230F" w14:textId="77777777" w:rsidR="00720DFE" w:rsidRPr="00925F26" w:rsidRDefault="00720DFE" w:rsidP="00925F26">
      <w:pPr>
        <w:jc w:val="both"/>
        <w:rPr>
          <w:color w:val="000000" w:themeColor="text1"/>
          <w:sz w:val="16"/>
          <w:szCs w:val="16"/>
        </w:rPr>
      </w:pPr>
      <w:r w:rsidRPr="00925F26">
        <w:rPr>
          <w:color w:val="000000" w:themeColor="text1"/>
          <w:sz w:val="16"/>
          <w:szCs w:val="16"/>
        </w:rPr>
        <w:t>Огромные государственные ассигнования позволили НКАП в годы войны наращивать наличный жилой фонд от 12% до 25% ежегодно.</w:t>
      </w:r>
    </w:p>
    <w:p w14:paraId="1BE5A522" w14:textId="77777777" w:rsidR="00720DFE" w:rsidRPr="00925F26" w:rsidRDefault="00720DFE" w:rsidP="00925F26">
      <w:pPr>
        <w:jc w:val="both"/>
        <w:rPr>
          <w:color w:val="000000" w:themeColor="text1"/>
          <w:sz w:val="16"/>
          <w:szCs w:val="16"/>
        </w:rPr>
      </w:pPr>
      <w:r w:rsidRPr="00925F26">
        <w:rPr>
          <w:color w:val="000000" w:themeColor="text1"/>
          <w:sz w:val="16"/>
          <w:szCs w:val="16"/>
        </w:rPr>
        <w:t>...Президиумом ЦК союза и заводскими комитетами была проведена большая работа по организации летнего отдыха детей.</w:t>
      </w:r>
    </w:p>
    <w:p w14:paraId="53FCC30C" w14:textId="77777777" w:rsidR="00720DFE" w:rsidRPr="00925F26" w:rsidRDefault="00720DFE" w:rsidP="00925F26">
      <w:pPr>
        <w:jc w:val="both"/>
        <w:rPr>
          <w:color w:val="000000" w:themeColor="text1"/>
          <w:sz w:val="16"/>
          <w:szCs w:val="16"/>
        </w:rPr>
      </w:pPr>
      <w:r w:rsidRPr="00925F26">
        <w:rPr>
          <w:color w:val="000000" w:themeColor="text1"/>
          <w:sz w:val="16"/>
          <w:szCs w:val="16"/>
        </w:rPr>
        <w:t>В 1944 году вывезли детей в п/лагеря 59 100 человек. По плану, утвержденному ВЦСПС, должны были вывести 50 000 детей ... В 1945 году нам предстоит в полтора раза увеличить вывоз детей в пионерлагеря...</w:t>
      </w:r>
    </w:p>
    <w:p w14:paraId="22D38375" w14:textId="77777777" w:rsidR="00720DFE" w:rsidRPr="00925F26" w:rsidRDefault="00720DFE" w:rsidP="00925F26">
      <w:pPr>
        <w:jc w:val="both"/>
        <w:rPr>
          <w:color w:val="000000" w:themeColor="text1"/>
          <w:sz w:val="16"/>
          <w:szCs w:val="16"/>
        </w:rPr>
      </w:pPr>
      <w:r w:rsidRPr="00925F26">
        <w:rPr>
          <w:color w:val="000000" w:themeColor="text1"/>
          <w:sz w:val="16"/>
          <w:szCs w:val="16"/>
        </w:rPr>
        <w:t>...На 01.01.45 года мы имеем членов профсоюза 83,4%..." (15496).</w:t>
      </w:r>
    </w:p>
    <w:p w14:paraId="2766E471" w14:textId="77777777" w:rsidR="00720DFE" w:rsidRPr="00925F26" w:rsidRDefault="00720DFE" w:rsidP="00925F26">
      <w:pPr>
        <w:jc w:val="both"/>
        <w:rPr>
          <w:color w:val="000000" w:themeColor="text1"/>
          <w:sz w:val="16"/>
          <w:szCs w:val="16"/>
        </w:rPr>
      </w:pPr>
    </w:p>
    <w:p w14:paraId="31567AB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DAEE379" w14:textId="77777777" w:rsidR="00665165" w:rsidRPr="00925F26" w:rsidRDefault="00665165" w:rsidP="00925F26">
      <w:pPr>
        <w:autoSpaceDE w:val="0"/>
        <w:autoSpaceDN w:val="0"/>
        <w:adjustRightInd w:val="0"/>
        <w:jc w:val="both"/>
        <w:rPr>
          <w:iCs/>
          <w:color w:val="000000" w:themeColor="text1"/>
          <w:sz w:val="16"/>
          <w:szCs w:val="16"/>
        </w:rPr>
      </w:pPr>
    </w:p>
    <w:p w14:paraId="60E01343" w14:textId="77777777" w:rsidR="00230159" w:rsidRPr="001A0BAA" w:rsidRDefault="00230159" w:rsidP="00230159">
      <w:pPr>
        <w:jc w:val="both"/>
        <w:rPr>
          <w:color w:val="0070C0"/>
          <w:sz w:val="16"/>
          <w:szCs w:val="16"/>
        </w:rPr>
      </w:pPr>
      <w:r w:rsidRPr="001A0BAA">
        <w:rPr>
          <w:color w:val="0070C0"/>
          <w:sz w:val="16"/>
          <w:szCs w:val="16"/>
        </w:rPr>
        <w:t>12 февраля 1945 г. на НИБТПолигон для испытаний обстрелом были отправлены два корпуса ИС-3 (объект 703). Полигонные испытания проводились с 23 марта по 11 апреля 1945 года под руковод</w:t>
      </w:r>
      <w:r w:rsidRPr="001A0BAA">
        <w:rPr>
          <w:color w:val="0070C0"/>
          <w:sz w:val="16"/>
          <w:szCs w:val="16"/>
        </w:rPr>
        <w:softHyphen/>
        <w:t>ством инженер-полковника А.И.Благонравова (25001).</w:t>
      </w:r>
    </w:p>
    <w:p w14:paraId="0F4FDCA4" w14:textId="77777777" w:rsidR="00230159" w:rsidRPr="001A0BAA" w:rsidRDefault="00230159" w:rsidP="00230159">
      <w:pPr>
        <w:jc w:val="both"/>
        <w:rPr>
          <w:color w:val="0070C0"/>
          <w:sz w:val="16"/>
          <w:szCs w:val="16"/>
        </w:rPr>
      </w:pPr>
    </w:p>
    <w:p w14:paraId="195971C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февраля 1945 вышло Распоряжение ГКО № 7535 [О мерах по выполнению программы производства водомаслозаправщиков в артелях Управления промкооперации при СНК РСФСР.] (7308, 221-222,223-225).</w:t>
      </w:r>
    </w:p>
    <w:p w14:paraId="176D8F9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12A8093" w14:textId="77777777" w:rsidR="00720DF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69376BF" w14:textId="77777777" w:rsidR="00720DFE" w:rsidRPr="00925F26" w:rsidRDefault="00720DFE" w:rsidP="00925F26">
      <w:pPr>
        <w:autoSpaceDE w:val="0"/>
        <w:autoSpaceDN w:val="0"/>
        <w:adjustRightInd w:val="0"/>
        <w:jc w:val="both"/>
        <w:rPr>
          <w:iCs/>
          <w:color w:val="000000" w:themeColor="text1"/>
          <w:sz w:val="16"/>
          <w:szCs w:val="16"/>
        </w:rPr>
      </w:pPr>
    </w:p>
    <w:p w14:paraId="523F5414" w14:textId="77777777" w:rsidR="00720DFE" w:rsidRPr="00925F26" w:rsidRDefault="00720DFE" w:rsidP="00925F26">
      <w:pPr>
        <w:jc w:val="both"/>
        <w:rPr>
          <w:color w:val="000000" w:themeColor="text1"/>
          <w:sz w:val="16"/>
          <w:szCs w:val="16"/>
        </w:rPr>
      </w:pPr>
      <w:r w:rsidRPr="00925F26">
        <w:rPr>
          <w:bCs/>
          <w:color w:val="000000" w:themeColor="text1"/>
          <w:sz w:val="16"/>
          <w:szCs w:val="16"/>
        </w:rPr>
        <w:t>12 февраля</w:t>
      </w:r>
      <w:r w:rsidRPr="00925F26">
        <w:rPr>
          <w:color w:val="000000" w:themeColor="text1"/>
          <w:sz w:val="16"/>
          <w:szCs w:val="16"/>
        </w:rPr>
        <w:t xml:space="preserve"> в 1945 году оперативная сводка Совинформбюро:</w:t>
      </w:r>
    </w:p>
    <w:p w14:paraId="6289632C" w14:textId="77777777" w:rsidR="00720DFE" w:rsidRPr="00925F26" w:rsidRDefault="00720DFE" w:rsidP="00925F26">
      <w:pPr>
        <w:jc w:val="both"/>
        <w:rPr>
          <w:color w:val="000000" w:themeColor="text1"/>
          <w:sz w:val="16"/>
          <w:szCs w:val="16"/>
        </w:rPr>
      </w:pPr>
      <w:r w:rsidRPr="00925F26">
        <w:rPr>
          <w:color w:val="000000" w:themeColor="text1"/>
          <w:sz w:val="16"/>
          <w:szCs w:val="16"/>
        </w:rPr>
        <w:t>«В течение 12 февраля севернее и северо-западнее города Быдгощ (Бромберг) наши войска в результате наступательных боёв овладели городом Швец, а также заняли более 120 других населённых пунктов, в том числе Гросс Цаппеен, Гацки, Широслав, Енджеево, Блондзмин, Любиво, Либенау, Драусниц, Плетциг.</w:t>
      </w:r>
    </w:p>
    <w:p w14:paraId="4BAE7C01" w14:textId="77777777" w:rsidR="00720DFE" w:rsidRPr="00925F26" w:rsidRDefault="00720DFE" w:rsidP="00925F26">
      <w:pPr>
        <w:jc w:val="both"/>
        <w:rPr>
          <w:color w:val="000000" w:themeColor="text1"/>
          <w:sz w:val="16"/>
          <w:szCs w:val="16"/>
        </w:rPr>
      </w:pPr>
      <w:r w:rsidRPr="00925F26">
        <w:rPr>
          <w:color w:val="000000" w:themeColor="text1"/>
          <w:sz w:val="16"/>
          <w:szCs w:val="16"/>
        </w:rPr>
        <w:t>По уточнённым данным, при ликвидации Торунской группировки противника и овладении городом Торунь (Торн) — с 1 по 9 февраля — войска 2-го Белорусского фронта взяли в плен свыше 15.000 немецких солдат и офицеров и захватили следующие трофеи: орудий — 270, пулемётов — 700, винтовок и автоматов— 7.500, автомашин — 1.200, повозок с военными грузами — 800, лошадей — 2.000, складов с вооружением, боеприпасами, продовольствием и другим военным имуществом — 202. Противник оставил на поле боя более 13.000 трупов солдат и офицеров.</w:t>
      </w:r>
    </w:p>
    <w:p w14:paraId="7FD81737" w14:textId="77777777" w:rsidR="00720DFE" w:rsidRPr="00925F26" w:rsidRDefault="00720DFE" w:rsidP="00925F26">
      <w:pPr>
        <w:jc w:val="both"/>
        <w:rPr>
          <w:color w:val="000000" w:themeColor="text1"/>
          <w:sz w:val="16"/>
          <w:szCs w:val="16"/>
        </w:rPr>
      </w:pPr>
      <w:r w:rsidRPr="00925F26">
        <w:rPr>
          <w:color w:val="000000" w:themeColor="text1"/>
          <w:sz w:val="16"/>
          <w:szCs w:val="16"/>
        </w:rPr>
        <w:lastRenderedPageBreak/>
        <w:t>Северо-западнее города Шнайдемюль наши войска, продолжая наступление, овладели на территории немецкой Померании городами Тютц, Каллис, Нойведель, а также с боями заняли более 40 других населённых пунктов, среди которых крупные населённые пункты Альт-Кертнитц, Бальстер, Гутсдорф, Вилдфорт. В боях за 11 февраля в этом районе наши войска взяли в плен более 1.300 немецких, солдат и офицеров.</w:t>
      </w:r>
    </w:p>
    <w:p w14:paraId="1FFF858E"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1-го Украинского фронта, развивая наступление западнее реки Одер, 12 февраля с боем овладели в немецкой Силезии городом Бунцлау — важным узлом коммуникаций и сильным опорным пунктом обороны немцев на реке Бобер, а также с боями заняли более 100 других населённых пунктов, в том числе крупные населённые пункты Раушвиц, Оттендорф, Гисмансдорф, Оберлешен, Китлиц-Требен, Нидер-Шенфельд, Томасвальдау, Войтсдорф. В боях за 10 и 11 февраля в этом районе войска 1-го Украинского фронта взяли в плен около 3.000 немецких солдат и офицеров и захватили на аэродромах 100 самолётов и 200 тяжёлых планеров противника.</w:t>
      </w:r>
    </w:p>
    <w:p w14:paraId="28B353B5"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трудных условиях горно-лесистой местности в полосе Карпат, 12 февраля штурмом овладели городом Бельско— крупным узлом коммуникаций и мощным опорным пунктом обороны немцев на подступах к Моравской Остраве, а также с боями заняли более 30 других населённых пунктов, среди которых крупные населённые пункты Струмень, Голясовице, Прухна, Рудзица, Ясеница, Явоже, Вильковице, Бучковице.</w:t>
      </w:r>
    </w:p>
    <w:p w14:paraId="029F064C" w14:textId="77777777" w:rsidR="00720DFE" w:rsidRPr="00925F26" w:rsidRDefault="00720DFE" w:rsidP="00925F26">
      <w:pPr>
        <w:jc w:val="both"/>
        <w:rPr>
          <w:color w:val="000000" w:themeColor="text1"/>
          <w:sz w:val="16"/>
          <w:szCs w:val="16"/>
        </w:rPr>
      </w:pPr>
      <w:r w:rsidRPr="00925F26">
        <w:rPr>
          <w:color w:val="000000" w:themeColor="text1"/>
          <w:sz w:val="16"/>
          <w:szCs w:val="16"/>
        </w:rPr>
        <w:t>В БудапештЕ наши войска, сломив сопротивление противника в западной части города (Буда), заняли более 200 кварталов, в том числе королевский замок и старую крепость, и к исходу дня завершали бои по ликвидации остатков окружённой группировки противника. В ходе боёв за 11 и 12 февраля в западной части города (БУДА), по предварительным данным, взято в плен более 30.000 солдат и офицеров противника.</w:t>
      </w:r>
    </w:p>
    <w:p w14:paraId="29C14649" w14:textId="77777777" w:rsidR="00720DFE" w:rsidRPr="00925F26" w:rsidRDefault="00720DF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76B22C98" w14:textId="77777777" w:rsidR="00720DFE" w:rsidRPr="00925F26" w:rsidRDefault="00720DFE" w:rsidP="00925F26">
      <w:pPr>
        <w:jc w:val="both"/>
        <w:rPr>
          <w:color w:val="000000" w:themeColor="text1"/>
          <w:sz w:val="16"/>
          <w:szCs w:val="16"/>
        </w:rPr>
      </w:pPr>
      <w:r w:rsidRPr="00925F26">
        <w:rPr>
          <w:color w:val="000000" w:themeColor="text1"/>
          <w:sz w:val="16"/>
          <w:szCs w:val="16"/>
        </w:rPr>
        <w:t>За 11 февраля на всех фронтах подбито и уничтожено 125 немецких танков. В воздушных боях и огнём зенитной артиллерии сбито 43 самолёта противника.</w:t>
      </w:r>
    </w:p>
    <w:p w14:paraId="2C65BE67" w14:textId="77777777" w:rsidR="00720DFE" w:rsidRPr="00925F26" w:rsidRDefault="00720DFE" w:rsidP="00925F26">
      <w:pPr>
        <w:jc w:val="both"/>
        <w:rPr>
          <w:color w:val="000000" w:themeColor="text1"/>
          <w:sz w:val="16"/>
          <w:szCs w:val="16"/>
        </w:rPr>
      </w:pPr>
      <w:r w:rsidRPr="00925F26">
        <w:rPr>
          <w:color w:val="000000" w:themeColor="text1"/>
          <w:sz w:val="16"/>
          <w:szCs w:val="16"/>
        </w:rPr>
        <w:t>Севернее и северо-западнее города Быдгощ наши войска продвинулись вперёд на 20 километров и выбили немцев из ряда сильно укреплённых пунктов. Советские. части переправились через реку Висла и завязали бои за город Швец. Противник оказывал упорное сопротивление и в течение дня предпринял десятки контратак. Сломив вражеское сопротивление, наши пехотинцы штурмом овладели городом Швец — опорным пунктом обороны немцев на левом берегу Вислы. Гарнизон противника уничтожен. Захвачены пленные и трофеи.</w:t>
      </w:r>
    </w:p>
    <w:p w14:paraId="56464092"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1-го Украинского фронта развивали наступление. Наши подвижные соединения и пехота, с боями продвигаясь вперёд, окружают и ликвидируют узлы сопротивления немцев. Советские танкисты, совершив стремительный двадцатикилометровый бросок, ворвались в город Бунцлау. Танкистов поддержали подоспевшие пехотные части. В упорном уличном бою наши войска сломили сопротивление немецкого гарнизона и овладели городом. Город Бунцлау расположен на восточном берегу реки Бобер и является важным узлом коммуникаций. Здесь сходятся четыре железных и много шоссейных дорог. В Бунцлау захвачены крупные склады с боеприпасами, снаряжением и продовольствием.</w:t>
      </w:r>
    </w:p>
    <w:p w14:paraId="602801FF" w14:textId="77777777" w:rsidR="00720DFE" w:rsidRPr="00925F26" w:rsidRDefault="00720DFE" w:rsidP="00925F26">
      <w:pPr>
        <w:jc w:val="both"/>
        <w:rPr>
          <w:color w:val="000000" w:themeColor="text1"/>
          <w:sz w:val="16"/>
          <w:szCs w:val="16"/>
        </w:rPr>
      </w:pPr>
      <w:r w:rsidRPr="00925F26">
        <w:rPr>
          <w:color w:val="000000" w:themeColor="text1"/>
          <w:sz w:val="16"/>
          <w:szCs w:val="16"/>
        </w:rPr>
        <w:t>Советские лётчики активно поддерживали наступление наших войск. В воздушных боях за день сбито 24 самолёта противника. Кроме того, наши истребители и штурмовики на аэродромах противника уничтожили 40 немецких самолётов.</w:t>
      </w:r>
    </w:p>
    <w:p w14:paraId="79E16F1F"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Ожесточённые бои произошли за город Бельско — мощный опорный пункт обороны противника, прикрывавший подступы к Моравской Остраве. Немцы занимали очень выгодные и сильно укреплённые позиции. С юго-востока и юга город прикрывают горные хребты — Бескид Малы и Бескид Сьляски. Установленные на склонах гор орудия и пулемёты простреливали все дороги, ведущие к Бельско с востока. К северу от города течёт река Бяла. На берегу этой реки немцы построили оборонительную полосу, состоявшую из железобетонных дотов, многочисленных линий окопов и траншей с бетонированными орудийными и пулемётными площадками. Наши пехотинцы и танкисты, поддержанные огнём артиллерии, форсировали реку Вяла и прорвали оборону противника на западном берегу реки. Затем советские войска нанесли удар в южном направлении и отрезали вражеской группировке все пути отхода на запад. Другие наши части перехватили дороги, идущие на юг. Таким образом, гарнизон города оказался в железном кольце советских войск. Сегодня наши войска штурмом овладели городом Бельско — узлом четырёх железных и восьми шоссейных дорог. Зажатые в восточной части города остатки разбитого вражеского гарнизона сложили оружие и сдались в плен.</w:t>
      </w:r>
    </w:p>
    <w:p w14:paraId="5870F025" w14:textId="77777777" w:rsidR="00720DFE" w:rsidRPr="00925F26" w:rsidRDefault="00720DFE" w:rsidP="00925F26">
      <w:pPr>
        <w:jc w:val="both"/>
        <w:rPr>
          <w:color w:val="000000" w:themeColor="text1"/>
          <w:sz w:val="16"/>
          <w:szCs w:val="16"/>
        </w:rPr>
      </w:pPr>
      <w:r w:rsidRPr="00925F26">
        <w:rPr>
          <w:color w:val="000000" w:themeColor="text1"/>
          <w:sz w:val="16"/>
          <w:szCs w:val="16"/>
        </w:rPr>
        <w:t>В боях за город Бельско советские воины проявили образцы высокого воинского мастерства и беззаветной храбрости. Танкисты офицера Гаева в одном бою истребили 150 немецких автоматчиков, 4 танка «Пантера» и 20 полевых орудий. Ефрейтор Мищенко подполз к железобетонному доту, в котором были установлены орудие и пулемёт. Отважный боец бросил в дот гранаты и уничтожил находившихся в нём гитлеровцев. Группа бойцов во главе с сержантом Кроля штурмом заняла укреплённое здание и взяла в плен 20 немцев.</w:t>
      </w:r>
    </w:p>
    <w:p w14:paraId="7FB9AD41" w14:textId="77777777" w:rsidR="00720DFE" w:rsidRPr="00925F26" w:rsidRDefault="00720DFE" w:rsidP="00925F26">
      <w:pPr>
        <w:jc w:val="both"/>
        <w:rPr>
          <w:color w:val="000000" w:themeColor="text1"/>
          <w:sz w:val="16"/>
          <w:szCs w:val="16"/>
        </w:rPr>
      </w:pPr>
      <w:r w:rsidRPr="00925F26">
        <w:rPr>
          <w:color w:val="000000" w:themeColor="text1"/>
          <w:sz w:val="16"/>
          <w:szCs w:val="16"/>
        </w:rPr>
        <w:t>В западной части города Будапешта наши войска сломили сопротивление окружённой группировки противника. Гвардейские подразделения очистили от гитлеровцев старинную крепость. Одновременно штурмовые группы Н-ской части штурмом заняли гору Геллертхедь. Занят также королевский замок. Вражеская оборона была полностью дезорганизована. Наши части усилили нажим со всех сторон. Немцы были вынуждены оставлять одну позицию за другой и отступать, устилая улицы города трупами своих солдат и офицеров. Завершаются бои по ликвидации отдельных очагов сопротивления противника. Большие колонны взятых в плен солдат и офицеров противника направляются на сборные пункты. В числе пленных командир 10-й венгерской пехотной дивизии полковник Леутский. Только бойцами Н-ской части захвачено 26 танков и самоходных орудий, 190 орудий, 18 паровозов и около 300 железнодорожных вагонов.» (15038).</w:t>
      </w:r>
    </w:p>
    <w:p w14:paraId="11389372" w14:textId="77777777" w:rsidR="00720DFE" w:rsidRPr="00925F26" w:rsidRDefault="00720DFE" w:rsidP="00925F26">
      <w:pPr>
        <w:jc w:val="both"/>
        <w:rPr>
          <w:color w:val="000000" w:themeColor="text1"/>
          <w:sz w:val="16"/>
          <w:szCs w:val="16"/>
        </w:rPr>
      </w:pPr>
    </w:p>
    <w:p w14:paraId="427D4791" w14:textId="77777777" w:rsidR="00720DF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B2F66A2" w14:textId="77777777" w:rsidR="00720DFE" w:rsidRPr="00925F26" w:rsidRDefault="00720DFE" w:rsidP="00925F26">
      <w:pPr>
        <w:autoSpaceDE w:val="0"/>
        <w:autoSpaceDN w:val="0"/>
        <w:adjustRightInd w:val="0"/>
        <w:jc w:val="both"/>
        <w:rPr>
          <w:iCs/>
          <w:color w:val="000000" w:themeColor="text1"/>
          <w:sz w:val="16"/>
          <w:szCs w:val="16"/>
        </w:rPr>
      </w:pPr>
    </w:p>
    <w:p w14:paraId="23C39E84" w14:textId="77777777" w:rsidR="00F0528A" w:rsidRPr="00925F26" w:rsidRDefault="00F0528A" w:rsidP="00925F26">
      <w:pPr>
        <w:jc w:val="both"/>
        <w:rPr>
          <w:color w:val="000000" w:themeColor="text1"/>
          <w:sz w:val="16"/>
          <w:szCs w:val="16"/>
        </w:rPr>
      </w:pPr>
      <w:r w:rsidRPr="00925F26">
        <w:rPr>
          <w:color w:val="000000" w:themeColor="text1"/>
          <w:sz w:val="16"/>
          <w:szCs w:val="16"/>
        </w:rPr>
        <w:t>12 февраля 1945 B-29 бомбят Иводзиму. В ходе этого рейда и их рейдов 24 и 29 января они сбросили на остров в общей сложности 367 тонн (332 940 кг) бомб (20371).</w:t>
      </w:r>
    </w:p>
    <w:p w14:paraId="22A4F67C" w14:textId="77777777" w:rsidR="00F0528A" w:rsidRPr="00925F26" w:rsidRDefault="00F0528A" w:rsidP="00925F26">
      <w:pPr>
        <w:jc w:val="both"/>
        <w:rPr>
          <w:color w:val="000000" w:themeColor="text1"/>
          <w:sz w:val="16"/>
          <w:szCs w:val="16"/>
        </w:rPr>
      </w:pPr>
    </w:p>
    <w:p w14:paraId="44813057" w14:textId="77777777" w:rsidR="00720DFE" w:rsidRPr="00925F26" w:rsidRDefault="00720DFE" w:rsidP="00925F26">
      <w:pPr>
        <w:jc w:val="both"/>
        <w:rPr>
          <w:color w:val="000000" w:themeColor="text1"/>
          <w:sz w:val="16"/>
          <w:szCs w:val="16"/>
        </w:rPr>
      </w:pPr>
      <w:r w:rsidRPr="00925F26">
        <w:rPr>
          <w:bCs/>
          <w:color w:val="000000" w:themeColor="text1"/>
          <w:sz w:val="16"/>
          <w:szCs w:val="16"/>
        </w:rPr>
        <w:t>12 февраля</w:t>
      </w:r>
      <w:r w:rsidRPr="00925F26">
        <w:rPr>
          <w:color w:val="000000" w:themeColor="text1"/>
          <w:sz w:val="16"/>
          <w:szCs w:val="16"/>
        </w:rPr>
        <w:t xml:space="preserve"> в 1945 году лидеры русской белой эмиграции в Париже приветствуют победы Красной Армии (15038).</w:t>
      </w:r>
    </w:p>
    <w:p w14:paraId="2B284B21" w14:textId="77777777" w:rsidR="00720DFE" w:rsidRPr="00925F26" w:rsidRDefault="00720DFE" w:rsidP="00925F26">
      <w:pPr>
        <w:jc w:val="both"/>
        <w:rPr>
          <w:color w:val="000000" w:themeColor="text1"/>
          <w:sz w:val="16"/>
          <w:szCs w:val="16"/>
        </w:rPr>
      </w:pPr>
    </w:p>
    <w:p w14:paraId="43D6FC71" w14:textId="77777777" w:rsidR="00720DFE" w:rsidRPr="00925F26" w:rsidRDefault="00720DFE" w:rsidP="00925F26">
      <w:pPr>
        <w:jc w:val="both"/>
        <w:rPr>
          <w:color w:val="000000" w:themeColor="text1"/>
          <w:sz w:val="16"/>
          <w:szCs w:val="16"/>
        </w:rPr>
      </w:pPr>
      <w:r w:rsidRPr="00925F26">
        <w:rPr>
          <w:bCs/>
          <w:color w:val="000000" w:themeColor="text1"/>
          <w:sz w:val="16"/>
          <w:szCs w:val="16"/>
        </w:rPr>
        <w:t>12 февраля</w:t>
      </w:r>
      <w:r w:rsidRPr="00925F26">
        <w:rPr>
          <w:color w:val="000000" w:themeColor="text1"/>
          <w:sz w:val="16"/>
          <w:szCs w:val="16"/>
        </w:rPr>
        <w:t xml:space="preserve"> в 1945 году в Германии женщины от 16 до 60 лет призываются в "фольксштурм" (15038).</w:t>
      </w:r>
    </w:p>
    <w:p w14:paraId="299F5185" w14:textId="77777777" w:rsidR="00720DFE" w:rsidRPr="00925F26" w:rsidRDefault="00720DFE" w:rsidP="00925F26">
      <w:pPr>
        <w:jc w:val="both"/>
        <w:rPr>
          <w:color w:val="000000" w:themeColor="text1"/>
          <w:sz w:val="16"/>
          <w:szCs w:val="16"/>
        </w:rPr>
      </w:pPr>
    </w:p>
    <w:p w14:paraId="60072651" w14:textId="77777777" w:rsidR="00720DFE" w:rsidRPr="00925F26" w:rsidRDefault="00720DFE" w:rsidP="00925F26">
      <w:pPr>
        <w:jc w:val="both"/>
        <w:rPr>
          <w:color w:val="000000" w:themeColor="text1"/>
          <w:sz w:val="16"/>
          <w:szCs w:val="16"/>
        </w:rPr>
      </w:pPr>
      <w:r w:rsidRPr="00925F26">
        <w:rPr>
          <w:bCs/>
          <w:color w:val="000000" w:themeColor="text1"/>
          <w:sz w:val="16"/>
          <w:szCs w:val="16"/>
        </w:rPr>
        <w:t>12 февраля</w:t>
      </w:r>
      <w:r w:rsidRPr="00925F26">
        <w:rPr>
          <w:color w:val="000000" w:themeColor="text1"/>
          <w:sz w:val="16"/>
          <w:szCs w:val="16"/>
        </w:rPr>
        <w:t xml:space="preserve"> в 1945 году Варкизское соглашение, заключено в Варкизе (Ваrкiza), близ Афин, между Национально-освободительным фронтом Греции (ЭАМ) и правительством Н.Пластираса после 50-дневного вооруженного сопротивления греческих патриотов английским интервентам и их ставленникам в Греции. Предусматривало отмену военного положения, амнистию всем политическим заключённым, освобождение заложников, установление в стране свободы слова, печати, собраний, профсоюзов. правительство обязывалось очистить государственный аппарат от лиц, сотрудничавших с немецко-фашистскими оккупантами, разоружить все вооруженные отряды и создать регулярную армию. В. с. предусматривало проведение плебисцита о государственном устройстве страны, а затем всеобщих свободных парламентских выборов. На этих условиях руководство ЭАМ соглашалось разоружить Народно-освободительную армию Греции (ЭЛАС). ЭАМ выполнил свои обязательства: войска ЭЛАС были расформированы, оружие сдано правительственным органам. Правительство не только не выполнило своих обязательств, но вооружило сданным частями ЭЛАС оружием новые отряды. После фальсифицированного "плебисцита" (1 сентября 1946) в стране была восстановлена монархия (15038).</w:t>
      </w:r>
    </w:p>
    <w:p w14:paraId="0D55EAD0" w14:textId="77777777" w:rsidR="00720DFE" w:rsidRPr="00925F26" w:rsidRDefault="00720DFE" w:rsidP="00925F26">
      <w:pPr>
        <w:jc w:val="both"/>
        <w:rPr>
          <w:color w:val="000000" w:themeColor="text1"/>
          <w:sz w:val="16"/>
          <w:szCs w:val="16"/>
        </w:rPr>
      </w:pPr>
    </w:p>
    <w:p w14:paraId="341DEAE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ACA7D3B" w14:textId="77777777" w:rsidR="00665165" w:rsidRPr="00925F26" w:rsidRDefault="00665165" w:rsidP="00925F26">
      <w:pPr>
        <w:autoSpaceDE w:val="0"/>
        <w:autoSpaceDN w:val="0"/>
        <w:adjustRightInd w:val="0"/>
        <w:jc w:val="both"/>
        <w:rPr>
          <w:iCs/>
          <w:color w:val="000000" w:themeColor="text1"/>
          <w:sz w:val="16"/>
          <w:szCs w:val="16"/>
        </w:rPr>
      </w:pPr>
    </w:p>
    <w:p w14:paraId="2930F0D5" w14:textId="77777777" w:rsidR="00F0528A" w:rsidRPr="00925F26" w:rsidRDefault="00F0528A" w:rsidP="00925F26">
      <w:pPr>
        <w:jc w:val="both"/>
        <w:rPr>
          <w:color w:val="000000" w:themeColor="text1"/>
          <w:sz w:val="16"/>
          <w:szCs w:val="16"/>
        </w:rPr>
      </w:pPr>
      <w:r w:rsidRPr="00925F26">
        <w:rPr>
          <w:color w:val="000000" w:themeColor="text1"/>
          <w:sz w:val="16"/>
          <w:szCs w:val="16"/>
        </w:rPr>
        <w:t>13 февраля 1945 г.</w:t>
      </w:r>
    </w:p>
    <w:p w14:paraId="5593F31E" w14:textId="77777777" w:rsidR="00F0528A" w:rsidRPr="00925F26" w:rsidRDefault="00F0528A" w:rsidP="00925F26">
      <w:pPr>
        <w:jc w:val="both"/>
        <w:rPr>
          <w:color w:val="000000" w:themeColor="text1"/>
          <w:sz w:val="16"/>
          <w:szCs w:val="16"/>
        </w:rPr>
      </w:pPr>
      <w:r w:rsidRPr="00925F26">
        <w:rPr>
          <w:color w:val="000000" w:themeColor="text1"/>
          <w:sz w:val="16"/>
          <w:szCs w:val="16"/>
        </w:rPr>
        <w:t>Из приказа Наркома авиационной промышленности СССР о поставке заводами №№ 1, 18, 207 в 1 квартале 1945 г. запчастей к самолетам ВВС КА, ВВС ВМФ и ГВФ</w:t>
      </w:r>
    </w:p>
    <w:p w14:paraId="27E2BAA3" w14:textId="77777777" w:rsidR="00F0528A" w:rsidRPr="00925F26" w:rsidRDefault="00F0528A" w:rsidP="00925F26">
      <w:pPr>
        <w:jc w:val="both"/>
        <w:rPr>
          <w:color w:val="000000" w:themeColor="text1"/>
          <w:sz w:val="16"/>
          <w:szCs w:val="16"/>
        </w:rPr>
      </w:pPr>
      <w:r w:rsidRPr="00925F26">
        <w:rPr>
          <w:color w:val="000000" w:themeColor="text1"/>
          <w:sz w:val="16"/>
          <w:szCs w:val="16"/>
        </w:rPr>
        <w:t>13 февраля 1945 г.</w:t>
      </w:r>
    </w:p>
    <w:p w14:paraId="401ED8E8" w14:textId="77777777" w:rsidR="00F0528A" w:rsidRPr="00925F26" w:rsidRDefault="00F0528A" w:rsidP="00925F26">
      <w:pPr>
        <w:jc w:val="both"/>
        <w:rPr>
          <w:color w:val="000000" w:themeColor="text1"/>
          <w:sz w:val="16"/>
          <w:szCs w:val="16"/>
        </w:rPr>
      </w:pPr>
      <w:r w:rsidRPr="00925F26">
        <w:rPr>
          <w:color w:val="000000" w:themeColor="text1"/>
          <w:sz w:val="16"/>
          <w:szCs w:val="16"/>
        </w:rPr>
        <w:t>В исполнение постановления Государственного Комитета Обороны от 29 января 1945 года № 7416 “О ремонте самолетов, авиационных моторов и материально-техническом обеспечении Военно-Воздушных Сил Красной Армии и Военно-Морского Флота в первом квартале 1945 года” приказываю:</w:t>
      </w:r>
    </w:p>
    <w:p w14:paraId="7A740003" w14:textId="77777777" w:rsidR="00F0528A" w:rsidRPr="00925F26" w:rsidRDefault="00F0528A" w:rsidP="00925F26">
      <w:pPr>
        <w:jc w:val="both"/>
        <w:rPr>
          <w:color w:val="000000" w:themeColor="text1"/>
          <w:sz w:val="16"/>
          <w:szCs w:val="16"/>
        </w:rPr>
      </w:pPr>
      <w:r w:rsidRPr="00925F26">
        <w:rPr>
          <w:color w:val="000000" w:themeColor="text1"/>
          <w:sz w:val="16"/>
          <w:szCs w:val="16"/>
        </w:rPr>
        <w:t xml:space="preserve">10. Начальнику 10-го Главного Управления - зам. наркома тов. Кузнецову А.И. и директорам заводов №№ 1, </w:t>
      </w:r>
      <w:proofErr w:type="gramStart"/>
      <w:r w:rsidRPr="00925F26">
        <w:rPr>
          <w:color w:val="000000" w:themeColor="text1"/>
          <w:sz w:val="16"/>
          <w:szCs w:val="16"/>
        </w:rPr>
        <w:t>18..</w:t>
      </w:r>
      <w:proofErr w:type="gramEnd"/>
      <w:r w:rsidRPr="00925F26">
        <w:rPr>
          <w:color w:val="000000" w:themeColor="text1"/>
          <w:sz w:val="16"/>
          <w:szCs w:val="16"/>
        </w:rPr>
        <w:t>, 207 включить в план производства и обеспечить поставку в первом квартале 1945 года ВВС КА, ВВС ВМФ и ГУГВФ запасных частей россыпью к самолетам... в количествах и по номенклатуре, согласованных с заказчиками, в том числе по основным агрегатам, согласно приложенной...</w:t>
      </w:r>
    </w:p>
    <w:p w14:paraId="4F317B16" w14:textId="77777777" w:rsidR="00F0528A" w:rsidRPr="00925F26" w:rsidRDefault="00F0528A" w:rsidP="00925F26">
      <w:pPr>
        <w:jc w:val="both"/>
        <w:rPr>
          <w:color w:val="000000" w:themeColor="text1"/>
          <w:sz w:val="16"/>
          <w:szCs w:val="16"/>
        </w:rPr>
      </w:pPr>
      <w:r w:rsidRPr="00925F26">
        <w:rPr>
          <w:color w:val="000000" w:themeColor="text1"/>
          <w:sz w:val="16"/>
          <w:szCs w:val="16"/>
        </w:rPr>
        <w:t>Народный Комиссар авиационной промышленности</w:t>
      </w:r>
      <w:r w:rsidRPr="00925F26">
        <w:rPr>
          <w:color w:val="000000" w:themeColor="text1"/>
          <w:sz w:val="16"/>
          <w:szCs w:val="16"/>
        </w:rPr>
        <w:tab/>
        <w:t>А. Шахурин</w:t>
      </w:r>
    </w:p>
    <w:p w14:paraId="384BC88B" w14:textId="77777777" w:rsidR="00F0528A" w:rsidRPr="00925F26" w:rsidRDefault="00F0528A"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P-3454. On. 1. </w:t>
      </w:r>
      <w:r w:rsidRPr="00925F26">
        <w:rPr>
          <w:color w:val="000000" w:themeColor="text1"/>
          <w:sz w:val="16"/>
          <w:szCs w:val="16"/>
        </w:rPr>
        <w:t>Д</w:t>
      </w:r>
      <w:r w:rsidRPr="00925F26">
        <w:rPr>
          <w:color w:val="000000" w:themeColor="text1"/>
          <w:sz w:val="16"/>
          <w:szCs w:val="16"/>
          <w:lang w:val="en-US"/>
        </w:rPr>
        <w:t xml:space="preserve">. 50. </w:t>
      </w:r>
      <w:r w:rsidRPr="00925F26">
        <w:rPr>
          <w:color w:val="000000" w:themeColor="text1"/>
          <w:sz w:val="16"/>
          <w:szCs w:val="16"/>
        </w:rPr>
        <w:t>Л</w:t>
      </w:r>
      <w:r w:rsidRPr="00925F26">
        <w:rPr>
          <w:color w:val="000000" w:themeColor="text1"/>
          <w:sz w:val="16"/>
          <w:szCs w:val="16"/>
          <w:lang w:val="en-US"/>
        </w:rPr>
        <w:t xml:space="preserve">. 5. </w:t>
      </w:r>
      <w:r w:rsidRPr="00925F26">
        <w:rPr>
          <w:color w:val="000000" w:themeColor="text1"/>
          <w:sz w:val="16"/>
          <w:szCs w:val="16"/>
        </w:rPr>
        <w:t>Завер. Копия (20588).</w:t>
      </w:r>
    </w:p>
    <w:p w14:paraId="4E595642" w14:textId="77777777" w:rsidR="00F0528A" w:rsidRPr="00925F26" w:rsidRDefault="00F0528A" w:rsidP="00925F26">
      <w:pPr>
        <w:jc w:val="both"/>
        <w:rPr>
          <w:color w:val="000000" w:themeColor="text1"/>
          <w:sz w:val="16"/>
          <w:szCs w:val="16"/>
        </w:rPr>
      </w:pPr>
    </w:p>
    <w:p w14:paraId="73A4CE99" w14:textId="77777777" w:rsidR="00317A72" w:rsidRPr="00925F26" w:rsidRDefault="00317A72" w:rsidP="00925F26">
      <w:pPr>
        <w:jc w:val="both"/>
        <w:rPr>
          <w:color w:val="000000" w:themeColor="text1"/>
          <w:sz w:val="16"/>
          <w:szCs w:val="16"/>
        </w:rPr>
      </w:pPr>
      <w:r w:rsidRPr="00925F26">
        <w:rPr>
          <w:color w:val="000000" w:themeColor="text1"/>
          <w:sz w:val="16"/>
          <w:szCs w:val="16"/>
        </w:rPr>
        <w:t>13 февраля 1945 г. Из приказа Наркома авиационной промышленности СССР о поставке заводами №№ 1, 18, 207 в 1 квартале 1945 г. запчастей к самолетам ВВС КА, ВВС ВМФ и ГВФ</w:t>
      </w:r>
    </w:p>
    <w:p w14:paraId="1496BB8C" w14:textId="77777777" w:rsidR="00317A72" w:rsidRPr="00925F26" w:rsidRDefault="00317A72" w:rsidP="00925F26">
      <w:pPr>
        <w:jc w:val="both"/>
        <w:rPr>
          <w:color w:val="000000" w:themeColor="text1"/>
          <w:sz w:val="16"/>
          <w:szCs w:val="16"/>
        </w:rPr>
      </w:pPr>
      <w:r w:rsidRPr="00925F26">
        <w:rPr>
          <w:color w:val="000000" w:themeColor="text1"/>
          <w:sz w:val="16"/>
          <w:szCs w:val="16"/>
        </w:rPr>
        <w:t>В исполнение постановления Государственного Комитета Обороны от 29 января 1945 года № 7416 “О ремонте самолетов, авиационных моторов и материально-техническом обеспечении Военно-Воздушных Сил Красной Армии и Военно-Морского Флота в первом квартале 1945 года” приказываю:</w:t>
      </w:r>
    </w:p>
    <w:p w14:paraId="75A595FD" w14:textId="77777777" w:rsidR="00317A72" w:rsidRPr="00925F26" w:rsidRDefault="00317A72" w:rsidP="00925F26">
      <w:pPr>
        <w:jc w:val="both"/>
        <w:rPr>
          <w:color w:val="000000" w:themeColor="text1"/>
          <w:sz w:val="16"/>
          <w:szCs w:val="16"/>
        </w:rPr>
      </w:pPr>
      <w:r w:rsidRPr="00925F26">
        <w:rPr>
          <w:color w:val="000000" w:themeColor="text1"/>
          <w:sz w:val="16"/>
          <w:szCs w:val="16"/>
        </w:rPr>
        <w:t xml:space="preserve">10. Начальнику 10-го Главного Управления - зам. наркома тов. Кузнецову А.И. и директорам заводов №№ 1, </w:t>
      </w:r>
      <w:proofErr w:type="gramStart"/>
      <w:r w:rsidRPr="00925F26">
        <w:rPr>
          <w:color w:val="000000" w:themeColor="text1"/>
          <w:sz w:val="16"/>
          <w:szCs w:val="16"/>
        </w:rPr>
        <w:t>18..</w:t>
      </w:r>
      <w:proofErr w:type="gramEnd"/>
      <w:r w:rsidRPr="00925F26">
        <w:rPr>
          <w:color w:val="000000" w:themeColor="text1"/>
          <w:sz w:val="16"/>
          <w:szCs w:val="16"/>
        </w:rPr>
        <w:t>, 207 включить в план производства и обеспечить поставку в первом квартале 1945 года ВВС КА, ВВС ВМФ и ГУГВФ запасных частей россыпью к самолетам... в количествах и по номенклатуре, согласованных с заказчиками, в том числе по основным агрегатам, согласно приложенной...1</w:t>
      </w:r>
    </w:p>
    <w:p w14:paraId="6C780A96" w14:textId="77777777" w:rsidR="00317A72" w:rsidRPr="00925F26" w:rsidRDefault="00317A72" w:rsidP="00925F26">
      <w:pPr>
        <w:jc w:val="both"/>
        <w:rPr>
          <w:color w:val="000000" w:themeColor="text1"/>
          <w:sz w:val="16"/>
          <w:szCs w:val="16"/>
        </w:rPr>
      </w:pPr>
      <w:r w:rsidRPr="00925F26">
        <w:rPr>
          <w:color w:val="000000" w:themeColor="text1"/>
          <w:sz w:val="16"/>
          <w:szCs w:val="16"/>
        </w:rPr>
        <w:lastRenderedPageBreak/>
        <w:t>Народный Комиссар авиационной промышленности</w:t>
      </w:r>
      <w:r w:rsidRPr="00925F26">
        <w:rPr>
          <w:color w:val="000000" w:themeColor="text1"/>
          <w:sz w:val="16"/>
          <w:szCs w:val="16"/>
        </w:rPr>
        <w:tab/>
        <w:t>А. Шахурин</w:t>
      </w:r>
    </w:p>
    <w:p w14:paraId="543B0A1D" w14:textId="77777777" w:rsidR="00317A72" w:rsidRPr="00925F26" w:rsidRDefault="00317A72"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P-3454. On. 1. </w:t>
      </w:r>
      <w:r w:rsidRPr="00925F26">
        <w:rPr>
          <w:color w:val="000000" w:themeColor="text1"/>
          <w:sz w:val="16"/>
          <w:szCs w:val="16"/>
        </w:rPr>
        <w:t>Д</w:t>
      </w:r>
      <w:r w:rsidRPr="00925F26">
        <w:rPr>
          <w:color w:val="000000" w:themeColor="text1"/>
          <w:sz w:val="16"/>
          <w:szCs w:val="16"/>
          <w:lang w:val="en-US"/>
        </w:rPr>
        <w:t xml:space="preserve">. 50. </w:t>
      </w:r>
      <w:r w:rsidRPr="00925F26">
        <w:rPr>
          <w:color w:val="000000" w:themeColor="text1"/>
          <w:sz w:val="16"/>
          <w:szCs w:val="16"/>
        </w:rPr>
        <w:t>Л</w:t>
      </w:r>
      <w:r w:rsidRPr="00925F26">
        <w:rPr>
          <w:color w:val="000000" w:themeColor="text1"/>
          <w:sz w:val="16"/>
          <w:szCs w:val="16"/>
          <w:lang w:val="en-US"/>
        </w:rPr>
        <w:t xml:space="preserve">. 5. </w:t>
      </w:r>
      <w:r w:rsidRPr="00925F26">
        <w:rPr>
          <w:color w:val="000000" w:themeColor="text1"/>
          <w:sz w:val="16"/>
          <w:szCs w:val="16"/>
        </w:rPr>
        <w:t>Завер. Копия (23950).</w:t>
      </w:r>
    </w:p>
    <w:p w14:paraId="77FFCA7B" w14:textId="77777777" w:rsidR="00317A72" w:rsidRPr="00925F26" w:rsidRDefault="00317A72" w:rsidP="00925F26">
      <w:pPr>
        <w:jc w:val="both"/>
        <w:rPr>
          <w:color w:val="000000" w:themeColor="text1"/>
          <w:sz w:val="16"/>
          <w:szCs w:val="16"/>
        </w:rPr>
      </w:pPr>
    </w:p>
    <w:p w14:paraId="544F130B" w14:textId="77777777" w:rsidR="00F0528A" w:rsidRPr="00925F26" w:rsidRDefault="00F0528A" w:rsidP="00925F26">
      <w:pPr>
        <w:jc w:val="both"/>
        <w:rPr>
          <w:color w:val="000000" w:themeColor="text1"/>
          <w:sz w:val="16"/>
          <w:szCs w:val="16"/>
        </w:rPr>
      </w:pPr>
      <w:r w:rsidRPr="00925F26">
        <w:rPr>
          <w:color w:val="000000" w:themeColor="text1"/>
          <w:sz w:val="16"/>
          <w:szCs w:val="16"/>
        </w:rPr>
        <w:t>13 февраля 1945 г.</w:t>
      </w:r>
    </w:p>
    <w:p w14:paraId="789A6A81" w14:textId="77777777" w:rsidR="00F0528A" w:rsidRPr="00925F26" w:rsidRDefault="00F0528A" w:rsidP="00925F26">
      <w:pPr>
        <w:jc w:val="both"/>
        <w:rPr>
          <w:color w:val="000000" w:themeColor="text1"/>
          <w:sz w:val="16"/>
          <w:szCs w:val="16"/>
        </w:rPr>
      </w:pPr>
      <w:r w:rsidRPr="00925F26">
        <w:rPr>
          <w:color w:val="000000" w:themeColor="text1"/>
          <w:sz w:val="16"/>
          <w:szCs w:val="16"/>
        </w:rPr>
        <w:t>Из приказа Наркома авиационной промышленности СССР</w:t>
      </w:r>
    </w:p>
    <w:p w14:paraId="56F4CB13" w14:textId="77777777" w:rsidR="00F0528A" w:rsidRPr="00925F26" w:rsidRDefault="00F0528A" w:rsidP="00925F26">
      <w:pPr>
        <w:jc w:val="both"/>
        <w:rPr>
          <w:color w:val="000000" w:themeColor="text1"/>
          <w:sz w:val="16"/>
          <w:szCs w:val="16"/>
        </w:rPr>
      </w:pPr>
      <w:r w:rsidRPr="00925F26">
        <w:rPr>
          <w:color w:val="000000" w:themeColor="text1"/>
          <w:sz w:val="16"/>
          <w:szCs w:val="16"/>
        </w:rPr>
        <w:t>о поставке заводами №№ 1, 18, 207 в 1 квартале 1945 г.</w:t>
      </w:r>
    </w:p>
    <w:p w14:paraId="081F8D9E" w14:textId="77777777" w:rsidR="00F0528A" w:rsidRPr="00925F26" w:rsidRDefault="00F0528A" w:rsidP="00925F26">
      <w:pPr>
        <w:jc w:val="both"/>
        <w:rPr>
          <w:color w:val="000000" w:themeColor="text1"/>
          <w:sz w:val="16"/>
          <w:szCs w:val="16"/>
        </w:rPr>
      </w:pPr>
      <w:r w:rsidRPr="00925F26">
        <w:rPr>
          <w:color w:val="000000" w:themeColor="text1"/>
          <w:sz w:val="16"/>
          <w:szCs w:val="16"/>
        </w:rPr>
        <w:t>запчастей к самолетам ВВС КА, ВВС ВМФ и ГВФ</w:t>
      </w:r>
    </w:p>
    <w:p w14:paraId="3D88A796" w14:textId="77777777" w:rsidR="00F0528A" w:rsidRPr="00925F26" w:rsidRDefault="00F0528A" w:rsidP="00925F26">
      <w:pPr>
        <w:jc w:val="both"/>
        <w:rPr>
          <w:color w:val="000000" w:themeColor="text1"/>
          <w:sz w:val="16"/>
          <w:szCs w:val="16"/>
        </w:rPr>
      </w:pPr>
    </w:p>
    <w:p w14:paraId="453339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вышел приказ НКАП N 63с "Об изготовлении на заводе 166 опытной серии самолетов Як-9 ВК-107А с металлическим крылом":</w:t>
      </w:r>
    </w:p>
    <w:p w14:paraId="5929CB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всесторонней оценки качеств самолета Як-9 ВК-107А с металлическим крылом:</w:t>
      </w:r>
    </w:p>
    <w:p w14:paraId="3375F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Нач. ПГУ - зам. наркома Воронину и директору завода 166 Соколову построить опытную серию самолетов Як-9 с ВК-107А и металлическим крылом в количестве 5 самолетов в апреле 1945 по чертежам завода 115." (1888,23).</w:t>
      </w:r>
    </w:p>
    <w:p w14:paraId="50158CCD" w14:textId="77777777" w:rsidR="00665165" w:rsidRPr="00925F26" w:rsidRDefault="00665165" w:rsidP="00925F26">
      <w:pPr>
        <w:autoSpaceDE w:val="0"/>
        <w:autoSpaceDN w:val="0"/>
        <w:adjustRightInd w:val="0"/>
        <w:jc w:val="both"/>
        <w:rPr>
          <w:color w:val="000000" w:themeColor="text1"/>
          <w:sz w:val="16"/>
          <w:szCs w:val="16"/>
        </w:rPr>
      </w:pPr>
    </w:p>
    <w:p w14:paraId="65C78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13 февраля по 5 апреля 1945 первый Ту-2Т, сделанный в конце 1944 на основе доработки одного из серийных Ту-2 N 9/14 23 завода, проходил совместные испытания с одной или двумя торпедами 45-36АН или 45-36АНУ со стабилизаторами ЦАГИ, которые подвешивались у бортов фюзеляжа. испытывался в варианте тактического использования для низкого торпедометания. Взлетная масса 11423 кг с одной и 12389 кг с двумя торпедами и скорость была 505 км/час на 2400 с одной и 493 км/час с двумя на 2400 м (1835,64).</w:t>
      </w:r>
    </w:p>
    <w:p w14:paraId="328BBA72" w14:textId="77777777" w:rsidR="00665165" w:rsidRPr="00925F26" w:rsidRDefault="00665165" w:rsidP="00925F26">
      <w:pPr>
        <w:autoSpaceDE w:val="0"/>
        <w:autoSpaceDN w:val="0"/>
        <w:adjustRightInd w:val="0"/>
        <w:jc w:val="both"/>
        <w:rPr>
          <w:color w:val="000000" w:themeColor="text1"/>
          <w:sz w:val="16"/>
          <w:szCs w:val="16"/>
        </w:rPr>
      </w:pPr>
    </w:p>
    <w:p w14:paraId="357C7BEF" w14:textId="77777777" w:rsidR="00720DFE" w:rsidRPr="00925F26" w:rsidRDefault="00720DFE" w:rsidP="00925F26">
      <w:pPr>
        <w:jc w:val="both"/>
        <w:rPr>
          <w:color w:val="000000" w:themeColor="text1"/>
          <w:sz w:val="16"/>
          <w:szCs w:val="16"/>
        </w:rPr>
      </w:pPr>
      <w:r w:rsidRPr="00925F26">
        <w:rPr>
          <w:bCs/>
          <w:color w:val="000000" w:themeColor="text1"/>
          <w:sz w:val="16"/>
          <w:szCs w:val="16"/>
        </w:rPr>
        <w:t>13 февраля</w:t>
      </w:r>
      <w:r w:rsidRPr="00925F26">
        <w:rPr>
          <w:color w:val="000000" w:themeColor="text1"/>
          <w:sz w:val="16"/>
          <w:szCs w:val="16"/>
        </w:rPr>
        <w:t xml:space="preserve"> в 1945 году проводились (по 5 апреля) совместные заводские и государственные испытания «Ту-2Т» №9/14. Самолет испытывался как с одной, так и с двумя торпедами. По результатам испытаний комиссия пришла к выводу: "1. Самолет Ту-2Т 2 АШ-82ФН №9/14 в варианте низкого торпедоносца с подвешенными одной и двумя торпедами испытания выдержал. 2 Рекомендовать самолет Ту-2Т принять на вооружение ВВС Военно-морского флота для целей низкого торпедометания" (15039).</w:t>
      </w:r>
    </w:p>
    <w:p w14:paraId="03AB5579" w14:textId="77777777" w:rsidR="00720DFE" w:rsidRPr="00925F26" w:rsidRDefault="00720DFE" w:rsidP="00925F26">
      <w:pPr>
        <w:jc w:val="both"/>
        <w:rPr>
          <w:color w:val="000000" w:themeColor="text1"/>
          <w:sz w:val="16"/>
          <w:szCs w:val="16"/>
        </w:rPr>
      </w:pPr>
    </w:p>
    <w:p w14:paraId="5EFAA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следующие данные с 1 торпедой (с 2 торпедами):</w:t>
      </w:r>
    </w:p>
    <w:p w14:paraId="50FF4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взлетная масса, кг - 11 423 (12 389);</w:t>
      </w:r>
    </w:p>
    <w:p w14:paraId="6CFF40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максимальная скорость, км/ч: у земли - 466 (455); на высоте 1000 м - 482 (471), 2000 м - 498 (488), 2400 м - 505 (493), 3000 м - 489 (475);</w:t>
      </w:r>
    </w:p>
    <w:p w14:paraId="175CCB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дальность полета при взлетной массе 12 400 кг - 2075 км*;</w:t>
      </w:r>
    </w:p>
    <w:p w14:paraId="5E042C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разбег, м - 540 (605);</w:t>
      </w:r>
    </w:p>
    <w:p w14:paraId="6133C1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пробег, м - 580 (660).</w:t>
      </w:r>
    </w:p>
    <w:p w14:paraId="198294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по испытаниям первого Ту-2Т говорилось:</w:t>
      </w:r>
    </w:p>
    <w:p w14:paraId="4189A3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Ту-2 с моторами АШ-82ФН в варианте низкого торпедоносца и подвешенными одной и двумя торпедами испытания выдержал.</w:t>
      </w:r>
    </w:p>
    <w:p w14:paraId="586029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Рекомендовать самолет Ту-2 с моторами АШ-82ФН принять на вооружение Военно-Воздушных Сил ВМФ для целей низкого торпедометания".</w:t>
      </w:r>
    </w:p>
    <w:p w14:paraId="7C223A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Эти рекомендации оказались услышанными, и приказом НК ВМФ №0252 от 15.5.1945 Ту-2Т был принят на вооружение. Увы, Великая Отечественная война закончилась неделей раньше, а в советско-японской Ту-2 в морской авиации приняли участие только в роли самолетов-разведчиков. Таким образом, минно- торпедная авиация ВМФ стала единственным родом отечественной сухопутной и морской авиации, который в течение всей Великой Отечественной не получил от родного авиапрома ни одного нового типа самолета (12002).</w:t>
      </w:r>
    </w:p>
    <w:p w14:paraId="481CBD4F" w14:textId="77777777" w:rsidR="00665165" w:rsidRPr="00925F26" w:rsidRDefault="00665165" w:rsidP="00925F26">
      <w:pPr>
        <w:autoSpaceDE w:val="0"/>
        <w:autoSpaceDN w:val="0"/>
        <w:adjustRightInd w:val="0"/>
        <w:jc w:val="both"/>
        <w:rPr>
          <w:color w:val="000000" w:themeColor="text1"/>
          <w:sz w:val="16"/>
          <w:szCs w:val="16"/>
        </w:rPr>
      </w:pPr>
    </w:p>
    <w:p w14:paraId="43CFB9D3" w14:textId="77777777" w:rsidR="00317A72" w:rsidRPr="00925F26" w:rsidRDefault="00317A72" w:rsidP="00925F26">
      <w:pPr>
        <w:jc w:val="both"/>
        <w:rPr>
          <w:color w:val="000000" w:themeColor="text1"/>
          <w:sz w:val="16"/>
          <w:szCs w:val="16"/>
        </w:rPr>
      </w:pPr>
      <w:r w:rsidRPr="00925F26">
        <w:rPr>
          <w:color w:val="000000" w:themeColor="text1"/>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w:t>
      </w:r>
      <w:r w:rsidRPr="00925F26">
        <w:rPr>
          <w:color w:val="000000" w:themeColor="text1"/>
          <w:sz w:val="16"/>
          <w:szCs w:val="16"/>
        </w:rPr>
        <w:softHyphen/>
        <w:t>щие данные с одной торпедой с (двумя торпедами).</w:t>
      </w:r>
    </w:p>
    <w:p w14:paraId="1318A8D9" w14:textId="77777777" w:rsidR="00317A72" w:rsidRPr="00925F26" w:rsidRDefault="00317A72" w:rsidP="00925F26">
      <w:pPr>
        <w:jc w:val="both"/>
        <w:rPr>
          <w:color w:val="000000" w:themeColor="text1"/>
          <w:sz w:val="16"/>
          <w:szCs w:val="16"/>
        </w:rPr>
      </w:pPr>
      <w:r w:rsidRPr="00925F26">
        <w:rPr>
          <w:color w:val="000000" w:themeColor="text1"/>
          <w:sz w:val="16"/>
          <w:szCs w:val="16"/>
        </w:rPr>
        <w:t>- взлетная масса, кг - 11423 (12389);</w:t>
      </w:r>
    </w:p>
    <w:p w14:paraId="34125477" w14:textId="77777777" w:rsidR="00317A72" w:rsidRPr="00925F26" w:rsidRDefault="00317A72" w:rsidP="00925F26">
      <w:pPr>
        <w:jc w:val="both"/>
        <w:rPr>
          <w:color w:val="000000" w:themeColor="text1"/>
          <w:sz w:val="16"/>
          <w:szCs w:val="16"/>
        </w:rPr>
      </w:pPr>
      <w:r w:rsidRPr="00925F26">
        <w:rPr>
          <w:color w:val="000000" w:themeColor="text1"/>
          <w:sz w:val="16"/>
          <w:szCs w:val="16"/>
        </w:rPr>
        <w:t>- максимальная скорость, км/ч: у земли - 466 (455); на высоте 1000 м - 482 (471), 2000 м - 498 (488), 2400 м - 505 (493), 3000 м - 489 (475);</w:t>
      </w:r>
    </w:p>
    <w:p w14:paraId="3E3F2595" w14:textId="77777777" w:rsidR="00317A72" w:rsidRPr="00925F26" w:rsidRDefault="00317A72" w:rsidP="00925F26">
      <w:pPr>
        <w:jc w:val="both"/>
        <w:rPr>
          <w:color w:val="000000" w:themeColor="text1"/>
          <w:sz w:val="16"/>
          <w:szCs w:val="16"/>
        </w:rPr>
      </w:pPr>
      <w:r w:rsidRPr="00925F26">
        <w:rPr>
          <w:color w:val="000000" w:themeColor="text1"/>
          <w:sz w:val="16"/>
          <w:szCs w:val="16"/>
        </w:rPr>
        <w:t>- дальность полета при взлетной массе 12400 кг - 2075 км;</w:t>
      </w:r>
    </w:p>
    <w:p w14:paraId="1791A27E" w14:textId="77777777" w:rsidR="00317A72" w:rsidRPr="00925F26" w:rsidRDefault="00317A72" w:rsidP="00925F26">
      <w:pPr>
        <w:jc w:val="both"/>
        <w:rPr>
          <w:color w:val="000000" w:themeColor="text1"/>
          <w:sz w:val="16"/>
          <w:szCs w:val="16"/>
        </w:rPr>
      </w:pPr>
      <w:r w:rsidRPr="00925F26">
        <w:rPr>
          <w:color w:val="000000" w:themeColor="text1"/>
          <w:sz w:val="16"/>
          <w:szCs w:val="16"/>
        </w:rPr>
        <w:t>- разбег, м - 540 (605);</w:t>
      </w:r>
    </w:p>
    <w:p w14:paraId="49137BB0" w14:textId="77777777" w:rsidR="00317A72" w:rsidRPr="00925F26" w:rsidRDefault="00317A72" w:rsidP="00925F26">
      <w:pPr>
        <w:jc w:val="both"/>
        <w:rPr>
          <w:color w:val="000000" w:themeColor="text1"/>
          <w:sz w:val="16"/>
          <w:szCs w:val="16"/>
        </w:rPr>
      </w:pPr>
      <w:r w:rsidRPr="00925F26">
        <w:rPr>
          <w:color w:val="000000" w:themeColor="text1"/>
          <w:sz w:val="16"/>
          <w:szCs w:val="16"/>
        </w:rPr>
        <w:t>- пробег, м - 580 (660).</w:t>
      </w:r>
    </w:p>
    <w:p w14:paraId="0B7CE675" w14:textId="77777777" w:rsidR="00317A72" w:rsidRPr="00925F26" w:rsidRDefault="00317A72" w:rsidP="00925F26">
      <w:pPr>
        <w:jc w:val="both"/>
        <w:rPr>
          <w:color w:val="000000" w:themeColor="text1"/>
          <w:sz w:val="16"/>
          <w:szCs w:val="16"/>
        </w:rPr>
      </w:pPr>
      <w:r w:rsidRPr="00925F26">
        <w:rPr>
          <w:color w:val="000000" w:themeColor="text1"/>
          <w:sz w:val="16"/>
          <w:szCs w:val="16"/>
        </w:rPr>
        <w:t>В заключении по испытаниям первого Ту-2Т говорилось:</w:t>
      </w:r>
    </w:p>
    <w:p w14:paraId="51A1CFF9" w14:textId="77777777" w:rsidR="00317A72" w:rsidRPr="00925F26" w:rsidRDefault="00317A72" w:rsidP="00925F26">
      <w:pPr>
        <w:jc w:val="both"/>
        <w:rPr>
          <w:color w:val="000000" w:themeColor="text1"/>
          <w:sz w:val="16"/>
          <w:szCs w:val="16"/>
        </w:rPr>
      </w:pPr>
      <w:r w:rsidRPr="00925F26">
        <w:rPr>
          <w:color w:val="000000" w:themeColor="text1"/>
          <w:sz w:val="16"/>
          <w:szCs w:val="16"/>
        </w:rPr>
        <w:t>1. Самолет Ту-2 с моторами АШ-82ФН в варианте низкого торпедоносца и подве</w:t>
      </w:r>
      <w:r w:rsidRPr="00925F26">
        <w:rPr>
          <w:color w:val="000000" w:themeColor="text1"/>
          <w:sz w:val="16"/>
          <w:szCs w:val="16"/>
        </w:rPr>
        <w:softHyphen/>
        <w:t>шенными одной и двумя торпедами испытания выдержал.</w:t>
      </w:r>
    </w:p>
    <w:p w14:paraId="47B46982" w14:textId="77777777" w:rsidR="00317A72" w:rsidRPr="00925F26" w:rsidRDefault="00317A72" w:rsidP="00925F26">
      <w:pPr>
        <w:jc w:val="both"/>
        <w:rPr>
          <w:color w:val="000000" w:themeColor="text1"/>
          <w:sz w:val="16"/>
          <w:szCs w:val="16"/>
        </w:rPr>
      </w:pPr>
      <w:r w:rsidRPr="00925F26">
        <w:rPr>
          <w:color w:val="000000" w:themeColor="text1"/>
          <w:sz w:val="16"/>
          <w:szCs w:val="16"/>
        </w:rPr>
        <w:t>2. Рекомендовать самолет Ту-2 с моторами АШ-82ФН принять на вооружении Военно-Воздушных Сил ВМФ для целей низкого торпедометания».</w:t>
      </w:r>
    </w:p>
    <w:p w14:paraId="6F408933" w14:textId="77777777" w:rsidR="00317A72" w:rsidRPr="00925F26" w:rsidRDefault="00317A72" w:rsidP="00925F26">
      <w:pPr>
        <w:jc w:val="both"/>
        <w:rPr>
          <w:color w:val="000000" w:themeColor="text1"/>
          <w:sz w:val="16"/>
          <w:szCs w:val="16"/>
        </w:rPr>
      </w:pPr>
      <w:r w:rsidRPr="00925F26">
        <w:rPr>
          <w:color w:val="000000" w:themeColor="text1"/>
          <w:sz w:val="16"/>
          <w:szCs w:val="16"/>
        </w:rPr>
        <w:t>Эти рекомендации оказались услышанными, и приказом НК ВМФ №0252 от 15.05.1945 Ту-2Т был принят на вооружение. (23464):</w:t>
      </w:r>
    </w:p>
    <w:p w14:paraId="19DC55BA" w14:textId="77777777" w:rsidR="00317A72" w:rsidRPr="00925F26" w:rsidRDefault="00317A72" w:rsidP="00925F26">
      <w:pPr>
        <w:jc w:val="both"/>
        <w:rPr>
          <w:color w:val="000000" w:themeColor="text1"/>
          <w:sz w:val="16"/>
          <w:szCs w:val="16"/>
        </w:rPr>
      </w:pPr>
    </w:p>
    <w:p w14:paraId="43076236" w14:textId="77777777" w:rsidR="00D80690" w:rsidRPr="001A0BAA" w:rsidRDefault="00D80690" w:rsidP="00D80690">
      <w:pPr>
        <w:jc w:val="both"/>
        <w:rPr>
          <w:color w:val="0070C0"/>
          <w:sz w:val="16"/>
          <w:szCs w:val="16"/>
        </w:rPr>
      </w:pPr>
      <w:r w:rsidRPr="001A0BAA">
        <w:rPr>
          <w:color w:val="0070C0"/>
          <w:sz w:val="16"/>
          <w:szCs w:val="16"/>
        </w:rPr>
        <w:t>С 13 февраля по 5 апреля 1945 года проходили одновременные заводские и государственные испытания Ту</w:t>
      </w:r>
      <w:r w:rsidRPr="001A0BAA">
        <w:rPr>
          <w:color w:val="0070C0"/>
          <w:sz w:val="16"/>
          <w:szCs w:val="16"/>
        </w:rPr>
        <w:noBreakHyphen/>
        <w:t>2Т (Ту</w:t>
      </w:r>
      <w:r w:rsidRPr="001A0BAA">
        <w:rPr>
          <w:color w:val="0070C0"/>
          <w:sz w:val="16"/>
          <w:szCs w:val="16"/>
        </w:rPr>
        <w:noBreakHyphen/>
        <w:t>2 АШ</w:t>
      </w:r>
      <w:r w:rsidRPr="001A0BAA">
        <w:rPr>
          <w:color w:val="0070C0"/>
          <w:sz w:val="16"/>
          <w:szCs w:val="16"/>
        </w:rPr>
        <w:noBreakHyphen/>
        <w:t>82ФН с серийным номером «9/14» выпуск завода № 23, который превратили в торпедоносец, установив держатели торпед ТД</w:t>
      </w:r>
      <w:r w:rsidRPr="001A0BAA">
        <w:rPr>
          <w:color w:val="0070C0"/>
          <w:sz w:val="16"/>
          <w:szCs w:val="16"/>
        </w:rPr>
        <w:noBreakHyphen/>
        <w:t>44 и прицел ПТН</w:t>
      </w:r>
      <w:r w:rsidRPr="001A0BAA">
        <w:rPr>
          <w:color w:val="0070C0"/>
          <w:sz w:val="16"/>
          <w:szCs w:val="16"/>
        </w:rPr>
        <w:noBreakHyphen/>
        <w:t>5). Самолет испытывался с двумя и одной подвешенной торпедой массой по 966 кг. Характеристики самолета были следующие (в скобках вариант с двумя торпедами):</w:t>
      </w:r>
    </w:p>
    <w:p w14:paraId="0D4F7C06" w14:textId="77777777" w:rsidR="00D80690" w:rsidRPr="001A0BAA" w:rsidRDefault="00D80690" w:rsidP="00D80690">
      <w:pPr>
        <w:jc w:val="both"/>
        <w:rPr>
          <w:color w:val="0070C0"/>
          <w:sz w:val="16"/>
          <w:szCs w:val="16"/>
        </w:rPr>
      </w:pPr>
      <w:r w:rsidRPr="001A0BAA">
        <w:rPr>
          <w:color w:val="0070C0"/>
          <w:sz w:val="16"/>
          <w:szCs w:val="16"/>
        </w:rPr>
        <w:t>Взлетная масса: 11423 (12389) кг</w:t>
      </w:r>
    </w:p>
    <w:p w14:paraId="3D55B3D1" w14:textId="77777777" w:rsidR="00D80690" w:rsidRPr="001A0BAA" w:rsidRDefault="00D80690" w:rsidP="00D80690">
      <w:pPr>
        <w:jc w:val="both"/>
        <w:rPr>
          <w:color w:val="0070C0"/>
          <w:sz w:val="16"/>
          <w:szCs w:val="16"/>
        </w:rPr>
      </w:pPr>
      <w:r w:rsidRPr="001A0BAA">
        <w:rPr>
          <w:color w:val="0070C0"/>
          <w:sz w:val="16"/>
          <w:szCs w:val="16"/>
        </w:rPr>
        <w:t>Максимальная скорость:</w:t>
      </w:r>
    </w:p>
    <w:p w14:paraId="1BE03743" w14:textId="77777777" w:rsidR="00D80690" w:rsidRPr="001A0BAA" w:rsidRDefault="00D80690" w:rsidP="00D80690">
      <w:pPr>
        <w:jc w:val="both"/>
        <w:rPr>
          <w:color w:val="0070C0"/>
          <w:sz w:val="16"/>
          <w:szCs w:val="16"/>
        </w:rPr>
      </w:pPr>
      <w:r w:rsidRPr="001A0BAA">
        <w:rPr>
          <w:color w:val="0070C0"/>
          <w:sz w:val="16"/>
          <w:szCs w:val="16"/>
        </w:rPr>
        <w:t>На высоте 1000 м: 482 (471) км/ч</w:t>
      </w:r>
    </w:p>
    <w:p w14:paraId="03B4D31F" w14:textId="77777777" w:rsidR="00D80690" w:rsidRPr="001A0BAA" w:rsidRDefault="00D80690" w:rsidP="00D80690">
      <w:pPr>
        <w:jc w:val="both"/>
        <w:rPr>
          <w:color w:val="0070C0"/>
          <w:sz w:val="16"/>
          <w:szCs w:val="16"/>
        </w:rPr>
      </w:pPr>
      <w:r w:rsidRPr="001A0BAA">
        <w:rPr>
          <w:color w:val="0070C0"/>
          <w:sz w:val="16"/>
          <w:szCs w:val="16"/>
        </w:rPr>
        <w:t>На высоте 2000 м: 498 (488) км/ч</w:t>
      </w:r>
    </w:p>
    <w:p w14:paraId="4B13EE34" w14:textId="77777777" w:rsidR="00D80690" w:rsidRPr="001A0BAA" w:rsidRDefault="00D80690" w:rsidP="00D80690">
      <w:pPr>
        <w:jc w:val="both"/>
        <w:rPr>
          <w:color w:val="0070C0"/>
          <w:sz w:val="16"/>
          <w:szCs w:val="16"/>
        </w:rPr>
      </w:pPr>
      <w:r w:rsidRPr="001A0BAA">
        <w:rPr>
          <w:color w:val="0070C0"/>
          <w:sz w:val="16"/>
          <w:szCs w:val="16"/>
        </w:rPr>
        <w:t>На высоте 3000 м: 489 (415) км/ч</w:t>
      </w:r>
    </w:p>
    <w:p w14:paraId="56A62598" w14:textId="77777777" w:rsidR="00D80690" w:rsidRPr="001A0BAA" w:rsidRDefault="00D80690" w:rsidP="00D80690">
      <w:pPr>
        <w:jc w:val="both"/>
        <w:rPr>
          <w:color w:val="0070C0"/>
          <w:sz w:val="16"/>
          <w:szCs w:val="16"/>
        </w:rPr>
      </w:pPr>
      <w:r w:rsidRPr="001A0BAA">
        <w:rPr>
          <w:color w:val="0070C0"/>
          <w:sz w:val="16"/>
          <w:szCs w:val="16"/>
        </w:rPr>
        <w:t>Дальность полета: – (2075) км при массе 12400 кг</w:t>
      </w:r>
    </w:p>
    <w:p w14:paraId="3EFD16DB" w14:textId="77777777" w:rsidR="00D80690" w:rsidRPr="001A0BAA" w:rsidRDefault="00D80690" w:rsidP="00D80690">
      <w:pPr>
        <w:jc w:val="both"/>
        <w:rPr>
          <w:color w:val="0070C0"/>
          <w:sz w:val="16"/>
          <w:szCs w:val="16"/>
        </w:rPr>
      </w:pPr>
      <w:r w:rsidRPr="001A0BAA">
        <w:rPr>
          <w:color w:val="0070C0"/>
          <w:sz w:val="16"/>
          <w:szCs w:val="16"/>
        </w:rPr>
        <w:t>Разбег: 540 (605) м</w:t>
      </w:r>
    </w:p>
    <w:p w14:paraId="0E6292D9" w14:textId="77777777" w:rsidR="00D80690" w:rsidRPr="001A0BAA" w:rsidRDefault="00D80690" w:rsidP="00D80690">
      <w:pPr>
        <w:jc w:val="both"/>
        <w:rPr>
          <w:color w:val="0070C0"/>
          <w:sz w:val="16"/>
          <w:szCs w:val="16"/>
        </w:rPr>
      </w:pPr>
      <w:r w:rsidRPr="001A0BAA">
        <w:rPr>
          <w:color w:val="0070C0"/>
          <w:sz w:val="16"/>
          <w:szCs w:val="16"/>
        </w:rPr>
        <w:t>Пробег: 580 (560) м</w:t>
      </w:r>
    </w:p>
    <w:p w14:paraId="76A846A7" w14:textId="77777777" w:rsidR="00D80690" w:rsidRPr="001A0BAA" w:rsidRDefault="00D80690" w:rsidP="00D80690">
      <w:pPr>
        <w:jc w:val="both"/>
        <w:rPr>
          <w:color w:val="0070C0"/>
          <w:sz w:val="16"/>
          <w:szCs w:val="16"/>
        </w:rPr>
      </w:pPr>
      <w:r w:rsidRPr="001A0BAA">
        <w:rPr>
          <w:color w:val="0070C0"/>
          <w:sz w:val="16"/>
          <w:szCs w:val="16"/>
        </w:rPr>
        <w:t>Комиссия подтвердила, что Ту</w:t>
      </w:r>
      <w:r w:rsidRPr="001A0BAA">
        <w:rPr>
          <w:color w:val="0070C0"/>
          <w:sz w:val="16"/>
          <w:szCs w:val="16"/>
        </w:rPr>
        <w:noBreakHyphen/>
        <w:t>2Т 2АШ</w:t>
      </w:r>
      <w:r w:rsidRPr="001A0BAA">
        <w:rPr>
          <w:color w:val="0070C0"/>
          <w:sz w:val="16"/>
          <w:szCs w:val="16"/>
        </w:rPr>
        <w:noBreakHyphen/>
        <w:t>82ФН успешно прошел испытания. Самолет приняли на вооружение в качестве морского торпедоносца.</w:t>
      </w:r>
    </w:p>
    <w:p w14:paraId="30AB5ADF" w14:textId="77777777" w:rsidR="00D80690" w:rsidRPr="001A0BAA" w:rsidRDefault="00D80690" w:rsidP="00D80690">
      <w:pPr>
        <w:jc w:val="both"/>
        <w:rPr>
          <w:color w:val="0070C0"/>
          <w:sz w:val="16"/>
          <w:szCs w:val="16"/>
        </w:rPr>
      </w:pPr>
      <w:r w:rsidRPr="001A0BAA">
        <w:rPr>
          <w:color w:val="0070C0"/>
          <w:sz w:val="16"/>
          <w:szCs w:val="16"/>
        </w:rPr>
        <w:t>Ту</w:t>
      </w:r>
      <w:r w:rsidRPr="001A0BAA">
        <w:rPr>
          <w:color w:val="0070C0"/>
          <w:sz w:val="16"/>
          <w:szCs w:val="16"/>
        </w:rPr>
        <w:noBreakHyphen/>
        <w:t>2Т серийно выпускался на заводе № 23 в 1946–1948 г.г. (25073).</w:t>
      </w:r>
    </w:p>
    <w:p w14:paraId="38C9ED8F" w14:textId="77777777" w:rsidR="00D80690" w:rsidRPr="001A0BAA" w:rsidRDefault="00D80690" w:rsidP="00D80690">
      <w:pPr>
        <w:jc w:val="both"/>
        <w:rPr>
          <w:color w:val="0070C0"/>
          <w:sz w:val="16"/>
          <w:szCs w:val="16"/>
        </w:rPr>
      </w:pPr>
    </w:p>
    <w:p w14:paraId="35AB6AE8" w14:textId="77777777" w:rsidR="00D80690" w:rsidRPr="001A0BAA" w:rsidRDefault="00D80690" w:rsidP="00D80690">
      <w:pPr>
        <w:jc w:val="both"/>
        <w:rPr>
          <w:color w:val="0070C0"/>
          <w:sz w:val="16"/>
          <w:szCs w:val="16"/>
        </w:rPr>
      </w:pPr>
      <w:r w:rsidRPr="001A0BAA">
        <w:rPr>
          <w:rStyle w:val="aff0"/>
          <w:rFonts w:ascii="Times New Roman" w:hAnsi="Times New Roman" w:cs="Times New Roman"/>
          <w:color w:val="0070C0"/>
          <w:spacing w:val="0"/>
          <w:sz w:val="16"/>
          <w:szCs w:val="16"/>
        </w:rPr>
        <w:t>С 13 февраля по 5 апреля 1945 г. самолёт Ту-2Т, построенный на базе Ту-2С и оборудованный держателями для подвески двух низковысотных торпед 45-36АН под крылом (предусматривалась и внутренняя подвеска морских мин калибром до 1000 кг), прошёл совместные заводские и государственные испытания и был рекомендован к принятию на вооружение АВМФ. Позднее на базе Ту-2Д разработали Ту-2Т (самолёт «62Т»), но серийным он не стал (25146).</w:t>
      </w:r>
    </w:p>
    <w:p w14:paraId="0C310599" w14:textId="77777777" w:rsidR="00D80690" w:rsidRPr="001A0BAA" w:rsidRDefault="00D80690" w:rsidP="00D80690">
      <w:pPr>
        <w:jc w:val="both"/>
        <w:rPr>
          <w:color w:val="0070C0"/>
          <w:sz w:val="16"/>
          <w:szCs w:val="16"/>
        </w:rPr>
      </w:pPr>
    </w:p>
    <w:p w14:paraId="119757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комиссия приняла макет Пе-2 с мотором 2 ВК-109 (2592,88).</w:t>
      </w:r>
    </w:p>
    <w:p w14:paraId="761397A6" w14:textId="77777777" w:rsidR="00665165" w:rsidRPr="00925F26" w:rsidRDefault="00665165" w:rsidP="00925F26">
      <w:pPr>
        <w:autoSpaceDE w:val="0"/>
        <w:autoSpaceDN w:val="0"/>
        <w:adjustRightInd w:val="0"/>
        <w:jc w:val="both"/>
        <w:rPr>
          <w:color w:val="000000" w:themeColor="text1"/>
          <w:sz w:val="16"/>
          <w:szCs w:val="16"/>
        </w:rPr>
      </w:pPr>
    </w:p>
    <w:p w14:paraId="68ADA2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года вышел приказ НКАП:</w:t>
      </w:r>
    </w:p>
    <w:p w14:paraId="6844E6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Утвердить Еськова В.С. директором завода № 456 (директор завода № 273) (8958)</w:t>
      </w:r>
    </w:p>
    <w:p w14:paraId="365B4C1E" w14:textId="77777777" w:rsidR="00665165" w:rsidRPr="00925F26" w:rsidRDefault="00665165" w:rsidP="00925F26">
      <w:pPr>
        <w:autoSpaceDE w:val="0"/>
        <w:autoSpaceDN w:val="0"/>
        <w:adjustRightInd w:val="0"/>
        <w:jc w:val="both"/>
        <w:rPr>
          <w:iCs/>
          <w:color w:val="000000" w:themeColor="text1"/>
          <w:sz w:val="16"/>
          <w:szCs w:val="16"/>
        </w:rPr>
      </w:pPr>
    </w:p>
    <w:p w14:paraId="6783DBB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890B387" w14:textId="77777777" w:rsidR="00665165" w:rsidRPr="00925F26" w:rsidRDefault="00665165" w:rsidP="00925F26">
      <w:pPr>
        <w:autoSpaceDE w:val="0"/>
        <w:autoSpaceDN w:val="0"/>
        <w:adjustRightInd w:val="0"/>
        <w:jc w:val="both"/>
        <w:rPr>
          <w:iCs/>
          <w:color w:val="000000" w:themeColor="text1"/>
          <w:sz w:val="16"/>
          <w:szCs w:val="16"/>
        </w:rPr>
      </w:pPr>
    </w:p>
    <w:p w14:paraId="724416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февраля 1945 г. была подготовлена ДОКЛАДНАЯ ЗАПИСКА НАЧАЛЬНИКА ГБТУ КА ВОЕННОМУ СОВЕТУ БТ и МВ КА ПО ВОПРОСУ ИЗГОТОВЛЕНИЯ ПРОТИВОМИННЫХ ТРАЛОВ ПТ-3</w:t>
      </w:r>
    </w:p>
    <w:p w14:paraId="392B07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Согласной постановлению ГОКО №7092 от 8.12.1944 г. Тульский механический завод НКПС обязан изготовить и сдать ГБТУ КА противоминные тралы ПТ-3 в количестве:</w:t>
      </w:r>
    </w:p>
    <w:p w14:paraId="42CE2A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декабрь 1944 г. — 50 шт.;</w:t>
      </w:r>
    </w:p>
    <w:p w14:paraId="7A50C8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январь 1945 г. — 60 шт.;</w:t>
      </w:r>
    </w:p>
    <w:p w14:paraId="083A9E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февраль 1945 г. — 25 шт.;</w:t>
      </w:r>
    </w:p>
    <w:p w14:paraId="4BEE98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март 1945 г. — 25 шт.</w:t>
      </w:r>
    </w:p>
    <w:p w14:paraId="1B4CE5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 декабря и января месяца выполнен заводом полностью. ГБТУ КА принято от Тульского завода 110 противоминных тралов ПТ-3. 82 противоминных трала отправлены в войска.</w:t>
      </w:r>
    </w:p>
    <w:p w14:paraId="700A35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На 10.02.1945 г. 60 тралов находятся на хранении в Тульском танковом военном лагере.</w:t>
      </w:r>
    </w:p>
    <w:p w14:paraId="52C1C3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Литейно-механический завод НКПС имени Кагановича, поставляющий стальное литье для Тульского механического завода, заканчивает в середине февраля с. г. изготовление стального ли</w:t>
      </w:r>
      <w:r w:rsidRPr="00925F26">
        <w:rPr>
          <w:color w:val="000000" w:themeColor="text1"/>
          <w:sz w:val="16"/>
          <w:szCs w:val="16"/>
        </w:rPr>
        <w:softHyphen/>
        <w:t>тья на всю программу, установленную постановлением ГОКО №7092.</w:t>
      </w:r>
    </w:p>
    <w:p w14:paraId="6E8203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Для обеспечения беспрерывного изготовления противоминных тралов во </w:t>
      </w:r>
      <w:r w:rsidRPr="00925F26">
        <w:rPr>
          <w:color w:val="000000" w:themeColor="text1"/>
          <w:sz w:val="16"/>
          <w:szCs w:val="16"/>
          <w:lang w:val="en-US"/>
        </w:rPr>
        <w:t>II</w:t>
      </w:r>
      <w:r w:rsidRPr="00925F26">
        <w:rPr>
          <w:color w:val="000000" w:themeColor="text1"/>
          <w:sz w:val="16"/>
          <w:szCs w:val="16"/>
        </w:rPr>
        <w:t xml:space="preserve"> квартале и сохра</w:t>
      </w:r>
      <w:r w:rsidRPr="00925F26">
        <w:rPr>
          <w:color w:val="000000" w:themeColor="text1"/>
          <w:sz w:val="16"/>
          <w:szCs w:val="16"/>
        </w:rPr>
        <w:softHyphen/>
        <w:t>нения производственной базы, обеспечивающей снабжение Красной Армии противоминными тра</w:t>
      </w:r>
      <w:r w:rsidRPr="00925F26">
        <w:rPr>
          <w:color w:val="000000" w:themeColor="text1"/>
          <w:sz w:val="16"/>
          <w:szCs w:val="16"/>
        </w:rPr>
        <w:softHyphen/>
        <w:t xml:space="preserve">лами, прошу разрешить произвести заказ на ПТ-3 на </w:t>
      </w:r>
      <w:r w:rsidRPr="00925F26">
        <w:rPr>
          <w:color w:val="000000" w:themeColor="text1"/>
          <w:sz w:val="16"/>
          <w:szCs w:val="16"/>
          <w:lang w:val="en-US"/>
        </w:rPr>
        <w:t>II</w:t>
      </w:r>
      <w:r w:rsidRPr="00925F26">
        <w:rPr>
          <w:color w:val="000000" w:themeColor="text1"/>
          <w:sz w:val="16"/>
          <w:szCs w:val="16"/>
        </w:rPr>
        <w:t xml:space="preserve"> квартал 1945 г. с поставкой ежемесячно по 25 тралов.</w:t>
      </w:r>
    </w:p>
    <w:p w14:paraId="0CBC6A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ГБТУ КА генерал-лейтенант танковых войск Вершинин</w:t>
      </w:r>
    </w:p>
    <w:p w14:paraId="334914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2705. Л. 13. Подлинник (11420).</w:t>
      </w:r>
    </w:p>
    <w:p w14:paraId="15A369FC" w14:textId="77777777" w:rsidR="00665165" w:rsidRPr="00925F26" w:rsidRDefault="00665165" w:rsidP="00925F26">
      <w:pPr>
        <w:autoSpaceDE w:val="0"/>
        <w:autoSpaceDN w:val="0"/>
        <w:adjustRightInd w:val="0"/>
        <w:jc w:val="both"/>
        <w:rPr>
          <w:color w:val="000000" w:themeColor="text1"/>
          <w:sz w:val="16"/>
          <w:szCs w:val="16"/>
        </w:rPr>
      </w:pPr>
    </w:p>
    <w:p w14:paraId="39259D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вышло Постановление ГКО № 7536 Об обеспечении топливом ГЭС № 1 Мосэнерго. РГАНИР, Фонд ГКО, д. 370, лл. 226-227 (11012).</w:t>
      </w:r>
    </w:p>
    <w:p w14:paraId="732A207C" w14:textId="77777777" w:rsidR="00665165" w:rsidRPr="00925F26" w:rsidRDefault="00665165" w:rsidP="00925F26">
      <w:pPr>
        <w:autoSpaceDE w:val="0"/>
        <w:autoSpaceDN w:val="0"/>
        <w:adjustRightInd w:val="0"/>
        <w:jc w:val="both"/>
        <w:rPr>
          <w:color w:val="000000" w:themeColor="text1"/>
          <w:sz w:val="16"/>
          <w:szCs w:val="16"/>
        </w:rPr>
      </w:pPr>
    </w:p>
    <w:p w14:paraId="322D3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вышло Постановление ГКО № 7537 О мероприятиях по обеспечению углем важнейших предприятий Наркомцветмета в феврале 1945 г. РГАНИР, Фонд ГКО, д. 370, лл. 228-230 (11012).</w:t>
      </w:r>
    </w:p>
    <w:p w14:paraId="0C801D11" w14:textId="77777777" w:rsidR="00665165" w:rsidRPr="00925F26" w:rsidRDefault="00665165" w:rsidP="00925F26">
      <w:pPr>
        <w:autoSpaceDE w:val="0"/>
        <w:autoSpaceDN w:val="0"/>
        <w:adjustRightInd w:val="0"/>
        <w:jc w:val="both"/>
        <w:rPr>
          <w:color w:val="000000" w:themeColor="text1"/>
          <w:sz w:val="16"/>
          <w:szCs w:val="16"/>
        </w:rPr>
      </w:pPr>
    </w:p>
    <w:p w14:paraId="29E7D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вышло Распоряжение ГКО № 7538. О поставках корпусов 160 мм мин заводу № 12 НКБ. РГАНИР, Фонд ГКО, д. 370, лл. 231 (11012).</w:t>
      </w:r>
    </w:p>
    <w:p w14:paraId="3E7F0405" w14:textId="77777777" w:rsidR="00665165" w:rsidRPr="00925F26" w:rsidRDefault="00665165" w:rsidP="00925F26">
      <w:pPr>
        <w:autoSpaceDE w:val="0"/>
        <w:autoSpaceDN w:val="0"/>
        <w:adjustRightInd w:val="0"/>
        <w:jc w:val="both"/>
        <w:rPr>
          <w:color w:val="000000" w:themeColor="text1"/>
          <w:sz w:val="16"/>
          <w:szCs w:val="16"/>
        </w:rPr>
      </w:pPr>
    </w:p>
    <w:p w14:paraId="29C9F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вышло Постановление ГКО № 7539 О производстве запасных частей для проведения в 1945 г. капитального ремонта оборудования электростанций и электросетей и мерах улучшения их эксплуатации. РГАНИР, Фонд ГКО, д. 371, лл. 1-6, 7-286 (11012).</w:t>
      </w:r>
    </w:p>
    <w:p w14:paraId="44643B45" w14:textId="77777777" w:rsidR="00665165" w:rsidRPr="00925F26" w:rsidRDefault="00665165" w:rsidP="00925F26">
      <w:pPr>
        <w:autoSpaceDE w:val="0"/>
        <w:autoSpaceDN w:val="0"/>
        <w:adjustRightInd w:val="0"/>
        <w:jc w:val="both"/>
        <w:rPr>
          <w:color w:val="000000" w:themeColor="text1"/>
          <w:sz w:val="16"/>
          <w:szCs w:val="16"/>
        </w:rPr>
      </w:pPr>
    </w:p>
    <w:p w14:paraId="54428DD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8489820" w14:textId="77777777" w:rsidR="00665165" w:rsidRPr="00925F26" w:rsidRDefault="00665165" w:rsidP="00925F26">
      <w:pPr>
        <w:autoSpaceDE w:val="0"/>
        <w:autoSpaceDN w:val="0"/>
        <w:adjustRightInd w:val="0"/>
        <w:jc w:val="both"/>
        <w:rPr>
          <w:iCs/>
          <w:color w:val="000000" w:themeColor="text1"/>
          <w:sz w:val="16"/>
          <w:szCs w:val="16"/>
        </w:rPr>
      </w:pPr>
    </w:p>
    <w:p w14:paraId="3400B262" w14:textId="77777777" w:rsidR="00720DFE" w:rsidRPr="00925F26" w:rsidRDefault="00720DFE" w:rsidP="00925F26">
      <w:pPr>
        <w:jc w:val="both"/>
        <w:rPr>
          <w:color w:val="000000" w:themeColor="text1"/>
          <w:sz w:val="16"/>
          <w:szCs w:val="16"/>
        </w:rPr>
      </w:pPr>
      <w:r w:rsidRPr="00925F26">
        <w:rPr>
          <w:bCs/>
          <w:color w:val="000000" w:themeColor="text1"/>
          <w:sz w:val="16"/>
          <w:szCs w:val="16"/>
        </w:rPr>
        <w:t>13 ФЕВРАЛЯ 1945 СООБЩЕНИЕ Совинформбюро:</w:t>
      </w:r>
    </w:p>
    <w:p w14:paraId="19C81A44"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2-го УКРАИНСКОГО фронта при содействии войск 3-го УКРАИНСКОГО фронта, после полуторамесячной осады и упорных боёв в трудных условиях большого города, 13 февраля завершили разгром окружённой группировки противника в БУДАПЕШТЕ и тем самым полностью овладели столицей Венгрии городом БУДАПЕШТ — стратегически важный узлом обороны немцев на путях к ВЕНЕ.</w:t>
      </w:r>
    </w:p>
    <w:p w14:paraId="2CA4732D" w14:textId="77777777" w:rsidR="00720DFE" w:rsidRPr="00925F26" w:rsidRDefault="00720DFE" w:rsidP="00925F26">
      <w:pPr>
        <w:jc w:val="both"/>
        <w:rPr>
          <w:color w:val="000000" w:themeColor="text1"/>
          <w:sz w:val="16"/>
          <w:szCs w:val="16"/>
        </w:rPr>
      </w:pPr>
      <w:r w:rsidRPr="00925F26">
        <w:rPr>
          <w:color w:val="000000" w:themeColor="text1"/>
          <w:sz w:val="16"/>
          <w:szCs w:val="16"/>
        </w:rPr>
        <w:t>В ходе боёв в городе БУДАПЕШТ войска 2-го УКРАИНСКОГО фронта взяли в плен более 110.000 солдат и офицеров противника во главе с немецким командующим Будапештской группой войск генерал-полковником Пфеффер — Вильденбрухом и его штабом, а также захватили следующие трофеи: самолётов—15, танков и самоходных орудий—269, орудий—1.257, миномётов—476, пулемётов—1.431, бронемашин и бронетранспортёров — 83, автомашин — 5.153, мотоциклов — 1.326, повозок с военными грузами — 3.925, паровозов—194, железнодорожных вагонов — 9.475, складов с боеприпасами, вооружением и продовольствием — 46. Уничтожено более 49.000 солдат и офицеров противника.</w:t>
      </w:r>
    </w:p>
    <w:p w14:paraId="3BE36256" w14:textId="77777777" w:rsidR="00720DFE" w:rsidRPr="00925F26" w:rsidRDefault="00720DFE" w:rsidP="00925F26">
      <w:pPr>
        <w:jc w:val="both"/>
        <w:rPr>
          <w:color w:val="000000" w:themeColor="text1"/>
          <w:sz w:val="16"/>
          <w:szCs w:val="16"/>
        </w:rPr>
      </w:pPr>
      <w:r w:rsidRPr="00925F26">
        <w:rPr>
          <w:color w:val="000000" w:themeColor="text1"/>
          <w:sz w:val="16"/>
          <w:szCs w:val="16"/>
        </w:rPr>
        <w:t>В течение 13 февраля севернее и северо-западнее города БЫДГОЩ (БРОМБЕРГ) наши войска, продолжая наступление, с боями заняли более 40 населённых пунктов, среди которых крупные населённые пункты МУКШ, КЛАЙН БИСЛАВ, ГРОСС МЕН-ДРОМИРЦ, ШЛАГЕНТИН, ГЕРСДОРФ, КАМИН, ГРУНАУ.</w:t>
      </w:r>
    </w:p>
    <w:p w14:paraId="1D4040AE" w14:textId="77777777" w:rsidR="00720DFE" w:rsidRPr="00925F26" w:rsidRDefault="00720DFE" w:rsidP="00925F26">
      <w:pPr>
        <w:jc w:val="both"/>
        <w:rPr>
          <w:color w:val="000000" w:themeColor="text1"/>
          <w:sz w:val="16"/>
          <w:szCs w:val="16"/>
        </w:rPr>
      </w:pPr>
      <w:r w:rsidRPr="00925F26">
        <w:rPr>
          <w:color w:val="000000" w:themeColor="text1"/>
          <w:sz w:val="16"/>
          <w:szCs w:val="16"/>
        </w:rPr>
        <w:t>В ШНАЙДЕМЮЛЕ и ПОЗНАНИ продолжались бои по уничтожению окружённых гарнизонов противника.</w:t>
      </w:r>
    </w:p>
    <w:p w14:paraId="44FE18F8" w14:textId="77777777" w:rsidR="00720DFE" w:rsidRPr="00925F26" w:rsidRDefault="00720DFE" w:rsidP="00925F26">
      <w:pPr>
        <w:jc w:val="both"/>
        <w:rPr>
          <w:color w:val="000000" w:themeColor="text1"/>
          <w:sz w:val="16"/>
          <w:szCs w:val="16"/>
        </w:rPr>
      </w:pPr>
      <w:r w:rsidRPr="00925F26">
        <w:rPr>
          <w:color w:val="000000" w:themeColor="text1"/>
          <w:sz w:val="16"/>
          <w:szCs w:val="16"/>
        </w:rPr>
        <w:t>Северо-западнее города ЛИГНИЦ наши войска, развивая наступление, с боями заняли в немецкой Силезии более 150 населённых пунктов, в том числе город БЕЙ-ТЕН и крупные населённые пункты ГРОССЕНБОРАУ, РЮККЕРСДОРФ, ИОНСДОРФ. НОЙХАММЕР, ЛОРЕНЦДОРФ. Наши войска окружили гарнизон противника в городе ГЛОГАУ и вели бои по его уничтожению. За 12 февраля в этом районе наши войска захватили на аэродромах 345 немецких самолётов и 200 авиационных моторов, а также взяли в плен более 700 немецких солдат и офицеров.</w:t>
      </w:r>
    </w:p>
    <w:p w14:paraId="6310C00D" w14:textId="77777777" w:rsidR="00720DFE" w:rsidRPr="00925F26" w:rsidRDefault="00720DF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14A4AA63" w14:textId="77777777" w:rsidR="00720DFE" w:rsidRPr="00925F26" w:rsidRDefault="00720DFE" w:rsidP="00925F26">
      <w:pPr>
        <w:jc w:val="both"/>
        <w:rPr>
          <w:color w:val="000000" w:themeColor="text1"/>
          <w:sz w:val="16"/>
          <w:szCs w:val="16"/>
        </w:rPr>
      </w:pPr>
      <w:r w:rsidRPr="00925F26">
        <w:rPr>
          <w:color w:val="000000" w:themeColor="text1"/>
          <w:sz w:val="16"/>
          <w:szCs w:val="16"/>
        </w:rPr>
        <w:t>За 12 февраля на всех фронтах подбито и уничтожено 70 немецких танков. В воздушных боях и огнём зенитной артиллерии сбито 12 самолётов противника.</w:t>
      </w:r>
    </w:p>
    <w:p w14:paraId="0C294E84" w14:textId="77777777" w:rsidR="00720DFE" w:rsidRPr="00925F26" w:rsidRDefault="00720DFE" w:rsidP="00925F26">
      <w:pPr>
        <w:jc w:val="both"/>
        <w:rPr>
          <w:color w:val="000000" w:themeColor="text1"/>
          <w:sz w:val="16"/>
          <w:szCs w:val="16"/>
        </w:rPr>
      </w:pPr>
      <w:r w:rsidRPr="00925F26">
        <w:rPr>
          <w:color w:val="000000" w:themeColor="text1"/>
          <w:sz w:val="16"/>
          <w:szCs w:val="16"/>
        </w:rPr>
        <w:t>Сегодня войска 2-го Украинского фронта при содействии войск 3-го Украинского фронта завершили ликвидацию окружённой в Будапеште группировки противника и полностью очистили венгерскую столицу от немецких захватчиков. Битва за Будапешт закончилась новой славной победой Красной Армии.</w:t>
      </w:r>
    </w:p>
    <w:p w14:paraId="27B5DA6C"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Полтора месяца тому назад, 29 декабря 1944 года, Советское командование, желая избежать напрасного кровопролития, избавить мирное население от страданий и жертв, предотвратить разрушение венгерской столицы, направило командованию и всему офицерскому составу окруженных в районе Будапешта немецких войск парламентёров </w:t>
      </w:r>
      <w:proofErr w:type="gramStart"/>
      <w:r w:rsidRPr="00925F26">
        <w:rPr>
          <w:color w:val="000000" w:themeColor="text1"/>
          <w:sz w:val="16"/>
          <w:szCs w:val="16"/>
        </w:rPr>
        <w:t>с ультиматумам</w:t>
      </w:r>
      <w:proofErr w:type="gramEnd"/>
      <w:r w:rsidRPr="00925F26">
        <w:rPr>
          <w:color w:val="000000" w:themeColor="text1"/>
          <w:sz w:val="16"/>
          <w:szCs w:val="16"/>
        </w:rPr>
        <w:t xml:space="preserve"> </w:t>
      </w:r>
      <w:proofErr w:type="gramStart"/>
      <w:r w:rsidRPr="00925F26">
        <w:rPr>
          <w:color w:val="000000" w:themeColor="text1"/>
          <w:sz w:val="16"/>
          <w:szCs w:val="16"/>
        </w:rPr>
        <w:t>о капитуляций</w:t>
      </w:r>
      <w:proofErr w:type="gramEnd"/>
      <w:r w:rsidRPr="00925F26">
        <w:rPr>
          <w:color w:val="000000" w:themeColor="text1"/>
          <w:sz w:val="16"/>
          <w:szCs w:val="16"/>
        </w:rPr>
        <w:t>. Гитлеровские провокаторы и бандиты убили советских парламентеров. С этого момента наши войска развернули планомерные операции по ликвидации вражеской группировки. Немецкое командование, пытаясь прийти на помощь своим окружённым войскам, сосредоточило северо-западнее Будапешта крупные силы танков и пехоты и бросило их в бой. Перед наступлением всем солдатам был объявлен приказ Гитлера следующего содержания: «Вас будет поддерживать много тяжёлой артиллерии и самолётов. Вы должны сделать все, чтобы освободить дивизии, окруженные в Будапеште. Операциями руководить буду я сам». Известно, что это немецкое наступление позорно провалилось. Не добившись никаких результатов, немцы перегруппировали свои силы и изменили направление удара. Они предприняли атаки на столицу из района юго-западнее Будапешта. Однако и здесь все попытки гитлеровцев прорваться в Будапешт потерпели крах. Советские части отразили атаки противника и нанесли ему огромные потери. В бесплодных попытках прорваться к Будапешту немцы потеряли сотни танков и несколько десятков тысяч своих солдат и офицеров. Советские войска, ведя упорные бои, всё теснее сжимали кольцо вокруг окружённой в городе группировки противника. Немцы оказывает яростное сопротивление. Они установили в домах орудия и пулемёты, взорвали многие здания, устроили завалы и баррикады, на улицах расставили десятки тысяч мин. Немецкие офицеры расстреливали солдат, которые говорили, что положение будапештского гарнизона безнадежно. Все эти свирепые меры не спасли противника от разгрома. Советские воины, испытанные мастера уличного боя, ликвидировали окружённую группировку немцев. За время полуторамесячной осады и упорных боёв в Будапеште взято в плен более 110 тысяч солдат и офицеров противника. Среди пленных командующий будапештской группировкой противника немецкий генерал-полковник Пфеффер Вильденбрух, взятый вместе с его штабом в подземной водосточной трубе.</w:t>
      </w:r>
    </w:p>
    <w:p w14:paraId="06892B1E" w14:textId="77777777" w:rsidR="00720DFE" w:rsidRPr="00925F26" w:rsidRDefault="00720DFE" w:rsidP="00925F26">
      <w:pPr>
        <w:jc w:val="both"/>
        <w:rPr>
          <w:color w:val="000000" w:themeColor="text1"/>
          <w:sz w:val="16"/>
          <w:szCs w:val="16"/>
        </w:rPr>
      </w:pPr>
      <w:r w:rsidRPr="00925F26">
        <w:rPr>
          <w:color w:val="000000" w:themeColor="text1"/>
          <w:sz w:val="16"/>
          <w:szCs w:val="16"/>
        </w:rPr>
        <w:t>Севернее и северо-западнее города Быдгощ (Бромберт) наши войска продолжали наступление. Противник оказывает упорное сопротивление и часто переходит в контратаки. На одном участке немцы в течение дня предприняли двадцать контратак. Отбив вражеские контратаки, советские части овладели крупным населённым пунктом Камин, железнодорожной станцией Гарсдорф и ведут бои в 10 километрах южнее города Хойнице (Конитц). 3а день боёв уничтожено до 2 тысяч немецких солдат и офицеров. Сожжено и подбито 14 танков и самоходных орудий противника.</w:t>
      </w:r>
    </w:p>
    <w:p w14:paraId="5747D51F" w14:textId="77777777" w:rsidR="00720DFE" w:rsidRPr="00925F26" w:rsidRDefault="00720DFE" w:rsidP="00925F26">
      <w:pPr>
        <w:jc w:val="both"/>
        <w:rPr>
          <w:color w:val="000000" w:themeColor="text1"/>
          <w:sz w:val="16"/>
          <w:szCs w:val="16"/>
        </w:rPr>
      </w:pPr>
      <w:r w:rsidRPr="00925F26">
        <w:rPr>
          <w:color w:val="000000" w:themeColor="text1"/>
          <w:sz w:val="16"/>
          <w:szCs w:val="16"/>
        </w:rPr>
        <w:t>Северо-западнее города Лигниц наши войска продолжали развивать успешное наступление. Части Н-ского соединения, совершив стремительный обходный манёвр, окружили город Глогау—сильный опорный пункт немецкой обороны на левом берегу Одера. Продвигаясь вдоль Одера на северо-запад, советские войска овладели железнодорожной станцией и городом Бейтен. Другие наши части переправились через реку Бобер, преодолели большой лесной массив и заняли населённые пункты Нойхаммер, Лоренцдорф и Клитшдорф, расположенные на восточном берегу реки Квейс. Разрозненные группы немцев были прижаты к реке и уничтожены. В лесах в одном районе захвачены большие подземные склады — арсеналы с вооружением, боеприпасами и военными материалами.</w:t>
      </w:r>
    </w:p>
    <w:p w14:paraId="79C7DB14" w14:textId="77777777" w:rsidR="00720DFE" w:rsidRPr="00925F26" w:rsidRDefault="00720DFE" w:rsidP="00925F26">
      <w:pPr>
        <w:jc w:val="both"/>
        <w:rPr>
          <w:color w:val="000000" w:themeColor="text1"/>
          <w:sz w:val="16"/>
          <w:szCs w:val="16"/>
        </w:rPr>
      </w:pPr>
      <w:r w:rsidRPr="00925F26">
        <w:rPr>
          <w:color w:val="000000" w:themeColor="text1"/>
          <w:sz w:val="16"/>
          <w:szCs w:val="16"/>
        </w:rPr>
        <w:t>Советские воины в боях с немецкими захватчиками показывают образцы доблести и геройства. Пулемётчик Николай Лубков переплыл через реку и, прикрывая переправу советских бойцов, пулемётным огнём истребил несколько десятков гитлеровцев. Артиллерист наводчик Пётр Земцов в одном бою уничтожил 2 танка и 4 бронетранспортера противника. Зенитчик сержант Жарков при отражении налёта вражеской авиации сбил 2 немецких самолёта. Артиллеристы батареи старшего лейтенанта Пешкова, следуя в боевых порядках пехоты, прямой наводкой подавили 29 огневых точек противника. Старший сержант Мельник заметил, что в одном сарае укрылась большая группа немцев. Он скрытно подобрался к сараю и бросил две гранаты. Ворвавшись затем в сарай, Мельник дал две очереди из автомата и крикнул: «Руки вверх!». Оторопевшие немцы бросили оружие. Вышедшие из сарая с поднятыми руками 104 гитлеровца взяты в плен (15039).</w:t>
      </w:r>
    </w:p>
    <w:p w14:paraId="032C7FC9" w14:textId="77777777" w:rsidR="00720DFE" w:rsidRPr="00925F26" w:rsidRDefault="00720DFE" w:rsidP="00925F26">
      <w:pPr>
        <w:jc w:val="both"/>
        <w:rPr>
          <w:color w:val="000000" w:themeColor="text1"/>
          <w:sz w:val="16"/>
          <w:szCs w:val="16"/>
        </w:rPr>
      </w:pPr>
    </w:p>
    <w:p w14:paraId="5D2EFCB0" w14:textId="77777777" w:rsidR="00720DFE" w:rsidRPr="00925F26" w:rsidRDefault="00720DFE" w:rsidP="00925F26">
      <w:pPr>
        <w:jc w:val="both"/>
        <w:rPr>
          <w:color w:val="000000" w:themeColor="text1"/>
          <w:sz w:val="16"/>
          <w:szCs w:val="16"/>
        </w:rPr>
      </w:pPr>
      <w:r w:rsidRPr="00925F26">
        <w:rPr>
          <w:bCs/>
          <w:color w:val="000000" w:themeColor="text1"/>
          <w:sz w:val="16"/>
          <w:szCs w:val="16"/>
        </w:rPr>
        <w:t>13 февраля</w:t>
      </w:r>
      <w:r w:rsidRPr="00925F26">
        <w:rPr>
          <w:color w:val="000000" w:themeColor="text1"/>
          <w:sz w:val="16"/>
          <w:szCs w:val="16"/>
        </w:rPr>
        <w:t xml:space="preserve"> в 1945 году генерал Вальтер Венк (Walter Wenk) назначен командовать немецким наступлением на советские позиции к востоку от Берлина. 12-я армия Венка, самого молодого генерала вермахта, оказалась меж двух огней: пыталась деблокировать осаждённый Берлин под непрерывными ударами советской штурмовой авиации, в то же время отражала с тыла наступление союзных войск. Все попытки деблокировать Берлин были провалены, удалось лишь частично деблокировать котбускую группировку южнее Берлина, окружённую войсками 1-го Украинского фронта Конева (15039).</w:t>
      </w:r>
    </w:p>
    <w:p w14:paraId="6EA0CE65" w14:textId="77777777" w:rsidR="00720DFE" w:rsidRPr="00925F26" w:rsidRDefault="00720DFE" w:rsidP="00925F26">
      <w:pPr>
        <w:jc w:val="both"/>
        <w:rPr>
          <w:color w:val="000000" w:themeColor="text1"/>
          <w:sz w:val="16"/>
          <w:szCs w:val="16"/>
        </w:rPr>
      </w:pPr>
    </w:p>
    <w:p w14:paraId="0EAEFF59" w14:textId="18FDF674" w:rsidR="002C1BDA" w:rsidRPr="00925F26" w:rsidRDefault="002C1BDA" w:rsidP="00925F26">
      <w:pPr>
        <w:jc w:val="both"/>
        <w:rPr>
          <w:color w:val="000000" w:themeColor="text1"/>
          <w:sz w:val="16"/>
          <w:szCs w:val="16"/>
        </w:rPr>
      </w:pPr>
      <w:r w:rsidRPr="00925F26">
        <w:rPr>
          <w:color w:val="000000" w:themeColor="text1"/>
          <w:sz w:val="16"/>
          <w:szCs w:val="16"/>
        </w:rPr>
        <w:t xml:space="preserve">С 13 февраля по 15 апреля 1945 г. на аэродроме Саки в Крыму, на базе 5-го гв. мтап велись испытания Ту-2 в варианте торпедоносца. Всего сбросили </w:t>
      </w:r>
      <w:proofErr w:type="gramStart"/>
      <w:r w:rsidRPr="00925F26">
        <w:rPr>
          <w:color w:val="000000" w:themeColor="text1"/>
          <w:sz w:val="16"/>
          <w:szCs w:val="16"/>
        </w:rPr>
        <w:t>20</w:t>
      </w:r>
      <w:r w:rsidR="00997EDF" w:rsidRPr="00925F26">
        <w:rPr>
          <w:color w:val="000000" w:themeColor="text1"/>
          <w:sz w:val="16"/>
          <w:szCs w:val="16"/>
        </w:rPr>
        <w:t xml:space="preserve">  </w:t>
      </w:r>
      <w:r w:rsidRPr="00925F26">
        <w:rPr>
          <w:color w:val="000000" w:themeColor="text1"/>
          <w:sz w:val="16"/>
          <w:szCs w:val="16"/>
        </w:rPr>
        <w:t>торпед</w:t>
      </w:r>
      <w:proofErr w:type="gramEnd"/>
      <w:r w:rsidRPr="00925F26">
        <w:rPr>
          <w:color w:val="000000" w:themeColor="text1"/>
          <w:sz w:val="16"/>
          <w:szCs w:val="16"/>
        </w:rPr>
        <w:t xml:space="preserve"> 45-36АН и усовершенствованных 45-36АНУ, как практических, без заряда, так и боевых. В программу испытаний входили и учебные атаки со сбросом по катеру-цели. По заключению комиссии торпедоносец испытания выдержал и был рекомендован к принятию на вооружение. Уже </w:t>
      </w:r>
      <w:proofErr w:type="gramStart"/>
      <w:r w:rsidRPr="00925F26">
        <w:rPr>
          <w:color w:val="000000" w:themeColor="text1"/>
          <w:sz w:val="16"/>
          <w:szCs w:val="16"/>
        </w:rPr>
        <w:t>4</w:t>
      </w:r>
      <w:r w:rsidR="00997EDF" w:rsidRPr="00925F26">
        <w:rPr>
          <w:color w:val="000000" w:themeColor="text1"/>
          <w:sz w:val="16"/>
          <w:szCs w:val="16"/>
        </w:rPr>
        <w:t xml:space="preserve">  </w:t>
      </w:r>
      <w:r w:rsidRPr="00925F26">
        <w:rPr>
          <w:color w:val="000000" w:themeColor="text1"/>
          <w:sz w:val="16"/>
          <w:szCs w:val="16"/>
        </w:rPr>
        <w:t>мая</w:t>
      </w:r>
      <w:proofErr w:type="gramEnd"/>
      <w:r w:rsidRPr="00925F26">
        <w:rPr>
          <w:color w:val="000000" w:themeColor="text1"/>
          <w:sz w:val="16"/>
          <w:szCs w:val="16"/>
        </w:rPr>
        <w:t xml:space="preserve"> командование флота заказало первые 20 комплектов для переоснащения уже имевшихся у морской авиации бомбардировщиков Ту-2 (21059).</w:t>
      </w:r>
    </w:p>
    <w:p w14:paraId="6A86A78F" w14:textId="77777777" w:rsidR="002C1BDA" w:rsidRPr="00925F26" w:rsidRDefault="002C1BDA" w:rsidP="00925F26">
      <w:pPr>
        <w:jc w:val="both"/>
        <w:rPr>
          <w:color w:val="000000" w:themeColor="text1"/>
          <w:sz w:val="16"/>
          <w:szCs w:val="16"/>
        </w:rPr>
      </w:pPr>
    </w:p>
    <w:p w14:paraId="2A1ADD1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13 февраля 1945 СА завершила блокаду Будапешта и оккупировала всю Венгрию</w:t>
      </w:r>
      <w:r w:rsidRPr="00925F26">
        <w:rPr>
          <w:color w:val="000000" w:themeColor="text1"/>
          <w:sz w:val="16"/>
          <w:szCs w:val="16"/>
          <w:lang w:val="en-US"/>
        </w:rPr>
        <w:t xml:space="preserve"> (270).</w:t>
      </w:r>
    </w:p>
    <w:p w14:paraId="63A0CAD7" w14:textId="77777777" w:rsidR="00665165" w:rsidRPr="00925F26" w:rsidRDefault="00665165" w:rsidP="00925F26">
      <w:pPr>
        <w:autoSpaceDE w:val="0"/>
        <w:autoSpaceDN w:val="0"/>
        <w:adjustRightInd w:val="0"/>
        <w:jc w:val="both"/>
        <w:rPr>
          <w:color w:val="000000" w:themeColor="text1"/>
          <w:sz w:val="16"/>
          <w:szCs w:val="16"/>
          <w:lang w:val="en-US"/>
        </w:rPr>
      </w:pPr>
    </w:p>
    <w:p w14:paraId="2A92943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13 February 1945 Red Army ends siege of Budapest and occupies Hungary (270).</w:t>
      </w:r>
    </w:p>
    <w:p w14:paraId="544DC4D8" w14:textId="77777777" w:rsidR="00665165" w:rsidRPr="00925F26" w:rsidRDefault="00665165" w:rsidP="00925F26">
      <w:pPr>
        <w:autoSpaceDE w:val="0"/>
        <w:autoSpaceDN w:val="0"/>
        <w:adjustRightInd w:val="0"/>
        <w:jc w:val="both"/>
        <w:rPr>
          <w:color w:val="000000" w:themeColor="text1"/>
          <w:sz w:val="16"/>
          <w:szCs w:val="16"/>
          <w:lang w:val="en-US"/>
        </w:rPr>
      </w:pPr>
    </w:p>
    <w:p w14:paraId="468586C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февраля 1945 после 50-дневной битвы советские войска взяли Будапешт (4962).</w:t>
      </w:r>
    </w:p>
    <w:p w14:paraId="0B8F96B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E95ED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согласно сообщению Совинформбюро л ВФ потопили несколько транспортов, а А.Носов направил горящую машину на транспорт в 6000 т и взорвал его. Вместе с ним погибли ш Игошин и стрелок Дорофеев (438,933).</w:t>
      </w:r>
    </w:p>
    <w:p w14:paraId="78BDA8B7" w14:textId="77777777" w:rsidR="00665165" w:rsidRPr="00925F26" w:rsidRDefault="00665165" w:rsidP="00925F26">
      <w:pPr>
        <w:autoSpaceDE w:val="0"/>
        <w:autoSpaceDN w:val="0"/>
        <w:adjustRightInd w:val="0"/>
        <w:jc w:val="both"/>
        <w:rPr>
          <w:color w:val="000000" w:themeColor="text1"/>
          <w:sz w:val="16"/>
          <w:szCs w:val="16"/>
        </w:rPr>
      </w:pPr>
    </w:p>
    <w:p w14:paraId="1EFE7D7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февраля 1945 генерал Вальтер Венк назначен командовать немецким наступлением на советские позиции к востоку от Берлина (4962).</w:t>
      </w:r>
    </w:p>
    <w:p w14:paraId="241F801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782C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г. четверка самолетов А-20 (два в варианте торпедоносцев, два - топмачтовиков) из состава 51-го МТАП, ведомая старшим лейтенантом В.П. Фоменковым, севернее косы Хела обнаружила и атаковала немецкий конвой. Один из топмачтовиков (пилот - младший лейтенант В.П.Носов, штурман младший лейтенант А.И.Игошин, стрелок - сержант B.C. Дорофеев) в ходе атаки на высоте 30 метров получил прямое попадание зенитного снаряда и загорелся. Не выходя из атаки, самолет врезался во вражеский транспорт, шедший в середине колонны из трех кораблей. В результате мощного взрыва корабль вскоре затонул. Уже после войны установлено, что был потоплен немецкий военный транспорт Н-27 (бывший французский пароход “Сан Матео”) с весьма ценным грузом. Вместе с транспортом погибли двигатели для карликовых подлодок типа “Зеехунд”, станки подземного патронного завода, печатное оборудование книжного издательства “Грейф” и газеты “Кенигсбергише Альгемайне Цайтунг”. Гданьский клуб подводного плавания “Рекина” в свое время обнаружил затонувшее на небольшой глубине судно в районе с координатами 59°23' сш. 18°58' вд</w:t>
      </w:r>
      <w:proofErr w:type="gramStart"/>
      <w:r w:rsidRPr="00925F26">
        <w:rPr>
          <w:color w:val="000000" w:themeColor="text1"/>
          <w:sz w:val="16"/>
          <w:szCs w:val="16"/>
        </w:rPr>
        <w:t>.</w:t>
      </w:r>
      <w:proofErr w:type="gramEnd"/>
      <w:r w:rsidRPr="00925F26">
        <w:rPr>
          <w:color w:val="000000" w:themeColor="text1"/>
          <w:sz w:val="16"/>
          <w:szCs w:val="16"/>
        </w:rPr>
        <w:t xml:space="preserve"> и в 70-80-е годы совершал на него регулярные погружения. Потопление транспорта ни у кого не вызывало сомнений, но почему-то в этом случае советское командование “поскупилось” на звезды Героев для погибшего экипажа “Бостона”. Летчики были посмертно награждены лишь орденами Красного Знамени (8942).</w:t>
      </w:r>
    </w:p>
    <w:p w14:paraId="1E6BE2BF" w14:textId="77777777" w:rsidR="00665165" w:rsidRPr="00925F26" w:rsidRDefault="00665165" w:rsidP="00925F26">
      <w:pPr>
        <w:autoSpaceDE w:val="0"/>
        <w:autoSpaceDN w:val="0"/>
        <w:adjustRightInd w:val="0"/>
        <w:jc w:val="both"/>
        <w:rPr>
          <w:color w:val="000000" w:themeColor="text1"/>
          <w:sz w:val="16"/>
          <w:szCs w:val="16"/>
        </w:rPr>
      </w:pPr>
    </w:p>
    <w:p w14:paraId="2BE668B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 xml:space="preserve">13 февраля 1945 г. Состав штаба ВВС был утвержден Власовым. Начальником штаба и вторым лицом после Мальцева стал не менее известный офицер полковник А.Ф.Ванюшин, до плена командовавший ВВС 20-й армии и отмеченный приказами Ставки еще за бои с немцами под Смоленском летом 1941 г. Судьба снова свела его с прежним командиром - в битве под Москвой самой 20-й армией с 20 ноября 1941 г. командовал генерал-майор А.Д.Власов. Распределяя посты, Мальцев исходил из профессиональных соображений, не делая различия между вчерашними офицерами РККА и </w:t>
      </w:r>
      <w:proofErr w:type="gramStart"/>
      <w:r w:rsidRPr="00925F26">
        <w:rPr>
          <w:color w:val="000000" w:themeColor="text1"/>
          <w:sz w:val="16"/>
          <w:szCs w:val="16"/>
        </w:rPr>
        <w:t>их классовыми врагами-эмигрантами</w:t>
      </w:r>
      <w:proofErr w:type="gramEnd"/>
      <w:r w:rsidRPr="00925F26">
        <w:rPr>
          <w:color w:val="000000" w:themeColor="text1"/>
          <w:sz w:val="16"/>
          <w:szCs w:val="16"/>
        </w:rPr>
        <w:t xml:space="preserve"> из числа которых немало осело в Чехословакии и Германии. Парадоксально, но некоторым из них в 20-30-е годы довелось в Чехословакии готовить летные кадры для будущих Люфтваффе почти одновременно с советскими инструкторами</w:t>
      </w:r>
      <w:proofErr w:type="gramStart"/>
      <w:r w:rsidRPr="00925F26">
        <w:rPr>
          <w:color w:val="000000" w:themeColor="text1"/>
          <w:sz w:val="16"/>
          <w:szCs w:val="16"/>
        </w:rPr>
        <w:t>.</w:t>
      </w:r>
      <w:proofErr w:type="gramEnd"/>
      <w:r w:rsidRPr="00925F26">
        <w:rPr>
          <w:color w:val="000000" w:themeColor="text1"/>
          <w:sz w:val="16"/>
          <w:szCs w:val="16"/>
        </w:rPr>
        <w:t xml:space="preserve"> учившими немцев летать на базах ВВС РККА! </w:t>
      </w:r>
      <w:r w:rsidRPr="00925F26">
        <w:rPr>
          <w:color w:val="000000" w:themeColor="text1"/>
          <w:sz w:val="16"/>
          <w:szCs w:val="16"/>
          <w:lang w:val="en-US"/>
        </w:rPr>
        <w:t>(4538).</w:t>
      </w:r>
    </w:p>
    <w:p w14:paraId="414D1312" w14:textId="77777777" w:rsidR="00665165" w:rsidRPr="00925F26" w:rsidRDefault="00665165" w:rsidP="00925F26">
      <w:pPr>
        <w:autoSpaceDE w:val="0"/>
        <w:autoSpaceDN w:val="0"/>
        <w:adjustRightInd w:val="0"/>
        <w:jc w:val="both"/>
        <w:rPr>
          <w:color w:val="000000" w:themeColor="text1"/>
          <w:sz w:val="16"/>
          <w:szCs w:val="16"/>
          <w:lang w:val="en-US"/>
        </w:rPr>
      </w:pPr>
    </w:p>
    <w:p w14:paraId="44E16F68"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177BC8C4" w14:textId="77777777" w:rsidR="00665165" w:rsidRPr="00925F26" w:rsidRDefault="00665165" w:rsidP="00925F26">
      <w:pPr>
        <w:autoSpaceDE w:val="0"/>
        <w:autoSpaceDN w:val="0"/>
        <w:adjustRightInd w:val="0"/>
        <w:jc w:val="both"/>
        <w:rPr>
          <w:iCs/>
          <w:color w:val="000000" w:themeColor="text1"/>
          <w:sz w:val="16"/>
          <w:szCs w:val="16"/>
          <w:lang w:val="en-US"/>
        </w:rPr>
      </w:pPr>
    </w:p>
    <w:p w14:paraId="02D1D4D5" w14:textId="77777777" w:rsidR="00665165" w:rsidRPr="00925F26" w:rsidRDefault="00665165" w:rsidP="00925F26">
      <w:pPr>
        <w:tabs>
          <w:tab w:val="left" w:pos="11199"/>
        </w:tabs>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13 </w:t>
      </w:r>
      <w:r w:rsidRPr="00925F26">
        <w:rPr>
          <w:color w:val="000000" w:themeColor="text1"/>
          <w:sz w:val="16"/>
          <w:szCs w:val="16"/>
        </w:rPr>
        <w:t>февраля</w:t>
      </w:r>
      <w:r w:rsidRPr="00925F26">
        <w:rPr>
          <w:color w:val="000000" w:themeColor="text1"/>
          <w:sz w:val="16"/>
          <w:szCs w:val="16"/>
          <w:lang w:val="en-US"/>
        </w:rPr>
        <w:t xml:space="preserve"> 1945 </w:t>
      </w:r>
      <w:r w:rsidRPr="00925F26">
        <w:rPr>
          <w:color w:val="000000" w:themeColor="text1"/>
          <w:sz w:val="16"/>
          <w:szCs w:val="16"/>
        </w:rPr>
        <w:t>авиация</w:t>
      </w:r>
      <w:r w:rsidR="00A524F6" w:rsidRPr="00925F26">
        <w:rPr>
          <w:color w:val="000000" w:themeColor="text1"/>
          <w:sz w:val="16"/>
          <w:szCs w:val="16"/>
          <w:lang w:val="en-US"/>
        </w:rPr>
        <w:t xml:space="preserve"> </w:t>
      </w:r>
      <w:r w:rsidRPr="00925F26">
        <w:rPr>
          <w:color w:val="000000" w:themeColor="text1"/>
          <w:sz w:val="16"/>
          <w:szCs w:val="16"/>
        </w:rPr>
        <w:t>союзников</w:t>
      </w:r>
      <w:r w:rsidR="00A524F6" w:rsidRPr="00925F26">
        <w:rPr>
          <w:color w:val="000000" w:themeColor="text1"/>
          <w:sz w:val="16"/>
          <w:szCs w:val="16"/>
          <w:lang w:val="en-US"/>
        </w:rPr>
        <w:t xml:space="preserve"> </w:t>
      </w:r>
      <w:r w:rsidRPr="00925F26">
        <w:rPr>
          <w:color w:val="000000" w:themeColor="text1"/>
          <w:sz w:val="16"/>
          <w:szCs w:val="16"/>
        </w:rPr>
        <w:t>практически</w:t>
      </w:r>
      <w:r w:rsidR="00A524F6" w:rsidRPr="00925F26">
        <w:rPr>
          <w:color w:val="000000" w:themeColor="text1"/>
          <w:sz w:val="16"/>
          <w:szCs w:val="16"/>
          <w:lang w:val="en-US"/>
        </w:rPr>
        <w:t xml:space="preserve"> </w:t>
      </w:r>
      <w:r w:rsidRPr="00925F26">
        <w:rPr>
          <w:color w:val="000000" w:themeColor="text1"/>
          <w:sz w:val="16"/>
          <w:szCs w:val="16"/>
        </w:rPr>
        <w:t>полностью</w:t>
      </w:r>
      <w:r w:rsidR="00A524F6" w:rsidRPr="00925F26">
        <w:rPr>
          <w:color w:val="000000" w:themeColor="text1"/>
          <w:sz w:val="16"/>
          <w:szCs w:val="16"/>
          <w:lang w:val="en-US"/>
        </w:rPr>
        <w:t xml:space="preserve"> </w:t>
      </w:r>
      <w:r w:rsidRPr="00925F26">
        <w:rPr>
          <w:color w:val="000000" w:themeColor="text1"/>
          <w:sz w:val="16"/>
          <w:szCs w:val="16"/>
        </w:rPr>
        <w:t>разрушила</w:t>
      </w:r>
      <w:r w:rsidR="00A524F6" w:rsidRPr="00925F26">
        <w:rPr>
          <w:color w:val="000000" w:themeColor="text1"/>
          <w:sz w:val="16"/>
          <w:szCs w:val="16"/>
          <w:lang w:val="en-US"/>
        </w:rPr>
        <w:t xml:space="preserve"> </w:t>
      </w:r>
      <w:r w:rsidRPr="00925F26">
        <w:rPr>
          <w:color w:val="000000" w:themeColor="text1"/>
          <w:sz w:val="16"/>
          <w:szCs w:val="16"/>
        </w:rPr>
        <w:t>Дрезден</w:t>
      </w:r>
      <w:r w:rsidRPr="00925F26">
        <w:rPr>
          <w:color w:val="000000" w:themeColor="text1"/>
          <w:sz w:val="16"/>
          <w:szCs w:val="16"/>
          <w:lang w:val="en-US"/>
        </w:rPr>
        <w:t xml:space="preserve"> (4962).</w:t>
      </w:r>
    </w:p>
    <w:p w14:paraId="46DEA9BF" w14:textId="77777777" w:rsidR="00665165" w:rsidRPr="00925F26" w:rsidRDefault="00665165" w:rsidP="00925F26">
      <w:pPr>
        <w:tabs>
          <w:tab w:val="left" w:pos="11199"/>
        </w:tabs>
        <w:autoSpaceDE w:val="0"/>
        <w:autoSpaceDN w:val="0"/>
        <w:adjustRightInd w:val="0"/>
        <w:jc w:val="both"/>
        <w:rPr>
          <w:color w:val="000000" w:themeColor="text1"/>
          <w:sz w:val="16"/>
          <w:szCs w:val="16"/>
          <w:lang w:val="en-US"/>
        </w:rPr>
      </w:pPr>
    </w:p>
    <w:p w14:paraId="6722F15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13 February 1945 (13-14-February) Dresden is virtually destroyed in an Allied bombing attack - 100,000 civilians are killed (270).</w:t>
      </w:r>
    </w:p>
    <w:p w14:paraId="42913EC4" w14:textId="77777777" w:rsidR="00665165" w:rsidRPr="00925F26" w:rsidRDefault="00665165" w:rsidP="00925F26">
      <w:pPr>
        <w:autoSpaceDE w:val="0"/>
        <w:autoSpaceDN w:val="0"/>
        <w:adjustRightInd w:val="0"/>
        <w:jc w:val="both"/>
        <w:rPr>
          <w:color w:val="000000" w:themeColor="text1"/>
          <w:sz w:val="16"/>
          <w:szCs w:val="16"/>
          <w:lang w:val="en-US"/>
        </w:rPr>
      </w:pPr>
    </w:p>
    <w:p w14:paraId="31A67FFA" w14:textId="1BD24FC6" w:rsidR="002C1BDA" w:rsidRPr="00925F26" w:rsidRDefault="002C1BDA" w:rsidP="00925F26">
      <w:pPr>
        <w:jc w:val="both"/>
        <w:rPr>
          <w:color w:val="000000" w:themeColor="text1"/>
          <w:sz w:val="16"/>
          <w:szCs w:val="16"/>
        </w:rPr>
      </w:pPr>
      <w:r w:rsidRPr="00925F26">
        <w:rPr>
          <w:color w:val="000000" w:themeColor="text1"/>
          <w:sz w:val="16"/>
          <w:szCs w:val="16"/>
        </w:rPr>
        <w:t xml:space="preserve">13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В ночь на 14-е воздушные силы союзной авиации, общим числом 1100 бомбардировщиков, провели массированную бомбардировку Дрездена. Сброшено 3749 тонн бомб. Площадь зоны полных разрушений в Дрездене в 4 раза превышала площадь зоны полных разрушений в Нагасаки.</w:t>
      </w:r>
      <w:r w:rsidR="00997EDF" w:rsidRPr="00925F26">
        <w:rPr>
          <w:color w:val="000000" w:themeColor="text1"/>
          <w:sz w:val="16"/>
          <w:szCs w:val="16"/>
        </w:rPr>
        <w:t xml:space="preserve">  </w:t>
      </w:r>
      <w:r w:rsidRPr="00925F26">
        <w:rPr>
          <w:color w:val="000000" w:themeColor="text1"/>
          <w:sz w:val="16"/>
          <w:szCs w:val="16"/>
        </w:rPr>
        <w:t>Целью бомбардировки были железнодорожные сортировочные узлы. В результате город подвергся наибольшему, из городов за всю Вторую мировую, разрушению. Под руинами и в пожарах погибло около 60 000 человек (22599).</w:t>
      </w:r>
    </w:p>
    <w:p w14:paraId="5B887A07" w14:textId="77777777" w:rsidR="002C1BDA" w:rsidRPr="00925F26" w:rsidRDefault="002C1BDA" w:rsidP="00925F26">
      <w:pPr>
        <w:jc w:val="both"/>
        <w:rPr>
          <w:color w:val="000000" w:themeColor="text1"/>
          <w:sz w:val="16"/>
          <w:szCs w:val="16"/>
        </w:rPr>
      </w:pPr>
    </w:p>
    <w:p w14:paraId="1DBE4113" w14:textId="77777777" w:rsidR="002C1BDA" w:rsidRPr="00925F26" w:rsidRDefault="002C1BDA" w:rsidP="00925F26">
      <w:pPr>
        <w:jc w:val="both"/>
        <w:rPr>
          <w:color w:val="000000" w:themeColor="text1"/>
          <w:sz w:val="16"/>
          <w:szCs w:val="16"/>
        </w:rPr>
      </w:pPr>
      <w:r w:rsidRPr="00925F26">
        <w:rPr>
          <w:color w:val="000000" w:themeColor="text1"/>
          <w:sz w:val="16"/>
          <w:szCs w:val="16"/>
        </w:rPr>
        <w:t>13–15 февраля 1945 бомбардировщики союзников атакуют Дрезден с применением зажигательного оружия, разрушая большую часть города и убивая около 50 000 человек (20371).</w:t>
      </w:r>
    </w:p>
    <w:p w14:paraId="26D34A46" w14:textId="77777777" w:rsidR="002C1BDA" w:rsidRPr="00925F26" w:rsidRDefault="002C1BDA" w:rsidP="00925F26">
      <w:pPr>
        <w:jc w:val="both"/>
        <w:rPr>
          <w:color w:val="000000" w:themeColor="text1"/>
          <w:sz w:val="16"/>
          <w:szCs w:val="16"/>
        </w:rPr>
      </w:pPr>
    </w:p>
    <w:p w14:paraId="5921CCD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 xml:space="preserve">13/14 февраля 1945 Дрезден был фактически полностью уничтожен и погибло 100 тыс. населения (270), а по другим данным - 130 тыс. </w:t>
      </w:r>
      <w:r w:rsidRPr="00925F26">
        <w:rPr>
          <w:color w:val="000000" w:themeColor="text1"/>
          <w:sz w:val="16"/>
          <w:szCs w:val="16"/>
          <w:lang w:val="en-US"/>
        </w:rPr>
        <w:t>(2248,3).</w:t>
      </w:r>
    </w:p>
    <w:p w14:paraId="00BBC2E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Сбросилибомбыс</w:t>
      </w:r>
      <w:r w:rsidRPr="00925F26">
        <w:rPr>
          <w:color w:val="000000" w:themeColor="text1"/>
          <w:sz w:val="16"/>
          <w:szCs w:val="16"/>
          <w:lang w:val="en-US"/>
        </w:rPr>
        <w:t xml:space="preserve"> 3 </w:t>
      </w:r>
      <w:r w:rsidRPr="00925F26">
        <w:rPr>
          <w:color w:val="000000" w:themeColor="text1"/>
          <w:sz w:val="16"/>
          <w:szCs w:val="16"/>
        </w:rPr>
        <w:t>тыс</w:t>
      </w:r>
      <w:r w:rsidRPr="00925F26">
        <w:rPr>
          <w:color w:val="000000" w:themeColor="text1"/>
          <w:sz w:val="16"/>
          <w:szCs w:val="16"/>
          <w:lang w:val="en-US"/>
        </w:rPr>
        <w:t xml:space="preserve">. </w:t>
      </w:r>
      <w:r w:rsidRPr="00925F26">
        <w:rPr>
          <w:color w:val="000000" w:themeColor="text1"/>
          <w:sz w:val="16"/>
          <w:szCs w:val="16"/>
        </w:rPr>
        <w:t>самолетовиуничтожили</w:t>
      </w:r>
      <w:r w:rsidRPr="00925F26">
        <w:rPr>
          <w:color w:val="000000" w:themeColor="text1"/>
          <w:sz w:val="16"/>
          <w:szCs w:val="16"/>
          <w:lang w:val="en-US"/>
        </w:rPr>
        <w:t xml:space="preserve"> 34 </w:t>
      </w:r>
      <w:r w:rsidRPr="00925F26">
        <w:rPr>
          <w:color w:val="000000" w:themeColor="text1"/>
          <w:sz w:val="16"/>
          <w:szCs w:val="16"/>
        </w:rPr>
        <w:t>тыс</w:t>
      </w:r>
      <w:r w:rsidRPr="00925F26">
        <w:rPr>
          <w:color w:val="000000" w:themeColor="text1"/>
          <w:sz w:val="16"/>
          <w:szCs w:val="16"/>
          <w:lang w:val="en-US"/>
        </w:rPr>
        <w:t xml:space="preserve">. </w:t>
      </w:r>
      <w:r w:rsidRPr="00925F26">
        <w:rPr>
          <w:color w:val="000000" w:themeColor="text1"/>
          <w:sz w:val="16"/>
          <w:szCs w:val="16"/>
        </w:rPr>
        <w:t>зданий</w:t>
      </w:r>
      <w:r w:rsidRPr="00925F26">
        <w:rPr>
          <w:color w:val="000000" w:themeColor="text1"/>
          <w:sz w:val="16"/>
          <w:szCs w:val="16"/>
          <w:lang w:val="en-US"/>
        </w:rPr>
        <w:t xml:space="preserve"> (88,165).</w:t>
      </w:r>
    </w:p>
    <w:p w14:paraId="3E2FC765" w14:textId="77777777" w:rsidR="00665165" w:rsidRPr="00925F26" w:rsidRDefault="00665165" w:rsidP="00925F26">
      <w:pPr>
        <w:autoSpaceDE w:val="0"/>
        <w:autoSpaceDN w:val="0"/>
        <w:adjustRightInd w:val="0"/>
        <w:jc w:val="both"/>
        <w:rPr>
          <w:color w:val="000000" w:themeColor="text1"/>
          <w:sz w:val="16"/>
          <w:szCs w:val="16"/>
          <w:lang w:val="en-US"/>
        </w:rPr>
      </w:pPr>
    </w:p>
    <w:p w14:paraId="4A01342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13, 1945: The RAF launches a heavy attack (over 800 bombers in two separate waves, which is followed the next day by 400 bombers of the US 8th Air Force) against Dresden that incinerates the inner city and kills between 150,000 and 200,000 civilians, including tens of thousands of refugees from the East and hundreds of Allied prisoners of war; it is by far the most deadly and devastating air raid of the Second World War. On the Eastern front in Pommerania, the Red Army captures Schneidemul (3819).</w:t>
      </w:r>
    </w:p>
    <w:p w14:paraId="2B398B0A" w14:textId="77777777" w:rsidR="00665165" w:rsidRPr="00925F26" w:rsidRDefault="00665165" w:rsidP="00925F26">
      <w:pPr>
        <w:autoSpaceDE w:val="0"/>
        <w:autoSpaceDN w:val="0"/>
        <w:adjustRightInd w:val="0"/>
        <w:jc w:val="both"/>
        <w:rPr>
          <w:color w:val="000000" w:themeColor="text1"/>
          <w:sz w:val="16"/>
          <w:szCs w:val="16"/>
          <w:lang w:val="en-US"/>
        </w:rPr>
      </w:pPr>
    </w:p>
    <w:p w14:paraId="5997C9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февраля 1945 Королевские ВВС силами 800 бомбардировщиков в двух волнах, а на следующий день еще 400 8ВА США выполнили налет на Дрезден. Погибло от 150 до 200 тыс. гражданских лиц. В Восточной Пруссии КА заняла Шнейдемуль (3819).</w:t>
      </w:r>
    </w:p>
    <w:p w14:paraId="2F0E0603" w14:textId="77777777" w:rsidR="00665165" w:rsidRPr="00925F26" w:rsidRDefault="00665165" w:rsidP="00925F26">
      <w:pPr>
        <w:autoSpaceDE w:val="0"/>
        <w:autoSpaceDN w:val="0"/>
        <w:adjustRightInd w:val="0"/>
        <w:jc w:val="both"/>
        <w:rPr>
          <w:color w:val="000000" w:themeColor="text1"/>
          <w:sz w:val="16"/>
          <w:szCs w:val="16"/>
        </w:rPr>
      </w:pPr>
    </w:p>
    <w:p w14:paraId="4809772F" w14:textId="77777777" w:rsidR="00720DFE" w:rsidRPr="00925F26" w:rsidRDefault="00720DFE" w:rsidP="00925F26">
      <w:pPr>
        <w:jc w:val="both"/>
        <w:rPr>
          <w:color w:val="000000" w:themeColor="text1"/>
          <w:sz w:val="16"/>
          <w:szCs w:val="16"/>
        </w:rPr>
      </w:pPr>
      <w:r w:rsidRPr="00925F26">
        <w:rPr>
          <w:bCs/>
          <w:color w:val="000000" w:themeColor="text1"/>
          <w:sz w:val="16"/>
          <w:szCs w:val="16"/>
        </w:rPr>
        <w:t>13 февраля</w:t>
      </w:r>
      <w:r w:rsidRPr="00925F26">
        <w:rPr>
          <w:color w:val="000000" w:themeColor="text1"/>
          <w:sz w:val="16"/>
          <w:szCs w:val="16"/>
        </w:rPr>
        <w:t xml:space="preserve"> в 1945 году начало массированных бомбежек англо-американской авиацией </w:t>
      </w:r>
      <w:proofErr w:type="gramStart"/>
      <w:r w:rsidRPr="00925F26">
        <w:rPr>
          <w:color w:val="000000" w:themeColor="text1"/>
          <w:sz w:val="16"/>
          <w:szCs w:val="16"/>
        </w:rPr>
        <w:t>Дрездена</w:t>
      </w:r>
      <w:proofErr w:type="gramEnd"/>
      <w:r w:rsidRPr="00925F26">
        <w:rPr>
          <w:color w:val="000000" w:themeColor="text1"/>
          <w:sz w:val="16"/>
          <w:szCs w:val="16"/>
        </w:rPr>
        <w:t xml:space="preserve"> На город было сброшено 3749 тонн бомб. Население вместе с беженцами, считавшими город безопасным местом, составляло около 1 миллиона человек. По самым скромным подсчетам, под бомбами, в огне пожаров и просто потому, что нечем было дышать, погибли от 60 до 130 тысяч человек. По одной из версий, причиной столь варварских бомбардировок (в налетах участвовало одновременно свыше 400 бомбардировщиков) было то, что город должен был отойти к советской зоне оккупации. Это событие нашло отражение в романе американского писателя Курта Воннегута "Бойня № 5, или Крестовый поход детей", который находился в то время в Дрездене как военнопленный.</w:t>
      </w:r>
    </w:p>
    <w:p w14:paraId="2E2E149A" w14:textId="77777777" w:rsidR="00720DFE" w:rsidRPr="00925F26" w:rsidRDefault="00720DFE" w:rsidP="00925F26">
      <w:pPr>
        <w:jc w:val="both"/>
        <w:rPr>
          <w:color w:val="000000" w:themeColor="text1"/>
          <w:sz w:val="16"/>
          <w:szCs w:val="16"/>
        </w:rPr>
      </w:pPr>
      <w:r w:rsidRPr="00925F26">
        <w:rPr>
          <w:color w:val="000000" w:themeColor="text1"/>
          <w:sz w:val="16"/>
          <w:szCs w:val="16"/>
        </w:rPr>
        <w:t>На город, не имеющий военного значения, сбрасывается 3749 тонн бомб, разрушается около 35 470 зданий. Население вместе с беженцами, считавшими город безопасным местом, составляло около 1 миллиона человек. По самым скромным подсчетам, под бомбами, в огне пожаров и просто потому, что нечем было дышать, погибли от 60 до 130 тысяч человек. По одной из версий, причиной столь варварских бомбардировок (в налетах участвовало одновременно свыше 400 бомбардировщиков) было то, что город должен был отойти к советской зоне оккупации, по другой версии эта акция является ответом Англии на налеты германской авиации в 1940 году на Англию.</w:t>
      </w:r>
    </w:p>
    <w:p w14:paraId="38D91935" w14:textId="77777777" w:rsidR="00720DFE" w:rsidRPr="00925F26" w:rsidRDefault="00720DFE" w:rsidP="00925F26">
      <w:pPr>
        <w:jc w:val="both"/>
        <w:rPr>
          <w:bCs/>
          <w:color w:val="000000" w:themeColor="text1"/>
          <w:sz w:val="16"/>
          <w:szCs w:val="16"/>
        </w:rPr>
      </w:pPr>
      <w:r w:rsidRPr="00925F26">
        <w:rPr>
          <w:color w:val="000000" w:themeColor="text1"/>
          <w:sz w:val="16"/>
          <w:szCs w:val="16"/>
        </w:rPr>
        <w:t>Это событие нашло отражение в романе американского писателя Курта Воннегута «Бойня № 5, или Крестовый поход детей», который находился в то время в Дрездене как военнопленный.</w:t>
      </w:r>
    </w:p>
    <w:p w14:paraId="7BA8E81B" w14:textId="77777777" w:rsidR="00720DFE" w:rsidRPr="00925F26" w:rsidRDefault="00720DFE" w:rsidP="00925F26">
      <w:pPr>
        <w:jc w:val="both"/>
        <w:rPr>
          <w:color w:val="000000" w:themeColor="text1"/>
          <w:sz w:val="16"/>
          <w:szCs w:val="16"/>
        </w:rPr>
      </w:pPr>
      <w:r w:rsidRPr="00925F26">
        <w:rPr>
          <w:color w:val="000000" w:themeColor="text1"/>
          <w:sz w:val="16"/>
          <w:szCs w:val="16"/>
        </w:rPr>
        <w:t>При выполнении операции «Миллениум» тысячи самолетов Бомбер-Харриса сбросили на Келн 1350 тонн обычных бомб и 460 тысяч тонн зажигательных. Больше огня, чем стали сыпалось с неба и в знаменитой рурской бомбежке, в которой погибла 21000 мирных жителей. В этих бомбардировках человек доказал, что путем изощренной комбинации различных видов оружия он способен искусственно вызывать природные катастрофы:</w:t>
      </w:r>
    </w:p>
    <w:p w14:paraId="19DD5C8E" w14:textId="77777777" w:rsidR="00720DFE" w:rsidRPr="00925F26" w:rsidRDefault="00720DFE" w:rsidP="00925F26">
      <w:pPr>
        <w:jc w:val="both"/>
        <w:rPr>
          <w:color w:val="000000" w:themeColor="text1"/>
          <w:sz w:val="16"/>
          <w:szCs w:val="16"/>
        </w:rPr>
      </w:pPr>
      <w:r w:rsidRPr="00925F26">
        <w:rPr>
          <w:color w:val="000000" w:themeColor="text1"/>
          <w:sz w:val="16"/>
          <w:szCs w:val="16"/>
        </w:rPr>
        <w:t>-Сначала сбрасывались мощные детонационные бомбы, в том числе и так называемые «блокбастеры» - бомбы прошибающие дома насквозь до первого этажа. Взрывной волной от них срывались прочь крыши, окна и разрушались огнеупорные перемычки.</w:t>
      </w:r>
    </w:p>
    <w:p w14:paraId="5C347A18" w14:textId="77777777" w:rsidR="00720DFE" w:rsidRPr="00925F26" w:rsidRDefault="00720DFE" w:rsidP="00925F26">
      <w:pPr>
        <w:jc w:val="both"/>
        <w:rPr>
          <w:color w:val="000000" w:themeColor="text1"/>
          <w:sz w:val="16"/>
          <w:szCs w:val="16"/>
        </w:rPr>
      </w:pPr>
      <w:r w:rsidRPr="00925F26">
        <w:rPr>
          <w:color w:val="000000" w:themeColor="text1"/>
          <w:sz w:val="16"/>
          <w:szCs w:val="16"/>
        </w:rPr>
        <w:t>- За этим, во вскрытое чрево зданий, огненным дождем сыпались зажигательные стержни и фосфорные бомбы. Воздух, гудевший под воздействием тяги в пустом остове здания, как в хорошо выложенном камине, раздувал любой маленький очаг огня, превращая его в огромное пламя.</w:t>
      </w:r>
    </w:p>
    <w:p w14:paraId="643CC1A2" w14:textId="77777777" w:rsidR="00720DFE" w:rsidRPr="00925F26" w:rsidRDefault="00720DFE" w:rsidP="00925F26">
      <w:pPr>
        <w:jc w:val="both"/>
        <w:rPr>
          <w:color w:val="000000" w:themeColor="text1"/>
          <w:sz w:val="16"/>
          <w:szCs w:val="16"/>
        </w:rPr>
      </w:pPr>
      <w:r w:rsidRPr="00925F26">
        <w:rPr>
          <w:color w:val="000000" w:themeColor="text1"/>
          <w:sz w:val="16"/>
          <w:szCs w:val="16"/>
        </w:rPr>
        <w:t>- Напоследок сбрасывалась заключительная волна обычных и осколочных бомб, частично с механизмами замедленного действия, разрушавшая водяные трубопроводы, усеивающая улицы воронками и уничтожавшая пожарные подразделения для того, чтобы дать отдельным очагам пожара беспрепятственно объединились в единое, всепоглощающее море огня.</w:t>
      </w:r>
    </w:p>
    <w:p w14:paraId="09DD58AB"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Воистину сатанинское, потустороннее последствие такой техники уничтожения заключалось в том, что над частями </w:t>
      </w:r>
      <w:proofErr w:type="gramStart"/>
      <w:r w:rsidRPr="00925F26">
        <w:rPr>
          <w:color w:val="000000" w:themeColor="text1"/>
          <w:sz w:val="16"/>
          <w:szCs w:val="16"/>
        </w:rPr>
        <w:t>городов</w:t>
      </w:r>
      <w:proofErr w:type="gramEnd"/>
      <w:r w:rsidRPr="00925F26">
        <w:rPr>
          <w:color w:val="000000" w:themeColor="text1"/>
          <w:sz w:val="16"/>
          <w:szCs w:val="16"/>
        </w:rPr>
        <w:t xml:space="preserve"> охваченных пожарами образовывались гигантские столбы раскаленного воздуха всасывающие в себя тысячи тонн кислорода и продуцирующие грандиозные тайфуны и ветра штурмовой силы. Люди, вне зависимости от того прятались ли они в подвалах или находились на открытой местности, погибали от перегрева или повышенного давления, ожогов или отравления углекислым газом.</w:t>
      </w:r>
    </w:p>
    <w:p w14:paraId="0B9F526B"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«Флоты бомбардировщиков, имеющие заданием сбросить миллионы </w:t>
      </w:r>
      <w:proofErr w:type="gramStart"/>
      <w:r w:rsidRPr="00925F26">
        <w:rPr>
          <w:color w:val="000000" w:themeColor="text1"/>
          <w:sz w:val="16"/>
          <w:szCs w:val="16"/>
        </w:rPr>
        <w:t>зажигательных бомб</w:t>
      </w:r>
      <w:proofErr w:type="gramEnd"/>
      <w:r w:rsidRPr="00925F26">
        <w:rPr>
          <w:color w:val="000000" w:themeColor="text1"/>
          <w:sz w:val="16"/>
          <w:szCs w:val="16"/>
        </w:rPr>
        <w:t xml:space="preserve"> не могут иметь какую-то конкретную цель, не говоря уже о конкретной военной цели, речь в таких случаях идет о географических площадях</w:t>
      </w:r>
      <w:proofErr w:type="gramStart"/>
      <w:r w:rsidRPr="00925F26">
        <w:rPr>
          <w:color w:val="000000" w:themeColor="text1"/>
          <w:sz w:val="16"/>
          <w:szCs w:val="16"/>
        </w:rPr>
        <w:t>»,-</w:t>
      </w:r>
      <w:proofErr w:type="gramEnd"/>
      <w:r w:rsidRPr="00925F26">
        <w:rPr>
          <w:color w:val="000000" w:themeColor="text1"/>
          <w:sz w:val="16"/>
          <w:szCs w:val="16"/>
        </w:rPr>
        <w:t xml:space="preserve"> осуждал эту технику ведения войны Фридрих, - «рабочие и дети рабочих, противники Гитлера в тюрьмах и </w:t>
      </w:r>
      <w:proofErr w:type="gramStart"/>
      <w:r w:rsidRPr="00925F26">
        <w:rPr>
          <w:color w:val="000000" w:themeColor="text1"/>
          <w:sz w:val="16"/>
          <w:szCs w:val="16"/>
        </w:rPr>
        <w:t>рабы</w:t>
      </w:r>
      <w:proofErr w:type="gramEnd"/>
      <w:r w:rsidRPr="00925F26">
        <w:rPr>
          <w:color w:val="000000" w:themeColor="text1"/>
          <w:sz w:val="16"/>
          <w:szCs w:val="16"/>
        </w:rPr>
        <w:t xml:space="preserve"> привезенные с оккупированных территорий, - все сгорает в одинаковой степени».</w:t>
      </w:r>
    </w:p>
    <w:p w14:paraId="7A29927B" w14:textId="77777777" w:rsidR="00720DFE" w:rsidRPr="00925F26" w:rsidRDefault="00720DFE" w:rsidP="00925F26">
      <w:pPr>
        <w:jc w:val="both"/>
        <w:rPr>
          <w:bCs/>
          <w:color w:val="000000" w:themeColor="text1"/>
          <w:sz w:val="16"/>
          <w:szCs w:val="16"/>
        </w:rPr>
      </w:pPr>
      <w:r w:rsidRPr="00925F26">
        <w:rPr>
          <w:color w:val="000000" w:themeColor="text1"/>
          <w:sz w:val="16"/>
          <w:szCs w:val="16"/>
        </w:rPr>
        <w:t>В разработке и улучшении этого метода уничтожения людей принимали участие как американские, так и английские ученные. США привлекли в 1943 году эмигрировавшего из Германии архитектора Эриха Мендельсона для постройки в пустыне на территории секретной испытательной зоны в штате Юта точнейшей копии берлинских казарм включая такие детали как мебель и гардины для проверки их воспламеняемости. Результаты этих экспериментов были применены по всей Германии и послужили поводом для не безосновательных утверждений Бомбера-Харриса : «Мы можем испепелить весь Берлин с одного его края до другого. Это будет стоить нам 400 – 500 самолетов. А немцам это будет стоить войны».</w:t>
      </w:r>
    </w:p>
    <w:p w14:paraId="27E5810E" w14:textId="77777777" w:rsidR="00720DFE" w:rsidRPr="00925F26" w:rsidRDefault="00720DFE" w:rsidP="00925F26">
      <w:pPr>
        <w:jc w:val="both"/>
        <w:rPr>
          <w:color w:val="000000" w:themeColor="text1"/>
          <w:sz w:val="16"/>
          <w:szCs w:val="16"/>
        </w:rPr>
      </w:pPr>
      <w:r w:rsidRPr="00925F26">
        <w:rPr>
          <w:color w:val="000000" w:themeColor="text1"/>
          <w:sz w:val="16"/>
          <w:szCs w:val="16"/>
        </w:rPr>
        <w:lastRenderedPageBreak/>
        <w:t>В августе 1944 года Черчилль ознакомил американского президента со своим планом называвшемся «Operation Thunderclap» («Операция Гром»), целью которого являлось уничтожение около двухсот тысяч берлинцев путем массированной бомбардировки города двумя тысячами бомбардировщиков. Рузвельт поспешил согласиться с этим планом, что в принципе весьма согласовалось с его отношением к гражданскому населению Германии: «Мы должны быть жестокими по отношению с немцами, я имею ввиду немцев как нацию, а не только нацистов. Либо мы должны кастрировать немецкий народ, либо так с ними обращаться, чтобы они не производили на свет потомство способное и дальше себя вести так, как в прошлом».</w:t>
      </w:r>
    </w:p>
    <w:p w14:paraId="2A94C00B"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Особый акцент делался на то, что бомбардировка «Гром» должна производится исключительно по жилым </w:t>
      </w:r>
      <w:proofErr w:type="gramStart"/>
      <w:r w:rsidRPr="00925F26">
        <w:rPr>
          <w:color w:val="000000" w:themeColor="text1"/>
          <w:sz w:val="16"/>
          <w:szCs w:val="16"/>
        </w:rPr>
        <w:t>домам..</w:t>
      </w:r>
      <w:proofErr w:type="gramEnd"/>
      <w:r w:rsidRPr="00925F26">
        <w:rPr>
          <w:color w:val="000000" w:themeColor="text1"/>
          <w:sz w:val="16"/>
          <w:szCs w:val="16"/>
        </w:rPr>
        <w:t xml:space="preserve"> «Главная цель таких бомбардировок в первую очередь направлена против морали обычного населения и служит психологическим целям</w:t>
      </w:r>
      <w:proofErr w:type="gramStart"/>
      <w:r w:rsidRPr="00925F26">
        <w:rPr>
          <w:color w:val="000000" w:themeColor="text1"/>
          <w:sz w:val="16"/>
          <w:szCs w:val="16"/>
        </w:rPr>
        <w:t>».-</w:t>
      </w:r>
      <w:proofErr w:type="gramEnd"/>
      <w:r w:rsidRPr="00925F26">
        <w:rPr>
          <w:color w:val="000000" w:themeColor="text1"/>
          <w:sz w:val="16"/>
          <w:szCs w:val="16"/>
        </w:rPr>
        <w:t xml:space="preserve"> говорилось в обосновании операции, «весьма важно, чтобы вся операции стартовалась именно с этой целью, и не расширилась бы на пригороды, на такие цели как танковые заводы или, скажем, самолетостроительные предприятия и т.д.».</w:t>
      </w:r>
    </w:p>
    <w:p w14:paraId="27982430" w14:textId="77777777" w:rsidR="00720DFE" w:rsidRPr="00925F26" w:rsidRDefault="00720DFE" w:rsidP="00925F26">
      <w:pPr>
        <w:jc w:val="both"/>
        <w:rPr>
          <w:color w:val="000000" w:themeColor="text1"/>
          <w:sz w:val="16"/>
          <w:szCs w:val="16"/>
        </w:rPr>
      </w:pPr>
      <w:r w:rsidRPr="00925F26">
        <w:rPr>
          <w:color w:val="000000" w:themeColor="text1"/>
          <w:sz w:val="16"/>
          <w:szCs w:val="16"/>
        </w:rPr>
        <w:t>В то время, когда русские в начале 1945 года быстро приближались к немецкой границе, была начата операция «Гром», в которую дополнительно были включены города Дрезден и Лейпциг. По мнению большинства исследователей войны, и в том числе такого авторитета как Майк Девис, цель, которую ставило англо-американское командование «при выполнении этой операции служило в одинаковой степени окончанию мировой войны и началу холодной войны».</w:t>
      </w:r>
    </w:p>
    <w:p w14:paraId="12B11623" w14:textId="77777777" w:rsidR="00720DFE" w:rsidRPr="00925F26" w:rsidRDefault="00720DFE" w:rsidP="00925F26">
      <w:pPr>
        <w:jc w:val="both"/>
        <w:rPr>
          <w:color w:val="000000" w:themeColor="text1"/>
          <w:sz w:val="16"/>
          <w:szCs w:val="16"/>
        </w:rPr>
      </w:pPr>
      <w:r w:rsidRPr="00925F26">
        <w:rPr>
          <w:color w:val="000000" w:themeColor="text1"/>
          <w:sz w:val="16"/>
          <w:szCs w:val="16"/>
        </w:rPr>
        <w:t>И в самом деле стратеги английских ВВС рассчитывали «превращением больших городов в пустыню убедить наших русских союзников, а вместе с ними и руководителей нейтральных государств в непомерной мощи военно-воздушных сил англо-американской коалиции».</w:t>
      </w:r>
    </w:p>
    <w:p w14:paraId="2EAB083E" w14:textId="77777777" w:rsidR="00720DFE" w:rsidRPr="00925F26" w:rsidRDefault="00720DFE" w:rsidP="00925F26">
      <w:pPr>
        <w:jc w:val="both"/>
        <w:rPr>
          <w:color w:val="000000" w:themeColor="text1"/>
          <w:sz w:val="16"/>
          <w:szCs w:val="16"/>
        </w:rPr>
      </w:pPr>
      <w:r w:rsidRPr="00925F26">
        <w:rPr>
          <w:color w:val="000000" w:themeColor="text1"/>
          <w:sz w:val="16"/>
          <w:szCs w:val="16"/>
        </w:rPr>
        <w:t>Осуждая западных союзников историк Грогеле писал: «Перед лицом успешного наступления Красной Армии, «Операцию Гром» начали исключительно с целью закрепить за западными союзниками хоть и не решающую, но как минимум существенную роль, в ходе Второй Мировой Войны».</w:t>
      </w:r>
    </w:p>
    <w:p w14:paraId="72680FF5"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«Операция Гром» обошлась Берлину в 3000 убитых, В Дрездене удалось разжечь столь желаемый огненный ураган. Сил выживших не хватало для захоронения десятков тысяч умерших, похоронные бригады с опытом работы в концентрационных лагерях вынуждены были рыть братские могилы. «Осознанная террористическая атака» (по собственному определению ВВС США), достигла своей цели. Следует отметить, что большая часть погибших была из числа </w:t>
      </w:r>
      <w:proofErr w:type="gramStart"/>
      <w:r w:rsidRPr="00925F26">
        <w:rPr>
          <w:color w:val="000000" w:themeColor="text1"/>
          <w:sz w:val="16"/>
          <w:szCs w:val="16"/>
        </w:rPr>
        <w:t>беженцев</w:t>
      </w:r>
      <w:proofErr w:type="gramEnd"/>
      <w:r w:rsidRPr="00925F26">
        <w:rPr>
          <w:color w:val="000000" w:themeColor="text1"/>
          <w:sz w:val="16"/>
          <w:szCs w:val="16"/>
        </w:rPr>
        <w:t xml:space="preserve"> панически двигавшихся в сторону спасительного гуманного Запада дабы избежать предполагаемых зверств русских не гуманных оккупантов, зверств, которых так никто от русских и не дождался.</w:t>
      </w:r>
    </w:p>
    <w:p w14:paraId="1D391740" w14:textId="77777777" w:rsidR="00720DFE" w:rsidRPr="00925F26" w:rsidRDefault="00720DFE" w:rsidP="00925F26">
      <w:pPr>
        <w:jc w:val="both"/>
        <w:rPr>
          <w:color w:val="000000" w:themeColor="text1"/>
          <w:sz w:val="16"/>
          <w:szCs w:val="16"/>
        </w:rPr>
      </w:pPr>
      <w:r w:rsidRPr="00925F26">
        <w:rPr>
          <w:color w:val="000000" w:themeColor="text1"/>
          <w:sz w:val="16"/>
          <w:szCs w:val="16"/>
        </w:rPr>
        <w:t>Автор журнала «Шпигель» в 1982 году писал: «По меркам Нюрнбергского процесса Черчилль должен был быть повешен, как минимум за бомбардировку Дрездена, ведь это было сделано тогда, когда Германия была почти уже разгромлена русскими».</w:t>
      </w:r>
    </w:p>
    <w:p w14:paraId="323DC5CC" w14:textId="77777777" w:rsidR="00720DFE" w:rsidRPr="00925F26" w:rsidRDefault="00720DFE" w:rsidP="00925F26">
      <w:pPr>
        <w:jc w:val="both"/>
        <w:rPr>
          <w:color w:val="000000" w:themeColor="text1"/>
          <w:sz w:val="16"/>
          <w:szCs w:val="16"/>
        </w:rPr>
      </w:pPr>
      <w:proofErr w:type="gramStart"/>
      <w:r w:rsidRPr="00925F26">
        <w:rPr>
          <w:color w:val="000000" w:themeColor="text1"/>
          <w:sz w:val="16"/>
          <w:szCs w:val="16"/>
        </w:rPr>
        <w:t>События</w:t>
      </w:r>
      <w:proofErr w:type="gramEnd"/>
      <w:r w:rsidRPr="00925F26">
        <w:rPr>
          <w:color w:val="000000" w:themeColor="text1"/>
          <w:sz w:val="16"/>
          <w:szCs w:val="16"/>
        </w:rPr>
        <w:t xml:space="preserve"> происходившие между развалинами и горами трупов можно сравнить лишь с библейским Армагеддоном. Группы по идентификации погибших требовали щипцы для снятия колец с умерших, это было, пожалуй, единственным шансом узнать человека по возможной гравировке на кольце. Огненный штурм, </w:t>
      </w:r>
      <w:proofErr w:type="gramStart"/>
      <w:r w:rsidRPr="00925F26">
        <w:rPr>
          <w:color w:val="000000" w:themeColor="text1"/>
          <w:sz w:val="16"/>
          <w:szCs w:val="16"/>
        </w:rPr>
        <w:t>везде</w:t>
      </w:r>
      <w:proofErr w:type="gramEnd"/>
      <w:r w:rsidRPr="00925F26">
        <w:rPr>
          <w:color w:val="000000" w:themeColor="text1"/>
          <w:sz w:val="16"/>
          <w:szCs w:val="16"/>
        </w:rPr>
        <w:t xml:space="preserve"> где он проходил превращал людей в живых факелов, падавших в конце концов на кипящий асфальт улиц.</w:t>
      </w:r>
    </w:p>
    <w:p w14:paraId="06D9EAE5"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Шестилетний житель Гамбурга Вольф Бирманн, выросший под желтой звездой, отец которого был в том же году убит в Освенциме, избежал смерти в огненном мареве 1943 года лишь потому, что его мать, Эмма, с ним за спиной переплыла канал Эльбы. В такие ночи некоторые жители Гамбурга начинали </w:t>
      </w:r>
      <w:proofErr w:type="gramStart"/>
      <w:r w:rsidRPr="00925F26">
        <w:rPr>
          <w:color w:val="000000" w:themeColor="text1"/>
          <w:sz w:val="16"/>
          <w:szCs w:val="16"/>
        </w:rPr>
        <w:t>понимать</w:t>
      </w:r>
      <w:proofErr w:type="gramEnd"/>
      <w:r w:rsidRPr="00925F26">
        <w:rPr>
          <w:color w:val="000000" w:themeColor="text1"/>
          <w:sz w:val="16"/>
          <w:szCs w:val="16"/>
        </w:rPr>
        <w:t xml:space="preserve"> о чем 18 февраля 1943 года говорил </w:t>
      </w:r>
      <w:proofErr w:type="gramStart"/>
      <w:r w:rsidRPr="00925F26">
        <w:rPr>
          <w:color w:val="000000" w:themeColor="text1"/>
          <w:sz w:val="16"/>
          <w:szCs w:val="16"/>
        </w:rPr>
        <w:t>Геббельс</w:t>
      </w:r>
      <w:proofErr w:type="gramEnd"/>
      <w:r w:rsidRPr="00925F26">
        <w:rPr>
          <w:color w:val="000000" w:themeColor="text1"/>
          <w:sz w:val="16"/>
          <w:szCs w:val="16"/>
        </w:rPr>
        <w:t xml:space="preserve"> доводя до истерики массы </w:t>
      </w:r>
      <w:proofErr w:type="gramStart"/>
      <w:r w:rsidRPr="00925F26">
        <w:rPr>
          <w:color w:val="000000" w:themeColor="text1"/>
          <w:sz w:val="16"/>
          <w:szCs w:val="16"/>
        </w:rPr>
        <w:t>людей</w:t>
      </w:r>
      <w:proofErr w:type="gramEnd"/>
      <w:r w:rsidRPr="00925F26">
        <w:rPr>
          <w:color w:val="000000" w:themeColor="text1"/>
          <w:sz w:val="16"/>
          <w:szCs w:val="16"/>
        </w:rPr>
        <w:t xml:space="preserve"> собравшихся во Дворце Спорта города: «Хотите ли вы тотальной войны? Хотите ли вы ее тотальнее и радикальнее того, что мы себе сегодня вообще можем представить?» И хотя Гитлер всего месяц до того сдал Красной Армии свою шестую армию под Сталинградом, стены Спортдворца сотрясало грохочущее «Да-а-а-а-а-а-а!».</w:t>
      </w:r>
    </w:p>
    <w:p w14:paraId="7115071D" w14:textId="77777777" w:rsidR="00720DFE" w:rsidRPr="00925F26" w:rsidRDefault="00720DFE" w:rsidP="00925F26">
      <w:pPr>
        <w:jc w:val="both"/>
        <w:rPr>
          <w:color w:val="000000" w:themeColor="text1"/>
          <w:sz w:val="16"/>
          <w:szCs w:val="16"/>
        </w:rPr>
      </w:pPr>
      <w:r w:rsidRPr="00925F26">
        <w:rPr>
          <w:color w:val="000000" w:themeColor="text1"/>
          <w:sz w:val="16"/>
          <w:szCs w:val="16"/>
        </w:rPr>
        <w:t>Нарастающее во времени «moral bombing» охватывало, преимущественно, традиционно антифашистские рабочие части городов, так называемые «красные пояса» Берлина или Гамбурга. Однако надежды американских и английских стратегов – бомбить пролетариат пока тот не поднимет восстание - не осуществлялись.</w:t>
      </w:r>
    </w:p>
    <w:p w14:paraId="4EBEDF04"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Не известно какому безмозглому штабному чину принадлежит столь идиотская мысль бомбить людей </w:t>
      </w:r>
      <w:proofErr w:type="gramStart"/>
      <w:r w:rsidRPr="00925F26">
        <w:rPr>
          <w:color w:val="000000" w:themeColor="text1"/>
          <w:sz w:val="16"/>
          <w:szCs w:val="16"/>
        </w:rPr>
        <w:t>до тех пор пока</w:t>
      </w:r>
      <w:proofErr w:type="gramEnd"/>
      <w:r w:rsidRPr="00925F26">
        <w:rPr>
          <w:color w:val="000000" w:themeColor="text1"/>
          <w:sz w:val="16"/>
          <w:szCs w:val="16"/>
        </w:rPr>
        <w:t xml:space="preserve"> они не восстанут, </w:t>
      </w:r>
      <w:proofErr w:type="gramStart"/>
      <w:r w:rsidRPr="00925F26">
        <w:rPr>
          <w:color w:val="000000" w:themeColor="text1"/>
          <w:sz w:val="16"/>
          <w:szCs w:val="16"/>
        </w:rPr>
        <w:t>мысль</w:t>
      </w:r>
      <w:proofErr w:type="gramEnd"/>
      <w:r w:rsidRPr="00925F26">
        <w:rPr>
          <w:color w:val="000000" w:themeColor="text1"/>
          <w:sz w:val="16"/>
          <w:szCs w:val="16"/>
        </w:rPr>
        <w:t xml:space="preserve"> которая ни разу не оправдалась не смотря на многочисленные попытки ее применения за последние 60 лет. </w:t>
      </w:r>
      <w:proofErr w:type="gramStart"/>
      <w:r w:rsidRPr="00925F26">
        <w:rPr>
          <w:color w:val="000000" w:themeColor="text1"/>
          <w:sz w:val="16"/>
          <w:szCs w:val="16"/>
        </w:rPr>
        <w:t>Не смотря</w:t>
      </w:r>
      <w:proofErr w:type="gramEnd"/>
      <w:r w:rsidRPr="00925F26">
        <w:rPr>
          <w:color w:val="000000" w:themeColor="text1"/>
          <w:sz w:val="16"/>
          <w:szCs w:val="16"/>
        </w:rPr>
        <w:t xml:space="preserve"> на это эти бесплодные попытки осуществляются по сей день в последний раз в Югославии и в Ираке.</w:t>
      </w:r>
    </w:p>
    <w:p w14:paraId="0B7E837C"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Бомбардируемые в немецких городах реагировали не восстанием, а приспособлением под бомбардировку. «Если вас бомбежками возвращают в каменный век, то вы тогда думаете не о восстании, а о примитивном выживании», - говорит свидетель тех времен Форте. Эти бомбежки позволили гитлеровской пропагандистской машине разжечь ненависть к «банде убийц» и </w:t>
      </w:r>
      <w:proofErr w:type="gramStart"/>
      <w:r w:rsidRPr="00925F26">
        <w:rPr>
          <w:color w:val="000000" w:themeColor="text1"/>
          <w:sz w:val="16"/>
          <w:szCs w:val="16"/>
        </w:rPr>
        <w:t>«летчиков-террористов»</w:t>
      </w:r>
      <w:proofErr w:type="gramEnd"/>
      <w:r w:rsidRPr="00925F26">
        <w:rPr>
          <w:color w:val="000000" w:themeColor="text1"/>
          <w:sz w:val="16"/>
          <w:szCs w:val="16"/>
        </w:rPr>
        <w:t xml:space="preserve"> подогреваемых «еврейскими силами» и тем самым отвлечь от себя ненависть и разочарование людей гитлеровским правительством, которое даже не позаботилось о необходимом количестве бомбоубежищ на своей территории.</w:t>
      </w:r>
    </w:p>
    <w:p w14:paraId="0F86D629"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Союзники почти не бомбили промышленные объекты, а те незначительные повреждения, которые чуть ли не случайно наносились некоторым заводам, очень быстро ликвидировались, рабочие, при необходимости заменялись военнопленными, тем самым военная индустрия функционировала на удивление успешно. «Мы были в бешенстве», - </w:t>
      </w:r>
      <w:proofErr w:type="gramStart"/>
      <w:r w:rsidRPr="00925F26">
        <w:rPr>
          <w:color w:val="000000" w:themeColor="text1"/>
          <w:sz w:val="16"/>
          <w:szCs w:val="16"/>
        </w:rPr>
        <w:t>вспоминает Форте</w:t>
      </w:r>
      <w:proofErr w:type="gramEnd"/>
      <w:r w:rsidRPr="00925F26">
        <w:rPr>
          <w:color w:val="000000" w:themeColor="text1"/>
          <w:sz w:val="16"/>
          <w:szCs w:val="16"/>
        </w:rPr>
        <w:t>, «когда после бомбардировок выходили из подвалов на превращенные в руину улицы и видели, что заводы, где выпускались танки и пушки, остались не тронутыми. В таком состоянии они оставались до самой капитуляции».</w:t>
      </w:r>
    </w:p>
    <w:p w14:paraId="42D29984"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В этом таится загадка, которую нам, пожалуй, никогда не открыть – почему англо-американская авиация длительное время отказывалась нанести удар по гитлеровскому рейху в его наиболее уязвимом месте – разбомбить оборудование нефтедобывающей индустрии, поставляющей топливо полчищам </w:t>
      </w:r>
      <w:proofErr w:type="gramStart"/>
      <w:r w:rsidRPr="00925F26">
        <w:rPr>
          <w:color w:val="000000" w:themeColor="text1"/>
          <w:sz w:val="16"/>
          <w:szCs w:val="16"/>
        </w:rPr>
        <w:t>немецких танков</w:t>
      </w:r>
      <w:proofErr w:type="gramEnd"/>
      <w:r w:rsidRPr="00925F26">
        <w:rPr>
          <w:color w:val="000000" w:themeColor="text1"/>
          <w:sz w:val="16"/>
          <w:szCs w:val="16"/>
        </w:rPr>
        <w:t xml:space="preserve"> гоняющим по русским просторам. До мая 1944 года лишь 1,1 процент всех бомбометаний приходился на эти объекты. Разгадкой может служить тот факт, что эти объекты были построены на англо-американские средства, к строительству привлекался капитал Standart Oil of New Jersey и английской Royal Dutch Shell. Не в последнюю очередь сказался интерес западных союзников желавших обеспечить немецкие танки достаточным количеством топлива, чтобы те достаточно долго сдерживали русских вдали от своих границ, по крайней мере столь долго, пока англо-американские войска не продвинутся достаточно глубоко, чтобы ограничить коммунистическое влияние на страны поствоенной Европы. К такому же мнению пришли и в немецком штабе Люфтваффе в апреле 1944 года – «противник не уничтожает нефтеперегонные заводы на территории Германии, так как не желает поставить нас в положение, когда мы не сможет дальше вести борьбу с Россией Дальнейшая война с русскими лежит в сфере интересов англо-американских войск».</w:t>
      </w:r>
    </w:p>
    <w:p w14:paraId="245846C1"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Второй загадкой остается вопрос почему американские бомбардировщики не сбросили ни одной бомбы </w:t>
      </w:r>
      <w:proofErr w:type="gramStart"/>
      <w:r w:rsidRPr="00925F26">
        <w:rPr>
          <w:color w:val="000000" w:themeColor="text1"/>
          <w:sz w:val="16"/>
          <w:szCs w:val="16"/>
        </w:rPr>
        <w:t>на железнодорожные пути</w:t>
      </w:r>
      <w:proofErr w:type="gramEnd"/>
      <w:r w:rsidRPr="00925F26">
        <w:rPr>
          <w:color w:val="000000" w:themeColor="text1"/>
          <w:sz w:val="16"/>
          <w:szCs w:val="16"/>
        </w:rPr>
        <w:t xml:space="preserve"> по которым днем и ночью катили поезда смерти в Освенцим. Хотя беженцы из концентрационных лагерей ранней весною 1944 года проинформировали американцев о существовании газовых камер, Пентагону, по каким-то причинам, это не показалось достаточным поводом для уничтожения железнодорожных путей ни в одном концентрационном лагере. После того, как соответствующее предложение было положено на штабной стол офицеру Джону МакКлойу, от него последовало короткое: «Kill this», -«Уничтожить».</w:t>
      </w:r>
    </w:p>
    <w:p w14:paraId="699F1FDF" w14:textId="77777777" w:rsidR="00720DFE" w:rsidRPr="00925F26" w:rsidRDefault="00720DFE" w:rsidP="00925F26">
      <w:pPr>
        <w:jc w:val="both"/>
        <w:rPr>
          <w:color w:val="000000" w:themeColor="text1"/>
          <w:sz w:val="16"/>
          <w:szCs w:val="16"/>
        </w:rPr>
      </w:pPr>
      <w:r w:rsidRPr="00925F26">
        <w:rPr>
          <w:color w:val="000000" w:themeColor="text1"/>
          <w:sz w:val="16"/>
          <w:szCs w:val="16"/>
        </w:rPr>
        <w:t>Черчилль должен был быть повешен, как минимум за бомбардировку Дрездена</w:t>
      </w:r>
    </w:p>
    <w:p w14:paraId="18968BF9" w14:textId="77777777" w:rsidR="00720DFE" w:rsidRPr="00925F26" w:rsidRDefault="00720DFE" w:rsidP="00925F26">
      <w:pPr>
        <w:jc w:val="both"/>
        <w:rPr>
          <w:color w:val="000000" w:themeColor="text1"/>
          <w:sz w:val="16"/>
          <w:szCs w:val="16"/>
        </w:rPr>
      </w:pPr>
      <w:r w:rsidRPr="00925F26">
        <w:rPr>
          <w:color w:val="000000" w:themeColor="text1"/>
          <w:sz w:val="16"/>
          <w:szCs w:val="16"/>
        </w:rPr>
        <w:t>По окончании войны весь мир узнал о нацистской, разросшейся до гигантских масштабов, системе уничтожения людей, несколько позже историкам открылась правда и о англо-американских чудовищных видах оружия, которые они готовились применить, если бы война затянулась еще на некоторое время. Ряд архивных документов того времени заставляет бледнеть даже видавших виды военных ученных.</w:t>
      </w:r>
    </w:p>
    <w:p w14:paraId="6284A0C1" w14:textId="77777777" w:rsidR="00720DFE" w:rsidRPr="00925F26" w:rsidRDefault="00720DFE" w:rsidP="00925F26">
      <w:pPr>
        <w:jc w:val="both"/>
        <w:rPr>
          <w:color w:val="000000" w:themeColor="text1"/>
          <w:sz w:val="16"/>
          <w:szCs w:val="16"/>
        </w:rPr>
      </w:pPr>
      <w:r w:rsidRPr="00925F26">
        <w:rPr>
          <w:color w:val="000000" w:themeColor="text1"/>
          <w:sz w:val="16"/>
          <w:szCs w:val="16"/>
        </w:rPr>
        <w:t>После того как весною 1944 года гитлеровские ракеты все же достигли Лондона и разом унесли жизни двух тысяч людей, Черчилль приказал своим штабным офицерам подготовиться на крайний случай к тому, «чтобы пропитать всю Германию ядовитыми газами». Такая возможность должна быть, по его словам, продумана «с абсолютной хладнокровностью благоразумными людьми, а не этими поющими псалмы растяпами в военной форме, что там и сям перебегают нам еще дорогу».</w:t>
      </w:r>
    </w:p>
    <w:p w14:paraId="1517E907" w14:textId="77777777" w:rsidR="00720DFE" w:rsidRPr="00925F26" w:rsidRDefault="00720DFE" w:rsidP="00925F26">
      <w:pPr>
        <w:jc w:val="both"/>
        <w:rPr>
          <w:color w:val="000000" w:themeColor="text1"/>
          <w:sz w:val="16"/>
          <w:szCs w:val="16"/>
        </w:rPr>
      </w:pPr>
      <w:r w:rsidRPr="00925F26">
        <w:rPr>
          <w:color w:val="000000" w:themeColor="text1"/>
          <w:sz w:val="16"/>
          <w:szCs w:val="16"/>
        </w:rPr>
        <w:t>Поскольку в случае применения отравляющий веществ военные опасались ответной атаки немцев, то выбор пал на бактериологическое оружие, а конкретно на бомбы с сибирской язвой. Уже 8 марта 1944 года Черчилль заказал их в Америке в количестве одного миллиона экземпляров: «Мы рассматриваем это, как первую поставку», - добавил он. Через два месяца США уже переправили через океан в Англию первую серию таких бомб в количестве 5000 штук.</w:t>
      </w:r>
    </w:p>
    <w:p w14:paraId="51536E02" w14:textId="77777777" w:rsidR="00720DFE" w:rsidRPr="00925F26" w:rsidRDefault="00720DFE" w:rsidP="00925F26">
      <w:pPr>
        <w:jc w:val="both"/>
        <w:rPr>
          <w:color w:val="000000" w:themeColor="text1"/>
          <w:sz w:val="16"/>
          <w:szCs w:val="16"/>
        </w:rPr>
      </w:pPr>
      <w:r w:rsidRPr="00925F26">
        <w:rPr>
          <w:color w:val="000000" w:themeColor="text1"/>
          <w:sz w:val="16"/>
          <w:szCs w:val="16"/>
        </w:rPr>
        <w:t>Но 28 июня 1944 года руководство английского военного штаба отметило в протоколе ежемесячного совещания о намерении временно воздержаться от применения бактериологического оружия в пользу планируемых гигантских, всепоглощающих пожаров в городах Берлине и Дрездене.</w:t>
      </w:r>
    </w:p>
    <w:p w14:paraId="08B032F9" w14:textId="77777777" w:rsidR="00720DFE" w:rsidRPr="00925F26" w:rsidRDefault="00720DFE" w:rsidP="00925F26">
      <w:pPr>
        <w:jc w:val="both"/>
        <w:rPr>
          <w:bCs/>
          <w:color w:val="000000" w:themeColor="text1"/>
          <w:sz w:val="16"/>
          <w:szCs w:val="16"/>
        </w:rPr>
      </w:pPr>
      <w:r w:rsidRPr="00925F26">
        <w:rPr>
          <w:color w:val="000000" w:themeColor="text1"/>
          <w:sz w:val="16"/>
          <w:szCs w:val="16"/>
        </w:rPr>
        <w:t>Черчилля такой поворот событий явно не устраивал: «Ну конечно же, я не могу одновременно сопротивляться сразу всем – и священникам и собственным военным. Эту возможность нужно еще раз обдумать и вернуться к ее обсуждению, когда положение ухудшится».</w:t>
      </w:r>
    </w:p>
    <w:p w14:paraId="6AA031AD" w14:textId="77777777" w:rsidR="00720DFE" w:rsidRPr="00925F26" w:rsidRDefault="00720DFE" w:rsidP="00925F26">
      <w:pPr>
        <w:jc w:val="both"/>
        <w:rPr>
          <w:color w:val="000000" w:themeColor="text1"/>
          <w:sz w:val="16"/>
          <w:szCs w:val="16"/>
        </w:rPr>
      </w:pPr>
      <w:proofErr w:type="gramStart"/>
      <w:r w:rsidRPr="00925F26">
        <w:rPr>
          <w:color w:val="000000" w:themeColor="text1"/>
          <w:sz w:val="16"/>
          <w:szCs w:val="16"/>
        </w:rPr>
        <w:t>Положение однако</w:t>
      </w:r>
      <w:proofErr w:type="gramEnd"/>
      <w:r w:rsidRPr="00925F26">
        <w:rPr>
          <w:color w:val="000000" w:themeColor="text1"/>
          <w:sz w:val="16"/>
          <w:szCs w:val="16"/>
        </w:rPr>
        <w:t xml:space="preserve"> улучшилось и не в последнюю очередь потому, что американским дальним бомбардировщикам удалось подавить немецкую ПВО. Таким образом союзники получили возможность почти беспрепятственно проводить свою стратегию сожжения городов вплоть до мая 1945 года.</w:t>
      </w:r>
    </w:p>
    <w:p w14:paraId="1E9EB508" w14:textId="77777777" w:rsidR="00720DFE" w:rsidRPr="00925F26" w:rsidRDefault="00720DFE" w:rsidP="00925F26">
      <w:pPr>
        <w:jc w:val="both"/>
        <w:rPr>
          <w:color w:val="000000" w:themeColor="text1"/>
          <w:sz w:val="16"/>
          <w:szCs w:val="16"/>
        </w:rPr>
      </w:pPr>
      <w:r w:rsidRPr="00925F26">
        <w:rPr>
          <w:color w:val="000000" w:themeColor="text1"/>
          <w:sz w:val="16"/>
          <w:szCs w:val="16"/>
        </w:rPr>
        <w:t>Недавно журнал «Вельт» задался риторическим вопросом: «Была ли бомбардировка немецких городов зажигательными бомбами необходимостью или преступлением, а может это было необходимым преступлением?». На это своеобразно ответил борец за свободу, гуманист Махатма Ганди, своею стратегией отрицания насилия вынудивший англичан покинуть его индийскую родину.</w:t>
      </w:r>
    </w:p>
    <w:p w14:paraId="4993BF0F" w14:textId="77777777" w:rsidR="00720DFE" w:rsidRPr="00925F26" w:rsidRDefault="00720DFE" w:rsidP="00925F26">
      <w:pPr>
        <w:jc w:val="both"/>
        <w:rPr>
          <w:color w:val="000000" w:themeColor="text1"/>
          <w:sz w:val="16"/>
          <w:szCs w:val="16"/>
        </w:rPr>
      </w:pPr>
      <w:r w:rsidRPr="00925F26">
        <w:rPr>
          <w:color w:val="000000" w:themeColor="text1"/>
          <w:sz w:val="16"/>
          <w:szCs w:val="16"/>
        </w:rPr>
        <w:t>О методах ведения воздушной войны союзниками он сказал: «В Дрездене и Хиросиме Гитлера победили Гитлером» (15039).</w:t>
      </w:r>
    </w:p>
    <w:p w14:paraId="44158368" w14:textId="77777777" w:rsidR="00720DFE" w:rsidRPr="00925F26" w:rsidRDefault="00720DFE" w:rsidP="00925F26">
      <w:pPr>
        <w:jc w:val="both"/>
        <w:rPr>
          <w:color w:val="000000" w:themeColor="text1"/>
          <w:sz w:val="16"/>
          <w:szCs w:val="16"/>
        </w:rPr>
      </w:pPr>
    </w:p>
    <w:p w14:paraId="085F0846" w14:textId="77777777" w:rsidR="00720DFE" w:rsidRPr="00925F26" w:rsidRDefault="00720DFE" w:rsidP="00925F26">
      <w:pPr>
        <w:jc w:val="both"/>
        <w:rPr>
          <w:color w:val="000000" w:themeColor="text1"/>
          <w:sz w:val="16"/>
          <w:szCs w:val="16"/>
        </w:rPr>
      </w:pPr>
      <w:r w:rsidRPr="00925F26">
        <w:rPr>
          <w:bCs/>
          <w:color w:val="000000" w:themeColor="text1"/>
          <w:sz w:val="16"/>
          <w:szCs w:val="16"/>
        </w:rPr>
        <w:t>13 февраля</w:t>
      </w:r>
      <w:r w:rsidRPr="00925F26">
        <w:rPr>
          <w:color w:val="000000" w:themeColor="text1"/>
          <w:sz w:val="16"/>
          <w:szCs w:val="16"/>
        </w:rPr>
        <w:t xml:space="preserve"> в 1945 году </w:t>
      </w:r>
      <w:hyperlink r:id="rId36" w:tgtFrame="_blank" w:history="1">
        <w:r w:rsidRPr="00925F26">
          <w:rPr>
            <w:color w:val="000000" w:themeColor="text1"/>
            <w:sz w:val="16"/>
            <w:szCs w:val="16"/>
          </w:rPr>
          <w:t xml:space="preserve">бомбардировка англо-американской авиацией Дрездена. </w:t>
        </w:r>
      </w:hyperlink>
      <w:r w:rsidRPr="00925F26">
        <w:rPr>
          <w:color w:val="000000" w:themeColor="text1"/>
          <w:sz w:val="16"/>
          <w:szCs w:val="16"/>
        </w:rPr>
        <w:t>Сброшено 3749 тонн бомб. Площадь зоны полных разрушений в Дрездене в 4 раза превышала площадь зоны полных разрушений в Нагасаки. Численность погибших оценивается разными источниками от 18-25 до 200—500 тысяч человек. Разрушение Дрездена является одним из самых масштабных массовых убийств в истории человечества (15039).</w:t>
      </w:r>
    </w:p>
    <w:p w14:paraId="40CD1097" w14:textId="77777777" w:rsidR="00720DFE" w:rsidRPr="00925F26" w:rsidRDefault="00720DFE" w:rsidP="00925F26">
      <w:pPr>
        <w:jc w:val="both"/>
        <w:rPr>
          <w:color w:val="000000" w:themeColor="text1"/>
          <w:sz w:val="16"/>
          <w:szCs w:val="16"/>
        </w:rPr>
      </w:pPr>
    </w:p>
    <w:p w14:paraId="16023C50" w14:textId="77777777" w:rsidR="00206770" w:rsidRPr="00925F26" w:rsidRDefault="00206770" w:rsidP="00925F26">
      <w:pPr>
        <w:jc w:val="both"/>
        <w:rPr>
          <w:color w:val="000000" w:themeColor="text1"/>
          <w:sz w:val="16"/>
          <w:szCs w:val="16"/>
        </w:rPr>
      </w:pPr>
      <w:r w:rsidRPr="00925F26">
        <w:rPr>
          <w:color w:val="000000" w:themeColor="text1"/>
          <w:sz w:val="16"/>
          <w:szCs w:val="16"/>
        </w:rPr>
        <w:t>13 -15 февраля 1945 года состоялась бомбардировка Дрездена. Перед войной в Дрездене насчитывалось 640 тысяч жи</w:t>
      </w:r>
      <w:r w:rsidRPr="00925F26">
        <w:rPr>
          <w:color w:val="000000" w:themeColor="text1"/>
          <w:sz w:val="16"/>
          <w:szCs w:val="16"/>
        </w:rPr>
        <w:softHyphen/>
        <w:t>телей, но за годы войны население столицы Саксонии за счет беженцев значительно увеличилось. Никакой военной необхо</w:t>
      </w:r>
      <w:r w:rsidRPr="00925F26">
        <w:rPr>
          <w:color w:val="000000" w:themeColor="text1"/>
          <w:sz w:val="16"/>
          <w:szCs w:val="16"/>
        </w:rPr>
        <w:softHyphen/>
        <w:t>димости бомбить город союзники не имели. Как писал британ</w:t>
      </w:r>
      <w:r w:rsidRPr="00925F26">
        <w:rPr>
          <w:color w:val="000000" w:themeColor="text1"/>
          <w:sz w:val="16"/>
          <w:szCs w:val="16"/>
        </w:rPr>
        <w:softHyphen/>
        <w:t>ский историк Девид Ирвинг: «В отличие от Эссена и Гамбурга, Дрезден, хотя и был сравним с ними по размеру, не имел каких- либо предприятий тяжелой промышленности, и в мирное время жизнь города основывалась на отраслях, выпускающих продук</w:t>
      </w:r>
      <w:r w:rsidRPr="00925F26">
        <w:rPr>
          <w:color w:val="000000" w:themeColor="text1"/>
          <w:sz w:val="16"/>
          <w:szCs w:val="16"/>
        </w:rPr>
        <w:softHyphen/>
        <w:t xml:space="preserve">цию массового потребления, его театрах, музеях и культурных учреждениях. Даже к концу 1944 </w:t>
      </w:r>
      <w:r w:rsidRPr="00925F26">
        <w:rPr>
          <w:color w:val="000000" w:themeColor="text1"/>
          <w:sz w:val="16"/>
          <w:szCs w:val="16"/>
        </w:rPr>
        <w:lastRenderedPageBreak/>
        <w:t>г. было трудно выделить какой- нибудь один завод, имевший действительно важное значение, не считая расположенного в 40 километрах к северу (в Руланде) предприятия по производству синтетического горючего.</w:t>
      </w:r>
    </w:p>
    <w:p w14:paraId="6ED0792A" w14:textId="77777777" w:rsidR="00206770" w:rsidRPr="00925F26" w:rsidRDefault="00206770" w:rsidP="00925F26">
      <w:pPr>
        <w:jc w:val="both"/>
        <w:rPr>
          <w:color w:val="000000" w:themeColor="text1"/>
          <w:sz w:val="16"/>
          <w:szCs w:val="16"/>
        </w:rPr>
      </w:pPr>
      <w:r w:rsidRPr="00925F26">
        <w:rPr>
          <w:color w:val="000000" w:themeColor="text1"/>
          <w:sz w:val="16"/>
          <w:szCs w:val="16"/>
        </w:rPr>
        <w:t>Примерно в пяти километрах от центра находилось главное предприятие города - оптическое предприятие «Цейс-Икон». На окраинах размещались завод, выпускав</w:t>
      </w:r>
      <w:r w:rsidRPr="00925F26">
        <w:rPr>
          <w:color w:val="000000" w:themeColor="text1"/>
          <w:sz w:val="16"/>
          <w:szCs w:val="16"/>
        </w:rPr>
        <w:softHyphen/>
        <w:t>ший противогазы, два завода, занимавшиеся изготовлением компонентов для радаров и других электронных приборов, которые собирались в Берлине. Также имелся завод, занятый производством снарядных взрывателей для зенитных ору</w:t>
      </w:r>
      <w:r w:rsidRPr="00925F26">
        <w:rPr>
          <w:color w:val="000000" w:themeColor="text1"/>
          <w:sz w:val="16"/>
          <w:szCs w:val="16"/>
        </w:rPr>
        <w:softHyphen/>
        <w:t>дий. В городе располагались две крупные табачные фабрики, на долю которых приходилась значительная часть произ</w:t>
      </w:r>
      <w:r w:rsidRPr="00925F26">
        <w:rPr>
          <w:color w:val="000000" w:themeColor="text1"/>
          <w:sz w:val="16"/>
          <w:szCs w:val="16"/>
        </w:rPr>
        <w:softHyphen/>
        <w:t>водства сигарет в Германии. Не считая крупных табачных фабрик и предприятий по производству оптических прибо</w:t>
      </w:r>
      <w:r w:rsidRPr="00925F26">
        <w:rPr>
          <w:color w:val="000000" w:themeColor="text1"/>
          <w:sz w:val="16"/>
          <w:szCs w:val="16"/>
        </w:rPr>
        <w:softHyphen/>
        <w:t>ров, остальная часть промышленности города представляла собой весьма пеструю картину: фабрика по производству де</w:t>
      </w:r>
      <w:r w:rsidRPr="00925F26">
        <w:rPr>
          <w:color w:val="000000" w:themeColor="text1"/>
          <w:sz w:val="16"/>
          <w:szCs w:val="16"/>
        </w:rPr>
        <w:softHyphen/>
        <w:t>ревянных корпусов для радиоприемников, мыловаренный за</w:t>
      </w:r>
      <w:r w:rsidRPr="00925F26">
        <w:rPr>
          <w:color w:val="000000" w:themeColor="text1"/>
          <w:sz w:val="16"/>
          <w:szCs w:val="16"/>
        </w:rPr>
        <w:softHyphen/>
        <w:t>вод, несколько пивоварен и две фирмы, выпускавшие детали для авиамоторов, а также для самолетов «Мессершмитт», которые потом отправлялись на авиазавод в Аугсбруг. В раз</w:t>
      </w:r>
      <w:r w:rsidRPr="00925F26">
        <w:rPr>
          <w:color w:val="000000" w:themeColor="text1"/>
          <w:sz w:val="16"/>
          <w:szCs w:val="16"/>
        </w:rPr>
        <w:softHyphen/>
        <w:t>ных частях города целый ряд мелких фирм был вовлечен в производство высокочастотных приборов для военной промышленности. Необходимо отметить, что ни одно из этих предприятий не находилось в пределах пяти с половиной ки</w:t>
      </w:r>
      <w:r w:rsidRPr="00925F26">
        <w:rPr>
          <w:color w:val="000000" w:themeColor="text1"/>
          <w:sz w:val="16"/>
          <w:szCs w:val="16"/>
        </w:rPr>
        <w:softHyphen/>
        <w:t>лометров от центра города (в пределах зоны, по которой Ко</w:t>
      </w:r>
      <w:r w:rsidRPr="00925F26">
        <w:rPr>
          <w:color w:val="000000" w:themeColor="text1"/>
          <w:sz w:val="16"/>
          <w:szCs w:val="16"/>
        </w:rPr>
        <w:softHyphen/>
        <w:t>ролевские ВВС нанесли два сокрушительных ночных удара» (19735).</w:t>
      </w:r>
    </w:p>
    <w:p w14:paraId="4EC531A0" w14:textId="77777777" w:rsidR="00206770" w:rsidRPr="00925F26" w:rsidRDefault="00206770" w:rsidP="00925F26">
      <w:pPr>
        <w:jc w:val="both"/>
        <w:rPr>
          <w:color w:val="000000" w:themeColor="text1"/>
          <w:sz w:val="16"/>
          <w:szCs w:val="16"/>
        </w:rPr>
      </w:pPr>
    </w:p>
    <w:p w14:paraId="7E0D9A38" w14:textId="77777777" w:rsidR="00206770" w:rsidRPr="00925F26" w:rsidRDefault="00206770" w:rsidP="00925F26">
      <w:pPr>
        <w:jc w:val="both"/>
        <w:rPr>
          <w:color w:val="000000" w:themeColor="text1"/>
          <w:sz w:val="16"/>
          <w:szCs w:val="16"/>
        </w:rPr>
      </w:pPr>
      <w:r w:rsidRPr="00925F26">
        <w:rPr>
          <w:color w:val="000000" w:themeColor="text1"/>
          <w:sz w:val="16"/>
          <w:szCs w:val="16"/>
        </w:rPr>
        <w:t>13 февраля 1945 в 17 ч. 30 мин. с аэродрома в Центральной Англии взлетели первые эскадрильи «Ланкастеров» 5-й бом</w:t>
      </w:r>
      <w:r w:rsidRPr="00925F26">
        <w:rPr>
          <w:color w:val="000000" w:themeColor="text1"/>
          <w:sz w:val="16"/>
          <w:szCs w:val="16"/>
        </w:rPr>
        <w:softHyphen/>
        <w:t>бардировочной авиагруппы. К 18 часам все соединение из 244 бомбардировщиков первой волны было в воздухе. Они кружились над своими аэродромами, собирались в группы и брали курс на Германию.</w:t>
      </w:r>
    </w:p>
    <w:p w14:paraId="6AE2410A" w14:textId="77777777" w:rsidR="00206770" w:rsidRPr="00925F26" w:rsidRDefault="00206770" w:rsidP="00925F26">
      <w:pPr>
        <w:jc w:val="both"/>
        <w:rPr>
          <w:color w:val="000000" w:themeColor="text1"/>
          <w:sz w:val="16"/>
          <w:szCs w:val="16"/>
        </w:rPr>
      </w:pPr>
      <w:r w:rsidRPr="00925F26">
        <w:rPr>
          <w:color w:val="000000" w:themeColor="text1"/>
          <w:sz w:val="16"/>
          <w:szCs w:val="16"/>
        </w:rPr>
        <w:t>Параллельно англичане провели отвлекающий налет на завод синтетического горючего, расположенный неподалеку от Лейпцига в городе болен. В этом налете принимало участие 326 «Галифаксов», 34 «Ланкастера» и 8 «Москито». Они атаковали Болен с 21 ч. 54 мин. до 22 ч. 12 мин.</w:t>
      </w:r>
    </w:p>
    <w:p w14:paraId="04E60FA7" w14:textId="77777777" w:rsidR="00206770" w:rsidRPr="00925F26" w:rsidRDefault="00206770" w:rsidP="00925F26">
      <w:pPr>
        <w:jc w:val="both"/>
        <w:rPr>
          <w:color w:val="000000" w:themeColor="text1"/>
          <w:sz w:val="16"/>
          <w:szCs w:val="16"/>
        </w:rPr>
      </w:pPr>
      <w:r w:rsidRPr="00925F26">
        <w:rPr>
          <w:color w:val="000000" w:themeColor="text1"/>
          <w:sz w:val="16"/>
          <w:szCs w:val="16"/>
        </w:rPr>
        <w:t>Британские самолеты электронного противодействия из состава особой 100-й авиагруппы сбрасывали дипольные отра</w:t>
      </w:r>
      <w:r w:rsidRPr="00925F26">
        <w:rPr>
          <w:color w:val="000000" w:themeColor="text1"/>
          <w:sz w:val="16"/>
          <w:szCs w:val="16"/>
        </w:rPr>
        <w:softHyphen/>
        <w:t>жатели в районе Майнц-Магггейм.</w:t>
      </w:r>
    </w:p>
    <w:p w14:paraId="08F32641" w14:textId="77777777" w:rsidR="00206770" w:rsidRPr="00925F26" w:rsidRDefault="00206770" w:rsidP="00925F26">
      <w:pPr>
        <w:jc w:val="both"/>
        <w:rPr>
          <w:color w:val="000000" w:themeColor="text1"/>
          <w:sz w:val="16"/>
          <w:szCs w:val="16"/>
        </w:rPr>
      </w:pPr>
      <w:r w:rsidRPr="00925F26">
        <w:rPr>
          <w:color w:val="000000" w:themeColor="text1"/>
          <w:sz w:val="16"/>
          <w:szCs w:val="16"/>
        </w:rPr>
        <w:t>Долетев до Дрездена, «Ланкастеры» из 83-й эскадри</w:t>
      </w:r>
      <w:r w:rsidRPr="00925F26">
        <w:rPr>
          <w:color w:val="000000" w:themeColor="text1"/>
          <w:sz w:val="16"/>
          <w:szCs w:val="16"/>
        </w:rPr>
        <w:softHyphen/>
        <w:t>льи, имевшие самое лучшее навигационное оборудование, приступили к сбрасыванию первых световых индикаторов обозначения цели. Зеленые маркеры сбрасывались по радару над излучиной Эльбы в черте города вместе с магниевыми осветительными бомбами на парашютах, которые также опус</w:t>
      </w:r>
      <w:r w:rsidRPr="00925F26">
        <w:rPr>
          <w:color w:val="000000" w:themeColor="text1"/>
          <w:sz w:val="16"/>
          <w:szCs w:val="16"/>
        </w:rPr>
        <w:softHyphen/>
        <w:t>кались прямо на Дрезден.</w:t>
      </w:r>
    </w:p>
    <w:p w14:paraId="730F4202" w14:textId="77777777" w:rsidR="00206770" w:rsidRPr="00925F26" w:rsidRDefault="00206770" w:rsidP="00925F26">
      <w:pPr>
        <w:jc w:val="both"/>
        <w:rPr>
          <w:color w:val="000000" w:themeColor="text1"/>
          <w:sz w:val="16"/>
          <w:szCs w:val="16"/>
        </w:rPr>
      </w:pPr>
      <w:r w:rsidRPr="00925F26">
        <w:rPr>
          <w:color w:val="000000" w:themeColor="text1"/>
          <w:sz w:val="16"/>
          <w:szCs w:val="16"/>
        </w:rPr>
        <w:t>За первой группой «Ланкастеров» над районом цели прошла вторая, сбросившая серию осветительных бомб, дающих све</w:t>
      </w:r>
      <w:r w:rsidRPr="00925F26">
        <w:rPr>
          <w:color w:val="000000" w:themeColor="text1"/>
          <w:sz w:val="16"/>
          <w:szCs w:val="16"/>
        </w:rPr>
        <w:softHyphen/>
        <w:t>чение белого цвета. На этот раз бомбардиры полагались как на визуальный способ прицеливания, так и на данные, выводимые на экраны бортовых РЛС. Скрытый светомаскировкой город был обнаружен и хорошо освещен.</w:t>
      </w:r>
    </w:p>
    <w:p w14:paraId="2B6441FC" w14:textId="77777777" w:rsidR="00206770" w:rsidRPr="00925F26" w:rsidRDefault="00206770" w:rsidP="00925F26">
      <w:pPr>
        <w:jc w:val="both"/>
        <w:rPr>
          <w:color w:val="000000" w:themeColor="text1"/>
          <w:sz w:val="16"/>
          <w:szCs w:val="16"/>
        </w:rPr>
      </w:pPr>
      <w:r w:rsidRPr="00925F26">
        <w:rPr>
          <w:color w:val="000000" w:themeColor="text1"/>
          <w:sz w:val="16"/>
          <w:szCs w:val="16"/>
        </w:rPr>
        <w:t>На этом участие «осветителей» в обозначение цели закон</w:t>
      </w:r>
      <w:r w:rsidRPr="00925F26">
        <w:rPr>
          <w:color w:val="000000" w:themeColor="text1"/>
          <w:sz w:val="16"/>
          <w:szCs w:val="16"/>
        </w:rPr>
        <w:softHyphen/>
        <w:t>чилось, и наступила очередь группы самолетов «Москито», кото</w:t>
      </w:r>
      <w:r w:rsidRPr="00925F26">
        <w:rPr>
          <w:color w:val="000000" w:themeColor="text1"/>
          <w:sz w:val="16"/>
          <w:szCs w:val="16"/>
        </w:rPr>
        <w:softHyphen/>
        <w:t>рые должны были спикировать на Дрезден и своими маркерами яркого красного цвета отметить стадион. От этого зависел успех всей атаки. Стадион должен был стать основной точкой прице</w:t>
      </w:r>
      <w:r w:rsidRPr="00925F26">
        <w:rPr>
          <w:color w:val="000000" w:themeColor="text1"/>
          <w:sz w:val="16"/>
          <w:szCs w:val="16"/>
        </w:rPr>
        <w:softHyphen/>
        <w:t>ливания для последующих волн бомбовозов.</w:t>
      </w:r>
    </w:p>
    <w:p w14:paraId="404432BE" w14:textId="77777777" w:rsidR="00206770" w:rsidRPr="00925F26" w:rsidRDefault="00206770" w:rsidP="00925F26">
      <w:pPr>
        <w:jc w:val="both"/>
        <w:rPr>
          <w:color w:val="000000" w:themeColor="text1"/>
          <w:sz w:val="16"/>
          <w:szCs w:val="16"/>
        </w:rPr>
      </w:pPr>
      <w:r w:rsidRPr="00925F26">
        <w:rPr>
          <w:color w:val="000000" w:themeColor="text1"/>
          <w:sz w:val="16"/>
          <w:szCs w:val="16"/>
        </w:rPr>
        <w:t>Перед этим германские операторы наведения в штабе ис</w:t>
      </w:r>
      <w:r w:rsidRPr="00925F26">
        <w:rPr>
          <w:color w:val="000000" w:themeColor="text1"/>
          <w:sz w:val="16"/>
          <w:szCs w:val="16"/>
        </w:rPr>
        <w:softHyphen/>
        <w:t>требительной дивизии в Деберитце столкнулись со сложной проблемой. Посты радиоперехвата, которым раньше удавалось фиксировать сигналы бортовых РЛС и радиопередатчиков про</w:t>
      </w:r>
      <w:r w:rsidRPr="00925F26">
        <w:rPr>
          <w:color w:val="000000" w:themeColor="text1"/>
          <w:sz w:val="16"/>
          <w:szCs w:val="16"/>
        </w:rPr>
        <w:softHyphen/>
        <w:t>тивника во время их предполетной проверки, теперь не могли это делать, так как над восточным побережьем Англии и вдоль линии фронта на западе была выставлена электронная завеса. 128 самолетов 100-й авиагруппы электронного противодейст</w:t>
      </w:r>
      <w:r w:rsidRPr="00925F26">
        <w:rPr>
          <w:color w:val="000000" w:themeColor="text1"/>
          <w:sz w:val="16"/>
          <w:szCs w:val="16"/>
        </w:rPr>
        <w:softHyphen/>
        <w:t>вия поддерживали проводимую в эту ночь операцию, создавая экран из радиопомех, прикрывавший район цели с севера на юг. Остальные самолеты группы сбрасывали дипольные отражатели на подходе к другим городам и создавали помехи немецкой системе радиосвязи с помощью бортовых передатчиков высо</w:t>
      </w:r>
      <w:r w:rsidRPr="00925F26">
        <w:rPr>
          <w:color w:val="000000" w:themeColor="text1"/>
          <w:sz w:val="16"/>
          <w:szCs w:val="16"/>
        </w:rPr>
        <w:softHyphen/>
        <w:t>кой мощности. Часть самолетов была оборудована аппаратурой радиоперехвата. К тому же бомбардировщики пересекли линию фронта на малой высоте, и немецкие радары могли обнаружить их только тогда, когда они находились уже над территорией Германии. Все это делало задачу операторов немецкой истре</w:t>
      </w:r>
      <w:r w:rsidRPr="00925F26">
        <w:rPr>
          <w:color w:val="000000" w:themeColor="text1"/>
          <w:sz w:val="16"/>
          <w:szCs w:val="16"/>
        </w:rPr>
        <w:softHyphen/>
        <w:t>бительной авиации еще более сложной.</w:t>
      </w:r>
    </w:p>
    <w:p w14:paraId="135B86D5" w14:textId="77777777" w:rsidR="00206770" w:rsidRPr="00925F26" w:rsidRDefault="00206770" w:rsidP="00925F26">
      <w:pPr>
        <w:jc w:val="both"/>
        <w:rPr>
          <w:color w:val="000000" w:themeColor="text1"/>
          <w:sz w:val="16"/>
          <w:szCs w:val="16"/>
        </w:rPr>
      </w:pPr>
      <w:r w:rsidRPr="00925F26">
        <w:rPr>
          <w:color w:val="000000" w:themeColor="text1"/>
          <w:sz w:val="16"/>
          <w:szCs w:val="16"/>
        </w:rPr>
        <w:t>В это время отвлекающие операции Бомбардировочного ко</w:t>
      </w:r>
      <w:r w:rsidRPr="00925F26">
        <w:rPr>
          <w:color w:val="000000" w:themeColor="text1"/>
          <w:sz w:val="16"/>
          <w:szCs w:val="16"/>
        </w:rPr>
        <w:softHyphen/>
        <w:t>мандования уже шли полным ходом. Пять самолетов «Москито» бомбили Магдебург (через три с половиной часа девять «Мо</w:t>
      </w:r>
      <w:r w:rsidRPr="00925F26">
        <w:rPr>
          <w:color w:val="000000" w:themeColor="text1"/>
          <w:sz w:val="16"/>
          <w:szCs w:val="16"/>
        </w:rPr>
        <w:softHyphen/>
        <w:t>скито» будут вновь бомбить Магдебург, чтобы отвлечь внимание немцев от второго ударного соединения, которое также шло на Дрезден).</w:t>
      </w:r>
    </w:p>
    <w:p w14:paraId="39504AC2" w14:textId="77777777" w:rsidR="00206770" w:rsidRPr="00925F26" w:rsidRDefault="00206770" w:rsidP="00925F26">
      <w:pPr>
        <w:jc w:val="both"/>
        <w:rPr>
          <w:color w:val="000000" w:themeColor="text1"/>
          <w:sz w:val="16"/>
          <w:szCs w:val="16"/>
        </w:rPr>
      </w:pPr>
      <w:r w:rsidRPr="00925F26">
        <w:rPr>
          <w:color w:val="000000" w:themeColor="text1"/>
          <w:sz w:val="16"/>
          <w:szCs w:val="16"/>
        </w:rPr>
        <w:t>Когда уже начинался первый налет на Дрезден, семь «Мо</w:t>
      </w:r>
      <w:r w:rsidRPr="00925F26">
        <w:rPr>
          <w:color w:val="000000" w:themeColor="text1"/>
          <w:sz w:val="16"/>
          <w:szCs w:val="16"/>
        </w:rPr>
        <w:softHyphen/>
        <w:t>скито» сбрасывали бомбы на Нюрнберг. Это продолжалось затем еще в течение нескольких часов. Также шестнадцать «Москито» бомбили Бонн, семь атаковали Марбург.</w:t>
      </w:r>
    </w:p>
    <w:p w14:paraId="5850C2DA" w14:textId="77777777" w:rsidR="00206770" w:rsidRPr="00925F26" w:rsidRDefault="00206770" w:rsidP="00925F26">
      <w:pPr>
        <w:jc w:val="both"/>
        <w:rPr>
          <w:color w:val="000000" w:themeColor="text1"/>
          <w:sz w:val="16"/>
          <w:szCs w:val="16"/>
        </w:rPr>
      </w:pPr>
      <w:r w:rsidRPr="00925F26">
        <w:rPr>
          <w:color w:val="000000" w:themeColor="text1"/>
          <w:sz w:val="16"/>
          <w:szCs w:val="16"/>
        </w:rPr>
        <w:t>Все это привело к тому, что операторы командного пун</w:t>
      </w:r>
      <w:r w:rsidRPr="00925F26">
        <w:rPr>
          <w:color w:val="000000" w:themeColor="text1"/>
          <w:sz w:val="16"/>
          <w:szCs w:val="16"/>
        </w:rPr>
        <w:softHyphen/>
        <w:t>кта немецкой истребительной авиации не считали налет на Дрезден приоритетным. Вплоть до самых последних минут об угрозе воздушного нападения предупреждалось только насе</w:t>
      </w:r>
      <w:r w:rsidRPr="00925F26">
        <w:rPr>
          <w:color w:val="000000" w:themeColor="text1"/>
          <w:sz w:val="16"/>
          <w:szCs w:val="16"/>
        </w:rPr>
        <w:softHyphen/>
        <w:t>ление Лейпцига.</w:t>
      </w:r>
    </w:p>
    <w:p w14:paraId="2D4FFEE3" w14:textId="77777777" w:rsidR="00206770" w:rsidRPr="00925F26" w:rsidRDefault="00206770" w:rsidP="00925F26">
      <w:pPr>
        <w:jc w:val="both"/>
        <w:rPr>
          <w:color w:val="000000" w:themeColor="text1"/>
          <w:sz w:val="16"/>
          <w:szCs w:val="16"/>
        </w:rPr>
      </w:pPr>
      <w:r w:rsidRPr="00925F26">
        <w:rPr>
          <w:color w:val="000000" w:themeColor="text1"/>
          <w:sz w:val="16"/>
          <w:szCs w:val="16"/>
        </w:rPr>
        <w:t>В Дрездене же обычные сигналы, предупреждающие о воз</w:t>
      </w:r>
      <w:r w:rsidRPr="00925F26">
        <w:rPr>
          <w:color w:val="000000" w:themeColor="text1"/>
          <w:sz w:val="16"/>
          <w:szCs w:val="16"/>
        </w:rPr>
        <w:softHyphen/>
        <w:t>можности воздушного налета, не подавались. Первое, что люди услышали, это неожиданно раздавшийся в 21 ч. 55 мин. вой сирен. В эту же минуту на аэродром Дрезден-Клотцше (сейчас это гражданский аэропорт Дрездена) пришел приказ о подъ</w:t>
      </w:r>
      <w:r w:rsidRPr="00925F26">
        <w:rPr>
          <w:color w:val="000000" w:themeColor="text1"/>
          <w:sz w:val="16"/>
          <w:szCs w:val="16"/>
        </w:rPr>
        <w:softHyphen/>
        <w:t>еме в воздух базировавшейся на нем истребительной эскадри</w:t>
      </w:r>
      <w:r w:rsidRPr="00925F26">
        <w:rPr>
          <w:color w:val="000000" w:themeColor="text1"/>
          <w:sz w:val="16"/>
          <w:szCs w:val="16"/>
        </w:rPr>
        <w:softHyphen/>
        <w:t xml:space="preserve">льи </w:t>
      </w:r>
      <w:r w:rsidRPr="00925F26">
        <w:rPr>
          <w:color w:val="000000" w:themeColor="text1"/>
          <w:sz w:val="16"/>
          <w:szCs w:val="16"/>
          <w:lang w:val="en-US"/>
        </w:rPr>
        <w:t>V</w:t>
      </w:r>
      <w:r w:rsidRPr="00925F26">
        <w:rPr>
          <w:color w:val="000000" w:themeColor="text1"/>
          <w:sz w:val="16"/>
          <w:szCs w:val="16"/>
        </w:rPr>
        <w:t>/</w:t>
      </w:r>
      <w:r w:rsidRPr="00925F26">
        <w:rPr>
          <w:color w:val="000000" w:themeColor="text1"/>
          <w:sz w:val="16"/>
          <w:szCs w:val="16"/>
          <w:lang w:val="en-US"/>
        </w:rPr>
        <w:t>NJG</w:t>
      </w:r>
      <w:r w:rsidRPr="00925F26">
        <w:rPr>
          <w:color w:val="000000" w:themeColor="text1"/>
          <w:sz w:val="16"/>
          <w:szCs w:val="16"/>
        </w:rPr>
        <w:t>.5. Но было поздно - маркировка цели уже началась.</w:t>
      </w:r>
    </w:p>
    <w:p w14:paraId="70F20E33" w14:textId="77777777" w:rsidR="00206770" w:rsidRPr="00925F26" w:rsidRDefault="00206770" w:rsidP="00925F26">
      <w:pPr>
        <w:jc w:val="both"/>
        <w:rPr>
          <w:color w:val="000000" w:themeColor="text1"/>
          <w:sz w:val="16"/>
          <w:szCs w:val="16"/>
        </w:rPr>
      </w:pPr>
      <w:r w:rsidRPr="00925F26">
        <w:rPr>
          <w:color w:val="000000" w:themeColor="text1"/>
          <w:sz w:val="16"/>
          <w:szCs w:val="16"/>
        </w:rPr>
        <w:t>На защиту Дрездена поднялись только 27 ночных истреби</w:t>
      </w:r>
      <w:r w:rsidRPr="00925F26">
        <w:rPr>
          <w:color w:val="000000" w:themeColor="text1"/>
          <w:sz w:val="16"/>
          <w:szCs w:val="16"/>
        </w:rPr>
        <w:softHyphen/>
        <w:t>телей.</w:t>
      </w:r>
    </w:p>
    <w:p w14:paraId="11179C29" w14:textId="77777777" w:rsidR="00206770" w:rsidRPr="00925F26" w:rsidRDefault="00206770" w:rsidP="00925F26">
      <w:pPr>
        <w:jc w:val="both"/>
        <w:rPr>
          <w:color w:val="000000" w:themeColor="text1"/>
          <w:sz w:val="16"/>
          <w:szCs w:val="16"/>
        </w:rPr>
      </w:pPr>
      <w:r w:rsidRPr="00925F26">
        <w:rPr>
          <w:color w:val="000000" w:themeColor="text1"/>
          <w:sz w:val="16"/>
          <w:szCs w:val="16"/>
        </w:rPr>
        <w:t>К 22 час. 30 мин. 13 февраля все соединение бомбардиров</w:t>
      </w:r>
      <w:r w:rsidRPr="00925F26">
        <w:rPr>
          <w:color w:val="000000" w:themeColor="text1"/>
          <w:sz w:val="16"/>
          <w:szCs w:val="16"/>
        </w:rPr>
        <w:softHyphen/>
        <w:t>щиков, принимавших участие в первом налете на Дрезден, уже возвращалось в Англию. Из 245 «Ланкастеров» и 9 «Москито» 5-й авиагруппы, которые взлетели со своих аэродромов, 243 самолета в течение 20 минут сбросили бомбы на Дрезден. Налет этот был настолько сконцентрирован во времени и простран</w:t>
      </w:r>
      <w:r w:rsidRPr="00925F26">
        <w:rPr>
          <w:color w:val="000000" w:themeColor="text1"/>
          <w:sz w:val="16"/>
          <w:szCs w:val="16"/>
        </w:rPr>
        <w:softHyphen/>
        <w:t>стве, что один «Ланкастер» угодил под бомбы, сброшенные дру</w:t>
      </w:r>
      <w:r w:rsidRPr="00925F26">
        <w:rPr>
          <w:color w:val="000000" w:themeColor="text1"/>
          <w:sz w:val="16"/>
          <w:szCs w:val="16"/>
        </w:rPr>
        <w:softHyphen/>
        <w:t>гим, находившимся выше самолетом.</w:t>
      </w:r>
    </w:p>
    <w:p w14:paraId="51CE9E72" w14:textId="77777777" w:rsidR="00206770" w:rsidRPr="00925F26" w:rsidRDefault="00206770" w:rsidP="00925F26">
      <w:pPr>
        <w:jc w:val="both"/>
        <w:rPr>
          <w:color w:val="000000" w:themeColor="text1"/>
          <w:sz w:val="16"/>
          <w:szCs w:val="16"/>
        </w:rPr>
      </w:pPr>
      <w:r w:rsidRPr="00925F26">
        <w:rPr>
          <w:color w:val="000000" w:themeColor="text1"/>
          <w:sz w:val="16"/>
          <w:szCs w:val="16"/>
        </w:rPr>
        <w:t>Через 10 минут после завершения первого налета само</w:t>
      </w:r>
      <w:r w:rsidRPr="00925F26">
        <w:rPr>
          <w:color w:val="000000" w:themeColor="text1"/>
          <w:sz w:val="16"/>
          <w:szCs w:val="16"/>
        </w:rPr>
        <w:softHyphen/>
        <w:t>леты 5-й авиагруппы прекратили сбрасывание дипольных отражателей «Виндоу» и, резко снизившись до высоты 1800 метров, вышли из зоны действия немецких РЛС. В это время с другого направления шло соединение из 529 «Ланкастеров».</w:t>
      </w:r>
    </w:p>
    <w:p w14:paraId="7EA1552D" w14:textId="77777777" w:rsidR="00206770" w:rsidRPr="00925F26" w:rsidRDefault="00206770" w:rsidP="00925F26">
      <w:pPr>
        <w:jc w:val="both"/>
        <w:rPr>
          <w:color w:val="000000" w:themeColor="text1"/>
          <w:sz w:val="16"/>
          <w:szCs w:val="16"/>
        </w:rPr>
      </w:pPr>
      <w:r w:rsidRPr="00925F26">
        <w:rPr>
          <w:color w:val="000000" w:themeColor="text1"/>
          <w:sz w:val="16"/>
          <w:szCs w:val="16"/>
        </w:rPr>
        <w:t>Оно готовилось к нанесению второго удара по Дрездену, запланированного на 1 ч. 30 мин.</w:t>
      </w:r>
    </w:p>
    <w:p w14:paraId="0E4D906B" w14:textId="77777777" w:rsidR="00206770" w:rsidRPr="00925F26" w:rsidRDefault="00206770" w:rsidP="00925F26">
      <w:pPr>
        <w:jc w:val="both"/>
        <w:rPr>
          <w:color w:val="000000" w:themeColor="text1"/>
          <w:sz w:val="16"/>
          <w:szCs w:val="16"/>
        </w:rPr>
      </w:pPr>
      <w:r w:rsidRPr="00925F26">
        <w:rPr>
          <w:color w:val="000000" w:themeColor="text1"/>
          <w:sz w:val="16"/>
          <w:szCs w:val="16"/>
        </w:rPr>
        <w:t>Начиная с полуночи, по мере того как самолеты постепенно набирали высоту над занятой союзниками территорией и пересекали линию фронта примерно в 35 км к северу от Люксембурга, экипажи этих бомбардировщиков начали разбра</w:t>
      </w:r>
      <w:r w:rsidRPr="00925F26">
        <w:rPr>
          <w:color w:val="000000" w:themeColor="text1"/>
          <w:sz w:val="16"/>
          <w:szCs w:val="16"/>
        </w:rPr>
        <w:softHyphen/>
        <w:t>сывать в воздухе целые каскады диполь</w:t>
      </w:r>
      <w:r w:rsidRPr="00925F26">
        <w:rPr>
          <w:color w:val="000000" w:themeColor="text1"/>
          <w:sz w:val="16"/>
          <w:szCs w:val="16"/>
        </w:rPr>
        <w:softHyphen/>
        <w:t>ных отражателей.</w:t>
      </w:r>
    </w:p>
    <w:p w14:paraId="50AA1018" w14:textId="77777777" w:rsidR="00206770" w:rsidRPr="00925F26" w:rsidRDefault="00206770" w:rsidP="00925F26">
      <w:pPr>
        <w:jc w:val="both"/>
        <w:rPr>
          <w:color w:val="000000" w:themeColor="text1"/>
          <w:sz w:val="16"/>
          <w:szCs w:val="16"/>
        </w:rPr>
      </w:pPr>
      <w:r w:rsidRPr="00925F26">
        <w:rPr>
          <w:color w:val="000000" w:themeColor="text1"/>
          <w:sz w:val="16"/>
          <w:szCs w:val="16"/>
        </w:rPr>
        <w:t>Во главе потока летели «Ланкастеры», которые имели на борту как фугасные бомбы замедленного действия, так и све</w:t>
      </w:r>
      <w:r w:rsidRPr="00925F26">
        <w:rPr>
          <w:color w:val="000000" w:themeColor="text1"/>
          <w:sz w:val="16"/>
          <w:szCs w:val="16"/>
        </w:rPr>
        <w:softHyphen/>
        <w:t>товые бомбы, снабженные парашютами, предназначенные для освещения местно</w:t>
      </w:r>
      <w:r w:rsidRPr="00925F26">
        <w:rPr>
          <w:color w:val="000000" w:themeColor="text1"/>
          <w:sz w:val="16"/>
          <w:szCs w:val="16"/>
        </w:rPr>
        <w:softHyphen/>
        <w:t>сти. Эти бомбы представляли собой маг</w:t>
      </w:r>
      <w:r w:rsidRPr="00925F26">
        <w:rPr>
          <w:color w:val="000000" w:themeColor="text1"/>
          <w:sz w:val="16"/>
          <w:szCs w:val="16"/>
        </w:rPr>
        <w:softHyphen/>
        <w:t>ниевые фонари с отражателями, которые зажигались на высоте 6000 метров. Отра</w:t>
      </w:r>
      <w:r w:rsidRPr="00925F26">
        <w:rPr>
          <w:color w:val="000000" w:themeColor="text1"/>
          <w:sz w:val="16"/>
          <w:szCs w:val="16"/>
        </w:rPr>
        <w:softHyphen/>
        <w:t>жатели не ослепляли экипажи самолетов.</w:t>
      </w:r>
    </w:p>
    <w:p w14:paraId="27383D8A" w14:textId="77777777" w:rsidR="00206770" w:rsidRPr="00925F26" w:rsidRDefault="00206770" w:rsidP="00925F26">
      <w:pPr>
        <w:jc w:val="both"/>
        <w:rPr>
          <w:color w:val="000000" w:themeColor="text1"/>
          <w:sz w:val="16"/>
          <w:szCs w:val="16"/>
        </w:rPr>
      </w:pPr>
      <w:r w:rsidRPr="00925F26">
        <w:rPr>
          <w:color w:val="000000" w:themeColor="text1"/>
          <w:sz w:val="16"/>
          <w:szCs w:val="16"/>
        </w:rPr>
        <w:t>С интервалом в 3 - 4 минуты в потоке бомбардировщиков шли «Ланкастеры» «визуального центрирования» из состава ко</w:t>
      </w:r>
      <w:r w:rsidRPr="00925F26">
        <w:rPr>
          <w:color w:val="000000" w:themeColor="text1"/>
          <w:sz w:val="16"/>
          <w:szCs w:val="16"/>
        </w:rPr>
        <w:softHyphen/>
        <w:t>мандования уже шли полным ходом. Пять самолетов «Москито» бомбили группы наведения, которые должны были визуально сбрасывать свои светящиеся маркеры в центр отмеченной предыдущими экипажами цели. Были среди них и самолеты, несшие воздуш</w:t>
      </w:r>
      <w:r w:rsidRPr="00925F26">
        <w:rPr>
          <w:color w:val="000000" w:themeColor="text1"/>
          <w:sz w:val="16"/>
          <w:szCs w:val="16"/>
        </w:rPr>
        <w:softHyphen/>
        <w:t>ные парашютные маркеры - на случай, если плотные облака за</w:t>
      </w:r>
      <w:r w:rsidRPr="00925F26">
        <w:rPr>
          <w:color w:val="000000" w:themeColor="text1"/>
          <w:sz w:val="16"/>
          <w:szCs w:val="16"/>
        </w:rPr>
        <w:softHyphen/>
        <w:t>кроют землю и горящие на земле маркеры станут неразличимы. Удар должен был получиться плотным и сосредоточенным.</w:t>
      </w:r>
    </w:p>
    <w:p w14:paraId="339DA249" w14:textId="77777777" w:rsidR="00206770" w:rsidRPr="00925F26" w:rsidRDefault="00206770" w:rsidP="00925F26">
      <w:pPr>
        <w:jc w:val="both"/>
        <w:rPr>
          <w:color w:val="000000" w:themeColor="text1"/>
          <w:sz w:val="16"/>
          <w:szCs w:val="16"/>
        </w:rPr>
      </w:pPr>
      <w:r w:rsidRPr="00925F26">
        <w:rPr>
          <w:color w:val="000000" w:themeColor="text1"/>
          <w:sz w:val="16"/>
          <w:szCs w:val="16"/>
        </w:rPr>
        <w:t>Позади потока бомбардировщиков следовали эскадрильи истребителей-бомбардировщиков «Москито», оборудованных для ведения ночного воздушного боя и штурмовки немецких аэродромов. В растянувшемся на 8 км потоке находились также «Либерейторы» и «Летающие крепости» 100-й авиаг</w:t>
      </w:r>
      <w:r w:rsidRPr="00925F26">
        <w:rPr>
          <w:color w:val="000000" w:themeColor="text1"/>
          <w:sz w:val="16"/>
          <w:szCs w:val="16"/>
        </w:rPr>
        <w:softHyphen/>
        <w:t>руппы электронного противодействия. На борту каждого из этих самолетов было также по несколько тонн полосок метал</w:t>
      </w:r>
      <w:r w:rsidRPr="00925F26">
        <w:rPr>
          <w:color w:val="000000" w:themeColor="text1"/>
          <w:sz w:val="16"/>
          <w:szCs w:val="16"/>
        </w:rPr>
        <w:softHyphen/>
        <w:t>лической фольги «Виндоу».</w:t>
      </w:r>
    </w:p>
    <w:p w14:paraId="4167AB7A" w14:textId="77777777" w:rsidR="00206770" w:rsidRPr="00925F26" w:rsidRDefault="00206770" w:rsidP="00925F26">
      <w:pPr>
        <w:jc w:val="both"/>
        <w:rPr>
          <w:color w:val="000000" w:themeColor="text1"/>
          <w:sz w:val="16"/>
          <w:szCs w:val="16"/>
        </w:rPr>
      </w:pPr>
      <w:r w:rsidRPr="00925F26">
        <w:rPr>
          <w:color w:val="000000" w:themeColor="text1"/>
          <w:sz w:val="16"/>
          <w:szCs w:val="16"/>
        </w:rPr>
        <w:t>Старшие офицеры Бомбардировочного командования прекрасно знали, что готовятся приступить к бомбардировке незащищенного города, переполненного беженцами. Поэтому экипажам бомбардировщиков сообщили заведомо ложные све</w:t>
      </w:r>
      <w:r w:rsidRPr="00925F26">
        <w:rPr>
          <w:color w:val="000000" w:themeColor="text1"/>
          <w:sz w:val="16"/>
          <w:szCs w:val="16"/>
        </w:rPr>
        <w:softHyphen/>
        <w:t>дения об объектах атаки. Так, экипажам 3-й бомбардировочной группы сказали, что их группа будет бомбить штаб немецкой армии в Дрездене.</w:t>
      </w:r>
    </w:p>
    <w:p w14:paraId="412A42CF" w14:textId="77777777" w:rsidR="00206770" w:rsidRPr="00925F26" w:rsidRDefault="00206770" w:rsidP="00925F26">
      <w:pPr>
        <w:jc w:val="both"/>
        <w:rPr>
          <w:color w:val="000000" w:themeColor="text1"/>
          <w:sz w:val="16"/>
          <w:szCs w:val="16"/>
        </w:rPr>
      </w:pPr>
      <w:r w:rsidRPr="00925F26">
        <w:rPr>
          <w:color w:val="000000" w:themeColor="text1"/>
          <w:sz w:val="16"/>
          <w:szCs w:val="16"/>
        </w:rPr>
        <w:t>Участники налета из состава 75-й эскадрильи вспоминают, что им описывали Дрезден как город, объявленный крепостью. В инструктаже говорилось, что надо атаковать Дрезден для того, чтобы разрушить немецкие склады вооружения и базы снабже</w:t>
      </w:r>
      <w:r w:rsidRPr="00925F26">
        <w:rPr>
          <w:color w:val="000000" w:themeColor="text1"/>
          <w:sz w:val="16"/>
          <w:szCs w:val="16"/>
        </w:rPr>
        <w:softHyphen/>
        <w:t>ния. Утерждалось, что город является одним из основных цент</w:t>
      </w:r>
      <w:r w:rsidRPr="00925F26">
        <w:rPr>
          <w:color w:val="000000" w:themeColor="text1"/>
          <w:sz w:val="16"/>
          <w:szCs w:val="16"/>
        </w:rPr>
        <w:softHyphen/>
        <w:t>ров снабжения Восточного фронта.</w:t>
      </w:r>
    </w:p>
    <w:p w14:paraId="0D51D0BA" w14:textId="77777777" w:rsidR="00206770" w:rsidRPr="00925F26" w:rsidRDefault="00206770" w:rsidP="00925F26">
      <w:pPr>
        <w:jc w:val="both"/>
        <w:rPr>
          <w:color w:val="000000" w:themeColor="text1"/>
          <w:sz w:val="16"/>
          <w:szCs w:val="16"/>
        </w:rPr>
      </w:pPr>
      <w:r w:rsidRPr="00925F26">
        <w:rPr>
          <w:color w:val="000000" w:themeColor="text1"/>
          <w:sz w:val="16"/>
          <w:szCs w:val="16"/>
        </w:rPr>
        <w:t>В 1-й бомбардировочной группе упор делался на значение Дрездена как центра железнодорожного сообщения Германии. Экипажам было сказано, что точкой прицеливания будет желез</w:t>
      </w:r>
      <w:r w:rsidRPr="00925F26">
        <w:rPr>
          <w:color w:val="000000" w:themeColor="text1"/>
          <w:sz w:val="16"/>
          <w:szCs w:val="16"/>
        </w:rPr>
        <w:softHyphen/>
        <w:t>нодорожная станция.</w:t>
      </w:r>
    </w:p>
    <w:p w14:paraId="16C114AA" w14:textId="77777777" w:rsidR="00206770" w:rsidRPr="00925F26" w:rsidRDefault="00206770" w:rsidP="00925F26">
      <w:pPr>
        <w:jc w:val="both"/>
        <w:rPr>
          <w:color w:val="000000" w:themeColor="text1"/>
          <w:sz w:val="16"/>
          <w:szCs w:val="16"/>
        </w:rPr>
      </w:pPr>
      <w:r w:rsidRPr="00925F26">
        <w:rPr>
          <w:color w:val="000000" w:themeColor="text1"/>
          <w:sz w:val="16"/>
          <w:szCs w:val="16"/>
        </w:rPr>
        <w:t>В подборке документов, подготовленных штабом 6-й (ка</w:t>
      </w:r>
      <w:r w:rsidRPr="00925F26">
        <w:rPr>
          <w:color w:val="000000" w:themeColor="text1"/>
          <w:sz w:val="16"/>
          <w:szCs w:val="16"/>
        </w:rPr>
        <w:softHyphen/>
        <w:t>надской) бомбардировочной группы, говорилось, что Дрезден является важным промышленным районом, где производятся электромоторы, точные приборы, химикаты и вооружение.</w:t>
      </w:r>
    </w:p>
    <w:p w14:paraId="08426DDE" w14:textId="77777777" w:rsidR="00206770" w:rsidRPr="00925F26" w:rsidRDefault="00206770" w:rsidP="00925F26">
      <w:pPr>
        <w:jc w:val="both"/>
        <w:rPr>
          <w:color w:val="000000" w:themeColor="text1"/>
          <w:sz w:val="16"/>
          <w:szCs w:val="16"/>
        </w:rPr>
      </w:pPr>
      <w:r w:rsidRPr="00925F26">
        <w:rPr>
          <w:color w:val="000000" w:themeColor="text1"/>
          <w:sz w:val="16"/>
          <w:szCs w:val="16"/>
        </w:rPr>
        <w:t>Воображение офицеров на некоторых базах заходило на</w:t>
      </w:r>
      <w:r w:rsidRPr="00925F26">
        <w:rPr>
          <w:color w:val="000000" w:themeColor="text1"/>
          <w:sz w:val="16"/>
          <w:szCs w:val="16"/>
        </w:rPr>
        <w:softHyphen/>
        <w:t>столько далеко, что на одном аэродроме говорилось об атаке на штаб гестапо в центре города, на другом - о заводе, выпускаю</w:t>
      </w:r>
      <w:r w:rsidRPr="00925F26">
        <w:rPr>
          <w:color w:val="000000" w:themeColor="text1"/>
          <w:sz w:val="16"/>
          <w:szCs w:val="16"/>
        </w:rPr>
        <w:softHyphen/>
        <w:t>щем боеприпасы, а на третьем - о крупной фабрике по произ</w:t>
      </w:r>
      <w:r w:rsidRPr="00925F26">
        <w:rPr>
          <w:color w:val="000000" w:themeColor="text1"/>
          <w:sz w:val="16"/>
          <w:szCs w:val="16"/>
        </w:rPr>
        <w:softHyphen/>
        <w:t>водству отравляющих веществ.</w:t>
      </w:r>
    </w:p>
    <w:p w14:paraId="777D8249" w14:textId="77777777" w:rsidR="00206770" w:rsidRPr="00925F26" w:rsidRDefault="00206770" w:rsidP="00925F26">
      <w:pPr>
        <w:jc w:val="both"/>
        <w:rPr>
          <w:color w:val="000000" w:themeColor="text1"/>
          <w:sz w:val="16"/>
          <w:szCs w:val="16"/>
        </w:rPr>
      </w:pPr>
      <w:r w:rsidRPr="00925F26">
        <w:rPr>
          <w:color w:val="000000" w:themeColor="text1"/>
          <w:sz w:val="16"/>
          <w:szCs w:val="16"/>
        </w:rPr>
        <w:t>Поскольку Дрезден был фактически нетронутой целью, Бом</w:t>
      </w:r>
      <w:r w:rsidRPr="00925F26">
        <w:rPr>
          <w:color w:val="000000" w:themeColor="text1"/>
          <w:sz w:val="16"/>
          <w:szCs w:val="16"/>
        </w:rPr>
        <w:softHyphen/>
        <w:t>бардировочное командование решило его подвергнуть «гам</w:t>
      </w:r>
      <w:r w:rsidRPr="00925F26">
        <w:rPr>
          <w:color w:val="000000" w:themeColor="text1"/>
          <w:sz w:val="16"/>
          <w:szCs w:val="16"/>
        </w:rPr>
        <w:softHyphen/>
        <w:t>бургской» обработке по полной программе: сначала надо было фугасными бомбами сорвать крыши и выбить окна. Затем на город должны были посыпаться зажигательные бомбы, которые подожгут дома и взовьют вихри раскаленных искр. Через разби</w:t>
      </w:r>
      <w:r w:rsidRPr="00925F26">
        <w:rPr>
          <w:color w:val="000000" w:themeColor="text1"/>
          <w:sz w:val="16"/>
          <w:szCs w:val="16"/>
        </w:rPr>
        <w:softHyphen/>
        <w:t>тые крыши и окна бушующее пламя охватит стропила, мебель, полы, ковры, занавески.</w:t>
      </w:r>
    </w:p>
    <w:p w14:paraId="24FC23E8" w14:textId="77777777" w:rsidR="00206770" w:rsidRPr="00925F26" w:rsidRDefault="00206770" w:rsidP="00925F26">
      <w:pPr>
        <w:jc w:val="both"/>
        <w:rPr>
          <w:color w:val="000000" w:themeColor="text1"/>
          <w:sz w:val="16"/>
          <w:szCs w:val="16"/>
        </w:rPr>
      </w:pPr>
      <w:r w:rsidRPr="00925F26">
        <w:rPr>
          <w:color w:val="000000" w:themeColor="text1"/>
          <w:sz w:val="16"/>
          <w:szCs w:val="16"/>
        </w:rPr>
        <w:t>Во второй атаке помимо зажигательных, опять-таки были нужны фугасные бомбы: чтобы расширять зону возгорания и не дать возможности работать пожарным. Например, в 3-й авиаг</w:t>
      </w:r>
      <w:r w:rsidRPr="00925F26">
        <w:rPr>
          <w:color w:val="000000" w:themeColor="text1"/>
          <w:sz w:val="16"/>
          <w:szCs w:val="16"/>
        </w:rPr>
        <w:softHyphen/>
        <w:t>руппе применялось два типа бомбовой загрузки, бомбардиров</w:t>
      </w:r>
      <w:r w:rsidRPr="00925F26">
        <w:rPr>
          <w:color w:val="000000" w:themeColor="text1"/>
          <w:sz w:val="16"/>
          <w:szCs w:val="16"/>
        </w:rPr>
        <w:softHyphen/>
        <w:t>щики одной волны несли по одному 1800-кг «блокбастеру» и по пять упаковок 16-кг зажигательных бомб. У самолетов второй волны было по одной фугасной 225-килограммовой бомбе и такие же упаковки «зажигалок». В 1-й бомбардировочной группе загрузка несколько отличалась. Термитные бомбы шестиуголь</w:t>
      </w:r>
      <w:r w:rsidRPr="00925F26">
        <w:rPr>
          <w:color w:val="000000" w:themeColor="text1"/>
          <w:sz w:val="16"/>
          <w:szCs w:val="16"/>
        </w:rPr>
        <w:softHyphen/>
        <w:t>ной формы длиной весом 1,8 кг укладывались в небольшие ме</w:t>
      </w:r>
      <w:r w:rsidRPr="00925F26">
        <w:rPr>
          <w:color w:val="000000" w:themeColor="text1"/>
          <w:sz w:val="16"/>
          <w:szCs w:val="16"/>
        </w:rPr>
        <w:softHyphen/>
        <w:t>таллические контейнеры, которые сбрасывались над объектом и раскрывались в воздухе. Сами бомбы не имели стабилизаторов, что не позволяло вести прицельное бомбометание. Впрочем, при налете на такую цель, как Дрезден, где надо было добиться как можно большей площади возгорания, рассеивание термитных бомб не имело значения. Каждый самолет 1-й авиагруппы нес по 17 таких контейнеров и по одной фугасной бомбе весом 900 кг. В другом варианте это был один «блокбастер» и двенад</w:t>
      </w:r>
      <w:r w:rsidRPr="00925F26">
        <w:rPr>
          <w:color w:val="000000" w:themeColor="text1"/>
          <w:sz w:val="16"/>
          <w:szCs w:val="16"/>
        </w:rPr>
        <w:softHyphen/>
        <w:t>цать контейнеров с зажигательными бомбами. В общей слож</w:t>
      </w:r>
      <w:r w:rsidRPr="00925F26">
        <w:rPr>
          <w:color w:val="000000" w:themeColor="text1"/>
          <w:sz w:val="16"/>
          <w:szCs w:val="16"/>
        </w:rPr>
        <w:softHyphen/>
        <w:t>ности «Ланкастеры», атаковавшие Дрезден, несли 650 тысяч зажигательных бомб.</w:t>
      </w:r>
    </w:p>
    <w:p w14:paraId="77FA38A5" w14:textId="77777777" w:rsidR="00206770" w:rsidRPr="00925F26" w:rsidRDefault="00206770" w:rsidP="00925F26">
      <w:pPr>
        <w:jc w:val="both"/>
        <w:rPr>
          <w:color w:val="000000" w:themeColor="text1"/>
          <w:sz w:val="16"/>
          <w:szCs w:val="16"/>
        </w:rPr>
      </w:pPr>
      <w:r w:rsidRPr="00925F26">
        <w:rPr>
          <w:color w:val="000000" w:themeColor="text1"/>
          <w:sz w:val="16"/>
          <w:szCs w:val="16"/>
        </w:rPr>
        <w:lastRenderedPageBreak/>
        <w:t>Во втором соединении насчитывалось 550 «Ланкастеров» из 1-й, 3-й, 6-й и 8-й авиагрупп. Для прикрытия подхода вто</w:t>
      </w:r>
      <w:r w:rsidRPr="00925F26">
        <w:rPr>
          <w:color w:val="000000" w:themeColor="text1"/>
          <w:sz w:val="16"/>
          <w:szCs w:val="16"/>
        </w:rPr>
        <w:softHyphen/>
        <w:t>рой бомбардировочной армады к Дрездену самолеты 100-й авиагруппы сбрасывали дипольные отражатели «Виндоу», которые изображали на экранах немецких РЛС соединение бомбардировщиков, следующих по направлению к району Кёльн-Кобленц.</w:t>
      </w:r>
    </w:p>
    <w:p w14:paraId="555C0914" w14:textId="77777777" w:rsidR="00206770" w:rsidRPr="00925F26" w:rsidRDefault="00206770" w:rsidP="00925F26">
      <w:pPr>
        <w:jc w:val="both"/>
        <w:rPr>
          <w:color w:val="000000" w:themeColor="text1"/>
          <w:sz w:val="16"/>
          <w:szCs w:val="16"/>
        </w:rPr>
      </w:pPr>
      <w:r w:rsidRPr="00925F26">
        <w:rPr>
          <w:color w:val="000000" w:themeColor="text1"/>
          <w:sz w:val="16"/>
          <w:szCs w:val="16"/>
        </w:rPr>
        <w:t>Для этой операции были запланированы отвлекающие на</w:t>
      </w:r>
      <w:r w:rsidRPr="00925F26">
        <w:rPr>
          <w:color w:val="000000" w:themeColor="text1"/>
          <w:sz w:val="16"/>
          <w:szCs w:val="16"/>
        </w:rPr>
        <w:softHyphen/>
        <w:t>леты на Бонн, Нюрнберг и Магдебург.</w:t>
      </w:r>
    </w:p>
    <w:p w14:paraId="46D516E9" w14:textId="77777777" w:rsidR="00206770" w:rsidRPr="00925F26" w:rsidRDefault="00206770" w:rsidP="00925F26">
      <w:pPr>
        <w:jc w:val="both"/>
        <w:rPr>
          <w:color w:val="000000" w:themeColor="text1"/>
          <w:sz w:val="16"/>
          <w:szCs w:val="16"/>
        </w:rPr>
      </w:pPr>
      <w:r w:rsidRPr="00925F26">
        <w:rPr>
          <w:color w:val="000000" w:themeColor="text1"/>
          <w:sz w:val="16"/>
          <w:szCs w:val="16"/>
        </w:rPr>
        <w:t>Начало нанесения удара основным соединением было запла</w:t>
      </w:r>
      <w:r w:rsidRPr="00925F26">
        <w:rPr>
          <w:color w:val="000000" w:themeColor="text1"/>
          <w:sz w:val="16"/>
          <w:szCs w:val="16"/>
        </w:rPr>
        <w:softHyphen/>
        <w:t>нировано на 1 ч. 30 мин 14 февраля. Из 550 взлетевших со своих аэродромов «Ланкастеров» 515 дошли до Дрездена и атаковали город в период с 1 ч. 23 мин. до 1 ч. 52 мин.</w:t>
      </w:r>
    </w:p>
    <w:p w14:paraId="77DCCFE5" w14:textId="77777777" w:rsidR="00206770" w:rsidRPr="00925F26" w:rsidRDefault="00206770" w:rsidP="00925F26">
      <w:pPr>
        <w:jc w:val="both"/>
        <w:rPr>
          <w:color w:val="000000" w:themeColor="text1"/>
          <w:sz w:val="16"/>
          <w:szCs w:val="16"/>
        </w:rPr>
      </w:pPr>
      <w:r w:rsidRPr="00925F26">
        <w:rPr>
          <w:color w:val="000000" w:themeColor="text1"/>
          <w:sz w:val="16"/>
          <w:szCs w:val="16"/>
        </w:rPr>
        <w:t>К отражению второго налета на Дрезден были готовы 18 ночных истребителей Ме-110. Но они так и не поднялись в воз</w:t>
      </w:r>
      <w:r w:rsidRPr="00925F26">
        <w:rPr>
          <w:color w:val="000000" w:themeColor="text1"/>
          <w:sz w:val="16"/>
          <w:szCs w:val="16"/>
        </w:rPr>
        <w:softHyphen/>
        <w:t>дух из-за того, что на их аэродром должны были приземлиться несколько транспортных самолетов из осажденного Красной Армией Бреслау.</w:t>
      </w:r>
    </w:p>
    <w:p w14:paraId="6D206991" w14:textId="77777777" w:rsidR="00206770" w:rsidRPr="00925F26" w:rsidRDefault="00206770" w:rsidP="00925F26">
      <w:pPr>
        <w:jc w:val="both"/>
        <w:rPr>
          <w:color w:val="000000" w:themeColor="text1"/>
          <w:sz w:val="16"/>
          <w:szCs w:val="16"/>
        </w:rPr>
      </w:pPr>
    </w:p>
    <w:p w14:paraId="0F7ED6BD" w14:textId="77777777" w:rsidR="00206770" w:rsidRPr="00925F26" w:rsidRDefault="00206770" w:rsidP="00925F26">
      <w:pPr>
        <w:jc w:val="both"/>
        <w:rPr>
          <w:color w:val="000000" w:themeColor="text1"/>
          <w:sz w:val="16"/>
          <w:szCs w:val="16"/>
        </w:rPr>
      </w:pPr>
      <w:r w:rsidRPr="00925F26">
        <w:rPr>
          <w:color w:val="000000" w:themeColor="text1"/>
          <w:sz w:val="16"/>
          <w:szCs w:val="16"/>
        </w:rPr>
        <w:t>Вышеупомянутый Ирвинг отмечал: «Огонь зенитной артилле</w:t>
      </w:r>
      <w:r w:rsidRPr="00925F26">
        <w:rPr>
          <w:color w:val="000000" w:themeColor="text1"/>
          <w:sz w:val="16"/>
          <w:szCs w:val="16"/>
        </w:rPr>
        <w:softHyphen/>
        <w:t>рии отсутствовал полностью. Некоторые экипажи «Ланкастеров» почти стыдились этого. Многие самолеты по нескольку раз обле</w:t>
      </w:r>
      <w:r w:rsidRPr="00925F26">
        <w:rPr>
          <w:color w:val="000000" w:themeColor="text1"/>
          <w:sz w:val="16"/>
          <w:szCs w:val="16"/>
        </w:rPr>
        <w:softHyphen/>
        <w:t>тали горящий город, так как ничто не могло им помешать. Один «Ланкастер», оснащенный кинокамерой, в течение 10 минут круился над целью, снимая все происходящее внизу для Главного штаба Королевских ВВС. Кинопленка длиной 120 метров сейчас хранится в архиве Имперского Военного музея в Лондоне и яв</w:t>
      </w:r>
      <w:r w:rsidRPr="00925F26">
        <w:rPr>
          <w:color w:val="000000" w:themeColor="text1"/>
          <w:sz w:val="16"/>
          <w:szCs w:val="16"/>
        </w:rPr>
        <w:softHyphen/>
        <w:t>ляется одним из самых поразительных по своей беспощадности документов истории Второй мировой войны. Этот фильм пред</w:t>
      </w:r>
      <w:r w:rsidRPr="00925F26">
        <w:rPr>
          <w:color w:val="000000" w:themeColor="text1"/>
          <w:sz w:val="16"/>
          <w:szCs w:val="16"/>
        </w:rPr>
        <w:softHyphen/>
        <w:t>ставляет собой убедительное доказательство того, что Дрезден был незащищенным городом: ни одного прожектора, ни одного разрыва снаряда зенитной артиллерии нет на этих кадрах».</w:t>
      </w:r>
    </w:p>
    <w:p w14:paraId="1000DC44" w14:textId="77777777" w:rsidR="00206770" w:rsidRPr="00925F26" w:rsidRDefault="00206770" w:rsidP="00925F26">
      <w:pPr>
        <w:jc w:val="both"/>
        <w:rPr>
          <w:color w:val="000000" w:themeColor="text1"/>
          <w:sz w:val="16"/>
          <w:szCs w:val="16"/>
        </w:rPr>
      </w:pPr>
      <w:r w:rsidRPr="00925F26">
        <w:rPr>
          <w:color w:val="000000" w:themeColor="text1"/>
          <w:sz w:val="16"/>
          <w:szCs w:val="16"/>
        </w:rPr>
        <w:t>«Когда в конце налета мы прибыли в район цели, было видно, что город обречен», - вспоминал пилот «Ланкастера» из 3-й авиагруппы, который был поврежден зенитным огнем над Хемницем и задержался. Он должен был подойти к Дрездену за пять минут до окончания атаки, но опаздал на десять минут. Наверное, это был последний появившийся над целью самолет. «По моему мнению, море огня покрывало площадь размером примерно 40 квадратных миль (104 кв. км). От этой печи внизу поднимался жар, который ощущался даже в кабине моего са</w:t>
      </w:r>
      <w:r w:rsidRPr="00925F26">
        <w:rPr>
          <w:color w:val="000000" w:themeColor="text1"/>
          <w:sz w:val="16"/>
          <w:szCs w:val="16"/>
        </w:rPr>
        <w:softHyphen/>
        <w:t>молета. Небо переливалось оттенками ярко-красного и белого цветов, а свет внутри самолета был светом мрачного осеннего заката. Мы были настолько поражены ужасом при виде этого чудовищного пламени, что еще долго в одиночестве летали над городом. Совершенно подавленные, представляя себе то, что творилось внизу, мы повернули на обратный курс. Ослепительно яркий свет этого холокоста был виден за тридцать миль».</w:t>
      </w:r>
    </w:p>
    <w:p w14:paraId="0C0EDABF" w14:textId="77777777" w:rsidR="00206770" w:rsidRPr="00925F26" w:rsidRDefault="00206770" w:rsidP="00925F26">
      <w:pPr>
        <w:jc w:val="both"/>
        <w:rPr>
          <w:color w:val="000000" w:themeColor="text1"/>
          <w:sz w:val="16"/>
          <w:szCs w:val="16"/>
        </w:rPr>
      </w:pPr>
      <w:r w:rsidRPr="00925F26">
        <w:rPr>
          <w:color w:val="000000" w:themeColor="text1"/>
          <w:sz w:val="16"/>
          <w:szCs w:val="16"/>
        </w:rPr>
        <w:t>В общей сложности оба соединения сбросили на Дрезден почти 1480 тонн фугасных бомб, включая 529 «блокбастеров» по 1800 кг и один «блокбастер» весом 3600 кг, а также 1180 тонн зажигательных бомб. В отвлекающих налетах 109 «Москито» атаковали Магдебург, Бонн, Дортмунд, Мисбург и Нюрнберг.</w:t>
      </w:r>
    </w:p>
    <w:p w14:paraId="30EA9426" w14:textId="77777777" w:rsidR="00206770" w:rsidRPr="00925F26" w:rsidRDefault="00206770" w:rsidP="00925F26">
      <w:pPr>
        <w:jc w:val="both"/>
        <w:rPr>
          <w:color w:val="000000" w:themeColor="text1"/>
          <w:sz w:val="16"/>
          <w:szCs w:val="16"/>
        </w:rPr>
      </w:pPr>
      <w:r w:rsidRPr="00925F26">
        <w:rPr>
          <w:color w:val="000000" w:themeColor="text1"/>
          <w:sz w:val="16"/>
          <w:szCs w:val="16"/>
        </w:rPr>
        <w:t>Потери самолетов были на удивление низкими. Аналитики Бомбардировочного командования объясняли это облачностью, успешными мерами радиоэлектронного противодействия и отвлекающими налетами на другие цели. Ночные истребители «Москито» заявили о двух сбитых ими Ме-110. После разбора операции аналитики пришли к заключению, что силы ПВО противника бездействовали. Только 9 из 1164 вернувшихся са</w:t>
      </w:r>
      <w:r w:rsidRPr="00925F26">
        <w:rPr>
          <w:color w:val="000000" w:themeColor="text1"/>
          <w:sz w:val="16"/>
          <w:szCs w:val="16"/>
        </w:rPr>
        <w:softHyphen/>
        <w:t>молетов доложили о том, что были атакованы истребителями, а зенитный огонь в самом Дрездене характеризовался экипа</w:t>
      </w:r>
      <w:r w:rsidRPr="00925F26">
        <w:rPr>
          <w:color w:val="000000" w:themeColor="text1"/>
          <w:sz w:val="16"/>
          <w:szCs w:val="16"/>
        </w:rPr>
        <w:softHyphen/>
        <w:t>жами как «незначительный».</w:t>
      </w:r>
    </w:p>
    <w:p w14:paraId="32424993" w14:textId="77777777" w:rsidR="00206770" w:rsidRPr="00925F26" w:rsidRDefault="00206770" w:rsidP="00925F26">
      <w:pPr>
        <w:jc w:val="both"/>
        <w:rPr>
          <w:color w:val="000000" w:themeColor="text1"/>
          <w:sz w:val="16"/>
          <w:szCs w:val="16"/>
        </w:rPr>
      </w:pPr>
      <w:r w:rsidRPr="00925F26">
        <w:rPr>
          <w:color w:val="000000" w:themeColor="text1"/>
          <w:sz w:val="16"/>
          <w:szCs w:val="16"/>
        </w:rPr>
        <w:t>Сначала было объявлено, что из 1400 самолетов Бомбарди</w:t>
      </w:r>
      <w:r w:rsidRPr="00925F26">
        <w:rPr>
          <w:color w:val="000000" w:themeColor="text1"/>
          <w:sz w:val="16"/>
          <w:szCs w:val="16"/>
        </w:rPr>
        <w:softHyphen/>
        <w:t>ровочного командования, задействованных в проводившихся этой ночью операциях (вместе с постановщиками помех), было потеряно только 16 машин.</w:t>
      </w:r>
    </w:p>
    <w:p w14:paraId="340D6917" w14:textId="77777777" w:rsidR="00206770" w:rsidRPr="00925F26" w:rsidRDefault="00206770" w:rsidP="00925F26">
      <w:pPr>
        <w:jc w:val="both"/>
        <w:rPr>
          <w:color w:val="000000" w:themeColor="text1"/>
          <w:sz w:val="16"/>
          <w:szCs w:val="16"/>
        </w:rPr>
      </w:pPr>
      <w:r w:rsidRPr="00925F26">
        <w:rPr>
          <w:color w:val="000000" w:themeColor="text1"/>
          <w:sz w:val="16"/>
          <w:szCs w:val="16"/>
        </w:rPr>
        <w:t>К утру следующего дня данные были уточнены. Десять само</w:t>
      </w:r>
      <w:r w:rsidRPr="00925F26">
        <w:rPr>
          <w:color w:val="000000" w:themeColor="text1"/>
          <w:sz w:val="16"/>
          <w:szCs w:val="16"/>
        </w:rPr>
        <w:softHyphen/>
        <w:t>летов совершили посадку в континентальной части Европы. Было безвозвратно потеряно шесть «Ланкастеров». Один - над Боле- ном, второй - во время первой атаки на Дрезден, когда он был поражен падавшими сверху бомбами. Еще четыре бомбардиров</w:t>
      </w:r>
      <w:r w:rsidRPr="00925F26">
        <w:rPr>
          <w:color w:val="000000" w:themeColor="text1"/>
          <w:sz w:val="16"/>
          <w:szCs w:val="16"/>
        </w:rPr>
        <w:softHyphen/>
        <w:t>щика были потеряны во время второго налета: один сбит немец</w:t>
      </w:r>
      <w:r w:rsidRPr="00925F26">
        <w:rPr>
          <w:color w:val="000000" w:themeColor="text1"/>
          <w:sz w:val="16"/>
          <w:szCs w:val="16"/>
        </w:rPr>
        <w:softHyphen/>
        <w:t>ким ночным истребителем восточнее Штутгарта, второй упал на землю после столкновения в воздухе юго-восточнее Франкфурта, третий разбился на обратном пути над устьем Соммы и четвертый упал на Дрезден по неизвестным причинам. Обломки двух само</w:t>
      </w:r>
      <w:r w:rsidRPr="00925F26">
        <w:rPr>
          <w:color w:val="000000" w:themeColor="text1"/>
          <w:sz w:val="16"/>
          <w:szCs w:val="16"/>
        </w:rPr>
        <w:softHyphen/>
        <w:t>летов, потерянных непосредственно над Дрезденом, вместе с по</w:t>
      </w:r>
      <w:r w:rsidRPr="00925F26">
        <w:rPr>
          <w:color w:val="000000" w:themeColor="text1"/>
          <w:sz w:val="16"/>
          <w:szCs w:val="16"/>
        </w:rPr>
        <w:softHyphen/>
        <w:t>гибшими членами экипажей были обнаружены на улицах города.</w:t>
      </w:r>
    </w:p>
    <w:p w14:paraId="01856549" w14:textId="77777777" w:rsidR="00206770" w:rsidRPr="00925F26" w:rsidRDefault="00206770" w:rsidP="00925F26">
      <w:pPr>
        <w:jc w:val="both"/>
        <w:rPr>
          <w:color w:val="000000" w:themeColor="text1"/>
          <w:sz w:val="16"/>
          <w:szCs w:val="16"/>
        </w:rPr>
      </w:pPr>
      <w:r w:rsidRPr="00925F26">
        <w:rPr>
          <w:color w:val="000000" w:themeColor="text1"/>
          <w:sz w:val="16"/>
          <w:szCs w:val="16"/>
        </w:rPr>
        <w:t>Третий (дневной) удар по Дрездену соединением из при</w:t>
      </w:r>
      <w:r w:rsidRPr="00925F26">
        <w:rPr>
          <w:color w:val="000000" w:themeColor="text1"/>
          <w:sz w:val="16"/>
          <w:szCs w:val="16"/>
        </w:rPr>
        <w:softHyphen/>
        <w:t>мерно 450 «Летающих крепостей» наносила уже Первая авиаци</w:t>
      </w:r>
      <w:r w:rsidRPr="00925F26">
        <w:rPr>
          <w:color w:val="000000" w:themeColor="text1"/>
          <w:sz w:val="16"/>
          <w:szCs w:val="16"/>
        </w:rPr>
        <w:softHyphen/>
        <w:t>онная дивизия ВВС США.</w:t>
      </w:r>
    </w:p>
    <w:p w14:paraId="758B5165" w14:textId="77777777" w:rsidR="00206770" w:rsidRPr="00925F26" w:rsidRDefault="00206770" w:rsidP="00925F26">
      <w:pPr>
        <w:jc w:val="both"/>
        <w:rPr>
          <w:color w:val="000000" w:themeColor="text1"/>
          <w:sz w:val="16"/>
          <w:szCs w:val="16"/>
        </w:rPr>
      </w:pPr>
      <w:r w:rsidRPr="00925F26">
        <w:rPr>
          <w:color w:val="000000" w:themeColor="text1"/>
          <w:sz w:val="16"/>
          <w:szCs w:val="16"/>
        </w:rPr>
        <w:t>У командования ВВС США в Европе был договор с советской стороной о том, что американцы будут за 24 часа извещать рус</w:t>
      </w:r>
      <w:r w:rsidRPr="00925F26">
        <w:rPr>
          <w:color w:val="000000" w:themeColor="text1"/>
          <w:sz w:val="16"/>
          <w:szCs w:val="16"/>
        </w:rPr>
        <w:softHyphen/>
        <w:t>ских о бомбардировке городов в Центральной Германии.</w:t>
      </w:r>
    </w:p>
    <w:p w14:paraId="7CBE9284" w14:textId="77777777" w:rsidR="00206770" w:rsidRPr="00925F26" w:rsidRDefault="00206770" w:rsidP="00925F26">
      <w:pPr>
        <w:jc w:val="both"/>
        <w:rPr>
          <w:color w:val="000000" w:themeColor="text1"/>
          <w:sz w:val="16"/>
          <w:szCs w:val="16"/>
        </w:rPr>
      </w:pPr>
      <w:r w:rsidRPr="00925F26">
        <w:rPr>
          <w:color w:val="000000" w:themeColor="text1"/>
          <w:sz w:val="16"/>
          <w:szCs w:val="16"/>
        </w:rPr>
        <w:t>12 февраля 1945 г. генерал Спаатс известил американскую военную миссию в Москве о том, что, если позволят погодные условия, он намерен 13 февраля отправить от 1200 до 1400 тяжелых бомбардировщиков 8-й воздушной армии для атаки сортировочной станции Дрездена. В тот же день начальник авиационного отдела американской миссии в Москве генерал- майор Эдмонт Хилл в точности передал эту информацию в советский Генштаб.</w:t>
      </w:r>
    </w:p>
    <w:p w14:paraId="3607BCE0" w14:textId="77777777" w:rsidR="00206770" w:rsidRPr="00925F26" w:rsidRDefault="00206770" w:rsidP="00925F26">
      <w:pPr>
        <w:jc w:val="both"/>
        <w:rPr>
          <w:color w:val="000000" w:themeColor="text1"/>
          <w:sz w:val="16"/>
          <w:szCs w:val="16"/>
        </w:rPr>
      </w:pPr>
      <w:r w:rsidRPr="00925F26">
        <w:rPr>
          <w:color w:val="000000" w:themeColor="text1"/>
          <w:sz w:val="16"/>
          <w:szCs w:val="16"/>
        </w:rPr>
        <w:t>Советский официальный представитель сообщил Девиду Ирвингу следующее: «Как явствует из этой информации, со</w:t>
      </w:r>
      <w:r w:rsidRPr="00925F26">
        <w:rPr>
          <w:color w:val="000000" w:themeColor="text1"/>
          <w:sz w:val="16"/>
          <w:szCs w:val="16"/>
        </w:rPr>
        <w:softHyphen/>
        <w:t>юзники известили советское командование только о своем намерении бомбить сортировочные станции в Дрездене. О массированных налетах на сам город советскому Генераль</w:t>
      </w:r>
      <w:r w:rsidRPr="00925F26">
        <w:rPr>
          <w:color w:val="000000" w:themeColor="text1"/>
          <w:sz w:val="16"/>
          <w:szCs w:val="16"/>
        </w:rPr>
        <w:softHyphen/>
        <w:t>ному штабу ничего не сообщалось».</w:t>
      </w:r>
    </w:p>
    <w:p w14:paraId="61E5BF01" w14:textId="77777777" w:rsidR="00206770" w:rsidRPr="00925F26" w:rsidRDefault="00206770" w:rsidP="00925F26">
      <w:pPr>
        <w:jc w:val="both"/>
        <w:rPr>
          <w:color w:val="000000" w:themeColor="text1"/>
          <w:sz w:val="16"/>
          <w:szCs w:val="16"/>
        </w:rPr>
      </w:pPr>
      <w:r w:rsidRPr="00925F26">
        <w:rPr>
          <w:color w:val="000000" w:themeColor="text1"/>
          <w:sz w:val="16"/>
          <w:szCs w:val="16"/>
        </w:rPr>
        <w:t>Ирвинг писал: «Еще до того как возвращавшиеся от Дрез</w:t>
      </w:r>
      <w:r w:rsidRPr="00925F26">
        <w:rPr>
          <w:color w:val="000000" w:themeColor="text1"/>
          <w:sz w:val="16"/>
          <w:szCs w:val="16"/>
        </w:rPr>
        <w:softHyphen/>
        <w:t>дена «Ланкастеры» Бомбардировочного командования пере</w:t>
      </w:r>
      <w:r w:rsidRPr="00925F26">
        <w:rPr>
          <w:color w:val="000000" w:themeColor="text1"/>
          <w:sz w:val="16"/>
          <w:szCs w:val="16"/>
        </w:rPr>
        <w:softHyphen/>
        <w:t>секли побережье Англии, экипажи более чем 1350 бомбар</w:t>
      </w:r>
      <w:r w:rsidRPr="00925F26">
        <w:rPr>
          <w:color w:val="000000" w:themeColor="text1"/>
          <w:sz w:val="16"/>
          <w:szCs w:val="16"/>
        </w:rPr>
        <w:softHyphen/>
        <w:t>дировщиков В-17 «Летающая крепость» и В-24 «Либерейтор» и всех пятнадцати американских истребительных авиагрупп уже сидели за полагавшимся им «завтраком палача», который включал в себя кофе и приготовленный из яичного порошка омлет. Инструктаж начался утром 14 февраля в 4.40, задолго до того, как над Англией занялся рассвет.</w:t>
      </w:r>
    </w:p>
    <w:p w14:paraId="45DD7D34" w14:textId="77777777" w:rsidR="00206770" w:rsidRPr="00925F26" w:rsidRDefault="00206770" w:rsidP="00925F26">
      <w:pPr>
        <w:jc w:val="both"/>
        <w:rPr>
          <w:color w:val="000000" w:themeColor="text1"/>
          <w:sz w:val="16"/>
          <w:szCs w:val="16"/>
        </w:rPr>
      </w:pPr>
      <w:r w:rsidRPr="00925F26">
        <w:rPr>
          <w:color w:val="000000" w:themeColor="text1"/>
          <w:sz w:val="16"/>
          <w:szCs w:val="16"/>
        </w:rPr>
        <w:t>Руководителей штурманской службы волновала проблема, как избежать навигационных ошибок и не оказаться над территорией, заня</w:t>
      </w:r>
      <w:r w:rsidRPr="00925F26">
        <w:rPr>
          <w:color w:val="000000" w:themeColor="text1"/>
          <w:sz w:val="16"/>
          <w:szCs w:val="16"/>
        </w:rPr>
        <w:softHyphen/>
        <w:t xml:space="preserve">той Красной Армией. Для проведения Дрезденской операции они решили, что после </w:t>
      </w:r>
      <w:proofErr w:type="gramStart"/>
      <w:r w:rsidRPr="00925F26">
        <w:rPr>
          <w:color w:val="000000" w:themeColor="text1"/>
          <w:sz w:val="16"/>
          <w:szCs w:val="16"/>
        </w:rPr>
        <w:t>того</w:t>
      </w:r>
      <w:proofErr w:type="gramEnd"/>
      <w:r w:rsidRPr="00925F26">
        <w:rPr>
          <w:color w:val="000000" w:themeColor="text1"/>
          <w:sz w:val="16"/>
          <w:szCs w:val="16"/>
        </w:rPr>
        <w:t xml:space="preserve"> как бомбардировщики войдут в воздушное пространство на го</w:t>
      </w:r>
      <w:r w:rsidRPr="00925F26">
        <w:rPr>
          <w:color w:val="000000" w:themeColor="text1"/>
          <w:sz w:val="16"/>
          <w:szCs w:val="16"/>
        </w:rPr>
        <w:softHyphen/>
        <w:t>родом Эгмонт на побережье Голландии и встретятся с истребителями сопрово</w:t>
      </w:r>
      <w:r w:rsidRPr="00925F26">
        <w:rPr>
          <w:color w:val="000000" w:themeColor="text1"/>
          <w:sz w:val="16"/>
          <w:szCs w:val="16"/>
        </w:rPr>
        <w:softHyphen/>
        <w:t>ждения Р-51, они направятся к контр</w:t>
      </w:r>
      <w:r w:rsidRPr="00925F26">
        <w:rPr>
          <w:color w:val="000000" w:themeColor="text1"/>
          <w:sz w:val="16"/>
          <w:szCs w:val="16"/>
        </w:rPr>
        <w:softHyphen/>
        <w:t>ольной точке над Эльбой. В сомкнутых боевых порядках группами по 50 - 40 самолетов соединение бомбардиров</w:t>
      </w:r>
      <w:r w:rsidRPr="00925F26">
        <w:rPr>
          <w:color w:val="000000" w:themeColor="text1"/>
          <w:sz w:val="16"/>
          <w:szCs w:val="16"/>
        </w:rPr>
        <w:softHyphen/>
        <w:t>щиков в сопровождении истребителей должно было идти к цели юго-западнее бремена.</w:t>
      </w:r>
    </w:p>
    <w:p w14:paraId="5D1906AF" w14:textId="77777777" w:rsidR="00206770" w:rsidRPr="00925F26" w:rsidRDefault="00206770" w:rsidP="00925F26">
      <w:pPr>
        <w:jc w:val="both"/>
        <w:rPr>
          <w:color w:val="000000" w:themeColor="text1"/>
          <w:sz w:val="16"/>
          <w:szCs w:val="16"/>
        </w:rPr>
      </w:pPr>
      <w:r w:rsidRPr="00925F26">
        <w:rPr>
          <w:color w:val="000000" w:themeColor="text1"/>
          <w:sz w:val="16"/>
          <w:szCs w:val="16"/>
        </w:rPr>
        <w:t>Ведущие штурманы соединения получили указание следовать курсом к контрольной точке над Торгау (в 80 ки</w:t>
      </w:r>
      <w:r w:rsidRPr="00925F26">
        <w:rPr>
          <w:color w:val="000000" w:themeColor="text1"/>
          <w:sz w:val="16"/>
          <w:szCs w:val="16"/>
        </w:rPr>
        <w:softHyphen/>
        <w:t>лометрах севернее Дрездена на реке Эльба). Оттуда им надо было просто идти на юг до первого большого города, через который, из</w:t>
      </w:r>
      <w:r w:rsidRPr="00925F26">
        <w:rPr>
          <w:color w:val="000000" w:themeColor="text1"/>
          <w:sz w:val="16"/>
          <w:szCs w:val="16"/>
        </w:rPr>
        <w:softHyphen/>
        <w:t>виваясь, протекает Эльба. Это и будет Дрезден. Конкретной целью атаки должна была стать железнодорожная станция в районе Нойштадт».</w:t>
      </w:r>
    </w:p>
    <w:p w14:paraId="24225CC4" w14:textId="77777777" w:rsidR="00206770" w:rsidRPr="00925F26" w:rsidRDefault="00206770" w:rsidP="00925F26">
      <w:pPr>
        <w:jc w:val="both"/>
        <w:rPr>
          <w:color w:val="000000" w:themeColor="text1"/>
          <w:sz w:val="16"/>
          <w:szCs w:val="16"/>
        </w:rPr>
      </w:pPr>
      <w:r w:rsidRPr="00925F26">
        <w:rPr>
          <w:color w:val="000000" w:themeColor="text1"/>
          <w:sz w:val="16"/>
          <w:szCs w:val="16"/>
        </w:rPr>
        <w:t>В 8 часов утра «Летающие крепости» начали взлетать и идти в зоны сбора, после чего направились к побережью Голландии. Истребители «Спитфайр» сопровождали их вплоть до морского побережья Англии, а над Зейдер- Зее бомбардировщики уже поджидали американские авиагруппы истребителей «Мустанг», после чего все соединение приступило к прорыву через Германию. При этом части истребителей было приказано сразу же после нанесения бомбового удара спикировать до высоты бреющего полета и приступить к штурмовке целей «по выбору». Пилоты «Мустангов» должны были обстреливать проходившие через разрушенный город колонны пехоты противника из пулеметов, поражать паровозы, грузовые автомашины и прочие транспортные средства.</w:t>
      </w:r>
    </w:p>
    <w:p w14:paraId="554D81FA" w14:textId="77777777" w:rsidR="00206770" w:rsidRPr="00925F26" w:rsidRDefault="00206770" w:rsidP="00925F26">
      <w:pPr>
        <w:jc w:val="both"/>
        <w:rPr>
          <w:color w:val="000000" w:themeColor="text1"/>
          <w:sz w:val="16"/>
          <w:szCs w:val="16"/>
        </w:rPr>
      </w:pPr>
      <w:r w:rsidRPr="00925F26">
        <w:rPr>
          <w:color w:val="000000" w:themeColor="text1"/>
          <w:sz w:val="16"/>
          <w:szCs w:val="16"/>
        </w:rPr>
        <w:t>На пути к Дрездену некоторые группы рассеялись из-за того, что попали в облака.</w:t>
      </w:r>
    </w:p>
    <w:p w14:paraId="19802532" w14:textId="77777777" w:rsidR="00206770" w:rsidRPr="00925F26" w:rsidRDefault="00206770" w:rsidP="00925F26">
      <w:pPr>
        <w:jc w:val="both"/>
        <w:rPr>
          <w:color w:val="000000" w:themeColor="text1"/>
          <w:sz w:val="16"/>
          <w:szCs w:val="16"/>
        </w:rPr>
      </w:pPr>
      <w:r w:rsidRPr="00925F26">
        <w:rPr>
          <w:color w:val="000000" w:themeColor="text1"/>
          <w:sz w:val="16"/>
          <w:szCs w:val="16"/>
        </w:rPr>
        <w:t>Слои облаков были и над соединением, и под ним. У Касселя бомбардировщики встретили сильный зенитный огонь, но попаданий в самолеты было мало.</w:t>
      </w:r>
    </w:p>
    <w:p w14:paraId="641FACAE" w14:textId="77777777" w:rsidR="00206770" w:rsidRPr="00925F26" w:rsidRDefault="00206770" w:rsidP="00925F26">
      <w:pPr>
        <w:jc w:val="both"/>
        <w:rPr>
          <w:color w:val="000000" w:themeColor="text1"/>
          <w:sz w:val="16"/>
          <w:szCs w:val="16"/>
        </w:rPr>
      </w:pPr>
      <w:r w:rsidRPr="00925F26">
        <w:rPr>
          <w:color w:val="000000" w:themeColor="text1"/>
          <w:sz w:val="16"/>
          <w:szCs w:val="16"/>
        </w:rPr>
        <w:t>Как и было запланировано, выйдя на контрольную точку в районе Тор</w:t>
      </w:r>
      <w:r w:rsidRPr="00925F26">
        <w:rPr>
          <w:color w:val="000000" w:themeColor="text1"/>
          <w:sz w:val="16"/>
          <w:szCs w:val="16"/>
        </w:rPr>
        <w:softHyphen/>
        <w:t>гау, американские бомбардировщики пошли боевым курсом вдоль Эльбы по направлению к Дрездену.</w:t>
      </w:r>
    </w:p>
    <w:p w14:paraId="2E306DEC" w14:textId="77777777" w:rsidR="00206770" w:rsidRPr="00925F26" w:rsidRDefault="00206770" w:rsidP="00925F26">
      <w:pPr>
        <w:jc w:val="both"/>
        <w:rPr>
          <w:color w:val="000000" w:themeColor="text1"/>
          <w:sz w:val="16"/>
          <w:szCs w:val="16"/>
        </w:rPr>
      </w:pPr>
      <w:r w:rsidRPr="00925F26">
        <w:rPr>
          <w:color w:val="000000" w:themeColor="text1"/>
          <w:sz w:val="16"/>
          <w:szCs w:val="16"/>
        </w:rPr>
        <w:t>В 12 ч. 12 мин. первые бомбы на</w:t>
      </w:r>
      <w:r w:rsidRPr="00925F26">
        <w:rPr>
          <w:color w:val="000000" w:themeColor="text1"/>
          <w:sz w:val="16"/>
          <w:szCs w:val="16"/>
        </w:rPr>
        <w:softHyphen/>
        <w:t>чали падать на город, в котором все еще бушевали пожары после прове</w:t>
      </w:r>
      <w:r w:rsidRPr="00925F26">
        <w:rPr>
          <w:color w:val="000000" w:themeColor="text1"/>
          <w:sz w:val="16"/>
          <w:szCs w:val="16"/>
        </w:rPr>
        <w:softHyphen/>
        <w:t>денного ночного налета Королевских ВВС. Один из бомбардиров докладывал: «Сплошной слой облачности подни</w:t>
      </w:r>
      <w:r w:rsidRPr="00925F26">
        <w:rPr>
          <w:color w:val="000000" w:themeColor="text1"/>
          <w:sz w:val="16"/>
          <w:szCs w:val="16"/>
        </w:rPr>
        <w:softHyphen/>
        <w:t>мался высоко, прямо под нами. Но постепенно он разрывался, и над Дрез</w:t>
      </w:r>
      <w:r w:rsidRPr="00925F26">
        <w:rPr>
          <w:color w:val="000000" w:themeColor="text1"/>
          <w:sz w:val="16"/>
          <w:szCs w:val="16"/>
        </w:rPr>
        <w:softHyphen/>
        <w:t>деном появились просветы.Зенитного огня в районе цели не было».</w:t>
      </w:r>
    </w:p>
    <w:p w14:paraId="12F5C0FE" w14:textId="77777777" w:rsidR="00206770" w:rsidRPr="00925F26" w:rsidRDefault="00206770" w:rsidP="00925F26">
      <w:pPr>
        <w:jc w:val="both"/>
        <w:rPr>
          <w:color w:val="000000" w:themeColor="text1"/>
          <w:sz w:val="16"/>
          <w:szCs w:val="16"/>
        </w:rPr>
      </w:pPr>
      <w:r w:rsidRPr="00925F26">
        <w:rPr>
          <w:color w:val="000000" w:themeColor="text1"/>
          <w:sz w:val="16"/>
          <w:szCs w:val="16"/>
        </w:rPr>
        <w:t>В общей сложности бомбардиров</w:t>
      </w:r>
      <w:r w:rsidRPr="00925F26">
        <w:rPr>
          <w:color w:val="000000" w:themeColor="text1"/>
          <w:sz w:val="16"/>
          <w:szCs w:val="16"/>
        </w:rPr>
        <w:softHyphen/>
        <w:t>щики В-17 сбросили 475 тонн фугасных и 296 тонн зажигательных бомб.</w:t>
      </w:r>
    </w:p>
    <w:p w14:paraId="78F983F9" w14:textId="77777777" w:rsidR="00206770" w:rsidRPr="00925F26" w:rsidRDefault="00206770" w:rsidP="00925F26">
      <w:pPr>
        <w:jc w:val="both"/>
        <w:rPr>
          <w:color w:val="000000" w:themeColor="text1"/>
          <w:sz w:val="16"/>
          <w:szCs w:val="16"/>
        </w:rPr>
      </w:pPr>
      <w:r w:rsidRPr="00925F26">
        <w:rPr>
          <w:color w:val="000000" w:themeColor="text1"/>
          <w:sz w:val="16"/>
          <w:szCs w:val="16"/>
        </w:rPr>
        <w:t>В 12 ч. 23 мин., после окончания бомбардировки, в атаку пошли «Мустанги». По свидетельствам очевидцев, большин</w:t>
      </w:r>
      <w:r w:rsidRPr="00925F26">
        <w:rPr>
          <w:color w:val="000000" w:themeColor="text1"/>
          <w:sz w:val="16"/>
          <w:szCs w:val="16"/>
        </w:rPr>
        <w:softHyphen/>
        <w:t>ство пилотов предпочитало проводить атаки вдоль берегов Эльбы. Остальные обстреливали транспортные средства на переполненных беженцами дорогах, ведущих из города. В донесении сообщалось, что один истребитель 55-й эскадри</w:t>
      </w:r>
      <w:r w:rsidRPr="00925F26">
        <w:rPr>
          <w:color w:val="000000" w:themeColor="text1"/>
          <w:sz w:val="16"/>
          <w:szCs w:val="16"/>
        </w:rPr>
        <w:softHyphen/>
        <w:t>льи летел так низко, что врезался в железнодорожный вагон и взорвался.</w:t>
      </w:r>
    </w:p>
    <w:p w14:paraId="1748CE09" w14:textId="77777777" w:rsidR="00206770" w:rsidRPr="00925F26" w:rsidRDefault="00206770" w:rsidP="00925F26">
      <w:pPr>
        <w:jc w:val="both"/>
        <w:rPr>
          <w:color w:val="000000" w:themeColor="text1"/>
          <w:sz w:val="16"/>
          <w:szCs w:val="16"/>
        </w:rPr>
      </w:pPr>
      <w:r w:rsidRPr="00925F26">
        <w:rPr>
          <w:color w:val="000000" w:themeColor="text1"/>
          <w:sz w:val="16"/>
          <w:szCs w:val="16"/>
        </w:rPr>
        <w:t>Как минимум одно американское подразделение из уча</w:t>
      </w:r>
      <w:r w:rsidRPr="00925F26">
        <w:rPr>
          <w:color w:val="000000" w:themeColor="text1"/>
          <w:sz w:val="16"/>
          <w:szCs w:val="16"/>
        </w:rPr>
        <w:softHyphen/>
        <w:t>ствовавших в бомбардировке Дрездена заблудилось. Про</w:t>
      </w:r>
      <w:r w:rsidRPr="00925F26">
        <w:rPr>
          <w:color w:val="000000" w:themeColor="text1"/>
          <w:sz w:val="16"/>
          <w:szCs w:val="16"/>
        </w:rPr>
        <w:softHyphen/>
        <w:t>летая сквозь облака, 398-я бомбардировочная авиагруппа сбилась с курса и ведущий штурман не смог определить свои координаты.</w:t>
      </w:r>
    </w:p>
    <w:p w14:paraId="5F14FC5F" w14:textId="77777777" w:rsidR="00206770" w:rsidRPr="00925F26" w:rsidRDefault="00206770" w:rsidP="00925F26">
      <w:pPr>
        <w:jc w:val="both"/>
        <w:rPr>
          <w:color w:val="000000" w:themeColor="text1"/>
          <w:sz w:val="16"/>
          <w:szCs w:val="16"/>
        </w:rPr>
      </w:pPr>
      <w:r w:rsidRPr="00925F26">
        <w:rPr>
          <w:color w:val="000000" w:themeColor="text1"/>
          <w:sz w:val="16"/>
          <w:szCs w:val="16"/>
        </w:rPr>
        <w:t>Бомбардировщики делали виражи, описывали круги, хо</w:t>
      </w:r>
      <w:r w:rsidRPr="00925F26">
        <w:rPr>
          <w:color w:val="000000" w:themeColor="text1"/>
          <w:sz w:val="16"/>
          <w:szCs w:val="16"/>
        </w:rPr>
        <w:softHyphen/>
        <w:t>дили «змейкой», что лишь усугубило ошибку. Наконец штурман с другого самолета обратился по радио к командиру подразде</w:t>
      </w:r>
      <w:r w:rsidRPr="00925F26">
        <w:rPr>
          <w:color w:val="000000" w:themeColor="text1"/>
          <w:sz w:val="16"/>
          <w:szCs w:val="16"/>
        </w:rPr>
        <w:softHyphen/>
        <w:t>ления, сообщив, что вместо контрольной точки над Торгау они вышли к Фрайбергу. Но это предположение было отвергнуто с приказанием соблюдать радиомолчание. В конце концов летчики увидели реку, которая, извиваясь, текла через круп</w:t>
      </w:r>
      <w:r w:rsidRPr="00925F26">
        <w:rPr>
          <w:color w:val="000000" w:themeColor="text1"/>
          <w:sz w:val="16"/>
          <w:szCs w:val="16"/>
        </w:rPr>
        <w:softHyphen/>
        <w:t>ный город. Ведущий бомбардир не смог опознать ни одного характерного элемента городской застройки, но бомбы при</w:t>
      </w:r>
      <w:r w:rsidRPr="00925F26">
        <w:rPr>
          <w:color w:val="000000" w:themeColor="text1"/>
          <w:sz w:val="16"/>
          <w:szCs w:val="16"/>
        </w:rPr>
        <w:softHyphen/>
        <w:t>казал сбросить. Впоследствии другие штурманы усомнились в расчетах ведущего и пришли к выводу, что четыре десятка их бомбардировщиков вместо Дрездена отбомбились по Праге.</w:t>
      </w:r>
    </w:p>
    <w:p w14:paraId="43229ED4" w14:textId="77777777" w:rsidR="00206770" w:rsidRPr="00925F26" w:rsidRDefault="00206770" w:rsidP="00925F26">
      <w:pPr>
        <w:jc w:val="both"/>
        <w:rPr>
          <w:color w:val="000000" w:themeColor="text1"/>
          <w:sz w:val="16"/>
          <w:szCs w:val="16"/>
        </w:rPr>
      </w:pPr>
      <w:r w:rsidRPr="00925F26">
        <w:rPr>
          <w:color w:val="000000" w:themeColor="text1"/>
          <w:sz w:val="16"/>
          <w:szCs w:val="16"/>
        </w:rPr>
        <w:t>Одновременно американцы бомбили город Хемниц. В этом налете принимало участие 295 самолетов, которые атаковали город и находившуюся в нем сортировочную стан цию, сбросив при этом 718 тонн бомб. Правда, из состава посланной на Хемниц Третьей авиационной дивизии многие подразделения не смогли определить цель. 34-я бомбарди</w:t>
      </w:r>
      <w:r w:rsidRPr="00925F26">
        <w:rPr>
          <w:color w:val="000000" w:themeColor="text1"/>
          <w:sz w:val="16"/>
          <w:szCs w:val="16"/>
        </w:rPr>
        <w:softHyphen/>
        <w:t>ровочная авиагруппа бомбила поселки Хоф и Зонненберг, а ведущий бомбардир 390-й группы вывел свое подразделе</w:t>
      </w:r>
      <w:r w:rsidRPr="00925F26">
        <w:rPr>
          <w:color w:val="000000" w:themeColor="text1"/>
          <w:sz w:val="16"/>
          <w:szCs w:val="16"/>
        </w:rPr>
        <w:softHyphen/>
        <w:t>ние на город Плауен и немецкий аэро</w:t>
      </w:r>
      <w:r w:rsidRPr="00925F26">
        <w:rPr>
          <w:color w:val="000000" w:themeColor="text1"/>
          <w:sz w:val="16"/>
          <w:szCs w:val="16"/>
        </w:rPr>
        <w:softHyphen/>
        <w:t>дром на территории Чехии. Туда и были сброшены бомбы.</w:t>
      </w:r>
    </w:p>
    <w:p w14:paraId="22340E73" w14:textId="77777777" w:rsidR="00206770" w:rsidRPr="00925F26" w:rsidRDefault="00206770" w:rsidP="00925F26">
      <w:pPr>
        <w:jc w:val="both"/>
        <w:rPr>
          <w:color w:val="000000" w:themeColor="text1"/>
          <w:sz w:val="16"/>
          <w:szCs w:val="16"/>
        </w:rPr>
      </w:pPr>
      <w:r w:rsidRPr="00925F26">
        <w:rPr>
          <w:color w:val="000000" w:themeColor="text1"/>
          <w:sz w:val="16"/>
          <w:szCs w:val="16"/>
        </w:rPr>
        <w:t>В тот день по разным оценкам в Дрездене погибло от 25 до более чем 100 тысяч мирных жителей (точных данных нет до сих пор, хотя указыва</w:t>
      </w:r>
      <w:r w:rsidRPr="00925F26">
        <w:rPr>
          <w:color w:val="000000" w:themeColor="text1"/>
          <w:sz w:val="16"/>
          <w:szCs w:val="16"/>
        </w:rPr>
        <w:softHyphen/>
        <w:t>лось, что 28 736 тел были захоронены на кладбище Хейдельфридхоф).</w:t>
      </w:r>
    </w:p>
    <w:p w14:paraId="421B06AD" w14:textId="77777777" w:rsidR="00206770" w:rsidRPr="00925F26" w:rsidRDefault="00206770" w:rsidP="00925F26">
      <w:pPr>
        <w:jc w:val="both"/>
        <w:rPr>
          <w:color w:val="000000" w:themeColor="text1"/>
          <w:sz w:val="16"/>
          <w:szCs w:val="16"/>
        </w:rPr>
      </w:pPr>
      <w:r w:rsidRPr="00925F26">
        <w:rPr>
          <w:color w:val="000000" w:themeColor="text1"/>
          <w:sz w:val="16"/>
          <w:szCs w:val="16"/>
        </w:rPr>
        <w:lastRenderedPageBreak/>
        <w:t>Что касается разрушений, то по бри</w:t>
      </w:r>
      <w:r w:rsidRPr="00925F26">
        <w:rPr>
          <w:color w:val="000000" w:themeColor="text1"/>
          <w:sz w:val="16"/>
          <w:szCs w:val="16"/>
        </w:rPr>
        <w:softHyphen/>
        <w:t>танским данным в городе было серьезно повреждено 23% зданий промышленного назначения и 56% зданий гражданского назначения. Британский отдел по изуче</w:t>
      </w:r>
      <w:r w:rsidRPr="00925F26">
        <w:rPr>
          <w:color w:val="000000" w:themeColor="text1"/>
          <w:sz w:val="16"/>
          <w:szCs w:val="16"/>
        </w:rPr>
        <w:softHyphen/>
        <w:t>нию результатов бомбардировок, осно</w:t>
      </w:r>
      <w:r w:rsidRPr="00925F26">
        <w:rPr>
          <w:color w:val="000000" w:themeColor="text1"/>
          <w:sz w:val="16"/>
          <w:szCs w:val="16"/>
        </w:rPr>
        <w:softHyphen/>
        <w:t>вываясь на аэрофотоснимках, посчитал, что разрушено 680 гектаров застроенной площади.</w:t>
      </w:r>
    </w:p>
    <w:p w14:paraId="21DBFDD5" w14:textId="77777777" w:rsidR="00206770" w:rsidRPr="00925F26" w:rsidRDefault="00206770" w:rsidP="00925F26">
      <w:pPr>
        <w:jc w:val="both"/>
        <w:rPr>
          <w:color w:val="000000" w:themeColor="text1"/>
          <w:sz w:val="16"/>
          <w:szCs w:val="16"/>
        </w:rPr>
      </w:pPr>
      <w:r w:rsidRPr="00925F26">
        <w:rPr>
          <w:color w:val="000000" w:themeColor="text1"/>
          <w:sz w:val="16"/>
          <w:szCs w:val="16"/>
        </w:rPr>
        <w:t>Уде после войны, в ноябре 1949 г., дрезденское Управление планирования завершило составление своего собст</w:t>
      </w:r>
      <w:r w:rsidRPr="00925F26">
        <w:rPr>
          <w:color w:val="000000" w:themeColor="text1"/>
          <w:sz w:val="16"/>
          <w:szCs w:val="16"/>
        </w:rPr>
        <w:softHyphen/>
        <w:t>венного перечня нанесенного городу ущерба. Согласно приведенным в нем данным, 1272 гектара площади города была разрушено более чем на 75%. Еще 421 гектар площади за пределами цен</w:t>
      </w:r>
      <w:r w:rsidRPr="00925F26">
        <w:rPr>
          <w:color w:val="000000" w:themeColor="text1"/>
          <w:sz w:val="16"/>
          <w:szCs w:val="16"/>
        </w:rPr>
        <w:softHyphen/>
        <w:t>тральной части Дрездена был разрушен более чем на 25%. Было установлено, что из 35 470 жилых домов Дрездена осталось неповрежденными только 7421. Из 220 тысяч квартир и частных домов 90 тысяч были разрушены или признаны полностью непригодными для жилья. 4 миллиона 750 тысяч квадратных метров жилой площади полностью уничтожено и 4 миллиона 540 тысяч квадратные метров повреждено.</w:t>
      </w:r>
    </w:p>
    <w:p w14:paraId="0FA585D6" w14:textId="77777777" w:rsidR="00206770" w:rsidRPr="00925F26" w:rsidRDefault="00206770" w:rsidP="00925F26">
      <w:pPr>
        <w:jc w:val="both"/>
        <w:rPr>
          <w:color w:val="000000" w:themeColor="text1"/>
          <w:sz w:val="16"/>
          <w:szCs w:val="16"/>
        </w:rPr>
      </w:pPr>
      <w:r w:rsidRPr="00925F26">
        <w:rPr>
          <w:color w:val="000000" w:themeColor="text1"/>
          <w:sz w:val="16"/>
          <w:szCs w:val="16"/>
        </w:rPr>
        <w:t>Немецкие статистики отличались особой скрупулезностью в подсчете ущерба от воздушных налетов, и они привели следующие цифры. В Мюнхене на каждого жителя пришлось по 6,5 кубометров каменных обломков, в Штутгарте - по 8,4 кубометра, в Берлине - по 12,5 кубометров, в Кёльне - по 31,2 кубометра, в то время как в Дрездене этот показатель со</w:t>
      </w:r>
      <w:r w:rsidRPr="00925F26">
        <w:rPr>
          <w:color w:val="000000" w:themeColor="text1"/>
          <w:sz w:val="16"/>
          <w:szCs w:val="16"/>
        </w:rPr>
        <w:softHyphen/>
        <w:t>ставил 42,5 кубометра, примерно по одиннадцать самосвалов на каждого жителя.</w:t>
      </w:r>
    </w:p>
    <w:p w14:paraId="5C0C11B9" w14:textId="77777777" w:rsidR="00206770" w:rsidRPr="00925F26" w:rsidRDefault="00206770" w:rsidP="00925F26">
      <w:pPr>
        <w:jc w:val="both"/>
        <w:rPr>
          <w:color w:val="000000" w:themeColor="text1"/>
          <w:sz w:val="16"/>
          <w:szCs w:val="16"/>
        </w:rPr>
      </w:pPr>
      <w:r w:rsidRPr="00925F26">
        <w:rPr>
          <w:color w:val="000000" w:themeColor="text1"/>
          <w:sz w:val="16"/>
          <w:szCs w:val="16"/>
        </w:rPr>
        <w:t>В донесении начальника полиции Дрездена фигуриро</w:t>
      </w:r>
      <w:r w:rsidRPr="00925F26">
        <w:rPr>
          <w:color w:val="000000" w:themeColor="text1"/>
          <w:sz w:val="16"/>
          <w:szCs w:val="16"/>
        </w:rPr>
        <w:softHyphen/>
        <w:t>вали более осязаемые цифры. К началу марта полковник Тириг насчитал 11 916 полностью разрушенных жилых домов (не квартир) и примерно столько же зданий оценивались как получившие тяжелые, серьезные и незначительные повре</w:t>
      </w:r>
      <w:r w:rsidRPr="00925F26">
        <w:rPr>
          <w:color w:val="000000" w:themeColor="text1"/>
          <w:sz w:val="16"/>
          <w:szCs w:val="16"/>
        </w:rPr>
        <w:softHyphen/>
        <w:t>ждения. В ходе бомбардировки были полностью уничтожены 24 здания банков и 26 зданий страховых компаний (в центре города были уничтожены все), 31 универмаг, 647 магазинов, 64 склада, два крытых рынка, 31 крупный отель, включая знаме</w:t>
      </w:r>
      <w:r w:rsidRPr="00925F26">
        <w:rPr>
          <w:color w:val="000000" w:themeColor="text1"/>
          <w:sz w:val="16"/>
          <w:szCs w:val="16"/>
        </w:rPr>
        <w:softHyphen/>
        <w:t>нитый «Бельвю» и 26 пивных баров. Был серьезно поврежден находившийся на Магдебургерштарссе крупнейший в Германии холодильник. Тяжелый ущерб был нанесен городскому мясопе</w:t>
      </w:r>
      <w:r w:rsidRPr="00925F26">
        <w:rPr>
          <w:color w:val="000000" w:themeColor="text1"/>
          <w:sz w:val="16"/>
          <w:szCs w:val="16"/>
        </w:rPr>
        <w:softHyphen/>
        <w:t>рерабатывающему заводу.</w:t>
      </w:r>
    </w:p>
    <w:p w14:paraId="5610BBC6" w14:textId="77777777" w:rsidR="00206770" w:rsidRPr="00925F26" w:rsidRDefault="00206770" w:rsidP="00925F26">
      <w:pPr>
        <w:jc w:val="both"/>
        <w:rPr>
          <w:color w:val="000000" w:themeColor="text1"/>
          <w:sz w:val="16"/>
          <w:szCs w:val="16"/>
        </w:rPr>
      </w:pPr>
      <w:r w:rsidRPr="00925F26">
        <w:rPr>
          <w:color w:val="000000" w:themeColor="text1"/>
          <w:sz w:val="16"/>
          <w:szCs w:val="16"/>
        </w:rPr>
        <w:t>Также были разрушены бесценные памятники архитектуры. Среди них три дворца, старая ратуша, знаменитый Цвингер, Новая художественная галерея и знаменитая на весь мир худо</w:t>
      </w:r>
      <w:r w:rsidRPr="00925F26">
        <w:rPr>
          <w:color w:val="000000" w:themeColor="text1"/>
          <w:sz w:val="16"/>
          <w:szCs w:val="16"/>
        </w:rPr>
        <w:softHyphen/>
        <w:t>жественная галерея Зеленые Своды, четыре музея, Академия художеств.</w:t>
      </w:r>
    </w:p>
    <w:p w14:paraId="5B008567" w14:textId="77777777" w:rsidR="00206770" w:rsidRPr="00925F26" w:rsidRDefault="00206770" w:rsidP="00925F26">
      <w:pPr>
        <w:jc w:val="both"/>
        <w:rPr>
          <w:color w:val="000000" w:themeColor="text1"/>
          <w:sz w:val="16"/>
          <w:szCs w:val="16"/>
        </w:rPr>
      </w:pPr>
      <w:r w:rsidRPr="00925F26">
        <w:rPr>
          <w:color w:val="000000" w:themeColor="text1"/>
          <w:sz w:val="16"/>
          <w:szCs w:val="16"/>
        </w:rPr>
        <w:t>Как уже говорилось, в Дрездене не было ни военных объек</w:t>
      </w:r>
      <w:r w:rsidRPr="00925F26">
        <w:rPr>
          <w:color w:val="000000" w:themeColor="text1"/>
          <w:sz w:val="16"/>
          <w:szCs w:val="16"/>
        </w:rPr>
        <w:softHyphen/>
        <w:t>тов, ни крупных военных предприятий. Небольшие предприятие пострадали сравнительно мало, что еще раз показывает, что целью бомбардировок союзников было мирное население, а не какие-то военные или промышленные объекты. Из крупных промышленных предприятий серьезный ущерб был нанесен только заводу по производству оптических приборов «Цейс- Икон», который располагался всего лишь в пяти километрах к востоку от центра города.</w:t>
      </w:r>
    </w:p>
    <w:p w14:paraId="3E0A9E87" w14:textId="77777777" w:rsidR="00206770" w:rsidRPr="00925F26" w:rsidRDefault="00206770" w:rsidP="00925F26">
      <w:pPr>
        <w:jc w:val="both"/>
        <w:rPr>
          <w:color w:val="000000" w:themeColor="text1"/>
          <w:sz w:val="16"/>
          <w:szCs w:val="16"/>
        </w:rPr>
      </w:pPr>
      <w:r w:rsidRPr="00925F26">
        <w:rPr>
          <w:color w:val="000000" w:themeColor="text1"/>
          <w:sz w:val="16"/>
          <w:szCs w:val="16"/>
        </w:rPr>
        <w:t>Ни одно предприятие не было разрушено полностью.</w:t>
      </w:r>
    </w:p>
    <w:p w14:paraId="38708047" w14:textId="77777777" w:rsidR="00206770" w:rsidRPr="00925F26" w:rsidRDefault="00206770" w:rsidP="00925F26">
      <w:pPr>
        <w:jc w:val="both"/>
        <w:rPr>
          <w:color w:val="000000" w:themeColor="text1"/>
          <w:sz w:val="16"/>
          <w:szCs w:val="16"/>
        </w:rPr>
      </w:pPr>
      <w:r w:rsidRPr="00925F26">
        <w:rPr>
          <w:color w:val="000000" w:themeColor="text1"/>
          <w:sz w:val="16"/>
          <w:szCs w:val="16"/>
        </w:rPr>
        <w:t>Два завода фирмы по производству комплектующих для электронного оборудования, располагавшиеся в районах Ни- дерзедлитц (8 километров к юго-востоку от центра) и Радеберг (14,5 километров к северо-востоку), избежали попадания фу</w:t>
      </w:r>
      <w:r w:rsidRPr="00925F26">
        <w:rPr>
          <w:color w:val="000000" w:themeColor="text1"/>
          <w:sz w:val="16"/>
          <w:szCs w:val="16"/>
        </w:rPr>
        <w:softHyphen/>
        <w:t>гасных бомб. На завод в Нидрезедлитце случайно упало не</w:t>
      </w:r>
      <w:r w:rsidRPr="00925F26">
        <w:rPr>
          <w:color w:val="000000" w:themeColor="text1"/>
          <w:sz w:val="16"/>
          <w:szCs w:val="16"/>
        </w:rPr>
        <w:softHyphen/>
        <w:t>сколько зажигательных бомб, с которыми справились заводские пожарные. Было разбито несколько окон. Примечательно, что единственное предприятие в Дрездене, которое строилось с учетом вероятности воздушных налетов, завод по производству снарядных взрывателей в Нойштадте, не пострадал вообще.</w:t>
      </w:r>
    </w:p>
    <w:p w14:paraId="4EF5F876" w14:textId="77777777" w:rsidR="00206770" w:rsidRPr="00925F26" w:rsidRDefault="00206770" w:rsidP="00925F26">
      <w:pPr>
        <w:jc w:val="both"/>
        <w:rPr>
          <w:color w:val="000000" w:themeColor="text1"/>
          <w:sz w:val="16"/>
          <w:szCs w:val="16"/>
        </w:rPr>
      </w:pPr>
      <w:r w:rsidRPr="00925F26">
        <w:rPr>
          <w:color w:val="000000" w:themeColor="text1"/>
          <w:sz w:val="16"/>
          <w:szCs w:val="16"/>
        </w:rPr>
        <w:t>Итоговый доклад начальника полиции Дрездена говорил о том, что мосты не были выведены из строя. Пострадали ав</w:t>
      </w:r>
      <w:r w:rsidRPr="00925F26">
        <w:rPr>
          <w:color w:val="000000" w:themeColor="text1"/>
          <w:sz w:val="16"/>
          <w:szCs w:val="16"/>
        </w:rPr>
        <w:softHyphen/>
        <w:t>тодорожные мосты Августа, Карола, Лохвитц и Носсен, так же как и железнодорожный мост Мариенбрюк. Но из них только мост Августа был поврежден в такой степени, что к марту 1945 г. был еще закрыт.</w:t>
      </w:r>
    </w:p>
    <w:p w14:paraId="4D49AA72" w14:textId="77777777" w:rsidR="00206770" w:rsidRPr="00925F26" w:rsidRDefault="00206770" w:rsidP="00925F26">
      <w:pPr>
        <w:jc w:val="both"/>
        <w:rPr>
          <w:color w:val="000000" w:themeColor="text1"/>
          <w:sz w:val="16"/>
          <w:szCs w:val="16"/>
        </w:rPr>
      </w:pPr>
      <w:r w:rsidRPr="00925F26">
        <w:rPr>
          <w:color w:val="000000" w:themeColor="text1"/>
          <w:sz w:val="16"/>
          <w:szCs w:val="16"/>
        </w:rPr>
        <w:t>То же самое касалось и проходивших через город железных дорог. По утверждению начальника полиции Дрездена пере</w:t>
      </w:r>
      <w:r w:rsidRPr="00925F26">
        <w:rPr>
          <w:color w:val="000000" w:themeColor="text1"/>
          <w:sz w:val="16"/>
          <w:szCs w:val="16"/>
        </w:rPr>
        <w:softHyphen/>
        <w:t>возки по железным дорогам (официальная цель налетов) почти не пострадали. Движение на несколько дней было приостановлено, но к концу февраля поезда снова шли через город. В опубликованной через несколько лет в ГДР «Истории разрушения и восстановления Дрездена» утверждалось, что «железно</w:t>
      </w:r>
      <w:r w:rsidRPr="00925F26">
        <w:rPr>
          <w:color w:val="000000" w:themeColor="text1"/>
          <w:sz w:val="16"/>
          <w:szCs w:val="16"/>
        </w:rPr>
        <w:softHyphen/>
        <w:t>дорожные линии не подверглись серьезным разрушениям. Аварийные службы смогли восстановить их так быстро, что не возникло никакой существенной дезорганизации движения». В отличие от памятников культуры и Старого города, в целом транспортные сооружения не были разрушены. Нанесенный им ущерб оказался сравнительно небольшим и, таким образом, движение в Дрездене и из него на самом деле не прерывалось. Например, железнодорожные линии у центрального вокзала расчистили за несколько часов. К 15 февраля через Дрезден- Нойштадт пошли регулярные поезда.</w:t>
      </w:r>
    </w:p>
    <w:p w14:paraId="1E1CC09E" w14:textId="77777777" w:rsidR="00206770" w:rsidRPr="00925F26" w:rsidRDefault="00206770" w:rsidP="00925F26">
      <w:pPr>
        <w:jc w:val="both"/>
        <w:rPr>
          <w:color w:val="000000" w:themeColor="text1"/>
          <w:sz w:val="16"/>
          <w:szCs w:val="16"/>
        </w:rPr>
      </w:pPr>
      <w:r w:rsidRPr="00925F26">
        <w:rPr>
          <w:color w:val="000000" w:themeColor="text1"/>
          <w:sz w:val="16"/>
          <w:szCs w:val="16"/>
        </w:rPr>
        <w:t>Психологическое же воздействие на германский народ от уничтожения Дрездена оказалось совсем иным, чем думали в Лондоне и Вашингтоне. Оно не парализовало волю к сопротив</w:t>
      </w:r>
      <w:r w:rsidRPr="00925F26">
        <w:rPr>
          <w:color w:val="000000" w:themeColor="text1"/>
          <w:sz w:val="16"/>
          <w:szCs w:val="16"/>
        </w:rPr>
        <w:softHyphen/>
        <w:t>лению, а наоборот, вызвало всплеск ненависти к англосаксам (19735).</w:t>
      </w:r>
    </w:p>
    <w:p w14:paraId="501621C6" w14:textId="77777777" w:rsidR="00206770" w:rsidRPr="00925F26" w:rsidRDefault="00206770" w:rsidP="00925F26">
      <w:pPr>
        <w:jc w:val="both"/>
        <w:rPr>
          <w:color w:val="000000" w:themeColor="text1"/>
          <w:sz w:val="16"/>
          <w:szCs w:val="16"/>
        </w:rPr>
      </w:pPr>
    </w:p>
    <w:p w14:paraId="7C1A8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"13/14 февраля 1945 г. - задание 2, 18.00-20.00. Около 19.10 между Раштаттом и Бишвилером неожиданно встретился с огнями на высоте 3000 футов (914 м), повернул к ним, один ушел вниз, другой пошел прямо вверх, а затем исчез. Возвращаясь на базу, оглянулся и снова увидел огни на исходной позиции" (11602).</w:t>
      </w:r>
    </w:p>
    <w:p w14:paraId="1FE6B370" w14:textId="77777777" w:rsidR="00665165" w:rsidRPr="00925F26" w:rsidRDefault="00665165" w:rsidP="00925F26">
      <w:pPr>
        <w:autoSpaceDE w:val="0"/>
        <w:autoSpaceDN w:val="0"/>
        <w:adjustRightInd w:val="0"/>
        <w:jc w:val="both"/>
        <w:rPr>
          <w:color w:val="000000" w:themeColor="text1"/>
          <w:sz w:val="16"/>
          <w:szCs w:val="16"/>
        </w:rPr>
      </w:pPr>
    </w:p>
    <w:p w14:paraId="707EA27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52C3DDF" w14:textId="77777777" w:rsidR="00665165" w:rsidRPr="00925F26" w:rsidRDefault="00665165" w:rsidP="00925F26">
      <w:pPr>
        <w:autoSpaceDE w:val="0"/>
        <w:autoSpaceDN w:val="0"/>
        <w:adjustRightInd w:val="0"/>
        <w:jc w:val="both"/>
        <w:rPr>
          <w:iCs/>
          <w:color w:val="000000" w:themeColor="text1"/>
          <w:sz w:val="16"/>
          <w:szCs w:val="16"/>
        </w:rPr>
      </w:pPr>
    </w:p>
    <w:p w14:paraId="4D4E71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года и.о. начальника инспекции при наркоме Калмыков писал письмо N 883 Шахурину.</w:t>
      </w:r>
    </w:p>
    <w:p w14:paraId="555790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Докладная записка</w:t>
      </w:r>
    </w:p>
    <w:p w14:paraId="1B42F2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вопросу выполнения приказа N 444сс от 20.VII-44 г.</w:t>
      </w:r>
    </w:p>
    <w:p w14:paraId="725379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 постройке улучшенного самолета Ту-2 с моторами АШ-83ФН.</w:t>
      </w:r>
    </w:p>
    <w:p w14:paraId="0773B7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Наркомавиапрома N 444сс от 25.VII-44 г. обязывались:</w:t>
      </w:r>
    </w:p>
    <w:p w14:paraId="7D633F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Гл. конструктор Туполев - построить и сдать на летные испытания к 15/XI-44 г. улучшенный самолет Ту-2 с моторами АШ-83ФН с повышенной скоростью до 600 км/час, внеся в него необходимые аэродинамические и конструктивные изменения, согласно приложению к приказу;</w:t>
      </w:r>
    </w:p>
    <w:p w14:paraId="6392C9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Директор з-да N 29 Борисов и гл. конструктор Швецов - отгрузить з-ду N 156 два мотора АШ-83ФН с редукцией 9/16 к 25/VIII-44 г. и два мотора к 15.IX-44 г.</w:t>
      </w:r>
    </w:p>
    <w:p w14:paraId="113D98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Проверкой установлено:</w:t>
      </w:r>
    </w:p>
    <w:p w14:paraId="032159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Ту-2 с моторами АШ-83ФН на летные испытания не предъявлен.</w:t>
      </w:r>
    </w:p>
    <w:p w14:paraId="317638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целью быстрейшего внедрения в серийный самолет Ту-2 конструктивных и аэродинамических изменений, улучшающих боевые и эксплуатационные качества и получения летных данных самолета Ту-2 с моторами АШ-83ФН, гл. конструктором завода N 156 Туполевым было принято решение вести работы по постройке улучшенного самолета Ту-2 на два этапа:</w:t>
      </w:r>
    </w:p>
    <w:p w14:paraId="1F567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Модифицировать серийный самолет Ту-2 производства з-да N 23 с заменой моторов АШ-82ФН на моторы АШ-83ФН и внесением конструктивных и аэродинамических улучшений, согласно рекомендациям ЦАГИ и изменениям, указанным в приказе;</w:t>
      </w:r>
    </w:p>
    <w:p w14:paraId="5319C1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Производить постройку на заводе N 23 улучшенного серийного самолета Ту-2, включающего замену моторов, улучшение аэродинамики, а также конструктивные изменения, упрощающие его конструкцию наряду с внедрением всех изменений в серийное производство.</w:t>
      </w:r>
    </w:p>
    <w:p w14:paraId="1E2958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Состояние работ:</w:t>
      </w:r>
    </w:p>
    <w:p w14:paraId="333065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N 156</w:t>
      </w:r>
    </w:p>
    <w:p w14:paraId="62ACAE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серийном самолете Ту-2 (N 716) внесены конструктивные изменения и аэродинамические улучшения, согласно рекомендациям ЦАГИ и изменениям, указанным в приказе N 444сс.</w:t>
      </w:r>
    </w:p>
    <w:p w14:paraId="15A47E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 самолету закончены, за исключением монтажа винтомоторной группы, которые задерживаются из-за непоставки заводом N 29 моторов АШ-83ФН с редукцией 9/16, срок по приказу был - два мотора к 25.VIII и два к 15.IX-44 г.</w:t>
      </w:r>
    </w:p>
    <w:p w14:paraId="62998E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N 23</w:t>
      </w:r>
    </w:p>
    <w:p w14:paraId="3806F7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Постройка серийного улучшенного самолета Ту-2 на 10.II-45 г. находится в следующем состоянии: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686"/>
        <w:gridCol w:w="4252"/>
      </w:tblGrid>
      <w:tr w:rsidR="000F5689" w:rsidRPr="00925F26" w14:paraId="0BFDA60D" w14:textId="77777777">
        <w:tc>
          <w:tcPr>
            <w:tcW w:w="2518" w:type="dxa"/>
          </w:tcPr>
          <w:p w14:paraId="7E54C4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агрегата</w:t>
            </w:r>
          </w:p>
        </w:tc>
        <w:tc>
          <w:tcPr>
            <w:tcW w:w="3686" w:type="dxa"/>
          </w:tcPr>
          <w:p w14:paraId="150B02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Состояние работ по агрегатам</w:t>
            </w:r>
          </w:p>
        </w:tc>
        <w:tc>
          <w:tcPr>
            <w:tcW w:w="4252" w:type="dxa"/>
          </w:tcPr>
          <w:p w14:paraId="62665C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Фактич.</w:t>
            </w:r>
          </w:p>
        </w:tc>
      </w:tr>
      <w:tr w:rsidR="000F5689" w:rsidRPr="00925F26" w14:paraId="45F568C8" w14:textId="77777777">
        <w:tc>
          <w:tcPr>
            <w:tcW w:w="2518" w:type="dxa"/>
          </w:tcPr>
          <w:p w14:paraId="1CD7EE5B"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22DFE4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Технич.</w:t>
            </w:r>
          </w:p>
        </w:tc>
        <w:tc>
          <w:tcPr>
            <w:tcW w:w="4252" w:type="dxa"/>
          </w:tcPr>
          <w:p w14:paraId="0245AC7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0301EE5" w14:textId="77777777">
        <w:tc>
          <w:tcPr>
            <w:tcW w:w="2518" w:type="dxa"/>
          </w:tcPr>
          <w:p w14:paraId="72C1928D"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072030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Готовность</w:t>
            </w:r>
          </w:p>
        </w:tc>
        <w:tc>
          <w:tcPr>
            <w:tcW w:w="4252" w:type="dxa"/>
          </w:tcPr>
          <w:p w14:paraId="78F23D8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F8AAADF" w14:textId="77777777">
        <w:tc>
          <w:tcPr>
            <w:tcW w:w="2518" w:type="dxa"/>
          </w:tcPr>
          <w:p w14:paraId="511DF48F"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053BE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10.II-45</w:t>
            </w:r>
          </w:p>
        </w:tc>
        <w:tc>
          <w:tcPr>
            <w:tcW w:w="4252" w:type="dxa"/>
          </w:tcPr>
          <w:p w14:paraId="6575B41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45CF435" w14:textId="77777777">
        <w:tc>
          <w:tcPr>
            <w:tcW w:w="2518" w:type="dxa"/>
          </w:tcPr>
          <w:p w14:paraId="35CA2905"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27946F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w:t>
            </w:r>
          </w:p>
        </w:tc>
        <w:tc>
          <w:tcPr>
            <w:tcW w:w="4252" w:type="dxa"/>
          </w:tcPr>
          <w:p w14:paraId="04985E0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1A0C861" w14:textId="77777777">
        <w:tc>
          <w:tcPr>
            <w:tcW w:w="2518" w:type="dxa"/>
          </w:tcPr>
          <w:p w14:paraId="5D118D23"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056069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ориентиров.</w:t>
            </w:r>
          </w:p>
        </w:tc>
        <w:tc>
          <w:tcPr>
            <w:tcW w:w="4252" w:type="dxa"/>
          </w:tcPr>
          <w:p w14:paraId="5EBD5CD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534908A" w14:textId="77777777">
        <w:tc>
          <w:tcPr>
            <w:tcW w:w="2518" w:type="dxa"/>
          </w:tcPr>
          <w:p w14:paraId="303404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Фюзеляж</w:t>
            </w:r>
          </w:p>
        </w:tc>
        <w:tc>
          <w:tcPr>
            <w:tcW w:w="3686" w:type="dxa"/>
          </w:tcPr>
          <w:p w14:paraId="56943B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Закончена оснастка, производится</w:t>
            </w:r>
          </w:p>
        </w:tc>
        <w:tc>
          <w:tcPr>
            <w:tcW w:w="4252" w:type="dxa"/>
          </w:tcPr>
          <w:p w14:paraId="0FC35F8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D0DCA0B" w14:textId="77777777">
        <w:tc>
          <w:tcPr>
            <w:tcW w:w="2518" w:type="dxa"/>
          </w:tcPr>
          <w:p w14:paraId="5C99D772"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14EB1E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заготовка деталей</w:t>
            </w:r>
          </w:p>
        </w:tc>
        <w:tc>
          <w:tcPr>
            <w:tcW w:w="4252" w:type="dxa"/>
          </w:tcPr>
          <w:p w14:paraId="1AEC0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r>
      <w:tr w:rsidR="000F5689" w:rsidRPr="00925F26" w14:paraId="3C47015F" w14:textId="77777777">
        <w:tc>
          <w:tcPr>
            <w:tcW w:w="2518" w:type="dxa"/>
          </w:tcPr>
          <w:p w14:paraId="450CEC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Крыло</w:t>
            </w:r>
          </w:p>
        </w:tc>
        <w:tc>
          <w:tcPr>
            <w:tcW w:w="3686" w:type="dxa"/>
          </w:tcPr>
          <w:p w14:paraId="1BD5E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Изготовлено 3 комплекта. Одно крыло</w:t>
            </w:r>
          </w:p>
        </w:tc>
        <w:tc>
          <w:tcPr>
            <w:tcW w:w="4252" w:type="dxa"/>
          </w:tcPr>
          <w:p w14:paraId="791F2E7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99E4C66" w14:textId="77777777">
        <w:tc>
          <w:tcPr>
            <w:tcW w:w="2518" w:type="dxa"/>
          </w:tcPr>
          <w:p w14:paraId="0B0C6784"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75EBE9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передано на стат. испытания.</w:t>
            </w:r>
          </w:p>
        </w:tc>
        <w:tc>
          <w:tcPr>
            <w:tcW w:w="4252" w:type="dxa"/>
          </w:tcPr>
          <w:p w14:paraId="767535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r>
      <w:tr w:rsidR="000F5689" w:rsidRPr="00925F26" w14:paraId="66CED782" w14:textId="77777777">
        <w:tc>
          <w:tcPr>
            <w:tcW w:w="2518" w:type="dxa"/>
          </w:tcPr>
          <w:p w14:paraId="18E5A4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Шасси</w:t>
            </w:r>
          </w:p>
        </w:tc>
        <w:tc>
          <w:tcPr>
            <w:tcW w:w="3686" w:type="dxa"/>
          </w:tcPr>
          <w:p w14:paraId="3CF0D5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Изготовлено.</w:t>
            </w:r>
          </w:p>
        </w:tc>
        <w:tc>
          <w:tcPr>
            <w:tcW w:w="4252" w:type="dxa"/>
          </w:tcPr>
          <w:p w14:paraId="7E498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r>
      <w:tr w:rsidR="000F5689" w:rsidRPr="00925F26" w14:paraId="60E26FF3" w14:textId="77777777">
        <w:tc>
          <w:tcPr>
            <w:tcW w:w="2518" w:type="dxa"/>
          </w:tcPr>
          <w:p w14:paraId="282E8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самолетом</w:t>
            </w:r>
          </w:p>
        </w:tc>
        <w:tc>
          <w:tcPr>
            <w:tcW w:w="3686" w:type="dxa"/>
          </w:tcPr>
          <w:p w14:paraId="1BE0E7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Изготовлено.</w:t>
            </w:r>
          </w:p>
        </w:tc>
        <w:tc>
          <w:tcPr>
            <w:tcW w:w="4252" w:type="dxa"/>
          </w:tcPr>
          <w:p w14:paraId="1E2086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r>
      <w:tr w:rsidR="000F5689" w:rsidRPr="00925F26" w14:paraId="05F48F0B" w14:textId="77777777">
        <w:tc>
          <w:tcPr>
            <w:tcW w:w="2518" w:type="dxa"/>
          </w:tcPr>
          <w:p w14:paraId="69EDA8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Центроплан</w:t>
            </w:r>
          </w:p>
        </w:tc>
        <w:tc>
          <w:tcPr>
            <w:tcW w:w="3686" w:type="dxa"/>
          </w:tcPr>
          <w:p w14:paraId="5D718D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Изготовлены шаблоны. Дорабатываются</w:t>
            </w:r>
          </w:p>
        </w:tc>
        <w:tc>
          <w:tcPr>
            <w:tcW w:w="4252" w:type="dxa"/>
          </w:tcPr>
          <w:p w14:paraId="683CF79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B833ECB" w14:textId="77777777">
        <w:tc>
          <w:tcPr>
            <w:tcW w:w="2518" w:type="dxa"/>
          </w:tcPr>
          <w:p w14:paraId="12204B47"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7BF49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приспособления, изготовляются детали.</w:t>
            </w:r>
          </w:p>
        </w:tc>
        <w:tc>
          <w:tcPr>
            <w:tcW w:w="4252" w:type="dxa"/>
          </w:tcPr>
          <w:p w14:paraId="70864E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r>
      <w:tr w:rsidR="000F5689" w:rsidRPr="00925F26" w14:paraId="32E88D07" w14:textId="77777777">
        <w:tc>
          <w:tcPr>
            <w:tcW w:w="2518" w:type="dxa"/>
          </w:tcPr>
          <w:p w14:paraId="250CD6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Моторама</w:t>
            </w:r>
          </w:p>
        </w:tc>
        <w:tc>
          <w:tcPr>
            <w:tcW w:w="3686" w:type="dxa"/>
          </w:tcPr>
          <w:p w14:paraId="788EB8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Заготовка деталей закончена. Сборка</w:t>
            </w:r>
          </w:p>
        </w:tc>
        <w:tc>
          <w:tcPr>
            <w:tcW w:w="4252" w:type="dxa"/>
          </w:tcPr>
          <w:p w14:paraId="1643678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1D589A3" w14:textId="77777777">
        <w:tc>
          <w:tcPr>
            <w:tcW w:w="2518" w:type="dxa"/>
          </w:tcPr>
          <w:p w14:paraId="1E77023D"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569D96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задерживается из-за неготовности</w:t>
            </w:r>
          </w:p>
        </w:tc>
        <w:tc>
          <w:tcPr>
            <w:tcW w:w="4252" w:type="dxa"/>
          </w:tcPr>
          <w:p w14:paraId="76A6A359"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225F573" w14:textId="77777777">
        <w:tc>
          <w:tcPr>
            <w:tcW w:w="2518" w:type="dxa"/>
          </w:tcPr>
          <w:p w14:paraId="280E193E"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3FEB30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стапеля (готовность 40%).</w:t>
            </w:r>
          </w:p>
        </w:tc>
        <w:tc>
          <w:tcPr>
            <w:tcW w:w="4252" w:type="dxa"/>
          </w:tcPr>
          <w:p w14:paraId="3CA006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r>
      <w:tr w:rsidR="000F5689" w:rsidRPr="00925F26" w14:paraId="53AB1F2D" w14:textId="77777777">
        <w:tc>
          <w:tcPr>
            <w:tcW w:w="2518" w:type="dxa"/>
          </w:tcPr>
          <w:p w14:paraId="654629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(АНО, ЭРО,</w:t>
            </w:r>
          </w:p>
        </w:tc>
        <w:tc>
          <w:tcPr>
            <w:tcW w:w="3686" w:type="dxa"/>
          </w:tcPr>
          <w:p w14:paraId="4FAA3C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Идет заготовка деталей.</w:t>
            </w:r>
          </w:p>
        </w:tc>
        <w:tc>
          <w:tcPr>
            <w:tcW w:w="4252" w:type="dxa"/>
          </w:tcPr>
          <w:p w14:paraId="50EDF3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r>
      <w:tr w:rsidR="000F5689" w:rsidRPr="00925F26" w14:paraId="68E9FC38" w14:textId="77777777">
        <w:tc>
          <w:tcPr>
            <w:tcW w:w="2518" w:type="dxa"/>
          </w:tcPr>
          <w:p w14:paraId="66D7D2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и</w:t>
            </w:r>
          </w:p>
        </w:tc>
        <w:tc>
          <w:tcPr>
            <w:tcW w:w="3686" w:type="dxa"/>
          </w:tcPr>
          <w:p w14:paraId="00B600FC" w14:textId="77777777" w:rsidR="00665165" w:rsidRPr="00925F26" w:rsidRDefault="00665165" w:rsidP="00925F26">
            <w:pPr>
              <w:autoSpaceDE w:val="0"/>
              <w:autoSpaceDN w:val="0"/>
              <w:adjustRightInd w:val="0"/>
              <w:jc w:val="both"/>
              <w:rPr>
                <w:color w:val="000000" w:themeColor="text1"/>
                <w:sz w:val="16"/>
                <w:szCs w:val="16"/>
              </w:rPr>
            </w:pPr>
          </w:p>
        </w:tc>
        <w:tc>
          <w:tcPr>
            <w:tcW w:w="4252" w:type="dxa"/>
          </w:tcPr>
          <w:p w14:paraId="6150842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EDA3935" w14:textId="77777777">
        <w:tc>
          <w:tcPr>
            <w:tcW w:w="2518" w:type="dxa"/>
          </w:tcPr>
          <w:p w14:paraId="737DD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гидрооборудование)</w:t>
            </w:r>
          </w:p>
        </w:tc>
        <w:tc>
          <w:tcPr>
            <w:tcW w:w="3686" w:type="dxa"/>
          </w:tcPr>
          <w:p w14:paraId="3E90DE6A" w14:textId="77777777" w:rsidR="00665165" w:rsidRPr="00925F26" w:rsidRDefault="00665165" w:rsidP="00925F26">
            <w:pPr>
              <w:autoSpaceDE w:val="0"/>
              <w:autoSpaceDN w:val="0"/>
              <w:adjustRightInd w:val="0"/>
              <w:jc w:val="both"/>
              <w:rPr>
                <w:color w:val="000000" w:themeColor="text1"/>
                <w:sz w:val="16"/>
                <w:szCs w:val="16"/>
              </w:rPr>
            </w:pPr>
          </w:p>
        </w:tc>
        <w:tc>
          <w:tcPr>
            <w:tcW w:w="4252" w:type="dxa"/>
          </w:tcPr>
          <w:p w14:paraId="56B1677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EBB8CED" w14:textId="77777777">
        <w:tc>
          <w:tcPr>
            <w:tcW w:w="2518" w:type="dxa"/>
          </w:tcPr>
          <w:p w14:paraId="44D19A51" w14:textId="77777777" w:rsidR="00665165" w:rsidRPr="00925F26" w:rsidRDefault="00665165" w:rsidP="00925F26">
            <w:pPr>
              <w:autoSpaceDE w:val="0"/>
              <w:autoSpaceDN w:val="0"/>
              <w:adjustRightInd w:val="0"/>
              <w:jc w:val="both"/>
              <w:rPr>
                <w:color w:val="000000" w:themeColor="text1"/>
                <w:sz w:val="16"/>
                <w:szCs w:val="16"/>
              </w:rPr>
            </w:pPr>
          </w:p>
        </w:tc>
        <w:tc>
          <w:tcPr>
            <w:tcW w:w="3686" w:type="dxa"/>
          </w:tcPr>
          <w:p w14:paraId="3819F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самолету</w:t>
            </w:r>
          </w:p>
        </w:tc>
        <w:tc>
          <w:tcPr>
            <w:tcW w:w="4252" w:type="dxa"/>
          </w:tcPr>
          <w:p w14:paraId="58137D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r>
    </w:tbl>
    <w:p w14:paraId="7C1A4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Выводы:</w:t>
      </w:r>
    </w:p>
    <w:p w14:paraId="18217C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 Наркомавиапрома N 444сс от 20/VII-44 г. о выпуске улучшенного самолета Ту-2 с моторами АШ-83ФН в срок не выполнен.</w:t>
      </w:r>
    </w:p>
    <w:p w14:paraId="579EC3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Отсутствие моторов АШ-83ФН не дает возможности полностью закончить постройку самолета Ту с моторами АШ-83ФН на з-де N 156 и задерживает разворот работ на заводе N 23 (2592,225).</w:t>
      </w:r>
    </w:p>
    <w:p w14:paraId="00B9F645" w14:textId="77777777" w:rsidR="00665165" w:rsidRPr="00925F26" w:rsidRDefault="00665165" w:rsidP="00925F26">
      <w:pPr>
        <w:autoSpaceDE w:val="0"/>
        <w:autoSpaceDN w:val="0"/>
        <w:adjustRightInd w:val="0"/>
        <w:jc w:val="both"/>
        <w:rPr>
          <w:color w:val="000000" w:themeColor="text1"/>
          <w:sz w:val="16"/>
          <w:szCs w:val="16"/>
        </w:rPr>
      </w:pPr>
    </w:p>
    <w:p w14:paraId="792977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w:t>
      </w:r>
      <w:proofErr w:type="gramStart"/>
      <w:r w:rsidRPr="00925F26">
        <w:rPr>
          <w:color w:val="000000" w:themeColor="text1"/>
          <w:sz w:val="16"/>
          <w:szCs w:val="16"/>
        </w:rPr>
        <w:t>...(</w:t>
      </w:r>
      <w:proofErr w:type="gramEnd"/>
      <w:r w:rsidRPr="00925F26">
        <w:rPr>
          <w:color w:val="000000" w:themeColor="text1"/>
          <w:sz w:val="16"/>
          <w:szCs w:val="16"/>
        </w:rPr>
        <w:t>11986).</w:t>
      </w:r>
    </w:p>
    <w:p w14:paraId="46EC9387" w14:textId="77777777" w:rsidR="00665165" w:rsidRPr="00925F26" w:rsidRDefault="00665165" w:rsidP="00925F26">
      <w:pPr>
        <w:autoSpaceDE w:val="0"/>
        <w:autoSpaceDN w:val="0"/>
        <w:adjustRightInd w:val="0"/>
        <w:jc w:val="both"/>
        <w:rPr>
          <w:color w:val="000000" w:themeColor="text1"/>
          <w:sz w:val="16"/>
          <w:szCs w:val="16"/>
        </w:rPr>
      </w:pPr>
    </w:p>
    <w:p w14:paraId="60DFB848" w14:textId="77777777" w:rsidR="00D80690" w:rsidRPr="001A0BAA" w:rsidRDefault="00D80690" w:rsidP="00D80690">
      <w:pPr>
        <w:jc w:val="both"/>
        <w:rPr>
          <w:color w:val="0070C0"/>
          <w:sz w:val="16"/>
          <w:szCs w:val="16"/>
        </w:rPr>
      </w:pPr>
      <w:r w:rsidRPr="001A0BAA">
        <w:rPr>
          <w:color w:val="0070C0"/>
          <w:sz w:val="16"/>
          <w:szCs w:val="16"/>
        </w:rPr>
        <w:t>14 февраля 1945 г. летчику-испытателю завода № 21 А. В. Большакову предстоял полет на Ла-7 на отстрел пушек. Дело несложное и привыч</w:t>
      </w:r>
      <w:r w:rsidRPr="001A0BAA">
        <w:rPr>
          <w:color w:val="0070C0"/>
          <w:sz w:val="16"/>
          <w:szCs w:val="16"/>
        </w:rPr>
        <w:softHyphen/>
        <w:t>ное, но произошло непредвиденное. Сто</w:t>
      </w:r>
      <w:r w:rsidRPr="001A0BAA">
        <w:rPr>
          <w:color w:val="0070C0"/>
          <w:sz w:val="16"/>
          <w:szCs w:val="16"/>
        </w:rPr>
        <w:softHyphen/>
        <w:t>ило летчику нажать на боевую кнопку, как лопасти воздушного винта разлетелись в разные стороны. Машина, лишенная тяги, резко пошла к земле, и пилоту ничего не оставалось сделать, как воспользоваться парашютом. Позже на месте падения ис</w:t>
      </w:r>
      <w:r w:rsidRPr="001A0BAA">
        <w:rPr>
          <w:color w:val="0070C0"/>
          <w:sz w:val="16"/>
          <w:szCs w:val="16"/>
        </w:rPr>
        <w:softHyphen/>
        <w:t>требителя выяснили, что причиной аварии стала установка на самолете шестерни привода синхронизатора с редукцией 9/16 вместо 11/16, видимо, с опытного мо</w:t>
      </w:r>
      <w:r w:rsidRPr="001A0BAA">
        <w:rPr>
          <w:color w:val="0070C0"/>
          <w:sz w:val="16"/>
          <w:szCs w:val="16"/>
        </w:rPr>
        <w:softHyphen/>
        <w:t>тора (АШ-82ФН с такой редукцией начали серийно выпускать с 3 августа 1945 года) (24988).</w:t>
      </w:r>
    </w:p>
    <w:p w14:paraId="01AD89B6" w14:textId="77777777" w:rsidR="00D80690" w:rsidRPr="001A0BAA" w:rsidRDefault="00D80690" w:rsidP="00D80690">
      <w:pPr>
        <w:jc w:val="both"/>
        <w:rPr>
          <w:color w:val="0070C0"/>
          <w:sz w:val="16"/>
          <w:szCs w:val="16"/>
        </w:rPr>
      </w:pPr>
    </w:p>
    <w:p w14:paraId="7CE482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февраля 1945 Мясищев утвердил программу испытаний Пе-2М, назначив ведущими лет</w:t>
      </w:r>
      <w:r w:rsidRPr="00925F26">
        <w:rPr>
          <w:color w:val="000000" w:themeColor="text1"/>
          <w:sz w:val="16"/>
          <w:szCs w:val="16"/>
        </w:rPr>
        <w:softHyphen/>
        <w:t>чика Ф.Ф. Опадчего, инженера А.И. Никонова и техни</w:t>
      </w:r>
      <w:r w:rsidRPr="00925F26">
        <w:rPr>
          <w:color w:val="000000" w:themeColor="text1"/>
          <w:sz w:val="16"/>
          <w:szCs w:val="16"/>
        </w:rPr>
        <w:softHyphen/>
        <w:t>ка В.П. Белоусова.</w:t>
      </w:r>
    </w:p>
    <w:p w14:paraId="655D14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завершения государственных испытаний первый экземпляр самолета передали в ЛИИ, а вто</w:t>
      </w:r>
      <w:r w:rsidRPr="00925F26">
        <w:rPr>
          <w:color w:val="000000" w:themeColor="text1"/>
          <w:sz w:val="16"/>
          <w:szCs w:val="16"/>
        </w:rPr>
        <w:softHyphen/>
        <w:t>рой — на завод № 482 (11446).</w:t>
      </w:r>
    </w:p>
    <w:p w14:paraId="3EDB96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923E7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 по приказу НКАП № 62с на завод № 41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 (10776).</w:t>
      </w:r>
    </w:p>
    <w:p w14:paraId="417A5C77" w14:textId="77777777" w:rsidR="00665165" w:rsidRPr="00925F26" w:rsidRDefault="00665165" w:rsidP="00925F26">
      <w:pPr>
        <w:autoSpaceDE w:val="0"/>
        <w:autoSpaceDN w:val="0"/>
        <w:adjustRightInd w:val="0"/>
        <w:jc w:val="both"/>
        <w:rPr>
          <w:color w:val="000000" w:themeColor="text1"/>
          <w:sz w:val="16"/>
          <w:szCs w:val="16"/>
        </w:rPr>
      </w:pPr>
    </w:p>
    <w:p w14:paraId="0E3A0B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 в соответствии с приказом НКАП №62 на завод № 41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(10777).</w:t>
      </w:r>
    </w:p>
    <w:p w14:paraId="63DA4DFB" w14:textId="77777777" w:rsidR="00665165" w:rsidRPr="00925F26" w:rsidRDefault="00665165" w:rsidP="00925F26">
      <w:pPr>
        <w:autoSpaceDE w:val="0"/>
        <w:autoSpaceDN w:val="0"/>
        <w:adjustRightInd w:val="0"/>
        <w:jc w:val="both"/>
        <w:rPr>
          <w:color w:val="000000" w:themeColor="text1"/>
          <w:sz w:val="16"/>
          <w:szCs w:val="16"/>
        </w:rPr>
      </w:pPr>
    </w:p>
    <w:p w14:paraId="48EE78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 по приказу № 61с часть завода (Завод № 600 НКАП /Эстония  г. Таллинн/) на территории завода «Ильмарин» передана в систему НКместпрома Эстонской ССР, а часть завода на территории фабрики «Лютер» передана в НКлеспром Эстонской ССР. Завод выбыл из числа действующих в НКАП.</w:t>
      </w:r>
    </w:p>
    <w:p w14:paraId="7F96F8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(10.1944 г.-)- Н.И. Горьковский (11982).</w:t>
      </w:r>
    </w:p>
    <w:p w14:paraId="5DDA8102" w14:textId="77777777" w:rsidR="00665165" w:rsidRPr="00925F26" w:rsidRDefault="00665165" w:rsidP="00925F26">
      <w:pPr>
        <w:autoSpaceDE w:val="0"/>
        <w:autoSpaceDN w:val="0"/>
        <w:adjustRightInd w:val="0"/>
        <w:jc w:val="both"/>
        <w:rPr>
          <w:color w:val="000000" w:themeColor="text1"/>
          <w:sz w:val="16"/>
          <w:szCs w:val="16"/>
        </w:rPr>
      </w:pPr>
    </w:p>
    <w:p w14:paraId="2294230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810ED08" w14:textId="77777777" w:rsidR="00665165" w:rsidRPr="00925F26" w:rsidRDefault="00665165" w:rsidP="00925F26">
      <w:pPr>
        <w:autoSpaceDE w:val="0"/>
        <w:autoSpaceDN w:val="0"/>
        <w:adjustRightInd w:val="0"/>
        <w:jc w:val="both"/>
        <w:rPr>
          <w:iCs/>
          <w:color w:val="000000" w:themeColor="text1"/>
          <w:sz w:val="16"/>
          <w:szCs w:val="16"/>
        </w:rPr>
      </w:pPr>
    </w:p>
    <w:p w14:paraId="2C6220CD" w14:textId="77777777" w:rsidR="003C19E1" w:rsidRPr="00925F26" w:rsidRDefault="003C19E1"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14 февраля 1945 монтаж танков Т-44Б закончился, после чего провели опытные стрельбы. Испытания показали, что накат иногда происходил не полностью, кроме того, не всегда происходила экстракция гильз. Вместе с тем на заводе №183 посчитали, что проведённых кратковременных испытаний вполне достаточно. Во время пробега до стрельбища и обратно танк преодолел 50 км, в ходе которых никаких дефектов не обнаружилось. 16 февраля Т-54 отправили на НИБТ Полигон, причём вместе с Т-34-100 (19090).</w:t>
      </w:r>
    </w:p>
    <w:p w14:paraId="4B912A98" w14:textId="77777777" w:rsidR="003C19E1" w:rsidRPr="00925F26" w:rsidRDefault="003C19E1" w:rsidP="00925F26">
      <w:pPr>
        <w:pStyle w:val="ae"/>
        <w:shd w:val="clear" w:color="auto" w:fill="FFFFFF"/>
        <w:spacing w:before="0" w:after="0"/>
        <w:jc w:val="both"/>
        <w:textAlignment w:val="baseline"/>
        <w:rPr>
          <w:color w:val="000000" w:themeColor="text1"/>
          <w:sz w:val="16"/>
          <w:szCs w:val="16"/>
        </w:rPr>
      </w:pPr>
    </w:p>
    <w:p w14:paraId="1B1BE60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февраля 1945 вышло Постановление ГКО № 7540 О производстве и поставке Наркомлегпромом СССР парашютно-десантного имущества в I квартале 1945 г. (7309, 1-2,3-10).</w:t>
      </w:r>
    </w:p>
    <w:p w14:paraId="185582F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38D72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вышло Постановление ГКО № 7541 О восстановлении Роухиала ГЭС и достройке Энсо ГЭС на р. Вуокси. РГАНИР, Фонд ГКО, д. 372, лл. 11-13, 14-23 (11012).</w:t>
      </w:r>
    </w:p>
    <w:p w14:paraId="0465EB02" w14:textId="77777777" w:rsidR="00665165" w:rsidRPr="00925F26" w:rsidRDefault="00665165" w:rsidP="00925F26">
      <w:pPr>
        <w:autoSpaceDE w:val="0"/>
        <w:autoSpaceDN w:val="0"/>
        <w:adjustRightInd w:val="0"/>
        <w:jc w:val="both"/>
        <w:rPr>
          <w:color w:val="000000" w:themeColor="text1"/>
          <w:sz w:val="16"/>
          <w:szCs w:val="16"/>
        </w:rPr>
      </w:pPr>
    </w:p>
    <w:p w14:paraId="54F55DB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февраля 1945 вышло Постановление ГКО № 7542 Об увеличении производства свинца алтайскими предприятиями свинцово-цинковой промышленности Наркомцветмета. (7309, 24-30,31-63).</w:t>
      </w:r>
    </w:p>
    <w:p w14:paraId="6418A22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0116AE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73E738F" w14:textId="77777777" w:rsidR="00665165" w:rsidRPr="00925F26" w:rsidRDefault="00665165" w:rsidP="00925F26">
      <w:pPr>
        <w:autoSpaceDE w:val="0"/>
        <w:autoSpaceDN w:val="0"/>
        <w:adjustRightInd w:val="0"/>
        <w:jc w:val="both"/>
        <w:rPr>
          <w:iCs/>
          <w:color w:val="000000" w:themeColor="text1"/>
          <w:sz w:val="16"/>
          <w:szCs w:val="16"/>
        </w:rPr>
      </w:pPr>
    </w:p>
    <w:p w14:paraId="11E420C6" w14:textId="77777777" w:rsidR="00720DFE" w:rsidRPr="00925F26" w:rsidRDefault="00720DFE"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оперативная сводка Совинформбюро:</w:t>
      </w:r>
    </w:p>
    <w:p w14:paraId="77CA0E03" w14:textId="77777777" w:rsidR="00720DFE" w:rsidRPr="00925F26" w:rsidRDefault="00720DFE" w:rsidP="00925F26">
      <w:pPr>
        <w:jc w:val="both"/>
        <w:rPr>
          <w:color w:val="000000" w:themeColor="text1"/>
          <w:sz w:val="16"/>
          <w:szCs w:val="16"/>
        </w:rPr>
      </w:pPr>
      <w:r w:rsidRPr="00925F26">
        <w:rPr>
          <w:color w:val="000000" w:themeColor="text1"/>
          <w:sz w:val="16"/>
          <w:szCs w:val="16"/>
        </w:rPr>
        <w:t>«В течение 14 февраля севернее и северо-западнее города Быдгощ (Бромберг) наши войска в результате наступательных боёв заняли более 50 населённых пунктов и среди них Бремин, Здрое, Острово, Дембовец, Ной-Зуммин, Еленц, Лихнау, Мосниц, Блюмфельде, Ведельсхоф. В боях за 13 февраля в этом районе взято в плен более 500 немецких солдат и офицеров.</w:t>
      </w:r>
    </w:p>
    <w:p w14:paraId="1D88913D"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1-го Белорусского фронта, сломив сопротивление окружённой группировки противника, 14 февраля штурмом овладели городом Шнайдемюль — важным узлом коммуникаций и мощным опорным пунктом обороны немцев в восточной части Померании. По предварительным данным, в боях при ликвидации окружённой группировки противника и овладении городом Шнайдемюль войска фронта взяли в плен более 5.000 немецких солдат и офицеров и захватили следующие трофеи: самолётов — 203, орудий — 30, миномётов — 34, пулемётов — 217, винтовок и автоматов— около 5.000, автомашин — 286, тракторов и тягачей — 102, повозок с военными грузами — 109, паровозов — 97, вагонов—1.508, складов с военным имуществом— 51. Противник потерял только убитыми более 7.000 солдат и офицеров.</w:t>
      </w:r>
    </w:p>
    <w:p w14:paraId="1B388649"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с боем овладели городами немецкой Силезии Неиштедтель, Неизальц, Фрейштадт, Шпроттау, Гольдберг, Яуер и Штригау — крупными узлами коммуникаций и сильными опорными пунктами обороны немцев, а также с боями заняли более 200 других населённых пунктов. За 13 февраля в этом районе войска фронта захватили на аэродромах 200 самолётов противника и взяли в плен свыше 2.100 немецких солдат и офицеров.</w:t>
      </w:r>
    </w:p>
    <w:p w14:paraId="6284700A" w14:textId="77777777" w:rsidR="00720DFE" w:rsidRPr="00925F26" w:rsidRDefault="00720DFE" w:rsidP="00925F26">
      <w:pPr>
        <w:jc w:val="both"/>
        <w:rPr>
          <w:color w:val="000000" w:themeColor="text1"/>
          <w:sz w:val="16"/>
          <w:szCs w:val="16"/>
        </w:rPr>
      </w:pPr>
      <w:r w:rsidRPr="00925F26">
        <w:rPr>
          <w:color w:val="000000" w:themeColor="text1"/>
          <w:sz w:val="16"/>
          <w:szCs w:val="16"/>
        </w:rPr>
        <w:t>По дополнительным данным, 13 февраля в боях, при ликвидации группировки противника, окружённой в районе Будапешта, войска 2-го и 3-го Украинских фронтов взяли в плен 12.700 солдат и офицеров противника, большая часть из них раненые. В числе пленных командир 1-го венгерского армейского корпуса генерал-полковник Хинди, командир 12-й венгерской пехотной дивизии генерал-майор Бауман, комендант Будапешта генерал-майор Чинкеш Эрню, командующий артиллерией 9-го немецкого армейского корпуса СС полковник Лединг. Среди убитых солдат и офицеров противника найдены трупы командира 8-й немецкой кавалерийской дивизии СС генерал-майора Румор и командира 22-й немецкой кавалерийской дивизии СС генерал-майора Цехентер. Незначительным остаткам из состава окружённой группировки противника удалось прорваться в леса северо-западнее Будапешта, где они вновь блокированы и успешно уничтожаются нашими войсками.</w:t>
      </w:r>
    </w:p>
    <w:p w14:paraId="0DCB2174" w14:textId="77777777" w:rsidR="00720DFE" w:rsidRPr="00925F26" w:rsidRDefault="00720DF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44CF0F3F" w14:textId="77777777" w:rsidR="00720DFE" w:rsidRPr="00925F26" w:rsidRDefault="00720DFE" w:rsidP="00925F26">
      <w:pPr>
        <w:jc w:val="both"/>
        <w:rPr>
          <w:color w:val="000000" w:themeColor="text1"/>
          <w:sz w:val="16"/>
          <w:szCs w:val="16"/>
        </w:rPr>
      </w:pPr>
      <w:r w:rsidRPr="00925F26">
        <w:rPr>
          <w:color w:val="000000" w:themeColor="text1"/>
          <w:sz w:val="16"/>
          <w:szCs w:val="16"/>
        </w:rPr>
        <w:t>За 13 февраля на всех фронтах подбито и уничтожено 116 немецких танков. В воздушных боях и огнём зенитной артиллерии сбито 9 самолётов противника.</w:t>
      </w:r>
    </w:p>
    <w:p w14:paraId="5688AEE4" w14:textId="77777777" w:rsidR="00720DFE" w:rsidRPr="00925F26" w:rsidRDefault="00720DFE" w:rsidP="00925F26">
      <w:pPr>
        <w:jc w:val="both"/>
        <w:rPr>
          <w:color w:val="000000" w:themeColor="text1"/>
          <w:sz w:val="16"/>
          <w:szCs w:val="16"/>
        </w:rPr>
      </w:pPr>
      <w:r w:rsidRPr="00925F26">
        <w:rPr>
          <w:color w:val="000000" w:themeColor="text1"/>
          <w:sz w:val="16"/>
          <w:szCs w:val="16"/>
        </w:rPr>
        <w:t>Севернее и северо-западнее города Быдгош (Бромберг) наши войска с боями продвигались вперёд. Противник, стремясь удержать важный узел коммуникаций город Хойнице (Конитц), сосредоточил на этом участке крупные силы своих войск. Опираясь на заранее подготовленные оборонительные рубежи, немцы бросают в контратаки пехоту и танки. Отражая вражеские контратаки, наши пехотинцы продвинулись вперёд на 5 километров и овладели населенным пунктом Лихнау, расположенным в четырёх километрах к югу от Хойнице. Другие наши части, наступающие восточнее реки Брае, продвинулись на 10 километров и заняли ряд населённых пунктов. В ходе боёв противник потерял убитыми свыше тысячи солдат и офицеров. Уничтожено 19 немецких танков и самоходных орудий.</w:t>
      </w:r>
    </w:p>
    <w:p w14:paraId="54AA33D9" w14:textId="77777777" w:rsidR="00720DFE" w:rsidRPr="00925F26" w:rsidRDefault="00720DFE" w:rsidP="00925F26">
      <w:pPr>
        <w:jc w:val="both"/>
        <w:rPr>
          <w:color w:val="000000" w:themeColor="text1"/>
          <w:sz w:val="16"/>
          <w:szCs w:val="16"/>
        </w:rPr>
      </w:pPr>
      <w:r w:rsidRPr="00925F26">
        <w:rPr>
          <w:color w:val="000000" w:themeColor="text1"/>
          <w:sz w:val="16"/>
          <w:szCs w:val="16"/>
        </w:rPr>
        <w:t xml:space="preserve">Войска 1-го Белорусского фронта после упорных боёв овладели городом Шнайдемюль — мощным опорным пунктом обороны немцев в восточной части Померании. Пленные показывают, что немецкое командование приказало окружённому гарнизону во что бы то ни стало отстоять Шнайдемюль. Солдатам было объявлено, что к ним на выручку идут немецкие танковые и пехотные части. В последние дни гитлеровцы, потеряв всякую надежду на помощь извне, пытались прорваться из «котла». </w:t>
      </w:r>
      <w:r w:rsidRPr="00925F26">
        <w:rPr>
          <w:color w:val="000000" w:themeColor="text1"/>
          <w:sz w:val="16"/>
          <w:szCs w:val="16"/>
        </w:rPr>
        <w:lastRenderedPageBreak/>
        <w:t>С отчаянием людей, обречённых на гибель, они бросались в контратаки. Гитлеровцы несли огромные потери и неизменно откатывались назад. Измотав противника, наши войска сегодня пошли на штурм и овладели городом. Шнайдемюль является важным узлом железных дорог. Город расположен на магистралях Данциг — Берлин и Торунь — Быдгощ — Штаргард.</w:t>
      </w:r>
    </w:p>
    <w:p w14:paraId="2093EF90" w14:textId="77777777" w:rsidR="00720DFE" w:rsidRPr="00925F26" w:rsidRDefault="00720DFE" w:rsidP="00925F26">
      <w:pPr>
        <w:jc w:val="both"/>
        <w:rPr>
          <w:color w:val="000000" w:themeColor="text1"/>
          <w:sz w:val="16"/>
          <w:szCs w:val="16"/>
        </w:rPr>
      </w:pPr>
      <w:r w:rsidRPr="00925F26">
        <w:rPr>
          <w:color w:val="000000" w:themeColor="text1"/>
          <w:sz w:val="16"/>
          <w:szCs w:val="16"/>
        </w:rPr>
        <w:t>Войска 1-го Украинского фронта продолжали успешное наступление. Ломая сопротивление противника, блокируя и громя его опорные пункты, наши войска с боями продвигались вперёд. Части Н-ского соединения, наступающие вдоль западного берега реки Одер, штурмом овладели городом Нейштедтель. Заняты также города Нейзальц и Фрейштадт. Нейзальц, узел железных и шоссейных дорог и сильно укреплённый опорный пункт обороны противника, находится в 20 километрах от города Грюнберг. Другие наши части после упорных двухдневных уличных боёв очистили от вражеских войск важный промышленный город Шпроттау. Противник оставил на поле боя много вооружения и военных материалов. Войска фронта, наступающие южнее города Лигниц, сломили упорное сопротивление немцев и продвинулись вперёд на 20 километров. Советские танкисты и пехотинцы стремительными ударами разгромили немецкие гарнизоны и овладели городами Яуер и Штригау. Занят также город Гольдберг, находящийся в 75 километрах к западу от Бреслау. В боях за день уничтожено 32 немецких танка, 48 бронетранспортёров и 150 орудий. Противник потерял только убитыми до 4 тысяч солдат и офицеров.</w:t>
      </w:r>
    </w:p>
    <w:p w14:paraId="665A3815" w14:textId="77777777" w:rsidR="00720DFE" w:rsidRPr="002C1334" w:rsidRDefault="00720DFE" w:rsidP="00925F26">
      <w:pPr>
        <w:jc w:val="both"/>
        <w:rPr>
          <w:color w:val="000000" w:themeColor="text1"/>
          <w:sz w:val="16"/>
          <w:szCs w:val="16"/>
        </w:rPr>
      </w:pPr>
      <w:r w:rsidRPr="00925F26">
        <w:rPr>
          <w:color w:val="000000" w:themeColor="text1"/>
          <w:sz w:val="16"/>
          <w:szCs w:val="16"/>
        </w:rPr>
        <w:t xml:space="preserve">Рядовые, сержанты и офицеры войск 1-го Украинского фронта героическими подвигами прославляют боевые знамёна своих частей. Рота гвардии капитана Прилипко в ожесточённом бою уничтожила до батальона гитлеровцев. Подразделение капитана Губарева, вступив в бой с численно превосходящими силами противника, уничтожило до 300 немцев и взяло 90 пленных. Взвод лейтенанта Бойко обратил в бегство две роты немцев. Бойцы взвода уничтожили при этом 40 вражеских солдат и взяли 20 пленных. Орудийный расчёт сержанта Орловцева подбил немецкий танк, легковую автомашину и истребил группу солдат противника. Снайпер младший сержант Кузьмин в течение дня держал под обстрелом улицу одного немецкого села и убил 20 гитлеровцев. На рядового Михеда набросились немецкий офицер и два солдата. Михед выхватил нож и заколол напавших на него трёх немцев.» </w:t>
      </w:r>
      <w:r w:rsidRPr="002C1334">
        <w:rPr>
          <w:color w:val="000000" w:themeColor="text1"/>
          <w:sz w:val="16"/>
          <w:szCs w:val="16"/>
        </w:rPr>
        <w:t>(15040).</w:t>
      </w:r>
    </w:p>
    <w:p w14:paraId="2E26767D" w14:textId="77777777" w:rsidR="00720DFE" w:rsidRPr="002C1334" w:rsidRDefault="00720DFE" w:rsidP="00925F26">
      <w:pPr>
        <w:jc w:val="both"/>
        <w:rPr>
          <w:color w:val="000000" w:themeColor="text1"/>
          <w:sz w:val="16"/>
          <w:szCs w:val="16"/>
        </w:rPr>
      </w:pPr>
    </w:p>
    <w:p w14:paraId="6CCFFE84" w14:textId="77777777" w:rsidR="00D80690" w:rsidRPr="001A0BAA" w:rsidRDefault="00D80690" w:rsidP="00D80690">
      <w:pPr>
        <w:pStyle w:val="80"/>
        <w:spacing w:line="240" w:lineRule="auto"/>
        <w:jc w:val="both"/>
        <w:rPr>
          <w:rFonts w:ascii="Times New Roman" w:hAnsi="Times New Roman" w:cs="Times New Roman"/>
          <w:color w:val="0070C0"/>
        </w:rPr>
      </w:pPr>
      <w:r w:rsidRPr="001A0BAA">
        <w:rPr>
          <w:rStyle w:val="81"/>
          <w:rFonts w:ascii="Times New Roman" w:hAnsi="Times New Roman" w:cs="Times New Roman"/>
          <w:color w:val="0070C0"/>
        </w:rPr>
        <w:t xml:space="preserve">14 февраля 1945 года первыми на Советско-германском фронте с реактивными истребителями встретились лётчики </w:t>
      </w:r>
      <w:r w:rsidRPr="001A0BAA">
        <w:rPr>
          <w:rStyle w:val="81"/>
          <w:rFonts w:ascii="Times New Roman" w:eastAsia="Courier New" w:hAnsi="Times New Roman" w:cs="Times New Roman"/>
          <w:color w:val="0070C0"/>
        </w:rPr>
        <w:t xml:space="preserve">176-го </w:t>
      </w:r>
      <w:r w:rsidRPr="001A0BAA">
        <w:rPr>
          <w:rStyle w:val="81"/>
          <w:rFonts w:ascii="Times New Roman" w:hAnsi="Times New Roman" w:cs="Times New Roman"/>
          <w:color w:val="0070C0"/>
        </w:rPr>
        <w:t>гвардейского истребительно</w:t>
      </w:r>
      <w:r w:rsidRPr="001A0BAA">
        <w:rPr>
          <w:rStyle w:val="81"/>
          <w:rFonts w:ascii="Times New Roman" w:hAnsi="Times New Roman" w:cs="Times New Roman"/>
          <w:color w:val="0070C0"/>
        </w:rPr>
        <w:softHyphen/>
        <w:t xml:space="preserve">го </w:t>
      </w:r>
      <w:r w:rsidRPr="001A0BAA">
        <w:rPr>
          <w:rStyle w:val="81"/>
          <w:rFonts w:ascii="Times New Roman" w:eastAsia="Courier New" w:hAnsi="Times New Roman" w:cs="Times New Roman"/>
          <w:color w:val="0070C0"/>
        </w:rPr>
        <w:t xml:space="preserve">авиаполка </w:t>
      </w:r>
      <w:r w:rsidRPr="001A0BAA">
        <w:rPr>
          <w:rStyle w:val="81"/>
          <w:rFonts w:ascii="Times New Roman" w:hAnsi="Times New Roman" w:cs="Times New Roman"/>
          <w:color w:val="0070C0"/>
        </w:rPr>
        <w:t>(иап). В тот день А. С. Куманичкин в паре с команди</w:t>
      </w:r>
      <w:r w:rsidRPr="001A0BAA">
        <w:rPr>
          <w:rStyle w:val="81"/>
          <w:rFonts w:ascii="Times New Roman" w:hAnsi="Times New Roman" w:cs="Times New Roman"/>
          <w:color w:val="0070C0"/>
        </w:rPr>
        <w:softHyphen/>
        <w:t xml:space="preserve">ром </w:t>
      </w:r>
      <w:r w:rsidRPr="001A0BAA">
        <w:rPr>
          <w:rStyle w:val="81"/>
          <w:rFonts w:ascii="Times New Roman" w:eastAsia="Courier New" w:hAnsi="Times New Roman" w:cs="Times New Roman"/>
          <w:color w:val="0070C0"/>
        </w:rPr>
        <w:t xml:space="preserve">полка П.Ф. </w:t>
      </w:r>
      <w:r w:rsidRPr="001A0BAA">
        <w:rPr>
          <w:rStyle w:val="81"/>
          <w:rFonts w:ascii="Times New Roman" w:hAnsi="Times New Roman" w:cs="Times New Roman"/>
          <w:color w:val="0070C0"/>
        </w:rPr>
        <w:t>Чуnиковым увидели в возду</w:t>
      </w:r>
      <w:r w:rsidRPr="001A0BAA">
        <w:rPr>
          <w:rStyle w:val="81"/>
          <w:rFonts w:ascii="Times New Roman" w:hAnsi="Times New Roman" w:cs="Times New Roman"/>
          <w:color w:val="0070C0"/>
        </w:rPr>
        <w:softHyphen/>
        <w:t>хе необычный самолёт. Гвардейцы попьтались атаковать противника, но «немец» нео</w:t>
      </w:r>
      <w:r w:rsidRPr="001A0BAA">
        <w:rPr>
          <w:rStyle w:val="81"/>
          <w:rFonts w:ascii="Times New Roman" w:hAnsi="Times New Roman" w:cs="Times New Roman"/>
          <w:color w:val="0070C0"/>
        </w:rPr>
        <w:softHyphen/>
        <w:t xml:space="preserve">жиданно </w:t>
      </w:r>
      <w:r w:rsidRPr="001A0BAA">
        <w:rPr>
          <w:rStyle w:val="81"/>
          <w:rFonts w:ascii="Times New Roman" w:eastAsia="Courier New" w:hAnsi="Times New Roman" w:cs="Times New Roman"/>
          <w:color w:val="0070C0"/>
        </w:rPr>
        <w:t xml:space="preserve">и </w:t>
      </w:r>
      <w:r w:rsidRPr="001A0BAA">
        <w:rPr>
          <w:rStyle w:val="81"/>
          <w:rFonts w:ascii="Times New Roman" w:hAnsi="Times New Roman" w:cs="Times New Roman"/>
          <w:color w:val="0070C0"/>
        </w:rPr>
        <w:t>очень быстро оторвался от пре</w:t>
      </w:r>
      <w:r w:rsidRPr="001A0BAA">
        <w:rPr>
          <w:rStyle w:val="81"/>
          <w:rFonts w:ascii="Times New Roman" w:eastAsia="Courier New" w:hAnsi="Times New Roman" w:cs="Times New Roman"/>
          <w:color w:val="0070C0"/>
        </w:rPr>
        <w:t xml:space="preserve">следователей. </w:t>
      </w:r>
      <w:r w:rsidRPr="001A0BAA">
        <w:rPr>
          <w:rStyle w:val="81"/>
          <w:rFonts w:ascii="Times New Roman" w:hAnsi="Times New Roman" w:cs="Times New Roman"/>
          <w:color w:val="0070C0"/>
        </w:rPr>
        <w:t xml:space="preserve">После проявки пленки фото- </w:t>
      </w:r>
      <w:r w:rsidRPr="001A0BAA">
        <w:rPr>
          <w:rStyle w:val="81"/>
          <w:rFonts w:ascii="Times New Roman" w:eastAsia="Courier New" w:hAnsi="Times New Roman" w:cs="Times New Roman"/>
          <w:color w:val="0070C0"/>
        </w:rPr>
        <w:t xml:space="preserve">кинопулёмета стало </w:t>
      </w:r>
      <w:r w:rsidRPr="001A0BAA">
        <w:rPr>
          <w:rStyle w:val="81"/>
          <w:rFonts w:ascii="Times New Roman" w:hAnsi="Times New Roman" w:cs="Times New Roman"/>
          <w:color w:val="0070C0"/>
        </w:rPr>
        <w:t>ясно, что это был но</w:t>
      </w:r>
      <w:r w:rsidRPr="001A0BAA">
        <w:rPr>
          <w:rStyle w:val="81"/>
          <w:rFonts w:ascii="Times New Roman" w:hAnsi="Times New Roman" w:cs="Times New Roman"/>
          <w:color w:val="0070C0"/>
        </w:rPr>
        <w:softHyphen/>
        <w:t xml:space="preserve">вейший реактивный истребитель Ме.262. Это была первая, но не последняя встреча </w:t>
      </w:r>
      <w:r w:rsidRPr="001A0BAA">
        <w:rPr>
          <w:rStyle w:val="81"/>
          <w:rFonts w:ascii="Times New Roman" w:eastAsia="Courier New" w:hAnsi="Times New Roman" w:cs="Times New Roman"/>
          <w:color w:val="0070C0"/>
        </w:rPr>
        <w:t xml:space="preserve">лётчиков 176-го </w:t>
      </w:r>
      <w:r w:rsidRPr="001A0BAA">
        <w:rPr>
          <w:rStyle w:val="81"/>
          <w:rFonts w:ascii="Times New Roman" w:hAnsi="Times New Roman" w:cs="Times New Roman"/>
          <w:color w:val="0070C0"/>
        </w:rPr>
        <w:t>гвардейского иап с реактив</w:t>
      </w:r>
      <w:r w:rsidRPr="001A0BAA">
        <w:rPr>
          <w:rStyle w:val="81"/>
          <w:rFonts w:ascii="Times New Roman" w:hAnsi="Times New Roman" w:cs="Times New Roman"/>
          <w:color w:val="0070C0"/>
        </w:rPr>
        <w:softHyphen/>
        <w:t>ной техникой немцев (25113).</w:t>
      </w:r>
    </w:p>
    <w:p w14:paraId="0263ED7E" w14:textId="77777777" w:rsidR="00D80690" w:rsidRPr="001A0BAA" w:rsidRDefault="00D80690" w:rsidP="00D80690">
      <w:pPr>
        <w:jc w:val="both"/>
        <w:rPr>
          <w:color w:val="0070C0"/>
          <w:sz w:val="16"/>
          <w:szCs w:val="16"/>
        </w:rPr>
      </w:pPr>
    </w:p>
    <w:p w14:paraId="149C7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February 14, 1945: On the Eastern front in Silesia, the Soviet 1st Ukrainian Front (Konev) encircles Breslau which has been declared a fortress under the command of Gauleiter Hanke. </w:t>
      </w:r>
      <w:r w:rsidRPr="00925F26">
        <w:rPr>
          <w:color w:val="000000" w:themeColor="text1"/>
          <w:sz w:val="16"/>
          <w:szCs w:val="16"/>
        </w:rPr>
        <w:t>Uruguay declares war against Germany (3819).</w:t>
      </w:r>
    </w:p>
    <w:p w14:paraId="50EA10D4" w14:textId="77777777" w:rsidR="00665165" w:rsidRPr="00925F26" w:rsidRDefault="00665165" w:rsidP="00925F26">
      <w:pPr>
        <w:autoSpaceDE w:val="0"/>
        <w:autoSpaceDN w:val="0"/>
        <w:adjustRightInd w:val="0"/>
        <w:jc w:val="both"/>
        <w:rPr>
          <w:color w:val="000000" w:themeColor="text1"/>
          <w:sz w:val="16"/>
          <w:szCs w:val="16"/>
        </w:rPr>
      </w:pPr>
    </w:p>
    <w:p w14:paraId="3E9464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1УФ (Конев) окружил Бреслау, который был объявлен крепостью. Уругвай объявил войну Германии (3819).</w:t>
      </w:r>
    </w:p>
    <w:p w14:paraId="5DEF4A6E" w14:textId="77777777" w:rsidR="00665165" w:rsidRPr="00925F26" w:rsidRDefault="00665165" w:rsidP="00925F26">
      <w:pPr>
        <w:autoSpaceDE w:val="0"/>
        <w:autoSpaceDN w:val="0"/>
        <w:adjustRightInd w:val="0"/>
        <w:jc w:val="both"/>
        <w:rPr>
          <w:color w:val="000000" w:themeColor="text1"/>
          <w:sz w:val="16"/>
          <w:szCs w:val="16"/>
        </w:rPr>
      </w:pPr>
    </w:p>
    <w:p w14:paraId="4007425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189D2E8" w14:textId="77777777" w:rsidR="00665165" w:rsidRPr="00925F26" w:rsidRDefault="00665165" w:rsidP="00925F26">
      <w:pPr>
        <w:autoSpaceDE w:val="0"/>
        <w:autoSpaceDN w:val="0"/>
        <w:adjustRightInd w:val="0"/>
        <w:jc w:val="both"/>
        <w:rPr>
          <w:iCs/>
          <w:color w:val="000000" w:themeColor="text1"/>
          <w:sz w:val="16"/>
          <w:szCs w:val="16"/>
        </w:rPr>
      </w:pPr>
    </w:p>
    <w:p w14:paraId="4F6D08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года были проведены первые испытания самолета Бахэма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24E8A7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0C68B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283AD7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4658172" w14:textId="77777777" w:rsidR="00665165" w:rsidRPr="00925F26" w:rsidRDefault="00665165" w:rsidP="00925F26">
      <w:pPr>
        <w:autoSpaceDE w:val="0"/>
        <w:autoSpaceDN w:val="0"/>
        <w:adjustRightInd w:val="0"/>
        <w:jc w:val="both"/>
        <w:rPr>
          <w:color w:val="000000" w:themeColor="text1"/>
          <w:sz w:val="16"/>
          <w:szCs w:val="16"/>
        </w:rPr>
      </w:pPr>
    </w:p>
    <w:p w14:paraId="24690A9B" w14:textId="50D1942B" w:rsidR="002C1BDA" w:rsidRPr="00925F26" w:rsidRDefault="002C1BDA" w:rsidP="00925F26">
      <w:pPr>
        <w:jc w:val="both"/>
        <w:rPr>
          <w:color w:val="000000" w:themeColor="text1"/>
          <w:sz w:val="16"/>
          <w:szCs w:val="16"/>
        </w:rPr>
      </w:pPr>
      <w:r w:rsidRPr="00925F26">
        <w:rPr>
          <w:color w:val="000000" w:themeColor="text1"/>
          <w:sz w:val="16"/>
          <w:szCs w:val="16"/>
        </w:rPr>
        <w:t>14 февраля 1945</w:t>
      </w:r>
      <w:r w:rsidR="00997EDF" w:rsidRPr="00925F26">
        <w:rPr>
          <w:color w:val="000000" w:themeColor="text1"/>
          <w:sz w:val="16"/>
          <w:szCs w:val="16"/>
        </w:rPr>
        <w:t xml:space="preserve">  </w:t>
      </w:r>
      <w:r w:rsidRPr="00925F26">
        <w:rPr>
          <w:color w:val="000000" w:themeColor="text1"/>
          <w:sz w:val="16"/>
          <w:szCs w:val="16"/>
        </w:rPr>
        <w:t>- Проведено первое испытание в свободном полёте пилотируемого ракетного Bachеm Ва-349 («Natter») конструктора Эрика Бохема. Bachem Ba 349 Natter — немецкий одноместный ракетный истребитель-перехватчик вертикального взлёта. Разработан и испытан в конце Второй мировой. Был разработан для борьбы с бомбардировщиками антигитлеровской коалиции. ЛА был отцеплен от самолёта-буксировщика «Не-111» на высоте 5500 метров, после чего пилот взял управление на себя. При пологом пикировании была достигнута скорость 700 км/ч, на высоте 900 метров лётчик привёл в действие спасательный комплекс, позволивший совершить парашютную посадку на землю пилоту и спасаемым частям истребителя (22598).</w:t>
      </w:r>
    </w:p>
    <w:p w14:paraId="6CC8B3AC" w14:textId="77777777" w:rsidR="002C1BDA" w:rsidRPr="00925F26" w:rsidRDefault="002C1BDA" w:rsidP="00925F26">
      <w:pPr>
        <w:jc w:val="both"/>
        <w:rPr>
          <w:color w:val="000000" w:themeColor="text1"/>
          <w:sz w:val="16"/>
          <w:szCs w:val="16"/>
        </w:rPr>
      </w:pPr>
    </w:p>
    <w:p w14:paraId="7523F11D" w14:textId="77777777" w:rsidR="008741BA" w:rsidRPr="00925F26" w:rsidRDefault="008741BA"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пилот Королевских ВВС Raymond на истребителе "Спитфайр" (Spitfire) в районе Гааги пытался атаковать стартующую БР "A-4"/SS-1/Scunner, атака к счастью пилота закончилась ничем. Единственный известный в истории применения "А-4" случай атаки ракеты во время полета (15040).</w:t>
      </w:r>
    </w:p>
    <w:p w14:paraId="7EE5EBBA" w14:textId="77777777" w:rsidR="008741BA" w:rsidRPr="00925F26" w:rsidRDefault="008741BA" w:rsidP="00925F26">
      <w:pPr>
        <w:jc w:val="both"/>
        <w:rPr>
          <w:color w:val="000000" w:themeColor="text1"/>
          <w:sz w:val="16"/>
          <w:szCs w:val="16"/>
        </w:rPr>
      </w:pPr>
    </w:p>
    <w:p w14:paraId="55914B0F" w14:textId="77777777" w:rsidR="008741BA" w:rsidRPr="00925F26" w:rsidRDefault="008741BA"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проведено первые испытание в свободном полёте германского пилотируемого ракетного истребителя перехватчика Bacham "Ва-349" ("Natter"), конструктора Эрика Бохема. ЛА был отцеплен от самолета буксировщика "Не-111" на высоте 5500 метров, после чего пилот Ганс Цюберт взял управление на себя. При пологом пикировании была достигнута скорость 700 км/ч, на высоте 900 метров летчик привел в действие спасательный комплекс позволивший совершить парашютную посадку на землю пилоту и спасаемым частям истребителя (15040).</w:t>
      </w:r>
    </w:p>
    <w:p w14:paraId="41F96E78" w14:textId="77777777" w:rsidR="008741BA" w:rsidRPr="00925F26" w:rsidRDefault="008741BA" w:rsidP="00925F26">
      <w:pPr>
        <w:jc w:val="both"/>
        <w:rPr>
          <w:color w:val="000000" w:themeColor="text1"/>
          <w:sz w:val="16"/>
          <w:szCs w:val="16"/>
        </w:rPr>
      </w:pPr>
    </w:p>
    <w:p w14:paraId="190FBA47" w14:textId="77777777" w:rsidR="008741BA" w:rsidRPr="00925F26" w:rsidRDefault="008741BA"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по неофициальной информации был проведен испытательный полет экспериментального германского ЛА "дисколета". "Машина набрала высоту 12400 м., горизонтальная скорость полета составила около 200 км/час. Вокруг куполообразной кабины пилота вращалось широкое плоское кольцо, приводимое в действие управляемыми соплами. По другим сведениям, эта машина (или одна из них) в конце 1944 года испытывалась в районе Шпицбергена, где и была потеряна... Самое интересное, что в 1952-м году там действительно был найден дискообразный аппарат" (15040).</w:t>
      </w:r>
    </w:p>
    <w:p w14:paraId="0B69F09D" w14:textId="77777777" w:rsidR="008741BA" w:rsidRPr="00925F26" w:rsidRDefault="008741BA" w:rsidP="00925F26">
      <w:pPr>
        <w:jc w:val="both"/>
        <w:rPr>
          <w:color w:val="000000" w:themeColor="text1"/>
          <w:sz w:val="16"/>
          <w:szCs w:val="16"/>
        </w:rPr>
      </w:pPr>
    </w:p>
    <w:p w14:paraId="7A408110" w14:textId="77777777" w:rsidR="008741BA" w:rsidRPr="00925F26" w:rsidRDefault="008741BA"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(по неофициальной информации) был проведен испытательный полет экспериментального германского ЛА "дисколет". "Машина набрала высоту 12400 м., горизонтальная скорость полета составила около 200 км/час. Вокруг куполообразной кабины пилота вращалось широкое плоское кольцо, приводимое в действие управляемыми соплами. По другим сведениям, эта машина (или одна из них) в конце 1944 года испытывалась в районе Шпицбергена, где и была потеряна... Самое интересное, что в 1952-м году там действительно был найден дискообразный аппарат". Практически ничего не известно об еще одном проекте инженера Ахенбаха – дисколете </w:t>
      </w:r>
      <w:hyperlink r:id="rId37" w:tgtFrame="_blank" w:history="1">
        <w:r w:rsidRPr="00925F26">
          <w:rPr>
            <w:color w:val="000000" w:themeColor="text1"/>
            <w:sz w:val="16"/>
            <w:szCs w:val="16"/>
          </w:rPr>
          <w:t xml:space="preserve">«Spiegelei», </w:t>
        </w:r>
      </w:hyperlink>
      <w:r w:rsidRPr="00925F26">
        <w:rPr>
          <w:color w:val="000000" w:themeColor="text1"/>
          <w:sz w:val="16"/>
          <w:szCs w:val="16"/>
        </w:rPr>
        <w:t>разработанном в конце Второй Мировой войны. Фактически, в истории осталось только его название (Spiegelei в переводе с немецкого – яичница-глазунья), по которому можно сделать некоторые догадки относительно его внешнего вида и конфигурации. Вероятно, это был экспериментальный летательный аппарат с кабиной на одного пилота и кольцом двигателей в нижней части диска. В центре дисколета располагался то ли смотровой колпак кабины пилота, то ли выступающая верхняя часть энергетической установки. Кольца по периметру диска позволяют предположить, что конструкция аппарата Ахенбаха базировалась на аэродинамических принципах, внедренных Людвигом Прандтлом на самолете компании «Юнкерс» «Junkers» «AF-1» Absaugeflugzeug («вакуумный самолет»), получившем прозвище «Волчок». Нет никаких документальных свидетельств относительно того, был ли построен какой-либо прототип дисколета «Глазунья». В то же время, доподлинно известно, что AVA (Аэродинамическая лаборатория в Гёттингене) использовала концепт вакуумного мотора в двух ранних моделях самолетов «AF-1» и «AF-2» в 1938-1940 годах. Все летные испытания этих аппаратов носили исключительно экспериментальный характер и никогда не применялись на боевых моделях «AF-1» и «AF-2» (15040).</w:t>
      </w:r>
    </w:p>
    <w:p w14:paraId="17A42E56" w14:textId="77777777" w:rsidR="008741BA" w:rsidRPr="00925F26" w:rsidRDefault="008741BA" w:rsidP="00925F26">
      <w:pPr>
        <w:jc w:val="both"/>
        <w:rPr>
          <w:color w:val="000000" w:themeColor="text1"/>
          <w:sz w:val="16"/>
          <w:szCs w:val="16"/>
        </w:rPr>
      </w:pPr>
    </w:p>
    <w:p w14:paraId="109265E6" w14:textId="77777777" w:rsidR="008741BA" w:rsidRPr="00925F26" w:rsidRDefault="008741BA"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в Германии запущена последняя ракета «A-4». Пилот британских Королевских ВВС Raymond на истребителе "Спитфайр" (Spitfire) в районе Гааги пытался атаковать стартующую БР "A-4"/SS-1/Scunner, атака к счастью пилота закончилась ничем. Единственный известный в истории применения "А-4" случай атаки ракеты во время полета (15040).</w:t>
      </w:r>
    </w:p>
    <w:p w14:paraId="5B5BD510" w14:textId="77777777" w:rsidR="008741BA" w:rsidRPr="00925F26" w:rsidRDefault="008741BA" w:rsidP="00925F26">
      <w:pPr>
        <w:jc w:val="both"/>
        <w:rPr>
          <w:color w:val="000000" w:themeColor="text1"/>
          <w:sz w:val="16"/>
          <w:szCs w:val="16"/>
        </w:rPr>
      </w:pPr>
    </w:p>
    <w:p w14:paraId="6D099C9A" w14:textId="77777777" w:rsidR="003C19E1" w:rsidRPr="00925F26" w:rsidRDefault="003C19E1" w:rsidP="00925F26">
      <w:pPr>
        <w:jc w:val="both"/>
        <w:rPr>
          <w:color w:val="000000" w:themeColor="text1"/>
          <w:sz w:val="16"/>
          <w:szCs w:val="16"/>
        </w:rPr>
      </w:pPr>
      <w:r w:rsidRPr="00925F26">
        <w:rPr>
          <w:color w:val="000000" w:themeColor="text1"/>
          <w:sz w:val="16"/>
          <w:szCs w:val="16"/>
        </w:rPr>
        <w:t>14 февраля 1945 года взлетела послед</w:t>
      </w:r>
      <w:r w:rsidRPr="00925F26">
        <w:rPr>
          <w:color w:val="000000" w:themeColor="text1"/>
          <w:sz w:val="16"/>
          <w:szCs w:val="16"/>
        </w:rPr>
        <w:softHyphen/>
        <w:t>няя ракета А-4 с площадки Центра Пенемюнде. Эсэсовские команды не успели полностью разрушить все оборудова</w:t>
      </w:r>
      <w:r w:rsidRPr="00925F26">
        <w:rPr>
          <w:color w:val="000000" w:themeColor="text1"/>
          <w:sz w:val="16"/>
          <w:szCs w:val="16"/>
        </w:rPr>
        <w:softHyphen/>
        <w:t>ние и готовую продукцию, которую не удавалось эвакуировать. При этом было уничтожено более 30 тысяч во</w:t>
      </w:r>
      <w:r w:rsidRPr="00925F26">
        <w:rPr>
          <w:color w:val="000000" w:themeColor="text1"/>
          <w:sz w:val="16"/>
          <w:szCs w:val="16"/>
        </w:rPr>
        <w:softHyphen/>
        <w:t>еннопленных и политзаключенных, занятых на строительстве секретных объектов (19630).</w:t>
      </w:r>
    </w:p>
    <w:p w14:paraId="24C9BF53" w14:textId="77777777" w:rsidR="003C19E1" w:rsidRPr="00925F26" w:rsidRDefault="003C19E1" w:rsidP="00925F26">
      <w:pPr>
        <w:jc w:val="both"/>
        <w:rPr>
          <w:color w:val="000000" w:themeColor="text1"/>
          <w:sz w:val="16"/>
          <w:szCs w:val="16"/>
        </w:rPr>
      </w:pPr>
    </w:p>
    <w:p w14:paraId="6ABDA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немцами была запущена последняя ракета А-4 (2528), N 4299 производства Миттельверке (2990).</w:t>
      </w:r>
    </w:p>
    <w:p w14:paraId="086BEBEB" w14:textId="77777777" w:rsidR="00665165" w:rsidRPr="00925F26" w:rsidRDefault="00665165" w:rsidP="00925F26">
      <w:pPr>
        <w:autoSpaceDE w:val="0"/>
        <w:autoSpaceDN w:val="0"/>
        <w:adjustRightInd w:val="0"/>
        <w:jc w:val="both"/>
        <w:rPr>
          <w:color w:val="000000" w:themeColor="text1"/>
          <w:sz w:val="16"/>
          <w:szCs w:val="16"/>
        </w:rPr>
      </w:pPr>
    </w:p>
    <w:p w14:paraId="2F463A1D" w14:textId="77777777" w:rsidR="008741BA" w:rsidRPr="00925F26" w:rsidRDefault="008741BA" w:rsidP="00925F26">
      <w:pPr>
        <w:jc w:val="both"/>
        <w:rPr>
          <w:color w:val="000000" w:themeColor="text1"/>
          <w:sz w:val="16"/>
          <w:szCs w:val="16"/>
        </w:rPr>
      </w:pPr>
      <w:r w:rsidRPr="00925F26">
        <w:rPr>
          <w:bCs/>
          <w:color w:val="000000" w:themeColor="text1"/>
          <w:sz w:val="16"/>
          <w:szCs w:val="16"/>
        </w:rPr>
        <w:t>14 февраля</w:t>
      </w:r>
      <w:r w:rsidRPr="00925F26">
        <w:rPr>
          <w:color w:val="000000" w:themeColor="text1"/>
          <w:sz w:val="16"/>
          <w:szCs w:val="16"/>
        </w:rPr>
        <w:t xml:space="preserve"> в 1945 году в исследовательском ракетном центре Пенемюнде был проведен последний испытательный пуск германской баллистической ракеты "A-4"/SS-1/Scunner/(Фау-2) с заводским номером 4299 (15040).</w:t>
      </w:r>
    </w:p>
    <w:p w14:paraId="343036AA" w14:textId="77777777" w:rsidR="008741BA" w:rsidRPr="00925F26" w:rsidRDefault="008741BA" w:rsidP="00925F26">
      <w:pPr>
        <w:jc w:val="both"/>
        <w:rPr>
          <w:color w:val="000000" w:themeColor="text1"/>
          <w:sz w:val="16"/>
          <w:szCs w:val="16"/>
        </w:rPr>
      </w:pPr>
    </w:p>
    <w:p w14:paraId="0A22268B" w14:textId="6A7E233E" w:rsidR="002C1BDA" w:rsidRPr="00925F26" w:rsidRDefault="002C1BDA" w:rsidP="00925F26">
      <w:pPr>
        <w:jc w:val="both"/>
        <w:rPr>
          <w:color w:val="000000" w:themeColor="text1"/>
          <w:sz w:val="16"/>
          <w:szCs w:val="16"/>
        </w:rPr>
      </w:pPr>
      <w:r w:rsidRPr="00925F26">
        <w:rPr>
          <w:color w:val="000000" w:themeColor="text1"/>
          <w:sz w:val="16"/>
          <w:szCs w:val="16"/>
        </w:rPr>
        <w:t>14 февраля 1945</w:t>
      </w:r>
      <w:r w:rsidR="00997EDF" w:rsidRPr="00925F26">
        <w:rPr>
          <w:color w:val="000000" w:themeColor="text1"/>
          <w:sz w:val="16"/>
          <w:szCs w:val="16"/>
        </w:rPr>
        <w:t xml:space="preserve">  </w:t>
      </w:r>
      <w:r w:rsidRPr="00925F26">
        <w:rPr>
          <w:color w:val="000000" w:themeColor="text1"/>
          <w:sz w:val="16"/>
          <w:szCs w:val="16"/>
        </w:rPr>
        <w:t>- Пилот британских Королевских ВВС Raymond на истребителе "Спитфайр" (Spitfire) в районе Гааги пытался атаковать стартующую БР "A-4", атака к счастью пилота закончилась ничем. Единственный известный в истории применения "А-4" случай атаки ракеты во время полета (22598).</w:t>
      </w:r>
    </w:p>
    <w:p w14:paraId="5B2D5EF6" w14:textId="77777777" w:rsidR="002C1BDA" w:rsidRPr="00925F26" w:rsidRDefault="002C1BDA" w:rsidP="00925F26">
      <w:pPr>
        <w:jc w:val="both"/>
        <w:rPr>
          <w:color w:val="000000" w:themeColor="text1"/>
          <w:sz w:val="16"/>
          <w:szCs w:val="16"/>
        </w:rPr>
      </w:pPr>
    </w:p>
    <w:p w14:paraId="76A0F39B" w14:textId="17F93275" w:rsidR="002C1BDA" w:rsidRPr="00925F26" w:rsidRDefault="002C1BDA" w:rsidP="00925F26">
      <w:pPr>
        <w:jc w:val="both"/>
        <w:rPr>
          <w:color w:val="000000" w:themeColor="text1"/>
          <w:sz w:val="16"/>
          <w:szCs w:val="16"/>
        </w:rPr>
      </w:pPr>
      <w:r w:rsidRPr="00925F26">
        <w:rPr>
          <w:color w:val="000000" w:themeColor="text1"/>
          <w:sz w:val="16"/>
          <w:szCs w:val="16"/>
        </w:rPr>
        <w:t xml:space="preserve">14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Бомбардировка столицы оккупированной Германией Чехословакии Праги, проведённая ВВС США. Как позднее утверждали их представители, бомбардировка произошла по ошибке вследствие того, что самолёты, летевшие бомбить Дрезден, сбились с курса. В результате погиб 701 человек и было ранено 1184 человека, все они являлись гражданскими лицами (2598).</w:t>
      </w:r>
    </w:p>
    <w:p w14:paraId="17AE8543" w14:textId="77777777" w:rsidR="002C1BDA" w:rsidRPr="00925F26" w:rsidRDefault="002C1BDA" w:rsidP="00925F26">
      <w:pPr>
        <w:jc w:val="both"/>
        <w:rPr>
          <w:color w:val="000000" w:themeColor="text1"/>
          <w:sz w:val="16"/>
          <w:szCs w:val="16"/>
        </w:rPr>
      </w:pPr>
    </w:p>
    <w:p w14:paraId="38ADE0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февраля 1945 г. состоялась встреча Ф.Рузвельта и Ибн Сауд, которая оформила новый характер отношений между двумя странами. Заключается целый ряд соглашений о военном и экономическом сотрудничестве (3871).</w:t>
      </w:r>
    </w:p>
    <w:p w14:paraId="017F6A43" w14:textId="77777777" w:rsidR="00665165" w:rsidRPr="00925F26" w:rsidRDefault="00665165" w:rsidP="00925F26">
      <w:pPr>
        <w:autoSpaceDE w:val="0"/>
        <w:autoSpaceDN w:val="0"/>
        <w:adjustRightInd w:val="0"/>
        <w:jc w:val="both"/>
        <w:rPr>
          <w:color w:val="000000" w:themeColor="text1"/>
          <w:sz w:val="16"/>
          <w:szCs w:val="16"/>
        </w:rPr>
      </w:pPr>
    </w:p>
    <w:p w14:paraId="101C3C5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644CC8D" w14:textId="77777777" w:rsidR="00665165" w:rsidRPr="00925F26" w:rsidRDefault="00665165" w:rsidP="00925F26">
      <w:pPr>
        <w:autoSpaceDE w:val="0"/>
        <w:autoSpaceDN w:val="0"/>
        <w:adjustRightInd w:val="0"/>
        <w:jc w:val="both"/>
        <w:rPr>
          <w:iCs/>
          <w:color w:val="000000" w:themeColor="text1"/>
          <w:sz w:val="16"/>
          <w:szCs w:val="16"/>
        </w:rPr>
      </w:pPr>
    </w:p>
    <w:p w14:paraId="3867F9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года генерал-лейтенант ИАС Кузнецов писал письмо N Н-32/734 зам. командующего ВВС генерал-полковнику ИАС Репину.</w:t>
      </w:r>
    </w:p>
    <w:p w14:paraId="07DB9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Для проверки высотности и надежности работы агрегатов </w:t>
      </w:r>
      <w:proofErr w:type="gramStart"/>
      <w:r w:rsidRPr="00925F26">
        <w:rPr>
          <w:color w:val="000000" w:themeColor="text1"/>
          <w:sz w:val="16"/>
          <w:szCs w:val="16"/>
        </w:rPr>
        <w:t>опытных авиадизелей</w:t>
      </w:r>
      <w:proofErr w:type="gramEnd"/>
      <w:r w:rsidRPr="00925F26">
        <w:rPr>
          <w:color w:val="000000" w:themeColor="text1"/>
          <w:sz w:val="16"/>
          <w:szCs w:val="16"/>
        </w:rPr>
        <w:t xml:space="preserve"> выпускаемых заводом N 500, при заводе организуется летно-испытательная станция (ЛИС).</w:t>
      </w:r>
    </w:p>
    <w:p w14:paraId="0E034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этих целей нами предполагается использовать самолет Пе-8, на котором будут установлены проверенные серийные моторы на крайних моторамах и опытные на средних.</w:t>
      </w:r>
    </w:p>
    <w:p w14:paraId="2F4F26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передать заводу N 500 из 45 Авиационной дивизии ДД (командир дивизии генерал-майор Лебедев) самолет Пе-8 4АЧ-30Б в настоящее время законсервированный из-за выработки моторами установленного ресурса (1879).</w:t>
      </w:r>
    </w:p>
    <w:p w14:paraId="0A977AC0" w14:textId="77777777" w:rsidR="00665165" w:rsidRPr="00925F26" w:rsidRDefault="00665165" w:rsidP="00925F26">
      <w:pPr>
        <w:autoSpaceDE w:val="0"/>
        <w:autoSpaceDN w:val="0"/>
        <w:adjustRightInd w:val="0"/>
        <w:jc w:val="both"/>
        <w:rPr>
          <w:color w:val="000000" w:themeColor="text1"/>
          <w:sz w:val="16"/>
          <w:szCs w:val="16"/>
        </w:rPr>
      </w:pPr>
    </w:p>
    <w:p w14:paraId="704CCC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закончился второй этап войсковых испытаний Як-9К с ВК-105ПФ и ВИШ-62П диаметром 3.0 м и с НС-45 в 274 иап 278 иад и 812 иап 65 иад на 1-м Белорусском, который шел с 15 января 1945. Летало 44 машины и налетали 402:03 выполнив 51 воздушный бой. Сбили 12 истребителей тратя на 1 5 снарядов в среднем. Попадание уничтожало машину. Хотели в серию, но так и не запустили, так как НС-45 работала ненадежно и потом появился Як-9У с Н-45 (65,131).</w:t>
      </w:r>
    </w:p>
    <w:p w14:paraId="4D3FC031" w14:textId="77777777" w:rsidR="00665165" w:rsidRPr="00925F26" w:rsidRDefault="00665165" w:rsidP="00925F26">
      <w:pPr>
        <w:autoSpaceDE w:val="0"/>
        <w:autoSpaceDN w:val="0"/>
        <w:adjustRightInd w:val="0"/>
        <w:jc w:val="both"/>
        <w:rPr>
          <w:color w:val="000000" w:themeColor="text1"/>
          <w:sz w:val="16"/>
          <w:szCs w:val="16"/>
        </w:rPr>
      </w:pPr>
    </w:p>
    <w:p w14:paraId="21BCE6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года вышел приказ № 62 НКАП</w:t>
      </w:r>
    </w:p>
    <w:p w14:paraId="66DA0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Новосибирской киностудией Сибтехфильм по заданию 1 гл. управления закончен производством кинофильм “Истребитель на потоке”.</w:t>
      </w:r>
    </w:p>
    <w:p w14:paraId="55217B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фильм впервые показывает опыт работы завода № 292, наиболее полно решившего задачи внедрения поточных методов производства (8961).</w:t>
      </w:r>
    </w:p>
    <w:p w14:paraId="008274FD" w14:textId="77777777" w:rsidR="00665165" w:rsidRPr="00925F26" w:rsidRDefault="00665165" w:rsidP="00925F26">
      <w:pPr>
        <w:autoSpaceDE w:val="0"/>
        <w:autoSpaceDN w:val="0"/>
        <w:adjustRightInd w:val="0"/>
        <w:jc w:val="both"/>
        <w:rPr>
          <w:color w:val="000000" w:themeColor="text1"/>
          <w:sz w:val="16"/>
          <w:szCs w:val="16"/>
        </w:rPr>
      </w:pPr>
    </w:p>
    <w:p w14:paraId="27CEB1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года вышел приказ № 63 НКАП</w:t>
      </w:r>
    </w:p>
    <w:p w14:paraId="3F7C60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обеспечения выполнения Постановления ГОКО за № 6639с от 1 октября 1944 года о расширении производства электрических измерительных приборов и автоматов:</w:t>
      </w:r>
    </w:p>
    <w:p w14:paraId="217DD54A"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Организовать при заводе № 218 ОКБ.</w:t>
      </w:r>
    </w:p>
    <w:p w14:paraId="736C2BBB"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Гл. конструктором ОКБ при заводе № 218 назначить Андреева А.А., освободив его от работы гл. конструктора завода № 149 (8961).</w:t>
      </w:r>
    </w:p>
    <w:p w14:paraId="17D69973"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1EC995A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67E6548" w14:textId="77777777" w:rsidR="00665165" w:rsidRPr="00925F26" w:rsidRDefault="00665165" w:rsidP="00925F26">
      <w:pPr>
        <w:autoSpaceDE w:val="0"/>
        <w:autoSpaceDN w:val="0"/>
        <w:adjustRightInd w:val="0"/>
        <w:jc w:val="both"/>
        <w:rPr>
          <w:iCs/>
          <w:color w:val="000000" w:themeColor="text1"/>
          <w:sz w:val="16"/>
          <w:szCs w:val="16"/>
        </w:rPr>
      </w:pPr>
    </w:p>
    <w:p w14:paraId="2A0057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февраля 1945 г. была подготовлена ДОКЛАДНАЯ ЗАПИСКА ЗАМЕСТИТЕЛЯ НАЧАЛЬНИКА НИБТ ПОЛИГОНА НАЧАЛЬНИКУ УПРАВЛЕНИЯ САМОХОДНОЙ АРТИЛЛЕРИИ ГБТУ КА ПО ИСПЫТАНИЯМ САМОХОДНОЙ АРТУСТАНОВКИ СУ-100 №0291</w:t>
      </w:r>
    </w:p>
    <w:p w14:paraId="6A2B4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представленном НИБТ полигоном отчете по испытаниям самоходной артустановки СУ-100 Уралмашзавода (декабрьского выпуска 1944 г.) отмечен дефект — срыв металлических бандажей с дисков 3-х катков и разрушение резиновых массивов шин 6-ти катков.</w:t>
      </w:r>
    </w:p>
    <w:p w14:paraId="19729C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Срыв бандажей с дисков происходил с разрушением сварочных швов, удерживающих банда</w:t>
      </w:r>
      <w:r w:rsidRPr="00925F26">
        <w:rPr>
          <w:color w:val="000000" w:themeColor="text1"/>
          <w:sz w:val="16"/>
          <w:szCs w:val="16"/>
        </w:rPr>
        <w:softHyphen/>
        <w:t>жи на дисках.</w:t>
      </w:r>
    </w:p>
    <w:p w14:paraId="5CE5C3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 разрушения резиновых массивен шин — отрыв кусков резины с явлением расслое</w:t>
      </w:r>
      <w:r w:rsidRPr="00925F26">
        <w:rPr>
          <w:color w:val="000000" w:themeColor="text1"/>
          <w:sz w:val="16"/>
          <w:szCs w:val="16"/>
        </w:rPr>
        <w:softHyphen/>
        <w:t>ния и без осмоления.</w:t>
      </w:r>
    </w:p>
    <w:p w14:paraId="7588E6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Начало разрушения резинового массива шины первого левого внугреннего катка обнаружено до срыва бандажей с дисков других катков. При дальнейших испытаниях машины, на первом и вто</w:t>
      </w:r>
      <w:r w:rsidRPr="00925F26">
        <w:rPr>
          <w:color w:val="000000" w:themeColor="text1"/>
          <w:sz w:val="16"/>
          <w:szCs w:val="16"/>
        </w:rPr>
        <w:softHyphen/>
        <w:t>ром катках левой стороны полностью разрушились резиновые массивы после срыва бандажа и раз</w:t>
      </w:r>
      <w:r w:rsidRPr="00925F26">
        <w:rPr>
          <w:color w:val="000000" w:themeColor="text1"/>
          <w:sz w:val="16"/>
          <w:szCs w:val="16"/>
        </w:rPr>
        <w:softHyphen/>
        <w:t>рушения резинового массива третьего левого внутреннего катка.</w:t>
      </w:r>
    </w:p>
    <w:p w14:paraId="1FFCCB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наружных третьих катках правой и левой стороны резиновые массивы были также разру</w:t>
      </w:r>
      <w:r w:rsidRPr="00925F26">
        <w:rPr>
          <w:color w:val="000000" w:themeColor="text1"/>
          <w:sz w:val="16"/>
          <w:szCs w:val="16"/>
        </w:rPr>
        <w:softHyphen/>
        <w:t>шены, а па внутренних катках были сорваны бандажи с дисков. Причиной срыва бандажей с дис</w:t>
      </w:r>
      <w:r w:rsidRPr="00925F26">
        <w:rPr>
          <w:color w:val="000000" w:themeColor="text1"/>
          <w:sz w:val="16"/>
          <w:szCs w:val="16"/>
        </w:rPr>
        <w:softHyphen/>
        <w:t>ков является недостаточно плотная посадка бандажей на диски, что обусловлено недостаточным контролем за допусками на изготовление бандажей и дисков при механической обработке, а также и за качеством сборки катков (за запрессовкой и сваркой).</w:t>
      </w:r>
    </w:p>
    <w:p w14:paraId="40270A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различному поведению резиновых массивов первого левого катка и первого правого на</w:t>
      </w:r>
      <w:r w:rsidRPr="00925F26">
        <w:rPr>
          <w:color w:val="000000" w:themeColor="text1"/>
          <w:sz w:val="16"/>
          <w:szCs w:val="16"/>
        </w:rPr>
        <w:softHyphen/>
        <w:t>ружного (после срыва бандажа), и по характеру разрушения резиновых массивов (расслоение без осмоления, с отрывом кусков резины) можно заключить, что качество резины отдельных катков было низким и объясняется недостаточным контролем за процессом изготовления резиновых мас</w:t>
      </w:r>
      <w:r w:rsidRPr="00925F26">
        <w:rPr>
          <w:color w:val="000000" w:themeColor="text1"/>
          <w:sz w:val="16"/>
          <w:szCs w:val="16"/>
        </w:rPr>
        <w:softHyphen/>
        <w:t>сивов шин (в основном за процессом вулканизации массивов).</w:t>
      </w:r>
    </w:p>
    <w:p w14:paraId="34C6CE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Самоходной установке СУ-100 Уралмашзавода (декабрьского выпуска 1944 г.) были зачтены га</w:t>
      </w:r>
      <w:r w:rsidRPr="00925F26">
        <w:rPr>
          <w:color w:val="000000" w:themeColor="text1"/>
          <w:sz w:val="16"/>
          <w:szCs w:val="16"/>
        </w:rPr>
        <w:softHyphen/>
        <w:t>рантийные испытания, исходя из следующего:</w:t>
      </w:r>
    </w:p>
    <w:p w14:paraId="49F4E5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Самоходная установка прошла гарантийные испытания без замены внутренних дисков кат</w:t>
      </w:r>
      <w:r w:rsidRPr="00925F26">
        <w:rPr>
          <w:color w:val="000000" w:themeColor="text1"/>
          <w:sz w:val="16"/>
          <w:szCs w:val="16"/>
        </w:rPr>
        <w:softHyphen/>
        <w:t>ков с сорванными бандажами.</w:t>
      </w:r>
    </w:p>
    <w:p w14:paraId="532565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Согласно программы гарантийных испытаний пробеги машины совершались на максималь</w:t>
      </w:r>
      <w:r w:rsidRPr="00925F26">
        <w:rPr>
          <w:color w:val="000000" w:themeColor="text1"/>
          <w:sz w:val="16"/>
          <w:szCs w:val="16"/>
        </w:rPr>
        <w:softHyphen/>
        <w:t>но возможных, для данных дорожных условий, скоростях. Средняя техническая скорость движе</w:t>
      </w:r>
      <w:r w:rsidRPr="00925F26">
        <w:rPr>
          <w:color w:val="000000" w:themeColor="text1"/>
          <w:sz w:val="16"/>
          <w:szCs w:val="16"/>
        </w:rPr>
        <w:softHyphen/>
        <w:t>ния по шоссе (в период разрушения бегового слоя массивных шин катков) составляла 28,3 миль/ч.</w:t>
      </w:r>
    </w:p>
    <w:p w14:paraId="5CAE06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Согласно технических условий</w:t>
      </w:r>
      <w:proofErr w:type="gramEnd"/>
      <w:r w:rsidRPr="00925F26">
        <w:rPr>
          <w:color w:val="000000" w:themeColor="text1"/>
          <w:sz w:val="16"/>
          <w:szCs w:val="16"/>
        </w:rPr>
        <w:t xml:space="preserve"> на массивные шины, утвержденных народным комиссаром ре</w:t>
      </w:r>
      <w:r w:rsidRPr="00925F26">
        <w:rPr>
          <w:color w:val="000000" w:themeColor="text1"/>
          <w:sz w:val="16"/>
          <w:szCs w:val="16"/>
        </w:rPr>
        <w:softHyphen/>
        <w:t>зиновой промышленности СССР и согласованных с начальником ГБТУ КА 29 июня 1944 г., средняя (техническая) скорость движения машины не должна превышать 25 миль/ч.</w:t>
      </w:r>
    </w:p>
    <w:p w14:paraId="1B4165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Исходя из вышеизложенного НИБТ полигон не имел права браковать машину по разрушению шин и тем более по срыву бандажей, так как последние выходили из строя при эксплуатации маши</w:t>
      </w:r>
      <w:r w:rsidRPr="00925F26">
        <w:rPr>
          <w:color w:val="000000" w:themeColor="text1"/>
          <w:sz w:val="16"/>
          <w:szCs w:val="16"/>
        </w:rPr>
        <w:softHyphen/>
        <w:t>ны с разрушенными резиновыми массивами шин.</w:t>
      </w:r>
    </w:p>
    <w:p w14:paraId="36F2A5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НИБТ полигона по научно-испытательной части инженер-полковник Сыч (11420).</w:t>
      </w:r>
    </w:p>
    <w:p w14:paraId="15CDA6D8" w14:textId="77777777" w:rsidR="00665165" w:rsidRPr="00925F26" w:rsidRDefault="00665165" w:rsidP="00925F26">
      <w:pPr>
        <w:autoSpaceDE w:val="0"/>
        <w:autoSpaceDN w:val="0"/>
        <w:adjustRightInd w:val="0"/>
        <w:jc w:val="both"/>
        <w:rPr>
          <w:color w:val="000000" w:themeColor="text1"/>
          <w:sz w:val="16"/>
          <w:szCs w:val="16"/>
        </w:rPr>
      </w:pPr>
    </w:p>
    <w:p w14:paraId="0D867C1F" w14:textId="77777777" w:rsidR="004945E9" w:rsidRPr="00925F26" w:rsidRDefault="004945E9" w:rsidP="00925F26">
      <w:pPr>
        <w:jc w:val="both"/>
        <w:rPr>
          <w:color w:val="000000" w:themeColor="text1"/>
          <w:sz w:val="16"/>
          <w:szCs w:val="16"/>
        </w:rPr>
      </w:pPr>
      <w:r w:rsidRPr="00925F26">
        <w:rPr>
          <w:color w:val="000000" w:themeColor="text1"/>
          <w:sz w:val="16"/>
          <w:szCs w:val="16"/>
        </w:rPr>
        <w:t xml:space="preserve">[15 февраля] 1945 г. из СВЕДЕНИЙ ПАРТОРГА ЦК ВКП(б) НА ЗАВОДЕ № 644 A.M. ПЕТРОВА ПО БЫТОВОМУ ОБСЛУЖИВАНИЮ РАБОЧИХ НА ПРЕДПРИЯТИИ </w:t>
      </w:r>
    </w:p>
    <w:p w14:paraId="7B5467F5" w14:textId="77777777" w:rsidR="004945E9" w:rsidRPr="00925F26" w:rsidRDefault="004945E9" w:rsidP="00925F26">
      <w:pPr>
        <w:jc w:val="both"/>
        <w:rPr>
          <w:color w:val="000000" w:themeColor="text1"/>
          <w:sz w:val="16"/>
          <w:szCs w:val="16"/>
        </w:rPr>
      </w:pPr>
      <w:r w:rsidRPr="00925F26">
        <w:rPr>
          <w:color w:val="000000" w:themeColor="text1"/>
          <w:sz w:val="16"/>
          <w:szCs w:val="16"/>
        </w:rPr>
        <w:t>По жилому фонду за 1944 год</w:t>
      </w:r>
    </w:p>
    <w:p w14:paraId="702512C5" w14:textId="77777777" w:rsidR="004945E9" w:rsidRPr="00925F26" w:rsidRDefault="004945E9" w:rsidP="00925F26">
      <w:pPr>
        <w:jc w:val="both"/>
        <w:rPr>
          <w:color w:val="000000" w:themeColor="text1"/>
          <w:sz w:val="16"/>
          <w:szCs w:val="16"/>
        </w:rPr>
      </w:pPr>
      <w:r w:rsidRPr="00925F26">
        <w:rPr>
          <w:color w:val="000000" w:themeColor="text1"/>
          <w:sz w:val="16"/>
          <w:szCs w:val="16"/>
        </w:rPr>
        <w:t>Весь жилой фонд в 1944 году состоял: из двух каменных домов с площадью в 705 кв. метров, двух деревянных двухэтажных домов, одного одноэтажного рубленого дома, 11 старых рубленых домов, 14 бараков насыпных, 5 землянок. В каменных домах с имеющейся площадью 705 кв. м проживают 164 человека, средняя жилплощадь на 1 человека 4,30 [кв.] метра. В рубленых домах с площадью 882 кв. метров проживают 288 человек, средняя жилплощадь на 1 человека 3,72 кв. метра. В бараках засыпных с площадью 835 кв. метров проживает 210 человек, средняя жилплощадь 4,21 кв. метра. В землянках с площадью 538 кв. метров проживает 61 человек, средняя жилплощадь на 1 человека 8,8 кв. метра. Строительного материала было выдано 35 семействам фронтовиков. Жилстроительство в соответствии с утвержденным титульным списком в 1944 г. намечалось в объеме 600 тыс. рублей. Предусматривалась постройка трех восьмиквартирных домов и достройка одного дома, начатого строительством в 1943 году. Общая жилая площадь указанных четырех домов составляет 1 480 кв. метров. Фактически за истекший период года сданы в эксплуатацию два дома. На 1 января 1945 года в землянках осталось только 6 семей, которые будут переселены во вновь отстроенное помещение в первом квартале 1945 года. За 1944 год ОРСом завода было выдано для рабочих и инженерно-технических работников обуви, теплых вещей: валенок - 1 008 пар, что составляет 85% удовлетворенности рабочих; телогреек — 371 шт., или 20% к работающим, теплых брюк - 274 пары, меховых безрукавок - 201 шт. Кроме того, для инженерно-технических работников завода пошито 80 полупальто. Камвольные и трикотажные изделия не учтены.</w:t>
      </w:r>
    </w:p>
    <w:p w14:paraId="594DF7A4" w14:textId="77777777" w:rsidR="004945E9" w:rsidRPr="00925F26" w:rsidRDefault="004945E9" w:rsidP="00925F26">
      <w:pPr>
        <w:jc w:val="both"/>
        <w:rPr>
          <w:color w:val="000000" w:themeColor="text1"/>
          <w:sz w:val="16"/>
          <w:szCs w:val="16"/>
        </w:rPr>
      </w:pPr>
      <w:r w:rsidRPr="00925F26">
        <w:rPr>
          <w:color w:val="000000" w:themeColor="text1"/>
          <w:sz w:val="16"/>
          <w:szCs w:val="16"/>
        </w:rPr>
        <w:t>Помощь завода семьям фронтовиков и инвалидам Отечественной войны</w:t>
      </w:r>
    </w:p>
    <w:p w14:paraId="1F2233F5" w14:textId="77777777" w:rsidR="004945E9" w:rsidRPr="00925F26" w:rsidRDefault="004945E9" w:rsidP="00925F26">
      <w:pPr>
        <w:jc w:val="both"/>
        <w:rPr>
          <w:color w:val="000000" w:themeColor="text1"/>
          <w:sz w:val="16"/>
          <w:szCs w:val="16"/>
        </w:rPr>
      </w:pPr>
      <w:r w:rsidRPr="00925F26">
        <w:rPr>
          <w:color w:val="000000" w:themeColor="text1"/>
          <w:sz w:val="16"/>
          <w:szCs w:val="16"/>
        </w:rPr>
        <w:t xml:space="preserve">За 1944 год оказана материальная помощь семьям фронтовиков и инвалидам Отечественной войны в количестве 40 000 рублей. Выдано картофеля - 10 тонн, мануфактуры — 1 245 метров, валяной обуви - 162 пары, ордеров на трикотаж и белье - 400 штук, отпущено топлива — дров 150 кубометров, угля 80 тонн. 75 человек детей фронтовиков отдохнули в пионерлагере. </w:t>
      </w:r>
    </w:p>
    <w:p w14:paraId="7E300EA0" w14:textId="77777777" w:rsidR="004945E9" w:rsidRPr="00925F26" w:rsidRDefault="004945E9" w:rsidP="00925F26">
      <w:pPr>
        <w:jc w:val="both"/>
        <w:rPr>
          <w:color w:val="000000" w:themeColor="text1"/>
          <w:sz w:val="16"/>
          <w:szCs w:val="16"/>
        </w:rPr>
      </w:pPr>
      <w:r w:rsidRPr="00925F26">
        <w:rPr>
          <w:color w:val="000000" w:themeColor="text1"/>
          <w:sz w:val="16"/>
          <w:szCs w:val="16"/>
        </w:rPr>
        <w:lastRenderedPageBreak/>
        <w:t>Парторг ЦК ВКП(б) на заводе № 644 Петров</w:t>
      </w:r>
    </w:p>
    <w:p w14:paraId="14ADFB0D" w14:textId="77777777" w:rsidR="004945E9" w:rsidRPr="00925F26" w:rsidRDefault="004945E9" w:rsidP="00925F26">
      <w:pPr>
        <w:jc w:val="both"/>
        <w:rPr>
          <w:color w:val="000000" w:themeColor="text1"/>
          <w:sz w:val="16"/>
          <w:szCs w:val="16"/>
        </w:rPr>
      </w:pPr>
      <w:r w:rsidRPr="00925F26">
        <w:rPr>
          <w:color w:val="000000" w:themeColor="text1"/>
          <w:sz w:val="16"/>
          <w:szCs w:val="16"/>
        </w:rPr>
        <w:t>ГАНО. Ф. П-4. Оп. 9. Д. 371. Л. 7-8. Подлинник.</w:t>
      </w:r>
    </w:p>
    <w:p w14:paraId="7184DCFD" w14:textId="77777777" w:rsidR="004945E9" w:rsidRPr="00925F26" w:rsidRDefault="004945E9" w:rsidP="00925F26">
      <w:pPr>
        <w:jc w:val="both"/>
        <w:rPr>
          <w:color w:val="000000" w:themeColor="text1"/>
          <w:sz w:val="16"/>
          <w:szCs w:val="16"/>
        </w:rPr>
      </w:pPr>
      <w:r w:rsidRPr="00925F26">
        <w:rPr>
          <w:color w:val="000000" w:themeColor="text1"/>
          <w:sz w:val="16"/>
          <w:szCs w:val="16"/>
        </w:rPr>
        <w:t>Подпись-автограф Петрова. Второй экземпляр машинописной закладки (12194).</w:t>
      </w:r>
    </w:p>
    <w:p w14:paraId="111EC9C1" w14:textId="77777777" w:rsidR="004945E9" w:rsidRPr="00925F26" w:rsidRDefault="004945E9" w:rsidP="00925F26">
      <w:pPr>
        <w:jc w:val="both"/>
        <w:rPr>
          <w:color w:val="000000" w:themeColor="text1"/>
          <w:sz w:val="16"/>
          <w:szCs w:val="16"/>
        </w:rPr>
      </w:pPr>
    </w:p>
    <w:p w14:paraId="652E9DB2" w14:textId="77777777" w:rsidR="004945E9" w:rsidRPr="00925F26" w:rsidRDefault="004945E9" w:rsidP="00925F26">
      <w:pPr>
        <w:jc w:val="both"/>
        <w:rPr>
          <w:color w:val="000000" w:themeColor="text1"/>
          <w:sz w:val="16"/>
          <w:szCs w:val="16"/>
        </w:rPr>
      </w:pPr>
      <w:r w:rsidRPr="00925F26">
        <w:rPr>
          <w:color w:val="000000" w:themeColor="text1"/>
          <w:sz w:val="16"/>
          <w:szCs w:val="16"/>
        </w:rPr>
        <w:t>Не ранее 15 февраля 1945 г. из СПРАВКИ СЕКРЕТАРЯ ПАРТОРГАНИЗАЦИИ ЗАВОДА № 617 В.П. БОРОВИКА ПО ЖИЛИЩНОМУ ВОПРОСУ В ОТДЕЛ ЭЛЕКТРОПРОМЫШЛЕННОСТИ ОБКОМА ВКП(б)</w:t>
      </w:r>
    </w:p>
    <w:p w14:paraId="4864926D" w14:textId="77777777" w:rsidR="004945E9" w:rsidRPr="00925F26" w:rsidRDefault="004945E9" w:rsidP="00925F26">
      <w:pPr>
        <w:jc w:val="both"/>
        <w:rPr>
          <w:color w:val="000000" w:themeColor="text1"/>
          <w:sz w:val="16"/>
          <w:szCs w:val="16"/>
        </w:rPr>
      </w:pPr>
      <w:r w:rsidRPr="00925F26">
        <w:rPr>
          <w:color w:val="000000" w:themeColor="text1"/>
          <w:sz w:val="16"/>
          <w:szCs w:val="16"/>
        </w:rPr>
        <w:t>Завод располагает следующим жилфондом: один кирпичный дом по ул. Дуси Ковальчук, Н° 12, часть кирпичного дома по Парковой улице, № 7. Общежитие одиночек и семейных в помещении бывшего НИИГАиК[а]. Два деревянных барака по Овражной улице и жилой городок завода из 5 двухэтажных домов. За последнее время резко улучшились условия проживающих в общежитиях завода. В общежитиях школы ФЗО (кр. корпус б. НИИГАиЩа]) в результате большой проделанной работы со стороны парторганизации, профорганизации и дирекции завода в общежитии стало чисто и тепло. Если 3-4 месяца тому назад при обследовании были акты санинспекции о грязи и завшивленности среди учеников ФЗО, то последние обследования давали хорошую оценку. В общежитиях рабочих путем проведения разъяснительной работы привлечены сами рабочие к наведению порядка в общежитиях. В значительной степени наведению порядка помог проводимый конкурс на лучшую комнату. В комнатах, где проживают семейные рабочие, конкурс и проверка смотровых комиссий в значительной степени улучшили состояние комнат и квартир семейных. Вся проводимая работа мобилизовала самих проживающих на улучшение санитарного состояния и создание уюта.</w:t>
      </w:r>
    </w:p>
    <w:p w14:paraId="5552347E" w14:textId="77777777" w:rsidR="004945E9" w:rsidRPr="00925F26" w:rsidRDefault="004945E9" w:rsidP="00925F26">
      <w:pPr>
        <w:jc w:val="both"/>
        <w:rPr>
          <w:color w:val="000000" w:themeColor="text1"/>
          <w:sz w:val="16"/>
          <w:szCs w:val="16"/>
        </w:rPr>
      </w:pPr>
      <w:r w:rsidRPr="00925F26">
        <w:rPr>
          <w:color w:val="000000" w:themeColor="text1"/>
          <w:sz w:val="16"/>
          <w:szCs w:val="16"/>
        </w:rPr>
        <w:t>Новое жилищное строительство</w:t>
      </w:r>
    </w:p>
    <w:p w14:paraId="4DB497E5" w14:textId="77777777" w:rsidR="004945E9" w:rsidRPr="00925F26" w:rsidRDefault="004945E9" w:rsidP="00925F26">
      <w:pPr>
        <w:jc w:val="both"/>
        <w:rPr>
          <w:color w:val="000000" w:themeColor="text1"/>
          <w:sz w:val="16"/>
          <w:szCs w:val="16"/>
        </w:rPr>
      </w:pPr>
      <w:r w:rsidRPr="00925F26">
        <w:rPr>
          <w:color w:val="000000" w:themeColor="text1"/>
          <w:sz w:val="16"/>
          <w:szCs w:val="16"/>
        </w:rPr>
        <w:t>Начатое строительство деревянных домов временно приостановлено из-за отсутствия в настоящее время строительного материала (леса). Незаконченными остались 3 дома 2-этажных и 1 дом одноэтажный. В текущем году начато строительство 5-этажного каменного жилого дома на 50 благоустроенных квартир.</w:t>
      </w:r>
    </w:p>
    <w:p w14:paraId="24340908" w14:textId="77777777" w:rsidR="004945E9" w:rsidRPr="00925F26" w:rsidRDefault="004945E9" w:rsidP="00925F26">
      <w:pPr>
        <w:jc w:val="both"/>
        <w:rPr>
          <w:color w:val="000000" w:themeColor="text1"/>
          <w:sz w:val="16"/>
          <w:szCs w:val="16"/>
        </w:rPr>
      </w:pPr>
      <w:r w:rsidRPr="00925F26">
        <w:rPr>
          <w:color w:val="000000" w:themeColor="text1"/>
          <w:sz w:val="16"/>
          <w:szCs w:val="16"/>
        </w:rPr>
        <w:t>Общественное питание</w:t>
      </w:r>
    </w:p>
    <w:p w14:paraId="7B4B2D67" w14:textId="77777777" w:rsidR="004945E9" w:rsidRPr="00925F26" w:rsidRDefault="004945E9" w:rsidP="00925F26">
      <w:pPr>
        <w:jc w:val="both"/>
        <w:rPr>
          <w:color w:val="000000" w:themeColor="text1"/>
          <w:sz w:val="16"/>
          <w:szCs w:val="16"/>
        </w:rPr>
      </w:pPr>
      <w:r w:rsidRPr="00925F26">
        <w:rPr>
          <w:color w:val="000000" w:themeColor="text1"/>
          <w:sz w:val="16"/>
          <w:szCs w:val="16"/>
        </w:rPr>
        <w:t>Наличие картофеля на 1 февраля 1945 г. составляет 190 тонн, не считая 100 тонн семейного фонда. Из наличного состава 40 тонн подлежат выдаче рабочим и 150 тонн остается для общественного питания,</w:t>
      </w:r>
    </w:p>
    <w:p w14:paraId="0E19BCC9" w14:textId="77777777" w:rsidR="004945E9" w:rsidRPr="00925F26" w:rsidRDefault="004945E9" w:rsidP="00925F26">
      <w:pPr>
        <w:jc w:val="both"/>
        <w:rPr>
          <w:color w:val="000000" w:themeColor="text1"/>
          <w:sz w:val="16"/>
          <w:szCs w:val="16"/>
        </w:rPr>
      </w:pPr>
      <w:r w:rsidRPr="00925F26">
        <w:rPr>
          <w:color w:val="000000" w:themeColor="text1"/>
          <w:sz w:val="16"/>
          <w:szCs w:val="16"/>
        </w:rPr>
        <w:t>что должно хватить до 1 августа 1945 г. из расчета расхода 25 тонн в месяц. Овощей на 1 февраля 1945 г. осталось 40 тонн, что также должно хватить до 1 августа 1945 года. Завод имеет две столовые, столовая № 1 при заводе и № 2 в бывшем здании НИИГАиЩа]. Столовые кухонной посудой обеспечены полностью, недостаточно тарелок (в ближайшие дни тарелками столовые будут обеспечены за счет собственного изготовления и частично будет закуплено).</w:t>
      </w:r>
    </w:p>
    <w:p w14:paraId="0C6C21F2" w14:textId="77777777" w:rsidR="004945E9" w:rsidRPr="00925F26" w:rsidRDefault="004945E9" w:rsidP="00925F26">
      <w:pPr>
        <w:jc w:val="both"/>
        <w:rPr>
          <w:color w:val="000000" w:themeColor="text1"/>
          <w:sz w:val="16"/>
          <w:szCs w:val="16"/>
        </w:rPr>
      </w:pPr>
      <w:r w:rsidRPr="00925F26">
        <w:rPr>
          <w:color w:val="000000" w:themeColor="text1"/>
          <w:sz w:val="16"/>
          <w:szCs w:val="16"/>
        </w:rPr>
        <w:t>Работа подсобных предприятий ОРСа</w:t>
      </w:r>
    </w:p>
    <w:p w14:paraId="2B5EF9DC" w14:textId="77777777" w:rsidR="004945E9" w:rsidRPr="00925F26" w:rsidRDefault="004945E9" w:rsidP="00925F26">
      <w:pPr>
        <w:jc w:val="both"/>
        <w:rPr>
          <w:color w:val="000000" w:themeColor="text1"/>
          <w:sz w:val="16"/>
          <w:szCs w:val="16"/>
        </w:rPr>
      </w:pPr>
      <w:r w:rsidRPr="00925F26">
        <w:rPr>
          <w:color w:val="000000" w:themeColor="text1"/>
          <w:sz w:val="16"/>
          <w:szCs w:val="16"/>
        </w:rPr>
        <w:t>В сапожной мастерской работает 9 мастеров и 2 ученика. Сапожная мастерская плохо еще справляется с работой. Причинами плохой работы являются ... перебои в снабжении кожаными товарами, недостаточное количество мастеров, плохо организована работа мастеров, отсутствие достаточного количества колодок. Все эти вопросы в настоящее время разрешаются ОРСом.</w:t>
      </w:r>
    </w:p>
    <w:p w14:paraId="75A4488E" w14:textId="77777777" w:rsidR="004945E9" w:rsidRPr="00925F26" w:rsidRDefault="004945E9" w:rsidP="00925F26">
      <w:pPr>
        <w:jc w:val="both"/>
        <w:rPr>
          <w:color w:val="000000" w:themeColor="text1"/>
          <w:sz w:val="16"/>
          <w:szCs w:val="16"/>
        </w:rPr>
      </w:pPr>
      <w:r w:rsidRPr="00925F26">
        <w:rPr>
          <w:color w:val="000000" w:themeColor="text1"/>
          <w:sz w:val="16"/>
          <w:szCs w:val="16"/>
        </w:rPr>
        <w:t>Секретарь парт. организации завода № 617 Боровик</w:t>
      </w:r>
    </w:p>
    <w:p w14:paraId="3A807569" w14:textId="77777777" w:rsidR="004945E9" w:rsidRPr="00925F26" w:rsidRDefault="004945E9" w:rsidP="00925F26">
      <w:pPr>
        <w:jc w:val="both"/>
        <w:rPr>
          <w:color w:val="000000" w:themeColor="text1"/>
          <w:sz w:val="16"/>
          <w:szCs w:val="16"/>
        </w:rPr>
      </w:pPr>
      <w:r w:rsidRPr="00925F26">
        <w:rPr>
          <w:color w:val="000000" w:themeColor="text1"/>
          <w:sz w:val="16"/>
          <w:szCs w:val="16"/>
        </w:rPr>
        <w:t>ГАНС Ф. П-4. Оп. 9. Д. 371. Л. 9. Подлинник. Подпись автограф Боровика (12194).</w:t>
      </w:r>
    </w:p>
    <w:p w14:paraId="6D250081" w14:textId="77777777" w:rsidR="004945E9" w:rsidRPr="00925F26" w:rsidRDefault="004945E9" w:rsidP="00925F26">
      <w:pPr>
        <w:jc w:val="both"/>
        <w:rPr>
          <w:color w:val="000000" w:themeColor="text1"/>
          <w:sz w:val="16"/>
          <w:szCs w:val="16"/>
        </w:rPr>
      </w:pPr>
    </w:p>
    <w:p w14:paraId="3F913A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вышло Распоряжение ГКО № 7543. О дополнительной поставке угля заводу № 863 НКлеса. РГАНИР, Фонд ГКО, д. 372, лл. 64 (11012).</w:t>
      </w:r>
    </w:p>
    <w:p w14:paraId="416B8DAF" w14:textId="77777777" w:rsidR="00665165" w:rsidRPr="00925F26" w:rsidRDefault="00665165" w:rsidP="00925F26">
      <w:pPr>
        <w:autoSpaceDE w:val="0"/>
        <w:autoSpaceDN w:val="0"/>
        <w:adjustRightInd w:val="0"/>
        <w:jc w:val="both"/>
        <w:rPr>
          <w:color w:val="000000" w:themeColor="text1"/>
          <w:sz w:val="16"/>
          <w:szCs w:val="16"/>
        </w:rPr>
      </w:pPr>
    </w:p>
    <w:p w14:paraId="5627516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D6BE784" w14:textId="77777777" w:rsidR="00665165" w:rsidRPr="00925F26" w:rsidRDefault="00665165" w:rsidP="00925F26">
      <w:pPr>
        <w:autoSpaceDE w:val="0"/>
        <w:autoSpaceDN w:val="0"/>
        <w:adjustRightInd w:val="0"/>
        <w:jc w:val="both"/>
        <w:rPr>
          <w:iCs/>
          <w:color w:val="000000" w:themeColor="text1"/>
          <w:sz w:val="16"/>
          <w:szCs w:val="16"/>
        </w:rPr>
      </w:pPr>
    </w:p>
    <w:p w14:paraId="6F9D84C6" w14:textId="77777777" w:rsidR="008741BA" w:rsidRPr="00925F26" w:rsidRDefault="008741BA" w:rsidP="00925F26">
      <w:pPr>
        <w:jc w:val="both"/>
        <w:rPr>
          <w:color w:val="000000" w:themeColor="text1"/>
          <w:sz w:val="16"/>
          <w:szCs w:val="16"/>
        </w:rPr>
      </w:pPr>
      <w:r w:rsidRPr="00925F26">
        <w:rPr>
          <w:bCs/>
          <w:color w:val="000000" w:themeColor="text1"/>
          <w:sz w:val="16"/>
          <w:szCs w:val="16"/>
        </w:rPr>
        <w:t>15 февраля</w:t>
      </w:r>
      <w:r w:rsidRPr="00925F26">
        <w:rPr>
          <w:color w:val="000000" w:themeColor="text1"/>
          <w:sz w:val="16"/>
          <w:szCs w:val="16"/>
        </w:rPr>
        <w:t xml:space="preserve"> в 1945 году оперативная сводка Совинформбюро:</w:t>
      </w:r>
    </w:p>
    <w:p w14:paraId="08FB8742" w14:textId="77777777" w:rsidR="008741BA" w:rsidRPr="00925F26" w:rsidRDefault="008741BA" w:rsidP="00925F26">
      <w:pPr>
        <w:jc w:val="both"/>
        <w:rPr>
          <w:color w:val="000000" w:themeColor="text1"/>
          <w:sz w:val="16"/>
          <w:szCs w:val="16"/>
        </w:rPr>
      </w:pPr>
      <w:r w:rsidRPr="00925F26">
        <w:rPr>
          <w:color w:val="000000" w:themeColor="text1"/>
          <w:sz w:val="16"/>
          <w:szCs w:val="16"/>
        </w:rPr>
        <w:t>«В течение 15 февраля в Восточной Пруссии южнее Кенигсберга наши войска вели наступательные бои, в ходе которых овладели населёнными пунктами Розиттен, Кумкайм, Гросс Клаузитен, Либенталь, Лихтенау, Лоттер-Фельд, Зонвальде, Хайнрикау.</w:t>
      </w:r>
    </w:p>
    <w:p w14:paraId="3480B509" w14:textId="77777777" w:rsidR="008741BA" w:rsidRPr="00925F26" w:rsidRDefault="008741BA"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15 февраля с боем овладели городами Хойнице (Конитц) и Тухоля (Тухель) — крупными узлами коммуникаций и сильными опорными пунктами обороны немцев в западной части Польши.</w:t>
      </w:r>
    </w:p>
    <w:p w14:paraId="48ADEDBD" w14:textId="77777777" w:rsidR="008741BA" w:rsidRPr="00925F26" w:rsidRDefault="008741BA" w:rsidP="00925F26">
      <w:pPr>
        <w:jc w:val="both"/>
        <w:rPr>
          <w:color w:val="000000" w:themeColor="text1"/>
          <w:sz w:val="16"/>
          <w:szCs w:val="16"/>
        </w:rPr>
      </w:pPr>
      <w:r w:rsidRPr="00925F26">
        <w:rPr>
          <w:color w:val="000000" w:themeColor="text1"/>
          <w:sz w:val="16"/>
          <w:szCs w:val="16"/>
        </w:rPr>
        <w:t>В Познани продолжались бои по уничтожению окружённого гарнизона немцев.</w:t>
      </w:r>
    </w:p>
    <w:p w14:paraId="538652D6" w14:textId="77777777" w:rsidR="008741BA" w:rsidRPr="00925F26" w:rsidRDefault="008741BA" w:rsidP="00925F26">
      <w:pPr>
        <w:jc w:val="both"/>
        <w:rPr>
          <w:color w:val="000000" w:themeColor="text1"/>
          <w:sz w:val="16"/>
          <w:szCs w:val="16"/>
        </w:rPr>
      </w:pPr>
      <w:r w:rsidRPr="00925F26">
        <w:rPr>
          <w:color w:val="000000" w:themeColor="text1"/>
          <w:sz w:val="16"/>
          <w:szCs w:val="16"/>
        </w:rPr>
        <w:t>К исходу 15 февраля наши войска очистили от противника большую часть города, расположенную на западном берегу реки Варта. Гарнизон немцев к этому же времени продолжал удерживать в своих руках район Цитадели на западном берегу Варты и четыре пригорода, расположенных на восточном берегу реки.</w:t>
      </w:r>
    </w:p>
    <w:p w14:paraId="6324BA26" w14:textId="77777777" w:rsidR="008741BA" w:rsidRPr="00925F26" w:rsidRDefault="008741BA" w:rsidP="00925F26">
      <w:pPr>
        <w:jc w:val="both"/>
        <w:rPr>
          <w:color w:val="000000" w:themeColor="text1"/>
          <w:sz w:val="16"/>
          <w:szCs w:val="16"/>
        </w:rPr>
      </w:pPr>
      <w:r w:rsidRPr="00925F26">
        <w:rPr>
          <w:color w:val="000000" w:themeColor="text1"/>
          <w:sz w:val="16"/>
          <w:szCs w:val="16"/>
        </w:rPr>
        <w:t>Войска 1-го Украинского фронта, развивая наступление, 15 февраля овладели на территории немецкой Силезии городом Грюнберг и в провинции Бранденбург городами Зоммерфельд и Зорау — важными узлами коммуникаций и мощными опорными пунктами обороны немцев, а также с боями заняли более 150 других населённых пунктов, среди которых крупные населённые пункты Эйхвальдау, Швайнитц, Наумбург, Гассен, Бенау, Веллерсдорф, Тшибсдорф. За 14 февраля в этом районе войска фронта взяли в плен более 2.000 немецких солдат и офицеров и захватили на аэродромах 120 самолётов противника.</w:t>
      </w:r>
    </w:p>
    <w:p w14:paraId="13063EEA" w14:textId="77777777" w:rsidR="008741BA" w:rsidRPr="00925F26" w:rsidRDefault="008741BA" w:rsidP="00925F26">
      <w:pPr>
        <w:jc w:val="both"/>
        <w:rPr>
          <w:color w:val="000000" w:themeColor="text1"/>
          <w:sz w:val="16"/>
          <w:szCs w:val="16"/>
        </w:rPr>
      </w:pPr>
      <w:r w:rsidRPr="00925F26">
        <w:rPr>
          <w:color w:val="000000" w:themeColor="text1"/>
          <w:sz w:val="16"/>
          <w:szCs w:val="16"/>
        </w:rPr>
        <w:t>Северо-западнее Будапешта наши войска завершали уничтожение блокированных в лесах разрозненных групп противника, прорвавшихся из западной части Будапешта. За 14 февраля в этом районе наши войска взяли в плен 6.650 солдат и офицеров противника. В числе пленных командующий штурмовой артиллерией Будапештской группировки генерал-лейтенант Бельницер, генерал-лейтенант Имре Каландри и генерал-майор Лем Беркович.</w:t>
      </w:r>
    </w:p>
    <w:p w14:paraId="71A85B31" w14:textId="77777777" w:rsidR="008741BA" w:rsidRPr="00925F26" w:rsidRDefault="008741BA"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бои местного значения.</w:t>
      </w:r>
    </w:p>
    <w:p w14:paraId="62BF4BE1" w14:textId="77777777" w:rsidR="008741BA" w:rsidRPr="00925F26" w:rsidRDefault="008741BA" w:rsidP="00925F26">
      <w:pPr>
        <w:jc w:val="both"/>
        <w:rPr>
          <w:color w:val="000000" w:themeColor="text1"/>
          <w:sz w:val="16"/>
          <w:szCs w:val="16"/>
        </w:rPr>
      </w:pPr>
      <w:r w:rsidRPr="00925F26">
        <w:rPr>
          <w:color w:val="000000" w:themeColor="text1"/>
          <w:sz w:val="16"/>
          <w:szCs w:val="16"/>
        </w:rPr>
        <w:t>За 14 февраля на всех фронтах подбито и уничтожено 90 немецких танков. В воздушных боях и огнём зенитной артиллерии сбито 25 самолётов противника.</w:t>
      </w:r>
    </w:p>
    <w:p w14:paraId="5FCED1ED" w14:textId="77777777" w:rsidR="008741BA" w:rsidRPr="00925F26" w:rsidRDefault="008741BA" w:rsidP="00925F26">
      <w:pPr>
        <w:jc w:val="both"/>
        <w:rPr>
          <w:color w:val="000000" w:themeColor="text1"/>
          <w:sz w:val="16"/>
          <w:szCs w:val="16"/>
        </w:rPr>
      </w:pPr>
      <w:r w:rsidRPr="00925F26">
        <w:rPr>
          <w:color w:val="000000" w:themeColor="text1"/>
          <w:sz w:val="16"/>
          <w:szCs w:val="16"/>
        </w:rPr>
        <w:t>В Восточной Пруссии южнее Кенигсберга наши войска в результате упорных боёв выбили немцев из сильно укреплённого опорного пункта Розиттен. В этом районе захвачены большие трофеи, в числе которых 49 паровозов и 283 железнодорожных вагона с различными грузами. На другом участке советские части, преодолев полосу железобетонных укреплений немцев, продвинулись вперёд на 10 километров и заняли селение Хайнрикау. Этот населенный пункт находится в 6 километрах севернее города Вормдитт на железной дороге Вормдитт — Цинтен. За день боёв уничтожено 2 тысячи немецких солдат и офицеров, 23 танка и самоходных орудия. Взято в плен 500 солдат и офицеров противника.</w:t>
      </w:r>
    </w:p>
    <w:p w14:paraId="1C584D1D" w14:textId="77777777" w:rsidR="008741BA" w:rsidRPr="00925F26" w:rsidRDefault="008741BA"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вчера вышли на подступы к городу Хойнице (Конитц). Немцы построили вокруг города укрепления полевого типа, усиленные дотами, а также отрыли глубокие противотанковые рвы. Противник стянул в этот район много артиллерии и крупные силы танков и пехоты. Только за последние дни гарнизон города пополнился пехотной дивизией и боевыми группами, сформированными из курсантов, военных училищ. Наши войска преодолели немецкие укрепления и ворвались в Хойнице с юга. Последовавшими затем ударами с востока и запада вражеская оборона была дезорганизована. Немецкий гарнизон понёс большие потери и в беспорядке отступил. Советские части, овладевшие городом Хойнице, захватили много вооружения и склады с военными материалами. Только на подступах к городу немцы потеряли убитыми до 1.500 солдат и офицеров. Сожжено 14 вражеских танков. Город Хойнице являлся сильным опорным пунктом обороны немцев в западной части Польши. Кроме того, Хойнице являются важным узлом коммуникаций, питавшим действующую в этом районе группировку немецких войск. К городу сходятся шесть железных и восемь шоссейных дорог.</w:t>
      </w:r>
    </w:p>
    <w:p w14:paraId="0293071D" w14:textId="77777777" w:rsidR="008741BA" w:rsidRPr="00925F26" w:rsidRDefault="008741BA" w:rsidP="00925F26">
      <w:pPr>
        <w:jc w:val="both"/>
        <w:rPr>
          <w:color w:val="000000" w:themeColor="text1"/>
          <w:sz w:val="16"/>
          <w:szCs w:val="16"/>
        </w:rPr>
      </w:pPr>
      <w:r w:rsidRPr="00925F26">
        <w:rPr>
          <w:color w:val="000000" w:themeColor="text1"/>
          <w:sz w:val="16"/>
          <w:szCs w:val="16"/>
        </w:rPr>
        <w:t xml:space="preserve">Войска 1-го Украинского фронта продолжали развивать успешное наступление. Противник лихорадочно перебрасывает в район боёв свежие части. Однако все попытки немцев задержать наши войска терпят неудачу. Советские части перемалывают вражеские резервы и настойчиво продвигаются вперёд. Наши подвижные соединения и пехота, наступающие вдоль западного берега реки Одер, преодолели лесистую местность и атаковали немецкий гарнизон города Грюнберг. Мощными ударами с юго-востока и востока советские части сломили сопротивление противника и овладели городом. Другие наши части совершили стремительный бросок на северо-запад. Форсировав на своём пути </w:t>
      </w:r>
      <w:proofErr w:type="gramStart"/>
      <w:r w:rsidRPr="00925F26">
        <w:rPr>
          <w:color w:val="000000" w:themeColor="text1"/>
          <w:sz w:val="16"/>
          <w:szCs w:val="16"/>
        </w:rPr>
        <w:t>реку</w:t>
      </w:r>
      <w:proofErr w:type="gramEnd"/>
      <w:r w:rsidRPr="00925F26">
        <w:rPr>
          <w:color w:val="000000" w:themeColor="text1"/>
          <w:sz w:val="16"/>
          <w:szCs w:val="16"/>
        </w:rPr>
        <w:t xml:space="preserve"> Бобер, ряд разлившихся речек и преодолев несколько промежуточных оборонительных рубежей, советские танки и пехота продвинулись вперёд на 40 километров. С боями занят город и узел железных дорог Зоммерфельд. Зоммерфельд расположен в 18—20 километрах от крупных промышленных центров Германии городов Губен и Форст. После упорных боёв, советские части овладели городом Зорау. По неполным данным, в течение дня уничтожено 35 немецких танков, и 18 бронетранспортёров.</w:t>
      </w:r>
    </w:p>
    <w:p w14:paraId="5D849224" w14:textId="77777777" w:rsidR="008741BA" w:rsidRPr="00925F26" w:rsidRDefault="008741BA" w:rsidP="00925F26">
      <w:pPr>
        <w:jc w:val="both"/>
        <w:rPr>
          <w:color w:val="000000" w:themeColor="text1"/>
          <w:sz w:val="16"/>
          <w:szCs w:val="16"/>
        </w:rPr>
      </w:pPr>
      <w:r w:rsidRPr="00925F26">
        <w:rPr>
          <w:color w:val="000000" w:themeColor="text1"/>
          <w:sz w:val="16"/>
          <w:szCs w:val="16"/>
        </w:rPr>
        <w:t>За последние пять дней наши войска захватили на аэродромах 765 немецких самолётов.</w:t>
      </w:r>
    </w:p>
    <w:p w14:paraId="41E7482C" w14:textId="77777777" w:rsidR="008741BA" w:rsidRPr="00925F26" w:rsidRDefault="008741BA"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атаковала в районе мыса Риксгефт (Балтийское море) несколько транспортов противника. Самолёт, пилотируемый лётчиком Носовым, был подбит и загорелся. Лётчик направил горящий самолёт на немецкий транспорт и врезался в него. Произошёл взрыв. Транспорт водоизмещением в 6 тысяч тонн пошёл ко дну. Экипаж, в составе тт. Носова, Игошина и Дорофеева, погиб смертью героев. Другие наши самолёты, продолжая атаки, потопили второй немецкий транспорт водоизмещением в 10 тысяч тонн.</w:t>
      </w:r>
    </w:p>
    <w:p w14:paraId="60C88956" w14:textId="77777777" w:rsidR="008741BA" w:rsidRPr="00925F26" w:rsidRDefault="008741BA"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транспорт противника водоизмещением в 8 тысяч тонн.</w:t>
      </w:r>
    </w:p>
    <w:p w14:paraId="0849A1C8" w14:textId="77777777" w:rsidR="008741BA" w:rsidRPr="00925F26" w:rsidRDefault="008741BA" w:rsidP="00925F26">
      <w:pPr>
        <w:jc w:val="both"/>
        <w:rPr>
          <w:color w:val="000000" w:themeColor="text1"/>
          <w:sz w:val="16"/>
          <w:szCs w:val="16"/>
        </w:rPr>
      </w:pPr>
      <w:r w:rsidRPr="00925F26">
        <w:rPr>
          <w:color w:val="000000" w:themeColor="text1"/>
          <w:sz w:val="16"/>
          <w:szCs w:val="16"/>
        </w:rPr>
        <w:t>Пленный ефрейтор 504-й зенитной бригады Макс Молик рассказал: «Немецкое командование уделяло исключительное внимание обороне крепости Штейнау, прикрывавшей западный берег реки Одер. На подступах к городу были построены укрепления с множеством дотов. Однако русские войска окружили Штейнау. Комендант крепости Бернард заявил, что город и крепость Штейнау должны быть удержаны во что бы то ни стало. Он угрожал расстрелом всякому, кто заикнётся о капитуляции. Гарнизон нёс огромные потери. Монастырь был набит ранеными солдатами и офицерами. Русская пехота и танки прорвались в город и начали теснить нас. Когда солдаты увидели, что положение безвыходное, среди них началась паника. Судьба гарнизона была решена».</w:t>
      </w:r>
    </w:p>
    <w:p w14:paraId="0BD01A99" w14:textId="77777777" w:rsidR="008741BA" w:rsidRPr="00925F26" w:rsidRDefault="008741BA" w:rsidP="00925F26">
      <w:pPr>
        <w:jc w:val="both"/>
        <w:rPr>
          <w:color w:val="000000" w:themeColor="text1"/>
          <w:sz w:val="16"/>
          <w:szCs w:val="16"/>
        </w:rPr>
      </w:pPr>
      <w:r w:rsidRPr="00925F26">
        <w:rPr>
          <w:color w:val="000000" w:themeColor="text1"/>
          <w:sz w:val="16"/>
          <w:szCs w:val="16"/>
        </w:rPr>
        <w:lastRenderedPageBreak/>
        <w:t>Пленный обер-фельдфебель 1-й роты боевой группы «Гейдрих» Людвиг Биндер сообщил: «В город Штейнау мы прибыли 27 января вместе с танковым полком. Когда русские войска окружили город наша группа, поддержанная танками, получила приказ прорвать изнутри кольцо окружения. Русские открыли ураганный огонь и сразу подбили несколько танков. Прорваться нам не удалось. Мы были отброшены в город, где вскоре сдались в плен».</w:t>
      </w:r>
    </w:p>
    <w:p w14:paraId="4999281D" w14:textId="77777777" w:rsidR="008741BA" w:rsidRPr="00925F26" w:rsidRDefault="008741BA" w:rsidP="00925F26">
      <w:pPr>
        <w:jc w:val="both"/>
        <w:rPr>
          <w:color w:val="000000" w:themeColor="text1"/>
          <w:sz w:val="16"/>
          <w:szCs w:val="16"/>
        </w:rPr>
      </w:pPr>
      <w:r w:rsidRPr="00925F26">
        <w:rPr>
          <w:color w:val="000000" w:themeColor="text1"/>
          <w:sz w:val="16"/>
          <w:szCs w:val="16"/>
        </w:rPr>
        <w:t>Пленный унтер-офицер 7-й роты 9-го отдельного танкового батальона Бернгард Кейн заявил: «Нас очень спешно отправили в район Штейнау и с хода бросили в бой. Батальон имел до 40 танков. Из них 25 были сожжены и подбиты за первые два дня боёв. Все остальные танки в исправном состоянии попали в руки русских» (15041).</w:t>
      </w:r>
    </w:p>
    <w:p w14:paraId="13A4B3C9" w14:textId="77777777" w:rsidR="008741BA" w:rsidRPr="00925F26" w:rsidRDefault="008741BA" w:rsidP="00925F26">
      <w:pPr>
        <w:jc w:val="both"/>
        <w:rPr>
          <w:color w:val="000000" w:themeColor="text1"/>
          <w:sz w:val="16"/>
          <w:szCs w:val="16"/>
        </w:rPr>
      </w:pPr>
    </w:p>
    <w:p w14:paraId="3091D1E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февраля 1945 советские войска маршала Конева окружили Бреслау (4962).</w:t>
      </w:r>
    </w:p>
    <w:p w14:paraId="652F5BD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E44D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м Д.Жабинский направил горящий самолет Ил-2 на врага (455,163).</w:t>
      </w:r>
    </w:p>
    <w:p w14:paraId="25830E9A" w14:textId="77777777" w:rsidR="00665165" w:rsidRPr="00925F26" w:rsidRDefault="00665165" w:rsidP="00925F26">
      <w:pPr>
        <w:autoSpaceDE w:val="0"/>
        <w:autoSpaceDN w:val="0"/>
        <w:adjustRightInd w:val="0"/>
        <w:jc w:val="both"/>
        <w:rPr>
          <w:color w:val="000000" w:themeColor="text1"/>
          <w:sz w:val="16"/>
          <w:szCs w:val="16"/>
        </w:rPr>
      </w:pPr>
    </w:p>
    <w:p w14:paraId="2FD400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А-20 51 мтап в юго-восточной части БМ в составе 7 топмачтовиков и 7 торпедоносцев в трех группах (3 и 3, 2 и 2 и 2 и 2) использовали по 1хФАБ-500 + 2хФАБ-250 топмачтовиков и по одной 45-35АН + 24 Як-9. Группы шли строем клин с интервалом между ними в 500 м. Сначала атаковали топмачтовики|, сбросив бомбы с 200-300 м. Потом - торпедоносцы. Потопили 4 транспорта в сумме 22000 т. 3 - топмачтовики, 1 - торпедоносцы. Т.к. атаковали с одного борта - потеряли торпедоносец (4414,14).</w:t>
      </w:r>
    </w:p>
    <w:p w14:paraId="73152E07" w14:textId="77777777" w:rsidR="00665165" w:rsidRPr="00925F26" w:rsidRDefault="00665165" w:rsidP="00925F26">
      <w:pPr>
        <w:autoSpaceDE w:val="0"/>
        <w:autoSpaceDN w:val="0"/>
        <w:adjustRightInd w:val="0"/>
        <w:jc w:val="both"/>
        <w:rPr>
          <w:color w:val="000000" w:themeColor="text1"/>
          <w:sz w:val="16"/>
          <w:szCs w:val="16"/>
        </w:rPr>
      </w:pPr>
    </w:p>
    <w:p w14:paraId="0E93A60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February 15, 1945: On the Eastern front, the Red Army captures Sagan in Silesia. Also, Operation Sonnenwende is launched by all three Korps from the </w:t>
      </w:r>
      <w:proofErr w:type="gramStart"/>
      <w:r w:rsidRPr="00925F26">
        <w:rPr>
          <w:color w:val="000000" w:themeColor="text1"/>
          <w:sz w:val="16"/>
          <w:szCs w:val="16"/>
          <w:lang w:val="en-US"/>
        </w:rPr>
        <w:t>11.SS</w:t>
      </w:r>
      <w:proofErr w:type="gramEnd"/>
      <w:r w:rsidRPr="00925F26">
        <w:rPr>
          <w:color w:val="000000" w:themeColor="text1"/>
          <w:sz w:val="16"/>
          <w:szCs w:val="16"/>
          <w:lang w:val="en-US"/>
        </w:rPr>
        <w:t xml:space="preserve">-Panzer-Armee (XXXIX.Panzer, III.SS-Panzer, and </w:t>
      </w:r>
      <w:proofErr w:type="gramStart"/>
      <w:r w:rsidRPr="00925F26">
        <w:rPr>
          <w:color w:val="000000" w:themeColor="text1"/>
          <w:sz w:val="16"/>
          <w:szCs w:val="16"/>
          <w:lang w:val="en-US"/>
        </w:rPr>
        <w:t>X.SS</w:t>
      </w:r>
      <w:proofErr w:type="gramEnd"/>
      <w:r w:rsidRPr="00925F26">
        <w:rPr>
          <w:color w:val="000000" w:themeColor="text1"/>
          <w:sz w:val="16"/>
          <w:szCs w:val="16"/>
          <w:lang w:val="en-US"/>
        </w:rPr>
        <w:t xml:space="preserve">). They were all to attack on this date but the only divisions ready were the from the </w:t>
      </w:r>
      <w:proofErr w:type="gramStart"/>
      <w:r w:rsidRPr="00925F26">
        <w:rPr>
          <w:color w:val="000000" w:themeColor="text1"/>
          <w:sz w:val="16"/>
          <w:szCs w:val="16"/>
          <w:lang w:val="en-US"/>
        </w:rPr>
        <w:t>III.SS.Panzer</w:t>
      </w:r>
      <w:proofErr w:type="gramEnd"/>
      <w:r w:rsidRPr="00925F26">
        <w:rPr>
          <w:color w:val="000000" w:themeColor="text1"/>
          <w:sz w:val="16"/>
          <w:szCs w:val="16"/>
          <w:lang w:val="en-US"/>
        </w:rPr>
        <w:t xml:space="preserve">-Korps. They began to attack on the 15th with a Kampfgruppe from the </w:t>
      </w:r>
      <w:proofErr w:type="gramStart"/>
      <w:r w:rsidRPr="00925F26">
        <w:rPr>
          <w:color w:val="000000" w:themeColor="text1"/>
          <w:sz w:val="16"/>
          <w:szCs w:val="16"/>
          <w:lang w:val="en-US"/>
        </w:rPr>
        <w:t>11.SS</w:t>
      </w:r>
      <w:proofErr w:type="gramEnd"/>
      <w:r w:rsidRPr="00925F26">
        <w:rPr>
          <w:color w:val="000000" w:themeColor="text1"/>
          <w:sz w:val="16"/>
          <w:szCs w:val="16"/>
          <w:lang w:val="en-US"/>
        </w:rPr>
        <w:t xml:space="preserve">-PzGr.Div. "Nordland" &amp; </w:t>
      </w:r>
      <w:proofErr w:type="gramStart"/>
      <w:r w:rsidRPr="00925F26">
        <w:rPr>
          <w:color w:val="000000" w:themeColor="text1"/>
          <w:sz w:val="16"/>
          <w:szCs w:val="16"/>
          <w:lang w:val="en-US"/>
        </w:rPr>
        <w:t>27.SS</w:t>
      </w:r>
      <w:proofErr w:type="gramEnd"/>
      <w:r w:rsidRPr="00925F26">
        <w:rPr>
          <w:color w:val="000000" w:themeColor="text1"/>
          <w:sz w:val="16"/>
          <w:szCs w:val="16"/>
          <w:lang w:val="en-US"/>
        </w:rPr>
        <w:t>-Grenadier-Div. "Langemarck", of III.SS.</w:t>
      </w:r>
      <w:proofErr w:type="gramStart"/>
      <w:r w:rsidRPr="00925F26">
        <w:rPr>
          <w:color w:val="000000" w:themeColor="text1"/>
          <w:sz w:val="16"/>
          <w:szCs w:val="16"/>
          <w:lang w:val="en-US"/>
        </w:rPr>
        <w:t>Pz.Korps</w:t>
      </w:r>
      <w:proofErr w:type="gramEnd"/>
      <w:r w:rsidRPr="00925F26">
        <w:rPr>
          <w:color w:val="000000" w:themeColor="text1"/>
          <w:sz w:val="16"/>
          <w:szCs w:val="16"/>
          <w:lang w:val="en-US"/>
        </w:rPr>
        <w:t xml:space="preserve"> attacking south towards Arnswalde (about 30-35 kms southeast of Stargard). The KG from the </w:t>
      </w:r>
      <w:proofErr w:type="gramStart"/>
      <w:r w:rsidRPr="00925F26">
        <w:rPr>
          <w:color w:val="000000" w:themeColor="text1"/>
          <w:sz w:val="16"/>
          <w:szCs w:val="16"/>
          <w:lang w:val="en-US"/>
        </w:rPr>
        <w:t>11.SS</w:t>
      </w:r>
      <w:proofErr w:type="gramEnd"/>
      <w:r w:rsidRPr="00925F26">
        <w:rPr>
          <w:color w:val="000000" w:themeColor="text1"/>
          <w:sz w:val="16"/>
          <w:szCs w:val="16"/>
          <w:lang w:val="en-US"/>
        </w:rPr>
        <w:t xml:space="preserve"> followed up the initial penetrations by the infantry of the </w:t>
      </w:r>
      <w:proofErr w:type="gramStart"/>
      <w:r w:rsidRPr="00925F26">
        <w:rPr>
          <w:color w:val="000000" w:themeColor="text1"/>
          <w:sz w:val="16"/>
          <w:szCs w:val="16"/>
          <w:lang w:val="en-US"/>
        </w:rPr>
        <w:t>27.SS</w:t>
      </w:r>
      <w:proofErr w:type="gramEnd"/>
      <w:r w:rsidRPr="00925F26">
        <w:rPr>
          <w:color w:val="000000" w:themeColor="text1"/>
          <w:sz w:val="16"/>
          <w:szCs w:val="16"/>
          <w:lang w:val="en-US"/>
        </w:rPr>
        <w:t xml:space="preserve"> (3819).</w:t>
      </w:r>
    </w:p>
    <w:p w14:paraId="5155FC97" w14:textId="77777777" w:rsidR="00665165" w:rsidRPr="00925F26" w:rsidRDefault="00665165" w:rsidP="00925F26">
      <w:pPr>
        <w:autoSpaceDE w:val="0"/>
        <w:autoSpaceDN w:val="0"/>
        <w:adjustRightInd w:val="0"/>
        <w:jc w:val="both"/>
        <w:rPr>
          <w:color w:val="000000" w:themeColor="text1"/>
          <w:sz w:val="16"/>
          <w:szCs w:val="16"/>
          <w:lang w:val="en-US"/>
        </w:rPr>
      </w:pPr>
    </w:p>
    <w:p w14:paraId="6AC80B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февраля 1945 КА заняла Саган в Силезии. Немецкие войска не смогли провести мощную контратаку в Восточной Пруссии (3819).</w:t>
      </w:r>
    </w:p>
    <w:p w14:paraId="177643AD" w14:textId="77777777" w:rsidR="00665165" w:rsidRPr="00925F26" w:rsidRDefault="00665165" w:rsidP="00925F26">
      <w:pPr>
        <w:autoSpaceDE w:val="0"/>
        <w:autoSpaceDN w:val="0"/>
        <w:adjustRightInd w:val="0"/>
        <w:jc w:val="both"/>
        <w:rPr>
          <w:color w:val="000000" w:themeColor="text1"/>
          <w:sz w:val="16"/>
          <w:szCs w:val="16"/>
        </w:rPr>
      </w:pPr>
    </w:p>
    <w:p w14:paraId="2F0EEF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г. Власов сообщил Мальцеву, что собирается выводить свои воинские формирования навстречу американцам в надежде выговорить приемлемые условия капитуляции. ВВС РОА следовало в течение трех дней осуществить переброску своих частей на подходящие аэродромы и сдать машины Ашенбреннеру (4538).</w:t>
      </w:r>
    </w:p>
    <w:p w14:paraId="6B024A88" w14:textId="77777777" w:rsidR="00665165" w:rsidRPr="00925F26" w:rsidRDefault="00665165" w:rsidP="00925F26">
      <w:pPr>
        <w:autoSpaceDE w:val="0"/>
        <w:autoSpaceDN w:val="0"/>
        <w:adjustRightInd w:val="0"/>
        <w:jc w:val="both"/>
        <w:rPr>
          <w:color w:val="000000" w:themeColor="text1"/>
          <w:sz w:val="16"/>
          <w:szCs w:val="16"/>
        </w:rPr>
      </w:pPr>
    </w:p>
    <w:p w14:paraId="51F22BA1" w14:textId="77777777" w:rsidR="008741BA"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280B2CD" w14:textId="77777777" w:rsidR="008741BA" w:rsidRPr="00925F26" w:rsidRDefault="008741BA" w:rsidP="00925F26">
      <w:pPr>
        <w:autoSpaceDE w:val="0"/>
        <w:autoSpaceDN w:val="0"/>
        <w:adjustRightInd w:val="0"/>
        <w:jc w:val="both"/>
        <w:rPr>
          <w:iCs/>
          <w:color w:val="000000" w:themeColor="text1"/>
          <w:sz w:val="16"/>
          <w:szCs w:val="16"/>
        </w:rPr>
      </w:pPr>
    </w:p>
    <w:p w14:paraId="2E585138" w14:textId="77777777" w:rsidR="008741BA" w:rsidRPr="00925F26" w:rsidRDefault="008741BA" w:rsidP="00925F26">
      <w:pPr>
        <w:jc w:val="both"/>
        <w:rPr>
          <w:color w:val="000000" w:themeColor="text1"/>
          <w:sz w:val="16"/>
          <w:szCs w:val="16"/>
        </w:rPr>
      </w:pPr>
      <w:r w:rsidRPr="00925F26">
        <w:rPr>
          <w:bCs/>
          <w:color w:val="000000" w:themeColor="text1"/>
          <w:sz w:val="16"/>
          <w:szCs w:val="16"/>
        </w:rPr>
        <w:t>15 февраля</w:t>
      </w:r>
      <w:r w:rsidRPr="00925F26">
        <w:rPr>
          <w:color w:val="000000" w:themeColor="text1"/>
          <w:sz w:val="16"/>
          <w:szCs w:val="16"/>
        </w:rPr>
        <w:t xml:space="preserve"> в 1945 году возобновила передачи Вторая программа Всесоюзного радио (15041).</w:t>
      </w:r>
    </w:p>
    <w:p w14:paraId="0D3096A8" w14:textId="77777777" w:rsidR="008741BA" w:rsidRPr="00925F26" w:rsidRDefault="008741BA" w:rsidP="00925F26">
      <w:pPr>
        <w:jc w:val="both"/>
        <w:rPr>
          <w:color w:val="000000" w:themeColor="text1"/>
          <w:sz w:val="16"/>
          <w:szCs w:val="16"/>
        </w:rPr>
      </w:pPr>
    </w:p>
    <w:p w14:paraId="07712600" w14:textId="606660D9" w:rsidR="00EA347D" w:rsidRPr="00925F26" w:rsidRDefault="00EA347D"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09E5B182" w14:textId="77777777" w:rsidR="00EA347D" w:rsidRPr="00925F26" w:rsidRDefault="00EA347D" w:rsidP="00925F26">
      <w:pPr>
        <w:autoSpaceDE w:val="0"/>
        <w:autoSpaceDN w:val="0"/>
        <w:adjustRightInd w:val="0"/>
        <w:jc w:val="both"/>
        <w:rPr>
          <w:i/>
          <w:iCs/>
          <w:color w:val="000000" w:themeColor="text1"/>
          <w:sz w:val="16"/>
          <w:szCs w:val="16"/>
        </w:rPr>
      </w:pPr>
    </w:p>
    <w:p w14:paraId="529E53E0" w14:textId="77777777" w:rsidR="00EA347D" w:rsidRPr="00925F26" w:rsidRDefault="00EA347D" w:rsidP="00925F26">
      <w:pPr>
        <w:jc w:val="both"/>
        <w:rPr>
          <w:color w:val="000000" w:themeColor="text1"/>
          <w:sz w:val="16"/>
          <w:szCs w:val="16"/>
        </w:rPr>
      </w:pPr>
      <w:r w:rsidRPr="00925F26">
        <w:rPr>
          <w:color w:val="000000" w:themeColor="text1"/>
          <w:sz w:val="16"/>
          <w:szCs w:val="16"/>
        </w:rPr>
        <w:t>15 февраля 1945 за десять недель непрерывных бомбардировок Иводзимы седьмая и двадцатая воздушные гпуппы ВВС США сбросили на остров почти 6 800 тонн (6 168 920 кг) бомб (20371).</w:t>
      </w:r>
    </w:p>
    <w:p w14:paraId="1F04998F" w14:textId="77777777" w:rsidR="00EA347D" w:rsidRPr="00925F26" w:rsidRDefault="00EA347D" w:rsidP="00925F26">
      <w:pPr>
        <w:jc w:val="both"/>
        <w:rPr>
          <w:color w:val="000000" w:themeColor="text1"/>
          <w:sz w:val="16"/>
          <w:szCs w:val="16"/>
        </w:rPr>
      </w:pPr>
    </w:p>
    <w:p w14:paraId="1C105F2F" w14:textId="1ACB721E"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B2051BC" w14:textId="77777777" w:rsidR="00665165" w:rsidRPr="00925F26" w:rsidRDefault="00665165" w:rsidP="00925F26">
      <w:pPr>
        <w:autoSpaceDE w:val="0"/>
        <w:autoSpaceDN w:val="0"/>
        <w:adjustRightInd w:val="0"/>
        <w:jc w:val="both"/>
        <w:rPr>
          <w:iCs/>
          <w:color w:val="000000" w:themeColor="text1"/>
          <w:sz w:val="16"/>
          <w:szCs w:val="16"/>
        </w:rPr>
      </w:pPr>
    </w:p>
    <w:p w14:paraId="61EC73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первой половине февраля 1945 года двое охотников нашли в якутской тайге в районе Верхневилюйска странную повисшую на дереве «конструкцию», представлявшую собой авиабомбу со стабилизатором и медным пропеллером, анероидным прибором для отцепки бомбы на заданной высоте, парашютом и термитными шашками для уничтожения всей системы. Журналисты из Красноярска посчитали, что это была маленькая копия американских атомных бомб «Малыш» и «Толстяк», случайно сброшенная Соединенными Штатами на территорию Советского Дальнего Востока раньше, чем на Хиросиму и Нагасаки. Бомбу забрали органы НКВД и перевезли в Москву (11765).</w:t>
      </w:r>
    </w:p>
    <w:p w14:paraId="472975F7" w14:textId="77777777" w:rsidR="00665165" w:rsidRPr="00925F26" w:rsidRDefault="00665165" w:rsidP="00925F26">
      <w:pPr>
        <w:autoSpaceDE w:val="0"/>
        <w:autoSpaceDN w:val="0"/>
        <w:adjustRightInd w:val="0"/>
        <w:jc w:val="both"/>
        <w:rPr>
          <w:color w:val="000000" w:themeColor="text1"/>
          <w:sz w:val="16"/>
          <w:szCs w:val="16"/>
        </w:rPr>
      </w:pPr>
    </w:p>
    <w:p w14:paraId="1C9F572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7DF4584" w14:textId="77777777" w:rsidR="00665165" w:rsidRPr="00925F26" w:rsidRDefault="00665165" w:rsidP="00925F26">
      <w:pPr>
        <w:autoSpaceDE w:val="0"/>
        <w:autoSpaceDN w:val="0"/>
        <w:adjustRightInd w:val="0"/>
        <w:jc w:val="both"/>
        <w:rPr>
          <w:iCs/>
          <w:color w:val="000000" w:themeColor="text1"/>
          <w:sz w:val="16"/>
          <w:szCs w:val="16"/>
        </w:rPr>
      </w:pPr>
    </w:p>
    <w:p w14:paraId="3B7AA4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середине февраля 1945 в КБ П.О.С. приступили к подготовке рабочих чертежей модернизации Ер-2. Основой для опытных экземпляров Ер-2ММ стали машины № 7063901 и № 7023901, к доработке которых приступили в апреле. На самолете № 7063901 с моторами АЧ-ЗОБ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6AFF2060" w14:textId="77777777" w:rsidR="00665165" w:rsidRPr="00925F26" w:rsidRDefault="00665165" w:rsidP="00925F26">
      <w:pPr>
        <w:autoSpaceDE w:val="0"/>
        <w:autoSpaceDN w:val="0"/>
        <w:adjustRightInd w:val="0"/>
        <w:jc w:val="both"/>
        <w:rPr>
          <w:color w:val="000000" w:themeColor="text1"/>
          <w:sz w:val="16"/>
          <w:szCs w:val="16"/>
        </w:rPr>
      </w:pPr>
    </w:p>
    <w:p w14:paraId="29A3863D" w14:textId="77777777" w:rsidR="00D23490" w:rsidRPr="001A0BAA" w:rsidRDefault="00D23490" w:rsidP="00D23490">
      <w:pPr>
        <w:jc w:val="both"/>
        <w:rPr>
          <w:color w:val="0070C0"/>
          <w:sz w:val="16"/>
          <w:szCs w:val="16"/>
        </w:rPr>
      </w:pPr>
      <w:r w:rsidRPr="001A0BAA">
        <w:rPr>
          <w:color w:val="0070C0"/>
          <w:sz w:val="16"/>
          <w:szCs w:val="16"/>
        </w:rPr>
        <w:t xml:space="preserve">В середине февраля 1945 года построенный прототип И-25-1 стали готовить к проведению заводских испытаний. После приемки изделия был осуществлен его обмер и контрольное взвешивание. Далее начались необходимые наземные испытания, в ходе которых осуществлялась проверка работы винтомоторной группы, основных функциональных систем и органов управления. После чего были выполнены первые рулежки и подлеты. Ведущим летчиком-испытателем назначили А. П. Деева, а ведущим инженером В. Н. Сорокина. Постоянным представителем ЦИАМ, который должен был контролировать работу комбинированного двигателя, назначили А. И. Комиссарова. После устранения выявленных недостатков начался этап летных испытаний. Однако точная дата первого полета неизвестна. В одних источниках приводят цифру 3 марта, а в других </w:t>
      </w:r>
      <w:proofErr w:type="gramStart"/>
      <w:r w:rsidRPr="001A0BAA">
        <w:rPr>
          <w:color w:val="0070C0"/>
          <w:sz w:val="16"/>
          <w:szCs w:val="16"/>
        </w:rPr>
        <w:t>отмечается</w:t>
      </w:r>
      <w:proofErr w:type="gramEnd"/>
      <w:r w:rsidRPr="001A0BAA">
        <w:rPr>
          <w:color w:val="0070C0"/>
          <w:sz w:val="16"/>
          <w:szCs w:val="16"/>
        </w:rPr>
        <w:t xml:space="preserve"> что первый полет И-250-1 состоялся 4 апреля. После него было выполнено еще несколько полетов в ходе которых оценивалось общее поведение машины в воздухе (устойчивость, управляемость). Начиная с третьего полета задействовали ВРДК Э3020. Однако практически сразу же были выявлены и различные дефекты винтомоторной группы (в маслорадиаторе, компрессоре, бензиновой помпе). Обнаружили проблемы и в конструкции шасси. Начальный этап летных испытаний на первом экспериментальном образце продолжался примерно до конца мая, пока силовая установка полностью не выработала свой ресурс и не потребовалась ее замена (25216)</w:t>
      </w:r>
    </w:p>
    <w:p w14:paraId="01619526" w14:textId="77777777" w:rsidR="00D23490" w:rsidRPr="001A0BAA" w:rsidRDefault="00D23490" w:rsidP="00D23490">
      <w:pPr>
        <w:jc w:val="both"/>
        <w:rPr>
          <w:color w:val="0070C0"/>
          <w:sz w:val="16"/>
          <w:szCs w:val="16"/>
        </w:rPr>
      </w:pPr>
    </w:p>
    <w:p w14:paraId="5889F85D" w14:textId="77777777" w:rsidR="000F49EC" w:rsidRPr="00925F26" w:rsidRDefault="000F49EC" w:rsidP="00925F26">
      <w:pPr>
        <w:jc w:val="both"/>
        <w:rPr>
          <w:color w:val="000000" w:themeColor="text1"/>
          <w:sz w:val="16"/>
          <w:szCs w:val="16"/>
        </w:rPr>
      </w:pPr>
      <w:r w:rsidRPr="00925F26">
        <w:rPr>
          <w:color w:val="000000" w:themeColor="text1"/>
          <w:sz w:val="16"/>
          <w:szCs w:val="16"/>
        </w:rPr>
        <w:t>В середине февраля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испытаний...Почему руководство ВВС предложило проводить испытания в Джизаке, сейчас установить трудно. Кругом были пески, барханы, дули сильные ветры (15134).</w:t>
      </w:r>
    </w:p>
    <w:p w14:paraId="4009DA6E" w14:textId="77777777" w:rsidR="000F49EC" w:rsidRPr="00925F26" w:rsidRDefault="000F49EC" w:rsidP="00925F26">
      <w:pPr>
        <w:jc w:val="both"/>
        <w:rPr>
          <w:color w:val="000000" w:themeColor="text1"/>
          <w:sz w:val="16"/>
          <w:szCs w:val="16"/>
        </w:rPr>
      </w:pPr>
    </w:p>
    <w:p w14:paraId="550D9536" w14:textId="77777777" w:rsidR="004D08EC" w:rsidRPr="00925F26" w:rsidRDefault="004D08EC"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5221E00" w14:textId="77777777" w:rsidR="004D08EC" w:rsidRPr="00925F26" w:rsidRDefault="004D08EC" w:rsidP="00925F26">
      <w:pPr>
        <w:autoSpaceDE w:val="0"/>
        <w:autoSpaceDN w:val="0"/>
        <w:adjustRightInd w:val="0"/>
        <w:jc w:val="both"/>
        <w:rPr>
          <w:iCs/>
          <w:color w:val="000000" w:themeColor="text1"/>
          <w:sz w:val="16"/>
          <w:szCs w:val="16"/>
        </w:rPr>
      </w:pPr>
    </w:p>
    <w:p w14:paraId="08E59043" w14:textId="77777777" w:rsidR="004D08EC" w:rsidRPr="00925F26" w:rsidRDefault="004D08EC"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В середине февраля 1945 года </w:t>
      </w:r>
      <w:r w:rsidRPr="00925F26">
        <w:rPr>
          <w:color w:val="000000" w:themeColor="text1"/>
          <w:sz w:val="16"/>
          <w:szCs w:val="16"/>
          <w:lang w:val="en-US"/>
        </w:rPr>
        <w:t>b</w:t>
      </w:r>
      <w:r w:rsidRPr="00925F26">
        <w:rPr>
          <w:color w:val="000000" w:themeColor="text1"/>
          <w:sz w:val="16"/>
          <w:szCs w:val="16"/>
        </w:rPr>
        <w:t>нформация о M4A2E8 впервые попала к советским военным. Тогда был получен информационный бюллетень американского Военного департамента TB 9-1750K-2, в котором подробно описывалась новая ходовая часть. Гораздо более подробная информация о «горизонтальной подвеске танка M2A2» появилась 13 марта 1945 года. Сводку подготовил начальник танкового отдела Советской правительственной закупочной комиссии (СПЗК) в США подполковник Пульников. В соответствии с этим документом, одной из причин появления подвески HVSS стали многочисленные жалобы со стороны американских союзников. Пульников подчёркивал, что жалобы на ходовую часть VVSS неоднократно отправляла и советская сторона.</w:t>
      </w:r>
    </w:p>
    <w:p w14:paraId="69DC1EE6" w14:textId="77777777" w:rsidR="004D08EC" w:rsidRPr="00925F26" w:rsidRDefault="004D08EC"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 слову, по данным Пульникова, траки T66 танки получали только с января по март 1945 года, с марта 1945 года в серию пошли траки T80.</w:t>
      </w:r>
    </w:p>
    <w:p w14:paraId="3C9A3F1D" w14:textId="77777777" w:rsidR="004D08EC" w:rsidRPr="00925F26" w:rsidRDefault="004D08EC"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сводке Пульникова нашлось место и для описания достаточно специфичной особенности подвески. Тележки в ней использовались трёх типов: 7067329 (левая передняя и правая задняя), 7067330 (правая передняя и левая задняя) и 7067331 (центральные). Друг от друга они отличались наличием упоров, ограничивающих ход балансира. По данным американского Танко-автомобильного центра ресурс опорных катков составлял 6400 километров, поддерживающих катков — 8000 километров, ленивцев — 6400 километров, амортизаторов 2400 километров. Ресурс трака T66 составил 4000 километров. Американцами испытывался и трак T88, который М4 получили уже после окончания войны. Его ресурс оказался ещё больше — 6800 километров.</w:t>
      </w:r>
    </w:p>
    <w:p w14:paraId="0474020C" w14:textId="77777777" w:rsidR="004D08EC" w:rsidRPr="00925F26" w:rsidRDefault="004D08EC"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Пульников сообщал и о других изменениях M4A2E8. С марта 1945 года (с машины под номером 64741) прекращалась установка миномёта в крыше башни, а начиная с машины 64724 у танков появился чехол, который ставился на орудийную маску (17725).</w:t>
      </w:r>
    </w:p>
    <w:p w14:paraId="717F36E9" w14:textId="77777777" w:rsidR="004D08EC" w:rsidRPr="00925F26" w:rsidRDefault="004D08EC" w:rsidP="00925F26">
      <w:pPr>
        <w:jc w:val="both"/>
        <w:rPr>
          <w:rStyle w:val="107"/>
          <w:rFonts w:eastAsiaTheme="minorHAnsi"/>
          <w:color w:val="000000" w:themeColor="text1"/>
          <w:sz w:val="16"/>
          <w:szCs w:val="16"/>
        </w:rPr>
      </w:pPr>
    </w:p>
    <w:p w14:paraId="386A7D7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85BD23C" w14:textId="77777777" w:rsidR="00665165" w:rsidRPr="00925F26" w:rsidRDefault="00665165" w:rsidP="00925F26">
      <w:pPr>
        <w:autoSpaceDE w:val="0"/>
        <w:autoSpaceDN w:val="0"/>
        <w:adjustRightInd w:val="0"/>
        <w:jc w:val="both"/>
        <w:rPr>
          <w:iCs/>
          <w:color w:val="000000" w:themeColor="text1"/>
          <w:sz w:val="16"/>
          <w:szCs w:val="16"/>
        </w:rPr>
      </w:pPr>
    </w:p>
    <w:p w14:paraId="259D34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середине февраля 1945 в 108 гшап была только закончена программа летной тренировки и только потом начался перелет в расположение 6 шад, 2ВА из глубины России (111,176).</w:t>
      </w:r>
    </w:p>
    <w:p w14:paraId="1AFD3AE9" w14:textId="77777777" w:rsidR="00665165" w:rsidRPr="00925F26" w:rsidRDefault="00665165" w:rsidP="00925F26">
      <w:pPr>
        <w:autoSpaceDE w:val="0"/>
        <w:autoSpaceDN w:val="0"/>
        <w:adjustRightInd w:val="0"/>
        <w:jc w:val="both"/>
        <w:rPr>
          <w:color w:val="000000" w:themeColor="text1"/>
          <w:sz w:val="16"/>
          <w:szCs w:val="16"/>
        </w:rPr>
      </w:pPr>
    </w:p>
    <w:p w14:paraId="7FC9C6F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AE31F7C" w14:textId="77777777" w:rsidR="00665165" w:rsidRPr="00925F26" w:rsidRDefault="00665165" w:rsidP="00925F26">
      <w:pPr>
        <w:autoSpaceDE w:val="0"/>
        <w:autoSpaceDN w:val="0"/>
        <w:adjustRightInd w:val="0"/>
        <w:jc w:val="both"/>
        <w:rPr>
          <w:iCs/>
          <w:color w:val="000000" w:themeColor="text1"/>
          <w:sz w:val="16"/>
          <w:szCs w:val="16"/>
        </w:rPr>
      </w:pPr>
    </w:p>
    <w:p w14:paraId="763BE0F0" w14:textId="77777777" w:rsidR="003C19E1" w:rsidRPr="00925F26" w:rsidRDefault="003C19E1" w:rsidP="00925F26">
      <w:pPr>
        <w:jc w:val="both"/>
        <w:rPr>
          <w:color w:val="000000" w:themeColor="text1"/>
          <w:sz w:val="16"/>
          <w:szCs w:val="16"/>
        </w:rPr>
      </w:pPr>
      <w:r w:rsidRPr="00925F26">
        <w:rPr>
          <w:color w:val="000000" w:themeColor="text1"/>
          <w:sz w:val="16"/>
          <w:szCs w:val="16"/>
        </w:rPr>
        <w:t>16 февраля 1945 был выпущен самолет Ил-2 № 13653 производства завода № 1 им. Сталина со следующими данными:</w:t>
      </w:r>
    </w:p>
    <w:p w14:paraId="723151FE" w14:textId="77777777" w:rsidR="003C19E1" w:rsidRPr="00925F26" w:rsidRDefault="003C19E1" w:rsidP="00925F26">
      <w:pPr>
        <w:pStyle w:val="80"/>
        <w:shd w:val="clear" w:color="auto" w:fill="auto"/>
        <w:tabs>
          <w:tab w:val="left" w:leader="dot" w:pos="4038"/>
          <w:tab w:val="left" w:pos="4456"/>
          <w:tab w:val="center" w:pos="5267"/>
        </w:tabs>
        <w:spacing w:line="240" w:lineRule="auto"/>
        <w:jc w:val="both"/>
        <w:rPr>
          <w:rFonts w:ascii="Times New Roman" w:hAnsi="Times New Roman" w:cs="Times New Roman"/>
          <w:color w:val="000000" w:themeColor="text1"/>
        </w:rPr>
      </w:pPr>
      <w:r w:rsidRPr="00925F26">
        <w:rPr>
          <w:rFonts w:ascii="Times New Roman" w:hAnsi="Times New Roman" w:cs="Times New Roman"/>
          <w:color w:val="000000" w:themeColor="text1"/>
        </w:rPr>
        <w:t xml:space="preserve">I. </w:t>
      </w:r>
      <w:r w:rsidRPr="00925F26">
        <w:rPr>
          <w:rStyle w:val="8Gungsuh75pt"/>
          <w:rFonts w:ascii="Times New Roman" w:hAnsi="Times New Roman" w:cs="Times New Roman"/>
          <w:b w:val="0"/>
          <w:color w:val="000000" w:themeColor="text1"/>
          <w:sz w:val="16"/>
          <w:szCs w:val="16"/>
        </w:rPr>
        <w:t>Полный</w:t>
      </w:r>
      <w:r w:rsidRPr="00925F26">
        <w:rPr>
          <w:rFonts w:ascii="Times New Roman" w:hAnsi="Times New Roman" w:cs="Times New Roman"/>
          <w:color w:val="000000" w:themeColor="text1"/>
        </w:rPr>
        <w:t xml:space="preserve"> </w:t>
      </w:r>
      <w:r w:rsidRPr="00925F26">
        <w:rPr>
          <w:rStyle w:val="8Gungsuh75pt"/>
          <w:rFonts w:ascii="Times New Roman" w:hAnsi="Times New Roman" w:cs="Times New Roman"/>
          <w:b w:val="0"/>
          <w:color w:val="000000" w:themeColor="text1"/>
          <w:sz w:val="16"/>
          <w:szCs w:val="16"/>
        </w:rPr>
        <w:t>полетный</w:t>
      </w:r>
      <w:r w:rsidRPr="00925F26">
        <w:rPr>
          <w:rFonts w:ascii="Times New Roman" w:hAnsi="Times New Roman" w:cs="Times New Roman"/>
          <w:color w:val="000000" w:themeColor="text1"/>
        </w:rPr>
        <w:t xml:space="preserve"> вес </w:t>
      </w:r>
      <w:r w:rsidRPr="00925F26">
        <w:rPr>
          <w:rFonts w:ascii="Times New Roman" w:hAnsi="Times New Roman" w:cs="Times New Roman"/>
          <w:color w:val="000000" w:themeColor="text1"/>
        </w:rPr>
        <w:tab/>
      </w:r>
      <w:r w:rsidRPr="00925F26">
        <w:rPr>
          <w:rFonts w:ascii="Times New Roman" w:hAnsi="Times New Roman" w:cs="Times New Roman"/>
          <w:color w:val="000000" w:themeColor="text1"/>
        </w:rPr>
        <w:tab/>
        <w:t>-</w:t>
      </w:r>
      <w:r w:rsidRPr="00925F26">
        <w:rPr>
          <w:rFonts w:ascii="Times New Roman" w:hAnsi="Times New Roman" w:cs="Times New Roman"/>
          <w:color w:val="000000" w:themeColor="text1"/>
        </w:rPr>
        <w:tab/>
        <w:t>6290 кг.</w:t>
      </w:r>
    </w:p>
    <w:p w14:paraId="69237262" w14:textId="77777777" w:rsidR="003C19E1" w:rsidRPr="00925F26" w:rsidRDefault="003C19E1" w:rsidP="00925F26">
      <w:pPr>
        <w:pStyle w:val="431"/>
        <w:shd w:val="clear" w:color="auto" w:fill="auto"/>
        <w:tabs>
          <w:tab w:val="left" w:pos="942"/>
        </w:tabs>
        <w:spacing w:line="240" w:lineRule="auto"/>
        <w:ind w:firstLine="0"/>
        <w:jc w:val="both"/>
        <w:rPr>
          <w:rStyle w:val="8Gungsuh75pt"/>
          <w:rFonts w:ascii="Times New Roman" w:hAnsi="Times New Roman" w:cs="Times New Roman"/>
          <w:b w:val="0"/>
          <w:color w:val="000000" w:themeColor="text1"/>
          <w:sz w:val="16"/>
          <w:szCs w:val="16"/>
        </w:rPr>
      </w:pPr>
      <w:r w:rsidRPr="00925F26">
        <w:rPr>
          <w:rFonts w:ascii="Times New Roman" w:hAnsi="Times New Roman" w:cs="Times New Roman"/>
          <w:color w:val="000000" w:themeColor="text1"/>
          <w:sz w:val="16"/>
          <w:szCs w:val="16"/>
        </w:rPr>
        <w:t>2. Максим</w:t>
      </w:r>
      <w:r w:rsidRPr="00925F26">
        <w:rPr>
          <w:rStyle w:val="147"/>
          <w:rFonts w:ascii="Times New Roman" w:hAnsi="Times New Roman" w:cs="Times New Roman"/>
          <w:color w:val="000000" w:themeColor="text1"/>
          <w:spacing w:val="0"/>
          <w:sz w:val="16"/>
          <w:szCs w:val="16"/>
        </w:rPr>
        <w:t xml:space="preserve">альная скорость </w:t>
      </w:r>
      <w:r w:rsidRPr="00925F26">
        <w:rPr>
          <w:rFonts w:ascii="Times New Roman" w:hAnsi="Times New Roman" w:cs="Times New Roman"/>
          <w:color w:val="000000" w:themeColor="text1"/>
          <w:sz w:val="16"/>
          <w:szCs w:val="16"/>
        </w:rPr>
        <w:t xml:space="preserve">у </w:t>
      </w:r>
      <w:proofErr w:type="gramStart"/>
      <w:r w:rsidRPr="00925F26">
        <w:rPr>
          <w:rFonts w:ascii="Times New Roman" w:hAnsi="Times New Roman" w:cs="Times New Roman"/>
          <w:color w:val="000000" w:themeColor="text1"/>
          <w:sz w:val="16"/>
          <w:szCs w:val="16"/>
        </w:rPr>
        <w:t>земли</w:t>
      </w:r>
      <w:proofErr w:type="gramEnd"/>
      <w:r w:rsidRPr="00925F26">
        <w:rPr>
          <w:rFonts w:ascii="Times New Roman" w:hAnsi="Times New Roman" w:cs="Times New Roman"/>
          <w:color w:val="000000" w:themeColor="text1"/>
          <w:sz w:val="16"/>
          <w:szCs w:val="16"/>
        </w:rPr>
        <w:t xml:space="preserve"> </w:t>
      </w:r>
      <w:r w:rsidRPr="00925F26">
        <w:rPr>
          <w:rStyle w:val="8Gungsuh75pt"/>
          <w:rFonts w:ascii="Times New Roman" w:hAnsi="Times New Roman" w:cs="Times New Roman"/>
          <w:b w:val="0"/>
          <w:color w:val="000000" w:themeColor="text1"/>
          <w:sz w:val="16"/>
          <w:szCs w:val="16"/>
        </w:rPr>
        <w:t>У макс</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w:t>
      </w:r>
      <w:r w:rsidRPr="00925F26">
        <w:rPr>
          <w:rFonts w:ascii="Times New Roman" w:hAnsi="Times New Roman" w:cs="Times New Roman"/>
          <w:color w:val="000000" w:themeColor="text1"/>
          <w:sz w:val="16"/>
          <w:szCs w:val="16"/>
        </w:rPr>
        <w:tab/>
        <w:t>= 395 км/час</w:t>
      </w:r>
    </w:p>
    <w:p w14:paraId="0FE81636" w14:textId="77777777" w:rsidR="003C19E1" w:rsidRPr="00925F26" w:rsidRDefault="003C19E1" w:rsidP="00925F26">
      <w:pPr>
        <w:pStyle w:val="80"/>
        <w:shd w:val="clear" w:color="auto" w:fill="auto"/>
        <w:tabs>
          <w:tab w:val="left" w:leader="dot" w:pos="2499"/>
          <w:tab w:val="left" w:leader="dot" w:pos="3814"/>
          <w:tab w:val="left" w:pos="4429"/>
          <w:tab w:val="center" w:pos="5240"/>
        </w:tabs>
        <w:spacing w:line="240" w:lineRule="auto"/>
        <w:jc w:val="both"/>
        <w:rPr>
          <w:rStyle w:val="Consolas65pt"/>
          <w:rFonts w:ascii="Times New Roman" w:hAnsi="Times New Roman" w:cs="Times New Roman"/>
          <w:b w:val="0"/>
          <w:color w:val="000000" w:themeColor="text1"/>
          <w:sz w:val="16"/>
          <w:szCs w:val="16"/>
        </w:rPr>
      </w:pPr>
      <w:r w:rsidRPr="00925F26">
        <w:rPr>
          <w:rStyle w:val="147"/>
          <w:rFonts w:ascii="Times New Roman" w:hAnsi="Times New Roman" w:cs="Times New Roman"/>
          <w:color w:val="000000" w:themeColor="text1"/>
          <w:spacing w:val="0"/>
          <w:sz w:val="16"/>
          <w:szCs w:val="16"/>
        </w:rPr>
        <w:t>3. Максимальная скорость н</w:t>
      </w:r>
      <w:r w:rsidRPr="00925F26">
        <w:rPr>
          <w:rStyle w:val="154"/>
          <w:rFonts w:ascii="Times New Roman" w:hAnsi="Times New Roman" w:cs="Times New Roman"/>
          <w:color w:val="000000" w:themeColor="text1"/>
          <w:spacing w:val="0"/>
          <w:sz w:val="16"/>
          <w:szCs w:val="16"/>
        </w:rPr>
        <w:t xml:space="preserve">а </w:t>
      </w:r>
      <w:r w:rsidRPr="00925F26">
        <w:rPr>
          <w:rStyle w:val="147"/>
          <w:rFonts w:ascii="Times New Roman" w:hAnsi="Times New Roman" w:cs="Times New Roman"/>
          <w:color w:val="000000" w:themeColor="text1"/>
          <w:spacing w:val="0"/>
          <w:sz w:val="16"/>
          <w:szCs w:val="16"/>
        </w:rPr>
        <w:t>границе высотности Н</w:t>
      </w:r>
      <w:r w:rsidRPr="00925F26">
        <w:rPr>
          <w:rStyle w:val="Consolas65pt"/>
          <w:rFonts w:ascii="Times New Roman" w:hAnsi="Times New Roman" w:cs="Times New Roman"/>
          <w:b w:val="0"/>
          <w:color w:val="000000" w:themeColor="text1"/>
          <w:sz w:val="16"/>
          <w:szCs w:val="16"/>
        </w:rPr>
        <w:t xml:space="preserve"> = 1200</w:t>
      </w:r>
      <w:r w:rsidRPr="00925F26">
        <w:rPr>
          <w:rStyle w:val="135"/>
          <w:rFonts w:ascii="Times New Roman" w:hAnsi="Times New Roman" w:cs="Times New Roman"/>
          <w:color w:val="000000" w:themeColor="text1"/>
          <w:spacing w:val="0"/>
          <w:sz w:val="16"/>
          <w:szCs w:val="16"/>
        </w:rPr>
        <w:t xml:space="preserve"> </w:t>
      </w:r>
      <w:r w:rsidRPr="00925F26">
        <w:rPr>
          <w:rFonts w:ascii="Times New Roman" w:hAnsi="Times New Roman" w:cs="Times New Roman"/>
          <w:color w:val="000000" w:themeColor="text1"/>
          <w:lang w:val="en-US"/>
        </w:rPr>
        <w:t>V</w:t>
      </w:r>
      <w:r w:rsidRPr="00925F26">
        <w:rPr>
          <w:rFonts w:ascii="Times New Roman" w:hAnsi="Times New Roman" w:cs="Times New Roman"/>
          <w:color w:val="000000" w:themeColor="text1"/>
        </w:rPr>
        <w:t xml:space="preserve"> макс =</w:t>
      </w:r>
      <w:r w:rsidRPr="00925F26">
        <w:rPr>
          <w:rStyle w:val="Consolas65pt"/>
          <w:rFonts w:ascii="Times New Roman" w:hAnsi="Times New Roman" w:cs="Times New Roman"/>
          <w:b w:val="0"/>
          <w:color w:val="000000" w:themeColor="text1"/>
          <w:sz w:val="16"/>
          <w:szCs w:val="16"/>
        </w:rPr>
        <w:t xml:space="preserve"> 411 км/час</w:t>
      </w:r>
    </w:p>
    <w:p w14:paraId="55A8CBB7" w14:textId="77777777" w:rsidR="003C19E1" w:rsidRPr="00925F26" w:rsidRDefault="003C19E1" w:rsidP="00925F26">
      <w:pPr>
        <w:pStyle w:val="80"/>
        <w:shd w:val="clear" w:color="auto" w:fill="auto"/>
        <w:tabs>
          <w:tab w:val="left" w:leader="dot" w:pos="2499"/>
          <w:tab w:val="left" w:leader="dot" w:pos="3814"/>
          <w:tab w:val="left" w:pos="4429"/>
          <w:tab w:val="center" w:pos="5240"/>
        </w:tabs>
        <w:spacing w:line="240" w:lineRule="auto"/>
        <w:jc w:val="both"/>
        <w:rPr>
          <w:rFonts w:ascii="Times New Roman" w:hAnsi="Times New Roman" w:cs="Times New Roman"/>
          <w:color w:val="000000" w:themeColor="text1"/>
        </w:rPr>
      </w:pPr>
      <w:r w:rsidRPr="00925F26">
        <w:rPr>
          <w:rStyle w:val="Consolas65pt"/>
          <w:rFonts w:ascii="Times New Roman" w:hAnsi="Times New Roman" w:cs="Times New Roman"/>
          <w:b w:val="0"/>
          <w:color w:val="000000" w:themeColor="text1"/>
          <w:sz w:val="16"/>
          <w:szCs w:val="16"/>
        </w:rPr>
        <w:t xml:space="preserve">4. </w:t>
      </w:r>
      <w:r w:rsidRPr="00925F26">
        <w:rPr>
          <w:rFonts w:ascii="Times New Roman" w:hAnsi="Times New Roman" w:cs="Times New Roman"/>
          <w:color w:val="000000" w:themeColor="text1"/>
        </w:rPr>
        <w:t>Время наб</w:t>
      </w:r>
      <w:r w:rsidRPr="00925F26">
        <w:rPr>
          <w:rStyle w:val="147"/>
          <w:rFonts w:ascii="Times New Roman" w:hAnsi="Times New Roman" w:cs="Times New Roman"/>
          <w:color w:val="000000" w:themeColor="text1"/>
          <w:spacing w:val="0"/>
          <w:sz w:val="16"/>
          <w:szCs w:val="16"/>
          <w:lang w:val="en-US"/>
        </w:rPr>
        <w:t>opa</w:t>
      </w:r>
      <w:r w:rsidRPr="00925F26">
        <w:rPr>
          <w:rStyle w:val="147"/>
          <w:rFonts w:ascii="Times New Roman" w:hAnsi="Times New Roman" w:cs="Times New Roman"/>
          <w:color w:val="000000" w:themeColor="text1"/>
          <w:spacing w:val="0"/>
          <w:sz w:val="16"/>
          <w:szCs w:val="16"/>
        </w:rPr>
        <w:t xml:space="preserve"> 3</w:t>
      </w:r>
      <w:r w:rsidRPr="00925F26">
        <w:rPr>
          <w:rFonts w:ascii="Times New Roman" w:hAnsi="Times New Roman" w:cs="Times New Roman"/>
          <w:color w:val="000000" w:themeColor="text1"/>
        </w:rPr>
        <w:t xml:space="preserve">000 м. </w:t>
      </w:r>
      <w:r w:rsidRPr="00925F26">
        <w:rPr>
          <w:rStyle w:val="147"/>
          <w:rFonts w:ascii="Times New Roman" w:hAnsi="Times New Roman" w:cs="Times New Roman"/>
          <w:color w:val="000000" w:themeColor="text1"/>
          <w:spacing w:val="0"/>
          <w:sz w:val="16"/>
          <w:szCs w:val="16"/>
        </w:rPr>
        <w:t xml:space="preserve">равно </w:t>
      </w:r>
      <w:r w:rsidRPr="00925F26">
        <w:rPr>
          <w:rFonts w:ascii="Times New Roman" w:hAnsi="Times New Roman" w:cs="Times New Roman"/>
          <w:color w:val="000000" w:themeColor="text1"/>
        </w:rPr>
        <w:t>9,1 нпн.</w:t>
      </w:r>
    </w:p>
    <w:p w14:paraId="479C0ADD" w14:textId="77777777" w:rsidR="003C19E1" w:rsidRPr="00925F26" w:rsidRDefault="003C19E1" w:rsidP="00925F26">
      <w:pPr>
        <w:pStyle w:val="80"/>
        <w:shd w:val="clear" w:color="auto" w:fill="auto"/>
        <w:tabs>
          <w:tab w:val="left" w:pos="3834"/>
        </w:tabs>
        <w:spacing w:line="240" w:lineRule="auto"/>
        <w:jc w:val="both"/>
        <w:rPr>
          <w:rFonts w:ascii="Times New Roman" w:hAnsi="Times New Roman" w:cs="Times New Roman"/>
          <w:color w:val="000000" w:themeColor="text1"/>
        </w:rPr>
      </w:pPr>
      <w:r w:rsidRPr="00925F26">
        <w:rPr>
          <w:rFonts w:ascii="Times New Roman" w:hAnsi="Times New Roman" w:cs="Times New Roman"/>
          <w:color w:val="000000" w:themeColor="text1"/>
        </w:rPr>
        <w:t>б) весовые данные самолета</w:t>
      </w:r>
    </w:p>
    <w:p w14:paraId="4859A2E4" w14:textId="77777777" w:rsidR="003C19E1" w:rsidRPr="00925F26" w:rsidRDefault="003C19E1" w:rsidP="00925F26">
      <w:pPr>
        <w:pStyle w:val="431"/>
        <w:shd w:val="clear" w:color="auto" w:fill="auto"/>
        <w:tabs>
          <w:tab w:val="left" w:pos="928"/>
          <w:tab w:val="left" w:leader="dot" w:pos="4350"/>
          <w:tab w:val="left" w:pos="4677"/>
          <w:tab w:val="center" w:pos="5488"/>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1. Вес пустого с</w:t>
      </w:r>
      <w:r w:rsidRPr="00925F26">
        <w:rPr>
          <w:rStyle w:val="147"/>
          <w:rFonts w:ascii="Times New Roman" w:hAnsi="Times New Roman" w:cs="Times New Roman"/>
          <w:color w:val="000000" w:themeColor="text1"/>
          <w:spacing w:val="0"/>
          <w:sz w:val="16"/>
          <w:szCs w:val="16"/>
        </w:rPr>
        <w:t xml:space="preserve">амолета </w:t>
      </w:r>
      <w:r w:rsidRPr="00925F26">
        <w:rPr>
          <w:rStyle w:val="135"/>
          <w:rFonts w:ascii="Times New Roman" w:hAnsi="Times New Roman" w:cs="Times New Roman"/>
          <w:color w:val="000000" w:themeColor="text1"/>
          <w:spacing w:val="0"/>
          <w:sz w:val="16"/>
          <w:szCs w:val="16"/>
        </w:rPr>
        <w:tab/>
      </w:r>
      <w:r w:rsidRPr="00925F26">
        <w:rPr>
          <w:rStyle w:val="135"/>
          <w:rFonts w:ascii="Times New Roman" w:hAnsi="Times New Roman" w:cs="Times New Roman"/>
          <w:color w:val="000000" w:themeColor="text1"/>
          <w:spacing w:val="0"/>
          <w:sz w:val="16"/>
          <w:szCs w:val="16"/>
        </w:rPr>
        <w:tab/>
        <w:t>-</w:t>
      </w:r>
      <w:r w:rsidRPr="00925F26">
        <w:rPr>
          <w:rStyle w:val="135"/>
          <w:rFonts w:ascii="Times New Roman" w:hAnsi="Times New Roman" w:cs="Times New Roman"/>
          <w:color w:val="000000" w:themeColor="text1"/>
          <w:spacing w:val="0"/>
          <w:sz w:val="16"/>
          <w:szCs w:val="16"/>
        </w:rPr>
        <w:tab/>
      </w:r>
      <w:r w:rsidRPr="00925F26">
        <w:rPr>
          <w:rFonts w:ascii="Times New Roman" w:hAnsi="Times New Roman" w:cs="Times New Roman"/>
          <w:color w:val="000000" w:themeColor="text1"/>
          <w:sz w:val="16"/>
          <w:szCs w:val="16"/>
        </w:rPr>
        <w:t xml:space="preserve">4533 </w:t>
      </w:r>
      <w:r w:rsidRPr="00925F26">
        <w:rPr>
          <w:rStyle w:val="1pt"/>
          <w:rFonts w:ascii="Times New Roman" w:hAnsi="Times New Roman" w:cs="Times New Roman"/>
          <w:color w:val="000000" w:themeColor="text1"/>
          <w:spacing w:val="0"/>
          <w:sz w:val="16"/>
          <w:szCs w:val="16"/>
        </w:rPr>
        <w:t>кг.</w:t>
      </w:r>
    </w:p>
    <w:p w14:paraId="31CAE02B" w14:textId="77777777" w:rsidR="003C19E1" w:rsidRPr="00925F26" w:rsidRDefault="003C19E1" w:rsidP="00925F26">
      <w:pPr>
        <w:pStyle w:val="431"/>
        <w:shd w:val="clear" w:color="auto" w:fill="auto"/>
        <w:tabs>
          <w:tab w:val="left" w:pos="952"/>
          <w:tab w:val="left" w:leader="dot" w:pos="4365"/>
          <w:tab w:val="left" w:pos="4691"/>
          <w:tab w:val="center" w:pos="5502"/>
        </w:tabs>
        <w:spacing w:line="240" w:lineRule="auto"/>
        <w:ind w:firstLine="0"/>
        <w:jc w:val="both"/>
        <w:rPr>
          <w:rFonts w:ascii="Times New Roman" w:hAnsi="Times New Roman" w:cs="Times New Roman"/>
          <w:color w:val="000000" w:themeColor="text1"/>
          <w:sz w:val="16"/>
          <w:szCs w:val="16"/>
        </w:rPr>
      </w:pPr>
      <w:r w:rsidRPr="00925F26">
        <w:rPr>
          <w:rStyle w:val="147"/>
          <w:rFonts w:ascii="Times New Roman" w:hAnsi="Times New Roman" w:cs="Times New Roman"/>
          <w:color w:val="000000" w:themeColor="text1"/>
          <w:spacing w:val="0"/>
          <w:sz w:val="16"/>
          <w:szCs w:val="16"/>
        </w:rPr>
        <w:t>2. Полный полетный в</w:t>
      </w:r>
      <w:r w:rsidRPr="00925F26">
        <w:rPr>
          <w:rFonts w:ascii="Times New Roman" w:hAnsi="Times New Roman" w:cs="Times New Roman"/>
          <w:color w:val="000000" w:themeColor="text1"/>
          <w:sz w:val="16"/>
          <w:szCs w:val="16"/>
        </w:rPr>
        <w:t>ес</w:t>
      </w:r>
      <w:r w:rsidRPr="00925F26">
        <w:rPr>
          <w:rStyle w:val="135"/>
          <w:rFonts w:ascii="Times New Roman" w:hAnsi="Times New Roman" w:cs="Times New Roman"/>
          <w:color w:val="000000" w:themeColor="text1"/>
          <w:spacing w:val="0"/>
          <w:sz w:val="16"/>
          <w:szCs w:val="16"/>
        </w:rPr>
        <w:tab/>
      </w:r>
      <w:r w:rsidRPr="00925F26">
        <w:rPr>
          <w:rStyle w:val="135"/>
          <w:rFonts w:ascii="Times New Roman" w:hAnsi="Times New Roman" w:cs="Times New Roman"/>
          <w:color w:val="000000" w:themeColor="text1"/>
          <w:spacing w:val="0"/>
          <w:sz w:val="16"/>
          <w:szCs w:val="16"/>
        </w:rPr>
        <w:tab/>
        <w:t>-</w:t>
      </w:r>
      <w:r w:rsidRPr="00925F26">
        <w:rPr>
          <w:rStyle w:val="Consolas65pt"/>
          <w:rFonts w:ascii="Times New Roman" w:hAnsi="Times New Roman" w:cs="Times New Roman"/>
          <w:b w:val="0"/>
          <w:color w:val="000000" w:themeColor="text1"/>
          <w:sz w:val="16"/>
          <w:szCs w:val="16"/>
        </w:rPr>
        <w:tab/>
        <w:t>6290</w:t>
      </w:r>
      <w:r w:rsidRPr="00925F26">
        <w:rPr>
          <w:rFonts w:ascii="Times New Roman" w:hAnsi="Times New Roman" w:cs="Times New Roman"/>
          <w:color w:val="000000" w:themeColor="text1"/>
          <w:sz w:val="16"/>
          <w:szCs w:val="16"/>
        </w:rPr>
        <w:t xml:space="preserve"> кг.</w:t>
      </w:r>
    </w:p>
    <w:p w14:paraId="4F069535" w14:textId="77777777" w:rsidR="003C19E1" w:rsidRPr="00925F26" w:rsidRDefault="003C19E1" w:rsidP="00925F26">
      <w:pPr>
        <w:pStyle w:val="431"/>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 xml:space="preserve">в </w:t>
      </w:r>
      <w:r w:rsidRPr="00925F26">
        <w:rPr>
          <w:rStyle w:val="147"/>
          <w:rFonts w:ascii="Times New Roman" w:hAnsi="Times New Roman" w:cs="Times New Roman"/>
          <w:color w:val="000000" w:themeColor="text1"/>
          <w:spacing w:val="0"/>
          <w:sz w:val="16"/>
          <w:szCs w:val="16"/>
        </w:rPr>
        <w:t>том числе</w:t>
      </w:r>
      <w:r w:rsidRPr="00925F26">
        <w:rPr>
          <w:rFonts w:ascii="Times New Roman" w:hAnsi="Times New Roman" w:cs="Times New Roman"/>
          <w:color w:val="000000" w:themeColor="text1"/>
          <w:sz w:val="16"/>
          <w:szCs w:val="16"/>
        </w:rPr>
        <w:t>:</w:t>
      </w:r>
    </w:p>
    <w:p w14:paraId="4A96E5F3"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 xml:space="preserve">а) экипаж 2 </w:t>
      </w:r>
      <w:r w:rsidRPr="00925F26">
        <w:rPr>
          <w:rStyle w:val="147"/>
          <w:rFonts w:ascii="Times New Roman" w:hAnsi="Times New Roman" w:cs="Times New Roman"/>
          <w:color w:val="000000" w:themeColor="text1"/>
          <w:spacing w:val="0"/>
          <w:sz w:val="16"/>
          <w:szCs w:val="16"/>
        </w:rPr>
        <w:t>чел. с</w:t>
      </w:r>
      <w:r w:rsidRPr="00925F26">
        <w:rPr>
          <w:rFonts w:ascii="Times New Roman" w:hAnsi="Times New Roman" w:cs="Times New Roman"/>
          <w:color w:val="000000" w:themeColor="text1"/>
          <w:sz w:val="16"/>
          <w:szCs w:val="16"/>
        </w:rPr>
        <w:t xml:space="preserve"> парашютами</w:t>
      </w:r>
      <w:r w:rsidRPr="00925F26">
        <w:rPr>
          <w:rFonts w:ascii="Times New Roman" w:hAnsi="Times New Roman" w:cs="Times New Roman"/>
          <w:color w:val="000000" w:themeColor="text1"/>
          <w:sz w:val="16"/>
          <w:szCs w:val="16"/>
        </w:rPr>
        <w:tab/>
      </w:r>
      <w:r w:rsidRPr="00925F26">
        <w:rPr>
          <w:rStyle w:val="135"/>
          <w:rFonts w:ascii="Times New Roman" w:hAnsi="Times New Roman" w:cs="Times New Roman"/>
          <w:color w:val="000000" w:themeColor="text1"/>
          <w:spacing w:val="0"/>
          <w:sz w:val="16"/>
          <w:szCs w:val="16"/>
        </w:rPr>
        <w:tab/>
        <w:t xml:space="preserve">- </w:t>
      </w:r>
      <w:r w:rsidRPr="00925F26">
        <w:rPr>
          <w:rFonts w:ascii="Times New Roman" w:hAnsi="Times New Roman" w:cs="Times New Roman"/>
          <w:color w:val="000000" w:themeColor="text1"/>
          <w:sz w:val="16"/>
          <w:szCs w:val="16"/>
        </w:rPr>
        <w:t>172 кг</w:t>
      </w:r>
    </w:p>
    <w:p w14:paraId="1A0070FF"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б) горючее</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- 545</w:t>
      </w:r>
    </w:p>
    <w:p w14:paraId="1DFBB8B0"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смазочное</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- 70</w:t>
      </w:r>
    </w:p>
    <w:p w14:paraId="5CE8E771"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г) вода</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- 40</w:t>
      </w:r>
    </w:p>
    <w:p w14:paraId="6E03BA08"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 РС 4х82</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- 28</w:t>
      </w:r>
    </w:p>
    <w:p w14:paraId="2004B8E6"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е) бомбы</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- 400</w:t>
      </w:r>
    </w:p>
    <w:p w14:paraId="703609EC"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ж) пушки ВЯ х 2</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- 131</w:t>
      </w:r>
    </w:p>
    <w:p w14:paraId="64278FAE"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з) снаряды ВЯ со свзеньями 300 шт.</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- 168</w:t>
      </w:r>
    </w:p>
    <w:p w14:paraId="5CBFE43F"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 Пулеметы ШКАС 2 шт.</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- 20</w:t>
      </w:r>
    </w:p>
    <w:p w14:paraId="48A41D27"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proofErr w:type="gramStart"/>
      <w:r w:rsidRPr="00925F26">
        <w:rPr>
          <w:rFonts w:ascii="Times New Roman" w:hAnsi="Times New Roman" w:cs="Times New Roman"/>
          <w:color w:val="000000" w:themeColor="text1"/>
          <w:sz w:val="16"/>
          <w:szCs w:val="16"/>
        </w:rPr>
        <w:t>к )</w:t>
      </w:r>
      <w:proofErr w:type="gramEnd"/>
      <w:r w:rsidRPr="00925F26">
        <w:rPr>
          <w:rFonts w:ascii="Times New Roman" w:hAnsi="Times New Roman" w:cs="Times New Roman"/>
          <w:color w:val="000000" w:themeColor="text1"/>
          <w:sz w:val="16"/>
          <w:szCs w:val="16"/>
        </w:rPr>
        <w:t xml:space="preserve"> Патроны к ним со звеньями 1500 шт.</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- 51</w:t>
      </w:r>
    </w:p>
    <w:p w14:paraId="5AFF39F5"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л) Пулемет УБТ 1 шт</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- 21,5</w:t>
      </w:r>
    </w:p>
    <w:p w14:paraId="0C5F4F36"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 Патроны к нему со звеньями 150 штю</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- 25</w:t>
      </w:r>
    </w:p>
    <w:p w14:paraId="3F6E90FA"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 РСИ-4</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- 13,5</w:t>
      </w:r>
    </w:p>
    <w:p w14:paraId="0FBC8FCE" w14:textId="77777777" w:rsidR="003C19E1" w:rsidRPr="00925F26" w:rsidRDefault="003C19E1" w:rsidP="00925F26">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 РПК-10</w:t>
      </w:r>
      <w:r w:rsidRPr="00925F26">
        <w:rPr>
          <w:rFonts w:ascii="Times New Roman" w:hAnsi="Times New Roman" w:cs="Times New Roman"/>
          <w:color w:val="000000" w:themeColor="text1"/>
          <w:sz w:val="16"/>
          <w:szCs w:val="16"/>
        </w:rPr>
        <w:tab/>
      </w:r>
      <w:r w:rsidRPr="00925F26">
        <w:rPr>
          <w:rFonts w:ascii="Times New Roman" w:hAnsi="Times New Roman" w:cs="Times New Roman"/>
          <w:color w:val="000000" w:themeColor="text1"/>
          <w:sz w:val="16"/>
          <w:szCs w:val="16"/>
        </w:rPr>
        <w:tab/>
        <w:t>- 14,5</w:t>
      </w:r>
    </w:p>
    <w:p w14:paraId="4FE5822A" w14:textId="77777777" w:rsidR="003C19E1" w:rsidRPr="00925F26" w:rsidRDefault="003C19E1" w:rsidP="00925F26">
      <w:pPr>
        <w:tabs>
          <w:tab w:val="left" w:leader="dot" w:pos="4038"/>
          <w:tab w:val="left" w:pos="4374"/>
          <w:tab w:val="right" w:pos="5287"/>
        </w:tabs>
        <w:jc w:val="both"/>
        <w:rPr>
          <w:color w:val="000000" w:themeColor="text1"/>
          <w:sz w:val="16"/>
          <w:szCs w:val="16"/>
        </w:rPr>
      </w:pPr>
      <w:r w:rsidRPr="00925F26">
        <w:rPr>
          <w:color w:val="000000" w:themeColor="text1"/>
          <w:sz w:val="16"/>
          <w:szCs w:val="16"/>
        </w:rPr>
        <w:t>п) СПУ-2 мм</w:t>
      </w:r>
      <w:r w:rsidRPr="00925F26">
        <w:rPr>
          <w:color w:val="000000" w:themeColor="text1"/>
          <w:sz w:val="16"/>
          <w:szCs w:val="16"/>
        </w:rPr>
        <w:tab/>
      </w:r>
      <w:r w:rsidRPr="00925F26">
        <w:rPr>
          <w:color w:val="000000" w:themeColor="text1"/>
          <w:sz w:val="16"/>
          <w:szCs w:val="16"/>
        </w:rPr>
        <w:tab/>
      </w:r>
      <w:proofErr w:type="gramStart"/>
      <w:r w:rsidRPr="00925F26">
        <w:rPr>
          <w:color w:val="000000" w:themeColor="text1"/>
          <w:sz w:val="16"/>
          <w:szCs w:val="16"/>
        </w:rPr>
        <w:t>-  6</w:t>
      </w:r>
      <w:proofErr w:type="gramEnd"/>
      <w:r w:rsidRPr="00925F26">
        <w:rPr>
          <w:color w:val="000000" w:themeColor="text1"/>
          <w:sz w:val="16"/>
          <w:szCs w:val="16"/>
        </w:rPr>
        <w:t>,5</w:t>
      </w:r>
    </w:p>
    <w:p w14:paraId="32BF652B" w14:textId="77777777" w:rsidR="003C19E1" w:rsidRPr="00925F26" w:rsidRDefault="003C19E1" w:rsidP="00925F26">
      <w:pPr>
        <w:tabs>
          <w:tab w:val="left" w:leader="dot" w:pos="4038"/>
          <w:tab w:val="left" w:pos="4374"/>
          <w:tab w:val="right" w:pos="5287"/>
        </w:tabs>
        <w:jc w:val="both"/>
        <w:rPr>
          <w:color w:val="000000" w:themeColor="text1"/>
          <w:sz w:val="16"/>
          <w:szCs w:val="16"/>
        </w:rPr>
      </w:pPr>
      <w:r w:rsidRPr="00925F26">
        <w:rPr>
          <w:color w:val="000000" w:themeColor="text1"/>
          <w:sz w:val="16"/>
          <w:szCs w:val="16"/>
        </w:rPr>
        <w:t>р) Аккумулятор</w:t>
      </w:r>
      <w:r w:rsidRPr="00925F26">
        <w:rPr>
          <w:color w:val="000000" w:themeColor="text1"/>
          <w:sz w:val="16"/>
          <w:szCs w:val="16"/>
        </w:rPr>
        <w:tab/>
      </w:r>
      <w:r w:rsidRPr="00925F26">
        <w:rPr>
          <w:color w:val="000000" w:themeColor="text1"/>
          <w:sz w:val="16"/>
          <w:szCs w:val="16"/>
        </w:rPr>
        <w:tab/>
        <w:t>- 15</w:t>
      </w:r>
    </w:p>
    <w:p w14:paraId="7398E947" w14:textId="77777777" w:rsidR="003C19E1" w:rsidRPr="00925F26" w:rsidRDefault="003C19E1" w:rsidP="00925F26">
      <w:pPr>
        <w:tabs>
          <w:tab w:val="left" w:leader="dot" w:pos="4038"/>
          <w:tab w:val="left" w:pos="4374"/>
          <w:tab w:val="right" w:pos="5287"/>
        </w:tabs>
        <w:jc w:val="both"/>
        <w:rPr>
          <w:color w:val="000000" w:themeColor="text1"/>
          <w:sz w:val="16"/>
          <w:szCs w:val="16"/>
        </w:rPr>
      </w:pPr>
      <w:r w:rsidRPr="00925F26">
        <w:rPr>
          <w:color w:val="000000" w:themeColor="text1"/>
          <w:sz w:val="16"/>
          <w:szCs w:val="16"/>
        </w:rPr>
        <w:t>Итого</w:t>
      </w:r>
      <w:r w:rsidRPr="00925F26">
        <w:rPr>
          <w:color w:val="000000" w:themeColor="text1"/>
          <w:sz w:val="16"/>
          <w:szCs w:val="16"/>
        </w:rPr>
        <w:tab/>
      </w:r>
      <w:r w:rsidRPr="00925F26">
        <w:rPr>
          <w:color w:val="000000" w:themeColor="text1"/>
          <w:sz w:val="16"/>
          <w:szCs w:val="16"/>
        </w:rPr>
        <w:tab/>
        <w:t>- 1757</w:t>
      </w:r>
    </w:p>
    <w:p w14:paraId="4C3A2DA5" w14:textId="77777777" w:rsidR="003C19E1" w:rsidRPr="00925F26" w:rsidRDefault="003C19E1" w:rsidP="00925F26">
      <w:pPr>
        <w:tabs>
          <w:tab w:val="left" w:leader="dot" w:pos="4038"/>
          <w:tab w:val="left" w:pos="4374"/>
          <w:tab w:val="right" w:pos="5287"/>
        </w:tabs>
        <w:jc w:val="both"/>
        <w:rPr>
          <w:color w:val="000000" w:themeColor="text1"/>
          <w:sz w:val="16"/>
          <w:szCs w:val="16"/>
        </w:rPr>
      </w:pPr>
      <w:r w:rsidRPr="00925F26">
        <w:rPr>
          <w:color w:val="000000" w:themeColor="text1"/>
          <w:sz w:val="16"/>
          <w:szCs w:val="16"/>
        </w:rPr>
        <w:t>(19789).</w:t>
      </w:r>
    </w:p>
    <w:p w14:paraId="6EF5FFA9" w14:textId="77777777" w:rsidR="003C19E1" w:rsidRPr="00925F26" w:rsidRDefault="003C19E1" w:rsidP="00925F26">
      <w:pPr>
        <w:jc w:val="both"/>
        <w:rPr>
          <w:color w:val="000000" w:themeColor="text1"/>
          <w:sz w:val="16"/>
          <w:szCs w:val="16"/>
        </w:rPr>
      </w:pPr>
    </w:p>
    <w:p w14:paraId="4730738A"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16 февраля 1945 был выпушен Ил-2 № 13653 производства завода № 1 имени </w:t>
      </w:r>
      <w:proofErr w:type="gramStart"/>
      <w:r w:rsidRPr="00925F26">
        <w:rPr>
          <w:color w:val="000000" w:themeColor="text1"/>
          <w:sz w:val="16"/>
          <w:szCs w:val="16"/>
        </w:rPr>
        <w:t>И.В.Сталина</w:t>
      </w:r>
      <w:proofErr w:type="gramEnd"/>
      <w:r w:rsidRPr="00925F26">
        <w:rPr>
          <w:color w:val="000000" w:themeColor="text1"/>
          <w:sz w:val="16"/>
          <w:szCs w:val="16"/>
        </w:rPr>
        <w:t xml:space="preserve"> который имел следующие данные:</w:t>
      </w:r>
    </w:p>
    <w:p w14:paraId="28CD42C3" w14:textId="77777777" w:rsidR="00BB21BC" w:rsidRPr="00925F26" w:rsidRDefault="00BB21BC" w:rsidP="00925F26">
      <w:pPr>
        <w:jc w:val="both"/>
        <w:rPr>
          <w:color w:val="000000" w:themeColor="text1"/>
          <w:sz w:val="16"/>
          <w:szCs w:val="16"/>
        </w:rPr>
      </w:pPr>
      <w:r w:rsidRPr="00925F26">
        <w:rPr>
          <w:color w:val="000000" w:themeColor="text1"/>
          <w:sz w:val="16"/>
          <w:szCs w:val="16"/>
        </w:rPr>
        <w:t>а/ данные самолета</w:t>
      </w:r>
    </w:p>
    <w:p w14:paraId="6586ED35"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1. Полный полетный вес </w:t>
      </w:r>
      <w:r w:rsidRPr="00925F26">
        <w:rPr>
          <w:color w:val="000000" w:themeColor="text1"/>
          <w:sz w:val="16"/>
          <w:szCs w:val="16"/>
        </w:rPr>
        <w:tab/>
        <w:t>6290 кг</w:t>
      </w:r>
    </w:p>
    <w:p w14:paraId="0446F734" w14:textId="77777777" w:rsidR="00BB21BC" w:rsidRPr="00925F26" w:rsidRDefault="00BB21BC" w:rsidP="00925F26">
      <w:pPr>
        <w:jc w:val="both"/>
        <w:rPr>
          <w:color w:val="000000" w:themeColor="text1"/>
          <w:sz w:val="16"/>
          <w:szCs w:val="16"/>
        </w:rPr>
      </w:pPr>
      <w:r w:rsidRPr="00925F26">
        <w:rPr>
          <w:color w:val="000000" w:themeColor="text1"/>
          <w:sz w:val="16"/>
          <w:szCs w:val="16"/>
        </w:rPr>
        <w:t>2. Мсксимальная скорость у земли У макс</w:t>
      </w:r>
      <w:r w:rsidRPr="00925F26">
        <w:rPr>
          <w:color w:val="000000" w:themeColor="text1"/>
          <w:sz w:val="16"/>
          <w:szCs w:val="16"/>
        </w:rPr>
        <w:tab/>
        <w:t>395 км/час</w:t>
      </w:r>
    </w:p>
    <w:p w14:paraId="31863D6A" w14:textId="77777777" w:rsidR="00BB21BC" w:rsidRPr="00925F26" w:rsidRDefault="00BB21BC" w:rsidP="00925F26">
      <w:pPr>
        <w:jc w:val="both"/>
        <w:rPr>
          <w:color w:val="000000" w:themeColor="text1"/>
          <w:sz w:val="16"/>
          <w:szCs w:val="16"/>
        </w:rPr>
      </w:pPr>
      <w:r w:rsidRPr="00925F26">
        <w:rPr>
          <w:color w:val="000000" w:themeColor="text1"/>
          <w:sz w:val="16"/>
          <w:szCs w:val="16"/>
        </w:rPr>
        <w:t>3. Максимальная скорость на границе высотности Н=1200, к макс.</w:t>
      </w:r>
      <w:r w:rsidRPr="00925F26">
        <w:rPr>
          <w:color w:val="000000" w:themeColor="text1"/>
          <w:sz w:val="16"/>
          <w:szCs w:val="16"/>
        </w:rPr>
        <w:tab/>
        <w:t>411 км/час</w:t>
      </w:r>
    </w:p>
    <w:p w14:paraId="05EED5D7" w14:textId="77777777" w:rsidR="00BB21BC" w:rsidRPr="00925F26" w:rsidRDefault="00BB21BC" w:rsidP="00925F26">
      <w:pPr>
        <w:jc w:val="both"/>
        <w:rPr>
          <w:color w:val="000000" w:themeColor="text1"/>
          <w:sz w:val="16"/>
          <w:szCs w:val="16"/>
        </w:rPr>
      </w:pPr>
      <w:r w:rsidRPr="00925F26">
        <w:rPr>
          <w:color w:val="000000" w:themeColor="text1"/>
          <w:sz w:val="16"/>
          <w:szCs w:val="16"/>
        </w:rPr>
        <w:t>4. Время набора высоты 3000 м равно</w:t>
      </w:r>
      <w:r w:rsidRPr="00925F26">
        <w:rPr>
          <w:color w:val="000000" w:themeColor="text1"/>
          <w:sz w:val="16"/>
          <w:szCs w:val="16"/>
        </w:rPr>
        <w:tab/>
        <w:t>9,1 мин.</w:t>
      </w:r>
    </w:p>
    <w:p w14:paraId="368E53C6" w14:textId="77777777" w:rsidR="00BB21BC" w:rsidRPr="00925F26" w:rsidRDefault="00BB21BC" w:rsidP="00925F26">
      <w:pPr>
        <w:jc w:val="both"/>
        <w:rPr>
          <w:color w:val="000000" w:themeColor="text1"/>
          <w:sz w:val="16"/>
          <w:szCs w:val="16"/>
        </w:rPr>
      </w:pPr>
      <w:r w:rsidRPr="00925F26">
        <w:rPr>
          <w:color w:val="000000" w:themeColor="text1"/>
          <w:sz w:val="16"/>
          <w:szCs w:val="16"/>
        </w:rPr>
        <w:t>б/ весовые данные самолета</w:t>
      </w:r>
    </w:p>
    <w:p w14:paraId="0D30B564" w14:textId="77777777" w:rsidR="00BB21BC" w:rsidRPr="00925F26" w:rsidRDefault="00BB21BC" w:rsidP="00925F26">
      <w:pPr>
        <w:jc w:val="both"/>
        <w:rPr>
          <w:color w:val="000000" w:themeColor="text1"/>
          <w:sz w:val="16"/>
          <w:szCs w:val="16"/>
        </w:rPr>
      </w:pPr>
      <w:r w:rsidRPr="00925F26">
        <w:rPr>
          <w:color w:val="000000" w:themeColor="text1"/>
          <w:sz w:val="16"/>
          <w:szCs w:val="16"/>
        </w:rPr>
        <w:t>1. Вес пустого</w:t>
      </w:r>
      <w:r w:rsidRPr="00925F26">
        <w:rPr>
          <w:color w:val="000000" w:themeColor="text1"/>
          <w:sz w:val="16"/>
          <w:szCs w:val="16"/>
        </w:rPr>
        <w:tab/>
        <w:t>4533 кг</w:t>
      </w:r>
    </w:p>
    <w:p w14:paraId="20AB645E" w14:textId="77777777" w:rsidR="00BB21BC" w:rsidRPr="00925F26" w:rsidRDefault="00BB21BC" w:rsidP="00925F26">
      <w:pPr>
        <w:jc w:val="both"/>
        <w:rPr>
          <w:color w:val="000000" w:themeColor="text1"/>
          <w:sz w:val="16"/>
          <w:szCs w:val="16"/>
        </w:rPr>
      </w:pPr>
      <w:r w:rsidRPr="00925F26">
        <w:rPr>
          <w:color w:val="000000" w:themeColor="text1"/>
          <w:sz w:val="16"/>
          <w:szCs w:val="16"/>
        </w:rPr>
        <w:t>2. Полный полетный вес</w:t>
      </w:r>
      <w:r w:rsidRPr="00925F26">
        <w:rPr>
          <w:color w:val="000000" w:themeColor="text1"/>
          <w:sz w:val="16"/>
          <w:szCs w:val="16"/>
        </w:rPr>
        <w:tab/>
        <w:t>6290 кг</w:t>
      </w:r>
    </w:p>
    <w:p w14:paraId="6A3635F9" w14:textId="77777777" w:rsidR="00BB21BC" w:rsidRPr="00925F26" w:rsidRDefault="00BB21BC" w:rsidP="00925F26">
      <w:pPr>
        <w:jc w:val="both"/>
        <w:rPr>
          <w:color w:val="000000" w:themeColor="text1"/>
          <w:sz w:val="16"/>
          <w:szCs w:val="16"/>
        </w:rPr>
      </w:pPr>
      <w:r w:rsidRPr="00925F26">
        <w:rPr>
          <w:color w:val="000000" w:themeColor="text1"/>
          <w:sz w:val="16"/>
          <w:szCs w:val="16"/>
        </w:rPr>
        <w:t>в том числе:</w:t>
      </w:r>
    </w:p>
    <w:p w14:paraId="3CC18AC4" w14:textId="77777777" w:rsidR="00BB21BC" w:rsidRPr="00925F26" w:rsidRDefault="00BB21BC" w:rsidP="00925F26">
      <w:pPr>
        <w:jc w:val="both"/>
        <w:rPr>
          <w:color w:val="000000" w:themeColor="text1"/>
          <w:sz w:val="16"/>
          <w:szCs w:val="16"/>
        </w:rPr>
      </w:pPr>
      <w:r w:rsidRPr="00925F26">
        <w:rPr>
          <w:color w:val="000000" w:themeColor="text1"/>
          <w:sz w:val="16"/>
          <w:szCs w:val="16"/>
        </w:rPr>
        <w:t>а/ экипаж 2 чел. с парашютами</w:t>
      </w:r>
      <w:r w:rsidRPr="00925F26">
        <w:rPr>
          <w:color w:val="000000" w:themeColor="text1"/>
          <w:sz w:val="16"/>
          <w:szCs w:val="16"/>
        </w:rPr>
        <w:tab/>
      </w:r>
      <w:r w:rsidRPr="00925F26">
        <w:rPr>
          <w:color w:val="000000" w:themeColor="text1"/>
          <w:sz w:val="16"/>
          <w:szCs w:val="16"/>
        </w:rPr>
        <w:tab/>
        <w:t>178 кг</w:t>
      </w:r>
    </w:p>
    <w:p w14:paraId="67F55DF6" w14:textId="77777777" w:rsidR="00BB21BC" w:rsidRPr="00925F26" w:rsidRDefault="00BB21BC" w:rsidP="00925F26">
      <w:pPr>
        <w:jc w:val="both"/>
        <w:rPr>
          <w:color w:val="000000" w:themeColor="text1"/>
          <w:sz w:val="16"/>
          <w:szCs w:val="16"/>
        </w:rPr>
      </w:pPr>
      <w:r w:rsidRPr="00925F26">
        <w:rPr>
          <w:color w:val="000000" w:themeColor="text1"/>
          <w:sz w:val="16"/>
          <w:szCs w:val="16"/>
        </w:rPr>
        <w:t>б/ горючее</w:t>
      </w:r>
      <w:r w:rsidRPr="00925F26">
        <w:rPr>
          <w:color w:val="000000" w:themeColor="text1"/>
          <w:sz w:val="16"/>
          <w:szCs w:val="16"/>
        </w:rPr>
        <w:tab/>
        <w:t>545 кг</w:t>
      </w:r>
    </w:p>
    <w:p w14:paraId="4B22A1A0" w14:textId="77777777" w:rsidR="00BB21BC" w:rsidRPr="00925F26" w:rsidRDefault="00BB21BC" w:rsidP="00925F26">
      <w:pPr>
        <w:jc w:val="both"/>
        <w:rPr>
          <w:color w:val="000000" w:themeColor="text1"/>
          <w:sz w:val="16"/>
          <w:szCs w:val="16"/>
        </w:rPr>
      </w:pPr>
      <w:r w:rsidRPr="00925F26">
        <w:rPr>
          <w:color w:val="000000" w:themeColor="text1"/>
          <w:sz w:val="16"/>
          <w:szCs w:val="16"/>
        </w:rPr>
        <w:t>в/ смазочное</w:t>
      </w:r>
      <w:r w:rsidRPr="00925F26">
        <w:rPr>
          <w:color w:val="000000" w:themeColor="text1"/>
          <w:sz w:val="16"/>
          <w:szCs w:val="16"/>
        </w:rPr>
        <w:tab/>
        <w:t>70 кг</w:t>
      </w:r>
    </w:p>
    <w:p w14:paraId="0A9F4940"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г/ вода </w:t>
      </w:r>
      <w:r w:rsidRPr="00925F26">
        <w:rPr>
          <w:color w:val="000000" w:themeColor="text1"/>
          <w:sz w:val="16"/>
          <w:szCs w:val="16"/>
        </w:rPr>
        <w:tab/>
        <w:t>70 кг</w:t>
      </w:r>
    </w:p>
    <w:p w14:paraId="1BC9D2BA" w14:textId="77777777" w:rsidR="00BB21BC" w:rsidRPr="00925F26" w:rsidRDefault="00BB21BC" w:rsidP="00925F26">
      <w:pPr>
        <w:jc w:val="both"/>
        <w:rPr>
          <w:color w:val="000000" w:themeColor="text1"/>
          <w:sz w:val="16"/>
          <w:szCs w:val="16"/>
        </w:rPr>
      </w:pPr>
      <w:r w:rsidRPr="00925F26">
        <w:rPr>
          <w:color w:val="000000" w:themeColor="text1"/>
          <w:sz w:val="16"/>
          <w:szCs w:val="16"/>
        </w:rPr>
        <w:t>д/ РС-82 – 4 шт.</w:t>
      </w:r>
      <w:r w:rsidRPr="00925F26">
        <w:rPr>
          <w:color w:val="000000" w:themeColor="text1"/>
          <w:sz w:val="16"/>
          <w:szCs w:val="16"/>
        </w:rPr>
        <w:tab/>
        <w:t>28</w:t>
      </w:r>
    </w:p>
    <w:p w14:paraId="28A5DF12" w14:textId="77777777" w:rsidR="00BB21BC" w:rsidRPr="00925F26" w:rsidRDefault="00BB21BC" w:rsidP="00925F26">
      <w:pPr>
        <w:jc w:val="both"/>
        <w:rPr>
          <w:color w:val="000000" w:themeColor="text1"/>
          <w:sz w:val="16"/>
          <w:szCs w:val="16"/>
        </w:rPr>
      </w:pPr>
      <w:r w:rsidRPr="00925F26">
        <w:rPr>
          <w:color w:val="000000" w:themeColor="text1"/>
          <w:sz w:val="16"/>
          <w:szCs w:val="16"/>
        </w:rPr>
        <w:t>е/ бомбы</w:t>
      </w:r>
      <w:r w:rsidRPr="00925F26">
        <w:rPr>
          <w:color w:val="000000" w:themeColor="text1"/>
          <w:sz w:val="16"/>
          <w:szCs w:val="16"/>
        </w:rPr>
        <w:tab/>
        <w:t>400 кг</w:t>
      </w:r>
    </w:p>
    <w:p w14:paraId="7E6B8389" w14:textId="77777777" w:rsidR="00BB21BC" w:rsidRPr="00925F26" w:rsidRDefault="00BB21BC" w:rsidP="00925F26">
      <w:pPr>
        <w:jc w:val="both"/>
        <w:rPr>
          <w:color w:val="000000" w:themeColor="text1"/>
          <w:sz w:val="16"/>
          <w:szCs w:val="16"/>
        </w:rPr>
      </w:pPr>
      <w:r w:rsidRPr="00925F26">
        <w:rPr>
          <w:color w:val="000000" w:themeColor="text1"/>
          <w:sz w:val="16"/>
          <w:szCs w:val="16"/>
        </w:rPr>
        <w:t>ж/ пушки ВЯ 2 шт.</w:t>
      </w:r>
      <w:r w:rsidRPr="00925F26">
        <w:rPr>
          <w:color w:val="000000" w:themeColor="text1"/>
          <w:sz w:val="16"/>
          <w:szCs w:val="16"/>
        </w:rPr>
        <w:tab/>
        <w:t>131 кг</w:t>
      </w:r>
    </w:p>
    <w:p w14:paraId="7DA22257" w14:textId="77777777" w:rsidR="00BB21BC" w:rsidRPr="00925F26" w:rsidRDefault="00BB21BC" w:rsidP="00925F26">
      <w:pPr>
        <w:jc w:val="both"/>
        <w:rPr>
          <w:color w:val="000000" w:themeColor="text1"/>
          <w:sz w:val="16"/>
          <w:szCs w:val="16"/>
        </w:rPr>
      </w:pPr>
      <w:r w:rsidRPr="00925F26">
        <w:rPr>
          <w:color w:val="000000" w:themeColor="text1"/>
          <w:sz w:val="16"/>
          <w:szCs w:val="16"/>
        </w:rPr>
        <w:t>з/ снаряды ВЯ со звеньями 300 шт.</w:t>
      </w:r>
      <w:r w:rsidRPr="00925F26">
        <w:rPr>
          <w:color w:val="000000" w:themeColor="text1"/>
          <w:sz w:val="16"/>
          <w:szCs w:val="16"/>
        </w:rPr>
        <w:tab/>
        <w:t>168 кг</w:t>
      </w:r>
    </w:p>
    <w:p w14:paraId="500C624F" w14:textId="77777777" w:rsidR="00BB21BC" w:rsidRPr="00925F26" w:rsidRDefault="00BB21BC" w:rsidP="00925F26">
      <w:pPr>
        <w:jc w:val="both"/>
        <w:rPr>
          <w:color w:val="000000" w:themeColor="text1"/>
          <w:sz w:val="16"/>
          <w:szCs w:val="16"/>
        </w:rPr>
      </w:pPr>
      <w:r w:rsidRPr="00925F26">
        <w:rPr>
          <w:color w:val="000000" w:themeColor="text1"/>
          <w:sz w:val="16"/>
          <w:szCs w:val="16"/>
        </w:rPr>
        <w:t>и/ пулеметы ШКАС 2 шт.</w:t>
      </w:r>
      <w:r w:rsidRPr="00925F26">
        <w:rPr>
          <w:color w:val="000000" w:themeColor="text1"/>
          <w:sz w:val="16"/>
          <w:szCs w:val="16"/>
        </w:rPr>
        <w:tab/>
        <w:t>20</w:t>
      </w:r>
    </w:p>
    <w:p w14:paraId="06245089" w14:textId="77777777" w:rsidR="00BB21BC" w:rsidRPr="00925F26" w:rsidRDefault="00BB21BC" w:rsidP="00925F26">
      <w:pPr>
        <w:jc w:val="both"/>
        <w:rPr>
          <w:color w:val="000000" w:themeColor="text1"/>
          <w:sz w:val="16"/>
          <w:szCs w:val="16"/>
        </w:rPr>
      </w:pPr>
      <w:r w:rsidRPr="00925F26">
        <w:rPr>
          <w:color w:val="000000" w:themeColor="text1"/>
          <w:sz w:val="16"/>
          <w:szCs w:val="16"/>
        </w:rPr>
        <w:t>к/ патроны к ним 1500 шт. со звеньями</w:t>
      </w:r>
      <w:r w:rsidRPr="00925F26">
        <w:rPr>
          <w:color w:val="000000" w:themeColor="text1"/>
          <w:sz w:val="16"/>
          <w:szCs w:val="16"/>
        </w:rPr>
        <w:tab/>
        <w:t>51 кг</w:t>
      </w:r>
    </w:p>
    <w:p w14:paraId="3A325776" w14:textId="77777777" w:rsidR="00BB21BC" w:rsidRPr="00925F26" w:rsidRDefault="00BB21BC" w:rsidP="00925F26">
      <w:pPr>
        <w:jc w:val="both"/>
        <w:rPr>
          <w:color w:val="000000" w:themeColor="text1"/>
          <w:sz w:val="16"/>
          <w:szCs w:val="16"/>
        </w:rPr>
      </w:pPr>
      <w:r w:rsidRPr="00925F26">
        <w:rPr>
          <w:color w:val="000000" w:themeColor="text1"/>
          <w:sz w:val="16"/>
          <w:szCs w:val="16"/>
        </w:rPr>
        <w:t>л/ пулемет УБТ</w:t>
      </w:r>
      <w:r w:rsidRPr="00925F26">
        <w:rPr>
          <w:color w:val="000000" w:themeColor="text1"/>
          <w:sz w:val="16"/>
          <w:szCs w:val="16"/>
        </w:rPr>
        <w:tab/>
        <w:t>21,5 кг.</w:t>
      </w:r>
    </w:p>
    <w:p w14:paraId="38520C7B" w14:textId="77777777" w:rsidR="00BB21BC" w:rsidRPr="00925F26" w:rsidRDefault="00BB21BC" w:rsidP="00925F26">
      <w:pPr>
        <w:jc w:val="both"/>
        <w:rPr>
          <w:color w:val="000000" w:themeColor="text1"/>
          <w:sz w:val="16"/>
          <w:szCs w:val="16"/>
        </w:rPr>
      </w:pPr>
      <w:r w:rsidRPr="00925F26">
        <w:rPr>
          <w:color w:val="000000" w:themeColor="text1"/>
          <w:sz w:val="16"/>
          <w:szCs w:val="16"/>
        </w:rPr>
        <w:t>м/ патроны к нему 150 шт. со звеньями 25 кг</w:t>
      </w:r>
    </w:p>
    <w:p w14:paraId="3EB59084" w14:textId="77777777" w:rsidR="00BB21BC" w:rsidRPr="00925F26" w:rsidRDefault="00BB21BC" w:rsidP="00925F26">
      <w:pPr>
        <w:jc w:val="both"/>
        <w:rPr>
          <w:color w:val="000000" w:themeColor="text1"/>
          <w:sz w:val="16"/>
          <w:szCs w:val="16"/>
        </w:rPr>
      </w:pPr>
      <w:r w:rsidRPr="00925F26">
        <w:rPr>
          <w:color w:val="000000" w:themeColor="text1"/>
          <w:sz w:val="16"/>
          <w:szCs w:val="16"/>
        </w:rPr>
        <w:t>н/ РСИ-4</w:t>
      </w:r>
      <w:r w:rsidRPr="00925F26">
        <w:rPr>
          <w:color w:val="000000" w:themeColor="text1"/>
          <w:sz w:val="16"/>
          <w:szCs w:val="16"/>
        </w:rPr>
        <w:tab/>
        <w:t>13,5 кг</w:t>
      </w:r>
    </w:p>
    <w:p w14:paraId="5675FCE1" w14:textId="77777777" w:rsidR="00BB21BC" w:rsidRPr="00925F26" w:rsidRDefault="00BB21BC" w:rsidP="00925F26">
      <w:pPr>
        <w:jc w:val="both"/>
        <w:rPr>
          <w:color w:val="000000" w:themeColor="text1"/>
          <w:sz w:val="16"/>
          <w:szCs w:val="16"/>
        </w:rPr>
      </w:pPr>
      <w:r w:rsidRPr="00925F26">
        <w:rPr>
          <w:color w:val="000000" w:themeColor="text1"/>
          <w:sz w:val="16"/>
          <w:szCs w:val="16"/>
        </w:rPr>
        <w:t>о/ РПК-10</w:t>
      </w:r>
      <w:r w:rsidRPr="00925F26">
        <w:rPr>
          <w:color w:val="000000" w:themeColor="text1"/>
          <w:sz w:val="16"/>
          <w:szCs w:val="16"/>
        </w:rPr>
        <w:tab/>
      </w:r>
      <w:r w:rsidRPr="00925F26">
        <w:rPr>
          <w:color w:val="000000" w:themeColor="text1"/>
          <w:sz w:val="16"/>
          <w:szCs w:val="16"/>
        </w:rPr>
        <w:tab/>
        <w:t>14,5 кг</w:t>
      </w:r>
    </w:p>
    <w:p w14:paraId="07733748" w14:textId="77777777" w:rsidR="00BB21BC" w:rsidRPr="00925F26" w:rsidRDefault="00BB21BC" w:rsidP="00925F26">
      <w:pPr>
        <w:jc w:val="both"/>
        <w:rPr>
          <w:color w:val="000000" w:themeColor="text1"/>
          <w:sz w:val="16"/>
          <w:szCs w:val="16"/>
        </w:rPr>
      </w:pPr>
      <w:r w:rsidRPr="00925F26">
        <w:rPr>
          <w:color w:val="000000" w:themeColor="text1"/>
          <w:sz w:val="16"/>
          <w:szCs w:val="16"/>
        </w:rPr>
        <w:t>п/ СПУ-2мм</w:t>
      </w:r>
      <w:r w:rsidRPr="00925F26">
        <w:rPr>
          <w:color w:val="000000" w:themeColor="text1"/>
          <w:sz w:val="16"/>
          <w:szCs w:val="16"/>
        </w:rPr>
        <w:tab/>
        <w:t>6,5 кг</w:t>
      </w:r>
    </w:p>
    <w:p w14:paraId="6A1C7C14" w14:textId="77777777" w:rsidR="00BB21BC" w:rsidRPr="00925F26" w:rsidRDefault="00BB21BC" w:rsidP="00925F26">
      <w:pPr>
        <w:jc w:val="both"/>
        <w:rPr>
          <w:color w:val="000000" w:themeColor="text1"/>
          <w:sz w:val="16"/>
          <w:szCs w:val="16"/>
        </w:rPr>
      </w:pPr>
      <w:r w:rsidRPr="00925F26">
        <w:rPr>
          <w:color w:val="000000" w:themeColor="text1"/>
          <w:sz w:val="16"/>
          <w:szCs w:val="16"/>
        </w:rPr>
        <w:t>р/ аккумулятор</w:t>
      </w:r>
      <w:r w:rsidRPr="00925F26">
        <w:rPr>
          <w:color w:val="000000" w:themeColor="text1"/>
          <w:sz w:val="16"/>
          <w:szCs w:val="16"/>
        </w:rPr>
        <w:tab/>
        <w:t>15</w:t>
      </w:r>
    </w:p>
    <w:p w14:paraId="61D0EA93" w14:textId="77777777" w:rsidR="00BB21BC" w:rsidRPr="00925F26" w:rsidRDefault="00BB21BC" w:rsidP="00925F26">
      <w:pPr>
        <w:jc w:val="both"/>
        <w:rPr>
          <w:color w:val="000000" w:themeColor="text1"/>
          <w:sz w:val="16"/>
          <w:szCs w:val="16"/>
        </w:rPr>
      </w:pPr>
      <w:r w:rsidRPr="00925F26">
        <w:rPr>
          <w:color w:val="000000" w:themeColor="text1"/>
          <w:sz w:val="16"/>
          <w:szCs w:val="16"/>
        </w:rPr>
        <w:t>Итого:</w:t>
      </w:r>
      <w:r w:rsidRPr="00925F26">
        <w:rPr>
          <w:color w:val="000000" w:themeColor="text1"/>
          <w:sz w:val="16"/>
          <w:szCs w:val="16"/>
        </w:rPr>
        <w:tab/>
        <w:t>1757 (</w:t>
      </w:r>
      <w:bookmarkStart w:id="7" w:name="_Hlk159400603"/>
      <w:r w:rsidRPr="00925F26">
        <w:rPr>
          <w:color w:val="000000" w:themeColor="text1"/>
          <w:sz w:val="16"/>
          <w:szCs w:val="16"/>
        </w:rPr>
        <w:t>ЦГАСО, Ф. Р-3562, Оп. 1, д. 144, л. 3</w:t>
      </w:r>
      <w:bookmarkEnd w:id="7"/>
      <w:r w:rsidRPr="00925F26">
        <w:rPr>
          <w:color w:val="000000" w:themeColor="text1"/>
          <w:sz w:val="16"/>
          <w:szCs w:val="16"/>
        </w:rPr>
        <w:t>) (24892).</w:t>
      </w:r>
    </w:p>
    <w:p w14:paraId="26C3E50B" w14:textId="77777777" w:rsidR="00BB21BC" w:rsidRPr="00925F26" w:rsidRDefault="00BB21BC" w:rsidP="00925F26">
      <w:pPr>
        <w:jc w:val="both"/>
        <w:rPr>
          <w:color w:val="000000" w:themeColor="text1"/>
          <w:sz w:val="16"/>
          <w:szCs w:val="16"/>
        </w:rPr>
      </w:pPr>
    </w:p>
    <w:p w14:paraId="6E5DE5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года вышел Приказ по ВВС N 027:</w:t>
      </w:r>
    </w:p>
    <w:p w14:paraId="23435A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Содержание</w:t>
      </w:r>
      <w:proofErr w:type="gramStart"/>
      <w:r w:rsidRPr="00925F26">
        <w:rPr>
          <w:color w:val="000000" w:themeColor="text1"/>
          <w:sz w:val="16"/>
          <w:szCs w:val="16"/>
        </w:rPr>
        <w:t>: О</w:t>
      </w:r>
      <w:proofErr w:type="gramEnd"/>
      <w:r w:rsidRPr="00925F26">
        <w:rPr>
          <w:color w:val="000000" w:themeColor="text1"/>
          <w:sz w:val="16"/>
          <w:szCs w:val="16"/>
        </w:rPr>
        <w:t xml:space="preserve"> проведении войсковых летных испытаний самолетов ЯК-1 с мотором ВК-105ПФ для определения экономии горючего в полете на пониженных оборотах мотора.</w:t>
      </w:r>
    </w:p>
    <w:p w14:paraId="69F3CE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определения экономии горючего на самолетах ЯК-1 с мотором ВК-105ПФ в полете на пониженных оборотах мотора приказываю:</w:t>
      </w:r>
    </w:p>
    <w:p w14:paraId="4942CA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Провести войсковые летные испытания самолетов ЯК-1 с мотором ВК-105ПФ в 3 ЗАБ по программе ГК НИИ ВВС.</w:t>
      </w:r>
    </w:p>
    <w:p w14:paraId="2263F0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Организацию и общее руководство испытаниями возлагаю на командира 3 ЗАБ генерал-майора авиации Михайленко.</w:t>
      </w:r>
    </w:p>
    <w:p w14:paraId="6F1CC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Обеспечение войсковых летных испытаний техническим руководством возлагаю на начальника ГК НИИ ВВС генерал-полковника ИАС Репина А.К.</w:t>
      </w:r>
    </w:p>
    <w:p w14:paraId="3F09E7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Для обеспечения войсковых испытаний модифицированными регуляторами оборотов винта, их установки и наблюдения за их работой во время испытаний допустить представителя завода N 132 НКАП.</w:t>
      </w:r>
    </w:p>
    <w:p w14:paraId="7A0766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К испытаниям приступить после получения модифицированных регуляторов оборотов винта с завода N 132 и закончить их в течение 40 летных дней (1879,63).</w:t>
      </w:r>
    </w:p>
    <w:p w14:paraId="08F5F403" w14:textId="77777777" w:rsidR="00665165" w:rsidRPr="00925F26" w:rsidRDefault="00665165" w:rsidP="00925F26">
      <w:pPr>
        <w:autoSpaceDE w:val="0"/>
        <w:autoSpaceDN w:val="0"/>
        <w:adjustRightInd w:val="0"/>
        <w:jc w:val="both"/>
        <w:rPr>
          <w:color w:val="000000" w:themeColor="text1"/>
          <w:sz w:val="16"/>
          <w:szCs w:val="16"/>
        </w:rPr>
      </w:pPr>
    </w:p>
    <w:p w14:paraId="5E9EC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вышел приказ НКАП N 69с "Об увеличении выпуска КТ самолетов УТ-2":</w:t>
      </w:r>
    </w:p>
    <w:p w14:paraId="0B5DFE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увеличения выпуска УТС УТ-2:</w:t>
      </w:r>
    </w:p>
    <w:p w14:paraId="3008B3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447 В.А.Наджаряну организовать на заводе 447 производство УТ-2, обеспечив выпуск в мае - 5 самолетов, в июне - 10, в июле - 15, доведя выпуск их в конце 4 кв. до 3 самолетов в день." (188,137).</w:t>
      </w:r>
    </w:p>
    <w:p w14:paraId="58E35E7A" w14:textId="77777777" w:rsidR="00665165" w:rsidRPr="00925F26" w:rsidRDefault="00665165" w:rsidP="00925F26">
      <w:pPr>
        <w:autoSpaceDE w:val="0"/>
        <w:autoSpaceDN w:val="0"/>
        <w:adjustRightInd w:val="0"/>
        <w:jc w:val="both"/>
        <w:rPr>
          <w:color w:val="000000" w:themeColor="text1"/>
          <w:sz w:val="16"/>
          <w:szCs w:val="16"/>
        </w:rPr>
      </w:pPr>
    </w:p>
    <w:p w14:paraId="25AC56D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F8C8538" w14:textId="77777777" w:rsidR="00665165" w:rsidRPr="00925F26" w:rsidRDefault="00665165" w:rsidP="00925F26">
      <w:pPr>
        <w:autoSpaceDE w:val="0"/>
        <w:autoSpaceDN w:val="0"/>
        <w:adjustRightInd w:val="0"/>
        <w:jc w:val="both"/>
        <w:rPr>
          <w:iCs/>
          <w:color w:val="000000" w:themeColor="text1"/>
          <w:sz w:val="16"/>
          <w:szCs w:val="16"/>
        </w:rPr>
      </w:pPr>
    </w:p>
    <w:p w14:paraId="2CDF8C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вышел окончательный отчет по испытаниям танка T-IVВ Королевский тигр: “п. 9. Лобовая броня корпуса и башни низкого качества. При наличии несквозных поражений (вмятин) в броне образуются сквозные трещины и большие отколы с тыльной стороны... Бортовые листы отличаются резкой неравнопрочностью по сравнению с лобовыми и являются наиболее уязвимой частью броневого корпуса и башни танка...” (4300).</w:t>
      </w:r>
    </w:p>
    <w:p w14:paraId="17231425" w14:textId="77777777" w:rsidR="00665165" w:rsidRPr="00925F26" w:rsidRDefault="00665165" w:rsidP="00925F26">
      <w:pPr>
        <w:autoSpaceDE w:val="0"/>
        <w:autoSpaceDN w:val="0"/>
        <w:adjustRightInd w:val="0"/>
        <w:jc w:val="both"/>
        <w:rPr>
          <w:color w:val="000000" w:themeColor="text1"/>
          <w:sz w:val="16"/>
          <w:szCs w:val="16"/>
        </w:rPr>
      </w:pPr>
    </w:p>
    <w:p w14:paraId="37C89B7F"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16 февраля 1945 танк Т-54 отправили на НИБТ Полигон, причём вместе с Т-34-100.</w:t>
      </w:r>
    </w:p>
    <w:p w14:paraId="260218A0"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 xml:space="preserve">Требования Малышева, которые касались боевой массы, выдержать не удалось — вместо 34 т боевая масса Т-54 составила 35 850 кг. Это оказалось связано с </w:t>
      </w:r>
      <w:r w:rsidRPr="00925F26">
        <w:rPr>
          <w:color w:val="000000" w:themeColor="text1"/>
          <w:sz w:val="16"/>
          <w:szCs w:val="16"/>
        </w:rPr>
        <w:lastRenderedPageBreak/>
        <w:t>существенным ростом броневой защиты. В случае с корпусом, как и на исходном проекте Т-44В, лобовая часть корпуса была толщиной 120 мм, а борта усилили до 90 мм. В целом корпус сохранил конфигурацию Т-44, но при этом стал длиннее на 54 мм. В связи с этим увеличилось и расстояние и между крайними опорными катками. Также, в связи с увеличением диаметра погона башни, переделке подвергся подбашенный лист. Уширителей, как на КВ-85, не понадобилось, но по бортам появились дополнительные накладки.</w:t>
      </w:r>
    </w:p>
    <w:p w14:paraId="39778286"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Помимо усиления броневой защиты, очередной переработке подверглось место механика-водителя. Для начала из верхней лобовой детали изъяли смотровую щель, что улучшило стойкость листа. Вместо него на верхней кромке лобового листа появился перископический прибор, который при необходимости можно было убрать. Сверху прибор прикрывался крышкой. Ещё один призменный перископический прибор предусмотрели с левой стороны. Никуда не делся и перископический прибор MK-IV в передней части крыши люка механика-водителя. Благодаря такой переделке обзорность немного выросла.</w:t>
      </w:r>
    </w:p>
    <w:p w14:paraId="38D724B3"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Аналогично башне курсовой пулемёт заменили на СГ-43 ленточного питания. В связи с изменением состава вооружения переделке подверглись и боеукладки. Боекомплект к орудию Д-10ТК составил 34 выстрела, из них 20 — в передней укладке, 5 — на полу боевого отделения, 6 — в кормовой нише башни, и 3 — на правой стенке башни. По сравнению с Т-44 боезапас явно сократился, но в то же время на более просторной СУ-100 боекомплект оказался даже чуть меньше — 33 выстрела. Также, ввиду ленточного питания пулемётов СГ-43, изменились пулемётные укладки. В отличие от выстрелов, боезапас по патронам существенно вырос — до 3000 штук.</w:t>
      </w:r>
    </w:p>
    <w:p w14:paraId="30A7AE96"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Силовая установка осталась такой же, как на Т-44. Вместе с тем КБ-520 провело ряд улучшений систем, связанных с двигателем. В систему охлаждения ввели пародинамический ламповый подогреватель, а радиатор сделали четырёхсекционным. Подогреватель установили и для воздухоочистителя, что облегчало запуск двигателя в зимний период. Мало изменилась топливная система, но при этом общий запас топлива удалось увеличить до 530 л. Помимо переделки опорных катков и балансиров, изменения внесли в бортовые передачи.</w:t>
      </w:r>
    </w:p>
    <w:p w14:paraId="2BE175E1"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За счёт более низкой башни общая высота Т-54 уменьшилась до 2275 мм. К слову, в заводской переписке произошла описка, и высоту указали как у Т-44, то есть 2400 мм. При этом высота боевого отделения составила 1570 мм, всего на 20 мм ниже Т-44. Ввиду того, что ходовые испытания во время заводских тестов толком не проводились, скоростные данные давались расчётные. Максимальная скорость оценивалась в 53,5 км/ч — как показали дальнейшие события, это было чересчур оптимистично (19090).</w:t>
      </w:r>
    </w:p>
    <w:p w14:paraId="0373F3DC"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p>
    <w:p w14:paraId="125EFE77"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16 февраля 1945 года при первых же заводских испытаниях к месту механика-водителя набралось немало претензий. Боевое отделение назвали очень тесным — причиной тому стали установленные слева и справа укладки для пулемётных дисков, а также снарядные укладки. При езде в походном положении мешал кронштейн смотрового прибора, который перегораживал механику-водителю доступ к рычагу переключения КПП. Проём люка оказался маловат для входа и выхода в зимней одежде. Также имелись претензии к сидению. Нашлись недочёты по боевому отделению, а двигатель в полевых условиях оказалось трудно демонтировать. Несмотря на то, что при создании улучшенного «Кировца-1» базой послужил исходный танк, на практике они довольно сильно отличались друг от друга. При этом опыт завода №100 и НИИ-48 сыграл положительную роль не только с точки зрения стойкости броневой защиты корпуса. Благодаря новой лобовой детали корпуса его масса оказалась ниже не только ИС-2, но и исходного «Кировца-1», что привело к снижению боевой массы до 4587 кг. Для сравнения, боевая масса первоначального «Кировца-1» составляла 45 870 кг. Корпус стал на 10 см уже, но за счёт «щучьего носа» длина выросла до 6900 мм. За счёт иной конструкции носовой детали толщина лобовых деталей снизилась до 110 мм при том же уровне стойкости. Толщина верхних бортовых листов составила 90 мм, но при этом они имели наклон почти 60 градусов от вертикали. Это было примерно равно стойкости верхней лобовой детали ИС-2 со спрямлённой сварной носовой частью.</w:t>
      </w:r>
    </w:p>
    <w:p w14:paraId="6154CFE7"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Толщина башни варьировалась от 120 до 210 мм, при этом её форма была улучшена по сравнению с исходным «Кировцем-1». Аналогично исходному танку, на «Кировец-1» поставили 520-сильный двигатель В-11. Кроме того, аналогично исходному танку топливные баки убрали из боевого отделения. Боекомплект снизили до 28 выстрелов к орудию Д-25Т, но при этом появился зенитный пулемёт ДШКМ. Ввиду того, что конструкция люков «Кировца-1» сильно отличалась от ИС-2, пришлось делать специальную «основу» для турели, которая в походном положении отводилась назад.</w:t>
      </w:r>
    </w:p>
    <w:p w14:paraId="0DB8C55C"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Одним из существенных плюсов «щучьего носа» было появление люка механика-водителя. Это не только облегчало попадание мехвода в машину, но и значительно улучшало обзорность в походном положении (19731).</w:t>
      </w:r>
    </w:p>
    <w:p w14:paraId="0478183E" w14:textId="77777777" w:rsidR="002E1B6D" w:rsidRPr="00925F26" w:rsidRDefault="002E1B6D" w:rsidP="00925F26">
      <w:pPr>
        <w:pStyle w:val="ae"/>
        <w:shd w:val="clear" w:color="auto" w:fill="FFFFFF"/>
        <w:spacing w:before="0" w:after="0"/>
        <w:jc w:val="both"/>
        <w:textAlignment w:val="baseline"/>
        <w:rPr>
          <w:color w:val="000000" w:themeColor="text1"/>
          <w:sz w:val="16"/>
          <w:szCs w:val="16"/>
        </w:rPr>
      </w:pPr>
    </w:p>
    <w:p w14:paraId="0E46B0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16 февраля 1945 года нарком НКХП СССР М.Г.Первухин доложил заместителю председателя ГОКО СССР Л.П.Берия о нахождение военно-химического завода Германии крупного масштаба в полной сохранности.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48E9595F" w14:textId="77777777" w:rsidR="00665165" w:rsidRPr="00925F26" w:rsidRDefault="00665165" w:rsidP="00925F26">
      <w:pPr>
        <w:autoSpaceDE w:val="0"/>
        <w:autoSpaceDN w:val="0"/>
        <w:adjustRightInd w:val="0"/>
        <w:jc w:val="both"/>
        <w:rPr>
          <w:color w:val="000000" w:themeColor="text1"/>
          <w:sz w:val="16"/>
          <w:szCs w:val="16"/>
        </w:rPr>
      </w:pPr>
    </w:p>
    <w:p w14:paraId="3B166D13" w14:textId="77777777" w:rsidR="000F49EC" w:rsidRPr="00925F26" w:rsidRDefault="000F49EC" w:rsidP="00925F26">
      <w:pPr>
        <w:shd w:val="clear" w:color="auto" w:fill="FFFFFF"/>
        <w:jc w:val="both"/>
        <w:rPr>
          <w:color w:val="000000" w:themeColor="text1"/>
          <w:sz w:val="16"/>
          <w:szCs w:val="16"/>
        </w:rPr>
      </w:pPr>
      <w:r w:rsidRPr="00925F26">
        <w:rPr>
          <w:bCs/>
          <w:iCs/>
          <w:color w:val="000000" w:themeColor="text1"/>
          <w:sz w:val="16"/>
          <w:szCs w:val="16"/>
        </w:rPr>
        <w:t>16 февраля 1945 г.</w:t>
      </w:r>
      <w:r w:rsidRPr="00925F26">
        <w:rPr>
          <w:color w:val="000000" w:themeColor="text1"/>
          <w:sz w:val="16"/>
          <w:szCs w:val="16"/>
        </w:rPr>
        <w:t xml:space="preserve"> Доклад наркома НКХП СССР М.Г.Первухина заместителю председателя ГОКО СССР Л.П.Берия об обнаружении на занятой советскими войсками территории Германии химического завода по производству нового ОВ и по снаряжению им химических боеприпасов (место — Дихернфурт-на-Одере близ г.Волау). Сообщено, что направленные на завод заместитель начальника ГВХУ КА генерал И.Ф.Чухнов и главный инженер ГСНИИ-42 Д.Г.Кудряшов обнаружили исправность найденного предприятия (17133).</w:t>
      </w:r>
    </w:p>
    <w:p w14:paraId="66634A64" w14:textId="77777777" w:rsidR="000F49EC" w:rsidRPr="00925F26" w:rsidRDefault="000F49EC" w:rsidP="00925F26">
      <w:pPr>
        <w:shd w:val="clear" w:color="auto" w:fill="FFFFFF"/>
        <w:jc w:val="both"/>
        <w:rPr>
          <w:color w:val="000000" w:themeColor="text1"/>
          <w:sz w:val="16"/>
          <w:szCs w:val="16"/>
        </w:rPr>
      </w:pPr>
    </w:p>
    <w:p w14:paraId="0A29CC0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084D907" w14:textId="77777777" w:rsidR="00665165" w:rsidRPr="00925F26" w:rsidRDefault="00665165" w:rsidP="00925F26">
      <w:pPr>
        <w:autoSpaceDE w:val="0"/>
        <w:autoSpaceDN w:val="0"/>
        <w:adjustRightInd w:val="0"/>
        <w:jc w:val="both"/>
        <w:rPr>
          <w:iCs/>
          <w:color w:val="000000" w:themeColor="text1"/>
          <w:sz w:val="16"/>
          <w:szCs w:val="16"/>
        </w:rPr>
      </w:pPr>
    </w:p>
    <w:p w14:paraId="038682AA" w14:textId="77777777" w:rsidR="000F49EC" w:rsidRPr="00925F26" w:rsidRDefault="000F49EC" w:rsidP="00925F26">
      <w:pPr>
        <w:jc w:val="both"/>
        <w:rPr>
          <w:color w:val="000000" w:themeColor="text1"/>
          <w:sz w:val="16"/>
          <w:szCs w:val="16"/>
        </w:rPr>
      </w:pPr>
      <w:r w:rsidRPr="00925F26">
        <w:rPr>
          <w:bCs/>
          <w:color w:val="000000" w:themeColor="text1"/>
          <w:sz w:val="16"/>
          <w:szCs w:val="16"/>
        </w:rPr>
        <w:t>16 февраля</w:t>
      </w:r>
      <w:r w:rsidRPr="00925F26">
        <w:rPr>
          <w:color w:val="000000" w:themeColor="text1"/>
          <w:sz w:val="16"/>
          <w:szCs w:val="16"/>
        </w:rPr>
        <w:t xml:space="preserve"> в 1945 году оперативная сводка Совинформбюро:</w:t>
      </w:r>
    </w:p>
    <w:p w14:paraId="5A4F722C" w14:textId="77777777" w:rsidR="000F49EC" w:rsidRPr="00925F26" w:rsidRDefault="000F49EC" w:rsidP="00925F26">
      <w:pPr>
        <w:jc w:val="both"/>
        <w:rPr>
          <w:color w:val="000000" w:themeColor="text1"/>
          <w:sz w:val="16"/>
          <w:szCs w:val="16"/>
        </w:rPr>
      </w:pPr>
      <w:r w:rsidRPr="00925F26">
        <w:rPr>
          <w:color w:val="000000" w:themeColor="text1"/>
          <w:sz w:val="16"/>
          <w:szCs w:val="16"/>
        </w:rPr>
        <w:t>«В течение 16 февраля северо-восточнее и севернее города Быдгощ (Бромберг) наши войска в результате наступательных боёв овладели населёнными пунктами Клайн Ташау, Ешево, Лясковиц, Буциг, Людвигсталь, Клайн-Гацно, Шмидебрух.</w:t>
      </w:r>
    </w:p>
    <w:p w14:paraId="34DBF316" w14:textId="77777777" w:rsidR="000F49EC" w:rsidRPr="00925F26" w:rsidRDefault="000F49EC" w:rsidP="00925F26">
      <w:pPr>
        <w:jc w:val="both"/>
        <w:rPr>
          <w:color w:val="000000" w:themeColor="text1"/>
          <w:sz w:val="16"/>
          <w:szCs w:val="16"/>
        </w:rPr>
      </w:pPr>
      <w:r w:rsidRPr="00925F26">
        <w:rPr>
          <w:color w:val="000000" w:themeColor="text1"/>
          <w:sz w:val="16"/>
          <w:szCs w:val="16"/>
        </w:rPr>
        <w:t>В Познани продолжались бои по уничтожению гарнизона противника, удерживающего район Цитадели и четыре пригорода на восточном берегу Варты.</w:t>
      </w:r>
    </w:p>
    <w:p w14:paraId="75095932" w14:textId="77777777" w:rsidR="000F49EC" w:rsidRPr="00925F26" w:rsidRDefault="000F49EC" w:rsidP="00925F26">
      <w:pPr>
        <w:jc w:val="both"/>
        <w:rPr>
          <w:color w:val="000000" w:themeColor="text1"/>
          <w:sz w:val="16"/>
          <w:szCs w:val="16"/>
        </w:rPr>
      </w:pPr>
      <w:r w:rsidRPr="00925F26">
        <w:rPr>
          <w:color w:val="000000" w:themeColor="text1"/>
          <w:sz w:val="16"/>
          <w:szCs w:val="16"/>
        </w:rPr>
        <w:t>Западнее города Грюнберг наши войска, продолжая наступление, вышли на реку Бобер, заняв при этом более 50 населённых пунктов, среди которых крупные населённые пункты Ротенбург, Тимендорф, Русдорф, Дойч Загар, Коссар, Вейсиг, Рейхенау. За 15 февраля в районе южнее города Грюнберг наши войска взяли в плен более 1.500 немецких солдат и офицеров и захватили склад-арсенал, в котором находилось 350 орудий, 1.500 орудийных и миномётных стволов, 1.500 тяжёлых пулемётов и большое количество боеприпасов.</w:t>
      </w:r>
    </w:p>
    <w:p w14:paraId="02AFDAF0" w14:textId="77777777" w:rsidR="000F49EC" w:rsidRPr="00925F26" w:rsidRDefault="000F49EC" w:rsidP="00925F26">
      <w:pPr>
        <w:jc w:val="both"/>
        <w:rPr>
          <w:color w:val="000000" w:themeColor="text1"/>
          <w:sz w:val="16"/>
          <w:szCs w:val="16"/>
        </w:rPr>
      </w:pPr>
      <w:r w:rsidRPr="00925F26">
        <w:rPr>
          <w:color w:val="000000" w:themeColor="text1"/>
          <w:sz w:val="16"/>
          <w:szCs w:val="16"/>
        </w:rPr>
        <w:t>В районе Бреслау (Бреславль) наши войска, наступая на город с севера, запада и юга, завершили окружение группировки противника, обороняющей город Бреслау (Бреславль). В ходе наступательных боёв наши войска заняли в этом районе белее 200 населённых пунктов, в том числе города Хундсфельд, Дойч Лисса, Ванзен и крупные населённые пункты Маргарет, Драхенбрунн, Закрау, Пашкервиц, Шебиц, Шенгартен, Добрюкк, Клеттендорф, Каттерн, Крафтборн.</w:t>
      </w:r>
    </w:p>
    <w:p w14:paraId="2F6EE1C2" w14:textId="77777777" w:rsidR="000F49EC" w:rsidRPr="00925F26" w:rsidRDefault="000F49EC" w:rsidP="00925F26">
      <w:pPr>
        <w:jc w:val="both"/>
        <w:rPr>
          <w:color w:val="000000" w:themeColor="text1"/>
          <w:sz w:val="16"/>
          <w:szCs w:val="16"/>
        </w:rPr>
      </w:pPr>
      <w:r w:rsidRPr="00925F26">
        <w:rPr>
          <w:color w:val="000000" w:themeColor="text1"/>
          <w:sz w:val="16"/>
          <w:szCs w:val="16"/>
        </w:rPr>
        <w:t>В лесах северо-западнее Будапешта наши войска завершили ликвидацию разрозненных групп противника, прорвавшихся из западной части города. За 15 февраля в этом районе наши войска взяли в плен свыше 3.400 солдат и офицеров противника и подобрали на поле боя 200 вражеских пулемётов, 4.000 винтовок и 1.500 автоматов.</w:t>
      </w:r>
    </w:p>
    <w:p w14:paraId="4BD7AEA3" w14:textId="77777777" w:rsidR="000F49EC" w:rsidRPr="00925F26" w:rsidRDefault="000F49EC"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C5387EC" w14:textId="77777777" w:rsidR="000F49EC" w:rsidRPr="00925F26" w:rsidRDefault="000F49EC" w:rsidP="00925F26">
      <w:pPr>
        <w:jc w:val="both"/>
        <w:rPr>
          <w:color w:val="000000" w:themeColor="text1"/>
          <w:sz w:val="16"/>
          <w:szCs w:val="16"/>
        </w:rPr>
      </w:pPr>
      <w:r w:rsidRPr="00925F26">
        <w:rPr>
          <w:color w:val="000000" w:themeColor="text1"/>
          <w:sz w:val="16"/>
          <w:szCs w:val="16"/>
        </w:rPr>
        <w:t>За 15 февраля на всех фронтах подбито и уничтожено 117 немецких танков. В воздушных боях и огнём зенитной артиллерии сбито 39 самолётов противника.</w:t>
      </w:r>
    </w:p>
    <w:p w14:paraId="1B922102" w14:textId="77777777" w:rsidR="000F49EC" w:rsidRPr="00925F26" w:rsidRDefault="000F49EC" w:rsidP="00925F26">
      <w:pPr>
        <w:jc w:val="both"/>
        <w:rPr>
          <w:color w:val="000000" w:themeColor="text1"/>
          <w:sz w:val="16"/>
          <w:szCs w:val="16"/>
        </w:rPr>
      </w:pPr>
      <w:r w:rsidRPr="00925F26">
        <w:rPr>
          <w:color w:val="000000" w:themeColor="text1"/>
          <w:sz w:val="16"/>
          <w:szCs w:val="16"/>
        </w:rPr>
        <w:t>В городе Познань наши войска вели бои по уничтожению окружённого гарнизона противника. Немцы засели в цитадели, а также в пригородах на восточном берегу реки Варты и оказывают упорное сопротивление. Советские пехотинцы и артиллеристы, уничтожая огневые точки и живую силу противника, очищают от врага один, дом за другим. За день истреблено до тысячи гитлеровцев. Захвачено 78 пулемётов, 3 тысячи винтовок и автоматов, 2 склада с военным имуществом, 3 тысячи снарядов и 2 тысячи ручных гранат. Взято в плен 550 немецких солдат и офицеров.</w:t>
      </w:r>
    </w:p>
    <w:p w14:paraId="50090D03" w14:textId="77777777" w:rsidR="000F49EC" w:rsidRPr="00925F26" w:rsidRDefault="000F49EC" w:rsidP="00925F26">
      <w:pPr>
        <w:jc w:val="both"/>
        <w:rPr>
          <w:color w:val="000000" w:themeColor="text1"/>
          <w:sz w:val="16"/>
          <w:szCs w:val="16"/>
        </w:rPr>
      </w:pPr>
      <w:r w:rsidRPr="00925F26">
        <w:rPr>
          <w:color w:val="000000" w:themeColor="text1"/>
          <w:sz w:val="16"/>
          <w:szCs w:val="16"/>
        </w:rPr>
        <w:t xml:space="preserve">Западнее города Грюнберг наши войска развивали наступление. Противник соорудил у шоссейных дорог узлы сопротивления с дотами и дзотами. Особенно сильно укреплены перекрёстки дорог. Советские -пехотинцы и сопровождающие их артиллеристы, совершая обходные манёвры, блокируют и уничтожают опорные пункты обороны противника. Наши войска с боями продвинулись вперёд на 20 километров и на широком фронте вышли к реке Бобер в её нижнем течении. После упорных </w:t>
      </w:r>
      <w:r w:rsidRPr="00925F26">
        <w:rPr>
          <w:color w:val="000000" w:themeColor="text1"/>
          <w:sz w:val="16"/>
          <w:szCs w:val="16"/>
        </w:rPr>
        <w:lastRenderedPageBreak/>
        <w:t>боёв советские части овладели сильно укреплённым опорным пунктом Ротенбург, расположенным на левом берегу реки Одер. Немецкие укрепления были обращены к реке, на север. Наши войска атаковали этот крупный населённый пункт с юга и юго-востока. В уличных боях вражеский гарнизон был разгромлён. Захвачено много трофеев.</w:t>
      </w:r>
    </w:p>
    <w:p w14:paraId="06450A47" w14:textId="77777777" w:rsidR="000F49EC" w:rsidRPr="00925F26" w:rsidRDefault="000F49EC" w:rsidP="00925F26">
      <w:pPr>
        <w:jc w:val="both"/>
        <w:rPr>
          <w:color w:val="000000" w:themeColor="text1"/>
          <w:sz w:val="16"/>
          <w:szCs w:val="16"/>
        </w:rPr>
      </w:pPr>
      <w:r w:rsidRPr="00925F26">
        <w:rPr>
          <w:color w:val="000000" w:themeColor="text1"/>
          <w:sz w:val="16"/>
          <w:szCs w:val="16"/>
        </w:rPr>
        <w:t>В районе города Бреслау (Бреславль) происходили ожесточённые бои. В результате успешных наступательных действий наших войск с плацдармов северо-западнее и юго-восточнее Бреслау этот сильнейший опорный пункт обороны немцев и крупный промышленный центр был почти полностью окружён. В распоряжении противника оставался лишь узкий коридор шириною в 8 километров. Немцы старались во что бы то ни стало удержать в своих руках железную и шоссейную дороги Бреслау — Франкенштайн. Мощными ударами с трёх сторон советские части сломили сопротивление гитлеровцев и сегодня завершили полное окружение города Бреслау. Развивая успех, наши войска заняли более 200 населённых пунктов и выбили немцев из города Дойч Лисса, расположенного в 7 километрах к северо-западу от Бреслау, и населённого пункта Каттерн (6 километров южнее Бреслау). За день боёв уничтожено 37 немецких танков, 16 бронетранспортёров и более 50 орудий.</w:t>
      </w:r>
    </w:p>
    <w:p w14:paraId="21A805A2" w14:textId="77777777" w:rsidR="000F49EC" w:rsidRPr="00925F26" w:rsidRDefault="000F49EC" w:rsidP="00925F26">
      <w:pPr>
        <w:jc w:val="both"/>
        <w:rPr>
          <w:color w:val="000000" w:themeColor="text1"/>
          <w:sz w:val="16"/>
          <w:szCs w:val="16"/>
        </w:rPr>
      </w:pPr>
      <w:r w:rsidRPr="00925F26">
        <w:rPr>
          <w:color w:val="000000" w:themeColor="text1"/>
          <w:sz w:val="16"/>
          <w:szCs w:val="16"/>
        </w:rPr>
        <w:t>В лесах северо-западнее Будапешта наши войска закончили ликвидацию разрозненных групп немцев, прорвавшихся из западной части города. У многих немецких солдат, взятых в плен, обнаружены золотые часы, золотые и серебряные ложки и другие драгоценности. Все эти вещи немцы награбили у жителей города Будапешта.</w:t>
      </w:r>
    </w:p>
    <w:p w14:paraId="45ECE866" w14:textId="77777777" w:rsidR="000F49EC" w:rsidRPr="00925F26" w:rsidRDefault="000F49EC" w:rsidP="00925F26">
      <w:pPr>
        <w:jc w:val="both"/>
        <w:rPr>
          <w:color w:val="000000" w:themeColor="text1"/>
          <w:sz w:val="16"/>
          <w:szCs w:val="16"/>
        </w:rPr>
      </w:pPr>
      <w:r w:rsidRPr="00925F26">
        <w:rPr>
          <w:color w:val="000000" w:themeColor="text1"/>
          <w:sz w:val="16"/>
          <w:szCs w:val="16"/>
        </w:rPr>
        <w:t>За последние дни наши войска в Восточной Пруссии взяли в плен большую группу немецких офицеров. Многие из них сдались в плен вместе с солдатами своих подразделений. Захвачен в плен штаб 927-го полка 286-й немецкой охранной дивизии. В числе пленных командир полка майор Вильгельм Фоссе и его адъютант обер-лейтенант Клаус Зейде. Пленный обер-лейтенант Клаус Зейде сообщил: «Штаб полка потерял связь с командованием дивизии и со своими подразделениями. Мы бежали в лес, где после трёхдневных блужданий были взяты в плен».</w:t>
      </w:r>
    </w:p>
    <w:p w14:paraId="2C9C7503" w14:textId="77777777" w:rsidR="000F49EC" w:rsidRPr="00925F26" w:rsidRDefault="000F49EC" w:rsidP="00925F26">
      <w:pPr>
        <w:jc w:val="both"/>
        <w:rPr>
          <w:color w:val="000000" w:themeColor="text1"/>
          <w:sz w:val="16"/>
          <w:szCs w:val="16"/>
        </w:rPr>
      </w:pPr>
      <w:r w:rsidRPr="00925F26">
        <w:rPr>
          <w:color w:val="000000" w:themeColor="text1"/>
          <w:sz w:val="16"/>
          <w:szCs w:val="16"/>
        </w:rPr>
        <w:t>Пленный лейтенант 286-й дивизии Рихард Мюллер заявил: «После тяжёлых боёв мелкие разрозненные группы солдат собрались на дивизионном сборном пункте. Меня назначили командиром сборной роты. Чтобы предупредить бегство солдат, командование приказало отобрать у них солдатские книжки. Однако эта мера не помогла. Мои карманы были битком набиты солдатскими книжками, но солдат у меня не оказалось. Почти все они разбежались. Я махнул на всё рукой, пошёл навстречу русским и сдался в плен».</w:t>
      </w:r>
    </w:p>
    <w:p w14:paraId="0941B368" w14:textId="77777777" w:rsidR="000F49EC" w:rsidRPr="00925F26" w:rsidRDefault="000F49EC" w:rsidP="00925F26">
      <w:pPr>
        <w:jc w:val="both"/>
        <w:rPr>
          <w:color w:val="000000" w:themeColor="text1"/>
          <w:sz w:val="16"/>
          <w:szCs w:val="16"/>
          <w:lang w:val="en-US"/>
        </w:rPr>
      </w:pPr>
      <w:r w:rsidRPr="00925F26">
        <w:rPr>
          <w:color w:val="000000" w:themeColor="text1"/>
          <w:sz w:val="16"/>
          <w:szCs w:val="16"/>
        </w:rPr>
        <w:t>На другом участке сдался в плен командир 400-го немецкого запасного батальона лейтенант Гельмут Пауль вместе с 76 солдатами. Пленный лейтенант рассказал: «В немецких частях, окружённых в Восточной Пруссии, творится хаос. Командование приказало держаться до последнего, но этот приказ невозможно выполнить. Солдаты видят, что дальнейшее сопротивление бесполезно. Часть из них переоделась в гражданское платье и отказалась выполнять мои приказания. После всего виденного и пережитого мною в январе 1945 года было бы безумием продолжать борьбу. Собравостаткисвоегобатальона</w:t>
      </w:r>
      <w:r w:rsidRPr="00925F26">
        <w:rPr>
          <w:color w:val="000000" w:themeColor="text1"/>
          <w:sz w:val="16"/>
          <w:szCs w:val="16"/>
          <w:lang w:val="en-US"/>
        </w:rPr>
        <w:t xml:space="preserve">, </w:t>
      </w:r>
      <w:r w:rsidRPr="00925F26">
        <w:rPr>
          <w:color w:val="000000" w:themeColor="text1"/>
          <w:sz w:val="16"/>
          <w:szCs w:val="16"/>
        </w:rPr>
        <w:t>ясдалсявплен</w:t>
      </w:r>
      <w:r w:rsidRPr="00925F26">
        <w:rPr>
          <w:color w:val="000000" w:themeColor="text1"/>
          <w:sz w:val="16"/>
          <w:szCs w:val="16"/>
          <w:lang w:val="en-US"/>
        </w:rPr>
        <w:t>» (15042).</w:t>
      </w:r>
    </w:p>
    <w:p w14:paraId="388C62EA" w14:textId="77777777" w:rsidR="000F49EC" w:rsidRPr="00925F26" w:rsidRDefault="000F49EC" w:rsidP="00925F26">
      <w:pPr>
        <w:jc w:val="both"/>
        <w:rPr>
          <w:color w:val="000000" w:themeColor="text1"/>
          <w:sz w:val="16"/>
          <w:szCs w:val="16"/>
          <w:lang w:val="en-US"/>
        </w:rPr>
      </w:pPr>
    </w:p>
    <w:p w14:paraId="7CBB857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February 16, 1945: On the Eastern front in Pommerania, the remaining units of the </w:t>
      </w:r>
      <w:proofErr w:type="gramStart"/>
      <w:r w:rsidRPr="00925F26">
        <w:rPr>
          <w:color w:val="000000" w:themeColor="text1"/>
          <w:sz w:val="16"/>
          <w:szCs w:val="16"/>
          <w:lang w:val="en-US"/>
        </w:rPr>
        <w:t>11.SS</w:t>
      </w:r>
      <w:proofErr w:type="gramEnd"/>
      <w:r w:rsidRPr="00925F26">
        <w:rPr>
          <w:color w:val="000000" w:themeColor="text1"/>
          <w:sz w:val="16"/>
          <w:szCs w:val="16"/>
          <w:lang w:val="en-US"/>
        </w:rPr>
        <w:t>-Panzer-Armee launch fully into Operation Sonnenwende, which in reality is a severely restricted counter-offensive to relieve the Kuestrin area (3819).</w:t>
      </w:r>
    </w:p>
    <w:p w14:paraId="40FB4978" w14:textId="77777777" w:rsidR="00665165" w:rsidRPr="00925F26" w:rsidRDefault="00665165" w:rsidP="00925F26">
      <w:pPr>
        <w:autoSpaceDE w:val="0"/>
        <w:autoSpaceDN w:val="0"/>
        <w:adjustRightInd w:val="0"/>
        <w:jc w:val="both"/>
        <w:rPr>
          <w:color w:val="000000" w:themeColor="text1"/>
          <w:sz w:val="16"/>
          <w:szCs w:val="16"/>
          <w:lang w:val="en-US"/>
        </w:rPr>
      </w:pPr>
    </w:p>
    <w:p w14:paraId="033E5F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в Померании 11ТА СС начала контрнаступление для освобождения района Кюстрина (3819).</w:t>
      </w:r>
    </w:p>
    <w:p w14:paraId="0AE39D35" w14:textId="77777777" w:rsidR="00665165" w:rsidRPr="00925F26" w:rsidRDefault="00665165" w:rsidP="00925F26">
      <w:pPr>
        <w:autoSpaceDE w:val="0"/>
        <w:autoSpaceDN w:val="0"/>
        <w:adjustRightInd w:val="0"/>
        <w:jc w:val="both"/>
        <w:rPr>
          <w:color w:val="000000" w:themeColor="text1"/>
          <w:sz w:val="16"/>
          <w:szCs w:val="16"/>
        </w:rPr>
      </w:pPr>
    </w:p>
    <w:p w14:paraId="5912A1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восьмерка Як-9 под управлением ГСС м Степаненко 4 иап в районе Тукумс-Либава расчищали воздух для налета Ил-2 из 235 шад и вместе со стрелками Ил-2 сбили аса Отто Кителя (4237,62).</w:t>
      </w:r>
    </w:p>
    <w:p w14:paraId="3ACE1C8D" w14:textId="77777777" w:rsidR="00665165" w:rsidRPr="00925F26" w:rsidRDefault="00665165" w:rsidP="00925F26">
      <w:pPr>
        <w:autoSpaceDE w:val="0"/>
        <w:autoSpaceDN w:val="0"/>
        <w:adjustRightInd w:val="0"/>
        <w:jc w:val="both"/>
        <w:rPr>
          <w:color w:val="000000" w:themeColor="text1"/>
          <w:sz w:val="16"/>
          <w:szCs w:val="16"/>
        </w:rPr>
      </w:pPr>
    </w:p>
    <w:p w14:paraId="102A1D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года был потоплен транспорт "Эмсшторм" (4517 тонн), перевозивший живую силу и технику, а также более легкий транспорт "Эрна". Спустя шесть дней немецкий флот лишился парохода "Мендоза" (5193 тонны) (2691).</w:t>
      </w:r>
    </w:p>
    <w:p w14:paraId="3AC212A7" w14:textId="77777777" w:rsidR="00665165" w:rsidRPr="00925F26" w:rsidRDefault="00665165" w:rsidP="00925F26">
      <w:pPr>
        <w:autoSpaceDE w:val="0"/>
        <w:autoSpaceDN w:val="0"/>
        <w:adjustRightInd w:val="0"/>
        <w:jc w:val="both"/>
        <w:rPr>
          <w:color w:val="000000" w:themeColor="text1"/>
          <w:sz w:val="16"/>
          <w:szCs w:val="16"/>
        </w:rPr>
      </w:pPr>
    </w:p>
    <w:p w14:paraId="4252541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B715591" w14:textId="77777777" w:rsidR="00665165" w:rsidRPr="00925F26" w:rsidRDefault="00665165" w:rsidP="00925F26">
      <w:pPr>
        <w:autoSpaceDE w:val="0"/>
        <w:autoSpaceDN w:val="0"/>
        <w:adjustRightInd w:val="0"/>
        <w:jc w:val="both"/>
        <w:rPr>
          <w:iCs/>
          <w:color w:val="000000" w:themeColor="text1"/>
          <w:sz w:val="16"/>
          <w:szCs w:val="16"/>
        </w:rPr>
      </w:pPr>
    </w:p>
    <w:p w14:paraId="75EC79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16 February - 16 March 1945 Capture of Iwo Jima 1945 The Marine Corps assault of 19 February was preceded and supported by two separate carrier elements of the Central Pacific Force. The first of these was Task Force 58 under Vice Admiral Mark A. Mitscher, the second was Task Group 52.2 under Rear Admiral C.T. Durgin. On 16-17 February Mitscher moved against Japan with nine heavy and five light carriers in four groups, and two heavy carriers in a night group. Carrier aircraft hit Japanese air bases in the Tokyo plains. From 19 to 23 February, his forces supported Marine Corps landings and operations on Iwo Jima and flew neutralization strikes against the Bonins. On 25 February, he returned for a second strike on Tokyo. On 1 March he struck at Okinawa and the Ryukyus and then retired to Ulithi leaving in his wake 648 enemy aircraft destroyed and 30,000 tons of merchant shipping sunk. Task Group 52.2 began the campaign with nine escort carriers; it was later augmented by two more escorts and one night CV. On 16-18 February, Admiral Durgin carried out air strikes on Iwo Jima's shore defenses to reduce their resistance to the impending Marine Corps landing. From 19 February to </w:t>
      </w:r>
      <w:proofErr w:type="gramStart"/>
      <w:r w:rsidRPr="00925F26">
        <w:rPr>
          <w:color w:val="000000" w:themeColor="text1"/>
          <w:sz w:val="16"/>
          <w:szCs w:val="16"/>
          <w:lang w:val="en-US"/>
        </w:rPr>
        <w:t>11 March</w:t>
      </w:r>
      <w:proofErr w:type="gramEnd"/>
      <w:r w:rsidRPr="00925F26">
        <w:rPr>
          <w:color w:val="000000" w:themeColor="text1"/>
          <w:sz w:val="16"/>
          <w:szCs w:val="16"/>
          <w:lang w:val="en-US"/>
        </w:rPr>
        <w:t xml:space="preserve"> he flew missions in direct support of Marine Corps ground operations and neutralized airstrips in the Bonins. In counter attacks, the Japanese were not entirely unsuccessful. On 21 February a Kamikaze raid upon Task Group 52 sank the escort carrier Bismarck Sea, seriously damaged Saratoga, and did minor damage to Lunga Point. But new air defense elements in the U.S. fleet were functional and noteworthy; they included the altitude-determining radar on LSTs and a Night Fighter Director on the Air Support Commander's organization. Other U.S. operations deserve mention. Task Group 50. 5, under Commodore D. Ketcham, was based in the Marianas. The Group's shore-based aircraft conducted shipping reconnaissance and air-sea rescue between Japan and Iwo Jima. They also flew offensive screens for carrier raids and expeditionary forces. Similar operations were carried out by patrol planes of Fleet Air Wing 1 from tenders anchored in the lee of Iwo Jima (28 Feb-8 Mar). Marine Corps Observation Squadrons 4 and 5, which arrived on CVEs and on LSTs equipped with Brodie gear, began operations from Iwo Jima airfields on 27 February. Army fighters were flown in from Saipan on 6 March, and Marine Corps Torpedo Squadron 242 arrived on 8 March; they flew day and night combat air patrols and provided all air support upon the departure of the last CVEs on 11 March. </w:t>
      </w:r>
      <w:r w:rsidRPr="00925F26">
        <w:rPr>
          <w:color w:val="000000" w:themeColor="text1"/>
          <w:sz w:val="16"/>
          <w:szCs w:val="16"/>
        </w:rPr>
        <w:t>Iwo Jima was secured on 16 March (1090).</w:t>
      </w:r>
    </w:p>
    <w:p w14:paraId="0C0333AA" w14:textId="77777777" w:rsidR="00665165" w:rsidRPr="00925F26" w:rsidRDefault="00665165" w:rsidP="00925F26">
      <w:pPr>
        <w:autoSpaceDE w:val="0"/>
        <w:autoSpaceDN w:val="0"/>
        <w:adjustRightInd w:val="0"/>
        <w:jc w:val="both"/>
        <w:rPr>
          <w:color w:val="000000" w:themeColor="text1"/>
          <w:sz w:val="16"/>
          <w:szCs w:val="16"/>
        </w:rPr>
      </w:pPr>
    </w:p>
    <w:p w14:paraId="71E1C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16 февраля по 16 марта 1945 проходили бои за Иводзиму (1090).</w:t>
      </w:r>
    </w:p>
    <w:p w14:paraId="7D5B95FB" w14:textId="77777777" w:rsidR="00665165" w:rsidRPr="00925F26" w:rsidRDefault="00665165" w:rsidP="00925F26">
      <w:pPr>
        <w:autoSpaceDE w:val="0"/>
        <w:autoSpaceDN w:val="0"/>
        <w:adjustRightInd w:val="0"/>
        <w:jc w:val="both"/>
        <w:rPr>
          <w:color w:val="000000" w:themeColor="text1"/>
          <w:sz w:val="16"/>
          <w:szCs w:val="16"/>
        </w:rPr>
      </w:pPr>
    </w:p>
    <w:p w14:paraId="3D95AB34" w14:textId="77777777" w:rsidR="000F49EC" w:rsidRPr="00925F26" w:rsidRDefault="000F49EC" w:rsidP="00925F26">
      <w:pPr>
        <w:jc w:val="both"/>
        <w:rPr>
          <w:color w:val="000000" w:themeColor="text1"/>
          <w:sz w:val="16"/>
          <w:szCs w:val="16"/>
        </w:rPr>
      </w:pPr>
      <w:r w:rsidRPr="00925F26">
        <w:rPr>
          <w:bCs/>
          <w:color w:val="000000" w:themeColor="text1"/>
          <w:sz w:val="16"/>
          <w:szCs w:val="16"/>
        </w:rPr>
        <w:t>16 февраля</w:t>
      </w:r>
      <w:r w:rsidRPr="00925F26">
        <w:rPr>
          <w:color w:val="000000" w:themeColor="text1"/>
          <w:sz w:val="16"/>
          <w:szCs w:val="16"/>
        </w:rPr>
        <w:t xml:space="preserve"> в 1945 году американские войска выбили японцев с полуострова Батаан (Филипины) (15042).</w:t>
      </w:r>
    </w:p>
    <w:p w14:paraId="31D5CED2" w14:textId="77777777" w:rsidR="000F49EC" w:rsidRPr="00925F26" w:rsidRDefault="000F49EC" w:rsidP="00925F26">
      <w:pPr>
        <w:jc w:val="both"/>
        <w:rPr>
          <w:color w:val="000000" w:themeColor="text1"/>
          <w:sz w:val="16"/>
          <w:szCs w:val="16"/>
        </w:rPr>
      </w:pPr>
    </w:p>
    <w:p w14:paraId="726C1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февраля 1945 американская палубная авиация США нанесла мощный удар по Йокогаме (город вблизи Токио). В числе целей был и аэродром Коноикэ – главная тренировочная база «Богов грома». Все 24 самолета-носителя, находившиеся на авиабазе, были разбиты. Японцы стали ждать благоприятного случая для нанесения удара по противнику ракетными самолетами-снарядами (11686).</w:t>
      </w:r>
    </w:p>
    <w:p w14:paraId="38668184" w14:textId="77777777" w:rsidR="00665165" w:rsidRPr="00925F26" w:rsidRDefault="00665165" w:rsidP="00925F26">
      <w:pPr>
        <w:autoSpaceDE w:val="0"/>
        <w:autoSpaceDN w:val="0"/>
        <w:adjustRightInd w:val="0"/>
        <w:jc w:val="both"/>
        <w:rPr>
          <w:color w:val="000000" w:themeColor="text1"/>
          <w:sz w:val="16"/>
          <w:szCs w:val="16"/>
        </w:rPr>
      </w:pPr>
    </w:p>
    <w:p w14:paraId="7F85127E" w14:textId="77777777" w:rsidR="00EA347D" w:rsidRPr="00925F26" w:rsidRDefault="00EA347D" w:rsidP="00925F26">
      <w:pPr>
        <w:jc w:val="both"/>
        <w:rPr>
          <w:color w:val="000000" w:themeColor="text1"/>
          <w:sz w:val="16"/>
          <w:szCs w:val="16"/>
        </w:rPr>
      </w:pPr>
      <w:r w:rsidRPr="00925F26">
        <w:rPr>
          <w:color w:val="000000" w:themeColor="text1"/>
          <w:sz w:val="16"/>
          <w:szCs w:val="16"/>
        </w:rPr>
        <w:t>16 февраля 1945 надводные корабли ВМС США проводят двухдневную бомбардировку Иводзимы перед вторжением. Работая с авианосца сопровождения USS Wake Island (CVE-65), составная эскадрилья ВМС США (VOC-1) дебютирует на Тихоокеанском театре военных действий. В таких эскадрилтях пилоты, обучены артиллерийскому наблюдению и корректируют огонь надводных кораблей с истребителей и действия бомбардировщиков, дополняя или заменяющие более уязвимые корабельные гидросамолеты, ранее предназначенные для этой цели (20371).</w:t>
      </w:r>
    </w:p>
    <w:p w14:paraId="2F236289" w14:textId="77777777" w:rsidR="00EA347D" w:rsidRPr="00925F26" w:rsidRDefault="00EA347D" w:rsidP="00925F26">
      <w:pPr>
        <w:jc w:val="both"/>
        <w:rPr>
          <w:color w:val="000000" w:themeColor="text1"/>
          <w:sz w:val="16"/>
          <w:szCs w:val="16"/>
        </w:rPr>
      </w:pPr>
    </w:p>
    <w:p w14:paraId="7B87F7DC" w14:textId="77777777" w:rsidR="00EA347D" w:rsidRPr="00925F26" w:rsidRDefault="00EA347D" w:rsidP="00925F26">
      <w:pPr>
        <w:jc w:val="both"/>
        <w:rPr>
          <w:color w:val="000000" w:themeColor="text1"/>
          <w:sz w:val="16"/>
          <w:szCs w:val="16"/>
        </w:rPr>
      </w:pPr>
      <w:r w:rsidRPr="00925F26">
        <w:rPr>
          <w:color w:val="000000" w:themeColor="text1"/>
          <w:sz w:val="16"/>
          <w:szCs w:val="16"/>
        </w:rPr>
        <w:t xml:space="preserve">16-17 февраля 1945 авианосцы Одиннадцать флота и пять легких авианосцев ВМС США Task Force 58 проводят первый авиаудар против Японии с апреля 1942, когда Дулитл Raid атаковать цели в и вокруг Токио и Токийский залив. Самолеты ВМС США совершили 2761 </w:t>
      </w:r>
      <w:proofErr w:type="gramStart"/>
      <w:r w:rsidRPr="00925F26">
        <w:rPr>
          <w:color w:val="000000" w:themeColor="text1"/>
          <w:sz w:val="16"/>
          <w:szCs w:val="16"/>
        </w:rPr>
        <w:t>самолето-вылетов</w:t>
      </w:r>
      <w:proofErr w:type="gramEnd"/>
      <w:r w:rsidRPr="00925F26">
        <w:rPr>
          <w:color w:val="000000" w:themeColor="text1"/>
          <w:sz w:val="16"/>
          <w:szCs w:val="16"/>
        </w:rPr>
        <w:t>, заявив, что 341 японский самолет был сбит и 190 уничтожен на земле, несколько кораблей и летательных аппаратов потоплены в Токийском заливе, а также повреждены японские планеры и заводы авиадвигателей в обмен на 60 американских самолетов, потерянных в бою, и еще 28. потеряны по небоевым причинам (20371).</w:t>
      </w:r>
    </w:p>
    <w:p w14:paraId="2A3CA7D0" w14:textId="77777777" w:rsidR="00EA347D" w:rsidRPr="00925F26" w:rsidRDefault="00EA347D" w:rsidP="00925F26">
      <w:pPr>
        <w:jc w:val="both"/>
        <w:rPr>
          <w:color w:val="000000" w:themeColor="text1"/>
          <w:sz w:val="16"/>
          <w:szCs w:val="16"/>
        </w:rPr>
      </w:pPr>
    </w:p>
    <w:p w14:paraId="4F83845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февраля 1945 Венесуэла объявила войну Германии и Японии (4962).</w:t>
      </w:r>
    </w:p>
    <w:p w14:paraId="0378B9D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97E952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82D7C93" w14:textId="77777777" w:rsidR="00665165" w:rsidRPr="00925F26" w:rsidRDefault="00665165" w:rsidP="00925F26">
      <w:pPr>
        <w:autoSpaceDE w:val="0"/>
        <w:autoSpaceDN w:val="0"/>
        <w:adjustRightInd w:val="0"/>
        <w:jc w:val="both"/>
        <w:rPr>
          <w:iCs/>
          <w:color w:val="000000" w:themeColor="text1"/>
          <w:sz w:val="16"/>
          <w:szCs w:val="16"/>
        </w:rPr>
      </w:pPr>
    </w:p>
    <w:p w14:paraId="2410C0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вышел приказ НКАП N 74с:</w:t>
      </w:r>
    </w:p>
    <w:p w14:paraId="31BEC2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ГК С.В.И. спроектировать для самолета Ил-10 АМ-42 установку для подвески четырех РС М-13.</w:t>
      </w:r>
    </w:p>
    <w:p w14:paraId="7E25E5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Чертежи передать заводам 1 и 18 не позднее 20 февраля 1945.</w:t>
      </w:r>
    </w:p>
    <w:p w14:paraId="0EE23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Директору завода 1 Литвинову и директору завода 18 Белянскому:</w:t>
      </w:r>
    </w:p>
    <w:p w14:paraId="172637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до 1 марта выпустить по два самолета Ил-10 с РУ под РС-82 и под М-13 и произвести проверку смонтированной установки с необходимыми испытаниями</w:t>
      </w:r>
    </w:p>
    <w:p w14:paraId="3023A0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 20 марта 1945 выпускать все самолеты Ил-10 оборудованными установками, обеспечивающими подвеску 4 РС-82 или 4 М-13." (1887,108).</w:t>
      </w:r>
    </w:p>
    <w:p w14:paraId="61D98B55" w14:textId="77777777" w:rsidR="00665165" w:rsidRPr="00925F26" w:rsidRDefault="00665165" w:rsidP="00925F26">
      <w:pPr>
        <w:autoSpaceDE w:val="0"/>
        <w:autoSpaceDN w:val="0"/>
        <w:adjustRightInd w:val="0"/>
        <w:jc w:val="both"/>
        <w:rPr>
          <w:color w:val="000000" w:themeColor="text1"/>
          <w:sz w:val="16"/>
          <w:szCs w:val="16"/>
        </w:rPr>
      </w:pPr>
    </w:p>
    <w:p w14:paraId="71C32992"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 xml:space="preserve">17 февраля 1945 состоялся приказ по НКАП № 74с «О производстве самолетов Ил-10 с реактивными установками РС-82 и под М-13 на заводах № 1 и № 18». Согласно приказу С. В. Ильюшин должен был спроектировать для самолета Ил-10 с АМ-42 установку для подвески четырех РС-82 или М-13 и не позднее 20 февраля передать </w:t>
      </w:r>
      <w:r w:rsidRPr="00925F26">
        <w:rPr>
          <w:rStyle w:val="107"/>
          <w:rFonts w:eastAsiaTheme="minorHAnsi"/>
          <w:color w:val="000000" w:themeColor="text1"/>
          <w:sz w:val="16"/>
          <w:szCs w:val="16"/>
        </w:rPr>
        <w:lastRenderedPageBreak/>
        <w:t>чертежи на заводы № 1 и № 18. В свою очередь, директора заводов № 1 и № 18 обязывались «до 1 марта выпустить по 2 самолета Ил-10 с РО под РС-82 и под М-13 и провести проверку с необходимыми испытаниями». Уже с 20 марта требовалось «выпускать все самолеты Ил-10 оборудованными установками, обеспечивающими подвеску 4 РС-82 или 4 М-13».</w:t>
      </w:r>
    </w:p>
    <w:p w14:paraId="671EC33E"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 xml:space="preserve">Во исполнение приказа НКАП № 74с от 17 февраля 1945 г. заводом № 18 с целью отработки чертежей на </w:t>
      </w:r>
      <w:proofErr w:type="gramStart"/>
      <w:r w:rsidRPr="00925F26">
        <w:rPr>
          <w:rStyle w:val="107"/>
          <w:rFonts w:eastAsiaTheme="minorHAnsi"/>
          <w:color w:val="000000" w:themeColor="text1"/>
          <w:sz w:val="16"/>
          <w:szCs w:val="16"/>
        </w:rPr>
        <w:t>трех серийных</w:t>
      </w:r>
      <w:proofErr w:type="gramEnd"/>
      <w:r w:rsidRPr="00925F26">
        <w:rPr>
          <w:rStyle w:val="107"/>
          <w:rFonts w:eastAsiaTheme="minorHAnsi"/>
          <w:color w:val="000000" w:themeColor="text1"/>
          <w:sz w:val="16"/>
          <w:szCs w:val="16"/>
        </w:rPr>
        <w:t xml:space="preserve"> самолетах Ил-10 были смонтированы четыре ракетных орудия РО-82 и проведены заводские испытания.</w:t>
      </w:r>
    </w:p>
    <w:p w14:paraId="22350F72"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Поскольку установка ракетных орудий приводила к снижению скорости полета, то со всей очевидностью возникли трения с военной приемкой на заводе. Военные отказывались принимать самолеты, не удовлетворяющие ТУ на 1945 год.</w:t>
      </w:r>
    </w:p>
    <w:p w14:paraId="689E4DCC"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К началу апреля ВВС и НКАП все же договорились. Решили, что на серийные самолеты Ил-10 заводами будут устанавливаться только узлы под РО-82 и УРО-132 и в таком виде сдаваться военной приемке, а сами орудия будут монтироваться уже в частях. Завод № 18 приступил к установке ракетных орудий, начиная с 11-й машины 6-й серии (17490).</w:t>
      </w:r>
    </w:p>
    <w:p w14:paraId="1C1B6C98" w14:textId="77777777" w:rsidR="00911035" w:rsidRPr="00925F26" w:rsidRDefault="00911035" w:rsidP="00925F26">
      <w:pPr>
        <w:jc w:val="both"/>
        <w:rPr>
          <w:color w:val="000000" w:themeColor="text1"/>
          <w:sz w:val="16"/>
          <w:szCs w:val="16"/>
        </w:rPr>
      </w:pPr>
    </w:p>
    <w:p w14:paraId="1DE4629E" w14:textId="77777777" w:rsidR="00A9131A" w:rsidRPr="00925F26" w:rsidRDefault="00A9131A" w:rsidP="00925F26">
      <w:pPr>
        <w:jc w:val="both"/>
        <w:rPr>
          <w:color w:val="000000" w:themeColor="text1"/>
          <w:sz w:val="16"/>
          <w:szCs w:val="16"/>
        </w:rPr>
      </w:pPr>
      <w:r w:rsidRPr="00925F26">
        <w:rPr>
          <w:color w:val="000000" w:themeColor="text1"/>
          <w:sz w:val="16"/>
          <w:szCs w:val="16"/>
        </w:rPr>
        <w:t>17 февраля 1945 г.</w:t>
      </w:r>
    </w:p>
    <w:p w14:paraId="5DA7F687" w14:textId="77777777" w:rsidR="00A9131A" w:rsidRPr="00925F26" w:rsidRDefault="00A9131A" w:rsidP="00925F26">
      <w:pPr>
        <w:jc w:val="both"/>
        <w:rPr>
          <w:color w:val="000000" w:themeColor="text1"/>
          <w:sz w:val="16"/>
          <w:szCs w:val="16"/>
        </w:rPr>
      </w:pPr>
      <w:r w:rsidRPr="00925F26">
        <w:rPr>
          <w:color w:val="000000" w:themeColor="text1"/>
          <w:sz w:val="16"/>
          <w:szCs w:val="16"/>
        </w:rPr>
        <w:t>Приказ Наркома авиационной промышленности СССР о разработке проекта установки для подвески реактивных снарядов на самолете Ил-10</w:t>
      </w:r>
    </w:p>
    <w:p w14:paraId="0FA97C8D" w14:textId="77777777" w:rsidR="00A9131A" w:rsidRPr="00925F26" w:rsidRDefault="00A9131A" w:rsidP="00925F26">
      <w:pPr>
        <w:jc w:val="both"/>
        <w:rPr>
          <w:color w:val="000000" w:themeColor="text1"/>
          <w:sz w:val="16"/>
          <w:szCs w:val="16"/>
        </w:rPr>
      </w:pPr>
      <w:r w:rsidRPr="00925F26">
        <w:rPr>
          <w:color w:val="000000" w:themeColor="text1"/>
          <w:sz w:val="16"/>
          <w:szCs w:val="16"/>
        </w:rPr>
        <w:t>17 февраля 1945 г.</w:t>
      </w:r>
    </w:p>
    <w:p w14:paraId="741BE916" w14:textId="77777777" w:rsidR="00A9131A" w:rsidRPr="00925F26" w:rsidRDefault="00A9131A" w:rsidP="00925F26">
      <w:pPr>
        <w:jc w:val="both"/>
        <w:rPr>
          <w:color w:val="000000" w:themeColor="text1"/>
          <w:sz w:val="16"/>
          <w:szCs w:val="16"/>
        </w:rPr>
      </w:pPr>
      <w:r w:rsidRPr="00925F26">
        <w:rPr>
          <w:color w:val="000000" w:themeColor="text1"/>
          <w:sz w:val="16"/>
          <w:szCs w:val="16"/>
        </w:rPr>
        <w:t>1. Главному конструктору тов. Ильюшину С.В. спроектировать для самолета Ил-10 (с мотором АМ-42) установку для подвески четырех реактивных снарядов калибра РС-82 или для подвески четырех реактивных снарядов М-13.</w:t>
      </w:r>
    </w:p>
    <w:p w14:paraId="6DC9F636" w14:textId="77777777" w:rsidR="00A9131A" w:rsidRPr="00925F26" w:rsidRDefault="00A9131A" w:rsidP="00925F26">
      <w:pPr>
        <w:jc w:val="both"/>
        <w:rPr>
          <w:color w:val="000000" w:themeColor="text1"/>
          <w:sz w:val="16"/>
          <w:szCs w:val="16"/>
        </w:rPr>
      </w:pPr>
      <w:r w:rsidRPr="00925F26">
        <w:rPr>
          <w:color w:val="000000" w:themeColor="text1"/>
          <w:sz w:val="16"/>
          <w:szCs w:val="16"/>
        </w:rPr>
        <w:t>Чертежи передать заводам № 1 и № 18 не позднее 20 февраля 1945 года.</w:t>
      </w:r>
    </w:p>
    <w:p w14:paraId="77F77451" w14:textId="77777777" w:rsidR="00A9131A" w:rsidRPr="00925F26" w:rsidRDefault="00A9131A" w:rsidP="00925F26">
      <w:pPr>
        <w:jc w:val="both"/>
        <w:rPr>
          <w:color w:val="000000" w:themeColor="text1"/>
          <w:sz w:val="16"/>
          <w:szCs w:val="16"/>
        </w:rPr>
      </w:pPr>
      <w:r w:rsidRPr="00925F26">
        <w:rPr>
          <w:color w:val="000000" w:themeColor="text1"/>
          <w:sz w:val="16"/>
          <w:szCs w:val="16"/>
        </w:rPr>
        <w:t>2. Директору завода № 1 тов. Литвинову и директору завода № 18 тов. Белянскому:</w:t>
      </w:r>
    </w:p>
    <w:p w14:paraId="6B364D9F" w14:textId="77777777" w:rsidR="00A9131A" w:rsidRPr="00925F26" w:rsidRDefault="00A9131A" w:rsidP="00925F26">
      <w:pPr>
        <w:jc w:val="both"/>
        <w:rPr>
          <w:color w:val="000000" w:themeColor="text1"/>
          <w:sz w:val="16"/>
          <w:szCs w:val="16"/>
        </w:rPr>
      </w:pPr>
      <w:r w:rsidRPr="00925F26">
        <w:rPr>
          <w:color w:val="000000" w:themeColor="text1"/>
          <w:sz w:val="16"/>
          <w:szCs w:val="16"/>
        </w:rPr>
        <w:t>а) до 1 марта выпустить по два самолета Ил-10 с реактивной установкой под РС-82 и под М-13 и произвести проверку смонтированной установки с необходимыми испытаниями;</w:t>
      </w:r>
    </w:p>
    <w:p w14:paraId="1D4CB2E4" w14:textId="77777777" w:rsidR="00A9131A" w:rsidRPr="00925F26" w:rsidRDefault="00A9131A" w:rsidP="00925F26">
      <w:pPr>
        <w:jc w:val="both"/>
        <w:rPr>
          <w:color w:val="000000" w:themeColor="text1"/>
          <w:sz w:val="16"/>
          <w:szCs w:val="16"/>
        </w:rPr>
      </w:pPr>
      <w:r w:rsidRPr="00925F26">
        <w:rPr>
          <w:color w:val="000000" w:themeColor="text1"/>
          <w:sz w:val="16"/>
          <w:szCs w:val="16"/>
        </w:rPr>
        <w:t>б) с 20 марта 1945 года выпускать все самолеты Ил-10, оборудованными установками, обеспечивающими подвеску четырех РС-82 или четырех М-13.</w:t>
      </w:r>
    </w:p>
    <w:p w14:paraId="22779E7C" w14:textId="77777777" w:rsidR="00A9131A" w:rsidRPr="00925F26" w:rsidRDefault="00A9131A" w:rsidP="00925F26">
      <w:pPr>
        <w:jc w:val="both"/>
        <w:rPr>
          <w:color w:val="000000" w:themeColor="text1"/>
          <w:sz w:val="16"/>
          <w:szCs w:val="16"/>
        </w:rPr>
      </w:pPr>
      <w:r w:rsidRPr="00925F26">
        <w:rPr>
          <w:color w:val="000000" w:themeColor="text1"/>
          <w:sz w:val="16"/>
          <w:szCs w:val="16"/>
        </w:rPr>
        <w:t>Народный Комиссар авиационной промышленности</w:t>
      </w:r>
      <w:r w:rsidRPr="00925F26">
        <w:rPr>
          <w:color w:val="000000" w:themeColor="text1"/>
          <w:sz w:val="16"/>
          <w:szCs w:val="16"/>
        </w:rPr>
        <w:tab/>
        <w:t>А. Шахурин</w:t>
      </w:r>
    </w:p>
    <w:p w14:paraId="6207C3BA" w14:textId="77777777" w:rsidR="00A9131A" w:rsidRPr="00925F26" w:rsidRDefault="00A9131A"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P-3454. On. 2. </w:t>
      </w:r>
      <w:r w:rsidRPr="00925F26">
        <w:rPr>
          <w:color w:val="000000" w:themeColor="text1"/>
          <w:sz w:val="16"/>
          <w:szCs w:val="16"/>
        </w:rPr>
        <w:t>Д</w:t>
      </w:r>
      <w:r w:rsidRPr="00925F26">
        <w:rPr>
          <w:color w:val="000000" w:themeColor="text1"/>
          <w:sz w:val="16"/>
          <w:szCs w:val="16"/>
          <w:lang w:val="en-US"/>
        </w:rPr>
        <w:t xml:space="preserve">. 39. </w:t>
      </w:r>
      <w:r w:rsidRPr="00925F26">
        <w:rPr>
          <w:color w:val="000000" w:themeColor="text1"/>
          <w:sz w:val="16"/>
          <w:szCs w:val="16"/>
        </w:rPr>
        <w:t>Л</w:t>
      </w:r>
      <w:r w:rsidRPr="00925F26">
        <w:rPr>
          <w:color w:val="000000" w:themeColor="text1"/>
          <w:sz w:val="16"/>
          <w:szCs w:val="16"/>
          <w:lang w:val="en-US"/>
        </w:rPr>
        <w:t xml:space="preserve">. 38. </w:t>
      </w:r>
      <w:r w:rsidRPr="00925F26">
        <w:rPr>
          <w:color w:val="000000" w:themeColor="text1"/>
          <w:sz w:val="16"/>
          <w:szCs w:val="16"/>
        </w:rPr>
        <w:t>Завер. Копия (20909).</w:t>
      </w:r>
    </w:p>
    <w:p w14:paraId="5EEC97C0" w14:textId="77777777" w:rsidR="00A9131A" w:rsidRPr="00925F26" w:rsidRDefault="00A9131A" w:rsidP="00925F26">
      <w:pPr>
        <w:jc w:val="both"/>
        <w:rPr>
          <w:color w:val="000000" w:themeColor="text1"/>
          <w:sz w:val="16"/>
          <w:szCs w:val="16"/>
        </w:rPr>
      </w:pPr>
    </w:p>
    <w:p w14:paraId="6321C2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года и.о. начальника при наркоме Калмыков писал письмо N 943 Шахурину.</w:t>
      </w:r>
    </w:p>
    <w:p w14:paraId="213967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Докладная записка</w:t>
      </w:r>
    </w:p>
    <w:p w14:paraId="32450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вопросу выполнения приказа N 358сс от 27/V-44 г.</w:t>
      </w:r>
    </w:p>
    <w:p w14:paraId="1C454D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 отработке скоростных бомбардировщиков.</w:t>
      </w:r>
    </w:p>
    <w:p w14:paraId="29C386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самолетам гл. конструктора Туполева.</w:t>
      </w:r>
    </w:p>
    <w:p w14:paraId="4D08E3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Туполев обязывался построить на базе самолета Ту-2 скоростной бомбардировщик с моторами АМ-39 в двух экземплярах и предъявить на совместные испытания: первый экземпляр к 1/VI-44 г., второй к 15/X-44 г.</w:t>
      </w:r>
    </w:p>
    <w:p w14:paraId="691558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Состояние работ:</w:t>
      </w:r>
    </w:p>
    <w:p w14:paraId="72F0D8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Первый экземпляр дневного скоростного бомбардировщика с моторами Ам-39 с редукцией 0,59, закончивший совместные испытания в НИИ ВВС 15/VIII-44 г., был предназначен под установку моторов АМ-39 с высотными корректорами.</w:t>
      </w:r>
    </w:p>
    <w:p w14:paraId="1CB35F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Вследствие неподачи гл. конструктором Микулиным этих моторов до настоящего времени, на самолете производится установка моторов АМ-39 с редукцией 0.732 для определения изменений летных данных при этой редукции.</w:t>
      </w:r>
    </w:p>
    <w:p w14:paraId="286FD2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Второй экземпляр самолета с моторами АМ-39 передан на летные испытания в НИИ ВВС в декабре 1941 г. В полете 15.XII-44 г. мотор вышел из строя из-за поломки лопаток нагнетателя.</w:t>
      </w:r>
    </w:p>
    <w:p w14:paraId="64DD29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Указанием от 5/I-45 г. гл. конструктором Микулиным полеты были запрещены от устранения дефектов в нагнетателе. Нагнетатели на моторах сменены. С 23.I-с.г. произведено 5 полетов на определение температурных режимов и работы моторов на высоте до 8000 метров. испытания продолжаются.</w:t>
      </w:r>
    </w:p>
    <w:p w14:paraId="139AB5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Комплект установки обогрева и вентиляции в кабине самолета Ту-2 с американской печкой "Стюарт" заводом N 23 установлен на серийный самолет.</w:t>
      </w:r>
    </w:p>
    <w:p w14:paraId="3124A5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Произведены наземные испытания, результаты удовлетворительные. Самолет подготовлен к летным испытаниям.</w:t>
      </w:r>
    </w:p>
    <w:p w14:paraId="65DFEE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самолетам гл. конструктора Мясищева.</w:t>
      </w:r>
    </w:p>
    <w:p w14:paraId="5ADC0C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самолету Пе-2 с мотором 2 ВК-107А:</w:t>
      </w:r>
    </w:p>
    <w:p w14:paraId="46D0A2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Первый экземпляр самолета Пе-2 с ВК-107А, прошедший гос. испытания в июле 1944 г., был передан в ЛИИ НКАП для проведения работы по улучшению его взлетных свойств. Работы закончены, отчет об испытаниях представлен.</w:t>
      </w:r>
    </w:p>
    <w:p w14:paraId="4CEED3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самолет находится на заводе N 482 и на нем ведутся работы по подготовке самолета к проведению продувки в аэродинамической трубе ЦАГИ.</w:t>
      </w:r>
    </w:p>
    <w:p w14:paraId="0128BE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втором экземпляре самолета Пе-2 с ВК-107А, прошедшего гос. испытания в октябре 1944 г. в настоящее время проведена работа по устранению дефектов, выявленных в процессе 2-го этапа гос. испытаний, а также дополнительные работы: по установке системы отопления в кабине пилота, по установке нового бомбардировочного вооружения, уменьшение усилий на штурвале от элеронов и ряд других мероприятий, улучшающих летные качества самолета.</w:t>
      </w:r>
    </w:p>
    <w:p w14:paraId="13180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подготовлен для проведения контрольных полетов в НИИ ВВС.</w:t>
      </w:r>
    </w:p>
    <w:p w14:paraId="1C622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 самолету Пе-2 с мотором 2ВК-108:</w:t>
      </w:r>
    </w:p>
    <w:p w14:paraId="7B775A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Первый экземпляр самолета с моторами ВК-108 производством закончен 31.XII-44 г., на самолете производятся наземные испытания.</w:t>
      </w:r>
    </w:p>
    <w:p w14:paraId="2CE842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Второй экземпляр самолета в производстве, выпуск задерживается из-за неподачи агрегатов серийными цехами з-да N 22. По второму экземпляру проведено увеличение бомбового отсека с учетом возможности внутренней подвески бомб калибром 2000 кг увеличения дальности до 2500 км и установки дополнительного стрелкового вооружения.</w:t>
      </w:r>
    </w:p>
    <w:p w14:paraId="655974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N 22 получено только два летных мотора ВК-108, вместо 6 моторов, которые завод N 26 должен был представить к 15.IX-44 г.</w:t>
      </w:r>
    </w:p>
    <w:p w14:paraId="33C7A0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 самолету Пе-2 с мотором 2 ВК-109:</w:t>
      </w:r>
    </w:p>
    <w:p w14:paraId="0C718B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должен быть построен в 2-х экземплярах и сдан на летные испытания в апреле 1945 г.</w:t>
      </w:r>
    </w:p>
    <w:p w14:paraId="7B110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Изготовление макета самолета с моторами ВК-109 на заводе N 482 закончено. Макет принят комиссией 13.II-45 г.</w:t>
      </w:r>
    </w:p>
    <w:p w14:paraId="5666D0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 рабочих чертежей закончен в декабре 1944 г., за исключением чертежей и схем по винтомоторной группе, выпуск которых задержался из-за неподачи заводом N 26 чертежей габаритных размеров мотора ВК-109, по заявлению гл. конструктора Мясищева чертежи по ВМГ будут закончены во II половине февраля.</w:t>
      </w:r>
    </w:p>
    <w:p w14:paraId="414D0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Макетные моторы и моторы ВК-109 с </w:t>
      </w:r>
      <w:proofErr w:type="gramStart"/>
      <w:r w:rsidRPr="00925F26">
        <w:rPr>
          <w:color w:val="000000" w:themeColor="text1"/>
          <w:sz w:val="16"/>
          <w:szCs w:val="16"/>
        </w:rPr>
        <w:t>30 часовым</w:t>
      </w:r>
      <w:proofErr w:type="gramEnd"/>
      <w:r w:rsidRPr="00925F26">
        <w:rPr>
          <w:color w:val="000000" w:themeColor="text1"/>
          <w:sz w:val="16"/>
          <w:szCs w:val="16"/>
        </w:rPr>
        <w:t xml:space="preserve"> ресурсом завод N 26 до настоящего времени заводу N 482 не поставил, срок поставки приказом был установлен 1/I-45 г.</w:t>
      </w:r>
    </w:p>
    <w:p w14:paraId="42A209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серийных цехах завода N 22 изготовление агрегатов самолета Пе-2 используемых для этого задания, идет медленно, сроки сдачи их по заводскому графику не выполняются.</w:t>
      </w:r>
    </w:p>
    <w:p w14:paraId="5D512B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Выводы:</w:t>
      </w:r>
    </w:p>
    <w:p w14:paraId="0DF582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Невыполнение приказа гл. конструктором Микулиным о подаче заводу N 156 моторов Ам-39, оборудованных высотными автокорректорами затягивает сроки сдачи на летные испытания первого экземпляра самолета Ту-2 с моторами Ам-39 с автокорректорами.</w:t>
      </w:r>
    </w:p>
    <w:p w14:paraId="1EA7EE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 Невыполнение приказа гл. конструктором Климовым о поставке 2-х макетных и 6-ти с </w:t>
      </w:r>
      <w:proofErr w:type="gramStart"/>
      <w:r w:rsidRPr="00925F26">
        <w:rPr>
          <w:color w:val="000000" w:themeColor="text1"/>
          <w:sz w:val="16"/>
          <w:szCs w:val="16"/>
        </w:rPr>
        <w:t>30 часовым</w:t>
      </w:r>
      <w:proofErr w:type="gramEnd"/>
      <w:r w:rsidRPr="00925F26">
        <w:rPr>
          <w:color w:val="000000" w:themeColor="text1"/>
          <w:sz w:val="16"/>
          <w:szCs w:val="16"/>
        </w:rPr>
        <w:t xml:space="preserve"> ресурсом работы моторов ВК-109, а также неудовлетворительная подача агрегатов серийными цехами завода N 22 ставит под угрозу срыва сроков сдачи на летные испытания самолетов с моторами ВК-109 (2592,88).</w:t>
      </w:r>
    </w:p>
    <w:p w14:paraId="2B63708A" w14:textId="77777777" w:rsidR="00665165" w:rsidRPr="00925F26" w:rsidRDefault="00665165" w:rsidP="00925F26">
      <w:pPr>
        <w:autoSpaceDE w:val="0"/>
        <w:autoSpaceDN w:val="0"/>
        <w:adjustRightInd w:val="0"/>
        <w:jc w:val="both"/>
        <w:rPr>
          <w:color w:val="000000" w:themeColor="text1"/>
          <w:sz w:val="16"/>
          <w:szCs w:val="16"/>
        </w:rPr>
      </w:pPr>
    </w:p>
    <w:p w14:paraId="20E12A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17 февраля по 1 марта 1945 проходили контрольные испытания Пе-2 N 6/424 с ВИШ-105СВ 22 завода выпуска января 1945 с моторами 16 завода. Вед. л В.М.Шульгин. 22 полета продолжительностью 17 час. 5 мин. (806,8).</w:t>
      </w:r>
    </w:p>
    <w:p w14:paraId="7927B4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Лапин утвердил Акт по контрольным испытаниям Пе-2 винт ВИШ-105СВ с регулятором Р-7А</w:t>
      </w:r>
    </w:p>
    <w:p w14:paraId="0340E0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Пе-2 N 6/424 с ВИШ-105СВ 22 завода выпуска января 1945 с моторами пр-ва завода № 16</w:t>
      </w:r>
    </w:p>
    <w:p w14:paraId="6AE07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полета продолжительностью 17 час. 5 мин. (806,8).</w:t>
      </w:r>
    </w:p>
    <w:p w14:paraId="4043A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Ви и/к-н М.В.Самочетов</w:t>
      </w:r>
    </w:p>
    <w:p w14:paraId="7D951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В.М.Шульгин.</w:t>
      </w:r>
    </w:p>
    <w:p w14:paraId="5BD35C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предыдущих испытаний.</w:t>
      </w:r>
    </w:p>
    <w:p w14:paraId="568243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октябре 1944 в НИИ ВВС испытывался серийный Пе-2 № 14/350 пр-ва з-да 22, выпуска июля 1944 с мотором з-да № 16.</w:t>
      </w:r>
    </w:p>
    <w:p w14:paraId="5E64FD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635E6D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3892D2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739D6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795219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с-та № 14/350, испытанного в октябре 1944 в ГК НИИ ВВС, с-т № 6/424 отличается:</w:t>
      </w:r>
    </w:p>
    <w:p w14:paraId="5DAFD4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с-ту</w:t>
      </w:r>
    </w:p>
    <w:p w14:paraId="3D6C4D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улучшена аэродинамика с-та</w:t>
      </w:r>
    </w:p>
    <w:p w14:paraId="7EEA7C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улучшена заделка обшивки на стыках агрегатов, ленты перекрытия сняты, а обшивка соединена встык</w:t>
      </w:r>
    </w:p>
    <w:p w14:paraId="04C51B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установлена металлическая перегородка герметизации в Ф-3</w:t>
      </w:r>
    </w:p>
    <w:p w14:paraId="18C2A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Подшпаклеваны носки крыла, ЦП, Ф-1, стабилизатора и килей</w:t>
      </w:r>
    </w:p>
    <w:p w14:paraId="7ED12B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398019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установлены форточки на амбразуры для бортового пулемета и т.п.</w:t>
      </w:r>
    </w:p>
    <w:p w14:paraId="026A06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389A0E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092ACC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агрегат газового запуска мотора</w:t>
      </w:r>
    </w:p>
    <w:p w14:paraId="49FAA5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w:t>
      </w:r>
    </w:p>
    <w:p w14:paraId="2FA235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однолучевая антенна для РСБ-3бис и РПК-10 по образцу, испытанному в 1944</w:t>
      </w:r>
    </w:p>
    <w:p w14:paraId="7CF14A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кислородный прибор КП-12 вместо КПА-3бис</w:t>
      </w:r>
    </w:p>
    <w:p w14:paraId="4FCC42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6A2A55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6047, цт 23.1%</w:t>
      </w:r>
    </w:p>
    <w:p w14:paraId="752AC2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 8405 26,5%</w:t>
      </w:r>
    </w:p>
    <w:p w14:paraId="047AA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 8805 26,2%</w:t>
      </w:r>
    </w:p>
    <w:p w14:paraId="71433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Нагрузки нормального полетного веса:</w:t>
      </w:r>
    </w:p>
    <w:p w14:paraId="39BAA2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- 270</w:t>
      </w:r>
    </w:p>
    <w:p w14:paraId="4802F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- 1100</w:t>
      </w:r>
    </w:p>
    <w:p w14:paraId="350A8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- 120</w:t>
      </w:r>
    </w:p>
    <w:p w14:paraId="70B105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пулеметы - 84</w:t>
      </w:r>
    </w:p>
    <w:p w14:paraId="523FEB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б/запас - 112</w:t>
      </w:r>
    </w:p>
    <w:p w14:paraId="793825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с замками (внешняя подвеска) - 607</w:t>
      </w:r>
    </w:p>
    <w:p w14:paraId="7A0EAB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- 65</w:t>
      </w:r>
    </w:p>
    <w:p w14:paraId="1FC79E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2358</w:t>
      </w:r>
    </w:p>
    <w:p w14:paraId="48091D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Дополнительная нагрузка - 4хФАБ-100 = 400</w:t>
      </w:r>
    </w:p>
    <w:p w14:paraId="20B1C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w:t>
      </w:r>
    </w:p>
    <w:p w14:paraId="5E4C0B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- 468 км/час</w:t>
      </w:r>
    </w:p>
    <w:p w14:paraId="267528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гр. высотности - 513 км/час</w:t>
      </w:r>
    </w:p>
    <w:p w14:paraId="77914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 гр. высотности - 527 км/час</w:t>
      </w:r>
    </w:p>
    <w:p w14:paraId="1AAED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- 9,7, 8200 м - 34</w:t>
      </w:r>
    </w:p>
    <w:p w14:paraId="412EEB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1000 м на наивыгоднейшей скорости 310 км/час, 1750 оборотах - 1220 км</w:t>
      </w:r>
    </w:p>
    <w:p w14:paraId="401A8F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 - 490, пробег - 565</w:t>
      </w:r>
    </w:p>
    <w:p w14:paraId="55FDB0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925F26" w14:paraId="71D8A780" w14:textId="77777777">
        <w:tc>
          <w:tcPr>
            <w:tcW w:w="2802" w:type="dxa"/>
            <w:tcBorders>
              <w:top w:val="single" w:sz="12" w:space="0" w:color="auto"/>
            </w:tcBorders>
          </w:tcPr>
          <w:p w14:paraId="007A3E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6CB802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2802" w:type="dxa"/>
            <w:tcBorders>
              <w:top w:val="single" w:sz="12" w:space="0" w:color="auto"/>
            </w:tcBorders>
          </w:tcPr>
          <w:p w14:paraId="6A524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r>
      <w:tr w:rsidR="000F5689" w:rsidRPr="00925F26" w14:paraId="7BBDA2EF" w14:textId="77777777">
        <w:tc>
          <w:tcPr>
            <w:tcW w:w="2802" w:type="dxa"/>
          </w:tcPr>
          <w:p w14:paraId="1F9EDA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2C3DBE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802" w:type="dxa"/>
          </w:tcPr>
          <w:p w14:paraId="57B953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w:t>
            </w:r>
          </w:p>
        </w:tc>
      </w:tr>
      <w:tr w:rsidR="000F5689" w:rsidRPr="00925F26" w14:paraId="013B3755" w14:textId="77777777">
        <w:tc>
          <w:tcPr>
            <w:tcW w:w="2802" w:type="dxa"/>
          </w:tcPr>
          <w:p w14:paraId="3520B5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2050</w:t>
            </w:r>
          </w:p>
        </w:tc>
        <w:tc>
          <w:tcPr>
            <w:tcW w:w="2802" w:type="dxa"/>
          </w:tcPr>
          <w:p w14:paraId="42E34A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w:t>
            </w:r>
          </w:p>
        </w:tc>
        <w:tc>
          <w:tcPr>
            <w:tcW w:w="2802" w:type="dxa"/>
          </w:tcPr>
          <w:p w14:paraId="24C052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1080</w:t>
            </w:r>
          </w:p>
        </w:tc>
      </w:tr>
      <w:tr w:rsidR="000F5689" w:rsidRPr="00925F26" w14:paraId="463F686D" w14:textId="77777777">
        <w:tc>
          <w:tcPr>
            <w:tcW w:w="2802" w:type="dxa"/>
          </w:tcPr>
          <w:p w14:paraId="57C65F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2650</w:t>
            </w:r>
          </w:p>
        </w:tc>
        <w:tc>
          <w:tcPr>
            <w:tcW w:w="2802" w:type="dxa"/>
          </w:tcPr>
          <w:p w14:paraId="704848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504</w:t>
            </w:r>
          </w:p>
        </w:tc>
        <w:tc>
          <w:tcPr>
            <w:tcW w:w="2802" w:type="dxa"/>
          </w:tcPr>
          <w:p w14:paraId="200A4D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970</w:t>
            </w:r>
          </w:p>
        </w:tc>
      </w:tr>
      <w:tr w:rsidR="000F5689" w:rsidRPr="00925F26" w14:paraId="35DA7E27" w14:textId="77777777">
        <w:tc>
          <w:tcPr>
            <w:tcW w:w="2802" w:type="dxa"/>
          </w:tcPr>
          <w:p w14:paraId="0995F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3060</w:t>
            </w:r>
          </w:p>
        </w:tc>
        <w:tc>
          <w:tcPr>
            <w:tcW w:w="2802" w:type="dxa"/>
          </w:tcPr>
          <w:p w14:paraId="591CF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w:t>
            </w:r>
          </w:p>
        </w:tc>
        <w:tc>
          <w:tcPr>
            <w:tcW w:w="2802" w:type="dxa"/>
          </w:tcPr>
          <w:p w14:paraId="473E23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r>
      <w:tr w:rsidR="000F5689" w:rsidRPr="00925F26" w14:paraId="42CD4198" w14:textId="77777777">
        <w:tc>
          <w:tcPr>
            <w:tcW w:w="2802" w:type="dxa"/>
          </w:tcPr>
          <w:p w14:paraId="1A2671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4FD6E1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512,5</w:t>
            </w:r>
          </w:p>
        </w:tc>
        <w:tc>
          <w:tcPr>
            <w:tcW w:w="2802" w:type="dxa"/>
          </w:tcPr>
          <w:p w14:paraId="01A570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w:t>
            </w:r>
          </w:p>
        </w:tc>
      </w:tr>
      <w:tr w:rsidR="000F5689" w:rsidRPr="00925F26" w14:paraId="00C2CEB0" w14:textId="77777777">
        <w:tc>
          <w:tcPr>
            <w:tcW w:w="2802" w:type="dxa"/>
          </w:tcPr>
          <w:p w14:paraId="575A36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2802" w:type="dxa"/>
          </w:tcPr>
          <w:p w14:paraId="3AE94F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w:t>
            </w:r>
          </w:p>
        </w:tc>
        <w:tc>
          <w:tcPr>
            <w:tcW w:w="2802" w:type="dxa"/>
          </w:tcPr>
          <w:p w14:paraId="23A15E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690</w:t>
            </w:r>
          </w:p>
        </w:tc>
      </w:tr>
      <w:tr w:rsidR="000F5689" w:rsidRPr="00925F26" w14:paraId="3FED5040" w14:textId="77777777">
        <w:tc>
          <w:tcPr>
            <w:tcW w:w="2802" w:type="dxa"/>
            <w:tcBorders>
              <w:bottom w:val="single" w:sz="12" w:space="0" w:color="auto"/>
            </w:tcBorders>
          </w:tcPr>
          <w:p w14:paraId="4C7FF8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6474BE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c>
          <w:tcPr>
            <w:tcW w:w="2802" w:type="dxa"/>
            <w:tcBorders>
              <w:bottom w:val="single" w:sz="12" w:space="0" w:color="auto"/>
            </w:tcBorders>
          </w:tcPr>
          <w:p w14:paraId="6DC880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r>
    </w:tbl>
    <w:p w14:paraId="0E2C6C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595903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925F26" w14:paraId="4C1EA9CA" w14:textId="77777777">
        <w:tc>
          <w:tcPr>
            <w:tcW w:w="2802" w:type="dxa"/>
            <w:tcBorders>
              <w:top w:val="single" w:sz="12" w:space="0" w:color="auto"/>
            </w:tcBorders>
          </w:tcPr>
          <w:p w14:paraId="46F934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615E2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Верт. Скорость </w:t>
            </w:r>
          </w:p>
        </w:tc>
        <w:tc>
          <w:tcPr>
            <w:tcW w:w="2802" w:type="dxa"/>
            <w:tcBorders>
              <w:top w:val="single" w:sz="12" w:space="0" w:color="auto"/>
            </w:tcBorders>
          </w:tcPr>
          <w:p w14:paraId="7356CD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c>
          <w:tcPr>
            <w:tcW w:w="2802" w:type="dxa"/>
            <w:tcBorders>
              <w:top w:val="single" w:sz="12" w:space="0" w:color="auto"/>
            </w:tcBorders>
          </w:tcPr>
          <w:p w14:paraId="6423CA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 скорость</w:t>
            </w:r>
          </w:p>
        </w:tc>
      </w:tr>
      <w:tr w:rsidR="000F5689" w:rsidRPr="00925F26" w14:paraId="0BBB7D04" w14:textId="77777777">
        <w:tc>
          <w:tcPr>
            <w:tcW w:w="2802" w:type="dxa"/>
          </w:tcPr>
          <w:p w14:paraId="4F647C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5CF7FE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w:t>
            </w:r>
          </w:p>
        </w:tc>
        <w:tc>
          <w:tcPr>
            <w:tcW w:w="2802" w:type="dxa"/>
          </w:tcPr>
          <w:p w14:paraId="30EA5C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1040</w:t>
            </w:r>
          </w:p>
        </w:tc>
        <w:tc>
          <w:tcPr>
            <w:tcW w:w="2802" w:type="dxa"/>
          </w:tcPr>
          <w:p w14:paraId="29ED32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6651ACB0" w14:textId="77777777">
        <w:tc>
          <w:tcPr>
            <w:tcW w:w="2802" w:type="dxa"/>
          </w:tcPr>
          <w:p w14:paraId="32B7B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2100</w:t>
            </w:r>
          </w:p>
        </w:tc>
        <w:tc>
          <w:tcPr>
            <w:tcW w:w="2802" w:type="dxa"/>
          </w:tcPr>
          <w:p w14:paraId="4DD970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802" w:type="dxa"/>
          </w:tcPr>
          <w:p w14:paraId="29CFFC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960</w:t>
            </w:r>
          </w:p>
        </w:tc>
        <w:tc>
          <w:tcPr>
            <w:tcW w:w="2802" w:type="dxa"/>
          </w:tcPr>
          <w:p w14:paraId="2B152C4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2468E93" w14:textId="77777777">
        <w:tc>
          <w:tcPr>
            <w:tcW w:w="2802" w:type="dxa"/>
          </w:tcPr>
          <w:p w14:paraId="665ABB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3400</w:t>
            </w:r>
          </w:p>
        </w:tc>
        <w:tc>
          <w:tcPr>
            <w:tcW w:w="2802" w:type="dxa"/>
          </w:tcPr>
          <w:p w14:paraId="41D9BB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2802" w:type="dxa"/>
          </w:tcPr>
          <w:p w14:paraId="58E80A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c>
          <w:tcPr>
            <w:tcW w:w="2802" w:type="dxa"/>
          </w:tcPr>
          <w:p w14:paraId="58EF6019"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48D0FA7" w14:textId="77777777">
        <w:tc>
          <w:tcPr>
            <w:tcW w:w="2802" w:type="dxa"/>
          </w:tcPr>
          <w:p w14:paraId="17D882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680144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2802" w:type="dxa"/>
          </w:tcPr>
          <w:p w14:paraId="13B362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w:t>
            </w:r>
          </w:p>
        </w:tc>
        <w:tc>
          <w:tcPr>
            <w:tcW w:w="2802" w:type="dxa"/>
          </w:tcPr>
          <w:p w14:paraId="63DD86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r>
      <w:tr w:rsidR="000F5689" w:rsidRPr="00925F26" w14:paraId="56541BFD" w14:textId="77777777">
        <w:tc>
          <w:tcPr>
            <w:tcW w:w="2802" w:type="dxa"/>
            <w:tcBorders>
              <w:bottom w:val="single" w:sz="12" w:space="0" w:color="auto"/>
            </w:tcBorders>
          </w:tcPr>
          <w:p w14:paraId="729E5B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402166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2802" w:type="dxa"/>
            <w:tcBorders>
              <w:bottom w:val="single" w:sz="12" w:space="0" w:color="auto"/>
            </w:tcBorders>
          </w:tcPr>
          <w:p w14:paraId="5C641CB9"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Borders>
              <w:bottom w:val="single" w:sz="12" w:space="0" w:color="auto"/>
            </w:tcBorders>
          </w:tcPr>
          <w:p w14:paraId="07AEC1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r>
    </w:tbl>
    <w:p w14:paraId="73C28B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095C8E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Посадка с тормозами на 50 гр. посадочная скорость 140 км/час при полетном весе 7200 кг, дистанция - 1160 м</w:t>
      </w:r>
    </w:p>
    <w:p w14:paraId="3EDCEA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3C2EB4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Носовой ШКАС и УБК неподвижные + УБТ на ВУБ-1 и УБТ на ЛУ + бортовые ШКАС</w:t>
      </w:r>
    </w:p>
    <w:p w14:paraId="66C920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4CEA35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двусторонней радиосвязи с наземной р/с РАФ-КВ-3 на 1000 м - телефон 360, телеграф - 400</w:t>
      </w:r>
    </w:p>
    <w:p w14:paraId="5016E4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Оценка производственного выполнения:</w:t>
      </w:r>
    </w:p>
    <w:p w14:paraId="19472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59AF5A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волнистость обшивки, низкое качество покраски, отставание и неравномерное нанесение краски</w:t>
      </w:r>
    </w:p>
    <w:p w14:paraId="37226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створки бомборлюка плотно не закрываются, остаются щели</w:t>
      </w:r>
    </w:p>
    <w:p w14:paraId="3D71D1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боковые форточки фонаря кабины л плохо подогнаны, открываются и закрываются с большим усилием</w:t>
      </w:r>
    </w:p>
    <w:p w14:paraId="52889D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монтаж трубопроводов на моторе выполнен плохо, течи воды, масла, бензина</w:t>
      </w:r>
    </w:p>
    <w:p w14:paraId="5E1E5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4C08F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0EFF51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дышать стало трудновстречается большое сопротивление на вдохе</w:t>
      </w:r>
    </w:p>
    <w:p w14:paraId="73E22D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46ED60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шланг тяжелый и жесткий, что затрудняет движение в кабине</w:t>
      </w:r>
    </w:p>
    <w:p w14:paraId="1B8FD6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782E37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 в существующем виде прибор КП-12 не может быть рекомендован для установки на серийные Пе-2</w:t>
      </w:r>
    </w:p>
    <w:p w14:paraId="20235C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 подписали 6 марта 1945</w:t>
      </w:r>
    </w:p>
    <w:p w14:paraId="07A374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925F26" w14:paraId="38B325AB" w14:textId="77777777">
        <w:tc>
          <w:tcPr>
            <w:tcW w:w="3936" w:type="dxa"/>
            <w:tcBorders>
              <w:top w:val="single" w:sz="12" w:space="0" w:color="auto"/>
            </w:tcBorders>
          </w:tcPr>
          <w:p w14:paraId="24B951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2236" w:type="dxa"/>
            <w:tcBorders>
              <w:top w:val="single" w:sz="12" w:space="0" w:color="auto"/>
            </w:tcBorders>
          </w:tcPr>
          <w:p w14:paraId="7475B7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630458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14/350 2ВК-105ПФ с полетным весом 8400 кг, испытанным в НИИ ВВС в октябре 1944</w:t>
            </w:r>
          </w:p>
        </w:tc>
      </w:tr>
      <w:tr w:rsidR="000F5689" w:rsidRPr="00925F26" w14:paraId="52C86510" w14:textId="77777777">
        <w:tc>
          <w:tcPr>
            <w:tcW w:w="3936" w:type="dxa"/>
          </w:tcPr>
          <w:p w14:paraId="4BB8F2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номинальном режиме а) у земли</w:t>
            </w:r>
          </w:p>
          <w:p w14:paraId="1137443D" w14:textId="77777777" w:rsidR="00665165" w:rsidRPr="00925F26" w:rsidRDefault="00665165" w:rsidP="00925F26">
            <w:pPr>
              <w:autoSpaceDE w:val="0"/>
              <w:autoSpaceDN w:val="0"/>
              <w:adjustRightInd w:val="0"/>
              <w:jc w:val="both"/>
              <w:rPr>
                <w:color w:val="000000" w:themeColor="text1"/>
                <w:sz w:val="16"/>
                <w:szCs w:val="16"/>
              </w:rPr>
            </w:pPr>
          </w:p>
        </w:tc>
        <w:tc>
          <w:tcPr>
            <w:tcW w:w="2236" w:type="dxa"/>
          </w:tcPr>
          <w:p w14:paraId="104199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468</w:t>
            </w:r>
          </w:p>
        </w:tc>
        <w:tc>
          <w:tcPr>
            <w:tcW w:w="2236" w:type="dxa"/>
          </w:tcPr>
          <w:p w14:paraId="3F9F06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457</w:t>
            </w:r>
          </w:p>
        </w:tc>
      </w:tr>
      <w:tr w:rsidR="000F5689" w:rsidRPr="00925F26" w14:paraId="7908F71F" w14:textId="77777777">
        <w:tc>
          <w:tcPr>
            <w:tcW w:w="3936" w:type="dxa"/>
          </w:tcPr>
          <w:p w14:paraId="6CDA0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 1 гр. высотности</w:t>
            </w:r>
          </w:p>
        </w:tc>
        <w:tc>
          <w:tcPr>
            <w:tcW w:w="2236" w:type="dxa"/>
          </w:tcPr>
          <w:p w14:paraId="029E29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513/2500</w:t>
            </w:r>
          </w:p>
        </w:tc>
        <w:tc>
          <w:tcPr>
            <w:tcW w:w="2236" w:type="dxa"/>
          </w:tcPr>
          <w:p w14:paraId="08AD3C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499/1850</w:t>
            </w:r>
          </w:p>
        </w:tc>
      </w:tr>
      <w:tr w:rsidR="000F5689" w:rsidRPr="00925F26" w14:paraId="3B74481A" w14:textId="77777777">
        <w:tc>
          <w:tcPr>
            <w:tcW w:w="3936" w:type="dxa"/>
          </w:tcPr>
          <w:p w14:paraId="67FD4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 2 гр. высотности</w:t>
            </w:r>
          </w:p>
        </w:tc>
        <w:tc>
          <w:tcPr>
            <w:tcW w:w="2236" w:type="dxa"/>
          </w:tcPr>
          <w:p w14:paraId="7AE0B3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527/3900</w:t>
            </w:r>
          </w:p>
        </w:tc>
        <w:tc>
          <w:tcPr>
            <w:tcW w:w="2236" w:type="dxa"/>
          </w:tcPr>
          <w:p w14:paraId="195DB8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513/3700</w:t>
            </w:r>
          </w:p>
        </w:tc>
      </w:tr>
      <w:tr w:rsidR="000F5689" w:rsidRPr="00925F26" w14:paraId="0F56ABE6" w14:textId="77777777">
        <w:tc>
          <w:tcPr>
            <w:tcW w:w="3936" w:type="dxa"/>
          </w:tcPr>
          <w:p w14:paraId="76FED7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5000 м</w:t>
            </w:r>
          </w:p>
        </w:tc>
        <w:tc>
          <w:tcPr>
            <w:tcW w:w="2236" w:type="dxa"/>
          </w:tcPr>
          <w:p w14:paraId="298BE9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c>
          <w:tcPr>
            <w:tcW w:w="2236" w:type="dxa"/>
          </w:tcPr>
          <w:p w14:paraId="77804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w:t>
            </w:r>
          </w:p>
        </w:tc>
      </w:tr>
      <w:tr w:rsidR="000F5689" w:rsidRPr="00925F26" w14:paraId="43D55BFD" w14:textId="77777777">
        <w:tc>
          <w:tcPr>
            <w:tcW w:w="3936" w:type="dxa"/>
          </w:tcPr>
          <w:p w14:paraId="0B0D5B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2236" w:type="dxa"/>
          </w:tcPr>
          <w:p w14:paraId="1A6D49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236" w:type="dxa"/>
          </w:tcPr>
          <w:p w14:paraId="6D99E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7500</w:t>
            </w:r>
          </w:p>
        </w:tc>
      </w:tr>
      <w:tr w:rsidR="000F5689" w:rsidRPr="00925F26" w14:paraId="01DB7A46" w14:textId="77777777">
        <w:tc>
          <w:tcPr>
            <w:tcW w:w="3936" w:type="dxa"/>
          </w:tcPr>
          <w:p w14:paraId="6B36C7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набора 8000 м </w:t>
            </w:r>
          </w:p>
        </w:tc>
        <w:tc>
          <w:tcPr>
            <w:tcW w:w="2236" w:type="dxa"/>
          </w:tcPr>
          <w:p w14:paraId="2F8AF5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2236" w:type="dxa"/>
          </w:tcPr>
          <w:p w14:paraId="00E8E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r>
      <w:tr w:rsidR="000F5689" w:rsidRPr="00925F26" w14:paraId="4BBE0683" w14:textId="77777777">
        <w:tc>
          <w:tcPr>
            <w:tcW w:w="3936" w:type="dxa"/>
          </w:tcPr>
          <w:p w14:paraId="5BEE91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236" w:type="dxa"/>
          </w:tcPr>
          <w:p w14:paraId="6A4302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c>
          <w:tcPr>
            <w:tcW w:w="2236" w:type="dxa"/>
          </w:tcPr>
          <w:p w14:paraId="27D259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1207</w:t>
            </w:r>
          </w:p>
        </w:tc>
      </w:tr>
      <w:tr w:rsidR="000F5689" w:rsidRPr="00925F26" w14:paraId="6F0AF6B6" w14:textId="77777777">
        <w:tc>
          <w:tcPr>
            <w:tcW w:w="3936" w:type="dxa"/>
          </w:tcPr>
          <w:p w14:paraId="540CAD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236" w:type="dxa"/>
          </w:tcPr>
          <w:p w14:paraId="05764B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490</w:t>
            </w:r>
          </w:p>
        </w:tc>
        <w:tc>
          <w:tcPr>
            <w:tcW w:w="2236" w:type="dxa"/>
          </w:tcPr>
          <w:p w14:paraId="262831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256CB3AD" w14:textId="77777777">
        <w:tc>
          <w:tcPr>
            <w:tcW w:w="3936" w:type="dxa"/>
            <w:tcBorders>
              <w:bottom w:val="single" w:sz="12" w:space="0" w:color="auto"/>
            </w:tcBorders>
          </w:tcPr>
          <w:p w14:paraId="12A78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отрыва</w:t>
            </w:r>
          </w:p>
        </w:tc>
        <w:tc>
          <w:tcPr>
            <w:tcW w:w="2236" w:type="dxa"/>
            <w:tcBorders>
              <w:bottom w:val="single" w:sz="12" w:space="0" w:color="auto"/>
            </w:tcBorders>
          </w:tcPr>
          <w:p w14:paraId="3FD70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2236" w:type="dxa"/>
            <w:tcBorders>
              <w:bottom w:val="single" w:sz="12" w:space="0" w:color="auto"/>
            </w:tcBorders>
          </w:tcPr>
          <w:p w14:paraId="36ACFC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r>
    </w:tbl>
    <w:p w14:paraId="5635B9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660A2E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2F9A3C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B0198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Невозможно окрыть входной люк из кабины пилота</w:t>
      </w:r>
    </w:p>
    <w:p w14:paraId="173BB0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Отсутствует противокапотажная рама</w:t>
      </w:r>
    </w:p>
    <w:p w14:paraId="67FEC1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Обшивка с-та имеет вмятины, покраска - плохая</w:t>
      </w:r>
    </w:p>
    <w:p w14:paraId="3358B3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Нач. 1 У м/п/п Паукер 6 марта, Нач. 1 У гмиас Сафонов 7 марта и Зам. Нач. ГУ ИАС Лосюков 10 марта 1945 (806,8).</w:t>
      </w:r>
    </w:p>
    <w:p w14:paraId="6CFC9AFD" w14:textId="77777777" w:rsidR="00665165" w:rsidRPr="00925F26" w:rsidRDefault="00665165" w:rsidP="00925F26">
      <w:pPr>
        <w:autoSpaceDE w:val="0"/>
        <w:autoSpaceDN w:val="0"/>
        <w:adjustRightInd w:val="0"/>
        <w:jc w:val="both"/>
        <w:rPr>
          <w:color w:val="000000" w:themeColor="text1"/>
          <w:sz w:val="16"/>
          <w:szCs w:val="16"/>
        </w:rPr>
      </w:pPr>
    </w:p>
    <w:p w14:paraId="31D2C5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года Шахурин писал письмо N Н-32/774 командующему 18 ВА гл. маршалу авиации Голованову А.Е.</w:t>
      </w:r>
    </w:p>
    <w:p w14:paraId="7DF79C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Вас передать Наркомавиапрому (ЦИАМ) имеющийся в Вашем распоряжении самолет "Либерейтор Б-24Д".</w:t>
      </w:r>
    </w:p>
    <w:p w14:paraId="1F4A1B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предназначается для использования в качестве "Летающей высотной лаборатории" с целью проведения научно-исследовательских работ по изучению поведения моторов и моторных агрегатов в естественных условиях полета на различных высотах.</w:t>
      </w:r>
    </w:p>
    <w:p w14:paraId="79078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передаче самолета прошу также передать и все запасные части и агрегаты к нему (моторы, турбокомпрессоры, колеса и др. части) (1879).</w:t>
      </w:r>
    </w:p>
    <w:p w14:paraId="3053E1C9" w14:textId="77777777" w:rsidR="00665165" w:rsidRPr="00925F26" w:rsidRDefault="00665165" w:rsidP="00925F26">
      <w:pPr>
        <w:autoSpaceDE w:val="0"/>
        <w:autoSpaceDN w:val="0"/>
        <w:adjustRightInd w:val="0"/>
        <w:jc w:val="both"/>
        <w:rPr>
          <w:color w:val="000000" w:themeColor="text1"/>
          <w:sz w:val="16"/>
          <w:szCs w:val="16"/>
        </w:rPr>
      </w:pPr>
    </w:p>
    <w:p w14:paraId="1D09B6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17 февраля по 27 апреля 1945 Л.М.Кувшинов проводил гос. испытания Як-3Т, вооруженного Н-37 + 2 БС-20С. Летали Л.М.Кувшинов, а и были В.П.Белодеденко по конструкции и А.Г.Аронов по вооружению; м - В.Ф.Сбитнев. Выполнили 44 полета продолжительностью 26:05. Потом дорабатывали до с 12 мая по 2 июля 1945 (65,181).</w:t>
      </w:r>
    </w:p>
    <w:p w14:paraId="18B5090B" w14:textId="77777777" w:rsidR="00665165" w:rsidRPr="00925F26" w:rsidRDefault="00665165" w:rsidP="00925F26">
      <w:pPr>
        <w:autoSpaceDE w:val="0"/>
        <w:autoSpaceDN w:val="0"/>
        <w:adjustRightInd w:val="0"/>
        <w:jc w:val="both"/>
        <w:rPr>
          <w:color w:val="000000" w:themeColor="text1"/>
          <w:sz w:val="16"/>
          <w:szCs w:val="16"/>
        </w:rPr>
      </w:pPr>
    </w:p>
    <w:p w14:paraId="7428B9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17 февраля по 25 апреля 1945 года проходили государственные испытания Як-3Т.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w:t>
      </w:r>
      <w:proofErr w:type="gramStart"/>
      <w:r w:rsidRPr="00925F26">
        <w:rPr>
          <w:color w:val="000000" w:themeColor="text1"/>
          <w:sz w:val="16"/>
          <w:szCs w:val="16"/>
        </w:rPr>
        <w:t>че- тырех</w:t>
      </w:r>
      <w:proofErr w:type="gramEnd"/>
      <w:r w:rsidRPr="00925F26">
        <w:rPr>
          <w:color w:val="000000" w:themeColor="text1"/>
          <w:sz w:val="16"/>
          <w:szCs w:val="16"/>
        </w:rPr>
        <w:t xml:space="preserve">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59596B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567763BC" w14:textId="77777777" w:rsidR="00665165" w:rsidRPr="00925F26" w:rsidRDefault="00665165" w:rsidP="00925F26">
      <w:pPr>
        <w:autoSpaceDE w:val="0"/>
        <w:autoSpaceDN w:val="0"/>
        <w:adjustRightInd w:val="0"/>
        <w:jc w:val="both"/>
        <w:rPr>
          <w:color w:val="000000" w:themeColor="text1"/>
          <w:sz w:val="16"/>
          <w:szCs w:val="16"/>
        </w:rPr>
      </w:pPr>
    </w:p>
    <w:p w14:paraId="76DB59BD" w14:textId="77777777" w:rsidR="00D23490" w:rsidRPr="001A0BAA" w:rsidRDefault="00D23490" w:rsidP="00D23490">
      <w:pPr>
        <w:jc w:val="both"/>
        <w:rPr>
          <w:color w:val="0070C0"/>
          <w:sz w:val="16"/>
          <w:szCs w:val="16"/>
        </w:rPr>
      </w:pPr>
      <w:r w:rsidRPr="001A0BAA">
        <w:rPr>
          <w:color w:val="0070C0"/>
          <w:sz w:val="16"/>
          <w:szCs w:val="16"/>
        </w:rPr>
        <w:t>С 17 февраля по 27 апреля 1945 года продолжались государственные испытания Як-3Т - переоборудованного серийного Як</w:t>
      </w:r>
      <w:r w:rsidRPr="001A0BAA">
        <w:rPr>
          <w:color w:val="0070C0"/>
          <w:sz w:val="16"/>
          <w:szCs w:val="16"/>
        </w:rPr>
        <w:noBreakHyphen/>
        <w:t>3 (36–20).</w:t>
      </w:r>
    </w:p>
    <w:p w14:paraId="580E9E7F" w14:textId="77777777" w:rsidR="00D23490" w:rsidRPr="001A0BAA" w:rsidRDefault="00D23490" w:rsidP="00D23490">
      <w:pPr>
        <w:jc w:val="both"/>
        <w:rPr>
          <w:color w:val="0070C0"/>
          <w:sz w:val="16"/>
          <w:szCs w:val="16"/>
        </w:rPr>
      </w:pPr>
      <w:r w:rsidRPr="001A0BAA">
        <w:rPr>
          <w:color w:val="0070C0"/>
          <w:sz w:val="16"/>
          <w:szCs w:val="16"/>
        </w:rPr>
        <w:t>Литера «Т» обозначала «танковый», поскольку самолет был вооружен пушкой большого калибра. Вместо пушки ШВАК и пулеметов УБС на Як</w:t>
      </w:r>
      <w:r w:rsidRPr="001A0BAA">
        <w:rPr>
          <w:color w:val="0070C0"/>
          <w:sz w:val="16"/>
          <w:szCs w:val="16"/>
        </w:rPr>
        <w:noBreakHyphen/>
        <w:t>3Т установили 37</w:t>
      </w:r>
      <w:r w:rsidRPr="001A0BAA">
        <w:rPr>
          <w:color w:val="0070C0"/>
          <w:sz w:val="16"/>
          <w:szCs w:val="16"/>
        </w:rPr>
        <w:noBreakHyphen/>
        <w:t>мм пушку Н</w:t>
      </w:r>
      <w:r w:rsidRPr="001A0BAA">
        <w:rPr>
          <w:color w:val="0070C0"/>
          <w:sz w:val="16"/>
          <w:szCs w:val="16"/>
        </w:rPr>
        <w:noBreakHyphen/>
        <w:t>37 с укороченным (на 150 мм) стволом и боекомплектом 25 выстрелов и две пушки Б</w:t>
      </w:r>
      <w:r w:rsidRPr="001A0BAA">
        <w:rPr>
          <w:color w:val="0070C0"/>
          <w:sz w:val="16"/>
          <w:szCs w:val="16"/>
        </w:rPr>
        <w:noBreakHyphen/>
        <w:t>2 °C калибра 20 мм с боекомплектом 100 выстрелов на ствол. 37</w:t>
      </w:r>
      <w:r w:rsidRPr="001A0BAA">
        <w:rPr>
          <w:color w:val="0070C0"/>
          <w:sz w:val="16"/>
          <w:szCs w:val="16"/>
        </w:rPr>
        <w:noBreakHyphen/>
        <w:t>мм пушка системы Нудельмана прежде устанавливалась на Як</w:t>
      </w:r>
      <w:r w:rsidRPr="001A0BAA">
        <w:rPr>
          <w:color w:val="0070C0"/>
          <w:sz w:val="16"/>
          <w:szCs w:val="16"/>
        </w:rPr>
        <w:noBreakHyphen/>
        <w:t>9Т и Як</w:t>
      </w:r>
      <w:r w:rsidRPr="001A0BAA">
        <w:rPr>
          <w:color w:val="0070C0"/>
          <w:sz w:val="16"/>
          <w:szCs w:val="16"/>
        </w:rPr>
        <w:noBreakHyphen/>
        <w:t>9УТ. Несмотря на заметный калибр пушки, отдача не сказалась на точности стрельбы. Кабина пилота была сдвинута на 400 мм к хвосту, что лишь на немного ухудшило обзор вперед, но улучшило обзор назад. Сдвинуть кабину пришлось для того, чтобы разместить пушку Н</w:t>
      </w:r>
      <w:r w:rsidRPr="001A0BAA">
        <w:rPr>
          <w:color w:val="0070C0"/>
          <w:sz w:val="16"/>
          <w:szCs w:val="16"/>
        </w:rPr>
        <w:noBreakHyphen/>
        <w:t>37.</w:t>
      </w:r>
    </w:p>
    <w:p w14:paraId="43E34B46" w14:textId="77777777" w:rsidR="00D23490" w:rsidRPr="001A0BAA" w:rsidRDefault="00D23490" w:rsidP="00D23490">
      <w:pPr>
        <w:jc w:val="both"/>
        <w:rPr>
          <w:color w:val="0070C0"/>
          <w:sz w:val="16"/>
          <w:szCs w:val="16"/>
        </w:rPr>
      </w:pPr>
      <w:r w:rsidRPr="001A0BAA">
        <w:rPr>
          <w:color w:val="0070C0"/>
          <w:sz w:val="16"/>
          <w:szCs w:val="16"/>
        </w:rPr>
        <w:t>На испытанияъ обнаружились все характерные для Як-3 недостатки. Тем не менее, в итоговом отчете утверждалось, что самолет Як</w:t>
      </w:r>
      <w:r w:rsidRPr="001A0BAA">
        <w:rPr>
          <w:color w:val="0070C0"/>
          <w:sz w:val="16"/>
          <w:szCs w:val="16"/>
        </w:rPr>
        <w:noBreakHyphen/>
        <w:t>3Т будет полезным для советских ВВС. Поэтому машину отправили назад в ОКБ Яковлева для устранения недостатков. Было сделано многое (винт ВИШ</w:t>
      </w:r>
      <w:r w:rsidRPr="001A0BAA">
        <w:rPr>
          <w:color w:val="0070C0"/>
          <w:sz w:val="16"/>
          <w:szCs w:val="16"/>
        </w:rPr>
        <w:noBreakHyphen/>
        <w:t>105Л</w:t>
      </w:r>
      <w:r w:rsidRPr="001A0BAA">
        <w:rPr>
          <w:color w:val="0070C0"/>
          <w:sz w:val="16"/>
          <w:szCs w:val="16"/>
        </w:rPr>
        <w:noBreakHyphen/>
        <w:t>28 заменили на серийный ВИШ</w:t>
      </w:r>
      <w:r w:rsidRPr="001A0BAA">
        <w:rPr>
          <w:color w:val="0070C0"/>
          <w:sz w:val="16"/>
          <w:szCs w:val="16"/>
        </w:rPr>
        <w:noBreakHyphen/>
        <w:t>105СВ</w:t>
      </w:r>
      <w:r w:rsidRPr="001A0BAA">
        <w:rPr>
          <w:color w:val="0070C0"/>
          <w:sz w:val="16"/>
          <w:szCs w:val="16"/>
        </w:rPr>
        <w:noBreakHyphen/>
        <w:t>01, изменили конструкцию ступицы винта, увеличили емкость маслобака), но устранить недостатки не удалось. Двигатель быстро перегревался, коптил, дымил и вибрировал. Война кончилась и необходимость в «танковом» истребителе отпала (25075).</w:t>
      </w:r>
    </w:p>
    <w:p w14:paraId="01CB8DCE" w14:textId="77777777" w:rsidR="00D23490" w:rsidRPr="001A0BAA" w:rsidRDefault="00D23490" w:rsidP="00D23490">
      <w:pPr>
        <w:jc w:val="both"/>
        <w:rPr>
          <w:color w:val="0070C0"/>
          <w:sz w:val="16"/>
          <w:szCs w:val="16"/>
        </w:rPr>
      </w:pPr>
    </w:p>
    <w:p w14:paraId="3D3A048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5CD8C95" w14:textId="77777777" w:rsidR="00665165" w:rsidRPr="00925F26" w:rsidRDefault="00665165" w:rsidP="00925F26">
      <w:pPr>
        <w:autoSpaceDE w:val="0"/>
        <w:autoSpaceDN w:val="0"/>
        <w:adjustRightInd w:val="0"/>
        <w:jc w:val="both"/>
        <w:rPr>
          <w:iCs/>
          <w:color w:val="000000" w:themeColor="text1"/>
          <w:sz w:val="16"/>
          <w:szCs w:val="16"/>
        </w:rPr>
      </w:pPr>
    </w:p>
    <w:p w14:paraId="699717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вышло Распоряжение ГКО № 7544. О снабжении нефтетопливом завода № 92 НКВ. РГАНИР, Фонд ГКО, д. 372, лл. 65 (11012).</w:t>
      </w:r>
    </w:p>
    <w:p w14:paraId="646E895B" w14:textId="77777777" w:rsidR="00665165" w:rsidRPr="00925F26" w:rsidRDefault="00665165" w:rsidP="00925F26">
      <w:pPr>
        <w:autoSpaceDE w:val="0"/>
        <w:autoSpaceDN w:val="0"/>
        <w:adjustRightInd w:val="0"/>
        <w:jc w:val="both"/>
        <w:rPr>
          <w:color w:val="000000" w:themeColor="text1"/>
          <w:sz w:val="16"/>
          <w:szCs w:val="16"/>
        </w:rPr>
      </w:pPr>
    </w:p>
    <w:p w14:paraId="7F9856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вышло Распоряжение ГКО № 7545. О материально-техническом обеспечении объединения "Грознефть" для усиления буровых работ и улучшения эксплуатации скважин. РГАНИР, Фонд ГКО, д. 372, лл. 66-67 (11012).</w:t>
      </w:r>
    </w:p>
    <w:p w14:paraId="1246E226" w14:textId="77777777" w:rsidR="00665165" w:rsidRPr="00925F26" w:rsidRDefault="00665165" w:rsidP="00925F26">
      <w:pPr>
        <w:autoSpaceDE w:val="0"/>
        <w:autoSpaceDN w:val="0"/>
        <w:adjustRightInd w:val="0"/>
        <w:jc w:val="both"/>
        <w:rPr>
          <w:color w:val="000000" w:themeColor="text1"/>
          <w:sz w:val="16"/>
          <w:szCs w:val="16"/>
        </w:rPr>
      </w:pPr>
    </w:p>
    <w:p w14:paraId="445E80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вышло Распоряжение ГКО № 7546. О дополнительных мерах по производству средств противохимической защиты. РГАНИР, Фонд ГКО, д. 372, лл. 68-69 (11012).</w:t>
      </w:r>
    </w:p>
    <w:p w14:paraId="78627D88" w14:textId="77777777" w:rsidR="00665165" w:rsidRPr="00925F26" w:rsidRDefault="00665165" w:rsidP="00925F26">
      <w:pPr>
        <w:autoSpaceDE w:val="0"/>
        <w:autoSpaceDN w:val="0"/>
        <w:adjustRightInd w:val="0"/>
        <w:jc w:val="both"/>
        <w:rPr>
          <w:color w:val="000000" w:themeColor="text1"/>
          <w:sz w:val="16"/>
          <w:szCs w:val="16"/>
        </w:rPr>
      </w:pPr>
    </w:p>
    <w:p w14:paraId="7576C74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вышло Распоряжение ГКО № 7547 [Об изменениях в плане перевозок грузов НКПП.] (7309, 70).</w:t>
      </w:r>
    </w:p>
    <w:p w14:paraId="68C91A1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5FB7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вышло Распоряжение ГКО № 7548. О мерах по обеспечению кирпичом строительства новых нефтепромыслов в Узбекистане и Ванновского нефтеперерабатывающего завода. РГАНИР, Фонд ГКО, д. 372, лл. 71 (11012).</w:t>
      </w:r>
    </w:p>
    <w:p w14:paraId="1B88917D" w14:textId="77777777" w:rsidR="00665165" w:rsidRPr="00925F26" w:rsidRDefault="00665165" w:rsidP="00925F26">
      <w:pPr>
        <w:autoSpaceDE w:val="0"/>
        <w:autoSpaceDN w:val="0"/>
        <w:adjustRightInd w:val="0"/>
        <w:jc w:val="both"/>
        <w:rPr>
          <w:color w:val="000000" w:themeColor="text1"/>
          <w:sz w:val="16"/>
          <w:szCs w:val="16"/>
        </w:rPr>
      </w:pPr>
    </w:p>
    <w:p w14:paraId="614231E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381BF1D" w14:textId="77777777" w:rsidR="00665165" w:rsidRPr="00925F26" w:rsidRDefault="00665165" w:rsidP="00925F26">
      <w:pPr>
        <w:autoSpaceDE w:val="0"/>
        <w:autoSpaceDN w:val="0"/>
        <w:adjustRightInd w:val="0"/>
        <w:jc w:val="both"/>
        <w:rPr>
          <w:iCs/>
          <w:color w:val="000000" w:themeColor="text1"/>
          <w:sz w:val="16"/>
          <w:szCs w:val="16"/>
        </w:rPr>
      </w:pPr>
    </w:p>
    <w:p w14:paraId="638DA4F5" w14:textId="77777777" w:rsidR="000F49EC" w:rsidRPr="00925F26" w:rsidRDefault="000F49EC" w:rsidP="00925F26">
      <w:pPr>
        <w:jc w:val="both"/>
        <w:rPr>
          <w:color w:val="000000" w:themeColor="text1"/>
          <w:sz w:val="16"/>
          <w:szCs w:val="16"/>
        </w:rPr>
      </w:pPr>
      <w:r w:rsidRPr="00925F26">
        <w:rPr>
          <w:bCs/>
          <w:color w:val="000000" w:themeColor="text1"/>
          <w:sz w:val="16"/>
          <w:szCs w:val="16"/>
        </w:rPr>
        <w:t>17 февраля</w:t>
      </w:r>
      <w:r w:rsidRPr="00925F26">
        <w:rPr>
          <w:color w:val="000000" w:themeColor="text1"/>
          <w:sz w:val="16"/>
          <w:szCs w:val="16"/>
        </w:rPr>
        <w:t xml:space="preserve"> в 1945 году оперативная сводка Совинформбюро:</w:t>
      </w:r>
    </w:p>
    <w:p w14:paraId="4BFE3AA6" w14:textId="77777777" w:rsidR="000F49EC" w:rsidRPr="00925F26" w:rsidRDefault="000F49EC" w:rsidP="00925F26">
      <w:pPr>
        <w:jc w:val="both"/>
        <w:rPr>
          <w:color w:val="000000" w:themeColor="text1"/>
          <w:sz w:val="16"/>
          <w:szCs w:val="16"/>
        </w:rPr>
      </w:pPr>
      <w:r w:rsidRPr="00925F26">
        <w:rPr>
          <w:color w:val="000000" w:themeColor="text1"/>
          <w:sz w:val="16"/>
          <w:szCs w:val="16"/>
        </w:rPr>
        <w:t>«Войска 3-го Белорусского фронта, продолжая сжимать кольцо окружения Восточно-Прусской группировки противника, штурмом овладели городами Вормдитт и Мельзак — важными узлами коммуникаций и сильными опорными пунктами обороны немцев, а также с боями заняли населённые пункты Плаутен, Нойхоф, Борнитт, Клингенберг.</w:t>
      </w:r>
    </w:p>
    <w:p w14:paraId="731CBE81" w14:textId="77777777" w:rsidR="000F49EC" w:rsidRPr="00925F26" w:rsidRDefault="000F49EC" w:rsidP="00925F26">
      <w:pPr>
        <w:jc w:val="both"/>
        <w:rPr>
          <w:color w:val="000000" w:themeColor="text1"/>
          <w:sz w:val="16"/>
          <w:szCs w:val="16"/>
        </w:rPr>
      </w:pPr>
      <w:r w:rsidRPr="00925F26">
        <w:rPr>
          <w:color w:val="000000" w:themeColor="text1"/>
          <w:sz w:val="16"/>
          <w:szCs w:val="16"/>
        </w:rPr>
        <w:t>Северо-западнее города Грудзяндз (Грауденц) наши войска, наступая вдоль левого берега реки Вислы, овладели населёнными пунктами Группе, Флетенау, Бушин, Скшинкен, Медзно, Оше.</w:t>
      </w:r>
    </w:p>
    <w:p w14:paraId="30C550A7" w14:textId="77777777" w:rsidR="000F49EC" w:rsidRPr="00925F26" w:rsidRDefault="000F49EC" w:rsidP="00925F26">
      <w:pPr>
        <w:jc w:val="both"/>
        <w:rPr>
          <w:color w:val="000000" w:themeColor="text1"/>
          <w:sz w:val="16"/>
          <w:szCs w:val="16"/>
        </w:rPr>
      </w:pPr>
      <w:r w:rsidRPr="00925F26">
        <w:rPr>
          <w:color w:val="000000" w:themeColor="text1"/>
          <w:sz w:val="16"/>
          <w:szCs w:val="16"/>
        </w:rPr>
        <w:t>В Померании южнее города Штаргард наши войска отбивали атаки пехоты и танков противника. Одновременно в лесах севернее города Шнайдемюль наши войска ликвидировали окружённую группу противника, уничтожив при этом свыше 8.000 немецких солдат и офицеров. Взято в плен около 2.000 немцев и захвачены следующие трофеи: танков и самоходных орудий — 13, орудий—30, миномётов—35, пулемётов—154, автомашин—384, повозок с грузом военного имущества—120.</w:t>
      </w:r>
    </w:p>
    <w:p w14:paraId="1CB3DED4" w14:textId="77777777" w:rsidR="000F49EC" w:rsidRPr="00925F26" w:rsidRDefault="000F49EC" w:rsidP="00925F26">
      <w:pPr>
        <w:jc w:val="both"/>
        <w:rPr>
          <w:color w:val="000000" w:themeColor="text1"/>
          <w:sz w:val="16"/>
          <w:szCs w:val="16"/>
        </w:rPr>
      </w:pPr>
      <w:r w:rsidRPr="00925F26">
        <w:rPr>
          <w:color w:val="000000" w:themeColor="text1"/>
          <w:sz w:val="16"/>
          <w:szCs w:val="16"/>
        </w:rPr>
        <w:t xml:space="preserve">В Познани наши войска, продолжая бои по уничтожению окружённого гарнизона противника, овладели пригородами, расположенными на восточном берегу Варты. Следовательно, остатки окружённого гарнизона противника удерживаются только в цитадели. За 16 февраля в этом районе наши войска взяли в плен более 6.000 </w:t>
      </w:r>
      <w:r w:rsidRPr="00925F26">
        <w:rPr>
          <w:color w:val="000000" w:themeColor="text1"/>
          <w:sz w:val="16"/>
          <w:szCs w:val="16"/>
        </w:rPr>
        <w:lastRenderedPageBreak/>
        <w:t>немецких солдат и офицеров и захватили следующие трофеи: орудий — 13, пулемётов—52, винтовок и автоматов — свыше 6.000, автомашин — 125, паровозов — 40, вагонов — 184 и 16 складов с различным военным имуществом.</w:t>
      </w:r>
    </w:p>
    <w:p w14:paraId="3B781B6B" w14:textId="77777777" w:rsidR="000F49EC" w:rsidRPr="00925F26" w:rsidRDefault="000F49EC" w:rsidP="00925F26">
      <w:pPr>
        <w:jc w:val="both"/>
        <w:rPr>
          <w:color w:val="000000" w:themeColor="text1"/>
          <w:sz w:val="16"/>
          <w:szCs w:val="16"/>
        </w:rPr>
      </w:pPr>
      <w:r w:rsidRPr="00925F26">
        <w:rPr>
          <w:color w:val="000000" w:themeColor="text1"/>
          <w:sz w:val="16"/>
          <w:szCs w:val="16"/>
        </w:rPr>
        <w:t>В Силезии северо-западнее и западнее города Бунцлау наши войска с боем заняли более 50 населённых пунктов, среди которых крупные населённые пункты Хермсдорф, Хаммер, Нойхаус, Рауша, Шнелленфурт, Томмендорф. В боях за 16 февраля в этом районе наши войска взяли в плен более 1.100 немецких солдат и офицеров.</w:t>
      </w:r>
    </w:p>
    <w:p w14:paraId="09C0BEC0" w14:textId="77777777" w:rsidR="000F49EC" w:rsidRPr="00925F26" w:rsidRDefault="000F49EC" w:rsidP="00925F26">
      <w:pPr>
        <w:jc w:val="both"/>
        <w:rPr>
          <w:color w:val="000000" w:themeColor="text1"/>
          <w:sz w:val="16"/>
          <w:szCs w:val="16"/>
        </w:rPr>
      </w:pPr>
      <w:r w:rsidRPr="00925F26">
        <w:rPr>
          <w:color w:val="000000" w:themeColor="text1"/>
          <w:sz w:val="16"/>
          <w:szCs w:val="16"/>
        </w:rPr>
        <w:t>Юго-западнее и южнее города Бреслау наши войска с боями продвигались вперёд и заняли более 60 населённых пунктов, в том числе крупные населённые пункты Захвиц, Хубертусхоф, Вировиц, Шенбанквиц, Борау, Грюнхартау, Брозевиц. Одновременно продолжались бои по уничтожению окружённой группировки противника в городе Бреслау (Бреславль).</w:t>
      </w:r>
    </w:p>
    <w:p w14:paraId="42628E49" w14:textId="77777777" w:rsidR="000F49EC" w:rsidRPr="00925F26" w:rsidRDefault="000F49EC" w:rsidP="00925F26">
      <w:pPr>
        <w:jc w:val="both"/>
        <w:rPr>
          <w:color w:val="000000" w:themeColor="text1"/>
          <w:sz w:val="16"/>
          <w:szCs w:val="16"/>
        </w:rPr>
      </w:pPr>
      <w:r w:rsidRPr="00925F26">
        <w:rPr>
          <w:color w:val="000000" w:themeColor="text1"/>
          <w:sz w:val="16"/>
          <w:szCs w:val="16"/>
        </w:rPr>
        <w:t>На северном берегу Дуная восточнее Комарно наши войска, находящиеся западнее реки Грон, отбивали атаки крупных сил пехоты и танков противника и нанесли ему большие потери в живой силе и технике.</w:t>
      </w:r>
    </w:p>
    <w:p w14:paraId="59F96BBF" w14:textId="77777777" w:rsidR="000F49EC" w:rsidRPr="00925F26" w:rsidRDefault="000F49EC"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50A7676F" w14:textId="77777777" w:rsidR="000F49EC" w:rsidRPr="00925F26" w:rsidRDefault="000F49EC" w:rsidP="00925F26">
      <w:pPr>
        <w:jc w:val="both"/>
        <w:rPr>
          <w:color w:val="000000" w:themeColor="text1"/>
          <w:sz w:val="16"/>
          <w:szCs w:val="16"/>
        </w:rPr>
      </w:pPr>
      <w:r w:rsidRPr="00925F26">
        <w:rPr>
          <w:color w:val="000000" w:themeColor="text1"/>
          <w:sz w:val="16"/>
          <w:szCs w:val="16"/>
        </w:rPr>
        <w:t>За 16 февраля на всех фронтах подбито и уничтожено 106 немецких танков. В воздушных боях и огнём зенитной артиллерии сбит 41 самолёт противника.</w:t>
      </w:r>
    </w:p>
    <w:p w14:paraId="4138007D" w14:textId="77777777" w:rsidR="000F49EC" w:rsidRPr="00925F26" w:rsidRDefault="000F49EC" w:rsidP="00925F26">
      <w:pPr>
        <w:jc w:val="both"/>
        <w:rPr>
          <w:color w:val="000000" w:themeColor="text1"/>
          <w:sz w:val="16"/>
          <w:szCs w:val="16"/>
        </w:rPr>
      </w:pPr>
      <w:r w:rsidRPr="00925F26">
        <w:rPr>
          <w:color w:val="000000" w:themeColor="text1"/>
          <w:sz w:val="16"/>
          <w:szCs w:val="16"/>
        </w:rPr>
        <w:t>Войска 3-го Белорусского фронта продолжали наступление. Ожесточённые бои произошли близ города Вормдитт — сильно укреплённого пункта обороны противника. Немцы построили здесь большое количество дотов и дзотов, окопов и бетонированными огневыми площадками и отрыли противотанковые рвы. Сковывая противника фронтальными атаками, наши войска в то же время совершили обходный манёвр с востока и юга. Вскоре вражеская группировка, обороняющая вормдитский укреплённый район, была зажата в клещи. В результате мощного артиллерийского обстрела и ударов танков и пехоты немецкая оборона была дезорганизована. Советские части прорвали долговременные укрепления противника и штурмом овладели городом Вормдитт — узлом железных и шоссейных дорог. Одно наше соединение захватило в этом районе около 50 железобетонных дотов. Развивая успех, войска фронта продвинулись вперёд на 11 километров и вышли к реке Вальш. Наши пехотинцы и танкисты с хода форсировали водный рубеж и штурмом заняли город Мельзак. В районе городов Вормдитт и Мельзак противник оставил свыше 4 тысяч трупов своих солдат и офицеров. За два дня боёв уничтожено 74 немецких танка и самоходных орудия. Захвачено у немцев 8 танков, 36 орудий, 168 пулемётов и другие трофеи. Взято в плен более 800 немцев.</w:t>
      </w:r>
    </w:p>
    <w:p w14:paraId="1C779C38" w14:textId="77777777" w:rsidR="000F49EC" w:rsidRPr="00925F26" w:rsidRDefault="000F49EC" w:rsidP="00925F26">
      <w:pPr>
        <w:jc w:val="both"/>
        <w:rPr>
          <w:color w:val="000000" w:themeColor="text1"/>
          <w:sz w:val="16"/>
          <w:szCs w:val="16"/>
        </w:rPr>
      </w:pPr>
      <w:r w:rsidRPr="00925F26">
        <w:rPr>
          <w:color w:val="000000" w:themeColor="text1"/>
          <w:sz w:val="16"/>
          <w:szCs w:val="16"/>
        </w:rPr>
        <w:t>Батарея самоходных орудий гвардии капитана Авраменко прорвалась в тыл немцев и устроила засаду у дороги. Вскоре показалась колонна гитлеровцев. Артиллеристы открыли огонь и уничтожили 4 полевых и одно самоходное орудие противника. Артиллерист сержант Митин, отражая вражескую контратаку, сжёг немецкий танк и 2 бронетранспортёра. Артиллерийский расчёт гвардии сержанта Косьяненко уничтожил 18 немецких пулемётов вместе с их расчётами.</w:t>
      </w:r>
    </w:p>
    <w:p w14:paraId="33B0DDE5" w14:textId="77777777" w:rsidR="000F49EC" w:rsidRPr="00925F26" w:rsidRDefault="000F49EC" w:rsidP="00925F26">
      <w:pPr>
        <w:jc w:val="both"/>
        <w:rPr>
          <w:color w:val="000000" w:themeColor="text1"/>
          <w:sz w:val="16"/>
          <w:szCs w:val="16"/>
        </w:rPr>
      </w:pPr>
      <w:r w:rsidRPr="00925F26">
        <w:rPr>
          <w:color w:val="000000" w:themeColor="text1"/>
          <w:sz w:val="16"/>
          <w:szCs w:val="16"/>
        </w:rPr>
        <w:t>Северо-западнее города Грудзяндз (Грауденц) наши войска с боями продвигались вперёд вдоль левого берега реки Вислы. Немцы выбиты из нескольких сильно укреплённых населённых пунктов. Только в лесах у селения Бушин уничтожено 300 солдат и офицеров противника и взято 200 пленных. Советская авиация штурмовала боевые порядки и ближайшие тылы противника. Наши лётчики в воздушных боях сбили 13 немецких самолётов. Кроме того, 4 вражеских самолёта сожжены на аэродроме противника.</w:t>
      </w:r>
    </w:p>
    <w:p w14:paraId="233D73F5" w14:textId="77777777" w:rsidR="000F49EC" w:rsidRPr="00925F26" w:rsidRDefault="000F49EC" w:rsidP="00925F26">
      <w:pPr>
        <w:jc w:val="both"/>
        <w:rPr>
          <w:color w:val="000000" w:themeColor="text1"/>
          <w:sz w:val="16"/>
          <w:szCs w:val="16"/>
        </w:rPr>
      </w:pPr>
      <w:r w:rsidRPr="00925F26">
        <w:rPr>
          <w:color w:val="000000" w:themeColor="text1"/>
          <w:sz w:val="16"/>
          <w:szCs w:val="16"/>
        </w:rPr>
        <w:t>В Силезии северо-западнее и западнее города Бунцлау наши войска продолжали наступление. Немцы в одном районе сосредоточили пехоту и танки и пытались нанести удар во фланг советским частям. В ожесточённом бою наши войска разгромили эту группу противника. К западу от Бунцлау наши подвижные соединения и пехота форсировали реку Квейс. Немцы бросили в контратаку полк пехоты, усиленный 35 танками. Завязался напряжённый бой, в ходе которого 32 вражеских танка были уничтожены. Немецкая пехота, потеряв убитыми более 800 солдат и офицеров, в беспорядке отступила. Преследуя отступающих гитлеровцев, наши войска заняли ряд населённых пунктов.</w:t>
      </w:r>
    </w:p>
    <w:p w14:paraId="079648B6" w14:textId="77777777" w:rsidR="000F49EC" w:rsidRPr="00925F26" w:rsidRDefault="000F49EC"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нанесла удар по немецким судам в южной части Балтийского моря. В результате прямых попаданий бомб и торпед потоплены один транспорт водоизмещением в 8.000 тонн, два транспорта водоизмещением по 6.000 тонн каждый и один транспорт водоизмещением в 5.000 тонн. Кроме того, пущен ко дну тральщик противника.</w:t>
      </w:r>
    </w:p>
    <w:p w14:paraId="2B702544" w14:textId="77777777" w:rsidR="000F49EC" w:rsidRPr="00925F26" w:rsidRDefault="000F49EC" w:rsidP="00925F26">
      <w:pPr>
        <w:jc w:val="both"/>
        <w:rPr>
          <w:color w:val="000000" w:themeColor="text1"/>
          <w:sz w:val="16"/>
          <w:szCs w:val="16"/>
        </w:rPr>
      </w:pPr>
      <w:r w:rsidRPr="00925F26">
        <w:rPr>
          <w:color w:val="000000" w:themeColor="text1"/>
          <w:sz w:val="16"/>
          <w:szCs w:val="16"/>
        </w:rPr>
        <w:t>Пленный командир аэродромной роты обер-лейтенант Билли Кэперниц рассказал: «Моя рота работала на аэродроме неподалеку от города Быдгощ (Бромберг). Появление русских танков около аэродрома было для нас полной неожиданностью. Мы отступили в лес. Здесь также находились подразделения кавалерийской школы и другие части. Настроение у всех было подавленное. Командир эскадрона капитан фон Шулленбург, нисколько не стесняясь присутствия курсантов школы и солдат, говорил: «В районе Быдгощ запахло Сталинградом: надо скорее убираться отсюда, так как русские заходят к нам в тыл». На другой день утром мы пытались пробиться на север. Колонна насчитывала, около 1.500 человек. Проходя через лес, мы попали под огонь русских пулемётов и миномётов. В несколько мгновений воцарился страшный хаос. Уже находясь в плену, я увидел многих солдат и офицеров из нашей разгромлённой колонны. Их изловили в лесу русские автоматчики» (15043).</w:t>
      </w:r>
    </w:p>
    <w:p w14:paraId="08526F8F" w14:textId="77777777" w:rsidR="000F49EC" w:rsidRPr="00925F26" w:rsidRDefault="000F49EC" w:rsidP="00925F26">
      <w:pPr>
        <w:jc w:val="both"/>
        <w:rPr>
          <w:color w:val="000000" w:themeColor="text1"/>
          <w:sz w:val="16"/>
          <w:szCs w:val="16"/>
        </w:rPr>
      </w:pPr>
    </w:p>
    <w:p w14:paraId="5D8E69DC" w14:textId="77777777" w:rsidR="00E90CF3" w:rsidRPr="00925F26" w:rsidRDefault="00E90CF3" w:rsidP="00925F26">
      <w:pPr>
        <w:jc w:val="both"/>
        <w:rPr>
          <w:color w:val="000000" w:themeColor="text1"/>
          <w:sz w:val="16"/>
          <w:szCs w:val="16"/>
        </w:rPr>
      </w:pPr>
      <w:r w:rsidRPr="00925F26">
        <w:rPr>
          <w:color w:val="000000" w:themeColor="text1"/>
          <w:sz w:val="16"/>
          <w:szCs w:val="16"/>
        </w:rPr>
        <w:t xml:space="preserve">17 февраля 1945 г.в Померании от Штеттина и Штаргарда группировка генерала Венка наносит фланговый удар по наступающим на Берлин советским войскам, маршал Жуков предлагает остановить наступление и перейти к обороне, Сталин его поддерживает и останавливает войска. Немцы получают передышку на 2 месяца (до 17 — 18 апреля 1945 г.). Остановка на Одере </w:t>
      </w:r>
      <w:proofErr w:type="gramStart"/>
      <w:r w:rsidRPr="00925F26">
        <w:rPr>
          <w:color w:val="000000" w:themeColor="text1"/>
          <w:sz w:val="16"/>
          <w:szCs w:val="16"/>
        </w:rPr>
        <w:t>по разному</w:t>
      </w:r>
      <w:proofErr w:type="gramEnd"/>
      <w:r w:rsidRPr="00925F26">
        <w:rPr>
          <w:color w:val="000000" w:themeColor="text1"/>
          <w:sz w:val="16"/>
          <w:szCs w:val="16"/>
        </w:rPr>
        <w:t xml:space="preserve"> воспринималась советскими генералами, в частности генерал Василий Чуйков считал, что Берлин можно было взять еще в феврале, не давая немцам укрепить оборону. За это мнение его специально «прорабатывали» в Москве в день похорон Сергея Королева. Ни Жуков, ни Чуйков, ни Штеменко не пишут о главном факте из этого дня – 17 февраля 1945 г. разбился в автокатастрофе и был госпитализирован руководитель наступления немцев генерал Венк (17459).</w:t>
      </w:r>
    </w:p>
    <w:p w14:paraId="3B7FFD81" w14:textId="77777777" w:rsidR="00E90CF3" w:rsidRPr="00925F26" w:rsidRDefault="00E90CF3" w:rsidP="00925F26">
      <w:pPr>
        <w:jc w:val="both"/>
        <w:rPr>
          <w:color w:val="000000" w:themeColor="text1"/>
          <w:sz w:val="16"/>
          <w:szCs w:val="16"/>
        </w:rPr>
      </w:pPr>
    </w:p>
    <w:p w14:paraId="382D1CE0" w14:textId="77777777" w:rsidR="008C396C" w:rsidRPr="00925F26" w:rsidRDefault="008C396C"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 xml:space="preserve">17 февраля </w:t>
      </w:r>
      <w:proofErr w:type="gramStart"/>
      <w:r w:rsidRPr="00925F26">
        <w:rPr>
          <w:rFonts w:ascii="Times New Roman" w:hAnsi="Times New Roman"/>
          <w:color w:val="000000" w:themeColor="text1"/>
          <w:spacing w:val="0"/>
          <w:sz w:val="16"/>
          <w:szCs w:val="16"/>
        </w:rPr>
        <w:t>1945 года согласно предположению</w:t>
      </w:r>
      <w:proofErr w:type="gramEnd"/>
      <w:r w:rsidRPr="00925F26">
        <w:rPr>
          <w:rFonts w:ascii="Times New Roman" w:hAnsi="Times New Roman"/>
          <w:color w:val="000000" w:themeColor="text1"/>
          <w:spacing w:val="0"/>
          <w:sz w:val="16"/>
          <w:szCs w:val="16"/>
        </w:rPr>
        <w:t xml:space="preserve"> Иван Кожедуб сбил вовсе не реактивный самолет</w:t>
      </w:r>
      <w:r w:rsidRPr="00925F26">
        <w:rPr>
          <w:rStyle w:val="510pt"/>
          <w:rFonts w:ascii="Times New Roman" w:hAnsi="Times New Roman" w:cs="Times New Roman"/>
          <w:b w:val="0"/>
          <w:i w:val="0"/>
          <w:color w:val="000000" w:themeColor="text1"/>
          <w:spacing w:val="0"/>
          <w:sz w:val="16"/>
          <w:szCs w:val="16"/>
        </w:rPr>
        <w:t>,</w:t>
      </w:r>
      <w:r w:rsidRPr="00925F26">
        <w:rPr>
          <w:rFonts w:ascii="Times New Roman" w:hAnsi="Times New Roman"/>
          <w:color w:val="000000" w:themeColor="text1"/>
          <w:spacing w:val="0"/>
          <w:sz w:val="16"/>
          <w:szCs w:val="16"/>
        </w:rPr>
        <w:t xml:space="preserve"> а поршневой истребитель-перехватчик типа </w:t>
      </w:r>
      <w:r w:rsidRPr="00925F26">
        <w:rPr>
          <w:rFonts w:ascii="Times New Roman" w:hAnsi="Times New Roman"/>
          <w:color w:val="000000" w:themeColor="text1"/>
          <w:spacing w:val="0"/>
          <w:sz w:val="16"/>
          <w:szCs w:val="16"/>
          <w:lang w:val="en-US"/>
        </w:rPr>
        <w:t>Bf</w:t>
      </w:r>
      <w:r w:rsidRPr="00925F26">
        <w:rPr>
          <w:rFonts w:ascii="Times New Roman" w:hAnsi="Times New Roman"/>
          <w:color w:val="000000" w:themeColor="text1"/>
          <w:spacing w:val="0"/>
          <w:sz w:val="16"/>
          <w:szCs w:val="16"/>
        </w:rPr>
        <w:t xml:space="preserve"> 109 или </w:t>
      </w:r>
      <w:r w:rsidRPr="00925F26">
        <w:rPr>
          <w:rFonts w:ascii="Times New Roman" w:hAnsi="Times New Roman"/>
          <w:color w:val="000000" w:themeColor="text1"/>
          <w:spacing w:val="0"/>
          <w:sz w:val="16"/>
          <w:szCs w:val="16"/>
          <w:lang w:val="en-US"/>
        </w:rPr>
        <w:t>Fw</w:t>
      </w:r>
      <w:r w:rsidRPr="00925F26">
        <w:rPr>
          <w:rFonts w:ascii="Times New Roman" w:hAnsi="Times New Roman"/>
          <w:color w:val="000000" w:themeColor="text1"/>
          <w:spacing w:val="0"/>
          <w:sz w:val="16"/>
          <w:szCs w:val="16"/>
        </w:rPr>
        <w:t xml:space="preserve"> 190, оснащенный стреляющей назад подвесной ракетнойустановкой типа </w:t>
      </w:r>
      <w:r w:rsidRPr="00925F26">
        <w:rPr>
          <w:rFonts w:ascii="Times New Roman" w:hAnsi="Times New Roman"/>
          <w:color w:val="000000" w:themeColor="text1"/>
          <w:spacing w:val="0"/>
          <w:sz w:val="16"/>
          <w:szCs w:val="16"/>
          <w:lang w:val="en-US"/>
        </w:rPr>
        <w:t>WGr</w:t>
      </w:r>
      <w:r w:rsidRPr="00925F26">
        <w:rPr>
          <w:rFonts w:ascii="Times New Roman" w:hAnsi="Times New Roman"/>
          <w:color w:val="000000" w:themeColor="text1"/>
          <w:spacing w:val="0"/>
          <w:sz w:val="16"/>
          <w:szCs w:val="16"/>
        </w:rPr>
        <w:t xml:space="preserve"> 21, которую наши авиационные специалисты в то время сертифицировали как </w:t>
      </w:r>
      <w:proofErr w:type="gramStart"/>
      <w:r w:rsidRPr="00925F26">
        <w:rPr>
          <w:rFonts w:ascii="Times New Roman" w:hAnsi="Times New Roman"/>
          <w:color w:val="000000" w:themeColor="text1"/>
          <w:spacing w:val="0"/>
          <w:sz w:val="16"/>
          <w:szCs w:val="16"/>
        </w:rPr>
        <w:t>дополнительный :активный</w:t>
      </w:r>
      <w:proofErr w:type="gramEnd"/>
      <w:r w:rsidRPr="00925F26">
        <w:rPr>
          <w:rFonts w:ascii="Times New Roman" w:hAnsi="Times New Roman"/>
          <w:color w:val="000000" w:themeColor="text1"/>
          <w:spacing w:val="0"/>
          <w:sz w:val="16"/>
          <w:szCs w:val="16"/>
        </w:rPr>
        <w:t xml:space="preserve"> двигатель. На совещании, кото</w:t>
      </w:r>
      <w:r w:rsidRPr="00925F26">
        <w:rPr>
          <w:rFonts w:ascii="Times New Roman" w:hAnsi="Times New Roman"/>
          <w:color w:val="000000" w:themeColor="text1"/>
          <w:spacing w:val="0"/>
          <w:sz w:val="16"/>
          <w:szCs w:val="16"/>
        </w:rPr>
        <w:softHyphen/>
        <w:t>рое 26 февраля 1945 года Командующий 16-й Воздушной Армии генерал-полковник Руденко провел с летчиками-истреби</w:t>
      </w:r>
      <w:r w:rsidRPr="00925F26">
        <w:rPr>
          <w:rFonts w:ascii="Times New Roman" w:hAnsi="Times New Roman"/>
          <w:color w:val="000000" w:themeColor="text1"/>
          <w:spacing w:val="0"/>
          <w:sz w:val="16"/>
          <w:szCs w:val="16"/>
        </w:rPr>
        <w:softHyphen/>
        <w:t>телями в связи с появлением на фронте германских самолетов с реактивными установками И.Н. Кожедуб рассказал о самолете, кото</w:t>
      </w:r>
      <w:r w:rsidRPr="00925F26">
        <w:rPr>
          <w:rFonts w:ascii="Times New Roman" w:hAnsi="Times New Roman"/>
          <w:color w:val="000000" w:themeColor="text1"/>
          <w:spacing w:val="0"/>
          <w:sz w:val="16"/>
          <w:szCs w:val="16"/>
        </w:rPr>
        <w:softHyphen/>
        <w:t>рый он недавно сбил: «...Я тоже при вы</w:t>
      </w:r>
      <w:r w:rsidRPr="00925F26">
        <w:rPr>
          <w:rFonts w:ascii="Times New Roman" w:hAnsi="Times New Roman"/>
          <w:color w:val="000000" w:themeColor="text1"/>
          <w:spacing w:val="0"/>
          <w:sz w:val="16"/>
          <w:szCs w:val="16"/>
        </w:rPr>
        <w:softHyphen/>
        <w:t>полнении задачи в районе плацдармов над рекой Одер заметил МЕ-109 с какой-то подвеской, нагнал его, а мой ведомый май</w:t>
      </w:r>
      <w:r w:rsidRPr="00925F26">
        <w:rPr>
          <w:rFonts w:ascii="Times New Roman" w:hAnsi="Times New Roman"/>
          <w:color w:val="000000" w:themeColor="text1"/>
          <w:spacing w:val="0"/>
          <w:sz w:val="16"/>
          <w:szCs w:val="16"/>
        </w:rPr>
        <w:softHyphen/>
        <w:t>ор Титаренко, зайдя сверху, дал по нему очередь, но промахнулся. Заметив трассу, противник резко свернул влево и попал в мой прицел. Я тоже дал очередь. «Люлька» отлетела. Самолет сбил, но упал он на территории противника. Судя по этому случаю, скоростные самолеты противни</w:t>
      </w:r>
      <w:r w:rsidRPr="00925F26">
        <w:rPr>
          <w:rFonts w:ascii="Times New Roman" w:hAnsi="Times New Roman"/>
          <w:color w:val="000000" w:themeColor="text1"/>
          <w:spacing w:val="0"/>
          <w:sz w:val="16"/>
          <w:szCs w:val="16"/>
        </w:rPr>
        <w:softHyphen/>
        <w:t>ка сбивать не трудно, применяя внезап</w:t>
      </w:r>
      <w:r w:rsidRPr="00925F26">
        <w:rPr>
          <w:rFonts w:ascii="Times New Roman" w:hAnsi="Times New Roman"/>
          <w:color w:val="000000" w:themeColor="text1"/>
          <w:spacing w:val="0"/>
          <w:sz w:val="16"/>
          <w:szCs w:val="16"/>
        </w:rPr>
        <w:softHyphen/>
        <w:t>ность атаки» (19082).</w:t>
      </w:r>
    </w:p>
    <w:p w14:paraId="35B97D24" w14:textId="77777777" w:rsidR="008C396C" w:rsidRPr="00925F26" w:rsidRDefault="008C396C" w:rsidP="00925F26">
      <w:pPr>
        <w:jc w:val="both"/>
        <w:rPr>
          <w:color w:val="000000" w:themeColor="text1"/>
          <w:sz w:val="16"/>
          <w:szCs w:val="16"/>
        </w:rPr>
      </w:pPr>
    </w:p>
    <w:p w14:paraId="280297A9" w14:textId="77777777" w:rsidR="00574D94" w:rsidRPr="00925F26" w:rsidRDefault="00574D94" w:rsidP="00925F26">
      <w:pPr>
        <w:jc w:val="both"/>
        <w:rPr>
          <w:color w:val="000000" w:themeColor="text1"/>
          <w:sz w:val="16"/>
          <w:szCs w:val="16"/>
        </w:rPr>
      </w:pPr>
      <w:r w:rsidRPr="00925F26">
        <w:rPr>
          <w:color w:val="000000" w:themeColor="text1"/>
          <w:sz w:val="16"/>
          <w:szCs w:val="16"/>
        </w:rPr>
        <w:t>17 февраля</w:t>
      </w:r>
      <w:r w:rsidRPr="00925F26">
        <w:rPr>
          <w:bCs/>
          <w:color w:val="000000" w:themeColor="text1"/>
          <w:sz w:val="16"/>
          <w:szCs w:val="16"/>
        </w:rPr>
        <w:t xml:space="preserve"> 1945 Венк, видя, что его шофер устал, сел за руль сам, он был переутомлен, уснул и въехал в ограду моста на шоссе Берлин-Штеттин. Он сильно разбился и был отправлен в госпиталь. Без Венка атака захлебнулась и так и не смогла больше набрать прежний ход (17459).</w:t>
      </w:r>
    </w:p>
    <w:p w14:paraId="0680F01C" w14:textId="77777777" w:rsidR="00574D94" w:rsidRPr="00925F26" w:rsidRDefault="00574D94" w:rsidP="00925F26">
      <w:pPr>
        <w:jc w:val="both"/>
        <w:rPr>
          <w:color w:val="000000" w:themeColor="text1"/>
          <w:sz w:val="16"/>
          <w:szCs w:val="16"/>
        </w:rPr>
      </w:pPr>
    </w:p>
    <w:p w14:paraId="1B88211D" w14:textId="77777777" w:rsidR="00574D94" w:rsidRPr="00925F26" w:rsidRDefault="00574D94"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командующий немецкими войсками на Восточном фронте генерал Вальтер Венк сломал руку (4962).</w:t>
      </w:r>
    </w:p>
    <w:p w14:paraId="506B1F30" w14:textId="77777777" w:rsidR="00574D94" w:rsidRPr="00925F26" w:rsidRDefault="00574D94" w:rsidP="00925F26">
      <w:pPr>
        <w:tabs>
          <w:tab w:val="left" w:pos="11199"/>
        </w:tabs>
        <w:autoSpaceDE w:val="0"/>
        <w:autoSpaceDN w:val="0"/>
        <w:adjustRightInd w:val="0"/>
        <w:jc w:val="both"/>
        <w:rPr>
          <w:color w:val="000000" w:themeColor="text1"/>
          <w:sz w:val="16"/>
          <w:szCs w:val="16"/>
        </w:rPr>
      </w:pPr>
    </w:p>
    <w:p w14:paraId="3898637B" w14:textId="77777777" w:rsidR="000F49EC" w:rsidRPr="00925F26" w:rsidRDefault="000F49EC" w:rsidP="00925F26">
      <w:pPr>
        <w:jc w:val="both"/>
        <w:rPr>
          <w:color w:val="000000" w:themeColor="text1"/>
          <w:sz w:val="16"/>
          <w:szCs w:val="16"/>
        </w:rPr>
      </w:pPr>
      <w:r w:rsidRPr="00925F26">
        <w:rPr>
          <w:bCs/>
          <w:color w:val="000000" w:themeColor="text1"/>
          <w:sz w:val="16"/>
          <w:szCs w:val="16"/>
        </w:rPr>
        <w:t>17 февраля</w:t>
      </w:r>
      <w:r w:rsidRPr="00925F26">
        <w:rPr>
          <w:color w:val="000000" w:themeColor="text1"/>
          <w:sz w:val="16"/>
          <w:szCs w:val="16"/>
        </w:rPr>
        <w:t xml:space="preserve"> в 1945 году войска 2-го Украинского фронта начали отражение контрудара немцев, наносимого из района восточнее Комарно на Солдины - Паркань (15043).</w:t>
      </w:r>
    </w:p>
    <w:p w14:paraId="492D46DE" w14:textId="77777777" w:rsidR="000F49EC" w:rsidRPr="00925F26" w:rsidRDefault="000F49EC" w:rsidP="00925F26">
      <w:pPr>
        <w:jc w:val="both"/>
        <w:rPr>
          <w:color w:val="000000" w:themeColor="text1"/>
          <w:sz w:val="16"/>
          <w:szCs w:val="16"/>
        </w:rPr>
      </w:pPr>
    </w:p>
    <w:p w14:paraId="69047CAD" w14:textId="77777777" w:rsidR="004945E9" w:rsidRPr="00925F26" w:rsidRDefault="004945E9" w:rsidP="00925F26">
      <w:pPr>
        <w:shd w:val="clear" w:color="auto" w:fill="FFFFFF"/>
        <w:jc w:val="both"/>
        <w:rPr>
          <w:color w:val="000000" w:themeColor="text1"/>
          <w:sz w:val="16"/>
          <w:szCs w:val="16"/>
        </w:rPr>
      </w:pPr>
      <w:r w:rsidRPr="00925F26">
        <w:rPr>
          <w:color w:val="000000" w:themeColor="text1"/>
          <w:sz w:val="16"/>
          <w:szCs w:val="16"/>
        </w:rPr>
        <w:t>17–25 февраля 1945 года при отражении частями 7-й гвардейской армии контрудара противника бойцы-истребители уничтожили с помощью зажигательных бутылок на плацдарме на западном берегу реки Грон (Чехословакия) 40 танков, 6 бронетранспортеров, 3 штурмовых орудия. В Будапеште только за день боев 10 января 1945 года штурмовые группы и истребители танков 155-й стрелковой дивизии израсходовали 57 зажигательных бутылок.</w:t>
      </w:r>
    </w:p>
    <w:p w14:paraId="6C2FE45E" w14:textId="77777777" w:rsidR="004945E9" w:rsidRPr="00925F26" w:rsidRDefault="004945E9" w:rsidP="00925F26">
      <w:pPr>
        <w:shd w:val="clear" w:color="auto" w:fill="FFFFFF"/>
        <w:jc w:val="both"/>
        <w:rPr>
          <w:color w:val="000000" w:themeColor="text1"/>
          <w:sz w:val="16"/>
          <w:szCs w:val="16"/>
        </w:rPr>
      </w:pPr>
      <w:r w:rsidRPr="00925F26">
        <w:rPr>
          <w:iCs/>
          <w:color w:val="000000" w:themeColor="text1"/>
          <w:sz w:val="16"/>
          <w:szCs w:val="16"/>
        </w:rPr>
        <w:t>«Боевой счет» бутылок впечатляет: по официальным данным, в период Великой Отечественной с их помощью советские бойцы уничтожили 2429 танков, САУ и бронемашин, 1189 дотов и дзотов, 2547 других укрепсооружений, 738 автомашин и 65 военных складов.</w:t>
      </w:r>
    </w:p>
    <w:p w14:paraId="0458DD18" w14:textId="77777777" w:rsidR="004945E9" w:rsidRPr="00925F26" w:rsidRDefault="004945E9" w:rsidP="00925F26">
      <w:pPr>
        <w:shd w:val="clear" w:color="auto" w:fill="FFFFFF"/>
        <w:jc w:val="both"/>
        <w:rPr>
          <w:color w:val="000000" w:themeColor="text1"/>
          <w:sz w:val="16"/>
          <w:szCs w:val="16"/>
        </w:rPr>
      </w:pPr>
      <w:r w:rsidRPr="00925F26">
        <w:rPr>
          <w:color w:val="000000" w:themeColor="text1"/>
          <w:sz w:val="16"/>
          <w:szCs w:val="16"/>
        </w:rPr>
        <w:t>Зажигательные бутылки использовали и для поражения транспортных машин, дотов, дзотов, складов, самолетов на аэродромах, живой силы, зданий, устройств огневых и комбинированных заграждений. Уже в оборонительных боях под Москвой и Ленинградом появились огневые валы и поля. В бутылочных полях зажигательные бутылки располагали в шахматном порядке, иногда – в сочетании с противотанковыми минами. Расчет делался на то, что танк или бронемашина раздавит бутылку, горящая жидкость растечется по ходовой части, вынудив экипаж остановиться или развернуться, чтобы сбить огонь, и наехать при этом на мину (12233).</w:t>
      </w:r>
    </w:p>
    <w:p w14:paraId="60268768" w14:textId="77777777" w:rsidR="004945E9" w:rsidRPr="00925F26" w:rsidRDefault="004945E9" w:rsidP="00925F26">
      <w:pPr>
        <w:shd w:val="clear" w:color="auto" w:fill="FFFFFF"/>
        <w:jc w:val="both"/>
        <w:rPr>
          <w:color w:val="000000" w:themeColor="text1"/>
          <w:sz w:val="16"/>
          <w:szCs w:val="16"/>
        </w:rPr>
      </w:pPr>
    </w:p>
    <w:p w14:paraId="412588A2" w14:textId="77777777" w:rsidR="004945E9" w:rsidRPr="00925F26" w:rsidRDefault="004945E9" w:rsidP="00925F26">
      <w:pPr>
        <w:jc w:val="both"/>
        <w:rPr>
          <w:color w:val="000000" w:themeColor="text1"/>
          <w:sz w:val="16"/>
          <w:szCs w:val="16"/>
        </w:rPr>
      </w:pPr>
      <w:r w:rsidRPr="00925F26">
        <w:rPr>
          <w:color w:val="000000" w:themeColor="text1"/>
          <w:sz w:val="16"/>
          <w:szCs w:val="16"/>
        </w:rPr>
        <w:t>17-19 февраля 1945 года экипаж танка Т-34 младшего лейтенанта Ивана Борисова в боях при освобождении Чехословакии на правом берегу реки Грон уничтожил 8 танков, 5 БТР противника. За этот бой младшему лейтенанту И.Ф: Борисову 28 апреля 1945 года было присвоено звание Героя Советского Союза (12217).</w:t>
      </w:r>
    </w:p>
    <w:p w14:paraId="57F77F40" w14:textId="77777777" w:rsidR="004945E9" w:rsidRPr="00925F26" w:rsidRDefault="004945E9" w:rsidP="00925F26">
      <w:pPr>
        <w:jc w:val="both"/>
        <w:rPr>
          <w:color w:val="000000" w:themeColor="text1"/>
          <w:sz w:val="16"/>
          <w:szCs w:val="16"/>
        </w:rPr>
      </w:pPr>
    </w:p>
    <w:p w14:paraId="4CD990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вышло Постановление ГКО № 7549 [О назначении начальником Генерального Штаба КА Антонова А.И.] (7309, 72).</w:t>
      </w:r>
    </w:p>
    <w:p w14:paraId="51806E9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720B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вышло Постановление ГКО № 7550 Об изменении состава Ставки ВГК. РГАНИР, Фонд ГКО, д. 372, лл. 73 (11012).</w:t>
      </w:r>
    </w:p>
    <w:p w14:paraId="4CE01DB5" w14:textId="77777777" w:rsidR="00665165" w:rsidRPr="00925F26" w:rsidRDefault="00665165" w:rsidP="00925F26">
      <w:pPr>
        <w:autoSpaceDE w:val="0"/>
        <w:autoSpaceDN w:val="0"/>
        <w:adjustRightInd w:val="0"/>
        <w:jc w:val="both"/>
        <w:rPr>
          <w:color w:val="000000" w:themeColor="text1"/>
          <w:sz w:val="16"/>
          <w:szCs w:val="16"/>
        </w:rPr>
      </w:pPr>
    </w:p>
    <w:p w14:paraId="4CE08EA8" w14:textId="77777777" w:rsidR="005720F5" w:rsidRPr="00925F26" w:rsidRDefault="005720F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17 февраля 1945 г.</w:t>
      </w:r>
      <w:r w:rsidRPr="00925F26">
        <w:rPr>
          <w:bCs/>
          <w:color w:val="000000" w:themeColor="text1"/>
          <w:sz w:val="16"/>
          <w:szCs w:val="16"/>
        </w:rPr>
        <w:t xml:space="preserve"> ГКО утвердил Ставку в следующем составе: Верховный Главнокомандующий И.В. Сталин, начальник Генштаба генерал армии А.И. Антонов, заместитель наркома обороны генерал армии Н.А. Булганин, маршалы Г.К. Жуков и A.M. Василевский (17459).</w:t>
      </w:r>
    </w:p>
    <w:p w14:paraId="5DCD9E11" w14:textId="77777777" w:rsidR="005720F5" w:rsidRPr="00925F26" w:rsidRDefault="005720F5" w:rsidP="00925F26">
      <w:pPr>
        <w:tabs>
          <w:tab w:val="left" w:pos="11199"/>
        </w:tabs>
        <w:autoSpaceDE w:val="0"/>
        <w:autoSpaceDN w:val="0"/>
        <w:adjustRightInd w:val="0"/>
        <w:jc w:val="both"/>
        <w:rPr>
          <w:color w:val="000000" w:themeColor="text1"/>
          <w:sz w:val="16"/>
          <w:szCs w:val="16"/>
        </w:rPr>
      </w:pPr>
    </w:p>
    <w:p w14:paraId="3435E69E" w14:textId="77777777" w:rsidR="00574D94" w:rsidRPr="00925F26" w:rsidRDefault="00574D94"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года</w:t>
      </w:r>
      <w:r w:rsidRPr="00925F26">
        <w:rPr>
          <w:bCs/>
          <w:color w:val="000000" w:themeColor="text1"/>
          <w:sz w:val="16"/>
          <w:szCs w:val="16"/>
        </w:rPr>
        <w:t xml:space="preserve"> очистка Будапешта от немецких солдат полностью закончилась. Уже двумя днями ранее советское командование квалифицировало прорыв как военную операцию, которой закончилось сражение за Будапешт. В целом Красная Армия взяла в плен 22350 солдат и офицеров. К началу прорыва в распоряжении Пфеффера-Вильденбруха имелось 43900 человек. Четыре дня спустя почти все они были убиты или взяты в плен. По приблизительным подсчетам, в это время еще около 3 тысяч солдат скрывалось в горах. Немецкой линии фронта смогли достичь около 700 человек (17459).</w:t>
      </w:r>
    </w:p>
    <w:p w14:paraId="12DCF938" w14:textId="77777777" w:rsidR="00574D94" w:rsidRPr="00925F26" w:rsidRDefault="00574D94" w:rsidP="00925F26">
      <w:pPr>
        <w:tabs>
          <w:tab w:val="left" w:pos="11199"/>
        </w:tabs>
        <w:autoSpaceDE w:val="0"/>
        <w:autoSpaceDN w:val="0"/>
        <w:adjustRightInd w:val="0"/>
        <w:jc w:val="both"/>
        <w:rPr>
          <w:color w:val="000000" w:themeColor="text1"/>
          <w:sz w:val="16"/>
          <w:szCs w:val="16"/>
        </w:rPr>
      </w:pPr>
    </w:p>
    <w:p w14:paraId="4251873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у Мурманска немецкой подлодкой потоплен английский корвет “Блюбелл” (4962).</w:t>
      </w:r>
    </w:p>
    <w:p w14:paraId="4CBC8FA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6EFD694" w14:textId="77777777" w:rsidR="00F94B6C" w:rsidRPr="001A0BAA" w:rsidRDefault="00F94B6C" w:rsidP="00F94B6C">
      <w:pPr>
        <w:jc w:val="both"/>
        <w:rPr>
          <w:color w:val="0070C0"/>
          <w:sz w:val="16"/>
          <w:szCs w:val="16"/>
        </w:rPr>
      </w:pPr>
      <w:r w:rsidRPr="001A0BAA">
        <w:rPr>
          <w:color w:val="0070C0"/>
          <w:sz w:val="16"/>
          <w:szCs w:val="16"/>
        </w:rPr>
        <w:t>17 февраля 1945 г. ведущие немецкие специалисты-ракетчики покинули Пенемюнде. Группе Соколова удалось захватить лишь нескольких второстепенных сотрудников и остатки оборудования.</w:t>
      </w:r>
    </w:p>
    <w:p w14:paraId="3A0792E1" w14:textId="74E1F79D" w:rsidR="00F94B6C" w:rsidRPr="001A0BAA" w:rsidRDefault="00F94B6C" w:rsidP="00F94B6C">
      <w:pPr>
        <w:jc w:val="both"/>
        <w:rPr>
          <w:color w:val="0070C0"/>
          <w:sz w:val="16"/>
          <w:szCs w:val="16"/>
        </w:rPr>
      </w:pPr>
      <w:r>
        <w:rPr>
          <w:color w:val="0070C0"/>
          <w:sz w:val="16"/>
          <w:szCs w:val="16"/>
        </w:rPr>
        <w:t>С</w:t>
      </w:r>
      <w:r w:rsidRPr="001A0BAA">
        <w:rPr>
          <w:color w:val="0070C0"/>
          <w:sz w:val="16"/>
          <w:szCs w:val="16"/>
        </w:rPr>
        <w:t>пециальная группа под командованием генерал-майора А. И. Соколова была направлена в Пенемюнде сразу после захвата частями 2-го Белорусского фронта научно-исследовательского испытательного центра. Ранее Соколов был заместителем командующего гвардейскими миномётными частями. Дело в том, что и ВВС, и авиационная промышленность всеми силами открещивались от управляемых ракет, и ГАУ решило «приватизировать» этот вид вооружения (25184).</w:t>
      </w:r>
    </w:p>
    <w:p w14:paraId="4F9A9489" w14:textId="77777777" w:rsidR="00F94B6C" w:rsidRPr="001A0BAA" w:rsidRDefault="00F94B6C" w:rsidP="00F94B6C">
      <w:pPr>
        <w:jc w:val="both"/>
        <w:rPr>
          <w:color w:val="0070C0"/>
          <w:sz w:val="16"/>
          <w:szCs w:val="16"/>
        </w:rPr>
      </w:pPr>
    </w:p>
    <w:p w14:paraId="78E021F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9838C7E" w14:textId="77777777" w:rsidR="00665165" w:rsidRPr="00925F26" w:rsidRDefault="00665165" w:rsidP="00925F26">
      <w:pPr>
        <w:autoSpaceDE w:val="0"/>
        <w:autoSpaceDN w:val="0"/>
        <w:adjustRightInd w:val="0"/>
        <w:jc w:val="both"/>
        <w:rPr>
          <w:iCs/>
          <w:color w:val="000000" w:themeColor="text1"/>
          <w:sz w:val="16"/>
          <w:szCs w:val="16"/>
        </w:rPr>
      </w:pPr>
    </w:p>
    <w:p w14:paraId="56B1AB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февраля 1945 Решение СНК СССР об оказании помощи в восстановлении столицы Польши Варшавы (7451).</w:t>
      </w:r>
    </w:p>
    <w:p w14:paraId="790ED14E" w14:textId="77777777" w:rsidR="00665165" w:rsidRPr="00925F26" w:rsidRDefault="00665165" w:rsidP="00925F26">
      <w:pPr>
        <w:autoSpaceDE w:val="0"/>
        <w:autoSpaceDN w:val="0"/>
        <w:adjustRightInd w:val="0"/>
        <w:jc w:val="both"/>
        <w:rPr>
          <w:color w:val="000000" w:themeColor="text1"/>
          <w:sz w:val="16"/>
          <w:szCs w:val="16"/>
        </w:rPr>
      </w:pPr>
    </w:p>
    <w:p w14:paraId="4880870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5CA2FAE" w14:textId="77777777" w:rsidR="00665165" w:rsidRPr="00925F26" w:rsidRDefault="00665165" w:rsidP="00925F26">
      <w:pPr>
        <w:autoSpaceDE w:val="0"/>
        <w:autoSpaceDN w:val="0"/>
        <w:adjustRightInd w:val="0"/>
        <w:jc w:val="both"/>
        <w:rPr>
          <w:iCs/>
          <w:color w:val="000000" w:themeColor="text1"/>
          <w:sz w:val="16"/>
          <w:szCs w:val="16"/>
        </w:rPr>
      </w:pPr>
    </w:p>
    <w:p w14:paraId="3893E8E6" w14:textId="77777777" w:rsidR="000F49EC" w:rsidRPr="00925F26" w:rsidRDefault="000F49EC" w:rsidP="00925F26">
      <w:pPr>
        <w:jc w:val="both"/>
        <w:rPr>
          <w:color w:val="000000" w:themeColor="text1"/>
          <w:sz w:val="16"/>
          <w:szCs w:val="16"/>
        </w:rPr>
      </w:pPr>
      <w:r w:rsidRPr="00925F26">
        <w:rPr>
          <w:bCs/>
          <w:color w:val="000000" w:themeColor="text1"/>
          <w:sz w:val="16"/>
          <w:szCs w:val="16"/>
        </w:rPr>
        <w:t>17 февраля</w:t>
      </w:r>
      <w:r w:rsidRPr="00925F26">
        <w:rPr>
          <w:color w:val="000000" w:themeColor="text1"/>
          <w:sz w:val="16"/>
          <w:szCs w:val="16"/>
        </w:rPr>
        <w:t xml:space="preserve"> в 1945 году полетел «Hе.162-V25». Вооружение состояло из двух пушек «МК-108», предназначался для испытания вооружения. Испытания короткоствольных «МК-108» - основного вооружения «Hе.162a-1» выявили вибрацию элементов конструкции вследствие сильной отдачи. В качестве временной меры самолет перевооружили на «МG-151/20» (15043).</w:t>
      </w:r>
    </w:p>
    <w:p w14:paraId="1D5A8C5C" w14:textId="77777777" w:rsidR="000F49EC" w:rsidRPr="00925F26" w:rsidRDefault="000F49EC" w:rsidP="00925F26">
      <w:pPr>
        <w:jc w:val="both"/>
        <w:rPr>
          <w:color w:val="000000" w:themeColor="text1"/>
          <w:sz w:val="16"/>
          <w:szCs w:val="16"/>
        </w:rPr>
      </w:pPr>
    </w:p>
    <w:p w14:paraId="35C75FDE" w14:textId="77777777" w:rsidR="000F49EC" w:rsidRPr="00925F26" w:rsidRDefault="000F49EC" w:rsidP="00925F26">
      <w:pPr>
        <w:jc w:val="both"/>
        <w:rPr>
          <w:color w:val="000000" w:themeColor="text1"/>
          <w:sz w:val="16"/>
          <w:szCs w:val="16"/>
        </w:rPr>
      </w:pPr>
      <w:r w:rsidRPr="00925F26">
        <w:rPr>
          <w:bCs/>
          <w:color w:val="000000" w:themeColor="text1"/>
          <w:sz w:val="16"/>
          <w:szCs w:val="16"/>
        </w:rPr>
        <w:t>17 февраля</w:t>
      </w:r>
      <w:r w:rsidRPr="00925F26">
        <w:rPr>
          <w:color w:val="000000" w:themeColor="text1"/>
          <w:sz w:val="16"/>
          <w:szCs w:val="16"/>
        </w:rPr>
        <w:t xml:space="preserve"> в 1945 году посадку самолета </w:t>
      </w:r>
      <w:hyperlink r:id="rId38" w:tgtFrame="_blank" w:history="1">
        <w:r w:rsidRPr="00925F26">
          <w:rPr>
            <w:color w:val="000000" w:themeColor="text1"/>
            <w:sz w:val="16"/>
            <w:szCs w:val="16"/>
          </w:rPr>
          <w:t xml:space="preserve">«F8F-1» </w:t>
        </w:r>
      </w:hyperlink>
      <w:r w:rsidRPr="00925F26">
        <w:rPr>
          <w:color w:val="000000" w:themeColor="text1"/>
          <w:sz w:val="16"/>
          <w:szCs w:val="16"/>
        </w:rPr>
        <w:t>на корабль провел капитан Роберт М.Эдлер (Robert M.Edler), посадивший свой Биркэт (Bearcat) на палубу авианосца «CVE-30» "Чарджер" ("Charger") Это был последний этап испытаний и самолет прошел его успешно. Конечно, как и у всякой новой машины, у Биркэта были свои "нюансы". Так, шасси убиралось слишком быстро и с ударом. При превышении эксплуатационных ограничений по скорости наблюдался бафтинг, и чтобы погасить тряску, пилоту рекомендовалось использовать тормозные щитки на нижней поверхности крыла. Были также свои особенности реакции на "дачу" рулей (15043).</w:t>
      </w:r>
    </w:p>
    <w:p w14:paraId="3CB59533" w14:textId="77777777" w:rsidR="000F49EC" w:rsidRPr="00925F26" w:rsidRDefault="000F49EC" w:rsidP="00925F26">
      <w:pPr>
        <w:jc w:val="both"/>
        <w:rPr>
          <w:color w:val="000000" w:themeColor="text1"/>
          <w:sz w:val="16"/>
          <w:szCs w:val="16"/>
        </w:rPr>
      </w:pPr>
    </w:p>
    <w:p w14:paraId="1D299F4B" w14:textId="77777777" w:rsidR="00574D94" w:rsidRPr="00925F26" w:rsidRDefault="00574D94" w:rsidP="00925F26">
      <w:pPr>
        <w:jc w:val="both"/>
        <w:rPr>
          <w:color w:val="000000" w:themeColor="text1"/>
          <w:sz w:val="16"/>
          <w:szCs w:val="16"/>
        </w:rPr>
      </w:pPr>
      <w:r w:rsidRPr="00925F26">
        <w:rPr>
          <w:color w:val="000000" w:themeColor="text1"/>
          <w:sz w:val="16"/>
          <w:szCs w:val="16"/>
        </w:rPr>
        <w:t xml:space="preserve">17 февраля 1945 г. космос: ракетчики Дорнбергер и Браун эвакуируются из Пенемюнде в Баварские Альпы. </w:t>
      </w:r>
      <w:r w:rsidRPr="00925F26">
        <w:rPr>
          <w:bCs/>
          <w:color w:val="000000" w:themeColor="text1"/>
          <w:sz w:val="16"/>
          <w:szCs w:val="16"/>
        </w:rPr>
        <w:t>Все оборудование и документация были упакованы в ящики, на которых значился индекс «EW». В сопроводительных документах значилось, что это имущество Elektrotechnische Werke (электротехнического завода). Автомобильные колонны и железнодорожные эшелоны со специалистами, архивами и оборудованием, возглавляемые Дорнбергером и фон Брауном, покинули остров Узедом</w:t>
      </w:r>
      <w:r w:rsidRPr="00925F26">
        <w:rPr>
          <w:color w:val="000000" w:themeColor="text1"/>
          <w:sz w:val="16"/>
          <w:szCs w:val="16"/>
        </w:rPr>
        <w:t xml:space="preserve"> 17 февраля 1945 года. </w:t>
      </w:r>
      <w:r w:rsidRPr="00925F26">
        <w:rPr>
          <w:bCs/>
          <w:color w:val="000000" w:themeColor="text1"/>
          <w:sz w:val="16"/>
          <w:szCs w:val="16"/>
        </w:rPr>
        <w:t>Эвакуация производилась в район Нордхаузена, Бляйхероде, Зангерхаузена, Леестена, Витценхаузена, Ворбиса и Бад-Сакса. Основные архивы с результатами тринадцатилетних исследований и работ были спрятаны в штольнях «Миттельверка» и калийных шахтах. Основная группа руководителей Пенемюнде направилась в Баварские Альпы</w:t>
      </w:r>
      <w:r w:rsidRPr="00925F26">
        <w:rPr>
          <w:color w:val="000000" w:themeColor="text1"/>
          <w:sz w:val="16"/>
          <w:szCs w:val="16"/>
        </w:rPr>
        <w:t xml:space="preserve"> (17459).</w:t>
      </w:r>
    </w:p>
    <w:p w14:paraId="60D0CAF3" w14:textId="77777777" w:rsidR="00574D94" w:rsidRPr="00925F26" w:rsidRDefault="00574D94" w:rsidP="00925F26">
      <w:pPr>
        <w:jc w:val="both"/>
        <w:rPr>
          <w:color w:val="000000" w:themeColor="text1"/>
          <w:sz w:val="16"/>
          <w:szCs w:val="16"/>
        </w:rPr>
      </w:pPr>
    </w:p>
    <w:p w14:paraId="3E12763B" w14:textId="77777777" w:rsidR="00317A72" w:rsidRPr="00925F26" w:rsidRDefault="00317A72" w:rsidP="00925F26">
      <w:pPr>
        <w:jc w:val="both"/>
        <w:rPr>
          <w:color w:val="000000" w:themeColor="text1"/>
          <w:sz w:val="16"/>
          <w:szCs w:val="16"/>
        </w:rPr>
      </w:pPr>
      <w:r w:rsidRPr="00925F26">
        <w:rPr>
          <w:color w:val="000000" w:themeColor="text1"/>
          <w:sz w:val="16"/>
          <w:szCs w:val="16"/>
        </w:rPr>
        <w:t xml:space="preserve">17 февраля 1945 г. началась эвакуация Пенемюнле. За неделю две тысячи автомашин с тысячью прицепов вывезли научных и технических сотрудников ракетного центра вместе </w:t>
      </w:r>
      <w:proofErr w:type="gramStart"/>
      <w:r w:rsidRPr="00925F26">
        <w:rPr>
          <w:color w:val="000000" w:themeColor="text1"/>
          <w:sz w:val="16"/>
          <w:szCs w:val="16"/>
        </w:rPr>
        <w:t>с  семьями</w:t>
      </w:r>
      <w:proofErr w:type="gramEnd"/>
      <w:r w:rsidRPr="00925F26">
        <w:rPr>
          <w:color w:val="000000" w:themeColor="text1"/>
          <w:sz w:val="16"/>
          <w:szCs w:val="16"/>
        </w:rPr>
        <w:t xml:space="preserve">, документацию, аппаратуру. Часть их разместили в Нордхаузене, остальных в небольших окрестных городах Бляйхероде (Bleicherode), Бад-Закса (Bad Sachsa), Зангерхаузен (Sangerhausen) или в деревнях. Опасаясь, что чертежи и рабочая документация могут быть уничтожены людьми Каммлера, Браун приказал спрятать их в заброшенной железнорудной шахте около города Гослар, на северозападе от Нордхаузена. (В мае 1945 г. контрразведка армии США нашла это место после допросов Брауна и Дорнбергера. Американцы извлекли из шахты 14 тонн документов!) В  Пенемюнде остался только персонал полигона. Последняя ракета А4 взлетела с  площадки на Узедоме 14 февраля. </w:t>
      </w:r>
      <w:proofErr w:type="gramStart"/>
      <w:r w:rsidRPr="00925F26">
        <w:rPr>
          <w:color w:val="000000" w:themeColor="text1"/>
          <w:sz w:val="16"/>
          <w:szCs w:val="16"/>
        </w:rPr>
        <w:t>В  конце</w:t>
      </w:r>
      <w:proofErr w:type="gramEnd"/>
      <w:r w:rsidRPr="00925F26">
        <w:rPr>
          <w:color w:val="000000" w:themeColor="text1"/>
          <w:sz w:val="16"/>
          <w:szCs w:val="16"/>
        </w:rPr>
        <w:t xml:space="preserve"> марта уехл и этот персонал, тогда же армейские саперы взорвали стартовые столы </w:t>
      </w:r>
      <w:proofErr w:type="gramStart"/>
      <w:r w:rsidRPr="00925F26">
        <w:rPr>
          <w:color w:val="000000" w:themeColor="text1"/>
          <w:sz w:val="16"/>
          <w:szCs w:val="16"/>
        </w:rPr>
        <w:t>и  другие</w:t>
      </w:r>
      <w:proofErr w:type="gramEnd"/>
      <w:r w:rsidRPr="00925F26">
        <w:rPr>
          <w:color w:val="000000" w:themeColor="text1"/>
          <w:sz w:val="16"/>
          <w:szCs w:val="16"/>
        </w:rPr>
        <w:t xml:space="preserve"> сооружения, крупногабаритное оборудование, не подлежавшее вывозу (23372).</w:t>
      </w:r>
    </w:p>
    <w:p w14:paraId="654E82D5" w14:textId="77777777" w:rsidR="00317A72" w:rsidRPr="00925F26" w:rsidRDefault="00317A72" w:rsidP="00925F26">
      <w:pPr>
        <w:jc w:val="both"/>
        <w:rPr>
          <w:color w:val="000000" w:themeColor="text1"/>
          <w:sz w:val="16"/>
          <w:szCs w:val="16"/>
        </w:rPr>
      </w:pPr>
    </w:p>
    <w:p w14:paraId="4506A9C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у Триеста английской авиацией потоплены итальянские линкоры “Граф Кавур” и “Имперо” (4962).</w:t>
      </w:r>
    </w:p>
    <w:p w14:paraId="2BAC783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28D6513"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17 февраля 1945 г. на курортный город Карловы Вары американцы сбросили 55 тонн зажигательных и 170 тонн фугасных бомб (19083).</w:t>
      </w:r>
    </w:p>
    <w:p w14:paraId="556B441F"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p>
    <w:p w14:paraId="0F21384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февраля 1945 в Каире на банкете в честь короля Саудовской Аравии английский премьер У. Черчилль случайно выпил жидкость для сексуальной стимуляции (4962).</w:t>
      </w:r>
    </w:p>
    <w:p w14:paraId="087895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0068BF" w14:textId="77777777" w:rsidR="000F49EC" w:rsidRPr="00925F26" w:rsidRDefault="000F49EC" w:rsidP="00925F26">
      <w:pPr>
        <w:jc w:val="both"/>
        <w:rPr>
          <w:color w:val="000000" w:themeColor="text1"/>
          <w:sz w:val="16"/>
          <w:szCs w:val="16"/>
        </w:rPr>
      </w:pPr>
      <w:r w:rsidRPr="00925F26">
        <w:rPr>
          <w:bCs/>
          <w:color w:val="000000" w:themeColor="text1"/>
          <w:sz w:val="16"/>
          <w:szCs w:val="16"/>
        </w:rPr>
        <w:t>17 февраля</w:t>
      </w:r>
      <w:r w:rsidRPr="00925F26">
        <w:rPr>
          <w:color w:val="000000" w:themeColor="text1"/>
          <w:sz w:val="16"/>
          <w:szCs w:val="16"/>
        </w:rPr>
        <w:t xml:space="preserve"> в 1945 году во время Второй Мировой войны американские войска окружили группировку немецко-фашистских войск в районе Уффализа (15043).</w:t>
      </w:r>
    </w:p>
    <w:p w14:paraId="4BBF2919" w14:textId="77777777" w:rsidR="000F49EC" w:rsidRPr="00925F26" w:rsidRDefault="000F49EC" w:rsidP="00925F26">
      <w:pPr>
        <w:jc w:val="both"/>
        <w:rPr>
          <w:color w:val="000000" w:themeColor="text1"/>
          <w:sz w:val="16"/>
          <w:szCs w:val="16"/>
        </w:rPr>
      </w:pPr>
    </w:p>
    <w:p w14:paraId="7F98896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9DB649F" w14:textId="77777777" w:rsidR="00665165" w:rsidRPr="00925F26" w:rsidRDefault="00665165" w:rsidP="00925F26">
      <w:pPr>
        <w:autoSpaceDE w:val="0"/>
        <w:autoSpaceDN w:val="0"/>
        <w:adjustRightInd w:val="0"/>
        <w:jc w:val="both"/>
        <w:rPr>
          <w:iCs/>
          <w:color w:val="000000" w:themeColor="text1"/>
          <w:sz w:val="16"/>
          <w:szCs w:val="16"/>
        </w:rPr>
      </w:pPr>
    </w:p>
    <w:p w14:paraId="10AFF0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л Г.И.Комаров выполнил первый полет на Су-6 АШ-82ФН 2ТК-3 с ЖРД РД-1 В.П.Глушко - Су-7 без включения ЖРД (3808,85).</w:t>
      </w:r>
    </w:p>
    <w:p w14:paraId="48AAE01A" w14:textId="77777777" w:rsidR="00665165" w:rsidRPr="00925F26" w:rsidRDefault="00665165" w:rsidP="00925F26">
      <w:pPr>
        <w:autoSpaceDE w:val="0"/>
        <w:autoSpaceDN w:val="0"/>
        <w:adjustRightInd w:val="0"/>
        <w:jc w:val="both"/>
        <w:rPr>
          <w:color w:val="000000" w:themeColor="text1"/>
          <w:sz w:val="16"/>
          <w:szCs w:val="16"/>
        </w:rPr>
      </w:pPr>
    </w:p>
    <w:p w14:paraId="5E6431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февраля 1945 начались летные испытания РД-1 на Су-7, про</w:t>
      </w:r>
      <w:r w:rsidRPr="00925F26">
        <w:rPr>
          <w:color w:val="000000" w:themeColor="text1"/>
          <w:sz w:val="16"/>
          <w:szCs w:val="16"/>
        </w:rPr>
        <w:softHyphen/>
        <w:t>должавшиеся с небольшими переры</w:t>
      </w:r>
      <w:r w:rsidRPr="00925F26">
        <w:rPr>
          <w:color w:val="000000" w:themeColor="text1"/>
          <w:sz w:val="16"/>
          <w:szCs w:val="16"/>
        </w:rPr>
        <w:softHyphen/>
        <w:t>вами до 23 марта. В этот день в поле</w:t>
      </w:r>
      <w:r w:rsidRPr="00925F26">
        <w:rPr>
          <w:color w:val="000000" w:themeColor="text1"/>
          <w:sz w:val="16"/>
          <w:szCs w:val="16"/>
        </w:rPr>
        <w:softHyphen/>
        <w:t>те при повторном включении РД-1 в воздухе произошел взрыв, вызвавший незначительные повреждения хвосто</w:t>
      </w:r>
      <w:r w:rsidRPr="00925F26">
        <w:rPr>
          <w:color w:val="000000" w:themeColor="text1"/>
          <w:sz w:val="16"/>
          <w:szCs w:val="16"/>
        </w:rPr>
        <w:softHyphen/>
        <w:t>вого оперения и полное разрушение РД-1. Г.И.Комаров успешно завершил полет на поврежденном самолете. Для установления причин аварии самолета, приказом заместителя Нар</w:t>
      </w:r>
      <w:r w:rsidRPr="00925F26">
        <w:rPr>
          <w:color w:val="000000" w:themeColor="text1"/>
          <w:sz w:val="16"/>
          <w:szCs w:val="16"/>
        </w:rPr>
        <w:softHyphen/>
        <w:t>кома А.С.Яковлева, была назначена комиссия, которая установила, что пос</w:t>
      </w:r>
      <w:r w:rsidRPr="00925F26">
        <w:rPr>
          <w:color w:val="000000" w:themeColor="text1"/>
          <w:sz w:val="16"/>
          <w:szCs w:val="16"/>
        </w:rPr>
        <w:softHyphen/>
        <w:t>ле неудавшегося высотного запуска при повторной попытке произвести его про</w:t>
      </w:r>
      <w:r w:rsidRPr="00925F26">
        <w:rPr>
          <w:color w:val="000000" w:themeColor="text1"/>
          <w:sz w:val="16"/>
          <w:szCs w:val="16"/>
        </w:rPr>
        <w:softHyphen/>
        <w:t>изошел взрыв. Его причиной послужи</w:t>
      </w:r>
      <w:r w:rsidRPr="00925F26">
        <w:rPr>
          <w:color w:val="000000" w:themeColor="text1"/>
          <w:sz w:val="16"/>
          <w:szCs w:val="16"/>
        </w:rPr>
        <w:softHyphen/>
        <w:t>ла ненадежная работа системы эфиро-воздушного зажигания со свечой накаливания. Ввиду неудовлетворительной рабо</w:t>
      </w:r>
      <w:r w:rsidRPr="00925F26">
        <w:rPr>
          <w:color w:val="000000" w:themeColor="text1"/>
          <w:sz w:val="16"/>
          <w:szCs w:val="16"/>
        </w:rPr>
        <w:softHyphen/>
        <w:t>ты системы зажигания двигателя РД-1 ОКБ-СД завода №16 разработало модификацию двигателя. Вместо пре</w:t>
      </w:r>
      <w:r w:rsidRPr="00925F26">
        <w:rPr>
          <w:color w:val="000000" w:themeColor="text1"/>
          <w:sz w:val="16"/>
          <w:szCs w:val="16"/>
        </w:rPr>
        <w:softHyphen/>
        <w:t>жней системы зажигания применили химическую, в которой в качестве пускового компонента использовалась смесь Б23-75, самовоспламенявшаяся при соприкосновении с горючим и окислителем. Также уменьшили коли</w:t>
      </w:r>
      <w:r w:rsidRPr="00925F26">
        <w:rPr>
          <w:color w:val="000000" w:themeColor="text1"/>
          <w:sz w:val="16"/>
          <w:szCs w:val="16"/>
        </w:rPr>
        <w:softHyphen/>
        <w:t>чество пусковых форсунок. Модифика</w:t>
      </w:r>
      <w:r w:rsidRPr="00925F26">
        <w:rPr>
          <w:color w:val="000000" w:themeColor="text1"/>
          <w:sz w:val="16"/>
          <w:szCs w:val="16"/>
        </w:rPr>
        <w:softHyphen/>
        <w:t>ция двигателя получила обозначение РД-1ХЗ (химический запуск). Пусковые свойства модифицированного двигате</w:t>
      </w:r>
      <w:r w:rsidRPr="00925F26">
        <w:rPr>
          <w:color w:val="000000" w:themeColor="text1"/>
          <w:sz w:val="16"/>
          <w:szCs w:val="16"/>
        </w:rPr>
        <w:softHyphen/>
        <w:t>ля стали значительно лучше, но все же было несколько случаев взрывов дви</w:t>
      </w:r>
      <w:r w:rsidRPr="00925F26">
        <w:rPr>
          <w:color w:val="000000" w:themeColor="text1"/>
          <w:sz w:val="16"/>
          <w:szCs w:val="16"/>
        </w:rPr>
        <w:softHyphen/>
        <w:t>гателей на стенде, а также отмечалась вибрация двигателя при переходе с одного режима работы на другой (10668).</w:t>
      </w:r>
    </w:p>
    <w:p w14:paraId="44D425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AAC3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февраля 1945 приступили ко второму этапу испытаний Су-7. Он продолжался до сере</w:t>
      </w:r>
      <w:r w:rsidRPr="00925F26">
        <w:rPr>
          <w:color w:val="000000" w:themeColor="text1"/>
          <w:sz w:val="16"/>
          <w:szCs w:val="16"/>
        </w:rPr>
        <w:softHyphen/>
        <w:t>дины декабря. Испытания выявили нена</w:t>
      </w:r>
      <w:r w:rsidRPr="00925F26">
        <w:rPr>
          <w:color w:val="000000" w:themeColor="text1"/>
          <w:sz w:val="16"/>
          <w:szCs w:val="16"/>
        </w:rPr>
        <w:softHyphen/>
        <w:t>дежность двигателей РД-1 и небезопас</w:t>
      </w:r>
      <w:r w:rsidRPr="00925F26">
        <w:rPr>
          <w:color w:val="000000" w:themeColor="text1"/>
          <w:sz w:val="16"/>
          <w:szCs w:val="16"/>
        </w:rPr>
        <w:softHyphen/>
        <w:t>ность их эксплуатации (10719).</w:t>
      </w:r>
    </w:p>
    <w:p w14:paraId="4712F1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CD72D12" w14:textId="77777777" w:rsidR="008C396C" w:rsidRPr="00925F26" w:rsidRDefault="008C396C" w:rsidP="00925F26">
      <w:pPr>
        <w:shd w:val="clear" w:color="auto" w:fill="FFFFFF"/>
        <w:jc w:val="both"/>
        <w:rPr>
          <w:color w:val="000000" w:themeColor="text1"/>
          <w:sz w:val="16"/>
          <w:szCs w:val="16"/>
        </w:rPr>
      </w:pPr>
      <w:r w:rsidRPr="00925F26">
        <w:rPr>
          <w:color w:val="000000" w:themeColor="text1"/>
          <w:sz w:val="16"/>
          <w:szCs w:val="16"/>
        </w:rPr>
        <w:t>18 февраля 1945 были начаты летные испытания самолета Су-7 с РД-1, которые продолжались с небольшими перерывами до 23 марта. В этот день в полете при повторном включении РД-1 в воздухе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25E8D293" w14:textId="77777777" w:rsidR="008C396C" w:rsidRPr="00925F26" w:rsidRDefault="008C396C" w:rsidP="00925F26">
      <w:pPr>
        <w:shd w:val="clear" w:color="auto" w:fill="FFFFFF"/>
        <w:jc w:val="both"/>
        <w:rPr>
          <w:color w:val="000000" w:themeColor="text1"/>
          <w:sz w:val="16"/>
          <w:szCs w:val="16"/>
        </w:rPr>
      </w:pPr>
      <w:r w:rsidRPr="00925F26">
        <w:rPr>
          <w:color w:val="000000" w:themeColor="text1"/>
          <w:sz w:val="16"/>
          <w:szCs w:val="16"/>
        </w:rPr>
        <w:t>Для установления причин аварии самолета по приказу за местителя Наркома А.С. Яковлева была назначена комиссия.</w:t>
      </w:r>
    </w:p>
    <w:p w14:paraId="6FE30C5E" w14:textId="77777777" w:rsidR="008C396C" w:rsidRPr="00925F26" w:rsidRDefault="008C396C" w:rsidP="00925F26">
      <w:pPr>
        <w:shd w:val="clear" w:color="auto" w:fill="FFFFFF"/>
        <w:jc w:val="both"/>
        <w:rPr>
          <w:color w:val="000000" w:themeColor="text1"/>
          <w:sz w:val="16"/>
          <w:szCs w:val="16"/>
        </w:rPr>
      </w:pPr>
      <w:r w:rsidRPr="00925F26">
        <w:rPr>
          <w:color w:val="000000" w:themeColor="text1"/>
          <w:sz w:val="16"/>
          <w:szCs w:val="16"/>
        </w:rPr>
        <w:t xml:space="preserve">Было установлено, что после неудавшегося высотного запуска при повторной попытке произвести его произошел взрыв. </w:t>
      </w:r>
      <w:proofErr w:type="gramStart"/>
      <w:r w:rsidRPr="00925F26">
        <w:rPr>
          <w:color w:val="000000" w:themeColor="text1"/>
          <w:sz w:val="16"/>
          <w:szCs w:val="16"/>
        </w:rPr>
        <w:t>При чиной</w:t>
      </w:r>
      <w:proofErr w:type="gramEnd"/>
      <w:r w:rsidRPr="00925F26">
        <w:rPr>
          <w:color w:val="000000" w:themeColor="text1"/>
          <w:sz w:val="16"/>
          <w:szCs w:val="16"/>
        </w:rPr>
        <w:t xml:space="preserve"> взрыва послужила ненадежная работа системы эфиро воздушного зажигания со свечой накаливания (19586).</w:t>
      </w:r>
    </w:p>
    <w:p w14:paraId="745E707A" w14:textId="77777777" w:rsidR="008C396C" w:rsidRPr="00925F26" w:rsidRDefault="008C396C" w:rsidP="00925F26">
      <w:pPr>
        <w:shd w:val="clear" w:color="auto" w:fill="FFFFFF"/>
        <w:jc w:val="both"/>
        <w:rPr>
          <w:color w:val="000000" w:themeColor="text1"/>
          <w:sz w:val="16"/>
          <w:szCs w:val="16"/>
        </w:rPr>
      </w:pPr>
    </w:p>
    <w:p w14:paraId="693DBC1A" w14:textId="77777777" w:rsidR="00F94B6C" w:rsidRPr="001A0BAA" w:rsidRDefault="00F94B6C" w:rsidP="00F94B6C">
      <w:pPr>
        <w:jc w:val="both"/>
        <w:rPr>
          <w:color w:val="0070C0"/>
          <w:sz w:val="16"/>
          <w:szCs w:val="16"/>
        </w:rPr>
      </w:pPr>
      <w:r w:rsidRPr="001A0BAA">
        <w:rPr>
          <w:color w:val="0070C0"/>
          <w:sz w:val="16"/>
          <w:szCs w:val="16"/>
        </w:rPr>
        <w:t>18 февраля 1945 г. были начаты летные испытания самолета Су-7 с РД-1, которые продолжались с небольшими перерывами до 23 марта. В этот день в полете при повторном включении РД-1 в воздухе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00661840" w14:textId="77777777" w:rsidR="00F94B6C" w:rsidRPr="001A0BAA" w:rsidRDefault="00F94B6C" w:rsidP="00F94B6C">
      <w:pPr>
        <w:jc w:val="both"/>
        <w:rPr>
          <w:color w:val="0070C0"/>
          <w:sz w:val="16"/>
          <w:szCs w:val="16"/>
        </w:rPr>
      </w:pPr>
      <w:r w:rsidRPr="001A0BAA">
        <w:rPr>
          <w:color w:val="0070C0"/>
          <w:sz w:val="16"/>
          <w:szCs w:val="16"/>
        </w:rPr>
        <w:t>Для установления причин аварии самолета по приказу за</w:t>
      </w:r>
      <w:r w:rsidRPr="001A0BAA">
        <w:rPr>
          <w:color w:val="0070C0"/>
          <w:sz w:val="16"/>
          <w:szCs w:val="16"/>
        </w:rPr>
        <w:softHyphen/>
        <w:t>местителя Наркома А.С. Яковлева была назначена комиссия. Было установлено, что после неудавшегося высотного запуска при повторной попытке произвести его произошел взрыв. При</w:t>
      </w:r>
      <w:r w:rsidRPr="001A0BAA">
        <w:rPr>
          <w:color w:val="0070C0"/>
          <w:sz w:val="16"/>
          <w:szCs w:val="16"/>
        </w:rPr>
        <w:softHyphen/>
        <w:t>чиной взрыва послужила ненадежная работа системы эфиро</w:t>
      </w:r>
      <w:r w:rsidRPr="001A0BAA">
        <w:rPr>
          <w:color w:val="0070C0"/>
          <w:sz w:val="16"/>
          <w:szCs w:val="16"/>
        </w:rPr>
        <w:softHyphen/>
        <w:t>воздушного зажигания со свечой накаливания (24920).</w:t>
      </w:r>
    </w:p>
    <w:p w14:paraId="67BD0AD1" w14:textId="77777777" w:rsidR="00F94B6C" w:rsidRPr="001A0BAA" w:rsidRDefault="00F94B6C" w:rsidP="00F94B6C">
      <w:pPr>
        <w:jc w:val="both"/>
        <w:rPr>
          <w:color w:val="0070C0"/>
          <w:sz w:val="16"/>
          <w:szCs w:val="16"/>
        </w:rPr>
      </w:pPr>
    </w:p>
    <w:p w14:paraId="660DD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высотный истребитель-перехватчик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опробовали с винтом ВИШ-105ТЛ-2, при этом была достигнута высота 9000 метров, но из-за падения давления бензина до нуля полет пришлось прекратить.</w:t>
      </w:r>
    </w:p>
    <w:p w14:paraId="3CB430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67A5A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58DBE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068360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791DEC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0C0134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255848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6D7DA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1F94120" w14:textId="77777777" w:rsidR="00665165" w:rsidRPr="00925F26" w:rsidRDefault="00665165" w:rsidP="00925F26">
      <w:pPr>
        <w:autoSpaceDE w:val="0"/>
        <w:autoSpaceDN w:val="0"/>
        <w:adjustRightInd w:val="0"/>
        <w:jc w:val="both"/>
        <w:rPr>
          <w:color w:val="000000" w:themeColor="text1"/>
          <w:sz w:val="16"/>
          <w:szCs w:val="16"/>
        </w:rPr>
      </w:pPr>
    </w:p>
    <w:p w14:paraId="32445652" w14:textId="77777777" w:rsidR="000F49EC" w:rsidRPr="00925F26" w:rsidRDefault="000F49EC" w:rsidP="00925F26">
      <w:pPr>
        <w:jc w:val="both"/>
        <w:rPr>
          <w:color w:val="000000" w:themeColor="text1"/>
          <w:sz w:val="16"/>
          <w:szCs w:val="16"/>
        </w:rPr>
      </w:pPr>
      <w:r w:rsidRPr="00925F26">
        <w:rPr>
          <w:bCs/>
          <w:color w:val="000000" w:themeColor="text1"/>
          <w:sz w:val="16"/>
          <w:szCs w:val="16"/>
        </w:rPr>
        <w:t>18 февраля</w:t>
      </w:r>
      <w:r w:rsidRPr="00925F26">
        <w:rPr>
          <w:color w:val="000000" w:themeColor="text1"/>
          <w:sz w:val="16"/>
          <w:szCs w:val="16"/>
        </w:rPr>
        <w:t xml:space="preserve"> в 1945 году на Центральном аэродроме летчик М.И.Иванов испытал ВМГ модифицированного истребителя «Як-З» N36-20 с винтом «Л-2 в двух непродолжительных полетах. Двигатель давал перебои. 19 февраля М.И.Иванов перегнал самолет в ЛИИ для дальнейших испытаний и доводки. С 20 февраля по 5 мая 1945 г. </w:t>
      </w:r>
      <w:hyperlink r:id="rId39" w:tgtFrame="_blank" w:history="1">
        <w:r w:rsidRPr="00925F26">
          <w:rPr>
            <w:color w:val="000000" w:themeColor="text1"/>
            <w:sz w:val="16"/>
            <w:szCs w:val="16"/>
          </w:rPr>
          <w:t xml:space="preserve">«Як-ЗПД» </w:t>
        </w:r>
      </w:hyperlink>
      <w:r w:rsidRPr="00925F26">
        <w:rPr>
          <w:color w:val="000000" w:themeColor="text1"/>
          <w:sz w:val="16"/>
          <w:szCs w:val="16"/>
        </w:rPr>
        <w:t>с двигателем «ВК-105ПД N1012-43» завода N466 с двухступенчатым нагнетателем «Э-100» (передаточное число 9,72) проходил летные испытания и доводку в ЛИИ (15044).</w:t>
      </w:r>
    </w:p>
    <w:p w14:paraId="02B05EA3" w14:textId="77777777" w:rsidR="000F49EC" w:rsidRPr="00925F26" w:rsidRDefault="000F49EC" w:rsidP="00925F26">
      <w:pPr>
        <w:jc w:val="both"/>
        <w:rPr>
          <w:color w:val="000000" w:themeColor="text1"/>
          <w:sz w:val="16"/>
          <w:szCs w:val="16"/>
        </w:rPr>
      </w:pPr>
    </w:p>
    <w:p w14:paraId="432B34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c удовлетворительной оценкой закончились гос. испытания однокамерный ЖРД РД-2М Л.С.Душкина, которые начались с 23 января 1945. тяга была 1450 кг взлетная и 1170 номинальная. Ресурс - 41 мин. по камере (2928,88).</w:t>
      </w:r>
    </w:p>
    <w:p w14:paraId="6B8385A8" w14:textId="77777777" w:rsidR="00665165" w:rsidRPr="00925F26" w:rsidRDefault="00665165" w:rsidP="00925F26">
      <w:pPr>
        <w:autoSpaceDE w:val="0"/>
        <w:autoSpaceDN w:val="0"/>
        <w:adjustRightInd w:val="0"/>
        <w:jc w:val="both"/>
        <w:rPr>
          <w:color w:val="000000" w:themeColor="text1"/>
          <w:sz w:val="16"/>
          <w:szCs w:val="16"/>
        </w:rPr>
      </w:pPr>
    </w:p>
    <w:p w14:paraId="2FAB7A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были завершены все заводские работы по двухкамерному ЖРД Л.С.Душкина РД-2М3Ц (2928,98).</w:t>
      </w:r>
    </w:p>
    <w:p w14:paraId="608C9BC0" w14:textId="77777777" w:rsidR="00665165" w:rsidRPr="00925F26" w:rsidRDefault="00665165" w:rsidP="00925F26">
      <w:pPr>
        <w:autoSpaceDE w:val="0"/>
        <w:autoSpaceDN w:val="0"/>
        <w:adjustRightInd w:val="0"/>
        <w:jc w:val="both"/>
        <w:rPr>
          <w:color w:val="000000" w:themeColor="text1"/>
          <w:sz w:val="16"/>
          <w:szCs w:val="16"/>
        </w:rPr>
      </w:pPr>
    </w:p>
    <w:p w14:paraId="0D3FFB1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A90F2ED" w14:textId="77777777" w:rsidR="00665165" w:rsidRPr="00925F26" w:rsidRDefault="00665165" w:rsidP="00925F26">
      <w:pPr>
        <w:autoSpaceDE w:val="0"/>
        <w:autoSpaceDN w:val="0"/>
        <w:adjustRightInd w:val="0"/>
        <w:jc w:val="both"/>
        <w:rPr>
          <w:iCs/>
          <w:color w:val="000000" w:themeColor="text1"/>
          <w:sz w:val="16"/>
          <w:szCs w:val="16"/>
        </w:rPr>
      </w:pPr>
    </w:p>
    <w:p w14:paraId="55C470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февраля 1945 г. был подготовлен ОТЗЫВ В УСА ГБТУ КА О БОЕВОМ ИСПОЛЬЗОВАНИИ САМОХОДНЫХ АРТУСТАНОВОК СУ-100 НА 3-м УКРАИНСКОМ ФРОНТЕ</w:t>
      </w:r>
    </w:p>
    <w:p w14:paraId="6C102E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Боевое применение СУ-100.</w:t>
      </w:r>
    </w:p>
    <w:p w14:paraId="43D157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СУ-100 является новым средством борьбы с танками противника. В боевом применении они показали себя как самые эффективные средства против тяжелых танков.</w:t>
      </w:r>
    </w:p>
    <w:p w14:paraId="511A60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мощности огня СУ-100 намного превосходят СУ-85. СУ-100 прямым попаданием с дистанции 1500 м выводит из строя тяжелые танки противника, а при фланговом огне — с дистанции 2000 м.</w:t>
      </w:r>
    </w:p>
    <w:p w14:paraId="7BEE1E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наступлении СУ-100 выгодно использовать для сопровождения танков.</w:t>
      </w:r>
    </w:p>
    <w:p w14:paraId="7915FA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обороне СУ-100 выгодно располагать на танкоопасных направлениях и, кроме того, исполь</w:t>
      </w:r>
      <w:r w:rsidRPr="00925F26">
        <w:rPr>
          <w:color w:val="000000" w:themeColor="text1"/>
          <w:sz w:val="16"/>
          <w:szCs w:val="16"/>
        </w:rPr>
        <w:softHyphen/>
        <w:t>зовать их как подвижный противотанковый резерв. Ведение огня, как правило, прямой наводкой с места или с коротких остановок.</w:t>
      </w:r>
    </w:p>
    <w:p w14:paraId="5B40C2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видах боя СУ-100 должны прикрываться танками и пехотой.</w:t>
      </w:r>
    </w:p>
    <w:p w14:paraId="5E636E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Эффективность введенных конструктивных изменений СУ-100 по сравнению с СУ-85.</w:t>
      </w:r>
    </w:p>
    <w:p w14:paraId="27925B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Броня СУ-100 более устойчива, чем СУ-85. Но в ней имеются следующие недостатки:</w:t>
      </w:r>
    </w:p>
    <w:p w14:paraId="34C81A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Есть случаи, когда от сильных ударов снарядов лопаются крепежные болты и даже элект</w:t>
      </w:r>
      <w:r w:rsidRPr="00925F26">
        <w:rPr>
          <w:color w:val="000000" w:themeColor="text1"/>
          <w:sz w:val="16"/>
          <w:szCs w:val="16"/>
        </w:rPr>
        <w:softHyphen/>
        <w:t>росварка. Также, от ударов снарядов мелкие частицы стали, отламываясь от стенок, поражают экипажи.</w:t>
      </w:r>
    </w:p>
    <w:p w14:paraId="7BAFD1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Ходовая часть в практической работе разницы с СУ-85 не имеет. Как у СУ-100, так и у СУ-85 на третьем катке иногда спадают бандажи.</w:t>
      </w:r>
    </w:p>
    <w:p w14:paraId="2317C2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Боевое отделение отличается от СУ-85 в лучшую сторону тем, что имеет командирскую башню. Это дает возможность вести круговой обзор и наблюдение за полем боя.</w:t>
      </w:r>
    </w:p>
    <w:p w14:paraId="618529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Сравнительные данные по проходимости и взятию препятствий СУ-100 и СУ-85.</w:t>
      </w:r>
    </w:p>
    <w:p w14:paraId="4C8BBD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СУ-100 и СУ-85 по проходимости существенной разницы не имеют. СУ-100 с небольшим увели</w:t>
      </w:r>
      <w:r w:rsidRPr="00925F26">
        <w:rPr>
          <w:color w:val="000000" w:themeColor="text1"/>
          <w:sz w:val="16"/>
          <w:szCs w:val="16"/>
        </w:rPr>
        <w:softHyphen/>
        <w:t>чением веса не потеряла маневренности. Наличие длинного ствола у СУ-100 несколько ограничивает взятие препятствий, что нужно учитывать при подготовке механиков-водителей.</w:t>
      </w:r>
    </w:p>
    <w:p w14:paraId="280168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Удобство работы экипажа.</w:t>
      </w:r>
    </w:p>
    <w:p w14:paraId="591A07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сравнению с СУ-85 существенной разницы нет. Уменьшилось место работы экипажа в связи с увеличением габарита пушки. Это небольшое изменение несколько сказывается на быстроте рабо</w:t>
      </w:r>
      <w:r w:rsidRPr="00925F26">
        <w:rPr>
          <w:color w:val="000000" w:themeColor="text1"/>
          <w:sz w:val="16"/>
          <w:szCs w:val="16"/>
        </w:rPr>
        <w:softHyphen/>
        <w:t>ты экипажа.</w:t>
      </w:r>
    </w:p>
    <w:p w14:paraId="56B196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Практическая скорострельность пушки.</w:t>
      </w:r>
    </w:p>
    <w:p w14:paraId="75DD32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Практическая скорострельность СУ-100 в минуту — 4-5 выстрелов, а СУ-85 — 7-8 выстрелов. Скорострельность уменьшается за счет увеличения веса снаряда.</w:t>
      </w:r>
    </w:p>
    <w:p w14:paraId="41D5BD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Работа подъемного и поворотного механизмов пушки.</w:t>
      </w:r>
    </w:p>
    <w:p w14:paraId="3FCCA6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Подъемный и поворотный механизмы СУ-100 работают несколько туго. Это зависит от малого габарита маховика и от грубой обработки деталей. Кроме того, медленно поворачивается орудие. Кронштейн, на котором монтируется подъемный и поворотный механизмы, в местах его сварки к раме иногда дает трещину. Были случаи отрыва кронштейна совсем.</w:t>
      </w:r>
    </w:p>
    <w:p w14:paraId="292A4F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Размещение и крепление боеукладок.</w:t>
      </w:r>
    </w:p>
    <w:p w14:paraId="57329B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Размещение боеукладок в СУ-100 удобно тем, что оно находится с левой стороны. Крепление их прочнее.</w:t>
      </w:r>
    </w:p>
    <w:p w14:paraId="4B801C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Надежность монтажа и удобство пользования прицельным приспособлением.</w:t>
      </w:r>
    </w:p>
    <w:p w14:paraId="0CD423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расположению монтаж прицельного приспособления удобный, сам прицел ТШ-19 в светоси</w:t>
      </w:r>
      <w:r w:rsidRPr="00925F26">
        <w:rPr>
          <w:color w:val="000000" w:themeColor="text1"/>
          <w:sz w:val="16"/>
          <w:szCs w:val="16"/>
        </w:rPr>
        <w:softHyphen/>
        <w:t>ле слаб. Отверстие в бронемаске для полезрения грубо обработано. Оптика от удара снаряда в броню иногда нарушается и выходит из строя.</w:t>
      </w:r>
    </w:p>
    <w:p w14:paraId="4155E9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Стойкость брони против разных видов артиллерии и качество брони.</w:t>
      </w:r>
    </w:p>
    <w:p w14:paraId="17E086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Лобовая часть брони СУ-100 для легкой и средней артиллерии неуязвима. Тяжелые танки и артиллерия 88-мм лобовую часть на близких дистанциях пробивает (1000 м и ближе). В броне есть такой недостаток, что при ударе снаряда от внутренней части брони отскакивают мелкие осколки (хрупкость брони), которые поражают экипаж.</w:t>
      </w:r>
    </w:p>
    <w:p w14:paraId="1B8634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Удобство обзорности из машины для командира установки, наводчика и механика-водителя, В коV^андирской башне смотровые приборы не совершенны, особенно плохой вертикальный обзор. Для наводчика и механика-водителя обзорность вполне удовлетворительная.</w:t>
      </w:r>
    </w:p>
    <w:p w14:paraId="0693E3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Основные неисправности и дефекты СУ-100, встречающиеся во время боевой эксплуатации. Кроме вышеперечисленных неисправностей и дефектов, замечено следующее</w:t>
      </w:r>
      <w:proofErr w:type="gramStart"/>
      <w:r w:rsidRPr="00925F26">
        <w:rPr>
          <w:color w:val="000000" w:themeColor="text1"/>
          <w:sz w:val="16"/>
          <w:szCs w:val="16"/>
        </w:rPr>
        <w:t>: После</w:t>
      </w:r>
      <w:proofErr w:type="gramEnd"/>
      <w:r w:rsidRPr="00925F26">
        <w:rPr>
          <w:color w:val="000000" w:themeColor="text1"/>
          <w:sz w:val="16"/>
          <w:szCs w:val="16"/>
        </w:rPr>
        <w:t xml:space="preserve"> пробега 400-500 км выходит из строя подшипник каретки первой и задней передачи. Отмечено несколько случаев выхода из строя масляных трубок зимней смазки. В работе иногда отка</w:t>
      </w:r>
      <w:r w:rsidRPr="00925F26">
        <w:rPr>
          <w:color w:val="000000" w:themeColor="text1"/>
          <w:sz w:val="16"/>
          <w:szCs w:val="16"/>
        </w:rPr>
        <w:softHyphen/>
        <w:t>зывают подъемный и поворотный механизмы, а также открывающий механизм затвора.</w:t>
      </w:r>
    </w:p>
    <w:p w14:paraId="728E47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Предложения по улучшению боевых и эксплуатационных качеств СУ-100</w:t>
      </w:r>
    </w:p>
    <w:p w14:paraId="5760D0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1. Вследствие недостаточного обзора для механика водителя на правую гусеницу (что затрудняет работу при маршах) необходимо поставить зеркало.</w:t>
      </w:r>
    </w:p>
    <w:p w14:paraId="383631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Повернуть буксирные крюки на 180°, усилить их стопора и троса.</w:t>
      </w:r>
    </w:p>
    <w:p w14:paraId="122107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Для уменьшения отката поставить на ствол дульный тормоз.</w:t>
      </w:r>
    </w:p>
    <w:p w14:paraId="1837C8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Увеличить радиус маховиков подъемного и поворотного механизмов.</w:t>
      </w:r>
    </w:p>
    <w:p w14:paraId="2F19BC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С целью уменьшения не просматриваемого пространства около СУ поднять перископ коман</w:t>
      </w:r>
      <w:r w:rsidRPr="00925F26">
        <w:rPr>
          <w:color w:val="000000" w:themeColor="text1"/>
          <w:sz w:val="16"/>
          <w:szCs w:val="16"/>
        </w:rPr>
        <w:softHyphen/>
        <w:t>дирской башни на 7-8 см.</w:t>
      </w:r>
    </w:p>
    <w:p w14:paraId="0958FB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Крышку люка командирской башни сделать сплошную (как у Т-34).</w:t>
      </w:r>
    </w:p>
    <w:p w14:paraId="35B687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Усилить подвеску передних катков для увеличения проходимости СУ-100 через препятствия.</w:t>
      </w:r>
    </w:p>
    <w:p w14:paraId="3674F2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Установить по одному буксирному крюку на бортах для вытягивания перевернутой машины.</w:t>
      </w:r>
    </w:p>
    <w:p w14:paraId="3F7E62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Установить на СУ-100 пулемет.</w:t>
      </w:r>
    </w:p>
    <w:p w14:paraId="6EA165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Выводы</w:t>
      </w:r>
    </w:p>
    <w:p w14:paraId="40C7A7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Опыт боевого применения СУ-100 показал, что СУ-100 являются самым эффективным средством борь</w:t>
      </w:r>
      <w:r w:rsidRPr="00925F26">
        <w:rPr>
          <w:color w:val="000000" w:themeColor="text1"/>
          <w:sz w:val="16"/>
          <w:szCs w:val="16"/>
        </w:rPr>
        <w:softHyphen/>
        <w:t>бы с тяжелыми танками противника. Наличие пушки СУ-100 значительно увеличило огневую мощь и про</w:t>
      </w:r>
      <w:r w:rsidRPr="00925F26">
        <w:rPr>
          <w:color w:val="000000" w:themeColor="text1"/>
          <w:sz w:val="16"/>
          <w:szCs w:val="16"/>
        </w:rPr>
        <w:softHyphen/>
        <w:t>бивную способность по сравнению с СУ-85. С включением СУ-100 в танковые и механизированные корпуса значительно увеличится их ударная сила, а также обороноспособность против танков противника.</w:t>
      </w:r>
    </w:p>
    <w:p w14:paraId="46783F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3 Украинского фронта генерал-майор танковых войск Павелкин</w:t>
      </w:r>
    </w:p>
    <w:p w14:paraId="0E3994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3 УФ по артиллерии генерал-майор артиллерии Гундорин</w:t>
      </w:r>
    </w:p>
    <w:p w14:paraId="520218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11369. Д. 507. Л. 62-64. Подлинник (11420).</w:t>
      </w:r>
    </w:p>
    <w:p w14:paraId="3578ED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B38525E" w14:textId="77777777" w:rsidR="000F49EC" w:rsidRPr="00925F26" w:rsidRDefault="000F49EC" w:rsidP="00925F26">
      <w:pPr>
        <w:jc w:val="both"/>
        <w:rPr>
          <w:color w:val="000000" w:themeColor="text1"/>
          <w:sz w:val="16"/>
          <w:szCs w:val="16"/>
        </w:rPr>
      </w:pPr>
      <w:r w:rsidRPr="00925F26">
        <w:rPr>
          <w:bCs/>
          <w:color w:val="000000" w:themeColor="text1"/>
          <w:sz w:val="16"/>
          <w:szCs w:val="16"/>
        </w:rPr>
        <w:t>18 февраля</w:t>
      </w:r>
      <w:r w:rsidRPr="00925F26">
        <w:rPr>
          <w:color w:val="000000" w:themeColor="text1"/>
          <w:sz w:val="16"/>
          <w:szCs w:val="16"/>
        </w:rPr>
        <w:t xml:space="preserve"> в 1945 году Завершено строительство и введена в строй 1-я очередь Красноярского машиностроительного завода «Красный профинтерн». В Восточной Сибири создана крупная база тяжёлого машиностроения (15044).</w:t>
      </w:r>
    </w:p>
    <w:p w14:paraId="3ABCEB11" w14:textId="77777777" w:rsidR="000F49EC" w:rsidRPr="00925F26" w:rsidRDefault="000F49EC" w:rsidP="00925F26">
      <w:pPr>
        <w:jc w:val="both"/>
        <w:rPr>
          <w:color w:val="000000" w:themeColor="text1"/>
          <w:sz w:val="16"/>
          <w:szCs w:val="16"/>
        </w:rPr>
      </w:pPr>
    </w:p>
    <w:p w14:paraId="7C92BC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вышло Распоряжение ГКО № 7551. О мерах по вводу в действие импортных гидравлических прессов и пневмогидравлических аккумуляторных станций на заводах НКБ. РГАНИР, Фонд ГКО, д. 372, лл. 74-78, 79-80 (11012).</w:t>
      </w:r>
    </w:p>
    <w:p w14:paraId="24440BA5" w14:textId="77777777" w:rsidR="00665165" w:rsidRPr="00925F26" w:rsidRDefault="00665165" w:rsidP="00925F26">
      <w:pPr>
        <w:autoSpaceDE w:val="0"/>
        <w:autoSpaceDN w:val="0"/>
        <w:adjustRightInd w:val="0"/>
        <w:jc w:val="both"/>
        <w:rPr>
          <w:color w:val="000000" w:themeColor="text1"/>
          <w:sz w:val="16"/>
          <w:szCs w:val="16"/>
        </w:rPr>
      </w:pPr>
    </w:p>
    <w:p w14:paraId="617F8E4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февраля 1945 вышло Распоряжение ГКО № 7552 [О мерах по обеспечению потребности НКПС в смазочных маслах в I кв. 1945 г.] (7309, 81-82).</w:t>
      </w:r>
    </w:p>
    <w:p w14:paraId="75825C1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513A2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вышло Распоряжение ГКО № 7553. О мерах выполнения плана поставки пороховым заводам НКБ линтера-сырца и хлопкового волокна в I кв. 1945 г. РГАНИР, Фонд ГКО, д. 372, лл. 83, 84 (11012).</w:t>
      </w:r>
    </w:p>
    <w:p w14:paraId="7D4C8D69" w14:textId="77777777" w:rsidR="00665165" w:rsidRPr="00925F26" w:rsidRDefault="00665165" w:rsidP="00925F26">
      <w:pPr>
        <w:autoSpaceDE w:val="0"/>
        <w:autoSpaceDN w:val="0"/>
        <w:adjustRightInd w:val="0"/>
        <w:jc w:val="both"/>
        <w:rPr>
          <w:color w:val="000000" w:themeColor="text1"/>
          <w:sz w:val="16"/>
          <w:szCs w:val="16"/>
        </w:rPr>
      </w:pPr>
    </w:p>
    <w:p w14:paraId="7CDA01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вышло Постановление ГКО № 7554 О неотложной помощи по поставке нефтепродуктов заводам Наркомтанкопрома. РГАНИР, Фонд ГКО, д. 372, лл. 85-86 (11012).</w:t>
      </w:r>
    </w:p>
    <w:p w14:paraId="528073AA" w14:textId="77777777" w:rsidR="00665165" w:rsidRPr="00925F26" w:rsidRDefault="00665165" w:rsidP="00925F26">
      <w:pPr>
        <w:autoSpaceDE w:val="0"/>
        <w:autoSpaceDN w:val="0"/>
        <w:adjustRightInd w:val="0"/>
        <w:jc w:val="both"/>
        <w:rPr>
          <w:color w:val="000000" w:themeColor="text1"/>
          <w:sz w:val="16"/>
          <w:szCs w:val="16"/>
        </w:rPr>
      </w:pPr>
    </w:p>
    <w:p w14:paraId="24E224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вышло Распоряжение ГКО № 7555. О производстве деталей для трубопрокатных станов НКЧМ. РГАНИР, Фонд ГКО, д. 372, лл. 87 (11012).</w:t>
      </w:r>
    </w:p>
    <w:p w14:paraId="12AA1FAB" w14:textId="77777777" w:rsidR="00665165" w:rsidRPr="00925F26" w:rsidRDefault="00665165" w:rsidP="00925F26">
      <w:pPr>
        <w:autoSpaceDE w:val="0"/>
        <w:autoSpaceDN w:val="0"/>
        <w:adjustRightInd w:val="0"/>
        <w:jc w:val="both"/>
        <w:rPr>
          <w:color w:val="000000" w:themeColor="text1"/>
          <w:sz w:val="16"/>
          <w:szCs w:val="16"/>
        </w:rPr>
      </w:pPr>
    </w:p>
    <w:p w14:paraId="238DA5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вышло Распоряжение ГКО № 7556. О производстве и испытании опытных партий противогазов. РГАНИР, Фонд ГКО, д. 372, лл. 88 (11012).</w:t>
      </w:r>
    </w:p>
    <w:p w14:paraId="0C04E42B" w14:textId="77777777" w:rsidR="00665165" w:rsidRPr="00925F26" w:rsidRDefault="00665165" w:rsidP="00925F26">
      <w:pPr>
        <w:autoSpaceDE w:val="0"/>
        <w:autoSpaceDN w:val="0"/>
        <w:adjustRightInd w:val="0"/>
        <w:jc w:val="both"/>
        <w:rPr>
          <w:color w:val="000000" w:themeColor="text1"/>
          <w:sz w:val="16"/>
          <w:szCs w:val="16"/>
        </w:rPr>
      </w:pPr>
    </w:p>
    <w:p w14:paraId="32B1F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вышло Распоряжение ГКО № 7557. О мерах скорейшего восстановления производства взрывателей и капсюльных втулок на Харьковском велозаводе НКСМ. РГАНИР, Фонд ГКО, д. 372, лл. 89-90 (11012).</w:t>
      </w:r>
    </w:p>
    <w:p w14:paraId="71887BEC" w14:textId="77777777" w:rsidR="00665165" w:rsidRPr="00925F26" w:rsidRDefault="00665165" w:rsidP="00925F26">
      <w:pPr>
        <w:autoSpaceDE w:val="0"/>
        <w:autoSpaceDN w:val="0"/>
        <w:adjustRightInd w:val="0"/>
        <w:jc w:val="both"/>
        <w:rPr>
          <w:color w:val="000000" w:themeColor="text1"/>
          <w:sz w:val="16"/>
          <w:szCs w:val="16"/>
        </w:rPr>
      </w:pPr>
    </w:p>
    <w:p w14:paraId="1C07063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4857093" w14:textId="77777777" w:rsidR="00665165" w:rsidRPr="00925F26" w:rsidRDefault="00665165" w:rsidP="00925F26">
      <w:pPr>
        <w:autoSpaceDE w:val="0"/>
        <w:autoSpaceDN w:val="0"/>
        <w:adjustRightInd w:val="0"/>
        <w:jc w:val="both"/>
        <w:rPr>
          <w:iCs/>
          <w:color w:val="000000" w:themeColor="text1"/>
          <w:sz w:val="16"/>
          <w:szCs w:val="16"/>
        </w:rPr>
      </w:pPr>
    </w:p>
    <w:p w14:paraId="1E3C8B06" w14:textId="77777777" w:rsidR="000F49EC" w:rsidRPr="00925F26" w:rsidRDefault="000F49EC" w:rsidP="00925F26">
      <w:pPr>
        <w:jc w:val="both"/>
        <w:rPr>
          <w:color w:val="000000" w:themeColor="text1"/>
          <w:sz w:val="16"/>
          <w:szCs w:val="16"/>
        </w:rPr>
      </w:pPr>
      <w:r w:rsidRPr="00925F26">
        <w:rPr>
          <w:bCs/>
          <w:color w:val="000000" w:themeColor="text1"/>
          <w:sz w:val="16"/>
          <w:szCs w:val="16"/>
        </w:rPr>
        <w:t>18 февраля</w:t>
      </w:r>
      <w:r w:rsidRPr="00925F26">
        <w:rPr>
          <w:color w:val="000000" w:themeColor="text1"/>
          <w:sz w:val="16"/>
          <w:szCs w:val="16"/>
        </w:rPr>
        <w:t xml:space="preserve"> в 1945 году оперативная сводка Совинформбюро:</w:t>
      </w:r>
    </w:p>
    <w:p w14:paraId="13AE33EF" w14:textId="77777777" w:rsidR="000F49EC" w:rsidRPr="00925F26" w:rsidRDefault="000F49EC" w:rsidP="00925F26">
      <w:pPr>
        <w:jc w:val="both"/>
        <w:rPr>
          <w:color w:val="000000" w:themeColor="text1"/>
          <w:sz w:val="16"/>
          <w:szCs w:val="16"/>
        </w:rPr>
      </w:pPr>
      <w:r w:rsidRPr="00925F26">
        <w:rPr>
          <w:color w:val="000000" w:themeColor="text1"/>
          <w:sz w:val="16"/>
          <w:szCs w:val="16"/>
        </w:rPr>
        <w:t>«В течение 18 февраля южнее Кенигсберга наши войска продолжали бои по уничтожению Восточно-Прусской группировки немцев и овладели населёнными пунктами Робиттен, Галлинген, Оршен, Вильденхофф, Буххольц, Лайс, Лянгвальде.</w:t>
      </w:r>
    </w:p>
    <w:p w14:paraId="1D0B07A2" w14:textId="77777777" w:rsidR="000F49EC" w:rsidRPr="00925F26" w:rsidRDefault="000F49EC" w:rsidP="00925F26">
      <w:pPr>
        <w:jc w:val="both"/>
        <w:rPr>
          <w:color w:val="000000" w:themeColor="text1"/>
          <w:sz w:val="16"/>
          <w:szCs w:val="16"/>
        </w:rPr>
      </w:pPr>
      <w:r w:rsidRPr="00925F26">
        <w:rPr>
          <w:color w:val="000000" w:themeColor="text1"/>
          <w:sz w:val="16"/>
          <w:szCs w:val="16"/>
        </w:rPr>
        <w:t>В районе Грудзяндз (Грауденц) наши войска, наступая на север вдоль западного берега Вислы, завершили окружение гарнизона противника, обороняющегося в городе Грудзяндз (Грауденц), и заняли при этом населённые пункты Гросс-Драгас, Круш, Монтау, Гросс Зибсау, Варлюбин.</w:t>
      </w:r>
    </w:p>
    <w:p w14:paraId="4B3080FB" w14:textId="77777777" w:rsidR="000F49EC" w:rsidRPr="00925F26" w:rsidRDefault="000F49EC" w:rsidP="00925F26">
      <w:pPr>
        <w:jc w:val="both"/>
        <w:rPr>
          <w:color w:val="000000" w:themeColor="text1"/>
          <w:sz w:val="16"/>
          <w:szCs w:val="16"/>
        </w:rPr>
      </w:pPr>
      <w:r w:rsidRPr="00925F26">
        <w:rPr>
          <w:color w:val="000000" w:themeColor="text1"/>
          <w:sz w:val="16"/>
          <w:szCs w:val="16"/>
        </w:rPr>
        <w:t>В Померании южнее и юго-восточнее города Штаргард наши войска успешно отбили атаки пехоты и танков противника. Одновременно в лесах севернее Шнайдемюль наши войска ликвидировали ещё одну окружённую группу противника, захватив при этом в плен около 2.000 немецких солдат и офицеров, в том числе начальника инженерной службы Шнайдемюльского гарнизона полковника Курхаупа.</w:t>
      </w:r>
    </w:p>
    <w:p w14:paraId="1ED100B1" w14:textId="77777777" w:rsidR="000F49EC" w:rsidRPr="00925F26" w:rsidRDefault="000F49EC" w:rsidP="00925F26">
      <w:pPr>
        <w:jc w:val="both"/>
        <w:rPr>
          <w:color w:val="000000" w:themeColor="text1"/>
          <w:sz w:val="16"/>
          <w:szCs w:val="16"/>
        </w:rPr>
      </w:pPr>
      <w:r w:rsidRPr="00925F26">
        <w:rPr>
          <w:color w:val="000000" w:themeColor="text1"/>
          <w:sz w:val="16"/>
          <w:szCs w:val="16"/>
        </w:rPr>
        <w:t>В Бранденбурге южнее города Шверин нашими войсками в своё время был блокирован долговременный опорный пункт укреплённого района немцев, состоящий из 30 железобетонных оборонительных сооружений. После длительной осады и воздействия огнём артиллерии большой мощности гарнизон этого опорного пункта капитулировал, при этом нашими войсками взято в плен 1.245 немецких солдат и офицеров и захвачены следующие трофеи: орудий—48, миномётов—25, огнемётов—15, пулемётов—230, карабинов—800, автомашин—40, прицепов—338.</w:t>
      </w:r>
    </w:p>
    <w:p w14:paraId="5314422B" w14:textId="77777777" w:rsidR="000F49EC" w:rsidRPr="00925F26" w:rsidRDefault="000F49EC" w:rsidP="00925F26">
      <w:pPr>
        <w:jc w:val="both"/>
        <w:rPr>
          <w:color w:val="000000" w:themeColor="text1"/>
          <w:sz w:val="16"/>
          <w:szCs w:val="16"/>
        </w:rPr>
      </w:pPr>
      <w:r w:rsidRPr="00925F26">
        <w:rPr>
          <w:color w:val="000000" w:themeColor="text1"/>
          <w:sz w:val="16"/>
          <w:szCs w:val="16"/>
        </w:rPr>
        <w:t>В Познани продолжались бои по уничтожению гарнизона противника, удерживающего Цитадель.</w:t>
      </w:r>
    </w:p>
    <w:p w14:paraId="4B3B4A7B" w14:textId="77777777" w:rsidR="000F49EC" w:rsidRPr="00925F26" w:rsidRDefault="000F49EC" w:rsidP="00925F26">
      <w:pPr>
        <w:jc w:val="both"/>
        <w:rPr>
          <w:color w:val="000000" w:themeColor="text1"/>
          <w:sz w:val="16"/>
          <w:szCs w:val="16"/>
        </w:rPr>
      </w:pPr>
      <w:r w:rsidRPr="00925F26">
        <w:rPr>
          <w:color w:val="000000" w:themeColor="text1"/>
          <w:sz w:val="16"/>
          <w:szCs w:val="16"/>
        </w:rPr>
        <w:t>В Силезии наши войска с боем овладели городами Заган и Наумбург.</w:t>
      </w:r>
    </w:p>
    <w:p w14:paraId="3CA528E0" w14:textId="77777777" w:rsidR="000F49EC" w:rsidRPr="00925F26" w:rsidRDefault="000F49EC" w:rsidP="00925F26">
      <w:pPr>
        <w:jc w:val="both"/>
        <w:rPr>
          <w:color w:val="000000" w:themeColor="text1"/>
          <w:sz w:val="16"/>
          <w:szCs w:val="16"/>
        </w:rPr>
      </w:pPr>
      <w:r w:rsidRPr="00925F26">
        <w:rPr>
          <w:color w:val="000000" w:themeColor="text1"/>
          <w:sz w:val="16"/>
          <w:szCs w:val="16"/>
        </w:rPr>
        <w:t>Юго-западнее и южнее города Бреслау (Бреславль) наши войска в результате наступательных боёв заняли населённые пункты Ландау, Бейлау, Капсдорф, Гросс-Зегевиц, Трошдорф, Дуквиц, Ясвиц, Клайн-Тинц, Дюрр Хартау, Тифензе, Пудигау. Одновременно продолжались бои по уничтожению окружённой группировки противника в городе Бреслау.</w:t>
      </w:r>
    </w:p>
    <w:p w14:paraId="271DEB33" w14:textId="77777777" w:rsidR="000F49EC" w:rsidRPr="00925F26" w:rsidRDefault="000F49EC" w:rsidP="00925F26">
      <w:pPr>
        <w:jc w:val="both"/>
        <w:rPr>
          <w:color w:val="000000" w:themeColor="text1"/>
          <w:sz w:val="16"/>
          <w:szCs w:val="16"/>
        </w:rPr>
      </w:pPr>
      <w:r w:rsidRPr="00925F26">
        <w:rPr>
          <w:color w:val="000000" w:themeColor="text1"/>
          <w:sz w:val="16"/>
          <w:szCs w:val="16"/>
        </w:rPr>
        <w:t>На северном берегу Дуная восточнее Комарно наши войска продолжали отбивать атаки крупных сил пехоты и танков противника. В боях за 17 февраля в этом районе подбито и уничтожено 43 немецких танка.</w:t>
      </w:r>
    </w:p>
    <w:p w14:paraId="41D4C47E" w14:textId="77777777" w:rsidR="000F49EC" w:rsidRPr="00925F26" w:rsidRDefault="000F49EC"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1A82DBC2" w14:textId="77777777" w:rsidR="000F49EC" w:rsidRPr="00925F26" w:rsidRDefault="000F49EC" w:rsidP="00925F26">
      <w:pPr>
        <w:jc w:val="both"/>
        <w:rPr>
          <w:color w:val="000000" w:themeColor="text1"/>
          <w:sz w:val="16"/>
          <w:szCs w:val="16"/>
        </w:rPr>
      </w:pPr>
      <w:r w:rsidRPr="00925F26">
        <w:rPr>
          <w:color w:val="000000" w:themeColor="text1"/>
          <w:sz w:val="16"/>
          <w:szCs w:val="16"/>
        </w:rPr>
        <w:t>За 17 февраля на всех фронтах подбито и уничтожено 115 немецких танков. В воздушных боях и огнём зенитной артиллерии сбито 88 самолётов противника.</w:t>
      </w:r>
    </w:p>
    <w:p w14:paraId="29356DFB" w14:textId="77777777" w:rsidR="000F49EC" w:rsidRPr="00925F26" w:rsidRDefault="000F49EC" w:rsidP="00925F26">
      <w:pPr>
        <w:jc w:val="both"/>
        <w:rPr>
          <w:color w:val="000000" w:themeColor="text1"/>
          <w:sz w:val="16"/>
          <w:szCs w:val="16"/>
        </w:rPr>
      </w:pPr>
      <w:r w:rsidRPr="00925F26">
        <w:rPr>
          <w:color w:val="000000" w:themeColor="text1"/>
          <w:sz w:val="16"/>
          <w:szCs w:val="16"/>
        </w:rPr>
        <w:t>Южнее города Кенигсберг наши войска продолжали сжимать кольцо окружения Восточно-Прусской группировки немцев. Советские части, преодолевая упорное сопротивление противника, очистили от гитлеровцев большой лесной массив. Занято несколько сильно укреплённых опорных пунктов. Уничтожено до 2 тысяч немецких солдат и офицеров и 22 танка противника. Захвачено у немцев 22 орудия, 70 пулемётов, 65 автомашин, 2 железнодорожных эшелона с грузами и другие трофеи.</w:t>
      </w:r>
    </w:p>
    <w:p w14:paraId="01C8FB1F" w14:textId="77777777" w:rsidR="000F49EC" w:rsidRPr="00925F26" w:rsidRDefault="000F49EC" w:rsidP="00925F26">
      <w:pPr>
        <w:jc w:val="both"/>
        <w:rPr>
          <w:color w:val="000000" w:themeColor="text1"/>
          <w:sz w:val="16"/>
          <w:szCs w:val="16"/>
        </w:rPr>
      </w:pPr>
      <w:r w:rsidRPr="00925F26">
        <w:rPr>
          <w:color w:val="000000" w:themeColor="text1"/>
          <w:sz w:val="16"/>
          <w:szCs w:val="16"/>
        </w:rPr>
        <w:t>В районе города Грудзяндз (Грауденц) наши войска в результате ожесточённых боёв прорвали оборону противника. Советские части устремились в бреши, образовавшиеся в немецких позициях и, совершив обходный манёвр по болотистой труднопроходимой местности, окружили гарнизон противника в городе Грудаяндз (Грауденц). Гитлеровцы предприняли ряд отчаянных попыток прорвать кольцо окружения и вырваться из «мешка». В течение дня танки и пехота противника многократно переходили в контратаки. Наши пехотинцы отбили все вражеские контратаки, ворвались на окраины города и ведут бои по ликвидации окружённого гарнизона противника. На поле боя осталось много трупов вражеских солдат и офицеров. Захвачено 42 орудия, 440 автомашин, 246 мотоциклов, 5 складов с различным военным имуществом и другие трофеи. Взято в плен 400 немцев.</w:t>
      </w:r>
    </w:p>
    <w:p w14:paraId="16568BF0" w14:textId="77777777" w:rsidR="000F49EC" w:rsidRPr="00925F26" w:rsidRDefault="000F49EC" w:rsidP="00925F26">
      <w:pPr>
        <w:jc w:val="both"/>
        <w:rPr>
          <w:color w:val="000000" w:themeColor="text1"/>
          <w:sz w:val="16"/>
          <w:szCs w:val="16"/>
        </w:rPr>
      </w:pPr>
      <w:r w:rsidRPr="00925F26">
        <w:rPr>
          <w:color w:val="000000" w:themeColor="text1"/>
          <w:sz w:val="16"/>
          <w:szCs w:val="16"/>
        </w:rPr>
        <w:t>На 1-м Белорусском фронте шесть самолётов-истребителей под командованием дважды Героя Советского Союза майора Кожедуба встретили в воздухе 30 немецких самолётов, пытавшихся бомбардировать наши переправы. Советские летчики стремительно атаковали противника и расстроили его боевые порядки. Немецкие лётчики беспорядочно сбросили бомбы на свои войска и пытались уклониться от боя. Наши истребители, преследуя противника, сбили 8 немецких самолётов. Из них майор Кожедуб уничтожил 3 вражеских истребителя.</w:t>
      </w:r>
    </w:p>
    <w:p w14:paraId="11432818" w14:textId="77777777" w:rsidR="000F49EC" w:rsidRPr="00925F26" w:rsidRDefault="000F49EC" w:rsidP="00925F26">
      <w:pPr>
        <w:jc w:val="both"/>
        <w:rPr>
          <w:color w:val="000000" w:themeColor="text1"/>
          <w:sz w:val="16"/>
          <w:szCs w:val="16"/>
        </w:rPr>
      </w:pPr>
      <w:r w:rsidRPr="00925F26">
        <w:rPr>
          <w:color w:val="000000" w:themeColor="text1"/>
          <w:sz w:val="16"/>
          <w:szCs w:val="16"/>
        </w:rPr>
        <w:t>В Силезии наши войска продолжали наступление. В результате двухдневных боёв части Н-ского соединения разгромили немецкий гарнизон и овладели городом Заган. На улицах города осталось 1.400 трупов вражеских солдат и офицеров. Заган являлся сильным опорным шунтами обороны немцев на реке Бобер и важным узлом коммуникаций. К нему сходятся шесть железных дорог. Другие советские части, развивая наступление, сегодня овладели городом Наумбург, на реке Квейс. На одной железнодорожной станции войсками фронта захвачено 14 паровозов и 900 железнодорожных вагонов с различными грузами. Взято в плен более 800 немецких солдат и офицеров.</w:t>
      </w:r>
    </w:p>
    <w:p w14:paraId="5865EA26" w14:textId="77777777" w:rsidR="000F49EC" w:rsidRPr="00925F26" w:rsidRDefault="000F49EC" w:rsidP="00925F26">
      <w:pPr>
        <w:jc w:val="both"/>
        <w:rPr>
          <w:color w:val="000000" w:themeColor="text1"/>
          <w:sz w:val="16"/>
          <w:szCs w:val="16"/>
        </w:rPr>
      </w:pPr>
      <w:r w:rsidRPr="00925F26">
        <w:rPr>
          <w:color w:val="000000" w:themeColor="text1"/>
          <w:sz w:val="16"/>
          <w:szCs w:val="16"/>
        </w:rPr>
        <w:t>Наши лётчики в течение дня в воздушных боях сбили 35 немецких самолётов. Кроме того, на аэродромах уничтожено 30 самолётов противника.</w:t>
      </w:r>
    </w:p>
    <w:p w14:paraId="58D48DF1" w14:textId="77777777" w:rsidR="000F49EC" w:rsidRPr="00925F26" w:rsidRDefault="000F49EC" w:rsidP="00925F26">
      <w:pPr>
        <w:jc w:val="both"/>
        <w:rPr>
          <w:color w:val="000000" w:themeColor="text1"/>
          <w:sz w:val="16"/>
          <w:szCs w:val="16"/>
        </w:rPr>
      </w:pPr>
      <w:r w:rsidRPr="00925F26">
        <w:rPr>
          <w:color w:val="000000" w:themeColor="text1"/>
          <w:sz w:val="16"/>
          <w:szCs w:val="16"/>
        </w:rPr>
        <w:t>Авиацией Краснознамённого Балтийского флота потоплены транспорт и сторожевой катер противника.</w:t>
      </w:r>
    </w:p>
    <w:p w14:paraId="6D564418" w14:textId="77777777" w:rsidR="000F49EC" w:rsidRPr="00925F26" w:rsidRDefault="000F49EC" w:rsidP="00925F26">
      <w:pPr>
        <w:jc w:val="both"/>
        <w:rPr>
          <w:color w:val="000000" w:themeColor="text1"/>
          <w:sz w:val="16"/>
          <w:szCs w:val="16"/>
        </w:rPr>
      </w:pPr>
      <w:r w:rsidRPr="00925F26">
        <w:rPr>
          <w:color w:val="000000" w:themeColor="text1"/>
          <w:sz w:val="16"/>
          <w:szCs w:val="16"/>
        </w:rPr>
        <w:t xml:space="preserve">Командир 3-го дивизиона 91-го немецкого артиллерийского полка капитан Вилли Нафцигер, взятый в плен на 1-м Белорусском фронте, рассказал: «Мой дивизион был придан 6-му артиллерийскому полку 6-й пехотной дивизии. На совещании офицеров. командир ножа майор Брунг хвастливо говорил: «Наша оборона укреплена и насыщена таким количеством техники, что русские не смогут её прорвать». Подобные иллюзии разделяли и другие офицеры. Через несколько дней всех нас постигло </w:t>
      </w:r>
      <w:r w:rsidRPr="00925F26">
        <w:rPr>
          <w:color w:val="000000" w:themeColor="text1"/>
          <w:sz w:val="16"/>
          <w:szCs w:val="16"/>
        </w:rPr>
        <w:lastRenderedPageBreak/>
        <w:t>горькое разочарование. Русские войска быстро преодолели казавшиеся неприступными позиции. Наши разбитые части в беспорядке отступали. Теперь всё потеряно. Нет никаких надежд на благоприятный для Германии исход войны. Страна истощена, её резервы иссякают» (15044).</w:t>
      </w:r>
    </w:p>
    <w:p w14:paraId="217F3BFD" w14:textId="77777777" w:rsidR="000F49EC" w:rsidRPr="00925F26" w:rsidRDefault="000F49EC" w:rsidP="00925F26">
      <w:pPr>
        <w:jc w:val="both"/>
        <w:rPr>
          <w:color w:val="000000" w:themeColor="text1"/>
          <w:sz w:val="16"/>
          <w:szCs w:val="16"/>
        </w:rPr>
      </w:pPr>
    </w:p>
    <w:p w14:paraId="292D28B6" w14:textId="77777777" w:rsidR="000F49EC" w:rsidRPr="00925F26" w:rsidRDefault="000F49EC" w:rsidP="00925F26">
      <w:pPr>
        <w:jc w:val="both"/>
        <w:rPr>
          <w:color w:val="000000" w:themeColor="text1"/>
          <w:sz w:val="16"/>
          <w:szCs w:val="16"/>
        </w:rPr>
      </w:pPr>
      <w:r w:rsidRPr="00925F26">
        <w:rPr>
          <w:bCs/>
          <w:color w:val="000000" w:themeColor="text1"/>
          <w:sz w:val="16"/>
          <w:szCs w:val="16"/>
        </w:rPr>
        <w:t>18 февраля</w:t>
      </w:r>
      <w:r w:rsidRPr="00925F26">
        <w:rPr>
          <w:color w:val="000000" w:themeColor="text1"/>
          <w:sz w:val="16"/>
          <w:szCs w:val="16"/>
        </w:rPr>
        <w:t xml:space="preserve"> в 1945 году «в 09:02 в Данцигской бухте севернее маяка Хела два самолета «Як-9» (ведущий - старший лейтенант Кузьмин) обнаружили один траливший </w:t>
      </w:r>
      <w:hyperlink r:id="rId40" w:tgtFrame="_blank" w:history="1">
        <w:r w:rsidRPr="00925F26">
          <w:rPr>
            <w:color w:val="000000" w:themeColor="text1"/>
            <w:sz w:val="16"/>
            <w:szCs w:val="16"/>
          </w:rPr>
          <w:t xml:space="preserve">«Ю-52» </w:t>
        </w:r>
      </w:hyperlink>
      <w:r w:rsidRPr="00925F26">
        <w:rPr>
          <w:color w:val="000000" w:themeColor="text1"/>
          <w:sz w:val="16"/>
          <w:szCs w:val="16"/>
        </w:rPr>
        <w:t>: Учитывая ценность самолета-тральщика, наши летчики приняли решение привести «Ю-52» на свой аэродром: Вражеский самолет несколько минут летел в указанном направлении, но потом стал разворачиваться к своим кораблям. Опасаясь ухода, наши истребители произвели по нему несколько пушечно-пулеметных очередей, в результате чего «Ю-52» загорелся и, разваливаясь на части, упал в воду восточнее порта Данциг. Чуть позже, в 14:30 два других «Як-9» встретили и сбили еще три «Ю-52», производившие траление на подходах к Либаве.» Так описывает, изданная в 1951 г., "Хроника Великой Отечественной войны Советского Союза на Балтийском море и Ладожском озере" вышеупомянутые события (15044).</w:t>
      </w:r>
    </w:p>
    <w:p w14:paraId="447F92C0" w14:textId="77777777" w:rsidR="000F49EC" w:rsidRPr="00925F26" w:rsidRDefault="000F49EC" w:rsidP="00925F26">
      <w:pPr>
        <w:jc w:val="both"/>
        <w:rPr>
          <w:color w:val="000000" w:themeColor="text1"/>
          <w:sz w:val="16"/>
          <w:szCs w:val="16"/>
        </w:rPr>
      </w:pPr>
    </w:p>
    <w:p w14:paraId="6D2DB84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февраля 1945 в Восточной Пруссии погиб советский маршал И. Черняховский, командующий Третьим Белорусским фронтом (4962).</w:t>
      </w:r>
    </w:p>
    <w:p w14:paraId="0E033E2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D754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был смертельно ранен и погиб близ г. Мельзак в Восточной Пруссии И.Д.Черняховский (1348,238).</w:t>
      </w:r>
    </w:p>
    <w:p w14:paraId="0677AB09" w14:textId="77777777" w:rsidR="00665165" w:rsidRPr="00925F26" w:rsidRDefault="00665165" w:rsidP="00925F26">
      <w:pPr>
        <w:autoSpaceDE w:val="0"/>
        <w:autoSpaceDN w:val="0"/>
        <w:adjustRightInd w:val="0"/>
        <w:jc w:val="both"/>
        <w:rPr>
          <w:color w:val="000000" w:themeColor="text1"/>
          <w:sz w:val="16"/>
          <w:szCs w:val="16"/>
        </w:rPr>
      </w:pPr>
    </w:p>
    <w:p w14:paraId="37E93C15" w14:textId="77777777" w:rsidR="0037412D" w:rsidRPr="00925F26" w:rsidRDefault="0037412D" w:rsidP="00925F26">
      <w:pPr>
        <w:autoSpaceDE w:val="0"/>
        <w:autoSpaceDN w:val="0"/>
        <w:adjustRightInd w:val="0"/>
        <w:jc w:val="both"/>
        <w:rPr>
          <w:color w:val="000000" w:themeColor="text1"/>
          <w:sz w:val="16"/>
          <w:szCs w:val="16"/>
          <w:lang w:val="en-US"/>
        </w:rPr>
      </w:pPr>
      <w:r w:rsidRPr="00925F26">
        <w:rPr>
          <w:bCs/>
          <w:color w:val="000000" w:themeColor="text1"/>
          <w:sz w:val="16"/>
          <w:szCs w:val="16"/>
        </w:rPr>
        <w:t xml:space="preserve">Утром </w:t>
      </w:r>
      <w:r w:rsidRPr="00925F26">
        <w:rPr>
          <w:color w:val="000000" w:themeColor="text1"/>
          <w:sz w:val="16"/>
          <w:szCs w:val="16"/>
        </w:rPr>
        <w:t>18 февраля (1945)</w:t>
      </w:r>
      <w:r w:rsidRPr="00925F26">
        <w:rPr>
          <w:bCs/>
          <w:color w:val="000000" w:themeColor="text1"/>
          <w:sz w:val="16"/>
          <w:szCs w:val="16"/>
        </w:rPr>
        <w:t xml:space="preserve"> Черняховский снова выехал на передовую, теперь уже в боевые порядки соединений 3-й армии генерала Горбатова. Комаров позвонил командиру корпуса, в который они собирались ехать, чтобы тот выслал навстречу офицера связи. На восточной окраине города Мельзак их встретил молодой майор. По району командного пункта корпуса противник вел методический артогонь. Машина Черняховского следовала за машиной майора из штаба корпуса. Кажется, тот не очень уверенно ориентировался в обстановке. Не успели проехать и двух километров, как позади машины Черняховского разорвался снаряд. Один из осколков, пробив заднюю стенку машины и сиденья, в спину ранил командующего, повредил правую руку водителя и застрял в приборном щитке. СтаршинаВиноградов</w:t>
      </w:r>
      <w:r w:rsidRPr="00925F26">
        <w:rPr>
          <w:bCs/>
          <w:color w:val="000000" w:themeColor="text1"/>
          <w:sz w:val="16"/>
          <w:szCs w:val="16"/>
          <w:lang w:val="en-US"/>
        </w:rPr>
        <w:t xml:space="preserve">, </w:t>
      </w:r>
      <w:r w:rsidRPr="00925F26">
        <w:rPr>
          <w:bCs/>
          <w:color w:val="000000" w:themeColor="text1"/>
          <w:sz w:val="16"/>
          <w:szCs w:val="16"/>
        </w:rPr>
        <w:t>превозмогаяболь</w:t>
      </w:r>
      <w:r w:rsidRPr="00925F26">
        <w:rPr>
          <w:bCs/>
          <w:color w:val="000000" w:themeColor="text1"/>
          <w:sz w:val="16"/>
          <w:szCs w:val="16"/>
          <w:lang w:val="en-US"/>
        </w:rPr>
        <w:t xml:space="preserve">, </w:t>
      </w:r>
      <w:r w:rsidRPr="00925F26">
        <w:rPr>
          <w:bCs/>
          <w:color w:val="000000" w:themeColor="text1"/>
          <w:sz w:val="16"/>
          <w:szCs w:val="16"/>
        </w:rPr>
        <w:t>остановилвездеход</w:t>
      </w:r>
      <w:r w:rsidRPr="00925F26">
        <w:rPr>
          <w:bCs/>
          <w:color w:val="000000" w:themeColor="text1"/>
          <w:sz w:val="16"/>
          <w:szCs w:val="16"/>
          <w:lang w:val="en-US"/>
        </w:rPr>
        <w:t xml:space="preserve"> (17459).</w:t>
      </w:r>
    </w:p>
    <w:p w14:paraId="09B2B3DF" w14:textId="77777777" w:rsidR="0037412D" w:rsidRPr="00925F26" w:rsidRDefault="0037412D" w:rsidP="00925F26">
      <w:pPr>
        <w:autoSpaceDE w:val="0"/>
        <w:autoSpaceDN w:val="0"/>
        <w:adjustRightInd w:val="0"/>
        <w:jc w:val="both"/>
        <w:rPr>
          <w:color w:val="000000" w:themeColor="text1"/>
          <w:sz w:val="16"/>
          <w:szCs w:val="16"/>
          <w:lang w:val="en-US"/>
        </w:rPr>
      </w:pPr>
    </w:p>
    <w:p w14:paraId="27AB150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February 18, 1945: In the East, the Red Army encircles Graudenz on the Vistula. German troops of the </w:t>
      </w:r>
      <w:proofErr w:type="gramStart"/>
      <w:r w:rsidRPr="00925F26">
        <w:rPr>
          <w:color w:val="000000" w:themeColor="text1"/>
          <w:sz w:val="16"/>
          <w:szCs w:val="16"/>
          <w:lang w:val="en-US"/>
        </w:rPr>
        <w:t>11.SS</w:t>
      </w:r>
      <w:proofErr w:type="gramEnd"/>
      <w:r w:rsidRPr="00925F26">
        <w:rPr>
          <w:color w:val="000000" w:themeColor="text1"/>
          <w:sz w:val="16"/>
          <w:szCs w:val="16"/>
          <w:lang w:val="en-US"/>
        </w:rPr>
        <w:t>-Panzer-Armee are brought to a stand still against Soviet opposition to Operation Sonnenwende (3819).</w:t>
      </w:r>
    </w:p>
    <w:p w14:paraId="69519A88" w14:textId="77777777" w:rsidR="00665165" w:rsidRPr="00925F26" w:rsidRDefault="00665165" w:rsidP="00925F26">
      <w:pPr>
        <w:autoSpaceDE w:val="0"/>
        <w:autoSpaceDN w:val="0"/>
        <w:adjustRightInd w:val="0"/>
        <w:jc w:val="both"/>
        <w:rPr>
          <w:color w:val="000000" w:themeColor="text1"/>
          <w:sz w:val="16"/>
          <w:szCs w:val="16"/>
          <w:lang w:val="en-US"/>
        </w:rPr>
      </w:pPr>
    </w:p>
    <w:p w14:paraId="7AA245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февраля 1945 КА окружила Грауденц на Висле. Войска 11ТА СС отражали советские контратаки (3819).</w:t>
      </w:r>
    </w:p>
    <w:p w14:paraId="3E40B26F" w14:textId="77777777" w:rsidR="00665165" w:rsidRPr="00925F26" w:rsidRDefault="00665165" w:rsidP="00925F26">
      <w:pPr>
        <w:autoSpaceDE w:val="0"/>
        <w:autoSpaceDN w:val="0"/>
        <w:adjustRightInd w:val="0"/>
        <w:jc w:val="both"/>
        <w:rPr>
          <w:color w:val="000000" w:themeColor="text1"/>
          <w:sz w:val="16"/>
          <w:szCs w:val="16"/>
        </w:rPr>
      </w:pPr>
    </w:p>
    <w:p w14:paraId="530A1F9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февраля 1945 в ходе пыток погиб советский генерал Д. Карбышев (4962).</w:t>
      </w:r>
    </w:p>
    <w:p w14:paraId="4669F64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A1B1F78" w14:textId="77777777" w:rsidR="000F49EC" w:rsidRPr="00925F26" w:rsidRDefault="000F49EC" w:rsidP="00925F26">
      <w:pPr>
        <w:jc w:val="both"/>
        <w:rPr>
          <w:color w:val="000000" w:themeColor="text1"/>
          <w:sz w:val="16"/>
          <w:szCs w:val="16"/>
        </w:rPr>
      </w:pPr>
      <w:r w:rsidRPr="00925F26">
        <w:rPr>
          <w:bCs/>
          <w:color w:val="000000" w:themeColor="text1"/>
          <w:sz w:val="16"/>
          <w:szCs w:val="16"/>
        </w:rPr>
        <w:t>18 февраля</w:t>
      </w:r>
      <w:r w:rsidRPr="00925F26">
        <w:rPr>
          <w:color w:val="000000" w:themeColor="text1"/>
          <w:sz w:val="16"/>
          <w:szCs w:val="16"/>
        </w:rPr>
        <w:t xml:space="preserve"> в 1945 году в концлагере Маутхаузен мученической смертью погиб Дмитрий Михайлович Карбышев (родился в 1880 году), генерал-лейтенант инженерных войск, Герой Советского Союза, участник первой мировой, гражданской и Великой Отечественной войн (15044).</w:t>
      </w:r>
    </w:p>
    <w:p w14:paraId="2D933894" w14:textId="77777777" w:rsidR="000F49EC" w:rsidRPr="00925F26" w:rsidRDefault="000F49EC" w:rsidP="00925F26">
      <w:pPr>
        <w:jc w:val="both"/>
        <w:rPr>
          <w:color w:val="000000" w:themeColor="text1"/>
          <w:sz w:val="16"/>
          <w:szCs w:val="16"/>
        </w:rPr>
      </w:pPr>
    </w:p>
    <w:p w14:paraId="03EE5485" w14:textId="77777777" w:rsidR="0037412D" w:rsidRPr="00925F26" w:rsidRDefault="0037412D" w:rsidP="00925F26">
      <w:pPr>
        <w:jc w:val="both"/>
        <w:rPr>
          <w:color w:val="000000" w:themeColor="text1"/>
          <w:sz w:val="16"/>
          <w:szCs w:val="16"/>
        </w:rPr>
      </w:pPr>
      <w:r w:rsidRPr="00925F26">
        <w:rPr>
          <w:color w:val="000000" w:themeColor="text1"/>
          <w:sz w:val="16"/>
          <w:szCs w:val="16"/>
        </w:rPr>
        <w:t>18 февраля 1945 г. в концлагере Маутхаузен, Австрия, фашисты провели зверскую акцию – около 500 заключенных заморозили заживо – обливали водой. В их числе мученически погиб генерал Дмитрий Карбышев (17459).</w:t>
      </w:r>
    </w:p>
    <w:p w14:paraId="692D221E" w14:textId="77777777" w:rsidR="0037412D" w:rsidRPr="00925F26" w:rsidRDefault="0037412D" w:rsidP="00925F26">
      <w:pPr>
        <w:jc w:val="both"/>
        <w:rPr>
          <w:color w:val="000000" w:themeColor="text1"/>
          <w:sz w:val="16"/>
          <w:szCs w:val="16"/>
        </w:rPr>
      </w:pPr>
    </w:p>
    <w:p w14:paraId="0382D4C2" w14:textId="77777777" w:rsidR="000F49EC"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D28D39E" w14:textId="77777777" w:rsidR="000F49EC" w:rsidRPr="00925F26" w:rsidRDefault="000F49EC" w:rsidP="00925F26">
      <w:pPr>
        <w:autoSpaceDE w:val="0"/>
        <w:autoSpaceDN w:val="0"/>
        <w:adjustRightInd w:val="0"/>
        <w:jc w:val="both"/>
        <w:rPr>
          <w:iCs/>
          <w:color w:val="000000" w:themeColor="text1"/>
          <w:sz w:val="16"/>
          <w:szCs w:val="16"/>
        </w:rPr>
      </w:pPr>
    </w:p>
    <w:p w14:paraId="532375EE" w14:textId="77777777" w:rsidR="00A9131A" w:rsidRPr="00925F26" w:rsidRDefault="00A9131A" w:rsidP="00925F26">
      <w:pPr>
        <w:jc w:val="both"/>
        <w:rPr>
          <w:color w:val="000000" w:themeColor="text1"/>
          <w:sz w:val="16"/>
          <w:szCs w:val="16"/>
        </w:rPr>
      </w:pPr>
      <w:r w:rsidRPr="00925F26">
        <w:rPr>
          <w:color w:val="000000" w:themeColor="text1"/>
          <w:sz w:val="16"/>
          <w:szCs w:val="16"/>
        </w:rPr>
        <w:t>18 февраля 1945 на Horten H.IX V2, втором прототипе и первом прототипе Horten Ho 229 с двигателем, происходит отказ двигателя во время третьего испытательного полета и он терпит крушение в Ораниенбурге, Германия, в результате чего погиб пилот лейтенант Эрвин Циллер. Третий прототип так и не был завершен, и авария положила конец программе Ho 229 (20371).</w:t>
      </w:r>
    </w:p>
    <w:p w14:paraId="12701ABC" w14:textId="77777777" w:rsidR="00A9131A" w:rsidRPr="00925F26" w:rsidRDefault="00A9131A" w:rsidP="00925F26">
      <w:pPr>
        <w:jc w:val="both"/>
        <w:rPr>
          <w:color w:val="000000" w:themeColor="text1"/>
          <w:sz w:val="16"/>
          <w:szCs w:val="16"/>
        </w:rPr>
      </w:pPr>
    </w:p>
    <w:p w14:paraId="324B36A1" w14:textId="77777777" w:rsidR="000F49EC" w:rsidRPr="00925F26" w:rsidRDefault="000F49EC" w:rsidP="00925F26">
      <w:pPr>
        <w:jc w:val="both"/>
        <w:rPr>
          <w:color w:val="000000" w:themeColor="text1"/>
          <w:sz w:val="16"/>
          <w:szCs w:val="16"/>
        </w:rPr>
      </w:pPr>
      <w:r w:rsidRPr="00925F26">
        <w:rPr>
          <w:bCs/>
          <w:color w:val="000000" w:themeColor="text1"/>
          <w:sz w:val="16"/>
          <w:szCs w:val="16"/>
        </w:rPr>
        <w:t>18 февраля</w:t>
      </w:r>
      <w:r w:rsidRPr="00925F26">
        <w:rPr>
          <w:color w:val="000000" w:themeColor="text1"/>
          <w:sz w:val="16"/>
          <w:szCs w:val="16"/>
        </w:rPr>
        <w:t xml:space="preserve"> в 1945 году японские пикирующие самолеты - торпедоносцы </w:t>
      </w:r>
      <w:hyperlink r:id="rId41" w:tgtFrame="_blank" w:history="1">
        <w:r w:rsidRPr="00925F26">
          <w:rPr>
            <w:color w:val="000000" w:themeColor="text1"/>
            <w:sz w:val="16"/>
            <w:szCs w:val="16"/>
          </w:rPr>
          <w:t xml:space="preserve">«D4Y4» "Суисей" </w:t>
        </w:r>
      </w:hyperlink>
      <w:r w:rsidRPr="00925F26">
        <w:rPr>
          <w:color w:val="000000" w:themeColor="text1"/>
          <w:sz w:val="16"/>
          <w:szCs w:val="16"/>
        </w:rPr>
        <w:t xml:space="preserve">ведомые пилотами-камикадзе, сформированными в группу при 601-м кокутае на авиабазе "Катори", в составе 32-х самолетов (12 «А6М5», 12 «D4Y4» и по четыре «B6N2» и «Р1Y1») провели успешную акцию против американских кораблей соединения TG.52, обеспечивавшего высадку морской пехоты на острове Иводзима. Стартовав из Японии, камикадзе осуществили дозаправку на одном из островов архипелага Бонин и вышли на цель. Классическим попаданием в самолетоподъемник одному из них удалось потопить эскортный авианосец "Бисмарк Си" (погибло 218 моряков). Еще несколько машин серьезно повредили тяжелый авианосец "Саратога", осуществлявший ПВО американской эскадры. Авианосец выдержал попадания четырех (!) камикадзе, но полностью утратил боеспособность и отправился на ремонт в Штаты. На нем было уничтожено </w:t>
      </w:r>
      <w:proofErr w:type="gramStart"/>
      <w:r w:rsidRPr="00925F26">
        <w:rPr>
          <w:color w:val="000000" w:themeColor="text1"/>
          <w:sz w:val="16"/>
          <w:szCs w:val="16"/>
        </w:rPr>
        <w:t>36 палубных</w:t>
      </w:r>
      <w:proofErr w:type="gramEnd"/>
      <w:r w:rsidRPr="00925F26">
        <w:rPr>
          <w:color w:val="000000" w:themeColor="text1"/>
          <w:sz w:val="16"/>
          <w:szCs w:val="16"/>
        </w:rPr>
        <w:t xml:space="preserve"> истребителей, погибли 123 моряка, почти 200 получили ранения. Как прототип </w:t>
      </w:r>
      <w:hyperlink r:id="rId42" w:tgtFrame="_blank" w:history="1">
        <w:r w:rsidRPr="00925F26">
          <w:rPr>
            <w:color w:val="000000" w:themeColor="text1"/>
            <w:sz w:val="16"/>
            <w:szCs w:val="16"/>
          </w:rPr>
          <w:t xml:space="preserve">«D4Y4» "Суисей" </w:t>
        </w:r>
      </w:hyperlink>
      <w:r w:rsidRPr="00925F26">
        <w:rPr>
          <w:color w:val="000000" w:themeColor="text1"/>
          <w:sz w:val="16"/>
          <w:szCs w:val="16"/>
        </w:rPr>
        <w:t>не строился, а в феврале 1945-го сразу началось серийное производство. С февраля по июнь выпускали в среднем по 50-60 машин в месяц. В июле собрали лишь 25 «D4Y4», а последнюю пятерку выпустили в августе. Общий итог серийного выпуска составил 296 машин (15044).</w:t>
      </w:r>
    </w:p>
    <w:p w14:paraId="0A7B9D5A" w14:textId="77777777" w:rsidR="000F49EC" w:rsidRPr="00925F26" w:rsidRDefault="000F49EC" w:rsidP="00925F26">
      <w:pPr>
        <w:jc w:val="both"/>
        <w:rPr>
          <w:color w:val="000000" w:themeColor="text1"/>
          <w:sz w:val="16"/>
          <w:szCs w:val="16"/>
        </w:rPr>
      </w:pPr>
    </w:p>
    <w:p w14:paraId="65689F8E" w14:textId="3633F866" w:rsidR="00A9131A" w:rsidRPr="00925F26" w:rsidRDefault="00A9131A" w:rsidP="00925F26">
      <w:pPr>
        <w:jc w:val="both"/>
        <w:rPr>
          <w:color w:val="000000" w:themeColor="text1"/>
          <w:sz w:val="16"/>
          <w:szCs w:val="16"/>
        </w:rPr>
      </w:pPr>
      <w:r w:rsidRPr="00925F26">
        <w:rPr>
          <w:color w:val="000000" w:themeColor="text1"/>
          <w:sz w:val="16"/>
          <w:szCs w:val="16"/>
        </w:rPr>
        <w:t>18 февраля 1945</w:t>
      </w:r>
      <w:r w:rsidR="00997EDF" w:rsidRPr="00925F26">
        <w:rPr>
          <w:color w:val="000000" w:themeColor="text1"/>
          <w:sz w:val="16"/>
          <w:szCs w:val="16"/>
        </w:rPr>
        <w:t xml:space="preserve">  </w:t>
      </w:r>
      <w:r w:rsidRPr="00925F26">
        <w:rPr>
          <w:color w:val="000000" w:themeColor="text1"/>
          <w:sz w:val="16"/>
          <w:szCs w:val="16"/>
        </w:rPr>
        <w:t>- Японские пикирующие самолеты - торпедоносцы D4Y4 "Суисей"</w:t>
      </w:r>
      <w:r w:rsidR="00997EDF" w:rsidRPr="00925F26">
        <w:rPr>
          <w:color w:val="000000" w:themeColor="text1"/>
          <w:sz w:val="16"/>
          <w:szCs w:val="16"/>
        </w:rPr>
        <w:t xml:space="preserve">  </w:t>
      </w:r>
      <w:r w:rsidRPr="00925F26">
        <w:rPr>
          <w:color w:val="000000" w:themeColor="text1"/>
          <w:sz w:val="16"/>
          <w:szCs w:val="16"/>
        </w:rPr>
        <w:t xml:space="preserve">ведомые пилотами-камикадзе, сформированными в группу при 601-м кокутае на авиабазе "Катори", в составе 32-х самолетов (12 А6М5, 12 D4Y4 и по четыре B6N2 и Р1Y1) провели успешную акцию против американских кораблей соединения TG.52, обеспечивавшего высадку морской пехоты на острове Иводзима. Стартовав из Японии, камикадзе осуществили дозаправку на одном из островов архипелага Бонин и вышли на цель. Классическим попаданием в самолетоподъемник одному из них удалось потопить эскортный авианосец "Бисмарк Си" (погибло 218 моряков). Еще несколько машин серьезно повредили тяжелый авианосец "Саратога", осуществлявший ПВО американской эскадры. Авианосец выдержал попадания четырех (!) камикадзе, но полностью утратил боеспособность и отправился на ремонт в Штаты. На нем было уничтожено </w:t>
      </w:r>
      <w:proofErr w:type="gramStart"/>
      <w:r w:rsidRPr="00925F26">
        <w:rPr>
          <w:color w:val="000000" w:themeColor="text1"/>
          <w:sz w:val="16"/>
          <w:szCs w:val="16"/>
        </w:rPr>
        <w:t>36 палубных</w:t>
      </w:r>
      <w:proofErr w:type="gramEnd"/>
      <w:r w:rsidRPr="00925F26">
        <w:rPr>
          <w:color w:val="000000" w:themeColor="text1"/>
          <w:sz w:val="16"/>
          <w:szCs w:val="16"/>
        </w:rPr>
        <w:t xml:space="preserve"> истребителей, погибли 123 моряка, почти 200 получили ранения (22594).</w:t>
      </w:r>
    </w:p>
    <w:p w14:paraId="79BE0697" w14:textId="77777777" w:rsidR="00A9131A" w:rsidRPr="00925F26" w:rsidRDefault="00A9131A" w:rsidP="00925F26">
      <w:pPr>
        <w:jc w:val="both"/>
        <w:rPr>
          <w:color w:val="000000" w:themeColor="text1"/>
          <w:sz w:val="16"/>
          <w:szCs w:val="16"/>
        </w:rPr>
      </w:pPr>
    </w:p>
    <w:p w14:paraId="4350378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76EE180" w14:textId="77777777" w:rsidR="00665165" w:rsidRPr="00925F26" w:rsidRDefault="00665165" w:rsidP="00925F26">
      <w:pPr>
        <w:autoSpaceDE w:val="0"/>
        <w:autoSpaceDN w:val="0"/>
        <w:adjustRightInd w:val="0"/>
        <w:jc w:val="both"/>
        <w:rPr>
          <w:iCs/>
          <w:color w:val="000000" w:themeColor="text1"/>
          <w:sz w:val="16"/>
          <w:szCs w:val="16"/>
        </w:rPr>
      </w:pPr>
    </w:p>
    <w:p w14:paraId="73CDD2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в НИИ ВВС закончились гос. испытания Ил-2 N 18840122 с АМ-38Ф и винтом АВ-5Л-158 производства 18 завода, изготовленного в ноябре 1944, которые проводились с 25 января 1945 (804,4).</w:t>
      </w:r>
    </w:p>
    <w:p w14:paraId="3A1DD513" w14:textId="77777777" w:rsidR="00665165" w:rsidRPr="00925F26" w:rsidRDefault="00665165" w:rsidP="00925F26">
      <w:pPr>
        <w:autoSpaceDE w:val="0"/>
        <w:autoSpaceDN w:val="0"/>
        <w:adjustRightInd w:val="0"/>
        <w:jc w:val="both"/>
        <w:rPr>
          <w:color w:val="000000" w:themeColor="text1"/>
          <w:sz w:val="16"/>
          <w:szCs w:val="16"/>
        </w:rPr>
      </w:pPr>
    </w:p>
    <w:p w14:paraId="25840D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в НИИ ВВС закончились испытания Ил-2 N 18840122 с АМ-38Ф и винтом АВ-5Л-158 производства 18 завода, изготовленного в ноябре 1944, которые проводились с 25 января.</w:t>
      </w:r>
    </w:p>
    <w:p w14:paraId="5604BC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23 января 1945 в НИИ ВВС поступил на гос. испытания </w:t>
      </w:r>
    </w:p>
    <w:p w14:paraId="0EC294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59BDBD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w:t>
      </w:r>
      <w:proofErr w:type="gramStart"/>
      <w:r w:rsidRPr="00925F26">
        <w:rPr>
          <w:color w:val="000000" w:themeColor="text1"/>
          <w:sz w:val="16"/>
          <w:szCs w:val="16"/>
        </w:rPr>
        <w:t>.</w:t>
      </w:r>
      <w:proofErr w:type="gramEnd"/>
      <w:r w:rsidRPr="00925F26">
        <w:rPr>
          <w:color w:val="000000" w:themeColor="text1"/>
          <w:sz w:val="16"/>
          <w:szCs w:val="16"/>
        </w:rPr>
        <w:t xml:space="preserve"> и ип/п П.Т.Аброщенко</w:t>
      </w:r>
    </w:p>
    <w:p w14:paraId="5F133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л-к 5 отд. 1У ГК НИИ ВВС к-н Г.А.Тиняков, подписал 22 февраля</w:t>
      </w:r>
    </w:p>
    <w:p w14:paraId="7EB7C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гм-р Стефановский - подписал 23 февраля</w:t>
      </w:r>
    </w:p>
    <w:p w14:paraId="6CAA4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5 отд. по л/ч п/п Долгов</w:t>
      </w:r>
    </w:p>
    <w:p w14:paraId="5BB8B0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Установлены кнопки управления передатчиком на ручкуе сектора нормального газа</w:t>
      </w:r>
    </w:p>
    <w:p w14:paraId="5758F7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система газового запуска холодного мотора</w:t>
      </w:r>
    </w:p>
    <w:p w14:paraId="0B28F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Предъявлен на испытания 23 января</w:t>
      </w:r>
    </w:p>
    <w:p w14:paraId="3E164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полетов, налет 10:50</w:t>
      </w:r>
    </w:p>
    <w:p w14:paraId="772260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4644 кг, загруженного с-та с нормальной нагрузкой - 6325, ц/т 27,5%</w:t>
      </w:r>
    </w:p>
    <w:p w14:paraId="7CE5D6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Угол капотирования при торможении 30Ж20</w:t>
      </w:r>
    </w:p>
    <w:p w14:paraId="1875F8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состоит из:</w:t>
      </w:r>
    </w:p>
    <w:p w14:paraId="00CE67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- 190 кг</w:t>
      </w:r>
    </w:p>
    <w:p w14:paraId="096113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- 545 кг (0,747)</w:t>
      </w:r>
    </w:p>
    <w:p w14:paraId="6C260F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- 65 кг</w:t>
      </w:r>
    </w:p>
    <w:p w14:paraId="0B3A1F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- 400 кг</w:t>
      </w:r>
    </w:p>
    <w:p w14:paraId="4FD2A8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2хВЯ - 132 кг, патроны к пушке (300) - 168 кг</w:t>
      </w:r>
    </w:p>
    <w:p w14:paraId="5FA75A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УБТ - 21 кг, патроны (150) - 27</w:t>
      </w:r>
    </w:p>
    <w:p w14:paraId="32356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2хШКАС - 21 кг, патронов ШКАС (1500) - 51 кг</w:t>
      </w:r>
    </w:p>
    <w:p w14:paraId="46DA0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снарядов РС (4хРС-82) - 27 кг</w:t>
      </w:r>
    </w:p>
    <w:p w14:paraId="347FE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w:t>
      </w:r>
    </w:p>
    <w:p w14:paraId="2A1C53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- 15</w:t>
      </w:r>
    </w:p>
    <w:p w14:paraId="1BCE0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вооружения - 29</w:t>
      </w:r>
    </w:p>
    <w:p w14:paraId="49CBA4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- 1681 кг</w:t>
      </w:r>
    </w:p>
    <w:p w14:paraId="246433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ЛТД</w:t>
      </w:r>
    </w:p>
    <w:p w14:paraId="3311A6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405 км/час на 1200 м</w:t>
      </w:r>
    </w:p>
    <w:p w14:paraId="472D9B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1000 м - 2,6 мин., на 3000 м - 8,8 мин.</w:t>
      </w:r>
    </w:p>
    <w:p w14:paraId="3BAAA2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5800 м, набор за 38 мин.</w:t>
      </w:r>
    </w:p>
    <w:p w14:paraId="1C211D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мерилась при закрытых фонарях кабины л и стрелка,Ю окрытых полностью заслонках водо и маслорадиатора</w:t>
      </w:r>
    </w:p>
    <w:p w14:paraId="3D791D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при весе 6325 и 2050 оборотах и Ра 1220</w:t>
      </w:r>
    </w:p>
    <w:p w14:paraId="6A7AC8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0 - 6,3</w:t>
      </w:r>
    </w:p>
    <w:p w14:paraId="035F3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850 - 6,8</w:t>
      </w:r>
    </w:p>
    <w:p w14:paraId="772CB4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3000 - 4</w:t>
      </w:r>
    </w:p>
    <w:p w14:paraId="09228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5800 - ,5</w:t>
      </w:r>
    </w:p>
    <w:p w14:paraId="0D804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 эксплуатируется на бензине 4Б-78 и масле АО-8 М6</w:t>
      </w:r>
    </w:p>
    <w:p w14:paraId="0E68FA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Тиняков: управляемость с-та - хорошая, усилия на ручке - не большие</w:t>
      </w:r>
    </w:p>
    <w:p w14:paraId="6C6027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 подписал За. Нач. НИИ ВВС глиас Лосюков 26 февраля 1945 и нач. 1У НИИ ВВС гмиас Сафонов 24 февраля 1945 (804,4)</w:t>
      </w:r>
    </w:p>
    <w:p w14:paraId="3FCB8ED0" w14:textId="77777777" w:rsidR="00665165" w:rsidRPr="00925F26" w:rsidRDefault="00665165" w:rsidP="00925F26">
      <w:pPr>
        <w:autoSpaceDE w:val="0"/>
        <w:autoSpaceDN w:val="0"/>
        <w:adjustRightInd w:val="0"/>
        <w:jc w:val="both"/>
        <w:rPr>
          <w:color w:val="000000" w:themeColor="text1"/>
          <w:sz w:val="16"/>
          <w:szCs w:val="16"/>
        </w:rPr>
      </w:pPr>
    </w:p>
    <w:p w14:paraId="7F3294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Начю 1 отдела з-да № 78 НКБ Чиченко писал письмо № 292/14 НКАП:</w:t>
      </w:r>
    </w:p>
    <w:p w14:paraId="52781B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этом возвращаются по прилагаемой описи тех. Документы по Ил-2, полученные в 1941 году от Вас и с завода № 18 и Подольского завода им. Орджоникидзе, как за ненадобностью для нашего производства (10526,1):</w:t>
      </w:r>
    </w:p>
    <w:p w14:paraId="64D68D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ОПИСЬ</w:t>
      </w:r>
    </w:p>
    <w:p w14:paraId="1610A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Схема обшивки корпуса фюзеляжа</w:t>
      </w:r>
    </w:p>
    <w:p w14:paraId="184B0C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Схема разметки деталей</w:t>
      </w:r>
    </w:p>
    <w:p w14:paraId="12300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Стапель общей сборки</w:t>
      </w:r>
    </w:p>
    <w:p w14:paraId="58578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Альбом раскроев листового проката марки стали АБ-1 на корпус Ил-2</w:t>
      </w:r>
    </w:p>
    <w:p w14:paraId="30B616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Техусловия на бронекорпус</w:t>
      </w:r>
    </w:p>
    <w:p w14:paraId="549353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ТУ-22 на бронестекло</w:t>
      </w:r>
    </w:p>
    <w:p w14:paraId="32E83C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 на время войны на Ил-2 с изменениями</w:t>
      </w:r>
    </w:p>
    <w:p w14:paraId="12559C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Временное ТУ на приемку броневой стали для самолета Ил-2 (10526,2).</w:t>
      </w:r>
    </w:p>
    <w:p w14:paraId="7952DDFF" w14:textId="77777777" w:rsidR="00665165" w:rsidRPr="00925F26" w:rsidRDefault="00665165" w:rsidP="00925F26">
      <w:pPr>
        <w:autoSpaceDE w:val="0"/>
        <w:autoSpaceDN w:val="0"/>
        <w:adjustRightInd w:val="0"/>
        <w:jc w:val="both"/>
        <w:rPr>
          <w:color w:val="000000" w:themeColor="text1"/>
          <w:sz w:val="16"/>
          <w:szCs w:val="16"/>
        </w:rPr>
      </w:pPr>
    </w:p>
    <w:p w14:paraId="7B1B7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л Г.И.Комаров выполнил второй полет на Су-6 АШ-82ФН 2ТК-3 с ЖРД РД-1 В.П.Глушко - Су-7 уже с включением ЖРД. В 11 полете взорвалась камера сгорания и двигатель заменили на РД-1ХЗ. испытания шли до декабря 1945 (3808,85).</w:t>
      </w:r>
    </w:p>
    <w:p w14:paraId="6851F4DE" w14:textId="77777777" w:rsidR="00665165" w:rsidRPr="00925F26" w:rsidRDefault="00665165" w:rsidP="00925F26">
      <w:pPr>
        <w:autoSpaceDE w:val="0"/>
        <w:autoSpaceDN w:val="0"/>
        <w:adjustRightInd w:val="0"/>
        <w:jc w:val="both"/>
        <w:rPr>
          <w:color w:val="000000" w:themeColor="text1"/>
          <w:sz w:val="16"/>
          <w:szCs w:val="16"/>
        </w:rPr>
      </w:pPr>
    </w:p>
    <w:p w14:paraId="2B2BE2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М.И. Иванов перегнал высотный истребитель-перехватчик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и с винтом ВИШ-105ТЛ-2 в Летно-исследовательский институт для дальнейших испытаний и доводки, которая затянулась до 5 мая 1945 года.</w:t>
      </w:r>
    </w:p>
    <w:p w14:paraId="4D998F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1735BF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следующий день самолет </w:t>
      </w:r>
    </w:p>
    <w:p w14:paraId="03FE2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4814C4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5FD424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689758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11217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BB4F2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77D7C63C" w14:textId="77777777" w:rsidR="00665165" w:rsidRPr="00925F26" w:rsidRDefault="00665165" w:rsidP="00925F26">
      <w:pPr>
        <w:autoSpaceDE w:val="0"/>
        <w:autoSpaceDN w:val="0"/>
        <w:adjustRightInd w:val="0"/>
        <w:jc w:val="both"/>
        <w:rPr>
          <w:color w:val="000000" w:themeColor="text1"/>
          <w:sz w:val="16"/>
          <w:szCs w:val="16"/>
        </w:rPr>
      </w:pPr>
    </w:p>
    <w:p w14:paraId="4613730A" w14:textId="77777777" w:rsidR="00F94B6C" w:rsidRPr="001A0BAA" w:rsidRDefault="00F94B6C" w:rsidP="00F94B6C">
      <w:pPr>
        <w:jc w:val="both"/>
        <w:rPr>
          <w:color w:val="0070C0"/>
          <w:sz w:val="16"/>
          <w:szCs w:val="16"/>
        </w:rPr>
      </w:pPr>
      <w:r w:rsidRPr="001A0BAA">
        <w:rPr>
          <w:color w:val="0070C0"/>
          <w:sz w:val="16"/>
          <w:szCs w:val="16"/>
        </w:rPr>
        <w:t>19 февраля 1945 года самолет Як</w:t>
      </w:r>
      <w:r w:rsidRPr="001A0BAA">
        <w:rPr>
          <w:color w:val="0070C0"/>
          <w:sz w:val="16"/>
          <w:szCs w:val="16"/>
        </w:rPr>
        <w:noBreakHyphen/>
        <w:t>3 (36–20) с ВК</w:t>
      </w:r>
      <w:r w:rsidRPr="001A0BAA">
        <w:rPr>
          <w:color w:val="0070C0"/>
          <w:sz w:val="16"/>
          <w:szCs w:val="16"/>
        </w:rPr>
        <w:noBreakHyphen/>
        <w:t>105ПД с двухступенчатым наддувом передали в ЛИИ. Тут он получил новый двигатель с наддувом Э</w:t>
      </w:r>
      <w:r w:rsidRPr="001A0BAA">
        <w:rPr>
          <w:color w:val="0070C0"/>
          <w:sz w:val="16"/>
          <w:szCs w:val="16"/>
        </w:rPr>
        <w:noBreakHyphen/>
        <w:t>100, а испытания продолжались до 5 мая 1945 года. Кроме того, самолет получил новое вооружение, состоявшее из пушки НС</w:t>
      </w:r>
      <w:r w:rsidRPr="001A0BAA">
        <w:rPr>
          <w:color w:val="0070C0"/>
          <w:sz w:val="16"/>
          <w:szCs w:val="16"/>
        </w:rPr>
        <w:noBreakHyphen/>
        <w:t>23 (60 выстрелов). Размах крыльев увеличили на 60 см. двигатель вращал винт ВИШ</w:t>
      </w:r>
      <w:r w:rsidRPr="001A0BAA">
        <w:rPr>
          <w:color w:val="0070C0"/>
          <w:sz w:val="16"/>
          <w:szCs w:val="16"/>
        </w:rPr>
        <w:noBreakHyphen/>
        <w:t>105Л</w:t>
      </w:r>
      <w:r w:rsidRPr="001A0BAA">
        <w:rPr>
          <w:color w:val="0070C0"/>
          <w:sz w:val="16"/>
          <w:szCs w:val="16"/>
        </w:rPr>
        <w:noBreakHyphen/>
        <w:t>2 диаметром 3 метра. Хотя самолет имел потолок 11500 метров, на практике лететь горизонтально на высотах более 10000 метров истребитель не мог из</w:t>
      </w:r>
      <w:r w:rsidRPr="001A0BAA">
        <w:rPr>
          <w:color w:val="0070C0"/>
          <w:sz w:val="16"/>
          <w:szCs w:val="16"/>
        </w:rPr>
        <w:noBreakHyphen/>
      </w:r>
      <w:proofErr w:type="gramStart"/>
      <w:r w:rsidRPr="001A0BAA">
        <w:rPr>
          <w:color w:val="0070C0"/>
          <w:sz w:val="16"/>
          <w:szCs w:val="16"/>
        </w:rPr>
        <w:t>за перегрева</w:t>
      </w:r>
      <w:proofErr w:type="gramEnd"/>
      <w:r w:rsidRPr="001A0BAA">
        <w:rPr>
          <w:color w:val="0070C0"/>
          <w:sz w:val="16"/>
          <w:szCs w:val="16"/>
        </w:rPr>
        <w:t xml:space="preserve"> двигателя (25075).</w:t>
      </w:r>
    </w:p>
    <w:p w14:paraId="733131C7" w14:textId="77777777" w:rsidR="00F94B6C" w:rsidRPr="001A0BAA" w:rsidRDefault="00F94B6C" w:rsidP="00F94B6C">
      <w:pPr>
        <w:jc w:val="both"/>
        <w:rPr>
          <w:color w:val="0070C0"/>
          <w:sz w:val="16"/>
          <w:szCs w:val="16"/>
        </w:rPr>
      </w:pPr>
    </w:p>
    <w:p w14:paraId="2BDCD3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года вышел приказ № 68 НКАП</w:t>
      </w:r>
    </w:p>
    <w:p w14:paraId="51B337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ГОКО от 29 января 1945 года и приказом НКАП № 37 от 3 февраля 1945 года:</w:t>
      </w:r>
    </w:p>
    <w:p w14:paraId="636AB42B"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Реорганизовать “Авиаспецтрест” НКАП в Трест вторичного алюминия НКАП “Вторалюминий” на который возложить:</w:t>
      </w:r>
    </w:p>
    <w:p w14:paraId="0F8EBFCC"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Организацию сбора самолетного лома и отходов алюминиевых сплавов и переплав их, как на спецзаводах Треста, так и на других заводах НКАП.</w:t>
      </w:r>
    </w:p>
    <w:p w14:paraId="7260B758"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Извлечение черных и тяжело-цветных металлов, остающихся после разделки самолетного лома с передачей их на дальнейшую обработку Главвторчермету и Главвторцветмету.</w:t>
      </w:r>
    </w:p>
    <w:p w14:paraId="03669AB1"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Извлечение годных деталей самолетов, моторов, вооружения и приборов с передачей их ВВС и заводам НКАП ……</w:t>
      </w:r>
      <w:proofErr w:type="gramStart"/>
      <w:r w:rsidRPr="00925F26">
        <w:rPr>
          <w:color w:val="000000" w:themeColor="text1"/>
          <w:sz w:val="16"/>
          <w:szCs w:val="16"/>
        </w:rPr>
        <w:t>…….</w:t>
      </w:r>
      <w:proofErr w:type="gramEnd"/>
      <w:r w:rsidRPr="00925F26">
        <w:rPr>
          <w:color w:val="000000" w:themeColor="text1"/>
          <w:sz w:val="16"/>
          <w:szCs w:val="16"/>
        </w:rPr>
        <w:t>(8961)</w:t>
      </w:r>
    </w:p>
    <w:p w14:paraId="124925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года вышел приказ НКАП:</w:t>
      </w:r>
    </w:p>
    <w:p w14:paraId="1B244E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Утвердить Сычева В.В. директором завода № 301 (директор завода № 469) (8958).</w:t>
      </w:r>
    </w:p>
    <w:p w14:paraId="5ADE70BE" w14:textId="77777777" w:rsidR="00665165" w:rsidRPr="00925F26" w:rsidRDefault="00665165" w:rsidP="00925F26">
      <w:pPr>
        <w:autoSpaceDE w:val="0"/>
        <w:autoSpaceDN w:val="0"/>
        <w:adjustRightInd w:val="0"/>
        <w:jc w:val="both"/>
        <w:rPr>
          <w:color w:val="000000" w:themeColor="text1"/>
          <w:sz w:val="16"/>
          <w:szCs w:val="16"/>
        </w:rPr>
      </w:pPr>
    </w:p>
    <w:p w14:paraId="2297FCA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BC414B1" w14:textId="77777777" w:rsidR="00665165" w:rsidRPr="00925F26" w:rsidRDefault="00665165" w:rsidP="00925F26">
      <w:pPr>
        <w:autoSpaceDE w:val="0"/>
        <w:autoSpaceDN w:val="0"/>
        <w:adjustRightInd w:val="0"/>
        <w:jc w:val="both"/>
        <w:rPr>
          <w:iCs/>
          <w:color w:val="000000" w:themeColor="text1"/>
          <w:sz w:val="16"/>
          <w:szCs w:val="16"/>
        </w:rPr>
      </w:pPr>
    </w:p>
    <w:p w14:paraId="6C5AA0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февраля 1945 г. была подготовлена ДОКЛАДНАЯ ЗАПИСКА НАЧАЛЬНИКА НИБТ ПОЛИГОНА НАЧАЛЬНИКУ ГБТУ КА ПО ОТБОРУ НОВЫХ ОБРАЗЦОВ ТРОФЕЙНОЙ ТЕХНИКИ № 104</w:t>
      </w:r>
    </w:p>
    <w:p w14:paraId="6BCAF1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о командировании от НИБТ полигона ГБТУ КА в район дейс</w:t>
      </w:r>
      <w:r w:rsidRPr="00925F26">
        <w:rPr>
          <w:color w:val="000000" w:themeColor="text1"/>
          <w:sz w:val="16"/>
          <w:szCs w:val="16"/>
        </w:rPr>
        <w:softHyphen/>
        <w:t>твия 1-го Украинского фронта техника-лейтенанта т. Ваиль М.М. (старший группы), сержанта т. Криворучко И.З. и мл. сержанта т. Сопрыкина М.И.</w:t>
      </w:r>
    </w:p>
    <w:p w14:paraId="638FBC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Цель командировки — отбор и доставка на НИБТ полигон ГБТУ КА новых образцов трофейной техники: танков, самоходных установок, бронетранспортеров и т.д.</w:t>
      </w:r>
    </w:p>
    <w:p w14:paraId="1C4216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Начальник НИБТ полигона генерал-майор танковых войск Романов</w:t>
      </w:r>
    </w:p>
    <w:p w14:paraId="2E5EDC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3038. Л. 75. Подлинник (11420).</w:t>
      </w:r>
    </w:p>
    <w:p w14:paraId="08484604" w14:textId="77777777" w:rsidR="00665165" w:rsidRPr="00925F26" w:rsidRDefault="00665165" w:rsidP="00925F26">
      <w:pPr>
        <w:autoSpaceDE w:val="0"/>
        <w:autoSpaceDN w:val="0"/>
        <w:adjustRightInd w:val="0"/>
        <w:jc w:val="both"/>
        <w:rPr>
          <w:color w:val="000000" w:themeColor="text1"/>
          <w:sz w:val="16"/>
          <w:szCs w:val="16"/>
        </w:rPr>
      </w:pPr>
    </w:p>
    <w:p w14:paraId="6C76228C" w14:textId="77777777" w:rsidR="00F94B6C" w:rsidRPr="001A0BAA" w:rsidRDefault="00F94B6C" w:rsidP="00F94B6C">
      <w:pPr>
        <w:jc w:val="both"/>
        <w:rPr>
          <w:color w:val="0070C0"/>
          <w:sz w:val="16"/>
          <w:szCs w:val="16"/>
        </w:rPr>
      </w:pPr>
      <w:r w:rsidRPr="001A0BAA">
        <w:rPr>
          <w:rStyle w:val="aff0"/>
          <w:rFonts w:ascii="Times New Roman" w:hAnsi="Times New Roman" w:cs="Times New Roman"/>
          <w:color w:val="0070C0"/>
          <w:spacing w:val="0"/>
          <w:sz w:val="16"/>
          <w:szCs w:val="16"/>
        </w:rPr>
        <w:t>19 февраля 1945 г. штаб артиллерии 3-гоаУкраинскоговфр получил распоряжение Артиллерийского управления Красной Ар</w:t>
      </w:r>
      <w:r w:rsidRPr="001A0BAA">
        <w:rPr>
          <w:rStyle w:val="aff0"/>
          <w:rFonts w:ascii="Times New Roman" w:hAnsi="Times New Roman" w:cs="Times New Roman"/>
          <w:color w:val="0070C0"/>
          <w:spacing w:val="0"/>
          <w:sz w:val="16"/>
          <w:szCs w:val="16"/>
        </w:rPr>
        <w:softHyphen/>
        <w:t>мии и Наркомата вооружения «О проведении обследования новых типов немецких танков и САУ, уничтоженных в ходе оборонитель</w:t>
      </w:r>
      <w:r w:rsidRPr="001A0BAA">
        <w:rPr>
          <w:rStyle w:val="aff0"/>
          <w:rFonts w:ascii="Times New Roman" w:hAnsi="Times New Roman" w:cs="Times New Roman"/>
          <w:color w:val="0070C0"/>
          <w:spacing w:val="0"/>
          <w:sz w:val="16"/>
          <w:szCs w:val="16"/>
        </w:rPr>
        <w:softHyphen/>
        <w:t>ных боев в районе оз. Балатон —оз. Веленце —р. Дунай».</w:t>
      </w:r>
    </w:p>
    <w:p w14:paraId="0B184255" w14:textId="77777777" w:rsidR="00F94B6C" w:rsidRPr="001A0BAA" w:rsidRDefault="00F94B6C" w:rsidP="00F94B6C">
      <w:pPr>
        <w:jc w:val="both"/>
        <w:rPr>
          <w:color w:val="0070C0"/>
          <w:sz w:val="16"/>
          <w:szCs w:val="16"/>
        </w:rPr>
      </w:pPr>
      <w:r w:rsidRPr="001A0BAA">
        <w:rPr>
          <w:rStyle w:val="aff0"/>
          <w:rFonts w:ascii="Times New Roman" w:hAnsi="Times New Roman" w:cs="Times New Roman"/>
          <w:color w:val="0070C0"/>
          <w:spacing w:val="0"/>
          <w:sz w:val="16"/>
          <w:szCs w:val="16"/>
        </w:rPr>
        <w:t>В конце февраля 1945 г. было произведено обследование 90 образцов трофейной бронетехники, в том числе 7 сгоревших тан</w:t>
      </w:r>
      <w:r w:rsidRPr="001A0BAA">
        <w:rPr>
          <w:rStyle w:val="aff0"/>
          <w:rFonts w:ascii="Times New Roman" w:hAnsi="Times New Roman" w:cs="Times New Roman"/>
          <w:color w:val="0070C0"/>
          <w:spacing w:val="0"/>
          <w:sz w:val="16"/>
          <w:szCs w:val="16"/>
        </w:rPr>
        <w:softHyphen/>
        <w:t xml:space="preserve">ков типа «Королевский Тигр», 31 танка «Пантера», 12 танков </w:t>
      </w:r>
      <w:r w:rsidRPr="001A0BAA">
        <w:rPr>
          <w:rStyle w:val="aff0"/>
          <w:rFonts w:ascii="Times New Roman" w:hAnsi="Times New Roman" w:cs="Times New Roman"/>
          <w:color w:val="0070C0"/>
          <w:spacing w:val="0"/>
          <w:sz w:val="16"/>
          <w:szCs w:val="16"/>
          <w:lang w:val="en-US"/>
        </w:rPr>
        <w:t>T</w:t>
      </w:r>
      <w:r w:rsidRPr="001A0BAA">
        <w:rPr>
          <w:rStyle w:val="aff0"/>
          <w:rFonts w:ascii="Times New Roman" w:hAnsi="Times New Roman" w:cs="Times New Roman"/>
          <w:color w:val="0070C0"/>
          <w:spacing w:val="0"/>
          <w:sz w:val="16"/>
          <w:szCs w:val="16"/>
        </w:rPr>
        <w:t>-</w:t>
      </w:r>
      <w:r w:rsidRPr="001A0BAA">
        <w:rPr>
          <w:rStyle w:val="aff0"/>
          <w:rFonts w:ascii="Times New Roman" w:hAnsi="Times New Roman" w:cs="Times New Roman"/>
          <w:color w:val="0070C0"/>
          <w:spacing w:val="0"/>
          <w:sz w:val="16"/>
          <w:szCs w:val="16"/>
          <w:lang w:val="en-US"/>
        </w:rPr>
        <w:t>IV</w:t>
      </w:r>
      <w:r w:rsidRPr="001A0BAA">
        <w:rPr>
          <w:rStyle w:val="aff0"/>
          <w:rFonts w:ascii="Times New Roman" w:hAnsi="Times New Roman" w:cs="Times New Roman"/>
          <w:color w:val="0070C0"/>
          <w:spacing w:val="0"/>
          <w:sz w:val="16"/>
          <w:szCs w:val="16"/>
        </w:rPr>
        <w:t>, 4 танков Т-Ш, 32 САУ различных типов и 4 бронетранспортеров.</w:t>
      </w:r>
    </w:p>
    <w:p w14:paraId="3CB578E4" w14:textId="77777777" w:rsidR="00F94B6C" w:rsidRPr="001A0BAA" w:rsidRDefault="00F94B6C" w:rsidP="00F94B6C">
      <w:pPr>
        <w:jc w:val="both"/>
        <w:rPr>
          <w:color w:val="0070C0"/>
          <w:sz w:val="16"/>
          <w:szCs w:val="16"/>
        </w:rPr>
      </w:pPr>
      <w:r w:rsidRPr="001A0BAA">
        <w:rPr>
          <w:rStyle w:val="aff0"/>
          <w:rFonts w:ascii="Times New Roman" w:hAnsi="Times New Roman" w:cs="Times New Roman"/>
          <w:color w:val="0070C0"/>
          <w:spacing w:val="0"/>
          <w:sz w:val="16"/>
          <w:szCs w:val="16"/>
        </w:rPr>
        <w:t>Из 90 обследованных единиц бронетехники 86 были уничто</w:t>
      </w:r>
      <w:r w:rsidRPr="001A0BAA">
        <w:rPr>
          <w:rStyle w:val="aff0"/>
          <w:rFonts w:ascii="Times New Roman" w:hAnsi="Times New Roman" w:cs="Times New Roman"/>
          <w:color w:val="0070C0"/>
          <w:spacing w:val="0"/>
          <w:sz w:val="16"/>
          <w:szCs w:val="16"/>
        </w:rPr>
        <w:softHyphen/>
        <w:t>жены артиллерийским огнем, а 4 подорвались на минах. 80 ма</w:t>
      </w:r>
      <w:r w:rsidRPr="001A0BAA">
        <w:rPr>
          <w:rStyle w:val="aff0"/>
          <w:rFonts w:ascii="Times New Roman" w:hAnsi="Times New Roman" w:cs="Times New Roman"/>
          <w:color w:val="0070C0"/>
          <w:spacing w:val="0"/>
          <w:sz w:val="16"/>
          <w:szCs w:val="16"/>
        </w:rPr>
        <w:softHyphen/>
        <w:t>шин сгорело. На всех танках и САУ насчитали 152 пробоины от снарядов, в 35 случаях были повреждены гусеницы, в 5 —про</w:t>
      </w:r>
      <w:r w:rsidRPr="001A0BAA">
        <w:rPr>
          <w:rStyle w:val="aff0"/>
          <w:rFonts w:ascii="Times New Roman" w:hAnsi="Times New Roman" w:cs="Times New Roman"/>
          <w:color w:val="0070C0"/>
          <w:spacing w:val="0"/>
          <w:sz w:val="16"/>
          <w:szCs w:val="16"/>
        </w:rPr>
        <w:softHyphen/>
        <w:t>стрелы орудийных стволов и в 2 случаях были сброшены танко</w:t>
      </w:r>
      <w:r w:rsidRPr="001A0BAA">
        <w:rPr>
          <w:rStyle w:val="aff0"/>
          <w:rFonts w:ascii="Times New Roman" w:hAnsi="Times New Roman" w:cs="Times New Roman"/>
          <w:color w:val="0070C0"/>
          <w:spacing w:val="0"/>
          <w:sz w:val="16"/>
          <w:szCs w:val="16"/>
        </w:rPr>
        <w:softHyphen/>
        <w:t>вые башни.</w:t>
      </w:r>
    </w:p>
    <w:p w14:paraId="18EB9DA5" w14:textId="77777777" w:rsidR="00F94B6C" w:rsidRPr="001A0BAA" w:rsidRDefault="00F94B6C" w:rsidP="00F94B6C">
      <w:pPr>
        <w:jc w:val="both"/>
        <w:rPr>
          <w:color w:val="0070C0"/>
          <w:sz w:val="16"/>
          <w:szCs w:val="16"/>
        </w:rPr>
      </w:pPr>
      <w:r w:rsidRPr="001A0BAA">
        <w:rPr>
          <w:rStyle w:val="aff0"/>
          <w:rFonts w:ascii="Times New Roman" w:hAnsi="Times New Roman" w:cs="Times New Roman"/>
          <w:color w:val="0070C0"/>
          <w:spacing w:val="0"/>
          <w:sz w:val="16"/>
          <w:szCs w:val="16"/>
        </w:rPr>
        <w:t>Из 152 пробоин 100 (65,8%) приходилось на борта танков и САУ, 27 (17,8%) — на корму и 25 (16,4%) — на лоб корпуса. 49 пробоин были от бронебойных 76-мм снарядов, 30 —от 57-мм снарядов, 50 —от снарядов неустановленного типа, скорее всего сердечниками подкалиберных снарядов. 3 пробоины были сдела</w:t>
      </w:r>
      <w:r w:rsidRPr="001A0BAA">
        <w:rPr>
          <w:rStyle w:val="aff0"/>
          <w:rFonts w:ascii="Times New Roman" w:hAnsi="Times New Roman" w:cs="Times New Roman"/>
          <w:color w:val="0070C0"/>
          <w:spacing w:val="0"/>
          <w:sz w:val="16"/>
          <w:szCs w:val="16"/>
        </w:rPr>
        <w:softHyphen/>
        <w:t>ны кумулятивными минами «фаустпатронов», а оставшиеся 20 пробоин приходились на снаряды всех остальных типов.</w:t>
      </w:r>
    </w:p>
    <w:p w14:paraId="220B7C1D" w14:textId="77777777" w:rsidR="00F94B6C" w:rsidRPr="001A0BAA" w:rsidRDefault="00F94B6C" w:rsidP="00F94B6C">
      <w:pPr>
        <w:jc w:val="both"/>
        <w:rPr>
          <w:color w:val="0070C0"/>
          <w:sz w:val="16"/>
          <w:szCs w:val="16"/>
        </w:rPr>
      </w:pPr>
      <w:r w:rsidRPr="001A0BAA">
        <w:rPr>
          <w:rStyle w:val="aff0"/>
          <w:rFonts w:ascii="Times New Roman" w:hAnsi="Times New Roman" w:cs="Times New Roman"/>
          <w:color w:val="0070C0"/>
          <w:spacing w:val="0"/>
          <w:sz w:val="16"/>
          <w:szCs w:val="16"/>
        </w:rPr>
        <w:t>Исследуемая подбитая бронетехника также изобиловала мно</w:t>
      </w:r>
      <w:r w:rsidRPr="001A0BAA">
        <w:rPr>
          <w:rStyle w:val="aff0"/>
          <w:rFonts w:ascii="Times New Roman" w:hAnsi="Times New Roman" w:cs="Times New Roman"/>
          <w:color w:val="0070C0"/>
          <w:spacing w:val="0"/>
          <w:sz w:val="16"/>
          <w:szCs w:val="16"/>
        </w:rPr>
        <w:softHyphen/>
        <w:t>гочисленными повреждениями от различных снарядов, пуль и несквозных «язв» от «фаустпатронов», не приведших к пробитию брони (25436).</w:t>
      </w:r>
    </w:p>
    <w:p w14:paraId="2DA52EB7" w14:textId="77777777" w:rsidR="00F94B6C" w:rsidRPr="001A0BAA" w:rsidRDefault="00F94B6C" w:rsidP="00F94B6C">
      <w:pPr>
        <w:jc w:val="both"/>
        <w:rPr>
          <w:color w:val="0070C0"/>
          <w:sz w:val="16"/>
          <w:szCs w:val="16"/>
        </w:rPr>
      </w:pPr>
    </w:p>
    <w:p w14:paraId="57B2AFC3"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Завершено строительство и введена в строй 1-я очередь Красноярского машиностроительного завода «Красный профинтерн». В Восточной Сибири создана крупная база тяжёлого машиностроения (15045).</w:t>
      </w:r>
    </w:p>
    <w:p w14:paraId="7D0DC166" w14:textId="77777777" w:rsidR="000F49EC" w:rsidRPr="00925F26" w:rsidRDefault="000F49EC" w:rsidP="00925F26">
      <w:pPr>
        <w:jc w:val="both"/>
        <w:rPr>
          <w:color w:val="000000" w:themeColor="text1"/>
          <w:sz w:val="16"/>
          <w:szCs w:val="16"/>
        </w:rPr>
      </w:pPr>
    </w:p>
    <w:p w14:paraId="13C1660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D742408" w14:textId="77777777" w:rsidR="00665165" w:rsidRPr="00925F26" w:rsidRDefault="00665165" w:rsidP="00925F26">
      <w:pPr>
        <w:autoSpaceDE w:val="0"/>
        <w:autoSpaceDN w:val="0"/>
        <w:adjustRightInd w:val="0"/>
        <w:jc w:val="both"/>
        <w:rPr>
          <w:iCs/>
          <w:color w:val="000000" w:themeColor="text1"/>
          <w:sz w:val="16"/>
          <w:szCs w:val="16"/>
        </w:rPr>
      </w:pPr>
    </w:p>
    <w:p w14:paraId="6B975305"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оперативная сводка Совинформбюро:</w:t>
      </w:r>
    </w:p>
    <w:p w14:paraId="2758DA6F" w14:textId="77777777" w:rsidR="000F49EC" w:rsidRPr="00925F26" w:rsidRDefault="000F49EC" w:rsidP="00925F26">
      <w:pPr>
        <w:jc w:val="both"/>
        <w:rPr>
          <w:color w:val="000000" w:themeColor="text1"/>
          <w:sz w:val="16"/>
          <w:szCs w:val="16"/>
        </w:rPr>
      </w:pPr>
      <w:r w:rsidRPr="00925F26">
        <w:rPr>
          <w:color w:val="000000" w:themeColor="text1"/>
          <w:sz w:val="16"/>
          <w:szCs w:val="16"/>
        </w:rPr>
        <w:t>«В течение 19 февраля на Земландском полуострове наши войска отбивали атаки пехоты и танков противника, стремящегося прорваться из города Кенигсберга на запад. Одновременно южнее Кенигсберга наши войска, продолжая бои по уничтожению Восточно-Прусской группировки противника, овладели населёнными пунктами Квенен, Парескен, Вангник, Розенвальде, Энгельсвальде, Зугнинен, Лихтвальде, Хайштерн, Подлехен, Гедильген, Груненберг.</w:t>
      </w:r>
    </w:p>
    <w:p w14:paraId="16C0924B" w14:textId="77777777" w:rsidR="000F49EC" w:rsidRPr="00925F26" w:rsidRDefault="000F49EC" w:rsidP="00925F26">
      <w:pPr>
        <w:jc w:val="both"/>
        <w:rPr>
          <w:color w:val="000000" w:themeColor="text1"/>
          <w:sz w:val="16"/>
          <w:szCs w:val="16"/>
        </w:rPr>
      </w:pPr>
      <w:r w:rsidRPr="00925F26">
        <w:rPr>
          <w:color w:val="000000" w:themeColor="text1"/>
          <w:sz w:val="16"/>
          <w:szCs w:val="16"/>
        </w:rPr>
        <w:t>Севернее и северо-западнее города Грудзяндз (Грауденц) наши войска, наступая на север вдоль западного берега Вислы, овладели городом Нойенбург и заняли населённые пункты Гросс Комморск, Унтерберг, Эспенвердер. В этом районе продолжались бои по уничтожению гарнизона противника, окружённого в городе Грудзяндз (Грауденц).</w:t>
      </w:r>
    </w:p>
    <w:p w14:paraId="74B90309" w14:textId="77777777" w:rsidR="000F49EC" w:rsidRPr="00925F26" w:rsidRDefault="000F49EC" w:rsidP="00925F26">
      <w:pPr>
        <w:jc w:val="both"/>
        <w:rPr>
          <w:color w:val="000000" w:themeColor="text1"/>
          <w:sz w:val="16"/>
          <w:szCs w:val="16"/>
        </w:rPr>
      </w:pPr>
      <w:r w:rsidRPr="00925F26">
        <w:rPr>
          <w:color w:val="000000" w:themeColor="text1"/>
          <w:sz w:val="16"/>
          <w:szCs w:val="16"/>
        </w:rPr>
        <w:t>Юго-западнее и южнее Бреслау (Бреславль) наши войска в результате наступательных боёв овладели населёнными пунктами Окилиц, Моршельвитц, Альбрехтсдорф, Дамсдорф, Штейн, Данквиц, Клайн-Езериц, Грегерсдорф. Одновременно наши войска вели бои по уничтожению группировки противника в городе Бреслау (Бреславль) и, сжимая кольцо окружения, овладели населёнными пунктами Трешен, Броккау, Герцогсхуфен, Нойкирх, Гольдшмиден, Траутензе.</w:t>
      </w:r>
    </w:p>
    <w:p w14:paraId="78B66E85" w14:textId="77777777" w:rsidR="000F49EC" w:rsidRPr="00925F26" w:rsidRDefault="000F49EC" w:rsidP="00925F26">
      <w:pPr>
        <w:jc w:val="both"/>
        <w:rPr>
          <w:color w:val="000000" w:themeColor="text1"/>
          <w:sz w:val="16"/>
          <w:szCs w:val="16"/>
        </w:rPr>
      </w:pPr>
      <w:r w:rsidRPr="00925F26">
        <w:rPr>
          <w:color w:val="000000" w:themeColor="text1"/>
          <w:sz w:val="16"/>
          <w:szCs w:val="16"/>
        </w:rPr>
        <w:t>На северном берегу Дуная восточнее города Комарно наши войска, находящиеся западнее реки Грон, отбивали атаки крупных сил пехоты и танков противника и после упорных боёв оставили несколько населённых пунктов.</w:t>
      </w:r>
    </w:p>
    <w:p w14:paraId="09BAE712" w14:textId="77777777" w:rsidR="000F49EC" w:rsidRPr="00925F26" w:rsidRDefault="000F49EC"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623F4FAA" w14:textId="77777777" w:rsidR="000F49EC" w:rsidRPr="00925F26" w:rsidRDefault="000F49EC" w:rsidP="00925F26">
      <w:pPr>
        <w:jc w:val="both"/>
        <w:rPr>
          <w:color w:val="000000" w:themeColor="text1"/>
          <w:sz w:val="16"/>
          <w:szCs w:val="16"/>
        </w:rPr>
      </w:pPr>
      <w:r w:rsidRPr="00925F26">
        <w:rPr>
          <w:color w:val="000000" w:themeColor="text1"/>
          <w:sz w:val="16"/>
          <w:szCs w:val="16"/>
        </w:rPr>
        <w:t>За 18 февраля на всех фронтах подбито и уничтожено 117 немецких танков. В воздушных боях и огнём зенитной артиллерии сбито 84 самолёта противника.</w:t>
      </w:r>
    </w:p>
    <w:p w14:paraId="31E01A74" w14:textId="77777777" w:rsidR="000F49EC" w:rsidRPr="00925F26" w:rsidRDefault="000F49EC" w:rsidP="00925F26">
      <w:pPr>
        <w:jc w:val="both"/>
        <w:rPr>
          <w:color w:val="000000" w:themeColor="text1"/>
          <w:sz w:val="16"/>
          <w:szCs w:val="16"/>
        </w:rPr>
      </w:pPr>
      <w:r w:rsidRPr="00925F26">
        <w:rPr>
          <w:color w:val="000000" w:themeColor="text1"/>
          <w:sz w:val="16"/>
          <w:szCs w:val="16"/>
        </w:rPr>
        <w:t>Южнее Кенигсберга наши войска продолжали сжимать кольцо окружения Восточно-Прусской группировки противника. Северо-западнее города Ландсберг бойцы Н-ского соединения в ночном бою очистили от немцев лесной участок и заняли несколько сильно укреплённых населённых пунктов. Другие наши части, после упорных боёв, переправились через реку Пассарге и заняли на её восточном берегу селение Груненберг. Противник неоднократно переходил в контратаки, но все попытки гитлеровцев вернуть потерянные позиции закончились неудачей. В ходе боёв на этом участке немцы понесли большие потери в живой силе. На поле боя осталось 27 подбитых вражеских танков, 5 бронетранспортеров и десятки полевых орудий. Нашими войсками взято в плен более 420 немецких солдат и офицеров.</w:t>
      </w:r>
    </w:p>
    <w:p w14:paraId="7D63AAFB" w14:textId="77777777" w:rsidR="000F49EC" w:rsidRPr="00925F26" w:rsidRDefault="000F49EC" w:rsidP="00925F26">
      <w:pPr>
        <w:jc w:val="both"/>
        <w:rPr>
          <w:color w:val="000000" w:themeColor="text1"/>
          <w:sz w:val="16"/>
          <w:szCs w:val="16"/>
        </w:rPr>
      </w:pPr>
      <w:r w:rsidRPr="00925F26">
        <w:rPr>
          <w:color w:val="000000" w:themeColor="text1"/>
          <w:sz w:val="16"/>
          <w:szCs w:val="16"/>
        </w:rPr>
        <w:t>Советская авиация наносила удары по скоплениям живой силы и техники противника. В воздушных боях сбито 13 немецких самолётов. Кроме того, 8 вражеских самолётов уничтожено на аэродромах.</w:t>
      </w:r>
    </w:p>
    <w:p w14:paraId="73A34D07" w14:textId="77777777" w:rsidR="000F49EC" w:rsidRPr="00925F26" w:rsidRDefault="000F49EC" w:rsidP="00925F26">
      <w:pPr>
        <w:jc w:val="both"/>
        <w:rPr>
          <w:color w:val="000000" w:themeColor="text1"/>
          <w:sz w:val="16"/>
          <w:szCs w:val="16"/>
        </w:rPr>
      </w:pPr>
      <w:r w:rsidRPr="00925F26">
        <w:rPr>
          <w:color w:val="000000" w:themeColor="text1"/>
          <w:sz w:val="16"/>
          <w:szCs w:val="16"/>
        </w:rPr>
        <w:t>Севернее и северо-западнее города Грудзяндз (Грауденц) наши войска продолжали наступление. Сломив сопротивление противника, советские части продвинулись вперёд на 10 километров. Штурмом занят город Нойенбург — узел коммуникаций и сильный опорный пункт обороны немцев на западном берегу Вислы. Одновременно наши войска продолжали бои по ликвидация гарнизона противника, окружённого в городе Грудзяндз (Грауденц). Сегодня на рассвете два батальона гитлеровцев переправились на западный берег Вислы и пытались пробиться из окружения. Вражеская группа была встречена миномётным и пулемётным огнём наших подразделений и в большей своей части уничтожена. Немцы, опираясь на укрепления, прикрывающие город Грудзяндз со всех сторон, оказывают упорное сопротивление. Советские части, продолжая сжимать кольцо окружения, ворвались на окраину города. За день боёв уничтожено более 1.500 солдат и офицеров противника. Захвачено у немцев 8 бронетранспортёров, 34 орудия и другие трофеи.</w:t>
      </w:r>
    </w:p>
    <w:p w14:paraId="5ACEEA78" w14:textId="77777777" w:rsidR="000F49EC" w:rsidRPr="00925F26" w:rsidRDefault="000F49EC" w:rsidP="00925F26">
      <w:pPr>
        <w:jc w:val="both"/>
        <w:rPr>
          <w:color w:val="000000" w:themeColor="text1"/>
          <w:sz w:val="16"/>
          <w:szCs w:val="16"/>
        </w:rPr>
      </w:pPr>
      <w:r w:rsidRPr="00925F26">
        <w:rPr>
          <w:color w:val="000000" w:themeColor="text1"/>
          <w:sz w:val="16"/>
          <w:szCs w:val="16"/>
        </w:rPr>
        <w:t>На северном берегу Дуная восточнее города Комарно противник рано утром возобновил атаки. Немцы ввели в бой на узком участке крупные силы пехоты и две танковые дивизии. Завязались ожесточённые бои, в ходе которых отдельные населённые пункты неоднократно переходили из рук в руки. Ценою больших потерь противнику удалось занять несколько населённых пунктов. На поле боя осталось много вражеских трупов. По неполным данным, подбито 22 немецких танка и 9 бронетранспортёров.</w:t>
      </w:r>
    </w:p>
    <w:p w14:paraId="4F05F135" w14:textId="77777777" w:rsidR="000F49EC" w:rsidRPr="00925F26" w:rsidRDefault="000F49EC"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наносила удары по кораблям противника, обнаруженным в Балтийском море. Потоплены три немецких транспорта общим водоизмещением в 16 тысяч тонн и тральщик противника.</w:t>
      </w:r>
    </w:p>
    <w:p w14:paraId="32036282" w14:textId="77777777" w:rsidR="000F49EC" w:rsidRPr="00925F26" w:rsidRDefault="000F49EC" w:rsidP="00925F26">
      <w:pPr>
        <w:jc w:val="both"/>
        <w:rPr>
          <w:color w:val="000000" w:themeColor="text1"/>
          <w:sz w:val="16"/>
          <w:szCs w:val="16"/>
        </w:rPr>
      </w:pPr>
      <w:r w:rsidRPr="00925F26">
        <w:rPr>
          <w:color w:val="000000" w:themeColor="text1"/>
          <w:sz w:val="16"/>
          <w:szCs w:val="16"/>
        </w:rPr>
        <w:t>Кораблями флота на подходах к порту Лепая (Либава) пущены ко дну два немецких транспорта.</w:t>
      </w:r>
    </w:p>
    <w:p w14:paraId="46E6F06A" w14:textId="77777777" w:rsidR="000F49EC" w:rsidRPr="00925F26" w:rsidRDefault="000F49EC" w:rsidP="00925F26">
      <w:pPr>
        <w:jc w:val="both"/>
        <w:rPr>
          <w:color w:val="000000" w:themeColor="text1"/>
          <w:sz w:val="16"/>
          <w:szCs w:val="16"/>
        </w:rPr>
      </w:pPr>
      <w:r w:rsidRPr="00925F26">
        <w:rPr>
          <w:color w:val="000000" w:themeColor="text1"/>
          <w:sz w:val="16"/>
          <w:szCs w:val="16"/>
        </w:rPr>
        <w:t>Лётчики флота в воздушных боях сбили 11 самолётов противника.</w:t>
      </w:r>
    </w:p>
    <w:p w14:paraId="24A1EE86" w14:textId="77777777" w:rsidR="000F49EC" w:rsidRPr="00925F26" w:rsidRDefault="000F49EC" w:rsidP="00925F26">
      <w:pPr>
        <w:jc w:val="both"/>
        <w:rPr>
          <w:color w:val="000000" w:themeColor="text1"/>
          <w:sz w:val="16"/>
          <w:szCs w:val="16"/>
        </w:rPr>
      </w:pPr>
      <w:r w:rsidRPr="00925F26">
        <w:rPr>
          <w:color w:val="000000" w:themeColor="text1"/>
          <w:sz w:val="16"/>
          <w:szCs w:val="16"/>
        </w:rPr>
        <w:t>Немецкий фельдфебель Эрземан Гюнтер, взятый в плен в районе города Бреслау, рассказал: «В четверг, 18 января, в городе распространились тревожные слухи. Говорили, что русские войска вторглись в Силезию и двигаются на Бреслау. Местные газеты категорически опровергали подобные слухи и писали, что всё это ложь. Однако через несколько дней гаулейтер Силезии Ханке издал приказ, в котором требовал немедленной эвакуации жителей. Он угрожал суровыми репрессиями всем, кто не выполнит этого приказа. Паника, охватившая население, не поддаётся описанию. Жители города стремились уничтожить всё, что свидетельствовало бы о их связях с гитлеровским режимом. Из окон многих домов выбрасывали портреты Гитлера, мундиры штурмовиков, а также знамёна со свастикой. Тысячи жителей пешком устремились из города. На обледенелых шоссе сразу же образовались пробки. Застрявшие в пути толпы беженцев, впервые вкусившие все прелести эвакуации, проклинали фашистских чиновников, удиравших из города на автомашинах. В случайно проходивших поездах места брались с боя. Люди метались, как безумные. Многие были раздавлены и изувечены» (15045).</w:t>
      </w:r>
    </w:p>
    <w:p w14:paraId="73484040" w14:textId="77777777" w:rsidR="000F49EC" w:rsidRPr="00925F26" w:rsidRDefault="000F49EC" w:rsidP="00925F26">
      <w:pPr>
        <w:jc w:val="both"/>
        <w:rPr>
          <w:color w:val="000000" w:themeColor="text1"/>
          <w:sz w:val="16"/>
          <w:szCs w:val="16"/>
        </w:rPr>
      </w:pPr>
    </w:p>
    <w:p w14:paraId="35D5D295"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завершилась Западно-Карпатская операция войск 4-го Украинского и основных сил 2-го Украинского фронтов: советские войска освободили большую часть территории Словакии и южные районы Польши (15045).</w:t>
      </w:r>
    </w:p>
    <w:p w14:paraId="66FC775E" w14:textId="77777777" w:rsidR="000F49EC" w:rsidRPr="00925F26" w:rsidRDefault="000F49EC" w:rsidP="00925F26">
      <w:pPr>
        <w:jc w:val="both"/>
        <w:rPr>
          <w:color w:val="000000" w:themeColor="text1"/>
          <w:sz w:val="16"/>
          <w:szCs w:val="16"/>
        </w:rPr>
      </w:pPr>
    </w:p>
    <w:p w14:paraId="7E7C37CC"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за высокое воинское мастерство и решительность в боях с Инстербургской группировкой противника в Восточной Пруссии 26-ая гвардейская Краснознамённая Восточно-Сибирская Городокская стрелковая дивизия награждена орденом Суворова 2-ой степени (15045).</w:t>
      </w:r>
    </w:p>
    <w:p w14:paraId="7E758777" w14:textId="77777777" w:rsidR="000F49EC" w:rsidRPr="00925F26" w:rsidRDefault="000F49EC" w:rsidP="00925F26">
      <w:pPr>
        <w:jc w:val="both"/>
        <w:rPr>
          <w:color w:val="000000" w:themeColor="text1"/>
          <w:sz w:val="16"/>
          <w:szCs w:val="16"/>
        </w:rPr>
      </w:pPr>
    </w:p>
    <w:p w14:paraId="7DDAD1E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19, 1945: In East Prussia, German forces reestablish communications between Konigsberg and the port of Pillau, thus again enabling tens of thousands of German refugees to be evacuated to the West by ships of the Kriegsmarine. Operation Sonnenwende is stopped in the face of fierce Soviet resistance. The operation was a complete military failure, but did achieve the political goal of delaying Soviet operations to take Berlin by several months (3819).</w:t>
      </w:r>
    </w:p>
    <w:p w14:paraId="4EB32D29" w14:textId="77777777" w:rsidR="00665165" w:rsidRPr="00925F26" w:rsidRDefault="00665165" w:rsidP="00925F26">
      <w:pPr>
        <w:autoSpaceDE w:val="0"/>
        <w:autoSpaceDN w:val="0"/>
        <w:adjustRightInd w:val="0"/>
        <w:jc w:val="both"/>
        <w:rPr>
          <w:color w:val="000000" w:themeColor="text1"/>
          <w:sz w:val="16"/>
          <w:szCs w:val="16"/>
          <w:lang w:val="en-US"/>
        </w:rPr>
      </w:pPr>
    </w:p>
    <w:p w14:paraId="4AD858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в Восточной Пруссии немецкие части восстановили связь между Кенигсбергом и портом Пилау для того, чтобы продолжить эвакуацию немцев. В военном смысле операция провалилась, но в политическом - позволила оттянуть взятие берлина на несколько месяцев (3819).</w:t>
      </w:r>
    </w:p>
    <w:p w14:paraId="68BBD831" w14:textId="77777777" w:rsidR="00665165" w:rsidRPr="00925F26" w:rsidRDefault="00665165" w:rsidP="00925F26">
      <w:pPr>
        <w:autoSpaceDE w:val="0"/>
        <w:autoSpaceDN w:val="0"/>
        <w:adjustRightInd w:val="0"/>
        <w:jc w:val="both"/>
        <w:rPr>
          <w:color w:val="000000" w:themeColor="text1"/>
          <w:sz w:val="16"/>
          <w:szCs w:val="16"/>
        </w:rPr>
      </w:pPr>
    </w:p>
    <w:p w14:paraId="0961B6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И.Кожедуб сбил Ме-262 - свой шестидесятый самолет (355,34).</w:t>
      </w:r>
    </w:p>
    <w:p w14:paraId="04AFB3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это было 24 февраля.</w:t>
      </w:r>
    </w:p>
    <w:p w14:paraId="63859F65" w14:textId="77777777" w:rsidR="00665165" w:rsidRPr="00925F26" w:rsidRDefault="00665165" w:rsidP="00925F26">
      <w:pPr>
        <w:autoSpaceDE w:val="0"/>
        <w:autoSpaceDN w:val="0"/>
        <w:adjustRightInd w:val="0"/>
        <w:jc w:val="both"/>
        <w:rPr>
          <w:color w:val="000000" w:themeColor="text1"/>
          <w:sz w:val="16"/>
          <w:szCs w:val="16"/>
        </w:rPr>
      </w:pPr>
    </w:p>
    <w:p w14:paraId="1840CF7E"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w:t>
      </w:r>
      <w:hyperlink r:id="rId43" w:tgtFrame="_blank" w:history="1">
        <w:r w:rsidRPr="00925F26">
          <w:rPr>
            <w:color w:val="000000" w:themeColor="text1"/>
            <w:sz w:val="16"/>
            <w:szCs w:val="16"/>
          </w:rPr>
          <w:t xml:space="preserve">Схватки с «Ме-262». </w:t>
        </w:r>
      </w:hyperlink>
      <w:r w:rsidRPr="00925F26">
        <w:rPr>
          <w:color w:val="000000" w:themeColor="text1"/>
          <w:sz w:val="16"/>
          <w:szCs w:val="16"/>
        </w:rPr>
        <w:t>Иван Кожедуб уничтожает в воздушном бою над Одером немецкий «Ме-262» (WNr.900284.) и первым из советских лётчиков открывает счет сбитым реактивным самолётам. Однако первые два реактивных истребителя были сбиты ещё 7 октября 1944 года, когда "Мустанг" из 375-й эскадрильи, 361-й истребительной группы под управлением лейтенанта Урбана Дрю спикировал на два взлетавших «Me-262» и отправил их на землю (15045).</w:t>
      </w:r>
    </w:p>
    <w:p w14:paraId="0964DA89" w14:textId="77777777" w:rsidR="000F49EC" w:rsidRPr="00925F26" w:rsidRDefault="000F49EC" w:rsidP="00925F26">
      <w:pPr>
        <w:jc w:val="both"/>
        <w:rPr>
          <w:color w:val="000000" w:themeColor="text1"/>
          <w:sz w:val="16"/>
          <w:szCs w:val="16"/>
        </w:rPr>
      </w:pPr>
    </w:p>
    <w:p w14:paraId="7D20715D" w14:textId="77777777" w:rsidR="0037412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Жизнь и внутренняя политика:</w:t>
      </w:r>
    </w:p>
    <w:p w14:paraId="60A9F472" w14:textId="77777777" w:rsidR="0037412D" w:rsidRPr="00925F26" w:rsidRDefault="0037412D" w:rsidP="00925F26">
      <w:pPr>
        <w:autoSpaceDE w:val="0"/>
        <w:autoSpaceDN w:val="0"/>
        <w:adjustRightInd w:val="0"/>
        <w:jc w:val="both"/>
        <w:rPr>
          <w:iCs/>
          <w:color w:val="000000" w:themeColor="text1"/>
          <w:sz w:val="16"/>
          <w:szCs w:val="16"/>
        </w:rPr>
      </w:pPr>
    </w:p>
    <w:p w14:paraId="73139666" w14:textId="77777777" w:rsidR="0037412D" w:rsidRPr="00925F26" w:rsidRDefault="0037412D" w:rsidP="00925F26">
      <w:pPr>
        <w:jc w:val="both"/>
        <w:rPr>
          <w:color w:val="000000" w:themeColor="text1"/>
          <w:sz w:val="16"/>
          <w:szCs w:val="16"/>
        </w:rPr>
      </w:pPr>
      <w:r w:rsidRPr="00925F26">
        <w:rPr>
          <w:color w:val="000000" w:themeColor="text1"/>
          <w:sz w:val="16"/>
          <w:szCs w:val="16"/>
        </w:rPr>
        <w:t>19 февраля 1945 артисты столицы провели день культурного отдыха раненого бойца. Коллектив МХАТа дал 65 концертов, коллектив Малого театра организовал около 100 выступлений. В спектаклях и концертах для раненых бойцов приняли участие артисты Камерного театра, Большого театра Союза ССР (три бригады), Театра имени Евг. Вахтангова (17459).</w:t>
      </w:r>
    </w:p>
    <w:p w14:paraId="517DB0DA" w14:textId="77777777" w:rsidR="0037412D" w:rsidRPr="00925F26" w:rsidRDefault="0037412D" w:rsidP="00925F26">
      <w:pPr>
        <w:jc w:val="both"/>
        <w:rPr>
          <w:color w:val="000000" w:themeColor="text1"/>
          <w:sz w:val="16"/>
          <w:szCs w:val="16"/>
        </w:rPr>
      </w:pPr>
    </w:p>
    <w:p w14:paraId="5DF68751" w14:textId="77777777" w:rsidR="0037412D" w:rsidRPr="00925F26" w:rsidRDefault="0037412D" w:rsidP="00925F26">
      <w:pPr>
        <w:jc w:val="both"/>
        <w:rPr>
          <w:color w:val="000000" w:themeColor="text1"/>
          <w:sz w:val="16"/>
          <w:szCs w:val="16"/>
        </w:rPr>
      </w:pPr>
      <w:r w:rsidRPr="00925F26">
        <w:rPr>
          <w:color w:val="000000" w:themeColor="text1"/>
          <w:sz w:val="16"/>
          <w:szCs w:val="16"/>
        </w:rPr>
        <w:t>19 февраля 1945 года</w:t>
      </w:r>
      <w:r w:rsidRPr="00925F26">
        <w:rPr>
          <w:bCs/>
          <w:color w:val="000000" w:themeColor="text1"/>
          <w:sz w:val="16"/>
          <w:szCs w:val="16"/>
        </w:rPr>
        <w:t>, вечером в понедельник, на одиннадцатый день после ареста, спецконвой из трёх смершевцев (офицер и два солдата) доставил арестанта в центральную тюрьму НКГБ. «Я должен был выбирать кратчайшую дорогу к тюрьме, я сам должен был привести их на Лубянку, на которой они никогда не были (а я её путал с министерством иностранных дел)». Раздевание догола, ощупывание, стрижка волос на голове и в местах их скопления на лице и теле, снова одевание (в свою одежду без пуговиц и застёжек), опять раздевание и опись особых примет, измерение роста, помывка, прожарка, фотографирование, отпечатки пальцев… Весь этот приёмный конвейер изматывает и подавляет, хотя с точки зрения тюрьмы, процедуры подчиняются внятной логике и давно заведенному порядку: предварительный обыск, установление личности, приём под расписку, основной обыск, 1 санобработка, запись примет и медосмотр. Бессонная ночь с 19 на 20 февраля тянулась бесконечно, во многих боксах и многих коридорах, на пустых лестницах и лестничных площадках, при мёртвой тишине, приучавшей арестанта быть покорным исполнителем тюремного режима (17459).</w:t>
      </w:r>
    </w:p>
    <w:p w14:paraId="55B20C63" w14:textId="77777777" w:rsidR="0037412D" w:rsidRPr="00925F26" w:rsidRDefault="0037412D" w:rsidP="00925F26">
      <w:pPr>
        <w:jc w:val="both"/>
        <w:rPr>
          <w:color w:val="000000" w:themeColor="text1"/>
          <w:sz w:val="16"/>
          <w:szCs w:val="16"/>
        </w:rPr>
      </w:pPr>
    </w:p>
    <w:p w14:paraId="2A92034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E93FE40" w14:textId="77777777" w:rsidR="00665165" w:rsidRPr="00925F26" w:rsidRDefault="00665165" w:rsidP="00925F26">
      <w:pPr>
        <w:autoSpaceDE w:val="0"/>
        <w:autoSpaceDN w:val="0"/>
        <w:adjustRightInd w:val="0"/>
        <w:jc w:val="both"/>
        <w:rPr>
          <w:iCs/>
          <w:color w:val="000000" w:themeColor="text1"/>
          <w:sz w:val="16"/>
          <w:szCs w:val="16"/>
        </w:rPr>
      </w:pPr>
    </w:p>
    <w:p w14:paraId="4E8DC014" w14:textId="77777777" w:rsidR="00426075" w:rsidRPr="00925F26" w:rsidRDefault="0042607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февраля 1945 года</w:t>
      </w:r>
      <w:r w:rsidRPr="00925F26">
        <w:rPr>
          <w:bCs/>
          <w:color w:val="000000" w:themeColor="text1"/>
          <w:sz w:val="16"/>
          <w:szCs w:val="16"/>
        </w:rPr>
        <w:t xml:space="preserve"> «Диск Белонце» совершил свой первый и последний экспериментальный полет. Машина, получившая кодовое наименование «Диск Белонце», была окольцована установкой из 12 наклонных реактивных двигателей. Они своими струями охлаждали «взрывной» двигатель и, всасывая воздух, создавали сверху аппарата область разрежения, что способствовало его подъему с меньшим усилием. За 3 минуты летчики-испытатели достигли высоты 15 000 метров и скорости 2200 километров в час при горизонтальном движении. Он мог зависать в воздухе и летать назад-вперед почти без разворотов, для приземления же имел складывающиеся стойки. Аппарат, стоивший миллионы, в конце войны был уничтожен. Хотя завод в Бреслау (ныне Вроцлав), где он строился, и попал в руки наших войск, это ничего не дало. Шривер и Шаубергер избежали советского плена и перебрались в США. В письме к другу в августе 1958 года Виктор Шаубергер писал: «Модель, испытанная в феврале 1945 года, была построена в сотрудничестве с первоклассными инженерами-специалистами по взрывам из числа заключенных концлагеря </w:t>
      </w:r>
      <w:r w:rsidRPr="00925F26">
        <w:rPr>
          <w:bCs/>
          <w:iCs/>
          <w:color w:val="000000" w:themeColor="text1"/>
          <w:sz w:val="16"/>
          <w:szCs w:val="16"/>
        </w:rPr>
        <w:t>Маутхаузен</w:t>
      </w:r>
      <w:r w:rsidRPr="00925F26">
        <w:rPr>
          <w:bCs/>
          <w:color w:val="000000" w:themeColor="text1"/>
          <w:sz w:val="16"/>
          <w:szCs w:val="16"/>
        </w:rPr>
        <w:t>. Затем их увезли в лагерь, для них это был конец. Я уже после войны слышал, что идет интенсивное развитие дискообразных летательных аппаратов, но, несмотря на прошедшее время и уйму захваченных в Германии документов, страны, ведущие разработки, не создали хотя бы что-то похожее на мою модель. Она была взорвана по приказу Кейтеля» (</w:t>
      </w:r>
      <w:r w:rsidRPr="00925F26">
        <w:rPr>
          <w:bCs/>
          <w:iCs/>
          <w:color w:val="000000" w:themeColor="text1"/>
          <w:sz w:val="16"/>
          <w:szCs w:val="16"/>
        </w:rPr>
        <w:t>С.Славин «Секретное оружие третьего рейха», М., Вече, 1999</w:t>
      </w:r>
      <w:r w:rsidRPr="00925F26">
        <w:rPr>
          <w:bCs/>
          <w:color w:val="000000" w:themeColor="text1"/>
          <w:sz w:val="16"/>
          <w:szCs w:val="16"/>
        </w:rPr>
        <w:t>) (17459).</w:t>
      </w:r>
    </w:p>
    <w:p w14:paraId="2F0EAF82" w14:textId="77777777" w:rsidR="00426075" w:rsidRPr="00925F26" w:rsidRDefault="00426075" w:rsidP="00925F26">
      <w:pPr>
        <w:tabs>
          <w:tab w:val="left" w:pos="11199"/>
        </w:tabs>
        <w:autoSpaceDE w:val="0"/>
        <w:autoSpaceDN w:val="0"/>
        <w:adjustRightInd w:val="0"/>
        <w:jc w:val="both"/>
        <w:rPr>
          <w:color w:val="000000" w:themeColor="text1"/>
          <w:sz w:val="16"/>
          <w:szCs w:val="16"/>
        </w:rPr>
      </w:pPr>
    </w:p>
    <w:p w14:paraId="616FEBC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февраля 1945 Гиммлер тайно встретился с главой Красного Креста графом Ф. Бернадотом, предложив мирные переговоры с Западом (4962).</w:t>
      </w:r>
    </w:p>
    <w:p w14:paraId="1DB65F6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75FDC0" w14:textId="4BA629C7" w:rsidR="008D5ABD" w:rsidRPr="00925F26" w:rsidRDefault="00A85B4C" w:rsidP="00925F26">
      <w:pPr>
        <w:shd w:val="clear" w:color="auto" w:fill="FFFFFF"/>
        <w:jc w:val="both"/>
        <w:rPr>
          <w:color w:val="000000" w:themeColor="text1"/>
          <w:sz w:val="16"/>
          <w:szCs w:val="16"/>
        </w:rPr>
      </w:pPr>
      <w:r w:rsidRPr="00925F26">
        <w:rPr>
          <w:color w:val="000000" w:themeColor="text1"/>
          <w:sz w:val="16"/>
          <w:szCs w:val="16"/>
        </w:rPr>
        <w:t>1</w:t>
      </w:r>
      <w:r w:rsidR="008D5ABD" w:rsidRPr="00925F26">
        <w:rPr>
          <w:color w:val="000000" w:themeColor="text1"/>
          <w:sz w:val="16"/>
          <w:szCs w:val="16"/>
        </w:rPr>
        <w:t>9 февраля 1945 года</w:t>
      </w:r>
      <w:r w:rsidR="008D5ABD" w:rsidRPr="00925F26">
        <w:rPr>
          <w:bCs/>
          <w:color w:val="000000" w:themeColor="text1"/>
          <w:sz w:val="16"/>
          <w:szCs w:val="16"/>
        </w:rPr>
        <w:t xml:space="preserve"> состоялась встреча между графом Бернадоттом и Гиммлером в Хоэнлихене. По дороге туда я еще раз напомнил графу об особенностях характера Гиммлера и дал ему несколько советов относительно ведения предстоящих переговоров. Я знал, что Гиммлер никогда не согласится с просьбой Бернадотта об освобождении датских и норвежских пленных, и в качестве компромисса предложил собрать всех заключенных в сборном лагере в Северной Германии. Это предложение было одобрено обеими сторонами. На Гиммлера, казалось, произвела огромное впечатление встреча с Бернадоттом: он поручил мне взять на себя контроль за выполнением принятых решений, а также поддерживать и в дальнейшем тесный контакт с графом. Кроме того, я должен был сообщить Риббентропу об основных вопросах, обсуждавшихся на переговорах, и о достигнутом соглашении, чтобы он мог официально уведомить об этом графа. Прежде всего о результатах переговоров я сообщил Кальтенбруннеру и Мюллеру, поскольку оба они отвечали за полицейские меры в отношении заключенных. Кальтенбруннер обрушился на меня с упреками, говоря, что я оказал на Гиммлера слишком сильное влияние, встав на сторону Бернадотта. Вся идея сама по себе, сказал он, целиком утопична — где ему напастись бензину и транспортных средств, чтобы собрать заключенных, разбросанных по всей Германии. Кроме того, намеченный для сбора норвежцев и датчан лагерь Нойенгамме переполнен. Всегда одно и то же — как только людям, которые сами себя считают государственными деятелями, удается уговорить Гиммлера, получается одна бессмыслица (</w:t>
      </w:r>
      <w:r w:rsidR="008D5ABD" w:rsidRPr="00925F26">
        <w:rPr>
          <w:bCs/>
          <w:iCs/>
          <w:color w:val="000000" w:themeColor="text1"/>
          <w:sz w:val="16"/>
          <w:szCs w:val="16"/>
        </w:rPr>
        <w:t>Вальтер Шелленберг «Мемуары (Лабиринт)», Кёльн, 1959</w:t>
      </w:r>
      <w:r w:rsidR="008D5ABD" w:rsidRPr="00925F26">
        <w:rPr>
          <w:bCs/>
          <w:color w:val="000000" w:themeColor="text1"/>
          <w:sz w:val="16"/>
          <w:szCs w:val="16"/>
        </w:rPr>
        <w:t>) (17459).</w:t>
      </w:r>
    </w:p>
    <w:p w14:paraId="6194B612" w14:textId="77777777" w:rsidR="008D5ABD" w:rsidRPr="00925F26" w:rsidRDefault="008D5ABD" w:rsidP="00925F26">
      <w:pPr>
        <w:tabs>
          <w:tab w:val="left" w:pos="11199"/>
        </w:tabs>
        <w:autoSpaceDE w:val="0"/>
        <w:autoSpaceDN w:val="0"/>
        <w:adjustRightInd w:val="0"/>
        <w:jc w:val="both"/>
        <w:rPr>
          <w:color w:val="000000" w:themeColor="text1"/>
          <w:sz w:val="16"/>
          <w:szCs w:val="16"/>
        </w:rPr>
      </w:pPr>
    </w:p>
    <w:p w14:paraId="2119AC2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19 February 1945 US troops land at Iwo Jima (270).</w:t>
      </w:r>
    </w:p>
    <w:p w14:paraId="70EF19CE" w14:textId="77777777" w:rsidR="00665165" w:rsidRPr="00925F26" w:rsidRDefault="00665165" w:rsidP="00925F26">
      <w:pPr>
        <w:autoSpaceDE w:val="0"/>
        <w:autoSpaceDN w:val="0"/>
        <w:adjustRightInd w:val="0"/>
        <w:jc w:val="both"/>
        <w:rPr>
          <w:color w:val="000000" w:themeColor="text1"/>
          <w:sz w:val="16"/>
          <w:szCs w:val="16"/>
          <w:lang w:val="en-US"/>
        </w:rPr>
      </w:pPr>
    </w:p>
    <w:p w14:paraId="1FBDDD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морские пехотинцы США высадились на Иводзиме (270).</w:t>
      </w:r>
    </w:p>
    <w:p w14:paraId="51E3DC6F" w14:textId="77777777" w:rsidR="00665165" w:rsidRPr="00925F26" w:rsidRDefault="00665165" w:rsidP="00925F26">
      <w:pPr>
        <w:autoSpaceDE w:val="0"/>
        <w:autoSpaceDN w:val="0"/>
        <w:adjustRightInd w:val="0"/>
        <w:jc w:val="both"/>
        <w:rPr>
          <w:color w:val="000000" w:themeColor="text1"/>
          <w:sz w:val="16"/>
          <w:szCs w:val="16"/>
        </w:rPr>
      </w:pPr>
    </w:p>
    <w:p w14:paraId="603A182B" w14:textId="77777777" w:rsidR="00A9131A" w:rsidRPr="00925F26" w:rsidRDefault="00A9131A" w:rsidP="00925F26">
      <w:pPr>
        <w:jc w:val="both"/>
        <w:rPr>
          <w:color w:val="000000" w:themeColor="text1"/>
          <w:sz w:val="16"/>
          <w:szCs w:val="16"/>
        </w:rPr>
      </w:pPr>
      <w:r w:rsidRPr="00925F26">
        <w:rPr>
          <w:color w:val="000000" w:themeColor="text1"/>
          <w:sz w:val="16"/>
          <w:szCs w:val="16"/>
        </w:rPr>
        <w:t>19 февраля 1945 силы Корпуса морской пехоты США вторгаются в Иводзиму, начиная кампанию на Иводзиме (20371).</w:t>
      </w:r>
    </w:p>
    <w:p w14:paraId="2FBE18F7" w14:textId="77777777" w:rsidR="00A9131A" w:rsidRPr="00925F26" w:rsidRDefault="00A9131A" w:rsidP="00925F26">
      <w:pPr>
        <w:jc w:val="both"/>
        <w:rPr>
          <w:color w:val="000000" w:themeColor="text1"/>
          <w:sz w:val="16"/>
          <w:szCs w:val="16"/>
        </w:rPr>
      </w:pPr>
    </w:p>
    <w:p w14:paraId="2D8C7F9E"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американские Вооруженные Силы в годы Второй мировой войны начали операцию по захвату острова Иводзима (Тихий океан). После ожесточенных боев японский гарнизон (свыше 20 тысяч человек) к 26 марта был почти полностью уничтожен. Потери ВС США - более 25 тысяч солдат и офицеров (15045).</w:t>
      </w:r>
    </w:p>
    <w:p w14:paraId="02089C74" w14:textId="77777777" w:rsidR="000F49EC" w:rsidRPr="00925F26" w:rsidRDefault="000F49EC" w:rsidP="00925F26">
      <w:pPr>
        <w:jc w:val="both"/>
        <w:rPr>
          <w:color w:val="000000" w:themeColor="text1"/>
          <w:sz w:val="16"/>
          <w:szCs w:val="16"/>
        </w:rPr>
      </w:pPr>
    </w:p>
    <w:p w14:paraId="1F66CFA1" w14:textId="77777777" w:rsidR="0037412D" w:rsidRPr="00925F26" w:rsidRDefault="0037412D" w:rsidP="00925F26">
      <w:pPr>
        <w:jc w:val="both"/>
        <w:rPr>
          <w:bCs/>
          <w:color w:val="000000" w:themeColor="text1"/>
          <w:sz w:val="16"/>
          <w:szCs w:val="16"/>
        </w:rPr>
      </w:pPr>
      <w:r w:rsidRPr="00925F26">
        <w:rPr>
          <w:color w:val="000000" w:themeColor="text1"/>
          <w:sz w:val="16"/>
          <w:szCs w:val="16"/>
        </w:rPr>
        <w:t xml:space="preserve">19 февраля 1945 г. две дивизии американской морской пехоты начала высадку на маленьком вулканическом острове Иводзима – на полпути от Марианских островов к Японии – здесь была японская авиабаза, с которой японцы мешали началу планомерных бомбардировок Японии. Ценой жизней более 6.800 морских пехотинцев американцы (была десантирована и третья дивизия, т.к. японцы сражались до последнего и </w:t>
      </w:r>
      <w:r w:rsidRPr="00925F26">
        <w:rPr>
          <w:bCs/>
          <w:iCs/>
          <w:color w:val="000000" w:themeColor="text1"/>
          <w:sz w:val="16"/>
          <w:szCs w:val="16"/>
        </w:rPr>
        <w:t>погибли все</w:t>
      </w:r>
      <w:r w:rsidRPr="00925F26">
        <w:rPr>
          <w:color w:val="000000" w:themeColor="text1"/>
          <w:sz w:val="16"/>
          <w:szCs w:val="16"/>
        </w:rPr>
        <w:t xml:space="preserve"> – около 21.000 чел.) к 16 марта захватили этот клочок суши в океане (менее 30 кв. км). С 17 марта 1945 г. остров стали готовить для американских бомбардировщиков B-29. За следующие 5 месяцев более чем 2.000 бомбардировщиков смогли высадиться на острове (17459).</w:t>
      </w:r>
    </w:p>
    <w:p w14:paraId="463823E3" w14:textId="77777777" w:rsidR="0037412D" w:rsidRPr="00925F26" w:rsidRDefault="0037412D" w:rsidP="00925F26">
      <w:pPr>
        <w:jc w:val="both"/>
        <w:rPr>
          <w:bCs/>
          <w:color w:val="000000" w:themeColor="text1"/>
          <w:sz w:val="16"/>
          <w:szCs w:val="16"/>
        </w:rPr>
      </w:pPr>
    </w:p>
    <w:p w14:paraId="72C5A87C" w14:textId="77777777" w:rsidR="0037412D" w:rsidRPr="00925F26" w:rsidRDefault="0037412D" w:rsidP="00925F26">
      <w:pPr>
        <w:jc w:val="both"/>
        <w:rPr>
          <w:bCs/>
          <w:color w:val="000000" w:themeColor="text1"/>
          <w:sz w:val="16"/>
          <w:szCs w:val="16"/>
        </w:rPr>
      </w:pPr>
      <w:r w:rsidRPr="00925F26">
        <w:rPr>
          <w:color w:val="000000" w:themeColor="text1"/>
          <w:sz w:val="16"/>
          <w:szCs w:val="16"/>
        </w:rPr>
        <w:t>19 февраля</w:t>
      </w:r>
      <w:r w:rsidRPr="00925F26">
        <w:rPr>
          <w:bCs/>
          <w:color w:val="000000" w:themeColor="text1"/>
          <w:sz w:val="16"/>
          <w:szCs w:val="16"/>
        </w:rPr>
        <w:t xml:space="preserve"> 1945 корабли артиллерийской поддержки перешли от методичного огня на разрушение к быстрому нейтрализующему огню, чтобы загнать обороняющиеся войска под землю. После того как свыше 100 самолетов 58-го оперативного соединения с ревом прошли над островом, ведя огонь из ракетных установок и пулеметов и сбрасывая фугасные и </w:t>
      </w:r>
      <w:r w:rsidRPr="00925F26">
        <w:rPr>
          <w:color w:val="000000" w:themeColor="text1"/>
          <w:sz w:val="16"/>
          <w:szCs w:val="16"/>
        </w:rPr>
        <w:t>напалмовые бомбы</w:t>
      </w:r>
      <w:r w:rsidRPr="00925F26">
        <w:rPr>
          <w:bCs/>
          <w:color w:val="000000" w:themeColor="text1"/>
          <w:sz w:val="16"/>
          <w:szCs w:val="16"/>
        </w:rPr>
        <w:t>, флот возобновил обстрел с моря. К исходному рубежу уже приближались около 500 высадочных катеров, на которых находилось восемь батальонов из состава 4-й и 5-й дивизий морской пехоты. В 08.30 первая волна десанта — 68 бронированных амфибийных машин — направилась к берегу. В этот момент артиллерия кораблей перенесла огонь, создавая перед фронтом и на флангах высаживающихся войск подвижную и неподвижные огневые завесы. Более 50 бронекатеров подошли к берегу для обеспечения непосредственной поддержки (17459).</w:t>
      </w:r>
    </w:p>
    <w:p w14:paraId="23DD81E7" w14:textId="77777777" w:rsidR="0037412D" w:rsidRPr="00925F26" w:rsidRDefault="0037412D" w:rsidP="00925F26">
      <w:pPr>
        <w:jc w:val="both"/>
        <w:rPr>
          <w:bCs/>
          <w:color w:val="000000" w:themeColor="text1"/>
          <w:sz w:val="16"/>
          <w:szCs w:val="16"/>
        </w:rPr>
      </w:pPr>
    </w:p>
    <w:p w14:paraId="03CD4148" w14:textId="77777777" w:rsidR="000F49EC" w:rsidRPr="00925F26" w:rsidRDefault="000F49EC" w:rsidP="00925F26">
      <w:pPr>
        <w:jc w:val="both"/>
        <w:rPr>
          <w:color w:val="000000" w:themeColor="text1"/>
          <w:sz w:val="16"/>
          <w:szCs w:val="16"/>
        </w:rPr>
      </w:pPr>
      <w:r w:rsidRPr="00925F26">
        <w:rPr>
          <w:bCs/>
          <w:color w:val="000000" w:themeColor="text1"/>
          <w:sz w:val="16"/>
          <w:szCs w:val="16"/>
        </w:rPr>
        <w:t>19 февраля</w:t>
      </w:r>
      <w:r w:rsidRPr="00925F26">
        <w:rPr>
          <w:color w:val="000000" w:themeColor="text1"/>
          <w:sz w:val="16"/>
          <w:szCs w:val="16"/>
        </w:rPr>
        <w:t xml:space="preserve"> в 1945 году в Бирме происходит самая массовая крокодилья атака. Крокодилы съедают до тысячи японских солдат, пытающихся спастись от англичан в болотах (15045).</w:t>
      </w:r>
    </w:p>
    <w:p w14:paraId="744E09C5" w14:textId="77777777" w:rsidR="000F49EC" w:rsidRPr="00925F26" w:rsidRDefault="000F49EC" w:rsidP="00925F26">
      <w:pPr>
        <w:jc w:val="both"/>
        <w:rPr>
          <w:color w:val="000000" w:themeColor="text1"/>
          <w:sz w:val="16"/>
          <w:szCs w:val="16"/>
        </w:rPr>
      </w:pPr>
    </w:p>
    <w:p w14:paraId="70D9C79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DCBFEBE" w14:textId="77777777" w:rsidR="00665165" w:rsidRPr="00925F26" w:rsidRDefault="00665165" w:rsidP="00925F26">
      <w:pPr>
        <w:autoSpaceDE w:val="0"/>
        <w:autoSpaceDN w:val="0"/>
        <w:adjustRightInd w:val="0"/>
        <w:jc w:val="both"/>
        <w:rPr>
          <w:iCs/>
          <w:color w:val="000000" w:themeColor="text1"/>
          <w:sz w:val="16"/>
          <w:szCs w:val="16"/>
        </w:rPr>
      </w:pPr>
    </w:p>
    <w:p w14:paraId="45F8B3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закончились войсковые испытания Як-9Б (заводской индекс - Як-9Л) с ВК-105ПФ и 4хФАБ-100 или 128 ПТАБ-2,5-1,5 в 130 иад (командир п Ф.И.Шинкаренко), которые шли с 18 декабря 1944. Оценили положительно, но сброс 356 т бомб за 2494 боевых вылета оценили неудовлетворительно, так как не было прицела и была сделана только войсковая серия из 109 машин. Именно в 130 иад была эскадрилья "Малый театр - фронту" (65,136).</w:t>
      </w:r>
    </w:p>
    <w:p w14:paraId="70FB3AC4" w14:textId="77777777" w:rsidR="00665165" w:rsidRPr="00925F26" w:rsidRDefault="00665165" w:rsidP="00925F26">
      <w:pPr>
        <w:autoSpaceDE w:val="0"/>
        <w:autoSpaceDN w:val="0"/>
        <w:adjustRightInd w:val="0"/>
        <w:jc w:val="both"/>
        <w:rPr>
          <w:color w:val="000000" w:themeColor="text1"/>
          <w:sz w:val="16"/>
          <w:szCs w:val="16"/>
        </w:rPr>
      </w:pPr>
    </w:p>
    <w:p w14:paraId="710A60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в 130 иад неудачно закончились войсковые испытания Як-9Б переделанного в бомбардировщики - 4хФАБ или 4хкассета по 32 ПТАБ, которые проходили с 18 декабря 1944, но потом все же построили 109 машин, которыми полностью вооружили 130 иад (4237,25).</w:t>
      </w:r>
    </w:p>
    <w:p w14:paraId="3637F0C7" w14:textId="77777777" w:rsidR="00665165" w:rsidRPr="00925F26" w:rsidRDefault="00665165" w:rsidP="00925F26">
      <w:pPr>
        <w:autoSpaceDE w:val="0"/>
        <w:autoSpaceDN w:val="0"/>
        <w:adjustRightInd w:val="0"/>
        <w:jc w:val="both"/>
        <w:rPr>
          <w:color w:val="000000" w:themeColor="text1"/>
          <w:sz w:val="16"/>
          <w:szCs w:val="16"/>
        </w:rPr>
      </w:pPr>
    </w:p>
    <w:p w14:paraId="1B1CC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20 февраля по 5 мая 1945 в ЛИИ испытывали и доводился Як-3ПД с ВК-105ПД. С.Н.Анохин сделал 18 полетов. Двигатель ВК-105ПД был с 466 завода N 1012-43 и двухступенчатым нагнетателем Э-100 (65,174).</w:t>
      </w:r>
    </w:p>
    <w:p w14:paraId="3A6CF619" w14:textId="77777777" w:rsidR="00665165" w:rsidRPr="00925F26" w:rsidRDefault="00665165" w:rsidP="00925F26">
      <w:pPr>
        <w:autoSpaceDE w:val="0"/>
        <w:autoSpaceDN w:val="0"/>
        <w:adjustRightInd w:val="0"/>
        <w:jc w:val="both"/>
        <w:rPr>
          <w:color w:val="000000" w:themeColor="text1"/>
          <w:sz w:val="16"/>
          <w:szCs w:val="16"/>
        </w:rPr>
      </w:pPr>
    </w:p>
    <w:p w14:paraId="0129E8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года приказом НКАП № 76сс на завод № 301 было возложено переоборудование самолетов ЯК-9, ВК-105-ПФ в учебные с двойным управлением (вывозной вариант).</w:t>
      </w:r>
    </w:p>
    <w:p w14:paraId="3FD06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Директором завода в мае 1945 года был назначен Сычев В.В.</w:t>
      </w:r>
    </w:p>
    <w:p w14:paraId="38E510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46C7F3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Этим же приказом директором завода назначен гл. конструктор С.А. Лавочкин.</w:t>
      </w:r>
    </w:p>
    <w:p w14:paraId="7FC7CD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 81 помещался на территории завода № 381. Производственное слияние резко увеличило мощности завода …</w:t>
      </w:r>
      <w:proofErr w:type="gramStart"/>
      <w:r w:rsidRPr="00925F26">
        <w:rPr>
          <w:color w:val="000000" w:themeColor="text1"/>
          <w:sz w:val="16"/>
          <w:szCs w:val="16"/>
        </w:rPr>
        <w:t>…….</w:t>
      </w:r>
      <w:proofErr w:type="gramEnd"/>
      <w:r w:rsidRPr="00925F26">
        <w:rPr>
          <w:color w:val="000000" w:themeColor="text1"/>
          <w:sz w:val="16"/>
          <w:szCs w:val="16"/>
        </w:rPr>
        <w:t>.(9602).</w:t>
      </w:r>
    </w:p>
    <w:p w14:paraId="2F227E8A" w14:textId="77777777" w:rsidR="00665165" w:rsidRPr="00925F26" w:rsidRDefault="00665165" w:rsidP="00925F26">
      <w:pPr>
        <w:autoSpaceDE w:val="0"/>
        <w:autoSpaceDN w:val="0"/>
        <w:adjustRightInd w:val="0"/>
        <w:jc w:val="both"/>
        <w:rPr>
          <w:color w:val="000000" w:themeColor="text1"/>
          <w:sz w:val="16"/>
          <w:szCs w:val="16"/>
        </w:rPr>
      </w:pPr>
    </w:p>
    <w:p w14:paraId="595D370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20 февраля 1945 состояние опытного строительства на заводе № 81 было следующим:</w:t>
      </w:r>
    </w:p>
    <w:p w14:paraId="681582B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АШ-82ФН с 2 пушками НС-23 - заканчивается монтаж установки 2 пушек на серийном с-те Ла-7 К 25 февраля все работы по с-ту д.б. закончены.</w:t>
      </w:r>
    </w:p>
    <w:p w14:paraId="1C4407D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с АШ-82 с пушками Шпитального калибра 20 мм. На с-те работы временено прекращены из-за отсутствия рабочих жестянщиков (для доработки капотов</w:t>
      </w:r>
    </w:p>
    <w:p w14:paraId="78ED6B6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По “К” - ведется сборка макета (738,35).</w:t>
      </w:r>
    </w:p>
    <w:p w14:paraId="473EB712" w14:textId="77777777" w:rsidR="00665165" w:rsidRPr="00925F26" w:rsidRDefault="00665165" w:rsidP="00925F26">
      <w:pPr>
        <w:widowControl w:val="0"/>
        <w:autoSpaceDE w:val="0"/>
        <w:autoSpaceDN w:val="0"/>
        <w:adjustRightInd w:val="0"/>
        <w:jc w:val="both"/>
        <w:rPr>
          <w:color w:val="000000" w:themeColor="text1"/>
          <w:sz w:val="16"/>
          <w:szCs w:val="16"/>
        </w:rPr>
      </w:pPr>
    </w:p>
    <w:p w14:paraId="4C0207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г. второй экземпляр истребителя И-225 был закончен в производстве (5852,40).</w:t>
      </w:r>
    </w:p>
    <w:p w14:paraId="04DC262C" w14:textId="77777777" w:rsidR="00665165" w:rsidRPr="00925F26" w:rsidRDefault="00665165" w:rsidP="00925F26">
      <w:pPr>
        <w:autoSpaceDE w:val="0"/>
        <w:autoSpaceDN w:val="0"/>
        <w:adjustRightInd w:val="0"/>
        <w:jc w:val="both"/>
        <w:rPr>
          <w:color w:val="000000" w:themeColor="text1"/>
          <w:sz w:val="16"/>
          <w:szCs w:val="16"/>
        </w:rPr>
      </w:pPr>
    </w:p>
    <w:p w14:paraId="0CB121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февраля 1945 г. изготовили второй экземпляр истребителя И—225 (9984).</w:t>
      </w:r>
    </w:p>
    <w:p w14:paraId="025588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652AD27" w14:textId="77777777" w:rsidR="000F49EC" w:rsidRPr="00925F26" w:rsidRDefault="000F49EC" w:rsidP="00925F26">
      <w:pPr>
        <w:jc w:val="both"/>
        <w:rPr>
          <w:color w:val="000000" w:themeColor="text1"/>
          <w:sz w:val="16"/>
          <w:szCs w:val="16"/>
        </w:rPr>
      </w:pPr>
      <w:r w:rsidRPr="00925F26">
        <w:rPr>
          <w:bCs/>
          <w:color w:val="000000" w:themeColor="text1"/>
          <w:sz w:val="16"/>
          <w:szCs w:val="16"/>
        </w:rPr>
        <w:t>20 февраля</w:t>
      </w:r>
      <w:r w:rsidRPr="00925F26">
        <w:rPr>
          <w:color w:val="000000" w:themeColor="text1"/>
          <w:sz w:val="16"/>
          <w:szCs w:val="16"/>
        </w:rPr>
        <w:t xml:space="preserve"> в 1945 году второй экземпляр истребителя </w:t>
      </w:r>
      <w:hyperlink r:id="rId44" w:tgtFrame="_blank" w:history="1">
        <w:r w:rsidRPr="00925F26">
          <w:rPr>
            <w:color w:val="000000" w:themeColor="text1"/>
            <w:sz w:val="16"/>
            <w:szCs w:val="16"/>
          </w:rPr>
          <w:t xml:space="preserve">«И-225» </w:t>
        </w:r>
      </w:hyperlink>
      <w:r w:rsidRPr="00925F26">
        <w:rPr>
          <w:color w:val="000000" w:themeColor="text1"/>
          <w:sz w:val="16"/>
          <w:szCs w:val="16"/>
        </w:rPr>
        <w:t>был закончен в производстве. Первоначально на самолет планировали установить мотор «АМ-43», однако из-за его отсутствия на него поставили «АМ-42ФБ» № 01. Кроме того, самолёт оснастили турбокомпрессором «АМТК-1А», воздухо-воздушным радиатором, трёхлопастным воздушным винтом «АВ-5Л-</w:t>
      </w:r>
      <w:proofErr w:type="gramStart"/>
      <w:r w:rsidRPr="00925F26">
        <w:rPr>
          <w:color w:val="000000" w:themeColor="text1"/>
          <w:sz w:val="16"/>
          <w:szCs w:val="16"/>
        </w:rPr>
        <w:t>22»В</w:t>
      </w:r>
      <w:proofErr w:type="gramEnd"/>
      <w:r w:rsidRPr="00925F26">
        <w:rPr>
          <w:color w:val="000000" w:themeColor="text1"/>
          <w:sz w:val="16"/>
          <w:szCs w:val="16"/>
        </w:rPr>
        <w:t xml:space="preserve"> диаметром 3,6 м, а также гермокабиной. Вооружение состояло из четырёх синхронных 20-мм пушек «СШ-20» с боекомплектом по 100 патронов. Опытные пушки «СШ-20» в дальнейшем планировали заменить на серийные «Б-20» (15046).</w:t>
      </w:r>
    </w:p>
    <w:p w14:paraId="4CC97FFF" w14:textId="77777777" w:rsidR="000F49EC" w:rsidRPr="00925F26" w:rsidRDefault="000F49EC" w:rsidP="00925F26">
      <w:pPr>
        <w:jc w:val="both"/>
        <w:rPr>
          <w:color w:val="000000" w:themeColor="text1"/>
          <w:sz w:val="16"/>
          <w:szCs w:val="16"/>
        </w:rPr>
      </w:pPr>
    </w:p>
    <w:p w14:paraId="409DA2F7" w14:textId="77777777" w:rsidR="00A85B4C" w:rsidRPr="00925F26" w:rsidRDefault="00A85B4C" w:rsidP="00925F26">
      <w:pPr>
        <w:jc w:val="both"/>
        <w:rPr>
          <w:color w:val="000000" w:themeColor="text1"/>
          <w:sz w:val="16"/>
          <w:szCs w:val="16"/>
        </w:rPr>
      </w:pPr>
      <w:r w:rsidRPr="00925F26">
        <w:rPr>
          <w:color w:val="000000" w:themeColor="text1"/>
          <w:sz w:val="16"/>
          <w:szCs w:val="16"/>
        </w:rPr>
        <w:t>20 февраля 1945 г. самолёт И-225 №2 закончили по пла</w:t>
      </w:r>
      <w:r w:rsidRPr="00925F26">
        <w:rPr>
          <w:color w:val="000000" w:themeColor="text1"/>
          <w:sz w:val="16"/>
          <w:szCs w:val="16"/>
        </w:rPr>
        <w:softHyphen/>
        <w:t>неру и большинству систем, и в том же месяце завершилась постройка И-250, однако ни тот, ни другой незамедлительно к испытаниям не при</w:t>
      </w:r>
      <w:r w:rsidRPr="00925F26">
        <w:rPr>
          <w:color w:val="000000" w:themeColor="text1"/>
          <w:sz w:val="16"/>
          <w:szCs w:val="16"/>
        </w:rPr>
        <w:softHyphen/>
        <w:t>ступили. Как обычно подводили двигателисты, не поставив в срок свои изделия в надлежащей кондиции.</w:t>
      </w:r>
    </w:p>
    <w:p w14:paraId="7A81B83E" w14:textId="77777777" w:rsidR="00A85B4C" w:rsidRPr="00925F26" w:rsidRDefault="00A85B4C" w:rsidP="00925F26">
      <w:pPr>
        <w:jc w:val="both"/>
        <w:rPr>
          <w:color w:val="000000" w:themeColor="text1"/>
          <w:sz w:val="16"/>
          <w:szCs w:val="16"/>
        </w:rPr>
      </w:pPr>
      <w:r w:rsidRPr="00925F26">
        <w:rPr>
          <w:color w:val="000000" w:themeColor="text1"/>
          <w:sz w:val="16"/>
          <w:szCs w:val="16"/>
        </w:rPr>
        <w:t>Несмотря на острую нехватку вре</w:t>
      </w:r>
      <w:r w:rsidRPr="00925F26">
        <w:rPr>
          <w:color w:val="000000" w:themeColor="text1"/>
          <w:sz w:val="16"/>
          <w:szCs w:val="16"/>
        </w:rPr>
        <w:softHyphen/>
        <w:t>мени и ресурсов в работе сразу по трём сложным, трудоемким и ответственным заданиям, Микоян добился разрешения возобновить постройку заводом №155 полноценного опытного образца само</w:t>
      </w:r>
      <w:r w:rsidRPr="00925F26">
        <w:rPr>
          <w:color w:val="000000" w:themeColor="text1"/>
          <w:sz w:val="16"/>
          <w:szCs w:val="16"/>
        </w:rPr>
        <w:softHyphen/>
        <w:t>лёта «5А» в полном соответствии с про</w:t>
      </w:r>
      <w:r w:rsidRPr="00925F26">
        <w:rPr>
          <w:color w:val="000000" w:themeColor="text1"/>
          <w:sz w:val="16"/>
          <w:szCs w:val="16"/>
        </w:rPr>
        <w:softHyphen/>
        <w:t>ектом, но с дальнейшими отличиями. Предстояло поставить модифицирован</w:t>
      </w:r>
      <w:r w:rsidRPr="00925F26">
        <w:rPr>
          <w:color w:val="000000" w:themeColor="text1"/>
          <w:sz w:val="16"/>
          <w:szCs w:val="16"/>
        </w:rPr>
        <w:softHyphen/>
        <w:t>ный двигатель АМ-42ФБ также с 1-ско</w:t>
      </w:r>
      <w:r w:rsidRPr="00925F26">
        <w:rPr>
          <w:color w:val="000000" w:themeColor="text1"/>
          <w:sz w:val="16"/>
          <w:szCs w:val="16"/>
        </w:rPr>
        <w:softHyphen/>
        <w:t>ростным ПЦН, но с другим турбоком</w:t>
      </w:r>
      <w:r w:rsidRPr="00925F26">
        <w:rPr>
          <w:color w:val="000000" w:themeColor="text1"/>
          <w:sz w:val="16"/>
          <w:szCs w:val="16"/>
        </w:rPr>
        <w:softHyphen/>
        <w:t>прессором - ТК-1А на правом выхлоп</w:t>
      </w:r>
      <w:r w:rsidRPr="00925F26">
        <w:rPr>
          <w:color w:val="000000" w:themeColor="text1"/>
          <w:sz w:val="16"/>
          <w:szCs w:val="16"/>
        </w:rPr>
        <w:softHyphen/>
        <w:t>ном коллекторе и модифицированный воздушный винт АВ-5Л-22В, также диа</w:t>
      </w:r>
      <w:r w:rsidRPr="00925F26">
        <w:rPr>
          <w:color w:val="000000" w:themeColor="text1"/>
          <w:sz w:val="16"/>
          <w:szCs w:val="16"/>
        </w:rPr>
        <w:softHyphen/>
        <w:t>метром 3600 мм, но с конструктивны</w:t>
      </w:r>
      <w:r w:rsidRPr="00925F26">
        <w:rPr>
          <w:color w:val="000000" w:themeColor="text1"/>
          <w:sz w:val="16"/>
          <w:szCs w:val="16"/>
        </w:rPr>
        <w:softHyphen/>
        <w:t>ми отличиями. Вооружение сделали как в проекте - четыре облегченные син</w:t>
      </w:r>
      <w:r w:rsidRPr="00925F26">
        <w:rPr>
          <w:color w:val="000000" w:themeColor="text1"/>
          <w:sz w:val="16"/>
          <w:szCs w:val="16"/>
        </w:rPr>
        <w:softHyphen/>
        <w:t>хронные пушки СШ-20 разработки Шпи- тального по бокам мотора с боекомплек</w:t>
      </w:r>
      <w:r w:rsidRPr="00925F26">
        <w:rPr>
          <w:color w:val="000000" w:themeColor="text1"/>
          <w:sz w:val="16"/>
          <w:szCs w:val="16"/>
        </w:rPr>
        <w:softHyphen/>
        <w:t>том по 100 снарядов. Их же предусма</w:t>
      </w:r>
      <w:r w:rsidRPr="00925F26">
        <w:rPr>
          <w:color w:val="000000" w:themeColor="text1"/>
          <w:sz w:val="16"/>
          <w:szCs w:val="16"/>
        </w:rPr>
        <w:softHyphen/>
        <w:t>тривали и для И-250, но в то время уже вышло решение о том, что на вооруже</w:t>
      </w:r>
      <w:r w:rsidRPr="00925F26">
        <w:rPr>
          <w:color w:val="000000" w:themeColor="text1"/>
          <w:sz w:val="16"/>
          <w:szCs w:val="16"/>
        </w:rPr>
        <w:softHyphen/>
        <w:t>ние принимаются не они, а новая систе</w:t>
      </w:r>
      <w:r w:rsidRPr="00925F26">
        <w:rPr>
          <w:color w:val="000000" w:themeColor="text1"/>
          <w:sz w:val="16"/>
          <w:szCs w:val="16"/>
        </w:rPr>
        <w:softHyphen/>
        <w:t>ма Б-20 Березина, и ОКБ-155 начало вы</w:t>
      </w:r>
      <w:r w:rsidRPr="00925F26">
        <w:rPr>
          <w:color w:val="000000" w:themeColor="text1"/>
          <w:sz w:val="16"/>
          <w:szCs w:val="16"/>
        </w:rPr>
        <w:softHyphen/>
        <w:t>пуск новых чертежей вооружения И-225 и И-250 под нее.</w:t>
      </w:r>
    </w:p>
    <w:p w14:paraId="5D860C8C" w14:textId="77777777" w:rsidR="00A85B4C" w:rsidRPr="00925F26" w:rsidRDefault="00A85B4C" w:rsidP="00925F26">
      <w:pPr>
        <w:jc w:val="both"/>
        <w:rPr>
          <w:color w:val="000000" w:themeColor="text1"/>
          <w:sz w:val="16"/>
          <w:szCs w:val="16"/>
        </w:rPr>
      </w:pPr>
      <w:r w:rsidRPr="00925F26">
        <w:rPr>
          <w:color w:val="000000" w:themeColor="text1"/>
          <w:sz w:val="16"/>
          <w:szCs w:val="16"/>
        </w:rPr>
        <w:t>Установка всего недостающего и его отработка заняли более трех недель и лишь 14 марта 1945 г. лётчик-испыта</w:t>
      </w:r>
      <w:r w:rsidRPr="00925F26">
        <w:rPr>
          <w:color w:val="000000" w:themeColor="text1"/>
          <w:sz w:val="16"/>
          <w:szCs w:val="16"/>
        </w:rPr>
        <w:softHyphen/>
        <w:t>тель Александр Павлович Деев выполнил на самолёте И-225 №02 первый полёт с Центрального аэродрома (23586).</w:t>
      </w:r>
    </w:p>
    <w:p w14:paraId="7A9C3198" w14:textId="77777777" w:rsidR="00A85B4C" w:rsidRPr="00925F26" w:rsidRDefault="00A85B4C" w:rsidP="00925F26">
      <w:pPr>
        <w:jc w:val="both"/>
        <w:rPr>
          <w:color w:val="000000" w:themeColor="text1"/>
          <w:sz w:val="16"/>
          <w:szCs w:val="16"/>
        </w:rPr>
      </w:pPr>
    </w:p>
    <w:p w14:paraId="784D394F" w14:textId="77777777" w:rsidR="00F94B6C" w:rsidRPr="001A0BAA" w:rsidRDefault="00F94B6C" w:rsidP="00F94B6C">
      <w:pPr>
        <w:jc w:val="both"/>
        <w:rPr>
          <w:color w:val="0070C0"/>
          <w:sz w:val="16"/>
          <w:szCs w:val="16"/>
        </w:rPr>
      </w:pPr>
      <w:r w:rsidRPr="001A0BAA">
        <w:rPr>
          <w:color w:val="0070C0"/>
          <w:sz w:val="16"/>
          <w:szCs w:val="16"/>
        </w:rPr>
        <w:t>20 февраля 1945 г. был закончен в производстве второй экземпляр истребителя И-225. Первый вылет выполнили 14 марта 1945 г.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АВ-5Л-22В диаметром 3,6 м, а также гермокабиной.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(25230).</w:t>
      </w:r>
    </w:p>
    <w:p w14:paraId="459C7BA4" w14:textId="77777777" w:rsidR="00F94B6C" w:rsidRPr="001A0BAA" w:rsidRDefault="00F94B6C" w:rsidP="00F94B6C">
      <w:pPr>
        <w:jc w:val="both"/>
        <w:rPr>
          <w:color w:val="0070C0"/>
          <w:sz w:val="16"/>
          <w:szCs w:val="16"/>
        </w:rPr>
      </w:pPr>
    </w:p>
    <w:p w14:paraId="4B8DC8CC" w14:textId="77777777" w:rsidR="00A9131A" w:rsidRPr="00925F26" w:rsidRDefault="00A9131A" w:rsidP="00925F26">
      <w:pPr>
        <w:jc w:val="both"/>
        <w:rPr>
          <w:color w:val="000000" w:themeColor="text1"/>
          <w:sz w:val="16"/>
          <w:szCs w:val="16"/>
        </w:rPr>
      </w:pPr>
      <w:r w:rsidRPr="00925F26">
        <w:rPr>
          <w:color w:val="000000" w:themeColor="text1"/>
          <w:sz w:val="16"/>
          <w:szCs w:val="16"/>
        </w:rPr>
        <w:t>С 20 февраля 1945 г. по 24 января 1947 г. дирижабль мягкого типа «Победа», сконструированный по итогам эксплуатации «СССР В-12» КБ Б.А. Гарфа, состоявшее из семи человек, совершила 99 полётов суммар</w:t>
      </w:r>
      <w:r w:rsidRPr="00925F26">
        <w:rPr>
          <w:color w:val="000000" w:themeColor="text1"/>
          <w:sz w:val="16"/>
          <w:szCs w:val="16"/>
        </w:rPr>
        <w:softHyphen/>
        <w:t>ной продолжительностью 285 ч 10 мин, пройдя в общей сложности 15 315 км. В 26 полётах она перевёзла 16900 м3 газа с Московского электро</w:t>
      </w:r>
      <w:r w:rsidRPr="00925F26">
        <w:rPr>
          <w:color w:val="000000" w:themeColor="text1"/>
          <w:sz w:val="16"/>
          <w:szCs w:val="16"/>
        </w:rPr>
        <w:softHyphen/>
        <w:t>лизного завода в воздухоплавательные части ВДВ на расстояние от 20-50 км (Павловская слобо</w:t>
      </w:r>
      <w:r w:rsidRPr="00925F26">
        <w:rPr>
          <w:color w:val="000000" w:themeColor="text1"/>
          <w:sz w:val="16"/>
          <w:szCs w:val="16"/>
        </w:rPr>
        <w:softHyphen/>
        <w:t>да, Медвежьи Озера, Звенигород) до 200-500 км (Тейково и Иваново).</w:t>
      </w:r>
    </w:p>
    <w:p w14:paraId="195D068A" w14:textId="77777777" w:rsidR="00A9131A" w:rsidRPr="00925F26" w:rsidRDefault="00A9131A" w:rsidP="00925F26">
      <w:pPr>
        <w:jc w:val="both"/>
        <w:rPr>
          <w:color w:val="000000" w:themeColor="text1"/>
          <w:sz w:val="16"/>
          <w:szCs w:val="16"/>
        </w:rPr>
      </w:pPr>
      <w:r w:rsidRPr="00925F26">
        <w:rPr>
          <w:color w:val="000000" w:themeColor="text1"/>
          <w:sz w:val="16"/>
          <w:szCs w:val="16"/>
        </w:rPr>
        <w:t>Велась работа и над наземным оборудовани</w:t>
      </w:r>
      <w:r w:rsidRPr="00925F26">
        <w:rPr>
          <w:color w:val="000000" w:themeColor="text1"/>
          <w:sz w:val="16"/>
          <w:szCs w:val="16"/>
        </w:rPr>
        <w:softHyphen/>
        <w:t>ем для дирижаблей. КБ при 1-ом ОВД ВДВ, ру</w:t>
      </w:r>
      <w:r w:rsidRPr="00925F26">
        <w:rPr>
          <w:color w:val="000000" w:themeColor="text1"/>
          <w:sz w:val="16"/>
          <w:szCs w:val="16"/>
        </w:rPr>
        <w:softHyphen/>
        <w:t>ководимое Б.А. Гарфом, построило низкие при</w:t>
      </w:r>
      <w:r w:rsidRPr="00925F26">
        <w:rPr>
          <w:color w:val="000000" w:themeColor="text1"/>
          <w:sz w:val="16"/>
          <w:szCs w:val="16"/>
        </w:rPr>
        <w:softHyphen/>
        <w:t>чальные мачты для полевой стоянки дирижаблей и разработало систему посадки дирижабля с по</w:t>
      </w:r>
      <w:r w:rsidRPr="00925F26">
        <w:rPr>
          <w:color w:val="000000" w:themeColor="text1"/>
          <w:sz w:val="16"/>
          <w:szCs w:val="16"/>
        </w:rPr>
        <w:softHyphen/>
        <w:t>мощью автомобильного причала.</w:t>
      </w:r>
    </w:p>
    <w:p w14:paraId="20D09A1A" w14:textId="77777777" w:rsidR="00A9131A" w:rsidRPr="00925F26" w:rsidRDefault="00A9131A" w:rsidP="00925F26">
      <w:pPr>
        <w:jc w:val="both"/>
        <w:rPr>
          <w:color w:val="000000" w:themeColor="text1"/>
          <w:sz w:val="16"/>
          <w:szCs w:val="16"/>
        </w:rPr>
      </w:pPr>
      <w:r w:rsidRPr="00925F26">
        <w:rPr>
          <w:color w:val="000000" w:themeColor="text1"/>
          <w:sz w:val="16"/>
          <w:szCs w:val="16"/>
        </w:rPr>
        <w:t>В сентябре 1945 г. дирижабль «Победа» напра</w:t>
      </w:r>
      <w:r w:rsidRPr="00925F26">
        <w:rPr>
          <w:color w:val="000000" w:themeColor="text1"/>
          <w:sz w:val="16"/>
          <w:szCs w:val="16"/>
        </w:rPr>
        <w:softHyphen/>
        <w:t>вили в распоряжение командующего ЧФ адми</w:t>
      </w:r>
      <w:r w:rsidRPr="00925F26">
        <w:rPr>
          <w:color w:val="000000" w:themeColor="text1"/>
          <w:sz w:val="16"/>
          <w:szCs w:val="16"/>
        </w:rPr>
        <w:softHyphen/>
        <w:t>рала Ф.С. Октябрьского для поиска затонувших кораблей и мин заграждения. Группу воздухо</w:t>
      </w:r>
      <w:r w:rsidRPr="00925F26">
        <w:rPr>
          <w:color w:val="000000" w:themeColor="text1"/>
          <w:sz w:val="16"/>
          <w:szCs w:val="16"/>
        </w:rPr>
        <w:softHyphen/>
        <w:t>плавателей возглавил заместитель командира ОВД ВДВ В.А. Устинович. Командиром дирижа</w:t>
      </w:r>
      <w:r w:rsidRPr="00925F26">
        <w:rPr>
          <w:color w:val="000000" w:themeColor="text1"/>
          <w:sz w:val="16"/>
          <w:szCs w:val="16"/>
        </w:rPr>
        <w:softHyphen/>
        <w:t>бля был капитан А.И. Рощин, пилотом — стар</w:t>
      </w:r>
      <w:r w:rsidRPr="00925F26">
        <w:rPr>
          <w:color w:val="000000" w:themeColor="text1"/>
          <w:sz w:val="16"/>
          <w:szCs w:val="16"/>
        </w:rPr>
        <w:softHyphen/>
        <w:t>ший лейтенант Ф.И. Мутовкин. В состав группы входили также старший бортмеханик капитан С.Н. Горячев и бортрадист старший сержант А.Д. Салабай.</w:t>
      </w:r>
    </w:p>
    <w:p w14:paraId="7DB4933C" w14:textId="77777777" w:rsidR="00A9131A" w:rsidRPr="00925F26" w:rsidRDefault="00A9131A" w:rsidP="00925F26">
      <w:pPr>
        <w:jc w:val="both"/>
        <w:rPr>
          <w:color w:val="000000" w:themeColor="text1"/>
          <w:sz w:val="16"/>
          <w:szCs w:val="16"/>
        </w:rPr>
      </w:pPr>
      <w:r w:rsidRPr="00925F26">
        <w:rPr>
          <w:color w:val="000000" w:themeColor="text1"/>
          <w:sz w:val="16"/>
          <w:szCs w:val="16"/>
        </w:rPr>
        <w:t>«Победа» выполнила перелёт из Москвы в Се</w:t>
      </w:r>
      <w:r w:rsidRPr="00925F26">
        <w:rPr>
          <w:color w:val="000000" w:themeColor="text1"/>
          <w:sz w:val="16"/>
          <w:szCs w:val="16"/>
        </w:rPr>
        <w:softHyphen/>
        <w:t>вастополь, где базировалась под открытым небом в Килен-балке. Здесь дирижабль выдержал трёх</w:t>
      </w:r>
      <w:r w:rsidRPr="00925F26">
        <w:rPr>
          <w:color w:val="000000" w:themeColor="text1"/>
          <w:sz w:val="16"/>
          <w:szCs w:val="16"/>
        </w:rPr>
        <w:softHyphen/>
        <w:t>суточный шторм, срывавший с якорей морские буксиры и катера.</w:t>
      </w:r>
    </w:p>
    <w:p w14:paraId="1381630E" w14:textId="77777777" w:rsidR="00A9131A" w:rsidRPr="00925F26" w:rsidRDefault="00A9131A" w:rsidP="00925F26">
      <w:pPr>
        <w:jc w:val="both"/>
        <w:rPr>
          <w:color w:val="000000" w:themeColor="text1"/>
          <w:sz w:val="16"/>
          <w:szCs w:val="16"/>
        </w:rPr>
      </w:pPr>
      <w:r w:rsidRPr="00925F26">
        <w:rPr>
          <w:color w:val="000000" w:themeColor="text1"/>
          <w:sz w:val="16"/>
          <w:szCs w:val="16"/>
        </w:rPr>
        <w:t>26 сентября дирижабль вылетел в первый оз</w:t>
      </w:r>
      <w:r w:rsidRPr="00925F26">
        <w:rPr>
          <w:color w:val="000000" w:themeColor="text1"/>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925F26">
        <w:rPr>
          <w:color w:val="000000" w:themeColor="text1"/>
          <w:sz w:val="16"/>
          <w:szCs w:val="16"/>
        </w:rPr>
        <w:softHyphen/>
        <w:t>рошо просматривались на глубинах до 100 м.</w:t>
      </w:r>
    </w:p>
    <w:p w14:paraId="65C1C61B" w14:textId="77777777" w:rsidR="00A9131A" w:rsidRPr="00925F26" w:rsidRDefault="00A9131A" w:rsidP="00925F26">
      <w:pPr>
        <w:jc w:val="both"/>
        <w:rPr>
          <w:color w:val="000000" w:themeColor="text1"/>
          <w:sz w:val="16"/>
          <w:szCs w:val="16"/>
        </w:rPr>
      </w:pPr>
      <w:r w:rsidRPr="00925F26">
        <w:rPr>
          <w:color w:val="000000" w:themeColor="text1"/>
          <w:sz w:val="16"/>
          <w:szCs w:val="16"/>
        </w:rPr>
        <w:t>В последующих полётах дирижабль прово</w:t>
      </w:r>
      <w:r w:rsidRPr="00925F26">
        <w:rPr>
          <w:color w:val="000000" w:themeColor="text1"/>
          <w:sz w:val="16"/>
          <w:szCs w:val="16"/>
        </w:rPr>
        <w:softHyphen/>
        <w:t>дил также аэрофотосъемку минных полей, уча</w:t>
      </w:r>
      <w:r w:rsidRPr="00925F26">
        <w:rPr>
          <w:color w:val="000000" w:themeColor="text1"/>
          <w:sz w:val="16"/>
          <w:szCs w:val="16"/>
        </w:rPr>
        <w:softHyphen/>
        <w:t>ствовал в экспериментах по обнаружению под</w:t>
      </w:r>
      <w:r w:rsidRPr="00925F26">
        <w:rPr>
          <w:color w:val="000000" w:themeColor="text1"/>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925F26">
        <w:rPr>
          <w:color w:val="000000" w:themeColor="text1"/>
          <w:sz w:val="16"/>
          <w:szCs w:val="16"/>
        </w:rPr>
        <w:softHyphen/>
        <w:t>водилось траление. Вызванный по радио траль</w:t>
      </w:r>
      <w:r w:rsidRPr="00925F26">
        <w:rPr>
          <w:color w:val="000000" w:themeColor="text1"/>
          <w:sz w:val="16"/>
          <w:szCs w:val="16"/>
        </w:rPr>
        <w:softHyphen/>
        <w:t>щик выловил мину и отбуксировал её в открытое море для уничтожения. Иногда дирижабль опус</w:t>
      </w:r>
      <w:r w:rsidRPr="00925F26">
        <w:rPr>
          <w:color w:val="000000" w:themeColor="text1"/>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925F26">
        <w:rPr>
          <w:color w:val="000000" w:themeColor="text1"/>
          <w:sz w:val="16"/>
          <w:szCs w:val="16"/>
        </w:rPr>
        <w:softHyphen/>
        <w:t>ний дирижабль на значительном удалении от бе</w:t>
      </w:r>
      <w:r w:rsidRPr="00925F26">
        <w:rPr>
          <w:color w:val="000000" w:themeColor="text1"/>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55D9F896" w14:textId="77777777" w:rsidR="00A9131A" w:rsidRPr="00925F26" w:rsidRDefault="00A9131A" w:rsidP="00925F26">
      <w:pPr>
        <w:jc w:val="both"/>
        <w:rPr>
          <w:color w:val="000000" w:themeColor="text1"/>
          <w:sz w:val="16"/>
          <w:szCs w:val="16"/>
        </w:rPr>
      </w:pPr>
      <w:r w:rsidRPr="00925F26">
        <w:rPr>
          <w:color w:val="000000" w:themeColor="text1"/>
          <w:sz w:val="16"/>
          <w:szCs w:val="16"/>
        </w:rPr>
        <w:t>Всего на Черном море «Победа» соверши</w:t>
      </w:r>
      <w:r w:rsidRPr="00925F26">
        <w:rPr>
          <w:color w:val="000000" w:themeColor="text1"/>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26227939" w14:textId="77777777" w:rsidR="00A9131A" w:rsidRPr="00925F26" w:rsidRDefault="00A9131A" w:rsidP="00925F26">
      <w:pPr>
        <w:jc w:val="both"/>
        <w:rPr>
          <w:color w:val="000000" w:themeColor="text1"/>
          <w:sz w:val="16"/>
          <w:szCs w:val="16"/>
        </w:rPr>
      </w:pPr>
    </w:p>
    <w:p w14:paraId="6940276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D34D5D0" w14:textId="77777777" w:rsidR="00665165" w:rsidRPr="00925F26" w:rsidRDefault="00665165" w:rsidP="00925F26">
      <w:pPr>
        <w:autoSpaceDE w:val="0"/>
        <w:autoSpaceDN w:val="0"/>
        <w:adjustRightInd w:val="0"/>
        <w:jc w:val="both"/>
        <w:rPr>
          <w:iCs/>
          <w:color w:val="000000" w:themeColor="text1"/>
          <w:sz w:val="16"/>
          <w:szCs w:val="16"/>
        </w:rPr>
      </w:pPr>
    </w:p>
    <w:p w14:paraId="4EFB71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февраля 1945 г. танк ИС-3 ("Объект 703") № 2 из установочной серии после предъявления военному представительству был отправлен в Москву (10703).</w:t>
      </w:r>
    </w:p>
    <w:p w14:paraId="1F351C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38CF8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февраля 1945 г. эталонный образец танка ИС-3 («Объ</w:t>
      </w:r>
      <w:r w:rsidRPr="00925F26">
        <w:rPr>
          <w:color w:val="000000" w:themeColor="text1"/>
          <w:sz w:val="16"/>
          <w:szCs w:val="16"/>
        </w:rPr>
        <w:softHyphen/>
        <w:t>ект 703») № 2 отправился для государственных испытаний, которые состоялись на НИБТ полигоне, с 23 марта по 12 ап</w:t>
      </w:r>
      <w:r w:rsidRPr="00925F26">
        <w:rPr>
          <w:color w:val="000000" w:themeColor="text1"/>
          <w:sz w:val="16"/>
          <w:szCs w:val="16"/>
        </w:rPr>
        <w:softHyphen/>
        <w:t>реля 1945 г.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925F26">
        <w:rPr>
          <w:color w:val="000000" w:themeColor="text1"/>
          <w:sz w:val="16"/>
          <w:szCs w:val="16"/>
        </w:rPr>
        <w:t>...(</w:t>
      </w:r>
      <w:proofErr w:type="gramEnd"/>
      <w:r w:rsidRPr="00925F26">
        <w:rPr>
          <w:color w:val="000000" w:themeColor="text1"/>
          <w:sz w:val="16"/>
          <w:szCs w:val="16"/>
        </w:rPr>
        <w:t>11135).</w:t>
      </w:r>
    </w:p>
    <w:p w14:paraId="623521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D493D65" w14:textId="77777777" w:rsidR="00F94B6C" w:rsidRPr="001A0BAA" w:rsidRDefault="00F94B6C" w:rsidP="00F94B6C">
      <w:pPr>
        <w:jc w:val="both"/>
        <w:rPr>
          <w:color w:val="0070C0"/>
          <w:sz w:val="16"/>
          <w:szCs w:val="16"/>
        </w:rPr>
      </w:pPr>
      <w:r w:rsidRPr="001A0BAA">
        <w:rPr>
          <w:color w:val="0070C0"/>
          <w:sz w:val="16"/>
          <w:szCs w:val="16"/>
        </w:rPr>
        <w:t>20 февраля 1945 года второй опытный образец танка ИС-3 (объект 703) после предъявления военной приемке был от</w:t>
      </w:r>
      <w:r w:rsidRPr="001A0BAA">
        <w:rPr>
          <w:color w:val="0070C0"/>
          <w:sz w:val="16"/>
          <w:szCs w:val="16"/>
        </w:rPr>
        <w:softHyphen/>
        <w:t>правлен в Москву. Несколько раньше - 12 февраля - на НИБТПолигон для испытаний обстрелом были отправлены два корпуса. Полигонные испытания проводились с 23 марта по 11 апреля 1945 года под руковод</w:t>
      </w:r>
      <w:r w:rsidRPr="001A0BAA">
        <w:rPr>
          <w:color w:val="0070C0"/>
          <w:sz w:val="16"/>
          <w:szCs w:val="16"/>
        </w:rPr>
        <w:softHyphen/>
        <w:t>ством инженер-полковника А.И.Благонравова (25001).</w:t>
      </w:r>
    </w:p>
    <w:p w14:paraId="7DC54F0A" w14:textId="77777777" w:rsidR="00F94B6C" w:rsidRPr="001A0BAA" w:rsidRDefault="00F94B6C" w:rsidP="00F94B6C">
      <w:pPr>
        <w:jc w:val="both"/>
        <w:rPr>
          <w:color w:val="0070C0"/>
          <w:sz w:val="16"/>
          <w:szCs w:val="16"/>
        </w:rPr>
      </w:pPr>
    </w:p>
    <w:p w14:paraId="2B40564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E3B4BCB" w14:textId="77777777" w:rsidR="00665165" w:rsidRPr="00925F26" w:rsidRDefault="00665165" w:rsidP="00925F26">
      <w:pPr>
        <w:autoSpaceDE w:val="0"/>
        <w:autoSpaceDN w:val="0"/>
        <w:adjustRightInd w:val="0"/>
        <w:jc w:val="both"/>
        <w:rPr>
          <w:iCs/>
          <w:color w:val="000000" w:themeColor="text1"/>
          <w:sz w:val="16"/>
          <w:szCs w:val="16"/>
        </w:rPr>
      </w:pPr>
    </w:p>
    <w:p w14:paraId="23D78EB4" w14:textId="77777777" w:rsidR="000F49EC" w:rsidRPr="00925F26" w:rsidRDefault="000F49EC" w:rsidP="00925F26">
      <w:pPr>
        <w:jc w:val="both"/>
        <w:rPr>
          <w:color w:val="000000" w:themeColor="text1"/>
          <w:sz w:val="16"/>
          <w:szCs w:val="16"/>
        </w:rPr>
      </w:pPr>
      <w:r w:rsidRPr="00925F26">
        <w:rPr>
          <w:bCs/>
          <w:color w:val="000000" w:themeColor="text1"/>
          <w:sz w:val="16"/>
          <w:szCs w:val="16"/>
        </w:rPr>
        <w:t>20 февраля</w:t>
      </w:r>
      <w:r w:rsidRPr="00925F26">
        <w:rPr>
          <w:color w:val="000000" w:themeColor="text1"/>
          <w:sz w:val="16"/>
          <w:szCs w:val="16"/>
        </w:rPr>
        <w:t xml:space="preserve"> в 1945 году оперативная сводка Совинформбюро:</w:t>
      </w:r>
    </w:p>
    <w:p w14:paraId="1F8A4EB5" w14:textId="77777777" w:rsidR="000F49EC" w:rsidRPr="00925F26" w:rsidRDefault="000F49EC" w:rsidP="00925F26">
      <w:pPr>
        <w:jc w:val="both"/>
        <w:rPr>
          <w:color w:val="000000" w:themeColor="text1"/>
          <w:sz w:val="16"/>
          <w:szCs w:val="16"/>
        </w:rPr>
      </w:pPr>
      <w:r w:rsidRPr="00925F26">
        <w:rPr>
          <w:color w:val="000000" w:themeColor="text1"/>
          <w:sz w:val="16"/>
          <w:szCs w:val="16"/>
        </w:rPr>
        <w:t>«В течение 20 февраля на Земландском полуострове наши войска отбивали атаки пехоты и танков противника, стремящегося, несмотря на большие потери, пробиться из Кенигсберга на запад в направлении Пиллау. Одновременно юго-западнее Кенигсберга наши войска сжимали кольцо окружения Восточно-Прусской группировки немцев и овладели населёнными пунктами Альбенлаук, Немриттен, Кан-Диттен, Гуттенфельд, Айххольц, Волау, Гауден, Пакхаузен, Борхертсдорф. В боях за 19 февраля в районе западнее и юго-западнее Кенигсберга подбито и уничтожено 70 немецких танков и взято в плен более 600 солдат и офицеров противника.</w:t>
      </w:r>
    </w:p>
    <w:p w14:paraId="17FA3BE4" w14:textId="77777777" w:rsidR="000F49EC" w:rsidRPr="00925F26" w:rsidRDefault="000F49EC" w:rsidP="00925F26">
      <w:pPr>
        <w:jc w:val="both"/>
        <w:rPr>
          <w:color w:val="000000" w:themeColor="text1"/>
          <w:sz w:val="16"/>
          <w:szCs w:val="16"/>
        </w:rPr>
      </w:pPr>
      <w:r w:rsidRPr="00925F26">
        <w:rPr>
          <w:color w:val="000000" w:themeColor="text1"/>
          <w:sz w:val="16"/>
          <w:szCs w:val="16"/>
        </w:rPr>
        <w:t>Южнее Данцига наши войска, продолжая наступление вдоль западного берега Вислы, с боями заняли более 50 населённых пунктов, среди которых крупные населённые пункты Мюнотервальде, Хальбдорф, Лялькау, Ящерск, Каспарус, Линовег, Гросс Шливиц, Гагенорт, Шляхта. В городе Грудзяндз (Грауденц) продолжались бои по уничтожению окружённого гарнизона противника.</w:t>
      </w:r>
    </w:p>
    <w:p w14:paraId="75D84DE6" w14:textId="77777777" w:rsidR="000F49EC" w:rsidRPr="00925F26" w:rsidRDefault="000F49EC" w:rsidP="00925F26">
      <w:pPr>
        <w:jc w:val="both"/>
        <w:rPr>
          <w:color w:val="000000" w:themeColor="text1"/>
          <w:sz w:val="16"/>
          <w:szCs w:val="16"/>
        </w:rPr>
      </w:pPr>
      <w:r w:rsidRPr="00925F26">
        <w:rPr>
          <w:color w:val="000000" w:themeColor="text1"/>
          <w:sz w:val="16"/>
          <w:szCs w:val="16"/>
        </w:rPr>
        <w:t>В провинции Бранденбург наши войска в результате наступательных боёв овладели городами Гроссен, Боберсберг, Христианштадт, а также заняли более 80 других населённых пунктов, в том числе крупные населённые пункты Альтрефельд, Нойэндорф, Линденхайм, Шегельн, Даубе, Лаубнитц, Гуркау, Марсдорф, Бурау. За 19 февраля в этом районе взято в плен около 1.000 немецких солдат и офицеров.</w:t>
      </w:r>
    </w:p>
    <w:p w14:paraId="063179FA" w14:textId="77777777" w:rsidR="000F49EC" w:rsidRPr="00925F26" w:rsidRDefault="000F49EC" w:rsidP="00925F26">
      <w:pPr>
        <w:jc w:val="both"/>
        <w:rPr>
          <w:color w:val="000000" w:themeColor="text1"/>
          <w:sz w:val="16"/>
          <w:szCs w:val="16"/>
        </w:rPr>
      </w:pPr>
      <w:r w:rsidRPr="00925F26">
        <w:rPr>
          <w:color w:val="000000" w:themeColor="text1"/>
          <w:sz w:val="16"/>
          <w:szCs w:val="16"/>
        </w:rPr>
        <w:t>В районе Бреслау продолжались бои по уничтожению окружённой в городе группировки противника.</w:t>
      </w:r>
    </w:p>
    <w:p w14:paraId="33212464" w14:textId="77777777" w:rsidR="000F49EC" w:rsidRPr="00925F26" w:rsidRDefault="000F49EC" w:rsidP="00925F26">
      <w:pPr>
        <w:jc w:val="both"/>
        <w:rPr>
          <w:color w:val="000000" w:themeColor="text1"/>
          <w:sz w:val="16"/>
          <w:szCs w:val="16"/>
        </w:rPr>
      </w:pPr>
      <w:r w:rsidRPr="00925F26">
        <w:rPr>
          <w:color w:val="000000" w:themeColor="text1"/>
          <w:sz w:val="16"/>
          <w:szCs w:val="16"/>
        </w:rPr>
        <w:t>На территории Чехословакии северо-западнее города Лученец наши войска, действуя в трудных условиях горно-лесистой местности в полосе Карпат, с боями заняли белее 60 населённых пунктов, среди которых крупные населённые пункты Склярово, Дуьрави, Детва, Кривань, Другайовци, Стара Гутта, Червена.</w:t>
      </w:r>
    </w:p>
    <w:p w14:paraId="197DEF7D" w14:textId="77777777" w:rsidR="000F49EC" w:rsidRPr="00925F26" w:rsidRDefault="000F49EC" w:rsidP="00925F26">
      <w:pPr>
        <w:jc w:val="both"/>
        <w:rPr>
          <w:color w:val="000000" w:themeColor="text1"/>
          <w:sz w:val="16"/>
          <w:szCs w:val="16"/>
        </w:rPr>
      </w:pPr>
      <w:r w:rsidRPr="00925F26">
        <w:rPr>
          <w:color w:val="000000" w:themeColor="text1"/>
          <w:sz w:val="16"/>
          <w:szCs w:val="16"/>
        </w:rPr>
        <w:lastRenderedPageBreak/>
        <w:t>На северном берегу Дуная восточнее города Комарно наши войска успешно отбили атаки крупных сил пехоты и танков противника. В боях за 19 февраля в этом районе подбито и уничтожено 60 немецких танков.</w:t>
      </w:r>
    </w:p>
    <w:p w14:paraId="0F595C1D" w14:textId="77777777" w:rsidR="000F49EC" w:rsidRPr="00925F26" w:rsidRDefault="000F49EC"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722F85DF" w14:textId="77777777" w:rsidR="000F49EC" w:rsidRPr="00925F26" w:rsidRDefault="000F49EC" w:rsidP="00925F26">
      <w:pPr>
        <w:jc w:val="both"/>
        <w:rPr>
          <w:color w:val="000000" w:themeColor="text1"/>
          <w:sz w:val="16"/>
          <w:szCs w:val="16"/>
        </w:rPr>
      </w:pPr>
      <w:r w:rsidRPr="00925F26">
        <w:rPr>
          <w:color w:val="000000" w:themeColor="text1"/>
          <w:sz w:val="16"/>
          <w:szCs w:val="16"/>
        </w:rPr>
        <w:t>За 19 февраля на всех фронтах подбито и уничтожено 206 немецких танков. В воздушных боях и огнём зенитной артиллерии сбито 109 самолётов противника.</w:t>
      </w:r>
    </w:p>
    <w:p w14:paraId="242FA4D7" w14:textId="77777777" w:rsidR="000F49EC" w:rsidRPr="00925F26" w:rsidRDefault="000F49EC" w:rsidP="00925F26">
      <w:pPr>
        <w:jc w:val="both"/>
        <w:rPr>
          <w:color w:val="000000" w:themeColor="text1"/>
          <w:sz w:val="16"/>
          <w:szCs w:val="16"/>
        </w:rPr>
      </w:pPr>
      <w:r w:rsidRPr="00925F26">
        <w:rPr>
          <w:color w:val="000000" w:themeColor="text1"/>
          <w:sz w:val="16"/>
          <w:szCs w:val="16"/>
        </w:rPr>
        <w:t>На Земландском полуострове противник утром возобновил попытки прорваться из города Кенигсберга на запад. Крупные силы немецкой пехоты, поддержанные танками, перешли в атаку. Весь день продолжались напряжённые бои. На узком участке противник выпустил десятки тысяч снарядов и мин. Советские части, отбивая вражеские атаки, уничтожили более 2 тысяч немецких солдат и офицеров.</w:t>
      </w:r>
    </w:p>
    <w:p w14:paraId="52D38413" w14:textId="77777777" w:rsidR="000F49EC" w:rsidRPr="00925F26" w:rsidRDefault="000F49EC" w:rsidP="00925F26">
      <w:pPr>
        <w:jc w:val="both"/>
        <w:rPr>
          <w:color w:val="000000" w:themeColor="text1"/>
          <w:sz w:val="16"/>
          <w:szCs w:val="16"/>
        </w:rPr>
      </w:pPr>
      <w:r w:rsidRPr="00925F26">
        <w:rPr>
          <w:color w:val="000000" w:themeColor="text1"/>
          <w:sz w:val="16"/>
          <w:szCs w:val="16"/>
        </w:rPr>
        <w:t>Юго-западнее Кенигсберга части Н-ского соединения с боями переправились через реку Штрадик. Совершив стремительный бросок, советские бойцы перерезали железную дорогу, идущую от города Цинтен к побережью залива Фриш Гаф. На другом участке занят населённый пункт Пакхаузен—узел шоссейных дорог. Наши войска, переправившиеся вчера через реку Пассарге, продолжали расширять плацдарм на её восточном берегу. Многочисленные контратаки противника отбиты с большими для него потерями. Захвачено у немцев 36 орудий и минометов, 70 пулеметов, 115 автомашин и другие трофеи.</w:t>
      </w:r>
    </w:p>
    <w:p w14:paraId="177EC10B" w14:textId="77777777" w:rsidR="000F49EC" w:rsidRPr="00925F26" w:rsidRDefault="000F49EC" w:rsidP="00925F26">
      <w:pPr>
        <w:jc w:val="both"/>
        <w:rPr>
          <w:color w:val="000000" w:themeColor="text1"/>
          <w:sz w:val="16"/>
          <w:szCs w:val="16"/>
        </w:rPr>
      </w:pPr>
      <w:r w:rsidRPr="00925F26">
        <w:rPr>
          <w:color w:val="000000" w:themeColor="text1"/>
          <w:sz w:val="16"/>
          <w:szCs w:val="16"/>
        </w:rPr>
        <w:t>Южнее Данцига наши войска с боями продвигались вперёд. Советские части, наступающие вдоль западного берега реки Вислы, сломили сопротивление немцев и овладели сильно укреплённым населённым пунктом Мюнстервальде, расположенным в 65 километрах южнее Данцига. На другом участке наши пехотинцы выбили немцев из крупного населённого пункта и железнодорожного узла Шляхта, находящегося в 8 километрах к юго-востоку от города Черск.</w:t>
      </w:r>
    </w:p>
    <w:p w14:paraId="74C08B4D" w14:textId="77777777" w:rsidR="000F49EC" w:rsidRPr="00925F26" w:rsidRDefault="000F49EC" w:rsidP="00925F26">
      <w:pPr>
        <w:jc w:val="both"/>
        <w:rPr>
          <w:color w:val="000000" w:themeColor="text1"/>
          <w:sz w:val="16"/>
          <w:szCs w:val="16"/>
        </w:rPr>
      </w:pPr>
      <w:r w:rsidRPr="00925F26">
        <w:rPr>
          <w:color w:val="000000" w:themeColor="text1"/>
          <w:sz w:val="16"/>
          <w:szCs w:val="16"/>
        </w:rPr>
        <w:t>В городе Грудзяндз (Грауденц) наши войска вели бои по ликвидации окружённого гарнизона противника. Немецкие части, засевшие в фортах и крепости, оказывают упорное сопротивление. Советские штурмовые группы овладели несколькими дотами и ворвались в крепость. За день боёв уничтожено до 1.500 гитлеровцев, 9 танков и 30 орудий противника.</w:t>
      </w:r>
    </w:p>
    <w:p w14:paraId="19ACEDAE" w14:textId="77777777" w:rsidR="000F49EC" w:rsidRPr="00925F26" w:rsidRDefault="000F49EC" w:rsidP="00925F26">
      <w:pPr>
        <w:jc w:val="both"/>
        <w:rPr>
          <w:color w:val="000000" w:themeColor="text1"/>
          <w:sz w:val="16"/>
          <w:szCs w:val="16"/>
        </w:rPr>
      </w:pPr>
      <w:r w:rsidRPr="00925F26">
        <w:rPr>
          <w:color w:val="000000" w:themeColor="text1"/>
          <w:sz w:val="16"/>
          <w:szCs w:val="16"/>
        </w:rPr>
        <w:t>В провинции Бранденбург наши войска продолжали наступление. В результате стремительной атаки советские части овладели городом Гроссен — важным опорным пунктом обороны противника. Город Гроссен расположен при впадении реки Бобер в Одер. Развивая успех, наши войска продвинулись вперёд на 15 километров. Другие наши части, после ожесточённого боя, выбили немцев из города Боберсберг и ведут бои в лесах восточнее города Бубен. Занят также город Христианштадт. В этом районе разбиты части противника, пытавшиеся нанести нашим войскам удар во фланг. Уничтожено 32 танка и свыше 1.000 немецких солдат и офицеров. Остатки вражеской группы рассеяны в лесах. Бойцы стрелкового батальона майора Шабалина атаковали большую автоколонну с пехотой противника. В ожесточённой схватке вражеская колонна была разгромлена. Истреблено до батальона гитлеровцев. На другом участке артиллеристы противотанкового дивизиона майора Руденко, отражая вражескую контратаку, сожгли 3 танка, 5 бронетранспортёров и уничтожили более 100 немецких солдат и офицеров. Рядовой бронебойщик Кириенко огнём из противотанкового ружья сбил немецкий самолёт.</w:t>
      </w:r>
    </w:p>
    <w:p w14:paraId="1A26E47C" w14:textId="77777777" w:rsidR="000F49EC" w:rsidRPr="00925F26" w:rsidRDefault="000F49EC" w:rsidP="00925F26">
      <w:pPr>
        <w:jc w:val="both"/>
        <w:rPr>
          <w:color w:val="000000" w:themeColor="text1"/>
          <w:sz w:val="16"/>
          <w:szCs w:val="16"/>
        </w:rPr>
      </w:pPr>
      <w:r w:rsidRPr="00925F26">
        <w:rPr>
          <w:color w:val="000000" w:themeColor="text1"/>
          <w:sz w:val="16"/>
          <w:szCs w:val="16"/>
        </w:rPr>
        <w:t>Немецкие офицеры, взятые в плен на 1-м Украинском фронте, сообщают о больших потерях немецких войск. Пленный начальник оперативного отделения 10 моторизованной дивизии майор Вольфганг Шааль заявил: «Русское наступление превосходит все самые крупные военные операции, какие когда-либо предпринимались. Ничего подобного никто из нас не видел. Мы считали свою мощную и глубоко эшелонированную оборону неприступной и неуязвимой. На нашем участке в резерве стояли наготове 16-я и 17-я танковые и 10-я и 20-я моторизованные дивизии. Так как пехота не сумела сдержать натиска русских, пришлось немедленно бросить в бой резервы. Русские войска прорвали оборону и погнали нас на запад. Преследуя отступающие части, советские танкисты окружали и уничтожали их. В два дня наша дивизия была разгромлена. Такая же участь постигла и другие соединения. Оставшийся в живых солдаты разбежались кто куда. Я и командир дивизии полковник Виаль пытались пробраться на запад. Мы шли только ночью, а днём прятались. За семь ночей мы прошли десятки километров, но фронт передвигался ещё быстрее. На восьмой день, когда русские взяли нас в плен, мы узнали, что находимся далеко позади фронта в глубоком тылу» (15046).</w:t>
      </w:r>
    </w:p>
    <w:p w14:paraId="61182C55" w14:textId="77777777" w:rsidR="000F49EC" w:rsidRPr="00925F26" w:rsidRDefault="000F49EC" w:rsidP="00925F26">
      <w:pPr>
        <w:jc w:val="both"/>
        <w:rPr>
          <w:color w:val="000000" w:themeColor="text1"/>
          <w:sz w:val="16"/>
          <w:szCs w:val="16"/>
        </w:rPr>
      </w:pPr>
    </w:p>
    <w:p w14:paraId="776997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20 февраля по 5 марта 1945 чехословацкий 3 шап базировался на аэродроме в Iwonicz и продолжал тренировки (241,39).</w:t>
      </w:r>
    </w:p>
    <w:p w14:paraId="28D52704" w14:textId="77777777" w:rsidR="00665165" w:rsidRPr="00925F26" w:rsidRDefault="00665165" w:rsidP="00925F26">
      <w:pPr>
        <w:autoSpaceDE w:val="0"/>
        <w:autoSpaceDN w:val="0"/>
        <w:adjustRightInd w:val="0"/>
        <w:jc w:val="both"/>
        <w:rPr>
          <w:color w:val="000000" w:themeColor="text1"/>
          <w:sz w:val="16"/>
          <w:szCs w:val="16"/>
        </w:rPr>
      </w:pPr>
    </w:p>
    <w:p w14:paraId="144695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20 февраля по 6 марта 1945 в период подготовки к Балатонской оборонительной операции воздушное фотографирование составило 42.7% всех самолетовылетов (518,213).</w:t>
      </w:r>
    </w:p>
    <w:p w14:paraId="72CF04F4" w14:textId="77777777" w:rsidR="00665165" w:rsidRPr="00925F26" w:rsidRDefault="00665165" w:rsidP="00925F26">
      <w:pPr>
        <w:autoSpaceDE w:val="0"/>
        <w:autoSpaceDN w:val="0"/>
        <w:adjustRightInd w:val="0"/>
        <w:jc w:val="both"/>
        <w:rPr>
          <w:color w:val="000000" w:themeColor="text1"/>
          <w:sz w:val="16"/>
          <w:szCs w:val="16"/>
        </w:rPr>
      </w:pPr>
    </w:p>
    <w:p w14:paraId="0AFDEA5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February 20, 1945: In the East, Soviet attacks against the lines of Heeresgruppe Kurland cut off for months from the rest of the Eastern front </w:t>
      </w:r>
      <w:proofErr w:type="gramStart"/>
      <w:r w:rsidRPr="00925F26">
        <w:rPr>
          <w:color w:val="000000" w:themeColor="text1"/>
          <w:sz w:val="16"/>
          <w:szCs w:val="16"/>
          <w:lang w:val="en-US"/>
        </w:rPr>
        <w:t>fail</w:t>
      </w:r>
      <w:proofErr w:type="gramEnd"/>
      <w:r w:rsidRPr="00925F26">
        <w:rPr>
          <w:color w:val="000000" w:themeColor="text1"/>
          <w:sz w:val="16"/>
          <w:szCs w:val="16"/>
          <w:lang w:val="en-US"/>
        </w:rPr>
        <w:t xml:space="preserve"> in the face of stubborn German resistance (3819).</w:t>
      </w:r>
    </w:p>
    <w:p w14:paraId="4A1311FF" w14:textId="77777777" w:rsidR="00665165" w:rsidRPr="00925F26" w:rsidRDefault="00665165" w:rsidP="00925F26">
      <w:pPr>
        <w:autoSpaceDE w:val="0"/>
        <w:autoSpaceDN w:val="0"/>
        <w:adjustRightInd w:val="0"/>
        <w:jc w:val="both"/>
        <w:rPr>
          <w:color w:val="000000" w:themeColor="text1"/>
          <w:sz w:val="16"/>
          <w:szCs w:val="16"/>
          <w:lang w:val="en-US"/>
        </w:rPr>
      </w:pPr>
    </w:p>
    <w:p w14:paraId="58A645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КА атаковала Группу Курляндия, отрезанную от других частей Восточного фронта (3819).</w:t>
      </w:r>
    </w:p>
    <w:p w14:paraId="7DB395ED" w14:textId="77777777" w:rsidR="00665165" w:rsidRPr="00925F26" w:rsidRDefault="00665165" w:rsidP="00925F26">
      <w:pPr>
        <w:autoSpaceDE w:val="0"/>
        <w:autoSpaceDN w:val="0"/>
        <w:adjustRightInd w:val="0"/>
        <w:jc w:val="both"/>
        <w:rPr>
          <w:color w:val="000000" w:themeColor="text1"/>
          <w:sz w:val="16"/>
          <w:szCs w:val="16"/>
        </w:rPr>
      </w:pPr>
    </w:p>
    <w:p w14:paraId="6D8BAA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года в боях за 8-й, 9-й и 10-й кварталы города Познань, непосредственно прилегавшие к южной части крепостной цитадели, штурмовая группа в составе взвода пехоты, трех ИСУ-152 и двух танков Т-34 очищала от противника квартал № 10. В 8-й гвардейской армии 1-го Белорусского фронта в боях за город Познань в состав штурмовых групп 74-й гвардейской стрелковой дивизии были включены по две-три ИСУ-152 394-го гвардейского тяжелого самоходно-</w:t>
      </w:r>
      <w:proofErr w:type="gramStart"/>
      <w:r w:rsidRPr="00925F26">
        <w:rPr>
          <w:color w:val="000000" w:themeColor="text1"/>
          <w:sz w:val="16"/>
          <w:szCs w:val="16"/>
        </w:rPr>
        <w:t>артиллерий-ского</w:t>
      </w:r>
      <w:proofErr w:type="gramEnd"/>
      <w:r w:rsidRPr="00925F26">
        <w:rPr>
          <w:color w:val="000000" w:themeColor="text1"/>
          <w:sz w:val="16"/>
          <w:szCs w:val="16"/>
        </w:rPr>
        <w:t xml:space="preserve"> полка. Другая группа в составе взвода пехоты, двух самоходно-артиллерийских установок ИСУ-152 и трех огнеметных ТО-34 штурмовала 8-й и 9-й кварталы. В этих боях САУ действовали быстро и решительно. Они приближались к домам и в упор уничтожали размещенные в окнах, подвалах и других местах зданий немецкие огневые точки, а также проделывали проломы в стенах зданий для прохода своей пехоты. При действиях вдоль улиц самоходки двигались, прижимаясь к стенам домов и уничтожая огневые средства противника, расположенные в зданиях на противоположной стороне. Своим огнем установки взаимно прикрывали друг друга и обеспечивали продвижение пехоты и танков. Вперед самоходно-артиллерийские установки продвигались поочередно перекатами, по мере продвижения пехоты и танков. В результате кварталы были быстро заняты </w:t>
      </w:r>
      <w:proofErr w:type="gramStart"/>
      <w:r w:rsidRPr="00925F26">
        <w:rPr>
          <w:color w:val="000000" w:themeColor="text1"/>
          <w:sz w:val="16"/>
          <w:szCs w:val="16"/>
        </w:rPr>
        <w:t>нашей пехотой</w:t>
      </w:r>
      <w:proofErr w:type="gramEnd"/>
      <w:r w:rsidRPr="00925F26">
        <w:rPr>
          <w:color w:val="000000" w:themeColor="text1"/>
          <w:sz w:val="16"/>
          <w:szCs w:val="16"/>
        </w:rPr>
        <w:t xml:space="preserve"> и немцы с большими потерями отошли в цитадель (11638).</w:t>
      </w:r>
    </w:p>
    <w:p w14:paraId="221D639D" w14:textId="77777777" w:rsidR="00665165" w:rsidRPr="00925F26" w:rsidRDefault="00665165" w:rsidP="00925F26">
      <w:pPr>
        <w:autoSpaceDE w:val="0"/>
        <w:autoSpaceDN w:val="0"/>
        <w:adjustRightInd w:val="0"/>
        <w:jc w:val="both"/>
        <w:rPr>
          <w:color w:val="000000" w:themeColor="text1"/>
          <w:sz w:val="16"/>
          <w:szCs w:val="16"/>
        </w:rPr>
      </w:pPr>
    </w:p>
    <w:p w14:paraId="4C676719" w14:textId="77777777" w:rsidR="00A9131A" w:rsidRPr="00925F26" w:rsidRDefault="00A9131A" w:rsidP="00925F26">
      <w:pPr>
        <w:jc w:val="both"/>
        <w:rPr>
          <w:color w:val="000000" w:themeColor="text1"/>
          <w:sz w:val="16"/>
          <w:szCs w:val="16"/>
        </w:rPr>
      </w:pPr>
      <w:r w:rsidRPr="00925F26">
        <w:rPr>
          <w:color w:val="000000" w:themeColor="text1"/>
          <w:sz w:val="16"/>
          <w:szCs w:val="16"/>
        </w:rPr>
        <w:t>20 февраля 1945 25 немецких Юнкерс Ju 88s атаковали конвой RA 64 торпедами на пути к Кольскому заливу. Wildcats с британских авианосцев HMS Campania и HMS Nairana сбили как минимум три из них (20371).</w:t>
      </w:r>
    </w:p>
    <w:p w14:paraId="35EB0EF0" w14:textId="77777777" w:rsidR="00A9131A" w:rsidRPr="00925F26" w:rsidRDefault="00A9131A" w:rsidP="00925F26">
      <w:pPr>
        <w:jc w:val="both"/>
        <w:rPr>
          <w:color w:val="000000" w:themeColor="text1"/>
          <w:sz w:val="16"/>
          <w:szCs w:val="16"/>
        </w:rPr>
      </w:pPr>
    </w:p>
    <w:p w14:paraId="5C834D62" w14:textId="77777777" w:rsidR="000F49EC"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43C9027" w14:textId="77777777" w:rsidR="000F49EC" w:rsidRPr="00925F26" w:rsidRDefault="000F49EC" w:rsidP="00925F26">
      <w:pPr>
        <w:autoSpaceDE w:val="0"/>
        <w:autoSpaceDN w:val="0"/>
        <w:adjustRightInd w:val="0"/>
        <w:jc w:val="both"/>
        <w:rPr>
          <w:iCs/>
          <w:color w:val="000000" w:themeColor="text1"/>
          <w:sz w:val="16"/>
          <w:szCs w:val="16"/>
        </w:rPr>
      </w:pPr>
    </w:p>
    <w:p w14:paraId="1273030F" w14:textId="77777777" w:rsidR="000F49EC" w:rsidRPr="00925F26" w:rsidRDefault="000F49EC" w:rsidP="00925F26">
      <w:pPr>
        <w:jc w:val="both"/>
        <w:rPr>
          <w:color w:val="000000" w:themeColor="text1"/>
          <w:sz w:val="16"/>
          <w:szCs w:val="16"/>
        </w:rPr>
      </w:pPr>
      <w:r w:rsidRPr="00925F26">
        <w:rPr>
          <w:bCs/>
          <w:color w:val="000000" w:themeColor="text1"/>
          <w:sz w:val="16"/>
          <w:szCs w:val="16"/>
        </w:rPr>
        <w:t>20 февраля</w:t>
      </w:r>
      <w:r w:rsidRPr="00925F26">
        <w:rPr>
          <w:color w:val="000000" w:themeColor="text1"/>
          <w:sz w:val="16"/>
          <w:szCs w:val="16"/>
        </w:rPr>
        <w:t xml:space="preserve"> в 1945 году из уральской эвакуации в Москву вернулись сокровища Оружейной палаты (15046).</w:t>
      </w:r>
    </w:p>
    <w:p w14:paraId="61491696" w14:textId="77777777" w:rsidR="000F49EC" w:rsidRPr="00925F26" w:rsidRDefault="000F49EC" w:rsidP="00925F26">
      <w:pPr>
        <w:jc w:val="both"/>
        <w:rPr>
          <w:color w:val="000000" w:themeColor="text1"/>
          <w:sz w:val="16"/>
          <w:szCs w:val="16"/>
        </w:rPr>
      </w:pPr>
    </w:p>
    <w:p w14:paraId="4BF464E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9D0387A" w14:textId="77777777" w:rsidR="00665165" w:rsidRPr="00925F26" w:rsidRDefault="00665165" w:rsidP="00925F26">
      <w:pPr>
        <w:autoSpaceDE w:val="0"/>
        <w:autoSpaceDN w:val="0"/>
        <w:adjustRightInd w:val="0"/>
        <w:jc w:val="both"/>
        <w:rPr>
          <w:iCs/>
          <w:color w:val="000000" w:themeColor="text1"/>
          <w:sz w:val="16"/>
          <w:szCs w:val="16"/>
        </w:rPr>
      </w:pPr>
    </w:p>
    <w:p w14:paraId="441387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Постановление ГКО о военных трофеях на территории Польши", согласно которому все промышленные объекты с оборудованием и сырьем передавались польским властям (7451).</w:t>
      </w:r>
    </w:p>
    <w:p w14:paraId="3C41F19F" w14:textId="77777777" w:rsidR="00665165" w:rsidRPr="00925F26" w:rsidRDefault="00665165" w:rsidP="00925F26">
      <w:pPr>
        <w:autoSpaceDE w:val="0"/>
        <w:autoSpaceDN w:val="0"/>
        <w:adjustRightInd w:val="0"/>
        <w:jc w:val="both"/>
        <w:rPr>
          <w:color w:val="000000" w:themeColor="text1"/>
          <w:sz w:val="16"/>
          <w:szCs w:val="16"/>
        </w:rPr>
      </w:pPr>
    </w:p>
    <w:p w14:paraId="48DF3C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вышло Постановление ГКО № 7558 Вопросы Польши. РГАНИР, Фонд ГКО, д. 372, лл. 91-94 (11012).</w:t>
      </w:r>
    </w:p>
    <w:p w14:paraId="371FD463" w14:textId="77777777" w:rsidR="00665165" w:rsidRPr="00925F26" w:rsidRDefault="00665165" w:rsidP="00925F26">
      <w:pPr>
        <w:autoSpaceDE w:val="0"/>
        <w:autoSpaceDN w:val="0"/>
        <w:adjustRightInd w:val="0"/>
        <w:jc w:val="both"/>
        <w:rPr>
          <w:color w:val="000000" w:themeColor="text1"/>
          <w:sz w:val="16"/>
          <w:szCs w:val="16"/>
        </w:rPr>
      </w:pPr>
    </w:p>
    <w:p w14:paraId="5B23990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FB385AC" w14:textId="77777777" w:rsidR="00665165" w:rsidRPr="00925F26" w:rsidRDefault="00665165" w:rsidP="00925F26">
      <w:pPr>
        <w:autoSpaceDE w:val="0"/>
        <w:autoSpaceDN w:val="0"/>
        <w:adjustRightInd w:val="0"/>
        <w:jc w:val="both"/>
        <w:rPr>
          <w:iCs/>
          <w:color w:val="000000" w:themeColor="text1"/>
          <w:sz w:val="16"/>
          <w:szCs w:val="16"/>
        </w:rPr>
      </w:pPr>
    </w:p>
    <w:p w14:paraId="251C24A7" w14:textId="77777777" w:rsidR="008C396C" w:rsidRPr="00925F26" w:rsidRDefault="008C396C" w:rsidP="00925F26">
      <w:pPr>
        <w:jc w:val="both"/>
        <w:rPr>
          <w:color w:val="000000" w:themeColor="text1"/>
          <w:sz w:val="16"/>
          <w:szCs w:val="16"/>
        </w:rPr>
      </w:pPr>
      <w:r w:rsidRPr="00925F26">
        <w:rPr>
          <w:color w:val="000000" w:themeColor="text1"/>
          <w:sz w:val="16"/>
          <w:szCs w:val="16"/>
        </w:rPr>
        <w:t xml:space="preserve">К 20 февраля 1945 г. 15 ракет « Рейнтохтер» нового варианта поступили из Лиепаи в ракетный центр Пенемюнде. Стартовая масса ракеты была </w:t>
      </w:r>
      <w:smartTag w:uri="urn:schemas-microsoft-com:office:smarttags" w:element="metricconverter">
        <w:smartTagPr>
          <w:attr w:name="ProductID" w:val="1560 кг"/>
        </w:smartTagPr>
        <w:r w:rsidRPr="00925F26">
          <w:rPr>
            <w:color w:val="000000" w:themeColor="text1"/>
            <w:sz w:val="16"/>
            <w:szCs w:val="16"/>
          </w:rPr>
          <w:t>1560 кг</w:t>
        </w:r>
      </w:smartTag>
      <w:r w:rsidRPr="00925F26">
        <w:rPr>
          <w:color w:val="000000" w:themeColor="text1"/>
          <w:sz w:val="16"/>
          <w:szCs w:val="16"/>
        </w:rPr>
        <w:t>. Интересно, что наши войска вошли раньше в Пенемюнде, чем Лиепаю. Лиепая была освобождена 11.05.45. на 3-й день после окончания войны. Курляндская группировка немецких войск полностью капитулировала только 14.05.45 г., только тогда была освобождена вся территория СССР. Можно считать, что война окончилась не в Берлине и не в Праге, а в латвийской Курляндии (19590).</w:t>
      </w:r>
    </w:p>
    <w:p w14:paraId="43B6D63C" w14:textId="77777777" w:rsidR="008C396C" w:rsidRPr="00925F26" w:rsidRDefault="008C396C" w:rsidP="00925F26">
      <w:pPr>
        <w:jc w:val="both"/>
        <w:rPr>
          <w:color w:val="000000" w:themeColor="text1"/>
          <w:sz w:val="16"/>
          <w:szCs w:val="16"/>
        </w:rPr>
      </w:pPr>
    </w:p>
    <w:p w14:paraId="5845A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февраля 1945 г. бывшая румынская пл ТС-2 ("Марсуйнул") была разрушена взрывом собственных торпед (3898).</w:t>
      </w:r>
    </w:p>
    <w:p w14:paraId="02DD651F" w14:textId="77777777" w:rsidR="00665165" w:rsidRPr="00925F26" w:rsidRDefault="00665165" w:rsidP="00925F26">
      <w:pPr>
        <w:autoSpaceDE w:val="0"/>
        <w:autoSpaceDN w:val="0"/>
        <w:adjustRightInd w:val="0"/>
        <w:jc w:val="both"/>
        <w:rPr>
          <w:color w:val="000000" w:themeColor="text1"/>
          <w:sz w:val="16"/>
          <w:szCs w:val="16"/>
        </w:rPr>
      </w:pPr>
    </w:p>
    <w:p w14:paraId="027D003A" w14:textId="77777777" w:rsidR="000F49EC" w:rsidRPr="00925F26" w:rsidRDefault="000F49EC" w:rsidP="00925F26">
      <w:pPr>
        <w:jc w:val="both"/>
        <w:rPr>
          <w:color w:val="000000" w:themeColor="text1"/>
          <w:sz w:val="16"/>
          <w:szCs w:val="16"/>
        </w:rPr>
      </w:pPr>
      <w:r w:rsidRPr="00925F26">
        <w:rPr>
          <w:bCs/>
          <w:color w:val="000000" w:themeColor="text1"/>
          <w:sz w:val="16"/>
          <w:szCs w:val="16"/>
        </w:rPr>
        <w:t>20 февраля</w:t>
      </w:r>
      <w:r w:rsidRPr="00925F26">
        <w:rPr>
          <w:color w:val="000000" w:themeColor="text1"/>
          <w:sz w:val="16"/>
          <w:szCs w:val="16"/>
        </w:rPr>
        <w:t xml:space="preserve"> в 1945 году распоряжением министра обороны США был основан полигон «Уайт-Сэндс» («White Sands») (буквально «Белые пески», Лас Крузес, штат Нью-Мексико, 41 градус северной широты). Протяженность с юга на север 280 км, с запада на восток 65 км. Это в основном пустынная равнина, расположенная на высоте 1200 км над уровнем моря между горами Сан-Андрес и Сакраменто с вершинами около 3000 км. Разница во времени с Гринвичем 7 часов (15046).</w:t>
      </w:r>
    </w:p>
    <w:p w14:paraId="107E59C3" w14:textId="77777777" w:rsidR="000F49EC" w:rsidRPr="00925F26" w:rsidRDefault="000F49EC" w:rsidP="00925F26">
      <w:pPr>
        <w:jc w:val="both"/>
        <w:rPr>
          <w:color w:val="000000" w:themeColor="text1"/>
          <w:sz w:val="16"/>
          <w:szCs w:val="16"/>
        </w:rPr>
      </w:pPr>
    </w:p>
    <w:p w14:paraId="5A464A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февраля 1945 в штате Теннеси открылся завод по производству урана-235 для первых американских атомных бомб (4962).</w:t>
      </w:r>
    </w:p>
    <w:p w14:paraId="559794D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3638ED" w14:textId="77777777" w:rsidR="000F49EC" w:rsidRPr="00925F26" w:rsidRDefault="000F49EC" w:rsidP="00925F26">
      <w:pPr>
        <w:jc w:val="both"/>
        <w:rPr>
          <w:color w:val="000000" w:themeColor="text1"/>
          <w:sz w:val="16"/>
          <w:szCs w:val="16"/>
        </w:rPr>
      </w:pPr>
      <w:r w:rsidRPr="00925F26">
        <w:rPr>
          <w:bCs/>
          <w:color w:val="000000" w:themeColor="text1"/>
          <w:sz w:val="16"/>
          <w:szCs w:val="16"/>
        </w:rPr>
        <w:lastRenderedPageBreak/>
        <w:t>20 февраля</w:t>
      </w:r>
      <w:r w:rsidRPr="00925F26">
        <w:rPr>
          <w:color w:val="000000" w:themeColor="text1"/>
          <w:sz w:val="16"/>
          <w:szCs w:val="16"/>
        </w:rPr>
        <w:t xml:space="preserve"> в 1945 году высадившиеся у берегов Бирмы на остров Рамри войска союзников окружили в ночь с 19 на 20 февраля от 800 до 1000 японских солдат, занявших оборону в мангровых зарослях. Когда рассвело, оказалось, что противник бесследно исчез. В плен попали только 20 человек — остальных заживо съели жившие в прибрежном болоте крокодилы (15046).</w:t>
      </w:r>
    </w:p>
    <w:p w14:paraId="4232ABBF" w14:textId="77777777" w:rsidR="000F49EC" w:rsidRPr="00925F26" w:rsidRDefault="000F49EC" w:rsidP="00925F26">
      <w:pPr>
        <w:jc w:val="both"/>
        <w:rPr>
          <w:color w:val="000000" w:themeColor="text1"/>
          <w:sz w:val="16"/>
          <w:szCs w:val="16"/>
        </w:rPr>
      </w:pPr>
    </w:p>
    <w:p w14:paraId="76D0A422" w14:textId="77777777" w:rsidR="00A9131A" w:rsidRPr="00925F26" w:rsidRDefault="00A9131A" w:rsidP="00925F26">
      <w:pPr>
        <w:jc w:val="both"/>
        <w:rPr>
          <w:color w:val="000000" w:themeColor="text1"/>
          <w:sz w:val="16"/>
          <w:szCs w:val="16"/>
        </w:rPr>
      </w:pPr>
      <w:r w:rsidRPr="00925F26">
        <w:rPr>
          <w:color w:val="000000" w:themeColor="text1"/>
          <w:sz w:val="16"/>
          <w:szCs w:val="16"/>
        </w:rPr>
        <w:t>20–21 февраля (ночь) 1945 13 налетов японской авиации на корабли Пятого флота США у Иводзимы (20371).</w:t>
      </w:r>
    </w:p>
    <w:p w14:paraId="3D35A68F" w14:textId="77777777" w:rsidR="00A9131A" w:rsidRPr="00925F26" w:rsidRDefault="00A9131A" w:rsidP="00925F26">
      <w:pPr>
        <w:jc w:val="both"/>
        <w:rPr>
          <w:color w:val="000000" w:themeColor="text1"/>
          <w:sz w:val="16"/>
          <w:szCs w:val="16"/>
        </w:rPr>
      </w:pPr>
    </w:p>
    <w:p w14:paraId="2CF39B7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89F552F" w14:textId="77777777" w:rsidR="00665165" w:rsidRPr="00925F26" w:rsidRDefault="00665165" w:rsidP="00925F26">
      <w:pPr>
        <w:autoSpaceDE w:val="0"/>
        <w:autoSpaceDN w:val="0"/>
        <w:adjustRightInd w:val="0"/>
        <w:jc w:val="both"/>
        <w:rPr>
          <w:iCs/>
          <w:color w:val="000000" w:themeColor="text1"/>
          <w:sz w:val="16"/>
          <w:szCs w:val="16"/>
        </w:rPr>
      </w:pPr>
    </w:p>
    <w:p w14:paraId="3393AD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 вышло Постановление ГОКО № 7560 26 февраля 1945 приказ НКАП № 76, в соответствии с которыми на авиазаводе № 1 строился учебно-тренировочный вариант штурмовика Ил-10 (7489).</w:t>
      </w:r>
    </w:p>
    <w:p w14:paraId="437BFD74" w14:textId="77777777" w:rsidR="00665165" w:rsidRPr="00925F26" w:rsidRDefault="00665165" w:rsidP="00925F26">
      <w:pPr>
        <w:autoSpaceDE w:val="0"/>
        <w:autoSpaceDN w:val="0"/>
        <w:adjustRightInd w:val="0"/>
        <w:jc w:val="both"/>
        <w:rPr>
          <w:color w:val="000000" w:themeColor="text1"/>
          <w:sz w:val="16"/>
          <w:szCs w:val="16"/>
        </w:rPr>
      </w:pPr>
    </w:p>
    <w:p w14:paraId="06B718EC"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21 февраля 1945 г. вышли постановление ГКО № 7560сс и 26 февраля приказ НКАП № 76сс о создании учебно-тренировочного варианта штурмовика Ил-10 - УИл-10 (17490).</w:t>
      </w:r>
    </w:p>
    <w:p w14:paraId="3943B7AD" w14:textId="77777777" w:rsidR="00911035" w:rsidRPr="00925F26" w:rsidRDefault="00911035" w:rsidP="00925F26">
      <w:pPr>
        <w:jc w:val="both"/>
        <w:rPr>
          <w:rStyle w:val="107"/>
          <w:rFonts w:eastAsiaTheme="minorHAnsi"/>
          <w:color w:val="000000" w:themeColor="text1"/>
          <w:sz w:val="16"/>
          <w:szCs w:val="16"/>
        </w:rPr>
      </w:pPr>
    </w:p>
    <w:p w14:paraId="75EA4C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февраля 1945 г. вышло Постановлением ГКО а 26 февраля 1945 приказ НКАП, в соответствии с которым был создан учебно-тренировочный вариант штурмовика Ил-10 - УИл-10. Техничес</w:t>
      </w:r>
      <w:r w:rsidRPr="00925F26">
        <w:rPr>
          <w:color w:val="000000" w:themeColor="text1"/>
          <w:sz w:val="16"/>
          <w:szCs w:val="16"/>
        </w:rPr>
        <w:softHyphen/>
        <w:t>кие требования к нему заместитель ко</w:t>
      </w:r>
      <w:r w:rsidRPr="00925F26">
        <w:rPr>
          <w:color w:val="000000" w:themeColor="text1"/>
          <w:sz w:val="16"/>
          <w:szCs w:val="16"/>
        </w:rPr>
        <w:softHyphen/>
        <w:t>мандующего ВВС маршал Ф.Я. Фалалеев утвердил 21 апреля. Опытного образца, по-видимому, не было. Сразу начали с небольшой серии, выпущенной на заводе №1. Кабину стрелка переоборудовали для размеще</w:t>
      </w:r>
      <w:r w:rsidRPr="00925F26">
        <w:rPr>
          <w:color w:val="000000" w:themeColor="text1"/>
          <w:sz w:val="16"/>
          <w:szCs w:val="16"/>
        </w:rPr>
        <w:softHyphen/>
        <w:t>ния летчика-инструктора; там смонтиро</w:t>
      </w:r>
      <w:r w:rsidRPr="00925F26">
        <w:rPr>
          <w:color w:val="000000" w:themeColor="text1"/>
          <w:sz w:val="16"/>
          <w:szCs w:val="16"/>
        </w:rPr>
        <w:softHyphen/>
        <w:t>вали второе управление самолетом, установили приборную доску с указате</w:t>
      </w:r>
      <w:r w:rsidRPr="00925F26">
        <w:rPr>
          <w:color w:val="000000" w:themeColor="text1"/>
          <w:sz w:val="16"/>
          <w:szCs w:val="16"/>
        </w:rPr>
        <w:softHyphen/>
        <w:t>лями скорости и поворота, авиагоризон</w:t>
      </w:r>
      <w:r w:rsidRPr="00925F26">
        <w:rPr>
          <w:color w:val="000000" w:themeColor="text1"/>
          <w:sz w:val="16"/>
          <w:szCs w:val="16"/>
        </w:rPr>
        <w:softHyphen/>
        <w:t>том, высотомером, компасом. Сняли броневую перегородку между местами пилота и стрелка. Из вооружения оста</w:t>
      </w:r>
      <w:r w:rsidRPr="00925F26">
        <w:rPr>
          <w:color w:val="000000" w:themeColor="text1"/>
          <w:sz w:val="16"/>
          <w:szCs w:val="16"/>
        </w:rPr>
        <w:softHyphen/>
        <w:t>вили пулеметы ШКАС, две балки РО, внутреннюю и наружную подвеску бомб. При этом был изменен механизм закры</w:t>
      </w:r>
      <w:r w:rsidRPr="00925F26">
        <w:rPr>
          <w:color w:val="000000" w:themeColor="text1"/>
          <w:sz w:val="16"/>
          <w:szCs w:val="16"/>
        </w:rPr>
        <w:softHyphen/>
        <w:t>вания бомболюков (10681).</w:t>
      </w:r>
    </w:p>
    <w:p w14:paraId="38879B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1F6FF5A" w14:textId="77777777" w:rsidR="00A9131A" w:rsidRPr="00925F26" w:rsidRDefault="00A9131A" w:rsidP="00925F26">
      <w:pPr>
        <w:jc w:val="both"/>
        <w:rPr>
          <w:color w:val="000000" w:themeColor="text1"/>
          <w:sz w:val="16"/>
          <w:szCs w:val="16"/>
        </w:rPr>
      </w:pPr>
      <w:r w:rsidRPr="00925F26">
        <w:rPr>
          <w:color w:val="000000" w:themeColor="text1"/>
          <w:sz w:val="16"/>
          <w:szCs w:val="16"/>
        </w:rPr>
        <w:t>21 февраля 1945 г.</w:t>
      </w:r>
    </w:p>
    <w:p w14:paraId="0BAF07B3" w14:textId="77777777" w:rsidR="00A9131A" w:rsidRPr="00925F26" w:rsidRDefault="00A9131A" w:rsidP="00925F26">
      <w:pPr>
        <w:jc w:val="both"/>
        <w:rPr>
          <w:color w:val="000000" w:themeColor="text1"/>
          <w:sz w:val="16"/>
          <w:szCs w:val="16"/>
        </w:rPr>
      </w:pPr>
      <w:r w:rsidRPr="00925F26">
        <w:rPr>
          <w:color w:val="000000" w:themeColor="text1"/>
          <w:sz w:val="16"/>
          <w:szCs w:val="16"/>
        </w:rPr>
        <w:t>Из приказа по 10-му Главному Управлению НКАП о работе завода № 18 за 1944 год - о выполнении плана по основной деятельности и капитальному строительству</w:t>
      </w:r>
    </w:p>
    <w:p w14:paraId="54C715FF" w14:textId="77777777" w:rsidR="00A9131A" w:rsidRPr="00925F26" w:rsidRDefault="00A9131A" w:rsidP="00925F26">
      <w:pPr>
        <w:jc w:val="both"/>
        <w:rPr>
          <w:color w:val="000000" w:themeColor="text1"/>
          <w:sz w:val="16"/>
          <w:szCs w:val="16"/>
        </w:rPr>
      </w:pPr>
      <w:r w:rsidRPr="00925F26">
        <w:rPr>
          <w:color w:val="000000" w:themeColor="text1"/>
          <w:sz w:val="16"/>
          <w:szCs w:val="16"/>
        </w:rPr>
        <w:t>21 февраля 1945 г.</w:t>
      </w:r>
    </w:p>
    <w:p w14:paraId="74A3CBC6" w14:textId="77777777" w:rsidR="00A9131A" w:rsidRPr="00925F26" w:rsidRDefault="00A9131A" w:rsidP="00925F26">
      <w:pPr>
        <w:jc w:val="both"/>
        <w:rPr>
          <w:color w:val="000000" w:themeColor="text1"/>
          <w:sz w:val="16"/>
          <w:szCs w:val="16"/>
        </w:rPr>
      </w:pPr>
      <w:r w:rsidRPr="00925F26">
        <w:rPr>
          <w:color w:val="000000" w:themeColor="text1"/>
          <w:sz w:val="16"/>
          <w:szCs w:val="16"/>
        </w:rPr>
        <w:t>Рассмотрев представленный заводом № 18 годовой отчет о производственной и финансово-хозяйственной деятельности за 1944 год,</w:t>
      </w:r>
    </w:p>
    <w:p w14:paraId="4ACD5999" w14:textId="77777777" w:rsidR="00A9131A" w:rsidRPr="00925F26" w:rsidRDefault="00A9131A" w:rsidP="00925F26">
      <w:pPr>
        <w:jc w:val="both"/>
        <w:rPr>
          <w:color w:val="000000" w:themeColor="text1"/>
          <w:sz w:val="16"/>
          <w:szCs w:val="16"/>
        </w:rPr>
      </w:pPr>
      <w:r w:rsidRPr="00925F26">
        <w:rPr>
          <w:color w:val="000000" w:themeColor="text1"/>
          <w:sz w:val="16"/>
          <w:szCs w:val="16"/>
        </w:rPr>
        <w:t>ОТМЕЧАЮ:</w:t>
      </w:r>
    </w:p>
    <w:p w14:paraId="42F3275C" w14:textId="77777777" w:rsidR="00A9131A" w:rsidRPr="00925F26" w:rsidRDefault="00A9131A" w:rsidP="00925F26">
      <w:pPr>
        <w:jc w:val="both"/>
        <w:rPr>
          <w:color w:val="000000" w:themeColor="text1"/>
          <w:sz w:val="16"/>
          <w:szCs w:val="16"/>
        </w:rPr>
      </w:pPr>
      <w:r w:rsidRPr="00925F26">
        <w:rPr>
          <w:color w:val="000000" w:themeColor="text1"/>
          <w:sz w:val="16"/>
          <w:szCs w:val="16"/>
        </w:rPr>
        <w:t>Установленный план на 1944 год заводом выполнен:</w:t>
      </w:r>
    </w:p>
    <w:p w14:paraId="0539DA07" w14:textId="77777777" w:rsidR="00A9131A" w:rsidRPr="00925F26" w:rsidRDefault="00A9131A" w:rsidP="00925F26">
      <w:pPr>
        <w:jc w:val="both"/>
        <w:rPr>
          <w:color w:val="000000" w:themeColor="text1"/>
          <w:sz w:val="16"/>
          <w:szCs w:val="16"/>
        </w:rPr>
      </w:pPr>
      <w:r w:rsidRPr="00925F26">
        <w:rPr>
          <w:color w:val="000000" w:themeColor="text1"/>
          <w:sz w:val="16"/>
          <w:szCs w:val="16"/>
        </w:rPr>
        <w:t>по основной деятельности:</w:t>
      </w:r>
    </w:p>
    <w:p w14:paraId="176DFDB6" w14:textId="77777777" w:rsidR="00A9131A" w:rsidRPr="00925F26" w:rsidRDefault="00A9131A" w:rsidP="00925F26">
      <w:pPr>
        <w:jc w:val="both"/>
        <w:rPr>
          <w:color w:val="000000" w:themeColor="text1"/>
          <w:sz w:val="16"/>
          <w:szCs w:val="16"/>
        </w:rPr>
      </w:pPr>
      <w:r w:rsidRPr="00925F26">
        <w:rPr>
          <w:color w:val="000000" w:themeColor="text1"/>
          <w:sz w:val="16"/>
          <w:szCs w:val="16"/>
        </w:rPr>
        <w:t>а) по товарной продукции................. на 100,6%</w:t>
      </w:r>
    </w:p>
    <w:p w14:paraId="71AAE750" w14:textId="77777777" w:rsidR="00A9131A" w:rsidRPr="00925F26" w:rsidRDefault="00A9131A" w:rsidP="00925F26">
      <w:pPr>
        <w:jc w:val="both"/>
        <w:rPr>
          <w:color w:val="000000" w:themeColor="text1"/>
          <w:sz w:val="16"/>
          <w:szCs w:val="16"/>
        </w:rPr>
      </w:pPr>
      <w:r w:rsidRPr="00925F26">
        <w:rPr>
          <w:color w:val="000000" w:themeColor="text1"/>
          <w:sz w:val="16"/>
          <w:szCs w:val="16"/>
        </w:rPr>
        <w:t xml:space="preserve">б) по валовой продукции................... </w:t>
      </w:r>
      <w:proofErr w:type="gramStart"/>
      <w:r w:rsidRPr="00925F26">
        <w:rPr>
          <w:color w:val="000000" w:themeColor="text1"/>
          <w:sz w:val="16"/>
          <w:szCs w:val="16"/>
        </w:rPr>
        <w:t>« 97</w:t>
      </w:r>
      <w:proofErr w:type="gramEnd"/>
      <w:r w:rsidRPr="00925F26">
        <w:rPr>
          <w:color w:val="000000" w:themeColor="text1"/>
          <w:sz w:val="16"/>
          <w:szCs w:val="16"/>
        </w:rPr>
        <w:t>,6%</w:t>
      </w:r>
    </w:p>
    <w:p w14:paraId="4478CABE" w14:textId="77777777" w:rsidR="00A9131A" w:rsidRPr="00925F26" w:rsidRDefault="00A9131A" w:rsidP="00925F26">
      <w:pPr>
        <w:jc w:val="both"/>
        <w:rPr>
          <w:color w:val="000000" w:themeColor="text1"/>
          <w:sz w:val="16"/>
          <w:szCs w:val="16"/>
        </w:rPr>
      </w:pPr>
      <w:r w:rsidRPr="00925F26">
        <w:rPr>
          <w:color w:val="000000" w:themeColor="text1"/>
          <w:sz w:val="16"/>
          <w:szCs w:val="16"/>
        </w:rPr>
        <w:t xml:space="preserve">в) по выработке на 1 рабочего............. </w:t>
      </w:r>
      <w:proofErr w:type="gramStart"/>
      <w:r w:rsidRPr="00925F26">
        <w:rPr>
          <w:color w:val="000000" w:themeColor="text1"/>
          <w:sz w:val="16"/>
          <w:szCs w:val="16"/>
        </w:rPr>
        <w:t>« 104</w:t>
      </w:r>
      <w:proofErr w:type="gramEnd"/>
      <w:r w:rsidRPr="00925F26">
        <w:rPr>
          <w:color w:val="000000" w:themeColor="text1"/>
          <w:sz w:val="16"/>
          <w:szCs w:val="16"/>
        </w:rPr>
        <w:t>,5%</w:t>
      </w:r>
    </w:p>
    <w:p w14:paraId="6906BD67" w14:textId="77777777" w:rsidR="00A9131A" w:rsidRPr="00925F26" w:rsidRDefault="00A9131A" w:rsidP="00925F26">
      <w:pPr>
        <w:jc w:val="both"/>
        <w:rPr>
          <w:color w:val="000000" w:themeColor="text1"/>
          <w:sz w:val="16"/>
          <w:szCs w:val="16"/>
        </w:rPr>
      </w:pPr>
      <w:r w:rsidRPr="00925F26">
        <w:rPr>
          <w:color w:val="000000" w:themeColor="text1"/>
          <w:sz w:val="16"/>
          <w:szCs w:val="16"/>
        </w:rPr>
        <w:t>г) себестоимость товарной продукции к плану «</w:t>
      </w:r>
      <w:r w:rsidRPr="00925F26">
        <w:rPr>
          <w:color w:val="000000" w:themeColor="text1"/>
          <w:sz w:val="16"/>
          <w:szCs w:val="16"/>
        </w:rPr>
        <w:tab/>
        <w:t>97,9%</w:t>
      </w:r>
    </w:p>
    <w:p w14:paraId="429D0537" w14:textId="77777777" w:rsidR="00A9131A" w:rsidRPr="00925F26" w:rsidRDefault="00A9131A" w:rsidP="00925F26">
      <w:pPr>
        <w:jc w:val="both"/>
        <w:rPr>
          <w:color w:val="000000" w:themeColor="text1"/>
          <w:sz w:val="16"/>
          <w:szCs w:val="16"/>
        </w:rPr>
      </w:pPr>
      <w:r w:rsidRPr="00925F26">
        <w:rPr>
          <w:color w:val="000000" w:themeColor="text1"/>
          <w:sz w:val="16"/>
          <w:szCs w:val="16"/>
        </w:rPr>
        <w:t>д) перевыполнение плана накоплений....... «</w:t>
      </w:r>
      <w:r w:rsidRPr="00925F26">
        <w:rPr>
          <w:color w:val="000000" w:themeColor="text1"/>
          <w:sz w:val="16"/>
          <w:szCs w:val="16"/>
        </w:rPr>
        <w:tab/>
        <w:t>10,4 млн. руб.</w:t>
      </w:r>
    </w:p>
    <w:p w14:paraId="1CDDDEEE" w14:textId="77777777" w:rsidR="00A9131A" w:rsidRPr="00925F26" w:rsidRDefault="00A9131A" w:rsidP="00925F26">
      <w:pPr>
        <w:jc w:val="both"/>
        <w:rPr>
          <w:color w:val="000000" w:themeColor="text1"/>
          <w:sz w:val="16"/>
          <w:szCs w:val="16"/>
        </w:rPr>
      </w:pPr>
      <w:r w:rsidRPr="00925F26">
        <w:rPr>
          <w:color w:val="000000" w:themeColor="text1"/>
          <w:sz w:val="16"/>
          <w:szCs w:val="16"/>
        </w:rPr>
        <w:t>по капитальному строительству:</w:t>
      </w:r>
    </w:p>
    <w:p w14:paraId="06BE2309" w14:textId="77777777" w:rsidR="00A9131A" w:rsidRPr="00925F26" w:rsidRDefault="00A9131A" w:rsidP="00925F26">
      <w:pPr>
        <w:jc w:val="both"/>
        <w:rPr>
          <w:color w:val="000000" w:themeColor="text1"/>
          <w:sz w:val="16"/>
          <w:szCs w:val="16"/>
        </w:rPr>
      </w:pPr>
      <w:r w:rsidRPr="00925F26">
        <w:rPr>
          <w:color w:val="000000" w:themeColor="text1"/>
          <w:sz w:val="16"/>
          <w:szCs w:val="16"/>
        </w:rPr>
        <w:t xml:space="preserve">а) по капитальному строительству......... </w:t>
      </w:r>
      <w:proofErr w:type="gramStart"/>
      <w:r w:rsidRPr="00925F26">
        <w:rPr>
          <w:color w:val="000000" w:themeColor="text1"/>
          <w:sz w:val="16"/>
          <w:szCs w:val="16"/>
        </w:rPr>
        <w:t>« 154</w:t>
      </w:r>
      <w:proofErr w:type="gramEnd"/>
      <w:r w:rsidRPr="00925F26">
        <w:rPr>
          <w:color w:val="000000" w:themeColor="text1"/>
          <w:sz w:val="16"/>
          <w:szCs w:val="16"/>
        </w:rPr>
        <w:t>,2%</w:t>
      </w:r>
    </w:p>
    <w:p w14:paraId="4752CA30" w14:textId="77777777" w:rsidR="00A9131A" w:rsidRPr="00925F26" w:rsidRDefault="00A9131A" w:rsidP="00925F26">
      <w:pPr>
        <w:jc w:val="both"/>
        <w:rPr>
          <w:color w:val="000000" w:themeColor="text1"/>
          <w:sz w:val="16"/>
          <w:szCs w:val="16"/>
        </w:rPr>
      </w:pPr>
      <w:r w:rsidRPr="00925F26">
        <w:rPr>
          <w:color w:val="000000" w:themeColor="text1"/>
          <w:sz w:val="16"/>
          <w:szCs w:val="16"/>
        </w:rPr>
        <w:t xml:space="preserve">б) по вводу в эксплуатацию............... </w:t>
      </w:r>
      <w:proofErr w:type="gramStart"/>
      <w:r w:rsidRPr="00925F26">
        <w:rPr>
          <w:color w:val="000000" w:themeColor="text1"/>
          <w:sz w:val="16"/>
          <w:szCs w:val="16"/>
        </w:rPr>
        <w:t>« 144</w:t>
      </w:r>
      <w:proofErr w:type="gramEnd"/>
      <w:r w:rsidRPr="00925F26">
        <w:rPr>
          <w:color w:val="000000" w:themeColor="text1"/>
          <w:sz w:val="16"/>
          <w:szCs w:val="16"/>
        </w:rPr>
        <w:t>%</w:t>
      </w:r>
    </w:p>
    <w:p w14:paraId="4E237CF0" w14:textId="77777777" w:rsidR="00A9131A" w:rsidRPr="00925F26" w:rsidRDefault="00A9131A" w:rsidP="00925F26">
      <w:pPr>
        <w:jc w:val="both"/>
        <w:rPr>
          <w:color w:val="000000" w:themeColor="text1"/>
          <w:sz w:val="16"/>
          <w:szCs w:val="16"/>
        </w:rPr>
      </w:pPr>
      <w:r w:rsidRPr="00925F26">
        <w:rPr>
          <w:color w:val="000000" w:themeColor="text1"/>
          <w:sz w:val="16"/>
          <w:szCs w:val="16"/>
        </w:rPr>
        <w:t>В первом полугодии 1944 года завод провел большую модификацию самолета Ил-2, внедрив в производство стрельчатое крыло. Во втором полугодии завод в короткие сроки решил задачу подготовки и внедрения в производство нового самолета Ил-10, причем подготовка производства была произведена на высоком техническом уровне.</w:t>
      </w:r>
    </w:p>
    <w:p w14:paraId="427CD370" w14:textId="77777777" w:rsidR="00A9131A" w:rsidRPr="00925F26" w:rsidRDefault="00A9131A" w:rsidP="00925F26">
      <w:pPr>
        <w:jc w:val="both"/>
        <w:rPr>
          <w:color w:val="000000" w:themeColor="text1"/>
          <w:sz w:val="16"/>
          <w:szCs w:val="16"/>
        </w:rPr>
      </w:pPr>
      <w:r w:rsidRPr="00925F26">
        <w:rPr>
          <w:color w:val="000000" w:themeColor="text1"/>
          <w:sz w:val="16"/>
          <w:szCs w:val="16"/>
        </w:rPr>
        <w:t>Наряду с борьбой за качество производственного выполнения и за повышение летных данных серийных самолетов, завод следил за состоянием технико-экономических показателей и поддерживал их в продолжение всего года на удовлетворительном уровне.</w:t>
      </w:r>
    </w:p>
    <w:p w14:paraId="49C837C5" w14:textId="77777777" w:rsidR="00A9131A" w:rsidRPr="00925F26" w:rsidRDefault="00A9131A" w:rsidP="00925F26">
      <w:pPr>
        <w:jc w:val="both"/>
        <w:rPr>
          <w:color w:val="000000" w:themeColor="text1"/>
          <w:sz w:val="16"/>
          <w:szCs w:val="16"/>
        </w:rPr>
      </w:pPr>
      <w:r w:rsidRPr="00925F26">
        <w:rPr>
          <w:color w:val="000000" w:themeColor="text1"/>
          <w:sz w:val="16"/>
          <w:szCs w:val="16"/>
        </w:rPr>
        <w:t>Считаю деятельность завода № 18 по основному производству и капитальному строительству ХОРОШЕЙ...</w:t>
      </w:r>
    </w:p>
    <w:p w14:paraId="2110505E" w14:textId="77777777" w:rsidR="00A9131A" w:rsidRPr="00925F26" w:rsidRDefault="00A9131A" w:rsidP="00925F26">
      <w:pPr>
        <w:jc w:val="both"/>
        <w:rPr>
          <w:color w:val="000000" w:themeColor="text1"/>
          <w:sz w:val="16"/>
          <w:szCs w:val="16"/>
        </w:rPr>
      </w:pPr>
      <w:r w:rsidRPr="00925F26">
        <w:rPr>
          <w:color w:val="000000" w:themeColor="text1"/>
          <w:sz w:val="16"/>
          <w:szCs w:val="16"/>
        </w:rPr>
        <w:t>Начальник 10 Главного Управления заместитель Народного Комиссара авиационной промышленности</w:t>
      </w:r>
      <w:r w:rsidRPr="00925F26">
        <w:rPr>
          <w:color w:val="000000" w:themeColor="text1"/>
          <w:sz w:val="16"/>
          <w:szCs w:val="16"/>
        </w:rPr>
        <w:tab/>
        <w:t>А. Кузнецов</w:t>
      </w:r>
    </w:p>
    <w:p w14:paraId="09E7EAC9" w14:textId="77777777" w:rsidR="00A9131A" w:rsidRPr="00925F26" w:rsidRDefault="00A9131A"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P-3454. On. 2. </w:t>
      </w:r>
      <w:r w:rsidRPr="00925F26">
        <w:rPr>
          <w:color w:val="000000" w:themeColor="text1"/>
          <w:sz w:val="16"/>
          <w:szCs w:val="16"/>
        </w:rPr>
        <w:t>Д</w:t>
      </w:r>
      <w:r w:rsidRPr="00925F26">
        <w:rPr>
          <w:color w:val="000000" w:themeColor="text1"/>
          <w:sz w:val="16"/>
          <w:szCs w:val="16"/>
          <w:lang w:val="en-US"/>
        </w:rPr>
        <w:t xml:space="preserve">. 39. </w:t>
      </w:r>
      <w:r w:rsidRPr="00925F26">
        <w:rPr>
          <w:color w:val="000000" w:themeColor="text1"/>
          <w:sz w:val="16"/>
          <w:szCs w:val="16"/>
        </w:rPr>
        <w:t>Л</w:t>
      </w:r>
      <w:r w:rsidRPr="00925F26">
        <w:rPr>
          <w:color w:val="000000" w:themeColor="text1"/>
          <w:sz w:val="16"/>
          <w:szCs w:val="16"/>
          <w:lang w:val="en-US"/>
        </w:rPr>
        <w:t xml:space="preserve">. 52. </w:t>
      </w:r>
      <w:r w:rsidRPr="00925F26">
        <w:rPr>
          <w:color w:val="000000" w:themeColor="text1"/>
          <w:sz w:val="16"/>
          <w:szCs w:val="16"/>
        </w:rPr>
        <w:t>Завер. Копия (20528).</w:t>
      </w:r>
    </w:p>
    <w:p w14:paraId="2126E32F" w14:textId="77777777" w:rsidR="00A9131A" w:rsidRPr="00925F26" w:rsidRDefault="00A9131A" w:rsidP="00925F26">
      <w:pPr>
        <w:jc w:val="both"/>
        <w:rPr>
          <w:color w:val="000000" w:themeColor="text1"/>
          <w:sz w:val="16"/>
          <w:szCs w:val="16"/>
        </w:rPr>
      </w:pPr>
    </w:p>
    <w:p w14:paraId="0371DB08" w14:textId="77777777" w:rsidR="00BB21BC" w:rsidRPr="00925F26" w:rsidRDefault="00BB21BC" w:rsidP="00925F26">
      <w:pPr>
        <w:jc w:val="both"/>
        <w:rPr>
          <w:color w:val="000000" w:themeColor="text1"/>
          <w:sz w:val="16"/>
          <w:szCs w:val="16"/>
        </w:rPr>
      </w:pPr>
      <w:r w:rsidRPr="00925F26">
        <w:rPr>
          <w:color w:val="000000" w:themeColor="text1"/>
          <w:sz w:val="16"/>
          <w:szCs w:val="16"/>
        </w:rPr>
        <w:t>21 февраля 1945 г. Из приказа по 10-му Главному Управлению НКАП о работе завода № 18 за 1944 год - о выполнении плана по основной деятельности и капитальному строительству</w:t>
      </w:r>
    </w:p>
    <w:p w14:paraId="41EC6D84" w14:textId="77777777" w:rsidR="00BB21BC" w:rsidRPr="00925F26" w:rsidRDefault="00BB21BC" w:rsidP="00925F26">
      <w:pPr>
        <w:jc w:val="both"/>
        <w:rPr>
          <w:color w:val="000000" w:themeColor="text1"/>
          <w:sz w:val="16"/>
          <w:szCs w:val="16"/>
        </w:rPr>
      </w:pPr>
      <w:r w:rsidRPr="00925F26">
        <w:rPr>
          <w:color w:val="000000" w:themeColor="text1"/>
          <w:sz w:val="16"/>
          <w:szCs w:val="16"/>
        </w:rPr>
        <w:t>Рассмотрев представленный заводом № 18 годовой отчет о производственной и финансово-хозяйственной деятельности за 1944 год, ОТМЕЧАЮ:</w:t>
      </w:r>
    </w:p>
    <w:p w14:paraId="26322FDB" w14:textId="77777777" w:rsidR="00BB21BC" w:rsidRPr="00925F26" w:rsidRDefault="00BB21BC" w:rsidP="00925F26">
      <w:pPr>
        <w:jc w:val="both"/>
        <w:rPr>
          <w:color w:val="000000" w:themeColor="text1"/>
          <w:sz w:val="16"/>
          <w:szCs w:val="16"/>
        </w:rPr>
      </w:pPr>
      <w:r w:rsidRPr="00925F26">
        <w:rPr>
          <w:color w:val="000000" w:themeColor="text1"/>
          <w:sz w:val="16"/>
          <w:szCs w:val="16"/>
        </w:rPr>
        <w:t>Установленный план на 1944 год заводом выполнен:</w:t>
      </w:r>
    </w:p>
    <w:p w14:paraId="6E62A24C" w14:textId="77777777" w:rsidR="00BB21BC" w:rsidRPr="00925F26" w:rsidRDefault="00BB21BC" w:rsidP="00925F26">
      <w:pPr>
        <w:jc w:val="both"/>
        <w:rPr>
          <w:color w:val="000000" w:themeColor="text1"/>
          <w:sz w:val="16"/>
          <w:szCs w:val="16"/>
        </w:rPr>
      </w:pPr>
      <w:r w:rsidRPr="00925F26">
        <w:rPr>
          <w:color w:val="000000" w:themeColor="text1"/>
          <w:sz w:val="16"/>
          <w:szCs w:val="16"/>
        </w:rPr>
        <w:t>по основной деятельности:</w:t>
      </w:r>
    </w:p>
    <w:p w14:paraId="58F93139" w14:textId="77777777" w:rsidR="00BB21BC" w:rsidRPr="00925F26" w:rsidRDefault="00BB21BC" w:rsidP="00925F26">
      <w:pPr>
        <w:jc w:val="both"/>
        <w:rPr>
          <w:color w:val="000000" w:themeColor="text1"/>
          <w:sz w:val="16"/>
          <w:szCs w:val="16"/>
        </w:rPr>
      </w:pPr>
      <w:r w:rsidRPr="00925F26">
        <w:rPr>
          <w:color w:val="000000" w:themeColor="text1"/>
          <w:sz w:val="16"/>
          <w:szCs w:val="16"/>
        </w:rPr>
        <w:t>а)</w:t>
      </w:r>
      <w:r w:rsidRPr="00925F26">
        <w:rPr>
          <w:color w:val="000000" w:themeColor="text1"/>
          <w:sz w:val="16"/>
          <w:szCs w:val="16"/>
        </w:rPr>
        <w:tab/>
        <w:t>по товарной продукции................. на 100,6%</w:t>
      </w:r>
    </w:p>
    <w:p w14:paraId="6AE23C09"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б) по валовой продукции................... </w:t>
      </w:r>
      <w:proofErr w:type="gramStart"/>
      <w:r w:rsidRPr="00925F26">
        <w:rPr>
          <w:color w:val="000000" w:themeColor="text1"/>
          <w:sz w:val="16"/>
          <w:szCs w:val="16"/>
        </w:rPr>
        <w:t>« 97</w:t>
      </w:r>
      <w:proofErr w:type="gramEnd"/>
      <w:r w:rsidRPr="00925F26">
        <w:rPr>
          <w:color w:val="000000" w:themeColor="text1"/>
          <w:sz w:val="16"/>
          <w:szCs w:val="16"/>
        </w:rPr>
        <w:t>,6%</w:t>
      </w:r>
    </w:p>
    <w:p w14:paraId="0426076E"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в) по выработке на 1 рабочего............. </w:t>
      </w:r>
      <w:proofErr w:type="gramStart"/>
      <w:r w:rsidRPr="00925F26">
        <w:rPr>
          <w:color w:val="000000" w:themeColor="text1"/>
          <w:sz w:val="16"/>
          <w:szCs w:val="16"/>
        </w:rPr>
        <w:t>« 104</w:t>
      </w:r>
      <w:proofErr w:type="gramEnd"/>
      <w:r w:rsidRPr="00925F26">
        <w:rPr>
          <w:color w:val="000000" w:themeColor="text1"/>
          <w:sz w:val="16"/>
          <w:szCs w:val="16"/>
        </w:rPr>
        <w:t>,5%</w:t>
      </w:r>
    </w:p>
    <w:p w14:paraId="41F7B8A3" w14:textId="77777777" w:rsidR="00BB21BC" w:rsidRPr="00925F26" w:rsidRDefault="00BB21BC" w:rsidP="00925F26">
      <w:pPr>
        <w:jc w:val="both"/>
        <w:rPr>
          <w:color w:val="000000" w:themeColor="text1"/>
          <w:sz w:val="16"/>
          <w:szCs w:val="16"/>
        </w:rPr>
      </w:pPr>
      <w:r w:rsidRPr="00925F26">
        <w:rPr>
          <w:color w:val="000000" w:themeColor="text1"/>
          <w:sz w:val="16"/>
          <w:szCs w:val="16"/>
        </w:rPr>
        <w:t>г)</w:t>
      </w:r>
      <w:r w:rsidRPr="00925F26">
        <w:rPr>
          <w:color w:val="000000" w:themeColor="text1"/>
          <w:sz w:val="16"/>
          <w:szCs w:val="16"/>
        </w:rPr>
        <w:tab/>
        <w:t>себестоимость товарной продукции к плану «</w:t>
      </w:r>
      <w:r w:rsidRPr="00925F26">
        <w:rPr>
          <w:color w:val="000000" w:themeColor="text1"/>
          <w:sz w:val="16"/>
          <w:szCs w:val="16"/>
        </w:rPr>
        <w:tab/>
        <w:t>97,9%</w:t>
      </w:r>
    </w:p>
    <w:p w14:paraId="57732F76" w14:textId="77777777" w:rsidR="00BB21BC" w:rsidRPr="00925F26" w:rsidRDefault="00BB21BC" w:rsidP="00925F26">
      <w:pPr>
        <w:jc w:val="both"/>
        <w:rPr>
          <w:color w:val="000000" w:themeColor="text1"/>
          <w:sz w:val="16"/>
          <w:szCs w:val="16"/>
        </w:rPr>
      </w:pPr>
      <w:r w:rsidRPr="00925F26">
        <w:rPr>
          <w:color w:val="000000" w:themeColor="text1"/>
          <w:sz w:val="16"/>
          <w:szCs w:val="16"/>
        </w:rPr>
        <w:t>д)</w:t>
      </w:r>
      <w:r w:rsidRPr="00925F26">
        <w:rPr>
          <w:color w:val="000000" w:themeColor="text1"/>
          <w:sz w:val="16"/>
          <w:szCs w:val="16"/>
        </w:rPr>
        <w:tab/>
        <w:t>перевыполнение плана накоплений....... «</w:t>
      </w:r>
      <w:r w:rsidRPr="00925F26">
        <w:rPr>
          <w:color w:val="000000" w:themeColor="text1"/>
          <w:sz w:val="16"/>
          <w:szCs w:val="16"/>
        </w:rPr>
        <w:tab/>
        <w:t>10,4 млн. руб.</w:t>
      </w:r>
    </w:p>
    <w:p w14:paraId="78F0B16F" w14:textId="77777777" w:rsidR="00BB21BC" w:rsidRPr="00925F26" w:rsidRDefault="00BB21BC" w:rsidP="00925F26">
      <w:pPr>
        <w:jc w:val="both"/>
        <w:rPr>
          <w:color w:val="000000" w:themeColor="text1"/>
          <w:sz w:val="16"/>
          <w:szCs w:val="16"/>
        </w:rPr>
      </w:pPr>
      <w:r w:rsidRPr="00925F26">
        <w:rPr>
          <w:color w:val="000000" w:themeColor="text1"/>
          <w:sz w:val="16"/>
          <w:szCs w:val="16"/>
        </w:rPr>
        <w:t>по капитальному строительству:</w:t>
      </w:r>
    </w:p>
    <w:p w14:paraId="44D3DAEC"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а) по капитальному строительству......... </w:t>
      </w:r>
      <w:proofErr w:type="gramStart"/>
      <w:r w:rsidRPr="00925F26">
        <w:rPr>
          <w:color w:val="000000" w:themeColor="text1"/>
          <w:sz w:val="16"/>
          <w:szCs w:val="16"/>
        </w:rPr>
        <w:t>« 154</w:t>
      </w:r>
      <w:proofErr w:type="gramEnd"/>
      <w:r w:rsidRPr="00925F26">
        <w:rPr>
          <w:color w:val="000000" w:themeColor="text1"/>
          <w:sz w:val="16"/>
          <w:szCs w:val="16"/>
        </w:rPr>
        <w:t>,2%</w:t>
      </w:r>
    </w:p>
    <w:p w14:paraId="0E826348" w14:textId="77777777" w:rsidR="00BB21BC" w:rsidRPr="00925F26" w:rsidRDefault="00BB21BC" w:rsidP="00925F26">
      <w:pPr>
        <w:jc w:val="both"/>
        <w:rPr>
          <w:color w:val="000000" w:themeColor="text1"/>
          <w:sz w:val="16"/>
          <w:szCs w:val="16"/>
        </w:rPr>
      </w:pPr>
      <w:r w:rsidRPr="00925F26">
        <w:rPr>
          <w:color w:val="000000" w:themeColor="text1"/>
          <w:sz w:val="16"/>
          <w:szCs w:val="16"/>
        </w:rPr>
        <w:t xml:space="preserve">б) по вводу в эксплуатацию............... </w:t>
      </w:r>
      <w:proofErr w:type="gramStart"/>
      <w:r w:rsidRPr="00925F26">
        <w:rPr>
          <w:color w:val="000000" w:themeColor="text1"/>
          <w:sz w:val="16"/>
          <w:szCs w:val="16"/>
        </w:rPr>
        <w:t>« 144</w:t>
      </w:r>
      <w:proofErr w:type="gramEnd"/>
      <w:r w:rsidRPr="00925F26">
        <w:rPr>
          <w:color w:val="000000" w:themeColor="text1"/>
          <w:sz w:val="16"/>
          <w:szCs w:val="16"/>
        </w:rPr>
        <w:t>%</w:t>
      </w:r>
    </w:p>
    <w:p w14:paraId="3B2788F0" w14:textId="77777777" w:rsidR="00BB21BC" w:rsidRPr="00925F26" w:rsidRDefault="00BB21BC" w:rsidP="00925F26">
      <w:pPr>
        <w:jc w:val="both"/>
        <w:rPr>
          <w:color w:val="000000" w:themeColor="text1"/>
          <w:sz w:val="16"/>
          <w:szCs w:val="16"/>
        </w:rPr>
      </w:pPr>
      <w:r w:rsidRPr="00925F26">
        <w:rPr>
          <w:color w:val="000000" w:themeColor="text1"/>
          <w:sz w:val="16"/>
          <w:szCs w:val="16"/>
        </w:rPr>
        <w:t>В первом полугодии 1944 года завод провел большую модификацию самолета Ил-2, внедрив в производство стрельчатое крыло. Во втором полугодии завод в короткие сроки решил задачу подготовки и внедрения в производство нового самолета Ил-10, причем подготовка производства была произведена на высоком техническом уровне.</w:t>
      </w:r>
    </w:p>
    <w:p w14:paraId="76BD3979" w14:textId="77777777" w:rsidR="00BB21BC" w:rsidRPr="00925F26" w:rsidRDefault="00BB21BC" w:rsidP="00925F26">
      <w:pPr>
        <w:jc w:val="both"/>
        <w:rPr>
          <w:color w:val="000000" w:themeColor="text1"/>
          <w:sz w:val="16"/>
          <w:szCs w:val="16"/>
        </w:rPr>
      </w:pPr>
      <w:r w:rsidRPr="00925F26">
        <w:rPr>
          <w:color w:val="000000" w:themeColor="text1"/>
          <w:sz w:val="16"/>
          <w:szCs w:val="16"/>
        </w:rPr>
        <w:t>Наряду с борьбой за качество производственного выполнения и за повышение летных данных серийных самолетов, завод следил за состоянием технико-экономических показателей и поддерживал их</w:t>
      </w:r>
    </w:p>
    <w:p w14:paraId="5452D270" w14:textId="77777777" w:rsidR="00BB21BC" w:rsidRPr="00925F26" w:rsidRDefault="00BB21BC" w:rsidP="00925F26">
      <w:pPr>
        <w:jc w:val="both"/>
        <w:rPr>
          <w:color w:val="000000" w:themeColor="text1"/>
          <w:sz w:val="16"/>
          <w:szCs w:val="16"/>
        </w:rPr>
      </w:pPr>
      <w:r w:rsidRPr="00925F26">
        <w:rPr>
          <w:color w:val="000000" w:themeColor="text1"/>
          <w:sz w:val="16"/>
          <w:szCs w:val="16"/>
        </w:rPr>
        <w:t>в продолжение всего года на удовлетворительном уровне.</w:t>
      </w:r>
    </w:p>
    <w:p w14:paraId="085FF9B8" w14:textId="77777777" w:rsidR="00BB21BC" w:rsidRPr="00925F26" w:rsidRDefault="00BB21BC" w:rsidP="00925F26">
      <w:pPr>
        <w:jc w:val="both"/>
        <w:rPr>
          <w:color w:val="000000" w:themeColor="text1"/>
          <w:sz w:val="16"/>
          <w:szCs w:val="16"/>
        </w:rPr>
      </w:pPr>
      <w:r w:rsidRPr="00925F26">
        <w:rPr>
          <w:color w:val="000000" w:themeColor="text1"/>
          <w:sz w:val="16"/>
          <w:szCs w:val="16"/>
        </w:rPr>
        <w:t>Считаю деятельность завода № 18 по основному производству и капитальному строительству ХОРОШЕЙ...</w:t>
      </w:r>
    </w:p>
    <w:p w14:paraId="64FBB1F4" w14:textId="77777777" w:rsidR="00BB21BC" w:rsidRPr="00925F26" w:rsidRDefault="00BB21BC" w:rsidP="00925F26">
      <w:pPr>
        <w:jc w:val="both"/>
        <w:rPr>
          <w:color w:val="000000" w:themeColor="text1"/>
          <w:sz w:val="16"/>
          <w:szCs w:val="16"/>
        </w:rPr>
      </w:pPr>
      <w:r w:rsidRPr="00925F26">
        <w:rPr>
          <w:color w:val="000000" w:themeColor="text1"/>
          <w:sz w:val="16"/>
          <w:szCs w:val="16"/>
        </w:rPr>
        <w:t>Начальник 10 Главного Управления заместитель Народного Комиссара</w:t>
      </w:r>
    </w:p>
    <w:p w14:paraId="26E6BAA1" w14:textId="77777777" w:rsidR="00BB21BC" w:rsidRPr="00925F26" w:rsidRDefault="00BB21BC" w:rsidP="00925F26">
      <w:pPr>
        <w:jc w:val="both"/>
        <w:rPr>
          <w:color w:val="000000" w:themeColor="text1"/>
          <w:sz w:val="16"/>
          <w:szCs w:val="16"/>
        </w:rPr>
      </w:pPr>
      <w:r w:rsidRPr="00925F26">
        <w:rPr>
          <w:color w:val="000000" w:themeColor="text1"/>
          <w:sz w:val="16"/>
          <w:szCs w:val="16"/>
        </w:rPr>
        <w:t>авиационной промышленности</w:t>
      </w:r>
      <w:r w:rsidRPr="00925F26">
        <w:rPr>
          <w:color w:val="000000" w:themeColor="text1"/>
          <w:sz w:val="16"/>
          <w:szCs w:val="16"/>
        </w:rPr>
        <w:tab/>
        <w:t>А. Кузнецов</w:t>
      </w:r>
    </w:p>
    <w:p w14:paraId="7C9275EC" w14:textId="77777777" w:rsidR="00BB21BC" w:rsidRPr="00925F26" w:rsidRDefault="00BB21BC" w:rsidP="00925F26">
      <w:pPr>
        <w:jc w:val="both"/>
        <w:rPr>
          <w:color w:val="000000" w:themeColor="text1"/>
          <w:sz w:val="16"/>
          <w:szCs w:val="16"/>
        </w:rPr>
      </w:pPr>
      <w:r w:rsidRPr="00925F26">
        <w:rPr>
          <w:color w:val="000000" w:themeColor="text1"/>
          <w:sz w:val="16"/>
          <w:szCs w:val="16"/>
        </w:rPr>
        <w:t>ГАСО. Ф. P-3454. On. 2. Д. 39. Л. 52. Завер. Копия (23852).</w:t>
      </w:r>
    </w:p>
    <w:p w14:paraId="19C2CADC" w14:textId="77777777" w:rsidR="00BB21BC" w:rsidRPr="00925F26" w:rsidRDefault="00BB21BC" w:rsidP="00925F26">
      <w:pPr>
        <w:jc w:val="both"/>
        <w:rPr>
          <w:color w:val="000000" w:themeColor="text1"/>
          <w:sz w:val="16"/>
          <w:szCs w:val="16"/>
        </w:rPr>
      </w:pPr>
    </w:p>
    <w:p w14:paraId="45730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года П. Дементьев писал письмо Лапину А.</w:t>
      </w:r>
    </w:p>
    <w:p w14:paraId="695E51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 связи с предстоящим прекращением производства по выпуску моторов АМ-38ф, проведение опытных работ на этом типе мотора производить считаю нецелесообразным.</w:t>
      </w:r>
    </w:p>
    <w:p w14:paraId="626225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В июне завод N 18, совместно с заводом N 24 предъявят на войсковые испытания первые 13 самолетов Ил-10 с мотором АМ-42, оборудованные системой гидравлического агрегата "ВГ-42".</w:t>
      </w:r>
    </w:p>
    <w:p w14:paraId="6A503A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Против автоматизации переключения скоростей нагнетателя мотора АМ-82ФН возражает гл. конструктор Швецов. Этот вопрос будет окончательно решен после проведения им длительных моторных испытаний автомата </w:t>
      </w:r>
      <w:proofErr w:type="gramStart"/>
      <w:r w:rsidRPr="00925F26">
        <w:rPr>
          <w:color w:val="000000" w:themeColor="text1"/>
          <w:sz w:val="16"/>
          <w:szCs w:val="16"/>
        </w:rPr>
        <w:t>"..</w:t>
      </w:r>
      <w:proofErr w:type="gramEnd"/>
      <w:r w:rsidRPr="00925F26">
        <w:rPr>
          <w:color w:val="000000" w:themeColor="text1"/>
          <w:sz w:val="16"/>
          <w:szCs w:val="16"/>
        </w:rPr>
        <w:t xml:space="preserve">-67". По этой причине, а также учитывая проделанную подготовку к серийному выпуску автомата </w:t>
      </w:r>
      <w:proofErr w:type="gramStart"/>
      <w:r w:rsidRPr="00925F26">
        <w:rPr>
          <w:color w:val="000000" w:themeColor="text1"/>
          <w:sz w:val="16"/>
          <w:szCs w:val="16"/>
        </w:rPr>
        <w:t>"..</w:t>
      </w:r>
      <w:proofErr w:type="gramEnd"/>
      <w:r w:rsidRPr="00925F26">
        <w:rPr>
          <w:color w:val="000000" w:themeColor="text1"/>
          <w:sz w:val="16"/>
          <w:szCs w:val="16"/>
        </w:rPr>
        <w:t>-67", отработку автомата АПСН-14 на самолете Ла-7 считаю нецелесообразным.</w:t>
      </w:r>
    </w:p>
    <w:p w14:paraId="22E420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НИСО НКАП поручено проверить целесообразность замены электромеханизма УР-2 на УР-3 в комплекте автомата АРТ-41 на самолетах "Як", после чего и будет вынесено решение.</w:t>
      </w:r>
    </w:p>
    <w:p w14:paraId="24B415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Вопрос организации ОКБ по моторной автоматике прорабатывается и в ближайшее время по нему будет вынесено решение (1879).</w:t>
      </w:r>
    </w:p>
    <w:p w14:paraId="2BAD7CF4" w14:textId="77777777" w:rsidR="00665165" w:rsidRPr="00925F26" w:rsidRDefault="00665165" w:rsidP="00925F26">
      <w:pPr>
        <w:autoSpaceDE w:val="0"/>
        <w:autoSpaceDN w:val="0"/>
        <w:adjustRightInd w:val="0"/>
        <w:jc w:val="both"/>
        <w:rPr>
          <w:color w:val="000000" w:themeColor="text1"/>
          <w:sz w:val="16"/>
          <w:szCs w:val="16"/>
        </w:rPr>
      </w:pPr>
    </w:p>
    <w:p w14:paraId="399F65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 вышло Постановление ГОКО N 7560сс о постройке двухместных учебно-тренировочных самолетов, в т.ч. ЯК-9 с ВК-105ПФ N 11-01 выпуска завода N 301 (2591,14).</w:t>
      </w:r>
    </w:p>
    <w:p w14:paraId="33049BB7" w14:textId="77777777" w:rsidR="00665165" w:rsidRPr="00925F26" w:rsidRDefault="00665165" w:rsidP="00925F26">
      <w:pPr>
        <w:autoSpaceDE w:val="0"/>
        <w:autoSpaceDN w:val="0"/>
        <w:adjustRightInd w:val="0"/>
        <w:jc w:val="both"/>
        <w:rPr>
          <w:color w:val="000000" w:themeColor="text1"/>
          <w:sz w:val="16"/>
          <w:szCs w:val="16"/>
        </w:rPr>
      </w:pPr>
    </w:p>
    <w:p w14:paraId="52D67D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года адмирал Л. Галлер писал письмо N 151642с Шахурину.</w:t>
      </w:r>
    </w:p>
    <w:p w14:paraId="09908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Со времени Вашего письма на имя Ворошилова К.Е. от 30.08.44 г. N Н-33/4113 о необходимости продувки модели ПС-84 с тральным кольцом с целью аэродинамической проверки самолета-тральщика, запроектированного конструктором Голубковым А.П., прошло уже пять с половиной месяцев, однако этот вопрос на сегодня не нашел еще должного решения.</w:t>
      </w:r>
    </w:p>
    <w:p w14:paraId="08708D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Учитывая исключительную важность вопроса о принятии на вооружение самолета минного тральщика, как эффективного средства борьбы с неконтактными минами противника, особенно в настоящее время на реках Дунае, Висле и др., прошу Вашего распоряжения об ускорении решения вопроса по изготовлению отечественных самолетов-тральщиков (2595,28).</w:t>
      </w:r>
    </w:p>
    <w:p w14:paraId="60EBA51D" w14:textId="77777777" w:rsidR="00665165" w:rsidRPr="00925F26" w:rsidRDefault="00665165" w:rsidP="00925F26">
      <w:pPr>
        <w:autoSpaceDE w:val="0"/>
        <w:autoSpaceDN w:val="0"/>
        <w:adjustRightInd w:val="0"/>
        <w:jc w:val="both"/>
        <w:rPr>
          <w:color w:val="000000" w:themeColor="text1"/>
          <w:sz w:val="16"/>
          <w:szCs w:val="16"/>
        </w:rPr>
      </w:pPr>
    </w:p>
    <w:p w14:paraId="6114A543" w14:textId="77777777" w:rsidR="00F94B6C" w:rsidRPr="001A0BAA" w:rsidRDefault="00F94B6C" w:rsidP="00F94B6C">
      <w:pPr>
        <w:jc w:val="both"/>
        <w:rPr>
          <w:color w:val="0070C0"/>
          <w:sz w:val="16"/>
          <w:szCs w:val="16"/>
        </w:rPr>
      </w:pPr>
      <w:r w:rsidRPr="001A0BAA">
        <w:rPr>
          <w:color w:val="0070C0"/>
          <w:sz w:val="16"/>
          <w:szCs w:val="16"/>
        </w:rPr>
        <w:t>21 февраля 1945 года вышло постанов</w:t>
      </w:r>
      <w:r w:rsidRPr="001A0BAA">
        <w:rPr>
          <w:color w:val="0070C0"/>
          <w:sz w:val="16"/>
          <w:szCs w:val="16"/>
        </w:rPr>
        <w:softHyphen/>
        <w:t>ление ГКО № 7560сс и последовавший за ним приказ НКАП № 76сс:</w:t>
      </w:r>
    </w:p>
    <w:p w14:paraId="7014E549" w14:textId="77777777" w:rsidR="00F94B6C" w:rsidRPr="001A0BAA" w:rsidRDefault="00F94B6C" w:rsidP="00F94B6C">
      <w:pPr>
        <w:jc w:val="both"/>
        <w:rPr>
          <w:color w:val="0070C0"/>
          <w:sz w:val="16"/>
          <w:szCs w:val="16"/>
        </w:rPr>
      </w:pPr>
      <w:r w:rsidRPr="001A0BAA">
        <w:rPr>
          <w:color w:val="0070C0"/>
          <w:sz w:val="16"/>
          <w:szCs w:val="16"/>
        </w:rPr>
        <w:t>«а) передать заводу № 163 чертежи учебного самолета Ла-7 с двойным управ</w:t>
      </w:r>
      <w:r w:rsidRPr="001A0BAA">
        <w:rPr>
          <w:color w:val="0070C0"/>
          <w:sz w:val="16"/>
          <w:szCs w:val="16"/>
        </w:rPr>
        <w:softHyphen/>
        <w:t>лением не позднее 10 марта с.г.;</w:t>
      </w:r>
    </w:p>
    <w:p w14:paraId="6CAD1B93" w14:textId="77777777" w:rsidR="00F94B6C" w:rsidRPr="001A0BAA" w:rsidRDefault="00F94B6C" w:rsidP="00F94B6C">
      <w:pPr>
        <w:jc w:val="both"/>
        <w:rPr>
          <w:color w:val="0070C0"/>
          <w:sz w:val="16"/>
          <w:szCs w:val="16"/>
        </w:rPr>
      </w:pPr>
      <w:r w:rsidRPr="001A0BAA">
        <w:rPr>
          <w:color w:val="0070C0"/>
          <w:sz w:val="16"/>
          <w:szCs w:val="16"/>
        </w:rPr>
        <w:t>б) изготовленный ОКБ на заводе 21 учебный Ла-7 передать в ГК НИИ ВВС на государственные испытания к 15 мар</w:t>
      </w:r>
      <w:r w:rsidRPr="001A0BAA">
        <w:rPr>
          <w:color w:val="0070C0"/>
          <w:sz w:val="16"/>
          <w:szCs w:val="16"/>
        </w:rPr>
        <w:softHyphen/>
        <w:t>та с.г... Исполняющему обязанности на</w:t>
      </w:r>
      <w:r w:rsidRPr="001A0BAA">
        <w:rPr>
          <w:color w:val="0070C0"/>
          <w:sz w:val="16"/>
          <w:szCs w:val="16"/>
        </w:rPr>
        <w:softHyphen/>
        <w:t>чальника 6 ГУ Пагину и директору завода №163 Иваненко обеспечить с 1 апреля 1945 переоборудование самолетов Ла-7 в учебные &lt;...&gt; с двойным управлением по 120 самолетов ежеквартально» (24988).</w:t>
      </w:r>
    </w:p>
    <w:p w14:paraId="4807D28F" w14:textId="77777777" w:rsidR="00F94B6C" w:rsidRPr="001A0BAA" w:rsidRDefault="00F94B6C" w:rsidP="00F94B6C">
      <w:pPr>
        <w:jc w:val="both"/>
        <w:rPr>
          <w:color w:val="0070C0"/>
          <w:sz w:val="16"/>
          <w:szCs w:val="16"/>
        </w:rPr>
      </w:pPr>
    </w:p>
    <w:p w14:paraId="4B2A27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 по приказу № 72с от на площадке эвакуированного завода № 133 НКАП образован завод № 794 НКАП в системе 17ГУ. По приказу № 231с от 23.05.1945 г. все помещения завода № 794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радиодеталей.</w:t>
      </w:r>
    </w:p>
    <w:p w14:paraId="2B2E8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1959 г.- НИР "Прима" (работы по РЛС обеспечения безопасности полета низколетящего бомбардировщика). </w:t>
      </w:r>
    </w:p>
    <w:p w14:paraId="32AF4B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ЦК КПСС от 14.02.1957 г. завод в 1958 г. передан в ведение Ленсовнархоза. В соответствии с постановлением ЦК КПСС от 29.09.1965 г. завод передан в ведение МРП и получил наименование «Радиоприбор».</w:t>
      </w:r>
    </w:p>
    <w:p w14:paraId="09F6E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w:t>
      </w:r>
    </w:p>
    <w:p w14:paraId="6001B7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(02.1945-57 г.)- А.П. Петров, (1957-63 г.)- А.П. Зубов, (1963-68 г.)- В.Т. Бедняков, (1968-72 г.)- Ю.Т. Машенков.</w:t>
      </w:r>
    </w:p>
    <w:p w14:paraId="3CF889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радиодетали для бомбоприцела «Кобальт» для Ту-4; РЛ- дальномеры: СРД-1М (1956), «База-6», «Перо»; следящая система для РЛС "Фрегат" (1957 г.); радиотехническая аппаратура «Антей» для КР П-6, аппаратура управления К-1 ракетой «КС»; РЛС «Изумруд»; радиолы. </w:t>
      </w:r>
    </w:p>
    <w:p w14:paraId="25B0C4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 794 НКАП, МАП, Ленсовнархоза, Завод «Радиоприбор» МРП</w:t>
      </w:r>
    </w:p>
    <w:p w14:paraId="096F27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Ленинград ул. Волковская, 23</w:t>
      </w:r>
    </w:p>
    <w:p w14:paraId="0845CB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ОКБ-794 МАП, ГКАТ, ГКРЭ, Р-6808 </w:t>
      </w:r>
    </w:p>
    <w:p w14:paraId="789C5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Ленинград</w:t>
      </w:r>
    </w:p>
    <w:p w14:paraId="20BAA8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РЛ-аппаратуры. Сопровождение серийного производства на заводе доплеровских измерителей скорости, бомбоприцела «Кобальт» и РЛС «Изумруд», аппаратуры управления К-1 ракетой «КС», радиодальномера СРД-1М. </w:t>
      </w:r>
    </w:p>
    <w:p w14:paraId="33E003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33EF87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Сюда 1.06.1955 г. из НИИ-17 был переведен В.А. Малышев (специалист по радиодальномерам), возглавил работы по прицельно-навигационным системам.</w:t>
      </w:r>
    </w:p>
    <w:p w14:paraId="073771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12.1957 г. ОКБ- в ведении ГКАТ. Для концентрации работ по радиоэлектронике в 12.1958 г. ОКБ передано во вновь образованный ГКРЭ.</w:t>
      </w:r>
    </w:p>
    <w:p w14:paraId="7509D7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СССР № 615-278сс от 6.06.1959 г. на базе трех ОКБ-283, ОКБ-287 и ОКБ-794 в системе ГКРЭ в Ленинграде создан новый НИИ-131. ОКБ-794 стало базой для СКБ-3 НИИ-131.</w:t>
      </w:r>
    </w:p>
    <w:p w14:paraId="158CC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(04.1946 г.-)- А.А. Котов.</w:t>
      </w:r>
    </w:p>
    <w:p w14:paraId="54D7CE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Ю.Г. Комедатов, (-1956-59 г.)- Е.А. Зазорин (затем- руководитель СКБ-3 НИИ-131).</w:t>
      </w:r>
    </w:p>
    <w:p w14:paraId="760B25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(1950-е)- Е.А. Зазорин (радиодальномеры, ДИСС), (1950-е)- В.Л. Коблов («Эмблема»).</w:t>
      </w:r>
    </w:p>
    <w:p w14:paraId="24B109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Создано: радиодальномеры: «СРД», "База-6", "Перо"; ДИСС «Ветер-1», «Ветер-2» для Ту-16, Бе-8, ДИВ-1 «Скорость» для вертолетов; РЛС предупреждения столкновений: РППС-1 «Рубеж» для Ил-14, РПСН «Эмблема»; система "Пума-А".</w:t>
      </w:r>
    </w:p>
    <w:p w14:paraId="36D8BB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СЛ-П (СЛ-11) при заводе № 794 МАП</w:t>
      </w:r>
    </w:p>
    <w:p w14:paraId="33A0C4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Специальная лаборатория СЛ-П (СЛ-11) создана в 1956 г. </w:t>
      </w:r>
    </w:p>
    <w:p w14:paraId="39A420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Руководители- Иосиф Вениаминович Берг, Ф.Г. Старос (настоящие имена: Альфред Сарант и Джоэл Барр)- английские разведчики, переправленные в СССР после разоблачения. Разработка вычислительной техники. Создан первый советский компьютер. </w:t>
      </w:r>
    </w:p>
    <w:p w14:paraId="6875B6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на базе СЛ-П создано СКБ-2 НИИ-131 (10776).</w:t>
      </w:r>
    </w:p>
    <w:p w14:paraId="06E72D63" w14:textId="77777777" w:rsidR="00665165" w:rsidRPr="00925F26" w:rsidRDefault="00665165" w:rsidP="00925F26">
      <w:pPr>
        <w:autoSpaceDE w:val="0"/>
        <w:autoSpaceDN w:val="0"/>
        <w:adjustRightInd w:val="0"/>
        <w:jc w:val="both"/>
        <w:rPr>
          <w:color w:val="000000" w:themeColor="text1"/>
          <w:sz w:val="16"/>
          <w:szCs w:val="16"/>
        </w:rPr>
      </w:pPr>
    </w:p>
    <w:p w14:paraId="6DC4DD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 по приказам НКАП № 72с и № 249с от 15.06.1945 г. на второй площадке завода № 273 (бывший завод им. Каракозова) вновь образовался завод № 794 НКАП (11982).</w:t>
      </w:r>
    </w:p>
    <w:p w14:paraId="3463C3E8" w14:textId="77777777" w:rsidR="00665165" w:rsidRPr="00925F26" w:rsidRDefault="00665165" w:rsidP="00925F26">
      <w:pPr>
        <w:autoSpaceDE w:val="0"/>
        <w:autoSpaceDN w:val="0"/>
        <w:adjustRightInd w:val="0"/>
        <w:jc w:val="both"/>
        <w:rPr>
          <w:color w:val="000000" w:themeColor="text1"/>
          <w:sz w:val="16"/>
          <w:szCs w:val="16"/>
        </w:rPr>
      </w:pPr>
    </w:p>
    <w:p w14:paraId="725F66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21 февраля 1945 г. по приказу НКАП № 72с на площадке эвакуированного завода № 133 НКАП образован завод № 794 НКАП в системе 17ГУ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По приказу № 231с от 23.05.1945 г. все помещения завода № 794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925F26">
        <w:rPr>
          <w:color w:val="000000" w:themeColor="text1"/>
          <w:sz w:val="16"/>
          <w:szCs w:val="16"/>
          <w:lang w:val="en-US"/>
        </w:rPr>
        <w:t>PJI</w:t>
      </w:r>
      <w:r w:rsidRPr="00925F26">
        <w:rPr>
          <w:color w:val="000000" w:themeColor="text1"/>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50E99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НИР «Прима» (работы по РЛС обеспечения безопасности полета низколетящего бомбардировщика).</w:t>
      </w:r>
    </w:p>
    <w:p w14:paraId="2B7752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1BB015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4D2A55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МРП № 680 от 20.07.1990 г. было создано ГП «Завод «Радиоприбор», 20.09.1993 г. ГП преобразовано в АООТ, с 12.08.1996 г.- ОАО.</w:t>
      </w:r>
    </w:p>
    <w:p w14:paraId="6C1D8D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44C838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Производственные площади (2003 г.)- более 60 тыс. м</w:t>
      </w:r>
      <w:r w:rsidRPr="00925F26">
        <w:rPr>
          <w:color w:val="000000" w:themeColor="text1"/>
          <w:sz w:val="16"/>
          <w:szCs w:val="16"/>
          <w:vertAlign w:val="superscript"/>
        </w:rPr>
        <w:t>2</w:t>
      </w:r>
      <w:r w:rsidRPr="00925F26">
        <w:rPr>
          <w:color w:val="000000" w:themeColor="text1"/>
          <w:sz w:val="16"/>
          <w:szCs w:val="16"/>
        </w:rPr>
        <w:t>.</w:t>
      </w:r>
    </w:p>
    <w:p w14:paraId="50357A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w:t>
      </w:r>
      <w:proofErr w:type="gramStart"/>
      <w:r w:rsidRPr="00925F26">
        <w:rPr>
          <w:color w:val="000000" w:themeColor="text1"/>
          <w:sz w:val="16"/>
          <w:szCs w:val="16"/>
        </w:rPr>
        <w:t>2003  г.</w:t>
      </w:r>
      <w:proofErr w:type="gramEnd"/>
      <w:r w:rsidRPr="00925F26">
        <w:rPr>
          <w:color w:val="000000" w:themeColor="text1"/>
          <w:sz w:val="16"/>
          <w:szCs w:val="16"/>
        </w:rPr>
        <w:t>)- около 1000 чел.</w:t>
      </w:r>
    </w:p>
    <w:p w14:paraId="2EB90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(02.1945-57 г.)- А.П. Петров, (1957-63 г.)- А.П. Зубов, (1963-68 г.)- В.Т. Бедняков, (1968-72 г.)- Ю.Т. Машенков, (08,1991-93 г.)- А.О. Бураков. Гендиректор (1993-2007 г.-)- А.О. Бураков.</w:t>
      </w:r>
    </w:p>
    <w:p w14:paraId="0AF723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гендиректора: по производству (-1991 г.)- А.О. Бураков; по коммерческим вопросам (2003 г.)- А.Н. Окунев.</w:t>
      </w:r>
    </w:p>
    <w:p w14:paraId="4614B8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(-1972 г.)- О.Ф. Бураков, (2003 г.)- Б.К. Румянцев.</w:t>
      </w:r>
    </w:p>
    <w:p w14:paraId="23E94B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инженера- А.О. Бураков.</w:t>
      </w:r>
    </w:p>
    <w:p w14:paraId="48142B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производства (1983 г.-)- А.О. Бураков.</w:t>
      </w:r>
    </w:p>
    <w:p w14:paraId="48D4E4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ОМТС (2003 г.)- А.З. Ялышев; ОВКиК (2003 г.)-  Г.В. Кузнецова; кадров (2003 г.)- В.В. Макаров; маркетинга (2003 г.)- Ю.В. Дженчако.</w:t>
      </w:r>
    </w:p>
    <w:p w14:paraId="2A6115C0"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РЛ бомбоприцел «Кобальт-1М, -2М» для Ту-4, -16 (1950-е);</w:t>
      </w:r>
      <w:r w:rsidRPr="00925F26">
        <w:rPr>
          <w:iCs/>
          <w:color w:val="000000" w:themeColor="text1"/>
          <w:sz w:val="16"/>
          <w:szCs w:val="16"/>
          <w:lang w:val="en-US"/>
        </w:rPr>
        <w:t>PJI</w:t>
      </w:r>
      <w:r w:rsidRPr="00925F26">
        <w:rPr>
          <w:iCs/>
          <w:color w:val="000000" w:themeColor="text1"/>
          <w:sz w:val="16"/>
          <w:szCs w:val="16"/>
        </w:rPr>
        <w:t>- дальномеры:</w:t>
      </w:r>
      <w:r w:rsidRPr="00925F26">
        <w:rPr>
          <w:color w:val="000000" w:themeColor="text1"/>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925F26">
        <w:rPr>
          <w:iCs/>
          <w:color w:val="000000" w:themeColor="text1"/>
          <w:sz w:val="16"/>
          <w:szCs w:val="16"/>
        </w:rPr>
        <w:t>); телевизоры:</w:t>
      </w:r>
      <w:r w:rsidRPr="00925F26">
        <w:rPr>
          <w:color w:val="000000" w:themeColor="text1"/>
          <w:sz w:val="16"/>
          <w:szCs w:val="16"/>
        </w:rPr>
        <w:t xml:space="preserve"> «Сигнал» (1963-), «Балтика», «Атлант»;</w:t>
      </w:r>
      <w:r w:rsidRPr="00925F26">
        <w:rPr>
          <w:iCs/>
          <w:color w:val="000000" w:themeColor="text1"/>
          <w:sz w:val="16"/>
          <w:szCs w:val="16"/>
        </w:rPr>
        <w:t xml:space="preserve"> радиоприемники:</w:t>
      </w:r>
      <w:r w:rsidRPr="00925F26">
        <w:rPr>
          <w:color w:val="000000" w:themeColor="text1"/>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925F26">
        <w:rPr>
          <w:color w:val="000000" w:themeColor="text1"/>
          <w:sz w:val="16"/>
          <w:szCs w:val="16"/>
          <w:lang w:val="en-US"/>
        </w:rPr>
        <w:t>l</w:t>
      </w:r>
      <w:r w:rsidRPr="00925F26">
        <w:rPr>
          <w:color w:val="000000" w:themeColor="text1"/>
          <w:sz w:val="16"/>
          <w:szCs w:val="16"/>
        </w:rPr>
        <w:t>-).</w:t>
      </w:r>
    </w:p>
    <w:p w14:paraId="698C32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ОКБ-794 МАП, ГКАТ, ГКРЭ /г. Ленинград/</w:t>
      </w:r>
    </w:p>
    <w:p w14:paraId="4285CA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ОКБ-794 образовано в системе 17ГУ МАП по приказу № 247с от 26.04.1946 г. при заводе № 794 МАП. Работы по деталям и узлам для </w:t>
      </w:r>
      <w:r w:rsidRPr="00925F26">
        <w:rPr>
          <w:color w:val="000000" w:themeColor="text1"/>
          <w:sz w:val="16"/>
          <w:szCs w:val="16"/>
          <w:lang w:val="en-US"/>
        </w:rPr>
        <w:t>PJI</w:t>
      </w:r>
      <w:r w:rsidRPr="00925F26">
        <w:rPr>
          <w:color w:val="000000" w:themeColor="text1"/>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925F26">
        <w:rPr>
          <w:color w:val="000000" w:themeColor="text1"/>
          <w:sz w:val="16"/>
          <w:szCs w:val="16"/>
          <w:lang w:val="en-US"/>
        </w:rPr>
        <w:t>PJIC</w:t>
      </w:r>
      <w:r w:rsidRPr="00925F26">
        <w:rPr>
          <w:color w:val="000000" w:themeColor="text1"/>
          <w:sz w:val="16"/>
          <w:szCs w:val="16"/>
        </w:rPr>
        <w:t xml:space="preserve"> «Изумруд», аппаратуры управления К-1 ракетой «КС», радиодальномера СРД-1М.</w:t>
      </w:r>
    </w:p>
    <w:p w14:paraId="21AFA2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1950-</w:t>
      </w:r>
      <w:proofErr w:type="gramStart"/>
      <w:r w:rsidRPr="00925F26">
        <w:rPr>
          <w:color w:val="000000" w:themeColor="text1"/>
          <w:sz w:val="16"/>
          <w:szCs w:val="16"/>
        </w:rPr>
        <w:t>х  г.</w:t>
      </w:r>
      <w:proofErr w:type="gramEnd"/>
      <w:r w:rsidRPr="00925F26">
        <w:rPr>
          <w:color w:val="000000" w:themeColor="text1"/>
          <w:sz w:val="16"/>
          <w:szCs w:val="16"/>
        </w:rPr>
        <w:t xml:space="preserve">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69FBD1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7C96F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08.1957 г. ОКБ- в ведении 4ГУ ГКАТ. Для концентрации работ по радиоэлектронике в 12.1958 г. ОКБ передано во вновь образованный ГКРЭ.</w:t>
      </w:r>
    </w:p>
    <w:p w14:paraId="47C48E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5A88EA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(04.1946 г.-)- А.А. Котов.</w:t>
      </w:r>
    </w:p>
    <w:p w14:paraId="51A188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Ю. Г. Комедатов, (-1956-59 г.)- Е. А. Зазорин (затем- руководитель СКБ-3 НИИ-131).</w:t>
      </w:r>
    </w:p>
    <w:p w14:paraId="3D057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(1947 г.-)- А.С. Чефранов («Залив»), (1950-е)- Е.А. Зазорин (радиодальномеры, ДИСС), (- 1959 г.)- В.Л. Коблов («Эмблема»).</w:t>
      </w:r>
    </w:p>
    <w:p w14:paraId="154E2F57"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737AD3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СЛ-П (СЛ-11) при заводе № 794 МАП</w:t>
      </w:r>
    </w:p>
    <w:p w14:paraId="4A0C0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Специальная лаборатория СЛ-П (СЛ-11) создана в 1956 г.</w:t>
      </w:r>
    </w:p>
    <w:p w14:paraId="49A6A1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18963C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на базе СЛ-П создано СКБ-2 НИИ-131 (11982).</w:t>
      </w:r>
    </w:p>
    <w:p w14:paraId="56A27ADC" w14:textId="77777777" w:rsidR="00665165" w:rsidRPr="00925F26" w:rsidRDefault="00665165" w:rsidP="00925F26">
      <w:pPr>
        <w:autoSpaceDE w:val="0"/>
        <w:autoSpaceDN w:val="0"/>
        <w:adjustRightInd w:val="0"/>
        <w:jc w:val="both"/>
        <w:rPr>
          <w:color w:val="000000" w:themeColor="text1"/>
          <w:sz w:val="16"/>
          <w:szCs w:val="16"/>
        </w:rPr>
      </w:pPr>
    </w:p>
    <w:p w14:paraId="325024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года вышло Постановление ГОКО от № 7560/с:</w:t>
      </w:r>
    </w:p>
    <w:p w14:paraId="479E1FD5"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Передать НК зерновых и животноводческих совхозов здания и сооружения завода № 499 НКАП в с. Заводоуковка Тюменской области, а также часть оборудования (8963).</w:t>
      </w:r>
    </w:p>
    <w:p w14:paraId="1837F890"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3647590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A2FE5B1" w14:textId="77777777" w:rsidR="00665165" w:rsidRPr="00925F26" w:rsidRDefault="00665165" w:rsidP="00925F26">
      <w:pPr>
        <w:autoSpaceDE w:val="0"/>
        <w:autoSpaceDN w:val="0"/>
        <w:adjustRightInd w:val="0"/>
        <w:jc w:val="both"/>
        <w:rPr>
          <w:iCs/>
          <w:color w:val="000000" w:themeColor="text1"/>
          <w:sz w:val="16"/>
          <w:szCs w:val="16"/>
        </w:rPr>
      </w:pPr>
    </w:p>
    <w:p w14:paraId="4A8BAA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февраля 1945 г. было СООБЩЕНИЕ НАЧАЛЬНИКА ГБТУ КА ЗАМЕСТИТЕЛЮ НАЧАЛЬНИКА ГАУ КА О ТРЕБОВАНИЯХ К МЕХАНИЗМАМ ТАНКОВЫХ И АРТСАМОХОДНЫХ ПУШЕК № 842387</w:t>
      </w:r>
    </w:p>
    <w:p w14:paraId="6B11B8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Танки и самоходные артустановки Красной Армии имеют следующие максимальные и сред</w:t>
      </w:r>
      <w:r w:rsidRPr="00925F26">
        <w:rPr>
          <w:color w:val="000000" w:themeColor="text1"/>
          <w:sz w:val="16"/>
          <w:szCs w:val="16"/>
        </w:rPr>
        <w:softHyphen/>
        <w:t>ние скорости передвижения в зависимости от дорожных условий:</w:t>
      </w:r>
    </w:p>
    <w:tbl>
      <w:tblPr>
        <w:tblW w:w="0" w:type="auto"/>
        <w:tblInd w:w="40" w:type="dxa"/>
        <w:tblLayout w:type="fixed"/>
        <w:tblCellMar>
          <w:left w:w="40" w:type="dxa"/>
          <w:right w:w="40" w:type="dxa"/>
        </w:tblCellMar>
        <w:tblLook w:val="0000" w:firstRow="0" w:lastRow="0" w:firstColumn="0" w:lastColumn="0" w:noHBand="0" w:noVBand="0"/>
      </w:tblPr>
      <w:tblGrid>
        <w:gridCol w:w="2054"/>
        <w:gridCol w:w="1277"/>
        <w:gridCol w:w="1277"/>
        <w:gridCol w:w="1286"/>
        <w:gridCol w:w="1277"/>
        <w:gridCol w:w="1277"/>
        <w:gridCol w:w="1219"/>
      </w:tblGrid>
      <w:tr w:rsidR="000F5689" w:rsidRPr="00925F26" w14:paraId="7F9DF8EF" w14:textId="77777777">
        <w:trPr>
          <w:trHeight w:val="259"/>
        </w:trPr>
        <w:tc>
          <w:tcPr>
            <w:tcW w:w="2054" w:type="dxa"/>
            <w:tcBorders>
              <w:top w:val="single" w:sz="6" w:space="0" w:color="auto"/>
              <w:left w:val="single" w:sz="6" w:space="0" w:color="auto"/>
              <w:bottom w:val="nil"/>
              <w:right w:val="single" w:sz="6" w:space="0" w:color="auto"/>
            </w:tcBorders>
          </w:tcPr>
          <w:p w14:paraId="21D811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Дорожные условия</w:t>
            </w:r>
          </w:p>
          <w:p w14:paraId="792075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613" w:type="dxa"/>
            <w:gridSpan w:val="6"/>
            <w:tcBorders>
              <w:top w:val="single" w:sz="6" w:space="0" w:color="auto"/>
              <w:left w:val="single" w:sz="6" w:space="0" w:color="auto"/>
              <w:bottom w:val="single" w:sz="6" w:space="0" w:color="auto"/>
              <w:right w:val="single" w:sz="6" w:space="0" w:color="auto"/>
            </w:tcBorders>
          </w:tcPr>
          <w:p w14:paraId="6D48D4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Машины</w:t>
            </w:r>
          </w:p>
          <w:p w14:paraId="1E1DFD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A9C0342" w14:textId="77777777">
        <w:trPr>
          <w:trHeight w:val="230"/>
        </w:trPr>
        <w:tc>
          <w:tcPr>
            <w:tcW w:w="2054" w:type="dxa"/>
            <w:tcBorders>
              <w:top w:val="nil"/>
              <w:left w:val="single" w:sz="6" w:space="0" w:color="auto"/>
              <w:bottom w:val="nil"/>
              <w:right w:val="single" w:sz="6" w:space="0" w:color="auto"/>
            </w:tcBorders>
          </w:tcPr>
          <w:p w14:paraId="6A63DEC2" w14:textId="77777777" w:rsidR="00665165" w:rsidRPr="00925F26" w:rsidRDefault="00665165" w:rsidP="00925F26">
            <w:pPr>
              <w:autoSpaceDE w:val="0"/>
              <w:autoSpaceDN w:val="0"/>
              <w:adjustRightInd w:val="0"/>
              <w:jc w:val="both"/>
              <w:rPr>
                <w:color w:val="000000" w:themeColor="text1"/>
                <w:sz w:val="16"/>
                <w:szCs w:val="16"/>
              </w:rPr>
            </w:pPr>
          </w:p>
          <w:p w14:paraId="1465B516" w14:textId="77777777" w:rsidR="00665165" w:rsidRPr="00925F26" w:rsidRDefault="00665165" w:rsidP="00925F26">
            <w:pPr>
              <w:autoSpaceDE w:val="0"/>
              <w:autoSpaceDN w:val="0"/>
              <w:adjustRightInd w:val="0"/>
              <w:jc w:val="both"/>
              <w:rPr>
                <w:color w:val="000000" w:themeColor="text1"/>
                <w:sz w:val="16"/>
                <w:szCs w:val="16"/>
              </w:rPr>
            </w:pPr>
          </w:p>
        </w:tc>
        <w:tc>
          <w:tcPr>
            <w:tcW w:w="2554" w:type="dxa"/>
            <w:gridSpan w:val="2"/>
            <w:tcBorders>
              <w:top w:val="single" w:sz="6" w:space="0" w:color="auto"/>
              <w:left w:val="single" w:sz="6" w:space="0" w:color="auto"/>
              <w:bottom w:val="single" w:sz="6" w:space="0" w:color="auto"/>
              <w:right w:val="single" w:sz="6" w:space="0" w:color="auto"/>
            </w:tcBorders>
          </w:tcPr>
          <w:p w14:paraId="1CE0C3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w:t>
            </w:r>
          </w:p>
          <w:p w14:paraId="75A928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63" w:type="dxa"/>
            <w:gridSpan w:val="2"/>
            <w:tcBorders>
              <w:top w:val="single" w:sz="6" w:space="0" w:color="auto"/>
              <w:left w:val="single" w:sz="6" w:space="0" w:color="auto"/>
              <w:bottom w:val="single" w:sz="6" w:space="0" w:color="auto"/>
              <w:right w:val="single" w:sz="6" w:space="0" w:color="auto"/>
            </w:tcBorders>
          </w:tcPr>
          <w:p w14:paraId="758CBD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Т-34-85, СУ-100</w:t>
            </w:r>
          </w:p>
          <w:p w14:paraId="3345B5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143F2A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ИС-122, ИСУ-122 (ИСУ-152)</w:t>
            </w:r>
          </w:p>
          <w:p w14:paraId="565449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F5C1503" w14:textId="77777777">
        <w:trPr>
          <w:trHeight w:val="240"/>
        </w:trPr>
        <w:tc>
          <w:tcPr>
            <w:tcW w:w="2054" w:type="dxa"/>
            <w:tcBorders>
              <w:top w:val="nil"/>
              <w:left w:val="single" w:sz="6" w:space="0" w:color="auto"/>
              <w:bottom w:val="single" w:sz="6" w:space="0" w:color="auto"/>
              <w:right w:val="single" w:sz="6" w:space="0" w:color="auto"/>
            </w:tcBorders>
          </w:tcPr>
          <w:p w14:paraId="4E35F3C3" w14:textId="77777777" w:rsidR="00665165" w:rsidRPr="00925F26" w:rsidRDefault="00665165" w:rsidP="00925F26">
            <w:pPr>
              <w:autoSpaceDE w:val="0"/>
              <w:autoSpaceDN w:val="0"/>
              <w:adjustRightInd w:val="0"/>
              <w:jc w:val="both"/>
              <w:rPr>
                <w:color w:val="000000" w:themeColor="text1"/>
                <w:sz w:val="16"/>
                <w:szCs w:val="16"/>
              </w:rPr>
            </w:pPr>
          </w:p>
          <w:p w14:paraId="06D55231" w14:textId="77777777" w:rsidR="00665165" w:rsidRPr="00925F26" w:rsidRDefault="00665165" w:rsidP="00925F26">
            <w:pPr>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0BEC6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Макс.</w:t>
            </w:r>
          </w:p>
          <w:p w14:paraId="71DE0F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0297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w:t>
            </w:r>
          </w:p>
          <w:p w14:paraId="518366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90DA0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Макс.</w:t>
            </w:r>
          </w:p>
          <w:p w14:paraId="5AD3FA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14418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w:t>
            </w:r>
          </w:p>
          <w:p w14:paraId="114966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ECBB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Макс.</w:t>
            </w:r>
          </w:p>
          <w:p w14:paraId="5FE4AF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33904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w:t>
            </w:r>
          </w:p>
          <w:p w14:paraId="1D62B8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B5B4998" w14:textId="77777777">
        <w:trPr>
          <w:trHeight w:val="240"/>
        </w:trPr>
        <w:tc>
          <w:tcPr>
            <w:tcW w:w="2054" w:type="dxa"/>
            <w:tcBorders>
              <w:top w:val="single" w:sz="6" w:space="0" w:color="auto"/>
              <w:left w:val="single" w:sz="6" w:space="0" w:color="auto"/>
              <w:bottom w:val="single" w:sz="6" w:space="0" w:color="auto"/>
              <w:right w:val="single" w:sz="6" w:space="0" w:color="auto"/>
            </w:tcBorders>
          </w:tcPr>
          <w:p w14:paraId="3A9EFC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шоссе км/ч</w:t>
            </w:r>
          </w:p>
          <w:p w14:paraId="004B1C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C807B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w:t>
            </w:r>
          </w:p>
          <w:p w14:paraId="4801BC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AC0B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344B8F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1B9F3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p w14:paraId="65BC83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0122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w:t>
            </w:r>
          </w:p>
          <w:p w14:paraId="22908C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E604E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w:t>
            </w:r>
          </w:p>
          <w:p w14:paraId="6FA714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7D848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29,7</w:t>
            </w:r>
          </w:p>
          <w:p w14:paraId="3F6D33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628C845" w14:textId="77777777">
        <w:trPr>
          <w:trHeight w:val="240"/>
        </w:trPr>
        <w:tc>
          <w:tcPr>
            <w:tcW w:w="2054" w:type="dxa"/>
            <w:tcBorders>
              <w:top w:val="single" w:sz="6" w:space="0" w:color="auto"/>
              <w:left w:val="single" w:sz="6" w:space="0" w:color="auto"/>
              <w:bottom w:val="single" w:sz="6" w:space="0" w:color="auto"/>
              <w:right w:val="single" w:sz="6" w:space="0" w:color="auto"/>
            </w:tcBorders>
          </w:tcPr>
          <w:p w14:paraId="58233A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проселку км/ч</w:t>
            </w:r>
          </w:p>
          <w:p w14:paraId="5A82DC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9419A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14BE98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FA66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w:t>
            </w:r>
          </w:p>
          <w:p w14:paraId="174C08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AF059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p w14:paraId="51ABDB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708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13BF97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1234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2D6298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7D99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16,7</w:t>
            </w:r>
          </w:p>
          <w:p w14:paraId="7F77E8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2228E17" w14:textId="77777777">
        <w:trPr>
          <w:trHeight w:val="259"/>
        </w:trPr>
        <w:tc>
          <w:tcPr>
            <w:tcW w:w="2054" w:type="dxa"/>
            <w:tcBorders>
              <w:top w:val="single" w:sz="6" w:space="0" w:color="auto"/>
              <w:left w:val="single" w:sz="6" w:space="0" w:color="auto"/>
              <w:bottom w:val="single" w:sz="6" w:space="0" w:color="auto"/>
              <w:right w:val="single" w:sz="6" w:space="0" w:color="auto"/>
            </w:tcBorders>
          </w:tcPr>
          <w:p w14:paraId="5597D3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бездорожью км/ч</w:t>
            </w:r>
          </w:p>
          <w:p w14:paraId="3C9FD7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B082E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63F3C9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A96D8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7F3D8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0BF2C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510B47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CF18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7BEB14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48523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02B228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7D214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p w14:paraId="216E5E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22B1D2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Эти скорости и следует учитывать при расчете деталей и механизмов танковых и самоходных артсистем на прочность, при движении с незакрепленными по-походному орудиями.</w:t>
      </w:r>
    </w:p>
    <w:p w14:paraId="1AE814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Считаю, что детали и механизмы танковых и самоходных артсистем должны надежно работать не менее 2000 км пробега (срок службы танков и самоходных артустановок), из которых не менее 500 км пробега совершается с незакрепленными по-походному орудиями.</w:t>
      </w:r>
    </w:p>
    <w:p w14:paraId="5472D1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ГБТУ КА генерал-лейтенант танковых войск Вершинин</w:t>
      </w:r>
    </w:p>
    <w:p w14:paraId="53EC64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11369. Д. 709. Л. 28. Копия (11420).</w:t>
      </w:r>
    </w:p>
    <w:p w14:paraId="2ED0AF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6D8275E"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21 февраля 1945 машины №1 и №3 приняли, а танк №2, прошедший заводскую обкатку, 20 февраля отправили в Москву. Перед отправкой в Москву танк №2 сфотографировали, но снимки не получились, поэтому 1 марта повторно сняли танк №3. При этом танк №3, после заводских испытаний прошедший 40 км, немного доработали, а далее было принято решение о том, что его подвергнут большим, 1000-км испытаниям.</w:t>
      </w:r>
    </w:p>
    <w:p w14:paraId="7D6B09FA"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ходе первого этапа заводских испытаний выяснилось, что масляный радиатор ничем не защищён — в него попадали посторонние предметы (камешки), повредившие его, причём такое случалось трижды. По этой причине было предложено ввести защитную сетку. В ходе заводских испытаний на булыжном шоссе была получена средняя скорость чистого движения 31,5 км/ч. При этом продолжали выявляться различные дефекты, а температура воды была близка к опасным значениям. Танк неоднократно отправлялся в ремонт, поэтому тот же цикл 1000-км испытаний решили провести на машине №4. Этот танк также неоднократно оказывался в ремонте. Танк №3 к 19 марта прошёл 1026 км, при этом средняя скорость чистого движения по грунтовой дороге составила 26,3 км/ч. Испытания танка продолжились, завершившись 29 марта — к тому моменту он преодолел 1922 км. По итогам был собран целый «букет» различных недочётов, которые требовалось исправить на ранее построенных машинах, а также при запуске танка в серию.</w:t>
      </w:r>
    </w:p>
    <w:p w14:paraId="0E6AAAF1"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Решение срочно запустить заводские испытания оказалось совсем не лишним. Дело в том, что НИБТ Полигон, куда ещё 20 февраля отправили танк №2, получил его только 16 марта. В НКТП прекрасно понимали, чем это может закончиться. Более того, по состоянию на 19 марта танк ещё не отправился на ходовые испытания, а производилась стрельба из орудия. К ходовым испытаниям приступили только к 20-м числам марта. В ходе пробега 23 марта была получена максимальная скорость 40 км/ч, а средняя скорость чистого движения — 32,5 км/ч. На следующий день танк двигался по разбитой просёлочной дороге, при этом средняя скорость составила 17,1 км/ч. Всего же на испытания было потрачено 27 дней, за это время танк преодолел 1016 км, из них 258 — по асфальтовому шоссе, 439 — по просёлку, 159 — по целине, и 160 пришлись на специспытания. Также произвели 110 выстрелов из орудия и 910 выстрелов из зенитного пулемёта ДШК.</w:t>
      </w:r>
    </w:p>
    <w:p w14:paraId="2D2CA16A"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испытаний средняя скорость движения по шоссе составила 31,3 км/ч, по просёлку — 17,2 км/ч, и по целине — 16,6 км/ч. Столь небольшая разница между скоростью по просёлку и целине объяснялась очень тяжёлыми дорожными условиями. Это видно и по расходу топлива. Если по шоссе танк тратил 230 л на 100 км, то на той же дистанции по просёлку тратилось 390 л, а при езде по целине — 460 л. Поэтому и запас хода оказался близким — 200, 120 и 100 км. Неприятным моментом стал повышенный тепловой режим двигателя, что отмечалось и на полигонных, и на заводских испытаниях. Кроме того, список «болячек» танка №2 оказался близок к тому, что обнаружился при испытаниях танка №3. Разница в том, что танк №3 к 29 марта накатал уже 1922 км, а на НИБТ Полигоне ходовые испытания закончились только в апреле.</w:t>
      </w:r>
    </w:p>
    <w:p w14:paraId="24392C63"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Чего не было выполнено на заводских испытаниях в полном объёме, так это огневых тестов. Отчасти поэтому на НИБТ Полигоне и начались испытания со стрельбы. При стрельбе из орудия была получена кучность, очень близкая к табличной. Средняя скорострельность составила 2 выстрела в минуту, при этом максимальное значение составило 2,25 выстрела в минуту. Следует отметить, что размещение боекомплекта существенно отличалось от ИС-2. Поскольку у башни практически не было кормовой ниши, снаряды разместили по периметру башни. Основная проблема возникла при использовании зарядов. Часть из них находилась в районе места механика-водителя, причём они не только мешали ему, делая отделение управления тесным, но до них ещё оказалось проблематично дотянуться. Вместе с тем, таких «неудобных» зарядов оказалось немного. В целом стрельба из орудия оказалась вполне успешной, чего не скажешь о стрельбе из ДШКМ. Ввиду того, что отсутствовал упор при стрельбе, кучность оказалась неудовлетворительной. К турели набралось немало претензий, которые требовалось исправить при запуске в серию.</w:t>
      </w:r>
    </w:p>
    <w:p w14:paraId="40689361"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Имелось немало претензий и к боевому отделению. Неудобно оказались выполнены сидения экипажа, отсутствие «классической» командирской башенки снизило обзорность. Также накопилось немало недостатков смотровых приборов расчёта башни, включая телескопический прицел ТШ-17. Кроме того, имелись претензии к загазованности боевого отделения. Вентилятор не справлялся со своей задачей при максимальной скорострельности орудия. Дублирующее устройство поворота башни признали удачным решением, но не само его исполнение.</w:t>
      </w:r>
    </w:p>
    <w:p w14:paraId="06EAB9AC"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 xml:space="preserve">Броневую защиту танка оценили высоко, но с нюансами. Предварительный отстрел башни показал, что качество брони невысоко, поскольку появились трещины. Точнее, это было сказано довольно дипломатично — на самом деле башня попросту раскололась. Также, при попадании снарядов, произошло разрушение сварных швов укладок снарядов. Ещё одним неприятным звоночком стало разрушение сварных швов фальшбортов, которое произошло во время ходовых испытаний. В тот </w:t>
      </w:r>
      <w:r w:rsidRPr="00925F26">
        <w:rPr>
          <w:color w:val="000000" w:themeColor="text1"/>
          <w:sz w:val="16"/>
          <w:szCs w:val="16"/>
        </w:rPr>
        <w:lastRenderedPageBreak/>
        <w:t>момент на то, что именно стало причиной разрушения швов, внимания не обратили, на практике же это был «привет» от недостаточно жёсткого крепления листов днища и бортов танка. Впоследствии именно этот недостаток стал одной из главных причин проблем с ИС-3 во время его войсковой эксплуатации.</w:t>
      </w:r>
    </w:p>
    <w:p w14:paraId="75E1AF42"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полигонных испытаний появился длинный список того, что требовалось исправить. 15 пунктов по корпусу и башне, 10 пунктов по вооружению, 15 пунктов по боевому отделению, 4 пункта по отделению управления, 5 пунктов по двигателю, 9 пунктов по системе охлаждения, 10 пунктов по трансмиссии и ходовой части, 6 пунктов по электрооборудованию и связи, а также 4 пункта по укладке ЗИП в танке. Тем не менее, машину рекомендовали после устранения всех недостатков запускать в серийное производство. На самом деле решение о запуске танка в серию было принято за несколько недель до окончания испытаний. Ещё 20 марта 1945 года в адрес Сталина ушло письмо за подписями Берия, Малышева, Бирюкова и Коробкова. В нём они предлагали поставить на вооружение Красной армии тяжёлый танк «Маршал Сталин». 29 марта Сталин подписал постановление ГКО №7950, на вооружение танк был принят под индексом ИС-3. Согласно постановлению, уже в апреле сдавалось 25 танков данного типа, в мае — 100, в июне — 250 (19731).</w:t>
      </w:r>
    </w:p>
    <w:p w14:paraId="6E0D6485" w14:textId="77777777" w:rsidR="008C396C" w:rsidRPr="00925F26" w:rsidRDefault="008C396C" w:rsidP="00925F26">
      <w:pPr>
        <w:pStyle w:val="ae"/>
        <w:shd w:val="clear" w:color="auto" w:fill="FFFFFF"/>
        <w:spacing w:before="0" w:after="0"/>
        <w:jc w:val="both"/>
        <w:textAlignment w:val="baseline"/>
        <w:rPr>
          <w:color w:val="000000" w:themeColor="text1"/>
          <w:sz w:val="16"/>
          <w:szCs w:val="16"/>
        </w:rPr>
      </w:pPr>
    </w:p>
    <w:p w14:paraId="12D631B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7561 О добыче торфа и подготовке предприятий Наркомэлектростанций к торфяному сезону 1945 г. (7309, 111-123,124-140).</w:t>
      </w:r>
    </w:p>
    <w:p w14:paraId="3E3ED70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BCC3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7562 Об изготовлении в 1945 году специального оборудования, инструмента и запасных деталей для стационарных и подвижных снаряжательных мастерских Главного артиллерийского управления Красной Армии. РГАНИР, Фонд ГКО, д. 372, лл. 141-144, 145-172 (11012).</w:t>
      </w:r>
    </w:p>
    <w:p w14:paraId="3373ACAB" w14:textId="77777777" w:rsidR="00665165" w:rsidRPr="00925F26" w:rsidRDefault="00665165" w:rsidP="00925F26">
      <w:pPr>
        <w:autoSpaceDE w:val="0"/>
        <w:autoSpaceDN w:val="0"/>
        <w:adjustRightInd w:val="0"/>
        <w:jc w:val="both"/>
        <w:rPr>
          <w:color w:val="000000" w:themeColor="text1"/>
          <w:sz w:val="16"/>
          <w:szCs w:val="16"/>
        </w:rPr>
      </w:pPr>
    </w:p>
    <w:p w14:paraId="77B3FD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 вышло Постановление ГКО № 7563 «О создании при действующих фронтах Красной Армии постоянных комиссий и о порядке вывоза оборудования и материалов с территорий Германии и Польши» (Д. 453. Л. 174–176, 178–180).</w:t>
      </w:r>
    </w:p>
    <w:p w14:paraId="4F1D8276" w14:textId="77777777" w:rsidR="00665165" w:rsidRPr="00925F26" w:rsidRDefault="00665165" w:rsidP="00925F26">
      <w:pPr>
        <w:autoSpaceDE w:val="0"/>
        <w:autoSpaceDN w:val="0"/>
        <w:adjustRightInd w:val="0"/>
        <w:jc w:val="both"/>
        <w:rPr>
          <w:color w:val="000000" w:themeColor="text1"/>
          <w:sz w:val="16"/>
          <w:szCs w:val="16"/>
        </w:rPr>
      </w:pPr>
    </w:p>
    <w:p w14:paraId="3A22B79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7564 О восстановлении и перешивке на широкую колею железнодорожных участков в Восточной Пруссии. (7309, 176).</w:t>
      </w:r>
    </w:p>
    <w:p w14:paraId="60EAFE9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234D6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7565 О распределении мобилизуемых на территории действующих фронтов немцев на работы в промышленности. РГАНИР, Фонд ГКО, д. 372, лл. 177-178 (11012).</w:t>
      </w:r>
    </w:p>
    <w:p w14:paraId="30091321" w14:textId="77777777" w:rsidR="00665165" w:rsidRPr="00925F26" w:rsidRDefault="00665165" w:rsidP="00925F26">
      <w:pPr>
        <w:autoSpaceDE w:val="0"/>
        <w:autoSpaceDN w:val="0"/>
        <w:adjustRightInd w:val="0"/>
        <w:jc w:val="both"/>
        <w:rPr>
          <w:color w:val="000000" w:themeColor="text1"/>
          <w:sz w:val="16"/>
          <w:szCs w:val="16"/>
        </w:rPr>
      </w:pPr>
    </w:p>
    <w:p w14:paraId="672F94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7566 О порядке распределения передвижных паровых электростанций мощностью 1000 квт и выше, поступающих по импорту. РГАНИР, Фонд ГКО, д. 372, лл. 179 (11012).</w:t>
      </w:r>
    </w:p>
    <w:p w14:paraId="276E746B" w14:textId="77777777" w:rsidR="00665165" w:rsidRPr="00925F26" w:rsidRDefault="00665165" w:rsidP="00925F26">
      <w:pPr>
        <w:autoSpaceDE w:val="0"/>
        <w:autoSpaceDN w:val="0"/>
        <w:adjustRightInd w:val="0"/>
        <w:jc w:val="both"/>
        <w:rPr>
          <w:color w:val="000000" w:themeColor="text1"/>
          <w:sz w:val="16"/>
          <w:szCs w:val="16"/>
        </w:rPr>
      </w:pPr>
    </w:p>
    <w:p w14:paraId="5375051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Распоряжение ГКО № 7567 [Об увеличении на 10 тыс. численности передаваемых НКВД военнообязанных для охраны ИТЛ и колоний; об увеличении на 10 тыс. численности досрочно освобождаемых заключенных, осужденных за незначительные преступления, годных к строевой службе в КА.] (7309, 180).</w:t>
      </w:r>
    </w:p>
    <w:p w14:paraId="4B5008A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68162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7568 О срочных мерах по усилению налива нефтепродуктов и ускорению продвижения цистерн по железным дорогам. (7309, 181-186,187-188).</w:t>
      </w:r>
    </w:p>
    <w:p w14:paraId="2C27A8B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87F8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7569 О восстановлении производства специального пергамента для Наркомата боеприпасов. РГАНИР, Фонд ГКО, д. 372, лл. 189-192, 193-194 (11012).</w:t>
      </w:r>
    </w:p>
    <w:p w14:paraId="1E8B138F" w14:textId="77777777" w:rsidR="00665165" w:rsidRPr="00925F26" w:rsidRDefault="00665165" w:rsidP="00925F26">
      <w:pPr>
        <w:autoSpaceDE w:val="0"/>
        <w:autoSpaceDN w:val="0"/>
        <w:adjustRightInd w:val="0"/>
        <w:jc w:val="both"/>
        <w:rPr>
          <w:color w:val="000000" w:themeColor="text1"/>
          <w:sz w:val="16"/>
          <w:szCs w:val="16"/>
        </w:rPr>
      </w:pPr>
    </w:p>
    <w:p w14:paraId="587A0C9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7570 О распределении металла на капитальное строительство на I квартал 1945 г. (7310, 1,2-6).</w:t>
      </w:r>
    </w:p>
    <w:p w14:paraId="5D43080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F97CD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7571 Об организации Центрального военно-эксплуатационного управления в НКПС и военно-эксплуатационных управлений при 1 и 2-м Белорусских и 1-м Украинском фронтах. (7310, 7-10).</w:t>
      </w:r>
    </w:p>
    <w:p w14:paraId="2DAD191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A8275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7572 О подготовке специалистов по физике атомного ядра. (7310, 11-15,16-19).</w:t>
      </w:r>
    </w:p>
    <w:p w14:paraId="21FA70A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C1738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B7A550A" w14:textId="77777777" w:rsidR="00665165" w:rsidRPr="00925F26" w:rsidRDefault="00665165" w:rsidP="00925F26">
      <w:pPr>
        <w:autoSpaceDE w:val="0"/>
        <w:autoSpaceDN w:val="0"/>
        <w:adjustRightInd w:val="0"/>
        <w:jc w:val="both"/>
        <w:rPr>
          <w:iCs/>
          <w:color w:val="000000" w:themeColor="text1"/>
          <w:sz w:val="16"/>
          <w:szCs w:val="16"/>
        </w:rPr>
      </w:pPr>
    </w:p>
    <w:p w14:paraId="7F1D4DA6" w14:textId="77777777" w:rsidR="000F49EC" w:rsidRPr="00925F26" w:rsidRDefault="000F49EC" w:rsidP="00925F26">
      <w:pPr>
        <w:jc w:val="both"/>
        <w:rPr>
          <w:color w:val="000000" w:themeColor="text1"/>
          <w:sz w:val="16"/>
          <w:szCs w:val="16"/>
        </w:rPr>
      </w:pPr>
      <w:r w:rsidRPr="00925F26">
        <w:rPr>
          <w:bCs/>
          <w:color w:val="000000" w:themeColor="text1"/>
          <w:sz w:val="16"/>
          <w:szCs w:val="16"/>
        </w:rPr>
        <w:t>21 февраля</w:t>
      </w:r>
      <w:r w:rsidRPr="00925F26">
        <w:rPr>
          <w:color w:val="000000" w:themeColor="text1"/>
          <w:sz w:val="16"/>
          <w:szCs w:val="16"/>
        </w:rPr>
        <w:t xml:space="preserve"> в 1945 году оперативная сводка Совинформбюро:</w:t>
      </w:r>
    </w:p>
    <w:p w14:paraId="2238E486" w14:textId="77777777" w:rsidR="000F49EC" w:rsidRPr="00925F26" w:rsidRDefault="000F49EC" w:rsidP="00925F26">
      <w:pPr>
        <w:jc w:val="both"/>
        <w:rPr>
          <w:color w:val="000000" w:themeColor="text1"/>
          <w:sz w:val="16"/>
          <w:szCs w:val="16"/>
        </w:rPr>
      </w:pPr>
      <w:r w:rsidRPr="00925F26">
        <w:rPr>
          <w:color w:val="000000" w:themeColor="text1"/>
          <w:sz w:val="16"/>
          <w:szCs w:val="16"/>
        </w:rPr>
        <w:t>«В течение 21 февраля на Земландском полуострове западнее Кенигсберга наши войска отбивали атаки пехоты и танков противника, стремившегося пробиться из Кенигсберга в направлении Пиллау, и после упорных боёв оставили несколько населённых пунктов. Одновременно южнее и юго-западнее Кенигсберга наши войска, сжимая кольцо окружения Восточно-Прусской группировки противника, с боями заняли населенные пункты Швенгельс, Магген, Аугам, Воршинен, Блумштайн, Петерсвальде, Хогендорф, Штраубендорф, Шендамерау. В боях за 20 февраля западнее и юго-западнее Кенигсберга подбито и уничтожено 60 немецких танков и самоходных орудий.</w:t>
      </w:r>
    </w:p>
    <w:p w14:paraId="7BA3AF09" w14:textId="77777777" w:rsidR="000F49EC" w:rsidRPr="00925F26" w:rsidRDefault="000F49EC"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21 февраля с боем овладели городом Черск — важным узлом коммуникаций и сильным опорным пунктом обороны немцев в северо-западной части Польши, а также с боями заняли более 40 других населённых пунктов, среди которых крупные населённые пункты Езевиц, Нихтсфельде, Пескерфельде, Кирхенян, Оссик, Оцципель, Шенберг.</w:t>
      </w:r>
    </w:p>
    <w:p w14:paraId="517EDB9D" w14:textId="77777777" w:rsidR="000F49EC" w:rsidRPr="00925F26" w:rsidRDefault="000F49EC" w:rsidP="00925F26">
      <w:pPr>
        <w:jc w:val="both"/>
        <w:rPr>
          <w:color w:val="000000" w:themeColor="text1"/>
          <w:sz w:val="16"/>
          <w:szCs w:val="16"/>
        </w:rPr>
      </w:pPr>
      <w:r w:rsidRPr="00925F26">
        <w:rPr>
          <w:color w:val="000000" w:themeColor="text1"/>
          <w:sz w:val="16"/>
          <w:szCs w:val="16"/>
        </w:rPr>
        <w:t>В провинции Бранденбург наши войска с боем овладели городами Пфертен, Прибус, а также заняли более 50 других населённых пунктов, в том числе крупные населённые пункты Ламо, Кушерн, Форштадт, Герен, Ниверле, Цшехельн, Грефенхайн, Гроссзельтен, Лайппа. В боях за 20 февраля в этом районе наши войска подбили и уничтожили 49 немецких танков.</w:t>
      </w:r>
    </w:p>
    <w:p w14:paraId="0ABBECE1" w14:textId="77777777" w:rsidR="000F49EC" w:rsidRPr="00925F26" w:rsidRDefault="000F49EC" w:rsidP="00925F26">
      <w:pPr>
        <w:jc w:val="both"/>
        <w:rPr>
          <w:color w:val="000000" w:themeColor="text1"/>
          <w:sz w:val="16"/>
          <w:szCs w:val="16"/>
        </w:rPr>
      </w:pPr>
      <w:r w:rsidRPr="00925F26">
        <w:rPr>
          <w:color w:val="000000" w:themeColor="text1"/>
          <w:sz w:val="16"/>
          <w:szCs w:val="16"/>
        </w:rPr>
        <w:t>В районе Бреслау наши войска вели бои по уничтожению окружённой в городе группировки противника.</w:t>
      </w:r>
    </w:p>
    <w:p w14:paraId="667B3B38" w14:textId="77777777" w:rsidR="000F49EC" w:rsidRPr="00925F26" w:rsidRDefault="000F49EC" w:rsidP="00925F26">
      <w:pPr>
        <w:jc w:val="both"/>
        <w:rPr>
          <w:color w:val="000000" w:themeColor="text1"/>
          <w:sz w:val="16"/>
          <w:szCs w:val="16"/>
        </w:rPr>
      </w:pPr>
      <w:r w:rsidRPr="00925F26">
        <w:rPr>
          <w:color w:val="000000" w:themeColor="text1"/>
          <w:sz w:val="16"/>
          <w:szCs w:val="16"/>
        </w:rPr>
        <w:t>На северном берегу Дуная восточнее города Комарно атаки пехоты и танков противника отбивались нашими войсками. 20 февраля в этом районе подбито и уничтожено 38 немецких танков и самоходных орудий.</w:t>
      </w:r>
    </w:p>
    <w:p w14:paraId="209BB820" w14:textId="77777777" w:rsidR="000F49EC" w:rsidRPr="00925F26" w:rsidRDefault="000F49EC"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10F362DE" w14:textId="77777777" w:rsidR="000F49EC" w:rsidRPr="00925F26" w:rsidRDefault="000F49EC" w:rsidP="00925F26">
      <w:pPr>
        <w:jc w:val="both"/>
        <w:rPr>
          <w:color w:val="000000" w:themeColor="text1"/>
          <w:sz w:val="16"/>
          <w:szCs w:val="16"/>
        </w:rPr>
      </w:pPr>
      <w:r w:rsidRPr="00925F26">
        <w:rPr>
          <w:color w:val="000000" w:themeColor="text1"/>
          <w:sz w:val="16"/>
          <w:szCs w:val="16"/>
        </w:rPr>
        <w:t>За 20 февраля на всех фронтах подбито и уничтожено 180 немецких танков и самоходных орудий. В воздушных боях и огнём зенитной артиллерии сбито 67 самолетов противника.</w:t>
      </w:r>
    </w:p>
    <w:p w14:paraId="64249DD0" w14:textId="77777777" w:rsidR="000F49EC" w:rsidRPr="00925F26" w:rsidRDefault="000F49EC" w:rsidP="00925F26">
      <w:pPr>
        <w:jc w:val="both"/>
        <w:rPr>
          <w:color w:val="000000" w:themeColor="text1"/>
          <w:sz w:val="16"/>
          <w:szCs w:val="16"/>
        </w:rPr>
      </w:pPr>
      <w:r w:rsidRPr="00925F26">
        <w:rPr>
          <w:color w:val="000000" w:themeColor="text1"/>
          <w:sz w:val="16"/>
          <w:szCs w:val="16"/>
        </w:rPr>
        <w:t>Налёт нашей авиации на железнодорожные узлы и военные объекты в немецких городах Штеттин, Штаргард и Бреслау.</w:t>
      </w:r>
    </w:p>
    <w:p w14:paraId="6BC7131F" w14:textId="77777777" w:rsidR="000F49EC" w:rsidRPr="00925F26" w:rsidRDefault="000F49EC" w:rsidP="00925F26">
      <w:pPr>
        <w:jc w:val="both"/>
        <w:rPr>
          <w:color w:val="000000" w:themeColor="text1"/>
          <w:sz w:val="16"/>
          <w:szCs w:val="16"/>
        </w:rPr>
      </w:pPr>
      <w:r w:rsidRPr="00925F26">
        <w:rPr>
          <w:color w:val="000000" w:themeColor="text1"/>
          <w:sz w:val="16"/>
          <w:szCs w:val="16"/>
        </w:rPr>
        <w:t>В ночь на 21 февраля наши тяжёлые бомбардировщики нанесли удар по железнодорожным узлам и военным объектам в городах Штеттин а Штаргард. В результате бомбардировки возникли большие пожары. Горели железнодорожные эшелоны и военные склады противника. Особенно крупные пожары, сопровождавшиеся сильными взрывами, отмечены на железнодорожном узле Штаргард.</w:t>
      </w:r>
    </w:p>
    <w:p w14:paraId="4F356EF1" w14:textId="77777777" w:rsidR="000F49EC" w:rsidRPr="00925F26" w:rsidRDefault="000F49EC" w:rsidP="00925F26">
      <w:pPr>
        <w:jc w:val="both"/>
        <w:rPr>
          <w:color w:val="000000" w:themeColor="text1"/>
          <w:sz w:val="16"/>
          <w:szCs w:val="16"/>
        </w:rPr>
      </w:pPr>
      <w:r w:rsidRPr="00925F26">
        <w:rPr>
          <w:color w:val="000000" w:themeColor="text1"/>
          <w:sz w:val="16"/>
          <w:szCs w:val="16"/>
        </w:rPr>
        <w:t>Наша авиация бомбардировала также военно-промышленные объекты в городе Бреслау. Прямым попаданием бомб разрушен один военный завод. В расположении окружённой группировки немецких войск возникли пожары, сопровождавшиеся сильными взрывами.</w:t>
      </w:r>
    </w:p>
    <w:p w14:paraId="4FEDF5EE" w14:textId="77777777" w:rsidR="000F49EC" w:rsidRPr="00925F26" w:rsidRDefault="000F49EC" w:rsidP="00925F26">
      <w:pPr>
        <w:jc w:val="both"/>
        <w:rPr>
          <w:color w:val="000000" w:themeColor="text1"/>
          <w:sz w:val="16"/>
          <w:szCs w:val="16"/>
        </w:rPr>
      </w:pPr>
      <w:r w:rsidRPr="00925F26">
        <w:rPr>
          <w:color w:val="000000" w:themeColor="text1"/>
          <w:sz w:val="16"/>
          <w:szCs w:val="16"/>
        </w:rPr>
        <w:t>На Земландском полуострове противник, стремясь прорваться из Кенигсберга на запад, атакует наши позиции. Немцы сосредоточили крупные силы пехоты и танков и пытаются пробить коридор к порту Пиллау. Они бросают в бой всё новые и новые части, не считаясь с огромными потерями в живой силе и технике. Только на участке одного нашего соединения за день уничтожено 1.600 немецких солдат и офицеров.</w:t>
      </w:r>
    </w:p>
    <w:p w14:paraId="77009841" w14:textId="77777777" w:rsidR="000F49EC" w:rsidRPr="00925F26" w:rsidRDefault="000F49EC" w:rsidP="00925F26">
      <w:pPr>
        <w:jc w:val="both"/>
        <w:rPr>
          <w:color w:val="000000" w:themeColor="text1"/>
          <w:sz w:val="16"/>
          <w:szCs w:val="16"/>
        </w:rPr>
      </w:pPr>
      <w:r w:rsidRPr="00925F26">
        <w:rPr>
          <w:color w:val="000000" w:themeColor="text1"/>
          <w:sz w:val="16"/>
          <w:szCs w:val="16"/>
        </w:rPr>
        <w:t>Юго-западнее Кенигсберга продолжались ожесточённые бои на подступах к городу Цинтен — центральному опорному пункту укрепленного района немцев. Преодолевая сопротивление противника, советские части продвинулись вперёд и заняли ряд железобетонных дотов. На другом участке гитлеровцы неоднократно пытались ликвидировать плацдарм, захваченный нашими войсками на восточном берегу реки Пассарге. К исходу дня все вражеские контратаки были отбиты. На отдельных участках советские пехотинцы улучшили свои позиции. Захвачены трофеи и пленные.</w:t>
      </w:r>
    </w:p>
    <w:p w14:paraId="6CDDEBEC" w14:textId="77777777" w:rsidR="000F49EC" w:rsidRPr="00925F26" w:rsidRDefault="000F49EC" w:rsidP="00925F26">
      <w:pPr>
        <w:jc w:val="both"/>
        <w:rPr>
          <w:color w:val="000000" w:themeColor="text1"/>
          <w:sz w:val="16"/>
          <w:szCs w:val="16"/>
        </w:rPr>
      </w:pPr>
      <w:r w:rsidRPr="00925F26">
        <w:rPr>
          <w:color w:val="000000" w:themeColor="text1"/>
          <w:sz w:val="16"/>
          <w:szCs w:val="16"/>
        </w:rPr>
        <w:t>Наша авиация наносила удары по скоплениям войск и техники восточно-прусской группировки противника. Советские лётчики уничтожили 25 немецких танков, около 400 автомашин и повозок с грузами. Взорвано 4 склада боеприпасов, рассеяно и частью уничтожено до полка пехоты противника. В воздушных боях и огнём зенит-вой артиллерии сбито 19 немецких самолётов.</w:t>
      </w:r>
    </w:p>
    <w:p w14:paraId="18B0B5BF" w14:textId="77777777" w:rsidR="000F49EC" w:rsidRPr="00925F26" w:rsidRDefault="000F49EC" w:rsidP="00925F26">
      <w:pPr>
        <w:jc w:val="both"/>
        <w:rPr>
          <w:color w:val="000000" w:themeColor="text1"/>
          <w:sz w:val="16"/>
          <w:szCs w:val="16"/>
        </w:rPr>
      </w:pPr>
      <w:r w:rsidRPr="00925F26">
        <w:rPr>
          <w:color w:val="000000" w:themeColor="text1"/>
          <w:sz w:val="16"/>
          <w:szCs w:val="16"/>
        </w:rPr>
        <w:t xml:space="preserve">Войска 2-го Белорусского фронта продолжали наступление. Советские части стремительно продвинулись вперед и с боем овладели городом Черск. Немцы превратили этот город в сильно укреплённый опорный пункт своей обороны в северо-западной части Польши. На подступах к Черску они построили развитую сеть полевых укреплений, усиленных дотами. Лесистая местность, изобилующая озёрами и реками, затрудняла манёвр наших войск. Советская пехота, поддержанная артиллерией, атаковала противника, прорвала его оборону и ворвалась на улицы Черска. Гитлеровцы, засевшие в каменных домах, оказывали упорное сопротивление, но были </w:t>
      </w:r>
      <w:r w:rsidRPr="00925F26">
        <w:rPr>
          <w:color w:val="000000" w:themeColor="text1"/>
          <w:sz w:val="16"/>
          <w:szCs w:val="16"/>
        </w:rPr>
        <w:lastRenderedPageBreak/>
        <w:t>разгромлены. Город Черск является важным узлом коммуникаций. К нему сходятся четыре железных и несколько шоссейных дорог. В боях за город уничтожено до 2 тысяч немецких солдат и офицеров, 11 танков и самоходных орудий. Захвачено 26 орудий и другие трофеи.</w:t>
      </w:r>
    </w:p>
    <w:p w14:paraId="4E392159" w14:textId="77777777" w:rsidR="000F49EC" w:rsidRPr="00925F26" w:rsidRDefault="000F49EC" w:rsidP="00925F26">
      <w:pPr>
        <w:jc w:val="both"/>
        <w:rPr>
          <w:color w:val="000000" w:themeColor="text1"/>
          <w:sz w:val="16"/>
          <w:szCs w:val="16"/>
        </w:rPr>
      </w:pPr>
      <w:r w:rsidRPr="00925F26">
        <w:rPr>
          <w:color w:val="000000" w:themeColor="text1"/>
          <w:sz w:val="16"/>
          <w:szCs w:val="16"/>
        </w:rPr>
        <w:t>В провинции Бранденбург наши войска с боями продвигались вперёд. Советские пехотинцы и танкисты преодолели большой лесной массив и ведут бои на подступах к городу Губен. Другие наши части прорвали немецкую оборону в районе между озёрами и штурмом овладели городом Пфертен, расположенным в 7 километрах от промышленного центра Форст. Занят город Прибус и более 50 других населённых пунктов. Захвачены трофеи и взято в плен 360 немцев.</w:t>
      </w:r>
    </w:p>
    <w:p w14:paraId="00C13FAF" w14:textId="77777777" w:rsidR="000F49EC" w:rsidRPr="00925F26" w:rsidRDefault="000F49EC" w:rsidP="00925F26">
      <w:pPr>
        <w:jc w:val="both"/>
        <w:rPr>
          <w:color w:val="000000" w:themeColor="text1"/>
          <w:sz w:val="16"/>
          <w:szCs w:val="16"/>
        </w:rPr>
      </w:pPr>
      <w:r w:rsidRPr="00925F26">
        <w:rPr>
          <w:color w:val="000000" w:themeColor="text1"/>
          <w:sz w:val="16"/>
          <w:szCs w:val="16"/>
        </w:rPr>
        <w:t>В воздушных боях за день наши лётчики сбили 26 самолётов противника. Кроме того, на аэродроме уничтожено 10 немецких самолётов.</w:t>
      </w:r>
    </w:p>
    <w:p w14:paraId="10B4C2B7" w14:textId="77777777" w:rsidR="000F49EC" w:rsidRPr="00925F26" w:rsidRDefault="000F49EC" w:rsidP="00925F26">
      <w:pPr>
        <w:jc w:val="both"/>
        <w:rPr>
          <w:color w:val="000000" w:themeColor="text1"/>
          <w:sz w:val="16"/>
          <w:szCs w:val="16"/>
        </w:rPr>
      </w:pPr>
      <w:r w:rsidRPr="00925F26">
        <w:rPr>
          <w:color w:val="000000" w:themeColor="text1"/>
          <w:sz w:val="16"/>
          <w:szCs w:val="16"/>
        </w:rPr>
        <w:t>На северном берегу Дуная восточнее города Комарно наши войска отбивали атаки противника. Немцы бросили в бой свежие силы пехоты и танков, однако не добились никакого успеха. На подступах к нашим позициям остались сотни трупов гитлеровцев.</w:t>
      </w:r>
    </w:p>
    <w:p w14:paraId="019EAB6B" w14:textId="77777777" w:rsidR="000F49EC" w:rsidRPr="00925F26" w:rsidRDefault="000F49EC" w:rsidP="00925F26">
      <w:pPr>
        <w:jc w:val="both"/>
        <w:rPr>
          <w:color w:val="000000" w:themeColor="text1"/>
          <w:sz w:val="16"/>
          <w:szCs w:val="16"/>
        </w:rPr>
      </w:pPr>
      <w:r w:rsidRPr="00925F26">
        <w:rPr>
          <w:color w:val="000000" w:themeColor="text1"/>
          <w:sz w:val="16"/>
          <w:szCs w:val="16"/>
        </w:rPr>
        <w:t>Артиллерийская батарея лейтенанта Гиремого, отражая атаку противника, сожгла 2 немецких танка. В критический момент артиллеристы вступили в рукопашную схватку с вражеской пехотой и истребили группу немецких солдат и офицеров. Пулемётчик сержант Нуграм Мухарямов метким огнём уничтожил 20 гитлеровцев. Четыре лётчика-истребителя во главе с лейтенантом Мальцевым встретились с шестью немецкими истребителями. В результате воздушного боя наши лётчики сбили три самолёта противника.</w:t>
      </w:r>
    </w:p>
    <w:p w14:paraId="3F22EB0B" w14:textId="77777777" w:rsidR="000F49EC" w:rsidRPr="00925F26" w:rsidRDefault="000F49EC" w:rsidP="00925F26">
      <w:pPr>
        <w:jc w:val="both"/>
        <w:rPr>
          <w:color w:val="000000" w:themeColor="text1"/>
          <w:sz w:val="16"/>
          <w:szCs w:val="16"/>
          <w:lang w:val="en-US"/>
        </w:rPr>
      </w:pPr>
      <w:r w:rsidRPr="00925F26">
        <w:rPr>
          <w:color w:val="000000" w:themeColor="text1"/>
          <w:sz w:val="16"/>
          <w:szCs w:val="16"/>
        </w:rPr>
        <w:t xml:space="preserve">Авиацией Краснознамённого Балтийского флота в Данцигской бухте потоплены два немецких транспорта общим водоизмещением в 18 тысяч тонн.» </w:t>
      </w:r>
      <w:r w:rsidRPr="00925F26">
        <w:rPr>
          <w:color w:val="000000" w:themeColor="text1"/>
          <w:sz w:val="16"/>
          <w:szCs w:val="16"/>
          <w:lang w:val="en-US"/>
        </w:rPr>
        <w:t>(15047).</w:t>
      </w:r>
    </w:p>
    <w:p w14:paraId="399FEBE9" w14:textId="77777777" w:rsidR="000F49EC" w:rsidRPr="00925F26" w:rsidRDefault="000F49EC" w:rsidP="00925F26">
      <w:pPr>
        <w:jc w:val="both"/>
        <w:rPr>
          <w:color w:val="000000" w:themeColor="text1"/>
          <w:sz w:val="16"/>
          <w:szCs w:val="16"/>
          <w:lang w:val="en-US"/>
        </w:rPr>
      </w:pPr>
    </w:p>
    <w:p w14:paraId="472A2E5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21, 1945: On the Oder front, the Soviet 1st Ukrainian Front (Konev) captures Guben. The US 8th Air Force launches another heavy attack (over 1,000 bombers) against Nurnberg (3819).</w:t>
      </w:r>
    </w:p>
    <w:p w14:paraId="3840EAF8" w14:textId="77777777" w:rsidR="00665165" w:rsidRPr="00925F26" w:rsidRDefault="00665165" w:rsidP="00925F26">
      <w:pPr>
        <w:autoSpaceDE w:val="0"/>
        <w:autoSpaceDN w:val="0"/>
        <w:adjustRightInd w:val="0"/>
        <w:jc w:val="both"/>
        <w:rPr>
          <w:color w:val="000000" w:themeColor="text1"/>
          <w:sz w:val="16"/>
          <w:szCs w:val="16"/>
          <w:lang w:val="en-US"/>
        </w:rPr>
      </w:pPr>
    </w:p>
    <w:p w14:paraId="2D82EF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на Одерском фронте 1УФ (Конев) захватил Губен. 8ВА США совершила еще один массированный налет (1000 бомбардировщиков) на Нюрнберг (3819).</w:t>
      </w:r>
    </w:p>
    <w:p w14:paraId="13263A6D" w14:textId="77777777" w:rsidR="00665165" w:rsidRPr="00925F26" w:rsidRDefault="00665165" w:rsidP="00925F26">
      <w:pPr>
        <w:autoSpaceDE w:val="0"/>
        <w:autoSpaceDN w:val="0"/>
        <w:adjustRightInd w:val="0"/>
        <w:jc w:val="both"/>
        <w:rPr>
          <w:color w:val="000000" w:themeColor="text1"/>
          <w:sz w:val="16"/>
          <w:szCs w:val="16"/>
        </w:rPr>
      </w:pPr>
    </w:p>
    <w:p w14:paraId="3C9C27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7560 О подготовке летно-технических кадров в 1945 году. РГАНИР, Фонд ГКО, д. 372, лл. 106-110 (11012).</w:t>
      </w:r>
    </w:p>
    <w:p w14:paraId="4DA1C43C" w14:textId="77777777" w:rsidR="00665165" w:rsidRPr="00925F26" w:rsidRDefault="00665165" w:rsidP="00925F26">
      <w:pPr>
        <w:autoSpaceDE w:val="0"/>
        <w:autoSpaceDN w:val="0"/>
        <w:adjustRightInd w:val="0"/>
        <w:jc w:val="both"/>
        <w:rPr>
          <w:color w:val="000000" w:themeColor="text1"/>
          <w:sz w:val="16"/>
          <w:szCs w:val="16"/>
        </w:rPr>
      </w:pPr>
    </w:p>
    <w:p w14:paraId="51F215C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F394C6D" w14:textId="77777777" w:rsidR="00665165" w:rsidRPr="00925F26" w:rsidRDefault="00665165" w:rsidP="00925F26">
      <w:pPr>
        <w:autoSpaceDE w:val="0"/>
        <w:autoSpaceDN w:val="0"/>
        <w:adjustRightInd w:val="0"/>
        <w:jc w:val="both"/>
        <w:rPr>
          <w:iCs/>
          <w:color w:val="000000" w:themeColor="text1"/>
          <w:sz w:val="16"/>
          <w:szCs w:val="16"/>
        </w:rPr>
      </w:pPr>
    </w:p>
    <w:p w14:paraId="6435DE18" w14:textId="77777777" w:rsidR="003D5AF4" w:rsidRPr="00925F26" w:rsidRDefault="003D5AF4"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года экипаж Дж. Пауэра из VPB-131 на самолете PV-1 Локхид Вентура, добравшись до советского берега, выбросился с парашютами (3457,124).</w:t>
      </w:r>
    </w:p>
    <w:p w14:paraId="01961929" w14:textId="77777777" w:rsidR="003D5AF4" w:rsidRPr="00925F26" w:rsidRDefault="003D5AF4" w:rsidP="00925F26">
      <w:pPr>
        <w:autoSpaceDE w:val="0"/>
        <w:autoSpaceDN w:val="0"/>
        <w:adjustRightInd w:val="0"/>
        <w:jc w:val="both"/>
        <w:rPr>
          <w:color w:val="000000" w:themeColor="text1"/>
          <w:sz w:val="16"/>
          <w:szCs w:val="16"/>
        </w:rPr>
      </w:pPr>
    </w:p>
    <w:p w14:paraId="764FF69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 7559 [О выделении Войску Польскому вооружения, автотранспорта, снаряжения, обмундирования и о приеме польских офицеров в советские военные академии. (7309, 95-97,98-105).</w:t>
      </w:r>
    </w:p>
    <w:p w14:paraId="74B3B74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D8AFB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вышло постановление ГКО о создании при действующих фронтах постоянных “комиссий по вывозу оборудования и материалов с территории Польши и Германии” И.В.С. оценивал ущерб в 750 млрд. долл., но союзники предложили 10 млрд. В ценных бумагах (4301).</w:t>
      </w:r>
    </w:p>
    <w:p w14:paraId="47E42B6D" w14:textId="77777777" w:rsidR="00665165" w:rsidRPr="00925F26" w:rsidRDefault="00665165" w:rsidP="00925F26">
      <w:pPr>
        <w:autoSpaceDE w:val="0"/>
        <w:autoSpaceDN w:val="0"/>
        <w:adjustRightInd w:val="0"/>
        <w:jc w:val="both"/>
        <w:rPr>
          <w:color w:val="000000" w:themeColor="text1"/>
          <w:sz w:val="16"/>
          <w:szCs w:val="16"/>
        </w:rPr>
      </w:pPr>
    </w:p>
    <w:p w14:paraId="1762C99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3DB98C4" w14:textId="77777777" w:rsidR="00665165" w:rsidRPr="00925F26" w:rsidRDefault="00665165" w:rsidP="00925F26">
      <w:pPr>
        <w:autoSpaceDE w:val="0"/>
        <w:autoSpaceDN w:val="0"/>
        <w:adjustRightInd w:val="0"/>
        <w:jc w:val="both"/>
        <w:rPr>
          <w:iCs/>
          <w:color w:val="000000" w:themeColor="text1"/>
          <w:sz w:val="16"/>
          <w:szCs w:val="16"/>
        </w:rPr>
      </w:pPr>
    </w:p>
    <w:p w14:paraId="5A806FEB" w14:textId="77777777" w:rsidR="000F49EC" w:rsidRPr="00925F26" w:rsidRDefault="000F49EC" w:rsidP="00925F26">
      <w:pPr>
        <w:jc w:val="both"/>
        <w:rPr>
          <w:color w:val="000000" w:themeColor="text1"/>
          <w:sz w:val="16"/>
          <w:szCs w:val="16"/>
        </w:rPr>
      </w:pPr>
      <w:r w:rsidRPr="00925F26">
        <w:rPr>
          <w:bCs/>
          <w:color w:val="000000" w:themeColor="text1"/>
          <w:sz w:val="16"/>
          <w:szCs w:val="16"/>
        </w:rPr>
        <w:t>21 февраля</w:t>
      </w:r>
      <w:r w:rsidRPr="00925F26">
        <w:rPr>
          <w:color w:val="000000" w:themeColor="text1"/>
          <w:sz w:val="16"/>
          <w:szCs w:val="16"/>
        </w:rPr>
        <w:t xml:space="preserve"> в 1945 году первый полёт палубного многоцелевого истребителя </w:t>
      </w:r>
      <w:hyperlink r:id="rId45" w:tgtFrame="_blank" w:history="1">
        <w:r w:rsidRPr="00925F26">
          <w:rPr>
            <w:color w:val="000000" w:themeColor="text1"/>
            <w:sz w:val="16"/>
            <w:szCs w:val="16"/>
          </w:rPr>
          <w:t xml:space="preserve">«Sea Fury» («SR661») </w:t>
        </w:r>
      </w:hyperlink>
      <w:r w:rsidRPr="00925F26">
        <w:rPr>
          <w:color w:val="000000" w:themeColor="text1"/>
          <w:sz w:val="16"/>
          <w:szCs w:val="16"/>
        </w:rPr>
        <w:t>(компания «Hawker», Великобритания). Война уже подходила к концу, поэтому заказы на серийное производство были значительно сокращены. Контракт с фирмой "Болтон-Пол Эйркрафт" был аннулирован, и все производство сосредотачивалось в Кингстоне. После окончания войны было принято решение о дальнейшем сокращении: «Си Фьюри» «Мк.Х» выпускался только для нужд флота. Самолет «Хоукер» "Си Фьюри" был самым скоростным поршневым истребителем британского военно-морского флота. Он и сегодня используется в США как гоночная машина, много раз побеждавшая своих соперников - модифицированные американские самолёты времен Второй мировой войны. Самый быстрый прототип "Фьюри" был оснащён мотором "Сейбр" VII и в 1944 году показал скорость 777 км/ч (15047).</w:t>
      </w:r>
    </w:p>
    <w:p w14:paraId="0C52669C" w14:textId="77777777" w:rsidR="000F49EC" w:rsidRPr="00925F26" w:rsidRDefault="000F49EC" w:rsidP="00925F26">
      <w:pPr>
        <w:jc w:val="both"/>
        <w:rPr>
          <w:color w:val="000000" w:themeColor="text1"/>
          <w:sz w:val="16"/>
          <w:szCs w:val="16"/>
        </w:rPr>
      </w:pPr>
    </w:p>
    <w:p w14:paraId="4D2B6F3A" w14:textId="77777777" w:rsidR="000C1B0E" w:rsidRPr="00925F26" w:rsidRDefault="000C1B0E" w:rsidP="00925F26">
      <w:pPr>
        <w:jc w:val="both"/>
        <w:rPr>
          <w:color w:val="000000" w:themeColor="text1"/>
          <w:sz w:val="16"/>
          <w:szCs w:val="16"/>
        </w:rPr>
      </w:pPr>
      <w:r w:rsidRPr="00925F26">
        <w:rPr>
          <w:color w:val="000000" w:themeColor="text1"/>
          <w:sz w:val="16"/>
          <w:szCs w:val="16"/>
        </w:rPr>
        <w:t>21 февраля 1945 первый полет прототипа Hawker Sea Fury SR661 (20371).</w:t>
      </w:r>
    </w:p>
    <w:p w14:paraId="1656EAA6" w14:textId="77777777" w:rsidR="000C1B0E" w:rsidRPr="00925F26" w:rsidRDefault="000C1B0E" w:rsidP="00925F26">
      <w:pPr>
        <w:jc w:val="both"/>
        <w:rPr>
          <w:color w:val="000000" w:themeColor="text1"/>
          <w:sz w:val="16"/>
          <w:szCs w:val="16"/>
        </w:rPr>
      </w:pPr>
    </w:p>
    <w:p w14:paraId="1F74AF55" w14:textId="138A9533" w:rsidR="000C1B0E" w:rsidRPr="00925F26" w:rsidRDefault="000C1B0E" w:rsidP="00925F26">
      <w:pPr>
        <w:jc w:val="both"/>
        <w:rPr>
          <w:color w:val="000000" w:themeColor="text1"/>
          <w:sz w:val="16"/>
          <w:szCs w:val="16"/>
        </w:rPr>
      </w:pPr>
      <w:r w:rsidRPr="00925F26">
        <w:rPr>
          <w:color w:val="000000" w:themeColor="text1"/>
          <w:sz w:val="16"/>
          <w:szCs w:val="16"/>
        </w:rPr>
        <w:t xml:space="preserve">21 февраля 1945 года — первый полёт палубного </w:t>
      </w:r>
      <w:proofErr w:type="gramStart"/>
      <w:r w:rsidRPr="00925F26">
        <w:rPr>
          <w:color w:val="000000" w:themeColor="text1"/>
          <w:sz w:val="16"/>
          <w:szCs w:val="16"/>
        </w:rPr>
        <w:t>истребителя</w:t>
      </w:r>
      <w:r w:rsidR="00997EDF" w:rsidRPr="00925F26">
        <w:rPr>
          <w:color w:val="000000" w:themeColor="text1"/>
          <w:sz w:val="16"/>
          <w:szCs w:val="16"/>
        </w:rPr>
        <w:t xml:space="preserve">  </w:t>
      </w:r>
      <w:r w:rsidRPr="00925F26">
        <w:rPr>
          <w:color w:val="000000" w:themeColor="text1"/>
          <w:sz w:val="16"/>
          <w:szCs w:val="16"/>
        </w:rPr>
        <w:t>Hawker</w:t>
      </w:r>
      <w:proofErr w:type="gramEnd"/>
      <w:r w:rsidRPr="00925F26">
        <w:rPr>
          <w:color w:val="000000" w:themeColor="text1"/>
          <w:sz w:val="16"/>
          <w:szCs w:val="16"/>
        </w:rPr>
        <w:t xml:space="preserve"> Sea Fury.</w:t>
      </w:r>
    </w:p>
    <w:p w14:paraId="5A771F3A" w14:textId="2F0614B3" w:rsidR="000C1B0E" w:rsidRPr="00925F26" w:rsidRDefault="000C1B0E" w:rsidP="00925F26">
      <w:pPr>
        <w:jc w:val="both"/>
        <w:rPr>
          <w:color w:val="000000" w:themeColor="text1"/>
          <w:sz w:val="16"/>
          <w:szCs w:val="16"/>
        </w:rPr>
      </w:pPr>
      <w:r w:rsidRPr="00925F26">
        <w:rPr>
          <w:color w:val="000000" w:themeColor="text1"/>
          <w:sz w:val="16"/>
          <w:szCs w:val="16"/>
        </w:rPr>
        <w:t xml:space="preserve">Разработка самолёта началась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1943</w:t>
      </w:r>
      <w:proofErr w:type="gramEnd"/>
      <w:r w:rsidRPr="00925F26">
        <w:rPr>
          <w:color w:val="000000" w:themeColor="text1"/>
          <w:sz w:val="16"/>
          <w:szCs w:val="16"/>
        </w:rPr>
        <w:t xml:space="preserve"> </w:t>
      </w:r>
      <w:proofErr w:type="gramStart"/>
      <w:r w:rsidRPr="00925F26">
        <w:rPr>
          <w:color w:val="000000" w:themeColor="text1"/>
          <w:sz w:val="16"/>
          <w:szCs w:val="16"/>
        </w:rPr>
        <w:t>году</w:t>
      </w:r>
      <w:r w:rsidR="00997EDF" w:rsidRPr="00925F26">
        <w:rPr>
          <w:color w:val="000000" w:themeColor="text1"/>
          <w:sz w:val="16"/>
          <w:szCs w:val="16"/>
        </w:rPr>
        <w:t xml:space="preserve">  </w:t>
      </w:r>
      <w:r w:rsidRPr="00925F26">
        <w:rPr>
          <w:color w:val="000000" w:themeColor="text1"/>
          <w:sz w:val="16"/>
          <w:szCs w:val="16"/>
        </w:rPr>
        <w:t>на</w:t>
      </w:r>
      <w:proofErr w:type="gramEnd"/>
      <w:r w:rsidRPr="00925F26">
        <w:rPr>
          <w:color w:val="000000" w:themeColor="text1"/>
          <w:sz w:val="16"/>
          <w:szCs w:val="16"/>
        </w:rPr>
        <w:t xml:space="preserve"> базе </w:t>
      </w:r>
      <w:proofErr w:type="gramStart"/>
      <w:r w:rsidRPr="00925F26">
        <w:rPr>
          <w:color w:val="000000" w:themeColor="text1"/>
          <w:sz w:val="16"/>
          <w:szCs w:val="16"/>
        </w:rPr>
        <w:t>истребителя</w:t>
      </w:r>
      <w:r w:rsidR="00997EDF" w:rsidRPr="00925F26">
        <w:rPr>
          <w:color w:val="000000" w:themeColor="text1"/>
          <w:sz w:val="16"/>
          <w:szCs w:val="16"/>
        </w:rPr>
        <w:t xml:space="preserve">  </w:t>
      </w:r>
      <w:r w:rsidRPr="00925F26">
        <w:rPr>
          <w:color w:val="000000" w:themeColor="text1"/>
          <w:sz w:val="16"/>
          <w:szCs w:val="16"/>
        </w:rPr>
        <w:t>Hawker</w:t>
      </w:r>
      <w:proofErr w:type="gramEnd"/>
      <w:r w:rsidRPr="00925F26">
        <w:rPr>
          <w:color w:val="000000" w:themeColor="text1"/>
          <w:sz w:val="16"/>
          <w:szCs w:val="16"/>
        </w:rPr>
        <w:t xml:space="preserve"> Tempest. Первоначально проект назывался просто Fury и основывался на требованиях Королевских ВВС. В связи с окончанием Второй мировой войны RAF отменили свой заказ, но самолётом заинтересовался Королевский ВМФ, нуждавшийся в замене устаревшей палубной авиации.</w:t>
      </w:r>
    </w:p>
    <w:p w14:paraId="26F5DBA0" w14:textId="0716B012" w:rsidR="000C1B0E" w:rsidRPr="00925F26" w:rsidRDefault="000C1B0E" w:rsidP="00925F26">
      <w:pPr>
        <w:jc w:val="both"/>
        <w:rPr>
          <w:color w:val="000000" w:themeColor="text1"/>
          <w:sz w:val="16"/>
          <w:szCs w:val="16"/>
        </w:rPr>
      </w:pPr>
      <w:r w:rsidRPr="00925F26">
        <w:rPr>
          <w:color w:val="000000" w:themeColor="text1"/>
          <w:sz w:val="16"/>
          <w:szCs w:val="16"/>
        </w:rPr>
        <w:t xml:space="preserve">Считается, что многие требования к (Sea) Fury оформились после знакомства англичан с </w:t>
      </w:r>
      <w:proofErr w:type="gramStart"/>
      <w:r w:rsidRPr="00925F26">
        <w:rPr>
          <w:color w:val="000000" w:themeColor="text1"/>
          <w:sz w:val="16"/>
          <w:szCs w:val="16"/>
        </w:rPr>
        <w:t>немецким</w:t>
      </w:r>
      <w:r w:rsidR="00997EDF" w:rsidRPr="00925F26">
        <w:rPr>
          <w:color w:val="000000" w:themeColor="text1"/>
          <w:sz w:val="16"/>
          <w:szCs w:val="16"/>
        </w:rPr>
        <w:t xml:space="preserve">  </w:t>
      </w:r>
      <w:r w:rsidRPr="00925F26">
        <w:rPr>
          <w:color w:val="000000" w:themeColor="text1"/>
          <w:sz w:val="16"/>
          <w:szCs w:val="16"/>
        </w:rPr>
        <w:t>Focke</w:t>
      </w:r>
      <w:proofErr w:type="gramEnd"/>
      <w:r w:rsidRPr="00925F26">
        <w:rPr>
          <w:color w:val="000000" w:themeColor="text1"/>
          <w:sz w:val="16"/>
          <w:szCs w:val="16"/>
        </w:rPr>
        <w:t xml:space="preserve">-Wulf Fw 190A-9. Решили создавать лёгкий и быстрый истребитель для воздушного боя. Облегчение достигалось за счёт меньших размеров, использования лёгких сплавов, сокращения оборудования и запасов горючего. От Tempest'а самолёт получил внешние секции крыла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4</w:t>
      </w:r>
      <w:proofErr w:type="gramEnd"/>
      <w:r w:rsidRPr="00925F26">
        <w:rPr>
          <w:color w:val="000000" w:themeColor="text1"/>
          <w:sz w:val="16"/>
          <w:szCs w:val="16"/>
        </w:rPr>
        <w:t xml:space="preserve"> × 20-мм пушки.</w:t>
      </w:r>
    </w:p>
    <w:p w14:paraId="40F73DA6" w14:textId="1AF2AAD8" w:rsidR="000C1B0E" w:rsidRPr="00925F26" w:rsidRDefault="000C1B0E" w:rsidP="00925F26">
      <w:pPr>
        <w:jc w:val="both"/>
        <w:rPr>
          <w:color w:val="000000" w:themeColor="text1"/>
          <w:sz w:val="16"/>
          <w:szCs w:val="16"/>
        </w:rPr>
      </w:pPr>
      <w:r w:rsidRPr="00925F26">
        <w:rPr>
          <w:color w:val="000000" w:themeColor="text1"/>
          <w:sz w:val="16"/>
          <w:szCs w:val="16"/>
        </w:rPr>
        <w:t xml:space="preserve">Sea </w:t>
      </w:r>
      <w:proofErr w:type="gramStart"/>
      <w:r w:rsidRPr="00925F26">
        <w:rPr>
          <w:color w:val="000000" w:themeColor="text1"/>
          <w:sz w:val="16"/>
          <w:szCs w:val="16"/>
        </w:rPr>
        <w:t>Fury</w:t>
      </w:r>
      <w:r w:rsidR="00997EDF" w:rsidRPr="00925F26">
        <w:rPr>
          <w:color w:val="000000" w:themeColor="text1"/>
          <w:sz w:val="16"/>
          <w:szCs w:val="16"/>
        </w:rPr>
        <w:t xml:space="preserve">  </w:t>
      </w:r>
      <w:r w:rsidRPr="00925F26">
        <w:rPr>
          <w:color w:val="000000" w:themeColor="text1"/>
          <w:sz w:val="16"/>
          <w:szCs w:val="16"/>
        </w:rPr>
        <w:t>стал</w:t>
      </w:r>
      <w:proofErr w:type="gramEnd"/>
      <w:r w:rsidRPr="00925F26">
        <w:rPr>
          <w:color w:val="000000" w:themeColor="text1"/>
          <w:sz w:val="16"/>
          <w:szCs w:val="16"/>
        </w:rPr>
        <w:t xml:space="preserve"> последним и самым быстрым поршневым истребителем британского ВМФ. Уже к середине 1950-х годов его заменила реактивная авиация. Дольше всего «Фьюри» прослужил в ВВС Пакиcтана — до</w:t>
      </w:r>
      <w:r w:rsidR="00997EDF" w:rsidRPr="00925F26">
        <w:rPr>
          <w:color w:val="000000" w:themeColor="text1"/>
          <w:sz w:val="16"/>
          <w:szCs w:val="16"/>
        </w:rPr>
        <w:t xml:space="preserve">  </w:t>
      </w:r>
      <w:r w:rsidRPr="00925F26">
        <w:rPr>
          <w:color w:val="000000" w:themeColor="text1"/>
          <w:sz w:val="16"/>
          <w:szCs w:val="16"/>
        </w:rPr>
        <w:t>1973 года. Сегодня Hawker Sea Fury можно встретить в роли гоночного самолёта в США (22300).</w:t>
      </w:r>
    </w:p>
    <w:p w14:paraId="6804EFCE" w14:textId="77777777" w:rsidR="000C1B0E" w:rsidRPr="00925F26" w:rsidRDefault="000C1B0E" w:rsidP="00925F26">
      <w:pPr>
        <w:jc w:val="both"/>
        <w:rPr>
          <w:color w:val="000000" w:themeColor="text1"/>
          <w:sz w:val="16"/>
          <w:szCs w:val="16"/>
        </w:rPr>
      </w:pPr>
    </w:p>
    <w:p w14:paraId="50373926" w14:textId="77777777" w:rsidR="000F49EC" w:rsidRPr="00925F26" w:rsidRDefault="000F49EC" w:rsidP="00925F26">
      <w:pPr>
        <w:jc w:val="both"/>
        <w:rPr>
          <w:color w:val="000000" w:themeColor="text1"/>
          <w:sz w:val="16"/>
          <w:szCs w:val="16"/>
        </w:rPr>
      </w:pPr>
      <w:r w:rsidRPr="00925F26">
        <w:rPr>
          <w:bCs/>
          <w:color w:val="000000" w:themeColor="text1"/>
          <w:sz w:val="16"/>
          <w:szCs w:val="16"/>
        </w:rPr>
        <w:t>21 февраля</w:t>
      </w:r>
      <w:r w:rsidRPr="00925F26">
        <w:rPr>
          <w:color w:val="000000" w:themeColor="text1"/>
          <w:sz w:val="16"/>
          <w:szCs w:val="16"/>
        </w:rPr>
        <w:t xml:space="preserve"> в 1945 году очередная немецкая ракета "A-4"/SS-1/Scunner/ (Фау-2) пущенная по Антверпену полетела в другую сторону и угодила в Hengelo на улицу Berflostraat. В результате было убито 24 человека, а также полностью разрушено 20 домов (15047).</w:t>
      </w:r>
    </w:p>
    <w:p w14:paraId="719855C5" w14:textId="77777777" w:rsidR="000F49EC" w:rsidRPr="00925F26" w:rsidRDefault="000F49EC" w:rsidP="00925F26">
      <w:pPr>
        <w:jc w:val="both"/>
        <w:rPr>
          <w:color w:val="000000" w:themeColor="text1"/>
          <w:sz w:val="16"/>
          <w:szCs w:val="16"/>
        </w:rPr>
      </w:pPr>
    </w:p>
    <w:p w14:paraId="7C1F6724" w14:textId="77777777" w:rsidR="000F49EC" w:rsidRPr="00925F26" w:rsidRDefault="000F49EC" w:rsidP="00925F26">
      <w:pPr>
        <w:jc w:val="both"/>
        <w:rPr>
          <w:color w:val="000000" w:themeColor="text1"/>
          <w:sz w:val="16"/>
          <w:szCs w:val="16"/>
        </w:rPr>
      </w:pPr>
      <w:r w:rsidRPr="00925F26">
        <w:rPr>
          <w:bCs/>
          <w:color w:val="000000" w:themeColor="text1"/>
          <w:sz w:val="16"/>
          <w:szCs w:val="16"/>
        </w:rPr>
        <w:t>21 февраля</w:t>
      </w:r>
      <w:r w:rsidRPr="00925F26">
        <w:rPr>
          <w:color w:val="000000" w:themeColor="text1"/>
          <w:sz w:val="16"/>
          <w:szCs w:val="16"/>
        </w:rPr>
        <w:t xml:space="preserve"> в 1945 году потоплен в результате атаки двух камикадзе авианосец «Bismark Sea» (15047).</w:t>
      </w:r>
    </w:p>
    <w:p w14:paraId="5BC4C497" w14:textId="77777777" w:rsidR="000F49EC" w:rsidRPr="00925F26" w:rsidRDefault="000F49EC" w:rsidP="00925F26">
      <w:pPr>
        <w:jc w:val="both"/>
        <w:rPr>
          <w:color w:val="000000" w:themeColor="text1"/>
          <w:sz w:val="16"/>
          <w:szCs w:val="16"/>
        </w:rPr>
      </w:pPr>
    </w:p>
    <w:p w14:paraId="26B6C0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февраля 1945 делегация СНС Словакии передала свои полномочия президиуму СНС (3186).</w:t>
      </w:r>
    </w:p>
    <w:p w14:paraId="4BF39655" w14:textId="77777777" w:rsidR="00665165" w:rsidRPr="00925F26" w:rsidRDefault="00665165" w:rsidP="00925F26">
      <w:pPr>
        <w:autoSpaceDE w:val="0"/>
        <w:autoSpaceDN w:val="0"/>
        <w:adjustRightInd w:val="0"/>
        <w:jc w:val="both"/>
        <w:rPr>
          <w:color w:val="000000" w:themeColor="text1"/>
          <w:sz w:val="16"/>
          <w:szCs w:val="16"/>
        </w:rPr>
      </w:pPr>
    </w:p>
    <w:p w14:paraId="7FF93342" w14:textId="77777777" w:rsidR="000C1B0E" w:rsidRPr="00925F26" w:rsidRDefault="000C1B0E" w:rsidP="00925F26">
      <w:pPr>
        <w:jc w:val="both"/>
        <w:rPr>
          <w:color w:val="000000" w:themeColor="text1"/>
          <w:sz w:val="16"/>
          <w:szCs w:val="16"/>
        </w:rPr>
      </w:pPr>
      <w:r w:rsidRPr="00925F26">
        <w:rPr>
          <w:color w:val="000000" w:themeColor="text1"/>
          <w:sz w:val="16"/>
          <w:szCs w:val="16"/>
        </w:rPr>
        <w:t xml:space="preserve">21 февраля 1945 японские камикадзе атакуют американские корабли у побережья Иводзимы. Они серьезно повредили авианосец USS Saratoga, который потерял 123 человека убитыми и пропавшими без вести и 192 ранеными, а также потерял 42 самолета и выбыл из строя на три месяца; потопили эскортный авианосец USS Bismarck Sea с потерей 218 членов экипажа; и повредили эскортный авианосец USS Lunga Point и эсминец USS </w:t>
      </w:r>
      <w:proofErr w:type="gramStart"/>
      <w:r w:rsidRPr="00925F26">
        <w:rPr>
          <w:color w:val="000000" w:themeColor="text1"/>
          <w:sz w:val="16"/>
          <w:szCs w:val="16"/>
        </w:rPr>
        <w:t>Keokuk .</w:t>
      </w:r>
      <w:proofErr w:type="gramEnd"/>
      <w:r w:rsidRPr="00925F26">
        <w:rPr>
          <w:color w:val="000000" w:themeColor="text1"/>
          <w:sz w:val="16"/>
          <w:szCs w:val="16"/>
        </w:rPr>
        <w:t xml:space="preserve"> Bismarck Sea на сегодняшний день является последним авианосцем США, потопленным в результате вражеских действий (20371).</w:t>
      </w:r>
    </w:p>
    <w:p w14:paraId="16305946" w14:textId="77777777" w:rsidR="000C1B0E" w:rsidRPr="00925F26" w:rsidRDefault="000C1B0E" w:rsidP="00925F26">
      <w:pPr>
        <w:jc w:val="both"/>
        <w:rPr>
          <w:color w:val="000000" w:themeColor="text1"/>
          <w:sz w:val="16"/>
          <w:szCs w:val="16"/>
        </w:rPr>
      </w:pPr>
    </w:p>
    <w:p w14:paraId="5ADB174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218641F" w14:textId="77777777" w:rsidR="00665165" w:rsidRPr="00925F26" w:rsidRDefault="00665165" w:rsidP="00925F26">
      <w:pPr>
        <w:autoSpaceDE w:val="0"/>
        <w:autoSpaceDN w:val="0"/>
        <w:adjustRightInd w:val="0"/>
        <w:jc w:val="both"/>
        <w:rPr>
          <w:iCs/>
          <w:color w:val="000000" w:themeColor="text1"/>
          <w:sz w:val="16"/>
          <w:szCs w:val="16"/>
        </w:rPr>
      </w:pPr>
    </w:p>
    <w:p w14:paraId="1CC5B9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февраля 1945 года А. Кузнецов писал письмо N Н-32/</w:t>
      </w:r>
      <w:proofErr w:type="gramStart"/>
      <w:r w:rsidRPr="00925F26">
        <w:rPr>
          <w:color w:val="000000" w:themeColor="text1"/>
          <w:sz w:val="16"/>
          <w:szCs w:val="16"/>
        </w:rPr>
        <w:t>8..</w:t>
      </w:r>
      <w:proofErr w:type="gramEnd"/>
      <w:r w:rsidRPr="00925F26">
        <w:rPr>
          <w:color w:val="000000" w:themeColor="text1"/>
          <w:sz w:val="16"/>
          <w:szCs w:val="16"/>
        </w:rPr>
        <w:t xml:space="preserve"> зам. командующего ВВС генерал-полковнику авиации Никитину А.В.</w:t>
      </w:r>
    </w:p>
    <w:p w14:paraId="686F0A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Отечественной войны 1941 года был установлен порядок об отправке с заводов </w:t>
      </w:r>
      <w:proofErr w:type="gramStart"/>
      <w:r w:rsidRPr="00925F26">
        <w:rPr>
          <w:color w:val="000000" w:themeColor="text1"/>
          <w:sz w:val="16"/>
          <w:szCs w:val="16"/>
        </w:rPr>
        <w:t>самолетов</w:t>
      </w:r>
      <w:proofErr w:type="gramEnd"/>
      <w:r w:rsidRPr="00925F26">
        <w:rPr>
          <w:color w:val="000000" w:themeColor="text1"/>
          <w:sz w:val="16"/>
          <w:szCs w:val="16"/>
        </w:rPr>
        <w:t xml:space="preserve"> снаряженных боекомплектами.</w:t>
      </w:r>
    </w:p>
    <w:p w14:paraId="06E2DB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требовалось по причине близости фронта, куда непосредственно отправлялись с заводов самолеты.</w:t>
      </w:r>
    </w:p>
    <w:p w14:paraId="480A2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данное время все самолеты Ил-2 с завода N 30 идут не в войсковые части, а в ЗАП"ы и надобность в снаряжении их боекомплектами отпала.</w:t>
      </w:r>
    </w:p>
    <w:p w14:paraId="486713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Снаряжение боекомплектами отправляемых самолетов чрезвычайно затрудняет работу завода N 30 из-за отсутствия приспособленных складов для хранения боеприпасов.</w:t>
      </w:r>
    </w:p>
    <w:p w14:paraId="35629F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Исходя из этого прошу разрешить заводу N 30 отправлять самолеты Ил-2 в ЗАП"ы без боекомплектов (1879).</w:t>
      </w:r>
    </w:p>
    <w:p w14:paraId="239C9145" w14:textId="77777777" w:rsidR="00665165" w:rsidRPr="00925F26" w:rsidRDefault="00665165" w:rsidP="00925F26">
      <w:pPr>
        <w:autoSpaceDE w:val="0"/>
        <w:autoSpaceDN w:val="0"/>
        <w:adjustRightInd w:val="0"/>
        <w:jc w:val="both"/>
        <w:rPr>
          <w:color w:val="000000" w:themeColor="text1"/>
          <w:sz w:val="16"/>
          <w:szCs w:val="16"/>
        </w:rPr>
      </w:pPr>
    </w:p>
    <w:p w14:paraId="487DDAAF" w14:textId="77777777" w:rsidR="0032140A" w:rsidRPr="00925F26" w:rsidRDefault="0032140A" w:rsidP="00925F26">
      <w:pPr>
        <w:jc w:val="both"/>
        <w:rPr>
          <w:color w:val="000000" w:themeColor="text1"/>
          <w:sz w:val="16"/>
          <w:szCs w:val="16"/>
        </w:rPr>
      </w:pPr>
      <w:r w:rsidRPr="00925F26">
        <w:rPr>
          <w:color w:val="000000" w:themeColor="text1"/>
          <w:sz w:val="16"/>
          <w:szCs w:val="16"/>
        </w:rPr>
        <w:t xml:space="preserve">22 февраля 1945 г.Отдел ГК НИИ ВВС письмом от </w:t>
      </w:r>
      <w:r w:rsidRPr="00925F26">
        <w:rPr>
          <w:rStyle w:val="aff6"/>
          <w:rFonts w:ascii="Times New Roman" w:hAnsi="Times New Roman" w:cs="Times New Roman"/>
          <w:i w:val="0"/>
          <w:color w:val="000000" w:themeColor="text1"/>
        </w:rPr>
        <w:t>«временно разрешил только заводу №125 НКАП и только впредь до освоения в производстве стали марки АБ-3 изготовлять бронедетали толщиной 8 и 15 мм гомогенной брони ХД».</w:t>
      </w:r>
      <w:r w:rsidRPr="00925F26">
        <w:rPr>
          <w:color w:val="000000" w:themeColor="text1"/>
          <w:sz w:val="16"/>
          <w:szCs w:val="16"/>
        </w:rPr>
        <w:t xml:space="preserve"> Сталь АБ-3 к тому мо</w:t>
      </w:r>
      <w:r w:rsidRPr="00925F26">
        <w:rPr>
          <w:color w:val="000000" w:themeColor="text1"/>
          <w:sz w:val="16"/>
          <w:szCs w:val="16"/>
        </w:rPr>
        <w:softHyphen/>
        <w:t>менту уже была запущена в валовое производ</w:t>
      </w:r>
      <w:r w:rsidRPr="00925F26">
        <w:rPr>
          <w:color w:val="000000" w:themeColor="text1"/>
          <w:sz w:val="16"/>
          <w:szCs w:val="16"/>
        </w:rPr>
        <w:softHyphen/>
        <w:t>ство и удовлетворяла требованиям ВВС КА как заменитель АБ-2 (17479).</w:t>
      </w:r>
    </w:p>
    <w:p w14:paraId="1F3B4484" w14:textId="77777777" w:rsidR="0032140A" w:rsidRPr="00925F26" w:rsidRDefault="0032140A" w:rsidP="00925F26">
      <w:pPr>
        <w:jc w:val="both"/>
        <w:rPr>
          <w:color w:val="000000" w:themeColor="text1"/>
          <w:sz w:val="16"/>
          <w:szCs w:val="16"/>
        </w:rPr>
      </w:pPr>
    </w:p>
    <w:p w14:paraId="3FC046BB"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период с 22 по 28 февраля 1945 г. прошел испытания прицел ПШ-3, который был разработан за</w:t>
      </w:r>
      <w:r w:rsidRPr="00925F26">
        <w:rPr>
          <w:rFonts w:ascii="Times New Roman" w:hAnsi="Times New Roman" w:cs="Times New Roman"/>
          <w:color w:val="000000" w:themeColor="text1"/>
          <w:sz w:val="16"/>
          <w:szCs w:val="16"/>
        </w:rPr>
        <w:softHyphen/>
        <w:t>водом №589 НКВ. В целом государственные испытания на самолете Ил-2 в ГК НИИ ВВС прошли успешно.</w:t>
      </w:r>
    </w:p>
    <w:p w14:paraId="4E665869"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Проведение испытаний ПШ-3 на са</w:t>
      </w:r>
      <w:r w:rsidRPr="00925F26">
        <w:rPr>
          <w:rFonts w:ascii="Times New Roman" w:hAnsi="Times New Roman" w:cs="Times New Roman"/>
          <w:color w:val="000000" w:themeColor="text1"/>
          <w:sz w:val="16"/>
          <w:szCs w:val="16"/>
        </w:rPr>
        <w:softHyphen/>
        <w:t>молете Ил-2 обуславливалось желанием как можно скорее довести прицел и по</w:t>
      </w:r>
      <w:r w:rsidRPr="00925F26">
        <w:rPr>
          <w:rFonts w:ascii="Times New Roman" w:hAnsi="Times New Roman" w:cs="Times New Roman"/>
          <w:color w:val="000000" w:themeColor="text1"/>
          <w:sz w:val="16"/>
          <w:szCs w:val="16"/>
        </w:rPr>
        <w:softHyphen/>
        <w:t>ставить его на вооружение штурмовой авиации.</w:t>
      </w:r>
    </w:p>
    <w:p w14:paraId="475AA43D"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Прицел позволял «заглянуть под себя и наблю</w:t>
      </w:r>
      <w:r w:rsidRPr="00925F26">
        <w:rPr>
          <w:rFonts w:ascii="Times New Roman" w:hAnsi="Times New Roman" w:cs="Times New Roman"/>
          <w:color w:val="000000" w:themeColor="text1"/>
          <w:sz w:val="16"/>
          <w:szCs w:val="16"/>
        </w:rPr>
        <w:softHyphen/>
        <w:t>дать цель в момент атаки» и в опреде</w:t>
      </w:r>
      <w:r w:rsidRPr="00925F26">
        <w:rPr>
          <w:rFonts w:ascii="Times New Roman" w:hAnsi="Times New Roman" w:cs="Times New Roman"/>
          <w:color w:val="000000" w:themeColor="text1"/>
          <w:sz w:val="16"/>
          <w:szCs w:val="16"/>
        </w:rPr>
        <w:softHyphen/>
        <w:t>ленной мере обеспечивал необходимую точность прицеливания при бомбомета</w:t>
      </w:r>
      <w:r w:rsidRPr="00925F26">
        <w:rPr>
          <w:rFonts w:ascii="Times New Roman" w:hAnsi="Times New Roman" w:cs="Times New Roman"/>
          <w:color w:val="000000" w:themeColor="text1"/>
          <w:sz w:val="16"/>
          <w:szCs w:val="16"/>
        </w:rPr>
        <w:softHyphen/>
        <w:t>нии с горизонтального полета и с пики</w:t>
      </w:r>
      <w:r w:rsidRPr="00925F26">
        <w:rPr>
          <w:rFonts w:ascii="Times New Roman" w:hAnsi="Times New Roman" w:cs="Times New Roman"/>
          <w:color w:val="000000" w:themeColor="text1"/>
          <w:sz w:val="16"/>
          <w:szCs w:val="16"/>
        </w:rPr>
        <w:softHyphen/>
        <w:t>рования.</w:t>
      </w:r>
    </w:p>
    <w:p w14:paraId="7B5B87CE" w14:textId="77777777" w:rsidR="0032140A" w:rsidRPr="00925F26" w:rsidRDefault="0032140A" w:rsidP="00925F26">
      <w:pPr>
        <w:jc w:val="both"/>
        <w:rPr>
          <w:color w:val="000000" w:themeColor="text1"/>
          <w:sz w:val="16"/>
          <w:szCs w:val="16"/>
        </w:rPr>
      </w:pPr>
      <w:r w:rsidRPr="00925F26">
        <w:rPr>
          <w:color w:val="000000" w:themeColor="text1"/>
          <w:sz w:val="16"/>
          <w:szCs w:val="16"/>
        </w:rPr>
        <w:lastRenderedPageBreak/>
        <w:t>ПШ-3 обеспечивал прицельное бом</w:t>
      </w:r>
      <w:r w:rsidRPr="00925F26">
        <w:rPr>
          <w:color w:val="000000" w:themeColor="text1"/>
          <w:sz w:val="16"/>
          <w:szCs w:val="16"/>
        </w:rPr>
        <w:softHyphen/>
        <w:t>бометание с горизонтального и пикиру</w:t>
      </w:r>
      <w:r w:rsidRPr="00925F26">
        <w:rPr>
          <w:color w:val="000000" w:themeColor="text1"/>
          <w:sz w:val="16"/>
          <w:szCs w:val="16"/>
        </w:rPr>
        <w:softHyphen/>
        <w:t>ющего полетов. Прицельные данные вы</w:t>
      </w:r>
      <w:r w:rsidRPr="00925F26">
        <w:rPr>
          <w:color w:val="000000" w:themeColor="text1"/>
          <w:sz w:val="16"/>
          <w:szCs w:val="16"/>
        </w:rPr>
        <w:softHyphen/>
        <w:t>рабатывались автоматически в зависи</w:t>
      </w:r>
      <w:r w:rsidRPr="00925F26">
        <w:rPr>
          <w:color w:val="000000" w:themeColor="text1"/>
          <w:sz w:val="16"/>
          <w:szCs w:val="16"/>
        </w:rPr>
        <w:softHyphen/>
        <w:t>мости от установки летчиком исходных данных - высоты и путевой скорости по</w:t>
      </w:r>
      <w:r w:rsidRPr="00925F26">
        <w:rPr>
          <w:color w:val="000000" w:themeColor="text1"/>
          <w:sz w:val="16"/>
          <w:szCs w:val="16"/>
        </w:rPr>
        <w:softHyphen/>
        <w:t>лета при бомбометании с горизонталь</w:t>
      </w:r>
      <w:r w:rsidRPr="00925F26">
        <w:rPr>
          <w:color w:val="000000" w:themeColor="text1"/>
          <w:sz w:val="16"/>
          <w:szCs w:val="16"/>
        </w:rPr>
        <w:softHyphen/>
        <w:t>ного полета, высоты ввода в пикирова</w:t>
      </w:r>
      <w:r w:rsidRPr="00925F26">
        <w:rPr>
          <w:color w:val="000000" w:themeColor="text1"/>
          <w:sz w:val="16"/>
          <w:szCs w:val="16"/>
        </w:rPr>
        <w:softHyphen/>
        <w:t>ние при бомбометании с пикирования. Кроме бомбометания, прицел ПШ-3 ис</w:t>
      </w:r>
      <w:r w:rsidRPr="00925F26">
        <w:rPr>
          <w:color w:val="000000" w:themeColor="text1"/>
          <w:sz w:val="16"/>
          <w:szCs w:val="16"/>
        </w:rPr>
        <w:softHyphen/>
        <w:t>пользовался для стрельбы из стрелково-пушечного и ракетного оружия.</w:t>
      </w:r>
    </w:p>
    <w:p w14:paraId="0175ED44"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Прицел представлял собой теле</w:t>
      </w:r>
      <w:r w:rsidRPr="00925F26">
        <w:rPr>
          <w:rFonts w:ascii="Times New Roman" w:hAnsi="Times New Roman" w:cs="Times New Roman"/>
          <w:color w:val="000000" w:themeColor="text1"/>
          <w:sz w:val="16"/>
          <w:szCs w:val="16"/>
        </w:rPr>
        <w:softHyphen/>
        <w:t>скопическую зрительную трубу в виде бокового перископа, в котором систе</w:t>
      </w:r>
      <w:r w:rsidRPr="00925F26">
        <w:rPr>
          <w:rFonts w:ascii="Times New Roman" w:hAnsi="Times New Roman" w:cs="Times New Roman"/>
          <w:color w:val="000000" w:themeColor="text1"/>
          <w:sz w:val="16"/>
          <w:szCs w:val="16"/>
        </w:rPr>
        <w:softHyphen/>
        <w:t>ма зеркал, была связана механизмом автоматики, обеспечивавшим наклон линии визирования от 0' до 43° от ли</w:t>
      </w:r>
      <w:r w:rsidRPr="00925F26">
        <w:rPr>
          <w:rFonts w:ascii="Times New Roman" w:hAnsi="Times New Roman" w:cs="Times New Roman"/>
          <w:color w:val="000000" w:themeColor="text1"/>
          <w:sz w:val="16"/>
          <w:szCs w:val="16"/>
        </w:rPr>
        <w:softHyphen/>
        <w:t>нии горизонта. Угол поля зрения при удалении глаза летчика от окуляра 30 мм равнялся 23°, увеличение - Г, диаметр объектива - 40 мм, вынос пло</w:t>
      </w:r>
      <w:r w:rsidRPr="00925F26">
        <w:rPr>
          <w:rFonts w:ascii="Times New Roman" w:hAnsi="Times New Roman" w:cs="Times New Roman"/>
          <w:color w:val="000000" w:themeColor="text1"/>
          <w:sz w:val="16"/>
          <w:szCs w:val="16"/>
        </w:rPr>
        <w:softHyphen/>
        <w:t>скости визирования относительно цен</w:t>
      </w:r>
      <w:r w:rsidRPr="00925F26">
        <w:rPr>
          <w:rFonts w:ascii="Times New Roman" w:hAnsi="Times New Roman" w:cs="Times New Roman"/>
          <w:color w:val="000000" w:themeColor="text1"/>
          <w:sz w:val="16"/>
          <w:szCs w:val="16"/>
        </w:rPr>
        <w:softHyphen/>
        <w:t>тра окуляра - 680 мм. Габариты при</w:t>
      </w:r>
      <w:r w:rsidRPr="00925F26">
        <w:rPr>
          <w:rFonts w:ascii="Times New Roman" w:hAnsi="Times New Roman" w:cs="Times New Roman"/>
          <w:color w:val="000000" w:themeColor="text1"/>
          <w:sz w:val="16"/>
          <w:szCs w:val="16"/>
        </w:rPr>
        <w:softHyphen/>
        <w:t>цела с выдвинутой окулярной частью составляли 750x152x120 мм. Вес при</w:t>
      </w:r>
      <w:r w:rsidRPr="00925F26">
        <w:rPr>
          <w:rFonts w:ascii="Times New Roman" w:hAnsi="Times New Roman" w:cs="Times New Roman"/>
          <w:color w:val="000000" w:themeColor="text1"/>
          <w:sz w:val="16"/>
          <w:szCs w:val="16"/>
        </w:rPr>
        <w:softHyphen/>
        <w:t>цела - 4,5 кг.</w:t>
      </w:r>
    </w:p>
    <w:p w14:paraId="241BEDE5"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Расчет условий бомбометания вы</w:t>
      </w:r>
      <w:r w:rsidRPr="00925F26">
        <w:rPr>
          <w:rFonts w:ascii="Times New Roman" w:hAnsi="Times New Roman" w:cs="Times New Roman"/>
          <w:color w:val="000000" w:themeColor="text1"/>
          <w:sz w:val="16"/>
          <w:szCs w:val="16"/>
        </w:rPr>
        <w:softHyphen/>
        <w:t>полнялся для бомбометания в плоско</w:t>
      </w:r>
      <w:r w:rsidRPr="00925F26">
        <w:rPr>
          <w:rFonts w:ascii="Times New Roman" w:hAnsi="Times New Roman" w:cs="Times New Roman"/>
          <w:color w:val="000000" w:themeColor="text1"/>
          <w:sz w:val="16"/>
          <w:szCs w:val="16"/>
        </w:rPr>
        <w:softHyphen/>
        <w:t>сти ветра. Рабочий диапазон при бом</w:t>
      </w:r>
      <w:r w:rsidRPr="00925F26">
        <w:rPr>
          <w:rFonts w:ascii="Times New Roman" w:hAnsi="Times New Roman" w:cs="Times New Roman"/>
          <w:color w:val="000000" w:themeColor="text1"/>
          <w:sz w:val="16"/>
          <w:szCs w:val="16"/>
        </w:rPr>
        <w:softHyphen/>
        <w:t>бометании с горизонтального полета составлял: высота - 100-1400 м, ско</w:t>
      </w:r>
      <w:r w:rsidRPr="00925F26">
        <w:rPr>
          <w:rFonts w:ascii="Times New Roman" w:hAnsi="Times New Roman" w:cs="Times New Roman"/>
          <w:color w:val="000000" w:themeColor="text1"/>
          <w:sz w:val="16"/>
          <w:szCs w:val="16"/>
        </w:rPr>
        <w:softHyphen/>
        <w:t>рость полета - 350-550 км/ч. Принятое в расчетах характеристическое время падения бомбы - 20,37 с.</w:t>
      </w:r>
    </w:p>
    <w:p w14:paraId="5E8239C4"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бомбометании с пикирования скорость ввода в пикирование была по</w:t>
      </w:r>
      <w:r w:rsidRPr="00925F26">
        <w:rPr>
          <w:rFonts w:ascii="Times New Roman" w:hAnsi="Times New Roman" w:cs="Times New Roman"/>
          <w:color w:val="000000" w:themeColor="text1"/>
          <w:sz w:val="16"/>
          <w:szCs w:val="16"/>
        </w:rPr>
        <w:softHyphen/>
        <w:t>стоянной - 340 км/ч. Высота ввода в пи</w:t>
      </w:r>
      <w:r w:rsidRPr="00925F26">
        <w:rPr>
          <w:rFonts w:ascii="Times New Roman" w:hAnsi="Times New Roman" w:cs="Times New Roman"/>
          <w:color w:val="000000" w:themeColor="text1"/>
          <w:sz w:val="16"/>
          <w:szCs w:val="16"/>
        </w:rPr>
        <w:softHyphen/>
        <w:t>кирование изменялась в зависимости от угла пикирования: при угле пикирования 25° - 800 м, 30° - 1000 м, 35° - 1200 м, 40°-1400 м.</w:t>
      </w:r>
    </w:p>
    <w:p w14:paraId="44EEF5CC" w14:textId="77777777" w:rsidR="0032140A" w:rsidRPr="00925F26" w:rsidRDefault="0032140A" w:rsidP="00925F26">
      <w:pPr>
        <w:jc w:val="both"/>
        <w:rPr>
          <w:color w:val="000000" w:themeColor="text1"/>
          <w:sz w:val="16"/>
          <w:szCs w:val="16"/>
        </w:rPr>
      </w:pPr>
      <w:r w:rsidRPr="00925F26">
        <w:rPr>
          <w:color w:val="000000" w:themeColor="text1"/>
          <w:sz w:val="16"/>
          <w:szCs w:val="16"/>
        </w:rPr>
        <w:t>При бомбометании с горизонталь</w:t>
      </w:r>
      <w:r w:rsidRPr="00925F26">
        <w:rPr>
          <w:color w:val="000000" w:themeColor="text1"/>
          <w:sz w:val="16"/>
          <w:szCs w:val="16"/>
        </w:rPr>
        <w:softHyphen/>
        <w:t>ного полета от летчика требовалось установить высоту, совместить шкалу прицела со скоростью, развернуть са</w:t>
      </w:r>
      <w:r w:rsidRPr="00925F26">
        <w:rPr>
          <w:color w:val="000000" w:themeColor="text1"/>
          <w:sz w:val="16"/>
          <w:szCs w:val="16"/>
        </w:rPr>
        <w:softHyphen/>
        <w:t>молет на цель. Наблюдая цель в оку</w:t>
      </w:r>
      <w:r w:rsidRPr="00925F26">
        <w:rPr>
          <w:color w:val="000000" w:themeColor="text1"/>
          <w:sz w:val="16"/>
          <w:szCs w:val="16"/>
        </w:rPr>
        <w:softHyphen/>
        <w:t xml:space="preserve">ляр прицела, в момент ее прихода в перекрестие следовало нажать кнопку пуска счетно-решающего устройства, которое в течение 6-8 с вырабатывало прицельные данные, соответствующие заданным условиям </w:t>
      </w:r>
      <w:proofErr w:type="gramStart"/>
      <w:r w:rsidRPr="00925F26">
        <w:rPr>
          <w:color w:val="000000" w:themeColor="text1"/>
          <w:sz w:val="16"/>
          <w:szCs w:val="16"/>
        </w:rPr>
        <w:t>полета (высота и скорость)</w:t>
      </w:r>
      <w:proofErr w:type="gramEnd"/>
      <w:r w:rsidRPr="00925F26">
        <w:rPr>
          <w:color w:val="000000" w:themeColor="text1"/>
          <w:sz w:val="16"/>
          <w:szCs w:val="16"/>
        </w:rPr>
        <w:t xml:space="preserve"> и автоматически удерживало линию визирования на цели или вблизи нее до момента отработки прицельных данных. В момент построения счетно- решающим механизмом угла прицели</w:t>
      </w:r>
      <w:r w:rsidRPr="00925F26">
        <w:rPr>
          <w:color w:val="000000" w:themeColor="text1"/>
          <w:sz w:val="16"/>
          <w:szCs w:val="16"/>
        </w:rPr>
        <w:softHyphen/>
        <w:t>вания (или упреждения) в поле зрения прицела появлялся световой сигнал.</w:t>
      </w:r>
    </w:p>
    <w:p w14:paraId="1E587053"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Прицел наводился в упреждающую точку. При совмещении цели с пере</w:t>
      </w:r>
      <w:r w:rsidRPr="00925F26">
        <w:rPr>
          <w:rFonts w:ascii="Times New Roman" w:hAnsi="Times New Roman" w:cs="Times New Roman"/>
          <w:color w:val="000000" w:themeColor="text1"/>
          <w:sz w:val="16"/>
          <w:szCs w:val="16"/>
        </w:rPr>
        <w:softHyphen/>
        <w:t>крестием сетки прицела автоматиче</w:t>
      </w:r>
      <w:r w:rsidRPr="00925F26">
        <w:rPr>
          <w:rFonts w:ascii="Times New Roman" w:hAnsi="Times New Roman" w:cs="Times New Roman"/>
          <w:color w:val="000000" w:themeColor="text1"/>
          <w:sz w:val="16"/>
          <w:szCs w:val="16"/>
        </w:rPr>
        <w:softHyphen/>
        <w:t>ски осуществлялся сброс бомб. Сброс бомб можно было выполнить и без ав</w:t>
      </w:r>
      <w:r w:rsidRPr="00925F26">
        <w:rPr>
          <w:rFonts w:ascii="Times New Roman" w:hAnsi="Times New Roman" w:cs="Times New Roman"/>
          <w:color w:val="000000" w:themeColor="text1"/>
          <w:sz w:val="16"/>
          <w:szCs w:val="16"/>
        </w:rPr>
        <w:softHyphen/>
        <w:t>томатики прицела, вручную путем на</w:t>
      </w:r>
      <w:r w:rsidRPr="00925F26">
        <w:rPr>
          <w:rFonts w:ascii="Times New Roman" w:hAnsi="Times New Roman" w:cs="Times New Roman"/>
          <w:color w:val="000000" w:themeColor="text1"/>
          <w:sz w:val="16"/>
          <w:szCs w:val="16"/>
        </w:rPr>
        <w:softHyphen/>
        <w:t>жатия боевой кнопки.</w:t>
      </w:r>
    </w:p>
    <w:p w14:paraId="41D9D221"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разработке алгоритма работы прицела при бомбометании с пикиро</w:t>
      </w:r>
      <w:r w:rsidRPr="00925F26">
        <w:rPr>
          <w:rFonts w:ascii="Times New Roman" w:hAnsi="Times New Roman" w:cs="Times New Roman"/>
          <w:color w:val="000000" w:themeColor="text1"/>
          <w:sz w:val="16"/>
          <w:szCs w:val="16"/>
        </w:rPr>
        <w:softHyphen/>
        <w:t>вания была заложена следующая схема. Считалось, что самолет пикирует «с не</w:t>
      </w:r>
      <w:r w:rsidRPr="00925F26">
        <w:rPr>
          <w:rFonts w:ascii="Times New Roman" w:hAnsi="Times New Roman" w:cs="Times New Roman"/>
          <w:color w:val="000000" w:themeColor="text1"/>
          <w:sz w:val="16"/>
          <w:szCs w:val="16"/>
        </w:rPr>
        <w:softHyphen/>
        <w:t>которой наперед заданной траектори</w:t>
      </w:r>
      <w:r w:rsidRPr="00925F26">
        <w:rPr>
          <w:rFonts w:ascii="Times New Roman" w:hAnsi="Times New Roman" w:cs="Times New Roman"/>
          <w:color w:val="000000" w:themeColor="text1"/>
          <w:sz w:val="16"/>
          <w:szCs w:val="16"/>
        </w:rPr>
        <w:softHyphen/>
        <w:t>ей, состоящей из трех участков»: ввод в пикирование (продолжительность около 6 с), боевой курс (3 с), участок бросания бомбы (3 с). При этом в лю</w:t>
      </w:r>
      <w:r w:rsidRPr="00925F26">
        <w:rPr>
          <w:rFonts w:ascii="Times New Roman" w:hAnsi="Times New Roman" w:cs="Times New Roman"/>
          <w:color w:val="000000" w:themeColor="text1"/>
          <w:sz w:val="16"/>
          <w:szCs w:val="16"/>
        </w:rPr>
        <w:softHyphen/>
        <w:t>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5C5F1BBF"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Перед вводом в пикирование лет</w:t>
      </w:r>
      <w:r w:rsidRPr="00925F26">
        <w:rPr>
          <w:rFonts w:ascii="Times New Roman" w:hAnsi="Times New Roman" w:cs="Times New Roman"/>
          <w:color w:val="000000" w:themeColor="text1"/>
          <w:sz w:val="16"/>
          <w:szCs w:val="16"/>
        </w:rPr>
        <w:softHyphen/>
        <w:t>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w:t>
      </w:r>
      <w:r w:rsidRPr="00925F26">
        <w:rPr>
          <w:rFonts w:ascii="Times New Roman" w:hAnsi="Times New Roman" w:cs="Times New Roman"/>
          <w:color w:val="000000" w:themeColor="text1"/>
          <w:sz w:val="16"/>
          <w:szCs w:val="16"/>
        </w:rPr>
        <w:softHyphen/>
        <w:t>цела требовалось нажать кнопку пуска счетно-решающего механизма прицела и одновременно начать ввод самолета в пикирование. Во время ввода само</w:t>
      </w:r>
      <w:r w:rsidRPr="00925F26">
        <w:rPr>
          <w:rFonts w:ascii="Times New Roman" w:hAnsi="Times New Roman" w:cs="Times New Roman"/>
          <w:color w:val="000000" w:themeColor="text1"/>
          <w:sz w:val="16"/>
          <w:szCs w:val="16"/>
        </w:rPr>
        <w:softHyphen/>
        <w:t>лета в пикирование необходимо было удерживать цель на перекрестии сет</w:t>
      </w:r>
      <w:r w:rsidRPr="00925F26">
        <w:rPr>
          <w:rFonts w:ascii="Times New Roman" w:hAnsi="Times New Roman" w:cs="Times New Roman"/>
          <w:color w:val="000000" w:themeColor="text1"/>
          <w:sz w:val="16"/>
          <w:szCs w:val="16"/>
        </w:rPr>
        <w:softHyphen/>
        <w:t>ки прицела. Непосредственно в ходе пикирования от летчика требовалось удерживать цель на перекрестии сетки и ожидать появления в поле зрения при</w:t>
      </w:r>
      <w:r w:rsidRPr="00925F26">
        <w:rPr>
          <w:rFonts w:ascii="Times New Roman" w:hAnsi="Times New Roman" w:cs="Times New Roman"/>
          <w:color w:val="000000" w:themeColor="text1"/>
          <w:sz w:val="16"/>
          <w:szCs w:val="16"/>
        </w:rPr>
        <w:softHyphen/>
        <w:t>цела светового сигнала, указывающего на момент построения угла упреждения. Сброс бомбы можно выполнить в тече</w:t>
      </w:r>
      <w:r w:rsidRPr="00925F26">
        <w:rPr>
          <w:rFonts w:ascii="Times New Roman" w:hAnsi="Times New Roman" w:cs="Times New Roman"/>
          <w:color w:val="000000" w:themeColor="text1"/>
          <w:sz w:val="16"/>
          <w:szCs w:val="16"/>
        </w:rPr>
        <w:softHyphen/>
        <w:t>ние 3 с с момента появления светового сигнала и до его исчезновения. Все это время цель следовало удерживать в пе</w:t>
      </w:r>
      <w:r w:rsidRPr="00925F26">
        <w:rPr>
          <w:rFonts w:ascii="Times New Roman" w:hAnsi="Times New Roman" w:cs="Times New Roman"/>
          <w:color w:val="000000" w:themeColor="text1"/>
          <w:sz w:val="16"/>
          <w:szCs w:val="16"/>
        </w:rPr>
        <w:softHyphen/>
        <w:t>рекрестии сетки прицела.</w:t>
      </w:r>
    </w:p>
    <w:p w14:paraId="47B84D78"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ходе испытаний бом</w:t>
      </w:r>
      <w:r w:rsidRPr="00925F26">
        <w:rPr>
          <w:rFonts w:ascii="Times New Roman" w:hAnsi="Times New Roman" w:cs="Times New Roman"/>
          <w:color w:val="000000" w:themeColor="text1"/>
          <w:sz w:val="16"/>
          <w:szCs w:val="16"/>
        </w:rPr>
        <w:softHyphen/>
        <w:t>бы сбрасывались с высоты 400 м на скорости 350 км/ч при горизонтальном бом</w:t>
      </w:r>
      <w:r w:rsidRPr="00925F26">
        <w:rPr>
          <w:rFonts w:ascii="Times New Roman" w:hAnsi="Times New Roman" w:cs="Times New Roman"/>
          <w:color w:val="000000" w:themeColor="text1"/>
          <w:sz w:val="16"/>
          <w:szCs w:val="16"/>
        </w:rPr>
        <w:softHyphen/>
        <w:t>бометании и 420 км/ч при сбросе бомб с пикирования (угол 30'). Во всех случаях «кучность бомбометания» была выше, чем при исполь</w:t>
      </w:r>
      <w:r w:rsidRPr="00925F26">
        <w:rPr>
          <w:rFonts w:ascii="Times New Roman" w:hAnsi="Times New Roman" w:cs="Times New Roman"/>
          <w:color w:val="000000" w:themeColor="text1"/>
          <w:sz w:val="16"/>
          <w:szCs w:val="16"/>
        </w:rPr>
        <w:softHyphen/>
        <w:t>зовании ВМШ-2. Причем все точки падения бомб нахо</w:t>
      </w:r>
      <w:r w:rsidRPr="00925F26">
        <w:rPr>
          <w:rFonts w:ascii="Times New Roman" w:hAnsi="Times New Roman" w:cs="Times New Roman"/>
          <w:color w:val="000000" w:themeColor="text1"/>
          <w:sz w:val="16"/>
          <w:szCs w:val="16"/>
        </w:rPr>
        <w:softHyphen/>
        <w:t>дились в пределах отличной оценки по «Руководству по бомбометанию 1944 г.».</w:t>
      </w:r>
    </w:p>
    <w:p w14:paraId="0480E1B1"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Государственные испытания на са</w:t>
      </w:r>
      <w:r w:rsidRPr="00925F26">
        <w:rPr>
          <w:rFonts w:ascii="Times New Roman" w:hAnsi="Times New Roman" w:cs="Times New Roman"/>
          <w:color w:val="000000" w:themeColor="text1"/>
          <w:sz w:val="16"/>
          <w:szCs w:val="16"/>
        </w:rPr>
        <w:softHyphen/>
        <w:t>молете Ил-10 прицел ПШ-3 проходил в Управлении испытаний авиавооружения ГК НИИ ВВС в период с 16 по 23 июля 1945 г.</w:t>
      </w:r>
    </w:p>
    <w:p w14:paraId="5F5F08C2"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 тут результаты оказались неудов</w:t>
      </w:r>
      <w:r w:rsidRPr="00925F26">
        <w:rPr>
          <w:rFonts w:ascii="Times New Roman" w:hAnsi="Times New Roman" w:cs="Times New Roman"/>
          <w:color w:val="000000" w:themeColor="text1"/>
          <w:sz w:val="16"/>
          <w:szCs w:val="16"/>
        </w:rPr>
        <w:softHyphen/>
        <w:t>летворительными. Вследствие значи</w:t>
      </w:r>
      <w:r w:rsidRPr="00925F26">
        <w:rPr>
          <w:rFonts w:ascii="Times New Roman" w:hAnsi="Times New Roman" w:cs="Times New Roman"/>
          <w:color w:val="000000" w:themeColor="text1"/>
          <w:sz w:val="16"/>
          <w:szCs w:val="16"/>
        </w:rPr>
        <w:softHyphen/>
        <w:t>тельных вибраций визирного зеркала и оптической трубы прицела качество изображения наблюдаемых объектов было плохим. Кроме того, имели место систематические недолеты бомб при их сбросе, как с пикирования, так и с гори</w:t>
      </w:r>
      <w:r w:rsidRPr="00925F26">
        <w:rPr>
          <w:rFonts w:ascii="Times New Roman" w:hAnsi="Times New Roman" w:cs="Times New Roman"/>
          <w:color w:val="000000" w:themeColor="text1"/>
          <w:sz w:val="16"/>
          <w:szCs w:val="16"/>
        </w:rPr>
        <w:softHyphen/>
        <w:t>зонтального полета.</w:t>
      </w:r>
    </w:p>
    <w:p w14:paraId="5BDFE2ED"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Как следствие, испытательной бри</w:t>
      </w:r>
      <w:r w:rsidRPr="00925F26">
        <w:rPr>
          <w:rFonts w:ascii="Times New Roman" w:hAnsi="Times New Roman" w:cs="Times New Roman"/>
          <w:color w:val="000000" w:themeColor="text1"/>
          <w:sz w:val="16"/>
          <w:szCs w:val="16"/>
        </w:rPr>
        <w:softHyphen/>
        <w:t>гадой было сделано заключение, что «ПШ-3 №4110001 конструкции и из</w:t>
      </w:r>
      <w:r w:rsidRPr="00925F26">
        <w:rPr>
          <w:rFonts w:ascii="Times New Roman" w:hAnsi="Times New Roman" w:cs="Times New Roman"/>
          <w:color w:val="000000" w:themeColor="text1"/>
          <w:sz w:val="16"/>
          <w:szCs w:val="16"/>
        </w:rPr>
        <w:softHyphen/>
        <w:t>готовления завода №589 НКВ госу</w:t>
      </w:r>
      <w:r w:rsidRPr="00925F26">
        <w:rPr>
          <w:rFonts w:ascii="Times New Roman" w:hAnsi="Times New Roman" w:cs="Times New Roman"/>
          <w:color w:val="000000" w:themeColor="text1"/>
          <w:sz w:val="16"/>
          <w:szCs w:val="16"/>
        </w:rPr>
        <w:softHyphen/>
        <w:t>дарственных испытаний на самолете Ил-10 не выдержал». Требовалось «про</w:t>
      </w:r>
      <w:r w:rsidRPr="00925F26">
        <w:rPr>
          <w:rFonts w:ascii="Times New Roman" w:hAnsi="Times New Roman" w:cs="Times New Roman"/>
          <w:color w:val="000000" w:themeColor="text1"/>
          <w:sz w:val="16"/>
          <w:szCs w:val="16"/>
        </w:rPr>
        <w:softHyphen/>
        <w:t>сить Главного конструктора самолета Ил-10 генерал-лейтенанта Ильюшина С.В. дать указания ОКБ-240 об улуч</w:t>
      </w:r>
      <w:r w:rsidRPr="00925F26">
        <w:rPr>
          <w:rFonts w:ascii="Times New Roman" w:hAnsi="Times New Roman" w:cs="Times New Roman"/>
          <w:color w:val="000000" w:themeColor="text1"/>
          <w:sz w:val="16"/>
          <w:szCs w:val="16"/>
        </w:rPr>
        <w:softHyphen/>
        <w:t>шении амортизации кронштейна для крепления ПШ-3 на самолете Ил-10», а также «внести изменения, исключа</w:t>
      </w:r>
      <w:r w:rsidRPr="00925F26">
        <w:rPr>
          <w:rFonts w:ascii="Times New Roman" w:hAnsi="Times New Roman" w:cs="Times New Roman"/>
          <w:color w:val="000000" w:themeColor="text1"/>
          <w:sz w:val="16"/>
          <w:szCs w:val="16"/>
        </w:rPr>
        <w:softHyphen/>
        <w:t>ющие систематический недолет бомб, нанести штрихи на сетку для поправки на ветер...» (17469).</w:t>
      </w:r>
    </w:p>
    <w:p w14:paraId="37117FE1" w14:textId="77777777" w:rsidR="0032140A" w:rsidRPr="00925F26" w:rsidRDefault="0032140A" w:rsidP="00925F26">
      <w:pPr>
        <w:jc w:val="both"/>
        <w:rPr>
          <w:color w:val="000000" w:themeColor="text1"/>
          <w:sz w:val="16"/>
          <w:szCs w:val="16"/>
        </w:rPr>
      </w:pPr>
    </w:p>
    <w:p w14:paraId="3563B627" w14:textId="77777777" w:rsidR="003D5AF4" w:rsidRPr="00925F26" w:rsidRDefault="003D5AF4" w:rsidP="00925F26">
      <w:pPr>
        <w:pStyle w:val="a3"/>
        <w:rPr>
          <w:color w:val="000000" w:themeColor="text1"/>
          <w:lang w:val="ru-RU"/>
        </w:rPr>
      </w:pPr>
      <w:r w:rsidRPr="00925F26">
        <w:rPr>
          <w:color w:val="000000" w:themeColor="text1"/>
          <w:lang w:val="ru-RU"/>
        </w:rPr>
        <w:t>С 22 по 28 февраля 1945 г. прицел ПШ-3 (перископический стрелково-бомбардировочноный прицел, который позволял</w:t>
      </w:r>
      <w:r w:rsidRPr="00925F26">
        <w:rPr>
          <w:rStyle w:val="284"/>
          <w:rFonts w:ascii="Times New Roman" w:hAnsi="Times New Roman" w:cs="Times New Roman"/>
          <w:i w:val="0"/>
          <w:color w:val="000000" w:themeColor="text1"/>
          <w:sz w:val="16"/>
          <w:szCs w:val="16"/>
          <w:lang w:val="ru-RU"/>
        </w:rPr>
        <w:t xml:space="preserve"> «заглянуть под себя и наблюдать цель в</w:t>
      </w:r>
      <w:r w:rsidRPr="00925F26">
        <w:rPr>
          <w:color w:val="000000" w:themeColor="text1"/>
          <w:lang w:val="ru-RU"/>
        </w:rPr>
        <w:t xml:space="preserve"> момент</w:t>
      </w:r>
      <w:r w:rsidRPr="00925F26">
        <w:rPr>
          <w:rStyle w:val="284"/>
          <w:rFonts w:ascii="Times New Roman" w:hAnsi="Times New Roman" w:cs="Times New Roman"/>
          <w:i w:val="0"/>
          <w:color w:val="000000" w:themeColor="text1"/>
          <w:sz w:val="16"/>
          <w:szCs w:val="16"/>
          <w:lang w:val="ru-RU"/>
        </w:rPr>
        <w:t xml:space="preserve"> атаки»</w:t>
      </w:r>
      <w:r w:rsidRPr="00925F26">
        <w:rPr>
          <w:color w:val="000000" w:themeColor="text1"/>
          <w:lang w:val="ru-RU"/>
        </w:rPr>
        <w:t>), разработанный заводом № 589 НКВ, в целом успешно прошёл государственные испытания на самолёте Ил-2 (зав. № 0944) в ГК НИИ ВВС. Отчёт по испытаниям утвердил 12 марта заместитель начальника института генерал- лейтенант М.В. Гуревич.</w:t>
      </w:r>
    </w:p>
    <w:p w14:paraId="4D4FC0B9" w14:textId="77777777" w:rsidR="003D5AF4" w:rsidRPr="00925F26" w:rsidRDefault="003D5AF4" w:rsidP="00925F26">
      <w:pPr>
        <w:pStyle w:val="a3"/>
        <w:rPr>
          <w:color w:val="000000" w:themeColor="text1"/>
          <w:lang w:val="ru-RU"/>
        </w:rPr>
      </w:pPr>
      <w:r w:rsidRPr="00925F26">
        <w:rPr>
          <w:color w:val="000000" w:themeColor="text1"/>
          <w:lang w:val="ru-RU"/>
        </w:rPr>
        <w:t>В состав испытательной бригады входили: ведущий инженер по испытаниям - инженер-май</w:t>
      </w:r>
      <w:r w:rsidRPr="00925F26">
        <w:rPr>
          <w:color w:val="000000" w:themeColor="text1"/>
          <w:lang w:val="ru-RU"/>
        </w:rPr>
        <w:softHyphen/>
        <w:t>ор С.М. Лавров, его помощник старший техник-лейтенант А.Г. Гречишников, ведущий лётчик - подполковник Н.И. Звонарёв. От завода № 589 НКВ в испытаниях участвовал техник-инженер Н.И. Чижов.</w:t>
      </w:r>
    </w:p>
    <w:p w14:paraId="07A148C9" w14:textId="77777777" w:rsidR="003D5AF4" w:rsidRPr="00925F26" w:rsidRDefault="003D5AF4" w:rsidP="00925F26">
      <w:pPr>
        <w:pStyle w:val="a3"/>
        <w:rPr>
          <w:color w:val="000000" w:themeColor="text1"/>
          <w:lang w:val="ru-RU"/>
        </w:rPr>
      </w:pPr>
      <w:r w:rsidRPr="00925F26">
        <w:rPr>
          <w:color w:val="000000" w:themeColor="text1"/>
          <w:lang w:val="ru-RU"/>
        </w:rPr>
        <w:t>Прицел опробовали лётчики Управления авиавооружения ГК НИИ ВВС: майор А.В. Куса- кин, майор И.А. Доброскокин, старший лейтенант П.В. Романов и техник-испытатель старший техник-лейтенант Д.Г. Винокуров.</w:t>
      </w:r>
    </w:p>
    <w:p w14:paraId="5171F6C0" w14:textId="77777777" w:rsidR="003D5AF4" w:rsidRPr="00925F26" w:rsidRDefault="003D5AF4" w:rsidP="00925F26">
      <w:pPr>
        <w:pStyle w:val="a3"/>
        <w:rPr>
          <w:color w:val="000000" w:themeColor="text1"/>
          <w:lang w:val="ru-RU"/>
        </w:rPr>
      </w:pPr>
      <w:r w:rsidRPr="00925F26">
        <w:rPr>
          <w:color w:val="000000" w:themeColor="text1"/>
          <w:lang w:val="ru-RU"/>
        </w:rPr>
        <w:t>Прицел ПШ-3 рассчитывался для применения на штурмовом самолёте Ил-10. Но для уско</w:t>
      </w:r>
      <w:r w:rsidRPr="00925F26">
        <w:rPr>
          <w:color w:val="000000" w:themeColor="text1"/>
          <w:lang w:val="ru-RU"/>
        </w:rPr>
        <w:softHyphen/>
        <w:t>рения доводки и постановки прицела на вооружение решили его испытать на Ил-2.</w:t>
      </w:r>
    </w:p>
    <w:p w14:paraId="1C13F247" w14:textId="77777777" w:rsidR="003D5AF4" w:rsidRPr="00925F26" w:rsidRDefault="003D5AF4" w:rsidP="00925F26">
      <w:pPr>
        <w:pStyle w:val="a3"/>
        <w:rPr>
          <w:color w:val="000000" w:themeColor="text1"/>
          <w:lang w:val="ru-RU"/>
        </w:rPr>
      </w:pPr>
      <w:r w:rsidRPr="00925F26">
        <w:rPr>
          <w:color w:val="000000" w:themeColor="text1"/>
          <w:lang w:val="ru-RU"/>
        </w:rPr>
        <w:t>ПШ-3 обеспечивал прицельное бомбометание с горизонтального и пикирующего (пла</w:t>
      </w:r>
      <w:r w:rsidRPr="00925F26">
        <w:rPr>
          <w:color w:val="000000" w:themeColor="text1"/>
          <w:lang w:val="ru-RU"/>
        </w:rPr>
        <w:softHyphen/>
        <w:t>нирующего) полётов. Прицельные данные вырабатывались автоматически в зависимости от установки лётчиком исходных данных - высоты и путевой скорости полёта при бомбометании с горизонтального полёта, высоты ввода в пикирование при бомбометании с пикирования (ско</w:t>
      </w:r>
      <w:r w:rsidRPr="00925F26">
        <w:rPr>
          <w:color w:val="000000" w:themeColor="text1"/>
          <w:lang w:val="ru-RU"/>
        </w:rPr>
        <w:softHyphen/>
        <w:t>рость ввода в пикирование постоянная). Кроме бомбометания, прицел ПШ-3 использовался для стрельбы из стрелково-пушечного и ракетного оружия.</w:t>
      </w:r>
    </w:p>
    <w:p w14:paraId="44424F0E" w14:textId="77777777" w:rsidR="003D5AF4" w:rsidRPr="00925F26" w:rsidRDefault="003D5AF4" w:rsidP="00925F26">
      <w:pPr>
        <w:pStyle w:val="a3"/>
        <w:rPr>
          <w:color w:val="000000" w:themeColor="text1"/>
          <w:lang w:val="ru-RU"/>
        </w:rPr>
      </w:pPr>
      <w:r w:rsidRPr="00925F26">
        <w:rPr>
          <w:color w:val="000000" w:themeColor="text1"/>
          <w:lang w:val="ru-RU"/>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 от линии го</w:t>
      </w:r>
      <w:r w:rsidRPr="00925F26">
        <w:rPr>
          <w:color w:val="000000" w:themeColor="text1"/>
          <w:lang w:val="ru-RU"/>
        </w:rPr>
        <w:softHyphen/>
        <w:t>ризонта. Угол поля зрения при удале</w:t>
      </w:r>
      <w:r w:rsidRPr="00925F26">
        <w:rPr>
          <w:color w:val="000000" w:themeColor="text1"/>
          <w:lang w:val="ru-RU"/>
        </w:rPr>
        <w:softHyphen/>
        <w:t>нии глаза лётчика от окуляра 30 мм равнялся 23°, увеличения не было, диаметр объектива - 40 мм, вынос плоскости визирования относительно центра окуляра - 680 мм. Ветровой снос не учитывался: предлагалось за</w:t>
      </w:r>
      <w:r w:rsidRPr="00925F26">
        <w:rPr>
          <w:color w:val="000000" w:themeColor="text1"/>
          <w:lang w:val="ru-RU"/>
        </w:rPr>
        <w:softHyphen/>
        <w:t>ходить на цель по или против направ</w:t>
      </w:r>
      <w:r w:rsidRPr="00925F26">
        <w:rPr>
          <w:color w:val="000000" w:themeColor="text1"/>
          <w:lang w:val="ru-RU"/>
        </w:rPr>
        <w:softHyphen/>
        <w:t>ления ветра.</w:t>
      </w:r>
    </w:p>
    <w:p w14:paraId="3EDFADF1" w14:textId="77777777" w:rsidR="003D5AF4" w:rsidRPr="00925F26" w:rsidRDefault="003D5AF4" w:rsidP="00925F26">
      <w:pPr>
        <w:pStyle w:val="a3"/>
        <w:rPr>
          <w:color w:val="000000" w:themeColor="text1"/>
          <w:lang w:val="ru-RU"/>
        </w:rPr>
      </w:pPr>
      <w:r w:rsidRPr="00925F26">
        <w:rPr>
          <w:color w:val="000000" w:themeColor="text1"/>
          <w:lang w:val="ru-RU"/>
        </w:rPr>
        <w:t>Габариты прицела с выдвину</w:t>
      </w:r>
      <w:r w:rsidRPr="00925F26">
        <w:rPr>
          <w:color w:val="000000" w:themeColor="text1"/>
          <w:lang w:val="ru-RU"/>
        </w:rPr>
        <w:softHyphen/>
        <w:t>той окулярной частью составляли 750</w:t>
      </w:r>
      <w:r w:rsidRPr="00925F26">
        <w:rPr>
          <w:color w:val="000000" w:themeColor="text1"/>
        </w:rPr>
        <w:t>x</w:t>
      </w:r>
      <w:r w:rsidRPr="00925F26">
        <w:rPr>
          <w:color w:val="000000" w:themeColor="text1"/>
          <w:lang w:val="ru-RU"/>
        </w:rPr>
        <w:t>152</w:t>
      </w:r>
      <w:r w:rsidRPr="00925F26">
        <w:rPr>
          <w:color w:val="000000" w:themeColor="text1"/>
        </w:rPr>
        <w:t>x</w:t>
      </w:r>
      <w:r w:rsidRPr="00925F26">
        <w:rPr>
          <w:color w:val="000000" w:themeColor="text1"/>
          <w:lang w:val="ru-RU"/>
        </w:rPr>
        <w:t>120 мм, с убранной - 640</w:t>
      </w:r>
      <w:r w:rsidRPr="00925F26">
        <w:rPr>
          <w:color w:val="000000" w:themeColor="text1"/>
        </w:rPr>
        <w:t>x</w:t>
      </w:r>
      <w:r w:rsidRPr="00925F26">
        <w:rPr>
          <w:color w:val="000000" w:themeColor="text1"/>
          <w:lang w:val="ru-RU"/>
        </w:rPr>
        <w:t>152</w:t>
      </w:r>
      <w:r w:rsidRPr="00925F26">
        <w:rPr>
          <w:color w:val="000000" w:themeColor="text1"/>
        </w:rPr>
        <w:t>x</w:t>
      </w:r>
      <w:r w:rsidRPr="00925F26">
        <w:rPr>
          <w:color w:val="000000" w:themeColor="text1"/>
          <w:lang w:val="ru-RU"/>
        </w:rPr>
        <w:t>120 мм. Вес прицела - всего 4,5 кг.</w:t>
      </w:r>
    </w:p>
    <w:p w14:paraId="2620D8EF" w14:textId="77777777" w:rsidR="003D5AF4" w:rsidRPr="00925F26" w:rsidRDefault="003D5AF4" w:rsidP="00925F26">
      <w:pPr>
        <w:pStyle w:val="a3"/>
        <w:rPr>
          <w:color w:val="000000" w:themeColor="text1"/>
          <w:lang w:val="ru-RU"/>
        </w:rPr>
      </w:pPr>
      <w:r w:rsidRPr="00925F26">
        <w:rPr>
          <w:color w:val="000000" w:themeColor="text1"/>
          <w:lang w:val="ru-RU"/>
        </w:rPr>
        <w:t>Рабочий диапазон при бомбо</w:t>
      </w:r>
      <w:r w:rsidRPr="00925F26">
        <w:rPr>
          <w:color w:val="000000" w:themeColor="text1"/>
          <w:lang w:val="ru-RU"/>
        </w:rPr>
        <w:softHyphen/>
        <w:t>метании с горизонтального полёта составлял: высота 100-1400 м, ско</w:t>
      </w:r>
      <w:r w:rsidRPr="00925F26">
        <w:rPr>
          <w:color w:val="000000" w:themeColor="text1"/>
          <w:lang w:val="ru-RU"/>
        </w:rPr>
        <w:softHyphen/>
        <w:t>рость полёта 350-550 км/ч. Приня</w:t>
      </w:r>
      <w:r w:rsidRPr="00925F26">
        <w:rPr>
          <w:color w:val="000000" w:themeColor="text1"/>
          <w:lang w:val="ru-RU"/>
        </w:rPr>
        <w:softHyphen/>
        <w:t>тое в расчётах характеристическое время падения бомбы - 20,37 сек.</w:t>
      </w:r>
    </w:p>
    <w:p w14:paraId="552F0F41" w14:textId="77777777" w:rsidR="003D5AF4" w:rsidRPr="00925F26" w:rsidRDefault="003D5AF4" w:rsidP="00925F26">
      <w:pPr>
        <w:pStyle w:val="a3"/>
        <w:rPr>
          <w:color w:val="000000" w:themeColor="text1"/>
          <w:lang w:val="ru-RU"/>
        </w:rPr>
      </w:pPr>
      <w:r w:rsidRPr="00925F26">
        <w:rPr>
          <w:color w:val="000000" w:themeColor="text1"/>
          <w:lang w:val="ru-RU"/>
        </w:rPr>
        <w:t>При бомбометании с пикиро</w:t>
      </w:r>
      <w:r w:rsidRPr="00925F26">
        <w:rPr>
          <w:color w:val="000000" w:themeColor="text1"/>
          <w:lang w:val="ru-RU"/>
        </w:rPr>
        <w:softHyphen/>
        <w:t>вания на самолёте Ил-10 скорость ввода в пикирование была постоян</w:t>
      </w:r>
      <w:r w:rsidRPr="00925F26">
        <w:rPr>
          <w:color w:val="000000" w:themeColor="text1"/>
          <w:lang w:val="ru-RU"/>
        </w:rPr>
        <w:softHyphen/>
        <w:t>ной - 340 км/ч. Высота ввода в пики</w:t>
      </w:r>
      <w:r w:rsidRPr="00925F26">
        <w:rPr>
          <w:color w:val="000000" w:themeColor="text1"/>
          <w:lang w:val="ru-RU"/>
        </w:rPr>
        <w:softHyphen/>
        <w:t>рование изменялась в зависимости от угла пикирования: при угле пики</w:t>
      </w:r>
      <w:r w:rsidRPr="00925F26">
        <w:rPr>
          <w:color w:val="000000" w:themeColor="text1"/>
          <w:lang w:val="ru-RU"/>
        </w:rPr>
        <w:softHyphen/>
        <w:t>рования 25° - 800 м, 30° - 1000 м, 35° - 1200 м, 40° - 1400 м.</w:t>
      </w:r>
    </w:p>
    <w:p w14:paraId="096926EE" w14:textId="77777777" w:rsidR="003D5AF4" w:rsidRPr="00925F26" w:rsidRDefault="003D5AF4" w:rsidP="00925F26">
      <w:pPr>
        <w:pStyle w:val="a3"/>
        <w:rPr>
          <w:color w:val="000000" w:themeColor="text1"/>
          <w:lang w:val="ru-RU"/>
        </w:rPr>
      </w:pPr>
      <w:r w:rsidRPr="00925F26">
        <w:rPr>
          <w:color w:val="000000" w:themeColor="text1"/>
          <w:lang w:val="ru-RU"/>
        </w:rPr>
        <w:t>Применительно к Ил-2 бомбоме</w:t>
      </w:r>
      <w:r w:rsidRPr="00925F26">
        <w:rPr>
          <w:color w:val="000000" w:themeColor="text1"/>
          <w:lang w:val="ru-RU"/>
        </w:rPr>
        <w:softHyphen/>
        <w:t>тание с горизонтального полёта при помощи ПШ-3 можно было выпол</w:t>
      </w:r>
      <w:r w:rsidRPr="00925F26">
        <w:rPr>
          <w:color w:val="000000" w:themeColor="text1"/>
          <w:lang w:val="ru-RU"/>
        </w:rPr>
        <w:softHyphen/>
        <w:t>нять на всех высотах при путевой скорости не менее 350 км/ч. Бомбометание с пикирования допускалось только при высоте ввода 800 м и скорости около 320 км/ч.</w:t>
      </w:r>
    </w:p>
    <w:p w14:paraId="220724AC" w14:textId="77777777" w:rsidR="003D5AF4" w:rsidRPr="00925F26" w:rsidRDefault="003D5AF4" w:rsidP="00925F26">
      <w:pPr>
        <w:pStyle w:val="a3"/>
        <w:rPr>
          <w:color w:val="000000" w:themeColor="text1"/>
          <w:lang w:val="ru-RU"/>
        </w:rPr>
      </w:pPr>
      <w:r w:rsidRPr="00925F26">
        <w:rPr>
          <w:color w:val="000000" w:themeColor="text1"/>
          <w:lang w:val="ru-RU"/>
        </w:rPr>
        <w:t>При бомбометании с горизонтального полёта от лётчика требовалось установить высо</w:t>
      </w:r>
      <w:r w:rsidRPr="00925F26">
        <w:rPr>
          <w:color w:val="000000" w:themeColor="text1"/>
          <w:lang w:val="ru-RU"/>
        </w:rPr>
        <w:softHyphen/>
        <w:t xml:space="preserve">ту, совместить шкалу прицела со скоростью, развернуть самолёт на цель. Наблюдая цель в окуляр прицела в момент её прихода </w:t>
      </w:r>
      <w:proofErr w:type="gramStart"/>
      <w:r w:rsidRPr="00925F26">
        <w:rPr>
          <w:color w:val="000000" w:themeColor="text1"/>
          <w:lang w:val="ru-RU"/>
        </w:rPr>
        <w:t>в перекрестие</w:t>
      </w:r>
      <w:proofErr w:type="gramEnd"/>
      <w:r w:rsidRPr="00925F26">
        <w:rPr>
          <w:color w:val="000000" w:themeColor="text1"/>
          <w:lang w:val="ru-RU"/>
        </w:rPr>
        <w:t xml:space="preserve"> следовало нажать кнопку пуска счётно- решающего устройства, который в течение 6-8 сек вырабатывал прицельные данные соответ</w:t>
      </w:r>
      <w:r w:rsidRPr="00925F26">
        <w:rPr>
          <w:color w:val="000000" w:themeColor="text1"/>
          <w:lang w:val="ru-RU"/>
        </w:rPr>
        <w:softHyphen/>
        <w:t>ствующие заданным условиям полёта (высота и скорость) и автоматически удерживал линию визирования на цели или вблизи неё. В момент построения счетно-решающим механизмом угла прицеливания (или упреждения) в поле зрения прицела появлялся световой сигнал. При</w:t>
      </w:r>
      <w:r w:rsidRPr="00925F26">
        <w:rPr>
          <w:color w:val="000000" w:themeColor="text1"/>
          <w:lang w:val="ru-RU"/>
        </w:rPr>
        <w:softHyphen/>
        <w:t>цел наводился в упреждающую точку. С этого момента цель быстро «подходила» к перекре</w:t>
      </w:r>
      <w:r w:rsidRPr="00925F26">
        <w:rPr>
          <w:color w:val="000000" w:themeColor="text1"/>
          <w:lang w:val="ru-RU"/>
        </w:rPr>
        <w:softHyphen/>
        <w:t>стию прицела. При совмещении цели с перекрестием сетки прицела автоматически сбра</w:t>
      </w:r>
      <w:r w:rsidRPr="00925F26">
        <w:rPr>
          <w:color w:val="000000" w:themeColor="text1"/>
          <w:lang w:val="ru-RU"/>
        </w:rPr>
        <w:softHyphen/>
        <w:t>сывались бомбы. Сброс бомб можно было выполнить и без автоматики прицела, вручную, нажав боевую кнопку.</w:t>
      </w:r>
    </w:p>
    <w:p w14:paraId="07169468" w14:textId="77777777" w:rsidR="003D5AF4" w:rsidRPr="00925F26" w:rsidRDefault="003D5AF4" w:rsidP="00925F26">
      <w:pPr>
        <w:pStyle w:val="a3"/>
        <w:rPr>
          <w:color w:val="000000" w:themeColor="text1"/>
          <w:lang w:val="ru-RU"/>
        </w:rPr>
      </w:pPr>
      <w:r w:rsidRPr="00925F26">
        <w:rPr>
          <w:color w:val="000000" w:themeColor="text1"/>
          <w:lang w:val="ru-RU"/>
        </w:rPr>
        <w:t>В алгоритме работы прицела была заложена следующая схема. Считалось, что самолёт пикирует «с</w:t>
      </w:r>
      <w:r w:rsidRPr="00925F26">
        <w:rPr>
          <w:rStyle w:val="277"/>
          <w:rFonts w:ascii="Times New Roman" w:hAnsi="Times New Roman" w:cs="Times New Roman"/>
          <w:i w:val="0"/>
          <w:color w:val="000000" w:themeColor="text1"/>
          <w:sz w:val="16"/>
          <w:szCs w:val="16"/>
          <w:lang w:val="ru-RU"/>
        </w:rPr>
        <w:t xml:space="preserve"> некоторой наперёд заданной траекторией, состоящей из трёх участков</w:t>
      </w:r>
      <w:r w:rsidRPr="00925F26">
        <w:rPr>
          <w:color w:val="000000" w:themeColor="text1"/>
          <w:lang w:val="ru-RU"/>
        </w:rPr>
        <w:t>»: ввод в пикирование (продолжительность около 6 сек), боевой курс (3 сек), участок бросания бомбы (3 сек). При этом в любой точке траектории участка бросания бомбы</w:t>
      </w:r>
      <w:r w:rsidRPr="00925F26">
        <w:rPr>
          <w:rStyle w:val="277"/>
          <w:rFonts w:ascii="Times New Roman" w:hAnsi="Times New Roman" w:cs="Times New Roman"/>
          <w:i w:val="0"/>
          <w:color w:val="000000" w:themeColor="text1"/>
          <w:sz w:val="16"/>
          <w:szCs w:val="16"/>
          <w:lang w:val="ru-RU"/>
        </w:rPr>
        <w:t xml:space="preserve"> «лётчик может сбросить бомбы при условии непрерывного совмещения перекрестия сетки прицела с целью».</w:t>
      </w:r>
    </w:p>
    <w:p w14:paraId="08481CEC" w14:textId="77777777" w:rsidR="003D5AF4" w:rsidRPr="00925F26" w:rsidRDefault="003D5AF4" w:rsidP="00925F26">
      <w:pPr>
        <w:pStyle w:val="a3"/>
        <w:rPr>
          <w:color w:val="000000" w:themeColor="text1"/>
          <w:lang w:val="ru-RU"/>
        </w:rPr>
      </w:pPr>
      <w:r w:rsidRPr="00925F26">
        <w:rPr>
          <w:color w:val="000000" w:themeColor="text1"/>
          <w:lang w:val="ru-RU"/>
        </w:rPr>
        <w:t>Перед вводом в пикирование лётчик должен был выставить на прицеле высоту ввода в пикирование. Визирное зеркало прицела устанавливалось под углом предварительного визирования цели. Затем лётчик выполнял разворот самолёта на цель и находил её через окуляр прицела.</w:t>
      </w:r>
    </w:p>
    <w:p w14:paraId="518A339E" w14:textId="77777777" w:rsidR="003D5AF4" w:rsidRPr="00925F26" w:rsidRDefault="003D5AF4" w:rsidP="00925F26">
      <w:pPr>
        <w:pStyle w:val="a3"/>
        <w:rPr>
          <w:color w:val="000000" w:themeColor="text1"/>
          <w:lang w:val="ru-RU"/>
        </w:rPr>
      </w:pPr>
      <w:r w:rsidRPr="00925F26">
        <w:rPr>
          <w:color w:val="000000" w:themeColor="text1"/>
          <w:lang w:val="ru-RU"/>
        </w:rPr>
        <w:t>В момент прихода цели к перекрестию сетки прицела лётчик одновременно нажимал пуска счетно-решающего механизма прицела и начинал ввод самолёта в пикирование. Во время ввода самолёта в пикирование необходимо было удерживать цель на перекрестии сетки прицела. Непосредственно в ходе пикирования от лётчика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3 сек с момента по</w:t>
      </w:r>
      <w:r w:rsidRPr="00925F26">
        <w:rPr>
          <w:color w:val="000000" w:themeColor="text1"/>
          <w:lang w:val="ru-RU"/>
        </w:rPr>
        <w:softHyphen/>
        <w:t>явления светового сигнала и до его исчезновения. Всё это время цель следовало удерживать в перекрестии сетки прицела.</w:t>
      </w:r>
    </w:p>
    <w:p w14:paraId="3DEB22D8" w14:textId="77777777" w:rsidR="003D5AF4" w:rsidRPr="00925F26" w:rsidRDefault="003D5AF4"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221"/>
          <w:rFonts w:ascii="Times New Roman" w:eastAsia="Arial Unicode MS" w:hAnsi="Times New Roman" w:cs="Times New Roman"/>
          <w:i w:val="0"/>
          <w:iCs w:val="0"/>
          <w:color w:val="000000" w:themeColor="text1"/>
        </w:rPr>
        <w:t>В отчёте по результатам испытаний отмечалось, что прицел ПШ-3 на самолёте Ил-2 «обеспечивает</w:t>
      </w:r>
      <w:r w:rsidRPr="00925F26">
        <w:rPr>
          <w:rFonts w:ascii="Times New Roman" w:hAnsi="Times New Roman" w:cs="Times New Roman"/>
          <w:i w:val="0"/>
          <w:color w:val="000000" w:themeColor="text1"/>
          <w:sz w:val="16"/>
          <w:szCs w:val="16"/>
        </w:rPr>
        <w:t xml:space="preserve"> достаточные удобства наводки, наблюдения</w:t>
      </w:r>
      <w:r w:rsidRPr="00925F26">
        <w:rPr>
          <w:rStyle w:val="2221"/>
          <w:rFonts w:ascii="Times New Roman" w:eastAsia="Arial Unicode MS" w:hAnsi="Times New Roman" w:cs="Times New Roman"/>
          <w:i w:val="0"/>
          <w:iCs w:val="0"/>
          <w:color w:val="000000" w:themeColor="text1"/>
        </w:rPr>
        <w:t xml:space="preserve"> за</w:t>
      </w:r>
      <w:r w:rsidRPr="00925F26">
        <w:rPr>
          <w:rFonts w:ascii="Times New Roman" w:hAnsi="Times New Roman" w:cs="Times New Roman"/>
          <w:i w:val="0"/>
          <w:color w:val="000000" w:themeColor="text1"/>
          <w:sz w:val="16"/>
          <w:szCs w:val="16"/>
        </w:rPr>
        <w:t xml:space="preserve"> целью и бомбометания с го</w:t>
      </w:r>
      <w:r w:rsidRPr="00925F26">
        <w:rPr>
          <w:rFonts w:ascii="Times New Roman" w:hAnsi="Times New Roman" w:cs="Times New Roman"/>
          <w:i w:val="0"/>
          <w:color w:val="000000" w:themeColor="text1"/>
          <w:sz w:val="16"/>
          <w:szCs w:val="16"/>
        </w:rPr>
        <w:softHyphen/>
        <w:t>ризонтального полёта и с планирования».</w:t>
      </w:r>
      <w:r w:rsidRPr="00925F26">
        <w:rPr>
          <w:rStyle w:val="2221"/>
          <w:rFonts w:ascii="Times New Roman" w:eastAsia="Arial Unicode MS" w:hAnsi="Times New Roman" w:cs="Times New Roman"/>
          <w:i w:val="0"/>
          <w:iCs w:val="0"/>
          <w:color w:val="000000" w:themeColor="text1"/>
        </w:rPr>
        <w:t xml:space="preserve"> При этом</w:t>
      </w:r>
      <w:r w:rsidRPr="00925F26">
        <w:rPr>
          <w:rFonts w:ascii="Times New Roman" w:hAnsi="Times New Roman" w:cs="Times New Roman"/>
          <w:i w:val="0"/>
          <w:color w:val="000000" w:themeColor="text1"/>
          <w:sz w:val="16"/>
          <w:szCs w:val="16"/>
        </w:rPr>
        <w:t xml:space="preserve"> «удаление глаз лётчика от окуляра, при котором используется всё поле зрения (23°), должно быть не более 80 мм».</w:t>
      </w:r>
      <w:r w:rsidRPr="00925F26">
        <w:rPr>
          <w:rStyle w:val="2221"/>
          <w:rFonts w:ascii="Times New Roman" w:eastAsia="Arial Unicode MS" w:hAnsi="Times New Roman" w:cs="Times New Roman"/>
          <w:i w:val="0"/>
          <w:iCs w:val="0"/>
          <w:color w:val="000000" w:themeColor="text1"/>
        </w:rPr>
        <w:t xml:space="preserve"> В этих условиях полёта - корпус лётчика наклонен вперёд, пилотирование самолётом было возможно, «но </w:t>
      </w:r>
      <w:r w:rsidRPr="00925F26">
        <w:rPr>
          <w:rFonts w:ascii="Times New Roman" w:hAnsi="Times New Roman" w:cs="Times New Roman"/>
          <w:i w:val="0"/>
          <w:color w:val="000000" w:themeColor="text1"/>
          <w:sz w:val="16"/>
          <w:szCs w:val="16"/>
        </w:rPr>
        <w:t>голова лётчика в меньшей мере защищена бронёй</w:t>
      </w:r>
      <w:r w:rsidRPr="00925F26">
        <w:rPr>
          <w:rStyle w:val="2221"/>
          <w:rFonts w:ascii="Times New Roman" w:eastAsia="Arial Unicode MS" w:hAnsi="Times New Roman" w:cs="Times New Roman"/>
          <w:i w:val="0"/>
          <w:iCs w:val="0"/>
          <w:color w:val="000000" w:themeColor="text1"/>
        </w:rPr>
        <w:t xml:space="preserve">». Синхронно-временной механизм ПШ-3 </w:t>
      </w:r>
      <w:r w:rsidRPr="00925F26">
        <w:rPr>
          <w:rFonts w:ascii="Times New Roman" w:hAnsi="Times New Roman" w:cs="Times New Roman"/>
          <w:i w:val="0"/>
          <w:color w:val="000000" w:themeColor="text1"/>
          <w:sz w:val="16"/>
          <w:szCs w:val="16"/>
        </w:rPr>
        <w:t>«уравнивает скорости</w:t>
      </w:r>
      <w:r w:rsidRPr="00925F26">
        <w:rPr>
          <w:rStyle w:val="2221"/>
          <w:rFonts w:ascii="Times New Roman" w:eastAsia="Arial Unicode MS" w:hAnsi="Times New Roman" w:cs="Times New Roman"/>
          <w:i w:val="0"/>
          <w:iCs w:val="0"/>
          <w:color w:val="000000" w:themeColor="text1"/>
        </w:rPr>
        <w:t xml:space="preserve"> движения</w:t>
      </w:r>
      <w:r w:rsidRPr="00925F26">
        <w:rPr>
          <w:rFonts w:ascii="Times New Roman" w:hAnsi="Times New Roman" w:cs="Times New Roman"/>
          <w:i w:val="0"/>
          <w:color w:val="000000" w:themeColor="text1"/>
          <w:sz w:val="16"/>
          <w:szCs w:val="16"/>
        </w:rPr>
        <w:t xml:space="preserve"> визирного луча и цели относительно самолёта, улучшает ус</w:t>
      </w:r>
      <w:r w:rsidRPr="00925F26">
        <w:rPr>
          <w:rFonts w:ascii="Times New Roman" w:hAnsi="Times New Roman" w:cs="Times New Roman"/>
          <w:i w:val="0"/>
          <w:color w:val="000000" w:themeColor="text1"/>
          <w:sz w:val="16"/>
          <w:szCs w:val="16"/>
        </w:rPr>
        <w:softHyphen/>
        <w:t>ловия прицеливания, особенно при бомбометании с малых высот при большой скорости по</w:t>
      </w:r>
      <w:r w:rsidRPr="00925F26">
        <w:rPr>
          <w:rFonts w:ascii="Times New Roman" w:hAnsi="Times New Roman" w:cs="Times New Roman"/>
          <w:i w:val="0"/>
          <w:color w:val="000000" w:themeColor="text1"/>
          <w:sz w:val="16"/>
          <w:szCs w:val="16"/>
        </w:rPr>
        <w:softHyphen/>
        <w:t>лёта».</w:t>
      </w:r>
      <w:r w:rsidRPr="00925F26">
        <w:rPr>
          <w:rStyle w:val="2221"/>
          <w:rFonts w:ascii="Times New Roman" w:eastAsia="Arial Unicode MS" w:hAnsi="Times New Roman" w:cs="Times New Roman"/>
          <w:i w:val="0"/>
          <w:iCs w:val="0"/>
          <w:color w:val="000000" w:themeColor="text1"/>
        </w:rPr>
        <w:t xml:space="preserve"> И главное,</w:t>
      </w:r>
      <w:r w:rsidRPr="00925F26">
        <w:rPr>
          <w:rFonts w:ascii="Times New Roman" w:hAnsi="Times New Roman" w:cs="Times New Roman"/>
          <w:i w:val="0"/>
          <w:color w:val="000000" w:themeColor="text1"/>
          <w:sz w:val="16"/>
          <w:szCs w:val="16"/>
        </w:rPr>
        <w:t xml:space="preserve"> «точность бомбометания с горизонтального полёта и планирования с ПШ-3 выше, чем с ВМШ-2».</w:t>
      </w:r>
    </w:p>
    <w:p w14:paraId="00A48846" w14:textId="77777777" w:rsidR="003D5AF4" w:rsidRPr="00925F26" w:rsidRDefault="003D5AF4" w:rsidP="00925F26">
      <w:pPr>
        <w:pStyle w:val="a3"/>
        <w:rPr>
          <w:color w:val="000000" w:themeColor="text1"/>
          <w:lang w:val="ru-RU"/>
        </w:rPr>
      </w:pPr>
      <w:r w:rsidRPr="00925F26">
        <w:rPr>
          <w:color w:val="000000" w:themeColor="text1"/>
          <w:lang w:val="ru-RU"/>
        </w:rPr>
        <w:lastRenderedPageBreak/>
        <w:t>Время нахождения на боевом курсе, как при бомбометании с горизонта, так и с пикирова</w:t>
      </w:r>
      <w:r w:rsidRPr="00925F26">
        <w:rPr>
          <w:color w:val="000000" w:themeColor="text1"/>
          <w:lang w:val="ru-RU"/>
        </w:rPr>
        <w:softHyphen/>
        <w:t>ния, было сравнительно невелико и не превышало 10-12 сек.</w:t>
      </w:r>
    </w:p>
    <w:p w14:paraId="430C83B3" w14:textId="77777777" w:rsidR="003D5AF4" w:rsidRPr="00925F26" w:rsidRDefault="003D5AF4" w:rsidP="00925F26">
      <w:pPr>
        <w:pStyle w:val="a3"/>
        <w:rPr>
          <w:color w:val="000000" w:themeColor="text1"/>
          <w:lang w:val="ru-RU"/>
        </w:rPr>
      </w:pPr>
      <w:r w:rsidRPr="00925F26">
        <w:rPr>
          <w:color w:val="000000" w:themeColor="text1"/>
          <w:lang w:val="ru-RU"/>
        </w:rPr>
        <w:t>При горизонтальном бомбометании боковая наводка считалась простой, наводка по даль</w:t>
      </w:r>
      <w:r w:rsidRPr="00925F26">
        <w:rPr>
          <w:color w:val="000000" w:themeColor="text1"/>
          <w:lang w:val="ru-RU"/>
        </w:rPr>
        <w:softHyphen/>
        <w:t>ности - «</w:t>
      </w:r>
      <w:r w:rsidRPr="00925F26">
        <w:rPr>
          <w:rStyle w:val="263"/>
          <w:rFonts w:ascii="Times New Roman" w:hAnsi="Times New Roman" w:cs="Times New Roman"/>
          <w:i w:val="0"/>
          <w:color w:val="000000" w:themeColor="text1"/>
          <w:sz w:val="16"/>
          <w:szCs w:val="16"/>
          <w:lang w:val="ru-RU"/>
        </w:rPr>
        <w:t>зависит от точного выдерживания лётчиком путевой скорости и высоты бросания, уста</w:t>
      </w:r>
      <w:r w:rsidRPr="00925F26">
        <w:rPr>
          <w:rStyle w:val="263"/>
          <w:rFonts w:ascii="Times New Roman" w:hAnsi="Times New Roman" w:cs="Times New Roman"/>
          <w:i w:val="0"/>
          <w:color w:val="000000" w:themeColor="text1"/>
          <w:sz w:val="16"/>
          <w:szCs w:val="16"/>
          <w:lang w:val="ru-RU"/>
        </w:rPr>
        <w:softHyphen/>
        <w:t>новленной на прицеле»,</w:t>
      </w:r>
      <w:r w:rsidRPr="00925F26">
        <w:rPr>
          <w:color w:val="000000" w:themeColor="text1"/>
          <w:lang w:val="ru-RU"/>
        </w:rPr>
        <w:t xml:space="preserve"> но также была несложной. Выход на цель (высота полёта 100-800 м) можно было выполнять как с разворота, так и с прямой.</w:t>
      </w:r>
    </w:p>
    <w:p w14:paraId="5225528D" w14:textId="77777777" w:rsidR="003D5AF4" w:rsidRPr="00925F26" w:rsidRDefault="003D5AF4" w:rsidP="00925F26">
      <w:pPr>
        <w:pStyle w:val="a3"/>
        <w:rPr>
          <w:color w:val="000000" w:themeColor="text1"/>
          <w:lang w:val="ru-RU"/>
        </w:rPr>
      </w:pPr>
      <w:r w:rsidRPr="00925F26">
        <w:rPr>
          <w:color w:val="000000" w:themeColor="text1"/>
          <w:lang w:val="ru-RU"/>
        </w:rPr>
        <w:t>Некоторую трудность представлял ввод самолёта в планирование. От лётчиков требовался энергичный маневр самолётом. Все остальные элементы затруднений не вызывали. Было доста</w:t>
      </w:r>
      <w:r w:rsidRPr="00925F26">
        <w:rPr>
          <w:color w:val="000000" w:themeColor="text1"/>
          <w:lang w:val="ru-RU"/>
        </w:rPr>
        <w:softHyphen/>
        <w:t>точно небольшой тренировки - всего 2-3 полёта.</w:t>
      </w:r>
    </w:p>
    <w:p w14:paraId="7CDCDF6F" w14:textId="77777777" w:rsidR="003D5AF4" w:rsidRPr="00925F26" w:rsidRDefault="003D5AF4" w:rsidP="00925F26">
      <w:pPr>
        <w:pStyle w:val="a3"/>
        <w:rPr>
          <w:color w:val="000000" w:themeColor="text1"/>
          <w:lang w:val="ru-RU"/>
        </w:rPr>
      </w:pPr>
      <w:r w:rsidRPr="00925F26">
        <w:rPr>
          <w:color w:val="000000" w:themeColor="text1"/>
          <w:lang w:val="ru-RU"/>
        </w:rPr>
        <w:t>В ходе испытаний бомбы сбрасывались с высоты 400 м на скорости 350 км/ч при горизон</w:t>
      </w:r>
      <w:r w:rsidRPr="00925F26">
        <w:rPr>
          <w:color w:val="000000" w:themeColor="text1"/>
          <w:lang w:val="ru-RU"/>
        </w:rPr>
        <w:softHyphen/>
        <w:t>тальном бомбометании и 420 км/ч при сбросе бомб с пикирования (угол 30°). Во всех случаях кучность бомбометания была выше, чем при использовании ВМШ-2. Причём все точки падения бомб находились в пределах отличной оценки по «Руководству по бомбометанию 1944 г.».</w:t>
      </w:r>
    </w:p>
    <w:p w14:paraId="40749AF6" w14:textId="77777777" w:rsidR="003D5AF4" w:rsidRPr="00925F26" w:rsidRDefault="003D5AF4"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211"/>
          <w:rFonts w:ascii="Times New Roman" w:eastAsia="Arial Unicode MS" w:hAnsi="Times New Roman" w:cs="Times New Roman"/>
          <w:i w:val="0"/>
          <w:iCs w:val="0"/>
          <w:color w:val="000000" w:themeColor="text1"/>
        </w:rPr>
        <w:t>Отмечалось, что</w:t>
      </w:r>
      <w:r w:rsidRPr="00925F26">
        <w:rPr>
          <w:rFonts w:ascii="Times New Roman" w:hAnsi="Times New Roman" w:cs="Times New Roman"/>
          <w:i w:val="0"/>
          <w:color w:val="000000" w:themeColor="text1"/>
          <w:sz w:val="16"/>
          <w:szCs w:val="16"/>
        </w:rPr>
        <w:t xml:space="preserve"> «красный сигнал, указывающий момент построения угла прицеливания (упреждения, ви</w:t>
      </w:r>
      <w:r w:rsidRPr="00925F26">
        <w:rPr>
          <w:rFonts w:ascii="Times New Roman" w:hAnsi="Times New Roman" w:cs="Times New Roman"/>
          <w:i w:val="0"/>
          <w:color w:val="000000" w:themeColor="text1"/>
          <w:sz w:val="16"/>
          <w:szCs w:val="16"/>
        </w:rPr>
        <w:softHyphen/>
        <w:t>ден плохо, ...пользоваться неудоб</w:t>
      </w:r>
      <w:r w:rsidRPr="00925F26">
        <w:rPr>
          <w:rFonts w:ascii="Times New Roman" w:hAnsi="Times New Roman" w:cs="Times New Roman"/>
          <w:i w:val="0"/>
          <w:color w:val="000000" w:themeColor="text1"/>
          <w:sz w:val="16"/>
          <w:szCs w:val="16"/>
        </w:rPr>
        <w:softHyphen/>
        <w:t>но».</w:t>
      </w:r>
      <w:r w:rsidRPr="00925F26">
        <w:rPr>
          <w:rStyle w:val="2211"/>
          <w:rFonts w:ascii="Times New Roman" w:eastAsia="Arial Unicode MS" w:hAnsi="Times New Roman" w:cs="Times New Roman"/>
          <w:i w:val="0"/>
          <w:iCs w:val="0"/>
          <w:color w:val="000000" w:themeColor="text1"/>
        </w:rPr>
        <w:t xml:space="preserve"> Предлагалось увеличить (на 1-2 сек) время ввода самолёта в пикиро</w:t>
      </w:r>
      <w:r w:rsidRPr="00925F26">
        <w:rPr>
          <w:rStyle w:val="2211"/>
          <w:rFonts w:ascii="Times New Roman" w:eastAsia="Arial Unicode MS" w:hAnsi="Times New Roman" w:cs="Times New Roman"/>
          <w:i w:val="0"/>
          <w:iCs w:val="0"/>
          <w:color w:val="000000" w:themeColor="text1"/>
        </w:rPr>
        <w:softHyphen/>
        <w:t>вание.</w:t>
      </w:r>
    </w:p>
    <w:p w14:paraId="5469B019" w14:textId="77777777" w:rsidR="003D5AF4" w:rsidRPr="00925F26" w:rsidRDefault="003D5AF4" w:rsidP="00925F26">
      <w:pPr>
        <w:pStyle w:val="a3"/>
        <w:rPr>
          <w:color w:val="000000" w:themeColor="text1"/>
          <w:lang w:val="ru-RU"/>
        </w:rPr>
      </w:pPr>
      <w:r w:rsidRPr="00925F26">
        <w:rPr>
          <w:color w:val="000000" w:themeColor="text1"/>
          <w:lang w:val="ru-RU"/>
        </w:rPr>
        <w:t xml:space="preserve">В заключении делался вывод, что </w:t>
      </w:r>
      <w:r w:rsidRPr="00925F26">
        <w:rPr>
          <w:rStyle w:val="254"/>
          <w:rFonts w:ascii="Times New Roman" w:hAnsi="Times New Roman" w:cs="Times New Roman"/>
          <w:i w:val="0"/>
          <w:color w:val="000000" w:themeColor="text1"/>
          <w:sz w:val="16"/>
          <w:szCs w:val="16"/>
          <w:lang w:val="ru-RU"/>
        </w:rPr>
        <w:t>«государственные испытания ПШ-3 выдержал».</w:t>
      </w:r>
      <w:r w:rsidRPr="00925F26">
        <w:rPr>
          <w:color w:val="000000" w:themeColor="text1"/>
          <w:lang w:val="ru-RU"/>
        </w:rPr>
        <w:t xml:space="preserve"> Рекомендовалось</w:t>
      </w:r>
      <w:r w:rsidRPr="00925F26">
        <w:rPr>
          <w:rStyle w:val="254"/>
          <w:rFonts w:ascii="Times New Roman" w:hAnsi="Times New Roman" w:cs="Times New Roman"/>
          <w:i w:val="0"/>
          <w:color w:val="000000" w:themeColor="text1"/>
          <w:sz w:val="16"/>
          <w:szCs w:val="16"/>
          <w:lang w:val="ru-RU"/>
        </w:rPr>
        <w:t xml:space="preserve"> «про</w:t>
      </w:r>
      <w:r w:rsidRPr="00925F26">
        <w:rPr>
          <w:rStyle w:val="254"/>
          <w:rFonts w:ascii="Times New Roman" w:hAnsi="Times New Roman" w:cs="Times New Roman"/>
          <w:i w:val="0"/>
          <w:color w:val="000000" w:themeColor="text1"/>
          <w:sz w:val="16"/>
          <w:szCs w:val="16"/>
          <w:lang w:val="ru-RU"/>
        </w:rPr>
        <w:softHyphen/>
        <w:t>сить 2-е ГУ НКВ обязать завод № 589</w:t>
      </w:r>
      <w:r w:rsidRPr="00925F26">
        <w:rPr>
          <w:color w:val="000000" w:themeColor="text1"/>
          <w:lang w:val="ru-RU"/>
        </w:rPr>
        <w:t>» срочно пересчитать ПШ-3 для самолёта Ил-2, а также</w:t>
      </w:r>
      <w:r w:rsidRPr="00925F26">
        <w:rPr>
          <w:rStyle w:val="254"/>
          <w:rFonts w:ascii="Times New Roman" w:hAnsi="Times New Roman" w:cs="Times New Roman"/>
          <w:i w:val="0"/>
          <w:color w:val="000000" w:themeColor="text1"/>
          <w:sz w:val="16"/>
          <w:szCs w:val="16"/>
          <w:lang w:val="ru-RU"/>
        </w:rPr>
        <w:t xml:space="preserve"> «изготовить</w:t>
      </w:r>
      <w:r w:rsidRPr="00925F26">
        <w:rPr>
          <w:color w:val="000000" w:themeColor="text1"/>
          <w:lang w:val="ru-RU"/>
        </w:rPr>
        <w:t xml:space="preserve"> опытную</w:t>
      </w:r>
      <w:r w:rsidRPr="00925F26">
        <w:rPr>
          <w:rStyle w:val="254"/>
          <w:rFonts w:ascii="Times New Roman" w:hAnsi="Times New Roman" w:cs="Times New Roman"/>
          <w:i w:val="0"/>
          <w:color w:val="000000" w:themeColor="text1"/>
          <w:sz w:val="16"/>
          <w:szCs w:val="16"/>
          <w:lang w:val="ru-RU"/>
        </w:rPr>
        <w:t xml:space="preserve"> партию в 30</w:t>
      </w:r>
      <w:r w:rsidRPr="00925F26">
        <w:rPr>
          <w:color w:val="000000" w:themeColor="text1"/>
          <w:lang w:val="ru-RU"/>
        </w:rPr>
        <w:t xml:space="preserve"> шт. для</w:t>
      </w:r>
      <w:r w:rsidRPr="00925F26">
        <w:rPr>
          <w:rStyle w:val="254"/>
          <w:rFonts w:ascii="Times New Roman" w:hAnsi="Times New Roman" w:cs="Times New Roman"/>
          <w:i w:val="0"/>
          <w:color w:val="000000" w:themeColor="text1"/>
          <w:sz w:val="16"/>
          <w:szCs w:val="16"/>
          <w:lang w:val="ru-RU"/>
        </w:rPr>
        <w:t xml:space="preserve"> войсковых испытаний на Ил-2 в июне-июле 1945</w:t>
      </w:r>
      <w:r w:rsidRPr="00925F26">
        <w:rPr>
          <w:color w:val="000000" w:themeColor="text1"/>
          <w:lang w:val="ru-RU"/>
        </w:rPr>
        <w:t xml:space="preserve"> г.». Два образца требовалось к 1 мая 1 945 г. подать на контрольные испытания в Управление АВ ГК НИИ ВВС. Одновременно предлагалось «</w:t>
      </w:r>
      <w:r w:rsidRPr="00925F26">
        <w:rPr>
          <w:rStyle w:val="254"/>
          <w:rFonts w:ascii="Times New Roman" w:hAnsi="Times New Roman" w:cs="Times New Roman"/>
          <w:i w:val="0"/>
          <w:color w:val="000000" w:themeColor="text1"/>
          <w:sz w:val="16"/>
          <w:szCs w:val="16"/>
          <w:lang w:val="ru-RU"/>
        </w:rPr>
        <w:t>просить Главного конструктора т.</w:t>
      </w:r>
      <w:r w:rsidRPr="00925F26">
        <w:rPr>
          <w:color w:val="000000" w:themeColor="text1"/>
          <w:lang w:val="ru-RU"/>
        </w:rPr>
        <w:t xml:space="preserve"> Ильюшина</w:t>
      </w:r>
      <w:r w:rsidRPr="00925F26">
        <w:rPr>
          <w:rStyle w:val="254"/>
          <w:rFonts w:ascii="Times New Roman" w:hAnsi="Times New Roman" w:cs="Times New Roman"/>
          <w:i w:val="0"/>
          <w:color w:val="000000" w:themeColor="text1"/>
          <w:sz w:val="16"/>
          <w:szCs w:val="16"/>
          <w:lang w:val="ru-RU"/>
        </w:rPr>
        <w:t xml:space="preserve"> С.В. ускорить монтаж ПШ-3 на самолёт</w:t>
      </w:r>
      <w:r w:rsidRPr="00925F26">
        <w:rPr>
          <w:color w:val="000000" w:themeColor="text1"/>
          <w:lang w:val="ru-RU"/>
        </w:rPr>
        <w:t xml:space="preserve"> Ил-10 для</w:t>
      </w:r>
      <w:r w:rsidRPr="00925F26">
        <w:rPr>
          <w:rStyle w:val="254"/>
          <w:rFonts w:ascii="Times New Roman" w:hAnsi="Times New Roman" w:cs="Times New Roman"/>
          <w:i w:val="0"/>
          <w:color w:val="000000" w:themeColor="text1"/>
          <w:sz w:val="16"/>
          <w:szCs w:val="16"/>
          <w:lang w:val="ru-RU"/>
        </w:rPr>
        <w:t xml:space="preserve"> государствен</w:t>
      </w:r>
      <w:r w:rsidRPr="00925F26">
        <w:rPr>
          <w:rStyle w:val="254"/>
          <w:rFonts w:ascii="Times New Roman" w:hAnsi="Times New Roman" w:cs="Times New Roman"/>
          <w:i w:val="0"/>
          <w:color w:val="000000" w:themeColor="text1"/>
          <w:sz w:val="16"/>
          <w:szCs w:val="16"/>
          <w:lang w:val="ru-RU"/>
        </w:rPr>
        <w:softHyphen/>
        <w:t>ных испытаний» (15978).</w:t>
      </w:r>
    </w:p>
    <w:p w14:paraId="75959C06" w14:textId="77777777" w:rsidR="003D5AF4" w:rsidRPr="00925F26" w:rsidRDefault="003D5AF4" w:rsidP="00925F26">
      <w:pPr>
        <w:pStyle w:val="a3"/>
        <w:rPr>
          <w:color w:val="000000" w:themeColor="text1"/>
          <w:lang w:val="ru-RU"/>
        </w:rPr>
      </w:pPr>
    </w:p>
    <w:p w14:paraId="078F966F" w14:textId="77777777" w:rsidR="00D92245" w:rsidRPr="00925F26" w:rsidRDefault="00D92245" w:rsidP="00925F26">
      <w:pPr>
        <w:jc w:val="both"/>
        <w:rPr>
          <w:color w:val="000000" w:themeColor="text1"/>
          <w:sz w:val="16"/>
          <w:szCs w:val="16"/>
        </w:rPr>
      </w:pPr>
      <w:r w:rsidRPr="00925F26">
        <w:rPr>
          <w:bCs/>
          <w:color w:val="000000" w:themeColor="text1"/>
          <w:sz w:val="16"/>
          <w:szCs w:val="16"/>
        </w:rPr>
        <w:t>22 февраля</w:t>
      </w:r>
      <w:r w:rsidRPr="00925F26">
        <w:rPr>
          <w:color w:val="000000" w:themeColor="text1"/>
          <w:sz w:val="16"/>
          <w:szCs w:val="16"/>
        </w:rPr>
        <w:t xml:space="preserve"> в 1945 году благополучно завершена полная программа переучивания </w:t>
      </w:r>
      <w:proofErr w:type="gramStart"/>
      <w:r w:rsidRPr="00925F26">
        <w:rPr>
          <w:color w:val="000000" w:themeColor="text1"/>
          <w:sz w:val="16"/>
          <w:szCs w:val="16"/>
        </w:rPr>
        <w:t>на штурмовик</w:t>
      </w:r>
      <w:proofErr w:type="gramEnd"/>
      <w:r w:rsidRPr="00925F26">
        <w:rPr>
          <w:color w:val="000000" w:themeColor="text1"/>
          <w:sz w:val="16"/>
          <w:szCs w:val="16"/>
        </w:rPr>
        <w:t xml:space="preserve"> «Ил-10», 108-ого гшап. На следующий день убыл в полном составе (43 самолета «Ил-10 «производства заводов № 1 и № 18 1-й, 2-й, 3-й и 4-й серий с «АМ-42» с винтом «АВ-5л-24») в действующую армию на 1-й Украинский фронт в состав 2-й Воздушной Армии (15048).</w:t>
      </w:r>
    </w:p>
    <w:p w14:paraId="2A8AC45E" w14:textId="77777777" w:rsidR="00D92245" w:rsidRPr="00925F26" w:rsidRDefault="00D92245" w:rsidP="00925F26">
      <w:pPr>
        <w:jc w:val="both"/>
        <w:rPr>
          <w:color w:val="000000" w:themeColor="text1"/>
          <w:sz w:val="16"/>
          <w:szCs w:val="16"/>
        </w:rPr>
      </w:pPr>
    </w:p>
    <w:p w14:paraId="289C0B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 февраля 1945 по 25 марта проходили гос. испытания модифицированного Ла-7 № 38105758 с 3 пушками Б-20.</w:t>
      </w:r>
    </w:p>
    <w:p w14:paraId="057CF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С-ты № 38100358, 38105758 производства завода № 381</w:t>
      </w:r>
    </w:p>
    <w:p w14:paraId="26E9F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И-м Г.В.Чертявский</w:t>
      </w:r>
    </w:p>
    <w:p w14:paraId="799566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м Кубышкин</w:t>
      </w:r>
    </w:p>
    <w:p w14:paraId="7378BF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С-ты производства з-да № 381 выпуска января-февраля 1945 г</w:t>
      </w:r>
    </w:p>
    <w:p w14:paraId="7A46A7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38100358 испытания начались 25 января 1945 и прекращены 7 февраля 1945 из-за ненадежной работы вооружения.</w:t>
      </w:r>
    </w:p>
    <w:p w14:paraId="0392AA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5758 испытания начаты 22 февраля и закончены 25 марта 1945 г.</w:t>
      </w:r>
    </w:p>
    <w:p w14:paraId="2C95E5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полетов на с-те № 0358 налет составил 2:50</w:t>
      </w:r>
    </w:p>
    <w:p w14:paraId="0DA33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2675, полетный - 3312</w:t>
      </w:r>
    </w:p>
    <w:p w14:paraId="4998DB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571, на 1 гр. (2900) - 632, на 5000 - 636, на 2 гр. (6100) - 662 км/час</w:t>
      </w:r>
    </w:p>
    <w:p w14:paraId="08330F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5000 - 5,1</w:t>
      </w:r>
    </w:p>
    <w:p w14:paraId="29DABE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10325, время набора 26 мин.</w:t>
      </w:r>
    </w:p>
    <w:p w14:paraId="47D34C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1020D7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56FB99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работы 20мм пушек Б-20с и их синхронной установки не обеспечена.</w:t>
      </w:r>
    </w:p>
    <w:p w14:paraId="0D3779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Материалы испытаний оставить для внутреннего пользованияч.</w:t>
      </w:r>
    </w:p>
    <w:p w14:paraId="2429C4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715B92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Кочетков, Л.. 2 апреля 1945 (743,1).</w:t>
      </w:r>
    </w:p>
    <w:p w14:paraId="60FD5C19" w14:textId="77777777" w:rsidR="00665165" w:rsidRPr="00925F26" w:rsidRDefault="00665165" w:rsidP="00925F26">
      <w:pPr>
        <w:autoSpaceDE w:val="0"/>
        <w:autoSpaceDN w:val="0"/>
        <w:adjustRightInd w:val="0"/>
        <w:jc w:val="both"/>
        <w:rPr>
          <w:color w:val="000000" w:themeColor="text1"/>
          <w:sz w:val="16"/>
          <w:szCs w:val="16"/>
        </w:rPr>
      </w:pPr>
    </w:p>
    <w:p w14:paraId="72C311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22 по 25 февраля 1945, а затем после перерыва с 20 марта по 8 апреля 1945 проходили гос. испытания модифицированного (управление винтом и мотором "82ФН-ВГ" и скоростным нагнетателем "Э-67", а также автоматическим регулятором температуры "АРТЦ-43") Ла-7 АШ-82ФН-ВГ N 38101356 производства 381 завода. Летал Д.Г.Пикуленко и выполнил 24 полета продолжительностью 15 час. 40 мин. Летчиками облета летали многие. Прошел удовлетворительно (744,1).</w:t>
      </w:r>
    </w:p>
    <w:p w14:paraId="40780E32" w14:textId="77777777" w:rsidR="00665165" w:rsidRPr="00925F26" w:rsidRDefault="00665165" w:rsidP="00925F26">
      <w:pPr>
        <w:autoSpaceDE w:val="0"/>
        <w:autoSpaceDN w:val="0"/>
        <w:adjustRightInd w:val="0"/>
        <w:jc w:val="both"/>
        <w:rPr>
          <w:color w:val="000000" w:themeColor="text1"/>
          <w:sz w:val="16"/>
          <w:szCs w:val="16"/>
        </w:rPr>
      </w:pPr>
    </w:p>
    <w:p w14:paraId="58C57C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 февраля 1945 проходили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были прерваны 25 февраля, возобновлены 20 марта и закончились 8 апреля 1945.</w:t>
      </w:r>
    </w:p>
    <w:p w14:paraId="2B41D5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выполнено 24 полета с налетом 15:40</w:t>
      </w:r>
    </w:p>
    <w:p w14:paraId="179D1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Вед. Ии ли и Л.А.Радионов</w:t>
      </w:r>
    </w:p>
    <w:p w14:paraId="000850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и-м Д.Г.Пикуленко</w:t>
      </w:r>
    </w:p>
    <w:p w14:paraId="5A070B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5B4BB5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0290C1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06615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надежности работы провести войсковые испытания (20 с-тов)</w:t>
      </w:r>
    </w:p>
    <w:p w14:paraId="601A6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70BB1A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июле 1944 испытавался во 2у ГК НИИ ВВС на с-та Ла-5 № 1618 вновь удовлетворительно</w:t>
      </w:r>
    </w:p>
    <w:p w14:paraId="54EE56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Отмечено, что значительно облегчает управление ВМГ</w:t>
      </w:r>
    </w:p>
    <w:p w14:paraId="568765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3586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11C2BE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АРТЦ-43 - был изготовлен в опытном экз. В 1943 заводом № 194 НКАП согласно плану опытных работ ВВС КА</w:t>
      </w:r>
    </w:p>
    <w:p w14:paraId="77118B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77156D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0C16C9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613193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45F662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183C7011" w14:textId="77777777" w:rsidR="00665165" w:rsidRPr="00925F26" w:rsidRDefault="00665165" w:rsidP="00925F26">
      <w:pPr>
        <w:autoSpaceDE w:val="0"/>
        <w:autoSpaceDN w:val="0"/>
        <w:adjustRightInd w:val="0"/>
        <w:jc w:val="both"/>
        <w:rPr>
          <w:color w:val="000000" w:themeColor="text1"/>
          <w:sz w:val="16"/>
          <w:szCs w:val="16"/>
        </w:rPr>
      </w:pPr>
    </w:p>
    <w:p w14:paraId="61A3E83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8111824" w14:textId="77777777" w:rsidR="00665165" w:rsidRPr="00925F26" w:rsidRDefault="00665165" w:rsidP="00925F26">
      <w:pPr>
        <w:autoSpaceDE w:val="0"/>
        <w:autoSpaceDN w:val="0"/>
        <w:adjustRightInd w:val="0"/>
        <w:jc w:val="both"/>
        <w:rPr>
          <w:iCs/>
          <w:color w:val="000000" w:themeColor="text1"/>
          <w:sz w:val="16"/>
          <w:szCs w:val="16"/>
        </w:rPr>
      </w:pPr>
    </w:p>
    <w:p w14:paraId="72D80E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февраля 1945 г. после опытного пробега в Москву на завод №37 для показа командованию БГ и МВ КА и членам правительства прибыл первый Т-54, который изготовили к 30 января 1945 г. на за</w:t>
      </w:r>
      <w:r w:rsidRPr="00925F26">
        <w:rPr>
          <w:color w:val="000000" w:themeColor="text1"/>
          <w:sz w:val="16"/>
          <w:szCs w:val="16"/>
        </w:rPr>
        <w:softHyphen/>
        <w:t>воде №183.</w:t>
      </w:r>
    </w:p>
    <w:p w14:paraId="65BD5D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Опытный танк Т-54 обр. 1945 г. представ</w:t>
      </w:r>
      <w:r w:rsidRPr="00925F26">
        <w:rPr>
          <w:color w:val="000000" w:themeColor="text1"/>
          <w:sz w:val="16"/>
          <w:szCs w:val="16"/>
        </w:rPr>
        <w:softHyphen/>
        <w:t>лял собой модернизацию танка Т-44 обр. 1944 г. в направлении значительного повы</w:t>
      </w:r>
      <w:r w:rsidRPr="00925F26">
        <w:rPr>
          <w:color w:val="000000" w:themeColor="text1"/>
          <w:sz w:val="16"/>
          <w:szCs w:val="16"/>
        </w:rPr>
        <w:softHyphen/>
        <w:t>шения его боевых свойств - огневой мощи и защищенности, что в пределах заданной боевой массы было достигнуто главным об</w:t>
      </w:r>
      <w:r w:rsidRPr="00925F26">
        <w:rPr>
          <w:color w:val="000000" w:themeColor="text1"/>
          <w:sz w:val="16"/>
          <w:szCs w:val="16"/>
        </w:rPr>
        <w:softHyphen/>
        <w:t>разом за счет совершенствования классичес</w:t>
      </w:r>
      <w:r w:rsidRPr="00925F26">
        <w:rPr>
          <w:color w:val="000000" w:themeColor="text1"/>
          <w:sz w:val="16"/>
          <w:szCs w:val="16"/>
        </w:rPr>
        <w:softHyphen/>
        <w:t>кой схемы общей компоновки машины. Со</w:t>
      </w:r>
      <w:r w:rsidRPr="00925F26">
        <w:rPr>
          <w:color w:val="000000" w:themeColor="text1"/>
          <w:sz w:val="16"/>
          <w:szCs w:val="16"/>
        </w:rPr>
        <w:softHyphen/>
        <w:t>кращение численности экипажа с пяти до четырех человек и повышение плотности общей компоновки танка привело к уменьше</w:t>
      </w:r>
      <w:r w:rsidRPr="00925F26">
        <w:rPr>
          <w:color w:val="000000" w:themeColor="text1"/>
          <w:sz w:val="16"/>
          <w:szCs w:val="16"/>
        </w:rPr>
        <w:softHyphen/>
        <w:t>нию забронированного объема до 11,8 м</w:t>
      </w:r>
      <w:r w:rsidRPr="00925F26">
        <w:rPr>
          <w:color w:val="000000" w:themeColor="text1"/>
          <w:sz w:val="16"/>
          <w:szCs w:val="16"/>
          <w:vertAlign w:val="superscript"/>
        </w:rPr>
        <w:t xml:space="preserve">3 </w:t>
      </w:r>
      <w:r w:rsidRPr="00925F26">
        <w:rPr>
          <w:color w:val="000000" w:themeColor="text1"/>
          <w:sz w:val="16"/>
          <w:szCs w:val="16"/>
        </w:rPr>
        <w:t>(для сравнения: у танка Т-34-85 эта величина была равна 12,6 м</w:t>
      </w:r>
      <w:r w:rsidRPr="00925F26">
        <w:rPr>
          <w:color w:val="000000" w:themeColor="text1"/>
          <w:sz w:val="16"/>
          <w:szCs w:val="16"/>
          <w:vertAlign w:val="superscript"/>
        </w:rPr>
        <w:t>3</w:t>
      </w:r>
      <w:r w:rsidRPr="00925F26">
        <w:rPr>
          <w:color w:val="000000" w:themeColor="text1"/>
          <w:sz w:val="16"/>
          <w:szCs w:val="16"/>
        </w:rPr>
        <w:t>). Высота машины была уменьшена на 300 мм по сравнению с высо</w:t>
      </w:r>
      <w:r w:rsidRPr="00925F26">
        <w:rPr>
          <w:color w:val="000000" w:themeColor="text1"/>
          <w:sz w:val="16"/>
          <w:szCs w:val="16"/>
        </w:rPr>
        <w:softHyphen/>
        <w:t>той танка Т-34-85, что также позволило сэко</w:t>
      </w:r>
      <w:r w:rsidRPr="00925F26">
        <w:rPr>
          <w:color w:val="000000" w:themeColor="text1"/>
          <w:sz w:val="16"/>
          <w:szCs w:val="16"/>
        </w:rPr>
        <w:softHyphen/>
        <w:t>номленную при этом массу использовать для усиления броневой зашиты нового танка.</w:t>
      </w:r>
    </w:p>
    <w:p w14:paraId="2CC3DD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Поперечное расположение двигателя в кормовой части корпуса позволило за счет сокращения длины МТО увеличить размеры боевого отделения и впервые установить на серийном среднем танке 100-мм пушку, что значительно увеличило огневую мощь маши</w:t>
      </w:r>
      <w:r w:rsidRPr="00925F26">
        <w:rPr>
          <w:color w:val="000000" w:themeColor="text1"/>
          <w:sz w:val="16"/>
          <w:szCs w:val="16"/>
        </w:rPr>
        <w:softHyphen/>
        <w:t>ны по сравнению с танком Т-44.</w:t>
      </w:r>
    </w:p>
    <w:p w14:paraId="711876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Благодаря принятой схеме общей компо</w:t>
      </w:r>
      <w:r w:rsidRPr="00925F26">
        <w:rPr>
          <w:color w:val="000000" w:themeColor="text1"/>
          <w:sz w:val="16"/>
          <w:szCs w:val="16"/>
        </w:rPr>
        <w:softHyphen/>
        <w:t>новки башню удалось сместить в сторону кор</w:t>
      </w:r>
      <w:r w:rsidRPr="00925F26">
        <w:rPr>
          <w:color w:val="000000" w:themeColor="text1"/>
          <w:sz w:val="16"/>
          <w:szCs w:val="16"/>
        </w:rPr>
        <w:softHyphen/>
        <w:t>мы танка и расположить на подбашенном ли</w:t>
      </w:r>
      <w:r w:rsidRPr="00925F26">
        <w:rPr>
          <w:color w:val="000000" w:themeColor="text1"/>
          <w:sz w:val="16"/>
          <w:szCs w:val="16"/>
        </w:rPr>
        <w:softHyphen/>
        <w:t xml:space="preserve">сте корпуса люк механика-водителя. Эта дало возможность значительно усилить </w:t>
      </w:r>
      <w:proofErr w:type="gramStart"/>
      <w:r w:rsidRPr="00925F26">
        <w:rPr>
          <w:color w:val="000000" w:themeColor="text1"/>
          <w:sz w:val="16"/>
          <w:szCs w:val="16"/>
        </w:rPr>
        <w:t>противо-снарядную</w:t>
      </w:r>
      <w:proofErr w:type="gramEnd"/>
      <w:r w:rsidRPr="00925F26">
        <w:rPr>
          <w:color w:val="000000" w:themeColor="text1"/>
          <w:sz w:val="16"/>
          <w:szCs w:val="16"/>
        </w:rPr>
        <w:t xml:space="preserve"> стойкость носовой части.</w:t>
      </w:r>
    </w:p>
    <w:p w14:paraId="52903A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Вооружение танка состояло из 100-мм опытной танковой пушки Д-10Т-К конструк</w:t>
      </w:r>
      <w:r w:rsidRPr="00925F26">
        <w:rPr>
          <w:color w:val="000000" w:themeColor="text1"/>
          <w:sz w:val="16"/>
          <w:szCs w:val="16"/>
        </w:rPr>
        <w:softHyphen/>
        <w:t>ции завода №9 НКВ и двух 7,62-мм пулеме</w:t>
      </w:r>
      <w:r w:rsidRPr="00925F26">
        <w:rPr>
          <w:color w:val="000000" w:themeColor="text1"/>
          <w:sz w:val="16"/>
          <w:szCs w:val="16"/>
        </w:rPr>
        <w:softHyphen/>
        <w:t>тов ГВТ с ленточным питанием, один из которых был спарен с пушкой, второй — кур</w:t>
      </w:r>
      <w:r w:rsidRPr="00925F26">
        <w:rPr>
          <w:color w:val="000000" w:themeColor="text1"/>
          <w:sz w:val="16"/>
          <w:szCs w:val="16"/>
        </w:rPr>
        <w:softHyphen/>
        <w:t>совой, устанавливался в отделении управ</w:t>
      </w:r>
      <w:r w:rsidRPr="00925F26">
        <w:rPr>
          <w:color w:val="000000" w:themeColor="text1"/>
          <w:sz w:val="16"/>
          <w:szCs w:val="16"/>
        </w:rPr>
        <w:softHyphen/>
        <w:t>ления справа от механика-водителя.</w:t>
      </w:r>
    </w:p>
    <w:p w14:paraId="0213D0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отличие от пушки Д-10Т обр. 1944 г., у пушки Д-10Т-К был упразднен пружинный уравновешивающий механизм. Уравновеши</w:t>
      </w:r>
      <w:r w:rsidRPr="00925F26">
        <w:rPr>
          <w:color w:val="000000" w:themeColor="text1"/>
          <w:sz w:val="16"/>
          <w:szCs w:val="16"/>
        </w:rPr>
        <w:softHyphen/>
        <w:t>вание качающейся части пушки осуществля</w:t>
      </w:r>
      <w:r w:rsidRPr="00925F26">
        <w:rPr>
          <w:color w:val="000000" w:themeColor="text1"/>
          <w:sz w:val="16"/>
          <w:szCs w:val="16"/>
        </w:rPr>
        <w:softHyphen/>
        <w:t>лось за счет некоторого облегчения высту</w:t>
      </w:r>
      <w:r w:rsidRPr="00925F26">
        <w:rPr>
          <w:color w:val="000000" w:themeColor="text1"/>
          <w:sz w:val="16"/>
          <w:szCs w:val="16"/>
        </w:rPr>
        <w:softHyphen/>
        <w:t>павшей за башню части трубы, утяжеления ограждения и подвески под казенную часть пушки специальных грузов.</w:t>
      </w:r>
    </w:p>
    <w:p w14:paraId="4D1F3D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стрельбе из спаренной установки, корректировании огня, определении рассто</w:t>
      </w:r>
      <w:r w:rsidRPr="00925F26">
        <w:rPr>
          <w:color w:val="000000" w:themeColor="text1"/>
          <w:sz w:val="16"/>
          <w:szCs w:val="16"/>
        </w:rPr>
        <w:softHyphen/>
        <w:t>яний до целей и наблюдении за полем боя использовался телескопический шарнирный прицел ТШ-19 четырехкратного увеличения и полем зрения, равным 16°. Предельная дальность стрельбы по шкале для стрельбы из пушки составляла 6800 м, а для стрельбы из пулемета - 1500 м.</w:t>
      </w:r>
    </w:p>
    <w:p w14:paraId="428F1AF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приводе вертикальной наводки исполь</w:t>
      </w:r>
      <w:r w:rsidRPr="00925F26">
        <w:rPr>
          <w:color w:val="000000" w:themeColor="text1"/>
          <w:sz w:val="16"/>
          <w:szCs w:val="16"/>
        </w:rPr>
        <w:softHyphen/>
        <w:t>зовался подъемный механизм секторного типа с ручным и электромоторным приво</w:t>
      </w:r>
      <w:r w:rsidRPr="00925F26">
        <w:rPr>
          <w:color w:val="000000" w:themeColor="text1"/>
          <w:sz w:val="16"/>
          <w:szCs w:val="16"/>
        </w:rPr>
        <w:softHyphen/>
        <w:t>дом со сдающим звеном. Наводка спарен</w:t>
      </w:r>
      <w:r w:rsidRPr="00925F26">
        <w:rPr>
          <w:color w:val="000000" w:themeColor="text1"/>
          <w:sz w:val="16"/>
          <w:szCs w:val="16"/>
        </w:rPr>
        <w:softHyphen/>
        <w:t>ной установки в горизонтальной плоскости осуществлялось с помощью механизма по</w:t>
      </w:r>
      <w:r w:rsidRPr="00925F26">
        <w:rPr>
          <w:color w:val="000000" w:themeColor="text1"/>
          <w:sz w:val="16"/>
          <w:szCs w:val="16"/>
        </w:rPr>
        <w:softHyphen/>
        <w:t>ворота (МПБ), располагавшегося в башне с левой стороны.</w:t>
      </w:r>
    </w:p>
    <w:p w14:paraId="0709D7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стрельбы из пушки применялись 100-мм унитарные выстрелы с бронебойно-трассирующим снарядом БР-412 с взрыва</w:t>
      </w:r>
      <w:r w:rsidRPr="00925F26">
        <w:rPr>
          <w:color w:val="000000" w:themeColor="text1"/>
          <w:sz w:val="16"/>
          <w:szCs w:val="16"/>
        </w:rPr>
        <w:softHyphen/>
        <w:t>телями МД-8 и с осколочно-фугасной гра</w:t>
      </w:r>
      <w:r w:rsidRPr="00925F26">
        <w:rPr>
          <w:color w:val="000000" w:themeColor="text1"/>
          <w:sz w:val="16"/>
          <w:szCs w:val="16"/>
        </w:rPr>
        <w:softHyphen/>
        <w:t>натой ОФ-412 с взрывателем РГМ. Броне</w:t>
      </w:r>
      <w:r w:rsidRPr="00925F26">
        <w:rPr>
          <w:color w:val="000000" w:themeColor="text1"/>
          <w:sz w:val="16"/>
          <w:szCs w:val="16"/>
        </w:rPr>
        <w:softHyphen/>
        <w:t>бойный снаряд массой 15,8 кг, имевший начальную скорость 897 м/с, на дистанции 1000 м пробивал вертикально расположен</w:t>
      </w:r>
      <w:r w:rsidRPr="00925F26">
        <w:rPr>
          <w:color w:val="000000" w:themeColor="text1"/>
          <w:sz w:val="16"/>
          <w:szCs w:val="16"/>
        </w:rPr>
        <w:softHyphen/>
        <w:t>ную броневую плиту толщиной 121 мм.</w:t>
      </w:r>
    </w:p>
    <w:p w14:paraId="1F8D35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Броневая защита танка — дифференци</w:t>
      </w:r>
      <w:r w:rsidRPr="00925F26">
        <w:rPr>
          <w:color w:val="000000" w:themeColor="text1"/>
          <w:sz w:val="16"/>
          <w:szCs w:val="16"/>
        </w:rPr>
        <w:softHyphen/>
        <w:t>рованная противоснарядная. Конструкция корпуса была аналогична конструкции кор</w:t>
      </w:r>
      <w:r w:rsidRPr="00925F26">
        <w:rPr>
          <w:color w:val="000000" w:themeColor="text1"/>
          <w:sz w:val="16"/>
          <w:szCs w:val="16"/>
        </w:rPr>
        <w:softHyphen/>
        <w:t>пуса танка Т-44. Применение днища коры</w:t>
      </w:r>
      <w:r w:rsidRPr="00925F26">
        <w:rPr>
          <w:color w:val="000000" w:themeColor="text1"/>
          <w:sz w:val="16"/>
          <w:szCs w:val="16"/>
        </w:rPr>
        <w:softHyphen/>
        <w:t>тообразной формы с отогнутыми вверх кра</w:t>
      </w:r>
      <w:r w:rsidRPr="00925F26">
        <w:rPr>
          <w:color w:val="000000" w:themeColor="text1"/>
          <w:sz w:val="16"/>
          <w:szCs w:val="16"/>
        </w:rPr>
        <w:softHyphen/>
        <w:t>ями (реданом) позволило уменьшить высо</w:t>
      </w:r>
      <w:r w:rsidRPr="00925F26">
        <w:rPr>
          <w:color w:val="000000" w:themeColor="text1"/>
          <w:sz w:val="16"/>
          <w:szCs w:val="16"/>
        </w:rPr>
        <w:softHyphen/>
        <w:t>ту длинных и толстых бортовых броневых ли</w:t>
      </w:r>
      <w:r w:rsidRPr="00925F26">
        <w:rPr>
          <w:color w:val="000000" w:themeColor="text1"/>
          <w:sz w:val="16"/>
          <w:szCs w:val="16"/>
        </w:rPr>
        <w:softHyphen/>
        <w:t>стов корпуса и за счет этого сэкономить бо</w:t>
      </w:r>
      <w:r w:rsidRPr="00925F26">
        <w:rPr>
          <w:color w:val="000000" w:themeColor="text1"/>
          <w:sz w:val="16"/>
          <w:szCs w:val="16"/>
        </w:rPr>
        <w:softHyphen/>
        <w:t>лее тонны броневой стали.</w:t>
      </w:r>
    </w:p>
    <w:p w14:paraId="0750B0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Вращающаяся литая башня с диаметром опоры в свету 1800 мм, выполненная по типу башни танка Т-44, была изготовлена из бро</w:t>
      </w:r>
      <w:r w:rsidRPr="00925F26">
        <w:rPr>
          <w:color w:val="000000" w:themeColor="text1"/>
          <w:sz w:val="16"/>
          <w:szCs w:val="16"/>
        </w:rPr>
        <w:softHyphen/>
        <w:t>ни 66 АМС с закалкой на среднюю твердость.</w:t>
      </w:r>
    </w:p>
    <w:p w14:paraId="3D8913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Вварная крыша башни изготавливалась из двух катаных броневых листов толщиной 30 мм, сваренных между собой.</w:t>
      </w:r>
    </w:p>
    <w:p w14:paraId="4EBA39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МТО танка перпендикулярно продоль</w:t>
      </w:r>
      <w:r w:rsidRPr="00925F26">
        <w:rPr>
          <w:color w:val="000000" w:themeColor="text1"/>
          <w:sz w:val="16"/>
          <w:szCs w:val="16"/>
        </w:rPr>
        <w:softHyphen/>
        <w:t>ной оси корпуса устанавливался У-образный двенадцатицилиндровый четырехтактный бескомпрессорный дизель В-2-44 мощнос</w:t>
      </w:r>
      <w:r w:rsidRPr="00925F26">
        <w:rPr>
          <w:color w:val="000000" w:themeColor="text1"/>
          <w:sz w:val="16"/>
          <w:szCs w:val="16"/>
        </w:rPr>
        <w:softHyphen/>
        <w:t>тью 520 л.с. (383 кВт).</w:t>
      </w:r>
    </w:p>
    <w:p w14:paraId="593E95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топливную систему входили четыре топливных бака общей емкостью 520 л. Кро</w:t>
      </w:r>
      <w:r w:rsidRPr="00925F26">
        <w:rPr>
          <w:color w:val="000000" w:themeColor="text1"/>
          <w:sz w:val="16"/>
          <w:szCs w:val="16"/>
        </w:rPr>
        <w:softHyphen/>
        <w:t>ме внутренних (основных) топливных баков, снаружи танка на надгусеничных полках ус</w:t>
      </w:r>
      <w:r w:rsidRPr="00925F26">
        <w:rPr>
          <w:color w:val="000000" w:themeColor="text1"/>
          <w:sz w:val="16"/>
          <w:szCs w:val="16"/>
        </w:rPr>
        <w:softHyphen/>
        <w:t>танавливались три дополнительных топлив</w:t>
      </w:r>
      <w:r w:rsidRPr="00925F26">
        <w:rPr>
          <w:color w:val="000000" w:themeColor="text1"/>
          <w:sz w:val="16"/>
          <w:szCs w:val="16"/>
        </w:rPr>
        <w:softHyphen/>
        <w:t>ных бака емкостью по 50 л каждый. Допол</w:t>
      </w:r>
      <w:r w:rsidRPr="00925F26">
        <w:rPr>
          <w:color w:val="000000" w:themeColor="text1"/>
          <w:sz w:val="16"/>
          <w:szCs w:val="16"/>
        </w:rPr>
        <w:softHyphen/>
        <w:t>нительные баки были включены в топливную систему. Запас хода по шоссе с использо</w:t>
      </w:r>
      <w:r w:rsidRPr="00925F26">
        <w:rPr>
          <w:color w:val="000000" w:themeColor="text1"/>
          <w:sz w:val="16"/>
          <w:szCs w:val="16"/>
        </w:rPr>
        <w:softHyphen/>
        <w:t>ванием дополнительных топливных баков достигал 300-360 км.</w:t>
      </w:r>
    </w:p>
    <w:p w14:paraId="50FE75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состав трансмиссии входили: вход</w:t>
      </w:r>
      <w:r w:rsidRPr="00925F26">
        <w:rPr>
          <w:color w:val="000000" w:themeColor="text1"/>
          <w:sz w:val="16"/>
          <w:szCs w:val="16"/>
        </w:rPr>
        <w:softHyphen/>
        <w:t>ной редуктор (гитара), многодисковый су</w:t>
      </w:r>
      <w:r w:rsidRPr="00925F26">
        <w:rPr>
          <w:color w:val="000000" w:themeColor="text1"/>
          <w:sz w:val="16"/>
          <w:szCs w:val="16"/>
        </w:rPr>
        <w:softHyphen/>
        <w:t>хого трения (сталь по стали), главный фрик</w:t>
      </w:r>
      <w:r w:rsidRPr="00925F26">
        <w:rPr>
          <w:color w:val="000000" w:themeColor="text1"/>
          <w:sz w:val="16"/>
          <w:szCs w:val="16"/>
        </w:rPr>
        <w:softHyphen/>
        <w:t>цион; треходовая пятиступенчатая короб</w:t>
      </w:r>
      <w:r w:rsidRPr="00925F26">
        <w:rPr>
          <w:color w:val="000000" w:themeColor="text1"/>
          <w:sz w:val="16"/>
          <w:szCs w:val="16"/>
        </w:rPr>
        <w:softHyphen/>
        <w:t>ка передач, два многодисковых сухого тре</w:t>
      </w:r>
      <w:r w:rsidRPr="00925F26">
        <w:rPr>
          <w:color w:val="000000" w:themeColor="text1"/>
          <w:sz w:val="16"/>
          <w:szCs w:val="16"/>
        </w:rPr>
        <w:softHyphen/>
        <w:t>ния (сталь по стали) бортовых фрикциона; два ленточных (с чугунными накладками) тормоза и два однорядных бортовых редуктора.</w:t>
      </w:r>
    </w:p>
    <w:p w14:paraId="4CE096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Система подрессорива-ния танка состояла из десяти балансиров, десяти торсион</w:t>
      </w:r>
      <w:r w:rsidRPr="00925F26">
        <w:rPr>
          <w:color w:val="000000" w:themeColor="text1"/>
          <w:sz w:val="16"/>
          <w:szCs w:val="16"/>
        </w:rPr>
        <w:softHyphen/>
        <w:t>ных валов с углом закрутки 44°, десяти кронштейнов, де</w:t>
      </w:r>
      <w:r w:rsidRPr="00925F26">
        <w:rPr>
          <w:color w:val="000000" w:themeColor="text1"/>
          <w:sz w:val="16"/>
          <w:szCs w:val="16"/>
        </w:rPr>
        <w:softHyphen/>
        <w:t>сяти опор балансиров, деся</w:t>
      </w:r>
      <w:r w:rsidRPr="00925F26">
        <w:rPr>
          <w:color w:val="000000" w:themeColor="text1"/>
          <w:sz w:val="16"/>
          <w:szCs w:val="16"/>
        </w:rPr>
        <w:softHyphen/>
        <w:t>ти упоров. Балансиры опор</w:t>
      </w:r>
      <w:r w:rsidRPr="00925F26">
        <w:rPr>
          <w:color w:val="000000" w:themeColor="text1"/>
          <w:sz w:val="16"/>
          <w:szCs w:val="16"/>
        </w:rPr>
        <w:softHyphen/>
        <w:t>ных катков, в отличие от штам</w:t>
      </w:r>
      <w:r w:rsidRPr="00925F26">
        <w:rPr>
          <w:color w:val="000000" w:themeColor="text1"/>
          <w:sz w:val="16"/>
          <w:szCs w:val="16"/>
        </w:rPr>
        <w:softHyphen/>
        <w:t>пованных балансиров танка Т-44, были изготовлены литы</w:t>
      </w:r>
      <w:r w:rsidRPr="00925F26">
        <w:rPr>
          <w:color w:val="000000" w:themeColor="text1"/>
          <w:sz w:val="16"/>
          <w:szCs w:val="16"/>
        </w:rPr>
        <w:softHyphen/>
        <w:t>ми, заодно целое с осями ба</w:t>
      </w:r>
      <w:r w:rsidRPr="00925F26">
        <w:rPr>
          <w:color w:val="000000" w:themeColor="text1"/>
          <w:sz w:val="16"/>
          <w:szCs w:val="16"/>
        </w:rPr>
        <w:softHyphen/>
        <w:t>лансиров.</w:t>
      </w:r>
    </w:p>
    <w:p w14:paraId="5EE894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Гусеничный движитель с кормовым расположением ведущих колес состоял из двух крупнозвенчатых (шаг трака 172 мм) с гребневым зацеп-</w:t>
      </w:r>
    </w:p>
    <w:p w14:paraId="1B8F82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лением гусениц, двух ведущих колес, деся</w:t>
      </w:r>
      <w:r w:rsidRPr="00925F26">
        <w:rPr>
          <w:color w:val="000000" w:themeColor="text1"/>
          <w:sz w:val="16"/>
          <w:szCs w:val="16"/>
        </w:rPr>
        <w:softHyphen/>
        <w:t>ти литых сдвоенных опорных катков с наруж</w:t>
      </w:r>
      <w:r w:rsidRPr="00925F26">
        <w:rPr>
          <w:color w:val="000000" w:themeColor="text1"/>
          <w:sz w:val="16"/>
          <w:szCs w:val="16"/>
        </w:rPr>
        <w:softHyphen/>
        <w:t>ной амортизацией (диаметр 830 мм) и двух литых сдвоенных направляю</w:t>
      </w:r>
      <w:r w:rsidRPr="00925F26">
        <w:rPr>
          <w:color w:val="000000" w:themeColor="text1"/>
          <w:sz w:val="16"/>
          <w:szCs w:val="16"/>
        </w:rPr>
        <w:softHyphen/>
        <w:t>щих колес (диаметр 500 мм) с механизмами натяжения гусениц (11468).</w:t>
      </w:r>
    </w:p>
    <w:p w14:paraId="6B8E71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2B243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февраля 1945 г. была подготовлена СПРАВКА УС ГАВТУ КА О ВЫДАЧЕ ИМПОРТНЫХ АВТОМАШИН с 1.11.1941 по 1.01.1945 г.</w:t>
      </w:r>
    </w:p>
    <w:tbl>
      <w:tblPr>
        <w:tblW w:w="0" w:type="auto"/>
        <w:tblInd w:w="40" w:type="dxa"/>
        <w:tblLayout w:type="fixed"/>
        <w:tblCellMar>
          <w:left w:w="40" w:type="dxa"/>
          <w:right w:w="40" w:type="dxa"/>
        </w:tblCellMar>
        <w:tblLook w:val="0000" w:firstRow="0" w:lastRow="0" w:firstColumn="0" w:lastColumn="0" w:noHBand="0" w:noVBand="0"/>
      </w:tblPr>
      <w:tblGrid>
        <w:gridCol w:w="576"/>
        <w:gridCol w:w="1642"/>
        <w:gridCol w:w="1066"/>
        <w:gridCol w:w="1056"/>
        <w:gridCol w:w="1056"/>
        <w:gridCol w:w="1056"/>
        <w:gridCol w:w="1056"/>
        <w:gridCol w:w="1056"/>
        <w:gridCol w:w="1085"/>
      </w:tblGrid>
      <w:tr w:rsidR="000F5689" w:rsidRPr="00925F26" w14:paraId="6E40CA60" w14:textId="77777777">
        <w:trPr>
          <w:trHeight w:val="422"/>
        </w:trPr>
        <w:tc>
          <w:tcPr>
            <w:tcW w:w="576" w:type="dxa"/>
            <w:tcBorders>
              <w:top w:val="single" w:sz="6" w:space="0" w:color="auto"/>
              <w:left w:val="single" w:sz="6" w:space="0" w:color="auto"/>
              <w:bottom w:val="single" w:sz="6" w:space="0" w:color="auto"/>
              <w:right w:val="single" w:sz="6" w:space="0" w:color="auto"/>
            </w:tcBorders>
          </w:tcPr>
          <w:p w14:paraId="1BCC1C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07C1F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п/п</w:t>
            </w:r>
          </w:p>
          <w:p w14:paraId="34DED8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642AF6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Марки машин</w:t>
            </w:r>
          </w:p>
          <w:p w14:paraId="5F3520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1FF4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год</w:t>
            </w:r>
          </w:p>
          <w:p w14:paraId="2905EF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3B312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год</w:t>
            </w:r>
          </w:p>
          <w:p w14:paraId="67DECE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AADB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5AC2CA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DDA3A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1 944 год</w:t>
            </w:r>
          </w:p>
          <w:p w14:paraId="37FEB1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E56A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3C21AD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30B71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Возврат НКВТ</w:t>
            </w:r>
          </w:p>
          <w:p w14:paraId="191DA4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4C00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7BC276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06E490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6A0A8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1C6B53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C6BEB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Студебекер</w:t>
            </w:r>
          </w:p>
          <w:p w14:paraId="332B71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4AB31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68E19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47A0F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3798</w:t>
            </w:r>
          </w:p>
          <w:p w14:paraId="79A23B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FD45C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33009</w:t>
            </w:r>
          </w:p>
          <w:p w14:paraId="70E037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C8D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56460</w:t>
            </w:r>
          </w:p>
          <w:p w14:paraId="080FE0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36E7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93271</w:t>
            </w:r>
          </w:p>
          <w:p w14:paraId="294DD7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3FBD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782</w:t>
            </w:r>
          </w:p>
          <w:p w14:paraId="6A457A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7224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94053</w:t>
            </w:r>
          </w:p>
          <w:p w14:paraId="63FF9E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1C58EB0"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01F4E5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2B100D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1EB9C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Интернационал</w:t>
            </w:r>
          </w:p>
          <w:p w14:paraId="66EC05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7A07C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2DDCE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554E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838</w:t>
            </w:r>
          </w:p>
          <w:p w14:paraId="1DB22F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7D698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1830</w:t>
            </w:r>
          </w:p>
          <w:p w14:paraId="5E99CF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DCA39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121</w:t>
            </w:r>
          </w:p>
          <w:p w14:paraId="62152F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1C810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2789</w:t>
            </w:r>
          </w:p>
          <w:p w14:paraId="5330E4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B1F1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w:t>
            </w:r>
          </w:p>
          <w:p w14:paraId="667C2C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4B47B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2818</w:t>
            </w:r>
          </w:p>
          <w:p w14:paraId="5B01DE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A4F994E"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2FFE0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6D53DA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E998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дмс</w:t>
            </w:r>
          </w:p>
          <w:p w14:paraId="508B73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DFFC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BEA3E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7B8B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1343</w:t>
            </w:r>
          </w:p>
          <w:p w14:paraId="729D72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4365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4818</w:t>
            </w:r>
          </w:p>
          <w:p w14:paraId="3D8C5A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C88A3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468</w:t>
            </w:r>
          </w:p>
          <w:p w14:paraId="30F017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B8E4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6629</w:t>
            </w:r>
          </w:p>
          <w:p w14:paraId="212C15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40DB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69</w:t>
            </w:r>
          </w:p>
          <w:p w14:paraId="5A4342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64F6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6698</w:t>
            </w:r>
          </w:p>
          <w:p w14:paraId="795FC6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2BE4F6C"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AB940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FDE9A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9CB40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Шевроле</w:t>
            </w:r>
          </w:p>
          <w:p w14:paraId="2566D8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596E7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94246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E9337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2548</w:t>
            </w:r>
          </w:p>
          <w:p w14:paraId="30D38C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EC1FB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12539</w:t>
            </w:r>
          </w:p>
          <w:p w14:paraId="32DCC7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AD24A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25189</w:t>
            </w:r>
          </w:p>
          <w:p w14:paraId="5078C8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4A387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40276</w:t>
            </w:r>
          </w:p>
          <w:p w14:paraId="508342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9CB4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w:t>
            </w:r>
          </w:p>
          <w:p w14:paraId="54CA27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620C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40288</w:t>
            </w:r>
          </w:p>
          <w:p w14:paraId="4E8516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8F06C3D"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39F9D1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3FDE71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3C74D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Форд-6</w:t>
            </w:r>
          </w:p>
          <w:p w14:paraId="200269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9094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0A2FD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7D541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7518</w:t>
            </w:r>
          </w:p>
          <w:p w14:paraId="3B4AA1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9171D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16684</w:t>
            </w:r>
          </w:p>
          <w:p w14:paraId="46C67C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7A2DC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30551</w:t>
            </w:r>
          </w:p>
          <w:p w14:paraId="4DECDF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355C3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54753</w:t>
            </w:r>
          </w:p>
          <w:p w14:paraId="5C4791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B27A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w:t>
            </w:r>
          </w:p>
          <w:p w14:paraId="1A0272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01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54795</w:t>
            </w:r>
          </w:p>
          <w:p w14:paraId="215A1B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E732236"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5A7523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5AEEE9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A8D11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Додж1,5тн.</w:t>
            </w:r>
          </w:p>
          <w:p w14:paraId="30D6F1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067A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0A38D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D7C44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7854</w:t>
            </w:r>
          </w:p>
          <w:p w14:paraId="7363AB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1A770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1658</w:t>
            </w:r>
          </w:p>
          <w:p w14:paraId="1F8306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09A84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p w14:paraId="42C7C0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3A9F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9564</w:t>
            </w:r>
          </w:p>
          <w:p w14:paraId="5805F2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3BB6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48D097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55BA6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9567</w:t>
            </w:r>
          </w:p>
          <w:p w14:paraId="281EBE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AAA86D3"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61F445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731103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6ECFD7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Додж 3/4 тн.</w:t>
            </w:r>
          </w:p>
          <w:p w14:paraId="36971C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21E8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5DDBE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EB34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83C67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54CC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3919</w:t>
            </w:r>
          </w:p>
          <w:p w14:paraId="10481C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97F6B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127+10639</w:t>
            </w:r>
          </w:p>
          <w:p w14:paraId="683FDF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67CA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127+14558</w:t>
            </w:r>
          </w:p>
          <w:p w14:paraId="29CA85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97389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406D2F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7CA3E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127+14558</w:t>
            </w:r>
          </w:p>
          <w:p w14:paraId="64C452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67DF7E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5B0337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257504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52AB0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Додж 3 тн.</w:t>
            </w:r>
          </w:p>
          <w:p w14:paraId="21D48A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C266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9DC73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448D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5FC6D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F477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632</w:t>
            </w:r>
          </w:p>
          <w:p w14:paraId="609F90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7072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622</w:t>
            </w:r>
          </w:p>
          <w:p w14:paraId="48E2BB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D3595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1254</w:t>
            </w:r>
          </w:p>
          <w:p w14:paraId="4BA342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13B06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449</w:t>
            </w:r>
          </w:p>
          <w:p w14:paraId="606B0E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1A20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1703</w:t>
            </w:r>
          </w:p>
          <w:p w14:paraId="335D89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A6407B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99C9A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17E6FA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32F57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Виллис</w:t>
            </w:r>
          </w:p>
          <w:p w14:paraId="1A3E52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F4A9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C25E9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88B3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5278</w:t>
            </w:r>
          </w:p>
          <w:p w14:paraId="385819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DD6A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12276</w:t>
            </w:r>
          </w:p>
          <w:p w14:paraId="173924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457D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17016</w:t>
            </w:r>
          </w:p>
          <w:p w14:paraId="32FCC2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5BC3E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34570</w:t>
            </w:r>
          </w:p>
          <w:p w14:paraId="41BB1D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275D2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3D0ACE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A0B2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34584</w:t>
            </w:r>
          </w:p>
          <w:p w14:paraId="49F86C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F92F652"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A8885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72760B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59DD6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Форд-английский</w:t>
            </w:r>
          </w:p>
          <w:p w14:paraId="034A55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5AEAF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97FE2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20E4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359</w:t>
            </w:r>
          </w:p>
          <w:p w14:paraId="4ADD60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D06C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572</w:t>
            </w:r>
          </w:p>
          <w:p w14:paraId="3BEFD7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1814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w:t>
            </w:r>
          </w:p>
          <w:p w14:paraId="65D5B7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2E212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991</w:t>
            </w:r>
          </w:p>
          <w:p w14:paraId="45EE31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DE8B8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40BCE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0062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991</w:t>
            </w:r>
          </w:p>
          <w:p w14:paraId="6DCCA9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C4BAC0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24009A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w:t>
            </w:r>
          </w:p>
          <w:p w14:paraId="462E64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CD1B1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Мастерские</w:t>
            </w:r>
          </w:p>
          <w:p w14:paraId="1387EE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0DB8A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14C31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32407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w:t>
            </w:r>
          </w:p>
          <w:p w14:paraId="584907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B70A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p w14:paraId="7D2252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D685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261</w:t>
            </w:r>
          </w:p>
          <w:p w14:paraId="48C11F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D850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403</w:t>
            </w:r>
          </w:p>
          <w:p w14:paraId="0CA6B3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32B0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DAD3B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DB91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403</w:t>
            </w:r>
          </w:p>
          <w:p w14:paraId="1764AC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01BEF24"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4E13B3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w:t>
            </w:r>
          </w:p>
          <w:p w14:paraId="64CFAF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E9575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Разные и краны</w:t>
            </w:r>
          </w:p>
          <w:p w14:paraId="16D6C2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E8CD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92E01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072A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w:t>
            </w:r>
          </w:p>
          <w:p w14:paraId="7EF555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4DCE3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92063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A9B90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краны</w:t>
            </w:r>
          </w:p>
          <w:p w14:paraId="3CFF82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4331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кр. 43</w:t>
            </w:r>
          </w:p>
          <w:p w14:paraId="79D990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8C96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E783A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6618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69</w:t>
            </w:r>
          </w:p>
          <w:p w14:paraId="08CA9D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BAD748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2AB218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w:t>
            </w:r>
          </w:p>
          <w:p w14:paraId="0D51EB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AC208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Бедфорд</w:t>
            </w:r>
          </w:p>
          <w:p w14:paraId="20C9DD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4F78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w:t>
            </w:r>
          </w:p>
          <w:p w14:paraId="32DA8D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8244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1106</w:t>
            </w:r>
          </w:p>
          <w:p w14:paraId="71988E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9AEC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46751B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AC17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61221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0915C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1138</w:t>
            </w:r>
          </w:p>
          <w:p w14:paraId="63A8B1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9AB44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A6E72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28C0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1138</w:t>
            </w:r>
          </w:p>
          <w:p w14:paraId="28756B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D1AFAAE"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85BE5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486E78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11134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Форд-Мармон</w:t>
            </w:r>
          </w:p>
          <w:p w14:paraId="1C1E55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B447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158</w:t>
            </w:r>
          </w:p>
          <w:p w14:paraId="692021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0C249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315</w:t>
            </w:r>
          </w:p>
          <w:p w14:paraId="0889B8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8AC2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45F83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F3317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МАК1</w:t>
            </w:r>
          </w:p>
          <w:p w14:paraId="761F7F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7E05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МАК 473</w:t>
            </w:r>
          </w:p>
          <w:p w14:paraId="4AAD50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E34E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C4621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7064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474</w:t>
            </w:r>
          </w:p>
          <w:p w14:paraId="07DC64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5F0986C"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7F0FA4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162A75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5D923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Остин</w:t>
            </w:r>
          </w:p>
          <w:p w14:paraId="263D67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AAF3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w:t>
            </w:r>
          </w:p>
          <w:p w14:paraId="655D6E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C5C21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295</w:t>
            </w:r>
          </w:p>
          <w:p w14:paraId="0578AD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A5C5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F880F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B928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75F0E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AF95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491</w:t>
            </w:r>
          </w:p>
          <w:p w14:paraId="5F0E43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3C7E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8C6B0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63BA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491</w:t>
            </w:r>
          </w:p>
          <w:p w14:paraId="51EC01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71114E0"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5A1465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w:t>
            </w:r>
          </w:p>
          <w:p w14:paraId="5B8648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9A0B2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Бантам</w:t>
            </w:r>
          </w:p>
          <w:p w14:paraId="34F29B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44F1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F32C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8F09E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477</w:t>
            </w:r>
          </w:p>
          <w:p w14:paraId="11F0A9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8A6FB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w:t>
            </w:r>
          </w:p>
          <w:p w14:paraId="18FC92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79FD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5F0354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C576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530</w:t>
            </w:r>
          </w:p>
          <w:p w14:paraId="3B4F6C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10439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A11AE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36E2D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530</w:t>
            </w:r>
          </w:p>
          <w:p w14:paraId="54D554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72D5812"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55AA0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w:t>
            </w:r>
          </w:p>
          <w:p w14:paraId="00D01B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CA11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Трайлер</w:t>
            </w:r>
          </w:p>
          <w:p w14:paraId="450988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B87A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53164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E4BF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C9DBC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A660A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7BCC6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01B48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220</w:t>
            </w:r>
          </w:p>
          <w:p w14:paraId="21C0DD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008B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220</w:t>
            </w:r>
          </w:p>
          <w:p w14:paraId="52ED90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CD2B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207</w:t>
            </w:r>
          </w:p>
          <w:p w14:paraId="200BE0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B4C9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427</w:t>
            </w:r>
          </w:p>
          <w:p w14:paraId="6CA594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11FD6C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11986E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w:t>
            </w:r>
          </w:p>
          <w:p w14:paraId="1FD3F4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15E51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Амфибия</w:t>
            </w:r>
          </w:p>
          <w:p w14:paraId="3A7B1E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45C1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F0F6E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0098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7EBBA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6AC0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F6655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3E303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1549</w:t>
            </w:r>
          </w:p>
          <w:p w14:paraId="0711C1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F4370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1550</w:t>
            </w:r>
          </w:p>
          <w:p w14:paraId="6950A7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2CB9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CCBFA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5A00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1550</w:t>
            </w:r>
          </w:p>
          <w:p w14:paraId="7FC484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C5D962C"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2D7F20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1166A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40A9E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3677D7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9538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385</w:t>
            </w:r>
          </w:p>
          <w:p w14:paraId="2D9DDA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CFB7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31830</w:t>
            </w:r>
          </w:p>
          <w:p w14:paraId="0ABE56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30C39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88114</w:t>
            </w:r>
          </w:p>
          <w:p w14:paraId="470292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8AA36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143328</w:t>
            </w:r>
          </w:p>
          <w:p w14:paraId="44F59E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D15E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263 657</w:t>
            </w:r>
          </w:p>
          <w:p w14:paraId="04139F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E46B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1608</w:t>
            </w:r>
          </w:p>
          <w:p w14:paraId="78F19D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3A01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265 265</w:t>
            </w:r>
          </w:p>
          <w:p w14:paraId="146907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4D56E7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4 отдела УС ГАВТУ КА инженер-подполковник Лебедев</w:t>
      </w:r>
    </w:p>
    <w:p w14:paraId="19EDD2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Инженер по учету Платонова</w:t>
      </w:r>
    </w:p>
    <w:p w14:paraId="53AAA5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41. Оп. 11593. Д. 220. Л. 42. Подлинник (11420).</w:t>
      </w:r>
    </w:p>
    <w:p w14:paraId="54916B33" w14:textId="77777777" w:rsidR="00665165" w:rsidRPr="00925F26" w:rsidRDefault="00665165" w:rsidP="00925F26">
      <w:pPr>
        <w:autoSpaceDE w:val="0"/>
        <w:autoSpaceDN w:val="0"/>
        <w:adjustRightInd w:val="0"/>
        <w:jc w:val="both"/>
        <w:rPr>
          <w:color w:val="000000" w:themeColor="text1"/>
          <w:sz w:val="16"/>
          <w:szCs w:val="16"/>
        </w:rPr>
      </w:pPr>
    </w:p>
    <w:p w14:paraId="69CA68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февраля 1945 вышло Распоряжение ГКО № 7573 [О выделении бензина для строительства № 500 в Комсомольске-на-Амуре.] (7310, 20).</w:t>
      </w:r>
    </w:p>
    <w:p w14:paraId="150A9E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363D1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февраля 1945 вышло Распоряжение ГКО № 7574. О поставках лесоматериалов для предприятий НКрыбкома. РГАНИР, Фонд ГКО, д. 373, лл. 21-22, 23 (11012).</w:t>
      </w:r>
    </w:p>
    <w:p w14:paraId="37799BA3" w14:textId="77777777" w:rsidR="00665165" w:rsidRPr="00925F26" w:rsidRDefault="00665165" w:rsidP="00925F26">
      <w:pPr>
        <w:autoSpaceDE w:val="0"/>
        <w:autoSpaceDN w:val="0"/>
        <w:adjustRightInd w:val="0"/>
        <w:jc w:val="both"/>
        <w:rPr>
          <w:color w:val="000000" w:themeColor="text1"/>
          <w:sz w:val="16"/>
          <w:szCs w:val="16"/>
        </w:rPr>
      </w:pPr>
    </w:p>
    <w:p w14:paraId="4F547F9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22 февраля 1945 вышло Постановление ГКО № 7575 О Керченском железнодорожном мосте. (7310, 24-26).</w:t>
      </w:r>
    </w:p>
    <w:p w14:paraId="77AF0F8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1F49C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февраля 1945 вышло Распоряжение ГКО № 7576. О передаче турбины для Брестской электростанции. РГАНИР, Фонд ГКО, д. 373, лл. 27 (11012).</w:t>
      </w:r>
    </w:p>
    <w:p w14:paraId="702B1D1E" w14:textId="77777777" w:rsidR="00665165" w:rsidRPr="00925F26" w:rsidRDefault="00665165" w:rsidP="00925F26">
      <w:pPr>
        <w:autoSpaceDE w:val="0"/>
        <w:autoSpaceDN w:val="0"/>
        <w:adjustRightInd w:val="0"/>
        <w:jc w:val="both"/>
        <w:rPr>
          <w:color w:val="000000" w:themeColor="text1"/>
          <w:sz w:val="16"/>
          <w:szCs w:val="16"/>
        </w:rPr>
      </w:pPr>
    </w:p>
    <w:p w14:paraId="4108EF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февраля 1945 вышло Распоряжение ГКО № 7577. О продлении до 1 мая 1945 г. срока работы военнообязанных 1927 г. рождения на лесозаготовках для Москвы. РГАНИР, Фонд ГКО, д. 373, лл. 28 (11012).</w:t>
      </w:r>
    </w:p>
    <w:p w14:paraId="0ED129ED" w14:textId="77777777" w:rsidR="00665165" w:rsidRPr="00925F26" w:rsidRDefault="00665165" w:rsidP="00925F26">
      <w:pPr>
        <w:autoSpaceDE w:val="0"/>
        <w:autoSpaceDN w:val="0"/>
        <w:adjustRightInd w:val="0"/>
        <w:jc w:val="both"/>
        <w:rPr>
          <w:color w:val="000000" w:themeColor="text1"/>
          <w:sz w:val="16"/>
          <w:szCs w:val="16"/>
        </w:rPr>
      </w:pPr>
    </w:p>
    <w:p w14:paraId="0942317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B7100FE" w14:textId="77777777" w:rsidR="00665165" w:rsidRPr="00925F26" w:rsidRDefault="00665165" w:rsidP="00925F26">
      <w:pPr>
        <w:autoSpaceDE w:val="0"/>
        <w:autoSpaceDN w:val="0"/>
        <w:adjustRightInd w:val="0"/>
        <w:jc w:val="both"/>
        <w:rPr>
          <w:iCs/>
          <w:color w:val="000000" w:themeColor="text1"/>
          <w:sz w:val="16"/>
          <w:szCs w:val="16"/>
        </w:rPr>
      </w:pPr>
    </w:p>
    <w:p w14:paraId="493FEAC9" w14:textId="77777777" w:rsidR="00D92245" w:rsidRPr="00925F26" w:rsidRDefault="00D92245" w:rsidP="00925F26">
      <w:pPr>
        <w:jc w:val="both"/>
        <w:rPr>
          <w:color w:val="000000" w:themeColor="text1"/>
          <w:sz w:val="16"/>
          <w:szCs w:val="16"/>
        </w:rPr>
      </w:pPr>
      <w:r w:rsidRPr="00925F26">
        <w:rPr>
          <w:bCs/>
          <w:color w:val="000000" w:themeColor="text1"/>
          <w:sz w:val="16"/>
          <w:szCs w:val="16"/>
        </w:rPr>
        <w:t>22 февраля</w:t>
      </w:r>
      <w:r w:rsidRPr="00925F26">
        <w:rPr>
          <w:color w:val="000000" w:themeColor="text1"/>
          <w:sz w:val="16"/>
          <w:szCs w:val="16"/>
        </w:rPr>
        <w:t xml:space="preserve"> в 1945 году оперативная сводка Совинформбюро:</w:t>
      </w:r>
    </w:p>
    <w:p w14:paraId="341F0B0B" w14:textId="77777777" w:rsidR="00D92245" w:rsidRPr="00925F26" w:rsidRDefault="00D92245" w:rsidP="00925F26">
      <w:pPr>
        <w:jc w:val="both"/>
        <w:rPr>
          <w:color w:val="000000" w:themeColor="text1"/>
          <w:sz w:val="16"/>
          <w:szCs w:val="16"/>
        </w:rPr>
      </w:pPr>
      <w:r w:rsidRPr="00925F26">
        <w:rPr>
          <w:color w:val="000000" w:themeColor="text1"/>
          <w:sz w:val="16"/>
          <w:szCs w:val="16"/>
        </w:rPr>
        <w:t>«В течение 22 февраля на Земландском полуострове западнее Кенигсберга наши войска отбивали атаки крупных сил пехоты и танков противника. Ценой больших потерь в живой силе и технике противнику удалось потеснить наши части от северного побережья Кенигсбергской бухты. Одновременно юго-западнее Кенигсберга наши войска вели бои по уничтожению Восточно-Прусской группировки противника и, сжимая кольцо окружения, овладели городом Цинтен и населёнными пунктами Зарген, Пальтен, Киршинен, Борманнсхоф, Плясвих. В трёхдневных боях —с 13 по 21 февраля—западнее Кенигсберга нашими войсками уничтожено 86 немецких танков и самоходных орудий, 76 орудий, 160 пулемётов и свыше 300 автомашин. Противник потерял только убитыми более 8.000 солдат и офицеров.</w:t>
      </w:r>
    </w:p>
    <w:p w14:paraId="25F77FA9" w14:textId="77777777" w:rsidR="00D92245" w:rsidRPr="00925F26" w:rsidRDefault="00D92245" w:rsidP="00925F26">
      <w:pPr>
        <w:jc w:val="both"/>
        <w:rPr>
          <w:color w:val="000000" w:themeColor="text1"/>
          <w:sz w:val="16"/>
          <w:szCs w:val="16"/>
        </w:rPr>
      </w:pPr>
      <w:r w:rsidRPr="00925F26">
        <w:rPr>
          <w:color w:val="000000" w:themeColor="text1"/>
          <w:sz w:val="16"/>
          <w:szCs w:val="16"/>
        </w:rPr>
        <w:t>Южнее Данцига наши войска в результате наступательных боёв овладели населёнными пунктами Гоголево, Кенигсвальде, Барлошно, Глуха, Вальддорф, Крампкен, Лонг, Гуттовитц, Риттель. За 21 февраля в этом районе наши войска взяли в плен более 500 немецких солдат и офицеров и захватили следующие трофеи: самоходных орудий — 5, полевых орудий — 55, бронетранспортёров — 24.</w:t>
      </w:r>
    </w:p>
    <w:p w14:paraId="22E947FE" w14:textId="77777777" w:rsidR="00D92245" w:rsidRPr="00925F26" w:rsidRDefault="00D92245" w:rsidP="00925F26">
      <w:pPr>
        <w:jc w:val="both"/>
        <w:rPr>
          <w:color w:val="000000" w:themeColor="text1"/>
          <w:sz w:val="16"/>
          <w:szCs w:val="16"/>
        </w:rPr>
      </w:pPr>
      <w:r w:rsidRPr="00925F26">
        <w:rPr>
          <w:color w:val="000000" w:themeColor="text1"/>
          <w:sz w:val="16"/>
          <w:szCs w:val="16"/>
        </w:rPr>
        <w:t>В Познани продолжались бои по уничтожению гарнизона противника, удерживающего Цитадель.</w:t>
      </w:r>
    </w:p>
    <w:p w14:paraId="6A7BADB1" w14:textId="77777777" w:rsidR="00D92245" w:rsidRPr="00925F26" w:rsidRDefault="00D92245" w:rsidP="00925F26">
      <w:pPr>
        <w:jc w:val="both"/>
        <w:rPr>
          <w:color w:val="000000" w:themeColor="text1"/>
          <w:sz w:val="16"/>
          <w:szCs w:val="16"/>
        </w:rPr>
      </w:pPr>
      <w:r w:rsidRPr="00925F26">
        <w:rPr>
          <w:color w:val="000000" w:themeColor="text1"/>
          <w:sz w:val="16"/>
          <w:szCs w:val="16"/>
        </w:rPr>
        <w:t>В провинции Бранденбург южнее города Губен наши войска вышли на реку Нейсе, заняв при этом более 60 населённых пунктов, среди которых крупные населённые пункты Шенкендорф, Маркерсдорф, Штрега, Тейплитц, Трибель, Гросс Зэрхен, Тепферштадт, Дубрау. В лесах юго-восточнее города Губен наши войска ликвидировали окружённую группу противника численностью до 2.000 солдат и офицеров, при этом взяты в плен командиры боевых групп полковник Хенш и полковник Лендейнар.</w:t>
      </w:r>
    </w:p>
    <w:p w14:paraId="25C35803" w14:textId="77777777" w:rsidR="00D92245" w:rsidRPr="00925F26" w:rsidRDefault="00D92245" w:rsidP="00925F26">
      <w:pPr>
        <w:jc w:val="both"/>
        <w:rPr>
          <w:color w:val="000000" w:themeColor="text1"/>
          <w:sz w:val="16"/>
          <w:szCs w:val="16"/>
        </w:rPr>
      </w:pPr>
      <w:r w:rsidRPr="00925F26">
        <w:rPr>
          <w:color w:val="000000" w:themeColor="text1"/>
          <w:sz w:val="16"/>
          <w:szCs w:val="16"/>
        </w:rPr>
        <w:t>В районе Бреслау наши войска вели бои по уничтожению окружённой в городе группировки противника, в ходе которых заняли пригороды Бреслау—Мазельвитц, Критерн, Гюнерн, Зимсдорф.</w:t>
      </w:r>
    </w:p>
    <w:p w14:paraId="52143678" w14:textId="77777777" w:rsidR="00D92245" w:rsidRPr="00925F26" w:rsidRDefault="00D92245" w:rsidP="00925F26">
      <w:pPr>
        <w:jc w:val="both"/>
        <w:rPr>
          <w:color w:val="000000" w:themeColor="text1"/>
          <w:sz w:val="16"/>
          <w:szCs w:val="16"/>
        </w:rPr>
      </w:pPr>
      <w:r w:rsidRPr="00925F26">
        <w:rPr>
          <w:color w:val="000000" w:themeColor="text1"/>
          <w:sz w:val="16"/>
          <w:szCs w:val="16"/>
        </w:rPr>
        <w:t>На северном берегу Дуная восточнее города Комарно наши войска отбивали атаки крупных сил пехоты и танков противника. В боях за 21 февраля в этом районе подбито и уничтожено 40 немецких танков и самоходных орудий.</w:t>
      </w:r>
    </w:p>
    <w:p w14:paraId="6C7A6917" w14:textId="77777777" w:rsidR="00D92245" w:rsidRPr="00925F26" w:rsidRDefault="00D92245"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F1E8CD8" w14:textId="77777777" w:rsidR="00D92245" w:rsidRPr="00925F26" w:rsidRDefault="00D92245" w:rsidP="00925F26">
      <w:pPr>
        <w:jc w:val="both"/>
        <w:rPr>
          <w:color w:val="000000" w:themeColor="text1"/>
          <w:sz w:val="16"/>
          <w:szCs w:val="16"/>
        </w:rPr>
      </w:pPr>
      <w:r w:rsidRPr="00925F26">
        <w:rPr>
          <w:color w:val="000000" w:themeColor="text1"/>
          <w:sz w:val="16"/>
          <w:szCs w:val="16"/>
        </w:rPr>
        <w:t>За 21 февраля на всех фронтах подбито и уничтожено 198 немецких танков. В воздушных боях и огнём зенитной артиллерии сбито 80 самолётов противника.</w:t>
      </w:r>
    </w:p>
    <w:p w14:paraId="420E0D1D" w14:textId="77777777" w:rsidR="00D92245" w:rsidRPr="00925F26" w:rsidRDefault="00D92245" w:rsidP="00925F26">
      <w:pPr>
        <w:jc w:val="both"/>
        <w:rPr>
          <w:color w:val="000000" w:themeColor="text1"/>
          <w:sz w:val="16"/>
          <w:szCs w:val="16"/>
        </w:rPr>
      </w:pPr>
      <w:r w:rsidRPr="00925F26">
        <w:rPr>
          <w:color w:val="000000" w:themeColor="text1"/>
          <w:sz w:val="16"/>
          <w:szCs w:val="16"/>
        </w:rPr>
        <w:t>Массированный налёт нашей авиации на военные объекты противника в городах Кенигсберг и Братислава</w:t>
      </w:r>
    </w:p>
    <w:p w14:paraId="3019F8CA" w14:textId="77777777" w:rsidR="00D92245" w:rsidRPr="00925F26" w:rsidRDefault="00D92245" w:rsidP="00925F26">
      <w:pPr>
        <w:jc w:val="both"/>
        <w:rPr>
          <w:color w:val="000000" w:themeColor="text1"/>
          <w:sz w:val="16"/>
          <w:szCs w:val="16"/>
        </w:rPr>
      </w:pPr>
      <w:r w:rsidRPr="00925F26">
        <w:rPr>
          <w:color w:val="000000" w:themeColor="text1"/>
          <w:sz w:val="16"/>
          <w:szCs w:val="16"/>
        </w:rPr>
        <w:t>В ночь на 22 февраля наши тяжёлые бомбардировщики нанесли массированный удар по военно-промышленным объектам противника в городе Кенигсберге. В результате бомбардировки возникло свыше 40 пожаров, сопровождавшиеся взрывами большой силы. Наблюдением отмечены пожары на территории машиностроительного и газового заводов.</w:t>
      </w:r>
    </w:p>
    <w:p w14:paraId="6F6A1C65" w14:textId="77777777" w:rsidR="00D92245" w:rsidRPr="00925F26" w:rsidRDefault="00D92245" w:rsidP="00925F26">
      <w:pPr>
        <w:jc w:val="both"/>
        <w:rPr>
          <w:color w:val="000000" w:themeColor="text1"/>
          <w:sz w:val="16"/>
          <w:szCs w:val="16"/>
        </w:rPr>
      </w:pPr>
      <w:r w:rsidRPr="00925F26">
        <w:rPr>
          <w:color w:val="000000" w:themeColor="text1"/>
          <w:sz w:val="16"/>
          <w:szCs w:val="16"/>
        </w:rPr>
        <w:t>В эту же ночь наша авиация бомбардировала военно-промышленные объекты противника в чехословацком городе Братислава. Бомбардировкой вызваны пожары, среди которых произошло несколько сильных взрывов.</w:t>
      </w:r>
    </w:p>
    <w:p w14:paraId="54D045AD" w14:textId="77777777" w:rsidR="00D92245" w:rsidRPr="00925F26" w:rsidRDefault="00D92245" w:rsidP="00925F26">
      <w:pPr>
        <w:jc w:val="both"/>
        <w:rPr>
          <w:color w:val="000000" w:themeColor="text1"/>
          <w:sz w:val="16"/>
          <w:szCs w:val="16"/>
        </w:rPr>
      </w:pPr>
      <w:r w:rsidRPr="00925F26">
        <w:rPr>
          <w:color w:val="000000" w:themeColor="text1"/>
          <w:sz w:val="16"/>
          <w:szCs w:val="16"/>
        </w:rPr>
        <w:t xml:space="preserve">Юго-западнее города Кенигсберг наши войска вели бои по ликвидации Восточно-Прусской группировки противника. Ожесточённые бои происходили в районе города Цинтен. Немцы превратили этот город в мощный опорный пункт своей обороны. Они построили железобетонные доты, отрыли глубокие противотанковые рвы, а на высотах, окружающих Цинтен, сосредоточили свыше 80 артиллерийских и миномётных батареи. Советские части предприняли обходный манёвр с севера, переправились через реку Штрадик и перерезали все дороги, ведущие из города на запад. Другие наши части ворвались в Цинтен с юго-востока. Завязались унарные уличные бои. Немцы много раз переходили в контратаки, но под ударами наших подразделений откатывались назад. Сегодня наши войска разгромили вражеский гарнизон и очистим город от немцев. В боях за Цинтен уничтожено до 4 тысяч солдат и офицеров противника, 41 танк, 10 бронетранспортёров и 60 орудий. Захвачено у немцев 40 орудий, 108 пулеметов и другие трофеи. Взято в плен 520 </w:t>
      </w:r>
      <w:proofErr w:type="gramStart"/>
      <w:r w:rsidRPr="00925F26">
        <w:rPr>
          <w:color w:val="000000" w:themeColor="text1"/>
          <w:sz w:val="16"/>
          <w:szCs w:val="16"/>
        </w:rPr>
        <w:t>немцев.Южнее</w:t>
      </w:r>
      <w:proofErr w:type="gramEnd"/>
      <w:r w:rsidRPr="00925F26">
        <w:rPr>
          <w:color w:val="000000" w:themeColor="text1"/>
          <w:sz w:val="16"/>
          <w:szCs w:val="16"/>
        </w:rPr>
        <w:t xml:space="preserve"> города Данциг наши войска продолжали наступление. Лесные массивы, большое число озёр и речек затрудняют действия советских частей. Используя удобную для обороны местность, немцы укрепили населённые пункты, а на перекрёстках дорог построили узлы сопротивления с дотами и дзотами. Части Н-ского соединения сегодня вели упорные бои за населённый пункт и железнодорожную станцию Лонг, находящиеся у пересечения двух железных дорог. Наши бойцы сломили вражеское сопротивление и штурмом заняли Лонг. Противник оставил на поле боя 400 трупов своих солдат и офицеров. Подбито 9 немецких танков и 2 бронетранспортёра. На другом участке наши войска с боями продвинулись вперёд на 10 километров и выбили немцев из нескольких сильно укреплённых населённых пунктов.</w:t>
      </w:r>
    </w:p>
    <w:p w14:paraId="550DE8C5" w14:textId="77777777" w:rsidR="00D92245" w:rsidRPr="00925F26" w:rsidRDefault="00D92245" w:rsidP="00925F26">
      <w:pPr>
        <w:jc w:val="both"/>
        <w:rPr>
          <w:color w:val="000000" w:themeColor="text1"/>
          <w:sz w:val="16"/>
          <w:szCs w:val="16"/>
        </w:rPr>
      </w:pPr>
      <w:r w:rsidRPr="00925F26">
        <w:rPr>
          <w:color w:val="000000" w:themeColor="text1"/>
          <w:sz w:val="16"/>
          <w:szCs w:val="16"/>
        </w:rPr>
        <w:t>В Познани наши войска вели бои по уничтожению немецкого гарнизона, засевшего в Цитадели. Советские штурмовые отряды очистили от немцев земляной вал, опоясывающий Цитадель с юга, и с помощью лестниц и штурмовых мостиков преодолели ров. Затем наши бойцы устремились в брешь, пробитую артиллерией в крепостной стене, и овладели одним зданием. Захвачено в плен 360 солдат и 13 немецких офицеров.</w:t>
      </w:r>
    </w:p>
    <w:p w14:paraId="11A7AF20" w14:textId="77777777" w:rsidR="00D92245" w:rsidRPr="00925F26" w:rsidRDefault="00D92245" w:rsidP="00925F26">
      <w:pPr>
        <w:jc w:val="both"/>
        <w:rPr>
          <w:color w:val="000000" w:themeColor="text1"/>
          <w:sz w:val="16"/>
          <w:szCs w:val="16"/>
        </w:rPr>
      </w:pPr>
      <w:r w:rsidRPr="00925F26">
        <w:rPr>
          <w:color w:val="000000" w:themeColor="text1"/>
          <w:sz w:val="16"/>
          <w:szCs w:val="16"/>
        </w:rPr>
        <w:t>В провинции Бранденбург южнее города Губен наши войска, с боями продвигаясь вперёд, на широком фронте вышли к реке Нейсе. Занято селение Шенкендорф, находящееся в трёх километраж южнее Губана. Немцы выбиты также из населённого пункта Штрега, расположенного в шести километрах к северу от города Форст. Подразделения Н-ской части прижали к реке батальон пехоты противника. Большая часть гитлеровцев уничтожена, а остальные взяты в плен. За день боёв на разных участках подбито и сожжено 3-8 немецких танков и самоходных орудий. Захвачены большие трофеи.» (15048).</w:t>
      </w:r>
    </w:p>
    <w:p w14:paraId="68F62521" w14:textId="77777777" w:rsidR="00D92245" w:rsidRPr="00925F26" w:rsidRDefault="00D92245" w:rsidP="00925F26">
      <w:pPr>
        <w:jc w:val="both"/>
        <w:rPr>
          <w:color w:val="000000" w:themeColor="text1"/>
          <w:sz w:val="16"/>
          <w:szCs w:val="16"/>
        </w:rPr>
      </w:pPr>
    </w:p>
    <w:p w14:paraId="45FB60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февраля 1945 г. во время воздушного налета немецкой авиации на переправы через р. Одер у насе</w:t>
      </w:r>
      <w:r w:rsidRPr="00925F26">
        <w:rPr>
          <w:color w:val="000000" w:themeColor="text1"/>
          <w:sz w:val="16"/>
          <w:szCs w:val="16"/>
        </w:rPr>
        <w:softHyphen/>
        <w:t>ленного пункта Ауритц с самолетов Не-111 были запущены две бомбы-плане</w:t>
      </w:r>
      <w:r w:rsidRPr="00925F26">
        <w:rPr>
          <w:color w:val="000000" w:themeColor="text1"/>
          <w:sz w:val="16"/>
          <w:szCs w:val="16"/>
        </w:rPr>
        <w:softHyphen/>
        <w:t>ры, подвешенные под фюзеляжем бом</w:t>
      </w:r>
      <w:r w:rsidRPr="00925F26">
        <w:rPr>
          <w:color w:val="000000" w:themeColor="text1"/>
          <w:sz w:val="16"/>
          <w:szCs w:val="16"/>
        </w:rPr>
        <w:softHyphen/>
        <w:t>бардировщиков. В момент отделения у них включились маршевые двигате</w:t>
      </w:r>
      <w:r w:rsidRPr="00925F26">
        <w:rPr>
          <w:color w:val="000000" w:themeColor="text1"/>
          <w:sz w:val="16"/>
          <w:szCs w:val="16"/>
        </w:rPr>
        <w:softHyphen/>
        <w:t>ли, после чего они перешли в пикиро</w:t>
      </w:r>
      <w:r w:rsidRPr="00925F26">
        <w:rPr>
          <w:color w:val="000000" w:themeColor="text1"/>
          <w:sz w:val="16"/>
          <w:szCs w:val="16"/>
        </w:rPr>
        <w:softHyphen/>
        <w:t>вание на цель под углом 60-70°. Одна из бомб угодила в каменный дом, раз</w:t>
      </w:r>
      <w:r w:rsidRPr="00925F26">
        <w:rPr>
          <w:color w:val="000000" w:themeColor="text1"/>
          <w:sz w:val="16"/>
          <w:szCs w:val="16"/>
        </w:rPr>
        <w:softHyphen/>
        <w:t>рушив его до основания. В этот же день аналогичной бом</w:t>
      </w:r>
      <w:r w:rsidRPr="00925F26">
        <w:rPr>
          <w:color w:val="000000" w:themeColor="text1"/>
          <w:sz w:val="16"/>
          <w:szCs w:val="16"/>
        </w:rPr>
        <w:softHyphen/>
        <w:t>бардировке подверглась другая пере</w:t>
      </w:r>
      <w:r w:rsidRPr="00925F26">
        <w:rPr>
          <w:color w:val="000000" w:themeColor="text1"/>
          <w:sz w:val="16"/>
          <w:szCs w:val="16"/>
        </w:rPr>
        <w:softHyphen/>
        <w:t>права в районе фольварка Одер-Форверк. В результате воздушного удара (5 бомб-планеров) мост получил зна</w:t>
      </w:r>
      <w:r w:rsidRPr="00925F26">
        <w:rPr>
          <w:color w:val="000000" w:themeColor="text1"/>
          <w:sz w:val="16"/>
          <w:szCs w:val="16"/>
        </w:rPr>
        <w:softHyphen/>
        <w:t>чительные разрушения. О мощности БП говорит тот факт, что воронка пос</w:t>
      </w:r>
      <w:r w:rsidRPr="00925F26">
        <w:rPr>
          <w:color w:val="000000" w:themeColor="text1"/>
          <w:sz w:val="16"/>
          <w:szCs w:val="16"/>
        </w:rPr>
        <w:softHyphen/>
        <w:t>ле взрыва имела размеры 17 м в диа</w:t>
      </w:r>
      <w:r w:rsidRPr="00925F26">
        <w:rPr>
          <w:color w:val="000000" w:themeColor="text1"/>
          <w:sz w:val="16"/>
          <w:szCs w:val="16"/>
        </w:rPr>
        <w:softHyphen/>
        <w:t>метре и 5 м в глубину. В дальнейшем были отмечены еще 3 воздушных налета на переправы че</w:t>
      </w:r>
      <w:r w:rsidRPr="00925F26">
        <w:rPr>
          <w:color w:val="000000" w:themeColor="text1"/>
          <w:sz w:val="16"/>
          <w:szCs w:val="16"/>
        </w:rPr>
        <w:softHyphen/>
        <w:t>рез Одер (25 февраля, 6 и 13 марта 1945 г.), в ходе которых было запуще</w:t>
      </w:r>
      <w:r w:rsidRPr="00925F26">
        <w:rPr>
          <w:color w:val="000000" w:themeColor="text1"/>
          <w:sz w:val="16"/>
          <w:szCs w:val="16"/>
        </w:rPr>
        <w:softHyphen/>
        <w:t>но 13 БП, причинивших инженерным сооружениям большие разрушения. Использование на советско-герман</w:t>
      </w:r>
      <w:r w:rsidRPr="00925F26">
        <w:rPr>
          <w:color w:val="000000" w:themeColor="text1"/>
          <w:sz w:val="16"/>
          <w:szCs w:val="16"/>
        </w:rPr>
        <w:softHyphen/>
        <w:t>ском фронте нового вида оружия было отмечено в директиве командующего артиллерией Красной Армии главного маршала артиллерии Н.Н.Воронова, в которой в частности указывалось: «Немцы начали применять против объектов наших войск и тыла бомбы-планеры Хеншель-293... Учитывая воз</w:t>
      </w:r>
      <w:r w:rsidRPr="00925F26">
        <w:rPr>
          <w:color w:val="000000" w:themeColor="text1"/>
          <w:sz w:val="16"/>
          <w:szCs w:val="16"/>
        </w:rPr>
        <w:softHyphen/>
        <w:t>можность применения бомб-планеров в глубоком тылу... предусмотреть организацию обороны важнейших объектов, обратив особое внимание на обеспечение обороны важнейших железнодорожных мостов на коммуни</w:t>
      </w:r>
      <w:r w:rsidRPr="00925F26">
        <w:rPr>
          <w:color w:val="000000" w:themeColor="text1"/>
          <w:sz w:val="16"/>
          <w:szCs w:val="16"/>
        </w:rPr>
        <w:softHyphen/>
        <w:t>кациях линейных фронтов... Истреби</w:t>
      </w:r>
      <w:r w:rsidRPr="00925F26">
        <w:rPr>
          <w:color w:val="000000" w:themeColor="text1"/>
          <w:sz w:val="16"/>
          <w:szCs w:val="16"/>
        </w:rPr>
        <w:softHyphen/>
        <w:t>тельная авиация должна быть исполь</w:t>
      </w:r>
      <w:r w:rsidRPr="00925F26">
        <w:rPr>
          <w:color w:val="000000" w:themeColor="text1"/>
          <w:sz w:val="16"/>
          <w:szCs w:val="16"/>
        </w:rPr>
        <w:softHyphen/>
        <w:t>зована как основное средство борьбы с самолетами-буксировщиками на подступах к обороняемому объекту. Кроме борьбы с самолетами-буксиров</w:t>
      </w:r>
      <w:r w:rsidRPr="00925F26">
        <w:rPr>
          <w:color w:val="000000" w:themeColor="text1"/>
          <w:sz w:val="16"/>
          <w:szCs w:val="16"/>
        </w:rPr>
        <w:softHyphen/>
        <w:t>щиками на истребительную авиацию возложить задачу уничтожения бомб-планеров, сброшенных с буксировщи</w:t>
      </w:r>
      <w:r w:rsidRPr="00925F26">
        <w:rPr>
          <w:color w:val="000000" w:themeColor="text1"/>
          <w:sz w:val="16"/>
          <w:szCs w:val="16"/>
        </w:rPr>
        <w:softHyphen/>
        <w:t>ков, до перехода бомб в крутое пики</w:t>
      </w:r>
      <w:r w:rsidRPr="00925F26">
        <w:rPr>
          <w:color w:val="000000" w:themeColor="text1"/>
          <w:sz w:val="16"/>
          <w:szCs w:val="16"/>
        </w:rPr>
        <w:softHyphen/>
        <w:t>рование. Зенитная артиллерия и зе</w:t>
      </w:r>
      <w:r w:rsidRPr="00925F26">
        <w:rPr>
          <w:color w:val="000000" w:themeColor="text1"/>
          <w:sz w:val="16"/>
          <w:szCs w:val="16"/>
        </w:rPr>
        <w:softHyphen/>
        <w:t>нитные пулеметы должны уничтожать самолеты-буксировщики и бомбы-пла</w:t>
      </w:r>
      <w:r w:rsidRPr="00925F26">
        <w:rPr>
          <w:color w:val="000000" w:themeColor="text1"/>
          <w:sz w:val="16"/>
          <w:szCs w:val="16"/>
        </w:rPr>
        <w:softHyphen/>
        <w:t>неры в зонах своего огня...». К дирек</w:t>
      </w:r>
      <w:r w:rsidRPr="00925F26">
        <w:rPr>
          <w:color w:val="000000" w:themeColor="text1"/>
          <w:sz w:val="16"/>
          <w:szCs w:val="16"/>
        </w:rPr>
        <w:softHyphen/>
        <w:t>тиве прилагалась справка с кратким описанием немецких радиоуправляе</w:t>
      </w:r>
      <w:r w:rsidRPr="00925F26">
        <w:rPr>
          <w:color w:val="000000" w:themeColor="text1"/>
          <w:sz w:val="16"/>
          <w:szCs w:val="16"/>
        </w:rPr>
        <w:softHyphen/>
        <w:t>мых бомб-планеров. В ней же приве</w:t>
      </w:r>
      <w:r w:rsidRPr="00925F26">
        <w:rPr>
          <w:color w:val="000000" w:themeColor="text1"/>
          <w:sz w:val="16"/>
          <w:szCs w:val="16"/>
        </w:rPr>
        <w:softHyphen/>
        <w:t>дены примеры применения бомб-пла</w:t>
      </w:r>
      <w:r w:rsidRPr="00925F26">
        <w:rPr>
          <w:color w:val="000000" w:themeColor="text1"/>
          <w:sz w:val="16"/>
          <w:szCs w:val="16"/>
        </w:rPr>
        <w:softHyphen/>
        <w:t>неров в августе-сентябре 1944 г. про</w:t>
      </w:r>
      <w:r w:rsidRPr="00925F26">
        <w:rPr>
          <w:color w:val="000000" w:themeColor="text1"/>
          <w:sz w:val="16"/>
          <w:szCs w:val="16"/>
        </w:rPr>
        <w:softHyphen/>
        <w:t>тив наземных целей войск союзников в Северной Франции, а также по пе</w:t>
      </w:r>
      <w:r w:rsidRPr="00925F26">
        <w:rPr>
          <w:color w:val="000000" w:themeColor="text1"/>
          <w:sz w:val="16"/>
          <w:szCs w:val="16"/>
        </w:rPr>
        <w:softHyphen/>
        <w:t>реправам через р. Одер в полосе 1-го Белорусского фронта 22 и 25 фев</w:t>
      </w:r>
      <w:r w:rsidRPr="00925F26">
        <w:rPr>
          <w:color w:val="000000" w:themeColor="text1"/>
          <w:sz w:val="16"/>
          <w:szCs w:val="16"/>
        </w:rPr>
        <w:softHyphen/>
        <w:t>раля 1945 г. (10791).</w:t>
      </w:r>
    </w:p>
    <w:p w14:paraId="57A905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45799D" w14:textId="77777777" w:rsidR="00D92245" w:rsidRPr="00925F26" w:rsidRDefault="00D92245" w:rsidP="00925F26">
      <w:pPr>
        <w:jc w:val="both"/>
        <w:rPr>
          <w:color w:val="000000" w:themeColor="text1"/>
          <w:sz w:val="16"/>
          <w:szCs w:val="16"/>
        </w:rPr>
      </w:pPr>
      <w:r w:rsidRPr="00925F26">
        <w:rPr>
          <w:bCs/>
          <w:color w:val="000000" w:themeColor="text1"/>
          <w:sz w:val="16"/>
          <w:szCs w:val="16"/>
        </w:rPr>
        <w:t>22 февраля</w:t>
      </w:r>
      <w:r w:rsidRPr="00925F26">
        <w:rPr>
          <w:color w:val="000000" w:themeColor="text1"/>
          <w:sz w:val="16"/>
          <w:szCs w:val="16"/>
        </w:rPr>
        <w:t xml:space="preserve"> в 1945 году </w:t>
      </w:r>
      <w:hyperlink r:id="rId46" w:tgtFrame="_blank" w:history="1">
        <w:r w:rsidRPr="00925F26">
          <w:rPr>
            <w:color w:val="000000" w:themeColor="text1"/>
            <w:sz w:val="16"/>
            <w:szCs w:val="16"/>
          </w:rPr>
          <w:t xml:space="preserve">применение немецких планирующих бомб </w:t>
        </w:r>
      </w:hyperlink>
      <w:r w:rsidRPr="00925F26">
        <w:rPr>
          <w:color w:val="000000" w:themeColor="text1"/>
          <w:sz w:val="16"/>
          <w:szCs w:val="16"/>
        </w:rPr>
        <w:t>на советско-германском фронте. Бомбометание с самолётов «Не-111» по советским переправам через реку Одер. Предпринятые 200-й бомбардировочной эскадрой, в которую влились остатки 36-го испытательного командования, попытки применить на советско-германском фронте для разрушения мостов не имела успеха (15048).</w:t>
      </w:r>
    </w:p>
    <w:p w14:paraId="26573BA7" w14:textId="77777777" w:rsidR="00D92245" w:rsidRPr="00925F26" w:rsidRDefault="00D92245" w:rsidP="00925F26">
      <w:pPr>
        <w:jc w:val="both"/>
        <w:rPr>
          <w:color w:val="000000" w:themeColor="text1"/>
          <w:sz w:val="16"/>
          <w:szCs w:val="16"/>
        </w:rPr>
      </w:pPr>
    </w:p>
    <w:p w14:paraId="517266A4" w14:textId="50312752" w:rsidR="00580BC7" w:rsidRPr="00925F26" w:rsidRDefault="00580BC7" w:rsidP="00925F26">
      <w:pPr>
        <w:jc w:val="both"/>
        <w:rPr>
          <w:color w:val="000000" w:themeColor="text1"/>
          <w:sz w:val="16"/>
          <w:szCs w:val="16"/>
        </w:rPr>
      </w:pPr>
      <w:r w:rsidRPr="00925F26">
        <w:rPr>
          <w:color w:val="000000" w:themeColor="text1"/>
          <w:sz w:val="16"/>
          <w:szCs w:val="16"/>
        </w:rPr>
        <w:t xml:space="preserve">22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Первое применение немецких планирующих бомб на советско-германском фронте. Бомбометание с самолётов Не-111 по советским переправам через реку Одер (22590).</w:t>
      </w:r>
    </w:p>
    <w:p w14:paraId="2CD876B3" w14:textId="77777777" w:rsidR="00580BC7" w:rsidRPr="00925F26" w:rsidRDefault="00580BC7" w:rsidP="00925F26">
      <w:pPr>
        <w:jc w:val="both"/>
        <w:rPr>
          <w:color w:val="000000" w:themeColor="text1"/>
          <w:sz w:val="16"/>
          <w:szCs w:val="16"/>
        </w:rPr>
      </w:pPr>
    </w:p>
    <w:p w14:paraId="01969AF5" w14:textId="77777777" w:rsidR="00F94B6C" w:rsidRPr="001A0BAA" w:rsidRDefault="00F94B6C" w:rsidP="00F94B6C">
      <w:pPr>
        <w:jc w:val="both"/>
        <w:rPr>
          <w:color w:val="0070C0"/>
          <w:sz w:val="16"/>
          <w:szCs w:val="16"/>
        </w:rPr>
      </w:pPr>
      <w:r w:rsidRPr="001A0BAA">
        <w:rPr>
          <w:color w:val="0070C0"/>
          <w:sz w:val="16"/>
          <w:szCs w:val="16"/>
        </w:rPr>
        <w:t>22 февраля 1945 г. во время воздушного налета немецкой авиации на переправы через р. Одер у населенного пункта Ауритц с самолетов Не-111 были запущены две бомбы-планеры, подвешенные под фюзеляжем бомбардировщиков. В момент отделения у них включились маршевые двигатели, после чего они перешли в пикирование на цель под углом 60-70°. Одна из бомб угодила в каменный дом, разрушив его до основания.</w:t>
      </w:r>
    </w:p>
    <w:p w14:paraId="09C36C4B" w14:textId="77777777" w:rsidR="00F94B6C" w:rsidRPr="001A0BAA" w:rsidRDefault="00F94B6C" w:rsidP="00F94B6C">
      <w:pPr>
        <w:jc w:val="both"/>
        <w:rPr>
          <w:color w:val="0070C0"/>
          <w:sz w:val="16"/>
          <w:szCs w:val="16"/>
        </w:rPr>
      </w:pPr>
      <w:r w:rsidRPr="001A0BAA">
        <w:rPr>
          <w:color w:val="0070C0"/>
          <w:sz w:val="16"/>
          <w:szCs w:val="16"/>
        </w:rPr>
        <w:t>В этот же день аналогичной бомбардировке подверглась другая переправа в районе фольварка Одер-Форверк. В результате воздушного удара (5 бомб-планеров) мост получил значительные разрушения. О мощности БП говорит тот факт, что воронка после взрыва имела размеры 17 м в диаметре и 5 м в глубину.</w:t>
      </w:r>
    </w:p>
    <w:p w14:paraId="291E3112" w14:textId="77777777" w:rsidR="00F94B6C" w:rsidRPr="001A0BAA" w:rsidRDefault="00F94B6C" w:rsidP="00F94B6C">
      <w:pPr>
        <w:jc w:val="both"/>
        <w:rPr>
          <w:color w:val="0070C0"/>
          <w:sz w:val="16"/>
          <w:szCs w:val="16"/>
        </w:rPr>
      </w:pPr>
      <w:r w:rsidRPr="001A0BAA">
        <w:rPr>
          <w:color w:val="0070C0"/>
          <w:sz w:val="16"/>
          <w:szCs w:val="16"/>
        </w:rPr>
        <w:t>В дальнейшем были отмечены еще 3 воздушных налета на переправы через Одер (25 февраля, 6 и 13 марта 1945 г.), в ходе которых было запущено 13 БП, причинивших инженерным сооружениям большие разрушения (25332).</w:t>
      </w:r>
    </w:p>
    <w:p w14:paraId="064D4AE2" w14:textId="77777777" w:rsidR="00F94B6C" w:rsidRPr="001A0BAA" w:rsidRDefault="00F94B6C" w:rsidP="00F94B6C">
      <w:pPr>
        <w:jc w:val="both"/>
        <w:rPr>
          <w:color w:val="0070C0"/>
          <w:sz w:val="16"/>
          <w:szCs w:val="16"/>
        </w:rPr>
      </w:pPr>
    </w:p>
    <w:p w14:paraId="7B98314F" w14:textId="77777777" w:rsidR="004945E9" w:rsidRPr="00925F26" w:rsidRDefault="004945E9" w:rsidP="00925F26">
      <w:pPr>
        <w:jc w:val="both"/>
        <w:rPr>
          <w:color w:val="000000" w:themeColor="text1"/>
          <w:sz w:val="16"/>
          <w:szCs w:val="16"/>
        </w:rPr>
      </w:pPr>
      <w:r w:rsidRPr="00925F26">
        <w:rPr>
          <w:color w:val="000000" w:themeColor="text1"/>
          <w:sz w:val="16"/>
          <w:szCs w:val="16"/>
        </w:rPr>
        <w:t>22-23 февраля 1945 года в Чехословакии, у населенного пункта Барт взвод Т-34-85 гвардии младшего лейтенанта Ивана Депутатова из 36-й гвардейской танковой бригады 4-го гвардейского мехкорпуса за два дня боев уничтожил 26 немецких танков. При этом два танка взвода были подбиты в первый же день, и 23 февраля оборону держал Т-34-85 Депутатова (12217).</w:t>
      </w:r>
    </w:p>
    <w:p w14:paraId="18A89405" w14:textId="77777777" w:rsidR="004945E9" w:rsidRPr="00925F26" w:rsidRDefault="004945E9" w:rsidP="00925F26">
      <w:pPr>
        <w:jc w:val="both"/>
        <w:rPr>
          <w:color w:val="000000" w:themeColor="text1"/>
          <w:sz w:val="16"/>
          <w:szCs w:val="16"/>
        </w:rPr>
      </w:pPr>
    </w:p>
    <w:p w14:paraId="1643421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D4AF74C" w14:textId="77777777" w:rsidR="00665165" w:rsidRPr="00925F26" w:rsidRDefault="00665165" w:rsidP="00925F26">
      <w:pPr>
        <w:autoSpaceDE w:val="0"/>
        <w:autoSpaceDN w:val="0"/>
        <w:adjustRightInd w:val="0"/>
        <w:jc w:val="both"/>
        <w:rPr>
          <w:iCs/>
          <w:color w:val="000000" w:themeColor="text1"/>
          <w:sz w:val="16"/>
          <w:szCs w:val="16"/>
        </w:rPr>
      </w:pPr>
    </w:p>
    <w:p w14:paraId="2FFDE60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февраля 1945 Совнарком СССР принял решение о строительстве метро в Киеве (4962).</w:t>
      </w:r>
    </w:p>
    <w:p w14:paraId="3A6E054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9CCC51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FB0DBF8" w14:textId="77777777" w:rsidR="00665165" w:rsidRPr="00925F26" w:rsidRDefault="00665165" w:rsidP="00925F26">
      <w:pPr>
        <w:autoSpaceDE w:val="0"/>
        <w:autoSpaceDN w:val="0"/>
        <w:adjustRightInd w:val="0"/>
        <w:jc w:val="both"/>
        <w:rPr>
          <w:iCs/>
          <w:color w:val="000000" w:themeColor="text1"/>
          <w:sz w:val="16"/>
          <w:szCs w:val="16"/>
        </w:rPr>
      </w:pPr>
    </w:p>
    <w:p w14:paraId="2EF374D0" w14:textId="77777777" w:rsidR="00D92245" w:rsidRPr="00925F26" w:rsidRDefault="00D92245" w:rsidP="00925F26">
      <w:pPr>
        <w:jc w:val="both"/>
        <w:rPr>
          <w:color w:val="000000" w:themeColor="text1"/>
          <w:sz w:val="16"/>
          <w:szCs w:val="16"/>
        </w:rPr>
      </w:pPr>
      <w:r w:rsidRPr="00925F26">
        <w:rPr>
          <w:bCs/>
          <w:color w:val="000000" w:themeColor="text1"/>
          <w:sz w:val="16"/>
          <w:szCs w:val="16"/>
        </w:rPr>
        <w:t>22 февраля</w:t>
      </w:r>
      <w:r w:rsidRPr="00925F26">
        <w:rPr>
          <w:color w:val="000000" w:themeColor="text1"/>
          <w:sz w:val="16"/>
          <w:szCs w:val="16"/>
        </w:rPr>
        <w:t xml:space="preserve"> в 1945 году венгерский истребитель «MAVAG» «Hejja II» («V6+09») потерпел аварию во время учебного полета. Это был последний экземпляр (из 191 экземпляра) итало-венгерского истребителя «Hejja II», аналога итальянского «Re.2000» (15048).</w:t>
      </w:r>
    </w:p>
    <w:p w14:paraId="4CD5207C" w14:textId="77777777" w:rsidR="00D92245" w:rsidRPr="00925F26" w:rsidRDefault="00D92245" w:rsidP="00925F26">
      <w:pPr>
        <w:jc w:val="both"/>
        <w:rPr>
          <w:color w:val="000000" w:themeColor="text1"/>
          <w:sz w:val="16"/>
          <w:szCs w:val="16"/>
        </w:rPr>
      </w:pPr>
    </w:p>
    <w:p w14:paraId="7ADBCDF8" w14:textId="77777777" w:rsidR="00580BC7" w:rsidRPr="00925F26" w:rsidRDefault="00580BC7" w:rsidP="00925F26">
      <w:pPr>
        <w:jc w:val="both"/>
        <w:rPr>
          <w:color w:val="000000" w:themeColor="text1"/>
          <w:sz w:val="16"/>
          <w:szCs w:val="16"/>
        </w:rPr>
      </w:pPr>
      <w:r w:rsidRPr="00925F26">
        <w:rPr>
          <w:color w:val="000000" w:themeColor="text1"/>
          <w:sz w:val="16"/>
          <w:szCs w:val="16"/>
        </w:rPr>
        <w:t>22 февраля 1945 союзники запускают операцию «Кларион» - 24-часовую кампанию, в ходе которой около 9000 самолетов союзников атакубт цели по всей Германии, пытаясь уничтожить все доступные транспортные средства. Цели включали железнодорожные сортировочные станции, железнодорожные переезды и сигнальные посты, мосты, шлюзы каналов и другую транспортную инфраструктуру (20371).</w:t>
      </w:r>
    </w:p>
    <w:p w14:paraId="5D799356" w14:textId="77777777" w:rsidR="00580BC7" w:rsidRPr="00925F26" w:rsidRDefault="00580BC7" w:rsidP="00925F26">
      <w:pPr>
        <w:jc w:val="both"/>
        <w:rPr>
          <w:color w:val="000000" w:themeColor="text1"/>
          <w:sz w:val="16"/>
          <w:szCs w:val="16"/>
        </w:rPr>
      </w:pPr>
    </w:p>
    <w:p w14:paraId="274C157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февраля 1945 американские войска форсировали реку Саар (4962).</w:t>
      </w:r>
    </w:p>
    <w:p w14:paraId="2CE0E0C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A1B3A7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февраля 1945 Уругвай объявил войну Германии и Японии (4962).</w:t>
      </w:r>
    </w:p>
    <w:p w14:paraId="119F6FE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C93D37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E2570ED" w14:textId="77777777" w:rsidR="00665165" w:rsidRPr="00925F26" w:rsidRDefault="00665165" w:rsidP="00925F26">
      <w:pPr>
        <w:autoSpaceDE w:val="0"/>
        <w:autoSpaceDN w:val="0"/>
        <w:adjustRightInd w:val="0"/>
        <w:jc w:val="both"/>
        <w:rPr>
          <w:iCs/>
          <w:color w:val="000000" w:themeColor="text1"/>
          <w:sz w:val="16"/>
          <w:szCs w:val="16"/>
        </w:rPr>
      </w:pPr>
    </w:p>
    <w:p w14:paraId="3D69FA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г., благополучно завершив полную программу переучивания на штурмовик Ил-10, 108-й гшап на следующий день убыл в полном составе (43 самолета Ил-10 производства заводов № 1 и № 18 1-й, 2-й, 3-й и 4-й серий с АМ-42 с винтом АВ-5л-24) в действующую армию на 1 -и Украинский фронт в состав 2-й ВА (7489).</w:t>
      </w:r>
    </w:p>
    <w:p w14:paraId="25A8E4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целью ускорения перебазирования полка инженеры и техники летели вместо стрелков и самостоятельно готовили машины на всех промежуточных аэродромах, что было далеко не просто ввиду наступившей весенней распутицы, захватившей большинство аэродромов по пути следования полка.</w:t>
      </w:r>
    </w:p>
    <w:p w14:paraId="5B49A765" w14:textId="77777777" w:rsidR="00665165" w:rsidRPr="00925F26" w:rsidRDefault="00665165" w:rsidP="00925F26">
      <w:pPr>
        <w:autoSpaceDE w:val="0"/>
        <w:autoSpaceDN w:val="0"/>
        <w:adjustRightInd w:val="0"/>
        <w:jc w:val="both"/>
        <w:rPr>
          <w:iCs/>
          <w:color w:val="000000" w:themeColor="text1"/>
          <w:sz w:val="16"/>
          <w:szCs w:val="16"/>
        </w:rPr>
      </w:pPr>
    </w:p>
    <w:p w14:paraId="33A7AB5A"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С 22 по 28 февраля 1945 года прицел - ПШ-3, который был разработан заводом № 589 НКВ специально для Ил-10, в целом успешно прошел государственные испытания на самолете Ил-2 (зав. № 0944) в ГК НИИ ВВС. Отчет по испытаниям утвержден 12 марта заместителем начальника института генерал-лейтенантом М. В. Гуревичем.</w:t>
      </w:r>
    </w:p>
    <w:p w14:paraId="4265777C"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49A59714"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70A1BB98"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к линии горизонта. Угол поля зрения при удалении глаза летчика от окуляра 30 мм равнялся 23°, увеличение - 1 крат, диаметр объектива - 40 мм, вынос плоскости визирования относительно центра окуляра - 680 мм. Габариты прицела с выдвинутой окулярной частью составляли 750х152х120 мм. Вес прицела - 4,5 кг.</w:t>
      </w:r>
    </w:p>
    <w:p w14:paraId="07A6B48D"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2169424B"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5E20EC25"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30102A6C"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7738490C"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45574D11"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41345AD2"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108CF55F"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0AADF124" w14:textId="77777777" w:rsidR="00911035" w:rsidRPr="00925F26" w:rsidRDefault="00911035" w:rsidP="00925F26">
      <w:pPr>
        <w:jc w:val="both"/>
        <w:rPr>
          <w:color w:val="000000" w:themeColor="text1"/>
          <w:sz w:val="16"/>
          <w:szCs w:val="16"/>
        </w:rPr>
      </w:pPr>
      <w:r w:rsidRPr="00925F26">
        <w:rPr>
          <w:rStyle w:val="107"/>
          <w:rFonts w:eastAsiaTheme="minorHAnsi"/>
          <w:color w:val="000000" w:themeColor="text1"/>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4E08AB53" w14:textId="77777777" w:rsidR="00911035" w:rsidRPr="00925F26" w:rsidRDefault="0091103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3DA1604D" w14:textId="77777777" w:rsidR="00911035" w:rsidRPr="00925F26" w:rsidRDefault="00911035" w:rsidP="00925F26">
      <w:pPr>
        <w:jc w:val="both"/>
        <w:rPr>
          <w:rStyle w:val="107"/>
          <w:rFonts w:eastAsiaTheme="minorHAnsi"/>
          <w:color w:val="000000" w:themeColor="text1"/>
          <w:sz w:val="16"/>
          <w:szCs w:val="16"/>
        </w:rPr>
      </w:pPr>
    </w:p>
    <w:p w14:paraId="72F838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закончились гос. испытания Ту-2 М-82ФН N 16/7 23 завода с винтом АВ-5В-21А, которые проходили с 18 октября 1944 (824).</w:t>
      </w:r>
    </w:p>
    <w:p w14:paraId="37AD86FD" w14:textId="77777777" w:rsidR="00665165" w:rsidRPr="00925F26" w:rsidRDefault="00665165" w:rsidP="00925F26">
      <w:pPr>
        <w:autoSpaceDE w:val="0"/>
        <w:autoSpaceDN w:val="0"/>
        <w:adjustRightInd w:val="0"/>
        <w:jc w:val="both"/>
        <w:rPr>
          <w:color w:val="000000" w:themeColor="text1"/>
          <w:sz w:val="16"/>
          <w:szCs w:val="16"/>
        </w:rPr>
      </w:pPr>
    </w:p>
    <w:p w14:paraId="17206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года завершились госиспытания Ту-2 и в заключение Акта по результатам государственных испытаний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503A81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6F78C8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w:t>
      </w:r>
      <w:r w:rsidRPr="00925F26">
        <w:rPr>
          <w:color w:val="000000" w:themeColor="text1"/>
          <w:sz w:val="16"/>
          <w:szCs w:val="16"/>
        </w:rPr>
        <w:lastRenderedPageBreak/>
        <w:t>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07BFE7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НИИ ВВС по результатам испытаний десяти самолетов отмечалось, в частности:</w:t>
      </w:r>
    </w:p>
    <w:p w14:paraId="681AA8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характеристики модифицированных Ту-2 соответствуют техническим условиям на их поставку ВВС.</w:t>
      </w:r>
    </w:p>
    <w:p w14:paraId="61C5FE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03B8557E" w14:textId="77777777" w:rsidR="00665165" w:rsidRPr="00925F26" w:rsidRDefault="00665165" w:rsidP="00925F26">
      <w:pPr>
        <w:autoSpaceDE w:val="0"/>
        <w:autoSpaceDN w:val="0"/>
        <w:adjustRightInd w:val="0"/>
        <w:jc w:val="both"/>
        <w:rPr>
          <w:color w:val="000000" w:themeColor="text1"/>
          <w:sz w:val="16"/>
          <w:szCs w:val="16"/>
        </w:rPr>
      </w:pPr>
    </w:p>
    <w:p w14:paraId="516DB7FF" w14:textId="77777777" w:rsidR="00F94B6C" w:rsidRPr="001A0BAA" w:rsidRDefault="00F94B6C" w:rsidP="00F94B6C">
      <w:pPr>
        <w:jc w:val="both"/>
        <w:rPr>
          <w:color w:val="0070C0"/>
          <w:sz w:val="16"/>
          <w:szCs w:val="16"/>
        </w:rPr>
      </w:pPr>
      <w:r w:rsidRPr="001A0BAA">
        <w:rPr>
          <w:color w:val="0070C0"/>
          <w:sz w:val="16"/>
          <w:szCs w:val="16"/>
        </w:rPr>
        <w:t>23 февраля 1945 года в заключении Акта по результатам завершившихся государственных испытаний, рекомендовалось конструктивные изменения Ту-2 № 16/7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 при испытаниях ... в ТКНИ И ВВС и эксплуатации в строевых частях - ... большин</w:t>
      </w:r>
      <w:r w:rsidRPr="001A0BAA">
        <w:rPr>
          <w:color w:val="0070C0"/>
          <w:sz w:val="16"/>
          <w:szCs w:val="16"/>
        </w:rPr>
        <w:softHyphen/>
        <w:t>ство дефектов остается до сих пор не устранено» (24991).</w:t>
      </w:r>
    </w:p>
    <w:p w14:paraId="79387FDC" w14:textId="77777777" w:rsidR="00F94B6C" w:rsidRPr="001A0BAA" w:rsidRDefault="00F94B6C" w:rsidP="00F94B6C">
      <w:pPr>
        <w:jc w:val="both"/>
        <w:rPr>
          <w:color w:val="0070C0"/>
          <w:sz w:val="16"/>
          <w:szCs w:val="16"/>
        </w:rPr>
      </w:pPr>
    </w:p>
    <w:p w14:paraId="51B46D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23 февраля 1945 по 3 мая 1945, как следует из отчета ЛИИ, на самолете (ведущий инженер Е.Ф.Шварцбург), в ходе испытаний высотного истребителя-перехватчика Як-ЗПД с двигателем ВК-105ПД с опытным винтом ВИШ-105ТЛ-2 диаметром 3 метра с отшлифованными лопастями, которые проходили с 19 февраля 1945 по 5 мая 1945 г.)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11DEB5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27F113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Пока шли работы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668D83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710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DFBD9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21D46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B7442BB" w14:textId="77777777" w:rsidR="00665165" w:rsidRPr="00925F26" w:rsidRDefault="00665165" w:rsidP="00925F26">
      <w:pPr>
        <w:autoSpaceDE w:val="0"/>
        <w:autoSpaceDN w:val="0"/>
        <w:adjustRightInd w:val="0"/>
        <w:jc w:val="both"/>
        <w:rPr>
          <w:color w:val="000000" w:themeColor="text1"/>
          <w:sz w:val="16"/>
          <w:szCs w:val="16"/>
        </w:rPr>
      </w:pPr>
    </w:p>
    <w:p w14:paraId="6630F27F" w14:textId="77777777" w:rsidR="00D92245" w:rsidRPr="00925F26" w:rsidRDefault="00D92245" w:rsidP="00925F26">
      <w:pPr>
        <w:jc w:val="both"/>
        <w:rPr>
          <w:color w:val="000000" w:themeColor="text1"/>
          <w:sz w:val="16"/>
          <w:szCs w:val="16"/>
        </w:rPr>
      </w:pPr>
      <w:r w:rsidRPr="00925F26">
        <w:rPr>
          <w:color w:val="000000" w:themeColor="text1"/>
          <w:sz w:val="16"/>
          <w:szCs w:val="16"/>
        </w:rPr>
        <w:t>С 23 февраля по 3 мая 1945 г. лётчик-испытатель С.Н. Анохин совершил на Як-3 с ВК-105ПД и двухступенчатым нагнетателем Э-100, с передаточным числом 9,72 18 полётов. Из-за ненормальной работы мотора испытания ча</w:t>
      </w:r>
      <w:r w:rsidRPr="00925F26">
        <w:rPr>
          <w:color w:val="000000" w:themeColor="text1"/>
          <w:sz w:val="16"/>
          <w:szCs w:val="16"/>
        </w:rPr>
        <w:softHyphen/>
        <w:t>сто приходилось прерывать, а 14 мая полёты с этим мотором пришлось прекратить со</w:t>
      </w:r>
      <w:r w:rsidRPr="00925F26">
        <w:rPr>
          <w:color w:val="000000" w:themeColor="text1"/>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7ED3E7FF" w14:textId="77777777" w:rsidR="00D92245" w:rsidRPr="00925F26" w:rsidRDefault="00D92245" w:rsidP="00925F26">
      <w:pPr>
        <w:jc w:val="both"/>
        <w:rPr>
          <w:color w:val="000000" w:themeColor="text1"/>
          <w:sz w:val="16"/>
          <w:szCs w:val="16"/>
        </w:rPr>
      </w:pPr>
      <w:r w:rsidRPr="00925F26">
        <w:rPr>
          <w:color w:val="000000" w:themeColor="text1"/>
          <w:sz w:val="16"/>
          <w:szCs w:val="16"/>
        </w:rPr>
        <w:t>Ощущения И.И. Шунейко в том полёте очень образно описал И.И. Шелест:</w:t>
      </w:r>
    </w:p>
    <w:p w14:paraId="22781720" w14:textId="77777777" w:rsidR="00D92245" w:rsidRPr="00925F26" w:rsidRDefault="00D92245" w:rsidP="00925F26">
      <w:pPr>
        <w:jc w:val="both"/>
        <w:rPr>
          <w:color w:val="000000" w:themeColor="text1"/>
          <w:sz w:val="16"/>
          <w:szCs w:val="16"/>
        </w:rPr>
      </w:pPr>
      <w:r w:rsidRPr="00925F26">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925F26">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741BF945" w14:textId="77777777" w:rsidR="00D92245" w:rsidRPr="00925F26" w:rsidRDefault="00D92245" w:rsidP="00925F26">
      <w:pPr>
        <w:jc w:val="both"/>
        <w:rPr>
          <w:color w:val="000000" w:themeColor="text1"/>
          <w:sz w:val="16"/>
          <w:szCs w:val="16"/>
        </w:rPr>
      </w:pPr>
      <w:r w:rsidRPr="00925F26">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925F26">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7036B351" w14:textId="77777777" w:rsidR="00D92245" w:rsidRPr="00925F26" w:rsidRDefault="00D92245" w:rsidP="00925F26">
      <w:pPr>
        <w:jc w:val="both"/>
        <w:rPr>
          <w:color w:val="000000" w:themeColor="text1"/>
          <w:sz w:val="16"/>
          <w:szCs w:val="16"/>
        </w:rPr>
      </w:pPr>
      <w:r w:rsidRPr="00925F26">
        <w:rPr>
          <w:color w:val="000000" w:themeColor="text1"/>
          <w:sz w:val="16"/>
          <w:szCs w:val="16"/>
        </w:rPr>
        <w:t>«Видно, это будет наш общий потолок — и мотора и мой, — продолжал свою заме</w:t>
      </w:r>
      <w:r w:rsidRPr="00925F26">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7D8A0FF3" w14:textId="77777777" w:rsidR="00D92245" w:rsidRPr="00925F26" w:rsidRDefault="00D92245" w:rsidP="00925F26">
      <w:pPr>
        <w:jc w:val="both"/>
        <w:rPr>
          <w:color w:val="000000" w:themeColor="text1"/>
          <w:sz w:val="16"/>
          <w:szCs w:val="16"/>
        </w:rPr>
      </w:pPr>
      <w:r w:rsidRPr="00925F26">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925F26">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3492E247" w14:textId="77777777" w:rsidR="00D92245" w:rsidRPr="00925F26" w:rsidRDefault="00D92245" w:rsidP="00925F26">
      <w:pPr>
        <w:jc w:val="both"/>
        <w:rPr>
          <w:color w:val="000000" w:themeColor="text1"/>
          <w:sz w:val="16"/>
          <w:szCs w:val="16"/>
        </w:rPr>
      </w:pPr>
      <w:r w:rsidRPr="00925F26">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925F26">
        <w:rPr>
          <w:color w:val="000000" w:themeColor="text1"/>
          <w:sz w:val="16"/>
          <w:szCs w:val="16"/>
        </w:rPr>
        <w:softHyphen/>
        <w:t>лной грудью. И с этим вздохом в душу его влетела некая птица дотоле неведомой вели</w:t>
      </w:r>
      <w:r w:rsidRPr="00925F26">
        <w:rPr>
          <w:color w:val="000000" w:themeColor="text1"/>
          <w:sz w:val="16"/>
          <w:szCs w:val="16"/>
        </w:rPr>
        <w:softHyphen/>
        <w:t>кой радости. Он понял, что</w:t>
      </w:r>
      <w:r w:rsidRPr="00925F26">
        <w:rPr>
          <w:rStyle w:val="MSReferenceSansSerif85pt"/>
          <w:rFonts w:ascii="Times New Roman" w:hAnsi="Times New Roman" w:cs="Times New Roman"/>
          <w:b w:val="0"/>
          <w:i w:val="0"/>
          <w:color w:val="000000" w:themeColor="text1"/>
          <w:sz w:val="16"/>
          <w:szCs w:val="16"/>
        </w:rPr>
        <w:t xml:space="preserve"> этот день его.</w:t>
      </w:r>
      <w:r w:rsidRPr="00925F26">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01FF8128" w14:textId="77777777" w:rsidR="00D92245" w:rsidRPr="00925F26" w:rsidRDefault="00D92245" w:rsidP="00925F26">
      <w:pPr>
        <w:jc w:val="both"/>
        <w:rPr>
          <w:color w:val="000000" w:themeColor="text1"/>
          <w:sz w:val="16"/>
          <w:szCs w:val="16"/>
        </w:rPr>
      </w:pPr>
      <w:r w:rsidRPr="00925F26">
        <w:rPr>
          <w:color w:val="000000" w:themeColor="text1"/>
          <w:sz w:val="16"/>
          <w:szCs w:val="16"/>
        </w:rPr>
        <w:t>Впоследствии начальник лётной части ЛИИ Даниил Степанович Зосим, сам инже</w:t>
      </w:r>
      <w:r w:rsidRPr="00925F26">
        <w:rPr>
          <w:color w:val="000000" w:themeColor="text1"/>
          <w:sz w:val="16"/>
          <w:szCs w:val="16"/>
        </w:rPr>
        <w:softHyphen/>
        <w:t>нер-лётчик, знакомый с высотными полётами (перед войной он принимал участие в ис</w:t>
      </w:r>
      <w:r w:rsidRPr="00925F26">
        <w:rPr>
          <w:color w:val="000000" w:themeColor="text1"/>
          <w:sz w:val="16"/>
          <w:szCs w:val="16"/>
        </w:rPr>
        <w:softHyphen/>
        <w:t>пытаниях одного из первых советских скафандров), спросил Шунейко:</w:t>
      </w:r>
    </w:p>
    <w:p w14:paraId="420A9A52" w14:textId="77777777" w:rsidR="00D92245" w:rsidRPr="00925F26" w:rsidRDefault="00D92245" w:rsidP="00925F26">
      <w:pPr>
        <w:numPr>
          <w:ilvl w:val="0"/>
          <w:numId w:val="1"/>
        </w:numPr>
        <w:tabs>
          <w:tab w:val="left" w:pos="423"/>
        </w:tabs>
        <w:jc w:val="both"/>
        <w:rPr>
          <w:color w:val="000000" w:themeColor="text1"/>
          <w:sz w:val="16"/>
          <w:szCs w:val="16"/>
        </w:rPr>
      </w:pPr>
      <w:r w:rsidRPr="00925F26">
        <w:rPr>
          <w:color w:val="000000" w:themeColor="text1"/>
          <w:sz w:val="16"/>
          <w:szCs w:val="16"/>
        </w:rPr>
        <w:t>Скажи, пожалуйста, Иван Иванович, будучи на моем месте, сколько бы ты запла</w:t>
      </w:r>
      <w:r w:rsidRPr="00925F26">
        <w:rPr>
          <w:color w:val="000000" w:themeColor="text1"/>
          <w:sz w:val="16"/>
          <w:szCs w:val="16"/>
        </w:rPr>
        <w:softHyphen/>
        <w:t>тил лётчику за риск таких полётов на высоту?</w:t>
      </w:r>
    </w:p>
    <w:p w14:paraId="2BCF1DE0" w14:textId="77777777" w:rsidR="00D92245" w:rsidRPr="00925F26" w:rsidRDefault="00D92245" w:rsidP="00925F26">
      <w:pPr>
        <w:jc w:val="both"/>
        <w:rPr>
          <w:color w:val="000000" w:themeColor="text1"/>
          <w:sz w:val="16"/>
          <w:szCs w:val="16"/>
        </w:rPr>
      </w:pPr>
      <w:r w:rsidRPr="00925F26">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43B9DBF0" w14:textId="77777777" w:rsidR="00D92245" w:rsidRPr="00925F26" w:rsidRDefault="00D92245" w:rsidP="00925F26">
      <w:pPr>
        <w:numPr>
          <w:ilvl w:val="0"/>
          <w:numId w:val="1"/>
        </w:numPr>
        <w:tabs>
          <w:tab w:val="left" w:pos="420"/>
        </w:tabs>
        <w:jc w:val="both"/>
        <w:rPr>
          <w:color w:val="000000" w:themeColor="text1"/>
          <w:sz w:val="16"/>
          <w:szCs w:val="16"/>
        </w:rPr>
      </w:pPr>
      <w:r w:rsidRPr="00925F26">
        <w:rPr>
          <w:color w:val="000000" w:themeColor="text1"/>
          <w:sz w:val="16"/>
          <w:szCs w:val="16"/>
        </w:rPr>
        <w:t>На мой взгляд... эти полёты стоят столько, сколько стоит моя жизнь» (15830).</w:t>
      </w:r>
    </w:p>
    <w:p w14:paraId="4C375D8E" w14:textId="77777777" w:rsidR="00D92245" w:rsidRPr="00925F26" w:rsidRDefault="00D92245" w:rsidP="00925F26">
      <w:pPr>
        <w:tabs>
          <w:tab w:val="left" w:pos="420"/>
        </w:tabs>
        <w:jc w:val="both"/>
        <w:rPr>
          <w:color w:val="000000" w:themeColor="text1"/>
          <w:sz w:val="16"/>
          <w:szCs w:val="16"/>
        </w:rPr>
      </w:pPr>
    </w:p>
    <w:p w14:paraId="030CE2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23 февраля по 7 апреля 1945 года в госиспытаниях Як-3Т, которые проходили с 17 февраля по 25 апреля, имел место большой перерыв для доводки маслосистемы для ликвидации выброса масла, но устранить данное явление полностью не удалось, добились лишь снижения выброса масла до четырех- шести литров в час.</w:t>
      </w:r>
    </w:p>
    <w:p w14:paraId="205976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23363D0D" w14:textId="77777777" w:rsidR="00665165" w:rsidRPr="00925F26" w:rsidRDefault="00665165" w:rsidP="00925F26">
      <w:pPr>
        <w:autoSpaceDE w:val="0"/>
        <w:autoSpaceDN w:val="0"/>
        <w:adjustRightInd w:val="0"/>
        <w:jc w:val="both"/>
        <w:rPr>
          <w:color w:val="000000" w:themeColor="text1"/>
          <w:sz w:val="16"/>
          <w:szCs w:val="16"/>
        </w:rPr>
      </w:pPr>
    </w:p>
    <w:p w14:paraId="72D0D93C" w14:textId="77777777" w:rsidR="00D9224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12AD7DE" w14:textId="77777777" w:rsidR="00D92245" w:rsidRPr="00925F26" w:rsidRDefault="00D92245" w:rsidP="00925F26">
      <w:pPr>
        <w:autoSpaceDE w:val="0"/>
        <w:autoSpaceDN w:val="0"/>
        <w:adjustRightInd w:val="0"/>
        <w:jc w:val="both"/>
        <w:rPr>
          <w:iCs/>
          <w:color w:val="000000" w:themeColor="text1"/>
          <w:sz w:val="16"/>
          <w:szCs w:val="16"/>
        </w:rPr>
      </w:pPr>
    </w:p>
    <w:p w14:paraId="73A85043"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7578. О дополнительном выделении угля НКПП. РГАНИР, Фонд ГКО, д. 373, лл. 29 (11012).</w:t>
      </w:r>
    </w:p>
    <w:p w14:paraId="1B1C1AC5" w14:textId="77777777" w:rsidR="00D92245" w:rsidRPr="00925F26" w:rsidRDefault="00D92245" w:rsidP="00925F26">
      <w:pPr>
        <w:autoSpaceDE w:val="0"/>
        <w:autoSpaceDN w:val="0"/>
        <w:adjustRightInd w:val="0"/>
        <w:jc w:val="both"/>
        <w:rPr>
          <w:color w:val="000000" w:themeColor="text1"/>
          <w:sz w:val="16"/>
          <w:szCs w:val="16"/>
        </w:rPr>
      </w:pPr>
    </w:p>
    <w:p w14:paraId="203BB7EF"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7579. О поставках строительных материалов на строительство второго Бакинского водопровода. РГАНИР, Фонд ГКО, д. 373, лл. 30 (11012).</w:t>
      </w:r>
    </w:p>
    <w:p w14:paraId="2E0C006D" w14:textId="77777777" w:rsidR="00D92245" w:rsidRPr="00925F26" w:rsidRDefault="00D92245" w:rsidP="00925F26">
      <w:pPr>
        <w:autoSpaceDE w:val="0"/>
        <w:autoSpaceDN w:val="0"/>
        <w:adjustRightInd w:val="0"/>
        <w:jc w:val="both"/>
        <w:rPr>
          <w:color w:val="000000" w:themeColor="text1"/>
          <w:sz w:val="16"/>
          <w:szCs w:val="16"/>
        </w:rPr>
      </w:pPr>
    </w:p>
    <w:p w14:paraId="1D791CB5" w14:textId="77777777" w:rsidR="00D92245" w:rsidRPr="00925F26" w:rsidRDefault="00D9224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7580 [Об изменениях в плане перевозок черных металлов по железным дорогам.] (7310, 31).</w:t>
      </w:r>
    </w:p>
    <w:p w14:paraId="4A4F0DB1" w14:textId="77777777" w:rsidR="00D92245" w:rsidRPr="00925F26" w:rsidRDefault="00D92245" w:rsidP="00925F26">
      <w:pPr>
        <w:tabs>
          <w:tab w:val="left" w:pos="11199"/>
        </w:tabs>
        <w:autoSpaceDE w:val="0"/>
        <w:autoSpaceDN w:val="0"/>
        <w:adjustRightInd w:val="0"/>
        <w:jc w:val="both"/>
        <w:rPr>
          <w:color w:val="000000" w:themeColor="text1"/>
          <w:sz w:val="16"/>
          <w:szCs w:val="16"/>
        </w:rPr>
      </w:pPr>
    </w:p>
    <w:p w14:paraId="55CD1325" w14:textId="77777777" w:rsidR="00D92245" w:rsidRPr="00925F26" w:rsidRDefault="00D9224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7581 [О дополнительном выделении продовольствия НКВД в феврале-марте 1945 г.] (7310, 32,33).</w:t>
      </w:r>
    </w:p>
    <w:p w14:paraId="37645619" w14:textId="77777777" w:rsidR="00D92245" w:rsidRPr="00925F26" w:rsidRDefault="00D92245" w:rsidP="00925F26">
      <w:pPr>
        <w:tabs>
          <w:tab w:val="left" w:pos="11199"/>
        </w:tabs>
        <w:autoSpaceDE w:val="0"/>
        <w:autoSpaceDN w:val="0"/>
        <w:adjustRightInd w:val="0"/>
        <w:jc w:val="both"/>
        <w:rPr>
          <w:color w:val="000000" w:themeColor="text1"/>
          <w:sz w:val="16"/>
          <w:szCs w:val="16"/>
        </w:rPr>
      </w:pPr>
    </w:p>
    <w:p w14:paraId="1F47C6E4" w14:textId="77777777" w:rsidR="00D92245" w:rsidRPr="00925F26" w:rsidRDefault="00D9224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7582 [Об изменении плана перевозок рыбопродуктов в феврале 1945 г.] (7310, 34).</w:t>
      </w:r>
    </w:p>
    <w:p w14:paraId="1FA5C916" w14:textId="77777777" w:rsidR="00D92245" w:rsidRPr="00925F26" w:rsidRDefault="00D92245" w:rsidP="00925F26">
      <w:pPr>
        <w:tabs>
          <w:tab w:val="left" w:pos="11199"/>
        </w:tabs>
        <w:autoSpaceDE w:val="0"/>
        <w:autoSpaceDN w:val="0"/>
        <w:adjustRightInd w:val="0"/>
        <w:jc w:val="both"/>
        <w:rPr>
          <w:color w:val="000000" w:themeColor="text1"/>
          <w:sz w:val="16"/>
          <w:szCs w:val="16"/>
        </w:rPr>
      </w:pPr>
    </w:p>
    <w:p w14:paraId="36200392"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7583. О срочном дополнительном производстве автобензина для Донбасса. РГАНИР, Фонд ГКО, д. 373, лл. 35 (11012).</w:t>
      </w:r>
    </w:p>
    <w:p w14:paraId="0535C2D2" w14:textId="77777777" w:rsidR="00D92245" w:rsidRPr="00925F26" w:rsidRDefault="00D92245" w:rsidP="00925F26">
      <w:pPr>
        <w:autoSpaceDE w:val="0"/>
        <w:autoSpaceDN w:val="0"/>
        <w:adjustRightInd w:val="0"/>
        <w:jc w:val="both"/>
        <w:rPr>
          <w:color w:val="000000" w:themeColor="text1"/>
          <w:sz w:val="16"/>
          <w:szCs w:val="16"/>
        </w:rPr>
      </w:pPr>
    </w:p>
    <w:p w14:paraId="7A7FB067"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7584. О распространении п. 133 постановления № 7333 от 18 января 1945 г. на лесозаготовительные организации НКПС. РГАНИР, Фонд ГКО, д. 373, лл. 36 (11012).</w:t>
      </w:r>
    </w:p>
    <w:p w14:paraId="0F9F4F84" w14:textId="77777777" w:rsidR="00D92245" w:rsidRPr="00925F26" w:rsidRDefault="00D92245" w:rsidP="00925F26">
      <w:pPr>
        <w:autoSpaceDE w:val="0"/>
        <w:autoSpaceDN w:val="0"/>
        <w:adjustRightInd w:val="0"/>
        <w:jc w:val="both"/>
        <w:rPr>
          <w:color w:val="000000" w:themeColor="text1"/>
          <w:sz w:val="16"/>
          <w:szCs w:val="16"/>
        </w:rPr>
      </w:pPr>
    </w:p>
    <w:p w14:paraId="6DBA243C" w14:textId="77777777" w:rsidR="00D92245" w:rsidRPr="00925F26" w:rsidRDefault="00D9224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февраля 1945 вышло Постановление ГКО № 7585 Об обеспечении углем судов заграничного плавания. (7310, 37-38).</w:t>
      </w:r>
    </w:p>
    <w:p w14:paraId="190D1539" w14:textId="77777777" w:rsidR="00D92245" w:rsidRPr="00925F26" w:rsidRDefault="00D92245" w:rsidP="00925F26">
      <w:pPr>
        <w:tabs>
          <w:tab w:val="left" w:pos="11199"/>
        </w:tabs>
        <w:autoSpaceDE w:val="0"/>
        <w:autoSpaceDN w:val="0"/>
        <w:adjustRightInd w:val="0"/>
        <w:jc w:val="both"/>
        <w:rPr>
          <w:color w:val="000000" w:themeColor="text1"/>
          <w:sz w:val="16"/>
          <w:szCs w:val="16"/>
        </w:rPr>
      </w:pPr>
    </w:p>
    <w:p w14:paraId="25F3F643"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7586. Об обеспечении поставками бесперебойного выпуска корпусов 76 мм и 45 мм снарядов на Белохолуницком заводе НКТМ в период весенней распутицы 1945 г. РГАНИР, Фонд ГКО, д. 373, лл. 39-40 (11012).</w:t>
      </w:r>
    </w:p>
    <w:p w14:paraId="1B3B37EB" w14:textId="77777777" w:rsidR="00D92245" w:rsidRPr="00925F26" w:rsidRDefault="00D92245" w:rsidP="00925F26">
      <w:pPr>
        <w:autoSpaceDE w:val="0"/>
        <w:autoSpaceDN w:val="0"/>
        <w:adjustRightInd w:val="0"/>
        <w:jc w:val="both"/>
        <w:rPr>
          <w:color w:val="000000" w:themeColor="text1"/>
          <w:sz w:val="16"/>
          <w:szCs w:val="16"/>
        </w:rPr>
      </w:pPr>
    </w:p>
    <w:p w14:paraId="49DCE21A"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7587. О мерах по восстановлению завода СК-2 НКРП. РГАНИР, Фонд ГКО, д. 373, лл. 41-43 (11012).</w:t>
      </w:r>
    </w:p>
    <w:p w14:paraId="39DACDF9" w14:textId="77777777" w:rsidR="00D92245" w:rsidRPr="00925F26" w:rsidRDefault="00D92245" w:rsidP="00925F26">
      <w:pPr>
        <w:autoSpaceDE w:val="0"/>
        <w:autoSpaceDN w:val="0"/>
        <w:adjustRightInd w:val="0"/>
        <w:jc w:val="both"/>
        <w:rPr>
          <w:color w:val="000000" w:themeColor="text1"/>
          <w:sz w:val="16"/>
          <w:szCs w:val="16"/>
        </w:rPr>
      </w:pPr>
    </w:p>
    <w:p w14:paraId="1A1C8AB9"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вышло Распоряжение ГКО № 7588. О поставках металлургического сырья заводам НКТМ. РГАНИР, Фонд ГКО, д. 373, лл. 44-45, 46 (11012).</w:t>
      </w:r>
    </w:p>
    <w:p w14:paraId="540296B3" w14:textId="77777777" w:rsidR="00D92245" w:rsidRPr="00925F26" w:rsidRDefault="00D92245" w:rsidP="00925F26">
      <w:pPr>
        <w:autoSpaceDE w:val="0"/>
        <w:autoSpaceDN w:val="0"/>
        <w:adjustRightInd w:val="0"/>
        <w:jc w:val="both"/>
        <w:rPr>
          <w:color w:val="000000" w:themeColor="text1"/>
          <w:sz w:val="16"/>
          <w:szCs w:val="16"/>
        </w:rPr>
      </w:pPr>
    </w:p>
    <w:p w14:paraId="025C336A"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года нарком Берия подписал приказ № 00103 “Об организации комбината № 6 НКВД СССР”, которым “в связи с приемом от Наркомцветмета урановых предприятий” в системе Спецметуправления ГУЛГМП организовывался (на базе завода “В” в городе Ленинабаде Таджикской ССР) Ферганский горно-химический комбинат НКВД с присвоением ему условного наименования “Комбинат № 6 НКВД СССР” (7560).</w:t>
      </w:r>
    </w:p>
    <w:p w14:paraId="262D0994"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Начальником Комбината № 6 был назначен подполковник ГБ Б. Н. Чирков. В органах ОГПУ-НКВД он работал с 1922-го, был на руководящих должностях в ГПУ/УНКВД Якутской АССР, возглавлял Владимирский горотдел УНКВД Ивановской области, УНКВД Восточно-Казахстанской области, побывал заместителем наркома внутренних дел Казахской ССР, начальником Джезказганского и Тырныаузского комбинатов и ИТЛ НКВД, в 1943-1945 годах находился в Действующей армии (на должностях от комбата до заместителя командира дивизии ВДВ). За участие в работе по созданию атомной бомбы Чирков 29 октября 1949-го будет удостоен звания Героя Социалистического Труда, однако указом ПВС от 16 января 1959-го лишится его “за нарушения в прошлом социалистической законности” (7560).</w:t>
      </w:r>
    </w:p>
    <w:p w14:paraId="28D542B8" w14:textId="77777777" w:rsidR="00D92245" w:rsidRPr="00925F26" w:rsidRDefault="00D92245" w:rsidP="00925F26">
      <w:pPr>
        <w:autoSpaceDE w:val="0"/>
        <w:autoSpaceDN w:val="0"/>
        <w:adjustRightInd w:val="0"/>
        <w:jc w:val="both"/>
        <w:rPr>
          <w:color w:val="000000" w:themeColor="text1"/>
          <w:sz w:val="16"/>
          <w:szCs w:val="16"/>
        </w:rPr>
      </w:pPr>
    </w:p>
    <w:p w14:paraId="186D500F"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приказом № 00103 начальнику ГУЛАГа Наседкину и начальнику Отдела спецпоселений НКВД М. В. Кузнецову предписывалось направить в первом квартале 1945 года на предприятия Комбината № 6 900 “мобилизованных спецпереселенцев крымских татар” с Волгостроя и 300 “квалифицированных рабочих” (150 строителей, 30 горняков, 40 электриков, 30 монтажников и 50 шоферов) с других строек и лагерей НКВД; им же вместе с начальником ГУЛГМП П. А. Захаровым предстояло отобрать специалистов горняков, геологов, химиков, механиков, энергетиков, находящихся в лагерях и используемых не по специальности. Начальнику Управления снабжения ГУЛАГа А. А. Усиевичу приказывалось обеспечить Комбинат № 6 продовольствием и вещевым довольствием за счет других лагерей и строек НКВД (7560).</w:t>
      </w:r>
    </w:p>
    <w:p w14:paraId="34A5004E" w14:textId="77777777" w:rsidR="00D92245" w:rsidRPr="00925F26" w:rsidRDefault="00D92245" w:rsidP="00925F26">
      <w:pPr>
        <w:autoSpaceDE w:val="0"/>
        <w:autoSpaceDN w:val="0"/>
        <w:adjustRightInd w:val="0"/>
        <w:jc w:val="both"/>
        <w:rPr>
          <w:color w:val="000000" w:themeColor="text1"/>
          <w:sz w:val="16"/>
          <w:szCs w:val="16"/>
        </w:rPr>
      </w:pPr>
    </w:p>
    <w:p w14:paraId="3909744C" w14:textId="77777777" w:rsidR="00D9224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ABF57C9" w14:textId="77777777" w:rsidR="00D92245" w:rsidRPr="00925F26" w:rsidRDefault="00D92245" w:rsidP="00925F26">
      <w:pPr>
        <w:autoSpaceDE w:val="0"/>
        <w:autoSpaceDN w:val="0"/>
        <w:adjustRightInd w:val="0"/>
        <w:jc w:val="both"/>
        <w:rPr>
          <w:iCs/>
          <w:color w:val="000000" w:themeColor="text1"/>
          <w:sz w:val="16"/>
          <w:szCs w:val="16"/>
        </w:rPr>
      </w:pPr>
    </w:p>
    <w:p w14:paraId="59977B22" w14:textId="77777777" w:rsidR="00D92245" w:rsidRPr="00925F26" w:rsidRDefault="00D92245" w:rsidP="00925F26">
      <w:pPr>
        <w:jc w:val="both"/>
        <w:rPr>
          <w:color w:val="000000" w:themeColor="text1"/>
          <w:sz w:val="16"/>
          <w:szCs w:val="16"/>
        </w:rPr>
      </w:pPr>
      <w:r w:rsidRPr="00925F26">
        <w:rPr>
          <w:bCs/>
          <w:color w:val="000000" w:themeColor="text1"/>
          <w:sz w:val="16"/>
          <w:szCs w:val="16"/>
        </w:rPr>
        <w:t>23 февраля</w:t>
      </w:r>
      <w:r w:rsidRPr="00925F26">
        <w:rPr>
          <w:color w:val="000000" w:themeColor="text1"/>
          <w:sz w:val="16"/>
          <w:szCs w:val="16"/>
        </w:rPr>
        <w:t xml:space="preserve"> в 1945 году оперативная сводка Совинформбюро:</w:t>
      </w:r>
    </w:p>
    <w:p w14:paraId="235B9B46" w14:textId="77777777" w:rsidR="00D92245" w:rsidRPr="00925F26" w:rsidRDefault="00D92245" w:rsidP="00925F26">
      <w:pPr>
        <w:jc w:val="both"/>
        <w:rPr>
          <w:color w:val="000000" w:themeColor="text1"/>
          <w:sz w:val="16"/>
          <w:szCs w:val="16"/>
        </w:rPr>
      </w:pPr>
      <w:r w:rsidRPr="00925F26">
        <w:rPr>
          <w:color w:val="000000" w:themeColor="text1"/>
          <w:sz w:val="16"/>
          <w:szCs w:val="16"/>
        </w:rPr>
        <w:t>«В течение 23 февраля юго-западнее Кенигсберга наши войска продолжали бои по уничтожению Восточно-Прусской группировки противника и, сжимая кольцо окружения, овладели населёнными пунктами Арнстайн, Лихтенфельд, Лилиенталь, Тольксдорф, Либенау, Шальмай. В боях за 22 февраля в этом районе наши войска взяли в плен около 500 немецких солдат и офицеров.</w:t>
      </w:r>
    </w:p>
    <w:p w14:paraId="0C6090B1" w14:textId="77777777" w:rsidR="00D92245" w:rsidRPr="00925F26" w:rsidRDefault="00D92245" w:rsidP="00925F26">
      <w:pPr>
        <w:jc w:val="both"/>
        <w:rPr>
          <w:color w:val="000000" w:themeColor="text1"/>
          <w:sz w:val="16"/>
          <w:szCs w:val="16"/>
        </w:rPr>
      </w:pPr>
      <w:r w:rsidRPr="00925F26">
        <w:rPr>
          <w:color w:val="000000" w:themeColor="text1"/>
          <w:sz w:val="16"/>
          <w:szCs w:val="16"/>
        </w:rPr>
        <w:t>В Померании наши войска, сломив сопротивление противника, овладели городом и железнодорожным узлом Арнсвальде.</w:t>
      </w:r>
    </w:p>
    <w:p w14:paraId="6F9B9BFB" w14:textId="77777777" w:rsidR="00D92245" w:rsidRPr="00925F26" w:rsidRDefault="00D92245" w:rsidP="00925F26">
      <w:pPr>
        <w:jc w:val="both"/>
        <w:rPr>
          <w:color w:val="000000" w:themeColor="text1"/>
          <w:sz w:val="16"/>
          <w:szCs w:val="16"/>
        </w:rPr>
      </w:pPr>
      <w:r w:rsidRPr="00925F26">
        <w:rPr>
          <w:color w:val="000000" w:themeColor="text1"/>
          <w:sz w:val="16"/>
          <w:szCs w:val="16"/>
        </w:rPr>
        <w:t>Войска 1-го Белорусского фронта после месячной осады и упорных боёв завершили разгром окружённой группировки противника и 23 февраля полностью овладели городом и крепостью Познань — стратегически важным узлом обороны немцев на Берлинском направлении.</w:t>
      </w:r>
    </w:p>
    <w:p w14:paraId="3FBBE98A" w14:textId="77777777" w:rsidR="00D92245" w:rsidRPr="00925F26" w:rsidRDefault="00D92245" w:rsidP="00925F26">
      <w:pPr>
        <w:jc w:val="both"/>
        <w:rPr>
          <w:color w:val="000000" w:themeColor="text1"/>
          <w:sz w:val="16"/>
          <w:szCs w:val="16"/>
        </w:rPr>
      </w:pPr>
      <w:r w:rsidRPr="00925F26">
        <w:rPr>
          <w:color w:val="000000" w:themeColor="text1"/>
          <w:sz w:val="16"/>
          <w:szCs w:val="16"/>
        </w:rPr>
        <w:t>В ходе боёв в Познани войска фронта взяли в плен 23.000 немецких солдат и офицеров во главе с комендантом крепости генерал-майором Маттерн и его штабом, а также захватили следующие трофеи: самолётов—365, танков и самоходных орудий — 32, орудий — 584, миномётов — 177, пулемётов — 4.490, винтовок и автоматов — свыше 30.000, бронетранспортёров — 36, автомашин — 3.260, мотоциклов — 400, радиостанций—21, паровозов—193, вагонов—3.705, лошадей—990. Противник потерял только убитыми свыше 25.000 солдат и офицеров.</w:t>
      </w:r>
    </w:p>
    <w:p w14:paraId="26FB28A1" w14:textId="77777777" w:rsidR="00D92245" w:rsidRPr="00925F26" w:rsidRDefault="00D92245" w:rsidP="00925F26">
      <w:pPr>
        <w:jc w:val="both"/>
        <w:rPr>
          <w:color w:val="000000" w:themeColor="text1"/>
          <w:sz w:val="16"/>
          <w:szCs w:val="16"/>
        </w:rPr>
      </w:pPr>
      <w:r w:rsidRPr="00925F26">
        <w:rPr>
          <w:color w:val="000000" w:themeColor="text1"/>
          <w:sz w:val="16"/>
          <w:szCs w:val="16"/>
        </w:rPr>
        <w:t>В районе Бреслау наши войска, продолжая бои по уничтожению окружённой в городе группировки противника, заняли пригороды Папельхоф, Гросс Рааке, Клайн Рааке, Клайн Бишвиц, Клайн Мазельвитц и 20 кварталов в южной части города. В боях за 22 февраля в этом районе наши войска захватили 130 немецких орудий, среди которых 80 орудий большой мощности.</w:t>
      </w:r>
    </w:p>
    <w:p w14:paraId="0C5265A2" w14:textId="77777777" w:rsidR="00D92245" w:rsidRPr="00925F26" w:rsidRDefault="00D92245"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5011B3B8" w14:textId="77777777" w:rsidR="00D92245" w:rsidRPr="00925F26" w:rsidRDefault="00D92245" w:rsidP="00925F26">
      <w:pPr>
        <w:jc w:val="both"/>
        <w:rPr>
          <w:color w:val="000000" w:themeColor="text1"/>
          <w:sz w:val="16"/>
          <w:szCs w:val="16"/>
        </w:rPr>
      </w:pPr>
      <w:r w:rsidRPr="00925F26">
        <w:rPr>
          <w:color w:val="000000" w:themeColor="text1"/>
          <w:sz w:val="16"/>
          <w:szCs w:val="16"/>
        </w:rPr>
        <w:t>За 22 февраля на всех фронтах подбито и уничтожено 105 немецких танков и самоходных орудий. В воздушных боях и огнём зенитной артиллерии сбито 14 самолётов противника.</w:t>
      </w:r>
    </w:p>
    <w:p w14:paraId="522878B4" w14:textId="77777777" w:rsidR="00D92245" w:rsidRPr="00925F26" w:rsidRDefault="00D92245" w:rsidP="00925F26">
      <w:pPr>
        <w:jc w:val="both"/>
        <w:rPr>
          <w:color w:val="000000" w:themeColor="text1"/>
          <w:sz w:val="16"/>
          <w:szCs w:val="16"/>
        </w:rPr>
      </w:pPr>
      <w:r w:rsidRPr="00925F26">
        <w:rPr>
          <w:color w:val="000000" w:themeColor="text1"/>
          <w:sz w:val="16"/>
          <w:szCs w:val="16"/>
        </w:rPr>
        <w:t>Войска 1-го Белорусского фронта сегодня завершили разгром окружённой группировки противника и полностью овладели городом и крепостью Познань.</w:t>
      </w:r>
    </w:p>
    <w:p w14:paraId="75AB6994" w14:textId="77777777" w:rsidR="00D92245" w:rsidRPr="00925F26" w:rsidRDefault="00D92245" w:rsidP="00925F26">
      <w:pPr>
        <w:jc w:val="both"/>
        <w:rPr>
          <w:color w:val="000000" w:themeColor="text1"/>
          <w:sz w:val="16"/>
          <w:szCs w:val="16"/>
        </w:rPr>
      </w:pPr>
      <w:r w:rsidRPr="00925F26">
        <w:rPr>
          <w:color w:val="000000" w:themeColor="text1"/>
          <w:sz w:val="16"/>
          <w:szCs w:val="16"/>
        </w:rPr>
        <w:t>В конце января, развивая стремительное наступление, наши войска окружили в Познани крупные немецкие силы. Советские части преодолели мощный укреплённый район, прикрывавший подступы к городу, овладели железнодорожной станцией и прорвались к центру города. Гитлеровцы укрепились в старинных массивных зданиях. Ожесточённые схватки происходили за каждый дом. В то же время наши войска блокировали форты, прикрывавшие Познань с севера и востока, и уничтожили их гарнизоны. В результате успешных действий советских войск город Познань и пригороды к утру 17 февраля были очищены от немцев. Остатки окружённого гарнизона противника засели в Цитадели— старинной крепости, усиленной современным военно-инженерными вооружениями. Цитадель расположена на возвышенности, занимает обширную площадь и обнесена высоким земляным валом. За валом проходит противотанковый ров шириной в 8 метров и глубиной в 5 метров. За рвом противник соорудил большое количество железобетонных дотов, связанных подземными ходами сообщения. За дотами возвышается крепостная стена. Цитадель обороняли пехотные и артиллерийские части противника, эсэсовцы, а также курсанты юнкерского и унтер-офицерского училищ. Немецкий гарнизон располагал большим количеством боеприпасов и четырёхмесячными запасами продовольствия. Всем немецким солдатам был объявлен приказ Гитлера, требовавший во что бы то ни стало удержать Познань.</w:t>
      </w:r>
    </w:p>
    <w:p w14:paraId="4BFE4AF3" w14:textId="77777777" w:rsidR="00D92245" w:rsidRPr="00925F26" w:rsidRDefault="00D92245" w:rsidP="00925F26">
      <w:pPr>
        <w:jc w:val="both"/>
        <w:rPr>
          <w:color w:val="000000" w:themeColor="text1"/>
          <w:sz w:val="16"/>
          <w:szCs w:val="16"/>
        </w:rPr>
      </w:pPr>
      <w:r w:rsidRPr="00925F26">
        <w:rPr>
          <w:color w:val="000000" w:themeColor="text1"/>
          <w:sz w:val="16"/>
          <w:szCs w:val="16"/>
        </w:rPr>
        <w:t>Наши войска, в результате стремительной атаки, очистили от гитлеровцев вал, переправились через ров и начали штурм Цитадели. Мощные орудия обрушили огонь на крепостные стены. Советские пехотинцы и сапёры подтаскивали бочки с толом к крепостным стеная и взрывали их. В образовавшиеся проходы устремились штурмовые отряды. Многие пехотинцы взбирались на крепостные стены три помощи верёвочных лестниц и канатов. После упорного боя советские части овладели крепостной тюрьмой и радиостанцией. Не выдержав удара наших войск, немцы группами стали складывать оружие и сдаваться в плен. Сегодня во второй половине дня доблестные советские воины полностью овладели Цитаделью—основным узлом обороны противника в Познани.</w:t>
      </w:r>
    </w:p>
    <w:p w14:paraId="758E339A" w14:textId="77777777" w:rsidR="00D92245" w:rsidRPr="00925F26" w:rsidRDefault="00D92245" w:rsidP="00925F26">
      <w:pPr>
        <w:jc w:val="both"/>
        <w:rPr>
          <w:color w:val="000000" w:themeColor="text1"/>
          <w:sz w:val="16"/>
          <w:szCs w:val="16"/>
        </w:rPr>
      </w:pPr>
      <w:r w:rsidRPr="00925F26">
        <w:rPr>
          <w:color w:val="000000" w:themeColor="text1"/>
          <w:sz w:val="16"/>
          <w:szCs w:val="16"/>
        </w:rPr>
        <w:t>Город и крепость Познань являлись стратегически важным узлом обороны немцев на Берлинском направлении. Познань вместе с тем является крупным промышленным центром. За время войны немцы построили в городе ряд военных заводов и, кроме того, эвакуировали сюда некоторые военные предприятия из различных районов Германии. К городу сходятся 8 железных и много шоссейных дорог, связывающих западные районы Польши с Померанией, Бранденбургской провинцией и Силезией. Через Познань проходит железнодорожная магистраль Варшава — Берлин.</w:t>
      </w:r>
    </w:p>
    <w:p w14:paraId="6B5E874A" w14:textId="77777777" w:rsidR="00D92245" w:rsidRPr="00925F26" w:rsidRDefault="00D92245" w:rsidP="00925F26">
      <w:pPr>
        <w:jc w:val="both"/>
        <w:rPr>
          <w:color w:val="000000" w:themeColor="text1"/>
          <w:sz w:val="16"/>
          <w:szCs w:val="16"/>
        </w:rPr>
      </w:pPr>
      <w:r w:rsidRPr="00925F26">
        <w:rPr>
          <w:color w:val="000000" w:themeColor="text1"/>
          <w:sz w:val="16"/>
          <w:szCs w:val="16"/>
        </w:rPr>
        <w:t>В Бреслау наши войска продолжали бои по ликвидации окружённой в городе группировки противника. После упорных боёв советские части, наступающие с юга, прорвали оборону немцев, построенную вдоль железнодорожного обвода. Наши пехотинцы захватили радиостанцию, танковые и автомобильные ремонтные мастерские, а также очистили от гитлеровцев территорию южного парка. Ожесточённые бои происходит в южных кварталах города. Противник построил на перекрёстках улиц доты и оказывает упорное сопротивление. Советские штурмовые труппы, с боями продвигаясь вперёд, очищают от гитлеровцев один квартал за другим. Захвачено много вооружения, а также склады с военными материалами и боеприпасами.</w:t>
      </w:r>
    </w:p>
    <w:p w14:paraId="247914E6" w14:textId="77777777" w:rsidR="00D92245" w:rsidRPr="00925F26" w:rsidRDefault="00D92245" w:rsidP="00925F26">
      <w:pPr>
        <w:jc w:val="both"/>
        <w:rPr>
          <w:color w:val="000000" w:themeColor="text1"/>
          <w:sz w:val="16"/>
          <w:szCs w:val="16"/>
        </w:rPr>
      </w:pPr>
      <w:r w:rsidRPr="00925F26">
        <w:rPr>
          <w:color w:val="000000" w:themeColor="text1"/>
          <w:sz w:val="16"/>
          <w:szCs w:val="16"/>
        </w:rPr>
        <w:t>С огромным воодушевлением встретила вся Советская страна приказ Верховной Главнокомандующего Маршала Советского Союза товарища Сталина о 27-й годовщине Красной Армии. Во многих городах и сёлах Советского Союза, на заводах, в учреждениях, в колхозах состоялись многолюдные собрания и митинги. Советский народ горячо приветствует своего любимого вождя и полководца, организатора и вдохновителя исторических побед над врагом. Советский народ славит победоносную Красную Армию, в великих битвах против немецких захватчиков отстоявшую свободу и независимость нашей Родины.</w:t>
      </w:r>
    </w:p>
    <w:p w14:paraId="54238E80" w14:textId="77777777" w:rsidR="00D92245" w:rsidRPr="00925F26" w:rsidRDefault="00D92245" w:rsidP="00925F26">
      <w:pPr>
        <w:jc w:val="both"/>
        <w:rPr>
          <w:color w:val="000000" w:themeColor="text1"/>
          <w:sz w:val="16"/>
          <w:szCs w:val="16"/>
        </w:rPr>
      </w:pPr>
      <w:r w:rsidRPr="00925F26">
        <w:rPr>
          <w:color w:val="000000" w:themeColor="text1"/>
          <w:sz w:val="16"/>
          <w:szCs w:val="16"/>
        </w:rPr>
        <w:t>С исключительным подъёмом прошло обсуждение приказа товарища Сталина на московском заводе «Динамо» имени Кирова. Мастер литейного цеха тов. Курин в своей речи сказал: «Великий Сталин отметил возросшую силу и мощь нашей доблестной Красной Армии. Гитлеровцы хвастали, что более сотни лет немецкая земля не видала ни одного неприятельского солдата. Наглые и самоуверенные гитлеровцы уверяли, что немецкая армия воевала и будет воевать только на чужой территории. Красная Армия опровергла и опрокинула расчёты кичливых гитлеровцев. Красная Армия изгнала немцев из пределов советской земли и помогла народам Европы сбросить немецкое иго. Победоносная Красная Армия опирается на беззаветную поддержку всего советского народа. Теперь, в дни решающих боёв против немецко-фашистских захватчиков, труженики тыла ещё больше усилят свою помощь Красной Армии. Мы ничего не пожалеем для достижения полной и окончательной победы над немецкими захватчиками».</w:t>
      </w:r>
    </w:p>
    <w:p w14:paraId="731EA142" w14:textId="77777777" w:rsidR="00D92245" w:rsidRPr="00925F26" w:rsidRDefault="00D92245" w:rsidP="00925F26">
      <w:pPr>
        <w:jc w:val="both"/>
        <w:rPr>
          <w:color w:val="000000" w:themeColor="text1"/>
          <w:sz w:val="16"/>
          <w:szCs w:val="16"/>
        </w:rPr>
      </w:pPr>
      <w:r w:rsidRPr="00925F26">
        <w:rPr>
          <w:color w:val="000000" w:themeColor="text1"/>
          <w:sz w:val="16"/>
          <w:szCs w:val="16"/>
        </w:rPr>
        <w:t xml:space="preserve">В Ленинграде на собрании рабочих завода имени Сталина выступил стахановец Радионов. «Красная Армия, — заявил </w:t>
      </w:r>
      <w:proofErr w:type="gramStart"/>
      <w:r w:rsidRPr="00925F26">
        <w:rPr>
          <w:color w:val="000000" w:themeColor="text1"/>
          <w:sz w:val="16"/>
          <w:szCs w:val="16"/>
        </w:rPr>
        <w:t>он,—</w:t>
      </w:r>
      <w:proofErr w:type="gramEnd"/>
      <w:r w:rsidRPr="00925F26">
        <w:rPr>
          <w:color w:val="000000" w:themeColor="text1"/>
          <w:sz w:val="16"/>
          <w:szCs w:val="16"/>
        </w:rPr>
        <w:t xml:space="preserve"> обрушила на врага небывалый по силе удар л перенесла военные действия на территорию Германии. Война бушует на немецкой земле. С великой радостью восприняли мы сталинские слова о том, что полная победа над немцами теперь уже близка. Товарищ Сталин учит нас, что победа не приходит сама, она добывается в тяжёлых боях и в упорном труде. Мы заявляем, что будем неустанно трудиться и поможем нашей родной Красной Армии до конца выполнить великую освободительную миссию».</w:t>
      </w:r>
    </w:p>
    <w:p w14:paraId="791D5C3B" w14:textId="77777777" w:rsidR="00D92245" w:rsidRPr="00925F26" w:rsidRDefault="00D92245" w:rsidP="00925F26">
      <w:pPr>
        <w:jc w:val="both"/>
        <w:rPr>
          <w:color w:val="000000" w:themeColor="text1"/>
          <w:sz w:val="16"/>
          <w:szCs w:val="16"/>
        </w:rPr>
      </w:pPr>
      <w:r w:rsidRPr="00925F26">
        <w:rPr>
          <w:color w:val="000000" w:themeColor="text1"/>
          <w:sz w:val="16"/>
          <w:szCs w:val="16"/>
        </w:rPr>
        <w:lastRenderedPageBreak/>
        <w:t xml:space="preserve">В Харькове на собрании рабочих и инженерно-технических работников завода, где директором тов. Яковлев, с речью выступила револьверщица Крыжановская. «С непередаваемым волнением слушала я приказ Верховного </w:t>
      </w:r>
      <w:proofErr w:type="gramStart"/>
      <w:r w:rsidRPr="00925F26">
        <w:rPr>
          <w:color w:val="000000" w:themeColor="text1"/>
          <w:sz w:val="16"/>
          <w:szCs w:val="16"/>
        </w:rPr>
        <w:t>Главнокомандующего,—</w:t>
      </w:r>
      <w:proofErr w:type="gramEnd"/>
      <w:r w:rsidRPr="00925F26">
        <w:rPr>
          <w:color w:val="000000" w:themeColor="text1"/>
          <w:sz w:val="16"/>
          <w:szCs w:val="16"/>
        </w:rPr>
        <w:t xml:space="preserve"> сказала </w:t>
      </w:r>
      <w:proofErr w:type="gramStart"/>
      <w:r w:rsidRPr="00925F26">
        <w:rPr>
          <w:color w:val="000000" w:themeColor="text1"/>
          <w:sz w:val="16"/>
          <w:szCs w:val="16"/>
        </w:rPr>
        <w:t>она.—</w:t>
      </w:r>
      <w:proofErr w:type="gramEnd"/>
      <w:r w:rsidRPr="00925F26">
        <w:rPr>
          <w:color w:val="000000" w:themeColor="text1"/>
          <w:sz w:val="16"/>
          <w:szCs w:val="16"/>
        </w:rPr>
        <w:t xml:space="preserve"> Товарищ Сталин указал, что на четвёртом году войны Красная Армия стала крепче и сильнее, чем когда бы то ни было. Сердца советских людей преисполнены гордостью за свою любимую и славную Красную Армию» (15049).</w:t>
      </w:r>
    </w:p>
    <w:p w14:paraId="76683BFD" w14:textId="77777777" w:rsidR="00D92245" w:rsidRPr="00925F26" w:rsidRDefault="00D92245" w:rsidP="00925F26">
      <w:pPr>
        <w:jc w:val="both"/>
        <w:rPr>
          <w:color w:val="000000" w:themeColor="text1"/>
          <w:sz w:val="16"/>
          <w:szCs w:val="16"/>
        </w:rPr>
      </w:pPr>
    </w:p>
    <w:p w14:paraId="17D26328" w14:textId="77777777" w:rsidR="00D92245" w:rsidRPr="00925F26" w:rsidRDefault="00D92245" w:rsidP="00925F26">
      <w:pPr>
        <w:jc w:val="both"/>
        <w:rPr>
          <w:color w:val="000000" w:themeColor="text1"/>
          <w:sz w:val="16"/>
          <w:szCs w:val="16"/>
        </w:rPr>
      </w:pPr>
      <w:r w:rsidRPr="00925F26">
        <w:rPr>
          <w:bCs/>
          <w:color w:val="000000" w:themeColor="text1"/>
          <w:sz w:val="16"/>
          <w:szCs w:val="16"/>
        </w:rPr>
        <w:t>23 февраля</w:t>
      </w:r>
      <w:r w:rsidRPr="00925F26">
        <w:rPr>
          <w:color w:val="000000" w:themeColor="text1"/>
          <w:sz w:val="16"/>
          <w:szCs w:val="16"/>
        </w:rPr>
        <w:t xml:space="preserve"> в 1945 году войска 1-го Белорусского фронта уничтожили группировку немецко-фашистских войск в городе Познань (15049).</w:t>
      </w:r>
    </w:p>
    <w:p w14:paraId="7D32ADF3" w14:textId="77777777" w:rsidR="00D92245" w:rsidRPr="00925F26" w:rsidRDefault="00D92245" w:rsidP="00925F26">
      <w:pPr>
        <w:jc w:val="both"/>
        <w:rPr>
          <w:color w:val="000000" w:themeColor="text1"/>
          <w:sz w:val="16"/>
          <w:szCs w:val="16"/>
        </w:rPr>
      </w:pPr>
    </w:p>
    <w:p w14:paraId="1C483ADE" w14:textId="77777777" w:rsidR="00D92245" w:rsidRPr="00925F26" w:rsidRDefault="00D9224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февраля 1945 после месяца боев советские войска взяли Познань (Польша) (4962).</w:t>
      </w:r>
    </w:p>
    <w:p w14:paraId="1A07063B" w14:textId="77777777" w:rsidR="00D92245" w:rsidRPr="00925F26" w:rsidRDefault="00D92245" w:rsidP="00925F26">
      <w:pPr>
        <w:tabs>
          <w:tab w:val="left" w:pos="11199"/>
        </w:tabs>
        <w:autoSpaceDE w:val="0"/>
        <w:autoSpaceDN w:val="0"/>
        <w:adjustRightInd w:val="0"/>
        <w:jc w:val="both"/>
        <w:rPr>
          <w:color w:val="000000" w:themeColor="text1"/>
          <w:sz w:val="16"/>
          <w:szCs w:val="16"/>
        </w:rPr>
      </w:pPr>
    </w:p>
    <w:p w14:paraId="1A86C606" w14:textId="77777777" w:rsidR="00D92245" w:rsidRPr="00925F26" w:rsidRDefault="00D92245" w:rsidP="00925F26">
      <w:pPr>
        <w:autoSpaceDE w:val="0"/>
        <w:autoSpaceDN w:val="0"/>
        <w:adjustRightInd w:val="0"/>
        <w:jc w:val="both"/>
        <w:rPr>
          <w:color w:val="000000" w:themeColor="text1"/>
          <w:sz w:val="16"/>
          <w:szCs w:val="16"/>
        </w:rPr>
      </w:pPr>
      <w:r w:rsidRPr="00925F26">
        <w:rPr>
          <w:color w:val="000000" w:themeColor="text1"/>
          <w:sz w:val="16"/>
          <w:szCs w:val="16"/>
        </w:rPr>
        <w:t>С 23 февраля по 5 марта 1945 были тяжелые бои за Грауденц в Польше, где окружили большую группировку и взяли в плен 5 чел. (2438,195).</w:t>
      </w:r>
    </w:p>
    <w:p w14:paraId="3F679DAF" w14:textId="77777777" w:rsidR="00D92245" w:rsidRPr="00925F26" w:rsidRDefault="00D92245" w:rsidP="00925F26">
      <w:pPr>
        <w:autoSpaceDE w:val="0"/>
        <w:autoSpaceDN w:val="0"/>
        <w:adjustRightInd w:val="0"/>
        <w:jc w:val="both"/>
        <w:rPr>
          <w:color w:val="000000" w:themeColor="text1"/>
          <w:sz w:val="16"/>
          <w:szCs w:val="16"/>
        </w:rPr>
      </w:pPr>
    </w:p>
    <w:p w14:paraId="051923A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07AB3A3" w14:textId="77777777" w:rsidR="00665165" w:rsidRPr="00925F26" w:rsidRDefault="00665165" w:rsidP="00925F26">
      <w:pPr>
        <w:autoSpaceDE w:val="0"/>
        <w:autoSpaceDN w:val="0"/>
        <w:adjustRightInd w:val="0"/>
        <w:jc w:val="both"/>
        <w:rPr>
          <w:iCs/>
          <w:color w:val="000000" w:themeColor="text1"/>
          <w:sz w:val="16"/>
          <w:szCs w:val="16"/>
        </w:rPr>
      </w:pPr>
    </w:p>
    <w:p w14:paraId="6E4A3D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23 февраля по 17 апреля 1945 г. работала Московская комиссия для решения польского вопроса, созданная в Ялте. Молотов сделал все возможное для утверждения варшавского правительства в качестве единственной властной основы в Польше. Черчиль хотел придерживаться буквы достигнутого в Ялте компромиссного соглашения. Рузвельт скорее придерживался духа Ялты - полюбовного раздела сфер влияния с сильным советско-американским взаимодействием (3871).</w:t>
      </w:r>
    </w:p>
    <w:p w14:paraId="3125FD57" w14:textId="77777777" w:rsidR="00665165" w:rsidRPr="00925F26" w:rsidRDefault="00665165" w:rsidP="00925F26">
      <w:pPr>
        <w:autoSpaceDE w:val="0"/>
        <w:autoSpaceDN w:val="0"/>
        <w:adjustRightInd w:val="0"/>
        <w:jc w:val="both"/>
        <w:rPr>
          <w:color w:val="000000" w:themeColor="text1"/>
          <w:sz w:val="16"/>
          <w:szCs w:val="16"/>
        </w:rPr>
      </w:pPr>
    </w:p>
    <w:p w14:paraId="1974C21B" w14:textId="77777777" w:rsidR="00D92245" w:rsidRPr="00925F26" w:rsidRDefault="00D92245" w:rsidP="00925F26">
      <w:pPr>
        <w:jc w:val="both"/>
        <w:rPr>
          <w:color w:val="000000" w:themeColor="text1"/>
          <w:sz w:val="16"/>
          <w:szCs w:val="16"/>
        </w:rPr>
      </w:pPr>
      <w:r w:rsidRPr="00925F26">
        <w:rPr>
          <w:bCs/>
          <w:color w:val="000000" w:themeColor="text1"/>
          <w:sz w:val="16"/>
          <w:szCs w:val="16"/>
        </w:rPr>
        <w:t>23 февраля</w:t>
      </w:r>
      <w:r w:rsidRPr="00925F26">
        <w:rPr>
          <w:color w:val="000000" w:themeColor="text1"/>
          <w:sz w:val="16"/>
          <w:szCs w:val="16"/>
        </w:rPr>
        <w:t xml:space="preserve"> в 1945 году к награждению представлены сотрудники НКВД, НКГБ, "отличившиеся при организации работ, связанных с обеспечением охраны и обслуживания конференции в Ялте". Всего 1 021 человек получили ордена, в том числе орден Кутузова 1-ой степени - 10 человек, 2-ой степени - 15, орден Отечественной войны 1-ой степени - 99, 2-ой степени - 101, орден Красной Звезды - 373 человека. Среди награжденных были и 14 работников гостиницы "Интурист" (15049).</w:t>
      </w:r>
    </w:p>
    <w:p w14:paraId="2F4754EF" w14:textId="77777777" w:rsidR="00D92245" w:rsidRPr="00925F26" w:rsidRDefault="00D92245" w:rsidP="00925F26">
      <w:pPr>
        <w:jc w:val="both"/>
        <w:rPr>
          <w:color w:val="000000" w:themeColor="text1"/>
          <w:sz w:val="16"/>
          <w:szCs w:val="16"/>
        </w:rPr>
      </w:pPr>
    </w:p>
    <w:p w14:paraId="5E92277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8010DD9" w14:textId="77777777" w:rsidR="00665165" w:rsidRPr="00925F26" w:rsidRDefault="00665165" w:rsidP="00925F26">
      <w:pPr>
        <w:autoSpaceDE w:val="0"/>
        <w:autoSpaceDN w:val="0"/>
        <w:adjustRightInd w:val="0"/>
        <w:jc w:val="both"/>
        <w:rPr>
          <w:iCs/>
          <w:color w:val="000000" w:themeColor="text1"/>
          <w:sz w:val="16"/>
          <w:szCs w:val="16"/>
        </w:rPr>
      </w:pPr>
    </w:p>
    <w:p w14:paraId="626DA654" w14:textId="77777777" w:rsidR="00580BC7" w:rsidRPr="00925F26" w:rsidRDefault="00580BC7" w:rsidP="00925F26">
      <w:pPr>
        <w:jc w:val="both"/>
        <w:rPr>
          <w:color w:val="000000" w:themeColor="text1"/>
          <w:sz w:val="16"/>
          <w:szCs w:val="16"/>
        </w:rPr>
      </w:pPr>
      <w:r w:rsidRPr="00925F26">
        <w:rPr>
          <w:color w:val="000000" w:themeColor="text1"/>
          <w:sz w:val="16"/>
          <w:szCs w:val="16"/>
        </w:rPr>
        <w:t>23 февраля 1945 первый полет Bachem Ba 349 Natter (первый вертикальный пуск с ракетным двигателем) (20371).</w:t>
      </w:r>
    </w:p>
    <w:p w14:paraId="2392BE22" w14:textId="77777777" w:rsidR="00580BC7" w:rsidRPr="00925F26" w:rsidRDefault="00580BC7" w:rsidP="00925F26">
      <w:pPr>
        <w:jc w:val="both"/>
        <w:rPr>
          <w:color w:val="000000" w:themeColor="text1"/>
          <w:sz w:val="16"/>
          <w:szCs w:val="16"/>
        </w:rPr>
      </w:pPr>
    </w:p>
    <w:p w14:paraId="4B7CFCD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февраля 1945 в журнале “Дас Райх” немецкий министр пропаганды Й. Геббельс опубликовал статью, в которой предрекал, что СССР отгородит Восточную Европу от остального мира “железным занавесом” (4962).</w:t>
      </w:r>
    </w:p>
    <w:p w14:paraId="14FCE17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620A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Эйзенхауэр начал наступление в Рейнланд, а Турция объявила войну Германии (2100).</w:t>
      </w:r>
    </w:p>
    <w:p w14:paraId="0028E960" w14:textId="77777777" w:rsidR="00665165" w:rsidRPr="00925F26" w:rsidRDefault="00665165" w:rsidP="00925F26">
      <w:pPr>
        <w:autoSpaceDE w:val="0"/>
        <w:autoSpaceDN w:val="0"/>
        <w:adjustRightInd w:val="0"/>
        <w:jc w:val="both"/>
        <w:rPr>
          <w:color w:val="000000" w:themeColor="text1"/>
          <w:sz w:val="16"/>
          <w:szCs w:val="16"/>
        </w:rPr>
      </w:pPr>
    </w:p>
    <w:p w14:paraId="3C8DA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в Египте и Турции состоялось голосование о присоединении к союзникам против сил оси (2248,3).</w:t>
      </w:r>
    </w:p>
    <w:p w14:paraId="21739EBD" w14:textId="77777777" w:rsidR="00665165" w:rsidRPr="00925F26" w:rsidRDefault="00665165" w:rsidP="00925F26">
      <w:pPr>
        <w:autoSpaceDE w:val="0"/>
        <w:autoSpaceDN w:val="0"/>
        <w:adjustRightInd w:val="0"/>
        <w:jc w:val="both"/>
        <w:rPr>
          <w:color w:val="000000" w:themeColor="text1"/>
          <w:sz w:val="16"/>
          <w:szCs w:val="16"/>
        </w:rPr>
      </w:pPr>
    </w:p>
    <w:p w14:paraId="6B9D6F2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February 23, 1945: In the West, the US Ninth Army (Simpson) begins an offensive from its bridgeheads on the </w:t>
      </w:r>
      <w:proofErr w:type="gramStart"/>
      <w:r w:rsidRPr="00925F26">
        <w:rPr>
          <w:color w:val="000000" w:themeColor="text1"/>
          <w:sz w:val="16"/>
          <w:szCs w:val="16"/>
          <w:lang w:val="en-US"/>
        </w:rPr>
        <w:t>Roer river</w:t>
      </w:r>
      <w:proofErr w:type="gramEnd"/>
      <w:r w:rsidRPr="00925F26">
        <w:rPr>
          <w:color w:val="000000" w:themeColor="text1"/>
          <w:sz w:val="16"/>
          <w:szCs w:val="16"/>
          <w:lang w:val="en-US"/>
        </w:rPr>
        <w:t xml:space="preserve"> leading to the bloody battle of the Hurtgen Forest. In the Esat, the Red Army captures the isolated fortress city of Posen (3819).</w:t>
      </w:r>
    </w:p>
    <w:p w14:paraId="11BD4738" w14:textId="77777777" w:rsidR="00665165" w:rsidRPr="00925F26" w:rsidRDefault="00665165" w:rsidP="00925F26">
      <w:pPr>
        <w:autoSpaceDE w:val="0"/>
        <w:autoSpaceDN w:val="0"/>
        <w:adjustRightInd w:val="0"/>
        <w:jc w:val="both"/>
        <w:rPr>
          <w:color w:val="000000" w:themeColor="text1"/>
          <w:sz w:val="16"/>
          <w:szCs w:val="16"/>
          <w:lang w:val="en-US"/>
        </w:rPr>
      </w:pPr>
    </w:p>
    <w:p w14:paraId="2561D72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23 февраля 1945 9А США (Симпсон) начала наступление с плацдарма на Роер, которое привело к кровавой битве на Хуртгенею КАзахватилакрепостьПоссен</w:t>
      </w:r>
      <w:r w:rsidRPr="00925F26">
        <w:rPr>
          <w:color w:val="000000" w:themeColor="text1"/>
          <w:sz w:val="16"/>
          <w:szCs w:val="16"/>
          <w:lang w:val="en-US"/>
        </w:rPr>
        <w:t xml:space="preserve"> (3819).</w:t>
      </w:r>
    </w:p>
    <w:p w14:paraId="3586F823" w14:textId="77777777" w:rsidR="00665165" w:rsidRPr="00925F26" w:rsidRDefault="00665165" w:rsidP="00925F26">
      <w:pPr>
        <w:autoSpaceDE w:val="0"/>
        <w:autoSpaceDN w:val="0"/>
        <w:adjustRightInd w:val="0"/>
        <w:jc w:val="both"/>
        <w:rPr>
          <w:color w:val="000000" w:themeColor="text1"/>
          <w:sz w:val="16"/>
          <w:szCs w:val="16"/>
          <w:lang w:val="en-US"/>
        </w:rPr>
      </w:pPr>
    </w:p>
    <w:p w14:paraId="15EA26D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23, 1945 - A fire bomb test raid on Tokyo with 172 planes burns one square mile, the most destructive raid on Japan to date (1039).</w:t>
      </w:r>
    </w:p>
    <w:p w14:paraId="52DFDA12" w14:textId="77777777" w:rsidR="00665165" w:rsidRPr="00925F26" w:rsidRDefault="00665165" w:rsidP="00925F26">
      <w:pPr>
        <w:autoSpaceDE w:val="0"/>
        <w:autoSpaceDN w:val="0"/>
        <w:adjustRightInd w:val="0"/>
        <w:jc w:val="both"/>
        <w:rPr>
          <w:color w:val="000000" w:themeColor="text1"/>
          <w:sz w:val="16"/>
          <w:szCs w:val="16"/>
          <w:lang w:val="en-US"/>
        </w:rPr>
      </w:pPr>
    </w:p>
    <w:p w14:paraId="70BDBC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состоялся налет на Токио 172 бомбардировщиков с зажигательными бомбами, которые полностью уничтожили одну квадратную милю города (1039).</w:t>
      </w:r>
    </w:p>
    <w:p w14:paraId="39F86404" w14:textId="77777777" w:rsidR="00665165" w:rsidRPr="00925F26" w:rsidRDefault="00665165" w:rsidP="00925F26">
      <w:pPr>
        <w:autoSpaceDE w:val="0"/>
        <w:autoSpaceDN w:val="0"/>
        <w:adjustRightInd w:val="0"/>
        <w:jc w:val="both"/>
        <w:rPr>
          <w:color w:val="000000" w:themeColor="text1"/>
          <w:sz w:val="16"/>
          <w:szCs w:val="16"/>
        </w:rPr>
      </w:pPr>
    </w:p>
    <w:p w14:paraId="0921B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февраля 1945 морские пехотинцы США водрузили флаг на горе в Иводзиме (2248,3).</w:t>
      </w:r>
    </w:p>
    <w:p w14:paraId="6D6EF65E" w14:textId="77777777" w:rsidR="00665165" w:rsidRPr="00925F26" w:rsidRDefault="00665165" w:rsidP="00925F26">
      <w:pPr>
        <w:autoSpaceDE w:val="0"/>
        <w:autoSpaceDN w:val="0"/>
        <w:adjustRightInd w:val="0"/>
        <w:jc w:val="both"/>
        <w:rPr>
          <w:color w:val="000000" w:themeColor="text1"/>
          <w:sz w:val="16"/>
          <w:szCs w:val="16"/>
        </w:rPr>
      </w:pPr>
    </w:p>
    <w:p w14:paraId="4BDE1AC5" w14:textId="77777777" w:rsidR="00580BC7" w:rsidRPr="00925F26" w:rsidRDefault="00580BC7" w:rsidP="00925F26">
      <w:pPr>
        <w:jc w:val="both"/>
        <w:rPr>
          <w:color w:val="000000" w:themeColor="text1"/>
          <w:sz w:val="16"/>
          <w:szCs w:val="16"/>
        </w:rPr>
      </w:pPr>
      <w:r w:rsidRPr="00925F26">
        <w:rPr>
          <w:color w:val="000000" w:themeColor="text1"/>
          <w:sz w:val="16"/>
          <w:szCs w:val="16"/>
        </w:rPr>
        <w:t>23 февраля - 2 марта 1945 эскадрилья ночных истребителей на борту авианосца «Энтерпрайз» (CV-6), действующего у Иводзимы, удерживает самолеты в воздухе рекордные 174 часа подряд (20371).</w:t>
      </w:r>
    </w:p>
    <w:p w14:paraId="22B5CDE3" w14:textId="77777777" w:rsidR="00580BC7" w:rsidRPr="00925F26" w:rsidRDefault="00580BC7" w:rsidP="00925F26">
      <w:pPr>
        <w:jc w:val="both"/>
        <w:rPr>
          <w:color w:val="000000" w:themeColor="text1"/>
          <w:sz w:val="16"/>
          <w:szCs w:val="16"/>
        </w:rPr>
      </w:pPr>
    </w:p>
    <w:p w14:paraId="54EE65D0" w14:textId="77777777" w:rsidR="00D92245" w:rsidRPr="00925F26" w:rsidRDefault="00D92245" w:rsidP="00925F26">
      <w:pPr>
        <w:jc w:val="both"/>
        <w:rPr>
          <w:color w:val="000000" w:themeColor="text1"/>
          <w:sz w:val="16"/>
          <w:szCs w:val="16"/>
        </w:rPr>
      </w:pPr>
      <w:r w:rsidRPr="00925F26">
        <w:rPr>
          <w:bCs/>
          <w:color w:val="000000" w:themeColor="text1"/>
          <w:sz w:val="16"/>
          <w:szCs w:val="16"/>
        </w:rPr>
        <w:t>23 февраля</w:t>
      </w:r>
      <w:r w:rsidRPr="00925F26">
        <w:rPr>
          <w:color w:val="000000" w:themeColor="text1"/>
          <w:sz w:val="16"/>
          <w:szCs w:val="16"/>
        </w:rPr>
        <w:t xml:space="preserve"> в 1945 году рота Е 2-го батальона 28-го полка 5-й дивизии морской пехоты США овладела горой Сурибаши , господствующей высотой острова Иводжима. Фотография шестерых морских пехотинцев водружающих флаг на горе , сделанная фотографом Ассошиэйтид Пресс Джо Розенталем, стала одной из самых знаменитых фотографий Второй мировой войны (15049).</w:t>
      </w:r>
    </w:p>
    <w:p w14:paraId="58C4CB88" w14:textId="77777777" w:rsidR="00D92245" w:rsidRPr="00925F26" w:rsidRDefault="00D92245" w:rsidP="00925F26">
      <w:pPr>
        <w:jc w:val="both"/>
        <w:rPr>
          <w:color w:val="000000" w:themeColor="text1"/>
          <w:sz w:val="16"/>
          <w:szCs w:val="16"/>
        </w:rPr>
      </w:pPr>
    </w:p>
    <w:p w14:paraId="10C0FAA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65B73E9" w14:textId="77777777" w:rsidR="00665165" w:rsidRPr="00925F26" w:rsidRDefault="00665165" w:rsidP="00925F26">
      <w:pPr>
        <w:autoSpaceDE w:val="0"/>
        <w:autoSpaceDN w:val="0"/>
        <w:adjustRightInd w:val="0"/>
        <w:jc w:val="both"/>
        <w:rPr>
          <w:iCs/>
          <w:color w:val="000000" w:themeColor="text1"/>
          <w:sz w:val="16"/>
          <w:szCs w:val="16"/>
        </w:rPr>
      </w:pPr>
    </w:p>
    <w:p w14:paraId="0D7A9C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нач. 1У НИИ ВВС гмиас Сафонов и 26 февраля 1945 Зам. Нач. НИИ ВВС глиас Лосюков подписали Заключение по госиспытаниям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33DDE7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февраля 1945 в НИИ ВВС закончились испытания Ил-2 N 18840122 с АМ-38Ф и винтом АВ-5Л-158 производства 18 завода, изготовленного в ноябре 1944, которые проводились с 25 января.</w:t>
      </w:r>
    </w:p>
    <w:p w14:paraId="631429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23 января 1945 в НИИ ВВС поступил на гос. испытания </w:t>
      </w:r>
    </w:p>
    <w:p w14:paraId="179B33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состоялись с 25 января по 19 февраля 1945 в НИИ ВВС.</w:t>
      </w:r>
    </w:p>
    <w:p w14:paraId="38216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w:t>
      </w:r>
      <w:proofErr w:type="gramStart"/>
      <w:r w:rsidRPr="00925F26">
        <w:rPr>
          <w:color w:val="000000" w:themeColor="text1"/>
          <w:sz w:val="16"/>
          <w:szCs w:val="16"/>
        </w:rPr>
        <w:t>.</w:t>
      </w:r>
      <w:proofErr w:type="gramEnd"/>
      <w:r w:rsidRPr="00925F26">
        <w:rPr>
          <w:color w:val="000000" w:themeColor="text1"/>
          <w:sz w:val="16"/>
          <w:szCs w:val="16"/>
        </w:rPr>
        <w:t xml:space="preserve"> и ип/п П.Т.Аброщенко</w:t>
      </w:r>
    </w:p>
    <w:p w14:paraId="74CC86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л-к 5 отд. 1У ГК НИИ ВВС к-н Г.А.Тиняков, подписал 22 февраля</w:t>
      </w:r>
    </w:p>
    <w:p w14:paraId="6544CB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гм-р Стефановский - подписал 23 февраля</w:t>
      </w:r>
    </w:p>
    <w:p w14:paraId="1B2DEB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5 отд. по л/ч п/п Долгов</w:t>
      </w:r>
    </w:p>
    <w:p w14:paraId="4BBC78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Установлены кнопки управления передатчиком на ручкуе сектора нормального газа</w:t>
      </w:r>
    </w:p>
    <w:p w14:paraId="186F92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система газового запуска холодного мотора</w:t>
      </w:r>
    </w:p>
    <w:p w14:paraId="0B4285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Предъявлен на испытания 23 января</w:t>
      </w:r>
    </w:p>
    <w:p w14:paraId="11F990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полетов, налет 10:50</w:t>
      </w:r>
    </w:p>
    <w:p w14:paraId="2E2BB4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4644 кг, загруженного с-та с нормальной нагрузкой - 6325, ц/т 27,5%</w:t>
      </w:r>
    </w:p>
    <w:p w14:paraId="5DC360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Угол капотирования при торможении 30Ж20</w:t>
      </w:r>
    </w:p>
    <w:p w14:paraId="2B46F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состоит из:</w:t>
      </w:r>
    </w:p>
    <w:p w14:paraId="5B7841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- 190 кг</w:t>
      </w:r>
    </w:p>
    <w:p w14:paraId="2F6314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- 545 кг (0,747)</w:t>
      </w:r>
    </w:p>
    <w:p w14:paraId="0712F7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- 65 кг</w:t>
      </w:r>
    </w:p>
    <w:p w14:paraId="7DB976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- 400 кг</w:t>
      </w:r>
    </w:p>
    <w:p w14:paraId="4F0D60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2хВЯ - 132 кг, патроны к пушке (300) - 168 кг</w:t>
      </w:r>
    </w:p>
    <w:p w14:paraId="4F310E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УБТ - 21 кг, патроны (150) - 27</w:t>
      </w:r>
    </w:p>
    <w:p w14:paraId="27FE5E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2хШКАС - 21 кг, патронов ШКАС (1500) - 51 кг</w:t>
      </w:r>
    </w:p>
    <w:p w14:paraId="646F41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снарядов РС (4хРС-82) - 27 кг</w:t>
      </w:r>
    </w:p>
    <w:p w14:paraId="1B421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w:t>
      </w:r>
    </w:p>
    <w:p w14:paraId="52C081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- 15</w:t>
      </w:r>
    </w:p>
    <w:p w14:paraId="3E4202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вооружения - 29</w:t>
      </w:r>
    </w:p>
    <w:p w14:paraId="05610A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- 1681 кг</w:t>
      </w:r>
    </w:p>
    <w:p w14:paraId="76CCF4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ЛТД</w:t>
      </w:r>
    </w:p>
    <w:p w14:paraId="2FCF1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405 км/час на 1200 м</w:t>
      </w:r>
    </w:p>
    <w:p w14:paraId="3745A4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1000 м - 2,6 мин., на 3000 м - 8,8 мин.</w:t>
      </w:r>
    </w:p>
    <w:p w14:paraId="05D47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5800 м, набор за 38 мин.</w:t>
      </w:r>
    </w:p>
    <w:p w14:paraId="4266CF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Макс. скорость мерилась при закрытых фонарях кабины л и стрелка,Ю окрытых полностью заслонках водо и маслорадиатора</w:t>
      </w:r>
    </w:p>
    <w:p w14:paraId="7D3DB8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при весе 6325 и 2050 оборотах и Ра 1220</w:t>
      </w:r>
    </w:p>
    <w:p w14:paraId="43DD8F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0 - 6,3</w:t>
      </w:r>
    </w:p>
    <w:p w14:paraId="25DBD2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850 - 6,8</w:t>
      </w:r>
    </w:p>
    <w:p w14:paraId="7D38AE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3000 - 4</w:t>
      </w:r>
    </w:p>
    <w:p w14:paraId="02934E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5800 - ,5</w:t>
      </w:r>
    </w:p>
    <w:p w14:paraId="683036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 эксплуатируется на бензине 4Б-78 и масле АО-8 М6</w:t>
      </w:r>
    </w:p>
    <w:p w14:paraId="1CB89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Тиняков: управляемость с-та - хорошая, усилия на ручке - не большие (804,4)</w:t>
      </w:r>
    </w:p>
    <w:p w14:paraId="7102DD98" w14:textId="77777777" w:rsidR="00665165" w:rsidRPr="00925F26" w:rsidRDefault="00665165" w:rsidP="00925F26">
      <w:pPr>
        <w:autoSpaceDE w:val="0"/>
        <w:autoSpaceDN w:val="0"/>
        <w:adjustRightInd w:val="0"/>
        <w:jc w:val="both"/>
        <w:rPr>
          <w:color w:val="000000" w:themeColor="text1"/>
          <w:sz w:val="16"/>
          <w:szCs w:val="16"/>
        </w:rPr>
      </w:pPr>
    </w:p>
    <w:p w14:paraId="15FC0795" w14:textId="77777777" w:rsidR="0061576E" w:rsidRPr="00925F26" w:rsidRDefault="0061576E"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 24 февраля 1945 в СКО завода № 18 была разработана новая конструкция дополнительной заслонки наружного патрубка. Верхняя половина этой заслонки состояла из сетки типа «Дельбак», а внутренняя заслонка в положении на земле оставляла щель для прохода воздуха через наружный патрубок.</w:t>
      </w:r>
    </w:p>
    <w:p w14:paraId="00BBA03F"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В течение месяца измененный всасывающий патрубок проходил наземные и летные испытания на Ил-10 зав. № 1890404. Однако положительного результата получить все же не удалось. Наддув при взлете самолета с выпущенным и убранным шасси при оборотах 2 500 об/мин получался всего 1480 мм рт. ст. вместо необходимого взлетного наддува 1560±25 мм рт. ст.</w:t>
      </w:r>
    </w:p>
    <w:p w14:paraId="38FF3E72"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С целью определения влияния снижения взлетного наддува были проведены сравнительные замеры длины разбега самолета зав. № 1890404 с наружной заслонкой и без нее.</w:t>
      </w:r>
    </w:p>
    <w:p w14:paraId="330B5FAD"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Оказалось, что с закрытой наружной заслонкой разбег составил 370,05 (усредненный за 10 взлетов), а с открытой заслонкой - 341,7 м (в среднем за 26 взлетов).</w:t>
      </w:r>
    </w:p>
    <w:p w14:paraId="566240FE"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Пришлось разрабатывать новую конструкцию всасывающего патрубка. В очередном варианте на входе в патрубок была установлена глухая заслонка, кинематически связанная с системой уборки и выпуска шасси. Позади патрубка размещался воздухоочистительный фильтр из сетки «Дельбак». Когда шасси выпущено, заслонка перекрывала входное отверстие, а воздух поступал через сетчатый фильтр. При убранном положении шасси заслонка открывала свободный доступ воздуху. Внутри самого патрубка имелась сетка с ячейками 15^15 мм для удержания крупных предметов.</w:t>
      </w:r>
    </w:p>
    <w:p w14:paraId="1264459D"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К 20 апреля новый вариант всасывающего патрубка был смонтирован на Ил-10 зав. № 1890404 и с положительным результатом испытан на земле и в воздухе.</w:t>
      </w:r>
    </w:p>
    <w:p w14:paraId="2BCF5CBF"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4D25D484"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 xml:space="preserve">Кроме этого, в стенках тоннелей водорадиатора с обеих сторон были сделаны вырезы общей площадью 560 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закрытые сеткой «Дельбак» в один слой.</w:t>
      </w:r>
    </w:p>
    <w:p w14:paraId="3F56B095"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7BC11BCB" w14:textId="77777777" w:rsidR="0061576E" w:rsidRPr="00925F26" w:rsidRDefault="0061576E"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3A542884" w14:textId="77777777" w:rsidR="0061576E" w:rsidRPr="00925F26" w:rsidRDefault="0061576E" w:rsidP="00925F26">
      <w:pPr>
        <w:jc w:val="both"/>
        <w:rPr>
          <w:rStyle w:val="107"/>
          <w:rFonts w:eastAsiaTheme="minorHAnsi"/>
          <w:color w:val="000000" w:themeColor="text1"/>
          <w:sz w:val="16"/>
          <w:szCs w:val="16"/>
        </w:rPr>
      </w:pPr>
    </w:p>
    <w:p w14:paraId="49A32D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года начальник штаба ВВС маршал авиации Худяков писал письмо N 626053с Шахурину.</w:t>
      </w:r>
    </w:p>
    <w:p w14:paraId="14225B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N И-32/774.</w:t>
      </w:r>
    </w:p>
    <w:p w14:paraId="051A92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Предоставить в Ваше распоряжение самолет "Либерейтор Б-24Д" не представляется возможным, т.к. этот самолет является у нас единственным и на нем проходит обучение летный и технический состав 18 воздушной армии (1879,140).</w:t>
      </w:r>
    </w:p>
    <w:p w14:paraId="676D8F83" w14:textId="77777777" w:rsidR="00665165" w:rsidRPr="00925F26" w:rsidRDefault="00665165" w:rsidP="00925F26">
      <w:pPr>
        <w:autoSpaceDE w:val="0"/>
        <w:autoSpaceDN w:val="0"/>
        <w:adjustRightInd w:val="0"/>
        <w:jc w:val="both"/>
        <w:rPr>
          <w:color w:val="000000" w:themeColor="text1"/>
          <w:sz w:val="16"/>
          <w:szCs w:val="16"/>
        </w:rPr>
      </w:pPr>
    </w:p>
    <w:p w14:paraId="712788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закончились заводские испытания в Ла-7Р-1, которые начались с 27 октября 1944. А.В.Давыдов выполнил 15 полетов, включая 5 с включением ЖРД. Всего было 57 огневых пусков ЖРД на земле и 6 в воздухе (2234,6).</w:t>
      </w:r>
    </w:p>
    <w:p w14:paraId="14A6D6E4" w14:textId="77777777" w:rsidR="00665165" w:rsidRPr="00925F26" w:rsidRDefault="00665165" w:rsidP="00925F26">
      <w:pPr>
        <w:autoSpaceDE w:val="0"/>
        <w:autoSpaceDN w:val="0"/>
        <w:adjustRightInd w:val="0"/>
        <w:jc w:val="both"/>
        <w:rPr>
          <w:color w:val="000000" w:themeColor="text1"/>
          <w:sz w:val="16"/>
          <w:szCs w:val="16"/>
        </w:rPr>
      </w:pPr>
    </w:p>
    <w:p w14:paraId="5F8E95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24 февраля 1945 г. состоялось лишь 15 полётов Ла-7Р-1, из них только пять с включением ЖРД, после чего машине потребовался ремонт. В начале ноября 1944 лётчик А.В. Давыдов выполнил на Ла-7Р-1 первый полёт.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Причин для задержки испытаний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7C06B9E7" w14:textId="77777777" w:rsidR="00665165" w:rsidRPr="00925F26" w:rsidRDefault="00665165" w:rsidP="00925F26">
      <w:pPr>
        <w:autoSpaceDE w:val="0"/>
        <w:autoSpaceDN w:val="0"/>
        <w:adjustRightInd w:val="0"/>
        <w:jc w:val="both"/>
        <w:rPr>
          <w:color w:val="000000" w:themeColor="text1"/>
          <w:sz w:val="16"/>
          <w:szCs w:val="16"/>
        </w:rPr>
      </w:pPr>
    </w:p>
    <w:p w14:paraId="2916CE2D" w14:textId="77777777" w:rsidR="00010A2F" w:rsidRPr="00925F26" w:rsidRDefault="00010A2F"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завершились программные заводские испытания и самолет </w:t>
      </w:r>
      <w:hyperlink r:id="rId47" w:tgtFrame="_blank" w:history="1">
        <w:r w:rsidRPr="00925F26">
          <w:rPr>
            <w:color w:val="000000" w:themeColor="text1"/>
            <w:sz w:val="16"/>
            <w:szCs w:val="16"/>
          </w:rPr>
          <w:t xml:space="preserve">«Ла-7Р-1» </w:t>
        </w:r>
      </w:hyperlink>
      <w:r w:rsidRPr="00925F26">
        <w:rPr>
          <w:color w:val="000000" w:themeColor="text1"/>
          <w:sz w:val="16"/>
          <w:szCs w:val="16"/>
        </w:rPr>
        <w:t>был поставлен на ремонт. Всего летчик-испытатель А.В.Давыдов произвел 15 полетов, в том числе пять - с включением «РД-1». Общее количество огневых запусков ЖРД составило: пятьдесят семь - на земле и шесть - в воздухе. Заводские испытания «Ла-7Р-1» начались 27 октября 1944 г. В первых числах ноября на нем совершили два полета для опробования винтомоторной группы (ВМГ) без включения ЖРД. При последующих наземных испытаниях «РД-1» обнаружилось, что крутящий момент, создаваемый приводом от «АШ-82ФН» к насосному агрегату ЖРД, недостаточен. После устранения дефекта летные испытания продолжились. С целью отработки «РД-1» на высотах 3000-3200 м произвели 6-8 зажиганий и 4 огневых запуска двигателя «РД-1», причем два огневых запуска - до полной выработки компонентов топлива. Зажигание и огневой запуск проходили нормально. Но по мере выработки топлива, примерно через две с половиной минуты, возникла пульсация в выхлопе «РД-1» и давление в камере сгорания колебалась до 8 атмосфер. Три полета были посвящены отработке повторных огневых запусков ЖРД. В первом из них двигатель отказал полностью; во втором -- после первого запуска он проработал 15 секунд, а при повторном - отказал; в третьем - в двух пусках «РД-1» проработал по 15 секунд, но при еще одной попытке запуска отказал. Установить причину отказов так и не удалось. В трех других полетах определялись максимальные горизонтальные скорости на высоте 3000 метров на номинальном режиме работы «АШ-82ФН» с неработающим и работающим ЖРД. В наиболее удачном третьем полете прирост скорости за счет работы «РД-1» составил 85 км/ч (15050).</w:t>
      </w:r>
    </w:p>
    <w:p w14:paraId="6AF0668B" w14:textId="77777777" w:rsidR="00010A2F" w:rsidRPr="00925F26" w:rsidRDefault="00010A2F" w:rsidP="00925F26">
      <w:pPr>
        <w:jc w:val="both"/>
        <w:rPr>
          <w:color w:val="000000" w:themeColor="text1"/>
          <w:sz w:val="16"/>
          <w:szCs w:val="16"/>
        </w:rPr>
      </w:pPr>
    </w:p>
    <w:p w14:paraId="1AAEE016" w14:textId="77777777" w:rsidR="00F94B6C" w:rsidRPr="001A0BAA" w:rsidRDefault="00F94B6C" w:rsidP="00F94B6C">
      <w:pPr>
        <w:jc w:val="both"/>
        <w:rPr>
          <w:color w:val="0070C0"/>
          <w:sz w:val="16"/>
          <w:szCs w:val="16"/>
        </w:rPr>
      </w:pPr>
      <w:r w:rsidRPr="001A0BAA">
        <w:rPr>
          <w:color w:val="0070C0"/>
          <w:sz w:val="16"/>
          <w:szCs w:val="16"/>
        </w:rPr>
        <w:t>24 февраля 1945 г. завершились программные заводские испытания, и самолет Ла-7Р-1 был поставлен на ремонт. Всего летчик-испытатель А. В. Давыдов произвел 15 полетов, в том числе пять - с включением РД-1. Общее количество огневых запусков ЖРД составило: пятьдесят семь - на земле и шесть - в воздухе. Второй экземпляр Ла-7Р-2 построили на 81-ом заводе в основном из агрегатов Ла-7 пятьдесят первой серии. В отличие от Ла-7Р-1, являвшегося только летающей лабораторией, этот самолет обладал лучшей аэродинамикой. В 1945 г. Ла-7Р-2 вышел на летные испытания. С 26 января по 27 марта на нем произвели 19 полетов, 45 пусков ЖРД, в том числе шесть - в воздухе. В двух пусках РД-1 в полете были сняты площадки. 1 марта на высоте 2700 м двигатель проработал полторы минуты, после чего из-за пульсации в камере сгорания его пришлось выключить. Прирост скорости составил 80 км/ч по прибору, а 10 марта на высоте 2600 метров РД-1 прибавил около 95 км/ч. В целом двигатель работал плохо, в 15 запусках из 45 он отказывал, причем в шести случаях - по вине зажигания (24925).</w:t>
      </w:r>
    </w:p>
    <w:p w14:paraId="41D76DC8" w14:textId="77777777" w:rsidR="00F94B6C" w:rsidRPr="001A0BAA" w:rsidRDefault="00F94B6C" w:rsidP="00F94B6C">
      <w:pPr>
        <w:jc w:val="both"/>
        <w:rPr>
          <w:color w:val="0070C0"/>
          <w:sz w:val="16"/>
          <w:szCs w:val="16"/>
        </w:rPr>
      </w:pPr>
    </w:p>
    <w:p w14:paraId="239AC64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3B64FB8" w14:textId="77777777" w:rsidR="00665165" w:rsidRPr="00925F26" w:rsidRDefault="00665165" w:rsidP="00925F26">
      <w:pPr>
        <w:autoSpaceDE w:val="0"/>
        <w:autoSpaceDN w:val="0"/>
        <w:adjustRightInd w:val="0"/>
        <w:jc w:val="both"/>
        <w:rPr>
          <w:iCs/>
          <w:color w:val="000000" w:themeColor="text1"/>
          <w:sz w:val="16"/>
          <w:szCs w:val="16"/>
        </w:rPr>
      </w:pPr>
    </w:p>
    <w:p w14:paraId="64310854" w14:textId="77777777" w:rsidR="0067688E" w:rsidRPr="001A0BAA" w:rsidRDefault="0067688E" w:rsidP="0067688E">
      <w:pPr>
        <w:jc w:val="both"/>
        <w:rPr>
          <w:color w:val="0070C0"/>
          <w:sz w:val="16"/>
          <w:szCs w:val="16"/>
        </w:rPr>
      </w:pPr>
      <w:r w:rsidRPr="001A0BAA">
        <w:rPr>
          <w:color w:val="0070C0"/>
          <w:sz w:val="16"/>
          <w:szCs w:val="16"/>
        </w:rPr>
        <w:t>24 февраля 1945 года, несмотря на решения ГКО, строительство нового автозавода в Ульяновске по-прежнему продвигалось очень медленно. В этот день исполняющий обязанности директора завода Е.А. Дундуков обратился к ряду высших руководителей страны, сообщая, в частности: «Строительство Ульяновского автозавода имени Сталина, осуществляемое Наркоматом по строительству, продвигается крайне медленно и, по сути, находится в состоянии консервации…».</w:t>
      </w:r>
    </w:p>
    <w:p w14:paraId="48197DE5" w14:textId="77777777" w:rsidR="0067688E" w:rsidRPr="001A0BAA" w:rsidRDefault="0067688E" w:rsidP="0067688E">
      <w:pPr>
        <w:jc w:val="both"/>
        <w:rPr>
          <w:color w:val="0070C0"/>
          <w:sz w:val="16"/>
          <w:szCs w:val="16"/>
        </w:rPr>
      </w:pPr>
      <w:r w:rsidRPr="001A0BAA">
        <w:rPr>
          <w:color w:val="0070C0"/>
          <w:sz w:val="16"/>
          <w:szCs w:val="16"/>
        </w:rPr>
        <w:t>На 1945 год перед Ульяновским заводом имени Сталина (УльЗИС) и ОСМЧ-18 была поставлена задача создать комплекс промышленных, энергетических и жилых объектов, необходимых для освоения и начала производства дизельных двигателей. Для этого ОСМЧ-18 должен был передать заводу под монтаж литейный, кузнечный, дизель-моторный и инструментальный цеха, а также один из ключевых объектов строительства – ТЭЦ (25592).</w:t>
      </w:r>
    </w:p>
    <w:p w14:paraId="14FF8BF1" w14:textId="77777777" w:rsidR="0067688E" w:rsidRPr="001A0BAA" w:rsidRDefault="0067688E" w:rsidP="0067688E">
      <w:pPr>
        <w:jc w:val="both"/>
        <w:rPr>
          <w:color w:val="0070C0"/>
          <w:sz w:val="16"/>
          <w:szCs w:val="16"/>
        </w:rPr>
      </w:pPr>
    </w:p>
    <w:p w14:paraId="041CED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вышло Распоряжение ГКО № 7589. О мерах по обеспечению Златоустовского металлургического завода НКЧМ мазутом для выплавки качественных сталей. РГАНИР, Фонд ГКО, д. 373, лл. 47 (11012).</w:t>
      </w:r>
    </w:p>
    <w:p w14:paraId="64DDC43F" w14:textId="77777777" w:rsidR="00665165" w:rsidRPr="00925F26" w:rsidRDefault="00665165" w:rsidP="00925F26">
      <w:pPr>
        <w:autoSpaceDE w:val="0"/>
        <w:autoSpaceDN w:val="0"/>
        <w:adjustRightInd w:val="0"/>
        <w:jc w:val="both"/>
        <w:rPr>
          <w:color w:val="000000" w:themeColor="text1"/>
          <w:sz w:val="16"/>
          <w:szCs w:val="16"/>
        </w:rPr>
      </w:pPr>
    </w:p>
    <w:p w14:paraId="2ABE8EF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B803B2D" w14:textId="77777777" w:rsidR="00665165" w:rsidRPr="00925F26" w:rsidRDefault="00665165" w:rsidP="00925F26">
      <w:pPr>
        <w:autoSpaceDE w:val="0"/>
        <w:autoSpaceDN w:val="0"/>
        <w:adjustRightInd w:val="0"/>
        <w:jc w:val="both"/>
        <w:rPr>
          <w:iCs/>
          <w:color w:val="000000" w:themeColor="text1"/>
          <w:sz w:val="16"/>
          <w:szCs w:val="16"/>
        </w:rPr>
      </w:pPr>
    </w:p>
    <w:p w14:paraId="316B2130" w14:textId="77777777" w:rsidR="002E6E09" w:rsidRPr="00925F26" w:rsidRDefault="002E6E09"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оперативная сводка Совинформбюро:</w:t>
      </w:r>
    </w:p>
    <w:p w14:paraId="75E50161" w14:textId="77777777" w:rsidR="002E6E09" w:rsidRPr="00925F26" w:rsidRDefault="002E6E09" w:rsidP="00925F26">
      <w:pPr>
        <w:jc w:val="both"/>
        <w:rPr>
          <w:color w:val="000000" w:themeColor="text1"/>
          <w:sz w:val="16"/>
          <w:szCs w:val="16"/>
        </w:rPr>
      </w:pPr>
      <w:r w:rsidRPr="00925F26">
        <w:rPr>
          <w:color w:val="000000" w:themeColor="text1"/>
          <w:sz w:val="16"/>
          <w:szCs w:val="16"/>
        </w:rPr>
        <w:lastRenderedPageBreak/>
        <w:t>«В течение 24 февраля на Земландском полуострове северо-западнее Кенигсберга наши войска отбивали атаки пехоты и танков противника. Одновременно юго-западнее Кенигсберга наши войска вели бои по уничтожению Восточно-Прусской группировки противника и овладели населёнными пунктами Эккер, Кукенен, Лангендорф, Квишен, Пербанден, Шенеберг, Раушбах, Антикен, Швиллгарбен.</w:t>
      </w:r>
    </w:p>
    <w:p w14:paraId="6D72E95C" w14:textId="77777777" w:rsidR="002E6E09" w:rsidRPr="00925F26" w:rsidRDefault="002E6E09" w:rsidP="00925F26">
      <w:pPr>
        <w:jc w:val="both"/>
        <w:rPr>
          <w:color w:val="000000" w:themeColor="text1"/>
          <w:sz w:val="16"/>
          <w:szCs w:val="16"/>
        </w:rPr>
      </w:pPr>
      <w:r w:rsidRPr="00925F26">
        <w:rPr>
          <w:color w:val="000000" w:themeColor="text1"/>
          <w:sz w:val="16"/>
          <w:szCs w:val="16"/>
        </w:rPr>
        <w:t>Южнее и юго-западнее Данцига наши войска в результате наступательных боёв овладели населёнными пунктами Жеронжно, Максхаузен, Вельбрандово, Оссово, Замосц, Клодня, Гросс-Иенцник, Моссин, Штайнборн, Штретцин. В городе Грудзяндз (Грауденц) продолжались бои по уничтожению окружённого гарнизона противника.</w:t>
      </w:r>
    </w:p>
    <w:p w14:paraId="6C6F69D4" w14:textId="77777777" w:rsidR="002E6E09" w:rsidRPr="00925F26" w:rsidRDefault="002E6E09" w:rsidP="00925F26">
      <w:pPr>
        <w:jc w:val="both"/>
        <w:rPr>
          <w:color w:val="000000" w:themeColor="text1"/>
          <w:sz w:val="16"/>
          <w:szCs w:val="16"/>
        </w:rPr>
      </w:pPr>
      <w:r w:rsidRPr="00925F26">
        <w:rPr>
          <w:color w:val="000000" w:themeColor="text1"/>
          <w:sz w:val="16"/>
          <w:szCs w:val="16"/>
        </w:rPr>
        <w:t>В районе Бреслау наши войска, продолжая бои по уничтожению окружённом в городе группировки противника, овладели пригородом Ольташин и заняли 15 кварталов в южной части города.</w:t>
      </w:r>
    </w:p>
    <w:p w14:paraId="093BCA27" w14:textId="77777777" w:rsidR="002E6E09" w:rsidRPr="00925F26" w:rsidRDefault="002E6E09" w:rsidP="00925F26">
      <w:pPr>
        <w:jc w:val="both"/>
        <w:rPr>
          <w:color w:val="000000" w:themeColor="text1"/>
          <w:sz w:val="16"/>
          <w:szCs w:val="16"/>
        </w:rPr>
      </w:pPr>
      <w:r w:rsidRPr="00925F26">
        <w:rPr>
          <w:color w:val="000000" w:themeColor="text1"/>
          <w:sz w:val="16"/>
          <w:szCs w:val="16"/>
        </w:rPr>
        <w:t>На северном берегу Дуная восточнее Комарно наши войска отбивали атаки крупных сил пехоты и танков противника.</w:t>
      </w:r>
    </w:p>
    <w:p w14:paraId="55C6EF71" w14:textId="77777777" w:rsidR="002E6E09" w:rsidRPr="00925F26" w:rsidRDefault="002E6E09"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4BDCA182" w14:textId="77777777" w:rsidR="002E6E09" w:rsidRPr="00925F26" w:rsidRDefault="002E6E09" w:rsidP="00925F26">
      <w:pPr>
        <w:jc w:val="both"/>
        <w:rPr>
          <w:color w:val="000000" w:themeColor="text1"/>
          <w:sz w:val="16"/>
          <w:szCs w:val="16"/>
        </w:rPr>
      </w:pPr>
      <w:r w:rsidRPr="00925F26">
        <w:rPr>
          <w:color w:val="000000" w:themeColor="text1"/>
          <w:sz w:val="16"/>
          <w:szCs w:val="16"/>
        </w:rPr>
        <w:t>За 23 февраля на всех фронтах подбито и уничтожено 116 немецких танков. В воздушных боях и огнём зенитной артиллерии сбито 34 самолёта противника.</w:t>
      </w:r>
    </w:p>
    <w:p w14:paraId="6A2CE1CC" w14:textId="77777777" w:rsidR="002E6E09" w:rsidRPr="00925F26" w:rsidRDefault="002E6E09"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бои по ликвидации Восточно-Прусской группировки немцев. Части Н-ского соединения сломили сопротивление противника и полностью очистили шоссе Лихтенфельд — Цинтен. Другие наши части, наступающие с юга на север, выбили немцев из ряда опорных пунктов. Советские танкисты и пехотинцы, наносящие удары с запада на восток, захватили несколько десятков железобетонных дотов и ведут бои за перекрёсток шоссейных дорог в 8 километрах юго-восточнее города Браунсберг. В ходе боёв за день уничтожено свыше 2 тысяч немецких солдат и офицеров. Захвачены трофеи и пленные.</w:t>
      </w:r>
    </w:p>
    <w:p w14:paraId="56DF4CB0" w14:textId="77777777" w:rsidR="002E6E09" w:rsidRPr="00925F26" w:rsidRDefault="002E6E09" w:rsidP="00925F26">
      <w:pPr>
        <w:jc w:val="both"/>
        <w:rPr>
          <w:color w:val="000000" w:themeColor="text1"/>
          <w:sz w:val="16"/>
          <w:szCs w:val="16"/>
        </w:rPr>
      </w:pPr>
      <w:r w:rsidRPr="00925F26">
        <w:rPr>
          <w:color w:val="000000" w:themeColor="text1"/>
          <w:sz w:val="16"/>
          <w:szCs w:val="16"/>
        </w:rPr>
        <w:t>В боях в Восточной Пруссии отважно действуют советские танкисты. Танковая рота капитана Симуткина в короткой схватке подбила 3 немецких танка, орудие, 12 автомашин и захватила 8 исправных танков «Пантера». На другом участке огонь из немецкого дота преградил путь нашей пехоте. Танк лейтенанта Подачина огнём из пушки разбил дверь дота. Оставшиеся в живых 8 гитлеровцев сдались в плен. Танки младших лейтенантов Буянова и Демидова ворвались в населённый пункт, уничтожили свыше роты гитлеровцев и захватили 6 исправных орудий.</w:t>
      </w:r>
    </w:p>
    <w:p w14:paraId="4F8DE643" w14:textId="77777777" w:rsidR="002E6E09" w:rsidRPr="00925F26" w:rsidRDefault="002E6E09" w:rsidP="00925F26">
      <w:pPr>
        <w:jc w:val="both"/>
        <w:rPr>
          <w:color w:val="000000" w:themeColor="text1"/>
          <w:sz w:val="16"/>
          <w:szCs w:val="16"/>
        </w:rPr>
      </w:pPr>
      <w:r w:rsidRPr="00925F26">
        <w:rPr>
          <w:color w:val="000000" w:themeColor="text1"/>
          <w:sz w:val="16"/>
          <w:szCs w:val="16"/>
        </w:rPr>
        <w:t>Южнее города Данциг немцы подтянули свежие силы и пытались контратаками задержать наступающие советские части. Наши войска, действующие вдоль западного берега реки Вислы, отразили вражеские контратаки и, продвигаясь вперёд, выбили немцев из нескольких населённых пунктов. Другие наши части овладели узлом шоссейных дорог Мессин. На одном участке противник бросил в контратаки танки. Встреченные огнём советской артиллерии, немцы потеряли 17 танков и были отброшены.</w:t>
      </w:r>
    </w:p>
    <w:p w14:paraId="11C76884" w14:textId="77777777" w:rsidR="002E6E09" w:rsidRPr="00925F26" w:rsidRDefault="002E6E09" w:rsidP="00925F26">
      <w:pPr>
        <w:jc w:val="both"/>
        <w:rPr>
          <w:color w:val="000000" w:themeColor="text1"/>
          <w:sz w:val="16"/>
          <w:szCs w:val="16"/>
        </w:rPr>
      </w:pPr>
      <w:r w:rsidRPr="00925F26">
        <w:rPr>
          <w:color w:val="000000" w:themeColor="text1"/>
          <w:sz w:val="16"/>
          <w:szCs w:val="16"/>
        </w:rPr>
        <w:t>В городе Грудзяндз (Грауденц) наши войска продолжали вести бои по ликвидации окружённого гарнизона противника. Советская артиллерия и авиация мощным огнём и бомбовыми ударами разрушали крепость, форты и доты. Вражеский гарнизон несёт огромные потери и под ударами советских частей теряет одну позицию за другой. Ночью до батальона немецкой пехоты из состава окружённого гарнизона переправились через Вислу и пытались скрыться в лесах. Гитлеровцы попали в огневой мешок и в большей своей части были уничтожены.</w:t>
      </w:r>
    </w:p>
    <w:p w14:paraId="2A015111" w14:textId="77777777" w:rsidR="002E6E09" w:rsidRPr="00925F26" w:rsidRDefault="002E6E09" w:rsidP="00925F26">
      <w:pPr>
        <w:jc w:val="both"/>
        <w:rPr>
          <w:color w:val="000000" w:themeColor="text1"/>
          <w:sz w:val="16"/>
          <w:szCs w:val="16"/>
        </w:rPr>
      </w:pPr>
      <w:r w:rsidRPr="00925F26">
        <w:rPr>
          <w:color w:val="000000" w:themeColor="text1"/>
          <w:sz w:val="16"/>
          <w:szCs w:val="16"/>
        </w:rPr>
        <w:t>В Бреслау наши войска продолжали сжимать кольцо окружения группировки противника. Советские части, ворвавшиеся в город с юга, настойчиво продвигаются вперёд, подавляя вражеские узлы сопротивления. В результате артиллерийского обстрела и последовавшей затем атаки немцы выбиты из казарм. Занята также водонапорная башня, превращенная в сильно укреплённый опорный пункт обороны. Советские артиллеристы, расчищая путь пехоте огнём, прямой наводкой уничтожают пулемёты и орудия противника, установленные в подвалах и на чердаках домов. На другом участке наши части овладели пригородом Ольташин и заняли железнодорожную станцию. Захвачено много трофеев. Уничтожено 22 танка и 12 бронетранспортёров противника.</w:t>
      </w:r>
    </w:p>
    <w:p w14:paraId="0F8FCD19" w14:textId="77777777" w:rsidR="002E6E09" w:rsidRPr="00925F26" w:rsidRDefault="002E6E09" w:rsidP="00925F26">
      <w:pPr>
        <w:jc w:val="both"/>
        <w:rPr>
          <w:color w:val="000000" w:themeColor="text1"/>
          <w:sz w:val="16"/>
          <w:szCs w:val="16"/>
        </w:rPr>
      </w:pPr>
      <w:r w:rsidRPr="00925F26">
        <w:rPr>
          <w:color w:val="000000" w:themeColor="text1"/>
          <w:sz w:val="16"/>
          <w:szCs w:val="16"/>
        </w:rPr>
        <w:t>Кораблями Краснознамённого Балтийского флота в ночь на 24 февраля в южной части Балтийского моря потоплены два немецких транспорта и сторожевой корабль противника.</w:t>
      </w:r>
    </w:p>
    <w:p w14:paraId="1ABBFC58" w14:textId="77777777" w:rsidR="002E6E09" w:rsidRPr="00925F26" w:rsidRDefault="002E6E09" w:rsidP="00925F26">
      <w:pPr>
        <w:jc w:val="both"/>
        <w:rPr>
          <w:color w:val="000000" w:themeColor="text1"/>
          <w:sz w:val="16"/>
          <w:szCs w:val="16"/>
        </w:rPr>
      </w:pPr>
      <w:r w:rsidRPr="00925F26">
        <w:rPr>
          <w:color w:val="000000" w:themeColor="text1"/>
          <w:sz w:val="16"/>
          <w:szCs w:val="16"/>
        </w:rPr>
        <w:t>С огромным подъёмом встретили советские бойцы, сержанты, офицеры и генералы приказ Верховного Главнокомандующего Маршала Советского Союза товарища Сталина о 27-й годовщине Красной Армии. На фронте, в прифронтовых и тыловых гарнизонах во многих частях и подразделениях состоялись массовые митинги и собрания. Речи выступавших на митингах проникнуты горячей любовью и безграничной преданностью к товарищу Сталину, к нашей могучей Родине. Советские воины непреклонны в своей решимости вместе с армиями наших союзников довершить дело разгрома немецко-фашистской армии, завоевать полную и окончательную победу.</w:t>
      </w:r>
    </w:p>
    <w:p w14:paraId="38CC81A7" w14:textId="77777777" w:rsidR="002E6E09" w:rsidRPr="00925F26" w:rsidRDefault="002E6E09" w:rsidP="00925F26">
      <w:pPr>
        <w:jc w:val="both"/>
        <w:rPr>
          <w:color w:val="000000" w:themeColor="text1"/>
          <w:sz w:val="16"/>
          <w:szCs w:val="16"/>
        </w:rPr>
      </w:pPr>
      <w:r w:rsidRPr="00925F26">
        <w:rPr>
          <w:color w:val="000000" w:themeColor="text1"/>
          <w:sz w:val="16"/>
          <w:szCs w:val="16"/>
        </w:rPr>
        <w:t>Да 1-м Белорусском фронте в части, где командиром майор Белов, на митинге выступил гвардии майор Лобачёв. «Красная Армия, — сказал он, — прошла славный боевой путь. Свою 27-ю годовщину она отмечает на территории Германии. Нам предстоят ещё тяжёлые бои. Чувствуя свою неминуемую гибель, противник яростно сопротивляется. Он прибегает и будет прибегать к самым коварным средствам борьбы. Но ему не остановить наши полки, не избежать гибели. Сметая на своём пути все и всяческие преграды, мы дойдём до Берлина и водрузим над ним наше победное знамя».</w:t>
      </w:r>
    </w:p>
    <w:p w14:paraId="1896BAAA" w14:textId="77777777" w:rsidR="002E6E09" w:rsidRPr="00925F26" w:rsidRDefault="002E6E09" w:rsidP="00925F26">
      <w:pPr>
        <w:jc w:val="both"/>
        <w:rPr>
          <w:color w:val="000000" w:themeColor="text1"/>
          <w:sz w:val="16"/>
          <w:szCs w:val="16"/>
        </w:rPr>
      </w:pPr>
      <w:r w:rsidRPr="00925F26">
        <w:rPr>
          <w:color w:val="000000" w:themeColor="text1"/>
          <w:sz w:val="16"/>
          <w:szCs w:val="16"/>
        </w:rPr>
        <w:t>На 3-м Белорусском фронте на митинге в Н-ской части с речью выступил красноармеец Иванов. Он сказал: «Гитлеровские звери лютовали на нашей земле. Они разорили мою деревню, сожгли мою семью. Красная Армия очистила священную советскую землю от немецко-фашистских захватчиков и вторглась на территорию Германии. Мы навеки отобьём у немцев охоту грабить мирные народы, и издеваться над ними».</w:t>
      </w:r>
    </w:p>
    <w:p w14:paraId="6983BAD0" w14:textId="77777777" w:rsidR="002E6E09" w:rsidRPr="00925F26" w:rsidRDefault="002E6E09" w:rsidP="00925F26">
      <w:pPr>
        <w:jc w:val="both"/>
        <w:rPr>
          <w:color w:val="000000" w:themeColor="text1"/>
          <w:sz w:val="16"/>
          <w:szCs w:val="16"/>
        </w:rPr>
      </w:pPr>
      <w:r w:rsidRPr="00925F26">
        <w:rPr>
          <w:color w:val="000000" w:themeColor="text1"/>
          <w:sz w:val="16"/>
          <w:szCs w:val="16"/>
        </w:rPr>
        <w:t xml:space="preserve">На митинге в Н-ской авиационной части взволнованную речь произнёс лейтенант Янков. «Мощь Красной Армии крепнет с каждым </w:t>
      </w:r>
      <w:proofErr w:type="gramStart"/>
      <w:r w:rsidRPr="00925F26">
        <w:rPr>
          <w:color w:val="000000" w:themeColor="text1"/>
          <w:sz w:val="16"/>
          <w:szCs w:val="16"/>
        </w:rPr>
        <w:t>днём,—</w:t>
      </w:r>
      <w:proofErr w:type="gramEnd"/>
      <w:r w:rsidRPr="00925F26">
        <w:rPr>
          <w:color w:val="000000" w:themeColor="text1"/>
          <w:sz w:val="16"/>
          <w:szCs w:val="16"/>
        </w:rPr>
        <w:t xml:space="preserve"> говорит т. </w:t>
      </w:r>
      <w:proofErr w:type="gramStart"/>
      <w:r w:rsidRPr="00925F26">
        <w:rPr>
          <w:color w:val="000000" w:themeColor="text1"/>
          <w:sz w:val="16"/>
          <w:szCs w:val="16"/>
        </w:rPr>
        <w:t>Янков.—</w:t>
      </w:r>
      <w:proofErr w:type="gramEnd"/>
      <w:r w:rsidRPr="00925F26">
        <w:rPr>
          <w:color w:val="000000" w:themeColor="text1"/>
          <w:sz w:val="16"/>
          <w:szCs w:val="16"/>
        </w:rPr>
        <w:t xml:space="preserve"> Бойцы и командиры рвутся в бой. У каждого из нас есть свои личные счёты с немецкими извергами. </w:t>
      </w:r>
      <w:proofErr w:type="gramStart"/>
      <w:r w:rsidRPr="00925F26">
        <w:rPr>
          <w:color w:val="000000" w:themeColor="text1"/>
          <w:sz w:val="16"/>
          <w:szCs w:val="16"/>
        </w:rPr>
        <w:t>Взять к примеру</w:t>
      </w:r>
      <w:proofErr w:type="gramEnd"/>
      <w:r w:rsidRPr="00925F26">
        <w:rPr>
          <w:color w:val="000000" w:themeColor="text1"/>
          <w:sz w:val="16"/>
          <w:szCs w:val="16"/>
        </w:rPr>
        <w:t xml:space="preserve"> экипаж моего самолёта. Отца стрелка-радиста Мактусова гитлеровцы убили во время оккупации Смоленщины. Фашистские варвары издевались над моей матерью. Много зла и горя причинили они младшему лейтенанту Просвирову и его родным. Мы не успокоимся до тех пор, пока враг не будет повержен в прах».</w:t>
      </w:r>
    </w:p>
    <w:p w14:paraId="7DA29A18" w14:textId="77777777" w:rsidR="002E6E09" w:rsidRPr="00925F26" w:rsidRDefault="002E6E09" w:rsidP="00925F26">
      <w:pPr>
        <w:jc w:val="both"/>
        <w:rPr>
          <w:color w:val="000000" w:themeColor="text1"/>
          <w:sz w:val="16"/>
          <w:szCs w:val="16"/>
        </w:rPr>
      </w:pPr>
      <w:r w:rsidRPr="00925F26">
        <w:rPr>
          <w:color w:val="000000" w:themeColor="text1"/>
          <w:sz w:val="16"/>
          <w:szCs w:val="16"/>
        </w:rPr>
        <w:t>На митинге в Н-ском противотанковом полку с речью выступил старший сержант Новопотинский. Он сказал: «За 40 дней наступательных боёв Красная Армия вывела из строя свыше миллиона немецких солдат и офицеров и заняла большое количество немецких городов. Красная Армия одержала такие блестящие победы потому, что ею руководит великий полководец—наш родной и любимый товарищ Сталин. В грядущих боях Красная Армия вместе с армиями наших союзников разгромит и развеет в прах немецко-фашистскую армию» (15050).</w:t>
      </w:r>
    </w:p>
    <w:p w14:paraId="61FE976F" w14:textId="77777777" w:rsidR="002E6E09" w:rsidRPr="00925F26" w:rsidRDefault="002E6E09" w:rsidP="00925F26">
      <w:pPr>
        <w:jc w:val="both"/>
        <w:rPr>
          <w:color w:val="000000" w:themeColor="text1"/>
          <w:sz w:val="16"/>
          <w:szCs w:val="16"/>
        </w:rPr>
      </w:pPr>
    </w:p>
    <w:p w14:paraId="7F045BF5" w14:textId="77777777" w:rsidR="002E6E09" w:rsidRPr="00925F26" w:rsidRDefault="002E6E09"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завершилась Нижне-Силезская операция: советские войска продвинулись на запад более чем на 100 км, овладели Нижней Силезией. Завершено строительство самой мощной в Советском Союзе Красногорской ТЭЦ (15050).</w:t>
      </w:r>
    </w:p>
    <w:p w14:paraId="6548AFA7" w14:textId="77777777" w:rsidR="002E6E09" w:rsidRPr="00925F26" w:rsidRDefault="002E6E09" w:rsidP="00925F26">
      <w:pPr>
        <w:jc w:val="both"/>
        <w:rPr>
          <w:color w:val="000000" w:themeColor="text1"/>
          <w:sz w:val="16"/>
          <w:szCs w:val="16"/>
        </w:rPr>
      </w:pPr>
    </w:p>
    <w:p w14:paraId="30877801" w14:textId="77777777" w:rsidR="002E6E09" w:rsidRPr="00925F26" w:rsidRDefault="002E6E09"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первое в истории отечественной авиации уничтожение в воздушном бою реактивного самолета противника. В районе р. Одер летчики 2-й воздушной армии дважды Герой Советского Союза майор И.И.Кожедуб и майор К.Титаренко на самолетах Ла-7 сбили германский реактивный истребитель Ме-262, принятый на вооружение в Германии в 1944 г (15050).</w:t>
      </w:r>
    </w:p>
    <w:p w14:paraId="58138C23" w14:textId="77777777" w:rsidR="002E6E09" w:rsidRPr="00925F26" w:rsidRDefault="002E6E09" w:rsidP="00925F26">
      <w:pPr>
        <w:jc w:val="both"/>
        <w:rPr>
          <w:color w:val="000000" w:themeColor="text1"/>
          <w:sz w:val="16"/>
          <w:szCs w:val="16"/>
        </w:rPr>
      </w:pPr>
    </w:p>
    <w:p w14:paraId="00F4096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февраля 1945 г. И.Н.Кожедуб на Ла-7 первым сбил реактивный Ме-262 (6395).</w:t>
      </w:r>
    </w:p>
    <w:p w14:paraId="2D18D94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D5563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состоялся первый бой винтового истребителя с реактивным и И.Н.Кожедуб на Ла-7 сбил Ме-262 (237,205).</w:t>
      </w:r>
    </w:p>
    <w:p w14:paraId="3FE91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это было 19 февраля.</w:t>
      </w:r>
    </w:p>
    <w:p w14:paraId="6C07355B" w14:textId="77777777" w:rsidR="00665165" w:rsidRPr="00925F26" w:rsidRDefault="00665165" w:rsidP="00925F26">
      <w:pPr>
        <w:autoSpaceDE w:val="0"/>
        <w:autoSpaceDN w:val="0"/>
        <w:adjustRightInd w:val="0"/>
        <w:jc w:val="both"/>
        <w:rPr>
          <w:color w:val="000000" w:themeColor="text1"/>
          <w:sz w:val="16"/>
          <w:szCs w:val="16"/>
        </w:rPr>
      </w:pPr>
    </w:p>
    <w:p w14:paraId="6B96CAB5" w14:textId="77777777" w:rsidR="002E6E09" w:rsidRPr="00925F26" w:rsidRDefault="002E6E09"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первое в истории отечественной авиации уничтожение в воздушном бою реактивного самолета противника. В районе реки Одер летчики 2-й воздушной армии дважды Герой Советского Союза майор И.И. Кожедуб и майор К.Титаренко на самолетах Ла-7 сбили германский реактивный истребитель Ме-262, принятый на вооружение в Германии в 1944 году. </w:t>
      </w:r>
      <w:hyperlink r:id="rId48" w:tgtFrame="_blank" w:history="1">
        <w:r w:rsidRPr="00925F26">
          <w:rPr>
            <w:color w:val="000000" w:themeColor="text1"/>
            <w:sz w:val="16"/>
            <w:szCs w:val="16"/>
          </w:rPr>
          <w:t>www.allaces.ru/cgi-bin/s2.cgi/sssr/publ/05.dat</w:t>
        </w:r>
      </w:hyperlink>
    </w:p>
    <w:p w14:paraId="12EB7C44" w14:textId="77777777" w:rsidR="002E6E09" w:rsidRPr="00925F26" w:rsidRDefault="002E6E09" w:rsidP="00925F26">
      <w:pPr>
        <w:jc w:val="both"/>
        <w:rPr>
          <w:color w:val="000000" w:themeColor="text1"/>
          <w:sz w:val="16"/>
          <w:szCs w:val="16"/>
          <w:lang w:val="en-US"/>
        </w:rPr>
      </w:pPr>
      <w:r w:rsidRPr="00925F26">
        <w:rPr>
          <w:color w:val="000000" w:themeColor="text1"/>
          <w:sz w:val="16"/>
          <w:szCs w:val="16"/>
        </w:rPr>
        <w:t xml:space="preserve">Немцы скрупулезно фиксировали свои потери. В тот период и в том месте потери Ме-262 не зарегистрировано. Высказывалось мнение: «Сбивая реактивный Мессер, Кожедуб сбил не "немецкого аса", а немецкого инженера-испытателя. Поскольку эта машина еще не пошла в серию и шли просто технические испытания в боевых условиях. </w:t>
      </w:r>
      <w:proofErr w:type="gramStart"/>
      <w:r w:rsidRPr="00925F26">
        <w:rPr>
          <w:color w:val="000000" w:themeColor="text1"/>
          <w:sz w:val="16"/>
          <w:szCs w:val="16"/>
        </w:rPr>
        <w:t>Конечно</w:t>
      </w:r>
      <w:proofErr w:type="gramEnd"/>
      <w:r w:rsidRPr="00925F26">
        <w:rPr>
          <w:color w:val="000000" w:themeColor="text1"/>
          <w:sz w:val="16"/>
          <w:szCs w:val="16"/>
        </w:rPr>
        <w:t xml:space="preserve"> немецкий испытатель был неплохим летчиком, но, увы, не боевым. Да и машина была новая, к которой пилот еще не привык. Сыроватаяеще</w:t>
      </w:r>
      <w:r w:rsidRPr="00925F26">
        <w:rPr>
          <w:color w:val="000000" w:themeColor="text1"/>
          <w:sz w:val="16"/>
          <w:szCs w:val="16"/>
          <w:lang w:val="en-US"/>
        </w:rPr>
        <w:t xml:space="preserve">, </w:t>
      </w:r>
      <w:r w:rsidRPr="00925F26">
        <w:rPr>
          <w:color w:val="000000" w:themeColor="text1"/>
          <w:sz w:val="16"/>
          <w:szCs w:val="16"/>
        </w:rPr>
        <w:t>требующаяотладкиидоработки</w:t>
      </w:r>
      <w:r w:rsidRPr="00925F26">
        <w:rPr>
          <w:color w:val="000000" w:themeColor="text1"/>
          <w:sz w:val="16"/>
          <w:szCs w:val="16"/>
          <w:lang w:val="en-US"/>
        </w:rPr>
        <w:t>.» (15050).</w:t>
      </w:r>
    </w:p>
    <w:p w14:paraId="6F0AEF94" w14:textId="77777777" w:rsidR="002E6E09" w:rsidRPr="00925F26" w:rsidRDefault="002E6E09" w:rsidP="00925F26">
      <w:pPr>
        <w:jc w:val="both"/>
        <w:rPr>
          <w:color w:val="000000" w:themeColor="text1"/>
          <w:sz w:val="16"/>
          <w:szCs w:val="16"/>
          <w:lang w:val="en-US"/>
        </w:rPr>
      </w:pPr>
    </w:p>
    <w:p w14:paraId="1195E7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February 24, 1945: In the East, the Red Army breaks through the German defenses of the Pommerstellung in Pommerania. Off the northern coast of Norway, German U-boats sink 8 ships and 2 destroyers of a convoy bound for the Soviet port of Murmansk. </w:t>
      </w:r>
      <w:r w:rsidRPr="00925F26">
        <w:rPr>
          <w:color w:val="000000" w:themeColor="text1"/>
          <w:sz w:val="16"/>
          <w:szCs w:val="16"/>
        </w:rPr>
        <w:t>Egypt declares war on Germany (3819).</w:t>
      </w:r>
    </w:p>
    <w:p w14:paraId="3EDBC804" w14:textId="77777777" w:rsidR="00665165" w:rsidRPr="00925F26" w:rsidRDefault="00665165" w:rsidP="00925F26">
      <w:pPr>
        <w:autoSpaceDE w:val="0"/>
        <w:autoSpaceDN w:val="0"/>
        <w:adjustRightInd w:val="0"/>
        <w:jc w:val="both"/>
        <w:rPr>
          <w:color w:val="000000" w:themeColor="text1"/>
          <w:sz w:val="16"/>
          <w:szCs w:val="16"/>
        </w:rPr>
      </w:pPr>
    </w:p>
    <w:p w14:paraId="10951A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КА прорвалась через немецкую оборону в Померании. У северного побережья Норвегии германская подлодки потопили 8 транспортов и 2 эсминца конвоя, направляющегося в Мурманск. Египет объявил войну Германии (3819).</w:t>
      </w:r>
    </w:p>
    <w:p w14:paraId="432AFF15" w14:textId="77777777" w:rsidR="00665165" w:rsidRPr="00925F26" w:rsidRDefault="00665165" w:rsidP="00925F26">
      <w:pPr>
        <w:autoSpaceDE w:val="0"/>
        <w:autoSpaceDN w:val="0"/>
        <w:adjustRightInd w:val="0"/>
        <w:jc w:val="both"/>
        <w:rPr>
          <w:color w:val="000000" w:themeColor="text1"/>
          <w:sz w:val="16"/>
          <w:szCs w:val="16"/>
        </w:rPr>
      </w:pPr>
    </w:p>
    <w:p w14:paraId="6388A0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 состоянию на 24 февраля 1945 года в ВВС Финляндии оставалось еще шесть самолетов типа И-153. Именно в этот день машины поставили на прикол и более полеты на них не производили (12014). </w:t>
      </w:r>
    </w:p>
    <w:p w14:paraId="0B8B8A3E" w14:textId="77777777" w:rsidR="00665165" w:rsidRPr="00925F26" w:rsidRDefault="00665165" w:rsidP="00925F26">
      <w:pPr>
        <w:autoSpaceDE w:val="0"/>
        <w:autoSpaceDN w:val="0"/>
        <w:adjustRightInd w:val="0"/>
        <w:jc w:val="both"/>
        <w:rPr>
          <w:color w:val="000000" w:themeColor="text1"/>
          <w:sz w:val="16"/>
          <w:szCs w:val="16"/>
        </w:rPr>
      </w:pPr>
    </w:p>
    <w:p w14:paraId="0343319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3D2F348" w14:textId="77777777" w:rsidR="00665165" w:rsidRPr="00925F26" w:rsidRDefault="00665165" w:rsidP="00925F26">
      <w:pPr>
        <w:autoSpaceDE w:val="0"/>
        <w:autoSpaceDN w:val="0"/>
        <w:adjustRightInd w:val="0"/>
        <w:jc w:val="both"/>
        <w:rPr>
          <w:iCs/>
          <w:color w:val="000000" w:themeColor="text1"/>
          <w:sz w:val="16"/>
          <w:szCs w:val="16"/>
        </w:rPr>
      </w:pPr>
    </w:p>
    <w:p w14:paraId="0ECBE12F" w14:textId="77777777" w:rsidR="00010A2F" w:rsidRPr="00925F26" w:rsidRDefault="00010A2F"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во вpемя бомбовой атаки один из бомбардировщиков </w:t>
      </w:r>
      <w:hyperlink r:id="rId49" w:tgtFrame="_blank" w:history="1">
        <w:r w:rsidRPr="00925F26">
          <w:rPr>
            <w:color w:val="000000" w:themeColor="text1"/>
            <w:sz w:val="16"/>
            <w:szCs w:val="16"/>
          </w:rPr>
          <w:t xml:space="preserve">«Аr 234», </w:t>
        </w:r>
      </w:hyperlink>
      <w:r w:rsidRPr="00925F26">
        <w:rPr>
          <w:color w:val="000000" w:themeColor="text1"/>
          <w:sz w:val="16"/>
          <w:szCs w:val="16"/>
        </w:rPr>
        <w:t>принадлежащий III./KG 76 был подбит амеpиканским истpебителем «Р-47», упал и союзники полyчили возможность познакомиться с «Аr 234» (15050).</w:t>
      </w:r>
    </w:p>
    <w:p w14:paraId="3E8A9241" w14:textId="77777777" w:rsidR="00010A2F" w:rsidRPr="00925F26" w:rsidRDefault="00010A2F" w:rsidP="00925F26">
      <w:pPr>
        <w:jc w:val="both"/>
        <w:rPr>
          <w:color w:val="000000" w:themeColor="text1"/>
          <w:sz w:val="16"/>
          <w:szCs w:val="16"/>
        </w:rPr>
      </w:pPr>
    </w:p>
    <w:p w14:paraId="6D08D919" w14:textId="77777777" w:rsidR="00580BC7" w:rsidRPr="00925F26" w:rsidRDefault="00580BC7" w:rsidP="00925F26">
      <w:pPr>
        <w:jc w:val="both"/>
        <w:rPr>
          <w:color w:val="000000" w:themeColor="text1"/>
          <w:sz w:val="16"/>
          <w:szCs w:val="16"/>
        </w:rPr>
      </w:pPr>
      <w:r w:rsidRPr="00925F26">
        <w:rPr>
          <w:color w:val="000000" w:themeColor="text1"/>
          <w:sz w:val="16"/>
          <w:szCs w:val="16"/>
        </w:rPr>
        <w:t>24 февраля 1945, не осознавая, что служащая женских вспомогательных сил ВВС Маргарет Хортон все еще сидит на хвостовом оперении Spitfire, чтобы удерживать его, пока он рулит в ветреный день на британском аэродроме, лейтенант авиации Нил Кокс взлетает с ней на хвосте. Ему приказано немедленно приземлиться, не понимая почему, он возвращается на базу и благополучно приземляется, при этом Хортон не пострадала (20371).</w:t>
      </w:r>
    </w:p>
    <w:p w14:paraId="077D9244" w14:textId="77777777" w:rsidR="00580BC7" w:rsidRPr="00925F26" w:rsidRDefault="00580BC7" w:rsidP="00925F26">
      <w:pPr>
        <w:jc w:val="both"/>
        <w:rPr>
          <w:color w:val="000000" w:themeColor="text1"/>
          <w:sz w:val="16"/>
          <w:szCs w:val="16"/>
        </w:rPr>
      </w:pPr>
    </w:p>
    <w:p w14:paraId="65199A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февраля 1945 премьер-министр Египта был убит после объявления войны Германии (3907,255).</w:t>
      </w:r>
    </w:p>
    <w:p w14:paraId="2250FC74" w14:textId="77777777" w:rsidR="00665165" w:rsidRPr="00925F26" w:rsidRDefault="00665165" w:rsidP="00925F26">
      <w:pPr>
        <w:autoSpaceDE w:val="0"/>
        <w:autoSpaceDN w:val="0"/>
        <w:adjustRightInd w:val="0"/>
        <w:jc w:val="both"/>
        <w:rPr>
          <w:color w:val="000000" w:themeColor="text1"/>
          <w:sz w:val="16"/>
          <w:szCs w:val="16"/>
        </w:rPr>
      </w:pPr>
    </w:p>
    <w:p w14:paraId="17F1BAC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февраля 1945 после объявления войны Германии и Японии убит премьер-министр Египта Ахмед Махер-паша (4962).</w:t>
      </w:r>
    </w:p>
    <w:p w14:paraId="2F97D09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2B1330" w14:textId="77777777" w:rsidR="002E6E09" w:rsidRPr="00925F26" w:rsidRDefault="002E6E09" w:rsidP="00925F26">
      <w:pPr>
        <w:jc w:val="both"/>
        <w:rPr>
          <w:color w:val="000000" w:themeColor="text1"/>
          <w:sz w:val="16"/>
          <w:szCs w:val="16"/>
        </w:rPr>
      </w:pPr>
      <w:r w:rsidRPr="00925F26">
        <w:rPr>
          <w:bCs/>
          <w:color w:val="000000" w:themeColor="text1"/>
          <w:sz w:val="16"/>
          <w:szCs w:val="16"/>
        </w:rPr>
        <w:t>24 февраля</w:t>
      </w:r>
      <w:r w:rsidRPr="00925F26">
        <w:rPr>
          <w:color w:val="000000" w:themeColor="text1"/>
          <w:sz w:val="16"/>
          <w:szCs w:val="16"/>
        </w:rPr>
        <w:t xml:space="preserve"> в 1945 году американские войска освобождают от японцев столицу Филиппин Манилу (15050).</w:t>
      </w:r>
    </w:p>
    <w:p w14:paraId="058C17D2" w14:textId="77777777" w:rsidR="002E6E09" w:rsidRPr="00925F26" w:rsidRDefault="002E6E09" w:rsidP="00925F26">
      <w:pPr>
        <w:jc w:val="both"/>
        <w:rPr>
          <w:color w:val="000000" w:themeColor="text1"/>
          <w:sz w:val="16"/>
          <w:szCs w:val="16"/>
        </w:rPr>
      </w:pPr>
    </w:p>
    <w:p w14:paraId="6A7A7EA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85A6CD7" w14:textId="77777777" w:rsidR="00665165" w:rsidRPr="00925F26" w:rsidRDefault="00665165" w:rsidP="00925F26">
      <w:pPr>
        <w:autoSpaceDE w:val="0"/>
        <w:autoSpaceDN w:val="0"/>
        <w:adjustRightInd w:val="0"/>
        <w:jc w:val="both"/>
        <w:rPr>
          <w:iCs/>
          <w:color w:val="000000" w:themeColor="text1"/>
          <w:sz w:val="16"/>
          <w:szCs w:val="16"/>
        </w:rPr>
      </w:pPr>
    </w:p>
    <w:p w14:paraId="400E64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25 февраля по 4 марта 1945 пассажирский вариант Пе-8 4хАЧ-30Б N 42712 проходил заводские контрольные испытания на 22 заводе в Казани. Выполнил 3 полета и налетал 2 час. 50 мин. Летал В.Ч.Жданов. Дальность - 5600 км (1000,4).</w:t>
      </w:r>
    </w:p>
    <w:p w14:paraId="03352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293D34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2C1CD8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69A8C7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B0A13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1C9932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3C412D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2B7903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5C926D7D" w14:textId="77777777" w:rsidR="00665165" w:rsidRPr="00925F26" w:rsidRDefault="00665165" w:rsidP="00925F26">
      <w:pPr>
        <w:autoSpaceDE w:val="0"/>
        <w:autoSpaceDN w:val="0"/>
        <w:adjustRightInd w:val="0"/>
        <w:jc w:val="both"/>
        <w:rPr>
          <w:color w:val="000000" w:themeColor="text1"/>
          <w:sz w:val="16"/>
          <w:szCs w:val="16"/>
        </w:rPr>
      </w:pPr>
    </w:p>
    <w:p w14:paraId="787F34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февраля по 4 марта 1945 года по программе заводских контрольных испытаний на втором самолете Пе-8ОН №42612 было выполнено три полета, общей продолжительностью 2 ч. 50 мин. Испытания проводил тот же самый экипаж, что испытывал первую машину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После их окончания второй Пе-8ОН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 В этот же день Б.Г.Говоров перегнал машину на аэродром ГК НИИ ВВС (7685).</w:t>
      </w:r>
    </w:p>
    <w:p w14:paraId="431B138B" w14:textId="77777777" w:rsidR="00665165" w:rsidRPr="00925F26" w:rsidRDefault="00665165" w:rsidP="00925F26">
      <w:pPr>
        <w:autoSpaceDE w:val="0"/>
        <w:autoSpaceDN w:val="0"/>
        <w:adjustRightInd w:val="0"/>
        <w:jc w:val="both"/>
        <w:rPr>
          <w:color w:val="000000" w:themeColor="text1"/>
          <w:sz w:val="16"/>
          <w:szCs w:val="16"/>
        </w:rPr>
      </w:pPr>
    </w:p>
    <w:p w14:paraId="00C98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февраля 1945 начались испытания второго Пе-8ОН, к 4 марта выполнили три полёта. Летал тот же экипаж, что и на первой машине. Затем второй Пе-8ОН перегнали в Москву, где его осмотрел Шахурин. В основном нарком интересовался оборудованием и отделкой пассажирских кабин. Самолет произвёл на него положительное впечатление, и он приказал передать его в НИИ ВВС на госиспытания.</w:t>
      </w:r>
    </w:p>
    <w:p w14:paraId="4DCC74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этот же день Говоров перегнал машину на аэродром Чкаловская, где экипаж В.И. Жданова проводил её испытания до конца мая.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АЧ-ЗОБ. Отмечались наличие металлической стружки в маслосистеме, выбросы масла, недостаточная эффективность системы охлаждения на больших высотах. </w:t>
      </w:r>
    </w:p>
    <w:p w14:paraId="379BA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w:t>
      </w:r>
    </w:p>
    <w:p w14:paraId="6A507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Что позже стало с этими машинами - установить трудно. Главный конструктор Незваль утверждал, что ему об этом ничего не известно (11996).</w:t>
      </w:r>
    </w:p>
    <w:p w14:paraId="2B2E150A" w14:textId="77777777" w:rsidR="00665165" w:rsidRPr="00925F26" w:rsidRDefault="00665165" w:rsidP="00925F26">
      <w:pPr>
        <w:autoSpaceDE w:val="0"/>
        <w:autoSpaceDN w:val="0"/>
        <w:adjustRightInd w:val="0"/>
        <w:jc w:val="both"/>
        <w:rPr>
          <w:color w:val="000000" w:themeColor="text1"/>
          <w:sz w:val="16"/>
          <w:szCs w:val="16"/>
        </w:rPr>
      </w:pPr>
    </w:p>
    <w:p w14:paraId="21E9F8FA" w14:textId="77777777" w:rsidR="003A3020" w:rsidRPr="00925F26" w:rsidRDefault="003A3020" w:rsidP="00925F26">
      <w:pPr>
        <w:jc w:val="both"/>
        <w:rPr>
          <w:color w:val="000000" w:themeColor="text1"/>
          <w:sz w:val="16"/>
          <w:szCs w:val="16"/>
        </w:rPr>
      </w:pPr>
      <w:r w:rsidRPr="00925F26">
        <w:rPr>
          <w:bCs/>
          <w:color w:val="000000" w:themeColor="text1"/>
          <w:sz w:val="16"/>
          <w:szCs w:val="16"/>
        </w:rPr>
        <w:t>25 февраля</w:t>
      </w:r>
      <w:r w:rsidRPr="00925F26">
        <w:rPr>
          <w:color w:val="000000" w:themeColor="text1"/>
          <w:sz w:val="16"/>
          <w:szCs w:val="16"/>
        </w:rPr>
        <w:t xml:space="preserve"> в 1945 году (по 4 марта) второй самолет </w:t>
      </w:r>
      <w:hyperlink r:id="rId50" w:tgtFrame="_blank" w:history="1">
        <w:r w:rsidRPr="00925F26">
          <w:rPr>
            <w:color w:val="000000" w:themeColor="text1"/>
            <w:sz w:val="16"/>
            <w:szCs w:val="16"/>
          </w:rPr>
          <w:t xml:space="preserve">«Пе-8ОН» </w:t>
        </w:r>
      </w:hyperlink>
      <w:r w:rsidRPr="00925F26">
        <w:rPr>
          <w:color w:val="000000" w:themeColor="text1"/>
          <w:sz w:val="16"/>
          <w:szCs w:val="16"/>
        </w:rPr>
        <w:t>№42712 начал проходить заводские контрольные испытания. Испытания проводил тот же самый экипаж, что испытывал первую машину. После их окончания второй Пе-8ОН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 (15051).</w:t>
      </w:r>
    </w:p>
    <w:p w14:paraId="28014838" w14:textId="77777777" w:rsidR="003A3020" w:rsidRPr="00925F26" w:rsidRDefault="003A3020" w:rsidP="00925F26">
      <w:pPr>
        <w:jc w:val="both"/>
        <w:rPr>
          <w:color w:val="000000" w:themeColor="text1"/>
          <w:sz w:val="16"/>
          <w:szCs w:val="16"/>
        </w:rPr>
      </w:pPr>
    </w:p>
    <w:p w14:paraId="543C45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прервались до 20 марта чтобы продолжиться с 8 апреля 1945 гос. испытания модифицированного (управление винтом и мотором "82ФН-ВГ" и скоростным нагнетателем "Э-67", а также автоматическим регулятором температуры "АРТЦ-43") Ла-7 АШ-82ФН-ВГ N 38101356 производства 381 завода, которые начались с 22 февраля 1945 (744,1).</w:t>
      </w:r>
    </w:p>
    <w:p w14:paraId="273263E9" w14:textId="77777777" w:rsidR="00665165" w:rsidRPr="00925F26" w:rsidRDefault="00665165" w:rsidP="00925F26">
      <w:pPr>
        <w:autoSpaceDE w:val="0"/>
        <w:autoSpaceDN w:val="0"/>
        <w:adjustRightInd w:val="0"/>
        <w:jc w:val="both"/>
        <w:rPr>
          <w:color w:val="000000" w:themeColor="text1"/>
          <w:sz w:val="16"/>
          <w:szCs w:val="16"/>
        </w:rPr>
      </w:pPr>
    </w:p>
    <w:p w14:paraId="532FA7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февраля 1945 были прерваны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 Были возобновлены 20 марта и закончились 8 апреля 1945.</w:t>
      </w:r>
    </w:p>
    <w:p w14:paraId="662A78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выполнено 24 полета с налетом 15:40</w:t>
      </w:r>
    </w:p>
    <w:p w14:paraId="066CCA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Вед. Ии ли и Л.А.Радионов</w:t>
      </w:r>
    </w:p>
    <w:p w14:paraId="16B38D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и-м Д.Г.Пикуленко</w:t>
      </w:r>
    </w:p>
    <w:p w14:paraId="01566E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6BDC80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0530ED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410E23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надежности работы провести войсковые испытания (20 с-тов)</w:t>
      </w:r>
    </w:p>
    <w:p w14:paraId="5665B0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162B5B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июле 1944 испытавался во 2у ГК НИИ ВВС на с-та Ла-5 № 1618 вновь удовлетворительно</w:t>
      </w:r>
    </w:p>
    <w:p w14:paraId="1873E2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Отмечено, что значительно облегчает управление ВМГ</w:t>
      </w:r>
    </w:p>
    <w:p w14:paraId="30C360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524D3E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785A9F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АРТЦ-43 - был изготовлен в опытном экз. В 1943 заводом № 194 НКАП согласно плану опытных работ ВВС КА</w:t>
      </w:r>
    </w:p>
    <w:p w14:paraId="47959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51B7E7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17446D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372F72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32528D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240CB3C9" w14:textId="77777777" w:rsidR="00665165" w:rsidRPr="00925F26" w:rsidRDefault="00665165" w:rsidP="00925F26">
      <w:pPr>
        <w:autoSpaceDE w:val="0"/>
        <w:autoSpaceDN w:val="0"/>
        <w:adjustRightInd w:val="0"/>
        <w:jc w:val="both"/>
        <w:rPr>
          <w:color w:val="000000" w:themeColor="text1"/>
          <w:sz w:val="16"/>
          <w:szCs w:val="16"/>
        </w:rPr>
      </w:pPr>
    </w:p>
    <w:p w14:paraId="1659F8E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4AE18A0" w14:textId="77777777" w:rsidR="00665165" w:rsidRPr="00925F26" w:rsidRDefault="00665165" w:rsidP="00925F26">
      <w:pPr>
        <w:autoSpaceDE w:val="0"/>
        <w:autoSpaceDN w:val="0"/>
        <w:adjustRightInd w:val="0"/>
        <w:jc w:val="both"/>
        <w:rPr>
          <w:iCs/>
          <w:color w:val="000000" w:themeColor="text1"/>
          <w:sz w:val="16"/>
          <w:szCs w:val="16"/>
        </w:rPr>
      </w:pPr>
    </w:p>
    <w:p w14:paraId="75F364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г. ОКБ-43 НКВ было выдано задание на проектирование 25-мм спаренного зенитного автомата 2М-3.</w:t>
      </w:r>
    </w:p>
    <w:p w14:paraId="156DF8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Сюда в 1953 г. переведена часть освобожденных сотрудников из расформированного артиллерийского ОТБ МВД.</w:t>
      </w:r>
    </w:p>
    <w:p w14:paraId="36D178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1953 г. ОКБ принимало участие в разработке (вместе с ОКБ-172) 130-мм морской артустановки 2М-110. В 1953 г. </w:t>
      </w:r>
      <w:r w:rsidRPr="00925F26">
        <w:rPr>
          <w:color w:val="000000" w:themeColor="text1"/>
          <w:sz w:val="16"/>
          <w:szCs w:val="16"/>
          <w:lang w:val="en-US"/>
        </w:rPr>
        <w:t>CKiffa</w:t>
      </w:r>
      <w:r w:rsidRPr="00925F26">
        <w:rPr>
          <w:color w:val="000000" w:themeColor="text1"/>
          <w:sz w:val="16"/>
          <w:szCs w:val="16"/>
        </w:rPr>
        <w:t xml:space="preserve"> переданы работы по 25-мм 4-ствольной установке 4М-120.</w:t>
      </w:r>
    </w:p>
    <w:p w14:paraId="1CF7F5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2362-1125сс от 25.11.1954 г. установка 2М-8 пнв.</w:t>
      </w:r>
    </w:p>
    <w:p w14:paraId="6F8860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5DE18C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1953 г. ОКБ-43 - в ведении МОП. В 1961 г. ОКБ-43 ликвидировано, тематика и личный состав переданы в ЦКБ-34.</w:t>
      </w:r>
    </w:p>
    <w:p w14:paraId="30E3A9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(1932-54 г.)- М.Н. Кондаков.</w:t>
      </w:r>
    </w:p>
    <w:p w14:paraId="28FBDD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(1949 г.)- С. Харыкин.</w:t>
      </w:r>
    </w:p>
    <w:p w14:paraId="61787A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925F26">
        <w:rPr>
          <w:color w:val="000000" w:themeColor="text1"/>
          <w:sz w:val="16"/>
          <w:szCs w:val="16"/>
          <w:lang w:val="en-US"/>
        </w:rPr>
        <w:t>KJI</w:t>
      </w:r>
      <w:r w:rsidRPr="00925F26">
        <w:rPr>
          <w:color w:val="000000" w:themeColor="text1"/>
          <w:sz w:val="16"/>
          <w:szCs w:val="16"/>
        </w:rPr>
        <w:t>-302 (1950-е); авиационные ДРП: 37-мм АРКОН (автоматическая реактивная Кондакова, 1936), ГК-37 (1936), 45-мм ГК-45 (1936), 76-мм ДРП-76 (1949) (11982).</w:t>
      </w:r>
    </w:p>
    <w:p w14:paraId="66064490" w14:textId="77777777" w:rsidR="00010A2F" w:rsidRPr="00925F26" w:rsidRDefault="00010A2F" w:rsidP="00925F26">
      <w:pPr>
        <w:jc w:val="both"/>
        <w:rPr>
          <w:color w:val="000000" w:themeColor="text1"/>
          <w:sz w:val="16"/>
          <w:szCs w:val="16"/>
        </w:rPr>
      </w:pPr>
    </w:p>
    <w:p w14:paraId="198137BC" w14:textId="686A32CF" w:rsidR="004945E9" w:rsidRPr="00925F26" w:rsidRDefault="004945E9" w:rsidP="00925F26">
      <w:pPr>
        <w:jc w:val="both"/>
        <w:rPr>
          <w:color w:val="000000" w:themeColor="text1"/>
          <w:sz w:val="16"/>
          <w:szCs w:val="16"/>
        </w:rPr>
      </w:pPr>
      <w:r w:rsidRPr="00925F26">
        <w:rPr>
          <w:color w:val="000000" w:themeColor="text1"/>
          <w:sz w:val="16"/>
          <w:szCs w:val="16"/>
        </w:rPr>
        <w:t xml:space="preserve">25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w:t>
      </w:r>
      <w:proofErr w:type="gramStart"/>
      <w:r w:rsidRPr="00925F26">
        <w:rPr>
          <w:color w:val="000000" w:themeColor="text1"/>
          <w:sz w:val="16"/>
          <w:szCs w:val="16"/>
        </w:rPr>
        <w:t>АНИОЛМИ[</w:t>
      </w:r>
      <w:proofErr w:type="gramEnd"/>
      <w:r w:rsidRPr="00925F26">
        <w:rPr>
          <w:color w:val="000000" w:themeColor="text1"/>
          <w:sz w:val="16"/>
          <w:szCs w:val="16"/>
        </w:rPr>
        <w:t xml:space="preserve">74] выдал промышленности тактико-техническое задание на 25-мм спаренную палубную автоматическую установку 2М-3, предназначенную для вооружения торпедных катеров проектов 183 и 184. Уточненное тактико-техническое задание было утверждено замглавкома ВМФ 14 марта </w:t>
      </w:r>
      <w:proofErr w:type="gramStart"/>
      <w:r w:rsidRPr="00925F26">
        <w:rPr>
          <w:color w:val="000000" w:themeColor="text1"/>
          <w:sz w:val="16"/>
          <w:szCs w:val="16"/>
        </w:rPr>
        <w:t>1947</w:t>
      </w:r>
      <w:r w:rsidR="00997EDF" w:rsidRPr="00925F26">
        <w:rPr>
          <w:color w:val="000000" w:themeColor="text1"/>
          <w:sz w:val="16"/>
          <w:szCs w:val="16"/>
        </w:rPr>
        <w:t xml:space="preserve">  </w:t>
      </w:r>
      <w:r w:rsidRPr="00925F26">
        <w:rPr>
          <w:color w:val="000000" w:themeColor="text1"/>
          <w:sz w:val="16"/>
          <w:szCs w:val="16"/>
        </w:rPr>
        <w:t>г.</w:t>
      </w:r>
      <w:proofErr w:type="gramEnd"/>
    </w:p>
    <w:p w14:paraId="0D43DE99" w14:textId="09714314" w:rsidR="004945E9" w:rsidRPr="00925F26" w:rsidRDefault="004945E9" w:rsidP="00925F26">
      <w:pPr>
        <w:jc w:val="both"/>
        <w:rPr>
          <w:color w:val="000000" w:themeColor="text1"/>
          <w:sz w:val="16"/>
          <w:szCs w:val="16"/>
        </w:rPr>
      </w:pPr>
      <w:r w:rsidRPr="00925F26">
        <w:rPr>
          <w:color w:val="000000" w:themeColor="text1"/>
          <w:sz w:val="16"/>
          <w:szCs w:val="16"/>
        </w:rPr>
        <w:t xml:space="preserve">За проектирование установки взялось ОКБ-43, но работы над ее образцом, получившим индекс 2М-3, шли с трудом, и 31 декабря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Министерство вооружений направило письма в ОКБ-172 с указанием разработать аналогичную 25-мм спаренную установку, и уже 21 февраля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ОКБ-172 представило проект установки БЛ-130. Ведущим конструктором установки был А.</w:t>
      </w:r>
      <w:r w:rsidR="00997EDF" w:rsidRPr="00925F26">
        <w:rPr>
          <w:color w:val="000000" w:themeColor="text1"/>
          <w:sz w:val="16"/>
          <w:szCs w:val="16"/>
        </w:rPr>
        <w:t xml:space="preserve">  </w:t>
      </w:r>
      <w:r w:rsidRPr="00925F26">
        <w:rPr>
          <w:color w:val="000000" w:themeColor="text1"/>
          <w:sz w:val="16"/>
          <w:szCs w:val="16"/>
        </w:rPr>
        <w:t>Л.</w:t>
      </w:r>
      <w:r w:rsidR="00997EDF" w:rsidRPr="00925F26">
        <w:rPr>
          <w:color w:val="000000" w:themeColor="text1"/>
          <w:sz w:val="16"/>
          <w:szCs w:val="16"/>
        </w:rPr>
        <w:t xml:space="preserve">  </w:t>
      </w:r>
      <w:r w:rsidRPr="00925F26">
        <w:rPr>
          <w:color w:val="000000" w:themeColor="text1"/>
          <w:sz w:val="16"/>
          <w:szCs w:val="16"/>
        </w:rPr>
        <w:t>Константинов.</w:t>
      </w:r>
    </w:p>
    <w:p w14:paraId="7FBF4901" w14:textId="6C2EBA6D" w:rsidR="004945E9" w:rsidRPr="00925F26" w:rsidRDefault="004945E9" w:rsidP="00925F26">
      <w:pPr>
        <w:jc w:val="both"/>
        <w:rPr>
          <w:color w:val="000000" w:themeColor="text1"/>
          <w:sz w:val="16"/>
          <w:szCs w:val="16"/>
        </w:rPr>
      </w:pPr>
      <w:r w:rsidRPr="00925F26">
        <w:rPr>
          <w:color w:val="000000" w:themeColor="text1"/>
          <w:sz w:val="16"/>
          <w:szCs w:val="16"/>
        </w:rPr>
        <w:t>К этому времени начальником ОКБ-172 стал инженерподполковник А.</w:t>
      </w:r>
      <w:r w:rsidR="00997EDF" w:rsidRPr="00925F26">
        <w:rPr>
          <w:color w:val="000000" w:themeColor="text1"/>
          <w:sz w:val="16"/>
          <w:szCs w:val="16"/>
        </w:rPr>
        <w:t xml:space="preserve">  </w:t>
      </w:r>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Андрощук, а ведущим инженером</w:t>
      </w:r>
      <w:r w:rsidR="00997EDF" w:rsidRPr="00925F26">
        <w:rPr>
          <w:color w:val="000000" w:themeColor="text1"/>
          <w:sz w:val="16"/>
          <w:szCs w:val="16"/>
        </w:rPr>
        <w:t xml:space="preserve">  </w:t>
      </w:r>
      <w:r w:rsidRPr="00925F26">
        <w:rPr>
          <w:color w:val="000000" w:themeColor="text1"/>
          <w:sz w:val="16"/>
          <w:szCs w:val="16"/>
        </w:rPr>
        <w:t>— Л.</w:t>
      </w:r>
      <w:r w:rsidR="00997EDF" w:rsidRPr="00925F26">
        <w:rPr>
          <w:color w:val="000000" w:themeColor="text1"/>
          <w:sz w:val="16"/>
          <w:szCs w:val="16"/>
        </w:rPr>
        <w:t xml:space="preserve">  </w:t>
      </w:r>
      <w:r w:rsidRPr="00925F26">
        <w:rPr>
          <w:color w:val="000000" w:themeColor="text1"/>
          <w:sz w:val="16"/>
          <w:szCs w:val="16"/>
        </w:rPr>
        <w:t>М.</w:t>
      </w:r>
      <w:r w:rsidR="00997EDF" w:rsidRPr="00925F26">
        <w:rPr>
          <w:color w:val="000000" w:themeColor="text1"/>
          <w:sz w:val="16"/>
          <w:szCs w:val="16"/>
        </w:rPr>
        <w:t xml:space="preserve">  </w:t>
      </w:r>
      <w:r w:rsidRPr="00925F26">
        <w:rPr>
          <w:color w:val="000000" w:themeColor="text1"/>
          <w:sz w:val="16"/>
          <w:szCs w:val="16"/>
        </w:rPr>
        <w:t>Алавердянц.</w:t>
      </w:r>
    </w:p>
    <w:p w14:paraId="686098C2" w14:textId="77777777" w:rsidR="004945E9" w:rsidRPr="00925F26" w:rsidRDefault="004945E9" w:rsidP="00925F26">
      <w:pPr>
        <w:jc w:val="both"/>
        <w:rPr>
          <w:color w:val="000000" w:themeColor="text1"/>
          <w:sz w:val="16"/>
          <w:szCs w:val="16"/>
        </w:rPr>
      </w:pPr>
      <w:r w:rsidRPr="00925F26">
        <w:rPr>
          <w:color w:val="000000" w:themeColor="text1"/>
          <w:sz w:val="16"/>
          <w:szCs w:val="16"/>
        </w:rPr>
        <w:t>Установка БЛ-130 тумбовая с горизонтальным расположением стволов. В установке применены антикоррозийные материалы. Подобно 2М-3 в БЛ-130 применены автоматы 110-П, но в их конструкцию введено устройство для пневмозарядки и специальное пневмогидравлическое устройство для амортизации.</w:t>
      </w:r>
    </w:p>
    <w:p w14:paraId="5CD12BCF" w14:textId="158BA22A" w:rsidR="004945E9" w:rsidRPr="00925F26" w:rsidRDefault="004945E9" w:rsidP="00925F26">
      <w:pPr>
        <w:jc w:val="both"/>
        <w:rPr>
          <w:color w:val="000000" w:themeColor="text1"/>
          <w:sz w:val="16"/>
          <w:szCs w:val="16"/>
        </w:rPr>
      </w:pPr>
      <w:r w:rsidRPr="00925F26">
        <w:rPr>
          <w:color w:val="000000" w:themeColor="text1"/>
          <w:sz w:val="16"/>
          <w:szCs w:val="16"/>
        </w:rPr>
        <w:t xml:space="preserve">Установка имела местное бронирование, броня обтекаемой формы толщиной 3–4 мм. Вес установки без амортизационных </w:t>
      </w:r>
      <w:proofErr w:type="gramStart"/>
      <w:r w:rsidRPr="00925F26">
        <w:rPr>
          <w:color w:val="000000" w:themeColor="text1"/>
          <w:sz w:val="16"/>
          <w:szCs w:val="16"/>
        </w:rPr>
        <w:t>устройств</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w:t>
      </w:r>
      <w:proofErr w:type="gramStart"/>
      <w:r w:rsidRPr="00925F26">
        <w:rPr>
          <w:color w:val="000000" w:themeColor="text1"/>
          <w:sz w:val="16"/>
          <w:szCs w:val="16"/>
        </w:rPr>
        <w:t>1200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а с амортизационными </w:t>
      </w:r>
      <w:proofErr w:type="gramStart"/>
      <w:r w:rsidRPr="00925F26">
        <w:rPr>
          <w:color w:val="000000" w:themeColor="text1"/>
          <w:sz w:val="16"/>
          <w:szCs w:val="16"/>
        </w:rPr>
        <w:t>устройствами</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w:t>
      </w:r>
      <w:proofErr w:type="gramStart"/>
      <w:r w:rsidRPr="00925F26">
        <w:rPr>
          <w:color w:val="000000" w:themeColor="text1"/>
          <w:sz w:val="16"/>
          <w:szCs w:val="16"/>
        </w:rPr>
        <w:t>1400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w:t>
      </w:r>
    </w:p>
    <w:p w14:paraId="5F8A7C2A" w14:textId="257D6DC0" w:rsidR="004945E9" w:rsidRPr="00925F26" w:rsidRDefault="004945E9" w:rsidP="00925F26">
      <w:pPr>
        <w:jc w:val="both"/>
        <w:rPr>
          <w:color w:val="000000" w:themeColor="text1"/>
          <w:sz w:val="16"/>
          <w:szCs w:val="16"/>
        </w:rPr>
      </w:pPr>
      <w:r w:rsidRPr="00925F26">
        <w:rPr>
          <w:color w:val="000000" w:themeColor="text1"/>
          <w:sz w:val="16"/>
          <w:szCs w:val="16"/>
        </w:rPr>
        <w:t xml:space="preserve">По ряду характеристик БЛ-130 превосходила 2М-3, но в конце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было решено запустить в серийное производство 2М-3, так как у нее степень готовности была выше, чем у БЛ-130.</w:t>
      </w:r>
    </w:p>
    <w:p w14:paraId="5ECA3A89" w14:textId="4ACEF315" w:rsidR="004945E9" w:rsidRPr="00925F26" w:rsidRDefault="004945E9" w:rsidP="00925F26">
      <w:pPr>
        <w:jc w:val="both"/>
        <w:rPr>
          <w:color w:val="000000" w:themeColor="text1"/>
          <w:sz w:val="16"/>
          <w:szCs w:val="16"/>
        </w:rPr>
      </w:pPr>
      <w:r w:rsidRPr="00925F26">
        <w:rPr>
          <w:color w:val="000000" w:themeColor="text1"/>
          <w:sz w:val="16"/>
          <w:szCs w:val="16"/>
        </w:rPr>
        <w:t xml:space="preserve">В конце 1940-х годов для вооружения тяжелых крейсеров проекта 82 (по 10 установок на корабль) и эсминцев в ОКБ-172 были разработаны 25-мм счетверенные автоматические установки БЛ-120-I и БЛ-120-II, различающиеся системами электропитания (для постоянного и переменного токов). Первые две установки БЛ-120–1 были изготовлены в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на заводе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535</w:t>
      </w:r>
      <w:proofErr w:type="gramEnd"/>
      <w:r w:rsidRPr="00925F26">
        <w:rPr>
          <w:color w:val="000000" w:themeColor="text1"/>
          <w:sz w:val="16"/>
          <w:szCs w:val="16"/>
        </w:rPr>
        <w:t>. Приводы наведения установок электрогидравлические. Питание обойменное. В обойме 4 патрона. Охлаждение стволов воздушное (рис.</w:t>
      </w:r>
      <w:r w:rsidR="00997EDF" w:rsidRPr="00925F26">
        <w:rPr>
          <w:color w:val="000000" w:themeColor="text1"/>
          <w:sz w:val="16"/>
          <w:szCs w:val="16"/>
        </w:rPr>
        <w:t xml:space="preserve">  </w:t>
      </w:r>
      <w:r w:rsidRPr="00925F26">
        <w:rPr>
          <w:color w:val="000000" w:themeColor="text1"/>
          <w:sz w:val="16"/>
          <w:szCs w:val="16"/>
        </w:rPr>
        <w:t>8.4).</w:t>
      </w:r>
    </w:p>
    <w:p w14:paraId="0F348D76" w14:textId="77777777" w:rsidR="004945E9" w:rsidRPr="00925F26" w:rsidRDefault="004945E9" w:rsidP="00925F26">
      <w:pPr>
        <w:jc w:val="both"/>
        <w:rPr>
          <w:color w:val="000000" w:themeColor="text1"/>
          <w:sz w:val="16"/>
          <w:szCs w:val="16"/>
        </w:rPr>
      </w:pPr>
      <w:r w:rsidRPr="00925F26">
        <w:rPr>
          <w:color w:val="000000" w:themeColor="text1"/>
          <w:sz w:val="16"/>
          <w:szCs w:val="16"/>
        </w:rPr>
        <w:t xml:space="preserve">Данные установок БЛ-120 </w:t>
      </w:r>
    </w:p>
    <w:p w14:paraId="6E23ACB9" w14:textId="23055742" w:rsidR="004945E9" w:rsidRPr="00925F26" w:rsidRDefault="004945E9" w:rsidP="00925F26">
      <w:pPr>
        <w:jc w:val="both"/>
        <w:rPr>
          <w:color w:val="000000" w:themeColor="text1"/>
          <w:sz w:val="16"/>
          <w:szCs w:val="16"/>
        </w:rPr>
      </w:pPr>
      <w:r w:rsidRPr="00925F26">
        <w:rPr>
          <w:color w:val="000000" w:themeColor="text1"/>
          <w:sz w:val="16"/>
          <w:szCs w:val="16"/>
        </w:rPr>
        <w:t xml:space="preserve">Калибр,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35</w:t>
      </w:r>
    </w:p>
    <w:p w14:paraId="69A632A3" w14:textId="29F2209E" w:rsidR="004945E9" w:rsidRPr="00925F26" w:rsidRDefault="004945E9" w:rsidP="00925F26">
      <w:pPr>
        <w:jc w:val="both"/>
        <w:rPr>
          <w:color w:val="000000" w:themeColor="text1"/>
          <w:sz w:val="16"/>
          <w:szCs w:val="16"/>
        </w:rPr>
      </w:pPr>
      <w:r w:rsidRPr="00925F26">
        <w:rPr>
          <w:color w:val="000000" w:themeColor="text1"/>
          <w:sz w:val="16"/>
          <w:szCs w:val="16"/>
        </w:rPr>
        <w:t xml:space="preserve">Длина ствола, </w:t>
      </w:r>
      <w:proofErr w:type="gramStart"/>
      <w:r w:rsidRPr="00925F26">
        <w:rPr>
          <w:color w:val="000000" w:themeColor="text1"/>
          <w:sz w:val="16"/>
          <w:szCs w:val="16"/>
        </w:rPr>
        <w:t>клб</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80</w:t>
      </w:r>
    </w:p>
    <w:p w14:paraId="27F173C1" w14:textId="722ED734" w:rsidR="004945E9" w:rsidRPr="00925F26" w:rsidRDefault="004945E9" w:rsidP="00925F26">
      <w:pPr>
        <w:jc w:val="both"/>
        <w:rPr>
          <w:color w:val="000000" w:themeColor="text1"/>
          <w:sz w:val="16"/>
          <w:szCs w:val="16"/>
        </w:rPr>
      </w:pPr>
      <w:r w:rsidRPr="00925F26">
        <w:rPr>
          <w:color w:val="000000" w:themeColor="text1"/>
          <w:sz w:val="16"/>
          <w:szCs w:val="16"/>
        </w:rPr>
        <w:t xml:space="preserve">Угол ВН, </w:t>
      </w:r>
      <w:proofErr w:type="gramStart"/>
      <w:r w:rsidRPr="00925F26">
        <w:rPr>
          <w:color w:val="000000" w:themeColor="text1"/>
          <w:sz w:val="16"/>
          <w:szCs w:val="16"/>
        </w:rPr>
        <w:t>град</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−5; +90</w:t>
      </w:r>
    </w:p>
    <w:p w14:paraId="74F27319" w14:textId="29CC74B7" w:rsidR="004945E9" w:rsidRPr="00925F26" w:rsidRDefault="004945E9" w:rsidP="00925F26">
      <w:pPr>
        <w:jc w:val="both"/>
        <w:rPr>
          <w:color w:val="000000" w:themeColor="text1"/>
          <w:sz w:val="16"/>
          <w:szCs w:val="16"/>
        </w:rPr>
      </w:pPr>
      <w:r w:rsidRPr="00925F26">
        <w:rPr>
          <w:color w:val="000000" w:themeColor="text1"/>
          <w:sz w:val="16"/>
          <w:szCs w:val="16"/>
        </w:rPr>
        <w:t xml:space="preserve">Угол ГН, </w:t>
      </w:r>
      <w:proofErr w:type="gramStart"/>
      <w:r w:rsidRPr="00925F26">
        <w:rPr>
          <w:color w:val="000000" w:themeColor="text1"/>
          <w:sz w:val="16"/>
          <w:szCs w:val="16"/>
        </w:rPr>
        <w:t>град</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360</w:t>
      </w:r>
    </w:p>
    <w:p w14:paraId="14368AEF" w14:textId="3F7DDDAA" w:rsidR="004945E9" w:rsidRPr="00925F26" w:rsidRDefault="004945E9" w:rsidP="00925F26">
      <w:pPr>
        <w:jc w:val="both"/>
        <w:rPr>
          <w:color w:val="000000" w:themeColor="text1"/>
          <w:sz w:val="16"/>
          <w:szCs w:val="16"/>
        </w:rPr>
      </w:pPr>
      <w:r w:rsidRPr="00925F26">
        <w:rPr>
          <w:color w:val="000000" w:themeColor="text1"/>
          <w:sz w:val="16"/>
          <w:szCs w:val="16"/>
        </w:rPr>
        <w:t>Скорость ВН, град/</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30</w:t>
      </w:r>
    </w:p>
    <w:p w14:paraId="0B7CA840" w14:textId="4FD95CB6" w:rsidR="004945E9" w:rsidRPr="00925F26" w:rsidRDefault="004945E9" w:rsidP="00925F26">
      <w:pPr>
        <w:jc w:val="both"/>
        <w:rPr>
          <w:color w:val="000000" w:themeColor="text1"/>
          <w:sz w:val="16"/>
          <w:szCs w:val="16"/>
        </w:rPr>
      </w:pPr>
      <w:r w:rsidRPr="00925F26">
        <w:rPr>
          <w:color w:val="000000" w:themeColor="text1"/>
          <w:sz w:val="16"/>
          <w:szCs w:val="16"/>
        </w:rPr>
        <w:t>Скорость ГН, град/</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40</w:t>
      </w:r>
    </w:p>
    <w:p w14:paraId="484F6648" w14:textId="3EC58737" w:rsidR="004945E9" w:rsidRPr="00925F26" w:rsidRDefault="004945E9" w:rsidP="00925F26">
      <w:pPr>
        <w:jc w:val="both"/>
        <w:rPr>
          <w:color w:val="000000" w:themeColor="text1"/>
          <w:sz w:val="16"/>
          <w:szCs w:val="16"/>
        </w:rPr>
      </w:pPr>
      <w:r w:rsidRPr="00925F26">
        <w:rPr>
          <w:color w:val="000000" w:themeColor="text1"/>
          <w:sz w:val="16"/>
          <w:szCs w:val="16"/>
        </w:rPr>
        <w:t xml:space="preserve">Броня, </w:t>
      </w:r>
      <w:proofErr w:type="gramStart"/>
      <w:r w:rsidRPr="00925F26">
        <w:rPr>
          <w:color w:val="000000" w:themeColor="text1"/>
          <w:sz w:val="16"/>
          <w:szCs w:val="16"/>
        </w:rPr>
        <w:t>мм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610</w:t>
      </w:r>
    </w:p>
    <w:p w14:paraId="2913B97D" w14:textId="6A270247" w:rsidR="004945E9" w:rsidRPr="00925F26" w:rsidRDefault="004945E9" w:rsidP="00925F26">
      <w:pPr>
        <w:jc w:val="both"/>
        <w:rPr>
          <w:color w:val="000000" w:themeColor="text1"/>
          <w:sz w:val="16"/>
          <w:szCs w:val="16"/>
        </w:rPr>
      </w:pPr>
      <w:r w:rsidRPr="00925F26">
        <w:rPr>
          <w:color w:val="000000" w:themeColor="text1"/>
          <w:sz w:val="16"/>
          <w:szCs w:val="16"/>
        </w:rPr>
        <w:t xml:space="preserve">Вес башни, </w:t>
      </w:r>
      <w:proofErr w:type="gramStart"/>
      <w:r w:rsidRPr="00925F26">
        <w:rPr>
          <w:color w:val="000000" w:themeColor="text1"/>
          <w:sz w:val="16"/>
          <w:szCs w:val="16"/>
        </w:rPr>
        <w:t>т</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4,0</w:t>
      </w:r>
    </w:p>
    <w:p w14:paraId="74BFC860" w14:textId="15BD0C57" w:rsidR="004945E9" w:rsidRPr="00925F26" w:rsidRDefault="004945E9" w:rsidP="00925F26">
      <w:pPr>
        <w:jc w:val="both"/>
        <w:rPr>
          <w:color w:val="000000" w:themeColor="text1"/>
          <w:sz w:val="16"/>
          <w:szCs w:val="16"/>
        </w:rPr>
      </w:pPr>
      <w:r w:rsidRPr="00925F26">
        <w:rPr>
          <w:color w:val="000000" w:themeColor="text1"/>
          <w:sz w:val="16"/>
          <w:szCs w:val="16"/>
        </w:rPr>
        <w:t>Темп стрельбы одного ствола, выстр/</w:t>
      </w:r>
      <w:proofErr w:type="gramStart"/>
      <w:r w:rsidRPr="00925F26">
        <w:rPr>
          <w:color w:val="000000" w:themeColor="text1"/>
          <w:sz w:val="16"/>
          <w:szCs w:val="16"/>
        </w:rPr>
        <w:t>мин</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270–300</w:t>
      </w:r>
    </w:p>
    <w:p w14:paraId="7C76EE27" w14:textId="5F4BAF12" w:rsidR="004945E9" w:rsidRPr="00925F26" w:rsidRDefault="004945E9" w:rsidP="00925F26">
      <w:pPr>
        <w:jc w:val="both"/>
        <w:rPr>
          <w:color w:val="000000" w:themeColor="text1"/>
          <w:sz w:val="16"/>
          <w:szCs w:val="16"/>
        </w:rPr>
      </w:pPr>
      <w:r w:rsidRPr="00925F26">
        <w:rPr>
          <w:color w:val="000000" w:themeColor="text1"/>
          <w:sz w:val="16"/>
          <w:szCs w:val="16"/>
        </w:rPr>
        <w:t>В 1953</w:t>
      </w:r>
      <w:r w:rsidR="00997EDF" w:rsidRPr="00925F26">
        <w:rPr>
          <w:color w:val="000000" w:themeColor="text1"/>
          <w:sz w:val="16"/>
          <w:szCs w:val="16"/>
        </w:rPr>
        <w:t xml:space="preserve">  </w:t>
      </w:r>
      <w:r w:rsidRPr="00925F26">
        <w:rPr>
          <w:color w:val="000000" w:themeColor="text1"/>
          <w:sz w:val="16"/>
          <w:szCs w:val="16"/>
        </w:rPr>
        <w:t>г. установки БЛ-120–1 и БЛ-120-П были по известным причинам переименованы в 4М-120–1 и 4М-120-II. Работы над установкой из расформированного ОКБ-172 передали в ОКБ-43.</w:t>
      </w:r>
    </w:p>
    <w:p w14:paraId="799B41EE" w14:textId="063EEED7" w:rsidR="004945E9" w:rsidRPr="00925F26" w:rsidRDefault="004945E9" w:rsidP="00925F26">
      <w:pPr>
        <w:jc w:val="both"/>
        <w:rPr>
          <w:color w:val="000000" w:themeColor="text1"/>
          <w:sz w:val="16"/>
          <w:szCs w:val="16"/>
        </w:rPr>
      </w:pPr>
      <w:r w:rsidRPr="00925F26">
        <w:rPr>
          <w:color w:val="000000" w:themeColor="text1"/>
          <w:sz w:val="16"/>
          <w:szCs w:val="16"/>
        </w:rPr>
        <w:t xml:space="preserve">В </w:t>
      </w:r>
      <w:proofErr w:type="gramStart"/>
      <w:r w:rsidRPr="00925F26">
        <w:rPr>
          <w:color w:val="000000" w:themeColor="text1"/>
          <w:sz w:val="16"/>
          <w:szCs w:val="16"/>
        </w:rPr>
        <w:t>1954</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две установки 4М-120–1 были смонтированы на эсминце проекта 41 «Неустрашимый» для проведения государственных испытаний. Через несколько лет обе установки сняли с корабля проекта 41 и заменили на 45-мм СМ-20ЗИФ. В серийное производство 4М-120 не поступали (12705).</w:t>
      </w:r>
    </w:p>
    <w:p w14:paraId="543D39BA" w14:textId="77777777" w:rsidR="004945E9" w:rsidRPr="00925F26" w:rsidRDefault="004945E9" w:rsidP="00925F26">
      <w:pPr>
        <w:jc w:val="both"/>
        <w:rPr>
          <w:color w:val="000000" w:themeColor="text1"/>
          <w:sz w:val="16"/>
          <w:szCs w:val="16"/>
        </w:rPr>
      </w:pPr>
    </w:p>
    <w:p w14:paraId="5F8A30E8" w14:textId="77777777" w:rsidR="0067688E" w:rsidRPr="001A0BAA" w:rsidRDefault="0067688E" w:rsidP="0067688E">
      <w:pPr>
        <w:jc w:val="both"/>
        <w:rPr>
          <w:color w:val="0070C0"/>
          <w:sz w:val="16"/>
          <w:szCs w:val="16"/>
        </w:rPr>
      </w:pPr>
      <w:r w:rsidRPr="001A0BAA">
        <w:rPr>
          <w:rStyle w:val="aff0"/>
          <w:rFonts w:ascii="Times New Roman" w:hAnsi="Times New Roman" w:cs="Times New Roman"/>
          <w:color w:val="0070C0"/>
          <w:spacing w:val="0"/>
          <w:sz w:val="16"/>
          <w:szCs w:val="16"/>
        </w:rPr>
        <w:t>25 февраля 1945 г. АНИОЛМИ выдал промышленности тактико-техническое задание на 25-мм спаренную палуб</w:t>
      </w:r>
      <w:r w:rsidRPr="001A0BAA">
        <w:rPr>
          <w:rStyle w:val="aff0"/>
          <w:rFonts w:ascii="Times New Roman" w:hAnsi="Times New Roman" w:cs="Times New Roman"/>
          <w:color w:val="0070C0"/>
          <w:spacing w:val="0"/>
          <w:sz w:val="16"/>
          <w:szCs w:val="16"/>
        </w:rPr>
        <w:softHyphen/>
        <w:t>ную автоматическую установку 2М-3, предназначенную для вооружения торпедных катеров проектов 183 и 184. Уточ</w:t>
      </w:r>
      <w:r w:rsidRPr="001A0BAA">
        <w:rPr>
          <w:rStyle w:val="aff0"/>
          <w:rFonts w:ascii="Times New Roman" w:hAnsi="Times New Roman" w:cs="Times New Roman"/>
          <w:color w:val="0070C0"/>
          <w:spacing w:val="0"/>
          <w:sz w:val="16"/>
          <w:szCs w:val="16"/>
        </w:rPr>
        <w:softHyphen/>
        <w:t>ненное тактико-техническое задание было утверждено зам- главкома ВМФ 14 марта 1947 г.</w:t>
      </w:r>
    </w:p>
    <w:p w14:paraId="53832A84" w14:textId="77777777" w:rsidR="0067688E" w:rsidRPr="001A0BAA" w:rsidRDefault="0067688E" w:rsidP="0067688E">
      <w:pPr>
        <w:jc w:val="both"/>
        <w:rPr>
          <w:color w:val="0070C0"/>
          <w:sz w:val="16"/>
          <w:szCs w:val="16"/>
        </w:rPr>
      </w:pPr>
      <w:r w:rsidRPr="001A0BAA">
        <w:rPr>
          <w:rStyle w:val="aff0"/>
          <w:rFonts w:ascii="Times New Roman" w:hAnsi="Times New Roman" w:cs="Times New Roman"/>
          <w:color w:val="0070C0"/>
          <w:spacing w:val="0"/>
          <w:sz w:val="16"/>
          <w:szCs w:val="16"/>
        </w:rPr>
        <w:t>За проектирование установки взялось ОКБ-43, но рабо</w:t>
      </w:r>
      <w:r w:rsidRPr="001A0BAA">
        <w:rPr>
          <w:rStyle w:val="aff0"/>
          <w:rFonts w:ascii="Times New Roman" w:hAnsi="Times New Roman" w:cs="Times New Roman"/>
          <w:color w:val="0070C0"/>
          <w:spacing w:val="0"/>
          <w:sz w:val="16"/>
          <w:szCs w:val="16"/>
        </w:rPr>
        <w:softHyphen/>
        <w:t>ты над ее образцом, получившим индекс 2М-3, шли с тру</w:t>
      </w:r>
      <w:r w:rsidRPr="001A0BAA">
        <w:rPr>
          <w:rStyle w:val="aff0"/>
          <w:rFonts w:ascii="Times New Roman" w:hAnsi="Times New Roman" w:cs="Times New Roman"/>
          <w:color w:val="0070C0"/>
          <w:spacing w:val="0"/>
          <w:sz w:val="16"/>
          <w:szCs w:val="16"/>
        </w:rPr>
        <w:softHyphen/>
        <w:t>дом, и 31- декабря 1949 г. Министерство вооружений напра</w:t>
      </w:r>
      <w:r w:rsidRPr="001A0BAA">
        <w:rPr>
          <w:rStyle w:val="aff0"/>
          <w:rFonts w:ascii="Times New Roman" w:hAnsi="Times New Roman" w:cs="Times New Roman"/>
          <w:color w:val="0070C0"/>
          <w:spacing w:val="0"/>
          <w:sz w:val="16"/>
          <w:szCs w:val="16"/>
        </w:rPr>
        <w:softHyphen/>
        <w:t>вило письма в ОКБ-172 с указанием разработать аналогич</w:t>
      </w:r>
      <w:r w:rsidRPr="001A0BAA">
        <w:rPr>
          <w:rStyle w:val="aff0"/>
          <w:rFonts w:ascii="Times New Roman" w:hAnsi="Times New Roman" w:cs="Times New Roman"/>
          <w:color w:val="0070C0"/>
          <w:spacing w:val="0"/>
          <w:sz w:val="16"/>
          <w:szCs w:val="16"/>
        </w:rPr>
        <w:softHyphen/>
        <w:t>ную 25-мм спаренную установку, и уже 21 февраля 1950 г. ОКБ-172 представило проект установки БЛ-130. Ведущим конструктором установки был А.Л. Константинов (25437).</w:t>
      </w:r>
    </w:p>
    <w:p w14:paraId="6A02FBEB" w14:textId="77777777" w:rsidR="0067688E" w:rsidRPr="001A0BAA" w:rsidRDefault="0067688E" w:rsidP="0067688E">
      <w:pPr>
        <w:jc w:val="both"/>
        <w:rPr>
          <w:color w:val="0070C0"/>
          <w:sz w:val="16"/>
          <w:szCs w:val="16"/>
        </w:rPr>
      </w:pPr>
    </w:p>
    <w:p w14:paraId="4BDC6E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февраля 1945 г. районный инженер ГБТУ КА на заводе №183 гвардии инженер-полковник т. Храмцов донес, что в феврале месяце завод №183 недополучил более 500 вагонов торфа, 1111 тонн мазута и систематически недополучает суточной нормы газа с Нижнетагильского металлургического завода.</w:t>
      </w:r>
    </w:p>
    <w:p w14:paraId="628A43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необеспеченностью топливом нарушилась нормальная работа мартеновских печей, кузнечного и термического цехов.</w:t>
      </w:r>
    </w:p>
    <w:p w14:paraId="6D4E96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Обеспечение февральской программой выпуска танков башнями и поковками шло за счет сни</w:t>
      </w:r>
      <w:r w:rsidRPr="00925F26">
        <w:rPr>
          <w:color w:val="000000" w:themeColor="text1"/>
          <w:sz w:val="16"/>
          <w:szCs w:val="16"/>
        </w:rPr>
        <w:softHyphen/>
        <w:t>жения заделов.</w:t>
      </w:r>
    </w:p>
    <w:p w14:paraId="7AE10C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этим изделиям завод №183 к марту месяцу оказался без необходимых заделов.</w:t>
      </w:r>
    </w:p>
    <w:p w14:paraId="269860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Он. 11355. Д. 2743. Л. 14. Копия (11420).</w:t>
      </w:r>
    </w:p>
    <w:p w14:paraId="3EB38DD7" w14:textId="77777777" w:rsidR="00665165" w:rsidRPr="00925F26" w:rsidRDefault="00665165" w:rsidP="00925F26">
      <w:pPr>
        <w:autoSpaceDE w:val="0"/>
        <w:autoSpaceDN w:val="0"/>
        <w:adjustRightInd w:val="0"/>
        <w:jc w:val="both"/>
        <w:rPr>
          <w:color w:val="000000" w:themeColor="text1"/>
          <w:sz w:val="16"/>
          <w:szCs w:val="16"/>
        </w:rPr>
      </w:pPr>
    </w:p>
    <w:p w14:paraId="095554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г. в соотве</w:t>
      </w:r>
      <w:r w:rsidRPr="00925F26">
        <w:rPr>
          <w:color w:val="000000" w:themeColor="text1"/>
          <w:sz w:val="16"/>
          <w:szCs w:val="16"/>
        </w:rPr>
        <w:softHyphen/>
        <w:t>тствии с постановлением ГКО № 7590 был создан Особый комитет Государственного Комитета Обороны СССР. Основной задачей новой структу</w:t>
      </w:r>
      <w:r w:rsidRPr="00925F26">
        <w:rPr>
          <w:color w:val="000000" w:themeColor="text1"/>
          <w:sz w:val="16"/>
          <w:szCs w:val="16"/>
        </w:rPr>
        <w:softHyphen/>
        <w:t>ры была организация работы по использованию экономического и научно-технического по</w:t>
      </w:r>
      <w:r w:rsidRPr="00925F26">
        <w:rPr>
          <w:color w:val="000000" w:themeColor="text1"/>
          <w:sz w:val="16"/>
          <w:szCs w:val="16"/>
        </w:rPr>
        <w:softHyphen/>
        <w:t>тенциала Германии в интересах восстановления и дальнейшего развития народного хозяйства СССР. Это был одновременно высший координирующий орган и высшая инстан</w:t>
      </w:r>
      <w:r w:rsidRPr="00925F26">
        <w:rPr>
          <w:color w:val="000000" w:themeColor="text1"/>
          <w:sz w:val="16"/>
          <w:szCs w:val="16"/>
        </w:rPr>
        <w:softHyphen/>
        <w:t>ция по делам, связанным с военно-экономическим разоружением Германии и проведением всех видов демонтажных работ на ее территории. Председателем Особого комитета стал сек</w:t>
      </w:r>
      <w:r w:rsidRPr="00925F26">
        <w:rPr>
          <w:color w:val="000000" w:themeColor="text1"/>
          <w:sz w:val="16"/>
          <w:szCs w:val="16"/>
        </w:rPr>
        <w:softHyphen/>
        <w:t>ретарь ЦК ВКП(б) Г.М. Маленков, а постоянными членами — представители Госплана, нар</w:t>
      </w:r>
      <w:r w:rsidRPr="00925F26">
        <w:rPr>
          <w:color w:val="000000" w:themeColor="text1"/>
          <w:sz w:val="16"/>
          <w:szCs w:val="16"/>
        </w:rPr>
        <w:softHyphen/>
        <w:t>коматов обороны, иностранных дел, оборонной и тяжелой промышленности (Н.А. Вознесен</w:t>
      </w:r>
      <w:r w:rsidRPr="00925F26">
        <w:rPr>
          <w:color w:val="000000" w:themeColor="text1"/>
          <w:sz w:val="16"/>
          <w:szCs w:val="16"/>
        </w:rPr>
        <w:softHyphen/>
        <w:t>ский, Н.А. Булганин, А.В. Хрулев. Ф.И. Вахитов и др.). Вначале Особый комитет по Германии действовал при ГКО СССР. После упразднения этого чрезвычайного органа управления в сентябре 1945 г. Особый комитет работал при СНК (Совете Министров) СССР. На фронтах был создан институт уполномоченных Особого комитета и специальные демонтажные управ</w:t>
      </w:r>
      <w:r w:rsidRPr="00925F26">
        <w:rPr>
          <w:color w:val="000000" w:themeColor="text1"/>
          <w:sz w:val="16"/>
          <w:szCs w:val="16"/>
        </w:rPr>
        <w:softHyphen/>
        <w:t>ления. После окончания войны и образования СВАГ был создан аппарат уполномоченного Особого комитета по Германии и его представительства в провинциях и землях Советской зоны оккупации Германии. Демонтажные задания Особого комитета выполняли 23 трофей</w:t>
      </w:r>
      <w:r w:rsidRPr="00925F26">
        <w:rPr>
          <w:color w:val="000000" w:themeColor="text1"/>
          <w:sz w:val="16"/>
          <w:szCs w:val="16"/>
        </w:rPr>
        <w:softHyphen/>
        <w:t>ные бригады, дислоцированные на территории зоны. Вначале уполномоченным Особого ко</w:t>
      </w:r>
      <w:r w:rsidRPr="00925F26">
        <w:rPr>
          <w:color w:val="000000" w:themeColor="text1"/>
          <w:sz w:val="16"/>
          <w:szCs w:val="16"/>
        </w:rPr>
        <w:softHyphen/>
        <w:t>митета по Германии был М.З. Сабуров, затем его сменил Н.Г. Жуков. Уполномоченными Осо</w:t>
      </w:r>
      <w:r w:rsidRPr="00925F26">
        <w:rPr>
          <w:color w:val="000000" w:themeColor="text1"/>
          <w:sz w:val="16"/>
          <w:szCs w:val="16"/>
        </w:rPr>
        <w:softHyphen/>
        <w:t>бого комитета на местах являлись: в Мекленбурге — Н.Н. Колимовский, в Бранденбурге — Ф.С. Белогорлов, в провинции Саксония — С.И. Резников, в земле Саксония — Л.П. Грачев, в Тюрингии — Н.М. Разин. По этому вопросу см.: Горькое Ю.А. Государственный Комитет Обороны постановляет (1941—1945): Цифры, документы. М: Олма-Пресс, 2002. С. 38, 113 (11419).</w:t>
      </w:r>
    </w:p>
    <w:p w14:paraId="2996072A" w14:textId="77777777" w:rsidR="00665165" w:rsidRPr="00925F26" w:rsidRDefault="00665165" w:rsidP="00925F26">
      <w:pPr>
        <w:autoSpaceDE w:val="0"/>
        <w:autoSpaceDN w:val="0"/>
        <w:adjustRightInd w:val="0"/>
        <w:jc w:val="both"/>
        <w:rPr>
          <w:color w:val="000000" w:themeColor="text1"/>
          <w:sz w:val="16"/>
          <w:szCs w:val="16"/>
        </w:rPr>
      </w:pPr>
    </w:p>
    <w:p w14:paraId="7B9D96F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февраля 1945 вышло Постановление ГКО № 7590 Об Особом комитете при ГОКО, [образованном для организации вывоза с территории Германии и Польши промышленного оборудования, транспортных средств, сырья и готовой продукции.] (7310, 48-51).</w:t>
      </w:r>
    </w:p>
    <w:p w14:paraId="67B68C1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128B434" w14:textId="77777777" w:rsidR="003A3020"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1962008" w14:textId="77777777" w:rsidR="003A3020" w:rsidRPr="00925F26" w:rsidRDefault="003A3020" w:rsidP="00925F26">
      <w:pPr>
        <w:autoSpaceDE w:val="0"/>
        <w:autoSpaceDN w:val="0"/>
        <w:adjustRightInd w:val="0"/>
        <w:jc w:val="both"/>
        <w:rPr>
          <w:iCs/>
          <w:color w:val="000000" w:themeColor="text1"/>
          <w:sz w:val="16"/>
          <w:szCs w:val="16"/>
        </w:rPr>
      </w:pPr>
    </w:p>
    <w:p w14:paraId="2757B763" w14:textId="77777777" w:rsidR="003A3020" w:rsidRPr="00925F26" w:rsidRDefault="003A3020" w:rsidP="00925F26">
      <w:pPr>
        <w:jc w:val="both"/>
        <w:rPr>
          <w:color w:val="000000" w:themeColor="text1"/>
          <w:sz w:val="16"/>
          <w:szCs w:val="16"/>
        </w:rPr>
      </w:pPr>
      <w:r w:rsidRPr="00925F26">
        <w:rPr>
          <w:bCs/>
          <w:color w:val="000000" w:themeColor="text1"/>
          <w:sz w:val="16"/>
          <w:szCs w:val="16"/>
        </w:rPr>
        <w:t>25 февраля</w:t>
      </w:r>
      <w:r w:rsidRPr="00925F26">
        <w:rPr>
          <w:color w:val="000000" w:themeColor="text1"/>
          <w:sz w:val="16"/>
          <w:szCs w:val="16"/>
        </w:rPr>
        <w:t xml:space="preserve"> в 1945 году оперативная сводка Совинформбюро:</w:t>
      </w:r>
    </w:p>
    <w:p w14:paraId="6B231AC4" w14:textId="77777777" w:rsidR="003A3020" w:rsidRPr="00925F26" w:rsidRDefault="003A3020" w:rsidP="00925F26">
      <w:pPr>
        <w:jc w:val="both"/>
        <w:rPr>
          <w:color w:val="000000" w:themeColor="text1"/>
          <w:sz w:val="16"/>
          <w:szCs w:val="16"/>
        </w:rPr>
      </w:pPr>
      <w:r w:rsidRPr="00925F26">
        <w:rPr>
          <w:color w:val="000000" w:themeColor="text1"/>
          <w:sz w:val="16"/>
          <w:szCs w:val="16"/>
        </w:rPr>
        <w:lastRenderedPageBreak/>
        <w:t>«В течение 25 февраля на Земландском полуострове северо-западнее Кенигсберга наши войска отбивали атаки крупных сил пехоты и танков противника и нанесли ему большие потери в живой силе и технике. Одновременно юго-западнее Кенигсберга продолжались бои по уничтожению Восточно-Прусской группировки противника, в ходе которых наши войска овладели населёнными пунктами Амалиенвальде, Плессен, Войдиттен, Тифензее, Мюнген, Гросс Хассельберг. В боях за 24 февраля северо-западнее и юго-западнее Кенигсберга подбито и уничтожено 36 немецких танков.</w:t>
      </w:r>
    </w:p>
    <w:p w14:paraId="3CC6CE2F" w14:textId="77777777" w:rsidR="003A3020" w:rsidRPr="00925F26" w:rsidRDefault="003A3020" w:rsidP="00925F26">
      <w:pPr>
        <w:jc w:val="both"/>
        <w:rPr>
          <w:color w:val="000000" w:themeColor="text1"/>
          <w:sz w:val="16"/>
          <w:szCs w:val="16"/>
        </w:rPr>
      </w:pPr>
      <w:r w:rsidRPr="00925F26">
        <w:rPr>
          <w:color w:val="000000" w:themeColor="text1"/>
          <w:sz w:val="16"/>
          <w:szCs w:val="16"/>
        </w:rPr>
        <w:t>Юго-западнее города Хойнице (Конитц) наши войска в результате наступательных боёв овладели на территории Померании городом Пройсс Фридлакд, а также с боями заняли населённые пункты Дамниц, Клаусфельде, Бишофсвальде, Кристфельде, Баркенфельде, Хайнрихсвальде, Петерсвальде, Прютценбальде.</w:t>
      </w:r>
    </w:p>
    <w:p w14:paraId="31E0BA04" w14:textId="77777777" w:rsidR="003A3020" w:rsidRPr="00925F26" w:rsidRDefault="003A3020" w:rsidP="00925F26">
      <w:pPr>
        <w:jc w:val="both"/>
        <w:rPr>
          <w:color w:val="000000" w:themeColor="text1"/>
          <w:sz w:val="16"/>
          <w:szCs w:val="16"/>
        </w:rPr>
      </w:pPr>
      <w:r w:rsidRPr="00925F26">
        <w:rPr>
          <w:color w:val="000000" w:themeColor="text1"/>
          <w:sz w:val="16"/>
          <w:szCs w:val="16"/>
        </w:rPr>
        <w:t>В районе Бреслау наши войска продолжали бои по уничтожению окружённой в городе группировки противника и заняли несколько кварталов в южной части города.</w:t>
      </w:r>
    </w:p>
    <w:p w14:paraId="154CF63C" w14:textId="77777777" w:rsidR="003A3020" w:rsidRPr="00925F26" w:rsidRDefault="003A3020"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w:t>
      </w:r>
    </w:p>
    <w:p w14:paraId="448F19EA" w14:textId="77777777" w:rsidR="003A3020" w:rsidRPr="00925F26" w:rsidRDefault="003A3020" w:rsidP="00925F26">
      <w:pPr>
        <w:jc w:val="both"/>
        <w:rPr>
          <w:color w:val="000000" w:themeColor="text1"/>
          <w:sz w:val="16"/>
          <w:szCs w:val="16"/>
        </w:rPr>
      </w:pPr>
      <w:r w:rsidRPr="00925F26">
        <w:rPr>
          <w:color w:val="000000" w:themeColor="text1"/>
          <w:sz w:val="16"/>
          <w:szCs w:val="16"/>
        </w:rPr>
        <w:t>За 24 февраля на всех фронтах подбито и уничтожено 139 немецких танков. В воздушных боях и огнём зенитной артиллерии сбито 8 самолётов противника.</w:t>
      </w:r>
    </w:p>
    <w:p w14:paraId="40E1EFBD" w14:textId="77777777" w:rsidR="003A3020" w:rsidRPr="00925F26" w:rsidRDefault="003A3020" w:rsidP="00925F26">
      <w:pPr>
        <w:jc w:val="both"/>
        <w:rPr>
          <w:color w:val="000000" w:themeColor="text1"/>
          <w:sz w:val="16"/>
          <w:szCs w:val="16"/>
        </w:rPr>
      </w:pPr>
      <w:r w:rsidRPr="00925F26">
        <w:rPr>
          <w:color w:val="000000" w:themeColor="text1"/>
          <w:sz w:val="16"/>
          <w:szCs w:val="16"/>
        </w:rPr>
        <w:t>В Восточной Пруссии северо-западнее города Кенигсберг противник рано утром атаковал наши позиции. На небольшом участке немцы бросили в бой крупные силы пехоты и танков. Ожесточённые бои продолжались весь день. Отбивая вражеские атаки, наши войска уничтожили до 2 тысяч немецких солдат и офицеров.</w:t>
      </w:r>
    </w:p>
    <w:p w14:paraId="36B6F54F" w14:textId="77777777" w:rsidR="003A3020" w:rsidRPr="00925F26" w:rsidRDefault="003A3020"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сжимать кольцо окружения Восточно-Прусской группировки противника. Немцы, опираясь на заранее подготовленные позиции с большим количеством железобетонных сооружений, оказывают упорное сопротивление. Части Н-ского соединения продвинулись вперед и выбили противника из нескольких населённых пунктов, расположенных к северо-западу от города Цинтен. Другие наши части, преодолев сильное огневое сопротивление немцев, овладели железнодорожной станцией Тифензее.</w:t>
      </w:r>
    </w:p>
    <w:p w14:paraId="23EDB4C3" w14:textId="77777777" w:rsidR="003A3020" w:rsidRPr="00925F26" w:rsidRDefault="003A3020" w:rsidP="00925F26">
      <w:pPr>
        <w:jc w:val="both"/>
        <w:rPr>
          <w:color w:val="000000" w:themeColor="text1"/>
          <w:sz w:val="16"/>
          <w:szCs w:val="16"/>
        </w:rPr>
      </w:pPr>
      <w:r w:rsidRPr="00925F26">
        <w:rPr>
          <w:color w:val="000000" w:themeColor="text1"/>
          <w:sz w:val="16"/>
          <w:szCs w:val="16"/>
        </w:rPr>
        <w:t>Экипаж самоходного орудия младшего лейтенанта Григорьева напал на вражескую колонну. Артиллеристы подбили 2 немецких самоходных орудия, уничтожили 9 пулемётов, несколько десятков автомашин и истребили группу гитлеровцев. Семь бойцов во главе со старшиной Дубиндой ночью ворвались в траншею противника. Гранатами и огнём из автоматов гвардейцы уничтожили взвод немецкой пехоты и захватили выгодные позиции. Орудийный расчёт младшего сержанта Логинова за два дня боёв уничтожил 7 немецких танков и самоходных орудий. Группа гвардейцев во главе с капитаном Яковлевым захватила вражеский дот и, отражая контратаку противника, уничтожила свыше 100 немцев.</w:t>
      </w:r>
    </w:p>
    <w:p w14:paraId="713C673E" w14:textId="77777777" w:rsidR="003A3020" w:rsidRPr="00925F26" w:rsidRDefault="003A3020" w:rsidP="00925F26">
      <w:pPr>
        <w:jc w:val="both"/>
        <w:rPr>
          <w:color w:val="000000" w:themeColor="text1"/>
          <w:sz w:val="16"/>
          <w:szCs w:val="16"/>
        </w:rPr>
      </w:pPr>
      <w:r w:rsidRPr="00925F26">
        <w:rPr>
          <w:color w:val="000000" w:themeColor="text1"/>
          <w:sz w:val="16"/>
          <w:szCs w:val="16"/>
        </w:rPr>
        <w:t>Юго-западнее города Хойнице (Конитц) наши войска после артиллерийской подготовки атаковали противника. Прорвав оборону немцев, советские пехотинцы продвинулись вперёд и вышли на подступы к городу Пройсс Фрядланд. Долговременные укрепления, построенные немцами на рубеже озера Зуккау-зее и реки Добринка, прикрывали подступы к городу. Советские части форсировали водную преграду и в результате стремительной атаки овладели городом Пройсс Фридланд—важным узлом шоссейных дорог. Наша пехота, поддержанная танками и самоходными орудиями, продвинулась вперёд на 10 километров и выбила немцев из населённого пункта и железнодорожной станции Бишофсвальде. Противник, отступающий под ударами наших войск, потерял только убитыми до-3 тысяч солдат и офицеров. Уничтожено 23 немецких танка и 47 орудий. Взято в плен более 200 гитлеровцев.</w:t>
      </w:r>
    </w:p>
    <w:p w14:paraId="35519D86" w14:textId="77777777" w:rsidR="003A3020" w:rsidRPr="00925F26" w:rsidRDefault="003A3020" w:rsidP="00925F26">
      <w:pPr>
        <w:jc w:val="both"/>
        <w:rPr>
          <w:color w:val="000000" w:themeColor="text1"/>
          <w:sz w:val="16"/>
          <w:szCs w:val="16"/>
        </w:rPr>
      </w:pPr>
      <w:r w:rsidRPr="00925F26">
        <w:rPr>
          <w:color w:val="000000" w:themeColor="text1"/>
          <w:sz w:val="16"/>
          <w:szCs w:val="16"/>
        </w:rPr>
        <w:t>В Бреслау наши войска продолжали бои по ликвидации окружённой группировки противника. Советские штурмовые отряды при поддержке артиллерии очистили от немцев несколько кварталов в южной части города. Ожесточённые бои завязались, у площади Гинденбурга, где немцы сосредоточили много зенитных орудий. На другом участке наши части преодолели вражескую оборонительную полосу севернее пригорода Ольташин и, развивая успех, овладели районом нефтесклада. На месте боя осталось много вражеских трупов. Взято 340 пленных. Захвачено 8 танков и другие трофеи.</w:t>
      </w:r>
    </w:p>
    <w:p w14:paraId="1714FC04" w14:textId="77777777" w:rsidR="003A3020" w:rsidRPr="00925F26" w:rsidRDefault="003A3020" w:rsidP="00925F26">
      <w:pPr>
        <w:jc w:val="both"/>
        <w:rPr>
          <w:color w:val="000000" w:themeColor="text1"/>
          <w:sz w:val="16"/>
          <w:szCs w:val="16"/>
        </w:rPr>
      </w:pPr>
      <w:r w:rsidRPr="00925F26">
        <w:rPr>
          <w:color w:val="000000" w:themeColor="text1"/>
          <w:sz w:val="16"/>
          <w:szCs w:val="16"/>
        </w:rPr>
        <w:t>В Восточной Пруссии нашими войсками взято в плен много немецких солдат и офицеров. Пленный командир боевой группы 349-й немецкой пехотной дивизии обер-лейтенант Андреас Цухер рассказал: «Война для Германии бесповоротно проиграна. Часть немецких солдат теперь переодевается в гражданскую одежду, и прячется в населённых пунктах. Сотни и тысячи дезертиров бродят по фронтовым дорогам. Считая дальнейшее сопротивление безумием, я решил, сдаться в плен».</w:t>
      </w:r>
    </w:p>
    <w:p w14:paraId="1B14F33B" w14:textId="77777777" w:rsidR="003A3020" w:rsidRPr="00925F26" w:rsidRDefault="003A3020" w:rsidP="00925F26">
      <w:pPr>
        <w:jc w:val="both"/>
        <w:rPr>
          <w:color w:val="000000" w:themeColor="text1"/>
          <w:sz w:val="16"/>
          <w:szCs w:val="16"/>
        </w:rPr>
      </w:pPr>
      <w:r w:rsidRPr="00925F26">
        <w:rPr>
          <w:color w:val="000000" w:themeColor="text1"/>
          <w:sz w:val="16"/>
          <w:szCs w:val="16"/>
        </w:rPr>
        <w:t>Пленные солдаты 117-го немецкого охранного батальона Герберт Брендель и Курт Штольц сообщили: «Наш батальон получил приказ сдержать натиск русских, пока заградительные отряды соберут разбежавшихся солдат 286-й охранной дивизии. Удалось ли задержать бежавших с поля боя солдат, нам неизвестно. Наш батальон был разбит, а мы попали в плен».</w:t>
      </w:r>
    </w:p>
    <w:p w14:paraId="0DC3E6BE" w14:textId="77777777" w:rsidR="003A3020" w:rsidRPr="00925F26" w:rsidRDefault="003A3020" w:rsidP="00925F26">
      <w:pPr>
        <w:jc w:val="both"/>
        <w:rPr>
          <w:color w:val="000000" w:themeColor="text1"/>
          <w:sz w:val="16"/>
          <w:szCs w:val="16"/>
        </w:rPr>
      </w:pPr>
      <w:r w:rsidRPr="00925F26">
        <w:rPr>
          <w:color w:val="000000" w:themeColor="text1"/>
          <w:sz w:val="16"/>
          <w:szCs w:val="16"/>
        </w:rPr>
        <w:t>Пленный солдат 911-го немецкого полка Карл Вебер рассказал: «За два дня боёв наша рота потеряла половину своего личного состава. Раненых пришлось бросить. Паническое отступление войск и бегство населения произвели на солдат потрясающее впечатление. В эти дни многие немецкие солдаты похоронили последнюю надежду на победу Германии. Я бросил оружие и пытался бежать, однако вскоре оказался в русском плену» (15051).</w:t>
      </w:r>
    </w:p>
    <w:p w14:paraId="2F77C55D" w14:textId="77777777" w:rsidR="003A3020" w:rsidRPr="00925F26" w:rsidRDefault="003A3020" w:rsidP="00925F26">
      <w:pPr>
        <w:jc w:val="both"/>
        <w:rPr>
          <w:color w:val="000000" w:themeColor="text1"/>
          <w:sz w:val="16"/>
          <w:szCs w:val="16"/>
        </w:rPr>
      </w:pPr>
    </w:p>
    <w:p w14:paraId="20DB5F6C" w14:textId="77777777" w:rsidR="003A3020" w:rsidRPr="00925F26" w:rsidRDefault="003A3020" w:rsidP="00925F26">
      <w:pPr>
        <w:jc w:val="both"/>
        <w:rPr>
          <w:color w:val="000000" w:themeColor="text1"/>
          <w:sz w:val="16"/>
          <w:szCs w:val="16"/>
        </w:rPr>
      </w:pPr>
      <w:r w:rsidRPr="00925F26">
        <w:rPr>
          <w:bCs/>
          <w:color w:val="000000" w:themeColor="text1"/>
          <w:sz w:val="16"/>
          <w:szCs w:val="16"/>
        </w:rPr>
        <w:t>25 февраля</w:t>
      </w:r>
      <w:r w:rsidRPr="00925F26">
        <w:rPr>
          <w:color w:val="000000" w:themeColor="text1"/>
          <w:sz w:val="16"/>
          <w:szCs w:val="16"/>
        </w:rPr>
        <w:t xml:space="preserve"> в 1945 году приказом Ставки ВГК 1-й Прибалтийский фронт преобразован в Земландскую группу войск (15051).</w:t>
      </w:r>
    </w:p>
    <w:p w14:paraId="1AE87586" w14:textId="77777777" w:rsidR="003A3020" w:rsidRPr="00925F26" w:rsidRDefault="003A3020" w:rsidP="00925F26">
      <w:pPr>
        <w:jc w:val="both"/>
        <w:rPr>
          <w:color w:val="000000" w:themeColor="text1"/>
          <w:sz w:val="16"/>
          <w:szCs w:val="16"/>
        </w:rPr>
      </w:pPr>
    </w:p>
    <w:p w14:paraId="62F14D8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E370DB3" w14:textId="77777777" w:rsidR="00665165" w:rsidRPr="00925F26" w:rsidRDefault="00665165" w:rsidP="00925F26">
      <w:pPr>
        <w:autoSpaceDE w:val="0"/>
        <w:autoSpaceDN w:val="0"/>
        <w:adjustRightInd w:val="0"/>
        <w:jc w:val="both"/>
        <w:rPr>
          <w:iCs/>
          <w:color w:val="000000" w:themeColor="text1"/>
          <w:sz w:val="16"/>
          <w:szCs w:val="16"/>
        </w:rPr>
      </w:pPr>
    </w:p>
    <w:p w14:paraId="011582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вышло Постановление ГКО № 7591 О передаче Временному Польскому правительству автомашин, цистерн, самолетов, горючего. РГАНИР, Фонд ГКО, д. 373, лл. 52-54 (11012).</w:t>
      </w:r>
    </w:p>
    <w:p w14:paraId="314D1525" w14:textId="77777777" w:rsidR="00665165" w:rsidRPr="00925F26" w:rsidRDefault="00665165" w:rsidP="00925F26">
      <w:pPr>
        <w:autoSpaceDE w:val="0"/>
        <w:autoSpaceDN w:val="0"/>
        <w:adjustRightInd w:val="0"/>
        <w:jc w:val="both"/>
        <w:rPr>
          <w:color w:val="000000" w:themeColor="text1"/>
          <w:sz w:val="16"/>
          <w:szCs w:val="16"/>
        </w:rPr>
      </w:pPr>
    </w:p>
    <w:p w14:paraId="7530EBC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0D1431C" w14:textId="77777777" w:rsidR="00665165" w:rsidRPr="00925F26" w:rsidRDefault="00665165" w:rsidP="00925F26">
      <w:pPr>
        <w:autoSpaceDE w:val="0"/>
        <w:autoSpaceDN w:val="0"/>
        <w:adjustRightInd w:val="0"/>
        <w:jc w:val="both"/>
        <w:rPr>
          <w:iCs/>
          <w:color w:val="000000" w:themeColor="text1"/>
          <w:sz w:val="16"/>
          <w:szCs w:val="16"/>
        </w:rPr>
      </w:pPr>
    </w:p>
    <w:p w14:paraId="2708724C" w14:textId="13D46A0C" w:rsidR="00010A2F" w:rsidRPr="00925F26" w:rsidRDefault="00010A2F" w:rsidP="00925F26">
      <w:pPr>
        <w:jc w:val="both"/>
        <w:rPr>
          <w:color w:val="000000" w:themeColor="text1"/>
          <w:sz w:val="16"/>
          <w:szCs w:val="16"/>
        </w:rPr>
      </w:pPr>
      <w:r w:rsidRPr="00925F26">
        <w:rPr>
          <w:color w:val="000000" w:themeColor="text1"/>
          <w:sz w:val="16"/>
          <w:szCs w:val="16"/>
        </w:rPr>
        <w:t>25 февраля 1945 состоялся первый испытательный полет "Наттера" по полной программе. Для первого старта с двигателем "Вальтера" в кабине пилота был установлен манекен. Ва.349 был запущен успению, на заданной высоте носовая часть и двигатель отделились, манекен и двигатель успешно были спасены с помощью парашютов. 28 февраля обер-лейтенант Лотхар Зиберт, добровольно согласившийся на подобные испытания, стартовал на Ва.349. Самолет набрал высоту около 500м, после чего фонарь кабины самопроизвольно открылся. Самолет перевернулся через хвост приблизительно на высоте 1500м,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w:t>
      </w:r>
      <w:r w:rsidR="00997EDF" w:rsidRPr="00925F26">
        <w:rPr>
          <w:color w:val="000000" w:themeColor="text1"/>
          <w:sz w:val="16"/>
          <w:szCs w:val="16"/>
        </w:rPr>
        <w:t xml:space="preserve">  </w:t>
      </w:r>
      <w:r w:rsidRPr="00925F26">
        <w:rPr>
          <w:color w:val="000000" w:themeColor="text1"/>
          <w:sz w:val="16"/>
          <w:szCs w:val="16"/>
        </w:rPr>
        <w:t>Несмотря на инцидент, Зиберта заменили другие добровольцы. Довольно быстро были проведены три успешных пилотируемых полета, и было решено, что Ва.349 уже готов для проведения войсковых испытаний. Всего успели закончить 36 "Hаттеров", а испытать 25, причем только 7 в пилотируемом полете. В апреле 10 "Hаттеров" А-серии были размещены у Кирхейма под Штудтгартом, для отражения налетов американских бомбардировщиков. Но вступить в бой детищу Бахема не дали танки союзников, которых дождались раньше бомбардировщиков. "Hаттеры" и их пусковые установки были уничтожены собственными расчетами (15139).</w:t>
      </w:r>
    </w:p>
    <w:p w14:paraId="0A15A175" w14:textId="77777777" w:rsidR="00010A2F" w:rsidRPr="00925F26" w:rsidRDefault="00010A2F" w:rsidP="00925F26">
      <w:pPr>
        <w:jc w:val="both"/>
        <w:rPr>
          <w:color w:val="000000" w:themeColor="text1"/>
          <w:sz w:val="16"/>
          <w:szCs w:val="16"/>
        </w:rPr>
      </w:pPr>
    </w:p>
    <w:p w14:paraId="7ADFC2CB" w14:textId="77777777" w:rsidR="003A3020" w:rsidRPr="00925F26" w:rsidRDefault="003A3020" w:rsidP="00925F26">
      <w:pPr>
        <w:jc w:val="both"/>
        <w:rPr>
          <w:color w:val="000000" w:themeColor="text1"/>
          <w:sz w:val="16"/>
          <w:szCs w:val="16"/>
        </w:rPr>
      </w:pPr>
      <w:r w:rsidRPr="00925F26">
        <w:rPr>
          <w:bCs/>
          <w:color w:val="000000" w:themeColor="text1"/>
          <w:sz w:val="16"/>
          <w:szCs w:val="16"/>
        </w:rPr>
        <w:t>25 февраля</w:t>
      </w:r>
      <w:r w:rsidRPr="00925F26">
        <w:rPr>
          <w:color w:val="000000" w:themeColor="text1"/>
          <w:sz w:val="16"/>
          <w:szCs w:val="16"/>
        </w:rPr>
        <w:t xml:space="preserve"> в 1945 году с испытательной вышки был произведен испытательный пуск в беспилотном варианте (с манекеном) реактивного истребителя перехватчика </w:t>
      </w:r>
      <w:hyperlink r:id="rId51" w:tgtFrame="_blank" w:history="1">
        <w:r w:rsidRPr="00925F26">
          <w:rPr>
            <w:color w:val="000000" w:themeColor="text1"/>
            <w:sz w:val="16"/>
            <w:szCs w:val="16"/>
          </w:rPr>
          <w:t xml:space="preserve">«Bacham» "Ва-349" "Наттера". </w:t>
        </w:r>
      </w:hyperlink>
      <w:r w:rsidRPr="00925F26">
        <w:rPr>
          <w:color w:val="000000" w:themeColor="text1"/>
          <w:sz w:val="16"/>
          <w:szCs w:val="16"/>
        </w:rPr>
        <w:t>Работа ускорителей "Шмиддинг" оставляла желать лучшего. Время работы и тяга варьировались. Произошло несколько взрывов на старте. Автопилот "Патин" не обеспечивал устойчивости, и его работу было трудно синхронизировать. Обещания поставок двигателя "Вальтер"-509А так и остались обещаниями. Фактически первый двигатель "Вальтера" поступил Бахему только в феврале 1945 года. В результате первый испытательный полет "Наттера" по полной программе смог состояться только 25 февраля. Когда истребитель достиг заданной высоты, автоматика привела в действие спасательный комплекс позволивший совершить парашютную посадку на землю манекену и спасаемым частям истребителя (15051).</w:t>
      </w:r>
    </w:p>
    <w:p w14:paraId="7540D5E9" w14:textId="77777777" w:rsidR="003A3020" w:rsidRPr="00925F26" w:rsidRDefault="003A3020" w:rsidP="00925F26">
      <w:pPr>
        <w:jc w:val="both"/>
        <w:rPr>
          <w:color w:val="000000" w:themeColor="text1"/>
          <w:sz w:val="16"/>
          <w:szCs w:val="16"/>
        </w:rPr>
      </w:pPr>
    </w:p>
    <w:p w14:paraId="09255052" w14:textId="77777777" w:rsidR="00147873" w:rsidRPr="00925F26" w:rsidRDefault="00147873" w:rsidP="00925F26">
      <w:pPr>
        <w:jc w:val="both"/>
        <w:rPr>
          <w:color w:val="000000" w:themeColor="text1"/>
          <w:sz w:val="16"/>
          <w:szCs w:val="16"/>
        </w:rPr>
      </w:pPr>
      <w:r w:rsidRPr="00925F26">
        <w:rPr>
          <w:color w:val="000000" w:themeColor="text1"/>
          <w:sz w:val="16"/>
          <w:szCs w:val="16"/>
        </w:rPr>
        <w:t>25 февраля 1945 г. состояться первый испытательный полет «Наттера» по полной программе. Во время первого «штатного» взлета в кабине Ва.349 сидел манекен. Само</w:t>
      </w:r>
      <w:r w:rsidRPr="00925F26">
        <w:rPr>
          <w:color w:val="000000" w:themeColor="text1"/>
          <w:sz w:val="16"/>
          <w:szCs w:val="16"/>
        </w:rPr>
        <w:softHyphen/>
        <w:t>лет успешно стартовал, на заданной высоте фюзеляж разделился, манекен и двигатель мягко приземлились на парашютах. Результаты испытаний произвели впечатление на RLM, потре</w:t>
      </w:r>
      <w:r w:rsidRPr="00925F26">
        <w:rPr>
          <w:color w:val="000000" w:themeColor="text1"/>
          <w:sz w:val="16"/>
          <w:szCs w:val="16"/>
        </w:rPr>
        <w:softHyphen/>
        <w:t>бовавшее немедленно провести пило</w:t>
      </w:r>
      <w:r w:rsidRPr="00925F26">
        <w:rPr>
          <w:color w:val="000000" w:themeColor="text1"/>
          <w:sz w:val="16"/>
          <w:szCs w:val="16"/>
        </w:rPr>
        <w:softHyphen/>
        <w:t>тируемый запуск (23388).</w:t>
      </w:r>
    </w:p>
    <w:p w14:paraId="77871C8C" w14:textId="77777777" w:rsidR="00147873" w:rsidRPr="00925F26" w:rsidRDefault="00147873" w:rsidP="00925F26">
      <w:pPr>
        <w:jc w:val="both"/>
        <w:rPr>
          <w:color w:val="000000" w:themeColor="text1"/>
          <w:sz w:val="16"/>
          <w:szCs w:val="16"/>
        </w:rPr>
      </w:pPr>
    </w:p>
    <w:p w14:paraId="384ED466" w14:textId="77777777" w:rsidR="00580BC7" w:rsidRPr="00925F26" w:rsidRDefault="00580BC7" w:rsidP="00925F26">
      <w:pPr>
        <w:jc w:val="both"/>
        <w:rPr>
          <w:color w:val="000000" w:themeColor="text1"/>
          <w:sz w:val="16"/>
          <w:szCs w:val="16"/>
        </w:rPr>
      </w:pPr>
      <w:r w:rsidRPr="00925F26">
        <w:rPr>
          <w:color w:val="000000" w:themeColor="text1"/>
          <w:sz w:val="16"/>
          <w:szCs w:val="16"/>
        </w:rPr>
        <w:t>25 февраля 1945 первый полет Bell XP-83 (20371).</w:t>
      </w:r>
    </w:p>
    <w:p w14:paraId="43371A88" w14:textId="77777777" w:rsidR="00580BC7" w:rsidRPr="00925F26" w:rsidRDefault="00580BC7" w:rsidP="00925F26">
      <w:pPr>
        <w:jc w:val="both"/>
        <w:rPr>
          <w:color w:val="000000" w:themeColor="text1"/>
          <w:sz w:val="16"/>
          <w:szCs w:val="16"/>
        </w:rPr>
      </w:pPr>
    </w:p>
    <w:p w14:paraId="0DBCA3DD" w14:textId="77777777" w:rsidR="00580BC7" w:rsidRPr="00925F26" w:rsidRDefault="00580BC7"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первый полет выполнил двухмоторный ХР-83 Белла (3040).</w:t>
      </w:r>
    </w:p>
    <w:p w14:paraId="18E6FBF3" w14:textId="77777777" w:rsidR="00580BC7" w:rsidRPr="00925F26" w:rsidRDefault="00580BC7" w:rsidP="00925F26">
      <w:pPr>
        <w:autoSpaceDE w:val="0"/>
        <w:autoSpaceDN w:val="0"/>
        <w:adjustRightInd w:val="0"/>
        <w:jc w:val="both"/>
        <w:rPr>
          <w:color w:val="000000" w:themeColor="text1"/>
          <w:sz w:val="16"/>
          <w:szCs w:val="16"/>
        </w:rPr>
      </w:pPr>
    </w:p>
    <w:p w14:paraId="3401A634" w14:textId="105A0029" w:rsidR="00580BC7" w:rsidRPr="00925F26" w:rsidRDefault="00580BC7" w:rsidP="00925F26">
      <w:pPr>
        <w:jc w:val="both"/>
        <w:rPr>
          <w:color w:val="000000" w:themeColor="text1"/>
          <w:sz w:val="16"/>
          <w:szCs w:val="16"/>
        </w:rPr>
      </w:pPr>
      <w:r w:rsidRPr="00925F26">
        <w:rPr>
          <w:color w:val="000000" w:themeColor="text1"/>
          <w:sz w:val="16"/>
          <w:szCs w:val="16"/>
        </w:rPr>
        <w:t xml:space="preserve">25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многоцелевого истребителя Bell ХР-83, Джек Вулэмс.</w:t>
      </w:r>
    </w:p>
    <w:p w14:paraId="2426A9AE" w14:textId="77777777" w:rsidR="00580BC7" w:rsidRPr="00925F26" w:rsidRDefault="00580BC7" w:rsidP="00925F26">
      <w:pPr>
        <w:jc w:val="both"/>
        <w:rPr>
          <w:color w:val="000000" w:themeColor="text1"/>
          <w:sz w:val="16"/>
          <w:szCs w:val="16"/>
        </w:rPr>
      </w:pPr>
      <w:r w:rsidRPr="00925F26">
        <w:rPr>
          <w:color w:val="000000" w:themeColor="text1"/>
          <w:sz w:val="16"/>
          <w:szCs w:val="16"/>
        </w:rPr>
        <w:t>Основа конструкции полностью осталась от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пулеметов с боезапасом 300 патронов, однако рассматривалась возможность установки четырех 20-мм или 37-мм пушек.</w:t>
      </w:r>
    </w:p>
    <w:p w14:paraId="3E51E7B7" w14:textId="7A482CE2" w:rsidR="00580BC7" w:rsidRPr="00925F26" w:rsidRDefault="00580BC7" w:rsidP="00925F26">
      <w:pPr>
        <w:jc w:val="both"/>
        <w:rPr>
          <w:color w:val="000000" w:themeColor="text1"/>
          <w:sz w:val="16"/>
          <w:szCs w:val="16"/>
        </w:rPr>
      </w:pPr>
      <w:r w:rsidRPr="00925F26">
        <w:rPr>
          <w:color w:val="000000" w:themeColor="text1"/>
          <w:sz w:val="16"/>
          <w:szCs w:val="16"/>
        </w:rPr>
        <w:t>Но ЛТХ самолета уступали конкуренту Lockheed P-80 Shooting Star, это привело к отмене проекта XP-83 в 1947 году (22587).</w:t>
      </w:r>
    </w:p>
    <w:p w14:paraId="6733349D" w14:textId="77777777" w:rsidR="00580BC7" w:rsidRPr="00925F26" w:rsidRDefault="00580BC7" w:rsidP="00925F26">
      <w:pPr>
        <w:jc w:val="both"/>
        <w:rPr>
          <w:color w:val="000000" w:themeColor="text1"/>
          <w:sz w:val="16"/>
          <w:szCs w:val="16"/>
        </w:rPr>
      </w:pPr>
    </w:p>
    <w:p w14:paraId="418D4414" w14:textId="77777777" w:rsidR="00580BC7" w:rsidRPr="00925F26" w:rsidRDefault="00580BC7" w:rsidP="00925F26">
      <w:pPr>
        <w:jc w:val="both"/>
        <w:rPr>
          <w:color w:val="000000" w:themeColor="text1"/>
          <w:sz w:val="16"/>
          <w:szCs w:val="16"/>
        </w:rPr>
      </w:pPr>
      <w:r w:rsidRPr="00925F26">
        <w:rPr>
          <w:color w:val="000000" w:themeColor="text1"/>
          <w:sz w:val="16"/>
          <w:szCs w:val="16"/>
        </w:rPr>
        <w:t>25 февраля 1945 союзнические войска впервые захватили неповрежденный немецкий реактивный бомбардировщик Arado Ar 234B Blitz (Lightning) (20471).</w:t>
      </w:r>
    </w:p>
    <w:p w14:paraId="637993FF" w14:textId="77777777" w:rsidR="00580BC7" w:rsidRPr="00925F26" w:rsidRDefault="00580BC7" w:rsidP="00925F26">
      <w:pPr>
        <w:jc w:val="both"/>
        <w:rPr>
          <w:color w:val="000000" w:themeColor="text1"/>
          <w:sz w:val="16"/>
          <w:szCs w:val="16"/>
        </w:rPr>
      </w:pPr>
    </w:p>
    <w:p w14:paraId="535B48B3" w14:textId="77777777" w:rsidR="003A3020" w:rsidRPr="00925F26" w:rsidRDefault="003A3020" w:rsidP="00925F26">
      <w:pPr>
        <w:jc w:val="both"/>
        <w:rPr>
          <w:color w:val="000000" w:themeColor="text1"/>
          <w:sz w:val="16"/>
          <w:szCs w:val="16"/>
        </w:rPr>
      </w:pPr>
      <w:r w:rsidRPr="00925F26">
        <w:rPr>
          <w:bCs/>
          <w:color w:val="000000" w:themeColor="text1"/>
          <w:sz w:val="16"/>
          <w:szCs w:val="16"/>
        </w:rPr>
        <w:t>25 февраля</w:t>
      </w:r>
      <w:r w:rsidRPr="00925F26">
        <w:rPr>
          <w:color w:val="000000" w:themeColor="text1"/>
          <w:sz w:val="16"/>
          <w:szCs w:val="16"/>
        </w:rPr>
        <w:t xml:space="preserve"> в 1945 году считается, что термин "железный занавес" появился после Второй мировой войны и придумал его в 1946-м Уинстон Черчилль. Но это не так. В еженедельнике Das Reich от 25 февраля 1945 немецкий министр пропаганды Йозеф Геббельс предрек, что в случае капитуляции Германии Советский Союз займет </w:t>
      </w:r>
      <w:r w:rsidRPr="00925F26">
        <w:rPr>
          <w:color w:val="000000" w:themeColor="text1"/>
          <w:sz w:val="16"/>
          <w:szCs w:val="16"/>
        </w:rPr>
        <w:lastRenderedPageBreak/>
        <w:t xml:space="preserve">большую часть восточной Европы, где опустится "железный занавес". Черчилль, без сомнения, читал эту статью и использовал понравившийся термин. Но автор метафоры не Геббельс. Понятие идет из театра </w:t>
      </w:r>
      <w:proofErr w:type="gramStart"/>
      <w:r w:rsidRPr="00925F26">
        <w:rPr>
          <w:color w:val="000000" w:themeColor="text1"/>
          <w:sz w:val="16"/>
          <w:szCs w:val="16"/>
        </w:rPr>
        <w:t>-- это</w:t>
      </w:r>
      <w:proofErr w:type="gramEnd"/>
      <w:r w:rsidRPr="00925F26">
        <w:rPr>
          <w:color w:val="000000" w:themeColor="text1"/>
          <w:sz w:val="16"/>
          <w:szCs w:val="16"/>
        </w:rPr>
        <w:t xml:space="preserve"> защитный от огня занавес, который опускался за основным, когда представление заканчивалось. Еще в 1918-м русский писатель и философ Василий Розанов в книге "Апокалипсис нашего времени" писал: "С грохотом, треском и скрипом на российскую историю опускается железный занавес. Представление окончено" (15051).</w:t>
      </w:r>
    </w:p>
    <w:p w14:paraId="7000DB02" w14:textId="77777777" w:rsidR="003A3020" w:rsidRPr="00925F26" w:rsidRDefault="003A3020" w:rsidP="00925F26">
      <w:pPr>
        <w:jc w:val="both"/>
        <w:rPr>
          <w:color w:val="000000" w:themeColor="text1"/>
          <w:sz w:val="16"/>
          <w:szCs w:val="16"/>
        </w:rPr>
      </w:pPr>
    </w:p>
    <w:p w14:paraId="6BDECFB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февраля 1945 в Германии впервые приняли участие в боях американские танки “Першинг” (4962).</w:t>
      </w:r>
    </w:p>
    <w:p w14:paraId="5DD3803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EA84A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25 1945 United States 21st Bomber Command makes first mass incendiary-bomb raid on Tokyo (1037).</w:t>
      </w:r>
    </w:p>
    <w:p w14:paraId="60EF4611" w14:textId="77777777" w:rsidR="00665165" w:rsidRPr="00925F26" w:rsidRDefault="00665165" w:rsidP="00925F26">
      <w:pPr>
        <w:autoSpaceDE w:val="0"/>
        <w:autoSpaceDN w:val="0"/>
        <w:adjustRightInd w:val="0"/>
        <w:jc w:val="both"/>
        <w:rPr>
          <w:color w:val="000000" w:themeColor="text1"/>
          <w:sz w:val="16"/>
          <w:szCs w:val="16"/>
          <w:lang w:val="en-US"/>
        </w:rPr>
      </w:pPr>
    </w:p>
    <w:p w14:paraId="565FE6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состоялся первый массовый налет бомбардировщиков, снаряженных зажигательными бомбами, на Токио (1037).</w:t>
      </w:r>
    </w:p>
    <w:p w14:paraId="38240ECB" w14:textId="77777777" w:rsidR="00665165" w:rsidRPr="00925F26" w:rsidRDefault="00665165" w:rsidP="00925F26">
      <w:pPr>
        <w:autoSpaceDE w:val="0"/>
        <w:autoSpaceDN w:val="0"/>
        <w:adjustRightInd w:val="0"/>
        <w:jc w:val="both"/>
        <w:rPr>
          <w:color w:val="000000" w:themeColor="text1"/>
          <w:sz w:val="16"/>
          <w:szCs w:val="16"/>
        </w:rPr>
      </w:pPr>
    </w:p>
    <w:p w14:paraId="49486CCE" w14:textId="77777777" w:rsidR="00580BC7" w:rsidRPr="00925F26" w:rsidRDefault="00580BC7" w:rsidP="00925F26">
      <w:pPr>
        <w:jc w:val="both"/>
        <w:rPr>
          <w:color w:val="000000" w:themeColor="text1"/>
          <w:sz w:val="16"/>
          <w:szCs w:val="16"/>
        </w:rPr>
      </w:pPr>
      <w:r w:rsidRPr="00925F26">
        <w:rPr>
          <w:color w:val="000000" w:themeColor="text1"/>
          <w:sz w:val="16"/>
          <w:szCs w:val="16"/>
        </w:rPr>
        <w:t>25 февраля 1945 самолеты с авианосцев оперативной группы 58 ВМС США наносят удары по целям вокруг Токио, но плохая погода вынуждает отменить многие удары (20371).</w:t>
      </w:r>
    </w:p>
    <w:p w14:paraId="7A82F858" w14:textId="77777777" w:rsidR="00580BC7" w:rsidRPr="00925F26" w:rsidRDefault="00580BC7" w:rsidP="00925F26">
      <w:pPr>
        <w:jc w:val="both"/>
        <w:rPr>
          <w:color w:val="000000" w:themeColor="text1"/>
          <w:sz w:val="16"/>
          <w:szCs w:val="16"/>
        </w:rPr>
      </w:pPr>
    </w:p>
    <w:p w14:paraId="0D7E3C30" w14:textId="04601530" w:rsidR="00580BC7" w:rsidRPr="00925F26" w:rsidRDefault="00580BC7" w:rsidP="00925F26">
      <w:pPr>
        <w:jc w:val="both"/>
        <w:rPr>
          <w:color w:val="000000" w:themeColor="text1"/>
          <w:sz w:val="16"/>
          <w:szCs w:val="16"/>
        </w:rPr>
      </w:pPr>
      <w:r w:rsidRPr="00925F26">
        <w:rPr>
          <w:color w:val="000000" w:themeColor="text1"/>
          <w:sz w:val="16"/>
          <w:szCs w:val="16"/>
        </w:rPr>
        <w:t xml:space="preserve">25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Начало налетов Boeing B-29 "Superfortresses" на Японию. 1667 тонн зажигательных бомб разрушают территорию в 15 квадратных миль в Токио (22587).</w:t>
      </w:r>
    </w:p>
    <w:p w14:paraId="3ED7A66C" w14:textId="77777777" w:rsidR="00580BC7" w:rsidRPr="00925F26" w:rsidRDefault="00580BC7" w:rsidP="00925F26">
      <w:pPr>
        <w:jc w:val="both"/>
        <w:rPr>
          <w:color w:val="000000" w:themeColor="text1"/>
          <w:sz w:val="16"/>
          <w:szCs w:val="16"/>
        </w:rPr>
      </w:pPr>
    </w:p>
    <w:p w14:paraId="0E70543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25, 1945: 400 RAF bombers carry out attacks against Dortmund and Rheine. Turkey declares war against Germany (3819).</w:t>
      </w:r>
    </w:p>
    <w:p w14:paraId="065B8352" w14:textId="77777777" w:rsidR="00665165" w:rsidRPr="00925F26" w:rsidRDefault="00665165" w:rsidP="00925F26">
      <w:pPr>
        <w:autoSpaceDE w:val="0"/>
        <w:autoSpaceDN w:val="0"/>
        <w:adjustRightInd w:val="0"/>
        <w:jc w:val="both"/>
        <w:rPr>
          <w:color w:val="000000" w:themeColor="text1"/>
          <w:sz w:val="16"/>
          <w:szCs w:val="16"/>
          <w:lang w:val="en-US"/>
        </w:rPr>
      </w:pPr>
    </w:p>
    <w:p w14:paraId="7FC9A33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25 </w:t>
      </w:r>
      <w:r w:rsidRPr="00925F26">
        <w:rPr>
          <w:color w:val="000000" w:themeColor="text1"/>
          <w:sz w:val="16"/>
          <w:szCs w:val="16"/>
        </w:rPr>
        <w:t>февраля</w:t>
      </w:r>
      <w:r w:rsidRPr="00925F26">
        <w:rPr>
          <w:color w:val="000000" w:themeColor="text1"/>
          <w:sz w:val="16"/>
          <w:szCs w:val="16"/>
          <w:lang w:val="en-US"/>
        </w:rPr>
        <w:t xml:space="preserve"> 1945 400 </w:t>
      </w:r>
      <w:r w:rsidRPr="00925F26">
        <w:rPr>
          <w:color w:val="000000" w:themeColor="text1"/>
          <w:sz w:val="16"/>
          <w:szCs w:val="16"/>
        </w:rPr>
        <w:t>бомбардировщиковКоролевскихВВСбомбилиДортмундиРейн</w:t>
      </w:r>
      <w:r w:rsidRPr="00925F26">
        <w:rPr>
          <w:color w:val="000000" w:themeColor="text1"/>
          <w:sz w:val="16"/>
          <w:szCs w:val="16"/>
          <w:lang w:val="en-US"/>
        </w:rPr>
        <w:t xml:space="preserve">. </w:t>
      </w:r>
      <w:r w:rsidRPr="00925F26">
        <w:rPr>
          <w:color w:val="000000" w:themeColor="text1"/>
          <w:sz w:val="16"/>
          <w:szCs w:val="16"/>
        </w:rPr>
        <w:t>Турция</w:t>
      </w:r>
      <w:r w:rsidRPr="00925F26">
        <w:rPr>
          <w:color w:val="000000" w:themeColor="text1"/>
          <w:sz w:val="16"/>
          <w:szCs w:val="16"/>
          <w:lang w:val="en-US"/>
        </w:rPr>
        <w:t xml:space="preserve"> </w:t>
      </w:r>
      <w:r w:rsidRPr="00925F26">
        <w:rPr>
          <w:color w:val="000000" w:themeColor="text1"/>
          <w:sz w:val="16"/>
          <w:szCs w:val="16"/>
        </w:rPr>
        <w:t>объявила</w:t>
      </w:r>
      <w:r w:rsidRPr="00925F26">
        <w:rPr>
          <w:color w:val="000000" w:themeColor="text1"/>
          <w:sz w:val="16"/>
          <w:szCs w:val="16"/>
          <w:lang w:val="en-US"/>
        </w:rPr>
        <w:t xml:space="preserve"> </w:t>
      </w:r>
      <w:r w:rsidRPr="00925F26">
        <w:rPr>
          <w:color w:val="000000" w:themeColor="text1"/>
          <w:sz w:val="16"/>
          <w:szCs w:val="16"/>
        </w:rPr>
        <w:t>войну</w:t>
      </w:r>
      <w:r w:rsidRPr="00925F26">
        <w:rPr>
          <w:color w:val="000000" w:themeColor="text1"/>
          <w:sz w:val="16"/>
          <w:szCs w:val="16"/>
          <w:lang w:val="en-US"/>
        </w:rPr>
        <w:t xml:space="preserve"> </w:t>
      </w:r>
      <w:r w:rsidRPr="00925F26">
        <w:rPr>
          <w:color w:val="000000" w:themeColor="text1"/>
          <w:sz w:val="16"/>
          <w:szCs w:val="16"/>
        </w:rPr>
        <w:t>Германии</w:t>
      </w:r>
      <w:r w:rsidRPr="00925F26">
        <w:rPr>
          <w:color w:val="000000" w:themeColor="text1"/>
          <w:sz w:val="16"/>
          <w:szCs w:val="16"/>
          <w:lang w:val="en-US"/>
        </w:rPr>
        <w:t xml:space="preserve"> (3819).</w:t>
      </w:r>
    </w:p>
    <w:p w14:paraId="7588AC82" w14:textId="77777777" w:rsidR="00665165" w:rsidRPr="00925F26" w:rsidRDefault="00665165" w:rsidP="00925F26">
      <w:pPr>
        <w:autoSpaceDE w:val="0"/>
        <w:autoSpaceDN w:val="0"/>
        <w:adjustRightInd w:val="0"/>
        <w:jc w:val="both"/>
        <w:rPr>
          <w:color w:val="000000" w:themeColor="text1"/>
          <w:sz w:val="16"/>
          <w:szCs w:val="16"/>
          <w:lang w:val="en-US"/>
        </w:rPr>
      </w:pPr>
    </w:p>
    <w:p w14:paraId="174EE48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8A2A94C" w14:textId="77777777" w:rsidR="00665165" w:rsidRPr="00925F26" w:rsidRDefault="00665165" w:rsidP="00925F26">
      <w:pPr>
        <w:autoSpaceDE w:val="0"/>
        <w:autoSpaceDN w:val="0"/>
        <w:adjustRightInd w:val="0"/>
        <w:jc w:val="both"/>
        <w:rPr>
          <w:iCs/>
          <w:color w:val="000000" w:themeColor="text1"/>
          <w:sz w:val="16"/>
          <w:szCs w:val="16"/>
        </w:rPr>
      </w:pPr>
    </w:p>
    <w:p w14:paraId="2345AB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февраля 1945 приказ НКАП во исполнение постановления ГКО от 21 февраля 1945 г., в соответствии с которым был создан учебно-тренировочный вариант штурмовика Ил-10 - УИл-10. Техничес</w:t>
      </w:r>
      <w:r w:rsidRPr="00925F26">
        <w:rPr>
          <w:color w:val="000000" w:themeColor="text1"/>
          <w:sz w:val="16"/>
          <w:szCs w:val="16"/>
        </w:rPr>
        <w:softHyphen/>
        <w:t>кие требования к нему заместитель ко</w:t>
      </w:r>
      <w:r w:rsidRPr="00925F26">
        <w:rPr>
          <w:color w:val="000000" w:themeColor="text1"/>
          <w:sz w:val="16"/>
          <w:szCs w:val="16"/>
        </w:rPr>
        <w:softHyphen/>
        <w:t>мандующего ВВС маршал Ф.Я. Фалалеев утвердил 21 апреля. Опытного образца, по-видимому, не было. Сразу начали с небольшой серии, выпущенной на заводе №1. Кабину стрелка переоборудовали для размеще</w:t>
      </w:r>
      <w:r w:rsidRPr="00925F26">
        <w:rPr>
          <w:color w:val="000000" w:themeColor="text1"/>
          <w:sz w:val="16"/>
          <w:szCs w:val="16"/>
        </w:rPr>
        <w:softHyphen/>
        <w:t>ния летчика-инструктора; там смонтиро</w:t>
      </w:r>
      <w:r w:rsidRPr="00925F26">
        <w:rPr>
          <w:color w:val="000000" w:themeColor="text1"/>
          <w:sz w:val="16"/>
          <w:szCs w:val="16"/>
        </w:rPr>
        <w:softHyphen/>
        <w:t>вали второе управление самолетом, установили приборную доску с указате</w:t>
      </w:r>
      <w:r w:rsidRPr="00925F26">
        <w:rPr>
          <w:color w:val="000000" w:themeColor="text1"/>
          <w:sz w:val="16"/>
          <w:szCs w:val="16"/>
        </w:rPr>
        <w:softHyphen/>
        <w:t>лями скорости и поворота, авиагоризон</w:t>
      </w:r>
      <w:r w:rsidRPr="00925F26">
        <w:rPr>
          <w:color w:val="000000" w:themeColor="text1"/>
          <w:sz w:val="16"/>
          <w:szCs w:val="16"/>
        </w:rPr>
        <w:softHyphen/>
        <w:t>том, высотомером, компасом. Сняли броневую перегородку между местами пилота и стрелка. Из вооружения оста</w:t>
      </w:r>
      <w:r w:rsidRPr="00925F26">
        <w:rPr>
          <w:color w:val="000000" w:themeColor="text1"/>
          <w:sz w:val="16"/>
          <w:szCs w:val="16"/>
        </w:rPr>
        <w:softHyphen/>
        <w:t>вили пулеметы ШКАС, две балки РО, внутреннюю и наружную подвеску бомб. При этом был изменен механизм закры</w:t>
      </w:r>
      <w:r w:rsidRPr="00925F26">
        <w:rPr>
          <w:color w:val="000000" w:themeColor="text1"/>
          <w:sz w:val="16"/>
          <w:szCs w:val="16"/>
        </w:rPr>
        <w:softHyphen/>
        <w:t>вания бомболюков (10681).</w:t>
      </w:r>
    </w:p>
    <w:p w14:paraId="42D777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F11E0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приказ НКАП № 76 и 21 февраля 1945 г. вышло Постановление ГОКО № 7560, в соответствии с которыми на авиазаводе № 1 строился учебно-тренировочный вариант штурмовика Ил-10 (7489).</w:t>
      </w:r>
    </w:p>
    <w:p w14:paraId="4BE6C8C9" w14:textId="77777777" w:rsidR="00665165" w:rsidRPr="00925F26" w:rsidRDefault="00665165" w:rsidP="00925F26">
      <w:pPr>
        <w:autoSpaceDE w:val="0"/>
        <w:autoSpaceDN w:val="0"/>
        <w:adjustRightInd w:val="0"/>
        <w:jc w:val="both"/>
        <w:rPr>
          <w:color w:val="000000" w:themeColor="text1"/>
          <w:sz w:val="16"/>
          <w:szCs w:val="16"/>
        </w:rPr>
      </w:pPr>
    </w:p>
    <w:p w14:paraId="6FB1AD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СМ утвердил план опытного самолетостроения, где уже был МиГ-9 со сроком предъявления га гос. испытания 1 сентября 1946 (449).</w:t>
      </w:r>
    </w:p>
    <w:p w14:paraId="0E6BF2F7" w14:textId="77777777" w:rsidR="00665165" w:rsidRPr="00925F26" w:rsidRDefault="00665165" w:rsidP="00925F26">
      <w:pPr>
        <w:autoSpaceDE w:val="0"/>
        <w:autoSpaceDN w:val="0"/>
        <w:adjustRightInd w:val="0"/>
        <w:jc w:val="both"/>
        <w:rPr>
          <w:color w:val="000000" w:themeColor="text1"/>
          <w:sz w:val="16"/>
          <w:szCs w:val="16"/>
        </w:rPr>
      </w:pPr>
    </w:p>
    <w:p w14:paraId="5E54A8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вышел приказ НКАП N 76сс:</w:t>
      </w:r>
    </w:p>
    <w:p w14:paraId="70D2F3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ГОКО N 7560сс от 21 февраля 1945:</w:t>
      </w:r>
    </w:p>
    <w:p w14:paraId="67CAC9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Зам. наркома - нач. ПГУ Воронину и директорам заводов 82 Алексееву и 301 Смирнову обеспечить с 1 апреля 1945 выпуск ежеквартально учебных самолетов с двойным управлением в след. количествах:</w:t>
      </w:r>
    </w:p>
    <w:p w14:paraId="69AB7D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82 - 50 самолетов Як-9 с ВК-107А</w:t>
      </w:r>
    </w:p>
    <w:p w14:paraId="72FD8F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301 - переоборудование 125 самолетов Як-9 ВК105ПФ</w:t>
      </w:r>
    </w:p>
    <w:p w14:paraId="048A25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ГК А.С.Я. разработать и передать заводу 82 чертежи учебного самолета Як-9 ВК-107А с двойным управлением не позднее 1 мая с.г.</w:t>
      </w:r>
    </w:p>
    <w:p w14:paraId="42D8B5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Директору завода 82 Вгурееву к 1 июня изготовить и передать на гос. испытания в ГК НИИ ВВС головной учебный самолет Як-9 ВК-107А.</w:t>
      </w:r>
    </w:p>
    <w:p w14:paraId="0EC4A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ГК С.А.Л.:</w:t>
      </w:r>
    </w:p>
    <w:p w14:paraId="29F283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передать заводу 163 чертежи учебного самолета Ла-7 с двойным управлением не позднее 10 марта с.г.</w:t>
      </w:r>
    </w:p>
    <w:p w14:paraId="57B4DA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изготовленный ОКБ на заводе 21 учебный Ла-7 передать в ГК НИИ ВВС на гос. испытания к 15 марта с.г.</w:t>
      </w:r>
    </w:p>
    <w:p w14:paraId="502F4F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Директору завода 31 Смирнову учебные самолеты Як-9 ВК-105ПФ выпускать по имеющимся на заводе чертежам, утвержденным ГК А.С.Я. 1-й головной учебный Як-9 с ВК-105ПФ передать на гос. испытания к 1 марта с.г.</w:t>
      </w:r>
    </w:p>
    <w:p w14:paraId="420888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Зам. наркома - нач. 10 ГУ А.И.Кузнецову и директорам заводов 18 Белянскому, 30 - Нестерову, 22 Окулову, 23 - Третьякову, 1 - Литвинову обеспечить с 1 апреля 1945 выпуск ежеквартально учебных самолетов с двойным управлением в след.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02E92EC9" w14:textId="77777777">
        <w:tc>
          <w:tcPr>
            <w:tcW w:w="5636" w:type="dxa"/>
          </w:tcPr>
          <w:p w14:paraId="5C753B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18</w:t>
            </w:r>
          </w:p>
        </w:tc>
        <w:tc>
          <w:tcPr>
            <w:tcW w:w="5636" w:type="dxa"/>
          </w:tcPr>
          <w:p w14:paraId="1872B0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- 90 Ил-2</w:t>
            </w:r>
          </w:p>
        </w:tc>
      </w:tr>
      <w:tr w:rsidR="000F5689" w:rsidRPr="00925F26" w14:paraId="4A9562DC" w14:textId="77777777">
        <w:tc>
          <w:tcPr>
            <w:tcW w:w="5636" w:type="dxa"/>
          </w:tcPr>
          <w:p w14:paraId="46B48F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5636" w:type="dxa"/>
          </w:tcPr>
          <w:p w14:paraId="17E516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- 30</w:t>
            </w:r>
          </w:p>
        </w:tc>
      </w:tr>
      <w:tr w:rsidR="000F5689" w:rsidRPr="00925F26" w14:paraId="0C1F0781" w14:textId="77777777">
        <w:tc>
          <w:tcPr>
            <w:tcW w:w="5636" w:type="dxa"/>
          </w:tcPr>
          <w:p w14:paraId="5FFE78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5636" w:type="dxa"/>
          </w:tcPr>
          <w:p w14:paraId="405EB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- 80</w:t>
            </w:r>
          </w:p>
        </w:tc>
      </w:tr>
      <w:tr w:rsidR="000F5689" w:rsidRPr="00925F26" w14:paraId="201517B9" w14:textId="77777777">
        <w:tc>
          <w:tcPr>
            <w:tcW w:w="5636" w:type="dxa"/>
          </w:tcPr>
          <w:p w14:paraId="1D6FA0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5636" w:type="dxa"/>
          </w:tcPr>
          <w:p w14:paraId="5E73EB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- 18</w:t>
            </w:r>
          </w:p>
        </w:tc>
      </w:tr>
      <w:tr w:rsidR="000F5689" w:rsidRPr="00925F26" w14:paraId="2117C5E5" w14:textId="77777777">
        <w:tc>
          <w:tcPr>
            <w:tcW w:w="5636" w:type="dxa"/>
          </w:tcPr>
          <w:p w14:paraId="643BD8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36" w:type="dxa"/>
          </w:tcPr>
          <w:p w14:paraId="66E959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Ил-10 во 2 кв. - 10, в 3 - 50, в 4 - 75</w:t>
            </w:r>
          </w:p>
        </w:tc>
      </w:tr>
    </w:tbl>
    <w:p w14:paraId="280FB7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ГК С.В.И. разработать и передать заводу 1 чертежи учебного самолета с двойным управлением не позднее 15 марта с.г. Директору завода 1 Литвинову не позднее 1 мая 1045 передать на гос. испытания головной учебный самолет Ил-10.</w:t>
      </w:r>
    </w:p>
    <w:p w14:paraId="7DF55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Директору завода 30 Нестерову учебные самолеты Ил-2 выпускать по серийным чертежам завода 18</w:t>
      </w:r>
    </w:p>
    <w:p w14:paraId="485E9E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Директорам заводов 18, 22, 23 выпускать учебные самолеты Ил-2, Пе-2 и Ту-2 по серийным образцам 1944.</w:t>
      </w:r>
    </w:p>
    <w:p w14:paraId="70E61A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И.о. нач. 6 ГУ Пагину и директору завода 163 Иваненко обеспечить с 1 апреля 1945 переоборудование самолетов ла-7 в учебные самолеты с двойным управлением по 120 самолетов ежеквартально.</w:t>
      </w:r>
    </w:p>
    <w:p w14:paraId="46A111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Нач. 11 ГУ Куликову и директорам заводов 116 Новикову, 168 Бугрову и 447 Наджарян обеспечить выпуск УТ самолетов УТ-2 в 1945 в след. количествах:</w:t>
      </w:r>
    </w:p>
    <w:p w14:paraId="2C2898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 1 кв. - 300, в т.ч.</w:t>
      </w:r>
    </w:p>
    <w:p w14:paraId="2C672B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116 - 186</w:t>
      </w:r>
    </w:p>
    <w:p w14:paraId="0CF6AE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168 - 114</w:t>
      </w:r>
    </w:p>
    <w:p w14:paraId="6E8B9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во 2 кв. - 400, в т.ч.</w:t>
      </w:r>
    </w:p>
    <w:p w14:paraId="7BEB86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116 - 220</w:t>
      </w:r>
    </w:p>
    <w:p w14:paraId="158C6E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168 - 165</w:t>
      </w:r>
    </w:p>
    <w:p w14:paraId="478089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447 - 15</w:t>
      </w:r>
    </w:p>
    <w:p w14:paraId="2938E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 3 кв. - 600. в т.ч.</w:t>
      </w:r>
    </w:p>
    <w:p w14:paraId="062EF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116 - 285</w:t>
      </w:r>
    </w:p>
    <w:p w14:paraId="53390B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168 - 215</w:t>
      </w:r>
    </w:p>
    <w:p w14:paraId="4E721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447 - 15</w:t>
      </w:r>
    </w:p>
    <w:p w14:paraId="0AF2C7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 3 кв. - 700. в т.ч.</w:t>
      </w:r>
    </w:p>
    <w:p w14:paraId="1EEF2C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116 - 300</w:t>
      </w:r>
    </w:p>
    <w:p w14:paraId="58823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168 - 250</w:t>
      </w:r>
    </w:p>
    <w:p w14:paraId="1709DA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447 - 150</w:t>
      </w:r>
    </w:p>
    <w:p w14:paraId="7011F5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Нач. 11 ГУ Куликову и директору завода 499 Москалеву перебазировать завод со станции Заводоуковская в Ленинград на пл. завода 273 для организации на нем производства самолетов УТ-2</w:t>
      </w:r>
    </w:p>
    <w:p w14:paraId="7BFA10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десантных планеров АМ-14 прекратить." (1887,124).</w:t>
      </w:r>
    </w:p>
    <w:p w14:paraId="436495F8" w14:textId="77777777" w:rsidR="00665165" w:rsidRPr="00925F26" w:rsidRDefault="00665165" w:rsidP="00925F26">
      <w:pPr>
        <w:autoSpaceDE w:val="0"/>
        <w:autoSpaceDN w:val="0"/>
        <w:adjustRightInd w:val="0"/>
        <w:jc w:val="both"/>
        <w:rPr>
          <w:color w:val="000000" w:themeColor="text1"/>
          <w:sz w:val="16"/>
          <w:szCs w:val="16"/>
        </w:rPr>
      </w:pPr>
    </w:p>
    <w:p w14:paraId="04DA15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г. по приказу № 76с в состав завода № 273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 влит завод № 499 НКАП (Тюменская обл.) (11982).</w:t>
      </w:r>
    </w:p>
    <w:p w14:paraId="3D83109F" w14:textId="77777777" w:rsidR="00665165" w:rsidRPr="00925F26" w:rsidRDefault="00665165" w:rsidP="00925F26">
      <w:pPr>
        <w:autoSpaceDE w:val="0"/>
        <w:autoSpaceDN w:val="0"/>
        <w:adjustRightInd w:val="0"/>
        <w:jc w:val="both"/>
        <w:rPr>
          <w:color w:val="000000" w:themeColor="text1"/>
          <w:sz w:val="16"/>
          <w:szCs w:val="16"/>
        </w:rPr>
      </w:pPr>
    </w:p>
    <w:p w14:paraId="68217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г. завод № 499 по приказу № 76сс в 04.1945 г. был переведен в Ленинград и влит в состав завода № 273 НКАП. С 1946 г. Москалёв перешёл работать в ОКБ Четверикова, а с 1948 г.- на преподавательской работе. Площади в Заводоуковке, часть кадров и оборудования переданы в ведение НК совхозов для организации мотороремонтного предприятия.</w:t>
      </w:r>
    </w:p>
    <w:p w14:paraId="661063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(-05.1942-05.1945 г.-)- А.С. Москалев.</w:t>
      </w:r>
    </w:p>
    <w:p w14:paraId="1DBEAE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(-05.1942-05.1945 г.-)- А.С. Москалев.</w:t>
      </w:r>
    </w:p>
    <w:p w14:paraId="3730DF2B"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десантные кабины для Ил-4; планеры: тренировочный УС-6 (А-2) (1942-), десантный РФ-8 (А- 7) (-1944), десантный </w:t>
      </w:r>
      <w:r w:rsidRPr="00925F26">
        <w:rPr>
          <w:color w:val="000000" w:themeColor="text1"/>
          <w:sz w:val="16"/>
          <w:szCs w:val="16"/>
          <w:lang w:val="en-US"/>
        </w:rPr>
        <w:t>AM</w:t>
      </w:r>
      <w:r w:rsidRPr="00925F26">
        <w:rPr>
          <w:color w:val="000000" w:themeColor="text1"/>
          <w:sz w:val="16"/>
          <w:szCs w:val="16"/>
        </w:rPr>
        <w:t>-14 (1944).</w:t>
      </w:r>
    </w:p>
    <w:p w14:paraId="68EE3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завода № 499 НКАП</w:t>
      </w:r>
    </w:p>
    <w:p w14:paraId="155C83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Образовано по приказу № 484с от 12.08.1943 г. для проектирования и постройки опытных десантных планеров легкого и среднего классов. Первым заданием было постройка планера на 15 мест и модификация планера А-7. В 1943-45 г. Москалевым разработаны опытные планеры АМ-14 на базе А-7, САМ-23. Работы по десантным планерам САМ-22 (М14-М), САМ-24, САМ-28; проект самолета РМ-1 с ЖРД Душкина (1944-45 г.).</w:t>
      </w:r>
    </w:p>
    <w:p w14:paraId="192F5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Новозаимовский механический завод, Тюменский завод сельскохозяйственных машин («Тюменьсельмаш»), Заводоуковский машиностроительный завод (ЗМЗ) Минхиммаша, ОАО «ЗМЗ» /627144  г. Заводоуковск Тюменской обл. ул. Заводская, 1А/</w:t>
      </w:r>
    </w:p>
    <w:p w14:paraId="47A5ED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1945 г. площади в Заводоуковке, часть кадров и оборудования реэвакуированного завода № 499 НКАП переданы в ведение НК совхозов, и организован мотороремонтный Новозаимовский механический завод. По распоряжению Тюменского СНХ от 3.06.1958 г. он переименован в Тюменский завод сельскохозяйственных машин («Тюменьсельмаш»).</w:t>
      </w:r>
    </w:p>
    <w:p w14:paraId="438F12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1958-73 г. завод выпуска» передвижные ремонтные мастерские, трактора для буртования торфа, тракторные самосвальные прицепы, сельхозмашины и запчасти для них. До 1992 г. для МО выпускалось до 15 модификаций кузовов-фургонов на атомобильном и прицепном шасси.</w:t>
      </w:r>
    </w:p>
    <w:p w14:paraId="62CA4C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Минхиммаша № 320 от 1.12.1989 г. предприятие переименовано в ЗМЗ.</w:t>
      </w:r>
    </w:p>
    <w:p w14:paraId="05F15C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09.1992 г. на базе военного изделия 2603Б налажен выпуск жилых мобильных зданий типа «Кедр». К 2000 г. их выпускалось более 280 модификаций.</w:t>
      </w:r>
    </w:p>
    <w:p w14:paraId="1763F5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территории (1973 г.)- 29,3 га.</w:t>
      </w:r>
    </w:p>
    <w:p w14:paraId="70DB4A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(1973 г.)- 1840 чел.</w:t>
      </w:r>
    </w:p>
    <w:p w14:paraId="27D8BEDA"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кузова-фургоны: на шасси КамАЗ-4310 (1980-е); навесная жатка ЖН-4, зерноочистительная машина ОВВ-20, разбрасыватель удобрений КСА-3, машина для внесения удобрений МХА-7 (1980-е) (11982).</w:t>
      </w:r>
    </w:p>
    <w:p w14:paraId="411E7D3F" w14:textId="77777777" w:rsidR="00665165" w:rsidRPr="00925F26" w:rsidRDefault="00665165" w:rsidP="00925F26">
      <w:pPr>
        <w:autoSpaceDE w:val="0"/>
        <w:autoSpaceDN w:val="0"/>
        <w:adjustRightInd w:val="0"/>
        <w:jc w:val="both"/>
        <w:rPr>
          <w:color w:val="000000" w:themeColor="text1"/>
          <w:sz w:val="16"/>
          <w:szCs w:val="16"/>
        </w:rPr>
      </w:pPr>
    </w:p>
    <w:p w14:paraId="49B7C1BD" w14:textId="77777777" w:rsidR="004945E9" w:rsidRPr="00925F26" w:rsidRDefault="004945E9" w:rsidP="00925F26">
      <w:pPr>
        <w:jc w:val="both"/>
        <w:rPr>
          <w:color w:val="000000" w:themeColor="text1"/>
          <w:sz w:val="16"/>
          <w:szCs w:val="16"/>
        </w:rPr>
      </w:pPr>
      <w:r w:rsidRPr="00925F26">
        <w:rPr>
          <w:color w:val="000000" w:themeColor="text1"/>
          <w:sz w:val="16"/>
          <w:szCs w:val="16"/>
        </w:rPr>
        <w:t>26 февраля 1945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2990400F" w14:textId="77777777" w:rsidR="004945E9" w:rsidRPr="00925F26" w:rsidRDefault="004945E9" w:rsidP="00925F26">
      <w:pPr>
        <w:jc w:val="both"/>
        <w:rPr>
          <w:color w:val="000000" w:themeColor="text1"/>
          <w:sz w:val="16"/>
          <w:szCs w:val="16"/>
        </w:rPr>
      </w:pPr>
      <w:r w:rsidRPr="00925F26">
        <w:rPr>
          <w:color w:val="000000" w:themeColor="text1"/>
          <w:sz w:val="16"/>
          <w:szCs w:val="16"/>
        </w:rPr>
        <w:t>20 марта 1945 года состоялся первый пуск СС „10-Х” с самолета-носителя ПЕ-8.</w:t>
      </w:r>
    </w:p>
    <w:p w14:paraId="1DF65578" w14:textId="77777777" w:rsidR="004945E9" w:rsidRPr="00925F26" w:rsidRDefault="004945E9" w:rsidP="00925F26">
      <w:pPr>
        <w:jc w:val="both"/>
        <w:rPr>
          <w:color w:val="000000" w:themeColor="text1"/>
          <w:sz w:val="16"/>
          <w:szCs w:val="16"/>
        </w:rPr>
      </w:pPr>
      <w:r w:rsidRPr="00925F26">
        <w:rPr>
          <w:color w:val="000000" w:themeColor="text1"/>
          <w:sz w:val="16"/>
          <w:szCs w:val="16"/>
        </w:rPr>
        <w:t>В период с 20 марта по 28 июля, при наличии трех самолетов-носителей ПЕ-8 и самолета ЕР-2, было проведено 70 пусков СС „10-</w:t>
      </w:r>
      <w:proofErr w:type="gramStart"/>
      <w:r w:rsidRPr="00925F26">
        <w:rPr>
          <w:color w:val="000000" w:themeColor="text1"/>
          <w:sz w:val="16"/>
          <w:szCs w:val="16"/>
        </w:rPr>
        <w:t>Х”...</w:t>
      </w:r>
      <w:proofErr w:type="gramEnd"/>
      <w:r w:rsidRPr="00925F26">
        <w:rPr>
          <w:color w:val="000000" w:themeColor="text1"/>
          <w:sz w:val="16"/>
          <w:szCs w:val="16"/>
        </w:rPr>
        <w:t>» (12414).</w:t>
      </w:r>
    </w:p>
    <w:p w14:paraId="0E39A427" w14:textId="77777777" w:rsidR="004945E9" w:rsidRPr="00925F26" w:rsidRDefault="004945E9" w:rsidP="00925F26">
      <w:pPr>
        <w:jc w:val="both"/>
        <w:rPr>
          <w:color w:val="000000" w:themeColor="text1"/>
          <w:sz w:val="16"/>
          <w:szCs w:val="16"/>
        </w:rPr>
      </w:pPr>
    </w:p>
    <w:p w14:paraId="545B318D" w14:textId="77777777" w:rsidR="00FC3E2B" w:rsidRPr="00925F26" w:rsidRDefault="00FC3E2B" w:rsidP="00925F26">
      <w:pPr>
        <w:jc w:val="both"/>
        <w:rPr>
          <w:color w:val="000000" w:themeColor="text1"/>
          <w:sz w:val="16"/>
          <w:szCs w:val="16"/>
        </w:rPr>
      </w:pPr>
      <w:r w:rsidRPr="00925F26">
        <w:rPr>
          <w:color w:val="000000" w:themeColor="text1"/>
          <w:sz w:val="16"/>
          <w:szCs w:val="16"/>
        </w:rPr>
        <w:t>26 февраля 1945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 (15134).</w:t>
      </w:r>
    </w:p>
    <w:p w14:paraId="4988CFB4" w14:textId="77777777" w:rsidR="00FC3E2B" w:rsidRPr="00925F26" w:rsidRDefault="00FC3E2B" w:rsidP="00925F26">
      <w:pPr>
        <w:jc w:val="both"/>
        <w:rPr>
          <w:color w:val="000000" w:themeColor="text1"/>
          <w:sz w:val="16"/>
          <w:szCs w:val="16"/>
        </w:rPr>
      </w:pPr>
      <w:r w:rsidRPr="00925F26">
        <w:rPr>
          <w:color w:val="000000" w:themeColor="text1"/>
          <w:sz w:val="16"/>
          <w:szCs w:val="16"/>
        </w:rPr>
        <w:t>20 марта 1945 года состоялся первый пуск СС „10-Х” с самолета-носителя ПЕ-8. В период с 20 марта по 28 июля, при наличии трех самолетов-носителей ПЕ-8 и самолета ЕР-2, было проведено 70 пусков СС „10-</w:t>
      </w:r>
      <w:proofErr w:type="gramStart"/>
      <w:r w:rsidRPr="00925F26">
        <w:rPr>
          <w:color w:val="000000" w:themeColor="text1"/>
          <w:sz w:val="16"/>
          <w:szCs w:val="16"/>
        </w:rPr>
        <w:t>Х”...</w:t>
      </w:r>
      <w:proofErr w:type="gramEnd"/>
      <w:r w:rsidRPr="00925F26">
        <w:rPr>
          <w:color w:val="000000" w:themeColor="text1"/>
          <w:sz w:val="16"/>
          <w:szCs w:val="16"/>
        </w:rPr>
        <w:t>» (15134).</w:t>
      </w:r>
    </w:p>
    <w:p w14:paraId="2095124C" w14:textId="77777777" w:rsidR="00FC3E2B" w:rsidRPr="00925F26" w:rsidRDefault="00FC3E2B" w:rsidP="00925F26">
      <w:pPr>
        <w:pStyle w:val="heading3"/>
        <w:spacing w:before="0" w:after="0"/>
        <w:jc w:val="both"/>
        <w:rPr>
          <w:rFonts w:ascii="Times New Roman" w:hAnsi="Times New Roman" w:cs="Times New Roman"/>
          <w:b w:val="0"/>
          <w:color w:val="000000" w:themeColor="text1"/>
          <w:sz w:val="16"/>
          <w:szCs w:val="16"/>
        </w:rPr>
      </w:pPr>
    </w:p>
    <w:p w14:paraId="11EBA24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7BD9899" w14:textId="77777777" w:rsidR="00665165" w:rsidRPr="00925F26" w:rsidRDefault="00665165" w:rsidP="00925F26">
      <w:pPr>
        <w:autoSpaceDE w:val="0"/>
        <w:autoSpaceDN w:val="0"/>
        <w:adjustRightInd w:val="0"/>
        <w:jc w:val="both"/>
        <w:rPr>
          <w:iCs/>
          <w:color w:val="000000" w:themeColor="text1"/>
          <w:sz w:val="16"/>
          <w:szCs w:val="16"/>
        </w:rPr>
      </w:pPr>
    </w:p>
    <w:p w14:paraId="5F93E3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февраля 1945 г. была подготовлена ДОКЛАДНАЯ ЗАПИСКА ЗАМЕСТИТЕЛЯ КОМАНДУЮЩЕГО БТ и МВ КА ЗАМЕСТИТЕЛЮ ПРЕДСЕДАТЕЛЯ ГКО Л.П. БЕРИИ О МЕРОПРИЯТИЯХ ПО ОБЕСПЕЧЕНИЮ ВЫПУСКА ТАНКОВ НА ЗАВОДЕ №183</w:t>
      </w:r>
    </w:p>
    <w:p w14:paraId="478794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что на заводе №183 в связи с необеспеченностью топливом создалось тяжелое положение, при котором мартовская программа выпуска танков находится под серьезной угрозой невыполнения.</w:t>
      </w:r>
    </w:p>
    <w:p w14:paraId="375021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февраля 1945 г. районный инженер ГБТУ КА на заводе №183 гвардии инженер-полковник т. Храмцов донес, что в феврале месяце завод №183 недополучил более 500 вагонов торфа, 1111 тонн мазута и систематически недополучает суточной нормы газа с Нижнетагильского металлургического завода.</w:t>
      </w:r>
    </w:p>
    <w:p w14:paraId="18246C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необеспеченностью топливом нарушилась нормальная работа мартеновских печей, кузнечного и термического цехов.</w:t>
      </w:r>
    </w:p>
    <w:p w14:paraId="4871A5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Обеспечение февральской программой выпуска танков башнями и поковками шло за счет сни</w:t>
      </w:r>
      <w:r w:rsidRPr="00925F26">
        <w:rPr>
          <w:color w:val="000000" w:themeColor="text1"/>
          <w:sz w:val="16"/>
          <w:szCs w:val="16"/>
        </w:rPr>
        <w:softHyphen/>
        <w:t>жения заделов.</w:t>
      </w:r>
    </w:p>
    <w:p w14:paraId="4AF4FC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этим изделиям завод №183 к марту месяцу оказался без необходимых заделов.</w:t>
      </w:r>
    </w:p>
    <w:p w14:paraId="339A00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Прошу Ваших соответствующих указаний директору Нижнетагильского металлургического завода т. Резникову и НКПС по обеспечению завода №183 газом и подвижным составом для подвоза топлива.</w:t>
      </w:r>
    </w:p>
    <w:p w14:paraId="35FFD4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3275CE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Член военного совета БТ и МВ КА генерал-полковник танковых войск Бирюков</w:t>
      </w:r>
    </w:p>
    <w:p w14:paraId="6C917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Он. 11355. Д. 2743. Л. 14. Копия (11420).</w:t>
      </w:r>
    </w:p>
    <w:p w14:paraId="22E689D7" w14:textId="77777777" w:rsidR="00665165" w:rsidRPr="00925F26" w:rsidRDefault="00665165" w:rsidP="00925F26">
      <w:pPr>
        <w:autoSpaceDE w:val="0"/>
        <w:autoSpaceDN w:val="0"/>
        <w:adjustRightInd w:val="0"/>
        <w:jc w:val="both"/>
        <w:rPr>
          <w:color w:val="000000" w:themeColor="text1"/>
          <w:sz w:val="16"/>
          <w:szCs w:val="16"/>
        </w:rPr>
      </w:pPr>
    </w:p>
    <w:p w14:paraId="0142B5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г. Главной государственной санитарной инспекцией СССР был объявлен временный стандарт - ПДК паров стойкого ОВ кожно-нарывного действия иприта в воздухе рабочих помещений. К этому времени работы с ипритом в Чапаевске (Куйбышевская область), Волгограде, Березниках (Пермская область), Кирово-Чепецке (Кировская область) уже прекратились, а в Дзержинске (Горьковская область) - резко сократились. Таким образом, всю войну государство держало людей в заведомо отравленной атмосфере (без каких-либо гигиенических норм) и их поражение было неизбежным (9067).</w:t>
      </w:r>
    </w:p>
    <w:p w14:paraId="77350D85" w14:textId="77777777" w:rsidR="00665165" w:rsidRPr="00925F26" w:rsidRDefault="00665165" w:rsidP="00925F26">
      <w:pPr>
        <w:autoSpaceDE w:val="0"/>
        <w:autoSpaceDN w:val="0"/>
        <w:adjustRightInd w:val="0"/>
        <w:jc w:val="both"/>
        <w:rPr>
          <w:color w:val="000000" w:themeColor="text1"/>
          <w:sz w:val="16"/>
          <w:szCs w:val="16"/>
        </w:rPr>
      </w:pPr>
    </w:p>
    <w:p w14:paraId="4954AB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26-27 февраля 1945 заложены еще два ТЩ. В постройке находилось 12 ТЩ. Сдана флоту баржа-бензовоз (10671).</w:t>
      </w:r>
    </w:p>
    <w:p w14:paraId="50522F1A" w14:textId="77777777" w:rsidR="00665165" w:rsidRPr="00925F26" w:rsidRDefault="00665165" w:rsidP="00925F26">
      <w:pPr>
        <w:autoSpaceDE w:val="0"/>
        <w:autoSpaceDN w:val="0"/>
        <w:adjustRightInd w:val="0"/>
        <w:jc w:val="both"/>
        <w:rPr>
          <w:color w:val="000000" w:themeColor="text1"/>
          <w:sz w:val="16"/>
          <w:szCs w:val="16"/>
        </w:rPr>
      </w:pPr>
    </w:p>
    <w:p w14:paraId="7BE5CEE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A3FB203" w14:textId="77777777" w:rsidR="00665165" w:rsidRPr="00925F26" w:rsidRDefault="00665165" w:rsidP="00925F26">
      <w:pPr>
        <w:autoSpaceDE w:val="0"/>
        <w:autoSpaceDN w:val="0"/>
        <w:adjustRightInd w:val="0"/>
        <w:jc w:val="both"/>
        <w:rPr>
          <w:iCs/>
          <w:color w:val="000000" w:themeColor="text1"/>
          <w:sz w:val="16"/>
          <w:szCs w:val="16"/>
        </w:rPr>
      </w:pPr>
    </w:p>
    <w:p w14:paraId="389CF030" w14:textId="77777777" w:rsidR="00FC3E2B" w:rsidRPr="00925F26" w:rsidRDefault="00FC3E2B" w:rsidP="00925F26">
      <w:pPr>
        <w:jc w:val="both"/>
        <w:rPr>
          <w:color w:val="000000" w:themeColor="text1"/>
          <w:sz w:val="16"/>
          <w:szCs w:val="16"/>
        </w:rPr>
      </w:pPr>
      <w:r w:rsidRPr="00925F26">
        <w:rPr>
          <w:bCs/>
          <w:color w:val="000000" w:themeColor="text1"/>
          <w:sz w:val="16"/>
          <w:szCs w:val="16"/>
        </w:rPr>
        <w:t>26 февраля</w:t>
      </w:r>
      <w:r w:rsidRPr="00925F26">
        <w:rPr>
          <w:color w:val="000000" w:themeColor="text1"/>
          <w:sz w:val="16"/>
          <w:szCs w:val="16"/>
        </w:rPr>
        <w:t xml:space="preserve"> в 1945 году оперативная сводка Совинформбюро:</w:t>
      </w:r>
    </w:p>
    <w:p w14:paraId="77B725C5" w14:textId="77777777" w:rsidR="00FC3E2B" w:rsidRPr="00925F26" w:rsidRDefault="00FC3E2B" w:rsidP="00925F26">
      <w:pPr>
        <w:jc w:val="both"/>
        <w:rPr>
          <w:color w:val="000000" w:themeColor="text1"/>
          <w:sz w:val="16"/>
          <w:szCs w:val="16"/>
        </w:rPr>
      </w:pPr>
      <w:r w:rsidRPr="00925F26">
        <w:rPr>
          <w:color w:val="000000" w:themeColor="text1"/>
          <w:sz w:val="16"/>
          <w:szCs w:val="16"/>
        </w:rPr>
        <w:t>«В течение 26 февраля на Земландском полуострове северо-западнее Кенигсберга наши войска успешно отбивали атаки пехоты и танков противника. Юго-западнее Кенигсберга наши войска с боем заняли населённые пункты Эрнстфельде, Дюстервальде, Наусседен, Хайлигенхоф, Яннитц. За 25 февраля в районах северо-западнее и юго-западнее Кенигсберга подбито и уничтожено 69 немецких танков и самоходных орудий.</w:t>
      </w:r>
    </w:p>
    <w:p w14:paraId="4830E995" w14:textId="77777777" w:rsidR="00FC3E2B" w:rsidRPr="00925F26" w:rsidRDefault="00FC3E2B" w:rsidP="00925F26">
      <w:pPr>
        <w:jc w:val="both"/>
        <w:rPr>
          <w:color w:val="000000" w:themeColor="text1"/>
          <w:sz w:val="16"/>
          <w:szCs w:val="16"/>
        </w:rPr>
      </w:pPr>
      <w:r w:rsidRPr="00925F26">
        <w:rPr>
          <w:color w:val="000000" w:themeColor="text1"/>
          <w:sz w:val="16"/>
          <w:szCs w:val="16"/>
        </w:rPr>
        <w:t>В районе Бреслау продолжались бои по уничтожению окружённой группировки противника, в ходе которых наши войска заняли 15 кварталов.</w:t>
      </w:r>
    </w:p>
    <w:p w14:paraId="177DCC14" w14:textId="77777777" w:rsidR="00FC3E2B" w:rsidRPr="00925F26" w:rsidRDefault="00FC3E2B"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500AD1AA" w14:textId="77777777" w:rsidR="00FC3E2B" w:rsidRPr="00925F26" w:rsidRDefault="00FC3E2B" w:rsidP="00925F26">
      <w:pPr>
        <w:jc w:val="both"/>
        <w:rPr>
          <w:color w:val="000000" w:themeColor="text1"/>
          <w:sz w:val="16"/>
          <w:szCs w:val="16"/>
        </w:rPr>
      </w:pPr>
      <w:r w:rsidRPr="00925F26">
        <w:rPr>
          <w:color w:val="000000" w:themeColor="text1"/>
          <w:sz w:val="16"/>
          <w:szCs w:val="16"/>
        </w:rPr>
        <w:t>За 25 февраля на всех фронтах подбито и уничтожено 125 немецких танков. В воздушных боях и огнём зенитной артиллерии сбит 31 самолёт противника.</w:t>
      </w:r>
    </w:p>
    <w:p w14:paraId="4A1A3BA7" w14:textId="77777777" w:rsidR="00FC3E2B" w:rsidRPr="00925F26" w:rsidRDefault="00FC3E2B" w:rsidP="00925F26">
      <w:pPr>
        <w:jc w:val="both"/>
        <w:rPr>
          <w:color w:val="000000" w:themeColor="text1"/>
          <w:sz w:val="16"/>
          <w:szCs w:val="16"/>
        </w:rPr>
      </w:pPr>
      <w:r w:rsidRPr="00925F26">
        <w:rPr>
          <w:color w:val="000000" w:themeColor="text1"/>
          <w:sz w:val="16"/>
          <w:szCs w:val="16"/>
        </w:rPr>
        <w:t>В Восточной Пруссии северо-западнее города Кенигсберг пехота и танки противника неоднократно переходили в атаки. Не добившись успеха на одном участке, немцы предпринимали атаки на другом участке. Мощным огнём и контрударами советские части отбрасывали гитлеровцев. На подступах к нашим позициям осталось много вражеских трупов, разбитой техники и вооружения противника.</w:t>
      </w:r>
    </w:p>
    <w:p w14:paraId="6B6F47C9" w14:textId="77777777" w:rsidR="00FC3E2B" w:rsidRPr="00925F26" w:rsidRDefault="00FC3E2B" w:rsidP="00925F26">
      <w:pPr>
        <w:jc w:val="both"/>
        <w:rPr>
          <w:color w:val="000000" w:themeColor="text1"/>
          <w:sz w:val="16"/>
          <w:szCs w:val="16"/>
        </w:rPr>
      </w:pPr>
      <w:r w:rsidRPr="00925F26">
        <w:rPr>
          <w:color w:val="000000" w:themeColor="text1"/>
          <w:sz w:val="16"/>
          <w:szCs w:val="16"/>
        </w:rPr>
        <w:t>Юго-западнее Кенигсберга наши войска, преодолевая упорное сопротивление немцев, заняли несколько населённых пунктов, в том числе узел шоссейных дорог Эрнстфельде. Северо-западнее города Цинтен взята в плен рота 123-го немецкого пехотного полка, во главе с её командиром. Советские части, наступающие с юга на север, заняли несколько дотов противника. За день уничтожено свыше 2 тысяч гитлеровцев, 33 орудия и более 200 пулемётов. Захвачены трофеи и пленные.</w:t>
      </w:r>
    </w:p>
    <w:p w14:paraId="2721ED39" w14:textId="77777777" w:rsidR="00FC3E2B" w:rsidRPr="00925F26" w:rsidRDefault="00FC3E2B" w:rsidP="00925F26">
      <w:pPr>
        <w:jc w:val="both"/>
        <w:rPr>
          <w:color w:val="000000" w:themeColor="text1"/>
          <w:sz w:val="16"/>
          <w:szCs w:val="16"/>
        </w:rPr>
      </w:pPr>
      <w:r w:rsidRPr="00925F26">
        <w:rPr>
          <w:color w:val="000000" w:themeColor="text1"/>
          <w:sz w:val="16"/>
          <w:szCs w:val="16"/>
        </w:rPr>
        <w:t>В Бреслау наши войска вели бои по ликвидации окружённой в городе группировки противника. Немцы преградили улицы баррикадами и рвами, а многие дома превратили в сильно укреплённые узлы обороны. Советские штурмовые группы, настойчиво продвигаясь вперёд, очищают от немцев один дом за другим. Особенно ожесточённые бои произошли за площадь Гинденбурга. Наши пехотинцы, сапёры и артиллеристы с трёх сторон атаковали противника, укрепившегося на площади. Немцы были зажаты в тиски. В результате упорного боя площадь занята нашими войсками. Другие наши части овладели трамвайным парком. В течение дня уничтожено свыше тысячи солдат и офицеров противника. Захвачено у немцев 6 танков и другие трофеи. Взято в плен более 300 немцев.</w:t>
      </w:r>
    </w:p>
    <w:p w14:paraId="5B965948" w14:textId="77777777" w:rsidR="00FC3E2B" w:rsidRPr="00925F26" w:rsidRDefault="00FC3E2B"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Балтийском море два немецких транспорта общим водоизмещением в 14.000 тонн и один сторожевой корабль-противника.</w:t>
      </w:r>
    </w:p>
    <w:p w14:paraId="31EBF420" w14:textId="77777777" w:rsidR="00FC3E2B" w:rsidRPr="00925F26" w:rsidRDefault="00FC3E2B" w:rsidP="00925F26">
      <w:pPr>
        <w:jc w:val="both"/>
        <w:rPr>
          <w:color w:val="000000" w:themeColor="text1"/>
          <w:sz w:val="16"/>
          <w:szCs w:val="16"/>
        </w:rPr>
      </w:pPr>
      <w:r w:rsidRPr="00925F26">
        <w:rPr>
          <w:color w:val="000000" w:themeColor="text1"/>
          <w:sz w:val="16"/>
          <w:szCs w:val="16"/>
        </w:rPr>
        <w:t xml:space="preserve">Как уже ранее сообщалось, наши войска при ликвидации окружённой группировки противника в городе Шнайдемюль взяли в плен более 5 тысяч вражеских солдат и офицеров. Кроме того, в лесах севернее Шнайдемюля советские части ликвидировали две группировки немцев и взяли большое число пленных. В числе пленных </w:t>
      </w:r>
      <w:r w:rsidRPr="00925F26">
        <w:rPr>
          <w:color w:val="000000" w:themeColor="text1"/>
          <w:sz w:val="16"/>
          <w:szCs w:val="16"/>
        </w:rPr>
        <w:lastRenderedPageBreak/>
        <w:t>комендант города Шнайдемюль полковник Генрих Ремлингер и его начальник штаба Карл фон Хазе, начальник инженерной службы шнайдемюльского гарнизона полковник Альфред Курхауп и другие немецкие офицеры. Пленный полковник Генрих Ремлингер рассказал: «27-го января я прибыл в город Дойч-Кроне в штаб Гиммлера, командующего группой немецких армий «Висла». Гиммлер объявил мне, что я назначен комендантом Шнайдемюля, и добавил: «Вам предоставляются неограниченные права, и вы должны удержать крепость любой ценой». Вскоре после этого русские окружили город. За несколько дней боёв мы потеряли убитыми и ранеными свыше 4 тысяч солдат и офицеров. В городе царили паника и хаос. Многие офицеры пришли к заключению, что гарнизон обречён на гибель, и высказывались за капитуляцию. Я по радио связался со штабом и доложил, что положение гарнизона критическое. В ответ была получена радиограмма за подписью Гиммлера: «Ваше положение нам известно. Держитесь. К вам идёт помощь». Не дождавшись никакой помощи, я на свой риск и страх решил прорваться из Шнайдемюля на север. Однако мы натолкнулись на русских, понесли чрезвычайно тяжёлые потери и были рассеяны. Меня и моего начальника штаба взяли в плен».</w:t>
      </w:r>
    </w:p>
    <w:p w14:paraId="440148B7" w14:textId="77777777" w:rsidR="00FC3E2B" w:rsidRPr="00925F26" w:rsidRDefault="00FC3E2B" w:rsidP="00925F26">
      <w:pPr>
        <w:jc w:val="both"/>
        <w:rPr>
          <w:color w:val="000000" w:themeColor="text1"/>
          <w:sz w:val="16"/>
          <w:szCs w:val="16"/>
        </w:rPr>
      </w:pPr>
      <w:r w:rsidRPr="00925F26">
        <w:rPr>
          <w:color w:val="000000" w:themeColor="text1"/>
          <w:sz w:val="16"/>
          <w:szCs w:val="16"/>
        </w:rPr>
        <w:t>Пленный полковник Альфред Курхауп сообщил: «Шнайдемюльский «котёл» стал могилой для многих тысяч немецких солдат. Ни одному даже мелкому подразделению не удалось пробиться из окружения. Вырвавшиеся из города группы были настигнуты русскими в лесах и по частям уничтожены. На лесных и просёлочных дорогах я видел тысячи трупов немецких солдат, брошенные танки, самоходные орудия и разбитые автомашины. В плену я встретил многих офицеров шнайдемюльского гарнизона, которые вместе с разрозненными группами солдат сложили оружие и капитулировали» (15052).</w:t>
      </w:r>
    </w:p>
    <w:p w14:paraId="004F6D33" w14:textId="77777777" w:rsidR="00FC3E2B" w:rsidRPr="00925F26" w:rsidRDefault="00FC3E2B" w:rsidP="00925F26">
      <w:pPr>
        <w:jc w:val="both"/>
        <w:rPr>
          <w:color w:val="000000" w:themeColor="text1"/>
          <w:sz w:val="16"/>
          <w:szCs w:val="16"/>
        </w:rPr>
      </w:pPr>
    </w:p>
    <w:p w14:paraId="021CF368" w14:textId="77777777" w:rsidR="008C396C" w:rsidRPr="00925F26" w:rsidRDefault="008C396C" w:rsidP="00925F26">
      <w:pPr>
        <w:jc w:val="both"/>
        <w:rPr>
          <w:color w:val="000000" w:themeColor="text1"/>
          <w:sz w:val="16"/>
          <w:szCs w:val="16"/>
        </w:rPr>
      </w:pPr>
      <w:r w:rsidRPr="00925F26">
        <w:rPr>
          <w:color w:val="000000" w:themeColor="text1"/>
          <w:sz w:val="16"/>
          <w:szCs w:val="16"/>
        </w:rPr>
        <w:t>26 февраля 1945</w:t>
      </w:r>
    </w:p>
    <w:p w14:paraId="2BB280E6"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СОВЕЩАНИЕ ЛЕТЧИКОВ-ИСТРЕБИТЕЛЕЙ (АСОВ) 16 ВА, СОСТОЯВШЕЕСЯ 26.2.1945 г.</w:t>
      </w:r>
    </w:p>
    <w:p w14:paraId="7A07CE88"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Руководитель совещания Командующий 16 ВА, Генерал-полковник авиации РУДЕНКО.</w:t>
      </w:r>
    </w:p>
    <w:p w14:paraId="188B334E" w14:textId="77777777" w:rsidR="008C396C" w:rsidRPr="00925F26" w:rsidRDefault="008C396C" w:rsidP="00925F26">
      <w:pPr>
        <w:pStyle w:val="80"/>
        <w:shd w:val="clear" w:color="auto" w:fill="auto"/>
        <w:spacing w:line="240" w:lineRule="auto"/>
        <w:jc w:val="both"/>
        <w:rPr>
          <w:rFonts w:ascii="Times New Roman" w:hAnsi="Times New Roman" w:cs="Times New Roman"/>
          <w:color w:val="000000" w:themeColor="text1"/>
        </w:rPr>
      </w:pPr>
      <w:r w:rsidRPr="00925F26">
        <w:rPr>
          <w:rFonts w:ascii="Times New Roman" w:hAnsi="Times New Roman" w:cs="Times New Roman"/>
          <w:color w:val="000000" w:themeColor="text1"/>
        </w:rPr>
        <w:t>«О БОРЬБЕ СО СКОРОСТНЫМИ САМОЛЕТАМИ ПРОТИВНИКА»</w:t>
      </w:r>
    </w:p>
    <w:p w14:paraId="2F3BE4D2"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ВСТУПИТЕЛЬНОЕ СЛОВО Командую</w:t>
      </w:r>
      <w:r w:rsidRPr="00925F26">
        <w:rPr>
          <w:rFonts w:ascii="Times New Roman" w:hAnsi="Times New Roman" w:cs="Times New Roman"/>
          <w:color w:val="000000" w:themeColor="text1"/>
          <w:sz w:val="16"/>
          <w:szCs w:val="16"/>
        </w:rPr>
        <w:softHyphen/>
        <w:t>щего 16 ВА. - На участке нашего фронта имели место несколько случаев встреч наших истребителей с новым типом ско</w:t>
      </w:r>
      <w:r w:rsidRPr="00925F26">
        <w:rPr>
          <w:rFonts w:ascii="Times New Roman" w:hAnsi="Times New Roman" w:cs="Times New Roman"/>
          <w:color w:val="000000" w:themeColor="text1"/>
          <w:sz w:val="16"/>
          <w:szCs w:val="16"/>
        </w:rPr>
        <w:softHyphen/>
        <w:t>ростных самолетов противника, снабжен</w:t>
      </w:r>
      <w:r w:rsidRPr="00925F26">
        <w:rPr>
          <w:rFonts w:ascii="Times New Roman" w:hAnsi="Times New Roman" w:cs="Times New Roman"/>
          <w:color w:val="000000" w:themeColor="text1"/>
          <w:sz w:val="16"/>
          <w:szCs w:val="16"/>
        </w:rPr>
        <w:softHyphen/>
        <w:t>ных реактивными двигателями. Среди вас, присутствуют летчики, которые участвова</w:t>
      </w:r>
      <w:r w:rsidRPr="00925F26">
        <w:rPr>
          <w:rFonts w:ascii="Times New Roman" w:hAnsi="Times New Roman" w:cs="Times New Roman"/>
          <w:color w:val="000000" w:themeColor="text1"/>
          <w:sz w:val="16"/>
          <w:szCs w:val="16"/>
        </w:rPr>
        <w:softHyphen/>
        <w:t>ли в этих встречах. Цель сегодняшнего со</w:t>
      </w:r>
      <w:r w:rsidRPr="00925F26">
        <w:rPr>
          <w:rFonts w:ascii="Times New Roman" w:hAnsi="Times New Roman" w:cs="Times New Roman"/>
          <w:color w:val="000000" w:themeColor="text1"/>
          <w:sz w:val="16"/>
          <w:szCs w:val="16"/>
        </w:rPr>
        <w:softHyphen/>
        <w:t>вещания состоит в том, чтобы выработать методы и способы борьбы со скоростны</w:t>
      </w:r>
      <w:r w:rsidRPr="00925F26">
        <w:rPr>
          <w:rFonts w:ascii="Times New Roman" w:hAnsi="Times New Roman" w:cs="Times New Roman"/>
          <w:color w:val="000000" w:themeColor="text1"/>
          <w:sz w:val="16"/>
          <w:szCs w:val="16"/>
        </w:rPr>
        <w:softHyphen/>
        <w:t>ми самолетами противника. Прежде всего нужно выработать правильный взгляд на борьбу с этими самолетами, правильно и объективно оценить обстановку, а это бу</w:t>
      </w:r>
      <w:r w:rsidRPr="00925F26">
        <w:rPr>
          <w:rFonts w:ascii="Times New Roman" w:hAnsi="Times New Roman" w:cs="Times New Roman"/>
          <w:color w:val="000000" w:themeColor="text1"/>
          <w:sz w:val="16"/>
          <w:szCs w:val="16"/>
        </w:rPr>
        <w:softHyphen/>
        <w:t>дет являться гарантией правильного выбо</w:t>
      </w:r>
      <w:r w:rsidRPr="00925F26">
        <w:rPr>
          <w:rFonts w:ascii="Times New Roman" w:hAnsi="Times New Roman" w:cs="Times New Roman"/>
          <w:color w:val="000000" w:themeColor="text1"/>
          <w:sz w:val="16"/>
          <w:szCs w:val="16"/>
        </w:rPr>
        <w:softHyphen/>
        <w:t>ра методов и способов борьбы с ними. В частности, я хочу услышать от вас, нужны ли для этого новые прицелы, или доста</w:t>
      </w:r>
      <w:r w:rsidRPr="00925F26">
        <w:rPr>
          <w:rFonts w:ascii="Times New Roman" w:hAnsi="Times New Roman" w:cs="Times New Roman"/>
          <w:color w:val="000000" w:themeColor="text1"/>
          <w:sz w:val="16"/>
          <w:szCs w:val="16"/>
        </w:rPr>
        <w:softHyphen/>
        <w:t>точно тех, которые у нас имеются.</w:t>
      </w:r>
    </w:p>
    <w:p w14:paraId="27C60995"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Перейдем к выступлениям.</w:t>
      </w:r>
    </w:p>
    <w:p w14:paraId="736A62EE"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Подполковник НОВИКОВ. - В составе четверки ЯК-3, в которой был и коман</w:t>
      </w:r>
      <w:r w:rsidRPr="00925F26">
        <w:rPr>
          <w:rFonts w:ascii="Times New Roman" w:hAnsi="Times New Roman" w:cs="Times New Roman"/>
          <w:color w:val="000000" w:themeColor="text1"/>
          <w:sz w:val="16"/>
          <w:szCs w:val="16"/>
        </w:rPr>
        <w:softHyphen/>
        <w:t>дир 3 ИАК Генерал-лейтенант авиации САВИЦКИЙ, я выполнял задачу прикры</w:t>
      </w:r>
      <w:r w:rsidRPr="00925F26">
        <w:rPr>
          <w:rFonts w:ascii="Times New Roman" w:hAnsi="Times New Roman" w:cs="Times New Roman"/>
          <w:color w:val="000000" w:themeColor="text1"/>
          <w:sz w:val="16"/>
          <w:szCs w:val="16"/>
        </w:rPr>
        <w:softHyphen/>
        <w:t>тия переправы через р. ОДЕР 25.2.45 г. Облачность была 10 баллов, высотой 150-200 метров. Над переправой заметил немецкий самолет на удалении 3-4 кило</w:t>
      </w:r>
      <w:r w:rsidRPr="00925F26">
        <w:rPr>
          <w:rFonts w:ascii="Times New Roman" w:hAnsi="Times New Roman" w:cs="Times New Roman"/>
          <w:color w:val="000000" w:themeColor="text1"/>
          <w:sz w:val="16"/>
          <w:szCs w:val="16"/>
        </w:rPr>
        <w:softHyphen/>
        <w:t>метра. Силуэт самолета был необычный, напоминал летающую лодку. Обращали на себя внимание подвески под моторами (сигарообразные). Самолет был двухмо</w:t>
      </w:r>
      <w:r w:rsidRPr="00925F26">
        <w:rPr>
          <w:rFonts w:ascii="Times New Roman" w:hAnsi="Times New Roman" w:cs="Times New Roman"/>
          <w:color w:val="000000" w:themeColor="text1"/>
          <w:sz w:val="16"/>
          <w:szCs w:val="16"/>
        </w:rPr>
        <w:softHyphen/>
        <w:t>торный, хвост напоминал раму. Развер</w:t>
      </w:r>
      <w:r w:rsidRPr="00925F26">
        <w:rPr>
          <w:rFonts w:ascii="Times New Roman" w:hAnsi="Times New Roman" w:cs="Times New Roman"/>
          <w:color w:val="000000" w:themeColor="text1"/>
          <w:sz w:val="16"/>
          <w:szCs w:val="16"/>
        </w:rPr>
        <w:softHyphen/>
        <w:t>нулся и погнался за ним. Скорость у меня была 570 километров. Хотел с пикирова</w:t>
      </w:r>
      <w:r w:rsidRPr="00925F26">
        <w:rPr>
          <w:rFonts w:ascii="Times New Roman" w:hAnsi="Times New Roman" w:cs="Times New Roman"/>
          <w:color w:val="000000" w:themeColor="text1"/>
          <w:sz w:val="16"/>
          <w:szCs w:val="16"/>
        </w:rPr>
        <w:softHyphen/>
        <w:t>ния атаковать его, но он ушел. Удивился, что он уходит от ЯК-3, хоть сам напоминал скорее бомбардировщика.</w:t>
      </w:r>
    </w:p>
    <w:p w14:paraId="53624171"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Генерал-лейтенант САВИЦКИЙ встре</w:t>
      </w:r>
      <w:r w:rsidRPr="00925F26">
        <w:rPr>
          <w:rFonts w:ascii="Times New Roman" w:hAnsi="Times New Roman" w:cs="Times New Roman"/>
          <w:color w:val="000000" w:themeColor="text1"/>
          <w:sz w:val="16"/>
          <w:szCs w:val="16"/>
        </w:rPr>
        <w:softHyphen/>
        <w:t>тился с ним на встречных курсах (сам был он немного ниже), атаковал его снизу в лоб, но безрезультатно. По моим наблю</w:t>
      </w:r>
      <w:r w:rsidRPr="00925F26">
        <w:rPr>
          <w:rFonts w:ascii="Times New Roman" w:hAnsi="Times New Roman" w:cs="Times New Roman"/>
          <w:color w:val="000000" w:themeColor="text1"/>
          <w:sz w:val="16"/>
          <w:szCs w:val="16"/>
        </w:rPr>
        <w:softHyphen/>
        <w:t>дениям скорость самолета противника достигала 750-800 километров. От ЯКа он уходит так же, как примерно, наш ис</w:t>
      </w:r>
      <w:r w:rsidRPr="00925F26">
        <w:rPr>
          <w:rFonts w:ascii="Times New Roman" w:hAnsi="Times New Roman" w:cs="Times New Roman"/>
          <w:color w:val="000000" w:themeColor="text1"/>
          <w:sz w:val="16"/>
          <w:szCs w:val="16"/>
        </w:rPr>
        <w:softHyphen/>
        <w:t>требитель от ПО-2. Полагаю, что не всегда он ходит на такой скорости. Пользуясь по</w:t>
      </w:r>
      <w:r w:rsidRPr="00925F26">
        <w:rPr>
          <w:rFonts w:ascii="Times New Roman" w:hAnsi="Times New Roman" w:cs="Times New Roman"/>
          <w:color w:val="000000" w:themeColor="text1"/>
          <w:sz w:val="16"/>
          <w:szCs w:val="16"/>
        </w:rPr>
        <w:softHyphen/>
        <w:t>следней (повышенной скоростью), летчик вражеского самолета за хвостом не смо</w:t>
      </w:r>
      <w:r w:rsidRPr="00925F26">
        <w:rPr>
          <w:rFonts w:ascii="Times New Roman" w:hAnsi="Times New Roman" w:cs="Times New Roman"/>
          <w:color w:val="000000" w:themeColor="text1"/>
          <w:sz w:val="16"/>
          <w:szCs w:val="16"/>
        </w:rPr>
        <w:softHyphen/>
        <w:t>трит, в этом нет у него необходимости. Он ходит по прямой.</w:t>
      </w:r>
    </w:p>
    <w:p w14:paraId="7B7564FD"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Как бороться с ним? По-моему, пре</w:t>
      </w:r>
      <w:r w:rsidRPr="00925F26">
        <w:rPr>
          <w:rFonts w:ascii="Times New Roman" w:hAnsi="Times New Roman" w:cs="Times New Roman"/>
          <w:color w:val="000000" w:themeColor="text1"/>
          <w:sz w:val="16"/>
          <w:szCs w:val="16"/>
        </w:rPr>
        <w:softHyphen/>
        <w:t>жде всего необходимо применить вне</w:t>
      </w:r>
      <w:r w:rsidRPr="00925F26">
        <w:rPr>
          <w:rFonts w:ascii="Times New Roman" w:hAnsi="Times New Roman" w:cs="Times New Roman"/>
          <w:color w:val="000000" w:themeColor="text1"/>
          <w:sz w:val="16"/>
          <w:szCs w:val="16"/>
        </w:rPr>
        <w:softHyphen/>
        <w:t>запность атаки из-за облачности или со стороны солнца. Наиболее подходящим моментом будет, когда самолет противни</w:t>
      </w:r>
      <w:r w:rsidRPr="00925F26">
        <w:rPr>
          <w:rFonts w:ascii="Times New Roman" w:hAnsi="Times New Roman" w:cs="Times New Roman"/>
          <w:color w:val="000000" w:themeColor="text1"/>
          <w:sz w:val="16"/>
          <w:szCs w:val="16"/>
        </w:rPr>
        <w:softHyphen/>
        <w:t>ка не пользуется добавочной скоростью. Не следует пренебрегать лобовой атакой. На большой скорости скоростные самоле</w:t>
      </w:r>
      <w:r w:rsidRPr="00925F26">
        <w:rPr>
          <w:rFonts w:ascii="Times New Roman" w:hAnsi="Times New Roman" w:cs="Times New Roman"/>
          <w:color w:val="000000" w:themeColor="text1"/>
          <w:sz w:val="16"/>
          <w:szCs w:val="16"/>
        </w:rPr>
        <w:softHyphen/>
        <w:t>ты противника ходят не всегда. Они уязви</w:t>
      </w:r>
      <w:r w:rsidRPr="00925F26">
        <w:rPr>
          <w:rFonts w:ascii="Times New Roman" w:hAnsi="Times New Roman" w:cs="Times New Roman"/>
          <w:color w:val="000000" w:themeColor="text1"/>
          <w:sz w:val="16"/>
          <w:szCs w:val="16"/>
        </w:rPr>
        <w:softHyphen/>
        <w:t>мы, нужно только правильно уловить мо</w:t>
      </w:r>
      <w:r w:rsidRPr="00925F26">
        <w:rPr>
          <w:rFonts w:ascii="Times New Roman" w:hAnsi="Times New Roman" w:cs="Times New Roman"/>
          <w:color w:val="000000" w:themeColor="text1"/>
          <w:sz w:val="16"/>
          <w:szCs w:val="16"/>
        </w:rPr>
        <w:softHyphen/>
        <w:t>мент атаки. Наш грамотный истребитель всегда сможет это выполнить.</w:t>
      </w:r>
    </w:p>
    <w:p w14:paraId="61B02F0D"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Состоящий на вооружении у нас при</w:t>
      </w:r>
      <w:r w:rsidRPr="00925F26">
        <w:rPr>
          <w:rFonts w:ascii="Times New Roman" w:hAnsi="Times New Roman" w:cs="Times New Roman"/>
          <w:color w:val="000000" w:themeColor="text1"/>
          <w:sz w:val="16"/>
          <w:szCs w:val="16"/>
        </w:rPr>
        <w:softHyphen/>
        <w:t>цел отвечает всем требованиям для того, чтобы при пользовании им бить скорост</w:t>
      </w:r>
      <w:r w:rsidRPr="00925F26">
        <w:rPr>
          <w:rFonts w:ascii="Times New Roman" w:hAnsi="Times New Roman" w:cs="Times New Roman"/>
          <w:color w:val="000000" w:themeColor="text1"/>
          <w:sz w:val="16"/>
          <w:szCs w:val="16"/>
        </w:rPr>
        <w:softHyphen/>
        <w:t>ные самолеты противника наверняка, нужно только атаковывать их под ракур</w:t>
      </w:r>
      <w:r w:rsidRPr="00925F26">
        <w:rPr>
          <w:rFonts w:ascii="Times New Roman" w:hAnsi="Times New Roman" w:cs="Times New Roman"/>
          <w:color w:val="000000" w:themeColor="text1"/>
          <w:sz w:val="16"/>
          <w:szCs w:val="16"/>
        </w:rPr>
        <w:softHyphen/>
        <w:t>сом не более 2/4.</w:t>
      </w:r>
    </w:p>
    <w:p w14:paraId="3F09EA5A"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Дело не только в прицеле, но также в мастерстве летчика. Опытный истребитель прикинет даже на козырек и уничтожит противника. Здесь играет роль навык.</w:t>
      </w:r>
    </w:p>
    <w:p w14:paraId="7A70565C"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Излюбленная тактика немцев - вне</w:t>
      </w:r>
      <w:r w:rsidRPr="00925F26">
        <w:rPr>
          <w:rFonts w:ascii="Times New Roman" w:hAnsi="Times New Roman" w:cs="Times New Roman"/>
          <w:color w:val="000000" w:themeColor="text1"/>
          <w:sz w:val="16"/>
          <w:szCs w:val="16"/>
        </w:rPr>
        <w:softHyphen/>
        <w:t>запно атаковать и уйти, в свое время на МЕ-109 логически привела к изобретению скоростного самолета для таких же вне</w:t>
      </w:r>
      <w:r w:rsidRPr="00925F26">
        <w:rPr>
          <w:rFonts w:ascii="Times New Roman" w:hAnsi="Times New Roman" w:cs="Times New Roman"/>
          <w:color w:val="000000" w:themeColor="text1"/>
          <w:sz w:val="16"/>
          <w:szCs w:val="16"/>
        </w:rPr>
        <w:softHyphen/>
        <w:t>запных атак с последующим уходом при наличии у нас прекрасной новой матчасти. Несомненно, что тактика действий ско</w:t>
      </w:r>
      <w:r w:rsidRPr="00925F26">
        <w:rPr>
          <w:rFonts w:ascii="Times New Roman" w:hAnsi="Times New Roman" w:cs="Times New Roman"/>
          <w:color w:val="000000" w:themeColor="text1"/>
          <w:sz w:val="16"/>
          <w:szCs w:val="16"/>
        </w:rPr>
        <w:softHyphen/>
        <w:t>ростных самолетов противника рассчи</w:t>
      </w:r>
      <w:r w:rsidRPr="00925F26">
        <w:rPr>
          <w:rFonts w:ascii="Times New Roman" w:hAnsi="Times New Roman" w:cs="Times New Roman"/>
          <w:color w:val="000000" w:themeColor="text1"/>
          <w:sz w:val="16"/>
          <w:szCs w:val="16"/>
        </w:rPr>
        <w:softHyphen/>
        <w:t>тана на внезапный удар с последующим уходом после атаки.</w:t>
      </w:r>
    </w:p>
    <w:p w14:paraId="42ADF531"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Нужно иметь ввиду, что на скорост</w:t>
      </w:r>
      <w:r w:rsidRPr="00925F26">
        <w:rPr>
          <w:rFonts w:ascii="Times New Roman" w:hAnsi="Times New Roman" w:cs="Times New Roman"/>
          <w:color w:val="000000" w:themeColor="text1"/>
          <w:sz w:val="16"/>
          <w:szCs w:val="16"/>
        </w:rPr>
        <w:softHyphen/>
        <w:t>ных машинах у противника летный состав весьма грамотный, и поэтому от нашего летного состава также будут требоваться грамотные и осмотрительные действия.</w:t>
      </w:r>
    </w:p>
    <w:p w14:paraId="26A436B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Я считаю, что для атаки скоростных самолетов противника необходимо вы</w:t>
      </w:r>
      <w:r w:rsidRPr="00925F26">
        <w:rPr>
          <w:rFonts w:ascii="Times New Roman" w:hAnsi="Times New Roman" w:cs="Times New Roman"/>
          <w:color w:val="000000" w:themeColor="text1"/>
          <w:sz w:val="16"/>
          <w:szCs w:val="16"/>
        </w:rPr>
        <w:softHyphen/>
        <w:t>брать боевую дистанцию, не превышаю</w:t>
      </w:r>
      <w:r w:rsidRPr="00925F26">
        <w:rPr>
          <w:rFonts w:ascii="Times New Roman" w:hAnsi="Times New Roman" w:cs="Times New Roman"/>
          <w:color w:val="000000" w:themeColor="text1"/>
          <w:sz w:val="16"/>
          <w:szCs w:val="16"/>
        </w:rPr>
        <w:softHyphen/>
        <w:t>щую 700-800 м, атаковать его, при этом энергично отвернуться и поспеть атако</w:t>
      </w:r>
      <w:r w:rsidRPr="00925F26">
        <w:rPr>
          <w:rFonts w:ascii="Times New Roman" w:hAnsi="Times New Roman" w:cs="Times New Roman"/>
          <w:color w:val="000000" w:themeColor="text1"/>
          <w:sz w:val="16"/>
          <w:szCs w:val="16"/>
        </w:rPr>
        <w:softHyphen/>
        <w:t>вать вторично, пользуясь маневренностью нашей матчасти. Такой маневренностью противник при повышенной скорости не обладает. При пассивной форме борьбы от скоростного самолета противника уйти весьма легко применением маневра с по</w:t>
      </w:r>
      <w:r w:rsidRPr="00925F26">
        <w:rPr>
          <w:rFonts w:ascii="Times New Roman" w:hAnsi="Times New Roman" w:cs="Times New Roman"/>
          <w:color w:val="000000" w:themeColor="text1"/>
          <w:sz w:val="16"/>
          <w:szCs w:val="16"/>
        </w:rPr>
        <w:softHyphen/>
        <w:t>следующим выходом на свою территорию.</w:t>
      </w:r>
    </w:p>
    <w:p w14:paraId="04D2C845"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 xml:space="preserve">КОМАНДУЮЩИЙ. - Увернуться и уйти </w:t>
      </w:r>
      <w:proofErr w:type="gramStart"/>
      <w:r w:rsidRPr="00925F26">
        <w:rPr>
          <w:rFonts w:ascii="Times New Roman" w:hAnsi="Times New Roman" w:cs="Times New Roman"/>
          <w:color w:val="000000" w:themeColor="text1"/>
          <w:sz w:val="16"/>
          <w:szCs w:val="16"/>
        </w:rPr>
        <w:t>- это</w:t>
      </w:r>
      <w:proofErr w:type="gramEnd"/>
      <w:r w:rsidRPr="00925F26">
        <w:rPr>
          <w:rFonts w:ascii="Times New Roman" w:hAnsi="Times New Roman" w:cs="Times New Roman"/>
          <w:color w:val="000000" w:themeColor="text1"/>
          <w:sz w:val="16"/>
          <w:szCs w:val="16"/>
        </w:rPr>
        <w:t xml:space="preserve"> не все. Нужно сбить противни</w:t>
      </w:r>
      <w:r w:rsidRPr="00925F26">
        <w:rPr>
          <w:rFonts w:ascii="Times New Roman" w:hAnsi="Times New Roman" w:cs="Times New Roman"/>
          <w:color w:val="000000" w:themeColor="text1"/>
          <w:sz w:val="16"/>
          <w:szCs w:val="16"/>
        </w:rPr>
        <w:softHyphen/>
        <w:t>ка. Я считаю, что необходимо вначале от</w:t>
      </w:r>
      <w:r w:rsidRPr="00925F26">
        <w:rPr>
          <w:rFonts w:ascii="Times New Roman" w:hAnsi="Times New Roman" w:cs="Times New Roman"/>
          <w:color w:val="000000" w:themeColor="text1"/>
          <w:sz w:val="16"/>
          <w:szCs w:val="16"/>
        </w:rPr>
        <w:softHyphen/>
        <w:t>вернуться, а потом довернуть и дать оче</w:t>
      </w:r>
      <w:r w:rsidRPr="00925F26">
        <w:rPr>
          <w:rFonts w:ascii="Times New Roman" w:hAnsi="Times New Roman" w:cs="Times New Roman"/>
          <w:color w:val="000000" w:themeColor="text1"/>
          <w:sz w:val="16"/>
          <w:szCs w:val="16"/>
        </w:rPr>
        <w:softHyphen/>
        <w:t>редь из пушек. Как вы находите, могут ли скоростные самолеты противника ходить парами и атаковывать наши самолеты?</w:t>
      </w:r>
    </w:p>
    <w:p w14:paraId="2559B9BD"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НОВИКОВ. - В строю такие самоле</w:t>
      </w:r>
      <w:r w:rsidRPr="00925F26">
        <w:rPr>
          <w:rFonts w:ascii="Times New Roman" w:hAnsi="Times New Roman" w:cs="Times New Roman"/>
          <w:color w:val="000000" w:themeColor="text1"/>
          <w:sz w:val="16"/>
          <w:szCs w:val="16"/>
        </w:rPr>
        <w:softHyphen/>
        <w:t>ты ходить не могут. По-моему, они будут действовать, как это мы и наблюдаем, одиночками. Наших истребителей типа ЯК-3 и других новейших типов он сбить не может. Необходимо только его увидеть. После этого с ним легко вести борьбу и сбивать нас на скоростных самолетах про</w:t>
      </w:r>
      <w:r w:rsidRPr="00925F26">
        <w:rPr>
          <w:rFonts w:ascii="Times New Roman" w:hAnsi="Times New Roman" w:cs="Times New Roman"/>
          <w:color w:val="000000" w:themeColor="text1"/>
          <w:sz w:val="16"/>
          <w:szCs w:val="16"/>
        </w:rPr>
        <w:softHyphen/>
        <w:t>тивник не может, так как скорость нахо</w:t>
      </w:r>
      <w:r w:rsidRPr="00925F26">
        <w:rPr>
          <w:rFonts w:ascii="Times New Roman" w:hAnsi="Times New Roman" w:cs="Times New Roman"/>
          <w:color w:val="000000" w:themeColor="text1"/>
          <w:sz w:val="16"/>
          <w:szCs w:val="16"/>
        </w:rPr>
        <w:softHyphen/>
        <w:t>дится в противоречии с маневром. Мы же можем маневрировать легко и этим гаран</w:t>
      </w:r>
      <w:r w:rsidRPr="00925F26">
        <w:rPr>
          <w:rFonts w:ascii="Times New Roman" w:hAnsi="Times New Roman" w:cs="Times New Roman"/>
          <w:color w:val="000000" w:themeColor="text1"/>
          <w:sz w:val="16"/>
          <w:szCs w:val="16"/>
        </w:rPr>
        <w:softHyphen/>
        <w:t>тировать себя от поражения. Каждый из нас знает, как трудно даже сбить ХШ-126, который уступает нашим истребителям по скорости, но легко маневрирует. Даже ма</w:t>
      </w:r>
      <w:r w:rsidRPr="00925F26">
        <w:rPr>
          <w:rFonts w:ascii="Times New Roman" w:hAnsi="Times New Roman" w:cs="Times New Roman"/>
          <w:color w:val="000000" w:themeColor="text1"/>
          <w:sz w:val="16"/>
          <w:szCs w:val="16"/>
        </w:rPr>
        <w:softHyphen/>
        <w:t>лограмотный наш истребитель, случайно маневрирующий, тем самым обезопасит себя от поражения.</w:t>
      </w:r>
    </w:p>
    <w:p w14:paraId="7E3743C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КОМАНДУЮЩИЙ. - Немцы нахаль</w:t>
      </w:r>
      <w:r w:rsidRPr="00925F26">
        <w:rPr>
          <w:rFonts w:ascii="Times New Roman" w:hAnsi="Times New Roman" w:cs="Times New Roman"/>
          <w:color w:val="000000" w:themeColor="text1"/>
          <w:sz w:val="16"/>
          <w:szCs w:val="16"/>
        </w:rPr>
        <w:softHyphen/>
        <w:t>ны, если они убеждены в превосходстве своего оружия, даже тогда, когда это вы</w:t>
      </w:r>
      <w:r w:rsidRPr="00925F26">
        <w:rPr>
          <w:rFonts w:ascii="Times New Roman" w:hAnsi="Times New Roman" w:cs="Times New Roman"/>
          <w:color w:val="000000" w:themeColor="text1"/>
          <w:sz w:val="16"/>
          <w:szCs w:val="16"/>
        </w:rPr>
        <w:softHyphen/>
        <w:t>глядит не так. В данном случае, они могут также поступить, и по-видимому, поступа</w:t>
      </w:r>
      <w:r w:rsidRPr="00925F26">
        <w:rPr>
          <w:rFonts w:ascii="Times New Roman" w:hAnsi="Times New Roman" w:cs="Times New Roman"/>
          <w:color w:val="000000" w:themeColor="text1"/>
          <w:sz w:val="16"/>
          <w:szCs w:val="16"/>
        </w:rPr>
        <w:softHyphen/>
        <w:t>ют на своих скоростных самолетах. Ата</w:t>
      </w:r>
      <w:r w:rsidRPr="00925F26">
        <w:rPr>
          <w:rFonts w:ascii="Times New Roman" w:hAnsi="Times New Roman" w:cs="Times New Roman"/>
          <w:color w:val="000000" w:themeColor="text1"/>
          <w:sz w:val="16"/>
          <w:szCs w:val="16"/>
        </w:rPr>
        <w:softHyphen/>
        <w:t>ки их будут безусловно внезапными, при помощи скоростей, которыми они будут пользоваться для настижения самолетов и ухода при грозящей им опасности. Мне представляется, что если наши истребите</w:t>
      </w:r>
      <w:r w:rsidRPr="00925F26">
        <w:rPr>
          <w:rFonts w:ascii="Times New Roman" w:hAnsi="Times New Roman" w:cs="Times New Roman"/>
          <w:color w:val="000000" w:themeColor="text1"/>
          <w:sz w:val="16"/>
          <w:szCs w:val="16"/>
        </w:rPr>
        <w:softHyphen/>
        <w:t>ли будут находиться в группе, то при появ</w:t>
      </w:r>
      <w:r w:rsidRPr="00925F26">
        <w:rPr>
          <w:rFonts w:ascii="Times New Roman" w:hAnsi="Times New Roman" w:cs="Times New Roman"/>
          <w:color w:val="000000" w:themeColor="text1"/>
          <w:sz w:val="16"/>
          <w:szCs w:val="16"/>
        </w:rPr>
        <w:softHyphen/>
        <w:t>лении вражеского скоростного самолета они должны разойтись, не теряя при этом управления со стороны командира. Веро</w:t>
      </w:r>
      <w:r w:rsidRPr="00925F26">
        <w:rPr>
          <w:rFonts w:ascii="Times New Roman" w:hAnsi="Times New Roman" w:cs="Times New Roman"/>
          <w:color w:val="000000" w:themeColor="text1"/>
          <w:sz w:val="16"/>
          <w:szCs w:val="16"/>
        </w:rPr>
        <w:softHyphen/>
        <w:t>ятность угрозы для нас в таких случаях будет значительно снижена. Нужно так</w:t>
      </w:r>
      <w:r w:rsidRPr="00925F26">
        <w:rPr>
          <w:rFonts w:ascii="Times New Roman" w:hAnsi="Times New Roman" w:cs="Times New Roman"/>
          <w:color w:val="000000" w:themeColor="text1"/>
          <w:sz w:val="16"/>
          <w:szCs w:val="16"/>
        </w:rPr>
        <w:softHyphen/>
        <w:t>же полагать, что вместе со скоростными самолетами в определенных зонах будут находиться и обычные ФВ-190 и МЕ-109 во взаимодействии с ними, а поэтому рас</w:t>
      </w:r>
      <w:r w:rsidRPr="00925F26">
        <w:rPr>
          <w:rFonts w:ascii="Times New Roman" w:hAnsi="Times New Roman" w:cs="Times New Roman"/>
          <w:color w:val="000000" w:themeColor="text1"/>
          <w:sz w:val="16"/>
          <w:szCs w:val="16"/>
        </w:rPr>
        <w:softHyphen/>
        <w:t>ходясь при появлении скоростного само</w:t>
      </w:r>
      <w:r w:rsidRPr="00925F26">
        <w:rPr>
          <w:rFonts w:ascii="Times New Roman" w:hAnsi="Times New Roman" w:cs="Times New Roman"/>
          <w:color w:val="000000" w:themeColor="text1"/>
          <w:sz w:val="16"/>
          <w:szCs w:val="16"/>
        </w:rPr>
        <w:softHyphen/>
        <w:t>лета, не нужно это делать врассыпную без всякого порядка. Группа или пары должны оставаться парами, только в более рассре</w:t>
      </w:r>
      <w:r w:rsidRPr="00925F26">
        <w:rPr>
          <w:rFonts w:ascii="Times New Roman" w:hAnsi="Times New Roman" w:cs="Times New Roman"/>
          <w:color w:val="000000" w:themeColor="text1"/>
          <w:sz w:val="16"/>
          <w:szCs w:val="16"/>
        </w:rPr>
        <w:softHyphen/>
        <w:t>доточенном виде.</w:t>
      </w:r>
    </w:p>
    <w:p w14:paraId="292F1084"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скоростных самолетах противника безусловно будут наиболее опытные асы- охотники.</w:t>
      </w:r>
    </w:p>
    <w:p w14:paraId="0D9963DC"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НОВИКОВ. - На данном этапе мне из</w:t>
      </w:r>
      <w:r w:rsidRPr="00925F26">
        <w:rPr>
          <w:rFonts w:ascii="Times New Roman" w:hAnsi="Times New Roman" w:cs="Times New Roman"/>
          <w:color w:val="000000" w:themeColor="text1"/>
          <w:sz w:val="16"/>
          <w:szCs w:val="16"/>
        </w:rPr>
        <w:softHyphen/>
        <w:t xml:space="preserve">вестны следующие скоростные самолеты противника: ХЕ-280, МЕ-163, МЕ-262. Я </w:t>
      </w:r>
      <w:proofErr w:type="gramStart"/>
      <w:r w:rsidRPr="00925F26">
        <w:rPr>
          <w:rFonts w:ascii="Times New Roman" w:hAnsi="Times New Roman" w:cs="Times New Roman"/>
          <w:color w:val="000000" w:themeColor="text1"/>
          <w:sz w:val="16"/>
          <w:szCs w:val="16"/>
        </w:rPr>
        <w:t>встретился по-видимому</w:t>
      </w:r>
      <w:proofErr w:type="gramEnd"/>
      <w:r w:rsidRPr="00925F26">
        <w:rPr>
          <w:rFonts w:ascii="Times New Roman" w:hAnsi="Times New Roman" w:cs="Times New Roman"/>
          <w:color w:val="000000" w:themeColor="text1"/>
          <w:sz w:val="16"/>
          <w:szCs w:val="16"/>
        </w:rPr>
        <w:t xml:space="preserve"> с ХЕ-280, но точ</w:t>
      </w:r>
      <w:r w:rsidRPr="00925F26">
        <w:rPr>
          <w:rFonts w:ascii="Times New Roman" w:hAnsi="Times New Roman" w:cs="Times New Roman"/>
          <w:color w:val="000000" w:themeColor="text1"/>
          <w:sz w:val="16"/>
          <w:szCs w:val="16"/>
        </w:rPr>
        <w:softHyphen/>
        <w:t>но утверждать не могу, он был в кромке облачности и силуэт его вырисовывался нечетко.</w:t>
      </w:r>
    </w:p>
    <w:p w14:paraId="5098A279"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Вполне согласен с Командующим, что при появлении скоростного самолета группа истребителей должна рассредото</w:t>
      </w:r>
      <w:r w:rsidRPr="00925F26">
        <w:rPr>
          <w:rFonts w:ascii="Times New Roman" w:hAnsi="Times New Roman" w:cs="Times New Roman"/>
          <w:color w:val="000000" w:themeColor="text1"/>
          <w:sz w:val="16"/>
          <w:szCs w:val="16"/>
        </w:rPr>
        <w:softHyphen/>
        <w:t>читься. Главное - не убегать, от него все равно не уйдешь. Уклоняясь от занесенно</w:t>
      </w:r>
      <w:r w:rsidRPr="00925F26">
        <w:rPr>
          <w:rFonts w:ascii="Times New Roman" w:hAnsi="Times New Roman" w:cs="Times New Roman"/>
          <w:color w:val="000000" w:themeColor="text1"/>
          <w:sz w:val="16"/>
          <w:szCs w:val="16"/>
        </w:rPr>
        <w:softHyphen/>
        <w:t>го удара, должен выбирать выгодное по</w:t>
      </w:r>
      <w:r w:rsidRPr="00925F26">
        <w:rPr>
          <w:rFonts w:ascii="Times New Roman" w:hAnsi="Times New Roman" w:cs="Times New Roman"/>
          <w:color w:val="000000" w:themeColor="text1"/>
          <w:sz w:val="16"/>
          <w:szCs w:val="16"/>
        </w:rPr>
        <w:softHyphen/>
        <w:t>ложение и позицию для атаки противника. В этом залог победы.</w:t>
      </w:r>
    </w:p>
    <w:p w14:paraId="0A9DD49A"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КОМАНДУЮЩИЙ. - Я не случайно собрал здесь и летчиков-истребителей, выполняющих задачу сопровождения бомбардировщиков и штурмовиков. Весь</w:t>
      </w:r>
      <w:r w:rsidRPr="00925F26">
        <w:rPr>
          <w:rFonts w:ascii="Times New Roman" w:hAnsi="Times New Roman" w:cs="Times New Roman"/>
          <w:color w:val="000000" w:themeColor="text1"/>
          <w:sz w:val="16"/>
          <w:szCs w:val="16"/>
        </w:rPr>
        <w:softHyphen/>
        <w:t>ма вероятно, что главной задачей скорост</w:t>
      </w:r>
      <w:r w:rsidRPr="00925F26">
        <w:rPr>
          <w:rFonts w:ascii="Times New Roman" w:hAnsi="Times New Roman" w:cs="Times New Roman"/>
          <w:color w:val="000000" w:themeColor="text1"/>
          <w:sz w:val="16"/>
          <w:szCs w:val="16"/>
        </w:rPr>
        <w:softHyphen/>
        <w:t>ных самолетов противника будет являться нападение на наших бомбардировщиков и штурмовиков. Поэтому истребителям сопровождения нужно подумать над тем, как оградить бомбардировщиков и штур</w:t>
      </w:r>
      <w:r w:rsidRPr="00925F26">
        <w:rPr>
          <w:rFonts w:ascii="Times New Roman" w:hAnsi="Times New Roman" w:cs="Times New Roman"/>
          <w:color w:val="000000" w:themeColor="text1"/>
          <w:sz w:val="16"/>
          <w:szCs w:val="16"/>
        </w:rPr>
        <w:softHyphen/>
        <w:t>мовиков от удара скоростных самолетов противника.</w:t>
      </w:r>
    </w:p>
    <w:p w14:paraId="63F1C6D9" w14:textId="77777777" w:rsidR="008C396C" w:rsidRPr="00925F26" w:rsidRDefault="008C396C" w:rsidP="00925F26">
      <w:pPr>
        <w:jc w:val="both"/>
        <w:rPr>
          <w:color w:val="000000" w:themeColor="text1"/>
          <w:sz w:val="16"/>
          <w:szCs w:val="16"/>
        </w:rPr>
      </w:pPr>
      <w:r w:rsidRPr="00925F26">
        <w:rPr>
          <w:color w:val="000000" w:themeColor="text1"/>
          <w:sz w:val="16"/>
          <w:szCs w:val="16"/>
        </w:rPr>
        <w:t>Подполковник МАКАРОВ. - В составе шестерки ЯК-3, в которой был и генерал- майор авиации СИДНЕВ, я выполнял зада</w:t>
      </w:r>
      <w:r w:rsidRPr="00925F26">
        <w:rPr>
          <w:color w:val="000000" w:themeColor="text1"/>
          <w:sz w:val="16"/>
          <w:szCs w:val="16"/>
        </w:rPr>
        <w:softHyphen/>
        <w:t>чу прикрытия наших войск на плацдарме западнее р. ОДЕР. После 30-минутного полета станция наведения «Штык-4» пе</w:t>
      </w:r>
      <w:r w:rsidRPr="00925F26">
        <w:rPr>
          <w:color w:val="000000" w:themeColor="text1"/>
          <w:sz w:val="16"/>
          <w:szCs w:val="16"/>
        </w:rPr>
        <w:softHyphen/>
        <w:t>редала в эфир команду - «</w:t>
      </w:r>
      <w:proofErr w:type="gramStart"/>
      <w:r w:rsidRPr="00925F26">
        <w:rPr>
          <w:color w:val="000000" w:themeColor="text1"/>
          <w:sz w:val="16"/>
          <w:szCs w:val="16"/>
        </w:rPr>
        <w:t>ЯК»и</w:t>
      </w:r>
      <w:proofErr w:type="gramEnd"/>
      <w:r w:rsidRPr="00925F26">
        <w:rPr>
          <w:color w:val="000000" w:themeColor="text1"/>
          <w:sz w:val="16"/>
          <w:szCs w:val="16"/>
        </w:rPr>
        <w:t>, справа у вас разведчик противника». Я посмотрел и сразу увидел его. Это был самолет, по</w:t>
      </w:r>
      <w:r w:rsidRPr="00925F26">
        <w:rPr>
          <w:color w:val="000000" w:themeColor="text1"/>
          <w:sz w:val="16"/>
          <w:szCs w:val="16"/>
        </w:rPr>
        <w:softHyphen/>
        <w:t>хожий на раму, но только с какой-то под</w:t>
      </w:r>
      <w:r w:rsidRPr="00925F26">
        <w:rPr>
          <w:color w:val="000000" w:themeColor="text1"/>
          <w:sz w:val="16"/>
          <w:szCs w:val="16"/>
        </w:rPr>
        <w:softHyphen/>
        <w:t>веской. Начал сближаться и подошел на 300-400 метров. Но, думаю много, нужно подойти ближе. Зашел сверху и на ди</w:t>
      </w:r>
      <w:r w:rsidRPr="00925F26">
        <w:rPr>
          <w:color w:val="000000" w:themeColor="text1"/>
          <w:sz w:val="16"/>
          <w:szCs w:val="16"/>
        </w:rPr>
        <w:softHyphen/>
        <w:t>станции 150 метров всадил в этот самолет весь боекомплект. Он задымил и ушел со снижением. Ну, думаю - сбил. Передал ведомому - добивай. Но к моему удивле</w:t>
      </w:r>
      <w:r w:rsidRPr="00925F26">
        <w:rPr>
          <w:color w:val="000000" w:themeColor="text1"/>
          <w:sz w:val="16"/>
          <w:szCs w:val="16"/>
        </w:rPr>
        <w:softHyphen/>
        <w:t xml:space="preserve">нию, вслед за черными полосами дыма от обоих моторов показались белые струи. </w:t>
      </w:r>
    </w:p>
    <w:p w14:paraId="4D6667CB" w14:textId="77777777" w:rsidR="008C396C" w:rsidRPr="00925F26" w:rsidRDefault="008C396C" w:rsidP="00925F26">
      <w:pPr>
        <w:jc w:val="both"/>
        <w:rPr>
          <w:color w:val="000000" w:themeColor="text1"/>
          <w:sz w:val="16"/>
          <w:szCs w:val="16"/>
        </w:rPr>
      </w:pPr>
      <w:r w:rsidRPr="00925F26">
        <w:rPr>
          <w:color w:val="000000" w:themeColor="text1"/>
          <w:sz w:val="16"/>
          <w:szCs w:val="16"/>
        </w:rPr>
        <w:t>Уйдя на бреющем, он скрылся за горизон</w:t>
      </w:r>
      <w:r w:rsidRPr="00925F26">
        <w:rPr>
          <w:color w:val="000000" w:themeColor="text1"/>
          <w:sz w:val="16"/>
          <w:szCs w:val="16"/>
        </w:rPr>
        <w:softHyphen/>
        <w:t>том на подступах к Берлину. Сбит-ли он был в действительности - не знаю, так как разведать место его посадки или падения на следующий день не удалась из-за погоды</w:t>
      </w:r>
      <w:proofErr w:type="gramStart"/>
      <w:r w:rsidRPr="00925F26">
        <w:rPr>
          <w:color w:val="000000" w:themeColor="text1"/>
          <w:sz w:val="16"/>
          <w:szCs w:val="16"/>
        </w:rPr>
        <w:t>I:.</w:t>
      </w:r>
      <w:proofErr w:type="gramEnd"/>
      <w:r w:rsidRPr="00925F26">
        <w:rPr>
          <w:color w:val="000000" w:themeColor="text1"/>
          <w:sz w:val="16"/>
          <w:szCs w:val="16"/>
        </w:rPr>
        <w:t xml:space="preserve"> Как докладывал здесь НОВИКОВ, </w:t>
      </w:r>
      <w:proofErr w:type="gramStart"/>
      <w:r w:rsidRPr="00925F26">
        <w:rPr>
          <w:color w:val="000000" w:themeColor="text1"/>
          <w:sz w:val="16"/>
          <w:szCs w:val="16"/>
        </w:rPr>
        <w:t>этот :самолет</w:t>
      </w:r>
      <w:proofErr w:type="gramEnd"/>
      <w:r w:rsidRPr="00925F26">
        <w:rPr>
          <w:color w:val="000000" w:themeColor="text1"/>
          <w:sz w:val="16"/>
          <w:szCs w:val="16"/>
        </w:rPr>
        <w:t xml:space="preserve"> очень напоминает скоростной самолета противника с реактивными моторами. Характерное для него то, что ходит он смело, даже там, где много наших ЯК-3 и ЯК-9у; как известно, обычные исбители противника этих самолетов как огня.</w:t>
      </w:r>
    </w:p>
    <w:p w14:paraId="6CA8C556"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 xml:space="preserve">По-моему, борьба с </w:t>
      </w:r>
      <w:proofErr w:type="gramStart"/>
      <w:r w:rsidRPr="00925F26">
        <w:rPr>
          <w:rFonts w:ascii="Times New Roman" w:hAnsi="Times New Roman" w:cs="Times New Roman"/>
          <w:color w:val="000000" w:themeColor="text1"/>
          <w:sz w:val="16"/>
          <w:szCs w:val="16"/>
        </w:rPr>
        <w:t>скоростными :самолетами</w:t>
      </w:r>
      <w:proofErr w:type="gramEnd"/>
      <w:r w:rsidRPr="00925F26">
        <w:rPr>
          <w:rFonts w:ascii="Times New Roman" w:hAnsi="Times New Roman" w:cs="Times New Roman"/>
          <w:color w:val="000000" w:themeColor="text1"/>
          <w:sz w:val="16"/>
          <w:szCs w:val="16"/>
        </w:rPr>
        <w:t xml:space="preserve"> противника должна прежде всего состоять в осмотрительности наших летчиков. Атаковывать нужно его внезапно - от него всегда можно уйти, это ясно истребителю, пользуясь при </w:t>
      </w:r>
      <w:proofErr w:type="gramStart"/>
      <w:r w:rsidRPr="00925F26">
        <w:rPr>
          <w:rFonts w:ascii="Times New Roman" w:hAnsi="Times New Roman" w:cs="Times New Roman"/>
          <w:color w:val="000000" w:themeColor="text1"/>
          <w:sz w:val="16"/>
          <w:szCs w:val="16"/>
        </w:rPr>
        <w:t>этом  маневром</w:t>
      </w:r>
      <w:proofErr w:type="gramEnd"/>
      <w:r w:rsidRPr="00925F26">
        <w:rPr>
          <w:rFonts w:ascii="Times New Roman" w:hAnsi="Times New Roman" w:cs="Times New Roman"/>
          <w:color w:val="000000" w:themeColor="text1"/>
          <w:sz w:val="16"/>
          <w:szCs w:val="16"/>
        </w:rPr>
        <w:t xml:space="preserve">. Судя по устройству фонаря - обзор у летчика-противника плохой, истребителям это нужно использовать для производства внезапной атаки. </w:t>
      </w:r>
    </w:p>
    <w:p w14:paraId="21A77858"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 xml:space="preserve">В ее ходе нужно маскироваться фоном местности при атаках снизу, а при атаках сверху - пользоваться облачностью и </w:t>
      </w:r>
      <w:proofErr w:type="gramStart"/>
      <w:r w:rsidRPr="00925F26">
        <w:rPr>
          <w:rFonts w:ascii="Times New Roman" w:hAnsi="Times New Roman" w:cs="Times New Roman"/>
          <w:color w:val="000000" w:themeColor="text1"/>
          <w:sz w:val="16"/>
          <w:szCs w:val="16"/>
        </w:rPr>
        <w:t>солцем</w:t>
      </w:r>
      <w:proofErr w:type="gramEnd"/>
      <w:r w:rsidRPr="00925F26">
        <w:rPr>
          <w:rFonts w:ascii="Times New Roman" w:hAnsi="Times New Roman" w:cs="Times New Roman"/>
          <w:color w:val="000000" w:themeColor="text1"/>
          <w:sz w:val="16"/>
          <w:szCs w:val="16"/>
        </w:rPr>
        <w:t xml:space="preserve"> В бою нужно хитрить, и это гарантирует победу.</w:t>
      </w:r>
    </w:p>
    <w:p w14:paraId="30C0847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Я убедился, что при выполнении задач по прикрытию наших войск действовать нужно н-ебольшими группами - парами и -четверками. Это облегчает маневр и повышает эффективтивность наших действий. Командиру группы легче работать, не нужно тратить много времени на подсчет своих.</w:t>
      </w:r>
    </w:p>
    <w:p w14:paraId="64A58691"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lastRenderedPageBreak/>
        <w:t>Капитан ЯШИН. - Со скоростными самолетами противника я встреч не имел, но наблюдал их с земли 25.2 в районе Кюстрин. Он шел вдоль по реке ОДЕР. Там было наших два ЯК-3. Они его заметили и начали преследовать. На моих глазах он ушел и для меня стало ясно, что это скоростной свмолет.</w:t>
      </w:r>
    </w:p>
    <w:p w14:paraId="3D284643"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начале, они не представляют. По всем данным, летный состав на них слабый. Вполне вероятно предположение, что на этих штурмовиках работают летчики с са</w:t>
      </w:r>
      <w:r w:rsidRPr="00925F26">
        <w:rPr>
          <w:rFonts w:ascii="Times New Roman" w:hAnsi="Times New Roman" w:cs="Times New Roman"/>
          <w:color w:val="000000" w:themeColor="text1"/>
          <w:sz w:val="16"/>
          <w:szCs w:val="16"/>
        </w:rPr>
        <w:softHyphen/>
        <w:t>молетов типа Ю-87, и даже Ю-88.</w:t>
      </w:r>
    </w:p>
    <w:p w14:paraId="4D1C4D28"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КОМАНДУЮЩИЙ. - По-моему, самое главное для летчика-истребителя в борь</w:t>
      </w:r>
      <w:r w:rsidRPr="00925F26">
        <w:rPr>
          <w:rFonts w:ascii="Times New Roman" w:hAnsi="Times New Roman" w:cs="Times New Roman"/>
          <w:color w:val="000000" w:themeColor="text1"/>
          <w:sz w:val="16"/>
          <w:szCs w:val="16"/>
        </w:rPr>
        <w:softHyphen/>
        <w:t>бе с любыми самолетами противника, и в первую очередь со скоростными самоле</w:t>
      </w:r>
      <w:r w:rsidRPr="00925F26">
        <w:rPr>
          <w:rFonts w:ascii="Times New Roman" w:hAnsi="Times New Roman" w:cs="Times New Roman"/>
          <w:color w:val="000000" w:themeColor="text1"/>
          <w:sz w:val="16"/>
          <w:szCs w:val="16"/>
        </w:rPr>
        <w:softHyphen/>
        <w:t xml:space="preserve">тами </w:t>
      </w:r>
      <w:proofErr w:type="gramStart"/>
      <w:r w:rsidRPr="00925F26">
        <w:rPr>
          <w:rFonts w:ascii="Times New Roman" w:hAnsi="Times New Roman" w:cs="Times New Roman"/>
          <w:color w:val="000000" w:themeColor="text1"/>
          <w:sz w:val="16"/>
          <w:szCs w:val="16"/>
        </w:rPr>
        <w:t>- это</w:t>
      </w:r>
      <w:proofErr w:type="gramEnd"/>
      <w:r w:rsidRPr="00925F26">
        <w:rPr>
          <w:rFonts w:ascii="Times New Roman" w:hAnsi="Times New Roman" w:cs="Times New Roman"/>
          <w:color w:val="000000" w:themeColor="text1"/>
          <w:sz w:val="16"/>
          <w:szCs w:val="16"/>
        </w:rPr>
        <w:t xml:space="preserve"> увидеть его. После этого летчик всегда сможет оценить обстановку и при</w:t>
      </w:r>
      <w:r w:rsidRPr="00925F26">
        <w:rPr>
          <w:rFonts w:ascii="Times New Roman" w:hAnsi="Times New Roman" w:cs="Times New Roman"/>
          <w:color w:val="000000" w:themeColor="text1"/>
          <w:sz w:val="16"/>
          <w:szCs w:val="16"/>
        </w:rPr>
        <w:softHyphen/>
        <w:t>нять правильное решение. Внезапность атак противника при этом всегда будет исключена.</w:t>
      </w:r>
    </w:p>
    <w:p w14:paraId="51C8E90C"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Майор КОЖЕДУБ. - Вопрос борьбы со скоростными самолетами противника весьма важный. Борьба на больших ско</w:t>
      </w:r>
      <w:r w:rsidRPr="00925F26">
        <w:rPr>
          <w:rFonts w:ascii="Times New Roman" w:hAnsi="Times New Roman" w:cs="Times New Roman"/>
          <w:color w:val="000000" w:themeColor="text1"/>
          <w:sz w:val="16"/>
          <w:szCs w:val="16"/>
        </w:rPr>
        <w:softHyphen/>
        <w:t>ростях требует опытного летного соста</w:t>
      </w:r>
      <w:r w:rsidRPr="00925F26">
        <w:rPr>
          <w:rFonts w:ascii="Times New Roman" w:hAnsi="Times New Roman" w:cs="Times New Roman"/>
          <w:color w:val="000000" w:themeColor="text1"/>
          <w:sz w:val="16"/>
          <w:szCs w:val="16"/>
        </w:rPr>
        <w:softHyphen/>
        <w:t>ва. Большая скорость - трудный маневр, меньшая вероятность попаданий. Наша матчасть тоже скоростная. Надеясь на свою большую скорость, наши летчики иногда забывают за хвост, не наблюдают за ним. Нужно полагать, что скоростной самолет противника имеет отличное пило</w:t>
      </w:r>
      <w:r w:rsidRPr="00925F26">
        <w:rPr>
          <w:rFonts w:ascii="Times New Roman" w:hAnsi="Times New Roman" w:cs="Times New Roman"/>
          <w:color w:val="000000" w:themeColor="text1"/>
          <w:sz w:val="16"/>
          <w:szCs w:val="16"/>
        </w:rPr>
        <w:softHyphen/>
        <w:t>тажное оборудование, и такую же рацию. Наводится он, по-видимому, установкой РУС. Скорее всего он может поражать нас сзади, пользуясь повышенной скоростью для того, чтобы настигнуть выбранную цель. Поэтому наблюдение за хвостом - вопрос весьма актуальный. Нужно научить молодняк вести борьбу на больших скоро</w:t>
      </w:r>
      <w:r w:rsidRPr="00925F26">
        <w:rPr>
          <w:rFonts w:ascii="Times New Roman" w:hAnsi="Times New Roman" w:cs="Times New Roman"/>
          <w:color w:val="000000" w:themeColor="text1"/>
          <w:sz w:val="16"/>
          <w:szCs w:val="16"/>
        </w:rPr>
        <w:softHyphen/>
        <w:t>стях. Нужно также иметь ввиду, что про</w:t>
      </w:r>
      <w:r w:rsidRPr="00925F26">
        <w:rPr>
          <w:rFonts w:ascii="Times New Roman" w:hAnsi="Times New Roman" w:cs="Times New Roman"/>
          <w:color w:val="000000" w:themeColor="text1"/>
          <w:sz w:val="16"/>
          <w:szCs w:val="16"/>
        </w:rPr>
        <w:softHyphen/>
        <w:t>тивник не всегда будет пользоваться боль</w:t>
      </w:r>
      <w:r w:rsidRPr="00925F26">
        <w:rPr>
          <w:rFonts w:ascii="Times New Roman" w:hAnsi="Times New Roman" w:cs="Times New Roman"/>
          <w:color w:val="000000" w:themeColor="text1"/>
          <w:sz w:val="16"/>
          <w:szCs w:val="16"/>
        </w:rPr>
        <w:softHyphen/>
        <w:t>шой скоростью и в необходимых случаях будет погашать ее маневром или выклю</w:t>
      </w:r>
      <w:r w:rsidRPr="00925F26">
        <w:rPr>
          <w:rFonts w:ascii="Times New Roman" w:hAnsi="Times New Roman" w:cs="Times New Roman"/>
          <w:color w:val="000000" w:themeColor="text1"/>
          <w:sz w:val="16"/>
          <w:szCs w:val="16"/>
        </w:rPr>
        <w:softHyphen/>
        <w:t>чением реактивных моторов, для дости</w:t>
      </w:r>
      <w:r w:rsidRPr="00925F26">
        <w:rPr>
          <w:rFonts w:ascii="Times New Roman" w:hAnsi="Times New Roman" w:cs="Times New Roman"/>
          <w:color w:val="000000" w:themeColor="text1"/>
          <w:sz w:val="16"/>
          <w:szCs w:val="16"/>
        </w:rPr>
        <w:softHyphen/>
        <w:t>жения лучшей маневренности. Правильно здесь говорили о том, что успех борьбы со скоростными самолетами противника будет решать быстрота атаки - внезап</w:t>
      </w:r>
      <w:r w:rsidRPr="00925F26">
        <w:rPr>
          <w:rFonts w:ascii="Times New Roman" w:hAnsi="Times New Roman" w:cs="Times New Roman"/>
          <w:color w:val="000000" w:themeColor="text1"/>
          <w:sz w:val="16"/>
          <w:szCs w:val="16"/>
        </w:rPr>
        <w:softHyphen/>
        <w:t>ность. Атаковывать противника нужно под малым ракурсом, не более 2/4. Выход из атаки отворотом для захода на повторную атаку. Я тоже при выполнении задачи в районе плацдармов над р. ОДЕР заметил МЕ-109 с какой-то подвеской, нагнал его, а мой ведомый майор ТИТАРЕНКО, зайдя сверху, дал по нему очередь, но промах</w:t>
      </w:r>
      <w:r w:rsidRPr="00925F26">
        <w:rPr>
          <w:rFonts w:ascii="Times New Roman" w:hAnsi="Times New Roman" w:cs="Times New Roman"/>
          <w:color w:val="000000" w:themeColor="text1"/>
          <w:sz w:val="16"/>
          <w:szCs w:val="16"/>
        </w:rPr>
        <w:softHyphen/>
        <w:t>нулся. Заметив трассу, противник резко свернул влево и попал в мой прицел. Я тоже дал очередь. «Люлька» отлетела. Самолет сбил, но упал он на территории противника. Судя по этому случаю, ско</w:t>
      </w:r>
      <w:r w:rsidRPr="00925F26">
        <w:rPr>
          <w:rFonts w:ascii="Times New Roman" w:hAnsi="Times New Roman" w:cs="Times New Roman"/>
          <w:color w:val="000000" w:themeColor="text1"/>
          <w:sz w:val="16"/>
          <w:szCs w:val="16"/>
        </w:rPr>
        <w:softHyphen/>
        <w:t>ростные самолеты противника сбивать не трудно, применяя внезапность атаки.</w:t>
      </w:r>
    </w:p>
    <w:p w14:paraId="23A15252"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скоростных самолетах противник ведет также разведку. Над нашим аэро</w:t>
      </w:r>
      <w:r w:rsidRPr="00925F26">
        <w:rPr>
          <w:rFonts w:ascii="Times New Roman" w:hAnsi="Times New Roman" w:cs="Times New Roman"/>
          <w:color w:val="000000" w:themeColor="text1"/>
          <w:sz w:val="16"/>
          <w:szCs w:val="16"/>
        </w:rPr>
        <w:softHyphen/>
        <w:t>дромом мы замечали его дважды. Напо</w:t>
      </w:r>
      <w:r w:rsidRPr="00925F26">
        <w:rPr>
          <w:rFonts w:ascii="Times New Roman" w:hAnsi="Times New Roman" w:cs="Times New Roman"/>
          <w:color w:val="000000" w:themeColor="text1"/>
          <w:sz w:val="16"/>
          <w:szCs w:val="16"/>
        </w:rPr>
        <w:softHyphen/>
        <w:t>минал он Ю-88, но проходил на большой скорости. Нужно также иметь ввиду, что на таких самолетах есть стрелки, что нужно учитывать при атаках сзади.</w:t>
      </w:r>
    </w:p>
    <w:p w14:paraId="7EDFC8E9"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Правильно говорил Командующий о том, что истребителю очень важно сво</w:t>
      </w:r>
      <w:r w:rsidRPr="00925F26">
        <w:rPr>
          <w:rFonts w:ascii="Times New Roman" w:hAnsi="Times New Roman" w:cs="Times New Roman"/>
          <w:color w:val="000000" w:themeColor="text1"/>
          <w:sz w:val="16"/>
          <w:szCs w:val="16"/>
        </w:rPr>
        <w:softHyphen/>
        <w:t>евременно заметить самолет противника. Если заметил его на большом удалении, то не дай себе попасть в прицел, а то не успе</w:t>
      </w:r>
      <w:r w:rsidRPr="00925F26">
        <w:rPr>
          <w:rFonts w:ascii="Times New Roman" w:hAnsi="Times New Roman" w:cs="Times New Roman"/>
          <w:color w:val="000000" w:themeColor="text1"/>
          <w:sz w:val="16"/>
          <w:szCs w:val="16"/>
        </w:rPr>
        <w:softHyphen/>
        <w:t>ешь сманеврировать и станешь жертвой.</w:t>
      </w:r>
    </w:p>
    <w:p w14:paraId="6A2B8A87"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Скоростные самолеты противника не являются грозным оружием, если грамот</w:t>
      </w:r>
      <w:r w:rsidRPr="00925F26">
        <w:rPr>
          <w:rFonts w:ascii="Times New Roman" w:hAnsi="Times New Roman" w:cs="Times New Roman"/>
          <w:color w:val="000000" w:themeColor="text1"/>
          <w:sz w:val="16"/>
          <w:szCs w:val="16"/>
        </w:rPr>
        <w:softHyphen/>
        <w:t>но организовать борьбу с ними.</w:t>
      </w:r>
    </w:p>
    <w:p w14:paraId="236E4EDC"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Я вспоминаю период борьбы наших истребителей на матчасти И-16 с МЕ-109. Они тоже были по отношению к «Ишакам» скоростными. Однако грамотные летчики на «Ишаках» успешно вели борьбу с «Мес</w:t>
      </w:r>
      <w:r w:rsidRPr="00925F26">
        <w:rPr>
          <w:rFonts w:ascii="Times New Roman" w:hAnsi="Times New Roman" w:cs="Times New Roman"/>
          <w:color w:val="000000" w:themeColor="text1"/>
          <w:sz w:val="16"/>
          <w:szCs w:val="16"/>
        </w:rPr>
        <w:softHyphen/>
        <w:t>серами».</w:t>
      </w:r>
    </w:p>
    <w:p w14:paraId="59D42463"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Драться со скоростными самолетами противника можно и нужно. Для этого у нас есть все данные.</w:t>
      </w:r>
    </w:p>
    <w:p w14:paraId="3A84DB55"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Майор КОБИЛЕЦКИЙ. - Постановка вопроса о борьбе со скоростными самоле</w:t>
      </w:r>
      <w:r w:rsidRPr="00925F26">
        <w:rPr>
          <w:rFonts w:ascii="Times New Roman" w:hAnsi="Times New Roman" w:cs="Times New Roman"/>
          <w:color w:val="000000" w:themeColor="text1"/>
          <w:sz w:val="16"/>
          <w:szCs w:val="16"/>
        </w:rPr>
        <w:softHyphen/>
        <w:t>тами противника напоминает мне случай борьбы с двумя разведчиками противника в свое время в Китае. Они систематически ходили парой на фотографирование на</w:t>
      </w:r>
      <w:r w:rsidRPr="00925F26">
        <w:rPr>
          <w:rFonts w:ascii="Times New Roman" w:hAnsi="Times New Roman" w:cs="Times New Roman"/>
          <w:color w:val="000000" w:themeColor="text1"/>
          <w:sz w:val="16"/>
          <w:szCs w:val="16"/>
        </w:rPr>
        <w:softHyphen/>
        <w:t>ших аэродромов, и каждый раз уходили безнаказанно на повышенных скоростях. Появлялись всегда внезапно. Была постав</w:t>
      </w:r>
      <w:r w:rsidRPr="00925F26">
        <w:rPr>
          <w:rFonts w:ascii="Times New Roman" w:hAnsi="Times New Roman" w:cs="Times New Roman"/>
          <w:color w:val="000000" w:themeColor="text1"/>
          <w:sz w:val="16"/>
          <w:szCs w:val="16"/>
        </w:rPr>
        <w:softHyphen/>
        <w:t>лена задача сбить их во что бы то ни стало. Для этой цели подняли пять отрядов, зная, примерно, время прихода разведчиков. Эшелонировав пары по высоте от 4.500 до 300 метров, с интервалом между парами 200 метров, подкарауливали врага. Раз</w:t>
      </w:r>
      <w:r w:rsidRPr="00925F26">
        <w:rPr>
          <w:rFonts w:ascii="Times New Roman" w:hAnsi="Times New Roman" w:cs="Times New Roman"/>
          <w:color w:val="000000" w:themeColor="text1"/>
          <w:sz w:val="16"/>
          <w:szCs w:val="16"/>
        </w:rPr>
        <w:softHyphen/>
        <w:t>ведчики появились. Несмотря на то, что наши истребители были на И-16, врагу не помогла повышенная скорость. Разведчи</w:t>
      </w:r>
      <w:r w:rsidRPr="00925F26">
        <w:rPr>
          <w:rFonts w:ascii="Times New Roman" w:hAnsi="Times New Roman" w:cs="Times New Roman"/>
          <w:color w:val="000000" w:themeColor="text1"/>
          <w:sz w:val="16"/>
          <w:szCs w:val="16"/>
        </w:rPr>
        <w:softHyphen/>
        <w:t>ки были сбиты. Как показали данные при</w:t>
      </w:r>
      <w:r w:rsidRPr="00925F26">
        <w:rPr>
          <w:rFonts w:ascii="Times New Roman" w:hAnsi="Times New Roman" w:cs="Times New Roman"/>
          <w:color w:val="000000" w:themeColor="text1"/>
          <w:sz w:val="16"/>
          <w:szCs w:val="16"/>
        </w:rPr>
        <w:softHyphen/>
        <w:t>боров, они обладали скоростью при уходе до 750 километров.</w:t>
      </w:r>
    </w:p>
    <w:p w14:paraId="15DF1EE7"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Важно сбить хоть один скоростной са</w:t>
      </w:r>
      <w:r w:rsidRPr="00925F26">
        <w:rPr>
          <w:rFonts w:ascii="Times New Roman" w:hAnsi="Times New Roman" w:cs="Times New Roman"/>
          <w:color w:val="000000" w:themeColor="text1"/>
          <w:sz w:val="16"/>
          <w:szCs w:val="16"/>
        </w:rPr>
        <w:softHyphen/>
        <w:t>молет, и этот опыт немедленно передать всем истребителям Воздушной Армии.</w:t>
      </w:r>
    </w:p>
    <w:p w14:paraId="2BB14149"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Гв. лейтенант КОБЯКИН. - В инфор</w:t>
      </w:r>
      <w:r w:rsidRPr="00925F26">
        <w:rPr>
          <w:rFonts w:ascii="Times New Roman" w:hAnsi="Times New Roman" w:cs="Times New Roman"/>
          <w:color w:val="000000" w:themeColor="text1"/>
          <w:sz w:val="16"/>
          <w:szCs w:val="16"/>
        </w:rPr>
        <w:softHyphen/>
        <w:t>мбюллетене имеется указание, что МЕ- 109 - «Летающее крыло» имеет поса</w:t>
      </w:r>
      <w:r w:rsidRPr="00925F26">
        <w:rPr>
          <w:rFonts w:ascii="Times New Roman" w:hAnsi="Times New Roman" w:cs="Times New Roman"/>
          <w:color w:val="000000" w:themeColor="text1"/>
          <w:sz w:val="16"/>
          <w:szCs w:val="16"/>
        </w:rPr>
        <w:softHyphen/>
        <w:t>дочную скорость 65 километров. Нужно думать, что и скоростные самолеты против</w:t>
      </w:r>
      <w:r w:rsidRPr="00925F26">
        <w:rPr>
          <w:rFonts w:ascii="Times New Roman" w:hAnsi="Times New Roman" w:cs="Times New Roman"/>
          <w:color w:val="000000" w:themeColor="text1"/>
          <w:sz w:val="16"/>
          <w:szCs w:val="16"/>
        </w:rPr>
        <w:softHyphen/>
        <w:t>ника имеют большой диапазон скоростей.</w:t>
      </w:r>
    </w:p>
    <w:p w14:paraId="4A225E4B" w14:textId="77777777" w:rsidR="008C396C" w:rsidRPr="00925F26" w:rsidRDefault="008C396C" w:rsidP="00925F26">
      <w:pPr>
        <w:jc w:val="both"/>
        <w:rPr>
          <w:color w:val="000000" w:themeColor="text1"/>
          <w:sz w:val="16"/>
          <w:szCs w:val="16"/>
        </w:rPr>
      </w:pPr>
      <w:r w:rsidRPr="00925F26">
        <w:rPr>
          <w:color w:val="000000" w:themeColor="text1"/>
          <w:sz w:val="16"/>
          <w:szCs w:val="16"/>
        </w:rPr>
        <w:t>Если заметил самолет противника - не упускай его из виду. Не уходи от него, а навязывай ему активный бой - коллек</w:t>
      </w:r>
      <w:r w:rsidRPr="00925F26">
        <w:rPr>
          <w:color w:val="000000" w:themeColor="text1"/>
          <w:sz w:val="16"/>
          <w:szCs w:val="16"/>
        </w:rPr>
        <w:softHyphen/>
        <w:t>тивный. Старайся подойти к нему поближе и атакуй внезапно. Стрельба по скорост</w:t>
      </w:r>
      <w:r w:rsidRPr="00925F26">
        <w:rPr>
          <w:color w:val="000000" w:themeColor="text1"/>
          <w:sz w:val="16"/>
          <w:szCs w:val="16"/>
        </w:rPr>
        <w:softHyphen/>
        <w:t xml:space="preserve">ным самолетам противника не должна </w:t>
      </w:r>
      <w:proofErr w:type="gramStart"/>
      <w:r w:rsidRPr="00925F26">
        <w:rPr>
          <w:color w:val="000000" w:themeColor="text1"/>
          <w:sz w:val="16"/>
          <w:szCs w:val="16"/>
        </w:rPr>
        <w:t>чем либо</w:t>
      </w:r>
      <w:proofErr w:type="gramEnd"/>
      <w:r w:rsidRPr="00925F26">
        <w:rPr>
          <w:color w:val="000000" w:themeColor="text1"/>
          <w:sz w:val="16"/>
          <w:szCs w:val="16"/>
        </w:rPr>
        <w:t xml:space="preserve"> особенно отличаться от стрельбы по обычным истребителям противника, если бьешь его с близких дистанций.</w:t>
      </w:r>
    </w:p>
    <w:p w14:paraId="238835BF"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Капитан ЛУКИН. - Успех воздушного боя решает внезапность атаки. Скорост</w:t>
      </w:r>
      <w:r w:rsidRPr="00925F26">
        <w:rPr>
          <w:rFonts w:ascii="Times New Roman" w:hAnsi="Times New Roman" w:cs="Times New Roman"/>
          <w:color w:val="000000" w:themeColor="text1"/>
          <w:sz w:val="16"/>
          <w:szCs w:val="16"/>
        </w:rPr>
        <w:softHyphen/>
        <w:t>ные самолеты противника это тип истре</w:t>
      </w:r>
      <w:r w:rsidRPr="00925F26">
        <w:rPr>
          <w:rFonts w:ascii="Times New Roman" w:hAnsi="Times New Roman" w:cs="Times New Roman"/>
          <w:color w:val="000000" w:themeColor="text1"/>
          <w:sz w:val="16"/>
          <w:szCs w:val="16"/>
        </w:rPr>
        <w:softHyphen/>
        <w:t>бителя дальнего действия. На мой взгляд наиболее правильный способ атаки их- отход отворотом в сторону с последую</w:t>
      </w:r>
      <w:r w:rsidRPr="00925F26">
        <w:rPr>
          <w:rFonts w:ascii="Times New Roman" w:hAnsi="Times New Roman" w:cs="Times New Roman"/>
          <w:color w:val="000000" w:themeColor="text1"/>
          <w:sz w:val="16"/>
          <w:szCs w:val="16"/>
        </w:rPr>
        <w:softHyphen/>
        <w:t>щим доворотом и атакой. По имеющимся данным, угол планирования у скоростных самолетов не превышает 15°. Пользуясь этим, можно уходить вниз, дать возмож</w:t>
      </w:r>
      <w:r w:rsidRPr="00925F26">
        <w:rPr>
          <w:rFonts w:ascii="Times New Roman" w:hAnsi="Times New Roman" w:cs="Times New Roman"/>
          <w:color w:val="000000" w:themeColor="text1"/>
          <w:sz w:val="16"/>
          <w:szCs w:val="16"/>
        </w:rPr>
        <w:softHyphen/>
        <w:t>ность противнику проскочить, а затем ата</w:t>
      </w:r>
      <w:r w:rsidRPr="00925F26">
        <w:rPr>
          <w:rFonts w:ascii="Times New Roman" w:hAnsi="Times New Roman" w:cs="Times New Roman"/>
          <w:color w:val="000000" w:themeColor="text1"/>
          <w:sz w:val="16"/>
          <w:szCs w:val="16"/>
        </w:rPr>
        <w:softHyphen/>
        <w:t>ковать его самому.</w:t>
      </w:r>
    </w:p>
    <w:p w14:paraId="3B829357"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Несомненно, что основная цель ново</w:t>
      </w:r>
      <w:r w:rsidRPr="00925F26">
        <w:rPr>
          <w:rFonts w:ascii="Times New Roman" w:hAnsi="Times New Roman" w:cs="Times New Roman"/>
          <w:color w:val="000000" w:themeColor="text1"/>
          <w:sz w:val="16"/>
          <w:szCs w:val="16"/>
        </w:rPr>
        <w:softHyphen/>
        <w:t xml:space="preserve">го типа самолета противника </w:t>
      </w:r>
      <w:proofErr w:type="gramStart"/>
      <w:r w:rsidRPr="00925F26">
        <w:rPr>
          <w:rFonts w:ascii="Times New Roman" w:hAnsi="Times New Roman" w:cs="Times New Roman"/>
          <w:color w:val="000000" w:themeColor="text1"/>
          <w:sz w:val="16"/>
          <w:szCs w:val="16"/>
        </w:rPr>
        <w:t>- это</w:t>
      </w:r>
      <w:proofErr w:type="gramEnd"/>
      <w:r w:rsidRPr="00925F26">
        <w:rPr>
          <w:rFonts w:ascii="Times New Roman" w:hAnsi="Times New Roman" w:cs="Times New Roman"/>
          <w:color w:val="000000" w:themeColor="text1"/>
          <w:sz w:val="16"/>
          <w:szCs w:val="16"/>
        </w:rPr>
        <w:t xml:space="preserve"> борьба с нашими бомбардировщиками и штурмо</w:t>
      </w:r>
      <w:r w:rsidRPr="00925F26">
        <w:rPr>
          <w:rFonts w:ascii="Times New Roman" w:hAnsi="Times New Roman" w:cs="Times New Roman"/>
          <w:color w:val="000000" w:themeColor="text1"/>
          <w:sz w:val="16"/>
          <w:szCs w:val="16"/>
        </w:rPr>
        <w:softHyphen/>
        <w:t>виками и одиночными разведчиками. С нашими истребителями им драться трудно и невыгодно.</w:t>
      </w:r>
    </w:p>
    <w:p w14:paraId="1B5B37DD"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Майор БАШКИРОВ. - В борьбе со скоростными самолетами противника наш прицел вполне позволяет ведение эффек</w:t>
      </w:r>
      <w:r w:rsidRPr="00925F26">
        <w:rPr>
          <w:rFonts w:ascii="Times New Roman" w:hAnsi="Times New Roman" w:cs="Times New Roman"/>
          <w:color w:val="000000" w:themeColor="text1"/>
          <w:sz w:val="16"/>
          <w:szCs w:val="16"/>
        </w:rPr>
        <w:softHyphen/>
        <w:t>тивного огня под ракурсом не более 2/4. Я согласен с утверждением о том, что та</w:t>
      </w:r>
      <w:r w:rsidRPr="00925F26">
        <w:rPr>
          <w:rFonts w:ascii="Times New Roman" w:hAnsi="Times New Roman" w:cs="Times New Roman"/>
          <w:color w:val="000000" w:themeColor="text1"/>
          <w:sz w:val="16"/>
          <w:szCs w:val="16"/>
        </w:rPr>
        <w:softHyphen/>
        <w:t>кие самолеты противника не всегда ходят на увеличенной скорости. Поэтому при обычной скорости новые типы самолетов противника нужно бить с обычным расче</w:t>
      </w:r>
      <w:r w:rsidRPr="00925F26">
        <w:rPr>
          <w:rFonts w:ascii="Times New Roman" w:hAnsi="Times New Roman" w:cs="Times New Roman"/>
          <w:color w:val="000000" w:themeColor="text1"/>
          <w:sz w:val="16"/>
          <w:szCs w:val="16"/>
        </w:rPr>
        <w:softHyphen/>
        <w:t>том, а на увеличенной скорости с двойной поправкой.</w:t>
      </w:r>
    </w:p>
    <w:p w14:paraId="157AE929"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Наш прицел коллиматорный. Нужно всегда помнить, чтобы цель прошла через перекрестие прицела. Иначе попадания не будет. Нужно уметь определить ско</w:t>
      </w:r>
      <w:r w:rsidRPr="00925F26">
        <w:rPr>
          <w:rFonts w:ascii="Times New Roman" w:hAnsi="Times New Roman" w:cs="Times New Roman"/>
          <w:color w:val="000000" w:themeColor="text1"/>
          <w:sz w:val="16"/>
          <w:szCs w:val="16"/>
        </w:rPr>
        <w:softHyphen/>
        <w:t>рость самолета противника, тогда легче прицелиться, выбрать визирную точку. Молодняк нужно научить стрельбе с даль</w:t>
      </w:r>
      <w:r w:rsidRPr="00925F26">
        <w:rPr>
          <w:rFonts w:ascii="Times New Roman" w:hAnsi="Times New Roman" w:cs="Times New Roman"/>
          <w:color w:val="000000" w:themeColor="text1"/>
          <w:sz w:val="16"/>
          <w:szCs w:val="16"/>
        </w:rPr>
        <w:softHyphen/>
        <w:t>них дистанций, имея ввиду уход самоле</w:t>
      </w:r>
      <w:r w:rsidRPr="00925F26">
        <w:rPr>
          <w:rFonts w:ascii="Times New Roman" w:hAnsi="Times New Roman" w:cs="Times New Roman"/>
          <w:color w:val="000000" w:themeColor="text1"/>
          <w:sz w:val="16"/>
          <w:szCs w:val="16"/>
        </w:rPr>
        <w:softHyphen/>
        <w:t>тов противника на повышенной скорости.</w:t>
      </w:r>
    </w:p>
    <w:p w14:paraId="274F958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Нужно научить летный состав приме</w:t>
      </w:r>
      <w:r w:rsidRPr="00925F26">
        <w:rPr>
          <w:rFonts w:ascii="Times New Roman" w:hAnsi="Times New Roman" w:cs="Times New Roman"/>
          <w:color w:val="000000" w:themeColor="text1"/>
          <w:sz w:val="16"/>
          <w:szCs w:val="16"/>
        </w:rPr>
        <w:softHyphen/>
        <w:t>нению прямого выстрела (расстояние, на котором снаряд не выходит из пределов размера цели) при атаках скоростных са</w:t>
      </w:r>
      <w:r w:rsidRPr="00925F26">
        <w:rPr>
          <w:rFonts w:ascii="Times New Roman" w:hAnsi="Times New Roman" w:cs="Times New Roman"/>
          <w:color w:val="000000" w:themeColor="text1"/>
          <w:sz w:val="16"/>
          <w:szCs w:val="16"/>
        </w:rPr>
        <w:softHyphen/>
        <w:t>молетов.</w:t>
      </w:r>
    </w:p>
    <w:p w14:paraId="33270D8B"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Совершенно правильно, что вместе со скоростными самолетами будут дейст</w:t>
      </w:r>
      <w:r w:rsidRPr="00925F26">
        <w:rPr>
          <w:rFonts w:ascii="Times New Roman" w:hAnsi="Times New Roman" w:cs="Times New Roman"/>
          <w:color w:val="000000" w:themeColor="text1"/>
          <w:sz w:val="16"/>
          <w:szCs w:val="16"/>
        </w:rPr>
        <w:softHyphen/>
        <w:t>вовать также обычные ФВ-190 и МЕ-109. Это нужно всегда иметь ввиду в борьбе с новым типом самолета противника.</w:t>
      </w:r>
    </w:p>
    <w:p w14:paraId="7C3F5041"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мой взгляд, для поиска и уничто</w:t>
      </w:r>
      <w:r w:rsidRPr="00925F26">
        <w:rPr>
          <w:rFonts w:ascii="Times New Roman" w:hAnsi="Times New Roman" w:cs="Times New Roman"/>
          <w:color w:val="000000" w:themeColor="text1"/>
          <w:sz w:val="16"/>
          <w:szCs w:val="16"/>
        </w:rPr>
        <w:softHyphen/>
        <w:t>жения скоростных самолетов противника нужно применять: при поиске - рассре</w:t>
      </w:r>
      <w:r w:rsidRPr="00925F26">
        <w:rPr>
          <w:rFonts w:ascii="Times New Roman" w:hAnsi="Times New Roman" w:cs="Times New Roman"/>
          <w:color w:val="000000" w:themeColor="text1"/>
          <w:sz w:val="16"/>
          <w:szCs w:val="16"/>
        </w:rPr>
        <w:softHyphen/>
        <w:t xml:space="preserve">доточенный строй наших истребителей, а при ведении воздушного боя - собираться вместе. Бой со скоростным самолетом </w:t>
      </w:r>
      <w:proofErr w:type="gramStart"/>
      <w:r w:rsidRPr="00925F26">
        <w:rPr>
          <w:rFonts w:ascii="Times New Roman" w:hAnsi="Times New Roman" w:cs="Times New Roman"/>
          <w:color w:val="000000" w:themeColor="text1"/>
          <w:sz w:val="16"/>
          <w:szCs w:val="16"/>
        </w:rPr>
        <w:t>- это</w:t>
      </w:r>
      <w:proofErr w:type="gramEnd"/>
      <w:r w:rsidRPr="00925F26">
        <w:rPr>
          <w:rFonts w:ascii="Times New Roman" w:hAnsi="Times New Roman" w:cs="Times New Roman"/>
          <w:color w:val="000000" w:themeColor="text1"/>
          <w:sz w:val="16"/>
          <w:szCs w:val="16"/>
        </w:rPr>
        <w:t xml:space="preserve"> скоротечная атака. Атаковывать его лучше снизу. Ловить его нужно этажеркой пар. Ограниченность угла пикирования са</w:t>
      </w:r>
      <w:r w:rsidRPr="00925F26">
        <w:rPr>
          <w:rFonts w:ascii="Times New Roman" w:hAnsi="Times New Roman" w:cs="Times New Roman"/>
          <w:color w:val="000000" w:themeColor="text1"/>
          <w:sz w:val="16"/>
          <w:szCs w:val="16"/>
        </w:rPr>
        <w:softHyphen/>
        <w:t>молета противника обязательно нужно ис</w:t>
      </w:r>
      <w:r w:rsidRPr="00925F26">
        <w:rPr>
          <w:rFonts w:ascii="Times New Roman" w:hAnsi="Times New Roman" w:cs="Times New Roman"/>
          <w:color w:val="000000" w:themeColor="text1"/>
          <w:sz w:val="16"/>
          <w:szCs w:val="16"/>
        </w:rPr>
        <w:softHyphen/>
        <w:t>пользовать для выработки наших приемов в борьбе с ним.</w:t>
      </w:r>
    </w:p>
    <w:p w14:paraId="23F6C7C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КОМАНДУЩИЙ. - Мало выступают истребители сопровождения бомбарди</w:t>
      </w:r>
      <w:r w:rsidRPr="00925F26">
        <w:rPr>
          <w:rFonts w:ascii="Times New Roman" w:hAnsi="Times New Roman" w:cs="Times New Roman"/>
          <w:color w:val="000000" w:themeColor="text1"/>
          <w:sz w:val="16"/>
          <w:szCs w:val="16"/>
        </w:rPr>
        <w:softHyphen/>
        <w:t>ровщиков и штурмовиков. Им нужно вы</w:t>
      </w:r>
      <w:r w:rsidRPr="00925F26">
        <w:rPr>
          <w:rFonts w:ascii="Times New Roman" w:hAnsi="Times New Roman" w:cs="Times New Roman"/>
          <w:color w:val="000000" w:themeColor="text1"/>
          <w:sz w:val="16"/>
          <w:szCs w:val="16"/>
        </w:rPr>
        <w:softHyphen/>
        <w:t>сказаться, как они думают бороться со скоростными самолетами противника. Не</w:t>
      </w:r>
      <w:r w:rsidRPr="00925F26">
        <w:rPr>
          <w:rFonts w:ascii="Times New Roman" w:hAnsi="Times New Roman" w:cs="Times New Roman"/>
          <w:color w:val="000000" w:themeColor="text1"/>
          <w:sz w:val="16"/>
          <w:szCs w:val="16"/>
        </w:rPr>
        <w:softHyphen/>
        <w:t>сомненно, что противник будет применять этот тип самолета прежде всего против бомбардировщиков и штурмовиков. Наши истребители будут для него более редким об"ектом.</w:t>
      </w:r>
    </w:p>
    <w:p w14:paraId="4D59C739"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Капитан ХАРИТОНОВ. - Какой ме</w:t>
      </w:r>
      <w:r w:rsidRPr="00925F26">
        <w:rPr>
          <w:rFonts w:ascii="Times New Roman" w:hAnsi="Times New Roman" w:cs="Times New Roman"/>
          <w:color w:val="000000" w:themeColor="text1"/>
          <w:sz w:val="16"/>
          <w:szCs w:val="16"/>
        </w:rPr>
        <w:softHyphen/>
        <w:t>тод борьбы со скоростными самолетами противника наиболее эффективен при со</w:t>
      </w:r>
      <w:r w:rsidRPr="00925F26">
        <w:rPr>
          <w:rFonts w:ascii="Times New Roman" w:hAnsi="Times New Roman" w:cs="Times New Roman"/>
          <w:color w:val="000000" w:themeColor="text1"/>
          <w:sz w:val="16"/>
          <w:szCs w:val="16"/>
        </w:rPr>
        <w:softHyphen/>
        <w:t>провождении бомбардировщиков и штур</w:t>
      </w:r>
      <w:r w:rsidRPr="00925F26">
        <w:rPr>
          <w:rFonts w:ascii="Times New Roman" w:hAnsi="Times New Roman" w:cs="Times New Roman"/>
          <w:color w:val="000000" w:themeColor="text1"/>
          <w:sz w:val="16"/>
          <w:szCs w:val="16"/>
        </w:rPr>
        <w:softHyphen/>
        <w:t>мовиков? Я полагаю, что вполне правиль</w:t>
      </w:r>
      <w:r w:rsidRPr="00925F26">
        <w:rPr>
          <w:rFonts w:ascii="Times New Roman" w:hAnsi="Times New Roman" w:cs="Times New Roman"/>
          <w:color w:val="000000" w:themeColor="text1"/>
          <w:sz w:val="16"/>
          <w:szCs w:val="16"/>
        </w:rPr>
        <w:softHyphen/>
        <w:t>но утверждение о том, что целью нового типа самолета противника будет являться уничтожение бомбардировщиков и штур</w:t>
      </w:r>
      <w:r w:rsidRPr="00925F26">
        <w:rPr>
          <w:rFonts w:ascii="Times New Roman" w:hAnsi="Times New Roman" w:cs="Times New Roman"/>
          <w:color w:val="000000" w:themeColor="text1"/>
          <w:sz w:val="16"/>
          <w:szCs w:val="16"/>
        </w:rPr>
        <w:softHyphen/>
        <w:t>мовиков. Поэтому ответственность ис</w:t>
      </w:r>
      <w:r w:rsidRPr="00925F26">
        <w:rPr>
          <w:rFonts w:ascii="Times New Roman" w:hAnsi="Times New Roman" w:cs="Times New Roman"/>
          <w:color w:val="000000" w:themeColor="text1"/>
          <w:sz w:val="16"/>
          <w:szCs w:val="16"/>
        </w:rPr>
        <w:softHyphen/>
        <w:t>требителей сопровождения значительно возрастает. В бой новые типы самолетов противника ввязываться не будут, атаки их будут внезапными, могут также повто</w:t>
      </w:r>
      <w:r w:rsidRPr="00925F26">
        <w:rPr>
          <w:rFonts w:ascii="Times New Roman" w:hAnsi="Times New Roman" w:cs="Times New Roman"/>
          <w:color w:val="000000" w:themeColor="text1"/>
          <w:sz w:val="16"/>
          <w:szCs w:val="16"/>
        </w:rPr>
        <w:softHyphen/>
        <w:t>ряться. Бороться лобовой атакой с ними нельзя. У них слишком мощное вооруже</w:t>
      </w:r>
      <w:r w:rsidRPr="00925F26">
        <w:rPr>
          <w:rFonts w:ascii="Times New Roman" w:hAnsi="Times New Roman" w:cs="Times New Roman"/>
          <w:color w:val="000000" w:themeColor="text1"/>
          <w:sz w:val="16"/>
          <w:szCs w:val="16"/>
        </w:rPr>
        <w:softHyphen/>
        <w:t>ние, да и времени для этого на больших скоростях очень мало. Первым мероприя</w:t>
      </w:r>
      <w:r w:rsidRPr="00925F26">
        <w:rPr>
          <w:rFonts w:ascii="Times New Roman" w:hAnsi="Times New Roman" w:cs="Times New Roman"/>
          <w:color w:val="000000" w:themeColor="text1"/>
          <w:sz w:val="16"/>
          <w:szCs w:val="16"/>
        </w:rPr>
        <w:softHyphen/>
        <w:t>тием для ограждения бомбардировщиков и штурмовиков от скоростных самолетов противника является оттягивание наших истребителей сопровождения на боль</w:t>
      </w:r>
      <w:r w:rsidRPr="00925F26">
        <w:rPr>
          <w:rFonts w:ascii="Times New Roman" w:hAnsi="Times New Roman" w:cs="Times New Roman"/>
          <w:color w:val="000000" w:themeColor="text1"/>
          <w:sz w:val="16"/>
          <w:szCs w:val="16"/>
        </w:rPr>
        <w:softHyphen/>
        <w:t xml:space="preserve">шее удаление от прикрываемых групп - назад. При таком варианте легче отбить атаки противника с любых направлений. Я считаю наиболее вероятным нападение противника </w:t>
      </w:r>
      <w:proofErr w:type="gramStart"/>
      <w:r w:rsidRPr="00925F26">
        <w:rPr>
          <w:rFonts w:ascii="Times New Roman" w:hAnsi="Times New Roman" w:cs="Times New Roman"/>
          <w:color w:val="000000" w:themeColor="text1"/>
          <w:sz w:val="16"/>
          <w:szCs w:val="16"/>
        </w:rPr>
        <w:t>на бомбардировщиков</w:t>
      </w:r>
      <w:proofErr w:type="gramEnd"/>
      <w:r w:rsidRPr="00925F26">
        <w:rPr>
          <w:rFonts w:ascii="Times New Roman" w:hAnsi="Times New Roman" w:cs="Times New Roman"/>
          <w:color w:val="000000" w:themeColor="text1"/>
          <w:sz w:val="16"/>
          <w:szCs w:val="16"/>
        </w:rPr>
        <w:t xml:space="preserve"> сзади и снизу, и менее вероятно сверху. В соот</w:t>
      </w:r>
      <w:r w:rsidRPr="00925F26">
        <w:rPr>
          <w:rFonts w:ascii="Times New Roman" w:hAnsi="Times New Roman" w:cs="Times New Roman"/>
          <w:color w:val="000000" w:themeColor="text1"/>
          <w:sz w:val="16"/>
          <w:szCs w:val="16"/>
        </w:rPr>
        <w:softHyphen/>
        <w:t>ветствии с этим нужно строить и тактику сопровождения штурмовиков и бомбар</w:t>
      </w:r>
      <w:r w:rsidRPr="00925F26">
        <w:rPr>
          <w:rFonts w:ascii="Times New Roman" w:hAnsi="Times New Roman" w:cs="Times New Roman"/>
          <w:color w:val="000000" w:themeColor="text1"/>
          <w:sz w:val="16"/>
          <w:szCs w:val="16"/>
        </w:rPr>
        <w:softHyphen/>
        <w:t>дировщиков, и ограждение их от напа</w:t>
      </w:r>
      <w:r w:rsidRPr="00925F26">
        <w:rPr>
          <w:rFonts w:ascii="Times New Roman" w:hAnsi="Times New Roman" w:cs="Times New Roman"/>
          <w:color w:val="000000" w:themeColor="text1"/>
          <w:sz w:val="16"/>
          <w:szCs w:val="16"/>
        </w:rPr>
        <w:softHyphen/>
        <w:t>дения противника. Как и прежде, должна быть у истребителей сопровождения груп</w:t>
      </w:r>
      <w:r w:rsidRPr="00925F26">
        <w:rPr>
          <w:rFonts w:ascii="Times New Roman" w:hAnsi="Times New Roman" w:cs="Times New Roman"/>
          <w:color w:val="000000" w:themeColor="text1"/>
          <w:sz w:val="16"/>
          <w:szCs w:val="16"/>
        </w:rPr>
        <w:softHyphen/>
        <w:t>па непосредственного прикрытия и удар</w:t>
      </w:r>
      <w:r w:rsidRPr="00925F26">
        <w:rPr>
          <w:rFonts w:ascii="Times New Roman" w:hAnsi="Times New Roman" w:cs="Times New Roman"/>
          <w:color w:val="000000" w:themeColor="text1"/>
          <w:sz w:val="16"/>
          <w:szCs w:val="16"/>
        </w:rPr>
        <w:softHyphen/>
        <w:t>ная группа. Последняя должна находиться только на увеличенной дистанции. Особое внимание должно быть уделено осмотри</w:t>
      </w:r>
      <w:r w:rsidRPr="00925F26">
        <w:rPr>
          <w:rFonts w:ascii="Times New Roman" w:hAnsi="Times New Roman" w:cs="Times New Roman"/>
          <w:color w:val="000000" w:themeColor="text1"/>
          <w:sz w:val="16"/>
          <w:szCs w:val="16"/>
        </w:rPr>
        <w:softHyphen/>
        <w:t>тельности.</w:t>
      </w:r>
    </w:p>
    <w:p w14:paraId="083CB193"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Гв. капитан ДУБЕНОК. - Вопрос борь</w:t>
      </w:r>
      <w:r w:rsidRPr="00925F26">
        <w:rPr>
          <w:rFonts w:ascii="Times New Roman" w:hAnsi="Times New Roman" w:cs="Times New Roman"/>
          <w:color w:val="000000" w:themeColor="text1"/>
          <w:sz w:val="16"/>
          <w:szCs w:val="16"/>
        </w:rPr>
        <w:softHyphen/>
        <w:t>бы с новым типом самолета противника при выполнении задач сопровождения бомбардировщиков мы уже обсуждали, но к общему мнению еще не пришли. Мне кажется, что одним из мероприятий, га</w:t>
      </w:r>
      <w:r w:rsidRPr="00925F26">
        <w:rPr>
          <w:rFonts w:ascii="Times New Roman" w:hAnsi="Times New Roman" w:cs="Times New Roman"/>
          <w:color w:val="000000" w:themeColor="text1"/>
          <w:sz w:val="16"/>
          <w:szCs w:val="16"/>
        </w:rPr>
        <w:softHyphen/>
        <w:t>рантирующих от нападения противника, будет усиление прикрытия со стороны ве</w:t>
      </w:r>
      <w:r w:rsidRPr="00925F26">
        <w:rPr>
          <w:rFonts w:ascii="Times New Roman" w:hAnsi="Times New Roman" w:cs="Times New Roman"/>
          <w:color w:val="000000" w:themeColor="text1"/>
          <w:sz w:val="16"/>
          <w:szCs w:val="16"/>
        </w:rPr>
        <w:softHyphen/>
        <w:t>роятных атак. Я также думаю, что истреби</w:t>
      </w:r>
      <w:r w:rsidRPr="00925F26">
        <w:rPr>
          <w:rFonts w:ascii="Times New Roman" w:hAnsi="Times New Roman" w:cs="Times New Roman"/>
          <w:color w:val="000000" w:themeColor="text1"/>
          <w:sz w:val="16"/>
          <w:szCs w:val="16"/>
        </w:rPr>
        <w:softHyphen/>
        <w:t>тели сопровождения должны прикрывать группы бомбардировщиков и штурмови</w:t>
      </w:r>
      <w:r w:rsidRPr="00925F26">
        <w:rPr>
          <w:rFonts w:ascii="Times New Roman" w:hAnsi="Times New Roman" w:cs="Times New Roman"/>
          <w:color w:val="000000" w:themeColor="text1"/>
          <w:sz w:val="16"/>
          <w:szCs w:val="16"/>
        </w:rPr>
        <w:softHyphen/>
        <w:t>ков со всех сторон, имея в наличии и пару истребителей впереди. Она понадобит</w:t>
      </w:r>
      <w:r w:rsidRPr="00925F26">
        <w:rPr>
          <w:rFonts w:ascii="Times New Roman" w:hAnsi="Times New Roman" w:cs="Times New Roman"/>
          <w:color w:val="000000" w:themeColor="text1"/>
          <w:sz w:val="16"/>
          <w:szCs w:val="16"/>
        </w:rPr>
        <w:softHyphen/>
        <w:t>ся для того, чтобы отсекать нападение и бить противника при выходе его из атаки. Основная задача истребителей сопрово</w:t>
      </w:r>
      <w:r w:rsidRPr="00925F26">
        <w:rPr>
          <w:rFonts w:ascii="Times New Roman" w:hAnsi="Times New Roman" w:cs="Times New Roman"/>
          <w:color w:val="000000" w:themeColor="text1"/>
          <w:sz w:val="16"/>
          <w:szCs w:val="16"/>
        </w:rPr>
        <w:softHyphen/>
        <w:t xml:space="preserve">ждения </w:t>
      </w:r>
      <w:proofErr w:type="gramStart"/>
      <w:r w:rsidRPr="00925F26">
        <w:rPr>
          <w:rFonts w:ascii="Times New Roman" w:hAnsi="Times New Roman" w:cs="Times New Roman"/>
          <w:color w:val="000000" w:themeColor="text1"/>
          <w:sz w:val="16"/>
          <w:szCs w:val="16"/>
        </w:rPr>
        <w:t>- это</w:t>
      </w:r>
      <w:proofErr w:type="gramEnd"/>
      <w:r w:rsidRPr="00925F26">
        <w:rPr>
          <w:rFonts w:ascii="Times New Roman" w:hAnsi="Times New Roman" w:cs="Times New Roman"/>
          <w:color w:val="000000" w:themeColor="text1"/>
          <w:sz w:val="16"/>
          <w:szCs w:val="16"/>
        </w:rPr>
        <w:t xml:space="preserve"> в первую очередь отсечение вражеских самолетов.</w:t>
      </w:r>
    </w:p>
    <w:p w14:paraId="1B74FC0B"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КОМАНДУЮЩИЙ. - Если учитывать тактико-технические данные скоростных самолетов противника, то весьма вероятно, что атаки ими бомбардировщиков и штур</w:t>
      </w:r>
      <w:r w:rsidRPr="00925F26">
        <w:rPr>
          <w:rFonts w:ascii="Times New Roman" w:hAnsi="Times New Roman" w:cs="Times New Roman"/>
          <w:color w:val="000000" w:themeColor="text1"/>
          <w:sz w:val="16"/>
          <w:szCs w:val="16"/>
        </w:rPr>
        <w:softHyphen/>
        <w:t>мовиков будут производиться чаще всего снизу сзади. С учетом этой особенности не</w:t>
      </w:r>
      <w:r w:rsidRPr="00925F26">
        <w:rPr>
          <w:rFonts w:ascii="Times New Roman" w:hAnsi="Times New Roman" w:cs="Times New Roman"/>
          <w:color w:val="000000" w:themeColor="text1"/>
          <w:sz w:val="16"/>
          <w:szCs w:val="16"/>
        </w:rPr>
        <w:softHyphen/>
        <w:t>обходимо продумать истребителям сопро</w:t>
      </w:r>
      <w:r w:rsidRPr="00925F26">
        <w:rPr>
          <w:rFonts w:ascii="Times New Roman" w:hAnsi="Times New Roman" w:cs="Times New Roman"/>
          <w:color w:val="000000" w:themeColor="text1"/>
          <w:sz w:val="16"/>
          <w:szCs w:val="16"/>
        </w:rPr>
        <w:softHyphen/>
        <w:t>вождения свою тактику действий.</w:t>
      </w:r>
    </w:p>
    <w:p w14:paraId="71F5E8D7"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Майор СУНИЛОВ. - Лобовые атаки скоростных самолетов противника невоз</w:t>
      </w:r>
      <w:r w:rsidRPr="00925F26">
        <w:rPr>
          <w:rFonts w:ascii="Times New Roman" w:hAnsi="Times New Roman" w:cs="Times New Roman"/>
          <w:color w:val="000000" w:themeColor="text1"/>
          <w:sz w:val="16"/>
          <w:szCs w:val="16"/>
        </w:rPr>
        <w:softHyphen/>
        <w:t>можны по причине больших скоростей. Основным методом борьбы с ними при сопровождении бомбардировщиков и штурмовиков будет отсечение. Стрельба по ним должна вестись с увеличенным упреждением.</w:t>
      </w:r>
    </w:p>
    <w:p w14:paraId="01F27ED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Мне кажется, что для борьбы с новым типом самолета противника нужно выде</w:t>
      </w:r>
      <w:r w:rsidRPr="00925F26">
        <w:rPr>
          <w:rFonts w:ascii="Times New Roman" w:hAnsi="Times New Roman" w:cs="Times New Roman"/>
          <w:color w:val="000000" w:themeColor="text1"/>
          <w:sz w:val="16"/>
          <w:szCs w:val="16"/>
        </w:rPr>
        <w:softHyphen/>
        <w:t>лять специальные группы, которые долж</w:t>
      </w:r>
      <w:r w:rsidRPr="00925F26">
        <w:rPr>
          <w:rFonts w:ascii="Times New Roman" w:hAnsi="Times New Roman" w:cs="Times New Roman"/>
          <w:color w:val="000000" w:themeColor="text1"/>
          <w:sz w:val="16"/>
          <w:szCs w:val="16"/>
        </w:rPr>
        <w:softHyphen/>
        <w:t>ны ловить их в момент, когда они ходят на обычной скорости без включения реак</w:t>
      </w:r>
      <w:r w:rsidRPr="00925F26">
        <w:rPr>
          <w:rFonts w:ascii="Times New Roman" w:hAnsi="Times New Roman" w:cs="Times New Roman"/>
          <w:color w:val="000000" w:themeColor="text1"/>
          <w:sz w:val="16"/>
          <w:szCs w:val="16"/>
        </w:rPr>
        <w:softHyphen/>
        <w:t>тивных двигателей. Такие группы должны состоять из пар, и не более четверки. Воз</w:t>
      </w:r>
      <w:r w:rsidRPr="00925F26">
        <w:rPr>
          <w:rFonts w:ascii="Times New Roman" w:hAnsi="Times New Roman" w:cs="Times New Roman"/>
          <w:color w:val="000000" w:themeColor="text1"/>
          <w:sz w:val="16"/>
          <w:szCs w:val="16"/>
        </w:rPr>
        <w:softHyphen/>
        <w:t>ложить эту задачу на наших истребителей, выполняющих задачу свободной охоты, нецелесообразно, так как они должны действовать по массовым целям, а не ис</w:t>
      </w:r>
      <w:r w:rsidRPr="00925F26">
        <w:rPr>
          <w:rFonts w:ascii="Times New Roman" w:hAnsi="Times New Roman" w:cs="Times New Roman"/>
          <w:color w:val="000000" w:themeColor="text1"/>
          <w:sz w:val="16"/>
          <w:szCs w:val="16"/>
        </w:rPr>
        <w:softHyphen/>
        <w:t>кать только одиночек. Это приведет к за</w:t>
      </w:r>
      <w:r w:rsidRPr="00925F26">
        <w:rPr>
          <w:rFonts w:ascii="Times New Roman" w:hAnsi="Times New Roman" w:cs="Times New Roman"/>
          <w:color w:val="000000" w:themeColor="text1"/>
          <w:sz w:val="16"/>
          <w:szCs w:val="16"/>
        </w:rPr>
        <w:softHyphen/>
        <w:t>трате больших средств и малому эффекту.</w:t>
      </w:r>
    </w:p>
    <w:p w14:paraId="4EF7AB08"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КОМАНДУЮЩИЙ. - Нужно иметь ввиду нашему летному составу возмож</w:t>
      </w:r>
      <w:r w:rsidRPr="00925F26">
        <w:rPr>
          <w:rFonts w:ascii="Times New Roman" w:hAnsi="Times New Roman" w:cs="Times New Roman"/>
          <w:color w:val="000000" w:themeColor="text1"/>
          <w:sz w:val="16"/>
          <w:szCs w:val="16"/>
        </w:rPr>
        <w:softHyphen/>
        <w:t>ность встреч с вражескими самолетами, буксирующими планеры-снаряды. В райо</w:t>
      </w:r>
      <w:r w:rsidRPr="00925F26">
        <w:rPr>
          <w:rFonts w:ascii="Times New Roman" w:hAnsi="Times New Roman" w:cs="Times New Roman"/>
          <w:color w:val="000000" w:themeColor="text1"/>
          <w:sz w:val="16"/>
          <w:szCs w:val="16"/>
        </w:rPr>
        <w:softHyphen/>
        <w:t>не ФРАНКФУРТА на днях наземными вой</w:t>
      </w:r>
      <w:r w:rsidRPr="00925F26">
        <w:rPr>
          <w:rFonts w:ascii="Times New Roman" w:hAnsi="Times New Roman" w:cs="Times New Roman"/>
          <w:color w:val="000000" w:themeColor="text1"/>
          <w:sz w:val="16"/>
          <w:szCs w:val="16"/>
        </w:rPr>
        <w:softHyphen/>
        <w:t>сками был замечен один такой случай, но до сих пор точно установить не удалось, что же именно буксировал самолет про</w:t>
      </w:r>
      <w:r w:rsidRPr="00925F26">
        <w:rPr>
          <w:rFonts w:ascii="Times New Roman" w:hAnsi="Times New Roman" w:cs="Times New Roman"/>
          <w:color w:val="000000" w:themeColor="text1"/>
          <w:sz w:val="16"/>
          <w:szCs w:val="16"/>
        </w:rPr>
        <w:softHyphen/>
        <w:t>тивника. На случай таких встреч нашим истребителям нужно знать, что он должен бить в первую очередь - самолет или бук</w:t>
      </w:r>
      <w:r w:rsidRPr="00925F26">
        <w:rPr>
          <w:rFonts w:ascii="Times New Roman" w:hAnsi="Times New Roman" w:cs="Times New Roman"/>
          <w:color w:val="000000" w:themeColor="text1"/>
          <w:sz w:val="16"/>
          <w:szCs w:val="16"/>
        </w:rPr>
        <w:softHyphen/>
        <w:t>сируемый им планер-снаряд? Думаю, что для каждого из нас ясно, что бить нужно самолет, тогда он и планер отцепит, т.е. сбросит его неприцельно.</w:t>
      </w:r>
    </w:p>
    <w:p w14:paraId="0E6937F7" w14:textId="77777777" w:rsidR="008C396C" w:rsidRPr="00925F26" w:rsidRDefault="008C396C" w:rsidP="00925F26">
      <w:pPr>
        <w:jc w:val="both"/>
        <w:rPr>
          <w:color w:val="000000" w:themeColor="text1"/>
          <w:sz w:val="16"/>
          <w:szCs w:val="16"/>
        </w:rPr>
      </w:pPr>
      <w:r w:rsidRPr="00925F26">
        <w:rPr>
          <w:color w:val="000000" w:themeColor="text1"/>
          <w:sz w:val="16"/>
          <w:szCs w:val="16"/>
        </w:rPr>
        <w:lastRenderedPageBreak/>
        <w:t>Полковник ВЛАСОВ. - Несколько слов о новых типах самолетов противни</w:t>
      </w:r>
      <w:r w:rsidRPr="00925F26">
        <w:rPr>
          <w:color w:val="000000" w:themeColor="text1"/>
          <w:sz w:val="16"/>
          <w:szCs w:val="16"/>
        </w:rPr>
        <w:softHyphen/>
        <w:t>ка. В настоящее время нам известны: ХЕ- 280 с максимальной скоростью 795-940 км, ХЕ-Т с максимальной скоростью 850- 900 км, ХЕ-219 со скоростью 725-750, АР- РАДО-234 - скорость 700-800 км, ФВ-10 и МЕ-163 со скоростью 800-850 км. Все они отличаются мощным вооружением. Запас горючего у них составляет до 70% с</w:t>
      </w:r>
      <w:r w:rsidRPr="00925F26">
        <w:rPr>
          <w:color w:val="000000" w:themeColor="text1"/>
          <w:sz w:val="16"/>
          <w:szCs w:val="16"/>
          <w:vertAlign w:val="superscript"/>
        </w:rPr>
        <w:t>-</w:t>
      </w:r>
      <w:r w:rsidRPr="00925F26">
        <w:rPr>
          <w:color w:val="000000" w:themeColor="text1"/>
          <w:sz w:val="16"/>
          <w:szCs w:val="16"/>
        </w:rPr>
        <w:t xml:space="preserve"> общего веса самолета. Эти </w:t>
      </w:r>
      <w:proofErr w:type="gramStart"/>
      <w:r w:rsidRPr="00925F26">
        <w:rPr>
          <w:color w:val="000000" w:themeColor="text1"/>
          <w:sz w:val="16"/>
          <w:szCs w:val="16"/>
        </w:rPr>
        <w:t>самолеты по существу</w:t>
      </w:r>
      <w:proofErr w:type="gramEnd"/>
      <w:r w:rsidRPr="00925F26">
        <w:rPr>
          <w:color w:val="000000" w:themeColor="text1"/>
          <w:sz w:val="16"/>
          <w:szCs w:val="16"/>
        </w:rPr>
        <w:t xml:space="preserve"> дальние истребители и разведчи ки. Реактивные моторы в работе ограничены, так как расходуют много горючего и снижают радиус действий и время полета. Пользуется им противник для того, чтобы нагнать наши самолеты, а при грозящей опасности быстро уйти от них.</w:t>
      </w:r>
    </w:p>
    <w:p w14:paraId="7594B1FA"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Здесь говорили о лобовой атаке. Применение ее, конечно, весьма сложно, но применять ее все же нужно только с расчетом. Лобовая атака нужна снизу, с прямой - не может быть и речи, учитывая мощно нооружение вражеских самолетов.</w:t>
      </w:r>
    </w:p>
    <w:p w14:paraId="647CCD5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Наш прицел вполне позволяет ведение прицельного огня по скоростным самолетам противника при грамотном пользовании им. В расчетах нужно принимать во внимание скорость (среднюю) наших самолетов, скорость самолета противника и скорость полета снаряда: В соотношении с этими данными нетрудно построить расчет для стрельбы по скоростным самолетам с разных дистанций. Правы те, кто утверждал, -что высшая вероятность попаданий может быть достигнута при атаках под углом, не превышающим 2/4. Для облегчения п'роизводства расчетов привожу таблицу, которой следует пользоваться личному составу. Максимальной дистанцией стрельбы считаю 500 метров. Это не значит, что не нужно бить противника с больших дистанций, но для этого нужно научить летный состав стрелять на дистанции, превышающие 500 метров. Как известно, вероятность попаданий при этом снижается.</w:t>
      </w:r>
    </w:p>
    <w:p w14:paraId="22DD5BE4"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Но главное состоит в том, чтобы состав непрерывно тренировался в применени прицела и стрельбе. Это повышеет меткость и тем самым повышает вероятность поражения и скоростных самолетов противника.</w:t>
      </w:r>
    </w:p>
    <w:p w14:paraId="211B0DE6"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ЗАКЛЮЧИТЕЛЬНОЕ СЛОВО КОМАНДУЮЩЕГО 16 В.А. - Я ставил своей задачей при помощи вас, лучших истребителей Армии, найти эффективные способы и методы борьбы со скоростными самолетами противника. Сегодня еще полностью этого сделать не удалось, и многие вопросы остаются еще нерешенными и наши выводы по ним строятся на предположениях. Причиной этому является малое количество встреч с новыми самолетами самолетов противника и отсутстствие в наших руках сбитого экземпляра.</w:t>
      </w:r>
    </w:p>
    <w:p w14:paraId="25F102C1" w14:textId="77777777" w:rsidR="008C396C" w:rsidRPr="00925F26" w:rsidRDefault="008C396C" w:rsidP="00925F26">
      <w:pPr>
        <w:pStyle w:val="11b"/>
        <w:shd w:val="clear" w:color="auto" w:fill="auto"/>
        <w:tabs>
          <w:tab w:val="left" w:pos="132"/>
        </w:tabs>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Если собьем хоть один из них, тогда мы смож ем говорить более конкретно. Таким образом, окончательное решение вопроса ект, но его еще нужно найти.</w:t>
      </w:r>
    </w:p>
    <w:p w14:paraId="2A03638E"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Из выступлений видно, что наши истребители над вопросом борьбы со скоростными самолетами противника уже работают. Нужно через вас добиться та</w:t>
      </w:r>
      <w:r w:rsidRPr="00925F26">
        <w:rPr>
          <w:rFonts w:ascii="Times New Roman" w:hAnsi="Times New Roman" w:cs="Times New Roman"/>
          <w:color w:val="000000" w:themeColor="text1"/>
          <w:sz w:val="16"/>
          <w:szCs w:val="16"/>
        </w:rPr>
        <w:softHyphen/>
        <w:t>кого положения, чтобы в частях этот вопрос был широко обсужден всем летным составом. Соответствующее указание я дам нашим командирам и возможно, еще с ними проведу совещание и занятие по этому вопросу.</w:t>
      </w:r>
    </w:p>
    <w:p w14:paraId="5F0F1653"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Подытоживая работу совещания, нужно сказать, что большинство выступающих сходится в том, что противник на скоро</w:t>
      </w:r>
      <w:r w:rsidRPr="00925F26">
        <w:rPr>
          <w:rFonts w:ascii="Times New Roman" w:hAnsi="Times New Roman" w:cs="Times New Roman"/>
          <w:color w:val="000000" w:themeColor="text1"/>
          <w:sz w:val="16"/>
          <w:szCs w:val="16"/>
        </w:rPr>
        <w:softHyphen/>
        <w:t>стях порядка 750-800 километров ходить постоянно не будет (исходя из тактико- технических данных самолета и характе</w:t>
      </w:r>
      <w:r w:rsidRPr="00925F26">
        <w:rPr>
          <w:rFonts w:ascii="Times New Roman" w:hAnsi="Times New Roman" w:cs="Times New Roman"/>
          <w:color w:val="000000" w:themeColor="text1"/>
          <w:sz w:val="16"/>
          <w:szCs w:val="16"/>
        </w:rPr>
        <w:softHyphen/>
        <w:t>ра применения). Ходить он будет часто на скоростях порядка 500-600 километров, что и следует использовать для внезапных атак и уничтожения их.</w:t>
      </w:r>
    </w:p>
    <w:p w14:paraId="60D862E4"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Применение противником самолетов с реактивными двигателями исходит из общего хода воздушной войны на дан</w:t>
      </w:r>
      <w:r w:rsidRPr="00925F26">
        <w:rPr>
          <w:rFonts w:ascii="Times New Roman" w:hAnsi="Times New Roman" w:cs="Times New Roman"/>
          <w:color w:val="000000" w:themeColor="text1"/>
          <w:sz w:val="16"/>
          <w:szCs w:val="16"/>
        </w:rPr>
        <w:softHyphen/>
        <w:t>ном этапе. Противник перешел к обороне, он ищет средство, при помощи которого такую оборону можно сделать более эф</w:t>
      </w:r>
      <w:r w:rsidRPr="00925F26">
        <w:rPr>
          <w:rFonts w:ascii="Times New Roman" w:hAnsi="Times New Roman" w:cs="Times New Roman"/>
          <w:color w:val="000000" w:themeColor="text1"/>
          <w:sz w:val="16"/>
          <w:szCs w:val="16"/>
        </w:rPr>
        <w:softHyphen/>
        <w:t>фективной. Ясно, что новый тип самолета повышенной скорости будет применяться для быстрого настижения цели в момент атаки, и такого же ухода от нее при грозя</w:t>
      </w:r>
      <w:r w:rsidRPr="00925F26">
        <w:rPr>
          <w:rFonts w:ascii="Times New Roman" w:hAnsi="Times New Roman" w:cs="Times New Roman"/>
          <w:color w:val="000000" w:themeColor="text1"/>
          <w:sz w:val="16"/>
          <w:szCs w:val="16"/>
        </w:rPr>
        <w:softHyphen/>
        <w:t>щей опасности.</w:t>
      </w:r>
    </w:p>
    <w:p w14:paraId="68569E84"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Мы находимся на Берлинском на</w:t>
      </w:r>
      <w:r w:rsidRPr="00925F26">
        <w:rPr>
          <w:rFonts w:ascii="Times New Roman" w:hAnsi="Times New Roman" w:cs="Times New Roman"/>
          <w:color w:val="000000" w:themeColor="text1"/>
          <w:sz w:val="16"/>
          <w:szCs w:val="16"/>
        </w:rPr>
        <w:softHyphen/>
        <w:t>правлении, и поэтому весьма вероятно, что всё новейшее, чем располагает про</w:t>
      </w:r>
      <w:r w:rsidRPr="00925F26">
        <w:rPr>
          <w:rFonts w:ascii="Times New Roman" w:hAnsi="Times New Roman" w:cs="Times New Roman"/>
          <w:color w:val="000000" w:themeColor="text1"/>
          <w:sz w:val="16"/>
          <w:szCs w:val="16"/>
        </w:rPr>
        <w:softHyphen/>
        <w:t>тивник, а в данном случае скоростные са</w:t>
      </w:r>
      <w:r w:rsidRPr="00925F26">
        <w:rPr>
          <w:rFonts w:ascii="Times New Roman" w:hAnsi="Times New Roman" w:cs="Times New Roman"/>
          <w:color w:val="000000" w:themeColor="text1"/>
          <w:sz w:val="16"/>
          <w:szCs w:val="16"/>
        </w:rPr>
        <w:softHyphen/>
        <w:t>молеты он применит против нас.</w:t>
      </w:r>
    </w:p>
    <w:p w14:paraId="5E0C180D"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 всей видимости, скоростные са</w:t>
      </w:r>
      <w:r w:rsidRPr="00925F26">
        <w:rPr>
          <w:rFonts w:ascii="Times New Roman" w:hAnsi="Times New Roman" w:cs="Times New Roman"/>
          <w:color w:val="000000" w:themeColor="text1"/>
          <w:sz w:val="16"/>
          <w:szCs w:val="16"/>
        </w:rPr>
        <w:softHyphen/>
        <w:t>молеты противника предназначены для борьбы главным образом с бомбарди</w:t>
      </w:r>
      <w:r w:rsidRPr="00925F26">
        <w:rPr>
          <w:rFonts w:ascii="Times New Roman" w:hAnsi="Times New Roman" w:cs="Times New Roman"/>
          <w:color w:val="000000" w:themeColor="text1"/>
          <w:sz w:val="16"/>
          <w:szCs w:val="16"/>
        </w:rPr>
        <w:softHyphen/>
        <w:t>ровщиками и штурмовиками. Поэтому ис</w:t>
      </w:r>
      <w:r w:rsidRPr="00925F26">
        <w:rPr>
          <w:rFonts w:ascii="Times New Roman" w:hAnsi="Times New Roman" w:cs="Times New Roman"/>
          <w:color w:val="000000" w:themeColor="text1"/>
          <w:sz w:val="16"/>
          <w:szCs w:val="16"/>
        </w:rPr>
        <w:softHyphen/>
        <w:t>требители сопровождения должны более тщательно подумать о тактике своих дей</w:t>
      </w:r>
      <w:r w:rsidRPr="00925F26">
        <w:rPr>
          <w:rFonts w:ascii="Times New Roman" w:hAnsi="Times New Roman" w:cs="Times New Roman"/>
          <w:color w:val="000000" w:themeColor="text1"/>
          <w:sz w:val="16"/>
          <w:szCs w:val="16"/>
        </w:rPr>
        <w:softHyphen/>
        <w:t>ствий с учетом применения противником скоростных самолетов.</w:t>
      </w:r>
    </w:p>
    <w:p w14:paraId="11038C5B"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Возможно применение групп ско</w:t>
      </w:r>
      <w:r w:rsidRPr="00925F26">
        <w:rPr>
          <w:rFonts w:ascii="Times New Roman" w:hAnsi="Times New Roman" w:cs="Times New Roman"/>
          <w:color w:val="000000" w:themeColor="text1"/>
          <w:sz w:val="16"/>
          <w:szCs w:val="16"/>
        </w:rPr>
        <w:softHyphen/>
        <w:t>ростных самолетов, но действовать они будут одиночками.</w:t>
      </w:r>
    </w:p>
    <w:p w14:paraId="502C4C89"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Я согласен с выдвинутыми предложе</w:t>
      </w:r>
      <w:r w:rsidRPr="00925F26">
        <w:rPr>
          <w:rFonts w:ascii="Times New Roman" w:hAnsi="Times New Roman" w:cs="Times New Roman"/>
          <w:color w:val="000000" w:themeColor="text1"/>
          <w:sz w:val="16"/>
          <w:szCs w:val="16"/>
        </w:rPr>
        <w:softHyphen/>
        <w:t>ниями о действиях наших истребителей при сопровождении бомбардировщиков и штурмовиков, а также при выполнении задач свободной охоты. Нужно дать про</w:t>
      </w:r>
      <w:r w:rsidRPr="00925F26">
        <w:rPr>
          <w:rFonts w:ascii="Times New Roman" w:hAnsi="Times New Roman" w:cs="Times New Roman"/>
          <w:color w:val="000000" w:themeColor="text1"/>
          <w:sz w:val="16"/>
          <w:szCs w:val="16"/>
        </w:rPr>
        <w:softHyphen/>
        <w:t>тивнику почувствовать, что за ним следят. Тщательно изучать его нужно при каждой встрече, и во всех случаях ставить своей задачей уничтожение скоростных самоле</w:t>
      </w:r>
      <w:r w:rsidRPr="00925F26">
        <w:rPr>
          <w:rFonts w:ascii="Times New Roman" w:hAnsi="Times New Roman" w:cs="Times New Roman"/>
          <w:color w:val="000000" w:themeColor="text1"/>
          <w:sz w:val="16"/>
          <w:szCs w:val="16"/>
        </w:rPr>
        <w:softHyphen/>
        <w:t>тов. Это собьет спесь с немцев и не даст им возможности действовать безнаказанно.</w:t>
      </w:r>
    </w:p>
    <w:p w14:paraId="4E80F691"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Не следует думать, что единственным средством борьбы с новыми типами само</w:t>
      </w:r>
      <w:r w:rsidRPr="00925F26">
        <w:rPr>
          <w:rFonts w:ascii="Times New Roman" w:hAnsi="Times New Roman" w:cs="Times New Roman"/>
          <w:color w:val="000000" w:themeColor="text1"/>
          <w:sz w:val="16"/>
          <w:szCs w:val="16"/>
        </w:rPr>
        <w:softHyphen/>
        <w:t>летов противника являются только наши истребители. Огонь стрелков ПЕ-2 и ИЛ-2 во взаимодействии с огнем истребителей должны по-прежнему являться могучим средством уничтожения противника. Не следует также думать, что для борьбы с новым типом самолета противника нужен особый наш самолет. Бороться нам нужно будет с противником имеющейся у нас прекрасной матчастью, а не специальны</w:t>
      </w:r>
      <w:r w:rsidRPr="00925F26">
        <w:rPr>
          <w:rFonts w:ascii="Times New Roman" w:hAnsi="Times New Roman" w:cs="Times New Roman"/>
          <w:color w:val="000000" w:themeColor="text1"/>
          <w:sz w:val="16"/>
          <w:szCs w:val="16"/>
        </w:rPr>
        <w:softHyphen/>
        <w:t>ми самолетами. В этом пока нет никакой необходимости, ибо скоростные самолеты противника - одиночки, и вряд ли он смо</w:t>
      </w:r>
      <w:r w:rsidRPr="00925F26">
        <w:rPr>
          <w:rFonts w:ascii="Times New Roman" w:hAnsi="Times New Roman" w:cs="Times New Roman"/>
          <w:color w:val="000000" w:themeColor="text1"/>
          <w:sz w:val="16"/>
          <w:szCs w:val="16"/>
        </w:rPr>
        <w:softHyphen/>
        <w:t>жет применить их массово.</w:t>
      </w:r>
    </w:p>
    <w:p w14:paraId="447FE780"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Нужно принять за основу все выска</w:t>
      </w:r>
      <w:r w:rsidRPr="00925F26">
        <w:rPr>
          <w:rFonts w:ascii="Times New Roman" w:hAnsi="Times New Roman" w:cs="Times New Roman"/>
          <w:color w:val="000000" w:themeColor="text1"/>
          <w:sz w:val="16"/>
          <w:szCs w:val="16"/>
        </w:rPr>
        <w:softHyphen/>
        <w:t>зывания здесь выступающих по вопросам борьбы с новым типом вражеских самоле</w:t>
      </w:r>
      <w:r w:rsidRPr="00925F26">
        <w:rPr>
          <w:rFonts w:ascii="Times New Roman" w:hAnsi="Times New Roman" w:cs="Times New Roman"/>
          <w:color w:val="000000" w:themeColor="text1"/>
          <w:sz w:val="16"/>
          <w:szCs w:val="16"/>
        </w:rPr>
        <w:softHyphen/>
        <w:t>тов.</w:t>
      </w:r>
    </w:p>
    <w:p w14:paraId="79E0F6A2"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Нужно также принять к руководству выступление полковника ВЛАСОВА, боль</w:t>
      </w:r>
      <w:r w:rsidRPr="00925F26">
        <w:rPr>
          <w:rFonts w:ascii="Times New Roman" w:hAnsi="Times New Roman" w:cs="Times New Roman"/>
          <w:color w:val="000000" w:themeColor="text1"/>
          <w:sz w:val="16"/>
          <w:szCs w:val="16"/>
        </w:rPr>
        <w:softHyphen/>
        <w:t>ше внимания нужно уделить прицелу и умению пользования им. Наше оружие - пушки, очень точного боя, и при гра</w:t>
      </w:r>
      <w:r w:rsidRPr="00925F26">
        <w:rPr>
          <w:rFonts w:ascii="Times New Roman" w:hAnsi="Times New Roman" w:cs="Times New Roman"/>
          <w:color w:val="000000" w:themeColor="text1"/>
          <w:sz w:val="16"/>
          <w:szCs w:val="16"/>
        </w:rPr>
        <w:softHyphen/>
        <w:t>мотном пользовании прицелом вы всегда сможете бить противника наверняка. На</w:t>
      </w:r>
      <w:r w:rsidRPr="00925F26">
        <w:rPr>
          <w:rFonts w:ascii="Times New Roman" w:hAnsi="Times New Roman" w:cs="Times New Roman"/>
          <w:color w:val="000000" w:themeColor="text1"/>
          <w:sz w:val="16"/>
          <w:szCs w:val="16"/>
        </w:rPr>
        <w:softHyphen/>
        <w:t>ибольшую вероятность попадания обес</w:t>
      </w:r>
      <w:r w:rsidRPr="00925F26">
        <w:rPr>
          <w:rFonts w:ascii="Times New Roman" w:hAnsi="Times New Roman" w:cs="Times New Roman"/>
          <w:color w:val="000000" w:themeColor="text1"/>
          <w:sz w:val="16"/>
          <w:szCs w:val="16"/>
        </w:rPr>
        <w:softHyphen/>
        <w:t>печивает ведение огня с дистанции 100- 300 метров, но нужно также вести огонь на дистанции 500-800 метров, особенно в случаях ухода самолета противника (бить вдогонку). На больших дистанциях веро</w:t>
      </w:r>
      <w:r w:rsidRPr="00925F26">
        <w:rPr>
          <w:rFonts w:ascii="Times New Roman" w:hAnsi="Times New Roman" w:cs="Times New Roman"/>
          <w:color w:val="000000" w:themeColor="text1"/>
          <w:sz w:val="16"/>
          <w:szCs w:val="16"/>
        </w:rPr>
        <w:softHyphen/>
        <w:t xml:space="preserve">ятность попадания весьма незначительна, </w:t>
      </w:r>
      <w:proofErr w:type="gramStart"/>
      <w:r w:rsidRPr="00925F26">
        <w:rPr>
          <w:rFonts w:ascii="Times New Roman" w:hAnsi="Times New Roman" w:cs="Times New Roman"/>
          <w:color w:val="000000" w:themeColor="text1"/>
          <w:sz w:val="16"/>
          <w:szCs w:val="16"/>
        </w:rPr>
        <w:t>но</w:t>
      </w:r>
      <w:proofErr w:type="gramEnd"/>
      <w:r w:rsidRPr="00925F26">
        <w:rPr>
          <w:rFonts w:ascii="Times New Roman" w:hAnsi="Times New Roman" w:cs="Times New Roman"/>
          <w:color w:val="000000" w:themeColor="text1"/>
          <w:sz w:val="16"/>
          <w:szCs w:val="16"/>
        </w:rPr>
        <w:t xml:space="preserve"> однако ею не следует пренебрегать, если эта вероятность даже составляет не</w:t>
      </w:r>
      <w:r w:rsidRPr="00925F26">
        <w:rPr>
          <w:rFonts w:ascii="Times New Roman" w:hAnsi="Times New Roman" w:cs="Times New Roman"/>
          <w:color w:val="000000" w:themeColor="text1"/>
          <w:sz w:val="16"/>
          <w:szCs w:val="16"/>
        </w:rPr>
        <w:softHyphen/>
        <w:t>значительную долю процента. Натрениро</w:t>
      </w:r>
      <w:r w:rsidRPr="00925F26">
        <w:rPr>
          <w:rFonts w:ascii="Times New Roman" w:hAnsi="Times New Roman" w:cs="Times New Roman"/>
          <w:color w:val="000000" w:themeColor="text1"/>
          <w:sz w:val="16"/>
          <w:szCs w:val="16"/>
        </w:rPr>
        <w:softHyphen/>
        <w:t>ванный истребитель нередко может пора</w:t>
      </w:r>
      <w:r w:rsidRPr="00925F26">
        <w:rPr>
          <w:rFonts w:ascii="Times New Roman" w:hAnsi="Times New Roman" w:cs="Times New Roman"/>
          <w:color w:val="000000" w:themeColor="text1"/>
          <w:sz w:val="16"/>
          <w:szCs w:val="16"/>
        </w:rPr>
        <w:softHyphen/>
        <w:t>зить цель и в таких случаях.</w:t>
      </w:r>
    </w:p>
    <w:p w14:paraId="46629C96"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вопросе прикрытия бомбардиров</w:t>
      </w:r>
      <w:r w:rsidRPr="00925F26">
        <w:rPr>
          <w:rFonts w:ascii="Times New Roman" w:hAnsi="Times New Roman" w:cs="Times New Roman"/>
          <w:color w:val="000000" w:themeColor="text1"/>
          <w:sz w:val="16"/>
          <w:szCs w:val="16"/>
        </w:rPr>
        <w:softHyphen/>
        <w:t>щиков и штурмовиков нашим истребите</w:t>
      </w:r>
      <w:r w:rsidRPr="00925F26">
        <w:rPr>
          <w:rFonts w:ascii="Times New Roman" w:hAnsi="Times New Roman" w:cs="Times New Roman"/>
          <w:color w:val="000000" w:themeColor="text1"/>
          <w:sz w:val="16"/>
          <w:szCs w:val="16"/>
        </w:rPr>
        <w:softHyphen/>
        <w:t>лям нужно выработать два варианта: защи</w:t>
      </w:r>
      <w:r w:rsidRPr="00925F26">
        <w:rPr>
          <w:rFonts w:ascii="Times New Roman" w:hAnsi="Times New Roman" w:cs="Times New Roman"/>
          <w:color w:val="000000" w:themeColor="text1"/>
          <w:sz w:val="16"/>
          <w:szCs w:val="16"/>
        </w:rPr>
        <w:softHyphen/>
        <w:t>та от обычных истребителей противника, и скоростных самолетов. В последнем слу</w:t>
      </w:r>
      <w:r w:rsidRPr="00925F26">
        <w:rPr>
          <w:rFonts w:ascii="Times New Roman" w:hAnsi="Times New Roman" w:cs="Times New Roman"/>
          <w:color w:val="000000" w:themeColor="text1"/>
          <w:sz w:val="16"/>
          <w:szCs w:val="16"/>
        </w:rPr>
        <w:softHyphen/>
        <w:t>чае прикрытие должно быть построено для защиты всей сферы. Пара истребителей впереди группы бомбардировщиков или штурмовиков должна иметь задачу бить противника на выходе из атаки.</w:t>
      </w:r>
    </w:p>
    <w:p w14:paraId="501E0A85"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Пользуясь случаем, обращаю ваше внимание на более тщательное изучение силуэтов самолетов союзников. В нынеш</w:t>
      </w:r>
      <w:r w:rsidRPr="00925F26">
        <w:rPr>
          <w:rFonts w:ascii="Times New Roman" w:hAnsi="Times New Roman" w:cs="Times New Roman"/>
          <w:color w:val="000000" w:themeColor="text1"/>
          <w:sz w:val="16"/>
          <w:szCs w:val="16"/>
        </w:rPr>
        <w:softHyphen/>
        <w:t>ней обстановке с ними встречи весьма возможны, так как они очень часто и в большом количестве летают в район БЕР</w:t>
      </w:r>
      <w:r w:rsidRPr="00925F26">
        <w:rPr>
          <w:rFonts w:ascii="Times New Roman" w:hAnsi="Times New Roman" w:cs="Times New Roman"/>
          <w:color w:val="000000" w:themeColor="text1"/>
          <w:sz w:val="16"/>
          <w:szCs w:val="16"/>
        </w:rPr>
        <w:softHyphen/>
        <w:t>ЛИНА. Незнание силуэтов может привести к неприятности - наши истребители могут завязать бой союзниками только по незна</w:t>
      </w:r>
      <w:r w:rsidRPr="00925F26">
        <w:rPr>
          <w:rFonts w:ascii="Times New Roman" w:hAnsi="Times New Roman" w:cs="Times New Roman"/>
          <w:color w:val="000000" w:themeColor="text1"/>
          <w:sz w:val="16"/>
          <w:szCs w:val="16"/>
        </w:rPr>
        <w:softHyphen/>
        <w:t>нию силуэтов их самолетов.</w:t>
      </w:r>
    </w:p>
    <w:p w14:paraId="2B867CF7"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Я приму меры к тому, чтобы союзни</w:t>
      </w:r>
      <w:r w:rsidRPr="00925F26">
        <w:rPr>
          <w:rFonts w:ascii="Times New Roman" w:hAnsi="Times New Roman" w:cs="Times New Roman"/>
          <w:color w:val="000000" w:themeColor="text1"/>
          <w:sz w:val="16"/>
          <w:szCs w:val="16"/>
        </w:rPr>
        <w:softHyphen/>
        <w:t>ки, выполняющие задачи в районе БЕРЛИ</w:t>
      </w:r>
      <w:r w:rsidRPr="00925F26">
        <w:rPr>
          <w:rFonts w:ascii="Times New Roman" w:hAnsi="Times New Roman" w:cs="Times New Roman"/>
          <w:color w:val="000000" w:themeColor="text1"/>
          <w:sz w:val="16"/>
          <w:szCs w:val="16"/>
        </w:rPr>
        <w:softHyphen/>
        <w:t>НА и восточнее его, кроме всего прочего, пользовались каким-то условным знаком «я свой», но это вовсе не означает, что силуэты этих самолетов не должны быть изучены. За последний период у нас про</w:t>
      </w:r>
      <w:r w:rsidRPr="00925F26">
        <w:rPr>
          <w:rFonts w:ascii="Times New Roman" w:hAnsi="Times New Roman" w:cs="Times New Roman"/>
          <w:color w:val="000000" w:themeColor="text1"/>
          <w:sz w:val="16"/>
          <w:szCs w:val="16"/>
        </w:rPr>
        <w:softHyphen/>
        <w:t>извели посадку немало подбитых самоле</w:t>
      </w:r>
      <w:r w:rsidRPr="00925F26">
        <w:rPr>
          <w:rFonts w:ascii="Times New Roman" w:hAnsi="Times New Roman" w:cs="Times New Roman"/>
          <w:color w:val="000000" w:themeColor="text1"/>
          <w:sz w:val="16"/>
          <w:szCs w:val="16"/>
        </w:rPr>
        <w:softHyphen/>
        <w:t>тов англичан и американцев при действи</w:t>
      </w:r>
      <w:r w:rsidRPr="00925F26">
        <w:rPr>
          <w:rFonts w:ascii="Times New Roman" w:hAnsi="Times New Roman" w:cs="Times New Roman"/>
          <w:color w:val="000000" w:themeColor="text1"/>
          <w:sz w:val="16"/>
          <w:szCs w:val="16"/>
        </w:rPr>
        <w:softHyphen/>
        <w:t>ях в районе БЕРЛИНА, и такое положение может иметь место и в будущем.</w:t>
      </w:r>
    </w:p>
    <w:p w14:paraId="6174D1BE"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Я прихожу к выводу, что в результате совещания мы находимся на правильном пути в разрешении вопроса борьбы с вра</w:t>
      </w:r>
      <w:r w:rsidRPr="00925F26">
        <w:rPr>
          <w:rFonts w:ascii="Times New Roman" w:hAnsi="Times New Roman" w:cs="Times New Roman"/>
          <w:color w:val="000000" w:themeColor="text1"/>
          <w:sz w:val="16"/>
          <w:szCs w:val="16"/>
        </w:rPr>
        <w:softHyphen/>
        <w:t>жескими скоростными самолетами. Наша матчасть для выполнения этой задачи вполне подходит. Действия скоростных вражеских самолетов не должны застать нас врасплох. Обстановку нужно оцени</w:t>
      </w:r>
      <w:r w:rsidRPr="00925F26">
        <w:rPr>
          <w:rFonts w:ascii="Times New Roman" w:hAnsi="Times New Roman" w:cs="Times New Roman"/>
          <w:color w:val="000000" w:themeColor="text1"/>
          <w:sz w:val="16"/>
          <w:szCs w:val="16"/>
        </w:rPr>
        <w:softHyphen/>
        <w:t>вать трезво и правильно. Переоценка этих самолетов противника, так же, как и недо</w:t>
      </w:r>
      <w:r w:rsidRPr="00925F26">
        <w:rPr>
          <w:rFonts w:ascii="Times New Roman" w:hAnsi="Times New Roman" w:cs="Times New Roman"/>
          <w:color w:val="000000" w:themeColor="text1"/>
          <w:sz w:val="16"/>
          <w:szCs w:val="16"/>
        </w:rPr>
        <w:softHyphen/>
        <w:t>оценка их будет одинаково вредна.</w:t>
      </w:r>
    </w:p>
    <w:p w14:paraId="599F40D6" w14:textId="77777777" w:rsidR="008C396C" w:rsidRPr="00925F26" w:rsidRDefault="008C396C"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Обязываю вас доносить мне немед</w:t>
      </w:r>
      <w:r w:rsidRPr="00925F26">
        <w:rPr>
          <w:rFonts w:ascii="Times New Roman" w:hAnsi="Times New Roman" w:cs="Times New Roman"/>
          <w:color w:val="000000" w:themeColor="text1"/>
          <w:sz w:val="16"/>
          <w:szCs w:val="16"/>
        </w:rPr>
        <w:softHyphen/>
        <w:t>ленно о каждой встрече с новыми типами самолетов противника и тем более о сбитии их.</w:t>
      </w:r>
    </w:p>
    <w:p w14:paraId="4D873146" w14:textId="77777777" w:rsidR="008C396C" w:rsidRPr="00925F26" w:rsidRDefault="008C396C" w:rsidP="00925F26">
      <w:pPr>
        <w:jc w:val="both"/>
        <w:rPr>
          <w:color w:val="000000" w:themeColor="text1"/>
          <w:sz w:val="16"/>
          <w:szCs w:val="16"/>
          <w:lang w:val="en-US"/>
        </w:rPr>
      </w:pPr>
      <w:r w:rsidRPr="00925F26">
        <w:rPr>
          <w:color w:val="000000" w:themeColor="text1"/>
          <w:sz w:val="16"/>
          <w:szCs w:val="16"/>
          <w:lang w:val="en-US"/>
        </w:rPr>
        <w:t>/</w:t>
      </w:r>
      <w:r w:rsidRPr="00925F26">
        <w:rPr>
          <w:color w:val="000000" w:themeColor="text1"/>
          <w:sz w:val="16"/>
          <w:szCs w:val="16"/>
        </w:rPr>
        <w:t>Записал</w:t>
      </w:r>
      <w:r w:rsidRPr="00925F26">
        <w:rPr>
          <w:color w:val="000000" w:themeColor="text1"/>
          <w:sz w:val="16"/>
          <w:szCs w:val="16"/>
          <w:lang w:val="en-US"/>
        </w:rPr>
        <w:t xml:space="preserve"> </w:t>
      </w:r>
      <w:r w:rsidRPr="00925F26">
        <w:rPr>
          <w:color w:val="000000" w:themeColor="text1"/>
          <w:sz w:val="16"/>
          <w:szCs w:val="16"/>
        </w:rPr>
        <w:t>Гв</w:t>
      </w:r>
      <w:r w:rsidRPr="00925F26">
        <w:rPr>
          <w:color w:val="000000" w:themeColor="text1"/>
          <w:sz w:val="16"/>
          <w:szCs w:val="16"/>
          <w:lang w:val="en-US"/>
        </w:rPr>
        <w:t xml:space="preserve">. </w:t>
      </w:r>
      <w:r w:rsidRPr="00925F26">
        <w:rPr>
          <w:color w:val="000000" w:themeColor="text1"/>
          <w:sz w:val="16"/>
          <w:szCs w:val="16"/>
        </w:rPr>
        <w:t>подполковник</w:t>
      </w:r>
      <w:r w:rsidRPr="00925F26">
        <w:rPr>
          <w:color w:val="000000" w:themeColor="text1"/>
          <w:sz w:val="16"/>
          <w:szCs w:val="16"/>
          <w:lang w:val="en-US"/>
        </w:rPr>
        <w:t xml:space="preserve"> </w:t>
      </w:r>
      <w:r w:rsidRPr="00925F26">
        <w:rPr>
          <w:color w:val="000000" w:themeColor="text1"/>
          <w:sz w:val="16"/>
          <w:szCs w:val="16"/>
        </w:rPr>
        <w:t>РОМАНЕНКО</w:t>
      </w:r>
      <w:r w:rsidRPr="00925F26">
        <w:rPr>
          <w:color w:val="000000" w:themeColor="text1"/>
          <w:sz w:val="16"/>
          <w:szCs w:val="16"/>
          <w:lang w:val="en-US"/>
        </w:rPr>
        <w:t xml:space="preserve"> (19082).</w:t>
      </w:r>
    </w:p>
    <w:p w14:paraId="567A3AF9" w14:textId="77777777" w:rsidR="008C396C" w:rsidRPr="00925F26" w:rsidRDefault="008C396C" w:rsidP="00925F26">
      <w:pPr>
        <w:jc w:val="both"/>
        <w:rPr>
          <w:color w:val="000000" w:themeColor="text1"/>
          <w:sz w:val="16"/>
          <w:szCs w:val="16"/>
          <w:lang w:val="en-US"/>
        </w:rPr>
      </w:pPr>
    </w:p>
    <w:p w14:paraId="2A35358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26, 1945: Heeresgruppe Kurland repulses heavy Soviet attacks in the area of Prekuln. In the West, the attacks by the US Ninth Army into the Hurtgen Forest make little progress (3819).</w:t>
      </w:r>
    </w:p>
    <w:p w14:paraId="56544CEB" w14:textId="77777777" w:rsidR="00665165" w:rsidRPr="00925F26" w:rsidRDefault="00665165" w:rsidP="00925F26">
      <w:pPr>
        <w:autoSpaceDE w:val="0"/>
        <w:autoSpaceDN w:val="0"/>
        <w:adjustRightInd w:val="0"/>
        <w:jc w:val="both"/>
        <w:rPr>
          <w:color w:val="000000" w:themeColor="text1"/>
          <w:sz w:val="16"/>
          <w:szCs w:val="16"/>
          <w:lang w:val="en-US"/>
        </w:rPr>
      </w:pPr>
    </w:p>
    <w:p w14:paraId="7B17C6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Группа Курляндия отбила атаки КА на Прекульн. На западе 9А в Хуртгенском лесу не смогла добиться удачи (3819).</w:t>
      </w:r>
    </w:p>
    <w:p w14:paraId="5A2296D6" w14:textId="77777777" w:rsidR="00665165" w:rsidRPr="00925F26" w:rsidRDefault="00665165" w:rsidP="00925F26">
      <w:pPr>
        <w:autoSpaceDE w:val="0"/>
        <w:autoSpaceDN w:val="0"/>
        <w:adjustRightInd w:val="0"/>
        <w:jc w:val="both"/>
        <w:rPr>
          <w:color w:val="000000" w:themeColor="text1"/>
          <w:sz w:val="16"/>
          <w:szCs w:val="16"/>
        </w:rPr>
      </w:pPr>
    </w:p>
    <w:p w14:paraId="7C0165A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CA6D186" w14:textId="77777777" w:rsidR="00665165" w:rsidRPr="00925F26" w:rsidRDefault="00665165" w:rsidP="00925F26">
      <w:pPr>
        <w:autoSpaceDE w:val="0"/>
        <w:autoSpaceDN w:val="0"/>
        <w:adjustRightInd w:val="0"/>
        <w:jc w:val="both"/>
        <w:rPr>
          <w:iCs/>
          <w:color w:val="000000" w:themeColor="text1"/>
          <w:sz w:val="16"/>
          <w:szCs w:val="16"/>
        </w:rPr>
      </w:pPr>
    </w:p>
    <w:p w14:paraId="06C0F1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Берия направил на имя Сталина справку на осужденную Военной коллегией Верховного суда СССР Е. И. Калинину (жену председателя ПВС), где сообщалось:</w:t>
      </w:r>
    </w:p>
    <w:p w14:paraId="330528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“Калинина Екатерина Ивановна, 1882 года рождения, уроженка города Вейсенштейна Эстонской ССР, эстонка, гражданка СССР, бывший член ВКП(б), по состоянию на 24 февраля 1945 года содержалась в Устьвымлаге НКВД (7560).</w:t>
      </w:r>
    </w:p>
    <w:p w14:paraId="67F788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Калинина Е. И. была арестована 25 октября 1938 года 2 отделом ГУГБ НКВД СССР по обвинению в антисоветской деятельности и связях с троцкистами и правыми (7560).</w:t>
      </w:r>
    </w:p>
    <w:p w14:paraId="1E4D29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Следствием установлено, что Калинина с 1929 года была организационно связана с участниками антисоветской вредительской и террористической организации правых и содействовала им в их антисоветской деятельности (7560).</w:t>
      </w:r>
    </w:p>
    <w:p w14:paraId="11330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Сблизившись с рядом враждебных ВКП(б) лиц: бывшим директором института советского права Мишель А. О., бывшим зам. директора Зернотреста Герчиковым М. Г., бывшим работником ГУГФ [Главное управление гражданского воздушного флота] Остроумовой В. П., бывшим работником ЦК ВКП(б) Островской Н. Ф. и другими участниками этой организации, осужденными впоследствии за правотроцкистскую деятельность, Калинина предоставляла им свою квартиру для контрреволюционных сборищ, на которых обсуждались вопросы антисоветской деятельности организации, направленные против политики и руководства ВКП(б) и Советского правительства. Имея тесное общение с Остроумовой В. П., информировала последнюю по вопросам секретного характера, что Остроумовой было использовано в шпионских целях. Работая с 1936 года членом Верховного Суда РСФСР, Калинина поддерживала связи с правыми; бывшими работниками Верхсуда Берман и бывшим работником института советского права Пашуканис (осуждены) (7560).</w:t>
      </w:r>
    </w:p>
    <w:p w14:paraId="6EC037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следствием установлено, что Калинина до 1924 года скрывала о том, что ее брат Лорберг Владимир (осужден) являлся агентом царской охранки (7560).</w:t>
      </w:r>
    </w:p>
    <w:p w14:paraId="5F1BB5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предъявленных обвинениях Калинина Е. И. виновной себя признала (7560).</w:t>
      </w:r>
    </w:p>
    <w:p w14:paraId="45202B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Осуждена Военной Коллегией Верховного Суда СССР 22 апреля 1939 года по статьям 17-58-6, 17-58-8 и 58-11 УК РСФСР к заключению в исправительно-трудовом лагере сроком на 15 лет с поражением в правах на 5 лет (7560).</w:t>
      </w:r>
    </w:p>
    <w:p w14:paraId="7E369F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Справка составлена по архивно-следственному делу” (7560).</w:t>
      </w:r>
    </w:p>
    <w:p w14:paraId="108253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сопроводительном письме Берия также указывал, что “от Калининой Е. И. в НКВД СССР заявления о пересмотре дела не поступало”. Но уже 9 мая последовало ее обращение на имя Сталина:</w:t>
      </w:r>
    </w:p>
    <w:p w14:paraId="72BFCD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 Калинина Екатерина Ивановна, была арестована и осуждена по ст. 58 к заключению в ИТЛ в 1938 году сроком на 15 лет. Я совершила тяжелую ошибку, усугубленную тем, что Вы своевременно мне на нее указывали, а я эти указания не учла. Такое несознательное отношение к своему положению и к окружающим людям повлекло за собой тяжкие проступки, за которые я несу суровое наказание. Я полностью сознаю свою вину и глубоко раскаиваюсь. Эти проступки совершены мной не из сознательной враждебности, а из-за непонимания обстановки и некритического отношения к окружавшим меня людям. Уже несколько лет я нахожусь на полной инвалидности. Моя единственная надежда на Ваше великодушие: что Вы простите мне мои ошибки и проступки и дадите возможность провести остаток жизни у своих детей” (7560).</w:t>
      </w:r>
    </w:p>
    <w:p w14:paraId="433AD9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датировано еще одно письмо, теперь в адрес первого заместителя председателя ПВС Н. М. Шверника:</w:t>
      </w:r>
    </w:p>
    <w:p w14:paraId="43BF79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 Калинина Екатерина Ивановна, рождения 1882 года, была арестована 25 октября 1938 года и осуждена по ст. 58 на 15 лет ИТЛ. Я совершила тяжкие проступки, за которые понесла суровое наказание. Я сознаю свою вину и глубоко раскаиваюсь. Но я никогда не была враждебна коммунистической партии и советской власти и эти проступки совершены мной несознательно. Сейчас мне 63 года. Уже несколько лет медицинской комиссией я переведена на полную инвалидность. Прошу Вас о снисхождении к моему искреннему раскаянию и тяжелому положению и о помиловании меня” (7560).</w:t>
      </w:r>
    </w:p>
    <w:p w14:paraId="23ADC7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мая нарком госбезопасности СССР В. Н. Меркулов направил это прошение Швернику. Письмо же от 9 мая поступило от Меркулова в ЦК ВКП(б), на имя А. Н. Поскребышева, лишь 5 июня. На нем появилась резолюция: “Т. Горкину. Нужно помиловать и немедля освободить, обеспечив помилованной проезд в Москву. И. Сталин”. Наконец, 11 июня ПВС слушал “ходатайство о помиловании Калининой Екатерины Ивановны, рождения 1882 года, приговоренной 22 апреля 1939 года Военной Коллегией Верховного Суда СССР по ст. ст. 17-58-6, 17-58-8 и 58-11 УК РСФСР к 15 годам исправительно-трудовых лагерей с поражением в избирательных правах на 5 лет”, и постановил “Калинину Екатерину Ивановну помиловать, досрочно освободить от отбывания наказания и снять поражение в правах и судимость”. Выписки из этого постановления были посланы наркому госбезопасности Меркулову и председателю Военной коллегии Верховного суда СССР В. В. Ульриху (7560).</w:t>
      </w:r>
    </w:p>
    <w:p w14:paraId="5CCBB87E" w14:textId="77777777" w:rsidR="00665165" w:rsidRPr="00925F26" w:rsidRDefault="00665165" w:rsidP="00925F26">
      <w:pPr>
        <w:autoSpaceDE w:val="0"/>
        <w:autoSpaceDN w:val="0"/>
        <w:adjustRightInd w:val="0"/>
        <w:jc w:val="both"/>
        <w:rPr>
          <w:color w:val="000000" w:themeColor="text1"/>
          <w:sz w:val="16"/>
          <w:szCs w:val="16"/>
        </w:rPr>
      </w:pPr>
    </w:p>
    <w:p w14:paraId="0E7193B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63B9F94" w14:textId="77777777" w:rsidR="00665165" w:rsidRPr="00925F26" w:rsidRDefault="00665165" w:rsidP="00925F26">
      <w:pPr>
        <w:autoSpaceDE w:val="0"/>
        <w:autoSpaceDN w:val="0"/>
        <w:adjustRightInd w:val="0"/>
        <w:jc w:val="both"/>
        <w:rPr>
          <w:iCs/>
          <w:color w:val="000000" w:themeColor="text1"/>
          <w:sz w:val="16"/>
          <w:szCs w:val="16"/>
        </w:rPr>
      </w:pPr>
    </w:p>
    <w:p w14:paraId="785DBCDA" w14:textId="71C855EF" w:rsidR="00580BC7" w:rsidRPr="00925F26" w:rsidRDefault="00580BC7" w:rsidP="00925F26">
      <w:pPr>
        <w:jc w:val="both"/>
        <w:rPr>
          <w:color w:val="000000" w:themeColor="text1"/>
          <w:sz w:val="16"/>
          <w:szCs w:val="16"/>
        </w:rPr>
      </w:pPr>
      <w:r w:rsidRPr="00925F26">
        <w:rPr>
          <w:color w:val="000000" w:themeColor="text1"/>
          <w:sz w:val="16"/>
          <w:szCs w:val="16"/>
        </w:rPr>
        <w:t xml:space="preserve">26 февраля 1945 года — первый полёт ближнемагистрального пассажирского </w:t>
      </w:r>
      <w:proofErr w:type="gramStart"/>
      <w:r w:rsidRPr="00925F26">
        <w:rPr>
          <w:color w:val="000000" w:themeColor="text1"/>
          <w:sz w:val="16"/>
          <w:szCs w:val="16"/>
        </w:rPr>
        <w:t>самолёт</w:t>
      </w:r>
      <w:r w:rsidR="00997EDF" w:rsidRPr="00925F26">
        <w:rPr>
          <w:color w:val="000000" w:themeColor="text1"/>
          <w:sz w:val="16"/>
          <w:szCs w:val="16"/>
        </w:rPr>
        <w:t xml:space="preserve">  </w:t>
      </w:r>
      <w:r w:rsidRPr="00925F26">
        <w:rPr>
          <w:color w:val="000000" w:themeColor="text1"/>
          <w:sz w:val="16"/>
          <w:szCs w:val="16"/>
        </w:rPr>
        <w:t>Sud</w:t>
      </w:r>
      <w:proofErr w:type="gramEnd"/>
      <w:r w:rsidRPr="00925F26">
        <w:rPr>
          <w:color w:val="000000" w:themeColor="text1"/>
          <w:sz w:val="16"/>
          <w:szCs w:val="16"/>
        </w:rPr>
        <w:t>-Ouest S.O.30 Bretagne.</w:t>
      </w:r>
    </w:p>
    <w:p w14:paraId="3F22E2B8" w14:textId="3B119349" w:rsidR="00580BC7" w:rsidRPr="00925F26" w:rsidRDefault="00580BC7" w:rsidP="00925F26">
      <w:pPr>
        <w:jc w:val="both"/>
        <w:rPr>
          <w:color w:val="000000" w:themeColor="text1"/>
          <w:sz w:val="16"/>
          <w:szCs w:val="16"/>
        </w:rPr>
      </w:pPr>
      <w:r w:rsidRPr="00925F26">
        <w:rPr>
          <w:color w:val="000000" w:themeColor="text1"/>
          <w:sz w:val="16"/>
          <w:szCs w:val="16"/>
        </w:rPr>
        <w:t xml:space="preserve">Работы над проектом начались ещё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1941</w:t>
      </w:r>
      <w:proofErr w:type="gramEnd"/>
      <w:r w:rsidRPr="00925F26">
        <w:rPr>
          <w:color w:val="000000" w:themeColor="text1"/>
          <w:sz w:val="16"/>
          <w:szCs w:val="16"/>
        </w:rPr>
        <w:t xml:space="preserve"> </w:t>
      </w:r>
      <w:proofErr w:type="gramStart"/>
      <w:r w:rsidRPr="00925F26">
        <w:rPr>
          <w:color w:val="000000" w:themeColor="text1"/>
          <w:sz w:val="16"/>
          <w:szCs w:val="16"/>
        </w:rPr>
        <w:t>году</w:t>
      </w:r>
      <w:r w:rsidR="00997EDF" w:rsidRPr="00925F26">
        <w:rPr>
          <w:color w:val="000000" w:themeColor="text1"/>
          <w:sz w:val="16"/>
          <w:szCs w:val="16"/>
        </w:rPr>
        <w:t xml:space="preserve">  </w:t>
      </w:r>
      <w:r w:rsidRPr="00925F26">
        <w:rPr>
          <w:color w:val="000000" w:themeColor="text1"/>
          <w:sz w:val="16"/>
          <w:szCs w:val="16"/>
        </w:rPr>
        <w:t>группой</w:t>
      </w:r>
      <w:proofErr w:type="gramEnd"/>
      <w:r w:rsidRPr="00925F26">
        <w:rPr>
          <w:color w:val="000000" w:themeColor="text1"/>
          <w:sz w:val="16"/>
          <w:szCs w:val="16"/>
        </w:rPr>
        <w:t xml:space="preserve"> конструкторов Sud-Ouest, основавшей в Каннах новую </w:t>
      </w:r>
      <w:proofErr w:type="gramStart"/>
      <w:r w:rsidRPr="00925F26">
        <w:rPr>
          <w:color w:val="000000" w:themeColor="text1"/>
          <w:sz w:val="16"/>
          <w:szCs w:val="16"/>
        </w:rPr>
        <w:t>компанию</w:t>
      </w:r>
      <w:r w:rsidR="00997EDF" w:rsidRPr="00925F26">
        <w:rPr>
          <w:color w:val="000000" w:themeColor="text1"/>
          <w:sz w:val="16"/>
          <w:szCs w:val="16"/>
        </w:rPr>
        <w:t xml:space="preserve">  </w:t>
      </w:r>
      <w:r w:rsidRPr="00925F26">
        <w:rPr>
          <w:color w:val="000000" w:themeColor="text1"/>
          <w:sz w:val="16"/>
          <w:szCs w:val="16"/>
        </w:rPr>
        <w:t>Groupe</w:t>
      </w:r>
      <w:proofErr w:type="gramEnd"/>
      <w:r w:rsidRPr="00925F26">
        <w:rPr>
          <w:color w:val="000000" w:themeColor="text1"/>
          <w:sz w:val="16"/>
          <w:szCs w:val="16"/>
        </w:rPr>
        <w:t xml:space="preserve"> Technique de Cannes. Хотя первый прототип был готов уже в ноябре 1942 года, немецкие оккупационные власти запретили проведение испытаний, и проект был заморожен до освобождения Франции.</w:t>
      </w:r>
    </w:p>
    <w:p w14:paraId="3860797F" w14:textId="12DAA2DB" w:rsidR="00580BC7" w:rsidRPr="00925F26" w:rsidRDefault="00580BC7" w:rsidP="00925F26">
      <w:pPr>
        <w:jc w:val="both"/>
        <w:rPr>
          <w:color w:val="000000" w:themeColor="text1"/>
          <w:sz w:val="16"/>
          <w:szCs w:val="16"/>
        </w:rPr>
      </w:pPr>
      <w:r w:rsidRPr="00925F26">
        <w:rPr>
          <w:color w:val="000000" w:themeColor="text1"/>
          <w:sz w:val="16"/>
          <w:szCs w:val="16"/>
        </w:rPr>
        <w:t xml:space="preserve">S.O.30 Bretagne представлял собой цельнометаллический моноплан с двухкилевым хвостовым оперением. Мог брать на борт </w:t>
      </w:r>
      <w:proofErr w:type="gramStart"/>
      <w:r w:rsidRPr="00925F26">
        <w:rPr>
          <w:color w:val="000000" w:themeColor="text1"/>
          <w:sz w:val="16"/>
          <w:szCs w:val="16"/>
        </w:rPr>
        <w:t>от</w:t>
      </w:r>
      <w:r w:rsidR="00997EDF" w:rsidRPr="00925F26">
        <w:rPr>
          <w:color w:val="000000" w:themeColor="text1"/>
          <w:sz w:val="16"/>
          <w:szCs w:val="16"/>
        </w:rPr>
        <w:t xml:space="preserve">  </w:t>
      </w:r>
      <w:r w:rsidRPr="00925F26">
        <w:rPr>
          <w:color w:val="000000" w:themeColor="text1"/>
          <w:sz w:val="16"/>
          <w:szCs w:val="16"/>
        </w:rPr>
        <w:t>30</w:t>
      </w:r>
      <w:proofErr w:type="gramEnd"/>
      <w:r w:rsidR="00997EDF" w:rsidRPr="00925F26">
        <w:rPr>
          <w:color w:val="000000" w:themeColor="text1"/>
          <w:sz w:val="16"/>
          <w:szCs w:val="16"/>
        </w:rPr>
        <w:t xml:space="preserve">  </w:t>
      </w:r>
      <w:proofErr w:type="gramStart"/>
      <w:r w:rsidRPr="00925F26">
        <w:rPr>
          <w:color w:val="000000" w:themeColor="text1"/>
          <w:sz w:val="16"/>
          <w:szCs w:val="16"/>
        </w:rPr>
        <w:t>до</w:t>
      </w:r>
      <w:r w:rsidR="00997EDF" w:rsidRPr="00925F26">
        <w:rPr>
          <w:color w:val="000000" w:themeColor="text1"/>
          <w:sz w:val="16"/>
          <w:szCs w:val="16"/>
        </w:rPr>
        <w:t xml:space="preserve">  </w:t>
      </w:r>
      <w:r w:rsidRPr="00925F26">
        <w:rPr>
          <w:color w:val="000000" w:themeColor="text1"/>
          <w:sz w:val="16"/>
          <w:szCs w:val="16"/>
        </w:rPr>
        <w:t>43</w:t>
      </w:r>
      <w:proofErr w:type="gramEnd"/>
      <w:r w:rsidR="00997EDF" w:rsidRPr="00925F26">
        <w:rPr>
          <w:color w:val="000000" w:themeColor="text1"/>
          <w:sz w:val="16"/>
          <w:szCs w:val="16"/>
        </w:rPr>
        <w:t xml:space="preserve">  </w:t>
      </w:r>
      <w:r w:rsidRPr="00925F26">
        <w:rPr>
          <w:color w:val="000000" w:themeColor="text1"/>
          <w:sz w:val="16"/>
          <w:szCs w:val="16"/>
        </w:rPr>
        <w:t xml:space="preserve">пассажиров. Интересно, что на некоторые экземпляры самолёта (в основном, на грузовые) дополнительно ставились 2 турбореактивных </w:t>
      </w:r>
      <w:proofErr w:type="gramStart"/>
      <w:r w:rsidRPr="00925F26">
        <w:rPr>
          <w:color w:val="000000" w:themeColor="text1"/>
          <w:sz w:val="16"/>
          <w:szCs w:val="16"/>
        </w:rPr>
        <w:t>двигателя</w:t>
      </w:r>
      <w:r w:rsidR="00997EDF" w:rsidRPr="00925F26">
        <w:rPr>
          <w:color w:val="000000" w:themeColor="text1"/>
          <w:sz w:val="16"/>
          <w:szCs w:val="16"/>
        </w:rPr>
        <w:t xml:space="preserve">  </w:t>
      </w:r>
      <w:r w:rsidRPr="00925F26">
        <w:rPr>
          <w:color w:val="000000" w:themeColor="text1"/>
          <w:sz w:val="16"/>
          <w:szCs w:val="16"/>
        </w:rPr>
        <w:t>Turbomeca</w:t>
      </w:r>
      <w:proofErr w:type="gramEnd"/>
      <w:r w:rsidRPr="00925F26">
        <w:rPr>
          <w:color w:val="000000" w:themeColor="text1"/>
          <w:sz w:val="16"/>
          <w:szCs w:val="16"/>
        </w:rPr>
        <w:t xml:space="preserve"> </w:t>
      </w:r>
      <w:proofErr w:type="gramStart"/>
      <w:r w:rsidRPr="00925F26">
        <w:rPr>
          <w:color w:val="000000" w:themeColor="text1"/>
          <w:sz w:val="16"/>
          <w:szCs w:val="16"/>
        </w:rPr>
        <w:t>Palas</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для облегчения взлёта.</w:t>
      </w:r>
    </w:p>
    <w:p w14:paraId="6821D001" w14:textId="50A4983B" w:rsidR="00580BC7" w:rsidRPr="00925F26" w:rsidRDefault="00580BC7" w:rsidP="00925F26">
      <w:pPr>
        <w:jc w:val="both"/>
        <w:rPr>
          <w:color w:val="000000" w:themeColor="text1"/>
          <w:sz w:val="16"/>
          <w:szCs w:val="16"/>
        </w:rPr>
      </w:pPr>
      <w:r w:rsidRPr="00925F26">
        <w:rPr>
          <w:color w:val="000000" w:themeColor="text1"/>
          <w:sz w:val="16"/>
          <w:szCs w:val="16"/>
        </w:rPr>
        <w:t xml:space="preserve">Всего </w:t>
      </w:r>
      <w:proofErr w:type="gramStart"/>
      <w:r w:rsidRPr="00925F26">
        <w:rPr>
          <w:color w:val="000000" w:themeColor="text1"/>
          <w:sz w:val="16"/>
          <w:szCs w:val="16"/>
        </w:rPr>
        <w:t>выпустили</w:t>
      </w:r>
      <w:r w:rsidR="00997EDF" w:rsidRPr="00925F26">
        <w:rPr>
          <w:color w:val="000000" w:themeColor="text1"/>
          <w:sz w:val="16"/>
          <w:szCs w:val="16"/>
        </w:rPr>
        <w:t xml:space="preserve">  </w:t>
      </w:r>
      <w:r w:rsidRPr="00925F26">
        <w:rPr>
          <w:color w:val="000000" w:themeColor="text1"/>
          <w:sz w:val="16"/>
          <w:szCs w:val="16"/>
        </w:rPr>
        <w:t>45</w:t>
      </w:r>
      <w:proofErr w:type="gramEnd"/>
      <w:r w:rsidR="00997EDF" w:rsidRPr="00925F26">
        <w:rPr>
          <w:color w:val="000000" w:themeColor="text1"/>
          <w:sz w:val="16"/>
          <w:szCs w:val="16"/>
        </w:rPr>
        <w:t xml:space="preserve">  </w:t>
      </w:r>
      <w:r w:rsidRPr="00925F26">
        <w:rPr>
          <w:color w:val="000000" w:themeColor="text1"/>
          <w:sz w:val="16"/>
          <w:szCs w:val="16"/>
        </w:rPr>
        <w:t xml:space="preserve">единиц Sud-Ouest S.O.30 Bretagne. Эксплуатировались </w:t>
      </w:r>
      <w:proofErr w:type="gramStart"/>
      <w:r w:rsidRPr="00925F26">
        <w:rPr>
          <w:color w:val="000000" w:themeColor="text1"/>
          <w:sz w:val="16"/>
          <w:szCs w:val="16"/>
        </w:rPr>
        <w:t>авиакомпаниями</w:t>
      </w:r>
      <w:r w:rsidR="00997EDF" w:rsidRPr="00925F26">
        <w:rPr>
          <w:color w:val="000000" w:themeColor="text1"/>
          <w:sz w:val="16"/>
          <w:szCs w:val="16"/>
        </w:rPr>
        <w:t xml:space="preserve">  </w:t>
      </w:r>
      <w:r w:rsidRPr="00925F26">
        <w:rPr>
          <w:color w:val="000000" w:themeColor="text1"/>
          <w:sz w:val="16"/>
          <w:szCs w:val="16"/>
        </w:rPr>
        <w:t>Air</w:t>
      </w:r>
      <w:proofErr w:type="gramEnd"/>
      <w:r w:rsidRPr="00925F26">
        <w:rPr>
          <w:color w:val="000000" w:themeColor="text1"/>
          <w:sz w:val="16"/>
          <w:szCs w:val="16"/>
        </w:rPr>
        <w:t xml:space="preserve"> France, Air Algérie, Air </w:t>
      </w:r>
      <w:proofErr w:type="gramStart"/>
      <w:r w:rsidRPr="00925F26">
        <w:rPr>
          <w:color w:val="000000" w:themeColor="text1"/>
          <w:sz w:val="16"/>
          <w:szCs w:val="16"/>
        </w:rPr>
        <w:t>Maroc</w:t>
      </w:r>
      <w:r w:rsidR="00997EDF" w:rsidRPr="00925F26">
        <w:rPr>
          <w:color w:val="000000" w:themeColor="text1"/>
          <w:sz w:val="16"/>
          <w:szCs w:val="16"/>
        </w:rPr>
        <w:t xml:space="preserve">  </w:t>
      </w:r>
      <w:r w:rsidRPr="00925F26">
        <w:rPr>
          <w:color w:val="000000" w:themeColor="text1"/>
          <w:sz w:val="16"/>
          <w:szCs w:val="16"/>
        </w:rPr>
        <w:t>и</w:t>
      </w:r>
      <w:proofErr w:type="gramEnd"/>
      <w:r w:rsidRPr="00925F26">
        <w:rPr>
          <w:color w:val="000000" w:themeColor="text1"/>
          <w:sz w:val="16"/>
          <w:szCs w:val="16"/>
        </w:rPr>
        <w:t xml:space="preserve"> др. Также в роли военного транспортника летал в ВВС и ВМФ Франции (22300).</w:t>
      </w:r>
    </w:p>
    <w:p w14:paraId="7435B284" w14:textId="77777777" w:rsidR="00580BC7" w:rsidRPr="00925F26" w:rsidRDefault="00580BC7" w:rsidP="00925F26">
      <w:pPr>
        <w:jc w:val="both"/>
        <w:rPr>
          <w:color w:val="000000" w:themeColor="text1"/>
          <w:sz w:val="16"/>
          <w:szCs w:val="16"/>
        </w:rPr>
      </w:pPr>
    </w:p>
    <w:p w14:paraId="4B0E7155" w14:textId="77777777" w:rsidR="00580BC7" w:rsidRPr="00925F26" w:rsidRDefault="00580BC7" w:rsidP="00925F26">
      <w:pPr>
        <w:jc w:val="both"/>
        <w:rPr>
          <w:color w:val="000000" w:themeColor="text1"/>
          <w:sz w:val="16"/>
          <w:szCs w:val="16"/>
        </w:rPr>
      </w:pPr>
      <w:r w:rsidRPr="00925F26">
        <w:rPr>
          <w:color w:val="000000" w:themeColor="text1"/>
          <w:sz w:val="16"/>
          <w:szCs w:val="16"/>
        </w:rPr>
        <w:t>26 февраля 1945 г. в США началась разработка свер</w:t>
      </w:r>
      <w:r w:rsidRPr="00925F26">
        <w:rPr>
          <w:color w:val="000000" w:themeColor="text1"/>
          <w:sz w:val="16"/>
          <w:szCs w:val="16"/>
        </w:rPr>
        <w:softHyphen/>
        <w:t>хтяжелой управляемой бомбы VB-13 TARZON (TAllboy, Range and aZimuth ONly). Это был гибрид свободнопадающей бомбы Т-10 «Толл Бой» калибра 5443 кг, выпускавшейся по английской ли</w:t>
      </w:r>
      <w:r w:rsidRPr="00925F26">
        <w:rPr>
          <w:color w:val="000000" w:themeColor="text1"/>
          <w:sz w:val="16"/>
          <w:szCs w:val="16"/>
        </w:rPr>
        <w:softHyphen/>
        <w:t>цензии, приемника команд наведения AN/URV-2 и автопилота, которые управляли подвижным кольцевым крылом, установ</w:t>
      </w:r>
      <w:r w:rsidRPr="00925F26">
        <w:rPr>
          <w:color w:val="000000" w:themeColor="text1"/>
          <w:sz w:val="16"/>
          <w:szCs w:val="16"/>
        </w:rPr>
        <w:softHyphen/>
        <w:t>ленным у центра масс, и рулями на восьмигранном хвостовом оперении.</w:t>
      </w:r>
    </w:p>
    <w:p w14:paraId="041E9BA1" w14:textId="77777777" w:rsidR="00580BC7" w:rsidRPr="00925F26" w:rsidRDefault="00580BC7" w:rsidP="00925F26">
      <w:pPr>
        <w:jc w:val="both"/>
        <w:rPr>
          <w:color w:val="000000" w:themeColor="text1"/>
          <w:sz w:val="16"/>
          <w:szCs w:val="16"/>
        </w:rPr>
      </w:pPr>
      <w:r w:rsidRPr="00925F26">
        <w:rPr>
          <w:color w:val="000000" w:themeColor="text1"/>
          <w:sz w:val="16"/>
          <w:szCs w:val="16"/>
        </w:rPr>
        <w:t>Под новую бомбу было переоборудовано три В-29, бомбоот</w:t>
      </w:r>
      <w:r w:rsidRPr="00925F26">
        <w:rPr>
          <w:color w:val="000000" w:themeColor="text1"/>
          <w:sz w:val="16"/>
          <w:szCs w:val="16"/>
        </w:rPr>
        <w:softHyphen/>
        <w:t>секи которых были объединены - чудовище весом 5942 кг име</w:t>
      </w:r>
      <w:r w:rsidRPr="00925F26">
        <w:rPr>
          <w:color w:val="000000" w:themeColor="text1"/>
          <w:sz w:val="16"/>
          <w:szCs w:val="16"/>
        </w:rPr>
        <w:softHyphen/>
        <w:t>ло длину 6,22 м, а толстый корпус с кольцом крыла выступал наружу. Для наведения УАБ был установлен передатчик команд AN/ARV-38 и ручной пульт.</w:t>
      </w:r>
    </w:p>
    <w:p w14:paraId="2545297C" w14:textId="77777777" w:rsidR="00580BC7" w:rsidRPr="00925F26" w:rsidRDefault="00580BC7" w:rsidP="00925F26">
      <w:pPr>
        <w:jc w:val="both"/>
        <w:rPr>
          <w:color w:val="000000" w:themeColor="text1"/>
          <w:sz w:val="16"/>
          <w:szCs w:val="16"/>
        </w:rPr>
      </w:pPr>
      <w:r w:rsidRPr="00925F26">
        <w:rPr>
          <w:color w:val="000000" w:themeColor="text1"/>
          <w:sz w:val="16"/>
          <w:szCs w:val="16"/>
        </w:rPr>
        <w:t>Испытания VB-13 начались в середине 1945 г., но с оконча</w:t>
      </w:r>
      <w:r w:rsidRPr="00925F26">
        <w:rPr>
          <w:color w:val="000000" w:themeColor="text1"/>
          <w:sz w:val="16"/>
          <w:szCs w:val="16"/>
        </w:rPr>
        <w:softHyphen/>
        <w:t>нием II мировой войны проект был закрыт, затем возобновлен, однако получил низкий приоритет. В 1948 г. обозначение бое</w:t>
      </w:r>
      <w:r w:rsidRPr="00925F26">
        <w:rPr>
          <w:color w:val="000000" w:themeColor="text1"/>
          <w:sz w:val="16"/>
          <w:szCs w:val="16"/>
        </w:rPr>
        <w:softHyphen/>
        <w:t>припаса было изменено на ASM A-1A - он теперь именовался не бомбой, а управляемым снарядом, хотя ни двигателей, ни ускорителей не имел. Проект получил шифр MX-674 (23026).</w:t>
      </w:r>
    </w:p>
    <w:p w14:paraId="69554426" w14:textId="77777777" w:rsidR="00580BC7" w:rsidRPr="00925F26" w:rsidRDefault="00580BC7" w:rsidP="00925F26">
      <w:pPr>
        <w:jc w:val="both"/>
        <w:rPr>
          <w:color w:val="000000" w:themeColor="text1"/>
          <w:sz w:val="16"/>
          <w:szCs w:val="16"/>
        </w:rPr>
      </w:pPr>
    </w:p>
    <w:p w14:paraId="2865C609" w14:textId="250CC727" w:rsidR="00FA59CB" w:rsidRPr="00925F26" w:rsidRDefault="00FA59CB" w:rsidP="00925F26">
      <w:pPr>
        <w:pStyle w:val="ae"/>
        <w:shd w:val="clear" w:color="auto" w:fill="FFFFFF"/>
        <w:spacing w:before="0" w:after="0"/>
        <w:jc w:val="both"/>
        <w:rPr>
          <w:color w:val="000000" w:themeColor="text1"/>
          <w:sz w:val="16"/>
          <w:szCs w:val="16"/>
        </w:rPr>
      </w:pPr>
      <w:r w:rsidRPr="00925F26">
        <w:rPr>
          <w:rStyle w:val="a7"/>
          <w:b w:val="0"/>
          <w:color w:val="000000" w:themeColor="text1"/>
          <w:sz w:val="16"/>
          <w:szCs w:val="16"/>
        </w:rPr>
        <w:t>26 февраля 1945 г</w:t>
      </w:r>
      <w:r w:rsidRPr="00925F26">
        <w:rPr>
          <w:color w:val="000000" w:themeColor="text1"/>
          <w:sz w:val="16"/>
          <w:szCs w:val="16"/>
        </w:rPr>
        <w:t xml:space="preserve">. бомбежка Берлина повторилась в ещё больших масштабах — </w:t>
      </w:r>
      <w:r w:rsidR="00997EDF" w:rsidRPr="00925F26">
        <w:rPr>
          <w:color w:val="000000" w:themeColor="text1"/>
          <w:sz w:val="16"/>
          <w:szCs w:val="16"/>
        </w:rPr>
        <w:t xml:space="preserve">  </w:t>
      </w:r>
      <w:r w:rsidRPr="00925F26">
        <w:rPr>
          <w:color w:val="000000" w:themeColor="text1"/>
          <w:sz w:val="16"/>
          <w:szCs w:val="16"/>
        </w:rPr>
        <w:t xml:space="preserve">781 В-17 и 285 В-24, сбросили на город 2796 тонн бомб, практически не имея потерь со своей стороны. </w:t>
      </w:r>
      <w:proofErr w:type="gramStart"/>
      <w:r w:rsidRPr="00925F26">
        <w:rPr>
          <w:color w:val="000000" w:themeColor="text1"/>
          <w:sz w:val="16"/>
          <w:szCs w:val="16"/>
        </w:rPr>
        <w:t>Конечно</w:t>
      </w:r>
      <w:proofErr w:type="gramEnd"/>
      <w:r w:rsidRPr="00925F26">
        <w:rPr>
          <w:color w:val="000000" w:themeColor="text1"/>
          <w:sz w:val="16"/>
          <w:szCs w:val="16"/>
        </w:rPr>
        <w:t xml:space="preserve"> это был не конец – отрабатывая новую тактику, </w:t>
      </w:r>
      <w:r w:rsidRPr="00925F26">
        <w:rPr>
          <w:rStyle w:val="a7"/>
          <w:b w:val="0"/>
          <w:color w:val="000000" w:themeColor="text1"/>
          <w:sz w:val="16"/>
          <w:szCs w:val="16"/>
        </w:rPr>
        <w:t>18 марта</w:t>
      </w:r>
      <w:r w:rsidRPr="00925F26">
        <w:rPr>
          <w:color w:val="000000" w:themeColor="text1"/>
          <w:sz w:val="16"/>
          <w:szCs w:val="16"/>
        </w:rPr>
        <w:t xml:space="preserve">, </w:t>
      </w:r>
      <w:r w:rsidRPr="00925F26">
        <w:rPr>
          <w:rStyle w:val="a7"/>
          <w:b w:val="0"/>
          <w:color w:val="000000" w:themeColor="text1"/>
          <w:sz w:val="16"/>
          <w:szCs w:val="16"/>
        </w:rPr>
        <w:t>24 марта</w:t>
      </w:r>
      <w:r w:rsidRPr="00925F26">
        <w:rPr>
          <w:color w:val="000000" w:themeColor="text1"/>
          <w:sz w:val="16"/>
          <w:szCs w:val="16"/>
        </w:rPr>
        <w:t xml:space="preserve">, </w:t>
      </w:r>
      <w:r w:rsidRPr="00925F26">
        <w:rPr>
          <w:rStyle w:val="a7"/>
          <w:b w:val="0"/>
          <w:color w:val="000000" w:themeColor="text1"/>
          <w:sz w:val="16"/>
          <w:szCs w:val="16"/>
        </w:rPr>
        <w:t>20 апреля</w:t>
      </w:r>
      <w:r w:rsidRPr="00925F26">
        <w:rPr>
          <w:color w:val="000000" w:themeColor="text1"/>
          <w:sz w:val="16"/>
          <w:szCs w:val="16"/>
        </w:rPr>
        <w:t xml:space="preserve"> американцы раз за разом повторяли рейды, в которых участвовали до 1200 бомбардировщиков за раз. Город под ними превратился в руины, а точное число погибших не представлялось возможным установить – по примерным подсчетам оно составляло около </w:t>
      </w:r>
      <w:proofErr w:type="gramStart"/>
      <w:r w:rsidRPr="00925F26">
        <w:rPr>
          <w:color w:val="000000" w:themeColor="text1"/>
          <w:sz w:val="16"/>
          <w:szCs w:val="16"/>
        </w:rPr>
        <w:t>50</w:t>
      </w:r>
      <w:r w:rsidR="00997EDF" w:rsidRPr="00925F26">
        <w:rPr>
          <w:color w:val="000000" w:themeColor="text1"/>
          <w:sz w:val="16"/>
          <w:szCs w:val="16"/>
        </w:rPr>
        <w:t xml:space="preserve">  </w:t>
      </w:r>
      <w:r w:rsidRPr="00925F26">
        <w:rPr>
          <w:color w:val="000000" w:themeColor="text1"/>
          <w:sz w:val="16"/>
          <w:szCs w:val="16"/>
        </w:rPr>
        <w:t>000</w:t>
      </w:r>
      <w:proofErr w:type="gramEnd"/>
      <w:r w:rsidRPr="00925F26">
        <w:rPr>
          <w:color w:val="000000" w:themeColor="text1"/>
          <w:sz w:val="16"/>
          <w:szCs w:val="16"/>
        </w:rPr>
        <w:t xml:space="preserve"> человек.</w:t>
      </w:r>
    </w:p>
    <w:p w14:paraId="636B15DE" w14:textId="3290D16E" w:rsidR="00FA59CB" w:rsidRPr="00925F26" w:rsidRDefault="00FA59CB" w:rsidP="00925F26">
      <w:pPr>
        <w:jc w:val="both"/>
        <w:rPr>
          <w:color w:val="000000" w:themeColor="text1"/>
          <w:sz w:val="16"/>
          <w:szCs w:val="16"/>
        </w:rPr>
      </w:pPr>
      <w:r w:rsidRPr="00925F26">
        <w:rPr>
          <w:color w:val="000000" w:themeColor="text1"/>
          <w:sz w:val="16"/>
          <w:szCs w:val="16"/>
        </w:rPr>
        <w:t xml:space="preserve">В Берлине из имевшихся в 1939 году 1 502 383 зданий, к концу войны осталось относительно неповрежденными </w:t>
      </w:r>
      <w:proofErr w:type="gramStart"/>
      <w:r w:rsidRPr="00925F26">
        <w:rPr>
          <w:color w:val="000000" w:themeColor="text1"/>
          <w:sz w:val="16"/>
          <w:szCs w:val="16"/>
        </w:rPr>
        <w:t>976</w:t>
      </w:r>
      <w:r w:rsidR="00997EDF" w:rsidRPr="00925F26">
        <w:rPr>
          <w:color w:val="000000" w:themeColor="text1"/>
          <w:sz w:val="16"/>
          <w:szCs w:val="16"/>
        </w:rPr>
        <w:t xml:space="preserve">  </w:t>
      </w:r>
      <w:r w:rsidRPr="00925F26">
        <w:rPr>
          <w:color w:val="000000" w:themeColor="text1"/>
          <w:sz w:val="16"/>
          <w:szCs w:val="16"/>
        </w:rPr>
        <w:t>500</w:t>
      </w:r>
      <w:proofErr w:type="gramEnd"/>
      <w:r w:rsidRPr="00925F26">
        <w:rPr>
          <w:color w:val="000000" w:themeColor="text1"/>
          <w:sz w:val="16"/>
          <w:szCs w:val="16"/>
        </w:rPr>
        <w:t>. Однако, несмотря на весь ужас ковровых бомбардировок, дух защитников города они не сломили, зато прекрасно справлялись с задачей озлобления как военных, так и гражданского населения. Этот факт, а также то, что несмотря на все разрушения и постоянную бомбежку, авиации союзников так и не удалось разрушить германскую промышленность, которая продолжала исправно работать до конца войны, ставят под большое сомнение пользу такого способа ведения войны (17416).</w:t>
      </w:r>
    </w:p>
    <w:p w14:paraId="1E32D43F" w14:textId="77777777" w:rsidR="00FA59CB" w:rsidRPr="00925F26" w:rsidRDefault="00FA59CB" w:rsidP="00925F26">
      <w:pPr>
        <w:jc w:val="both"/>
        <w:rPr>
          <w:color w:val="000000" w:themeColor="text1"/>
          <w:sz w:val="16"/>
          <w:szCs w:val="16"/>
        </w:rPr>
      </w:pPr>
    </w:p>
    <w:p w14:paraId="4E5C6FCE" w14:textId="77777777" w:rsidR="00580BC7" w:rsidRPr="00925F26" w:rsidRDefault="00580BC7" w:rsidP="00925F26">
      <w:pPr>
        <w:jc w:val="both"/>
        <w:rPr>
          <w:color w:val="000000" w:themeColor="text1"/>
          <w:sz w:val="16"/>
          <w:szCs w:val="16"/>
        </w:rPr>
      </w:pPr>
      <w:r w:rsidRPr="00925F26">
        <w:rPr>
          <w:color w:val="000000" w:themeColor="text1"/>
          <w:sz w:val="16"/>
          <w:szCs w:val="16"/>
        </w:rPr>
        <w:t>26 февраля 1945 во время полета с атолла Кваджалейн на остров Джонстон пропадает самолет C-87A Liberator Express ВВС США. Погибли все находившиеся на борту, в том числе два генерала ВВС США, генерал-лейтенант Миллард Хармон и бригадный генерал Джеймс Р. Андерсен (20371).</w:t>
      </w:r>
    </w:p>
    <w:p w14:paraId="4B3A08FA" w14:textId="77777777" w:rsidR="00580BC7" w:rsidRPr="00925F26" w:rsidRDefault="00580BC7" w:rsidP="00925F26">
      <w:pPr>
        <w:jc w:val="both"/>
        <w:rPr>
          <w:color w:val="000000" w:themeColor="text1"/>
          <w:sz w:val="16"/>
          <w:szCs w:val="16"/>
        </w:rPr>
      </w:pPr>
    </w:p>
    <w:p w14:paraId="1F052C4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февраля 1945 Сирия объявила войну Германии и Японии (4962).</w:t>
      </w:r>
    </w:p>
    <w:p w14:paraId="247FC2B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45E69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февраля 1945 Сирия объявила войну Италии и Германии (2100).</w:t>
      </w:r>
    </w:p>
    <w:p w14:paraId="44F6F7F6" w14:textId="77777777" w:rsidR="00665165" w:rsidRPr="00925F26" w:rsidRDefault="00665165" w:rsidP="00925F26">
      <w:pPr>
        <w:autoSpaceDE w:val="0"/>
        <w:autoSpaceDN w:val="0"/>
        <w:adjustRightInd w:val="0"/>
        <w:jc w:val="both"/>
        <w:rPr>
          <w:color w:val="000000" w:themeColor="text1"/>
          <w:sz w:val="16"/>
          <w:szCs w:val="16"/>
        </w:rPr>
      </w:pPr>
    </w:p>
    <w:p w14:paraId="51936CD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FC2363D" w14:textId="77777777" w:rsidR="00665165" w:rsidRPr="00925F26" w:rsidRDefault="00665165" w:rsidP="00925F26">
      <w:pPr>
        <w:autoSpaceDE w:val="0"/>
        <w:autoSpaceDN w:val="0"/>
        <w:adjustRightInd w:val="0"/>
        <w:jc w:val="both"/>
        <w:rPr>
          <w:iCs/>
          <w:color w:val="000000" w:themeColor="text1"/>
          <w:sz w:val="16"/>
          <w:szCs w:val="16"/>
        </w:rPr>
      </w:pPr>
    </w:p>
    <w:p w14:paraId="78A791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года вышел приказ НКАП № 75/А</w:t>
      </w:r>
    </w:p>
    <w:p w14:paraId="4F8050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организацией 17 гл. управления и передачей части заводов 5-го гл. управления в 17 гл. Управление (8961)</w:t>
      </w:r>
    </w:p>
    <w:p w14:paraId="088B4C67" w14:textId="77777777" w:rsidR="00665165" w:rsidRPr="00925F26" w:rsidRDefault="00665165" w:rsidP="00925F26">
      <w:pPr>
        <w:autoSpaceDE w:val="0"/>
        <w:autoSpaceDN w:val="0"/>
        <w:adjustRightInd w:val="0"/>
        <w:jc w:val="both"/>
        <w:rPr>
          <w:iCs/>
          <w:color w:val="000000" w:themeColor="text1"/>
          <w:sz w:val="16"/>
          <w:szCs w:val="16"/>
        </w:rPr>
      </w:pPr>
    </w:p>
    <w:p w14:paraId="62FECAC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3B7344C" w14:textId="77777777" w:rsidR="00665165" w:rsidRPr="00925F26" w:rsidRDefault="00665165" w:rsidP="00925F26">
      <w:pPr>
        <w:autoSpaceDE w:val="0"/>
        <w:autoSpaceDN w:val="0"/>
        <w:adjustRightInd w:val="0"/>
        <w:jc w:val="both"/>
        <w:rPr>
          <w:iCs/>
          <w:color w:val="000000" w:themeColor="text1"/>
          <w:sz w:val="16"/>
          <w:szCs w:val="16"/>
        </w:rPr>
      </w:pPr>
    </w:p>
    <w:p w14:paraId="065E4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года АНИОЛМИ (артиллерийский научно-исследовательский опытный Ленинградский морской институт.) выдал промышленности ТТЗ на 25-мм двухорудийную палубную автоматическую установку 2М-3, предназначенную для вооружения торпедных катеров проектов 183 и 184. Уточненное ТТЗ было утверждено замглавкома ГК ВМФ 14.03.1947 г. Проектирование установки было начато по Постановлению СМ № 1523-549сс от 2.04.1949 г. Проектирование велось в ОКБ-43, главный конструктор Харыкин. Технический проект был разработан в 1947 году и утвержден замглавкома ВМС 1.08.1947 г. Рабочие чертежи были утверждены 3.07.1948 г. Завод-изготовитель опытного образца - Государственное Союзное особое КБ № 43. Для установки 2М-3 в ОКБ-16 (главный конструктор Нудельман) на базе автомата 84-КМ был разработан автомат 110-ПМ. При этом баллистика и боеприпасы 84-КМ были оставлены без изменений. Эскизный проект 110-ПМ был закончен в 1945 году, после чего ОКБ-16 приступило к разработке рабочих чертежей и изготовлению опытного образца, минуя стадию технического проектирования. Качающаяся часть установки представляла собой две коробчатые люльки. Для осуществления ВН на нижней люльке имелся зубчатый сектор, входящий в зацепление с шестерней редуктора. Левая и правая связи соединяли задние концы верхней и нижней люлек и вместе с люльками и станинами образовывали параллелограмм. Такая параллелограммная связь люлек обеспечивала равенство углов качания обеих люлек.</w:t>
      </w:r>
    </w:p>
    <w:p w14:paraId="696EAE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Вертикальное и горизонтальное наведение производилось гидроприводами. В качестве резервного средства имелось и ручное наведение, осуществляемое одним наводчиком.</w:t>
      </w:r>
    </w:p>
    <w:p w14:paraId="56220E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Гидропривод предназначался для вертикального наведения и перезарядки (взведения подвижных частей) обоих автоматов. Наведение осуществлялось при помощи двух гидромоторов, один из которых связан с редуктором ВН, а другой - с редуктором ГН. Перезарядка производилась при помощи двух силовых гидравлических цилиндров. Охлаждение стволов при стрельбе воздушное. При замене магазинов в стволы через шланг с насадкой с казенной части подавалась вода для охлаждения. Время охлаждения водой - не менее 15 секунд. Прицельное устройство установки 2М-3 состояло из механического кольцевого визира, смонтированного на параллелограммном механизме. Оно обеспечивало ведение стрельбы по зенитным и надводным целям. Для установки 2М-3 в ОКБ-16 (главный конструктор Нудельман) на базе автомата 84-КМ был разработан автомат 110-ПМ. При этом баллистика и боеприпасы 84-КМ были оставлены без изменений. Эскизный проект 110-ПМ был закончен в 1945 году, после чего ОКБ-16 приступило к разработке рабочих чертежей и изготовлению опытного образца, минуя стадию технического </w:t>
      </w:r>
      <w:r w:rsidRPr="00925F26">
        <w:rPr>
          <w:color w:val="000000" w:themeColor="text1"/>
          <w:sz w:val="16"/>
          <w:szCs w:val="16"/>
        </w:rPr>
        <w:lastRenderedPageBreak/>
        <w:t>проектирования. В период с 1946 по 1948 год производилась отработка автомата на последовательно изготовленных трех образцах. Согласно приказу от 15.11.1948 г. в ноябре 1948 года были начаты полигонные испытания третьего образца. При испытаниях на 4521 выстреле произошел разрыв ствольной муфты. ОКБ-16 изготовило четвертый образец 110-ПМ, испытания которого были проведены с 7.09.1949 г. по 19.01.1950 г. в объеме 4789 выстрелов. Испытания автомат выдержал. В 1950 году ОКБ-16 изготовило пятый образец с учетом всех замечаний и представило его на государственные полигонные испытания, которые проходили с 8 августа по 13 декабря 1956 года в объеме 7201 выстрел. Автомат испытания выдержал и был рекомендован к принятию на вооружение. Основной конструктивной особенностью автомата 110-ПМ являлся принудительный откат механизма заряжания в заднем положении, что было особенно важно для обеспечения надежной работы автомата. После окончания совместного отката ствола и механизма запирания, последний (вместе со стреляной гильзой) во время наката ствола принудительно продолжал откат в крайнее заднее положение.</w:t>
      </w:r>
    </w:p>
    <w:p w14:paraId="738C69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Питание автомата 110-ПМ ленточное двухстороннее, но автоматы первых серий допускали и обойменное питание. Емкость обоймы 7 патронов. Лента металлическая рассыпная.</w:t>
      </w:r>
    </w:p>
    <w:p w14:paraId="6CAA15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ленты с 65 патронами 49,4 кг, вес звена 88 грамм. Лента помещалась в магазине. Вес магазина с 65 патронами 55,07 кг.</w:t>
      </w:r>
    </w:p>
    <w:p w14:paraId="53FAE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1949 году было изготовлено три опытных образца: два для катера пр.183 и один для полигона.</w:t>
      </w:r>
    </w:p>
    <w:p w14:paraId="5BA1C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Первые три образца полигонные и корабельные испытания не выдержали и АУ ВМС 14.12.1949 г. приняло решение о переработке чертежей и изготовлении нового образца с соответствующими изменениями в ТТЗ.</w:t>
      </w:r>
    </w:p>
    <w:p w14:paraId="67F761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Новые рабочие чертежи были разработаны ОКБ-43 в феврале-мае 1950 года. Опытный образец 2М-3 был изготовлен заводом № 535 (г. Тула) в октябре 1950 года. Гидропривод был изготовлен заводом № 46 по чертежам ЦНИИ-173.</w:t>
      </w:r>
    </w:p>
    <w:p w14:paraId="1875A7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Опытный образец завода № 535 прошел объединенные заводские и полигонные испытания в ноябре-декабре 1950 года и их выдержал. Комиссия рекомендовала его на корабельные испытания.</w:t>
      </w:r>
    </w:p>
    <w:p w14:paraId="74ACA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том же 1950 году завод № 535 изготовил еще три опытных установки. Опытные образцы прошли государственные корабельные испытания на торпедном катере пр.183 с 26 января по 5 марта 1952 года. Отмечена ненадежность автомата 110-ПМ и ряд других недостатков. По решению комиссии образец следовало доработать и провести повторные государственные корабельные испытания.</w:t>
      </w:r>
    </w:p>
    <w:p w14:paraId="1F2CAF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Повторные государственные корабельные испытания были успешно проведены с 20 октября по 5 ноября 1952 года, отчет о них был утвержден 25.11.1952 г.</w:t>
      </w:r>
    </w:p>
    <w:p w14:paraId="104B39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Установка 2М-3 с автоматом 110-ПМ была принята на вооружение Постановлением СМ № 659-336 от 27.02.1953 г. и приказом ВММ № 00159 от 5.03.1953 г.</w:t>
      </w:r>
    </w:p>
    <w:p w14:paraId="30E915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Позже в ОКБ-43 модернизировали установку 2М-3. В частности, инженер Соколов К.И. переработал конструкцию автомата 110-ПМ, и в результате был получен автомат М-110 с темпом стрельбы 470-480 выстр/мин. (на испытаниях). В автомате 110-ПМ автоматика работает только за счет энергии отката при коротком ходе ствола, а в новом автомате М-110 дополнительно используется и энергия пороховых газов, отводимых из канала ствола. Эта энергия используется при работе газового буфера, предназначенного для увеличения скорости наката подвижных частей. Питание М-110 только правое и только ленточное. Лента, магазин и патроны те же, что и у 110-ПМ.</w:t>
      </w:r>
    </w:p>
    <w:p w14:paraId="78F345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Новая установка получила индекс 2М-3М.</w:t>
      </w:r>
    </w:p>
    <w:p w14:paraId="27C123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Первые три опытные установки были изготовлены ОКБ-43, а с 1950 года производство 2М-3 и 2М-3М велось на заводе № 535.</w:t>
      </w:r>
    </w:p>
    <w:p w14:paraId="378610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2М-3М было прекращено в 1984 году.</w:t>
      </w:r>
    </w:p>
    <w:p w14:paraId="2D3BEF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Отпускная цена одной установки в 1951 году составляла 527 000 рублей, в 1954 году - 206 000 рублей, а в 1955 году - 151780 рублей.</w:t>
      </w:r>
    </w:p>
    <w:p w14:paraId="6F577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Установки 2М-3 предназначались для вооружения катеров пр.183 и 201, гражданских судов и вспомогательных судов ВМФ, в том числе проектов 431, 771, 562, 706, 437, 561, 433, 514, 560, 512, 770 и др. Фактически артсистемы 2М-3 и 2М-3М были установлены более, чем на 30-ти проектах кораблей и судов.</w:t>
      </w:r>
    </w:p>
    <w:p w14:paraId="0A5D1C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Параллельно с 2М-3 для торпедных катеров пр.183 и 184 проектировалась 25-мм спаренная палубная установка БЛ-130. 31 декабря 1949 года Министерство вооружений направило письма в ОКБ-172 с указанием разработать 25-мм спаренную установку, и уже 21 февраля 1950 года ОКБ-172 представило проект установки БЛ-130. Ведущим конструктором установки был Константинов А.Л.</w:t>
      </w:r>
    </w:p>
    <w:p w14:paraId="311081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Установка БЛ-130 тумбовая с горизонтальным расположением стволов. В установке применены антикоррозийные материалы. Подобно 2М-3 в БЛ-130 применены автоматы 110-П, но в их конструкцию введено устройство для пневмозарядки и специальное пневмогидравлическое устройство для амортизации.</w:t>
      </w:r>
    </w:p>
    <w:p w14:paraId="614736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Установка имела местное бронирование, броня обтекаемой формы толщиной 3-4 мм. Вес установки без амортизационных устройств - 1200 кг, а с амортизационными устройствами - 1400 кг.</w:t>
      </w:r>
    </w:p>
    <w:p w14:paraId="03FEAC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ряду характеристик БЛ-130 превосходила 2М-3, но в конце 1950 года было решено запустить в серийное производство 2М-3, так как у нее степень готовности была выше, чем у БЛ-130 (3861).</w:t>
      </w:r>
    </w:p>
    <w:p w14:paraId="5C32C5C8" w14:textId="77777777" w:rsidR="00665165" w:rsidRPr="00925F26" w:rsidRDefault="00665165" w:rsidP="00925F26">
      <w:pPr>
        <w:autoSpaceDE w:val="0"/>
        <w:autoSpaceDN w:val="0"/>
        <w:adjustRightInd w:val="0"/>
        <w:jc w:val="both"/>
        <w:rPr>
          <w:color w:val="000000" w:themeColor="text1"/>
          <w:sz w:val="16"/>
          <w:szCs w:val="16"/>
        </w:rPr>
      </w:pPr>
    </w:p>
    <w:p w14:paraId="22DA6333" w14:textId="59AE2524" w:rsidR="004945E9" w:rsidRPr="00925F26" w:rsidRDefault="004945E9" w:rsidP="00925F26">
      <w:pPr>
        <w:jc w:val="both"/>
        <w:rPr>
          <w:color w:val="000000" w:themeColor="text1"/>
          <w:sz w:val="16"/>
          <w:szCs w:val="16"/>
        </w:rPr>
      </w:pPr>
      <w:r w:rsidRPr="00925F26">
        <w:rPr>
          <w:color w:val="000000" w:themeColor="text1"/>
          <w:sz w:val="16"/>
          <w:szCs w:val="16"/>
        </w:rPr>
        <w:t xml:space="preserve">27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w:t>
      </w:r>
      <w:proofErr w:type="gramStart"/>
      <w:r w:rsidRPr="00925F26">
        <w:rPr>
          <w:color w:val="000000" w:themeColor="text1"/>
          <w:sz w:val="16"/>
          <w:szCs w:val="16"/>
        </w:rPr>
        <w:t>АНИОЛМИ[</w:t>
      </w:r>
      <w:proofErr w:type="gramEnd"/>
      <w:r w:rsidRPr="00925F26">
        <w:rPr>
          <w:color w:val="000000" w:themeColor="text1"/>
          <w:sz w:val="16"/>
          <w:szCs w:val="16"/>
        </w:rPr>
        <w:t xml:space="preserve">85] выдал промышленности тактико-техническое задание на 25-мм спаренную палубную автоматическую установку 2М-3, предназначенную для вооружения торпедных катеров проектов 183 и 184. Уточненное тактико-техническое задание было утверждено заместителем Главкома ВМФ 14 марта </w:t>
      </w:r>
      <w:proofErr w:type="gramStart"/>
      <w:r w:rsidRPr="00925F26">
        <w:rPr>
          <w:color w:val="000000" w:themeColor="text1"/>
          <w:sz w:val="16"/>
          <w:szCs w:val="16"/>
        </w:rPr>
        <w:t>1947</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Проектирование установки началось по постановлению Совмина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1523</w:t>
      </w:r>
      <w:proofErr w:type="gramEnd"/>
      <w:r w:rsidRPr="00925F26">
        <w:rPr>
          <w:color w:val="000000" w:themeColor="text1"/>
          <w:sz w:val="16"/>
          <w:szCs w:val="16"/>
        </w:rPr>
        <w:t xml:space="preserve">–549сс от 2 апреля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и велось в ОКБ-43.</w:t>
      </w:r>
    </w:p>
    <w:p w14:paraId="2F1C5154" w14:textId="7E595A1E" w:rsidR="004945E9" w:rsidRPr="00925F26" w:rsidRDefault="004945E9" w:rsidP="00925F26">
      <w:pPr>
        <w:jc w:val="both"/>
        <w:rPr>
          <w:color w:val="000000" w:themeColor="text1"/>
          <w:sz w:val="16"/>
          <w:szCs w:val="16"/>
        </w:rPr>
      </w:pPr>
      <w:r w:rsidRPr="00925F26">
        <w:rPr>
          <w:color w:val="000000" w:themeColor="text1"/>
          <w:sz w:val="16"/>
          <w:szCs w:val="16"/>
        </w:rPr>
        <w:t>Для установки 2М-3 в ОКБ-16 (главный конструктор</w:t>
      </w:r>
      <w:r w:rsidR="00997EDF" w:rsidRPr="00925F26">
        <w:rPr>
          <w:color w:val="000000" w:themeColor="text1"/>
          <w:sz w:val="16"/>
          <w:szCs w:val="16"/>
        </w:rPr>
        <w:t xml:space="preserve">  </w:t>
      </w:r>
      <w:r w:rsidRPr="00925F26">
        <w:rPr>
          <w:color w:val="000000" w:themeColor="text1"/>
          <w:sz w:val="16"/>
          <w:szCs w:val="16"/>
        </w:rPr>
        <w:t>— А.</w:t>
      </w:r>
      <w:r w:rsidR="00997EDF" w:rsidRPr="00925F26">
        <w:rPr>
          <w:color w:val="000000" w:themeColor="text1"/>
          <w:sz w:val="16"/>
          <w:szCs w:val="16"/>
        </w:rPr>
        <w:t xml:space="preserve">  </w:t>
      </w:r>
      <w:r w:rsidRPr="00925F26">
        <w:rPr>
          <w:color w:val="000000" w:themeColor="text1"/>
          <w:sz w:val="16"/>
          <w:szCs w:val="16"/>
        </w:rPr>
        <w:t>Э.</w:t>
      </w:r>
      <w:r w:rsidR="00997EDF" w:rsidRPr="00925F26">
        <w:rPr>
          <w:color w:val="000000" w:themeColor="text1"/>
          <w:sz w:val="16"/>
          <w:szCs w:val="16"/>
        </w:rPr>
        <w:t xml:space="preserve">  </w:t>
      </w:r>
      <w:r w:rsidRPr="00925F26">
        <w:rPr>
          <w:color w:val="000000" w:themeColor="text1"/>
          <w:sz w:val="16"/>
          <w:szCs w:val="16"/>
        </w:rPr>
        <w:t xml:space="preserve">Нудельман) на базе автомата 84-КМ был разработан автомат 110-ПМ, при этом баллистика и боеприпасы 84КМ остались без изменений. Эскизный проект 110-ПМ был закончен в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после чего ОКБ-16 приступило к разработке рабочих чертежей и изготовлению опытного образца, минуя стадию технического проектирования.</w:t>
      </w:r>
    </w:p>
    <w:p w14:paraId="6C68C706" w14:textId="77777777" w:rsidR="004945E9" w:rsidRPr="00925F26" w:rsidRDefault="004945E9" w:rsidP="00925F26">
      <w:pPr>
        <w:jc w:val="both"/>
        <w:rPr>
          <w:color w:val="000000" w:themeColor="text1"/>
          <w:sz w:val="16"/>
          <w:szCs w:val="16"/>
        </w:rPr>
      </w:pPr>
      <w:r w:rsidRPr="00925F26">
        <w:rPr>
          <w:color w:val="000000" w:themeColor="text1"/>
          <w:sz w:val="16"/>
          <w:szCs w:val="16"/>
        </w:rPr>
        <w:t>Вертикальное и горизонтальное наведение производилось гидроприводами. В качестве резервного средства имелось и ручное наведение, осуществляемое одним наводчиком.</w:t>
      </w:r>
    </w:p>
    <w:p w14:paraId="0AA82446" w14:textId="5B5DFE80" w:rsidR="004945E9" w:rsidRPr="00925F26" w:rsidRDefault="004945E9" w:rsidP="00925F26">
      <w:pPr>
        <w:jc w:val="both"/>
        <w:rPr>
          <w:color w:val="000000" w:themeColor="text1"/>
          <w:sz w:val="16"/>
          <w:szCs w:val="16"/>
        </w:rPr>
      </w:pPr>
      <w:r w:rsidRPr="00925F26">
        <w:rPr>
          <w:color w:val="000000" w:themeColor="text1"/>
          <w:sz w:val="16"/>
          <w:szCs w:val="16"/>
        </w:rPr>
        <w:t xml:space="preserve">Гидропривод предназначался для вертикального наведения и перезарядки (взведения подвижных частей) обоих автоматов. Наведение осуществлялось при помощи двух гидромоторов, один из которых связан с редуктором вертикального наведения, а </w:t>
      </w:r>
      <w:proofErr w:type="gramStart"/>
      <w:r w:rsidRPr="00925F26">
        <w:rPr>
          <w:color w:val="000000" w:themeColor="text1"/>
          <w:sz w:val="16"/>
          <w:szCs w:val="16"/>
        </w:rPr>
        <w:t>другой</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с редуктором горизонтального наведения. Перезарядка производилась при помощи двух силовых гидравлических цилиндров.</w:t>
      </w:r>
    </w:p>
    <w:p w14:paraId="6F8444E7" w14:textId="5CCBB3EB" w:rsidR="004945E9" w:rsidRPr="00925F26" w:rsidRDefault="004945E9" w:rsidP="00925F26">
      <w:pPr>
        <w:jc w:val="both"/>
        <w:rPr>
          <w:color w:val="000000" w:themeColor="text1"/>
          <w:sz w:val="16"/>
          <w:szCs w:val="16"/>
        </w:rPr>
      </w:pPr>
      <w:r w:rsidRPr="00925F26">
        <w:rPr>
          <w:color w:val="000000" w:themeColor="text1"/>
          <w:sz w:val="16"/>
          <w:szCs w:val="16"/>
        </w:rPr>
        <w:t xml:space="preserve">Охлаждение стволов при стрельбе воздушное. При замене магазинов в стволы через шланг с насадкой с казенной части подавалась вода для охлаждения. Время охлаждения </w:t>
      </w:r>
      <w:proofErr w:type="gramStart"/>
      <w:r w:rsidRPr="00925F26">
        <w:rPr>
          <w:color w:val="000000" w:themeColor="text1"/>
          <w:sz w:val="16"/>
          <w:szCs w:val="16"/>
        </w:rPr>
        <w:t>водой</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не менее 15 секунд.</w:t>
      </w:r>
    </w:p>
    <w:p w14:paraId="405449F4" w14:textId="77777777" w:rsidR="004945E9" w:rsidRPr="00925F26" w:rsidRDefault="004945E9" w:rsidP="00925F26">
      <w:pPr>
        <w:jc w:val="both"/>
        <w:rPr>
          <w:color w:val="000000" w:themeColor="text1"/>
          <w:sz w:val="16"/>
          <w:szCs w:val="16"/>
        </w:rPr>
      </w:pPr>
      <w:r w:rsidRPr="00925F26">
        <w:rPr>
          <w:color w:val="000000" w:themeColor="text1"/>
          <w:sz w:val="16"/>
          <w:szCs w:val="16"/>
        </w:rPr>
        <w:t>Прицельное устройство установки 2М-3 состояло из механического кольцевого визира, смонтированного на параллелограммном механизме. Оно обеспечивало ведение стрельбы по зенитным и надводным целям.</w:t>
      </w:r>
    </w:p>
    <w:p w14:paraId="7CA5EF2D" w14:textId="37D96E8C" w:rsidR="004945E9" w:rsidRPr="00925F26" w:rsidRDefault="004945E9" w:rsidP="00925F26">
      <w:pPr>
        <w:jc w:val="both"/>
        <w:rPr>
          <w:color w:val="000000" w:themeColor="text1"/>
          <w:sz w:val="16"/>
          <w:szCs w:val="16"/>
        </w:rPr>
      </w:pPr>
      <w:r w:rsidRPr="00925F26">
        <w:rPr>
          <w:color w:val="000000" w:themeColor="text1"/>
          <w:sz w:val="16"/>
          <w:szCs w:val="16"/>
        </w:rPr>
        <w:t>Вес установки 2М-</w:t>
      </w:r>
      <w:proofErr w:type="gramStart"/>
      <w:r w:rsidRPr="00925F26">
        <w:rPr>
          <w:color w:val="000000" w:themeColor="text1"/>
          <w:sz w:val="16"/>
          <w:szCs w:val="16"/>
        </w:rPr>
        <w:t>3</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w:t>
      </w:r>
      <w:proofErr w:type="gramStart"/>
      <w:r w:rsidRPr="00925F26">
        <w:rPr>
          <w:color w:val="000000" w:themeColor="text1"/>
          <w:sz w:val="16"/>
          <w:szCs w:val="16"/>
        </w:rPr>
        <w:t>1500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а 2М-</w:t>
      </w:r>
      <w:proofErr w:type="gramStart"/>
      <w:r w:rsidRPr="00925F26">
        <w:rPr>
          <w:color w:val="000000" w:themeColor="text1"/>
          <w:sz w:val="16"/>
          <w:szCs w:val="16"/>
        </w:rPr>
        <w:t>ЗМ</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w:t>
      </w:r>
      <w:proofErr w:type="gramStart"/>
      <w:r w:rsidRPr="00925F26">
        <w:rPr>
          <w:color w:val="000000" w:themeColor="text1"/>
          <w:sz w:val="16"/>
          <w:szCs w:val="16"/>
        </w:rPr>
        <w:t>1515</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w:t>
      </w:r>
      <w:proofErr w:type="gramStart"/>
      <w:r w:rsidRPr="00925F26">
        <w:rPr>
          <w:color w:val="000000" w:themeColor="text1"/>
          <w:sz w:val="16"/>
          <w:szCs w:val="16"/>
        </w:rPr>
        <w:t>Расчет</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2 человека. В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было изготовлено три опытных образца: </w:t>
      </w:r>
      <w:proofErr w:type="gramStart"/>
      <w:r w:rsidRPr="00925F26">
        <w:rPr>
          <w:color w:val="000000" w:themeColor="text1"/>
          <w:sz w:val="16"/>
          <w:szCs w:val="16"/>
        </w:rPr>
        <w:t>два</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для катера проекта 183 и </w:t>
      </w:r>
      <w:proofErr w:type="gramStart"/>
      <w:r w:rsidRPr="00925F26">
        <w:rPr>
          <w:color w:val="000000" w:themeColor="text1"/>
          <w:sz w:val="16"/>
          <w:szCs w:val="16"/>
        </w:rPr>
        <w:t>один</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для полигона.</w:t>
      </w:r>
    </w:p>
    <w:p w14:paraId="04D593E0" w14:textId="6E3022B0" w:rsidR="004945E9" w:rsidRPr="00925F26" w:rsidRDefault="004945E9" w:rsidP="00925F26">
      <w:pPr>
        <w:jc w:val="both"/>
        <w:rPr>
          <w:color w:val="000000" w:themeColor="text1"/>
          <w:sz w:val="16"/>
          <w:szCs w:val="16"/>
        </w:rPr>
      </w:pPr>
      <w:r w:rsidRPr="00925F26">
        <w:rPr>
          <w:color w:val="000000" w:themeColor="text1"/>
          <w:sz w:val="16"/>
          <w:szCs w:val="16"/>
        </w:rPr>
        <w:t>Первые три образца полигонные и корабельные испытания не выдержали, и Артуправление ВМФ 14 декабря 1949</w:t>
      </w:r>
      <w:r w:rsidR="00997EDF" w:rsidRPr="00925F26">
        <w:rPr>
          <w:color w:val="000000" w:themeColor="text1"/>
          <w:sz w:val="16"/>
          <w:szCs w:val="16"/>
        </w:rPr>
        <w:t xml:space="preserve">  </w:t>
      </w:r>
      <w:r w:rsidRPr="00925F26">
        <w:rPr>
          <w:color w:val="000000" w:themeColor="text1"/>
          <w:sz w:val="16"/>
          <w:szCs w:val="16"/>
        </w:rPr>
        <w:t>г. приняло решение о переработке чертежей и изготовлении нового образца с соответствующими изменениями в тактико-техническом задании.</w:t>
      </w:r>
    </w:p>
    <w:p w14:paraId="1096BC0A" w14:textId="7D49A4FC" w:rsidR="004945E9" w:rsidRPr="00925F26" w:rsidRDefault="004945E9" w:rsidP="00925F26">
      <w:pPr>
        <w:jc w:val="both"/>
        <w:rPr>
          <w:color w:val="000000" w:themeColor="text1"/>
          <w:sz w:val="16"/>
          <w:szCs w:val="16"/>
        </w:rPr>
      </w:pPr>
      <w:r w:rsidRPr="00925F26">
        <w:rPr>
          <w:color w:val="000000" w:themeColor="text1"/>
          <w:sz w:val="16"/>
          <w:szCs w:val="16"/>
        </w:rPr>
        <w:t>Новые рабочие чертежи в ОКБ-43 разработали в феврале</w:t>
      </w:r>
      <w:r w:rsidR="00997EDF" w:rsidRPr="00925F26">
        <w:rPr>
          <w:color w:val="000000" w:themeColor="text1"/>
          <w:sz w:val="16"/>
          <w:szCs w:val="16"/>
        </w:rPr>
        <w:t xml:space="preserve">  </w:t>
      </w:r>
      <w:r w:rsidRPr="00925F26">
        <w:rPr>
          <w:color w:val="000000" w:themeColor="text1"/>
          <w:sz w:val="16"/>
          <w:szCs w:val="16"/>
        </w:rPr>
        <w:t>— мае 1950</w:t>
      </w:r>
      <w:r w:rsidR="00997EDF" w:rsidRPr="00925F26">
        <w:rPr>
          <w:color w:val="000000" w:themeColor="text1"/>
          <w:sz w:val="16"/>
          <w:szCs w:val="16"/>
        </w:rPr>
        <w:t xml:space="preserve">  </w:t>
      </w:r>
      <w:r w:rsidRPr="00925F26">
        <w:rPr>
          <w:color w:val="000000" w:themeColor="text1"/>
          <w:sz w:val="16"/>
          <w:szCs w:val="16"/>
        </w:rPr>
        <w:t>г., а опытный образец 2М-3 завод №</w:t>
      </w:r>
      <w:r w:rsidR="00997EDF" w:rsidRPr="00925F26">
        <w:rPr>
          <w:color w:val="000000" w:themeColor="text1"/>
          <w:sz w:val="16"/>
          <w:szCs w:val="16"/>
        </w:rPr>
        <w:t xml:space="preserve">  </w:t>
      </w:r>
      <w:r w:rsidRPr="00925F26">
        <w:rPr>
          <w:color w:val="000000" w:themeColor="text1"/>
          <w:sz w:val="16"/>
          <w:szCs w:val="16"/>
        </w:rPr>
        <w:t>535 (г. Тула) изготовил в октябре 1950</w:t>
      </w:r>
      <w:r w:rsidR="00997EDF" w:rsidRPr="00925F26">
        <w:rPr>
          <w:color w:val="000000" w:themeColor="text1"/>
          <w:sz w:val="16"/>
          <w:szCs w:val="16"/>
        </w:rPr>
        <w:t xml:space="preserve">  </w:t>
      </w:r>
      <w:r w:rsidRPr="00925F26">
        <w:rPr>
          <w:color w:val="000000" w:themeColor="text1"/>
          <w:sz w:val="16"/>
          <w:szCs w:val="16"/>
        </w:rPr>
        <w:t>г. Гидропривод был изготовлен заводом №</w:t>
      </w:r>
      <w:r w:rsidR="00997EDF" w:rsidRPr="00925F26">
        <w:rPr>
          <w:color w:val="000000" w:themeColor="text1"/>
          <w:sz w:val="16"/>
          <w:szCs w:val="16"/>
        </w:rPr>
        <w:t xml:space="preserve">  </w:t>
      </w:r>
      <w:r w:rsidRPr="00925F26">
        <w:rPr>
          <w:color w:val="000000" w:themeColor="text1"/>
          <w:sz w:val="16"/>
          <w:szCs w:val="16"/>
        </w:rPr>
        <w:t>46 по чертежам ЦНИИ-173.</w:t>
      </w:r>
    </w:p>
    <w:p w14:paraId="01B87FF0" w14:textId="29E89D96" w:rsidR="004945E9" w:rsidRPr="00925F26" w:rsidRDefault="004945E9" w:rsidP="00925F26">
      <w:pPr>
        <w:jc w:val="both"/>
        <w:rPr>
          <w:color w:val="000000" w:themeColor="text1"/>
          <w:sz w:val="16"/>
          <w:szCs w:val="16"/>
        </w:rPr>
      </w:pPr>
      <w:r w:rsidRPr="00925F26">
        <w:rPr>
          <w:color w:val="000000" w:themeColor="text1"/>
          <w:sz w:val="16"/>
          <w:szCs w:val="16"/>
        </w:rPr>
        <w:t xml:space="preserve">Опытный образец завода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535</w:t>
      </w:r>
      <w:proofErr w:type="gramEnd"/>
      <w:r w:rsidRPr="00925F26">
        <w:rPr>
          <w:color w:val="000000" w:themeColor="text1"/>
          <w:sz w:val="16"/>
          <w:szCs w:val="16"/>
        </w:rPr>
        <w:t xml:space="preserve"> прошел объединенные заводские и полигонные испытания в </w:t>
      </w:r>
      <w:proofErr w:type="gramStart"/>
      <w:r w:rsidRPr="00925F26">
        <w:rPr>
          <w:color w:val="000000" w:themeColor="text1"/>
          <w:sz w:val="16"/>
          <w:szCs w:val="16"/>
        </w:rPr>
        <w:t>ноябре</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декабре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и их выдержал. Комиссия рекомендовала его на корабельные испытания.</w:t>
      </w:r>
    </w:p>
    <w:p w14:paraId="1E10C56C" w14:textId="426EE2CC" w:rsidR="004945E9" w:rsidRPr="00925F26" w:rsidRDefault="004945E9" w:rsidP="00925F26">
      <w:pPr>
        <w:jc w:val="both"/>
        <w:rPr>
          <w:color w:val="000000" w:themeColor="text1"/>
          <w:sz w:val="16"/>
          <w:szCs w:val="16"/>
        </w:rPr>
      </w:pPr>
      <w:r w:rsidRPr="00925F26">
        <w:rPr>
          <w:color w:val="000000" w:themeColor="text1"/>
          <w:sz w:val="16"/>
          <w:szCs w:val="16"/>
        </w:rPr>
        <w:t xml:space="preserve">В том же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завод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535</w:t>
      </w:r>
      <w:proofErr w:type="gramEnd"/>
      <w:r w:rsidRPr="00925F26">
        <w:rPr>
          <w:color w:val="000000" w:themeColor="text1"/>
          <w:sz w:val="16"/>
          <w:szCs w:val="16"/>
        </w:rPr>
        <w:t xml:space="preserve"> изготовил еще три опытные установки, которые прошли государственные корабельные испытания на торпедном катере проекта 183 с 26 января по 5 марта </w:t>
      </w:r>
      <w:proofErr w:type="gramStart"/>
      <w:r w:rsidRPr="00925F26">
        <w:rPr>
          <w:color w:val="000000" w:themeColor="text1"/>
          <w:sz w:val="16"/>
          <w:szCs w:val="16"/>
        </w:rPr>
        <w:t>1952</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Отмечена ненадежность автомата 110-ПМ и ряд других недостатков. По решению комиссии образец следовало доработать и провести повторные государственные корабельные испытания.</w:t>
      </w:r>
    </w:p>
    <w:p w14:paraId="047292A9" w14:textId="41E521EB" w:rsidR="004945E9" w:rsidRPr="00925F26" w:rsidRDefault="004945E9" w:rsidP="00925F26">
      <w:pPr>
        <w:jc w:val="both"/>
        <w:rPr>
          <w:color w:val="000000" w:themeColor="text1"/>
          <w:sz w:val="16"/>
          <w:szCs w:val="16"/>
        </w:rPr>
      </w:pPr>
      <w:r w:rsidRPr="00925F26">
        <w:rPr>
          <w:color w:val="000000" w:themeColor="text1"/>
          <w:sz w:val="16"/>
          <w:szCs w:val="16"/>
        </w:rPr>
        <w:t xml:space="preserve">Повторные государственные корабельные испытания были успешно проведены с 20 октября по 5 ноября </w:t>
      </w:r>
      <w:proofErr w:type="gramStart"/>
      <w:r w:rsidRPr="00925F26">
        <w:rPr>
          <w:color w:val="000000" w:themeColor="text1"/>
          <w:sz w:val="16"/>
          <w:szCs w:val="16"/>
        </w:rPr>
        <w:t>1952</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отчет о них утвержден 25 ноября </w:t>
      </w:r>
      <w:proofErr w:type="gramStart"/>
      <w:r w:rsidRPr="00925F26">
        <w:rPr>
          <w:color w:val="000000" w:themeColor="text1"/>
          <w:sz w:val="16"/>
          <w:szCs w:val="16"/>
        </w:rPr>
        <w:t>1952</w:t>
      </w:r>
      <w:r w:rsidR="00997EDF" w:rsidRPr="00925F26">
        <w:rPr>
          <w:color w:val="000000" w:themeColor="text1"/>
          <w:sz w:val="16"/>
          <w:szCs w:val="16"/>
        </w:rPr>
        <w:t xml:space="preserve">  </w:t>
      </w:r>
      <w:r w:rsidRPr="00925F26">
        <w:rPr>
          <w:color w:val="000000" w:themeColor="text1"/>
          <w:sz w:val="16"/>
          <w:szCs w:val="16"/>
        </w:rPr>
        <w:t>г.</w:t>
      </w:r>
      <w:proofErr w:type="gramEnd"/>
    </w:p>
    <w:p w14:paraId="3A712062" w14:textId="79D46BC3" w:rsidR="004945E9" w:rsidRPr="00925F26" w:rsidRDefault="004945E9" w:rsidP="00925F26">
      <w:pPr>
        <w:jc w:val="both"/>
        <w:rPr>
          <w:color w:val="000000" w:themeColor="text1"/>
          <w:sz w:val="16"/>
          <w:szCs w:val="16"/>
        </w:rPr>
      </w:pPr>
      <w:r w:rsidRPr="00925F26">
        <w:rPr>
          <w:color w:val="000000" w:themeColor="text1"/>
          <w:sz w:val="16"/>
          <w:szCs w:val="16"/>
        </w:rPr>
        <w:t>Установка 2М-3 с автоматом 110-ПМ была принята на вооружение постановлением Совмина №</w:t>
      </w:r>
      <w:r w:rsidR="00997EDF" w:rsidRPr="00925F26">
        <w:rPr>
          <w:color w:val="000000" w:themeColor="text1"/>
          <w:sz w:val="16"/>
          <w:szCs w:val="16"/>
        </w:rPr>
        <w:t xml:space="preserve">  </w:t>
      </w:r>
      <w:r w:rsidRPr="00925F26">
        <w:rPr>
          <w:color w:val="000000" w:themeColor="text1"/>
          <w:sz w:val="16"/>
          <w:szCs w:val="16"/>
        </w:rPr>
        <w:t>659–336 от 27 февраля 1953</w:t>
      </w:r>
      <w:r w:rsidR="00997EDF" w:rsidRPr="00925F26">
        <w:rPr>
          <w:color w:val="000000" w:themeColor="text1"/>
          <w:sz w:val="16"/>
          <w:szCs w:val="16"/>
        </w:rPr>
        <w:t xml:space="preserve">  </w:t>
      </w:r>
      <w:r w:rsidRPr="00925F26">
        <w:rPr>
          <w:color w:val="000000" w:themeColor="text1"/>
          <w:sz w:val="16"/>
          <w:szCs w:val="16"/>
        </w:rPr>
        <w:t>г. и приказом военно-морского министра №</w:t>
      </w:r>
      <w:r w:rsidR="00997EDF" w:rsidRPr="00925F26">
        <w:rPr>
          <w:color w:val="000000" w:themeColor="text1"/>
          <w:sz w:val="16"/>
          <w:szCs w:val="16"/>
        </w:rPr>
        <w:t xml:space="preserve">  </w:t>
      </w:r>
      <w:r w:rsidRPr="00925F26">
        <w:rPr>
          <w:color w:val="000000" w:themeColor="text1"/>
          <w:sz w:val="16"/>
          <w:szCs w:val="16"/>
        </w:rPr>
        <w:t>00</w:t>
      </w:r>
      <w:r w:rsidR="00997EDF" w:rsidRPr="00925F26">
        <w:rPr>
          <w:color w:val="000000" w:themeColor="text1"/>
          <w:sz w:val="16"/>
          <w:szCs w:val="16"/>
        </w:rPr>
        <w:t xml:space="preserve">  </w:t>
      </w:r>
      <w:r w:rsidRPr="00925F26">
        <w:rPr>
          <w:color w:val="000000" w:themeColor="text1"/>
          <w:sz w:val="16"/>
          <w:szCs w:val="16"/>
        </w:rPr>
        <w:t>159 от 5 марта 1953</w:t>
      </w:r>
      <w:r w:rsidR="00997EDF" w:rsidRPr="00925F26">
        <w:rPr>
          <w:color w:val="000000" w:themeColor="text1"/>
          <w:sz w:val="16"/>
          <w:szCs w:val="16"/>
        </w:rPr>
        <w:t xml:space="preserve">  </w:t>
      </w:r>
      <w:r w:rsidRPr="00925F26">
        <w:rPr>
          <w:color w:val="000000" w:themeColor="text1"/>
          <w:sz w:val="16"/>
          <w:szCs w:val="16"/>
        </w:rPr>
        <w:t>г.</w:t>
      </w:r>
    </w:p>
    <w:p w14:paraId="20F411EA" w14:textId="4CB85135" w:rsidR="004945E9" w:rsidRPr="00925F26" w:rsidRDefault="004945E9" w:rsidP="00925F26">
      <w:pPr>
        <w:jc w:val="both"/>
        <w:rPr>
          <w:color w:val="000000" w:themeColor="text1"/>
          <w:sz w:val="16"/>
          <w:szCs w:val="16"/>
        </w:rPr>
      </w:pPr>
      <w:r w:rsidRPr="00925F26">
        <w:rPr>
          <w:color w:val="000000" w:themeColor="text1"/>
          <w:sz w:val="16"/>
          <w:szCs w:val="16"/>
        </w:rPr>
        <w:t>Позже в ОКБ-43 модернизировали установку 2М-3. В частности, инженер Соколов</w:t>
      </w:r>
      <w:r w:rsidR="00997EDF" w:rsidRPr="00925F26">
        <w:rPr>
          <w:color w:val="000000" w:themeColor="text1"/>
          <w:sz w:val="16"/>
          <w:szCs w:val="16"/>
        </w:rPr>
        <w:t xml:space="preserve">  </w:t>
      </w:r>
      <w:r w:rsidRPr="00925F26">
        <w:rPr>
          <w:color w:val="000000" w:themeColor="text1"/>
          <w:sz w:val="16"/>
          <w:szCs w:val="16"/>
        </w:rPr>
        <w:t>К.</w:t>
      </w:r>
      <w:r w:rsidR="00997EDF" w:rsidRPr="00925F26">
        <w:rPr>
          <w:color w:val="000000" w:themeColor="text1"/>
          <w:sz w:val="16"/>
          <w:szCs w:val="16"/>
        </w:rPr>
        <w:t xml:space="preserve">  </w:t>
      </w:r>
      <w:r w:rsidRPr="00925F26">
        <w:rPr>
          <w:color w:val="000000" w:themeColor="text1"/>
          <w:sz w:val="16"/>
          <w:szCs w:val="16"/>
        </w:rPr>
        <w:t>И. переработал конструкцию автомата 110-ПМ, и в результате был получен автомат М-110 с темпом стрельбы 470–480 выстр/мин (на испытаниях).</w:t>
      </w:r>
    </w:p>
    <w:p w14:paraId="4E600E55" w14:textId="3AB06089" w:rsidR="004945E9" w:rsidRPr="00925F26" w:rsidRDefault="004945E9" w:rsidP="00925F26">
      <w:pPr>
        <w:jc w:val="both"/>
        <w:rPr>
          <w:color w:val="000000" w:themeColor="text1"/>
          <w:sz w:val="16"/>
          <w:szCs w:val="16"/>
        </w:rPr>
      </w:pPr>
      <w:r w:rsidRPr="00925F26">
        <w:rPr>
          <w:color w:val="000000" w:themeColor="text1"/>
          <w:sz w:val="16"/>
          <w:szCs w:val="16"/>
        </w:rPr>
        <w:t xml:space="preserve">Первые три опытные установки были изготовлены ОКБ-43, а с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производство 2М-3 и 2М-ЗМ велось на заводе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535</w:t>
      </w:r>
      <w:proofErr w:type="gramEnd"/>
      <w:r w:rsidRPr="00925F26">
        <w:rPr>
          <w:color w:val="000000" w:themeColor="text1"/>
          <w:sz w:val="16"/>
          <w:szCs w:val="16"/>
        </w:rPr>
        <w:t xml:space="preserve">. В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завод сдал 3 установки, в </w:t>
      </w:r>
      <w:proofErr w:type="gramStart"/>
      <w:r w:rsidRPr="00925F26">
        <w:rPr>
          <w:color w:val="000000" w:themeColor="text1"/>
          <w:sz w:val="16"/>
          <w:szCs w:val="16"/>
        </w:rPr>
        <w:t>1950</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4, в </w:t>
      </w:r>
      <w:proofErr w:type="gramStart"/>
      <w:r w:rsidRPr="00925F26">
        <w:rPr>
          <w:color w:val="000000" w:themeColor="text1"/>
          <w:sz w:val="16"/>
          <w:szCs w:val="16"/>
        </w:rPr>
        <w:t>1951</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46, в </w:t>
      </w:r>
      <w:proofErr w:type="gramStart"/>
      <w:r w:rsidRPr="00925F26">
        <w:rPr>
          <w:color w:val="000000" w:themeColor="text1"/>
          <w:sz w:val="16"/>
          <w:szCs w:val="16"/>
        </w:rPr>
        <w:t>1952</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173, в </w:t>
      </w:r>
      <w:proofErr w:type="gramStart"/>
      <w:r w:rsidRPr="00925F26">
        <w:rPr>
          <w:color w:val="000000" w:themeColor="text1"/>
          <w:sz w:val="16"/>
          <w:szCs w:val="16"/>
        </w:rPr>
        <w:t>1953</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177, в </w:t>
      </w:r>
      <w:proofErr w:type="gramStart"/>
      <w:r w:rsidRPr="00925F26">
        <w:rPr>
          <w:color w:val="000000" w:themeColor="text1"/>
          <w:sz w:val="16"/>
          <w:szCs w:val="16"/>
        </w:rPr>
        <w:t>1954</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275, в </w:t>
      </w:r>
      <w:proofErr w:type="gramStart"/>
      <w:r w:rsidRPr="00925F26">
        <w:rPr>
          <w:color w:val="000000" w:themeColor="text1"/>
          <w:sz w:val="16"/>
          <w:szCs w:val="16"/>
        </w:rPr>
        <w:t>1955</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406, в </w:t>
      </w:r>
      <w:proofErr w:type="gramStart"/>
      <w:r w:rsidRPr="00925F26">
        <w:rPr>
          <w:color w:val="000000" w:themeColor="text1"/>
          <w:sz w:val="16"/>
          <w:szCs w:val="16"/>
        </w:rPr>
        <w:t>1956</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305 и в </w:t>
      </w:r>
      <w:proofErr w:type="gramStart"/>
      <w:r w:rsidRPr="00925F26">
        <w:rPr>
          <w:color w:val="000000" w:themeColor="text1"/>
          <w:sz w:val="16"/>
          <w:szCs w:val="16"/>
        </w:rPr>
        <w:t>1957</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252 установки. Производство 2М-ЗМ было прекращено в </w:t>
      </w:r>
      <w:proofErr w:type="gramStart"/>
      <w:r w:rsidRPr="00925F26">
        <w:rPr>
          <w:color w:val="000000" w:themeColor="text1"/>
          <w:sz w:val="16"/>
          <w:szCs w:val="16"/>
        </w:rPr>
        <w:t>1984</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Отпускная цена одной установки в </w:t>
      </w:r>
      <w:proofErr w:type="gramStart"/>
      <w:r w:rsidRPr="00925F26">
        <w:rPr>
          <w:color w:val="000000" w:themeColor="text1"/>
          <w:sz w:val="16"/>
          <w:szCs w:val="16"/>
        </w:rPr>
        <w:t>1951</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составляла </w:t>
      </w:r>
      <w:proofErr w:type="gramStart"/>
      <w:r w:rsidRPr="00925F26">
        <w:rPr>
          <w:color w:val="000000" w:themeColor="text1"/>
          <w:sz w:val="16"/>
          <w:szCs w:val="16"/>
        </w:rPr>
        <w:t>527</w:t>
      </w:r>
      <w:r w:rsidR="00997EDF" w:rsidRPr="00925F26">
        <w:rPr>
          <w:color w:val="000000" w:themeColor="text1"/>
          <w:sz w:val="16"/>
          <w:szCs w:val="16"/>
        </w:rPr>
        <w:t xml:space="preserve">  </w:t>
      </w:r>
      <w:r w:rsidRPr="00925F26">
        <w:rPr>
          <w:color w:val="000000" w:themeColor="text1"/>
          <w:sz w:val="16"/>
          <w:szCs w:val="16"/>
        </w:rPr>
        <w:t>000</w:t>
      </w:r>
      <w:proofErr w:type="gramEnd"/>
      <w:r w:rsidRPr="00925F26">
        <w:rPr>
          <w:color w:val="000000" w:themeColor="text1"/>
          <w:sz w:val="16"/>
          <w:szCs w:val="16"/>
        </w:rPr>
        <w:t xml:space="preserve"> рублей, в </w:t>
      </w:r>
      <w:proofErr w:type="gramStart"/>
      <w:r w:rsidRPr="00925F26">
        <w:rPr>
          <w:color w:val="000000" w:themeColor="text1"/>
          <w:sz w:val="16"/>
          <w:szCs w:val="16"/>
        </w:rPr>
        <w:t>1954</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206</w:t>
      </w:r>
      <w:r w:rsidR="00997EDF" w:rsidRPr="00925F26">
        <w:rPr>
          <w:color w:val="000000" w:themeColor="text1"/>
          <w:sz w:val="16"/>
          <w:szCs w:val="16"/>
        </w:rPr>
        <w:t xml:space="preserve">  </w:t>
      </w:r>
      <w:r w:rsidRPr="00925F26">
        <w:rPr>
          <w:color w:val="000000" w:themeColor="text1"/>
          <w:sz w:val="16"/>
          <w:szCs w:val="16"/>
        </w:rPr>
        <w:t>000</w:t>
      </w:r>
      <w:proofErr w:type="gramEnd"/>
      <w:r w:rsidRPr="00925F26">
        <w:rPr>
          <w:color w:val="000000" w:themeColor="text1"/>
          <w:sz w:val="16"/>
          <w:szCs w:val="16"/>
        </w:rPr>
        <w:t xml:space="preserve"> рублей, а в </w:t>
      </w:r>
      <w:proofErr w:type="gramStart"/>
      <w:r w:rsidRPr="00925F26">
        <w:rPr>
          <w:color w:val="000000" w:themeColor="text1"/>
          <w:sz w:val="16"/>
          <w:szCs w:val="16"/>
        </w:rPr>
        <w:t>1955</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151</w:t>
      </w:r>
      <w:r w:rsidR="00997EDF" w:rsidRPr="00925F26">
        <w:rPr>
          <w:color w:val="000000" w:themeColor="text1"/>
          <w:sz w:val="16"/>
          <w:szCs w:val="16"/>
        </w:rPr>
        <w:t xml:space="preserve">  </w:t>
      </w:r>
      <w:r w:rsidRPr="00925F26">
        <w:rPr>
          <w:color w:val="000000" w:themeColor="text1"/>
          <w:sz w:val="16"/>
          <w:szCs w:val="16"/>
        </w:rPr>
        <w:t>780</w:t>
      </w:r>
      <w:proofErr w:type="gramEnd"/>
      <w:r w:rsidRPr="00925F26">
        <w:rPr>
          <w:color w:val="000000" w:themeColor="text1"/>
          <w:sz w:val="16"/>
          <w:szCs w:val="16"/>
        </w:rPr>
        <w:t xml:space="preserve"> рублей.</w:t>
      </w:r>
    </w:p>
    <w:p w14:paraId="5612A1ED" w14:textId="77777777" w:rsidR="004945E9" w:rsidRPr="00925F26" w:rsidRDefault="004945E9" w:rsidP="00925F26">
      <w:pPr>
        <w:jc w:val="both"/>
        <w:rPr>
          <w:color w:val="000000" w:themeColor="text1"/>
          <w:sz w:val="16"/>
          <w:szCs w:val="16"/>
        </w:rPr>
      </w:pPr>
      <w:r w:rsidRPr="00925F26">
        <w:rPr>
          <w:color w:val="000000" w:themeColor="text1"/>
          <w:sz w:val="16"/>
          <w:szCs w:val="16"/>
        </w:rPr>
        <w:t>Установки 2М-3 предназначались для вооружения катеров проектов 183 и 201, гражданских судов и вспомогательных судов ВМФ, в том числе проектов 431, 771, 562, 706, 437, 561,433, 514, 560, 512, 770 и др. Фактически артсистемы 2М-З и 2М-ЗМ были установлены более чем на 30 проектах кораблей и судов, состоявших на вооружении флотов десятков стран мира (12705).</w:t>
      </w:r>
    </w:p>
    <w:p w14:paraId="23DAF324" w14:textId="77777777" w:rsidR="004945E9" w:rsidRPr="00925F26" w:rsidRDefault="004945E9" w:rsidP="00925F26">
      <w:pPr>
        <w:jc w:val="both"/>
        <w:rPr>
          <w:color w:val="000000" w:themeColor="text1"/>
          <w:sz w:val="16"/>
          <w:szCs w:val="16"/>
        </w:rPr>
      </w:pPr>
    </w:p>
    <w:p w14:paraId="21AE71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вышло Распоряжение ГКО № 7592. О мерах по обеспечению производства кабельного пластиката для военно-полевых проводов. РГАНИР, Фонд ГКО, д. 373, лл. 55 (11012).</w:t>
      </w:r>
    </w:p>
    <w:p w14:paraId="3C353DFF" w14:textId="77777777" w:rsidR="00665165" w:rsidRPr="00925F26" w:rsidRDefault="00665165" w:rsidP="00925F26">
      <w:pPr>
        <w:autoSpaceDE w:val="0"/>
        <w:autoSpaceDN w:val="0"/>
        <w:adjustRightInd w:val="0"/>
        <w:jc w:val="both"/>
        <w:rPr>
          <w:color w:val="000000" w:themeColor="text1"/>
          <w:sz w:val="16"/>
          <w:szCs w:val="16"/>
        </w:rPr>
      </w:pPr>
    </w:p>
    <w:p w14:paraId="619833C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27 февраля 1945 вышло Распоряжение ГКО № 7593 [Об отгрузке деревообрабатывающих станков и электромоторов для строительства Лаборатории № 2 АН СССР.] (7310, 56,57).</w:t>
      </w:r>
    </w:p>
    <w:p w14:paraId="270758D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E74F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вышло Распоряжение ГКО № 7594. О передаче заводу № 79 НКБ примыкающей земельной площади. РГАНИР, Фонд ГКО, д. 373, лл. 58 (11012).</w:t>
      </w:r>
    </w:p>
    <w:p w14:paraId="47F3DB93" w14:textId="77777777" w:rsidR="00665165" w:rsidRPr="00925F26" w:rsidRDefault="00665165" w:rsidP="00925F26">
      <w:pPr>
        <w:autoSpaceDE w:val="0"/>
        <w:autoSpaceDN w:val="0"/>
        <w:adjustRightInd w:val="0"/>
        <w:jc w:val="both"/>
        <w:rPr>
          <w:color w:val="000000" w:themeColor="text1"/>
          <w:sz w:val="16"/>
          <w:szCs w:val="16"/>
        </w:rPr>
      </w:pPr>
    </w:p>
    <w:p w14:paraId="713B61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вышло Распоряжение ГКО № 7595. О продлении на 1945 г. порядка отпуска нефти Красноусольскому заводу НКПСМ. РГАНИР, Фонд ГКО, д. 373, лл. 59 (11012).</w:t>
      </w:r>
    </w:p>
    <w:p w14:paraId="0E0EE610" w14:textId="77777777" w:rsidR="00665165" w:rsidRPr="00925F26" w:rsidRDefault="00665165" w:rsidP="00925F26">
      <w:pPr>
        <w:autoSpaceDE w:val="0"/>
        <w:autoSpaceDN w:val="0"/>
        <w:adjustRightInd w:val="0"/>
        <w:jc w:val="both"/>
        <w:rPr>
          <w:color w:val="000000" w:themeColor="text1"/>
          <w:sz w:val="16"/>
          <w:szCs w:val="16"/>
        </w:rPr>
      </w:pPr>
    </w:p>
    <w:p w14:paraId="6C9CB99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февраля 1945 вышло Распоряжение ГКО № 7596 [О дополнительном выделении бензина Управлению промкооперации при СНК РСФСР для подвоза живицы к железнодорожным станциям и пристаням.] (7310, 60).</w:t>
      </w:r>
    </w:p>
    <w:p w14:paraId="5387F40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1A875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вышло Распоряжение ГКО № 7597. О перевозках нефтепродуктов для заводов НКВ. РГАНИР, Фонд ГКО, д. 373, лл. 61-62 (11012).</w:t>
      </w:r>
    </w:p>
    <w:p w14:paraId="56AE8143" w14:textId="77777777" w:rsidR="00665165" w:rsidRPr="00925F26" w:rsidRDefault="00665165" w:rsidP="00925F26">
      <w:pPr>
        <w:autoSpaceDE w:val="0"/>
        <w:autoSpaceDN w:val="0"/>
        <w:adjustRightInd w:val="0"/>
        <w:jc w:val="both"/>
        <w:rPr>
          <w:color w:val="000000" w:themeColor="text1"/>
          <w:sz w:val="16"/>
          <w:szCs w:val="16"/>
        </w:rPr>
      </w:pPr>
    </w:p>
    <w:p w14:paraId="7FA1C1E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февраля 1945 вышло Постановление ГКО № 7598 О нанесении знаков и надписей на трофейный железнодорожный подвижной состав. (7310, 63-64).</w:t>
      </w:r>
    </w:p>
    <w:p w14:paraId="7B99921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8652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г. было написано академика А.Н.Несмеянова в "Комитет по премиям имени тов. И.В.Сталина" - представление М.И.Кабачника к награждению этой премией "за исследования в области элементоорганических соединений". М.И.Кабачнику была присуждена Сталинская премия I степени 1946 года за создание новейшего фосфорорганического ОВ - зарина (9067).</w:t>
      </w:r>
    </w:p>
    <w:p w14:paraId="3527139A" w14:textId="77777777" w:rsidR="00665165" w:rsidRPr="00925F26" w:rsidRDefault="00665165" w:rsidP="00925F26">
      <w:pPr>
        <w:autoSpaceDE w:val="0"/>
        <w:autoSpaceDN w:val="0"/>
        <w:adjustRightInd w:val="0"/>
        <w:jc w:val="both"/>
        <w:rPr>
          <w:color w:val="000000" w:themeColor="text1"/>
          <w:sz w:val="16"/>
          <w:szCs w:val="16"/>
        </w:rPr>
      </w:pPr>
    </w:p>
    <w:p w14:paraId="3727D0D0" w14:textId="77777777" w:rsidR="005903D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D829B8D" w14:textId="77777777" w:rsidR="005903DB" w:rsidRPr="00925F26" w:rsidRDefault="005903DB" w:rsidP="00925F26">
      <w:pPr>
        <w:autoSpaceDE w:val="0"/>
        <w:autoSpaceDN w:val="0"/>
        <w:adjustRightInd w:val="0"/>
        <w:jc w:val="both"/>
        <w:rPr>
          <w:iCs/>
          <w:color w:val="000000" w:themeColor="text1"/>
          <w:sz w:val="16"/>
          <w:szCs w:val="16"/>
        </w:rPr>
      </w:pPr>
    </w:p>
    <w:p w14:paraId="6696177C" w14:textId="77777777" w:rsidR="005903DB" w:rsidRPr="00925F26" w:rsidRDefault="005903DB" w:rsidP="00925F26">
      <w:pPr>
        <w:jc w:val="both"/>
        <w:rPr>
          <w:color w:val="000000" w:themeColor="text1"/>
          <w:sz w:val="16"/>
          <w:szCs w:val="16"/>
        </w:rPr>
      </w:pPr>
      <w:r w:rsidRPr="00925F26">
        <w:rPr>
          <w:color w:val="000000" w:themeColor="text1"/>
          <w:sz w:val="16"/>
          <w:szCs w:val="16"/>
        </w:rPr>
        <w:t>27 февраля в 1945 году оперативная сводка Совинформбюро:</w:t>
      </w:r>
    </w:p>
    <w:p w14:paraId="270FD0C8" w14:textId="77777777" w:rsidR="005903DB" w:rsidRPr="00925F26" w:rsidRDefault="005903DB"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сломили сопротивление противника западнее города Хойнице (Конитц) и за четыре дня наступательных боёв продвинулись вперёд до 70 километров.</w:t>
      </w:r>
    </w:p>
    <w:p w14:paraId="24C94F3E" w14:textId="77777777" w:rsidR="005903DB" w:rsidRPr="00925F26" w:rsidRDefault="005903DB" w:rsidP="00925F26">
      <w:pPr>
        <w:jc w:val="both"/>
        <w:rPr>
          <w:color w:val="000000" w:themeColor="text1"/>
          <w:sz w:val="16"/>
          <w:szCs w:val="16"/>
        </w:rPr>
      </w:pPr>
      <w:r w:rsidRPr="00925F26">
        <w:rPr>
          <w:color w:val="000000" w:themeColor="text1"/>
          <w:sz w:val="16"/>
          <w:szCs w:val="16"/>
        </w:rPr>
        <w:t>В ходе наступления войска фронта на территории Померании овладели городами Шлохау, Штегерс, Хаммерштайн, Бальденберг, Бублиц —важными узлами коммуникаций и сильными опорными пунктами обороны немцев, а также с боями заняли более 100 других населённых пунктов, среди которых крупные населённые пункты Полльнитц, Цехлан, Ферстенау, Дравен, Гросс и Клайн-Кюдде.</w:t>
      </w:r>
    </w:p>
    <w:p w14:paraId="59F1B50B" w14:textId="77777777" w:rsidR="005903DB" w:rsidRPr="00925F26" w:rsidRDefault="005903DB" w:rsidP="00925F26">
      <w:pPr>
        <w:jc w:val="both"/>
        <w:rPr>
          <w:color w:val="000000" w:themeColor="text1"/>
          <w:sz w:val="16"/>
          <w:szCs w:val="16"/>
        </w:rPr>
      </w:pPr>
      <w:r w:rsidRPr="00925F26">
        <w:rPr>
          <w:color w:val="000000" w:themeColor="text1"/>
          <w:sz w:val="16"/>
          <w:szCs w:val="16"/>
        </w:rPr>
        <w:t>В Бреслау наши войска, продолжая бои по уничтожению окружённой в городе группировки противника, заняли 12 кварталов.</w:t>
      </w:r>
    </w:p>
    <w:p w14:paraId="28BB57B1" w14:textId="77777777" w:rsidR="005903DB" w:rsidRPr="00925F26" w:rsidRDefault="005903DB" w:rsidP="00925F26">
      <w:pPr>
        <w:jc w:val="both"/>
        <w:rPr>
          <w:color w:val="000000" w:themeColor="text1"/>
          <w:sz w:val="16"/>
          <w:szCs w:val="16"/>
        </w:rPr>
      </w:pPr>
      <w:r w:rsidRPr="00925F26">
        <w:rPr>
          <w:color w:val="000000" w:themeColor="text1"/>
          <w:sz w:val="16"/>
          <w:szCs w:val="16"/>
        </w:rPr>
        <w:t>На территории Чехословакии северо-западнее и западнее города Лученец наши войска, действуя в трудных условиях горно-лесистой местности в полосе Карпат, с боями заняли населённые пункты Вигляш, Звол Слатина, Боровины, Грабов Грунь, Оремов Лаз, Сеноград, Младонице.</w:t>
      </w:r>
    </w:p>
    <w:p w14:paraId="361FDBF8" w14:textId="77777777" w:rsidR="005903DB" w:rsidRPr="00925F26" w:rsidRDefault="005903DB" w:rsidP="00925F26">
      <w:pPr>
        <w:jc w:val="both"/>
        <w:rPr>
          <w:color w:val="000000" w:themeColor="text1"/>
          <w:sz w:val="16"/>
          <w:szCs w:val="16"/>
        </w:rPr>
      </w:pPr>
      <w:r w:rsidRPr="00925F26">
        <w:rPr>
          <w:color w:val="000000" w:themeColor="text1"/>
          <w:sz w:val="16"/>
          <w:szCs w:val="16"/>
        </w:rPr>
        <w:t>На других участках фронта—поиски разведчиков и в ряде пунктов бои местного значения.</w:t>
      </w:r>
    </w:p>
    <w:p w14:paraId="7F469B8C" w14:textId="77777777" w:rsidR="005903DB" w:rsidRPr="00925F26" w:rsidRDefault="005903DB" w:rsidP="00925F26">
      <w:pPr>
        <w:jc w:val="both"/>
        <w:rPr>
          <w:color w:val="000000" w:themeColor="text1"/>
          <w:sz w:val="16"/>
          <w:szCs w:val="16"/>
        </w:rPr>
      </w:pPr>
      <w:r w:rsidRPr="00925F26">
        <w:rPr>
          <w:color w:val="000000" w:themeColor="text1"/>
          <w:sz w:val="16"/>
          <w:szCs w:val="16"/>
        </w:rPr>
        <w:t>За 26 февраля на всех фронтах подбито и уничтожено 66 немецких танков. В воздушных боях и огнём зенитной артиллерии сбито 6 самолётов противника.</w:t>
      </w:r>
    </w:p>
    <w:p w14:paraId="52CA3D9F" w14:textId="77777777" w:rsidR="005903DB" w:rsidRPr="00925F26" w:rsidRDefault="005903DB" w:rsidP="00925F26">
      <w:pPr>
        <w:jc w:val="both"/>
        <w:rPr>
          <w:color w:val="000000" w:themeColor="text1"/>
          <w:sz w:val="16"/>
          <w:szCs w:val="16"/>
        </w:rPr>
      </w:pPr>
      <w:r w:rsidRPr="00925F26">
        <w:rPr>
          <w:color w:val="000000" w:themeColor="text1"/>
          <w:sz w:val="16"/>
          <w:szCs w:val="16"/>
        </w:rPr>
        <w:t>Войска 2-го Белорусского фронта стремительными ударами сломили сопротивление противника западнее города Хойнице (Конитц). Немцы располагали здесь выгодными, заранее подготовленными позициями. Лесистая местность, изобилующая реками и озёрами, крайне затрудняла действия наших наступающих частей. Советская пехота, поддержанная артиллерией, преодолела несколько оборонительных рубежей противника. Ожесточённые бои произошли за город Шлохау — сильный опорный пункт вражеской обороны. С востока город прикрывают озёра. На северных и южных подступах к нему немцы построили долговременные оборонительные укрепления. Совершив обходный манёвр, наши части обошли озеро и ворвались на улицы Шлохау. В упорных боях вражеский гарнизон был разгромлён. Город Шлохау — важный узел железных и шоссейных дорог — занят нашими войсками. В бреши, образовавшиеся в немецкой обороне, устремились наши подвижные соединения и пехота. Советские пехотинцы и танкисты выбили немцев из городов Хаммерштайн и Штегерс, уничтожив при этом свыше 2 тысяч солдат и офицеров противника, 22 танка, 46 орудий и 7 бронетранспортёров. Захвачено много трофеев и пленных.</w:t>
      </w:r>
    </w:p>
    <w:p w14:paraId="33AAEF07" w14:textId="77777777" w:rsidR="005903DB" w:rsidRPr="00925F26" w:rsidRDefault="005903DB" w:rsidP="00925F26">
      <w:pPr>
        <w:jc w:val="both"/>
        <w:rPr>
          <w:color w:val="000000" w:themeColor="text1"/>
          <w:sz w:val="16"/>
          <w:szCs w:val="16"/>
        </w:rPr>
      </w:pPr>
      <w:r w:rsidRPr="00925F26">
        <w:rPr>
          <w:color w:val="000000" w:themeColor="text1"/>
          <w:sz w:val="16"/>
          <w:szCs w:val="16"/>
        </w:rPr>
        <w:t>Развивая успех, войска фронта стремительно продвинулись вперёд и овладели городом Бублиц— узлом трёх железных и нескольких шоссейных дорог. Город Бублиц находится в 45—50 километрах от побережья Балтийского моря. Противник, отступающий под ударами наших войск, несёт большие потери в живой силе и технике.</w:t>
      </w:r>
    </w:p>
    <w:p w14:paraId="3FA0B975" w14:textId="77777777" w:rsidR="005903DB" w:rsidRPr="00925F26" w:rsidRDefault="005903DB" w:rsidP="00925F26">
      <w:pPr>
        <w:jc w:val="both"/>
        <w:rPr>
          <w:color w:val="000000" w:themeColor="text1"/>
          <w:sz w:val="16"/>
          <w:szCs w:val="16"/>
        </w:rPr>
      </w:pPr>
      <w:r w:rsidRPr="00925F26">
        <w:rPr>
          <w:color w:val="000000" w:themeColor="text1"/>
          <w:sz w:val="16"/>
          <w:szCs w:val="16"/>
        </w:rPr>
        <w:t>В Бреслау наши войска вели бои по ликвидации окружённой в городе группировки противника. Немцы предприняли несколько попыток вернуть потерянные ими вчера позиции. Все вражеские контратаки отбиты с большими для противника потерями. Наши штурмовые отряды, продвигаясь вперед, очистили от гитлеровцев 12 кварталов и район стадиона.</w:t>
      </w:r>
    </w:p>
    <w:p w14:paraId="13F79626" w14:textId="77777777" w:rsidR="005903DB" w:rsidRPr="00925F26" w:rsidRDefault="005903DB" w:rsidP="00925F26">
      <w:pPr>
        <w:jc w:val="both"/>
        <w:rPr>
          <w:color w:val="000000" w:themeColor="text1"/>
          <w:sz w:val="16"/>
          <w:szCs w:val="16"/>
        </w:rPr>
      </w:pPr>
      <w:r w:rsidRPr="00925F26">
        <w:rPr>
          <w:color w:val="000000" w:themeColor="text1"/>
          <w:sz w:val="16"/>
          <w:szCs w:val="16"/>
        </w:rPr>
        <w:t>В боях с врагом советские воины проявляют доблесть и геройство. Группа немецкой пехоты, поддержанная шестью танками и бронетранспортёрами, контратаковала подразделение гвардии старшего лейтенанта Воронцова. Советские гвардейцы в ожесточённой схватке истребили 80 гитлеровцев, уничтожили 2 бронетранспортёра и захватили в плен 50 немецких солдат и офицеров. В этом бою особенно отличился рядовой Филиппов. Он подполз к вражескому бронетранспортёру и бросил в него гранату. Гитлеровцы начали выскакивать из машины. Очередями из автомата т. Филиппов уничтожил 19 немецких солдат и водителя бронетранспортёра.</w:t>
      </w:r>
    </w:p>
    <w:p w14:paraId="1C47DEB6" w14:textId="77777777" w:rsidR="005903DB" w:rsidRPr="00925F26" w:rsidRDefault="005903DB" w:rsidP="00925F26">
      <w:pPr>
        <w:jc w:val="both"/>
        <w:rPr>
          <w:color w:val="000000" w:themeColor="text1"/>
          <w:sz w:val="16"/>
          <w:szCs w:val="16"/>
        </w:rPr>
      </w:pPr>
      <w:r w:rsidRPr="00925F26">
        <w:rPr>
          <w:color w:val="000000" w:themeColor="text1"/>
          <w:sz w:val="16"/>
          <w:szCs w:val="16"/>
        </w:rPr>
        <w:t>На одном участке 4-го Украинского фронта пехота и самоходные орудия противника предприняли разведку боем. Стрелки подразделения капитана Мамонтова и артиллеристы подразделения старшего лейтенанта Зинько встретили перешедших в атаку гитлеровцев артиллерийским и пулемётным огнём. Немцы поспешно отступили, оставив на подступах к нашим позициям десятки трупов своих солдат и два подбитых самоходных орудия.</w:t>
      </w:r>
    </w:p>
    <w:p w14:paraId="0C37BAB8" w14:textId="77777777" w:rsidR="005903DB" w:rsidRPr="00925F26" w:rsidRDefault="005903DB" w:rsidP="00925F26">
      <w:pPr>
        <w:jc w:val="both"/>
        <w:rPr>
          <w:color w:val="000000" w:themeColor="text1"/>
          <w:sz w:val="16"/>
          <w:szCs w:val="16"/>
        </w:rPr>
      </w:pPr>
      <w:r w:rsidRPr="00925F26">
        <w:rPr>
          <w:color w:val="000000" w:themeColor="text1"/>
          <w:sz w:val="16"/>
          <w:szCs w:val="16"/>
        </w:rPr>
        <w:t>Восточнее Франкфурта-на-Одере взят в плен инспектор инженерных сооружений укреплённого района Циленциг немецкий майор Бойн. Пленный рассказал: «Немецкое командование возлагало большие надежды на укреплённый район Циленциг. Предполагалось, что его будут оборонять дивизии, отступавшие от Вислы. Но эти дивизии не пришли, мы так и не дождались их. Они попали в «котлы» и были уничтожены Красной Армией. Тогда командование спешно направило для защиты города свежие кадровые части и много батальонов фольксштурма. Я специалист по строительству укреплений и работаю в этой области много лет. Сознаюсь: я никогда не верил, что русские смогут прорвать нашу оборону. Так думал не я один. Многие специалисты уверяли, что вторжение русских в Германию с Востока невозможно. Даже после страшной сталинградской катастрофы, наконец, после крушения Центрального фронта летом 1944 года мы ещё продолжали верить, что укрепления на Висле и на границе Германии непреодолимы. Однако нас постигло горькое разочарование. Русские прорвали нашу оборону, как на Висле, так и на границах Германии. Удары советских войск деморализовали солдат. Многие из них теперь говорят: «Мы нигде не удержимся, русская пехота и танки сметут нас» (15053).</w:t>
      </w:r>
    </w:p>
    <w:p w14:paraId="5102ED13" w14:textId="77777777" w:rsidR="005903DB" w:rsidRPr="00925F26" w:rsidRDefault="005903DB" w:rsidP="00925F26">
      <w:pPr>
        <w:jc w:val="both"/>
        <w:rPr>
          <w:color w:val="000000" w:themeColor="text1"/>
          <w:sz w:val="16"/>
          <w:szCs w:val="16"/>
        </w:rPr>
      </w:pPr>
    </w:p>
    <w:p w14:paraId="557AE7E6"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27 февраля 1945 го</w:t>
      </w:r>
      <w:r w:rsidRPr="001A0BAA">
        <w:rPr>
          <w:rStyle w:val="70"/>
          <w:rFonts w:ascii="Times New Roman" w:cs="Times New Roman"/>
          <w:color w:val="0070C0"/>
          <w:spacing w:val="0"/>
          <w:sz w:val="16"/>
          <w:szCs w:val="16"/>
        </w:rPr>
        <w:softHyphen/>
        <w:t>да в 16-й Воз</w:t>
      </w:r>
      <w:r w:rsidRPr="001A0BAA">
        <w:rPr>
          <w:rStyle w:val="70"/>
          <w:rFonts w:ascii="Times New Roman" w:eastAsia="Courier New" w:cs="Times New Roman"/>
          <w:color w:val="0070C0"/>
          <w:spacing w:val="0"/>
          <w:sz w:val="16"/>
          <w:szCs w:val="16"/>
        </w:rPr>
        <w:t>д</w:t>
      </w:r>
      <w:r w:rsidRPr="001A0BAA">
        <w:rPr>
          <w:rStyle w:val="70"/>
          <w:rFonts w:ascii="Times New Roman" w:cs="Times New Roman"/>
          <w:color w:val="0070C0"/>
          <w:spacing w:val="0"/>
          <w:sz w:val="16"/>
          <w:szCs w:val="16"/>
        </w:rPr>
        <w:t xml:space="preserve">ушной Армии (ВА) </w:t>
      </w:r>
      <w:r w:rsidRPr="001A0BAA">
        <w:rPr>
          <w:rStyle w:val="70"/>
          <w:rFonts w:ascii="Times New Roman" w:eastAsia="Courier New" w:cs="Times New Roman"/>
          <w:color w:val="0070C0"/>
          <w:spacing w:val="0"/>
          <w:sz w:val="16"/>
          <w:szCs w:val="16"/>
        </w:rPr>
        <w:t xml:space="preserve">прошла </w:t>
      </w:r>
      <w:r w:rsidRPr="001A0BAA">
        <w:rPr>
          <w:rStyle w:val="70"/>
          <w:rFonts w:ascii="Times New Roman" w:cs="Times New Roman"/>
          <w:color w:val="0070C0"/>
          <w:spacing w:val="0"/>
          <w:sz w:val="16"/>
          <w:szCs w:val="16"/>
        </w:rPr>
        <w:t>конференция на тему: «</w:t>
      </w:r>
      <w:r w:rsidRPr="001A0BAA">
        <w:rPr>
          <w:rStyle w:val="70"/>
          <w:rFonts w:ascii="Times New Roman" w:eastAsia="Courier New" w:cs="Times New Roman"/>
          <w:color w:val="0070C0"/>
          <w:spacing w:val="0"/>
          <w:sz w:val="16"/>
          <w:szCs w:val="16"/>
        </w:rPr>
        <w:t xml:space="preserve">Борьба поршневых </w:t>
      </w:r>
      <w:r w:rsidRPr="001A0BAA">
        <w:rPr>
          <w:rStyle w:val="70"/>
          <w:rFonts w:ascii="Times New Roman" w:cs="Times New Roman"/>
          <w:color w:val="0070C0"/>
          <w:spacing w:val="0"/>
          <w:sz w:val="16"/>
          <w:szCs w:val="16"/>
        </w:rPr>
        <w:t>истребителей ВВС РККА п</w:t>
      </w:r>
      <w:r w:rsidRPr="001A0BAA">
        <w:rPr>
          <w:rStyle w:val="70"/>
          <w:rFonts w:ascii="Times New Roman" w:eastAsia="Courier New" w:cs="Times New Roman"/>
          <w:color w:val="0070C0"/>
          <w:spacing w:val="0"/>
          <w:sz w:val="16"/>
          <w:szCs w:val="16"/>
        </w:rPr>
        <w:t>р</w:t>
      </w:r>
      <w:r w:rsidRPr="001A0BAA">
        <w:rPr>
          <w:rStyle w:val="70"/>
          <w:rFonts w:ascii="Times New Roman" w:cs="Times New Roman"/>
          <w:color w:val="0070C0"/>
          <w:spacing w:val="0"/>
          <w:sz w:val="16"/>
          <w:szCs w:val="16"/>
        </w:rPr>
        <w:t xml:space="preserve">отив новой реактивной техники противника». Открыл конференцию </w:t>
      </w:r>
      <w:r w:rsidRPr="001A0BAA">
        <w:rPr>
          <w:rStyle w:val="70"/>
          <w:rFonts w:ascii="Times New Roman" w:eastAsia="Courier New" w:cs="Times New Roman"/>
          <w:color w:val="0070C0"/>
          <w:spacing w:val="0"/>
          <w:sz w:val="16"/>
          <w:szCs w:val="16"/>
        </w:rPr>
        <w:t>к</w:t>
      </w:r>
      <w:r w:rsidRPr="001A0BAA">
        <w:rPr>
          <w:rStyle w:val="70"/>
          <w:rFonts w:ascii="Times New Roman" w:cs="Times New Roman"/>
          <w:color w:val="0070C0"/>
          <w:spacing w:val="0"/>
          <w:sz w:val="16"/>
          <w:szCs w:val="16"/>
        </w:rPr>
        <w:t>омандующий 16-й ВА гене</w:t>
      </w:r>
      <w:r w:rsidRPr="001A0BAA">
        <w:rPr>
          <w:rStyle w:val="70"/>
          <w:rFonts w:ascii="Times New Roman" w:eastAsia="Courier New" w:cs="Times New Roman"/>
          <w:color w:val="0070C0"/>
          <w:spacing w:val="0"/>
          <w:sz w:val="16"/>
          <w:szCs w:val="16"/>
        </w:rPr>
        <w:t>рал-nолковник а</w:t>
      </w:r>
      <w:r w:rsidRPr="001A0BAA">
        <w:rPr>
          <w:rStyle w:val="70"/>
          <w:rFonts w:ascii="Times New Roman" w:cs="Times New Roman"/>
          <w:color w:val="0070C0"/>
          <w:spacing w:val="0"/>
          <w:sz w:val="16"/>
          <w:szCs w:val="16"/>
        </w:rPr>
        <w:t>виации С. И. Руденко.</w:t>
      </w:r>
    </w:p>
    <w:p w14:paraId="671F4C6D"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«Мы собрал</w:t>
      </w:r>
      <w:r w:rsidRPr="001A0BAA">
        <w:rPr>
          <w:rStyle w:val="70"/>
          <w:rFonts w:ascii="Times New Roman" w:eastAsia="Courier New" w:cs="Times New Roman"/>
          <w:color w:val="0070C0"/>
          <w:spacing w:val="0"/>
          <w:sz w:val="16"/>
          <w:szCs w:val="16"/>
        </w:rPr>
        <w:t>и</w:t>
      </w:r>
      <w:r w:rsidRPr="001A0BAA">
        <w:rPr>
          <w:rStyle w:val="70"/>
          <w:rFonts w:ascii="Times New Roman" w:cs="Times New Roman"/>
          <w:color w:val="0070C0"/>
          <w:spacing w:val="0"/>
          <w:sz w:val="16"/>
          <w:szCs w:val="16"/>
        </w:rPr>
        <w:t>сь для тог</w:t>
      </w:r>
      <w:r w:rsidRPr="001A0BAA">
        <w:rPr>
          <w:rStyle w:val="70"/>
          <w:rFonts w:ascii="Times New Roman" w:eastAsia="Courier New" w:cs="Times New Roman"/>
          <w:color w:val="0070C0"/>
          <w:spacing w:val="0"/>
          <w:sz w:val="16"/>
          <w:szCs w:val="16"/>
        </w:rPr>
        <w:t>о</w:t>
      </w:r>
      <w:r w:rsidRPr="001A0BAA">
        <w:rPr>
          <w:rStyle w:val="70"/>
          <w:rFonts w:ascii="Times New Roman" w:cs="Times New Roman"/>
          <w:color w:val="0070C0"/>
          <w:spacing w:val="0"/>
          <w:sz w:val="16"/>
          <w:szCs w:val="16"/>
        </w:rPr>
        <w:t>, — произнес Сергей Игнатьевич, - чтобы поговорить о некоторых особенностях борьбы со скорост</w:t>
      </w:r>
      <w:r w:rsidRPr="001A0BAA">
        <w:rPr>
          <w:rStyle w:val="70"/>
          <w:rFonts w:ascii="Times New Roman" w:cs="Times New Roman"/>
          <w:color w:val="0070C0"/>
          <w:spacing w:val="0"/>
          <w:sz w:val="16"/>
          <w:szCs w:val="16"/>
        </w:rPr>
        <w:softHyphen/>
        <w:t>ными не</w:t>
      </w:r>
      <w:r w:rsidRPr="001A0BAA">
        <w:rPr>
          <w:rStyle w:val="70"/>
          <w:rFonts w:ascii="Times New Roman" w:eastAsia="Courier New" w:cs="Times New Roman"/>
          <w:color w:val="0070C0"/>
          <w:spacing w:val="0"/>
          <w:sz w:val="16"/>
          <w:szCs w:val="16"/>
        </w:rPr>
        <w:t>м</w:t>
      </w:r>
      <w:r w:rsidRPr="001A0BAA">
        <w:rPr>
          <w:rStyle w:val="70"/>
          <w:rFonts w:ascii="Times New Roman" w:cs="Times New Roman"/>
          <w:color w:val="0070C0"/>
          <w:spacing w:val="0"/>
          <w:sz w:val="16"/>
          <w:szCs w:val="16"/>
        </w:rPr>
        <w:t>ецк</w:t>
      </w:r>
      <w:r w:rsidRPr="001A0BAA">
        <w:rPr>
          <w:rStyle w:val="70"/>
          <w:rFonts w:ascii="Times New Roman" w:eastAsia="Courier New" w:cs="Times New Roman"/>
          <w:color w:val="0070C0"/>
          <w:spacing w:val="0"/>
          <w:sz w:val="16"/>
          <w:szCs w:val="16"/>
        </w:rPr>
        <w:t>и</w:t>
      </w:r>
      <w:r w:rsidRPr="001A0BAA">
        <w:rPr>
          <w:rStyle w:val="70"/>
          <w:rFonts w:ascii="Times New Roman" w:cs="Times New Roman"/>
          <w:color w:val="0070C0"/>
          <w:spacing w:val="0"/>
          <w:sz w:val="16"/>
          <w:szCs w:val="16"/>
        </w:rPr>
        <w:t>м</w:t>
      </w:r>
      <w:r w:rsidRPr="001A0BAA">
        <w:rPr>
          <w:rStyle w:val="70"/>
          <w:rFonts w:ascii="Times New Roman" w:eastAsia="Courier New" w:cs="Times New Roman"/>
          <w:color w:val="0070C0"/>
          <w:spacing w:val="0"/>
          <w:sz w:val="16"/>
          <w:szCs w:val="16"/>
        </w:rPr>
        <w:t xml:space="preserve">и </w:t>
      </w:r>
      <w:r w:rsidRPr="001A0BAA">
        <w:rPr>
          <w:rStyle w:val="70"/>
          <w:rFonts w:ascii="Times New Roman" w:cs="Times New Roman"/>
          <w:color w:val="0070C0"/>
          <w:spacing w:val="0"/>
          <w:sz w:val="16"/>
          <w:szCs w:val="16"/>
        </w:rPr>
        <w:t>самолетами, в том числе с «Мессершмиами-262», имеющими реакт</w:t>
      </w:r>
      <w:r w:rsidRPr="001A0BAA">
        <w:rPr>
          <w:rStyle w:val="70"/>
          <w:rFonts w:ascii="Times New Roman" w:eastAsia="Courier New" w:cs="Times New Roman"/>
          <w:color w:val="0070C0"/>
          <w:spacing w:val="0"/>
          <w:sz w:val="16"/>
          <w:szCs w:val="16"/>
        </w:rPr>
        <w:t>и</w:t>
      </w:r>
      <w:r w:rsidRPr="001A0BAA">
        <w:rPr>
          <w:rStyle w:val="70"/>
          <w:rFonts w:ascii="Times New Roman" w:cs="Times New Roman"/>
          <w:color w:val="0070C0"/>
          <w:spacing w:val="0"/>
          <w:sz w:val="16"/>
          <w:szCs w:val="16"/>
        </w:rPr>
        <w:t>вные дв</w:t>
      </w:r>
      <w:r w:rsidRPr="001A0BAA">
        <w:rPr>
          <w:rStyle w:val="70"/>
          <w:rFonts w:ascii="Times New Roman" w:eastAsia="Courier New" w:cs="Times New Roman"/>
          <w:color w:val="0070C0"/>
          <w:spacing w:val="0"/>
          <w:sz w:val="16"/>
          <w:szCs w:val="16"/>
        </w:rPr>
        <w:t>и</w:t>
      </w:r>
      <w:r w:rsidRPr="001A0BAA">
        <w:rPr>
          <w:rStyle w:val="70"/>
          <w:rFonts w:ascii="Times New Roman" w:cs="Times New Roman"/>
          <w:color w:val="0070C0"/>
          <w:spacing w:val="0"/>
          <w:sz w:val="16"/>
          <w:szCs w:val="16"/>
        </w:rPr>
        <w:t>гатели. Некотор</w:t>
      </w:r>
      <w:r w:rsidRPr="001A0BAA">
        <w:rPr>
          <w:rStyle w:val="70"/>
          <w:rFonts w:ascii="Times New Roman" w:eastAsia="Courier New" w:cs="Times New Roman"/>
          <w:color w:val="0070C0"/>
          <w:spacing w:val="0"/>
          <w:sz w:val="16"/>
          <w:szCs w:val="16"/>
        </w:rPr>
        <w:t>ы</w:t>
      </w:r>
      <w:r w:rsidRPr="001A0BAA">
        <w:rPr>
          <w:rStyle w:val="70"/>
          <w:rFonts w:ascii="Times New Roman" w:cs="Times New Roman"/>
          <w:color w:val="0070C0"/>
          <w:spacing w:val="0"/>
          <w:sz w:val="16"/>
          <w:szCs w:val="16"/>
        </w:rPr>
        <w:t>е из прис</w:t>
      </w:r>
      <w:r w:rsidRPr="001A0BAA">
        <w:rPr>
          <w:rStyle w:val="70"/>
          <w:rFonts w:ascii="Times New Roman" w:eastAsia="Courier New" w:cs="Times New Roman"/>
          <w:color w:val="0070C0"/>
          <w:spacing w:val="0"/>
          <w:sz w:val="16"/>
          <w:szCs w:val="16"/>
        </w:rPr>
        <w:t>у</w:t>
      </w:r>
      <w:r w:rsidRPr="001A0BAA">
        <w:rPr>
          <w:rStyle w:val="70"/>
          <w:rFonts w:ascii="Times New Roman" w:cs="Times New Roman"/>
          <w:color w:val="0070C0"/>
          <w:spacing w:val="0"/>
          <w:sz w:val="16"/>
          <w:szCs w:val="16"/>
        </w:rPr>
        <w:t>тствующих здесь товарищей уже встречались с такими самолётами в воздухе. Хотелось бы, чтобы эти лётчики поделились своими впе</w:t>
      </w:r>
      <w:r w:rsidRPr="001A0BAA">
        <w:rPr>
          <w:rStyle w:val="70"/>
          <w:rFonts w:ascii="Times New Roman" w:cs="Times New Roman"/>
          <w:color w:val="0070C0"/>
          <w:spacing w:val="0"/>
          <w:sz w:val="16"/>
          <w:szCs w:val="16"/>
        </w:rPr>
        <w:softHyphen/>
        <w:t>чатлениями о воздушных боях, рассказали, как выглядят новые вражеские самолеты в полете, какая необходима тактика, чтобы лучше поражать и сбивать их. Этого требуют интересы окончательной победы над немецко-фашистской Германией».</w:t>
      </w:r>
    </w:p>
    <w:p w14:paraId="36C3E4B0"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Вслед за ним выступил помощник коман</w:t>
      </w:r>
      <w:r w:rsidRPr="001A0BAA">
        <w:rPr>
          <w:rStyle w:val="70"/>
          <w:rFonts w:ascii="Times New Roman" w:cs="Times New Roman"/>
          <w:color w:val="0070C0"/>
          <w:spacing w:val="0"/>
          <w:sz w:val="16"/>
          <w:szCs w:val="16"/>
        </w:rPr>
        <w:softHyphen/>
        <w:t>дира 3-го истребительного авиакорпуса под</w:t>
      </w:r>
      <w:r w:rsidRPr="001A0BAA">
        <w:rPr>
          <w:rStyle w:val="70"/>
          <w:rFonts w:ascii="Times New Roman" w:cs="Times New Roman"/>
          <w:color w:val="0070C0"/>
          <w:spacing w:val="0"/>
          <w:sz w:val="16"/>
          <w:szCs w:val="16"/>
        </w:rPr>
        <w:softHyphen/>
        <w:t>полковник А.И. Новиков, которому тоже довелось повстречать реактивный истреби</w:t>
      </w:r>
      <w:r w:rsidRPr="001A0BAA">
        <w:rPr>
          <w:rStyle w:val="70"/>
          <w:rFonts w:ascii="Times New Roman" w:cs="Times New Roman"/>
          <w:color w:val="0070C0"/>
          <w:spacing w:val="0"/>
          <w:sz w:val="16"/>
          <w:szCs w:val="16"/>
        </w:rPr>
        <w:softHyphen/>
        <w:t>тель. Подводя итог своего выстуnления, Алек</w:t>
      </w:r>
      <w:r w:rsidRPr="001A0BAA">
        <w:rPr>
          <w:rStyle w:val="70"/>
          <w:rFonts w:ascii="Times New Roman" w:cs="Times New Roman"/>
          <w:color w:val="0070C0"/>
          <w:spacing w:val="0"/>
          <w:sz w:val="16"/>
          <w:szCs w:val="16"/>
        </w:rPr>
        <w:softHyphen/>
        <w:t>сей Иванович дал несколько советов по тех</w:t>
      </w:r>
      <w:r w:rsidRPr="001A0BAA">
        <w:rPr>
          <w:rStyle w:val="70"/>
          <w:rFonts w:ascii="Times New Roman" w:cs="Times New Roman"/>
          <w:color w:val="0070C0"/>
          <w:spacing w:val="0"/>
          <w:sz w:val="16"/>
          <w:szCs w:val="16"/>
        </w:rPr>
        <w:softHyphen/>
        <w:t>нике борьбы с новыми самолётами:</w:t>
      </w:r>
    </w:p>
    <w:p w14:paraId="14290DC8"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«Во-первых, атаковать, используя только метод внезапности, лучше со стороны солн</w:t>
      </w:r>
      <w:r w:rsidRPr="001A0BAA">
        <w:rPr>
          <w:rStyle w:val="70"/>
          <w:rFonts w:ascii="Times New Roman" w:cs="Times New Roman"/>
          <w:color w:val="0070C0"/>
          <w:spacing w:val="0"/>
          <w:sz w:val="16"/>
          <w:szCs w:val="16"/>
        </w:rPr>
        <w:softHyphen/>
        <w:t>ца.</w:t>
      </w:r>
    </w:p>
    <w:p w14:paraId="06025CF8"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 xml:space="preserve">Во-вторых, при ведении боя необходимо использовать маневр своего самолёта, </w:t>
      </w:r>
      <w:proofErr w:type="gramStart"/>
      <w:r w:rsidRPr="001A0BAA">
        <w:rPr>
          <w:rStyle w:val="70"/>
          <w:rFonts w:ascii="Times New Roman" w:cs="Times New Roman"/>
          <w:color w:val="0070C0"/>
          <w:spacing w:val="0"/>
          <w:sz w:val="16"/>
          <w:szCs w:val="16"/>
        </w:rPr>
        <w:t>что бы</w:t>
      </w:r>
      <w:proofErr w:type="gramEnd"/>
      <w:r w:rsidRPr="001A0BAA">
        <w:rPr>
          <w:rStyle w:val="70"/>
          <w:rFonts w:ascii="Times New Roman" w:cs="Times New Roman"/>
          <w:color w:val="0070C0"/>
          <w:spacing w:val="0"/>
          <w:sz w:val="16"/>
          <w:szCs w:val="16"/>
        </w:rPr>
        <w:t xml:space="preserve"> не допустить прицельного ведения огня противником. Во время атаки врага необхо</w:t>
      </w:r>
      <w:r w:rsidRPr="001A0BAA">
        <w:rPr>
          <w:rStyle w:val="70"/>
          <w:rFonts w:ascii="Times New Roman" w:cs="Times New Roman"/>
          <w:color w:val="0070C0"/>
          <w:spacing w:val="0"/>
          <w:sz w:val="16"/>
          <w:szCs w:val="16"/>
        </w:rPr>
        <w:softHyphen/>
        <w:t>димо сделать поворот и, когда атакующий проскочит вперёд, только тогда открывать пушечный огонь».</w:t>
      </w:r>
    </w:p>
    <w:p w14:paraId="23B5491F"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Новиков также отметил довольно плохую маневренность этого самолёта из-за очень большой скорости. По его мнению, прицел, стоявший на советских самолетах, был при</w:t>
      </w:r>
      <w:r w:rsidRPr="001A0BAA">
        <w:rPr>
          <w:rStyle w:val="70"/>
          <w:rFonts w:ascii="Times New Roman" w:cs="Times New Roman"/>
          <w:color w:val="0070C0"/>
          <w:spacing w:val="0"/>
          <w:sz w:val="16"/>
          <w:szCs w:val="16"/>
        </w:rPr>
        <w:softHyphen/>
        <w:t>годен для стрельбы по новым самолётам противника лишь с коротких дистанций. На дальних расстояниях вести огонь было бес</w:t>
      </w:r>
      <w:r w:rsidRPr="001A0BAA">
        <w:rPr>
          <w:rStyle w:val="70"/>
          <w:rFonts w:ascii="Times New Roman" w:cs="Times New Roman"/>
          <w:color w:val="0070C0"/>
          <w:spacing w:val="0"/>
          <w:sz w:val="16"/>
          <w:szCs w:val="16"/>
        </w:rPr>
        <w:softHyphen/>
        <w:t>смысленно, но переделывать прицел специ</w:t>
      </w:r>
      <w:r w:rsidRPr="001A0BAA">
        <w:rPr>
          <w:rStyle w:val="70"/>
          <w:rFonts w:ascii="Times New Roman" w:cs="Times New Roman"/>
          <w:color w:val="0070C0"/>
          <w:spacing w:val="0"/>
          <w:sz w:val="16"/>
          <w:szCs w:val="16"/>
        </w:rPr>
        <w:softHyphen/>
        <w:t>ально для борьбы с новым самолетом про</w:t>
      </w:r>
      <w:r w:rsidRPr="001A0BAA">
        <w:rPr>
          <w:rStyle w:val="70"/>
          <w:rFonts w:ascii="Times New Roman" w:cs="Times New Roman"/>
          <w:color w:val="0070C0"/>
          <w:spacing w:val="0"/>
          <w:sz w:val="16"/>
          <w:szCs w:val="16"/>
        </w:rPr>
        <w:softHyphen/>
        <w:t>тивника не следовало.</w:t>
      </w:r>
    </w:p>
    <w:p w14:paraId="7CC2F87C" w14:textId="77777777" w:rsidR="00425843" w:rsidRPr="001A0BAA" w:rsidRDefault="00425843" w:rsidP="00425843">
      <w:pPr>
        <w:jc w:val="both"/>
        <w:rPr>
          <w:rStyle w:val="70"/>
          <w:rFonts w:ascii="Times New Roman" w:cs="Times New Roman"/>
          <w:color w:val="0070C0"/>
          <w:spacing w:val="0"/>
          <w:sz w:val="16"/>
          <w:szCs w:val="16"/>
        </w:rPr>
      </w:pPr>
      <w:r w:rsidRPr="001A0BAA">
        <w:rPr>
          <w:rStyle w:val="70"/>
          <w:rFonts w:ascii="Times New Roman" w:cs="Times New Roman"/>
          <w:color w:val="0070C0"/>
          <w:spacing w:val="0"/>
          <w:sz w:val="16"/>
          <w:szCs w:val="16"/>
        </w:rPr>
        <w:t>Командир 176-го гвардейского иап подполковник В.Н. Макаров так описал свою встречу с Ме.262. Валентин Николаевич согласился с Но</w:t>
      </w:r>
      <w:r w:rsidRPr="001A0BAA">
        <w:rPr>
          <w:rStyle w:val="70"/>
          <w:rFonts w:ascii="Times New Roman" w:cs="Times New Roman"/>
          <w:color w:val="0070C0"/>
          <w:spacing w:val="0"/>
          <w:sz w:val="16"/>
          <w:szCs w:val="16"/>
        </w:rPr>
        <w:softHyphen/>
        <w:t xml:space="preserve">виковым: «для </w:t>
      </w:r>
      <w:proofErr w:type="gramStart"/>
      <w:r w:rsidRPr="001A0BAA">
        <w:rPr>
          <w:rStyle w:val="70"/>
          <w:rFonts w:ascii="Times New Roman" w:cs="Times New Roman"/>
          <w:color w:val="0070C0"/>
          <w:spacing w:val="0"/>
          <w:sz w:val="16"/>
          <w:szCs w:val="16"/>
        </w:rPr>
        <w:t>того</w:t>
      </w:r>
      <w:proofErr w:type="gramEnd"/>
      <w:r w:rsidRPr="001A0BAA">
        <w:rPr>
          <w:rStyle w:val="70"/>
          <w:rFonts w:ascii="Times New Roman" w:cs="Times New Roman"/>
          <w:color w:val="0070C0"/>
          <w:spacing w:val="0"/>
          <w:sz w:val="16"/>
          <w:szCs w:val="16"/>
        </w:rPr>
        <w:t xml:space="preserve"> чтобы сбить такой само</w:t>
      </w:r>
      <w:r w:rsidRPr="001A0BAA">
        <w:rPr>
          <w:rStyle w:val="70"/>
          <w:rFonts w:ascii="Times New Roman" w:cs="Times New Roman"/>
          <w:color w:val="0070C0"/>
          <w:spacing w:val="0"/>
          <w:sz w:val="16"/>
          <w:szCs w:val="16"/>
        </w:rPr>
        <w:softHyphen/>
        <w:t>лет, требовался фактор внезапности, ис</w:t>
      </w:r>
      <w:r w:rsidRPr="001A0BAA">
        <w:rPr>
          <w:rStyle w:val="70"/>
          <w:rFonts w:ascii="Times New Roman" w:cs="Times New Roman"/>
          <w:color w:val="0070C0"/>
          <w:spacing w:val="0"/>
          <w:sz w:val="16"/>
          <w:szCs w:val="16"/>
        </w:rPr>
        <w:softHyphen/>
        <w:t>пользуя солнце и облака». По мнению Мака</w:t>
      </w:r>
      <w:r w:rsidRPr="001A0BAA">
        <w:rPr>
          <w:rStyle w:val="70"/>
          <w:rFonts w:ascii="Times New Roman" w:cs="Times New Roman"/>
          <w:color w:val="0070C0"/>
          <w:spacing w:val="0"/>
          <w:sz w:val="16"/>
          <w:szCs w:val="16"/>
        </w:rPr>
        <w:softHyphen/>
        <w:t>рова, одной из слабых черт машины был плохой обзор пилота, в особенности нижней полусферы.</w:t>
      </w:r>
    </w:p>
    <w:p w14:paraId="5EC39F29"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Также Макаров внес предложение о том, что на задания по уничтожению Ме.262 не</w:t>
      </w:r>
      <w:r w:rsidRPr="001A0BAA">
        <w:rPr>
          <w:rStyle w:val="70"/>
          <w:rFonts w:ascii="Times New Roman" w:cs="Times New Roman"/>
          <w:color w:val="0070C0"/>
          <w:spacing w:val="0"/>
          <w:sz w:val="16"/>
          <w:szCs w:val="16"/>
        </w:rPr>
        <w:softHyphen/>
        <w:t>обходимо посылать пары или четверки, так как ими управлять легче, нежели большими группами. И о том, что боевой порядок при сопровождении штурмовиков и бомбардировщиков необходимо строить так, чтобы не дать возможность противнику внезапно ата</w:t>
      </w:r>
      <w:r w:rsidRPr="001A0BAA">
        <w:rPr>
          <w:rStyle w:val="70"/>
          <w:rFonts w:ascii="Times New Roman" w:cs="Times New Roman"/>
          <w:color w:val="0070C0"/>
          <w:spacing w:val="0"/>
          <w:sz w:val="16"/>
          <w:szCs w:val="16"/>
        </w:rPr>
        <w:softHyphen/>
        <w:t>ковать. Группы следует усилить и оттянуть их назад.</w:t>
      </w:r>
    </w:p>
    <w:p w14:paraId="11BDDA50"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От 53-го гвардейского иап в конференции участвовали майор И.И. Кобьrлецкий и ка</w:t>
      </w:r>
      <w:r w:rsidRPr="001A0BAA">
        <w:rPr>
          <w:rStyle w:val="70"/>
          <w:rFonts w:ascii="Times New Roman" w:cs="Times New Roman"/>
          <w:color w:val="0070C0"/>
          <w:spacing w:val="0"/>
          <w:sz w:val="16"/>
          <w:szCs w:val="16"/>
        </w:rPr>
        <w:softHyphen/>
        <w:t>питан Г.С. Дубенок. И. И. Кобылецкий пред</w:t>
      </w:r>
      <w:r w:rsidRPr="001A0BAA">
        <w:rPr>
          <w:rStyle w:val="70"/>
          <w:rFonts w:ascii="Times New Roman" w:cs="Times New Roman"/>
          <w:color w:val="0070C0"/>
          <w:spacing w:val="0"/>
          <w:sz w:val="16"/>
          <w:szCs w:val="16"/>
        </w:rPr>
        <w:softHyphen/>
        <w:t>ложил изучить маршруты полетов против</w:t>
      </w:r>
      <w:r w:rsidRPr="001A0BAA">
        <w:rPr>
          <w:rStyle w:val="70"/>
          <w:rFonts w:ascii="Times New Roman" w:cs="Times New Roman"/>
          <w:color w:val="0070C0"/>
          <w:spacing w:val="0"/>
          <w:sz w:val="16"/>
          <w:szCs w:val="16"/>
        </w:rPr>
        <w:softHyphen/>
        <w:t>ника и организовать засаду, чтобы застиг</w:t>
      </w:r>
      <w:r w:rsidRPr="001A0BAA">
        <w:rPr>
          <w:rStyle w:val="70"/>
          <w:rFonts w:ascii="Times New Roman" w:cs="Times New Roman"/>
          <w:color w:val="0070C0"/>
          <w:spacing w:val="0"/>
          <w:sz w:val="16"/>
          <w:szCs w:val="16"/>
        </w:rPr>
        <w:softHyphen/>
        <w:t>нуть противника врасплох и, взяв инициативу воздушного боя в свои руки, сбить или принудить к посадке самолет врага.</w:t>
      </w:r>
    </w:p>
    <w:p w14:paraId="3B6CF08D" w14:textId="77777777" w:rsidR="00425843" w:rsidRPr="001A0BAA" w:rsidRDefault="00425843" w:rsidP="00425843">
      <w:pPr>
        <w:jc w:val="both"/>
        <w:rPr>
          <w:rStyle w:val="70"/>
          <w:rFonts w:ascii="Times New Roman" w:cs="Times New Roman"/>
          <w:color w:val="0070C0"/>
          <w:spacing w:val="0"/>
          <w:sz w:val="16"/>
          <w:szCs w:val="16"/>
        </w:rPr>
      </w:pPr>
      <w:r w:rsidRPr="001A0BAA">
        <w:rPr>
          <w:rStyle w:val="70"/>
          <w:rFonts w:ascii="Times New Roman" w:cs="Times New Roman"/>
          <w:color w:val="0070C0"/>
          <w:spacing w:val="0"/>
          <w:sz w:val="16"/>
          <w:szCs w:val="16"/>
        </w:rPr>
        <w:lastRenderedPageBreak/>
        <w:t>Капитан Г.С. Дубенок напротив, развил мысль В.Н. Макарова о том, что для успеш</w:t>
      </w:r>
      <w:r w:rsidRPr="001A0BAA">
        <w:rPr>
          <w:rStyle w:val="70"/>
          <w:rFonts w:ascii="Times New Roman" w:cs="Times New Roman"/>
          <w:color w:val="0070C0"/>
          <w:spacing w:val="0"/>
          <w:sz w:val="16"/>
          <w:szCs w:val="16"/>
        </w:rPr>
        <w:softHyphen/>
        <w:t>ной борьбы с противником надо использо</w:t>
      </w:r>
      <w:r w:rsidRPr="001A0BAA">
        <w:rPr>
          <w:rStyle w:val="70"/>
          <w:rFonts w:ascii="Times New Roman" w:cs="Times New Roman"/>
          <w:color w:val="0070C0"/>
          <w:spacing w:val="0"/>
          <w:sz w:val="16"/>
          <w:szCs w:val="16"/>
        </w:rPr>
        <w:softHyphen/>
        <w:t>вать все преимущества построения строя штурмовиков и истребителей.</w:t>
      </w:r>
    </w:p>
    <w:p w14:paraId="5D55219F" w14:textId="77777777" w:rsidR="00425843" w:rsidRPr="001A0BAA" w:rsidRDefault="00425843" w:rsidP="00425843">
      <w:pPr>
        <w:jc w:val="both"/>
        <w:rPr>
          <w:color w:val="0070C0"/>
          <w:sz w:val="16"/>
          <w:szCs w:val="16"/>
        </w:rPr>
      </w:pPr>
      <w:r w:rsidRPr="001A0BAA">
        <w:rPr>
          <w:rStyle w:val="114"/>
          <w:rFonts w:ascii="Times New Roman" w:eastAsia="Trebuchet MS" w:hAnsi="Times New Roman"/>
          <w:color w:val="0070C0"/>
          <w:sz w:val="16"/>
          <w:szCs w:val="16"/>
        </w:rPr>
        <w:t>К тому же одна или две пары истребите</w:t>
      </w:r>
      <w:r w:rsidRPr="001A0BAA">
        <w:rPr>
          <w:rStyle w:val="114"/>
          <w:rFonts w:ascii="Times New Roman" w:eastAsia="Trebuchet MS" w:hAnsi="Times New Roman"/>
          <w:color w:val="0070C0"/>
          <w:sz w:val="16"/>
          <w:szCs w:val="16"/>
        </w:rPr>
        <w:softHyphen/>
        <w:t>лей должны следовать впереди основной группы и уничтожать истребители против</w:t>
      </w:r>
      <w:r w:rsidRPr="001A0BAA">
        <w:rPr>
          <w:rStyle w:val="114"/>
          <w:rFonts w:ascii="Times New Roman" w:eastAsia="Trebuchet MS" w:hAnsi="Times New Roman"/>
          <w:color w:val="0070C0"/>
          <w:sz w:val="16"/>
          <w:szCs w:val="16"/>
        </w:rPr>
        <w:softHyphen/>
        <w:t>ника, которые будут проноситься на боль</w:t>
      </w:r>
      <w:r w:rsidRPr="001A0BAA">
        <w:rPr>
          <w:rStyle w:val="114"/>
          <w:rFonts w:ascii="Times New Roman" w:eastAsia="Trebuchet MS" w:hAnsi="Times New Roman"/>
          <w:color w:val="0070C0"/>
          <w:sz w:val="16"/>
          <w:szCs w:val="16"/>
        </w:rPr>
        <w:softHyphen/>
        <w:t>шой скорости сквозь строй бомбардировщи</w:t>
      </w:r>
      <w:r w:rsidRPr="001A0BAA">
        <w:rPr>
          <w:rStyle w:val="114"/>
          <w:rFonts w:ascii="Times New Roman" w:eastAsia="Trebuchet MS" w:hAnsi="Times New Roman"/>
          <w:color w:val="0070C0"/>
          <w:sz w:val="16"/>
          <w:szCs w:val="16"/>
        </w:rPr>
        <w:softHyphen/>
        <w:t xml:space="preserve">ков или штурмовиков. Атаки в </w:t>
      </w:r>
      <w:r w:rsidRPr="001A0BAA">
        <w:rPr>
          <w:rStyle w:val="114"/>
          <w:rFonts w:ascii="Times New Roman" w:eastAsia="Courier New" w:hAnsi="Times New Roman"/>
          <w:color w:val="0070C0"/>
          <w:sz w:val="16"/>
          <w:szCs w:val="16"/>
        </w:rPr>
        <w:t>л</w:t>
      </w:r>
      <w:r w:rsidRPr="001A0BAA">
        <w:rPr>
          <w:rStyle w:val="114"/>
          <w:rFonts w:ascii="Times New Roman" w:eastAsia="Trebuchet MS" w:hAnsi="Times New Roman"/>
          <w:color w:val="0070C0"/>
          <w:sz w:val="16"/>
          <w:szCs w:val="16"/>
        </w:rPr>
        <w:t xml:space="preserve">об </w:t>
      </w:r>
      <w:r w:rsidRPr="001A0BAA">
        <w:rPr>
          <w:rStyle w:val="114"/>
          <w:rFonts w:ascii="Times New Roman" w:eastAsia="Courier New" w:hAnsi="Times New Roman"/>
          <w:color w:val="0070C0"/>
          <w:sz w:val="16"/>
          <w:szCs w:val="16"/>
        </w:rPr>
        <w:t>мало</w:t>
      </w:r>
      <w:r w:rsidRPr="001A0BAA">
        <w:rPr>
          <w:rStyle w:val="114"/>
          <w:rFonts w:ascii="Times New Roman" w:eastAsia="Courier New" w:hAnsi="Times New Roman"/>
          <w:color w:val="0070C0"/>
          <w:sz w:val="16"/>
          <w:szCs w:val="16"/>
        </w:rPr>
        <w:softHyphen/>
        <w:t xml:space="preserve">опытными летчиками </w:t>
      </w:r>
      <w:r w:rsidRPr="001A0BAA">
        <w:rPr>
          <w:rStyle w:val="114"/>
          <w:rFonts w:ascii="Times New Roman" w:eastAsia="Trebuchet MS" w:hAnsi="Times New Roman"/>
          <w:color w:val="0070C0"/>
          <w:sz w:val="16"/>
          <w:szCs w:val="16"/>
        </w:rPr>
        <w:t>безуспе</w:t>
      </w:r>
      <w:r w:rsidRPr="001A0BAA">
        <w:rPr>
          <w:rStyle w:val="114"/>
          <w:rFonts w:ascii="Times New Roman" w:eastAsia="Courier New" w:hAnsi="Times New Roman"/>
          <w:color w:val="0070C0"/>
          <w:sz w:val="16"/>
          <w:szCs w:val="16"/>
        </w:rPr>
        <w:t>ш</w:t>
      </w:r>
      <w:r w:rsidRPr="001A0BAA">
        <w:rPr>
          <w:rStyle w:val="114"/>
          <w:rFonts w:ascii="Times New Roman" w:eastAsia="Trebuchet MS" w:hAnsi="Times New Roman"/>
          <w:color w:val="0070C0"/>
          <w:sz w:val="16"/>
          <w:szCs w:val="16"/>
        </w:rPr>
        <w:t>н</w:t>
      </w:r>
      <w:r w:rsidRPr="001A0BAA">
        <w:rPr>
          <w:rStyle w:val="114"/>
          <w:rFonts w:ascii="Times New Roman" w:eastAsia="Courier New" w:hAnsi="Times New Roman"/>
          <w:color w:val="0070C0"/>
          <w:sz w:val="16"/>
          <w:szCs w:val="16"/>
        </w:rPr>
        <w:t>ы</w:t>
      </w:r>
      <w:r w:rsidRPr="001A0BAA">
        <w:rPr>
          <w:rStyle w:val="114"/>
          <w:rFonts w:ascii="Times New Roman" w:eastAsia="Trebuchet MS" w:hAnsi="Times New Roman"/>
          <w:color w:val="0070C0"/>
          <w:sz w:val="16"/>
          <w:szCs w:val="16"/>
        </w:rPr>
        <w:t xml:space="preserve">, </w:t>
      </w:r>
      <w:r w:rsidRPr="001A0BAA">
        <w:rPr>
          <w:rStyle w:val="114"/>
          <w:rFonts w:ascii="Times New Roman" w:eastAsia="Courier New" w:hAnsi="Times New Roman"/>
          <w:color w:val="0070C0"/>
          <w:sz w:val="16"/>
          <w:szCs w:val="16"/>
        </w:rPr>
        <w:t xml:space="preserve">так как </w:t>
      </w:r>
      <w:r w:rsidRPr="001A0BAA">
        <w:rPr>
          <w:rStyle w:val="114"/>
          <w:rFonts w:ascii="Times New Roman" w:eastAsia="Trebuchet MS" w:hAnsi="Times New Roman"/>
          <w:color w:val="0070C0"/>
          <w:sz w:val="16"/>
          <w:szCs w:val="16"/>
        </w:rPr>
        <w:t xml:space="preserve">их продолжительность столь </w:t>
      </w:r>
      <w:r w:rsidRPr="001A0BAA">
        <w:rPr>
          <w:rStyle w:val="114"/>
          <w:rFonts w:ascii="Times New Roman" w:eastAsia="Courier New" w:hAnsi="Times New Roman"/>
          <w:color w:val="0070C0"/>
          <w:sz w:val="16"/>
          <w:szCs w:val="16"/>
        </w:rPr>
        <w:t xml:space="preserve">мала, </w:t>
      </w:r>
      <w:r w:rsidRPr="001A0BAA">
        <w:rPr>
          <w:rStyle w:val="114"/>
          <w:rFonts w:ascii="Times New Roman" w:eastAsia="Trebuchet MS" w:hAnsi="Times New Roman"/>
          <w:color w:val="0070C0"/>
          <w:sz w:val="16"/>
          <w:szCs w:val="16"/>
        </w:rPr>
        <w:t>что нео</w:t>
      </w:r>
      <w:r w:rsidRPr="001A0BAA">
        <w:rPr>
          <w:rStyle w:val="114"/>
          <w:rFonts w:ascii="Times New Roman" w:eastAsia="Trebuchet MS" w:hAnsi="Times New Roman"/>
          <w:color w:val="0070C0"/>
          <w:sz w:val="16"/>
          <w:szCs w:val="16"/>
        </w:rPr>
        <w:softHyphen/>
        <w:t xml:space="preserve">пытный пилот не сможет прицелиться </w:t>
      </w:r>
      <w:r w:rsidRPr="001A0BAA">
        <w:rPr>
          <w:rStyle w:val="114"/>
          <w:rFonts w:ascii="Times New Roman" w:eastAsia="Courier New" w:hAnsi="Times New Roman"/>
          <w:color w:val="0070C0"/>
          <w:sz w:val="16"/>
          <w:szCs w:val="16"/>
        </w:rPr>
        <w:t xml:space="preserve">и </w:t>
      </w:r>
      <w:r w:rsidRPr="001A0BAA">
        <w:rPr>
          <w:rStyle w:val="114"/>
          <w:rFonts w:ascii="Times New Roman" w:eastAsia="Trebuchet MS" w:hAnsi="Times New Roman"/>
          <w:color w:val="0070C0"/>
          <w:sz w:val="16"/>
          <w:szCs w:val="16"/>
        </w:rPr>
        <w:t>по</w:t>
      </w:r>
      <w:r w:rsidRPr="001A0BAA">
        <w:rPr>
          <w:rStyle w:val="114"/>
          <w:rFonts w:ascii="Times New Roman" w:eastAsia="Trebuchet MS" w:hAnsi="Times New Roman"/>
          <w:color w:val="0070C0"/>
          <w:sz w:val="16"/>
          <w:szCs w:val="16"/>
        </w:rPr>
        <w:softHyphen/>
      </w:r>
      <w:r w:rsidRPr="001A0BAA">
        <w:rPr>
          <w:rStyle w:val="114"/>
          <w:rFonts w:ascii="Times New Roman" w:eastAsia="Courier New" w:hAnsi="Times New Roman"/>
          <w:color w:val="0070C0"/>
          <w:sz w:val="16"/>
          <w:szCs w:val="16"/>
        </w:rPr>
        <w:t>разить цель.</w:t>
      </w:r>
    </w:p>
    <w:p w14:paraId="25F7A6C8" w14:textId="77777777" w:rsidR="00425843" w:rsidRPr="001A0BAA" w:rsidRDefault="00425843" w:rsidP="00425843">
      <w:pPr>
        <w:jc w:val="both"/>
        <w:rPr>
          <w:color w:val="0070C0"/>
          <w:sz w:val="16"/>
          <w:szCs w:val="16"/>
        </w:rPr>
      </w:pPr>
      <w:r w:rsidRPr="001A0BAA">
        <w:rPr>
          <w:rStyle w:val="70"/>
          <w:rFonts w:ascii="Times New Roman" w:cs="Times New Roman"/>
          <w:color w:val="0070C0"/>
          <w:spacing w:val="0"/>
          <w:sz w:val="16"/>
          <w:szCs w:val="16"/>
        </w:rPr>
        <w:t>Выступавшие на конференции пшюты были единодушны в том, что прицел на самолете менять не надо, но вести огонь следует только под малыми ракурсами (25113).</w:t>
      </w:r>
    </w:p>
    <w:p w14:paraId="28C60E37" w14:textId="77777777" w:rsidR="00425843" w:rsidRPr="001A0BAA" w:rsidRDefault="00425843" w:rsidP="00425843">
      <w:pPr>
        <w:jc w:val="both"/>
        <w:rPr>
          <w:color w:val="0070C0"/>
          <w:sz w:val="16"/>
          <w:szCs w:val="16"/>
        </w:rPr>
      </w:pPr>
    </w:p>
    <w:p w14:paraId="784DCFA2" w14:textId="77777777" w:rsidR="005903D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C2382F8" w14:textId="77777777" w:rsidR="005903DB" w:rsidRPr="00925F26" w:rsidRDefault="005903DB" w:rsidP="00925F26">
      <w:pPr>
        <w:autoSpaceDE w:val="0"/>
        <w:autoSpaceDN w:val="0"/>
        <w:adjustRightInd w:val="0"/>
        <w:jc w:val="both"/>
        <w:rPr>
          <w:iCs/>
          <w:color w:val="000000" w:themeColor="text1"/>
          <w:sz w:val="16"/>
          <w:szCs w:val="16"/>
        </w:rPr>
      </w:pPr>
    </w:p>
    <w:p w14:paraId="59644D84" w14:textId="77777777" w:rsidR="005903DB" w:rsidRPr="00925F26" w:rsidRDefault="005903DB" w:rsidP="00925F26">
      <w:pPr>
        <w:jc w:val="both"/>
        <w:rPr>
          <w:color w:val="000000" w:themeColor="text1"/>
          <w:sz w:val="16"/>
          <w:szCs w:val="16"/>
        </w:rPr>
      </w:pPr>
      <w:r w:rsidRPr="00925F26">
        <w:rPr>
          <w:bCs/>
          <w:color w:val="000000" w:themeColor="text1"/>
          <w:sz w:val="16"/>
          <w:szCs w:val="16"/>
        </w:rPr>
        <w:t>27 февраля</w:t>
      </w:r>
      <w:r w:rsidRPr="00925F26">
        <w:rPr>
          <w:color w:val="000000" w:themeColor="text1"/>
          <w:sz w:val="16"/>
          <w:szCs w:val="16"/>
        </w:rPr>
        <w:t xml:space="preserve"> в 1945 году заместитель министра иностранных дел СССР А.Я.Вышинский заставил румынского короля назначить коммунистическое правительство Грозы (15053).</w:t>
      </w:r>
    </w:p>
    <w:p w14:paraId="77FEB098" w14:textId="77777777" w:rsidR="005903DB" w:rsidRPr="00925F26" w:rsidRDefault="005903DB" w:rsidP="00925F26">
      <w:pPr>
        <w:jc w:val="both"/>
        <w:rPr>
          <w:color w:val="000000" w:themeColor="text1"/>
          <w:sz w:val="16"/>
          <w:szCs w:val="16"/>
        </w:rPr>
      </w:pPr>
    </w:p>
    <w:p w14:paraId="00C9A9C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3835385" w14:textId="77777777" w:rsidR="00665165" w:rsidRPr="00925F26" w:rsidRDefault="00665165" w:rsidP="00925F26">
      <w:pPr>
        <w:autoSpaceDE w:val="0"/>
        <w:autoSpaceDN w:val="0"/>
        <w:adjustRightInd w:val="0"/>
        <w:jc w:val="both"/>
        <w:rPr>
          <w:iCs/>
          <w:color w:val="000000" w:themeColor="text1"/>
          <w:sz w:val="16"/>
          <w:szCs w:val="16"/>
        </w:rPr>
      </w:pPr>
    </w:p>
    <w:p w14:paraId="7027E470" w14:textId="77777777" w:rsidR="005903DB" w:rsidRPr="00925F26" w:rsidRDefault="005903DB" w:rsidP="00925F26">
      <w:pPr>
        <w:jc w:val="both"/>
        <w:rPr>
          <w:color w:val="000000" w:themeColor="text1"/>
          <w:sz w:val="16"/>
          <w:szCs w:val="16"/>
        </w:rPr>
      </w:pPr>
      <w:r w:rsidRPr="00925F26">
        <w:rPr>
          <w:bCs/>
          <w:color w:val="000000" w:themeColor="text1"/>
          <w:sz w:val="16"/>
          <w:szCs w:val="16"/>
        </w:rPr>
        <w:t>27 февраля</w:t>
      </w:r>
      <w:r w:rsidRPr="00925F26">
        <w:rPr>
          <w:color w:val="000000" w:themeColor="text1"/>
          <w:sz w:val="16"/>
          <w:szCs w:val="16"/>
        </w:rPr>
        <w:t xml:space="preserve"> в 1945 году полетел «Me.262C-1a» «Heimatschutzer» переоборудованный из </w:t>
      </w:r>
      <w:hyperlink r:id="rId52" w:tgtFrame="_blank" w:history="1">
        <w:r w:rsidRPr="00925F26">
          <w:rPr>
            <w:color w:val="000000" w:themeColor="text1"/>
            <w:sz w:val="16"/>
            <w:szCs w:val="16"/>
          </w:rPr>
          <w:t xml:space="preserve">«Me. 262A-1a» </w:t>
        </w:r>
      </w:hyperlink>
      <w:r w:rsidRPr="00925F26">
        <w:rPr>
          <w:color w:val="000000" w:themeColor="text1"/>
          <w:sz w:val="16"/>
          <w:szCs w:val="16"/>
        </w:rPr>
        <w:t>(№ 130 186) под управлением Герда Линднера. «Me 262C-1» был оснащен ракетным двигателем «Walter» «R II-211/3» (HWK 509), установленным в хвостовой части фюзеляжа. Т-топливо заливалось в передний 900-л бак, а С-топливо - в задний 600-л. Топливо для «Jumo 004B» заливалось в задний основной 900-л бак и в передний дополнительный на 170 л. Хотя ракетный двигатель существенно снижал дистанцию разбега, на «Me 262С-1а» он в основном использовался для набора высоты. Несмотря на дополнительные 1700 кгc тяги, "Защитник дома" при весе 7800 кг требовал для взлета 600 м "бетонки" - на 20% больше, чем с двумя стартовыми 500-кг ракетами "Борзиг". В результате "Вальтер" запускался уже после начала разбега, для чего пилоту требовалось нажать две кнопки с двухсекундным интервалом. Хотя «R II-211/3» работал всего три минуты, этого было достаточно для набора высоты 8000 м, а высоту 11700 м самолет набирал со старта за 4,5 мин. Линднер успел совершить на «Me 262C-1» только четыре полета, когда работы были переключены на «Me 262С-3». В начале 1945 г. особое внимание уделялось разработке ракетного варианта самолета «Me.262», так называемого Heimatschutzer ("Защитника дома"), способного очень быстро выходить на высоту перехвата (15053).</w:t>
      </w:r>
    </w:p>
    <w:p w14:paraId="4573A129" w14:textId="77777777" w:rsidR="005903DB" w:rsidRPr="00925F26" w:rsidRDefault="005903DB" w:rsidP="00925F26">
      <w:pPr>
        <w:jc w:val="both"/>
        <w:rPr>
          <w:color w:val="000000" w:themeColor="text1"/>
          <w:sz w:val="16"/>
          <w:szCs w:val="16"/>
        </w:rPr>
      </w:pPr>
    </w:p>
    <w:p w14:paraId="7FFA8120" w14:textId="77777777" w:rsidR="005903DB" w:rsidRPr="00925F26" w:rsidRDefault="005903DB" w:rsidP="00925F26">
      <w:pPr>
        <w:jc w:val="both"/>
        <w:rPr>
          <w:color w:val="000000" w:themeColor="text1"/>
          <w:sz w:val="16"/>
          <w:szCs w:val="16"/>
        </w:rPr>
      </w:pPr>
      <w:r w:rsidRPr="00925F26">
        <w:rPr>
          <w:bCs/>
          <w:color w:val="000000" w:themeColor="text1"/>
          <w:sz w:val="16"/>
          <w:szCs w:val="16"/>
        </w:rPr>
        <w:t>27 февраля</w:t>
      </w:r>
      <w:r w:rsidRPr="00925F26">
        <w:rPr>
          <w:color w:val="000000" w:themeColor="text1"/>
          <w:sz w:val="16"/>
          <w:szCs w:val="16"/>
        </w:rPr>
        <w:t xml:space="preserve"> в 1945 году состоялся первый полет французского транспортного самолета </w:t>
      </w:r>
      <w:hyperlink r:id="rId53" w:tgtFrame="_blank" w:history="1">
        <w:r w:rsidRPr="00925F26">
          <w:rPr>
            <w:color w:val="000000" w:themeColor="text1"/>
            <w:sz w:val="16"/>
            <w:szCs w:val="16"/>
          </w:rPr>
          <w:t xml:space="preserve">«Breguet» «Br.500» «Colmar». </w:t>
        </w:r>
      </w:hyperlink>
      <w:r w:rsidRPr="00925F26">
        <w:rPr>
          <w:color w:val="000000" w:themeColor="text1"/>
          <w:sz w:val="16"/>
          <w:szCs w:val="16"/>
        </w:rPr>
        <w:t>был крупным самолётом, так как разрабатывался в качестве транспортной модификации тяжелого дальнего бомбардировщика Br.480. В частности, для коренной переработки был предложен вариант «Br.483» оставшийся только на чертежной доске. Первые испытания самолёта прошли вполне успешно, но в дальнейшем выявились проблемы в силовой установке на устранение которых понадобилось бы большое количество времени. В октябре 1947 года, из-за многочисленных технических проблем, самолёт оставили на временное хранение на аэродроме Виллакубли и в скором времени списали на слом (15053).</w:t>
      </w:r>
    </w:p>
    <w:p w14:paraId="4838A3A8" w14:textId="77777777" w:rsidR="005903DB" w:rsidRPr="00925F26" w:rsidRDefault="005903DB" w:rsidP="00925F26">
      <w:pPr>
        <w:jc w:val="both"/>
        <w:rPr>
          <w:color w:val="000000" w:themeColor="text1"/>
          <w:sz w:val="16"/>
          <w:szCs w:val="16"/>
        </w:rPr>
      </w:pPr>
    </w:p>
    <w:p w14:paraId="2F06A1F5" w14:textId="550E9A77" w:rsidR="00497AEB" w:rsidRPr="00925F26" w:rsidRDefault="00497AEB" w:rsidP="00925F26">
      <w:pPr>
        <w:jc w:val="both"/>
        <w:rPr>
          <w:color w:val="000000" w:themeColor="text1"/>
          <w:sz w:val="16"/>
          <w:szCs w:val="16"/>
        </w:rPr>
      </w:pPr>
      <w:r w:rsidRPr="00925F26">
        <w:rPr>
          <w:color w:val="000000" w:themeColor="text1"/>
          <w:sz w:val="16"/>
          <w:szCs w:val="16"/>
        </w:rPr>
        <w:t xml:space="preserve">27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Состоялся первый полет французского транспортного самолета Breguet Br.500 Colmar. Br.500 был крупным самолётом, так как разрабатывался в качестве транспортной модификации тяжелого дальнего бомбардировщика Br.480. В частности, для коренной переработки был предложен вариант Br.483 оставшийся только на чертежной доске. Первые испытания самолёта прошли вполне успешно, но в дальнейшем выявились проблемы в силовой установке на устранение которых понадобилось бы большое количество времени. В октябре 1947 года, из-за многочисленных технических проблем, самолёт оставили на временное хранение на аэродроме Виллакубли и в скором времени списали на слом (22584).</w:t>
      </w:r>
    </w:p>
    <w:p w14:paraId="2C7FFA70" w14:textId="77777777" w:rsidR="00497AEB" w:rsidRPr="00925F26" w:rsidRDefault="00497AEB" w:rsidP="00925F26">
      <w:pPr>
        <w:jc w:val="both"/>
        <w:rPr>
          <w:color w:val="000000" w:themeColor="text1"/>
          <w:sz w:val="16"/>
          <w:szCs w:val="16"/>
        </w:rPr>
      </w:pPr>
    </w:p>
    <w:p w14:paraId="538DD17D" w14:textId="77777777" w:rsidR="00497AEB" w:rsidRPr="00925F26" w:rsidRDefault="00497AEB" w:rsidP="00925F26">
      <w:pPr>
        <w:jc w:val="both"/>
        <w:rPr>
          <w:color w:val="000000" w:themeColor="text1"/>
          <w:sz w:val="16"/>
          <w:szCs w:val="16"/>
        </w:rPr>
      </w:pPr>
      <w:r w:rsidRPr="00925F26">
        <w:rPr>
          <w:color w:val="000000" w:themeColor="text1"/>
          <w:sz w:val="16"/>
          <w:szCs w:val="16"/>
        </w:rPr>
        <w:t>27 февраля 1945 первый полет Curtiss XF15C (20371).</w:t>
      </w:r>
    </w:p>
    <w:p w14:paraId="02AA8540" w14:textId="77777777" w:rsidR="00497AEB" w:rsidRPr="00925F26" w:rsidRDefault="00497AEB" w:rsidP="00925F26">
      <w:pPr>
        <w:jc w:val="both"/>
        <w:rPr>
          <w:color w:val="000000" w:themeColor="text1"/>
          <w:sz w:val="16"/>
          <w:szCs w:val="16"/>
        </w:rPr>
      </w:pPr>
    </w:p>
    <w:p w14:paraId="62C69DBF" w14:textId="7AA57235" w:rsidR="00497AEB" w:rsidRPr="00925F26" w:rsidRDefault="00497AEB" w:rsidP="00925F26">
      <w:pPr>
        <w:jc w:val="both"/>
        <w:rPr>
          <w:color w:val="000000" w:themeColor="text1"/>
          <w:sz w:val="16"/>
          <w:szCs w:val="16"/>
        </w:rPr>
      </w:pPr>
      <w:r w:rsidRPr="00925F26">
        <w:rPr>
          <w:color w:val="000000" w:themeColor="text1"/>
          <w:sz w:val="16"/>
          <w:szCs w:val="16"/>
        </w:rPr>
        <w:t xml:space="preserve">27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палубного истребителя Curtiss XF15C. На самолете стояли поршневой мотор Pratt &amp; Whitney R-2800-34W "Twin Wasp" с непосредственным впрыском воды и реактивный de Havilland-Halford "Goblin"I. В горизонтальном полете XF15C-1 развивал скорость до 600 км/ч на высоте 7000 метров, но при включенном реактивном двигателе она возрастала до 755 км/ч на той же высоте. Намеченные ранее результаты были достигнуты, однако серийное производство XF15C решили не начинать (22584).</w:t>
      </w:r>
    </w:p>
    <w:p w14:paraId="789E9CC0" w14:textId="77777777" w:rsidR="00497AEB" w:rsidRPr="00925F26" w:rsidRDefault="00497AEB" w:rsidP="00925F26">
      <w:pPr>
        <w:jc w:val="both"/>
        <w:rPr>
          <w:color w:val="000000" w:themeColor="text1"/>
          <w:sz w:val="16"/>
          <w:szCs w:val="16"/>
        </w:rPr>
      </w:pPr>
    </w:p>
    <w:p w14:paraId="3FEB47C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27, 1945: Under Soviet pressure, Rumanian King Michael I is forced to appoint a Communist government. The US 8th Air Force launches another heavy attack against Berlin which devastates the center of the city (3819).</w:t>
      </w:r>
    </w:p>
    <w:p w14:paraId="402CD49D" w14:textId="77777777" w:rsidR="00665165" w:rsidRPr="00925F26" w:rsidRDefault="00665165" w:rsidP="00925F26">
      <w:pPr>
        <w:autoSpaceDE w:val="0"/>
        <w:autoSpaceDN w:val="0"/>
        <w:adjustRightInd w:val="0"/>
        <w:jc w:val="both"/>
        <w:rPr>
          <w:color w:val="000000" w:themeColor="text1"/>
          <w:sz w:val="16"/>
          <w:szCs w:val="16"/>
          <w:lang w:val="en-US"/>
        </w:rPr>
      </w:pPr>
    </w:p>
    <w:p w14:paraId="12E55D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под давлением СССР король Румынии Михаил назначил коммунистическое правительство. 8ВА США провела налет на Берлин, который уничтожил центр города (3819).</w:t>
      </w:r>
    </w:p>
    <w:p w14:paraId="044203BA" w14:textId="77777777" w:rsidR="00665165" w:rsidRPr="00925F26" w:rsidRDefault="00665165" w:rsidP="00925F26">
      <w:pPr>
        <w:autoSpaceDE w:val="0"/>
        <w:autoSpaceDN w:val="0"/>
        <w:adjustRightInd w:val="0"/>
        <w:jc w:val="both"/>
        <w:rPr>
          <w:color w:val="000000" w:themeColor="text1"/>
          <w:sz w:val="16"/>
          <w:szCs w:val="16"/>
        </w:rPr>
      </w:pPr>
    </w:p>
    <w:p w14:paraId="72511C4D" w14:textId="77777777" w:rsidR="00497AEB" w:rsidRPr="00925F26" w:rsidRDefault="00497AEB" w:rsidP="00925F26">
      <w:pPr>
        <w:jc w:val="both"/>
        <w:rPr>
          <w:color w:val="000000" w:themeColor="text1"/>
          <w:sz w:val="16"/>
          <w:szCs w:val="16"/>
        </w:rPr>
      </w:pPr>
      <w:r w:rsidRPr="00925F26">
        <w:rPr>
          <w:color w:val="000000" w:themeColor="text1"/>
          <w:sz w:val="16"/>
          <w:szCs w:val="16"/>
        </w:rPr>
        <w:t>27 февраля 1945 у Iwo Jima, десантный корабль ВМС США USS LST-776, специально оборудованный стрелами и тросами для запуска легких самолетов, совершает первый успешный запуск самолета-наблюдателя Piper OY-1 Cub (20371).</w:t>
      </w:r>
    </w:p>
    <w:p w14:paraId="2CB79F79" w14:textId="77777777" w:rsidR="00497AEB" w:rsidRPr="00925F26" w:rsidRDefault="00497AEB" w:rsidP="00925F26">
      <w:pPr>
        <w:jc w:val="both"/>
        <w:rPr>
          <w:color w:val="000000" w:themeColor="text1"/>
          <w:sz w:val="16"/>
          <w:szCs w:val="16"/>
        </w:rPr>
      </w:pPr>
    </w:p>
    <w:p w14:paraId="7395977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февраля 1945 Ливан объявил войну Германии и Японии (4962).</w:t>
      </w:r>
    </w:p>
    <w:p w14:paraId="4CE0801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B9F57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1945 Ф.Д.Р. провел на борту крейсера совещание, в котором приняли участие хайле Силласие из Эфиопии, король Фарук из Турции и король Ибн Сауд из Саудовской Аравии. Де Голь отказался принять участие (2248,3).</w:t>
      </w:r>
    </w:p>
    <w:p w14:paraId="0AEEFB4B" w14:textId="77777777" w:rsidR="00665165" w:rsidRPr="00925F26" w:rsidRDefault="00665165" w:rsidP="00925F26">
      <w:pPr>
        <w:autoSpaceDE w:val="0"/>
        <w:autoSpaceDN w:val="0"/>
        <w:adjustRightInd w:val="0"/>
        <w:jc w:val="both"/>
        <w:rPr>
          <w:color w:val="000000" w:themeColor="text1"/>
          <w:sz w:val="16"/>
          <w:szCs w:val="16"/>
        </w:rPr>
      </w:pPr>
    </w:p>
    <w:p w14:paraId="0D2B26C5" w14:textId="77777777" w:rsidR="00E86366" w:rsidRPr="00925F26" w:rsidRDefault="00E86366"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B7B01B9" w14:textId="77777777" w:rsidR="00E86366" w:rsidRPr="00925F26" w:rsidRDefault="00E86366" w:rsidP="00925F26">
      <w:pPr>
        <w:autoSpaceDE w:val="0"/>
        <w:autoSpaceDN w:val="0"/>
        <w:adjustRightInd w:val="0"/>
        <w:jc w:val="both"/>
        <w:rPr>
          <w:iCs/>
          <w:color w:val="000000" w:themeColor="text1"/>
          <w:sz w:val="16"/>
          <w:szCs w:val="16"/>
        </w:rPr>
      </w:pPr>
    </w:p>
    <w:p w14:paraId="48FDEBDA"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28 февраля 1945 года прицел - ПШ-3, который был разработан заводом № 589 НКВ специально для Ил-10, в целом успешно прошел государственные испытания на самолете Ил-2 (зав. № 0944) в ГК НИИ ВВС, которые шли с 22 февраля. Отчет по испытаниям утвержден 12 марта заместителем начальника института генерал-лейтенантом М. В. Гуревичем.</w:t>
      </w:r>
    </w:p>
    <w:p w14:paraId="504DD546"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54FBB86B" w14:textId="77777777" w:rsidR="00E86366" w:rsidRPr="00925F26" w:rsidRDefault="00E86366"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57DEC07A"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178AFFD5" w14:textId="77777777" w:rsidR="00E86366" w:rsidRPr="00925F26" w:rsidRDefault="00E86366"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4A855D5A"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795B30C4"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3A6ABEB2" w14:textId="77777777" w:rsidR="00E86366" w:rsidRPr="00925F26" w:rsidRDefault="00E86366"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2C22974B"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lastRenderedPageBreak/>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4612EFEA"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5F8AAB6A"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65DEDF51" w14:textId="77777777" w:rsidR="00E86366" w:rsidRPr="00925F26" w:rsidRDefault="00E86366" w:rsidP="00925F26">
      <w:pPr>
        <w:jc w:val="both"/>
        <w:rPr>
          <w:color w:val="000000" w:themeColor="text1"/>
          <w:sz w:val="16"/>
          <w:szCs w:val="16"/>
        </w:rPr>
      </w:pPr>
      <w:r w:rsidRPr="00925F26">
        <w:rPr>
          <w:rStyle w:val="107"/>
          <w:rFonts w:eastAsiaTheme="minorHAnsi"/>
          <w:color w:val="000000" w:themeColor="text1"/>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322A1027" w14:textId="77777777" w:rsidR="00E86366" w:rsidRPr="00925F26" w:rsidRDefault="00E86366"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12BA66F6" w14:textId="77777777" w:rsidR="00E86366" w:rsidRPr="00925F26" w:rsidRDefault="00E86366" w:rsidP="00925F26">
      <w:pPr>
        <w:jc w:val="both"/>
        <w:rPr>
          <w:rStyle w:val="107"/>
          <w:rFonts w:eastAsiaTheme="minorHAnsi"/>
          <w:color w:val="000000" w:themeColor="text1"/>
          <w:sz w:val="16"/>
          <w:szCs w:val="16"/>
        </w:rPr>
      </w:pPr>
    </w:p>
    <w:p w14:paraId="2A2C5666" w14:textId="77777777" w:rsidR="00DA485C" w:rsidRPr="00925F26" w:rsidRDefault="00DA485C" w:rsidP="00925F26">
      <w:pPr>
        <w:jc w:val="both"/>
        <w:rPr>
          <w:color w:val="000000" w:themeColor="text1"/>
          <w:sz w:val="16"/>
          <w:szCs w:val="16"/>
        </w:rPr>
      </w:pPr>
      <w:r w:rsidRPr="00925F26">
        <w:rPr>
          <w:color w:val="000000" w:themeColor="text1"/>
          <w:sz w:val="16"/>
          <w:szCs w:val="16"/>
        </w:rPr>
        <w:t>28 февраля 1945 г. после освобождения А.Г. Костиков получил обратно все свои звания и Звезду Героя, кроме директорского поста в НИИ-3. В том же 1945 г. он устроился на работу в НИИ-24 (Научно-исследовательский машиностроительный институт), где и трудился в должности начальника отдела над хорошо ему знакомой старой темой - разработкой реактивных снарядов (22685).</w:t>
      </w:r>
    </w:p>
    <w:p w14:paraId="01FB51FD" w14:textId="77777777" w:rsidR="00DA485C" w:rsidRPr="00925F26" w:rsidRDefault="00DA485C" w:rsidP="00925F26">
      <w:pPr>
        <w:jc w:val="both"/>
        <w:rPr>
          <w:color w:val="000000" w:themeColor="text1"/>
          <w:sz w:val="16"/>
          <w:szCs w:val="16"/>
        </w:rPr>
      </w:pPr>
    </w:p>
    <w:p w14:paraId="1B0B77EC" w14:textId="77777777" w:rsidR="00147873" w:rsidRPr="00925F26" w:rsidRDefault="00147873" w:rsidP="00925F26">
      <w:pPr>
        <w:jc w:val="both"/>
        <w:rPr>
          <w:color w:val="000000" w:themeColor="text1"/>
          <w:sz w:val="16"/>
          <w:szCs w:val="16"/>
        </w:rPr>
      </w:pPr>
      <w:r w:rsidRPr="00925F26">
        <w:rPr>
          <w:color w:val="000000" w:themeColor="text1"/>
          <w:sz w:val="16"/>
          <w:szCs w:val="16"/>
        </w:rPr>
        <w:t>28 фев</w:t>
      </w:r>
      <w:r w:rsidRPr="00925F26">
        <w:rPr>
          <w:color w:val="000000" w:themeColor="text1"/>
          <w:sz w:val="16"/>
          <w:szCs w:val="16"/>
        </w:rPr>
        <w:softHyphen/>
        <w:t>раля 1945 года Костиков был освобожден. В постановлении о прекра</w:t>
      </w:r>
      <w:r w:rsidRPr="00925F26">
        <w:rPr>
          <w:color w:val="000000" w:themeColor="text1"/>
          <w:sz w:val="16"/>
          <w:szCs w:val="16"/>
        </w:rPr>
        <w:softHyphen/>
        <w:t>щении следствия внесли запись о том, что вражеского умысла в его действиях не установлено. Освобожденного не пустили в Москву, а направили представителем ОТК на один из подмо</w:t>
      </w:r>
      <w:r w:rsidRPr="00925F26">
        <w:rPr>
          <w:color w:val="000000" w:themeColor="text1"/>
          <w:sz w:val="16"/>
          <w:szCs w:val="16"/>
        </w:rPr>
        <w:softHyphen/>
        <w:t>сковных механических заводов, собиравших реактивные сна</w:t>
      </w:r>
      <w:r w:rsidRPr="00925F26">
        <w:rPr>
          <w:color w:val="000000" w:themeColor="text1"/>
          <w:sz w:val="16"/>
          <w:szCs w:val="16"/>
        </w:rPr>
        <w:softHyphen/>
        <w:t>ряды. На работу и с работы Костиков ходил пешком в кителе со Звездой Героя. Подчиненные осаждали директора завода во</w:t>
      </w:r>
      <w:r w:rsidRPr="00925F26">
        <w:rPr>
          <w:color w:val="000000" w:themeColor="text1"/>
          <w:sz w:val="16"/>
          <w:szCs w:val="16"/>
        </w:rPr>
        <w:softHyphen/>
        <w:t>просами, кто это такой и почему Героя страны в ОТК держат?</w:t>
      </w:r>
    </w:p>
    <w:p w14:paraId="22045CC5" w14:textId="77777777" w:rsidR="00147873" w:rsidRPr="00925F26" w:rsidRDefault="00147873" w:rsidP="00925F26">
      <w:pPr>
        <w:jc w:val="both"/>
        <w:rPr>
          <w:color w:val="000000" w:themeColor="text1"/>
          <w:sz w:val="16"/>
          <w:szCs w:val="16"/>
        </w:rPr>
      </w:pPr>
      <w:r w:rsidRPr="00925F26">
        <w:rPr>
          <w:color w:val="000000" w:themeColor="text1"/>
          <w:sz w:val="16"/>
          <w:szCs w:val="16"/>
        </w:rPr>
        <w:t>Наконец, директор не выдержал и обратился в Наркомат:</w:t>
      </w:r>
    </w:p>
    <w:p w14:paraId="1C67C8B6" w14:textId="77777777" w:rsidR="00147873" w:rsidRPr="00925F26" w:rsidRDefault="00147873" w:rsidP="00925F26">
      <w:pPr>
        <w:jc w:val="both"/>
        <w:rPr>
          <w:color w:val="000000" w:themeColor="text1"/>
          <w:sz w:val="16"/>
          <w:szCs w:val="16"/>
        </w:rPr>
      </w:pPr>
      <w:r w:rsidRPr="00925F26">
        <w:rPr>
          <w:color w:val="000000" w:themeColor="text1"/>
          <w:sz w:val="16"/>
          <w:szCs w:val="16"/>
        </w:rPr>
        <w:t>- Заберите от нас Костикова. Меня про него уже весь го</w:t>
      </w:r>
      <w:r w:rsidRPr="00925F26">
        <w:rPr>
          <w:color w:val="000000" w:themeColor="text1"/>
          <w:sz w:val="16"/>
          <w:szCs w:val="16"/>
        </w:rPr>
        <w:softHyphen/>
        <w:t>род расспрашивает. Что людям отвечать? (23510).</w:t>
      </w:r>
    </w:p>
    <w:p w14:paraId="548BAB1C" w14:textId="77777777" w:rsidR="00147873" w:rsidRPr="00925F26" w:rsidRDefault="00147873" w:rsidP="00925F26">
      <w:pPr>
        <w:jc w:val="both"/>
        <w:rPr>
          <w:color w:val="000000" w:themeColor="text1"/>
          <w:sz w:val="16"/>
          <w:szCs w:val="16"/>
        </w:rPr>
      </w:pPr>
    </w:p>
    <w:p w14:paraId="140CA71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472C7EA" w14:textId="77777777" w:rsidR="00665165" w:rsidRPr="00925F26" w:rsidRDefault="00665165" w:rsidP="00925F26">
      <w:pPr>
        <w:autoSpaceDE w:val="0"/>
        <w:autoSpaceDN w:val="0"/>
        <w:adjustRightInd w:val="0"/>
        <w:jc w:val="both"/>
        <w:rPr>
          <w:iCs/>
          <w:color w:val="000000" w:themeColor="text1"/>
          <w:sz w:val="16"/>
          <w:szCs w:val="16"/>
        </w:rPr>
      </w:pPr>
    </w:p>
    <w:p w14:paraId="026C3C72" w14:textId="77777777" w:rsidR="004945E9" w:rsidRPr="00925F26" w:rsidRDefault="004945E9" w:rsidP="00925F26">
      <w:pPr>
        <w:jc w:val="both"/>
        <w:rPr>
          <w:color w:val="000000" w:themeColor="text1"/>
          <w:sz w:val="16"/>
          <w:szCs w:val="16"/>
        </w:rPr>
      </w:pPr>
      <w:r w:rsidRPr="00925F26">
        <w:rPr>
          <w:color w:val="000000" w:themeColor="text1"/>
          <w:sz w:val="16"/>
          <w:szCs w:val="16"/>
        </w:rPr>
        <w:t>С 28 февраля по 2 марта 1944 в Т-34-100 испытывалась стрельбой (1000 выстрелов) и возкой (500 километров пробега) 100-мм пушка ЗИС-100 завода № 92 НКВ. В выводах об испытаниях говорилось:</w:t>
      </w:r>
    </w:p>
    <w:p w14:paraId="0D578C20" w14:textId="77777777" w:rsidR="004945E9" w:rsidRPr="00925F26" w:rsidRDefault="004945E9" w:rsidP="00925F26">
      <w:pPr>
        <w:jc w:val="both"/>
        <w:rPr>
          <w:color w:val="000000" w:themeColor="text1"/>
          <w:sz w:val="16"/>
          <w:szCs w:val="16"/>
        </w:rPr>
      </w:pPr>
      <w:r w:rsidRPr="00925F26">
        <w:rPr>
          <w:color w:val="000000" w:themeColor="text1"/>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72A76FA1" w14:textId="77777777" w:rsidR="004945E9" w:rsidRPr="00925F26" w:rsidRDefault="004945E9" w:rsidP="00925F26">
      <w:pPr>
        <w:jc w:val="both"/>
        <w:rPr>
          <w:color w:val="000000" w:themeColor="text1"/>
          <w:sz w:val="16"/>
          <w:szCs w:val="16"/>
        </w:rPr>
      </w:pPr>
      <w:r w:rsidRPr="00925F26">
        <w:rPr>
          <w:color w:val="000000" w:themeColor="text1"/>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1C7279AE" w14:textId="77777777" w:rsidR="004945E9" w:rsidRPr="00925F26" w:rsidRDefault="004945E9" w:rsidP="00925F26">
      <w:pPr>
        <w:jc w:val="both"/>
        <w:rPr>
          <w:color w:val="000000" w:themeColor="text1"/>
          <w:sz w:val="16"/>
          <w:szCs w:val="16"/>
        </w:rPr>
      </w:pPr>
      <w:r w:rsidRPr="00925F26">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6EB2B8B0" w14:textId="77777777" w:rsidR="004945E9" w:rsidRPr="00925F26" w:rsidRDefault="004945E9" w:rsidP="00925F26">
      <w:pPr>
        <w:jc w:val="both"/>
        <w:rPr>
          <w:color w:val="000000" w:themeColor="text1"/>
          <w:sz w:val="16"/>
          <w:szCs w:val="16"/>
        </w:rPr>
      </w:pPr>
      <w:r w:rsidRPr="00925F26">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596425C8" w14:textId="77777777" w:rsidR="004945E9" w:rsidRPr="00925F26" w:rsidRDefault="004945E9" w:rsidP="00925F26">
      <w:pPr>
        <w:jc w:val="both"/>
        <w:rPr>
          <w:color w:val="000000" w:themeColor="text1"/>
          <w:sz w:val="16"/>
          <w:szCs w:val="16"/>
        </w:rPr>
      </w:pPr>
    </w:p>
    <w:p w14:paraId="521B2A20" w14:textId="77777777" w:rsidR="00425843" w:rsidRPr="001A0BAA" w:rsidRDefault="00425843" w:rsidP="00425843">
      <w:pPr>
        <w:jc w:val="both"/>
        <w:rPr>
          <w:color w:val="0070C0"/>
          <w:sz w:val="16"/>
          <w:szCs w:val="16"/>
        </w:rPr>
      </w:pPr>
      <w:r w:rsidRPr="001A0BAA">
        <w:rPr>
          <w:color w:val="0070C0"/>
          <w:sz w:val="16"/>
          <w:szCs w:val="16"/>
        </w:rPr>
        <w:t>С 28 февраля по 2 марта 1945 года прошел испытания Т-34-100. В выводах об испыта</w:t>
      </w:r>
      <w:r w:rsidRPr="001A0BAA">
        <w:rPr>
          <w:color w:val="0070C0"/>
          <w:sz w:val="16"/>
          <w:szCs w:val="16"/>
        </w:rPr>
        <w:softHyphen/>
        <w:t>ниях говорилось:</w:t>
      </w:r>
    </w:p>
    <w:p w14:paraId="772BE344" w14:textId="77777777" w:rsidR="00425843" w:rsidRPr="001A0BAA" w:rsidRDefault="00425843" w:rsidP="00425843">
      <w:pPr>
        <w:jc w:val="both"/>
        <w:rPr>
          <w:color w:val="0070C0"/>
          <w:sz w:val="16"/>
          <w:szCs w:val="16"/>
        </w:rPr>
      </w:pPr>
      <w:r w:rsidRPr="001A0BAA">
        <w:rPr>
          <w:color w:val="0070C0"/>
          <w:sz w:val="16"/>
          <w:szCs w:val="16"/>
        </w:rPr>
        <w:t>«Пушка испытания выдержала. После до</w:t>
      </w:r>
      <w:r w:rsidRPr="001A0BAA">
        <w:rPr>
          <w:color w:val="0070C0"/>
          <w:sz w:val="16"/>
          <w:szCs w:val="16"/>
        </w:rPr>
        <w:softHyphen/>
        <w:t>работки в отношении улучшения работы тор</w:t>
      </w:r>
      <w:r w:rsidRPr="001A0BAA">
        <w:rPr>
          <w:color w:val="0070C0"/>
          <w:sz w:val="16"/>
          <w:szCs w:val="16"/>
        </w:rPr>
        <w:softHyphen/>
        <w:t>моза отката и надежности в работе подъемно</w:t>
      </w:r>
      <w:r w:rsidRPr="001A0BAA">
        <w:rPr>
          <w:color w:val="0070C0"/>
          <w:sz w:val="16"/>
          <w:szCs w:val="16"/>
        </w:rPr>
        <w:softHyphen/>
        <w:t>го механизма ЗИС-100 может быть допущена к полигонным испытаниям».</w:t>
      </w:r>
    </w:p>
    <w:p w14:paraId="69BA9924" w14:textId="77777777" w:rsidR="00425843" w:rsidRPr="001A0BAA" w:rsidRDefault="00425843" w:rsidP="00425843">
      <w:pPr>
        <w:jc w:val="both"/>
        <w:rPr>
          <w:color w:val="0070C0"/>
          <w:sz w:val="16"/>
          <w:szCs w:val="16"/>
        </w:rPr>
      </w:pPr>
      <w:r w:rsidRPr="001A0BAA">
        <w:rPr>
          <w:color w:val="0070C0"/>
          <w:sz w:val="16"/>
          <w:szCs w:val="16"/>
        </w:rPr>
        <w:t>Т-34-100 стал своеобразной ездящей ла</w:t>
      </w:r>
      <w:r w:rsidRPr="001A0BAA">
        <w:rPr>
          <w:color w:val="0070C0"/>
          <w:sz w:val="16"/>
          <w:szCs w:val="16"/>
        </w:rPr>
        <w:softHyphen/>
        <w:t>бораторией. С 6 по 12 апреля в нем испыты</w:t>
      </w:r>
      <w:r w:rsidRPr="001A0BAA">
        <w:rPr>
          <w:color w:val="0070C0"/>
          <w:sz w:val="16"/>
          <w:szCs w:val="16"/>
        </w:rPr>
        <w:softHyphen/>
        <w:t>вали (1000 выстрелов и 501 километр пробе</w:t>
      </w:r>
      <w:r w:rsidRPr="001A0BAA">
        <w:rPr>
          <w:color w:val="0070C0"/>
          <w:sz w:val="16"/>
          <w:szCs w:val="16"/>
        </w:rPr>
        <w:softHyphen/>
        <w:t>га) 100-мм пушку ЛБ-1, спроектированную в конструкторском бюро завода № 92. Ору</w:t>
      </w:r>
      <w:r w:rsidRPr="001A0BAA">
        <w:rPr>
          <w:color w:val="0070C0"/>
          <w:sz w:val="16"/>
          <w:szCs w:val="16"/>
        </w:rPr>
        <w:softHyphen/>
        <w:t>дие испытание выдержало, при этом отмеча</w:t>
      </w:r>
      <w:r w:rsidRPr="001A0BAA">
        <w:rPr>
          <w:color w:val="0070C0"/>
          <w:sz w:val="16"/>
          <w:szCs w:val="16"/>
        </w:rPr>
        <w:softHyphen/>
        <w:t>лось, что «прочность и надежность в работе в целом удовлетворительны» (25012).</w:t>
      </w:r>
    </w:p>
    <w:p w14:paraId="3691FA95" w14:textId="77777777" w:rsidR="00425843" w:rsidRPr="001A0BAA" w:rsidRDefault="00425843" w:rsidP="00425843">
      <w:pPr>
        <w:jc w:val="both"/>
        <w:rPr>
          <w:color w:val="0070C0"/>
          <w:sz w:val="16"/>
          <w:szCs w:val="16"/>
        </w:rPr>
      </w:pPr>
    </w:p>
    <w:p w14:paraId="720A4E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 февраля 1945 г. вышел ПРИКАЗ НАРОДНОГО КОМИССАРА ТАНКОВОЙ ПРОМЫШЛЕННОСТИ СССР И ЗАМЕСТИТЕЛЯ КОМАНДУЮЩЕГО БТ и МВ КА О ПРОВЕДЕНИИ ПОЛИГОННЫХ ИСПЫТАНИЙ ОПЫТНОГО ОБРАЗЦА ТАНКА Т-54, ИЗГОТОВЛЕННОГО ЗАВОДОМ №183 № 92/021</w:t>
      </w:r>
    </w:p>
    <w:p w14:paraId="10759D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определения тактико-технической характеристики и проверки работоспособности вооружения, целеуказателя со следящей системой и агрегатов опытного образца танка Т-54 ПРИКАЗЫВАЮ:</w:t>
      </w:r>
    </w:p>
    <w:p w14:paraId="0B2E86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Провести испытания на научно-испытательном полигоне ГБТУ КА опытного образца Т-54.</w:t>
      </w:r>
    </w:p>
    <w:p w14:paraId="12ECE2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Для проведения испытания назначить комиссию в следующем составе: председатель -гв. полковник т, Кульчицкий; члены — инженер-капитан т. Захарцев И.Е. (от ТУ ГБТУ КА), инженер-подполковник т. Малявин И.М. (от НИБТ полигона ГБТУ КА), инженер-майор т. Иванов Б.А., инже</w:t>
      </w:r>
      <w:r w:rsidRPr="00925F26">
        <w:rPr>
          <w:color w:val="000000" w:themeColor="text1"/>
          <w:sz w:val="16"/>
          <w:szCs w:val="16"/>
        </w:rPr>
        <w:softHyphen/>
        <w:t>нер-капитан т. Кондрашев Н.А., подполковник т. Колпаков М.И. (от ГУФ и БП БТ и МВ КА), инженер-капитан т. Конев С.А. (от УСА ГБТУ КА), инженер-майор т. Толкачев (от ГАУ КА), инженер-майор т. Демусяк А.Г., ст. техник-лейтенант т. Зимин К.Б. (от УЭТ ГБТУ КА), подполковник т. Сергеев И.А. (от НКВ), т. Кучеренко, т. Наумов В.Г., т. Гутник (от НКТП.)</w:t>
      </w:r>
    </w:p>
    <w:p w14:paraId="24C6D8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Испытания танка Т-54 провести по программе, утвержденной начальником ГБТУ КА.</w:t>
      </w:r>
    </w:p>
    <w:p w14:paraId="7B7704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К испытаниям приступить 1 марта и закончить 20 марта с.г.</w:t>
      </w:r>
    </w:p>
    <w:p w14:paraId="1FE695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Заключение по испытаниям представить в НКТП и ГБТУ КА 21 марта, отчет по испытаниям -25 марта с.г.</w:t>
      </w:r>
    </w:p>
    <w:p w14:paraId="6BF866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Директору завода №183 генерал-майору инженерно-танковой службы т. Максареву:</w:t>
      </w:r>
    </w:p>
    <w:p w14:paraId="337A99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представить комиссии полную техническую документацию опытного образца танка Т-54;</w:t>
      </w:r>
    </w:p>
    <w:p w14:paraId="0161AB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выделить бригады для тех. обслуживания на период испытаний танка, обеспечить необходи</w:t>
      </w:r>
      <w:r w:rsidRPr="00925F26">
        <w:rPr>
          <w:color w:val="000000" w:themeColor="text1"/>
          <w:sz w:val="16"/>
          <w:szCs w:val="16"/>
        </w:rPr>
        <w:softHyphen/>
        <w:t>мыми запчастями и инструментом.</w:t>
      </w:r>
    </w:p>
    <w:p w14:paraId="1B0DD7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Начальнику НИБТ полигона ГБТУ КА генерал-майору танковых войск т. Романову:</w:t>
      </w:r>
    </w:p>
    <w:p w14:paraId="7D0C58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обеспечить опытный образец танка Т-54 обслуживанием и горюче-смазочными материалами на весь период испытаний;</w:t>
      </w:r>
    </w:p>
    <w:p w14:paraId="5DB622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обеспечить членов комиссии, ремонтные бригады и экипаж танка на время испытаний жил</w:t>
      </w:r>
      <w:r w:rsidRPr="00925F26">
        <w:rPr>
          <w:color w:val="000000" w:themeColor="text1"/>
          <w:sz w:val="16"/>
          <w:szCs w:val="16"/>
        </w:rPr>
        <w:softHyphen/>
        <w:t>площадью;</w:t>
      </w:r>
    </w:p>
    <w:p w14:paraId="2F638D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выделить в распоряжение председателя комиссии на время испытаний одну легковую машину и обеспечить ее бензином;</w:t>
      </w:r>
    </w:p>
    <w:p w14:paraId="192D3B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обеспечить питанием на время испытаний военнослужащих — членов комиссии (7 офицеров — представителей управления).</w:t>
      </w:r>
    </w:p>
    <w:p w14:paraId="77439F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Заместителю народного комиссара танковой промышленности т. Мосину на время испытаний с 1 по 25 марта с.г. выделить на 15 человек (представителей НКТП и завода №183) необходимые про</w:t>
      </w:r>
      <w:r w:rsidRPr="00925F26">
        <w:rPr>
          <w:color w:val="000000" w:themeColor="text1"/>
          <w:sz w:val="16"/>
          <w:szCs w:val="16"/>
        </w:rPr>
        <w:softHyphen/>
        <w:t>дукты питания и спецодежду.</w:t>
      </w:r>
    </w:p>
    <w:p w14:paraId="784481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Народный комиссар танковой промышленности СССР генерал-лейтенант инженерно-танковой службы Малышев</w:t>
      </w:r>
    </w:p>
    <w:p w14:paraId="772355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2184A6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Он. 11353. Д. 1519. Л. 54-55. Подлинник (11420).</w:t>
      </w:r>
    </w:p>
    <w:p w14:paraId="78F75766" w14:textId="77777777" w:rsidR="00665165" w:rsidRPr="00925F26" w:rsidRDefault="00665165" w:rsidP="00925F26">
      <w:pPr>
        <w:autoSpaceDE w:val="0"/>
        <w:autoSpaceDN w:val="0"/>
        <w:adjustRightInd w:val="0"/>
        <w:jc w:val="both"/>
        <w:rPr>
          <w:color w:val="000000" w:themeColor="text1"/>
          <w:sz w:val="16"/>
          <w:szCs w:val="16"/>
        </w:rPr>
      </w:pPr>
    </w:p>
    <w:p w14:paraId="43E0E9E0" w14:textId="77777777" w:rsidR="0096198F" w:rsidRPr="00925F26" w:rsidRDefault="009619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28 февраля 1945 года был подписан совместный приказ НКТП и БТМВ №92с/021. Согласно ему, испытания Т-54 должны были начаться 1 марта и закончиться 21 числа. 25 марта ожидалось получить от НИБТ Полигона отчёт об испытаниях. Столь жёсткие сроки объяснялись тем, что танк выглядел ещё более перспективным, чем Т-44, а потому постановка его в серийное производство являлась отнюдь не вопросом на перспективу.</w:t>
      </w:r>
    </w:p>
    <w:p w14:paraId="2679201A" w14:textId="77777777" w:rsidR="0096198F" w:rsidRPr="00925F26" w:rsidRDefault="009619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На практике к испытаниям удалось приступить только 11 марта.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 (19090).</w:t>
      </w:r>
    </w:p>
    <w:p w14:paraId="0FD1443D" w14:textId="77777777" w:rsidR="0096198F" w:rsidRPr="00925F26" w:rsidRDefault="0096198F" w:rsidP="00925F26">
      <w:pPr>
        <w:pStyle w:val="ae"/>
        <w:shd w:val="clear" w:color="auto" w:fill="FFFFFF"/>
        <w:spacing w:before="0" w:after="0"/>
        <w:jc w:val="both"/>
        <w:textAlignment w:val="baseline"/>
        <w:rPr>
          <w:color w:val="000000" w:themeColor="text1"/>
          <w:sz w:val="16"/>
          <w:szCs w:val="16"/>
        </w:rPr>
      </w:pPr>
    </w:p>
    <w:p w14:paraId="6A3393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 февраля 1945 г. вышел приказ наркома танковой промыш</w:t>
      </w:r>
      <w:r w:rsidRPr="00925F26">
        <w:rPr>
          <w:color w:val="000000" w:themeColor="text1"/>
          <w:sz w:val="16"/>
          <w:szCs w:val="16"/>
        </w:rPr>
        <w:softHyphen/>
        <w:t>ленности В. Малышева и заместителя командующего тан</w:t>
      </w:r>
      <w:r w:rsidRPr="00925F26">
        <w:rPr>
          <w:color w:val="000000" w:themeColor="text1"/>
          <w:sz w:val="16"/>
          <w:szCs w:val="16"/>
        </w:rPr>
        <w:softHyphen/>
        <w:t>ковых войск Коробкова за № 92/С/021, согласно которому в Кубинке с 11 марта по 14 апреля 1945 г. были проведены испытания макетного образца Т-54 (бывш. Т-44В). Вот краткое описание танка:</w:t>
      </w:r>
    </w:p>
    <w:p w14:paraId="57BCEF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«Корпус танка Т-54 сохранен от проекта Т-44-В, но тол</w:t>
      </w:r>
      <w:r w:rsidRPr="00925F26">
        <w:rPr>
          <w:color w:val="000000" w:themeColor="text1"/>
          <w:sz w:val="16"/>
          <w:szCs w:val="16"/>
        </w:rPr>
        <w:softHyphen/>
        <w:t>щина лоб брони увеличена со 110-мм до 120-мм... Лобовая, бортовая и днищевая броня корпуса применена средней твер</w:t>
      </w:r>
      <w:r w:rsidRPr="00925F26">
        <w:rPr>
          <w:color w:val="000000" w:themeColor="text1"/>
          <w:sz w:val="16"/>
          <w:szCs w:val="16"/>
        </w:rPr>
        <w:softHyphen/>
        <w:t>дости, остальная - высокой. Общая длина корпуса танка от</w:t>
      </w:r>
      <w:r w:rsidRPr="00925F26">
        <w:rPr>
          <w:color w:val="000000" w:themeColor="text1"/>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925F26">
        <w:rPr>
          <w:color w:val="000000" w:themeColor="text1"/>
          <w:sz w:val="16"/>
          <w:szCs w:val="16"/>
        </w:rPr>
        <w:softHyphen/>
        <w:t>ной на 12-30 мм толщиной брони, но с погоном диаметром 1800мм и более эффективной системой вентиляции...</w:t>
      </w:r>
    </w:p>
    <w:p w14:paraId="064306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танк установлена 100-мм пушка Д-10ТК обр. 1944 г. изготовления завода № 8, которая в отличие от 100-мм пуш</w:t>
      </w:r>
      <w:r w:rsidRPr="00925F26">
        <w:rPr>
          <w:color w:val="000000" w:themeColor="text1"/>
          <w:sz w:val="16"/>
          <w:szCs w:val="16"/>
        </w:rPr>
        <w:softHyphen/>
        <w:t>ки Д-10Т не имеет пружинн</w:t>
      </w:r>
      <w:proofErr w:type="gramStart"/>
      <w:r w:rsidRPr="00925F26">
        <w:rPr>
          <w:color w:val="000000" w:themeColor="text1"/>
          <w:sz w:val="16"/>
          <w:szCs w:val="16"/>
        </w:rPr>
        <w:t>.</w:t>
      </w:r>
      <w:proofErr w:type="gramEnd"/>
      <w:r w:rsidRPr="00925F26">
        <w:rPr>
          <w:color w:val="000000" w:themeColor="text1"/>
          <w:sz w:val="16"/>
          <w:szCs w:val="16"/>
        </w:rPr>
        <w:t xml:space="preserve"> уравновешивающий механизм. Труба ствола имеет более тонкие стенки, ствол уравновешен дополнительными грузами...»</w:t>
      </w:r>
    </w:p>
    <w:p w14:paraId="5469C4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ходе испытаний танк показал неплохую подвижность, но его максимальная скорость составила 43,5-44 км/ч про</w:t>
      </w:r>
      <w:r w:rsidRPr="00925F26">
        <w:rPr>
          <w:color w:val="000000" w:themeColor="text1"/>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78946E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925F26">
        <w:rPr>
          <w:color w:val="000000" w:themeColor="text1"/>
          <w:sz w:val="16"/>
          <w:szCs w:val="16"/>
        </w:rPr>
        <w:softHyphen/>
        <w:t>тование танковых и механизированных соединений...»</w:t>
      </w:r>
    </w:p>
    <w:p w14:paraId="715AAE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3EE9AC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57E3C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 фев</w:t>
      </w:r>
      <w:r w:rsidRPr="00925F26">
        <w:rPr>
          <w:color w:val="000000" w:themeColor="text1"/>
          <w:sz w:val="16"/>
          <w:szCs w:val="16"/>
        </w:rPr>
        <w:softHyphen/>
        <w:t>раля 1945 г. для проведения полигонных испы</w:t>
      </w:r>
      <w:r w:rsidRPr="00925F26">
        <w:rPr>
          <w:color w:val="000000" w:themeColor="text1"/>
          <w:sz w:val="16"/>
          <w:szCs w:val="16"/>
        </w:rPr>
        <w:softHyphen/>
        <w:t>таний Т-54 приказом НКТП и заместителя коман</w:t>
      </w:r>
      <w:r w:rsidRPr="00925F26">
        <w:rPr>
          <w:color w:val="000000" w:themeColor="text1"/>
          <w:sz w:val="16"/>
          <w:szCs w:val="16"/>
        </w:rPr>
        <w:softHyphen/>
        <w:t>дующего БТ и МВ КА №92/с/021 была назначена комиссия во главе с Е.А. Кульчицким.</w:t>
      </w:r>
    </w:p>
    <w:p w14:paraId="76DFBB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результатам полигонных испытаний, прошедшихв периоде 11 марта по 14апре</w:t>
      </w:r>
      <w:r w:rsidRPr="00925F26">
        <w:rPr>
          <w:color w:val="000000" w:themeColor="text1"/>
          <w:sz w:val="16"/>
          <w:szCs w:val="16"/>
        </w:rPr>
        <w:softHyphen/>
        <w:t>ля 1945 г., комиссией 14 апреля 1945 г. был представлен отчет, в выводах которого го</w:t>
      </w:r>
      <w:r w:rsidRPr="00925F26">
        <w:rPr>
          <w:color w:val="000000" w:themeColor="text1"/>
          <w:sz w:val="16"/>
          <w:szCs w:val="16"/>
        </w:rPr>
        <w:softHyphen/>
        <w:t>ворилось:</w:t>
      </w:r>
    </w:p>
    <w:p w14:paraId="002B91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r w:rsidRPr="00925F26">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925F26">
        <w:rPr>
          <w:iCs/>
          <w:color w:val="000000" w:themeColor="text1"/>
          <w:sz w:val="16"/>
          <w:szCs w:val="16"/>
        </w:rPr>
        <w:softHyphen/>
        <w:t>ходит по боевым качествам все современ</w:t>
      </w:r>
      <w:r w:rsidRPr="00925F26">
        <w:rPr>
          <w:iCs/>
          <w:color w:val="000000" w:themeColor="text1"/>
          <w:sz w:val="16"/>
          <w:szCs w:val="16"/>
        </w:rPr>
        <w:softHyphen/>
        <w:t>ные средние танки.</w:t>
      </w:r>
    </w:p>
    <w:p w14:paraId="2277D8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2. Опытный образец танка Т-54 испыта</w:t>
      </w:r>
      <w:r w:rsidRPr="00925F26">
        <w:rPr>
          <w:iCs/>
          <w:color w:val="000000" w:themeColor="text1"/>
          <w:sz w:val="16"/>
          <w:szCs w:val="16"/>
        </w:rPr>
        <w:softHyphen/>
        <w:t>ния по прочности основных агрегатов в объе</w:t>
      </w:r>
      <w:r w:rsidRPr="00925F26">
        <w:rPr>
          <w:iCs/>
          <w:color w:val="000000" w:themeColor="text1"/>
          <w:sz w:val="16"/>
          <w:szCs w:val="16"/>
        </w:rPr>
        <w:softHyphen/>
        <w:t>ме 1553 км пробега в зимних и весенних ус</w:t>
      </w:r>
      <w:r w:rsidRPr="00925F26">
        <w:rPr>
          <w:iCs/>
          <w:color w:val="000000" w:themeColor="text1"/>
          <w:sz w:val="16"/>
          <w:szCs w:val="16"/>
        </w:rPr>
        <w:softHyphen/>
        <w:t>ловиях выдержал.</w:t>
      </w:r>
    </w:p>
    <w:p w14:paraId="6ABF13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3. Танк имеет дефекты, обусловленные конструктивной недоработкой отдельных уз</w:t>
      </w:r>
      <w:r w:rsidRPr="00925F26">
        <w:rPr>
          <w:iCs/>
          <w:color w:val="000000" w:themeColor="text1"/>
          <w:sz w:val="16"/>
          <w:szCs w:val="16"/>
        </w:rPr>
        <w:softHyphen/>
        <w:t>лов, устранение которых значительно повы</w:t>
      </w:r>
      <w:r w:rsidRPr="00925F26">
        <w:rPr>
          <w:iCs/>
          <w:color w:val="000000" w:themeColor="text1"/>
          <w:sz w:val="16"/>
          <w:szCs w:val="16"/>
        </w:rPr>
        <w:softHyphen/>
        <w:t xml:space="preserve">сит тактико-технические качества танка». </w:t>
      </w:r>
      <w:r w:rsidRPr="00925F26">
        <w:rPr>
          <w:color w:val="000000" w:themeColor="text1"/>
          <w:sz w:val="16"/>
          <w:szCs w:val="16"/>
        </w:rPr>
        <w:t xml:space="preserve">В заключении комиссия отметила: «...3. </w:t>
      </w:r>
      <w:r w:rsidRPr="00925F26">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925F26">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925F26">
        <w:rPr>
          <w:iCs/>
          <w:color w:val="000000" w:themeColor="text1"/>
          <w:sz w:val="16"/>
          <w:szCs w:val="16"/>
        </w:rPr>
        <w:softHyphen/>
        <w:t>танциях, а трансмиссия и ходовая часть сни</w:t>
      </w:r>
      <w:r w:rsidRPr="00925F26">
        <w:rPr>
          <w:iCs/>
          <w:color w:val="000000" w:themeColor="text1"/>
          <w:sz w:val="16"/>
          <w:szCs w:val="16"/>
        </w:rPr>
        <w:softHyphen/>
        <w:t>жают динамические качества танка.</w:t>
      </w:r>
    </w:p>
    <w:p w14:paraId="3F4AAB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925F26">
        <w:rPr>
          <w:iCs/>
          <w:color w:val="000000" w:themeColor="text1"/>
          <w:sz w:val="16"/>
          <w:szCs w:val="16"/>
        </w:rPr>
        <w:softHyphen/>
        <w:t>довать танк Т-54 на вооружение Красной Ар</w:t>
      </w:r>
      <w:r w:rsidRPr="00925F26">
        <w:rPr>
          <w:iCs/>
          <w:color w:val="000000" w:themeColor="text1"/>
          <w:sz w:val="16"/>
          <w:szCs w:val="16"/>
        </w:rPr>
        <w:softHyphen/>
        <w:t>мии с обязательным устранением отмечен</w:t>
      </w:r>
      <w:r w:rsidRPr="00925F26">
        <w:rPr>
          <w:iCs/>
          <w:color w:val="000000" w:themeColor="text1"/>
          <w:sz w:val="16"/>
          <w:szCs w:val="16"/>
        </w:rPr>
        <w:softHyphen/>
        <w:t>ных в отчете недостатков.</w:t>
      </w:r>
    </w:p>
    <w:p w14:paraId="2E957B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5. В связи с тем, что отработка ряда новых узлов может задержать ввод в се</w:t>
      </w:r>
      <w:r w:rsidRPr="00925F26">
        <w:rPr>
          <w:iCs/>
          <w:color w:val="000000" w:themeColor="text1"/>
          <w:sz w:val="16"/>
          <w:szCs w:val="16"/>
        </w:rPr>
        <w:softHyphen/>
        <w:t>рийное производство танка Т-54, необхо</w:t>
      </w:r>
      <w:r w:rsidRPr="00925F26">
        <w:rPr>
          <w:iCs/>
          <w:color w:val="000000" w:themeColor="text1"/>
          <w:sz w:val="16"/>
          <w:szCs w:val="16"/>
        </w:rPr>
        <w:softHyphen/>
        <w:t>димость в котором в армии весьма вели</w:t>
      </w:r>
      <w:r w:rsidRPr="00925F26">
        <w:rPr>
          <w:iCs/>
          <w:color w:val="000000" w:themeColor="text1"/>
          <w:sz w:val="16"/>
          <w:szCs w:val="16"/>
        </w:rPr>
        <w:softHyphen/>
        <w:t>ка, комиссия считает возможным начать производство танков Т-54, не ожидая вве</w:t>
      </w:r>
      <w:r w:rsidRPr="00925F26">
        <w:rPr>
          <w:iCs/>
          <w:color w:val="000000" w:themeColor="text1"/>
          <w:sz w:val="16"/>
          <w:szCs w:val="16"/>
        </w:rPr>
        <w:softHyphen/>
        <w:t>дения следующих узлов и механизмов, срочную отработку которых поручить заво</w:t>
      </w:r>
      <w:r w:rsidRPr="00925F26">
        <w:rPr>
          <w:iCs/>
          <w:color w:val="000000" w:themeColor="text1"/>
          <w:sz w:val="16"/>
          <w:szCs w:val="16"/>
        </w:rPr>
        <w:softHyphen/>
        <w:t>ду №183 в очередности, устанавливаемой НКГПиГБТУКА:</w:t>
      </w:r>
    </w:p>
    <w:p w14:paraId="37AE85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а) башни по типу танка ИС-3;</w:t>
      </w:r>
    </w:p>
    <w:p w14:paraId="3D3826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б) КПП с синхронизаторами и 2-х ступен</w:t>
      </w:r>
      <w:r w:rsidRPr="00925F26">
        <w:rPr>
          <w:iCs/>
          <w:color w:val="000000" w:themeColor="text1"/>
          <w:sz w:val="16"/>
          <w:szCs w:val="16"/>
        </w:rPr>
        <w:softHyphen/>
        <w:t>чатого планетарного механизма поворота танка;</w:t>
      </w:r>
    </w:p>
    <w:p w14:paraId="2E319D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экрана от гранат типа «Фауст»;</w:t>
      </w:r>
    </w:p>
    <w:p w14:paraId="4084AB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г) изменение углов наклона кормовых листов корпуса;</w:t>
      </w:r>
    </w:p>
    <w:p w14:paraId="3CBF800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iCs/>
          <w:color w:val="000000" w:themeColor="text1"/>
          <w:sz w:val="16"/>
          <w:szCs w:val="16"/>
        </w:rPr>
        <w:t>д) вращающегося пола боевого отделе</w:t>
      </w:r>
      <w:r w:rsidRPr="00925F26">
        <w:rPr>
          <w:iCs/>
          <w:color w:val="000000" w:themeColor="text1"/>
          <w:sz w:val="16"/>
          <w:szCs w:val="16"/>
        </w:rPr>
        <w:softHyphen/>
        <w:t>ния;</w:t>
      </w:r>
    </w:p>
    <w:p w14:paraId="199EB0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е) смотровых приборов по типу М4А2 в командирской башенке;</w:t>
      </w:r>
    </w:p>
    <w:p w14:paraId="77F2A8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ж) гусениц с цевочным зацеплением;</w:t>
      </w:r>
    </w:p>
    <w:p w14:paraId="333C0C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з) амортизаторов ходовой части (на всех катках).</w:t>
      </w:r>
    </w:p>
    <w:p w14:paraId="21C1B0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По мере отработки, эти механизмы вво</w:t>
      </w:r>
      <w:r w:rsidRPr="00925F26">
        <w:rPr>
          <w:iCs/>
          <w:color w:val="000000" w:themeColor="text1"/>
          <w:sz w:val="16"/>
          <w:szCs w:val="16"/>
        </w:rPr>
        <w:softHyphen/>
        <w:t>дить в серийное производство».</w:t>
      </w:r>
    </w:p>
    <w:p w14:paraId="1E97A3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1945 г. начальник ТУ ГЕТУ КА инженер-полковникА.И. Благонравов подпи</w:t>
      </w:r>
      <w:r w:rsidRPr="00925F26">
        <w:rPr>
          <w:color w:val="000000" w:themeColor="text1"/>
          <w:sz w:val="16"/>
          <w:szCs w:val="16"/>
        </w:rPr>
        <w:softHyphen/>
        <w:t>сал заключение по отчету об испытаниях опытного образца модернизированного тан</w:t>
      </w:r>
      <w:r w:rsidRPr="00925F26">
        <w:rPr>
          <w:color w:val="000000" w:themeColor="text1"/>
          <w:sz w:val="16"/>
          <w:szCs w:val="16"/>
        </w:rPr>
        <w:softHyphen/>
        <w:t>ка Т-44(Т-54).</w:t>
      </w:r>
    </w:p>
    <w:p w14:paraId="3A6347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925F26">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925F26">
        <w:rPr>
          <w:iCs/>
          <w:color w:val="000000" w:themeColor="text1"/>
          <w:sz w:val="16"/>
          <w:szCs w:val="16"/>
        </w:rPr>
        <w:softHyphen/>
        <w:t>ный образец, наиболее полно отвечающий упомянутым требованиям.</w:t>
      </w:r>
    </w:p>
    <w:p w14:paraId="0DAF91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Отчет комиссии по испытаниям опытно</w:t>
      </w:r>
      <w:r w:rsidRPr="00925F26">
        <w:rPr>
          <w:iCs/>
          <w:color w:val="000000" w:themeColor="text1"/>
          <w:sz w:val="16"/>
          <w:szCs w:val="16"/>
        </w:rPr>
        <w:softHyphen/>
        <w:t>го образца модернизированного танка Т-44-100 с замечаниями и предложениями, изло</w:t>
      </w:r>
      <w:r w:rsidRPr="00925F26">
        <w:rPr>
          <w:iCs/>
          <w:color w:val="000000" w:themeColor="text1"/>
          <w:sz w:val="16"/>
          <w:szCs w:val="16"/>
        </w:rPr>
        <w:softHyphen/>
        <w:t>женными выше, считаю возможным доло</w:t>
      </w:r>
      <w:r w:rsidRPr="00925F26">
        <w:rPr>
          <w:iCs/>
          <w:color w:val="000000" w:themeColor="text1"/>
          <w:sz w:val="16"/>
          <w:szCs w:val="16"/>
        </w:rPr>
        <w:softHyphen/>
        <w:t>жить для утверждения. Благонравов».</w:t>
      </w:r>
    </w:p>
    <w:p w14:paraId="237FCF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проведенных испытаний нарком танковой промышленно</w:t>
      </w:r>
      <w:r w:rsidRPr="00925F26">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925F26">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925F26">
        <w:rPr>
          <w:color w:val="000000" w:themeColor="text1"/>
          <w:sz w:val="16"/>
          <w:szCs w:val="16"/>
        </w:rPr>
        <w:softHyphen/>
        <w:t>миссией, на другом — планетарные механиз</w:t>
      </w:r>
      <w:r w:rsidRPr="00925F26">
        <w:rPr>
          <w:color w:val="000000" w:themeColor="text1"/>
          <w:sz w:val="16"/>
          <w:szCs w:val="16"/>
        </w:rPr>
        <w:softHyphen/>
        <w:t>мы поворота (ПМП).</w:t>
      </w:r>
    </w:p>
    <w:p w14:paraId="79485D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w:t>
      </w:r>
      <w:r w:rsidRPr="00925F26">
        <w:rPr>
          <w:color w:val="000000" w:themeColor="text1"/>
          <w:sz w:val="16"/>
          <w:szCs w:val="16"/>
        </w:rPr>
        <w:softHyphen/>
        <w:t>бовалось внести 68 изменений. Однако от</w:t>
      </w:r>
      <w:r w:rsidRPr="00925F26">
        <w:rPr>
          <w:color w:val="000000" w:themeColor="text1"/>
          <w:sz w:val="16"/>
          <w:szCs w:val="16"/>
        </w:rPr>
        <w:softHyphen/>
        <w:t>работка чертежей и опытного образца по данным предложениям на заводе № 183 дли</w:t>
      </w:r>
      <w:r w:rsidRPr="00925F26">
        <w:rPr>
          <w:color w:val="000000" w:themeColor="text1"/>
          <w:sz w:val="16"/>
          <w:szCs w:val="16"/>
        </w:rPr>
        <w:softHyphen/>
        <w:t>тельное время не производилась (11468).</w:t>
      </w:r>
    </w:p>
    <w:p w14:paraId="6840AE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4833B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 февраля 1945 г. начальник 1-го Отдела НКФ СССР А.Силаев в записке в правительство сообшал:</w:t>
      </w:r>
    </w:p>
    <w:p w14:paraId="097E09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насто</w:t>
      </w:r>
      <w:r w:rsidRPr="00925F26">
        <w:rPr>
          <w:color w:val="000000" w:themeColor="text1"/>
          <w:sz w:val="16"/>
          <w:szCs w:val="16"/>
        </w:rPr>
        <w:softHyphen/>
        <w:t>ящее время ряд сырьевых отраслей промышленности имеют оптовые цены ниже себестоимости, что влечет искусственное занижение себе</w:t>
      </w:r>
      <w:r w:rsidRPr="00925F26">
        <w:rPr>
          <w:color w:val="000000" w:themeColor="text1"/>
          <w:sz w:val="16"/>
          <w:szCs w:val="16"/>
        </w:rPr>
        <w:softHyphen/>
        <w:t>стоимости продукции не только обрабатывающей промышленно</w:t>
      </w:r>
      <w:r w:rsidRPr="00925F26">
        <w:rPr>
          <w:color w:val="000000" w:themeColor="text1"/>
          <w:sz w:val="16"/>
          <w:szCs w:val="16"/>
        </w:rPr>
        <w:softHyphen/>
        <w:t>сти, но и других отраслей хозяйства. Например, рентабельность Наркомата танковой промышленности в 1945 установлена в раз</w:t>
      </w:r>
      <w:r w:rsidRPr="00925F26">
        <w:rPr>
          <w:color w:val="000000" w:themeColor="text1"/>
          <w:sz w:val="16"/>
          <w:szCs w:val="16"/>
        </w:rPr>
        <w:softHyphen/>
        <w:t>мере 3,4%, при удельном весе сырья, материалов и топлива в стоимости затрат в размере 65%. Таким образом, рентабельность танковой промышленности целиком зависит от низких цен на ме</w:t>
      </w:r>
      <w:r w:rsidRPr="00925F26">
        <w:rPr>
          <w:color w:val="000000" w:themeColor="text1"/>
          <w:sz w:val="16"/>
          <w:szCs w:val="16"/>
        </w:rPr>
        <w:softHyphen/>
        <w:t>талл и топливо. Такое же положение наблюдается по НКВ и НКАП, где удельный вес потребляемого сырья и материалов в стоимости затрат составляет не менее 55%» (РГАЭ ф. 7733, оп. 36, д. 1927, л. 35).</w:t>
      </w:r>
    </w:p>
    <w:p w14:paraId="433551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заключении своей записки А.Силаев совершенно справед</w:t>
      </w:r>
      <w:r w:rsidRPr="00925F26">
        <w:rPr>
          <w:color w:val="000000" w:themeColor="text1"/>
          <w:sz w:val="16"/>
          <w:szCs w:val="16"/>
        </w:rPr>
        <w:softHyphen/>
        <w:t>ливо заметил, что «с точки зрения единого государственного пла</w:t>
      </w:r>
      <w:r w:rsidRPr="00925F26">
        <w:rPr>
          <w:color w:val="000000" w:themeColor="text1"/>
          <w:sz w:val="16"/>
          <w:szCs w:val="16"/>
        </w:rPr>
        <w:softHyphen/>
        <w:t>на развития народного хозяйства не имеет особого значения, в какой его отрасли, в конечном счете, перекрывается разрыв между затратами и отпускными ценами, однако, отсутствие нор</w:t>
      </w:r>
      <w:r w:rsidRPr="00925F26">
        <w:rPr>
          <w:color w:val="000000" w:themeColor="text1"/>
          <w:sz w:val="16"/>
          <w:szCs w:val="16"/>
        </w:rPr>
        <w:softHyphen/>
        <w:t>мального накопления и низкая рентабельность или убыточность ряда отраслей промышленности не обеспечивают правильных хо</w:t>
      </w:r>
      <w:r w:rsidRPr="00925F26">
        <w:rPr>
          <w:color w:val="000000" w:themeColor="text1"/>
          <w:sz w:val="16"/>
          <w:szCs w:val="16"/>
        </w:rPr>
        <w:softHyphen/>
        <w:t>зяйственных отношений между ними и нормального их участия в расширенном воспроизводстве; устраняется стимул к укрепле</w:t>
      </w:r>
      <w:r w:rsidRPr="00925F26">
        <w:rPr>
          <w:color w:val="000000" w:themeColor="text1"/>
          <w:sz w:val="16"/>
          <w:szCs w:val="16"/>
        </w:rPr>
        <w:softHyphen/>
        <w:t xml:space="preserve">нию хозяйственного расчета, особенно по наркоматам, у которых затраты не покрываются доходами» (РГАЭ ф. 7733, оп. 36, д. 1927, л. </w:t>
      </w:r>
      <w:proofErr w:type="gramStart"/>
      <w:r w:rsidRPr="00925F26">
        <w:rPr>
          <w:color w:val="000000" w:themeColor="text1"/>
          <w:sz w:val="16"/>
          <w:szCs w:val="16"/>
        </w:rPr>
        <w:t>34)(</w:t>
      </w:r>
      <w:proofErr w:type="gramEnd"/>
      <w:r w:rsidRPr="00925F26">
        <w:rPr>
          <w:color w:val="000000" w:themeColor="text1"/>
          <w:sz w:val="16"/>
          <w:szCs w:val="16"/>
        </w:rPr>
        <w:t>1655).</w:t>
      </w:r>
    </w:p>
    <w:p w14:paraId="6F970E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11FE202"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28 февраля 1945 года Нарком ГБ В.Н. Меркулов направил Л.П. Берия информационную записку о состоянии работ в США по созданию атомной бомбы.</w:t>
      </w:r>
    </w:p>
    <w:p w14:paraId="0F2E333B"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1. Информация была отмечена Л.П. Берией, как важная. В записке отмечается, что проведенные силами ведущих научных работников Англии и США работы по исследованию возможности создания атомной бомбы показали, что этот вид оружия следует считать осуществимым и что проблема сводится в данное время к двум задачам: </w:t>
      </w:r>
    </w:p>
    <w:p w14:paraId="7A70235D"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производству необходимого количества расщепляющихся материалов - урана-235 и плутония; </w:t>
      </w:r>
    </w:p>
    <w:p w14:paraId="3B09AB2F"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конструктивной разработке проведения бомбы в действие (10549).</w:t>
      </w:r>
    </w:p>
    <w:p w14:paraId="7CF90269"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этими задачами в США созданы следующие центры: </w:t>
      </w:r>
    </w:p>
    <w:p w14:paraId="77DE7C43"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лагерь "Х" (Вудс Холл, штат Теннеси) - строительство завода по производству U-235; </w:t>
      </w:r>
    </w:p>
    <w:p w14:paraId="2D521BF0"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лагерь "W" (Хэнфорд, штат Вашингтон) - производство плутония; </w:t>
      </w:r>
    </w:p>
    <w:p w14:paraId="42069AEE"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лагерь "Y" (Лос-Аламос, штат Нью-Мексико) - исследовательские и экспериментальные работы по созданию бомбы (10549).</w:t>
      </w:r>
    </w:p>
    <w:p w14:paraId="12728703"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2. Расчетное энерговыделение бомбы общим весом около 3 тонн эквивалентно энергии от 2 000 до 10 000 тонн ВВ.</w:t>
      </w:r>
    </w:p>
    <w:p w14:paraId="4EB23CCE"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Взрыв атомной бомбы будет сопровождаться не только образованием взрывной волны, но и развитием высокой температуры и мощным радиоактивным эффектом, в результате чего все живое будет уничтожено в радиусе до 1 км (10549).</w:t>
      </w:r>
    </w:p>
    <w:p w14:paraId="26D385F3"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3. Разрабатывается два способа производства взрыва атомной бомбы: </w:t>
      </w:r>
    </w:p>
    <w:p w14:paraId="1BC69053"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баллистический (то есть сближение); </w:t>
      </w:r>
    </w:p>
    <w:p w14:paraId="2B9B79D9"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методом внутреннего взрыва (то есть имплозия) (10549).</w:t>
      </w:r>
    </w:p>
    <w:p w14:paraId="069E4E6E"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Предполагается, что для изготовления первой бомбы потребуется от одного года до пяти лет (10549).</w:t>
      </w:r>
    </w:p>
    <w:p w14:paraId="02338837"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бомб несколько меньшей мощности, то через несколько недель можно ожидать изготовления одной или двух бомб, для чего американцы уже имеют в наличии необходимое количество активного вещества. Первый опытный взрыв ожидается через два-три месяца (10549).</w:t>
      </w:r>
    </w:p>
    <w:p w14:paraId="0DFD4694" w14:textId="77777777" w:rsidR="005903DB" w:rsidRPr="00925F26" w:rsidRDefault="005903DB" w:rsidP="00925F26">
      <w:pPr>
        <w:autoSpaceDE w:val="0"/>
        <w:autoSpaceDN w:val="0"/>
        <w:adjustRightInd w:val="0"/>
        <w:jc w:val="both"/>
        <w:rPr>
          <w:color w:val="000000" w:themeColor="text1"/>
          <w:sz w:val="16"/>
          <w:szCs w:val="16"/>
        </w:rPr>
      </w:pPr>
    </w:p>
    <w:p w14:paraId="48894FC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6C6054B" w14:textId="77777777" w:rsidR="00665165" w:rsidRPr="00925F26" w:rsidRDefault="00665165" w:rsidP="00925F26">
      <w:pPr>
        <w:autoSpaceDE w:val="0"/>
        <w:autoSpaceDN w:val="0"/>
        <w:adjustRightInd w:val="0"/>
        <w:jc w:val="both"/>
        <w:rPr>
          <w:iCs/>
          <w:color w:val="000000" w:themeColor="text1"/>
          <w:sz w:val="16"/>
          <w:szCs w:val="16"/>
        </w:rPr>
      </w:pPr>
    </w:p>
    <w:p w14:paraId="05C5E817"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оперативная сводка Совинформбюро:</w:t>
      </w:r>
    </w:p>
    <w:p w14:paraId="146565AB" w14:textId="77777777" w:rsidR="005903DB" w:rsidRPr="00925F26" w:rsidRDefault="005903DB" w:rsidP="00925F26">
      <w:pPr>
        <w:jc w:val="both"/>
        <w:rPr>
          <w:color w:val="000000" w:themeColor="text1"/>
          <w:sz w:val="16"/>
          <w:szCs w:val="16"/>
        </w:rPr>
      </w:pPr>
      <w:r w:rsidRPr="00925F26">
        <w:rPr>
          <w:color w:val="000000" w:themeColor="text1"/>
          <w:sz w:val="16"/>
          <w:szCs w:val="16"/>
        </w:rPr>
        <w:t>В течение 28 февраля юго-западнее Кенигсберга наши войска в результате наступательных боёв заняли населённые пункты Грюнлинде, Ворвеген, Лемкюнен, Оттен, Готтесгнаде, Фридрихсхоф.</w:t>
      </w:r>
    </w:p>
    <w:p w14:paraId="10FA0427" w14:textId="77777777" w:rsidR="005903DB" w:rsidRPr="00925F26" w:rsidRDefault="005903DB"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28 февраля овладели городами Нойштеттин и Прехлау — важными узлами коммуникаций и сильными опорными пунктами обороны немцев в Померании, а также с боями заняли более 50 других населённых пунктов и среди них Сворнигац, Гласхютте, Нойгут, Айзенхаммер, Грабау, Гросс-Карценбург, Вурхоф, Шпарзее, Штрайтцих.</w:t>
      </w:r>
    </w:p>
    <w:p w14:paraId="627DF407" w14:textId="77777777" w:rsidR="005903DB" w:rsidRPr="00925F26" w:rsidRDefault="005903DB" w:rsidP="00925F26">
      <w:pPr>
        <w:jc w:val="both"/>
        <w:rPr>
          <w:color w:val="000000" w:themeColor="text1"/>
          <w:sz w:val="16"/>
          <w:szCs w:val="16"/>
        </w:rPr>
      </w:pPr>
      <w:r w:rsidRPr="00925F26">
        <w:rPr>
          <w:color w:val="000000" w:themeColor="text1"/>
          <w:sz w:val="16"/>
          <w:szCs w:val="16"/>
        </w:rPr>
        <w:t>В районе Бреслау наши войска вели бои по уничтожению окруженной в городе группировки противника, в ходе которых овладели пригородом Клейнечанш, металлургическим заводом «Шварц», газовым заводом и заняли 10 кварталов.</w:t>
      </w:r>
    </w:p>
    <w:p w14:paraId="1507A2A9" w14:textId="77777777" w:rsidR="005903DB" w:rsidRPr="00925F26" w:rsidRDefault="005903DB"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60F7F95F" w14:textId="77777777" w:rsidR="005903DB" w:rsidRPr="00925F26" w:rsidRDefault="005903DB" w:rsidP="00925F26">
      <w:pPr>
        <w:jc w:val="both"/>
        <w:rPr>
          <w:color w:val="000000" w:themeColor="text1"/>
          <w:sz w:val="16"/>
          <w:szCs w:val="16"/>
        </w:rPr>
      </w:pPr>
      <w:r w:rsidRPr="00925F26">
        <w:rPr>
          <w:color w:val="000000" w:themeColor="text1"/>
          <w:sz w:val="16"/>
          <w:szCs w:val="16"/>
        </w:rPr>
        <w:t>За 27 февраля на всех фронтах подбито и уничтожено 29 немецких танков. В воздушных боях и огнём зенитной артиллерии сбито 6 самолётов противника.</w:t>
      </w:r>
    </w:p>
    <w:p w14:paraId="24269265" w14:textId="77777777" w:rsidR="005903DB" w:rsidRPr="00925F26" w:rsidRDefault="005903DB" w:rsidP="00925F26">
      <w:pPr>
        <w:jc w:val="both"/>
        <w:rPr>
          <w:color w:val="000000" w:themeColor="text1"/>
          <w:sz w:val="16"/>
          <w:szCs w:val="16"/>
        </w:rPr>
      </w:pPr>
      <w:r w:rsidRPr="00925F26">
        <w:rPr>
          <w:color w:val="000000" w:themeColor="text1"/>
          <w:sz w:val="16"/>
          <w:szCs w:val="16"/>
        </w:rPr>
        <w:t>Юго-западнее города Кенигсберг наши войска продолжали сжимать кольцо вокруг Восточно-Прусской группировки противника. В результате упорного боя части Н-ского соединения заняли несколько сильно укреплённых опорных пунктов. Захвачены трофеи. Противник, пытаясь вернуть потерянные накануне позиции, за ночь предпринял шестнадцать контратак. Советские части успешно отбили все вражеские контратаки. Рано утром наши подразделения вновь продвинулись вперёд и улучшили свои позиции.</w:t>
      </w:r>
    </w:p>
    <w:p w14:paraId="76CB0135" w14:textId="77777777" w:rsidR="005903DB" w:rsidRPr="00925F26" w:rsidRDefault="005903DB" w:rsidP="00925F26">
      <w:pPr>
        <w:jc w:val="both"/>
        <w:rPr>
          <w:color w:val="000000" w:themeColor="text1"/>
          <w:sz w:val="16"/>
          <w:szCs w:val="16"/>
        </w:rPr>
      </w:pPr>
      <w:r w:rsidRPr="00925F26">
        <w:rPr>
          <w:color w:val="000000" w:themeColor="text1"/>
          <w:sz w:val="16"/>
          <w:szCs w:val="16"/>
        </w:rPr>
        <w:t>На одном участке мощный железобетонный дот преграждал путь нашей пехоте.</w:t>
      </w:r>
    </w:p>
    <w:p w14:paraId="64FA4A42" w14:textId="77777777" w:rsidR="005903DB" w:rsidRPr="00925F26" w:rsidRDefault="005903DB" w:rsidP="00925F26">
      <w:pPr>
        <w:jc w:val="both"/>
        <w:rPr>
          <w:color w:val="000000" w:themeColor="text1"/>
          <w:sz w:val="16"/>
          <w:szCs w:val="16"/>
        </w:rPr>
      </w:pPr>
      <w:r w:rsidRPr="00925F26">
        <w:rPr>
          <w:color w:val="000000" w:themeColor="text1"/>
          <w:sz w:val="16"/>
          <w:szCs w:val="16"/>
        </w:rPr>
        <w:t>Шесть сапёров из подразделения гвардии старшего лейтенанта Долговязова ночью подползли к доту и заложили 14 противотанковых мин. В результате взрыва дот был уничтожен вместе с находившимися в нём гитлеровцами. Отражая вражескую контратаку, орудийный расчёт сержанта Молочкова поджёг два немецких самоходных орудия. Пулемётчики рядовые Данильчев и Бычков метким огнём рассеяли роту пехоты противника, уничтожив при этом группу немцев.</w:t>
      </w:r>
    </w:p>
    <w:p w14:paraId="70FFB77E" w14:textId="77777777" w:rsidR="005903DB" w:rsidRPr="00925F26" w:rsidRDefault="005903DB" w:rsidP="00925F26">
      <w:pPr>
        <w:jc w:val="both"/>
        <w:rPr>
          <w:color w:val="000000" w:themeColor="text1"/>
          <w:sz w:val="16"/>
          <w:szCs w:val="16"/>
        </w:rPr>
      </w:pPr>
      <w:r w:rsidRPr="00925F26">
        <w:rPr>
          <w:color w:val="000000" w:themeColor="text1"/>
          <w:sz w:val="16"/>
          <w:szCs w:val="16"/>
        </w:rPr>
        <w:t>Войска 2-го Белорусского фронта продолжали развивать наступление. Советские пехотинцы, танкисты и конники наносят противнику сильные удары и при поддержке артиллерии и авиации громят его узлы сопротивления. Продвигаясь вперёд, части гвардейского кавалерийского соединения вышли на подступы к городу Нойштеттин. Подразделения конников атаковали немцев, укрепившихся на южной окраине города, и отвлекли на себя основные силы гарнизона. В это время другие наши части совершили обходный манёвр и ворвались в город с севера. Зажатый с двух сторон, вражеский гарнизон был разгромлён. Город Нойштеттин— важный опорный пункт обороны немцев, узел пяти железных и нескольких шоссейных дорог — занят нашими войсками. За день боёв уничтожено до 3 тысяч солдат и офицеров противника. Нашими частями захвачено 5 паровозов, 200 вагонов с грузами, 9 складов с боеприпасами и другие трофеи. Взято в плен более 600 немцев.</w:t>
      </w:r>
    </w:p>
    <w:p w14:paraId="1D2F3DBC" w14:textId="77777777" w:rsidR="005903DB" w:rsidRPr="00925F26" w:rsidRDefault="005903DB" w:rsidP="00925F26">
      <w:pPr>
        <w:jc w:val="both"/>
        <w:rPr>
          <w:color w:val="000000" w:themeColor="text1"/>
          <w:sz w:val="16"/>
          <w:szCs w:val="16"/>
        </w:rPr>
      </w:pPr>
      <w:r w:rsidRPr="00925F26">
        <w:rPr>
          <w:color w:val="000000" w:themeColor="text1"/>
          <w:sz w:val="16"/>
          <w:szCs w:val="16"/>
        </w:rPr>
        <w:t>В городе Нойштеттин освобождено 1.500 советских граждан, угнанных немцами на каторжные работы.</w:t>
      </w:r>
    </w:p>
    <w:p w14:paraId="38600A92" w14:textId="77777777" w:rsidR="005903DB" w:rsidRPr="00925F26" w:rsidRDefault="005903DB" w:rsidP="00925F26">
      <w:pPr>
        <w:jc w:val="both"/>
        <w:rPr>
          <w:color w:val="000000" w:themeColor="text1"/>
          <w:sz w:val="16"/>
          <w:szCs w:val="16"/>
        </w:rPr>
      </w:pPr>
      <w:r w:rsidRPr="00925F26">
        <w:rPr>
          <w:color w:val="000000" w:themeColor="text1"/>
          <w:sz w:val="16"/>
          <w:szCs w:val="16"/>
        </w:rPr>
        <w:t>Бойцы и офицеры 2-го Белорусского фронта успешно громят противника. Рота лейтенанта Савина, совершив умелый обходный манёвр, заняла один опорный пункт, уничтожив при этом несколько десятков гитлеровцев. Бойцы роты захватили у немцев самоходное орудие и 12 полевых орудий. На другом участке старший сержант Пустоваров в рукопашной схватке истребил 5 немцев и захватил два пулемёта. Рядовой Осюкевич вступил в бой с группой вражеских солдат и огнём из ручного пулемёта уничтожил 17 гитлеровцев. Разведчик красноармеец Карнаухов, выполняя боевое задание, убил четырёх немецких солдат и одного офицера.</w:t>
      </w:r>
    </w:p>
    <w:p w14:paraId="5782627F" w14:textId="77777777" w:rsidR="005903DB" w:rsidRPr="00925F26" w:rsidRDefault="005903DB" w:rsidP="00925F26">
      <w:pPr>
        <w:jc w:val="both"/>
        <w:rPr>
          <w:color w:val="000000" w:themeColor="text1"/>
          <w:sz w:val="16"/>
          <w:szCs w:val="16"/>
        </w:rPr>
      </w:pPr>
      <w:r w:rsidRPr="00925F26">
        <w:rPr>
          <w:color w:val="000000" w:themeColor="text1"/>
          <w:sz w:val="16"/>
          <w:szCs w:val="16"/>
        </w:rPr>
        <w:t>В районе Бреслау наши войска продолжали вести бои по ликвидации окружённой группировки противника. Продвигаясь вдоль железной дороги Оппельн — Бреслау, советские части заняли пригород Клейне-Чанш и ворвались в юго-восточную часть города. После упорных боёв наши штурмовые группы очистили от немцев металлургический завод «Шварц», превращенный гитлеровцами в узел сопротивления. Наши подразделения ворвались также на металлургический завод «Вольф» и ведут бои с противником. На одном участке группа немецких солдат численностью в 70 человек с поднятыми руками направилась к нашим позициям. Со стороны противника был открыт сильный пулемётный и миномётный огонь. Часть немецких солдат была убита. Остальные достигли советских позиций и сдались в плен.</w:t>
      </w:r>
    </w:p>
    <w:p w14:paraId="40098BB6" w14:textId="77777777" w:rsidR="005903DB" w:rsidRPr="00925F26" w:rsidRDefault="005903DB" w:rsidP="00925F26">
      <w:pPr>
        <w:jc w:val="both"/>
        <w:rPr>
          <w:color w:val="000000" w:themeColor="text1"/>
          <w:sz w:val="16"/>
          <w:szCs w:val="16"/>
        </w:rPr>
      </w:pPr>
      <w:r w:rsidRPr="00925F26">
        <w:rPr>
          <w:color w:val="000000" w:themeColor="text1"/>
          <w:sz w:val="16"/>
          <w:szCs w:val="16"/>
        </w:rPr>
        <w:t>Взятый в плен в Восточной Пруссии командир 1092-го полка 547-й немецкой пехотной дивизии подполковник Франц Беллер рассказал: «Десятидневные непрерывные бои обескровили мой полк. За это время мы потеряли убитыми и ранеными свыше 600 солдат и 20 офицеров. После того как солдаты узнали, что Восточная Пруссия полностью отрезана, они потеряли всякую веру в свои силы. С каждым днём увеличивается количество «отставших» солдат. Многие из них, стремясь увильнуть от участия в бою, умышленно отстают от своего подразделения и шатаются в тылу. Боеспособность немецких солдат невиданно пала. У офицеров также очень подавленное состояние. Они потеряли всякую надежду на какой-либо выход из тупика» (15054).</w:t>
      </w:r>
    </w:p>
    <w:p w14:paraId="49419C55" w14:textId="77777777" w:rsidR="005903DB" w:rsidRPr="00925F26" w:rsidRDefault="005903DB" w:rsidP="00925F26">
      <w:pPr>
        <w:jc w:val="both"/>
        <w:rPr>
          <w:color w:val="000000" w:themeColor="text1"/>
          <w:sz w:val="16"/>
          <w:szCs w:val="16"/>
        </w:rPr>
      </w:pPr>
    </w:p>
    <w:p w14:paraId="7517533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February 28, 1945: In the East, the Red Army suspends all offensive operations against the lines of Heeresgruppe Kurland. In the West, the US Ninth Army achieves a breakthrough near Erkelenz 30 miles W of Cologne, but losing 100 tanks in the process (3819).</w:t>
      </w:r>
    </w:p>
    <w:p w14:paraId="1ADFC211" w14:textId="77777777" w:rsidR="00665165" w:rsidRPr="00925F26" w:rsidRDefault="00665165" w:rsidP="00925F26">
      <w:pPr>
        <w:autoSpaceDE w:val="0"/>
        <w:autoSpaceDN w:val="0"/>
        <w:adjustRightInd w:val="0"/>
        <w:jc w:val="both"/>
        <w:rPr>
          <w:color w:val="000000" w:themeColor="text1"/>
          <w:sz w:val="16"/>
          <w:szCs w:val="16"/>
          <w:lang w:val="en-US"/>
        </w:rPr>
      </w:pPr>
    </w:p>
    <w:p w14:paraId="1524C7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февраля 1945 КА приостановила наступление против Группы Курляндия. 9А США прорвалась на Эркеленц в 30 милях от Кельно, потеряв 100 танков (3819).</w:t>
      </w:r>
    </w:p>
    <w:p w14:paraId="3F03F58B" w14:textId="77777777" w:rsidR="00665165" w:rsidRPr="00925F26" w:rsidRDefault="00665165" w:rsidP="00925F26">
      <w:pPr>
        <w:autoSpaceDE w:val="0"/>
        <w:autoSpaceDN w:val="0"/>
        <w:adjustRightInd w:val="0"/>
        <w:jc w:val="both"/>
        <w:rPr>
          <w:color w:val="000000" w:themeColor="text1"/>
          <w:sz w:val="16"/>
          <w:szCs w:val="16"/>
        </w:rPr>
      </w:pPr>
    </w:p>
    <w:p w14:paraId="15EFB7E1" w14:textId="77777777" w:rsidR="00D44763" w:rsidRPr="00925F26" w:rsidRDefault="00D4476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28 февраля 1945 г. был подписан акт готовности 571-й штурмового авиаполка подполковника М. И. Безуха к убытию на фронт,  согласно которому полк имел в своем составе 42 летчика, прошедших программу переучивания на Ил-10. Из этого числа 38 летчиков имели боевой опыт на самолете Ил -2. В ходе переучивания полк получил из 5 зап на пополнение двух летчиков, переучившихся на самолете Ил-10. Налет на одного летчика полка на Ил-10 составил 3 ч 7 мин (17 посадок), в том числе 2 ч 44 мин (13 посадок) на боевое применение (17490).</w:t>
      </w:r>
    </w:p>
    <w:p w14:paraId="286DF92C" w14:textId="77777777" w:rsidR="00D44763" w:rsidRPr="00925F26" w:rsidRDefault="00D44763" w:rsidP="00925F26">
      <w:pPr>
        <w:jc w:val="both"/>
        <w:rPr>
          <w:rStyle w:val="107"/>
          <w:rFonts w:eastAsiaTheme="minorHAnsi"/>
          <w:color w:val="000000" w:themeColor="text1"/>
          <w:sz w:val="16"/>
          <w:szCs w:val="16"/>
        </w:rPr>
      </w:pPr>
    </w:p>
    <w:p w14:paraId="1DFCDC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февраля 1945 г. вышел ПРИКАЗ № 039 С ОБЪЯВЛЕНИЕМ ПОЛОЖЕНИЯ И ШТАТОВ ТРОФЕЙНЫХ ОРГАНОВ КРАСНОЙ АРМИИ</w:t>
      </w:r>
    </w:p>
    <w:p w14:paraId="08B48F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Одобрен Народным комиссаром обороны СССР</w:t>
      </w:r>
    </w:p>
    <w:p w14:paraId="11EDF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ГОКО № 7563 от 21 февраля 1945 года приказываю:</w:t>
      </w:r>
    </w:p>
    <w:p w14:paraId="71023A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Главное трофейное управление Красной Армии подчинить начальнику тыла Красной Армии, а трофейные управления фронтов и трофейные отделы армий — начальникам тылов фронтов и армий.</w:t>
      </w:r>
    </w:p>
    <w:p w14:paraId="7D9C99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Ввести в действие объявляемые:</w:t>
      </w:r>
    </w:p>
    <w:p w14:paraId="7BB01A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Положение о трофейных органах, трофейных частях и учреждениях Красной Армии (приложение № 1);</w:t>
      </w:r>
    </w:p>
    <w:p w14:paraId="2DFFCE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штаты Главного трофейного управления Красной Армии (приложение № 2");</w:t>
      </w:r>
    </w:p>
    <w:p w14:paraId="499E59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штаты трофейного управления фронта и трофейного отдела армии для 1-го Прибалтийского, 1, 2, 3-го Белорусских, 1, 2, 3 и 4-го Украинских фронтов (приложения № 3" и 4").</w:t>
      </w:r>
    </w:p>
    <w:p w14:paraId="5AE413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Расформировать отделы по учету и использованию трофейного народнохозяйственного имущества при штабах начальника тыла Красной Армии, тылов фронтов и армий и личный состав обратить на укомплектование трофейных органов по новым штатам.</w:t>
      </w:r>
    </w:p>
    <w:p w14:paraId="7AD774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Оставить в штатах начальника тыла Красной Армии, тыла фронтов и армий должности заместителей начальников тыла для руководства работой трофейных органов фронтов и армий.</w:t>
      </w:r>
    </w:p>
    <w:p w14:paraId="3699C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Включить в состав частей Главного трофейного управления Красной Армии сформированные 80 рабочих батальонов, 8 отдельных автобатов, 20 армейских баз с ротами обслуживания и авторотами и 5 центральных баз с авторотами.</w:t>
      </w:r>
    </w:p>
    <w:p w14:paraId="444F9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Запретить использование трофейных частей не по прямому назначению и изъятие из трофейных частей и учреждений личного состава, транспорта и технических средств.</w:t>
      </w:r>
    </w:p>
    <w:p w14:paraId="3C2338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Предоставить начальникам трофейных управлений фронтов и отделов армий право подачи шифрованных телеграмм.</w:t>
      </w:r>
    </w:p>
    <w:p w14:paraId="2E2D2E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Приказ НКО № 0109 от 28 апреля 1944 года* отменить.</w:t>
      </w:r>
    </w:p>
    <w:p w14:paraId="1650FBD8"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 xml:space="preserve">Заместитель Народного комиссара обороны СССР генерал армии БУЛГАНИН </w:t>
      </w:r>
      <w:r w:rsidRPr="00925F26">
        <w:rPr>
          <w:color w:val="000000" w:themeColor="text1"/>
          <w:sz w:val="16"/>
          <w:szCs w:val="16"/>
        </w:rPr>
        <w:t>(9844).</w:t>
      </w:r>
    </w:p>
    <w:p w14:paraId="3BDA47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Приложение № 1</w:t>
      </w:r>
    </w:p>
    <w:p w14:paraId="3FEBCA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28 февраля 1945 г. Заместитель Народного комиссара обороны СССР генерал армии </w:t>
      </w:r>
      <w:r w:rsidRPr="00925F26">
        <w:rPr>
          <w:iCs/>
          <w:color w:val="000000" w:themeColor="text1"/>
          <w:sz w:val="16"/>
          <w:szCs w:val="16"/>
        </w:rPr>
        <w:t xml:space="preserve">БУЛГАНИН </w:t>
      </w:r>
      <w:r w:rsidRPr="00925F26">
        <w:rPr>
          <w:color w:val="000000" w:themeColor="text1"/>
          <w:sz w:val="16"/>
          <w:szCs w:val="16"/>
        </w:rPr>
        <w:t>утвердил:</w:t>
      </w:r>
    </w:p>
    <w:p w14:paraId="53CCF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ПОЛОЖЕНИЕ О ТРОФЕЙНЫХ ОРГАНАХ, ЧАСТЯХ И УЧРЕЖДЕНИЯХ КРАСНОЙ АРМИИ</w:t>
      </w:r>
    </w:p>
    <w:p w14:paraId="78ADE1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 Общие положения</w:t>
      </w:r>
    </w:p>
    <w:p w14:paraId="41AB5D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Трофейные органы, части и учреждения Красной Армии обеспечивают:</w:t>
      </w:r>
    </w:p>
    <w:p w14:paraId="6625C1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выявление, учет и демонтаж по решению Правительства предприятий, погрузку, транспортировку с охраной в пути оборудования, материалов, готовой продукции, захваченных нашими войсками в городах, населенных пунктах и промышленных центрах на территории противника;</w:t>
      </w:r>
    </w:p>
    <w:p w14:paraId="5173EC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передачу по решениям военных советов фронтов, армий продовольствия, фуража, горючего и интендантского имущества довольствующим службам фронтов (армий);</w:t>
      </w:r>
    </w:p>
    <w:p w14:paraId="674D56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сбор, учет, охрану и передачу довольствующим службам во фронтах и армиях трофейного вооружения, боеприпасов, боевой техники и военно-технического имущества;</w:t>
      </w:r>
    </w:p>
    <w:p w14:paraId="1D0383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сбор в прифронтовой полосе металлического лома и отгрузку на заводы и предприятия промышленности;</w:t>
      </w:r>
    </w:p>
    <w:p w14:paraId="2AE5AA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 учет собранного, вывезенного и переданного довольствующим службам Красной Армии и наркоматам трофейного имущества и вооружения. 2. Трофейными органами в Красной Армии являются:</w:t>
      </w:r>
    </w:p>
    <w:p w14:paraId="47BD1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 центре — Главное трофейное управление Красной Армии;</w:t>
      </w:r>
    </w:p>
    <w:p w14:paraId="3CD57B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во фронте — трофейное управление;</w:t>
      </w:r>
    </w:p>
    <w:p w14:paraId="64E19B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 армии — трофейный отдел;</w:t>
      </w:r>
    </w:p>
    <w:p w14:paraId="3E1A10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 войсковых соединениях действующей армии — трофейные отделения корпуса и дивизии;</w:t>
      </w:r>
    </w:p>
    <w:p w14:paraId="08EB43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помощники комендантов городов и населенных пунктов по хозяйственным вопросам.</w:t>
      </w:r>
    </w:p>
    <w:p w14:paraId="448B2A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В состав трофейных частей Красной Армии входят:</w:t>
      </w:r>
    </w:p>
    <w:p w14:paraId="29E486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фронтовые трофейные бригады;</w:t>
      </w:r>
    </w:p>
    <w:p w14:paraId="3EF691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армейские трофейные батальоны;</w:t>
      </w:r>
    </w:p>
    <w:p w14:paraId="14344A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рабочие батальоны;</w:t>
      </w:r>
    </w:p>
    <w:p w14:paraId="3518DC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отдельные демонтажные батальоны;</w:t>
      </w:r>
    </w:p>
    <w:p w14:paraId="15C429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эвакопоезда;</w:t>
      </w:r>
    </w:p>
    <w:p w14:paraId="217539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автополки;</w:t>
      </w:r>
    </w:p>
    <w:p w14:paraId="293CD7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автобатальоны;</w:t>
      </w:r>
    </w:p>
    <w:p w14:paraId="1E231F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армейские базы;</w:t>
      </w:r>
    </w:p>
    <w:p w14:paraId="448192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перевалочные базы;</w:t>
      </w:r>
    </w:p>
    <w:p w14:paraId="39DEDE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армейские трофейные роты;</w:t>
      </w:r>
    </w:p>
    <w:p w14:paraId="35FD0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эвакороты;</w:t>
      </w:r>
    </w:p>
    <w:p w14:paraId="46C944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эвако-подъемно-такелажные взводы;</w:t>
      </w:r>
    </w:p>
    <w:p w14:paraId="3260B6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демонтажные взводы;</w:t>
      </w:r>
    </w:p>
    <w:p w14:paraId="435294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армейские трофейные склады;</w:t>
      </w:r>
    </w:p>
    <w:p w14:paraId="5213B5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разделочные базы.</w:t>
      </w:r>
    </w:p>
    <w:p w14:paraId="591626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Сбор, учет и передача трофейного и оставленного отечественного вооружения и поенного имущества на поле боя в войсковом тылу производится трофейными командами, создаваемыми командирами войсковых соединений и частей всех родов войск, в соответствии с Постановлением ГОКО № 4329 от 15 октября 1943 г.</w:t>
      </w:r>
    </w:p>
    <w:p w14:paraId="41DDD6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 Главное трофейное управление Красной Армии</w:t>
      </w:r>
    </w:p>
    <w:p w14:paraId="76764F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Главное трофейное управление Красной Армии возлагается:</w:t>
      </w:r>
    </w:p>
    <w:p w14:paraId="33CA7E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Организация демонтажа трофейных предприятий, погрузка и охрана в пути вывозимого трофейного оборудования, материалов и готовой продукции.</w:t>
      </w:r>
    </w:p>
    <w:p w14:paraId="7A5B16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 соответствии с решениями Правительства составление планов демонтажа, вывоза и сдачи оборудования трофейных промышленных предприятий и народнохозяйственного имущества.</w:t>
      </w:r>
    </w:p>
    <w:p w14:paraId="13763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Руководство учетом и сбором трофейного вооружения и военного имущества.</w:t>
      </w:r>
    </w:p>
    <w:p w14:paraId="3A276B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Учет собранного и переданного довольствующим службам Красной Армии и наркоматам трофейного народнохозяйственного имущества, вооружения, боеприпасов, боевой техники и другого военного имущества.</w:t>
      </w:r>
    </w:p>
    <w:p w14:paraId="154AA3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Организация сбора и вывоза из прифронтовой полосы металлолома.</w:t>
      </w:r>
    </w:p>
    <w:p w14:paraId="6B5D64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Руководство трофейными частями и учреждениями и их материально-техническим обеспечением.</w:t>
      </w:r>
    </w:p>
    <w:p w14:paraId="78F34E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Разработка вопросов по формированию трофейных частей и учреждений.</w:t>
      </w:r>
    </w:p>
    <w:p w14:paraId="292694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Издание наставлений, инструкций по работам и программ по боевой и специальной подготовке частей и учреждений трофейной службы.</w:t>
      </w:r>
    </w:p>
    <w:p w14:paraId="481C40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Руководство боевой и специальной подготовкой подчиненных частей и соединений.</w:t>
      </w:r>
    </w:p>
    <w:p w14:paraId="7ED12F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Составление смет, производственно-финансовых планов и производство денежных расчетов.</w:t>
      </w:r>
    </w:p>
    <w:p w14:paraId="3A1BDF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Начальник Главного трофейного управления Красной Армии по кругу возложенных на него обязанностей:</w:t>
      </w:r>
    </w:p>
    <w:p w14:paraId="5A54EA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издает приказы и распоряжения трофейным частям и соединениям;</w:t>
      </w:r>
    </w:p>
    <w:p w14:paraId="06B2F4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издает приказы по личному составу трофейных частей, соединений и учреждений о назначении и перемещении на должности.</w:t>
      </w:r>
    </w:p>
    <w:p w14:paraId="1A53F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В непосредственном подчинении начальника Главного трофейного управления состоят:</w:t>
      </w:r>
    </w:p>
    <w:p w14:paraId="2236EB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трофейные управления фронтов;</w:t>
      </w:r>
    </w:p>
    <w:p w14:paraId="2FF292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фронтовые трофейные бригады;</w:t>
      </w:r>
    </w:p>
    <w:p w14:paraId="07DEE9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трофейные, демонтажные и рабочие батальоны;</w:t>
      </w:r>
    </w:p>
    <w:p w14:paraId="0DBFC1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эвакопоезда и эвакороты;</w:t>
      </w:r>
    </w:p>
    <w:p w14:paraId="10692D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перевалочные базы; е) разделочные базы.</w:t>
      </w:r>
    </w:p>
    <w:p w14:paraId="2E13B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III. Трофейное управление фронта и трофейный отдел армии</w:t>
      </w:r>
    </w:p>
    <w:p w14:paraId="459D24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трофейные управления фронтов и трофейные отделы армий возлагается:</w:t>
      </w:r>
    </w:p>
    <w:p w14:paraId="387B7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Демонтаж трофейных предприятий и отгрузка оборудования, материалов и готовой продукции в тыл страны в соответствии с решениями Правительства Союза ССР.</w:t>
      </w:r>
    </w:p>
    <w:p w14:paraId="73DA32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Обеспечение транспортировки и охраны в пути трофейного оборудования, материалов и готовой продукции.</w:t>
      </w:r>
    </w:p>
    <w:p w14:paraId="14D9BA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Учет и сбор трофейного вооружения, боеприпасов и военного имущества.</w:t>
      </w:r>
    </w:p>
    <w:p w14:paraId="7FDE51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Передача довольствующим службам вооружения, боеприпасов, боевой техники, продовольствия, фуража, горючего.</w:t>
      </w:r>
    </w:p>
    <w:p w14:paraId="0EDE48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Привлечение местной рабочей силы и гуже-автотранспорта для сбора и вывоза трофеев.</w:t>
      </w:r>
    </w:p>
    <w:p w14:paraId="00A18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Учет всего собранного, переданного довольствующим службам и наркоматам трофейного народнохозяйственного имущества, вооружения, боеприпасов, боевой техники и другого военного имущества.</w:t>
      </w:r>
    </w:p>
    <w:p w14:paraId="4F836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Выдача нарядов на передачу и транспортировку народнохозяйственного имущества, вооружения, боеприпасов, боевой техники и другого военного имущества по состоявшимся решениям,</w:t>
      </w:r>
    </w:p>
    <w:p w14:paraId="7E3191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Руководство работами трофейных частей и учреждений, а также проверка всех отчетов по кругу их деятельности.</w:t>
      </w:r>
    </w:p>
    <w:p w14:paraId="4EAF17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Сбор металлического лома и отгрузка на заводы и предприятия промышленности.</w:t>
      </w:r>
    </w:p>
    <w:p w14:paraId="2E301D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Руководство боевой и специальной подготовкой, комплектование личным составом и обеспечение гуже-автотракторным транспортом, специальным подъемно-такелажным оборудованием и другим табельным имуществом трофейных частей и учреждений.</w:t>
      </w:r>
    </w:p>
    <w:p w14:paraId="06E70E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Руководство и контроль за эксплуатацией и ремонтом автотракторного парка трофейных частей.</w:t>
      </w:r>
    </w:p>
    <w:p w14:paraId="692383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Руководство обеспечением взрывобезопасности на работах и при транспортировке трофеев.</w:t>
      </w:r>
    </w:p>
    <w:p w14:paraId="128B4B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Начальнику трофейного управления фронта подчиняются: трофейные отделы армий и трофейные части фронта.</w:t>
      </w:r>
    </w:p>
    <w:p w14:paraId="04E383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Начальнику трофейного отдела армии подчиняются армейские трофейные части, трофейные отделения корпусов и дивизий и помощники комендантов городов и населенных пунктов по хозяйственным вопросам.</w:t>
      </w:r>
    </w:p>
    <w:p w14:paraId="273569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Начальники трофейных управлений фронтов и отделов армий издают приказы подчиненным частям.</w:t>
      </w:r>
    </w:p>
    <w:p w14:paraId="472108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IV. Трофейное отделение корпуса и дивизии</w:t>
      </w:r>
    </w:p>
    <w:p w14:paraId="59538C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трофейное отделение корпуса (дивизии) возлагается:</w:t>
      </w:r>
    </w:p>
    <w:p w14:paraId="753970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Руководство корпусными, дивизионными и полковыми нештатными трофейными командами по сбору, охране, учету трофейного и отечественного вооружения, боеприпасов и военного имущества.</w:t>
      </w:r>
    </w:p>
    <w:p w14:paraId="37A005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Передача начальникам служб полков и дивизий собранного в войсковом тылу табельного вооружения и другого военного имущества на восстановление убыли, а излишков — на армейские трофейные склады и сборные пункты.</w:t>
      </w:r>
    </w:p>
    <w:p w14:paraId="111119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Ведение трофейной карты (схемы).</w:t>
      </w:r>
    </w:p>
    <w:p w14:paraId="581069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Обеспечение взрывобезопасности при сборе и перевозках вооружения, боеприпасов и другого военного имущества.</w:t>
      </w:r>
    </w:p>
    <w:p w14:paraId="08B818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V. Помощники комендантов городов и населенных пунктов по хозяйственным вопросам</w:t>
      </w:r>
    </w:p>
    <w:p w14:paraId="199EE1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Помощники комендантов городов и населенных пунктов по хозяйственным вопросам руководствуются в работе Положением о помощниках комендантов по хозяйственным вопросам, объявленным приказом НКО от 19 января 1945 г. № 04*.</w:t>
      </w:r>
    </w:p>
    <w:p w14:paraId="7F381854"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 xml:space="preserve">Начальник тыла Красной Армии генерал армии А. ХРУЛЕВ </w:t>
      </w:r>
      <w:r w:rsidRPr="00925F26">
        <w:rPr>
          <w:color w:val="000000" w:themeColor="text1"/>
          <w:sz w:val="16"/>
          <w:szCs w:val="16"/>
        </w:rPr>
        <w:t>(9844).</w:t>
      </w:r>
    </w:p>
    <w:p w14:paraId="260A382B" w14:textId="77777777" w:rsidR="00665165" w:rsidRPr="00925F26" w:rsidRDefault="00665165" w:rsidP="00925F26">
      <w:pPr>
        <w:autoSpaceDE w:val="0"/>
        <w:autoSpaceDN w:val="0"/>
        <w:adjustRightInd w:val="0"/>
        <w:jc w:val="both"/>
        <w:rPr>
          <w:color w:val="000000" w:themeColor="text1"/>
          <w:sz w:val="16"/>
          <w:szCs w:val="16"/>
        </w:rPr>
      </w:pPr>
    </w:p>
    <w:p w14:paraId="7119819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A8D71FE" w14:textId="77777777" w:rsidR="00665165" w:rsidRPr="00925F26" w:rsidRDefault="00665165" w:rsidP="00925F26">
      <w:pPr>
        <w:autoSpaceDE w:val="0"/>
        <w:autoSpaceDN w:val="0"/>
        <w:adjustRightInd w:val="0"/>
        <w:jc w:val="both"/>
        <w:rPr>
          <w:iCs/>
          <w:color w:val="000000" w:themeColor="text1"/>
          <w:sz w:val="16"/>
          <w:szCs w:val="16"/>
        </w:rPr>
      </w:pPr>
    </w:p>
    <w:p w14:paraId="1F5B0C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28 февраля 1945 совместным приказом заместителя наркома внутренних дел А. П. Завенягина и наркома цветной металлургии СССР П. Ф. Ломако № 00153/44сс был утвержден акт приема-сдачи урановых месторождений от НКЦМ к НКВД (сам этот акт еще 19 января подписали: от НКВД - начальник ГУЛГМП П. А. Захаров, от НКЦМ - заместитель начальника Главного управления промышленности новых и редких металлов А. В. Никитин и заместитель начальника Главного управления вольфрамо-молибденовой промышленности И. К. Егоров) (7560).</w:t>
      </w:r>
    </w:p>
    <w:p w14:paraId="02EBC113" w14:textId="77777777" w:rsidR="00665165" w:rsidRPr="00925F26" w:rsidRDefault="00665165" w:rsidP="00925F26">
      <w:pPr>
        <w:autoSpaceDE w:val="0"/>
        <w:autoSpaceDN w:val="0"/>
        <w:adjustRightInd w:val="0"/>
        <w:jc w:val="both"/>
        <w:rPr>
          <w:color w:val="000000" w:themeColor="text1"/>
          <w:sz w:val="16"/>
          <w:szCs w:val="16"/>
        </w:rPr>
      </w:pPr>
    </w:p>
    <w:p w14:paraId="295AACE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6A7D9D6" w14:textId="77777777" w:rsidR="00665165" w:rsidRPr="00925F26" w:rsidRDefault="00665165" w:rsidP="00925F26">
      <w:pPr>
        <w:autoSpaceDE w:val="0"/>
        <w:autoSpaceDN w:val="0"/>
        <w:adjustRightInd w:val="0"/>
        <w:jc w:val="both"/>
        <w:rPr>
          <w:iCs/>
          <w:color w:val="000000" w:themeColor="text1"/>
          <w:sz w:val="16"/>
          <w:szCs w:val="16"/>
        </w:rPr>
      </w:pPr>
    </w:p>
    <w:p w14:paraId="405CAEE6"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первый полёт прототипа палубного истребителя </w:t>
      </w:r>
      <w:hyperlink r:id="rId54" w:tgtFrame="_blank" w:history="1">
        <w:r w:rsidRPr="00925F26">
          <w:rPr>
            <w:color w:val="000000" w:themeColor="text1"/>
            <w:sz w:val="16"/>
            <w:szCs w:val="16"/>
          </w:rPr>
          <w:t xml:space="preserve">«XF15C-1» </w:t>
        </w:r>
      </w:hyperlink>
      <w:r w:rsidRPr="00925F26">
        <w:rPr>
          <w:color w:val="000000" w:themeColor="text1"/>
          <w:sz w:val="16"/>
          <w:szCs w:val="16"/>
        </w:rPr>
        <w:t>(компания «Curtiss», США). При проектировании и постройке самолёта фирма «Curtiss» выбрала поршневой мотор «Pratt &amp; Whitney» «R-2800-34W» "Twin Wasp" с непосредственным впрыском воды и реактивного «de Havilland-Halford» "Goblin"I. Оба двигателя можно было использовать и поочередно, и одновременно, в зависимости от ситуации. Первый полёт выполнялся без запуска реактивного двигателя (15054).</w:t>
      </w:r>
    </w:p>
    <w:p w14:paraId="3EAE8452" w14:textId="77777777" w:rsidR="005903DB" w:rsidRPr="00925F26" w:rsidRDefault="005903DB" w:rsidP="00925F26">
      <w:pPr>
        <w:jc w:val="both"/>
        <w:rPr>
          <w:color w:val="000000" w:themeColor="text1"/>
          <w:sz w:val="16"/>
          <w:szCs w:val="16"/>
        </w:rPr>
      </w:pPr>
    </w:p>
    <w:p w14:paraId="12DD8EA9" w14:textId="09D8C88D" w:rsidR="00DA485C" w:rsidRPr="00925F26" w:rsidRDefault="00DA485C" w:rsidP="00925F26">
      <w:pPr>
        <w:jc w:val="both"/>
        <w:rPr>
          <w:color w:val="000000" w:themeColor="text1"/>
          <w:sz w:val="16"/>
          <w:szCs w:val="16"/>
        </w:rPr>
      </w:pPr>
      <w:r w:rsidRPr="00925F26">
        <w:rPr>
          <w:color w:val="000000" w:themeColor="text1"/>
          <w:sz w:val="16"/>
          <w:szCs w:val="16"/>
        </w:rPr>
        <w:t xml:space="preserve">28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полёт прототипа палубного истребителя XF15C-1(компания Curtiss, США). При проектировании и постройке самолёта фирма Curtiss выбрала поршневой мотор Pratt &amp; Whitney R-2800-34W "Twin Wasp" с непосредственным впрыском воды и реактивного de Havilland-Halford "Goblin"I. Оба двигателя можно было использовать и поочередно, и одновременно, в зависимости от ситуации. Первый полёт выполнялся без запуска реактивного двигателя (22583).</w:t>
      </w:r>
    </w:p>
    <w:p w14:paraId="58B692AE" w14:textId="77777777" w:rsidR="00DA485C" w:rsidRPr="00925F26" w:rsidRDefault="00DA485C" w:rsidP="00925F26">
      <w:pPr>
        <w:jc w:val="both"/>
        <w:rPr>
          <w:color w:val="000000" w:themeColor="text1"/>
          <w:sz w:val="16"/>
          <w:szCs w:val="16"/>
        </w:rPr>
      </w:pPr>
    </w:p>
    <w:p w14:paraId="481724AA"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обер-лейтенант Лотхар Зиберт, добровольно согласившийся на подобные испытания, стартовал на </w:t>
      </w:r>
      <w:hyperlink r:id="rId55" w:tgtFrame="_blank" w:history="1">
        <w:r w:rsidRPr="00925F26">
          <w:rPr>
            <w:color w:val="000000" w:themeColor="text1"/>
            <w:sz w:val="16"/>
            <w:szCs w:val="16"/>
          </w:rPr>
          <w:t xml:space="preserve">«Bachem» «Ba.349 Natter». </w:t>
        </w:r>
      </w:hyperlink>
      <w:r w:rsidRPr="00925F26">
        <w:rPr>
          <w:color w:val="000000" w:themeColor="text1"/>
          <w:sz w:val="16"/>
          <w:szCs w:val="16"/>
        </w:rPr>
        <w:t>Самолет набрал высоту около 500 м, после чего фонарь кабины самопроизвольно открылся. Самолет перевернулся через хвост приблизительно на высоте 1500м,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 (15054).</w:t>
      </w:r>
    </w:p>
    <w:p w14:paraId="3AE676A8" w14:textId="77777777" w:rsidR="005903DB" w:rsidRPr="00925F26" w:rsidRDefault="005903DB" w:rsidP="00925F26">
      <w:pPr>
        <w:jc w:val="both"/>
        <w:rPr>
          <w:color w:val="000000" w:themeColor="text1"/>
          <w:sz w:val="16"/>
          <w:szCs w:val="16"/>
        </w:rPr>
      </w:pPr>
    </w:p>
    <w:p w14:paraId="613F42FB" w14:textId="7BBB05B4" w:rsidR="00DA485C" w:rsidRPr="00925F26" w:rsidRDefault="00DA485C" w:rsidP="00925F26">
      <w:pPr>
        <w:jc w:val="both"/>
        <w:rPr>
          <w:color w:val="000000" w:themeColor="text1"/>
          <w:sz w:val="16"/>
          <w:szCs w:val="16"/>
        </w:rPr>
      </w:pPr>
      <w:r w:rsidRPr="00925F26">
        <w:rPr>
          <w:color w:val="000000" w:themeColor="text1"/>
          <w:sz w:val="16"/>
          <w:szCs w:val="16"/>
        </w:rPr>
        <w:t>28 февраля 1945</w:t>
      </w:r>
      <w:r w:rsidR="00997EDF" w:rsidRPr="00925F26">
        <w:rPr>
          <w:color w:val="000000" w:themeColor="text1"/>
          <w:sz w:val="16"/>
          <w:szCs w:val="16"/>
        </w:rPr>
        <w:t xml:space="preserve">  </w:t>
      </w:r>
      <w:r w:rsidRPr="00925F26">
        <w:rPr>
          <w:color w:val="000000" w:themeColor="text1"/>
          <w:sz w:val="16"/>
          <w:szCs w:val="16"/>
        </w:rPr>
        <w:t>- Обер-лейтенант Лотхар Зиберт, добровольно согласившийся на подобные испытания, стартовал на Bachem Ba.349 Natter. Самолет набрал высоту около 500 м, после чего фонарь кабины самопроизвольно открылся. Самолет перевернулся через хвост приблизительно на высоте 1500 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w:t>
      </w:r>
    </w:p>
    <w:p w14:paraId="52F9942A" w14:textId="5A55247B" w:rsidR="00DA485C" w:rsidRPr="00925F26" w:rsidRDefault="00DA485C" w:rsidP="00925F26">
      <w:pPr>
        <w:jc w:val="both"/>
        <w:rPr>
          <w:color w:val="000000" w:themeColor="text1"/>
          <w:sz w:val="16"/>
          <w:szCs w:val="16"/>
        </w:rPr>
      </w:pPr>
      <w:r w:rsidRPr="00925F26">
        <w:rPr>
          <w:color w:val="000000" w:themeColor="text1"/>
          <w:sz w:val="16"/>
          <w:szCs w:val="16"/>
        </w:rPr>
        <w:t>Ba.349 - вертикально стартующий ракетный перехватчик для борьбы с бомбардировщиками антигитлеровской коалиции. Самолёт был оснащён одним ЖРД Walter HWK 509A (тяга 16,7 кН, время работы 4 минуты) и, поскольку тяги последнего не хватало, для вертикального взлёта использовали четыре сбрасываемых после взлёта твердотопливных ускорителя Schmidding 109—533 (тяга 11,768 кН, время работы 10 сек.). Старт производился с вертикальной направляющей мачты высотой 15 метров (22583).</w:t>
      </w:r>
      <w:r w:rsidR="00997EDF" w:rsidRPr="00925F26">
        <w:rPr>
          <w:color w:val="000000" w:themeColor="text1"/>
          <w:sz w:val="16"/>
          <w:szCs w:val="16"/>
        </w:rPr>
        <w:t xml:space="preserve">  </w:t>
      </w:r>
    </w:p>
    <w:p w14:paraId="4BB5E833" w14:textId="77777777" w:rsidR="00DA485C" w:rsidRPr="00925F26" w:rsidRDefault="00DA485C" w:rsidP="00925F26">
      <w:pPr>
        <w:jc w:val="both"/>
        <w:rPr>
          <w:color w:val="000000" w:themeColor="text1"/>
          <w:sz w:val="16"/>
          <w:szCs w:val="16"/>
        </w:rPr>
      </w:pPr>
    </w:p>
    <w:p w14:paraId="1C6408CA" w14:textId="77777777" w:rsidR="00147873" w:rsidRPr="00925F26" w:rsidRDefault="00147873" w:rsidP="00925F26">
      <w:pPr>
        <w:jc w:val="both"/>
        <w:rPr>
          <w:color w:val="000000" w:themeColor="text1"/>
          <w:sz w:val="16"/>
          <w:szCs w:val="16"/>
        </w:rPr>
      </w:pPr>
      <w:r w:rsidRPr="00925F26">
        <w:rPr>
          <w:color w:val="000000" w:themeColor="text1"/>
          <w:sz w:val="16"/>
          <w:szCs w:val="16"/>
        </w:rPr>
        <w:t>28 февраля 1945 на пилотируемые испытания «Наттера» добровольно согла</w:t>
      </w:r>
      <w:r w:rsidRPr="00925F26">
        <w:rPr>
          <w:color w:val="000000" w:themeColor="text1"/>
          <w:sz w:val="16"/>
          <w:szCs w:val="16"/>
        </w:rPr>
        <w:softHyphen/>
        <w:t>сился обер-лейтенант Лотар Зиберт (Lothar Siebert). Самолет №M23 наб</w:t>
      </w:r>
      <w:r w:rsidRPr="00925F26">
        <w:rPr>
          <w:color w:val="000000" w:themeColor="text1"/>
          <w:sz w:val="16"/>
          <w:szCs w:val="16"/>
        </w:rPr>
        <w:softHyphen/>
        <w:t>рал высоту около 500 м, после чего фо</w:t>
      </w:r>
      <w:r w:rsidRPr="00925F26">
        <w:rPr>
          <w:color w:val="000000" w:themeColor="text1"/>
          <w:sz w:val="16"/>
          <w:szCs w:val="16"/>
        </w:rPr>
        <w:softHyphen/>
        <w:t>нарь кабины самопроизвольно отк</w:t>
      </w:r>
      <w:r w:rsidRPr="00925F26">
        <w:rPr>
          <w:color w:val="000000" w:themeColor="text1"/>
          <w:sz w:val="16"/>
          <w:szCs w:val="16"/>
        </w:rPr>
        <w:softHyphen/>
        <w:t>рылся, «Наттер» перевернулся через хвост на высоте 1500 м и после пики</w:t>
      </w:r>
      <w:r w:rsidRPr="00925F26">
        <w:rPr>
          <w:color w:val="000000" w:themeColor="text1"/>
          <w:sz w:val="16"/>
          <w:szCs w:val="16"/>
        </w:rPr>
        <w:softHyphen/>
        <w:t>рования врезался в землю и взорвался. Расследование не установило причин аварии: оставалось предположить, что фонарь кабины не был закрыт на стар</w:t>
      </w:r>
      <w:r w:rsidRPr="00925F26">
        <w:rPr>
          <w:color w:val="000000" w:themeColor="text1"/>
          <w:sz w:val="16"/>
          <w:szCs w:val="16"/>
        </w:rPr>
        <w:softHyphen/>
        <w:t>те, а от удара в момент его открытия пилот потерял сознание.</w:t>
      </w:r>
    </w:p>
    <w:p w14:paraId="44B1F8C3" w14:textId="77777777" w:rsidR="00147873" w:rsidRPr="00925F26" w:rsidRDefault="00147873" w:rsidP="00925F26">
      <w:pPr>
        <w:jc w:val="both"/>
        <w:rPr>
          <w:color w:val="000000" w:themeColor="text1"/>
          <w:sz w:val="16"/>
          <w:szCs w:val="16"/>
        </w:rPr>
      </w:pPr>
      <w:r w:rsidRPr="00925F26">
        <w:rPr>
          <w:color w:val="000000" w:themeColor="text1"/>
          <w:sz w:val="16"/>
          <w:szCs w:val="16"/>
        </w:rPr>
        <w:t>Погибшего Зиберта заменили другие добровольцы. Быстро выполнив три успешных пилотируемых полета, ре</w:t>
      </w:r>
      <w:r w:rsidRPr="00925F26">
        <w:rPr>
          <w:color w:val="000000" w:themeColor="text1"/>
          <w:sz w:val="16"/>
          <w:szCs w:val="16"/>
        </w:rPr>
        <w:softHyphen/>
        <w:t>шили, что Ба. 349 уже готов для войс</w:t>
      </w:r>
      <w:r w:rsidRPr="00925F26">
        <w:rPr>
          <w:color w:val="000000" w:themeColor="text1"/>
          <w:sz w:val="16"/>
          <w:szCs w:val="16"/>
        </w:rPr>
        <w:softHyphen/>
        <w:t>ковых испытаний. Для увеличения ра</w:t>
      </w:r>
      <w:r w:rsidRPr="00925F26">
        <w:rPr>
          <w:color w:val="000000" w:themeColor="text1"/>
          <w:sz w:val="16"/>
          <w:szCs w:val="16"/>
        </w:rPr>
        <w:softHyphen/>
        <w:t>диуса действия перехватчика на нем предполагалось установить двигатель 109-509.С с дополнительной «крейсер</w:t>
      </w:r>
      <w:r w:rsidRPr="00925F26">
        <w:rPr>
          <w:color w:val="000000" w:themeColor="text1"/>
          <w:sz w:val="16"/>
          <w:szCs w:val="16"/>
        </w:rPr>
        <w:softHyphen/>
        <w:t>ской» камерой. И вновь переделка са</w:t>
      </w:r>
      <w:r w:rsidRPr="00925F26">
        <w:rPr>
          <w:color w:val="000000" w:themeColor="text1"/>
          <w:sz w:val="16"/>
          <w:szCs w:val="16"/>
        </w:rPr>
        <w:softHyphen/>
        <w:t>молета, во время которой в фюзеляже разместили пару 30-миллиметровьгх пушек в качестве альтернативы раке</w:t>
      </w:r>
      <w:r w:rsidRPr="00925F26">
        <w:rPr>
          <w:color w:val="000000" w:themeColor="text1"/>
          <w:sz w:val="16"/>
          <w:szCs w:val="16"/>
        </w:rPr>
        <w:softHyphen/>
        <w:t>там. Количество топлива на борту не меняли, новые стартовые ускорители сдвинули назад.</w:t>
      </w:r>
    </w:p>
    <w:p w14:paraId="7AA12056" w14:textId="77777777" w:rsidR="00147873" w:rsidRPr="00925F26" w:rsidRDefault="00147873" w:rsidP="00925F26">
      <w:pPr>
        <w:jc w:val="both"/>
        <w:rPr>
          <w:color w:val="000000" w:themeColor="text1"/>
          <w:sz w:val="16"/>
          <w:szCs w:val="16"/>
        </w:rPr>
      </w:pPr>
      <w:r w:rsidRPr="00925F26">
        <w:rPr>
          <w:color w:val="000000" w:themeColor="text1"/>
          <w:sz w:val="16"/>
          <w:szCs w:val="16"/>
        </w:rPr>
        <w:t>Новые «Наттеры». начиная с 51-го са</w:t>
      </w:r>
      <w:r w:rsidRPr="00925F26">
        <w:rPr>
          <w:color w:val="000000" w:themeColor="text1"/>
          <w:sz w:val="16"/>
          <w:szCs w:val="16"/>
        </w:rPr>
        <w:softHyphen/>
        <w:t>молета. получили обозначение Ба. 349б и считались серийными. До прекраще</w:t>
      </w:r>
      <w:r w:rsidRPr="00925F26">
        <w:rPr>
          <w:color w:val="000000" w:themeColor="text1"/>
          <w:sz w:val="16"/>
          <w:szCs w:val="16"/>
        </w:rPr>
        <w:softHyphen/>
        <w:t>ния работ в Вальдзе успели закончить лишь три опытных Ба. 349б, и лишь один из них поднялся в воздух, причем со старыми ускорителями. К концу военных действий было изго</w:t>
      </w:r>
      <w:r w:rsidRPr="00925F26">
        <w:rPr>
          <w:color w:val="000000" w:themeColor="text1"/>
          <w:sz w:val="16"/>
          <w:szCs w:val="16"/>
        </w:rPr>
        <w:softHyphen/>
        <w:t>товлено 36 самолетов Ба. 349б, испытаны 25. причем в пилотируемом ва</w:t>
      </w:r>
      <w:r w:rsidRPr="00925F26">
        <w:rPr>
          <w:color w:val="000000" w:themeColor="text1"/>
          <w:sz w:val="16"/>
          <w:szCs w:val="16"/>
        </w:rPr>
        <w:softHyphen/>
        <w:t>рианте только семь (23388).</w:t>
      </w:r>
    </w:p>
    <w:p w14:paraId="126278BC" w14:textId="77777777" w:rsidR="00147873" w:rsidRPr="00925F26" w:rsidRDefault="00147873" w:rsidP="00925F26">
      <w:pPr>
        <w:jc w:val="both"/>
        <w:rPr>
          <w:color w:val="000000" w:themeColor="text1"/>
          <w:sz w:val="16"/>
          <w:szCs w:val="16"/>
        </w:rPr>
      </w:pPr>
    </w:p>
    <w:p w14:paraId="3662F043"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 xml:space="preserve">28 февраля 1945 состоялся пилотируемый старт вертикально взлетающего реактивного перехватчика Наттер Бахема. Неудачно, так как фонарь открылся на 500 </w:t>
      </w:r>
      <w:proofErr w:type="gramStart"/>
      <w:r w:rsidRPr="00925F26">
        <w:rPr>
          <w:color w:val="000000" w:themeColor="text1"/>
          <w:sz w:val="16"/>
          <w:szCs w:val="16"/>
        </w:rPr>
        <w:t>м</w:t>
      </w:r>
      <w:proofErr w:type="gramEnd"/>
      <w:r w:rsidRPr="00925F26">
        <w:rPr>
          <w:color w:val="000000" w:themeColor="text1"/>
          <w:sz w:val="16"/>
          <w:szCs w:val="16"/>
        </w:rPr>
        <w:t xml:space="preserve"> и пилот погиб. Успели сделать 36 и 25 были испытаны, включая 7 в пилотируемом виде. Использовать так и не успели (1118,27).</w:t>
      </w:r>
    </w:p>
    <w:p w14:paraId="0CA7FD08" w14:textId="77777777" w:rsidR="005903DB" w:rsidRPr="00925F26" w:rsidRDefault="005903DB" w:rsidP="00925F26">
      <w:pPr>
        <w:autoSpaceDE w:val="0"/>
        <w:autoSpaceDN w:val="0"/>
        <w:adjustRightInd w:val="0"/>
        <w:jc w:val="both"/>
        <w:rPr>
          <w:color w:val="000000" w:themeColor="text1"/>
          <w:sz w:val="16"/>
          <w:szCs w:val="16"/>
        </w:rPr>
      </w:pPr>
    </w:p>
    <w:p w14:paraId="23A2C259"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первый полёт опытного экземпляра многоцелевого истребителя </w:t>
      </w:r>
      <w:hyperlink r:id="rId56" w:tgtFrame="_blank" w:history="1">
        <w:r w:rsidRPr="00925F26">
          <w:rPr>
            <w:color w:val="000000" w:themeColor="text1"/>
            <w:sz w:val="16"/>
            <w:szCs w:val="16"/>
          </w:rPr>
          <w:t xml:space="preserve">«ХР-83» </w:t>
        </w:r>
      </w:hyperlink>
      <w:r w:rsidRPr="00925F26">
        <w:rPr>
          <w:color w:val="000000" w:themeColor="text1"/>
          <w:sz w:val="16"/>
          <w:szCs w:val="16"/>
        </w:rPr>
        <w:t>(серийный номер 44-84990) (компания Bell, США). Поднял в воздух лётчик фирмы «Bell» Джеймс Вулэмс. Основа конструкции полностью осталась от истребителя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пулемётов с боезапасом 300 патронов, однако рассматривалась возможность установки четырёх 20-мм или 37-мм пушек. Один из проектов вообще включал батарею из 20 (!) пушек калибра 20-мм, но так и остался на бумаге. Оказалось, что доработки на пользу не пошли. Истребитель был по-прежнему тяжёлым в управлении, вяло набирал скорость и имел посредственные взлётно-посадочные характеристики. К тому же, из-за близкого расположения двигателей возникала угроза пожара в хвостовой части, поэтому на аэродроме постоянно дежурили несколько пожарных машин (15054).</w:t>
      </w:r>
    </w:p>
    <w:p w14:paraId="36068AC7" w14:textId="77777777" w:rsidR="005903DB" w:rsidRPr="00925F26" w:rsidRDefault="005903DB" w:rsidP="00925F26">
      <w:pPr>
        <w:jc w:val="both"/>
        <w:rPr>
          <w:color w:val="000000" w:themeColor="text1"/>
          <w:sz w:val="16"/>
          <w:szCs w:val="16"/>
        </w:rPr>
      </w:pPr>
    </w:p>
    <w:p w14:paraId="4B92230D" w14:textId="3FB7E58C" w:rsidR="00DA485C" w:rsidRPr="00925F26" w:rsidRDefault="00DA485C" w:rsidP="00925F26">
      <w:pPr>
        <w:jc w:val="both"/>
        <w:rPr>
          <w:color w:val="000000" w:themeColor="text1"/>
          <w:sz w:val="16"/>
          <w:szCs w:val="16"/>
        </w:rPr>
      </w:pPr>
      <w:r w:rsidRPr="00925F26">
        <w:rPr>
          <w:color w:val="000000" w:themeColor="text1"/>
          <w:sz w:val="16"/>
          <w:szCs w:val="16"/>
        </w:rPr>
        <w:t xml:space="preserve">28 февраля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полёт опытного экземпляра многоцелевого истребителя ХР-83 (серийный номер 44-84990) (компания Bell, США).</w:t>
      </w:r>
    </w:p>
    <w:p w14:paraId="40577553" w14:textId="77777777" w:rsidR="00DA485C" w:rsidRPr="00925F26" w:rsidRDefault="00DA485C" w:rsidP="00925F26">
      <w:pPr>
        <w:jc w:val="both"/>
        <w:rPr>
          <w:color w:val="000000" w:themeColor="text1"/>
          <w:sz w:val="16"/>
          <w:szCs w:val="16"/>
        </w:rPr>
      </w:pPr>
      <w:r w:rsidRPr="00925F26">
        <w:rPr>
          <w:color w:val="000000" w:themeColor="text1"/>
          <w:sz w:val="16"/>
          <w:szCs w:val="16"/>
        </w:rPr>
        <w:t>Поднял в воздух лётчик фирмы Bell Джеймс Вулэмс. Основа конструкции полностью осталась от истребителя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пулемётов с боезапасом 300 патронов, однако рассматривалась возможность установки четырёх 20-мм или 37-мм пушек. Один из проектов вообще включал батарею из 20 (!) пушек калибра 20-мм, но так и остался на бумаге. Оказалось, что доработки на пользу не пошли. Истребитель был по-прежнему тяжёлым в управлении, вяло набирал скорость и имел посредственные взлётно-посадочные характеристики. К тому же, из-за близкого расположения двигателей возникала угроза пожара в хвостовой части, поэтому на аэродроме постоянно дежурили несколько пожарных машин (22583).</w:t>
      </w:r>
    </w:p>
    <w:p w14:paraId="763CD58E" w14:textId="77777777" w:rsidR="00DA485C" w:rsidRPr="00925F26" w:rsidRDefault="00DA485C" w:rsidP="00925F26">
      <w:pPr>
        <w:jc w:val="both"/>
        <w:rPr>
          <w:color w:val="000000" w:themeColor="text1"/>
          <w:sz w:val="16"/>
          <w:szCs w:val="16"/>
        </w:rPr>
      </w:pPr>
    </w:p>
    <w:p w14:paraId="3406C1D8"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восстание 822-го грузинского пехотного батальона вермахта на голландском острове Тексель. Под руководством лейтенанта Шалвы Лоладзе легионеры перебили 200 военнослужащих немецкого персонала и несколько легионеров-грузин. Немецкие войска взяли остров штурмом, потеряв при этом 200 человек и уничтожив не менее 500 легионеров (15054).</w:t>
      </w:r>
    </w:p>
    <w:p w14:paraId="0247553D" w14:textId="77777777" w:rsidR="005903DB" w:rsidRPr="00925F26" w:rsidRDefault="005903DB" w:rsidP="00925F26">
      <w:pPr>
        <w:jc w:val="both"/>
        <w:rPr>
          <w:color w:val="000000" w:themeColor="text1"/>
          <w:sz w:val="16"/>
          <w:szCs w:val="16"/>
        </w:rPr>
      </w:pPr>
    </w:p>
    <w:p w14:paraId="059DA981"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901/2 батарея германской армии после длительного отсутствия на испытательных полигонах, начала обстрел Антверпена баллистическими ракетами "A-4"/SS-1/Scunner" со стартовых позиций около города Кирбург (немецкое название - Kirburg) (15054).</w:t>
      </w:r>
    </w:p>
    <w:p w14:paraId="0C7C7104" w14:textId="77777777" w:rsidR="005903DB" w:rsidRPr="00925F26" w:rsidRDefault="005903DB" w:rsidP="00925F26">
      <w:pPr>
        <w:jc w:val="both"/>
        <w:rPr>
          <w:color w:val="000000" w:themeColor="text1"/>
          <w:sz w:val="16"/>
          <w:szCs w:val="16"/>
        </w:rPr>
      </w:pPr>
    </w:p>
    <w:p w14:paraId="1D0864F0"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1-я казачья дивизия была перегруппирована в 15-й Казачий кавалерийский корпус и передана в подчинение войск СС (15054).</w:t>
      </w:r>
    </w:p>
    <w:p w14:paraId="66150223" w14:textId="77777777" w:rsidR="005903DB" w:rsidRPr="00925F26" w:rsidRDefault="005903DB" w:rsidP="00925F26">
      <w:pPr>
        <w:jc w:val="both"/>
        <w:rPr>
          <w:color w:val="000000" w:themeColor="text1"/>
          <w:sz w:val="16"/>
          <w:szCs w:val="16"/>
        </w:rPr>
      </w:pPr>
    </w:p>
    <w:p w14:paraId="4EFFDF71" w14:textId="77777777" w:rsidR="005903DB" w:rsidRPr="00925F26" w:rsidRDefault="005903DB" w:rsidP="00925F26">
      <w:pPr>
        <w:jc w:val="both"/>
        <w:rPr>
          <w:color w:val="000000" w:themeColor="text1"/>
          <w:sz w:val="16"/>
          <w:szCs w:val="16"/>
        </w:rPr>
      </w:pPr>
      <w:r w:rsidRPr="00925F26">
        <w:rPr>
          <w:bCs/>
          <w:color w:val="000000" w:themeColor="text1"/>
          <w:sz w:val="16"/>
          <w:szCs w:val="16"/>
        </w:rPr>
        <w:t>28 февраля</w:t>
      </w:r>
      <w:r w:rsidRPr="00925F26">
        <w:rPr>
          <w:color w:val="000000" w:themeColor="text1"/>
          <w:sz w:val="16"/>
          <w:szCs w:val="16"/>
        </w:rPr>
        <w:t xml:space="preserve"> в 1945 году всемирная конференция профсоюзов в Лондоне (15054).</w:t>
      </w:r>
    </w:p>
    <w:p w14:paraId="492BCD03" w14:textId="77777777" w:rsidR="005903DB" w:rsidRPr="00925F26" w:rsidRDefault="005903DB" w:rsidP="00925F26">
      <w:pPr>
        <w:jc w:val="both"/>
        <w:rPr>
          <w:color w:val="000000" w:themeColor="text1"/>
          <w:sz w:val="16"/>
          <w:szCs w:val="16"/>
        </w:rPr>
      </w:pPr>
    </w:p>
    <w:p w14:paraId="3064D99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февраля 1945 Саудовская Аравия объявила войну Германии и Японии (4962).</w:t>
      </w:r>
    </w:p>
    <w:p w14:paraId="27FB2B4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9B70A1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E0B1E60" w14:textId="77777777" w:rsidR="00665165" w:rsidRPr="00925F26" w:rsidRDefault="00665165" w:rsidP="00925F26">
      <w:pPr>
        <w:autoSpaceDE w:val="0"/>
        <w:autoSpaceDN w:val="0"/>
        <w:adjustRightInd w:val="0"/>
        <w:jc w:val="both"/>
        <w:rPr>
          <w:iCs/>
          <w:color w:val="000000" w:themeColor="text1"/>
          <w:sz w:val="16"/>
          <w:szCs w:val="16"/>
        </w:rPr>
      </w:pPr>
    </w:p>
    <w:p w14:paraId="7B991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февраля 1945 вышел приказ НКАП и ГУЗ ВВС N 82ас/04 "О запуске в серийное производство авиаколес 800х260 мм к самолету Ил-10":</w:t>
      </w:r>
    </w:p>
    <w:p w14:paraId="3A6E73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основании проведенных ГК НИИ ВВС гос. испытаний опытных авиационных тормозных колес размером 800х260мм с колодочными тормозами к самолету Ил-10, с полетным весом 6540 кг, показавших положительные результаты:</w:t>
      </w:r>
    </w:p>
    <w:p w14:paraId="3A5E64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Запустить в серийное производство и допустить к монтажу на самолеты Ил-10 тормозные авиаколеса размером 800х260мм, изготовленных по единым чертежам ОКБ ГК Флорова.</w:t>
      </w:r>
    </w:p>
    <w:p w14:paraId="5253D5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Запуск в серийное производство указанных авиаколес осуществить с 1 марта с.г.</w:t>
      </w:r>
    </w:p>
    <w:p w14:paraId="753D3E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Директору завода 1 Литвинову и 18 Белянскому в течение марта выпустить по 5 самолетов, оборудованных колесами 800х260 мм с колодочными тормозами, для проверки и отладки монтажа новых колес. В апреле выпустить по 50 самолетов, в мае по 100 самолетов и с июня по заданной программе." (1884,32).</w:t>
      </w:r>
    </w:p>
    <w:p w14:paraId="49858E72" w14:textId="77777777" w:rsidR="00665165" w:rsidRPr="00925F26" w:rsidRDefault="00665165" w:rsidP="00925F26">
      <w:pPr>
        <w:autoSpaceDE w:val="0"/>
        <w:autoSpaceDN w:val="0"/>
        <w:adjustRightInd w:val="0"/>
        <w:jc w:val="both"/>
        <w:rPr>
          <w:color w:val="000000" w:themeColor="text1"/>
          <w:sz w:val="16"/>
          <w:szCs w:val="16"/>
        </w:rPr>
      </w:pPr>
    </w:p>
    <w:p w14:paraId="23B67B11" w14:textId="77777777" w:rsidR="00D44763" w:rsidRPr="00925F26" w:rsidRDefault="00D4476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lastRenderedPageBreak/>
        <w:t>29 февраля 1945 вышел совместный приказ НКАП и ВВС № 82с/04 «О запуске в серийное производство авиаколес 800x260 мм к самолету Ил-10».</w:t>
      </w:r>
    </w:p>
    <w:p w14:paraId="2A9BF1E0"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К этому времени в ГК НИИ ВВС в целом удовлетворительно прошли государственные испытания авиационные колеса размерами 800x260 мм с колодочными тормозами к самолету Ил-10 (полетный вес 6540 кг). В этой связи уже с 1 марта 1945 года колеса запускались в массовое серийное производство. При этом директора заводов № 1 и № 18 должны были «для проверки и отладки монтажа новых колес» выпустить в течение марта по 5 самолетов с такими колесами. В апреле следовало сдать военной приемке по 50 самолетов, в мае - по 100 машин и с июня - обеспечить выпуск всех Ил-10 с новыми колесами по заданной программе (17490).</w:t>
      </w:r>
    </w:p>
    <w:p w14:paraId="3B9AE8C8" w14:textId="77777777" w:rsidR="00D44763" w:rsidRPr="00925F26" w:rsidRDefault="00D44763" w:rsidP="00925F26">
      <w:pPr>
        <w:jc w:val="both"/>
        <w:rPr>
          <w:color w:val="000000" w:themeColor="text1"/>
          <w:sz w:val="16"/>
          <w:szCs w:val="16"/>
        </w:rPr>
      </w:pPr>
    </w:p>
    <w:p w14:paraId="40E1024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321D595" w14:textId="77777777" w:rsidR="00665165" w:rsidRPr="00925F26" w:rsidRDefault="00665165" w:rsidP="00925F26">
      <w:pPr>
        <w:autoSpaceDE w:val="0"/>
        <w:autoSpaceDN w:val="0"/>
        <w:adjustRightInd w:val="0"/>
        <w:jc w:val="both"/>
        <w:rPr>
          <w:iCs/>
          <w:color w:val="000000" w:themeColor="text1"/>
          <w:sz w:val="16"/>
          <w:szCs w:val="16"/>
        </w:rPr>
      </w:pPr>
    </w:p>
    <w:p w14:paraId="140B82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февраля 1945 был готов первый серийный Пе-2И, хотя хотели с 15 января по 10 февраля выпустить 5 машин малой серии для войсковых испытаний (2471,39).</w:t>
      </w:r>
    </w:p>
    <w:p w14:paraId="18A9C697" w14:textId="77777777" w:rsidR="00665165" w:rsidRPr="00925F26" w:rsidRDefault="00665165" w:rsidP="00925F26">
      <w:pPr>
        <w:autoSpaceDE w:val="0"/>
        <w:autoSpaceDN w:val="0"/>
        <w:adjustRightInd w:val="0"/>
        <w:jc w:val="both"/>
        <w:rPr>
          <w:color w:val="000000" w:themeColor="text1"/>
          <w:sz w:val="16"/>
          <w:szCs w:val="16"/>
        </w:rPr>
      </w:pPr>
    </w:p>
    <w:p w14:paraId="44344D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февраля 1945 был готов первый серийный Пе-2И, а четыре других выходили с темпом один самолет в десять дней (в то время как обычные “пешки” сдавали по 7-9 единиц ежедневно). Слишком ограниченными оказались возможности опытного цеха завода, а директор предприятия В.А. Окулов не захотел снимать специалистов и оборудование с конвейера. Камнем преткновения при отладке Пе-2И стала ДЭУ, которую так и не удалось довести до требуемого уровня надежности. Достаточно сказать, что на второй серийной машине (зав. № 2/1001) пришлось семь раз менять подвижную часть установки (4476).</w:t>
      </w:r>
    </w:p>
    <w:p w14:paraId="258255CD" w14:textId="77777777" w:rsidR="00665165" w:rsidRPr="00925F26" w:rsidRDefault="00665165" w:rsidP="00925F26">
      <w:pPr>
        <w:autoSpaceDE w:val="0"/>
        <w:autoSpaceDN w:val="0"/>
        <w:adjustRightInd w:val="0"/>
        <w:jc w:val="both"/>
        <w:rPr>
          <w:color w:val="000000" w:themeColor="text1"/>
          <w:sz w:val="16"/>
          <w:szCs w:val="16"/>
        </w:rPr>
      </w:pPr>
    </w:p>
    <w:p w14:paraId="14225CC3" w14:textId="77777777" w:rsidR="005903DB" w:rsidRPr="00925F26" w:rsidRDefault="005903DB"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Style w:val="90pt"/>
          <w:rFonts w:ascii="Times New Roman" w:hAnsi="Times New Roman" w:cs="Times New Roman"/>
          <w:color w:val="000000" w:themeColor="text1"/>
          <w:sz w:val="16"/>
          <w:szCs w:val="16"/>
        </w:rPr>
        <w:t>В конце февраля</w:t>
      </w:r>
      <w:r w:rsidRPr="00925F26">
        <w:rPr>
          <w:rFonts w:ascii="Times New Roman" w:hAnsi="Times New Roman" w:cs="Times New Roman"/>
          <w:color w:val="000000" w:themeColor="text1"/>
          <w:sz w:val="16"/>
          <w:szCs w:val="16"/>
        </w:rPr>
        <w:t xml:space="preserve"> 1945 был собран первый Пе- </w:t>
      </w:r>
      <w:r w:rsidRPr="00925F26">
        <w:rPr>
          <w:rStyle w:val="90pt"/>
          <w:rFonts w:ascii="Times New Roman" w:hAnsi="Times New Roman" w:cs="Times New Roman"/>
          <w:color w:val="000000" w:themeColor="text1"/>
          <w:sz w:val="16"/>
          <w:szCs w:val="16"/>
        </w:rPr>
        <w:t>2И войсковой</w:t>
      </w:r>
      <w:r w:rsidRPr="00925F26">
        <w:rPr>
          <w:rFonts w:ascii="Times New Roman" w:hAnsi="Times New Roman" w:cs="Times New Roman"/>
          <w:color w:val="000000" w:themeColor="text1"/>
          <w:sz w:val="16"/>
          <w:szCs w:val="16"/>
        </w:rPr>
        <w:t xml:space="preserve"> серии</w:t>
      </w:r>
      <w:r w:rsidRPr="00925F26">
        <w:rPr>
          <w:rStyle w:val="90pt"/>
          <w:rFonts w:ascii="Times New Roman" w:hAnsi="Times New Roman" w:cs="Times New Roman"/>
          <w:color w:val="000000" w:themeColor="text1"/>
          <w:sz w:val="16"/>
          <w:szCs w:val="16"/>
        </w:rPr>
        <w:t>,</w:t>
      </w:r>
      <w:r w:rsidRPr="00925F26">
        <w:rPr>
          <w:rFonts w:ascii="Times New Roman" w:hAnsi="Times New Roman" w:cs="Times New Roman"/>
          <w:color w:val="000000" w:themeColor="text1"/>
          <w:sz w:val="16"/>
          <w:szCs w:val="16"/>
        </w:rPr>
        <w:t xml:space="preserve"> а последний - в апреле </w:t>
      </w:r>
      <w:r w:rsidRPr="00925F26">
        <w:rPr>
          <w:rStyle w:val="90pt"/>
          <w:rFonts w:ascii="Times New Roman" w:hAnsi="Times New Roman" w:cs="Times New Roman"/>
          <w:color w:val="000000" w:themeColor="text1"/>
          <w:sz w:val="16"/>
          <w:szCs w:val="16"/>
        </w:rPr>
        <w:t>1945 г. Ни один из</w:t>
      </w:r>
      <w:r w:rsidRPr="00925F26">
        <w:rPr>
          <w:rFonts w:ascii="Times New Roman" w:hAnsi="Times New Roman" w:cs="Times New Roman"/>
          <w:color w:val="000000" w:themeColor="text1"/>
          <w:sz w:val="16"/>
          <w:szCs w:val="16"/>
        </w:rPr>
        <w:t xml:space="preserve"> них довести до лет</w:t>
      </w:r>
      <w:r w:rsidRPr="00925F26">
        <w:rPr>
          <w:rFonts w:ascii="Times New Roman" w:hAnsi="Times New Roman" w:cs="Times New Roman"/>
          <w:color w:val="000000" w:themeColor="text1"/>
          <w:sz w:val="16"/>
          <w:szCs w:val="16"/>
        </w:rPr>
        <w:softHyphen/>
      </w:r>
      <w:r w:rsidRPr="00925F26">
        <w:rPr>
          <w:rStyle w:val="90pt"/>
          <w:rFonts w:ascii="Times New Roman" w:hAnsi="Times New Roman" w:cs="Times New Roman"/>
          <w:color w:val="000000" w:themeColor="text1"/>
          <w:sz w:val="16"/>
          <w:szCs w:val="16"/>
        </w:rPr>
        <w:t>ного состояния не</w:t>
      </w:r>
      <w:r w:rsidRPr="00925F26">
        <w:rPr>
          <w:rFonts w:ascii="Times New Roman" w:hAnsi="Times New Roman" w:cs="Times New Roman"/>
          <w:color w:val="000000" w:themeColor="text1"/>
          <w:sz w:val="16"/>
          <w:szCs w:val="16"/>
        </w:rPr>
        <w:t xml:space="preserve"> удалось. В этих усло</w:t>
      </w:r>
      <w:r w:rsidRPr="00925F26">
        <w:rPr>
          <w:rFonts w:ascii="Times New Roman" w:hAnsi="Times New Roman" w:cs="Times New Roman"/>
          <w:color w:val="000000" w:themeColor="text1"/>
          <w:sz w:val="16"/>
          <w:szCs w:val="16"/>
        </w:rPr>
        <w:softHyphen/>
      </w:r>
      <w:r w:rsidRPr="00925F26">
        <w:rPr>
          <w:rStyle w:val="90pt"/>
          <w:rFonts w:ascii="Times New Roman" w:hAnsi="Times New Roman" w:cs="Times New Roman"/>
          <w:color w:val="000000" w:themeColor="text1"/>
          <w:sz w:val="16"/>
          <w:szCs w:val="16"/>
        </w:rPr>
        <w:t>виях все</w:t>
      </w:r>
      <w:r w:rsidRPr="00925F26">
        <w:rPr>
          <w:rFonts w:ascii="Times New Roman" w:hAnsi="Times New Roman" w:cs="Times New Roman"/>
          <w:color w:val="000000" w:themeColor="text1"/>
          <w:sz w:val="16"/>
          <w:szCs w:val="16"/>
        </w:rPr>
        <w:t xml:space="preserve"> запланированные работы</w:t>
      </w:r>
      <w:r w:rsidRPr="00925F26">
        <w:rPr>
          <w:rStyle w:val="90pt"/>
          <w:rFonts w:ascii="Times New Roman" w:hAnsi="Times New Roman" w:cs="Times New Roman"/>
          <w:color w:val="000000" w:themeColor="text1"/>
          <w:sz w:val="16"/>
          <w:szCs w:val="16"/>
        </w:rPr>
        <w:t xml:space="preserve"> по созданию на базе</w:t>
      </w:r>
      <w:r w:rsidRPr="00925F26">
        <w:rPr>
          <w:rFonts w:ascii="Times New Roman" w:hAnsi="Times New Roman" w:cs="Times New Roman"/>
          <w:color w:val="000000" w:themeColor="text1"/>
          <w:sz w:val="16"/>
          <w:szCs w:val="16"/>
        </w:rPr>
        <w:t xml:space="preserve"> Пе-2И дальнего ис</w:t>
      </w:r>
      <w:r w:rsidRPr="00925F26">
        <w:rPr>
          <w:rFonts w:ascii="Times New Roman" w:hAnsi="Times New Roman" w:cs="Times New Roman"/>
          <w:color w:val="000000" w:themeColor="text1"/>
          <w:sz w:val="16"/>
          <w:szCs w:val="16"/>
        </w:rPr>
        <w:softHyphen/>
      </w:r>
      <w:r w:rsidRPr="00925F26">
        <w:rPr>
          <w:rStyle w:val="90pt"/>
          <w:rFonts w:ascii="Times New Roman" w:hAnsi="Times New Roman" w:cs="Times New Roman"/>
          <w:color w:val="000000" w:themeColor="text1"/>
          <w:sz w:val="16"/>
          <w:szCs w:val="16"/>
        </w:rPr>
        <w:t>требителя постепенно</w:t>
      </w:r>
      <w:r w:rsidRPr="00925F26">
        <w:rPr>
          <w:rFonts w:ascii="Times New Roman" w:hAnsi="Times New Roman" w:cs="Times New Roman"/>
          <w:color w:val="000000" w:themeColor="text1"/>
          <w:sz w:val="16"/>
          <w:szCs w:val="16"/>
        </w:rPr>
        <w:t xml:space="preserve"> заглохли. Максимальная скорость машины по расчетам должна была достигать 700 км/ч - на высоте 6000 м и 584 км/ч - у зем</w:t>
      </w:r>
      <w:r w:rsidRPr="00925F26">
        <w:rPr>
          <w:rFonts w:ascii="Times New Roman" w:hAnsi="Times New Roman" w:cs="Times New Roman"/>
          <w:color w:val="000000" w:themeColor="text1"/>
          <w:sz w:val="16"/>
          <w:szCs w:val="16"/>
        </w:rPr>
        <w:softHyphen/>
        <w:t>ли. Время подъема на высоту 5000 м не превышало 5 мин. Дальность полета с 1000 кг бомб достигала 2500 км (15758).</w:t>
      </w:r>
    </w:p>
    <w:p w14:paraId="054D5CAA" w14:textId="77777777" w:rsidR="005903DB" w:rsidRPr="00925F26" w:rsidRDefault="005903DB" w:rsidP="00925F26">
      <w:pPr>
        <w:pStyle w:val="90"/>
        <w:shd w:val="clear" w:color="auto" w:fill="auto"/>
        <w:spacing w:line="240" w:lineRule="auto"/>
        <w:jc w:val="both"/>
        <w:rPr>
          <w:rStyle w:val="90pt"/>
          <w:rFonts w:ascii="Times New Roman" w:hAnsi="Times New Roman" w:cs="Times New Roman"/>
          <w:color w:val="000000" w:themeColor="text1"/>
          <w:sz w:val="16"/>
          <w:szCs w:val="16"/>
        </w:rPr>
      </w:pPr>
    </w:p>
    <w:p w14:paraId="03E8A5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февраля 1945 закончились заводские испытания Пе-8ОН с 4хАЧ-30Б, которые проходили на заводе 22. Летали В.Говоров и Н.Аржанов. всего сделали 6 полетов. Скорость - до 420 км/час на 6000 м. Расход топлива - 1.5-1.6 кг/км. Параллельно достроили дублер и начались его полеты. Над 4-мя машинами работали весь 1945 и перешли на 1946. В эксплуатацию по прямому назначению машины не передавались (4832,9).</w:t>
      </w:r>
    </w:p>
    <w:p w14:paraId="0F25AF22" w14:textId="77777777" w:rsidR="00665165" w:rsidRPr="00925F26" w:rsidRDefault="00665165" w:rsidP="00925F26">
      <w:pPr>
        <w:autoSpaceDE w:val="0"/>
        <w:autoSpaceDN w:val="0"/>
        <w:adjustRightInd w:val="0"/>
        <w:jc w:val="both"/>
        <w:rPr>
          <w:color w:val="000000" w:themeColor="text1"/>
          <w:sz w:val="16"/>
          <w:szCs w:val="16"/>
        </w:rPr>
      </w:pPr>
    </w:p>
    <w:p w14:paraId="33BC68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февраля 1945 года на заводе №22 закончились испытания Пе-8ОН №42612, которые проходили с января 1945. Испытания проводил экипаж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5E12CB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120B5C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Отмечалось, что АЧ-ЗОБ работали в полетах удовлетворительно. Наблюдалось выбивание масла </w:t>
      </w:r>
      <w:proofErr w:type="gramStart"/>
      <w:r w:rsidRPr="00925F26">
        <w:rPr>
          <w:color w:val="000000" w:themeColor="text1"/>
          <w:sz w:val="16"/>
          <w:szCs w:val="16"/>
        </w:rPr>
        <w:t>через суфлер</w:t>
      </w:r>
      <w:proofErr w:type="gramEnd"/>
      <w:r w:rsidRPr="00925F26">
        <w:rPr>
          <w:color w:val="000000" w:themeColor="text1"/>
          <w:sz w:val="16"/>
          <w:szCs w:val="16"/>
        </w:rPr>
        <w:t xml:space="preserve">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Пе-8ОН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58EB01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двигателями АЧ-30Б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 (7685).</w:t>
      </w:r>
    </w:p>
    <w:p w14:paraId="4A969897" w14:textId="77777777" w:rsidR="00665165" w:rsidRPr="00925F26" w:rsidRDefault="00665165" w:rsidP="00925F26">
      <w:pPr>
        <w:autoSpaceDE w:val="0"/>
        <w:autoSpaceDN w:val="0"/>
        <w:adjustRightInd w:val="0"/>
        <w:jc w:val="both"/>
        <w:rPr>
          <w:color w:val="000000" w:themeColor="text1"/>
          <w:sz w:val="16"/>
          <w:szCs w:val="16"/>
        </w:rPr>
      </w:pPr>
    </w:p>
    <w:p w14:paraId="0E68B7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конце февраля 1945 г. экипажем Б.Г. Говорова закончились заводские испытания первого Пе-8ОН, которые проходили с января.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АЧ-30Б работали удовлетворительно, хотя наблюдались выбивание масла </w:t>
      </w:r>
      <w:proofErr w:type="gramStart"/>
      <w:r w:rsidRPr="00925F26">
        <w:rPr>
          <w:color w:val="000000" w:themeColor="text1"/>
          <w:sz w:val="16"/>
          <w:szCs w:val="16"/>
        </w:rPr>
        <w:t>через суфлёр</w:t>
      </w:r>
      <w:proofErr w:type="gramEnd"/>
      <w:r w:rsidRPr="00925F26">
        <w:rPr>
          <w:color w:val="000000" w:themeColor="text1"/>
          <w:sz w:val="16"/>
          <w:szCs w:val="16"/>
        </w:rPr>
        <w:t xml:space="preserve">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6259DFCC" w14:textId="77777777" w:rsidR="00665165" w:rsidRPr="00925F26" w:rsidRDefault="00665165" w:rsidP="00925F26">
      <w:pPr>
        <w:autoSpaceDE w:val="0"/>
        <w:autoSpaceDN w:val="0"/>
        <w:adjustRightInd w:val="0"/>
        <w:jc w:val="both"/>
        <w:rPr>
          <w:color w:val="000000" w:themeColor="text1"/>
          <w:sz w:val="16"/>
          <w:szCs w:val="16"/>
        </w:rPr>
      </w:pPr>
    </w:p>
    <w:p w14:paraId="15483F5B" w14:textId="77777777" w:rsidR="00425843" w:rsidRPr="001A0BAA" w:rsidRDefault="00425843" w:rsidP="00425843">
      <w:pPr>
        <w:jc w:val="both"/>
        <w:rPr>
          <w:color w:val="0070C0"/>
          <w:sz w:val="16"/>
          <w:szCs w:val="16"/>
        </w:rPr>
      </w:pPr>
      <w:r w:rsidRPr="001A0BAA">
        <w:rPr>
          <w:color w:val="0070C0"/>
          <w:sz w:val="16"/>
          <w:szCs w:val="16"/>
        </w:rPr>
        <w:t>В конце февраля 1945-ого года было закончено строительство второго экземпляра</w:t>
      </w:r>
      <w:r w:rsidRPr="001A0BAA">
        <w:rPr>
          <w:b/>
          <w:bCs/>
          <w:color w:val="0070C0"/>
          <w:kern w:val="36"/>
          <w:sz w:val="16"/>
          <w:szCs w:val="16"/>
        </w:rPr>
        <w:t xml:space="preserve"> </w:t>
      </w:r>
      <w:r w:rsidRPr="001A0BAA">
        <w:rPr>
          <w:color w:val="0070C0"/>
          <w:sz w:val="16"/>
          <w:szCs w:val="16"/>
        </w:rPr>
        <w:t>И-225 (5А) МиГ. В отличии от первого прототипа на нем заменили турбокомпрессор на АМТК-1А и оборудовали гермокабиной. Причем она была уже доработана с учетом тех замечаний, которые были выявлены на перехватчиках И-222 и И-224. Первый вылет состоялся 14-ого марта (25214). </w:t>
      </w:r>
    </w:p>
    <w:p w14:paraId="0FB33A70" w14:textId="77777777" w:rsidR="00425843" w:rsidRPr="001A0BAA" w:rsidRDefault="00425843" w:rsidP="00425843">
      <w:pPr>
        <w:jc w:val="both"/>
        <w:rPr>
          <w:color w:val="0070C0"/>
          <w:sz w:val="16"/>
          <w:szCs w:val="16"/>
        </w:rPr>
      </w:pPr>
    </w:p>
    <w:p w14:paraId="594FC26B" w14:textId="77777777" w:rsidR="00425843" w:rsidRPr="00925F26" w:rsidRDefault="00425843" w:rsidP="00425843">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3E277AF" w14:textId="77777777" w:rsidR="00425843" w:rsidRPr="00925F26" w:rsidRDefault="00425843" w:rsidP="00425843">
      <w:pPr>
        <w:autoSpaceDE w:val="0"/>
        <w:autoSpaceDN w:val="0"/>
        <w:adjustRightInd w:val="0"/>
        <w:jc w:val="both"/>
        <w:rPr>
          <w:iCs/>
          <w:color w:val="000000" w:themeColor="text1"/>
          <w:sz w:val="16"/>
          <w:szCs w:val="16"/>
        </w:rPr>
      </w:pPr>
    </w:p>
    <w:p w14:paraId="150C75F0" w14:textId="77777777" w:rsidR="00425843" w:rsidRPr="001A0BAA" w:rsidRDefault="00425843" w:rsidP="00425843">
      <w:pPr>
        <w:jc w:val="both"/>
        <w:rPr>
          <w:color w:val="0070C0"/>
          <w:sz w:val="16"/>
          <w:szCs w:val="16"/>
        </w:rPr>
      </w:pPr>
      <w:r w:rsidRPr="001A0BAA">
        <w:rPr>
          <w:color w:val="0070C0"/>
          <w:sz w:val="16"/>
          <w:szCs w:val="16"/>
        </w:rPr>
        <w:t>В конце февраля 1945 г. танк, получивший обозначение Т-34-100, прибыл в Москву, как и пи</w:t>
      </w:r>
      <w:r w:rsidRPr="001A0BAA">
        <w:rPr>
          <w:color w:val="0070C0"/>
          <w:sz w:val="16"/>
          <w:szCs w:val="16"/>
        </w:rPr>
        <w:softHyphen/>
        <w:t>сал Малышев. Для того, чтобы установить в машине 100-мм пушку ЗИС-100 завода № 92 НКВ, пришлось изготовить новую баш</w:t>
      </w:r>
      <w:r w:rsidRPr="001A0BAA">
        <w:rPr>
          <w:color w:val="0070C0"/>
          <w:sz w:val="16"/>
          <w:szCs w:val="16"/>
        </w:rPr>
        <w:softHyphen/>
        <w:t>ню с диаметром погона 1700 мм. Из-за увели</w:t>
      </w:r>
      <w:r w:rsidRPr="001A0BAA">
        <w:rPr>
          <w:color w:val="0070C0"/>
          <w:sz w:val="16"/>
          <w:szCs w:val="16"/>
        </w:rPr>
        <w:softHyphen/>
        <w:t>ченного погона пришлось переработать кор</w:t>
      </w:r>
      <w:r w:rsidRPr="001A0BAA">
        <w:rPr>
          <w:color w:val="0070C0"/>
          <w:sz w:val="16"/>
          <w:szCs w:val="16"/>
        </w:rPr>
        <w:softHyphen/>
        <w:t>пус тридцатьчетверки - курсовой пулемет в лобовом листе заменили на встроенный, по типу Т-44 (был ликвидирован стрелок- радист), переделали подвеску 2 и 3-го опор</w:t>
      </w:r>
      <w:r w:rsidRPr="001A0BAA">
        <w:rPr>
          <w:color w:val="0070C0"/>
          <w:sz w:val="16"/>
          <w:szCs w:val="16"/>
        </w:rPr>
        <w:softHyphen/>
        <w:t>ных катков, уменьшили толщину брони дни</w:t>
      </w:r>
      <w:r w:rsidRPr="001A0BAA">
        <w:rPr>
          <w:color w:val="0070C0"/>
          <w:sz w:val="16"/>
          <w:szCs w:val="16"/>
        </w:rPr>
        <w:softHyphen/>
        <w:t>ща и крыши, перенесли в отделение управ</w:t>
      </w:r>
      <w:r w:rsidRPr="001A0BAA">
        <w:rPr>
          <w:color w:val="0070C0"/>
          <w:sz w:val="16"/>
          <w:szCs w:val="16"/>
        </w:rPr>
        <w:softHyphen/>
        <w:t>ления баки с топливом. Новый танк прошел испытания стрельбой (1000 выстрелов) и воз</w:t>
      </w:r>
      <w:r w:rsidRPr="001A0BAA">
        <w:rPr>
          <w:color w:val="0070C0"/>
          <w:sz w:val="16"/>
          <w:szCs w:val="16"/>
        </w:rPr>
        <w:softHyphen/>
        <w:t>кой (500 километров пробега) с 28 февраля по 2 марта 1945 года (25012).</w:t>
      </w:r>
    </w:p>
    <w:p w14:paraId="1A153C3A" w14:textId="77777777" w:rsidR="00425843" w:rsidRPr="001A0BAA" w:rsidRDefault="00425843" w:rsidP="00425843">
      <w:pPr>
        <w:jc w:val="both"/>
        <w:rPr>
          <w:color w:val="0070C0"/>
          <w:sz w:val="16"/>
          <w:szCs w:val="16"/>
        </w:rPr>
      </w:pPr>
    </w:p>
    <w:p w14:paraId="5E6F2A0E" w14:textId="77777777" w:rsidR="00425843" w:rsidRPr="001A0BAA" w:rsidRDefault="00425843" w:rsidP="00425843">
      <w:pPr>
        <w:jc w:val="both"/>
        <w:rPr>
          <w:color w:val="0070C0"/>
          <w:sz w:val="16"/>
          <w:szCs w:val="16"/>
        </w:rPr>
      </w:pPr>
      <w:r w:rsidRPr="001A0BAA">
        <w:rPr>
          <w:rStyle w:val="aff0"/>
          <w:rFonts w:ascii="Times New Roman" w:hAnsi="Times New Roman" w:cs="Times New Roman"/>
          <w:color w:val="0070C0"/>
          <w:spacing w:val="0"/>
          <w:sz w:val="16"/>
          <w:szCs w:val="16"/>
        </w:rPr>
        <w:t>В конце февраля 1945 г. штабом артиллерии 3-го Украинского фронта было произведено обследование 90 образцов трофейной бронетехники, уничтоженных в ходе оборонитель</w:t>
      </w:r>
      <w:r w:rsidRPr="001A0BAA">
        <w:rPr>
          <w:rStyle w:val="aff0"/>
          <w:rFonts w:ascii="Times New Roman" w:hAnsi="Times New Roman" w:cs="Times New Roman"/>
          <w:color w:val="0070C0"/>
          <w:spacing w:val="0"/>
          <w:sz w:val="16"/>
          <w:szCs w:val="16"/>
        </w:rPr>
        <w:softHyphen/>
        <w:t>ных боев в районе оз. Балатон —оз. Веленце —р. Дунай, в том числе 7 сгоревших тан</w:t>
      </w:r>
      <w:r w:rsidRPr="001A0BAA">
        <w:rPr>
          <w:rStyle w:val="aff0"/>
          <w:rFonts w:ascii="Times New Roman" w:hAnsi="Times New Roman" w:cs="Times New Roman"/>
          <w:color w:val="0070C0"/>
          <w:spacing w:val="0"/>
          <w:sz w:val="16"/>
          <w:szCs w:val="16"/>
        </w:rPr>
        <w:softHyphen/>
        <w:t xml:space="preserve">ков типа «Королевский Тигр», 31 танка «Пантера», 12 танков </w:t>
      </w:r>
      <w:r w:rsidRPr="001A0BAA">
        <w:rPr>
          <w:rStyle w:val="aff0"/>
          <w:rFonts w:ascii="Times New Roman" w:hAnsi="Times New Roman" w:cs="Times New Roman"/>
          <w:color w:val="0070C0"/>
          <w:spacing w:val="0"/>
          <w:sz w:val="16"/>
          <w:szCs w:val="16"/>
          <w:lang w:val="en-US"/>
        </w:rPr>
        <w:t>T</w:t>
      </w:r>
      <w:r w:rsidRPr="001A0BAA">
        <w:rPr>
          <w:rStyle w:val="aff0"/>
          <w:rFonts w:ascii="Times New Roman" w:hAnsi="Times New Roman" w:cs="Times New Roman"/>
          <w:color w:val="0070C0"/>
          <w:spacing w:val="0"/>
          <w:sz w:val="16"/>
          <w:szCs w:val="16"/>
        </w:rPr>
        <w:t>-</w:t>
      </w:r>
      <w:r w:rsidRPr="001A0BAA">
        <w:rPr>
          <w:rStyle w:val="aff0"/>
          <w:rFonts w:ascii="Times New Roman" w:hAnsi="Times New Roman" w:cs="Times New Roman"/>
          <w:color w:val="0070C0"/>
          <w:spacing w:val="0"/>
          <w:sz w:val="16"/>
          <w:szCs w:val="16"/>
          <w:lang w:val="en-US"/>
        </w:rPr>
        <w:t>IV</w:t>
      </w:r>
      <w:r w:rsidRPr="001A0BAA">
        <w:rPr>
          <w:rStyle w:val="aff0"/>
          <w:rFonts w:ascii="Times New Roman" w:hAnsi="Times New Roman" w:cs="Times New Roman"/>
          <w:color w:val="0070C0"/>
          <w:spacing w:val="0"/>
          <w:sz w:val="16"/>
          <w:szCs w:val="16"/>
        </w:rPr>
        <w:t>, 4 танков Т-Ш, 32 САУ различных типов и 4 бронетранспортеров.</w:t>
      </w:r>
    </w:p>
    <w:p w14:paraId="69AD4CE6" w14:textId="77777777" w:rsidR="00425843" w:rsidRPr="001A0BAA" w:rsidRDefault="00425843" w:rsidP="00425843">
      <w:pPr>
        <w:jc w:val="both"/>
        <w:rPr>
          <w:color w:val="0070C0"/>
          <w:sz w:val="16"/>
          <w:szCs w:val="16"/>
        </w:rPr>
      </w:pPr>
      <w:r w:rsidRPr="001A0BAA">
        <w:rPr>
          <w:rStyle w:val="aff0"/>
          <w:rFonts w:ascii="Times New Roman" w:hAnsi="Times New Roman" w:cs="Times New Roman"/>
          <w:color w:val="0070C0"/>
          <w:spacing w:val="0"/>
          <w:sz w:val="16"/>
          <w:szCs w:val="16"/>
        </w:rPr>
        <w:t>Из 90 обследованных единиц бронетехники 86 были уничто</w:t>
      </w:r>
      <w:r w:rsidRPr="001A0BAA">
        <w:rPr>
          <w:rStyle w:val="aff0"/>
          <w:rFonts w:ascii="Times New Roman" w:hAnsi="Times New Roman" w:cs="Times New Roman"/>
          <w:color w:val="0070C0"/>
          <w:spacing w:val="0"/>
          <w:sz w:val="16"/>
          <w:szCs w:val="16"/>
        </w:rPr>
        <w:softHyphen/>
        <w:t>жены артиллерийским огнем, а 4 подорвались на минах. 80 ма</w:t>
      </w:r>
      <w:r w:rsidRPr="001A0BAA">
        <w:rPr>
          <w:rStyle w:val="aff0"/>
          <w:rFonts w:ascii="Times New Roman" w:hAnsi="Times New Roman" w:cs="Times New Roman"/>
          <w:color w:val="0070C0"/>
          <w:spacing w:val="0"/>
          <w:sz w:val="16"/>
          <w:szCs w:val="16"/>
        </w:rPr>
        <w:softHyphen/>
        <w:t>шин сгорело. На всех танках и САУ насчитали 152 пробоины от снарядов, в 35 случаях были повреждены гусеницы, в 5 —про</w:t>
      </w:r>
      <w:r w:rsidRPr="001A0BAA">
        <w:rPr>
          <w:rStyle w:val="aff0"/>
          <w:rFonts w:ascii="Times New Roman" w:hAnsi="Times New Roman" w:cs="Times New Roman"/>
          <w:color w:val="0070C0"/>
          <w:spacing w:val="0"/>
          <w:sz w:val="16"/>
          <w:szCs w:val="16"/>
        </w:rPr>
        <w:softHyphen/>
        <w:t>стрелы орудийных стволов и в 2 случаях были сброшены танко</w:t>
      </w:r>
      <w:r w:rsidRPr="001A0BAA">
        <w:rPr>
          <w:rStyle w:val="aff0"/>
          <w:rFonts w:ascii="Times New Roman" w:hAnsi="Times New Roman" w:cs="Times New Roman"/>
          <w:color w:val="0070C0"/>
          <w:spacing w:val="0"/>
          <w:sz w:val="16"/>
          <w:szCs w:val="16"/>
        </w:rPr>
        <w:softHyphen/>
        <w:t>вые башни.</w:t>
      </w:r>
    </w:p>
    <w:p w14:paraId="386C1063" w14:textId="77777777" w:rsidR="00425843" w:rsidRPr="001A0BAA" w:rsidRDefault="00425843" w:rsidP="00425843">
      <w:pPr>
        <w:jc w:val="both"/>
        <w:rPr>
          <w:color w:val="0070C0"/>
          <w:sz w:val="16"/>
          <w:szCs w:val="16"/>
        </w:rPr>
      </w:pPr>
      <w:r w:rsidRPr="001A0BAA">
        <w:rPr>
          <w:rStyle w:val="aff0"/>
          <w:rFonts w:ascii="Times New Roman" w:hAnsi="Times New Roman" w:cs="Times New Roman"/>
          <w:color w:val="0070C0"/>
          <w:spacing w:val="0"/>
          <w:sz w:val="16"/>
          <w:szCs w:val="16"/>
        </w:rPr>
        <w:t>Из 152 пробоин 100 (65,8%) приходилось на борта танков и САУ, 27 (17,8%) — на корму и 25 (16,4%) — на лоб корпуса. 49 пробоин были от бронебойных 76-мм снарядов, 30 —от 57-мм снарядов, 50 —от снарядов неустановленного типа, скорее всего сердечниками подкалиберных снарядов. 3 пробоины были сдела</w:t>
      </w:r>
      <w:r w:rsidRPr="001A0BAA">
        <w:rPr>
          <w:rStyle w:val="aff0"/>
          <w:rFonts w:ascii="Times New Roman" w:hAnsi="Times New Roman" w:cs="Times New Roman"/>
          <w:color w:val="0070C0"/>
          <w:spacing w:val="0"/>
          <w:sz w:val="16"/>
          <w:szCs w:val="16"/>
        </w:rPr>
        <w:softHyphen/>
        <w:t>ны кумулятивными минами «фаустпатронов», а оставшиеся 20 пробоин приходились на снаряды всех остальных типов.</w:t>
      </w:r>
    </w:p>
    <w:p w14:paraId="24BD70F8" w14:textId="77777777" w:rsidR="00425843" w:rsidRPr="001A0BAA" w:rsidRDefault="00425843" w:rsidP="00425843">
      <w:pPr>
        <w:jc w:val="both"/>
        <w:rPr>
          <w:color w:val="0070C0"/>
          <w:sz w:val="16"/>
          <w:szCs w:val="16"/>
        </w:rPr>
      </w:pPr>
      <w:r w:rsidRPr="001A0BAA">
        <w:rPr>
          <w:rStyle w:val="aff0"/>
          <w:rFonts w:ascii="Times New Roman" w:hAnsi="Times New Roman" w:cs="Times New Roman"/>
          <w:color w:val="0070C0"/>
          <w:spacing w:val="0"/>
          <w:sz w:val="16"/>
          <w:szCs w:val="16"/>
        </w:rPr>
        <w:t>Исследуемая подбитая бронетехника также изобиловала мно</w:t>
      </w:r>
      <w:r w:rsidRPr="001A0BAA">
        <w:rPr>
          <w:rStyle w:val="aff0"/>
          <w:rFonts w:ascii="Times New Roman" w:hAnsi="Times New Roman" w:cs="Times New Roman"/>
          <w:color w:val="0070C0"/>
          <w:spacing w:val="0"/>
          <w:sz w:val="16"/>
          <w:szCs w:val="16"/>
        </w:rPr>
        <w:softHyphen/>
        <w:t>гочисленными повреждениями от различных снарядов, пуль и несквозных «язв» от «фаустпатронов», не приведших к пробитию брони (25436).</w:t>
      </w:r>
    </w:p>
    <w:p w14:paraId="12A3AD1E" w14:textId="77777777" w:rsidR="00425843" w:rsidRPr="001A0BAA" w:rsidRDefault="00425843" w:rsidP="00425843">
      <w:pPr>
        <w:jc w:val="both"/>
        <w:rPr>
          <w:color w:val="0070C0"/>
          <w:sz w:val="16"/>
          <w:szCs w:val="16"/>
        </w:rPr>
      </w:pPr>
    </w:p>
    <w:p w14:paraId="2CEB916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4367675" w14:textId="77777777" w:rsidR="00665165" w:rsidRPr="00925F26" w:rsidRDefault="00665165" w:rsidP="00925F26">
      <w:pPr>
        <w:autoSpaceDE w:val="0"/>
        <w:autoSpaceDN w:val="0"/>
        <w:adjustRightInd w:val="0"/>
        <w:jc w:val="both"/>
        <w:rPr>
          <w:iCs/>
          <w:color w:val="000000" w:themeColor="text1"/>
          <w:sz w:val="16"/>
          <w:szCs w:val="16"/>
        </w:rPr>
      </w:pPr>
    </w:p>
    <w:p w14:paraId="186B56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на</w:t>
      </w:r>
      <w:r w:rsidRPr="00925F26">
        <w:rPr>
          <w:color w:val="000000" w:themeColor="text1"/>
          <w:sz w:val="16"/>
          <w:szCs w:val="16"/>
        </w:rPr>
        <w:softHyphen/>
        <w:t>чальник ГУЗ ВВС КА генерал Н.П.Селез</w:t>
      </w:r>
      <w:r w:rsidRPr="00925F26">
        <w:rPr>
          <w:color w:val="000000" w:themeColor="text1"/>
          <w:sz w:val="16"/>
          <w:szCs w:val="16"/>
        </w:rPr>
        <w:softHyphen/>
        <w:t>нев в письме на имя Н.С.Шиманова пи</w:t>
      </w:r>
      <w:r w:rsidRPr="00925F26">
        <w:rPr>
          <w:color w:val="000000" w:themeColor="text1"/>
          <w:sz w:val="16"/>
          <w:szCs w:val="16"/>
        </w:rPr>
        <w:softHyphen/>
        <w:t xml:space="preserve">сал, что </w:t>
      </w:r>
      <w:r w:rsidRPr="00925F26">
        <w:rPr>
          <w:iCs/>
          <w:color w:val="000000" w:themeColor="text1"/>
          <w:sz w:val="16"/>
          <w:szCs w:val="16"/>
        </w:rPr>
        <w:t>"...массовый выпуск Ил-2 с уд</w:t>
      </w:r>
      <w:r w:rsidRPr="00925F26">
        <w:rPr>
          <w:iCs/>
          <w:color w:val="000000" w:themeColor="text1"/>
          <w:sz w:val="16"/>
          <w:szCs w:val="16"/>
        </w:rPr>
        <w:softHyphen/>
        <w:t>линенным бронекорпусом задерживает</w:t>
      </w:r>
      <w:r w:rsidRPr="00925F26">
        <w:rPr>
          <w:iCs/>
          <w:color w:val="000000" w:themeColor="text1"/>
          <w:sz w:val="16"/>
          <w:szCs w:val="16"/>
        </w:rPr>
        <w:softHyphen/>
        <w:t>ся исключительно из-за отсутствия со</w:t>
      </w:r>
      <w:r w:rsidRPr="00925F26">
        <w:rPr>
          <w:iCs/>
          <w:color w:val="000000" w:themeColor="text1"/>
          <w:sz w:val="16"/>
          <w:szCs w:val="16"/>
        </w:rPr>
        <w:softHyphen/>
        <w:t>ответствующего приказа по НКАП... от</w:t>
      </w:r>
      <w:r w:rsidRPr="00925F26">
        <w:rPr>
          <w:iCs/>
          <w:color w:val="000000" w:themeColor="text1"/>
          <w:sz w:val="16"/>
          <w:szCs w:val="16"/>
        </w:rPr>
        <w:softHyphen/>
        <w:t>правка ремонтного варианта бронекор</w:t>
      </w:r>
      <w:r w:rsidRPr="00925F26">
        <w:rPr>
          <w:iCs/>
          <w:color w:val="000000" w:themeColor="text1"/>
          <w:sz w:val="16"/>
          <w:szCs w:val="16"/>
        </w:rPr>
        <w:softHyphen/>
        <w:t>пуса в части по железной дороге явля</w:t>
      </w:r>
      <w:r w:rsidRPr="00925F26">
        <w:rPr>
          <w:iCs/>
          <w:color w:val="000000" w:themeColor="text1"/>
          <w:sz w:val="16"/>
          <w:szCs w:val="16"/>
        </w:rPr>
        <w:softHyphen/>
        <w:t xml:space="preserve">ется недопустимой... " </w:t>
      </w:r>
      <w:r w:rsidRPr="00925F26">
        <w:rPr>
          <w:color w:val="000000" w:themeColor="text1"/>
          <w:sz w:val="16"/>
          <w:szCs w:val="16"/>
        </w:rPr>
        <w:t>(6467).</w:t>
      </w:r>
    </w:p>
    <w:p w14:paraId="68DD5B9E" w14:textId="77777777" w:rsidR="00665165" w:rsidRPr="00925F26" w:rsidRDefault="00665165" w:rsidP="00925F26">
      <w:pPr>
        <w:autoSpaceDE w:val="0"/>
        <w:autoSpaceDN w:val="0"/>
        <w:adjustRightInd w:val="0"/>
        <w:jc w:val="both"/>
        <w:rPr>
          <w:color w:val="000000" w:themeColor="text1"/>
          <w:sz w:val="16"/>
          <w:szCs w:val="16"/>
        </w:rPr>
      </w:pPr>
    </w:p>
    <w:p w14:paraId="0F10A5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на Ил-2 были установлены две пушки 45 мм НС-45. Машина прошла испытания, но в серию не попала (3846,20).</w:t>
      </w:r>
    </w:p>
    <w:p w14:paraId="0CB658F0" w14:textId="77777777" w:rsidR="00665165" w:rsidRPr="00925F26" w:rsidRDefault="00665165" w:rsidP="00925F26">
      <w:pPr>
        <w:autoSpaceDE w:val="0"/>
        <w:autoSpaceDN w:val="0"/>
        <w:adjustRightInd w:val="0"/>
        <w:jc w:val="both"/>
        <w:rPr>
          <w:color w:val="000000" w:themeColor="text1"/>
          <w:sz w:val="16"/>
          <w:szCs w:val="16"/>
        </w:rPr>
      </w:pPr>
    </w:p>
    <w:p w14:paraId="4A7E95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ГКО принял решение о создании учебно-тренировочного варианта штурмовика Ил-10.</w:t>
      </w:r>
    </w:p>
    <w:p w14:paraId="7527FC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Хотя самолет Ил-10 был достаточно прост в пилотировании, он имел определенные особенности, связанные с применением в аэродинамической компоновке крыла профиля серии НАКА-230. Летчик-испытатель И.И.Марков вспоминал: “Характерной особенностью самолетов “Ил” является их “терпимость” к ошибкам летчика, особенно на малых скоростях. Самолет Ил-2, прежде чем сорваться в штопор, долго “мучается”, переваливается с крыла на крыло, спокойно относится к таким ошибкам на посадке как высокое выравнивание или высокое выдерживание. Исключением из ряда “терпеливых” самолетов “Ил” был скоростной штурмовик Ил-10. </w:t>
      </w:r>
      <w:r w:rsidRPr="00925F26">
        <w:rPr>
          <w:color w:val="000000" w:themeColor="text1"/>
          <w:sz w:val="16"/>
          <w:szCs w:val="16"/>
        </w:rPr>
        <w:lastRenderedPageBreak/>
        <w:t>Красив, быстр, приятно управляем, но... строг! Ил-10 не прощал ошибок в пилотировании, в штопор срывался резко, в основном в правую сторону. На посадке высота выдерживания должна была быть не более 0,5 м. Если выше, Ил-10 стремился приземлиться на правое колесо”.</w:t>
      </w:r>
    </w:p>
    <w:p w14:paraId="1A207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одной из серийных машин переделали кабину экипажа: сняли бронеперегородку между кабинами пилота и стрелка, кабину стрелка переоборудовали в кабину летчика-инструктора, в ней поставили второе управление и минимум необходимого пилотажно-</w:t>
      </w:r>
      <w:proofErr w:type="gramStart"/>
      <w:r w:rsidRPr="00925F26">
        <w:rPr>
          <w:color w:val="000000" w:themeColor="text1"/>
          <w:sz w:val="16"/>
          <w:szCs w:val="16"/>
        </w:rPr>
        <w:t>навигацион-ного</w:t>
      </w:r>
      <w:proofErr w:type="gramEnd"/>
      <w:r w:rsidRPr="00925F26">
        <w:rPr>
          <w:color w:val="000000" w:themeColor="text1"/>
          <w:sz w:val="16"/>
          <w:szCs w:val="16"/>
        </w:rPr>
        <w:t xml:space="preserve"> оборудования. Вооружение У Ил-10 состояло из двух пушек, двух ракетных направляющих для пуска РСов, бомб (9528).</w:t>
      </w:r>
    </w:p>
    <w:p w14:paraId="6B983417" w14:textId="77777777" w:rsidR="00665165" w:rsidRPr="00925F26" w:rsidRDefault="00665165" w:rsidP="00925F26">
      <w:pPr>
        <w:autoSpaceDE w:val="0"/>
        <w:autoSpaceDN w:val="0"/>
        <w:adjustRightInd w:val="0"/>
        <w:jc w:val="both"/>
        <w:rPr>
          <w:color w:val="000000" w:themeColor="text1"/>
          <w:sz w:val="16"/>
          <w:szCs w:val="16"/>
        </w:rPr>
      </w:pPr>
    </w:p>
    <w:p w14:paraId="49134433" w14:textId="77777777" w:rsidR="00A96EA6" w:rsidRPr="00925F26" w:rsidRDefault="00A96EA6"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феврале 1945 г. в ОКБ разработали учебно-трениро</w:t>
      </w:r>
      <w:r w:rsidRPr="00925F26">
        <w:rPr>
          <w:rFonts w:ascii="Times New Roman" w:hAnsi="Times New Roman" w:cs="Times New Roman"/>
          <w:color w:val="000000" w:themeColor="text1"/>
          <w:sz w:val="16"/>
          <w:szCs w:val="16"/>
        </w:rPr>
        <w:softHyphen/>
        <w:t>вочный вариант нового штурмовика УИл-10, который сразу же был запущен в серийное производство. Боевая эффективность Ил- 10 особенно ярко проявилась на последнем этапе военных действий, позволив ему не только принимать активное участие в штур</w:t>
      </w:r>
      <w:r w:rsidRPr="00925F26">
        <w:rPr>
          <w:rFonts w:ascii="Times New Roman" w:hAnsi="Times New Roman" w:cs="Times New Roman"/>
          <w:color w:val="000000" w:themeColor="text1"/>
          <w:sz w:val="16"/>
          <w:szCs w:val="16"/>
        </w:rPr>
        <w:softHyphen/>
        <w:t>мовых операциях советской авиации, но и при необходимости на равных вести бои с самолетами врага. Последние серийные штурмовики Ил-10 вышли из цехов заво</w:t>
      </w:r>
      <w:r w:rsidRPr="00925F26">
        <w:rPr>
          <w:rFonts w:ascii="Times New Roman" w:hAnsi="Times New Roman" w:cs="Times New Roman"/>
          <w:color w:val="000000" w:themeColor="text1"/>
          <w:sz w:val="16"/>
          <w:szCs w:val="16"/>
        </w:rPr>
        <w:softHyphen/>
        <w:t>дов в самом конце 1948 г. За четырехлетний период военно-воздушные силы получили 4600 боевых и 280 учебно-тренировочных машин, по праву ставших основным оружи</w:t>
      </w:r>
      <w:r w:rsidRPr="00925F26">
        <w:rPr>
          <w:rFonts w:ascii="Times New Roman" w:hAnsi="Times New Roman" w:cs="Times New Roman"/>
          <w:color w:val="000000" w:themeColor="text1"/>
          <w:sz w:val="16"/>
          <w:szCs w:val="16"/>
        </w:rPr>
        <w:softHyphen/>
        <w:t>ем штурмовой авиации страны.</w:t>
      </w:r>
    </w:p>
    <w:p w14:paraId="032C3D76" w14:textId="77777777" w:rsidR="00A96EA6" w:rsidRPr="00925F26" w:rsidRDefault="00A96EA6" w:rsidP="00925F26">
      <w:pPr>
        <w:pStyle w:val="aff1"/>
        <w:shd w:val="clear" w:color="auto" w:fill="auto"/>
        <w:spacing w:line="240" w:lineRule="auto"/>
        <w:rPr>
          <w:rFonts w:ascii="Times New Roman" w:hAnsi="Times New Roman" w:cs="Times New Roman"/>
          <w:i w:val="0"/>
          <w:color w:val="000000" w:themeColor="text1"/>
          <w:sz w:val="16"/>
          <w:szCs w:val="16"/>
          <w:lang w:val="ru-RU"/>
        </w:rPr>
      </w:pPr>
      <w:r w:rsidRPr="00925F26">
        <w:rPr>
          <w:rFonts w:ascii="Times New Roman" w:hAnsi="Times New Roman" w:cs="Times New Roman"/>
          <w:i w:val="0"/>
          <w:color w:val="000000" w:themeColor="text1"/>
          <w:sz w:val="16"/>
          <w:szCs w:val="16"/>
          <w:lang w:val="ru-RU"/>
        </w:rPr>
        <w:t>Динамика производства серийных штурмовиков семейства «Ил» в 1941 -1947 гг.</w:t>
      </w:r>
    </w:p>
    <w:tbl>
      <w:tblPr>
        <w:tblW w:w="0" w:type="auto"/>
        <w:tblLayout w:type="fixed"/>
        <w:tblCellMar>
          <w:left w:w="10" w:type="dxa"/>
          <w:right w:w="10" w:type="dxa"/>
        </w:tblCellMar>
        <w:tblLook w:val="04A0" w:firstRow="1" w:lastRow="0" w:firstColumn="1" w:lastColumn="0" w:noHBand="0" w:noVBand="1"/>
      </w:tblPr>
      <w:tblGrid>
        <w:gridCol w:w="614"/>
        <w:gridCol w:w="893"/>
        <w:gridCol w:w="643"/>
        <w:gridCol w:w="566"/>
        <w:gridCol w:w="571"/>
        <w:gridCol w:w="600"/>
        <w:gridCol w:w="754"/>
        <w:gridCol w:w="686"/>
        <w:gridCol w:w="552"/>
        <w:gridCol w:w="792"/>
      </w:tblGrid>
      <w:tr w:rsidR="000F5689" w:rsidRPr="00925F26" w14:paraId="75B7489D" w14:textId="77777777" w:rsidTr="007C0C62">
        <w:trPr>
          <w:trHeight w:val="197"/>
        </w:trPr>
        <w:tc>
          <w:tcPr>
            <w:tcW w:w="614" w:type="dxa"/>
            <w:vMerge w:val="restart"/>
            <w:tcBorders>
              <w:top w:val="single" w:sz="4" w:space="0" w:color="auto"/>
              <w:left w:val="single" w:sz="4" w:space="0" w:color="auto"/>
              <w:right w:val="single" w:sz="4" w:space="0" w:color="auto"/>
            </w:tcBorders>
            <w:shd w:val="clear" w:color="auto" w:fill="FFFFFF"/>
          </w:tcPr>
          <w:p w14:paraId="533E7EAE"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Номер завода</w:t>
            </w:r>
          </w:p>
        </w:tc>
        <w:tc>
          <w:tcPr>
            <w:tcW w:w="893" w:type="dxa"/>
            <w:vMerge w:val="restart"/>
            <w:tcBorders>
              <w:top w:val="single" w:sz="4" w:space="0" w:color="auto"/>
              <w:left w:val="single" w:sz="4" w:space="0" w:color="auto"/>
              <w:right w:val="single" w:sz="4" w:space="0" w:color="auto"/>
            </w:tcBorders>
            <w:shd w:val="clear" w:color="auto" w:fill="FFFFFF"/>
          </w:tcPr>
          <w:p w14:paraId="1F8EB680"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Тип самолета</w:t>
            </w:r>
          </w:p>
        </w:tc>
        <w:tc>
          <w:tcPr>
            <w:tcW w:w="4372" w:type="dxa"/>
            <w:gridSpan w:val="7"/>
            <w:tcBorders>
              <w:top w:val="single" w:sz="4" w:space="0" w:color="auto"/>
              <w:left w:val="single" w:sz="4" w:space="0" w:color="auto"/>
              <w:bottom w:val="single" w:sz="4" w:space="0" w:color="auto"/>
              <w:right w:val="single" w:sz="4" w:space="0" w:color="auto"/>
            </w:tcBorders>
            <w:shd w:val="clear" w:color="auto" w:fill="FFFFFF"/>
          </w:tcPr>
          <w:p w14:paraId="40FC1C73"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Годы</w:t>
            </w:r>
          </w:p>
        </w:tc>
        <w:tc>
          <w:tcPr>
            <w:tcW w:w="792" w:type="dxa"/>
            <w:vMerge w:val="restart"/>
            <w:tcBorders>
              <w:top w:val="single" w:sz="4" w:space="0" w:color="auto"/>
              <w:left w:val="single" w:sz="4" w:space="0" w:color="auto"/>
              <w:right w:val="single" w:sz="4" w:space="0" w:color="auto"/>
            </w:tcBorders>
            <w:shd w:val="clear" w:color="auto" w:fill="FFFFFF"/>
          </w:tcPr>
          <w:p w14:paraId="22DC3A5A"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Всего</w:t>
            </w:r>
          </w:p>
        </w:tc>
      </w:tr>
      <w:tr w:rsidR="000F5689" w:rsidRPr="00925F26" w14:paraId="65C4B8FE" w14:textId="77777777" w:rsidTr="007C0C62">
        <w:trPr>
          <w:trHeight w:val="197"/>
        </w:trPr>
        <w:tc>
          <w:tcPr>
            <w:tcW w:w="614" w:type="dxa"/>
            <w:vMerge/>
            <w:tcBorders>
              <w:left w:val="single" w:sz="4" w:space="0" w:color="auto"/>
              <w:bottom w:val="single" w:sz="4" w:space="0" w:color="auto"/>
              <w:right w:val="single" w:sz="4" w:space="0" w:color="auto"/>
            </w:tcBorders>
            <w:shd w:val="clear" w:color="auto" w:fill="FFFFFF"/>
          </w:tcPr>
          <w:p w14:paraId="1369988A" w14:textId="77777777" w:rsidR="00A96EA6" w:rsidRPr="00925F26" w:rsidRDefault="00A96EA6" w:rsidP="00925F26">
            <w:pPr>
              <w:jc w:val="both"/>
              <w:rPr>
                <w:color w:val="000000" w:themeColor="text1"/>
                <w:sz w:val="16"/>
                <w:szCs w:val="16"/>
              </w:rPr>
            </w:pPr>
          </w:p>
        </w:tc>
        <w:tc>
          <w:tcPr>
            <w:tcW w:w="893" w:type="dxa"/>
            <w:vMerge/>
            <w:tcBorders>
              <w:left w:val="single" w:sz="4" w:space="0" w:color="auto"/>
              <w:bottom w:val="single" w:sz="4" w:space="0" w:color="auto"/>
              <w:right w:val="single" w:sz="4" w:space="0" w:color="auto"/>
            </w:tcBorders>
            <w:shd w:val="clear" w:color="auto" w:fill="FFFFFF"/>
          </w:tcPr>
          <w:p w14:paraId="550D9004" w14:textId="77777777" w:rsidR="00A96EA6" w:rsidRPr="00925F26" w:rsidRDefault="00A96EA6" w:rsidP="00925F26">
            <w:pPr>
              <w:jc w:val="both"/>
              <w:rPr>
                <w:color w:val="000000" w:themeColor="text1"/>
                <w:sz w:val="16"/>
                <w:szCs w:val="16"/>
              </w:rPr>
            </w:pP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045AD7E7"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1941</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2C19625B"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1942</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64DF01B1"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1943</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5A50CBD3"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1944</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8A84666"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1945</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AA1B4B6"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1946</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489E750C"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1947</w:t>
            </w:r>
          </w:p>
        </w:tc>
        <w:tc>
          <w:tcPr>
            <w:tcW w:w="792" w:type="dxa"/>
            <w:vMerge/>
            <w:tcBorders>
              <w:left w:val="single" w:sz="4" w:space="0" w:color="auto"/>
              <w:bottom w:val="single" w:sz="4" w:space="0" w:color="auto"/>
              <w:right w:val="single" w:sz="4" w:space="0" w:color="auto"/>
            </w:tcBorders>
            <w:shd w:val="clear" w:color="auto" w:fill="FFFFFF"/>
          </w:tcPr>
          <w:p w14:paraId="01FD196A" w14:textId="77777777" w:rsidR="00A96EA6" w:rsidRPr="00925F26" w:rsidRDefault="00A96EA6" w:rsidP="00925F26">
            <w:pPr>
              <w:jc w:val="both"/>
              <w:rPr>
                <w:color w:val="000000" w:themeColor="text1"/>
                <w:sz w:val="16"/>
                <w:szCs w:val="16"/>
              </w:rPr>
            </w:pPr>
          </w:p>
        </w:tc>
      </w:tr>
      <w:tr w:rsidR="000F5689" w:rsidRPr="00925F26" w14:paraId="28F59DCB" w14:textId="77777777" w:rsidTr="007C0C62">
        <w:trPr>
          <w:trHeight w:val="187"/>
        </w:trPr>
        <w:tc>
          <w:tcPr>
            <w:tcW w:w="614" w:type="dxa"/>
            <w:vMerge w:val="restart"/>
            <w:tcBorders>
              <w:top w:val="single" w:sz="4" w:space="0" w:color="auto"/>
              <w:left w:val="single" w:sz="4" w:space="0" w:color="auto"/>
              <w:right w:val="single" w:sz="4" w:space="0" w:color="auto"/>
            </w:tcBorders>
            <w:shd w:val="clear" w:color="auto" w:fill="FFFFFF"/>
          </w:tcPr>
          <w:p w14:paraId="46F9DF09"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7AEE4949"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227E80BD"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5</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6A1D9904"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2991</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0C841DCD"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4257</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4377F1CD"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3710</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B842561"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957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9AE742"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1CA6B3E8"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2509875"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11920</w:t>
            </w:r>
          </w:p>
        </w:tc>
      </w:tr>
      <w:tr w:rsidR="000F5689" w:rsidRPr="00925F26" w14:paraId="66AA2FD0" w14:textId="77777777" w:rsidTr="007C0C62">
        <w:trPr>
          <w:trHeight w:val="192"/>
        </w:trPr>
        <w:tc>
          <w:tcPr>
            <w:tcW w:w="614" w:type="dxa"/>
            <w:vMerge/>
            <w:tcBorders>
              <w:left w:val="single" w:sz="4" w:space="0" w:color="auto"/>
              <w:bottom w:val="single" w:sz="4" w:space="0" w:color="auto"/>
              <w:right w:val="single" w:sz="4" w:space="0" w:color="auto"/>
            </w:tcBorders>
            <w:shd w:val="clear" w:color="auto" w:fill="FFFFFF"/>
          </w:tcPr>
          <w:p w14:paraId="71B32DB0" w14:textId="77777777" w:rsidR="00A96EA6" w:rsidRPr="00925F26" w:rsidRDefault="00A96EA6" w:rsidP="00925F26">
            <w:pPr>
              <w:jc w:val="both"/>
              <w:rPr>
                <w:color w:val="000000" w:themeColor="text1"/>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1ECBAF1"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71CC68B8" w14:textId="77777777" w:rsidR="00A96EA6" w:rsidRPr="00925F26" w:rsidRDefault="00A96EA6" w:rsidP="00925F26">
            <w:pPr>
              <w:pStyle w:val="67"/>
              <w:shd w:val="clear" w:color="auto" w:fill="auto"/>
              <w:spacing w:before="0" w:line="240" w:lineRule="auto"/>
              <w:rPr>
                <w:color w:val="000000" w:themeColor="text1"/>
                <w:sz w:val="16"/>
                <w:szCs w:val="16"/>
              </w:rPr>
            </w:pPr>
            <w:r w:rsidRPr="00925F26">
              <w:rPr>
                <w:color w:val="000000" w:themeColor="text1"/>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49DA4B63"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568AFF23"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2D6ACA51"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4E04EC7"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893/228</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C3B21D3"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2/41</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638D8D77"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8790B10"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695/269</w:t>
            </w:r>
          </w:p>
        </w:tc>
      </w:tr>
      <w:tr w:rsidR="000F5689" w:rsidRPr="00925F26" w14:paraId="257E9951" w14:textId="77777777" w:rsidTr="007C0C62">
        <w:trPr>
          <w:trHeight w:val="192"/>
        </w:trPr>
        <w:tc>
          <w:tcPr>
            <w:tcW w:w="614" w:type="dxa"/>
            <w:vMerge w:val="restart"/>
            <w:tcBorders>
              <w:top w:val="single" w:sz="4" w:space="0" w:color="auto"/>
              <w:left w:val="single" w:sz="4" w:space="0" w:color="auto"/>
              <w:right w:val="single" w:sz="4" w:space="0" w:color="auto"/>
            </w:tcBorders>
            <w:shd w:val="clear" w:color="auto" w:fill="FFFFFF"/>
          </w:tcPr>
          <w:p w14:paraId="29F937F3"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18</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8E422A4"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Ил-2(2У)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4311E4B7"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1510</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208012FB"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3942</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6C64DA22"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4702</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741137F8"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4014</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539D1B68"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931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31376D"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42837D9"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5F36536"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15099</w:t>
            </w:r>
          </w:p>
        </w:tc>
      </w:tr>
      <w:tr w:rsidR="000F5689" w:rsidRPr="00925F26" w14:paraId="38726CA1" w14:textId="77777777" w:rsidTr="007C0C62">
        <w:trPr>
          <w:trHeight w:val="192"/>
        </w:trPr>
        <w:tc>
          <w:tcPr>
            <w:tcW w:w="614" w:type="dxa"/>
            <w:vMerge/>
            <w:tcBorders>
              <w:left w:val="single" w:sz="4" w:space="0" w:color="auto"/>
              <w:bottom w:val="single" w:sz="4" w:space="0" w:color="auto"/>
              <w:right w:val="single" w:sz="4" w:space="0" w:color="auto"/>
            </w:tcBorders>
            <w:shd w:val="clear" w:color="auto" w:fill="FFFFFF"/>
          </w:tcPr>
          <w:p w14:paraId="04CC83F5" w14:textId="77777777" w:rsidR="00A96EA6" w:rsidRPr="00925F26" w:rsidRDefault="00A96EA6" w:rsidP="00925F26">
            <w:pPr>
              <w:jc w:val="both"/>
              <w:rPr>
                <w:color w:val="000000" w:themeColor="text1"/>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34EF0514"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0A29726"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088D6034"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32B064BD"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341562D4"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73</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337D3363"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1362</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52924AB"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1006/11</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670ADCD"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859</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BC89113"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3300/11</w:t>
            </w:r>
          </w:p>
        </w:tc>
      </w:tr>
      <w:tr w:rsidR="000F5689" w:rsidRPr="00925F26" w14:paraId="2D8DFEAE" w14:textId="77777777" w:rsidTr="007C0C62">
        <w:trPr>
          <w:trHeight w:val="192"/>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18BE3774"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30</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462243F"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4156D30"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550A9E48"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1053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136713D0"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2234</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746FDC5D"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3377</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0265D8C5"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2201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839B025"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8274638"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5BDCDD4"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8865</w:t>
            </w:r>
          </w:p>
        </w:tc>
      </w:tr>
      <w:tr w:rsidR="000F5689" w:rsidRPr="00925F26" w14:paraId="2309864B" w14:textId="77777777" w:rsidTr="007C0C62">
        <w:trPr>
          <w:trHeight w:val="197"/>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3B7029AF"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381</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8FBFB8F"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Ил-2</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5EE86BF"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27</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3AB43982"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243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2F0F0E30" w14:textId="77777777" w:rsidR="00A96EA6" w:rsidRPr="00925F26" w:rsidRDefault="00A96EA6" w:rsidP="00925F26">
            <w:pPr>
              <w:pStyle w:val="67"/>
              <w:shd w:val="clear" w:color="auto" w:fill="auto"/>
              <w:spacing w:before="0" w:line="240" w:lineRule="auto"/>
              <w:rPr>
                <w:color w:val="000000" w:themeColor="text1"/>
                <w:sz w:val="16"/>
                <w:szCs w:val="16"/>
              </w:rPr>
            </w:pPr>
            <w:r w:rsidRPr="00925F26">
              <w:rPr>
                <w:color w:val="000000" w:themeColor="text1"/>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6FA018BB"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BE1C135" w14:textId="77777777" w:rsidR="00A96EA6" w:rsidRPr="00925F26" w:rsidRDefault="00A96EA6" w:rsidP="00925F26">
            <w:pPr>
              <w:pStyle w:val="103"/>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EBDF115"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67D6A2F2"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30360278"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270</w:t>
            </w:r>
          </w:p>
        </w:tc>
      </w:tr>
      <w:tr w:rsidR="000F5689" w:rsidRPr="00925F26" w14:paraId="66C2720E" w14:textId="77777777" w:rsidTr="007C0C62">
        <w:trPr>
          <w:trHeight w:val="187"/>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3F71B6C6"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64</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87DA75E"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Ил-10</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78A8808" w14:textId="77777777" w:rsidR="00A96EA6" w:rsidRPr="00925F26" w:rsidRDefault="00A96EA6" w:rsidP="00925F26">
            <w:pPr>
              <w:pStyle w:val="67"/>
              <w:shd w:val="clear" w:color="auto" w:fill="auto"/>
              <w:spacing w:before="0" w:line="240" w:lineRule="auto"/>
              <w:rPr>
                <w:color w:val="000000" w:themeColor="text1"/>
                <w:sz w:val="16"/>
                <w:szCs w:val="16"/>
              </w:rPr>
            </w:pPr>
            <w:r w:rsidRPr="00925F26">
              <w:rPr>
                <w:color w:val="000000" w:themeColor="text1"/>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78916E4C"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7E41602D"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2D13A73E" w14:textId="77777777" w:rsidR="00A96EA6" w:rsidRPr="00925F26" w:rsidRDefault="00A96EA6" w:rsidP="00925F26">
            <w:pPr>
              <w:pStyle w:val="90"/>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603C9F7"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A67FDC5"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427F3DC4" w14:textId="77777777" w:rsidR="00A96EA6" w:rsidRPr="00925F26" w:rsidRDefault="00A96EA6"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12</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267161D2"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12</w:t>
            </w:r>
          </w:p>
        </w:tc>
      </w:tr>
      <w:tr w:rsidR="000F5689" w:rsidRPr="00925F26" w14:paraId="0C68A706" w14:textId="77777777" w:rsidTr="007C0C62">
        <w:trPr>
          <w:trHeight w:val="192"/>
        </w:trPr>
        <w:tc>
          <w:tcPr>
            <w:tcW w:w="614" w:type="dxa"/>
            <w:vMerge w:val="restart"/>
            <w:tcBorders>
              <w:top w:val="single" w:sz="4" w:space="0" w:color="auto"/>
              <w:left w:val="single" w:sz="4" w:space="0" w:color="auto"/>
              <w:right w:val="single" w:sz="4" w:space="0" w:color="auto"/>
            </w:tcBorders>
            <w:shd w:val="clear" w:color="auto" w:fill="FFFFFF"/>
          </w:tcPr>
          <w:p w14:paraId="4C9E68D7"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Итого</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7428CD34"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C554092"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1542</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4D9B0478"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8229</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4F074ADB"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11193</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65CF9689"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11101</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7CF03F2"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4089</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BD756A0" w14:textId="77777777" w:rsidR="00A96EA6" w:rsidRPr="00925F26" w:rsidRDefault="00A96EA6" w:rsidP="00925F26">
            <w:pPr>
              <w:pStyle w:val="67"/>
              <w:shd w:val="clear" w:color="auto" w:fill="auto"/>
              <w:spacing w:before="0" w:line="240" w:lineRule="auto"/>
              <w:rPr>
                <w:color w:val="000000" w:themeColor="text1"/>
                <w:sz w:val="16"/>
                <w:szCs w:val="16"/>
              </w:rPr>
            </w:pPr>
            <w:r w:rsidRPr="00925F26">
              <w:rPr>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5F22E754" w14:textId="77777777" w:rsidR="00A96EA6" w:rsidRPr="00925F26" w:rsidRDefault="00A96EA6" w:rsidP="00925F26">
            <w:pPr>
              <w:pStyle w:val="67"/>
              <w:shd w:val="clear" w:color="auto" w:fill="auto"/>
              <w:spacing w:before="0" w:line="240" w:lineRule="auto"/>
              <w:rPr>
                <w:color w:val="000000" w:themeColor="text1"/>
                <w:sz w:val="16"/>
                <w:szCs w:val="16"/>
              </w:rPr>
            </w:pPr>
            <w:r w:rsidRPr="00925F26">
              <w:rPr>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9116BFD"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36154</w:t>
            </w:r>
          </w:p>
        </w:tc>
      </w:tr>
      <w:tr w:rsidR="000F5689" w:rsidRPr="00925F26" w14:paraId="5B57F42F" w14:textId="77777777" w:rsidTr="007C0C62">
        <w:trPr>
          <w:trHeight w:val="202"/>
        </w:trPr>
        <w:tc>
          <w:tcPr>
            <w:tcW w:w="614" w:type="dxa"/>
            <w:vMerge/>
            <w:tcBorders>
              <w:left w:val="single" w:sz="4" w:space="0" w:color="auto"/>
              <w:bottom w:val="single" w:sz="4" w:space="0" w:color="auto"/>
              <w:right w:val="single" w:sz="4" w:space="0" w:color="auto"/>
            </w:tcBorders>
            <w:shd w:val="clear" w:color="auto" w:fill="FFFFFF"/>
          </w:tcPr>
          <w:p w14:paraId="25DC4A0D" w14:textId="77777777" w:rsidR="00A96EA6" w:rsidRPr="00925F26" w:rsidRDefault="00A96EA6" w:rsidP="00925F26">
            <w:pPr>
              <w:jc w:val="both"/>
              <w:rPr>
                <w:color w:val="000000" w:themeColor="text1"/>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F11A965"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339C44E9" w14:textId="77777777" w:rsidR="00A96EA6" w:rsidRPr="00925F26" w:rsidRDefault="00A96EA6" w:rsidP="00925F26">
            <w:pPr>
              <w:pStyle w:val="7"/>
              <w:shd w:val="clear" w:color="auto" w:fill="auto"/>
              <w:spacing w:line="240" w:lineRule="auto"/>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0D0C617C" w14:textId="77777777" w:rsidR="00A96EA6" w:rsidRPr="00925F26" w:rsidRDefault="00A96EA6" w:rsidP="00925F26">
            <w:pPr>
              <w:pStyle w:val="80"/>
              <w:shd w:val="clear" w:color="auto" w:fill="auto"/>
              <w:spacing w:line="240" w:lineRule="auto"/>
              <w:jc w:val="both"/>
              <w:rPr>
                <w:rFonts w:ascii="Times New Roman" w:hAnsi="Times New Roman" w:cs="Times New Roman"/>
                <w:color w:val="000000" w:themeColor="text1"/>
              </w:rPr>
            </w:pPr>
            <w:r w:rsidRPr="00925F26">
              <w:rPr>
                <w:rFonts w:ascii="Times New Roman" w:hAnsi="Times New Roman" w:cs="Times New Roman"/>
                <w:color w:val="000000" w:themeColor="text1"/>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2F04866C" w14:textId="77777777" w:rsidR="00A96EA6" w:rsidRPr="00925F26" w:rsidRDefault="00A96EA6" w:rsidP="00925F26">
            <w:pPr>
              <w:pStyle w:val="59"/>
              <w:shd w:val="clear" w:color="auto" w:fill="auto"/>
              <w:spacing w:line="240" w:lineRule="auto"/>
              <w:ind w:firstLine="0"/>
              <w:jc w:val="both"/>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5BA5B5CC"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73</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F3C47C5"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2255/228</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69A49A7"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1008/52</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28085387"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859</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62791CEF" w14:textId="77777777" w:rsidR="00A96EA6" w:rsidRPr="00925F26" w:rsidRDefault="00A96EA6"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4007/280</w:t>
            </w:r>
          </w:p>
        </w:tc>
      </w:tr>
    </w:tbl>
    <w:p w14:paraId="583F9679" w14:textId="77777777" w:rsidR="00A96EA6" w:rsidRPr="00925F26" w:rsidRDefault="00A96EA6"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(12734).</w:t>
      </w:r>
    </w:p>
    <w:p w14:paraId="1A7C9346" w14:textId="77777777" w:rsidR="00A96EA6" w:rsidRPr="00925F26" w:rsidRDefault="00A96EA6"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82AAC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начался выпуск модернизированного самолета Ил-10, на котором была установлена пушка Березина калибра 20 мм для стрелка. В остальном вооружении штурмовик Ил-10 не отличался от своего предшественника. Тем не менее, некоторые партии самолетом вместо пушек ВЯ калибра 23 мм укомплектовывались пушками НС-23 калибра 23 мм. Все самолеты Ил-10 имели десять оборонительных авиационных гранат АГ-2 (ГАСО. Ф. Р-3454. Оп. 1. Д. 50. Л. 3.) (11714).</w:t>
      </w:r>
    </w:p>
    <w:p w14:paraId="58346CDF" w14:textId="77777777" w:rsidR="00665165" w:rsidRPr="00925F26" w:rsidRDefault="00665165" w:rsidP="00925F26">
      <w:pPr>
        <w:autoSpaceDE w:val="0"/>
        <w:autoSpaceDN w:val="0"/>
        <w:adjustRightInd w:val="0"/>
        <w:jc w:val="both"/>
        <w:rPr>
          <w:color w:val="000000" w:themeColor="text1"/>
          <w:sz w:val="16"/>
          <w:szCs w:val="16"/>
        </w:rPr>
      </w:pPr>
    </w:p>
    <w:p w14:paraId="6E418186"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феврале 1945 года планировалось переучить на Ил-10 уже пять маршевых авиаполков (571, 723 и 809 шап, 118 и 132 гшап) и 120 отдельных экипажей. Однако если январский план по переучиванию на Ил-10 бригада выполнила на 91 %, то февральский был провален полностью - 48 %.</w:t>
      </w:r>
    </w:p>
    <w:p w14:paraId="6212DBB4"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Качество стрельб и бомбометания на полигоне было оценено как неудовлетворительное. Процент выполнения заданий по боевому применению на полигоне составил: с оценкой «отлично» - 12 %, «хорошо» - 42 %, «посредственно» - 46 % и «невыполнение заданий» - 18,7 %.</w:t>
      </w:r>
    </w:p>
    <w:p w14:paraId="08836322"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При этом количество летных происшествий возросло почти в два раза - 21 летное происшествие против 10 в январе. Из этого числа на долю Ил-10 пришлись 2 аварии и 6 поломок самолета, что с учетом общего налета составило 57 ч 50 мин летного времени (209 посадок) на одно происшествие.</w:t>
      </w:r>
    </w:p>
    <w:p w14:paraId="337EC18E" w14:textId="77777777" w:rsidR="00D44763" w:rsidRPr="00925F26" w:rsidRDefault="00D4476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то же время средний уровень летно-боевой подготовки вновь прибывших маршевых авиаполков оказался не ниже уровня лидерных полков, а даже несколько выше. Так, боевой налет на одного летчика в 571 шап составил в среднем 53 вылета, в 809 шап - 77 вылетов, в 132-м и 118-м гвардейских - около 55 и 38 вылетов соответственно.</w:t>
      </w:r>
    </w:p>
    <w:p w14:paraId="20D432E3" w14:textId="77777777" w:rsidR="00D44763" w:rsidRPr="00925F26" w:rsidRDefault="00D4476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Командование бригады объяснило срыв подготовки отсутствием в течение 7 дней горючего и в течение 5 дней (в среднем по бригаде) летной погоды, а также опозданием 132 гшап с прибытием для переучивания. Однако думается, что причина состояла в известной неорганизованности учебно-боевой работы в 1 заб, неоднократно отмечавшейся в различных руководящих документах штаба ВВС ПриВО и отчетных документах самой бригады. Она объяснялась высокой текучестью кадров в звене управления полков и бригады: «командиры и их штабы в зап обновлялись в течение года по одному-два раза», а «отдел боевой подготовки бригады в год обновлялся в полном составе три раза». Как правило, должности помощника командира полка по воздушно-стрелковой службе, штурмана полка, начальника штаба полка занимали наиболее подготовленные офицеры, которые, как правило, тяготились штабной работой, стремились на фронт и своего добивались. Должность становилась вакантной, и пока кадровики подыскивали достойного кандидата, решение текущих вопросов по конкретному направлению учебно-боевой работы поручалось одному из офицеров звена управления в качестве дополнительной нагрузки к его прямым обязанностям или же «временно» назначался первый более или менее подходящий офицер из другого подразделения. Вполне естественно, что ни тот ни другой, что называется, были «не в курсе дела». Назначенный же на должность боевой офицер с большим опытом войны, как никто другой понимающий, что нужно на войне, по указанным выше причинам в течение двух-трех месяцев пробивал себе отправку на фронт. Считалось, что на фронте он нужнее. И все возвращалось «на круги своя». Как следствие частой ротации кадров, организация учебно-боевой работы в запасных полках всегда «хромала на обе ноги».</w:t>
      </w:r>
    </w:p>
    <w:p w14:paraId="07B10130"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Кроме того, далеко не самым последним фактором, несколько тормозившим процесс переучивания на новую матчасть, являлось осознание каждым летчиком, и особенно «стариками», прошедшими горнило настоящей войны, того факта, что война подходит к концу и что они все же выжили. Вслух об этом говорить не решались, но «про себя», несомненно, думали. В силу этого, попав в глубокий тыл, боевые летчики позволили себе несколько расслабиться. Конечно же, молодежь из нового пополнения рвалась и торопилась в бой, но опыта и летных навыков у нее было маловато. Проявления таких «мыслей» в той или иной форме прослеживаются при анализе материалов отчетных и других документов 1 заб и маршевых полков.</w:t>
      </w:r>
    </w:p>
    <w:p w14:paraId="2C87564C"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Необходимо также отметить, что процесс переучивания летного состава сильно осложнялся рядом серьезных конструктивных и производственных дефектов, как самолета, так и мотора АМ-42, порожденных «скоростными» методами проектирования и внедрения в массовое производство в условиях военного времени. Это вызывало определенную нервозность и неуверенность как среди летчиков, так и их инструкторов.</w:t>
      </w:r>
    </w:p>
    <w:p w14:paraId="5F065C80"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Почти на всех самолетах датчики бензиномеров верхних бензобаков показывали все, что угодно, но не количество оставшегося в баках топлива. Тарировка зонда масломера, как оказалось, была проведена на заводах неточно. Вследствие этого и заливка масла в маслосистему проводилась техническим составом неверно: моторы выходили из строя по причине масляного «голодания».</w:t>
      </w:r>
    </w:p>
    <w:p w14:paraId="121791DD"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На нескольких самолетах были зарегистрированы случаи отказов в работе моторчиков управления заслонкой туннеля водорадиатора. После налета 10-15 ч на самолетах появлялись люфты в соединении рычагов проводки управления шторками тоннелей водяного и масляного радиаторов.</w:t>
      </w:r>
    </w:p>
    <w:p w14:paraId="2D438C53"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результате отклонений при изготовлении бронекорпусов маслобаки на некоторых машинах были смещены в сторону мотора. По этой причине отмечались случаи повреждения обечайки баков во время работы мотора.</w:t>
      </w:r>
    </w:p>
    <w:p w14:paraId="136B191B"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Амортизационная смесь в амортизационных стойках шасси при температурах наружного воздуха ниже минус 8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xml:space="preserve"> кристаллизовалась. Как следствие, шток поршня амортизатора свободно висящей стойки не полностью выходил из цилиндра. Из -за этого при уборке шасси колесо, будучи приподнято (из-за невыхода поршня), заходило в вырез крыла с напряжением, упираясь в переднюю часть окантовки выреза, деформировало и разрушало его. При этом довольно часто обтекатель колеса (так называемый «лопух») заскакивал за окантовку выреза и там его заклинивало. Были и другие причины поломок и срыва «лопухов», например неправильный монтаж на стойке. Дело в том, что при подъеме шасси и повороте стойки вокруг своей оси на 86° «лопух» подходил к вырезу в крыле сначала одной стороной, а затем к крылу прижималась другая его стор она. При этом если «лопух» был установлен на стойке неверно, то он опять -таки заходил в вырез крыла и там заклинивался.</w:t>
      </w:r>
    </w:p>
    <w:p w14:paraId="0EAEE931"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При уборке шасси складывающийся подкос цеплял или за трубку подвода воздуха тормозной системы, проложенной по переднему лонжерону крыла, или за колодку ее крепления к лонжерону, что в обоих случаях приводило к обрыву трубки тормозов или к попаданию трубки в замок шасси. Замок при этом заклинивало. От этого дефекта удалось избавиться только в марте 1945 года.</w:t>
      </w:r>
    </w:p>
    <w:p w14:paraId="6734C21B"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Вследствие недостаточной жесткости листов куполов ниш шасси (грязевых щитков), а также производственными дефектами их изготовления купола повсеместно деформировались и трескались. С той же 5-й серии их стали изготавливать из более толстого листа. Трещины обнаруживались и в ушках рычагов складывающихся подкосов, к которым подсоединялись штоки цилиндров подъема шасси. Это в основном вызывалось нарушением технологии при сварке.</w:t>
      </w:r>
    </w:p>
    <w:p w14:paraId="6E0786AF"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После 70-80 посадок проявлялся значительный износ болтов крепления костыля к узлам на 12-й раме фюзеляжа. На отдельных самолетах выработка этих болтов за 90 посадок превышала 0,5 мм. Лабораторная проверка показала, что они изготовлены в полном соответствии с чертежами. С апреля 1945 года оба завода стали применять болты большего диаметра.</w:t>
      </w:r>
    </w:p>
    <w:p w14:paraId="31C6D199"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При сбрасывании бомб из бомбовых отсеков встречались случаи обрыва тросов управления створками отсеков, а также деформации створок в местах крепления к ним петель. На некоторых самолетах были зарегистрированы случаи обрыва траверсы углового ролика, через который проходил трос от створки бомболюка к компенсатору. Результат был один и тот же - створки не закрывались, создавая в полете дополнительное аэродинамическое сопротивление.</w:t>
      </w:r>
    </w:p>
    <w:p w14:paraId="3363B552"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lastRenderedPageBreak/>
        <w:t>Столкнулись и с нарушением поперечной балансировки самолета, заключающийся в том, что самолет приобретал произвольный крен в одну сторону. Причиной дефекта, как выяснилось, являлось изменение угла установки (отгибание) «ножа» -компенсатора, приклепанного к элерону.</w:t>
      </w:r>
    </w:p>
    <w:p w14:paraId="132FE35B"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Оказалось, что «ножи» элеронов отгибаются струбцинами при неверной их постановке техническим составом полков в процессе обслуживания самолетов.</w:t>
      </w:r>
    </w:p>
    <w:p w14:paraId="2F31E85C"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Моторы АМ-42 в своем большинстве запускались с трудом, а иногда и вовсе не хотели заводиться. Осмотр наиболее «упорных» моторов показал, что причиной отказов являлось засорение бензиновых штуцеров насосов ПН-1 скатавшимися в шарик фибровыми прокладками, устанавливаемыми под переходники бензиновых штуцеров ПН-1.</w:t>
      </w:r>
    </w:p>
    <w:p w14:paraId="28ABE425" w14:textId="77777777" w:rsidR="00D44763" w:rsidRPr="00925F26" w:rsidRDefault="00D4476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 xml:space="preserve">Помимо этого, моторы показывали плохую приемистость на малом газу и особенно при запуске горячих моторов, часто происходило разрушение вкладышей и обрыв шатунов, постоянно текли масло - и водорадиаторы по причине плохой пайки и т. д. </w:t>
      </w:r>
    </w:p>
    <w:p w14:paraId="655C274C"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Следует отметить, что, судя по документам, недостатки и дефекты мотора АМ -42 обуславливались не только объективными трудностями, но также и «особым» отношением мотористов к вопросу выяснения истинных причин «летных происшествий, происходящих по причине отказа моторов». В письме командира 1-й запасной штурмовой авиабригады генерал-майора А. И. Подольского директору завода № 24 М. С. Жезлову от 14 июня 1945 года отмечалось, что «/./представители завода запутывают расследования причин отказов моторов, а значит, стремятся замазать их. Расследования затягиваются на полгода и более. Такое «расследование» не может предупредить вовремя повторение летных происшествий по тем же причинам. Завязывается бессмысленная переписка, в результате которой все же Вам приходится признавать вину за заводом. Нелогичность «особых» мнений и отсутствие в них обоснования говорит о чрезвычайно низкой технической грамотности представителей завода, работающих в бригаде.».</w:t>
      </w:r>
    </w:p>
    <w:p w14:paraId="1B5C6FDE"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общем, проблем с матчастью хватало в избытке. Однако, по абсолютным показателям официальной статистики, «десятка» выглядела не так уж и плохо. Начальник штаба 1-й заб полковник Журавлев докладывал командующему ВВС ПриВО, что за 1-й квартал 1945 года в бригаде произошло 46 летных происшествий, из них на Ил-10 - 19, на Ил-2 - 20, на УИл-2 - 4, на УТ-2 - 1, на По-2 - 1. Кроме этого, управление бригады имело два летных происшествия: одно - на Ил-10 и одно - на УТ-2. Если же взять за основу для анализа удельные параметры, то Ил-10 серьезно уступал Ил-2. Средний налет «десятки» на одно летное происшествие в 1-м квартале составил 85 ч 28 мин (или 280 посадок), тогда как у «двойки» - 389 ч 10 мин (или 510 посадок). При этом по недоученности летного состава произошло 17,3 % летных происшествий, по недисциплинированности (главным образом нарушение наставления по производству полетов) - 46 % и по вине материальной части (конструктивно-производственные дефекты) - 36,7 %. Для сравнения: в июле - августе 1941 года при переучивании в 1 заб маршевых авиаполков на самолете Ил-2 налет на одно летное происшествие составил 157 ч 03 мин при среднем налете на одного летчика перед убытием на фронт 4 ч 20 мин.</w:t>
      </w:r>
    </w:p>
    <w:p w14:paraId="443C68A5"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С целью лучшего освоения самолета Ил-10 в феврале силами 1 заб была закончена опытная отработка боевого применения Ил-10, по результатам которой подготовлены методические указания и разосланы в части. Кроме этого, были проведены методические совещания штурманов полков и помощников командиров полков по воздушно -стрелковой службе по обобщению опыта бомбометания и воздушной стрельбы с Ил-10 и методике обучения летного состава боевому применению на «десятке».</w:t>
      </w:r>
    </w:p>
    <w:p w14:paraId="5C876957" w14:textId="77777777" w:rsidR="00D44763" w:rsidRPr="00925F26" w:rsidRDefault="00D4476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Реально в феврале на самолете Ил-10 удалось переучить только один маршевый авиаполк - 571-й штурмовой авиаполк подполковника М. И. Безуха. Согласно акту готовности полка к убытию на фронт от 28 февраля 1945 г. полк имел в своем составе 42 летчика, прошедших программу переучивания на Ил-10. Из этого числа 38 летчиков имели боевой опыт на самолете Ил -2. В ходе переучивания полк получил из 5 зап на пополнение двух летчиков, переучившихся на самолете Ил-10. Налет на одного летчика полка на Ил-10 составил 3 ч 7 мин (17 посадок), в том числе 2 ч 44 мин (13 посадок) на боевое применение (17490).</w:t>
      </w:r>
    </w:p>
    <w:p w14:paraId="51E121EB" w14:textId="77777777" w:rsidR="00D44763" w:rsidRPr="00925F26" w:rsidRDefault="00D44763" w:rsidP="00925F26">
      <w:pPr>
        <w:jc w:val="both"/>
        <w:rPr>
          <w:color w:val="000000" w:themeColor="text1"/>
          <w:sz w:val="16"/>
          <w:szCs w:val="16"/>
        </w:rPr>
      </w:pPr>
    </w:p>
    <w:p w14:paraId="44DF231D"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феврале 1945 1 запасная бригада приняла 83 «десятки», в следующем месяце - 145, в апреле - 265 и в мае - 257 Ил-10. В общей сложности к 1 июля 1945 года 1 заб получила 1077 самолетов Ил-10 и 3 учебно-тренировочных УИл-10.</w:t>
      </w:r>
    </w:p>
    <w:p w14:paraId="3F52FB35"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6D7BFAC4"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48501B3A"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44315ACF" w14:textId="77777777" w:rsidR="00D44763" w:rsidRPr="00925F26" w:rsidRDefault="00D44763" w:rsidP="00925F26">
      <w:pPr>
        <w:jc w:val="both"/>
        <w:rPr>
          <w:color w:val="000000" w:themeColor="text1"/>
          <w:sz w:val="16"/>
          <w:szCs w:val="16"/>
        </w:rPr>
      </w:pPr>
    </w:p>
    <w:p w14:paraId="4823B665" w14:textId="77777777" w:rsidR="008E7477" w:rsidRPr="00925F26" w:rsidRDefault="008E7477" w:rsidP="00925F26">
      <w:pPr>
        <w:jc w:val="both"/>
        <w:rPr>
          <w:color w:val="000000" w:themeColor="text1"/>
          <w:sz w:val="16"/>
          <w:szCs w:val="16"/>
        </w:rPr>
      </w:pPr>
      <w:r w:rsidRPr="00925F26">
        <w:rPr>
          <w:color w:val="000000" w:themeColor="text1"/>
          <w:sz w:val="16"/>
          <w:szCs w:val="16"/>
        </w:rPr>
        <w:t xml:space="preserve">В феврале 1945 г. на </w:t>
      </w:r>
      <w:r w:rsidRPr="00925F26">
        <w:rPr>
          <w:color w:val="000000" w:themeColor="text1"/>
          <w:sz w:val="16"/>
          <w:szCs w:val="16"/>
          <w:lang w:val="en-US"/>
        </w:rPr>
        <w:t>Bf</w:t>
      </w:r>
      <w:r w:rsidRPr="00925F26">
        <w:rPr>
          <w:color w:val="000000" w:themeColor="text1"/>
          <w:sz w:val="16"/>
          <w:szCs w:val="16"/>
        </w:rPr>
        <w:t xml:space="preserve"> 109</w:t>
      </w:r>
      <w:r w:rsidRPr="00925F26">
        <w:rPr>
          <w:color w:val="000000" w:themeColor="text1"/>
          <w:sz w:val="16"/>
          <w:szCs w:val="16"/>
          <w:lang w:val="en-US"/>
        </w:rPr>
        <w:t>G</w:t>
      </w:r>
      <w:r w:rsidRPr="00925F26">
        <w:rPr>
          <w:color w:val="000000" w:themeColor="text1"/>
          <w:sz w:val="16"/>
          <w:szCs w:val="16"/>
        </w:rPr>
        <w:t>-6 проводили учебные атаки на бомбардировщики Ту-2 (23186).</w:t>
      </w:r>
    </w:p>
    <w:p w14:paraId="1D192CF7" w14:textId="77777777" w:rsidR="008E7477" w:rsidRPr="00925F26" w:rsidRDefault="008E7477" w:rsidP="00925F26">
      <w:pPr>
        <w:jc w:val="both"/>
        <w:rPr>
          <w:color w:val="000000" w:themeColor="text1"/>
          <w:sz w:val="16"/>
          <w:szCs w:val="16"/>
        </w:rPr>
      </w:pPr>
    </w:p>
    <w:p w14:paraId="34758F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АМ-39Б с двумя турбокомпрессорами ТК-2Б конструкции ЦИАМ был снят с И-222 (изд. 3А) - высотного истребителя А.И.М. с гермокабиной для переборки. После ремонта двигатель работал заметно хуже, отмечалось падение давления масла. Одной из основных причин выхода из строя моторов АМ-39 на самолетах ОКБ А.И. Микояна являлось разрушение трущихся поверхностей мотора из-за несовершенства самолетных маслосистем (9032).</w:t>
      </w:r>
    </w:p>
    <w:p w14:paraId="1D192081" w14:textId="77777777" w:rsidR="00665165" w:rsidRPr="00925F26" w:rsidRDefault="00665165" w:rsidP="00925F26">
      <w:pPr>
        <w:autoSpaceDE w:val="0"/>
        <w:autoSpaceDN w:val="0"/>
        <w:adjustRightInd w:val="0"/>
        <w:jc w:val="both"/>
        <w:rPr>
          <w:color w:val="000000" w:themeColor="text1"/>
          <w:sz w:val="16"/>
          <w:szCs w:val="16"/>
        </w:rPr>
      </w:pPr>
    </w:p>
    <w:p w14:paraId="6800C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двигатель АМ-39ФНВ удовлетворительно прошел 50-часовые специальные заводские испытания (9030).</w:t>
      </w:r>
    </w:p>
    <w:p w14:paraId="00F58D5A" w14:textId="77777777" w:rsidR="00665165" w:rsidRPr="00925F26" w:rsidRDefault="00665165" w:rsidP="00925F26">
      <w:pPr>
        <w:autoSpaceDE w:val="0"/>
        <w:autoSpaceDN w:val="0"/>
        <w:adjustRightInd w:val="0"/>
        <w:jc w:val="both"/>
        <w:rPr>
          <w:color w:val="000000" w:themeColor="text1"/>
          <w:sz w:val="16"/>
          <w:szCs w:val="16"/>
        </w:rPr>
      </w:pPr>
    </w:p>
    <w:p w14:paraId="673C70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на И-224 был заменен мотор из-за появления металлической стружки в маслофильтре (5852,40).</w:t>
      </w:r>
    </w:p>
    <w:p w14:paraId="14B821DB" w14:textId="77777777" w:rsidR="00665165" w:rsidRPr="00925F26" w:rsidRDefault="00665165" w:rsidP="00925F26">
      <w:pPr>
        <w:autoSpaceDE w:val="0"/>
        <w:autoSpaceDN w:val="0"/>
        <w:adjustRightInd w:val="0"/>
        <w:jc w:val="both"/>
        <w:rPr>
          <w:color w:val="000000" w:themeColor="text1"/>
          <w:sz w:val="16"/>
          <w:szCs w:val="16"/>
        </w:rPr>
      </w:pPr>
    </w:p>
    <w:p w14:paraId="76F79B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 на И-224 пришлось вновь заменить мотор из-за появления ме</w:t>
      </w:r>
      <w:r w:rsidRPr="00925F26">
        <w:rPr>
          <w:color w:val="000000" w:themeColor="text1"/>
          <w:sz w:val="16"/>
          <w:szCs w:val="16"/>
        </w:rPr>
        <w:softHyphen/>
        <w:t>таллической стружки в маслофильтре (9984).</w:t>
      </w:r>
    </w:p>
    <w:p w14:paraId="140479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BF72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был готов И-250 А.И.Микояна (5,253).</w:t>
      </w:r>
    </w:p>
    <w:p w14:paraId="6D95717F" w14:textId="77777777" w:rsidR="00665165" w:rsidRPr="00925F26" w:rsidRDefault="00665165" w:rsidP="00925F26">
      <w:pPr>
        <w:autoSpaceDE w:val="0"/>
        <w:autoSpaceDN w:val="0"/>
        <w:adjustRightInd w:val="0"/>
        <w:jc w:val="both"/>
        <w:rPr>
          <w:color w:val="000000" w:themeColor="text1"/>
          <w:sz w:val="16"/>
          <w:szCs w:val="16"/>
        </w:rPr>
      </w:pPr>
    </w:p>
    <w:p w14:paraId="19301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был сдан по сборке с макетной силовой установкой первый из двух И-250, находившихся в опытном производстве (6000).</w:t>
      </w:r>
    </w:p>
    <w:p w14:paraId="64873E29" w14:textId="77777777" w:rsidR="00665165" w:rsidRPr="00925F26" w:rsidRDefault="00665165" w:rsidP="00925F26">
      <w:pPr>
        <w:autoSpaceDE w:val="0"/>
        <w:autoSpaceDN w:val="0"/>
        <w:adjustRightInd w:val="0"/>
        <w:jc w:val="both"/>
        <w:rPr>
          <w:color w:val="000000" w:themeColor="text1"/>
          <w:sz w:val="16"/>
          <w:szCs w:val="16"/>
        </w:rPr>
      </w:pPr>
    </w:p>
    <w:p w14:paraId="4C6117C1" w14:textId="77777777" w:rsidR="00DF1ED7" w:rsidRPr="00925F26" w:rsidRDefault="00DF1ED7" w:rsidP="00925F26">
      <w:pPr>
        <w:jc w:val="both"/>
        <w:rPr>
          <w:color w:val="000000" w:themeColor="text1"/>
          <w:sz w:val="16"/>
          <w:szCs w:val="16"/>
        </w:rPr>
      </w:pPr>
      <w:r w:rsidRPr="00925F26">
        <w:rPr>
          <w:color w:val="000000" w:themeColor="text1"/>
          <w:sz w:val="16"/>
          <w:szCs w:val="16"/>
        </w:rPr>
        <w:t>В феврале 1945 года собрали первый опытный экземпляр маши</w:t>
      </w:r>
      <w:r w:rsidRPr="00925F26">
        <w:rPr>
          <w:color w:val="000000" w:themeColor="text1"/>
          <w:sz w:val="16"/>
          <w:szCs w:val="16"/>
        </w:rPr>
        <w:softHyphen/>
        <w:t>ны И-250. Однако первый вылет, запланированный на 21 февраля, не состоялся из-за отсутствия летного экземпляра силовой установки. Пока ждали мотор, подоспел новый винт АВ-10П-60. Кроме этого, заменили кон</w:t>
      </w:r>
      <w:r w:rsidRPr="00925F26">
        <w:rPr>
          <w:color w:val="000000" w:themeColor="text1"/>
          <w:sz w:val="16"/>
          <w:szCs w:val="16"/>
        </w:rPr>
        <w:softHyphen/>
        <w:t>соли крыла, набранные из махоустойчивых профилей NACA в корневой части и 1В10 — на конце. Претерпело изменения и вооружение. Пушки ШВАК, становившиеся достоянием истории, заменили бо</w:t>
      </w:r>
      <w:r w:rsidRPr="00925F26">
        <w:rPr>
          <w:color w:val="000000" w:themeColor="text1"/>
          <w:sz w:val="16"/>
          <w:szCs w:val="16"/>
        </w:rPr>
        <w:softHyphen/>
        <w:t>лее легкими Б-20 того же калибра (23462).</w:t>
      </w:r>
    </w:p>
    <w:p w14:paraId="43D92B84" w14:textId="77777777" w:rsidR="00DF1ED7" w:rsidRPr="00925F26" w:rsidRDefault="00DF1ED7" w:rsidP="00925F26">
      <w:pPr>
        <w:jc w:val="both"/>
        <w:rPr>
          <w:color w:val="000000" w:themeColor="text1"/>
          <w:sz w:val="16"/>
          <w:szCs w:val="16"/>
        </w:rPr>
      </w:pPr>
    </w:p>
    <w:p w14:paraId="339C25CC" w14:textId="77777777" w:rsidR="00AD7660" w:rsidRPr="001A0BAA" w:rsidRDefault="00AD7660" w:rsidP="00AD7660">
      <w:pPr>
        <w:jc w:val="both"/>
        <w:rPr>
          <w:color w:val="0070C0"/>
          <w:sz w:val="16"/>
          <w:szCs w:val="16"/>
        </w:rPr>
      </w:pPr>
      <w:r w:rsidRPr="001A0BAA">
        <w:rPr>
          <w:color w:val="0070C0"/>
          <w:sz w:val="16"/>
          <w:szCs w:val="16"/>
        </w:rPr>
        <w:t>В феврале 1945 г. (по другому источнику в первой половине марте) первый опытный прототип И-250 (под индексом И-250-1) был готов к началу проведения заводских испытаний (25216).</w:t>
      </w:r>
    </w:p>
    <w:p w14:paraId="0862D802" w14:textId="77777777" w:rsidR="00AD7660" w:rsidRPr="001A0BAA" w:rsidRDefault="00AD7660" w:rsidP="00AD7660">
      <w:pPr>
        <w:jc w:val="both"/>
        <w:rPr>
          <w:color w:val="0070C0"/>
          <w:sz w:val="16"/>
          <w:szCs w:val="16"/>
        </w:rPr>
      </w:pPr>
    </w:p>
    <w:p w14:paraId="7C16D823" w14:textId="77777777" w:rsidR="00704E24" w:rsidRPr="001A0BAA" w:rsidRDefault="00704E24" w:rsidP="00704E24">
      <w:pPr>
        <w:jc w:val="both"/>
        <w:rPr>
          <w:color w:val="0070C0"/>
          <w:sz w:val="16"/>
          <w:szCs w:val="16"/>
        </w:rPr>
      </w:pPr>
      <w:r w:rsidRPr="001A0BAA">
        <w:rPr>
          <w:color w:val="0070C0"/>
          <w:sz w:val="16"/>
          <w:szCs w:val="16"/>
        </w:rPr>
        <w:t>В феврале 1945 г. первый опытный эк</w:t>
      </w:r>
      <w:r w:rsidRPr="001A0BAA">
        <w:rPr>
          <w:color w:val="0070C0"/>
          <w:sz w:val="16"/>
          <w:szCs w:val="16"/>
        </w:rPr>
        <w:softHyphen/>
        <w:t>земпляр самолета И-250 был выведен на аэродром. Первый полет на нем был выполнен 3 марта 1945 г. летчиком-испытателем ОКБ-155 А.П. Деевым. Ведущим инженером по испытаниям был назначен В.Н. Сорокин, обязанности техника выполнял Г.Е. Павлов. В марте 1945 г. в одном из полетов на самолете И-250 на высоте 7800 м была достигнута скорость полета 825 км/ч. Эта скорость была больше на 150... 175 км/ч пока</w:t>
      </w:r>
      <w:r w:rsidRPr="001A0BAA">
        <w:rPr>
          <w:color w:val="0070C0"/>
          <w:sz w:val="16"/>
          <w:szCs w:val="16"/>
        </w:rPr>
        <w:softHyphen/>
        <w:t>зателей скорости серийных отечественных истребителей «Як» и «Ла» и на 30 км/ч больше самого скоростного в то время в СССР опытного самолета Ла-7Р с дополнительным ЖРД.</w:t>
      </w:r>
    </w:p>
    <w:p w14:paraId="136EB0B3" w14:textId="77777777" w:rsidR="00704E24" w:rsidRPr="001A0BAA" w:rsidRDefault="00704E24" w:rsidP="00704E24">
      <w:pPr>
        <w:jc w:val="both"/>
        <w:rPr>
          <w:color w:val="0070C0"/>
          <w:sz w:val="16"/>
          <w:szCs w:val="16"/>
        </w:rPr>
      </w:pPr>
      <w:r w:rsidRPr="001A0BAA">
        <w:rPr>
          <w:color w:val="0070C0"/>
          <w:sz w:val="16"/>
          <w:szCs w:val="16"/>
        </w:rPr>
        <w:t>Прирост скорости при включении ВРДК составлял почти 150 км/ч. Высоту 5000 м самолет И-250 набирал за 3,9 мин (с включенным ВРДК) и за 4,6 мин (с выключенным), прак</w:t>
      </w:r>
      <w:r w:rsidRPr="001A0BAA">
        <w:rPr>
          <w:color w:val="0070C0"/>
          <w:sz w:val="16"/>
          <w:szCs w:val="16"/>
        </w:rPr>
        <w:softHyphen/>
        <w:t>тический потолок составлял 11 900 м (без использования ВРДК — 10 500 м) [46] (24920).</w:t>
      </w:r>
    </w:p>
    <w:p w14:paraId="187D91C8" w14:textId="77777777" w:rsidR="00704E24" w:rsidRPr="001A0BAA" w:rsidRDefault="00704E24" w:rsidP="00704E24">
      <w:pPr>
        <w:jc w:val="both"/>
        <w:rPr>
          <w:color w:val="0070C0"/>
          <w:sz w:val="16"/>
          <w:szCs w:val="16"/>
        </w:rPr>
      </w:pPr>
    </w:p>
    <w:p w14:paraId="6355B6F6" w14:textId="77777777" w:rsidR="00AD7660" w:rsidRPr="001A0BAA" w:rsidRDefault="00AD7660" w:rsidP="00AD7660">
      <w:pPr>
        <w:jc w:val="both"/>
        <w:rPr>
          <w:color w:val="0070C0"/>
          <w:sz w:val="16"/>
          <w:szCs w:val="16"/>
        </w:rPr>
      </w:pPr>
      <w:r w:rsidRPr="001A0BAA">
        <w:rPr>
          <w:color w:val="0070C0"/>
          <w:sz w:val="16"/>
          <w:szCs w:val="16"/>
        </w:rPr>
        <w:t>В феврале 1945 года сборка первого экземпляра истребителя И-250 завершилась. Однако запланированный на 21 февраля вылет не состоялся, так как из -за отсутствия летного мотора на самолет пришлось временно поставить макетную силовую установку. Вместо предусмотренного проектом винта ВИШ-105СВ установили винт АВ-10П-60. Вообще стоит отметить, что для И-250 в ОКБ-120 разработали несколько вариантов винтов - конструкторам пришлось учитывать требования, предъявленные к винту в отношении достижения высокой скорости полета, хороших взлетно-посадочных характеристик и скороподъемности, с одновременным ограничением его габаритов и массы В результате, благодаря применению нового скоростного винтового профиля ЦАГИ ВС-6, правильному выбору основных параметров лопасти и удачной конструкции винт АВ-10П-60 оказался по своим качествам наиболее совершенным, простым, легким и надежным. По рекомендации ЦАГИ пришлось изменить и аэродинамическую компоновку крыла. Теперь его составляла комбинация профилей 1А10 в корневой части и 1В10 на конце с плавным переходом от одного к другому. Пушки Ш-20 заменили более легкими Б-20 (24925).</w:t>
      </w:r>
    </w:p>
    <w:p w14:paraId="6A58EFBB" w14:textId="77777777" w:rsidR="00AD7660" w:rsidRPr="001A0BAA" w:rsidRDefault="00AD7660" w:rsidP="00AD7660">
      <w:pPr>
        <w:jc w:val="both"/>
        <w:rPr>
          <w:color w:val="0070C0"/>
          <w:sz w:val="16"/>
          <w:szCs w:val="16"/>
        </w:rPr>
      </w:pPr>
    </w:p>
    <w:p w14:paraId="70D057E3" w14:textId="77777777" w:rsidR="00AD7660" w:rsidRPr="001A0BAA" w:rsidRDefault="00AD7660" w:rsidP="00AD7660">
      <w:pPr>
        <w:jc w:val="both"/>
        <w:rPr>
          <w:color w:val="0070C0"/>
          <w:sz w:val="16"/>
          <w:szCs w:val="16"/>
        </w:rPr>
      </w:pPr>
      <w:r w:rsidRPr="001A0BAA">
        <w:rPr>
          <w:color w:val="0070C0"/>
          <w:sz w:val="16"/>
          <w:szCs w:val="16"/>
        </w:rPr>
        <w:t>В феврале 1945 г. на истребителе И-224, который проходил заводские испытания в ЛИИ, был заменен мотор из-за появления металлической стружки в маслофильтре. В июле на самолете достигли высоты 13700 м. При этом летчик не отметил, каких-либо недостатков в работе его агрегатов и гермокабины. Однако после замены ТК-</w:t>
      </w:r>
      <w:r w:rsidRPr="001A0BAA">
        <w:rPr>
          <w:color w:val="0070C0"/>
          <w:sz w:val="16"/>
          <w:szCs w:val="16"/>
        </w:rPr>
        <w:lastRenderedPageBreak/>
        <w:t>300Б на новый, улучшенный по высотности, появилась тряска мотора на номинальном и среднем режимах работы. Причиной этого стал помпаж турбокомпрессора. В связи с этим в ноябре ТК-300Б заменили на прежний, с которым И-224 поднимался на 13700 м (25230).</w:t>
      </w:r>
    </w:p>
    <w:p w14:paraId="03C88F09" w14:textId="77777777" w:rsidR="00AD7660" w:rsidRPr="001A0BAA" w:rsidRDefault="00AD7660" w:rsidP="00AD7660">
      <w:pPr>
        <w:jc w:val="both"/>
        <w:rPr>
          <w:color w:val="0070C0"/>
          <w:sz w:val="16"/>
          <w:szCs w:val="16"/>
        </w:rPr>
      </w:pPr>
    </w:p>
    <w:p w14:paraId="244E5576" w14:textId="77777777" w:rsidR="00704E24" w:rsidRPr="001A0BAA" w:rsidRDefault="00704E24" w:rsidP="00704E24">
      <w:pPr>
        <w:jc w:val="both"/>
        <w:rPr>
          <w:color w:val="0070C0"/>
          <w:sz w:val="16"/>
          <w:szCs w:val="16"/>
        </w:rPr>
      </w:pPr>
      <w:r w:rsidRPr="001A0BAA">
        <w:rPr>
          <w:color w:val="0070C0"/>
          <w:sz w:val="16"/>
          <w:szCs w:val="16"/>
        </w:rPr>
        <w:t>В феврале 1945 г. в ОКБ А.И.М. началась разработка са</w:t>
      </w:r>
      <w:r w:rsidRPr="001A0BAA">
        <w:rPr>
          <w:color w:val="0070C0"/>
          <w:sz w:val="16"/>
          <w:szCs w:val="16"/>
        </w:rPr>
        <w:softHyphen/>
        <w:t>молета «Ф». Самолет «Ф» создавался в соответствии с постановлениями правительства от 9 апреля 1945 года. По этому постановлению в ОКБ-155 должны были спроектировать одноместный истребитель с двумя двигателями BMW-003 со следующими характеристи</w:t>
      </w:r>
      <w:r w:rsidRPr="001A0BAA">
        <w:rPr>
          <w:color w:val="0070C0"/>
          <w:sz w:val="16"/>
          <w:szCs w:val="16"/>
        </w:rPr>
        <w:softHyphen/>
        <w:t>ками: максимальные скорости у земли — 900 км/ч, на высоте 5000 м — 910 км/ч, максимальная дальность полета 820 км, вре</w:t>
      </w:r>
      <w:r w:rsidRPr="001A0BAA">
        <w:rPr>
          <w:color w:val="0070C0"/>
          <w:sz w:val="16"/>
          <w:szCs w:val="16"/>
        </w:rPr>
        <w:softHyphen/>
        <w:t>мя набора высоты 5000 м — 4 мин, вооружение — одна пушка калибра 57 или 37 мм и две пушки калибра 23 мм. Самолет не</w:t>
      </w:r>
      <w:r w:rsidRPr="001A0BAA">
        <w:rPr>
          <w:color w:val="0070C0"/>
          <w:sz w:val="16"/>
          <w:szCs w:val="16"/>
        </w:rPr>
        <w:softHyphen/>
        <w:t>обходимо было построить в трех экземплярах и передать на лет</w:t>
      </w:r>
      <w:r w:rsidRPr="001A0BAA">
        <w:rPr>
          <w:color w:val="0070C0"/>
          <w:sz w:val="16"/>
          <w:szCs w:val="16"/>
        </w:rPr>
        <w:softHyphen/>
        <w:t>ные испытания 15 марта 1946 г. Такое же задание было постав</w:t>
      </w:r>
      <w:r w:rsidRPr="001A0BAA">
        <w:rPr>
          <w:color w:val="0070C0"/>
          <w:sz w:val="16"/>
          <w:szCs w:val="16"/>
        </w:rPr>
        <w:softHyphen/>
        <w:t>лено и другим самолетным ОКБ (24920).</w:t>
      </w:r>
    </w:p>
    <w:p w14:paraId="6C31655C" w14:textId="77777777" w:rsidR="00704E24" w:rsidRPr="001A0BAA" w:rsidRDefault="00704E24" w:rsidP="00704E24">
      <w:pPr>
        <w:jc w:val="both"/>
        <w:rPr>
          <w:color w:val="0070C0"/>
          <w:sz w:val="16"/>
          <w:szCs w:val="16"/>
        </w:rPr>
      </w:pPr>
    </w:p>
    <w:p w14:paraId="33689E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проходили контрольные испытания Ла-7 производства 381 завода, вооруженных 3 пушками Б-20 (741,5).</w:t>
      </w:r>
    </w:p>
    <w:p w14:paraId="4F98A55A" w14:textId="77777777" w:rsidR="00665165" w:rsidRPr="00925F26" w:rsidRDefault="00665165" w:rsidP="00925F26">
      <w:pPr>
        <w:autoSpaceDE w:val="0"/>
        <w:autoSpaceDN w:val="0"/>
        <w:adjustRightInd w:val="0"/>
        <w:jc w:val="both"/>
        <w:rPr>
          <w:color w:val="000000" w:themeColor="text1"/>
          <w:sz w:val="16"/>
          <w:szCs w:val="16"/>
        </w:rPr>
      </w:pPr>
    </w:p>
    <w:p w14:paraId="41B921E2" w14:textId="77777777" w:rsidR="00DF1ED7" w:rsidRPr="00925F26" w:rsidRDefault="00DF1ED7" w:rsidP="00925F26">
      <w:pPr>
        <w:jc w:val="both"/>
        <w:rPr>
          <w:color w:val="000000" w:themeColor="text1"/>
          <w:sz w:val="16"/>
          <w:szCs w:val="16"/>
        </w:rPr>
      </w:pPr>
      <w:r w:rsidRPr="00925F26">
        <w:rPr>
          <w:color w:val="000000" w:themeColor="text1"/>
          <w:sz w:val="16"/>
          <w:szCs w:val="16"/>
        </w:rPr>
        <w:t>В феврале 1945 года в соответ</w:t>
      </w:r>
      <w:r w:rsidRPr="00925F26">
        <w:rPr>
          <w:color w:val="000000" w:themeColor="text1"/>
          <w:sz w:val="16"/>
          <w:szCs w:val="16"/>
        </w:rPr>
        <w:softHyphen/>
        <w:t>ствии с постановлением ГКО № 7231сс от 29 декабря 1944 года был запущен в серию Ла-7 в трехпушечном варианте (24194).</w:t>
      </w:r>
    </w:p>
    <w:p w14:paraId="7655A8F3" w14:textId="77777777" w:rsidR="00DF1ED7" w:rsidRPr="00925F26" w:rsidRDefault="00DF1ED7" w:rsidP="00925F26">
      <w:pPr>
        <w:jc w:val="both"/>
        <w:rPr>
          <w:color w:val="000000" w:themeColor="text1"/>
          <w:sz w:val="16"/>
          <w:szCs w:val="16"/>
        </w:rPr>
      </w:pPr>
    </w:p>
    <w:p w14:paraId="2E0C44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в ходе летных испытаний самолета Як-3 с ВК-105П и двухступенчатым нагнетателем, проведенных до высоты 12000 метров, выявили дефекты: перегрев масла на выходе из мотора - 115 градусов С и испарение воды из расширительного бачка (2592,223).</w:t>
      </w:r>
    </w:p>
    <w:p w14:paraId="27B6C93A" w14:textId="77777777" w:rsidR="00665165" w:rsidRPr="00925F26" w:rsidRDefault="00665165" w:rsidP="00925F26">
      <w:pPr>
        <w:autoSpaceDE w:val="0"/>
        <w:autoSpaceDN w:val="0"/>
        <w:adjustRightInd w:val="0"/>
        <w:jc w:val="both"/>
        <w:rPr>
          <w:color w:val="000000" w:themeColor="text1"/>
          <w:sz w:val="16"/>
          <w:szCs w:val="16"/>
        </w:rPr>
      </w:pPr>
    </w:p>
    <w:p w14:paraId="2A528E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был готов Як-9УТ (65,152).</w:t>
      </w:r>
    </w:p>
    <w:p w14:paraId="3C3111C6" w14:textId="77777777" w:rsidR="00665165" w:rsidRPr="00925F26" w:rsidRDefault="00665165" w:rsidP="00925F26">
      <w:pPr>
        <w:autoSpaceDE w:val="0"/>
        <w:autoSpaceDN w:val="0"/>
        <w:adjustRightInd w:val="0"/>
        <w:jc w:val="both"/>
        <w:rPr>
          <w:color w:val="000000" w:themeColor="text1"/>
          <w:sz w:val="16"/>
          <w:szCs w:val="16"/>
        </w:rPr>
      </w:pPr>
    </w:p>
    <w:p w14:paraId="4183B3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самолет Як-9У с ВК-107А контрольные испытания в НИИ ВВС прошел неудовлетворительно (4108) (3573).</w:t>
      </w:r>
    </w:p>
    <w:p w14:paraId="74991F4C" w14:textId="77777777" w:rsidR="00665165" w:rsidRPr="00925F26" w:rsidRDefault="00665165" w:rsidP="00925F26">
      <w:pPr>
        <w:autoSpaceDE w:val="0"/>
        <w:autoSpaceDN w:val="0"/>
        <w:adjustRightInd w:val="0"/>
        <w:jc w:val="both"/>
        <w:rPr>
          <w:color w:val="000000" w:themeColor="text1"/>
          <w:sz w:val="16"/>
          <w:szCs w:val="16"/>
        </w:rPr>
      </w:pPr>
    </w:p>
    <w:p w14:paraId="31528E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месяце 1945 на контрольные испытания поступил Як-9У с BK-I07A (№ 06-16 завода № 82), вооруженный пушкой МП-20 (120 патронов) и двумя пулеметами УБС (300 патронов). По сравнению с серийной машиной № 25-021 на московской машине установили механизм аварийного сбрасывания фонаря, 5-миллиметровый бронезаголовник, дополнительные щитки шасси, сепаратор в расширительном бачке и диффузор в трубопроводе перед помпой в месте выхода компенсаторной трубы. Сняли </w:t>
      </w:r>
      <w:proofErr w:type="gramStart"/>
      <w:r w:rsidRPr="00925F26">
        <w:rPr>
          <w:color w:val="000000" w:themeColor="text1"/>
          <w:sz w:val="16"/>
          <w:szCs w:val="16"/>
        </w:rPr>
        <w:t>из под</w:t>
      </w:r>
      <w:proofErr w:type="gramEnd"/>
      <w:r w:rsidRPr="00925F26">
        <w:rPr>
          <w:color w:val="000000" w:themeColor="text1"/>
          <w:sz w:val="16"/>
          <w:szCs w:val="16"/>
        </w:rPr>
        <w:t xml:space="preserve"> зализов оперения груз весом 20 кг, отполировали переднюю кромку крыла. Приемник РСИ-4 перенесли с панели рации на площадку (плато) за задним бронестеклом. Но дефектов в машине оказалось еще больше чем на Як-9У омского завода № 166.</w:t>
      </w:r>
    </w:p>
    <w:p w14:paraId="474154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частности, на самолете был невозможен горизонтальный полет на номинальной мощности работы двигателя при заслонке водорадиатора по потоку из-за перегрева охлаждающей жидкости. По-прежнему были велики нагрузки на ручку управления от элеронов и руля высоты. Отмечены случаи самопроизвольного срыва подвижной части фонаря кабины летчика, растрескивание хвостовой части зализов стабилизатора и трещины кока винта. Отсутствовали проти- вопыльный фильтр во всасывающем патрубке и термометр входящего в мотор масла. Неправильная регулировка стопора костыля, отсутствие надежного фиксатора сектора газа, искажение сферическим козырьком видимых через него предметов и многое другое сильно снижали боевые качества истребителя.</w:t>
      </w:r>
    </w:p>
    <w:p w14:paraId="305323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Максимальные скорости горизонтального полета были на 19-34 км/ч меньше заданных постановлением ГКО № 4849 от 27 декабря 1943 г. Одним словом Я к-9У завода № 82 испытания не выдержал (12046).</w:t>
      </w:r>
    </w:p>
    <w:p w14:paraId="00750CFC" w14:textId="77777777" w:rsidR="00665165" w:rsidRPr="00925F26" w:rsidRDefault="00665165" w:rsidP="00925F26">
      <w:pPr>
        <w:autoSpaceDE w:val="0"/>
        <w:autoSpaceDN w:val="0"/>
        <w:adjustRightInd w:val="0"/>
        <w:jc w:val="both"/>
        <w:rPr>
          <w:color w:val="000000" w:themeColor="text1"/>
          <w:sz w:val="16"/>
          <w:szCs w:val="16"/>
        </w:rPr>
      </w:pPr>
    </w:p>
    <w:p w14:paraId="257FCFCD" w14:textId="77777777" w:rsidR="00630DDD" w:rsidRPr="00925F26" w:rsidRDefault="00630DDD" w:rsidP="00925F26">
      <w:pPr>
        <w:jc w:val="both"/>
        <w:rPr>
          <w:color w:val="000000" w:themeColor="text1"/>
          <w:sz w:val="16"/>
          <w:szCs w:val="16"/>
        </w:rPr>
      </w:pPr>
      <w:r w:rsidRPr="00925F26">
        <w:rPr>
          <w:color w:val="000000" w:themeColor="text1"/>
          <w:sz w:val="16"/>
          <w:szCs w:val="16"/>
        </w:rPr>
        <w:t>В феврале 1945 на контрольные испытания поступил Як-9У № 06-16 завода № 82 - и их не выдержал. В апреле 1945 г. это же предприятие предъявило ещё один истребитель, № 10-10. На нём улучшили герметизацию, изменили передаточные числа качалок управления рулём высоты и элеронами, улучшили аэродинамическую компенсацию элеронов, обрезав задние кромки. Сферический козырёк заменили гранёным. Усилили крепление обшивки крыла к нервюрам. Установили мотор с до</w:t>
      </w:r>
      <w:r w:rsidRPr="00925F26">
        <w:rPr>
          <w:color w:val="000000" w:themeColor="text1"/>
          <w:sz w:val="16"/>
          <w:szCs w:val="16"/>
        </w:rPr>
        <w:softHyphen/>
        <w:t>полнительной маслопомпой и новый водя</w:t>
      </w:r>
      <w:r w:rsidRPr="00925F26">
        <w:rPr>
          <w:color w:val="000000" w:themeColor="text1"/>
          <w:sz w:val="16"/>
          <w:szCs w:val="16"/>
        </w:rPr>
        <w:softHyphen/>
        <w:t>ной радиатор, допускавший больший расход охлаждающей жидкости. Передатчик РСИ-3 заменили на РСИ-ЗМ-1.</w:t>
      </w:r>
    </w:p>
    <w:p w14:paraId="3353C46A"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Но перечень дефектов по-прежнему оставался большим. Сохранялись большие нагрузки на ручку управления самолётом от элеронов и руля высоты, отсутствовали переднее бронестекло и бронеподлокотник, при наборе высоты температуры охлаждаю</w:t>
      </w:r>
      <w:r w:rsidRPr="00925F26">
        <w:rPr>
          <w:rFonts w:ascii="Times New Roman" w:cs="Times New Roman"/>
          <w:color w:val="000000" w:themeColor="text1"/>
          <w:spacing w:val="0"/>
        </w:rPr>
        <w:softHyphen/>
        <w:t>щей жидкости и выходящего масла превы</w:t>
      </w:r>
      <w:r w:rsidRPr="00925F26">
        <w:rPr>
          <w:rFonts w:ascii="Times New Roman" w:cs="Times New Roman"/>
          <w:color w:val="000000" w:themeColor="text1"/>
          <w:spacing w:val="0"/>
        </w:rPr>
        <w:softHyphen/>
        <w:t>шали максимально допустимые значения, пулемёты самопроизвольно переходили со стрельбы очередями на одиночные вы</w:t>
      </w:r>
      <w:r w:rsidRPr="00925F26">
        <w:rPr>
          <w:rFonts w:ascii="Times New Roman" w:cs="Times New Roman"/>
          <w:color w:val="000000" w:themeColor="text1"/>
          <w:spacing w:val="0"/>
        </w:rPr>
        <w:softHyphen/>
        <w:t>стрелы. Максимальная скорость горизон</w:t>
      </w:r>
      <w:r w:rsidRPr="00925F26">
        <w:rPr>
          <w:rFonts w:ascii="Times New Roman" w:cs="Times New Roman"/>
          <w:color w:val="000000" w:themeColor="text1"/>
          <w:spacing w:val="0"/>
        </w:rPr>
        <w:softHyphen/>
        <w:t>тального полёта из-за поверхности крыла, испорченной установкой специальных бол</w:t>
      </w:r>
      <w:r w:rsidRPr="00925F26">
        <w:rPr>
          <w:rFonts w:ascii="Times New Roman" w:cs="Times New Roman"/>
          <w:color w:val="000000" w:themeColor="text1"/>
          <w:spacing w:val="0"/>
        </w:rPr>
        <w:softHyphen/>
        <w:t>тов ремонтного варианта (выступавших в поток), и усиления крепления обшивки к полкам нервюр снизилась на 12 - 16 км/ч. Отмечались и другие недостатки (19103).</w:t>
      </w:r>
    </w:p>
    <w:p w14:paraId="2FA2ECCA"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июле 1945 закончились госиспытания Як-9У № 41-038 и выявили большое количество дефектов. В частности, критиковали отсутствие пе</w:t>
      </w:r>
      <w:r w:rsidRPr="00925F26">
        <w:rPr>
          <w:rFonts w:ascii="Times New Roman" w:cs="Times New Roman"/>
          <w:color w:val="000000" w:themeColor="text1"/>
          <w:spacing w:val="0"/>
        </w:rPr>
        <w:softHyphen/>
        <w:t>реднего бронестекла, перегрев масла при наборе высоты и охлаждающей жидкости в горизонтальном полёте, нарушение нижнего уплотнения блоков двигателя и разруше</w:t>
      </w:r>
      <w:r w:rsidRPr="00925F26">
        <w:rPr>
          <w:rFonts w:ascii="Times New Roman" w:cs="Times New Roman"/>
          <w:color w:val="000000" w:themeColor="text1"/>
          <w:spacing w:val="0"/>
        </w:rPr>
        <w:softHyphen/>
        <w:t>ние коренных подшипников, недостаточ</w:t>
      </w:r>
      <w:r w:rsidRPr="00925F26">
        <w:rPr>
          <w:rFonts w:ascii="Times New Roman" w:cs="Times New Roman"/>
          <w:color w:val="000000" w:themeColor="text1"/>
          <w:spacing w:val="0"/>
        </w:rPr>
        <w:softHyphen/>
        <w:t>ную прочность кока винта и труб системы охлаждения. А.С. Яковлев попросил пре</w:t>
      </w:r>
      <w:r w:rsidRPr="00925F26">
        <w:rPr>
          <w:rFonts w:ascii="Times New Roman" w:cs="Times New Roman"/>
          <w:color w:val="000000" w:themeColor="text1"/>
          <w:spacing w:val="0"/>
        </w:rPr>
        <w:softHyphen/>
        <w:t>рвать испытания и направить самолёт в Москву для доводки.</w:t>
      </w:r>
    </w:p>
    <w:p w14:paraId="1862CE26"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Як-9У № 41-038 был построен совместными усилиями заводов № 166 и № 115. Он вооружался двумя синхронными пушками Б-20С (общий боекомплект 240 патронов) и мотор-пушкой Б-20М (120 пат</w:t>
      </w:r>
      <w:r w:rsidRPr="00925F26">
        <w:rPr>
          <w:rFonts w:ascii="Times New Roman" w:cs="Times New Roman"/>
          <w:color w:val="000000" w:themeColor="text1"/>
          <w:spacing w:val="0"/>
        </w:rPr>
        <w:softHyphen/>
        <w:t>ронов). При этом предусматривалась аль</w:t>
      </w:r>
      <w:r w:rsidRPr="00925F26">
        <w:rPr>
          <w:rFonts w:ascii="Times New Roman" w:cs="Times New Roman"/>
          <w:color w:val="000000" w:themeColor="text1"/>
          <w:spacing w:val="0"/>
        </w:rPr>
        <w:softHyphen/>
        <w:t>тернативная установка на двигателе НС-23 или Н-37 с боезапасом 60 и 30 патронов соответственно. Управление огнём из пуш</w:t>
      </w:r>
      <w:r w:rsidRPr="00925F26">
        <w:rPr>
          <w:rFonts w:ascii="Times New Roman" w:cs="Times New Roman"/>
          <w:color w:val="000000" w:themeColor="text1"/>
          <w:spacing w:val="0"/>
        </w:rPr>
        <w:softHyphen/>
        <w:t>ки Б-20М производилось с помощью элек</w:t>
      </w:r>
      <w:r w:rsidRPr="00925F26">
        <w:rPr>
          <w:rFonts w:ascii="Times New Roman" w:cs="Times New Roman"/>
          <w:color w:val="000000" w:themeColor="text1"/>
          <w:spacing w:val="0"/>
        </w:rPr>
        <w:softHyphen/>
        <w:t>троспуска ЭЛС-1 пневматикой, а из Н-37 или НС-23 - электроспуском. Перезарядка орудий - пневмомеханическая.</w:t>
      </w:r>
    </w:p>
    <w:p w14:paraId="218B51F3"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Гранёный козырёк заменили гнутым из органического стекла. С самолёта сняли броненадголовник, на нижний централь</w:t>
      </w:r>
      <w:r w:rsidRPr="00925F26">
        <w:rPr>
          <w:rFonts w:ascii="Times New Roman" w:cs="Times New Roman"/>
          <w:color w:val="000000" w:themeColor="text1"/>
          <w:spacing w:val="0"/>
        </w:rPr>
        <w:softHyphen/>
        <w:t>ный люк поставили замки типа «Дзус». На каждом посадочном щитке установили по три замка, сняв замок с цилиндра убор</w:t>
      </w:r>
      <w:r w:rsidRPr="00925F26">
        <w:rPr>
          <w:rFonts w:ascii="Times New Roman" w:cs="Times New Roman"/>
          <w:color w:val="000000" w:themeColor="text1"/>
          <w:spacing w:val="0"/>
        </w:rPr>
        <w:softHyphen/>
        <w:t>ки шасси. Полотняную обшивку элеронов заменили металлической. Появилась вен</w:t>
      </w:r>
      <w:r w:rsidRPr="00925F26">
        <w:rPr>
          <w:rFonts w:ascii="Times New Roman" w:cs="Times New Roman"/>
          <w:color w:val="000000" w:themeColor="text1"/>
          <w:spacing w:val="0"/>
        </w:rPr>
        <w:softHyphen/>
        <w:t>тиляция кабины через отверстие в нижней части козырька фонаря. Маслорадиатор ОП-555 заменили увеличенным ОП-622, а расходный бачок с обратными клапана</w:t>
      </w:r>
      <w:r w:rsidRPr="00925F26">
        <w:rPr>
          <w:rFonts w:ascii="Times New Roman" w:cs="Times New Roman"/>
          <w:color w:val="000000" w:themeColor="text1"/>
          <w:spacing w:val="0"/>
        </w:rPr>
        <w:softHyphen/>
        <w:t>ми - бензофильтром с пожарными кранами. Установили дополнительную нагнетающую маслопомпу. Во всасывающем патрубке мо</w:t>
      </w:r>
      <w:r w:rsidRPr="00925F26">
        <w:rPr>
          <w:rFonts w:ascii="Times New Roman" w:cs="Times New Roman"/>
          <w:color w:val="000000" w:themeColor="text1"/>
          <w:spacing w:val="0"/>
        </w:rPr>
        <w:softHyphen/>
        <w:t>тора разместили противопыльный фильтр и изменили систему обдувки внутренних выхлопных коллекторов. Установили винт ВИШ-Ю7ЛО (диаметром 3,1 м) с полирован</w:t>
      </w:r>
      <w:r w:rsidRPr="00925F26">
        <w:rPr>
          <w:rFonts w:ascii="Times New Roman" w:cs="Times New Roman"/>
          <w:color w:val="000000" w:themeColor="text1"/>
          <w:spacing w:val="0"/>
        </w:rPr>
        <w:softHyphen/>
        <w:t xml:space="preserve">ными передними кромками лопастей, </w:t>
      </w:r>
      <w:proofErr w:type="gramStart"/>
      <w:r w:rsidRPr="00925F26">
        <w:rPr>
          <w:rFonts w:ascii="Times New Roman" w:cs="Times New Roman"/>
          <w:color w:val="000000" w:themeColor="text1"/>
          <w:spacing w:val="0"/>
        </w:rPr>
        <w:t>одно- лучевую</w:t>
      </w:r>
      <w:proofErr w:type="gramEnd"/>
      <w:r w:rsidRPr="00925F26">
        <w:rPr>
          <w:rFonts w:ascii="Times New Roman" w:cs="Times New Roman"/>
          <w:color w:val="000000" w:themeColor="text1"/>
          <w:spacing w:val="0"/>
        </w:rPr>
        <w:t xml:space="preserve"> антенну с мачтой и кислородный прибор КП-12 вместо КПА-Збис.</w:t>
      </w:r>
    </w:p>
    <w:p w14:paraId="78D393B4"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заключении НИИ ВВС отметили, что истребитель необходимо предъявить на повторные испытания. А вот новшества, применённые на этой машине, рекомендо</w:t>
      </w:r>
      <w:r w:rsidRPr="00925F26">
        <w:rPr>
          <w:rFonts w:ascii="Times New Roman" w:cs="Times New Roman"/>
          <w:color w:val="000000" w:themeColor="text1"/>
          <w:spacing w:val="0"/>
        </w:rPr>
        <w:softHyphen/>
        <w:t>вали внедрить в серию.</w:t>
      </w:r>
    </w:p>
    <w:p w14:paraId="67D66054"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ходе доводки на самолёте установи</w:t>
      </w:r>
      <w:r w:rsidRPr="00925F26">
        <w:rPr>
          <w:rFonts w:ascii="Times New Roman" w:cs="Times New Roman"/>
          <w:color w:val="000000" w:themeColor="text1"/>
          <w:spacing w:val="0"/>
        </w:rPr>
        <w:softHyphen/>
        <w:t>ли водорадиатор № 700 с увеличенными входными и выходными тоннелями. Тогда же трубку Вентури, питавшую гироскопи</w:t>
      </w:r>
      <w:r w:rsidRPr="00925F26">
        <w:rPr>
          <w:rFonts w:ascii="Times New Roman" w:cs="Times New Roman"/>
          <w:color w:val="000000" w:themeColor="text1"/>
          <w:spacing w:val="0"/>
        </w:rPr>
        <w:softHyphen/>
        <w:t>ческие приборы, перенесли в зализ кры</w:t>
      </w:r>
      <w:r w:rsidRPr="00925F26">
        <w:rPr>
          <w:rFonts w:ascii="Times New Roman" w:cs="Times New Roman"/>
          <w:color w:val="000000" w:themeColor="text1"/>
          <w:spacing w:val="0"/>
        </w:rPr>
        <w:softHyphen/>
        <w:t>ла. Но заводские испытания показали, что температурный режим двигателя по-</w:t>
      </w:r>
      <w:proofErr w:type="gramStart"/>
      <w:r w:rsidRPr="00925F26">
        <w:rPr>
          <w:rFonts w:ascii="Times New Roman" w:cs="Times New Roman"/>
          <w:color w:val="000000" w:themeColor="text1"/>
          <w:spacing w:val="0"/>
        </w:rPr>
        <w:t>пре- жнему</w:t>
      </w:r>
      <w:proofErr w:type="gramEnd"/>
      <w:r w:rsidRPr="00925F26">
        <w:rPr>
          <w:rFonts w:ascii="Times New Roman" w:cs="Times New Roman"/>
          <w:color w:val="000000" w:themeColor="text1"/>
          <w:spacing w:val="0"/>
        </w:rPr>
        <w:t xml:space="preserve"> не соответствует техническим усло</w:t>
      </w:r>
      <w:r w:rsidRPr="00925F26">
        <w:rPr>
          <w:rFonts w:ascii="Times New Roman" w:cs="Times New Roman"/>
          <w:color w:val="000000" w:themeColor="text1"/>
          <w:spacing w:val="0"/>
        </w:rPr>
        <w:softHyphen/>
        <w:t>виям изготовителя. Тогда на истребителе смонтировали водяной радиатор № 728 с вдвое большей площадью, а маслорадиа</w:t>
      </w:r>
      <w:r w:rsidRPr="00925F26">
        <w:rPr>
          <w:rFonts w:ascii="Times New Roman" w:cs="Times New Roman"/>
          <w:color w:val="000000" w:themeColor="text1"/>
          <w:spacing w:val="0"/>
        </w:rPr>
        <w:softHyphen/>
        <w:t>тор ОП-622 заменили типом 726, имевшим большую охлаждающую поверхность. С ни</w:t>
      </w:r>
      <w:r w:rsidRPr="00925F26">
        <w:rPr>
          <w:rFonts w:ascii="Times New Roman" w:cs="Times New Roman"/>
          <w:color w:val="000000" w:themeColor="text1"/>
          <w:spacing w:val="0"/>
        </w:rPr>
        <w:softHyphen/>
        <w:t>ми машину, впоследствии ставшую этало</w:t>
      </w:r>
      <w:r w:rsidRPr="00925F26">
        <w:rPr>
          <w:rFonts w:ascii="Times New Roman" w:cs="Times New Roman"/>
          <w:color w:val="000000" w:themeColor="text1"/>
          <w:spacing w:val="0"/>
        </w:rPr>
        <w:softHyphen/>
        <w:t xml:space="preserve"> ном 1945 г., в октябре 1945 г. передали в НИИ ВВС. Вслед за ней туда же поступил Як-9У завода № 166 № 52-082 с изменённой системой охлаждения. На нём вооружение оставалось стандартным для серии - два пулемёта УБС и пушка МП-20.</w:t>
      </w:r>
    </w:p>
    <w:p w14:paraId="263A6962" w14:textId="77777777" w:rsidR="00630DDD" w:rsidRPr="00925F26" w:rsidRDefault="00630DDD" w:rsidP="00925F26">
      <w:pPr>
        <w:jc w:val="both"/>
        <w:rPr>
          <w:color w:val="000000" w:themeColor="text1"/>
          <w:sz w:val="16"/>
          <w:szCs w:val="16"/>
        </w:rPr>
      </w:pPr>
      <w:r w:rsidRPr="00925F26">
        <w:rPr>
          <w:color w:val="000000" w:themeColor="text1"/>
          <w:sz w:val="16"/>
          <w:szCs w:val="16"/>
        </w:rPr>
        <w:t>Температурный режим двигателя улуч</w:t>
      </w:r>
      <w:r w:rsidRPr="00925F26">
        <w:rPr>
          <w:color w:val="000000" w:themeColor="text1"/>
          <w:sz w:val="16"/>
          <w:szCs w:val="16"/>
        </w:rPr>
        <w:softHyphen/>
        <w:t>шился, но уменьшилось расстояние (до 70 мм) от земли до заслонки всасывающего патрубка при полном её открытии и возрос</w:t>
      </w:r>
      <w:r w:rsidRPr="00925F26">
        <w:rPr>
          <w:color w:val="000000" w:themeColor="text1"/>
          <w:sz w:val="16"/>
          <w:szCs w:val="16"/>
        </w:rPr>
        <w:softHyphen/>
        <w:t>ли усилия, необходимые для её закрытия в полёте. Дело дошло до того, что при скоро</w:t>
      </w:r>
      <w:r w:rsidRPr="00925F26">
        <w:rPr>
          <w:color w:val="000000" w:themeColor="text1"/>
          <w:sz w:val="16"/>
          <w:szCs w:val="16"/>
        </w:rPr>
        <w:softHyphen/>
        <w:t>сти более 450 км/ч сделать это стало просто невозможно</w:t>
      </w:r>
    </w:p>
    <w:p w14:paraId="29E9998A"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заключении по результатам испытаний отметили: «Температурные режимы винто</w:t>
      </w:r>
      <w:r w:rsidRPr="00925F26">
        <w:rPr>
          <w:rFonts w:ascii="Times New Roman" w:cs="Times New Roman"/>
          <w:color w:val="000000" w:themeColor="text1"/>
          <w:spacing w:val="0"/>
        </w:rPr>
        <w:softHyphen/>
        <w:t>моторной группы... значительно снизились и на всех режимах работы мотора... практи</w:t>
      </w:r>
      <w:r w:rsidRPr="00925F26">
        <w:rPr>
          <w:rFonts w:ascii="Times New Roman" w:cs="Times New Roman"/>
          <w:color w:val="000000" w:themeColor="text1"/>
          <w:spacing w:val="0"/>
        </w:rPr>
        <w:softHyphen/>
        <w:t>чески находятся в допустимых пределах.</w:t>
      </w:r>
    </w:p>
    <w:p w14:paraId="01B3FACF" w14:textId="77777777" w:rsidR="00630DDD" w:rsidRPr="00925F26" w:rsidRDefault="00630DDD" w:rsidP="00925F26">
      <w:pPr>
        <w:jc w:val="both"/>
        <w:rPr>
          <w:color w:val="000000" w:themeColor="text1"/>
          <w:sz w:val="16"/>
          <w:szCs w:val="16"/>
        </w:rPr>
      </w:pPr>
      <w:r w:rsidRPr="00925F26">
        <w:rPr>
          <w:color w:val="000000" w:themeColor="text1"/>
          <w:sz w:val="16"/>
          <w:szCs w:val="16"/>
        </w:rPr>
        <w:t>В связи с тем, что на различных экзем</w:t>
      </w:r>
      <w:r w:rsidRPr="00925F26">
        <w:rPr>
          <w:color w:val="000000" w:themeColor="text1"/>
          <w:sz w:val="16"/>
          <w:szCs w:val="16"/>
        </w:rPr>
        <w:softHyphen/>
        <w:t>плярах серийных самолётов с ВК-107А температурные режимы винтомоторной группы колеблются в больших пределах, вопрос о пригодности радиаторных уста</w:t>
      </w:r>
      <w:r w:rsidRPr="00925F26">
        <w:rPr>
          <w:color w:val="000000" w:themeColor="text1"/>
          <w:sz w:val="16"/>
          <w:szCs w:val="16"/>
        </w:rPr>
        <w:softHyphen/>
        <w:t>новок испытанных на... Як-9У № 52-082, решить после:</w:t>
      </w:r>
    </w:p>
    <w:p w14:paraId="70A98919"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а) испытания 3-х Як-9У с ВК-107А, кото</w:t>
      </w:r>
      <w:r w:rsidRPr="00925F26">
        <w:rPr>
          <w:rFonts w:ascii="Times New Roman" w:cs="Times New Roman"/>
          <w:color w:val="000000" w:themeColor="text1"/>
          <w:spacing w:val="0"/>
        </w:rPr>
        <w:softHyphen/>
        <w:t>рые НКАП (т. Яковлев, Климов) обязан был предъявить на госиспытания ещё 1.10.45 г., согласно постановлению ГОКО (ГКО</w:t>
      </w:r>
      <w:r w:rsidRPr="00925F26">
        <w:rPr>
          <w:rStyle w:val="aff6"/>
          <w:rFonts w:ascii="Times New Roman" w:hAnsi="Times New Roman" w:cs="Times New Roman"/>
          <w:i w:val="0"/>
          <w:color w:val="000000" w:themeColor="text1"/>
          <w:spacing w:val="0"/>
        </w:rPr>
        <w:t>)</w:t>
      </w:r>
      <w:r w:rsidRPr="00925F26">
        <w:rPr>
          <w:rFonts w:ascii="Times New Roman" w:cs="Times New Roman"/>
          <w:color w:val="000000" w:themeColor="text1"/>
          <w:spacing w:val="0"/>
        </w:rPr>
        <w:t xml:space="preserve"> № 9899 от 24 августа 1945 г., с устранением всех дефектов самолёта и мотора;</w:t>
      </w:r>
    </w:p>
    <w:p w14:paraId="32FD833D"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б) проведения войсковых испытаний 30 самолётов Як-9У с ВК-107А согласно тому же постановлению» (19103).</w:t>
      </w:r>
    </w:p>
    <w:p w14:paraId="42A08F01" w14:textId="77777777" w:rsidR="00630DDD" w:rsidRPr="00925F26" w:rsidRDefault="00630DDD" w:rsidP="00925F26">
      <w:pPr>
        <w:pStyle w:val="27"/>
        <w:shd w:val="clear" w:color="auto" w:fill="auto"/>
        <w:spacing w:after="0" w:line="240" w:lineRule="auto"/>
        <w:ind w:firstLine="0"/>
        <w:rPr>
          <w:rFonts w:ascii="Times New Roman" w:cs="Times New Roman"/>
          <w:color w:val="000000" w:themeColor="text1"/>
          <w:spacing w:val="0"/>
        </w:rPr>
      </w:pPr>
    </w:p>
    <w:p w14:paraId="249AFD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ОКБ А.С.Я. был выпущен Як-9УТ со сменными пушками: от Н-23 к Н-37 и Н-45 и 2хБ-20С. При очереди в 4-5 снарядов прицеливание не сбивалось (65,152).</w:t>
      </w:r>
    </w:p>
    <w:p w14:paraId="68E9729E" w14:textId="77777777" w:rsidR="00665165" w:rsidRPr="00925F26" w:rsidRDefault="00665165" w:rsidP="00925F26">
      <w:pPr>
        <w:autoSpaceDE w:val="0"/>
        <w:autoSpaceDN w:val="0"/>
        <w:adjustRightInd w:val="0"/>
        <w:jc w:val="both"/>
        <w:rPr>
          <w:color w:val="000000" w:themeColor="text1"/>
          <w:sz w:val="16"/>
          <w:szCs w:val="16"/>
        </w:rPr>
      </w:pPr>
    </w:p>
    <w:p w14:paraId="5F159A4C" w14:textId="77777777" w:rsidR="00425843" w:rsidRPr="001A0BAA" w:rsidRDefault="00425843" w:rsidP="00425843">
      <w:pPr>
        <w:jc w:val="both"/>
        <w:rPr>
          <w:color w:val="0070C0"/>
          <w:sz w:val="16"/>
          <w:szCs w:val="16"/>
        </w:rPr>
      </w:pPr>
      <w:r w:rsidRPr="001A0BAA">
        <w:rPr>
          <w:color w:val="0070C0"/>
          <w:sz w:val="16"/>
          <w:szCs w:val="16"/>
        </w:rPr>
        <w:t>Не позднее февраля 1945 г. была начата проработка Як-ЗУТИ. Именно тогда в ОКБ-115 появился не датированный документ «Задание по постройке самолёта Як с мотором М-76 или АШ-64 на базе само</w:t>
      </w:r>
      <w:r w:rsidRPr="001A0BAA">
        <w:rPr>
          <w:color w:val="0070C0"/>
          <w:sz w:val="16"/>
          <w:szCs w:val="16"/>
        </w:rPr>
        <w:softHyphen/>
        <w:t>лёта Як-3 в одно- и двухместном вари</w:t>
      </w:r>
      <w:r w:rsidRPr="001A0BAA">
        <w:rPr>
          <w:color w:val="0070C0"/>
          <w:sz w:val="16"/>
          <w:szCs w:val="16"/>
        </w:rPr>
        <w:softHyphen/>
        <w:t>антах». Отметим, что AШ-21 пока ещё не упоминается. Тогда же выпустили и другой документ - «Аэродинамика са</w:t>
      </w:r>
      <w:r w:rsidRPr="001A0BAA">
        <w:rPr>
          <w:color w:val="0070C0"/>
          <w:sz w:val="16"/>
          <w:szCs w:val="16"/>
        </w:rPr>
        <w:softHyphen/>
        <w:t>молёта Як-ЗУТИ», где говорилось, что эта машина «по своей компоновке ана</w:t>
      </w:r>
      <w:r w:rsidRPr="001A0BAA">
        <w:rPr>
          <w:color w:val="0070C0"/>
          <w:sz w:val="16"/>
          <w:szCs w:val="16"/>
        </w:rPr>
        <w:softHyphen/>
        <w:t>логична самолёту «У» (т.е. Як-ЗУ) и в основном отличается от него установкой мотора средней мощности АШ-64, вместо мотора АШ-82ФН, и уд</w:t>
      </w:r>
      <w:r w:rsidRPr="001A0BAA">
        <w:rPr>
          <w:color w:val="0070C0"/>
          <w:sz w:val="16"/>
          <w:szCs w:val="16"/>
        </w:rPr>
        <w:softHyphen/>
        <w:t>линённым фонарём». Расчётная макси</w:t>
      </w:r>
      <w:r w:rsidRPr="001A0BAA">
        <w:rPr>
          <w:color w:val="0070C0"/>
          <w:sz w:val="16"/>
          <w:szCs w:val="16"/>
        </w:rPr>
        <w:softHyphen/>
        <w:t>мальная скорость для самолёта с АШ-64 составляла 428 км/ч у земли и 460 км/ч на границе высотности мотора (2000 м). В упомянутом выше «Задании» за под</w:t>
      </w:r>
      <w:r w:rsidRPr="001A0BAA">
        <w:rPr>
          <w:color w:val="0070C0"/>
          <w:sz w:val="16"/>
          <w:szCs w:val="16"/>
        </w:rPr>
        <w:softHyphen/>
        <w:t>писью А.С. Яковлева назывался срок начала работ в конструкторском бюро - 1 марта 1945 г. и сроки окончания работ в производстве: для одноместного - 1 июня, для двухместного - 15 июня 1945 г. Для двухместного варианта с М-76 был указан расчётный вес -1800 кг, максимальная скорость -405 км/ч, вре</w:t>
      </w:r>
      <w:r w:rsidRPr="001A0BAA">
        <w:rPr>
          <w:color w:val="0070C0"/>
          <w:sz w:val="16"/>
          <w:szCs w:val="16"/>
        </w:rPr>
        <w:softHyphen/>
        <w:t>мя подъёма на 5000 м - 11,5 мин, во</w:t>
      </w:r>
      <w:r w:rsidRPr="001A0BAA">
        <w:rPr>
          <w:color w:val="0070C0"/>
          <w:sz w:val="16"/>
          <w:szCs w:val="16"/>
        </w:rPr>
        <w:softHyphen/>
        <w:t>оружение - один синхронный пулемёт УБ-12,7 с боезапасом 100 патронов. 14 марта руководство ОКБ выпустило за</w:t>
      </w:r>
      <w:r w:rsidRPr="001A0BAA">
        <w:rPr>
          <w:color w:val="0070C0"/>
          <w:sz w:val="16"/>
          <w:szCs w:val="16"/>
        </w:rPr>
        <w:softHyphen/>
        <w:t>дание «по постройке самолёта Як с мо</w:t>
      </w:r>
      <w:r w:rsidRPr="001A0BAA">
        <w:rPr>
          <w:color w:val="0070C0"/>
          <w:sz w:val="16"/>
          <w:szCs w:val="16"/>
        </w:rPr>
        <w:softHyphen/>
        <w:t xml:space="preserve">тором М-76» путём доработки </w:t>
      </w:r>
      <w:r w:rsidRPr="001A0BAA">
        <w:rPr>
          <w:color w:val="0070C0"/>
          <w:sz w:val="16"/>
          <w:szCs w:val="16"/>
        </w:rPr>
        <w:lastRenderedPageBreak/>
        <w:t>серийного экземпляра Як-3, а 15 марта - документ, в котором уточнялись расчётные лётные данные самолёта Як-3 с мотором М-76. Они включали максимальную скорость у земли 350 км/ч, максимальную скорость на высоте 3000 м -410 км/ч, время набо</w:t>
      </w:r>
      <w:r w:rsidRPr="001A0BAA">
        <w:rPr>
          <w:color w:val="0070C0"/>
          <w:sz w:val="16"/>
          <w:szCs w:val="16"/>
        </w:rPr>
        <w:softHyphen/>
        <w:t>ра высоты 5000 м - 10,5 мин, потолок- 7300 м, посадочную скорость -115 км/ч, т.е. характеристики по сравнению с вари</w:t>
      </w:r>
      <w:r w:rsidRPr="001A0BAA">
        <w:rPr>
          <w:color w:val="0070C0"/>
          <w:sz w:val="16"/>
          <w:szCs w:val="16"/>
        </w:rPr>
        <w:softHyphen/>
        <w:t>антом с АШ-64 понизились. Однако вско</w:t>
      </w:r>
      <w:r w:rsidRPr="001A0BAA">
        <w:rPr>
          <w:color w:val="0070C0"/>
          <w:sz w:val="16"/>
          <w:szCs w:val="16"/>
        </w:rPr>
        <w:softHyphen/>
        <w:t>ре М-76 перестал упоминаться вообще и во всех последующих документах идёт речь только об АШ-64. Примерно в это же время от постройки одноместной ма</w:t>
      </w:r>
      <w:r w:rsidRPr="001A0BAA">
        <w:rPr>
          <w:color w:val="0070C0"/>
          <w:sz w:val="16"/>
          <w:szCs w:val="16"/>
        </w:rPr>
        <w:softHyphen/>
        <w:t>шины решили отказаться. В документе без даты (видимо, выпущенном в конце марта, - это задание по постройке «са</w:t>
      </w:r>
      <w:r w:rsidRPr="001A0BAA">
        <w:rPr>
          <w:color w:val="0070C0"/>
          <w:sz w:val="16"/>
          <w:szCs w:val="16"/>
        </w:rPr>
        <w:softHyphen/>
        <w:t>молёта Я КЗ-УТИ с мотором АШ-64 в од</w:t>
      </w:r>
      <w:r w:rsidRPr="001A0BAA">
        <w:rPr>
          <w:color w:val="0070C0"/>
          <w:sz w:val="16"/>
          <w:szCs w:val="16"/>
        </w:rPr>
        <w:softHyphen/>
        <w:t>но- и двухместном вариантах») одномес</w:t>
      </w:r>
      <w:r w:rsidRPr="001A0BAA">
        <w:rPr>
          <w:color w:val="0070C0"/>
          <w:sz w:val="16"/>
          <w:szCs w:val="16"/>
        </w:rPr>
        <w:softHyphen/>
        <w:t>тный вариант уже вычеркнут от руки, а для двухместного в нём запланированы полётный вес-1900 кг, максимальная ско</w:t>
      </w:r>
      <w:r w:rsidRPr="001A0BAA">
        <w:rPr>
          <w:color w:val="0070C0"/>
          <w:sz w:val="16"/>
          <w:szCs w:val="16"/>
        </w:rPr>
        <w:softHyphen/>
        <w:t>рость - 460 км/ч на высоте 3000 м и вре</w:t>
      </w:r>
      <w:r w:rsidRPr="001A0BAA">
        <w:rPr>
          <w:color w:val="0070C0"/>
          <w:sz w:val="16"/>
          <w:szCs w:val="16"/>
        </w:rPr>
        <w:softHyphen/>
        <w:t>мя подъёма на высоту 5000 м - 7,6 мин. Указаны сроки начала работ - 1 апреля 1945 г. и их окончания в произ</w:t>
      </w:r>
      <w:r w:rsidRPr="001A0BAA">
        <w:rPr>
          <w:color w:val="0070C0"/>
          <w:sz w:val="16"/>
          <w:szCs w:val="16"/>
        </w:rPr>
        <w:softHyphen/>
        <w:t>водстве - 15 июня того же года.</w:t>
      </w:r>
    </w:p>
    <w:p w14:paraId="5ACD35F7" w14:textId="77777777" w:rsidR="00425843" w:rsidRPr="001A0BAA" w:rsidRDefault="00425843" w:rsidP="00425843">
      <w:pPr>
        <w:jc w:val="both"/>
        <w:rPr>
          <w:color w:val="0070C0"/>
          <w:sz w:val="16"/>
          <w:szCs w:val="16"/>
        </w:rPr>
      </w:pPr>
      <w:r w:rsidRPr="001A0BAA">
        <w:rPr>
          <w:color w:val="0070C0"/>
          <w:sz w:val="16"/>
          <w:szCs w:val="16"/>
        </w:rPr>
        <w:t>В «Перечне работ по постройке са</w:t>
      </w:r>
      <w:r w:rsidRPr="001A0BAA">
        <w:rPr>
          <w:color w:val="0070C0"/>
          <w:sz w:val="16"/>
          <w:szCs w:val="16"/>
        </w:rPr>
        <w:softHyphen/>
        <w:t>молёта Як-ЗУТИ на базе самолёта ЯкЗ- ВК105ПФ2», утверждённом А.С. Яковле</w:t>
      </w:r>
      <w:r w:rsidRPr="001A0BAA">
        <w:rPr>
          <w:color w:val="0070C0"/>
          <w:sz w:val="16"/>
          <w:szCs w:val="16"/>
        </w:rPr>
        <w:softHyphen/>
        <w:t>вым 19 апреля 1945 г., в числе работ по переделке экземпляра Як-3 со штатным двигателем ВК-105ПФ-2 указано: «Уста</w:t>
      </w:r>
      <w:r w:rsidRPr="001A0BAA">
        <w:rPr>
          <w:color w:val="0070C0"/>
          <w:sz w:val="16"/>
          <w:szCs w:val="16"/>
        </w:rPr>
        <w:softHyphen/>
        <w:t>новить новую ВМГ - АШ64 с капотами, системой охлаждения масла и всасыва</w:t>
      </w:r>
      <w:r w:rsidRPr="001A0BAA">
        <w:rPr>
          <w:color w:val="0070C0"/>
          <w:sz w:val="16"/>
          <w:szCs w:val="16"/>
        </w:rPr>
        <w:softHyphen/>
        <w:t>нием». Аналогичный документ уточнён</w:t>
      </w:r>
      <w:r w:rsidRPr="001A0BAA">
        <w:rPr>
          <w:color w:val="0070C0"/>
          <w:sz w:val="16"/>
          <w:szCs w:val="16"/>
        </w:rPr>
        <w:softHyphen/>
        <w:t>ного содержания был подписан им же 5 мая. В нём имелось примечание: «Для данного самолёта, ввиду оставления деревянных крыла и оперения, считать плановым весом -1850 кг». В другом до</w:t>
      </w:r>
      <w:r w:rsidRPr="001A0BAA">
        <w:rPr>
          <w:color w:val="0070C0"/>
          <w:sz w:val="16"/>
          <w:szCs w:val="16"/>
        </w:rPr>
        <w:softHyphen/>
        <w:t>кументе эта цифра увеличена до 1900 кг. Позднее крыло всё-таки сделали ме</w:t>
      </w:r>
      <w:r w:rsidRPr="001A0BAA">
        <w:rPr>
          <w:color w:val="0070C0"/>
          <w:sz w:val="16"/>
          <w:szCs w:val="16"/>
        </w:rPr>
        <w:softHyphen/>
        <w:t>таллическим, а реальный взлётный вес самолёта оказался заметно выше.</w:t>
      </w:r>
    </w:p>
    <w:p w14:paraId="0D9C3534" w14:textId="77777777" w:rsidR="00425843" w:rsidRPr="001A0BAA" w:rsidRDefault="00425843" w:rsidP="00425843">
      <w:pPr>
        <w:jc w:val="both"/>
        <w:rPr>
          <w:color w:val="0070C0"/>
          <w:sz w:val="16"/>
          <w:szCs w:val="16"/>
        </w:rPr>
      </w:pPr>
      <w:r w:rsidRPr="001A0BAA">
        <w:rPr>
          <w:color w:val="0070C0"/>
          <w:sz w:val="16"/>
          <w:szCs w:val="16"/>
        </w:rPr>
        <w:t>В архиве ОКБ-115 хранится компоно</w:t>
      </w:r>
      <w:r w:rsidRPr="001A0BAA">
        <w:rPr>
          <w:color w:val="0070C0"/>
          <w:sz w:val="16"/>
          <w:szCs w:val="16"/>
        </w:rPr>
        <w:softHyphen/>
        <w:t>вочный чертёж бокового вида двухмест</w:t>
      </w:r>
      <w:r w:rsidRPr="001A0BAA">
        <w:rPr>
          <w:color w:val="0070C0"/>
          <w:sz w:val="16"/>
          <w:szCs w:val="16"/>
        </w:rPr>
        <w:softHyphen/>
        <w:t>ного самолёта ЯкЗ-АШ64, датированный 17 апреля 1945 г. В сравнении с ана</w:t>
      </w:r>
      <w:r w:rsidRPr="001A0BAA">
        <w:rPr>
          <w:color w:val="0070C0"/>
          <w:sz w:val="16"/>
          <w:szCs w:val="16"/>
        </w:rPr>
        <w:softHyphen/>
        <w:t>логичным чертежом Як-УТИ (будущего Як-11), он имеет отличия в форме капо</w:t>
      </w:r>
      <w:r w:rsidRPr="001A0BAA">
        <w:rPr>
          <w:color w:val="0070C0"/>
          <w:sz w:val="16"/>
          <w:szCs w:val="16"/>
        </w:rPr>
        <w:softHyphen/>
        <w:t>та, в элементах оборудования, в част</w:t>
      </w:r>
      <w:r w:rsidRPr="001A0BAA">
        <w:rPr>
          <w:color w:val="0070C0"/>
          <w:sz w:val="16"/>
          <w:szCs w:val="16"/>
        </w:rPr>
        <w:softHyphen/>
        <w:t>ности, - трёхлопастный винт и антенну без мачты, как у Як-3.</w:t>
      </w:r>
    </w:p>
    <w:p w14:paraId="3CB1B1A8" w14:textId="77777777" w:rsidR="00425843" w:rsidRPr="001A0BAA" w:rsidRDefault="00425843" w:rsidP="00425843">
      <w:pPr>
        <w:jc w:val="both"/>
        <w:rPr>
          <w:color w:val="0070C0"/>
          <w:sz w:val="16"/>
          <w:szCs w:val="16"/>
        </w:rPr>
      </w:pPr>
      <w:r w:rsidRPr="001A0BAA">
        <w:rPr>
          <w:color w:val="0070C0"/>
          <w:sz w:val="16"/>
          <w:szCs w:val="16"/>
        </w:rPr>
        <w:t>В доступных материалах нет свиде</w:t>
      </w:r>
      <w:r w:rsidRPr="001A0BAA">
        <w:rPr>
          <w:color w:val="0070C0"/>
          <w:sz w:val="16"/>
          <w:szCs w:val="16"/>
        </w:rPr>
        <w:softHyphen/>
        <w:t>тельств о реальной установке на само</w:t>
      </w:r>
      <w:r w:rsidRPr="001A0BAA">
        <w:rPr>
          <w:color w:val="0070C0"/>
          <w:sz w:val="16"/>
          <w:szCs w:val="16"/>
        </w:rPr>
        <w:softHyphen/>
        <w:t>лёт двигателей М-76 или АШ-64 - в даль</w:t>
      </w:r>
      <w:r w:rsidRPr="001A0BAA">
        <w:rPr>
          <w:color w:val="0070C0"/>
          <w:sz w:val="16"/>
          <w:szCs w:val="16"/>
        </w:rPr>
        <w:softHyphen/>
        <w:t>нейшем уже речь идёт только о моторе АШ-21 (24958).</w:t>
      </w:r>
    </w:p>
    <w:p w14:paraId="07F9427E" w14:textId="77777777" w:rsidR="00425843" w:rsidRPr="001A0BAA" w:rsidRDefault="00425843" w:rsidP="00425843">
      <w:pPr>
        <w:jc w:val="both"/>
        <w:rPr>
          <w:color w:val="0070C0"/>
          <w:sz w:val="16"/>
          <w:szCs w:val="16"/>
        </w:rPr>
      </w:pPr>
    </w:p>
    <w:p w14:paraId="007881B1" w14:textId="77777777" w:rsidR="00425843" w:rsidRPr="001A0BAA" w:rsidRDefault="00425843" w:rsidP="00425843">
      <w:pPr>
        <w:jc w:val="both"/>
        <w:rPr>
          <w:color w:val="0070C0"/>
          <w:sz w:val="16"/>
          <w:szCs w:val="16"/>
        </w:rPr>
      </w:pPr>
      <w:r w:rsidRPr="001A0BAA">
        <w:rPr>
          <w:color w:val="0070C0"/>
          <w:sz w:val="16"/>
          <w:szCs w:val="16"/>
        </w:rPr>
        <w:t>В феврале 1945 года была закончена сборка Як</w:t>
      </w:r>
      <w:r w:rsidRPr="001A0BAA">
        <w:rPr>
          <w:color w:val="0070C0"/>
          <w:sz w:val="16"/>
          <w:szCs w:val="16"/>
        </w:rPr>
        <w:noBreakHyphen/>
        <w:t>9УТ, а с 8 по 29 марта 1945 года он проходил государственные испытания.</w:t>
      </w:r>
    </w:p>
    <w:p w14:paraId="2A141355" w14:textId="77777777" w:rsidR="00425843" w:rsidRPr="001A0BAA" w:rsidRDefault="00425843" w:rsidP="00425843">
      <w:pPr>
        <w:jc w:val="both"/>
        <w:rPr>
          <w:color w:val="0070C0"/>
          <w:sz w:val="16"/>
          <w:szCs w:val="16"/>
        </w:rPr>
      </w:pPr>
      <w:r w:rsidRPr="001A0BAA">
        <w:rPr>
          <w:color w:val="0070C0"/>
          <w:sz w:val="16"/>
          <w:szCs w:val="16"/>
        </w:rPr>
        <w:t>В носовой части новой машины была установлена пушка Н</w:t>
      </w:r>
      <w:r w:rsidRPr="001A0BAA">
        <w:rPr>
          <w:color w:val="0070C0"/>
          <w:sz w:val="16"/>
          <w:szCs w:val="16"/>
        </w:rPr>
        <w:noBreakHyphen/>
        <w:t>37 и две недавно запущенные в производство пушки Б</w:t>
      </w:r>
      <w:r w:rsidRPr="001A0BAA">
        <w:rPr>
          <w:color w:val="0070C0"/>
          <w:sz w:val="16"/>
          <w:szCs w:val="16"/>
        </w:rPr>
        <w:noBreakHyphen/>
        <w:t>2 °C калибра 20 мм. Обе конструкции отличались небольшими размерами и малым весом (Б</w:t>
      </w:r>
      <w:r w:rsidRPr="001A0BAA">
        <w:rPr>
          <w:color w:val="0070C0"/>
          <w:sz w:val="16"/>
          <w:szCs w:val="16"/>
        </w:rPr>
        <w:noBreakHyphen/>
        <w:t>20 была только на 3 кг тяжелее пулемета УБС). Запас нарядов – 30 штук к Н</w:t>
      </w:r>
      <w:r w:rsidRPr="001A0BAA">
        <w:rPr>
          <w:color w:val="0070C0"/>
          <w:sz w:val="16"/>
          <w:szCs w:val="16"/>
        </w:rPr>
        <w:noBreakHyphen/>
        <w:t>37 и по 120 штук к Б</w:t>
      </w:r>
      <w:r w:rsidRPr="001A0BAA">
        <w:rPr>
          <w:color w:val="0070C0"/>
          <w:sz w:val="16"/>
          <w:szCs w:val="16"/>
        </w:rPr>
        <w:noBreakHyphen/>
        <w:t>2 °C.</w:t>
      </w:r>
    </w:p>
    <w:p w14:paraId="5F3667EA" w14:textId="77777777" w:rsidR="00425843" w:rsidRPr="001A0BAA" w:rsidRDefault="00425843" w:rsidP="00425843">
      <w:pPr>
        <w:jc w:val="both"/>
        <w:rPr>
          <w:color w:val="0070C0"/>
          <w:sz w:val="16"/>
          <w:szCs w:val="16"/>
        </w:rPr>
      </w:pPr>
      <w:r w:rsidRPr="001A0BAA">
        <w:rPr>
          <w:color w:val="0070C0"/>
          <w:sz w:val="16"/>
          <w:szCs w:val="16"/>
        </w:rPr>
        <w:t>Прототипом новой модификации истребителя был самолет Як</w:t>
      </w:r>
      <w:r w:rsidRPr="001A0BAA">
        <w:rPr>
          <w:color w:val="0070C0"/>
          <w:sz w:val="16"/>
          <w:szCs w:val="16"/>
        </w:rPr>
        <w:noBreakHyphen/>
        <w:t>9У номер 39</w:t>
      </w:r>
      <w:r w:rsidRPr="001A0BAA">
        <w:rPr>
          <w:color w:val="0070C0"/>
          <w:sz w:val="16"/>
          <w:szCs w:val="16"/>
        </w:rPr>
        <w:noBreakHyphen/>
        <w:t>083 с двигателем ВК</w:t>
      </w:r>
      <w:r w:rsidRPr="001A0BAA">
        <w:rPr>
          <w:color w:val="0070C0"/>
          <w:sz w:val="16"/>
          <w:szCs w:val="16"/>
        </w:rPr>
        <w:noBreakHyphen/>
        <w:t>107А и воздушным винтом типа ВИШ</w:t>
      </w:r>
      <w:r w:rsidRPr="001A0BAA">
        <w:rPr>
          <w:color w:val="0070C0"/>
          <w:sz w:val="16"/>
          <w:szCs w:val="16"/>
        </w:rPr>
        <w:noBreakHyphen/>
        <w:t>107ЛО. В его конструкции была предусмотрена возможность установки вместо Н</w:t>
      </w:r>
      <w:r w:rsidRPr="001A0BAA">
        <w:rPr>
          <w:color w:val="0070C0"/>
          <w:sz w:val="16"/>
          <w:szCs w:val="16"/>
        </w:rPr>
        <w:noBreakHyphen/>
        <w:t>37 других пушек: Б</w:t>
      </w:r>
      <w:r w:rsidRPr="001A0BAA">
        <w:rPr>
          <w:color w:val="0070C0"/>
          <w:sz w:val="16"/>
          <w:szCs w:val="16"/>
        </w:rPr>
        <w:noBreakHyphen/>
        <w:t>20М, НС</w:t>
      </w:r>
      <w:r w:rsidRPr="001A0BAA">
        <w:rPr>
          <w:color w:val="0070C0"/>
          <w:sz w:val="16"/>
          <w:szCs w:val="16"/>
        </w:rPr>
        <w:noBreakHyphen/>
        <w:t>23, Н</w:t>
      </w:r>
      <w:r w:rsidRPr="001A0BAA">
        <w:rPr>
          <w:color w:val="0070C0"/>
          <w:sz w:val="16"/>
          <w:szCs w:val="16"/>
        </w:rPr>
        <w:noBreakHyphen/>
        <w:t>45. Такие изменения можно было проводить только на сборочной линии (нельзя было заменять пушки в полевых условиях), но и это позволяло гибко реагировать на потребности фронта.</w:t>
      </w:r>
    </w:p>
    <w:p w14:paraId="453D5EA7" w14:textId="77777777" w:rsidR="00425843" w:rsidRPr="001A0BAA" w:rsidRDefault="00425843" w:rsidP="00425843">
      <w:pPr>
        <w:jc w:val="both"/>
        <w:rPr>
          <w:color w:val="0070C0"/>
          <w:sz w:val="16"/>
          <w:szCs w:val="16"/>
        </w:rPr>
      </w:pPr>
      <w:r w:rsidRPr="001A0BAA">
        <w:rPr>
          <w:color w:val="0070C0"/>
          <w:sz w:val="16"/>
          <w:szCs w:val="16"/>
        </w:rPr>
        <w:t>Вес модификации «УТ» возрос по сравнению с Як</w:t>
      </w:r>
      <w:r w:rsidRPr="001A0BAA">
        <w:rPr>
          <w:color w:val="0070C0"/>
          <w:sz w:val="16"/>
          <w:szCs w:val="16"/>
        </w:rPr>
        <w:noBreakHyphen/>
        <w:t>9У незначительно, поэтому их летные данные были практически идентичны. Однако имелось два существенных пилотажных и эксплуатационных различия: пушка «УТ» оказывала дополнительное аэродинамическое сопротивление при работе рулями высоты и элеронами, кроме того (а это уже хорошая новость) температура масла и воды удерживалась в допустимых пределах даже при наборе высоты с наибольшей скоростью.</w:t>
      </w:r>
    </w:p>
    <w:p w14:paraId="5E64F858" w14:textId="77777777" w:rsidR="00425843" w:rsidRPr="001A0BAA" w:rsidRDefault="00425843" w:rsidP="00425843">
      <w:pPr>
        <w:jc w:val="both"/>
        <w:rPr>
          <w:color w:val="0070C0"/>
          <w:sz w:val="16"/>
          <w:szCs w:val="16"/>
        </w:rPr>
      </w:pPr>
      <w:r w:rsidRPr="001A0BAA">
        <w:rPr>
          <w:color w:val="0070C0"/>
          <w:sz w:val="16"/>
          <w:szCs w:val="16"/>
        </w:rPr>
        <w:t>Новое вооружение, несмотря на большую силу огня (три ствола выбрасывали 6 кг снарядов в секунду), было очень надежным. Кроме того, сила отдачи пушки Н</w:t>
      </w:r>
      <w:r w:rsidRPr="001A0BAA">
        <w:rPr>
          <w:color w:val="0070C0"/>
          <w:sz w:val="16"/>
          <w:szCs w:val="16"/>
        </w:rPr>
        <w:noBreakHyphen/>
        <w:t>37 была значительно меньше, чем у НС</w:t>
      </w:r>
      <w:r w:rsidRPr="001A0BAA">
        <w:rPr>
          <w:color w:val="0070C0"/>
          <w:sz w:val="16"/>
          <w:szCs w:val="16"/>
        </w:rPr>
        <w:noBreakHyphen/>
        <w:t xml:space="preserve">37, </w:t>
      </w:r>
      <w:r w:rsidRPr="001A0BAA">
        <w:rPr>
          <w:color w:val="0070C0"/>
          <w:sz w:val="16"/>
          <w:szCs w:val="16"/>
        </w:rPr>
        <w:noBreakHyphen/>
        <w:t>что позволяло стрелять очередями из 4–5 снарядов, без опасности увода самолета с лини прицеливания (25077).</w:t>
      </w:r>
    </w:p>
    <w:p w14:paraId="62983357" w14:textId="77777777" w:rsidR="00425843" w:rsidRPr="001A0BAA" w:rsidRDefault="00425843" w:rsidP="00425843">
      <w:pPr>
        <w:jc w:val="both"/>
        <w:rPr>
          <w:color w:val="0070C0"/>
          <w:sz w:val="16"/>
          <w:szCs w:val="16"/>
        </w:rPr>
      </w:pPr>
    </w:p>
    <w:p w14:paraId="5EDF14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1945 при полетах Як-9 с мотором ВК-105ПД наблюдались дефекты. Для устранения перегрева масла на больших высотах на трубе суфлера был установлен </w:t>
      </w:r>
      <w:proofErr w:type="gramStart"/>
      <w:r w:rsidRPr="00925F26">
        <w:rPr>
          <w:color w:val="000000" w:themeColor="text1"/>
          <w:sz w:val="16"/>
          <w:szCs w:val="16"/>
        </w:rPr>
        <w:t>клапан</w:t>
      </w:r>
      <w:proofErr w:type="gramEnd"/>
      <w:r w:rsidRPr="00925F26">
        <w:rPr>
          <w:color w:val="000000" w:themeColor="text1"/>
          <w:sz w:val="16"/>
          <w:szCs w:val="16"/>
        </w:rPr>
        <w:t xml:space="preserve"> создающий избыточное давление в картере до 0,1 кг/см кв. При гонке мотора на земле установка клапана вызвала недопустимый выброс масла через лабиринт вала винта. клапан был снят (2592,223).</w:t>
      </w:r>
    </w:p>
    <w:p w14:paraId="2F1DA62E" w14:textId="77777777" w:rsidR="00665165" w:rsidRPr="00925F26" w:rsidRDefault="00665165" w:rsidP="00925F26">
      <w:pPr>
        <w:autoSpaceDE w:val="0"/>
        <w:autoSpaceDN w:val="0"/>
        <w:adjustRightInd w:val="0"/>
        <w:jc w:val="both"/>
        <w:rPr>
          <w:color w:val="000000" w:themeColor="text1"/>
          <w:sz w:val="16"/>
          <w:szCs w:val="16"/>
        </w:rPr>
      </w:pPr>
    </w:p>
    <w:p w14:paraId="1F7CFD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 КБ Яковлева выпусти</w:t>
      </w:r>
      <w:r w:rsidRPr="00925F26">
        <w:rPr>
          <w:color w:val="000000" w:themeColor="text1"/>
          <w:sz w:val="16"/>
          <w:szCs w:val="16"/>
        </w:rPr>
        <w:softHyphen/>
        <w:t>ло модификацию Як-9У с более мощным вооружением, которое составляли три пуш</w:t>
      </w:r>
      <w:r w:rsidRPr="00925F26">
        <w:rPr>
          <w:color w:val="000000" w:themeColor="text1"/>
          <w:sz w:val="16"/>
          <w:szCs w:val="16"/>
        </w:rPr>
        <w:softHyphen/>
        <w:t>ки: центральная Н-37 калибром 37 мм и две синхронные Б-20С калибром 20 мм. Самолет, названный Як-9УТ, имел рекор</w:t>
      </w:r>
      <w:r w:rsidRPr="00925F26">
        <w:rPr>
          <w:color w:val="000000" w:themeColor="text1"/>
          <w:sz w:val="16"/>
          <w:szCs w:val="16"/>
        </w:rPr>
        <w:softHyphen/>
        <w:t>дную для советских истребителей массу секундного залпа — 6,0 кг. Еще одна осо</w:t>
      </w:r>
      <w:r w:rsidRPr="00925F26">
        <w:rPr>
          <w:color w:val="000000" w:themeColor="text1"/>
          <w:sz w:val="16"/>
          <w:szCs w:val="16"/>
        </w:rPr>
        <w:softHyphen/>
        <w:t>бенность Як-9УТ состояла в унифицирован</w:t>
      </w:r>
      <w:r w:rsidRPr="00925F26">
        <w:rPr>
          <w:color w:val="000000" w:themeColor="text1"/>
          <w:sz w:val="16"/>
          <w:szCs w:val="16"/>
        </w:rPr>
        <w:softHyphen/>
        <w:t>ной установке центральной пушки. Вместо Н-37 можно было ставить пушки калибром 20, 23 или 45 мм. В последнем случае вес секундного залпа возрастал до 9,3 кг. Без особых осложнений Як-9УТ прошел все необходимые испытания, и его начали строить серийно. Выпускаемые самолеты имели вооружение, состоявшее из цен</w:t>
      </w:r>
      <w:r w:rsidRPr="00925F26">
        <w:rPr>
          <w:color w:val="000000" w:themeColor="text1"/>
          <w:sz w:val="16"/>
          <w:szCs w:val="16"/>
        </w:rPr>
        <w:softHyphen/>
        <w:t>тральной пушки НС-23 калибром 23 мм и двух синхронных Б-20С. По своим пилотаж</w:t>
      </w:r>
      <w:r w:rsidRPr="00925F26">
        <w:rPr>
          <w:color w:val="000000" w:themeColor="text1"/>
          <w:sz w:val="16"/>
          <w:szCs w:val="16"/>
        </w:rPr>
        <w:softHyphen/>
        <w:t>ным свойствам и летным характеристикам Як-9УТ практически не отличался от Як-9У. За три месяца серийного производства бы</w:t>
      </w:r>
      <w:r w:rsidRPr="00925F26">
        <w:rPr>
          <w:color w:val="000000" w:themeColor="text1"/>
          <w:sz w:val="16"/>
          <w:szCs w:val="16"/>
        </w:rPr>
        <w:softHyphen/>
        <w:t>ло построено 282 истребителя Як-9УТ. Не</w:t>
      </w:r>
      <w:r w:rsidRPr="00925F26">
        <w:rPr>
          <w:color w:val="000000" w:themeColor="text1"/>
          <w:sz w:val="16"/>
          <w:szCs w:val="16"/>
        </w:rPr>
        <w:softHyphen/>
        <w:t>значительное их количество прибыло на фронт в последние недели войны (10712).</w:t>
      </w:r>
    </w:p>
    <w:p w14:paraId="191588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5DFCED1" w14:textId="77777777" w:rsidR="00AD7660" w:rsidRPr="001A0BAA" w:rsidRDefault="00AD7660" w:rsidP="00AD7660">
      <w:pPr>
        <w:jc w:val="both"/>
        <w:rPr>
          <w:color w:val="0070C0"/>
          <w:sz w:val="16"/>
          <w:szCs w:val="16"/>
        </w:rPr>
      </w:pPr>
      <w:r w:rsidRPr="001A0BAA">
        <w:rPr>
          <w:color w:val="0070C0"/>
          <w:sz w:val="16"/>
          <w:szCs w:val="16"/>
        </w:rPr>
        <w:t>В феврале 1945 г. в связи с необоснованностью обвинений в техническом авантюризме и обмане правительства при создании самолета «302», А.Г. Костиков был реабилитиро</w:t>
      </w:r>
      <w:r w:rsidRPr="001A0BAA">
        <w:rPr>
          <w:color w:val="0070C0"/>
          <w:sz w:val="16"/>
          <w:szCs w:val="16"/>
        </w:rPr>
        <w:softHyphen/>
        <w:t>ван». После реабилитации Костикову довелось заниматься ак</w:t>
      </w:r>
      <w:r w:rsidRPr="001A0BAA">
        <w:rPr>
          <w:color w:val="0070C0"/>
          <w:sz w:val="16"/>
          <w:szCs w:val="16"/>
        </w:rPr>
        <w:softHyphen/>
        <w:t>тивно-реактивными снарядами по теме «Гром», где он про</w:t>
      </w:r>
      <w:r w:rsidRPr="001A0BAA">
        <w:rPr>
          <w:color w:val="0070C0"/>
          <w:sz w:val="16"/>
          <w:szCs w:val="16"/>
        </w:rPr>
        <w:softHyphen/>
        <w:t>явил себя и как конструктор, и как организатор работ высо</w:t>
      </w:r>
      <w:r w:rsidRPr="001A0BAA">
        <w:rPr>
          <w:color w:val="0070C0"/>
          <w:sz w:val="16"/>
          <w:szCs w:val="16"/>
        </w:rPr>
        <w:softHyphen/>
        <w:t>кого уровня [52] (24920).</w:t>
      </w:r>
    </w:p>
    <w:p w14:paraId="060E0298" w14:textId="77777777" w:rsidR="00AD7660" w:rsidRPr="001A0BAA" w:rsidRDefault="00AD7660" w:rsidP="00AD7660">
      <w:pPr>
        <w:jc w:val="both"/>
        <w:rPr>
          <w:color w:val="0070C0"/>
          <w:sz w:val="16"/>
          <w:szCs w:val="16"/>
        </w:rPr>
      </w:pPr>
    </w:p>
    <w:p w14:paraId="6A315C8E" w14:textId="77777777" w:rsidR="005903DB" w:rsidRPr="00925F26" w:rsidRDefault="005903DB" w:rsidP="00925F26">
      <w:pPr>
        <w:jc w:val="both"/>
        <w:rPr>
          <w:color w:val="000000" w:themeColor="text1"/>
          <w:sz w:val="16"/>
          <w:szCs w:val="16"/>
        </w:rPr>
      </w:pPr>
      <w:r w:rsidRPr="00925F26">
        <w:rPr>
          <w:color w:val="000000" w:themeColor="text1"/>
          <w:sz w:val="16"/>
          <w:szCs w:val="16"/>
        </w:rPr>
        <w:t>В феврале 1945 г. состоялся второй предварительный осмотр макета самолета 64 после доработок, и снова последовали замечания заказчика по обшей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и в какой-то момент эти требования превысили практические возможности советской авиационной промышленности того периода, особенно в части оборудования и вооружения (15568).</w:t>
      </w:r>
    </w:p>
    <w:p w14:paraId="02B8A99A" w14:textId="77777777" w:rsidR="005903DB" w:rsidRPr="00925F26" w:rsidRDefault="005903DB" w:rsidP="00925F26">
      <w:pPr>
        <w:jc w:val="both"/>
        <w:rPr>
          <w:color w:val="000000" w:themeColor="text1"/>
          <w:sz w:val="16"/>
          <w:szCs w:val="16"/>
        </w:rPr>
      </w:pPr>
    </w:p>
    <w:p w14:paraId="0435A4B5" w14:textId="77777777" w:rsidR="00425843" w:rsidRPr="001A0BAA" w:rsidRDefault="00425843" w:rsidP="00425843">
      <w:pPr>
        <w:jc w:val="both"/>
        <w:rPr>
          <w:color w:val="0070C0"/>
          <w:sz w:val="16"/>
          <w:szCs w:val="16"/>
        </w:rPr>
      </w:pPr>
      <w:r w:rsidRPr="001A0BAA">
        <w:rPr>
          <w:color w:val="0070C0"/>
          <w:sz w:val="16"/>
          <w:szCs w:val="16"/>
        </w:rPr>
        <w:t xml:space="preserve">В феврале 1945 г. состоялся второй предварительный осмотр самолета «64» А.Н.Т. после доработок, и снова последовали замечания заказчика по общей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w:t>
      </w:r>
      <w:proofErr w:type="gramStart"/>
      <w:r w:rsidRPr="001A0BAA">
        <w:rPr>
          <w:color w:val="0070C0"/>
          <w:sz w:val="16"/>
          <w:szCs w:val="16"/>
        </w:rPr>
        <w:t>до тех пор пока</w:t>
      </w:r>
      <w:proofErr w:type="gramEnd"/>
      <w:r w:rsidRPr="001A0BAA">
        <w:rPr>
          <w:color w:val="0070C0"/>
          <w:sz w:val="16"/>
          <w:szCs w:val="16"/>
        </w:rPr>
        <w:t xml:space="preserve"> эти требования превысили практические возможности советской авиационной промышленности того периода, особенно в части оборудования и вооружения. В итоге в июне 1945 года Туполеву было приказано прекратить разработку самолета «64» и все силы направить на копирование В-29. Мясищев же, не имеющий таких ресурсов как Туполев, не дошел даже до макетного этапа (25286). </w:t>
      </w:r>
    </w:p>
    <w:p w14:paraId="18FC54A6" w14:textId="77777777" w:rsidR="00425843" w:rsidRPr="001A0BAA" w:rsidRDefault="00425843" w:rsidP="00425843">
      <w:pPr>
        <w:jc w:val="both"/>
        <w:rPr>
          <w:color w:val="0070C0"/>
          <w:sz w:val="16"/>
          <w:szCs w:val="16"/>
        </w:rPr>
      </w:pPr>
    </w:p>
    <w:p w14:paraId="014F2F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начались заводские испытания Ер-2ОН. Машина "особого назначения" (отсюда индекс ОН в названии) представляла собой пассажирский вариант бомбардировщика с повышенной комфортабельностью, заданный приказом НКАП N 351 от 23 мая 1944 г. Одновременно аналогичные заказы были выданы на переделку Пе-8 и В-25С. Все эти самолеты предназначались для высшего руководства страны и поэтому изготавливались с особой тщательностью. Несмотря на "чрезвычайность" указаний, постройка машин затянулась т.к. выявились опасные дефекты серийных дизелей АЧ-ЗОБ производства завода N 500, требовавшие безусловного устранения. Ведущим инженером по Ер-20Н был назначен Н.В.Синельщиков. С самолета сняли все вооружение, а на месте бомбоотсека и фюзеляжных баков оборудовали пассажирский салон на девять кресел плюс место для стюарда. Было построено 4 машины (3322,44).</w:t>
      </w:r>
    </w:p>
    <w:p w14:paraId="55E39759" w14:textId="77777777" w:rsidR="00665165" w:rsidRPr="00925F26" w:rsidRDefault="00665165" w:rsidP="00925F26">
      <w:pPr>
        <w:autoSpaceDE w:val="0"/>
        <w:autoSpaceDN w:val="0"/>
        <w:adjustRightInd w:val="0"/>
        <w:jc w:val="both"/>
        <w:rPr>
          <w:color w:val="000000" w:themeColor="text1"/>
          <w:sz w:val="16"/>
          <w:szCs w:val="16"/>
        </w:rPr>
      </w:pPr>
    </w:p>
    <w:p w14:paraId="173209F8" w14:textId="77777777" w:rsidR="005903DB" w:rsidRPr="00925F26" w:rsidRDefault="005903DB" w:rsidP="00925F26">
      <w:pPr>
        <w:shd w:val="clear" w:color="auto" w:fill="FFFFFF"/>
        <w:jc w:val="both"/>
        <w:rPr>
          <w:color w:val="000000" w:themeColor="text1"/>
          <w:sz w:val="16"/>
          <w:szCs w:val="16"/>
        </w:rPr>
      </w:pPr>
      <w:r w:rsidRPr="00925F26">
        <w:rPr>
          <w:color w:val="000000" w:themeColor="text1"/>
          <w:sz w:val="16"/>
          <w:szCs w:val="16"/>
        </w:rPr>
        <w:t>В феврале 1945 под руководством Сухого был проведен анализ наиболее существенных недостатков бомбардировщика, для устранения которых конструкторы приступили к разработке рабочих проектов двух вариантов модернизации: малая модернизация (проект Ер-2ММ); большая модернизация (проект Ер-2БМ) (15223).</w:t>
      </w:r>
    </w:p>
    <w:p w14:paraId="75B53141" w14:textId="77777777" w:rsidR="005903DB" w:rsidRPr="00925F26" w:rsidRDefault="005903DB" w:rsidP="00925F26">
      <w:pPr>
        <w:shd w:val="clear" w:color="auto" w:fill="FFFFFF"/>
        <w:jc w:val="both"/>
        <w:rPr>
          <w:color w:val="000000" w:themeColor="text1"/>
          <w:sz w:val="16"/>
          <w:szCs w:val="16"/>
        </w:rPr>
      </w:pPr>
    </w:p>
    <w:p w14:paraId="432F735D" w14:textId="77777777" w:rsidR="005903DB" w:rsidRPr="00925F26" w:rsidRDefault="005903DB" w:rsidP="00925F26">
      <w:pPr>
        <w:shd w:val="clear" w:color="auto" w:fill="FFFFFF"/>
        <w:jc w:val="both"/>
        <w:rPr>
          <w:color w:val="000000" w:themeColor="text1"/>
          <w:sz w:val="16"/>
          <w:szCs w:val="16"/>
        </w:rPr>
      </w:pPr>
      <w:r w:rsidRPr="00925F26">
        <w:rPr>
          <w:color w:val="000000" w:themeColor="text1"/>
          <w:sz w:val="16"/>
          <w:szCs w:val="16"/>
        </w:rPr>
        <w:t>В феврале месяце 1945 на собранных на заводе № 39 машинах Ер-2 стояли 37 забракованных и требующих замены двигателей, в марте требовалась замена 9 двигателей, в апреле -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0E698E3B" w14:textId="77777777" w:rsidR="005903DB" w:rsidRPr="00925F26" w:rsidRDefault="005903DB" w:rsidP="00925F26">
      <w:pPr>
        <w:shd w:val="clear" w:color="auto" w:fill="FFFFFF"/>
        <w:jc w:val="both"/>
        <w:rPr>
          <w:color w:val="000000" w:themeColor="text1"/>
          <w:sz w:val="16"/>
          <w:szCs w:val="16"/>
        </w:rPr>
      </w:pPr>
    </w:p>
    <w:p w14:paraId="02821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завод № 22, взяв за прототип проект Пе-2М, заложил серию суперпешек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4 машины.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(4476).</w:t>
      </w:r>
    </w:p>
    <w:p w14:paraId="550FFDFF" w14:textId="77777777" w:rsidR="00665165" w:rsidRPr="00925F26" w:rsidRDefault="00665165" w:rsidP="00925F26">
      <w:pPr>
        <w:autoSpaceDE w:val="0"/>
        <w:autoSpaceDN w:val="0"/>
        <w:adjustRightInd w:val="0"/>
        <w:jc w:val="both"/>
        <w:rPr>
          <w:color w:val="000000" w:themeColor="text1"/>
          <w:sz w:val="16"/>
          <w:szCs w:val="16"/>
        </w:rPr>
      </w:pPr>
    </w:p>
    <w:p w14:paraId="619008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на заводе № 22 заложили вторую серию "суперпешек", взяв за прототип проект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четыре машины. Война на Западе закончилась, требования к качеству авиационной техники стали заметно более строгими. В связи с этим головной серийный самолет Пе-2М зав. № 1/1002 передали в НИИ ВВС для проведения государственных испытаний. Их поручили закрепленным за "пешками" специалистам - ведущему инженеру Грибакину и ведущему летчику Хрипкову.</w:t>
      </w:r>
    </w:p>
    <w:p w14:paraId="6D98EC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Несмотря на рост полетной массы и некоторое ухудшение аэродинамики Пе-2М все же был отличным шагом вперед в деле совершенствования "пешки". Подвели моторы ВК-107А.</w:t>
      </w:r>
    </w:p>
    <w:p w14:paraId="1EB67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ходе испытаний Хрипков достиг на второй границе высотности максимальной скорости 630 км/ч. Время набора высоты 5000 м увеличилось на 1,8 мин по сравнению с Пе-2И, а дальность полета уменьшилась на 225 км. Такова оказалась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 размере порядка 48 км/ч - вдвое больше, чем потеряли конструкторы ОКО-22.</w:t>
      </w:r>
    </w:p>
    <w:p w14:paraId="589D1F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введением третьего члена экипажа, увеличением массы бронирования и вооружения Пе-2М стал заметно тяжелее предшественника и перестал соответствовать нормам прочности по ряду показателей. Стойки шасси и колеса отказывались "держать" 12-тонную машину. Усложнилось покидание самолета в воздухе, поскольку ВУ-5-20 серьезно мешала сбросу фонаря. По-прежнему досаждали дефекты моторов ВК-107А. Они нарабатывали 47-54 ч в воздухе, после чего начинали "стрелять шатунами". Течи водяных и маслорадиаторов, а также различных уплотнений считались почти нормальным явлением. Отмечались другие отказы, втом числе и у новых подвижных установок вооружения.</w:t>
      </w:r>
    </w:p>
    <w:p w14:paraId="1ECBDB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моменту окончания госиспытаний Пе-2М руководство авиапромышленности приняло принципиальное решение о прекращении производства всех вариантов "пешек". Заключение акта по испытаниям являлось довольно противоречивым:</w:t>
      </w:r>
    </w:p>
    <w:p w14:paraId="0DA1AF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Предъявленный на государственные испытания дневной бомбардировщик Пе-2М с 2BK-I07A по летно-техническим данным отвечает современным требованиям к данному типу самолетов...</w:t>
      </w:r>
    </w:p>
    <w:p w14:paraId="0EDDF0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w:t>
      </w:r>
    </w:p>
    <w:p w14:paraId="734FA3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Ни один из четырех построенных Пе-2М так никогда и не был принят ВВС. Все эти машины впоследствии передали заводам № 26 и № 482 для проведения опытных работ (12042).</w:t>
      </w:r>
    </w:p>
    <w:p w14:paraId="512F129F" w14:textId="77777777" w:rsidR="00665165" w:rsidRPr="00925F26" w:rsidRDefault="00665165" w:rsidP="00925F26">
      <w:pPr>
        <w:autoSpaceDE w:val="0"/>
        <w:autoSpaceDN w:val="0"/>
        <w:adjustRightInd w:val="0"/>
        <w:jc w:val="both"/>
        <w:rPr>
          <w:color w:val="000000" w:themeColor="text1"/>
          <w:sz w:val="16"/>
          <w:szCs w:val="16"/>
        </w:rPr>
      </w:pPr>
    </w:p>
    <w:p w14:paraId="15EA42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состоялась макетная комиссия по ВБ-109. Позднее, по мере развития событий с Пе-2И, Пе-2М и ДБ-108, пришлось неоднократно пересматривать конструкцию винтомоторной группы и вооружения самолета. Передача ВБ-109 на государственные испытания планировалась на апрель 1945 г.</w:t>
      </w:r>
      <w:proofErr w:type="gramStart"/>
      <w:r w:rsidRPr="00925F26">
        <w:rPr>
          <w:color w:val="000000" w:themeColor="text1"/>
          <w:sz w:val="16"/>
          <w:szCs w:val="16"/>
        </w:rPr>
        <w:t>.</w:t>
      </w:r>
      <w:proofErr w:type="gramEnd"/>
      <w:r w:rsidRPr="00925F26">
        <w:rPr>
          <w:color w:val="000000" w:themeColor="text1"/>
          <w:sz w:val="16"/>
          <w:szCs w:val="16"/>
        </w:rPr>
        <w:t xml:space="preserve"> но к этому сроку не было закончено даже рабочее проектирование (4476).</w:t>
      </w:r>
    </w:p>
    <w:p w14:paraId="5718CCF5" w14:textId="77777777" w:rsidR="00665165" w:rsidRPr="00925F26" w:rsidRDefault="00665165" w:rsidP="00925F26">
      <w:pPr>
        <w:autoSpaceDE w:val="0"/>
        <w:autoSpaceDN w:val="0"/>
        <w:adjustRightInd w:val="0"/>
        <w:jc w:val="both"/>
        <w:rPr>
          <w:color w:val="000000" w:themeColor="text1"/>
          <w:sz w:val="16"/>
          <w:szCs w:val="16"/>
        </w:rPr>
      </w:pPr>
    </w:p>
    <w:p w14:paraId="6D7BC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года второй самолет Пе-8ОН №42612 начал проходить заводские контрольные испытания (7685).</w:t>
      </w:r>
    </w:p>
    <w:p w14:paraId="406E406E" w14:textId="77777777" w:rsidR="00665165" w:rsidRPr="00925F26" w:rsidRDefault="00665165" w:rsidP="00925F26">
      <w:pPr>
        <w:autoSpaceDE w:val="0"/>
        <w:autoSpaceDN w:val="0"/>
        <w:adjustRightInd w:val="0"/>
        <w:jc w:val="both"/>
        <w:rPr>
          <w:color w:val="000000" w:themeColor="text1"/>
          <w:sz w:val="16"/>
          <w:szCs w:val="16"/>
        </w:rPr>
      </w:pPr>
    </w:p>
    <w:p w14:paraId="60AA89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завод 22 заложил серию суперпешек, взяв за прототип Пе-2М (2471,40).</w:t>
      </w:r>
    </w:p>
    <w:p w14:paraId="096A405C" w14:textId="77777777" w:rsidR="00665165" w:rsidRPr="00925F26" w:rsidRDefault="00665165" w:rsidP="00925F26">
      <w:pPr>
        <w:autoSpaceDE w:val="0"/>
        <w:autoSpaceDN w:val="0"/>
        <w:adjustRightInd w:val="0"/>
        <w:jc w:val="both"/>
        <w:rPr>
          <w:color w:val="000000" w:themeColor="text1"/>
          <w:sz w:val="16"/>
          <w:szCs w:val="16"/>
        </w:rPr>
      </w:pPr>
    </w:p>
    <w:p w14:paraId="4C33A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энергичный Мясищев добился приказа по заводу о запуске войсковой серии Пе-2И (первые две по пять машин, третья десять и последующие по двадцать.). А на второй квартал планировалось выпустить целых 16 машин. В марте завод должен был предоставить на государственные испытания Пе-2И, а в апреле Пе-2 с ВК-108 и увеличенным бомбовым отсеком. В связи с этим завод № 26 обязался передать Мясищеву четыре двигателя ВК-108 и три ВК-107А. Летчиком-испытателем Пе-2 с ВК-108 (ДБ) на первый заводской вылет назначался Васильченко.</w:t>
      </w:r>
    </w:p>
    <w:p w14:paraId="759DEF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под Москвой на заводе № 482 готовились к мартовским испытаниям Пе-2 с ВК-107А под управлением пилота Опадчего Ф.Ф.</w:t>
      </w:r>
    </w:p>
    <w:p w14:paraId="46F41D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Казани же испытания подобного самолета проводил Пальчиков А.С., который за испытательный полет 25 апреля смог заработать и благодарность и премию. На высоте 4,5 км загорелся левый двигатель, но летчик сумел посадить машину на аэродром и с ведущим инженером Лашкевичем Е.В. потушить пожар (12049).</w:t>
      </w:r>
    </w:p>
    <w:p w14:paraId="1E1E5336" w14:textId="77777777" w:rsidR="00665165" w:rsidRPr="00925F26" w:rsidRDefault="00665165" w:rsidP="00925F26">
      <w:pPr>
        <w:autoSpaceDE w:val="0"/>
        <w:autoSpaceDN w:val="0"/>
        <w:adjustRightInd w:val="0"/>
        <w:jc w:val="both"/>
        <w:rPr>
          <w:color w:val="000000" w:themeColor="text1"/>
          <w:sz w:val="16"/>
          <w:szCs w:val="16"/>
        </w:rPr>
      </w:pPr>
    </w:p>
    <w:p w14:paraId="0C6AF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состоялась макетная комиссия по ВБ-108 В.М.М. с высотной ГК и впервые в СССР с установкой по обогреву ГК (2471,43).</w:t>
      </w:r>
    </w:p>
    <w:p w14:paraId="7FE45CB8" w14:textId="77777777" w:rsidR="00665165" w:rsidRPr="00925F26" w:rsidRDefault="00665165" w:rsidP="00925F26">
      <w:pPr>
        <w:autoSpaceDE w:val="0"/>
        <w:autoSpaceDN w:val="0"/>
        <w:adjustRightInd w:val="0"/>
        <w:jc w:val="both"/>
        <w:rPr>
          <w:color w:val="000000" w:themeColor="text1"/>
          <w:sz w:val="16"/>
          <w:szCs w:val="16"/>
        </w:rPr>
      </w:pPr>
    </w:p>
    <w:p w14:paraId="76C60B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ли И.Е.Голофастов на Bf 109G-6 определял незащищенные зоны Ту-2 и писал: “Атаки возможны спереди под углами к продольной оси самолета от до 60 гр. и снизу с кабрирования под углом 30-50 гр. Прицельные атаки возможны только одной очередью, при этом уход от и возможен без поражения. Атакис спереди-сбоку для и вполне возможны, но несколько сложнее, чем атака на одной высоте сбоку. При атаках снизу-сбоку под углами кабрирования 30 гр. и более экипажу б трудно заметить атакующего.</w:t>
      </w:r>
    </w:p>
    <w:p w14:paraId="26BC0B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Атаки сзади снизу возможны под углом 20-50 гр. Относительно продольной оси б. При всех атаках огонь открывается с дистанции 200-600 м.</w:t>
      </w:r>
    </w:p>
    <w:p w14:paraId="17059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Атаки Ту-2 в задней полусфере лучше всего вести сзади-сбоку с кабрирования, учитывая расположение оружия на б.” В заключении НИИ ВВС отмечалось, что несмотря на многократное выявление одних и тех же дефектов при испытаниях и в ходе эксплуатации Ту-2 в строевых частях, большая часть дефектов до сих пор не устранена (4407,5).</w:t>
      </w:r>
    </w:p>
    <w:p w14:paraId="4B9468F9" w14:textId="77777777" w:rsidR="00665165" w:rsidRPr="00925F26" w:rsidRDefault="00665165" w:rsidP="00925F26">
      <w:pPr>
        <w:autoSpaceDE w:val="0"/>
        <w:autoSpaceDN w:val="0"/>
        <w:adjustRightInd w:val="0"/>
        <w:jc w:val="both"/>
        <w:rPr>
          <w:color w:val="000000" w:themeColor="text1"/>
          <w:sz w:val="16"/>
          <w:szCs w:val="16"/>
        </w:rPr>
      </w:pPr>
    </w:p>
    <w:p w14:paraId="178BF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года летчик-испытатель И.Е. Голофастов, летавший на истребителе Bf 109G-6, провел воздушный бой с Ту-2С № 16/7. 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командование НИИ ВВС определить наиболее незащищенные зоны передней полусферы, необходимые для установки дополнительного оборонительного вооружения. Голофастов отмечал:</w:t>
      </w:r>
    </w:p>
    <w:p w14:paraId="6EEC5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"Атаки Ме-109Г-6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7CF261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79A238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Атаки Ту-2 в задней полусфере лучше всего вести сзади-сбоку с кабрирования, учитывая расположение оружия на самолете".</w:t>
      </w:r>
    </w:p>
    <w:p w14:paraId="5F599E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0C31F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72E98C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04C220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НИИ ВВС по результатам испытаний десяти самолетов отмечалось, в частности:</w:t>
      </w:r>
    </w:p>
    <w:p w14:paraId="266B13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характеристики модифицированных Ту-2 соответствуют техническим условиям на их поставку ВВС.</w:t>
      </w:r>
    </w:p>
    <w:p w14:paraId="74DA48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752CFFEB" w14:textId="77777777" w:rsidR="00665165" w:rsidRPr="00925F26" w:rsidRDefault="00665165" w:rsidP="00925F26">
      <w:pPr>
        <w:autoSpaceDE w:val="0"/>
        <w:autoSpaceDN w:val="0"/>
        <w:adjustRightInd w:val="0"/>
        <w:jc w:val="both"/>
        <w:rPr>
          <w:color w:val="000000" w:themeColor="text1"/>
          <w:sz w:val="16"/>
          <w:szCs w:val="16"/>
        </w:rPr>
      </w:pPr>
    </w:p>
    <w:p w14:paraId="22E9A374" w14:textId="77777777" w:rsidR="00425843" w:rsidRPr="001A0BAA" w:rsidRDefault="00425843" w:rsidP="00425843">
      <w:pPr>
        <w:jc w:val="both"/>
        <w:rPr>
          <w:color w:val="0070C0"/>
          <w:sz w:val="16"/>
          <w:szCs w:val="16"/>
        </w:rPr>
      </w:pPr>
      <w:r w:rsidRPr="001A0BAA">
        <w:rPr>
          <w:color w:val="0070C0"/>
          <w:sz w:val="16"/>
          <w:szCs w:val="16"/>
        </w:rPr>
        <w:t>В феврале 1945 года летчик-испытатель И.Е. Голофастов, летавший на истребителе Bf 109G-6 и проведший воздушный бой с Ту-2 № 16/7, отмечал:</w:t>
      </w:r>
    </w:p>
    <w:p w14:paraId="783050CF" w14:textId="77777777" w:rsidR="00425843" w:rsidRPr="001A0BAA" w:rsidRDefault="00425843" w:rsidP="00425843">
      <w:pPr>
        <w:jc w:val="both"/>
        <w:rPr>
          <w:color w:val="0070C0"/>
          <w:sz w:val="16"/>
          <w:szCs w:val="16"/>
        </w:rPr>
      </w:pPr>
      <w:r w:rsidRPr="001A0BAA">
        <w:rPr>
          <w:color w:val="0070C0"/>
          <w:sz w:val="16"/>
          <w:szCs w:val="16"/>
        </w:rPr>
        <w:t>«Атаки Me-109Г-6 возможны спереди под углами к продольной оси самолета от 20 до 60 градусов и снизу с кабрирования под углами 30 50 градусов. Прицельные атаки возможны только одной очередью, при этом уход истребителя возможен без поражения. Атаки спе</w:t>
      </w:r>
      <w:r w:rsidRPr="001A0BAA">
        <w:rPr>
          <w:color w:val="0070C0"/>
          <w:sz w:val="16"/>
          <w:szCs w:val="16"/>
        </w:rPr>
        <w:softHyphen/>
        <w:t>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w:t>
      </w:r>
      <w:r w:rsidRPr="001A0BAA">
        <w:rPr>
          <w:color w:val="0070C0"/>
          <w:sz w:val="16"/>
          <w:szCs w:val="16"/>
        </w:rPr>
        <w:softHyphen/>
        <w:t>пажу бомбардировщика трудно заметить атакующего.</w:t>
      </w:r>
    </w:p>
    <w:p w14:paraId="709913D3" w14:textId="77777777" w:rsidR="00425843" w:rsidRPr="001A0BAA" w:rsidRDefault="00425843" w:rsidP="00425843">
      <w:pPr>
        <w:jc w:val="both"/>
        <w:rPr>
          <w:color w:val="0070C0"/>
          <w:sz w:val="16"/>
          <w:szCs w:val="16"/>
        </w:rPr>
      </w:pPr>
      <w:r w:rsidRPr="001A0BAA">
        <w:rPr>
          <w:color w:val="0070C0"/>
          <w:sz w:val="16"/>
          <w:szCs w:val="16"/>
        </w:rPr>
        <w:t>Атаки сзади-снизу возможны под углами 20 50 градусов относительно продольной оси бомбардировщика. При всех атаках огонь открывался с дистанции 200 600 м.</w:t>
      </w:r>
    </w:p>
    <w:p w14:paraId="3B9A84F5" w14:textId="77777777" w:rsidR="00425843" w:rsidRPr="001A0BAA" w:rsidRDefault="00425843" w:rsidP="00425843">
      <w:pPr>
        <w:jc w:val="both"/>
        <w:rPr>
          <w:color w:val="0070C0"/>
          <w:sz w:val="16"/>
          <w:szCs w:val="16"/>
        </w:rPr>
      </w:pPr>
      <w:r w:rsidRPr="001A0BAA">
        <w:rPr>
          <w:color w:val="0070C0"/>
          <w:sz w:val="16"/>
          <w:szCs w:val="16"/>
        </w:rPr>
        <w:t>Атаки Ту-2 в задней полусфере лучше всего вести сзади-сбоку с кабрирования, учиты</w:t>
      </w:r>
      <w:r w:rsidRPr="001A0BAA">
        <w:rPr>
          <w:color w:val="0070C0"/>
          <w:sz w:val="16"/>
          <w:szCs w:val="16"/>
        </w:rPr>
        <w:softHyphen/>
        <w:t>вая расположение оружия на бомбардировщике».</w:t>
      </w:r>
    </w:p>
    <w:p w14:paraId="31EB75DC" w14:textId="77777777" w:rsidR="00425843" w:rsidRPr="001A0BAA" w:rsidRDefault="00425843" w:rsidP="00425843">
      <w:pPr>
        <w:jc w:val="both"/>
        <w:rPr>
          <w:color w:val="0070C0"/>
          <w:sz w:val="16"/>
          <w:szCs w:val="16"/>
        </w:rPr>
      </w:pPr>
      <w:r w:rsidRPr="001A0BAA">
        <w:rPr>
          <w:color w:val="0070C0"/>
          <w:sz w:val="16"/>
          <w:szCs w:val="16"/>
        </w:rPr>
        <w:t>Испытания велись в связи с тем, что Туполев принял решение установить дополнительную огневую точку для нижней полусферы само</w:t>
      </w:r>
      <w:r w:rsidRPr="001A0BAA">
        <w:rPr>
          <w:color w:val="0070C0"/>
          <w:sz w:val="16"/>
          <w:szCs w:val="16"/>
        </w:rPr>
        <w:softHyphen/>
        <w:t>лета Ту-2 и попросил командование НИИ ВВС определить наиболее незащищенные зоны перед</w:t>
      </w:r>
      <w:r w:rsidRPr="001A0BAA">
        <w:rPr>
          <w:color w:val="0070C0"/>
          <w:sz w:val="16"/>
          <w:szCs w:val="16"/>
        </w:rPr>
        <w:softHyphen/>
        <w:t>ней полусферы, необходимые для установки дополнительного оборонительного вооруже</w:t>
      </w:r>
      <w:r w:rsidRPr="001A0BAA">
        <w:rPr>
          <w:color w:val="0070C0"/>
          <w:sz w:val="16"/>
          <w:szCs w:val="16"/>
        </w:rPr>
        <w:softHyphen/>
        <w:t>ния (24991).</w:t>
      </w:r>
    </w:p>
    <w:p w14:paraId="31153E02" w14:textId="77777777" w:rsidR="00425843" w:rsidRPr="001A0BAA" w:rsidRDefault="00425843" w:rsidP="00425843">
      <w:pPr>
        <w:jc w:val="both"/>
        <w:rPr>
          <w:color w:val="0070C0"/>
          <w:sz w:val="16"/>
          <w:szCs w:val="16"/>
        </w:rPr>
      </w:pPr>
    </w:p>
    <w:p w14:paraId="5A62C7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на испытания вышел Ту-2Т (561,30) и совместные испытания шли до марта (4,187).</w:t>
      </w:r>
    </w:p>
    <w:p w14:paraId="1A882C42" w14:textId="77777777" w:rsidR="00665165" w:rsidRPr="00925F26" w:rsidRDefault="00665165" w:rsidP="00925F26">
      <w:pPr>
        <w:autoSpaceDE w:val="0"/>
        <w:autoSpaceDN w:val="0"/>
        <w:adjustRightInd w:val="0"/>
        <w:jc w:val="both"/>
        <w:rPr>
          <w:color w:val="000000" w:themeColor="text1"/>
          <w:sz w:val="16"/>
          <w:szCs w:val="16"/>
        </w:rPr>
      </w:pPr>
    </w:p>
    <w:p w14:paraId="7516AD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феврале 1945 вы</w:t>
      </w:r>
      <w:r w:rsidRPr="00925F26">
        <w:rPr>
          <w:color w:val="000000" w:themeColor="text1"/>
          <w:sz w:val="16"/>
          <w:szCs w:val="16"/>
        </w:rPr>
        <w:softHyphen/>
        <w:t>яснилось, что фанерная обшивка НВ (Т)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925F26">
        <w:rPr>
          <w:color w:val="000000" w:themeColor="text1"/>
          <w:sz w:val="16"/>
          <w:szCs w:val="16"/>
        </w:rPr>
        <w:softHyphen/>
        <w:t>го сделать по причине секретности машины и в марте 1945 г. НБ разобрали (10667).</w:t>
      </w:r>
    </w:p>
    <w:p w14:paraId="01FD8E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74ED7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1945-го, проанализировав ситуацию, ОКБ А.С.Яковлева выпустило в инициативном порядке связной Як-13, имевший первоначально обозначение Як-12, которое впоследствии носил совершенно другой аппарат. Следуя уже сложившейся доброй традиции, ОКБ разработало машину многоцелевую: война явно шла к концу, и хороший лимузин мог потребоваться во многих случаях.</w:t>
      </w:r>
    </w:p>
    <w:p w14:paraId="26AF12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Як-13 представлял собой связной пассажирский моноплан, имеющий комфортабельную кабину с мягкими креслами и отделением для багажа. Он снабжен убирающимся шасси, ориентирующимся и стопорящимся хвостовым колесом, посадочным щитком, тормозами, воздушным самопуском двигателя.</w:t>
      </w:r>
    </w:p>
    <w:p w14:paraId="255D6C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Як-13, благодаря высокой скорости и надежному двигателю, можно было использовать и для воздушных сообщений на линиях, ще применение больших двухмоторных самолетов неэкономично, а порой и невозможно.</w:t>
      </w:r>
    </w:p>
    <w:p w14:paraId="0C28F4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Як-13 проектировался в 1944-м под руководством ведущего инженера К.Синельщикова. Вначале предполагался двигатель М.Коссова М-12 мощностью 190 л.с., но пришлось установить обычный М-11ФМ в 145 л.с. с винтом ВИШ-327, так как М-12 был еще не готов (6411).</w:t>
      </w:r>
    </w:p>
    <w:p w14:paraId="1A3F6140" w14:textId="77777777" w:rsidR="00665165" w:rsidRPr="00925F26" w:rsidRDefault="00665165" w:rsidP="00925F26">
      <w:pPr>
        <w:autoSpaceDE w:val="0"/>
        <w:autoSpaceDN w:val="0"/>
        <w:adjustRightInd w:val="0"/>
        <w:jc w:val="both"/>
        <w:rPr>
          <w:color w:val="000000" w:themeColor="text1"/>
          <w:sz w:val="16"/>
          <w:szCs w:val="16"/>
        </w:rPr>
      </w:pPr>
    </w:p>
    <w:p w14:paraId="5CEA1649" w14:textId="77777777" w:rsidR="00425843" w:rsidRPr="001A0BAA" w:rsidRDefault="00425843" w:rsidP="00425843">
      <w:pPr>
        <w:jc w:val="both"/>
        <w:rPr>
          <w:color w:val="0070C0"/>
          <w:sz w:val="16"/>
          <w:szCs w:val="16"/>
        </w:rPr>
      </w:pPr>
      <w:r w:rsidRPr="001A0BAA">
        <w:rPr>
          <w:color w:val="0070C0"/>
          <w:sz w:val="16"/>
          <w:szCs w:val="16"/>
        </w:rPr>
        <w:t>В феврале 1945 г. выяснилось, что фанерная обшивка НБ с моторами М-82ФНВ начала ветшать — кое-где трескалась и коробилась. По указанию НКАП испытания были прекращены. Самолет хотели передать в МАИ для учебных целей, но наркомат не разрешил этого сделать по причине секретности машины, и в марте 1945 г. НБ был разобран (25035).</w:t>
      </w:r>
    </w:p>
    <w:p w14:paraId="1B65CE81" w14:textId="77777777" w:rsidR="00425843" w:rsidRPr="001A0BAA" w:rsidRDefault="00425843" w:rsidP="00425843">
      <w:pPr>
        <w:jc w:val="both"/>
        <w:rPr>
          <w:color w:val="0070C0"/>
          <w:sz w:val="16"/>
          <w:szCs w:val="16"/>
        </w:rPr>
      </w:pPr>
    </w:p>
    <w:p w14:paraId="0C828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1945-го Яковлев докладывал в Наркомат авиационной промышленности о готовности Як-13 к первому полету. В это время самолет все еще называли "Як-12" или "пассажирский низкоплан №12" (6411).</w:t>
      </w:r>
    </w:p>
    <w:p w14:paraId="060B22D7" w14:textId="77777777" w:rsidR="00665165" w:rsidRPr="00925F26" w:rsidRDefault="00665165" w:rsidP="00925F26">
      <w:pPr>
        <w:autoSpaceDE w:val="0"/>
        <w:autoSpaceDN w:val="0"/>
        <w:adjustRightInd w:val="0"/>
        <w:jc w:val="both"/>
        <w:rPr>
          <w:color w:val="000000" w:themeColor="text1"/>
          <w:sz w:val="16"/>
          <w:szCs w:val="16"/>
        </w:rPr>
      </w:pPr>
    </w:p>
    <w:p w14:paraId="7444577C" w14:textId="77777777" w:rsidR="00327D90" w:rsidRPr="00925F26" w:rsidRDefault="00327D90" w:rsidP="00925F26">
      <w:pPr>
        <w:pStyle w:val="rtejustify"/>
        <w:shd w:val="clear" w:color="auto" w:fill="FFFFFF"/>
        <w:spacing w:before="0" w:after="0"/>
        <w:rPr>
          <w:color w:val="000000" w:themeColor="text1"/>
          <w:sz w:val="16"/>
          <w:szCs w:val="16"/>
        </w:rPr>
      </w:pPr>
      <w:r w:rsidRPr="00925F26">
        <w:rPr>
          <w:color w:val="000000" w:themeColor="text1"/>
          <w:sz w:val="16"/>
          <w:szCs w:val="16"/>
        </w:rPr>
        <w:t>В феврале 1945 был испытан ФВ-190Д-9. Несомненный интерес вызвало знакомство с отдельными узлами и агрегатами. На этом “фоккере” вместо обычного БМВ-801Д воздушного охлаждения стоял новый ЮМО-213А жидкостного охлаждения. Замена мотора удлинила самолет (с 8950 мм до 10 380 мм), за что наши летчики называли его “длинноносым”.</w:t>
      </w:r>
    </w:p>
    <w:p w14:paraId="7CDD37E3" w14:textId="77777777" w:rsidR="00327D90" w:rsidRPr="00925F26" w:rsidRDefault="00327D90" w:rsidP="00925F26">
      <w:pPr>
        <w:pStyle w:val="rtejustify"/>
        <w:shd w:val="clear" w:color="auto" w:fill="FFFFFF"/>
        <w:spacing w:before="0" w:after="0"/>
        <w:rPr>
          <w:color w:val="000000" w:themeColor="text1"/>
          <w:sz w:val="16"/>
          <w:szCs w:val="16"/>
        </w:rPr>
      </w:pPr>
      <w:r w:rsidRPr="00925F26">
        <w:rPr>
          <w:color w:val="000000" w:themeColor="text1"/>
          <w:sz w:val="16"/>
          <w:szCs w:val="16"/>
        </w:rPr>
        <w:t>Представляли интерес навигационная приставка к радиостанции, деревянный винт с малой относительной толщиной, электротермическое антиобледенительное устройство.</w:t>
      </w:r>
    </w:p>
    <w:p w14:paraId="4DB60BCE" w14:textId="77777777" w:rsidR="00327D90" w:rsidRPr="00925F26" w:rsidRDefault="00327D90" w:rsidP="00925F26">
      <w:pPr>
        <w:pStyle w:val="rtejustify"/>
        <w:shd w:val="clear" w:color="auto" w:fill="FFFFFF"/>
        <w:spacing w:before="0" w:after="0"/>
        <w:rPr>
          <w:color w:val="000000" w:themeColor="text1"/>
          <w:sz w:val="16"/>
          <w:szCs w:val="16"/>
        </w:rPr>
      </w:pPr>
      <w:r w:rsidRPr="00925F26">
        <w:rPr>
          <w:color w:val="000000" w:themeColor="text1"/>
          <w:sz w:val="16"/>
          <w:szCs w:val="16"/>
        </w:rPr>
        <w:t>Летчик В. Голофастов при весе самолета 4197 кг за 5,6 мин достиг высоты 5000 м; на ней максимальная скорость составляла 624 км/ч. До высоты 5500 м серийный Як-3 имел ощутимый перевес в скорости и скороподъемности (19179).</w:t>
      </w:r>
    </w:p>
    <w:p w14:paraId="5BEFBFEA" w14:textId="77777777" w:rsidR="00327D90" w:rsidRPr="00925F26" w:rsidRDefault="00327D90" w:rsidP="00925F26">
      <w:pPr>
        <w:pStyle w:val="rtejustify"/>
        <w:shd w:val="clear" w:color="auto" w:fill="FFFFFF"/>
        <w:spacing w:before="0" w:after="0"/>
        <w:rPr>
          <w:color w:val="000000" w:themeColor="text1"/>
          <w:sz w:val="16"/>
          <w:szCs w:val="16"/>
        </w:rPr>
      </w:pPr>
    </w:p>
    <w:p w14:paraId="17A26B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1945 г. в ОКБ-155 в инициативном порядке с целью проверки устойчивости и управляемости аэродинамической схемы "Утка" в воздухе, изучения работы крыла большой стреловидности и отработки трехколесного шасси с передней опорой с проработки компоновки начались работы над экспериментальной машиной начали. В проектировании "Утки" активное участие принимали Н.И.Андрианов, Н.З.Матюк, К.В.Пеленберг, Я.И.Селецкий и А.А.Чумаченко. По расчетам МиГ-8 должен был иметь максимальную скорость 240 км/ч, что подтвердила продувка его модели з аэродинамической трубе Т-102 ЦАГИ. Однако вследствие невозможности получения в трубе Т-102 точных характеристик самолета в отношении его поведения на околокритических режимах, специалисты ЦАГИ рекомендовали первые полеты провордить с установленными концевыми фиксированными предкрылками, имеющими размах не менее размаха элеронов. В заключении о возможности первого вылета (в части аэродинамики), составленным инженером лаборатории №1 ЦАГИ В.Н.Матвеевым, было отмечено, что выход на критические режимы в процессе испытаний самолета следует избегать, так как в отношении штопорных свойств схема "Утка", по его мнению, была очень неблагополучной. </w:t>
      </w:r>
      <w:proofErr w:type="gramStart"/>
      <w:r w:rsidRPr="00925F26">
        <w:rPr>
          <w:color w:val="000000" w:themeColor="text1"/>
          <w:sz w:val="16"/>
          <w:szCs w:val="16"/>
        </w:rPr>
        <w:t>Расчет</w:t>
      </w:r>
      <w:proofErr w:type="gramEnd"/>
      <w:r w:rsidRPr="00925F26">
        <w:rPr>
          <w:color w:val="000000" w:themeColor="text1"/>
          <w:sz w:val="16"/>
          <w:szCs w:val="16"/>
        </w:rPr>
        <w:t xml:space="preserve"> проведенный по результатам частотных испытаний дал значение критической скорости равной 328 км/ч, после чего была разрешена эксплуатация самолета МиГ-8 до скорости 270 км/ч по прибору. Статические испытания самолета провели до эксплуатационной нагрузки, составляющей 67% от разрушающей (6000).</w:t>
      </w:r>
    </w:p>
    <w:p w14:paraId="4CFAFCAE" w14:textId="77777777" w:rsidR="00665165" w:rsidRPr="00925F26" w:rsidRDefault="00665165" w:rsidP="00925F26">
      <w:pPr>
        <w:autoSpaceDE w:val="0"/>
        <w:autoSpaceDN w:val="0"/>
        <w:adjustRightInd w:val="0"/>
        <w:jc w:val="both"/>
        <w:rPr>
          <w:color w:val="000000" w:themeColor="text1"/>
          <w:sz w:val="16"/>
          <w:szCs w:val="16"/>
        </w:rPr>
      </w:pPr>
    </w:p>
    <w:p w14:paraId="53BC7048" w14:textId="77777777" w:rsidR="00327D90" w:rsidRPr="00925F26" w:rsidRDefault="00327D90" w:rsidP="00925F26">
      <w:pPr>
        <w:jc w:val="both"/>
        <w:rPr>
          <w:color w:val="000000" w:themeColor="text1"/>
          <w:sz w:val="16"/>
          <w:szCs w:val="16"/>
        </w:rPr>
      </w:pPr>
      <w:r w:rsidRPr="00925F26">
        <w:rPr>
          <w:color w:val="000000" w:themeColor="text1"/>
          <w:sz w:val="16"/>
          <w:szCs w:val="16"/>
        </w:rPr>
        <w:t xml:space="preserve">В феврале 1945 г. в ОКБ А. И. Микояна в инициативном порядке приступило к проектированию экспериментального самолета МиГ-8 с целью проверки устойчивости и управляемости аэродинамической схемы «утка» в воздухе, изучения работы крыла большой стреловидности и отработки трехколесного шасси с передней опорой. По расчетам самолет должен был иметь максимальную скорость 240 км/ч, что подтвердила продувка его модели в аэродинамической трубе </w:t>
      </w:r>
      <w:proofErr w:type="gramStart"/>
      <w:r w:rsidRPr="00925F26">
        <w:rPr>
          <w:color w:val="000000" w:themeColor="text1"/>
          <w:sz w:val="16"/>
          <w:szCs w:val="16"/>
        </w:rPr>
        <w:t>Т-102 Однако</w:t>
      </w:r>
      <w:proofErr w:type="gramEnd"/>
      <w:r w:rsidRPr="00925F26">
        <w:rPr>
          <w:color w:val="000000" w:themeColor="text1"/>
          <w:sz w:val="16"/>
          <w:szCs w:val="16"/>
        </w:rPr>
        <w:t xml:space="preserve"> вследствие невозможности получения в трубе Т-102 точных характеристик самолета в отношении его поведения на околокритических режимах, специалисты ЦАГИ рекомендовали первые полеты проводить с установленными концевыми фиксированными предкрылками, имеющими размах не менее размаха элеронов. В заключении о возможности первого вылета (в части аэродинамики), составленным инженером лаборатории № 1 ЦАГИ В. Н. Мат веевым, было отмечено, что выход на критические режимы в процессе испытаний самолета следует избегать, так как в отношении штопорных свойств схема «утка», по его мнению, была очень неблагополучной. </w:t>
      </w:r>
      <w:proofErr w:type="gramStart"/>
      <w:r w:rsidRPr="00925F26">
        <w:rPr>
          <w:color w:val="000000" w:themeColor="text1"/>
          <w:sz w:val="16"/>
          <w:szCs w:val="16"/>
        </w:rPr>
        <w:t>Расчет</w:t>
      </w:r>
      <w:proofErr w:type="gramEnd"/>
      <w:r w:rsidRPr="00925F26">
        <w:rPr>
          <w:color w:val="000000" w:themeColor="text1"/>
          <w:sz w:val="16"/>
          <w:szCs w:val="16"/>
        </w:rPr>
        <w:t xml:space="preserve"> проведенный по результатам частотных испытаний дал значение критической скорости равной 328 км/ч, после чего была разрешена эксплуатация самолета МиГ-8 до скорости 270 км/ч по прибору. Статические испытания самолета провели до эксплуатационной нагрузки, составляющей 67% от разрушающей (19727).</w:t>
      </w:r>
    </w:p>
    <w:p w14:paraId="7F2C6886" w14:textId="77777777" w:rsidR="00327D90" w:rsidRPr="00925F26" w:rsidRDefault="00327D90" w:rsidP="00925F26">
      <w:pPr>
        <w:jc w:val="both"/>
        <w:rPr>
          <w:color w:val="000000" w:themeColor="text1"/>
          <w:sz w:val="16"/>
          <w:szCs w:val="16"/>
        </w:rPr>
      </w:pPr>
    </w:p>
    <w:p w14:paraId="65B2CBDF" w14:textId="77777777" w:rsidR="005903DB" w:rsidRPr="00925F26" w:rsidRDefault="005903DB" w:rsidP="00925F26">
      <w:pPr>
        <w:jc w:val="both"/>
        <w:rPr>
          <w:color w:val="000000" w:themeColor="text1"/>
          <w:sz w:val="16"/>
          <w:szCs w:val="16"/>
        </w:rPr>
      </w:pPr>
      <w:r w:rsidRPr="00925F26">
        <w:rPr>
          <w:color w:val="000000" w:themeColor="text1"/>
          <w:sz w:val="16"/>
          <w:szCs w:val="16"/>
        </w:rPr>
        <w:t xml:space="preserve">В феврале 1945 по инициативе главного конструктора в бригаде проектов, возглавляемой Н.З. Матюком, началась проработка компоновки самолёта «У». Заниматься этим поручили Н.И. Андрианову и К.В. Пеленбергу. На них же возложили проработку общего вида машины. Аэродинамический расчёт, а также расчёты продольной статической устойчивости, взлётной дистанции и посадочной скорости поручили провести] М.Е. Житомирскому. Активное участие в разработке экспериментального самолёта приняли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Блок, Т.А. Малькова, Я.И. Селецкий и А.А. Чумаченко.</w:t>
      </w:r>
    </w:p>
    <w:p w14:paraId="17441922" w14:textId="77777777" w:rsidR="005903DB" w:rsidRPr="00925F26" w:rsidRDefault="005903DB" w:rsidP="00925F26">
      <w:pPr>
        <w:jc w:val="both"/>
        <w:rPr>
          <w:color w:val="000000" w:themeColor="text1"/>
          <w:sz w:val="16"/>
          <w:szCs w:val="16"/>
        </w:rPr>
      </w:pPr>
      <w:r w:rsidRPr="00925F26">
        <w:rPr>
          <w:color w:val="000000" w:themeColor="text1"/>
          <w:sz w:val="16"/>
          <w:szCs w:val="16"/>
        </w:rPr>
        <w:t>Основным назначением «Утки» была оценка устойчивости и управляемости машин данной аэродинамической схемы в воздухе и проверка работы крыла большой стреловидности. Для более удобного изучения поставленных задач «Утку» запроектировали трёхместной: одно место пилота и два пассажирских. Чтобы упростить постройку самолёта в качестве силовой установки выбрали мотор воздушного охлаждения М-11ФМ с толкающим винтом постоянного шага. В свою очередь, применение на машине такой силовой установки по</w:t>
      </w:r>
      <w:r w:rsidRPr="00925F26">
        <w:rPr>
          <w:color w:val="000000" w:themeColor="text1"/>
          <w:sz w:val="16"/>
          <w:szCs w:val="16"/>
        </w:rPr>
        <w:softHyphen/>
        <w:t>зволяло проверить её управляемость на малых скоростях при отсутствии обдува крыла вин</w:t>
      </w:r>
      <w:r w:rsidRPr="00925F26">
        <w:rPr>
          <w:color w:val="000000" w:themeColor="text1"/>
          <w:sz w:val="16"/>
          <w:szCs w:val="16"/>
        </w:rPr>
        <w:softHyphen/>
        <w:t>том. Как отметили в пояснительной записке А.И. Микоян и М.И. Гуревич:</w:t>
      </w:r>
      <w:r w:rsidRPr="00925F26">
        <w:rPr>
          <w:rStyle w:val="aff6"/>
          <w:rFonts w:ascii="Times New Roman" w:eastAsia="Arial Narrow" w:hAnsi="Times New Roman" w:cs="Times New Roman"/>
          <w:i w:val="0"/>
          <w:color w:val="000000" w:themeColor="text1"/>
        </w:rPr>
        <w:t xml:space="preserve"> «Это представляет </w:t>
      </w:r>
      <w:r w:rsidRPr="00925F26">
        <w:rPr>
          <w:color w:val="000000" w:themeColor="text1"/>
          <w:sz w:val="16"/>
          <w:szCs w:val="16"/>
        </w:rPr>
        <w:t>интерес для самолётов с чисто реактивными дви</w:t>
      </w:r>
      <w:r w:rsidRPr="00925F26">
        <w:rPr>
          <w:color w:val="000000" w:themeColor="text1"/>
          <w:sz w:val="16"/>
          <w:szCs w:val="16"/>
        </w:rPr>
        <w:softHyphen/>
        <w:t>гателями. Эксплуатация этого самолёта позволит изучить вопросы, связан</w:t>
      </w:r>
      <w:r w:rsidRPr="00925F26">
        <w:rPr>
          <w:color w:val="000000" w:themeColor="text1"/>
          <w:sz w:val="16"/>
          <w:szCs w:val="16"/>
        </w:rPr>
        <w:softHyphen/>
        <w:t>ные с управляемостью самолёта на земле и во</w:t>
      </w:r>
      <w:r w:rsidRPr="00925F26">
        <w:rPr>
          <w:color w:val="000000" w:themeColor="text1"/>
          <w:sz w:val="16"/>
          <w:szCs w:val="16"/>
        </w:rPr>
        <w:softHyphen/>
        <w:t>просы взлёта и посадки (заход на второй круг) в условиях отсутствия об</w:t>
      </w:r>
      <w:r w:rsidRPr="00925F26">
        <w:rPr>
          <w:color w:val="000000" w:themeColor="text1"/>
          <w:sz w:val="16"/>
          <w:szCs w:val="16"/>
        </w:rPr>
        <w:softHyphen/>
        <w:t>дувки винтом органов управления» (15848).</w:t>
      </w:r>
    </w:p>
    <w:p w14:paraId="2A84EF24" w14:textId="77777777" w:rsidR="005903DB" w:rsidRPr="00925F26" w:rsidRDefault="005903DB" w:rsidP="00925F26">
      <w:pPr>
        <w:jc w:val="both"/>
        <w:rPr>
          <w:color w:val="000000" w:themeColor="text1"/>
          <w:sz w:val="16"/>
          <w:szCs w:val="16"/>
        </w:rPr>
      </w:pPr>
    </w:p>
    <w:p w14:paraId="48D6FD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Боровков в составе комиссии авиаспециалистов, возглавляемой генералом П.И.Федоровым, был откомандирован в прифронтовую полосу для осмотра останков сбитых немецких реактивных самолетов. Под Киевом самолет комиссии потерпел катастрофу. Экипаж и все пассажиры, среди которых находился Алексей Андреевич Боровков, погибли (3453).</w:t>
      </w:r>
    </w:p>
    <w:p w14:paraId="7ADA9871" w14:textId="77777777" w:rsidR="00665165" w:rsidRPr="00925F26" w:rsidRDefault="00665165" w:rsidP="00925F26">
      <w:pPr>
        <w:autoSpaceDE w:val="0"/>
        <w:autoSpaceDN w:val="0"/>
        <w:adjustRightInd w:val="0"/>
        <w:jc w:val="both"/>
        <w:rPr>
          <w:color w:val="000000" w:themeColor="text1"/>
          <w:sz w:val="16"/>
          <w:szCs w:val="16"/>
        </w:rPr>
      </w:pPr>
    </w:p>
    <w:p w14:paraId="41EF483B" w14:textId="77777777" w:rsidR="00DF1ED7" w:rsidRPr="00925F26" w:rsidRDefault="00DF1ED7" w:rsidP="00925F26">
      <w:pPr>
        <w:jc w:val="both"/>
        <w:rPr>
          <w:color w:val="000000" w:themeColor="text1"/>
          <w:sz w:val="16"/>
          <w:szCs w:val="16"/>
        </w:rPr>
      </w:pPr>
      <w:r w:rsidRPr="00925F26">
        <w:rPr>
          <w:color w:val="000000" w:themeColor="text1"/>
          <w:sz w:val="16"/>
          <w:szCs w:val="16"/>
        </w:rPr>
        <w:t>В феврале 1945 г. Боровков в составе комиссии авиаспециалистов, возглавляемой генералом П. И. Федоровым, был откомандирован в прифронтовую полосу для осмотра сбитых немецких реактивных самолетов. Под Киевом самолет комиссии потерпел катастрофу. Экипаж и все пассажиры, среди которых находился Алексей Андреевич Боровков, погибли (24215).</w:t>
      </w:r>
    </w:p>
    <w:p w14:paraId="13B2E3EA" w14:textId="77777777" w:rsidR="00DF1ED7" w:rsidRPr="00925F26" w:rsidRDefault="00DF1ED7" w:rsidP="00925F26">
      <w:pPr>
        <w:jc w:val="both"/>
        <w:rPr>
          <w:color w:val="000000" w:themeColor="text1"/>
          <w:sz w:val="16"/>
          <w:szCs w:val="16"/>
        </w:rPr>
      </w:pPr>
    </w:p>
    <w:p w14:paraId="2F171678" w14:textId="77777777" w:rsidR="005903DB" w:rsidRPr="00925F26" w:rsidRDefault="005903DB"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был создан 18-цилиндровый двигатель АШ-73ТК мощностью 2400 hp (384,165).</w:t>
      </w:r>
    </w:p>
    <w:p w14:paraId="23C5D755" w14:textId="77777777" w:rsidR="005903DB" w:rsidRPr="00925F26" w:rsidRDefault="005903DB" w:rsidP="00925F26">
      <w:pPr>
        <w:autoSpaceDE w:val="0"/>
        <w:autoSpaceDN w:val="0"/>
        <w:adjustRightInd w:val="0"/>
        <w:jc w:val="both"/>
        <w:rPr>
          <w:color w:val="000000" w:themeColor="text1"/>
          <w:sz w:val="16"/>
          <w:szCs w:val="16"/>
        </w:rPr>
      </w:pPr>
    </w:p>
    <w:p w14:paraId="77E294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А.И.М. на завод 155 был представлен макет двухкамерного РД (2928,79).</w:t>
      </w:r>
    </w:p>
    <w:p w14:paraId="4A5F0457" w14:textId="77777777" w:rsidR="00665165" w:rsidRPr="00925F26" w:rsidRDefault="00665165" w:rsidP="00925F26">
      <w:pPr>
        <w:autoSpaceDE w:val="0"/>
        <w:autoSpaceDN w:val="0"/>
        <w:adjustRightInd w:val="0"/>
        <w:jc w:val="both"/>
        <w:rPr>
          <w:color w:val="000000" w:themeColor="text1"/>
          <w:sz w:val="16"/>
          <w:szCs w:val="16"/>
        </w:rPr>
      </w:pPr>
    </w:p>
    <w:p w14:paraId="3A365F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все ОКБ по истребителям получили задания на разработку реактивных (4,365).</w:t>
      </w:r>
    </w:p>
    <w:p w14:paraId="52F63460" w14:textId="77777777" w:rsidR="00665165" w:rsidRPr="00925F26" w:rsidRDefault="00665165" w:rsidP="00925F26">
      <w:pPr>
        <w:autoSpaceDE w:val="0"/>
        <w:autoSpaceDN w:val="0"/>
        <w:adjustRightInd w:val="0"/>
        <w:jc w:val="both"/>
        <w:rPr>
          <w:color w:val="000000" w:themeColor="text1"/>
          <w:sz w:val="16"/>
          <w:szCs w:val="16"/>
        </w:rPr>
      </w:pPr>
    </w:p>
    <w:p w14:paraId="4A4437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1945 вышло постановление СНК, формировавшее работу </w:t>
      </w:r>
      <w:proofErr w:type="gramStart"/>
      <w:r w:rsidRPr="00925F26">
        <w:rPr>
          <w:color w:val="000000" w:themeColor="text1"/>
          <w:sz w:val="16"/>
          <w:szCs w:val="16"/>
        </w:rPr>
        <w:t>над МиГ-9</w:t>
      </w:r>
      <w:proofErr w:type="gramEnd"/>
      <w:r w:rsidRPr="00925F26">
        <w:rPr>
          <w:color w:val="000000" w:themeColor="text1"/>
          <w:sz w:val="16"/>
          <w:szCs w:val="16"/>
        </w:rPr>
        <w:t xml:space="preserve"> и предусмотрело установку 2 РД-20 (538).</w:t>
      </w:r>
    </w:p>
    <w:p w14:paraId="361D3652" w14:textId="77777777" w:rsidR="00665165" w:rsidRPr="00925F26" w:rsidRDefault="00665165" w:rsidP="00925F26">
      <w:pPr>
        <w:autoSpaceDE w:val="0"/>
        <w:autoSpaceDN w:val="0"/>
        <w:adjustRightInd w:val="0"/>
        <w:jc w:val="both"/>
        <w:rPr>
          <w:color w:val="000000" w:themeColor="text1"/>
          <w:sz w:val="16"/>
          <w:szCs w:val="16"/>
        </w:rPr>
      </w:pPr>
    </w:p>
    <w:p w14:paraId="19B9BD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февраля 1945 года завод № 483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05B655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 И. Погорелов</w:t>
      </w:r>
    </w:p>
    <w:p w14:paraId="3EFFC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Киев, ул. Владимиро-Лыбедская, д. 3</w:t>
      </w:r>
    </w:p>
    <w:p w14:paraId="74DF2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приборный радиолокационный завод (9855).</w:t>
      </w:r>
    </w:p>
    <w:p w14:paraId="2F1919B1" w14:textId="77777777" w:rsidR="00665165" w:rsidRPr="00925F26" w:rsidRDefault="00665165" w:rsidP="00925F26">
      <w:pPr>
        <w:autoSpaceDE w:val="0"/>
        <w:autoSpaceDN w:val="0"/>
        <w:adjustRightInd w:val="0"/>
        <w:jc w:val="both"/>
        <w:rPr>
          <w:color w:val="000000" w:themeColor="text1"/>
          <w:sz w:val="16"/>
          <w:szCs w:val="16"/>
        </w:rPr>
      </w:pPr>
    </w:p>
    <w:p w14:paraId="70FB61CE" w14:textId="77777777" w:rsidR="004945E9" w:rsidRPr="00925F26" w:rsidRDefault="004945E9" w:rsidP="00925F26">
      <w:pPr>
        <w:jc w:val="both"/>
        <w:rPr>
          <w:color w:val="000000" w:themeColor="text1"/>
          <w:sz w:val="16"/>
          <w:szCs w:val="16"/>
        </w:rPr>
      </w:pPr>
      <w:r w:rsidRPr="00925F26">
        <w:rPr>
          <w:color w:val="000000" w:themeColor="text1"/>
          <w:sz w:val="16"/>
          <w:szCs w:val="16"/>
        </w:rPr>
        <w:lastRenderedPageBreak/>
        <w:t>В феврале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w:t>
      </w:r>
    </w:p>
    <w:p w14:paraId="76E4191D" w14:textId="77777777" w:rsidR="004945E9" w:rsidRPr="00925F26" w:rsidRDefault="004945E9" w:rsidP="00925F26">
      <w:pPr>
        <w:jc w:val="both"/>
        <w:rPr>
          <w:color w:val="000000" w:themeColor="text1"/>
          <w:sz w:val="16"/>
          <w:szCs w:val="16"/>
        </w:rPr>
      </w:pPr>
      <w:r w:rsidRPr="00925F26">
        <w:rPr>
          <w:color w:val="000000" w:themeColor="text1"/>
          <w:sz w:val="16"/>
          <w:szCs w:val="16"/>
        </w:rPr>
        <w:t>Почему руководство ВВС предложило проводить испытания в Джизаке, сейчас установить трудно. Здесь кругом были пески, барханы, дули сильные ветры.</w:t>
      </w:r>
    </w:p>
    <w:p w14:paraId="27A4625A" w14:textId="77777777" w:rsidR="004945E9" w:rsidRPr="00925F26" w:rsidRDefault="004945E9" w:rsidP="00925F26">
      <w:pPr>
        <w:jc w:val="both"/>
        <w:rPr>
          <w:color w:val="000000" w:themeColor="text1"/>
          <w:sz w:val="16"/>
          <w:szCs w:val="16"/>
        </w:rPr>
      </w:pPr>
      <w:r w:rsidRPr="00925F26">
        <w:rPr>
          <w:color w:val="000000" w:themeColor="text1"/>
          <w:sz w:val="16"/>
          <w:szCs w:val="16"/>
        </w:rPr>
        <w:t>26 февраля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685DD110" w14:textId="77777777" w:rsidR="004945E9" w:rsidRPr="00925F26" w:rsidRDefault="004945E9" w:rsidP="00925F26">
      <w:pPr>
        <w:jc w:val="both"/>
        <w:rPr>
          <w:color w:val="000000" w:themeColor="text1"/>
          <w:sz w:val="16"/>
          <w:szCs w:val="16"/>
        </w:rPr>
      </w:pPr>
      <w:r w:rsidRPr="00925F26">
        <w:rPr>
          <w:color w:val="000000" w:themeColor="text1"/>
          <w:sz w:val="16"/>
          <w:szCs w:val="16"/>
        </w:rPr>
        <w:t>20 марта 1945 года состоялся первый пуск СС „10-Х” с самолета-носителя ПЕ-8.</w:t>
      </w:r>
    </w:p>
    <w:p w14:paraId="722A3FC1" w14:textId="77777777" w:rsidR="004945E9" w:rsidRPr="00925F26" w:rsidRDefault="004945E9" w:rsidP="00925F26">
      <w:pPr>
        <w:jc w:val="both"/>
        <w:rPr>
          <w:color w:val="000000" w:themeColor="text1"/>
          <w:sz w:val="16"/>
          <w:szCs w:val="16"/>
        </w:rPr>
      </w:pPr>
      <w:r w:rsidRPr="00925F26">
        <w:rPr>
          <w:color w:val="000000" w:themeColor="text1"/>
          <w:sz w:val="16"/>
          <w:szCs w:val="16"/>
        </w:rPr>
        <w:t>В период с 20 марта по 28 июля, при наличии трех самолетов-носителей ПЕ-8 и самолета ЕР-2, было проведено 70 пусков СС „10-</w:t>
      </w:r>
      <w:proofErr w:type="gramStart"/>
      <w:r w:rsidRPr="00925F26">
        <w:rPr>
          <w:color w:val="000000" w:themeColor="text1"/>
          <w:sz w:val="16"/>
          <w:szCs w:val="16"/>
        </w:rPr>
        <w:t>Х”...</w:t>
      </w:r>
      <w:proofErr w:type="gramEnd"/>
      <w:r w:rsidRPr="00925F26">
        <w:rPr>
          <w:color w:val="000000" w:themeColor="text1"/>
          <w:sz w:val="16"/>
          <w:szCs w:val="16"/>
        </w:rPr>
        <w:t>» (12414).</w:t>
      </w:r>
    </w:p>
    <w:p w14:paraId="59DCD35C" w14:textId="77777777" w:rsidR="004945E9" w:rsidRPr="00925F26" w:rsidRDefault="004945E9" w:rsidP="00925F26">
      <w:pPr>
        <w:jc w:val="both"/>
        <w:rPr>
          <w:color w:val="000000" w:themeColor="text1"/>
          <w:sz w:val="16"/>
          <w:szCs w:val="16"/>
        </w:rPr>
      </w:pPr>
    </w:p>
    <w:p w14:paraId="07A56131" w14:textId="77777777" w:rsidR="006F43F1" w:rsidRPr="00925F26" w:rsidRDefault="006F43F1" w:rsidP="00925F26">
      <w:pPr>
        <w:pStyle w:val="a8"/>
        <w:jc w:val="both"/>
        <w:rPr>
          <w:rFonts w:ascii="Times New Roman" w:hAnsi="Times New Roman" w:cs="Times New Roman"/>
          <w:color w:val="000000" w:themeColor="text1"/>
        </w:rPr>
      </w:pPr>
      <w:r w:rsidRPr="00925F26">
        <w:rPr>
          <w:rFonts w:ascii="Times New Roman" w:hAnsi="Times New Roman" w:cs="Times New Roman"/>
          <w:color w:val="000000" w:themeColor="text1"/>
        </w:rPr>
        <w:t>В феврале 1945-го подследственного Костикова освободили из-под ареста с реабилитирующей и даже почетной формулировкой: «В результате проведенных оперативных мероприятий и тщательного расследования по делу вражеского умысла в действиях Костикова, являющегося крупным специалистом своего дела, не установлено».</w:t>
      </w:r>
    </w:p>
    <w:p w14:paraId="6E8E566F" w14:textId="77777777" w:rsidR="006F43F1" w:rsidRPr="00925F26" w:rsidRDefault="006F43F1" w:rsidP="00925F26">
      <w:pPr>
        <w:pStyle w:val="a8"/>
        <w:jc w:val="both"/>
        <w:rPr>
          <w:rFonts w:ascii="Times New Roman" w:hAnsi="Times New Roman" w:cs="Times New Roman"/>
          <w:color w:val="000000" w:themeColor="text1"/>
        </w:rPr>
      </w:pPr>
      <w:r w:rsidRPr="00925F26">
        <w:rPr>
          <w:rFonts w:ascii="Times New Roman" w:hAnsi="Times New Roman" w:cs="Times New Roman"/>
          <w:color w:val="000000" w:themeColor="text1"/>
        </w:rPr>
        <w:t>Костикову вернули воинское звание, Золотую Звезду Героя, ордена, партийный билет и поручили руководство специально созданным конструкторским бюро в НИИ-24 — институте, занимавшемся разработкой артиллерийского вооружения. Его задачей стало создание активно-реактивных снарядов (АРС, подробнее об этом рассказано в статье Л. Смирнова «Гром» после победы создавался», «ТМ», №4 за 1999 г). Пятилетний период работы Костикова в НИИ-24 увенчался достижениями, позднее (в 1951 г) отмеченными Сталинской премией, которую он, однако, получить не успел. Но работа над АРС была не единственным его делом в то время. В 1947 г он исполнил еще одну миссию — в течение полугода руководил в оккупированной зоне Германии представительством Академии Наук СССР (членом-корреспондентом которой его избрали в 1943 г). А с 1949 г был председателем важнейшей в то время Комиссии АН СССР по газовым турбинам, плодотворно работал в Энергетическом институте АН СССР, сотрудничал с его бессменным директором Г.М. Кржижановским.</w:t>
      </w:r>
    </w:p>
    <w:p w14:paraId="6596E505" w14:textId="77777777" w:rsidR="006F43F1" w:rsidRPr="00925F26" w:rsidRDefault="006F43F1" w:rsidP="00925F26">
      <w:pPr>
        <w:pStyle w:val="a8"/>
        <w:jc w:val="both"/>
        <w:rPr>
          <w:rFonts w:ascii="Times New Roman" w:hAnsi="Times New Roman" w:cs="Times New Roman"/>
          <w:color w:val="000000" w:themeColor="text1"/>
        </w:rPr>
      </w:pPr>
      <w:r w:rsidRPr="00925F26">
        <w:rPr>
          <w:rFonts w:ascii="Times New Roman" w:hAnsi="Times New Roman" w:cs="Times New Roman"/>
          <w:color w:val="000000" w:themeColor="text1"/>
        </w:rPr>
        <w:t>Андрей Григорьевич Костиков умер от острого сердечного приступа 5 декабря 1950 г. Некролог в «Правде», прощание в Доме ученых, траурные речи соратников и учеников... Мраморный памятник на Новодевичьем кладбище работы выдающегося скульптора С.Т. Коненкова, казалось, достойно увенчал его драматичную, рано оборвавшуюся жизнь. Но... невидимо тлевшие при жизни искры ненависти к нему, возникшие в свое время на почве слухов, игры воображения, личностной неприязни, вспыхнули после его смерти свирепым огнем дискредитации, горевшим много десятилетий. Не до конца угасли его всполохи и сегодня (19117).</w:t>
      </w:r>
    </w:p>
    <w:p w14:paraId="68DCE507" w14:textId="77777777" w:rsidR="006F43F1" w:rsidRPr="00925F26" w:rsidRDefault="006F43F1" w:rsidP="00925F26">
      <w:pPr>
        <w:pStyle w:val="a8"/>
        <w:jc w:val="both"/>
        <w:rPr>
          <w:rFonts w:ascii="Times New Roman" w:hAnsi="Times New Roman" w:cs="Times New Roman"/>
          <w:color w:val="000000" w:themeColor="text1"/>
        </w:rPr>
      </w:pPr>
    </w:p>
    <w:p w14:paraId="7D4B332D" w14:textId="77777777" w:rsidR="006F43F1" w:rsidRPr="00925F26" w:rsidRDefault="006F43F1"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феврале 1945 г. под Киевом произошла катастрофа самолета, в которой погибла комиссия авиаспециалистов, воз главляемая генералом П.И. Федоровым, в составе которой был и А.А. Боровков (19586).</w:t>
      </w:r>
    </w:p>
    <w:p w14:paraId="48F74C4B" w14:textId="77777777" w:rsidR="006F43F1" w:rsidRPr="00925F26" w:rsidRDefault="006F43F1" w:rsidP="00925F26">
      <w:pPr>
        <w:pStyle w:val="ae"/>
        <w:shd w:val="clear" w:color="auto" w:fill="FFFFFF"/>
        <w:spacing w:before="0" w:after="0"/>
        <w:jc w:val="both"/>
        <w:rPr>
          <w:color w:val="000000" w:themeColor="text1"/>
          <w:sz w:val="16"/>
          <w:szCs w:val="16"/>
        </w:rPr>
      </w:pPr>
    </w:p>
    <w:p w14:paraId="590197D0" w14:textId="77777777" w:rsidR="00BF18D8" w:rsidRPr="00925F26" w:rsidRDefault="00BF18D8" w:rsidP="00925F26">
      <w:pPr>
        <w:jc w:val="both"/>
        <w:rPr>
          <w:color w:val="000000" w:themeColor="text1"/>
          <w:sz w:val="16"/>
          <w:szCs w:val="16"/>
        </w:rPr>
      </w:pPr>
      <w:r w:rsidRPr="00925F26">
        <w:rPr>
          <w:color w:val="000000" w:themeColor="text1"/>
          <w:sz w:val="16"/>
          <w:szCs w:val="16"/>
        </w:rPr>
        <w:t>В феврале 1945 г. началась подготовка к проведению предварительных летных испытаний самолетов-снарядов 10Х в Голодной степи вблизи г. Джизак Узбекской ССР. Такие испытания в стране проводились впервые. Не было опыта их проведения ни у коллектива завода № 51, ни у смежных организаций. Не было и специального полигона для проведения таких испытаний, кругом были пески, барханы, дули сильные ветры. 20 марта 1945 г. состоялся первый пуск 10Х с самолета-носителя Пе-8. В период с 20 марта по 22 июля 1945 г., при наличии трех самолетов-носителей Пе-8, было проведено 63 пуска самолетов-снарядов 10Х (19823)</w:t>
      </w:r>
    </w:p>
    <w:p w14:paraId="2D29E499" w14:textId="77777777" w:rsidR="00BF18D8" w:rsidRPr="00925F26" w:rsidRDefault="00BF18D8" w:rsidP="00925F26">
      <w:pPr>
        <w:jc w:val="both"/>
        <w:rPr>
          <w:color w:val="000000" w:themeColor="text1"/>
          <w:sz w:val="16"/>
          <w:szCs w:val="16"/>
        </w:rPr>
      </w:pPr>
    </w:p>
    <w:p w14:paraId="5236B85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84A5B9D" w14:textId="77777777" w:rsidR="00665165" w:rsidRPr="00925F26" w:rsidRDefault="00665165" w:rsidP="00925F26">
      <w:pPr>
        <w:autoSpaceDE w:val="0"/>
        <w:autoSpaceDN w:val="0"/>
        <w:adjustRightInd w:val="0"/>
        <w:jc w:val="both"/>
        <w:rPr>
          <w:iCs/>
          <w:color w:val="000000" w:themeColor="text1"/>
          <w:sz w:val="16"/>
          <w:szCs w:val="16"/>
        </w:rPr>
      </w:pPr>
    </w:p>
    <w:p w14:paraId="014C746A" w14:textId="77777777" w:rsidR="00AD7660" w:rsidRPr="001A0BAA" w:rsidRDefault="00AD7660" w:rsidP="00AD7660">
      <w:pPr>
        <w:jc w:val="both"/>
        <w:rPr>
          <w:color w:val="0070C0"/>
          <w:sz w:val="16"/>
          <w:szCs w:val="16"/>
        </w:rPr>
      </w:pPr>
      <w:r w:rsidRPr="001A0BAA">
        <w:rPr>
          <w:color w:val="0070C0"/>
          <w:sz w:val="16"/>
          <w:szCs w:val="16"/>
        </w:rPr>
        <w:t>В феврале 1945 года на заводе №92. была разработана система ЗИС-1с, которую позже переименовали в ЛБ-2. За счет установки массивного однокамерного дульного тормоза (аналогичный был создан для 76-мм противотанковой пушки ЗИС-С-8) усилия откату снизились на 25-30 процентов. Еще более существенной оказалась разница по сравнению с Д-5С-85А. У него сопротивление откату составляло 17,5 тонн (неудивительно, что СУ-85А танк сносило), а для ЛБ-2, в зависимости от начальной скорости снаряда, данный показатель составлял 7-9,5 тонн. Более того, такие значения указывались в ходе проектирования, а у изготовленного в металле орудия сопротивление откату оказалось еще меньше - 5,2–6,4 тонн.</w:t>
      </w:r>
    </w:p>
    <w:p w14:paraId="6D1AB111" w14:textId="77777777" w:rsidR="00AD7660" w:rsidRPr="001A0BAA" w:rsidRDefault="00AD7660" w:rsidP="00AD7660">
      <w:pPr>
        <w:jc w:val="both"/>
        <w:rPr>
          <w:color w:val="0070C0"/>
          <w:sz w:val="16"/>
          <w:szCs w:val="16"/>
        </w:rPr>
      </w:pPr>
      <w:r w:rsidRPr="001A0BAA">
        <w:rPr>
          <w:color w:val="0070C0"/>
          <w:sz w:val="16"/>
          <w:szCs w:val="16"/>
        </w:rPr>
        <w:t>Следует отметить, что работы по орудиям на замену Д-5С-85А шли в трех КБ. Про третье орудие, В-13, будет рассказано позже, а вот второе стоит упомянуть сейчас. Как уже говорилось выше, свою систему разрабатывали в ЦАКБ. Орудие получило индекс С-68. С точки зрения установки система была ближе к ЗИС-3, особенно это касалось установки (вертлюг вместо рамки). Длина отката составляла не 500 мм, как у ЛБ-2, а 900 мм. В ходе рассмотрения проекта в мае 1945 года это сразу указали как существенный недостаток. Также не понравилось использование старого прицела 10Т. К сожалению, изображений С-68 не сохранилось, но, судя по переписке, в ЦАКБ просто взяли дивизионную пушку ЗИС-С-8 и переделали ее в самоходную. Это ГБТУ КА не понравилось, поэтому проект С-68 реализовывать в металле не стали. Поначалу. Исходя из документов, в августе 1945 года орудие всё же построили, но время оказалось упущено. (24993).</w:t>
      </w:r>
    </w:p>
    <w:p w14:paraId="3407B99C" w14:textId="77777777" w:rsidR="00AD7660" w:rsidRPr="001A0BAA" w:rsidRDefault="00AD7660" w:rsidP="00AD7660">
      <w:pPr>
        <w:jc w:val="both"/>
        <w:rPr>
          <w:color w:val="0070C0"/>
          <w:sz w:val="16"/>
          <w:szCs w:val="16"/>
        </w:rPr>
      </w:pPr>
    </w:p>
    <w:p w14:paraId="77A95B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 восемь опытных образцов установочной партии ИС-3 были изготовлены на ЧКЗ и в период с 23 марта по 11 апреля 1945 г. один опытный образец танка успешно прошел полигонные испытания, по результатам которых было принято решение о принятии танка на вооружение Крас</w:t>
      </w:r>
      <w:r w:rsidRPr="00925F26">
        <w:rPr>
          <w:color w:val="000000" w:themeColor="text1"/>
          <w:sz w:val="16"/>
          <w:szCs w:val="16"/>
        </w:rPr>
        <w:softHyphen/>
        <w:t>ной Армии и организации на ЧКЗ его серийного производства (10703).</w:t>
      </w:r>
    </w:p>
    <w:p w14:paraId="3727D9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EC541A4" w14:textId="77777777" w:rsidR="00193FD5" w:rsidRPr="00925F26" w:rsidRDefault="00193FD5" w:rsidP="00925F26">
      <w:pPr>
        <w:jc w:val="both"/>
        <w:rPr>
          <w:color w:val="000000" w:themeColor="text1"/>
          <w:sz w:val="16"/>
          <w:szCs w:val="16"/>
        </w:rPr>
      </w:pPr>
      <w:r w:rsidRPr="00925F26">
        <w:rPr>
          <w:color w:val="000000" w:themeColor="text1"/>
          <w:sz w:val="16"/>
          <w:szCs w:val="16"/>
        </w:rPr>
        <w:t>С февраля 1945 на ЧКЗ начались работы по подготовке к серийному производству тяжёлого танка «Кировец-1», позже принятому на вооружение как ИС-3. За февраль удалось собрать 8 таких машин, правда, официально они по ведомостям не проходили, поскольку их пришлось существенно дорабатывать. Это не помешало продолжению опытных работ. В феврале 1945 года были испытаны литые и штампованные траки новой конструкции. Их изготовили из стали ТВМ и ДВЛВТ, причём из последней сделали «облегчённый» трак. Выяснилось, что лучше всего себя ведут штампованные траки из стали ТВМ. При этом литые траки из стали КДЛВТ также обеспечивали ресурс в 1600 километров. Для сравнения, при пробеге 1600 километров вышло из строя 32,4% серийных штампованных траков из стали 35ХГ2.</w:t>
      </w:r>
    </w:p>
    <w:p w14:paraId="4073F390" w14:textId="77777777" w:rsidR="00193FD5" w:rsidRPr="00925F26" w:rsidRDefault="00193FD5" w:rsidP="00925F26">
      <w:pPr>
        <w:jc w:val="both"/>
        <w:rPr>
          <w:color w:val="000000" w:themeColor="text1"/>
          <w:sz w:val="16"/>
          <w:szCs w:val="16"/>
        </w:rPr>
      </w:pPr>
      <w:r w:rsidRPr="00925F26">
        <w:rPr>
          <w:color w:val="000000" w:themeColor="text1"/>
          <w:sz w:val="16"/>
          <w:szCs w:val="16"/>
        </w:rPr>
        <w:t>Внедрение новых траков, впрочем, затянулось, зато с 1 февраля появилось другое важное нововведение. На верхней кормовой плите корпуса установили морские дымовые шашки (МДШ). Именно в феврале 1945 года облик ИС-2 сформировался окончательно (18099).</w:t>
      </w:r>
    </w:p>
    <w:p w14:paraId="3B53C3FD" w14:textId="77777777" w:rsidR="00193FD5" w:rsidRPr="00925F26" w:rsidRDefault="00193FD5" w:rsidP="00925F26">
      <w:pPr>
        <w:jc w:val="both"/>
        <w:rPr>
          <w:color w:val="000000" w:themeColor="text1"/>
          <w:sz w:val="16"/>
          <w:szCs w:val="16"/>
        </w:rPr>
      </w:pPr>
    </w:p>
    <w:p w14:paraId="1792913C"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 (17209).</w:t>
      </w:r>
    </w:p>
    <w:p w14:paraId="6CDA79D8" w14:textId="77777777" w:rsidR="00FA59CB" w:rsidRPr="00925F26" w:rsidRDefault="00FA59CB" w:rsidP="00925F26">
      <w:pPr>
        <w:pStyle w:val="ae"/>
        <w:shd w:val="clear" w:color="auto" w:fill="FFFFFF"/>
        <w:spacing w:before="0" w:after="0"/>
        <w:jc w:val="both"/>
        <w:rPr>
          <w:color w:val="000000" w:themeColor="text1"/>
          <w:sz w:val="16"/>
          <w:szCs w:val="16"/>
        </w:rPr>
      </w:pPr>
    </w:p>
    <w:p w14:paraId="345D1074" w14:textId="77777777" w:rsidR="00BF18D8" w:rsidRPr="00925F26" w:rsidRDefault="00BF18D8" w:rsidP="00925F26">
      <w:pPr>
        <w:pStyle w:val="1131"/>
        <w:shd w:val="clear" w:color="auto" w:fill="auto"/>
        <w:spacing w:line="240" w:lineRule="auto"/>
        <w:ind w:firstLine="0"/>
        <w:rPr>
          <w:rFonts w:ascii="Times New Roman" w:hAnsi="Times New Roman" w:cs="Times New Roman"/>
          <w:color w:val="000000" w:themeColor="text1"/>
          <w:sz w:val="16"/>
          <w:szCs w:val="16"/>
        </w:rPr>
      </w:pPr>
      <w:r w:rsidRPr="00925F26">
        <w:rPr>
          <w:rStyle w:val="700"/>
          <w:rFonts w:ascii="Times New Roman" w:hAnsi="Times New Roman" w:cs="Times New Roman"/>
          <w:color w:val="000000" w:themeColor="text1"/>
          <w:sz w:val="16"/>
          <w:szCs w:val="16"/>
          <w:lang w:val="ru-RU"/>
        </w:rPr>
        <w:t>Ф</w:t>
      </w:r>
      <w:r w:rsidRPr="00925F26">
        <w:rPr>
          <w:rStyle w:val="700"/>
          <w:rFonts w:ascii="Times New Roman" w:hAnsi="Times New Roman" w:cs="Times New Roman"/>
          <w:color w:val="000000" w:themeColor="text1"/>
          <w:sz w:val="16"/>
          <w:szCs w:val="16"/>
        </w:rPr>
        <w:t xml:space="preserve">евраль 1945 года </w:t>
      </w:r>
      <w:r w:rsidRPr="00925F26">
        <w:rPr>
          <w:rStyle w:val="700"/>
          <w:rFonts w:ascii="Times New Roman" w:hAnsi="Times New Roman" w:cs="Times New Roman"/>
          <w:color w:val="000000" w:themeColor="text1"/>
          <w:sz w:val="16"/>
          <w:szCs w:val="16"/>
          <w:lang w:val="ru-RU"/>
        </w:rPr>
        <w:t>стал п</w:t>
      </w:r>
      <w:r w:rsidRPr="00925F26">
        <w:rPr>
          <w:rStyle w:val="700"/>
          <w:rFonts w:ascii="Times New Roman" w:hAnsi="Times New Roman" w:cs="Times New Roman"/>
          <w:color w:val="000000" w:themeColor="text1"/>
          <w:sz w:val="16"/>
          <w:szCs w:val="16"/>
        </w:rPr>
        <w:t>оследним месяцем, в котором происхо</w:t>
      </w:r>
      <w:r w:rsidRPr="00925F26">
        <w:rPr>
          <w:rStyle w:val="700"/>
          <w:rFonts w:ascii="Times New Roman" w:hAnsi="Times New Roman" w:cs="Times New Roman"/>
          <w:color w:val="000000" w:themeColor="text1"/>
          <w:sz w:val="16"/>
          <w:szCs w:val="16"/>
        </w:rPr>
        <w:softHyphen/>
        <w:t>дила существенная эволюция внешнего вида ИС-2. С первого числа были введены морские дымовые шашки (МДШ), которые крепились на верх</w:t>
      </w:r>
      <w:r w:rsidRPr="00925F26">
        <w:rPr>
          <w:rStyle w:val="700"/>
          <w:rFonts w:ascii="Times New Roman" w:hAnsi="Times New Roman" w:cs="Times New Roman"/>
          <w:color w:val="000000" w:themeColor="text1"/>
          <w:sz w:val="16"/>
          <w:szCs w:val="16"/>
        </w:rPr>
        <w:softHyphen/>
        <w:t>ней кормовой плите корпуса. Установка МДШ на танки планировалась еще в 1941 году, но начавшаяся война не позволила закончить опыты. С 1944 года дымовые шашки начали ставить на Т-34 и разработанные на его базе САУ, а опытные работы по установке их на ИС- 2 начались осенью 1944 года. В феврале 1945 года завод № 200 все еще испытывал пробле</w:t>
      </w:r>
      <w:r w:rsidRPr="00925F26">
        <w:rPr>
          <w:rStyle w:val="700"/>
          <w:rFonts w:ascii="Times New Roman" w:hAnsi="Times New Roman" w:cs="Times New Roman"/>
          <w:color w:val="000000" w:themeColor="text1"/>
          <w:sz w:val="16"/>
          <w:szCs w:val="16"/>
        </w:rPr>
        <w:softHyphen/>
        <w:t>мы с выпуском башен, поэтому, как уже гово</w:t>
      </w:r>
      <w:r w:rsidRPr="00925F26">
        <w:rPr>
          <w:rStyle w:val="700"/>
          <w:rFonts w:ascii="Times New Roman" w:hAnsi="Times New Roman" w:cs="Times New Roman"/>
          <w:color w:val="000000" w:themeColor="text1"/>
          <w:sz w:val="16"/>
          <w:szCs w:val="16"/>
        </w:rPr>
        <w:softHyphen/>
        <w:t>рилось, частым явлением была установка башен УЗТМ. Таковая конфигурация, напри</w:t>
      </w:r>
      <w:r w:rsidRPr="00925F26">
        <w:rPr>
          <w:rStyle w:val="700"/>
          <w:rFonts w:ascii="Times New Roman" w:hAnsi="Times New Roman" w:cs="Times New Roman"/>
          <w:color w:val="000000" w:themeColor="text1"/>
          <w:sz w:val="16"/>
          <w:szCs w:val="16"/>
        </w:rPr>
        <w:softHyphen/>
        <w:t>мер, у танка 240-412540, ныне находящегося в Музее отечественной военной истории и послужившего прототипом для чертежей в данной статье. Последние же изменения случились в апреле 1945 года. Всего внесли изменения по семи пунктам, правда, носили они незначительный характер. Касались они ЗИП, установки ДШК и маслобаков, все они не несли существенного изменения облика ма</w:t>
      </w:r>
      <w:r w:rsidRPr="00925F26">
        <w:rPr>
          <w:rStyle w:val="700"/>
          <w:rFonts w:ascii="Times New Roman" w:hAnsi="Times New Roman" w:cs="Times New Roman"/>
          <w:color w:val="000000" w:themeColor="text1"/>
          <w:sz w:val="16"/>
          <w:szCs w:val="16"/>
        </w:rPr>
        <w:softHyphen/>
        <w:t>шины.</w:t>
      </w:r>
    </w:p>
    <w:p w14:paraId="714CFB31" w14:textId="77777777" w:rsidR="00BF18D8" w:rsidRPr="00925F26" w:rsidRDefault="00BF18D8" w:rsidP="00925F26">
      <w:pPr>
        <w:pStyle w:val="1131"/>
        <w:shd w:val="clear" w:color="auto" w:fill="auto"/>
        <w:spacing w:line="240" w:lineRule="auto"/>
        <w:ind w:firstLine="0"/>
        <w:rPr>
          <w:rStyle w:val="700"/>
          <w:rFonts w:ascii="Times New Roman" w:hAnsi="Times New Roman" w:cs="Times New Roman"/>
          <w:color w:val="000000" w:themeColor="text1"/>
          <w:sz w:val="16"/>
          <w:szCs w:val="16"/>
        </w:rPr>
      </w:pPr>
      <w:r w:rsidRPr="00925F26">
        <w:rPr>
          <w:rStyle w:val="700"/>
          <w:rFonts w:ascii="Times New Roman" w:hAnsi="Times New Roman" w:cs="Times New Roman"/>
          <w:color w:val="000000" w:themeColor="text1"/>
          <w:sz w:val="16"/>
          <w:szCs w:val="16"/>
        </w:rPr>
        <w:t>В заключение стоит отметить, что к на</w:t>
      </w:r>
      <w:r w:rsidRPr="00925F26">
        <w:rPr>
          <w:rStyle w:val="700"/>
          <w:rFonts w:ascii="Times New Roman" w:hAnsi="Times New Roman" w:cs="Times New Roman"/>
          <w:color w:val="000000" w:themeColor="text1"/>
          <w:sz w:val="16"/>
          <w:szCs w:val="16"/>
        </w:rPr>
        <w:softHyphen/>
        <w:t>стоящему времени сохранилось около десят</w:t>
      </w:r>
      <w:r w:rsidRPr="00925F26">
        <w:rPr>
          <w:rStyle w:val="700"/>
          <w:rFonts w:ascii="Times New Roman" w:hAnsi="Times New Roman" w:cs="Times New Roman"/>
          <w:color w:val="000000" w:themeColor="text1"/>
          <w:sz w:val="16"/>
          <w:szCs w:val="16"/>
        </w:rPr>
        <w:softHyphen/>
        <w:t xml:space="preserve">ка ИС-2 со спрямленной лобовой деталью корпуса, не прошедших модернизации до уровня ИС-2М. В основном они находятся на территории Польши и Чехии </w:t>
      </w:r>
      <w:proofErr w:type="gramStart"/>
      <w:r w:rsidRPr="00925F26">
        <w:rPr>
          <w:rStyle w:val="700"/>
          <w:rFonts w:ascii="Times New Roman" w:hAnsi="Times New Roman" w:cs="Times New Roman"/>
          <w:color w:val="000000" w:themeColor="text1"/>
          <w:sz w:val="16"/>
          <w:szCs w:val="16"/>
        </w:rPr>
        <w:t>- это</w:t>
      </w:r>
      <w:proofErr w:type="gramEnd"/>
      <w:r w:rsidRPr="00925F26">
        <w:rPr>
          <w:rStyle w:val="700"/>
          <w:rFonts w:ascii="Times New Roman" w:hAnsi="Times New Roman" w:cs="Times New Roman"/>
          <w:color w:val="000000" w:themeColor="text1"/>
          <w:sz w:val="16"/>
          <w:szCs w:val="16"/>
        </w:rPr>
        <w:t xml:space="preserve"> те танки, которые были переданы во время Великой Отечественной войны. Вместе с тем к этим машинам следует относиться с осторож</w:t>
      </w:r>
      <w:r w:rsidRPr="00925F26">
        <w:rPr>
          <w:rStyle w:val="700"/>
          <w:rFonts w:ascii="Times New Roman" w:hAnsi="Times New Roman" w:cs="Times New Roman"/>
          <w:color w:val="000000" w:themeColor="text1"/>
          <w:sz w:val="16"/>
          <w:szCs w:val="16"/>
        </w:rPr>
        <w:softHyphen/>
        <w:t>ностью. Они довольно долго эксплуатирова</w:t>
      </w:r>
      <w:r w:rsidRPr="00925F26">
        <w:rPr>
          <w:rStyle w:val="700"/>
          <w:rFonts w:ascii="Times New Roman" w:hAnsi="Times New Roman" w:cs="Times New Roman"/>
          <w:color w:val="000000" w:themeColor="text1"/>
          <w:sz w:val="16"/>
          <w:szCs w:val="16"/>
        </w:rPr>
        <w:softHyphen/>
        <w:t>лись и поэтому проходили ремонт, который повлиял на их внешний вид. Это касается крыльев (особенно передних брызговиков), часто менялись траки, имелись и другие из</w:t>
      </w:r>
      <w:r w:rsidRPr="00925F26">
        <w:rPr>
          <w:rStyle w:val="700"/>
          <w:rFonts w:ascii="Times New Roman" w:hAnsi="Times New Roman" w:cs="Times New Roman"/>
          <w:color w:val="000000" w:themeColor="text1"/>
          <w:sz w:val="16"/>
          <w:szCs w:val="16"/>
        </w:rPr>
        <w:softHyphen/>
        <w:t>менения</w:t>
      </w:r>
      <w:r w:rsidRPr="00925F26">
        <w:rPr>
          <w:rStyle w:val="700"/>
          <w:rFonts w:ascii="Times New Roman" w:hAnsi="Times New Roman" w:cs="Times New Roman"/>
          <w:color w:val="000000" w:themeColor="text1"/>
          <w:sz w:val="16"/>
          <w:szCs w:val="16"/>
          <w:lang w:val="ru-RU"/>
        </w:rPr>
        <w:t xml:space="preserve"> (19880)</w:t>
      </w:r>
      <w:r w:rsidRPr="00925F26">
        <w:rPr>
          <w:rStyle w:val="700"/>
          <w:rFonts w:ascii="Times New Roman" w:hAnsi="Times New Roman" w:cs="Times New Roman"/>
          <w:color w:val="000000" w:themeColor="text1"/>
          <w:sz w:val="16"/>
          <w:szCs w:val="16"/>
        </w:rPr>
        <w:t>.</w:t>
      </w:r>
    </w:p>
    <w:p w14:paraId="314D8AD3" w14:textId="77777777" w:rsidR="00BF18D8" w:rsidRPr="00925F26" w:rsidRDefault="00BF18D8" w:rsidP="00925F26">
      <w:pPr>
        <w:pStyle w:val="1131"/>
        <w:shd w:val="clear" w:color="auto" w:fill="auto"/>
        <w:spacing w:line="240" w:lineRule="auto"/>
        <w:ind w:firstLine="0"/>
        <w:rPr>
          <w:rStyle w:val="700"/>
          <w:rFonts w:ascii="Times New Roman" w:hAnsi="Times New Roman" w:cs="Times New Roman"/>
          <w:color w:val="000000" w:themeColor="text1"/>
          <w:sz w:val="16"/>
          <w:szCs w:val="16"/>
        </w:rPr>
      </w:pPr>
    </w:p>
    <w:p w14:paraId="14814583" w14:textId="77777777" w:rsidR="00193FD5" w:rsidRPr="00925F26" w:rsidRDefault="00193FD5" w:rsidP="00925F26">
      <w:pPr>
        <w:jc w:val="both"/>
        <w:rPr>
          <w:color w:val="000000" w:themeColor="text1"/>
          <w:sz w:val="16"/>
          <w:szCs w:val="16"/>
        </w:rPr>
      </w:pPr>
      <w:r w:rsidRPr="00925F26">
        <w:rPr>
          <w:color w:val="000000" w:themeColor="text1"/>
          <w:sz w:val="16"/>
          <w:szCs w:val="16"/>
        </w:rPr>
        <w:t>В феврале 1945 года обозначение «Кировец-2» впервые появился в переписке. О разработке новой самоходной установки ЧКЗ сообщил в своём докладе С.П. Гуренко, главный конструктор завода №172. Он возглавил ту самую комиссию, которую ждали в Челябинске ещё с декабря 1944 года. Командировка конструкторов завода №172 состоялась в период с 14 по 20 февраля 1945 года. К тому времени СКБ-2 ЧКЗ не просто подготовило рабочие чертежи «Кировца-2», но и спустило их на завод №200 (18636).</w:t>
      </w:r>
    </w:p>
    <w:p w14:paraId="3E5477C0" w14:textId="77777777" w:rsidR="00193FD5" w:rsidRPr="00925F26" w:rsidRDefault="00193FD5" w:rsidP="00925F26">
      <w:pPr>
        <w:jc w:val="both"/>
        <w:rPr>
          <w:color w:val="000000" w:themeColor="text1"/>
          <w:sz w:val="16"/>
          <w:szCs w:val="16"/>
        </w:rPr>
      </w:pPr>
    </w:p>
    <w:p w14:paraId="4982CD54" w14:textId="77777777" w:rsidR="00193FD5" w:rsidRPr="00925F26" w:rsidRDefault="00193FD5" w:rsidP="00925F26">
      <w:pPr>
        <w:jc w:val="both"/>
        <w:rPr>
          <w:color w:val="000000" w:themeColor="text1"/>
          <w:sz w:val="16"/>
          <w:szCs w:val="16"/>
        </w:rPr>
      </w:pPr>
      <w:r w:rsidRPr="00925F26">
        <w:rPr>
          <w:color w:val="000000" w:themeColor="text1"/>
          <w:sz w:val="16"/>
          <w:szCs w:val="16"/>
        </w:rPr>
        <w:t>В феврале 1945 года на ЧКЗ было принято разумное решение собирать лоб корпуса ИСУ также с помощью сварки. Испытания показали, что стойкость изменённой лобовой части увеличилась. Верхняя часть носовой детали пробивалась 88-мм пушкой Pak 43L/71 с дистанции не более 250 метров. Уже с конца февраля – начала марта 1945 года лобовая часть ИСУ-152 стала сварной. Это изменение оказалось последней крупной метаморфозой машины (18171).</w:t>
      </w:r>
    </w:p>
    <w:p w14:paraId="3A0BDB6B" w14:textId="77777777" w:rsidR="00193FD5" w:rsidRPr="00925F26" w:rsidRDefault="00193FD5" w:rsidP="00925F26">
      <w:pPr>
        <w:jc w:val="both"/>
        <w:rPr>
          <w:color w:val="000000" w:themeColor="text1"/>
          <w:sz w:val="16"/>
          <w:szCs w:val="16"/>
        </w:rPr>
      </w:pPr>
    </w:p>
    <w:p w14:paraId="73ED71C8"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В феврале 1945 года, когда появился приказ №66, начались работы по новому танку в КБ опытного завода №100. Точной информации по этому поводу нет, поскольку Котин снова прибегнул к тактике строгой секретности. Новый акт производственной драмы «Военпред Вовк и тайная комната» приключился 28 марта 1945 года, </w:t>
      </w:r>
      <w:r w:rsidRPr="00925F26">
        <w:rPr>
          <w:color w:val="000000" w:themeColor="text1"/>
          <w:sz w:val="16"/>
          <w:szCs w:val="16"/>
        </w:rPr>
        <w:lastRenderedPageBreak/>
        <w:t>когда старший военпред завода №100 отправил в ГБТУ КА письмо с жалобой на происходящее:</w:t>
      </w:r>
    </w:p>
    <w:p w14:paraId="773304A8"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iCs/>
          <w:color w:val="000000" w:themeColor="text1"/>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7B469CBC"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iCs/>
          <w:color w:val="000000" w:themeColor="text1"/>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5EF7D44D"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iCs/>
          <w:color w:val="000000" w:themeColor="text1"/>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Кировоского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64987F7D"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(17209).</w:t>
      </w:r>
    </w:p>
    <w:p w14:paraId="495FBF5E" w14:textId="77777777" w:rsidR="00FA59CB" w:rsidRPr="00925F26" w:rsidRDefault="00FA59CB" w:rsidP="00925F26">
      <w:pPr>
        <w:pStyle w:val="ae"/>
        <w:shd w:val="clear" w:color="auto" w:fill="FFFFFF"/>
        <w:spacing w:before="0" w:after="0"/>
        <w:jc w:val="both"/>
        <w:rPr>
          <w:color w:val="000000" w:themeColor="text1"/>
          <w:sz w:val="16"/>
          <w:szCs w:val="16"/>
        </w:rPr>
      </w:pPr>
    </w:p>
    <w:p w14:paraId="793D54A2" w14:textId="77777777" w:rsidR="00193FD5" w:rsidRPr="00925F26" w:rsidRDefault="00193FD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феврале 1945 года военный совет БТ и МВ КА выходил на Берия с предложением принять Объект 701 на вооружение Красной армии. Т.О. принятия ИС-3 на вооружение Красной армии могло и не состояться. Дело в том, что параллельно шли доводочные работы по другому тяжёлому танку — Объект 701. Эту машину в ГБТУ КА считали едва ли не главным претендентом на роль сменщика ИС-2. Против этой идеи выступил Малышев, предлагавший провести дополнительные испытания. Время шло, а пока проводились испытания, на вооружение Красной армии приняли ИС-3. Кстати, на запуске в серию Объекта 701 настаивал и ЧКЗ. Тем не менее, Малышев настоял на том, чтобы именно ИС-3 стал новым тяжёлым танком, пошедшим в крупную серию.</w:t>
      </w:r>
    </w:p>
    <w:p w14:paraId="40E4C2BD" w14:textId="77777777" w:rsidR="00193FD5" w:rsidRPr="00925F26" w:rsidRDefault="00193FD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Причины тому надо искать по целому ряду направлений. Во-первых, ИС-3 отчасти заимствовал узлы и агрегаты ИС-2, так что его постановка в серию не вызывала больших проблем. Совсем иная ситуация складывалась с Объектом 701. Предстояла существенная перенастройка производства, а это означало и резкое снижение выпуска. Во-вторых, даже на фоне всех проблем «Кировца-1» они выглядели не столь и существенными, если сравнивать этот танк с Объектом 701. Кроме того, правота Малышева подтвердилась уже позже, когда ИС-3 всё же сняли с производства. Нарком танковой промышленности явно о чём-то догадывался (19731).</w:t>
      </w:r>
    </w:p>
    <w:p w14:paraId="230F981D" w14:textId="77777777" w:rsidR="00193FD5" w:rsidRPr="00925F26" w:rsidRDefault="00193FD5" w:rsidP="00925F26">
      <w:pPr>
        <w:pStyle w:val="ae"/>
        <w:shd w:val="clear" w:color="auto" w:fill="FFFFFF"/>
        <w:spacing w:before="0" w:after="0"/>
        <w:jc w:val="both"/>
        <w:textAlignment w:val="baseline"/>
        <w:rPr>
          <w:color w:val="000000" w:themeColor="text1"/>
          <w:sz w:val="16"/>
          <w:szCs w:val="16"/>
        </w:rPr>
      </w:pPr>
    </w:p>
    <w:p w14:paraId="284B67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w:t>
      </w:r>
      <w:r w:rsidRPr="00925F26">
        <w:rPr>
          <w:color w:val="000000" w:themeColor="text1"/>
          <w:sz w:val="16"/>
          <w:szCs w:val="16"/>
        </w:rPr>
        <w:softHyphen/>
        <w:t>рале 1945 г. завод № 9 спроектировал и изготовил 100-мм нарезную пушку Д- 100Т,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925F26">
        <w:rPr>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6FBB5C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1D355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года Т-34 с ЗИС-1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бронебойно-подкалиберными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237736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6CEB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февраля 1945 г. начались работы по освоению в серии танка с безбалочным носом, что значительно усилило бро</w:t>
      </w:r>
      <w:r w:rsidRPr="00925F26">
        <w:rPr>
          <w:color w:val="000000" w:themeColor="text1"/>
          <w:sz w:val="16"/>
          <w:szCs w:val="16"/>
        </w:rPr>
        <w:softHyphen/>
        <w:t>невую защиту Т-34, но в серию машины указанного типа пошли только в конце марта 1945 г. (11135)</w:t>
      </w:r>
    </w:p>
    <w:p w14:paraId="009244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70CF193" w14:textId="77777777" w:rsidR="00DF1ED7" w:rsidRPr="00925F26" w:rsidRDefault="00DF1ED7" w:rsidP="00925F26">
      <w:pPr>
        <w:jc w:val="both"/>
        <w:rPr>
          <w:color w:val="000000" w:themeColor="text1"/>
          <w:sz w:val="16"/>
          <w:szCs w:val="16"/>
        </w:rPr>
      </w:pPr>
      <w:r w:rsidRPr="00925F26">
        <w:rPr>
          <w:color w:val="000000" w:themeColor="text1"/>
          <w:sz w:val="16"/>
          <w:szCs w:val="16"/>
        </w:rPr>
        <w:t>В феврале 1945 года произвели один из трех "Крокодилов", которые прибыли в Советский Союз - танк с регистрационным номером T.252468/K, который ныне представлен в Техническом центре парка "Патриот". В ходе реэкспозиции к танку подсоединили его полуприцеп. Это не только частичка истории, но и ценный "артефакт". Дело в том, что английские "Крокодилы" после войны модернизировали, а танк из Кубинки никто не трогал. Если вы ходите видеть Churchill VII Crocodile в военной конфигурации, то вам точно в Кубинку. Конечно, светотехника уже не родная, но в целом машина более аутентичная (23352).</w:t>
      </w:r>
    </w:p>
    <w:p w14:paraId="469C950E" w14:textId="77777777" w:rsidR="00DF1ED7" w:rsidRPr="00925F26" w:rsidRDefault="00DF1ED7" w:rsidP="00925F26">
      <w:pPr>
        <w:jc w:val="both"/>
        <w:rPr>
          <w:color w:val="000000" w:themeColor="text1"/>
          <w:sz w:val="16"/>
          <w:szCs w:val="16"/>
        </w:rPr>
      </w:pPr>
    </w:p>
    <w:p w14:paraId="064B1CF9" w14:textId="77777777" w:rsidR="00193FD5" w:rsidRPr="00925F26" w:rsidRDefault="00193FD5" w:rsidP="00925F26">
      <w:pPr>
        <w:jc w:val="both"/>
        <w:rPr>
          <w:color w:val="000000" w:themeColor="text1"/>
          <w:sz w:val="16"/>
          <w:szCs w:val="16"/>
        </w:rPr>
      </w:pPr>
      <w:r w:rsidRPr="00925F26">
        <w:rPr>
          <w:color w:val="000000" w:themeColor="text1"/>
          <w:sz w:val="16"/>
          <w:szCs w:val="16"/>
        </w:rPr>
        <w:t>С февраля 1945 года отменили вторую створку люка рубки СУ-100, хотя бо́льшая часть февральских машин всё ещё оснащалась старыми люками. Такие машины нередко называют СУ-100 второй производственной серии, но на самом деле никаких серий не было и в помине. Примерно в это же время ящик ЗИП на левой надгусеничной полке сместили немного назад. Окончательно новые корпуса запустили в серию с марта 1945 года, при этом с люка механика-водителя исчезла литера «Р» (равнопрочный с верхним лобовым листом корпуса люк толщиной 75 мм).</w:t>
      </w:r>
    </w:p>
    <w:p w14:paraId="0AA31E2E" w14:textId="77777777" w:rsidR="00193FD5" w:rsidRPr="00925F26" w:rsidRDefault="00193FD5" w:rsidP="00925F26">
      <w:pPr>
        <w:jc w:val="both"/>
        <w:rPr>
          <w:color w:val="000000" w:themeColor="text1"/>
          <w:sz w:val="16"/>
          <w:szCs w:val="16"/>
        </w:rPr>
      </w:pPr>
      <w:r w:rsidRPr="00925F26">
        <w:rPr>
          <w:color w:val="000000" w:themeColor="text1"/>
          <w:sz w:val="16"/>
          <w:szCs w:val="16"/>
        </w:rPr>
        <w:t>Доработки СУ-100 продолжались и в апреле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EC97FA5" w14:textId="77777777" w:rsidR="00193FD5" w:rsidRPr="00925F26" w:rsidRDefault="00193FD5" w:rsidP="00925F26">
      <w:pPr>
        <w:pStyle w:val="rtejustify"/>
        <w:shd w:val="clear" w:color="auto" w:fill="FFFFFF"/>
        <w:spacing w:before="0" w:after="0"/>
        <w:rPr>
          <w:color w:val="000000" w:themeColor="text1"/>
          <w:sz w:val="16"/>
          <w:szCs w:val="16"/>
        </w:rPr>
      </w:pPr>
    </w:p>
    <w:p w14:paraId="64B3A276" w14:textId="77777777" w:rsidR="00BF18D8" w:rsidRPr="00925F26" w:rsidRDefault="00BF18D8" w:rsidP="00925F26">
      <w:pPr>
        <w:jc w:val="both"/>
        <w:rPr>
          <w:color w:val="000000" w:themeColor="text1"/>
          <w:sz w:val="16"/>
          <w:szCs w:val="16"/>
        </w:rPr>
      </w:pPr>
      <w:r w:rsidRPr="00925F26">
        <w:rPr>
          <w:color w:val="000000" w:themeColor="text1"/>
          <w:sz w:val="16"/>
          <w:szCs w:val="16"/>
        </w:rPr>
        <w:t>Февраль 1945 г. ознаменовался разра</w:t>
      </w:r>
      <w:r w:rsidRPr="00925F26">
        <w:rPr>
          <w:color w:val="000000" w:themeColor="text1"/>
          <w:sz w:val="16"/>
          <w:szCs w:val="16"/>
        </w:rPr>
        <w:softHyphen/>
        <w:t>боткой новых чертежей бронекорпуса Су-100 - ради все той же борьбы с трещи</w:t>
      </w:r>
      <w:r w:rsidRPr="00925F26">
        <w:rPr>
          <w:color w:val="000000" w:themeColor="text1"/>
          <w:sz w:val="16"/>
          <w:szCs w:val="16"/>
        </w:rPr>
        <w:softHyphen/>
        <w:t xml:space="preserve">нами брони, которые образовывались от углов любых вырезов. Первые опытные семь бронекорпусов новой конструкции сварили тогда же в феврале: на них исчезла створка </w:t>
      </w:r>
      <w:proofErr w:type="gramStart"/>
      <w:r w:rsidRPr="00925F26">
        <w:rPr>
          <w:color w:val="000000" w:themeColor="text1"/>
          <w:sz w:val="16"/>
          <w:szCs w:val="16"/>
        </w:rPr>
        <w:t>люка</w:t>
      </w:r>
      <w:proofErr w:type="gramEnd"/>
      <w:r w:rsidRPr="00925F26">
        <w:rPr>
          <w:color w:val="000000" w:themeColor="text1"/>
          <w:sz w:val="16"/>
          <w:szCs w:val="16"/>
        </w:rPr>
        <w:t xml:space="preserve"> заряжающего на задней вертикальной стенке рубки.</w:t>
      </w:r>
    </w:p>
    <w:p w14:paraId="5A6C6C5F" w14:textId="77777777" w:rsidR="00BF18D8" w:rsidRPr="00925F26" w:rsidRDefault="00BF18D8" w:rsidP="00925F26">
      <w:pPr>
        <w:jc w:val="both"/>
        <w:rPr>
          <w:color w:val="000000" w:themeColor="text1"/>
          <w:sz w:val="16"/>
          <w:szCs w:val="16"/>
        </w:rPr>
      </w:pPr>
      <w:r w:rsidRPr="00925F26">
        <w:rPr>
          <w:color w:val="000000" w:themeColor="text1"/>
          <w:sz w:val="16"/>
          <w:szCs w:val="16"/>
        </w:rPr>
        <w:t>Желобки на правой стенке литой непо</w:t>
      </w:r>
      <w:r w:rsidRPr="00925F26">
        <w:rPr>
          <w:color w:val="000000" w:themeColor="text1"/>
          <w:sz w:val="16"/>
          <w:szCs w:val="16"/>
        </w:rPr>
        <w:softHyphen/>
        <w:t>движной бронировки орудия над головками болтов, по всей видимости, из-за введения в эксплуатацию новой литейной модели, с фев</w:t>
      </w:r>
      <w:r w:rsidRPr="00925F26">
        <w:rPr>
          <w:color w:val="000000" w:themeColor="text1"/>
          <w:sz w:val="16"/>
          <w:szCs w:val="16"/>
        </w:rPr>
        <w:softHyphen/>
        <w:t>раля приобретают четкие границы - такой вид они будут иметь по июль 1945 г. включительно.</w:t>
      </w:r>
    </w:p>
    <w:p w14:paraId="0C865ABF" w14:textId="77777777" w:rsidR="00BF18D8" w:rsidRPr="00925F26" w:rsidRDefault="00BF18D8" w:rsidP="00925F26">
      <w:pPr>
        <w:jc w:val="both"/>
        <w:rPr>
          <w:color w:val="000000" w:themeColor="text1"/>
          <w:sz w:val="16"/>
          <w:szCs w:val="16"/>
        </w:rPr>
      </w:pPr>
      <w:r w:rsidRPr="00925F26">
        <w:rPr>
          <w:color w:val="000000" w:themeColor="text1"/>
          <w:sz w:val="16"/>
          <w:szCs w:val="16"/>
        </w:rPr>
        <w:t>Несмотря на совершенно другую пушку самоходки, на СУ-85 и СУ-100 для укладки орудийного ЗИП использовали стандартный «тридцатьчетверочный» ящик с размерами 1260x200x200 мм от танковой пушки Ф-34. Однако изначально он крепился на левой надгусеничной полке ближе к носу машины, а потом был смещен назад (точная дата неизвестна, но определенно это изменение произошло не ранееянваря 1945 г.) (19927).</w:t>
      </w:r>
    </w:p>
    <w:p w14:paraId="195409E3" w14:textId="77777777" w:rsidR="00BF18D8" w:rsidRPr="00925F26" w:rsidRDefault="00BF18D8" w:rsidP="00925F26">
      <w:pPr>
        <w:jc w:val="both"/>
        <w:rPr>
          <w:color w:val="000000" w:themeColor="text1"/>
          <w:sz w:val="16"/>
          <w:szCs w:val="16"/>
        </w:rPr>
      </w:pPr>
    </w:p>
    <w:p w14:paraId="0332A8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завод 235 предъявил ГАУ проект двух вариантов пушек В-10 и В-11 для ОСУ-76 - прототипа первой специализированной авиадесантной АСУ-76, но ГАУ их отклонил (1151,72).</w:t>
      </w:r>
    </w:p>
    <w:p w14:paraId="497AE8D2" w14:textId="77777777" w:rsidR="00665165" w:rsidRPr="00925F26" w:rsidRDefault="00665165" w:rsidP="00925F26">
      <w:pPr>
        <w:autoSpaceDE w:val="0"/>
        <w:autoSpaceDN w:val="0"/>
        <w:adjustRightInd w:val="0"/>
        <w:jc w:val="both"/>
        <w:rPr>
          <w:color w:val="000000" w:themeColor="text1"/>
          <w:sz w:val="16"/>
          <w:szCs w:val="16"/>
        </w:rPr>
      </w:pPr>
    </w:p>
    <w:p w14:paraId="0B42A8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мытищинский завод начал готовиться к серийному производству САУ, однако до окончания войны было изго</w:t>
      </w:r>
      <w:r w:rsidRPr="00925F26">
        <w:rPr>
          <w:color w:val="000000" w:themeColor="text1"/>
          <w:sz w:val="16"/>
          <w:szCs w:val="16"/>
        </w:rPr>
        <w:softHyphen/>
        <w:t>товлено лишь несколько машин, получивших индекс ЗСУ-37, по временной технологии. Считается, что до кон</w:t>
      </w:r>
      <w:r w:rsidRPr="00925F26">
        <w:rPr>
          <w:color w:val="000000" w:themeColor="text1"/>
          <w:sz w:val="16"/>
          <w:szCs w:val="16"/>
        </w:rPr>
        <w:softHyphen/>
        <w:t>ца 1945 г. в строй вступил самоходный зентный дивизион ЗСУ-37 в количестве или 12, или 16 машин (11417).</w:t>
      </w:r>
    </w:p>
    <w:p w14:paraId="1736749C" w14:textId="77777777" w:rsidR="00665165" w:rsidRPr="00925F26" w:rsidRDefault="00665165" w:rsidP="00925F26">
      <w:pPr>
        <w:autoSpaceDE w:val="0"/>
        <w:autoSpaceDN w:val="0"/>
        <w:adjustRightInd w:val="0"/>
        <w:jc w:val="both"/>
        <w:rPr>
          <w:color w:val="000000" w:themeColor="text1"/>
          <w:sz w:val="16"/>
          <w:szCs w:val="16"/>
        </w:rPr>
      </w:pPr>
    </w:p>
    <w:p w14:paraId="1F2455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 орудие ЛБ-2 было установлено в дора</w:t>
      </w:r>
      <w:r w:rsidRPr="00925F26">
        <w:rPr>
          <w:color w:val="000000" w:themeColor="text1"/>
          <w:sz w:val="16"/>
          <w:szCs w:val="16"/>
        </w:rPr>
        <w:softHyphen/>
        <w:t>ботанный вариант САУ, получившей индекс СУ-85Б. Она внешне отличалась от СУ-76 конфигурацией повышенных бортов боевой рубки, имевших увеличенную на 2-7 мм толщину брони, форсированным до 158 л.с. двигательным агрегатом ГАЗ-203Ф (ГАЗ-15Б), который уже был доведен до уровня, но потяжелела до 12 460 кг и могла разогнаться лишь до 41 км/ч на шоссе. Будучи неоднократно испытанной на Гороховецком полигоне, СУ-85Б неизменно показывала хорошие резуль</w:t>
      </w:r>
      <w:r w:rsidRPr="00925F26">
        <w:rPr>
          <w:color w:val="000000" w:themeColor="text1"/>
          <w:sz w:val="16"/>
          <w:szCs w:val="16"/>
        </w:rPr>
        <w:softHyphen/>
        <w:t>таты, но на вооружение принята не была, так как война шла к концу и перенастраивать производство на ГАЗ сочли нецелесообразным (11417).</w:t>
      </w:r>
    </w:p>
    <w:p w14:paraId="4FFA48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FB813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на заводе им. А. А. Жданова в разной стадии готовности находилось 11 ТЩ типа МТ-2. На Петрозаводе велась постройка пяти ТЩ, на Усть-Ижорской верфи - трех, на Адмиралтейском заводе - восьми МБК (10671).</w:t>
      </w:r>
    </w:p>
    <w:p w14:paraId="63D1C46F" w14:textId="77777777" w:rsidR="00665165" w:rsidRPr="00925F26" w:rsidRDefault="00665165" w:rsidP="00925F26">
      <w:pPr>
        <w:autoSpaceDE w:val="0"/>
        <w:autoSpaceDN w:val="0"/>
        <w:adjustRightInd w:val="0"/>
        <w:jc w:val="both"/>
        <w:rPr>
          <w:color w:val="000000" w:themeColor="text1"/>
          <w:sz w:val="16"/>
          <w:szCs w:val="16"/>
        </w:rPr>
      </w:pPr>
    </w:p>
    <w:p w14:paraId="0169BE7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0BD143A" w14:textId="77777777" w:rsidR="00665165" w:rsidRPr="00925F26" w:rsidRDefault="00665165" w:rsidP="00925F26">
      <w:pPr>
        <w:autoSpaceDE w:val="0"/>
        <w:autoSpaceDN w:val="0"/>
        <w:adjustRightInd w:val="0"/>
        <w:jc w:val="both"/>
        <w:rPr>
          <w:iCs/>
          <w:color w:val="000000" w:themeColor="text1"/>
          <w:sz w:val="16"/>
          <w:szCs w:val="16"/>
        </w:rPr>
      </w:pPr>
    </w:p>
    <w:p w14:paraId="00BDE0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 планировалось пе</w:t>
      </w:r>
      <w:r w:rsidRPr="00925F26">
        <w:rPr>
          <w:color w:val="000000" w:themeColor="text1"/>
          <w:sz w:val="16"/>
          <w:szCs w:val="16"/>
        </w:rPr>
        <w:softHyphen/>
        <w:t>реучить на Ил-10 уже пять полков (571, 809, 723-й шап и 118-й и 132-й гшап) и 120 отдельных экипажей. Прибывшие части по своей подготовке и боевому опыту даже несколько превосходили две первые. Однако, если январский план бригада выполнила на 91%, то фев</w:t>
      </w:r>
      <w:r w:rsidRPr="00925F26">
        <w:rPr>
          <w:color w:val="000000" w:themeColor="text1"/>
          <w:sz w:val="16"/>
          <w:szCs w:val="16"/>
        </w:rPr>
        <w:softHyphen/>
        <w:t>ральский был провален полностью - 48%. Качество стрельб и бомбометания на полигоне оценили как неудовлетво</w:t>
      </w:r>
      <w:r w:rsidRPr="00925F26">
        <w:rPr>
          <w:color w:val="000000" w:themeColor="text1"/>
          <w:sz w:val="16"/>
          <w:szCs w:val="16"/>
        </w:rPr>
        <w:softHyphen/>
        <w:t>рительное. При этом число летных про</w:t>
      </w:r>
      <w:r w:rsidRPr="00925F26">
        <w:rPr>
          <w:color w:val="000000" w:themeColor="text1"/>
          <w:sz w:val="16"/>
          <w:szCs w:val="16"/>
        </w:rPr>
        <w:softHyphen/>
        <w:t>исшествий возросло почти в два раза -21 против 10 в январе. Несмотря на оби</w:t>
      </w:r>
      <w:r w:rsidRPr="00925F26">
        <w:rPr>
          <w:color w:val="000000" w:themeColor="text1"/>
          <w:sz w:val="16"/>
          <w:szCs w:val="16"/>
        </w:rPr>
        <w:softHyphen/>
        <w:t>лие недостатков у Ил-10, летных проис</w:t>
      </w:r>
      <w:r w:rsidRPr="00925F26">
        <w:rPr>
          <w:color w:val="000000" w:themeColor="text1"/>
          <w:sz w:val="16"/>
          <w:szCs w:val="16"/>
        </w:rPr>
        <w:softHyphen/>
        <w:t>шествий по вине техники было все же немного и в сравнении с уже освоенным и проверенным Ил-2 «десятка» по абсо</w:t>
      </w:r>
      <w:r w:rsidRPr="00925F26">
        <w:rPr>
          <w:color w:val="000000" w:themeColor="text1"/>
          <w:sz w:val="16"/>
          <w:szCs w:val="16"/>
        </w:rPr>
        <w:softHyphen/>
        <w:t>лютным показателям официальной ста</w:t>
      </w:r>
      <w:r w:rsidRPr="00925F26">
        <w:rPr>
          <w:color w:val="000000" w:themeColor="text1"/>
          <w:sz w:val="16"/>
          <w:szCs w:val="16"/>
        </w:rPr>
        <w:softHyphen/>
        <w:t>тистики выглядела не так уж и плохо. Командование бригады объяснило срыв подготовки перебоями с горючим и плохой погодой. Однако думается, что причина состояла в неорганизованности учебно-боевой работы, неоднократно отмечавшейся в различных документах штаба ВВС ПриВО и отчетах самой бри</w:t>
      </w:r>
      <w:r w:rsidRPr="00925F26">
        <w:rPr>
          <w:color w:val="000000" w:themeColor="text1"/>
          <w:sz w:val="16"/>
          <w:szCs w:val="16"/>
        </w:rPr>
        <w:softHyphen/>
        <w:t>гады. Она объяснялась высокой текуче</w:t>
      </w:r>
      <w:r w:rsidRPr="00925F26">
        <w:rPr>
          <w:color w:val="000000" w:themeColor="text1"/>
          <w:sz w:val="16"/>
          <w:szCs w:val="16"/>
        </w:rPr>
        <w:softHyphen/>
        <w:t>стью кадров. Наиболее подготовленные офицеры, как правило, тяготились штабной работой, стремились на фронт и своего добивались (10681).</w:t>
      </w:r>
    </w:p>
    <w:p w14:paraId="0F6C5E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7682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на Ил-10 удалось переучить только один полк - 571-й под</w:t>
      </w:r>
      <w:r w:rsidRPr="00925F26">
        <w:rPr>
          <w:color w:val="000000" w:themeColor="text1"/>
          <w:sz w:val="16"/>
          <w:szCs w:val="16"/>
        </w:rPr>
        <w:softHyphen/>
        <w:t>полковника М.И. Безуха. Следующим достиг готовности 118-й гшап подпол</w:t>
      </w:r>
      <w:r w:rsidRPr="00925F26">
        <w:rPr>
          <w:color w:val="000000" w:themeColor="text1"/>
          <w:sz w:val="16"/>
          <w:szCs w:val="16"/>
        </w:rPr>
        <w:softHyphen/>
        <w:t>ковника Верещинского. Он закончил программу переподготовки 2 марта. Но получение недостающих самолетов за</w:t>
      </w:r>
      <w:r w:rsidRPr="00925F26">
        <w:rPr>
          <w:color w:val="000000" w:themeColor="text1"/>
          <w:sz w:val="16"/>
          <w:szCs w:val="16"/>
        </w:rPr>
        <w:softHyphen/>
        <w:t>тянулось до середины марта. В резуль</w:t>
      </w:r>
      <w:r w:rsidRPr="00925F26">
        <w:rPr>
          <w:color w:val="000000" w:themeColor="text1"/>
          <w:sz w:val="16"/>
          <w:szCs w:val="16"/>
        </w:rPr>
        <w:softHyphen/>
        <w:t xml:space="preserve">тате оба полка убыли на фронт </w:t>
      </w:r>
      <w:proofErr w:type="gramStart"/>
      <w:r w:rsidRPr="00925F26">
        <w:rPr>
          <w:color w:val="000000" w:themeColor="text1"/>
          <w:sz w:val="16"/>
          <w:szCs w:val="16"/>
        </w:rPr>
        <w:t>одно-временно</w:t>
      </w:r>
      <w:proofErr w:type="gramEnd"/>
      <w:r w:rsidRPr="00925F26">
        <w:rPr>
          <w:color w:val="000000" w:themeColor="text1"/>
          <w:sz w:val="16"/>
          <w:szCs w:val="16"/>
        </w:rPr>
        <w:t>, двумя группами: 19 марта вылетели 42 экипажа 118-го гшап и 41 -из 571-го шап, а 20 марта - четыре из 118-го гшап (один на Ил-10 и три - поез</w:t>
      </w:r>
      <w:r w:rsidRPr="00925F26">
        <w:rPr>
          <w:color w:val="000000" w:themeColor="text1"/>
          <w:sz w:val="16"/>
          <w:szCs w:val="16"/>
        </w:rPr>
        <w:softHyphen/>
        <w:t>дом) и один экипаж 571-го шап (летом). В следующем месяце на фронт на</w:t>
      </w:r>
      <w:r w:rsidRPr="00925F26">
        <w:rPr>
          <w:color w:val="000000" w:themeColor="text1"/>
          <w:sz w:val="16"/>
          <w:szCs w:val="16"/>
        </w:rPr>
        <w:softHyphen/>
        <w:t>правили сразу семь полков на новых штурмовиках (7, 59, 75-й и 132-й гшап и 723, 899-й и 995-й шап) - в общей слож</w:t>
      </w:r>
      <w:r w:rsidRPr="00925F26">
        <w:rPr>
          <w:color w:val="000000" w:themeColor="text1"/>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925F26">
        <w:rPr>
          <w:color w:val="000000" w:themeColor="text1"/>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925F26">
        <w:rPr>
          <w:color w:val="000000" w:themeColor="text1"/>
          <w:sz w:val="16"/>
          <w:szCs w:val="16"/>
        </w:rPr>
        <w:softHyphen/>
        <w:t>кументам полки этого корпуса проходи</w:t>
      </w:r>
      <w:r w:rsidRPr="00925F26">
        <w:rPr>
          <w:color w:val="000000" w:themeColor="text1"/>
          <w:sz w:val="16"/>
          <w:szCs w:val="16"/>
        </w:rPr>
        <w:softHyphen/>
        <w:t>ли тренировку для участия в параде на Красной площади по случаю победы над Германией (10681).</w:t>
      </w:r>
    </w:p>
    <w:p w14:paraId="1C8023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AE9E4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г. планировалось переучить на Ил-10 уже пять марше</w:t>
      </w:r>
      <w:r w:rsidRPr="00925F26">
        <w:rPr>
          <w:color w:val="000000" w:themeColor="text1"/>
          <w:sz w:val="16"/>
          <w:szCs w:val="16"/>
        </w:rPr>
        <w:softHyphen/>
        <w:t>вых авиаполков (571-й, 809-й, 118-й гвардейский, 723-й и 132-й гвардей</w:t>
      </w:r>
      <w:r w:rsidRPr="00925F26">
        <w:rPr>
          <w:color w:val="000000" w:themeColor="text1"/>
          <w:sz w:val="16"/>
          <w:szCs w:val="16"/>
        </w:rPr>
        <w:softHyphen/>
        <w:t>ский шап) и 120 отдельных экипажей. Однако если январский план по пере</w:t>
      </w:r>
      <w:r w:rsidRPr="00925F26">
        <w:rPr>
          <w:color w:val="000000" w:themeColor="text1"/>
          <w:sz w:val="16"/>
          <w:szCs w:val="16"/>
        </w:rPr>
        <w:softHyphen/>
        <w:t>учиванию на Ил-10 бригада выполни</w:t>
      </w:r>
      <w:r w:rsidRPr="00925F26">
        <w:rPr>
          <w:color w:val="000000" w:themeColor="text1"/>
          <w:sz w:val="16"/>
          <w:szCs w:val="16"/>
        </w:rPr>
        <w:softHyphen/>
        <w:t>ла на 91%, то февральский был про</w:t>
      </w:r>
      <w:r w:rsidRPr="00925F26">
        <w:rPr>
          <w:color w:val="000000" w:themeColor="text1"/>
          <w:sz w:val="16"/>
          <w:szCs w:val="16"/>
        </w:rPr>
        <w:softHyphen/>
        <w:t>вален полностью - 48%.</w:t>
      </w:r>
    </w:p>
    <w:p w14:paraId="7A0260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Качество стрельб и бомбометания на полигоне было оценено как не</w:t>
      </w:r>
      <w:r w:rsidRPr="00925F26">
        <w:rPr>
          <w:color w:val="000000" w:themeColor="text1"/>
          <w:sz w:val="16"/>
          <w:szCs w:val="16"/>
        </w:rPr>
        <w:softHyphen/>
        <w:t>удовлетворительное. Процент выпол</w:t>
      </w:r>
      <w:r w:rsidRPr="00925F26">
        <w:rPr>
          <w:color w:val="000000" w:themeColor="text1"/>
          <w:sz w:val="16"/>
          <w:szCs w:val="16"/>
        </w:rPr>
        <w:softHyphen/>
        <w:t xml:space="preserve">нения заданий </w:t>
      </w:r>
      <w:proofErr w:type="gramStart"/>
      <w:r w:rsidRPr="00925F26">
        <w:rPr>
          <w:color w:val="000000" w:themeColor="text1"/>
          <w:sz w:val="16"/>
          <w:szCs w:val="16"/>
        </w:rPr>
        <w:t>по боевому</w:t>
      </w:r>
      <w:proofErr w:type="gramEnd"/>
      <w:r w:rsidRPr="00925F26">
        <w:rPr>
          <w:color w:val="000000" w:themeColor="text1"/>
          <w:sz w:val="16"/>
          <w:szCs w:val="16"/>
        </w:rPr>
        <w:t xml:space="preserve"> примене</w:t>
      </w:r>
      <w:r w:rsidRPr="00925F26">
        <w:rPr>
          <w:color w:val="000000" w:themeColor="text1"/>
          <w:sz w:val="16"/>
          <w:szCs w:val="16"/>
        </w:rPr>
        <w:softHyphen/>
        <w:t>нию на полигоне составил: с оцен</w:t>
      </w:r>
      <w:r w:rsidRPr="00925F26">
        <w:rPr>
          <w:color w:val="000000" w:themeColor="text1"/>
          <w:sz w:val="16"/>
          <w:szCs w:val="16"/>
        </w:rPr>
        <w:softHyphen/>
        <w:t>кой отлично- 12%, хорошо-42%, по</w:t>
      </w:r>
      <w:r w:rsidRPr="00925F26">
        <w:rPr>
          <w:color w:val="000000" w:themeColor="text1"/>
          <w:sz w:val="16"/>
          <w:szCs w:val="16"/>
        </w:rPr>
        <w:softHyphen/>
        <w:t>средственно - 46% и не выполнение заданий - 18,7%. При этом количество летных про</w:t>
      </w:r>
      <w:r w:rsidRPr="00925F26">
        <w:rPr>
          <w:color w:val="000000" w:themeColor="text1"/>
          <w:sz w:val="16"/>
          <w:szCs w:val="16"/>
        </w:rPr>
        <w:softHyphen/>
        <w:t>исшествий возросло почти в два раза - 21 летное происшествие против 10 в январе месяце. Из этого числа на долю Ил-10 пришлись 2 аварии и 6 поломок самолета, что с учетом обще</w:t>
      </w:r>
      <w:r w:rsidRPr="00925F26">
        <w:rPr>
          <w:color w:val="000000" w:themeColor="text1"/>
          <w:sz w:val="16"/>
          <w:szCs w:val="16"/>
        </w:rPr>
        <w:softHyphen/>
        <w:t>го налета составило 57 ч 50 мин лет</w:t>
      </w:r>
      <w:r w:rsidRPr="00925F26">
        <w:rPr>
          <w:color w:val="000000" w:themeColor="text1"/>
          <w:sz w:val="16"/>
          <w:szCs w:val="16"/>
        </w:rPr>
        <w:softHyphen/>
        <w:t>ного времени (209 посадок) на одно происшествие. В то же время средний уровень лет-но-боевой подготовки вновь прибыв</w:t>
      </w:r>
      <w:r w:rsidRPr="00925F26">
        <w:rPr>
          <w:color w:val="000000" w:themeColor="text1"/>
          <w:sz w:val="16"/>
          <w:szCs w:val="16"/>
        </w:rPr>
        <w:softHyphen/>
        <w:t>ших маршевых авиаполков оказался не ниже уровня лидерных полков, а даже несколько выше. Так, боевой на</w:t>
      </w:r>
      <w:r w:rsidRPr="00925F26">
        <w:rPr>
          <w:color w:val="000000" w:themeColor="text1"/>
          <w:sz w:val="16"/>
          <w:szCs w:val="16"/>
        </w:rPr>
        <w:softHyphen/>
        <w:t>лет на одного летчика в 571-м шап со</w:t>
      </w:r>
      <w:r w:rsidRPr="00925F26">
        <w:rPr>
          <w:color w:val="000000" w:themeColor="text1"/>
          <w:sz w:val="16"/>
          <w:szCs w:val="16"/>
        </w:rPr>
        <w:softHyphen/>
        <w:t>ставил в среднем 53 вылета, в 809-м -77 вылетов, в 132-м и 118-м гвардейс</w:t>
      </w:r>
      <w:r w:rsidRPr="00925F26">
        <w:rPr>
          <w:color w:val="000000" w:themeColor="text1"/>
          <w:sz w:val="16"/>
          <w:szCs w:val="16"/>
        </w:rPr>
        <w:softHyphen/>
        <w:t>ких - около 55 и 38 вылетов, соответ</w:t>
      </w:r>
      <w:r w:rsidRPr="00925F26">
        <w:rPr>
          <w:color w:val="000000" w:themeColor="text1"/>
          <w:sz w:val="16"/>
          <w:szCs w:val="16"/>
        </w:rPr>
        <w:softHyphen/>
        <w:t>ственно. Командование бригады объяснило срыв подготовки отсутствием в тече</w:t>
      </w:r>
      <w:r w:rsidRPr="00925F26">
        <w:rPr>
          <w:color w:val="000000" w:themeColor="text1"/>
          <w:sz w:val="16"/>
          <w:szCs w:val="16"/>
        </w:rPr>
        <w:softHyphen/>
        <w:t xml:space="preserve">ние 7 дней горючего и в течение 5 дней </w:t>
      </w:r>
      <w:r w:rsidRPr="00925F26">
        <w:rPr>
          <w:iCs/>
          <w:color w:val="000000" w:themeColor="text1"/>
          <w:sz w:val="16"/>
          <w:szCs w:val="16"/>
        </w:rPr>
        <w:t xml:space="preserve">(в </w:t>
      </w:r>
      <w:r w:rsidRPr="00925F26">
        <w:rPr>
          <w:color w:val="000000" w:themeColor="text1"/>
          <w:sz w:val="16"/>
          <w:szCs w:val="16"/>
        </w:rPr>
        <w:t>среднем по бригаде) летной пого</w:t>
      </w:r>
      <w:r w:rsidRPr="00925F26">
        <w:rPr>
          <w:color w:val="000000" w:themeColor="text1"/>
          <w:sz w:val="16"/>
          <w:szCs w:val="16"/>
        </w:rPr>
        <w:softHyphen/>
        <w:t>ды, а также опозданием 132-го гшап с прибытием для переучивания. Однако думается, что причина состояла в из</w:t>
      </w:r>
      <w:r w:rsidRPr="00925F26">
        <w:rPr>
          <w:color w:val="000000" w:themeColor="text1"/>
          <w:sz w:val="16"/>
          <w:szCs w:val="16"/>
        </w:rPr>
        <w:softHyphen/>
        <w:t>вестной неорганизованности учебно-боевой работы в 1-й заб, неоднократ</w:t>
      </w:r>
      <w:r w:rsidRPr="00925F26">
        <w:rPr>
          <w:color w:val="000000" w:themeColor="text1"/>
          <w:sz w:val="16"/>
          <w:szCs w:val="16"/>
        </w:rPr>
        <w:softHyphen/>
        <w:t>но отмечавшейся в различных руково</w:t>
      </w:r>
      <w:r w:rsidRPr="00925F26">
        <w:rPr>
          <w:color w:val="000000" w:themeColor="text1"/>
          <w:sz w:val="16"/>
          <w:szCs w:val="16"/>
        </w:rPr>
        <w:softHyphen/>
        <w:t>дящих документах штаба ВВС ПриВО и отчетных документах самой бригады. Она объяснялась высокой текучестью кадров в звене управления полков и бригады: «...командиры и их штабы в зап обновлялись в течение года по од-ному-два раза», а «отдел боевой под</w:t>
      </w:r>
      <w:r w:rsidRPr="00925F26">
        <w:rPr>
          <w:color w:val="000000" w:themeColor="text1"/>
          <w:sz w:val="16"/>
          <w:szCs w:val="16"/>
        </w:rPr>
        <w:softHyphen/>
        <w:t>готовки бригады в год обновлялся в полном составе три раза». Как прави</w:t>
      </w:r>
      <w:r w:rsidRPr="00925F26">
        <w:rPr>
          <w:color w:val="000000" w:themeColor="text1"/>
          <w:sz w:val="16"/>
          <w:szCs w:val="16"/>
        </w:rPr>
        <w:softHyphen/>
        <w:t>ло, должности помощника командира полка по воздушно-стрелковой служ</w:t>
      </w:r>
      <w:r w:rsidRPr="00925F26">
        <w:rPr>
          <w:color w:val="000000" w:themeColor="text1"/>
          <w:sz w:val="16"/>
          <w:szCs w:val="16"/>
        </w:rPr>
        <w:softHyphen/>
        <w:t>бе, штурмана полка, начальника штаба полка занимали наиболее подготов</w:t>
      </w:r>
      <w:r w:rsidRPr="00925F26">
        <w:rPr>
          <w:color w:val="000000" w:themeColor="text1"/>
          <w:sz w:val="16"/>
          <w:szCs w:val="16"/>
        </w:rPr>
        <w:softHyphen/>
        <w:t>ленные офицеры, которые, как прави</w:t>
      </w:r>
      <w:r w:rsidRPr="00925F26">
        <w:rPr>
          <w:color w:val="000000" w:themeColor="text1"/>
          <w:sz w:val="16"/>
          <w:szCs w:val="16"/>
        </w:rPr>
        <w:softHyphen/>
        <w:t>ло, тяготились штабной работой, стре</w:t>
      </w:r>
      <w:r w:rsidRPr="00925F26">
        <w:rPr>
          <w:color w:val="000000" w:themeColor="text1"/>
          <w:sz w:val="16"/>
          <w:szCs w:val="16"/>
        </w:rPr>
        <w:softHyphen/>
        <w:t>мились на фронт и своего добивались. Должность становилась вакантной и, пока кадровики подыскивали достой</w:t>
      </w:r>
      <w:r w:rsidRPr="00925F26">
        <w:rPr>
          <w:color w:val="000000" w:themeColor="text1"/>
          <w:sz w:val="16"/>
          <w:szCs w:val="16"/>
        </w:rPr>
        <w:softHyphen/>
        <w:t>ного кандидата, решение текущих вопросов по конкретному направле</w:t>
      </w:r>
      <w:r w:rsidRPr="00925F26">
        <w:rPr>
          <w:color w:val="000000" w:themeColor="text1"/>
          <w:sz w:val="16"/>
          <w:szCs w:val="16"/>
        </w:rPr>
        <w:softHyphen/>
        <w:t>нию учебно-боевой работы поруча</w:t>
      </w:r>
      <w:r w:rsidRPr="00925F26">
        <w:rPr>
          <w:color w:val="000000" w:themeColor="text1"/>
          <w:sz w:val="16"/>
          <w:szCs w:val="16"/>
        </w:rPr>
        <w:softHyphen/>
        <w:t>лось одному из офицеров звена уп</w:t>
      </w:r>
      <w:r w:rsidRPr="00925F26">
        <w:rPr>
          <w:color w:val="000000" w:themeColor="text1"/>
          <w:sz w:val="16"/>
          <w:szCs w:val="16"/>
        </w:rPr>
        <w:softHyphen/>
        <w:t>равления в качестве дополнительной нагрузки к его прямым обязанностям или же «временно» назначался пер</w:t>
      </w:r>
      <w:r w:rsidRPr="00925F26">
        <w:rPr>
          <w:color w:val="000000" w:themeColor="text1"/>
          <w:sz w:val="16"/>
          <w:szCs w:val="16"/>
        </w:rPr>
        <w:softHyphen/>
        <w:t>вый более или менее подходящий офицер из другого подразделения. Вполне естественно, что ни тот, ни другой, что называется, были «не в курсе дела». Назначенный же на дол</w:t>
      </w:r>
      <w:r w:rsidRPr="00925F26">
        <w:rPr>
          <w:color w:val="000000" w:themeColor="text1"/>
          <w:sz w:val="16"/>
          <w:szCs w:val="16"/>
        </w:rPr>
        <w:softHyphen/>
        <w:t>жность боевой офицер с большим опытом войны, как никто другой по</w:t>
      </w:r>
      <w:r w:rsidRPr="00925F26">
        <w:rPr>
          <w:color w:val="000000" w:themeColor="text1"/>
          <w:sz w:val="16"/>
          <w:szCs w:val="16"/>
        </w:rPr>
        <w:softHyphen/>
        <w:t>нимающий, что нужно на войне, по указанным выше причинам в течение двух-трех месяцев пробивал себе от</w:t>
      </w:r>
      <w:r w:rsidRPr="00925F26">
        <w:rPr>
          <w:color w:val="000000" w:themeColor="text1"/>
          <w:sz w:val="16"/>
          <w:szCs w:val="16"/>
        </w:rPr>
        <w:softHyphen/>
        <w:t>правку на фронт. Считалось, что на фронте он нужнее. И все возвраща</w:t>
      </w:r>
      <w:r w:rsidRPr="00925F26">
        <w:rPr>
          <w:color w:val="000000" w:themeColor="text1"/>
          <w:sz w:val="16"/>
          <w:szCs w:val="16"/>
        </w:rPr>
        <w:softHyphen/>
        <w:t>лось «на круги своя». В результате ча</w:t>
      </w:r>
      <w:r w:rsidRPr="00925F26">
        <w:rPr>
          <w:color w:val="000000" w:themeColor="text1"/>
          <w:sz w:val="16"/>
          <w:szCs w:val="16"/>
        </w:rPr>
        <w:softHyphen/>
        <w:t>стой ротации кадров организация учебно-боевой работы в запасных полках всегда «хромала на обе ноги» (11132).</w:t>
      </w:r>
    </w:p>
    <w:p w14:paraId="484C51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2D28A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1945 с целью лучшего освоения са</w:t>
      </w:r>
      <w:r w:rsidRPr="00925F26">
        <w:rPr>
          <w:color w:val="000000" w:themeColor="text1"/>
          <w:sz w:val="16"/>
          <w:szCs w:val="16"/>
        </w:rPr>
        <w:softHyphen/>
        <w:t>молета Ил-10 силами 1-й заб была закончена опытная отра</w:t>
      </w:r>
      <w:r w:rsidRPr="00925F26">
        <w:rPr>
          <w:color w:val="000000" w:themeColor="text1"/>
          <w:sz w:val="16"/>
          <w:szCs w:val="16"/>
        </w:rPr>
        <w:softHyphen/>
        <w:t>ботка боевого применения Ил-10, по результатам которой подготовле</w:t>
      </w:r>
      <w:r w:rsidRPr="00925F26">
        <w:rPr>
          <w:color w:val="000000" w:themeColor="text1"/>
          <w:sz w:val="16"/>
          <w:szCs w:val="16"/>
        </w:rPr>
        <w:softHyphen/>
        <w:t>ны методические указания и разос</w:t>
      </w:r>
      <w:r w:rsidRPr="00925F26">
        <w:rPr>
          <w:color w:val="000000" w:themeColor="text1"/>
          <w:sz w:val="16"/>
          <w:szCs w:val="16"/>
        </w:rPr>
        <w:softHyphen/>
        <w:t xml:space="preserve">ланы в части. Кроме этого, были </w:t>
      </w:r>
      <w:proofErr w:type="gramStart"/>
      <w:r w:rsidRPr="00925F26">
        <w:rPr>
          <w:color w:val="000000" w:themeColor="text1"/>
          <w:sz w:val="16"/>
          <w:szCs w:val="16"/>
        </w:rPr>
        <w:t>про-ведены</w:t>
      </w:r>
      <w:proofErr w:type="gramEnd"/>
      <w:r w:rsidRPr="00925F26">
        <w:rPr>
          <w:color w:val="000000" w:themeColor="text1"/>
          <w:sz w:val="16"/>
          <w:szCs w:val="16"/>
        </w:rPr>
        <w:t xml:space="preserve"> методические совещания штурманов полков и помощников командиров полков по воздушно-стрелковой службе по обобщению опыта бомбометания и воздушной стрельбы с Ил-10 и методике обу</w:t>
      </w:r>
      <w:r w:rsidRPr="00925F26">
        <w:rPr>
          <w:color w:val="000000" w:themeColor="text1"/>
          <w:sz w:val="16"/>
          <w:szCs w:val="16"/>
        </w:rPr>
        <w:softHyphen/>
        <w:t>чения летного состава боевому при</w:t>
      </w:r>
      <w:r w:rsidRPr="00925F26">
        <w:rPr>
          <w:color w:val="000000" w:themeColor="text1"/>
          <w:sz w:val="16"/>
          <w:szCs w:val="16"/>
        </w:rPr>
        <w:softHyphen/>
        <w:t>менению на «десятке».</w:t>
      </w:r>
    </w:p>
    <w:p w14:paraId="521C27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Реально в феврале на самолете Ил-10 удалось переучить только один маршевый авиаполк - 571-й штурмовой авиаполк подполковника М. И. Безуха. Согласно Акту готовно</w:t>
      </w:r>
      <w:r w:rsidRPr="00925F26">
        <w:rPr>
          <w:color w:val="000000" w:themeColor="text1"/>
          <w:sz w:val="16"/>
          <w:szCs w:val="16"/>
        </w:rPr>
        <w:softHyphen/>
        <w:t>сти полка к убытию на фронт от 28 февраля 1945 г. полк имел в своем составе 42 летчика, прошедших про</w:t>
      </w:r>
      <w:r w:rsidRPr="00925F26">
        <w:rPr>
          <w:color w:val="000000" w:themeColor="text1"/>
          <w:sz w:val="16"/>
          <w:szCs w:val="16"/>
        </w:rPr>
        <w:softHyphen/>
        <w:t>грамму переучивания на Ил-10. Из этого числа 38 летчиков имели бое</w:t>
      </w:r>
      <w:r w:rsidRPr="00925F26">
        <w:rPr>
          <w:color w:val="000000" w:themeColor="text1"/>
          <w:sz w:val="16"/>
          <w:szCs w:val="16"/>
        </w:rPr>
        <w:softHyphen/>
        <w:t>вой опыт на самолете Ил-2. В ходе переучивания полк получил из 5-го зал на пополнение двух летчиков, переучившихся на самолете Ил-10. Налет на одного летчика полка на Ил-10 составил 3 ч 7 мин (17 поса</w:t>
      </w:r>
      <w:r w:rsidRPr="00925F26">
        <w:rPr>
          <w:color w:val="000000" w:themeColor="text1"/>
          <w:sz w:val="16"/>
          <w:szCs w:val="16"/>
        </w:rPr>
        <w:softHyphen/>
        <w:t>док), в том числе 2 ч 44 мин (13 поса</w:t>
      </w:r>
      <w:r w:rsidRPr="00925F26">
        <w:rPr>
          <w:color w:val="000000" w:themeColor="text1"/>
          <w:sz w:val="16"/>
          <w:szCs w:val="16"/>
        </w:rPr>
        <w:softHyphen/>
        <w:t>док) на боевое применение.</w:t>
      </w:r>
    </w:p>
    <w:p w14:paraId="1D2B5A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Следующим авиаполком, достиг</w:t>
      </w:r>
      <w:r w:rsidRPr="00925F26">
        <w:rPr>
          <w:color w:val="000000" w:themeColor="text1"/>
          <w:sz w:val="16"/>
          <w:szCs w:val="16"/>
        </w:rPr>
        <w:softHyphen/>
        <w:t>нувшим готовности на Ил-10, стал 118-й гвардейский шап п-п-ка Ве-рещинского. Согласно Акту готов</w:t>
      </w:r>
      <w:r w:rsidRPr="00925F26">
        <w:rPr>
          <w:color w:val="000000" w:themeColor="text1"/>
          <w:sz w:val="16"/>
          <w:szCs w:val="16"/>
        </w:rPr>
        <w:softHyphen/>
        <w:t>ности к убытию на фронт полк 2 мар</w:t>
      </w:r>
      <w:r w:rsidRPr="00925F26">
        <w:rPr>
          <w:color w:val="000000" w:themeColor="text1"/>
          <w:sz w:val="16"/>
          <w:szCs w:val="16"/>
        </w:rPr>
        <w:softHyphen/>
        <w:t>та полностью закончил программу переучивания на самолете Ил-10 в составе 44 экипажей. Полк получил из 12-го зал 9 летчиков пополне</w:t>
      </w:r>
      <w:r w:rsidRPr="00925F26">
        <w:rPr>
          <w:color w:val="000000" w:themeColor="text1"/>
          <w:sz w:val="16"/>
          <w:szCs w:val="16"/>
        </w:rPr>
        <w:softHyphen/>
        <w:t>ния, прошедших переучивание на Ил-10. Каждый летчик выполнил на самолете Ил-10 три полета по маршруту, по одному полету на бомбометание и стрельбу по назем</w:t>
      </w:r>
      <w:r w:rsidRPr="00925F26">
        <w:rPr>
          <w:color w:val="000000" w:themeColor="text1"/>
          <w:sz w:val="16"/>
          <w:szCs w:val="16"/>
        </w:rPr>
        <w:softHyphen/>
        <w:t>ной цели, 2-4 полета на групповую слетанность и два полета на при</w:t>
      </w:r>
      <w:r w:rsidRPr="00925F26">
        <w:rPr>
          <w:color w:val="000000" w:themeColor="text1"/>
          <w:sz w:val="16"/>
          <w:szCs w:val="16"/>
        </w:rPr>
        <w:softHyphen/>
        <w:t>менение РПК-10. Средний налет на Ил-10 составил 3 ч 35 мин.</w:t>
      </w:r>
    </w:p>
    <w:p w14:paraId="233949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Получение полками недостаю</w:t>
      </w:r>
      <w:r w:rsidRPr="00925F26">
        <w:rPr>
          <w:color w:val="000000" w:themeColor="text1"/>
          <w:sz w:val="16"/>
          <w:szCs w:val="16"/>
        </w:rPr>
        <w:softHyphen/>
        <w:t>щей до полного штата матчасти за</w:t>
      </w:r>
      <w:r w:rsidRPr="00925F26">
        <w:rPr>
          <w:color w:val="000000" w:themeColor="text1"/>
          <w:sz w:val="16"/>
          <w:szCs w:val="16"/>
        </w:rPr>
        <w:softHyphen/>
        <w:t>тянулось до середины марта. В ре</w:t>
      </w:r>
      <w:r w:rsidRPr="00925F26">
        <w:rPr>
          <w:color w:val="000000" w:themeColor="text1"/>
          <w:sz w:val="16"/>
          <w:szCs w:val="16"/>
        </w:rPr>
        <w:softHyphen/>
        <w:t>зультате оба полка убыли на фронт одновременно двумя группами: 19 марта на Ил-10 вылетели 42 экипа</w:t>
      </w:r>
      <w:r w:rsidRPr="00925F26">
        <w:rPr>
          <w:color w:val="000000" w:themeColor="text1"/>
          <w:sz w:val="16"/>
          <w:szCs w:val="16"/>
        </w:rPr>
        <w:softHyphen/>
        <w:t>жа 118-го гшап и 41 экипаж 571-го шап, а 20 марта - четыре экипажа 118-го гшап (один летом на Ил-10 и три - поездом) и один экипаж 571-го шап летом на Ил-10 (11132).</w:t>
      </w:r>
    </w:p>
    <w:p w14:paraId="67D183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BA36F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над Германией и на западном направлении было сбито 533 немецких истребителя, а на восточном - 446. В марте соответственно - 567 и 431 (3573).</w:t>
      </w:r>
    </w:p>
    <w:p w14:paraId="77F98D3D" w14:textId="77777777" w:rsidR="00665165" w:rsidRPr="00925F26" w:rsidRDefault="00665165" w:rsidP="00925F26">
      <w:pPr>
        <w:autoSpaceDE w:val="0"/>
        <w:autoSpaceDN w:val="0"/>
        <w:adjustRightInd w:val="0"/>
        <w:jc w:val="both"/>
        <w:rPr>
          <w:color w:val="000000" w:themeColor="text1"/>
          <w:sz w:val="16"/>
          <w:szCs w:val="16"/>
        </w:rPr>
      </w:pPr>
    </w:p>
    <w:p w14:paraId="3BAC5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польские Ил-2 приняли участие в боях в Померании (Поморье) и атаковали цели в Chojnice, Szczecinek, Barwice, Zlocienice, Czaplinek Kamienice, а затем переместились в районы Pila и Poznan (241,37).</w:t>
      </w:r>
    </w:p>
    <w:p w14:paraId="5D27DA4F" w14:textId="77777777" w:rsidR="00665165" w:rsidRPr="00925F26" w:rsidRDefault="00665165" w:rsidP="00925F26">
      <w:pPr>
        <w:autoSpaceDE w:val="0"/>
        <w:autoSpaceDN w:val="0"/>
        <w:adjustRightInd w:val="0"/>
        <w:jc w:val="both"/>
        <w:rPr>
          <w:color w:val="000000" w:themeColor="text1"/>
          <w:sz w:val="16"/>
          <w:szCs w:val="16"/>
        </w:rPr>
      </w:pPr>
    </w:p>
    <w:p w14:paraId="5CEEED1A" w14:textId="77777777" w:rsidR="005903DB" w:rsidRPr="00925F26" w:rsidRDefault="005903DB" w:rsidP="00925F26">
      <w:pPr>
        <w:jc w:val="both"/>
        <w:rPr>
          <w:color w:val="000000" w:themeColor="text1"/>
          <w:sz w:val="16"/>
          <w:szCs w:val="16"/>
        </w:rPr>
      </w:pPr>
      <w:r w:rsidRPr="00925F26">
        <w:rPr>
          <w:color w:val="000000" w:themeColor="text1"/>
          <w:sz w:val="16"/>
          <w:szCs w:val="16"/>
        </w:rPr>
        <w:t xml:space="preserve">В феврале 1945 года бывший польский бронепоезд </w:t>
      </w:r>
      <w:r w:rsidRPr="00925F26">
        <w:rPr>
          <w:color w:val="000000" w:themeColor="text1"/>
          <w:sz w:val="16"/>
          <w:szCs w:val="16"/>
          <w:lang w:val="en-US"/>
        </w:rPr>
        <w:t>PanzerZug</w:t>
      </w:r>
      <w:r w:rsidRPr="00925F26">
        <w:rPr>
          <w:color w:val="000000" w:themeColor="text1"/>
          <w:sz w:val="16"/>
          <w:szCs w:val="16"/>
        </w:rPr>
        <w:t xml:space="preserve"> №22 – был уничтожен советскими штурмовиками в польской Шпротаве (15218).</w:t>
      </w:r>
    </w:p>
    <w:p w14:paraId="550AE792" w14:textId="77777777" w:rsidR="005903DB" w:rsidRPr="00925F26" w:rsidRDefault="005903DB" w:rsidP="00925F26">
      <w:pPr>
        <w:jc w:val="both"/>
        <w:rPr>
          <w:color w:val="000000" w:themeColor="text1"/>
          <w:sz w:val="16"/>
          <w:szCs w:val="16"/>
        </w:rPr>
      </w:pPr>
    </w:p>
    <w:p w14:paraId="1E629F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года в Советский Союз перелетели последние машины из Ирана - три P-47D - (3457,57).</w:t>
      </w:r>
    </w:p>
    <w:p w14:paraId="4899A4E3" w14:textId="77777777" w:rsidR="00665165" w:rsidRPr="00925F26" w:rsidRDefault="00665165" w:rsidP="00925F26">
      <w:pPr>
        <w:autoSpaceDE w:val="0"/>
        <w:autoSpaceDN w:val="0"/>
        <w:adjustRightInd w:val="0"/>
        <w:jc w:val="both"/>
        <w:rPr>
          <w:color w:val="000000" w:themeColor="text1"/>
          <w:sz w:val="16"/>
          <w:szCs w:val="16"/>
        </w:rPr>
      </w:pPr>
    </w:p>
    <w:p w14:paraId="49576664" w14:textId="77777777" w:rsidR="00327D90" w:rsidRPr="00925F26" w:rsidRDefault="00327D90"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8FFE092" w14:textId="77777777" w:rsidR="00327D90" w:rsidRPr="00925F26" w:rsidRDefault="00327D90" w:rsidP="00925F26">
      <w:pPr>
        <w:autoSpaceDE w:val="0"/>
        <w:autoSpaceDN w:val="0"/>
        <w:adjustRightInd w:val="0"/>
        <w:jc w:val="both"/>
        <w:rPr>
          <w:iCs/>
          <w:color w:val="000000" w:themeColor="text1"/>
          <w:sz w:val="16"/>
          <w:szCs w:val="16"/>
        </w:rPr>
      </w:pPr>
    </w:p>
    <w:p w14:paraId="4B571D80" w14:textId="6563BF22" w:rsidR="00327D90" w:rsidRPr="00925F26" w:rsidRDefault="00327D90" w:rsidP="00925F26">
      <w:pPr>
        <w:pStyle w:val="rtejustify"/>
        <w:shd w:val="clear" w:color="auto" w:fill="FFFFFF"/>
        <w:spacing w:before="0" w:after="0"/>
        <w:rPr>
          <w:color w:val="000000" w:themeColor="text1"/>
          <w:sz w:val="16"/>
          <w:szCs w:val="16"/>
        </w:rPr>
      </w:pPr>
      <w:r w:rsidRPr="00925F26">
        <w:rPr>
          <w:color w:val="000000" w:themeColor="text1"/>
          <w:sz w:val="16"/>
          <w:szCs w:val="16"/>
        </w:rPr>
        <w:t xml:space="preserve">С </w:t>
      </w:r>
      <w:r w:rsidR="00997EDF" w:rsidRPr="00925F26">
        <w:rPr>
          <w:color w:val="000000" w:themeColor="text1"/>
          <w:sz w:val="16"/>
          <w:szCs w:val="16"/>
        </w:rPr>
        <w:t xml:space="preserve">  </w:t>
      </w:r>
      <w:r w:rsidRPr="00925F26">
        <w:rPr>
          <w:color w:val="000000" w:themeColor="text1"/>
          <w:sz w:val="16"/>
          <w:szCs w:val="16"/>
        </w:rPr>
        <w:t>февраля 1945 г. в целях предотвращения терактов и диверсий в тылу продвигавшейся Советской Армии по приказу И.В. Сталина было интернировано 208</w:t>
      </w:r>
      <w:r w:rsidR="00997EDF" w:rsidRPr="00925F26">
        <w:rPr>
          <w:color w:val="000000" w:themeColor="text1"/>
          <w:sz w:val="16"/>
          <w:szCs w:val="16"/>
        </w:rPr>
        <w:t xml:space="preserve">  </w:t>
      </w:r>
      <w:r w:rsidRPr="00925F26">
        <w:rPr>
          <w:color w:val="000000" w:themeColor="text1"/>
          <w:sz w:val="16"/>
          <w:szCs w:val="16"/>
        </w:rPr>
        <w:t>239 человек, «годных к физическому труду и способных носить оружие», а также 61</w:t>
      </w:r>
      <w:r w:rsidR="00997EDF" w:rsidRPr="00925F26">
        <w:rPr>
          <w:color w:val="000000" w:themeColor="text1"/>
          <w:sz w:val="16"/>
          <w:szCs w:val="16"/>
        </w:rPr>
        <w:t xml:space="preserve">  </w:t>
      </w:r>
      <w:r w:rsidRPr="00925F26">
        <w:rPr>
          <w:color w:val="000000" w:themeColor="text1"/>
          <w:sz w:val="16"/>
          <w:szCs w:val="16"/>
        </w:rPr>
        <w:t xml:space="preserve">573 арестованных функционеров низовых нацистских партийных и административных органов. В плен попало 200 тыс. бывших советских граждан, служивших на стороне Германии, а также </w:t>
      </w:r>
      <w:proofErr w:type="gramStart"/>
      <w:r w:rsidRPr="00925F26">
        <w:rPr>
          <w:color w:val="000000" w:themeColor="text1"/>
          <w:sz w:val="16"/>
          <w:szCs w:val="16"/>
        </w:rPr>
        <w:t>14</w:t>
      </w:r>
      <w:r w:rsidR="00997EDF" w:rsidRPr="00925F26">
        <w:rPr>
          <w:color w:val="000000" w:themeColor="text1"/>
          <w:sz w:val="16"/>
          <w:szCs w:val="16"/>
        </w:rPr>
        <w:t xml:space="preserve">  </w:t>
      </w:r>
      <w:r w:rsidRPr="00925F26">
        <w:rPr>
          <w:color w:val="000000" w:themeColor="text1"/>
          <w:sz w:val="16"/>
          <w:szCs w:val="16"/>
        </w:rPr>
        <w:t>100</w:t>
      </w:r>
      <w:proofErr w:type="gramEnd"/>
      <w:r w:rsidRPr="00925F26">
        <w:rPr>
          <w:color w:val="000000" w:themeColor="text1"/>
          <w:sz w:val="16"/>
          <w:szCs w:val="16"/>
        </w:rPr>
        <w:t xml:space="preserve"> выявленных военных преступников (19847).</w:t>
      </w:r>
    </w:p>
    <w:p w14:paraId="681396E2" w14:textId="77777777" w:rsidR="00327D90" w:rsidRPr="00925F26" w:rsidRDefault="00327D90" w:rsidP="00925F26">
      <w:pPr>
        <w:pStyle w:val="rtejustify"/>
        <w:shd w:val="clear" w:color="auto" w:fill="FFFFFF"/>
        <w:spacing w:before="0" w:after="0"/>
        <w:rPr>
          <w:color w:val="000000" w:themeColor="text1"/>
          <w:sz w:val="16"/>
          <w:szCs w:val="16"/>
        </w:rPr>
      </w:pPr>
    </w:p>
    <w:p w14:paraId="52903EB5" w14:textId="77777777" w:rsidR="00327D90" w:rsidRPr="00925F26" w:rsidRDefault="00327D90" w:rsidP="00925F26">
      <w:pPr>
        <w:pStyle w:val="rtejustify"/>
        <w:shd w:val="clear" w:color="auto" w:fill="FFFFFF"/>
        <w:spacing w:before="0" w:after="0"/>
        <w:rPr>
          <w:color w:val="000000" w:themeColor="text1"/>
          <w:sz w:val="16"/>
          <w:szCs w:val="16"/>
        </w:rPr>
      </w:pPr>
      <w:r w:rsidRPr="00925F26">
        <w:rPr>
          <w:color w:val="000000" w:themeColor="text1"/>
          <w:sz w:val="16"/>
          <w:szCs w:val="16"/>
        </w:rPr>
        <w:t>В феврале 1945 г. было создано Главное трофейное управление наркомата обороны, затем был учрежден Особый комитет при Государственном комитете обороны во главе с Г.М. Маленковым. В состав Особого комитета входили Н.А. Булганин, Н.А. Вознесенский, А.В. Хрулев, Ф.И. Вахитов, его задачи сводились к координации деятельности по демонтажу предприятий на территории Германии, занятой советскими войсками. На первом заседании Особого комитета в начале мая 1945 г. Маленков приказал К.И. Ковалю: «...демонтаж намеченных предприятий для репараций в Восточной Германии, включая все секторы Берлина, разворачивайте немедленно» [13. С. 79]. В Берлине нужно было до прихода англо-американских войск вывезти все ценное промышленное оборудование (19851).</w:t>
      </w:r>
    </w:p>
    <w:p w14:paraId="02C28118" w14:textId="77777777" w:rsidR="00327D90" w:rsidRPr="00925F26" w:rsidRDefault="00327D90" w:rsidP="00925F26">
      <w:pPr>
        <w:pStyle w:val="rtejustify"/>
        <w:shd w:val="clear" w:color="auto" w:fill="FFFFFF"/>
        <w:spacing w:before="0" w:after="0"/>
        <w:rPr>
          <w:color w:val="000000" w:themeColor="text1"/>
          <w:sz w:val="16"/>
          <w:szCs w:val="16"/>
        </w:rPr>
      </w:pPr>
    </w:p>
    <w:p w14:paraId="7ADF394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0A63908" w14:textId="77777777" w:rsidR="00665165" w:rsidRPr="00925F26" w:rsidRDefault="00665165" w:rsidP="00925F26">
      <w:pPr>
        <w:autoSpaceDE w:val="0"/>
        <w:autoSpaceDN w:val="0"/>
        <w:adjustRightInd w:val="0"/>
        <w:jc w:val="both"/>
        <w:rPr>
          <w:iCs/>
          <w:color w:val="000000" w:themeColor="text1"/>
          <w:sz w:val="16"/>
          <w:szCs w:val="16"/>
        </w:rPr>
      </w:pPr>
    </w:p>
    <w:p w14:paraId="63E6D4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года заместитель резидента по линии научно-технической разведки Л. Квасников с полным правом сообщал в Центр, что агентурная сеть их резидентуры «является в основном довольно работоспособной, а по своей технической квалификации стоит на высоком уровне. Большая часть агентов работает с нами не из корыстных побуждений, а на основе дружеского отношения к нашей стране».</w:t>
      </w:r>
    </w:p>
    <w:p w14:paraId="2977ED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Поэтому, когда 24 июля 1945 года Г. Трумэн сообщил Сталину о создании в США нового оружия большой разрушительной силы и своем намерении применить его против Японии, Сталин не проявил никаких эмоций. Он уже имел необходимую информацию от советской внешней разведки.</w:t>
      </w:r>
    </w:p>
    <w:p w14:paraId="78DDEB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Это, конечно, был большой успех отечественной разведки в США. Но несмотря на то, что Трумэн предупредил Сталина о предстоящих бомбардировках Хиросимы и Нагасаки, резидентуре не удалось получить упреждающей информации на этот счет. О бомбардировках она узнала не от своей агентуры, а из пресс-конференции генерала Д. Маршалла 7 августа 1945 года.</w:t>
      </w:r>
    </w:p>
    <w:p w14:paraId="74982F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Руководитель внешней разведки генерал П. Фитин писал в рапорте на имя В. Меркулова: «Практическое применение американцами атомной бомбы… открывает новую эпоху в науке и технике и несомненно повлечет за собой быстрое развитие всей проблемы „Энормоз“… Все это ставит „Энормоз“ на ведущее место в нашей разведывательной работе и требует немедленных мероприятий по усилению технической разведки».</w:t>
      </w:r>
    </w:p>
    <w:p w14:paraId="0D6055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Начиная с 1943 года, когда только разворачивалась широкомасштабная работа научно-технической разведки по «Энормозу» и до испытания в 1945 году первой американской атомной бомбы, советская внешняя разведка получила несколько тысяч листов секретной документальной информации.</w:t>
      </w:r>
    </w:p>
    <w:p w14:paraId="43C173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Выдающийся советский ученый-атомщик И. В. Курчатов, которому направлялись добытые внешней разведкой материалы по «Энормозу», неоднократно давал им высокую оценку. Так, в заключении по материалам к препроводительной записке (№ 1/3/22500) от 25 декабря 1944 года он пишет: «Очень богатый и в разных отношениях поучительный материал. Он содержит теоретически важные указания…».</w:t>
      </w:r>
    </w:p>
    <w:p w14:paraId="6F722A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И. Курчатов, оценивая очередной материал по атомной бомбе, полученный разведкой, пишет: «Материал представляет большой интерес. В нем, наряду с разрабатываемыми нами методами и схемами, указаны возможности, которые до сих пор у нас не рассматривались».</w:t>
      </w:r>
    </w:p>
    <w:p w14:paraId="09DCA5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рукописной записке на имя министра госбезопасности В.Абакумова от 31 декабря 1946 года И. Курчатов отмечает «Материалы, с которыми меня сегодня ознакомил т. Василевский, по вопросам:</w:t>
      </w:r>
    </w:p>
    <w:p w14:paraId="70C94A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американские работы по </w:t>
      </w:r>
      <w:proofErr w:type="gramStart"/>
      <w:r w:rsidRPr="00925F26">
        <w:rPr>
          <w:color w:val="000000" w:themeColor="text1"/>
          <w:sz w:val="16"/>
          <w:szCs w:val="16"/>
        </w:rPr>
        <w:t>сверх-бомбе</w:t>
      </w:r>
      <w:proofErr w:type="gramEnd"/>
      <w:r w:rsidRPr="00925F26">
        <w:rPr>
          <w:color w:val="000000" w:themeColor="text1"/>
          <w:sz w:val="16"/>
          <w:szCs w:val="16"/>
        </w:rPr>
        <w:t>;</w:t>
      </w:r>
    </w:p>
    <w:p w14:paraId="754A5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некоторые особенности в работе атомных котлов в Хенфорде, — по-моему, правдоподобны и представляют большой интерес для наших отечественных работ».</w:t>
      </w:r>
    </w:p>
    <w:p w14:paraId="3FD159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Внешняя разведка не только привлекла внимание руководства страны к проблеме создания на Западе атомного оружия, но и таким образом инициировала проведение подобных работ в СССР. Благодаря информации внешней разведки, </w:t>
      </w:r>
      <w:r w:rsidRPr="00925F26">
        <w:rPr>
          <w:iCs/>
          <w:color w:val="000000" w:themeColor="text1"/>
          <w:sz w:val="16"/>
          <w:szCs w:val="16"/>
        </w:rPr>
        <w:t>по</w:t>
      </w:r>
      <w:r w:rsidRPr="00925F26">
        <w:rPr>
          <w:color w:val="000000" w:themeColor="text1"/>
          <w:sz w:val="16"/>
          <w:szCs w:val="16"/>
        </w:rPr>
        <w:t xml:space="preserve"> признанию академиков А. Александрова, Ю. Харитона и других, И. Курчатов не сделал больших ошибок, ученым удалось избежать тупиковых направлений в разработке атомного оружия и создать атомную бомбу в СССР в более короткие сроки, (всего за три года), чем в США. Там на это потратили четыре года, израсходовав пять миллиардов долларов.</w:t>
      </w:r>
    </w:p>
    <w:p w14:paraId="5D642D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отметил академик Ю. Харитон в интервью газете «Известия» от 8 декабря 1992 года, первый советский атомный заряд был изготовлен по американскому образцу с помощью сведений, полученных от К. Фукса. По словам академика, когда вручались правительственные награды участникам советского атомного проекта, И. В. Сталин, удовлетворенный тем, что американской монополии в этой области не существует, заметил: «Если бы мы опоздали на один-полтора года, то, наверное, испробовали бы этот заряд на себе» (Таратута Ж. В., Зданович А. А. Таинственный шеф Мата Хари. Секретное досье КГБ № 21152. — М.: Детектив-Пресс, 2000. — 352 с.) (11765).</w:t>
      </w:r>
    </w:p>
    <w:p w14:paraId="672C3D44" w14:textId="77777777" w:rsidR="00665165" w:rsidRPr="00925F26" w:rsidRDefault="00665165" w:rsidP="00925F26">
      <w:pPr>
        <w:autoSpaceDE w:val="0"/>
        <w:autoSpaceDN w:val="0"/>
        <w:adjustRightInd w:val="0"/>
        <w:jc w:val="both"/>
        <w:rPr>
          <w:iCs/>
          <w:color w:val="000000" w:themeColor="text1"/>
          <w:sz w:val="16"/>
          <w:szCs w:val="16"/>
        </w:rPr>
      </w:pPr>
    </w:p>
    <w:p w14:paraId="273751AA"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феврале 1945 г. доктора исторических наук В.Д. Бонч-Бруевич, который с начала века работал в зарубежных архивах, а в 1931 г. был назначен директором Литературного музея, подготовил записка Бонч-Бруевича Сталину. В записке излагалась программа полной экспроприации русского и славянского из всех музеев и архивов европейских стран.</w:t>
      </w:r>
    </w:p>
    <w:p w14:paraId="1044B92F"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«Я полагаю, что именно теперь наступило время, когда возможно будет эти архивы целиком и полностью изъять из-за границы и приобщить к нашим советским фондам для тщательного изучения их и, главное, для хорошего издания в научной обработке.</w:t>
      </w:r>
    </w:p>
    <w:p w14:paraId="3780EC0F"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Все эти архивы и музеи надо разделить на два разряда:</w:t>
      </w:r>
    </w:p>
    <w:p w14:paraId="67ECC6D3"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1. Находящиеся в странах агрессора и его сателлитов, т.е. в Германии, в Австрии, в Румынии, в Венгрии, в Финляндии, в Италии и в Болгарии.</w:t>
      </w:r>
    </w:p>
    <w:p w14:paraId="01948285"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Я полагаю, что из этих стран эти архивы должны быть изъяты целиком и полностью: русские рукописи, документы, эпистолярии, портреты, гравюры, картины, ценные редкие книги из библиотек, вещественные предметы и пр. и т.п., а также все славянские рукописи.</w:t>
      </w:r>
    </w:p>
    <w:p w14:paraId="395FD114"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Главным образом, из Германии должно быть изъято все русское, все славянское, без остатка.</w:t>
      </w:r>
    </w:p>
    <w:p w14:paraId="2BE4BEEA"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Надо иметь в виду, что, например, в Королевской библиотеке в Берлине, в ее рукописном отделении, где я занимался, хранится огромное количество и русских и славянских рукописей. Я изучал там рукописный каталог этого отделения: он огромен. Это книга в переплете, форматом в писчий лист и толщиной в два вершка, где были только кратко записаны названия русских и славянских рукописных материалов. Там, между прочим, имелись подлинные рукописи А.С. Пушкина, проданные туда в былое время петербургскими немцами. Все в каталоге перечисленное очень ценно и крайне важно для нашей науки. Русско-славянский раздел имеется почти в каждой фундаментальной и в университетской библиотеках по всей Германии. В Мюнхене была собрана великолепная коллекция рукописей по истории Византии, имеющая непосредственный интерес и связь с древней историей России. Находились русские и славянские рукописи в Лейпциге, в Гейдельберге, в Дрездене, в Кенигсберге, в Гамбурге и во многих других городах.</w:t>
      </w:r>
    </w:p>
    <w:p w14:paraId="017CE35D"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2. В Румынии должны быть отысканы архивы русской южной армии (Щербачева), которые он увел туда во время Октябрьской революции с южного фронта. В Бухаресте были частные архивы старых русских эмигрантов. Некоторые из них мне удалось до войны извлечь оттуда через наше посольство. Но многое там еще осталось. Целый ряд подобных архивов, за смертью, наследниками были сданы в основную Бухарестскую библиотеку.</w:t>
      </w:r>
    </w:p>
    <w:p w14:paraId="2F2B1DC9"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Вене в Королевской библиотеке были большие собрания славянских рукописей.</w:t>
      </w:r>
    </w:p>
    <w:p w14:paraId="242267F0"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Из Болгарии, через покойного т. Бакалова, мне удалось получить часть архивов русских старых эмигрантов и болгар социал-демократов и коммунистов, находившихся в былое время в оживленной переписке с Г.В. Плехановым, В.И. Засулич, П.Б. Аксельродом и др. Но многое, очень многое там осталось, и в том числе в Софии весь богатейший архив Драгомарова, в котором находилась главнейшая часть архива А.И. Герцена, Огарева, Бакунина и др. архив "Колокола". Отчасти он сам издал — очень плохо и искаженно — эти материалы в восьмидесятых годах в Женеве, но это — незначительная частица. Весь этот архив находился под наблюдением зятя Драгомарова, Шиханова, крайнего черносотенца, ненавистника советской России. Самый же архив находился в последнее время до войны в Софийской библиотеке. Там же сохранились материалы по Л.Н. Толстому и др.</w:t>
      </w:r>
    </w:p>
    <w:p w14:paraId="56FA1ED7"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Италии надо во что бы то ни стало отыскать и спасти архив кн. Волконской — бабушка ее современница А.С. Пушкина, имевшая знаменитый литературный салон. В этом изумительном архиве много рукописей Пушкина, его современников, Лермонтова и др. Я совершенно сторговал его до войны (в 1939 г.), но мне отказали в деньгах. В Риме в Королевской библиотеке много русских и славянских рукописей. И еще больше в Ватикане — как бы хорошо было бы, если бы удалось извлечь оттуда весь русский и славянский отделы — это непревзойденное богатство исторических документов. Небольшую часть оттуда опубликовал профес. Шмурло, напечатав несколько томов своих исследований в Праге. Эти книги, к сожалению, у нас до сих пор не переизданы, но опубликованное им является каплей в море, хотя и очень драгоценной.</w:t>
      </w:r>
    </w:p>
    <w:p w14:paraId="547E0C96"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Финляндии. Большой отдел славянских рукописей находится при гельсингфорской университетской библиотеке. Фонд этот должен знать, если он жив, Смирнов — сотрудник НКИД. Он в Финляндии в годы старой эмиграции был библиотекарем русского отдела в этой библиотеке.</w:t>
      </w:r>
    </w:p>
    <w:p w14:paraId="02B5BD00"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Во всех этих странах надо разыскивать выкраденные из нашего государственного центрального архива ГАУ (ранее он назывался ЦАУ): подлинники огромной переписки императрицы Александры Федоровны; архив Учредительного Собрания (у нас остались несчастные крохи); часть архива первых лет ВЦИКа; некоторые документы Совнаркома, например, архив 75-й комнаты, сданный мной по распоряжению Владимира Ильича в Наркомюст, а оттуда в ЦАУ, — весь исчез.</w:t>
      </w:r>
    </w:p>
    <w:p w14:paraId="112048B3"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Полное невежество, отвратительное хранение, разгильдяйство, при внешнем виде кажущейся дисциплины в этом учреждении, — дало возможность ловким жуликам-белогвардейцам многое оттуда повыкрасть. Часть этих выкраденных документов была опубликована за границей (например, 4 тома переписки Александры Федоровны), а многое где-то хранится. Надо искать по преимуществу в Германии. Необходимо также из Германии вернуть все документы империалистической войны, которые так ловко сосватал им вредитель Крестинский, якобы для издания на русском языке и которые почти не издавались и остались в распоряжении "Исторической комиссии немецкого генерального штаба". В Германию, несомненно, вывезены многие архивы от нас, из бывших, оккупированных местностей, из Польши, из Чехии и др. стран. Все это надо отыскать во что бы то ни стало и возвратить нам.</w:t>
      </w:r>
    </w:p>
    <w:p w14:paraId="1E91A824"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Я не буду утруждать Вас многочисленными сведениями громадного числа архивов с русскими и славянскими документами, находящимися в Чехословакии, во Франции, в Норвегии, в Дании (Петр 1-й), в Бельгии, в Голландии (Петр 1-й и Пушкин), в Польше, в Сербии, где можно было бы заполучить эти документы в другом, дружественном порядке, а у частных лиц скупить дешево чрезвычайно ценные архивы. Например, в Париже архив И.С. Тургенева находится у наследников Виардо, где были подлинники и черновые рукописи большинства произведений Тургенева, где 2500 его писем к Виардо и другим лицам, никогда не опубликованных и пр. Этот архив мною изучен. Я его, в бытность мою директором Гослитмузея, совсем приторговал, но тогда, к сожалению, все это дело разошлось с наследниками Виардо в 25 тысяч фунтов, которые не хотели накинуть наши представители из полпредства. Ужасно будет жаль, если все это теперь погибло.</w:t>
      </w:r>
    </w:p>
    <w:p w14:paraId="54EC1E88"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Во Франции есть и другие очень нужные русские архивы. В свое время я вывез оттуда много ценных материалов, например, архив первого русского гагелианца Сухово-Кобылина, трудами которого весьма интересовался Владимир Ильич.</w:t>
      </w:r>
    </w:p>
    <w:p w14:paraId="015C1CC1"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Польше, в главном архиве, находился весь фонд Раперсвильского польского музея, который ранее, в годы старой эмиграции, был в Швейцарии на Цюрихском озере и в г. Раперсвиль. В этом фонде было множество русских документов. Там же находилась вторая часть Герценского архива, хранившаяся при его жизни в Париже у графини Салиас-де-Турнемид. Именно она-то, после смерти Герцена, передала полякам этот архив Герцена на хранение. Это был как бы конспиративный архив Герцена. Там переписка Герцена, его жены, Огарева, Бакунина, Сатиных и др. Я заснял оттуда тысячи 1,5—2 фотографий, но далеко не все. Очень желательно получить его весь к нам в подлинниках. Немцы могли все это вывезти, почему и надо отыскивать в Германии.</w:t>
      </w:r>
    </w:p>
    <w:p w14:paraId="45C7C751"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lastRenderedPageBreak/>
        <w:t>Не могу не упомянуть, что в Чехии, где нами обследовано было 57 музеев и архивов, обнаружено огромное число русских рукописей, в том числе неопубликованная рукопись Н.В. Гоголя. Большая часть этих частных архивов принадлежит немцам, давно жившим в Чехословакии, наследникам феодалов, имевшим огромные исторические архивы, среди которых мы обнаружили редчайшие документы эпохи Бориса Годунова, Петра 1-го и первой отечественной войны. Архивы эти хранились в замках, в очень хорошем порядке, в которые мы все-таки проникли, изучили их, и даже кое-что засняли из этих фондов. Эти фото находились у меня в Гослитмузее.</w:t>
      </w:r>
    </w:p>
    <w:p w14:paraId="1C3658E7"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Кроме того, в Праге в библиотеке "Клементинум" (на 3-м ее этаже) помещался до войны белоэмигрантский огромный архив, в котором собраны были богатейшие ценности по истории и литературе XIX века. Этот архив находится при чешском министерстве иностранных дел и содержался на деньги, которые широко отпускал им Бенеш. Я как-то до войны говорил с Бенешем на приеме в ВОКСе об этом архиве, и тогда он обещал мне все представить в копиях. Кое-что я успел оттуда выхватить, но огромное большинство осталось там. Если это уцелело, Бенеш должен все это теперь нам подарить. Кроме того, мы должны извлечь из чешского архива и музея, посвященного пребыванию в России и походу через Сибирь в 1918—1919 гг., много ценных документов по истории этого похода и чешской интервенции того времени вообще, а также и все наши знамена, которые чехам удалось тогда, начиная с Пензы, у нас захватить. Мне больно было смотреть на это пленение.</w:t>
      </w:r>
    </w:p>
    <w:p w14:paraId="6BFD5920"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самой библиотеке "Клементинум", в рукописном ее фонде, хранятся подлинных 36 писем Л.Н. Толстого и есть другие русские рукописи. Письма Толстого я фотографировал.</w:t>
      </w:r>
    </w:p>
    <w:p w14:paraId="71511E34"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"Национальной чешской библиотеке" (в Праге) находится подлинник стихотворения А.С. Пушкина "О, Делия, драгая...", подаренная туда академиком Гротом».</w:t>
      </w:r>
    </w:p>
    <w:p w14:paraId="50009B37" w14:textId="77777777" w:rsidR="005903DB" w:rsidRPr="00925F26" w:rsidRDefault="005903DB" w:rsidP="00925F26">
      <w:pPr>
        <w:pStyle w:val="book"/>
        <w:ind w:firstLine="0"/>
        <w:jc w:val="both"/>
        <w:rPr>
          <w:color w:val="000000" w:themeColor="text1"/>
          <w:sz w:val="16"/>
          <w:szCs w:val="16"/>
        </w:rPr>
      </w:pPr>
      <w:r w:rsidRPr="00925F26">
        <w:rPr>
          <w:color w:val="000000" w:themeColor="text1"/>
          <w:sz w:val="16"/>
          <w:szCs w:val="16"/>
        </w:rPr>
        <w:t>В странах "второй группы", кроме "извлечения" и "изъятия", Бонч-Бруевич допускал "заполучение" путем дешевой покупки (15225).</w:t>
      </w:r>
    </w:p>
    <w:p w14:paraId="424F5D3B" w14:textId="77777777" w:rsidR="005903DB" w:rsidRPr="00925F26" w:rsidRDefault="005903DB" w:rsidP="00925F26">
      <w:pPr>
        <w:pStyle w:val="book"/>
        <w:ind w:firstLine="0"/>
        <w:jc w:val="both"/>
        <w:rPr>
          <w:color w:val="000000" w:themeColor="text1"/>
          <w:sz w:val="16"/>
          <w:szCs w:val="16"/>
        </w:rPr>
      </w:pPr>
    </w:p>
    <w:p w14:paraId="79B8688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28E5FC1" w14:textId="77777777" w:rsidR="00665165" w:rsidRPr="00925F26" w:rsidRDefault="00665165" w:rsidP="00925F26">
      <w:pPr>
        <w:autoSpaceDE w:val="0"/>
        <w:autoSpaceDN w:val="0"/>
        <w:adjustRightInd w:val="0"/>
        <w:jc w:val="both"/>
        <w:rPr>
          <w:iCs/>
          <w:color w:val="000000" w:themeColor="text1"/>
          <w:sz w:val="16"/>
          <w:szCs w:val="16"/>
        </w:rPr>
      </w:pPr>
    </w:p>
    <w:p w14:paraId="779854A1" w14:textId="77777777" w:rsidR="00EF1DB3" w:rsidRPr="00925F26" w:rsidRDefault="00EF1DB3" w:rsidP="00925F26">
      <w:pPr>
        <w:pStyle w:val="1131"/>
        <w:shd w:val="clear" w:color="auto" w:fill="auto"/>
        <w:spacing w:line="240" w:lineRule="auto"/>
        <w:ind w:firstLine="0"/>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925F26">
        <w:rPr>
          <w:rFonts w:ascii="Times New Roman" w:hAnsi="Times New Roman" w:cs="Times New Roman"/>
          <w:color w:val="000000" w:themeColor="text1"/>
          <w:sz w:val="16"/>
          <w:szCs w:val="16"/>
          <w:lang w:val="ru-RU"/>
        </w:rPr>
        <w:t xml:space="preserve"> (22849)</w:t>
      </w:r>
      <w:r w:rsidRPr="00925F26">
        <w:rPr>
          <w:rFonts w:ascii="Times New Roman" w:hAnsi="Times New Roman" w:cs="Times New Roman"/>
          <w:color w:val="000000" w:themeColor="text1"/>
          <w:sz w:val="16"/>
          <w:szCs w:val="16"/>
        </w:rPr>
        <w:t>.</w:t>
      </w:r>
    </w:p>
    <w:p w14:paraId="29F3AECF" w14:textId="77777777" w:rsidR="00EF1DB3" w:rsidRPr="00925F26" w:rsidRDefault="00EF1DB3" w:rsidP="00925F26">
      <w:pPr>
        <w:pStyle w:val="1131"/>
        <w:shd w:val="clear" w:color="auto" w:fill="auto"/>
        <w:spacing w:line="240" w:lineRule="auto"/>
        <w:ind w:firstLine="0"/>
        <w:rPr>
          <w:rFonts w:ascii="Times New Roman" w:hAnsi="Times New Roman" w:cs="Times New Roman"/>
          <w:color w:val="000000" w:themeColor="text1"/>
          <w:sz w:val="16"/>
          <w:szCs w:val="16"/>
        </w:rPr>
      </w:pPr>
    </w:p>
    <w:p w14:paraId="0485FAAB" w14:textId="77777777" w:rsidR="00EF1DB3" w:rsidRPr="00925F26" w:rsidRDefault="00EF1DB3" w:rsidP="00925F26">
      <w:pPr>
        <w:pStyle w:val="1131"/>
        <w:shd w:val="clear" w:color="auto" w:fill="auto"/>
        <w:spacing w:line="240" w:lineRule="auto"/>
        <w:ind w:firstLine="0"/>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ru-RU"/>
        </w:rPr>
        <w:t>В</w:t>
      </w:r>
      <w:r w:rsidRPr="00925F26">
        <w:rPr>
          <w:rFonts w:ascii="Times New Roman" w:hAnsi="Times New Roman" w:cs="Times New Roman"/>
          <w:color w:val="000000" w:themeColor="text1"/>
          <w:sz w:val="16"/>
          <w:szCs w:val="16"/>
        </w:rPr>
        <w:t xml:space="preserve"> феврале 1945 г. завод «Белл» в Атланте сдал </w:t>
      </w:r>
      <w:r w:rsidRPr="00925F26">
        <w:rPr>
          <w:rFonts w:ascii="Times New Roman" w:hAnsi="Times New Roman" w:cs="Times New Roman"/>
          <w:color w:val="000000" w:themeColor="text1"/>
          <w:sz w:val="16"/>
          <w:szCs w:val="16"/>
          <w:lang w:val="ru-RU"/>
        </w:rPr>
        <w:t>п</w:t>
      </w:r>
      <w:r w:rsidRPr="00925F26">
        <w:rPr>
          <w:rFonts w:ascii="Times New Roman" w:hAnsi="Times New Roman" w:cs="Times New Roman"/>
          <w:color w:val="000000" w:themeColor="text1"/>
          <w:sz w:val="16"/>
          <w:szCs w:val="16"/>
        </w:rPr>
        <w:t>ервый B-29B С него сняли всю броню, верхние и нижние огневые точки, оставив только спаренную кормовою с тремя крупнокалиберными пулеметами и радиолокационным прицелом AN/APG-15 (на части самолетов там ставили еще и подвижный прожектор). «Пошли за борт» противообледенители крыла и оперения, фотоаппарат для перспективной съемки, койки для отдыха экипажа, ремни безопасности на резервных рабочих местах, столик штурмана-бомбардира, оптический измеритель сноса, ящик для схем бортовых электросетей и многое другое. Вместо панорамной РЛС AN/APQ-13 с вращающейся параболической антенной применили упрощенную AN/APQ-7 с неподвижной дипольной антенной с полем зрения 60°. Первые В-29В были сданы заводом без части вооружения и оборудования, и вместо строевых частей пошли на рембазу в Оклахома-Сити, где ожидали комплектации. Лишь к 1 апреля 1945 г. первые две авиагруппы ВВС США освоили В 29В и были готовы к отправке в зону боевых действий, где «сверхкрепости» уже давно и активно применялись</w:t>
      </w:r>
      <w:r w:rsidRPr="00925F26">
        <w:rPr>
          <w:rFonts w:ascii="Times New Roman" w:hAnsi="Times New Roman" w:cs="Times New Roman"/>
          <w:color w:val="000000" w:themeColor="text1"/>
          <w:sz w:val="16"/>
          <w:szCs w:val="16"/>
          <w:lang w:val="ru-RU"/>
        </w:rPr>
        <w:t xml:space="preserve"> (23005)</w:t>
      </w:r>
      <w:r w:rsidRPr="00925F26">
        <w:rPr>
          <w:rFonts w:ascii="Times New Roman" w:hAnsi="Times New Roman" w:cs="Times New Roman"/>
          <w:color w:val="000000" w:themeColor="text1"/>
          <w:sz w:val="16"/>
          <w:szCs w:val="16"/>
        </w:rPr>
        <w:t>.</w:t>
      </w:r>
    </w:p>
    <w:p w14:paraId="22EE1FD4" w14:textId="77777777" w:rsidR="00EF1DB3" w:rsidRPr="00925F26" w:rsidRDefault="00EF1DB3" w:rsidP="00925F26">
      <w:pPr>
        <w:pStyle w:val="1131"/>
        <w:shd w:val="clear" w:color="auto" w:fill="auto"/>
        <w:spacing w:line="240" w:lineRule="auto"/>
        <w:ind w:firstLine="0"/>
        <w:rPr>
          <w:rFonts w:ascii="Times New Roman" w:hAnsi="Times New Roman" w:cs="Times New Roman"/>
          <w:color w:val="000000" w:themeColor="text1"/>
          <w:sz w:val="16"/>
          <w:szCs w:val="16"/>
        </w:rPr>
      </w:pPr>
    </w:p>
    <w:p w14:paraId="2447DA37" w14:textId="77777777" w:rsidR="00EF1DB3" w:rsidRPr="00925F26" w:rsidRDefault="00EF1DB3" w:rsidP="00925F26">
      <w:pPr>
        <w:pStyle w:val="1131"/>
        <w:shd w:val="clear" w:color="auto" w:fill="auto"/>
        <w:spacing w:line="240" w:lineRule="auto"/>
        <w:ind w:firstLine="0"/>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В</w:t>
      </w:r>
      <w:r w:rsidRPr="00925F26">
        <w:rPr>
          <w:rFonts w:ascii="Times New Roman" w:hAnsi="Times New Roman" w:cs="Times New Roman"/>
          <w:color w:val="000000" w:themeColor="text1"/>
          <w:sz w:val="16"/>
          <w:szCs w:val="16"/>
        </w:rPr>
        <w:t xml:space="preserve"> феврале 1945 г. серийный завод «Авро» в Чаддертоне сдал </w:t>
      </w:r>
      <w:r w:rsidRPr="00925F26">
        <w:rPr>
          <w:rFonts w:ascii="Times New Roman" w:hAnsi="Times New Roman" w:cs="Times New Roman"/>
          <w:color w:val="000000" w:themeColor="text1"/>
          <w:sz w:val="16"/>
          <w:szCs w:val="16"/>
          <w:lang w:val="ru-RU"/>
        </w:rPr>
        <w:t>г</w:t>
      </w:r>
      <w:r w:rsidRPr="00925F26">
        <w:rPr>
          <w:rFonts w:ascii="Times New Roman" w:hAnsi="Times New Roman" w:cs="Times New Roman"/>
          <w:color w:val="000000" w:themeColor="text1"/>
          <w:sz w:val="16"/>
          <w:szCs w:val="16"/>
        </w:rPr>
        <w:t>оловной «Линкольн» В Mk. I</w:t>
      </w:r>
      <w:r w:rsidRPr="00925F26">
        <w:rPr>
          <w:rFonts w:ascii="Times New Roman" w:hAnsi="Times New Roman" w:cs="Times New Roman"/>
          <w:color w:val="000000" w:themeColor="text1"/>
          <w:sz w:val="16"/>
          <w:szCs w:val="16"/>
          <w:lang w:val="ru-RU"/>
        </w:rPr>
        <w:t>.</w:t>
      </w:r>
      <w:r w:rsidRPr="00925F26">
        <w:rPr>
          <w:rFonts w:ascii="Times New Roman" w:hAnsi="Times New Roman" w:cs="Times New Roman"/>
          <w:color w:val="000000" w:themeColor="text1"/>
          <w:sz w:val="16"/>
          <w:szCs w:val="16"/>
        </w:rPr>
        <w:t xml:space="preserve"> Он не мог нести бомбы «Толбой» и «Гранд Слэм», оборонительное вооружение составляли 6 крупнокалиберных пулеметов, затем поставки пушечных турелей В. 17 все же начались, но «кончились» кормовые установки БолтонПол D — и вместо них стали ставить устаревшие Фрэйзер и Нэш FN 121 (4 пулемета 7,69 мм). Большинство дефектов фирма устранить не успела, и ни один из 50-ти самолетов этой партии в строевую часть не попал. Часть из них переоборудовали в летающие лаборатории, остальные сдали на хранение до модернизации силовой установки. Этого так и не сделали — и в 1949 г. их признали устаревшими. К тому времени на многих самолетах была найдена массовая коррозия, и в ноябре-декабре весь парк списали. Заводы «Авро» в Йедоне и «Армстронг-Уитворт» в Бэгинтоне смогли сдать лишь по два таких самолета, «Метрополитен-Виккерс» в Тэффорд-Парке к концу лета сдал 28, но производство было остановлено в связи с окончанием войны с Японией. Фирма «Виктори Эйркрафт» в Канаде должна была выпустить 100 «Линкольн» B. XV с моторами «Мерлин» 68 и заложила установочную серию из 6-ти машин. Но головной был облетан только 25 октября 1945 г., и контракт был аннулирован в связи с окончанием войны. Лучше обстояли дела с выпуском модификации В Mk. II с моторами Паккард «Мерлин» 68. Завод «Авро-Чаддертон» в 1945-1947 гг. сдал 112 «двоек», а «Метрополитен-Виккерс» в г. Тэффорд-Парк строил их до 1951 г., дав 279 самолетов плюс 18 на экспорт в Аргентину. Еще 12 машин выпуска 1945 г. для поставки в эту страну было взято с консервации. Самолеты отличались упрощенной комплектацией, в частности, не имели РЛС. По ходу выпуска часть машин, предназначенных для английской авиации, получила усовершенствованные локаторы H2S Mk. IIIG и Mk. IVA. Они были условно обозначены Mk.2/3G и Mk.2/4A. Часть строевых «линкольнов» была переоснащена моторами «Мерлин» 300 мощностью по 1685 л.с.</w:t>
      </w:r>
      <w:r w:rsidRPr="00925F26">
        <w:rPr>
          <w:rFonts w:ascii="Times New Roman" w:hAnsi="Times New Roman" w:cs="Times New Roman"/>
          <w:color w:val="000000" w:themeColor="text1"/>
          <w:sz w:val="16"/>
          <w:szCs w:val="16"/>
          <w:lang w:val="ru-RU"/>
        </w:rPr>
        <w:t xml:space="preserve"> (23008).</w:t>
      </w:r>
    </w:p>
    <w:p w14:paraId="738B2D6B" w14:textId="77777777" w:rsidR="00EF1DB3" w:rsidRPr="00925F26" w:rsidRDefault="00EF1DB3" w:rsidP="00925F26">
      <w:pPr>
        <w:pStyle w:val="1131"/>
        <w:shd w:val="clear" w:color="auto" w:fill="auto"/>
        <w:spacing w:line="240" w:lineRule="auto"/>
        <w:ind w:firstLine="0"/>
        <w:rPr>
          <w:rFonts w:ascii="Times New Roman" w:hAnsi="Times New Roman" w:cs="Times New Roman"/>
          <w:color w:val="000000" w:themeColor="text1"/>
          <w:sz w:val="16"/>
          <w:szCs w:val="16"/>
        </w:rPr>
      </w:pPr>
    </w:p>
    <w:p w14:paraId="0041534A" w14:textId="77777777" w:rsidR="005903DB" w:rsidRPr="00925F26" w:rsidRDefault="005903DB" w:rsidP="00925F26">
      <w:pPr>
        <w:jc w:val="both"/>
        <w:rPr>
          <w:color w:val="000000" w:themeColor="text1"/>
          <w:sz w:val="16"/>
          <w:szCs w:val="16"/>
        </w:rPr>
      </w:pPr>
      <w:r w:rsidRPr="00925F26">
        <w:rPr>
          <w:color w:val="000000" w:themeColor="text1"/>
          <w:sz w:val="16"/>
          <w:szCs w:val="16"/>
        </w:rPr>
        <w:t>В феврале 1945-го на истребительном конкурсе, проводимом верховным командованием "Люфтваффе", была решена Судьба нового "Фокке-Вульфа". Самолет Курта Танка победил своих конкурентов, включая небезызвестный "Мессершмитт" Р.1101 с крылом переменной стреловидности, и получил официальное имя Та.183. Было заказано к строительству 16 опытных самолетов. Ta.183V1-V3 должны были оснащаться двигателями Jumo 004В. Первый полет истребителя планировался в мае-июне 1945-го, а начало серийного производства - на октябрь этого же года. Однако эти планы так и не сбылись. Немецкая страница истории Ta.183 закончилась 8 апреля 1945-го, когда британская пехота захватила заводы "Фокке-Вульф". Достоверно известно, что комплект крыльев для этого самолета обнаружили советские войска в Берлине в здании имперского министерства авиации. В то время во всех союзнических странах уже работали специальные, конкурирующие между собой комиссии по захвату трофейных образцов авиационной техники и научной документации (15139).</w:t>
      </w:r>
    </w:p>
    <w:p w14:paraId="6524EF2F" w14:textId="77777777" w:rsidR="005903DB" w:rsidRPr="00925F26" w:rsidRDefault="005903DB" w:rsidP="00925F26">
      <w:pPr>
        <w:jc w:val="both"/>
        <w:rPr>
          <w:color w:val="000000" w:themeColor="text1"/>
          <w:sz w:val="16"/>
          <w:szCs w:val="16"/>
        </w:rPr>
      </w:pPr>
    </w:p>
    <w:p w14:paraId="450EDCA8" w14:textId="77777777" w:rsidR="00AD7660" w:rsidRPr="001A0BAA" w:rsidRDefault="00AD7660" w:rsidP="00AD7660">
      <w:pPr>
        <w:jc w:val="both"/>
        <w:rPr>
          <w:color w:val="0070C0"/>
          <w:sz w:val="16"/>
          <w:szCs w:val="16"/>
        </w:rPr>
      </w:pPr>
      <w:r w:rsidRPr="001A0BAA">
        <w:rPr>
          <w:color w:val="0070C0"/>
          <w:sz w:val="16"/>
          <w:szCs w:val="16"/>
        </w:rPr>
        <w:t>В феврале 1945 года фирма «Дорнье» на основе очень удачного и перспективного, но появившегося поздно истребителя Do.335 «Pfeil», разрабатывала проект истребителя со смешанной силовой установкой Do P.254, имевшего также обозначение Do.435</w:t>
      </w:r>
      <w:r w:rsidRPr="001A0BAA">
        <w:rPr>
          <w:i/>
          <w:iCs/>
          <w:color w:val="0070C0"/>
          <w:sz w:val="16"/>
          <w:szCs w:val="16"/>
        </w:rPr>
        <w:t>.</w:t>
      </w:r>
      <w:r w:rsidRPr="001A0BAA">
        <w:rPr>
          <w:color w:val="0070C0"/>
          <w:sz w:val="16"/>
          <w:szCs w:val="16"/>
        </w:rPr>
        <w:t xml:space="preserve"> Преимуществом подобной силовой установки немцы считали следующие </w:t>
      </w:r>
      <w:proofErr w:type="gramStart"/>
      <w:r w:rsidRPr="001A0BAA">
        <w:rPr>
          <w:color w:val="0070C0"/>
          <w:sz w:val="16"/>
          <w:szCs w:val="16"/>
        </w:rPr>
        <w:t>показатели :</w:t>
      </w:r>
      <w:proofErr w:type="gramEnd"/>
      <w:r w:rsidRPr="001A0BAA">
        <w:rPr>
          <w:color w:val="0070C0"/>
          <w:sz w:val="16"/>
          <w:szCs w:val="16"/>
        </w:rPr>
        <w:t xml:space="preserve"> большую дальность с повышенной крейсерской скоростью благодаря полёту с выключенным ТРД, более высокие лётные данные при контакте с противником при включённом ТРД, сокращение взлётной дистанции (24925).</w:t>
      </w:r>
    </w:p>
    <w:p w14:paraId="6633F5A4" w14:textId="77777777" w:rsidR="00AD7660" w:rsidRPr="001A0BAA" w:rsidRDefault="00AD7660" w:rsidP="00AD7660">
      <w:pPr>
        <w:jc w:val="both"/>
        <w:rPr>
          <w:color w:val="0070C0"/>
          <w:sz w:val="16"/>
          <w:szCs w:val="16"/>
        </w:rPr>
      </w:pPr>
    </w:p>
    <w:p w14:paraId="54F8CBD8" w14:textId="77777777" w:rsidR="005903DB" w:rsidRPr="00925F26" w:rsidRDefault="005903DB"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С февраля 1945 г. Рех</w:t>
      </w:r>
      <w:r w:rsidRPr="00925F26">
        <w:rPr>
          <w:rFonts w:ascii="Times New Roman" w:cs="Times New Roman"/>
          <w:color w:val="000000" w:themeColor="text1"/>
          <w:spacing w:val="0"/>
          <w:sz w:val="16"/>
          <w:szCs w:val="16"/>
        </w:rPr>
        <w:softHyphen/>
        <w:t>лин же фактически вывели из строя (15791).</w:t>
      </w:r>
    </w:p>
    <w:p w14:paraId="67B109AA" w14:textId="77777777" w:rsidR="005903DB" w:rsidRPr="00925F26" w:rsidRDefault="005903DB" w:rsidP="00925F26">
      <w:pPr>
        <w:pStyle w:val="36"/>
        <w:shd w:val="clear" w:color="auto" w:fill="auto"/>
        <w:spacing w:after="0" w:line="240" w:lineRule="auto"/>
        <w:jc w:val="both"/>
        <w:rPr>
          <w:rFonts w:ascii="Times New Roman" w:cs="Times New Roman"/>
          <w:color w:val="000000" w:themeColor="text1"/>
          <w:spacing w:val="0"/>
          <w:sz w:val="16"/>
          <w:szCs w:val="16"/>
        </w:rPr>
      </w:pPr>
    </w:p>
    <w:p w14:paraId="7466EC8A" w14:textId="77777777" w:rsidR="00AD7660" w:rsidRPr="00925F26" w:rsidRDefault="00AD7660" w:rsidP="00AD7660">
      <w:pPr>
        <w:jc w:val="both"/>
        <w:rPr>
          <w:color w:val="000000" w:themeColor="text1"/>
          <w:sz w:val="16"/>
          <w:szCs w:val="16"/>
        </w:rPr>
      </w:pPr>
      <w:r w:rsidRPr="00925F26">
        <w:rPr>
          <w:color w:val="000000" w:themeColor="text1"/>
          <w:sz w:val="16"/>
          <w:szCs w:val="16"/>
        </w:rPr>
        <w:t>В феврале 1945 г. по мере приближения советских войск основные разработчики «Фау-2» были переведены из Пенемюнде в расположенную в 30 км от Нордаузена деревушку Бляй-хероде. В ее окрестностях началось строительство подземного исследовательского и конструкторского центра, объем помещений которого должен был многократно превзойти «Мит-тельверке». Поблизости, возле выработанного карьера, успели построить два стенда для отработки двигателей (19629).</w:t>
      </w:r>
    </w:p>
    <w:p w14:paraId="2B8D6B29" w14:textId="77777777" w:rsidR="00AD7660" w:rsidRPr="00925F26" w:rsidRDefault="00AD7660" w:rsidP="00AD7660">
      <w:pPr>
        <w:jc w:val="both"/>
        <w:rPr>
          <w:color w:val="000000" w:themeColor="text1"/>
          <w:sz w:val="16"/>
          <w:szCs w:val="16"/>
        </w:rPr>
      </w:pPr>
    </w:p>
    <w:p w14:paraId="100ACD21" w14:textId="77777777" w:rsidR="00DF1ED7" w:rsidRPr="00925F26" w:rsidRDefault="00DF1ED7" w:rsidP="00925F26">
      <w:pPr>
        <w:jc w:val="both"/>
        <w:rPr>
          <w:color w:val="000000" w:themeColor="text1"/>
          <w:sz w:val="16"/>
          <w:szCs w:val="16"/>
        </w:rPr>
      </w:pPr>
      <w:r w:rsidRPr="00925F26">
        <w:rPr>
          <w:color w:val="000000" w:themeColor="text1"/>
          <w:sz w:val="16"/>
          <w:szCs w:val="16"/>
        </w:rPr>
        <w:t xml:space="preserve">В феврале 1945 г. в Пенемюнде пришел приказ от Г. Каммлера: вывезти всю научно-техническую документацию, сотрудников и наиболе ценное оборудование ракетного центра в район города Нордхаузен. Этот город находится в 180 км на запад от Лейпцига, в горном массиве Гарц. Здесь в горе Конштайн, в штольнях бывшей шахты, был создан ракетный завод «Миттельверк». По состоянию на 1 февраля 1945 г. в ракетном центре Пенемюнде работали 4325 человек, в  т.ч. 778 женщин (18 %). Из них примерно 2 тысячи занимались устранением недостатков в ракете А4, 270 — крылатой ракетой А4b, 1220 — управляемей зенитной ракетой «Водопад», 185 — неуправляемой зенитной ракетой «Тайфун». Остальные 650 человек — сотрудники администрация и люди, отвечавшие за материально-техническое и бытовое обеспечение. Эвакуация началась 17 февраля. За неделю две тысячи автомашин с тысячью прицепов вывезли научных и технических сотрудников ракетного центра вместе </w:t>
      </w:r>
      <w:proofErr w:type="gramStart"/>
      <w:r w:rsidRPr="00925F26">
        <w:rPr>
          <w:color w:val="000000" w:themeColor="text1"/>
          <w:sz w:val="16"/>
          <w:szCs w:val="16"/>
        </w:rPr>
        <w:t>с  семьями</w:t>
      </w:r>
      <w:proofErr w:type="gramEnd"/>
      <w:r w:rsidRPr="00925F26">
        <w:rPr>
          <w:color w:val="000000" w:themeColor="text1"/>
          <w:sz w:val="16"/>
          <w:szCs w:val="16"/>
        </w:rPr>
        <w:t xml:space="preserve">, документацию, аппаратуру. Часть их разместили в Нордхаузене, остальных в небольших окрестных городах Бляйхероде (Bleicherode), Бад-Закса (Bad Sachsa), Зангерхаузен (Sangerhausen) или в деревнях. Опасаясь, что чертежи и рабочая документация могут быть уничтожены людьми Каммлера, Браун приказал спрятать их в заброшенной железнорудной шахте около города Гослар, на северозападе от Нордхаузена. (В мае 1945 г. контрразведка армии США нашла это место после допросов Брауна и Дорнбергера. Американцы извлекли из шахты 14 тонн документов!) В  Пенемюнде остался только персонал полигона. Последняя ракета А4 взлетела с  площадки на Узедоме 14 февраля. </w:t>
      </w:r>
      <w:proofErr w:type="gramStart"/>
      <w:r w:rsidRPr="00925F26">
        <w:rPr>
          <w:color w:val="000000" w:themeColor="text1"/>
          <w:sz w:val="16"/>
          <w:szCs w:val="16"/>
        </w:rPr>
        <w:t>В  конце</w:t>
      </w:r>
      <w:proofErr w:type="gramEnd"/>
      <w:r w:rsidRPr="00925F26">
        <w:rPr>
          <w:color w:val="000000" w:themeColor="text1"/>
          <w:sz w:val="16"/>
          <w:szCs w:val="16"/>
        </w:rPr>
        <w:t xml:space="preserve"> марта уехл и этот персонал, тогда же армейские саперы взорвали стартовые столы </w:t>
      </w:r>
      <w:proofErr w:type="gramStart"/>
      <w:r w:rsidRPr="00925F26">
        <w:rPr>
          <w:color w:val="000000" w:themeColor="text1"/>
          <w:sz w:val="16"/>
          <w:szCs w:val="16"/>
        </w:rPr>
        <w:t>и  другие</w:t>
      </w:r>
      <w:proofErr w:type="gramEnd"/>
      <w:r w:rsidRPr="00925F26">
        <w:rPr>
          <w:color w:val="000000" w:themeColor="text1"/>
          <w:sz w:val="16"/>
          <w:szCs w:val="16"/>
        </w:rPr>
        <w:t xml:space="preserve"> сооружения, крупногабаритное оборудование, не подлежавшее вывозу (23372).</w:t>
      </w:r>
    </w:p>
    <w:p w14:paraId="096C29A2" w14:textId="77777777" w:rsidR="00DF1ED7" w:rsidRPr="00925F26" w:rsidRDefault="00DF1ED7" w:rsidP="00925F26">
      <w:pPr>
        <w:jc w:val="both"/>
        <w:rPr>
          <w:color w:val="000000" w:themeColor="text1"/>
          <w:sz w:val="16"/>
          <w:szCs w:val="16"/>
        </w:rPr>
      </w:pPr>
    </w:p>
    <w:p w14:paraId="0DCCA3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немцы неудачно испытали несколько зенитных ракет (Вассерфаль, Рейнтохтер, Шметтерлинк, Тайфун) и для доработки требовалось не более 4 месяцев (1566,230).</w:t>
      </w:r>
    </w:p>
    <w:p w14:paraId="7EB0641C" w14:textId="77777777" w:rsidR="00665165" w:rsidRPr="00925F26" w:rsidRDefault="00665165" w:rsidP="00925F26">
      <w:pPr>
        <w:autoSpaceDE w:val="0"/>
        <w:autoSpaceDN w:val="0"/>
        <w:adjustRightInd w:val="0"/>
        <w:jc w:val="both"/>
        <w:rPr>
          <w:color w:val="000000" w:themeColor="text1"/>
          <w:sz w:val="16"/>
          <w:szCs w:val="16"/>
        </w:rPr>
      </w:pPr>
    </w:p>
    <w:p w14:paraId="4FFD89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был сделан V-1 повышенной до 370 км дальности. А.Гитлер заявил, что секретное оружие может в последний момент изменить обстановку (1608,23).</w:t>
      </w:r>
    </w:p>
    <w:p w14:paraId="4C9D1CAC" w14:textId="77777777" w:rsidR="00665165" w:rsidRPr="00925F26" w:rsidRDefault="00665165" w:rsidP="00925F26">
      <w:pPr>
        <w:autoSpaceDE w:val="0"/>
        <w:autoSpaceDN w:val="0"/>
        <w:adjustRightInd w:val="0"/>
        <w:jc w:val="both"/>
        <w:rPr>
          <w:color w:val="000000" w:themeColor="text1"/>
          <w:sz w:val="16"/>
          <w:szCs w:val="16"/>
        </w:rPr>
      </w:pPr>
    </w:p>
    <w:p w14:paraId="1785E78A" w14:textId="77777777" w:rsidR="008E7477" w:rsidRPr="00925F26" w:rsidRDefault="008E7477" w:rsidP="00925F26">
      <w:pPr>
        <w:jc w:val="both"/>
        <w:rPr>
          <w:color w:val="000000" w:themeColor="text1"/>
          <w:sz w:val="16"/>
          <w:szCs w:val="16"/>
        </w:rPr>
      </w:pPr>
      <w:r w:rsidRPr="00925F26">
        <w:rPr>
          <w:color w:val="000000" w:themeColor="text1"/>
          <w:sz w:val="16"/>
          <w:szCs w:val="16"/>
        </w:rPr>
        <w:lastRenderedPageBreak/>
        <w:t xml:space="preserve">В феврале 1945 два разведывательных самолета Mitsubishi Ki-46-IV ВВС Императорской армии Японии (союзное название «Дина») пролетят 2 301 км (1430 статутных </w:t>
      </w:r>
      <w:proofErr w:type="gramStart"/>
      <w:r w:rsidRPr="00925F26">
        <w:rPr>
          <w:color w:val="000000" w:themeColor="text1"/>
          <w:sz w:val="16"/>
          <w:szCs w:val="16"/>
        </w:rPr>
        <w:t>миль )</w:t>
      </w:r>
      <w:proofErr w:type="gramEnd"/>
      <w:r w:rsidRPr="00925F26">
        <w:rPr>
          <w:color w:val="000000" w:themeColor="text1"/>
          <w:sz w:val="16"/>
          <w:szCs w:val="16"/>
        </w:rPr>
        <w:t xml:space="preserve"> со средней скоростью 700 км / ч (435 миль в час), что является заметным сочетанием скорости и дальности за время (20371).</w:t>
      </w:r>
    </w:p>
    <w:p w14:paraId="0710566E" w14:textId="77777777" w:rsidR="008E7477" w:rsidRPr="00925F26" w:rsidRDefault="008E7477" w:rsidP="00925F26">
      <w:pPr>
        <w:jc w:val="both"/>
        <w:rPr>
          <w:color w:val="000000" w:themeColor="text1"/>
          <w:sz w:val="16"/>
          <w:szCs w:val="16"/>
        </w:rPr>
      </w:pPr>
    </w:p>
    <w:p w14:paraId="59F9A535" w14:textId="77777777" w:rsidR="008E7477" w:rsidRPr="00925F26" w:rsidRDefault="008E7477" w:rsidP="00925F26">
      <w:pPr>
        <w:jc w:val="both"/>
        <w:rPr>
          <w:color w:val="000000" w:themeColor="text1"/>
          <w:sz w:val="16"/>
          <w:szCs w:val="16"/>
        </w:rPr>
      </w:pPr>
      <w:r w:rsidRPr="00925F26">
        <w:rPr>
          <w:color w:val="000000" w:themeColor="text1"/>
          <w:sz w:val="16"/>
          <w:szCs w:val="16"/>
        </w:rPr>
        <w:t>В феврале 1945 ВМС США впервые использует пороховые ускорители (</w:t>
      </w:r>
      <w:proofErr w:type="gramStart"/>
      <w:r w:rsidRPr="00925F26">
        <w:rPr>
          <w:color w:val="000000" w:themeColor="text1"/>
          <w:sz w:val="16"/>
          <w:szCs w:val="16"/>
        </w:rPr>
        <w:t>JATO )</w:t>
      </w:r>
      <w:proofErr w:type="gramEnd"/>
      <w:r w:rsidRPr="00925F26">
        <w:rPr>
          <w:color w:val="000000" w:themeColor="text1"/>
          <w:sz w:val="16"/>
          <w:szCs w:val="16"/>
        </w:rPr>
        <w:t xml:space="preserve"> для взлета PBM-5 Mariner офф на участке реки Колорадо недалеко от Юма, штат Аризона, где был Mariner сел на вынужденную (20371).</w:t>
      </w:r>
    </w:p>
    <w:p w14:paraId="5943D365" w14:textId="77777777" w:rsidR="008E7477" w:rsidRPr="00925F26" w:rsidRDefault="008E7477" w:rsidP="00925F26">
      <w:pPr>
        <w:jc w:val="both"/>
        <w:rPr>
          <w:color w:val="000000" w:themeColor="text1"/>
          <w:sz w:val="16"/>
          <w:szCs w:val="16"/>
        </w:rPr>
      </w:pPr>
    </w:p>
    <w:p w14:paraId="5800B8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1945 японцы начали готовить бомбардировку Панамского канала бомбардировщиками, запускаемыми </w:t>
      </w:r>
      <w:proofErr w:type="gramStart"/>
      <w:r w:rsidRPr="00925F26">
        <w:rPr>
          <w:color w:val="000000" w:themeColor="text1"/>
          <w:sz w:val="16"/>
          <w:szCs w:val="16"/>
        </w:rPr>
        <w:t>с п/л</w:t>
      </w:r>
      <w:proofErr w:type="gramEnd"/>
      <w:r w:rsidRPr="00925F26">
        <w:rPr>
          <w:color w:val="000000" w:themeColor="text1"/>
          <w:sz w:val="16"/>
          <w:szCs w:val="16"/>
        </w:rPr>
        <w:t xml:space="preserve"> и планировали на 25 августа (3961, 111).</w:t>
      </w:r>
    </w:p>
    <w:p w14:paraId="2EC3F1A2" w14:textId="77777777" w:rsidR="00665165" w:rsidRPr="00925F26" w:rsidRDefault="00665165" w:rsidP="00925F26">
      <w:pPr>
        <w:autoSpaceDE w:val="0"/>
        <w:autoSpaceDN w:val="0"/>
        <w:adjustRightInd w:val="0"/>
        <w:jc w:val="both"/>
        <w:rPr>
          <w:color w:val="000000" w:themeColor="text1"/>
          <w:sz w:val="16"/>
          <w:szCs w:val="16"/>
        </w:rPr>
      </w:pPr>
    </w:p>
    <w:p w14:paraId="2E19A5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года, когда город Осака подвергся бомбардировке, склад и почти готовый прототип специального упрощенного штурмовика "Та-Го", предназначенного для подразделений камикадзе, который можно было бы как можно быстрее пустить в дело для решения тактической, по сути. задачи - обороны побережья от вражеских десантов в районе городов Осака и Кобе, сгорел. Самолет хотели сделать настолько простым, что его производство могла бы освоить любая столярная мастерская. Поэтому основным материалом была выбрана древесина. Металлическими были только моторама и стойки шасси. Фюзеляж набирался из деревянных реек на фанерных и металлических косынках и обшивался фанерой и полотном. В фюзеляже размещалась небольшая кабина с маленьким фонарем, переплеты которого были из дерева, а остекление выполнялось из плоских листов плексигласа. В качестве двигателя применялся звездообразный двигатель ВОЗДУШНОГО охлаждения Хитачи Ха-13 Ко. стартовой мощностью 510 л.с., капот которого предполагалось сделать из оцинкованной жести. Крыло также изготавливалось деревянным с обшивкой из фанеры и, частично, из полотна. Вооружение самолета состояло из одной 500 кг бомбы. (4800).</w:t>
      </w:r>
    </w:p>
    <w:p w14:paraId="28FE3E6D" w14:textId="77777777" w:rsidR="00665165" w:rsidRPr="00925F26" w:rsidRDefault="00665165" w:rsidP="00925F26">
      <w:pPr>
        <w:autoSpaceDE w:val="0"/>
        <w:autoSpaceDN w:val="0"/>
        <w:adjustRightInd w:val="0"/>
        <w:jc w:val="both"/>
        <w:rPr>
          <w:color w:val="000000" w:themeColor="text1"/>
          <w:sz w:val="16"/>
          <w:szCs w:val="16"/>
        </w:rPr>
      </w:pPr>
    </w:p>
    <w:p w14:paraId="3CAD95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в западной части ТО линкор Нью-Йорк и эскортные суда открыли огонь по серебристому объекту, который потом был объявлен Венерой (3712).</w:t>
      </w:r>
    </w:p>
    <w:p w14:paraId="6A4252F8" w14:textId="77777777" w:rsidR="00665165" w:rsidRPr="00925F26" w:rsidRDefault="00665165" w:rsidP="00925F26">
      <w:pPr>
        <w:autoSpaceDE w:val="0"/>
        <w:autoSpaceDN w:val="0"/>
        <w:adjustRightInd w:val="0"/>
        <w:jc w:val="both"/>
        <w:rPr>
          <w:color w:val="000000" w:themeColor="text1"/>
          <w:sz w:val="16"/>
          <w:szCs w:val="16"/>
        </w:rPr>
      </w:pPr>
    </w:p>
    <w:p w14:paraId="0D75D4D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C728F98" w14:textId="77777777" w:rsidR="00665165" w:rsidRPr="00925F26" w:rsidRDefault="00665165" w:rsidP="00925F26">
      <w:pPr>
        <w:autoSpaceDE w:val="0"/>
        <w:autoSpaceDN w:val="0"/>
        <w:adjustRightInd w:val="0"/>
        <w:jc w:val="both"/>
        <w:rPr>
          <w:iCs/>
          <w:color w:val="000000" w:themeColor="text1"/>
          <w:sz w:val="16"/>
          <w:szCs w:val="16"/>
        </w:rPr>
      </w:pPr>
    </w:p>
    <w:p w14:paraId="51FBBE77"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течение февраля - апреля 1945 на заводе № 18 проходил испытания на выносливость серийный самолет Ил-10 зав. № 1892002.</w:t>
      </w:r>
    </w:p>
    <w:p w14:paraId="41C6CBFF"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По состоянию на 20 апреля самолет налетал 47 ч 43 мин в воздухе и наработал 11 ч 47 мин, передвигаясь по аэродрому. Мотор АМ-42 № 451065, «установленный на самолет вместо снятого и отправленного на завод № 24 для установки причин появления стружки в маслофильтре мотора АМ № 45515», наработал 19 ч 02 мин в воздухе и 8 ч 02 мин - на земле.</w:t>
      </w:r>
    </w:p>
    <w:p w14:paraId="028CDDA4"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общей сложности было произведено 157 посадок с нормальным полетным весом, в том числе 87 - нормальных посадок, 25 - на две точки с выпущенными щитками, 25 - «с плюхом» (высоким выравниванием) и 20 - на одну стойку шасси (правую и левую).</w:t>
      </w:r>
    </w:p>
    <w:p w14:paraId="711F948C"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Выполнено 400 виражей, 200 пикирований и 200 боевых разворотов. При виражах скорость составляла 340-350 км/ч, крен - 60-70°, перегрузка - 2,0-3,5 единицы. Ввод в пикирование осуществлялся на высоте 2500 м, вывод на высоте - 1000 м, скорость при вводе - 270-280 км/ч, на выводе - 540-560 км/ч. Перегрузка на выводе ограничивалась 2,8-3,0 единицы. Набор высоты за один боевой разворот при скорости ввода в маневр 470-490 км/ч и вывода в горизонтальный полет 270 км/ч достигал 800-1000 м. Перегрузка при выполнении маневра не превышала 2,0-2,6 единицы.</w:t>
      </w:r>
    </w:p>
    <w:p w14:paraId="6392B300"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Закончен отстрел всего оружия в воздухе: пулеметы ШКАС - левый - 6300, правый - 4705, пушки ВЯ - правая - 1460, левая - 1600, пулемет УБК - 2350 выстрелов.</w:t>
      </w:r>
    </w:p>
    <w:p w14:paraId="0DE9E663"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20 апреля при посадке на одну стойку на пробеге «срезался болт, соединяющий рычаги, предохраняющие колесо от поворачивания левой ноги». Болт найти не удалось. Причина дефекта осталась невыясненной.</w:t>
      </w:r>
    </w:p>
    <w:p w14:paraId="61382035"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В ряду основных дефектов самолета зав. № 1892002 отмечалось появление течи масла и бензина из всех соединений моторных агрегатов и масла из-под штуцера левого маслобака. В полете произошло отсоединение тяги нормального газа. Самолет сел на вынужденную посадку без поломок.</w:t>
      </w:r>
    </w:p>
    <w:p w14:paraId="41386C97" w14:textId="77777777" w:rsidR="00D44763" w:rsidRPr="00925F26" w:rsidRDefault="00D44763" w:rsidP="00925F26">
      <w:pPr>
        <w:jc w:val="both"/>
        <w:rPr>
          <w:color w:val="000000" w:themeColor="text1"/>
          <w:sz w:val="16"/>
          <w:szCs w:val="16"/>
        </w:rPr>
      </w:pPr>
      <w:r w:rsidRPr="00925F26">
        <w:rPr>
          <w:rStyle w:val="107"/>
          <w:rFonts w:eastAsiaTheme="minorHAnsi"/>
          <w:color w:val="000000" w:themeColor="text1"/>
          <w:sz w:val="16"/>
          <w:szCs w:val="16"/>
        </w:rPr>
        <w:t>По итогам испытаний был усилен контроль при монтажах бензо - и маслопроводки. Контровку керном болта четырехзвенника тяги нормального газа заменили шплинтом (17490).</w:t>
      </w:r>
    </w:p>
    <w:p w14:paraId="2CAAC6CE" w14:textId="77777777" w:rsidR="00D44763" w:rsidRPr="00925F26" w:rsidRDefault="00D44763" w:rsidP="00925F26">
      <w:pPr>
        <w:jc w:val="both"/>
        <w:rPr>
          <w:color w:val="000000" w:themeColor="text1"/>
          <w:sz w:val="16"/>
          <w:szCs w:val="16"/>
        </w:rPr>
      </w:pPr>
    </w:p>
    <w:p w14:paraId="2E99A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феврале-марте 1945 проводились совместные испытаний первого Ту-2Т - 62Т низкого торпедоносца под две торпеды (4,187).</w:t>
      </w:r>
    </w:p>
    <w:p w14:paraId="56B05720" w14:textId="77777777" w:rsidR="00665165" w:rsidRPr="00925F26" w:rsidRDefault="00665165" w:rsidP="00925F26">
      <w:pPr>
        <w:autoSpaceDE w:val="0"/>
        <w:autoSpaceDN w:val="0"/>
        <w:adjustRightInd w:val="0"/>
        <w:jc w:val="both"/>
        <w:rPr>
          <w:color w:val="000000" w:themeColor="text1"/>
          <w:sz w:val="16"/>
          <w:szCs w:val="16"/>
        </w:rPr>
      </w:pPr>
    </w:p>
    <w:p w14:paraId="460B38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февраля по март 1945 серийно строили Як-9УТ с ВК-107А с НС-23 и 2хБ-20с (65,153).</w:t>
      </w:r>
    </w:p>
    <w:p w14:paraId="3789F45A" w14:textId="77777777" w:rsidR="00665165" w:rsidRPr="00925F26" w:rsidRDefault="00665165" w:rsidP="00925F26">
      <w:pPr>
        <w:autoSpaceDE w:val="0"/>
        <w:autoSpaceDN w:val="0"/>
        <w:adjustRightInd w:val="0"/>
        <w:jc w:val="both"/>
        <w:rPr>
          <w:color w:val="000000" w:themeColor="text1"/>
          <w:sz w:val="16"/>
          <w:szCs w:val="16"/>
        </w:rPr>
      </w:pPr>
    </w:p>
    <w:p w14:paraId="427000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февраля по июнь 1945-го ведущими на этапе заводских летных испытаний Як-13 были инженер А.Дружинин, летчик М.Павлов и механик О.Яницкий.</w:t>
      </w:r>
    </w:p>
    <w:p w14:paraId="5DD6E0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32 полета общей продолжительностью 22 часа 45 мин. В результате были получены такие данные: максимальная скорость у земли - 235 км/ч, на высоте 2500 м -205 км/ч. Крейсерская скорость -170 км/ ч. Время набора высоты 1000 м - 5,7 мин., 2500 м -16,9 мин. Скороподъемность у земли - 3,5 м/сек. Техническая дальность на скорости 170 км/ч - 700 км. Практический потолок - 4250 м. Разбег и пробег - 200 м.</w:t>
      </w:r>
    </w:p>
    <w:p w14:paraId="177C52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заключительного полета Михаил Павлов записал: " Як-13, благодаря хорошему обзору, простому и легкому управлению и хорошей устойчивости, является прекрасным штабным самолетом. Для взлета и посадки вполне достаточна площадка, годная для самолета УТ-2. Большое удобство и безопасность представляет запуск мотора сжатым воздухом, осуществляемый из кабины.</w:t>
      </w:r>
    </w:p>
    <w:p w14:paraId="1774D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Тормозные колеса сокращают пробег при посадке. Благодаря убирающемуся шасси, самолет имеет отличную скорость и делает более безопасной вынужденную посадку. Як-13 может быть успешно применен в качестве штабного самолета и как пассажирский для местных линий".</w:t>
      </w:r>
    </w:p>
    <w:p w14:paraId="78B1F3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выводах после окончания заводских испытаний отмечалось, что опытный Як-13 по своим летным и эксплуатационным качествам, простоте и комфортабельности значительно превосходит все существующие в СССР типы легких пассажирских и связных самолетов с моторами М-11...</w:t>
      </w:r>
    </w:p>
    <w:p w14:paraId="5DE2F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Як-13 рулит устойчиво при скорости 15-20 км/ч и оборотах мотора 650-700 об/ мин., не нуждаясь в сопровождении даже при ветре. На разбеге устойчив, тенденции к разворотам не имеет, для отрыва хвоста требует некоторого усилия на ручку от себя.</w:t>
      </w:r>
    </w:p>
    <w:p w14:paraId="66245C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наборе высоты при скорости 140 км/ч устойчивость относительно всех трех осей нормальная, усилия на ручку управления при этом небольшие, кроме того, они легко снимаются триммером. В горизонтальном полете имеет хороший запас устойчивости при всех эксплуатационных центровках.</w:t>
      </w:r>
    </w:p>
    <w:p w14:paraId="1BF565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Триммером легко балансируется на режимах горизонтального полета.</w:t>
      </w:r>
    </w:p>
    <w:p w14:paraId="303D88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эволюциях самолета - виражах, горках - нагрузки на ручку управления от руля высоты несколько возрастают, что для легкого небоевого самолета является положительным фактором в отношении безопасности полета.</w:t>
      </w:r>
    </w:p>
    <w:p w14:paraId="439780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Поперечная устойчивость - нормальная. Запас путевой устойчивости большой, эффективность руля поворота и нагрузки от него на управление - нормальные. При крутом планировании на скоростях до 320 км/ч Як-13 ведет себя нормально, вибраций нет. На критических углах атаки тенденций к сваливанию на крыло не имеет, при потере скорости самолет сам переходит на нос и набирает скорость.</w:t>
      </w:r>
    </w:p>
    <w:p w14:paraId="262B9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Бафтинга и других видов тряски на больших углах атаки не наблюдается. Устойчиво планирует с выпущенными щитками и шасси на скоростях 125-130 км/ ч. На посадке нагрузки на ручку управления от руля высоты • умеренные и значительно понижаются при выбранном триммере. Посадочная скорость самолета -100-105 км/ч. На пробеге машина устойчива, хорошо слушается тормозов.</w:t>
      </w:r>
    </w:p>
    <w:p w14:paraId="71D43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Як-13 позволяет производить полеты при любом эксплуатационном варианте загрузки. Кабина удобная, освещаемость достаточная, обзор хороший. Для улучшения обзора на рулежке сидение пилота сделано подъемным. Расположение приборов и рычагов управления удобное.</w:t>
      </w:r>
    </w:p>
    <w:p w14:paraId="7448B6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Обслуживание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простое, подходы ко всем агрегатам удобные, съемка и установка капотов производится легко и быстро. Благодаря наличию компрессора АК-40, пневмосисте-ма надежно обеспечивает выпуск шасси, закрылков и запуск мотора".</w:t>
      </w:r>
    </w:p>
    <w:p w14:paraId="248EB8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которое подписали А-Дружинин, М.Павлов, военпред К.Яновчук, отмечалось; "Як-13 прошел заводские испытания. Самолет может быть передан на государственные испытания в НИИ ВВС КА" (6411).</w:t>
      </w:r>
    </w:p>
    <w:p w14:paraId="123B6DB0" w14:textId="77777777" w:rsidR="00665165" w:rsidRPr="00925F26" w:rsidRDefault="00665165" w:rsidP="00925F26">
      <w:pPr>
        <w:autoSpaceDE w:val="0"/>
        <w:autoSpaceDN w:val="0"/>
        <w:adjustRightInd w:val="0"/>
        <w:jc w:val="both"/>
        <w:rPr>
          <w:color w:val="000000" w:themeColor="text1"/>
          <w:sz w:val="16"/>
          <w:szCs w:val="16"/>
        </w:rPr>
      </w:pPr>
    </w:p>
    <w:p w14:paraId="0CEBB1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 1945 г. и в марте 1945 г. Серийные с-ты Ла-7 з-да № 381, вооруженные синхронными пушками Б-20, проходили контрольные испытания в ГК НИИ ВВС. Не выдержали.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48FD0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Вместо них были в маре 1945 предъявлены 2 с-та с модернизированными пушками Б-20с (с “гусями”) и доведенной синхронизирующей установкой, которые проходили госиспытания с 26 марта по 4 апреля 1945 (741,4).</w:t>
      </w:r>
    </w:p>
    <w:p w14:paraId="2E2010FF" w14:textId="77777777" w:rsidR="00665165" w:rsidRPr="00925F26" w:rsidRDefault="00665165" w:rsidP="00925F26">
      <w:pPr>
        <w:autoSpaceDE w:val="0"/>
        <w:autoSpaceDN w:val="0"/>
        <w:adjustRightInd w:val="0"/>
        <w:jc w:val="both"/>
        <w:rPr>
          <w:color w:val="000000" w:themeColor="text1"/>
          <w:sz w:val="16"/>
          <w:szCs w:val="16"/>
        </w:rPr>
      </w:pPr>
    </w:p>
    <w:p w14:paraId="1F38C6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 марте 1945 г. в ОКБ С.А. Лавочкина началось проектирование реактивных самолетов под немецкие двигатели. К этому времени ОКБ С.А. Лавочкина уже полностью переехало в Москву и разместилось на заводе № 81. Весной 1945 г. был выпущен проект легкого однодвигательного реактивного истребителя "150" первоначально с люльковским двигателем С-18, а затем с Jumo-004. Это был высокоплан с расположением двигателя по реданной схеме, однако в отличие от "яка" кабина располагалась в носовой части фюзеляжа. Поскольку тяга немецкого Jumo-004 была меньше, чем расчетная у отечественного С-18, пришлось искать способы уменьшения массы конструкции. Для отдаления момента возникновения явлений, получивших название "волнового кризиса", предлагалось использовать новые </w:t>
      </w:r>
      <w:r w:rsidRPr="00925F26">
        <w:rPr>
          <w:color w:val="000000" w:themeColor="text1"/>
          <w:sz w:val="16"/>
          <w:szCs w:val="16"/>
        </w:rPr>
        <w:lastRenderedPageBreak/>
        <w:t>скоростные профили и рациональную компоновку их по длине крыла. Поскольку крыло следовало выполнять с малой относительной толщиной, шасси и топливные баки постарались убрать в фюзеляж. ЦАГИ рекомендовало возможно более высокое, на киле, расположение горизонтального оперения для выноса его из потока, возмущенного крылом.</w:t>
      </w:r>
    </w:p>
    <w:p w14:paraId="603166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Воздухозаборник находился в носовой части фюзеляжа, два воздушных канала огибали по бортам кабину пилота. Непростой оказалась задача размещения топливных баков: получилась довольно сложная система, включавшая в себя кроме двух баков в центроплане еще пять фюзеляжных баков своеобразной конфигурации, которые со всех сторон "облепили" двигатель. Такое решение позволило максимально обжать фюзеляж и при ограниченной тяге двигателя получить приемлемые скоростные характеристики.</w:t>
      </w:r>
    </w:p>
    <w:p w14:paraId="622B68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w:t>
      </w:r>
    </w:p>
    <w:p w14:paraId="3643C8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6174F01A" w14:textId="77777777" w:rsidR="00665165" w:rsidRPr="00925F26" w:rsidRDefault="00665165" w:rsidP="00925F26">
      <w:pPr>
        <w:autoSpaceDE w:val="0"/>
        <w:autoSpaceDN w:val="0"/>
        <w:adjustRightInd w:val="0"/>
        <w:jc w:val="both"/>
        <w:rPr>
          <w:color w:val="000000" w:themeColor="text1"/>
          <w:sz w:val="16"/>
          <w:szCs w:val="16"/>
        </w:rPr>
      </w:pPr>
    </w:p>
    <w:p w14:paraId="5E2BFBF2" w14:textId="77777777" w:rsidR="0006634D" w:rsidRPr="00925F26" w:rsidRDefault="0006634D"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феврале-марте 1945 г. началось проектирование новых реактивных самолетов под немецкие двигатели в ОКБ С.А. Ла вочкина, которое к этому времени уже полностью переехало в Москву и разместилось на заводе № 81. В объединенном кол лективе темп работ ускорился, и в апреле 1945 г. был выпущен проект легкого однодвигательного реактивного истребителя «150» под один Jumo-004.</w:t>
      </w:r>
    </w:p>
    <w:p w14:paraId="586D5F56" w14:textId="77777777" w:rsidR="0006634D" w:rsidRPr="00925F26" w:rsidRDefault="0006634D"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Компоновка легкого истребителя «150» оказалась гораз </w:t>
      </w:r>
      <w:proofErr w:type="gramStart"/>
      <w:r w:rsidRPr="00925F26">
        <w:rPr>
          <w:color w:val="000000" w:themeColor="text1"/>
          <w:sz w:val="16"/>
          <w:szCs w:val="16"/>
        </w:rPr>
        <w:t>до более трудной задачей</w:t>
      </w:r>
      <w:proofErr w:type="gramEnd"/>
      <w:r w:rsidRPr="00925F26">
        <w:rPr>
          <w:color w:val="000000" w:themeColor="text1"/>
          <w:sz w:val="16"/>
          <w:szCs w:val="16"/>
        </w:rPr>
        <w:t xml:space="preserve">. Впрочем, можно заметить некото рую преемственность с проектом Ла-ВРД: это высокоплан с фюзеляжем полугондольного типа, с эшелонированным раз мещением кабины пилота и двигателя. Но тяга немецкого Jumo-004 меньше, чем у отечественного С-18, и это застави ло искать способы уменьшения веса конструкции и лобового сопротивления. Следовало учесть и рекомендации ЦАГИ, ко торые были выработаны на основании тщательного изучения зарубежного опыта создания скоростных реактивных само летов, а также собственных исследований. Главными небла гоприятными факторами полета самолета на высокой скоро сти, когда начинает сказываться явление сжимаемости воз духа, были резкое возрастание аэродинамического сопротивления и изменение устойчивости и управляемости самолета вследствие изменения распределения давления по крылу и оперению. Для отдаления момента возникновения этих явлений, получивших название «волнового кризиса», предлагалось использовать новые скоростные так называемые «махоустойчивые» профили и рациональную компоновку их по размеру крыла. В концевой части крыла, где располага лись элероны, собирались установить профили с большей не сущей способностью с целью сохранения поперечной управ ляемости на критических углах атаки. Этому же способство вало применение геометрической крутки крыла. Концевые участки крыла относительно корневых имели меньший установочный угол. С точки зрения общей компоновки </w:t>
      </w:r>
      <w:proofErr w:type="gramStart"/>
      <w:r w:rsidRPr="00925F26">
        <w:rPr>
          <w:color w:val="000000" w:themeColor="text1"/>
          <w:sz w:val="16"/>
          <w:szCs w:val="16"/>
        </w:rPr>
        <w:t>скорост ного</w:t>
      </w:r>
      <w:proofErr w:type="gramEnd"/>
      <w:r w:rsidRPr="00925F26">
        <w:rPr>
          <w:color w:val="000000" w:themeColor="text1"/>
          <w:sz w:val="16"/>
          <w:szCs w:val="16"/>
        </w:rPr>
        <w:t xml:space="preserve"> самолета отмечалось, что схема низкоплана, широко при менявшаяся для истребителей, является малопригодной вслед ствие более раннего роста сопротивления из-за плохой ин терференции крыла и фюзеляжа. Выгодны схемы среднеплана и высокоплана. Поскольку крыло в перспективе должно иметь меньшую относительную толщину, желательно шасси и топ ливные баки убрать из него в фюзеляж. При больших чис лах Маха могло возникнуть явление «скоростного бафтин га», т.е. вибрации горизонтального оперения, связанного с неустойчивостью обтекания крыла при волновом кризисе и, как следствие, колебаниями струи за крылом. Поэтому реко мендовалось возможно более высокое, не ниже 30 % хорды крыла, расположение горизонтального оперения с целью вы носа его из возмущенного крылом потока.</w:t>
      </w:r>
    </w:p>
    <w:p w14:paraId="76EF39B6" w14:textId="77777777" w:rsidR="0006634D" w:rsidRPr="00925F26" w:rsidRDefault="0006634D"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Все требования и рекомендации нашли свое отражение в компоновке самолета «150». По сравнению с проектом Ла-ВРД при сохранении схемы высокоплана двухбалочная конструк ция хвостовой части была заменена однобалочной, применено относительно высокорасположенное горизонтальное оперение; боковые воздухозаборники превратились в два всасывающих канала, огибающих по бортам кабину пилота, с входным от верстием в носовой части фюзеляжа; вооружение и основные стойки шасси перенесены в фюзеляж. Расположение основно го шасси в фюзеляже стало с этого времени традиционным для всех реактивных самолетов Лавочкина. Особенно пришлось повозиться с размещением топливных баков. В результате по лучилась довольно сложная система, включавшая в себя кро ме двух баков в центроплане, еще пять фюзеляжных баков своеобразной конфигурации, которые со всех сторон облепили двигатель. Конечно, это усложнило конструкцию, но позволи ло максимально обжать фюзеляж и при ограниченной тяге двигателя получить приемлемые скоростные характеристики (19586).</w:t>
      </w:r>
    </w:p>
    <w:p w14:paraId="5285E24B" w14:textId="77777777" w:rsidR="0006634D" w:rsidRPr="00925F26" w:rsidRDefault="0006634D" w:rsidP="00925F26">
      <w:pPr>
        <w:pStyle w:val="ae"/>
        <w:shd w:val="clear" w:color="auto" w:fill="FFFFFF"/>
        <w:spacing w:before="0" w:after="0"/>
        <w:jc w:val="both"/>
        <w:rPr>
          <w:color w:val="000000" w:themeColor="text1"/>
          <w:sz w:val="16"/>
          <w:szCs w:val="16"/>
        </w:rPr>
      </w:pPr>
    </w:p>
    <w:p w14:paraId="2C05F11D" w14:textId="77777777" w:rsidR="00AD7660" w:rsidRPr="001A0BAA" w:rsidRDefault="00AD7660" w:rsidP="00AD7660">
      <w:pPr>
        <w:jc w:val="both"/>
        <w:rPr>
          <w:color w:val="0070C0"/>
          <w:sz w:val="16"/>
          <w:szCs w:val="16"/>
        </w:rPr>
      </w:pPr>
      <w:r w:rsidRPr="001A0BAA">
        <w:rPr>
          <w:color w:val="0070C0"/>
          <w:sz w:val="16"/>
          <w:szCs w:val="16"/>
        </w:rPr>
        <w:t>В феврале-марте 1945 г. началось проектирование новых реактивных самолетов под немецкие двигатели в ОКБ С.А. Ла</w:t>
      </w:r>
      <w:r w:rsidRPr="001A0BAA">
        <w:rPr>
          <w:color w:val="0070C0"/>
          <w:sz w:val="16"/>
          <w:szCs w:val="16"/>
        </w:rPr>
        <w:softHyphen/>
        <w:t>вочкина, которое к этому времени уже полностью переехало в Москву и разместилось на заводе № 81. В объединенном кол</w:t>
      </w:r>
      <w:r w:rsidRPr="001A0BAA">
        <w:rPr>
          <w:color w:val="0070C0"/>
          <w:sz w:val="16"/>
          <w:szCs w:val="16"/>
        </w:rPr>
        <w:softHyphen/>
        <w:t>лективе темп работ ускорился, и в апреле 1945 г. был выпущен проект легкого однодвигательного реактивного истребителя «150» под один Jumo-004 [57].</w:t>
      </w:r>
    </w:p>
    <w:p w14:paraId="7AFFB28F" w14:textId="77777777" w:rsidR="00AD7660" w:rsidRPr="001A0BAA" w:rsidRDefault="00AD7660" w:rsidP="00AD7660">
      <w:pPr>
        <w:jc w:val="both"/>
        <w:rPr>
          <w:color w:val="0070C0"/>
          <w:sz w:val="16"/>
          <w:szCs w:val="16"/>
        </w:rPr>
      </w:pPr>
      <w:r w:rsidRPr="001A0BAA">
        <w:rPr>
          <w:color w:val="0070C0"/>
          <w:sz w:val="16"/>
          <w:szCs w:val="16"/>
        </w:rPr>
        <w:t>Компоновка легкого истребителя «150» оказалась гораз</w:t>
      </w:r>
      <w:r w:rsidRPr="001A0BAA">
        <w:rPr>
          <w:color w:val="0070C0"/>
          <w:sz w:val="16"/>
          <w:szCs w:val="16"/>
        </w:rPr>
        <w:softHyphen/>
        <w:t>до более трудной задачей. Впрочем, можно заметить некото</w:t>
      </w:r>
      <w:r w:rsidRPr="001A0BAA">
        <w:rPr>
          <w:color w:val="0070C0"/>
          <w:sz w:val="16"/>
          <w:szCs w:val="16"/>
        </w:rPr>
        <w:softHyphen/>
        <w:t>рую преемственность с проектом Ла-ВРД: это высокоплан с фюзеляжем полугондольного типа, с эшелонированным раз</w:t>
      </w:r>
      <w:r w:rsidRPr="001A0BAA">
        <w:rPr>
          <w:color w:val="0070C0"/>
          <w:sz w:val="16"/>
          <w:szCs w:val="16"/>
        </w:rPr>
        <w:softHyphen/>
        <w:t>мещением кабины пилота и двигателя. Но тяга немецкого Jumo-004 меньше, чем у отечественного С-18, и это застави</w:t>
      </w:r>
      <w:r w:rsidRPr="001A0BAA">
        <w:rPr>
          <w:color w:val="0070C0"/>
          <w:sz w:val="16"/>
          <w:szCs w:val="16"/>
        </w:rPr>
        <w:softHyphen/>
        <w:t>ло искать способы уменьшения веса конструкции и лобового сопротивления. Следовало учесть и рекомендации ЦАГИ, ко</w:t>
      </w:r>
      <w:r w:rsidRPr="001A0BAA">
        <w:rPr>
          <w:color w:val="0070C0"/>
          <w:sz w:val="16"/>
          <w:szCs w:val="16"/>
        </w:rPr>
        <w:softHyphen/>
        <w:t>торые были выработаны на основании тщательного изучения зарубежного опыта создания скоростных реактивных само</w:t>
      </w:r>
      <w:r w:rsidRPr="001A0BAA">
        <w:rPr>
          <w:color w:val="0070C0"/>
          <w:sz w:val="16"/>
          <w:szCs w:val="16"/>
        </w:rPr>
        <w:softHyphen/>
        <w:t>летов, а также собственных исследований. Главными небла</w:t>
      </w:r>
      <w:r w:rsidRPr="001A0BAA">
        <w:rPr>
          <w:color w:val="0070C0"/>
          <w:sz w:val="16"/>
          <w:szCs w:val="16"/>
        </w:rPr>
        <w:softHyphen/>
        <w:t>гоприятными факторами полета самолета на высокой скоро</w:t>
      </w:r>
      <w:r w:rsidRPr="001A0BAA">
        <w:rPr>
          <w:color w:val="0070C0"/>
          <w:sz w:val="16"/>
          <w:szCs w:val="16"/>
        </w:rPr>
        <w:softHyphen/>
        <w:t>сти, когда начинает сказываться явление сжимаемости воз</w:t>
      </w:r>
      <w:r w:rsidRPr="001A0BAA">
        <w:rPr>
          <w:color w:val="0070C0"/>
          <w:sz w:val="16"/>
          <w:szCs w:val="16"/>
        </w:rPr>
        <w:softHyphen/>
        <w:t>духа, были резкое возрастание аэродинамического сопротивления и изменение устойчивости и управляемости самолета вследствие изменения распределения давления по крылу и оперению. Для отдаления момента возникновения этих явлений, получивших название «волнового кризиса», предлагалось использовать новые скоростные так называемые «махоустойчивые» профили и рациональную компоновку их по размеру крыла. В концевой части крыла, где располага</w:t>
      </w:r>
      <w:r w:rsidRPr="001A0BAA">
        <w:rPr>
          <w:color w:val="0070C0"/>
          <w:sz w:val="16"/>
          <w:szCs w:val="16"/>
        </w:rPr>
        <w:softHyphen/>
        <w:t>лись элероны, собирались установить профили с большей не</w:t>
      </w:r>
      <w:r w:rsidRPr="001A0BAA">
        <w:rPr>
          <w:color w:val="0070C0"/>
          <w:sz w:val="16"/>
          <w:szCs w:val="16"/>
        </w:rPr>
        <w:softHyphen/>
        <w:t>сущей способностью с целью сохранения поперечной управ</w:t>
      </w:r>
      <w:r w:rsidRPr="001A0BAA">
        <w:rPr>
          <w:color w:val="0070C0"/>
          <w:sz w:val="16"/>
          <w:szCs w:val="16"/>
        </w:rPr>
        <w:softHyphen/>
        <w:t>ляемости на критических углах атаки. Этому же способство</w:t>
      </w:r>
      <w:r w:rsidRPr="001A0BAA">
        <w:rPr>
          <w:color w:val="0070C0"/>
          <w:sz w:val="16"/>
          <w:szCs w:val="16"/>
        </w:rPr>
        <w:softHyphen/>
        <w:t>вало применение геометрической крутки крыла. Концевые участки крыла относительно корневых имели меньший установочный угол. С точки зрения общей компоновки скорост</w:t>
      </w:r>
      <w:r w:rsidRPr="001A0BAA">
        <w:rPr>
          <w:color w:val="0070C0"/>
          <w:sz w:val="16"/>
          <w:szCs w:val="16"/>
        </w:rPr>
        <w:softHyphen/>
        <w:t>ного самолета отмечалось, что схема низкоплана, широко при</w:t>
      </w:r>
      <w:r w:rsidRPr="001A0BAA">
        <w:rPr>
          <w:color w:val="0070C0"/>
          <w:sz w:val="16"/>
          <w:szCs w:val="16"/>
        </w:rPr>
        <w:softHyphen/>
        <w:t>менявшаяся для истребителей, является малопригодной вслед</w:t>
      </w:r>
      <w:r w:rsidRPr="001A0BAA">
        <w:rPr>
          <w:color w:val="0070C0"/>
          <w:sz w:val="16"/>
          <w:szCs w:val="16"/>
        </w:rPr>
        <w:softHyphen/>
        <w:t>ствие более раннего роста сопротивления из-за плохой ин</w:t>
      </w:r>
      <w:r w:rsidRPr="001A0BAA">
        <w:rPr>
          <w:color w:val="0070C0"/>
          <w:sz w:val="16"/>
          <w:szCs w:val="16"/>
        </w:rPr>
        <w:softHyphen/>
        <w:t>терференции крыла и фюзеляжа. Выгодны схемы среднеплана и высокоплана. Поскольку крыло в перспективе должно иметь меньшую относительную толщину, желательно шасси и топ</w:t>
      </w:r>
      <w:r w:rsidRPr="001A0BAA">
        <w:rPr>
          <w:color w:val="0070C0"/>
          <w:sz w:val="16"/>
          <w:szCs w:val="16"/>
        </w:rPr>
        <w:softHyphen/>
        <w:t>ливные баки убрать из него в фюзеляж. При больших чис</w:t>
      </w:r>
      <w:r w:rsidRPr="001A0BAA">
        <w:rPr>
          <w:color w:val="0070C0"/>
          <w:sz w:val="16"/>
          <w:szCs w:val="16"/>
        </w:rPr>
        <w:softHyphen/>
        <w:t>лах Маха могло возникнуть явление «скоростного бафтин</w:t>
      </w:r>
      <w:r w:rsidRPr="001A0BAA">
        <w:rPr>
          <w:color w:val="0070C0"/>
          <w:sz w:val="16"/>
          <w:szCs w:val="16"/>
        </w:rPr>
        <w:softHyphen/>
        <w:t>га», т.е. вибрации горизонтального оперения, связанного с неустойчивостью обтекания крыла при волновом кризисе и, как следствие, колебаниями струи за крылом. Поэтому реко</w:t>
      </w:r>
      <w:r w:rsidRPr="001A0BAA">
        <w:rPr>
          <w:color w:val="0070C0"/>
          <w:sz w:val="16"/>
          <w:szCs w:val="16"/>
        </w:rPr>
        <w:softHyphen/>
        <w:t>мендовалось возможно более высокое, не ниже 30 % хорды крыла, расположение горизонтального оперения с целью вы</w:t>
      </w:r>
      <w:r w:rsidRPr="001A0BAA">
        <w:rPr>
          <w:color w:val="0070C0"/>
          <w:sz w:val="16"/>
          <w:szCs w:val="16"/>
        </w:rPr>
        <w:softHyphen/>
        <w:t>носа его из возмущенного крылом потока [57].</w:t>
      </w:r>
    </w:p>
    <w:p w14:paraId="3E720DA9" w14:textId="77777777" w:rsidR="00AD7660" w:rsidRPr="001A0BAA" w:rsidRDefault="00AD7660" w:rsidP="00AD7660">
      <w:pPr>
        <w:jc w:val="both"/>
        <w:rPr>
          <w:color w:val="0070C0"/>
          <w:sz w:val="16"/>
          <w:szCs w:val="16"/>
        </w:rPr>
      </w:pPr>
      <w:r w:rsidRPr="001A0BAA">
        <w:rPr>
          <w:color w:val="0070C0"/>
          <w:sz w:val="16"/>
          <w:szCs w:val="16"/>
        </w:rPr>
        <w:t>Все требования и рекомендации нашли свое отражение в компоновке самолета «150». По сравнению с проектом Ла-ВРД при сохранении схемы высокоплана двухбалочная конструк</w:t>
      </w:r>
      <w:r w:rsidRPr="001A0BAA">
        <w:rPr>
          <w:color w:val="0070C0"/>
          <w:sz w:val="16"/>
          <w:szCs w:val="16"/>
        </w:rPr>
        <w:softHyphen/>
        <w:t>ция хвостовой части была заменена однобалочной, применено относительно высокорасположенное горизонтальное оперение; боковые воздухозаборники превратились в два всасывающих канала, огибающих по бортам кабину пилота, с входным от</w:t>
      </w:r>
      <w:r w:rsidRPr="001A0BAA">
        <w:rPr>
          <w:color w:val="0070C0"/>
          <w:sz w:val="16"/>
          <w:szCs w:val="16"/>
        </w:rPr>
        <w:softHyphen/>
        <w:t>верстием в носовой части фюзеляжа; вооружение и основные стойки шасси перенесены в фюзеляж. Расположение основно</w:t>
      </w:r>
      <w:r w:rsidRPr="001A0BAA">
        <w:rPr>
          <w:color w:val="0070C0"/>
          <w:sz w:val="16"/>
          <w:szCs w:val="16"/>
        </w:rPr>
        <w:softHyphen/>
        <w:t>го шасси в фюзеляже стало с этого времени традиционным для всех реактивных самолетов Лавочкина. Особенно пришлось повозиться с размещением топливных баков. В результате по</w:t>
      </w:r>
      <w:r w:rsidRPr="001A0BAA">
        <w:rPr>
          <w:color w:val="0070C0"/>
          <w:sz w:val="16"/>
          <w:szCs w:val="16"/>
        </w:rPr>
        <w:softHyphen/>
        <w:t>лучилась довольно сложная система, включавшая в себя кро</w:t>
      </w:r>
      <w:r w:rsidRPr="001A0BAA">
        <w:rPr>
          <w:color w:val="0070C0"/>
          <w:sz w:val="16"/>
          <w:szCs w:val="16"/>
        </w:rPr>
        <w:softHyphen/>
        <w:t>ме двух баков в центроплане, еще пять фюзеляжных баков своеобразной конфигурации, которые со всех сторон облепили двигатель. Конечно, это усложнило конструкцию, но позволи</w:t>
      </w:r>
      <w:r w:rsidRPr="001A0BAA">
        <w:rPr>
          <w:color w:val="0070C0"/>
          <w:sz w:val="16"/>
          <w:szCs w:val="16"/>
        </w:rPr>
        <w:softHyphen/>
        <w:t>ло максимально обжать фюзеляж и при ограниченной тяге двигателя получить приемлемые скоростные характеристики (23920).</w:t>
      </w:r>
    </w:p>
    <w:p w14:paraId="3882F405" w14:textId="77777777" w:rsidR="00AD7660" w:rsidRPr="001A0BAA" w:rsidRDefault="00AD7660" w:rsidP="00AD7660">
      <w:pPr>
        <w:jc w:val="both"/>
        <w:rPr>
          <w:color w:val="0070C0"/>
          <w:sz w:val="16"/>
          <w:szCs w:val="16"/>
        </w:rPr>
      </w:pPr>
    </w:p>
    <w:p w14:paraId="754735B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7E522A5" w14:textId="77777777" w:rsidR="00665165" w:rsidRPr="00925F26" w:rsidRDefault="00665165" w:rsidP="00925F26">
      <w:pPr>
        <w:autoSpaceDE w:val="0"/>
        <w:autoSpaceDN w:val="0"/>
        <w:adjustRightInd w:val="0"/>
        <w:jc w:val="both"/>
        <w:rPr>
          <w:iCs/>
          <w:color w:val="000000" w:themeColor="text1"/>
          <w:sz w:val="16"/>
          <w:szCs w:val="16"/>
        </w:rPr>
      </w:pPr>
    </w:p>
    <w:p w14:paraId="3C6EFA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 марте 1945 г. был изгоготовлен опытный образец танка Т-34 со 100-мм иушкой Д-1 установленной в башне с увеличенным диаметром опоры до 1700 мм. Завод № 92 НКВ по своей инициативе спроектировал и изготовил 100-мм пушку ЛБ-1, предъявив ее для сравнительных испытаний в-танке Т-34 параллельно с пушкой Д-10Т (10703).</w:t>
      </w:r>
    </w:p>
    <w:p w14:paraId="0887CD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6795CB" w14:textId="77777777" w:rsidR="00AD7660" w:rsidRPr="001A0BAA" w:rsidRDefault="00AD7660" w:rsidP="00AD7660">
      <w:pPr>
        <w:jc w:val="both"/>
        <w:rPr>
          <w:color w:val="0070C0"/>
          <w:sz w:val="16"/>
          <w:szCs w:val="16"/>
        </w:rPr>
      </w:pPr>
      <w:r w:rsidRPr="001A0BAA">
        <w:rPr>
          <w:color w:val="0070C0"/>
          <w:sz w:val="16"/>
          <w:szCs w:val="16"/>
        </w:rPr>
        <w:t xml:space="preserve">В феврале — марте 1945 года Т-34-100 завода № 183 прошла испытания на Свердловском и Гороховецком полигонах. Причем по ходу испытаний в Т-354-100 устанавливалась сразу две разных пушки — ЗИС-100 и Д-10, которую использовало от ОКБ № 9. В ходе испытаний </w:t>
      </w:r>
      <w:proofErr w:type="gramStart"/>
      <w:r w:rsidRPr="001A0BAA">
        <w:rPr>
          <w:color w:val="0070C0"/>
          <w:sz w:val="16"/>
          <w:szCs w:val="16"/>
        </w:rPr>
        <w:t>выяснилось</w:t>
      </w:r>
      <w:proofErr w:type="gramEnd"/>
      <w:r w:rsidRPr="001A0BAA">
        <w:rPr>
          <w:color w:val="0070C0"/>
          <w:sz w:val="16"/>
          <w:szCs w:val="16"/>
        </w:rPr>
        <w:t xml:space="preserve"> что кучность стрельбы была невысокой, а нагрузки на трансмиссию при выстреле хоть и заметно снизилась, но всё равно была чрезмерно большой. Но </w:t>
      </w:r>
      <w:proofErr w:type="gramStart"/>
      <w:r w:rsidRPr="001A0BAA">
        <w:rPr>
          <w:color w:val="0070C0"/>
          <w:sz w:val="16"/>
          <w:szCs w:val="16"/>
        </w:rPr>
        <w:t>не смотря</w:t>
      </w:r>
      <w:proofErr w:type="gramEnd"/>
      <w:r w:rsidRPr="001A0BAA">
        <w:rPr>
          <w:color w:val="0070C0"/>
          <w:sz w:val="16"/>
          <w:szCs w:val="16"/>
        </w:rPr>
        <w:t xml:space="preserve"> на это, танк понравился </w:t>
      </w:r>
      <w:proofErr w:type="gramStart"/>
      <w:r w:rsidRPr="001A0BAA">
        <w:rPr>
          <w:color w:val="0070C0"/>
          <w:sz w:val="16"/>
          <w:szCs w:val="16"/>
        </w:rPr>
        <w:t>военным</w:t>
      </w:r>
      <w:proofErr w:type="gramEnd"/>
      <w:r w:rsidRPr="001A0BAA">
        <w:rPr>
          <w:color w:val="0070C0"/>
          <w:sz w:val="16"/>
          <w:szCs w:val="16"/>
        </w:rPr>
        <w:t xml:space="preserve"> и они потребовали продолжения работ над ним. Но устранить эти, </w:t>
      </w:r>
      <w:proofErr w:type="gramStart"/>
      <w:r w:rsidRPr="001A0BAA">
        <w:rPr>
          <w:color w:val="0070C0"/>
          <w:sz w:val="16"/>
          <w:szCs w:val="16"/>
        </w:rPr>
        <w:t>казалось бы</w:t>
      </w:r>
      <w:proofErr w:type="gramEnd"/>
      <w:r w:rsidRPr="001A0BAA">
        <w:rPr>
          <w:color w:val="0070C0"/>
          <w:sz w:val="16"/>
          <w:szCs w:val="16"/>
        </w:rPr>
        <w:t xml:space="preserve"> небольшие недостатки, быстро так и не удалось (25570).</w:t>
      </w:r>
    </w:p>
    <w:p w14:paraId="18EA8515" w14:textId="77777777" w:rsidR="00AD7660" w:rsidRPr="001A0BAA" w:rsidRDefault="00AD7660" w:rsidP="00AD7660">
      <w:pPr>
        <w:jc w:val="both"/>
        <w:rPr>
          <w:color w:val="0070C0"/>
          <w:sz w:val="16"/>
          <w:szCs w:val="16"/>
        </w:rPr>
      </w:pPr>
    </w:p>
    <w:p w14:paraId="5CE76489" w14:textId="77777777" w:rsidR="0006634D" w:rsidRPr="00925F26" w:rsidRDefault="0006634D"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В период с февраля по май 1945 года из шести Т-44 пробег в 300 км выдержало два танка – немного, но не так и мало. К тому же проблемы с бандажами опорных катков, один из частых дефектов, были типовыми и для Т-34-85. Кроме того, в период с января по октябрь 1945 года 9 танков проходили испытания на 300 км. Дистанцию выдержали четыре машины – кажется мало, но из восемнадцати СУ-100 тот же пробег выдержали четыре. </w:t>
      </w:r>
      <w:proofErr w:type="gramStart"/>
      <w:r w:rsidRPr="00925F26">
        <w:rPr>
          <w:color w:val="000000" w:themeColor="text1"/>
          <w:sz w:val="16"/>
          <w:szCs w:val="16"/>
        </w:rPr>
        <w:t>Наибольший процент (21 из 22 машин)</w:t>
      </w:r>
      <w:proofErr w:type="gramEnd"/>
      <w:r w:rsidRPr="00925F26">
        <w:rPr>
          <w:color w:val="000000" w:themeColor="text1"/>
          <w:sz w:val="16"/>
          <w:szCs w:val="16"/>
        </w:rPr>
        <w:t xml:space="preserve"> выдержавших испытания пришёлся на самоходные установки ИСУ, но тут интересен другой факт. Испытания на 1000 км не выдержала ни одна из ИСУ и ни один Т-44, при этом две из четырёх СУ-100 этот пробег выдержали. Одним словом, говорить о дефектном танке можно с некоторыми оговорками (19047).</w:t>
      </w:r>
    </w:p>
    <w:p w14:paraId="3408C292" w14:textId="77777777" w:rsidR="0006634D" w:rsidRPr="00925F26" w:rsidRDefault="0006634D" w:rsidP="00925F26">
      <w:pPr>
        <w:pStyle w:val="ae"/>
        <w:spacing w:before="0" w:after="0"/>
        <w:jc w:val="both"/>
        <w:textAlignment w:val="baseline"/>
        <w:rPr>
          <w:color w:val="000000" w:themeColor="text1"/>
          <w:sz w:val="16"/>
          <w:szCs w:val="16"/>
        </w:rPr>
      </w:pPr>
    </w:p>
    <w:p w14:paraId="4F1D3CF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FB8DF72" w14:textId="77777777" w:rsidR="00665165" w:rsidRPr="00925F26" w:rsidRDefault="00665165" w:rsidP="00925F26">
      <w:pPr>
        <w:autoSpaceDE w:val="0"/>
        <w:autoSpaceDN w:val="0"/>
        <w:adjustRightInd w:val="0"/>
        <w:jc w:val="both"/>
        <w:rPr>
          <w:iCs/>
          <w:color w:val="000000" w:themeColor="text1"/>
          <w:sz w:val="16"/>
          <w:szCs w:val="16"/>
        </w:rPr>
      </w:pPr>
    </w:p>
    <w:p w14:paraId="5CBDE47F" w14:textId="77777777" w:rsidR="00BF18D8" w:rsidRPr="00925F26" w:rsidRDefault="00BF18D8"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С февраля по май 1945 года самолеты В-29 сначала поступа</w:t>
      </w:r>
      <w:r w:rsidRPr="00925F26">
        <w:rPr>
          <w:color w:val="000000" w:themeColor="text1"/>
          <w:sz w:val="16"/>
          <w:szCs w:val="16"/>
        </w:rPr>
        <w:softHyphen/>
        <w:t>ли в арсенал в Оклахоме, где на них устанав</w:t>
      </w:r>
      <w:r w:rsidRPr="00925F26">
        <w:rPr>
          <w:color w:val="000000" w:themeColor="text1"/>
          <w:sz w:val="16"/>
          <w:szCs w:val="16"/>
        </w:rPr>
        <w:softHyphen/>
        <w:t>ливалось электронное оборудование. С мая 1945 года завод в Мариетте поставлял уже полностью укомплектованные бомбарди</w:t>
      </w:r>
      <w:r w:rsidRPr="00925F26">
        <w:rPr>
          <w:color w:val="000000" w:themeColor="text1"/>
          <w:sz w:val="16"/>
          <w:szCs w:val="16"/>
        </w:rPr>
        <w:softHyphen/>
        <w:t>ровщики.</w:t>
      </w:r>
    </w:p>
    <w:p w14:paraId="7BF3C4F5" w14:textId="77777777" w:rsidR="00BF18D8" w:rsidRPr="00925F26" w:rsidRDefault="00BF18D8"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Поскольку потребность в В-29В была очень высокой, первые машины поступили в стро</w:t>
      </w:r>
      <w:r w:rsidRPr="00925F26">
        <w:rPr>
          <w:color w:val="000000" w:themeColor="text1"/>
          <w:sz w:val="16"/>
          <w:szCs w:val="16"/>
        </w:rPr>
        <w:softHyphen/>
        <w:t>евые части без радиодальномера А1^/АРО-15, запросчика «свой-чужой», вычислителя уп</w:t>
      </w:r>
      <w:r w:rsidRPr="00925F26">
        <w:rPr>
          <w:color w:val="000000" w:themeColor="text1"/>
          <w:sz w:val="16"/>
          <w:szCs w:val="16"/>
        </w:rPr>
        <w:softHyphen/>
        <w:t>реждения для стрельбы из бортового оружия. Эти машины состояли на вооружении 16-й и 501-й бомбардировочных групп 315-го кры</w:t>
      </w:r>
      <w:r w:rsidRPr="00925F26">
        <w:rPr>
          <w:color w:val="000000" w:themeColor="text1"/>
          <w:sz w:val="16"/>
          <w:szCs w:val="16"/>
        </w:rPr>
        <w:softHyphen/>
        <w:t>ла, достигших боеготовности к 1 апреля 1945 года. Еще две группы - 502-я и 331-я - при</w:t>
      </w:r>
      <w:r w:rsidRPr="00925F26">
        <w:rPr>
          <w:color w:val="000000" w:themeColor="text1"/>
          <w:sz w:val="16"/>
          <w:szCs w:val="16"/>
        </w:rPr>
        <w:softHyphen/>
        <w:t>ступили к боевым вылетам 1 мая. Лишь по</w:t>
      </w:r>
      <w:r w:rsidRPr="00925F26">
        <w:rPr>
          <w:color w:val="000000" w:themeColor="text1"/>
          <w:sz w:val="16"/>
          <w:szCs w:val="16"/>
        </w:rPr>
        <w:softHyphen/>
        <w:t>сле окончания войны все выпушенные В-29В полностью укомплектовали штатным обору</w:t>
      </w:r>
      <w:r w:rsidRPr="00925F26">
        <w:rPr>
          <w:color w:val="000000" w:themeColor="text1"/>
          <w:sz w:val="16"/>
          <w:szCs w:val="16"/>
        </w:rPr>
        <w:softHyphen/>
        <w:t>дованием (12292).</w:t>
      </w:r>
    </w:p>
    <w:p w14:paraId="51D7EFA0" w14:textId="77777777" w:rsidR="00BF18D8" w:rsidRPr="00925F26" w:rsidRDefault="00BF18D8" w:rsidP="00925F26">
      <w:pPr>
        <w:pStyle w:val="92"/>
        <w:shd w:val="clear" w:color="auto" w:fill="auto"/>
        <w:spacing w:after="0" w:line="240" w:lineRule="auto"/>
        <w:ind w:firstLine="0"/>
        <w:jc w:val="both"/>
        <w:rPr>
          <w:color w:val="000000" w:themeColor="text1"/>
          <w:sz w:val="16"/>
          <w:szCs w:val="16"/>
        </w:rPr>
      </w:pPr>
    </w:p>
    <w:p w14:paraId="6260DA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феврале-марте 1945 г. на конференции в Чапультепеке (Мексика) страны региона приступили к обсуждению вопросов послевоенного урегулирования и переустройства мира. Здесь произошло окончательное структурно-организационное оформление межамериканских отношений. Чапультепекским актом о взаимной помощи и солидарности было установлено, что панамериканские конференции будут проводиться раз в четыре года, а консультативные совещания министров иностранных дел - ежегодно. Руководящий совет наделялся политическими правами и отныне мог созывать конференции и контролировать работу всех панамериканских учреждений. В Акте было впервые указано, что всякое покушение на суверенитет, независимость и территориальную целостность одного из американских государств будет рассматриваться как агрессия против всех стран, подписавших чапультепекский документ. Принятие этого документа, бесспорно, способствовало обеспечению мира и безопасности в Западном полушарии. Но оно и закрепляло характер панамериканского военно-политического сотрудничества как построенного на идее сохранения силового лидерства США.</w:t>
      </w:r>
    </w:p>
    <w:p w14:paraId="38B3E1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Чапультепеке делегации стран-участниц приняли также Экономическую хартию американских стран, предусматривавшую отмену таможенных барьеров, утверждение в экономических отношениях принципа "равных возможностей" и устранение "экономического национализма в любых его проявлениях" (3871).</w:t>
      </w:r>
    </w:p>
    <w:p w14:paraId="67EDDD3D" w14:textId="77777777" w:rsidR="00665165" w:rsidRPr="00925F26" w:rsidRDefault="00665165" w:rsidP="00925F26">
      <w:pPr>
        <w:autoSpaceDE w:val="0"/>
        <w:autoSpaceDN w:val="0"/>
        <w:adjustRightInd w:val="0"/>
        <w:jc w:val="both"/>
        <w:rPr>
          <w:color w:val="000000" w:themeColor="text1"/>
          <w:sz w:val="16"/>
          <w:szCs w:val="16"/>
        </w:rPr>
      </w:pPr>
    </w:p>
    <w:p w14:paraId="2B4D5F34" w14:textId="77777777" w:rsidR="00BA15CA"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24A12E6" w14:textId="77777777" w:rsidR="00BA15CA" w:rsidRPr="00925F26" w:rsidRDefault="00BA15CA" w:rsidP="00925F26">
      <w:pPr>
        <w:autoSpaceDE w:val="0"/>
        <w:autoSpaceDN w:val="0"/>
        <w:adjustRightInd w:val="0"/>
        <w:jc w:val="both"/>
        <w:rPr>
          <w:iCs/>
          <w:color w:val="000000" w:themeColor="text1"/>
          <w:sz w:val="16"/>
          <w:szCs w:val="16"/>
        </w:rPr>
      </w:pPr>
    </w:p>
    <w:p w14:paraId="7EC3E68E" w14:textId="77777777" w:rsidR="00BA15CA" w:rsidRPr="00925F26" w:rsidRDefault="00BA15CA" w:rsidP="00925F26">
      <w:pPr>
        <w:shd w:val="clear" w:color="auto" w:fill="FFFFFF"/>
        <w:jc w:val="both"/>
        <w:rPr>
          <w:color w:val="000000" w:themeColor="text1"/>
          <w:sz w:val="16"/>
          <w:szCs w:val="16"/>
        </w:rPr>
      </w:pPr>
      <w:r w:rsidRPr="00925F26">
        <w:rPr>
          <w:color w:val="000000" w:themeColor="text1"/>
          <w:sz w:val="16"/>
          <w:szCs w:val="16"/>
        </w:rPr>
        <w:t>Зимой 1945 года танк Кромвель с регистрационным номером T.187866 был частично разобран и подвергнут обстрелу. Выяснилось, что советские пушки ЗИС-3 и Ф-34 лобовую часть корпуса и башни не пробивают, но при этом борта пробиваются с дистанции более двух километров. Впрочем, вероятность встречи Т-34 с «Кромвелем» была крайне низка, чего не скажешь о «Пантере», орудием которой также обстреляли английский танк. И здесь всё оказалось гораздо печальнее – 7.5 cm KwK 42 L/70 пробивала броню английской машины со всех дистанций (15737).</w:t>
      </w:r>
    </w:p>
    <w:p w14:paraId="3C70D018" w14:textId="77777777" w:rsidR="00BA15CA" w:rsidRPr="00925F26" w:rsidRDefault="00BA15CA" w:rsidP="00925F26">
      <w:pPr>
        <w:pStyle w:val="28"/>
        <w:shd w:val="clear" w:color="auto" w:fill="auto"/>
        <w:spacing w:before="0" w:line="240" w:lineRule="auto"/>
        <w:jc w:val="both"/>
        <w:rPr>
          <w:rFonts w:ascii="Times New Roman" w:hAnsi="Times New Roman" w:cs="Times New Roman"/>
          <w:color w:val="000000" w:themeColor="text1"/>
          <w:sz w:val="16"/>
          <w:szCs w:val="16"/>
        </w:rPr>
      </w:pPr>
    </w:p>
    <w:p w14:paraId="4EEC01F5" w14:textId="77777777" w:rsidR="0006634D" w:rsidRPr="00925F26" w:rsidRDefault="0006634D"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F13FAA8" w14:textId="77777777" w:rsidR="0006634D" w:rsidRPr="00925F26" w:rsidRDefault="0006634D" w:rsidP="00925F26">
      <w:pPr>
        <w:autoSpaceDE w:val="0"/>
        <w:autoSpaceDN w:val="0"/>
        <w:adjustRightInd w:val="0"/>
        <w:jc w:val="both"/>
        <w:rPr>
          <w:iCs/>
          <w:color w:val="000000" w:themeColor="text1"/>
          <w:sz w:val="16"/>
          <w:szCs w:val="16"/>
        </w:rPr>
      </w:pPr>
    </w:p>
    <w:p w14:paraId="4C83D307" w14:textId="5E65619B" w:rsidR="0006634D" w:rsidRPr="00925F26" w:rsidRDefault="0006634D"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Зимой-весной 1945 года на ИС-6 отрабатывали гидро-сервопривод планетарного механизма поворота. Продолжались и работы по модернизированным опорным каткам — их увеличили в диаметре до 800 мм, и теперь конструкция больше напоминала опорный каток ИС-2. Первые образцы таких катков поставили на Объект 244 в декабре 1944 года, он прошёл на них 305 км, ещё 393 км удалось преодолеть в январе 1945 года. Наконец, никуда не делась 122-мм пушка БЛ-13 — работы по ней продолжались, в 1945 году орудие вышло на испытания. Правда, испытывали эти элементы на Объекте 244 и ИС-2, а работы по ИС-6 велись скорее как прелюдия к новому танку. 19 февраля 1945 года Вовк снова пожаловался на «тайные комнаты», которые появились на заводе №100. С одобрения Котина ОКБ завода №100 втайне начало разработку танка, который позже получил обозначение Объект 257. Он также стал первым танком, получившим обозначение</w:t>
      </w:r>
      <w:r w:rsidR="00997EDF" w:rsidRPr="00925F26">
        <w:rPr>
          <w:color w:val="000000" w:themeColor="text1"/>
          <w:sz w:val="16"/>
          <w:szCs w:val="16"/>
        </w:rPr>
        <w:t xml:space="preserve">  </w:t>
      </w:r>
      <w:hyperlink r:id="rId57" w:history="1">
        <w:r w:rsidRPr="00925F26">
          <w:rPr>
            <w:rStyle w:val="a5"/>
            <w:bCs/>
            <w:iCs/>
            <w:color w:val="000000" w:themeColor="text1"/>
            <w:sz w:val="16"/>
            <w:szCs w:val="16"/>
            <w:bdr w:val="none" w:sz="0" w:space="0" w:color="auto" w:frame="1"/>
          </w:rPr>
          <w:t>ИС-7</w:t>
        </w:r>
      </w:hyperlink>
      <w:r w:rsidRPr="00925F26">
        <w:rPr>
          <w:color w:val="000000" w:themeColor="text1"/>
          <w:sz w:val="16"/>
          <w:szCs w:val="16"/>
        </w:rPr>
        <w:t xml:space="preserve"> (19150).</w:t>
      </w:r>
    </w:p>
    <w:p w14:paraId="78437EC5" w14:textId="77777777" w:rsidR="0006634D" w:rsidRPr="00925F26" w:rsidRDefault="0006634D" w:rsidP="00925F26">
      <w:pPr>
        <w:shd w:val="clear" w:color="auto" w:fill="FFFFFF"/>
        <w:jc w:val="both"/>
        <w:textAlignment w:val="baseline"/>
        <w:rPr>
          <w:color w:val="000000" w:themeColor="text1"/>
          <w:sz w:val="16"/>
          <w:szCs w:val="16"/>
        </w:rPr>
      </w:pPr>
    </w:p>
    <w:p w14:paraId="5063337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8BB4038" w14:textId="77777777" w:rsidR="00665165" w:rsidRPr="00925F26" w:rsidRDefault="00665165" w:rsidP="00925F26">
      <w:pPr>
        <w:autoSpaceDE w:val="0"/>
        <w:autoSpaceDN w:val="0"/>
        <w:adjustRightInd w:val="0"/>
        <w:jc w:val="both"/>
        <w:rPr>
          <w:iCs/>
          <w:color w:val="000000" w:themeColor="text1"/>
          <w:sz w:val="16"/>
          <w:szCs w:val="16"/>
        </w:rPr>
      </w:pPr>
    </w:p>
    <w:p w14:paraId="129B56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марту 1945 г. был разработан эскизный проект тральщика (главный конструк</w:t>
      </w:r>
      <w:r w:rsidRPr="00925F26">
        <w:rPr>
          <w:color w:val="000000" w:themeColor="text1"/>
          <w:sz w:val="16"/>
          <w:szCs w:val="16"/>
        </w:rPr>
        <w:softHyphen/>
        <w:t>тор Г. М. Вераксо), который предусматривал полубачную архитек</w:t>
      </w:r>
      <w:r w:rsidRPr="00925F26">
        <w:rPr>
          <w:color w:val="000000" w:themeColor="text1"/>
          <w:sz w:val="16"/>
          <w:szCs w:val="16"/>
        </w:rPr>
        <w:softHyphen/>
        <w:t>туру и сварную конструкцию корпуса, стандартное водоизмещение 400 т и вооружение всеми типами тралов, а также минами, 100- и 37-мм орудиями. В дальнейшем проект прошел еще несколько ста</w:t>
      </w:r>
      <w:r w:rsidRPr="00925F26">
        <w:rPr>
          <w:color w:val="000000" w:themeColor="text1"/>
          <w:sz w:val="16"/>
          <w:szCs w:val="16"/>
        </w:rPr>
        <w:softHyphen/>
        <w:t>дий доработки и был воплощен в большой послевоенной серии тральщиков (3898).</w:t>
      </w:r>
    </w:p>
    <w:p w14:paraId="6C5F86A4" w14:textId="77777777" w:rsidR="00665165" w:rsidRPr="00925F26" w:rsidRDefault="00665165" w:rsidP="00925F26">
      <w:pPr>
        <w:autoSpaceDE w:val="0"/>
        <w:autoSpaceDN w:val="0"/>
        <w:adjustRightInd w:val="0"/>
        <w:jc w:val="both"/>
        <w:rPr>
          <w:color w:val="000000" w:themeColor="text1"/>
          <w:sz w:val="16"/>
          <w:szCs w:val="16"/>
        </w:rPr>
      </w:pPr>
    </w:p>
    <w:p w14:paraId="27BD2A2E" w14:textId="77777777" w:rsidR="00BA15CA"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F07F011" w14:textId="77777777" w:rsidR="00BA15CA" w:rsidRPr="00925F26" w:rsidRDefault="00BA15CA" w:rsidP="00925F26">
      <w:pPr>
        <w:autoSpaceDE w:val="0"/>
        <w:autoSpaceDN w:val="0"/>
        <w:adjustRightInd w:val="0"/>
        <w:jc w:val="both"/>
        <w:rPr>
          <w:iCs/>
          <w:color w:val="000000" w:themeColor="text1"/>
          <w:sz w:val="16"/>
          <w:szCs w:val="16"/>
        </w:rPr>
      </w:pPr>
    </w:p>
    <w:p w14:paraId="0E918F59" w14:textId="77777777" w:rsidR="00BA15CA" w:rsidRPr="00925F26" w:rsidRDefault="00BA15CA" w:rsidP="00925F26">
      <w:pPr>
        <w:jc w:val="both"/>
        <w:rPr>
          <w:color w:val="000000" w:themeColor="text1"/>
          <w:sz w:val="16"/>
          <w:szCs w:val="16"/>
        </w:rPr>
      </w:pPr>
      <w:r w:rsidRPr="00925F26">
        <w:rPr>
          <w:color w:val="000000" w:themeColor="text1"/>
          <w:sz w:val="16"/>
          <w:szCs w:val="16"/>
        </w:rPr>
        <w:t>К марту 1945 года ракета достигала высот 18-20 км и скорости 760 км/ч. Старт производился вертикально вверх со специального пускового станка, и уже в воздухе поворачивалась на цель. К концу войны "Вассерфаль" была настолько готова, что могла быть развернута для боевого дежурства, но война закончилась поражением Третьего Рейха. После капитуляции Рейха значительное количество готовых и полуготовых ракет, а также документации и техперсонала попали в США и в СССР. Американцы на ее базе создали и испытали экспериментальную зенитную ракету А-1 "Гермес". В Советском Союзе ЗУР "Вассерфаль" получила обозначение Р-101. Вместо азота на ней применили сильно сжатый атмосферный воздух. Позже ракета была модернизирована под обозначением Р-102. Испытания ракет дали обнадеживающие результаты, но и выявили серьезные недостатки, в основном, в системе ручного управления ракетой. Проекты были закрыты (15139).</w:t>
      </w:r>
    </w:p>
    <w:p w14:paraId="013514A4" w14:textId="77777777" w:rsidR="00BA15CA" w:rsidRPr="00925F26" w:rsidRDefault="00BA15CA" w:rsidP="00925F26">
      <w:pPr>
        <w:jc w:val="both"/>
        <w:rPr>
          <w:color w:val="000000" w:themeColor="text1"/>
          <w:sz w:val="16"/>
          <w:szCs w:val="16"/>
        </w:rPr>
      </w:pPr>
    </w:p>
    <w:p w14:paraId="6C6579BE" w14:textId="77777777" w:rsidR="00BA15CA" w:rsidRPr="00925F26" w:rsidRDefault="00BA15CA" w:rsidP="00925F26">
      <w:pPr>
        <w:jc w:val="both"/>
        <w:rPr>
          <w:color w:val="000000" w:themeColor="text1"/>
          <w:sz w:val="16"/>
          <w:szCs w:val="16"/>
        </w:rPr>
      </w:pPr>
      <w:r w:rsidRPr="00925F26">
        <w:rPr>
          <w:color w:val="000000" w:themeColor="text1"/>
          <w:sz w:val="16"/>
          <w:szCs w:val="16"/>
        </w:rPr>
        <w:t>К марту 1945 г., до прекращения работ ЗУР «Энциан», фирме «Мессершмитт» удалось разработать до 15 вариантов ЗУР «Энциан» (FR-1 - FR-6, Е-1 - Е-6), изготовлено же было лишь примерно 60 опытных образцов, главным образом варианта Е-1. Имеются сведения о запуске 24-38 ракет этого типа, причем 16 из таких ракет имели полный комплект аппаратуры наведения. Число удачных запусков было относительно велико - 30-35%.</w:t>
      </w:r>
    </w:p>
    <w:p w14:paraId="0BFC67A3" w14:textId="77777777" w:rsidR="00BA15CA" w:rsidRPr="00925F26" w:rsidRDefault="00BA15CA" w:rsidP="00925F26">
      <w:pPr>
        <w:jc w:val="both"/>
        <w:rPr>
          <w:color w:val="000000" w:themeColor="text1"/>
          <w:sz w:val="16"/>
          <w:szCs w:val="16"/>
        </w:rPr>
      </w:pPr>
      <w:r w:rsidRPr="00925F26">
        <w:rPr>
          <w:color w:val="000000" w:themeColor="text1"/>
          <w:sz w:val="16"/>
          <w:szCs w:val="16"/>
        </w:rPr>
        <w:t>ЗУР «Энциан» (использовалось также обозначение FR - «Flakrakete» - зенитная ракета) разрабатывалась с 1943 г. конструкторским бюро, входившим в состав самолетостроительной фирмы «Мессершмитт». Это в определенной степени повлияло на выбор конструктивной схемы «Энциана»: беспилотный самолет «бесхвостка», по внешнему виду очень сходный с реактивным истребителем-перехватчиком Me-163. Ракета была снабжена стреловидным крылом, на задней кромке которого имелись элероны управления по крену и тангажу. На хвостовой части фюзеляжа под углом 90 град к плоскости крыла были установлены два киля со стреловидной передней кромкой и прямой задней. Для обеспечения высокой технологичности (и низкой стоимости) ракеты ее корпус монтировался из штампованных панелей из малоуглеродистой листовой стали, соединяемых методом сварки или клепки. Крылья и кили имели деревянную конструкцию, состоявшую из соснового каркаса из реек и обшивки из буковой фанеры в несколько слоев. Крыло имело стреловидность по передней кромке 30 град, его размах составлял 4,08 м. Общая длина ракеты варианта Е-1 достигала 3,5 м, диаметр корпуса равнялся 0,915 м.</w:t>
      </w:r>
    </w:p>
    <w:p w14:paraId="6D208FBC" w14:textId="77777777" w:rsidR="00BA15CA" w:rsidRPr="00925F26" w:rsidRDefault="00BA15CA" w:rsidP="00925F26">
      <w:pPr>
        <w:jc w:val="both"/>
        <w:rPr>
          <w:color w:val="000000" w:themeColor="text1"/>
          <w:sz w:val="16"/>
          <w:szCs w:val="16"/>
        </w:rPr>
      </w:pPr>
      <w:r w:rsidRPr="00925F26">
        <w:rPr>
          <w:color w:val="000000" w:themeColor="text1"/>
          <w:sz w:val="16"/>
          <w:szCs w:val="16"/>
        </w:rPr>
        <w:t>В передней части корпуса размещалась боевая часть с рекордным для зенитных ракет весом - 500 кг. Для подрыва взрывчатого вещества боевой части предполагалось использовать неконтактный взрыватель. Силовая установка состояла из маршевого жидкостного ракетного двигателя и четырех твердотопливных стартовых ускорителей. Подача компонентов в камеру сгорания осуществлялась под давлением сжатого воздуха. Максимальная тяга, развиваемая двигателем, составляла 2000 кгс. Каждый из этих двигателей весил 85 кг и вмещал 40 кг твердого топлива. В течение 4 секунд работы стартовые двигатели развивали тягу порядка 1750 кгс и разгоняли ракету до скорости 250 м/с, достаточной для ее запуска с пусковой установки.</w:t>
      </w:r>
    </w:p>
    <w:p w14:paraId="15370FFE" w14:textId="77777777" w:rsidR="00BA15CA" w:rsidRPr="00925F26" w:rsidRDefault="00BA15CA" w:rsidP="00925F26">
      <w:pPr>
        <w:jc w:val="both"/>
        <w:rPr>
          <w:color w:val="000000" w:themeColor="text1"/>
          <w:sz w:val="16"/>
          <w:szCs w:val="16"/>
        </w:rPr>
      </w:pPr>
      <w:r w:rsidRPr="00925F26">
        <w:rPr>
          <w:color w:val="000000" w:themeColor="text1"/>
          <w:sz w:val="16"/>
          <w:szCs w:val="16"/>
        </w:rPr>
        <w:t>В качестве пусковой установки использовалась стальная ферма, смонтированная на лафете 88-мм зенитной пушки. С помощью поворотных механизмов обеспечивалось круговое вращение фермы и грубое наведение установленной на ней ракеты на цель. Управление ракетой в полете осуществлялось радиокомандной системой, работающей по методу совмещения. На обнаруженную с помощью РЛС воздушную цель наводилась оптическая труба, посредством которой оператор сопровождения следил за целью. Движение этой трубы автоматически повторяла оптическая труба оператора наведения, который, наблюдая в окуляре неподвижную цель, с помощью ручки управления должен был удержать ракету на одной линии с целью.</w:t>
      </w:r>
    </w:p>
    <w:p w14:paraId="7C6D3DF0" w14:textId="77777777" w:rsidR="00BA15CA" w:rsidRPr="00925F26" w:rsidRDefault="00BA15CA" w:rsidP="00925F26">
      <w:pPr>
        <w:jc w:val="both"/>
        <w:rPr>
          <w:color w:val="000000" w:themeColor="text1"/>
          <w:sz w:val="16"/>
          <w:szCs w:val="16"/>
        </w:rPr>
      </w:pPr>
      <w:r w:rsidRPr="00925F26">
        <w:rPr>
          <w:color w:val="000000" w:themeColor="text1"/>
          <w:sz w:val="16"/>
          <w:szCs w:val="16"/>
        </w:rPr>
        <w:t>По имеющимся сведениям, один из вариантов ЗУР «Энциан» предназначался для использования в качестве противотанковой и противокорабельной ракеты, а также для постановки дымовых завес и выполнения других задач. Эта ракета имела систему управления по проводам, основанную на методе трех точек (15139).</w:t>
      </w:r>
    </w:p>
    <w:p w14:paraId="05EE2903" w14:textId="77777777" w:rsidR="00BA15CA" w:rsidRPr="00925F26" w:rsidRDefault="00BA15CA" w:rsidP="00925F26">
      <w:pPr>
        <w:jc w:val="both"/>
        <w:rPr>
          <w:color w:val="000000" w:themeColor="text1"/>
          <w:sz w:val="16"/>
          <w:szCs w:val="16"/>
        </w:rPr>
      </w:pPr>
    </w:p>
    <w:p w14:paraId="1CA7FF48" w14:textId="77777777" w:rsidR="00193FD5" w:rsidRPr="00925F26" w:rsidRDefault="00193FD5" w:rsidP="00925F26">
      <w:pPr>
        <w:shd w:val="clear" w:color="auto" w:fill="FFFFFF"/>
        <w:jc w:val="both"/>
        <w:textAlignment w:val="baseline"/>
        <w:rPr>
          <w:color w:val="000000" w:themeColor="text1"/>
          <w:sz w:val="16"/>
          <w:szCs w:val="16"/>
        </w:rPr>
      </w:pPr>
      <w:r w:rsidRPr="00925F26">
        <w:rPr>
          <w:color w:val="000000" w:themeColor="text1"/>
          <w:sz w:val="16"/>
          <w:szCs w:val="16"/>
        </w:rPr>
        <w:t>К марту 1945 года денежная масса нацистской тотальной военной экономики-таки прорвалась. Тем не менее, после войны рейхсмарка продолжала обращаться во всех зонах до лета 1948 года наравне с маркой Союзного военного командования (19844).</w:t>
      </w:r>
    </w:p>
    <w:p w14:paraId="73F9208E" w14:textId="77777777" w:rsidR="00193FD5" w:rsidRPr="00925F26" w:rsidRDefault="00193FD5" w:rsidP="00925F26">
      <w:pPr>
        <w:shd w:val="clear" w:color="auto" w:fill="FFFFFF"/>
        <w:jc w:val="both"/>
        <w:textAlignment w:val="baseline"/>
        <w:rPr>
          <w:color w:val="000000" w:themeColor="text1"/>
          <w:sz w:val="16"/>
          <w:szCs w:val="16"/>
        </w:rPr>
      </w:pPr>
    </w:p>
    <w:p w14:paraId="3762D8A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61E5C40" w14:textId="77777777" w:rsidR="00665165" w:rsidRPr="00925F26" w:rsidRDefault="00665165" w:rsidP="00925F26">
      <w:pPr>
        <w:autoSpaceDE w:val="0"/>
        <w:autoSpaceDN w:val="0"/>
        <w:adjustRightInd w:val="0"/>
        <w:jc w:val="both"/>
        <w:rPr>
          <w:iCs/>
          <w:color w:val="000000" w:themeColor="text1"/>
          <w:sz w:val="16"/>
          <w:szCs w:val="16"/>
        </w:rPr>
      </w:pPr>
    </w:p>
    <w:p w14:paraId="35C5FE6F" w14:textId="77777777" w:rsidR="000B23E5" w:rsidRPr="00925F26" w:rsidRDefault="000B23E5" w:rsidP="00925F26">
      <w:pPr>
        <w:jc w:val="both"/>
        <w:rPr>
          <w:color w:val="000000" w:themeColor="text1"/>
          <w:sz w:val="16"/>
          <w:szCs w:val="16"/>
        </w:rPr>
      </w:pPr>
      <w:r w:rsidRPr="00925F26">
        <w:rPr>
          <w:color w:val="000000" w:themeColor="text1"/>
          <w:sz w:val="16"/>
          <w:szCs w:val="16"/>
        </w:rPr>
        <w:t>К весне 1945 г. прекращение в сентябре 1944 г. се</w:t>
      </w:r>
      <w:r w:rsidRPr="00925F26">
        <w:rPr>
          <w:color w:val="000000" w:themeColor="text1"/>
          <w:sz w:val="16"/>
          <w:szCs w:val="16"/>
        </w:rPr>
        <w:softHyphen/>
        <w:t>рийного выпуска Нз129 привело к тому, что на «хеншелях» летали только две эскадрильи. Остальные из-за потерь были расформированы.</w:t>
      </w:r>
    </w:p>
    <w:p w14:paraId="07BEB37B" w14:textId="77777777" w:rsidR="000B23E5" w:rsidRPr="00925F26" w:rsidRDefault="000B23E5" w:rsidP="00925F26">
      <w:pPr>
        <w:jc w:val="both"/>
        <w:rPr>
          <w:color w:val="000000" w:themeColor="text1"/>
          <w:sz w:val="16"/>
          <w:szCs w:val="16"/>
        </w:rPr>
      </w:pPr>
      <w:r w:rsidRPr="00925F26">
        <w:rPr>
          <w:color w:val="000000" w:themeColor="text1"/>
          <w:sz w:val="16"/>
          <w:szCs w:val="16"/>
        </w:rPr>
        <w:t>Отметим, что на невысокую эффектив</w:t>
      </w:r>
      <w:r w:rsidRPr="00925F26">
        <w:rPr>
          <w:color w:val="000000" w:themeColor="text1"/>
          <w:sz w:val="16"/>
          <w:szCs w:val="16"/>
        </w:rPr>
        <w:softHyphen/>
        <w:t>ность непосредственной авиационной поддержки войск вермахта немалую роль сыграло завоевание ВВС КА с лета 1943 г. стратегического господства в воздухе, в результате чего штурмовики люфтваффе утратили всякую инициативу действий в воздухе над полем боя.</w:t>
      </w:r>
    </w:p>
    <w:p w14:paraId="39F83047" w14:textId="77777777" w:rsidR="000B23E5" w:rsidRPr="00925F26" w:rsidRDefault="000B23E5" w:rsidP="00925F26">
      <w:pPr>
        <w:jc w:val="both"/>
        <w:rPr>
          <w:color w:val="000000" w:themeColor="text1"/>
          <w:sz w:val="16"/>
          <w:szCs w:val="16"/>
        </w:rPr>
      </w:pPr>
      <w:r w:rsidRPr="00925F26">
        <w:rPr>
          <w:color w:val="000000" w:themeColor="text1"/>
          <w:sz w:val="16"/>
          <w:szCs w:val="16"/>
        </w:rPr>
        <w:lastRenderedPageBreak/>
        <w:t>Таким образом, весь ход боевых дей</w:t>
      </w:r>
      <w:r w:rsidRPr="00925F26">
        <w:rPr>
          <w:color w:val="000000" w:themeColor="text1"/>
          <w:sz w:val="16"/>
          <w:szCs w:val="16"/>
        </w:rPr>
        <w:softHyphen/>
        <w:t>ствий на восточном фронте показывает, что люфтваффе ни к началу войны, ни в ходе во</w:t>
      </w:r>
      <w:r w:rsidRPr="00925F26">
        <w:rPr>
          <w:color w:val="000000" w:themeColor="text1"/>
          <w:sz w:val="16"/>
          <w:szCs w:val="16"/>
        </w:rPr>
        <w:softHyphen/>
        <w:t>йны не имели хорошего противотанкового самолета. Немецкая концепция построения боевых сил авиации непосредственной поддержки войск в условиях затяжной во</w:t>
      </w:r>
      <w:r w:rsidRPr="00925F26">
        <w:rPr>
          <w:color w:val="000000" w:themeColor="text1"/>
          <w:sz w:val="16"/>
          <w:szCs w:val="16"/>
        </w:rPr>
        <w:softHyphen/>
        <w:t xml:space="preserve">йны оказалась </w:t>
      </w:r>
      <w:proofErr w:type="gramStart"/>
      <w:r w:rsidRPr="00925F26">
        <w:rPr>
          <w:color w:val="000000" w:themeColor="text1"/>
          <w:sz w:val="16"/>
          <w:szCs w:val="16"/>
        </w:rPr>
        <w:t>несостоятельной..</w:t>
      </w:r>
      <w:proofErr w:type="gramEnd"/>
      <w:r w:rsidRPr="00925F26">
        <w:rPr>
          <w:color w:val="000000" w:themeColor="text1"/>
          <w:sz w:val="16"/>
          <w:szCs w:val="16"/>
        </w:rPr>
        <w:t>(12728).</w:t>
      </w:r>
    </w:p>
    <w:p w14:paraId="0160EF49" w14:textId="77777777" w:rsidR="000B23E5" w:rsidRPr="00925F26" w:rsidRDefault="000B23E5" w:rsidP="00925F26">
      <w:pPr>
        <w:jc w:val="both"/>
        <w:rPr>
          <w:color w:val="000000" w:themeColor="text1"/>
          <w:sz w:val="16"/>
          <w:szCs w:val="16"/>
        </w:rPr>
      </w:pPr>
    </w:p>
    <w:p w14:paraId="7EC86E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весне 1945 г. на Ту-2 перевооружили три полка 113-й отдельной бад. В декабре 1944 г. ей предписали покинуть Карельский фронт и сдать самолеты Ил-4 ВВС Северного флота. В дивизию входили 55-й, 815-й и 836-й бап. Их перебазировали в Тулу, Малино и Луховицы, куда стали перегонять бомбардировщики с завода № 23. Весь 815-й бап укомплектовали самолетами, подаренными Туркменией. Их было 34. На фюзеляжах машин была надпись "Имени 20-летия Туркменской ССР". В состав 836-го бап входила эскадрилья "Мещовский колхозник" с соответствующими надписями.</w:t>
      </w:r>
    </w:p>
    <w:p w14:paraId="6A4AD4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Первоначальную подготовку командиры прошли в Москве, их обучали на заводском аэродроме заводские испытатели. Основная же часть летчиков переучивалась на месте. Пройдя курс боевого применения с бомбометанием и воздушной стрельбой, в марте 113-я бад под командованием</w:t>
      </w:r>
    </w:p>
    <w:p w14:paraId="53CD5F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том же месяце 334,113-ю и 326-ю дивизии объединили в 6-й бомбардировочный корпус, командиром которого стал Скок, получивший звание генерал-майора. Его место во главе 334-й дивизии занял полковник Ф.Д. Белый. Этот корпус принял участие в завершающих операциях Великой Отечественной войны в Прибалтике, Польше и Германии.</w:t>
      </w:r>
    </w:p>
    <w:p w14:paraId="08E28C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частности, он привлекался к массированным налетам на Кенигсберг в начале апреля 1945 г. В ударах по осажденному городу участвовали более 1000 бомбардировщиков разных типов. Ту-2 делали до трех вылетов день. Немцы ожесточенно сопротивлялись. Немало самолетов было сбито истребителями и зенитчиками противника. 11 марта 1945 г. центр Кенигсберга бомбила группа машин 840-го бап. Один Ту-2 был подожжен вражеским истребителем. Экипаж выбросился на парашютах, но немецкие истребители расстреляли парашютистов в воздухе. Лишь стрелок, старший сержант Х.Х. Хали- лов, приземлился на городской улице. Он попал в плен, вместе с другими пленными его вывезли морем и, в конце концов Халилов был освобожден американскими войсками.</w:t>
      </w:r>
    </w:p>
    <w:p w14:paraId="7622C8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 середине весны 1945 г. все части корпуса уже дислоцировались на аэродромах Польши и Германии, само же соединение переподчинили 16-й воздушной армии. В его составе тогда насчитывалось около 200 самолетов. Воздушная армия должна была поддерживать наступление войск 1-го Белорусского фронта на Берлин. Дожди размягчили полевые аэродромы. Поэтому в Германии под взлетные полосы приспособили отрезки автобанов. Берлинская операция началась 16 апреля. С первого дня бомбардировщики наносили удары по обороне противника. Так, 20 апреля 18 Ту-2 6-го бап, вылетевшие с прикрытием из 24 истребителей, бомбили внутренний обвод обороны германской столицы. </w:t>
      </w:r>
    </w:p>
    <w:p w14:paraId="2F84EF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зависимости от характера цели количество самолетов варьировалось. Могли поднять в воздух целую дивизию. Так, 113-я бад неоднократно вылетала в составе 90 - 120 машин. Но могли отправить на задание полк, эскадрилью или звено, а иногда и один самолет. Ту-2 работали по целям на глубину 250 - 300 км от линии фронта. Использовались разнообразные типы бомб: фугасные, осколочные, зажигательные и противотанковые. Нередко брали по максимуму - до 3000 кг на самолет. Чаще всего бомбометание осуществлялось с высот 1000 - 3000 м, но при бомбежке мостов и опорных пунктов обороны самолеты иногда снижались до 300 - 500 м. Практиковался сброс бомб залпом или серией по ведущему группы, а также с индивидуальным прицеливанием. Кроме бомб, сбрасывались листовки, предлагавшие немцам прекратить бессмысленное сопротивление. В среднем каждый Ту-2 совершал 1,5 боевого вылета в день.</w:t>
      </w:r>
    </w:p>
    <w:p w14:paraId="19F3EC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Группы Ту-2 сопровождались истребителями - по одному на каждые два-три бомбардировщика. Но они и сами неплохо могли постоять за себя. При появлении немецких истребителей бомбардировщики смыкались в плотный строй, поддерживая друг друга огнем. Чем больше группа, тем эффективнее была оборона.</w:t>
      </w:r>
    </w:p>
    <w:p w14:paraId="3DBEE9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 апреля началось окружение Берлина и завязались бои в городе. В тот же день шесть девяток Ту-2 сбросили 97 т бомб на центр столицы. Летчикам пришлось отыскивать цели в мешанине улиц. Зато на путь от базовых аэродромов 113-й дивизии до цели уходило не более 20 минут. Поэтому нередко делали до трех вылетов в день. 6-й бап летал из Польши, с аэродрома Заган. 25 апреля был запланирован массированный налет на окрестности Имперской канцелярии. Но из-за плохой погоды из шести полков на цель вышел лишь один - 6-й. 18 самолетов обрушили бомбы на последний оплот обороны противника. Последний боевой вылет в Европе Ту-2 совершили 2 мая в окрестностях Берлина (11988).</w:t>
      </w:r>
    </w:p>
    <w:p w14:paraId="60014A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это время Ту-2 использовались и в качестве разведчиков. Их эксплуатировали в упоминавшемся ранее 47-м гв. орап. Поскольку приоритет в поставке новой техники в 1944 г. отдали бомбардировочным полкам, у воздушных разведчиков их оставалось все меньше и меньше. Так, в июне 1944 г. самолет майора А. Дрыгина, летавший на разведку Барановичей, перед самым фотографированием был атакован парой... Як-9. Несмотря на усилия стрелков, один из истребителей поджег мотор разведчика. Дры- гин сумел скрыться от преследователей, а затем совершил вынужденную посадку на "пузо" на своей территории. Приземлившись в чистом поле, летчики забрали отснятые кассеты и пошли дальше пешком. Предполагают, что на трофейных Як-9 летали немецкие "охотники".</w:t>
      </w:r>
    </w:p>
    <w:p w14:paraId="2CA581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августа 1944 г. Ту-2, пилотируемый тем же Дрыгиным, впервые прошел над Берлином. "На память" остались прекрасные снимки, сделанные при свете дня с высоты 8000 м. Таким образом, этот самолет стал первой советской машиной, появившейся над германской столицей после 1941 г., и первой, пролетевшей над ней днем.</w:t>
      </w:r>
    </w:p>
    <w:p w14:paraId="647560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 в 1-й эскадрилье 47-го гв. орап насчитывалось всего два Ту-2. Поэтому самолеты берегли и посылали только на самые ответственные задания. Туполевс- кая машина могла забраться дальше, чем Пе-2, и отличалась более высокой обороноспособностью. Так, 20 марта экипаж старшего лейтенанта К. Дунаевского фотографировал немецкий ракетный полигон в Свинемюнде после налета авиации союзников. При подготовке к Берлинской операции Ту-2 неоднократно проводили съемку города и его окрестностей.</w:t>
      </w:r>
    </w:p>
    <w:p w14:paraId="05F654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не вернулась из полета над Берлином машина Дунаевского. Весь экипаж погиб. Предполагают, что самолет сбили немецкие зенитчики. Это была последняя военная потеря полка.</w:t>
      </w:r>
    </w:p>
    <w:p w14:paraId="561432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 мая Германия капитулировала. Известие было радостно встречено всеми. Но на самом деле война не кончилась </w:t>
      </w:r>
      <w:proofErr w:type="gramStart"/>
      <w:r w:rsidRPr="00925F26">
        <w:rPr>
          <w:color w:val="000000" w:themeColor="text1"/>
          <w:sz w:val="16"/>
          <w:szCs w:val="16"/>
        </w:rPr>
        <w:t>- это</w:t>
      </w:r>
      <w:proofErr w:type="gramEnd"/>
      <w:r w:rsidRPr="00925F26">
        <w:rPr>
          <w:color w:val="000000" w:themeColor="text1"/>
          <w:sz w:val="16"/>
          <w:szCs w:val="16"/>
        </w:rPr>
        <w:t xml:space="preserve"> была лишь короткая передышка (11988).</w:t>
      </w:r>
    </w:p>
    <w:p w14:paraId="5FE512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Ту-2 в частях и соединениях ВВС (исправных/неисправных)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925F26" w14:paraId="510C6B5F" w14:textId="77777777">
        <w:tc>
          <w:tcPr>
            <w:tcW w:w="2802" w:type="dxa"/>
            <w:tcBorders>
              <w:top w:val="single" w:sz="12" w:space="0" w:color="auto"/>
            </w:tcBorders>
          </w:tcPr>
          <w:p w14:paraId="71F86F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19.11.42</w:t>
            </w:r>
          </w:p>
        </w:tc>
        <w:tc>
          <w:tcPr>
            <w:tcW w:w="2802" w:type="dxa"/>
            <w:tcBorders>
              <w:top w:val="single" w:sz="12" w:space="0" w:color="auto"/>
            </w:tcBorders>
          </w:tcPr>
          <w:p w14:paraId="62CD9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3-я воздушная армия (Калининский фронт) </w:t>
            </w:r>
          </w:p>
        </w:tc>
        <w:tc>
          <w:tcPr>
            <w:tcW w:w="2802" w:type="dxa"/>
            <w:tcBorders>
              <w:top w:val="single" w:sz="12" w:space="0" w:color="auto"/>
            </w:tcBorders>
          </w:tcPr>
          <w:p w14:paraId="05420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- 17/2</w:t>
            </w:r>
          </w:p>
        </w:tc>
      </w:tr>
      <w:tr w:rsidR="000F5689" w:rsidRPr="00925F26" w14:paraId="53AD276D" w14:textId="77777777">
        <w:tc>
          <w:tcPr>
            <w:tcW w:w="2802" w:type="dxa"/>
          </w:tcPr>
          <w:p w14:paraId="648007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01.01.45</w:t>
            </w:r>
          </w:p>
        </w:tc>
        <w:tc>
          <w:tcPr>
            <w:tcW w:w="2802" w:type="dxa"/>
          </w:tcPr>
          <w:p w14:paraId="1EABF0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3-я воздушная армия (1-й Прибалтийский фронт)</w:t>
            </w:r>
          </w:p>
        </w:tc>
        <w:tc>
          <w:tcPr>
            <w:tcW w:w="2802" w:type="dxa"/>
          </w:tcPr>
          <w:p w14:paraId="4525BC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- 112/12</w:t>
            </w:r>
          </w:p>
        </w:tc>
      </w:tr>
      <w:tr w:rsidR="000F5689" w:rsidRPr="00925F26" w14:paraId="20F78B42" w14:textId="77777777">
        <w:tc>
          <w:tcPr>
            <w:tcW w:w="2802" w:type="dxa"/>
          </w:tcPr>
          <w:p w14:paraId="34CE6A79"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DD770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4-я воздушная армия (3-й Белорусский фронт)</w:t>
            </w:r>
          </w:p>
        </w:tc>
        <w:tc>
          <w:tcPr>
            <w:tcW w:w="2802" w:type="dxa"/>
          </w:tcPr>
          <w:p w14:paraId="7D0AC3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- 94/2 </w:t>
            </w:r>
          </w:p>
        </w:tc>
      </w:tr>
      <w:tr w:rsidR="000F5689" w:rsidRPr="00925F26" w14:paraId="4DCDDDB5" w14:textId="77777777">
        <w:tc>
          <w:tcPr>
            <w:tcW w:w="2802" w:type="dxa"/>
          </w:tcPr>
          <w:p w14:paraId="53A61D0C"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26B526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7-я воздушная армия (резерв)</w:t>
            </w:r>
          </w:p>
        </w:tc>
        <w:tc>
          <w:tcPr>
            <w:tcW w:w="2802" w:type="dxa"/>
          </w:tcPr>
          <w:p w14:paraId="0E9038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- 72/0</w:t>
            </w:r>
          </w:p>
        </w:tc>
      </w:tr>
      <w:tr w:rsidR="000F5689" w:rsidRPr="00925F26" w14:paraId="12E701E6" w14:textId="77777777">
        <w:tc>
          <w:tcPr>
            <w:tcW w:w="2802" w:type="dxa"/>
          </w:tcPr>
          <w:p w14:paraId="6DBF57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10.05.45</w:t>
            </w:r>
          </w:p>
        </w:tc>
        <w:tc>
          <w:tcPr>
            <w:tcW w:w="2802" w:type="dxa"/>
          </w:tcPr>
          <w:p w14:paraId="609AEE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1-я воздушная армия (Белорусский фронт) </w:t>
            </w:r>
          </w:p>
        </w:tc>
        <w:tc>
          <w:tcPr>
            <w:tcW w:w="2802" w:type="dxa"/>
          </w:tcPr>
          <w:p w14:paraId="32AF8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- 146/33</w:t>
            </w:r>
          </w:p>
        </w:tc>
      </w:tr>
      <w:tr w:rsidR="000F5689" w:rsidRPr="00925F26" w14:paraId="5A5DE7D9" w14:textId="77777777">
        <w:tc>
          <w:tcPr>
            <w:tcW w:w="2802" w:type="dxa"/>
            <w:tcBorders>
              <w:bottom w:val="single" w:sz="12" w:space="0" w:color="auto"/>
            </w:tcBorders>
          </w:tcPr>
          <w:p w14:paraId="434095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9.08.45 (против Японии)</w:t>
            </w:r>
          </w:p>
        </w:tc>
        <w:tc>
          <w:tcPr>
            <w:tcW w:w="2802" w:type="dxa"/>
            <w:tcBorders>
              <w:bottom w:val="single" w:sz="12" w:space="0" w:color="auto"/>
            </w:tcBorders>
          </w:tcPr>
          <w:p w14:paraId="1FAF15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12-я воздушная армия (Забайкальский фронт) </w:t>
            </w:r>
          </w:p>
        </w:tc>
        <w:tc>
          <w:tcPr>
            <w:tcW w:w="2802" w:type="dxa"/>
            <w:tcBorders>
              <w:bottom w:val="single" w:sz="12" w:space="0" w:color="auto"/>
            </w:tcBorders>
          </w:tcPr>
          <w:p w14:paraId="1ADAE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- 269/18</w:t>
            </w:r>
          </w:p>
        </w:tc>
      </w:tr>
    </w:tbl>
    <w:p w14:paraId="5F945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(11988).</w:t>
      </w:r>
    </w:p>
    <w:p w14:paraId="588A49C2" w14:textId="77777777" w:rsidR="00665165" w:rsidRPr="00925F26" w:rsidRDefault="00665165" w:rsidP="00925F26">
      <w:pPr>
        <w:autoSpaceDE w:val="0"/>
        <w:autoSpaceDN w:val="0"/>
        <w:adjustRightInd w:val="0"/>
        <w:jc w:val="both"/>
        <w:rPr>
          <w:color w:val="000000" w:themeColor="text1"/>
          <w:sz w:val="16"/>
          <w:szCs w:val="16"/>
        </w:rPr>
      </w:pPr>
    </w:p>
    <w:p w14:paraId="423A5C2D" w14:textId="77777777" w:rsidR="00BF18D8" w:rsidRPr="00925F26" w:rsidRDefault="00BF18D8" w:rsidP="00925F26">
      <w:pPr>
        <w:jc w:val="both"/>
        <w:rPr>
          <w:color w:val="000000" w:themeColor="text1"/>
          <w:sz w:val="16"/>
          <w:szCs w:val="16"/>
        </w:rPr>
      </w:pPr>
      <w:r w:rsidRPr="00925F26">
        <w:rPr>
          <w:color w:val="000000" w:themeColor="text1"/>
          <w:sz w:val="16"/>
          <w:szCs w:val="16"/>
          <w:lang w:bidi="ru-RU"/>
        </w:rPr>
        <w:t>К весне 1945 г. на Ту-2 перевоору</w:t>
      </w:r>
      <w:r w:rsidRPr="00925F26">
        <w:rPr>
          <w:color w:val="000000" w:themeColor="text1"/>
          <w:sz w:val="16"/>
          <w:szCs w:val="16"/>
          <w:lang w:bidi="ru-RU"/>
        </w:rPr>
        <w:softHyphen/>
        <w:t>жили три полка 115-й отдельной бад. В декабре 1944 г. ей предписали покинуть Карельский фронт и сдать самолеты Ил-4 ВВС Северного флота. В дивизию вхо</w:t>
      </w:r>
      <w:r w:rsidRPr="00925F26">
        <w:rPr>
          <w:color w:val="000000" w:themeColor="text1"/>
          <w:sz w:val="16"/>
          <w:szCs w:val="16"/>
          <w:lang w:bidi="ru-RU"/>
        </w:rPr>
        <w:softHyphen/>
        <w:t>дили 55-й, 815-й и 856-й бап. Их переба</w:t>
      </w:r>
      <w:r w:rsidRPr="00925F26">
        <w:rPr>
          <w:color w:val="000000" w:themeColor="text1"/>
          <w:sz w:val="16"/>
          <w:szCs w:val="16"/>
          <w:lang w:bidi="ru-RU"/>
        </w:rPr>
        <w:softHyphen/>
        <w:t>зировали в Тулу, Малино и Луховицы, куда стали перегонять бомбардировщики с завода №22. Весь 815-й бап укомплекто</w:t>
      </w:r>
      <w:r w:rsidRPr="00925F26">
        <w:rPr>
          <w:color w:val="000000" w:themeColor="text1"/>
          <w:sz w:val="16"/>
          <w:szCs w:val="16"/>
          <w:lang w:bidi="ru-RU"/>
        </w:rPr>
        <w:softHyphen/>
        <w:t>вали самолетами, подаренными Туркме</w:t>
      </w:r>
      <w:r w:rsidRPr="00925F26">
        <w:rPr>
          <w:color w:val="000000" w:themeColor="text1"/>
          <w:sz w:val="16"/>
          <w:szCs w:val="16"/>
          <w:lang w:bidi="ru-RU"/>
        </w:rPr>
        <w:softHyphen/>
        <w:t>нией. Их было 54. На фюзеляжах машин была надпись «Имени 20-летия Туркмен</w:t>
      </w:r>
      <w:r w:rsidRPr="00925F26">
        <w:rPr>
          <w:color w:val="000000" w:themeColor="text1"/>
          <w:sz w:val="16"/>
          <w:szCs w:val="16"/>
          <w:lang w:bidi="ru-RU"/>
        </w:rPr>
        <w:softHyphen/>
        <w:t>ской ССР». В состав 856-го бап входила эскадрилья «Мещовский колхозник» с со</w:t>
      </w:r>
      <w:r w:rsidRPr="00925F26">
        <w:rPr>
          <w:color w:val="000000" w:themeColor="text1"/>
          <w:sz w:val="16"/>
          <w:szCs w:val="16"/>
          <w:lang w:bidi="ru-RU"/>
        </w:rPr>
        <w:softHyphen/>
        <w:t>ответствующими надписями.</w:t>
      </w:r>
    </w:p>
    <w:p w14:paraId="53EF0862" w14:textId="77777777" w:rsidR="00BF18D8" w:rsidRPr="00925F26" w:rsidRDefault="00BF18D8" w:rsidP="00925F26">
      <w:pPr>
        <w:jc w:val="both"/>
        <w:rPr>
          <w:color w:val="000000" w:themeColor="text1"/>
          <w:sz w:val="16"/>
          <w:szCs w:val="16"/>
        </w:rPr>
      </w:pPr>
      <w:r w:rsidRPr="00925F26">
        <w:rPr>
          <w:color w:val="000000" w:themeColor="text1"/>
          <w:sz w:val="16"/>
          <w:szCs w:val="16"/>
          <w:lang w:bidi="ru-RU"/>
        </w:rPr>
        <w:t>Первоначальную подготовку коман</w:t>
      </w:r>
      <w:r w:rsidRPr="00925F26">
        <w:rPr>
          <w:color w:val="000000" w:themeColor="text1"/>
          <w:sz w:val="16"/>
          <w:szCs w:val="16"/>
          <w:lang w:bidi="ru-RU"/>
        </w:rPr>
        <w:softHyphen/>
        <w:t>диры прошли в Москве, их обучали на заводском аэродроме заводские испыта</w:t>
      </w:r>
      <w:r w:rsidRPr="00925F26">
        <w:rPr>
          <w:color w:val="000000" w:themeColor="text1"/>
          <w:sz w:val="16"/>
          <w:szCs w:val="16"/>
          <w:lang w:bidi="ru-RU"/>
        </w:rPr>
        <w:softHyphen/>
        <w:t>тели. Основная же часть летного состава переучивалась на месте. Пройдя курс боевого применения с бомбометанием и воздушной стрельбой, в марте 115-я бад под командованием М.С. Финогенова была переброшена в Польшу, в окрест</w:t>
      </w:r>
      <w:r w:rsidRPr="00925F26">
        <w:rPr>
          <w:color w:val="000000" w:themeColor="text1"/>
          <w:sz w:val="16"/>
          <w:szCs w:val="16"/>
          <w:lang w:bidi="ru-RU"/>
        </w:rPr>
        <w:softHyphen/>
        <w:t>ности Познани.</w:t>
      </w:r>
    </w:p>
    <w:p w14:paraId="14216FDF" w14:textId="77777777" w:rsidR="00BF18D8" w:rsidRPr="00925F26" w:rsidRDefault="00BF18D8" w:rsidP="00925F26">
      <w:pPr>
        <w:jc w:val="both"/>
        <w:rPr>
          <w:color w:val="000000" w:themeColor="text1"/>
          <w:sz w:val="16"/>
          <w:szCs w:val="16"/>
        </w:rPr>
      </w:pPr>
      <w:r w:rsidRPr="00925F26">
        <w:rPr>
          <w:color w:val="000000" w:themeColor="text1"/>
          <w:sz w:val="16"/>
          <w:szCs w:val="16"/>
          <w:lang w:bidi="ru-RU"/>
        </w:rPr>
        <w:t>В том же месяце 554-ю, 115-ю и 526-ю дивизии объединили в 6-й бом</w:t>
      </w:r>
      <w:r w:rsidRPr="00925F26">
        <w:rPr>
          <w:color w:val="000000" w:themeColor="text1"/>
          <w:sz w:val="16"/>
          <w:szCs w:val="16"/>
          <w:lang w:bidi="ru-RU"/>
        </w:rPr>
        <w:softHyphen/>
        <w:t>бардировочный корпус, командиром ко</w:t>
      </w:r>
      <w:r w:rsidRPr="00925F26">
        <w:rPr>
          <w:color w:val="000000" w:themeColor="text1"/>
          <w:sz w:val="16"/>
          <w:szCs w:val="16"/>
          <w:lang w:bidi="ru-RU"/>
        </w:rPr>
        <w:softHyphen/>
        <w:t>торого стал И.П. Скок, получивший зва</w:t>
      </w:r>
      <w:r w:rsidRPr="00925F26">
        <w:rPr>
          <w:color w:val="000000" w:themeColor="text1"/>
          <w:sz w:val="16"/>
          <w:szCs w:val="16"/>
          <w:lang w:bidi="ru-RU"/>
        </w:rPr>
        <w:softHyphen/>
        <w:t>ние генерал-майора. Его место во главе 554-й дивизии занял полковник Ф.Д. Бе</w:t>
      </w:r>
      <w:r w:rsidRPr="00925F26">
        <w:rPr>
          <w:color w:val="000000" w:themeColor="text1"/>
          <w:sz w:val="16"/>
          <w:szCs w:val="16"/>
          <w:lang w:bidi="ru-RU"/>
        </w:rPr>
        <w:softHyphen/>
        <w:t>лый. Этот корпус принял участие в за</w:t>
      </w:r>
      <w:r w:rsidRPr="00925F26">
        <w:rPr>
          <w:color w:val="000000" w:themeColor="text1"/>
          <w:sz w:val="16"/>
          <w:szCs w:val="16"/>
          <w:lang w:bidi="ru-RU"/>
        </w:rPr>
        <w:softHyphen/>
        <w:t>вершающих операциях Великой Отече</w:t>
      </w:r>
      <w:r w:rsidRPr="00925F26">
        <w:rPr>
          <w:color w:val="000000" w:themeColor="text1"/>
          <w:sz w:val="16"/>
          <w:szCs w:val="16"/>
          <w:lang w:bidi="ru-RU"/>
        </w:rPr>
        <w:softHyphen/>
        <w:t>ственной войны в Прибалтике, Польше и Германии.</w:t>
      </w:r>
    </w:p>
    <w:p w14:paraId="61CD7070" w14:textId="77777777" w:rsidR="00BF18D8" w:rsidRPr="00925F26" w:rsidRDefault="00BF18D8" w:rsidP="00925F26">
      <w:pPr>
        <w:jc w:val="both"/>
        <w:rPr>
          <w:color w:val="000000" w:themeColor="text1"/>
          <w:sz w:val="16"/>
          <w:szCs w:val="16"/>
          <w:lang w:bidi="ru-RU"/>
        </w:rPr>
      </w:pPr>
      <w:r w:rsidRPr="00925F26">
        <w:rPr>
          <w:color w:val="000000" w:themeColor="text1"/>
          <w:sz w:val="16"/>
          <w:szCs w:val="16"/>
          <w:lang w:bidi="ru-RU"/>
        </w:rPr>
        <w:t>В частности, он привлекался к масси</w:t>
      </w:r>
      <w:r w:rsidRPr="00925F26">
        <w:rPr>
          <w:color w:val="000000" w:themeColor="text1"/>
          <w:sz w:val="16"/>
          <w:szCs w:val="16"/>
          <w:lang w:bidi="ru-RU"/>
        </w:rPr>
        <w:softHyphen/>
        <w:t>рованным налетам на Кенигсберг в на</w:t>
      </w:r>
      <w:r w:rsidRPr="00925F26">
        <w:rPr>
          <w:color w:val="000000" w:themeColor="text1"/>
          <w:sz w:val="16"/>
          <w:szCs w:val="16"/>
          <w:lang w:bidi="ru-RU"/>
        </w:rPr>
        <w:softHyphen/>
        <w:t>чале апреля 1945 г. В ударах по осажден</w:t>
      </w:r>
      <w:r w:rsidRPr="00925F26">
        <w:rPr>
          <w:color w:val="000000" w:themeColor="text1"/>
          <w:sz w:val="16"/>
          <w:szCs w:val="16"/>
          <w:lang w:bidi="ru-RU"/>
        </w:rPr>
        <w:softHyphen/>
        <w:t>ному городу участвовали более 1000 бом</w:t>
      </w:r>
      <w:r w:rsidRPr="00925F26">
        <w:rPr>
          <w:color w:val="000000" w:themeColor="text1"/>
          <w:sz w:val="16"/>
          <w:szCs w:val="16"/>
          <w:lang w:bidi="ru-RU"/>
        </w:rPr>
        <w:softHyphen/>
        <w:t>бардировщиков разных типов. Ту-2 делали до трех вылетов день. Немцы оже</w:t>
      </w:r>
      <w:r w:rsidRPr="00925F26">
        <w:rPr>
          <w:color w:val="000000" w:themeColor="text1"/>
          <w:sz w:val="16"/>
          <w:szCs w:val="16"/>
          <w:lang w:bidi="ru-RU"/>
        </w:rPr>
        <w:softHyphen/>
        <w:t>сточенно сопротивлялись. Немало само</w:t>
      </w:r>
      <w:r w:rsidRPr="00925F26">
        <w:rPr>
          <w:color w:val="000000" w:themeColor="text1"/>
          <w:sz w:val="16"/>
          <w:szCs w:val="16"/>
          <w:lang w:bidi="ru-RU"/>
        </w:rPr>
        <w:softHyphen/>
        <w:t>летов было сбито истребителями и зе</w:t>
      </w:r>
      <w:r w:rsidRPr="00925F26">
        <w:rPr>
          <w:color w:val="000000" w:themeColor="text1"/>
          <w:sz w:val="16"/>
          <w:szCs w:val="16"/>
          <w:lang w:bidi="ru-RU"/>
        </w:rPr>
        <w:softHyphen/>
        <w:t>нитчиками противника. 11 марта 1945 г. центр Кенигсберга бомбила группа ма</w:t>
      </w:r>
      <w:r w:rsidRPr="00925F26">
        <w:rPr>
          <w:color w:val="000000" w:themeColor="text1"/>
          <w:sz w:val="16"/>
          <w:szCs w:val="16"/>
          <w:lang w:bidi="ru-RU"/>
        </w:rPr>
        <w:softHyphen/>
        <w:t>шин 840-го бап. Один Ту-2 был подожжен вражеским истребителем. Экипаж выбро</w:t>
      </w:r>
      <w:r w:rsidRPr="00925F26">
        <w:rPr>
          <w:color w:val="000000" w:themeColor="text1"/>
          <w:sz w:val="16"/>
          <w:szCs w:val="16"/>
          <w:lang w:bidi="ru-RU"/>
        </w:rPr>
        <w:softHyphen/>
        <w:t>сился на парашютах, но немецкие истре</w:t>
      </w:r>
      <w:r w:rsidRPr="00925F26">
        <w:rPr>
          <w:color w:val="000000" w:themeColor="text1"/>
          <w:sz w:val="16"/>
          <w:szCs w:val="16"/>
          <w:lang w:bidi="ru-RU"/>
        </w:rPr>
        <w:softHyphen/>
        <w:t>бители расстреляли парашютистов в воз</w:t>
      </w:r>
      <w:r w:rsidRPr="00925F26">
        <w:rPr>
          <w:color w:val="000000" w:themeColor="text1"/>
          <w:sz w:val="16"/>
          <w:szCs w:val="16"/>
          <w:lang w:bidi="ru-RU"/>
        </w:rPr>
        <w:softHyphen/>
        <w:t>духе. Лишь стрелок, старший сержант Х.Х. Халилов, приземлился на городской улице. Он попал в плен, вместе с другими пленными его вывезли морем, и в конце концов Халилов был освобожден амери</w:t>
      </w:r>
      <w:r w:rsidRPr="00925F26">
        <w:rPr>
          <w:color w:val="000000" w:themeColor="text1"/>
          <w:sz w:val="16"/>
          <w:szCs w:val="16"/>
          <w:lang w:bidi="ru-RU"/>
        </w:rPr>
        <w:softHyphen/>
        <w:t>канскими войсками (21060).</w:t>
      </w:r>
    </w:p>
    <w:p w14:paraId="215F5BE5" w14:textId="77777777" w:rsidR="00BF18D8" w:rsidRPr="00925F26" w:rsidRDefault="00BF18D8" w:rsidP="00925F26">
      <w:pPr>
        <w:jc w:val="both"/>
        <w:rPr>
          <w:color w:val="000000" w:themeColor="text1"/>
          <w:sz w:val="16"/>
          <w:szCs w:val="16"/>
        </w:rPr>
      </w:pPr>
    </w:p>
    <w:p w14:paraId="4C3C6C8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51C0A60" w14:textId="77777777" w:rsidR="00665165" w:rsidRPr="00925F26" w:rsidRDefault="00665165" w:rsidP="00925F26">
      <w:pPr>
        <w:autoSpaceDE w:val="0"/>
        <w:autoSpaceDN w:val="0"/>
        <w:adjustRightInd w:val="0"/>
        <w:jc w:val="both"/>
        <w:rPr>
          <w:iCs/>
          <w:color w:val="000000" w:themeColor="text1"/>
          <w:sz w:val="16"/>
          <w:szCs w:val="16"/>
        </w:rPr>
      </w:pPr>
    </w:p>
    <w:p w14:paraId="5FC6D9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закончились контрольные испытания Пе-2 N 6/424 с ВИШ-105СВ 22 завода выпуска января 1945 с моторами 16 завода, которые проводились с 17 февраля 1945 (806,8).</w:t>
      </w:r>
    </w:p>
    <w:p w14:paraId="6A91A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Лапин утвердил Акт по контрольным испытаниям Пе-2 винт ВИШ-105СВ с регулятором Р-7А</w:t>
      </w:r>
    </w:p>
    <w:p w14:paraId="71AE91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Серийный Пе-2 N 6/424 с ВИШ-105СВ 22 завода выпуска января 1945 с моторами пр-ва завода № 16</w:t>
      </w:r>
    </w:p>
    <w:p w14:paraId="51059E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КИ проходили с 17 февраля по 1 марта 1945</w:t>
      </w:r>
    </w:p>
    <w:p w14:paraId="5FB0DF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полета продолжительностью 17 час. 5 мин. (806,8).</w:t>
      </w:r>
    </w:p>
    <w:p w14:paraId="1F77FC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Ви и/к-н М.В.Самочетов</w:t>
      </w:r>
    </w:p>
    <w:p w14:paraId="5926C1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В.М.Шульгин.</w:t>
      </w:r>
    </w:p>
    <w:p w14:paraId="3ECA43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предыдущих испытаний.</w:t>
      </w:r>
    </w:p>
    <w:p w14:paraId="708116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октябре 1944 в НИИ ВВС испытывался серийный Пе-2 № 14/350 пр-ва з-да 22, выпуска июля 1944 с мотором з-да № 16.</w:t>
      </w:r>
    </w:p>
    <w:p w14:paraId="23455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366382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22A28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500262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068A00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с-та № 14/350, испытанного в октябре 1944 в ГК НИИ ВВС, с-т № 6/424 отличается:</w:t>
      </w:r>
    </w:p>
    <w:p w14:paraId="77377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с-ту</w:t>
      </w:r>
    </w:p>
    <w:p w14:paraId="254C87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улучшена аэродинамика с-та</w:t>
      </w:r>
    </w:p>
    <w:p w14:paraId="03EAED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улучшена заделка обшивки на стыках агрегатов, ленты перекрытия сняты, а обшивка соединена встык</w:t>
      </w:r>
    </w:p>
    <w:p w14:paraId="66A6B9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установлена металлическая перегородка герметизации в Ф-3</w:t>
      </w:r>
    </w:p>
    <w:p w14:paraId="253371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Подшпаклеваны носки крыла, ЦП, Ф-1, стабилизатора и килей</w:t>
      </w:r>
    </w:p>
    <w:p w14:paraId="4186B4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67CE66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установлены форточки на амбразуры для бортового пулемета и т.п.</w:t>
      </w:r>
    </w:p>
    <w:p w14:paraId="744F8B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2AAC91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39497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агрегат газового запуска мотора</w:t>
      </w:r>
    </w:p>
    <w:p w14:paraId="51F93C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w:t>
      </w:r>
    </w:p>
    <w:p w14:paraId="61A34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однолучевая антенна для РСБ-3бис и РПК-10 по образцу, испытанному в 1944</w:t>
      </w:r>
    </w:p>
    <w:p w14:paraId="4F8BFF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кислородный прибор КП-12 вместо КПА-3бис</w:t>
      </w:r>
    </w:p>
    <w:p w14:paraId="48E1EB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1E1015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6047, цт 23.1%</w:t>
      </w:r>
    </w:p>
    <w:p w14:paraId="6A149A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 8405 26,5%</w:t>
      </w:r>
    </w:p>
    <w:p w14:paraId="338B12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 8805 26,2%</w:t>
      </w:r>
    </w:p>
    <w:p w14:paraId="796057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Нагрузки нормального полетного веса:</w:t>
      </w:r>
    </w:p>
    <w:p w14:paraId="001026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- 270</w:t>
      </w:r>
    </w:p>
    <w:p w14:paraId="06AA34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- 1100</w:t>
      </w:r>
    </w:p>
    <w:p w14:paraId="4AA8A8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- 120</w:t>
      </w:r>
    </w:p>
    <w:p w14:paraId="434622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пулеметы - 84</w:t>
      </w:r>
    </w:p>
    <w:p w14:paraId="7497A8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б/запас - 112</w:t>
      </w:r>
    </w:p>
    <w:p w14:paraId="792420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с замками (внешняя подвеска) - 607</w:t>
      </w:r>
    </w:p>
    <w:p w14:paraId="79F357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- 65</w:t>
      </w:r>
    </w:p>
    <w:p w14:paraId="076B25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2358</w:t>
      </w:r>
    </w:p>
    <w:p w14:paraId="34860D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Дополнительная нагрузка - 4хФАБ-100 = 400</w:t>
      </w:r>
    </w:p>
    <w:p w14:paraId="15AE72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w:t>
      </w:r>
    </w:p>
    <w:p w14:paraId="60713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- 468 км/час</w:t>
      </w:r>
    </w:p>
    <w:p w14:paraId="71841A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гр. высотности - 513 км/час</w:t>
      </w:r>
    </w:p>
    <w:p w14:paraId="73E9DF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 гр. высотности - 527 км/час</w:t>
      </w:r>
    </w:p>
    <w:p w14:paraId="6E2E9C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- 9,7, 8200 м - 34</w:t>
      </w:r>
    </w:p>
    <w:p w14:paraId="0D365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1000 м на наивыгоднейшей скорости 310 км/час, 1750 оборотах - 1220 км</w:t>
      </w:r>
    </w:p>
    <w:p w14:paraId="782F66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 - 490, пробег - 565</w:t>
      </w:r>
    </w:p>
    <w:p w14:paraId="4D79D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925F26" w14:paraId="10297080" w14:textId="77777777">
        <w:tc>
          <w:tcPr>
            <w:tcW w:w="2802" w:type="dxa"/>
            <w:tcBorders>
              <w:top w:val="single" w:sz="12" w:space="0" w:color="auto"/>
            </w:tcBorders>
          </w:tcPr>
          <w:p w14:paraId="55F95D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5A7FA9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2802" w:type="dxa"/>
            <w:tcBorders>
              <w:top w:val="single" w:sz="12" w:space="0" w:color="auto"/>
            </w:tcBorders>
          </w:tcPr>
          <w:p w14:paraId="6EA6CD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r>
      <w:tr w:rsidR="000F5689" w:rsidRPr="00925F26" w14:paraId="5CBFC9E8" w14:textId="77777777">
        <w:tc>
          <w:tcPr>
            <w:tcW w:w="2802" w:type="dxa"/>
          </w:tcPr>
          <w:p w14:paraId="20CD8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07DF07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802" w:type="dxa"/>
          </w:tcPr>
          <w:p w14:paraId="121F7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w:t>
            </w:r>
          </w:p>
        </w:tc>
      </w:tr>
      <w:tr w:rsidR="000F5689" w:rsidRPr="00925F26" w14:paraId="21856F73" w14:textId="77777777">
        <w:tc>
          <w:tcPr>
            <w:tcW w:w="2802" w:type="dxa"/>
          </w:tcPr>
          <w:p w14:paraId="44B1A7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2050</w:t>
            </w:r>
          </w:p>
        </w:tc>
        <w:tc>
          <w:tcPr>
            <w:tcW w:w="2802" w:type="dxa"/>
          </w:tcPr>
          <w:p w14:paraId="6E7826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w:t>
            </w:r>
          </w:p>
        </w:tc>
        <w:tc>
          <w:tcPr>
            <w:tcW w:w="2802" w:type="dxa"/>
          </w:tcPr>
          <w:p w14:paraId="125D54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1080</w:t>
            </w:r>
          </w:p>
        </w:tc>
      </w:tr>
      <w:tr w:rsidR="000F5689" w:rsidRPr="00925F26" w14:paraId="72A67EB4" w14:textId="77777777">
        <w:tc>
          <w:tcPr>
            <w:tcW w:w="2802" w:type="dxa"/>
          </w:tcPr>
          <w:p w14:paraId="17114E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2650</w:t>
            </w:r>
          </w:p>
        </w:tc>
        <w:tc>
          <w:tcPr>
            <w:tcW w:w="2802" w:type="dxa"/>
          </w:tcPr>
          <w:p w14:paraId="0DEAD4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504</w:t>
            </w:r>
          </w:p>
        </w:tc>
        <w:tc>
          <w:tcPr>
            <w:tcW w:w="2802" w:type="dxa"/>
          </w:tcPr>
          <w:p w14:paraId="04F97F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970</w:t>
            </w:r>
          </w:p>
        </w:tc>
      </w:tr>
      <w:tr w:rsidR="000F5689" w:rsidRPr="00925F26" w14:paraId="23EC988A" w14:textId="77777777">
        <w:tc>
          <w:tcPr>
            <w:tcW w:w="2802" w:type="dxa"/>
          </w:tcPr>
          <w:p w14:paraId="7857A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3060</w:t>
            </w:r>
          </w:p>
        </w:tc>
        <w:tc>
          <w:tcPr>
            <w:tcW w:w="2802" w:type="dxa"/>
          </w:tcPr>
          <w:p w14:paraId="54E30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w:t>
            </w:r>
          </w:p>
        </w:tc>
        <w:tc>
          <w:tcPr>
            <w:tcW w:w="2802" w:type="dxa"/>
          </w:tcPr>
          <w:p w14:paraId="25D628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r>
      <w:tr w:rsidR="000F5689" w:rsidRPr="00925F26" w14:paraId="3C3A8B77" w14:textId="77777777">
        <w:tc>
          <w:tcPr>
            <w:tcW w:w="2802" w:type="dxa"/>
          </w:tcPr>
          <w:p w14:paraId="46A49F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3485FD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512,5</w:t>
            </w:r>
          </w:p>
        </w:tc>
        <w:tc>
          <w:tcPr>
            <w:tcW w:w="2802" w:type="dxa"/>
          </w:tcPr>
          <w:p w14:paraId="135197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w:t>
            </w:r>
          </w:p>
        </w:tc>
      </w:tr>
      <w:tr w:rsidR="000F5689" w:rsidRPr="00925F26" w14:paraId="199E9B35" w14:textId="77777777">
        <w:tc>
          <w:tcPr>
            <w:tcW w:w="2802" w:type="dxa"/>
          </w:tcPr>
          <w:p w14:paraId="2D0519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2802" w:type="dxa"/>
          </w:tcPr>
          <w:p w14:paraId="37BD1D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w:t>
            </w:r>
          </w:p>
        </w:tc>
        <w:tc>
          <w:tcPr>
            <w:tcW w:w="2802" w:type="dxa"/>
          </w:tcPr>
          <w:p w14:paraId="6D1354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690</w:t>
            </w:r>
          </w:p>
        </w:tc>
      </w:tr>
      <w:tr w:rsidR="000F5689" w:rsidRPr="00925F26" w14:paraId="6BAA81CA" w14:textId="77777777">
        <w:tc>
          <w:tcPr>
            <w:tcW w:w="2802" w:type="dxa"/>
            <w:tcBorders>
              <w:bottom w:val="single" w:sz="12" w:space="0" w:color="auto"/>
            </w:tcBorders>
          </w:tcPr>
          <w:p w14:paraId="74B503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5F6402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c>
          <w:tcPr>
            <w:tcW w:w="2802" w:type="dxa"/>
            <w:tcBorders>
              <w:bottom w:val="single" w:sz="12" w:space="0" w:color="auto"/>
            </w:tcBorders>
          </w:tcPr>
          <w:p w14:paraId="1AC752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r>
    </w:tbl>
    <w:p w14:paraId="074212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0CDA01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925F26" w14:paraId="6EB0EB5D" w14:textId="77777777">
        <w:tc>
          <w:tcPr>
            <w:tcW w:w="2802" w:type="dxa"/>
            <w:tcBorders>
              <w:top w:val="single" w:sz="12" w:space="0" w:color="auto"/>
            </w:tcBorders>
          </w:tcPr>
          <w:p w14:paraId="22747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68CBB7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Верт. Скорость </w:t>
            </w:r>
          </w:p>
        </w:tc>
        <w:tc>
          <w:tcPr>
            <w:tcW w:w="2802" w:type="dxa"/>
            <w:tcBorders>
              <w:top w:val="single" w:sz="12" w:space="0" w:color="auto"/>
            </w:tcBorders>
          </w:tcPr>
          <w:p w14:paraId="6A588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c>
          <w:tcPr>
            <w:tcW w:w="2802" w:type="dxa"/>
            <w:tcBorders>
              <w:top w:val="single" w:sz="12" w:space="0" w:color="auto"/>
            </w:tcBorders>
          </w:tcPr>
          <w:p w14:paraId="61AE16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 скорость</w:t>
            </w:r>
          </w:p>
        </w:tc>
      </w:tr>
      <w:tr w:rsidR="000F5689" w:rsidRPr="00925F26" w14:paraId="1F7C09B1" w14:textId="77777777">
        <w:tc>
          <w:tcPr>
            <w:tcW w:w="2802" w:type="dxa"/>
          </w:tcPr>
          <w:p w14:paraId="144234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4AD240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w:t>
            </w:r>
          </w:p>
        </w:tc>
        <w:tc>
          <w:tcPr>
            <w:tcW w:w="2802" w:type="dxa"/>
          </w:tcPr>
          <w:p w14:paraId="7EF651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1040</w:t>
            </w:r>
          </w:p>
        </w:tc>
        <w:tc>
          <w:tcPr>
            <w:tcW w:w="2802" w:type="dxa"/>
          </w:tcPr>
          <w:p w14:paraId="4AAB0F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4AF625CF" w14:textId="77777777">
        <w:tc>
          <w:tcPr>
            <w:tcW w:w="2802" w:type="dxa"/>
          </w:tcPr>
          <w:p w14:paraId="748C82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2100</w:t>
            </w:r>
          </w:p>
        </w:tc>
        <w:tc>
          <w:tcPr>
            <w:tcW w:w="2802" w:type="dxa"/>
          </w:tcPr>
          <w:p w14:paraId="4D69C4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802" w:type="dxa"/>
          </w:tcPr>
          <w:p w14:paraId="6D969F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960</w:t>
            </w:r>
          </w:p>
        </w:tc>
        <w:tc>
          <w:tcPr>
            <w:tcW w:w="2802" w:type="dxa"/>
          </w:tcPr>
          <w:p w14:paraId="4669267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24A87FA" w14:textId="77777777">
        <w:tc>
          <w:tcPr>
            <w:tcW w:w="2802" w:type="dxa"/>
          </w:tcPr>
          <w:p w14:paraId="601549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3400</w:t>
            </w:r>
          </w:p>
        </w:tc>
        <w:tc>
          <w:tcPr>
            <w:tcW w:w="2802" w:type="dxa"/>
          </w:tcPr>
          <w:p w14:paraId="2BC38B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2802" w:type="dxa"/>
          </w:tcPr>
          <w:p w14:paraId="07D64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c>
          <w:tcPr>
            <w:tcW w:w="2802" w:type="dxa"/>
          </w:tcPr>
          <w:p w14:paraId="42383B5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FB301A2" w14:textId="77777777">
        <w:tc>
          <w:tcPr>
            <w:tcW w:w="2802" w:type="dxa"/>
          </w:tcPr>
          <w:p w14:paraId="004F3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7A912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2802" w:type="dxa"/>
          </w:tcPr>
          <w:p w14:paraId="2E6D34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w:t>
            </w:r>
          </w:p>
        </w:tc>
        <w:tc>
          <w:tcPr>
            <w:tcW w:w="2802" w:type="dxa"/>
          </w:tcPr>
          <w:p w14:paraId="2E8216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r>
      <w:tr w:rsidR="000F5689" w:rsidRPr="00925F26" w14:paraId="6A0A64C8" w14:textId="77777777">
        <w:tc>
          <w:tcPr>
            <w:tcW w:w="2802" w:type="dxa"/>
            <w:tcBorders>
              <w:bottom w:val="single" w:sz="12" w:space="0" w:color="auto"/>
            </w:tcBorders>
          </w:tcPr>
          <w:p w14:paraId="215281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7536BA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2802" w:type="dxa"/>
            <w:tcBorders>
              <w:bottom w:val="single" w:sz="12" w:space="0" w:color="auto"/>
            </w:tcBorders>
          </w:tcPr>
          <w:p w14:paraId="4FA7C499"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Borders>
              <w:bottom w:val="single" w:sz="12" w:space="0" w:color="auto"/>
            </w:tcBorders>
          </w:tcPr>
          <w:p w14:paraId="722E01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r>
    </w:tbl>
    <w:p w14:paraId="2BC943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632676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Посадка с тормозами на 50 гр. посадочная скорость 140 км/час при полетном весе 7200 кг, дистанция - 1160 м</w:t>
      </w:r>
    </w:p>
    <w:p w14:paraId="558F5F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785381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Носовой ШКАС и УБК неподвижные + УБТ на ВУБ-1 и УБТ на ЛУ + бортовые ШКАС</w:t>
      </w:r>
    </w:p>
    <w:p w14:paraId="36ACE3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21903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двусторонней радиосвязи с наземной р/с РАФ-КВ-3 на 1000 м - телефон 360, телеграф - 400</w:t>
      </w:r>
    </w:p>
    <w:p w14:paraId="34DD1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Оценка производственного выполнения:</w:t>
      </w:r>
    </w:p>
    <w:p w14:paraId="209B53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01D324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волнистость обшивки, низкое качество покраски, отставание и неравномерное нанесение краски</w:t>
      </w:r>
    </w:p>
    <w:p w14:paraId="1C3A16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створки бомборлюка плотно не закрываются, остаются щели</w:t>
      </w:r>
    </w:p>
    <w:p w14:paraId="7B8267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боковые форточки фонаря кабины л плохо подогнаны, открываются и закрываются с большим усилием</w:t>
      </w:r>
    </w:p>
    <w:p w14:paraId="54BDB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монтаж трубопроводов на моторе выполнен плохо, течи воды, масла, бензина</w:t>
      </w:r>
    </w:p>
    <w:p w14:paraId="0C56C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78FFD8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0A3173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дышать стало трудновстречается большое сопротивление на вдохе</w:t>
      </w:r>
    </w:p>
    <w:p w14:paraId="263393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б) маска требует весьма плотной подгонки, что вызывает стягивание мускулов и возникают неприятные ощущения</w:t>
      </w:r>
    </w:p>
    <w:p w14:paraId="23A8B9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шланг тяжелый и жесткий, что затрудняет движение в кабине</w:t>
      </w:r>
    </w:p>
    <w:p w14:paraId="1ADDE9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4E55C2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 в существующем виде прибор КП-12 не может быть рекомендован для установки на серийные Пе-2</w:t>
      </w:r>
    </w:p>
    <w:p w14:paraId="4B11BC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 подписали 6 марта 1945</w:t>
      </w:r>
    </w:p>
    <w:p w14:paraId="026AE5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925F26" w14:paraId="7E33A8FF" w14:textId="77777777">
        <w:tc>
          <w:tcPr>
            <w:tcW w:w="3936" w:type="dxa"/>
            <w:tcBorders>
              <w:top w:val="single" w:sz="12" w:space="0" w:color="auto"/>
            </w:tcBorders>
          </w:tcPr>
          <w:p w14:paraId="59E9A8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2236" w:type="dxa"/>
            <w:tcBorders>
              <w:top w:val="single" w:sz="12" w:space="0" w:color="auto"/>
            </w:tcBorders>
          </w:tcPr>
          <w:p w14:paraId="740492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6E66F0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14/350 2ВК-105ПФ с полетным весом 8400 кг, испытанным в НИИ ВВС в октябре 1944</w:t>
            </w:r>
          </w:p>
        </w:tc>
      </w:tr>
      <w:tr w:rsidR="000F5689" w:rsidRPr="00925F26" w14:paraId="22EE495B" w14:textId="77777777">
        <w:tc>
          <w:tcPr>
            <w:tcW w:w="3936" w:type="dxa"/>
          </w:tcPr>
          <w:p w14:paraId="1EE746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номинальном режиме а) у земли</w:t>
            </w:r>
          </w:p>
          <w:p w14:paraId="299901E3" w14:textId="77777777" w:rsidR="00665165" w:rsidRPr="00925F26" w:rsidRDefault="00665165" w:rsidP="00925F26">
            <w:pPr>
              <w:autoSpaceDE w:val="0"/>
              <w:autoSpaceDN w:val="0"/>
              <w:adjustRightInd w:val="0"/>
              <w:jc w:val="both"/>
              <w:rPr>
                <w:color w:val="000000" w:themeColor="text1"/>
                <w:sz w:val="16"/>
                <w:szCs w:val="16"/>
              </w:rPr>
            </w:pPr>
          </w:p>
        </w:tc>
        <w:tc>
          <w:tcPr>
            <w:tcW w:w="2236" w:type="dxa"/>
          </w:tcPr>
          <w:p w14:paraId="6DEA2A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236" w:type="dxa"/>
          </w:tcPr>
          <w:p w14:paraId="4B76AD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457</w:t>
            </w:r>
          </w:p>
        </w:tc>
      </w:tr>
      <w:tr w:rsidR="000F5689" w:rsidRPr="00925F26" w14:paraId="751F2818" w14:textId="77777777">
        <w:tc>
          <w:tcPr>
            <w:tcW w:w="3936" w:type="dxa"/>
          </w:tcPr>
          <w:p w14:paraId="2A80F7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 1 гр. высотности</w:t>
            </w:r>
          </w:p>
        </w:tc>
        <w:tc>
          <w:tcPr>
            <w:tcW w:w="2236" w:type="dxa"/>
          </w:tcPr>
          <w:p w14:paraId="309798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513/2500</w:t>
            </w:r>
          </w:p>
        </w:tc>
        <w:tc>
          <w:tcPr>
            <w:tcW w:w="2236" w:type="dxa"/>
          </w:tcPr>
          <w:p w14:paraId="42CAB2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499/1850</w:t>
            </w:r>
          </w:p>
        </w:tc>
      </w:tr>
      <w:tr w:rsidR="000F5689" w:rsidRPr="00925F26" w14:paraId="0159B746" w14:textId="77777777">
        <w:tc>
          <w:tcPr>
            <w:tcW w:w="3936" w:type="dxa"/>
          </w:tcPr>
          <w:p w14:paraId="47521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 2 гр. высотности</w:t>
            </w:r>
          </w:p>
        </w:tc>
        <w:tc>
          <w:tcPr>
            <w:tcW w:w="2236" w:type="dxa"/>
          </w:tcPr>
          <w:p w14:paraId="33643F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527/3900</w:t>
            </w:r>
          </w:p>
        </w:tc>
        <w:tc>
          <w:tcPr>
            <w:tcW w:w="2236" w:type="dxa"/>
          </w:tcPr>
          <w:p w14:paraId="27DDC1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513/3700</w:t>
            </w:r>
          </w:p>
        </w:tc>
      </w:tr>
      <w:tr w:rsidR="000F5689" w:rsidRPr="00925F26" w14:paraId="3F056B70" w14:textId="77777777">
        <w:tc>
          <w:tcPr>
            <w:tcW w:w="3936" w:type="dxa"/>
          </w:tcPr>
          <w:p w14:paraId="69D8A8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5000 м</w:t>
            </w:r>
          </w:p>
        </w:tc>
        <w:tc>
          <w:tcPr>
            <w:tcW w:w="2236" w:type="dxa"/>
          </w:tcPr>
          <w:p w14:paraId="37D79A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c>
          <w:tcPr>
            <w:tcW w:w="2236" w:type="dxa"/>
          </w:tcPr>
          <w:p w14:paraId="653BB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w:t>
            </w:r>
          </w:p>
        </w:tc>
      </w:tr>
      <w:tr w:rsidR="000F5689" w:rsidRPr="00925F26" w14:paraId="577D841F" w14:textId="77777777">
        <w:tc>
          <w:tcPr>
            <w:tcW w:w="3936" w:type="dxa"/>
          </w:tcPr>
          <w:p w14:paraId="4DF77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2236" w:type="dxa"/>
          </w:tcPr>
          <w:p w14:paraId="29E93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236" w:type="dxa"/>
          </w:tcPr>
          <w:p w14:paraId="7327C3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7500</w:t>
            </w:r>
          </w:p>
        </w:tc>
      </w:tr>
      <w:tr w:rsidR="000F5689" w:rsidRPr="00925F26" w14:paraId="1C5415A8" w14:textId="77777777">
        <w:tc>
          <w:tcPr>
            <w:tcW w:w="3936" w:type="dxa"/>
          </w:tcPr>
          <w:p w14:paraId="05427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набора 8000 м </w:t>
            </w:r>
          </w:p>
        </w:tc>
        <w:tc>
          <w:tcPr>
            <w:tcW w:w="2236" w:type="dxa"/>
          </w:tcPr>
          <w:p w14:paraId="61DBF7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2236" w:type="dxa"/>
          </w:tcPr>
          <w:p w14:paraId="4EAEA0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r>
      <w:tr w:rsidR="000F5689" w:rsidRPr="00925F26" w14:paraId="4017C48A" w14:textId="77777777">
        <w:tc>
          <w:tcPr>
            <w:tcW w:w="3936" w:type="dxa"/>
          </w:tcPr>
          <w:p w14:paraId="60CF7C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236" w:type="dxa"/>
          </w:tcPr>
          <w:p w14:paraId="12D933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c>
          <w:tcPr>
            <w:tcW w:w="2236" w:type="dxa"/>
          </w:tcPr>
          <w:p w14:paraId="318E6D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1207</w:t>
            </w:r>
          </w:p>
        </w:tc>
      </w:tr>
      <w:tr w:rsidR="000F5689" w:rsidRPr="00925F26" w14:paraId="4A8A0859" w14:textId="77777777">
        <w:tc>
          <w:tcPr>
            <w:tcW w:w="3936" w:type="dxa"/>
          </w:tcPr>
          <w:p w14:paraId="6ADBC5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236" w:type="dxa"/>
          </w:tcPr>
          <w:p w14:paraId="0C2B81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490</w:t>
            </w:r>
          </w:p>
        </w:tc>
        <w:tc>
          <w:tcPr>
            <w:tcW w:w="2236" w:type="dxa"/>
          </w:tcPr>
          <w:p w14:paraId="7C0442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3D755884" w14:textId="77777777">
        <w:tc>
          <w:tcPr>
            <w:tcW w:w="3936" w:type="dxa"/>
            <w:tcBorders>
              <w:bottom w:val="single" w:sz="12" w:space="0" w:color="auto"/>
            </w:tcBorders>
          </w:tcPr>
          <w:p w14:paraId="2C6F19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отрыва</w:t>
            </w:r>
          </w:p>
        </w:tc>
        <w:tc>
          <w:tcPr>
            <w:tcW w:w="2236" w:type="dxa"/>
            <w:tcBorders>
              <w:bottom w:val="single" w:sz="12" w:space="0" w:color="auto"/>
            </w:tcBorders>
          </w:tcPr>
          <w:p w14:paraId="3D389F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2236" w:type="dxa"/>
            <w:tcBorders>
              <w:bottom w:val="single" w:sz="12" w:space="0" w:color="auto"/>
            </w:tcBorders>
          </w:tcPr>
          <w:p w14:paraId="403B49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r>
    </w:tbl>
    <w:p w14:paraId="59D192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57DADF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02CB27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6BC3F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Невозможно окрыть входной люк из кабины пилота</w:t>
      </w:r>
    </w:p>
    <w:p w14:paraId="3EDC0C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Отсутствует противокапотажная рама</w:t>
      </w:r>
    </w:p>
    <w:p w14:paraId="1AC75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Обшивка с-та имеет вмятины, покраска - плохая</w:t>
      </w:r>
    </w:p>
    <w:p w14:paraId="6BBB65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Нач. 1 У м/п/п Паукер 6 марта, Нач. 1 У гмиас Сафонов 7 марта и Зам. Нач. ГУ ИАС Лосюков 10 марта 1945 (806,8).</w:t>
      </w:r>
    </w:p>
    <w:p w14:paraId="0F2A2C7E" w14:textId="77777777" w:rsidR="00665165" w:rsidRPr="00925F26" w:rsidRDefault="00665165" w:rsidP="00925F26">
      <w:pPr>
        <w:autoSpaceDE w:val="0"/>
        <w:autoSpaceDN w:val="0"/>
        <w:adjustRightInd w:val="0"/>
        <w:jc w:val="both"/>
        <w:rPr>
          <w:color w:val="000000" w:themeColor="text1"/>
          <w:sz w:val="16"/>
          <w:szCs w:val="16"/>
        </w:rPr>
      </w:pPr>
    </w:p>
    <w:p w14:paraId="5FF99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построили Пе-2М В.М.М. (3337).</w:t>
      </w:r>
    </w:p>
    <w:p w14:paraId="055A0983" w14:textId="77777777" w:rsidR="00665165" w:rsidRPr="00925F26" w:rsidRDefault="00665165" w:rsidP="00925F26">
      <w:pPr>
        <w:autoSpaceDE w:val="0"/>
        <w:autoSpaceDN w:val="0"/>
        <w:adjustRightInd w:val="0"/>
        <w:jc w:val="both"/>
        <w:rPr>
          <w:color w:val="000000" w:themeColor="text1"/>
          <w:sz w:val="16"/>
          <w:szCs w:val="16"/>
        </w:rPr>
      </w:pPr>
    </w:p>
    <w:p w14:paraId="6A2B8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закончились гос. испытания Ту-2Д (62) с крылом большего размаха, которые начались 20 октября 1944 (660,424).</w:t>
      </w:r>
    </w:p>
    <w:p w14:paraId="23E52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испытания закончились 31 октября 1944</w:t>
      </w:r>
    </w:p>
    <w:p w14:paraId="28D567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самом деле 1 марта 1945 закончились не гос., а заводские испытания и летал А.Д.Перелет, а ви был М.М.Егоров. Гос. испытания начались 18 июля 1945 (1835,61).</w:t>
      </w:r>
    </w:p>
    <w:p w14:paraId="1DEB8446" w14:textId="77777777" w:rsidR="00665165" w:rsidRPr="00925F26" w:rsidRDefault="00665165" w:rsidP="00925F26">
      <w:pPr>
        <w:autoSpaceDE w:val="0"/>
        <w:autoSpaceDN w:val="0"/>
        <w:adjustRightInd w:val="0"/>
        <w:jc w:val="both"/>
        <w:rPr>
          <w:color w:val="000000" w:themeColor="text1"/>
          <w:sz w:val="16"/>
          <w:szCs w:val="16"/>
        </w:rPr>
      </w:pPr>
    </w:p>
    <w:p w14:paraId="6F3E4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 по 12 марта 1945 проводились специальные летные испытания по отработке методов борьбы Як и Ла с немецкими истребителями-штурмовиками ФВ-190 А-8 с БМВ-801 N 68201 и облегченным N 580967 выпуска сентября 1944. Участие приняли Як-3, Як-9У и Ла-7. На ФВ летали В.И.Хомяков, Ю.А.Антипов, Дзыба, А.Г.Кубышкин. ФВ на форсаже уходил от Як-3 на преследовании (746,1).</w:t>
      </w:r>
    </w:p>
    <w:p w14:paraId="431CB0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3EA34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Проводились с 1 по 12 марта 1945</w:t>
      </w:r>
    </w:p>
    <w:p w14:paraId="1964EE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 вед. И и-м Рабин</w:t>
      </w:r>
    </w:p>
    <w:p w14:paraId="5020FE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Пон. Нач. 1 отд. 1У и М.Д.Васильев</w:t>
      </w:r>
    </w:p>
    <w:p w14:paraId="1CD710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Летали л облета: Хомяков (ФВ), Антипов (ФВ), Дзюба (Ла-5), Кубышкин (Ла-7), Прошаков (Як-3), Кувшинов (Як-9У).</w:t>
      </w:r>
    </w:p>
    <w:p w14:paraId="018FE7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ФВ-190А-8 № 68201 - серийный, выпуска сентября 1944.</w:t>
      </w:r>
    </w:p>
    <w:p w14:paraId="08BC10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Основное назначение с-та - борьба с тяжелыми бомб. с-тами.</w:t>
      </w:r>
    </w:p>
    <w:p w14:paraId="31C414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Советско-германском фронте применяется в качестве истребителя и штурмовика.</w:t>
      </w:r>
    </w:p>
    <w:p w14:paraId="4A466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0916F2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Запас горючего - 642 л, размещается в 2-х основных и одном дополнительном б/б.</w:t>
      </w:r>
    </w:p>
    <w:p w14:paraId="50708A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 УДМ диаметром 3,3</w:t>
      </w:r>
    </w:p>
    <w:p w14:paraId="088374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3616FC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 фюзеляжем предусмотрена подвеска б/д для бом весом до 250 кг (или подвесного б/б)</w:t>
      </w:r>
    </w:p>
    <w:p w14:paraId="2AD23E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С-т оборудован модифицированной УКВ р/с </w:t>
      </w:r>
      <w:r w:rsidRPr="00925F26">
        <w:rPr>
          <w:color w:val="000000" w:themeColor="text1"/>
          <w:sz w:val="16"/>
          <w:szCs w:val="16"/>
          <w:lang w:val="en-US"/>
        </w:rPr>
        <w:t>F</w:t>
      </w:r>
      <w:r w:rsidRPr="00925F26">
        <w:rPr>
          <w:color w:val="000000" w:themeColor="text1"/>
          <w:sz w:val="16"/>
          <w:szCs w:val="16"/>
        </w:rPr>
        <w:t xml:space="preserve"> и </w:t>
      </w:r>
      <w:r w:rsidRPr="00925F26">
        <w:rPr>
          <w:color w:val="000000" w:themeColor="text1"/>
          <w:sz w:val="16"/>
          <w:szCs w:val="16"/>
          <w:lang w:val="en-US"/>
        </w:rPr>
        <w:t>G</w:t>
      </w:r>
      <w:r w:rsidRPr="00925F26">
        <w:rPr>
          <w:color w:val="000000" w:themeColor="text1"/>
          <w:sz w:val="16"/>
          <w:szCs w:val="16"/>
        </w:rPr>
        <w:t>-25А, представляющей собой радиоопознавательс “свой-чужой”.</w:t>
      </w:r>
    </w:p>
    <w:p w14:paraId="5EAAD7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с-т приземлился на советской территории в октябре 1944.</w:t>
      </w:r>
    </w:p>
    <w:p w14:paraId="5B2195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восстановительного ремонта на опытном заводе ГК НИИ ВВС к началу наст. Испытаний на нем совершено 18 полетов прод. 15:00.</w:t>
      </w:r>
    </w:p>
    <w:p w14:paraId="326638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169BC2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200-300 м на форсаже уходит от Як-3 на преследовании</w:t>
      </w:r>
    </w:p>
    <w:p w14:paraId="7071C9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585A177F" w14:textId="77777777" w:rsidR="00665165" w:rsidRPr="00925F26" w:rsidRDefault="00665165" w:rsidP="00925F26">
      <w:pPr>
        <w:autoSpaceDE w:val="0"/>
        <w:autoSpaceDN w:val="0"/>
        <w:adjustRightInd w:val="0"/>
        <w:jc w:val="both"/>
        <w:rPr>
          <w:color w:val="000000" w:themeColor="text1"/>
          <w:sz w:val="16"/>
          <w:szCs w:val="16"/>
        </w:rPr>
      </w:pPr>
    </w:p>
    <w:p w14:paraId="134458DA" w14:textId="77777777" w:rsidR="003751D3" w:rsidRPr="00925F26" w:rsidRDefault="003751D3" w:rsidP="00925F26">
      <w:pPr>
        <w:jc w:val="both"/>
        <w:rPr>
          <w:color w:val="000000" w:themeColor="text1"/>
          <w:sz w:val="16"/>
          <w:szCs w:val="16"/>
        </w:rPr>
      </w:pPr>
      <w:r w:rsidRPr="00925F26">
        <w:rPr>
          <w:color w:val="000000" w:themeColor="text1"/>
          <w:sz w:val="16"/>
          <w:szCs w:val="16"/>
        </w:rPr>
        <w:t>1 марта 1945 г. провели следующие два полёта на высотном Ла-7. Оба пришлось преждевременно прекратить: первый — на 10-й минуте из-за выбивания ма</w:t>
      </w:r>
      <w:r w:rsidRPr="00925F26">
        <w:rPr>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925F26">
        <w:rPr>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925F26">
        <w:rPr>
          <w:color w:val="000000" w:themeColor="text1"/>
          <w:sz w:val="16"/>
          <w:szCs w:val="16"/>
        </w:rPr>
        <w:softHyphen/>
        <w:t>готовить новое управление.</w:t>
      </w:r>
    </w:p>
    <w:p w14:paraId="40116462" w14:textId="77777777" w:rsidR="003751D3" w:rsidRPr="00925F26" w:rsidRDefault="003751D3" w:rsidP="00925F26">
      <w:pPr>
        <w:jc w:val="both"/>
        <w:rPr>
          <w:color w:val="000000" w:themeColor="text1"/>
          <w:sz w:val="16"/>
          <w:szCs w:val="16"/>
        </w:rPr>
      </w:pPr>
      <w:r w:rsidRPr="00925F26">
        <w:rPr>
          <w:color w:val="000000" w:themeColor="text1"/>
          <w:sz w:val="16"/>
          <w:szCs w:val="16"/>
        </w:rPr>
        <w:t>Назад из ЦИАМ агрегаты получили лишь в мае. На</w:t>
      </w:r>
      <w:r w:rsidRPr="00925F26">
        <w:rPr>
          <w:color w:val="000000" w:themeColor="text1"/>
          <w:sz w:val="16"/>
          <w:szCs w:val="16"/>
        </w:rPr>
        <w:softHyphen/>
        <w:t>конец, 14 июня состоялся контрольный полёт до вы</w:t>
      </w:r>
      <w:r w:rsidRPr="00925F26">
        <w:rPr>
          <w:color w:val="000000" w:themeColor="text1"/>
          <w:sz w:val="16"/>
          <w:szCs w:val="16"/>
        </w:rPr>
        <w:softHyphen/>
        <w:t>соты 1000 м без включения турбокомпрессора, факел образовался только при посадке, для его устране</w:t>
      </w:r>
      <w:r w:rsidRPr="00925F26">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925F26">
        <w:rPr>
          <w:color w:val="000000" w:themeColor="text1"/>
          <w:sz w:val="16"/>
          <w:szCs w:val="16"/>
        </w:rPr>
        <w:softHyphen/>
        <w:t>явился факел, его длина достигала 2 м, тогда как в предыдущий раз — 80 см. Снова про</w:t>
      </w:r>
      <w:r w:rsidRPr="00925F26">
        <w:rPr>
          <w:color w:val="000000" w:themeColor="text1"/>
          <w:sz w:val="16"/>
          <w:szCs w:val="16"/>
        </w:rPr>
        <w:softHyphen/>
        <w:t xml:space="preserve">извели регулировку мотора. После нескольких дней нелётной погоды для высотных </w:t>
      </w:r>
      <w:r w:rsidRPr="00925F26">
        <w:rPr>
          <w:rStyle w:val="aff6"/>
          <w:rFonts w:ascii="Times New Roman" w:eastAsia="Arial Unicode MS" w:hAnsi="Times New Roman" w:cs="Times New Roman"/>
          <w:i w:val="0"/>
          <w:color w:val="000000" w:themeColor="text1"/>
        </w:rPr>
        <w:t>полётов,</w:t>
      </w:r>
      <w:r w:rsidRPr="00925F26">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925F26">
        <w:rPr>
          <w:color w:val="000000" w:themeColor="text1"/>
          <w:sz w:val="16"/>
          <w:szCs w:val="16"/>
        </w:rPr>
        <w:softHyphen/>
        <w:t>вом полёте задание выполнить не удалось. В повторном полёте, после устранения это</w:t>
      </w:r>
      <w:r w:rsidRPr="00925F26">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925F26">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925F26">
        <w:rPr>
          <w:color w:val="000000" w:themeColor="text1"/>
          <w:sz w:val="16"/>
          <w:szCs w:val="16"/>
        </w:rPr>
        <w:softHyphen/>
        <w:t>рофы послужила потеря лётчиком сознания на высоте.</w:t>
      </w:r>
    </w:p>
    <w:p w14:paraId="7644DE7D" w14:textId="77777777" w:rsidR="003751D3" w:rsidRPr="00925F26" w:rsidRDefault="003751D3" w:rsidP="00925F26">
      <w:pPr>
        <w:jc w:val="both"/>
        <w:rPr>
          <w:color w:val="000000" w:themeColor="text1"/>
          <w:sz w:val="16"/>
          <w:szCs w:val="16"/>
        </w:rPr>
      </w:pPr>
      <w:r w:rsidRPr="00925F26">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925F26">
        <w:rPr>
          <w:color w:val="000000" w:themeColor="text1"/>
          <w:sz w:val="16"/>
          <w:szCs w:val="16"/>
        </w:rPr>
        <w:softHyphen/>
        <w:t>требителям. На этом закончилось развитие опытных самолётов С.А. Лавочкина с ТК (15830).</w:t>
      </w:r>
    </w:p>
    <w:p w14:paraId="4B1847E9" w14:textId="77777777" w:rsidR="003751D3" w:rsidRPr="00925F26" w:rsidRDefault="003751D3" w:rsidP="00925F26">
      <w:pPr>
        <w:jc w:val="both"/>
        <w:rPr>
          <w:color w:val="000000" w:themeColor="text1"/>
          <w:sz w:val="16"/>
          <w:szCs w:val="16"/>
        </w:rPr>
      </w:pPr>
    </w:p>
    <w:p w14:paraId="0649877B" w14:textId="77777777" w:rsidR="003B0B5C" w:rsidRPr="001A0BAA" w:rsidRDefault="003B0B5C" w:rsidP="003B0B5C">
      <w:pPr>
        <w:jc w:val="both"/>
        <w:rPr>
          <w:color w:val="0070C0"/>
          <w:sz w:val="16"/>
          <w:szCs w:val="16"/>
        </w:rPr>
      </w:pPr>
      <w:r w:rsidRPr="001A0BAA">
        <w:rPr>
          <w:color w:val="0070C0"/>
          <w:sz w:val="16"/>
          <w:szCs w:val="16"/>
        </w:rPr>
        <w:lastRenderedPageBreak/>
        <w:t>1 марта 1945 г. на высоте 2700 м двигатель Ла-7Р-2 проработал полторы минуты, после чего из-за пульсации в камере сгорания его пришлось выключить. Прирост скорости составил 80 км/ч по прибору, а 10 марта на высоте 2600 метров РД-1 прибавил около 95 км/ч. В целом двигатель работал плохо, в 15 запусках из 45 он отказывал, причем в шести случаях - по вине зажигания (24925).</w:t>
      </w:r>
    </w:p>
    <w:p w14:paraId="4DDF3D58" w14:textId="77777777" w:rsidR="003B0B5C" w:rsidRPr="001A0BAA" w:rsidRDefault="003B0B5C" w:rsidP="003B0B5C">
      <w:pPr>
        <w:jc w:val="both"/>
        <w:rPr>
          <w:color w:val="0070C0"/>
          <w:sz w:val="16"/>
          <w:szCs w:val="16"/>
        </w:rPr>
      </w:pPr>
    </w:p>
    <w:p w14:paraId="7D8BA21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0D539A5" w14:textId="77777777" w:rsidR="00665165" w:rsidRPr="00925F26" w:rsidRDefault="00665165" w:rsidP="00925F26">
      <w:pPr>
        <w:autoSpaceDE w:val="0"/>
        <w:autoSpaceDN w:val="0"/>
        <w:adjustRightInd w:val="0"/>
        <w:jc w:val="both"/>
        <w:rPr>
          <w:iCs/>
          <w:color w:val="000000" w:themeColor="text1"/>
          <w:sz w:val="16"/>
          <w:szCs w:val="16"/>
        </w:rPr>
      </w:pPr>
    </w:p>
    <w:p w14:paraId="3F1156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мар</w:t>
      </w:r>
      <w:r w:rsidRPr="00925F26">
        <w:rPr>
          <w:color w:val="000000" w:themeColor="text1"/>
          <w:sz w:val="16"/>
          <w:szCs w:val="16"/>
        </w:rPr>
        <w:softHyphen/>
        <w:t>та 1945 распоряжением по НКТП на заводе № 75 (г. Харьков) на</w:t>
      </w:r>
      <w:r w:rsidRPr="00925F26">
        <w:rPr>
          <w:color w:val="000000" w:themeColor="text1"/>
          <w:sz w:val="16"/>
          <w:szCs w:val="16"/>
        </w:rPr>
        <w:softHyphen/>
        <w:t xml:space="preserve">чалось серийное производство танка Т-44 «валовой серии» (Т-44Б). </w:t>
      </w:r>
      <w:proofErr w:type="gramStart"/>
      <w:r w:rsidRPr="00925F26">
        <w:rPr>
          <w:color w:val="000000" w:themeColor="text1"/>
          <w:sz w:val="16"/>
          <w:szCs w:val="16"/>
        </w:rPr>
        <w:t>Согласно планов</w:t>
      </w:r>
      <w:proofErr w:type="gramEnd"/>
      <w:r w:rsidRPr="00925F26">
        <w:rPr>
          <w:color w:val="000000" w:themeColor="text1"/>
          <w:sz w:val="16"/>
          <w:szCs w:val="16"/>
        </w:rPr>
        <w:t xml:space="preserve"> НКТП до конца 1945 г. должно бы ло быть изготовлено 850 шт. Т-44Б при общем заказе 1200 боевых машин. Но первые танки, сдаваемые </w:t>
      </w:r>
      <w:proofErr w:type="gramStart"/>
      <w:r w:rsidRPr="00925F26">
        <w:rPr>
          <w:color w:val="000000" w:themeColor="text1"/>
          <w:sz w:val="16"/>
          <w:szCs w:val="16"/>
        </w:rPr>
        <w:t>заводом</w:t>
      </w:r>
      <w:proofErr w:type="gramEnd"/>
      <w:r w:rsidRPr="00925F26">
        <w:rPr>
          <w:color w:val="000000" w:themeColor="text1"/>
          <w:sz w:val="16"/>
          <w:szCs w:val="16"/>
        </w:rPr>
        <w:t xml:space="preserve"> еще считались «ограниченно годными», так как некоторые но</w:t>
      </w:r>
      <w:r w:rsidRPr="00925F26">
        <w:rPr>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925F26">
        <w:rPr>
          <w:color w:val="000000" w:themeColor="text1"/>
          <w:sz w:val="16"/>
          <w:szCs w:val="16"/>
        </w:rPr>
        <w:softHyphen/>
        <w:t>деления, тогда как завод продолжал «вылизывать» их в про</w:t>
      </w:r>
      <w:r w:rsidRPr="00925F26">
        <w:rPr>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925F26">
        <w:rPr>
          <w:color w:val="000000" w:themeColor="text1"/>
          <w:sz w:val="16"/>
          <w:szCs w:val="16"/>
        </w:rPr>
        <w:softHyphen/>
        <w:t>жена в войска, а в августе танковая часть, оснащенная новы</w:t>
      </w:r>
      <w:r w:rsidRPr="00925F26">
        <w:rPr>
          <w:color w:val="000000" w:themeColor="text1"/>
          <w:sz w:val="16"/>
          <w:szCs w:val="16"/>
        </w:rPr>
        <w:softHyphen/>
        <w:t>ми машинами, отправилась на Дальний Восток в действую</w:t>
      </w:r>
      <w:r w:rsidRPr="00925F26">
        <w:rPr>
          <w:color w:val="000000" w:themeColor="text1"/>
          <w:sz w:val="16"/>
          <w:szCs w:val="16"/>
        </w:rPr>
        <w:softHyphen/>
        <w:t>щую армию. Но в боях они участия не принимали (11135).</w:t>
      </w:r>
    </w:p>
    <w:p w14:paraId="17275B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BDFAE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вышло Постановление ГКО № 7599 Об увеличении выпуска особо дефицитных деталей для ремонта и восстановления тракторов в сельском хозяйстве. РГАНИР, Фонд ГКО, д. 373, лл. 65-69, 70-76 (11012).</w:t>
      </w:r>
    </w:p>
    <w:p w14:paraId="2F26B5E5" w14:textId="77777777" w:rsidR="00665165" w:rsidRPr="00925F26" w:rsidRDefault="00665165" w:rsidP="00925F26">
      <w:pPr>
        <w:autoSpaceDE w:val="0"/>
        <w:autoSpaceDN w:val="0"/>
        <w:adjustRightInd w:val="0"/>
        <w:jc w:val="both"/>
        <w:rPr>
          <w:color w:val="000000" w:themeColor="text1"/>
          <w:sz w:val="16"/>
          <w:szCs w:val="16"/>
        </w:rPr>
      </w:pPr>
    </w:p>
    <w:p w14:paraId="7B1CF09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марта 1945 вышло Распоряжение ГКО № 7600 [О дополнительном выделении бензина Белорусской ССР.] (7310, 77).</w:t>
      </w:r>
    </w:p>
    <w:p w14:paraId="204718B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8B028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9EE1400" w14:textId="77777777" w:rsidR="00665165" w:rsidRPr="00925F26" w:rsidRDefault="00665165" w:rsidP="00925F26">
      <w:pPr>
        <w:autoSpaceDE w:val="0"/>
        <w:autoSpaceDN w:val="0"/>
        <w:adjustRightInd w:val="0"/>
        <w:jc w:val="both"/>
        <w:rPr>
          <w:iCs/>
          <w:color w:val="000000" w:themeColor="text1"/>
          <w:sz w:val="16"/>
          <w:szCs w:val="16"/>
        </w:rPr>
      </w:pPr>
    </w:p>
    <w:p w14:paraId="0D81F4A2" w14:textId="77777777" w:rsidR="003751D3" w:rsidRPr="00925F26" w:rsidRDefault="003751D3" w:rsidP="00925F26">
      <w:pPr>
        <w:jc w:val="both"/>
        <w:rPr>
          <w:color w:val="000000" w:themeColor="text1"/>
          <w:sz w:val="16"/>
          <w:szCs w:val="16"/>
        </w:rPr>
      </w:pPr>
      <w:r w:rsidRPr="00925F26">
        <w:rPr>
          <w:bCs/>
          <w:color w:val="000000" w:themeColor="text1"/>
          <w:sz w:val="16"/>
          <w:szCs w:val="16"/>
        </w:rPr>
        <w:t>1 марта</w:t>
      </w:r>
      <w:r w:rsidRPr="00925F26">
        <w:rPr>
          <w:color w:val="000000" w:themeColor="text1"/>
          <w:sz w:val="16"/>
          <w:szCs w:val="16"/>
        </w:rPr>
        <w:t xml:space="preserve"> в 1945 году оперативная сводка Совинформбюро:</w:t>
      </w:r>
    </w:p>
    <w:p w14:paraId="4D9299E8" w14:textId="77777777" w:rsidR="003751D3" w:rsidRPr="00925F26" w:rsidRDefault="003751D3" w:rsidP="00925F26">
      <w:pPr>
        <w:jc w:val="both"/>
        <w:rPr>
          <w:color w:val="000000" w:themeColor="text1"/>
          <w:sz w:val="16"/>
          <w:szCs w:val="16"/>
        </w:rPr>
      </w:pPr>
      <w:r w:rsidRPr="00925F26">
        <w:rPr>
          <w:color w:val="000000" w:themeColor="text1"/>
          <w:sz w:val="16"/>
          <w:szCs w:val="16"/>
        </w:rPr>
        <w:t>«В течение 1 марта на территории Померании, северо-восточнее и севернее города Нойштеттин, наши войска в результате наступательных боёв овладели населёнными пунктами Флеммингсорт, Флетенштайн, Фалькенхаген, Хелькевизе, Нойдорф, Цехендорф, Бухвальд, Эшенриге.</w:t>
      </w:r>
    </w:p>
    <w:p w14:paraId="0C2735D2" w14:textId="77777777" w:rsidR="003751D3" w:rsidRPr="00925F26" w:rsidRDefault="003751D3" w:rsidP="00925F26">
      <w:pPr>
        <w:jc w:val="both"/>
        <w:rPr>
          <w:color w:val="000000" w:themeColor="text1"/>
          <w:sz w:val="16"/>
          <w:szCs w:val="16"/>
        </w:rPr>
      </w:pPr>
      <w:r w:rsidRPr="00925F26">
        <w:rPr>
          <w:color w:val="000000" w:themeColor="text1"/>
          <w:sz w:val="16"/>
          <w:szCs w:val="16"/>
        </w:rPr>
        <w:t>В районе Бреслау наши войска, продолжая бои по уничтожению окружённой в городе группировки противника, овладели пригородами Альтхофнасс, Гроссечанш и заняли 10 кварталов.</w:t>
      </w:r>
    </w:p>
    <w:p w14:paraId="57487947" w14:textId="77777777" w:rsidR="003751D3" w:rsidRPr="00925F26" w:rsidRDefault="003751D3" w:rsidP="00925F26">
      <w:pPr>
        <w:jc w:val="both"/>
        <w:rPr>
          <w:color w:val="000000" w:themeColor="text1"/>
          <w:sz w:val="16"/>
          <w:szCs w:val="16"/>
        </w:rPr>
      </w:pPr>
      <w:r w:rsidRPr="00925F26">
        <w:rPr>
          <w:color w:val="000000" w:themeColor="text1"/>
          <w:sz w:val="16"/>
          <w:szCs w:val="16"/>
        </w:rPr>
        <w:t>В Чехословакии, западнее города Лученец, наши войска, действуя в трудных условиях горно-лесистой местности, овладели населёнными пунктами Заежова, Нересница, Забава, Бзовик, Стара Гора, Кластава, Бадан.</w:t>
      </w:r>
    </w:p>
    <w:p w14:paraId="12617748" w14:textId="77777777" w:rsidR="003751D3" w:rsidRPr="00925F26" w:rsidRDefault="003751D3"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4029BA81" w14:textId="77777777" w:rsidR="003751D3" w:rsidRPr="00925F26" w:rsidRDefault="003751D3" w:rsidP="00925F26">
      <w:pPr>
        <w:jc w:val="both"/>
        <w:rPr>
          <w:color w:val="000000" w:themeColor="text1"/>
          <w:sz w:val="16"/>
          <w:szCs w:val="16"/>
        </w:rPr>
      </w:pPr>
      <w:r w:rsidRPr="00925F26">
        <w:rPr>
          <w:color w:val="000000" w:themeColor="text1"/>
          <w:sz w:val="16"/>
          <w:szCs w:val="16"/>
        </w:rPr>
        <w:t>За 28 февраля на всех фронтах подбито и уничтожено 48 немецких танков. В воздушных боях и огнём зенитной артиллерии сбито 28 самолётов противника.</w:t>
      </w:r>
    </w:p>
    <w:p w14:paraId="1BE4CD4B" w14:textId="77777777" w:rsidR="003751D3" w:rsidRPr="00925F26" w:rsidRDefault="003751D3" w:rsidP="00925F26">
      <w:pPr>
        <w:jc w:val="both"/>
        <w:rPr>
          <w:color w:val="000000" w:themeColor="text1"/>
          <w:sz w:val="16"/>
          <w:szCs w:val="16"/>
        </w:rPr>
      </w:pPr>
      <w:r w:rsidRPr="00925F26">
        <w:rPr>
          <w:color w:val="000000" w:themeColor="text1"/>
          <w:sz w:val="16"/>
          <w:szCs w:val="16"/>
        </w:rPr>
        <w:t>В Померании, северо-восточнее города Нойштеттин, части Н-ского соединения, преодолевая сопротивление противника, с боями продвигались вперёд. Очищена от немцев крупная железнодорожная станция Флетенштайн. Занят также узел шоссейных дорог Фалькенхаген, находящийся в пяти километрах к югу от города Руммельсбург. Немцы подводят резервы и с хода бросают их в бой. Советские части отбили все вражеские контратаки и нанесли противнику большие потери. Севернее города Нойштеттин наши войска преодолели озёрный район и заняли несколько населённых пунктов, заранее подготовленных немцами к круговой обороне. За день советские части уничтожили более 2 тысяч солдат и офицеров противника и взяли 400 пленных. Сожжено и подбито 9 танков и самоходных орудий. Захвачено у немцев 16 исправных самолётов, 18 орудий, 6 складов и другие трофеи.</w:t>
      </w:r>
    </w:p>
    <w:p w14:paraId="33A47556" w14:textId="77777777" w:rsidR="003751D3" w:rsidRPr="00925F26" w:rsidRDefault="003751D3" w:rsidP="00925F26">
      <w:pPr>
        <w:jc w:val="both"/>
        <w:rPr>
          <w:color w:val="000000" w:themeColor="text1"/>
          <w:sz w:val="16"/>
          <w:szCs w:val="16"/>
        </w:rPr>
      </w:pPr>
      <w:r w:rsidRPr="00925F26">
        <w:rPr>
          <w:color w:val="000000" w:themeColor="text1"/>
          <w:sz w:val="16"/>
          <w:szCs w:val="16"/>
        </w:rPr>
        <w:t>В Бреслау наши войска продолжали сжимать кольцо окружённой в городе группировки противника. Ожесточённые схватки происходят за каждую улицу, за каждый дом. Бойцы Н-ской части очистили от немцев пригород Гроссе-Чанш. Другие наши части, сломив сопротивление противника, укрепившегося на высотах, овладели пригородом Альтхофнасс. На улицах пригородов валяются сотни трупов немецких солдат и офицеров. Советские артиллеристы, следуя вместе со штурмовыми группами, подавили более 90 огневых точек немцев. Наши подразделения продолжали бои на территории крупного металлургического завода «Вольф». Прикрываясь стенами цехов, гитлеровцы оказывают яростное сопротивление. Бои часто переходят в рукопашные схватки. Стремительной атакой советские бойцы очистили от противника половину заводской территории. Захвачено 10 орудий, 32 пулемёта и другие трофеи. Взято более 200 пленных.</w:t>
      </w:r>
    </w:p>
    <w:p w14:paraId="47363BD5" w14:textId="77777777" w:rsidR="003751D3" w:rsidRPr="00925F26" w:rsidRDefault="003751D3" w:rsidP="00925F26">
      <w:pPr>
        <w:jc w:val="both"/>
        <w:rPr>
          <w:color w:val="000000" w:themeColor="text1"/>
          <w:sz w:val="16"/>
          <w:szCs w:val="16"/>
        </w:rPr>
      </w:pPr>
      <w:r w:rsidRPr="00925F26">
        <w:rPr>
          <w:color w:val="000000" w:themeColor="text1"/>
          <w:sz w:val="16"/>
          <w:szCs w:val="16"/>
        </w:rPr>
        <w:t>На одном участке 4-го Украинского фронта противник, пытаясь улучшить свои позиции, перешёл в атаку. Немцы бросили в бой до полка пехоты. Гвардейцы Н-ской части нанесли гитлеровцам удар с фланга и отбросили их на прежний рубеж. В ходе боя уничтожено до 200 немцев.</w:t>
      </w:r>
    </w:p>
    <w:p w14:paraId="06A2412F"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2-го Белорусского фронта захватили приказ командующего 2-й немецкой армией генерал-полковника Вейса от 3-го февраля 1945 года. В приказе говорится: «В тыловом районе армии слоняются группы трусов и дезертиров, не желающих участвовать в борьбе за империю, которая подвергается тяжёлым испытаниям. Дезертиры пристраиваются к колоннам гражданского населения, эвакуируемого в глубь страны. Любой солдат или офицер, который не сообщит о каждом известном ему дезертире и не задержит его, будет привлечён к ответственности как соучастник в измене.</w:t>
      </w:r>
    </w:p>
    <w:p w14:paraId="19AB63A5" w14:textId="77777777" w:rsidR="003751D3" w:rsidRPr="00925F26" w:rsidRDefault="003751D3" w:rsidP="00925F26">
      <w:pPr>
        <w:jc w:val="both"/>
        <w:rPr>
          <w:color w:val="000000" w:themeColor="text1"/>
          <w:sz w:val="16"/>
          <w:szCs w:val="16"/>
        </w:rPr>
      </w:pPr>
      <w:r w:rsidRPr="00925F26">
        <w:rPr>
          <w:color w:val="000000" w:themeColor="text1"/>
          <w:sz w:val="16"/>
          <w:szCs w:val="16"/>
        </w:rPr>
        <w:t>При аресте шатающихся трусов и саботажников надо применять все средства насилия, обезвредить их любыми средствами. Под определение «дезертир» и «саботажник» попадает каждый, кто сегодня осмеливается говорить, что «борьба безнадёжна», или что «скоро ворота захлопнутся и мы окажемся в «котле». Далее генерал-полковник Вейс приказывает «в каждом корпусе немедленно учредить летучий полевой суд».</w:t>
      </w:r>
    </w:p>
    <w:p w14:paraId="5F1A73ED" w14:textId="77777777" w:rsidR="003751D3" w:rsidRPr="00925F26" w:rsidRDefault="003751D3" w:rsidP="00925F26">
      <w:pPr>
        <w:jc w:val="both"/>
        <w:rPr>
          <w:color w:val="000000" w:themeColor="text1"/>
          <w:sz w:val="16"/>
          <w:szCs w:val="16"/>
        </w:rPr>
      </w:pPr>
      <w:r w:rsidRPr="00925F26">
        <w:rPr>
          <w:color w:val="000000" w:themeColor="text1"/>
          <w:sz w:val="16"/>
          <w:szCs w:val="16"/>
        </w:rPr>
        <w:t>Приказ командующего 2-й немецкой армией представляет определённый интерес. Немецкий генерал Вейс вынужден признать, что не одиночки, а целые группы солдат убегают с поля боя и слоняются в тылу. Приспосабливаясь к новым условиям, немецкие солдаты переодеваются в гражданское платье и уходят в тыл вместе с колоннами беженцев. Генерал Вейс также обрушивается на солдат, которые считают, что «борьба немцев безнадёжна». Очевидно, в армии Вейса довольно много таких солдат.</w:t>
      </w:r>
    </w:p>
    <w:p w14:paraId="14DE33C7" w14:textId="77777777" w:rsidR="003751D3" w:rsidRPr="00925F26" w:rsidRDefault="003751D3" w:rsidP="00925F26">
      <w:pPr>
        <w:jc w:val="both"/>
        <w:rPr>
          <w:color w:val="000000" w:themeColor="text1"/>
          <w:sz w:val="16"/>
          <w:szCs w:val="16"/>
        </w:rPr>
      </w:pPr>
      <w:r w:rsidRPr="00925F26">
        <w:rPr>
          <w:color w:val="000000" w:themeColor="text1"/>
          <w:sz w:val="16"/>
          <w:szCs w:val="16"/>
        </w:rPr>
        <w:t>Гитлеровцы пытаются свирепыми мерами принудить немецких солдат продолжать уже проигранную Германией войну. Однако не помогли им обычные полевые суды, не помогут и летучие. Приближаются дни полного разгрома фашистской Германии.» (15055).</w:t>
      </w:r>
    </w:p>
    <w:p w14:paraId="2B750341" w14:textId="77777777" w:rsidR="003751D3" w:rsidRPr="00925F26" w:rsidRDefault="003751D3" w:rsidP="00925F26">
      <w:pPr>
        <w:jc w:val="both"/>
        <w:rPr>
          <w:color w:val="000000" w:themeColor="text1"/>
          <w:sz w:val="16"/>
          <w:szCs w:val="16"/>
        </w:rPr>
      </w:pPr>
    </w:p>
    <w:p w14:paraId="430AA3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И.Травкин на К-52 потопил транспорт в 6000 т (355,25).</w:t>
      </w:r>
    </w:p>
    <w:p w14:paraId="0A357C70" w14:textId="77777777" w:rsidR="00665165" w:rsidRPr="00925F26" w:rsidRDefault="00665165" w:rsidP="00925F26">
      <w:pPr>
        <w:autoSpaceDE w:val="0"/>
        <w:autoSpaceDN w:val="0"/>
        <w:adjustRightInd w:val="0"/>
        <w:jc w:val="both"/>
        <w:rPr>
          <w:color w:val="000000" w:themeColor="text1"/>
          <w:sz w:val="16"/>
          <w:szCs w:val="16"/>
        </w:rPr>
      </w:pPr>
    </w:p>
    <w:p w14:paraId="40F399B2" w14:textId="77777777" w:rsidR="00193FD5" w:rsidRPr="00925F26" w:rsidRDefault="00193FD5" w:rsidP="00925F26">
      <w:pPr>
        <w:jc w:val="both"/>
        <w:rPr>
          <w:color w:val="000000" w:themeColor="text1"/>
          <w:sz w:val="16"/>
          <w:szCs w:val="16"/>
        </w:rPr>
      </w:pPr>
      <w:r w:rsidRPr="00925F26">
        <w:rPr>
          <w:color w:val="000000" w:themeColor="text1"/>
          <w:sz w:val="16"/>
          <w:szCs w:val="16"/>
        </w:rPr>
        <w:t>На 1 марта 1945 г. в ВВС СССР находилось 7876 бомбардировщиков, 18 081 истребитель, 8370 штурмовиков и 13 353 транспортных самолета (19727).</w:t>
      </w:r>
    </w:p>
    <w:p w14:paraId="5C5C26AA" w14:textId="77777777" w:rsidR="00193FD5" w:rsidRPr="00925F26" w:rsidRDefault="00193FD5" w:rsidP="00925F26">
      <w:pPr>
        <w:jc w:val="both"/>
        <w:rPr>
          <w:color w:val="000000" w:themeColor="text1"/>
          <w:sz w:val="16"/>
          <w:szCs w:val="16"/>
        </w:rPr>
      </w:pPr>
    </w:p>
    <w:p w14:paraId="1938842D" w14:textId="77777777" w:rsidR="0054083F" w:rsidRPr="00925F26" w:rsidRDefault="0054083F" w:rsidP="00925F26">
      <w:pPr>
        <w:jc w:val="both"/>
        <w:rPr>
          <w:color w:val="000000" w:themeColor="text1"/>
          <w:sz w:val="16"/>
          <w:szCs w:val="16"/>
        </w:rPr>
      </w:pPr>
      <w:r w:rsidRPr="00925F26">
        <w:rPr>
          <w:color w:val="000000" w:themeColor="text1"/>
          <w:sz w:val="16"/>
          <w:szCs w:val="16"/>
        </w:rPr>
        <w:t>На 1 марта 1945 г. в ВВС имелось 47673 самолета, в том числе 7869 бомбардировщиков, 18081 истребитель, 8370 штурмовиков и 13353 транспортных, учебных и связных машин. Еще примерно 500 самолетов числилось в гражданской авиации. Постройку летательных аппаратов вели 25 серийных заводов, на них трудилось около 150 тыс. рабочих. Только за первый квартал 1945 г. авиапромышленность дала стране более 10 тыс. новых самолетов (23472).</w:t>
      </w:r>
    </w:p>
    <w:p w14:paraId="28337290" w14:textId="77777777" w:rsidR="0054083F" w:rsidRPr="00925F26" w:rsidRDefault="0054083F" w:rsidP="00925F26">
      <w:pPr>
        <w:jc w:val="both"/>
        <w:rPr>
          <w:color w:val="000000" w:themeColor="text1"/>
          <w:sz w:val="16"/>
          <w:szCs w:val="16"/>
        </w:rPr>
      </w:pPr>
    </w:p>
    <w:p w14:paraId="564442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марта 1945:</w:t>
      </w:r>
    </w:p>
    <w:p w14:paraId="13AF03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Ил-4 и А-20 в ВВС СФ, КБФ и ЧФ на 1.3.1945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F5689" w:rsidRPr="00925F26" w14:paraId="3F75F7CB" w14:textId="77777777">
        <w:tc>
          <w:tcPr>
            <w:tcW w:w="1245" w:type="dxa"/>
            <w:tcBorders>
              <w:top w:val="single" w:sz="12" w:space="0" w:color="auto"/>
            </w:tcBorders>
          </w:tcPr>
          <w:p w14:paraId="3C343B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Флот</w:t>
            </w:r>
          </w:p>
        </w:tc>
        <w:tc>
          <w:tcPr>
            <w:tcW w:w="1245" w:type="dxa"/>
            <w:tcBorders>
              <w:top w:val="single" w:sz="12" w:space="0" w:color="auto"/>
            </w:tcBorders>
          </w:tcPr>
          <w:p w14:paraId="3AD503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МТА</w:t>
            </w:r>
          </w:p>
        </w:tc>
        <w:tc>
          <w:tcPr>
            <w:tcW w:w="1245" w:type="dxa"/>
            <w:tcBorders>
              <w:top w:val="single" w:sz="12" w:space="0" w:color="auto"/>
            </w:tcBorders>
          </w:tcPr>
          <w:p w14:paraId="190718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БА</w:t>
            </w:r>
          </w:p>
        </w:tc>
        <w:tc>
          <w:tcPr>
            <w:tcW w:w="1245" w:type="dxa"/>
            <w:tcBorders>
              <w:top w:val="single" w:sz="12" w:space="0" w:color="auto"/>
            </w:tcBorders>
          </w:tcPr>
          <w:p w14:paraId="40435E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w:t>
            </w:r>
          </w:p>
        </w:tc>
        <w:tc>
          <w:tcPr>
            <w:tcW w:w="1245" w:type="dxa"/>
            <w:tcBorders>
              <w:top w:val="single" w:sz="12" w:space="0" w:color="auto"/>
            </w:tcBorders>
          </w:tcPr>
          <w:p w14:paraId="739AE3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Авиация ПВО</w:t>
            </w:r>
          </w:p>
        </w:tc>
        <w:tc>
          <w:tcPr>
            <w:tcW w:w="1245" w:type="dxa"/>
            <w:tcBorders>
              <w:top w:val="single" w:sz="12" w:space="0" w:color="auto"/>
            </w:tcBorders>
          </w:tcPr>
          <w:p w14:paraId="1817A8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УАП</w:t>
            </w:r>
          </w:p>
        </w:tc>
        <w:tc>
          <w:tcPr>
            <w:tcW w:w="1245" w:type="dxa"/>
            <w:tcBorders>
              <w:top w:val="single" w:sz="12" w:space="0" w:color="auto"/>
            </w:tcBorders>
          </w:tcPr>
          <w:p w14:paraId="5EA55D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w:t>
            </w:r>
          </w:p>
        </w:tc>
        <w:tc>
          <w:tcPr>
            <w:tcW w:w="1245" w:type="dxa"/>
            <w:tcBorders>
              <w:top w:val="single" w:sz="12" w:space="0" w:color="auto"/>
            </w:tcBorders>
          </w:tcPr>
          <w:p w14:paraId="0900D3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Резерв ВВС флота</w:t>
            </w:r>
          </w:p>
        </w:tc>
        <w:tc>
          <w:tcPr>
            <w:tcW w:w="1245" w:type="dxa"/>
            <w:tcBorders>
              <w:top w:val="single" w:sz="12" w:space="0" w:color="auto"/>
            </w:tcBorders>
          </w:tcPr>
          <w:p w14:paraId="7FC4E4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6059ADEB" w14:textId="77777777">
        <w:tc>
          <w:tcPr>
            <w:tcW w:w="1245" w:type="dxa"/>
          </w:tcPr>
          <w:p w14:paraId="2BB000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А-20</w:t>
            </w:r>
          </w:p>
        </w:tc>
        <w:tc>
          <w:tcPr>
            <w:tcW w:w="1245" w:type="dxa"/>
          </w:tcPr>
          <w:p w14:paraId="1A134C2B"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715DC0A5"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34B46E88"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0901232A"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0BAEA7E0"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466AF6E5"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108E83B7"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465FB2C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D6A49B2" w14:textId="77777777">
        <w:tc>
          <w:tcPr>
            <w:tcW w:w="1245" w:type="dxa"/>
          </w:tcPr>
          <w:p w14:paraId="6B71EA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СФ</w:t>
            </w:r>
          </w:p>
        </w:tc>
        <w:tc>
          <w:tcPr>
            <w:tcW w:w="1245" w:type="dxa"/>
          </w:tcPr>
          <w:p w14:paraId="0C38A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37/27</w:t>
            </w:r>
          </w:p>
        </w:tc>
        <w:tc>
          <w:tcPr>
            <w:tcW w:w="1245" w:type="dxa"/>
          </w:tcPr>
          <w:p w14:paraId="750623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077B9F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w:t>
            </w:r>
          </w:p>
        </w:tc>
        <w:tc>
          <w:tcPr>
            <w:tcW w:w="1245" w:type="dxa"/>
          </w:tcPr>
          <w:p w14:paraId="2C91ED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7557B6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1245" w:type="dxa"/>
          </w:tcPr>
          <w:p w14:paraId="41031B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1245" w:type="dxa"/>
          </w:tcPr>
          <w:p w14:paraId="2F470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245" w:type="dxa"/>
          </w:tcPr>
          <w:p w14:paraId="5310FA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54/40</w:t>
            </w:r>
          </w:p>
        </w:tc>
      </w:tr>
      <w:tr w:rsidR="000F5689" w:rsidRPr="00925F26" w14:paraId="653E7548" w14:textId="77777777">
        <w:tc>
          <w:tcPr>
            <w:tcW w:w="1245" w:type="dxa"/>
          </w:tcPr>
          <w:p w14:paraId="019A1F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КБФ</w:t>
            </w:r>
          </w:p>
        </w:tc>
        <w:tc>
          <w:tcPr>
            <w:tcW w:w="1245" w:type="dxa"/>
          </w:tcPr>
          <w:p w14:paraId="10B7A3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55/29</w:t>
            </w:r>
          </w:p>
        </w:tc>
        <w:tc>
          <w:tcPr>
            <w:tcW w:w="1245" w:type="dxa"/>
          </w:tcPr>
          <w:p w14:paraId="6FF542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2F16EE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1245" w:type="dxa"/>
          </w:tcPr>
          <w:p w14:paraId="1DD275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2DFDED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1/11</w:t>
            </w:r>
          </w:p>
        </w:tc>
        <w:tc>
          <w:tcPr>
            <w:tcW w:w="1245" w:type="dxa"/>
          </w:tcPr>
          <w:p w14:paraId="018C17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1245" w:type="dxa"/>
          </w:tcPr>
          <w:p w14:paraId="765CE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1245" w:type="dxa"/>
          </w:tcPr>
          <w:p w14:paraId="649FE5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77/49</w:t>
            </w:r>
          </w:p>
        </w:tc>
      </w:tr>
      <w:tr w:rsidR="000F5689" w:rsidRPr="00925F26" w14:paraId="35E9A42D" w14:textId="77777777">
        <w:tc>
          <w:tcPr>
            <w:tcW w:w="1245" w:type="dxa"/>
          </w:tcPr>
          <w:p w14:paraId="282626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ЧФ</w:t>
            </w:r>
          </w:p>
        </w:tc>
        <w:tc>
          <w:tcPr>
            <w:tcW w:w="1245" w:type="dxa"/>
          </w:tcPr>
          <w:p w14:paraId="5A96FA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13/13</w:t>
            </w:r>
          </w:p>
        </w:tc>
        <w:tc>
          <w:tcPr>
            <w:tcW w:w="1245" w:type="dxa"/>
          </w:tcPr>
          <w:p w14:paraId="6D05E4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20/17</w:t>
            </w:r>
          </w:p>
        </w:tc>
        <w:tc>
          <w:tcPr>
            <w:tcW w:w="1245" w:type="dxa"/>
          </w:tcPr>
          <w:p w14:paraId="161180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24/24</w:t>
            </w:r>
          </w:p>
        </w:tc>
        <w:tc>
          <w:tcPr>
            <w:tcW w:w="1245" w:type="dxa"/>
          </w:tcPr>
          <w:p w14:paraId="386969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10/10</w:t>
            </w:r>
          </w:p>
        </w:tc>
        <w:tc>
          <w:tcPr>
            <w:tcW w:w="1245" w:type="dxa"/>
          </w:tcPr>
          <w:p w14:paraId="3EF6CA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1CBE01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w:t>
            </w:r>
          </w:p>
        </w:tc>
        <w:tc>
          <w:tcPr>
            <w:tcW w:w="1245" w:type="dxa"/>
          </w:tcPr>
          <w:p w14:paraId="4052B3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3FB24A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75/72</w:t>
            </w:r>
          </w:p>
        </w:tc>
      </w:tr>
      <w:tr w:rsidR="000F5689" w:rsidRPr="00925F26" w14:paraId="77C8619E" w14:textId="77777777">
        <w:tc>
          <w:tcPr>
            <w:tcW w:w="1245" w:type="dxa"/>
          </w:tcPr>
          <w:p w14:paraId="5F4C2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45" w:type="dxa"/>
          </w:tcPr>
          <w:p w14:paraId="08817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105/69</w:t>
            </w:r>
          </w:p>
        </w:tc>
        <w:tc>
          <w:tcPr>
            <w:tcW w:w="1245" w:type="dxa"/>
          </w:tcPr>
          <w:p w14:paraId="6A92F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20/17</w:t>
            </w:r>
          </w:p>
        </w:tc>
        <w:tc>
          <w:tcPr>
            <w:tcW w:w="1245" w:type="dxa"/>
          </w:tcPr>
          <w:p w14:paraId="22B5DC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35/30</w:t>
            </w:r>
          </w:p>
        </w:tc>
        <w:tc>
          <w:tcPr>
            <w:tcW w:w="1245" w:type="dxa"/>
          </w:tcPr>
          <w:p w14:paraId="35DC85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10/10</w:t>
            </w:r>
          </w:p>
        </w:tc>
        <w:tc>
          <w:tcPr>
            <w:tcW w:w="1245" w:type="dxa"/>
          </w:tcPr>
          <w:p w14:paraId="67F157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15/15</w:t>
            </w:r>
          </w:p>
        </w:tc>
        <w:tc>
          <w:tcPr>
            <w:tcW w:w="1245" w:type="dxa"/>
          </w:tcPr>
          <w:p w14:paraId="30B95C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15/14</w:t>
            </w:r>
          </w:p>
        </w:tc>
        <w:tc>
          <w:tcPr>
            <w:tcW w:w="1245" w:type="dxa"/>
          </w:tcPr>
          <w:p w14:paraId="520C1F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w:t>
            </w:r>
          </w:p>
        </w:tc>
        <w:tc>
          <w:tcPr>
            <w:tcW w:w="1245" w:type="dxa"/>
          </w:tcPr>
          <w:p w14:paraId="362D02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206/161</w:t>
            </w:r>
          </w:p>
        </w:tc>
      </w:tr>
      <w:tr w:rsidR="000F5689" w:rsidRPr="00925F26" w14:paraId="4C79E7F3" w14:textId="77777777">
        <w:tc>
          <w:tcPr>
            <w:tcW w:w="1245" w:type="dxa"/>
          </w:tcPr>
          <w:p w14:paraId="5D55E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1245" w:type="dxa"/>
          </w:tcPr>
          <w:p w14:paraId="44B120B5"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5A40A7C1"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7D707572"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5E568A8D"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390E320B"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70A29C45"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2951FFD3"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49D005C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F9E0266" w14:textId="77777777">
        <w:tc>
          <w:tcPr>
            <w:tcW w:w="1245" w:type="dxa"/>
          </w:tcPr>
          <w:p w14:paraId="7BC434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СФ</w:t>
            </w:r>
          </w:p>
        </w:tc>
        <w:tc>
          <w:tcPr>
            <w:tcW w:w="1245" w:type="dxa"/>
          </w:tcPr>
          <w:p w14:paraId="311F5A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32/30*</w:t>
            </w:r>
          </w:p>
        </w:tc>
        <w:tc>
          <w:tcPr>
            <w:tcW w:w="1245" w:type="dxa"/>
          </w:tcPr>
          <w:p w14:paraId="1AD679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3107E5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245" w:type="dxa"/>
          </w:tcPr>
          <w:p w14:paraId="16FD3E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0C550D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245" w:type="dxa"/>
          </w:tcPr>
          <w:p w14:paraId="35F1BC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245" w:type="dxa"/>
          </w:tcPr>
          <w:p w14:paraId="15C77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26/26</w:t>
            </w:r>
          </w:p>
        </w:tc>
        <w:tc>
          <w:tcPr>
            <w:tcW w:w="1245" w:type="dxa"/>
          </w:tcPr>
          <w:p w14:paraId="1FE5D8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68/62</w:t>
            </w:r>
          </w:p>
        </w:tc>
      </w:tr>
      <w:tr w:rsidR="000F5689" w:rsidRPr="00925F26" w14:paraId="55F1F922" w14:textId="77777777">
        <w:tc>
          <w:tcPr>
            <w:tcW w:w="1245" w:type="dxa"/>
          </w:tcPr>
          <w:p w14:paraId="7BCEEC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КБФ</w:t>
            </w:r>
          </w:p>
        </w:tc>
        <w:tc>
          <w:tcPr>
            <w:tcW w:w="1245" w:type="dxa"/>
          </w:tcPr>
          <w:p w14:paraId="4C4774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c>
          <w:tcPr>
            <w:tcW w:w="1245" w:type="dxa"/>
          </w:tcPr>
          <w:p w14:paraId="6C4C6F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4B5F1D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1AEF3B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66D852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13D14C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245" w:type="dxa"/>
          </w:tcPr>
          <w:p w14:paraId="5F75E9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w:t>
            </w:r>
          </w:p>
        </w:tc>
        <w:tc>
          <w:tcPr>
            <w:tcW w:w="1245" w:type="dxa"/>
          </w:tcPr>
          <w:p w14:paraId="49943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19/17</w:t>
            </w:r>
          </w:p>
        </w:tc>
      </w:tr>
      <w:tr w:rsidR="000F5689" w:rsidRPr="00925F26" w14:paraId="6A273136" w14:textId="77777777">
        <w:tc>
          <w:tcPr>
            <w:tcW w:w="1245" w:type="dxa"/>
          </w:tcPr>
          <w:p w14:paraId="3EEF7C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ЧФ</w:t>
            </w:r>
          </w:p>
        </w:tc>
        <w:tc>
          <w:tcPr>
            <w:tcW w:w="1245" w:type="dxa"/>
          </w:tcPr>
          <w:p w14:paraId="04982E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33/24</w:t>
            </w:r>
          </w:p>
        </w:tc>
        <w:tc>
          <w:tcPr>
            <w:tcW w:w="1245" w:type="dxa"/>
          </w:tcPr>
          <w:p w14:paraId="5D4EB3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2F4E62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6D203D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08EC44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6B0298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245" w:type="dxa"/>
          </w:tcPr>
          <w:p w14:paraId="5DADA7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69F153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35/26</w:t>
            </w:r>
          </w:p>
        </w:tc>
      </w:tr>
      <w:tr w:rsidR="000F5689" w:rsidRPr="00925F26" w14:paraId="6AA401C2" w14:textId="77777777">
        <w:tc>
          <w:tcPr>
            <w:tcW w:w="1245" w:type="dxa"/>
            <w:tcBorders>
              <w:bottom w:val="single" w:sz="12" w:space="0" w:color="auto"/>
            </w:tcBorders>
          </w:tcPr>
          <w:p w14:paraId="7C97C8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245" w:type="dxa"/>
            <w:tcBorders>
              <w:bottom w:val="single" w:sz="12" w:space="0" w:color="auto"/>
            </w:tcBorders>
          </w:tcPr>
          <w:p w14:paraId="65F38E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74/61</w:t>
            </w:r>
          </w:p>
        </w:tc>
        <w:tc>
          <w:tcPr>
            <w:tcW w:w="1245" w:type="dxa"/>
            <w:tcBorders>
              <w:bottom w:val="single" w:sz="12" w:space="0" w:color="auto"/>
            </w:tcBorders>
          </w:tcPr>
          <w:p w14:paraId="4BBBE5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Borders>
              <w:bottom w:val="single" w:sz="12" w:space="0" w:color="auto"/>
            </w:tcBorders>
          </w:tcPr>
          <w:p w14:paraId="025057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Borders>
              <w:bottom w:val="single" w:sz="12" w:space="0" w:color="auto"/>
            </w:tcBorders>
          </w:tcPr>
          <w:p w14:paraId="5F289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Borders>
              <w:bottom w:val="single" w:sz="12" w:space="0" w:color="auto"/>
            </w:tcBorders>
          </w:tcPr>
          <w:p w14:paraId="33C238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245" w:type="dxa"/>
            <w:tcBorders>
              <w:bottom w:val="single" w:sz="12" w:space="0" w:color="auto"/>
            </w:tcBorders>
          </w:tcPr>
          <w:p w14:paraId="3D095D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1245" w:type="dxa"/>
            <w:tcBorders>
              <w:bottom w:val="single" w:sz="12" w:space="0" w:color="auto"/>
            </w:tcBorders>
          </w:tcPr>
          <w:p w14:paraId="2B4FE3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35/35</w:t>
            </w:r>
          </w:p>
        </w:tc>
        <w:tc>
          <w:tcPr>
            <w:tcW w:w="1245" w:type="dxa"/>
            <w:tcBorders>
              <w:bottom w:val="single" w:sz="12" w:space="0" w:color="auto"/>
            </w:tcBorders>
          </w:tcPr>
          <w:p w14:paraId="32EA89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122/105</w:t>
            </w:r>
          </w:p>
        </w:tc>
      </w:tr>
    </w:tbl>
    <w:p w14:paraId="30E454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Примечание. Следует отметить, что все 32 Ил-4 9-го гмтап ВВС СФ были закреплены за одной эскадрильей, имевшей 12 экипажей, т.е. 20 машин фактически находились в полковом резерве.</w:t>
      </w:r>
    </w:p>
    <w:p w14:paraId="429B06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Поставки самолетов А-20 в СССР осуществлялись в столь большом объеме, что полностью покрывали и потребности ВВС РККА и ВВС ВМФ. Достаточно сказать, что за время боевых действий только ВВС СФ получили 139, ВВС КБФ - 226 А-20, а вся авиация ВМФ до момента прекращения поставок по ленд-лизу - 643 самолета из почти 2800, поставленных в СССР. Эта цифра примерно в три раза превышала поставки Ил-4 морской авиации в военное время. Реальное соотношение </w:t>
      </w:r>
      <w:r w:rsidRPr="00925F26">
        <w:rPr>
          <w:color w:val="000000" w:themeColor="text1"/>
          <w:sz w:val="16"/>
          <w:szCs w:val="16"/>
        </w:rPr>
        <w:lastRenderedPageBreak/>
        <w:t>отечественных и импортных самолетов в составе ВВС "западных" флотов на момент окончания Великой Отечественной войны можно почерпнуть из нижеприводимой таблицы. С учетом этого не покажется преувеличением заявление, что появление "Бостона" дало второе дыхание нашей минно-торпедной авиации, предоставило ей возможность действовать вплоть до конца войны, не снижая, а, наоборот, наращивая эффективность своих ударов (12002).</w:t>
      </w:r>
    </w:p>
    <w:p w14:paraId="50440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Тактико-технические характеристики торпедоносцев, находившихся на вооружении МТА ВМФ в 1932-1945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F5689" w:rsidRPr="00925F26" w14:paraId="75740C1C" w14:textId="77777777">
        <w:tc>
          <w:tcPr>
            <w:tcW w:w="1245" w:type="dxa"/>
            <w:tcBorders>
              <w:top w:val="single" w:sz="12" w:space="0" w:color="auto"/>
            </w:tcBorders>
          </w:tcPr>
          <w:p w14:paraId="5CE18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(год Габариты: размах</w:t>
            </w:r>
          </w:p>
        </w:tc>
        <w:tc>
          <w:tcPr>
            <w:tcW w:w="1245" w:type="dxa"/>
            <w:tcBorders>
              <w:top w:val="single" w:sz="12" w:space="0" w:color="auto"/>
            </w:tcBorders>
          </w:tcPr>
          <w:p w14:paraId="523627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Моторы:</w:t>
            </w:r>
          </w:p>
        </w:tc>
        <w:tc>
          <w:tcPr>
            <w:tcW w:w="1245" w:type="dxa"/>
            <w:tcBorders>
              <w:top w:val="single" w:sz="12" w:space="0" w:color="auto"/>
            </w:tcBorders>
          </w:tcPr>
          <w:p w14:paraId="0283D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w:t>
            </w:r>
          </w:p>
        </w:tc>
        <w:tc>
          <w:tcPr>
            <w:tcW w:w="1245" w:type="dxa"/>
            <w:tcBorders>
              <w:top w:val="single" w:sz="12" w:space="0" w:color="auto"/>
            </w:tcBorders>
          </w:tcPr>
          <w:p w14:paraId="165559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w:t>
            </w:r>
          </w:p>
        </w:tc>
        <w:tc>
          <w:tcPr>
            <w:tcW w:w="1245" w:type="dxa"/>
            <w:tcBorders>
              <w:top w:val="single" w:sz="12" w:space="0" w:color="auto"/>
            </w:tcBorders>
          </w:tcPr>
          <w:p w14:paraId="6347E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1245" w:type="dxa"/>
            <w:tcBorders>
              <w:top w:val="single" w:sz="12" w:space="0" w:color="auto"/>
            </w:tcBorders>
          </w:tcPr>
          <w:p w14:paraId="57E172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1245" w:type="dxa"/>
            <w:tcBorders>
              <w:top w:val="single" w:sz="12" w:space="0" w:color="auto"/>
            </w:tcBorders>
          </w:tcPr>
          <w:p w14:paraId="7EE07F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w:t>
            </w:r>
          </w:p>
        </w:tc>
        <w:tc>
          <w:tcPr>
            <w:tcW w:w="1245" w:type="dxa"/>
            <w:tcBorders>
              <w:top w:val="single" w:sz="12" w:space="0" w:color="auto"/>
            </w:tcBorders>
          </w:tcPr>
          <w:p w14:paraId="057D20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w:t>
            </w:r>
          </w:p>
        </w:tc>
        <w:tc>
          <w:tcPr>
            <w:tcW w:w="1245" w:type="dxa"/>
            <w:tcBorders>
              <w:top w:val="single" w:sz="12" w:space="0" w:color="auto"/>
            </w:tcBorders>
          </w:tcPr>
          <w:p w14:paraId="2C52898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72452E5" w14:textId="77777777">
        <w:tc>
          <w:tcPr>
            <w:tcW w:w="1245" w:type="dxa"/>
          </w:tcPr>
          <w:p w14:paraId="00019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принятия </w:t>
            </w:r>
            <w:proofErr w:type="gramStart"/>
            <w:r w:rsidRPr="00925F26">
              <w:rPr>
                <w:color w:val="000000" w:themeColor="text1"/>
                <w:sz w:val="16"/>
                <w:szCs w:val="16"/>
              </w:rPr>
              <w:t>на крыльев</w:t>
            </w:r>
            <w:proofErr w:type="gramEnd"/>
            <w:r w:rsidRPr="00925F26">
              <w:rPr>
                <w:color w:val="000000" w:themeColor="text1"/>
                <w:sz w:val="16"/>
                <w:szCs w:val="16"/>
              </w:rPr>
              <w:t xml:space="preserve"> х длина,</w:t>
            </w:r>
          </w:p>
        </w:tc>
        <w:tc>
          <w:tcPr>
            <w:tcW w:w="1245" w:type="dxa"/>
          </w:tcPr>
          <w:p w14:paraId="57A000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кол-во х л.с.</w:t>
            </w:r>
          </w:p>
        </w:tc>
        <w:tc>
          <w:tcPr>
            <w:tcW w:w="1245" w:type="dxa"/>
          </w:tcPr>
          <w:p w14:paraId="304159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w:t>
            </w:r>
          </w:p>
        </w:tc>
        <w:tc>
          <w:tcPr>
            <w:tcW w:w="1245" w:type="dxa"/>
          </w:tcPr>
          <w:p w14:paraId="5616EB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245" w:type="dxa"/>
          </w:tcPr>
          <w:p w14:paraId="4843E2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w:t>
            </w:r>
          </w:p>
        </w:tc>
        <w:tc>
          <w:tcPr>
            <w:tcW w:w="1245" w:type="dxa"/>
          </w:tcPr>
          <w:p w14:paraId="6F4703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км</w:t>
            </w:r>
          </w:p>
        </w:tc>
        <w:tc>
          <w:tcPr>
            <w:tcW w:w="1245" w:type="dxa"/>
          </w:tcPr>
          <w:p w14:paraId="1266B4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1245" w:type="dxa"/>
          </w:tcPr>
          <w:p w14:paraId="09178E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нормальной</w:t>
            </w:r>
          </w:p>
        </w:tc>
        <w:tc>
          <w:tcPr>
            <w:tcW w:w="1245" w:type="dxa"/>
          </w:tcPr>
          <w:p w14:paraId="67CD398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295AADC" w14:textId="77777777">
        <w:tc>
          <w:tcPr>
            <w:tcW w:w="1245" w:type="dxa"/>
          </w:tcPr>
          <w:p w14:paraId="578D02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1245" w:type="dxa"/>
          </w:tcPr>
          <w:p w14:paraId="57980E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w:t>
            </w:r>
          </w:p>
        </w:tc>
        <w:tc>
          <w:tcPr>
            <w:tcW w:w="1245" w:type="dxa"/>
          </w:tcPr>
          <w:p w14:paraId="7F823B04"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421F1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кг</w:t>
            </w:r>
          </w:p>
        </w:tc>
        <w:tc>
          <w:tcPr>
            <w:tcW w:w="1245" w:type="dxa"/>
          </w:tcPr>
          <w:p w14:paraId="3DF1CB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км/ч</w:t>
            </w:r>
          </w:p>
        </w:tc>
        <w:tc>
          <w:tcPr>
            <w:tcW w:w="1245" w:type="dxa"/>
          </w:tcPr>
          <w:p w14:paraId="002749EA"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7E4B3AF2"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272144D0" w14:textId="77777777" w:rsidR="00665165" w:rsidRPr="00925F26" w:rsidRDefault="00665165" w:rsidP="00925F26">
            <w:pPr>
              <w:autoSpaceDE w:val="0"/>
              <w:autoSpaceDN w:val="0"/>
              <w:adjustRightInd w:val="0"/>
              <w:jc w:val="both"/>
              <w:rPr>
                <w:color w:val="000000" w:themeColor="text1"/>
                <w:sz w:val="16"/>
                <w:szCs w:val="16"/>
              </w:rPr>
            </w:pPr>
          </w:p>
        </w:tc>
        <w:tc>
          <w:tcPr>
            <w:tcW w:w="1245" w:type="dxa"/>
          </w:tcPr>
          <w:p w14:paraId="42599A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боевой нагрузки, кг (число торпед)</w:t>
            </w:r>
          </w:p>
        </w:tc>
      </w:tr>
      <w:tr w:rsidR="000F5689" w:rsidRPr="00925F26" w14:paraId="1BA1667A" w14:textId="77777777">
        <w:tc>
          <w:tcPr>
            <w:tcW w:w="1245" w:type="dxa"/>
          </w:tcPr>
          <w:p w14:paraId="42C866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ТБ-1П (1932)</w:t>
            </w:r>
          </w:p>
        </w:tc>
        <w:tc>
          <w:tcPr>
            <w:tcW w:w="1245" w:type="dxa"/>
          </w:tcPr>
          <w:p w14:paraId="1D0B7F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28,7x18,9</w:t>
            </w:r>
          </w:p>
        </w:tc>
        <w:tc>
          <w:tcPr>
            <w:tcW w:w="1245" w:type="dxa"/>
          </w:tcPr>
          <w:p w14:paraId="5D35F5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2x680</w:t>
            </w:r>
          </w:p>
        </w:tc>
        <w:tc>
          <w:tcPr>
            <w:tcW w:w="1245" w:type="dxa"/>
          </w:tcPr>
          <w:p w14:paraId="7A0E1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7500</w:t>
            </w:r>
          </w:p>
        </w:tc>
        <w:tc>
          <w:tcPr>
            <w:tcW w:w="1245" w:type="dxa"/>
          </w:tcPr>
          <w:p w14:paraId="091B90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186</w:t>
            </w:r>
          </w:p>
        </w:tc>
        <w:tc>
          <w:tcPr>
            <w:tcW w:w="1245" w:type="dxa"/>
          </w:tcPr>
          <w:p w14:paraId="018BC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3620</w:t>
            </w:r>
          </w:p>
        </w:tc>
        <w:tc>
          <w:tcPr>
            <w:tcW w:w="1245" w:type="dxa"/>
          </w:tcPr>
          <w:p w14:paraId="698A4E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245" w:type="dxa"/>
          </w:tcPr>
          <w:p w14:paraId="7A045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6x7,62</w:t>
            </w:r>
          </w:p>
        </w:tc>
        <w:tc>
          <w:tcPr>
            <w:tcW w:w="1245" w:type="dxa"/>
          </w:tcPr>
          <w:p w14:paraId="14A1B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(1)</w:t>
            </w:r>
          </w:p>
        </w:tc>
      </w:tr>
      <w:tr w:rsidR="000F5689" w:rsidRPr="00925F26" w14:paraId="6AA42316" w14:textId="77777777">
        <w:tc>
          <w:tcPr>
            <w:tcW w:w="1245" w:type="dxa"/>
          </w:tcPr>
          <w:p w14:paraId="19E50A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Р-5Т (1935)</w:t>
            </w:r>
          </w:p>
        </w:tc>
        <w:tc>
          <w:tcPr>
            <w:tcW w:w="1245" w:type="dxa"/>
          </w:tcPr>
          <w:p w14:paraId="02C40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15,5x10,6</w:t>
            </w:r>
          </w:p>
        </w:tc>
        <w:tc>
          <w:tcPr>
            <w:tcW w:w="1245" w:type="dxa"/>
          </w:tcPr>
          <w:p w14:paraId="3578EB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1x715</w:t>
            </w:r>
          </w:p>
        </w:tc>
        <w:tc>
          <w:tcPr>
            <w:tcW w:w="1245" w:type="dxa"/>
          </w:tcPr>
          <w:p w14:paraId="7AEF5D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3800</w:t>
            </w:r>
          </w:p>
        </w:tc>
        <w:tc>
          <w:tcPr>
            <w:tcW w:w="1245" w:type="dxa"/>
          </w:tcPr>
          <w:p w14:paraId="4BE6AE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w:t>
            </w:r>
          </w:p>
        </w:tc>
        <w:tc>
          <w:tcPr>
            <w:tcW w:w="1245" w:type="dxa"/>
          </w:tcPr>
          <w:p w14:paraId="6BB19D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6400</w:t>
            </w:r>
          </w:p>
        </w:tc>
        <w:tc>
          <w:tcPr>
            <w:tcW w:w="1245" w:type="dxa"/>
          </w:tcPr>
          <w:p w14:paraId="17FE5A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245" w:type="dxa"/>
          </w:tcPr>
          <w:p w14:paraId="13D8E8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1x7,62</w:t>
            </w:r>
          </w:p>
        </w:tc>
        <w:tc>
          <w:tcPr>
            <w:tcW w:w="1245" w:type="dxa"/>
          </w:tcPr>
          <w:p w14:paraId="034AE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 (1)</w:t>
            </w:r>
          </w:p>
        </w:tc>
      </w:tr>
      <w:tr w:rsidR="000F5689" w:rsidRPr="00925F26" w14:paraId="5466CBDE" w14:textId="77777777">
        <w:tc>
          <w:tcPr>
            <w:tcW w:w="1245" w:type="dxa"/>
          </w:tcPr>
          <w:p w14:paraId="35E30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Р-6Т (1935)</w:t>
            </w:r>
          </w:p>
        </w:tc>
        <w:tc>
          <w:tcPr>
            <w:tcW w:w="1245" w:type="dxa"/>
          </w:tcPr>
          <w:p w14:paraId="61015D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23,2x16,0</w:t>
            </w:r>
          </w:p>
        </w:tc>
        <w:tc>
          <w:tcPr>
            <w:tcW w:w="1245" w:type="dxa"/>
          </w:tcPr>
          <w:p w14:paraId="0C74D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2x680</w:t>
            </w:r>
          </w:p>
        </w:tc>
        <w:tc>
          <w:tcPr>
            <w:tcW w:w="1245" w:type="dxa"/>
          </w:tcPr>
          <w:p w14:paraId="7A0EA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5400</w:t>
            </w:r>
          </w:p>
        </w:tc>
        <w:tc>
          <w:tcPr>
            <w:tcW w:w="1245" w:type="dxa"/>
          </w:tcPr>
          <w:p w14:paraId="1F580E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w:t>
            </w:r>
          </w:p>
        </w:tc>
        <w:tc>
          <w:tcPr>
            <w:tcW w:w="1245" w:type="dxa"/>
          </w:tcPr>
          <w:p w14:paraId="10232B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3850</w:t>
            </w:r>
          </w:p>
        </w:tc>
        <w:tc>
          <w:tcPr>
            <w:tcW w:w="1245" w:type="dxa"/>
          </w:tcPr>
          <w:p w14:paraId="304AD4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492</w:t>
            </w:r>
          </w:p>
        </w:tc>
        <w:tc>
          <w:tcPr>
            <w:tcW w:w="1245" w:type="dxa"/>
          </w:tcPr>
          <w:p w14:paraId="41C464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6x7,62</w:t>
            </w:r>
          </w:p>
        </w:tc>
        <w:tc>
          <w:tcPr>
            <w:tcW w:w="1245" w:type="dxa"/>
          </w:tcPr>
          <w:p w14:paraId="26598C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 (1)</w:t>
            </w:r>
          </w:p>
        </w:tc>
      </w:tr>
      <w:tr w:rsidR="000F5689" w:rsidRPr="00925F26" w14:paraId="63CE04CF" w14:textId="77777777">
        <w:tc>
          <w:tcPr>
            <w:tcW w:w="1245" w:type="dxa"/>
          </w:tcPr>
          <w:p w14:paraId="06A7E2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ДБ-ЗТ (1938)</w:t>
            </w:r>
          </w:p>
        </w:tc>
        <w:tc>
          <w:tcPr>
            <w:tcW w:w="1245" w:type="dxa"/>
          </w:tcPr>
          <w:p w14:paraId="719DED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21,44x14,22</w:t>
            </w:r>
          </w:p>
        </w:tc>
        <w:tc>
          <w:tcPr>
            <w:tcW w:w="1245" w:type="dxa"/>
          </w:tcPr>
          <w:p w14:paraId="52BDCC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2x920</w:t>
            </w:r>
          </w:p>
        </w:tc>
        <w:tc>
          <w:tcPr>
            <w:tcW w:w="1245" w:type="dxa"/>
          </w:tcPr>
          <w:p w14:paraId="564CF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7200</w:t>
            </w:r>
          </w:p>
        </w:tc>
        <w:tc>
          <w:tcPr>
            <w:tcW w:w="1245" w:type="dxa"/>
          </w:tcPr>
          <w:p w14:paraId="61326C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435</w:t>
            </w:r>
          </w:p>
        </w:tc>
        <w:tc>
          <w:tcPr>
            <w:tcW w:w="1245" w:type="dxa"/>
          </w:tcPr>
          <w:p w14:paraId="668C44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9000</w:t>
            </w:r>
          </w:p>
        </w:tc>
        <w:tc>
          <w:tcPr>
            <w:tcW w:w="1245" w:type="dxa"/>
          </w:tcPr>
          <w:p w14:paraId="2E3983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3500</w:t>
            </w:r>
          </w:p>
        </w:tc>
        <w:tc>
          <w:tcPr>
            <w:tcW w:w="1245" w:type="dxa"/>
          </w:tcPr>
          <w:p w14:paraId="6F6A79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3x7,62</w:t>
            </w:r>
          </w:p>
        </w:tc>
        <w:tc>
          <w:tcPr>
            <w:tcW w:w="1245" w:type="dxa"/>
          </w:tcPr>
          <w:p w14:paraId="62D015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(1)</w:t>
            </w:r>
          </w:p>
        </w:tc>
      </w:tr>
      <w:tr w:rsidR="000F5689" w:rsidRPr="00925F26" w14:paraId="30BAB768" w14:textId="77777777">
        <w:tc>
          <w:tcPr>
            <w:tcW w:w="1245" w:type="dxa"/>
          </w:tcPr>
          <w:p w14:paraId="719B71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ДБ-ЗФ (1940)</w:t>
            </w:r>
          </w:p>
        </w:tc>
        <w:tc>
          <w:tcPr>
            <w:tcW w:w="1245" w:type="dxa"/>
          </w:tcPr>
          <w:p w14:paraId="7353E4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21,44x14,76</w:t>
            </w:r>
          </w:p>
        </w:tc>
        <w:tc>
          <w:tcPr>
            <w:tcW w:w="1245" w:type="dxa"/>
          </w:tcPr>
          <w:p w14:paraId="7465D3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2x950</w:t>
            </w:r>
          </w:p>
        </w:tc>
        <w:tc>
          <w:tcPr>
            <w:tcW w:w="1245" w:type="dxa"/>
          </w:tcPr>
          <w:p w14:paraId="0178CC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7638</w:t>
            </w:r>
          </w:p>
        </w:tc>
        <w:tc>
          <w:tcPr>
            <w:tcW w:w="1245" w:type="dxa"/>
          </w:tcPr>
          <w:p w14:paraId="124873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445</w:t>
            </w:r>
          </w:p>
        </w:tc>
        <w:tc>
          <w:tcPr>
            <w:tcW w:w="1245" w:type="dxa"/>
          </w:tcPr>
          <w:p w14:paraId="00801A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9000</w:t>
            </w:r>
          </w:p>
        </w:tc>
        <w:tc>
          <w:tcPr>
            <w:tcW w:w="1245" w:type="dxa"/>
          </w:tcPr>
          <w:p w14:paraId="4D865F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3300</w:t>
            </w:r>
          </w:p>
        </w:tc>
        <w:tc>
          <w:tcPr>
            <w:tcW w:w="1245" w:type="dxa"/>
          </w:tcPr>
          <w:p w14:paraId="3707F1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3x7,62</w:t>
            </w:r>
          </w:p>
        </w:tc>
        <w:tc>
          <w:tcPr>
            <w:tcW w:w="1245" w:type="dxa"/>
          </w:tcPr>
          <w:p w14:paraId="46D692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(1)</w:t>
            </w:r>
          </w:p>
        </w:tc>
      </w:tr>
      <w:tr w:rsidR="000F5689" w:rsidRPr="00925F26" w14:paraId="457FCA01" w14:textId="77777777">
        <w:tc>
          <w:tcPr>
            <w:tcW w:w="1245" w:type="dxa"/>
          </w:tcPr>
          <w:p w14:paraId="061AE9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 (1942)</w:t>
            </w:r>
          </w:p>
        </w:tc>
        <w:tc>
          <w:tcPr>
            <w:tcW w:w="1245" w:type="dxa"/>
          </w:tcPr>
          <w:p w14:paraId="518249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21,44x14,76</w:t>
            </w:r>
          </w:p>
        </w:tc>
        <w:tc>
          <w:tcPr>
            <w:tcW w:w="1245" w:type="dxa"/>
          </w:tcPr>
          <w:p w14:paraId="0E3BC6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2x1100</w:t>
            </w:r>
          </w:p>
        </w:tc>
        <w:tc>
          <w:tcPr>
            <w:tcW w:w="1245" w:type="dxa"/>
          </w:tcPr>
          <w:p w14:paraId="262CF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10055</w:t>
            </w:r>
          </w:p>
        </w:tc>
        <w:tc>
          <w:tcPr>
            <w:tcW w:w="1245" w:type="dxa"/>
          </w:tcPr>
          <w:p w14:paraId="25E8E3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398</w:t>
            </w:r>
          </w:p>
        </w:tc>
        <w:tc>
          <w:tcPr>
            <w:tcW w:w="1245" w:type="dxa"/>
          </w:tcPr>
          <w:p w14:paraId="727488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8300</w:t>
            </w:r>
          </w:p>
        </w:tc>
        <w:tc>
          <w:tcPr>
            <w:tcW w:w="1245" w:type="dxa"/>
          </w:tcPr>
          <w:p w14:paraId="7BA25F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3585</w:t>
            </w:r>
          </w:p>
        </w:tc>
        <w:tc>
          <w:tcPr>
            <w:tcW w:w="1245" w:type="dxa"/>
          </w:tcPr>
          <w:p w14:paraId="1F40B5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1x12,7 2x7,62</w:t>
            </w:r>
          </w:p>
        </w:tc>
        <w:tc>
          <w:tcPr>
            <w:tcW w:w="1245" w:type="dxa"/>
          </w:tcPr>
          <w:p w14:paraId="107DCF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(1)</w:t>
            </w:r>
          </w:p>
        </w:tc>
      </w:tr>
      <w:tr w:rsidR="000F5689" w:rsidRPr="00925F26" w14:paraId="3D92AE9D" w14:textId="77777777">
        <w:tc>
          <w:tcPr>
            <w:tcW w:w="1245" w:type="dxa"/>
          </w:tcPr>
          <w:p w14:paraId="527557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"Хэмпден" (1942)</w:t>
            </w:r>
          </w:p>
        </w:tc>
        <w:tc>
          <w:tcPr>
            <w:tcW w:w="1245" w:type="dxa"/>
          </w:tcPr>
          <w:p w14:paraId="7AB888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21,01x16,28</w:t>
            </w:r>
          </w:p>
        </w:tc>
        <w:tc>
          <w:tcPr>
            <w:tcW w:w="1245" w:type="dxa"/>
          </w:tcPr>
          <w:p w14:paraId="1455F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2x1015</w:t>
            </w:r>
          </w:p>
        </w:tc>
        <w:tc>
          <w:tcPr>
            <w:tcW w:w="1245" w:type="dxa"/>
          </w:tcPr>
          <w:p w14:paraId="40E98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10660</w:t>
            </w:r>
          </w:p>
        </w:tc>
        <w:tc>
          <w:tcPr>
            <w:tcW w:w="1245" w:type="dxa"/>
          </w:tcPr>
          <w:p w14:paraId="5A7B2E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406'</w:t>
            </w:r>
          </w:p>
        </w:tc>
        <w:tc>
          <w:tcPr>
            <w:tcW w:w="1245" w:type="dxa"/>
          </w:tcPr>
          <w:p w14:paraId="42A467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6920</w:t>
            </w:r>
          </w:p>
        </w:tc>
        <w:tc>
          <w:tcPr>
            <w:tcW w:w="1245" w:type="dxa"/>
          </w:tcPr>
          <w:p w14:paraId="38349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1920</w:t>
            </w:r>
          </w:p>
        </w:tc>
        <w:tc>
          <w:tcPr>
            <w:tcW w:w="1245" w:type="dxa"/>
          </w:tcPr>
          <w:p w14:paraId="550CE7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1x12,7 4x7,62</w:t>
            </w:r>
          </w:p>
        </w:tc>
        <w:tc>
          <w:tcPr>
            <w:tcW w:w="1245" w:type="dxa"/>
          </w:tcPr>
          <w:p w14:paraId="6B1FC9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1250 (1)</w:t>
            </w:r>
          </w:p>
        </w:tc>
      </w:tr>
      <w:tr w:rsidR="000F5689" w:rsidRPr="00925F26" w14:paraId="2C88A3F4" w14:textId="77777777">
        <w:tc>
          <w:tcPr>
            <w:tcW w:w="1245" w:type="dxa"/>
          </w:tcPr>
          <w:p w14:paraId="3F41A0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А-20В (1943)</w:t>
            </w:r>
          </w:p>
        </w:tc>
        <w:tc>
          <w:tcPr>
            <w:tcW w:w="1245" w:type="dxa"/>
          </w:tcPr>
          <w:p w14:paraId="53B010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18,69x14,4</w:t>
            </w:r>
          </w:p>
        </w:tc>
        <w:tc>
          <w:tcPr>
            <w:tcW w:w="1245" w:type="dxa"/>
          </w:tcPr>
          <w:p w14:paraId="247F8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2x1600</w:t>
            </w:r>
          </w:p>
        </w:tc>
        <w:tc>
          <w:tcPr>
            <w:tcW w:w="1245" w:type="dxa"/>
          </w:tcPr>
          <w:p w14:paraId="4A83A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9475*</w:t>
            </w:r>
          </w:p>
        </w:tc>
        <w:tc>
          <w:tcPr>
            <w:tcW w:w="1245" w:type="dxa"/>
          </w:tcPr>
          <w:p w14:paraId="37BE9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413*</w:t>
            </w:r>
          </w:p>
        </w:tc>
        <w:tc>
          <w:tcPr>
            <w:tcW w:w="1245" w:type="dxa"/>
          </w:tcPr>
          <w:p w14:paraId="267610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6800</w:t>
            </w:r>
          </w:p>
        </w:tc>
        <w:tc>
          <w:tcPr>
            <w:tcW w:w="1245" w:type="dxa"/>
          </w:tcPr>
          <w:p w14:paraId="1A6757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734**</w:t>
            </w:r>
          </w:p>
        </w:tc>
        <w:tc>
          <w:tcPr>
            <w:tcW w:w="1245" w:type="dxa"/>
          </w:tcPr>
          <w:p w14:paraId="0997CA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4x12,7</w:t>
            </w:r>
          </w:p>
        </w:tc>
        <w:tc>
          <w:tcPr>
            <w:tcW w:w="1245" w:type="dxa"/>
          </w:tcPr>
          <w:p w14:paraId="1F30C1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 (2)</w:t>
            </w:r>
          </w:p>
        </w:tc>
      </w:tr>
      <w:tr w:rsidR="000F5689" w:rsidRPr="00925F26" w14:paraId="29154FB4" w14:textId="77777777">
        <w:tc>
          <w:tcPr>
            <w:tcW w:w="1245" w:type="dxa"/>
          </w:tcPr>
          <w:p w14:paraId="11069B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A-20G*** (1944)</w:t>
            </w:r>
          </w:p>
        </w:tc>
        <w:tc>
          <w:tcPr>
            <w:tcW w:w="1245" w:type="dxa"/>
          </w:tcPr>
          <w:p w14:paraId="4587C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18,69x14,63</w:t>
            </w:r>
          </w:p>
        </w:tc>
        <w:tc>
          <w:tcPr>
            <w:tcW w:w="1245" w:type="dxa"/>
          </w:tcPr>
          <w:p w14:paraId="05050E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2x1600</w:t>
            </w:r>
          </w:p>
        </w:tc>
        <w:tc>
          <w:tcPr>
            <w:tcW w:w="1245" w:type="dxa"/>
          </w:tcPr>
          <w:p w14:paraId="2DFE6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10850</w:t>
            </w:r>
          </w:p>
        </w:tc>
        <w:tc>
          <w:tcPr>
            <w:tcW w:w="1245" w:type="dxa"/>
          </w:tcPr>
          <w:p w14:paraId="145353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506</w:t>
            </w:r>
          </w:p>
        </w:tc>
        <w:tc>
          <w:tcPr>
            <w:tcW w:w="1245" w:type="dxa"/>
          </w:tcPr>
          <w:p w14:paraId="5BBADF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7200</w:t>
            </w:r>
          </w:p>
        </w:tc>
        <w:tc>
          <w:tcPr>
            <w:tcW w:w="1245" w:type="dxa"/>
          </w:tcPr>
          <w:p w14:paraId="2B17B0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1740</w:t>
            </w:r>
          </w:p>
        </w:tc>
        <w:tc>
          <w:tcPr>
            <w:tcW w:w="1245" w:type="dxa"/>
          </w:tcPr>
          <w:p w14:paraId="46EA57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8x12,7 1x7,62</w:t>
            </w:r>
          </w:p>
        </w:tc>
        <w:tc>
          <w:tcPr>
            <w:tcW w:w="1245" w:type="dxa"/>
          </w:tcPr>
          <w:p w14:paraId="27314A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 (2)</w:t>
            </w:r>
          </w:p>
        </w:tc>
      </w:tr>
      <w:tr w:rsidR="000F5689" w:rsidRPr="00925F26" w14:paraId="59A05D8C" w14:textId="77777777">
        <w:tc>
          <w:tcPr>
            <w:tcW w:w="1245" w:type="dxa"/>
            <w:tcBorders>
              <w:bottom w:val="single" w:sz="12" w:space="0" w:color="auto"/>
            </w:tcBorders>
          </w:tcPr>
          <w:p w14:paraId="319F76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 (1945)</w:t>
            </w:r>
          </w:p>
        </w:tc>
        <w:tc>
          <w:tcPr>
            <w:tcW w:w="1245" w:type="dxa"/>
            <w:tcBorders>
              <w:bottom w:val="single" w:sz="12" w:space="0" w:color="auto"/>
            </w:tcBorders>
          </w:tcPr>
          <w:p w14:paraId="4D9D31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18,86x13,8</w:t>
            </w:r>
          </w:p>
        </w:tc>
        <w:tc>
          <w:tcPr>
            <w:tcW w:w="1245" w:type="dxa"/>
            <w:tcBorders>
              <w:bottom w:val="single" w:sz="12" w:space="0" w:color="auto"/>
            </w:tcBorders>
          </w:tcPr>
          <w:p w14:paraId="228A4A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2x1850</w:t>
            </w:r>
          </w:p>
        </w:tc>
        <w:tc>
          <w:tcPr>
            <w:tcW w:w="1245" w:type="dxa"/>
            <w:tcBorders>
              <w:bottom w:val="single" w:sz="12" w:space="0" w:color="auto"/>
            </w:tcBorders>
          </w:tcPr>
          <w:p w14:paraId="2E616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11423</w:t>
            </w:r>
          </w:p>
        </w:tc>
        <w:tc>
          <w:tcPr>
            <w:tcW w:w="1245" w:type="dxa"/>
            <w:tcBorders>
              <w:bottom w:val="single" w:sz="12" w:space="0" w:color="auto"/>
            </w:tcBorders>
          </w:tcPr>
          <w:p w14:paraId="6A0553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505* (493**)</w:t>
            </w:r>
          </w:p>
        </w:tc>
        <w:tc>
          <w:tcPr>
            <w:tcW w:w="1245" w:type="dxa"/>
            <w:tcBorders>
              <w:bottom w:val="single" w:sz="12" w:space="0" w:color="auto"/>
            </w:tcBorders>
          </w:tcPr>
          <w:p w14:paraId="696EB6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7750</w:t>
            </w:r>
          </w:p>
        </w:tc>
        <w:tc>
          <w:tcPr>
            <w:tcW w:w="1245" w:type="dxa"/>
            <w:tcBorders>
              <w:bottom w:val="single" w:sz="12" w:space="0" w:color="auto"/>
            </w:tcBorders>
          </w:tcPr>
          <w:p w14:paraId="576B74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 (1800**)</w:t>
            </w:r>
          </w:p>
        </w:tc>
        <w:tc>
          <w:tcPr>
            <w:tcW w:w="1245" w:type="dxa"/>
            <w:tcBorders>
              <w:bottom w:val="single" w:sz="12" w:space="0" w:color="auto"/>
            </w:tcBorders>
          </w:tcPr>
          <w:p w14:paraId="50553F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 3x12,7</w:t>
            </w:r>
          </w:p>
        </w:tc>
        <w:tc>
          <w:tcPr>
            <w:tcW w:w="1245" w:type="dxa"/>
            <w:tcBorders>
              <w:bottom w:val="single" w:sz="12" w:space="0" w:color="auto"/>
            </w:tcBorders>
          </w:tcPr>
          <w:p w14:paraId="71620D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 (2)</w:t>
            </w:r>
          </w:p>
        </w:tc>
      </w:tr>
    </w:tbl>
    <w:p w14:paraId="7831BA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Примечания: * С одной торпедой. " С двумя торпедами. *** Поздних серий с непереоборудованной кабиной (12002).</w:t>
      </w:r>
    </w:p>
    <w:p w14:paraId="26D6FB86" w14:textId="77777777" w:rsidR="00665165" w:rsidRPr="00925F26" w:rsidRDefault="00665165" w:rsidP="00925F26">
      <w:pPr>
        <w:autoSpaceDE w:val="0"/>
        <w:autoSpaceDN w:val="0"/>
        <w:adjustRightInd w:val="0"/>
        <w:jc w:val="both"/>
        <w:rPr>
          <w:iCs/>
          <w:color w:val="000000" w:themeColor="text1"/>
          <w:sz w:val="16"/>
          <w:szCs w:val="16"/>
        </w:rPr>
      </w:pPr>
    </w:p>
    <w:p w14:paraId="6C969BD8" w14:textId="77777777" w:rsidR="00F85807" w:rsidRPr="00925F26" w:rsidRDefault="00F85807" w:rsidP="00925F26">
      <w:pPr>
        <w:jc w:val="both"/>
        <w:rPr>
          <w:color w:val="000000" w:themeColor="text1"/>
          <w:sz w:val="16"/>
          <w:szCs w:val="16"/>
        </w:rPr>
      </w:pPr>
      <w:r w:rsidRPr="00925F26">
        <w:rPr>
          <w:color w:val="000000" w:themeColor="text1"/>
          <w:sz w:val="16"/>
          <w:szCs w:val="16"/>
        </w:rPr>
        <w:t>1 МАРТА 1945 г.</w:t>
      </w:r>
    </w:p>
    <w:p w14:paraId="68E599E3" w14:textId="77777777" w:rsidR="00F85807" w:rsidRPr="00925F26" w:rsidRDefault="00F85807" w:rsidP="00925F26">
      <w:pPr>
        <w:jc w:val="both"/>
        <w:rPr>
          <w:color w:val="000000" w:themeColor="text1"/>
          <w:sz w:val="16"/>
          <w:szCs w:val="16"/>
        </w:rPr>
      </w:pPr>
      <w:r w:rsidRPr="00925F26">
        <w:rPr>
          <w:color w:val="000000" w:themeColor="text1"/>
          <w:sz w:val="16"/>
          <w:szCs w:val="16"/>
        </w:rPr>
        <w:t>УКАЗАНИЯ КОМАНДУЮЩЕГО ВОЕННО-ВОЗДУШНЫМИ СИЛАМИ КРАСНОЙ АРМИИ № 076483с ОТ 1 МАРТА 1945 г. О ПОРЯДКЕ ИСПОЛЬЗОВАНИЯ ТРОФЕЙНОЙ АВИАЦИОННОЙ ТЕХНИКИ</w:t>
      </w:r>
    </w:p>
    <w:p w14:paraId="4B4D935F" w14:textId="77777777" w:rsidR="00F85807" w:rsidRPr="00925F26" w:rsidRDefault="00F85807" w:rsidP="00925F26">
      <w:pPr>
        <w:jc w:val="both"/>
        <w:rPr>
          <w:color w:val="000000" w:themeColor="text1"/>
          <w:sz w:val="16"/>
          <w:szCs w:val="16"/>
        </w:rPr>
      </w:pPr>
      <w:r w:rsidRPr="00925F26">
        <w:rPr>
          <w:color w:val="000000" w:themeColor="text1"/>
          <w:sz w:val="16"/>
          <w:szCs w:val="16"/>
        </w:rPr>
        <w:t>Секретно</w:t>
      </w:r>
    </w:p>
    <w:p w14:paraId="7A1B91A7" w14:textId="77777777" w:rsidR="00F85807" w:rsidRPr="00925F26" w:rsidRDefault="00F85807" w:rsidP="00925F26">
      <w:pPr>
        <w:jc w:val="both"/>
        <w:rPr>
          <w:color w:val="000000" w:themeColor="text1"/>
          <w:sz w:val="16"/>
          <w:szCs w:val="16"/>
        </w:rPr>
      </w:pPr>
      <w:r w:rsidRPr="00925F26">
        <w:rPr>
          <w:color w:val="000000" w:themeColor="text1"/>
          <w:sz w:val="16"/>
          <w:szCs w:val="16"/>
        </w:rPr>
        <w:t>Командующим воздушными армиями,</w:t>
      </w:r>
    </w:p>
    <w:p w14:paraId="0EAFB453" w14:textId="77777777" w:rsidR="00F85807" w:rsidRPr="00925F26" w:rsidRDefault="00F85807" w:rsidP="00925F26">
      <w:pPr>
        <w:jc w:val="both"/>
        <w:rPr>
          <w:color w:val="000000" w:themeColor="text1"/>
          <w:sz w:val="16"/>
          <w:szCs w:val="16"/>
        </w:rPr>
      </w:pPr>
      <w:r w:rsidRPr="00925F26">
        <w:rPr>
          <w:color w:val="000000" w:themeColor="text1"/>
          <w:sz w:val="16"/>
          <w:szCs w:val="16"/>
        </w:rPr>
        <w:t>начальникам главных управлений ВВС КА</w:t>
      </w:r>
    </w:p>
    <w:p w14:paraId="05A582FD" w14:textId="77777777" w:rsidR="00F85807" w:rsidRPr="00925F26" w:rsidRDefault="00F85807" w:rsidP="00925F26">
      <w:pPr>
        <w:jc w:val="both"/>
        <w:rPr>
          <w:color w:val="000000" w:themeColor="text1"/>
          <w:sz w:val="16"/>
          <w:szCs w:val="16"/>
        </w:rPr>
      </w:pPr>
      <w:r w:rsidRPr="00925F26">
        <w:rPr>
          <w:color w:val="000000" w:themeColor="text1"/>
          <w:sz w:val="16"/>
          <w:szCs w:val="16"/>
        </w:rPr>
        <w:t>Начальнику тыла ВВС Красной Армии</w:t>
      </w:r>
    </w:p>
    <w:p w14:paraId="399EC52E" w14:textId="77777777" w:rsidR="00F85807" w:rsidRPr="00925F26" w:rsidRDefault="00F85807" w:rsidP="00925F26">
      <w:pPr>
        <w:jc w:val="both"/>
        <w:rPr>
          <w:color w:val="000000" w:themeColor="text1"/>
          <w:sz w:val="16"/>
          <w:szCs w:val="16"/>
        </w:rPr>
      </w:pPr>
      <w:r w:rsidRPr="00925F26">
        <w:rPr>
          <w:color w:val="000000" w:themeColor="text1"/>
          <w:sz w:val="16"/>
          <w:szCs w:val="16"/>
        </w:rPr>
        <w:t>Только: по разнарядке.</w:t>
      </w:r>
    </w:p>
    <w:p w14:paraId="1AFF4211" w14:textId="77777777" w:rsidR="00F85807" w:rsidRPr="00925F26" w:rsidRDefault="00F85807" w:rsidP="00925F26">
      <w:pPr>
        <w:jc w:val="both"/>
        <w:rPr>
          <w:color w:val="000000" w:themeColor="text1"/>
          <w:sz w:val="16"/>
          <w:szCs w:val="16"/>
        </w:rPr>
      </w:pPr>
      <w:r w:rsidRPr="00925F26">
        <w:rPr>
          <w:color w:val="000000" w:themeColor="text1"/>
          <w:sz w:val="16"/>
          <w:szCs w:val="16"/>
        </w:rPr>
        <w:t>УКАЗАНИЯ О ПОРЯДКЕ ИСПОЛЬЗОВАНИЯ ТРОФЕЙНОЙ АВИАЦИОННОЙ ТЕХНИКИ И ТРОФЕЙНОГО ИМУЩЕСТВА</w:t>
      </w:r>
    </w:p>
    <w:p w14:paraId="4D963D2C" w14:textId="77777777" w:rsidR="00F85807" w:rsidRPr="00925F26" w:rsidRDefault="00F85807" w:rsidP="00925F26">
      <w:pPr>
        <w:jc w:val="both"/>
        <w:rPr>
          <w:color w:val="000000" w:themeColor="text1"/>
          <w:sz w:val="16"/>
          <w:szCs w:val="16"/>
        </w:rPr>
      </w:pPr>
      <w:r w:rsidRPr="00925F26">
        <w:rPr>
          <w:color w:val="000000" w:themeColor="text1"/>
          <w:sz w:val="16"/>
          <w:szCs w:val="16"/>
        </w:rPr>
        <w:t>1. Ответственность за выявление, организацию сбора, учет, охрану, эвакуацию и распределение трофейного имущества в системе ВВС КА несет начальник тыла ВВС КА, а в воздушных армиях — зам. командующих ВА по тылу.'</w:t>
      </w:r>
    </w:p>
    <w:p w14:paraId="17B5A744" w14:textId="77777777" w:rsidR="00F85807" w:rsidRPr="00925F26" w:rsidRDefault="00F85807" w:rsidP="00925F26">
      <w:pPr>
        <w:jc w:val="both"/>
        <w:rPr>
          <w:color w:val="000000" w:themeColor="text1"/>
          <w:sz w:val="16"/>
          <w:szCs w:val="16"/>
        </w:rPr>
      </w:pPr>
      <w:r w:rsidRPr="00925F26">
        <w:rPr>
          <w:color w:val="000000" w:themeColor="text1"/>
          <w:sz w:val="16"/>
          <w:szCs w:val="16"/>
        </w:rPr>
        <w:t>2. Командиры соединений и авиачастей, особенно начальники районов авиационного базирования и батальонов аэродромного обслуживания, обязаны принимать все необходимые меры к сохранению обнаруженного годного и ценного трофейного авиаимущества с немедленным донесением о нем по команде.</w:t>
      </w:r>
    </w:p>
    <w:p w14:paraId="2EDE8CDC" w14:textId="77777777" w:rsidR="00F85807" w:rsidRPr="00925F26" w:rsidRDefault="00F85807" w:rsidP="00925F26">
      <w:pPr>
        <w:jc w:val="both"/>
        <w:rPr>
          <w:color w:val="000000" w:themeColor="text1"/>
          <w:sz w:val="16"/>
          <w:szCs w:val="16"/>
        </w:rPr>
      </w:pPr>
      <w:r w:rsidRPr="00925F26">
        <w:rPr>
          <w:color w:val="000000" w:themeColor="text1"/>
          <w:sz w:val="16"/>
          <w:szCs w:val="16"/>
        </w:rPr>
        <w:t>3. Учет трофейного имущества, непосредственно собранного или полученного для использования во всех частях ВВС КА, производится наравне с учетом отечественного имущества, под рубрикой «трофейное».</w:t>
      </w:r>
    </w:p>
    <w:p w14:paraId="2ACE8D65" w14:textId="77777777" w:rsidR="00F85807" w:rsidRPr="00925F26" w:rsidRDefault="00F85807" w:rsidP="00925F26">
      <w:pPr>
        <w:jc w:val="both"/>
        <w:rPr>
          <w:color w:val="000000" w:themeColor="text1"/>
          <w:sz w:val="16"/>
          <w:szCs w:val="16"/>
        </w:rPr>
      </w:pPr>
      <w:r w:rsidRPr="00925F26">
        <w:rPr>
          <w:color w:val="000000" w:themeColor="text1"/>
          <w:sz w:val="16"/>
          <w:szCs w:val="16"/>
        </w:rPr>
        <w:t>4. Годное для использования трофейное имущество в первую очередь передается частям воздушных армий на пополнение табельной потребности.</w:t>
      </w:r>
    </w:p>
    <w:p w14:paraId="51131B61" w14:textId="77777777" w:rsidR="00F85807" w:rsidRPr="00925F26" w:rsidRDefault="00F85807" w:rsidP="00925F26">
      <w:pPr>
        <w:jc w:val="both"/>
        <w:rPr>
          <w:color w:val="000000" w:themeColor="text1"/>
          <w:sz w:val="16"/>
          <w:szCs w:val="16"/>
        </w:rPr>
      </w:pPr>
      <w:r w:rsidRPr="00925F26">
        <w:rPr>
          <w:color w:val="000000" w:themeColor="text1"/>
          <w:sz w:val="16"/>
          <w:szCs w:val="16"/>
        </w:rPr>
        <w:t>5. Определение годности трофейного авиаимущества на предмет его использования производится специалистами тыла ВА, а при необходимости для консультации используются специалисты главного инженера ВА или вызываются представители из центра.</w:t>
      </w:r>
    </w:p>
    <w:p w14:paraId="650E4136" w14:textId="77777777" w:rsidR="00F85807" w:rsidRPr="00925F26" w:rsidRDefault="00F85807" w:rsidP="00925F26">
      <w:pPr>
        <w:jc w:val="both"/>
        <w:rPr>
          <w:color w:val="000000" w:themeColor="text1"/>
          <w:sz w:val="16"/>
          <w:szCs w:val="16"/>
        </w:rPr>
      </w:pPr>
      <w:r w:rsidRPr="00925F26">
        <w:rPr>
          <w:color w:val="000000" w:themeColor="text1"/>
          <w:sz w:val="16"/>
          <w:szCs w:val="16"/>
        </w:rPr>
        <w:t>6. Все новые и исправные самолеты распределяются начальником тыла ВВС КА по заявкам заинтересованных организаций.</w:t>
      </w:r>
    </w:p>
    <w:p w14:paraId="6EE8A0D0" w14:textId="77777777" w:rsidR="00F85807" w:rsidRPr="00925F26" w:rsidRDefault="00F85807" w:rsidP="00925F26">
      <w:pPr>
        <w:jc w:val="both"/>
        <w:rPr>
          <w:color w:val="000000" w:themeColor="text1"/>
          <w:sz w:val="16"/>
          <w:szCs w:val="16"/>
        </w:rPr>
      </w:pPr>
      <w:r w:rsidRPr="00925F26">
        <w:rPr>
          <w:color w:val="000000" w:themeColor="text1"/>
          <w:sz w:val="16"/>
          <w:szCs w:val="16"/>
        </w:rPr>
        <w:t>7. Трофейные транспортные самолеты и моторы, а также запчасти к ним передаются на месте представителям ГВФ по нарядам начальника тыла ВВС КА. В случае отказа ГВФ от приемки транспортных самолетов, моторов и запчастей к ним, последние направляются в металлолом.</w:t>
      </w:r>
    </w:p>
    <w:p w14:paraId="6D6E307D" w14:textId="77777777" w:rsidR="00F85807" w:rsidRPr="00925F26" w:rsidRDefault="00F85807" w:rsidP="00925F26">
      <w:pPr>
        <w:jc w:val="both"/>
        <w:rPr>
          <w:color w:val="000000" w:themeColor="text1"/>
          <w:sz w:val="16"/>
          <w:szCs w:val="16"/>
        </w:rPr>
      </w:pPr>
      <w:r w:rsidRPr="00925F26">
        <w:rPr>
          <w:color w:val="000000" w:themeColor="text1"/>
          <w:sz w:val="16"/>
          <w:szCs w:val="16"/>
        </w:rPr>
        <w:t>8. Все новые и исправные моторы, годные запчасти и агрегаты к ним направляются на трофейные склады для их хранения, откуда они по нарядам начальника тыла ВВС КА распределяются по заинтересованным организациям.</w:t>
      </w:r>
    </w:p>
    <w:p w14:paraId="37471F06" w14:textId="77777777" w:rsidR="00F85807" w:rsidRPr="00925F26" w:rsidRDefault="00F85807" w:rsidP="00925F26">
      <w:pPr>
        <w:jc w:val="both"/>
        <w:rPr>
          <w:color w:val="000000" w:themeColor="text1"/>
          <w:sz w:val="16"/>
          <w:szCs w:val="16"/>
        </w:rPr>
      </w:pPr>
      <w:r w:rsidRPr="00925F26">
        <w:rPr>
          <w:color w:val="000000" w:themeColor="text1"/>
          <w:sz w:val="16"/>
          <w:szCs w:val="16"/>
        </w:rPr>
        <w:t>9. Вся трофейная неисправная [авиационная техника]: самолеты, моторы и запасные части к ни1й — передается на разделочные базы в металлолом таким же порядком, как это установлено для отечественных самолетов.</w:t>
      </w:r>
    </w:p>
    <w:p w14:paraId="3E7E0D82" w14:textId="77777777" w:rsidR="00F85807" w:rsidRPr="00925F26" w:rsidRDefault="00F85807" w:rsidP="00925F26">
      <w:pPr>
        <w:jc w:val="both"/>
        <w:rPr>
          <w:color w:val="000000" w:themeColor="text1"/>
          <w:sz w:val="16"/>
          <w:szCs w:val="16"/>
        </w:rPr>
      </w:pPr>
      <w:r w:rsidRPr="00925F26">
        <w:rPr>
          <w:color w:val="000000" w:themeColor="text1"/>
          <w:sz w:val="16"/>
          <w:szCs w:val="16"/>
        </w:rPr>
        <w:t>10. Трофейные авиабоеприпасы в первую очередь используются для боевого применения в ВА в соответствии с инструкциями главного инженера ВВС КА и указаниями по трофейным боеприпасам.</w:t>
      </w:r>
    </w:p>
    <w:p w14:paraId="04D91663" w14:textId="77777777" w:rsidR="00F85807" w:rsidRPr="00925F26" w:rsidRDefault="00F85807" w:rsidP="00925F26">
      <w:pPr>
        <w:jc w:val="both"/>
        <w:rPr>
          <w:color w:val="000000" w:themeColor="text1"/>
          <w:sz w:val="16"/>
          <w:szCs w:val="16"/>
        </w:rPr>
      </w:pPr>
      <w:r w:rsidRPr="00925F26">
        <w:rPr>
          <w:color w:val="000000" w:themeColor="text1"/>
          <w:sz w:val="16"/>
          <w:szCs w:val="16"/>
        </w:rPr>
        <w:t>11. Все исправные самолетные и моторные приборы, электро, радио, фото и другое ценное оборудование направлять в трофейные склады для хранения и использования в ВВС КА.</w:t>
      </w:r>
    </w:p>
    <w:p w14:paraId="173C857F" w14:textId="77777777" w:rsidR="00F85807" w:rsidRPr="00925F26" w:rsidRDefault="00F85807" w:rsidP="00925F26">
      <w:pPr>
        <w:jc w:val="both"/>
        <w:rPr>
          <w:color w:val="000000" w:themeColor="text1"/>
          <w:sz w:val="16"/>
          <w:szCs w:val="16"/>
        </w:rPr>
      </w:pPr>
      <w:r w:rsidRPr="00925F26">
        <w:rPr>
          <w:color w:val="000000" w:themeColor="text1"/>
          <w:sz w:val="16"/>
          <w:szCs w:val="16"/>
        </w:rPr>
        <w:t>12. Весь исправный инструмент и станочное оборудование используются для нужд ВА, а излишки направляются на трофейные склады для использования в реморганах ВВС КА.</w:t>
      </w:r>
    </w:p>
    <w:p w14:paraId="07DA0F17" w14:textId="77777777" w:rsidR="00F85807" w:rsidRPr="00925F26" w:rsidRDefault="00F85807" w:rsidP="00925F26">
      <w:pPr>
        <w:jc w:val="both"/>
        <w:rPr>
          <w:color w:val="000000" w:themeColor="text1"/>
          <w:sz w:val="16"/>
          <w:szCs w:val="16"/>
        </w:rPr>
      </w:pPr>
      <w:r w:rsidRPr="00925F26">
        <w:rPr>
          <w:color w:val="000000" w:themeColor="text1"/>
          <w:sz w:val="16"/>
          <w:szCs w:val="16"/>
        </w:rPr>
        <w:t>13. Все исправное имущество связи, средств ЗОС, реактивной техники, радиолокации и радионавигации подлежит особо внимательному учету, хранению и сбережению. Возможность его использования определяется специальными комиссиями из заинтересованных организаций.</w:t>
      </w:r>
    </w:p>
    <w:p w14:paraId="53819070" w14:textId="77777777" w:rsidR="00F85807" w:rsidRPr="00925F26" w:rsidRDefault="00F85807" w:rsidP="00925F26">
      <w:pPr>
        <w:jc w:val="both"/>
        <w:rPr>
          <w:color w:val="000000" w:themeColor="text1"/>
          <w:sz w:val="16"/>
          <w:szCs w:val="16"/>
        </w:rPr>
      </w:pPr>
      <w:r w:rsidRPr="00925F26">
        <w:rPr>
          <w:color w:val="000000" w:themeColor="text1"/>
          <w:sz w:val="16"/>
          <w:szCs w:val="16"/>
        </w:rPr>
        <w:t>14. Аэродромная техника используется в первую очередь для нужд ВА, излишествующая техника, как исправная, так и требующая незначительного ремонта, направляется начальником тыла ВВС КА в тыловые округа.</w:t>
      </w:r>
    </w:p>
    <w:p w14:paraId="2C8F0389" w14:textId="77777777" w:rsidR="00F85807" w:rsidRPr="00925F26" w:rsidRDefault="00F85807" w:rsidP="00925F26">
      <w:pPr>
        <w:jc w:val="both"/>
        <w:rPr>
          <w:color w:val="000000" w:themeColor="text1"/>
          <w:sz w:val="16"/>
          <w:szCs w:val="16"/>
        </w:rPr>
      </w:pPr>
      <w:r w:rsidRPr="00925F26">
        <w:rPr>
          <w:color w:val="000000" w:themeColor="text1"/>
          <w:sz w:val="16"/>
          <w:szCs w:val="16"/>
        </w:rPr>
        <w:t>15. Все авиационные материалы обращаются на удовлетворение потребностей ВА, излишествующие направляются на центральные склады ВВС КА. Передачу авиационных материалов другим наркоматам и организациям производить только с разрешения начальника тыла ВВС КА.</w:t>
      </w:r>
    </w:p>
    <w:p w14:paraId="0587795D" w14:textId="77777777" w:rsidR="00F85807" w:rsidRPr="00925F26" w:rsidRDefault="00F85807" w:rsidP="00925F26">
      <w:pPr>
        <w:jc w:val="both"/>
        <w:rPr>
          <w:color w:val="000000" w:themeColor="text1"/>
          <w:sz w:val="16"/>
          <w:szCs w:val="16"/>
        </w:rPr>
      </w:pPr>
      <w:r w:rsidRPr="00925F26">
        <w:rPr>
          <w:color w:val="000000" w:themeColor="text1"/>
          <w:sz w:val="16"/>
          <w:szCs w:val="16"/>
        </w:rPr>
        <w:t>16. Горюче-смазочные материалы используются на потребности воздушных армий, в соответствии с инструкциями главного инженера</w:t>
      </w:r>
    </w:p>
    <w:p w14:paraId="3947890D" w14:textId="77777777" w:rsidR="00F85807" w:rsidRPr="00925F26" w:rsidRDefault="00F85807" w:rsidP="00925F26">
      <w:pPr>
        <w:jc w:val="both"/>
        <w:rPr>
          <w:color w:val="000000" w:themeColor="text1"/>
          <w:sz w:val="16"/>
          <w:szCs w:val="16"/>
        </w:rPr>
      </w:pPr>
      <w:r w:rsidRPr="00925F26">
        <w:rPr>
          <w:color w:val="000000" w:themeColor="text1"/>
          <w:sz w:val="16"/>
          <w:szCs w:val="16"/>
        </w:rPr>
        <w:t>ВВС КА.</w:t>
      </w:r>
    </w:p>
    <w:p w14:paraId="08618E45" w14:textId="77777777" w:rsidR="00F85807" w:rsidRPr="00925F26" w:rsidRDefault="00F85807" w:rsidP="00925F26">
      <w:pPr>
        <w:jc w:val="both"/>
        <w:rPr>
          <w:color w:val="000000" w:themeColor="text1"/>
          <w:sz w:val="16"/>
          <w:szCs w:val="16"/>
        </w:rPr>
      </w:pPr>
      <w:r w:rsidRPr="00925F26">
        <w:rPr>
          <w:color w:val="000000" w:themeColor="text1"/>
          <w:sz w:val="16"/>
          <w:szCs w:val="16"/>
        </w:rPr>
        <w:t>17. Специальное парашютно-десантное имущество и спецобмундирование направлять на центральные склады.</w:t>
      </w:r>
    </w:p>
    <w:p w14:paraId="219B98AD" w14:textId="77777777" w:rsidR="00F85807" w:rsidRPr="00925F26" w:rsidRDefault="00F85807" w:rsidP="00925F26">
      <w:pPr>
        <w:jc w:val="both"/>
        <w:rPr>
          <w:color w:val="000000" w:themeColor="text1"/>
          <w:sz w:val="16"/>
          <w:szCs w:val="16"/>
        </w:rPr>
      </w:pPr>
      <w:r w:rsidRPr="00925F26">
        <w:rPr>
          <w:color w:val="000000" w:themeColor="text1"/>
          <w:sz w:val="16"/>
          <w:szCs w:val="16"/>
        </w:rPr>
        <w:t>18. Спецавтотранспорт, специальные силовые, компрессорные и кислородно-добывающие установки использовать для нужд воздушных армий, а излишествующие направлять на центральные склады ВВС КА для дальнейшего их использования.</w:t>
      </w:r>
    </w:p>
    <w:p w14:paraId="693CF3BF" w14:textId="77777777" w:rsidR="00F85807" w:rsidRPr="00925F26" w:rsidRDefault="00F85807" w:rsidP="00925F26">
      <w:pPr>
        <w:jc w:val="both"/>
        <w:rPr>
          <w:color w:val="000000" w:themeColor="text1"/>
          <w:sz w:val="16"/>
          <w:szCs w:val="16"/>
        </w:rPr>
      </w:pPr>
      <w:r w:rsidRPr="00925F26">
        <w:rPr>
          <w:color w:val="000000" w:themeColor="text1"/>
          <w:sz w:val="16"/>
          <w:szCs w:val="16"/>
        </w:rPr>
        <w:t>19. Ремонтные органы (подвижные и стационарные) использовать для нужд воздушных армий, все излишнее оборудование направлять на центральные склады ВВС КА.</w:t>
      </w:r>
    </w:p>
    <w:p w14:paraId="625FCA7D" w14:textId="77777777" w:rsidR="00F85807" w:rsidRPr="00925F26" w:rsidRDefault="00F85807" w:rsidP="00925F26">
      <w:pPr>
        <w:jc w:val="both"/>
        <w:rPr>
          <w:color w:val="000000" w:themeColor="text1"/>
          <w:sz w:val="16"/>
          <w:szCs w:val="16"/>
        </w:rPr>
      </w:pPr>
      <w:r w:rsidRPr="00925F26">
        <w:rPr>
          <w:color w:val="000000" w:themeColor="text1"/>
          <w:sz w:val="16"/>
          <w:szCs w:val="16"/>
        </w:rPr>
        <w:t>20. Строительные материалы использовать для нужд ВА, все излишки направлять на трофейные склады для использования по нарядам</w:t>
      </w:r>
    </w:p>
    <w:p w14:paraId="0FE81107" w14:textId="77777777" w:rsidR="00F85807" w:rsidRPr="00925F26" w:rsidRDefault="00F85807" w:rsidP="00925F26">
      <w:pPr>
        <w:jc w:val="both"/>
        <w:rPr>
          <w:color w:val="000000" w:themeColor="text1"/>
          <w:sz w:val="16"/>
          <w:szCs w:val="16"/>
        </w:rPr>
      </w:pPr>
      <w:r w:rsidRPr="00925F26">
        <w:rPr>
          <w:color w:val="000000" w:themeColor="text1"/>
          <w:sz w:val="16"/>
          <w:szCs w:val="16"/>
        </w:rPr>
        <w:t>начальника тыла ВВС КА.</w:t>
      </w:r>
    </w:p>
    <w:p w14:paraId="54E1F76F" w14:textId="77777777" w:rsidR="00F85807" w:rsidRPr="00925F26" w:rsidRDefault="00F85807" w:rsidP="00925F26">
      <w:pPr>
        <w:jc w:val="both"/>
        <w:rPr>
          <w:color w:val="000000" w:themeColor="text1"/>
          <w:sz w:val="16"/>
          <w:szCs w:val="16"/>
        </w:rPr>
      </w:pPr>
      <w:r w:rsidRPr="00925F26">
        <w:rPr>
          <w:color w:val="000000" w:themeColor="text1"/>
          <w:sz w:val="16"/>
          <w:szCs w:val="16"/>
        </w:rPr>
        <w:t>21. Начальнику тыла ВВС КА выделить от передовых авиационных баз филиалы на территории обслуживаемых воздушных армий в составе 20 человек и 4 автомашин на каждый филиал.</w:t>
      </w:r>
    </w:p>
    <w:p w14:paraId="7BDE3882" w14:textId="77777777" w:rsidR="00F85807" w:rsidRPr="00925F26" w:rsidRDefault="00F85807" w:rsidP="00925F26">
      <w:pPr>
        <w:jc w:val="both"/>
        <w:rPr>
          <w:color w:val="000000" w:themeColor="text1"/>
          <w:sz w:val="16"/>
          <w:szCs w:val="16"/>
        </w:rPr>
      </w:pPr>
      <w:r w:rsidRPr="00925F26">
        <w:rPr>
          <w:color w:val="000000" w:themeColor="text1"/>
          <w:sz w:val="16"/>
          <w:szCs w:val="16"/>
        </w:rPr>
        <w:t>22. Командующим ВА для хранения трофейного имущества организовать филиалы при фронтовых (армейских) складах авиаимущества.</w:t>
      </w:r>
    </w:p>
    <w:p w14:paraId="172AD59B" w14:textId="77777777" w:rsidR="00F85807" w:rsidRPr="00925F26" w:rsidRDefault="00F85807" w:rsidP="00925F26">
      <w:pPr>
        <w:jc w:val="both"/>
        <w:rPr>
          <w:color w:val="000000" w:themeColor="text1"/>
          <w:sz w:val="16"/>
          <w:szCs w:val="16"/>
        </w:rPr>
      </w:pPr>
      <w:r w:rsidRPr="00925F26">
        <w:rPr>
          <w:color w:val="000000" w:themeColor="text1"/>
          <w:sz w:val="16"/>
          <w:szCs w:val="16"/>
        </w:rPr>
        <w:t>Для непосредственного выполнения работ по приему, сортировке, учету, хранению и отгрузке трофейного имущества выделить: 10 человек личного состава из фронтового (армейского) склада, 5 автомашин и по 5 человек от каждой отэр.</w:t>
      </w:r>
    </w:p>
    <w:p w14:paraId="615150E1" w14:textId="77777777" w:rsidR="00F85807" w:rsidRPr="00925F26" w:rsidRDefault="00F85807" w:rsidP="00925F26">
      <w:pPr>
        <w:jc w:val="both"/>
        <w:rPr>
          <w:color w:val="000000" w:themeColor="text1"/>
          <w:sz w:val="16"/>
          <w:szCs w:val="16"/>
        </w:rPr>
      </w:pPr>
      <w:r w:rsidRPr="00925F26">
        <w:rPr>
          <w:color w:val="000000" w:themeColor="text1"/>
          <w:sz w:val="16"/>
          <w:szCs w:val="16"/>
        </w:rPr>
        <w:t xml:space="preserve">23. Трофейные органы воздушных армий обязаны особое внимание уделять выявлению новой техники противника, наличию научно-исследовательских организаций и опытных станций, а также авиационных заводов. </w:t>
      </w:r>
    </w:p>
    <w:p w14:paraId="0798C313" w14:textId="77777777" w:rsidR="00F85807" w:rsidRPr="00925F26" w:rsidRDefault="00F85807" w:rsidP="00925F26">
      <w:pPr>
        <w:jc w:val="both"/>
        <w:rPr>
          <w:color w:val="000000" w:themeColor="text1"/>
          <w:sz w:val="16"/>
          <w:szCs w:val="16"/>
        </w:rPr>
      </w:pPr>
      <w:r w:rsidRPr="00925F26">
        <w:rPr>
          <w:color w:val="000000" w:themeColor="text1"/>
          <w:sz w:val="16"/>
          <w:szCs w:val="16"/>
        </w:rPr>
        <w:t>По выявлении существования указанных организаций или новинок авиатехники воздушные армии доносят немедленно начальнику тыла</w:t>
      </w:r>
    </w:p>
    <w:p w14:paraId="0A8062A2" w14:textId="77777777" w:rsidR="00F85807" w:rsidRPr="00925F26" w:rsidRDefault="00F85807" w:rsidP="00925F26">
      <w:pPr>
        <w:jc w:val="both"/>
        <w:rPr>
          <w:color w:val="000000" w:themeColor="text1"/>
          <w:sz w:val="16"/>
          <w:szCs w:val="16"/>
        </w:rPr>
      </w:pPr>
      <w:r w:rsidRPr="00925F26">
        <w:rPr>
          <w:color w:val="000000" w:themeColor="text1"/>
          <w:sz w:val="16"/>
          <w:szCs w:val="16"/>
        </w:rPr>
        <w:t>и главному инженеру ВВС КА.</w:t>
      </w:r>
    </w:p>
    <w:p w14:paraId="7A549333" w14:textId="77777777" w:rsidR="00F85807" w:rsidRPr="00925F26" w:rsidRDefault="00F85807" w:rsidP="00925F26">
      <w:pPr>
        <w:jc w:val="both"/>
        <w:rPr>
          <w:color w:val="000000" w:themeColor="text1"/>
          <w:sz w:val="16"/>
          <w:szCs w:val="16"/>
        </w:rPr>
      </w:pPr>
      <w:r w:rsidRPr="00925F26">
        <w:rPr>
          <w:color w:val="000000" w:themeColor="text1"/>
          <w:sz w:val="16"/>
          <w:szCs w:val="16"/>
        </w:rPr>
        <w:t>Врид. командующего ВВС Красной Армии Маршал авиации ФАЛАЛЕЕВ</w:t>
      </w:r>
    </w:p>
    <w:p w14:paraId="19A00E21" w14:textId="77777777" w:rsidR="00F85807" w:rsidRPr="00925F26" w:rsidRDefault="00F85807" w:rsidP="00925F26">
      <w:pPr>
        <w:jc w:val="both"/>
        <w:rPr>
          <w:color w:val="000000" w:themeColor="text1"/>
          <w:sz w:val="16"/>
          <w:szCs w:val="16"/>
        </w:rPr>
      </w:pPr>
      <w:r w:rsidRPr="00925F26">
        <w:rPr>
          <w:color w:val="000000" w:themeColor="text1"/>
          <w:sz w:val="16"/>
          <w:szCs w:val="16"/>
        </w:rPr>
        <w:t>Член Военного совета генерал-полковник авиации ШИМАНОВ</w:t>
      </w:r>
    </w:p>
    <w:p w14:paraId="2C4AD28B" w14:textId="77777777" w:rsidR="00F85807" w:rsidRPr="00925F26" w:rsidRDefault="00F85807" w:rsidP="00925F26">
      <w:pPr>
        <w:jc w:val="both"/>
        <w:rPr>
          <w:color w:val="000000" w:themeColor="text1"/>
          <w:sz w:val="16"/>
          <w:szCs w:val="16"/>
        </w:rPr>
      </w:pPr>
      <w:r w:rsidRPr="00925F26">
        <w:rPr>
          <w:color w:val="000000" w:themeColor="text1"/>
          <w:sz w:val="16"/>
          <w:szCs w:val="16"/>
        </w:rPr>
        <w:lastRenderedPageBreak/>
        <w:t>Начальник штаба ВВС Красной Армии Маршал авиации ХУДЯКОВ</w:t>
      </w:r>
    </w:p>
    <w:p w14:paraId="4D7BEE12" w14:textId="77777777" w:rsidR="00F85807" w:rsidRPr="00925F26" w:rsidRDefault="00F85807" w:rsidP="00925F26">
      <w:pPr>
        <w:jc w:val="both"/>
        <w:rPr>
          <w:color w:val="000000" w:themeColor="text1"/>
          <w:sz w:val="16"/>
          <w:szCs w:val="16"/>
        </w:rPr>
      </w:pPr>
      <w:r w:rsidRPr="00925F26">
        <w:rPr>
          <w:color w:val="000000" w:themeColor="text1"/>
          <w:sz w:val="16"/>
          <w:szCs w:val="16"/>
        </w:rPr>
        <w:t>№ 676483с</w:t>
      </w:r>
    </w:p>
    <w:p w14:paraId="2668FEA2" w14:textId="77777777" w:rsidR="00F85807" w:rsidRPr="00925F26" w:rsidRDefault="00F85807" w:rsidP="00925F26">
      <w:pPr>
        <w:jc w:val="both"/>
        <w:rPr>
          <w:color w:val="000000" w:themeColor="text1"/>
          <w:sz w:val="16"/>
          <w:szCs w:val="16"/>
        </w:rPr>
      </w:pPr>
      <w:r w:rsidRPr="00925F26">
        <w:rPr>
          <w:color w:val="000000" w:themeColor="text1"/>
          <w:sz w:val="16"/>
          <w:szCs w:val="16"/>
        </w:rPr>
        <w:t>1 марта 1945 г.</w:t>
      </w:r>
    </w:p>
    <w:p w14:paraId="24FD5B61" w14:textId="77777777" w:rsidR="00F85807" w:rsidRPr="00925F26" w:rsidRDefault="00F85807" w:rsidP="00925F26">
      <w:pPr>
        <w:jc w:val="both"/>
        <w:rPr>
          <w:color w:val="000000" w:themeColor="text1"/>
          <w:sz w:val="16"/>
          <w:szCs w:val="16"/>
        </w:rPr>
      </w:pPr>
      <w:r w:rsidRPr="00925F26">
        <w:rPr>
          <w:color w:val="000000" w:themeColor="text1"/>
          <w:sz w:val="16"/>
          <w:szCs w:val="16"/>
        </w:rPr>
        <w:t>Ф. 35, оп. 21582сс, д. 2, лл. 1—3. Подлинник (20601).</w:t>
      </w:r>
    </w:p>
    <w:p w14:paraId="26A75981" w14:textId="77777777" w:rsidR="00F85807" w:rsidRPr="00925F26" w:rsidRDefault="00F85807" w:rsidP="00925F26">
      <w:pPr>
        <w:jc w:val="both"/>
        <w:rPr>
          <w:color w:val="000000" w:themeColor="text1"/>
          <w:sz w:val="16"/>
          <w:szCs w:val="16"/>
        </w:rPr>
      </w:pPr>
    </w:p>
    <w:p w14:paraId="399CDF92" w14:textId="77777777" w:rsidR="0054083F" w:rsidRPr="00925F26" w:rsidRDefault="0054083F" w:rsidP="00925F26">
      <w:pPr>
        <w:jc w:val="both"/>
        <w:rPr>
          <w:color w:val="000000" w:themeColor="text1"/>
          <w:sz w:val="16"/>
          <w:szCs w:val="16"/>
        </w:rPr>
      </w:pPr>
      <w:r w:rsidRPr="00925F26">
        <w:rPr>
          <w:color w:val="000000" w:themeColor="text1"/>
          <w:sz w:val="16"/>
          <w:szCs w:val="16"/>
        </w:rPr>
        <w:t>1 МАРТА 1945 г. УКАЗАНИЯ КОМАНДУЮЩЕГО ВОЕННО-ВОЗДУШНЫМИ СИЛАМИ КРАСНОЙ АРМИИ № 076483с О ПОРЯДКЕ ИСПОЛЬЗОВАНИЯ ТРОФЕЙНОЙ АВИАЦИОННОЙ ТЕХНИКИ</w:t>
      </w:r>
    </w:p>
    <w:p w14:paraId="5239A800" w14:textId="77777777" w:rsidR="0054083F" w:rsidRPr="00925F26" w:rsidRDefault="0054083F" w:rsidP="00925F26">
      <w:pPr>
        <w:jc w:val="both"/>
        <w:rPr>
          <w:color w:val="000000" w:themeColor="text1"/>
          <w:sz w:val="16"/>
          <w:szCs w:val="16"/>
        </w:rPr>
      </w:pPr>
      <w:r w:rsidRPr="00925F26">
        <w:rPr>
          <w:color w:val="000000" w:themeColor="text1"/>
          <w:sz w:val="16"/>
          <w:szCs w:val="16"/>
        </w:rPr>
        <w:t>Секретно</w:t>
      </w:r>
    </w:p>
    <w:p w14:paraId="08EED82D" w14:textId="77777777" w:rsidR="0054083F" w:rsidRPr="00925F26" w:rsidRDefault="0054083F" w:rsidP="00925F26">
      <w:pPr>
        <w:jc w:val="both"/>
        <w:rPr>
          <w:color w:val="000000" w:themeColor="text1"/>
          <w:sz w:val="16"/>
          <w:szCs w:val="16"/>
        </w:rPr>
      </w:pPr>
      <w:r w:rsidRPr="00925F26">
        <w:rPr>
          <w:color w:val="000000" w:themeColor="text1"/>
          <w:sz w:val="16"/>
          <w:szCs w:val="16"/>
        </w:rPr>
        <w:t xml:space="preserve">Командующим воздушными армиями, начальникам главных управлений ВВС КА Начальнику тыла ВВС Красной Армии </w:t>
      </w:r>
    </w:p>
    <w:p w14:paraId="4DE7F776" w14:textId="77777777" w:rsidR="0054083F" w:rsidRPr="00925F26" w:rsidRDefault="0054083F" w:rsidP="00925F26">
      <w:pPr>
        <w:jc w:val="both"/>
        <w:rPr>
          <w:color w:val="000000" w:themeColor="text1"/>
          <w:sz w:val="16"/>
          <w:szCs w:val="16"/>
        </w:rPr>
      </w:pPr>
      <w:r w:rsidRPr="00925F26">
        <w:rPr>
          <w:color w:val="000000" w:themeColor="text1"/>
          <w:sz w:val="16"/>
          <w:szCs w:val="16"/>
        </w:rPr>
        <w:t>Только: по разнарядке.</w:t>
      </w:r>
    </w:p>
    <w:p w14:paraId="570D3DC9" w14:textId="77777777" w:rsidR="0054083F" w:rsidRPr="00925F26" w:rsidRDefault="0054083F" w:rsidP="00925F26">
      <w:pPr>
        <w:jc w:val="both"/>
        <w:rPr>
          <w:color w:val="000000" w:themeColor="text1"/>
          <w:sz w:val="16"/>
          <w:szCs w:val="16"/>
        </w:rPr>
      </w:pPr>
      <w:r w:rsidRPr="00925F26">
        <w:rPr>
          <w:color w:val="000000" w:themeColor="text1"/>
          <w:sz w:val="16"/>
          <w:szCs w:val="16"/>
        </w:rPr>
        <w:t>УКАЗАНИЯ О ПОРЯДКЕ ИСПОЛЬЗОВАНИЯ ТРОФЕЙНОЙ АВИАЦИОННОЙ ТЕХНИКИ И ТРОФЕЙНОГО ИМУЩЕСТВА</w:t>
      </w:r>
    </w:p>
    <w:p w14:paraId="320832A5" w14:textId="77777777" w:rsidR="0054083F" w:rsidRPr="00925F26" w:rsidRDefault="0054083F" w:rsidP="00925F26">
      <w:pPr>
        <w:jc w:val="both"/>
        <w:rPr>
          <w:color w:val="000000" w:themeColor="text1"/>
          <w:sz w:val="16"/>
          <w:szCs w:val="16"/>
        </w:rPr>
      </w:pPr>
      <w:r w:rsidRPr="00925F26">
        <w:rPr>
          <w:color w:val="000000" w:themeColor="text1"/>
          <w:sz w:val="16"/>
          <w:szCs w:val="16"/>
        </w:rPr>
        <w:t>1. Ответственность за выявление, организацию сбора, учет, охрану, эвакуацию и распределение трофейного имущества в системе ВВС КА несет начальник тыла ВВС КА, а в воздушных армиях — зам. командующих ВА по тылу.</w:t>
      </w:r>
    </w:p>
    <w:p w14:paraId="7F8BA99F" w14:textId="77777777" w:rsidR="0054083F" w:rsidRPr="00925F26" w:rsidRDefault="0054083F" w:rsidP="00925F26">
      <w:pPr>
        <w:jc w:val="both"/>
        <w:rPr>
          <w:color w:val="000000" w:themeColor="text1"/>
          <w:sz w:val="16"/>
          <w:szCs w:val="16"/>
        </w:rPr>
      </w:pPr>
      <w:r w:rsidRPr="00925F26">
        <w:rPr>
          <w:color w:val="000000" w:themeColor="text1"/>
          <w:sz w:val="16"/>
          <w:szCs w:val="16"/>
        </w:rPr>
        <w:t>2. Командиры соединений и авиачастей, особенно начальники районов авиационного базирования и батальонов аэродромного обслуживания, обязаны принимать все необходимые меры к сохранению обнаруженного годного и ценного трофейного авиаимущества с немедленным донесением о нем по команде.</w:t>
      </w:r>
    </w:p>
    <w:p w14:paraId="2BF7361E" w14:textId="77777777" w:rsidR="0054083F" w:rsidRPr="00925F26" w:rsidRDefault="0054083F" w:rsidP="00925F26">
      <w:pPr>
        <w:jc w:val="both"/>
        <w:rPr>
          <w:color w:val="000000" w:themeColor="text1"/>
          <w:sz w:val="16"/>
          <w:szCs w:val="16"/>
        </w:rPr>
      </w:pPr>
      <w:r w:rsidRPr="00925F26">
        <w:rPr>
          <w:color w:val="000000" w:themeColor="text1"/>
          <w:sz w:val="16"/>
          <w:szCs w:val="16"/>
        </w:rPr>
        <w:t>3. Учет трофейного имущества, непосредственно собранного или полученного для использования во всех частях ВВС КА, производится наравне с учетом отечественного имущества, под рубрикой «трофейное».</w:t>
      </w:r>
    </w:p>
    <w:p w14:paraId="45E3F264" w14:textId="77777777" w:rsidR="0054083F" w:rsidRPr="00925F26" w:rsidRDefault="0054083F" w:rsidP="00925F26">
      <w:pPr>
        <w:jc w:val="both"/>
        <w:rPr>
          <w:color w:val="000000" w:themeColor="text1"/>
          <w:sz w:val="16"/>
          <w:szCs w:val="16"/>
        </w:rPr>
      </w:pPr>
      <w:r w:rsidRPr="00925F26">
        <w:rPr>
          <w:color w:val="000000" w:themeColor="text1"/>
          <w:sz w:val="16"/>
          <w:szCs w:val="16"/>
        </w:rPr>
        <w:t>4. Годное для использования трофейное имущество в первую очередь передается частям воздушных армий на пополнение табельной потребности.</w:t>
      </w:r>
    </w:p>
    <w:p w14:paraId="54D6C9D5" w14:textId="77777777" w:rsidR="0054083F" w:rsidRPr="00925F26" w:rsidRDefault="0054083F" w:rsidP="00925F26">
      <w:pPr>
        <w:jc w:val="both"/>
        <w:rPr>
          <w:color w:val="000000" w:themeColor="text1"/>
          <w:sz w:val="16"/>
          <w:szCs w:val="16"/>
        </w:rPr>
      </w:pPr>
      <w:r w:rsidRPr="00925F26">
        <w:rPr>
          <w:color w:val="000000" w:themeColor="text1"/>
          <w:sz w:val="16"/>
          <w:szCs w:val="16"/>
        </w:rPr>
        <w:t>5. Определение годности трофейного авиаимущества на предмет его использования производится специалистами тыла ВА, а при необходимости для консультации используются специалисты главного инженера ВА или вызываются представители из центра.</w:t>
      </w:r>
    </w:p>
    <w:p w14:paraId="4F09D29C" w14:textId="77777777" w:rsidR="0054083F" w:rsidRPr="00925F26" w:rsidRDefault="0054083F" w:rsidP="00925F26">
      <w:pPr>
        <w:jc w:val="both"/>
        <w:rPr>
          <w:color w:val="000000" w:themeColor="text1"/>
          <w:sz w:val="16"/>
          <w:szCs w:val="16"/>
        </w:rPr>
      </w:pPr>
      <w:r w:rsidRPr="00925F26">
        <w:rPr>
          <w:color w:val="000000" w:themeColor="text1"/>
          <w:sz w:val="16"/>
          <w:szCs w:val="16"/>
        </w:rPr>
        <w:t>6. Все новые и исправные самолеты распределяются начальником тыла ВВС КА по заявкам заинтересованных организаций.</w:t>
      </w:r>
    </w:p>
    <w:p w14:paraId="46E18988" w14:textId="77777777" w:rsidR="0054083F" w:rsidRPr="00925F26" w:rsidRDefault="0054083F" w:rsidP="00925F26">
      <w:pPr>
        <w:jc w:val="both"/>
        <w:rPr>
          <w:color w:val="000000" w:themeColor="text1"/>
          <w:sz w:val="16"/>
          <w:szCs w:val="16"/>
        </w:rPr>
      </w:pPr>
      <w:r w:rsidRPr="00925F26">
        <w:rPr>
          <w:color w:val="000000" w:themeColor="text1"/>
          <w:sz w:val="16"/>
          <w:szCs w:val="16"/>
        </w:rPr>
        <w:t>7. Трофейные транспортные самолеты и моторы, а также запчасти к ним передаются на месте представителям ГВФ по нарядам начальника тыла ВВС КА. В случае отказа ГВФ от приемки транспортных самолетов, моторов и запчастей к ним, последние направляются в металлолом.</w:t>
      </w:r>
    </w:p>
    <w:p w14:paraId="5565FE99" w14:textId="77777777" w:rsidR="0054083F" w:rsidRPr="00925F26" w:rsidRDefault="0054083F" w:rsidP="00925F26">
      <w:pPr>
        <w:jc w:val="both"/>
        <w:rPr>
          <w:color w:val="000000" w:themeColor="text1"/>
          <w:sz w:val="16"/>
          <w:szCs w:val="16"/>
        </w:rPr>
      </w:pPr>
      <w:r w:rsidRPr="00925F26">
        <w:rPr>
          <w:color w:val="000000" w:themeColor="text1"/>
          <w:sz w:val="16"/>
          <w:szCs w:val="16"/>
        </w:rPr>
        <w:t>8. Все новые и исправные моторы, годные запчасти и агрегаты к ним направляются на трофейные склады для их хранения, откуда они по нарядам начальника тыла ВВС КА распределяются по заинтересованным организациям.</w:t>
      </w:r>
    </w:p>
    <w:p w14:paraId="44E50567" w14:textId="77777777" w:rsidR="0054083F" w:rsidRPr="00925F26" w:rsidRDefault="0054083F" w:rsidP="00925F26">
      <w:pPr>
        <w:jc w:val="both"/>
        <w:rPr>
          <w:color w:val="000000" w:themeColor="text1"/>
          <w:sz w:val="16"/>
          <w:szCs w:val="16"/>
        </w:rPr>
      </w:pPr>
      <w:r w:rsidRPr="00925F26">
        <w:rPr>
          <w:color w:val="000000" w:themeColor="text1"/>
          <w:sz w:val="16"/>
          <w:szCs w:val="16"/>
        </w:rPr>
        <w:t>9. Вся трофейная неисправная [авиационная техника]: самолеты, моторы и запасные части к ним — передается на разделочные базы в металлолом таким же порядком, как это установлено для отечественных самолетов.</w:t>
      </w:r>
    </w:p>
    <w:p w14:paraId="210D27BF" w14:textId="77777777" w:rsidR="0054083F" w:rsidRPr="00925F26" w:rsidRDefault="0054083F" w:rsidP="00925F26">
      <w:pPr>
        <w:jc w:val="both"/>
        <w:rPr>
          <w:color w:val="000000" w:themeColor="text1"/>
          <w:sz w:val="16"/>
          <w:szCs w:val="16"/>
        </w:rPr>
      </w:pPr>
      <w:r w:rsidRPr="00925F26">
        <w:rPr>
          <w:color w:val="000000" w:themeColor="text1"/>
          <w:sz w:val="16"/>
          <w:szCs w:val="16"/>
        </w:rPr>
        <w:t>10. Трофейные авиабоеприпасы в первую очередь используются для боевого применения в ВА в соответствии с инструкциями главного инженера ВВС КА и указаниями по трофейным боеприпасам.</w:t>
      </w:r>
    </w:p>
    <w:p w14:paraId="10BA905F" w14:textId="77777777" w:rsidR="0054083F" w:rsidRPr="00925F26" w:rsidRDefault="0054083F" w:rsidP="00925F26">
      <w:pPr>
        <w:jc w:val="both"/>
        <w:rPr>
          <w:color w:val="000000" w:themeColor="text1"/>
          <w:sz w:val="16"/>
          <w:szCs w:val="16"/>
        </w:rPr>
      </w:pPr>
      <w:r w:rsidRPr="00925F26">
        <w:rPr>
          <w:color w:val="000000" w:themeColor="text1"/>
          <w:sz w:val="16"/>
          <w:szCs w:val="16"/>
        </w:rPr>
        <w:t>11. Все исправные самолетные и моторные приборы, электро, радио, фото и другое ценное оборудование направлять в трофейные склады для хранения и использования в ВВС КА.</w:t>
      </w:r>
    </w:p>
    <w:p w14:paraId="60415903" w14:textId="77777777" w:rsidR="0054083F" w:rsidRPr="00925F26" w:rsidRDefault="0054083F" w:rsidP="00925F26">
      <w:pPr>
        <w:jc w:val="both"/>
        <w:rPr>
          <w:color w:val="000000" w:themeColor="text1"/>
          <w:sz w:val="16"/>
          <w:szCs w:val="16"/>
        </w:rPr>
      </w:pPr>
      <w:r w:rsidRPr="00925F26">
        <w:rPr>
          <w:color w:val="000000" w:themeColor="text1"/>
          <w:sz w:val="16"/>
          <w:szCs w:val="16"/>
        </w:rPr>
        <w:t>12. Весь исправный инструмент и станочное оборудование используются для нужд ВА, а излишки направляются на трофейные склады для использования в реморганах ВВС КА.</w:t>
      </w:r>
    </w:p>
    <w:p w14:paraId="4600B363" w14:textId="77777777" w:rsidR="0054083F" w:rsidRPr="00925F26" w:rsidRDefault="0054083F" w:rsidP="00925F26">
      <w:pPr>
        <w:jc w:val="both"/>
        <w:rPr>
          <w:color w:val="000000" w:themeColor="text1"/>
          <w:sz w:val="16"/>
          <w:szCs w:val="16"/>
        </w:rPr>
      </w:pPr>
      <w:r w:rsidRPr="00925F26">
        <w:rPr>
          <w:color w:val="000000" w:themeColor="text1"/>
          <w:sz w:val="16"/>
          <w:szCs w:val="16"/>
        </w:rPr>
        <w:t>13. Все исправное имущество связи, средств ЗОС, реактивной техники, радиолокации и радионавигации подлежит особо внимательному учету, хранению и сбережению. Возможность его использования определяется специальными комиссиями из заинтересованных организаций.</w:t>
      </w:r>
    </w:p>
    <w:p w14:paraId="23EEBB00" w14:textId="77777777" w:rsidR="0054083F" w:rsidRPr="00925F26" w:rsidRDefault="0054083F" w:rsidP="00925F26">
      <w:pPr>
        <w:jc w:val="both"/>
        <w:rPr>
          <w:color w:val="000000" w:themeColor="text1"/>
          <w:sz w:val="16"/>
          <w:szCs w:val="16"/>
        </w:rPr>
      </w:pPr>
      <w:r w:rsidRPr="00925F26">
        <w:rPr>
          <w:color w:val="000000" w:themeColor="text1"/>
          <w:sz w:val="16"/>
          <w:szCs w:val="16"/>
        </w:rPr>
        <w:t>14. Аэродромная техника используется в первую очередь для нужд ВА, излишествующая техника, как исправная, так и требующая незначительного ремонта, направляется начальником тыла ВВС КА в тыловые округа.</w:t>
      </w:r>
    </w:p>
    <w:p w14:paraId="1888C745" w14:textId="77777777" w:rsidR="0054083F" w:rsidRPr="00925F26" w:rsidRDefault="0054083F" w:rsidP="00925F26">
      <w:pPr>
        <w:jc w:val="both"/>
        <w:rPr>
          <w:color w:val="000000" w:themeColor="text1"/>
          <w:sz w:val="16"/>
          <w:szCs w:val="16"/>
        </w:rPr>
      </w:pPr>
      <w:r w:rsidRPr="00925F26">
        <w:rPr>
          <w:color w:val="000000" w:themeColor="text1"/>
          <w:sz w:val="16"/>
          <w:szCs w:val="16"/>
        </w:rPr>
        <w:t>15. Все авиационные материалы обращаются на удовлетворение потребностей ВА, излишествующие направляются на центральные склады ВВС КА. Передачу авиационных материалов другим наркоматам и организациям производить только с разрешения начальника тыла ВВС КА.</w:t>
      </w:r>
    </w:p>
    <w:p w14:paraId="5251547E" w14:textId="77777777" w:rsidR="0054083F" w:rsidRPr="00925F26" w:rsidRDefault="0054083F" w:rsidP="00925F26">
      <w:pPr>
        <w:jc w:val="both"/>
        <w:rPr>
          <w:color w:val="000000" w:themeColor="text1"/>
          <w:sz w:val="16"/>
          <w:szCs w:val="16"/>
        </w:rPr>
      </w:pPr>
      <w:r w:rsidRPr="00925F26">
        <w:rPr>
          <w:color w:val="000000" w:themeColor="text1"/>
          <w:sz w:val="16"/>
          <w:szCs w:val="16"/>
        </w:rPr>
        <w:t>16. Горюче-смазочные материалы используются на потребности воздушных армий, в соответствии с инструкциями главного инженера ВВС КА.</w:t>
      </w:r>
    </w:p>
    <w:p w14:paraId="152348FB" w14:textId="77777777" w:rsidR="0054083F" w:rsidRPr="00925F26" w:rsidRDefault="0054083F" w:rsidP="00925F26">
      <w:pPr>
        <w:jc w:val="both"/>
        <w:rPr>
          <w:color w:val="000000" w:themeColor="text1"/>
          <w:sz w:val="16"/>
          <w:szCs w:val="16"/>
        </w:rPr>
      </w:pPr>
      <w:r w:rsidRPr="00925F26">
        <w:rPr>
          <w:color w:val="000000" w:themeColor="text1"/>
          <w:sz w:val="16"/>
          <w:szCs w:val="16"/>
        </w:rPr>
        <w:t>17. Специальное парашютно-десантное имущество и спецобмундирование направлять на центральные склады.</w:t>
      </w:r>
    </w:p>
    <w:p w14:paraId="05B38B8C" w14:textId="77777777" w:rsidR="0054083F" w:rsidRPr="00925F26" w:rsidRDefault="0054083F" w:rsidP="00925F26">
      <w:pPr>
        <w:jc w:val="both"/>
        <w:rPr>
          <w:color w:val="000000" w:themeColor="text1"/>
          <w:sz w:val="16"/>
          <w:szCs w:val="16"/>
        </w:rPr>
      </w:pPr>
      <w:r w:rsidRPr="00925F26">
        <w:rPr>
          <w:color w:val="000000" w:themeColor="text1"/>
          <w:sz w:val="16"/>
          <w:szCs w:val="16"/>
        </w:rPr>
        <w:t>18. Спецавтотранспорт, специальные силовые, компрессорные и кислородно-добывающие установки использовать для нужд воздушных армий, а излишествующие направлять на центральные склады ВВС КА для дальнейшего их использования.</w:t>
      </w:r>
    </w:p>
    <w:p w14:paraId="53FD1C7A" w14:textId="77777777" w:rsidR="0054083F" w:rsidRPr="00925F26" w:rsidRDefault="0054083F" w:rsidP="00925F26">
      <w:pPr>
        <w:jc w:val="both"/>
        <w:rPr>
          <w:color w:val="000000" w:themeColor="text1"/>
          <w:sz w:val="16"/>
          <w:szCs w:val="16"/>
        </w:rPr>
      </w:pPr>
      <w:r w:rsidRPr="00925F26">
        <w:rPr>
          <w:color w:val="000000" w:themeColor="text1"/>
          <w:sz w:val="16"/>
          <w:szCs w:val="16"/>
        </w:rPr>
        <w:t>19. Ремонтные органы (подвижные и стационарные) использовать для нужд воздушных армий, все излишнее оборудование направлять на центральные склады ВВС КА.</w:t>
      </w:r>
    </w:p>
    <w:p w14:paraId="303A4B03" w14:textId="77777777" w:rsidR="0054083F" w:rsidRPr="00925F26" w:rsidRDefault="0054083F" w:rsidP="00925F26">
      <w:pPr>
        <w:jc w:val="both"/>
        <w:rPr>
          <w:color w:val="000000" w:themeColor="text1"/>
          <w:sz w:val="16"/>
          <w:szCs w:val="16"/>
        </w:rPr>
      </w:pPr>
      <w:r w:rsidRPr="00925F26">
        <w:rPr>
          <w:color w:val="000000" w:themeColor="text1"/>
          <w:sz w:val="16"/>
          <w:szCs w:val="16"/>
        </w:rPr>
        <w:t>20. Строительные материалы использовать для нужд ВА, все излишки направлять на трофейные склады для использования по нарядам начальника тыла ВВС КА.</w:t>
      </w:r>
    </w:p>
    <w:p w14:paraId="475C91FF" w14:textId="77777777" w:rsidR="0054083F" w:rsidRPr="00925F26" w:rsidRDefault="0054083F" w:rsidP="00925F26">
      <w:pPr>
        <w:jc w:val="both"/>
        <w:rPr>
          <w:color w:val="000000" w:themeColor="text1"/>
          <w:sz w:val="16"/>
          <w:szCs w:val="16"/>
        </w:rPr>
      </w:pPr>
      <w:r w:rsidRPr="00925F26">
        <w:rPr>
          <w:color w:val="000000" w:themeColor="text1"/>
          <w:sz w:val="16"/>
          <w:szCs w:val="16"/>
        </w:rPr>
        <w:t>21. Начальнику тыла ВВС КА выделить от передовых авиационных баз филиалы на территории обслуживаемых воздушных армий в составе 20 человек и 4 автомашин на каждый филиал.</w:t>
      </w:r>
    </w:p>
    <w:p w14:paraId="4559D0A8" w14:textId="77777777" w:rsidR="0054083F" w:rsidRPr="00925F26" w:rsidRDefault="0054083F" w:rsidP="00925F26">
      <w:pPr>
        <w:jc w:val="both"/>
        <w:rPr>
          <w:color w:val="000000" w:themeColor="text1"/>
          <w:sz w:val="16"/>
          <w:szCs w:val="16"/>
        </w:rPr>
      </w:pPr>
      <w:r w:rsidRPr="00925F26">
        <w:rPr>
          <w:color w:val="000000" w:themeColor="text1"/>
          <w:sz w:val="16"/>
          <w:szCs w:val="16"/>
        </w:rPr>
        <w:t>22. Командующим ВА для хранения трофейного имущества организовать филиалы при фронтовых (армейских) складах авиаимущества.</w:t>
      </w:r>
    </w:p>
    <w:p w14:paraId="21A6A1E3" w14:textId="77777777" w:rsidR="0054083F" w:rsidRPr="00925F26" w:rsidRDefault="0054083F" w:rsidP="00925F26">
      <w:pPr>
        <w:jc w:val="both"/>
        <w:rPr>
          <w:color w:val="000000" w:themeColor="text1"/>
          <w:sz w:val="16"/>
          <w:szCs w:val="16"/>
        </w:rPr>
      </w:pPr>
      <w:r w:rsidRPr="00925F26">
        <w:rPr>
          <w:color w:val="000000" w:themeColor="text1"/>
          <w:sz w:val="16"/>
          <w:szCs w:val="16"/>
        </w:rPr>
        <w:t>Для непосредственного выполнения работ по приему, сортировке, учету, хранению и отгрузке трофейного имущества выделить: 10 человек личного состава из фронтового (армейского) склада, 5 автомашин и по 5 человек от каждой отэр.</w:t>
      </w:r>
    </w:p>
    <w:p w14:paraId="109D47AD" w14:textId="77777777" w:rsidR="0054083F" w:rsidRPr="00925F26" w:rsidRDefault="0054083F" w:rsidP="00925F26">
      <w:pPr>
        <w:jc w:val="both"/>
        <w:rPr>
          <w:color w:val="000000" w:themeColor="text1"/>
          <w:sz w:val="16"/>
          <w:szCs w:val="16"/>
        </w:rPr>
      </w:pPr>
      <w:r w:rsidRPr="00925F26">
        <w:rPr>
          <w:color w:val="000000" w:themeColor="text1"/>
          <w:sz w:val="16"/>
          <w:szCs w:val="16"/>
        </w:rPr>
        <w:t>23. Трофейные органы воздушных армий обязаны особое внимание уделять выявлению новой техники противника, наличию научно-исследовательских организаций и опытных станций, а также авиационных заводов.</w:t>
      </w:r>
    </w:p>
    <w:p w14:paraId="7CD372E3" w14:textId="77777777" w:rsidR="0054083F" w:rsidRPr="00925F26" w:rsidRDefault="0054083F" w:rsidP="00925F26">
      <w:pPr>
        <w:jc w:val="both"/>
        <w:rPr>
          <w:color w:val="000000" w:themeColor="text1"/>
          <w:sz w:val="16"/>
          <w:szCs w:val="16"/>
        </w:rPr>
      </w:pPr>
      <w:r w:rsidRPr="00925F26">
        <w:rPr>
          <w:color w:val="000000" w:themeColor="text1"/>
          <w:sz w:val="16"/>
          <w:szCs w:val="16"/>
        </w:rPr>
        <w:t>По выявлении существования указанных организаций или новинок авиатехники воздушные армии доносят немедленно начальнику тыла и главному инженеру ВВС КА.</w:t>
      </w:r>
    </w:p>
    <w:p w14:paraId="56EB73C3" w14:textId="77777777" w:rsidR="0054083F" w:rsidRPr="00925F26" w:rsidRDefault="0054083F" w:rsidP="00925F26">
      <w:pPr>
        <w:jc w:val="both"/>
        <w:rPr>
          <w:color w:val="000000" w:themeColor="text1"/>
          <w:sz w:val="16"/>
          <w:szCs w:val="16"/>
        </w:rPr>
      </w:pPr>
      <w:r w:rsidRPr="00925F26">
        <w:rPr>
          <w:color w:val="000000" w:themeColor="text1"/>
          <w:sz w:val="16"/>
          <w:szCs w:val="16"/>
        </w:rPr>
        <w:t>Врид. командующего ВВС Красной Армии Маршал авиации ФАЛАЛЕЕВ</w:t>
      </w:r>
    </w:p>
    <w:p w14:paraId="21C4DF13" w14:textId="77777777" w:rsidR="0054083F" w:rsidRPr="00925F26" w:rsidRDefault="0054083F" w:rsidP="00925F26">
      <w:pPr>
        <w:jc w:val="both"/>
        <w:rPr>
          <w:color w:val="000000" w:themeColor="text1"/>
          <w:sz w:val="16"/>
          <w:szCs w:val="16"/>
        </w:rPr>
      </w:pPr>
      <w:r w:rsidRPr="00925F26">
        <w:rPr>
          <w:color w:val="000000" w:themeColor="text1"/>
          <w:sz w:val="16"/>
          <w:szCs w:val="16"/>
        </w:rPr>
        <w:t>Член Военного совета генерал-полковник авиации ШИМАНОВ</w:t>
      </w:r>
    </w:p>
    <w:p w14:paraId="18AEB093" w14:textId="77777777" w:rsidR="0054083F" w:rsidRPr="00925F26" w:rsidRDefault="0054083F" w:rsidP="00925F26">
      <w:pPr>
        <w:jc w:val="both"/>
        <w:rPr>
          <w:color w:val="000000" w:themeColor="text1"/>
          <w:sz w:val="16"/>
          <w:szCs w:val="16"/>
        </w:rPr>
      </w:pPr>
      <w:r w:rsidRPr="00925F26">
        <w:rPr>
          <w:color w:val="000000" w:themeColor="text1"/>
          <w:sz w:val="16"/>
          <w:szCs w:val="16"/>
        </w:rPr>
        <w:t>Начальник штаба ВВС Красной Армии Маршал авиации ХУДЯКОВ</w:t>
      </w:r>
    </w:p>
    <w:p w14:paraId="00B8B49F" w14:textId="77777777" w:rsidR="0054083F" w:rsidRPr="00925F26" w:rsidRDefault="0054083F" w:rsidP="00925F26">
      <w:pPr>
        <w:jc w:val="both"/>
        <w:rPr>
          <w:color w:val="000000" w:themeColor="text1"/>
          <w:sz w:val="16"/>
          <w:szCs w:val="16"/>
        </w:rPr>
      </w:pPr>
      <w:r w:rsidRPr="00925F26">
        <w:rPr>
          <w:color w:val="000000" w:themeColor="text1"/>
          <w:sz w:val="16"/>
          <w:szCs w:val="16"/>
        </w:rPr>
        <w:t>№ 676483с</w:t>
      </w:r>
    </w:p>
    <w:p w14:paraId="48F5FA99" w14:textId="77777777" w:rsidR="0054083F" w:rsidRPr="00925F26" w:rsidRDefault="0054083F" w:rsidP="00925F26">
      <w:pPr>
        <w:jc w:val="both"/>
        <w:rPr>
          <w:color w:val="000000" w:themeColor="text1"/>
          <w:sz w:val="16"/>
          <w:szCs w:val="16"/>
        </w:rPr>
      </w:pPr>
      <w:r w:rsidRPr="00925F26">
        <w:rPr>
          <w:color w:val="000000" w:themeColor="text1"/>
          <w:sz w:val="16"/>
          <w:szCs w:val="16"/>
        </w:rPr>
        <w:t>1 марта 1945 г.</w:t>
      </w:r>
    </w:p>
    <w:p w14:paraId="1F9B9A53" w14:textId="77777777" w:rsidR="0054083F" w:rsidRPr="00925F26" w:rsidRDefault="0054083F" w:rsidP="00925F26">
      <w:pPr>
        <w:jc w:val="both"/>
        <w:rPr>
          <w:color w:val="000000" w:themeColor="text1"/>
          <w:sz w:val="16"/>
          <w:szCs w:val="16"/>
        </w:rPr>
      </w:pPr>
      <w:r w:rsidRPr="00925F26">
        <w:rPr>
          <w:color w:val="000000" w:themeColor="text1"/>
          <w:sz w:val="16"/>
          <w:szCs w:val="16"/>
        </w:rPr>
        <w:t>Ф. 35, оп. 21582сс, д. 2, лл. 1—3. Подлинник (23992).</w:t>
      </w:r>
    </w:p>
    <w:p w14:paraId="2F7C1FD2" w14:textId="77777777" w:rsidR="0054083F" w:rsidRPr="00925F26" w:rsidRDefault="0054083F" w:rsidP="00925F26">
      <w:pPr>
        <w:jc w:val="both"/>
        <w:rPr>
          <w:color w:val="000000" w:themeColor="text1"/>
          <w:sz w:val="16"/>
          <w:szCs w:val="16"/>
        </w:rPr>
      </w:pPr>
    </w:p>
    <w:p w14:paraId="207C032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0917683" w14:textId="77777777" w:rsidR="00665165" w:rsidRPr="00925F26" w:rsidRDefault="00665165" w:rsidP="00925F26">
      <w:pPr>
        <w:autoSpaceDE w:val="0"/>
        <w:autoSpaceDN w:val="0"/>
        <w:adjustRightInd w:val="0"/>
        <w:jc w:val="both"/>
        <w:rPr>
          <w:iCs/>
          <w:color w:val="000000" w:themeColor="text1"/>
          <w:sz w:val="16"/>
          <w:szCs w:val="16"/>
        </w:rPr>
      </w:pPr>
    </w:p>
    <w:p w14:paraId="777C51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 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75A6FD2" w14:textId="77777777" w:rsidR="00665165" w:rsidRPr="00925F26" w:rsidRDefault="00665165" w:rsidP="00925F26">
      <w:pPr>
        <w:autoSpaceDE w:val="0"/>
        <w:autoSpaceDN w:val="0"/>
        <w:adjustRightInd w:val="0"/>
        <w:jc w:val="both"/>
        <w:rPr>
          <w:color w:val="000000" w:themeColor="text1"/>
          <w:sz w:val="16"/>
          <w:szCs w:val="16"/>
        </w:rPr>
      </w:pPr>
    </w:p>
    <w:p w14:paraId="6380C964" w14:textId="77777777" w:rsidR="00A776CB" w:rsidRPr="00925F26" w:rsidRDefault="00A776CB" w:rsidP="00925F26">
      <w:pPr>
        <w:pStyle w:val="a3"/>
        <w:rPr>
          <w:color w:val="000000" w:themeColor="text1"/>
          <w:lang w:val="ru-RU"/>
        </w:rPr>
      </w:pPr>
      <w:r w:rsidRPr="00925F26">
        <w:rPr>
          <w:color w:val="000000" w:themeColor="text1"/>
          <w:lang w:val="ru-RU"/>
        </w:rPr>
        <w:t xml:space="preserve">1 марта 1945 года первый пилотируемый полет Наттера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925F26">
        <w:rPr>
          <w:color w:val="000000" w:themeColor="text1"/>
        </w:rPr>
        <w:t>LotharSieber</w:t>
      </w:r>
      <w:r w:rsidRPr="00925F26">
        <w:rPr>
          <w:color w:val="000000" w:themeColor="text1"/>
          <w:lang w:val="ru-RU"/>
        </w:rPr>
        <w:t xml:space="preserve"> погиб. Несмотря на катастрофу, началось серийное строительство перехватчиков. До конца войны успели построить 37 «гадюк» в трёх вариантах и испытать 25 из них - правда, в пилотируемом полёте только 7 машин, остальные запуски были беспилотными только для отработки старта (15841).</w:t>
      </w:r>
    </w:p>
    <w:p w14:paraId="5EBAF624" w14:textId="77777777" w:rsidR="00A776CB" w:rsidRPr="00925F26" w:rsidRDefault="00A776CB" w:rsidP="00925F26">
      <w:pPr>
        <w:pStyle w:val="a3"/>
        <w:rPr>
          <w:color w:val="000000" w:themeColor="text1"/>
          <w:lang w:val="ru-RU"/>
        </w:rPr>
      </w:pPr>
    </w:p>
    <w:p w14:paraId="4581A3BC" w14:textId="77777777" w:rsidR="003751D3" w:rsidRPr="00925F26" w:rsidRDefault="003751D3" w:rsidP="00925F26">
      <w:pPr>
        <w:jc w:val="both"/>
        <w:rPr>
          <w:color w:val="000000" w:themeColor="text1"/>
          <w:sz w:val="16"/>
          <w:szCs w:val="16"/>
        </w:rPr>
      </w:pPr>
      <w:r w:rsidRPr="00925F26">
        <w:rPr>
          <w:bCs/>
          <w:color w:val="000000" w:themeColor="text1"/>
          <w:sz w:val="16"/>
          <w:szCs w:val="16"/>
        </w:rPr>
        <w:t>1 марта</w:t>
      </w:r>
      <w:r w:rsidRPr="00925F26">
        <w:rPr>
          <w:color w:val="000000" w:themeColor="text1"/>
          <w:sz w:val="16"/>
          <w:szCs w:val="16"/>
        </w:rPr>
        <w:t xml:space="preserve"> в 1945 году при первом пилотируемом пуске реактивного истребителя перехватчика «Bacham» "Ва-349М23" в готовом варианте, произошла авария. От перегрузок отвалилось остекление кабины, и машина рухнула на землю. При ударе произошел сильный взрыв и пилот, старший лейтенант Лютер Зиберт погиб (15055).</w:t>
      </w:r>
    </w:p>
    <w:p w14:paraId="19734947" w14:textId="77777777" w:rsidR="003751D3" w:rsidRPr="00925F26" w:rsidRDefault="003751D3" w:rsidP="00925F26">
      <w:pPr>
        <w:jc w:val="both"/>
        <w:rPr>
          <w:color w:val="000000" w:themeColor="text1"/>
          <w:sz w:val="16"/>
          <w:szCs w:val="16"/>
        </w:rPr>
      </w:pPr>
    </w:p>
    <w:p w14:paraId="5B50F79D" w14:textId="77777777" w:rsidR="00473C5C" w:rsidRPr="00925F26" w:rsidRDefault="00473C5C" w:rsidP="00925F26">
      <w:pPr>
        <w:jc w:val="both"/>
        <w:rPr>
          <w:color w:val="000000" w:themeColor="text1"/>
          <w:sz w:val="16"/>
          <w:szCs w:val="16"/>
        </w:rPr>
      </w:pPr>
      <w:r w:rsidRPr="00925F26">
        <w:rPr>
          <w:color w:val="000000" w:themeColor="text1"/>
          <w:sz w:val="16"/>
          <w:szCs w:val="16"/>
        </w:rPr>
        <w:t>1 марта 1945 состоялся первый вертикального запуск пилотируемой ракеты, когда ракетный истребитель Bachem Ba 349 Natter взлетает в 55-секундный полет, который закончился трагедией - самолет разбился, в результате чего погиб пилот, летчик- испытатель Люфтваффе Лотар Зибер (20371).</w:t>
      </w:r>
    </w:p>
    <w:p w14:paraId="4C383BA5" w14:textId="77777777" w:rsidR="00473C5C" w:rsidRPr="00925F26" w:rsidRDefault="00473C5C" w:rsidP="00925F26">
      <w:pPr>
        <w:jc w:val="both"/>
        <w:rPr>
          <w:color w:val="000000" w:themeColor="text1"/>
          <w:sz w:val="16"/>
          <w:szCs w:val="16"/>
        </w:rPr>
      </w:pPr>
    </w:p>
    <w:p w14:paraId="3E40D0DD" w14:textId="77777777" w:rsidR="00473C5C" w:rsidRPr="00925F26" w:rsidRDefault="00473C5C" w:rsidP="00925F26">
      <w:pPr>
        <w:jc w:val="both"/>
        <w:rPr>
          <w:color w:val="000000" w:themeColor="text1"/>
          <w:sz w:val="16"/>
          <w:szCs w:val="16"/>
        </w:rPr>
      </w:pPr>
      <w:r w:rsidRPr="00925F26">
        <w:rPr>
          <w:color w:val="000000" w:themeColor="text1"/>
          <w:sz w:val="16"/>
          <w:szCs w:val="16"/>
        </w:rPr>
        <w:t>1 марта 1945 первый полет Bachem Ba 349 (первый пилотируемый вертикальный ракетый старт) (20371).</w:t>
      </w:r>
    </w:p>
    <w:p w14:paraId="579977A4" w14:textId="77777777" w:rsidR="00473C5C" w:rsidRPr="00925F26" w:rsidRDefault="00473C5C" w:rsidP="00925F26">
      <w:pPr>
        <w:jc w:val="both"/>
        <w:rPr>
          <w:color w:val="000000" w:themeColor="text1"/>
          <w:sz w:val="16"/>
          <w:szCs w:val="16"/>
        </w:rPr>
      </w:pPr>
    </w:p>
    <w:p w14:paraId="76CEE46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lastRenderedPageBreak/>
        <w:t>March 1st, 1945: In the West, the US Ninth Army (Simpson) captures Munchen-Gladbach and Rheydt west of the Rhine. In the East, units of Heeresgruppe Mitte (Schorner) recapture Lauban in Lower Silesia (3819).</w:t>
      </w:r>
    </w:p>
    <w:p w14:paraId="7A1E66A3" w14:textId="77777777" w:rsidR="00665165" w:rsidRPr="00925F26" w:rsidRDefault="00665165" w:rsidP="00925F26">
      <w:pPr>
        <w:autoSpaceDE w:val="0"/>
        <w:autoSpaceDN w:val="0"/>
        <w:adjustRightInd w:val="0"/>
        <w:jc w:val="both"/>
        <w:rPr>
          <w:color w:val="000000" w:themeColor="text1"/>
          <w:sz w:val="16"/>
          <w:szCs w:val="16"/>
          <w:lang w:val="en-US"/>
        </w:rPr>
      </w:pPr>
    </w:p>
    <w:p w14:paraId="7B548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 1945 9А США (Симпсон) заняла Мюнхен-Гладбах и Рейдт на Рейне. Группа Центр отбила Лаубан в Нижней Силезии (3819).</w:t>
      </w:r>
    </w:p>
    <w:p w14:paraId="74AD76FE" w14:textId="77777777" w:rsidR="00665165" w:rsidRPr="00925F26" w:rsidRDefault="00665165" w:rsidP="00925F26">
      <w:pPr>
        <w:autoSpaceDE w:val="0"/>
        <w:autoSpaceDN w:val="0"/>
        <w:adjustRightInd w:val="0"/>
        <w:jc w:val="both"/>
        <w:rPr>
          <w:color w:val="000000" w:themeColor="text1"/>
          <w:sz w:val="16"/>
          <w:szCs w:val="16"/>
        </w:rPr>
      </w:pPr>
    </w:p>
    <w:p w14:paraId="3DBAE316" w14:textId="77777777" w:rsidR="003751D3" w:rsidRPr="00925F26" w:rsidRDefault="003751D3" w:rsidP="00925F26">
      <w:pPr>
        <w:jc w:val="both"/>
        <w:rPr>
          <w:color w:val="000000" w:themeColor="text1"/>
          <w:sz w:val="16"/>
          <w:szCs w:val="16"/>
        </w:rPr>
      </w:pPr>
      <w:r w:rsidRPr="00925F26">
        <w:rPr>
          <w:bCs/>
          <w:color w:val="000000" w:themeColor="text1"/>
          <w:sz w:val="16"/>
          <w:szCs w:val="16"/>
        </w:rPr>
        <w:t>1 марта</w:t>
      </w:r>
      <w:r w:rsidRPr="00925F26">
        <w:rPr>
          <w:color w:val="000000" w:themeColor="text1"/>
          <w:sz w:val="16"/>
          <w:szCs w:val="16"/>
        </w:rPr>
        <w:t xml:space="preserve"> в 1945 году немецкий генерал-фельдмаршал Альберт Кессельринг становится главнокомандующим вместо Герда фон Рундштедта (15055).</w:t>
      </w:r>
    </w:p>
    <w:p w14:paraId="45A6A3B9" w14:textId="77777777" w:rsidR="003751D3" w:rsidRPr="00925F26" w:rsidRDefault="003751D3" w:rsidP="00925F26">
      <w:pPr>
        <w:jc w:val="both"/>
        <w:rPr>
          <w:color w:val="000000" w:themeColor="text1"/>
          <w:sz w:val="16"/>
          <w:szCs w:val="16"/>
        </w:rPr>
      </w:pPr>
    </w:p>
    <w:p w14:paraId="24E3DD28" w14:textId="77777777" w:rsidR="003751D3" w:rsidRPr="00925F26" w:rsidRDefault="003751D3" w:rsidP="00925F26">
      <w:pPr>
        <w:jc w:val="both"/>
        <w:rPr>
          <w:color w:val="000000" w:themeColor="text1"/>
          <w:sz w:val="16"/>
          <w:szCs w:val="16"/>
        </w:rPr>
      </w:pPr>
      <w:r w:rsidRPr="00925F26">
        <w:rPr>
          <w:bCs/>
          <w:color w:val="000000" w:themeColor="text1"/>
          <w:sz w:val="16"/>
          <w:szCs w:val="16"/>
        </w:rPr>
        <w:t>1 марта</w:t>
      </w:r>
      <w:r w:rsidRPr="00925F26">
        <w:rPr>
          <w:color w:val="000000" w:themeColor="text1"/>
          <w:sz w:val="16"/>
          <w:szCs w:val="16"/>
        </w:rPr>
        <w:t xml:space="preserve"> в 1945 году американо-английские войска заняли город Трир, вышли к Рейну близ Дюссельдорфа (15055).</w:t>
      </w:r>
    </w:p>
    <w:p w14:paraId="54A7FF0D" w14:textId="77777777" w:rsidR="003751D3" w:rsidRPr="00925F26" w:rsidRDefault="003751D3" w:rsidP="00925F26">
      <w:pPr>
        <w:jc w:val="both"/>
        <w:rPr>
          <w:color w:val="000000" w:themeColor="text1"/>
          <w:sz w:val="16"/>
          <w:szCs w:val="16"/>
        </w:rPr>
      </w:pPr>
    </w:p>
    <w:p w14:paraId="19119CF3" w14:textId="77777777" w:rsidR="00473C5C" w:rsidRPr="00925F26" w:rsidRDefault="00473C5C" w:rsidP="00925F26">
      <w:pPr>
        <w:jc w:val="both"/>
        <w:rPr>
          <w:color w:val="000000" w:themeColor="text1"/>
          <w:sz w:val="16"/>
          <w:szCs w:val="16"/>
        </w:rPr>
      </w:pPr>
      <w:r w:rsidRPr="00925F26">
        <w:rPr>
          <w:color w:val="000000" w:themeColor="text1"/>
          <w:sz w:val="16"/>
          <w:szCs w:val="16"/>
        </w:rPr>
        <w:t>1 марта 1945 авианосцы оперативной группы 58 ВМС США наносят удар по Окинаве и проводят фоторазведку над Окинавой, Керама Ретто, Минами Дайто и Амами О Шима (20371).</w:t>
      </w:r>
    </w:p>
    <w:p w14:paraId="53BEE507" w14:textId="77777777" w:rsidR="00473C5C" w:rsidRPr="00925F26" w:rsidRDefault="00473C5C" w:rsidP="00925F26">
      <w:pPr>
        <w:jc w:val="both"/>
        <w:rPr>
          <w:color w:val="000000" w:themeColor="text1"/>
          <w:sz w:val="16"/>
          <w:szCs w:val="16"/>
        </w:rPr>
      </w:pPr>
    </w:p>
    <w:p w14:paraId="4BF0866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561718A" w14:textId="77777777" w:rsidR="00665165" w:rsidRPr="00925F26" w:rsidRDefault="00665165" w:rsidP="00925F26">
      <w:pPr>
        <w:autoSpaceDE w:val="0"/>
        <w:autoSpaceDN w:val="0"/>
        <w:adjustRightInd w:val="0"/>
        <w:jc w:val="both"/>
        <w:rPr>
          <w:iCs/>
          <w:color w:val="000000" w:themeColor="text1"/>
          <w:sz w:val="16"/>
          <w:szCs w:val="16"/>
        </w:rPr>
      </w:pPr>
    </w:p>
    <w:p w14:paraId="664D9D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4AA377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w:t>
      </w:r>
      <w:proofErr w:type="gramStart"/>
      <w:r w:rsidRPr="00925F26">
        <w:rPr>
          <w:color w:val="000000" w:themeColor="text1"/>
          <w:sz w:val="16"/>
          <w:szCs w:val="16"/>
        </w:rPr>
        <w:t>.</w:t>
      </w:r>
      <w:proofErr w:type="gramEnd"/>
      <w:r w:rsidRPr="00925F26">
        <w:rPr>
          <w:color w:val="000000" w:themeColor="text1"/>
          <w:sz w:val="16"/>
          <w:szCs w:val="16"/>
        </w:rPr>
        <w:t xml:space="preserve"> и ип/п П.Т.Аброщенко</w:t>
      </w:r>
    </w:p>
    <w:p w14:paraId="7C22E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л-к 5 отд. 1У ГК НИИ ВВС к-н Г.А.Тиняков, подписал 22 февраля</w:t>
      </w:r>
    </w:p>
    <w:p w14:paraId="6296B3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гм-р Стефановский - подписал 23 февраля</w:t>
      </w:r>
    </w:p>
    <w:p w14:paraId="4A7BD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5 отд. по л/ч п/п Долгов</w:t>
      </w:r>
    </w:p>
    <w:p w14:paraId="0CC6A9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Установлены кнопки управления передатчиком на ручке сектора нормального газа</w:t>
      </w:r>
    </w:p>
    <w:p w14:paraId="3C66A0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система газового запуска холодного мотора</w:t>
      </w:r>
    </w:p>
    <w:p w14:paraId="481D3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Предъявлен на испытания 23 января</w:t>
      </w:r>
    </w:p>
    <w:p w14:paraId="24749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января по 19 февраля - 16 полетов, налет 10:50</w:t>
      </w:r>
    </w:p>
    <w:p w14:paraId="290A07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4644 кг, загруженного с-та с нормальной нагрузкой - 6325, ц/т 27,5%</w:t>
      </w:r>
    </w:p>
    <w:p w14:paraId="00DB7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Угол капотирования при торможении 30:20</w:t>
      </w:r>
    </w:p>
    <w:p w14:paraId="7F2A3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состоит из:</w:t>
      </w:r>
    </w:p>
    <w:p w14:paraId="121C9D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- 190 кг</w:t>
      </w:r>
    </w:p>
    <w:p w14:paraId="6EC7EE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- 545 кг (0,747)</w:t>
      </w:r>
    </w:p>
    <w:p w14:paraId="070E81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- 65 кг</w:t>
      </w:r>
    </w:p>
    <w:p w14:paraId="527C91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- 400 кг</w:t>
      </w:r>
    </w:p>
    <w:p w14:paraId="0FE4C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2хВЯ - 132 кг, патроны к пушке (300) - 168 кг</w:t>
      </w:r>
    </w:p>
    <w:p w14:paraId="56B49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УБТ - 21 кг, патроны (150) - 27</w:t>
      </w:r>
    </w:p>
    <w:p w14:paraId="683C68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2хШКАС - 21 кг, патронов ШКАС (1500) - 51 кг</w:t>
      </w:r>
    </w:p>
    <w:p w14:paraId="7080F4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снарядов РС (4хРС-82) - 27 кг</w:t>
      </w:r>
    </w:p>
    <w:p w14:paraId="1E366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w:t>
      </w:r>
    </w:p>
    <w:p w14:paraId="28059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- 15</w:t>
      </w:r>
    </w:p>
    <w:p w14:paraId="792E72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вооружения - 29</w:t>
      </w:r>
    </w:p>
    <w:p w14:paraId="05EC94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- 1681 кг</w:t>
      </w:r>
    </w:p>
    <w:p w14:paraId="600E10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ЛТД</w:t>
      </w:r>
    </w:p>
    <w:p w14:paraId="1695DA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405 км/час на 1200 м</w:t>
      </w:r>
    </w:p>
    <w:p w14:paraId="0DEB8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1000 м - 2,6 мин., на 3000 м - 8,8 мин.</w:t>
      </w:r>
    </w:p>
    <w:p w14:paraId="20351C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5800 м, набор за 38 мин.</w:t>
      </w:r>
    </w:p>
    <w:p w14:paraId="30900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мерилась при закрытых фонарях кабины л и стрелка, окрытых полностью заслонках водо и маслорадиатора</w:t>
      </w:r>
    </w:p>
    <w:p w14:paraId="2054FC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при весе 6325 и 2050 оборотах и Ра 1220</w:t>
      </w:r>
    </w:p>
    <w:p w14:paraId="7754F7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0 - 6,3</w:t>
      </w:r>
    </w:p>
    <w:p w14:paraId="11B33E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850 - 6,8</w:t>
      </w:r>
    </w:p>
    <w:p w14:paraId="247F0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3000 - 4</w:t>
      </w:r>
    </w:p>
    <w:p w14:paraId="37503B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5800 - ,5</w:t>
      </w:r>
    </w:p>
    <w:p w14:paraId="1C089A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 эксплуатируется на бензине 4Б-78 и масле АО-8 М6</w:t>
      </w:r>
    </w:p>
    <w:p w14:paraId="1127DF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Тиняков: управляемость с-та - хорошая, усилия на ручке - не большие, особенно легкие элероны, что делает с-т приятным в пилотировании.</w:t>
      </w:r>
    </w:p>
    <w:p w14:paraId="41AA85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 подписали вед. л и 5 отд. 1 У ГК НИИ ВВС к Тиняков 22 февраля, Зам. Нач. НИИ ВВС глиас Лосюков 26 февраля 1945 и нач. 1У НИИ ВВС гмиас Сафонов 24 февраля 1945 (804,4)</w:t>
      </w:r>
    </w:p>
    <w:p w14:paraId="45DE3D10" w14:textId="77777777" w:rsidR="00665165" w:rsidRPr="00925F26" w:rsidRDefault="00665165" w:rsidP="00925F26">
      <w:pPr>
        <w:autoSpaceDE w:val="0"/>
        <w:autoSpaceDN w:val="0"/>
        <w:adjustRightInd w:val="0"/>
        <w:jc w:val="both"/>
        <w:rPr>
          <w:color w:val="000000" w:themeColor="text1"/>
          <w:sz w:val="16"/>
          <w:szCs w:val="16"/>
        </w:rPr>
      </w:pPr>
    </w:p>
    <w:p w14:paraId="79D957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года гл. инженер ВВС генерал-полковник ИАС Репин писал письмо N 741196с зам. наркома Авиапрома.</w:t>
      </w:r>
    </w:p>
    <w:p w14:paraId="21EFFE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Контрольными испытаниями, проведенными ГК НИИ ВВС в феврале 1945 года, серийного самолета ЯК-9У N 06-16 с ВК-107А, производства завода N 82 выпуска ноября 1944 года установлено:</w:t>
      </w:r>
    </w:p>
    <w:p w14:paraId="0F0738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максимальные горизонтальные скорости самолета</w:t>
      </w:r>
    </w:p>
    <w:p w14:paraId="23126F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19-34 </w:t>
      </w:r>
      <w:proofErr w:type="gramStart"/>
      <w:r w:rsidRPr="00925F26">
        <w:rPr>
          <w:color w:val="000000" w:themeColor="text1"/>
          <w:sz w:val="16"/>
          <w:szCs w:val="16"/>
        </w:rPr>
        <w:t>км/час</w:t>
      </w:r>
      <w:proofErr w:type="gramEnd"/>
      <w:r w:rsidRPr="00925F26">
        <w:rPr>
          <w:color w:val="000000" w:themeColor="text1"/>
          <w:sz w:val="16"/>
          <w:szCs w:val="16"/>
        </w:rPr>
        <w:t xml:space="preserve"> меньше установленных Постановлением</w:t>
      </w:r>
    </w:p>
    <w:p w14:paraId="15491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ГОКО N 4849сс от 27 декабря 1943 года для самолета</w:t>
      </w:r>
    </w:p>
    <w:p w14:paraId="2F855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 с ВК-107А;</w:t>
      </w:r>
    </w:p>
    <w:p w14:paraId="28E14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горизонтальный полет на номинальной мощности мотора</w:t>
      </w:r>
    </w:p>
    <w:p w14:paraId="663D3C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заслонкой водорадиатора, установленной по потоку</w:t>
      </w:r>
    </w:p>
    <w:p w14:paraId="563770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невозможен, из-за перегрева воды;</w:t>
      </w:r>
    </w:p>
    <w:p w14:paraId="27EDAE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чрезмерно велики нагрузки на ручку управления</w:t>
      </w:r>
    </w:p>
    <w:p w14:paraId="645E6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самолетом от элеронов и руля высоты;</w:t>
      </w:r>
    </w:p>
    <w:p w14:paraId="13B814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мала дальность уверенной двухсторонней радиосвязи.</w:t>
      </w:r>
    </w:p>
    <w:p w14:paraId="17ED93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сравнению с серийным самолетом ЯК-9У N 39-083 с ВК-107А, производства завода N 166, проходившим контрольные испытания в ГК НИИ ВВС в январе 1945 года, этот самолет имеет максимальные горизонтальные скорости от земли до второй границы высотности меньше на 14-26 км/час.</w:t>
      </w:r>
    </w:p>
    <w:p w14:paraId="1046FE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Преимущество в максимальной скорости самолета ЯК-9У завода N 166 перед самолетом ЯК-9У завода N 82 объясняется главным образом улучшенным туннелем водорадиатора, позволяющим к тому же производить горизонтальный полет на номинальной мощности, при положении заслонки водорадиатора "по потоку", без перегрева мотора.</w:t>
      </w:r>
    </w:p>
    <w:p w14:paraId="0EA63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распоряжений о принятии необходимых мер (1879).</w:t>
      </w:r>
    </w:p>
    <w:p w14:paraId="1A4D029E" w14:textId="77777777" w:rsidR="00665165" w:rsidRPr="00925F26" w:rsidRDefault="00665165" w:rsidP="00925F26">
      <w:pPr>
        <w:autoSpaceDE w:val="0"/>
        <w:autoSpaceDN w:val="0"/>
        <w:adjustRightInd w:val="0"/>
        <w:jc w:val="both"/>
        <w:rPr>
          <w:color w:val="000000" w:themeColor="text1"/>
          <w:sz w:val="16"/>
          <w:szCs w:val="16"/>
        </w:rPr>
      </w:pPr>
    </w:p>
    <w:p w14:paraId="176A30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7620 О производстве корпусов светящихся авиационных бомб в марте и во II квартале 1945 года. РГАНИР, Фонд ГКО, д. 373, лл. 163-165 (11012).</w:t>
      </w:r>
    </w:p>
    <w:p w14:paraId="5FE2EF06" w14:textId="77777777" w:rsidR="00665165" w:rsidRPr="00925F26" w:rsidRDefault="00665165" w:rsidP="00925F26">
      <w:pPr>
        <w:autoSpaceDE w:val="0"/>
        <w:autoSpaceDN w:val="0"/>
        <w:adjustRightInd w:val="0"/>
        <w:jc w:val="both"/>
        <w:rPr>
          <w:color w:val="000000" w:themeColor="text1"/>
          <w:sz w:val="16"/>
          <w:szCs w:val="16"/>
        </w:rPr>
      </w:pPr>
    </w:p>
    <w:p w14:paraId="1FF8A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7621 О расширении производства авиационных компрессорных станций АКС-2 и АКС-7 заводами Наркомминвооружения. РГАНИР, Фонд ГКО, д. 373, лл. 166-168, 169-171 (11012).</w:t>
      </w:r>
    </w:p>
    <w:p w14:paraId="2082DD97" w14:textId="77777777" w:rsidR="00665165" w:rsidRPr="00925F26" w:rsidRDefault="00665165" w:rsidP="00925F26">
      <w:pPr>
        <w:autoSpaceDE w:val="0"/>
        <w:autoSpaceDN w:val="0"/>
        <w:adjustRightInd w:val="0"/>
        <w:jc w:val="both"/>
        <w:rPr>
          <w:color w:val="000000" w:themeColor="text1"/>
          <w:sz w:val="16"/>
          <w:szCs w:val="16"/>
        </w:rPr>
      </w:pPr>
    </w:p>
    <w:p w14:paraId="577BB60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0042CE0" w14:textId="77777777" w:rsidR="00665165" w:rsidRPr="00925F26" w:rsidRDefault="00665165" w:rsidP="00925F26">
      <w:pPr>
        <w:autoSpaceDE w:val="0"/>
        <w:autoSpaceDN w:val="0"/>
        <w:adjustRightInd w:val="0"/>
        <w:jc w:val="both"/>
        <w:rPr>
          <w:iCs/>
          <w:color w:val="000000" w:themeColor="text1"/>
          <w:sz w:val="16"/>
          <w:szCs w:val="16"/>
        </w:rPr>
      </w:pPr>
    </w:p>
    <w:p w14:paraId="7B3A5587" w14:textId="77777777" w:rsidR="004945E9" w:rsidRPr="00925F26" w:rsidRDefault="004945E9" w:rsidP="00925F26">
      <w:pPr>
        <w:jc w:val="both"/>
        <w:rPr>
          <w:color w:val="000000" w:themeColor="text1"/>
          <w:sz w:val="16"/>
          <w:szCs w:val="16"/>
        </w:rPr>
      </w:pPr>
      <w:r w:rsidRPr="00925F26">
        <w:rPr>
          <w:color w:val="000000" w:themeColor="text1"/>
          <w:sz w:val="16"/>
          <w:szCs w:val="16"/>
        </w:rPr>
        <w:t>2 марта 1944 в Т-34-100 закончил испытания стрельбой (1000 выстрелов) и возкой (500 километров пробега) 100-мм пушка ЗИС-100 завода № 92 НКВ, которые шли с 28 февраля. В выводах об испытаниях говорилось:</w:t>
      </w:r>
    </w:p>
    <w:p w14:paraId="07F0192D" w14:textId="77777777" w:rsidR="004945E9" w:rsidRPr="00925F26" w:rsidRDefault="004945E9" w:rsidP="00925F26">
      <w:pPr>
        <w:jc w:val="both"/>
        <w:rPr>
          <w:color w:val="000000" w:themeColor="text1"/>
          <w:sz w:val="16"/>
          <w:szCs w:val="16"/>
        </w:rPr>
      </w:pPr>
      <w:r w:rsidRPr="00925F26">
        <w:rPr>
          <w:color w:val="000000" w:themeColor="text1"/>
          <w:sz w:val="16"/>
          <w:szCs w:val="16"/>
        </w:rPr>
        <w:lastRenderedPageBreak/>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21029403" w14:textId="77777777" w:rsidR="004945E9" w:rsidRPr="00925F26" w:rsidRDefault="004945E9" w:rsidP="00925F26">
      <w:pPr>
        <w:jc w:val="both"/>
        <w:rPr>
          <w:color w:val="000000" w:themeColor="text1"/>
          <w:sz w:val="16"/>
          <w:szCs w:val="16"/>
        </w:rPr>
      </w:pPr>
      <w:r w:rsidRPr="00925F26">
        <w:rPr>
          <w:color w:val="000000" w:themeColor="text1"/>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7AF5078F" w14:textId="77777777" w:rsidR="004945E9" w:rsidRPr="00925F26" w:rsidRDefault="004945E9" w:rsidP="00925F26">
      <w:pPr>
        <w:jc w:val="both"/>
        <w:rPr>
          <w:color w:val="000000" w:themeColor="text1"/>
          <w:sz w:val="16"/>
          <w:szCs w:val="16"/>
        </w:rPr>
      </w:pPr>
      <w:r w:rsidRPr="00925F26">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252FFC4D" w14:textId="77777777" w:rsidR="004945E9" w:rsidRPr="00925F26" w:rsidRDefault="004945E9" w:rsidP="00925F26">
      <w:pPr>
        <w:jc w:val="both"/>
        <w:rPr>
          <w:color w:val="000000" w:themeColor="text1"/>
          <w:sz w:val="16"/>
          <w:szCs w:val="16"/>
        </w:rPr>
      </w:pPr>
      <w:r w:rsidRPr="00925F26">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3CEED97C" w14:textId="77777777" w:rsidR="004945E9" w:rsidRPr="00925F26" w:rsidRDefault="004945E9" w:rsidP="00925F26">
      <w:pPr>
        <w:jc w:val="both"/>
        <w:rPr>
          <w:color w:val="000000" w:themeColor="text1"/>
          <w:sz w:val="16"/>
          <w:szCs w:val="16"/>
        </w:rPr>
      </w:pPr>
    </w:p>
    <w:p w14:paraId="321A36C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марта 1945 вышло Распоряжение ГКО № 7601 [О выделении горючего для войск и строек НКВД и сельского хозяйства.] (7310, 78).</w:t>
      </w:r>
    </w:p>
    <w:p w14:paraId="32B423C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3CD0E3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7602 О производстве и распределении думпкар в I квартале 1945 г. (7310, 79).</w:t>
      </w:r>
    </w:p>
    <w:p w14:paraId="2CA8138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702D6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7603 О поставке листового металла заводам Наркомсредмаша для производства металлических звеньев в I квартале 1945 года. РГАНИР, Фонд ГКО, д. 373, лл. 80-81, 82 (11012).</w:t>
      </w:r>
    </w:p>
    <w:p w14:paraId="52E9C587" w14:textId="77777777" w:rsidR="00665165" w:rsidRPr="00925F26" w:rsidRDefault="00665165" w:rsidP="00925F26">
      <w:pPr>
        <w:autoSpaceDE w:val="0"/>
        <w:autoSpaceDN w:val="0"/>
        <w:adjustRightInd w:val="0"/>
        <w:jc w:val="both"/>
        <w:rPr>
          <w:color w:val="000000" w:themeColor="text1"/>
          <w:sz w:val="16"/>
          <w:szCs w:val="16"/>
        </w:rPr>
      </w:pPr>
    </w:p>
    <w:p w14:paraId="6D4BB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Распоряжение ГКО № 7604. Об уменьшении плана выпуска корпусов некоторых снарядов и мин на заводах НКНП с марта 1945 г. РГАНИР, Фонд ГКО, д. 373, лл. 83 (11012).</w:t>
      </w:r>
    </w:p>
    <w:p w14:paraId="0DD3967D" w14:textId="77777777" w:rsidR="00665165" w:rsidRPr="00925F26" w:rsidRDefault="00665165" w:rsidP="00925F26">
      <w:pPr>
        <w:autoSpaceDE w:val="0"/>
        <w:autoSpaceDN w:val="0"/>
        <w:adjustRightInd w:val="0"/>
        <w:jc w:val="both"/>
        <w:rPr>
          <w:color w:val="000000" w:themeColor="text1"/>
          <w:sz w:val="16"/>
          <w:szCs w:val="16"/>
        </w:rPr>
      </w:pPr>
    </w:p>
    <w:p w14:paraId="0940E7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Распоряжение ГКО № 7605. О поставке стройматериалов на строительство завода №850 НКБ. РГАНИР, Фонд ГКО, д. 373, лл. 84 (11012).</w:t>
      </w:r>
    </w:p>
    <w:p w14:paraId="1A035B31" w14:textId="77777777" w:rsidR="00665165" w:rsidRPr="00925F26" w:rsidRDefault="00665165" w:rsidP="00925F26">
      <w:pPr>
        <w:autoSpaceDE w:val="0"/>
        <w:autoSpaceDN w:val="0"/>
        <w:adjustRightInd w:val="0"/>
        <w:jc w:val="both"/>
        <w:rPr>
          <w:color w:val="000000" w:themeColor="text1"/>
          <w:sz w:val="16"/>
          <w:szCs w:val="16"/>
        </w:rPr>
      </w:pPr>
    </w:p>
    <w:p w14:paraId="0DCE2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Распоряжение ГКО № 7606. О мерах по бесперебойной поставке легированного металлопроката заводам НКТП. РГАНИР, Фонд ГКО, д. 373, лл. 85, 86-90 (11012).</w:t>
      </w:r>
    </w:p>
    <w:p w14:paraId="39BE45D7" w14:textId="77777777" w:rsidR="00665165" w:rsidRPr="00925F26" w:rsidRDefault="00665165" w:rsidP="00925F26">
      <w:pPr>
        <w:autoSpaceDE w:val="0"/>
        <w:autoSpaceDN w:val="0"/>
        <w:adjustRightInd w:val="0"/>
        <w:jc w:val="both"/>
        <w:rPr>
          <w:color w:val="000000" w:themeColor="text1"/>
          <w:sz w:val="16"/>
          <w:szCs w:val="16"/>
        </w:rPr>
      </w:pPr>
    </w:p>
    <w:p w14:paraId="538A25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Распоряжение ГКО № 7607. О срочной поставке стройматериалов строительству корпуса №2 на заводе №257 НКБ. РГАНИР, Фонд ГКО, д. 373, лл. 91-93 (11012).</w:t>
      </w:r>
    </w:p>
    <w:p w14:paraId="75C1ABB4" w14:textId="77777777" w:rsidR="00665165" w:rsidRPr="00925F26" w:rsidRDefault="00665165" w:rsidP="00925F26">
      <w:pPr>
        <w:autoSpaceDE w:val="0"/>
        <w:autoSpaceDN w:val="0"/>
        <w:adjustRightInd w:val="0"/>
        <w:jc w:val="both"/>
        <w:rPr>
          <w:color w:val="000000" w:themeColor="text1"/>
          <w:sz w:val="16"/>
          <w:szCs w:val="16"/>
        </w:rPr>
      </w:pPr>
    </w:p>
    <w:p w14:paraId="21E50F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7608 О вывозе трубопрокатного оборудования с трубопрокатного завода акционерного общества "Оберхюттен Штальрорверке" в г. Глейвиц. РГАНИР, Фонд ГКО, д. 373, лл. 94-95 (11012).</w:t>
      </w:r>
    </w:p>
    <w:p w14:paraId="6B94607B" w14:textId="77777777" w:rsidR="00665165" w:rsidRPr="00925F26" w:rsidRDefault="00665165" w:rsidP="00925F26">
      <w:pPr>
        <w:autoSpaceDE w:val="0"/>
        <w:autoSpaceDN w:val="0"/>
        <w:adjustRightInd w:val="0"/>
        <w:jc w:val="both"/>
        <w:rPr>
          <w:color w:val="000000" w:themeColor="text1"/>
          <w:sz w:val="16"/>
          <w:szCs w:val="16"/>
        </w:rPr>
      </w:pPr>
    </w:p>
    <w:p w14:paraId="36465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7609 О вывозе блюминга с завода "Юлиенхютте" в г. Бобрек. РГАНИР, Фонд ГКО, д. 373, лл. 96-97 (11012).</w:t>
      </w:r>
    </w:p>
    <w:p w14:paraId="42A64847" w14:textId="77777777" w:rsidR="00665165" w:rsidRPr="00925F26" w:rsidRDefault="00665165" w:rsidP="00925F26">
      <w:pPr>
        <w:autoSpaceDE w:val="0"/>
        <w:autoSpaceDN w:val="0"/>
        <w:adjustRightInd w:val="0"/>
        <w:jc w:val="both"/>
        <w:rPr>
          <w:color w:val="000000" w:themeColor="text1"/>
          <w:sz w:val="16"/>
          <w:szCs w:val="16"/>
        </w:rPr>
      </w:pPr>
    </w:p>
    <w:p w14:paraId="002FA6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7610 О вывозе прокатных станов и электропечей с немецких заводов "Герминенхютте" и "Прессверке" в г. ЛабанРГАНИР, Фонд ГКО, д. РГАНИР, Фонд ГКО, д. 373, лл. 98-99 (11012).</w:t>
      </w:r>
    </w:p>
    <w:p w14:paraId="3F11A81A" w14:textId="77777777" w:rsidR="00665165" w:rsidRPr="00925F26" w:rsidRDefault="00665165" w:rsidP="00925F26">
      <w:pPr>
        <w:autoSpaceDE w:val="0"/>
        <w:autoSpaceDN w:val="0"/>
        <w:adjustRightInd w:val="0"/>
        <w:jc w:val="both"/>
        <w:rPr>
          <w:color w:val="000000" w:themeColor="text1"/>
          <w:sz w:val="16"/>
          <w:szCs w:val="16"/>
        </w:rPr>
      </w:pPr>
    </w:p>
    <w:p w14:paraId="236ABF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7611 О вывозе металла с немецких заводов Верхней Силезии. РГАНИР, Фонд ГКО, д. 373, лл. 100-101, 102 (11012).</w:t>
      </w:r>
    </w:p>
    <w:p w14:paraId="514F8861" w14:textId="77777777" w:rsidR="00665165" w:rsidRPr="00925F26" w:rsidRDefault="00665165" w:rsidP="00925F26">
      <w:pPr>
        <w:autoSpaceDE w:val="0"/>
        <w:autoSpaceDN w:val="0"/>
        <w:adjustRightInd w:val="0"/>
        <w:jc w:val="both"/>
        <w:rPr>
          <w:color w:val="000000" w:themeColor="text1"/>
          <w:sz w:val="16"/>
          <w:szCs w:val="16"/>
        </w:rPr>
      </w:pPr>
    </w:p>
    <w:p w14:paraId="732FD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года вышло:</w:t>
      </w:r>
    </w:p>
    <w:p w14:paraId="0E6B8EF6" w14:textId="77777777" w:rsidR="00665165" w:rsidRPr="00925F26" w:rsidRDefault="00665165" w:rsidP="00925F26">
      <w:pPr>
        <w:jc w:val="both"/>
        <w:rPr>
          <w:color w:val="000000" w:themeColor="text1"/>
          <w:sz w:val="16"/>
          <w:szCs w:val="16"/>
        </w:rPr>
      </w:pPr>
      <w:r w:rsidRPr="00925F26">
        <w:rPr>
          <w:color w:val="000000" w:themeColor="text1"/>
          <w:sz w:val="16"/>
          <w:szCs w:val="16"/>
        </w:rPr>
        <w:t>ПОСТАНОВЛЕНИЕ ГОСУДАРСТВЕННОГО КОМИТЕТА ОБОРОНЫ № 7611с</w:t>
      </w:r>
    </w:p>
    <w:p w14:paraId="4F583DC5" w14:textId="77777777" w:rsidR="00665165" w:rsidRPr="00925F26" w:rsidRDefault="00665165" w:rsidP="00925F26">
      <w:pPr>
        <w:jc w:val="both"/>
        <w:rPr>
          <w:color w:val="000000" w:themeColor="text1"/>
          <w:sz w:val="16"/>
          <w:szCs w:val="16"/>
        </w:rPr>
      </w:pPr>
      <w:r w:rsidRPr="00925F26">
        <w:rPr>
          <w:color w:val="000000" w:themeColor="text1"/>
          <w:sz w:val="16"/>
          <w:szCs w:val="16"/>
        </w:rPr>
        <w:t>О вывозе металла с немецких заводов Верхней Силезии</w:t>
      </w:r>
    </w:p>
    <w:p w14:paraId="074696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3A0B17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Обязать Наркомчермет (т. Тевосяна) вывезти с немецких заводов Верхней Силезии, перечисленных в приложении:</w:t>
      </w:r>
    </w:p>
    <w:p w14:paraId="567E9B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готового проката 26 тыс. тонн</w:t>
      </w:r>
    </w:p>
    <w:p w14:paraId="522E5B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труб 2 " "</w:t>
      </w:r>
    </w:p>
    <w:p w14:paraId="578A84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метизов 4 " " стальных канатов 560 " "</w:t>
      </w:r>
    </w:p>
    <w:p w14:paraId="780402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Назначить уполномоченным Наркомчермета по отгрузке металла начальника Московской конторы Главметаллосбыта НКЧМ т. Субоч В. К.</w:t>
      </w:r>
    </w:p>
    <w:p w14:paraId="4CE4B7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Обязать начальника Главного трофейного управления НКО т. Вахитова:</w:t>
      </w:r>
    </w:p>
    <w:p w14:paraId="7D6420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обеспечить в марте-апреле 1945 г. Погрузку металла и метизов в количествах, указанных в п. 1 настоящего постановления;</w:t>
      </w:r>
    </w:p>
    <w:p w14:paraId="0541B5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выделить для погрузки металла и метизов 300 человек рабочих.</w:t>
      </w:r>
    </w:p>
    <w:p w14:paraId="44D779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Обязать т. Ковалева (НКПС) и т. Дмитриева (ВОСО) выделить по заявке уполномоченного Особого Комитета т. Сабурова необходимое количество вагонов для погрузки металла и метизов, указанных в п. 1 настоящего постановления.</w:t>
      </w:r>
    </w:p>
    <w:p w14:paraId="19530B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Отгрузку металла и метизов произвести в пункты по указанию Наркомчермета.</w:t>
      </w:r>
    </w:p>
    <w:p w14:paraId="21F88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ПРЕДСЕДАТЕЛЬ ГОСУДАРСТВЕННОГО КОМИТЕТА ОБОРОНЫ И. СТАЛИН </w:t>
      </w:r>
    </w:p>
    <w:p w14:paraId="57674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2F4FA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Приложение</w:t>
      </w:r>
    </w:p>
    <w:p w14:paraId="1EC828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Постановлению ГОКО № 7611с</w:t>
      </w:r>
    </w:p>
    <w:p w14:paraId="7FD36E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"2" марта 1945 г.</w:t>
      </w:r>
    </w:p>
    <w:p w14:paraId="6D3136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СПИСОК</w:t>
      </w:r>
    </w:p>
    <w:p w14:paraId="13FFB1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заводов Верхней Силезии, с которых вывозится металл в СССР.</w:t>
      </w:r>
    </w:p>
    <w:p w14:paraId="535AB6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тоннах)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885"/>
        <w:gridCol w:w="1620"/>
        <w:gridCol w:w="900"/>
        <w:gridCol w:w="1080"/>
        <w:gridCol w:w="1080"/>
        <w:gridCol w:w="1005"/>
      </w:tblGrid>
      <w:tr w:rsidR="000F5689" w:rsidRPr="00925F26" w14:paraId="1AC4146C" w14:textId="77777777">
        <w:trPr>
          <w:jc w:val="center"/>
        </w:trPr>
        <w:tc>
          <w:tcPr>
            <w:tcW w:w="3885" w:type="dxa"/>
            <w:tcBorders>
              <w:top w:val="single" w:sz="12" w:space="0" w:color="auto"/>
            </w:tcBorders>
          </w:tcPr>
          <w:p w14:paraId="5A1B3C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предприятий</w:t>
            </w:r>
          </w:p>
        </w:tc>
        <w:tc>
          <w:tcPr>
            <w:tcW w:w="1620" w:type="dxa"/>
            <w:tcBorders>
              <w:top w:val="single" w:sz="12" w:space="0" w:color="auto"/>
            </w:tcBorders>
          </w:tcPr>
          <w:p w14:paraId="61FC74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Профильный прокат</w:t>
            </w:r>
          </w:p>
        </w:tc>
        <w:tc>
          <w:tcPr>
            <w:tcW w:w="900" w:type="dxa"/>
            <w:tcBorders>
              <w:top w:val="single" w:sz="12" w:space="0" w:color="auto"/>
            </w:tcBorders>
          </w:tcPr>
          <w:p w14:paraId="2D1826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Лист</w:t>
            </w:r>
          </w:p>
        </w:tc>
        <w:tc>
          <w:tcPr>
            <w:tcW w:w="1080" w:type="dxa"/>
            <w:tcBorders>
              <w:top w:val="single" w:sz="12" w:space="0" w:color="auto"/>
            </w:tcBorders>
          </w:tcPr>
          <w:p w14:paraId="128C7E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Трубы</w:t>
            </w:r>
          </w:p>
        </w:tc>
        <w:tc>
          <w:tcPr>
            <w:tcW w:w="1080" w:type="dxa"/>
            <w:tcBorders>
              <w:top w:val="single" w:sz="12" w:space="0" w:color="auto"/>
            </w:tcBorders>
          </w:tcPr>
          <w:p w14:paraId="32E503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Метизы</w:t>
            </w:r>
          </w:p>
        </w:tc>
        <w:tc>
          <w:tcPr>
            <w:tcW w:w="1005" w:type="dxa"/>
            <w:tcBorders>
              <w:top w:val="single" w:sz="12" w:space="0" w:color="auto"/>
            </w:tcBorders>
          </w:tcPr>
          <w:p w14:paraId="16B0E1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Канаты</w:t>
            </w:r>
          </w:p>
        </w:tc>
      </w:tr>
      <w:tr w:rsidR="000F5689" w:rsidRPr="00925F26" w14:paraId="679248C6" w14:textId="77777777">
        <w:trPr>
          <w:jc w:val="center"/>
        </w:trPr>
        <w:tc>
          <w:tcPr>
            <w:tcW w:w="3885" w:type="dxa"/>
          </w:tcPr>
          <w:p w14:paraId="6F502B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Трубопрокатный завод </w:t>
            </w:r>
          </w:p>
          <w:p w14:paraId="71965E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Штальрорверке в г. Глейвиц</w:t>
            </w:r>
          </w:p>
        </w:tc>
        <w:tc>
          <w:tcPr>
            <w:tcW w:w="1620" w:type="dxa"/>
          </w:tcPr>
          <w:p w14:paraId="30A221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00" w:type="dxa"/>
          </w:tcPr>
          <w:p w14:paraId="56E6B9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C5951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80" w:type="dxa"/>
          </w:tcPr>
          <w:p w14:paraId="39882C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05" w:type="dxa"/>
          </w:tcPr>
          <w:p w14:paraId="3813B8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65DB312" w14:textId="77777777">
        <w:trPr>
          <w:jc w:val="center"/>
        </w:trPr>
        <w:tc>
          <w:tcPr>
            <w:tcW w:w="3885" w:type="dxa"/>
          </w:tcPr>
          <w:p w14:paraId="71FEB5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Реденхютте в</w:t>
            </w:r>
          </w:p>
          <w:p w14:paraId="5393A2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Гинденбург</w:t>
            </w:r>
          </w:p>
        </w:tc>
        <w:tc>
          <w:tcPr>
            <w:tcW w:w="1620" w:type="dxa"/>
          </w:tcPr>
          <w:p w14:paraId="61C519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2800</w:t>
            </w:r>
          </w:p>
        </w:tc>
        <w:tc>
          <w:tcPr>
            <w:tcW w:w="900" w:type="dxa"/>
          </w:tcPr>
          <w:p w14:paraId="617F1E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4B21F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0625A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05" w:type="dxa"/>
          </w:tcPr>
          <w:p w14:paraId="783DCF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98BD54D" w14:textId="77777777">
        <w:trPr>
          <w:jc w:val="center"/>
        </w:trPr>
        <w:tc>
          <w:tcPr>
            <w:tcW w:w="3885" w:type="dxa"/>
          </w:tcPr>
          <w:p w14:paraId="03ABB7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Дратверке в г. Глейвиц</w:t>
            </w:r>
          </w:p>
        </w:tc>
        <w:tc>
          <w:tcPr>
            <w:tcW w:w="1620" w:type="dxa"/>
          </w:tcPr>
          <w:p w14:paraId="6DBC82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2800</w:t>
            </w:r>
          </w:p>
        </w:tc>
        <w:tc>
          <w:tcPr>
            <w:tcW w:w="900" w:type="dxa"/>
          </w:tcPr>
          <w:p w14:paraId="73F59B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305D31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024043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05" w:type="dxa"/>
          </w:tcPr>
          <w:p w14:paraId="767CB7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AEC9BE3" w14:textId="77777777">
        <w:trPr>
          <w:jc w:val="center"/>
        </w:trPr>
        <w:tc>
          <w:tcPr>
            <w:tcW w:w="3885" w:type="dxa"/>
          </w:tcPr>
          <w:p w14:paraId="7482AB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Штальпрессверке в г. Глейвиц</w:t>
            </w:r>
          </w:p>
        </w:tc>
        <w:tc>
          <w:tcPr>
            <w:tcW w:w="1620" w:type="dxa"/>
          </w:tcPr>
          <w:p w14:paraId="540ADC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900" w:type="dxa"/>
          </w:tcPr>
          <w:p w14:paraId="3FAD50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2300</w:t>
            </w:r>
          </w:p>
        </w:tc>
        <w:tc>
          <w:tcPr>
            <w:tcW w:w="1080" w:type="dxa"/>
          </w:tcPr>
          <w:p w14:paraId="76FB5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23C31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05" w:type="dxa"/>
          </w:tcPr>
          <w:p w14:paraId="7A4EC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A64B9AD" w14:textId="77777777">
        <w:trPr>
          <w:jc w:val="center"/>
        </w:trPr>
        <w:tc>
          <w:tcPr>
            <w:tcW w:w="3885" w:type="dxa"/>
          </w:tcPr>
          <w:p w14:paraId="22252F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Проволочно-канатный завод фирмы Дайксель в г. Гинденбург</w:t>
            </w:r>
          </w:p>
        </w:tc>
        <w:tc>
          <w:tcPr>
            <w:tcW w:w="1620" w:type="dxa"/>
          </w:tcPr>
          <w:p w14:paraId="07A3D6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1200</w:t>
            </w:r>
          </w:p>
        </w:tc>
        <w:tc>
          <w:tcPr>
            <w:tcW w:w="900" w:type="dxa"/>
          </w:tcPr>
          <w:p w14:paraId="3376F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75201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6AC399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05" w:type="dxa"/>
          </w:tcPr>
          <w:p w14:paraId="6CD88B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r>
      <w:tr w:rsidR="000F5689" w:rsidRPr="00925F26" w14:paraId="4BC0A1FE" w14:textId="77777777">
        <w:trPr>
          <w:jc w:val="center"/>
        </w:trPr>
        <w:tc>
          <w:tcPr>
            <w:tcW w:w="3885" w:type="dxa"/>
          </w:tcPr>
          <w:p w14:paraId="1533FE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Герминенхютте в г. Лабанд</w:t>
            </w:r>
          </w:p>
        </w:tc>
        <w:tc>
          <w:tcPr>
            <w:tcW w:w="1620" w:type="dxa"/>
          </w:tcPr>
          <w:p w14:paraId="06B2DB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13000</w:t>
            </w:r>
          </w:p>
        </w:tc>
        <w:tc>
          <w:tcPr>
            <w:tcW w:w="900" w:type="dxa"/>
          </w:tcPr>
          <w:p w14:paraId="16ACFE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080" w:type="dxa"/>
          </w:tcPr>
          <w:p w14:paraId="059DED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16A6E2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05" w:type="dxa"/>
          </w:tcPr>
          <w:p w14:paraId="1B529F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49684CC" w14:textId="77777777">
        <w:trPr>
          <w:jc w:val="center"/>
        </w:trPr>
        <w:tc>
          <w:tcPr>
            <w:tcW w:w="3885" w:type="dxa"/>
          </w:tcPr>
          <w:p w14:paraId="381374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Андреасхютте в г. Андреасхютте</w:t>
            </w:r>
          </w:p>
        </w:tc>
        <w:tc>
          <w:tcPr>
            <w:tcW w:w="1620" w:type="dxa"/>
          </w:tcPr>
          <w:p w14:paraId="5D58DE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w:t>
            </w:r>
          </w:p>
        </w:tc>
        <w:tc>
          <w:tcPr>
            <w:tcW w:w="900" w:type="dxa"/>
          </w:tcPr>
          <w:p w14:paraId="35697A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2A961A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80" w:type="dxa"/>
          </w:tcPr>
          <w:p w14:paraId="5B79B3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05" w:type="dxa"/>
          </w:tcPr>
          <w:p w14:paraId="66DCED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8117B1E" w14:textId="77777777">
        <w:trPr>
          <w:jc w:val="center"/>
        </w:trPr>
        <w:tc>
          <w:tcPr>
            <w:tcW w:w="3885" w:type="dxa"/>
            <w:tcBorders>
              <w:bottom w:val="single" w:sz="12" w:space="0" w:color="auto"/>
            </w:tcBorders>
          </w:tcPr>
          <w:p w14:paraId="5D717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620" w:type="dxa"/>
            <w:tcBorders>
              <w:bottom w:val="single" w:sz="12" w:space="0" w:color="auto"/>
            </w:tcBorders>
          </w:tcPr>
          <w:p w14:paraId="641B60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23000</w:t>
            </w:r>
          </w:p>
        </w:tc>
        <w:tc>
          <w:tcPr>
            <w:tcW w:w="900" w:type="dxa"/>
            <w:tcBorders>
              <w:bottom w:val="single" w:sz="12" w:space="0" w:color="auto"/>
            </w:tcBorders>
          </w:tcPr>
          <w:p w14:paraId="095914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80" w:type="dxa"/>
            <w:tcBorders>
              <w:bottom w:val="single" w:sz="12" w:space="0" w:color="auto"/>
            </w:tcBorders>
          </w:tcPr>
          <w:p w14:paraId="396442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80" w:type="dxa"/>
            <w:tcBorders>
              <w:bottom w:val="single" w:sz="12" w:space="0" w:color="auto"/>
            </w:tcBorders>
          </w:tcPr>
          <w:p w14:paraId="56634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05" w:type="dxa"/>
            <w:tcBorders>
              <w:bottom w:val="single" w:sz="12" w:space="0" w:color="auto"/>
            </w:tcBorders>
          </w:tcPr>
          <w:p w14:paraId="396B65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r>
    </w:tbl>
    <w:p w14:paraId="01AD19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(11813).</w:t>
      </w:r>
    </w:p>
    <w:p w14:paraId="68B230F0" w14:textId="77777777" w:rsidR="00665165" w:rsidRPr="00925F26" w:rsidRDefault="00665165" w:rsidP="00925F26">
      <w:pPr>
        <w:autoSpaceDE w:val="0"/>
        <w:autoSpaceDN w:val="0"/>
        <w:adjustRightInd w:val="0"/>
        <w:jc w:val="both"/>
        <w:rPr>
          <w:color w:val="000000" w:themeColor="text1"/>
          <w:sz w:val="16"/>
          <w:szCs w:val="16"/>
        </w:rPr>
      </w:pPr>
    </w:p>
    <w:p w14:paraId="170C5D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7612 О вывозе 87 тонн ртути из гор. Хшанув. РГАНИР, Фонд ГКО, д. 373, лл. 103 (11012).</w:t>
      </w:r>
    </w:p>
    <w:p w14:paraId="506EC0F2" w14:textId="77777777" w:rsidR="00665165" w:rsidRPr="00925F26" w:rsidRDefault="00665165" w:rsidP="00925F26">
      <w:pPr>
        <w:autoSpaceDE w:val="0"/>
        <w:autoSpaceDN w:val="0"/>
        <w:adjustRightInd w:val="0"/>
        <w:jc w:val="both"/>
        <w:rPr>
          <w:color w:val="000000" w:themeColor="text1"/>
          <w:sz w:val="16"/>
          <w:szCs w:val="16"/>
        </w:rPr>
      </w:pPr>
    </w:p>
    <w:p w14:paraId="43ECD7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7613 О вывозе оборудования радиостанции из Восточной Пруссии. РГАНИР, Фонд ГКО, д. 373, лл. 104-105 (11012).</w:t>
      </w:r>
    </w:p>
    <w:p w14:paraId="7001526C" w14:textId="77777777" w:rsidR="00665165" w:rsidRPr="00925F26" w:rsidRDefault="00665165" w:rsidP="00925F26">
      <w:pPr>
        <w:autoSpaceDE w:val="0"/>
        <w:autoSpaceDN w:val="0"/>
        <w:adjustRightInd w:val="0"/>
        <w:jc w:val="both"/>
        <w:rPr>
          <w:color w:val="000000" w:themeColor="text1"/>
          <w:sz w:val="16"/>
          <w:szCs w:val="16"/>
        </w:rPr>
      </w:pPr>
    </w:p>
    <w:p w14:paraId="7DC3EC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7614 О демонтаже 19 турбин на мощность 507 тыс. киловатт и 32 котлов высокого давления с электростанций немецкой Силезии. РГАНИР, Фонд ГКО, д. 373, лл. 106-107, 108-111 (11012).</w:t>
      </w:r>
    </w:p>
    <w:p w14:paraId="604B2632" w14:textId="77777777" w:rsidR="00665165" w:rsidRPr="00925F26" w:rsidRDefault="00665165" w:rsidP="00925F26">
      <w:pPr>
        <w:autoSpaceDE w:val="0"/>
        <w:autoSpaceDN w:val="0"/>
        <w:adjustRightInd w:val="0"/>
        <w:jc w:val="both"/>
        <w:rPr>
          <w:color w:val="000000" w:themeColor="text1"/>
          <w:sz w:val="16"/>
          <w:szCs w:val="16"/>
        </w:rPr>
      </w:pPr>
    </w:p>
    <w:p w14:paraId="3E0529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 марта 1945 вышло Постановление ГКО № 7615 О введении военного положения на взрывоопасных заводах №129, 388, 502 и 503 Наркомата боеприпасов. РГАНИР, Фонд ГКО, д. 373, лл. 112 (11012).</w:t>
      </w:r>
    </w:p>
    <w:p w14:paraId="6702C0DC" w14:textId="77777777" w:rsidR="00665165" w:rsidRPr="00925F26" w:rsidRDefault="00665165" w:rsidP="00925F26">
      <w:pPr>
        <w:autoSpaceDE w:val="0"/>
        <w:autoSpaceDN w:val="0"/>
        <w:adjustRightInd w:val="0"/>
        <w:jc w:val="both"/>
        <w:rPr>
          <w:color w:val="000000" w:themeColor="text1"/>
          <w:sz w:val="16"/>
          <w:szCs w:val="16"/>
        </w:rPr>
      </w:pPr>
    </w:p>
    <w:p w14:paraId="6FADAC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7616 О плане распределения электроэнергии на март 1945 г. РГАНИР, Фонд ГКО, д. 373, лл. 113-114, 115-122 (11012).</w:t>
      </w:r>
    </w:p>
    <w:p w14:paraId="74B749BA" w14:textId="77777777" w:rsidR="00665165" w:rsidRPr="00925F26" w:rsidRDefault="00665165" w:rsidP="00925F26">
      <w:pPr>
        <w:autoSpaceDE w:val="0"/>
        <w:autoSpaceDN w:val="0"/>
        <w:adjustRightInd w:val="0"/>
        <w:jc w:val="both"/>
        <w:rPr>
          <w:color w:val="000000" w:themeColor="text1"/>
          <w:sz w:val="16"/>
          <w:szCs w:val="16"/>
        </w:rPr>
      </w:pPr>
    </w:p>
    <w:p w14:paraId="36946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7617 О мероприятиях по обеспечению заводов Наркомнефти нефтесырьем в марте 1945 года. РГАНИР, Фонд ГКО, д. 373, лл. 123-127, 128-129 (11012).</w:t>
      </w:r>
    </w:p>
    <w:p w14:paraId="75B15443" w14:textId="77777777" w:rsidR="00665165" w:rsidRPr="00925F26" w:rsidRDefault="00665165" w:rsidP="00925F26">
      <w:pPr>
        <w:autoSpaceDE w:val="0"/>
        <w:autoSpaceDN w:val="0"/>
        <w:adjustRightInd w:val="0"/>
        <w:jc w:val="both"/>
        <w:rPr>
          <w:color w:val="000000" w:themeColor="text1"/>
          <w:sz w:val="16"/>
          <w:szCs w:val="16"/>
        </w:rPr>
      </w:pPr>
    </w:p>
    <w:p w14:paraId="2EFA746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7618 Об обеспечении речного флота топливом к открытию навигации 1945 г. (7310, 130-132,133-137).</w:t>
      </w:r>
    </w:p>
    <w:p w14:paraId="5950097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877A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7619 Об увеличении производства и поставки НКО СССР ручных гранат Ф-1 и РГ-42 в I квартале 1945 г. РГАНИР, Фонд ГКО, д. 373, лл. 138-143, 144-162 (11012).</w:t>
      </w:r>
    </w:p>
    <w:p w14:paraId="5E831954" w14:textId="77777777" w:rsidR="00665165" w:rsidRPr="00925F26" w:rsidRDefault="00665165" w:rsidP="00925F26">
      <w:pPr>
        <w:autoSpaceDE w:val="0"/>
        <w:autoSpaceDN w:val="0"/>
        <w:adjustRightInd w:val="0"/>
        <w:jc w:val="both"/>
        <w:rPr>
          <w:color w:val="000000" w:themeColor="text1"/>
          <w:sz w:val="16"/>
          <w:szCs w:val="16"/>
        </w:rPr>
      </w:pPr>
    </w:p>
    <w:p w14:paraId="666F9F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7622 О восстановлении паровозоремонтных, вагоноремонтных и машиностроительных заводов НКПС в 1945 году. РГАНИР, Фонд ГКО, д. 373, лл. 172-180, 181-186 (11012).</w:t>
      </w:r>
    </w:p>
    <w:p w14:paraId="635557F2" w14:textId="77777777" w:rsidR="00665165" w:rsidRPr="00925F26" w:rsidRDefault="00665165" w:rsidP="00925F26">
      <w:pPr>
        <w:autoSpaceDE w:val="0"/>
        <w:autoSpaceDN w:val="0"/>
        <w:adjustRightInd w:val="0"/>
        <w:jc w:val="both"/>
        <w:rPr>
          <w:color w:val="000000" w:themeColor="text1"/>
          <w:sz w:val="16"/>
          <w:szCs w:val="16"/>
        </w:rPr>
      </w:pPr>
    </w:p>
    <w:p w14:paraId="5C1BDD9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7623 О производстве на заводах Наркомтяжмаша шахтных подъемных машин в 1945 г. для восстанавливаемых и строящихся шахт Наркомугля, Наркомчермета, Наркомцветмата и НКВД СССР. (7310, 187-197,198-209).</w:t>
      </w:r>
    </w:p>
    <w:p w14:paraId="3411D62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B519B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вышло Постановление ГКО № 7624 О плане производства гражданской продукции Уралмашзавода Наркомтанкопрома на I квартал 1945 года. РГАНИР, Фонд ГКО, д. 373, лл. 210-211, 212-217 (11012).</w:t>
      </w:r>
    </w:p>
    <w:p w14:paraId="74CBC321" w14:textId="77777777" w:rsidR="00665165" w:rsidRPr="00925F26" w:rsidRDefault="00665165" w:rsidP="00925F26">
      <w:pPr>
        <w:autoSpaceDE w:val="0"/>
        <w:autoSpaceDN w:val="0"/>
        <w:adjustRightInd w:val="0"/>
        <w:jc w:val="both"/>
        <w:rPr>
          <w:color w:val="000000" w:themeColor="text1"/>
          <w:sz w:val="16"/>
          <w:szCs w:val="16"/>
        </w:rPr>
      </w:pPr>
    </w:p>
    <w:p w14:paraId="4809B4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 марта 1945 года, М.Г.Первухин докладывал члену ГОКО СССР Г.М.Маленкову детали о нахождение военно-химического завода Германии крупного масштаба в полной сохранности.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76A51BA" w14:textId="77777777" w:rsidR="00665165" w:rsidRPr="00925F26" w:rsidRDefault="00665165" w:rsidP="00925F26">
      <w:pPr>
        <w:autoSpaceDE w:val="0"/>
        <w:autoSpaceDN w:val="0"/>
        <w:adjustRightInd w:val="0"/>
        <w:jc w:val="both"/>
        <w:rPr>
          <w:color w:val="000000" w:themeColor="text1"/>
          <w:sz w:val="16"/>
          <w:szCs w:val="16"/>
        </w:rPr>
      </w:pPr>
    </w:p>
    <w:p w14:paraId="04CE0EF6" w14:textId="77777777" w:rsidR="003751D3" w:rsidRPr="00925F26" w:rsidRDefault="003751D3" w:rsidP="00925F26">
      <w:pPr>
        <w:shd w:val="clear" w:color="auto" w:fill="FFFFFF"/>
        <w:jc w:val="both"/>
        <w:rPr>
          <w:color w:val="000000" w:themeColor="text1"/>
          <w:sz w:val="16"/>
          <w:szCs w:val="16"/>
        </w:rPr>
      </w:pPr>
      <w:r w:rsidRPr="00925F26">
        <w:rPr>
          <w:bCs/>
          <w:iCs/>
          <w:color w:val="000000" w:themeColor="text1"/>
          <w:sz w:val="16"/>
          <w:szCs w:val="16"/>
        </w:rPr>
        <w:t>2 марта 1945 г.</w:t>
      </w:r>
      <w:r w:rsidRPr="00925F26">
        <w:rPr>
          <w:color w:val="000000" w:themeColor="text1"/>
          <w:sz w:val="16"/>
          <w:szCs w:val="16"/>
        </w:rPr>
        <w:t xml:space="preserve"> Письмо наркома НКХП СССР М.Г.Первухина члену ГОКО СССР Г.М.Маленкову об обнаружении в полосе 1-го Украинского фронта на станции Дихернфурт-на-Одере военно-химического завода Германии крупного масштаба. Найдены цеха для промышленного выпуска фосфорорганического ОВ табуна, опытного выпуска зарина, а также снаряжения химических боеприпасов. Анализ проб в спецлаборатории АН СССР (академик А.Н.Несмеянов) и других лабораториях подтвердил факт выпуска на заводе табуна — ОВ, вызывающего поражение центральной нервной системы и действующего через органы дыхания и через незащищенную кожу. Испрошено разрешение на перевоз трофейного оборудования завода «Аноргана Верк ГМБХ» в Советский Союз с последующим восстановлением на химическом заводе № 91 (Сталинград) (17133).</w:t>
      </w:r>
    </w:p>
    <w:p w14:paraId="7020A44B" w14:textId="77777777" w:rsidR="003751D3" w:rsidRPr="00925F26" w:rsidRDefault="003751D3" w:rsidP="00925F26">
      <w:pPr>
        <w:shd w:val="clear" w:color="auto" w:fill="FFFFFF"/>
        <w:jc w:val="both"/>
        <w:rPr>
          <w:color w:val="000000" w:themeColor="text1"/>
          <w:sz w:val="16"/>
          <w:szCs w:val="16"/>
        </w:rPr>
      </w:pPr>
    </w:p>
    <w:p w14:paraId="2F4BC28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872F430" w14:textId="77777777" w:rsidR="00665165" w:rsidRPr="00925F26" w:rsidRDefault="00665165" w:rsidP="00925F26">
      <w:pPr>
        <w:autoSpaceDE w:val="0"/>
        <w:autoSpaceDN w:val="0"/>
        <w:adjustRightInd w:val="0"/>
        <w:jc w:val="both"/>
        <w:rPr>
          <w:iCs/>
          <w:color w:val="000000" w:themeColor="text1"/>
          <w:sz w:val="16"/>
          <w:szCs w:val="16"/>
        </w:rPr>
      </w:pPr>
    </w:p>
    <w:p w14:paraId="3D0E96ED" w14:textId="77777777" w:rsidR="003751D3" w:rsidRPr="00925F26" w:rsidRDefault="003751D3" w:rsidP="00925F26">
      <w:pPr>
        <w:jc w:val="both"/>
        <w:rPr>
          <w:color w:val="000000" w:themeColor="text1"/>
          <w:sz w:val="16"/>
          <w:szCs w:val="16"/>
        </w:rPr>
      </w:pPr>
      <w:r w:rsidRPr="00925F26">
        <w:rPr>
          <w:bCs/>
          <w:color w:val="000000" w:themeColor="text1"/>
          <w:sz w:val="16"/>
          <w:szCs w:val="16"/>
        </w:rPr>
        <w:t>2 марта</w:t>
      </w:r>
      <w:r w:rsidRPr="00925F26">
        <w:rPr>
          <w:color w:val="000000" w:themeColor="text1"/>
          <w:sz w:val="16"/>
          <w:szCs w:val="16"/>
        </w:rPr>
        <w:t xml:space="preserve"> в 1945 году оперативная сводка Совинформбюро:</w:t>
      </w:r>
    </w:p>
    <w:p w14:paraId="73C0D27E" w14:textId="77777777" w:rsidR="003751D3" w:rsidRPr="00925F26" w:rsidRDefault="003751D3" w:rsidP="00925F26">
      <w:pPr>
        <w:jc w:val="both"/>
        <w:rPr>
          <w:color w:val="000000" w:themeColor="text1"/>
          <w:sz w:val="16"/>
          <w:szCs w:val="16"/>
        </w:rPr>
      </w:pPr>
      <w:r w:rsidRPr="00925F26">
        <w:rPr>
          <w:color w:val="000000" w:themeColor="text1"/>
          <w:sz w:val="16"/>
          <w:szCs w:val="16"/>
        </w:rPr>
        <w:t>«В течение 2 марта юго-западнее Кенигсберга наши войска в результате наступательных боёв овладели населёнными пунктами Розен, Рентенгютер, Шенвальде, Шенау, Мертенсдорф и железнодорожной станцией Шенау.</w:t>
      </w:r>
    </w:p>
    <w:p w14:paraId="47582827" w14:textId="77777777" w:rsidR="003751D3" w:rsidRPr="00925F26" w:rsidRDefault="003751D3" w:rsidP="00925F26">
      <w:pPr>
        <w:jc w:val="both"/>
        <w:rPr>
          <w:color w:val="000000" w:themeColor="text1"/>
          <w:sz w:val="16"/>
          <w:szCs w:val="16"/>
        </w:rPr>
      </w:pPr>
      <w:r w:rsidRPr="00925F26">
        <w:rPr>
          <w:color w:val="000000" w:themeColor="text1"/>
          <w:sz w:val="16"/>
          <w:szCs w:val="16"/>
        </w:rPr>
        <w:t>В районе Грудзяндз (Грауденц) наши войска вели бои по уничтожению окружённого гарнизона противника, в ходе которых очистили от немцев южную половину города.</w:t>
      </w:r>
    </w:p>
    <w:p w14:paraId="1C094E17" w14:textId="77777777" w:rsidR="003751D3" w:rsidRPr="00925F26" w:rsidRDefault="003751D3" w:rsidP="00925F26">
      <w:pPr>
        <w:jc w:val="both"/>
        <w:rPr>
          <w:color w:val="000000" w:themeColor="text1"/>
          <w:sz w:val="16"/>
          <w:szCs w:val="16"/>
        </w:rPr>
      </w:pPr>
      <w:r w:rsidRPr="00925F26">
        <w:rPr>
          <w:color w:val="000000" w:themeColor="text1"/>
          <w:sz w:val="16"/>
          <w:szCs w:val="16"/>
        </w:rPr>
        <w:t>На территории Померании, северо-западнее и западнее города Нойштеттин, наши войска, продолжая наступление, с боями заняли более 30 населённых пунктов и среди них Гольдовк, Дуббертех, Клингбек, Перзанцих, Гиссольк, Иухов.</w:t>
      </w:r>
    </w:p>
    <w:p w14:paraId="2C058DBE" w14:textId="77777777" w:rsidR="003751D3" w:rsidRPr="00925F26" w:rsidRDefault="003751D3" w:rsidP="00925F26">
      <w:pPr>
        <w:jc w:val="both"/>
        <w:rPr>
          <w:color w:val="000000" w:themeColor="text1"/>
          <w:sz w:val="16"/>
          <w:szCs w:val="16"/>
        </w:rPr>
      </w:pPr>
      <w:r w:rsidRPr="00925F26">
        <w:rPr>
          <w:color w:val="000000" w:themeColor="text1"/>
          <w:sz w:val="16"/>
          <w:szCs w:val="16"/>
        </w:rPr>
        <w:t>В Бреслау продолжались бои по уничтожению окружённой группировки противника.</w:t>
      </w:r>
    </w:p>
    <w:p w14:paraId="6C1B6D24" w14:textId="77777777" w:rsidR="003751D3" w:rsidRPr="00925F26" w:rsidRDefault="003751D3"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7336E3FA" w14:textId="77777777" w:rsidR="003751D3" w:rsidRPr="00925F26" w:rsidRDefault="003751D3" w:rsidP="00925F26">
      <w:pPr>
        <w:jc w:val="both"/>
        <w:rPr>
          <w:color w:val="000000" w:themeColor="text1"/>
          <w:sz w:val="16"/>
          <w:szCs w:val="16"/>
        </w:rPr>
      </w:pPr>
      <w:r w:rsidRPr="00925F26">
        <w:rPr>
          <w:color w:val="000000" w:themeColor="text1"/>
          <w:sz w:val="16"/>
          <w:szCs w:val="16"/>
        </w:rPr>
        <w:t>За 1 марта на всех фронтах подбито и уничтожено 62 немецких танка. В воздушных боях и огнём зенитной артиллерии сбито 39 самолётов противника.</w:t>
      </w:r>
    </w:p>
    <w:p w14:paraId="1BD4EF39" w14:textId="77777777" w:rsidR="003751D3" w:rsidRPr="00925F26" w:rsidRDefault="003751D3" w:rsidP="00925F26">
      <w:pPr>
        <w:jc w:val="both"/>
        <w:rPr>
          <w:color w:val="000000" w:themeColor="text1"/>
          <w:sz w:val="16"/>
          <w:szCs w:val="16"/>
        </w:rPr>
      </w:pPr>
      <w:r w:rsidRPr="00925F26">
        <w:rPr>
          <w:color w:val="000000" w:themeColor="text1"/>
          <w:sz w:val="16"/>
          <w:szCs w:val="16"/>
        </w:rPr>
        <w:t>Юго-западнее города Кенигсберг наши войска вели бои по ликвидации Восточно-Прусской группировки противника. Крупные силы немцев, зажатые на небольшой территории, упорно сопротивляются. Не считаясь с потерями, противник бросает в контратаки пехотные части, усиленные танками и самоходными орудиями. В течение дня наши войска на различных участках отбили свыше шестидесяти контратак. Взламывая оборону противника, советские части обходят его опорные пункты, а затем уничтожают вражеские гарнизоны. Части Н-ского соединения в результате ожесточённого боя овладели сильно укреплённым селением Шенвальде. Другие наши части выбили немцев из населённого пункта и железнодорожной станции Шенау. Противник потерял только убитыми свыше 3 тысяч солдат и офицеров. Уничтожено 34 немецких танка, 45 полевых орудий, 7 бронетранспортёров и до 200 пулемётов. За последние два дня взято в плен более 800 немецких солдат и офицеров.</w:t>
      </w:r>
    </w:p>
    <w:p w14:paraId="52EA2BDB" w14:textId="77777777" w:rsidR="003751D3" w:rsidRPr="00925F26" w:rsidRDefault="003751D3" w:rsidP="00925F26">
      <w:pPr>
        <w:jc w:val="both"/>
        <w:rPr>
          <w:color w:val="000000" w:themeColor="text1"/>
          <w:sz w:val="16"/>
          <w:szCs w:val="16"/>
        </w:rPr>
      </w:pPr>
      <w:r w:rsidRPr="00925F26">
        <w:rPr>
          <w:color w:val="000000" w:themeColor="text1"/>
          <w:sz w:val="16"/>
          <w:szCs w:val="16"/>
        </w:rPr>
        <w:t>В Померании, северо-западнее и западнее города Нойштеттин, наши войска продолжали наступление. Преодолевая сопротивление противника, части Н-ского соединения с боями продвинулись вперёд на 10 километров. Занят населённый пункт Дуббертех, находящийся в 28 километрах к юго-востоку от города Кезлин. На другом участке наши танкисты и кавалеристы окружили и разгромили колонну немецкой пехоты. Захвачены трофеи и взято в плен 250 немцев.</w:t>
      </w:r>
    </w:p>
    <w:p w14:paraId="7CA15BB4" w14:textId="77777777" w:rsidR="003751D3" w:rsidRPr="00925F26" w:rsidRDefault="003751D3" w:rsidP="00925F26">
      <w:pPr>
        <w:jc w:val="both"/>
        <w:rPr>
          <w:color w:val="000000" w:themeColor="text1"/>
          <w:sz w:val="16"/>
          <w:szCs w:val="16"/>
        </w:rPr>
      </w:pPr>
      <w:r w:rsidRPr="00925F26">
        <w:rPr>
          <w:color w:val="000000" w:themeColor="text1"/>
          <w:sz w:val="16"/>
          <w:szCs w:val="16"/>
        </w:rPr>
        <w:t>В Бреслау наши войска продолжали вести бои по ликвидации окружённой в городе группировки противника. Немцы приспособили дома к круговой обороне, а на улицах и дворах установили тысячи мин. Советские сапёры, расчищая путь пехоте, не только обезвреживают мины, но и взрывают узлы сопротивления противника. Группа сапёров подобралась к большому зданию, в котором укрепились немцы. Сделав глубокий подкоп, наши бойцы взорвали дом.</w:t>
      </w:r>
    </w:p>
    <w:p w14:paraId="5547FEDA" w14:textId="77777777" w:rsidR="003751D3" w:rsidRPr="00925F26" w:rsidRDefault="003751D3" w:rsidP="00925F26">
      <w:pPr>
        <w:jc w:val="both"/>
        <w:rPr>
          <w:color w:val="000000" w:themeColor="text1"/>
          <w:sz w:val="16"/>
          <w:szCs w:val="16"/>
        </w:rPr>
      </w:pPr>
      <w:r w:rsidRPr="00925F26">
        <w:rPr>
          <w:color w:val="000000" w:themeColor="text1"/>
          <w:sz w:val="16"/>
          <w:szCs w:val="16"/>
        </w:rPr>
        <w:t>Гитлеровцы, засевшие в этом доме, погибли под развалинами здания. С боями продвигаясь вперёд, наши штурмовые отряды очистили от немцев несколько улиц. Уничтожено 1.200 гитлеровцев. Захвачены трофеи, среди которых 3 тысячи авиабомб и много боеприпасов. Нашим подразделениям сдалась в плен рота фольксштурма. Солдаты во главе со своим командиром пришли с поднятыми вверх руками в расположение советских войск.</w:t>
      </w:r>
    </w:p>
    <w:p w14:paraId="4608D1C7" w14:textId="77777777" w:rsidR="003751D3" w:rsidRPr="00925F26" w:rsidRDefault="003751D3" w:rsidP="00925F26">
      <w:pPr>
        <w:jc w:val="both"/>
        <w:rPr>
          <w:color w:val="000000" w:themeColor="text1"/>
          <w:sz w:val="16"/>
          <w:szCs w:val="16"/>
        </w:rPr>
      </w:pPr>
      <w:r w:rsidRPr="00925F26">
        <w:rPr>
          <w:color w:val="000000" w:themeColor="text1"/>
          <w:sz w:val="16"/>
          <w:szCs w:val="16"/>
        </w:rPr>
        <w:t>На одном участке младший лейтенант Лукашевский захватил немецкую пушку и открыл из неё огонь. Советский офицер уничтожил три пулемётных точки и большую группу немцев. Взвод младшего лейтенанта Гарипова в ожесточённой схватке истребил более 60 гитлеровцев. Стрелковый взвод сержанта Малюги в течение дня отбил три контратаки численно превосходящих сил противника. Гитлеровцы в беспорядке отступили. В этом бою сержант Малюга уничтожил 15 немецких солдат.</w:t>
      </w:r>
    </w:p>
    <w:p w14:paraId="5B649E4D" w14:textId="77777777" w:rsidR="003751D3" w:rsidRPr="00925F26" w:rsidRDefault="003751D3" w:rsidP="00925F26">
      <w:pPr>
        <w:jc w:val="both"/>
        <w:rPr>
          <w:color w:val="000000" w:themeColor="text1"/>
          <w:sz w:val="16"/>
          <w:szCs w:val="16"/>
        </w:rPr>
      </w:pPr>
      <w:r w:rsidRPr="00925F26">
        <w:rPr>
          <w:color w:val="000000" w:themeColor="text1"/>
          <w:sz w:val="16"/>
          <w:szCs w:val="16"/>
        </w:rPr>
        <w:t>Взятый в плен комендант города и крепости Познань немецкий генерал-майор Эрнст Маттерн рассказал: «Гитлер приказал нам любой ценой удержать город и крепость Познань. Два раза я по радио докладывал командующему группой армии «Висла» Гиммлеру, что положение гарнизона отчаянное. В обоих случаях он ответил, что город необходимо оборонять, невзирая ни на какие жертвы. 22-го февраля мы послали следующую радиограмму: «Держаться дальше невозможно. Русские бомбардировщики беспрерывно атакуют нас. Тяжёлая артиллерия, миномёты, пулемёты день и ночь обстреливают наши позиции. У нас громадные потери. Просим дать гарнизону приказ прорваться из города». Вечером того же дня был получен следующий ответ Гиммлера: «Приказываю держаться, не считаясь ни с чем. Прорываться бессмысленно. Об этом говорит печальный опыт Шнайдемюля. Шнайдемюльский гарнизон также пытался прорваться, но был уничтожен».</w:t>
      </w:r>
    </w:p>
    <w:p w14:paraId="3E19D61A" w14:textId="77777777" w:rsidR="003751D3" w:rsidRPr="00925F26" w:rsidRDefault="003751D3" w:rsidP="00925F26">
      <w:pPr>
        <w:jc w:val="both"/>
        <w:rPr>
          <w:color w:val="000000" w:themeColor="text1"/>
          <w:sz w:val="16"/>
          <w:szCs w:val="16"/>
        </w:rPr>
      </w:pPr>
      <w:r w:rsidRPr="00925F26">
        <w:rPr>
          <w:color w:val="000000" w:themeColor="text1"/>
          <w:sz w:val="16"/>
          <w:szCs w:val="16"/>
        </w:rPr>
        <w:t>Пленный начальник штаба комендатуры города и крепости Познань полковник Эрвин Детбарн заявил: «После телеграммы Гиммлера мы собрались на совещание для обсуждения создавшегося положения. В это время прибежал дежурный офицер и заявил, что русские прорвались в цитадель. Он сказал также, что солдаты и многие офицеры группами сдаются в плен. Стало ясно, что пришёл конец» (15056).</w:t>
      </w:r>
    </w:p>
    <w:p w14:paraId="00376D07" w14:textId="77777777" w:rsidR="003751D3" w:rsidRPr="00925F26" w:rsidRDefault="003751D3" w:rsidP="00925F26">
      <w:pPr>
        <w:jc w:val="both"/>
        <w:rPr>
          <w:color w:val="000000" w:themeColor="text1"/>
          <w:sz w:val="16"/>
          <w:szCs w:val="16"/>
        </w:rPr>
      </w:pPr>
    </w:p>
    <w:p w14:paraId="695E67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2 марта 1945 118 гшап достиг готовности, но получение недостающих самолетов за</w:t>
      </w:r>
      <w:r w:rsidRPr="00925F26">
        <w:rPr>
          <w:color w:val="000000" w:themeColor="text1"/>
          <w:sz w:val="16"/>
          <w:szCs w:val="16"/>
        </w:rPr>
        <w:softHyphen/>
        <w:t>тянулось до середины марта. В резуль</w:t>
      </w:r>
      <w:r w:rsidRPr="00925F26">
        <w:rPr>
          <w:color w:val="000000" w:themeColor="text1"/>
          <w:sz w:val="16"/>
          <w:szCs w:val="16"/>
        </w:rPr>
        <w:softHyphen/>
        <w:t xml:space="preserve">тате оба полка убыли на фронт </w:t>
      </w:r>
      <w:proofErr w:type="gramStart"/>
      <w:r w:rsidRPr="00925F26">
        <w:rPr>
          <w:color w:val="000000" w:themeColor="text1"/>
          <w:sz w:val="16"/>
          <w:szCs w:val="16"/>
        </w:rPr>
        <w:t>одно-временно</w:t>
      </w:r>
      <w:proofErr w:type="gramEnd"/>
      <w:r w:rsidRPr="00925F26">
        <w:rPr>
          <w:color w:val="000000" w:themeColor="text1"/>
          <w:sz w:val="16"/>
          <w:szCs w:val="16"/>
        </w:rPr>
        <w:t>, двумя группами: 19 марта вылетели 42 экипажа 118-го гшап и 41 -из 571-го шап, а 20 марта - четыре из 118-го гшап (один на Ил-10 и три - поез</w:t>
      </w:r>
      <w:r w:rsidRPr="00925F26">
        <w:rPr>
          <w:color w:val="000000" w:themeColor="text1"/>
          <w:sz w:val="16"/>
          <w:szCs w:val="16"/>
        </w:rPr>
        <w:softHyphen/>
        <w:t>дом) и один экипаж 571-го шап (летом). В следующем месяце на фронт на</w:t>
      </w:r>
      <w:r w:rsidRPr="00925F26">
        <w:rPr>
          <w:color w:val="000000" w:themeColor="text1"/>
          <w:sz w:val="16"/>
          <w:szCs w:val="16"/>
        </w:rPr>
        <w:softHyphen/>
        <w:t>правили сразу семь полков на новых штурмовиках (7, 59, 75-й и 132-й гшап и 723, 899-й и 995-й шап) - в общей слож</w:t>
      </w:r>
      <w:r w:rsidRPr="00925F26">
        <w:rPr>
          <w:color w:val="000000" w:themeColor="text1"/>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925F26">
        <w:rPr>
          <w:color w:val="000000" w:themeColor="text1"/>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925F26">
        <w:rPr>
          <w:color w:val="000000" w:themeColor="text1"/>
          <w:sz w:val="16"/>
          <w:szCs w:val="16"/>
        </w:rPr>
        <w:softHyphen/>
        <w:t>кументам полки этого корпуса проходи</w:t>
      </w:r>
      <w:r w:rsidRPr="00925F26">
        <w:rPr>
          <w:color w:val="000000" w:themeColor="text1"/>
          <w:sz w:val="16"/>
          <w:szCs w:val="16"/>
        </w:rPr>
        <w:softHyphen/>
        <w:t>ли тренировку для участия в параде на Красной площади по случаю победы над Германией (10681).</w:t>
      </w:r>
    </w:p>
    <w:p w14:paraId="65AC0D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49EC86A" w14:textId="77777777" w:rsidR="00FC6CDA" w:rsidRPr="00925F26" w:rsidRDefault="00FC6CDA" w:rsidP="00925F26">
      <w:pPr>
        <w:jc w:val="both"/>
        <w:rPr>
          <w:color w:val="000000" w:themeColor="text1"/>
          <w:sz w:val="16"/>
          <w:szCs w:val="16"/>
        </w:rPr>
      </w:pPr>
      <w:r w:rsidRPr="00925F26">
        <w:rPr>
          <w:rStyle w:val="107"/>
          <w:rFonts w:eastAsiaTheme="minorHAnsi"/>
          <w:color w:val="000000" w:themeColor="text1"/>
          <w:sz w:val="16"/>
          <w:szCs w:val="16"/>
        </w:rPr>
        <w:t>2 марта 1945 Согласно Акту готовности к убытию на фронт следующим авиаполком, достигнувшим готовности на Ил-10, стал 118 гшап подполковника Верещинского. Полк полностью закончил программу переучивания на самолете Ил-10 в составе 44 экипажей. Полк получил из 12-го зап 9 летчиков пополнения, прошедших переучивание на Ил-10. Каждый летчик выполнил на самолете Ил-10 три полета по маршруту, по одному полету на бомбометание и стрельбу по наземной цели, 2-4 полета на групповую слетанность и два полета на применение РПК-10. Средний налет на Ил-10 составил 3 ч 35 мин.</w:t>
      </w:r>
    </w:p>
    <w:p w14:paraId="2A7B4E65" w14:textId="77777777" w:rsidR="00FC6CDA" w:rsidRPr="00925F26" w:rsidRDefault="00FC6CDA" w:rsidP="00925F26">
      <w:pPr>
        <w:jc w:val="both"/>
        <w:rPr>
          <w:color w:val="000000" w:themeColor="text1"/>
          <w:sz w:val="16"/>
          <w:szCs w:val="16"/>
        </w:rPr>
      </w:pPr>
      <w:r w:rsidRPr="00925F26">
        <w:rPr>
          <w:rStyle w:val="107"/>
          <w:rFonts w:eastAsiaTheme="minorHAnsi"/>
          <w:color w:val="000000" w:themeColor="text1"/>
          <w:sz w:val="16"/>
          <w:szCs w:val="16"/>
        </w:rPr>
        <w:t>Получение полками недостающих до полного штата самолетов затянулось до середины марта. В результате оба полка убыли на фронт одновременно двумя группами: 19 марта на Ил-10 вылетели 42 экипажа 118 гшап и 41 экипаж 571 шап, а 20 марта - четыре экипажа 118 гшап (один летом на Ил-10 и три - поездом) и один экипаж 571 шап летом на Ил-10 (17490).</w:t>
      </w:r>
    </w:p>
    <w:p w14:paraId="577B41E5" w14:textId="77777777" w:rsidR="00FC6CDA" w:rsidRPr="00925F26" w:rsidRDefault="00FC6CDA" w:rsidP="00925F26">
      <w:pPr>
        <w:jc w:val="both"/>
        <w:rPr>
          <w:color w:val="000000" w:themeColor="text1"/>
          <w:sz w:val="16"/>
          <w:szCs w:val="16"/>
        </w:rPr>
      </w:pPr>
    </w:p>
    <w:p w14:paraId="2E9BD9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Шуайбу в Иране прибыл Стирлинг, предназначавшийся для СССР. Закрасили английские знаки звездами и перегнали в Мебхарат под Тегераном. Потребовался ремонт, который шел до 30 апреля 1945 (4835,26).</w:t>
      </w:r>
    </w:p>
    <w:p w14:paraId="2BFEEDEE" w14:textId="77777777" w:rsidR="00665165" w:rsidRPr="00925F26" w:rsidRDefault="00665165" w:rsidP="00925F26">
      <w:pPr>
        <w:autoSpaceDE w:val="0"/>
        <w:autoSpaceDN w:val="0"/>
        <w:adjustRightInd w:val="0"/>
        <w:jc w:val="both"/>
        <w:rPr>
          <w:color w:val="000000" w:themeColor="text1"/>
          <w:sz w:val="16"/>
          <w:szCs w:val="16"/>
        </w:rPr>
      </w:pPr>
    </w:p>
    <w:p w14:paraId="6DFA8B3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FBCA3D0" w14:textId="77777777" w:rsidR="00665165" w:rsidRPr="00925F26" w:rsidRDefault="00665165" w:rsidP="00925F26">
      <w:pPr>
        <w:autoSpaceDE w:val="0"/>
        <w:autoSpaceDN w:val="0"/>
        <w:adjustRightInd w:val="0"/>
        <w:jc w:val="both"/>
        <w:rPr>
          <w:iCs/>
          <w:color w:val="000000" w:themeColor="text1"/>
          <w:sz w:val="16"/>
          <w:szCs w:val="16"/>
        </w:rPr>
      </w:pPr>
    </w:p>
    <w:p w14:paraId="42E537C2" w14:textId="77777777" w:rsidR="003751D3" w:rsidRPr="00925F26" w:rsidRDefault="003751D3" w:rsidP="00925F26">
      <w:pPr>
        <w:jc w:val="both"/>
        <w:rPr>
          <w:color w:val="000000" w:themeColor="text1"/>
          <w:sz w:val="16"/>
          <w:szCs w:val="16"/>
        </w:rPr>
      </w:pPr>
      <w:r w:rsidRPr="00925F26">
        <w:rPr>
          <w:bCs/>
          <w:color w:val="000000" w:themeColor="text1"/>
          <w:sz w:val="16"/>
          <w:szCs w:val="16"/>
        </w:rPr>
        <w:t>2 марта</w:t>
      </w:r>
      <w:r w:rsidRPr="00925F26">
        <w:rPr>
          <w:color w:val="000000" w:themeColor="text1"/>
          <w:sz w:val="16"/>
          <w:szCs w:val="16"/>
        </w:rPr>
        <w:t xml:space="preserve"> в 1945 году совершил первый полет прототип испанского истребителя </w:t>
      </w:r>
      <w:hyperlink r:id="rId58" w:tgtFrame="_blank" w:history="1">
        <w:r w:rsidRPr="00925F26">
          <w:rPr>
            <w:color w:val="000000" w:themeColor="text1"/>
            <w:sz w:val="16"/>
            <w:szCs w:val="16"/>
          </w:rPr>
          <w:t xml:space="preserve">«HA-1109/1112» «Buchon». </w:t>
        </w:r>
      </w:hyperlink>
    </w:p>
    <w:p w14:paraId="6E98D51B" w14:textId="77777777" w:rsidR="003751D3" w:rsidRPr="00925F26" w:rsidRDefault="003751D3" w:rsidP="00925F26">
      <w:pPr>
        <w:jc w:val="both"/>
        <w:rPr>
          <w:color w:val="000000" w:themeColor="text1"/>
          <w:sz w:val="16"/>
          <w:szCs w:val="16"/>
        </w:rPr>
      </w:pPr>
    </w:p>
    <w:p w14:paraId="0FA7DEBC" w14:textId="77777777" w:rsidR="001A5F95" w:rsidRPr="00925F26" w:rsidRDefault="001A5F95" w:rsidP="00925F26">
      <w:pPr>
        <w:jc w:val="both"/>
        <w:rPr>
          <w:color w:val="000000" w:themeColor="text1"/>
          <w:sz w:val="16"/>
          <w:szCs w:val="16"/>
        </w:rPr>
      </w:pPr>
      <w:r w:rsidRPr="00925F26">
        <w:rPr>
          <w:color w:val="000000" w:themeColor="text1"/>
          <w:sz w:val="16"/>
          <w:szCs w:val="16"/>
        </w:rPr>
        <w:t>2 марта 1945 первый полет Hispano Aviación HA-1109 -J1L (20371).</w:t>
      </w:r>
    </w:p>
    <w:p w14:paraId="361889F8" w14:textId="77777777" w:rsidR="001A5F95" w:rsidRPr="00925F26" w:rsidRDefault="001A5F95" w:rsidP="00925F26">
      <w:pPr>
        <w:jc w:val="both"/>
        <w:rPr>
          <w:color w:val="000000" w:themeColor="text1"/>
          <w:sz w:val="16"/>
          <w:szCs w:val="16"/>
        </w:rPr>
      </w:pPr>
    </w:p>
    <w:p w14:paraId="6671C75B" w14:textId="279B2DA2" w:rsidR="001A5F95" w:rsidRPr="00925F26" w:rsidRDefault="001A5F95" w:rsidP="00925F26">
      <w:pPr>
        <w:jc w:val="both"/>
        <w:rPr>
          <w:color w:val="000000" w:themeColor="text1"/>
          <w:sz w:val="16"/>
          <w:szCs w:val="16"/>
        </w:rPr>
      </w:pPr>
      <w:r w:rsidRPr="00925F26">
        <w:rPr>
          <w:color w:val="000000" w:themeColor="text1"/>
          <w:sz w:val="16"/>
          <w:szCs w:val="16"/>
        </w:rPr>
        <w:t>2 марта 1945</w:t>
      </w:r>
      <w:r w:rsidR="00997EDF" w:rsidRPr="00925F26">
        <w:rPr>
          <w:color w:val="000000" w:themeColor="text1"/>
          <w:sz w:val="16"/>
          <w:szCs w:val="16"/>
        </w:rPr>
        <w:t xml:space="preserve">  </w:t>
      </w:r>
      <w:r w:rsidRPr="00925F26">
        <w:rPr>
          <w:color w:val="000000" w:themeColor="text1"/>
          <w:sz w:val="16"/>
          <w:szCs w:val="16"/>
        </w:rPr>
        <w:t>- Совершил первый полет прототип испанского истребителя HA-1109/1112 Buchon - лицензионный немецкий Bf.109G, оснащенный испанским двигателем "Испано-Сюиза" 122-89, впоследствии на серийные машины ставились Роллс-Ройс "Мерлин" 500-45 (22581).</w:t>
      </w:r>
    </w:p>
    <w:p w14:paraId="35F9ED36" w14:textId="77777777" w:rsidR="001A5F95" w:rsidRPr="00925F26" w:rsidRDefault="001A5F95" w:rsidP="00925F26">
      <w:pPr>
        <w:jc w:val="both"/>
        <w:rPr>
          <w:color w:val="000000" w:themeColor="text1"/>
          <w:sz w:val="16"/>
          <w:szCs w:val="16"/>
        </w:rPr>
      </w:pPr>
    </w:p>
    <w:p w14:paraId="500E13D2" w14:textId="77777777" w:rsidR="001A5F95" w:rsidRPr="00925F26" w:rsidRDefault="001A5F95" w:rsidP="00925F26">
      <w:pPr>
        <w:jc w:val="both"/>
        <w:rPr>
          <w:color w:val="000000" w:themeColor="text1"/>
          <w:sz w:val="16"/>
          <w:szCs w:val="16"/>
        </w:rPr>
      </w:pPr>
      <w:r w:rsidRPr="00925F26">
        <w:rPr>
          <w:color w:val="000000" w:themeColor="text1"/>
          <w:sz w:val="16"/>
          <w:szCs w:val="16"/>
        </w:rPr>
        <w:t>2 марта 1945 немецкие войска впервые применяют зенитную ракетную систему Henschel Hs 297, обстреливая истребители-бомбардировщики союзников в окрестностях Ремагена, Германия (20371).</w:t>
      </w:r>
    </w:p>
    <w:p w14:paraId="471B4C03" w14:textId="77777777" w:rsidR="001A5F95" w:rsidRPr="00925F26" w:rsidRDefault="001A5F95" w:rsidP="00925F26">
      <w:pPr>
        <w:jc w:val="both"/>
        <w:rPr>
          <w:color w:val="000000" w:themeColor="text1"/>
          <w:sz w:val="16"/>
          <w:szCs w:val="16"/>
        </w:rPr>
      </w:pPr>
    </w:p>
    <w:p w14:paraId="78345F8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March 2nd, 1945: Armored spearheads of the US Ninth Army reach the Rhine near Neuss. The US Third Army (Patton) captures Trier on the </w:t>
      </w:r>
      <w:proofErr w:type="gramStart"/>
      <w:r w:rsidRPr="00925F26">
        <w:rPr>
          <w:color w:val="000000" w:themeColor="text1"/>
          <w:sz w:val="16"/>
          <w:szCs w:val="16"/>
          <w:lang w:val="en-US"/>
        </w:rPr>
        <w:t>Moselle river</w:t>
      </w:r>
      <w:proofErr w:type="gramEnd"/>
      <w:r w:rsidRPr="00925F26">
        <w:rPr>
          <w:color w:val="000000" w:themeColor="text1"/>
          <w:sz w:val="16"/>
          <w:szCs w:val="16"/>
          <w:lang w:val="en-US"/>
        </w:rPr>
        <w:t>. The RAF launches a heavy attack (300 bombers) against Mannheim, causing a devastating firestorm (3819).</w:t>
      </w:r>
    </w:p>
    <w:p w14:paraId="0C41751E" w14:textId="77777777" w:rsidR="00665165" w:rsidRPr="00925F26" w:rsidRDefault="00665165" w:rsidP="00925F26">
      <w:pPr>
        <w:autoSpaceDE w:val="0"/>
        <w:autoSpaceDN w:val="0"/>
        <w:adjustRightInd w:val="0"/>
        <w:jc w:val="both"/>
        <w:rPr>
          <w:color w:val="000000" w:themeColor="text1"/>
          <w:sz w:val="16"/>
          <w:szCs w:val="16"/>
          <w:lang w:val="en-US"/>
        </w:rPr>
      </w:pPr>
    </w:p>
    <w:p w14:paraId="4636C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передовые части 9А США достигла Рейна у Неуса. 3А США (Паттон) заняла Триер на р. Мозель. Королевские ВВС силами 300 б атаковали Менхейн, вызвав огненный шторм (3819).</w:t>
      </w:r>
    </w:p>
    <w:p w14:paraId="3E7799EC" w14:textId="77777777" w:rsidR="00665165" w:rsidRPr="00925F26" w:rsidRDefault="00665165" w:rsidP="00925F26">
      <w:pPr>
        <w:autoSpaceDE w:val="0"/>
        <w:autoSpaceDN w:val="0"/>
        <w:adjustRightInd w:val="0"/>
        <w:jc w:val="both"/>
        <w:rPr>
          <w:color w:val="000000" w:themeColor="text1"/>
          <w:sz w:val="16"/>
          <w:szCs w:val="16"/>
        </w:rPr>
      </w:pPr>
    </w:p>
    <w:p w14:paraId="0D58CED3" w14:textId="77777777" w:rsidR="003751D3" w:rsidRPr="00925F26" w:rsidRDefault="003751D3" w:rsidP="00925F26">
      <w:pPr>
        <w:jc w:val="both"/>
        <w:rPr>
          <w:color w:val="000000" w:themeColor="text1"/>
          <w:sz w:val="16"/>
          <w:szCs w:val="16"/>
        </w:rPr>
      </w:pPr>
      <w:r w:rsidRPr="00925F26">
        <w:rPr>
          <w:bCs/>
          <w:color w:val="000000" w:themeColor="text1"/>
          <w:sz w:val="16"/>
          <w:szCs w:val="16"/>
        </w:rPr>
        <w:t>2 марта</w:t>
      </w:r>
      <w:r w:rsidRPr="00925F26">
        <w:rPr>
          <w:color w:val="000000" w:themeColor="text1"/>
          <w:sz w:val="16"/>
          <w:szCs w:val="16"/>
        </w:rPr>
        <w:t xml:space="preserve"> в 1945 году выход американских войск к реке Рейн в районах городов Нёйс и Крефельд (15056).</w:t>
      </w:r>
    </w:p>
    <w:p w14:paraId="23033132" w14:textId="77777777" w:rsidR="003751D3" w:rsidRPr="00925F26" w:rsidRDefault="003751D3" w:rsidP="00925F26">
      <w:pPr>
        <w:jc w:val="both"/>
        <w:rPr>
          <w:color w:val="000000" w:themeColor="text1"/>
          <w:sz w:val="16"/>
          <w:szCs w:val="16"/>
        </w:rPr>
      </w:pPr>
    </w:p>
    <w:p w14:paraId="4C831C03" w14:textId="77777777" w:rsidR="003751D3" w:rsidRPr="00925F26" w:rsidRDefault="003751D3" w:rsidP="00925F26">
      <w:pPr>
        <w:jc w:val="both"/>
        <w:rPr>
          <w:color w:val="000000" w:themeColor="text1"/>
          <w:sz w:val="16"/>
          <w:szCs w:val="16"/>
        </w:rPr>
      </w:pPr>
      <w:r w:rsidRPr="00925F26">
        <w:rPr>
          <w:bCs/>
          <w:color w:val="000000" w:themeColor="text1"/>
          <w:sz w:val="16"/>
          <w:szCs w:val="16"/>
        </w:rPr>
        <w:t>2 марта</w:t>
      </w:r>
      <w:r w:rsidRPr="00925F26">
        <w:rPr>
          <w:color w:val="000000" w:themeColor="text1"/>
          <w:sz w:val="16"/>
          <w:szCs w:val="16"/>
        </w:rPr>
        <w:t xml:space="preserve"> в 1945 году на заседании английского парламента обсуждалась резолюция о недоверии правительству Черчилля в связи с подписанными им на Ялтинской конференции соглашениями о будущем Европы. Некоторые депутаты даже заявили о том, что «Черчилль уготовил Англии политический Дюнкерк». 403 депутата проголосовали в поддержку Черчилля, но при этом 200 депутатов воздержались (15056).</w:t>
      </w:r>
    </w:p>
    <w:p w14:paraId="5CD6788E" w14:textId="77777777" w:rsidR="003751D3" w:rsidRPr="00925F26" w:rsidRDefault="003751D3" w:rsidP="00925F26">
      <w:pPr>
        <w:jc w:val="both"/>
        <w:rPr>
          <w:color w:val="000000" w:themeColor="text1"/>
          <w:sz w:val="16"/>
          <w:szCs w:val="16"/>
        </w:rPr>
      </w:pPr>
    </w:p>
    <w:p w14:paraId="2ADBB4C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 1945 Tito sets up Communist government in Romania (1050).</w:t>
      </w:r>
    </w:p>
    <w:p w14:paraId="49B3244A" w14:textId="77777777" w:rsidR="00665165" w:rsidRPr="00925F26" w:rsidRDefault="00665165" w:rsidP="00925F26">
      <w:pPr>
        <w:autoSpaceDE w:val="0"/>
        <w:autoSpaceDN w:val="0"/>
        <w:adjustRightInd w:val="0"/>
        <w:jc w:val="both"/>
        <w:rPr>
          <w:color w:val="000000" w:themeColor="text1"/>
          <w:sz w:val="16"/>
          <w:szCs w:val="16"/>
          <w:lang w:val="en-US"/>
        </w:rPr>
      </w:pPr>
    </w:p>
    <w:p w14:paraId="7883F7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марта 1945 И.Б.Тито основал коммунистическое правительство в Румынии (1050) и премьер-министром стал Петру Гроза (3907,255).</w:t>
      </w:r>
    </w:p>
    <w:p w14:paraId="79B09628" w14:textId="77777777" w:rsidR="00665165" w:rsidRPr="00925F26" w:rsidRDefault="00665165" w:rsidP="00925F26">
      <w:pPr>
        <w:autoSpaceDE w:val="0"/>
        <w:autoSpaceDN w:val="0"/>
        <w:adjustRightInd w:val="0"/>
        <w:jc w:val="both"/>
        <w:rPr>
          <w:color w:val="000000" w:themeColor="text1"/>
          <w:sz w:val="16"/>
          <w:szCs w:val="16"/>
        </w:rPr>
      </w:pPr>
    </w:p>
    <w:p w14:paraId="067D62F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34A3689" w14:textId="77777777" w:rsidR="00665165" w:rsidRPr="00925F26" w:rsidRDefault="00665165" w:rsidP="00925F26">
      <w:pPr>
        <w:autoSpaceDE w:val="0"/>
        <w:autoSpaceDN w:val="0"/>
        <w:adjustRightInd w:val="0"/>
        <w:jc w:val="both"/>
        <w:rPr>
          <w:iCs/>
          <w:color w:val="000000" w:themeColor="text1"/>
          <w:sz w:val="16"/>
          <w:szCs w:val="16"/>
        </w:rPr>
      </w:pPr>
    </w:p>
    <w:p w14:paraId="211ADD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марта 1945 года заместитель главного конструк</w:t>
      </w:r>
      <w:r w:rsidRPr="00925F26">
        <w:rPr>
          <w:color w:val="000000" w:themeColor="text1"/>
          <w:sz w:val="16"/>
          <w:szCs w:val="16"/>
        </w:rPr>
        <w:softHyphen/>
        <w:t>тора Нуров в докладе заместителю наркома авиацион</w:t>
      </w:r>
      <w:r w:rsidRPr="00925F26">
        <w:rPr>
          <w:color w:val="000000" w:themeColor="text1"/>
          <w:sz w:val="16"/>
          <w:szCs w:val="16"/>
        </w:rPr>
        <w:softHyphen/>
        <w:t>ной промышленности А.С. Яковлеву сообщал, в част</w:t>
      </w:r>
      <w:r w:rsidRPr="00925F26">
        <w:rPr>
          <w:color w:val="000000" w:themeColor="text1"/>
          <w:sz w:val="16"/>
          <w:szCs w:val="16"/>
        </w:rPr>
        <w:softHyphen/>
        <w:t>ности: «В настоящее время на самолете (Пе-2И) закончены все производственные работы по модификации, и машина подготовлена к проведению наземных и летных испыта</w:t>
      </w:r>
      <w:r w:rsidRPr="00925F26">
        <w:rPr>
          <w:color w:val="000000" w:themeColor="text1"/>
          <w:sz w:val="16"/>
          <w:szCs w:val="16"/>
        </w:rPr>
        <w:softHyphen/>
        <w:t>ний.</w:t>
      </w:r>
    </w:p>
    <w:p w14:paraId="1EC22F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Докладывая об изложенном, прошу Вашего разреше</w:t>
      </w:r>
      <w:r w:rsidRPr="00925F26">
        <w:rPr>
          <w:color w:val="000000" w:themeColor="text1"/>
          <w:sz w:val="16"/>
          <w:szCs w:val="16"/>
        </w:rPr>
        <w:softHyphen/>
        <w:t>ния на проведение заводских испытаний по утвержденной программе на Центральном аэродроме имени Фрунзе...» (11446).</w:t>
      </w:r>
    </w:p>
    <w:p w14:paraId="1AA1B1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8216E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л-и А.П.Деев поднял в воздух И-250 А.И.Микояна (197,31) и программа испытаний продолжалась до мая 1945. Была построена малая серия и проведены войсковые испытания в ВВС Северного и Балтийского флотов до 1950 (5,253). Строили на 381 заводе (1084,52). ВРД был К.В.Холщевникова (2408).</w:t>
      </w:r>
    </w:p>
    <w:p w14:paraId="459D0461" w14:textId="77777777" w:rsidR="00665165" w:rsidRPr="00925F26" w:rsidRDefault="00665165" w:rsidP="00925F26">
      <w:pPr>
        <w:autoSpaceDE w:val="0"/>
        <w:autoSpaceDN w:val="0"/>
        <w:adjustRightInd w:val="0"/>
        <w:jc w:val="both"/>
        <w:rPr>
          <w:color w:val="000000" w:themeColor="text1"/>
          <w:sz w:val="16"/>
          <w:szCs w:val="16"/>
        </w:rPr>
      </w:pPr>
    </w:p>
    <w:p w14:paraId="33BDCF7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г. совершил первый полет самолета с мотокомпрессорной силовой установкой И-250 (МиГ-13) (6395).</w:t>
      </w:r>
    </w:p>
    <w:p w14:paraId="13CBB92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989FEBC" w14:textId="77777777" w:rsidR="003751D3" w:rsidRPr="00925F26" w:rsidRDefault="003751D3" w:rsidP="00925F26">
      <w:pPr>
        <w:jc w:val="both"/>
        <w:rPr>
          <w:color w:val="000000" w:themeColor="text1"/>
          <w:sz w:val="16"/>
          <w:szCs w:val="16"/>
        </w:rPr>
      </w:pPr>
      <w:r w:rsidRPr="00925F26">
        <w:rPr>
          <w:bCs/>
          <w:color w:val="000000" w:themeColor="text1"/>
          <w:sz w:val="16"/>
          <w:szCs w:val="16"/>
        </w:rPr>
        <w:t>3 марта</w:t>
      </w:r>
      <w:r w:rsidRPr="00925F26">
        <w:rPr>
          <w:color w:val="000000" w:themeColor="text1"/>
          <w:sz w:val="16"/>
          <w:szCs w:val="16"/>
        </w:rPr>
        <w:t xml:space="preserve"> в 1945 году состоялся первый полет экспериментального истребителя с комбинированной силовой установкой «И-250» («МиГ-13») конструкции ОКБ А.И.Микояна, лётчик-испытатель А.П.Деев. Комбинированная силовая установка «И-250» состояла из двигателя «ВК-107А» мощностью 1650 л. с. и ускорителя ВРДК, созданного в ЦИАМ К.В. Холщевниковым. Вооружение состояло из трех 20 мм пушек «Б-20» (боезапас по 100 патронов) (15057).</w:t>
      </w:r>
    </w:p>
    <w:p w14:paraId="0DFE1A50" w14:textId="77777777" w:rsidR="003751D3" w:rsidRPr="00925F26" w:rsidRDefault="003751D3" w:rsidP="00925F26">
      <w:pPr>
        <w:jc w:val="both"/>
        <w:rPr>
          <w:color w:val="000000" w:themeColor="text1"/>
          <w:sz w:val="16"/>
          <w:szCs w:val="16"/>
        </w:rPr>
      </w:pPr>
    </w:p>
    <w:p w14:paraId="4BFB42C8" w14:textId="77777777" w:rsidR="003B0B5C" w:rsidRPr="001A0BAA" w:rsidRDefault="003B0B5C" w:rsidP="003B0B5C">
      <w:pPr>
        <w:jc w:val="both"/>
        <w:rPr>
          <w:color w:val="0070C0"/>
          <w:sz w:val="16"/>
          <w:szCs w:val="16"/>
        </w:rPr>
      </w:pPr>
      <w:r w:rsidRPr="001A0BAA">
        <w:rPr>
          <w:color w:val="0070C0"/>
          <w:sz w:val="16"/>
          <w:szCs w:val="16"/>
        </w:rPr>
        <w:t>3 марта 1945 г. летчиком-испытателем ОКБ-155 А.П. Деевым был выполнен первый полет на И-250. Ведущим инженером по испытаниям был назначен В.Н. Сорокин, обязанности техника выполнял Г.Е. Павлов. В марте 1945 г. в одном из полетов на самолете И-250 на высоте 7800 м была достигнута скорость полета 825 км/ч. Эта скорость была больше на 150... 175 км/ч пока</w:t>
      </w:r>
      <w:r w:rsidRPr="001A0BAA">
        <w:rPr>
          <w:color w:val="0070C0"/>
          <w:sz w:val="16"/>
          <w:szCs w:val="16"/>
        </w:rPr>
        <w:softHyphen/>
        <w:t>зателей скорости серийных отечественных истребителей «Як» и «Ла» и на 30 км/ч больше самого скоростного в то время в СССР опытного самолета Ла-7Р с дополнительным ЖРД.</w:t>
      </w:r>
    </w:p>
    <w:p w14:paraId="013DDC76" w14:textId="77777777" w:rsidR="003B0B5C" w:rsidRPr="001A0BAA" w:rsidRDefault="003B0B5C" w:rsidP="003B0B5C">
      <w:pPr>
        <w:jc w:val="both"/>
        <w:rPr>
          <w:color w:val="0070C0"/>
          <w:sz w:val="16"/>
          <w:szCs w:val="16"/>
        </w:rPr>
      </w:pPr>
      <w:r w:rsidRPr="001A0BAA">
        <w:rPr>
          <w:color w:val="0070C0"/>
          <w:sz w:val="16"/>
          <w:szCs w:val="16"/>
        </w:rPr>
        <w:t>Прирост скорости при включении ВРДК составлял почти 150 км/ч. Высоту 5000 м самолет И-250 набирал за 3,9 мин (с включенным ВРДК) и за 4,6 мин (с выключенным), прак</w:t>
      </w:r>
      <w:r w:rsidRPr="001A0BAA">
        <w:rPr>
          <w:color w:val="0070C0"/>
          <w:sz w:val="16"/>
          <w:szCs w:val="16"/>
        </w:rPr>
        <w:softHyphen/>
        <w:t>тический потолок составлял 11 900 м (без использования ВРДК — 10 500 м) [46].</w:t>
      </w:r>
    </w:p>
    <w:p w14:paraId="3D3F3A43" w14:textId="77777777" w:rsidR="003B0B5C" w:rsidRPr="001A0BAA" w:rsidRDefault="003B0B5C" w:rsidP="003B0B5C">
      <w:pPr>
        <w:jc w:val="both"/>
        <w:rPr>
          <w:color w:val="0070C0"/>
          <w:sz w:val="16"/>
          <w:szCs w:val="16"/>
        </w:rPr>
      </w:pPr>
      <w:r w:rsidRPr="001A0BAA">
        <w:rPr>
          <w:color w:val="0070C0"/>
          <w:sz w:val="16"/>
          <w:szCs w:val="16"/>
        </w:rPr>
        <w:t>Успехи, достигнутые на первом этапе испытаний самолета «Н», были омрачены трагедией: в одном из полетов в 1945 г. над Ходынским полем в Москве на высоте 250 м у истребите</w:t>
      </w:r>
      <w:r w:rsidRPr="001A0BAA">
        <w:rPr>
          <w:color w:val="0070C0"/>
          <w:sz w:val="16"/>
          <w:szCs w:val="16"/>
        </w:rPr>
        <w:softHyphen/>
        <w:t>ля произошло разрушение стабилизатора. Самолет упал на зем</w:t>
      </w:r>
      <w:r w:rsidRPr="001A0BAA">
        <w:rPr>
          <w:color w:val="0070C0"/>
          <w:sz w:val="16"/>
          <w:szCs w:val="16"/>
        </w:rPr>
        <w:softHyphen/>
        <w:t>лю в том месте, где сейчас располагается Дворец спорта ЦСКА, похоронив под своими обломками летчика А.П. Деева [46] (24920).</w:t>
      </w:r>
    </w:p>
    <w:p w14:paraId="3DAAFA4D" w14:textId="77777777" w:rsidR="003B0B5C" w:rsidRPr="001A0BAA" w:rsidRDefault="003B0B5C" w:rsidP="003B0B5C">
      <w:pPr>
        <w:jc w:val="both"/>
        <w:rPr>
          <w:color w:val="0070C0"/>
          <w:sz w:val="16"/>
          <w:szCs w:val="16"/>
        </w:rPr>
      </w:pPr>
    </w:p>
    <w:p w14:paraId="635138BB" w14:textId="77777777" w:rsidR="003B0B5C" w:rsidRPr="001A0BAA" w:rsidRDefault="003B0B5C" w:rsidP="003B0B5C">
      <w:pPr>
        <w:jc w:val="both"/>
        <w:rPr>
          <w:color w:val="0070C0"/>
          <w:sz w:val="16"/>
          <w:szCs w:val="16"/>
        </w:rPr>
      </w:pPr>
      <w:r w:rsidRPr="001A0BAA">
        <w:rPr>
          <w:color w:val="0070C0"/>
          <w:sz w:val="16"/>
          <w:szCs w:val="16"/>
        </w:rPr>
        <w:t>3 марта 1945 г., а по другим источникам 4 апреля, состоялся первый полет И-250. После него было выполнено еще несколько полетов в ходе которых оценивалось общее поведение машины в воздухе (устойчивость, управляемость). Начиная с третьего полета задействовали ВРДК Э3020. Однако практически сразу же были выявлены и различные дефекты винтомоторной группы (в маслорадиаторе, компрессоре, бензиновой помпе). Обнаружили проблемы и в конструкции шасси. Начальный этап летных испытаний на первом экспериментальном образце продолжался примерно до конца мая, пока силовая установка полностью не выработала свой ресурс и не потребовалась ее замена.</w:t>
      </w:r>
    </w:p>
    <w:p w14:paraId="3DFA5931" w14:textId="77777777" w:rsidR="003B0B5C" w:rsidRPr="001A0BAA" w:rsidRDefault="003B0B5C" w:rsidP="003B0B5C">
      <w:pPr>
        <w:jc w:val="both"/>
        <w:rPr>
          <w:color w:val="0070C0"/>
          <w:sz w:val="16"/>
          <w:szCs w:val="16"/>
        </w:rPr>
      </w:pPr>
      <w:r w:rsidRPr="001A0BAA">
        <w:rPr>
          <w:color w:val="0070C0"/>
          <w:sz w:val="16"/>
          <w:szCs w:val="16"/>
        </w:rPr>
        <w:t>В это же время к испытаниям присоединился и второй опытный прототип И-250-2. (25216)</w:t>
      </w:r>
    </w:p>
    <w:p w14:paraId="483C7EEC" w14:textId="77777777" w:rsidR="003B0B5C" w:rsidRPr="001A0BAA" w:rsidRDefault="003B0B5C" w:rsidP="003B0B5C">
      <w:pPr>
        <w:jc w:val="both"/>
        <w:rPr>
          <w:color w:val="0070C0"/>
          <w:sz w:val="16"/>
          <w:szCs w:val="16"/>
        </w:rPr>
      </w:pPr>
    </w:p>
    <w:p w14:paraId="146F679E" w14:textId="77777777" w:rsidR="003B0B5C" w:rsidRPr="001A0BAA" w:rsidRDefault="003B0B5C" w:rsidP="003B0B5C">
      <w:pPr>
        <w:jc w:val="both"/>
        <w:rPr>
          <w:color w:val="0070C0"/>
          <w:sz w:val="16"/>
          <w:szCs w:val="16"/>
        </w:rPr>
      </w:pPr>
      <w:r w:rsidRPr="001A0BAA">
        <w:rPr>
          <w:color w:val="0070C0"/>
          <w:sz w:val="16"/>
          <w:szCs w:val="16"/>
        </w:rPr>
        <w:t>3 марта 1945 года Лавочкин доложил правительству, что «решением ГКО взлет</w:t>
      </w:r>
      <w:r w:rsidRPr="001A0BAA">
        <w:rPr>
          <w:color w:val="0070C0"/>
          <w:sz w:val="16"/>
          <w:szCs w:val="16"/>
        </w:rPr>
        <w:softHyphen/>
        <w:t>ный вес Ла-7 утвердили 3250 кг. Соглас</w:t>
      </w:r>
      <w:r w:rsidRPr="001A0BAA">
        <w:rPr>
          <w:color w:val="0070C0"/>
          <w:sz w:val="16"/>
          <w:szCs w:val="16"/>
        </w:rPr>
        <w:softHyphen/>
        <w:t>но приказу НКАП на самолете внедрены новые агрегаты, РПК-10, фильтр для вса</w:t>
      </w:r>
      <w:r w:rsidRPr="001A0BAA">
        <w:rPr>
          <w:color w:val="0070C0"/>
          <w:sz w:val="16"/>
          <w:szCs w:val="16"/>
        </w:rPr>
        <w:softHyphen/>
        <w:t>сывания и т.д. В результате вес самоле</w:t>
      </w:r>
      <w:r w:rsidRPr="001A0BAA">
        <w:rPr>
          <w:color w:val="0070C0"/>
          <w:sz w:val="16"/>
          <w:szCs w:val="16"/>
        </w:rPr>
        <w:softHyphen/>
        <w:t>тов на заводе №381 доходит до 3320 кг. Мною разработаны мероприятия по сни</w:t>
      </w:r>
      <w:r w:rsidRPr="001A0BAA">
        <w:rPr>
          <w:color w:val="0070C0"/>
          <w:sz w:val="16"/>
          <w:szCs w:val="16"/>
        </w:rPr>
        <w:softHyphen/>
        <w:t>жению веса самолета на 70 кг».</w:t>
      </w:r>
    </w:p>
    <w:p w14:paraId="10E6CFD9" w14:textId="77777777" w:rsidR="003B0B5C" w:rsidRPr="001A0BAA" w:rsidRDefault="003B0B5C" w:rsidP="003B0B5C">
      <w:pPr>
        <w:jc w:val="both"/>
        <w:rPr>
          <w:color w:val="0070C0"/>
          <w:sz w:val="16"/>
          <w:szCs w:val="16"/>
        </w:rPr>
      </w:pPr>
      <w:r w:rsidRPr="001A0BAA">
        <w:rPr>
          <w:color w:val="0070C0"/>
          <w:sz w:val="16"/>
          <w:szCs w:val="16"/>
        </w:rPr>
        <w:t>Но, несмотря на это, облегчить само</w:t>
      </w:r>
      <w:r w:rsidRPr="001A0BAA">
        <w:rPr>
          <w:color w:val="0070C0"/>
          <w:sz w:val="16"/>
          <w:szCs w:val="16"/>
        </w:rPr>
        <w:softHyphen/>
        <w:t>лет не удалось (24988).</w:t>
      </w:r>
    </w:p>
    <w:p w14:paraId="01C07B32" w14:textId="77777777" w:rsidR="003B0B5C" w:rsidRPr="001A0BAA" w:rsidRDefault="003B0B5C" w:rsidP="003B0B5C">
      <w:pPr>
        <w:jc w:val="both"/>
        <w:rPr>
          <w:color w:val="0070C0"/>
          <w:sz w:val="16"/>
          <w:szCs w:val="16"/>
        </w:rPr>
      </w:pPr>
    </w:p>
    <w:p w14:paraId="6C2816F1" w14:textId="77777777" w:rsidR="0054083F" w:rsidRPr="00925F26" w:rsidRDefault="0054083F" w:rsidP="00925F26">
      <w:pPr>
        <w:jc w:val="both"/>
        <w:rPr>
          <w:color w:val="000000" w:themeColor="text1"/>
          <w:sz w:val="16"/>
          <w:szCs w:val="16"/>
        </w:rPr>
      </w:pPr>
      <w:r w:rsidRPr="00925F26">
        <w:rPr>
          <w:color w:val="000000" w:themeColor="text1"/>
          <w:sz w:val="16"/>
          <w:szCs w:val="16"/>
        </w:rPr>
        <w:t>3 марта 1945 в ЦИАМ доставили двигателей «Сентаурус» VII.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59051B01" w14:textId="77777777" w:rsidR="0054083F" w:rsidRPr="00925F26" w:rsidRDefault="0054083F" w:rsidP="00925F26">
      <w:pPr>
        <w:jc w:val="both"/>
        <w:rPr>
          <w:color w:val="000000" w:themeColor="text1"/>
          <w:sz w:val="16"/>
          <w:szCs w:val="16"/>
        </w:rPr>
      </w:pPr>
    </w:p>
    <w:p w14:paraId="1B3CB9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С.П.К наметил подготовку двух статей: "Опыт применения жидкостного ракетного двигателя для полета человека (РП-1)" и "Опыт установки вспомогательного жидкостного реактивного двигателя на винтомоторном самолете (РУ-1)". Для первой статьи был подготовлен подробный план, сделаны выписки из технических отчетов и написан предварительный вариант (Там же, № 138, л. 1-117) (10676).</w:t>
      </w:r>
    </w:p>
    <w:p w14:paraId="03A317E5" w14:textId="77777777" w:rsidR="00665165" w:rsidRPr="00925F26" w:rsidRDefault="00665165" w:rsidP="00925F26">
      <w:pPr>
        <w:autoSpaceDE w:val="0"/>
        <w:autoSpaceDN w:val="0"/>
        <w:adjustRightInd w:val="0"/>
        <w:jc w:val="both"/>
        <w:rPr>
          <w:color w:val="000000" w:themeColor="text1"/>
          <w:sz w:val="16"/>
          <w:szCs w:val="16"/>
        </w:rPr>
      </w:pPr>
    </w:p>
    <w:p w14:paraId="22D858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7642 Об изготовлении опытной партии металлизированной бумаги для Военно-воздушных сил Красной Армии. РГАНИР, Фонд ГКО, д. 376, лл. 147-148, 149-151 (11012).</w:t>
      </w:r>
    </w:p>
    <w:p w14:paraId="60CCC0F3" w14:textId="77777777" w:rsidR="00665165" w:rsidRPr="00925F26" w:rsidRDefault="00665165" w:rsidP="00925F26">
      <w:pPr>
        <w:autoSpaceDE w:val="0"/>
        <w:autoSpaceDN w:val="0"/>
        <w:adjustRightInd w:val="0"/>
        <w:jc w:val="both"/>
        <w:rPr>
          <w:color w:val="000000" w:themeColor="text1"/>
          <w:sz w:val="16"/>
          <w:szCs w:val="16"/>
        </w:rPr>
      </w:pPr>
    </w:p>
    <w:p w14:paraId="2A13076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7103EE1" w14:textId="77777777" w:rsidR="00665165" w:rsidRPr="00925F26" w:rsidRDefault="00665165" w:rsidP="00925F26">
      <w:pPr>
        <w:autoSpaceDE w:val="0"/>
        <w:autoSpaceDN w:val="0"/>
        <w:adjustRightInd w:val="0"/>
        <w:jc w:val="both"/>
        <w:rPr>
          <w:iCs/>
          <w:color w:val="000000" w:themeColor="text1"/>
          <w:sz w:val="16"/>
          <w:szCs w:val="16"/>
        </w:rPr>
      </w:pPr>
    </w:p>
    <w:p w14:paraId="0549219F" w14:textId="77777777" w:rsidR="00193FD5" w:rsidRPr="00925F26" w:rsidRDefault="00193FD5" w:rsidP="00925F26">
      <w:pPr>
        <w:jc w:val="both"/>
        <w:rPr>
          <w:color w:val="000000" w:themeColor="text1"/>
          <w:sz w:val="16"/>
          <w:szCs w:val="16"/>
        </w:rPr>
      </w:pPr>
      <w:r w:rsidRPr="00925F26">
        <w:rPr>
          <w:color w:val="000000" w:themeColor="text1"/>
          <w:sz w:val="16"/>
          <w:szCs w:val="16"/>
        </w:rPr>
        <w:t>3 марта 1945 на ЧКЗ прошло техническое совещание, где обсуждалась установка МЛ-20см в «Кировец-2». Было решено поставить бронировку системы улучшенной формы и утолщённой до 100-150 мм. Вместо панорамного прицела 52-ЦМ-504А решили ставить панораму от 76-мм полковой пушки образца 1943 года как более простую и компактную. Менялся и телескопический прицел: вместо громоздкого СТ-10 решили ставить более компактный и удобный ТШ-17. Помимо этого, «Кировец-2» становился первой советской тяжёлой САУ, имевшей спаренный пулемёт. Было решено сделать установку спаренного с орудием крупнокалиберного пулемёта ДШКМ, ставили его справа от орудия. Наконец, изменялся поворотный механизм орудия.</w:t>
      </w:r>
    </w:p>
    <w:p w14:paraId="619B891B" w14:textId="77777777" w:rsidR="00193FD5" w:rsidRPr="00925F26" w:rsidRDefault="00193FD5" w:rsidP="00925F26">
      <w:pPr>
        <w:jc w:val="both"/>
        <w:rPr>
          <w:color w:val="000000" w:themeColor="text1"/>
          <w:sz w:val="16"/>
          <w:szCs w:val="16"/>
        </w:rPr>
      </w:pPr>
      <w:r w:rsidRPr="00925F26">
        <w:rPr>
          <w:color w:val="000000" w:themeColor="text1"/>
          <w:sz w:val="16"/>
          <w:szCs w:val="16"/>
        </w:rPr>
        <w:t>Тонкость момента заключалась в том, что переделывать планировалось серийную МЛ-20см. Об этом договорились на Кировском заводе и заводе №172, но у руководства ГАУ КА имелось своё мнение по этому поводу. Между ГАУ, ГБТУ КА и НКВ развернулась переписка, которая растянулась на несколько месяцев. В результате было потеряно время, на «Кировец-2» орудие установили только в середине июня 1945 года, при этом само шасси было готово ещё весной. Несмотря на то что основой для САУ являлся «Кировец-1», полной его копией шасси «Кировца-2» называть некорректно. Отличалась конструкция надмоторной плиты, а выхлопные патрубки сделали по типу Объекта 701.</w:t>
      </w:r>
    </w:p>
    <w:p w14:paraId="26E7C16D" w14:textId="77777777" w:rsidR="00193FD5" w:rsidRPr="00925F26" w:rsidRDefault="00193FD5" w:rsidP="00925F26">
      <w:pPr>
        <w:jc w:val="both"/>
        <w:rPr>
          <w:color w:val="000000" w:themeColor="text1"/>
          <w:sz w:val="16"/>
          <w:szCs w:val="16"/>
        </w:rPr>
      </w:pPr>
      <w:r w:rsidRPr="00925F26">
        <w:rPr>
          <w:color w:val="000000" w:themeColor="text1"/>
          <w:sz w:val="16"/>
          <w:szCs w:val="16"/>
        </w:rPr>
        <w:t>Самым важным изменением стало боевое отделение. Главной задачей при его проектировании являлось доведение защиты до уровня ИС-3, с чем конструкторы успешно справились. Толщина лба рубки достигла 120 мм, в результате обеспечивалась надёжная защита от 88-мм пушки Pak 43 L/71. Толщина бортов рубки достигала 90 мм, при этом листы расположили под рациональными углами наклона. Существенно усилили и бронировку системы. Толщина подвижной бронировки выросла до 160 мм, то есть стала почти втрое толще бронировки МЛ-20с.</w:t>
      </w:r>
    </w:p>
    <w:p w14:paraId="23F44CAA" w14:textId="77777777" w:rsidR="00193FD5" w:rsidRPr="00925F26" w:rsidRDefault="00193FD5" w:rsidP="00925F26">
      <w:pPr>
        <w:jc w:val="both"/>
        <w:rPr>
          <w:color w:val="000000" w:themeColor="text1"/>
          <w:sz w:val="16"/>
          <w:szCs w:val="16"/>
        </w:rPr>
      </w:pPr>
      <w:r w:rsidRPr="00925F26">
        <w:rPr>
          <w:color w:val="000000" w:themeColor="text1"/>
          <w:sz w:val="16"/>
          <w:szCs w:val="16"/>
        </w:rPr>
        <w:t>Отличалась не только форма рубки, но и её общая концепция. Прежде всего, механик-водитель теперь размещался так, что не имел смотровых приборов в лобовом листе рубки. Его рабочее место вынесли максимально вверх, благодаря чему в походном положении он ехал, высунувшись из люка на крыше, — это существенно повысило обзорность. В боевом положении механик-водитель пользовался перископическим прибором в люке, имевшим круговое вращение. Такой же люк имел и командир. Всего же число люков на крыше рубке выросло до пяти, из них один предназначался для панорамного прицела орудия. За счёт расширения бортовых листов рубки боевое отделение стало немного просторнее, при этом общая высота машины по сравнению с ИСУ-152 стала ниже на 5 см. Несмотря на существенный рост уровня защиты, боевая масса увеличилась не столь значительно, достигнув 47-48 т (18636).</w:t>
      </w:r>
    </w:p>
    <w:p w14:paraId="6E2DD5F8" w14:textId="77777777" w:rsidR="00193FD5" w:rsidRPr="00925F26" w:rsidRDefault="00193FD5" w:rsidP="00925F26">
      <w:pPr>
        <w:jc w:val="both"/>
        <w:rPr>
          <w:color w:val="000000" w:themeColor="text1"/>
          <w:sz w:val="16"/>
          <w:szCs w:val="16"/>
        </w:rPr>
      </w:pPr>
    </w:p>
    <w:p w14:paraId="6F767E7B"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3 марта 1945 года был издан приказ №178 по заводу №75. В нём резко подвергалась критике работа в цехах, а также прозвучало требование обеспечить их нормальную работу. Танки снова стали сдавать в самом конце месяца, но хотя бы не все скопом утром 1 апреля. Уже 30 марта завод сдал 40 танков, а остальные на следующий день. Ещё лучше ситуация стала складываться в апреле. По плану на 2-й квартал 1945 года в апреле сдавалось 65 танков, в мае – 75, а в июне – 85. К 10 апреля завод №75 сдал уже 10 танков, к 20 апреля их число выросло до 18, а на 29-е завод сдал 37 машин, то есть больше половины. Таким образом, уже к 1 мая требовалось сдать 28 машин, что завод и сделал. Качество машин было всё ещё низким, но военная приёмка уже наблюдала некоторое снижение количества дефектов.</w:t>
      </w:r>
    </w:p>
    <w:p w14:paraId="2FDF2A66"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Существенным тормозом сдачи апрельских машин являлись проблемы с торсионными валами. Приёмка отмечала, что завод смог сделать задел для дальнейшего выполнения майской программы. Уже в мае военная приёмка не ставила столь резко вопросы по качеству, хотя они, естественно, всё ещё возникали. Улучшение ситуации было видно и по темпам выпуска: к 10 мая завод сдал 11 танков, к 21 мая их число выросло до 33, по состоянию на 27 мая количество сданных Т-44 выросло до 60 штук, так что план в 75 танков выполнили без напряжения. В июне, даже несмотря на проблемы с подшипниками, сдача также шла равномерно. На 10 июня сдали 18 танков, по состоянию на 20 июня их уже была 51 штука, а к 30 июня завод №75 сдал 80 танков из планировавшихся 85.</w:t>
      </w:r>
    </w:p>
    <w:p w14:paraId="1F6A4C52"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Улучшившаяся ситуация с выпуском позволила постепенно поднимать планку производства Т-44. На июль завод №75 получил задание сдать 100 танков, за август – 120, и за сентябрь – 135. При этом цена выросла до 290 000 рублей (для сравнения, ИС-3 стоил в то же время 295 000). Причиной тому была высокая трудоёмкость танка. Июльскую программу завод сдал в полном объёме, но не без проблем. Выявились большие проблемы с коробками передач, а именно разрушение и заедание игольчатых шестерён 2-й и 3-й передач. Потребовалась массовая переборка КПП, что цепной реакцией ударило по темпам выполнения плана. К 1 сентября план завод не выполнил, 120 танков ему засчитали со сроком выполнения к 10 числу. Понимая, какие проблемы испытывает завод, программу на сентябрь 1945 года снизили до 85 танков, но на деле проблемы продолжались. В результате план на октябрь снизили ещё сильнее – до 50 штук, но и его завод выполнить не смог. Удалось сдать всего 35 танков, а в ноябре при плане в 85 танков их сдали 45 штук. Отчасти это было результатом указания ГБТУ КА прекратить приёмку танков, явно имеющих серьёзные дефекты.</w:t>
      </w:r>
    </w:p>
    <w:p w14:paraId="4BFEA148"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Декабрь оказался рекордным: при плане в 135 танков их сдали 170 штук. Фактически речь шла о досборке уже имевшихся танков. Итого за 1945 год завод №75 сдал 880 танков – с учётом всех свалившихся на него проблем дела обстояли не так уж и плохо. Для сравнения следует вспомнить Кировский завод в Ленинграде, который фактически завалил выпуск тяжёлых танков ИС-2, а число выпущенных самоходок ИСУ-152 за 1945 год составило всего 100 штук.</w:t>
      </w:r>
    </w:p>
    <w:p w14:paraId="027E298B"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План по выпуску Т-44 на январь 1946 года составил всего 30 машин, что завод №75 довольно легко выполнил. Впрочем, общий план на первый квартал 1946 года был куда большим – 250 машин. Между тем, за февраль вместо 90 танков удалось сдать всего 50 штук. Причиной тому стал срыв обеспечения завода подшипниками, также имели место перерывы в обеспечении электроэнергией и паром. Министерство транспортного машиностроения (образовано 15 марта 1946 года) полагало, что за первый квартал завод не сдаст больше 170 танков, но в марте всё же удалось перевыполнить план и сдать 130 танков. В апреле план был более щадящим – 50 танков, и с ним завод №75 справился. К тому времени выпуск Т-34-85 постепенно снижался. Завод №183 и вовсе прекратил выпуск этих машин, постепенно готовясь к производству более совершенного танка – Т-54. Что же касается завода №75, то его постепенно загружали мирной продукцией, в частности производством локомотивов. Мирная продукция, наряду с проблемами по поставкам подшипников и других деталей, сделала своё дело. Вместо 350 танков за 2-й квартал 1946 года завод смог сдать 189 машин (из них 90 в мае, и 49 – в июне), то есть едва перевалил за половину нормы.</w:t>
      </w:r>
    </w:p>
    <w:p w14:paraId="3D0C5991"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План на 3-й квартал был более щадящим: всего предполагалось сдать 270 машин, из них 50 – в июле, в – 110 августе, и ещё 110 – в сентябре. Ситуация повторилась: если в июле план удалось выполнить полностью, то в августе выпуск составил 85 танков. Причиной стали дефекты, а также плохая работа смежников. Траки, которые поставлял завод №183, оказались бракованными, а СТЗ сильно задержал поставку двигателей. В сентябре просадка выпуска оказалась ещё сильнее: сдали всего 40 танков. Впрочем, другие заводы справились с планом ненамного лучше, а внедрение Т-54 и ИС-4 сильно затянулось. 4-й квартал в Харькове также оказался не самым успешным. При плане в 90 танков за октябрь завод сдал всего 14 танков – причиной тому стали проблемы с подшипниками. По наличию моторов, корпусов и других узлов завод мог сдать 63 танка. Проблема с подшипниками прямым образом сказалась и на ноябрьском плане, кроме того, образовался дефицит башен. В результате вместо 90 танков завод сдал 50 штук. За последний месяц 1946 года удалось сдать ещё 80 танков, в общей же сложности их за первый послевоенный год сдали 718 штук.</w:t>
      </w:r>
    </w:p>
    <w:p w14:paraId="1DD4DFA1" w14:textId="77777777" w:rsidR="00193FD5" w:rsidRPr="00925F26" w:rsidRDefault="00193FD5" w:rsidP="00925F26">
      <w:pPr>
        <w:pStyle w:val="ae"/>
        <w:spacing w:before="0" w:after="0"/>
        <w:jc w:val="both"/>
        <w:textAlignment w:val="baseline"/>
        <w:rPr>
          <w:color w:val="000000" w:themeColor="text1"/>
          <w:sz w:val="16"/>
          <w:szCs w:val="16"/>
        </w:rPr>
      </w:pPr>
      <w:r w:rsidRPr="00925F26">
        <w:rPr>
          <w:color w:val="000000" w:themeColor="text1"/>
          <w:sz w:val="16"/>
          <w:szCs w:val="16"/>
        </w:rPr>
        <w:t>К началу 1947 года стало ясно, что время Т-44 подходит к концу. Несмотря на то, что завод №183 так и не смог освоить выпуск Т-54 в 1946 году, было ясно, что за этой машиной будущее, поэтому в планах на 1947 год оговаривался выпуск всего 200 Т-44. Проблемы, имевшиеся на заводе, всё ещё мешали выполнению плана. Даже небольшой объём выпуска (120 машин) давался заводу с трудом. За январь было сдано 28 танков, за февраль – 19, а за март – 44. Ситуация во втором квартале также была непростой: за апрель удалось сдать 23 танка (при плане в 20), при этом отмечалось, что на май завод не обеспечен башнями. Впрочем, в мае также сдали 23 машины (19047).</w:t>
      </w:r>
    </w:p>
    <w:p w14:paraId="0A93E6B4" w14:textId="77777777" w:rsidR="00193FD5" w:rsidRPr="00925F26" w:rsidRDefault="00193FD5" w:rsidP="00925F26">
      <w:pPr>
        <w:pStyle w:val="ae"/>
        <w:spacing w:before="0" w:after="0"/>
        <w:jc w:val="both"/>
        <w:textAlignment w:val="baseline"/>
        <w:rPr>
          <w:color w:val="000000" w:themeColor="text1"/>
          <w:sz w:val="16"/>
          <w:szCs w:val="16"/>
        </w:rPr>
      </w:pPr>
    </w:p>
    <w:p w14:paraId="1C72FDC0" w14:textId="77777777" w:rsidR="003B0B5C" w:rsidRPr="001A0BAA" w:rsidRDefault="003B0B5C" w:rsidP="003B0B5C">
      <w:pPr>
        <w:jc w:val="both"/>
        <w:rPr>
          <w:color w:val="0070C0"/>
          <w:sz w:val="16"/>
          <w:szCs w:val="16"/>
        </w:rPr>
      </w:pPr>
      <w:r w:rsidRPr="001A0BAA">
        <w:rPr>
          <w:color w:val="0070C0"/>
          <w:sz w:val="16"/>
          <w:szCs w:val="16"/>
        </w:rPr>
        <w:t>3 марта 1945 вышел приказ директора завода № 75 от. В этом документе говорилось следу</w:t>
      </w:r>
      <w:r w:rsidRPr="001A0BAA">
        <w:rPr>
          <w:color w:val="0070C0"/>
          <w:sz w:val="16"/>
          <w:szCs w:val="16"/>
        </w:rPr>
        <w:softHyphen/>
        <w:t>ющее:</w:t>
      </w:r>
    </w:p>
    <w:p w14:paraId="027D61EE" w14:textId="77777777" w:rsidR="003B0B5C" w:rsidRPr="001A0BAA" w:rsidRDefault="003B0B5C" w:rsidP="003B0B5C">
      <w:pPr>
        <w:jc w:val="both"/>
        <w:rPr>
          <w:color w:val="0070C0"/>
          <w:sz w:val="16"/>
          <w:szCs w:val="16"/>
        </w:rPr>
      </w:pPr>
      <w:r w:rsidRPr="001A0BAA">
        <w:rPr>
          <w:color w:val="0070C0"/>
          <w:sz w:val="16"/>
          <w:szCs w:val="16"/>
        </w:rPr>
        <w:t>«Основной причиной, приведшей к сры</w:t>
      </w:r>
      <w:r w:rsidRPr="001A0BAA">
        <w:rPr>
          <w:color w:val="0070C0"/>
          <w:sz w:val="16"/>
          <w:szCs w:val="16"/>
        </w:rPr>
        <w:softHyphen/>
        <w:t>ву установленного Государственного Коми</w:t>
      </w:r>
      <w:r w:rsidRPr="001A0BAA">
        <w:rPr>
          <w:color w:val="0070C0"/>
          <w:sz w:val="16"/>
          <w:szCs w:val="16"/>
        </w:rPr>
        <w:softHyphen/>
        <w:t>тета Обороны задания, является отсутствие должной ответственности со стороны ко</w:t>
      </w:r>
      <w:r w:rsidRPr="001A0BAA">
        <w:rPr>
          <w:color w:val="0070C0"/>
          <w:sz w:val="16"/>
          <w:szCs w:val="16"/>
        </w:rPr>
        <w:softHyphen/>
        <w:t>мандного состава отделов и цехов и борьбы за всемерное повышение производительно</w:t>
      </w:r>
      <w:r w:rsidRPr="001A0BAA">
        <w:rPr>
          <w:color w:val="0070C0"/>
          <w:sz w:val="16"/>
          <w:szCs w:val="16"/>
        </w:rPr>
        <w:softHyphen/>
        <w:t>сти труда в цехах завода. Ни один из цехов не обеспечил набора необходимых темпов выпуска машин, вследствие чего не выпол</w:t>
      </w:r>
      <w:r w:rsidRPr="001A0BAA">
        <w:rPr>
          <w:color w:val="0070C0"/>
          <w:sz w:val="16"/>
          <w:szCs w:val="16"/>
        </w:rPr>
        <w:softHyphen/>
        <w:t>нено задание наркомата и по отдельным узлам и деталям...</w:t>
      </w:r>
    </w:p>
    <w:p w14:paraId="1F229D43" w14:textId="77777777" w:rsidR="003B0B5C" w:rsidRPr="001A0BAA" w:rsidRDefault="003B0B5C" w:rsidP="003B0B5C">
      <w:pPr>
        <w:jc w:val="both"/>
        <w:rPr>
          <w:color w:val="0070C0"/>
          <w:sz w:val="16"/>
          <w:szCs w:val="16"/>
        </w:rPr>
      </w:pPr>
      <w:r w:rsidRPr="001A0BAA">
        <w:rPr>
          <w:color w:val="0070C0"/>
          <w:sz w:val="16"/>
          <w:szCs w:val="16"/>
        </w:rPr>
        <w:t>Цех 620 (инструментальный), начальник цеха тов. Белов, цех 630 (приспособлений), начальник цеха тов. Поройнов плохой ра</w:t>
      </w:r>
      <w:r w:rsidRPr="001A0BAA">
        <w:rPr>
          <w:color w:val="0070C0"/>
          <w:sz w:val="16"/>
          <w:szCs w:val="16"/>
        </w:rPr>
        <w:softHyphen/>
        <w:t>ботой сорвали выполнение приказа Нарко</w:t>
      </w:r>
      <w:r w:rsidRPr="001A0BAA">
        <w:rPr>
          <w:color w:val="0070C0"/>
          <w:sz w:val="16"/>
          <w:szCs w:val="16"/>
        </w:rPr>
        <w:softHyphen/>
        <w:t>ма по внедрению серийной технологической оснастки.</w:t>
      </w:r>
    </w:p>
    <w:p w14:paraId="0DF7D6DB" w14:textId="77777777" w:rsidR="003B0B5C" w:rsidRPr="001A0BAA" w:rsidRDefault="003B0B5C" w:rsidP="003B0B5C">
      <w:pPr>
        <w:jc w:val="both"/>
        <w:rPr>
          <w:color w:val="0070C0"/>
          <w:sz w:val="16"/>
          <w:szCs w:val="16"/>
        </w:rPr>
      </w:pPr>
      <w:r w:rsidRPr="001A0BAA">
        <w:rPr>
          <w:color w:val="0070C0"/>
          <w:sz w:val="16"/>
          <w:szCs w:val="16"/>
        </w:rPr>
        <w:t>Результаты работы завода могли бы быть иными, если бы в цехах руководители цехов и их заместители, старшие и сменные мастера не мирились бы с кустарщиной в повседнев</w:t>
      </w:r>
      <w:r w:rsidRPr="001A0BAA">
        <w:rPr>
          <w:color w:val="0070C0"/>
          <w:sz w:val="16"/>
          <w:szCs w:val="16"/>
        </w:rPr>
        <w:softHyphen/>
        <w:t>ной работе, боролись бы с косностью и кон</w:t>
      </w:r>
      <w:r w:rsidRPr="001A0BAA">
        <w:rPr>
          <w:color w:val="0070C0"/>
          <w:sz w:val="16"/>
          <w:szCs w:val="16"/>
        </w:rPr>
        <w:softHyphen/>
        <w:t>серватизмом в вопросах внедрения серийной технологии и освоения высокопроизводи</w:t>
      </w:r>
      <w:r w:rsidRPr="001A0BAA">
        <w:rPr>
          <w:color w:val="0070C0"/>
          <w:sz w:val="16"/>
          <w:szCs w:val="16"/>
        </w:rPr>
        <w:softHyphen/>
        <w:t>тельных станков.</w:t>
      </w:r>
    </w:p>
    <w:p w14:paraId="77FA4CEC" w14:textId="77777777" w:rsidR="003B0B5C" w:rsidRPr="001A0BAA" w:rsidRDefault="003B0B5C" w:rsidP="003B0B5C">
      <w:pPr>
        <w:jc w:val="both"/>
        <w:rPr>
          <w:color w:val="0070C0"/>
          <w:sz w:val="16"/>
          <w:szCs w:val="16"/>
        </w:rPr>
      </w:pPr>
      <w:r w:rsidRPr="001A0BAA">
        <w:rPr>
          <w:color w:val="0070C0"/>
          <w:sz w:val="16"/>
          <w:szCs w:val="16"/>
        </w:rPr>
        <w:lastRenderedPageBreak/>
        <w:t>В цехе 120 - начальник цеха тов. Пашин, заместители т.т. Мещак и Кулаков до сих пор обрабатывают валы на универсальных стан</w:t>
      </w:r>
      <w:r w:rsidRPr="001A0BAA">
        <w:rPr>
          <w:color w:val="0070C0"/>
          <w:sz w:val="16"/>
          <w:szCs w:val="16"/>
        </w:rPr>
        <w:softHyphen/>
        <w:t>ках, а 6 высокопроизводительных многорез</w:t>
      </w:r>
      <w:r w:rsidRPr="001A0BAA">
        <w:rPr>
          <w:color w:val="0070C0"/>
          <w:sz w:val="16"/>
          <w:szCs w:val="16"/>
        </w:rPr>
        <w:softHyphen/>
        <w:t>цовых станков стоят и не используются. В этом же цехе не изучается должным образом характеристика оборудования.</w:t>
      </w:r>
    </w:p>
    <w:p w14:paraId="5865F0DF" w14:textId="77777777" w:rsidR="003B0B5C" w:rsidRPr="001A0BAA" w:rsidRDefault="003B0B5C" w:rsidP="003B0B5C">
      <w:pPr>
        <w:jc w:val="both"/>
        <w:rPr>
          <w:color w:val="0070C0"/>
          <w:sz w:val="16"/>
          <w:szCs w:val="16"/>
        </w:rPr>
      </w:pPr>
      <w:r w:rsidRPr="001A0BAA">
        <w:rPr>
          <w:color w:val="0070C0"/>
          <w:sz w:val="16"/>
          <w:szCs w:val="16"/>
        </w:rPr>
        <w:t>Руководители цехов не знают, что мож</w:t>
      </w:r>
      <w:r w:rsidRPr="001A0BAA">
        <w:rPr>
          <w:color w:val="0070C0"/>
          <w:sz w:val="16"/>
          <w:szCs w:val="16"/>
        </w:rPr>
        <w:softHyphen/>
        <w:t>но сделать на имеющемся парке оборудо</w:t>
      </w:r>
      <w:r w:rsidRPr="001A0BAA">
        <w:rPr>
          <w:color w:val="0070C0"/>
          <w:sz w:val="16"/>
          <w:szCs w:val="16"/>
        </w:rPr>
        <w:softHyphen/>
        <w:t>вания, в результате чего создаются так на</w:t>
      </w:r>
      <w:r w:rsidRPr="001A0BAA">
        <w:rPr>
          <w:color w:val="0070C0"/>
          <w:sz w:val="16"/>
          <w:szCs w:val="16"/>
        </w:rPr>
        <w:softHyphen/>
        <w:t>зываемые «узкие детали», которые срывают работу завода, хотя имеется полная возмож</w:t>
      </w:r>
      <w:r w:rsidRPr="001A0BAA">
        <w:rPr>
          <w:color w:val="0070C0"/>
          <w:sz w:val="16"/>
          <w:szCs w:val="16"/>
        </w:rPr>
        <w:softHyphen/>
        <w:t>ность для решения этих вопросов. Цех 110, начальник цеха тов. Воеводин, заместитель т. Левит больше занимаются разговорами об организации серийного производства, чем самим делом организации внедрения се</w:t>
      </w:r>
      <w:r w:rsidRPr="001A0BAA">
        <w:rPr>
          <w:color w:val="0070C0"/>
          <w:sz w:val="16"/>
          <w:szCs w:val="16"/>
        </w:rPr>
        <w:softHyphen/>
        <w:t>рийной технологии. В цехе, несмотря на пол</w:t>
      </w:r>
      <w:r w:rsidRPr="001A0BAA">
        <w:rPr>
          <w:color w:val="0070C0"/>
          <w:sz w:val="16"/>
          <w:szCs w:val="16"/>
        </w:rPr>
        <w:softHyphen/>
        <w:t>ную возможность, до сих пор не организова</w:t>
      </w:r>
      <w:r w:rsidRPr="001A0BAA">
        <w:rPr>
          <w:color w:val="0070C0"/>
          <w:sz w:val="16"/>
          <w:szCs w:val="16"/>
        </w:rPr>
        <w:softHyphen/>
        <w:t>на ни одна поточная линия, а начальник цеха т. Воеводин и заместитель т. Левит не замечают того, что своей бездеятельностью в во</w:t>
      </w:r>
      <w:r w:rsidRPr="001A0BAA">
        <w:rPr>
          <w:color w:val="0070C0"/>
          <w:sz w:val="16"/>
          <w:szCs w:val="16"/>
        </w:rPr>
        <w:softHyphen/>
        <w:t>просах внедрения многорезцового оборудо</w:t>
      </w:r>
      <w:r w:rsidRPr="001A0BAA">
        <w:rPr>
          <w:color w:val="0070C0"/>
          <w:sz w:val="16"/>
          <w:szCs w:val="16"/>
        </w:rPr>
        <w:softHyphen/>
        <w:t>вания они скатываются на путь кустарщины в своей работе.</w:t>
      </w:r>
    </w:p>
    <w:p w14:paraId="59D66DA8" w14:textId="77777777" w:rsidR="003B0B5C" w:rsidRPr="001A0BAA" w:rsidRDefault="003B0B5C" w:rsidP="003B0B5C">
      <w:pPr>
        <w:jc w:val="both"/>
        <w:rPr>
          <w:color w:val="0070C0"/>
          <w:sz w:val="16"/>
          <w:szCs w:val="16"/>
        </w:rPr>
      </w:pPr>
      <w:r w:rsidRPr="001A0BAA">
        <w:rPr>
          <w:color w:val="0070C0"/>
          <w:sz w:val="16"/>
          <w:szCs w:val="16"/>
        </w:rPr>
        <w:t>Начальники цехов очень плохо занимают</w:t>
      </w:r>
      <w:r w:rsidRPr="001A0BAA">
        <w:rPr>
          <w:color w:val="0070C0"/>
          <w:sz w:val="16"/>
          <w:szCs w:val="16"/>
        </w:rPr>
        <w:softHyphen/>
        <w:t>ся вопросами организации хозяйства в своих цехах. В цехах отсутствуют кладовые черно</w:t>
      </w:r>
      <w:r w:rsidRPr="001A0BAA">
        <w:rPr>
          <w:color w:val="0070C0"/>
          <w:sz w:val="16"/>
          <w:szCs w:val="16"/>
        </w:rPr>
        <w:softHyphen/>
        <w:t>вых изделий, что приводит к бесконтрольной выдаче заготовок и сокрытию брака, боль</w:t>
      </w:r>
      <w:r w:rsidRPr="001A0BAA">
        <w:rPr>
          <w:color w:val="0070C0"/>
          <w:sz w:val="16"/>
          <w:szCs w:val="16"/>
        </w:rPr>
        <w:softHyphen/>
        <w:t>шой потере деталей...</w:t>
      </w:r>
    </w:p>
    <w:p w14:paraId="1239AD49" w14:textId="77777777" w:rsidR="003B0B5C" w:rsidRPr="001A0BAA" w:rsidRDefault="003B0B5C" w:rsidP="003B0B5C">
      <w:pPr>
        <w:jc w:val="both"/>
        <w:rPr>
          <w:color w:val="0070C0"/>
          <w:sz w:val="16"/>
          <w:szCs w:val="16"/>
        </w:rPr>
      </w:pPr>
      <w:r w:rsidRPr="001A0BAA">
        <w:rPr>
          <w:color w:val="0070C0"/>
          <w:sz w:val="16"/>
          <w:szCs w:val="16"/>
        </w:rPr>
        <w:t>В цехах 110, 120, 130, 140, 150 большин</w:t>
      </w:r>
      <w:r w:rsidRPr="001A0BAA">
        <w:rPr>
          <w:color w:val="0070C0"/>
          <w:sz w:val="16"/>
          <w:szCs w:val="16"/>
        </w:rPr>
        <w:softHyphen/>
        <w:t>ство рабочих-станочников не вырабатыва</w:t>
      </w:r>
      <w:r w:rsidRPr="001A0BAA">
        <w:rPr>
          <w:color w:val="0070C0"/>
          <w:sz w:val="16"/>
          <w:szCs w:val="16"/>
        </w:rPr>
        <w:softHyphen/>
        <w:t>ют нормы. Одной из причин невыполнения норм является большое количество неучтен</w:t>
      </w:r>
      <w:r w:rsidRPr="001A0BAA">
        <w:rPr>
          <w:color w:val="0070C0"/>
          <w:sz w:val="16"/>
          <w:szCs w:val="16"/>
        </w:rPr>
        <w:softHyphen/>
        <w:t>ных простоев и непринятие мер к их изжи</w:t>
      </w:r>
      <w:r w:rsidRPr="001A0BAA">
        <w:rPr>
          <w:color w:val="0070C0"/>
          <w:sz w:val="16"/>
          <w:szCs w:val="16"/>
        </w:rPr>
        <w:softHyphen/>
        <w:t>тию, плохое обеспечение рабочих инстру</w:t>
      </w:r>
      <w:r w:rsidRPr="001A0BAA">
        <w:rPr>
          <w:color w:val="0070C0"/>
          <w:sz w:val="16"/>
          <w:szCs w:val="16"/>
        </w:rPr>
        <w:softHyphen/>
        <w:t xml:space="preserve">ментов, заготовкой и низкой </w:t>
      </w:r>
      <w:proofErr w:type="gramStart"/>
      <w:r w:rsidRPr="001A0BAA">
        <w:rPr>
          <w:color w:val="0070C0"/>
          <w:sz w:val="16"/>
          <w:szCs w:val="16"/>
        </w:rPr>
        <w:t>труддисципли- ной</w:t>
      </w:r>
      <w:proofErr w:type="gramEnd"/>
      <w:r w:rsidRPr="001A0BAA">
        <w:rPr>
          <w:color w:val="0070C0"/>
          <w:sz w:val="16"/>
          <w:szCs w:val="16"/>
        </w:rPr>
        <w:t xml:space="preserve"> со стороны самих работающих.</w:t>
      </w:r>
    </w:p>
    <w:p w14:paraId="49B98889" w14:textId="77777777" w:rsidR="003B0B5C" w:rsidRPr="001A0BAA" w:rsidRDefault="003B0B5C" w:rsidP="003B0B5C">
      <w:pPr>
        <w:jc w:val="both"/>
        <w:rPr>
          <w:color w:val="0070C0"/>
          <w:sz w:val="16"/>
          <w:szCs w:val="16"/>
        </w:rPr>
      </w:pPr>
      <w:r w:rsidRPr="001A0BAA">
        <w:rPr>
          <w:color w:val="0070C0"/>
          <w:sz w:val="16"/>
          <w:szCs w:val="16"/>
        </w:rPr>
        <w:t>Работа февраля месяца не может быть названа иначе, как провальной работой, и наша задача состоит в том, чтобы, моби</w:t>
      </w:r>
      <w:r w:rsidRPr="001A0BAA">
        <w:rPr>
          <w:color w:val="0070C0"/>
          <w:sz w:val="16"/>
          <w:szCs w:val="16"/>
        </w:rPr>
        <w:softHyphen/>
        <w:t>лизовав все свои силы на устранение име</w:t>
      </w:r>
      <w:r w:rsidRPr="001A0BAA">
        <w:rPr>
          <w:color w:val="0070C0"/>
          <w:sz w:val="16"/>
          <w:szCs w:val="16"/>
        </w:rPr>
        <w:softHyphen/>
        <w:t>ющихся недостатков - выправить положе</w:t>
      </w:r>
      <w:r w:rsidRPr="001A0BAA">
        <w:rPr>
          <w:color w:val="0070C0"/>
          <w:sz w:val="16"/>
          <w:szCs w:val="16"/>
        </w:rPr>
        <w:softHyphen/>
        <w:t>ние в работе завода с первых же дней мар</w:t>
      </w:r>
      <w:r w:rsidRPr="001A0BAA">
        <w:rPr>
          <w:color w:val="0070C0"/>
          <w:sz w:val="16"/>
          <w:szCs w:val="16"/>
        </w:rPr>
        <w:softHyphen/>
        <w:t>та месяца.</w:t>
      </w:r>
    </w:p>
    <w:p w14:paraId="6DB7C064" w14:textId="77777777" w:rsidR="003B0B5C" w:rsidRPr="001A0BAA" w:rsidRDefault="003B0B5C" w:rsidP="003B0B5C">
      <w:pPr>
        <w:jc w:val="both"/>
        <w:rPr>
          <w:color w:val="0070C0"/>
          <w:sz w:val="16"/>
          <w:szCs w:val="16"/>
        </w:rPr>
      </w:pPr>
      <w:r w:rsidRPr="001A0BAA">
        <w:rPr>
          <w:color w:val="0070C0"/>
          <w:sz w:val="16"/>
          <w:szCs w:val="16"/>
        </w:rPr>
        <w:t>В чем успех всей работы на заводе: в обе</w:t>
      </w:r>
      <w:r w:rsidRPr="001A0BAA">
        <w:rPr>
          <w:color w:val="0070C0"/>
          <w:sz w:val="16"/>
          <w:szCs w:val="16"/>
        </w:rPr>
        <w:softHyphen/>
        <w:t>спечении немедленного роста производи</w:t>
      </w:r>
      <w:r w:rsidRPr="001A0BAA">
        <w:rPr>
          <w:color w:val="0070C0"/>
          <w:sz w:val="16"/>
          <w:szCs w:val="16"/>
        </w:rPr>
        <w:softHyphen/>
        <w:t>тельности труда, а для этого нужно:</w:t>
      </w:r>
    </w:p>
    <w:p w14:paraId="3D5CA740" w14:textId="77777777" w:rsidR="003B0B5C" w:rsidRPr="001A0BAA" w:rsidRDefault="003B0B5C" w:rsidP="003B0B5C">
      <w:pPr>
        <w:jc w:val="both"/>
        <w:rPr>
          <w:color w:val="0070C0"/>
          <w:sz w:val="16"/>
          <w:szCs w:val="16"/>
        </w:rPr>
      </w:pPr>
      <w:r w:rsidRPr="001A0BAA">
        <w:rPr>
          <w:color w:val="0070C0"/>
          <w:sz w:val="16"/>
          <w:szCs w:val="16"/>
        </w:rPr>
        <w:t>1. Чтобы начальники цехов, их замести</w:t>
      </w:r>
      <w:r w:rsidRPr="001A0BAA">
        <w:rPr>
          <w:color w:val="0070C0"/>
          <w:sz w:val="16"/>
          <w:szCs w:val="16"/>
        </w:rPr>
        <w:softHyphen/>
        <w:t>тели, мастера по-серьезному взялись за ор</w:t>
      </w:r>
      <w:r w:rsidRPr="001A0BAA">
        <w:rPr>
          <w:color w:val="0070C0"/>
          <w:sz w:val="16"/>
          <w:szCs w:val="16"/>
        </w:rPr>
        <w:softHyphen/>
        <w:t>ганизацию работы в цехах. Не на словах, а на деле решать вопросы труддисциплины и организации рабочего места.</w:t>
      </w:r>
    </w:p>
    <w:p w14:paraId="268923E2" w14:textId="77777777" w:rsidR="003B0B5C" w:rsidRPr="001A0BAA" w:rsidRDefault="003B0B5C" w:rsidP="003B0B5C">
      <w:pPr>
        <w:jc w:val="both"/>
        <w:rPr>
          <w:color w:val="0070C0"/>
          <w:sz w:val="16"/>
          <w:szCs w:val="16"/>
        </w:rPr>
      </w:pPr>
      <w:r w:rsidRPr="001A0BAA">
        <w:rPr>
          <w:color w:val="0070C0"/>
          <w:sz w:val="16"/>
          <w:szCs w:val="16"/>
        </w:rPr>
        <w:t>2. Поднять заботу всего командного со</w:t>
      </w:r>
      <w:r w:rsidRPr="001A0BAA">
        <w:rPr>
          <w:color w:val="0070C0"/>
          <w:sz w:val="16"/>
          <w:szCs w:val="16"/>
        </w:rPr>
        <w:softHyphen/>
        <w:t>става цехов и их ответственность за сро</w:t>
      </w:r>
      <w:r w:rsidRPr="001A0BAA">
        <w:rPr>
          <w:color w:val="0070C0"/>
          <w:sz w:val="16"/>
          <w:szCs w:val="16"/>
        </w:rPr>
        <w:softHyphen/>
        <w:t>ки изготовления и внедрения технологиче</w:t>
      </w:r>
      <w:r w:rsidRPr="001A0BAA">
        <w:rPr>
          <w:color w:val="0070C0"/>
          <w:sz w:val="16"/>
          <w:szCs w:val="16"/>
        </w:rPr>
        <w:softHyphen/>
        <w:t>ской оснастки, ибо без этого не может быть ощутимых результатов в повышении про</w:t>
      </w:r>
      <w:r w:rsidRPr="001A0BAA">
        <w:rPr>
          <w:color w:val="0070C0"/>
          <w:sz w:val="16"/>
          <w:szCs w:val="16"/>
        </w:rPr>
        <w:softHyphen/>
        <w:t>изводительности труда. Объявить беспо</w:t>
      </w:r>
      <w:r w:rsidRPr="001A0BAA">
        <w:rPr>
          <w:color w:val="0070C0"/>
          <w:sz w:val="16"/>
          <w:szCs w:val="16"/>
        </w:rPr>
        <w:softHyphen/>
        <w:t>щадную и немедленную борьбу кустарщи</w:t>
      </w:r>
      <w:r w:rsidRPr="001A0BAA">
        <w:rPr>
          <w:color w:val="0070C0"/>
          <w:sz w:val="16"/>
          <w:szCs w:val="16"/>
        </w:rPr>
        <w:softHyphen/>
        <w:t>не в работе.</w:t>
      </w:r>
    </w:p>
    <w:p w14:paraId="76326293" w14:textId="77777777" w:rsidR="003B0B5C" w:rsidRPr="001A0BAA" w:rsidRDefault="003B0B5C" w:rsidP="003B0B5C">
      <w:pPr>
        <w:jc w:val="both"/>
        <w:rPr>
          <w:color w:val="0070C0"/>
          <w:sz w:val="16"/>
          <w:szCs w:val="16"/>
        </w:rPr>
      </w:pPr>
      <w:r w:rsidRPr="001A0BAA">
        <w:rPr>
          <w:color w:val="0070C0"/>
          <w:sz w:val="16"/>
          <w:szCs w:val="16"/>
        </w:rPr>
        <w:t xml:space="preserve">  </w:t>
      </w:r>
    </w:p>
    <w:p w14:paraId="05FC9A91" w14:textId="77777777" w:rsidR="003B0B5C" w:rsidRPr="001A0BAA" w:rsidRDefault="003B0B5C" w:rsidP="003B0B5C">
      <w:pPr>
        <w:jc w:val="both"/>
        <w:rPr>
          <w:color w:val="0070C0"/>
          <w:sz w:val="16"/>
          <w:szCs w:val="16"/>
        </w:rPr>
      </w:pPr>
      <w:r w:rsidRPr="001A0BAA">
        <w:rPr>
          <w:color w:val="0070C0"/>
          <w:sz w:val="16"/>
          <w:szCs w:val="16"/>
        </w:rPr>
        <w:t>10. Обращаю внимание всех начальников цехов на необходимость серьезного измене</w:t>
      </w:r>
      <w:r w:rsidRPr="001A0BAA">
        <w:rPr>
          <w:color w:val="0070C0"/>
          <w:sz w:val="16"/>
          <w:szCs w:val="16"/>
        </w:rPr>
        <w:softHyphen/>
        <w:t>ния стиля руководства цехами, наведения порядка во всех участках работы цехов, уста</w:t>
      </w:r>
      <w:r w:rsidRPr="001A0BAA">
        <w:rPr>
          <w:color w:val="0070C0"/>
          <w:sz w:val="16"/>
          <w:szCs w:val="16"/>
        </w:rPr>
        <w:softHyphen/>
        <w:t>новление строжайшего учета деталей, брака, организации серьезного повседневного кон</w:t>
      </w:r>
      <w:r w:rsidRPr="001A0BAA">
        <w:rPr>
          <w:color w:val="0070C0"/>
          <w:sz w:val="16"/>
          <w:szCs w:val="16"/>
        </w:rPr>
        <w:softHyphen/>
        <w:t>троля за выработкой норм и состоянием дела зарплаты, обеспечив личное руководство во</w:t>
      </w:r>
      <w:r w:rsidRPr="001A0BAA">
        <w:rPr>
          <w:color w:val="0070C0"/>
          <w:sz w:val="16"/>
          <w:szCs w:val="16"/>
        </w:rPr>
        <w:softHyphen/>
        <w:t>просами организации серийной технологии в цехах, как решающими вопросами произ</w:t>
      </w:r>
      <w:r w:rsidRPr="001A0BAA">
        <w:rPr>
          <w:color w:val="0070C0"/>
          <w:sz w:val="16"/>
          <w:szCs w:val="16"/>
        </w:rPr>
        <w:softHyphen/>
        <w:t>водства» (25012).</w:t>
      </w:r>
    </w:p>
    <w:p w14:paraId="46C25536" w14:textId="77777777" w:rsidR="003B0B5C" w:rsidRPr="001A0BAA" w:rsidRDefault="003B0B5C" w:rsidP="003B0B5C">
      <w:pPr>
        <w:jc w:val="both"/>
        <w:rPr>
          <w:color w:val="0070C0"/>
          <w:sz w:val="16"/>
          <w:szCs w:val="16"/>
        </w:rPr>
      </w:pPr>
    </w:p>
    <w:p w14:paraId="67063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г. Приказом Наркомата угольной промышленности СССР Государственная союзная экспериментально-конструкторская контора угольного машиностроения "Углемашпроект" была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74A88CD8" w14:textId="77777777" w:rsidR="003751D3" w:rsidRPr="00925F26" w:rsidRDefault="003751D3" w:rsidP="00925F26">
      <w:pPr>
        <w:tabs>
          <w:tab w:val="left" w:pos="11199"/>
        </w:tabs>
        <w:autoSpaceDE w:val="0"/>
        <w:autoSpaceDN w:val="0"/>
        <w:adjustRightInd w:val="0"/>
        <w:jc w:val="both"/>
        <w:rPr>
          <w:color w:val="000000" w:themeColor="text1"/>
          <w:sz w:val="16"/>
          <w:szCs w:val="16"/>
        </w:rPr>
      </w:pPr>
    </w:p>
    <w:p w14:paraId="0130310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7625 Об общем плане перевозок по железнодорожному и морскому транспорту на март 1945 г. (7310, 218).</w:t>
      </w:r>
    </w:p>
    <w:p w14:paraId="30D4DA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0E1FD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7626 О плане и мерах по обеспечению перевозок народнохозяйственных грузов по железнодорожному и морскому транспорту на март 1945 года. РГАНИР, Фонд ГКО, д. 374, лл. 1-11, 12-149 (11012).</w:t>
      </w:r>
    </w:p>
    <w:p w14:paraId="28D13616" w14:textId="77777777" w:rsidR="00665165" w:rsidRPr="00925F26" w:rsidRDefault="00665165" w:rsidP="00925F26">
      <w:pPr>
        <w:autoSpaceDE w:val="0"/>
        <w:autoSpaceDN w:val="0"/>
        <w:adjustRightInd w:val="0"/>
        <w:jc w:val="both"/>
        <w:rPr>
          <w:color w:val="000000" w:themeColor="text1"/>
          <w:sz w:val="16"/>
          <w:szCs w:val="16"/>
        </w:rPr>
      </w:pPr>
    </w:p>
    <w:p w14:paraId="7D14BF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7627 О плане снабжения горюче-смазочными материалами Красной Армии и Военно-Морского Флота на март 1945 года. РГАНИР, Фонд ГКО, д. 376, лл. 1-4, 5-30 (11012).</w:t>
      </w:r>
    </w:p>
    <w:p w14:paraId="1FF75C12" w14:textId="77777777" w:rsidR="00665165" w:rsidRPr="00925F26" w:rsidRDefault="00665165" w:rsidP="00925F26">
      <w:pPr>
        <w:autoSpaceDE w:val="0"/>
        <w:autoSpaceDN w:val="0"/>
        <w:adjustRightInd w:val="0"/>
        <w:jc w:val="both"/>
        <w:rPr>
          <w:color w:val="000000" w:themeColor="text1"/>
          <w:sz w:val="16"/>
          <w:szCs w:val="16"/>
        </w:rPr>
      </w:pPr>
    </w:p>
    <w:p w14:paraId="6F93EA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7628 О строительстве газовых сетей в г. Москве в 1945 г. для приема природного газа саратовских месторождений. РГАНИР, Фонд ГКО, д. 376, лл. 31-42, 43-53 (11012).</w:t>
      </w:r>
    </w:p>
    <w:p w14:paraId="18A70A31" w14:textId="77777777" w:rsidR="00665165" w:rsidRPr="00925F26" w:rsidRDefault="00665165" w:rsidP="00925F26">
      <w:pPr>
        <w:autoSpaceDE w:val="0"/>
        <w:autoSpaceDN w:val="0"/>
        <w:adjustRightInd w:val="0"/>
        <w:jc w:val="both"/>
        <w:rPr>
          <w:color w:val="000000" w:themeColor="text1"/>
          <w:sz w:val="16"/>
          <w:szCs w:val="16"/>
        </w:rPr>
      </w:pPr>
    </w:p>
    <w:p w14:paraId="5B3EB9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7629 Об организации производства газовой аппаратуры на предприятиях гор. Москвы. РГАНИР, Фонд ГКО, д. 376, лл. 54-59, 60-69 (11012).</w:t>
      </w:r>
    </w:p>
    <w:p w14:paraId="106D38BE" w14:textId="77777777" w:rsidR="00665165" w:rsidRPr="00925F26" w:rsidRDefault="00665165" w:rsidP="00925F26">
      <w:pPr>
        <w:autoSpaceDE w:val="0"/>
        <w:autoSpaceDN w:val="0"/>
        <w:adjustRightInd w:val="0"/>
        <w:jc w:val="both"/>
        <w:rPr>
          <w:color w:val="000000" w:themeColor="text1"/>
          <w:sz w:val="16"/>
          <w:szCs w:val="16"/>
        </w:rPr>
      </w:pPr>
    </w:p>
    <w:p w14:paraId="492682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7630 О проведении испытаний и изготовлении опытной серии 100 штук 37 мм спаренных автоматических зенитных пушек конструкции завода № 4 НКВ. РГАНИР, Фонд ГКО, д. 376, лл. 70-71 (11012).</w:t>
      </w:r>
    </w:p>
    <w:p w14:paraId="655FB80D" w14:textId="77777777" w:rsidR="00665165" w:rsidRPr="00925F26" w:rsidRDefault="00665165" w:rsidP="00925F26">
      <w:pPr>
        <w:autoSpaceDE w:val="0"/>
        <w:autoSpaceDN w:val="0"/>
        <w:adjustRightInd w:val="0"/>
        <w:jc w:val="both"/>
        <w:rPr>
          <w:color w:val="000000" w:themeColor="text1"/>
          <w:sz w:val="16"/>
          <w:szCs w:val="16"/>
        </w:rPr>
      </w:pPr>
    </w:p>
    <w:p w14:paraId="2424A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7631 Об установке трубопрокатного стана "Штифель", вывозимого из Румынии. РГАНИР, Фонд ГКО, д. 376, лл. 72-73 (11012).</w:t>
      </w:r>
    </w:p>
    <w:p w14:paraId="2E006C05" w14:textId="77777777" w:rsidR="00665165" w:rsidRPr="00925F26" w:rsidRDefault="00665165" w:rsidP="00925F26">
      <w:pPr>
        <w:autoSpaceDE w:val="0"/>
        <w:autoSpaceDN w:val="0"/>
        <w:adjustRightInd w:val="0"/>
        <w:jc w:val="both"/>
        <w:rPr>
          <w:color w:val="000000" w:themeColor="text1"/>
          <w:sz w:val="16"/>
          <w:szCs w:val="16"/>
        </w:rPr>
      </w:pPr>
    </w:p>
    <w:p w14:paraId="613CBE2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вышло Распоряжение ГКО № 7632 [Об освобождении НКТМ от поставки НКПС 2 молотов и их замене.] (7311, 74).</w:t>
      </w:r>
    </w:p>
    <w:p w14:paraId="7256C84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64F741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7633 О мероприятиях по обеспечению газом г. Ленинграда. (7311, 75-76).</w:t>
      </w:r>
    </w:p>
    <w:p w14:paraId="3126484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4B00A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7634 О восстановлении сланцедобывающей и сланцеперерабатывающей промышленности Эстонской ССР. РГАНИР, Фонд ГКО, д. 376, лл. 77-78 (11012).</w:t>
      </w:r>
    </w:p>
    <w:p w14:paraId="109D7ACF" w14:textId="77777777" w:rsidR="00665165" w:rsidRPr="00925F26" w:rsidRDefault="00665165" w:rsidP="00925F26">
      <w:pPr>
        <w:autoSpaceDE w:val="0"/>
        <w:autoSpaceDN w:val="0"/>
        <w:adjustRightInd w:val="0"/>
        <w:jc w:val="both"/>
        <w:rPr>
          <w:color w:val="000000" w:themeColor="text1"/>
          <w:sz w:val="16"/>
          <w:szCs w:val="16"/>
        </w:rPr>
      </w:pPr>
    </w:p>
    <w:p w14:paraId="047D055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7635 Об обеспечении эскалаторами строительства четвертой очереди Московского метрополитена. (7311, 79-87,88-120).</w:t>
      </w:r>
    </w:p>
    <w:p w14:paraId="4B4349B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F6F49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7636 О мероприятиях по расширению производства оптических измерительных приборов на заводах Наркомата вооружения. РГАНИР, Фонд ГКО, д. 376, лл. 121-123, 124-127 (11012).</w:t>
      </w:r>
    </w:p>
    <w:p w14:paraId="1B625A96" w14:textId="77777777" w:rsidR="00665165" w:rsidRPr="00925F26" w:rsidRDefault="00665165" w:rsidP="00925F26">
      <w:pPr>
        <w:autoSpaceDE w:val="0"/>
        <w:autoSpaceDN w:val="0"/>
        <w:adjustRightInd w:val="0"/>
        <w:jc w:val="both"/>
        <w:rPr>
          <w:color w:val="000000" w:themeColor="text1"/>
          <w:sz w:val="16"/>
          <w:szCs w:val="16"/>
        </w:rPr>
      </w:pPr>
    </w:p>
    <w:p w14:paraId="2739E5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7637 Об обеспечении пуска 4-го агрегата по производству аммиака на Чирчикском электрохимическом комбинате Наркомхимпрома. РГАНИР, Фонд ГКО, д. 376, лл. 128-130, 131 (11012).</w:t>
      </w:r>
    </w:p>
    <w:p w14:paraId="733234AD" w14:textId="77777777" w:rsidR="00665165" w:rsidRPr="00925F26" w:rsidRDefault="00665165" w:rsidP="00925F26">
      <w:pPr>
        <w:autoSpaceDE w:val="0"/>
        <w:autoSpaceDN w:val="0"/>
        <w:adjustRightInd w:val="0"/>
        <w:jc w:val="both"/>
        <w:rPr>
          <w:color w:val="000000" w:themeColor="text1"/>
          <w:sz w:val="16"/>
          <w:szCs w:val="16"/>
        </w:rPr>
      </w:pPr>
    </w:p>
    <w:p w14:paraId="681BC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7638 Об организации производства оптико-механических приборов на заводе №784 Наркомата вооружения в г. Киеве. РГАНИР, Фонд ГКО, д. 376, лл. 132-135, 136-141 (11012).</w:t>
      </w:r>
    </w:p>
    <w:p w14:paraId="0BF0CB57" w14:textId="77777777" w:rsidR="00665165" w:rsidRPr="00925F26" w:rsidRDefault="00665165" w:rsidP="00925F26">
      <w:pPr>
        <w:autoSpaceDE w:val="0"/>
        <w:autoSpaceDN w:val="0"/>
        <w:adjustRightInd w:val="0"/>
        <w:jc w:val="both"/>
        <w:rPr>
          <w:color w:val="000000" w:themeColor="text1"/>
          <w:sz w:val="16"/>
          <w:szCs w:val="16"/>
        </w:rPr>
      </w:pPr>
    </w:p>
    <w:p w14:paraId="2FB56E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3 марта 1945 г. в соответствии с пост. ГКО № 7638 на заводе № 784 (Завод № 784 НКВ, МОП, Завод «Арсенал», ПО «Завод «Арсенал» /Украина </w:t>
      </w:r>
      <w:proofErr w:type="gramStart"/>
      <w:r w:rsidRPr="00925F26">
        <w:rPr>
          <w:color w:val="000000" w:themeColor="text1"/>
          <w:sz w:val="16"/>
          <w:szCs w:val="16"/>
        </w:rPr>
        <w:t>01010  г.</w:t>
      </w:r>
      <w:proofErr w:type="gramEnd"/>
      <w:r w:rsidRPr="00925F26">
        <w:rPr>
          <w:color w:val="000000" w:themeColor="text1"/>
          <w:sz w:val="16"/>
          <w:szCs w:val="16"/>
        </w:rPr>
        <w:t xml:space="preserve"> Киев ул. Московская, 8/), который был создан после освобождения Киева на месте эвакуированного завода № 393. (возможно, ранее это- завод № 483 НКАП), была начата организация производства оптико- механических приборов.</w:t>
      </w:r>
    </w:p>
    <w:p w14:paraId="5E693A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1979-86 г. - ПО «Завод «Арсенал». В ПО входил Уманский завод «Вега».</w:t>
      </w:r>
    </w:p>
    <w:p w14:paraId="05EA43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1979-82г, совместно с МИТ проведена НИР «Марс» по созданию СУ БР на новых физических принципах.</w:t>
      </w:r>
    </w:p>
    <w:p w14:paraId="07349C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Разработана система прицеливания для БР: «Темп-2С», Р-36, РСД-10 «Пионер», РС-12М «Тополь», самолета ЗМ; ИК ГСН «Маяк» для К-73.</w:t>
      </w:r>
    </w:p>
    <w:p w14:paraId="085626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оптические и оптико-электронные приборы (системы ориентирования, приборы прицеливания, самонаведения, наблюдения, измерения, анализа и фотографирования).</w:t>
      </w:r>
    </w:p>
    <w:p w14:paraId="6C10FE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(1960-70-е)- С.П. Парняков,</w:t>
      </w:r>
      <w:r w:rsidRPr="00925F26">
        <w:rPr>
          <w:color w:val="000000" w:themeColor="text1"/>
          <w:sz w:val="16"/>
          <w:szCs w:val="16"/>
          <w:vertAlign w:val="superscript"/>
        </w:rPr>
        <w:t>58</w:t>
      </w:r>
      <w:r w:rsidRPr="00925F26">
        <w:rPr>
          <w:color w:val="000000" w:themeColor="text1"/>
          <w:sz w:val="16"/>
          <w:szCs w:val="16"/>
        </w:rPr>
        <w:t xml:space="preserve"> А.В. Молодык («Маяк»).</w:t>
      </w:r>
    </w:p>
    <w:p w14:paraId="62ED5AF5"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оптико-электронная система точной ориентации для КА С-3.</w:t>
      </w:r>
    </w:p>
    <w:p w14:paraId="46C746BD"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нашлемный прицел Щ-ЗУМ-1; углоизмерительная система ГС-1Л;</w:t>
      </w:r>
      <w:r w:rsidRPr="00925F26">
        <w:rPr>
          <w:iCs/>
          <w:color w:val="000000" w:themeColor="text1"/>
          <w:sz w:val="16"/>
          <w:szCs w:val="16"/>
        </w:rPr>
        <w:t xml:space="preserve"> фотоаппараты:</w:t>
      </w:r>
      <w:r w:rsidRPr="00925F26">
        <w:rPr>
          <w:color w:val="000000" w:themeColor="text1"/>
          <w:sz w:val="16"/>
          <w:szCs w:val="16"/>
        </w:rPr>
        <w:t xml:space="preserve"> «Киев-2 (1949-), -19М, -60ТТЛ, -88ТТЛ, -88СМ» (2001-); светофоры на светоизлучающих диодах (2000-е); телевизионный анализатор крови АК-11.</w:t>
      </w:r>
    </w:p>
    <w:p w14:paraId="65F1A3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ЦКБ «Арсенал» /г. Киев/</w:t>
      </w:r>
    </w:p>
    <w:p w14:paraId="021702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в 2000-</w:t>
      </w:r>
      <w:proofErr w:type="gramStart"/>
      <w:r w:rsidRPr="00925F26">
        <w:rPr>
          <w:color w:val="000000" w:themeColor="text1"/>
          <w:sz w:val="16"/>
          <w:szCs w:val="16"/>
        </w:rPr>
        <w:t>е  г.</w:t>
      </w:r>
      <w:proofErr w:type="gramEnd"/>
      <w:r w:rsidRPr="00925F26">
        <w:rPr>
          <w:color w:val="000000" w:themeColor="text1"/>
          <w:sz w:val="16"/>
          <w:szCs w:val="16"/>
        </w:rPr>
        <w:t xml:space="preserve"> (возможно, ранее это- ОКБ-483 НКАП).</w:t>
      </w:r>
    </w:p>
    <w:p w14:paraId="47D2945D"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авиационные прицелы: «Сазан» и «Сом» для торпедометания с Ил-28Т, «Налим» для Ту-16Т (1950- е), телевизионный «Чайка» для Су-24; НСЦ «Щель» для МиГ-29 и Су-27 (1980-е); автоматические астровизиры АВ-1С, АВ-1СМ для Ту-160; ГСН для УР Р-27, Р-73.</w:t>
      </w:r>
    </w:p>
    <w:p w14:paraId="749288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Уманскин завод «Вега» Украина 258900  г. Умань Черкасской обл. ул. Мануильского, 8/</w:t>
      </w:r>
    </w:p>
    <w:p w14:paraId="348125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1986 г. входил в ПО «Завод «Арсенал». Производство оптики (11982).</w:t>
      </w:r>
    </w:p>
    <w:p w14:paraId="59798FBE" w14:textId="77777777" w:rsidR="00665165" w:rsidRPr="00925F26" w:rsidRDefault="00665165" w:rsidP="00925F26">
      <w:pPr>
        <w:autoSpaceDE w:val="0"/>
        <w:autoSpaceDN w:val="0"/>
        <w:adjustRightInd w:val="0"/>
        <w:jc w:val="both"/>
        <w:rPr>
          <w:color w:val="000000" w:themeColor="text1"/>
          <w:sz w:val="16"/>
          <w:szCs w:val="16"/>
        </w:rPr>
      </w:pPr>
    </w:p>
    <w:p w14:paraId="278C4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7640 Об уменьшении отпуска продовольствия из отечественных ресурсов в I квартале 1945 г. для контингентов Главоборонстроя Красной Армии, работающих вне территории СССР. РГАНИР, Фонд ГКО, д. 376, лл. 143-144 (11012).</w:t>
      </w:r>
    </w:p>
    <w:p w14:paraId="4C8353E5" w14:textId="77777777" w:rsidR="00665165" w:rsidRPr="00925F26" w:rsidRDefault="00665165" w:rsidP="00925F26">
      <w:pPr>
        <w:autoSpaceDE w:val="0"/>
        <w:autoSpaceDN w:val="0"/>
        <w:adjustRightInd w:val="0"/>
        <w:jc w:val="both"/>
        <w:rPr>
          <w:color w:val="000000" w:themeColor="text1"/>
          <w:sz w:val="16"/>
          <w:szCs w:val="16"/>
        </w:rPr>
      </w:pPr>
    </w:p>
    <w:p w14:paraId="653657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7643 О плане производства золота и олова по Дальстрою НКВД СССР на 1945 гоРГАНИР, Фонд ГКО, д. РГАНИР, Фонд ГКО, д. 376, лл. 152 (11012).</w:t>
      </w:r>
    </w:p>
    <w:p w14:paraId="70C1E565" w14:textId="77777777" w:rsidR="00665165" w:rsidRPr="00925F26" w:rsidRDefault="00665165" w:rsidP="00925F26">
      <w:pPr>
        <w:autoSpaceDE w:val="0"/>
        <w:autoSpaceDN w:val="0"/>
        <w:adjustRightInd w:val="0"/>
        <w:jc w:val="both"/>
        <w:rPr>
          <w:color w:val="000000" w:themeColor="text1"/>
          <w:sz w:val="16"/>
          <w:szCs w:val="16"/>
        </w:rPr>
      </w:pPr>
    </w:p>
    <w:p w14:paraId="598A3B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7644 О мероприятиях по обеспечению добычи золота и олова Дальстроем НКВД СССР в 1945 году. РГАНИР, Фонд ГКО, д. 376, лл. 153-164, 165-203 (11012).</w:t>
      </w:r>
    </w:p>
    <w:p w14:paraId="27155428" w14:textId="77777777" w:rsidR="00665165" w:rsidRPr="00925F26" w:rsidRDefault="00665165" w:rsidP="00925F26">
      <w:pPr>
        <w:autoSpaceDE w:val="0"/>
        <w:autoSpaceDN w:val="0"/>
        <w:adjustRightInd w:val="0"/>
        <w:jc w:val="both"/>
        <w:rPr>
          <w:color w:val="000000" w:themeColor="text1"/>
          <w:sz w:val="16"/>
          <w:szCs w:val="16"/>
        </w:rPr>
      </w:pPr>
    </w:p>
    <w:p w14:paraId="784A3A6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2B054C4" w14:textId="77777777" w:rsidR="00665165" w:rsidRPr="00925F26" w:rsidRDefault="00665165" w:rsidP="00925F26">
      <w:pPr>
        <w:autoSpaceDE w:val="0"/>
        <w:autoSpaceDN w:val="0"/>
        <w:adjustRightInd w:val="0"/>
        <w:jc w:val="both"/>
        <w:rPr>
          <w:iCs/>
          <w:color w:val="000000" w:themeColor="text1"/>
          <w:sz w:val="16"/>
          <w:szCs w:val="16"/>
        </w:rPr>
      </w:pPr>
    </w:p>
    <w:p w14:paraId="51B0D611" w14:textId="77777777" w:rsidR="003751D3" w:rsidRPr="00925F26" w:rsidRDefault="003751D3" w:rsidP="00925F26">
      <w:pPr>
        <w:jc w:val="both"/>
        <w:rPr>
          <w:color w:val="000000" w:themeColor="text1"/>
          <w:sz w:val="16"/>
          <w:szCs w:val="16"/>
        </w:rPr>
      </w:pPr>
      <w:r w:rsidRPr="00925F26">
        <w:rPr>
          <w:bCs/>
          <w:color w:val="000000" w:themeColor="text1"/>
          <w:sz w:val="16"/>
          <w:szCs w:val="16"/>
        </w:rPr>
        <w:t>3 марта</w:t>
      </w:r>
      <w:r w:rsidRPr="00925F26">
        <w:rPr>
          <w:color w:val="000000" w:themeColor="text1"/>
          <w:sz w:val="16"/>
          <w:szCs w:val="16"/>
        </w:rPr>
        <w:t xml:space="preserve"> в 1945 году оперативная сводка Совинформбюро:</w:t>
      </w:r>
    </w:p>
    <w:p w14:paraId="0811357A"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3 марта с боем овладели городами Руммельсбург и Поллнов — важными узлами коммуникаций и сильными опорными пунктами обороны немцев в Померании, а также с боями заняли более 80 других населённых пунктов, среди которых крупные населённые пункты Гросс Петеркау, Штарзен, Гросс Швирзен, Куров, Дарген.</w:t>
      </w:r>
    </w:p>
    <w:p w14:paraId="173D40FF" w14:textId="77777777" w:rsidR="003751D3" w:rsidRPr="00925F26" w:rsidRDefault="003751D3" w:rsidP="00925F26">
      <w:pPr>
        <w:jc w:val="both"/>
        <w:rPr>
          <w:color w:val="000000" w:themeColor="text1"/>
          <w:sz w:val="16"/>
          <w:szCs w:val="16"/>
        </w:rPr>
      </w:pPr>
      <w:r w:rsidRPr="00925F26">
        <w:rPr>
          <w:color w:val="000000" w:themeColor="text1"/>
          <w:sz w:val="16"/>
          <w:szCs w:val="16"/>
        </w:rPr>
        <w:t>На территории Чехословакии северо-западнее и западнее города Лученец наши войска с боями заняли населённые пункты Очова, Калинка, Кралевце, Пренчов, Белуй, Почувадло, Углиска, Бреги.</w:t>
      </w:r>
    </w:p>
    <w:p w14:paraId="23F3288A" w14:textId="77777777" w:rsidR="003751D3" w:rsidRPr="00925F26" w:rsidRDefault="003751D3"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42670EEC" w14:textId="77777777" w:rsidR="003751D3" w:rsidRPr="00925F26" w:rsidRDefault="003751D3" w:rsidP="00925F26">
      <w:pPr>
        <w:jc w:val="both"/>
        <w:rPr>
          <w:color w:val="000000" w:themeColor="text1"/>
          <w:sz w:val="16"/>
          <w:szCs w:val="16"/>
        </w:rPr>
      </w:pPr>
      <w:r w:rsidRPr="00925F26">
        <w:rPr>
          <w:color w:val="000000" w:themeColor="text1"/>
          <w:sz w:val="16"/>
          <w:szCs w:val="16"/>
        </w:rPr>
        <w:t>За 2 марта на всех фронтах подбито и уничтожено 39 немецких танков.</w:t>
      </w:r>
    </w:p>
    <w:p w14:paraId="06B456F1"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2-го Белорусского фронта продолжали наступление. Противник, стремясь задержать продвижение советских частей, бросает в бой резервы. Отмечено появление свежих эсэсовских соединений, танковых частей и подразделений самоходной артиллерии. Пленные сообщают, что немецкое командование отдало своим войскам приказ любой ценой не допустить выхода советских войск к Балтийскому морю. Ожесточённые бои происходили сегодня на подступах к городу Руммельсбург. Немцы сосредоточили здесь крупные силы и предприняли контратаку в западном направлении. Они рассчитывали одним ударом отбросить наши войска и прорваться на коммуникации советских частей, угрожающих городу Кезлин. Однако этот замысел гитлеровцев был сорван. Советские артиллеристы и пехотинцы отбили вражескую контратаку. Затем наши войска нанесли противнику стремительный удар и после упорного боя овладели городом Руммельсбург. Этот город являлся сильно укреплённым пунктом обороны немцев в Померании и важным узлом коммуникаций. К нему сходятся три железные и несколько шоссейных дорог. Развивая успех, наши войска продвинулись вперёд на 15 километров и штурмом заняли город Поллнов. В ходе боев противник несёт большие потери. За день уничтожено свыше 2 тысяч немецких солдат и офицеров. Подбито и сожжено 20 танков противника. Захвачено много трофеев и пленные.</w:t>
      </w:r>
    </w:p>
    <w:p w14:paraId="4F7821E8" w14:textId="77777777" w:rsidR="003751D3" w:rsidRPr="00925F26" w:rsidRDefault="003751D3" w:rsidP="00925F26">
      <w:pPr>
        <w:jc w:val="both"/>
        <w:rPr>
          <w:color w:val="000000" w:themeColor="text1"/>
          <w:sz w:val="16"/>
          <w:szCs w:val="16"/>
        </w:rPr>
      </w:pPr>
      <w:r w:rsidRPr="00925F26">
        <w:rPr>
          <w:color w:val="000000" w:themeColor="text1"/>
          <w:sz w:val="16"/>
          <w:szCs w:val="16"/>
        </w:rPr>
        <w:t>В Бреслау наши войска продолжали вести бои по ликвидации окружённой в городе группировки противника. Наши штурмовые группы очистили от немцев район крематория на юго-западной окраине города. На месте боя остались сотни вражеских трупов. Взято в плен 200 гитлеровцев.</w:t>
      </w:r>
    </w:p>
    <w:p w14:paraId="4EB9B0A0" w14:textId="77777777" w:rsidR="003751D3" w:rsidRPr="00925F26" w:rsidRDefault="003751D3" w:rsidP="00925F26">
      <w:pPr>
        <w:jc w:val="both"/>
        <w:rPr>
          <w:color w:val="000000" w:themeColor="text1"/>
          <w:sz w:val="16"/>
          <w:szCs w:val="16"/>
        </w:rPr>
      </w:pPr>
      <w:r w:rsidRPr="00925F26">
        <w:rPr>
          <w:color w:val="000000" w:themeColor="text1"/>
          <w:sz w:val="16"/>
          <w:szCs w:val="16"/>
        </w:rPr>
        <w:t>Северо-западнее города Лученец наши войска с боями продвигались вперёд. Противник, опираясь на оборонительные рубежи, сооружённые в горно-лесистой местности, оказывал упорное сопротивление. Советские части совершают обходные манёвры и ударами с тыла и флангов ликвидируют вражеские опорные пункты. Подразделения Н-ской части выбили гитлеровцев из сильно укреплённого населённого пункта Пренчов и ведут бои за гору Ситно. В течение дня на этом участке уничтожено до батальона вражеской пехоты. Захвачены у немцев артиллерийская батарея, 29 пулемётов и другие трофеи.</w:t>
      </w:r>
    </w:p>
    <w:p w14:paraId="44B9C0D1" w14:textId="77777777" w:rsidR="003751D3" w:rsidRPr="00925F26" w:rsidRDefault="003751D3" w:rsidP="00925F26">
      <w:pPr>
        <w:jc w:val="both"/>
        <w:rPr>
          <w:color w:val="000000" w:themeColor="text1"/>
          <w:sz w:val="16"/>
          <w:szCs w:val="16"/>
        </w:rPr>
      </w:pPr>
      <w:r w:rsidRPr="00925F26">
        <w:rPr>
          <w:color w:val="000000" w:themeColor="text1"/>
          <w:sz w:val="16"/>
          <w:szCs w:val="16"/>
        </w:rPr>
        <w:t>Кораблями Краснознамённого Балтийского флота потоплен в южной части Балтийского моря немецкий транспорт водоизмещением в 6 тысяч тонн.</w:t>
      </w:r>
    </w:p>
    <w:p w14:paraId="2526F1D6" w14:textId="77777777" w:rsidR="003751D3" w:rsidRPr="00925F26" w:rsidRDefault="003751D3" w:rsidP="00925F26">
      <w:pPr>
        <w:jc w:val="both"/>
        <w:rPr>
          <w:color w:val="000000" w:themeColor="text1"/>
          <w:sz w:val="16"/>
          <w:szCs w:val="16"/>
        </w:rPr>
      </w:pPr>
      <w:r w:rsidRPr="00925F26">
        <w:rPr>
          <w:color w:val="000000" w:themeColor="text1"/>
          <w:sz w:val="16"/>
          <w:szCs w:val="16"/>
        </w:rPr>
        <w:t>Взятый в плен командир 304-й немецкой пехотной дивизии генерал-майор Ульрих Лисс длительное время работал в 3-м отделе немецкого генерального штаба (отдел западных армий). В январе 1945 года Лисс был назначен командиром дивизии и направлен на советско-германский фронт. Пленный рассказал: «Германское командование со дня на день ожидало зимнего наступления русских. В высших военных кругах господствовала уверенность, что немецкой армии удастся удержаться на оборонительных рубежах на Висле. Через несколько дней после начала русского наступления от этой уверенности и следа не осталось. Прежде чем генеральный штаб успел принять какие-либо меры, русские на обширном фронте смяли и сокрушили немецкую оборону. Немецкое командование приказало приостановить все наступательные операции на западном фронте и перейти там к обороне. Началась спешная переброска войск с западного фронта на восточный. Однако было уже поздно».</w:t>
      </w:r>
    </w:p>
    <w:p w14:paraId="62186566" w14:textId="77777777" w:rsidR="003751D3" w:rsidRPr="00925F26" w:rsidRDefault="003751D3" w:rsidP="00925F26">
      <w:pPr>
        <w:jc w:val="both"/>
        <w:rPr>
          <w:color w:val="000000" w:themeColor="text1"/>
          <w:sz w:val="16"/>
          <w:szCs w:val="16"/>
        </w:rPr>
      </w:pPr>
      <w:r w:rsidRPr="00925F26">
        <w:rPr>
          <w:color w:val="000000" w:themeColor="text1"/>
          <w:sz w:val="16"/>
          <w:szCs w:val="16"/>
        </w:rPr>
        <w:t>Пленный командир 433-й немецкой пехотной дивизии генерал-лейтенант Люббе сообщил: «За четыре дня моя дивизия была разбита и перестала существовать как боевая единица. Ещё задолго до январского наступления русских я весьма пессимистически оценивал положение немецкой армии. Доводы разума говорили о том, что у Германии уже нет никаких шансов на победу. И всё же чрезвычайно быстрый разгром немецкой обороны явился для меня полной неожиданностью. Я не допускал мысли, что продвижение русских будет таким стремительным и глубоким» (15057).</w:t>
      </w:r>
    </w:p>
    <w:p w14:paraId="5CF6DEE8" w14:textId="77777777" w:rsidR="003751D3" w:rsidRPr="00925F26" w:rsidRDefault="003751D3" w:rsidP="00925F26">
      <w:pPr>
        <w:jc w:val="both"/>
        <w:rPr>
          <w:color w:val="000000" w:themeColor="text1"/>
          <w:sz w:val="16"/>
          <w:szCs w:val="16"/>
        </w:rPr>
      </w:pPr>
    </w:p>
    <w:p w14:paraId="05D256D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7641 О передаче в госрезерв зерна и сена, ранее заготовленных на территории СССР для 1-го и 4-го Украинских и 2-го Белорусского фронтов. (7311, 145-146).</w:t>
      </w:r>
    </w:p>
    <w:p w14:paraId="715ACA9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31B54E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A941AFA" w14:textId="77777777" w:rsidR="00665165" w:rsidRPr="00925F26" w:rsidRDefault="00665165" w:rsidP="00925F26">
      <w:pPr>
        <w:autoSpaceDE w:val="0"/>
        <w:autoSpaceDN w:val="0"/>
        <w:adjustRightInd w:val="0"/>
        <w:jc w:val="both"/>
        <w:rPr>
          <w:iCs/>
          <w:color w:val="000000" w:themeColor="text1"/>
          <w:sz w:val="16"/>
          <w:szCs w:val="16"/>
        </w:rPr>
      </w:pPr>
    </w:p>
    <w:p w14:paraId="6EDB972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марта 1945 открыта Львовская областная картинная галерея (4962).</w:t>
      </w:r>
    </w:p>
    <w:p w14:paraId="79418A3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5FD62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1A7EB0B" w14:textId="77777777" w:rsidR="00665165" w:rsidRPr="00925F26" w:rsidRDefault="00665165" w:rsidP="00925F26">
      <w:pPr>
        <w:autoSpaceDE w:val="0"/>
        <w:autoSpaceDN w:val="0"/>
        <w:adjustRightInd w:val="0"/>
        <w:jc w:val="both"/>
        <w:rPr>
          <w:iCs/>
          <w:color w:val="000000" w:themeColor="text1"/>
          <w:sz w:val="16"/>
          <w:szCs w:val="16"/>
        </w:rPr>
      </w:pPr>
    </w:p>
    <w:p w14:paraId="71F0BA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марта 1945 вышло Постановление ГКО № 7639 О разрешении прямых договоров Управления по заготовкам в Польше при начальнике Тыла КА с государственными и частными предприятиями. РГАНИР, Фонд ГКО, д. 376, лл. 142 (11012).</w:t>
      </w:r>
    </w:p>
    <w:p w14:paraId="3B1E28EA" w14:textId="77777777" w:rsidR="00665165" w:rsidRPr="00925F26" w:rsidRDefault="00665165" w:rsidP="00925F26">
      <w:pPr>
        <w:autoSpaceDE w:val="0"/>
        <w:autoSpaceDN w:val="0"/>
        <w:adjustRightInd w:val="0"/>
        <w:jc w:val="both"/>
        <w:rPr>
          <w:color w:val="000000" w:themeColor="text1"/>
          <w:sz w:val="16"/>
          <w:szCs w:val="16"/>
        </w:rPr>
      </w:pPr>
    </w:p>
    <w:p w14:paraId="0F1468A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CFFD218" w14:textId="77777777" w:rsidR="00665165" w:rsidRPr="00925F26" w:rsidRDefault="00665165" w:rsidP="00925F26">
      <w:pPr>
        <w:autoSpaceDE w:val="0"/>
        <w:autoSpaceDN w:val="0"/>
        <w:adjustRightInd w:val="0"/>
        <w:jc w:val="both"/>
        <w:rPr>
          <w:iCs/>
          <w:color w:val="000000" w:themeColor="text1"/>
          <w:sz w:val="16"/>
          <w:szCs w:val="16"/>
        </w:rPr>
      </w:pPr>
    </w:p>
    <w:p w14:paraId="1D2BAD20" w14:textId="77777777" w:rsidR="003751D3" w:rsidRPr="00925F26" w:rsidRDefault="003751D3" w:rsidP="00925F26">
      <w:pPr>
        <w:jc w:val="both"/>
        <w:rPr>
          <w:color w:val="000000" w:themeColor="text1"/>
          <w:sz w:val="16"/>
          <w:szCs w:val="16"/>
        </w:rPr>
      </w:pPr>
      <w:r w:rsidRPr="00925F26">
        <w:rPr>
          <w:bCs/>
          <w:color w:val="000000" w:themeColor="text1"/>
          <w:sz w:val="16"/>
          <w:szCs w:val="16"/>
        </w:rPr>
        <w:t>3 марта</w:t>
      </w:r>
      <w:r w:rsidRPr="00925F26">
        <w:rPr>
          <w:color w:val="000000" w:themeColor="text1"/>
          <w:sz w:val="16"/>
          <w:szCs w:val="16"/>
        </w:rPr>
        <w:t xml:space="preserve"> в 1945 году 56 бомбардировщиков "В-25 Mitchell" провели атаку на позицию германских БР "A-4"/SS-1/Scunner/ (Фау-2) Marlot и западной части Haagse Bos. Из-за ошибки в навигации бомбы были брошены юго-восточнее Haagse Bos вместо северо-запада. В результате погибло более 500 голландских мирных граждан. Вечером того же дня Немцы продолжили стрельбу ракетами, чтобы показать Союзникам, что их бомбардировки не достигли цели (15057).</w:t>
      </w:r>
    </w:p>
    <w:p w14:paraId="2F9D6643" w14:textId="77777777" w:rsidR="003751D3" w:rsidRPr="00925F26" w:rsidRDefault="003751D3" w:rsidP="00925F26">
      <w:pPr>
        <w:jc w:val="both"/>
        <w:rPr>
          <w:color w:val="000000" w:themeColor="text1"/>
          <w:sz w:val="16"/>
          <w:szCs w:val="16"/>
        </w:rPr>
      </w:pPr>
    </w:p>
    <w:p w14:paraId="4468F6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(4 - 2248,3) марта 1945 Финляндия объявила войну странам оси (2100).</w:t>
      </w:r>
    </w:p>
    <w:p w14:paraId="09CC18A0" w14:textId="77777777" w:rsidR="00665165" w:rsidRPr="00925F26" w:rsidRDefault="00665165" w:rsidP="00925F26">
      <w:pPr>
        <w:autoSpaceDE w:val="0"/>
        <w:autoSpaceDN w:val="0"/>
        <w:adjustRightInd w:val="0"/>
        <w:jc w:val="both"/>
        <w:rPr>
          <w:color w:val="000000" w:themeColor="text1"/>
          <w:sz w:val="16"/>
          <w:szCs w:val="16"/>
        </w:rPr>
      </w:pPr>
    </w:p>
    <w:p w14:paraId="75D97A6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3rd, 1945: Units of the Canadian First Army (Crerar) capture Xanten on the lower Rhine in the battle of the Reichswald. The US First Army (Hodge) captures Krefeld (3819).</w:t>
      </w:r>
    </w:p>
    <w:p w14:paraId="333AB2AA" w14:textId="77777777" w:rsidR="00665165" w:rsidRPr="00925F26" w:rsidRDefault="00665165" w:rsidP="00925F26">
      <w:pPr>
        <w:autoSpaceDE w:val="0"/>
        <w:autoSpaceDN w:val="0"/>
        <w:adjustRightInd w:val="0"/>
        <w:jc w:val="both"/>
        <w:rPr>
          <w:color w:val="000000" w:themeColor="text1"/>
          <w:sz w:val="16"/>
          <w:szCs w:val="16"/>
          <w:lang w:val="en-US"/>
        </w:rPr>
      </w:pPr>
    </w:p>
    <w:p w14:paraId="6DE502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3 </w:t>
      </w:r>
      <w:r w:rsidRPr="00925F26">
        <w:rPr>
          <w:color w:val="000000" w:themeColor="text1"/>
          <w:sz w:val="16"/>
          <w:szCs w:val="16"/>
        </w:rPr>
        <w:t>марта</w:t>
      </w:r>
      <w:r w:rsidRPr="00925F26">
        <w:rPr>
          <w:color w:val="000000" w:themeColor="text1"/>
          <w:sz w:val="16"/>
          <w:szCs w:val="16"/>
          <w:lang w:val="en-US"/>
        </w:rPr>
        <w:t xml:space="preserve"> 1945 </w:t>
      </w:r>
      <w:r w:rsidRPr="00925F26">
        <w:rPr>
          <w:color w:val="000000" w:themeColor="text1"/>
          <w:sz w:val="16"/>
          <w:szCs w:val="16"/>
        </w:rPr>
        <w:t>частиканадской</w:t>
      </w:r>
      <w:r w:rsidRPr="00925F26">
        <w:rPr>
          <w:color w:val="000000" w:themeColor="text1"/>
          <w:sz w:val="16"/>
          <w:szCs w:val="16"/>
          <w:lang w:val="en-US"/>
        </w:rPr>
        <w:t xml:space="preserve"> 1</w:t>
      </w:r>
      <w:r w:rsidRPr="00925F26">
        <w:rPr>
          <w:color w:val="000000" w:themeColor="text1"/>
          <w:sz w:val="16"/>
          <w:szCs w:val="16"/>
        </w:rPr>
        <w:t>АзанялиКсантенвнижнемРейне</w:t>
      </w:r>
      <w:r w:rsidRPr="00925F26">
        <w:rPr>
          <w:color w:val="000000" w:themeColor="text1"/>
          <w:sz w:val="16"/>
          <w:szCs w:val="16"/>
          <w:lang w:val="en-US"/>
        </w:rPr>
        <w:t xml:space="preserve">. </w:t>
      </w:r>
      <w:r w:rsidRPr="00925F26">
        <w:rPr>
          <w:color w:val="000000" w:themeColor="text1"/>
          <w:sz w:val="16"/>
          <w:szCs w:val="16"/>
        </w:rPr>
        <w:t>1А США (Ходж) заняла Крефельд (3819).</w:t>
      </w:r>
    </w:p>
    <w:p w14:paraId="05999FFB" w14:textId="77777777" w:rsidR="00665165" w:rsidRPr="00925F26" w:rsidRDefault="00665165" w:rsidP="00925F26">
      <w:pPr>
        <w:autoSpaceDE w:val="0"/>
        <w:autoSpaceDN w:val="0"/>
        <w:adjustRightInd w:val="0"/>
        <w:jc w:val="both"/>
        <w:rPr>
          <w:color w:val="000000" w:themeColor="text1"/>
          <w:sz w:val="16"/>
          <w:szCs w:val="16"/>
        </w:rPr>
      </w:pPr>
    </w:p>
    <w:p w14:paraId="719B1827" w14:textId="77777777" w:rsidR="003751D3" w:rsidRPr="00925F26" w:rsidRDefault="003751D3" w:rsidP="00925F26">
      <w:pPr>
        <w:jc w:val="both"/>
        <w:rPr>
          <w:color w:val="000000" w:themeColor="text1"/>
          <w:sz w:val="16"/>
          <w:szCs w:val="16"/>
        </w:rPr>
      </w:pPr>
      <w:r w:rsidRPr="00925F26">
        <w:rPr>
          <w:bCs/>
          <w:color w:val="000000" w:themeColor="text1"/>
          <w:sz w:val="16"/>
          <w:szCs w:val="16"/>
        </w:rPr>
        <w:t>3 марта</w:t>
      </w:r>
      <w:r w:rsidRPr="00925F26">
        <w:rPr>
          <w:color w:val="000000" w:themeColor="text1"/>
          <w:sz w:val="16"/>
          <w:szCs w:val="16"/>
        </w:rPr>
        <w:t xml:space="preserve"> в 1945 году американские войска заняли Манилу. В ходе боев за город погибло 100 тысяч мирных жителей, 16 тысяч японских и 1 тысяча американских солдат (15057).</w:t>
      </w:r>
    </w:p>
    <w:p w14:paraId="65FA844E" w14:textId="77777777" w:rsidR="003751D3" w:rsidRPr="00925F26" w:rsidRDefault="003751D3" w:rsidP="00925F26">
      <w:pPr>
        <w:jc w:val="both"/>
        <w:rPr>
          <w:color w:val="000000" w:themeColor="text1"/>
          <w:sz w:val="16"/>
          <w:szCs w:val="16"/>
        </w:rPr>
      </w:pPr>
    </w:p>
    <w:p w14:paraId="56B29327" w14:textId="77777777" w:rsidR="003751D3" w:rsidRPr="00925F26" w:rsidRDefault="003751D3" w:rsidP="00925F26">
      <w:pPr>
        <w:jc w:val="both"/>
        <w:rPr>
          <w:color w:val="000000" w:themeColor="text1"/>
          <w:sz w:val="16"/>
          <w:szCs w:val="16"/>
        </w:rPr>
      </w:pPr>
      <w:r w:rsidRPr="00925F26">
        <w:rPr>
          <w:bCs/>
          <w:color w:val="000000" w:themeColor="text1"/>
          <w:sz w:val="16"/>
          <w:szCs w:val="16"/>
        </w:rPr>
        <w:t>3 марта</w:t>
      </w:r>
      <w:r w:rsidRPr="00925F26">
        <w:rPr>
          <w:color w:val="000000" w:themeColor="text1"/>
          <w:sz w:val="16"/>
          <w:szCs w:val="16"/>
        </w:rPr>
        <w:t xml:space="preserve"> в 1945 году министр иностранных дел Великобритании А.Иден заявил о непризнании польского просоветского правительства (15057).</w:t>
      </w:r>
    </w:p>
    <w:p w14:paraId="1BC431D0" w14:textId="77777777" w:rsidR="003751D3" w:rsidRPr="00925F26" w:rsidRDefault="003751D3" w:rsidP="00925F26">
      <w:pPr>
        <w:jc w:val="both"/>
        <w:rPr>
          <w:color w:val="000000" w:themeColor="text1"/>
          <w:sz w:val="16"/>
          <w:szCs w:val="16"/>
        </w:rPr>
      </w:pPr>
    </w:p>
    <w:p w14:paraId="50B7A89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0CB9341" w14:textId="77777777" w:rsidR="00665165" w:rsidRPr="00925F26" w:rsidRDefault="00665165" w:rsidP="00925F26">
      <w:pPr>
        <w:autoSpaceDE w:val="0"/>
        <w:autoSpaceDN w:val="0"/>
        <w:adjustRightInd w:val="0"/>
        <w:jc w:val="both"/>
        <w:rPr>
          <w:iCs/>
          <w:color w:val="000000" w:themeColor="text1"/>
          <w:sz w:val="16"/>
          <w:szCs w:val="16"/>
        </w:rPr>
      </w:pPr>
    </w:p>
    <w:p w14:paraId="0CDCFB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4 марта 1945 на втором Пе-8ОН испытания которого начались с 25 февраля 1945, удалось выполнили три полёта. Летал тот же экипаж, что и на первой машине. Затем второй Пе-8ОН перегнали в Москву, где его осмотрел Шахурин. В основном нарком интересовался оборудованием и отделкой пассажирских кабин. Самолет произвёл на него положительное впечатление, и он приказал передать его в НИИ ВВС на госиспытания.</w:t>
      </w:r>
    </w:p>
    <w:p w14:paraId="14B2FE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В этот же день Говоров перегнал машину на аэродром Чкаловская, где экипаж В.И. Жданова проводил её испытания до конца мая.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АЧ-ЗОБ. Отмечались наличие металлической стружки в маслосистеме, выбросы масла, недостаточная эффективность системы охлаждения на больших высотах. </w:t>
      </w:r>
    </w:p>
    <w:p w14:paraId="31D915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w:t>
      </w:r>
    </w:p>
    <w:p w14:paraId="70298C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Что позже стало с этими машинами - установить трудно. Главный конструктор Незваль утверждал, что ему об этом ничего не известно (11996).</w:t>
      </w:r>
    </w:p>
    <w:p w14:paraId="05026E1F" w14:textId="77777777" w:rsidR="00665165" w:rsidRPr="00925F26" w:rsidRDefault="00665165" w:rsidP="00925F26">
      <w:pPr>
        <w:autoSpaceDE w:val="0"/>
        <w:autoSpaceDN w:val="0"/>
        <w:adjustRightInd w:val="0"/>
        <w:jc w:val="both"/>
        <w:rPr>
          <w:color w:val="000000" w:themeColor="text1"/>
          <w:sz w:val="16"/>
          <w:szCs w:val="16"/>
        </w:rPr>
      </w:pPr>
    </w:p>
    <w:p w14:paraId="545864F3" w14:textId="77777777" w:rsidR="003B0B5C" w:rsidRPr="00925F26" w:rsidRDefault="003B0B5C" w:rsidP="003B0B5C">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E259737" w14:textId="77777777" w:rsidR="003B0B5C" w:rsidRPr="00925F26" w:rsidRDefault="003B0B5C" w:rsidP="003B0B5C">
      <w:pPr>
        <w:autoSpaceDE w:val="0"/>
        <w:autoSpaceDN w:val="0"/>
        <w:adjustRightInd w:val="0"/>
        <w:jc w:val="both"/>
        <w:rPr>
          <w:iCs/>
          <w:color w:val="000000" w:themeColor="text1"/>
          <w:sz w:val="16"/>
          <w:szCs w:val="16"/>
        </w:rPr>
      </w:pPr>
    </w:p>
    <w:p w14:paraId="3DF04B47" w14:textId="77777777" w:rsidR="003B0B5C" w:rsidRPr="001A0BAA" w:rsidRDefault="003B0B5C" w:rsidP="003B0B5C">
      <w:pPr>
        <w:jc w:val="both"/>
        <w:rPr>
          <w:color w:val="0070C0"/>
          <w:sz w:val="16"/>
          <w:szCs w:val="16"/>
        </w:rPr>
      </w:pPr>
      <w:r w:rsidRPr="001A0BAA">
        <w:rPr>
          <w:rStyle w:val="aff0"/>
          <w:rFonts w:ascii="Times New Roman" w:hAnsi="Times New Roman" w:cs="Times New Roman"/>
          <w:color w:val="0070C0"/>
          <w:spacing w:val="0"/>
          <w:sz w:val="16"/>
          <w:szCs w:val="16"/>
        </w:rPr>
        <w:t>4 марта 1945 г. руководство ВМФ сообщило в ЦАКБ об утверждении проекта 130-мм береговой пушки на механической тяге С-30 и предложило начать изготовление рабочих чертежей. На самом деле рабочие чертежи уже изготавливались в ЦАКБ с декабря 1944 г. Тут возникает довольно щекотливый вопрос: когда работы над С-30 были переданы в МАЦКБ, которое окончательно отделилось от ЦАКБ в марте 1945 г. Вероятно это случилось не ранее апреля 1945 г., когда основная часть рабочих чертежей была изготовлена в ЦАКБ. Позднее даже в секретных документах МАЦКБ были исключены любые упоминания о ЦАКБ и Грабине в связи с созданием 130-мм пушки С-30. Ее переименовали в СМ-4 (СМ — индекс МАЦКБ). В секретном документе «130-мм пушка СМ-4. Материалы к принятию на вооружение» от 1951 г. было написано: «28.11.1944 г. письмом № 343с ЦКБ-34 представило институту № 2 ВМС проект 130-мм пушки СМ-4». Как совести хватило?! Ведь в ноябре 1944 г. МАЦКБ не было как такового, а в ЦКБ-34 его переименовали в 1948 г. (25440).</w:t>
      </w:r>
    </w:p>
    <w:p w14:paraId="4684A541" w14:textId="77777777" w:rsidR="003B0B5C" w:rsidRPr="001A0BAA" w:rsidRDefault="003B0B5C" w:rsidP="003B0B5C">
      <w:pPr>
        <w:jc w:val="both"/>
        <w:rPr>
          <w:color w:val="0070C0"/>
          <w:sz w:val="16"/>
          <w:szCs w:val="16"/>
        </w:rPr>
      </w:pPr>
    </w:p>
    <w:p w14:paraId="49474DD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F81FBE2" w14:textId="77777777" w:rsidR="00665165" w:rsidRPr="00925F26" w:rsidRDefault="00665165" w:rsidP="00925F26">
      <w:pPr>
        <w:autoSpaceDE w:val="0"/>
        <w:autoSpaceDN w:val="0"/>
        <w:adjustRightInd w:val="0"/>
        <w:jc w:val="both"/>
        <w:rPr>
          <w:iCs/>
          <w:color w:val="000000" w:themeColor="text1"/>
          <w:sz w:val="16"/>
          <w:szCs w:val="16"/>
        </w:rPr>
      </w:pPr>
    </w:p>
    <w:p w14:paraId="48A8F195" w14:textId="77777777" w:rsidR="003751D3" w:rsidRPr="00925F26" w:rsidRDefault="003751D3" w:rsidP="00925F26">
      <w:pPr>
        <w:jc w:val="both"/>
        <w:rPr>
          <w:color w:val="000000" w:themeColor="text1"/>
          <w:sz w:val="16"/>
          <w:szCs w:val="16"/>
        </w:rPr>
      </w:pPr>
      <w:r w:rsidRPr="00925F26">
        <w:rPr>
          <w:rStyle w:val="ucoz-forum-post"/>
          <w:color w:val="000000" w:themeColor="text1"/>
          <w:sz w:val="16"/>
          <w:szCs w:val="16"/>
        </w:rPr>
        <w:t xml:space="preserve">4 марта </w:t>
      </w:r>
      <w:r w:rsidRPr="00925F26">
        <w:rPr>
          <w:color w:val="000000" w:themeColor="text1"/>
          <w:sz w:val="16"/>
          <w:szCs w:val="16"/>
        </w:rPr>
        <w:t>в 1945 году оперативная сводка Совинформбюро:</w:t>
      </w:r>
    </w:p>
    <w:p w14:paraId="1448AADD" w14:textId="77777777" w:rsidR="003751D3" w:rsidRPr="00925F26" w:rsidRDefault="003751D3" w:rsidP="00925F26">
      <w:pPr>
        <w:jc w:val="both"/>
        <w:rPr>
          <w:color w:val="000000" w:themeColor="text1"/>
          <w:sz w:val="16"/>
          <w:szCs w:val="16"/>
        </w:rPr>
      </w:pPr>
      <w:r w:rsidRPr="00925F26">
        <w:rPr>
          <w:color w:val="000000" w:themeColor="text1"/>
          <w:sz w:val="16"/>
          <w:szCs w:val="16"/>
        </w:rPr>
        <w:t>«В течение 4 марта юго-западнее Кенигсберга наши войска вели бои по уничтожению Восточно-Прусской группировки противника, в ходе которых овладели населёнными пунктами Конрадсвальде, Вессельсхефен, Шпервинен, Пеллен, Хассельпуш, Клайн Людткенфюрст, Хоенфюрст, Блюмберг, Киршдорф, Клопхен.</w:t>
      </w:r>
    </w:p>
    <w:p w14:paraId="42CF8992" w14:textId="77777777" w:rsidR="003751D3" w:rsidRPr="00925F26" w:rsidRDefault="003751D3" w:rsidP="00925F26">
      <w:pPr>
        <w:jc w:val="both"/>
        <w:rPr>
          <w:color w:val="000000" w:themeColor="text1"/>
          <w:sz w:val="16"/>
          <w:szCs w:val="16"/>
        </w:rPr>
      </w:pPr>
      <w:r w:rsidRPr="00925F26">
        <w:rPr>
          <w:color w:val="000000" w:themeColor="text1"/>
          <w:sz w:val="16"/>
          <w:szCs w:val="16"/>
        </w:rPr>
        <w:t>Северо-западнее города Грудзяндз (Грауденц) наши войска в результате наступательных боёв овладели городом Скурц и заняли населённые пункты Грабау, Бобау, Одри, Любня, Брусс.</w:t>
      </w:r>
    </w:p>
    <w:p w14:paraId="2EDD831A"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4 марта вышли на побережье Балтийского моря и овладели городом Кезлин — важным узлом коммуникаций и мощным опорным пунктом обороны немцев на путях из Данцига в Штеттин, отрезав, таким образом, войска противника в восточной Померании от его войск в западной Померании, а также с боями заняли более 50 населённых пунктов, среди которых крупные населённые пункты Райнвассер, Притциг, Феллин, Буссин, Крампе, Грюневальд.</w:t>
      </w:r>
    </w:p>
    <w:p w14:paraId="02FB46DA"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1-го Белорусского фронта, прорвав сильно укреплённую оборону немцев восточнее города Штаргард, за четыре дня наступательных боёв продвинулись вперёд до 100 километров и вышли на побережье Балтийского моря в районе города Кольберг.</w:t>
      </w:r>
    </w:p>
    <w:p w14:paraId="7CD9DAD4" w14:textId="77777777" w:rsidR="003751D3" w:rsidRPr="00925F26" w:rsidRDefault="003751D3" w:rsidP="00925F26">
      <w:pPr>
        <w:jc w:val="both"/>
        <w:rPr>
          <w:color w:val="000000" w:themeColor="text1"/>
          <w:sz w:val="16"/>
          <w:szCs w:val="16"/>
        </w:rPr>
      </w:pPr>
      <w:r w:rsidRPr="00925F26">
        <w:rPr>
          <w:color w:val="000000" w:themeColor="text1"/>
          <w:sz w:val="16"/>
          <w:szCs w:val="16"/>
        </w:rPr>
        <w:t>В ходе наступления войска фронта овладели городами Бервальде, Темпельбург, Фалькенбург, Драмбург, Вангерин, Лабес, Фрайенвальде, Шифельбайн, Регенвальде и Керлин — важными узлами коммуникаций и сильными опорными пунктами обороны немцев в Померании, а также с боями заняли более 600 других населённых пунктов, в том числе крупные населённые пункты Шенвальде, Леков, Штаргордт, Гросс Раддов, Дабер, Ухтенхаген, Далов, Вульнов (5 километров восточнее города Штаргард), Шенеберг, Швендт. Одновременно войска фронта южнее и юго-западнее города Штаргард с боями заняли город и железнодорожный узел Пиритц и более 50 других населённых пунктов, среди которых крупные населённые пункты Крюссов, Дамнитц, Вербен, Гизенталь, Баббин, Либенов, Ниппервизе, Нидеркрэниг, Пеетциг.</w:t>
      </w:r>
    </w:p>
    <w:p w14:paraId="4CACFBB7" w14:textId="77777777" w:rsidR="003751D3" w:rsidRPr="00925F26" w:rsidRDefault="003751D3"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3418043" w14:textId="77777777" w:rsidR="003751D3" w:rsidRPr="00925F26" w:rsidRDefault="003751D3" w:rsidP="00925F26">
      <w:pPr>
        <w:jc w:val="both"/>
        <w:rPr>
          <w:color w:val="000000" w:themeColor="text1"/>
          <w:sz w:val="16"/>
          <w:szCs w:val="16"/>
        </w:rPr>
      </w:pPr>
      <w:r w:rsidRPr="00925F26">
        <w:rPr>
          <w:color w:val="000000" w:themeColor="text1"/>
          <w:sz w:val="16"/>
          <w:szCs w:val="16"/>
        </w:rPr>
        <w:t>За 3 марта на всех фронтах подбито и уничтожено 90 немецких танков. В воздушных боях и огнём зенитной артиллерии сбито 49 самолётов противника.</w:t>
      </w:r>
    </w:p>
    <w:p w14:paraId="22E24995" w14:textId="77777777" w:rsidR="003751D3" w:rsidRPr="00925F26" w:rsidRDefault="003751D3" w:rsidP="00925F26">
      <w:pPr>
        <w:jc w:val="both"/>
        <w:rPr>
          <w:color w:val="000000" w:themeColor="text1"/>
          <w:sz w:val="16"/>
          <w:szCs w:val="16"/>
        </w:rPr>
      </w:pPr>
      <w:r w:rsidRPr="00925F26">
        <w:rPr>
          <w:color w:val="000000" w:themeColor="text1"/>
          <w:sz w:val="16"/>
          <w:szCs w:val="16"/>
        </w:rPr>
        <w:t>В Восточной Пруссии юго-западнее Кенигсберга наши войска продолжали бои по ликвидации окружённой группировки противника. Немцы, опираясь на долговременные укрепления, оказывают упорное сопротивление. Части Н-ского соединения, атаковав противника, заняли несколько населенных пунктов и укреплённых высот в районе автострады Кенигсберг — Эльбинг. Захвачено более 20 железобетонных дотов. На другом участке советские пехотинцы после ожесточённых боёв, переходивших в рукопашные схватки, овладели сильно укреплённым опорным пунктом и узлом шоссейных дорог Пеллен. Противник потерял только убитыми более 2.000 солдат и офицеров. Сожжено и подбито 16 немецких танков и самоходных орудий. Захвачено 4 самоходных и 28 полевых орудий, 126 пулемётов и другие трофеи. За два дня взято в плен 740 немецких солдат и офицеров. Пленные сообщили, что немецкое командование, пытаясь предотвратить сдачу, в плен немецких солдат, издало приказ, в котором говорится: «По каждому солдату, который сделает без команды три шага в сторону русских, офицеры должны открывать огонь».</w:t>
      </w:r>
    </w:p>
    <w:p w14:paraId="5E2D984B"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Противник предпринимал отчаянные попытки остановить наступающие советские части и не допустить их к побережью Балтийского моря. В район прорыва немцы спешно перебросили крупные подкрепления, в том числе моторизованную дивизию СС «Полицай» и танковую дивизию СС «Гольштейн». Танки и пехота противника много раз бросались в контратаки, в ходе которых понесли огромные потери. Так, западнее города Бублиц два полка пехоты и 30 танков пытались нанести удар во фланг нашим войскам. Танкисты и артиллеристы Н-ского соединения в коротком бою наголову разгромили эту вражескую группу. Остатки разбитых немецких полков взяты в плен. Ожесточённые бои происходили и на других участках фронта.</w:t>
      </w:r>
    </w:p>
    <w:p w14:paraId="163853CF" w14:textId="77777777" w:rsidR="003751D3" w:rsidRPr="00925F26" w:rsidRDefault="003751D3" w:rsidP="00925F26">
      <w:pPr>
        <w:jc w:val="both"/>
        <w:rPr>
          <w:color w:val="000000" w:themeColor="text1"/>
          <w:sz w:val="16"/>
          <w:szCs w:val="16"/>
        </w:rPr>
      </w:pPr>
      <w:r w:rsidRPr="00925F26">
        <w:rPr>
          <w:color w:val="000000" w:themeColor="text1"/>
          <w:sz w:val="16"/>
          <w:szCs w:val="16"/>
        </w:rPr>
        <w:t>Наши войска, расчленяя на части и уничтожая дивизии противника, продвинулись вперёд на 35 километров и вышли на побережье Балтийского моря. Одновременно войска фронта прорвались к городу Кезлин. Наши пехотинцы завязали бои на южной окраине города. Тем временем подвижные отряды, совершив обходный манёвр, отрезали крупному вражескому гарнизону все пути отхода. Гитлеровцы подготовили город к длительной обороне. Они превратили каменные здания в доты и устроили на улицах завалы. Советские части предприняли одновременно атаку с востока, запада, юга и севера. Гитлеровцы метались с одного участка на другой, но не смогли сдержать мощного натиска частей Красной Армии. Во второй половине дня наши войска ликвидировали вражеский гарнизон и полностью овладели городом Кезлин. Только на подступах к городу уничтожено 2.500 немецких солдат и офицеров и 27 танков противника. Захвачены большие трофеи и много пленных. Город Кезлин является важным узлом коммуникаций, а также крупным административным и промышленным центром Померании.</w:t>
      </w:r>
    </w:p>
    <w:p w14:paraId="09F3E885"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1-го Белорусского фронта перешли в наступление на участке восточнее города Штаргард. Немцы сосредоточили в этом районе крупные силы и в феврале неоднократно пытались отбросить наши части на юг. Войска фронта в ходе боёв измотали противника и утром 1-го марта сами перешли в решительное наступление. После мощной артиллерийской и авиационной подготовки советские пехотинцы атаковали противника и в ожесточённом бою прорвали сильно укреплённую оборону немцев. Ожесточённые бои развернулись в полосе лесных массивов и озёр. Оттепель, а также прошедшие в последние дни дожди испортили грунтовые дороги. Многочисленные ручьи и речки также явились серьёзной помехой для наступающих войск. Советские части, преодолевая на своём пути всевозможные препятствия, разгромили противника, засевшего в укреплениях между озёрами, и устремились на север. Наши подвижные соединения, прорвавшись в тылы врага, опрокинули и рассеяли подходившие резервы немцев. Овладев важными узлами коммуникаций и городами Фрайенвальде, Вангерин, Лабес, Регенвальде, Шифельбайн, Керлин и другими, наши войска вышли на побережье Балтийского моря в районе города Кольберг. В ходе наступления нанесено тяжёлое поражение двум моторизованным и трём пехотным дивизиям СС и другим соединениям противника. Многие немецкие части были разбиты в первых же боях. Их остатки, потеряв управление, бродят в лесах и вылавливаются советскими бойцами. Все попытки немецкого командования задержать наши войска на промежуточных рубежах были сорваны стремительными ударами частей Красной Армии. Захвачены огромные трофеи и большое число пленных.» (15058).</w:t>
      </w:r>
    </w:p>
    <w:p w14:paraId="6D2BF242" w14:textId="77777777" w:rsidR="003751D3" w:rsidRPr="00925F26" w:rsidRDefault="003751D3" w:rsidP="00925F26">
      <w:pPr>
        <w:jc w:val="both"/>
        <w:rPr>
          <w:color w:val="000000" w:themeColor="text1"/>
          <w:sz w:val="16"/>
          <w:szCs w:val="16"/>
        </w:rPr>
      </w:pPr>
    </w:p>
    <w:p w14:paraId="013E29F4" w14:textId="344B65CE" w:rsidR="00A87480" w:rsidRPr="00925F26" w:rsidRDefault="00A87480" w:rsidP="00925F26">
      <w:pPr>
        <w:jc w:val="both"/>
        <w:rPr>
          <w:color w:val="000000" w:themeColor="text1"/>
          <w:sz w:val="16"/>
          <w:szCs w:val="16"/>
        </w:rPr>
      </w:pPr>
      <w:r w:rsidRPr="00925F26">
        <w:rPr>
          <w:color w:val="000000" w:themeColor="text1"/>
          <w:sz w:val="16"/>
          <w:szCs w:val="16"/>
        </w:rPr>
        <w:t>4 марта 1945</w:t>
      </w:r>
      <w:r w:rsidR="00997EDF" w:rsidRPr="00925F26">
        <w:rPr>
          <w:color w:val="000000" w:themeColor="text1"/>
          <w:sz w:val="16"/>
          <w:szCs w:val="16"/>
        </w:rPr>
        <w:t xml:space="preserve">  </w:t>
      </w:r>
      <w:r w:rsidRPr="00925F26">
        <w:rPr>
          <w:color w:val="000000" w:themeColor="text1"/>
          <w:sz w:val="16"/>
          <w:szCs w:val="16"/>
        </w:rPr>
        <w:t>- Экипаж на Douglas C-47 с бортовым номером СССР-Л915 (заводской — 13350) выполнил рейс из Ленинграда в Вормдитт, в ходе которого доставил личный состав 227-й штурмовой авиадивизии. В Вормдитте представитель данной авиадивизии пригласил экипаж на обед. Во время обеда среди прочего члены экипажа также пили алкоголь — водку и спирт, хотя им ещё предстоял обратный рейс на аэродром базирования в Инстербурге. Затем экипаж приехал на аэродром, где, согласно показаниям свидетелей, нетрезвый командир корабля Мазо начал хвастаться своим мастерством перед лётчиками штурмовой авиации. Наконец в 17:25 «Дуглас» поднялся в воздух, после чего на высоте 70 метров сделал над аэродромом полный круг, затем снизился до высоты 20—30 метров и, увеличив режим двигателей до максимального, совершил боевой разворот с выходом около 180° со снижением, и только после этого направился в Инстербург.</w:t>
      </w:r>
    </w:p>
    <w:p w14:paraId="48DC2E36" w14:textId="77777777" w:rsidR="00A87480" w:rsidRPr="00925F26" w:rsidRDefault="00A87480" w:rsidP="00925F26">
      <w:pPr>
        <w:jc w:val="both"/>
        <w:rPr>
          <w:color w:val="000000" w:themeColor="text1"/>
          <w:sz w:val="16"/>
          <w:szCs w:val="16"/>
        </w:rPr>
      </w:pPr>
      <w:r w:rsidRPr="00925F26">
        <w:rPr>
          <w:color w:val="000000" w:themeColor="text1"/>
          <w:sz w:val="16"/>
          <w:szCs w:val="16"/>
        </w:rPr>
        <w:t>В Инстербурге в это время шёл сильный снегопад, при этом видимость упала до 100—150 метров. Тогда командир полка передал на борт Л915 радиограмму: «Возвращайтесь Вормдитт, в Инстербурге шторм». Однако командир корабля возвращаться не стал. Второе сообщение на борт гласило «Возвращайтесь Вормдитт, запрещаю лететь в Инстербург», но и оно не изменило намерений экипажа следовать в Инстербург. Третья радиограмма гласила: «Категорически запрещаю идти в Инстербург, идите в Вормдитт». Лишь после этого с борта Л915 доложили о возвращении в Вормдитт. Но во время полёта в Вормдитт летящий по курсу 320° C-47 влетел в сильный снегопад, после чего, следуя на низкой высоте, он неожиданно оказался над лесом. Правая плоскость врезалась в верхушки двух елей и отделилась. Пролетев от места первого удара 740 метров, авиалайнер в 3 километрах севернее Мульдена под углом 45° упал на штабеля дров, находящихся в расположенной на поляне лесосеке, разрушился и загорелся. Через 3 дня, 7 марта разбившийся самолёт был обнаружен с воздуха. Все 5 человек на борту погибли.</w:t>
      </w:r>
    </w:p>
    <w:p w14:paraId="41E5ACC7" w14:textId="77777777" w:rsidR="00A87480" w:rsidRPr="00925F26" w:rsidRDefault="00A87480" w:rsidP="00925F26">
      <w:pPr>
        <w:jc w:val="both"/>
        <w:rPr>
          <w:color w:val="000000" w:themeColor="text1"/>
          <w:sz w:val="16"/>
          <w:szCs w:val="16"/>
        </w:rPr>
      </w:pPr>
      <w:r w:rsidRPr="00925F26">
        <w:rPr>
          <w:color w:val="000000" w:themeColor="text1"/>
          <w:sz w:val="16"/>
          <w:szCs w:val="16"/>
        </w:rPr>
        <w:lastRenderedPageBreak/>
        <w:t>Причиной катастрофы была названа недисциплинированность экипажа, который следовал на опасно малой высоте в сильный снегопад, да ещё и в нетрезвом состоянии, при этом не выполнив два приказания возвращаться на аэродром вылета. При расследовании была вскрыта недостаточная организация лётной работы на оперативной точке, плохо проводилась воспитательная работа среди личного состава, а командиры были недостаточно требовательны к подчинённым по части беспрекословного выполнения инструкций и наставлений по летной службе. Также было установлено, что командир корабля Мазо и до этого происшествия имел случаи употребления алкоголя перед полётами (22580).</w:t>
      </w:r>
    </w:p>
    <w:p w14:paraId="23222776" w14:textId="77777777" w:rsidR="00A87480" w:rsidRPr="00925F26" w:rsidRDefault="00A87480" w:rsidP="00925F26">
      <w:pPr>
        <w:jc w:val="both"/>
        <w:rPr>
          <w:color w:val="000000" w:themeColor="text1"/>
          <w:sz w:val="16"/>
          <w:szCs w:val="16"/>
        </w:rPr>
      </w:pPr>
    </w:p>
    <w:p w14:paraId="49F9B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4 марта по 17 апреля 1944 была Проскуровско-Черновицкая операция и продвинулись на 80-350 км, выйдя к предгорьям Карпат. Стратегический фронт был рассечен на 2 части (2443,57).</w:t>
      </w:r>
    </w:p>
    <w:p w14:paraId="0B73B9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71B2AB58" w14:textId="77777777" w:rsidR="00665165" w:rsidRPr="00925F26" w:rsidRDefault="00665165" w:rsidP="00925F26">
      <w:pPr>
        <w:autoSpaceDE w:val="0"/>
        <w:autoSpaceDN w:val="0"/>
        <w:adjustRightInd w:val="0"/>
        <w:jc w:val="both"/>
        <w:rPr>
          <w:color w:val="000000" w:themeColor="text1"/>
          <w:sz w:val="16"/>
          <w:szCs w:val="16"/>
        </w:rPr>
      </w:pPr>
    </w:p>
    <w:p w14:paraId="6E64550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4th, 1945: Units of the Soviet 1st Belorussian Front (Zhukov) establish a new bridgehead across the Oder south of Frankfurt (3819).</w:t>
      </w:r>
    </w:p>
    <w:p w14:paraId="1A1E52A5" w14:textId="77777777" w:rsidR="00665165" w:rsidRPr="00925F26" w:rsidRDefault="00665165" w:rsidP="00925F26">
      <w:pPr>
        <w:autoSpaceDE w:val="0"/>
        <w:autoSpaceDN w:val="0"/>
        <w:adjustRightInd w:val="0"/>
        <w:jc w:val="both"/>
        <w:rPr>
          <w:color w:val="000000" w:themeColor="text1"/>
          <w:sz w:val="16"/>
          <w:szCs w:val="16"/>
          <w:lang w:val="en-US"/>
        </w:rPr>
      </w:pPr>
    </w:p>
    <w:p w14:paraId="185555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марта 1945 части 1БФ (Жуков) захватили новый плацдарм на Одере на юг от Франкфурта (3819).</w:t>
      </w:r>
    </w:p>
    <w:p w14:paraId="1CCAE10A" w14:textId="77777777" w:rsidR="00665165" w:rsidRPr="00925F26" w:rsidRDefault="00665165" w:rsidP="00925F26">
      <w:pPr>
        <w:autoSpaceDE w:val="0"/>
        <w:autoSpaceDN w:val="0"/>
        <w:adjustRightInd w:val="0"/>
        <w:jc w:val="both"/>
        <w:rPr>
          <w:color w:val="000000" w:themeColor="text1"/>
          <w:sz w:val="16"/>
          <w:szCs w:val="16"/>
        </w:rPr>
      </w:pPr>
    </w:p>
    <w:p w14:paraId="2E27FE7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F5B1B03" w14:textId="77777777" w:rsidR="00665165" w:rsidRPr="00925F26" w:rsidRDefault="00665165" w:rsidP="00925F26">
      <w:pPr>
        <w:autoSpaceDE w:val="0"/>
        <w:autoSpaceDN w:val="0"/>
        <w:adjustRightInd w:val="0"/>
        <w:jc w:val="both"/>
        <w:rPr>
          <w:iCs/>
          <w:color w:val="000000" w:themeColor="text1"/>
          <w:sz w:val="16"/>
          <w:szCs w:val="16"/>
        </w:rPr>
      </w:pPr>
    </w:p>
    <w:p w14:paraId="752829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марта 1945 года было получено:</w:t>
      </w:r>
    </w:p>
    <w:p w14:paraId="20DAF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ЛИЧНО И СЕКРЕТНО ДЛЯ МАРШАЛА СТАЛИНА ОТ ПРЕЗИДЕНТА РУЗВЕЛЬТА</w:t>
      </w:r>
    </w:p>
    <w:p w14:paraId="0AAC20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Я располагаю достоверной информацией относительно трудностей, с которыми приходится сталкиваться при сборе, организации снабжения и вывоза бывших американских военнопленных и экипажей американских самолетов, сделавших вынужденную посадку к востоку от линии русского фронта. Крайне необходимо, чтобы были даны указания разрешить десяти американским самолетам с американскими экипажами совершать рейсы между Полтавой </w:t>
      </w:r>
      <w:r w:rsidRPr="00925F26">
        <w:rPr>
          <w:color w:val="000000" w:themeColor="text1"/>
          <w:sz w:val="16"/>
          <w:szCs w:val="16"/>
          <w:vertAlign w:val="superscript"/>
        </w:rPr>
        <w:t>80</w:t>
      </w:r>
      <w:r w:rsidRPr="00925F26">
        <w:rPr>
          <w:color w:val="000000" w:themeColor="text1"/>
          <w:sz w:val="16"/>
          <w:szCs w:val="16"/>
        </w:rPr>
        <w:t xml:space="preserve"> и теми пунктами в Польше, в которых могут находиться бывшие американские военнопленные и летчики, совершившие вынужденную посадку. Это разрешение испрашивается в целях снабжения дополнительным количеством одежды, медикаментов и продовольствия всех американских военнослужащих и для того, чтобы вывезти экипажи самолетов, совершивших вынужденную посадку, и освобожденных военнопленных, в особенности в целях отправки раненых и больных в американский госпиталь в Полтаве. Я придаю этой просьбе величайшее значение не только из соображений гуманности, но и в силу глубокой заинтересованности американского народа в благополучии наших бывших военнопленных и экипажей потерпевших бедствие самолетов.</w:t>
      </w:r>
    </w:p>
    <w:p w14:paraId="0863FC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Во-вторых, в том, что касается общего вопроса о военнопленных, находящихся еще у немцев, я считаю, что мы должны быстро предпринять что-либо. Количество этих военнопленных — русских, британских и американских — весьма велико. Ввиду того, что Вы не одобрили представленный нами план, что Вы предлагаете вместо него? (7430).</w:t>
      </w:r>
    </w:p>
    <w:p w14:paraId="7EEC58A2" w14:textId="77777777" w:rsidR="00665165" w:rsidRPr="00925F26" w:rsidRDefault="00665165" w:rsidP="00925F26">
      <w:pPr>
        <w:autoSpaceDE w:val="0"/>
        <w:autoSpaceDN w:val="0"/>
        <w:adjustRightInd w:val="0"/>
        <w:jc w:val="both"/>
        <w:rPr>
          <w:color w:val="000000" w:themeColor="text1"/>
          <w:sz w:val="16"/>
          <w:szCs w:val="16"/>
        </w:rPr>
      </w:pPr>
    </w:p>
    <w:p w14:paraId="4C1134F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B28BF37" w14:textId="77777777" w:rsidR="00665165" w:rsidRPr="00925F26" w:rsidRDefault="00665165" w:rsidP="00925F26">
      <w:pPr>
        <w:autoSpaceDE w:val="0"/>
        <w:autoSpaceDN w:val="0"/>
        <w:adjustRightInd w:val="0"/>
        <w:jc w:val="both"/>
        <w:rPr>
          <w:iCs/>
          <w:color w:val="000000" w:themeColor="text1"/>
          <w:sz w:val="16"/>
          <w:szCs w:val="16"/>
        </w:rPr>
      </w:pPr>
    </w:p>
    <w:p w14:paraId="753C8DA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марта 1945 Финляндия объявила войну Германии (4962).</w:t>
      </w:r>
    </w:p>
    <w:p w14:paraId="2F121B8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B5D863" w14:textId="77777777" w:rsidR="003751D3" w:rsidRPr="00925F26" w:rsidRDefault="003751D3" w:rsidP="00925F26">
      <w:pPr>
        <w:jc w:val="both"/>
        <w:rPr>
          <w:color w:val="000000" w:themeColor="text1"/>
          <w:sz w:val="16"/>
          <w:szCs w:val="16"/>
        </w:rPr>
      </w:pPr>
      <w:r w:rsidRPr="00925F26">
        <w:rPr>
          <w:rStyle w:val="ucoz-forum-post"/>
          <w:color w:val="000000" w:themeColor="text1"/>
          <w:sz w:val="16"/>
          <w:szCs w:val="16"/>
        </w:rPr>
        <w:t xml:space="preserve">4 марта </w:t>
      </w:r>
      <w:r w:rsidRPr="00925F26">
        <w:rPr>
          <w:color w:val="000000" w:themeColor="text1"/>
          <w:sz w:val="16"/>
          <w:szCs w:val="16"/>
        </w:rPr>
        <w:t>в 1945 году правительство Бельгии потребовало от англо-американского командования выделения судов для снабжения населения продовольствием (15058).</w:t>
      </w:r>
    </w:p>
    <w:p w14:paraId="2F3B3478" w14:textId="77777777" w:rsidR="003751D3" w:rsidRPr="00925F26" w:rsidRDefault="003751D3" w:rsidP="00925F26">
      <w:pPr>
        <w:jc w:val="both"/>
        <w:rPr>
          <w:color w:val="000000" w:themeColor="text1"/>
          <w:sz w:val="16"/>
          <w:szCs w:val="16"/>
        </w:rPr>
      </w:pPr>
    </w:p>
    <w:p w14:paraId="0D58A5A8" w14:textId="77777777" w:rsidR="003751D3" w:rsidRPr="00925F26" w:rsidRDefault="003751D3" w:rsidP="00925F26">
      <w:pPr>
        <w:jc w:val="both"/>
        <w:rPr>
          <w:color w:val="000000" w:themeColor="text1"/>
          <w:sz w:val="16"/>
          <w:szCs w:val="16"/>
        </w:rPr>
      </w:pPr>
      <w:r w:rsidRPr="00925F26">
        <w:rPr>
          <w:rStyle w:val="ucoz-forum-post"/>
          <w:color w:val="000000" w:themeColor="text1"/>
          <w:sz w:val="16"/>
          <w:szCs w:val="16"/>
        </w:rPr>
        <w:t xml:space="preserve">4 марта </w:t>
      </w:r>
      <w:r w:rsidRPr="00925F26">
        <w:rPr>
          <w:color w:val="000000" w:themeColor="text1"/>
          <w:sz w:val="16"/>
          <w:szCs w:val="16"/>
        </w:rPr>
        <w:t>в 1945 году американцы взяли Манилу (15058).</w:t>
      </w:r>
    </w:p>
    <w:p w14:paraId="1CD7CB24" w14:textId="77777777" w:rsidR="003751D3" w:rsidRPr="00925F26" w:rsidRDefault="003751D3" w:rsidP="00925F26">
      <w:pPr>
        <w:jc w:val="both"/>
        <w:rPr>
          <w:color w:val="000000" w:themeColor="text1"/>
          <w:sz w:val="16"/>
          <w:szCs w:val="16"/>
        </w:rPr>
      </w:pPr>
    </w:p>
    <w:p w14:paraId="1D98E4E5" w14:textId="77777777" w:rsidR="003751D3" w:rsidRPr="00925F26" w:rsidRDefault="003751D3" w:rsidP="00925F26">
      <w:pPr>
        <w:jc w:val="both"/>
        <w:rPr>
          <w:color w:val="000000" w:themeColor="text1"/>
          <w:sz w:val="16"/>
          <w:szCs w:val="16"/>
        </w:rPr>
      </w:pPr>
      <w:r w:rsidRPr="00925F26">
        <w:rPr>
          <w:rStyle w:val="ucoz-forum-post"/>
          <w:color w:val="000000" w:themeColor="text1"/>
          <w:sz w:val="16"/>
          <w:szCs w:val="16"/>
        </w:rPr>
        <w:t xml:space="preserve">4 марта </w:t>
      </w:r>
      <w:r w:rsidRPr="00925F26">
        <w:rPr>
          <w:color w:val="000000" w:themeColor="text1"/>
          <w:sz w:val="16"/>
          <w:szCs w:val="16"/>
        </w:rPr>
        <w:t>в 1945 году британские войска овладели Мейтхилой в Бирме (15058).</w:t>
      </w:r>
    </w:p>
    <w:p w14:paraId="0D91DD3E" w14:textId="77777777" w:rsidR="003751D3" w:rsidRPr="00925F26" w:rsidRDefault="003751D3" w:rsidP="00925F26">
      <w:pPr>
        <w:jc w:val="both"/>
        <w:rPr>
          <w:color w:val="000000" w:themeColor="text1"/>
          <w:sz w:val="16"/>
          <w:szCs w:val="16"/>
        </w:rPr>
      </w:pPr>
    </w:p>
    <w:p w14:paraId="3FDECCDF" w14:textId="77777777" w:rsidR="00920EF0" w:rsidRPr="00925F26" w:rsidRDefault="00920EF0" w:rsidP="00925F26">
      <w:pPr>
        <w:jc w:val="both"/>
        <w:rPr>
          <w:color w:val="000000" w:themeColor="text1"/>
          <w:sz w:val="16"/>
          <w:szCs w:val="16"/>
        </w:rPr>
      </w:pPr>
      <w:r w:rsidRPr="00925F26">
        <w:rPr>
          <w:color w:val="000000" w:themeColor="text1"/>
          <w:sz w:val="16"/>
          <w:szCs w:val="16"/>
        </w:rPr>
        <w:t>4 марта 1945 Оперативная группа 58 возвращается на базу на атолле Улити. Во время двухнедельного круиза в районе Токио и Окинавы пилоты заявили, что 393 японских самолета были сбиты и 250 уничтожены на земле, в обмен на потерю 84 самолетов, 60 пилотов и 21 летного экипажа в бою и 59 самолетов, восемь пилоты и шесть членов экипажа в небоевых происшествиях (20371).</w:t>
      </w:r>
    </w:p>
    <w:p w14:paraId="61664F9E" w14:textId="77777777" w:rsidR="00920EF0" w:rsidRPr="00925F26" w:rsidRDefault="00920EF0" w:rsidP="00925F26">
      <w:pPr>
        <w:jc w:val="both"/>
        <w:rPr>
          <w:color w:val="000000" w:themeColor="text1"/>
          <w:sz w:val="16"/>
          <w:szCs w:val="16"/>
        </w:rPr>
      </w:pPr>
    </w:p>
    <w:p w14:paraId="2D093A9D" w14:textId="77777777" w:rsidR="00920EF0" w:rsidRPr="00925F26" w:rsidRDefault="00920EF0" w:rsidP="00925F26">
      <w:pPr>
        <w:jc w:val="both"/>
        <w:rPr>
          <w:color w:val="000000" w:themeColor="text1"/>
          <w:sz w:val="16"/>
          <w:szCs w:val="16"/>
        </w:rPr>
      </w:pPr>
      <w:r w:rsidRPr="00925F26">
        <w:rPr>
          <w:color w:val="000000" w:themeColor="text1"/>
          <w:sz w:val="16"/>
          <w:szCs w:val="16"/>
        </w:rPr>
        <w:t>4 марта 1945 после налета на Японию B-29 Superfortress приземлился на Иводзиме, став первым из примерно 2400 B-29, совершивших это до окончания Второй мировой войны в августе (20371).</w:t>
      </w:r>
    </w:p>
    <w:p w14:paraId="561A672F" w14:textId="77777777" w:rsidR="00920EF0" w:rsidRPr="00925F26" w:rsidRDefault="00920EF0" w:rsidP="00925F26">
      <w:pPr>
        <w:jc w:val="both"/>
        <w:rPr>
          <w:color w:val="000000" w:themeColor="text1"/>
          <w:sz w:val="16"/>
          <w:szCs w:val="16"/>
        </w:rPr>
      </w:pPr>
    </w:p>
    <w:p w14:paraId="2FE141E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марта 1945 в Югославии создан футбольный клуб “Црвена Звезда” (4962).</w:t>
      </w:r>
    </w:p>
    <w:p w14:paraId="6FAA257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D6C2B4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9C650E2" w14:textId="77777777" w:rsidR="00665165" w:rsidRPr="00925F26" w:rsidRDefault="00665165" w:rsidP="00925F26">
      <w:pPr>
        <w:autoSpaceDE w:val="0"/>
        <w:autoSpaceDN w:val="0"/>
        <w:adjustRightInd w:val="0"/>
        <w:jc w:val="both"/>
        <w:rPr>
          <w:iCs/>
          <w:color w:val="000000" w:themeColor="text1"/>
          <w:sz w:val="16"/>
          <w:szCs w:val="16"/>
        </w:rPr>
      </w:pPr>
    </w:p>
    <w:p w14:paraId="7819F0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марта 1945 г. утвердили макет высотного бомбардировщика "ВБ" с гермокабиной, рассчитанного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(3337).</w:t>
      </w:r>
    </w:p>
    <w:p w14:paraId="162E3422" w14:textId="77777777" w:rsidR="00665165" w:rsidRPr="00925F26" w:rsidRDefault="00665165" w:rsidP="00925F26">
      <w:pPr>
        <w:autoSpaceDE w:val="0"/>
        <w:autoSpaceDN w:val="0"/>
        <w:adjustRightInd w:val="0"/>
        <w:jc w:val="both"/>
        <w:rPr>
          <w:color w:val="000000" w:themeColor="text1"/>
          <w:sz w:val="16"/>
          <w:szCs w:val="16"/>
        </w:rPr>
      </w:pPr>
    </w:p>
    <w:p w14:paraId="0592A6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марта 1945 года утвердили макет самолета «ВБ» с гермокабиной, рассчитанный под про</w:t>
      </w:r>
      <w:r w:rsidRPr="00925F26">
        <w:rPr>
          <w:color w:val="000000" w:themeColor="text1"/>
          <w:sz w:val="16"/>
          <w:szCs w:val="16"/>
        </w:rPr>
        <w:softHyphen/>
        <w:t>ектировавшиеся двигатели ВК-109. Оснащенные двух</w:t>
      </w:r>
      <w:r w:rsidRPr="00925F26">
        <w:rPr>
          <w:color w:val="000000" w:themeColor="text1"/>
          <w:sz w:val="16"/>
          <w:szCs w:val="16"/>
        </w:rPr>
        <w:softHyphen/>
        <w:t>ступенчатыми центробежными нагнетателями, в ап</w:t>
      </w:r>
      <w:r w:rsidRPr="00925F26">
        <w:rPr>
          <w:color w:val="000000" w:themeColor="text1"/>
          <w:sz w:val="16"/>
          <w:szCs w:val="16"/>
        </w:rPr>
        <w:softHyphen/>
        <w:t>реле завод собрал опытную машину. Но в связи с от</w:t>
      </w:r>
      <w:r w:rsidRPr="00925F26">
        <w:rPr>
          <w:color w:val="000000" w:themeColor="text1"/>
          <w:sz w:val="16"/>
          <w:szCs w:val="16"/>
        </w:rPr>
        <w:softHyphen/>
        <w:t>сутствием двигателей ВК-109, которые, в соответст</w:t>
      </w:r>
      <w:r w:rsidRPr="00925F26">
        <w:rPr>
          <w:color w:val="000000" w:themeColor="text1"/>
          <w:sz w:val="16"/>
          <w:szCs w:val="16"/>
        </w:rPr>
        <w:softHyphen/>
        <w:t>вии с приказом НКАП № 358 от 27 мая 1944 года, должны были поставить в ОКБ 1 января 1945-го, уста</w:t>
      </w:r>
      <w:r w:rsidRPr="00925F26">
        <w:rPr>
          <w:color w:val="000000" w:themeColor="text1"/>
          <w:sz w:val="16"/>
          <w:szCs w:val="16"/>
        </w:rPr>
        <w:softHyphen/>
        <w:t>новили менее мощные ВК-108. Казалось, что эта за</w:t>
      </w:r>
      <w:r w:rsidRPr="00925F26">
        <w:rPr>
          <w:color w:val="000000" w:themeColor="text1"/>
          <w:sz w:val="16"/>
          <w:szCs w:val="16"/>
        </w:rPr>
        <w:softHyphen/>
        <w:t>мена все же позволит, хотя и не в полном объеме, оп</w:t>
      </w:r>
      <w:r w:rsidRPr="00925F26">
        <w:rPr>
          <w:color w:val="000000" w:themeColor="text1"/>
          <w:sz w:val="16"/>
          <w:szCs w:val="16"/>
        </w:rPr>
        <w:softHyphen/>
        <w:t>ределить летные характеристики машины, испытать высотное оборудование и гермокабину. Но и на этом пути встретилось препятствие: задержалась поставка в ОКБ-482 с завода № 26 кабинных нагнетателей. В итоге наземные заводские испытания начались лишь в декабре 1945 года. В следующем году на эту машину назначили ведущего летчика-испытателя Л.А. Юнгмейстера (11446).</w:t>
      </w:r>
    </w:p>
    <w:p w14:paraId="661739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3FA7B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марта 1945 г. выполнили первый полет на ДБ-108, построенного еще в последнюю декаду декабря 1944 (4476).</w:t>
      </w:r>
    </w:p>
    <w:p w14:paraId="5B5EB268" w14:textId="77777777" w:rsidR="00665165" w:rsidRPr="00925F26" w:rsidRDefault="00665165" w:rsidP="00925F26">
      <w:pPr>
        <w:autoSpaceDE w:val="0"/>
        <w:autoSpaceDN w:val="0"/>
        <w:adjustRightInd w:val="0"/>
        <w:jc w:val="both"/>
        <w:rPr>
          <w:color w:val="000000" w:themeColor="text1"/>
          <w:sz w:val="16"/>
          <w:szCs w:val="16"/>
        </w:rPr>
      </w:pPr>
    </w:p>
    <w:p w14:paraId="5AEF32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марта 1945 г. ДБ-2ВК-108 (другие применявшиеся названия - ДБ-108 и ДСБ-2ВК-108) впервые поднялся лишь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25710F80" w14:textId="77777777" w:rsidR="00665165" w:rsidRPr="00925F26" w:rsidRDefault="00665165" w:rsidP="00925F26">
      <w:pPr>
        <w:autoSpaceDE w:val="0"/>
        <w:autoSpaceDN w:val="0"/>
        <w:adjustRightInd w:val="0"/>
        <w:jc w:val="both"/>
        <w:rPr>
          <w:color w:val="000000" w:themeColor="text1"/>
          <w:sz w:val="16"/>
          <w:szCs w:val="16"/>
        </w:rPr>
      </w:pPr>
    </w:p>
    <w:p w14:paraId="7D6C6169" w14:textId="77777777" w:rsidR="003751D3" w:rsidRPr="00925F26" w:rsidRDefault="003751D3"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5 марта 1945 г. первый экземпляр ДБ 2ВК-108 на</w:t>
      </w:r>
      <w:r w:rsidRPr="00925F26">
        <w:rPr>
          <w:rFonts w:ascii="Times New Roman" w:cs="Times New Roman"/>
          <w:color w:val="000000" w:themeColor="text1"/>
          <w:spacing w:val="0"/>
        </w:rPr>
        <w:softHyphen/>
        <w:t>чал летать по программе заводских ис</w:t>
      </w:r>
      <w:r w:rsidRPr="00925F26">
        <w:rPr>
          <w:rFonts w:ascii="Times New Roman" w:cs="Times New Roman"/>
          <w:color w:val="000000" w:themeColor="text1"/>
          <w:spacing w:val="0"/>
        </w:rPr>
        <w:softHyphen/>
        <w:t>пытаний. По причине не</w:t>
      </w:r>
      <w:r w:rsidRPr="00925F26">
        <w:rPr>
          <w:rFonts w:ascii="Times New Roman" w:cs="Times New Roman"/>
          <w:color w:val="000000" w:themeColor="text1"/>
          <w:spacing w:val="0"/>
        </w:rPr>
        <w:softHyphen/>
        <w:t>удовлетворительной работы моторов испытания самолета затянулись, всех летных данных снять не удалось. Уже в первом же полете обнаружился пере</w:t>
      </w:r>
      <w:r w:rsidRPr="00925F26">
        <w:rPr>
          <w:rFonts w:ascii="Times New Roman" w:cs="Times New Roman"/>
          <w:color w:val="000000" w:themeColor="text1"/>
          <w:spacing w:val="0"/>
        </w:rPr>
        <w:softHyphen/>
        <w:t>грев масла. Во втором полете 15 мар</w:t>
      </w:r>
      <w:r w:rsidRPr="00925F26">
        <w:rPr>
          <w:rFonts w:ascii="Times New Roman" w:cs="Times New Roman"/>
          <w:color w:val="000000" w:themeColor="text1"/>
          <w:spacing w:val="0"/>
        </w:rPr>
        <w:softHyphen/>
        <w:t>та масло опять грелось. Переделали маслосистему и заменили маслорадиаторы и лучше не стало. 27 апреля про</w:t>
      </w:r>
      <w:r w:rsidRPr="00925F26">
        <w:rPr>
          <w:rFonts w:ascii="Times New Roman" w:cs="Times New Roman"/>
          <w:color w:val="000000" w:themeColor="text1"/>
          <w:spacing w:val="0"/>
        </w:rPr>
        <w:softHyphen/>
        <w:t>изошла авария мотора - обрыв шейки главного шатуна, а 5 июня самолет по</w:t>
      </w:r>
      <w:r w:rsidRPr="00925F26">
        <w:rPr>
          <w:rFonts w:ascii="Times New Roman" w:cs="Times New Roman"/>
          <w:color w:val="000000" w:themeColor="text1"/>
          <w:spacing w:val="0"/>
        </w:rPr>
        <w:softHyphen/>
        <w:t>терпел катастрофу. На высоте 1500 м «по причине плохой герметизации со</w:t>
      </w:r>
      <w:r w:rsidRPr="00925F26">
        <w:rPr>
          <w:rFonts w:ascii="Times New Roman" w:cs="Times New Roman"/>
          <w:color w:val="000000" w:themeColor="text1"/>
          <w:spacing w:val="0"/>
        </w:rPr>
        <w:softHyphen/>
        <w:t>единения самолетной бензопроводки с карбюратором правого блока право</w:t>
      </w:r>
      <w:r w:rsidRPr="00925F26">
        <w:rPr>
          <w:rFonts w:ascii="Times New Roman" w:cs="Times New Roman"/>
          <w:color w:val="000000" w:themeColor="text1"/>
          <w:spacing w:val="0"/>
        </w:rPr>
        <w:softHyphen/>
        <w:t>го мотора» на самолете загорелся пра</w:t>
      </w:r>
      <w:r w:rsidRPr="00925F26">
        <w:rPr>
          <w:rFonts w:ascii="Times New Roman" w:cs="Times New Roman"/>
          <w:color w:val="000000" w:themeColor="text1"/>
          <w:spacing w:val="0"/>
        </w:rPr>
        <w:softHyphen/>
        <w:t>вый мотор. При посадке при одном ра</w:t>
      </w:r>
      <w:r w:rsidRPr="00925F26">
        <w:rPr>
          <w:rFonts w:ascii="Times New Roman" w:cs="Times New Roman"/>
          <w:color w:val="000000" w:themeColor="text1"/>
          <w:spacing w:val="0"/>
        </w:rPr>
        <w:softHyphen/>
        <w:t>ботающем моторе летчик-испытатель завода №22 капитан Васильченко «сде</w:t>
      </w:r>
      <w:r w:rsidRPr="00925F26">
        <w:rPr>
          <w:rFonts w:ascii="Times New Roman" w:cs="Times New Roman"/>
          <w:color w:val="000000" w:themeColor="text1"/>
          <w:spacing w:val="0"/>
        </w:rPr>
        <w:softHyphen/>
        <w:t>лал змейку, чтобы пропустить садящий</w:t>
      </w:r>
      <w:r w:rsidRPr="00925F26">
        <w:rPr>
          <w:rFonts w:ascii="Times New Roman" w:cs="Times New Roman"/>
          <w:color w:val="000000" w:themeColor="text1"/>
          <w:spacing w:val="0"/>
        </w:rPr>
        <w:softHyphen/>
        <w:t>ся Пе-2, и задел за дом». Погибли веду</w:t>
      </w:r>
      <w:r w:rsidRPr="00925F26">
        <w:rPr>
          <w:rFonts w:ascii="Times New Roman" w:cs="Times New Roman"/>
          <w:color w:val="000000" w:themeColor="text1"/>
          <w:spacing w:val="0"/>
        </w:rPr>
        <w:softHyphen/>
        <w:t>щий инженер по самолету Дьяконов и трое жителей, а Васильченко - получил тяжелые ранения (15758).</w:t>
      </w:r>
    </w:p>
    <w:p w14:paraId="41E1F706" w14:textId="77777777" w:rsidR="003751D3" w:rsidRPr="00925F26" w:rsidRDefault="003751D3" w:rsidP="00925F26">
      <w:pPr>
        <w:pStyle w:val="27"/>
        <w:shd w:val="clear" w:color="auto" w:fill="auto"/>
        <w:spacing w:after="0" w:line="240" w:lineRule="auto"/>
        <w:ind w:firstLine="0"/>
        <w:rPr>
          <w:rFonts w:ascii="Times New Roman" w:cs="Times New Roman"/>
          <w:color w:val="000000" w:themeColor="text1"/>
          <w:spacing w:val="0"/>
        </w:rPr>
      </w:pPr>
    </w:p>
    <w:p w14:paraId="260159C7" w14:textId="77777777" w:rsidR="008E5220" w:rsidRPr="00925F26" w:rsidRDefault="008E5220" w:rsidP="00925F26">
      <w:pPr>
        <w:jc w:val="both"/>
        <w:rPr>
          <w:color w:val="000000" w:themeColor="text1"/>
          <w:sz w:val="16"/>
          <w:szCs w:val="16"/>
        </w:rPr>
      </w:pPr>
      <w:r w:rsidRPr="00925F26">
        <w:rPr>
          <w:color w:val="000000" w:themeColor="text1"/>
          <w:sz w:val="16"/>
          <w:szCs w:val="16"/>
        </w:rPr>
        <w:t>5 марта 1945 г. было письмо главного конструктора ОКБ-РД при заводе № 16 В.П. Глушко № 320с секретарю ЦК ВЮ1(б) Г.М. Маленкову и удостаивается необычайного внимания. В этом письме он просит не забирать 25 его ведущих сотрудников в 4 спецотдел НКВД «для других нужд», так как все они являются опытными инженерами и конструкторами. На этом письме появляется резолюция Г.М, Маленкова: «Срочно! Примите меры. Надо помочь Глушко» (22685).</w:t>
      </w:r>
    </w:p>
    <w:p w14:paraId="1CDDFAD7" w14:textId="77777777" w:rsidR="008E5220" w:rsidRPr="00925F26" w:rsidRDefault="008E5220" w:rsidP="00925F26">
      <w:pPr>
        <w:jc w:val="both"/>
        <w:rPr>
          <w:color w:val="000000" w:themeColor="text1"/>
          <w:sz w:val="16"/>
          <w:szCs w:val="16"/>
        </w:rPr>
      </w:pPr>
    </w:p>
    <w:p w14:paraId="14CE810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1383624" w14:textId="77777777" w:rsidR="00665165" w:rsidRPr="00925F26" w:rsidRDefault="00665165" w:rsidP="00925F26">
      <w:pPr>
        <w:autoSpaceDE w:val="0"/>
        <w:autoSpaceDN w:val="0"/>
        <w:adjustRightInd w:val="0"/>
        <w:jc w:val="both"/>
        <w:rPr>
          <w:iCs/>
          <w:color w:val="000000" w:themeColor="text1"/>
          <w:sz w:val="16"/>
          <w:szCs w:val="16"/>
        </w:rPr>
      </w:pPr>
    </w:p>
    <w:p w14:paraId="7481EC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марта 1945 вышло Постановление ГКО № 7645 О добыче торфа торфопредприятиями наркоматов и ведомств в 1945 году. РГАНИР, Фонд ГКО, д. 377, лл. 1-12, 13-83 (11012).</w:t>
      </w:r>
    </w:p>
    <w:p w14:paraId="37499AEC" w14:textId="77777777" w:rsidR="00665165" w:rsidRPr="00925F26" w:rsidRDefault="00665165" w:rsidP="00925F26">
      <w:pPr>
        <w:autoSpaceDE w:val="0"/>
        <w:autoSpaceDN w:val="0"/>
        <w:adjustRightInd w:val="0"/>
        <w:jc w:val="both"/>
        <w:rPr>
          <w:color w:val="000000" w:themeColor="text1"/>
          <w:sz w:val="16"/>
          <w:szCs w:val="16"/>
        </w:rPr>
      </w:pPr>
    </w:p>
    <w:p w14:paraId="1DC90E4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года вышел Приказ НКБ № 93</w:t>
      </w:r>
    </w:p>
    <w:p w14:paraId="45366D2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Во исполнение постановления Правительства № 7615сс от 2 марта 1945 года распространить приказ НКБ № 601 сс от 21 июня 1943 года изданный во исполнение постановления Правительства № 3613сс от 19 июня 1943 года “О введении военного положения на взрывоопасных предприятиях НКБ” на заводы №№ 129, 388, 502 и 503, выделенные из комбината № 392 и из заводов №№ 15 и 80 НКБ (5704, 73).</w:t>
      </w:r>
    </w:p>
    <w:p w14:paraId="5406281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B3CD9A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8772A65" w14:textId="77777777" w:rsidR="00665165" w:rsidRPr="00925F26" w:rsidRDefault="00665165" w:rsidP="00925F26">
      <w:pPr>
        <w:autoSpaceDE w:val="0"/>
        <w:autoSpaceDN w:val="0"/>
        <w:adjustRightInd w:val="0"/>
        <w:jc w:val="both"/>
        <w:rPr>
          <w:iCs/>
          <w:color w:val="000000" w:themeColor="text1"/>
          <w:sz w:val="16"/>
          <w:szCs w:val="16"/>
        </w:rPr>
      </w:pPr>
    </w:p>
    <w:p w14:paraId="4EA24426" w14:textId="77777777" w:rsidR="003751D3" w:rsidRPr="00925F26" w:rsidRDefault="003751D3" w:rsidP="00925F26">
      <w:pPr>
        <w:jc w:val="both"/>
        <w:rPr>
          <w:color w:val="000000" w:themeColor="text1"/>
          <w:sz w:val="16"/>
          <w:szCs w:val="16"/>
        </w:rPr>
      </w:pPr>
      <w:r w:rsidRPr="00925F26">
        <w:rPr>
          <w:bCs/>
          <w:color w:val="000000" w:themeColor="text1"/>
          <w:sz w:val="16"/>
          <w:szCs w:val="16"/>
        </w:rPr>
        <w:t>5 марта</w:t>
      </w:r>
      <w:r w:rsidRPr="00925F26">
        <w:rPr>
          <w:color w:val="000000" w:themeColor="text1"/>
          <w:sz w:val="16"/>
          <w:szCs w:val="16"/>
        </w:rPr>
        <w:t xml:space="preserve"> в 1945 году оперативная сводка Совинформбюро:</w:t>
      </w:r>
    </w:p>
    <w:p w14:paraId="421D4F61" w14:textId="77777777" w:rsidR="003751D3" w:rsidRPr="00925F26" w:rsidRDefault="003751D3" w:rsidP="00925F26">
      <w:pPr>
        <w:jc w:val="both"/>
        <w:rPr>
          <w:color w:val="000000" w:themeColor="text1"/>
          <w:sz w:val="16"/>
          <w:szCs w:val="16"/>
        </w:rPr>
      </w:pPr>
      <w:r w:rsidRPr="00925F26">
        <w:rPr>
          <w:color w:val="000000" w:themeColor="text1"/>
          <w:sz w:val="16"/>
          <w:szCs w:val="16"/>
        </w:rPr>
        <w:t>«В течение 5 марта юго-западнее Кенигсберга наши войска в результате наступательных боёв овладели населёнными пунктами Коршелькен, Кумгарбен, Бенкенвальде, Штраубен, Хиршфельд.</w:t>
      </w:r>
    </w:p>
    <w:p w14:paraId="797B1374" w14:textId="77777777" w:rsidR="003751D3" w:rsidRPr="00925F26" w:rsidRDefault="003751D3" w:rsidP="00925F26">
      <w:pPr>
        <w:jc w:val="both"/>
        <w:rPr>
          <w:color w:val="000000" w:themeColor="text1"/>
          <w:sz w:val="16"/>
          <w:szCs w:val="16"/>
        </w:rPr>
      </w:pPr>
      <w:r w:rsidRPr="00925F26">
        <w:rPr>
          <w:color w:val="000000" w:themeColor="text1"/>
          <w:sz w:val="16"/>
          <w:szCs w:val="16"/>
        </w:rPr>
        <w:t>Южнее и юго-западнее Данцига наши войска с боями заняли населённые пункты Визенвальд, Любихов, Штудзениц, Гурки, Лесно, Крушин, Липниц, Ворцисково.</w:t>
      </w:r>
    </w:p>
    <w:p w14:paraId="01A63378" w14:textId="77777777" w:rsidR="003751D3" w:rsidRPr="00925F26" w:rsidRDefault="003751D3" w:rsidP="00925F26">
      <w:pPr>
        <w:jc w:val="both"/>
        <w:rPr>
          <w:color w:val="000000" w:themeColor="text1"/>
          <w:sz w:val="16"/>
          <w:szCs w:val="16"/>
        </w:rPr>
      </w:pPr>
      <w:r w:rsidRPr="00925F26">
        <w:rPr>
          <w:color w:val="000000" w:themeColor="text1"/>
          <w:sz w:val="16"/>
          <w:szCs w:val="16"/>
        </w:rPr>
        <w:t>В Померании северо-восточнее и южнее города Кезлин наши войска, продолжая наступление, с боями заняли более 80 населённых пунктов, среди которых крупные населённые пункты Визенталь, Дамеров, Цухен, Латциг, Недлин, Гросс Тихов, Гросскрессин.</w:t>
      </w:r>
    </w:p>
    <w:p w14:paraId="60112C7A"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1-го Белорусского фронта, продолжая наступление, 5 марта овладели городами Штаргард, Наугард, Польцин — важными узлами коммуникаций и мощными опорными пунктами обороны немцев на Штеттинском направлении, а также с боями заняли более 150 других населённых пунктов, в том числе крупные населённые пункты Клотцен, Коллатц, Ной Вуров, Тешендорф, Бризен, Зимматциг.</w:t>
      </w:r>
    </w:p>
    <w:p w14:paraId="0DE432C5" w14:textId="77777777" w:rsidR="003751D3" w:rsidRPr="00925F26" w:rsidRDefault="003751D3" w:rsidP="00925F26">
      <w:pPr>
        <w:jc w:val="both"/>
        <w:rPr>
          <w:color w:val="000000" w:themeColor="text1"/>
          <w:sz w:val="16"/>
          <w:szCs w:val="16"/>
        </w:rPr>
      </w:pPr>
      <w:r w:rsidRPr="00925F26">
        <w:rPr>
          <w:color w:val="000000" w:themeColor="text1"/>
          <w:sz w:val="16"/>
          <w:szCs w:val="16"/>
        </w:rPr>
        <w:t>На территории Чехословакии западнее города Лученец наши войска, наступая в полосе Карпат, с боем овладели населёнными пунктами Плешовце, Бзовска Леготка, Крупина, Антол, Илия, Висока, Рудно на Грон.</w:t>
      </w:r>
    </w:p>
    <w:p w14:paraId="067C6478" w14:textId="77777777" w:rsidR="003751D3" w:rsidRPr="00925F26" w:rsidRDefault="003751D3"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6D270C35" w14:textId="77777777" w:rsidR="003751D3" w:rsidRPr="00925F26" w:rsidRDefault="003751D3" w:rsidP="00925F26">
      <w:pPr>
        <w:jc w:val="both"/>
        <w:rPr>
          <w:color w:val="000000" w:themeColor="text1"/>
          <w:sz w:val="16"/>
          <w:szCs w:val="16"/>
        </w:rPr>
      </w:pPr>
      <w:r w:rsidRPr="00925F26">
        <w:rPr>
          <w:color w:val="000000" w:themeColor="text1"/>
          <w:sz w:val="16"/>
          <w:szCs w:val="16"/>
        </w:rPr>
        <w:t>За 4 марта на всех фронтах подбито и уничтожено 70 немецких танков. В воздушных боях и огнём зенитной артиллерии сбито 15 самолётов противника.</w:t>
      </w:r>
    </w:p>
    <w:p w14:paraId="0E0C4B70" w14:textId="77777777" w:rsidR="003751D3" w:rsidRPr="00925F26" w:rsidRDefault="003751D3" w:rsidP="00925F26">
      <w:pPr>
        <w:jc w:val="both"/>
        <w:rPr>
          <w:color w:val="000000" w:themeColor="text1"/>
          <w:sz w:val="16"/>
          <w:szCs w:val="16"/>
        </w:rPr>
      </w:pPr>
      <w:r w:rsidRPr="00925F26">
        <w:rPr>
          <w:color w:val="000000" w:themeColor="text1"/>
          <w:sz w:val="16"/>
          <w:szCs w:val="16"/>
        </w:rPr>
        <w:t>В Восточной Пруссии юго-западнее Кенигсберга части Н-ского соединения, сломив упорное сопротивление противника, в ночном бою овладели сильно укреплённым опорным пунктом Коршелькен. Немцы, пытаясь восстановить положение, предприняли одиннадцать контратак, но были отброшены. Другие наши части, преодолев минные поля, стремительной атакой вывили гитлеровцев из населённого пункта Штраубен, находящегося в 11 километрах юго-восточнее города Браунсберг. Захвачено у противника 8 орудий, 40 пулемётов и другие трофеи, взято в плен более 250 немцев.</w:t>
      </w:r>
    </w:p>
    <w:p w14:paraId="08B6B6AC" w14:textId="77777777" w:rsidR="003751D3" w:rsidRPr="00925F26" w:rsidRDefault="003751D3" w:rsidP="00925F26">
      <w:pPr>
        <w:jc w:val="both"/>
        <w:rPr>
          <w:color w:val="000000" w:themeColor="text1"/>
          <w:sz w:val="16"/>
          <w:szCs w:val="16"/>
        </w:rPr>
      </w:pPr>
      <w:r w:rsidRPr="00925F26">
        <w:rPr>
          <w:color w:val="000000" w:themeColor="text1"/>
          <w:sz w:val="16"/>
          <w:szCs w:val="16"/>
        </w:rPr>
        <w:t>Наша авиация наносила бомбоштурмовые удары по боевым порядкам и тылам Восточно-Прусской группировки противника. В воздушных боях советские лётчики сбили 5 немецких самолётов.</w:t>
      </w:r>
    </w:p>
    <w:p w14:paraId="648A93B0" w14:textId="77777777" w:rsidR="003751D3" w:rsidRPr="00925F26" w:rsidRDefault="003751D3" w:rsidP="00925F26">
      <w:pPr>
        <w:jc w:val="both"/>
        <w:rPr>
          <w:color w:val="000000" w:themeColor="text1"/>
          <w:sz w:val="16"/>
          <w:szCs w:val="16"/>
        </w:rPr>
      </w:pPr>
      <w:r w:rsidRPr="00925F26">
        <w:rPr>
          <w:color w:val="000000" w:themeColor="text1"/>
          <w:sz w:val="16"/>
          <w:szCs w:val="16"/>
        </w:rPr>
        <w:t>Южнее и юго-западнее Данцига наши войска с боями продвигались вперёд. Части Н-ского соединения заняли несколько населённых пунктов, в том числе крупный опорный пункт противника Любихов. Севернее города Хойнице наши войска вели бои в трудных условиях лесисто-озёрной местности. Немцы, опираясь на полевые укрепления, построенные между озёрами, пытались задержать советские части. Совершая обходные манёвры, наши бойцы ликвидируют вражеские укрепления и настойчиво продвигаются вперёд. Занят населённый пункт Липниц, находящийся в 19 километрах к югу от города Бютов. Отступая под ударами советских войск, противник несёт тяжёлые потери в живой силе и технике. За день боёв уничтожено до 2 тысяч немецких солдат и офицеров. Захвачено 25 орудий и другие трофеи.</w:t>
      </w:r>
    </w:p>
    <w:p w14:paraId="3350B169" w14:textId="77777777" w:rsidR="003751D3" w:rsidRPr="00925F26" w:rsidRDefault="003751D3" w:rsidP="00925F26">
      <w:pPr>
        <w:jc w:val="both"/>
        <w:rPr>
          <w:color w:val="000000" w:themeColor="text1"/>
          <w:sz w:val="16"/>
          <w:szCs w:val="16"/>
        </w:rPr>
      </w:pPr>
      <w:r w:rsidRPr="00925F26">
        <w:rPr>
          <w:color w:val="000000" w:themeColor="text1"/>
          <w:sz w:val="16"/>
          <w:szCs w:val="16"/>
        </w:rPr>
        <w:t>Войска 1-го Белорусского фронта продолжали успешное наступление. Советские пехотинцы, танкисты и кавалеристы, поддержанные артиллерией и авиацией, наносят противнику стремительные удары. Многие немецкие соединения разобщены и уничтожаются по частям. Советские кавалеристы в результате атаки овладели городом Польцин — важным узлом шоссейных и железных дорог. Другие наши части выбили немцев из сильно укреплённого опорного пункта обороны — города Наугард. Ожесточённые бои происходили за город Штаргард. Немцы придавала огромное значение атому городу, являющемуся важным узлом коммуникаций и мощным опорным пунктом на подступах к Штеттину. Противник спешно перебросил в район Штаргарда свежие части и предпринял ряд яростных контратак. Отбив вражеские контратаки, советские войска продвинулись вдоль озера Мадю-Зее. Немецкий гарнизон Штаргарда очутился перед угрозой окружения. Наши танкисты и пехотинцы пошли на штурм и в результате ожесточённых уличных схваток овладели городом Штаргард — узлом 5 железных и многих шоссейных дорог. Немцы потеряли только убитыми свыше 4 тысяч солдат и офицеров. Уничтожено 35 танков и самоходных орудий, 17 бронетранспортёров и другая техника противника. Нашими частями захвачено много трофеев, в том числе крупные склады боеприпасов и военного имущества.</w:t>
      </w:r>
    </w:p>
    <w:p w14:paraId="39B2E741" w14:textId="77777777" w:rsidR="003751D3" w:rsidRPr="00925F26" w:rsidRDefault="003751D3" w:rsidP="00925F26">
      <w:pPr>
        <w:jc w:val="both"/>
        <w:rPr>
          <w:color w:val="000000" w:themeColor="text1"/>
          <w:sz w:val="16"/>
          <w:szCs w:val="16"/>
        </w:rPr>
      </w:pPr>
      <w:r w:rsidRPr="00925F26">
        <w:rPr>
          <w:color w:val="000000" w:themeColor="text1"/>
          <w:sz w:val="16"/>
          <w:szCs w:val="16"/>
        </w:rPr>
        <w:t>В Чехословакии западнее города Лученец наши войска вели наступательные бои. Продвигаясь по скатам горных высот, советские части обошли с северо-запада и юго-запада крупный опорный пункт обороны немцев Плешовце. Ударами с трёх сторон наши войска разгромили вражеский гарнизон и заняли Плешовце. Части 8-й немецкой лёгкой пехотной дивизии понесли большие потери и в беспорядке отступили за реку Крупина. Наши бойцы захватили два танка, самоходное орудие и 4 склада боеприпасов. На другом участке занята железнодорожная станция и крупный населённый пункт Крупина. Советские подразделения штурмом овладели горой Ситно, господствующей над районом боёв, и вышли на ближние подступы к городу Банска Штявница.</w:t>
      </w:r>
    </w:p>
    <w:p w14:paraId="1F5E87D9" w14:textId="77777777" w:rsidR="003751D3" w:rsidRPr="00925F26" w:rsidRDefault="003751D3" w:rsidP="00925F26">
      <w:pPr>
        <w:jc w:val="both"/>
        <w:rPr>
          <w:color w:val="000000" w:themeColor="text1"/>
          <w:sz w:val="16"/>
          <w:szCs w:val="16"/>
        </w:rPr>
      </w:pPr>
      <w:r w:rsidRPr="00925F26">
        <w:rPr>
          <w:color w:val="000000" w:themeColor="text1"/>
          <w:sz w:val="16"/>
          <w:szCs w:val="16"/>
        </w:rPr>
        <w:t>Корабли Краснознаменного Балтийского флота потопили в южной части Балтийского моря немецкий транспорт водоизмещением в 5 тысяч тонн.» (15059).</w:t>
      </w:r>
    </w:p>
    <w:p w14:paraId="088E6481" w14:textId="77777777" w:rsidR="003751D3" w:rsidRPr="00925F26" w:rsidRDefault="003751D3" w:rsidP="00925F26">
      <w:pPr>
        <w:jc w:val="both"/>
        <w:rPr>
          <w:color w:val="000000" w:themeColor="text1"/>
          <w:sz w:val="16"/>
          <w:szCs w:val="16"/>
        </w:rPr>
      </w:pPr>
    </w:p>
    <w:p w14:paraId="59B26614" w14:textId="77777777" w:rsidR="003751D3" w:rsidRPr="00925F26" w:rsidRDefault="003751D3" w:rsidP="00925F26">
      <w:pPr>
        <w:jc w:val="both"/>
        <w:rPr>
          <w:color w:val="000000" w:themeColor="text1"/>
          <w:sz w:val="16"/>
          <w:szCs w:val="16"/>
        </w:rPr>
      </w:pPr>
      <w:r w:rsidRPr="00925F26">
        <w:rPr>
          <w:bCs/>
          <w:color w:val="000000" w:themeColor="text1"/>
          <w:sz w:val="16"/>
          <w:szCs w:val="16"/>
        </w:rPr>
        <w:t>5 марта</w:t>
      </w:r>
      <w:r w:rsidRPr="00925F26">
        <w:rPr>
          <w:color w:val="000000" w:themeColor="text1"/>
          <w:sz w:val="16"/>
          <w:szCs w:val="16"/>
        </w:rPr>
        <w:t xml:space="preserve"> в 1945 году войска 2-го Белорусского фронта вышли на побережье Балтийского моря в районе Кольберга (Колобжега) и отсекли 2-ю армию вермахта от основных вооруженных сил гитлеровской Германии (15059).</w:t>
      </w:r>
    </w:p>
    <w:p w14:paraId="2C02F677" w14:textId="77777777" w:rsidR="003751D3" w:rsidRPr="00925F26" w:rsidRDefault="003751D3" w:rsidP="00925F26">
      <w:pPr>
        <w:jc w:val="both"/>
        <w:rPr>
          <w:color w:val="000000" w:themeColor="text1"/>
          <w:sz w:val="16"/>
          <w:szCs w:val="16"/>
        </w:rPr>
      </w:pPr>
    </w:p>
    <w:p w14:paraId="08B60DF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5th, 1945: The fortress city of Graudenz on the Vistula surrenders to troops of the 2nd Belorussian Front (Rokossovsky), while Konigsberg, Breslau, Kustrin, Frankfurt/Oder and Kolberg are still holding out (3819).</w:t>
      </w:r>
    </w:p>
    <w:p w14:paraId="4B42BBA9" w14:textId="77777777" w:rsidR="00665165" w:rsidRPr="00925F26" w:rsidRDefault="00665165" w:rsidP="00925F26">
      <w:pPr>
        <w:autoSpaceDE w:val="0"/>
        <w:autoSpaceDN w:val="0"/>
        <w:adjustRightInd w:val="0"/>
        <w:jc w:val="both"/>
        <w:rPr>
          <w:color w:val="000000" w:themeColor="text1"/>
          <w:sz w:val="16"/>
          <w:szCs w:val="16"/>
          <w:lang w:val="en-US"/>
        </w:rPr>
      </w:pPr>
    </w:p>
    <w:p w14:paraId="5A2610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марта 1945 город-крепость Грауденц на Висле сдалась 2БФ (Рокосовский) (3819).</w:t>
      </w:r>
    </w:p>
    <w:p w14:paraId="015B4F64" w14:textId="77777777" w:rsidR="00665165" w:rsidRPr="00925F26" w:rsidRDefault="00665165" w:rsidP="00925F26">
      <w:pPr>
        <w:autoSpaceDE w:val="0"/>
        <w:autoSpaceDN w:val="0"/>
        <w:adjustRightInd w:val="0"/>
        <w:jc w:val="both"/>
        <w:rPr>
          <w:color w:val="000000" w:themeColor="text1"/>
          <w:sz w:val="16"/>
          <w:szCs w:val="16"/>
        </w:rPr>
      </w:pPr>
    </w:p>
    <w:p w14:paraId="270150D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7646 [Удостоверение уполномоченного Особого комитета при ГКО Ивановского Г.И. на 3-й БФ.] (7312, 84).</w:t>
      </w:r>
    </w:p>
    <w:p w14:paraId="788669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78BFC5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7647 [Удостоверение уполномоченного Особого комитета при ГКО Кучумова П.С. на 2-й БФ.] (7312, 84).</w:t>
      </w:r>
    </w:p>
    <w:p w14:paraId="305D253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069C05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7648 [Удостоверение уполномоченного Особого комитета при ГКО Сабурова М.З. на 1-й УФ.] (7312, 84).</w:t>
      </w:r>
    </w:p>
    <w:p w14:paraId="7404B22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33284B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7649 [Удостоверение уполномоченного Особого комитета при ГКО Зернова П.М. на 1-й БФ.] (7312, 84).</w:t>
      </w:r>
    </w:p>
    <w:p w14:paraId="741B2C5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80CBD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7650 [Удостоверение зам. уполномоченного Особого комитета при ГКО Кожевникова Ю.Н. на 1-й УФ.] (7312, 85).</w:t>
      </w:r>
    </w:p>
    <w:p w14:paraId="5517CC0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CFBA7E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7651 [Удостоверение зам. уполномоченного Особого комитета при ГКО Дмитриева И.И. на 1-й УФ.] (7312, 85).</w:t>
      </w:r>
    </w:p>
    <w:p w14:paraId="2D64FD9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617E4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7652 [Удостоверение уполномоченного Особого комитета при ГКО Добровольского А.Е. на 2-й БФ.] (7312, 85).</w:t>
      </w:r>
    </w:p>
    <w:p w14:paraId="3536E76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5914D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7653 [Удостоверение зам. уполномоченного Особого комитета при ГКО Носовского Н.Э. на 1-й БФ.] (7312, 85).</w:t>
      </w:r>
    </w:p>
    <w:p w14:paraId="7280760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53DF90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7654 [Удостоверение зам. уполномоченного Особого комитета при ГКО Баранова А.Н. на 1-й БФ.] (7312, 85).</w:t>
      </w:r>
    </w:p>
    <w:p w14:paraId="7586C0B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9C9B3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7655 [Удостоверение зам. уполномоченного Особого комитета при ГКО Разина Н.М. на 2-й БФ.] (7312, 85).</w:t>
      </w:r>
    </w:p>
    <w:p w14:paraId="0BFAE8A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BBB1B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7656 [Удостоверение зам. уполномоченного Особого комитета при ГКО Яковлева В.Н. на 3-й БФ.] (7312, 85).</w:t>
      </w:r>
    </w:p>
    <w:p w14:paraId="429EC1E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80B83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7657 [Удостоверение зам. уполномоченного Особого комитета при ГКО Елисеева В.И. на 3-й БФ.] (7312, 85).</w:t>
      </w:r>
    </w:p>
    <w:p w14:paraId="682904C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8A83EF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7658 [Удостоверение уполномоченного Особого комитета при ГКО Старцева Е.М. В армии* 1-го УФ.] (7312, 86).</w:t>
      </w:r>
    </w:p>
    <w:p w14:paraId="3984AEA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22CE82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7659 [Удостоверение уполномоченного Особого комитета при ГКО Холодова М.Л. </w:t>
      </w:r>
      <w:proofErr w:type="gramStart"/>
      <w:r w:rsidRPr="00925F26">
        <w:rPr>
          <w:color w:val="000000" w:themeColor="text1"/>
          <w:sz w:val="16"/>
          <w:szCs w:val="16"/>
        </w:rPr>
        <w:t>в..армии</w:t>
      </w:r>
      <w:proofErr w:type="gramEnd"/>
      <w:r w:rsidRPr="00925F26">
        <w:rPr>
          <w:color w:val="000000" w:themeColor="text1"/>
          <w:sz w:val="16"/>
          <w:szCs w:val="16"/>
        </w:rPr>
        <w:t xml:space="preserve"> 1-го УФ.] (7312, 86).</w:t>
      </w:r>
    </w:p>
    <w:p w14:paraId="7FD1FAF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59528A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7660 [Удостоверение уполномоченного Особого комитета при ГКО Блохина С.И. </w:t>
      </w:r>
      <w:proofErr w:type="gramStart"/>
      <w:r w:rsidRPr="00925F26">
        <w:rPr>
          <w:color w:val="000000" w:themeColor="text1"/>
          <w:sz w:val="16"/>
          <w:szCs w:val="16"/>
        </w:rPr>
        <w:t>в..армии</w:t>
      </w:r>
      <w:proofErr w:type="gramEnd"/>
      <w:r w:rsidRPr="00925F26">
        <w:rPr>
          <w:color w:val="000000" w:themeColor="text1"/>
          <w:sz w:val="16"/>
          <w:szCs w:val="16"/>
        </w:rPr>
        <w:t xml:space="preserve"> 1-го УФ.] (7312, 86).</w:t>
      </w:r>
    </w:p>
    <w:p w14:paraId="36444EC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8EFB2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7661 [Удостоверение уполномоченного Особого комитета при ГКО Кацинского Н.П. в..армии 1-го УФ.] (7312, 86).</w:t>
      </w:r>
    </w:p>
    <w:p w14:paraId="0946500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979DBC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7662 [Удостоверение уполномоченного Особого комитета при ГКО Карташева И.П. </w:t>
      </w:r>
      <w:proofErr w:type="gramStart"/>
      <w:r w:rsidRPr="00925F26">
        <w:rPr>
          <w:color w:val="000000" w:themeColor="text1"/>
          <w:sz w:val="16"/>
          <w:szCs w:val="16"/>
        </w:rPr>
        <w:t>в..армии</w:t>
      </w:r>
      <w:proofErr w:type="gramEnd"/>
      <w:r w:rsidRPr="00925F26">
        <w:rPr>
          <w:color w:val="000000" w:themeColor="text1"/>
          <w:sz w:val="16"/>
          <w:szCs w:val="16"/>
        </w:rPr>
        <w:t xml:space="preserve"> 1-го УФ.] (7312, 86).</w:t>
      </w:r>
    </w:p>
    <w:p w14:paraId="02F2934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F08E70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7663 [Удостоверение уполномоченного Особого комитета при ГКО Комарова А.М. </w:t>
      </w:r>
      <w:proofErr w:type="gramStart"/>
      <w:r w:rsidRPr="00925F26">
        <w:rPr>
          <w:color w:val="000000" w:themeColor="text1"/>
          <w:sz w:val="16"/>
          <w:szCs w:val="16"/>
        </w:rPr>
        <w:t>в..армии</w:t>
      </w:r>
      <w:proofErr w:type="gramEnd"/>
      <w:r w:rsidRPr="00925F26">
        <w:rPr>
          <w:color w:val="000000" w:themeColor="text1"/>
          <w:sz w:val="16"/>
          <w:szCs w:val="16"/>
        </w:rPr>
        <w:t xml:space="preserve"> 1-го УФ.] (7312, 86).</w:t>
      </w:r>
    </w:p>
    <w:p w14:paraId="0393E86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C46FD9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7664 [Удостоверение уполномоченного Особого комитета при ГКО Мойкина Б.Н. в..армии 1-го УФ.] (7312, 86).</w:t>
      </w:r>
    </w:p>
    <w:p w14:paraId="2A7AC18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2600D3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7665 [Удостоверение уполномоченного Особого комитета при ГКО Земскова М.Г. </w:t>
      </w:r>
      <w:proofErr w:type="gramStart"/>
      <w:r w:rsidRPr="00925F26">
        <w:rPr>
          <w:color w:val="000000" w:themeColor="text1"/>
          <w:sz w:val="16"/>
          <w:szCs w:val="16"/>
        </w:rPr>
        <w:t>в..армии</w:t>
      </w:r>
      <w:proofErr w:type="gramEnd"/>
      <w:r w:rsidRPr="00925F26">
        <w:rPr>
          <w:color w:val="000000" w:themeColor="text1"/>
          <w:sz w:val="16"/>
          <w:szCs w:val="16"/>
        </w:rPr>
        <w:t xml:space="preserve"> 1-го УФ.] (7312, 87).</w:t>
      </w:r>
    </w:p>
    <w:p w14:paraId="79E7223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19474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7666 [Удостоверение уполномоченного Особого комитета при ГКО Свистунова А.П. </w:t>
      </w:r>
      <w:proofErr w:type="gramStart"/>
      <w:r w:rsidRPr="00925F26">
        <w:rPr>
          <w:color w:val="000000" w:themeColor="text1"/>
          <w:sz w:val="16"/>
          <w:szCs w:val="16"/>
        </w:rPr>
        <w:t>в..армии</w:t>
      </w:r>
      <w:proofErr w:type="gramEnd"/>
      <w:r w:rsidRPr="00925F26">
        <w:rPr>
          <w:color w:val="000000" w:themeColor="text1"/>
          <w:sz w:val="16"/>
          <w:szCs w:val="16"/>
        </w:rPr>
        <w:t xml:space="preserve"> 1-го БФ.] (7312, 87).</w:t>
      </w:r>
    </w:p>
    <w:p w14:paraId="6BD0C68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35C674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7667 [Удостоверение уполномоченного Особого комитета при ГКО Еськова В.С. </w:t>
      </w:r>
      <w:proofErr w:type="gramStart"/>
      <w:r w:rsidRPr="00925F26">
        <w:rPr>
          <w:color w:val="000000" w:themeColor="text1"/>
          <w:sz w:val="16"/>
          <w:szCs w:val="16"/>
        </w:rPr>
        <w:t>в..армии</w:t>
      </w:r>
      <w:proofErr w:type="gramEnd"/>
      <w:r w:rsidRPr="00925F26">
        <w:rPr>
          <w:color w:val="000000" w:themeColor="text1"/>
          <w:sz w:val="16"/>
          <w:szCs w:val="16"/>
        </w:rPr>
        <w:t xml:space="preserve"> 1-го БФ.] (7312, 87).</w:t>
      </w:r>
    </w:p>
    <w:p w14:paraId="4AF2168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574B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7668 [Удостоверение уполномоченного Особого комитета при ГКО Шевякова Г.Н. </w:t>
      </w:r>
      <w:proofErr w:type="gramStart"/>
      <w:r w:rsidRPr="00925F26">
        <w:rPr>
          <w:color w:val="000000" w:themeColor="text1"/>
          <w:sz w:val="16"/>
          <w:szCs w:val="16"/>
        </w:rPr>
        <w:t>в..армии</w:t>
      </w:r>
      <w:proofErr w:type="gramEnd"/>
      <w:r w:rsidRPr="00925F26">
        <w:rPr>
          <w:color w:val="000000" w:themeColor="text1"/>
          <w:sz w:val="16"/>
          <w:szCs w:val="16"/>
        </w:rPr>
        <w:t xml:space="preserve"> 1-го БФ.] (7312, 87).</w:t>
      </w:r>
    </w:p>
    <w:p w14:paraId="63EAF8A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51DE3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7669 [Удостоверение уполномоченного Особого комитета при ГКО Колычева В.А. </w:t>
      </w:r>
      <w:proofErr w:type="gramStart"/>
      <w:r w:rsidRPr="00925F26">
        <w:rPr>
          <w:color w:val="000000" w:themeColor="text1"/>
          <w:sz w:val="16"/>
          <w:szCs w:val="16"/>
        </w:rPr>
        <w:t>в..армии</w:t>
      </w:r>
      <w:proofErr w:type="gramEnd"/>
      <w:r w:rsidRPr="00925F26">
        <w:rPr>
          <w:color w:val="000000" w:themeColor="text1"/>
          <w:sz w:val="16"/>
          <w:szCs w:val="16"/>
        </w:rPr>
        <w:t xml:space="preserve"> 1-го БФ.] (7312, 87).</w:t>
      </w:r>
    </w:p>
    <w:p w14:paraId="07C6724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31B755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7670 [Удостоверение уполномоченного Особого комитета при ГКО Чикиша П.А. в..армии 1-го БФ.] (7312, 87).</w:t>
      </w:r>
    </w:p>
    <w:p w14:paraId="2F70AEF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F5345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7671 [Удостоверение уполномоченного Особого комитета при ГКО Левши В.А. в..армии 1-го БФ.] (7312, 87).</w:t>
      </w:r>
    </w:p>
    <w:p w14:paraId="29E4C13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7D476B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7672 [Удостоверение уполномоченного Особого комитета при ГКО Баранова Н.Г. </w:t>
      </w:r>
      <w:proofErr w:type="gramStart"/>
      <w:r w:rsidRPr="00925F26">
        <w:rPr>
          <w:color w:val="000000" w:themeColor="text1"/>
          <w:sz w:val="16"/>
          <w:szCs w:val="16"/>
        </w:rPr>
        <w:t>в..армии</w:t>
      </w:r>
      <w:proofErr w:type="gramEnd"/>
      <w:r w:rsidRPr="00925F26">
        <w:rPr>
          <w:color w:val="000000" w:themeColor="text1"/>
          <w:sz w:val="16"/>
          <w:szCs w:val="16"/>
        </w:rPr>
        <w:t xml:space="preserve"> 1-го БФ.] (7312, 87).</w:t>
      </w:r>
    </w:p>
    <w:p w14:paraId="3CDB961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F18AB2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7673 [Удостоверение уполномоченного Особого комитета при ГКО Пекшева А.А. </w:t>
      </w:r>
      <w:proofErr w:type="gramStart"/>
      <w:r w:rsidRPr="00925F26">
        <w:rPr>
          <w:color w:val="000000" w:themeColor="text1"/>
          <w:sz w:val="16"/>
          <w:szCs w:val="16"/>
        </w:rPr>
        <w:t>в..армии</w:t>
      </w:r>
      <w:proofErr w:type="gramEnd"/>
      <w:r w:rsidRPr="00925F26">
        <w:rPr>
          <w:color w:val="000000" w:themeColor="text1"/>
          <w:sz w:val="16"/>
          <w:szCs w:val="16"/>
        </w:rPr>
        <w:t xml:space="preserve"> 1-го БФ.] (7312, 87).</w:t>
      </w:r>
    </w:p>
    <w:p w14:paraId="006A814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EE950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7674 [Удостоверение уполномоченного Особого комитета при ГКО Крупчатникова Н.Н. </w:t>
      </w:r>
      <w:proofErr w:type="gramStart"/>
      <w:r w:rsidRPr="00925F26">
        <w:rPr>
          <w:color w:val="000000" w:themeColor="text1"/>
          <w:sz w:val="16"/>
          <w:szCs w:val="16"/>
        </w:rPr>
        <w:t>в..армии</w:t>
      </w:r>
      <w:proofErr w:type="gramEnd"/>
      <w:r w:rsidRPr="00925F26">
        <w:rPr>
          <w:color w:val="000000" w:themeColor="text1"/>
          <w:sz w:val="16"/>
          <w:szCs w:val="16"/>
        </w:rPr>
        <w:t xml:space="preserve"> 2-го БФ.] (7312, 87).</w:t>
      </w:r>
    </w:p>
    <w:p w14:paraId="2BD705C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305946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7675 [Удостоверение уполномоченного Особого комитета при ГКО Дыгая Н.А. в..армии 2-го БФ.] (7312, 87).</w:t>
      </w:r>
    </w:p>
    <w:p w14:paraId="381ADAD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94B55B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7676 [Удостоверение уполномоченного Особого комитета при ГКО Живописцева И.А. </w:t>
      </w:r>
      <w:proofErr w:type="gramStart"/>
      <w:r w:rsidRPr="00925F26">
        <w:rPr>
          <w:color w:val="000000" w:themeColor="text1"/>
          <w:sz w:val="16"/>
          <w:szCs w:val="16"/>
        </w:rPr>
        <w:t>в..армии</w:t>
      </w:r>
      <w:proofErr w:type="gramEnd"/>
      <w:r w:rsidRPr="00925F26">
        <w:rPr>
          <w:color w:val="000000" w:themeColor="text1"/>
          <w:sz w:val="16"/>
          <w:szCs w:val="16"/>
        </w:rPr>
        <w:t xml:space="preserve"> 2-го БФ.] (7312, 87).</w:t>
      </w:r>
    </w:p>
    <w:p w14:paraId="5A24D40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E6FC5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7677 [Удостоверение уполномоченного Особого комитета при ГКО Тарасова А.М. </w:t>
      </w:r>
      <w:proofErr w:type="gramStart"/>
      <w:r w:rsidRPr="00925F26">
        <w:rPr>
          <w:color w:val="000000" w:themeColor="text1"/>
          <w:sz w:val="16"/>
          <w:szCs w:val="16"/>
        </w:rPr>
        <w:t>в..армии</w:t>
      </w:r>
      <w:proofErr w:type="gramEnd"/>
      <w:r w:rsidRPr="00925F26">
        <w:rPr>
          <w:color w:val="000000" w:themeColor="text1"/>
          <w:sz w:val="16"/>
          <w:szCs w:val="16"/>
        </w:rPr>
        <w:t xml:space="preserve"> 2-го БФ.] (7312, 87).</w:t>
      </w:r>
    </w:p>
    <w:p w14:paraId="256C643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A4E339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7678 [Удостоверение уполномоченного Особого комитета при ГКО Краснова л. А (7312, 87).</w:t>
      </w:r>
    </w:p>
    <w:p w14:paraId="351D902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A30FF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7679 [Удостоверение уполномоченного Особого комитета при ГКО Щербаненко В.Н. в..армии 3-го БФ.] (7312, 87).</w:t>
      </w:r>
    </w:p>
    <w:p w14:paraId="54BDA34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A2DB0E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7680 [Удостоверение уполномоченного Особого комитета при ГКО Говора И.Л. в..армии 3-го БФ.] (7312, 87).</w:t>
      </w:r>
    </w:p>
    <w:p w14:paraId="15E7C2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7304B8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7681 [Удостоверение уполномоченного Особого комитета при ГКО Толмачева М.Д. </w:t>
      </w:r>
      <w:proofErr w:type="gramStart"/>
      <w:r w:rsidRPr="00925F26">
        <w:rPr>
          <w:color w:val="000000" w:themeColor="text1"/>
          <w:sz w:val="16"/>
          <w:szCs w:val="16"/>
        </w:rPr>
        <w:t>в..армии</w:t>
      </w:r>
      <w:proofErr w:type="gramEnd"/>
      <w:r w:rsidRPr="00925F26">
        <w:rPr>
          <w:color w:val="000000" w:themeColor="text1"/>
          <w:sz w:val="16"/>
          <w:szCs w:val="16"/>
        </w:rPr>
        <w:t xml:space="preserve"> 3-го БФ.] (7312, 87).</w:t>
      </w:r>
    </w:p>
    <w:p w14:paraId="12CEA8A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D27E4A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7682 [Удостоверение уполномоченного Особого комитета при ГКО Голубева Н.Н. </w:t>
      </w:r>
      <w:proofErr w:type="gramStart"/>
      <w:r w:rsidRPr="00925F26">
        <w:rPr>
          <w:color w:val="000000" w:themeColor="text1"/>
          <w:sz w:val="16"/>
          <w:szCs w:val="16"/>
        </w:rPr>
        <w:t>в..армии</w:t>
      </w:r>
      <w:proofErr w:type="gramEnd"/>
      <w:r w:rsidRPr="00925F26">
        <w:rPr>
          <w:color w:val="000000" w:themeColor="text1"/>
          <w:sz w:val="16"/>
          <w:szCs w:val="16"/>
        </w:rPr>
        <w:t xml:space="preserve"> 3-го БФ.] (7312, 88).</w:t>
      </w:r>
    </w:p>
    <w:p w14:paraId="1E7BD56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FB6982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7683 [Удостоверение уполномоченного Особого комитета при ГКО Левшина Ф.П. </w:t>
      </w:r>
      <w:proofErr w:type="gramStart"/>
      <w:r w:rsidRPr="00925F26">
        <w:rPr>
          <w:color w:val="000000" w:themeColor="text1"/>
          <w:sz w:val="16"/>
          <w:szCs w:val="16"/>
        </w:rPr>
        <w:t>в..армии</w:t>
      </w:r>
      <w:proofErr w:type="gramEnd"/>
      <w:r w:rsidRPr="00925F26">
        <w:rPr>
          <w:color w:val="000000" w:themeColor="text1"/>
          <w:sz w:val="16"/>
          <w:szCs w:val="16"/>
        </w:rPr>
        <w:t xml:space="preserve"> 3-го БФ.] (7312, 88).</w:t>
      </w:r>
    </w:p>
    <w:p w14:paraId="6AF6D6F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A0DB2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вышло № 7684 [Удостоверение уполномоченного Особого комитета при ГКО Мхитаряна С.Г. в..армии 3-го БФ.] (7312, 88).</w:t>
      </w:r>
    </w:p>
    <w:p w14:paraId="28044DE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2D2527" w14:textId="77777777" w:rsidR="0032140A"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5 марта 1945 вышло № 7685 [Удостоверение уполномоченного Особого комитета при ГКО Демченко </w:t>
      </w:r>
      <w:proofErr w:type="gramStart"/>
      <w:r w:rsidRPr="00925F26">
        <w:rPr>
          <w:color w:val="000000" w:themeColor="text1"/>
          <w:sz w:val="16"/>
          <w:szCs w:val="16"/>
        </w:rPr>
        <w:t>В.Ф</w:t>
      </w:r>
      <w:proofErr w:type="gramEnd"/>
      <w:r w:rsidRPr="00925F26">
        <w:rPr>
          <w:color w:val="000000" w:themeColor="text1"/>
          <w:sz w:val="16"/>
          <w:szCs w:val="16"/>
        </w:rPr>
        <w:t xml:space="preserve">, </w:t>
      </w:r>
      <w:proofErr w:type="gramStart"/>
      <w:r w:rsidRPr="00925F26">
        <w:rPr>
          <w:color w:val="000000" w:themeColor="text1"/>
          <w:sz w:val="16"/>
          <w:szCs w:val="16"/>
        </w:rPr>
        <w:t>в..армии</w:t>
      </w:r>
      <w:proofErr w:type="gramEnd"/>
      <w:r w:rsidRPr="00925F26">
        <w:rPr>
          <w:color w:val="000000" w:themeColor="text1"/>
          <w:sz w:val="16"/>
          <w:szCs w:val="16"/>
        </w:rPr>
        <w:t xml:space="preserve"> 3-го БФ.] (7312, 88).</w:t>
      </w:r>
    </w:p>
    <w:p w14:paraId="06F736A4" w14:textId="77777777" w:rsidR="0032140A" w:rsidRPr="00925F26" w:rsidRDefault="0032140A" w:rsidP="00925F26">
      <w:pPr>
        <w:tabs>
          <w:tab w:val="left" w:pos="11199"/>
        </w:tabs>
        <w:autoSpaceDE w:val="0"/>
        <w:autoSpaceDN w:val="0"/>
        <w:adjustRightInd w:val="0"/>
        <w:jc w:val="both"/>
        <w:rPr>
          <w:color w:val="000000" w:themeColor="text1"/>
          <w:sz w:val="16"/>
          <w:szCs w:val="16"/>
        </w:rPr>
      </w:pPr>
    </w:p>
    <w:p w14:paraId="54F7F38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года Приказ Народного Комиссара Обороны СССР</w:t>
      </w:r>
    </w:p>
    <w:p w14:paraId="4745E2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Журнал «Военная мысль» по своему содержанию не отвечает поставленным перед ним задачам по разработке вопросов военной теории и идеологии, совершенствования военных знаний офицерского состава и генералов Красной Армии.</w:t>
      </w:r>
    </w:p>
    <w:p w14:paraId="5F1A8F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журнале «Военная мысль» недостаточно разрабатываются проблемы ведения войны, стратегии и оперативного искусства, военно-теоретического и практического наследства выдающихся русских полководцев, т. е. упускаются как раз те вопросы, которые должны быть основными для этого журнала.</w:t>
      </w:r>
    </w:p>
    <w:p w14:paraId="190A1C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Иностранный отдел в журнале либо отсутствует вовсе, либо преподносит читателям статьи иностранных авторов без критики встречающихся в них неверных и даже вредных положений. Отдела критики и библиографии в журнале нет. Редколлегия журнала «Военная мысль» не справляется с возложенными на нее задачами, тем более что ряд ее членов находится на фронтах </w:t>
      </w:r>
      <w:proofErr w:type="gramStart"/>
      <w:r w:rsidRPr="00925F26">
        <w:rPr>
          <w:color w:val="000000" w:themeColor="text1"/>
          <w:sz w:val="16"/>
          <w:szCs w:val="16"/>
        </w:rPr>
        <w:t>и по существу</w:t>
      </w:r>
      <w:proofErr w:type="gramEnd"/>
      <w:r w:rsidRPr="00925F26">
        <w:rPr>
          <w:color w:val="000000" w:themeColor="text1"/>
          <w:sz w:val="16"/>
          <w:szCs w:val="16"/>
        </w:rPr>
        <w:t xml:space="preserve"> в редакции не работает.</w:t>
      </w:r>
    </w:p>
    <w:p w14:paraId="33E14F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Редколлегия журнала не обеспечила должного руководства журналом и не организовала авторский коллектив, способный создать авторитетный руководящий журнал Красной Армии.</w:t>
      </w:r>
    </w:p>
    <w:p w14:paraId="65ADBB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Журнал «Военный вестник» недостаточно уделяет внимания вопросам теории и практики современного боя на основе опыта Великой Отечественной войны. В журнале «Военный вестник» мало освещаются вопросы тактики и техники иностранных армий.</w:t>
      </w:r>
    </w:p>
    <w:p w14:paraId="550EA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улучшения содержания журналов «Военная мысль» и «Военный вестник», повышения их роли в деле разработки военной теории, совершенствования военных знаний и воспитания офицерского состава Красной Армии, –</w:t>
      </w:r>
    </w:p>
    <w:p w14:paraId="2DC6A7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Приказываю:</w:t>
      </w:r>
    </w:p>
    <w:p w14:paraId="391CE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Журнал «Военная мысль» выпускать, как орган народного комиссариата обороны СССР, 1 раз в месяц, объемом 6 печатных листов, тиражом 15 000 экземпляров.</w:t>
      </w:r>
    </w:p>
    <w:p w14:paraId="23F8A4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Общее руководство журналом возложить на начальника Генерального штаба.</w:t>
      </w:r>
    </w:p>
    <w:p w14:paraId="14C2A1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Основными задачами журнала «Военная мысль» поставить:</w:t>
      </w:r>
    </w:p>
    <w:p w14:paraId="09C4A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разработку вопросов военной теории и идеологии; разработку основных проблем войны, строительства вооруженных сил, стратегии и оперативного искусства;</w:t>
      </w:r>
    </w:p>
    <w:p w14:paraId="583870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разработку вопросов взаимодействия родов войск и подготовки общевойсковых командиров;</w:t>
      </w:r>
    </w:p>
    <w:p w14:paraId="083965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разработку теоретического и практического наследства выдающихся русских полководцев и военных деятелей;</w:t>
      </w:r>
    </w:p>
    <w:p w14:paraId="1CE5D8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освещение и критику взглядов зарубежных военных авторитетов;</w:t>
      </w:r>
    </w:p>
    <w:p w14:paraId="389E0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изучение иностранных армий и их боевого опыта.</w:t>
      </w:r>
    </w:p>
    <w:p w14:paraId="2258B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журнале иметь постоянные отделы: военно-исторический, иностранной военной информации, критики и библиографии.</w:t>
      </w:r>
    </w:p>
    <w:p w14:paraId="40F61F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Содержание журнала рассчитывать на руководящие кадры от дивизии и выше.</w:t>
      </w:r>
    </w:p>
    <w:p w14:paraId="3D235B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Журнал «Военный вестник» выпускать, как общевойсковой журнал народного комиссариата обороны СССР, 2 раза в месяц объемом 3 печатных листа, тиражом 50 000 экземпляров.</w:t>
      </w:r>
    </w:p>
    <w:p w14:paraId="106C9E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Общее руководство журналом возложить на главного инспектора пехоты Красной Армии.</w:t>
      </w:r>
    </w:p>
    <w:p w14:paraId="321C36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Основными задачами журнала «Военный вестник» поставить:</w:t>
      </w:r>
    </w:p>
    <w:p w14:paraId="7F54C7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освещение на основе опыта Великой Отечественной войны теории и практики современного боя, взаимодействия родов войск, тактической и огневой подготовки и вопросов воинского воспитания;</w:t>
      </w:r>
    </w:p>
    <w:p w14:paraId="726654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ознакомление с организацией, тактикой, техникой и боевым опытом зарубежных армий.</w:t>
      </w:r>
    </w:p>
    <w:p w14:paraId="5AC7B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журнале иметь постоянные отделы: критики и библиографии; культуры и быта офицерского состава, справок и консультаций.</w:t>
      </w:r>
    </w:p>
    <w:p w14:paraId="3BCF34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Содержание журнала рассчитывать на офицерский состав до командира полка включительно.</w:t>
      </w:r>
    </w:p>
    <w:p w14:paraId="17106E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Народный Комиссар Обороны Союза ССР</w:t>
      </w:r>
    </w:p>
    <w:p w14:paraId="6C7DFF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Маршал Советского Союза</w:t>
      </w:r>
    </w:p>
    <w:p w14:paraId="38CA4D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И. Сталин.</w:t>
      </w:r>
    </w:p>
    <w:p w14:paraId="44087F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Военный вестник. 1945. № 3–4. С. 47–48 (11659).</w:t>
      </w:r>
    </w:p>
    <w:p w14:paraId="15234516" w14:textId="77777777" w:rsidR="0032140A" w:rsidRPr="00925F26" w:rsidRDefault="0032140A" w:rsidP="00925F26">
      <w:pPr>
        <w:autoSpaceDE w:val="0"/>
        <w:autoSpaceDN w:val="0"/>
        <w:adjustRightInd w:val="0"/>
        <w:jc w:val="both"/>
        <w:rPr>
          <w:iCs/>
          <w:color w:val="000000" w:themeColor="text1"/>
          <w:sz w:val="16"/>
          <w:szCs w:val="16"/>
        </w:rPr>
      </w:pPr>
    </w:p>
    <w:p w14:paraId="051E229B" w14:textId="77777777" w:rsidR="00950F76" w:rsidRPr="00925F26" w:rsidRDefault="00950F76"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0223DF7" w14:textId="77777777" w:rsidR="00950F76" w:rsidRPr="00925F26" w:rsidRDefault="00950F76" w:rsidP="00925F26">
      <w:pPr>
        <w:autoSpaceDE w:val="0"/>
        <w:autoSpaceDN w:val="0"/>
        <w:adjustRightInd w:val="0"/>
        <w:jc w:val="both"/>
        <w:rPr>
          <w:iCs/>
          <w:color w:val="000000" w:themeColor="text1"/>
          <w:sz w:val="16"/>
          <w:szCs w:val="16"/>
        </w:rPr>
      </w:pPr>
    </w:p>
    <w:p w14:paraId="6CB02CA1" w14:textId="77777777" w:rsidR="00950F76" w:rsidRPr="00925F26" w:rsidRDefault="00950F76" w:rsidP="00925F26">
      <w:pPr>
        <w:jc w:val="both"/>
        <w:rPr>
          <w:bCs/>
          <w:color w:val="000000" w:themeColor="text1"/>
          <w:sz w:val="16"/>
          <w:szCs w:val="16"/>
        </w:rPr>
      </w:pPr>
      <w:r w:rsidRPr="00925F26">
        <w:rPr>
          <w:color w:val="000000" w:themeColor="text1"/>
          <w:sz w:val="16"/>
          <w:szCs w:val="16"/>
        </w:rPr>
        <w:t>5 марта 1945 г.</w:t>
      </w:r>
    </w:p>
    <w:p w14:paraId="3DAD1F17" w14:textId="77777777" w:rsidR="00950F76" w:rsidRPr="00925F26" w:rsidRDefault="00950F76" w:rsidP="00925F26">
      <w:pPr>
        <w:jc w:val="both"/>
        <w:rPr>
          <w:bCs/>
          <w:color w:val="000000" w:themeColor="text1"/>
          <w:sz w:val="16"/>
          <w:szCs w:val="16"/>
        </w:rPr>
      </w:pPr>
      <w:r w:rsidRPr="00925F26">
        <w:rPr>
          <w:color w:val="000000" w:themeColor="text1"/>
          <w:sz w:val="16"/>
          <w:szCs w:val="16"/>
        </w:rPr>
        <w:t>Зверев А.Г. «Готовьте окончательную записку и предложения». Стенограмма совещания у Народного комиссара финансов Союза ССР.</w:t>
      </w:r>
    </w:p>
    <w:p w14:paraId="358E7FE9" w14:textId="08E2BD21" w:rsidR="00950F76" w:rsidRPr="00925F26" w:rsidRDefault="00950F76" w:rsidP="00925F26">
      <w:pPr>
        <w:jc w:val="both"/>
        <w:rPr>
          <w:bCs/>
          <w:color w:val="000000" w:themeColor="text1"/>
          <w:sz w:val="16"/>
          <w:szCs w:val="16"/>
        </w:rPr>
      </w:pPr>
      <w:r w:rsidRPr="00925F26">
        <w:rPr>
          <w:bCs/>
          <w:color w:val="000000" w:themeColor="text1"/>
          <w:sz w:val="16"/>
          <w:szCs w:val="16"/>
        </w:rPr>
        <w:t>Источник:</w:t>
      </w:r>
      <w:r w:rsidR="00997EDF" w:rsidRPr="00925F26">
        <w:rPr>
          <w:bCs/>
          <w:color w:val="000000" w:themeColor="text1"/>
          <w:sz w:val="16"/>
          <w:szCs w:val="16"/>
        </w:rPr>
        <w:t xml:space="preserve">  </w:t>
      </w:r>
    </w:p>
    <w:p w14:paraId="36CDDD38" w14:textId="77777777" w:rsidR="00950F76" w:rsidRPr="00925F26" w:rsidRDefault="00950F76" w:rsidP="00925F26">
      <w:pPr>
        <w:jc w:val="both"/>
        <w:rPr>
          <w:color w:val="000000" w:themeColor="text1"/>
          <w:sz w:val="16"/>
          <w:szCs w:val="16"/>
        </w:rPr>
      </w:pPr>
      <w:r w:rsidRPr="00925F26">
        <w:rPr>
          <w:color w:val="000000" w:themeColor="text1"/>
          <w:sz w:val="16"/>
          <w:szCs w:val="16"/>
        </w:rPr>
        <w:t>Денежная реформа в СССР 1947 года. Документы и материалы. М.: Российская политическая энциклопедия (РОССПЭН), 2010. С. 133 - 148</w:t>
      </w:r>
    </w:p>
    <w:p w14:paraId="12AC8370" w14:textId="73106BD4" w:rsidR="00950F76" w:rsidRPr="00925F26" w:rsidRDefault="00950F76" w:rsidP="00925F26">
      <w:pPr>
        <w:jc w:val="both"/>
        <w:rPr>
          <w:bCs/>
          <w:color w:val="000000" w:themeColor="text1"/>
          <w:sz w:val="16"/>
          <w:szCs w:val="16"/>
        </w:rPr>
      </w:pPr>
      <w:r w:rsidRPr="00925F26">
        <w:rPr>
          <w:bCs/>
          <w:color w:val="000000" w:themeColor="text1"/>
          <w:sz w:val="16"/>
          <w:szCs w:val="16"/>
        </w:rPr>
        <w:t>Архив:</w:t>
      </w:r>
      <w:r w:rsidR="00997EDF" w:rsidRPr="00925F26">
        <w:rPr>
          <w:bCs/>
          <w:color w:val="000000" w:themeColor="text1"/>
          <w:sz w:val="16"/>
          <w:szCs w:val="16"/>
        </w:rPr>
        <w:t xml:space="preserve">  </w:t>
      </w:r>
    </w:p>
    <w:p w14:paraId="7F3B2E35" w14:textId="77777777" w:rsidR="00950F76" w:rsidRPr="00925F26" w:rsidRDefault="00950F76" w:rsidP="00925F26">
      <w:pPr>
        <w:jc w:val="both"/>
        <w:rPr>
          <w:color w:val="000000" w:themeColor="text1"/>
          <w:sz w:val="16"/>
          <w:szCs w:val="16"/>
        </w:rPr>
      </w:pPr>
      <w:r w:rsidRPr="00925F26">
        <w:rPr>
          <w:color w:val="000000" w:themeColor="text1"/>
          <w:sz w:val="16"/>
          <w:szCs w:val="16"/>
        </w:rPr>
        <w:t>РГАЭ. Ф. 7733. Оп. 36. Д 1869. Л. 20-50. Машинописная копия.</w:t>
      </w:r>
    </w:p>
    <w:p w14:paraId="1C68B53F" w14:textId="6A65D681" w:rsidR="00950F76" w:rsidRPr="00925F26" w:rsidRDefault="00950F76" w:rsidP="00925F26">
      <w:pPr>
        <w:pStyle w:val="rtecenter"/>
        <w:spacing w:before="0" w:after="0"/>
        <w:jc w:val="both"/>
        <w:rPr>
          <w:color w:val="000000" w:themeColor="text1"/>
          <w:sz w:val="16"/>
          <w:szCs w:val="16"/>
        </w:rPr>
      </w:pPr>
      <w:r w:rsidRPr="00925F26">
        <w:rPr>
          <w:rStyle w:val="a7"/>
          <w:b w:val="0"/>
          <w:color w:val="000000" w:themeColor="text1"/>
          <w:sz w:val="16"/>
          <w:szCs w:val="16"/>
        </w:rPr>
        <w:t>СТЕНОГРАММА СОВЕЩАНИЯ</w:t>
      </w:r>
      <w:r w:rsidR="00997EDF" w:rsidRPr="00925F26">
        <w:rPr>
          <w:rStyle w:val="a7"/>
          <w:b w:val="0"/>
          <w:color w:val="000000" w:themeColor="text1"/>
          <w:sz w:val="16"/>
          <w:szCs w:val="16"/>
        </w:rPr>
        <w:t xml:space="preserve">  </w:t>
      </w:r>
    </w:p>
    <w:p w14:paraId="77FDED74" w14:textId="77777777" w:rsidR="00950F76" w:rsidRPr="00925F26" w:rsidRDefault="00950F76" w:rsidP="00925F26">
      <w:pPr>
        <w:pStyle w:val="rtecenter"/>
        <w:spacing w:before="0" w:after="0"/>
        <w:jc w:val="both"/>
        <w:rPr>
          <w:color w:val="000000" w:themeColor="text1"/>
          <w:sz w:val="16"/>
          <w:szCs w:val="16"/>
        </w:rPr>
      </w:pPr>
      <w:r w:rsidRPr="00925F26">
        <w:rPr>
          <w:rStyle w:val="a7"/>
          <w:b w:val="0"/>
          <w:color w:val="000000" w:themeColor="text1"/>
          <w:sz w:val="16"/>
          <w:szCs w:val="16"/>
        </w:rPr>
        <w:t>У НАРОДНОГО КОМИССАРА ФИНАНСОВ СОЮЗА ССР</w:t>
      </w:r>
      <w:hyperlink r:id="rId59" w:anchor="bookmark1" w:history="1">
        <w:r w:rsidRPr="00925F26">
          <w:rPr>
            <w:rStyle w:val="a5"/>
            <w:rFonts w:eastAsiaTheme="majorEastAsia"/>
            <w:bCs/>
            <w:color w:val="000000" w:themeColor="text1"/>
            <w:sz w:val="16"/>
            <w:szCs w:val="16"/>
            <w:vertAlign w:val="superscript"/>
          </w:rPr>
          <w:t>*</w:t>
        </w:r>
      </w:hyperlink>
    </w:p>
    <w:p w14:paraId="638B647D" w14:textId="77777777" w:rsidR="00950F76" w:rsidRPr="00925F26" w:rsidRDefault="00950F76" w:rsidP="00925F26">
      <w:pPr>
        <w:pStyle w:val="rteright"/>
        <w:spacing w:before="0" w:after="0"/>
        <w:jc w:val="both"/>
        <w:rPr>
          <w:color w:val="000000" w:themeColor="text1"/>
          <w:sz w:val="16"/>
          <w:szCs w:val="16"/>
        </w:rPr>
      </w:pPr>
      <w:r w:rsidRPr="00925F26">
        <w:rPr>
          <w:rStyle w:val="a7"/>
          <w:b w:val="0"/>
          <w:color w:val="000000" w:themeColor="text1"/>
          <w:sz w:val="16"/>
          <w:szCs w:val="16"/>
        </w:rPr>
        <w:t>5 марта 1945 г.</w:t>
      </w:r>
    </w:p>
    <w:p w14:paraId="759AF83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ДЬЯЧЕНКО</w:t>
      </w:r>
      <w:r w:rsidRPr="00925F26">
        <w:rPr>
          <w:color w:val="000000" w:themeColor="text1"/>
          <w:sz w:val="16"/>
          <w:szCs w:val="16"/>
        </w:rPr>
        <w:t>.</w:t>
      </w:r>
    </w:p>
    <w:p w14:paraId="5531F40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(Начало сообщения не стенографировалось).</w:t>
      </w:r>
    </w:p>
    <w:p w14:paraId="786CAA67"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Поэтому мы предлагаем обменный курс установить на уровне 1:10. Это несколько выше, чем теперешнее соотношение цен, но зато это будет более ощутительно, зато это окажет большее влияние на тех, кто накопил крупные суммы.</w:t>
      </w:r>
    </w:p>
    <w:p w14:paraId="7BD2322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Этот обменный курс 1:10 затронет всех лиц, не только тех, кто накопил крупные суммы спекулятивным путем, но и тех, кто имеет небольшие запасы денег. Мы считаем, что для широких масс населения здесь убыток будет небольшой, т. е. кто имеет в запасе 300-400 руб., [тот] не будет иметь большой материальной потери, и эта потеря с лихвой покроется возможностью покупать в любом магазине любой товар. Что касается тех лиц, которые имеют большие запасы денег, накопленные легальным путем, то можно ввести некоторое исключение, установив особый курс по сравнению с общим единым обменным курсом.</w:t>
      </w:r>
    </w:p>
    <w:p w14:paraId="49DA91A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При этом обменном курсе —1:10 создается огромнейший эмиссионный резерв. При этом обменном курсе количество новой валюты, которая будет выпускаться в обмен, будет раз в пять меньше, чем то количество денег, которое необходимо [сегодня] для обращения.</w:t>
      </w:r>
    </w:p>
    <w:p w14:paraId="61138AC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Наш расчет носит оперативный характер. Что будет через год, когда будет проводиться реформа, сейчас нет нужды говорить. Важно то, что обменный курс 1:10 даст возможность полностью рассчитаться между бюджетом и Госбанком, погасить ту задолженность, которая возникла во время войны.</w:t>
      </w:r>
    </w:p>
    <w:p w14:paraId="45BF50C7" w14:textId="2265871F"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И наконец, последняя задача — необходимо ввести в обменный курс элемент снижения масштаба цен. Общий обменный курс получается 1:10, один рубль новой валюты принимается в размере 100</w:t>
      </w:r>
      <w:hyperlink r:id="rId60" w:anchor="bookmark2" w:history="1">
        <w:r w:rsidRPr="00925F26">
          <w:rPr>
            <w:rStyle w:val="a5"/>
            <w:rFonts w:eastAsiaTheme="majorEastAsia"/>
            <w:color w:val="000000" w:themeColor="text1"/>
            <w:sz w:val="16"/>
            <w:szCs w:val="16"/>
            <w:vertAlign w:val="superscript"/>
          </w:rPr>
          <w:t>*</w:t>
        </w:r>
      </w:hyperlink>
      <w:proofErr w:type="gramStart"/>
      <w:r w:rsidRPr="00925F26">
        <w:rPr>
          <w:color w:val="000000" w:themeColor="text1"/>
          <w:sz w:val="16"/>
          <w:szCs w:val="16"/>
          <w:vertAlign w:val="superscript"/>
        </w:rPr>
        <w:t>*</w:t>
      </w:r>
      <w:r w:rsidR="00997EDF" w:rsidRPr="00925F26">
        <w:rPr>
          <w:color w:val="000000" w:themeColor="text1"/>
          <w:sz w:val="16"/>
          <w:szCs w:val="16"/>
        </w:rPr>
        <w:t xml:space="preserve">  </w:t>
      </w:r>
      <w:r w:rsidRPr="00925F26">
        <w:rPr>
          <w:color w:val="000000" w:themeColor="text1"/>
          <w:sz w:val="16"/>
          <w:szCs w:val="16"/>
        </w:rPr>
        <w:t>руб.</w:t>
      </w:r>
      <w:proofErr w:type="gramEnd"/>
      <w:r w:rsidRPr="00925F26">
        <w:rPr>
          <w:color w:val="000000" w:themeColor="text1"/>
          <w:sz w:val="16"/>
          <w:szCs w:val="16"/>
        </w:rPr>
        <w:t xml:space="preserve"> в старой валюте. Причем зарплата тоже понижается в 10 раз, [так] как реальная ценность старых денег понижается в 10 раз.</w:t>
      </w:r>
    </w:p>
    <w:p w14:paraId="578AB862"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Дальше, предполагается провести ряд мероприятий, относящихся к организации обмена. Предполагается, что цены открытой торговли при выпуске новой валюты будут установлены на уровне цен нормированного снабжения, пониженных в 10 раз. Если костюм сейчас стоит 1000 руб., он будет стоить 100 руб., если рабочий получает 1500 руб., он будет получать 150 руб. в новой валюте.</w:t>
      </w:r>
    </w:p>
    <w:p w14:paraId="7FD07C7C"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По расчету изменения масштаба цен производится пересчет касс предприятий, пересчет текущих расчетов и других счетов предприятий и организаций, по этому расчету производится пересчет по обязательствам и государственным займам в новой валюте и т. д.</w:t>
      </w:r>
    </w:p>
    <w:p w14:paraId="7C44AF08"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Что касается наличных вкладов в сберегательные кассы, то они должны обмениваться по полному курсу 1:100. Нужно сказать, </w:t>
      </w:r>
      <w:proofErr w:type="gramStart"/>
      <w:r w:rsidRPr="00925F26">
        <w:rPr>
          <w:color w:val="000000" w:themeColor="text1"/>
          <w:sz w:val="16"/>
          <w:szCs w:val="16"/>
        </w:rPr>
        <w:t>что</w:t>
      </w:r>
      <w:proofErr w:type="gramEnd"/>
      <w:r w:rsidRPr="00925F26">
        <w:rPr>
          <w:color w:val="000000" w:themeColor="text1"/>
          <w:sz w:val="16"/>
          <w:szCs w:val="16"/>
        </w:rPr>
        <w:t xml:space="preserve"> в связи с этим при выпуске новой валюты в обращение можно было бы освободиться от двух вещей: во-первых, от блокированных вкладов (спецвкладов), это принудительные сбережения. Совершенно очевидно, что если мы сохраним их до выпуска новой валюты, то они будут забраны в новой валюте. Поэтому мы предлагаем от них освободиться до выпуска новой валюты за год или за полгода. Они переводятся на общие вклады населения.</w:t>
      </w:r>
    </w:p>
    <w:p w14:paraId="71FBCE3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То же в отношении займа 1938 г. Правда, сумма займа небольшая, но этот заем имеет специфический характер. Это не такой заем, как Военный заем, облигации которого нельзя свободно покупать и продавать. Заем 1938 г. есть заем рыночного типа. Мне кажется, что от этого займа надо будет освободиться и его погасить до введения новой валюты.</w:t>
      </w:r>
    </w:p>
    <w:p w14:paraId="642263F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Затем организация самого обмена. Во-первых, необходимо установить срок обмена, т. е. срок, в течение которого лица, имеющие деньги, имеют право предъявить их для обмена на новую валюту.</w:t>
      </w:r>
    </w:p>
    <w:p w14:paraId="1661510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Реформа 1922-1924 гг. установила срок для обмена, примерно в 2-3 месяца, после чего непредъявленные к обмену деньги были аннулированы.</w:t>
      </w:r>
    </w:p>
    <w:p w14:paraId="2E6D19C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Мне думается, что теперешняя организация этого дела даст нам возможность провести обмен значительно быстрее для того, чтобы эта реформа была более эффективной, исходя из того курса, который мы установим.</w:t>
      </w:r>
    </w:p>
    <w:p w14:paraId="2A83E581"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Во-вторых, для того, чтобы воспрепятствовать лицам, имеющим крупные суммы денег, произвести обмен всех имеющихся денег на новую валюту, необходимо провести организационные мероприятия. Во-первых, провести обмен таким образом, чтобы это носило единовременный характер, и чтобы, во-вторых, это проводилось под общественным контролем.</w:t>
      </w:r>
    </w:p>
    <w:p w14:paraId="21084E65"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Нам кажется, что эти два момента отвечают той организации обмена, которая нами будет установлена. Это значит, что обмен надо будет проводить через колхозы, сельсоветы, предприятия, домоуправления и т. д. Надо будет составить списки или ввести обменные квитанции, которые при обмене денег отбираются с тем, чтобы лишить возможности одному и тому же лицу несколько раз приходить на обменный пункт.</w:t>
      </w:r>
    </w:p>
    <w:p w14:paraId="56B44BF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Для чего это нужно? Это нужно для того, чтобы уловить незаконно накопленные крупные суммы. Может оказаться, что некоторые лица предъявят к обмену сотни тысяч руб., а по занимаемой должности они получают зарплату в 500 руб. и никак не могут накопить такие средства. Спрашивается, откуда они взяли эти деньги, значит, каким-то обманным путем.</w:t>
      </w:r>
    </w:p>
    <w:p w14:paraId="5DD20875"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Мы предлагаем установить беспрепятственный обмен в пределах определенной суммы, скажем 10 т[ыс]. руб.</w:t>
      </w:r>
    </w:p>
    <w:p w14:paraId="5D9B5B46" w14:textId="3585DD33"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Сумма денег, предъявленная для обмена, [и] превышающая этот размер, обменивается не на данном обменном пункте, а обменивается в филиале Государственного банка, там будет аппарат, который сможет разобраться, как накоплена такая крупная сумма и следует ли ее обменивать. Втягивать широкий аппарат</w:t>
      </w:r>
      <w:r w:rsidRPr="00925F26">
        <w:rPr>
          <w:color w:val="000000" w:themeColor="text1"/>
          <w:sz w:val="16"/>
          <w:szCs w:val="16"/>
          <w:vertAlign w:val="superscript"/>
        </w:rPr>
        <w:t>**</w:t>
      </w:r>
      <w:proofErr w:type="gramStart"/>
      <w:r w:rsidRPr="00925F26">
        <w:rPr>
          <w:color w:val="000000" w:themeColor="text1"/>
          <w:sz w:val="16"/>
          <w:szCs w:val="16"/>
          <w:vertAlign w:val="superscript"/>
        </w:rPr>
        <w:t>*</w:t>
      </w:r>
      <w:r w:rsidR="00997EDF" w:rsidRPr="00925F26">
        <w:rPr>
          <w:color w:val="000000" w:themeColor="text1"/>
          <w:sz w:val="16"/>
          <w:szCs w:val="16"/>
        </w:rPr>
        <w:t xml:space="preserve">  </w:t>
      </w:r>
      <w:r w:rsidRPr="00925F26">
        <w:rPr>
          <w:color w:val="000000" w:themeColor="text1"/>
          <w:sz w:val="16"/>
          <w:szCs w:val="16"/>
        </w:rPr>
        <w:t>в</w:t>
      </w:r>
      <w:proofErr w:type="gramEnd"/>
      <w:r w:rsidRPr="00925F26">
        <w:rPr>
          <w:color w:val="000000" w:themeColor="text1"/>
          <w:sz w:val="16"/>
          <w:szCs w:val="16"/>
        </w:rPr>
        <w:t xml:space="preserve"> это дело, конечно, нельзя.</w:t>
      </w:r>
    </w:p>
    <w:p w14:paraId="2C09866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Нам думается, что, может быть, такие ограничения обмена можно было [бы] провести и в отношении займов. Нам думается, что, возможно, было бы целесообразным ввести некоторые ограничения при замене облигаций нынешних займов на новый заем. Это предложение выдвинул т. Рубинштейн исходя из того, что за это время произошли изменения в размещении займов. Факты показывают, что существует нелегальная спекуляция облигациями по пониженным ценам. Человек, испытывающий нужду, продает облигации другому за бесценок. Поэтому может оказаться, что наши нынешние займы могут предъявляться к обмену в крупных суммах. Может быть, тут следовало [бы] установить определенную сумму, сверх которой обмен производится по специальным решениям, через какой-то специальный орган.</w:t>
      </w:r>
    </w:p>
    <w:p w14:paraId="04765F4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Затем, при проведении обмена предполагается провести и конверсию государственных </w:t>
      </w:r>
      <w:proofErr w:type="gramStart"/>
      <w:r w:rsidRPr="00925F26">
        <w:rPr>
          <w:color w:val="000000" w:themeColor="text1"/>
          <w:sz w:val="16"/>
          <w:szCs w:val="16"/>
        </w:rPr>
        <w:t>займов[</w:t>
      </w:r>
      <w:bookmarkStart w:id="8" w:name="_ftn1"/>
      <w:proofErr w:type="gramEnd"/>
      <w:r w:rsidR="00A371FF" w:rsidRPr="00925F26">
        <w:rPr>
          <w:color w:val="000000" w:themeColor="text1"/>
          <w:sz w:val="16"/>
          <w:szCs w:val="16"/>
        </w:rPr>
        <w:fldChar w:fldCharType="begin"/>
      </w:r>
      <w:r w:rsidRPr="00925F26">
        <w:rPr>
          <w:color w:val="000000" w:themeColor="text1"/>
          <w:sz w:val="16"/>
          <w:szCs w:val="16"/>
        </w:rPr>
        <w:instrText xml:space="preserve"> HYPERLINK "http://istmat.info/node/62476" \l "_ftn1.1" </w:instrText>
      </w:r>
      <w:r w:rsidR="00A371FF" w:rsidRPr="00925F26">
        <w:rPr>
          <w:color w:val="000000" w:themeColor="text1"/>
          <w:sz w:val="16"/>
          <w:szCs w:val="16"/>
        </w:rPr>
      </w:r>
      <w:r w:rsidR="00A371FF" w:rsidRPr="00925F26">
        <w:rPr>
          <w:color w:val="000000" w:themeColor="text1"/>
          <w:sz w:val="16"/>
          <w:szCs w:val="16"/>
        </w:rPr>
        <w:fldChar w:fldCharType="separate"/>
      </w:r>
      <w:r w:rsidRPr="00925F26">
        <w:rPr>
          <w:rStyle w:val="a5"/>
          <w:rFonts w:eastAsiaTheme="majorEastAsia"/>
          <w:color w:val="000000" w:themeColor="text1"/>
          <w:sz w:val="16"/>
          <w:szCs w:val="16"/>
          <w:vertAlign w:val="superscript"/>
        </w:rPr>
        <w:t>18</w:t>
      </w:r>
      <w:r w:rsidR="00A371FF" w:rsidRPr="00925F26">
        <w:rPr>
          <w:color w:val="000000" w:themeColor="text1"/>
          <w:sz w:val="16"/>
          <w:szCs w:val="16"/>
        </w:rPr>
        <w:fldChar w:fldCharType="end"/>
      </w:r>
      <w:bookmarkEnd w:id="8"/>
      <w:r w:rsidRPr="00925F26">
        <w:rPr>
          <w:color w:val="000000" w:themeColor="text1"/>
          <w:sz w:val="16"/>
          <w:szCs w:val="16"/>
        </w:rPr>
        <w:t>]. Нужно будет заменить все облигации нынешних займов на новые облигации займа в новой валюте.</w:t>
      </w:r>
    </w:p>
    <w:p w14:paraId="4C313D25"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Что же касается страхования, то учитывая, что оно еще не получило достаточного распространения, мы считаем, что здесь можно произвести пересчеты по масштабу цен, а не по обменному курсу.</w:t>
      </w:r>
    </w:p>
    <w:p w14:paraId="180389F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И последний вопрос, относительно того, какие вопросы необходимо разработать. Здесь мы выдвигаем два вопроса, которые должны подвергнуться специальной разработке. Первый вопрос — это об эмиссии</w:t>
      </w:r>
      <w:r w:rsidRPr="00925F26">
        <w:rPr>
          <w:color w:val="000000" w:themeColor="text1"/>
          <w:sz w:val="16"/>
          <w:szCs w:val="16"/>
          <w:vertAlign w:val="superscript"/>
        </w:rPr>
        <w:t>****</w:t>
      </w:r>
      <w:r w:rsidRPr="00925F26">
        <w:rPr>
          <w:color w:val="000000" w:themeColor="text1"/>
          <w:sz w:val="16"/>
          <w:szCs w:val="16"/>
        </w:rPr>
        <w:t>.</w:t>
      </w:r>
    </w:p>
    <w:p w14:paraId="5ACF795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 части реплики тов. Зверева о том, что уборщица получает 90 руб. Мы это учитываем. Конечно, дифференциация заработной платы необходима, но мы подсчитали, что 90 руб. не хватит для того, чтобы отоварить карточку. Оказывается, что для того, чтобы отоварить карточку для средней семьи 1,5 человека, человек, который получает 100-120 руб., у него не хватит денег для того, чтобы оплатить продовольственные карточки свои и своих иждивенцев. Это положение ненормальное. Если мы переходим на ненормированное снабжение, и если мы должны установить механический обменный курс, то необходимо изменить систему зарплаты, т. е. некоторую зарплату подтянуть, но, повторяю, дифференциация зарплаты необходима.</w:t>
      </w:r>
    </w:p>
    <w:p w14:paraId="646E6DB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7B75173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А не возникал у Вас такой момент, что при обмене производить обложение тех, кто имеет большие суммы денег.</w:t>
      </w:r>
    </w:p>
    <w:p w14:paraId="5609A41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ДЬЯЧЕНКО</w:t>
      </w:r>
      <w:r w:rsidRPr="00925F26">
        <w:rPr>
          <w:color w:val="000000" w:themeColor="text1"/>
          <w:sz w:val="16"/>
          <w:szCs w:val="16"/>
        </w:rPr>
        <w:t>.</w:t>
      </w:r>
    </w:p>
    <w:p w14:paraId="4AE86529"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Это совершенно самостоятельная задача.</w:t>
      </w:r>
    </w:p>
    <w:p w14:paraId="507DC43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Скажем, человек предъявляет к обмену несколько сот тысяч руб., а мы знаем, что тот заработок, который он имеет, не дает ему возможности накопить такую сумму денег.</w:t>
      </w:r>
    </w:p>
    <w:p w14:paraId="03DC4DA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МАЛЕТИН</w:t>
      </w:r>
      <w:r w:rsidRPr="00925F26">
        <w:rPr>
          <w:color w:val="000000" w:themeColor="text1"/>
          <w:sz w:val="16"/>
          <w:szCs w:val="16"/>
        </w:rPr>
        <w:t>.</w:t>
      </w:r>
    </w:p>
    <w:p w14:paraId="359C3FA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Сейчас намечается другое. До того как начнется сам факт обмена старых денег на новые, несколько упорядочится соотношение денежной массы и товаров, т. е. идет процесс снижения цен, а не повышения.</w:t>
      </w:r>
    </w:p>
    <w:p w14:paraId="464211A1"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lastRenderedPageBreak/>
        <w:t>Мне кажется, что действительно создастся затруднение такого рода, во-первых, за то время пока мы готовимся к реформе, товары будут расти, и мы будем или выбрасывать [их] в продажу, или задерживать. Будем часть промтоваров задерживать с продажей, а на находящиеся в продаже держать высокие цены. Дело, видимо, будет иначе. Значит, пойдет другое, что снижение цен до момента обмена пойдет более быстро.</w:t>
      </w:r>
    </w:p>
    <w:p w14:paraId="6FAB16E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Мне кажется, что в принципе такая система подготовки денежной реформы неправильна. Надо было бы начать с обратного, а именно превратить сам обмен денег, т. е. ликвидацию больших запасов денег, которые сосредоточены у небольшого количества людей, до того, как мы приступим к упорядочению товарных фондов. Если мы деньги изымем, то покупательная способность будет ниже. У меня никак не укладывается — желаем ликвидировать денежные запасы, но до того, как их ликвидировать, стараемся насытить рынки товарами.</w:t>
      </w:r>
    </w:p>
    <w:p w14:paraId="119B0F8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Мне кажется, что это неправильно, и с точки зрения финансового ведомства — дважды неправильно. Мне кажется, что надо начать с обратного. Именно, саму деноминацию или обменный курс и ограничения обмена нужно начать, а все последующие мероприятия должны происходить после того, как будут нормальные хозяйственные отношения в стране.</w:t>
      </w:r>
    </w:p>
    <w:p w14:paraId="04AEDBD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Нужно принять следующее, что первым мероприятием, направленным на упорядочение цен и приведение в порядок денежной системы, должно явиться приведение в порядок самой денежной системы. Сам факт обмена денег и будет являться фактором отмены нормированного снабжения. Надо начать с денежной реформы, произвести обмен, изъять большие денежные запасы и на этой основе создать нормальное положение.</w:t>
      </w:r>
    </w:p>
    <w:p w14:paraId="4334E3B5"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5F10625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Вы считаете, что деньги надо обменять, а торговля пусть останется такой, какой она есть сейчас.</w:t>
      </w:r>
    </w:p>
    <w:p w14:paraId="129A2177"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МАЛЕТИН</w:t>
      </w:r>
      <w:r w:rsidRPr="00925F26">
        <w:rPr>
          <w:color w:val="000000" w:themeColor="text1"/>
          <w:sz w:val="16"/>
          <w:szCs w:val="16"/>
        </w:rPr>
        <w:t>.</w:t>
      </w:r>
    </w:p>
    <w:p w14:paraId="3E0294F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Это диаметрально противоположное предложение, которое выдвигалось в прошлый раз.</w:t>
      </w:r>
    </w:p>
    <w:p w14:paraId="041AA80C"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ГОРДИН</w:t>
      </w:r>
      <w:r w:rsidRPr="00925F26">
        <w:rPr>
          <w:color w:val="000000" w:themeColor="text1"/>
          <w:sz w:val="16"/>
          <w:szCs w:val="16"/>
        </w:rPr>
        <w:t>.</w:t>
      </w:r>
    </w:p>
    <w:p w14:paraId="0DAD8AB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Несколько слов по поводу того, что предлагал т. Малетин. Мне кажется, что в прошлый раз предлагали цены повышать, сейчас предлагают цены понижать. В прошлый раз предлагалось повышать цены на нормированные товары и понижать коммерческие цены и найти какую-то середину, какое-то сближение и на этой основе произвести денежную реформу.</w:t>
      </w:r>
    </w:p>
    <w:p w14:paraId="55AE298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Сейчас предлагается понижать цены коммерческой торговли, причем понижение коммерческих цен [произвести] в очень незначительном размере, т. е. то же, что предлагалось прошлый раз и разницы здесь нет. Но разница заключается в том, что в прошлый раз предлагалось цены коммерческие снизить в 3-4 раза для того, чтобы найти среднее между коммерческой ценой и ценой нормированного снабжения, а сейчас предлагается снижение на 15-20%. По предыдущему варианту мы предлагали снизить цены в 3-4 раза, а теперь предлагается только на 15-20%. Следовательно, отличие этого варианта от предыдущего заключается, помимо того, что мы устраняем необходимость </w:t>
      </w:r>
      <w:proofErr w:type="gramStart"/>
      <w:r w:rsidRPr="00925F26">
        <w:rPr>
          <w:color w:val="000000" w:themeColor="text1"/>
          <w:sz w:val="16"/>
          <w:szCs w:val="16"/>
        </w:rPr>
        <w:t>шатания собственно</w:t>
      </w:r>
      <w:proofErr w:type="gramEnd"/>
      <w:r w:rsidRPr="00925F26">
        <w:rPr>
          <w:color w:val="000000" w:themeColor="text1"/>
          <w:sz w:val="16"/>
          <w:szCs w:val="16"/>
        </w:rPr>
        <w:t xml:space="preserve"> в зарплате и всех затруднений в хозяйственной деятельности, мы устраняем возможность обогащения тех лиц, которые имеют крупные суммы денег, так как мы снижаем коммерческие цены не в 3-4 раза, а только на 15-20%.</w:t>
      </w:r>
    </w:p>
    <w:p w14:paraId="157AE9B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Речь идет о том, что по мере появления товаров будет увеличено несколько карточное снабжение. Значит, никаких экономических противоречий нет. Мы обеспечиваем устойчивое положение до момента проведения реформы. Во всех хозяйственных расчетах обеспечивается такое положение, что люди, обладающие крупными денежными суммами, никакого обогащения получать не могут. Речь идет об очень скромном снижении товарного производства. Мне думается, что это в интересах широких слоев населения и в интересах всей экономики. В чем Вы правы, П.А. Мне лично представляется, что мы не можем отмахиваться вот от какого вопроса, что после окончания войны мы подходить будем к довоенному уровню товарооборота. Здесь вопрос о темпах проведения реформы, один из очень трудных вопросов. Товарооборот у нас развертывается довольно медленно. У нас прирост товаров в 1945 г., если посмотреть по областям, как он ложится, то мы убедимся, что прирост товаров скромный. Какие возможности после окончания войны. Я пытался подсчитать. Тут не получается большой величины, которая могла бы решить дело. Вопрос относительно того, когда мы сможем подойти к довоенному уровню товарооборота, это очень сложный вопрос. Сейчас у нас примерно половины довоенного уровня не достигает товарооборот. Если бы мы могли достигнуть 80-90% довоенного уровня. А если этот процесс затянется года на два, тогда имело бы смысл начать реформу несколько раньше. Это значит — начать выпуск новой валюты, не переходя целиком на новую валюту, выдавать заработную плату в новой валюте, т. е. мы могли бы осуществлять денежную реформу частично. Часть зарплаты давать в новой валюте, часть оборота перевести на новую валюту. Это дало бы нам возможность по мере роста товарных запасов направлять их целиком на удовлетворение нужд широких слоев населения в наиболее правильной форме открытой торговли.</w:t>
      </w:r>
    </w:p>
    <w:p w14:paraId="2765FA7D"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Но это чрезвычайно сложно. Повторяю, я лично не считаю, что это новшество. Я просто думаю, если исходить из того, что для достижения довоенного товарооборота потребуется год или два, то имеет смысл провести частичный обмен. Повторяю, основную позицию это нисколько не меняет.</w:t>
      </w:r>
    </w:p>
    <w:p w14:paraId="0E47466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5F65CC91"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Если ввести другую валюту параллельно со старой валютой, </w:t>
      </w:r>
      <w:proofErr w:type="gramStart"/>
      <w:r w:rsidRPr="00925F26">
        <w:rPr>
          <w:color w:val="000000" w:themeColor="text1"/>
          <w:sz w:val="16"/>
          <w:szCs w:val="16"/>
        </w:rPr>
        <w:t>то</w:t>
      </w:r>
      <w:proofErr w:type="gramEnd"/>
      <w:r w:rsidRPr="00925F26">
        <w:rPr>
          <w:color w:val="000000" w:themeColor="text1"/>
          <w:sz w:val="16"/>
          <w:szCs w:val="16"/>
        </w:rPr>
        <w:t xml:space="preserve"> где ее реализовать, получится неудобно.</w:t>
      </w:r>
    </w:p>
    <w:p w14:paraId="5F65B20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ГОРДИН</w:t>
      </w:r>
      <w:r w:rsidRPr="00925F26">
        <w:rPr>
          <w:color w:val="000000" w:themeColor="text1"/>
          <w:sz w:val="16"/>
          <w:szCs w:val="16"/>
        </w:rPr>
        <w:t>.</w:t>
      </w:r>
    </w:p>
    <w:p w14:paraId="5B6B0709"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Новую валюту можно реализовать, скажем, только в коммерческих магазинах, или в уплату за квартиру и т. д. Но я на этом не настаиваю, я думаю, что когда мы этим вопросом будем заниматься вплотную, то мы к этому подойдем.</w:t>
      </w:r>
    </w:p>
    <w:p w14:paraId="33F9DE5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Второй вопрос относительно курса. Мне кажется, что курс, который предлагает т. Дьяченко, — 1:10 не решает основной позиции. Мне лично кажется, если равняться не только на промышленные товары, а учитывать и продовольственные товары и учесть обогащение, которое могут иметь люди, имеющие большие средства, то можно было бы поднять этот курс значительно. Это надо будет уточнить, но сделать это возможно.</w:t>
      </w:r>
    </w:p>
    <w:p w14:paraId="13D3123D"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Третий момент — это вопрос ограничения обмена. Мне лично кажется, что мы этот момент слишком переоцениваем по очень простой причине. Значительные денежные суммы, которые получают спекулятивные элементы, превращаются ими в материальные ценности, и этого нельзя забывать. Мы ведь не можем перед проведением реформы закрыть рынок. Не следует забывать, что мы можем серьезно воздействовать на тех, кто располагает крупными денежными суммами, только обменом, что мы ограничим обмен. Мне лично кажется, что мы здесь достигнем весьма скромной цели. Я этим вовсе не хочу сказать, что надо отказаться от ограничения, но если мы хотим серьезно ударить по спекулянтам, то тут нужны другие меры.</w:t>
      </w:r>
    </w:p>
    <w:p w14:paraId="236F59D8"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01D68957"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Крупных денег у населения нет, они все равномерно распределены у определенных лиц.</w:t>
      </w:r>
    </w:p>
    <w:p w14:paraId="1E5F883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ГОРДИН</w:t>
      </w:r>
      <w:r w:rsidRPr="00925F26">
        <w:rPr>
          <w:color w:val="000000" w:themeColor="text1"/>
          <w:sz w:val="16"/>
          <w:szCs w:val="16"/>
        </w:rPr>
        <w:t>.</w:t>
      </w:r>
    </w:p>
    <w:p w14:paraId="51F9E6B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Я думаю, что у нас добрая половина денег находится на руках у владельцев, половина размещена у небольшого количества держателей денег, а у крупных держателей денег последние находятся все время в движении, они их размещают в материальные ценности.</w:t>
      </w:r>
    </w:p>
    <w:p w14:paraId="7B143265"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Тов.УРЮПИН.</w:t>
      </w:r>
    </w:p>
    <w:p w14:paraId="50DE56E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Я лично считаю, что предложение товарищей о проведении денежной реформы в тех конкретных соображениях является правильным. О том, что денежную реформу нужно проводить, я понял на прошлом совещании; этот вопрос мы считаем предрешенным. Я сначала долго не мог уловить соображения товарищей о двух вариантах. При одном варианте они предлагают обменивать по курсу 1:10, при другом 1:100. Тов. Дьяченко разъясняет, что это вопрос счетного порядка. Но тут можно как сделать. Если проводить денежную реформу на уровне существующих цен нормированного снабжения и оставить эти цены без пересмотра, оставить уровень заработной платы, то они предлагают обменный курс 1:10. Конечно, можно и при этом предложении проводить </w:t>
      </w:r>
      <w:proofErr w:type="gramStart"/>
      <w:r w:rsidRPr="00925F26">
        <w:rPr>
          <w:color w:val="000000" w:themeColor="text1"/>
          <w:sz w:val="16"/>
          <w:szCs w:val="16"/>
        </w:rPr>
        <w:t>реформу</w:t>
      </w:r>
      <w:proofErr w:type="gramEnd"/>
      <w:r w:rsidRPr="00925F26">
        <w:rPr>
          <w:color w:val="000000" w:themeColor="text1"/>
          <w:sz w:val="16"/>
          <w:szCs w:val="16"/>
        </w:rPr>
        <w:t xml:space="preserve"> не меняя существующего масштаба цен. Но мне казалось бы, что если проводить денежную реформу, то не следовало бы отсекать решения и таких вопросов, как масштаб цен, уровень заработной платы. Надо признать, что с уровнем заработной платы, с уровнем масштаба цен у нас положение далеко ненормальное.</w:t>
      </w:r>
    </w:p>
    <w:p w14:paraId="7CB9ED9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Поэтому мне казалось бы, что следует это дело связать с пересмотром уровня заработной платы и с пересмотром масштаба цен.</w:t>
      </w:r>
    </w:p>
    <w:p w14:paraId="03DD4AE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Я не понял т. Дьяченко, когда он ведет речь относительно пересмотра заработной платы, что этот пересмотр должен быть механический. Снизить — и точка.</w:t>
      </w:r>
    </w:p>
    <w:p w14:paraId="5B8F0922"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Здесь должна быть проделана довольно серьезная предварительная работа. Кстати орган, который бы этим мог заняться (Штатная комиссия) имеется, он капитально его подработает в отношении служащих и в отношении рабочих. Если нужно увеличить аппарат и создать какой-то специальный орган, это другой вопрос, но, мне думается, от этих мероприятий побочного порядка для денежной реформы не следовало бы отказываться.</w:t>
      </w:r>
    </w:p>
    <w:p w14:paraId="195E444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Следующее соображение я хотел бы высказать в отношении того, что товарищи предлагают в части цен на товары. Они ничего нового не предлагают. Они не предлагают снизить цены нормированного снабжения, они не предлагают повышать цены. Прошлый раз они предлагали цены нормированного снабжения повысить, а цены Особторга понижать и найти золотую середину, и [затем] понизить заработную плату.</w:t>
      </w:r>
    </w:p>
    <w:p w14:paraId="506F2DD7"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Сейчас предлагается цены нормированного снабжения ни повышать, ни понижать, следовательно, уровень заработной платы, который есть, — остается. Вопрос идет о снижении цен Особторга. Нового здесь ничего не придумано.</w:t>
      </w:r>
    </w:p>
    <w:p w14:paraId="543E723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Я себе не представляю, чтобы можно было денежную реформу провести таким порядком, как предлагает т. Малетин, т. е. произвести обмен, и на этом поставить точку.</w:t>
      </w:r>
    </w:p>
    <w:p w14:paraId="7AB06B0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Возьмите любую денежную реформу </w:t>
      </w:r>
      <w:proofErr w:type="gramStart"/>
      <w:r w:rsidRPr="00925F26">
        <w:rPr>
          <w:color w:val="000000" w:themeColor="text1"/>
          <w:sz w:val="16"/>
          <w:szCs w:val="16"/>
        </w:rPr>
        <w:t>из истории</w:t>
      </w:r>
      <w:proofErr w:type="gramEnd"/>
      <w:r w:rsidRPr="00925F26">
        <w:rPr>
          <w:color w:val="000000" w:themeColor="text1"/>
          <w:sz w:val="16"/>
          <w:szCs w:val="16"/>
        </w:rPr>
        <w:t xml:space="preserve"> и вы увидите, что всегда этому предшествовали определенные подготовительные мероприятия. Нельзя приостановить экономическую жизнь, нельзя приостановить торговлю, да это и не нужно. Возьмите 1944 г., в течение которого Особторг дал бюджету 8 млрд руб. из 10 млрд руб. Таким образом, мы в течение года изымаем 8 млрд руб., и от этого мы отказываться не можем, и для этого нет никаких оснований.</w:t>
      </w:r>
    </w:p>
    <w:p w14:paraId="5D074E4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Что происходит сейчас в Особторге? Если бы мы пустили торговлю текстилем и швейными изделиями без лимитных книжек, то не хватило бы никаких фондов. А поэтому и цены, вполне естественно, на промтовары установлены с таким расчетом, чтобы сдерживать предложение.</w:t>
      </w:r>
    </w:p>
    <w:p w14:paraId="7C52C62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lastRenderedPageBreak/>
        <w:t>Следующий момент. Тов. Малетин ставит так вопрос о создании материальных фондов. Возьмите Особторг, при данной денежной системе постановлением правительства установлено, что запасы должны быть до 6 месяцев, а иногда и больше, а в области нормированного снабжения, видимо, запасы должны составлять квартальный запас, так как иначе немыслима нормальная торговля, особенно при нашей разбросанной территории.</w:t>
      </w:r>
    </w:p>
    <w:p w14:paraId="0E8856C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Таким образом, тот разворот производства, который будет иметь место и который неизбежно будет, он найдет себя, во-первых, по линии Особторга, который будет расширяться, и во-вторых, нормированное снабжение должно с течением времени улучшаться, и поэтому можно перейти к довоенным материальным фондам для того, чтобы перейти на ненормированное снабжение. Кроме того, не секрет, что у нас по ряду продуктов запасы очень большие. Есть товарные запасы, которые составляют запасы на год, на два года. Почему мы боимся создания некоторых товарных запасов.</w:t>
      </w:r>
    </w:p>
    <w:p w14:paraId="1F76DCE7"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Поэтому те предложения, которые внес т. Дьяченко, не беря их в цифрах, в принципе правильны, но отдельные моменты следует уточнить.</w:t>
      </w:r>
    </w:p>
    <w:p w14:paraId="2E054902"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Теперь товарищи ставят вопрос относительно некоторого ограничения обмена даже при том курсе, который будет установлен 1:100. Я [тоже] склоняюсь к этому. Я думаю, ничего страшного не произойдет, если будут установлены ограничения. Причем они довольно эластично ставят вопрос, что [надо] не просто отказывать в обмене, а следует разобраться в этом, выявить лиц, которые незаконно обогатились. Вы, </w:t>
      </w:r>
      <w:proofErr w:type="gramStart"/>
      <w:r w:rsidRPr="00925F26">
        <w:rPr>
          <w:color w:val="000000" w:themeColor="text1"/>
          <w:sz w:val="16"/>
          <w:szCs w:val="16"/>
        </w:rPr>
        <w:t>А[</w:t>
      </w:r>
      <w:proofErr w:type="gramEnd"/>
      <w:r w:rsidRPr="00925F26">
        <w:rPr>
          <w:color w:val="000000" w:themeColor="text1"/>
          <w:sz w:val="16"/>
          <w:szCs w:val="16"/>
        </w:rPr>
        <w:t>рсений Григорьевич], говорите, что их можно обложить налогом. Это можно сделать, не меняя нашего налогового законодательства. Срок обложения за прошлое время у нас ограничен. Что касается спекулянтов и других лиц, которые незаконно накопили деньги и под налоговое обложение не подходят, так ведь это элементы спекулятивного порядка, их вылавливают, судят, конфискуют имущество, ценности и высылают. Я лично думаю, что эти случаи не будут массовыми. Скорее всего, что такой тип не пойдет с деньгами, а положит их в печку.</w:t>
      </w:r>
    </w:p>
    <w:p w14:paraId="1BCEA952"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Таким образом, я считаю, что товарищи правильно намечают это дело.</w:t>
      </w:r>
    </w:p>
    <w:p w14:paraId="62426F3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Остается вопрос — когда эту реформу проводить. Тов. Гордин считает, что то, что сейчас существует, и после войны некоторый промежуток продлится. Так ведь мы же здесь не определяем ни числа, ни месяца. Это покажет жизнь. Но те принципы, которые товарищи намечают, с жизнью не расходятся и вполне ясны.</w:t>
      </w:r>
    </w:p>
    <w:p w14:paraId="29B1E601"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Последнее замечание. Бесспорно, что если встать на последний курс 1:100, проводя денежную реформу, то нам нужно заранее работать над вопросом налогового обложения как в части налога с оборота, так и в части обложения населения.</w:t>
      </w:r>
    </w:p>
    <w:p w14:paraId="28D1775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РУБИНШТЕЙН</w:t>
      </w:r>
      <w:r w:rsidRPr="00925F26">
        <w:rPr>
          <w:color w:val="000000" w:themeColor="text1"/>
          <w:sz w:val="16"/>
          <w:szCs w:val="16"/>
        </w:rPr>
        <w:t>.</w:t>
      </w:r>
    </w:p>
    <w:p w14:paraId="06DC7A0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Я хотел начать с того вопроса, что сейчас начать: с денежной реформы или с отмены </w:t>
      </w:r>
      <w:proofErr w:type="gramStart"/>
      <w:r w:rsidRPr="00925F26">
        <w:rPr>
          <w:color w:val="000000" w:themeColor="text1"/>
          <w:sz w:val="16"/>
          <w:szCs w:val="16"/>
        </w:rPr>
        <w:t>карточек</w:t>
      </w:r>
      <w:proofErr w:type="gramEnd"/>
      <w:r w:rsidRPr="00925F26">
        <w:rPr>
          <w:color w:val="000000" w:themeColor="text1"/>
          <w:sz w:val="16"/>
          <w:szCs w:val="16"/>
        </w:rPr>
        <w:t xml:space="preserve"> Здесь дело не только в товарных запасах, но и в ряде других экономических предпосылок. Если взять опыт 1922-1924 гг., то надо сказать, что несмотря на то, что были и товарные резервы, и другие экономические условия, однако несомненно, что уже в 1926 г. у нас начались ненормальные явления в области товарооборота. С 1926 г., по существу, курс червонца начинает снижаться. Я думаю, что этот опыт надо будет учесть, и учесть очень серьезно. Если вы проводите реформу до того, как у вас будут товарные запасы, то кто вам поверит, что у вас через полгода, через год появятся товары. У вас сейчас же начнется ненормальное явление на рынке, немедленно начнется спекуляция и курс рубля не будет устойчивым.</w:t>
      </w:r>
    </w:p>
    <w:p w14:paraId="53416F0D"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Когда в 1935 г. мы отменили карточную систему, у нас запасы в московском универмаге составляли 120 дней, и это не только в московском универмаге, а во всех универсальных магазинах были такие запасы для того, чтобы можно было беспрепятственно удовлетворять спрос. Мы подойдем к реформе тогда, когда промышленность перейдет на мирные рельсы для того, чтобы обеспечить полное удовлетворение спроса населения. Без этого реформу проводить нельзя.</w:t>
      </w:r>
    </w:p>
    <w:p w14:paraId="104E14C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Теперь разрешите перейти к вопросу об обмене. Мне лично кажется, что Ваша мысль насчет введения налога представляется заманчивой. Меня смущает наше предложение об ограничении обмена, так как тут могут быть крупные недоразумения и здесь есть некоторая доля опасности. Если мы это будем проводить через Госбанк, то даже и при этом условии это будет связано с большими сложностями и неприятностями. Может быть, в самом деле ввести такой налог; это имело бы определенную форму.</w:t>
      </w:r>
    </w:p>
    <w:p w14:paraId="1E7FBB9C"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Очень многие спекулянты превращают свои накопления в материальные ценности, но все деньги вложить в товарные ценности невозможно. Тем, что мы будем ограничивать, нам не удастся достигнуть преследуемой нами цели.</w:t>
      </w:r>
    </w:p>
    <w:p w14:paraId="254D14A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Я согласен с предложением т. Гордина установить еще более повышенный курс, чем 100. В этом случае мы сможем добиться больших результатов.</w:t>
      </w:r>
    </w:p>
    <w:p w14:paraId="191F3C38"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Для того, чтобы готовиться к реформе, нужно не только иметь достаточные товарные запасы, но нужно провести ряд серьезных мероприятий по укреплению хозрасчета. Я здесь имею в виду три момента. Во-первых, система материального снабжения, так называемая децентрализованная система снабжения, которая существует при каждом заводе. Нам нужно от нее избавиться. Второй момент, имеющий большое значение, — это система оплаты труда наших руководящих хозяйственных работников. Здесь нам нужно готовиться к тому, чтобы создать новые штаты, новые ставки для оплаты этого контингента работников. Третий момент, это вопрос кредитования, так как все те моменты, которые существуют в этом отношении в настоящее время, они будут очень тяжело ощущаться при проведении реформы. Вы, Арсений Григорьевич, на днях подписали приказ, обязывающий фин-органы требовать, чтобы поставщики выписывали счета за товары, вот до чего мы дошли. Этот третий момент имеет огромное значение во всей нашей работе. Мне кажется, что одновременно с подготовкой к реформе было бы целесообразно и рационально проводить реформу и в этом отношении, так как без этого денежную реформу проводить будет преждевременно.</w:t>
      </w:r>
    </w:p>
    <w:p w14:paraId="5E55DE2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СЛАВНЫЙ.</w:t>
      </w:r>
    </w:p>
    <w:p w14:paraId="1F374AC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Мне кажется, что тезисы тов. Дьяченко слабо оттенили или совсем не оттенили два положения. Первое положение связано с размещением денежной массы, находящейся в обращении среди отдельных групп населения. Конечно, правилен тот тезис, что сейчас особенно деньги будут притекать к наиболее состоятельным торгово-спекулятивным элементам. Но все же отрицать, что деньги не находятся у трудящихся масс, нельзя. Если вы проанализируете денежное обращение за годы войны, вы убедитесь, что первое время до середины 1941 г. деньги располагаются у широких слоев населения. Бюджет рабочих и служащих за последние месяцы показывает, что в городе сейчас растут денежные остатки. В тезисах сказано, что деньги размещаются у торгово-скупочных элементов. Это не так. Деньги в наших условиях находятся у большой массы широких слоев населения. Трудно отделить трудовые деньги от нетрудовых. 4-5 млрд руб. будут вклады военнослужащих, имеются вклады довоенные. Нам при сдельно-премиальной оплате труда инженерно-технических работников не так просто решить этот вопрос. Здесь имеется немало социальных причин.</w:t>
      </w:r>
    </w:p>
    <w:p w14:paraId="273D0711" w14:textId="3947D589"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 xml:space="preserve">Второе замечание — это вопрос по поводу использования системы Особторга. На том совещании получилось такое мнение, что Особторг не играет роли по изъятию денег из обращения. А скажите, что это из 116 млрд руб., которые мы получили в 1944 г., около 50 млрд руб. — это ценовые надбавки. А в 1945 г. мы будем иметь в этих 140 млрд руб. около 65 млрд руб. ценовых надбавок. Кроме того, учтите, что в 1945 г. были изъяты деньги из обращения. </w:t>
      </w:r>
      <w:proofErr w:type="gramStart"/>
      <w:r w:rsidRPr="00925F26">
        <w:rPr>
          <w:color w:val="000000" w:themeColor="text1"/>
          <w:sz w:val="16"/>
          <w:szCs w:val="16"/>
        </w:rPr>
        <w:t>Дальше</w:t>
      </w:r>
      <w:proofErr w:type="gramEnd"/>
      <w:r w:rsidRPr="00925F26">
        <w:rPr>
          <w:color w:val="000000" w:themeColor="text1"/>
          <w:sz w:val="16"/>
          <w:szCs w:val="16"/>
        </w:rPr>
        <w:t xml:space="preserve"> как будет происходить дело. В ближайшее время Ленд-лиз</w:t>
      </w:r>
      <w:hyperlink r:id="rId61" w:anchor="bookmark3" w:history="1">
        <w:r w:rsidRPr="00925F26">
          <w:rPr>
            <w:rStyle w:val="a5"/>
            <w:rFonts w:eastAsiaTheme="majorEastAsia"/>
            <w:color w:val="000000" w:themeColor="text1"/>
            <w:sz w:val="16"/>
            <w:szCs w:val="16"/>
            <w:vertAlign w:val="superscript"/>
          </w:rPr>
          <w:t>*</w:t>
        </w:r>
      </w:hyperlink>
      <w:r w:rsidRPr="00925F26">
        <w:rPr>
          <w:color w:val="000000" w:themeColor="text1"/>
          <w:sz w:val="16"/>
          <w:szCs w:val="16"/>
          <w:vertAlign w:val="superscript"/>
        </w:rPr>
        <w:t>***</w:t>
      </w:r>
      <w:proofErr w:type="gramStart"/>
      <w:r w:rsidRPr="00925F26">
        <w:rPr>
          <w:color w:val="000000" w:themeColor="text1"/>
          <w:sz w:val="16"/>
          <w:szCs w:val="16"/>
          <w:vertAlign w:val="superscript"/>
        </w:rPr>
        <w:t>*</w:t>
      </w:r>
      <w:r w:rsidR="00997EDF" w:rsidRPr="00925F26">
        <w:rPr>
          <w:color w:val="000000" w:themeColor="text1"/>
          <w:sz w:val="16"/>
          <w:szCs w:val="16"/>
        </w:rPr>
        <w:t xml:space="preserve">  </w:t>
      </w:r>
      <w:r w:rsidRPr="00925F26">
        <w:rPr>
          <w:color w:val="000000" w:themeColor="text1"/>
          <w:sz w:val="16"/>
          <w:szCs w:val="16"/>
        </w:rPr>
        <w:t>окажет</w:t>
      </w:r>
      <w:proofErr w:type="gramEnd"/>
      <w:r w:rsidRPr="00925F26">
        <w:rPr>
          <w:color w:val="000000" w:themeColor="text1"/>
          <w:sz w:val="16"/>
          <w:szCs w:val="16"/>
        </w:rPr>
        <w:t xml:space="preserve"> влияние. Мне кажется, что нам придется использовать систему Особторга не только через продтовары, а и через систему промтоваров. Придется снижать цены.</w:t>
      </w:r>
    </w:p>
    <w:p w14:paraId="6B44EF4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Не может быть такого перехода, такого курса, как 1:10. Это затронет, прежде всего, трудящихся нашей страны. Поэтому нужно будет взять курс не 1:10, а будет хорошо, если мы возьмем 1:3 или 1:4 и больше нам не потребуется. Это — во-первых.</w:t>
      </w:r>
    </w:p>
    <w:p w14:paraId="4E9CDB19"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Во-вторых, вот здесь все время говорят о капиталистических элементах. Я не знаю почему, но забывают другие группы трудящихся, которые имеют накопления и которые при обмене будут иметь десятки тысяч руб., сюда надо включить лауреатов, военнослужащих и др.</w:t>
      </w:r>
    </w:p>
    <w:p w14:paraId="728E399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Затем надо внести поправку в проект группы в том, что расширение торговли Особторга может быть ограничено только одними продовольственными товарами. Мне кажется, что не совсем правильно показано соотношение цен 1:18 по продовольственным товарам и 1:8 по промтоварам. Это взяты колхозные цены. Если взять колхозные цены по отношению к госторговле, то соотношение будет другое.</w:t>
      </w:r>
    </w:p>
    <w:p w14:paraId="5544BBE2"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Нам придется очень широко использовать систему Особторга, и тогда мы придем к такому соотношению. В конце концов спекулятивный элемент свои свободные деньги вкладывает в материальные ценности, это происходило, происходит и будет происходить в разных формах.</w:t>
      </w:r>
    </w:p>
    <w:p w14:paraId="48E8BF8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p>
    <w:p w14:paraId="240812C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Мы все еще ищем принципы, методы, как проводить денежную реформу. Мне кажется, что последний вариант в основном дает возможность искать базу проведения денежной реформы. Этот вариант исключает то, что предлагали прошлый раз, когда нужно было поднять цены, поднять заработную плату и тем самым обесценить наличные деньги у населения.</w:t>
      </w:r>
    </w:p>
    <w:p w14:paraId="64C6393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Положение у нас такое, что тот вариант не подходит, имея в виду, что бюджет у нас бездефицитный за 1944 г., в 1945 г. предполагается, что не будет эмиссии, дело идет к концу войны и не следует вводить такой ломки. Поэтому то, что сейчас предлагается, оно исключает такое положение. Базы для спора тут нет. Конечно, к каждой реформе необходимо подготовиться. Я рассматриваю денежную реформу как самоцель того периода, когда она проводится, безотносительно того, что будет в дальнейшем. Конечно, можно и то, что вы предлагаете, т. Малетин, но денежная реформа предполагает порядочное будущее в экономике, в денежном обращении и проч. А если мы хотим обеспечить порядочное будущее в смысле товарооборота, в смысле денежного обращения не только инструкциями и письмами, но и товарами, [то] безусловно, необходима отмена карточной системы, [а] это значит наличие запаса товаров.</w:t>
      </w:r>
    </w:p>
    <w:p w14:paraId="238E88D1"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Тут вопрос о соотношении 1:10 в ценах и в зарплате, 1:100 в обмене, вопросы сугубо принципиальные и большие. Что здесь у нас такого острого. Можно ли просто подойти ко всему населению с курсом 1:100 или нет. Я беру в принципе. У населения денег больше, чем было раньше, но деньги расположены у всего населения неравномерно. Во всяком случае, у меньшего количества населения большинство денег находится. Это ясно. Поэтому какой-то группе населения, в основном из рабочих, может быть, следует установить льготу при обмене. Это еще нужно продумать. Потом, если допускается предложение т. Дьяченко: «обменять или не обменять», и это предоставляется на решение каким-то комиссиям, то, может быть, поскольку эти комиссии будут повсеместно, каждая комиссия будет делать по-своему. Тут нужно дать что-то централизованное, может быть, в форме налога. Но мне кажется, что ограничения следовало бы ввести. Налог в этом отношении вреда никакого не принесет. Нужно ли это давать в форме административной репрессии? Но ведь был же у нас налог на сверхприбыль. Во всяком случае, по существу, необходимо, чтобы какие-то меры ограничения были приняты.</w:t>
      </w:r>
    </w:p>
    <w:p w14:paraId="2E23817C"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lastRenderedPageBreak/>
        <w:t>Я думаю, что на основе того, что здесь предложено, можно будет разработать первый вариант записки и предложения. Причем здесь надо более конкретно сказать, если вы ставите определенный порядок обмена, надо по группам населения выделить, где и как будет. Здесь надо будет решить вопрос по займу, по вкладам.</w:t>
      </w:r>
    </w:p>
    <w:p w14:paraId="232B376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Я думаю так, давайте первый вариант записки попробуем составить на базе этого варианта. В этой записке нужно сказать, какие вы знаете примеры из истории нашей советской действительности по упорядочению денежного хозяйства, какие могут быть варианты, какие отрицательные, какие положительные и дать последний вариант и обосновать его соответствующими мотивами.</w:t>
      </w:r>
    </w:p>
    <w:p w14:paraId="4BFA5871"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ГОЛЕВ</w:t>
      </w:r>
      <w:r w:rsidRPr="00925F26">
        <w:rPr>
          <w:color w:val="000000" w:themeColor="text1"/>
          <w:sz w:val="16"/>
          <w:szCs w:val="16"/>
        </w:rPr>
        <w:t>.</w:t>
      </w:r>
    </w:p>
    <w:p w14:paraId="5E1FCCF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У меня есть сомнение такого порядка. Этот проект предусматривает проведение денежной реформы, когда будет отменена карточная система. Мне кажется, что [и] при наличии карточной системы и более высоком уровне снабжения по карточкам мыслимо проведение денежной реформы. Мне кажется, что мыслимо и такое положение, что с отменой карточной системы не нужно торопиться. Будем улучшать снабжение по карточкам, а отменять карточную систему не будем.</w:t>
      </w:r>
    </w:p>
    <w:p w14:paraId="050687A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Я считаю, что формулировать нужно не так. Карточная система у нас может быть еще долго, но ничего не будет страшного, если у нас будут двойные цены на хлеб и т. д.</w:t>
      </w:r>
    </w:p>
    <w:p w14:paraId="668FEC49"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3A6890B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Проводить денежную реформу при наличии нормированной торговли — это бессмысленное дело потому, что все наше народное хозяйство, за исключением колхозного сектора и разных частных сапожников, основано на ценах, на которые не влияет эта рыночная цена. Значит, хозяйство основано на твердых ценах.</w:t>
      </w:r>
    </w:p>
    <w:p w14:paraId="5883F73F"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ГОРДИН</w:t>
      </w:r>
      <w:r w:rsidRPr="00925F26">
        <w:rPr>
          <w:color w:val="000000" w:themeColor="text1"/>
          <w:sz w:val="16"/>
          <w:szCs w:val="16"/>
        </w:rPr>
        <w:t>.</w:t>
      </w:r>
    </w:p>
    <w:p w14:paraId="59B10C05"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Должно быть ясно вот что, что окончится война, и у нас на протяжении года или двух лет не будет тех товарных фондов, которые были до войны.</w:t>
      </w:r>
    </w:p>
    <w:p w14:paraId="7826F760"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09ED1CB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Предложение т. Малетина неправильно, так как, для того, чтобы провести денежную реформу, нужно готовиться год-полтора с точки зрения техники. Если же у нас фонды будут расти, то мы будем давать больше товаров по карточкам. Готовиться к денежной реформе во время войны нельзя, к этому надо готовиться после окончания войны. Конечно, у нас после войны должно быть увеличено снабжение населения и после окончания войны сократится ажиотаж спекулянтов, а деньги у населения будут.</w:t>
      </w:r>
    </w:p>
    <w:p w14:paraId="6873F957"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МАЛЕТИН</w:t>
      </w:r>
      <w:r w:rsidRPr="00925F26">
        <w:rPr>
          <w:color w:val="000000" w:themeColor="text1"/>
          <w:sz w:val="16"/>
          <w:szCs w:val="16"/>
        </w:rPr>
        <w:t>.</w:t>
      </w:r>
    </w:p>
    <w:p w14:paraId="44315C6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Резкое увеличение спроса резко понизит коммерческие цены, хотите вы этого или не хотите, и тот, кто располагает большими средствами, сумеет использовать их.</w:t>
      </w:r>
    </w:p>
    <w:p w14:paraId="34B3383C"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5A81149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Надо цены держать на соответствующем уровне.</w:t>
      </w:r>
    </w:p>
    <w:p w14:paraId="24FFA093"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ГОРДИН</w:t>
      </w:r>
      <w:r w:rsidRPr="00925F26">
        <w:rPr>
          <w:color w:val="000000" w:themeColor="text1"/>
          <w:sz w:val="16"/>
          <w:szCs w:val="16"/>
        </w:rPr>
        <w:t>.</w:t>
      </w:r>
    </w:p>
    <w:p w14:paraId="7DBFF852"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Допустим, что мы будем проводить денежную реформу через два года после окончания войны. К этому времени мы придем к довоенному уровню оборота и сможем завершить процесс обмена. Значит, у нас два года будет проходить на подготовку, у нас будут условия для того, чтобы из квартала в квартал увеличивать товарные массы. Как только будет отменена карточная система, цены в Особторге надо будет резко снижать, и мы тогда не сможем обеспечить экономические предпосылки для высокого курса.</w:t>
      </w:r>
    </w:p>
    <w:p w14:paraId="48A6689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Мне лично думается, что мы сможем после окончания войны, спустя некоторое время, выпускать новые деньги, не производя никакого обмена, скажем, во время выплаты зарплаты 20% выдавать в новой валюте.</w:t>
      </w:r>
    </w:p>
    <w:p w14:paraId="330713A4"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Сейчас на эту тему спорить не стоит, но я думаю, что мы к ней вернемся, когда будем обсуждать вопрос об улучшении снабжения товарами.</w:t>
      </w:r>
    </w:p>
    <w:p w14:paraId="3189498E"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ДЬЯЧЕНКО</w:t>
      </w:r>
      <w:r w:rsidRPr="00925F26">
        <w:rPr>
          <w:color w:val="000000" w:themeColor="text1"/>
          <w:sz w:val="16"/>
          <w:szCs w:val="16"/>
        </w:rPr>
        <w:t>.</w:t>
      </w:r>
    </w:p>
    <w:p w14:paraId="7AD7914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Для того, чтобы выпустить новые деньги в обращение и определить их достоинство, нужно, чтобы текущие доходы населения отоваривались. Мы должны иметь такой товарооборот, чтобы новые текущие доходы населения в новой валюте отоваривались. Это значит создать условия для отмены карточной системы. Но отмена карточной системы предполагает два момента: во-первых, нужно соответствующее увеличение размера товарной массы, во-вторых, нужно изъять лишние деньги из обращения. Денежная реформа изымает лишние деньги из обращения, этим способствует отмене карточной системы.</w:t>
      </w:r>
    </w:p>
    <w:p w14:paraId="3AEDD9BD"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u w:val="single"/>
        </w:rPr>
        <w:t>Тов. ЗВЕРЕВ</w:t>
      </w:r>
      <w:r w:rsidRPr="00925F26">
        <w:rPr>
          <w:color w:val="000000" w:themeColor="text1"/>
          <w:sz w:val="16"/>
          <w:szCs w:val="16"/>
        </w:rPr>
        <w:t>.</w:t>
      </w:r>
    </w:p>
    <w:p w14:paraId="51C70C4A"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Вот давайте готовьте окончательную записку и предложения, а потом соберемся и посмотрим.</w:t>
      </w:r>
    </w:p>
    <w:p w14:paraId="5C2F4A8C" w14:textId="58BBDC0C" w:rsidR="00950F76" w:rsidRPr="00925F26" w:rsidRDefault="00997EDF" w:rsidP="00925F26">
      <w:pPr>
        <w:pStyle w:val="rtejustify"/>
        <w:spacing w:before="0" w:after="0"/>
        <w:rPr>
          <w:color w:val="000000" w:themeColor="text1"/>
          <w:sz w:val="16"/>
          <w:szCs w:val="16"/>
        </w:rPr>
      </w:pPr>
      <w:r w:rsidRPr="00925F26">
        <w:rPr>
          <w:color w:val="000000" w:themeColor="text1"/>
          <w:sz w:val="16"/>
          <w:szCs w:val="16"/>
        </w:rPr>
        <w:t xml:space="preserve">  </w:t>
      </w:r>
    </w:p>
    <w:p w14:paraId="1D4BCAA2" w14:textId="1F916233" w:rsidR="00950F76" w:rsidRPr="00925F26" w:rsidRDefault="00950F76" w:rsidP="00925F26">
      <w:pPr>
        <w:pStyle w:val="rtejustify"/>
        <w:spacing w:before="0" w:after="0"/>
        <w:rPr>
          <w:color w:val="000000" w:themeColor="text1"/>
          <w:sz w:val="16"/>
          <w:szCs w:val="16"/>
        </w:rPr>
      </w:pPr>
      <w:hyperlink r:id="rId62" w:anchor="footnote2" w:history="1">
        <w:r w:rsidRPr="00925F26">
          <w:rPr>
            <w:rStyle w:val="a5"/>
            <w:rFonts w:eastAsiaTheme="majorEastAsia"/>
            <w:color w:val="000000" w:themeColor="text1"/>
            <w:sz w:val="16"/>
            <w:szCs w:val="16"/>
            <w:vertAlign w:val="superscript"/>
          </w:rPr>
          <w:t>*</w:t>
        </w:r>
      </w:hyperlink>
      <w:r w:rsidR="00997EDF" w:rsidRPr="00925F26">
        <w:rPr>
          <w:color w:val="000000" w:themeColor="text1"/>
          <w:sz w:val="16"/>
          <w:szCs w:val="16"/>
          <w:vertAlign w:val="superscript"/>
        </w:rPr>
        <w:t xml:space="preserve">  </w:t>
      </w:r>
      <w:r w:rsidRPr="00925F26">
        <w:rPr>
          <w:color w:val="000000" w:themeColor="text1"/>
          <w:sz w:val="16"/>
          <w:szCs w:val="16"/>
        </w:rPr>
        <w:t>Вследствие неудачной стенографической записи часть текста документа потребовала существенной редакторской правки.</w:t>
      </w:r>
    </w:p>
    <w:p w14:paraId="7FA9604C"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vertAlign w:val="superscript"/>
        </w:rPr>
        <w:t>**</w:t>
      </w:r>
      <w:r w:rsidRPr="00925F26">
        <w:rPr>
          <w:color w:val="000000" w:themeColor="text1"/>
          <w:sz w:val="16"/>
          <w:szCs w:val="16"/>
        </w:rPr>
        <w:t>Так в тексте документа. Видимо, правильно: 10.</w:t>
      </w:r>
    </w:p>
    <w:p w14:paraId="1FE02D56"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vertAlign w:val="superscript"/>
        </w:rPr>
        <w:t>***</w:t>
      </w:r>
      <w:r w:rsidRPr="00925F26">
        <w:rPr>
          <w:color w:val="000000" w:themeColor="text1"/>
          <w:sz w:val="16"/>
          <w:szCs w:val="16"/>
        </w:rPr>
        <w:t>Выступающий имеет в виду участие сотрудников обменных пунктов в проверке законности получения клиентами крупных сумм денег.</w:t>
      </w:r>
    </w:p>
    <w:p w14:paraId="7637FB1B" w14:textId="77777777" w:rsidR="00950F76" w:rsidRPr="00925F26" w:rsidRDefault="00950F76" w:rsidP="00925F26">
      <w:pPr>
        <w:pStyle w:val="rtejustify"/>
        <w:spacing w:before="0" w:after="0"/>
        <w:rPr>
          <w:color w:val="000000" w:themeColor="text1"/>
          <w:sz w:val="16"/>
          <w:szCs w:val="16"/>
        </w:rPr>
      </w:pPr>
      <w:r w:rsidRPr="00925F26">
        <w:rPr>
          <w:color w:val="000000" w:themeColor="text1"/>
          <w:sz w:val="16"/>
          <w:szCs w:val="16"/>
        </w:rPr>
        <w:t>****Видимо, ввиду неудачной стенографической записи, поднятый В.П. Дьяченко вопрос об эмиссии не получил отражения в стенограмме совещания.</w:t>
      </w:r>
    </w:p>
    <w:p w14:paraId="5CA923DB" w14:textId="33629DA4" w:rsidR="00950F76" w:rsidRPr="00925F26" w:rsidRDefault="00950F76" w:rsidP="00925F26">
      <w:pPr>
        <w:pStyle w:val="rtejustify"/>
        <w:spacing w:before="0" w:after="0"/>
        <w:rPr>
          <w:color w:val="000000" w:themeColor="text1"/>
          <w:sz w:val="16"/>
          <w:szCs w:val="16"/>
        </w:rPr>
      </w:pPr>
      <w:hyperlink r:id="rId63" w:anchor="footnote4" w:history="1">
        <w:r w:rsidRPr="00925F26">
          <w:rPr>
            <w:rStyle w:val="a5"/>
            <w:rFonts w:eastAsiaTheme="majorEastAsia"/>
            <w:color w:val="000000" w:themeColor="text1"/>
            <w:sz w:val="16"/>
            <w:szCs w:val="16"/>
          </w:rPr>
          <w:t>*</w:t>
        </w:r>
      </w:hyperlink>
      <w:r w:rsidRPr="00925F26">
        <w:rPr>
          <w:color w:val="000000" w:themeColor="text1"/>
          <w:sz w:val="16"/>
          <w:szCs w:val="16"/>
        </w:rPr>
        <w:t>***</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Ленд</w:t>
      </w:r>
      <w:proofErr w:type="gramEnd"/>
      <w:r w:rsidRPr="00925F26">
        <w:rPr>
          <w:color w:val="000000" w:themeColor="text1"/>
          <w:sz w:val="16"/>
          <w:szCs w:val="16"/>
        </w:rPr>
        <w:t>-лиз — программа поставок взаймы Соединенными Штатами Америки вооружений, промышленного оборудования, сырья, продовольствия и проч. союзным с ними государствам в годы Второй мировой войны. Официально поставки по Ленд-лизу были прекращены с 12 мая 1945 г.</w:t>
      </w:r>
    </w:p>
    <w:bookmarkStart w:id="9" w:name="_ftn1.1"/>
    <w:p w14:paraId="5FD17BDF" w14:textId="4B686483" w:rsidR="00950F76" w:rsidRPr="00925F26" w:rsidRDefault="00A371FF" w:rsidP="00925F26">
      <w:pPr>
        <w:pStyle w:val="rtejustify"/>
        <w:spacing w:before="0" w:after="0"/>
        <w:rPr>
          <w:color w:val="000000" w:themeColor="text1"/>
          <w:sz w:val="16"/>
          <w:szCs w:val="16"/>
        </w:rPr>
      </w:pPr>
      <w:r w:rsidRPr="00925F26">
        <w:rPr>
          <w:color w:val="000000" w:themeColor="text1"/>
          <w:sz w:val="16"/>
          <w:szCs w:val="16"/>
        </w:rPr>
        <w:fldChar w:fldCharType="begin"/>
      </w:r>
      <w:r w:rsidR="00950F76" w:rsidRPr="00925F26">
        <w:rPr>
          <w:color w:val="000000" w:themeColor="text1"/>
          <w:sz w:val="16"/>
          <w:szCs w:val="16"/>
        </w:rPr>
        <w:instrText xml:space="preserve"> HYPERLINK "http://istmat.info/node/62476" \l "_ftn1" </w:instrText>
      </w:r>
      <w:r w:rsidRPr="00925F26">
        <w:rPr>
          <w:color w:val="000000" w:themeColor="text1"/>
          <w:sz w:val="16"/>
          <w:szCs w:val="16"/>
        </w:rPr>
      </w:r>
      <w:r w:rsidRPr="00925F26">
        <w:rPr>
          <w:color w:val="000000" w:themeColor="text1"/>
          <w:sz w:val="16"/>
          <w:szCs w:val="16"/>
        </w:rPr>
        <w:fldChar w:fldCharType="separate"/>
      </w:r>
      <w:r w:rsidR="00950F76" w:rsidRPr="00925F26">
        <w:rPr>
          <w:rStyle w:val="a5"/>
          <w:rFonts w:eastAsiaTheme="majorEastAsia"/>
          <w:color w:val="000000" w:themeColor="text1"/>
          <w:sz w:val="16"/>
          <w:szCs w:val="16"/>
          <w:vertAlign w:val="superscript"/>
        </w:rPr>
        <w:t>18</w:t>
      </w:r>
      <w:r w:rsidR="00997EDF" w:rsidRPr="00925F26">
        <w:rPr>
          <w:rStyle w:val="a5"/>
          <w:rFonts w:eastAsiaTheme="majorEastAsia"/>
          <w:color w:val="000000" w:themeColor="text1"/>
          <w:sz w:val="16"/>
          <w:szCs w:val="16"/>
          <w:vertAlign w:val="superscript"/>
        </w:rPr>
        <w:t xml:space="preserve">  </w:t>
      </w:r>
      <w:r w:rsidRPr="00925F26">
        <w:rPr>
          <w:color w:val="000000" w:themeColor="text1"/>
          <w:sz w:val="16"/>
          <w:szCs w:val="16"/>
        </w:rPr>
        <w:fldChar w:fldCharType="end"/>
      </w:r>
      <w:bookmarkEnd w:id="9"/>
      <w:r w:rsidR="00950F76" w:rsidRPr="00925F26">
        <w:rPr>
          <w:color w:val="000000" w:themeColor="text1"/>
          <w:sz w:val="16"/>
          <w:szCs w:val="16"/>
        </w:rPr>
        <w:t>Конверсия займов — замена выпущенных ранее займов на новые с целью удлинения сроков кредита и изменения размера заемного процента, как прави</w:t>
      </w:r>
      <w:r w:rsidR="00950F76" w:rsidRPr="00925F26">
        <w:rPr>
          <w:color w:val="000000" w:themeColor="text1"/>
          <w:sz w:val="16"/>
          <w:szCs w:val="16"/>
        </w:rPr>
        <w:softHyphen/>
        <w:t>ло, в сторону его понижения. В 1936 г. конверсия была проведена одновремен</w:t>
      </w:r>
      <w:r w:rsidR="00950F76" w:rsidRPr="00925F26">
        <w:rPr>
          <w:color w:val="000000" w:themeColor="text1"/>
          <w:sz w:val="16"/>
          <w:szCs w:val="16"/>
        </w:rPr>
        <w:softHyphen/>
        <w:t>но с выпуском Государственного внутреннего займа второй пятилетки (выпуск четвертого года). На облигации этого займа были обменены облигации ранее размещенных по подписке государственных займов. В результате конверсии срок займов был удлинен с 10 до 20 лет и размер процента снижен до 4. В связи с тем что в годы Великой Отечественной войны значительно увеличился государственный долг, в 1947 г. после проведения денежной реформы была осущест</w:t>
      </w:r>
      <w:r w:rsidR="00950F76" w:rsidRPr="00925F26">
        <w:rPr>
          <w:color w:val="000000" w:themeColor="text1"/>
          <w:sz w:val="16"/>
          <w:szCs w:val="16"/>
        </w:rPr>
        <w:softHyphen/>
        <w:t>влена следующая конверсия займов. Облигации одиннадцати конверсируемых займов обменивались на облигации нового Государственного 2 %-ного займа 1948 г., выпущенного на 20 лег, по соотношению: 3 руб. в облигациях ранее вы</w:t>
      </w:r>
      <w:r w:rsidR="00950F76" w:rsidRPr="00925F26">
        <w:rPr>
          <w:color w:val="000000" w:themeColor="text1"/>
          <w:sz w:val="16"/>
          <w:szCs w:val="16"/>
        </w:rPr>
        <w:softHyphen/>
        <w:t>пущенных займов на 1 руб. в облигациях нового займа (при том, что обмен наличных старых денег на новые производился по соотношению 10:1). Одновре</w:t>
      </w:r>
      <w:r w:rsidR="00950F76" w:rsidRPr="00925F26">
        <w:rPr>
          <w:color w:val="000000" w:themeColor="text1"/>
          <w:sz w:val="16"/>
          <w:szCs w:val="16"/>
        </w:rPr>
        <w:softHyphen/>
        <w:t>менно была проведена конверсия свободно обращавшегося Государственного внутреннего выигрышного займа 1938 г. Облигации этого займа обменивались в сроки, установленные для обмена наличных денег, на облигации нового сво</w:t>
      </w:r>
      <w:r w:rsidR="00950F76" w:rsidRPr="00925F26">
        <w:rPr>
          <w:color w:val="000000" w:themeColor="text1"/>
          <w:sz w:val="16"/>
          <w:szCs w:val="16"/>
        </w:rPr>
        <w:softHyphen/>
        <w:t>бодно обращающегося Государственного 3 %-ного внутреннего выигрышного займа по соотношению: 5 руб. в облигациях Государственного займа 1938 г. на 1 руб. в облигациях Государственного 3 %-ного займа (19780).</w:t>
      </w:r>
    </w:p>
    <w:p w14:paraId="028A08C3" w14:textId="77777777" w:rsidR="00950F76" w:rsidRPr="00925F26" w:rsidRDefault="00950F76" w:rsidP="00925F26">
      <w:pPr>
        <w:pStyle w:val="ae"/>
        <w:spacing w:before="0" w:after="0"/>
        <w:jc w:val="both"/>
        <w:rPr>
          <w:color w:val="000000" w:themeColor="text1"/>
          <w:sz w:val="16"/>
          <w:szCs w:val="16"/>
        </w:rPr>
      </w:pPr>
    </w:p>
    <w:p w14:paraId="047EBFC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D905C8A" w14:textId="77777777" w:rsidR="00665165" w:rsidRPr="00925F26" w:rsidRDefault="00665165" w:rsidP="00925F26">
      <w:pPr>
        <w:autoSpaceDE w:val="0"/>
        <w:autoSpaceDN w:val="0"/>
        <w:adjustRightInd w:val="0"/>
        <w:jc w:val="both"/>
        <w:rPr>
          <w:iCs/>
          <w:color w:val="000000" w:themeColor="text1"/>
          <w:sz w:val="16"/>
          <w:szCs w:val="16"/>
        </w:rPr>
      </w:pPr>
    </w:p>
    <w:p w14:paraId="763AC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марта 1945 года</w:t>
      </w:r>
    </w:p>
    <w:p w14:paraId="490DE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ЛИЧНО И СЕКРЕТНО ОТ ПРЕМЬЕРА И. В. СТАЛИНА ПРЕЗИДЕНТУ г-ну Ф. РУЗВЕЛЬТУ</w:t>
      </w:r>
    </w:p>
    <w:p w14:paraId="366E43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Получил Ваше послание от 4 марта по вопросу о военнопленных. Я еще раз посоветовался с нашими местными представителями, занимающимися этими вопросами, и должен сообщить Вам следующее.</w:t>
      </w:r>
    </w:p>
    <w:p w14:paraId="3F3145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Трудности, с которыми приходилось встречаться на первых этапах в деле быстрой эвакуации американских военнопленных, когда они находились в зонах непосредственных военных действий, сейчас значительно уменьшились. В настоящее время специально созданный Советским Правительством аппарат по делам иностранных военнопленных располагает соответствующим количеством людей, транспортных средств и продовольствия, и каждый раз, когда обнаруживаются новые партии американских военнопленных, незамедлительно принимаются меры к оказанию помощи этим военнопленным и к их эвакуации в сборные пункты для последующей репатриации. По сведениям, которыми располагает Советское Правительство на сегодняшний день, на территории Польши и в других местах, освобожденных Красной Армией, нет скопления американских военнопленных, так как все они, за исключением одиночных больных, которые находятся в госпиталях, направлены в сборный пункт в Одессе, куда уже прибыло 1200 американских военнопленных и в ближайшее время ожидается прибытие остальных. В силу этого при данных обстоятельствах отпадает необходимость совершать рейсы американских самолетов из Полтавы на территорию Польши по делам американских военнопленных. Вы можете быть уверены, что соответствующие меры будут немедленно приниматься и в отношении экипажей американских самолетов, совершивших вынужденную посадку. Это, однако, не исключает случаев, когда помощь американских самолетов может оказаться необходимой. В этих случаях советские военные власти обратятся к американским военным представителям в Москве на предмет посылки американских самолетов из Полтавы.</w:t>
      </w:r>
    </w:p>
    <w:p w14:paraId="6031D4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 имея в данный момент каких-либо предложений по вопросу о положении союзных военнопленных, находящихся в руках у немцев, я хочу Вас заверить, что с нашей стороны будет сделано все возможное для создания им благоприятных условий, как только они окажутся на территории, которой овладеют советские войска (7430).</w:t>
      </w:r>
    </w:p>
    <w:p w14:paraId="72A5390E" w14:textId="77777777" w:rsidR="00665165" w:rsidRPr="00925F26" w:rsidRDefault="00665165" w:rsidP="00925F26">
      <w:pPr>
        <w:autoSpaceDE w:val="0"/>
        <w:autoSpaceDN w:val="0"/>
        <w:adjustRightInd w:val="0"/>
        <w:jc w:val="both"/>
        <w:rPr>
          <w:color w:val="000000" w:themeColor="text1"/>
          <w:sz w:val="16"/>
          <w:szCs w:val="16"/>
        </w:rPr>
      </w:pPr>
    </w:p>
    <w:p w14:paraId="478ABA35" w14:textId="77777777" w:rsidR="003751D3" w:rsidRPr="00925F26" w:rsidRDefault="003751D3" w:rsidP="00925F26">
      <w:pPr>
        <w:jc w:val="both"/>
        <w:rPr>
          <w:color w:val="000000" w:themeColor="text1"/>
          <w:sz w:val="16"/>
          <w:szCs w:val="16"/>
        </w:rPr>
      </w:pPr>
      <w:r w:rsidRPr="00925F26">
        <w:rPr>
          <w:bCs/>
          <w:color w:val="000000" w:themeColor="text1"/>
          <w:sz w:val="16"/>
          <w:szCs w:val="16"/>
        </w:rPr>
        <w:t>5 марта</w:t>
      </w:r>
      <w:r w:rsidRPr="00925F26">
        <w:rPr>
          <w:color w:val="000000" w:themeColor="text1"/>
          <w:sz w:val="16"/>
          <w:szCs w:val="16"/>
        </w:rPr>
        <w:t xml:space="preserve"> в 1945 году Госдепартамент США сделал заявление, что США по-прежнему признают независимость Прибалтийских государств и предоставляет их представителям экстерриториальные права (15059).</w:t>
      </w:r>
    </w:p>
    <w:p w14:paraId="3016614A" w14:textId="77777777" w:rsidR="003751D3" w:rsidRPr="00925F26" w:rsidRDefault="003751D3" w:rsidP="00925F26">
      <w:pPr>
        <w:jc w:val="both"/>
        <w:rPr>
          <w:color w:val="000000" w:themeColor="text1"/>
          <w:sz w:val="16"/>
          <w:szCs w:val="16"/>
        </w:rPr>
      </w:pPr>
    </w:p>
    <w:p w14:paraId="659F2C25" w14:textId="77777777" w:rsidR="003751D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66D8699" w14:textId="77777777" w:rsidR="003751D3" w:rsidRPr="00925F26" w:rsidRDefault="003751D3" w:rsidP="00925F26">
      <w:pPr>
        <w:autoSpaceDE w:val="0"/>
        <w:autoSpaceDN w:val="0"/>
        <w:adjustRightInd w:val="0"/>
        <w:jc w:val="both"/>
        <w:rPr>
          <w:iCs/>
          <w:color w:val="000000" w:themeColor="text1"/>
          <w:sz w:val="16"/>
          <w:szCs w:val="16"/>
        </w:rPr>
      </w:pPr>
    </w:p>
    <w:p w14:paraId="52D1586C" w14:textId="77777777" w:rsidR="003751D3" w:rsidRPr="00925F26" w:rsidRDefault="003751D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марта 1945 американские войска вступили в Кельн (4962).</w:t>
      </w:r>
    </w:p>
    <w:p w14:paraId="443A13F5" w14:textId="77777777" w:rsidR="003751D3" w:rsidRPr="00925F26" w:rsidRDefault="003751D3" w:rsidP="00925F26">
      <w:pPr>
        <w:tabs>
          <w:tab w:val="left" w:pos="11199"/>
        </w:tabs>
        <w:autoSpaceDE w:val="0"/>
        <w:autoSpaceDN w:val="0"/>
        <w:adjustRightInd w:val="0"/>
        <w:jc w:val="both"/>
        <w:rPr>
          <w:color w:val="000000" w:themeColor="text1"/>
          <w:sz w:val="16"/>
          <w:szCs w:val="16"/>
        </w:rPr>
      </w:pPr>
    </w:p>
    <w:p w14:paraId="031C66FD" w14:textId="77777777" w:rsidR="003751D3" w:rsidRPr="00925F26" w:rsidRDefault="003751D3" w:rsidP="00925F26">
      <w:pPr>
        <w:jc w:val="both"/>
        <w:rPr>
          <w:color w:val="000000" w:themeColor="text1"/>
          <w:sz w:val="16"/>
          <w:szCs w:val="16"/>
        </w:rPr>
      </w:pPr>
      <w:r w:rsidRPr="00925F26">
        <w:rPr>
          <w:bCs/>
          <w:color w:val="000000" w:themeColor="text1"/>
          <w:sz w:val="16"/>
          <w:szCs w:val="16"/>
        </w:rPr>
        <w:t>5 марта</w:t>
      </w:r>
      <w:r w:rsidRPr="00925F26">
        <w:rPr>
          <w:color w:val="000000" w:themeColor="text1"/>
          <w:sz w:val="16"/>
          <w:szCs w:val="16"/>
        </w:rPr>
        <w:t xml:space="preserve"> в 1945 году в Германии принято решение о призыве на военную службу контингента рождения 1929 года (15059).</w:t>
      </w:r>
    </w:p>
    <w:p w14:paraId="73A7A83C" w14:textId="77777777" w:rsidR="003751D3" w:rsidRPr="00925F26" w:rsidRDefault="003751D3" w:rsidP="00925F26">
      <w:pPr>
        <w:jc w:val="both"/>
        <w:rPr>
          <w:color w:val="000000" w:themeColor="text1"/>
          <w:sz w:val="16"/>
          <w:szCs w:val="16"/>
        </w:rPr>
      </w:pPr>
    </w:p>
    <w:p w14:paraId="01EE0C1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451EC47" w14:textId="77777777" w:rsidR="00665165" w:rsidRPr="00925F26" w:rsidRDefault="00665165" w:rsidP="00925F26">
      <w:pPr>
        <w:autoSpaceDE w:val="0"/>
        <w:autoSpaceDN w:val="0"/>
        <w:adjustRightInd w:val="0"/>
        <w:jc w:val="both"/>
        <w:rPr>
          <w:iCs/>
          <w:color w:val="000000" w:themeColor="text1"/>
          <w:sz w:val="16"/>
          <w:szCs w:val="16"/>
        </w:rPr>
      </w:pPr>
    </w:p>
    <w:p w14:paraId="75E21C2F"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6 марта 1945 года начались официальные заводские испытания Ил-8 № 1, а «плохая погода», препятствующая передаче самолета на госиспытания, продлилась в ОКБ -240 до 14 мая 1945 года.</w:t>
      </w:r>
    </w:p>
    <w:p w14:paraId="7E603759"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Все это время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 (17490).</w:t>
      </w:r>
    </w:p>
    <w:p w14:paraId="4C385056" w14:textId="77777777" w:rsidR="00DD401F" w:rsidRPr="00925F26" w:rsidRDefault="00DD401F" w:rsidP="00925F26">
      <w:pPr>
        <w:jc w:val="both"/>
        <w:rPr>
          <w:color w:val="000000" w:themeColor="text1"/>
          <w:sz w:val="16"/>
          <w:szCs w:val="16"/>
        </w:rPr>
      </w:pPr>
    </w:p>
    <w:p w14:paraId="276EC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Нач. 1 У и/п/п Паукер, Нач. 1 У гмиас Сафонов 7 марта и Зам. Нач. ГУ ИАС Лосюков 10 марта 1945 подписали заключение по контрольным испытаниям Пе-2 винт ВИШ-105СВ с регулятором Р-7А</w:t>
      </w:r>
    </w:p>
    <w:p w14:paraId="6011F8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Лапин утвердил Акт по контрольным испытаниям Пе-2 винт ВИШ-105СВ с регулятором Р-7А</w:t>
      </w:r>
    </w:p>
    <w:p w14:paraId="2C6641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Пе-2 N 6/424 с ВИШ-105СВ 22 завода выпуска января 1945 с моторами пр-ва завода № 16</w:t>
      </w:r>
    </w:p>
    <w:p w14:paraId="69FBD8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КИ проходили с 17 февраля по 1 марта 1945</w:t>
      </w:r>
    </w:p>
    <w:p w14:paraId="7DBAB5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полета продолжительностью 17 час. 5 мин. (806,8).</w:t>
      </w:r>
    </w:p>
    <w:p w14:paraId="7ED98F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Ви и/к-н М.В.Самочетов</w:t>
      </w:r>
    </w:p>
    <w:p w14:paraId="7B521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В.М.Шульгин.</w:t>
      </w:r>
    </w:p>
    <w:p w14:paraId="1729B3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предыдущих испытаний.</w:t>
      </w:r>
    </w:p>
    <w:p w14:paraId="35DA4E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октябре 1944 в НИИ ВВС испытывался серийный Пе-2 № 14/350 пр-ва з-да 22, выпуска июля 1944 с мотором з-да № 16.</w:t>
      </w:r>
    </w:p>
    <w:p w14:paraId="1301ED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4C03E3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4C4B54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00FE8A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400632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с-та № 14/350, испытанного в октябре 1944 в ГК НИИ ВВС, с-т № 6/424 отличается:</w:t>
      </w:r>
    </w:p>
    <w:p w14:paraId="48C7D9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с-ту</w:t>
      </w:r>
    </w:p>
    <w:p w14:paraId="35EA51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улучшена аэродинамика с-та</w:t>
      </w:r>
    </w:p>
    <w:p w14:paraId="794EF6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улучшена заделка обшивки на стыках агрегатов, ленты перекрытия сняты, а обшивка соединена встык</w:t>
      </w:r>
    </w:p>
    <w:p w14:paraId="6552D4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установлена металлическая перегородка герметизации в Ф-3</w:t>
      </w:r>
    </w:p>
    <w:p w14:paraId="35B5E4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Подшпаклеваны носки крыла, ЦП, Ф-1, стабилизатора и килей</w:t>
      </w:r>
    </w:p>
    <w:p w14:paraId="1E15E6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493C9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установлены форточки на амбразуры для бортового пулемета и т.п.</w:t>
      </w:r>
    </w:p>
    <w:p w14:paraId="33E0B7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4EF05C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7624CD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агрегат газового запуска мотора</w:t>
      </w:r>
    </w:p>
    <w:p w14:paraId="7CE809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w:t>
      </w:r>
    </w:p>
    <w:p w14:paraId="6CB52F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однолучевая антенна для РСБ-3бис и РПК-10 по образцу, испытанному в 1944</w:t>
      </w:r>
    </w:p>
    <w:p w14:paraId="7DDEFE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кислородный прибор КП-12 вместо КПА-3бис</w:t>
      </w:r>
    </w:p>
    <w:p w14:paraId="6EDE0B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577B15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6047, цт 23.1%</w:t>
      </w:r>
    </w:p>
    <w:p w14:paraId="27E92A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 8405 26,5%</w:t>
      </w:r>
    </w:p>
    <w:p w14:paraId="371457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 8805 26,2%</w:t>
      </w:r>
    </w:p>
    <w:p w14:paraId="226A9F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Нагрузки нормального полетного веса:</w:t>
      </w:r>
    </w:p>
    <w:p w14:paraId="6F6D46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- 270</w:t>
      </w:r>
    </w:p>
    <w:p w14:paraId="4E43ED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- 1100</w:t>
      </w:r>
    </w:p>
    <w:p w14:paraId="1F063B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- 120</w:t>
      </w:r>
    </w:p>
    <w:p w14:paraId="4D14EF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пулеметы - 84</w:t>
      </w:r>
    </w:p>
    <w:p w14:paraId="37337E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б/запас - 112</w:t>
      </w:r>
    </w:p>
    <w:p w14:paraId="4D87C4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с замками (внешняя подвеска) - 607</w:t>
      </w:r>
    </w:p>
    <w:p w14:paraId="6C871C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- 65</w:t>
      </w:r>
    </w:p>
    <w:p w14:paraId="1653CC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2358</w:t>
      </w:r>
    </w:p>
    <w:p w14:paraId="27CE5B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Дополнительная нагрузка - 4хФАБ-100 = 400</w:t>
      </w:r>
    </w:p>
    <w:p w14:paraId="32A00C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w:t>
      </w:r>
    </w:p>
    <w:p w14:paraId="40FF54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- 468 км/час</w:t>
      </w:r>
    </w:p>
    <w:p w14:paraId="1E5CFA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гр. высотности - 513 км/час</w:t>
      </w:r>
    </w:p>
    <w:p w14:paraId="7005AB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 гр. высотности - 527 км/час</w:t>
      </w:r>
    </w:p>
    <w:p w14:paraId="248F30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- 9,7, 8200 м - 34</w:t>
      </w:r>
    </w:p>
    <w:p w14:paraId="244A0A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1000 м на наивыгоднейшей скорости 310 км/час, 1750 оборотах - 1220 км</w:t>
      </w:r>
    </w:p>
    <w:p w14:paraId="47715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 - 490, пробег - 565</w:t>
      </w:r>
    </w:p>
    <w:p w14:paraId="620EEB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925F26" w14:paraId="13D9D3A0" w14:textId="77777777">
        <w:tc>
          <w:tcPr>
            <w:tcW w:w="2802" w:type="dxa"/>
            <w:tcBorders>
              <w:top w:val="single" w:sz="12" w:space="0" w:color="auto"/>
            </w:tcBorders>
          </w:tcPr>
          <w:p w14:paraId="7175D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520D87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2802" w:type="dxa"/>
            <w:tcBorders>
              <w:top w:val="single" w:sz="12" w:space="0" w:color="auto"/>
            </w:tcBorders>
          </w:tcPr>
          <w:p w14:paraId="6C264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r>
      <w:tr w:rsidR="000F5689" w:rsidRPr="00925F26" w14:paraId="632DC7B2" w14:textId="77777777">
        <w:tc>
          <w:tcPr>
            <w:tcW w:w="2802" w:type="dxa"/>
          </w:tcPr>
          <w:p w14:paraId="26985C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3E1D5C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802" w:type="dxa"/>
          </w:tcPr>
          <w:p w14:paraId="0765B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w:t>
            </w:r>
          </w:p>
        </w:tc>
      </w:tr>
      <w:tr w:rsidR="000F5689" w:rsidRPr="00925F26" w14:paraId="7BEEA3DB" w14:textId="77777777">
        <w:tc>
          <w:tcPr>
            <w:tcW w:w="2802" w:type="dxa"/>
          </w:tcPr>
          <w:p w14:paraId="6E52D4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2050</w:t>
            </w:r>
          </w:p>
        </w:tc>
        <w:tc>
          <w:tcPr>
            <w:tcW w:w="2802" w:type="dxa"/>
          </w:tcPr>
          <w:p w14:paraId="7ABA8D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w:t>
            </w:r>
          </w:p>
        </w:tc>
        <w:tc>
          <w:tcPr>
            <w:tcW w:w="2802" w:type="dxa"/>
          </w:tcPr>
          <w:p w14:paraId="61E07B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1080</w:t>
            </w:r>
          </w:p>
        </w:tc>
      </w:tr>
      <w:tr w:rsidR="000F5689" w:rsidRPr="00925F26" w14:paraId="398E1591" w14:textId="77777777">
        <w:tc>
          <w:tcPr>
            <w:tcW w:w="2802" w:type="dxa"/>
          </w:tcPr>
          <w:p w14:paraId="0D10F7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2650</w:t>
            </w:r>
          </w:p>
        </w:tc>
        <w:tc>
          <w:tcPr>
            <w:tcW w:w="2802" w:type="dxa"/>
          </w:tcPr>
          <w:p w14:paraId="5F032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504</w:t>
            </w:r>
          </w:p>
        </w:tc>
        <w:tc>
          <w:tcPr>
            <w:tcW w:w="2802" w:type="dxa"/>
          </w:tcPr>
          <w:p w14:paraId="184C13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970</w:t>
            </w:r>
          </w:p>
        </w:tc>
      </w:tr>
      <w:tr w:rsidR="000F5689" w:rsidRPr="00925F26" w14:paraId="47EC9703" w14:textId="77777777">
        <w:tc>
          <w:tcPr>
            <w:tcW w:w="2802" w:type="dxa"/>
          </w:tcPr>
          <w:p w14:paraId="1ADE4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3060</w:t>
            </w:r>
          </w:p>
        </w:tc>
        <w:tc>
          <w:tcPr>
            <w:tcW w:w="2802" w:type="dxa"/>
          </w:tcPr>
          <w:p w14:paraId="5B7B2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w:t>
            </w:r>
          </w:p>
        </w:tc>
        <w:tc>
          <w:tcPr>
            <w:tcW w:w="2802" w:type="dxa"/>
          </w:tcPr>
          <w:p w14:paraId="1E79F6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r>
      <w:tr w:rsidR="000F5689" w:rsidRPr="00925F26" w14:paraId="0F4B5A2A" w14:textId="77777777">
        <w:tc>
          <w:tcPr>
            <w:tcW w:w="2802" w:type="dxa"/>
          </w:tcPr>
          <w:p w14:paraId="5A6A30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36CF78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512,5</w:t>
            </w:r>
          </w:p>
        </w:tc>
        <w:tc>
          <w:tcPr>
            <w:tcW w:w="2802" w:type="dxa"/>
          </w:tcPr>
          <w:p w14:paraId="504F5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w:t>
            </w:r>
          </w:p>
        </w:tc>
      </w:tr>
      <w:tr w:rsidR="000F5689" w:rsidRPr="00925F26" w14:paraId="3DE33A3E" w14:textId="77777777">
        <w:tc>
          <w:tcPr>
            <w:tcW w:w="2802" w:type="dxa"/>
          </w:tcPr>
          <w:p w14:paraId="58CEBA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2802" w:type="dxa"/>
          </w:tcPr>
          <w:p w14:paraId="0DDD3C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w:t>
            </w:r>
          </w:p>
        </w:tc>
        <w:tc>
          <w:tcPr>
            <w:tcW w:w="2802" w:type="dxa"/>
          </w:tcPr>
          <w:p w14:paraId="7B711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690</w:t>
            </w:r>
          </w:p>
        </w:tc>
      </w:tr>
      <w:tr w:rsidR="000F5689" w:rsidRPr="00925F26" w14:paraId="67DFD7CD" w14:textId="77777777">
        <w:tc>
          <w:tcPr>
            <w:tcW w:w="2802" w:type="dxa"/>
            <w:tcBorders>
              <w:bottom w:val="single" w:sz="12" w:space="0" w:color="auto"/>
            </w:tcBorders>
          </w:tcPr>
          <w:p w14:paraId="513E20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576B45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c>
          <w:tcPr>
            <w:tcW w:w="2802" w:type="dxa"/>
            <w:tcBorders>
              <w:bottom w:val="single" w:sz="12" w:space="0" w:color="auto"/>
            </w:tcBorders>
          </w:tcPr>
          <w:p w14:paraId="495549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r>
    </w:tbl>
    <w:p w14:paraId="1166C5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2EA5BE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925F26" w14:paraId="7A01A62C" w14:textId="77777777">
        <w:tc>
          <w:tcPr>
            <w:tcW w:w="2802" w:type="dxa"/>
            <w:tcBorders>
              <w:top w:val="single" w:sz="12" w:space="0" w:color="auto"/>
            </w:tcBorders>
          </w:tcPr>
          <w:p w14:paraId="278E3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1650B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Верт. Скорость </w:t>
            </w:r>
          </w:p>
        </w:tc>
        <w:tc>
          <w:tcPr>
            <w:tcW w:w="2802" w:type="dxa"/>
            <w:tcBorders>
              <w:top w:val="single" w:sz="12" w:space="0" w:color="auto"/>
            </w:tcBorders>
          </w:tcPr>
          <w:p w14:paraId="32AE84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c>
          <w:tcPr>
            <w:tcW w:w="2802" w:type="dxa"/>
            <w:tcBorders>
              <w:top w:val="single" w:sz="12" w:space="0" w:color="auto"/>
            </w:tcBorders>
          </w:tcPr>
          <w:p w14:paraId="6C184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 скорость</w:t>
            </w:r>
          </w:p>
        </w:tc>
      </w:tr>
      <w:tr w:rsidR="000F5689" w:rsidRPr="00925F26" w14:paraId="7E217A5F" w14:textId="77777777">
        <w:tc>
          <w:tcPr>
            <w:tcW w:w="2802" w:type="dxa"/>
          </w:tcPr>
          <w:p w14:paraId="2C50E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361197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w:t>
            </w:r>
          </w:p>
        </w:tc>
        <w:tc>
          <w:tcPr>
            <w:tcW w:w="2802" w:type="dxa"/>
          </w:tcPr>
          <w:p w14:paraId="5BE9B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1040</w:t>
            </w:r>
          </w:p>
        </w:tc>
        <w:tc>
          <w:tcPr>
            <w:tcW w:w="2802" w:type="dxa"/>
          </w:tcPr>
          <w:p w14:paraId="311E9A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74CE194B" w14:textId="77777777">
        <w:tc>
          <w:tcPr>
            <w:tcW w:w="2802" w:type="dxa"/>
          </w:tcPr>
          <w:p w14:paraId="65609B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2100</w:t>
            </w:r>
          </w:p>
        </w:tc>
        <w:tc>
          <w:tcPr>
            <w:tcW w:w="2802" w:type="dxa"/>
          </w:tcPr>
          <w:p w14:paraId="4632B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802" w:type="dxa"/>
          </w:tcPr>
          <w:p w14:paraId="23C313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960</w:t>
            </w:r>
          </w:p>
        </w:tc>
        <w:tc>
          <w:tcPr>
            <w:tcW w:w="2802" w:type="dxa"/>
          </w:tcPr>
          <w:p w14:paraId="0DBF092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10511E7" w14:textId="77777777">
        <w:tc>
          <w:tcPr>
            <w:tcW w:w="2802" w:type="dxa"/>
          </w:tcPr>
          <w:p w14:paraId="21AD38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3400</w:t>
            </w:r>
          </w:p>
        </w:tc>
        <w:tc>
          <w:tcPr>
            <w:tcW w:w="2802" w:type="dxa"/>
          </w:tcPr>
          <w:p w14:paraId="0D4D05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2802" w:type="dxa"/>
          </w:tcPr>
          <w:p w14:paraId="5EC776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c>
          <w:tcPr>
            <w:tcW w:w="2802" w:type="dxa"/>
          </w:tcPr>
          <w:p w14:paraId="251AD25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F089D48" w14:textId="77777777">
        <w:tc>
          <w:tcPr>
            <w:tcW w:w="2802" w:type="dxa"/>
          </w:tcPr>
          <w:p w14:paraId="0A8C95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4E5A92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2802" w:type="dxa"/>
          </w:tcPr>
          <w:p w14:paraId="03A069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w:t>
            </w:r>
          </w:p>
        </w:tc>
        <w:tc>
          <w:tcPr>
            <w:tcW w:w="2802" w:type="dxa"/>
          </w:tcPr>
          <w:p w14:paraId="3BEB5A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r>
      <w:tr w:rsidR="000F5689" w:rsidRPr="00925F26" w14:paraId="2ABC4F53" w14:textId="77777777">
        <w:tc>
          <w:tcPr>
            <w:tcW w:w="2802" w:type="dxa"/>
            <w:tcBorders>
              <w:bottom w:val="single" w:sz="12" w:space="0" w:color="auto"/>
            </w:tcBorders>
          </w:tcPr>
          <w:p w14:paraId="1886AF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8000</w:t>
            </w:r>
          </w:p>
        </w:tc>
        <w:tc>
          <w:tcPr>
            <w:tcW w:w="2802" w:type="dxa"/>
            <w:tcBorders>
              <w:bottom w:val="single" w:sz="12" w:space="0" w:color="auto"/>
            </w:tcBorders>
          </w:tcPr>
          <w:p w14:paraId="0200A0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2802" w:type="dxa"/>
            <w:tcBorders>
              <w:bottom w:val="single" w:sz="12" w:space="0" w:color="auto"/>
            </w:tcBorders>
          </w:tcPr>
          <w:p w14:paraId="6D1276B2"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Borders>
              <w:bottom w:val="single" w:sz="12" w:space="0" w:color="auto"/>
            </w:tcBorders>
          </w:tcPr>
          <w:p w14:paraId="78608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r>
    </w:tbl>
    <w:p w14:paraId="153BF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37FB3E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Посадка с тормозами на 50 гр. посадочная скорость 140 км/час при полетном весе 7200 кг, дистанция - 1160 м</w:t>
      </w:r>
    </w:p>
    <w:p w14:paraId="3C8F9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6BCA2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Носовой ШКАС и УБК неподвижные + УБТ на ВУБ-1 и УБТ на ЛУ + бортовые ШКАС</w:t>
      </w:r>
    </w:p>
    <w:p w14:paraId="44AE0B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63FEC6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двусторонней радиосвязи с наземной р/с РАФ-КВ-3 на 1000 м - телефон 360, телеграф - 400</w:t>
      </w:r>
    </w:p>
    <w:p w14:paraId="3FFF69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Оценка производственного выполнения:</w:t>
      </w:r>
    </w:p>
    <w:p w14:paraId="447D9D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221C65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волнистость обшивки, низкое качество покраски, отставание и неравномерное нанесение краски</w:t>
      </w:r>
    </w:p>
    <w:p w14:paraId="367BE0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створки бомборлюка плотно не закрываются, остаются щели</w:t>
      </w:r>
    </w:p>
    <w:p w14:paraId="49539D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боковые форточки фонаря кабины л плохо подогнаны, открываются и закрываются с большим усилием</w:t>
      </w:r>
    </w:p>
    <w:p w14:paraId="27C09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монтаж трубопроводов на моторе выполнен плохо, течи воды, масла, бензина</w:t>
      </w:r>
    </w:p>
    <w:p w14:paraId="229D49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0715E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6F5F14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дышать стало трудновстречается большое сопротивление на вдохе</w:t>
      </w:r>
    </w:p>
    <w:p w14:paraId="2DA46E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182149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шланг тяжелый и жесткий, что затрудняет движение в кабине</w:t>
      </w:r>
    </w:p>
    <w:p w14:paraId="500783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4B5220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 в существующем виде прибор КП-12 не может быть рекомендован для установки на серийные Пе-2</w:t>
      </w:r>
    </w:p>
    <w:p w14:paraId="28A7DE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 подписали 6 марта 1945</w:t>
      </w:r>
    </w:p>
    <w:p w14:paraId="4B170F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925F26" w14:paraId="1E011FD9" w14:textId="77777777">
        <w:tc>
          <w:tcPr>
            <w:tcW w:w="3936" w:type="dxa"/>
            <w:tcBorders>
              <w:top w:val="single" w:sz="12" w:space="0" w:color="auto"/>
            </w:tcBorders>
          </w:tcPr>
          <w:p w14:paraId="4EB7D4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2236" w:type="dxa"/>
            <w:tcBorders>
              <w:top w:val="single" w:sz="12" w:space="0" w:color="auto"/>
            </w:tcBorders>
          </w:tcPr>
          <w:p w14:paraId="7D683D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230F53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14/350 2ВК-105ПФ с полетным весом 8400 кг, испытанным в НИИ ВВС в октябре 1944</w:t>
            </w:r>
          </w:p>
        </w:tc>
      </w:tr>
      <w:tr w:rsidR="000F5689" w:rsidRPr="00925F26" w14:paraId="4504BF34" w14:textId="77777777">
        <w:tc>
          <w:tcPr>
            <w:tcW w:w="3936" w:type="dxa"/>
          </w:tcPr>
          <w:p w14:paraId="2C2F7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номинальном режиме а) у земли</w:t>
            </w:r>
          </w:p>
          <w:p w14:paraId="34D0F4EA" w14:textId="77777777" w:rsidR="00665165" w:rsidRPr="00925F26" w:rsidRDefault="00665165" w:rsidP="00925F26">
            <w:pPr>
              <w:autoSpaceDE w:val="0"/>
              <w:autoSpaceDN w:val="0"/>
              <w:adjustRightInd w:val="0"/>
              <w:jc w:val="both"/>
              <w:rPr>
                <w:color w:val="000000" w:themeColor="text1"/>
                <w:sz w:val="16"/>
                <w:szCs w:val="16"/>
              </w:rPr>
            </w:pPr>
          </w:p>
        </w:tc>
        <w:tc>
          <w:tcPr>
            <w:tcW w:w="2236" w:type="dxa"/>
          </w:tcPr>
          <w:p w14:paraId="4F508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236" w:type="dxa"/>
          </w:tcPr>
          <w:p w14:paraId="60374F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457</w:t>
            </w:r>
          </w:p>
        </w:tc>
      </w:tr>
      <w:tr w:rsidR="000F5689" w:rsidRPr="00925F26" w14:paraId="064E0745" w14:textId="77777777">
        <w:tc>
          <w:tcPr>
            <w:tcW w:w="3936" w:type="dxa"/>
          </w:tcPr>
          <w:p w14:paraId="622818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 1 гр. высотности</w:t>
            </w:r>
          </w:p>
        </w:tc>
        <w:tc>
          <w:tcPr>
            <w:tcW w:w="2236" w:type="dxa"/>
          </w:tcPr>
          <w:p w14:paraId="373B8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513/2500</w:t>
            </w:r>
          </w:p>
        </w:tc>
        <w:tc>
          <w:tcPr>
            <w:tcW w:w="2236" w:type="dxa"/>
          </w:tcPr>
          <w:p w14:paraId="018C81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499/1850</w:t>
            </w:r>
          </w:p>
        </w:tc>
      </w:tr>
      <w:tr w:rsidR="000F5689" w:rsidRPr="00925F26" w14:paraId="4208773C" w14:textId="77777777">
        <w:tc>
          <w:tcPr>
            <w:tcW w:w="3936" w:type="dxa"/>
          </w:tcPr>
          <w:p w14:paraId="7A799F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 2 гр. высотности</w:t>
            </w:r>
          </w:p>
        </w:tc>
        <w:tc>
          <w:tcPr>
            <w:tcW w:w="2236" w:type="dxa"/>
          </w:tcPr>
          <w:p w14:paraId="26E08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527/3900</w:t>
            </w:r>
          </w:p>
        </w:tc>
        <w:tc>
          <w:tcPr>
            <w:tcW w:w="2236" w:type="dxa"/>
          </w:tcPr>
          <w:p w14:paraId="0DE269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513/3700</w:t>
            </w:r>
          </w:p>
        </w:tc>
      </w:tr>
      <w:tr w:rsidR="000F5689" w:rsidRPr="00925F26" w14:paraId="5D65076B" w14:textId="77777777">
        <w:tc>
          <w:tcPr>
            <w:tcW w:w="3936" w:type="dxa"/>
          </w:tcPr>
          <w:p w14:paraId="59D303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5000 м</w:t>
            </w:r>
          </w:p>
        </w:tc>
        <w:tc>
          <w:tcPr>
            <w:tcW w:w="2236" w:type="dxa"/>
          </w:tcPr>
          <w:p w14:paraId="0F346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c>
          <w:tcPr>
            <w:tcW w:w="2236" w:type="dxa"/>
          </w:tcPr>
          <w:p w14:paraId="67D124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w:t>
            </w:r>
          </w:p>
        </w:tc>
      </w:tr>
      <w:tr w:rsidR="000F5689" w:rsidRPr="00925F26" w14:paraId="77033576" w14:textId="77777777">
        <w:tc>
          <w:tcPr>
            <w:tcW w:w="3936" w:type="dxa"/>
          </w:tcPr>
          <w:p w14:paraId="07DA7B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2236" w:type="dxa"/>
          </w:tcPr>
          <w:p w14:paraId="63C098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236" w:type="dxa"/>
          </w:tcPr>
          <w:p w14:paraId="6EBA2A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7500</w:t>
            </w:r>
          </w:p>
        </w:tc>
      </w:tr>
      <w:tr w:rsidR="000F5689" w:rsidRPr="00925F26" w14:paraId="49410B14" w14:textId="77777777">
        <w:tc>
          <w:tcPr>
            <w:tcW w:w="3936" w:type="dxa"/>
          </w:tcPr>
          <w:p w14:paraId="5126E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набора 8000 м </w:t>
            </w:r>
          </w:p>
        </w:tc>
        <w:tc>
          <w:tcPr>
            <w:tcW w:w="2236" w:type="dxa"/>
          </w:tcPr>
          <w:p w14:paraId="5C594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2236" w:type="dxa"/>
          </w:tcPr>
          <w:p w14:paraId="67C69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r>
      <w:tr w:rsidR="000F5689" w:rsidRPr="00925F26" w14:paraId="38370330" w14:textId="77777777">
        <w:tc>
          <w:tcPr>
            <w:tcW w:w="3936" w:type="dxa"/>
          </w:tcPr>
          <w:p w14:paraId="5F52CE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236" w:type="dxa"/>
          </w:tcPr>
          <w:p w14:paraId="06D7C5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c>
          <w:tcPr>
            <w:tcW w:w="2236" w:type="dxa"/>
          </w:tcPr>
          <w:p w14:paraId="1EBC48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1207</w:t>
            </w:r>
          </w:p>
        </w:tc>
      </w:tr>
      <w:tr w:rsidR="000F5689" w:rsidRPr="00925F26" w14:paraId="0C642715" w14:textId="77777777">
        <w:tc>
          <w:tcPr>
            <w:tcW w:w="3936" w:type="dxa"/>
          </w:tcPr>
          <w:p w14:paraId="31821F5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Разбег</w:t>
            </w:r>
          </w:p>
        </w:tc>
        <w:tc>
          <w:tcPr>
            <w:tcW w:w="2236" w:type="dxa"/>
          </w:tcPr>
          <w:p w14:paraId="67F9B4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490</w:t>
            </w:r>
          </w:p>
        </w:tc>
        <w:tc>
          <w:tcPr>
            <w:tcW w:w="2236" w:type="dxa"/>
          </w:tcPr>
          <w:p w14:paraId="718EBF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2899DE6F" w14:textId="77777777">
        <w:tc>
          <w:tcPr>
            <w:tcW w:w="3936" w:type="dxa"/>
            <w:tcBorders>
              <w:bottom w:val="single" w:sz="12" w:space="0" w:color="auto"/>
            </w:tcBorders>
          </w:tcPr>
          <w:p w14:paraId="793C0C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отрыва</w:t>
            </w:r>
          </w:p>
        </w:tc>
        <w:tc>
          <w:tcPr>
            <w:tcW w:w="2236" w:type="dxa"/>
            <w:tcBorders>
              <w:bottom w:val="single" w:sz="12" w:space="0" w:color="auto"/>
            </w:tcBorders>
          </w:tcPr>
          <w:p w14:paraId="0FB283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2236" w:type="dxa"/>
            <w:tcBorders>
              <w:bottom w:val="single" w:sz="12" w:space="0" w:color="auto"/>
            </w:tcBorders>
          </w:tcPr>
          <w:p w14:paraId="4E6235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r>
    </w:tbl>
    <w:p w14:paraId="31F710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6E3A5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4EF6EF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725D26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Невозможно окрыть входной люк из кабины пилота</w:t>
      </w:r>
    </w:p>
    <w:p w14:paraId="7A90BF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Отсутствует противокапотажная рама</w:t>
      </w:r>
    </w:p>
    <w:p w14:paraId="1DFDA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Обшивка с-та имеет вмятины, покраска - плохая (806,8).</w:t>
      </w:r>
    </w:p>
    <w:p w14:paraId="2690E99B" w14:textId="77777777" w:rsidR="00665165" w:rsidRPr="00925F26" w:rsidRDefault="00665165" w:rsidP="00925F26">
      <w:pPr>
        <w:autoSpaceDE w:val="0"/>
        <w:autoSpaceDN w:val="0"/>
        <w:adjustRightInd w:val="0"/>
        <w:jc w:val="both"/>
        <w:rPr>
          <w:color w:val="000000" w:themeColor="text1"/>
          <w:sz w:val="16"/>
          <w:szCs w:val="16"/>
        </w:rPr>
      </w:pPr>
    </w:p>
    <w:p w14:paraId="205EB8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марта 1945 НКАП А.И.Ш. писал НК ВМФ а Н.Г.Кузнецову письмо № Н-35/1271:</w:t>
      </w:r>
    </w:p>
    <w:p w14:paraId="6CCC5A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рассмотрения вопроса о проектировании новых типов палубных самолетов, предназначенных для кораблей-авианосцев, и установления возможности применения в этих целях существующих самолетов, прошу Вас дать указание выстать ТТТ ВВС ВМФ ко всем типам самолетов, указанным в Вашем письме от 25 января с.г. за № 109сс (2595,29).</w:t>
      </w:r>
    </w:p>
    <w:p w14:paraId="76AB99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01E76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ГОКО N 7691с о демонтаже и вывозу оборудования с завода Берто Верке в г. Ланге на 150 в Ступино (1874,11).</w:t>
      </w:r>
    </w:p>
    <w:p w14:paraId="1BBCD100" w14:textId="77777777" w:rsidR="00665165" w:rsidRPr="00925F26" w:rsidRDefault="00665165" w:rsidP="00925F26">
      <w:pPr>
        <w:autoSpaceDE w:val="0"/>
        <w:autoSpaceDN w:val="0"/>
        <w:adjustRightInd w:val="0"/>
        <w:jc w:val="both"/>
        <w:rPr>
          <w:color w:val="000000" w:themeColor="text1"/>
          <w:sz w:val="16"/>
          <w:szCs w:val="16"/>
        </w:rPr>
      </w:pPr>
    </w:p>
    <w:p w14:paraId="35AABF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вышло Постановление ГКО № 7695 «О вывозе оборудования с немецких авиационных заводов» (Д. 457. Л. 114–116).</w:t>
      </w:r>
    </w:p>
    <w:p w14:paraId="7278A4D6" w14:textId="77777777" w:rsidR="00665165" w:rsidRPr="00925F26" w:rsidRDefault="00665165" w:rsidP="00925F26">
      <w:pPr>
        <w:autoSpaceDE w:val="0"/>
        <w:autoSpaceDN w:val="0"/>
        <w:adjustRightInd w:val="0"/>
        <w:jc w:val="both"/>
        <w:rPr>
          <w:color w:val="000000" w:themeColor="text1"/>
          <w:sz w:val="16"/>
          <w:szCs w:val="16"/>
        </w:rPr>
      </w:pPr>
    </w:p>
    <w:p w14:paraId="19589FBA" w14:textId="77777777" w:rsidR="001D045B" w:rsidRPr="00925F26" w:rsidRDefault="001D045B" w:rsidP="00925F26">
      <w:pPr>
        <w:jc w:val="both"/>
        <w:rPr>
          <w:color w:val="000000" w:themeColor="text1"/>
          <w:sz w:val="16"/>
          <w:szCs w:val="16"/>
        </w:rPr>
      </w:pPr>
      <w:r w:rsidRPr="00925F26">
        <w:rPr>
          <w:color w:val="000000" w:themeColor="text1"/>
          <w:sz w:val="16"/>
          <w:szCs w:val="16"/>
        </w:rPr>
        <w:t>6 марта 1945 г. вышло Постановление ГКО № 7695 «О вывозе оборудования с немецких авиационных заводов»</w:t>
      </w:r>
    </w:p>
    <w:p w14:paraId="77F47151" w14:textId="77777777" w:rsidR="001D045B" w:rsidRPr="00925F26" w:rsidRDefault="001D045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Государственна Комитет Обороны постановляет:</w:t>
      </w:r>
    </w:p>
    <w:p w14:paraId="77AC2CF4" w14:textId="77777777" w:rsidR="001D045B" w:rsidRPr="00925F26" w:rsidRDefault="001D045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1. Обязать НарУсмавнапром - т</w:t>
      </w:r>
      <w:r w:rsidR="009D60E7" w:rsidRPr="00925F26">
        <w:rPr>
          <w:rFonts w:ascii="Times New Roman" w:cs="Times New Roman"/>
          <w:color w:val="000000" w:themeColor="text1"/>
          <w:spacing w:val="0"/>
        </w:rPr>
        <w:t>.</w:t>
      </w:r>
      <w:r w:rsidRPr="00925F26">
        <w:rPr>
          <w:rFonts w:ascii="Times New Roman" w:cs="Times New Roman"/>
          <w:color w:val="000000" w:themeColor="text1"/>
          <w:spacing w:val="0"/>
        </w:rPr>
        <w:t>Шахури</w:t>
      </w:r>
      <w:r w:rsidR="009D60E7" w:rsidRPr="00925F26">
        <w:rPr>
          <w:rFonts w:ascii="Times New Roman" w:cs="Times New Roman"/>
          <w:color w:val="000000" w:themeColor="text1"/>
          <w:spacing w:val="0"/>
        </w:rPr>
        <w:t>н</w:t>
      </w:r>
      <w:r w:rsidRPr="00925F26">
        <w:rPr>
          <w:rFonts w:ascii="Times New Roman" w:cs="Times New Roman"/>
          <w:color w:val="000000" w:themeColor="text1"/>
          <w:spacing w:val="0"/>
        </w:rPr>
        <w:t>а вывевти на свои заводы оборудование н. материалы немецких авиационных заводов, расположенных на терри</w:t>
      </w:r>
      <w:r w:rsidRPr="00925F26">
        <w:rPr>
          <w:rFonts w:ascii="Times New Roman" w:cs="Times New Roman"/>
          <w:color w:val="000000" w:themeColor="text1"/>
          <w:spacing w:val="0"/>
        </w:rPr>
        <w:softHyphen/>
        <w:t>тории Германии и Польши:</w:t>
      </w:r>
    </w:p>
    <w:p w14:paraId="234588A6" w14:textId="77777777" w:rsidR="001D045B" w:rsidRPr="00925F26" w:rsidRDefault="001D045B" w:rsidP="00925F26">
      <w:pPr>
        <w:pStyle w:val="27"/>
        <w:shd w:val="clear" w:color="auto" w:fill="auto"/>
        <w:tabs>
          <w:tab w:val="left" w:pos="1384"/>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а) с моторно-агрегатчого зачода "Даймлер-Бенц" в районе г.Мезеритц 1500 станков, кузнечно-прессовое энергетическое, лабораторное оборудование и инструмент на завод В 265 в г.Воронен для организация произвотва моторных агрегатов;</w:t>
      </w:r>
    </w:p>
    <w:p w14:paraId="3D981375" w14:textId="77777777" w:rsidR="001D045B" w:rsidRPr="00925F26" w:rsidRDefault="001D045B" w:rsidP="00925F26">
      <w:pPr>
        <w:pStyle w:val="27"/>
        <w:shd w:val="clear" w:color="auto" w:fill="auto"/>
        <w:tabs>
          <w:tab w:val="left" w:pos="1607"/>
        </w:tabs>
        <w:spacing w:after="0" w:line="240" w:lineRule="auto"/>
        <w:ind w:firstLine="0"/>
        <w:rPr>
          <w:rFonts w:ascii="Times New Roman" w:cs="Times New Roman"/>
          <w:color w:val="000000" w:themeColor="text1"/>
          <w:spacing w:val="0"/>
        </w:rPr>
      </w:pPr>
      <w:r w:rsidRPr="00925F26">
        <w:rPr>
          <w:rStyle w:val="Garamond7pt"/>
          <w:rFonts w:ascii="Times New Roman" w:hAnsi="Times New Roman" w:cs="Times New Roman"/>
          <w:color w:val="000000" w:themeColor="text1"/>
          <w:spacing w:val="0"/>
          <w:sz w:val="16"/>
          <w:szCs w:val="16"/>
        </w:rPr>
        <w:t xml:space="preserve">б) </w:t>
      </w:r>
      <w:r w:rsidRPr="00925F26">
        <w:rPr>
          <w:rFonts w:ascii="Times New Roman" w:cs="Times New Roman"/>
          <w:color w:val="000000" w:themeColor="text1"/>
          <w:spacing w:val="0"/>
        </w:rPr>
        <w:t>завода</w:t>
      </w:r>
      <w:r w:rsidRPr="00925F26">
        <w:rPr>
          <w:rStyle w:val="Garamond7pt"/>
          <w:rFonts w:ascii="Times New Roman" w:hAnsi="Times New Roman" w:cs="Times New Roman"/>
          <w:color w:val="000000" w:themeColor="text1"/>
          <w:spacing w:val="0"/>
          <w:sz w:val="16"/>
          <w:szCs w:val="16"/>
        </w:rPr>
        <w:t xml:space="preserve"> авиационных винтов в Ха</w:t>
      </w:r>
      <w:r w:rsidRPr="00925F26">
        <w:rPr>
          <w:rFonts w:ascii="Times New Roman" w:cs="Times New Roman"/>
          <w:color w:val="000000" w:themeColor="text1"/>
          <w:spacing w:val="0"/>
        </w:rPr>
        <w:t>альбау, в райо</w:t>
      </w:r>
      <w:r w:rsidRPr="00925F26">
        <w:rPr>
          <w:rFonts w:ascii="Times New Roman" w:cs="Times New Roman"/>
          <w:color w:val="000000" w:themeColor="text1"/>
          <w:spacing w:val="0"/>
        </w:rPr>
        <w:softHyphen/>
        <w:t>не г.Заган З00 станков, кузнечно-прессовое, лабора</w:t>
      </w:r>
      <w:r w:rsidRPr="00925F26">
        <w:rPr>
          <w:rFonts w:ascii="Times New Roman" w:cs="Times New Roman"/>
          <w:color w:val="000000" w:themeColor="text1"/>
          <w:spacing w:val="0"/>
        </w:rPr>
        <w:softHyphen/>
        <w:t>торное и другое оборудование, инструмент и материалы на завод № 150 в г.Ступино для организации производст</w:t>
      </w:r>
      <w:r w:rsidRPr="00925F26">
        <w:rPr>
          <w:rFonts w:ascii="Times New Roman" w:cs="Times New Roman"/>
          <w:color w:val="000000" w:themeColor="text1"/>
          <w:spacing w:val="0"/>
        </w:rPr>
        <w:softHyphen/>
        <w:t>ва авиационных винтов;</w:t>
      </w:r>
    </w:p>
    <w:p w14:paraId="0E2F5077" w14:textId="77777777" w:rsidR="001D045B" w:rsidRPr="00925F26" w:rsidRDefault="001D045B" w:rsidP="00925F26">
      <w:pPr>
        <w:pStyle w:val="27"/>
        <w:shd w:val="clear" w:color="auto" w:fill="auto"/>
        <w:tabs>
          <w:tab w:val="left" w:pos="1391"/>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с самолетно-агрегатных заводов "Фокке-Вульф", расположенных в районе г.,г.Познань, Бирнбаум к Андрыхув, станки, кузнечно-гпрессовое, энергетическое и ла</w:t>
      </w:r>
      <w:r w:rsidRPr="00925F26">
        <w:rPr>
          <w:rFonts w:ascii="Times New Roman" w:cs="Times New Roman"/>
          <w:color w:val="000000" w:themeColor="text1"/>
          <w:spacing w:val="0"/>
        </w:rPr>
        <w:softHyphen/>
        <w:t>бораторное оборудование, инструмент и материалы - на завод № 272 в г.Ленинград для органивации производства истребителей;</w:t>
      </w:r>
    </w:p>
    <w:p w14:paraId="482E9A5B" w14:textId="77777777" w:rsidR="001D045B" w:rsidRPr="00925F26" w:rsidRDefault="001D045B" w:rsidP="00925F26">
      <w:pPr>
        <w:jc w:val="both"/>
        <w:rPr>
          <w:color w:val="000000" w:themeColor="text1"/>
          <w:sz w:val="16"/>
          <w:szCs w:val="16"/>
        </w:rPr>
      </w:pPr>
      <w:r w:rsidRPr="00925F26">
        <w:rPr>
          <w:color w:val="000000" w:themeColor="text1"/>
          <w:sz w:val="16"/>
          <w:szCs w:val="16"/>
        </w:rPr>
        <w:t>г) с завода по производству самолетных крыльев в районе г.Бунцлау 150 станков и другое оборудование, инструмент и материалы - на завод № 82 в г,Тушино для организации крыльевого цеха.</w:t>
      </w:r>
    </w:p>
    <w:p w14:paraId="3EE46695" w14:textId="77777777" w:rsidR="001D045B" w:rsidRPr="00925F26" w:rsidRDefault="001D045B" w:rsidP="00925F26">
      <w:pPr>
        <w:tabs>
          <w:tab w:val="left" w:pos="1385"/>
        </w:tabs>
        <w:jc w:val="both"/>
        <w:rPr>
          <w:color w:val="000000" w:themeColor="text1"/>
          <w:sz w:val="16"/>
          <w:szCs w:val="16"/>
        </w:rPr>
      </w:pPr>
      <w:r w:rsidRPr="00925F26">
        <w:rPr>
          <w:color w:val="000000" w:themeColor="text1"/>
          <w:sz w:val="16"/>
          <w:szCs w:val="16"/>
        </w:rPr>
        <w:t>2. Назначить руководителями демонтажа оборудова</w:t>
      </w:r>
      <w:r w:rsidRPr="00925F26">
        <w:rPr>
          <w:color w:val="000000" w:themeColor="text1"/>
          <w:sz w:val="16"/>
          <w:szCs w:val="16"/>
        </w:rPr>
        <w:softHyphen/>
        <w:t>ния:</w:t>
      </w:r>
    </w:p>
    <w:p w14:paraId="5B402D95" w14:textId="77777777" w:rsidR="001D045B" w:rsidRPr="00925F26" w:rsidRDefault="001D045B" w:rsidP="00925F26">
      <w:pPr>
        <w:jc w:val="both"/>
        <w:rPr>
          <w:color w:val="000000" w:themeColor="text1"/>
          <w:sz w:val="16"/>
          <w:szCs w:val="16"/>
        </w:rPr>
      </w:pPr>
      <w:r w:rsidRPr="00925F26">
        <w:rPr>
          <w:color w:val="000000" w:themeColor="text1"/>
          <w:sz w:val="16"/>
          <w:szCs w:val="16"/>
        </w:rPr>
        <w:t>по моторо-агрегатнсму заводу "Даймлер-Бенц" в районе г.Мезеритц - главного инженера завода № 500 т.Куинджи;</w:t>
      </w:r>
    </w:p>
    <w:p w14:paraId="48218399" w14:textId="77777777" w:rsidR="001D045B" w:rsidRPr="00925F26" w:rsidRDefault="001D045B" w:rsidP="00925F26">
      <w:pPr>
        <w:jc w:val="both"/>
        <w:rPr>
          <w:color w:val="000000" w:themeColor="text1"/>
          <w:sz w:val="16"/>
          <w:szCs w:val="16"/>
        </w:rPr>
      </w:pPr>
      <w:r w:rsidRPr="00925F26">
        <w:rPr>
          <w:color w:val="000000" w:themeColor="text1"/>
          <w:sz w:val="16"/>
          <w:szCs w:val="16"/>
        </w:rPr>
        <w:t>по заводу авиационных винтов в г.Хальбау - зам. начальника 14 Главного Управления НКАП т.Лоханова;</w:t>
      </w:r>
    </w:p>
    <w:p w14:paraId="48C24F96" w14:textId="77777777" w:rsidR="001D045B" w:rsidRPr="00925F26" w:rsidRDefault="001D045B" w:rsidP="00925F26">
      <w:pPr>
        <w:jc w:val="both"/>
        <w:rPr>
          <w:color w:val="000000" w:themeColor="text1"/>
          <w:sz w:val="16"/>
          <w:szCs w:val="16"/>
        </w:rPr>
      </w:pPr>
      <w:r w:rsidRPr="00925F26">
        <w:rPr>
          <w:color w:val="000000" w:themeColor="text1"/>
          <w:sz w:val="16"/>
          <w:szCs w:val="16"/>
        </w:rPr>
        <w:t>по самолетно-агрегатному заводу "Фокке-Вульф"' в районе г.Повнань - директора завода № 273 НКАП т.Еськова;</w:t>
      </w:r>
    </w:p>
    <w:p w14:paraId="61740083" w14:textId="77777777" w:rsidR="001D045B" w:rsidRPr="00925F26" w:rsidRDefault="001D045B" w:rsidP="00925F26">
      <w:pPr>
        <w:jc w:val="both"/>
        <w:rPr>
          <w:color w:val="000000" w:themeColor="text1"/>
          <w:sz w:val="16"/>
          <w:szCs w:val="16"/>
        </w:rPr>
      </w:pPr>
      <w:r w:rsidRPr="00925F26">
        <w:rPr>
          <w:color w:val="000000" w:themeColor="text1"/>
          <w:sz w:val="16"/>
          <w:szCs w:val="16"/>
        </w:rPr>
        <w:t>по самолетно-агрегатному эаводу "Фокке-Вульф</w:t>
      </w:r>
      <w:r w:rsidRPr="00925F26">
        <w:rPr>
          <w:color w:val="000000" w:themeColor="text1"/>
          <w:sz w:val="16"/>
          <w:szCs w:val="16"/>
          <w:vertAlign w:val="superscript"/>
        </w:rPr>
        <w:t>н</w:t>
      </w:r>
      <w:r w:rsidRPr="00925F26">
        <w:rPr>
          <w:color w:val="000000" w:themeColor="text1"/>
          <w:sz w:val="16"/>
          <w:szCs w:val="16"/>
        </w:rPr>
        <w:t xml:space="preserve"> в. г. Бирнбаум - директора з</w:t>
      </w:r>
      <w:r w:rsidRPr="00925F26">
        <w:rPr>
          <w:rStyle w:val="1pt"/>
          <w:rFonts w:ascii="Times New Roman" w:cs="Times New Roman"/>
          <w:color w:val="000000" w:themeColor="text1"/>
          <w:spacing w:val="0"/>
          <w:sz w:val="16"/>
          <w:szCs w:val="16"/>
        </w:rPr>
        <w:t>авода т.Озимкова;</w:t>
      </w:r>
    </w:p>
    <w:p w14:paraId="3A448552" w14:textId="77777777" w:rsidR="001D045B" w:rsidRPr="00925F26" w:rsidRDefault="001D045B" w:rsidP="00925F26">
      <w:pPr>
        <w:jc w:val="both"/>
        <w:rPr>
          <w:color w:val="000000" w:themeColor="text1"/>
          <w:sz w:val="16"/>
          <w:szCs w:val="16"/>
        </w:rPr>
      </w:pPr>
      <w:r w:rsidRPr="00925F26">
        <w:rPr>
          <w:color w:val="000000" w:themeColor="text1"/>
          <w:sz w:val="16"/>
          <w:szCs w:val="16"/>
        </w:rPr>
        <w:t>по самолетно-агрегатному заводу "Фокке-Вульф" в районе г.Андрнхув - замначальника 1 Главного управле</w:t>
      </w:r>
      <w:r w:rsidRPr="00925F26">
        <w:rPr>
          <w:color w:val="000000" w:themeColor="text1"/>
          <w:sz w:val="16"/>
          <w:szCs w:val="16"/>
        </w:rPr>
        <w:softHyphen/>
        <w:t>ния НКАП т.Зорина;</w:t>
      </w:r>
    </w:p>
    <w:p w14:paraId="71BB6B8F" w14:textId="77777777" w:rsidR="001D045B" w:rsidRPr="00925F26" w:rsidRDefault="001D045B" w:rsidP="00925F26">
      <w:pPr>
        <w:jc w:val="both"/>
        <w:rPr>
          <w:color w:val="000000" w:themeColor="text1"/>
          <w:sz w:val="16"/>
          <w:szCs w:val="16"/>
        </w:rPr>
      </w:pPr>
      <w:r w:rsidRPr="00925F26">
        <w:rPr>
          <w:color w:val="000000" w:themeColor="text1"/>
          <w:sz w:val="16"/>
          <w:szCs w:val="16"/>
        </w:rPr>
        <w:t>по заводу самолетных крыльев в г.Бунцлау - глав</w:t>
      </w:r>
      <w:r w:rsidRPr="00925F26">
        <w:rPr>
          <w:color w:val="000000" w:themeColor="text1"/>
          <w:sz w:val="16"/>
          <w:szCs w:val="16"/>
        </w:rPr>
        <w:softHyphen/>
        <w:t>ного инженера завода № 62 т.Хвостюка.</w:t>
      </w:r>
    </w:p>
    <w:p w14:paraId="3E1A45CF" w14:textId="77777777" w:rsidR="001D045B" w:rsidRPr="00925F26" w:rsidRDefault="001D045B" w:rsidP="00925F26">
      <w:pPr>
        <w:tabs>
          <w:tab w:val="left" w:pos="803"/>
        </w:tabs>
        <w:jc w:val="both"/>
        <w:rPr>
          <w:color w:val="000000" w:themeColor="text1"/>
          <w:sz w:val="16"/>
          <w:szCs w:val="16"/>
        </w:rPr>
      </w:pPr>
      <w:r w:rsidRPr="00925F26">
        <w:rPr>
          <w:color w:val="000000" w:themeColor="text1"/>
          <w:sz w:val="16"/>
          <w:szCs w:val="16"/>
        </w:rPr>
        <w:t>3. Обязать Наркомавиапром - т.Шахурина командиро</w:t>
      </w:r>
      <w:r w:rsidRPr="00925F26">
        <w:rPr>
          <w:color w:val="000000" w:themeColor="text1"/>
          <w:sz w:val="16"/>
          <w:szCs w:val="16"/>
        </w:rPr>
        <w:softHyphen/>
        <w:t>вать 80 человек инженерно-технических работников и квалифицированных рабочих для руководства демонтажом оборудования, в том числе в г.Познань - 20 человек, Бирнбаум - 10 человек, Андрыхув - 10 человек, Мезеритц - 20 человек, Бунцлау - 10 человек и Хальбау - 10 человек.</w:t>
      </w:r>
    </w:p>
    <w:p w14:paraId="10F4EF98" w14:textId="77777777" w:rsidR="001D045B" w:rsidRPr="00925F26" w:rsidRDefault="001D045B" w:rsidP="00925F26">
      <w:pPr>
        <w:tabs>
          <w:tab w:val="left" w:pos="803"/>
        </w:tabs>
        <w:jc w:val="both"/>
        <w:rPr>
          <w:color w:val="000000" w:themeColor="text1"/>
          <w:sz w:val="16"/>
          <w:szCs w:val="16"/>
        </w:rPr>
      </w:pPr>
      <w:r w:rsidRPr="00925F26">
        <w:rPr>
          <w:color w:val="000000" w:themeColor="text1"/>
          <w:sz w:val="16"/>
          <w:szCs w:val="16"/>
        </w:rPr>
        <w:t>4. Обязать начальника Главного Трофейного Управ</w:t>
      </w:r>
      <w:r w:rsidRPr="00925F26">
        <w:rPr>
          <w:color w:val="000000" w:themeColor="text1"/>
          <w:sz w:val="16"/>
          <w:szCs w:val="16"/>
        </w:rPr>
        <w:softHyphen/>
        <w:t>ления НКО - т.Вахитова:</w:t>
      </w:r>
    </w:p>
    <w:p w14:paraId="1F984215" w14:textId="77777777" w:rsidR="001D045B" w:rsidRPr="00925F26" w:rsidRDefault="001D045B" w:rsidP="00925F26">
      <w:pPr>
        <w:pStyle w:val="28"/>
        <w:framePr w:h="220" w:wrap="notBeside" w:hAnchor="margin" w:x="5465" w:y="2"/>
        <w:shd w:val="clear" w:color="auto" w:fill="auto"/>
        <w:spacing w:before="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II</w:t>
      </w:r>
      <w:r w:rsidRPr="00925F26">
        <w:rPr>
          <w:rStyle w:val="2Batang85pt0pt"/>
          <w:rFonts w:ascii="Times New Roman" w:hAnsi="Times New Roman" w:cs="Times New Roman"/>
          <w:i w:val="0"/>
          <w:color w:val="000000" w:themeColor="text1"/>
          <w:sz w:val="16"/>
          <w:szCs w:val="16"/>
        </w:rPr>
        <w:t>3</w:t>
      </w:r>
    </w:p>
    <w:p w14:paraId="2F2BEB62" w14:textId="77777777" w:rsidR="001D045B" w:rsidRPr="00925F26" w:rsidRDefault="001D045B"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а) до 15 апреля </w:t>
      </w:r>
      <w:r w:rsidRPr="00925F26">
        <w:rPr>
          <w:rStyle w:val="1pt"/>
          <w:rFonts w:ascii="Times New Roman" w:cs="Times New Roman"/>
          <w:color w:val="000000" w:themeColor="text1"/>
          <w:spacing w:val="0"/>
          <w:sz w:val="16"/>
          <w:szCs w:val="16"/>
        </w:rPr>
        <w:t>о.г.</w:t>
      </w:r>
      <w:r w:rsidRPr="00925F26">
        <w:rPr>
          <w:rFonts w:ascii="Times New Roman" w:cs="Times New Roman"/>
          <w:color w:val="000000" w:themeColor="text1"/>
          <w:spacing w:val="0"/>
          <w:sz w:val="16"/>
          <w:szCs w:val="16"/>
        </w:rPr>
        <w:t xml:space="preserve"> произвести все работы по </w:t>
      </w:r>
      <w:r w:rsidRPr="00925F26">
        <w:rPr>
          <w:rStyle w:val="-1pt"/>
          <w:rFonts w:ascii="Times New Roman" w:hAnsi="Times New Roman" w:cs="Times New Roman"/>
          <w:color w:val="000000" w:themeColor="text1"/>
          <w:spacing w:val="0"/>
          <w:sz w:val="16"/>
          <w:szCs w:val="16"/>
        </w:rPr>
        <w:t>де</w:t>
      </w:r>
      <w:r w:rsidRPr="00925F26">
        <w:rPr>
          <w:rStyle w:val="-1pt"/>
          <w:rFonts w:ascii="Times New Roman" w:hAnsi="Times New Roman" w:cs="Times New Roman"/>
          <w:color w:val="000000" w:themeColor="text1"/>
          <w:spacing w:val="0"/>
          <w:sz w:val="16"/>
          <w:szCs w:val="16"/>
        </w:rPr>
        <w:softHyphen/>
      </w:r>
      <w:r w:rsidRPr="00925F26">
        <w:rPr>
          <w:rFonts w:ascii="Times New Roman" w:cs="Times New Roman"/>
          <w:color w:val="000000" w:themeColor="text1"/>
          <w:spacing w:val="0"/>
          <w:sz w:val="16"/>
          <w:szCs w:val="16"/>
        </w:rPr>
        <w:t>монтажу и отгрузке на заводы Наркомавиапрома оборудова ния и материалов, перечисленных в пункте 1 настояще</w:t>
      </w:r>
      <w:r w:rsidRPr="00925F26">
        <w:rPr>
          <w:rFonts w:ascii="Times New Roman" w:cs="Times New Roman"/>
          <w:color w:val="000000" w:themeColor="text1"/>
          <w:spacing w:val="0"/>
          <w:sz w:val="16"/>
          <w:szCs w:val="16"/>
        </w:rPr>
        <w:softHyphen/>
        <w:t xml:space="preserve">го постановления, начав. работы с 10 марта </w:t>
      </w:r>
      <w:r w:rsidRPr="00925F26">
        <w:rPr>
          <w:rStyle w:val="1pt"/>
          <w:rFonts w:ascii="Times New Roman" w:cs="Times New Roman"/>
          <w:color w:val="000000" w:themeColor="text1"/>
          <w:spacing w:val="0"/>
          <w:sz w:val="16"/>
          <w:szCs w:val="16"/>
        </w:rPr>
        <w:t>с.г.;</w:t>
      </w:r>
    </w:p>
    <w:p w14:paraId="42F1DA94" w14:textId="77777777" w:rsidR="001D045B" w:rsidRPr="00925F26" w:rsidRDefault="001D045B"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б) </w:t>
      </w:r>
      <w:proofErr w:type="gramStart"/>
      <w:r w:rsidRPr="00925F26">
        <w:rPr>
          <w:rFonts w:ascii="Times New Roman" w:cs="Times New Roman"/>
          <w:color w:val="000000" w:themeColor="text1"/>
          <w:spacing w:val="0"/>
          <w:sz w:val="16"/>
          <w:szCs w:val="16"/>
        </w:rPr>
        <w:t>выделить .для</w:t>
      </w:r>
      <w:proofErr w:type="gramEnd"/>
      <w:r w:rsidRPr="00925F26">
        <w:rPr>
          <w:rFonts w:ascii="Times New Roman" w:cs="Times New Roman"/>
          <w:color w:val="000000" w:themeColor="text1"/>
          <w:spacing w:val="0"/>
          <w:sz w:val="16"/>
          <w:szCs w:val="16"/>
        </w:rPr>
        <w:t xml:space="preserve"> демоктажа и отгрузки указанного оборудования 1000 человек, из них по 1 Украинскому фронту - 400 человек и по 1 Белорусскому - 600 чело</w:t>
      </w:r>
      <w:r w:rsidRPr="00925F26">
        <w:rPr>
          <w:rFonts w:ascii="Times New Roman" w:cs="Times New Roman"/>
          <w:color w:val="000000" w:themeColor="text1"/>
          <w:spacing w:val="0"/>
          <w:sz w:val="16"/>
          <w:szCs w:val="16"/>
        </w:rPr>
        <w:softHyphen/>
        <w:t>век.</w:t>
      </w:r>
    </w:p>
    <w:p w14:paraId="535B40A6" w14:textId="77777777" w:rsidR="001D045B" w:rsidRPr="00925F26" w:rsidRDefault="001D045B"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lastRenderedPageBreak/>
        <w:t>5. Обязать ВВ КА - т.Новикова и командующих 2 и 16 Воздушными армиями - т.т.Красовскогс и Руденко оказать Наркомавиапрому необходимую помощь людьми и транспортом в демонтаже и отгрузке оборудования с перечисленных в пункте 1 немеиких авиационных заво</w:t>
      </w:r>
      <w:r w:rsidRPr="00925F26">
        <w:rPr>
          <w:rFonts w:ascii="Times New Roman" w:cs="Times New Roman"/>
          <w:color w:val="000000" w:themeColor="text1"/>
          <w:spacing w:val="0"/>
          <w:sz w:val="16"/>
          <w:szCs w:val="16"/>
        </w:rPr>
        <w:softHyphen/>
        <w:t>дов.</w:t>
      </w:r>
    </w:p>
    <w:p w14:paraId="6ECBF4D2" w14:textId="77777777" w:rsidR="001D045B" w:rsidRPr="00925F26" w:rsidRDefault="001D045B"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6. Обязать НКПС - т.Ковалева и ВОСО - т.Дмитриева выделить по заявке уполномоченных Особого Комитета - т.т.Сабурова и Зернова необходимое количество вагонов для отгрузки </w:t>
      </w:r>
      <w:proofErr w:type="gramStart"/>
      <w:r w:rsidRPr="00925F26">
        <w:rPr>
          <w:rFonts w:ascii="Times New Roman" w:cs="Times New Roman"/>
          <w:color w:val="000000" w:themeColor="text1"/>
          <w:spacing w:val="0"/>
          <w:sz w:val="16"/>
          <w:szCs w:val="16"/>
        </w:rPr>
        <w:t xml:space="preserve">оборудования </w:t>
      </w:r>
      <w:r w:rsidRPr="00925F26">
        <w:rPr>
          <w:rStyle w:val="-1pt"/>
          <w:rFonts w:ascii="Times New Roman" w:hAnsi="Times New Roman" w:cs="Times New Roman"/>
          <w:color w:val="000000" w:themeColor="text1"/>
          <w:spacing w:val="0"/>
          <w:sz w:val="16"/>
          <w:szCs w:val="16"/>
        </w:rPr>
        <w:t>,</w:t>
      </w:r>
      <w:proofErr w:type="gramEnd"/>
      <w:r w:rsidRPr="00925F26">
        <w:rPr>
          <w:rStyle w:val="-1pt"/>
          <w:rFonts w:ascii="Times New Roman" w:hAnsi="Times New Roman" w:cs="Times New Roman"/>
          <w:color w:val="000000" w:themeColor="text1"/>
          <w:spacing w:val="0"/>
          <w:sz w:val="16"/>
          <w:szCs w:val="16"/>
        </w:rPr>
        <w:t>-ма</w:t>
      </w:r>
      <w:r w:rsidRPr="00925F26">
        <w:rPr>
          <w:rFonts w:ascii="Times New Roman" w:cs="Times New Roman"/>
          <w:color w:val="000000" w:themeColor="text1"/>
          <w:spacing w:val="0"/>
          <w:sz w:val="16"/>
          <w:szCs w:val="16"/>
        </w:rPr>
        <w:t xml:space="preserve">териалов, перечисленных в пункте 1 настоящего </w:t>
      </w:r>
      <w:r w:rsidRPr="00925F26">
        <w:rPr>
          <w:rStyle w:val="1pt"/>
          <w:rFonts w:ascii="Times New Roman" w:cs="Times New Roman"/>
          <w:color w:val="000000" w:themeColor="text1"/>
          <w:spacing w:val="0"/>
          <w:sz w:val="16"/>
          <w:szCs w:val="16"/>
        </w:rPr>
        <w:t xml:space="preserve">постановления </w:t>
      </w:r>
      <w:r w:rsidRPr="00925F26">
        <w:rPr>
          <w:rFonts w:ascii="Times New Roman" w:cs="Times New Roman"/>
          <w:color w:val="000000" w:themeColor="text1"/>
          <w:spacing w:val="0"/>
          <w:sz w:val="16"/>
          <w:szCs w:val="16"/>
        </w:rPr>
        <w:t>(19518).</w:t>
      </w:r>
    </w:p>
    <w:p w14:paraId="217C184C" w14:textId="77777777" w:rsidR="00D86C3E" w:rsidRPr="00925F26" w:rsidRDefault="00D86C3E" w:rsidP="00925F26">
      <w:pPr>
        <w:autoSpaceDE w:val="0"/>
        <w:autoSpaceDN w:val="0"/>
        <w:adjustRightInd w:val="0"/>
        <w:jc w:val="both"/>
        <w:rPr>
          <w:color w:val="000000" w:themeColor="text1"/>
          <w:sz w:val="16"/>
          <w:szCs w:val="16"/>
        </w:rPr>
      </w:pPr>
    </w:p>
    <w:p w14:paraId="30BCE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ГОКО N 7695с о демонтаже и вывозу оборудования с заводов: самолетно-агрегатного Фокке-Вульф в гг. Бирнбаум и Познань на 272 в Ленинграде, моторно-агрегатного Даймлер-Бенц в Мезеритц на 265 в Воронеже, винтовому в Хольбау в Ступино на 150, крыльевого в Бунцлау на 82 в Москве, Фокке-Вульф в Андрыхуве на 272 в Ленинград (1874,10).</w:t>
      </w:r>
    </w:p>
    <w:p w14:paraId="59EDA7CC" w14:textId="77777777" w:rsidR="00665165" w:rsidRPr="00925F26" w:rsidRDefault="00665165" w:rsidP="00925F26">
      <w:pPr>
        <w:autoSpaceDE w:val="0"/>
        <w:autoSpaceDN w:val="0"/>
        <w:adjustRightInd w:val="0"/>
        <w:jc w:val="both"/>
        <w:rPr>
          <w:color w:val="000000" w:themeColor="text1"/>
          <w:sz w:val="16"/>
          <w:szCs w:val="16"/>
        </w:rPr>
      </w:pPr>
    </w:p>
    <w:p w14:paraId="0D4B189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4FB771B" w14:textId="77777777" w:rsidR="00665165" w:rsidRPr="00925F26" w:rsidRDefault="00665165" w:rsidP="00925F26">
      <w:pPr>
        <w:autoSpaceDE w:val="0"/>
        <w:autoSpaceDN w:val="0"/>
        <w:adjustRightInd w:val="0"/>
        <w:jc w:val="both"/>
        <w:rPr>
          <w:iCs/>
          <w:color w:val="000000" w:themeColor="text1"/>
          <w:sz w:val="16"/>
          <w:szCs w:val="16"/>
        </w:rPr>
      </w:pPr>
    </w:p>
    <w:p w14:paraId="6C23E19A" w14:textId="77777777" w:rsidR="0054083F" w:rsidRPr="00925F26" w:rsidRDefault="0054083F" w:rsidP="00925F26">
      <w:pPr>
        <w:jc w:val="both"/>
        <w:rPr>
          <w:color w:val="000000" w:themeColor="text1"/>
          <w:sz w:val="16"/>
          <w:szCs w:val="16"/>
        </w:rPr>
      </w:pPr>
      <w:r w:rsidRPr="00925F26">
        <w:rPr>
          <w:color w:val="000000" w:themeColor="text1"/>
          <w:sz w:val="16"/>
          <w:szCs w:val="16"/>
        </w:rPr>
        <w:t>6 марта 1945 года, по сообщению наркомата внешней торговли, в Советский Союз отправились образцы английской военной техники. Шли они, так сказать, на пробу, причем изначально запрошенные танки-истребители Challenger англичане так и не дали (потом что выпуск их уже закончился). Зато в списке имелось 3 "огнеметных танка Крокодил". Сообщалось, что матчасть прибудет в СССР в марте-апреле 1945 года. Действительно, уже в апреле 1945 года прибыл конвой JW-66, с которым поступило 3 танка. Они имели регистрационные номера T.252466/K, T.2524688/K и T.252469/K, дробь с буквой K означала, что они огнеметные (23352).</w:t>
      </w:r>
    </w:p>
    <w:p w14:paraId="3792D2A6" w14:textId="77777777" w:rsidR="0054083F" w:rsidRPr="00925F26" w:rsidRDefault="0054083F" w:rsidP="00925F26">
      <w:pPr>
        <w:jc w:val="both"/>
        <w:rPr>
          <w:color w:val="000000" w:themeColor="text1"/>
          <w:sz w:val="16"/>
          <w:szCs w:val="16"/>
        </w:rPr>
      </w:pPr>
      <w:r w:rsidRPr="00925F26">
        <w:rPr>
          <w:color w:val="000000" w:themeColor="text1"/>
          <w:sz w:val="16"/>
          <w:szCs w:val="16"/>
        </w:rPr>
        <w:t>В апреле 1945 года в СССР прибыл конвой JW-66, с которым поступило 3 танка Churchill VII Crocodile. Они имели регистрационные номера T.252466/K, T.2524688/K и T.252469/K, дробь с буквой K означала, что они огнеметные.</w:t>
      </w:r>
    </w:p>
    <w:p w14:paraId="16A7EDF8" w14:textId="77777777" w:rsidR="0054083F" w:rsidRPr="00925F26" w:rsidRDefault="0054083F" w:rsidP="00925F26">
      <w:pPr>
        <w:jc w:val="both"/>
        <w:rPr>
          <w:color w:val="000000" w:themeColor="text1"/>
          <w:sz w:val="16"/>
          <w:szCs w:val="16"/>
        </w:rPr>
      </w:pPr>
      <w:r w:rsidRPr="00925F26">
        <w:rPr>
          <w:color w:val="000000" w:themeColor="text1"/>
          <w:sz w:val="16"/>
          <w:szCs w:val="16"/>
        </w:rPr>
        <w:t>Концепция "Крокодила" разительно отличалась от того, что строилось в Советском Союзе, Германии и США. При этом нельзя сказать, что англичане создали что-то совсем оригинальное. Поначалу англичане были как все, то есть баллоны с огнесмесью размещались на корме корпуса. Таким был Churchill Oke, первый английский огнеметный танк, примененный в бою. Но далее концепция поменялась. Фактически английские военные взяли на вооружение концепцию итальянской огнеметной танкетки CV-35 (L 3). У нее в корпусе размещался только огнемет, а огнесмесь перевозилась в специальном одноосном полуприцепе. И если итальянцы были попросту вынуждены возить так огнесмесь, поскольку внутри корпуса баки не помещались, то англичане пошли на такое размещение боезапаса сознательно. Это позволяло изолировать экипаж от огнесмеси, заодно упрощалась и перезарядка.</w:t>
      </w:r>
    </w:p>
    <w:p w14:paraId="4360F765" w14:textId="77777777" w:rsidR="0054083F" w:rsidRPr="00925F26" w:rsidRDefault="0054083F" w:rsidP="00925F26">
      <w:pPr>
        <w:jc w:val="both"/>
        <w:rPr>
          <w:color w:val="000000" w:themeColor="text1"/>
          <w:sz w:val="16"/>
          <w:szCs w:val="16"/>
        </w:rPr>
      </w:pPr>
      <w:r w:rsidRPr="00925F26">
        <w:rPr>
          <w:color w:val="000000" w:themeColor="text1"/>
          <w:sz w:val="16"/>
          <w:szCs w:val="16"/>
        </w:rPr>
        <w:t>Не менее важным моментом стало то, что Churchill Crocodile не требовал существенной переделке базового танка. Все изменения состояли в замене курсового пулемета BESA на огнемет, прокладке трубопроводов и установке в кормовом листе шарнирного устройства для крепления прицепа. В случае необходимости огнеметный танк можно было оперативно переделать обратно в линейный. Такая система позволила очень быстро организовать выпуск Churchill VII Crocodile, а главное, в очень больших объемах. По имеющимся данным в огнеметные танки переделали около 800 Churchill VII и Churchill VIII, это примерно половина от общего объёма выпуска. Не менее важным моментом стало то, что эти танки появились не под занавес войны, когда уже были не нужны. К началу операции Overlord эти танки уже находились в войсках, они активно применялись с самого начала высадки в Нормандии. Больше того, действовали они совместно с американскими частями, у которых огнеметных танков не оказалось. Учитывая массовость и дальность действия огнемета, можно говорить о том, что Churchill VII Crocodile был одним из лучших огнеметных танков Второй мировой войны. Эти машины сыграли довольно важную роль в боевых операциях 1944-45 годов (23352).</w:t>
      </w:r>
    </w:p>
    <w:p w14:paraId="79FFAF49" w14:textId="77777777" w:rsidR="0054083F" w:rsidRPr="00925F26" w:rsidRDefault="0054083F" w:rsidP="00925F26">
      <w:pPr>
        <w:jc w:val="both"/>
        <w:rPr>
          <w:color w:val="000000" w:themeColor="text1"/>
          <w:sz w:val="16"/>
          <w:szCs w:val="16"/>
        </w:rPr>
      </w:pPr>
    </w:p>
    <w:p w14:paraId="0E1512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7686 О вывозе оборудования заводов карбид-кальция и синтетического каучука с химического комбината в г. Освенцим. РГАНИР, Фонд ГКО, д. 377, лл. 89-90 (11012).</w:t>
      </w:r>
    </w:p>
    <w:p w14:paraId="596A6ACE" w14:textId="77777777" w:rsidR="00665165" w:rsidRPr="00925F26" w:rsidRDefault="00665165" w:rsidP="00925F26">
      <w:pPr>
        <w:autoSpaceDE w:val="0"/>
        <w:autoSpaceDN w:val="0"/>
        <w:adjustRightInd w:val="0"/>
        <w:jc w:val="both"/>
        <w:rPr>
          <w:color w:val="000000" w:themeColor="text1"/>
          <w:sz w:val="16"/>
          <w:szCs w:val="16"/>
        </w:rPr>
      </w:pPr>
    </w:p>
    <w:p w14:paraId="629052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7687 О вывозе оборудования с немецкого завода нитроглицериновых порохов фирмы "Альфред Нобель и К'" - г. Бромберг (Быгдощ). РГАНИР, Фонд ГКО, д. 377, лл. 91-92 (11012).</w:t>
      </w:r>
    </w:p>
    <w:p w14:paraId="55AE67E9" w14:textId="77777777" w:rsidR="00665165" w:rsidRPr="00925F26" w:rsidRDefault="00665165" w:rsidP="00925F26">
      <w:pPr>
        <w:autoSpaceDE w:val="0"/>
        <w:autoSpaceDN w:val="0"/>
        <w:adjustRightInd w:val="0"/>
        <w:jc w:val="both"/>
        <w:rPr>
          <w:color w:val="000000" w:themeColor="text1"/>
          <w:sz w:val="16"/>
          <w:szCs w:val="16"/>
        </w:rPr>
      </w:pPr>
    </w:p>
    <w:p w14:paraId="1ED53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7688 О разборке железнодорожных линий на территории Германии. РГАНИР, Фонд ГКО, д. 377, лл. 93-94, 95-97 (11012).</w:t>
      </w:r>
    </w:p>
    <w:p w14:paraId="7506E8A5" w14:textId="77777777" w:rsidR="00665165" w:rsidRPr="00925F26" w:rsidRDefault="00665165" w:rsidP="00925F26">
      <w:pPr>
        <w:autoSpaceDE w:val="0"/>
        <w:autoSpaceDN w:val="0"/>
        <w:adjustRightInd w:val="0"/>
        <w:jc w:val="both"/>
        <w:rPr>
          <w:color w:val="000000" w:themeColor="text1"/>
          <w:sz w:val="16"/>
          <w:szCs w:val="16"/>
        </w:rPr>
      </w:pPr>
    </w:p>
    <w:p w14:paraId="2517F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7689 О вывозе немецкого оборудования по производству корпусов артснарядов с завода "Остхютте" (г. Сосновец) и с завода "Граф Ренард" (г. Сосновец). РГАНИР, Фонд ГКО, д. 377, лл. 98-99 (11012).</w:t>
      </w:r>
    </w:p>
    <w:p w14:paraId="23FD63DD" w14:textId="77777777" w:rsidR="00665165" w:rsidRPr="00925F26" w:rsidRDefault="00665165" w:rsidP="00925F26">
      <w:pPr>
        <w:autoSpaceDE w:val="0"/>
        <w:autoSpaceDN w:val="0"/>
        <w:adjustRightInd w:val="0"/>
        <w:jc w:val="both"/>
        <w:rPr>
          <w:color w:val="000000" w:themeColor="text1"/>
          <w:sz w:val="16"/>
          <w:szCs w:val="16"/>
        </w:rPr>
      </w:pPr>
    </w:p>
    <w:p w14:paraId="4AECE3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7690 О вывозе оборудования немецкого завода "Альт Глейвиц Хютте" по производству корпусов артснарядов (г. Глейвиц). РГАНИР, Фонд ГКО, д. 377, лл. 100-101 (11012).</w:t>
      </w:r>
    </w:p>
    <w:p w14:paraId="7CE0E457" w14:textId="77777777" w:rsidR="00665165" w:rsidRPr="00925F26" w:rsidRDefault="00665165" w:rsidP="00925F26">
      <w:pPr>
        <w:autoSpaceDE w:val="0"/>
        <w:autoSpaceDN w:val="0"/>
        <w:adjustRightInd w:val="0"/>
        <w:jc w:val="both"/>
        <w:rPr>
          <w:color w:val="000000" w:themeColor="text1"/>
          <w:sz w:val="16"/>
          <w:szCs w:val="16"/>
        </w:rPr>
      </w:pPr>
    </w:p>
    <w:p w14:paraId="5AA4C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7691 О вывозе с немецких заводов Верхней Силезии оборудования по производству артиллерии и патронов. РГАНИР, Фонд ГКО, д. 377, лл. 102-105 (11012).</w:t>
      </w:r>
    </w:p>
    <w:p w14:paraId="7FCA57F1" w14:textId="77777777" w:rsidR="00665165" w:rsidRPr="00925F26" w:rsidRDefault="00665165" w:rsidP="00925F26">
      <w:pPr>
        <w:autoSpaceDE w:val="0"/>
        <w:autoSpaceDN w:val="0"/>
        <w:adjustRightInd w:val="0"/>
        <w:jc w:val="both"/>
        <w:rPr>
          <w:color w:val="000000" w:themeColor="text1"/>
          <w:sz w:val="16"/>
          <w:szCs w:val="16"/>
        </w:rPr>
      </w:pPr>
    </w:p>
    <w:p w14:paraId="109CC1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вышло Постановление ГКО № 7692 «О вывозе оборудования и материалов военно-химического завода “Аноргана Верк”, расположенного в г. Дихернфурте (Германия, Силезия)» (Д. 457. Л. 105–106).</w:t>
      </w:r>
    </w:p>
    <w:p w14:paraId="68B3270F" w14:textId="77777777" w:rsidR="00665165" w:rsidRPr="00925F26" w:rsidRDefault="00665165" w:rsidP="00925F26">
      <w:pPr>
        <w:autoSpaceDE w:val="0"/>
        <w:autoSpaceDN w:val="0"/>
        <w:adjustRightInd w:val="0"/>
        <w:jc w:val="both"/>
        <w:rPr>
          <w:color w:val="000000" w:themeColor="text1"/>
          <w:sz w:val="16"/>
          <w:szCs w:val="16"/>
        </w:rPr>
      </w:pPr>
    </w:p>
    <w:p w14:paraId="3BEE6A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Постановление ГКО № 7693 «О вывозе оборудования бронекорпусного производства с завода “Хута Банкова” в г. Домброва Гурна на завод № 264 Наркомтанкопрома в г. Сталинград» (Д. 457. Л. 108–109).</w:t>
      </w:r>
    </w:p>
    <w:p w14:paraId="447B7A78" w14:textId="77777777" w:rsidR="00665165" w:rsidRPr="00925F26" w:rsidRDefault="00665165" w:rsidP="00925F26">
      <w:pPr>
        <w:autoSpaceDE w:val="0"/>
        <w:autoSpaceDN w:val="0"/>
        <w:adjustRightInd w:val="0"/>
        <w:jc w:val="both"/>
        <w:rPr>
          <w:color w:val="000000" w:themeColor="text1"/>
          <w:sz w:val="16"/>
          <w:szCs w:val="16"/>
        </w:rPr>
      </w:pPr>
    </w:p>
    <w:p w14:paraId="50162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вышло Постановление ГКО № 7694 «О вывозе оборудования бронекорпусного производства с заводов “Бисмарк-Хута Батория” (г. Великие Гайдуки) и “Гутнер” (местечко Хохенлинде близ г. Беутен) на Ижорский завод Наркомтанкопрома в гор. Ленинград» (Д. 457. Л. 111–112).</w:t>
      </w:r>
    </w:p>
    <w:p w14:paraId="7D8078A8" w14:textId="77777777" w:rsidR="00665165" w:rsidRPr="00925F26" w:rsidRDefault="00665165" w:rsidP="00925F26">
      <w:pPr>
        <w:autoSpaceDE w:val="0"/>
        <w:autoSpaceDN w:val="0"/>
        <w:adjustRightInd w:val="0"/>
        <w:jc w:val="both"/>
        <w:rPr>
          <w:color w:val="000000" w:themeColor="text1"/>
          <w:sz w:val="16"/>
          <w:szCs w:val="16"/>
        </w:rPr>
      </w:pPr>
    </w:p>
    <w:p w14:paraId="44A1BA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Постановление ГКО № 7696 «О вывозе оборудования с немецких машиностроительных заводов “Оберхютте Шталь унд Прессверке” г. Глейвиц, “Донасмаркверке” концерна “Оберхютте” г. Гинденбург и “Обершлезише Кессельверке” г. Глейвиц» (Д. 457. 118–119).</w:t>
      </w:r>
    </w:p>
    <w:p w14:paraId="0B8312DB" w14:textId="77777777" w:rsidR="00665165" w:rsidRPr="00925F26" w:rsidRDefault="00665165" w:rsidP="00925F26">
      <w:pPr>
        <w:autoSpaceDE w:val="0"/>
        <w:autoSpaceDN w:val="0"/>
        <w:adjustRightInd w:val="0"/>
        <w:jc w:val="both"/>
        <w:rPr>
          <w:color w:val="000000" w:themeColor="text1"/>
          <w:sz w:val="16"/>
          <w:szCs w:val="16"/>
        </w:rPr>
      </w:pPr>
    </w:p>
    <w:p w14:paraId="3E7722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7697 О вывозе цветных металлов, концентратов и химикатов с предприятий свинцово-цинковой промышленности Верхней Силезии. РГАНИР, Фонд ГКО, д. 377, лл. 118-119, 120-123 (11012).</w:t>
      </w:r>
    </w:p>
    <w:p w14:paraId="7B659CF6" w14:textId="77777777" w:rsidR="00665165" w:rsidRPr="00925F26" w:rsidRDefault="00665165" w:rsidP="00925F26">
      <w:pPr>
        <w:autoSpaceDE w:val="0"/>
        <w:autoSpaceDN w:val="0"/>
        <w:adjustRightInd w:val="0"/>
        <w:jc w:val="both"/>
        <w:rPr>
          <w:color w:val="000000" w:themeColor="text1"/>
          <w:sz w:val="16"/>
          <w:szCs w:val="16"/>
        </w:rPr>
      </w:pPr>
    </w:p>
    <w:p w14:paraId="04437A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7698 О вывозе оборудования с немецкого кабельного завода фирмы "Ганс и Альвире Пресцамм" в городе Дзедзице. РГАНИР, Фонд ГКО, д. 377, лл. 124-125 (11012).</w:t>
      </w:r>
    </w:p>
    <w:p w14:paraId="2BAE727C" w14:textId="77777777" w:rsidR="00665165" w:rsidRPr="00925F26" w:rsidRDefault="00665165" w:rsidP="00925F26">
      <w:pPr>
        <w:autoSpaceDE w:val="0"/>
        <w:autoSpaceDN w:val="0"/>
        <w:adjustRightInd w:val="0"/>
        <w:jc w:val="both"/>
        <w:rPr>
          <w:color w:val="000000" w:themeColor="text1"/>
          <w:sz w:val="16"/>
          <w:szCs w:val="16"/>
        </w:rPr>
      </w:pPr>
    </w:p>
    <w:p w14:paraId="5E6ABB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7699 О вывозе оборудования с радиозавода фирмы "Телефункен" и завода свинцовых аккумуляторов фирмы АФА в гор. Познань. РГАНИР, Фонд ГКО, д. 377, лл. 126-127 (11012).</w:t>
      </w:r>
    </w:p>
    <w:p w14:paraId="3F9A217B" w14:textId="77777777" w:rsidR="00665165" w:rsidRPr="00925F26" w:rsidRDefault="00665165" w:rsidP="00925F26">
      <w:pPr>
        <w:autoSpaceDE w:val="0"/>
        <w:autoSpaceDN w:val="0"/>
        <w:adjustRightInd w:val="0"/>
        <w:jc w:val="both"/>
        <w:rPr>
          <w:color w:val="000000" w:themeColor="text1"/>
          <w:sz w:val="16"/>
          <w:szCs w:val="16"/>
        </w:rPr>
      </w:pPr>
    </w:p>
    <w:p w14:paraId="170337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7700 О вывозе оборудования с немецких тормозных заводов фирмы "Кнорр-Бремзе" в гор. Сосновец и гор. Мишков. РГАНИР, Фонд ГКО, д. 377, лл. 128-129 (11012).</w:t>
      </w:r>
    </w:p>
    <w:p w14:paraId="71756F88" w14:textId="77777777" w:rsidR="00665165" w:rsidRPr="00925F26" w:rsidRDefault="00665165" w:rsidP="00925F26">
      <w:pPr>
        <w:autoSpaceDE w:val="0"/>
        <w:autoSpaceDN w:val="0"/>
        <w:adjustRightInd w:val="0"/>
        <w:jc w:val="both"/>
        <w:rPr>
          <w:color w:val="000000" w:themeColor="text1"/>
          <w:sz w:val="16"/>
          <w:szCs w:val="16"/>
        </w:rPr>
      </w:pPr>
    </w:p>
    <w:p w14:paraId="4144B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7701 О вывозе оборудования с немецкого вагоностроительного завода фирмы "Остдейтше Машинен унд Вагонфабрик" в г. Кенигсхютте. РГАНИР, Фонд ГКО, д. 377, лл. 130-131 (11012).</w:t>
      </w:r>
    </w:p>
    <w:p w14:paraId="0441B174" w14:textId="77777777" w:rsidR="00665165" w:rsidRPr="00925F26" w:rsidRDefault="00665165" w:rsidP="00925F26">
      <w:pPr>
        <w:autoSpaceDE w:val="0"/>
        <w:autoSpaceDN w:val="0"/>
        <w:adjustRightInd w:val="0"/>
        <w:jc w:val="both"/>
        <w:rPr>
          <w:color w:val="000000" w:themeColor="text1"/>
          <w:sz w:val="16"/>
          <w:szCs w:val="16"/>
        </w:rPr>
      </w:pPr>
    </w:p>
    <w:p w14:paraId="674168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7702 О вывозе оборудования с проволочно-канатного завода акционерного общества "Адольф Дайхсель" в г. Гинденбург. РГАНИР, Фонд ГКО, д. 377, лл. 132-133 (11012).</w:t>
      </w:r>
    </w:p>
    <w:p w14:paraId="535FAE56" w14:textId="77777777" w:rsidR="00665165" w:rsidRPr="00925F26" w:rsidRDefault="00665165" w:rsidP="00925F26">
      <w:pPr>
        <w:autoSpaceDE w:val="0"/>
        <w:autoSpaceDN w:val="0"/>
        <w:adjustRightInd w:val="0"/>
        <w:jc w:val="both"/>
        <w:rPr>
          <w:color w:val="000000" w:themeColor="text1"/>
          <w:sz w:val="16"/>
          <w:szCs w:val="16"/>
        </w:rPr>
      </w:pPr>
    </w:p>
    <w:p w14:paraId="18AFF5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7703 О вывозе оборудования с завода по переработке металлолома акционерного общества "Ферайнихте Обершлезише Хюттенверке" в г. Глейвиц. РГАНИР, Фонд ГКО, д. 377, лл. 134-135 (11012).</w:t>
      </w:r>
    </w:p>
    <w:p w14:paraId="31779984" w14:textId="77777777" w:rsidR="00665165" w:rsidRPr="00925F26" w:rsidRDefault="00665165" w:rsidP="00925F26">
      <w:pPr>
        <w:autoSpaceDE w:val="0"/>
        <w:autoSpaceDN w:val="0"/>
        <w:adjustRightInd w:val="0"/>
        <w:jc w:val="both"/>
        <w:rPr>
          <w:color w:val="000000" w:themeColor="text1"/>
          <w:sz w:val="16"/>
          <w:szCs w:val="16"/>
        </w:rPr>
      </w:pPr>
    </w:p>
    <w:p w14:paraId="54493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7704 О вывозе оборудования с завода "Дратверке" в г. Глейвиц. РГАНИР, Фонд ГКО, д. 377, лл. 136-137 (11012).</w:t>
      </w:r>
    </w:p>
    <w:p w14:paraId="17DBFA84" w14:textId="77777777" w:rsidR="00665165" w:rsidRPr="00925F26" w:rsidRDefault="00665165" w:rsidP="00925F26">
      <w:pPr>
        <w:autoSpaceDE w:val="0"/>
        <w:autoSpaceDN w:val="0"/>
        <w:adjustRightInd w:val="0"/>
        <w:jc w:val="both"/>
        <w:rPr>
          <w:color w:val="000000" w:themeColor="text1"/>
          <w:sz w:val="16"/>
          <w:szCs w:val="16"/>
        </w:rPr>
      </w:pPr>
    </w:p>
    <w:p w14:paraId="6D2656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6 марта 1945 вышло Постановление ГКО № 7705 О вывозе оборудования и материалов химического комбината "И.Г. Фарбениндустри" в гор. Хайдебрек (близ г. Козель). РГАНИР, Фонд ГКО, д. 377, лл. 138-139 (11012).</w:t>
      </w:r>
    </w:p>
    <w:p w14:paraId="72D116FB" w14:textId="77777777" w:rsidR="00665165" w:rsidRPr="00925F26" w:rsidRDefault="00665165" w:rsidP="00925F26">
      <w:pPr>
        <w:autoSpaceDE w:val="0"/>
        <w:autoSpaceDN w:val="0"/>
        <w:adjustRightInd w:val="0"/>
        <w:jc w:val="both"/>
        <w:rPr>
          <w:color w:val="000000" w:themeColor="text1"/>
          <w:sz w:val="16"/>
          <w:szCs w:val="16"/>
        </w:rPr>
      </w:pPr>
    </w:p>
    <w:p w14:paraId="5A6B9B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7706 О вывозе оборудования и материалов химического комбината "И.Г.Фарбениндустри" в г. Освенцим. РГАНИР, Фонд ГКО, д. 377, лл. 140-141 (11012).</w:t>
      </w:r>
    </w:p>
    <w:p w14:paraId="6D29773A" w14:textId="77777777" w:rsidR="00665165" w:rsidRPr="00925F26" w:rsidRDefault="00665165" w:rsidP="00925F26">
      <w:pPr>
        <w:autoSpaceDE w:val="0"/>
        <w:autoSpaceDN w:val="0"/>
        <w:adjustRightInd w:val="0"/>
        <w:jc w:val="both"/>
        <w:rPr>
          <w:color w:val="000000" w:themeColor="text1"/>
          <w:sz w:val="16"/>
          <w:szCs w:val="16"/>
        </w:rPr>
      </w:pPr>
    </w:p>
    <w:p w14:paraId="6ACFD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7707 О передаче Временному Польскому правительству некоторой части продовольственных товаров для снабжения городского населения о поставке сырья для текстильной промышленности Лодзи. РГАНИР, Фонд ГКО, д. 377, лл. 142-144 (11012).</w:t>
      </w:r>
    </w:p>
    <w:p w14:paraId="435AC5C3" w14:textId="77777777" w:rsidR="00665165" w:rsidRPr="00925F26" w:rsidRDefault="00665165" w:rsidP="00925F26">
      <w:pPr>
        <w:autoSpaceDE w:val="0"/>
        <w:autoSpaceDN w:val="0"/>
        <w:adjustRightInd w:val="0"/>
        <w:jc w:val="both"/>
        <w:rPr>
          <w:color w:val="000000" w:themeColor="text1"/>
          <w:sz w:val="16"/>
          <w:szCs w:val="16"/>
        </w:rPr>
      </w:pPr>
    </w:p>
    <w:p w14:paraId="0C61B2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7708 Об организации при Начальнике Тыла Красной Армии Управления по использованию угольных ресурсов Домбровского и Силезского угольных бассейнов для обеспечения углем фронтовых и прифронтовых железных дорог. РГАНИР, Фонд ГКО, д. 377, лл. 145-146 (11012).</w:t>
      </w:r>
    </w:p>
    <w:p w14:paraId="1AF9030E" w14:textId="77777777" w:rsidR="00665165" w:rsidRPr="00925F26" w:rsidRDefault="00665165" w:rsidP="00925F26">
      <w:pPr>
        <w:autoSpaceDE w:val="0"/>
        <w:autoSpaceDN w:val="0"/>
        <w:adjustRightInd w:val="0"/>
        <w:jc w:val="both"/>
        <w:rPr>
          <w:color w:val="000000" w:themeColor="text1"/>
          <w:sz w:val="16"/>
          <w:szCs w:val="16"/>
        </w:rPr>
      </w:pPr>
    </w:p>
    <w:p w14:paraId="5DF6F17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7709 О развитии разведочных работ в тресте "Грузнефть". (7312, 147-150,151).</w:t>
      </w:r>
    </w:p>
    <w:p w14:paraId="659B84E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47789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7710 [О принятии под охрану войск НКВД наиболее важных предприятий объединения "Уралнефть" и треста "Укрнефтезаводы".] (7312, 152-153).</w:t>
      </w:r>
    </w:p>
    <w:p w14:paraId="42EA732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74F81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7711. О принятии под охрану войск НКВД строящихся импортных заводов Наркомнефти. РГАНИР, Фонд ГКО, д. 377, лл. 154 (11012).</w:t>
      </w:r>
    </w:p>
    <w:p w14:paraId="0036FDEB" w14:textId="77777777" w:rsidR="00665165" w:rsidRPr="00925F26" w:rsidRDefault="00665165" w:rsidP="00925F26">
      <w:pPr>
        <w:autoSpaceDE w:val="0"/>
        <w:autoSpaceDN w:val="0"/>
        <w:adjustRightInd w:val="0"/>
        <w:jc w:val="both"/>
        <w:rPr>
          <w:color w:val="000000" w:themeColor="text1"/>
          <w:sz w:val="16"/>
          <w:szCs w:val="16"/>
        </w:rPr>
      </w:pPr>
    </w:p>
    <w:p w14:paraId="58B7DE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7712 О перенесении строительства заводов газовой сажи из района г. Саратова на газовое месторождение Дашава Дрогобычской области. РГАНИР, Фонд ГКО, д. 377, лл. 155-159, 160-161 (11012).</w:t>
      </w:r>
    </w:p>
    <w:p w14:paraId="20CDEBEB" w14:textId="77777777" w:rsidR="00665165" w:rsidRPr="00925F26" w:rsidRDefault="00665165" w:rsidP="00925F26">
      <w:pPr>
        <w:autoSpaceDE w:val="0"/>
        <w:autoSpaceDN w:val="0"/>
        <w:adjustRightInd w:val="0"/>
        <w:jc w:val="both"/>
        <w:rPr>
          <w:color w:val="000000" w:themeColor="text1"/>
          <w:sz w:val="16"/>
          <w:szCs w:val="16"/>
        </w:rPr>
      </w:pPr>
    </w:p>
    <w:p w14:paraId="16E066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7713. О выделении 10 машин "Студебеккер" заводу №19 НКАП. РГАНИР, Фонд ГКО, д. 377, лл. 162 (11012).</w:t>
      </w:r>
    </w:p>
    <w:p w14:paraId="39D36996" w14:textId="77777777" w:rsidR="00665165" w:rsidRPr="00925F26" w:rsidRDefault="00665165" w:rsidP="00925F26">
      <w:pPr>
        <w:autoSpaceDE w:val="0"/>
        <w:autoSpaceDN w:val="0"/>
        <w:adjustRightInd w:val="0"/>
        <w:jc w:val="both"/>
        <w:rPr>
          <w:color w:val="000000" w:themeColor="text1"/>
          <w:sz w:val="16"/>
          <w:szCs w:val="16"/>
        </w:rPr>
      </w:pPr>
    </w:p>
    <w:p w14:paraId="7E8667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Постановление ГКО № 7714 О мероприятиях по обеспечению производства полевых геологоразведочных работ Комитета по делам геологии при Совнаркоме СССР в 1945 году. РГАНИР, Фонд ГКО, д. 377, лл. 163-167, 168-175 (11012).</w:t>
      </w:r>
    </w:p>
    <w:p w14:paraId="052C231C" w14:textId="77777777" w:rsidR="00665165" w:rsidRPr="00925F26" w:rsidRDefault="00665165" w:rsidP="00925F26">
      <w:pPr>
        <w:autoSpaceDE w:val="0"/>
        <w:autoSpaceDN w:val="0"/>
        <w:adjustRightInd w:val="0"/>
        <w:jc w:val="both"/>
        <w:rPr>
          <w:color w:val="000000" w:themeColor="text1"/>
          <w:sz w:val="16"/>
          <w:szCs w:val="16"/>
        </w:rPr>
      </w:pPr>
    </w:p>
    <w:p w14:paraId="094BA47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7715 [О передаче НКПС с завода №112 НКТП запасных частей для дизеля ЦЭС на Амуре.] (7312, 176).</w:t>
      </w:r>
    </w:p>
    <w:p w14:paraId="35F0508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4E1DD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7716 [О передаче 200 грузовых машин НКАТ РСФСР для НКВД на апрель-май 1945 г.] (7312, 177).</w:t>
      </w:r>
    </w:p>
    <w:p w14:paraId="52DB8FE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C2D7A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7717. О дополнительном выделении нефтебитума заводам НКБ. РГАНИР, Фонд ГКО, д. 377, лл. 178 (11012).</w:t>
      </w:r>
    </w:p>
    <w:p w14:paraId="07C510F5" w14:textId="77777777" w:rsidR="00665165" w:rsidRPr="00925F26" w:rsidRDefault="00665165" w:rsidP="00925F26">
      <w:pPr>
        <w:autoSpaceDE w:val="0"/>
        <w:autoSpaceDN w:val="0"/>
        <w:adjustRightInd w:val="0"/>
        <w:jc w:val="both"/>
        <w:rPr>
          <w:color w:val="000000" w:themeColor="text1"/>
          <w:sz w:val="16"/>
          <w:szCs w:val="16"/>
        </w:rPr>
      </w:pPr>
    </w:p>
    <w:p w14:paraId="2E28448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7718 [О мерах по обеспечению производства спецукупорки в Латвийской и Литовской ССР.] (7312, 179-180).</w:t>
      </w:r>
    </w:p>
    <w:p w14:paraId="59D9810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837B3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7719. О поставках сырья аккумуляторным заводам НКЭП для производства танковых аккумуляторных батарей в марте 1945 г. РГАНИР, Фонд ГКО, д. 377, лл. 181-183 (11012).</w:t>
      </w:r>
    </w:p>
    <w:p w14:paraId="5BF9732C" w14:textId="77777777" w:rsidR="00665165" w:rsidRPr="00925F26" w:rsidRDefault="00665165" w:rsidP="00925F26">
      <w:pPr>
        <w:autoSpaceDE w:val="0"/>
        <w:autoSpaceDN w:val="0"/>
        <w:adjustRightInd w:val="0"/>
        <w:jc w:val="both"/>
        <w:rPr>
          <w:color w:val="000000" w:themeColor="text1"/>
          <w:sz w:val="16"/>
          <w:szCs w:val="16"/>
        </w:rPr>
      </w:pPr>
    </w:p>
    <w:p w14:paraId="0BC445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7720. О поставках сырья для производства корпусов 82 мм и 120 мм мин на Ташкентских заводах НКМВ и предприятиях НКВРГАНИР, Фонд ГКО, д. РГАНИР, Фонд ГКО, д. 377, лл. 184-185, 186-187 (11012).</w:t>
      </w:r>
    </w:p>
    <w:p w14:paraId="03AD7258" w14:textId="77777777" w:rsidR="00665165" w:rsidRPr="00925F26" w:rsidRDefault="00665165" w:rsidP="00925F26">
      <w:pPr>
        <w:autoSpaceDE w:val="0"/>
        <w:autoSpaceDN w:val="0"/>
        <w:adjustRightInd w:val="0"/>
        <w:jc w:val="both"/>
        <w:rPr>
          <w:color w:val="000000" w:themeColor="text1"/>
          <w:sz w:val="16"/>
          <w:szCs w:val="16"/>
        </w:rPr>
      </w:pPr>
    </w:p>
    <w:p w14:paraId="300842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7721. О поставке спецукупорки 160 мм мин заводам НКМВ. РГАНИР, Фонд ГКО, д. 377, лл. 188-191, 192-196 (11012).</w:t>
      </w:r>
    </w:p>
    <w:p w14:paraId="47FD7231" w14:textId="77777777" w:rsidR="00665165" w:rsidRPr="00925F26" w:rsidRDefault="00665165" w:rsidP="00925F26">
      <w:pPr>
        <w:autoSpaceDE w:val="0"/>
        <w:autoSpaceDN w:val="0"/>
        <w:adjustRightInd w:val="0"/>
        <w:jc w:val="both"/>
        <w:rPr>
          <w:color w:val="000000" w:themeColor="text1"/>
          <w:sz w:val="16"/>
          <w:szCs w:val="16"/>
        </w:rPr>
      </w:pPr>
    </w:p>
    <w:p w14:paraId="61129C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7722. О мерах по обеспечению снаряжательных заводов НКБ корпусами снарядов и мин в марте 1945 г. РГАНИР, Фонд ГКО, д. 377, лл. 197-201, 202-214 (11012).</w:t>
      </w:r>
    </w:p>
    <w:p w14:paraId="2211F271" w14:textId="77777777" w:rsidR="00665165" w:rsidRPr="00925F26" w:rsidRDefault="00665165" w:rsidP="00925F26">
      <w:pPr>
        <w:autoSpaceDE w:val="0"/>
        <w:autoSpaceDN w:val="0"/>
        <w:adjustRightInd w:val="0"/>
        <w:jc w:val="both"/>
        <w:rPr>
          <w:color w:val="000000" w:themeColor="text1"/>
          <w:sz w:val="16"/>
          <w:szCs w:val="16"/>
        </w:rPr>
      </w:pPr>
    </w:p>
    <w:p w14:paraId="258E9F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вышло Распоряжение ГКО № 7723. О выделении сушеного картофеля предприятиям НКАП за счет уменьшения поставок КА. РГАНИР, Фонд ГКО, д. 377, лл. 215 (11012).</w:t>
      </w:r>
    </w:p>
    <w:p w14:paraId="6B7AC8A4" w14:textId="77777777" w:rsidR="00665165" w:rsidRPr="00925F26" w:rsidRDefault="00665165" w:rsidP="00925F26">
      <w:pPr>
        <w:autoSpaceDE w:val="0"/>
        <w:autoSpaceDN w:val="0"/>
        <w:adjustRightInd w:val="0"/>
        <w:jc w:val="both"/>
        <w:rPr>
          <w:color w:val="000000" w:themeColor="text1"/>
          <w:sz w:val="16"/>
          <w:szCs w:val="16"/>
        </w:rPr>
      </w:pPr>
    </w:p>
    <w:p w14:paraId="607022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вышло Постановление Государственного комитета обороны СССР о перевозке в Советский Союз оборудования для производств фосфорорганических ОВ - табуна и зарина,- которое было найдено на заводе "Аноргана Верк ГМБХ" в Дихернфурте-на-Одере (Силезия). Летом 1945 г. оборудование было складировано на промплощадке "М" завода № 91 в г.Сталинграде (ныне - г. Волгоград) (9067).</w:t>
      </w:r>
    </w:p>
    <w:p w14:paraId="48F22499" w14:textId="77777777" w:rsidR="00665165" w:rsidRPr="00925F26" w:rsidRDefault="00665165" w:rsidP="00925F26">
      <w:pPr>
        <w:autoSpaceDE w:val="0"/>
        <w:autoSpaceDN w:val="0"/>
        <w:adjustRightInd w:val="0"/>
        <w:jc w:val="both"/>
        <w:rPr>
          <w:color w:val="000000" w:themeColor="text1"/>
          <w:sz w:val="16"/>
          <w:szCs w:val="16"/>
        </w:rPr>
      </w:pPr>
    </w:p>
    <w:p w14:paraId="0C72DD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г. вышло решение ГОКО о перевозе в Советский Союз завода "Аноргана Верк ГМБХ", входившего в концерн "ИГ Фарбениндустри" и специализировавшегося на производстве и снаряжении в химбоеприпасы фосфорных ОВ - табуна и зарина из Дихернфурта на Одере (Силезия) (9066)</w:t>
      </w:r>
    </w:p>
    <w:p w14:paraId="2DA06CAD" w14:textId="77777777" w:rsidR="00665165" w:rsidRPr="00925F26" w:rsidRDefault="00665165" w:rsidP="00925F26">
      <w:pPr>
        <w:autoSpaceDE w:val="0"/>
        <w:autoSpaceDN w:val="0"/>
        <w:adjustRightInd w:val="0"/>
        <w:jc w:val="both"/>
        <w:rPr>
          <w:iCs/>
          <w:color w:val="000000" w:themeColor="text1"/>
          <w:sz w:val="16"/>
          <w:szCs w:val="16"/>
        </w:rPr>
      </w:pPr>
    </w:p>
    <w:p w14:paraId="7E75E7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6 марта 1945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0C4FB9C8" w14:textId="77777777" w:rsidR="00665165" w:rsidRPr="00925F26" w:rsidRDefault="00665165" w:rsidP="00925F26">
      <w:pPr>
        <w:autoSpaceDE w:val="0"/>
        <w:autoSpaceDN w:val="0"/>
        <w:adjustRightInd w:val="0"/>
        <w:jc w:val="both"/>
        <w:rPr>
          <w:color w:val="000000" w:themeColor="text1"/>
          <w:sz w:val="16"/>
          <w:szCs w:val="16"/>
        </w:rPr>
      </w:pPr>
    </w:p>
    <w:p w14:paraId="6996EE2B" w14:textId="77777777" w:rsidR="00094C32" w:rsidRPr="00925F26" w:rsidRDefault="00094C32" w:rsidP="00925F26">
      <w:pPr>
        <w:shd w:val="clear" w:color="auto" w:fill="FFFFFF"/>
        <w:jc w:val="both"/>
        <w:rPr>
          <w:color w:val="000000" w:themeColor="text1"/>
          <w:sz w:val="16"/>
          <w:szCs w:val="16"/>
        </w:rPr>
      </w:pPr>
      <w:r w:rsidRPr="00925F26">
        <w:rPr>
          <w:bCs/>
          <w:iCs/>
          <w:color w:val="000000" w:themeColor="text1"/>
          <w:sz w:val="16"/>
          <w:szCs w:val="16"/>
        </w:rPr>
        <w:t>6 марта 1945 г.</w:t>
      </w:r>
      <w:r w:rsidRPr="00925F26">
        <w:rPr>
          <w:color w:val="000000" w:themeColor="text1"/>
          <w:sz w:val="16"/>
          <w:szCs w:val="16"/>
        </w:rPr>
        <w:t xml:space="preserve"> Постановление ГОКО СССР о перевозке в Советский Союз из Гемании оборудования для производств фосфорорганических ОВ — табуна и зарина, которое было захвачено на заводе «Аноргана Верк ГМБХ» в Дихернфурте-на-Одере (Силезия). Предписан также вывоз в СССР трофейного оборудования по производству синильной кислоты и цехов снаряжения боеприпасов и приготовления рецептур. Летом1945 г. оборудование было складировано на химическом заводе № 91 в Сталинграде (ныне — г.Волгоград) (17133).</w:t>
      </w:r>
    </w:p>
    <w:p w14:paraId="5E3BD085" w14:textId="77777777" w:rsidR="00094C32" w:rsidRPr="00925F26" w:rsidRDefault="00094C32" w:rsidP="00925F26">
      <w:pPr>
        <w:shd w:val="clear" w:color="auto" w:fill="FFFFFF"/>
        <w:jc w:val="both"/>
        <w:rPr>
          <w:color w:val="000000" w:themeColor="text1"/>
          <w:sz w:val="16"/>
          <w:szCs w:val="16"/>
        </w:rPr>
      </w:pPr>
    </w:p>
    <w:p w14:paraId="37BB638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AE6B48C" w14:textId="77777777" w:rsidR="00665165" w:rsidRPr="00925F26" w:rsidRDefault="00665165" w:rsidP="00925F26">
      <w:pPr>
        <w:autoSpaceDE w:val="0"/>
        <w:autoSpaceDN w:val="0"/>
        <w:adjustRightInd w:val="0"/>
        <w:jc w:val="both"/>
        <w:rPr>
          <w:iCs/>
          <w:color w:val="000000" w:themeColor="text1"/>
          <w:sz w:val="16"/>
          <w:szCs w:val="16"/>
        </w:rPr>
      </w:pPr>
    </w:p>
    <w:p w14:paraId="6FA92BA9" w14:textId="77777777" w:rsidR="00094C32" w:rsidRPr="00925F26" w:rsidRDefault="00094C32" w:rsidP="00925F26">
      <w:pPr>
        <w:jc w:val="both"/>
        <w:rPr>
          <w:color w:val="000000" w:themeColor="text1"/>
          <w:sz w:val="16"/>
          <w:szCs w:val="16"/>
        </w:rPr>
      </w:pPr>
      <w:r w:rsidRPr="00925F26">
        <w:rPr>
          <w:bCs/>
          <w:color w:val="000000" w:themeColor="text1"/>
          <w:sz w:val="16"/>
          <w:szCs w:val="16"/>
        </w:rPr>
        <w:t>6 марта</w:t>
      </w:r>
      <w:r w:rsidRPr="00925F26">
        <w:rPr>
          <w:color w:val="000000" w:themeColor="text1"/>
          <w:sz w:val="16"/>
          <w:szCs w:val="16"/>
        </w:rPr>
        <w:t xml:space="preserve"> в 1945 году оперативная сводка Совинформбюро:</w:t>
      </w:r>
    </w:p>
    <w:p w14:paraId="47FCD334" w14:textId="77777777" w:rsidR="00094C32" w:rsidRPr="00925F26" w:rsidRDefault="00094C32" w:rsidP="00925F26">
      <w:pPr>
        <w:jc w:val="both"/>
        <w:rPr>
          <w:color w:val="000000" w:themeColor="text1"/>
          <w:sz w:val="16"/>
          <w:szCs w:val="16"/>
        </w:rPr>
      </w:pPr>
      <w:r w:rsidRPr="00925F26">
        <w:rPr>
          <w:color w:val="000000" w:themeColor="text1"/>
          <w:sz w:val="16"/>
          <w:szCs w:val="16"/>
        </w:rPr>
        <w:t>«Войска 2-го Белорусского фронта после двухнедельной осады и упорных боёв завершили разгром окружённой группировки противника и 6 марта овладели городом и крепостью Грудзяндз (Грауденц) — мощным узлом обороны немцев на нижнем течении реки Висла.</w:t>
      </w:r>
    </w:p>
    <w:p w14:paraId="493F3F71" w14:textId="77777777" w:rsidR="00094C32" w:rsidRPr="00925F26" w:rsidRDefault="00094C32" w:rsidP="00925F26">
      <w:pPr>
        <w:jc w:val="both"/>
        <w:rPr>
          <w:color w:val="000000" w:themeColor="text1"/>
          <w:sz w:val="16"/>
          <w:szCs w:val="16"/>
        </w:rPr>
      </w:pPr>
      <w:r w:rsidRPr="00925F26">
        <w:rPr>
          <w:color w:val="000000" w:themeColor="text1"/>
          <w:sz w:val="16"/>
          <w:szCs w:val="16"/>
        </w:rPr>
        <w:t>В ходе боёв в Грудзяндзе войска фронта взяли в плен более 5.000 немецких солдат и офицеров во главе с комендантом крепости генерал-майором Фрикке и его штабом, а также захватили большое количество вооружения и военного имущества.</w:t>
      </w:r>
    </w:p>
    <w:p w14:paraId="1A71ABD1" w14:textId="77777777" w:rsidR="00094C32" w:rsidRPr="00925F26" w:rsidRDefault="00094C32" w:rsidP="00925F26">
      <w:pPr>
        <w:jc w:val="both"/>
        <w:rPr>
          <w:color w:val="000000" w:themeColor="text1"/>
          <w:sz w:val="16"/>
          <w:szCs w:val="16"/>
        </w:rPr>
      </w:pPr>
      <w:r w:rsidRPr="00925F26">
        <w:rPr>
          <w:color w:val="000000" w:themeColor="text1"/>
          <w:sz w:val="16"/>
          <w:szCs w:val="16"/>
        </w:rPr>
        <w:t>Одновременно юго-западнее и западнее Данцига войска фронта в результате наступательных боёв овладели городами Третен, Мальхов и заняли более 60 других населённых пунктов, среди которых крупные населённые пункты Альт Кишау, Вилле, Любон, Гросс Тухен, Фридрихсхульд, Фарцин, Сегентин, Абтсхаген, Альтштайнорт, Лазе, Гроссмеллен.</w:t>
      </w:r>
    </w:p>
    <w:p w14:paraId="15D93BA2" w14:textId="77777777" w:rsidR="00094C32" w:rsidRPr="00925F26" w:rsidRDefault="00094C32" w:rsidP="00925F26">
      <w:pPr>
        <w:jc w:val="both"/>
        <w:rPr>
          <w:color w:val="000000" w:themeColor="text1"/>
          <w:sz w:val="16"/>
          <w:szCs w:val="16"/>
        </w:rPr>
      </w:pPr>
      <w:r w:rsidRPr="00925F26">
        <w:rPr>
          <w:color w:val="000000" w:themeColor="text1"/>
          <w:sz w:val="16"/>
          <w:szCs w:val="16"/>
        </w:rPr>
        <w:t>Юго-западнее города Кезлин войска 2-го Белорусского фронта ликвидировали окружённую группу противника и при этом взяли в плен командующего Кезлинским округом генерал-лейтенанта фон Цилова вместе с его штабом и более 1.000 немецких солдат и офицеров.</w:t>
      </w:r>
    </w:p>
    <w:p w14:paraId="49D16D00" w14:textId="77777777" w:rsidR="00094C32" w:rsidRPr="00925F26" w:rsidRDefault="00094C32" w:rsidP="00925F26">
      <w:pPr>
        <w:jc w:val="both"/>
        <w:rPr>
          <w:color w:val="000000" w:themeColor="text1"/>
          <w:sz w:val="16"/>
          <w:szCs w:val="16"/>
        </w:rPr>
      </w:pPr>
      <w:r w:rsidRPr="00925F26">
        <w:rPr>
          <w:color w:val="000000" w:themeColor="text1"/>
          <w:sz w:val="16"/>
          <w:szCs w:val="16"/>
        </w:rPr>
        <w:t>Войска 1-го Белорусского фронта, развивая успешное наступление, 6 марта овладели городами Бельгард, Трептов, Грайфенберг, Каммин, Гюльцов, Плате — важными узлами коммуникаций и сильными опорными пунктами обороны немцев в западной Померании, а также с боями заняли более 500 других населённых пунктов, в том числе крупные населённые пункты Гросс Естин, Гаррин, Тессин, Приббернов, Кантрен, Хоеншенау, Ленц, Морицфельде. Южнее города Шифельбайн войска фронта окружили значительную группу войск противника и вели успешные бои по её уничтожению. За 4 и 5 марта войска фронта взяли в плен более 2.500 немецких солдат и офицеров.</w:t>
      </w:r>
    </w:p>
    <w:p w14:paraId="024F66DB" w14:textId="77777777" w:rsidR="00094C32" w:rsidRPr="00925F26" w:rsidRDefault="00094C32" w:rsidP="00925F26">
      <w:pPr>
        <w:jc w:val="both"/>
        <w:rPr>
          <w:color w:val="000000" w:themeColor="text1"/>
          <w:sz w:val="16"/>
          <w:szCs w:val="16"/>
        </w:rPr>
      </w:pPr>
      <w:r w:rsidRPr="00925F26">
        <w:rPr>
          <w:color w:val="000000" w:themeColor="text1"/>
          <w:sz w:val="16"/>
          <w:szCs w:val="16"/>
        </w:rPr>
        <w:lastRenderedPageBreak/>
        <w:t>В Венгрии северо-восточнее и южнее озера Балатон наши войска отбивали атаки крупных сил пехоты и танков противника.</w:t>
      </w:r>
    </w:p>
    <w:p w14:paraId="3B298878" w14:textId="77777777" w:rsidR="00094C32" w:rsidRPr="00925F26" w:rsidRDefault="00094C32"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4365442E" w14:textId="77777777" w:rsidR="00094C32" w:rsidRPr="00925F26" w:rsidRDefault="00094C32" w:rsidP="00925F26">
      <w:pPr>
        <w:jc w:val="both"/>
        <w:rPr>
          <w:color w:val="000000" w:themeColor="text1"/>
          <w:sz w:val="16"/>
          <w:szCs w:val="16"/>
        </w:rPr>
      </w:pPr>
      <w:r w:rsidRPr="00925F26">
        <w:rPr>
          <w:color w:val="000000" w:themeColor="text1"/>
          <w:sz w:val="16"/>
          <w:szCs w:val="16"/>
        </w:rPr>
        <w:t>За 5 марта на всех фронтах подбито и уничтожено 33 немецких танка. В воздушных боях и огнём зенитной артиллерии сбито 57 самолётов противника; кроме этого, 43 самолёта уничтожено на аэродроме в районе города Штаргард.</w:t>
      </w:r>
    </w:p>
    <w:p w14:paraId="1EF5685D" w14:textId="77777777" w:rsidR="00094C32" w:rsidRPr="00925F26" w:rsidRDefault="00094C32" w:rsidP="00925F26">
      <w:pPr>
        <w:jc w:val="both"/>
        <w:rPr>
          <w:color w:val="000000" w:themeColor="text1"/>
          <w:sz w:val="16"/>
          <w:szCs w:val="16"/>
        </w:rPr>
      </w:pPr>
      <w:r w:rsidRPr="00925F26">
        <w:rPr>
          <w:color w:val="000000" w:themeColor="text1"/>
          <w:sz w:val="16"/>
          <w:szCs w:val="16"/>
        </w:rPr>
        <w:t>Налёты нашей авиации на военные объекты в городах Штеттин и Кенигсберг</w:t>
      </w:r>
    </w:p>
    <w:p w14:paraId="47B16E7C" w14:textId="77777777" w:rsidR="00094C32" w:rsidRPr="00925F26" w:rsidRDefault="00094C32" w:rsidP="00925F26">
      <w:pPr>
        <w:jc w:val="both"/>
        <w:rPr>
          <w:color w:val="000000" w:themeColor="text1"/>
          <w:sz w:val="16"/>
          <w:szCs w:val="16"/>
        </w:rPr>
      </w:pPr>
      <w:r w:rsidRPr="00925F26">
        <w:rPr>
          <w:color w:val="000000" w:themeColor="text1"/>
          <w:sz w:val="16"/>
          <w:szCs w:val="16"/>
        </w:rPr>
        <w:t>В ночь на 6 марта наши тяжёлые бомбардировщики нанесли удар по военным объектам немцев в городах Штеттин и Кенигсберг.</w:t>
      </w:r>
    </w:p>
    <w:p w14:paraId="7CE85573" w14:textId="77777777" w:rsidR="00094C32" w:rsidRPr="00925F26" w:rsidRDefault="00094C32" w:rsidP="00925F26">
      <w:pPr>
        <w:jc w:val="both"/>
        <w:rPr>
          <w:color w:val="000000" w:themeColor="text1"/>
          <w:sz w:val="16"/>
          <w:szCs w:val="16"/>
        </w:rPr>
      </w:pPr>
      <w:r w:rsidRPr="00925F26">
        <w:rPr>
          <w:color w:val="000000" w:themeColor="text1"/>
          <w:sz w:val="16"/>
          <w:szCs w:val="16"/>
        </w:rPr>
        <w:t>В результате бомбардировки в Штеттине возникло много пожаров, которые сопровождались взрывами, особенно сильными на территории товарной станции.</w:t>
      </w:r>
    </w:p>
    <w:p w14:paraId="782304C6" w14:textId="77777777" w:rsidR="00094C32" w:rsidRPr="00925F26" w:rsidRDefault="00094C32" w:rsidP="00925F26">
      <w:pPr>
        <w:jc w:val="both"/>
        <w:rPr>
          <w:color w:val="000000" w:themeColor="text1"/>
          <w:sz w:val="16"/>
          <w:szCs w:val="16"/>
        </w:rPr>
      </w:pPr>
      <w:r w:rsidRPr="00925F26">
        <w:rPr>
          <w:color w:val="000000" w:themeColor="text1"/>
          <w:sz w:val="16"/>
          <w:szCs w:val="16"/>
        </w:rPr>
        <w:t>В Кенигсберге прямым попаданием бомб взорван склад боеприпасов, а также отмечено несколько больших пожаров.</w:t>
      </w:r>
    </w:p>
    <w:p w14:paraId="727B24A0" w14:textId="77777777" w:rsidR="00094C32" w:rsidRPr="00925F26" w:rsidRDefault="00094C32" w:rsidP="00925F26">
      <w:pPr>
        <w:jc w:val="both"/>
        <w:rPr>
          <w:color w:val="000000" w:themeColor="text1"/>
          <w:sz w:val="16"/>
          <w:szCs w:val="16"/>
        </w:rPr>
      </w:pPr>
      <w:r w:rsidRPr="00925F26">
        <w:rPr>
          <w:color w:val="000000" w:themeColor="text1"/>
          <w:sz w:val="16"/>
          <w:szCs w:val="16"/>
        </w:rPr>
        <w:t>Войска 2-го Белорусского фронта сегодня овладели городом и крепостью Грудзяндз (Грауденц). Как уже сообщалось, две недели тому назад наши войска, развивая наступление вдоль реки Вислы, окружили немецкий гарнизон в Грудзяндзе. Подступы к городу прикрывали старинные форты, усиленные двумя поясами современных долговременных укреплений. Вражеский гарнизон состоял из большого числа пехотных и артиллерийских частей, а также танковых подразделений.</w:t>
      </w:r>
    </w:p>
    <w:p w14:paraId="79390256" w14:textId="77777777" w:rsidR="00094C32" w:rsidRPr="00925F26" w:rsidRDefault="00094C32" w:rsidP="00925F26">
      <w:pPr>
        <w:jc w:val="both"/>
        <w:rPr>
          <w:color w:val="000000" w:themeColor="text1"/>
          <w:sz w:val="16"/>
          <w:szCs w:val="16"/>
        </w:rPr>
      </w:pPr>
      <w:r w:rsidRPr="00925F26">
        <w:rPr>
          <w:color w:val="000000" w:themeColor="text1"/>
          <w:sz w:val="16"/>
          <w:szCs w:val="16"/>
        </w:rPr>
        <w:t>Зажав противника в железное кольцо, советские войска развернули бои за город. Артиллерия большой мощности и гвардейские миномёты разрушали укрепления противника. Наши бомбардировщики, подавившие в первые же дни осады зенитные батареи, наносили врагу непрерывные удары. В результате мощного огневого воздействия немцы были выбиты из дотов и фортов и загнаны в город. В ожесточённых уличных боях наши штурмовые группы очищали от гитлеровцев один квартал за другим. Часть окружённых вражеских сил переправилась на западный берег Вислы в районе железнодорожного моста и пыталась скрыться в лесах. Наша пехота и самоходная артиллерия атаковали немцев, прижали их к реке и уничтожили. В ходе упорных боёв наши войска овладели южной частью города и начали штурм последнего оплота немцев — крепости, военного городка и полигонов, расположенных в северной части Грудзяндза. Вслед за огневым валом артиллерии в крепость ворвались советские подразделения. Упорный бой, длившийся несколько часов, решил судьбу немецкого гарнизона. Загнанные в казематы и погреба, гитлеровцы стали сдаваться в плен. Немецкие солдаты и офицеры складывали оружие и группами по 200—300 человек выходили из укрытий. Взято в плен более 5 тысяч солдат и офицеров противника вместе с комендантом крепости генерал-майором Фрикке.</w:t>
      </w:r>
    </w:p>
    <w:p w14:paraId="1B1B92F5" w14:textId="77777777" w:rsidR="00094C32" w:rsidRPr="00925F26" w:rsidRDefault="00094C32" w:rsidP="00925F26">
      <w:pPr>
        <w:jc w:val="both"/>
        <w:rPr>
          <w:color w:val="000000" w:themeColor="text1"/>
          <w:sz w:val="16"/>
          <w:szCs w:val="16"/>
        </w:rPr>
      </w:pPr>
      <w:r w:rsidRPr="00925F26">
        <w:rPr>
          <w:color w:val="000000" w:themeColor="text1"/>
          <w:sz w:val="16"/>
          <w:szCs w:val="16"/>
        </w:rPr>
        <w:t>Юго-западнее и западнее Данцига войска 2-го Белорусского фронта с боями продвигались вперёд. Советские части, действующие в лесной местности, овладели городами Третен и Мальхов. Немцы выбиты также из населённого пункта и железнодорожной станции Гросс Тухен, находящейся в 10 километрах к юго-западу от города Бютов. Противник предпринял ряд контратак, но был отброшен с большими для него потерями. За день боёв уничтожено более 2 тысяч немецких солдат и офицеров. Захвачено много трофеев и 350 пленных.</w:t>
      </w:r>
    </w:p>
    <w:p w14:paraId="0BE18245" w14:textId="77777777" w:rsidR="00094C32" w:rsidRPr="00925F26" w:rsidRDefault="00094C32" w:rsidP="00925F26">
      <w:pPr>
        <w:jc w:val="both"/>
        <w:rPr>
          <w:color w:val="000000" w:themeColor="text1"/>
          <w:sz w:val="16"/>
          <w:szCs w:val="16"/>
        </w:rPr>
      </w:pPr>
      <w:r w:rsidRPr="00925F26">
        <w:rPr>
          <w:color w:val="000000" w:themeColor="text1"/>
          <w:sz w:val="16"/>
          <w:szCs w:val="16"/>
        </w:rPr>
        <w:t>Войска 1-го Белорусского фронта в западной Померании продолжали успешное наступление. Наши танкисты и пехотинцы овладели городом Бельгард — сильным опорным пунктом обороны немцев. Остатки разбитых и рассеянных по лесам частей противника вылавливаются и уничтожаются нашими подразделениями. В районе Бельгарда истреблено 1.300 и взято в плен более 500 гитлеровцев. Подбито и сожжено 14 немецких танков и 16 бронетранспортёров. На другом участке наши подвижные соединения и пехота сломили сопротивление противника и устремились на запад. Советские части продвинулись вперёд до 25 километров, заняли города Трептов, Грайфенберг, Плате, Гюльцов. Немцы пытались закрепиться на подступах к городу Каммин, но были разгромлены стремительными ударами наших танковых и пехотных частей. После непродолжительного, но ожесточённого уличного боя город Каммин очищен от немецких войск. Противник несёт огромные потери. Советские кавалеристы, овладевшие вчера городом Польцин, захватили 64 паровоза, 1.200 вагонов, 700 платформ, 25 танков, 5 самоходных орудий «Фердинанд», 28 полевых орудий, 8 больших складов, 2 тысячи лошадей, 400 повозок с грузами, 4 тысячи голов крупного рогатого скота и много других трофеев.</w:t>
      </w:r>
    </w:p>
    <w:p w14:paraId="654F4C8F" w14:textId="77777777" w:rsidR="00094C32" w:rsidRPr="00925F26" w:rsidRDefault="00094C32" w:rsidP="00925F26">
      <w:pPr>
        <w:jc w:val="both"/>
        <w:rPr>
          <w:color w:val="000000" w:themeColor="text1"/>
          <w:sz w:val="16"/>
          <w:szCs w:val="16"/>
        </w:rPr>
      </w:pPr>
      <w:r w:rsidRPr="00925F26">
        <w:rPr>
          <w:color w:val="000000" w:themeColor="text1"/>
          <w:sz w:val="16"/>
          <w:szCs w:val="16"/>
        </w:rPr>
        <w:t>Наша авиация наносила бомбоштурмовые удары по отступающим колоннам немецких войск. Взорвано несколько воинских эшелонов противника, сожжено и разбито много паровозов и вагонов. В воздушных боях советские лётчики сбили 19 немецких самолётов.</w:t>
      </w:r>
    </w:p>
    <w:p w14:paraId="2E38EC55" w14:textId="77777777" w:rsidR="00094C32" w:rsidRPr="00925F26" w:rsidRDefault="00094C32" w:rsidP="00925F26">
      <w:pPr>
        <w:jc w:val="both"/>
        <w:rPr>
          <w:color w:val="000000" w:themeColor="text1"/>
          <w:sz w:val="16"/>
          <w:szCs w:val="16"/>
        </w:rPr>
      </w:pPr>
      <w:r w:rsidRPr="00925F26">
        <w:rPr>
          <w:color w:val="000000" w:themeColor="text1"/>
          <w:sz w:val="16"/>
          <w:szCs w:val="16"/>
        </w:rPr>
        <w:t>Самолёты Краснознамённого Балтийского флота прямым попаданием двух бомб потопили в Балтийском море транспорт противника водоизмещением в 5 тысяч тонн.</w:t>
      </w:r>
    </w:p>
    <w:p w14:paraId="58CF3F4F" w14:textId="77777777" w:rsidR="00094C32" w:rsidRPr="00925F26" w:rsidRDefault="00094C32" w:rsidP="00925F26">
      <w:pPr>
        <w:jc w:val="both"/>
        <w:rPr>
          <w:color w:val="000000" w:themeColor="text1"/>
          <w:sz w:val="16"/>
          <w:szCs w:val="16"/>
        </w:rPr>
      </w:pPr>
      <w:r w:rsidRPr="00925F26">
        <w:rPr>
          <w:color w:val="000000" w:themeColor="text1"/>
          <w:sz w:val="16"/>
          <w:szCs w:val="16"/>
        </w:rPr>
        <w:t>Лётчики флота в воздушных боях за день сбили 10 немецких самолётов.» (15060).</w:t>
      </w:r>
    </w:p>
    <w:p w14:paraId="21BCB003" w14:textId="77777777" w:rsidR="00094C32" w:rsidRPr="00925F26" w:rsidRDefault="00094C32" w:rsidP="00925F26">
      <w:pPr>
        <w:jc w:val="both"/>
        <w:rPr>
          <w:color w:val="000000" w:themeColor="text1"/>
          <w:sz w:val="16"/>
          <w:szCs w:val="16"/>
        </w:rPr>
      </w:pPr>
    </w:p>
    <w:p w14:paraId="5EB935A9" w14:textId="77777777" w:rsidR="00094C32" w:rsidRPr="00925F26" w:rsidRDefault="00094C32" w:rsidP="00925F26">
      <w:pPr>
        <w:jc w:val="both"/>
        <w:rPr>
          <w:color w:val="000000" w:themeColor="text1"/>
          <w:sz w:val="16"/>
          <w:szCs w:val="16"/>
        </w:rPr>
      </w:pPr>
      <w:r w:rsidRPr="00925F26">
        <w:rPr>
          <w:bCs/>
          <w:color w:val="000000" w:themeColor="text1"/>
          <w:sz w:val="16"/>
          <w:szCs w:val="16"/>
        </w:rPr>
        <w:t>6 марта</w:t>
      </w:r>
      <w:r w:rsidRPr="00925F26">
        <w:rPr>
          <w:color w:val="000000" w:themeColor="text1"/>
          <w:sz w:val="16"/>
          <w:szCs w:val="16"/>
        </w:rPr>
        <w:t xml:space="preserve"> в 1945 году началась последняя в ходе Великой Отечественной войны оборонительная операция – Балатонская (6-15 марта) войск 3-го Украинского фронта (Ф.И.Толбухин) совместно с частями 1-й болгарской и 3-й югославской армий по отражению контрнаступления фашистских войск в районе озера Балатон (Венгрия). Войска фронта отразили наступление немецких армий - 6-й и 6-й танковой СС - и нанесли им поражение, сорвав план выхода к Дунаю с целью восстановить оборону по его берегу (15060).</w:t>
      </w:r>
    </w:p>
    <w:p w14:paraId="024C74AE" w14:textId="77777777" w:rsidR="00094C32" w:rsidRPr="00925F26" w:rsidRDefault="00094C32" w:rsidP="00925F26">
      <w:pPr>
        <w:jc w:val="both"/>
        <w:rPr>
          <w:color w:val="000000" w:themeColor="text1"/>
          <w:sz w:val="16"/>
          <w:szCs w:val="16"/>
        </w:rPr>
      </w:pPr>
    </w:p>
    <w:p w14:paraId="4961803B" w14:textId="77777777" w:rsidR="008E5220" w:rsidRPr="00925F26" w:rsidRDefault="008E5220" w:rsidP="00925F26">
      <w:pPr>
        <w:jc w:val="both"/>
        <w:rPr>
          <w:color w:val="000000" w:themeColor="text1"/>
          <w:sz w:val="16"/>
          <w:szCs w:val="16"/>
        </w:rPr>
      </w:pPr>
      <w:r w:rsidRPr="00925F26">
        <w:rPr>
          <w:color w:val="000000" w:themeColor="text1"/>
          <w:sz w:val="16"/>
          <w:szCs w:val="16"/>
        </w:rPr>
        <w:t xml:space="preserve">6 марта 1945 в Венгрии начинается операция «Весеннее пробуждение», последнее крупное немецкое наступление во Второй мировой войне. Люфтваффе совершает около 900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w:t>
      </w:r>
      <w:proofErr w:type="gramStart"/>
      <w:r w:rsidRPr="00925F26">
        <w:rPr>
          <w:color w:val="000000" w:themeColor="text1"/>
          <w:sz w:val="16"/>
          <w:szCs w:val="16"/>
        </w:rPr>
        <w:t>в в</w:t>
      </w:r>
      <w:proofErr w:type="gramEnd"/>
      <w:r w:rsidRPr="00925F26">
        <w:rPr>
          <w:color w:val="000000" w:themeColor="text1"/>
          <w:sz w:val="16"/>
          <w:szCs w:val="16"/>
        </w:rPr>
        <w:t xml:space="preserve"> поддержке наступления, в то время как 965 самолетов советской 17 воздушной армии поддерживают советские и болгарские части (20371).</w:t>
      </w:r>
    </w:p>
    <w:p w14:paraId="3C813E76" w14:textId="77777777" w:rsidR="008E5220" w:rsidRPr="00925F26" w:rsidRDefault="008E5220" w:rsidP="00925F26">
      <w:pPr>
        <w:jc w:val="both"/>
        <w:rPr>
          <w:color w:val="000000" w:themeColor="text1"/>
          <w:sz w:val="16"/>
          <w:szCs w:val="16"/>
        </w:rPr>
      </w:pPr>
    </w:p>
    <w:p w14:paraId="4A24FA5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6 1945 Last Germans offensive of the war to defend oil fields in Hungary (1050).</w:t>
      </w:r>
    </w:p>
    <w:p w14:paraId="07A4F896" w14:textId="77777777" w:rsidR="00665165" w:rsidRPr="00925F26" w:rsidRDefault="00665165" w:rsidP="00925F26">
      <w:pPr>
        <w:autoSpaceDE w:val="0"/>
        <w:autoSpaceDN w:val="0"/>
        <w:adjustRightInd w:val="0"/>
        <w:jc w:val="both"/>
        <w:rPr>
          <w:color w:val="000000" w:themeColor="text1"/>
          <w:sz w:val="16"/>
          <w:szCs w:val="16"/>
          <w:lang w:val="en-US"/>
        </w:rPr>
      </w:pPr>
    </w:p>
    <w:p w14:paraId="5EE14B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в Венгрии прекратилось немецкое сопротивление (1050).</w:t>
      </w:r>
    </w:p>
    <w:p w14:paraId="040F43B7" w14:textId="77777777" w:rsidR="00665165" w:rsidRPr="00925F26" w:rsidRDefault="00665165" w:rsidP="00925F26">
      <w:pPr>
        <w:autoSpaceDE w:val="0"/>
        <w:autoSpaceDN w:val="0"/>
        <w:adjustRightInd w:val="0"/>
        <w:jc w:val="both"/>
        <w:rPr>
          <w:color w:val="000000" w:themeColor="text1"/>
          <w:sz w:val="16"/>
          <w:szCs w:val="16"/>
        </w:rPr>
      </w:pPr>
    </w:p>
    <w:p w14:paraId="58A588F0" w14:textId="77777777" w:rsidR="00001948" w:rsidRPr="00925F26" w:rsidRDefault="00001948" w:rsidP="00925F26">
      <w:pPr>
        <w:jc w:val="both"/>
        <w:rPr>
          <w:color w:val="000000" w:themeColor="text1"/>
          <w:sz w:val="16"/>
          <w:szCs w:val="16"/>
        </w:rPr>
      </w:pPr>
      <w:r w:rsidRPr="00925F26">
        <w:rPr>
          <w:bCs/>
          <w:color w:val="000000" w:themeColor="text1"/>
          <w:sz w:val="16"/>
          <w:szCs w:val="16"/>
        </w:rPr>
        <w:t>6 марта</w:t>
      </w:r>
      <w:r w:rsidRPr="00925F26">
        <w:rPr>
          <w:color w:val="000000" w:themeColor="text1"/>
          <w:sz w:val="16"/>
          <w:szCs w:val="16"/>
        </w:rPr>
        <w:t xml:space="preserve"> в 1945 году начало наступления венгерских и немецких войск в районе озера Балатон. На немецких танках впервые были кстановлены приборы ночного видения, что позволило продолжать наступление в ночное время (15060).</w:t>
      </w:r>
    </w:p>
    <w:p w14:paraId="618347A3" w14:textId="77777777" w:rsidR="00001948" w:rsidRPr="00925F26" w:rsidRDefault="00001948" w:rsidP="00925F26">
      <w:pPr>
        <w:jc w:val="both"/>
        <w:rPr>
          <w:color w:val="000000" w:themeColor="text1"/>
          <w:sz w:val="16"/>
          <w:szCs w:val="16"/>
        </w:rPr>
      </w:pPr>
    </w:p>
    <w:p w14:paraId="04601A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6 по 21 марта 1945 были бои на Драве - правом притоке Дуная в ходе Балатонской операции. Участвовали 3УФ (Ф.И.Толбухин) и болгарские 1А и югославские 3А части (2438,218). По другим данным завершилась 15 марта 1945. Это была последняя оборонительная операция (3398,104).</w:t>
      </w:r>
    </w:p>
    <w:p w14:paraId="75D2270C" w14:textId="77777777" w:rsidR="00665165" w:rsidRPr="00925F26" w:rsidRDefault="00665165" w:rsidP="00925F26">
      <w:pPr>
        <w:autoSpaceDE w:val="0"/>
        <w:autoSpaceDN w:val="0"/>
        <w:adjustRightInd w:val="0"/>
        <w:jc w:val="both"/>
        <w:rPr>
          <w:color w:val="000000" w:themeColor="text1"/>
          <w:sz w:val="16"/>
          <w:szCs w:val="16"/>
        </w:rPr>
      </w:pPr>
    </w:p>
    <w:p w14:paraId="2CE6E1C1" w14:textId="77777777" w:rsidR="003B0B5C" w:rsidRPr="001A0BAA" w:rsidRDefault="003B0B5C" w:rsidP="003B0B5C">
      <w:pPr>
        <w:jc w:val="both"/>
        <w:rPr>
          <w:color w:val="0070C0"/>
          <w:sz w:val="16"/>
          <w:szCs w:val="16"/>
        </w:rPr>
      </w:pPr>
      <w:r w:rsidRPr="001A0BAA">
        <w:rPr>
          <w:color w:val="0070C0"/>
          <w:sz w:val="16"/>
          <w:szCs w:val="16"/>
        </w:rPr>
        <w:t>6—16 марта 1945 года, в ходе Балатонской операции когда отражались контратаки 6-й танковой армии СС, СУ-100 были применены наиболее массово. При этом были задействованы 207-я, 208-я и 209-я самоходно-артиллерийские бригады, а также несколько отдельных самоходно-артиллерийских полков. СУ-100 в ходе операции сыграли значительную роль в отражении германских танковых атак и показали себя высокоэффективным средством в борьбе с германской тяжёлой бронетехникой, включая и тяжёлые танки PzKpfw VI Ausf. B Tiger II. По итогам операции СУ-100 заслужили чрезвычайно высокую оценку (25688).</w:t>
      </w:r>
    </w:p>
    <w:p w14:paraId="306F78C3" w14:textId="77777777" w:rsidR="003B0B5C" w:rsidRPr="001A0BAA" w:rsidRDefault="003B0B5C" w:rsidP="003B0B5C">
      <w:pPr>
        <w:jc w:val="both"/>
        <w:rPr>
          <w:color w:val="0070C0"/>
          <w:sz w:val="16"/>
          <w:szCs w:val="16"/>
        </w:rPr>
      </w:pPr>
    </w:p>
    <w:p w14:paraId="1A30E84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14BBB71" w14:textId="77777777" w:rsidR="00665165" w:rsidRPr="00925F26" w:rsidRDefault="00665165" w:rsidP="00925F26">
      <w:pPr>
        <w:autoSpaceDE w:val="0"/>
        <w:autoSpaceDN w:val="0"/>
        <w:adjustRightInd w:val="0"/>
        <w:jc w:val="both"/>
        <w:rPr>
          <w:iCs/>
          <w:color w:val="000000" w:themeColor="text1"/>
          <w:sz w:val="16"/>
          <w:szCs w:val="16"/>
        </w:rPr>
      </w:pPr>
    </w:p>
    <w:p w14:paraId="3162BB1D" w14:textId="77777777" w:rsidR="00094C32" w:rsidRPr="00925F26" w:rsidRDefault="00094C32" w:rsidP="00925F26">
      <w:pPr>
        <w:jc w:val="both"/>
        <w:rPr>
          <w:color w:val="000000" w:themeColor="text1"/>
          <w:sz w:val="16"/>
          <w:szCs w:val="16"/>
          <w:lang w:val="en-US"/>
        </w:rPr>
      </w:pPr>
      <w:r w:rsidRPr="00925F26">
        <w:rPr>
          <w:bCs/>
          <w:color w:val="000000" w:themeColor="text1"/>
          <w:sz w:val="16"/>
          <w:szCs w:val="16"/>
        </w:rPr>
        <w:t>6 марта</w:t>
      </w:r>
      <w:r w:rsidRPr="00925F26">
        <w:rPr>
          <w:color w:val="000000" w:themeColor="text1"/>
          <w:sz w:val="16"/>
          <w:szCs w:val="16"/>
        </w:rPr>
        <w:t xml:space="preserve"> в 1945 году очередная немецкая ракета "A-4"/SS-1/Scunner/ (Фау-2) пущенная по Антверпену полетела в другую сторону и угодила в в военный госпиталь на станции Tozefotraat. Врезультатебылоубито</w:t>
      </w:r>
      <w:r w:rsidRPr="00925F26">
        <w:rPr>
          <w:color w:val="000000" w:themeColor="text1"/>
          <w:sz w:val="16"/>
          <w:szCs w:val="16"/>
          <w:lang w:val="en-US"/>
        </w:rPr>
        <w:t xml:space="preserve"> 17 </w:t>
      </w:r>
      <w:r w:rsidRPr="00925F26">
        <w:rPr>
          <w:color w:val="000000" w:themeColor="text1"/>
          <w:sz w:val="16"/>
          <w:szCs w:val="16"/>
        </w:rPr>
        <w:t>солдати</w:t>
      </w:r>
      <w:r w:rsidRPr="00925F26">
        <w:rPr>
          <w:color w:val="000000" w:themeColor="text1"/>
          <w:sz w:val="16"/>
          <w:szCs w:val="16"/>
          <w:lang w:val="en-US"/>
        </w:rPr>
        <w:t xml:space="preserve"> 43 </w:t>
      </w:r>
      <w:r w:rsidRPr="00925F26">
        <w:rPr>
          <w:color w:val="000000" w:themeColor="text1"/>
          <w:sz w:val="16"/>
          <w:szCs w:val="16"/>
        </w:rPr>
        <w:t>ранено</w:t>
      </w:r>
      <w:r w:rsidRPr="00925F26">
        <w:rPr>
          <w:color w:val="000000" w:themeColor="text1"/>
          <w:sz w:val="16"/>
          <w:szCs w:val="16"/>
          <w:lang w:val="en-US"/>
        </w:rPr>
        <w:t xml:space="preserve"> (15060).</w:t>
      </w:r>
    </w:p>
    <w:p w14:paraId="33B111F1" w14:textId="77777777" w:rsidR="00094C32" w:rsidRPr="00925F26" w:rsidRDefault="00094C32" w:rsidP="00925F26">
      <w:pPr>
        <w:jc w:val="both"/>
        <w:rPr>
          <w:color w:val="000000" w:themeColor="text1"/>
          <w:sz w:val="16"/>
          <w:szCs w:val="16"/>
          <w:lang w:val="en-US"/>
        </w:rPr>
      </w:pPr>
    </w:p>
    <w:p w14:paraId="2B0A0C3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March 6th, 1945: Beginning of a German counter offensive toward the </w:t>
      </w:r>
      <w:proofErr w:type="gramStart"/>
      <w:r w:rsidRPr="00925F26">
        <w:rPr>
          <w:color w:val="000000" w:themeColor="text1"/>
          <w:sz w:val="16"/>
          <w:szCs w:val="16"/>
          <w:lang w:val="en-US"/>
        </w:rPr>
        <w:t>Drau river</w:t>
      </w:r>
      <w:proofErr w:type="gramEnd"/>
      <w:r w:rsidRPr="00925F26">
        <w:rPr>
          <w:color w:val="000000" w:themeColor="text1"/>
          <w:sz w:val="16"/>
          <w:szCs w:val="16"/>
          <w:lang w:val="en-US"/>
        </w:rPr>
        <w:t xml:space="preserve"> in Hungary. The US 8th Air Force launches a heavy attack against Chemnitz in Saxony. The US First Army captures Cologne on the west bank of the Rhine (3819).</w:t>
      </w:r>
    </w:p>
    <w:p w14:paraId="3B826BC6" w14:textId="77777777" w:rsidR="00665165" w:rsidRPr="00925F26" w:rsidRDefault="00665165" w:rsidP="00925F26">
      <w:pPr>
        <w:autoSpaceDE w:val="0"/>
        <w:autoSpaceDN w:val="0"/>
        <w:adjustRightInd w:val="0"/>
        <w:jc w:val="both"/>
        <w:rPr>
          <w:color w:val="000000" w:themeColor="text1"/>
          <w:sz w:val="16"/>
          <w:szCs w:val="16"/>
          <w:lang w:val="en-US"/>
        </w:rPr>
      </w:pPr>
    </w:p>
    <w:p w14:paraId="156D58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марта 1945 началось немецкое контрнаступление на Дунай в Венгрии. 8ВА США совершила налет на Чемниц в Саксонии. 1А США захватила Кельн (3819).</w:t>
      </w:r>
    </w:p>
    <w:p w14:paraId="1EF0E010" w14:textId="77777777" w:rsidR="00665165" w:rsidRPr="00925F26" w:rsidRDefault="00665165" w:rsidP="00925F26">
      <w:pPr>
        <w:autoSpaceDE w:val="0"/>
        <w:autoSpaceDN w:val="0"/>
        <w:adjustRightInd w:val="0"/>
        <w:jc w:val="both"/>
        <w:rPr>
          <w:color w:val="000000" w:themeColor="text1"/>
          <w:sz w:val="16"/>
          <w:szCs w:val="16"/>
        </w:rPr>
      </w:pPr>
    </w:p>
    <w:p w14:paraId="19D08428" w14:textId="77777777" w:rsidR="00094C32" w:rsidRPr="00925F26" w:rsidRDefault="00094C32" w:rsidP="00925F26">
      <w:pPr>
        <w:jc w:val="both"/>
        <w:rPr>
          <w:color w:val="000000" w:themeColor="text1"/>
          <w:sz w:val="16"/>
          <w:szCs w:val="16"/>
        </w:rPr>
      </w:pPr>
      <w:r w:rsidRPr="00925F26">
        <w:rPr>
          <w:bCs/>
          <w:color w:val="000000" w:themeColor="text1"/>
          <w:sz w:val="16"/>
          <w:szCs w:val="16"/>
        </w:rPr>
        <w:t>6 марта</w:t>
      </w:r>
      <w:r w:rsidRPr="00925F26">
        <w:rPr>
          <w:color w:val="000000" w:themeColor="text1"/>
          <w:sz w:val="16"/>
          <w:szCs w:val="16"/>
        </w:rPr>
        <w:t xml:space="preserve"> в 1945 году американские войска заняли город Кёльн (15060).</w:t>
      </w:r>
    </w:p>
    <w:p w14:paraId="6F6AAACD" w14:textId="77777777" w:rsidR="00094C32" w:rsidRPr="00925F26" w:rsidRDefault="00094C32" w:rsidP="00925F26">
      <w:pPr>
        <w:jc w:val="both"/>
        <w:rPr>
          <w:color w:val="000000" w:themeColor="text1"/>
          <w:sz w:val="16"/>
          <w:szCs w:val="16"/>
        </w:rPr>
      </w:pPr>
    </w:p>
    <w:p w14:paraId="6A27641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в Цюрихе тайно встретились личный помощник Гиммлера Карл Вольф и Аллен Даллас (4962).</w:t>
      </w:r>
    </w:p>
    <w:p w14:paraId="0438D79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3B3D65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марта 1945 голландскими бойцами Сопротивления совершена попытка убить генерального прокурора Голландии генерала СС Ханса Раутера (4962).</w:t>
      </w:r>
    </w:p>
    <w:p w14:paraId="75334FB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C867746" w14:textId="77777777" w:rsidR="00094C32" w:rsidRPr="00925F26" w:rsidRDefault="00094C32" w:rsidP="00925F26">
      <w:pPr>
        <w:jc w:val="both"/>
        <w:rPr>
          <w:color w:val="000000" w:themeColor="text1"/>
          <w:sz w:val="16"/>
          <w:szCs w:val="16"/>
        </w:rPr>
      </w:pPr>
      <w:r w:rsidRPr="00925F26">
        <w:rPr>
          <w:bCs/>
          <w:color w:val="000000" w:themeColor="text1"/>
          <w:sz w:val="16"/>
          <w:szCs w:val="16"/>
        </w:rPr>
        <w:t>6 марта</w:t>
      </w:r>
      <w:r w:rsidRPr="00925F26">
        <w:rPr>
          <w:color w:val="000000" w:themeColor="text1"/>
          <w:sz w:val="16"/>
          <w:szCs w:val="16"/>
        </w:rPr>
        <w:t xml:space="preserve"> в 1945 году близ городка Апельдоорн, на севере Нидерландов, подпольщики попытались захватить немецкий грузовик с продовольствием. Совершенно случайно в атакованном грузовике оказался командующий силами СС в Нидерландах группенфюрер Ганс Раутер (Hanns Rauter), который был тяжело ранен в ходе нападения. В отместку немцы казнили 263 голандских заложника. После окончания войны, взятый в плен американцами Раутер, был выдан Нидерландам. В ходе суда в Гааге Раутер был признан виновным в военных преступлениях и приговорён к смертной казни. Приговор был приведён в исполнение в январе 1949-го (15060).</w:t>
      </w:r>
    </w:p>
    <w:p w14:paraId="5D9A9710" w14:textId="77777777" w:rsidR="00094C32" w:rsidRPr="00925F26" w:rsidRDefault="00094C32" w:rsidP="00925F26">
      <w:pPr>
        <w:jc w:val="both"/>
        <w:rPr>
          <w:color w:val="000000" w:themeColor="text1"/>
          <w:sz w:val="16"/>
          <w:szCs w:val="16"/>
        </w:rPr>
      </w:pPr>
    </w:p>
    <w:p w14:paraId="0EA22A7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E43CF0C" w14:textId="77777777" w:rsidR="00665165" w:rsidRPr="00925F26" w:rsidRDefault="00665165" w:rsidP="00925F26">
      <w:pPr>
        <w:autoSpaceDE w:val="0"/>
        <w:autoSpaceDN w:val="0"/>
        <w:adjustRightInd w:val="0"/>
        <w:jc w:val="both"/>
        <w:rPr>
          <w:iCs/>
          <w:color w:val="000000" w:themeColor="text1"/>
          <w:sz w:val="16"/>
          <w:szCs w:val="16"/>
        </w:rPr>
      </w:pPr>
    </w:p>
    <w:p w14:paraId="71376847" w14:textId="77777777" w:rsidR="002F0C29" w:rsidRPr="001A0BAA" w:rsidRDefault="002F0C29" w:rsidP="002F0C29">
      <w:pPr>
        <w:jc w:val="both"/>
        <w:rPr>
          <w:color w:val="0070C0"/>
          <w:sz w:val="16"/>
          <w:szCs w:val="16"/>
        </w:rPr>
      </w:pPr>
      <w:bookmarkStart w:id="10" w:name="_Hlk194484847"/>
      <w:r w:rsidRPr="001A0BAA">
        <w:rPr>
          <w:rStyle w:val="aff0"/>
          <w:rFonts w:ascii="Times New Roman" w:hAnsi="Times New Roman" w:cs="Times New Roman"/>
          <w:color w:val="0070C0"/>
          <w:spacing w:val="0"/>
          <w:sz w:val="16"/>
          <w:szCs w:val="16"/>
        </w:rPr>
        <w:lastRenderedPageBreak/>
        <w:t>В первых числах марта 1945-года завершились контрольные испытания самолета Ил-2 № 18830115. По сравнению с преды</w:t>
      </w:r>
      <w:r w:rsidRPr="001A0BAA">
        <w:rPr>
          <w:rStyle w:val="aff0"/>
          <w:rFonts w:ascii="Times New Roman" w:hAnsi="Times New Roman" w:cs="Times New Roman"/>
          <w:color w:val="0070C0"/>
          <w:spacing w:val="0"/>
          <w:sz w:val="16"/>
          <w:szCs w:val="16"/>
        </w:rPr>
        <w:softHyphen/>
        <w:t>дущей машиной, испытывавшейся в октябре прошлого го</w:t>
      </w:r>
      <w:r w:rsidRPr="001A0BAA">
        <w:rPr>
          <w:rStyle w:val="aff0"/>
          <w:rFonts w:ascii="Times New Roman" w:hAnsi="Times New Roman" w:cs="Times New Roman"/>
          <w:color w:val="0070C0"/>
          <w:spacing w:val="0"/>
          <w:sz w:val="16"/>
          <w:szCs w:val="16"/>
        </w:rPr>
        <w:softHyphen/>
        <w:t>да, заводчане усилили крепление сиденья стрелка, приме</w:t>
      </w:r>
      <w:r w:rsidRPr="001A0BAA">
        <w:rPr>
          <w:rStyle w:val="aff0"/>
          <w:rFonts w:ascii="Times New Roman" w:hAnsi="Times New Roman" w:cs="Times New Roman"/>
          <w:color w:val="0070C0"/>
          <w:spacing w:val="0"/>
          <w:sz w:val="16"/>
          <w:szCs w:val="16"/>
        </w:rPr>
        <w:softHyphen/>
        <w:t>нили двухлучевую антенну для передатчика РСИ-ЗМ, вве</w:t>
      </w:r>
      <w:r w:rsidRPr="001A0BAA">
        <w:rPr>
          <w:rStyle w:val="aff0"/>
          <w:rFonts w:ascii="Times New Roman" w:hAnsi="Times New Roman" w:cs="Times New Roman"/>
          <w:color w:val="0070C0"/>
          <w:spacing w:val="0"/>
          <w:sz w:val="16"/>
          <w:szCs w:val="16"/>
        </w:rPr>
        <w:softHyphen/>
        <w:t>ли металлизацию шасси и в электросети коробку фильтров КФ-1-350 заменили фильтром СФ-1, что в совокупности улучшило условия радиосвязи, доработали створки бомболюков и оборудовали системой газового запуска мотора. Среди недостатков были отмечены досадные ме</w:t>
      </w:r>
      <w:r w:rsidRPr="001A0BAA">
        <w:rPr>
          <w:rStyle w:val="aff0"/>
          <w:rFonts w:ascii="Times New Roman" w:hAnsi="Times New Roman" w:cs="Times New Roman"/>
          <w:color w:val="0070C0"/>
          <w:spacing w:val="0"/>
          <w:sz w:val="16"/>
          <w:szCs w:val="16"/>
        </w:rPr>
        <w:softHyphen/>
        <w:t>лочи в виде укороченного хода фонаря кабины пилота и низкого качества изготовления резиновой втулки стан</w:t>
      </w:r>
      <w:r w:rsidRPr="001A0BAA">
        <w:rPr>
          <w:rStyle w:val="aff0"/>
          <w:rFonts w:ascii="Times New Roman" w:hAnsi="Times New Roman" w:cs="Times New Roman"/>
          <w:color w:val="0070C0"/>
          <w:spacing w:val="0"/>
          <w:sz w:val="16"/>
          <w:szCs w:val="16"/>
        </w:rPr>
        <w:softHyphen/>
        <w:t>дартного зарядного штуцера (25091).</w:t>
      </w:r>
    </w:p>
    <w:bookmarkEnd w:id="10"/>
    <w:p w14:paraId="75A867CC" w14:textId="77777777" w:rsidR="002F0C29" w:rsidRPr="001A0BAA" w:rsidRDefault="002F0C29" w:rsidP="002F0C29">
      <w:pPr>
        <w:jc w:val="both"/>
        <w:rPr>
          <w:color w:val="0070C0"/>
          <w:sz w:val="16"/>
          <w:szCs w:val="16"/>
        </w:rPr>
      </w:pPr>
    </w:p>
    <w:p w14:paraId="0A6B0B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марта 1945 Ильюшин до</w:t>
      </w:r>
      <w:r w:rsidRPr="00925F26">
        <w:rPr>
          <w:color w:val="000000" w:themeColor="text1"/>
          <w:sz w:val="16"/>
          <w:szCs w:val="16"/>
        </w:rPr>
        <w:softHyphen/>
        <w:t>ложил о завершении работ и гарантировал выпуск Ил-10 с уси</w:t>
      </w:r>
      <w:r w:rsidRPr="00925F26">
        <w:rPr>
          <w:color w:val="000000" w:themeColor="text1"/>
          <w:sz w:val="16"/>
          <w:szCs w:val="16"/>
        </w:rPr>
        <w:softHyphen/>
        <w:t>ленной конструкцией, начиная с первого самолета 7-й серии. Серьезную тревогу вызвала у военных выявленная в январе 1945 г. недостаточная прочность отдельных агрегатов Ил-10. При статиспытаниях в ЦАГИ произошло разрушение центро</w:t>
      </w:r>
      <w:r w:rsidRPr="00925F26">
        <w:rPr>
          <w:color w:val="000000" w:themeColor="text1"/>
          <w:sz w:val="16"/>
          <w:szCs w:val="16"/>
        </w:rPr>
        <w:softHyphen/>
        <w:t>плана самолета при 97% от расчетной нагрузки, а при нагрузке 99% от расчетной обнаружилась потеря устойчивости рам хво</w:t>
      </w:r>
      <w:r w:rsidRPr="00925F26">
        <w:rPr>
          <w:color w:val="000000" w:themeColor="text1"/>
          <w:sz w:val="16"/>
          <w:szCs w:val="16"/>
        </w:rPr>
        <w:softHyphen/>
        <w:t>стовой части фюзеляжа (№№ 12, 13, 14 и 13а). Очевидно, этот дефект был связан с «истребительным» про</w:t>
      </w:r>
      <w:r w:rsidRPr="00925F26">
        <w:rPr>
          <w:color w:val="000000" w:themeColor="text1"/>
          <w:sz w:val="16"/>
          <w:szCs w:val="16"/>
        </w:rPr>
        <w:softHyphen/>
        <w:t>шлым Ил-10. При переделке Ил-1 в штурмовик вес самолета уве</w:t>
      </w:r>
      <w:r w:rsidRPr="00925F26">
        <w:rPr>
          <w:color w:val="000000" w:themeColor="text1"/>
          <w:sz w:val="16"/>
          <w:szCs w:val="16"/>
        </w:rPr>
        <w:softHyphen/>
        <w:t xml:space="preserve">личился и, кроме этого, в центроплане сделали вырезы под </w:t>
      </w:r>
      <w:proofErr w:type="gramStart"/>
      <w:r w:rsidRPr="00925F26">
        <w:rPr>
          <w:color w:val="000000" w:themeColor="text1"/>
          <w:sz w:val="16"/>
          <w:szCs w:val="16"/>
        </w:rPr>
        <w:t>бом-болюки</w:t>
      </w:r>
      <w:proofErr w:type="gramEnd"/>
      <w:r w:rsidRPr="00925F26">
        <w:rPr>
          <w:color w:val="000000" w:themeColor="text1"/>
          <w:sz w:val="16"/>
          <w:szCs w:val="16"/>
        </w:rPr>
        <w:t>. В результате прочность крыла снизилась. ОКБ в авраль</w:t>
      </w:r>
      <w:r w:rsidRPr="00925F26">
        <w:rPr>
          <w:color w:val="000000" w:themeColor="text1"/>
          <w:sz w:val="16"/>
          <w:szCs w:val="16"/>
        </w:rPr>
        <w:softHyphen/>
        <w:t>ном порядке занялось разработкой комплекса мероприятий по усилению конструкции самолета (11474,510).</w:t>
      </w:r>
    </w:p>
    <w:p w14:paraId="47B553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56C4E6"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К началу марта 1945 удалось завершить первый наземный этап заводских испытаний ВУ-9 с БТ-20 на самолете Ил-10.</w:t>
      </w:r>
    </w:p>
    <w:p w14:paraId="25CC6ADF"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Оказалось, что поставленные на завод 172 пушки БТ -20 «на установке ВУ-9 без дополнительного подтяга ленты не работают». Все эти пушки имели большое количество задержек - переброс патрона через нижний фиксатор затвора (на газогенераторе с диаметром 5,4, 4,5 и 4 мм) и недоход с шептала подвижных частей в переднее положение.</w:t>
      </w:r>
    </w:p>
    <w:p w14:paraId="2E2CB325"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Задержку переброс патрона представители завода № 74 НКВ устранили довольно быстро - поставили дополнительную пружину фиксатора, а вот с недоходом возились долго, но справиться так и не удалось. Применение «возвратной пружины с максимальным весом 69 кг» привело к положительному результату, но только для пушек «с тягой ленты в 45 патронов». На заводе таких пушек имелось всего четыре штуки. Остальные были приняты «военным представителем завода № 74 НКВ с тягой ленты в 25 патронов», и «жесткости новой пружины» уже не хватало для обеспечения автоматической стрельбы.</w:t>
      </w:r>
    </w:p>
    <w:p w14:paraId="03E16CE2" w14:textId="77777777" w:rsidR="00DD401F" w:rsidRPr="00925F26" w:rsidRDefault="00DD401F"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Подвижная установка ВУ-9 также не отличалась надежностью и живучестью в работе. Имели место заклинения звеньев в звеньеотводе («на 2000 выстрелов из 4 пушек было 17 задержек по заклинению звеньев в звеньеотводе»). Для нормальной работы фиксирующих пальцев приемника пушки в ходе испытаний потребовалось переделать перемычку горловины рукава питания, но после этого горловина рукава на одной пушке разрушилась уже на 500-м выстреле, а на другой - на 2520-м выстреле. Кроме этого, при стрельбе выскочил горизонтальный шарикоподшипник (над стопором), поломалась шестерня механизма стабилизации, постоянно выворачивался так называемый полюсный болт (или осевой болт), установка от тряски срывалась со стопора уже после одной-двух очередей средней длины.</w:t>
      </w:r>
    </w:p>
    <w:p w14:paraId="7A1AD6CA"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Одна доработанная пушка (при диаметре газового регулятора 3,5 мм) была отстреляна в воздухе 750 выстрелами. По вине пушки была только одна задержка (пропуск в подаче ленты), а по вине установки - 17 задержек (все по причине заклинения звеньев в звеньеотводе). После постановки в звеньеотводе пружинящей пластинки из нержавеющей стали толщиной 3 мм и размерами 50^30 мм заклинения звеньев в звеньеотводе прекратились.</w:t>
      </w:r>
    </w:p>
    <w:p w14:paraId="72AF0887"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Поступившие в марте на завод № 18 пушки БТ-20 выпуска февраля 1945 года завода № 74 НКВ при отстрелах на установке ВУ-9 давали сплошные задержки по причине переброса патрона через фиксатор и потери патрона извлекателем.</w:t>
      </w:r>
    </w:p>
    <w:p w14:paraId="3FE71AB4"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Несмотря на полученные в ходе испытаний вполне обнадеживающие результаты, пушку БТ-20 и установку ВУ-9 все же признали «подлежащими специальной доводке на заводе № 74 НКВ и заводе № 454».</w:t>
      </w:r>
    </w:p>
    <w:p w14:paraId="1FF84861"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«Пушки требуют дополнительных испытаний, так как безотказной стрельбы на них можно добиться лишь при газорегуляторе 4 и 3,5 мм, что не обеспечивает их регулировки при эксплуатации», - отмечалось в докладе от 5 апреля помощника военпреда на заводе № 18 инженер-капитана Никулина районному инженеру 1-го отдела ГУ ИАС ВВС инженер-полковнику Трекину (17481).</w:t>
      </w:r>
    </w:p>
    <w:p w14:paraId="12FD74AD" w14:textId="77777777" w:rsidR="00DD401F" w:rsidRPr="00925F26" w:rsidRDefault="00DD401F" w:rsidP="00925F26">
      <w:pPr>
        <w:jc w:val="both"/>
        <w:rPr>
          <w:color w:val="000000" w:themeColor="text1"/>
          <w:sz w:val="16"/>
          <w:szCs w:val="16"/>
        </w:rPr>
      </w:pPr>
    </w:p>
    <w:p w14:paraId="2071D69C"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начале марта 1945 г. в части 1-й и 4-й ВА направили инженера-подполковника А.К. Огилько. Его задачей являлось ознакомить</w:t>
      </w:r>
      <w:r w:rsidRPr="00925F26">
        <w:rPr>
          <w:rFonts w:ascii="Times New Roman" w:cs="Times New Roman"/>
          <w:color w:val="000000" w:themeColor="text1"/>
          <w:spacing w:val="0"/>
        </w:rPr>
        <w:softHyphen/>
        <w:t>ся с результатами боевой работы самолетов Ил-2 с дополнительным бронированием воз</w:t>
      </w:r>
      <w:r w:rsidRPr="00925F26">
        <w:rPr>
          <w:rFonts w:ascii="Times New Roman" w:cs="Times New Roman"/>
          <w:color w:val="000000" w:themeColor="text1"/>
          <w:spacing w:val="0"/>
        </w:rPr>
        <w:softHyphen/>
        <w:t>душного стрелка по полевому варианту завода N"30 с целью решения вопроса о целесообраз</w:t>
      </w:r>
      <w:r w:rsidRPr="00925F26">
        <w:rPr>
          <w:rFonts w:ascii="Times New Roman" w:cs="Times New Roman"/>
          <w:color w:val="000000" w:themeColor="text1"/>
          <w:spacing w:val="0"/>
        </w:rPr>
        <w:softHyphen/>
        <w:t>ности установки дополнительной брони на все штурмовики этого типа в строевых частях (17478).</w:t>
      </w:r>
    </w:p>
    <w:p w14:paraId="4A42D645"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p>
    <w:p w14:paraId="0122E6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марта 1945 года Начальник УТЭ ВВС КА генерал-лейтенант ИАС Ф.Н. Шульговский докладывал статистику по дефектам самолетов и моторов ВВС КА за 1944 год:</w:t>
      </w:r>
    </w:p>
    <w:p w14:paraId="32EC5A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мотору АШ-82Ф и ФН:</w:t>
      </w:r>
    </w:p>
    <w:p w14:paraId="306041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Выработка и поломка поршне</w:t>
      </w:r>
      <w:r w:rsidRPr="00925F26">
        <w:rPr>
          <w:color w:val="000000" w:themeColor="text1"/>
          <w:sz w:val="16"/>
          <w:szCs w:val="16"/>
        </w:rPr>
        <w:softHyphen/>
        <w:t>вых колец и ступенчатая выработка цилиндров.</w:t>
      </w:r>
    </w:p>
    <w:p w14:paraId="77BD7A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было 882 случая, в резуль</w:t>
      </w:r>
      <w:r w:rsidRPr="00925F26">
        <w:rPr>
          <w:color w:val="000000" w:themeColor="text1"/>
          <w:sz w:val="16"/>
          <w:szCs w:val="16"/>
        </w:rPr>
        <w:softHyphen/>
        <w:t>тате чего произошло:</w:t>
      </w:r>
    </w:p>
    <w:p w14:paraId="3B1206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аварий самолетов - 5,</w:t>
      </w:r>
    </w:p>
    <w:p w14:paraId="3D8434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аварий моторов - 188,</w:t>
      </w:r>
    </w:p>
    <w:p w14:paraId="13E9B2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поломок и вынужденных посадок самолетов - 17,</w:t>
      </w:r>
    </w:p>
    <w:p w14:paraId="07671F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простои и потери боеготовности - 672.</w:t>
      </w:r>
    </w:p>
    <w:p w14:paraId="1A2405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заводам этот дефект распре</w:t>
      </w:r>
      <w:r w:rsidRPr="00925F26">
        <w:rPr>
          <w:color w:val="000000" w:themeColor="text1"/>
          <w:sz w:val="16"/>
          <w:szCs w:val="16"/>
        </w:rPr>
        <w:softHyphen/>
        <w:t>деляется следующим образом:</w:t>
      </w:r>
    </w:p>
    <w:p w14:paraId="730028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№19-845,</w:t>
      </w:r>
    </w:p>
    <w:p w14:paraId="681F71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№29 - 37.</w:t>
      </w:r>
    </w:p>
    <w:p w14:paraId="194C47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количество случаев этого дефекта в течение года всё увеличивалось. Так, напри</w:t>
      </w:r>
      <w:r w:rsidRPr="00925F26">
        <w:rPr>
          <w:color w:val="000000" w:themeColor="text1"/>
          <w:sz w:val="16"/>
          <w:szCs w:val="16"/>
        </w:rPr>
        <w:softHyphen/>
        <w:t>мер:</w:t>
      </w:r>
    </w:p>
    <w:p w14:paraId="1E4F01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январе было 13 случаев</w:t>
      </w:r>
    </w:p>
    <w:p w14:paraId="57FCA9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феврале 7</w:t>
      </w:r>
    </w:p>
    <w:p w14:paraId="131228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10</w:t>
      </w:r>
    </w:p>
    <w:p w14:paraId="3A9E00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12</w:t>
      </w:r>
    </w:p>
    <w:p w14:paraId="5A7F66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40</w:t>
      </w:r>
    </w:p>
    <w:p w14:paraId="6487D5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 24</w:t>
      </w:r>
    </w:p>
    <w:p w14:paraId="4A26EF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июле 132</w:t>
      </w:r>
    </w:p>
    <w:p w14:paraId="52CCDA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августе 77</w:t>
      </w:r>
    </w:p>
    <w:p w14:paraId="17E3C1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сентябре 99</w:t>
      </w:r>
    </w:p>
    <w:p w14:paraId="17930A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октябре 174</w:t>
      </w:r>
    </w:p>
    <w:p w14:paraId="7F0E1C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ноябре 112</w:t>
      </w:r>
    </w:p>
    <w:p w14:paraId="5B6BA3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декабре 190</w:t>
      </w:r>
    </w:p>
    <w:p w14:paraId="4B5CD2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Дефект этот является следствием грубых нарушений технологии про</w:t>
      </w:r>
      <w:r w:rsidRPr="00925F26">
        <w:rPr>
          <w:color w:val="000000" w:themeColor="text1"/>
          <w:sz w:val="16"/>
          <w:szCs w:val="16"/>
        </w:rPr>
        <w:softHyphen/>
        <w:t>изводства гильз цилиндров (нерав</w:t>
      </w:r>
      <w:r w:rsidRPr="00925F26">
        <w:rPr>
          <w:color w:val="000000" w:themeColor="text1"/>
          <w:sz w:val="16"/>
          <w:szCs w:val="16"/>
        </w:rPr>
        <w:softHyphen/>
        <w:t>номерный и недостаточный слой азотации, пониженная твердость, сер</w:t>
      </w:r>
      <w:r w:rsidRPr="00925F26">
        <w:rPr>
          <w:color w:val="000000" w:themeColor="text1"/>
          <w:sz w:val="16"/>
          <w:szCs w:val="16"/>
        </w:rPr>
        <w:softHyphen/>
        <w:t>нистые включения) и плохого устрой</w:t>
      </w:r>
      <w:r w:rsidRPr="00925F26">
        <w:rPr>
          <w:color w:val="000000" w:themeColor="text1"/>
          <w:sz w:val="16"/>
          <w:szCs w:val="16"/>
        </w:rPr>
        <w:softHyphen/>
        <w:t>ства фильтра и воздухоприемника на самолете Ла-7» (10730).</w:t>
      </w:r>
    </w:p>
    <w:p w14:paraId="4308DD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Других дефектов на моторах АШ-82ФН было гораздо меньше:</w:t>
      </w:r>
    </w:p>
    <w:p w14:paraId="462FED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прогар, обрыв и заедание клапа</w:t>
      </w:r>
      <w:r w:rsidRPr="00925F26">
        <w:rPr>
          <w:color w:val="000000" w:themeColor="text1"/>
          <w:sz w:val="16"/>
          <w:szCs w:val="16"/>
        </w:rPr>
        <w:softHyphen/>
        <w:t>нов - 172 случая,</w:t>
      </w:r>
    </w:p>
    <w:p w14:paraId="37ACF2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поломка клапанных пружин - 75 случаев,</w:t>
      </w:r>
    </w:p>
    <w:p w14:paraId="00E04B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износ и разрушение направляю</w:t>
      </w:r>
      <w:r w:rsidRPr="00925F26">
        <w:rPr>
          <w:color w:val="000000" w:themeColor="text1"/>
          <w:sz w:val="16"/>
          <w:szCs w:val="16"/>
        </w:rPr>
        <w:softHyphen/>
        <w:t>щих втулок клапанов, разрушение седел клапанов - 82 случая,</w:t>
      </w:r>
    </w:p>
    <w:p w14:paraId="37C32B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обрывы шатунов - 67 случаев,</w:t>
      </w:r>
    </w:p>
    <w:p w14:paraId="555A1B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поломки валиков: переходников привода агрегата НБ-ЗУ, привода </w:t>
      </w:r>
      <w:proofErr w:type="gramStart"/>
      <w:r w:rsidRPr="00925F26">
        <w:rPr>
          <w:color w:val="000000" w:themeColor="text1"/>
          <w:sz w:val="16"/>
          <w:szCs w:val="16"/>
        </w:rPr>
        <w:t>к масло</w:t>
      </w:r>
      <w:proofErr w:type="gramEnd"/>
      <w:r w:rsidRPr="00925F26">
        <w:rPr>
          <w:color w:val="000000" w:themeColor="text1"/>
          <w:sz w:val="16"/>
          <w:szCs w:val="16"/>
        </w:rPr>
        <w:t>- и бензопомпам, привода к ге</w:t>
      </w:r>
      <w:r w:rsidRPr="00925F26">
        <w:rPr>
          <w:color w:val="000000" w:themeColor="text1"/>
          <w:sz w:val="16"/>
          <w:szCs w:val="16"/>
        </w:rPr>
        <w:softHyphen/>
        <w:t>нератору - 188 случаев (10730).</w:t>
      </w:r>
    </w:p>
    <w:p w14:paraId="7CEB6C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EACC4C7" w14:textId="77777777" w:rsidR="00001948" w:rsidRPr="00925F26" w:rsidRDefault="00001948" w:rsidP="00925F26">
      <w:pPr>
        <w:jc w:val="both"/>
        <w:rPr>
          <w:color w:val="000000" w:themeColor="text1"/>
          <w:sz w:val="16"/>
          <w:szCs w:val="16"/>
        </w:rPr>
      </w:pPr>
      <w:r w:rsidRPr="00925F26">
        <w:rPr>
          <w:color w:val="000000" w:themeColor="text1"/>
          <w:sz w:val="16"/>
          <w:szCs w:val="16"/>
        </w:rPr>
        <w:t>В начале марта 1945 г. докладывал статистику по дефектам самолётов и моторов ВВС КА за 1944 год:</w:t>
      </w:r>
    </w:p>
    <w:p w14:paraId="7506054B" w14:textId="77777777" w:rsidR="00001948" w:rsidRPr="00925F26" w:rsidRDefault="00001948" w:rsidP="00925F26">
      <w:pPr>
        <w:jc w:val="both"/>
        <w:rPr>
          <w:color w:val="000000" w:themeColor="text1"/>
          <w:sz w:val="16"/>
          <w:szCs w:val="16"/>
        </w:rPr>
      </w:pPr>
      <w:r w:rsidRPr="00925F26">
        <w:rPr>
          <w:color w:val="000000" w:themeColor="text1"/>
          <w:sz w:val="16"/>
          <w:szCs w:val="16"/>
        </w:rPr>
        <w:t>«По мотору АШ-82Ф и ФН:</w:t>
      </w:r>
    </w:p>
    <w:p w14:paraId="030609F5" w14:textId="77777777" w:rsidR="00001948" w:rsidRPr="00925F26" w:rsidRDefault="00001948" w:rsidP="00925F26">
      <w:pPr>
        <w:tabs>
          <w:tab w:val="left" w:pos="5146"/>
        </w:tabs>
        <w:jc w:val="both"/>
        <w:rPr>
          <w:color w:val="000000" w:themeColor="text1"/>
          <w:sz w:val="16"/>
          <w:szCs w:val="16"/>
        </w:rPr>
      </w:pPr>
      <w:r w:rsidRPr="00925F26">
        <w:rPr>
          <w:color w:val="000000" w:themeColor="text1"/>
          <w:sz w:val="16"/>
          <w:szCs w:val="16"/>
        </w:rPr>
        <w:t>1. Выработка и поломка поршневых колец и ступенчатая выработка цилиндров. Все</w:t>
      </w:r>
      <w:r w:rsidRPr="00925F26">
        <w:rPr>
          <w:color w:val="000000" w:themeColor="text1"/>
          <w:sz w:val="16"/>
          <w:szCs w:val="16"/>
        </w:rPr>
        <w:softHyphen/>
        <w:t>го было 882 случая, в результате чего произошло:</w:t>
      </w:r>
    </w:p>
    <w:p w14:paraId="19B8AB49" w14:textId="77777777" w:rsidR="00001948" w:rsidRPr="00925F26" w:rsidRDefault="00001948" w:rsidP="00925F26">
      <w:pPr>
        <w:tabs>
          <w:tab w:val="left" w:pos="5146"/>
        </w:tabs>
        <w:jc w:val="both"/>
        <w:rPr>
          <w:color w:val="000000" w:themeColor="text1"/>
          <w:sz w:val="16"/>
          <w:szCs w:val="16"/>
        </w:rPr>
      </w:pPr>
      <w:r w:rsidRPr="00925F26">
        <w:rPr>
          <w:color w:val="000000" w:themeColor="text1"/>
          <w:sz w:val="16"/>
          <w:szCs w:val="16"/>
        </w:rPr>
        <w:t>аварий самолётов</w:t>
      </w:r>
      <w:r w:rsidRPr="00925F26">
        <w:rPr>
          <w:color w:val="000000" w:themeColor="text1"/>
          <w:sz w:val="16"/>
          <w:szCs w:val="16"/>
        </w:rPr>
        <w:tab/>
        <w:t>— 5,</w:t>
      </w:r>
    </w:p>
    <w:p w14:paraId="5C8FDA99" w14:textId="77777777" w:rsidR="00001948" w:rsidRPr="00925F26" w:rsidRDefault="00001948" w:rsidP="00925F26">
      <w:pPr>
        <w:tabs>
          <w:tab w:val="left" w:pos="4983"/>
        </w:tabs>
        <w:jc w:val="both"/>
        <w:rPr>
          <w:color w:val="000000" w:themeColor="text1"/>
          <w:sz w:val="16"/>
          <w:szCs w:val="16"/>
        </w:rPr>
      </w:pPr>
      <w:r w:rsidRPr="00925F26">
        <w:rPr>
          <w:color w:val="000000" w:themeColor="text1"/>
          <w:sz w:val="16"/>
          <w:szCs w:val="16"/>
        </w:rPr>
        <w:t>аварий моторов</w:t>
      </w:r>
      <w:r w:rsidRPr="00925F26">
        <w:rPr>
          <w:color w:val="000000" w:themeColor="text1"/>
          <w:sz w:val="16"/>
          <w:szCs w:val="16"/>
        </w:rPr>
        <w:tab/>
        <w:t>— 188,</w:t>
      </w:r>
    </w:p>
    <w:p w14:paraId="15C21094" w14:textId="77777777" w:rsidR="00001948" w:rsidRPr="00925F26" w:rsidRDefault="00001948" w:rsidP="00925F26">
      <w:pPr>
        <w:tabs>
          <w:tab w:val="left" w:pos="4974"/>
        </w:tabs>
        <w:jc w:val="both"/>
        <w:rPr>
          <w:color w:val="000000" w:themeColor="text1"/>
          <w:sz w:val="16"/>
          <w:szCs w:val="16"/>
        </w:rPr>
      </w:pPr>
      <w:r w:rsidRPr="00925F26">
        <w:rPr>
          <w:color w:val="000000" w:themeColor="text1"/>
          <w:sz w:val="16"/>
          <w:szCs w:val="16"/>
        </w:rPr>
        <w:t>поломок и вынужденных посадок самолётов</w:t>
      </w:r>
      <w:r w:rsidRPr="00925F26">
        <w:rPr>
          <w:color w:val="000000" w:themeColor="text1"/>
          <w:sz w:val="16"/>
          <w:szCs w:val="16"/>
        </w:rPr>
        <w:tab/>
        <w:t>— 17,</w:t>
      </w:r>
    </w:p>
    <w:p w14:paraId="5102ADF2" w14:textId="77777777" w:rsidR="00001948" w:rsidRPr="00925F26" w:rsidRDefault="00001948" w:rsidP="00925F26">
      <w:pPr>
        <w:tabs>
          <w:tab w:val="left" w:pos="4978"/>
        </w:tabs>
        <w:jc w:val="both"/>
        <w:rPr>
          <w:color w:val="000000" w:themeColor="text1"/>
          <w:sz w:val="16"/>
          <w:szCs w:val="16"/>
        </w:rPr>
      </w:pPr>
      <w:r w:rsidRPr="00925F26">
        <w:rPr>
          <w:color w:val="000000" w:themeColor="text1"/>
          <w:sz w:val="16"/>
          <w:szCs w:val="16"/>
        </w:rPr>
        <w:t>простои и потери боеготовности</w:t>
      </w:r>
      <w:r w:rsidRPr="00925F26">
        <w:rPr>
          <w:color w:val="000000" w:themeColor="text1"/>
          <w:sz w:val="16"/>
          <w:szCs w:val="16"/>
        </w:rPr>
        <w:tab/>
        <w:t>— 672.</w:t>
      </w:r>
    </w:p>
    <w:p w14:paraId="6ED7EEE2" w14:textId="77777777" w:rsidR="00001948" w:rsidRPr="00925F26" w:rsidRDefault="00001948" w:rsidP="00925F26">
      <w:pPr>
        <w:tabs>
          <w:tab w:val="left" w:pos="4983"/>
        </w:tabs>
        <w:jc w:val="both"/>
        <w:rPr>
          <w:color w:val="000000" w:themeColor="text1"/>
          <w:sz w:val="16"/>
          <w:szCs w:val="16"/>
        </w:rPr>
      </w:pPr>
      <w:r w:rsidRPr="00925F26">
        <w:rPr>
          <w:color w:val="000000" w:themeColor="text1"/>
          <w:sz w:val="16"/>
          <w:szCs w:val="16"/>
        </w:rPr>
        <w:t>По заводам этот дефект распределяется следующим образом:</w:t>
      </w:r>
    </w:p>
    <w:p w14:paraId="6CF4495D" w14:textId="77777777" w:rsidR="00001948" w:rsidRPr="00925F26" w:rsidRDefault="00001948" w:rsidP="00925F26">
      <w:pPr>
        <w:tabs>
          <w:tab w:val="left" w:pos="4983"/>
        </w:tabs>
        <w:jc w:val="both"/>
        <w:rPr>
          <w:color w:val="000000" w:themeColor="text1"/>
          <w:sz w:val="16"/>
          <w:szCs w:val="16"/>
        </w:rPr>
      </w:pPr>
      <w:r w:rsidRPr="00925F26">
        <w:rPr>
          <w:color w:val="000000" w:themeColor="text1"/>
          <w:sz w:val="16"/>
          <w:szCs w:val="16"/>
        </w:rPr>
        <w:t>завод № 19</w:t>
      </w:r>
      <w:r w:rsidRPr="00925F26">
        <w:rPr>
          <w:color w:val="000000" w:themeColor="text1"/>
          <w:sz w:val="16"/>
          <w:szCs w:val="16"/>
        </w:rPr>
        <w:tab/>
        <w:t>—845,</w:t>
      </w:r>
    </w:p>
    <w:p w14:paraId="72AF58F6" w14:textId="77777777" w:rsidR="00001948" w:rsidRPr="00925F26" w:rsidRDefault="00001948" w:rsidP="00925F26">
      <w:pPr>
        <w:tabs>
          <w:tab w:val="left" w:pos="4983"/>
        </w:tabs>
        <w:jc w:val="both"/>
        <w:rPr>
          <w:color w:val="000000" w:themeColor="text1"/>
          <w:sz w:val="16"/>
          <w:szCs w:val="16"/>
        </w:rPr>
      </w:pPr>
      <w:r w:rsidRPr="00925F26">
        <w:rPr>
          <w:color w:val="000000" w:themeColor="text1"/>
          <w:sz w:val="16"/>
          <w:szCs w:val="16"/>
        </w:rPr>
        <w:t>завод N° 29</w:t>
      </w:r>
      <w:r w:rsidRPr="00925F26">
        <w:rPr>
          <w:color w:val="000000" w:themeColor="text1"/>
          <w:sz w:val="16"/>
          <w:szCs w:val="16"/>
        </w:rPr>
        <w:tab/>
        <w:t>— 37.</w:t>
      </w:r>
    </w:p>
    <w:p w14:paraId="4BF4D006" w14:textId="77777777" w:rsidR="00001948" w:rsidRPr="00925F26" w:rsidRDefault="00001948" w:rsidP="00925F26">
      <w:pPr>
        <w:tabs>
          <w:tab w:val="left" w:pos="6615"/>
        </w:tabs>
        <w:jc w:val="both"/>
        <w:rPr>
          <w:color w:val="000000" w:themeColor="text1"/>
          <w:sz w:val="16"/>
          <w:szCs w:val="16"/>
        </w:rPr>
      </w:pPr>
      <w:r w:rsidRPr="00925F26">
        <w:rPr>
          <w:color w:val="000000" w:themeColor="text1"/>
          <w:sz w:val="16"/>
          <w:szCs w:val="16"/>
        </w:rPr>
        <w:lastRenderedPageBreak/>
        <w:t>Следует отметить, что количество случаев этого дефекта в течение года всё увели</w:t>
      </w:r>
      <w:r w:rsidRPr="00925F26">
        <w:rPr>
          <w:color w:val="000000" w:themeColor="text1"/>
          <w:sz w:val="16"/>
          <w:szCs w:val="16"/>
        </w:rPr>
        <w:softHyphen/>
        <w:t>чивалось. Так, например:</w:t>
      </w:r>
    </w:p>
    <w:p w14:paraId="09DD5D5C" w14:textId="77777777" w:rsidR="00001948" w:rsidRPr="00925F26" w:rsidRDefault="00001948" w:rsidP="00925F26">
      <w:pPr>
        <w:tabs>
          <w:tab w:val="left" w:pos="6615"/>
        </w:tabs>
        <w:jc w:val="both"/>
        <w:rPr>
          <w:color w:val="000000" w:themeColor="text1"/>
          <w:sz w:val="16"/>
          <w:szCs w:val="16"/>
        </w:rPr>
      </w:pPr>
      <w:r w:rsidRPr="00925F26">
        <w:rPr>
          <w:color w:val="000000" w:themeColor="text1"/>
          <w:sz w:val="16"/>
          <w:szCs w:val="16"/>
        </w:rPr>
        <w:t xml:space="preserve">в январе было </w:t>
      </w:r>
      <w:r w:rsidRPr="00925F26">
        <w:rPr>
          <w:color w:val="000000" w:themeColor="text1"/>
          <w:sz w:val="16"/>
          <w:szCs w:val="16"/>
        </w:rPr>
        <w:tab/>
        <w:t>13 случаев</w:t>
      </w:r>
    </w:p>
    <w:p w14:paraId="0C534A79" w14:textId="77777777" w:rsidR="00001948" w:rsidRPr="00925F26" w:rsidRDefault="00001948" w:rsidP="00925F26">
      <w:pPr>
        <w:tabs>
          <w:tab w:val="left" w:pos="6615"/>
        </w:tabs>
        <w:jc w:val="both"/>
        <w:rPr>
          <w:color w:val="000000" w:themeColor="text1"/>
          <w:sz w:val="16"/>
          <w:szCs w:val="16"/>
        </w:rPr>
      </w:pPr>
      <w:r w:rsidRPr="00925F26">
        <w:rPr>
          <w:color w:val="000000" w:themeColor="text1"/>
          <w:sz w:val="16"/>
          <w:szCs w:val="16"/>
        </w:rPr>
        <w:t>в феврале</w:t>
      </w:r>
      <w:r w:rsidRPr="00925F26">
        <w:rPr>
          <w:color w:val="000000" w:themeColor="text1"/>
          <w:sz w:val="16"/>
          <w:szCs w:val="16"/>
        </w:rPr>
        <w:tab/>
        <w:t xml:space="preserve">7 </w:t>
      </w:r>
    </w:p>
    <w:p w14:paraId="725CB256" w14:textId="77777777" w:rsidR="00001948" w:rsidRPr="00925F26" w:rsidRDefault="00001948" w:rsidP="00925F26">
      <w:pPr>
        <w:tabs>
          <w:tab w:val="left" w:pos="6615"/>
        </w:tabs>
        <w:jc w:val="both"/>
        <w:rPr>
          <w:color w:val="000000" w:themeColor="text1"/>
          <w:sz w:val="16"/>
          <w:szCs w:val="16"/>
        </w:rPr>
      </w:pPr>
      <w:r w:rsidRPr="00925F26">
        <w:rPr>
          <w:color w:val="000000" w:themeColor="text1"/>
          <w:sz w:val="16"/>
          <w:szCs w:val="16"/>
        </w:rPr>
        <w:t>в марте</w:t>
      </w:r>
      <w:r w:rsidRPr="00925F26">
        <w:rPr>
          <w:color w:val="000000" w:themeColor="text1"/>
          <w:sz w:val="16"/>
          <w:szCs w:val="16"/>
        </w:rPr>
        <w:tab/>
        <w:t>10</w:t>
      </w:r>
    </w:p>
    <w:p w14:paraId="693277CA" w14:textId="77777777" w:rsidR="00001948" w:rsidRPr="00925F26" w:rsidRDefault="00001948" w:rsidP="00925F26">
      <w:pPr>
        <w:tabs>
          <w:tab w:val="left" w:pos="1676"/>
          <w:tab w:val="left" w:pos="2838"/>
          <w:tab w:val="left" w:pos="4268"/>
          <w:tab w:val="left" w:pos="6428"/>
        </w:tabs>
        <w:jc w:val="both"/>
        <w:rPr>
          <w:color w:val="000000" w:themeColor="text1"/>
          <w:sz w:val="16"/>
          <w:szCs w:val="16"/>
        </w:rPr>
      </w:pPr>
      <w:r w:rsidRPr="00925F26">
        <w:rPr>
          <w:color w:val="000000" w:themeColor="text1"/>
          <w:sz w:val="16"/>
          <w:szCs w:val="16"/>
        </w:rPr>
        <w:t>в апреле</w:t>
      </w:r>
      <w:r w:rsidRPr="00925F26">
        <w:rPr>
          <w:color w:val="000000" w:themeColor="text1"/>
          <w:sz w:val="16"/>
          <w:szCs w:val="16"/>
        </w:rPr>
        <w:tab/>
        <w:t>12</w:t>
      </w:r>
    </w:p>
    <w:p w14:paraId="502A659C" w14:textId="77777777" w:rsidR="00001948" w:rsidRPr="00925F26" w:rsidRDefault="00001948" w:rsidP="00925F26">
      <w:pPr>
        <w:tabs>
          <w:tab w:val="left" w:pos="1676"/>
          <w:tab w:val="left" w:pos="2838"/>
          <w:tab w:val="left" w:pos="4268"/>
          <w:tab w:val="left" w:pos="6428"/>
        </w:tabs>
        <w:jc w:val="both"/>
        <w:rPr>
          <w:color w:val="000000" w:themeColor="text1"/>
          <w:sz w:val="16"/>
          <w:szCs w:val="16"/>
        </w:rPr>
      </w:pPr>
      <w:r w:rsidRPr="00925F26">
        <w:rPr>
          <w:color w:val="000000" w:themeColor="text1"/>
          <w:sz w:val="16"/>
          <w:szCs w:val="16"/>
        </w:rPr>
        <w:t>в мае</w:t>
      </w:r>
      <w:r w:rsidRPr="00925F26">
        <w:rPr>
          <w:color w:val="000000" w:themeColor="text1"/>
          <w:sz w:val="16"/>
          <w:szCs w:val="16"/>
        </w:rPr>
        <w:tab/>
        <w:t xml:space="preserve">40 </w:t>
      </w:r>
    </w:p>
    <w:p w14:paraId="0588FABA" w14:textId="77777777" w:rsidR="00001948" w:rsidRPr="00925F26" w:rsidRDefault="00001948" w:rsidP="00925F26">
      <w:pPr>
        <w:tabs>
          <w:tab w:val="left" w:pos="1676"/>
          <w:tab w:val="left" w:pos="2838"/>
          <w:tab w:val="left" w:pos="4268"/>
          <w:tab w:val="left" w:pos="6428"/>
        </w:tabs>
        <w:jc w:val="both"/>
        <w:rPr>
          <w:color w:val="000000" w:themeColor="text1"/>
          <w:sz w:val="16"/>
          <w:szCs w:val="16"/>
        </w:rPr>
      </w:pPr>
      <w:r w:rsidRPr="00925F26">
        <w:rPr>
          <w:color w:val="000000" w:themeColor="text1"/>
          <w:sz w:val="16"/>
          <w:szCs w:val="16"/>
        </w:rPr>
        <w:t>в июне</w:t>
      </w:r>
      <w:r w:rsidRPr="00925F26">
        <w:rPr>
          <w:color w:val="000000" w:themeColor="text1"/>
          <w:sz w:val="16"/>
          <w:szCs w:val="16"/>
        </w:rPr>
        <w:tab/>
        <w:t>24</w:t>
      </w:r>
    </w:p>
    <w:p w14:paraId="73075801" w14:textId="77777777" w:rsidR="00001948" w:rsidRPr="00925F26" w:rsidRDefault="00001948" w:rsidP="00925F26">
      <w:pPr>
        <w:tabs>
          <w:tab w:val="left" w:pos="1676"/>
          <w:tab w:val="left" w:pos="2838"/>
        </w:tabs>
        <w:jc w:val="both"/>
        <w:rPr>
          <w:color w:val="000000" w:themeColor="text1"/>
          <w:sz w:val="16"/>
          <w:szCs w:val="16"/>
        </w:rPr>
      </w:pPr>
      <w:r w:rsidRPr="00925F26">
        <w:rPr>
          <w:color w:val="000000" w:themeColor="text1"/>
          <w:sz w:val="16"/>
          <w:szCs w:val="16"/>
        </w:rPr>
        <w:t>в июле</w:t>
      </w:r>
      <w:r w:rsidRPr="00925F26">
        <w:rPr>
          <w:color w:val="000000" w:themeColor="text1"/>
          <w:sz w:val="16"/>
          <w:szCs w:val="16"/>
        </w:rPr>
        <w:tab/>
        <w:t>132</w:t>
      </w:r>
    </w:p>
    <w:p w14:paraId="7BC82588" w14:textId="77777777" w:rsidR="00001948" w:rsidRPr="00925F26" w:rsidRDefault="00001948" w:rsidP="00925F26">
      <w:pPr>
        <w:tabs>
          <w:tab w:val="left" w:pos="1676"/>
          <w:tab w:val="left" w:pos="2838"/>
        </w:tabs>
        <w:jc w:val="both"/>
        <w:rPr>
          <w:color w:val="000000" w:themeColor="text1"/>
          <w:sz w:val="16"/>
          <w:szCs w:val="16"/>
        </w:rPr>
      </w:pPr>
      <w:r w:rsidRPr="00925F26">
        <w:rPr>
          <w:color w:val="000000" w:themeColor="text1"/>
          <w:sz w:val="16"/>
          <w:szCs w:val="16"/>
        </w:rPr>
        <w:t>в августе</w:t>
      </w:r>
      <w:r w:rsidRPr="00925F26">
        <w:rPr>
          <w:color w:val="000000" w:themeColor="text1"/>
          <w:sz w:val="16"/>
          <w:szCs w:val="16"/>
        </w:rPr>
        <w:tab/>
        <w:t xml:space="preserve">77 </w:t>
      </w:r>
    </w:p>
    <w:p w14:paraId="4854C652" w14:textId="77777777" w:rsidR="00001948" w:rsidRPr="00925F26" w:rsidRDefault="00001948" w:rsidP="00925F26">
      <w:pPr>
        <w:tabs>
          <w:tab w:val="left" w:pos="1676"/>
          <w:tab w:val="left" w:pos="2838"/>
        </w:tabs>
        <w:jc w:val="both"/>
        <w:rPr>
          <w:color w:val="000000" w:themeColor="text1"/>
          <w:sz w:val="16"/>
          <w:szCs w:val="16"/>
        </w:rPr>
      </w:pPr>
      <w:r w:rsidRPr="00925F26">
        <w:rPr>
          <w:color w:val="000000" w:themeColor="text1"/>
          <w:sz w:val="16"/>
          <w:szCs w:val="16"/>
        </w:rPr>
        <w:t>в сентябре</w:t>
      </w:r>
      <w:r w:rsidRPr="00925F26">
        <w:rPr>
          <w:color w:val="000000" w:themeColor="text1"/>
          <w:sz w:val="16"/>
          <w:szCs w:val="16"/>
        </w:rPr>
        <w:tab/>
        <w:t>99</w:t>
      </w:r>
    </w:p>
    <w:p w14:paraId="774911A0" w14:textId="77777777" w:rsidR="00001948" w:rsidRPr="00925F26" w:rsidRDefault="00001948" w:rsidP="00925F26">
      <w:pPr>
        <w:tabs>
          <w:tab w:val="left" w:pos="2838"/>
        </w:tabs>
        <w:jc w:val="both"/>
        <w:rPr>
          <w:color w:val="000000" w:themeColor="text1"/>
          <w:sz w:val="16"/>
          <w:szCs w:val="16"/>
        </w:rPr>
      </w:pPr>
      <w:r w:rsidRPr="00925F26">
        <w:rPr>
          <w:color w:val="000000" w:themeColor="text1"/>
          <w:sz w:val="16"/>
          <w:szCs w:val="16"/>
        </w:rPr>
        <w:t>в октябре</w:t>
      </w:r>
      <w:r w:rsidRPr="00925F26">
        <w:rPr>
          <w:color w:val="000000" w:themeColor="text1"/>
          <w:sz w:val="16"/>
          <w:szCs w:val="16"/>
        </w:rPr>
        <w:tab/>
        <w:t>174</w:t>
      </w:r>
    </w:p>
    <w:p w14:paraId="49361F29" w14:textId="77777777" w:rsidR="00001948" w:rsidRPr="00925F26" w:rsidRDefault="00001948" w:rsidP="00925F26">
      <w:pPr>
        <w:tabs>
          <w:tab w:val="left" w:pos="2838"/>
        </w:tabs>
        <w:jc w:val="both"/>
        <w:rPr>
          <w:color w:val="000000" w:themeColor="text1"/>
          <w:sz w:val="16"/>
          <w:szCs w:val="16"/>
        </w:rPr>
      </w:pPr>
      <w:r w:rsidRPr="00925F26">
        <w:rPr>
          <w:color w:val="000000" w:themeColor="text1"/>
          <w:sz w:val="16"/>
          <w:szCs w:val="16"/>
        </w:rPr>
        <w:t>в ноябре</w:t>
      </w:r>
      <w:r w:rsidRPr="00925F26">
        <w:rPr>
          <w:color w:val="000000" w:themeColor="text1"/>
          <w:sz w:val="16"/>
          <w:szCs w:val="16"/>
        </w:rPr>
        <w:tab/>
        <w:t>112</w:t>
      </w:r>
    </w:p>
    <w:p w14:paraId="3C56416F" w14:textId="77777777" w:rsidR="00001948" w:rsidRPr="00925F26" w:rsidRDefault="00001948" w:rsidP="00925F26">
      <w:pPr>
        <w:tabs>
          <w:tab w:val="left" w:pos="2838"/>
        </w:tabs>
        <w:jc w:val="both"/>
        <w:rPr>
          <w:color w:val="000000" w:themeColor="text1"/>
          <w:sz w:val="16"/>
          <w:szCs w:val="16"/>
        </w:rPr>
      </w:pPr>
      <w:r w:rsidRPr="00925F26">
        <w:rPr>
          <w:color w:val="000000" w:themeColor="text1"/>
          <w:sz w:val="16"/>
          <w:szCs w:val="16"/>
        </w:rPr>
        <w:t>в декабре</w:t>
      </w:r>
      <w:r w:rsidRPr="00925F26">
        <w:rPr>
          <w:color w:val="000000" w:themeColor="text1"/>
          <w:sz w:val="16"/>
          <w:szCs w:val="16"/>
        </w:rPr>
        <w:tab/>
        <w:t>190</w:t>
      </w:r>
    </w:p>
    <w:p w14:paraId="54191B7C" w14:textId="77777777" w:rsidR="00001948" w:rsidRPr="00925F26" w:rsidRDefault="00001948" w:rsidP="00925F26">
      <w:pPr>
        <w:tabs>
          <w:tab w:val="left" w:pos="5871"/>
        </w:tabs>
        <w:jc w:val="both"/>
        <w:rPr>
          <w:color w:val="000000" w:themeColor="text1"/>
          <w:sz w:val="16"/>
          <w:szCs w:val="16"/>
        </w:rPr>
      </w:pPr>
      <w:r w:rsidRPr="00925F26">
        <w:rPr>
          <w:color w:val="000000" w:themeColor="text1"/>
          <w:sz w:val="16"/>
          <w:szCs w:val="16"/>
        </w:rPr>
        <w:t>Дефект этот является следствием грубых нарушений технологии производства гильз ци</w:t>
      </w:r>
      <w:r w:rsidRPr="00925F26">
        <w:rPr>
          <w:color w:val="000000" w:themeColor="text1"/>
          <w:sz w:val="16"/>
          <w:szCs w:val="16"/>
        </w:rPr>
        <w:softHyphen/>
        <w:t>линдров (неравномерный и недостаточный слой азотации, пониженная твёрдость, серни</w:t>
      </w:r>
      <w:r w:rsidRPr="00925F26">
        <w:rPr>
          <w:color w:val="000000" w:themeColor="text1"/>
          <w:sz w:val="16"/>
          <w:szCs w:val="16"/>
        </w:rPr>
        <w:softHyphen/>
        <w:t>стые включения) и плохого устройства фильтра и воздухоприемника на самолёте Ла-7». Других дефектов на моторах АШ-82ФН выявилось гораздо меньше:</w:t>
      </w:r>
    </w:p>
    <w:p w14:paraId="62404DEB" w14:textId="77777777" w:rsidR="00001948" w:rsidRPr="00925F26" w:rsidRDefault="00001948" w:rsidP="00925F26">
      <w:pPr>
        <w:tabs>
          <w:tab w:val="left" w:pos="5871"/>
        </w:tabs>
        <w:jc w:val="both"/>
        <w:rPr>
          <w:color w:val="000000" w:themeColor="text1"/>
          <w:sz w:val="16"/>
          <w:szCs w:val="16"/>
        </w:rPr>
      </w:pPr>
      <w:r w:rsidRPr="00925F26">
        <w:rPr>
          <w:color w:val="000000" w:themeColor="text1"/>
          <w:sz w:val="16"/>
          <w:szCs w:val="16"/>
        </w:rPr>
        <w:t>прогар, обрыв и заедание клапанов</w:t>
      </w:r>
      <w:r w:rsidRPr="00925F26">
        <w:rPr>
          <w:color w:val="000000" w:themeColor="text1"/>
          <w:sz w:val="16"/>
          <w:szCs w:val="16"/>
        </w:rPr>
        <w:tab/>
        <w:t>— 172 случая,</w:t>
      </w:r>
    </w:p>
    <w:p w14:paraId="57FA2376" w14:textId="77777777" w:rsidR="00001948" w:rsidRPr="00925F26" w:rsidRDefault="00001948" w:rsidP="00925F26">
      <w:pPr>
        <w:tabs>
          <w:tab w:val="left" w:pos="5694"/>
        </w:tabs>
        <w:jc w:val="both"/>
        <w:rPr>
          <w:color w:val="000000" w:themeColor="text1"/>
          <w:sz w:val="16"/>
          <w:szCs w:val="16"/>
        </w:rPr>
      </w:pPr>
      <w:r w:rsidRPr="00925F26">
        <w:rPr>
          <w:color w:val="000000" w:themeColor="text1"/>
          <w:sz w:val="16"/>
          <w:szCs w:val="16"/>
        </w:rPr>
        <w:t>поломка клапанных пружин</w:t>
      </w:r>
      <w:r w:rsidRPr="00925F26">
        <w:rPr>
          <w:color w:val="000000" w:themeColor="text1"/>
          <w:sz w:val="16"/>
          <w:szCs w:val="16"/>
        </w:rPr>
        <w:tab/>
        <w:t>— 75 случаев,</w:t>
      </w:r>
    </w:p>
    <w:p w14:paraId="322F3FB5" w14:textId="77777777" w:rsidR="00001948" w:rsidRPr="00925F26" w:rsidRDefault="00001948" w:rsidP="00925F26">
      <w:pPr>
        <w:jc w:val="both"/>
        <w:rPr>
          <w:color w:val="000000" w:themeColor="text1"/>
          <w:sz w:val="16"/>
          <w:szCs w:val="16"/>
        </w:rPr>
      </w:pPr>
      <w:r w:rsidRPr="00925F26">
        <w:rPr>
          <w:color w:val="000000" w:themeColor="text1"/>
          <w:sz w:val="16"/>
          <w:szCs w:val="16"/>
        </w:rPr>
        <w:t>износ и разрушение направляющих втулок клапанов, разрушение седел клапанов</w:t>
      </w:r>
      <w:r w:rsidRPr="00925F26">
        <w:rPr>
          <w:color w:val="000000" w:themeColor="text1"/>
          <w:sz w:val="16"/>
          <w:szCs w:val="16"/>
        </w:rPr>
        <w:tab/>
        <w:t>— 82 случая,</w:t>
      </w:r>
    </w:p>
    <w:p w14:paraId="59ABD46D" w14:textId="77777777" w:rsidR="00001948" w:rsidRPr="00925F26" w:rsidRDefault="00001948" w:rsidP="00925F26">
      <w:pPr>
        <w:tabs>
          <w:tab w:val="left" w:pos="5698"/>
        </w:tabs>
        <w:jc w:val="both"/>
        <w:rPr>
          <w:color w:val="000000" w:themeColor="text1"/>
          <w:sz w:val="16"/>
          <w:szCs w:val="16"/>
        </w:rPr>
      </w:pPr>
      <w:r w:rsidRPr="00925F26">
        <w:rPr>
          <w:color w:val="000000" w:themeColor="text1"/>
          <w:sz w:val="16"/>
          <w:szCs w:val="16"/>
        </w:rPr>
        <w:t>обрывы шатунов</w:t>
      </w:r>
      <w:r w:rsidRPr="00925F26">
        <w:rPr>
          <w:color w:val="000000" w:themeColor="text1"/>
          <w:sz w:val="16"/>
          <w:szCs w:val="16"/>
        </w:rPr>
        <w:tab/>
        <w:t>— 67 случаев,</w:t>
      </w:r>
    </w:p>
    <w:p w14:paraId="300132FD" w14:textId="77777777" w:rsidR="00001948" w:rsidRPr="00925F26" w:rsidRDefault="00001948" w:rsidP="00925F26">
      <w:pPr>
        <w:jc w:val="both"/>
        <w:rPr>
          <w:color w:val="000000" w:themeColor="text1"/>
          <w:sz w:val="16"/>
          <w:szCs w:val="16"/>
        </w:rPr>
      </w:pPr>
      <w:r w:rsidRPr="00925F26">
        <w:rPr>
          <w:color w:val="000000" w:themeColor="text1"/>
          <w:sz w:val="16"/>
          <w:szCs w:val="16"/>
        </w:rPr>
        <w:t xml:space="preserve">поломки валиков: переходников привода агрегата НБ-ЗУ, привода </w:t>
      </w:r>
      <w:proofErr w:type="gramStart"/>
      <w:r w:rsidRPr="00925F26">
        <w:rPr>
          <w:color w:val="000000" w:themeColor="text1"/>
          <w:sz w:val="16"/>
          <w:szCs w:val="16"/>
        </w:rPr>
        <w:t>к масло</w:t>
      </w:r>
      <w:proofErr w:type="gramEnd"/>
      <w:r w:rsidRPr="00925F26">
        <w:rPr>
          <w:color w:val="000000" w:themeColor="text1"/>
          <w:sz w:val="16"/>
          <w:szCs w:val="16"/>
        </w:rPr>
        <w:t>- и бензопомпам, привода к генератору — 188 случаев.</w:t>
      </w:r>
    </w:p>
    <w:p w14:paraId="390DE223" w14:textId="77777777" w:rsidR="00001948" w:rsidRPr="00925F26" w:rsidRDefault="00001948" w:rsidP="00925F26">
      <w:pPr>
        <w:jc w:val="both"/>
        <w:rPr>
          <w:color w:val="000000" w:themeColor="text1"/>
          <w:sz w:val="16"/>
          <w:szCs w:val="16"/>
        </w:rPr>
      </w:pPr>
      <w:r w:rsidRPr="00925F26">
        <w:rPr>
          <w:color w:val="000000" w:themeColor="text1"/>
          <w:sz w:val="16"/>
          <w:szCs w:val="16"/>
        </w:rPr>
        <w:t>Надо сказать, что завод № 19 в течение 1944 г. не предпринимал каких-либо серьёз</w:t>
      </w:r>
      <w:r w:rsidRPr="00925F26">
        <w:rPr>
          <w:color w:val="000000" w:themeColor="text1"/>
          <w:sz w:val="16"/>
          <w:szCs w:val="16"/>
        </w:rPr>
        <w:softHyphen/>
        <w:t>ных усилий по совершенствованию мотора АШ-82ФН. Хотя внедрили в серию моторы ФН 2-й, 3-й, а затем и 4-й серий, их отличия от моторов 1-й серии оказались невелики.</w:t>
      </w:r>
    </w:p>
    <w:p w14:paraId="64A92477" w14:textId="77777777" w:rsidR="00001948" w:rsidRPr="00925F26" w:rsidRDefault="00001948" w:rsidP="00925F26">
      <w:pPr>
        <w:tabs>
          <w:tab w:val="left" w:pos="5146"/>
        </w:tabs>
        <w:jc w:val="both"/>
        <w:rPr>
          <w:color w:val="000000" w:themeColor="text1"/>
          <w:sz w:val="16"/>
          <w:szCs w:val="16"/>
        </w:rPr>
      </w:pPr>
      <w:r w:rsidRPr="00925F26">
        <w:rPr>
          <w:color w:val="000000" w:themeColor="text1"/>
          <w:sz w:val="16"/>
          <w:szCs w:val="16"/>
        </w:rPr>
        <w:t>В отсутствие каких-либо реальных мероприятий по устранению износа цилиндров ВВС вынуждены были принимать меры, так сказать, «экстенсивного» плана: организовывать замену дефектных цилиндров и моторов с последующим восстановлением их в ремонт</w:t>
      </w:r>
      <w:r w:rsidRPr="00925F26">
        <w:rPr>
          <w:color w:val="000000" w:themeColor="text1"/>
          <w:sz w:val="16"/>
          <w:szCs w:val="16"/>
        </w:rPr>
        <w:softHyphen/>
        <w:t>ных мастерских (15829).</w:t>
      </w:r>
    </w:p>
    <w:p w14:paraId="47E8DB92" w14:textId="77777777" w:rsidR="00001948" w:rsidRPr="00925F26" w:rsidRDefault="00001948" w:rsidP="00925F26">
      <w:pPr>
        <w:tabs>
          <w:tab w:val="left" w:pos="5146"/>
        </w:tabs>
        <w:jc w:val="both"/>
        <w:rPr>
          <w:color w:val="000000" w:themeColor="text1"/>
          <w:sz w:val="16"/>
          <w:szCs w:val="16"/>
        </w:rPr>
      </w:pPr>
    </w:p>
    <w:p w14:paraId="247668BE" w14:textId="77777777" w:rsidR="002F0C29" w:rsidRPr="001A0BAA" w:rsidRDefault="002F0C29" w:rsidP="002F0C29">
      <w:pPr>
        <w:jc w:val="both"/>
        <w:rPr>
          <w:color w:val="0070C0"/>
          <w:sz w:val="16"/>
          <w:szCs w:val="16"/>
        </w:rPr>
      </w:pPr>
      <w:r w:rsidRPr="001A0BAA">
        <w:rPr>
          <w:color w:val="0070C0"/>
          <w:sz w:val="16"/>
          <w:szCs w:val="16"/>
        </w:rPr>
        <w:t>В первых числах марта 1945 г. войска 1</w:t>
      </w:r>
      <w:r w:rsidRPr="001A0BAA">
        <w:rPr>
          <w:color w:val="0070C0"/>
          <w:sz w:val="16"/>
          <w:szCs w:val="16"/>
        </w:rPr>
        <w:noBreakHyphen/>
        <w:t xml:space="preserve"> го Украинского фронта на заводах в Домбровой Гуте и Катовице несколько самолетов</w:t>
      </w:r>
      <w:r w:rsidRPr="001A0BAA">
        <w:rPr>
          <w:color w:val="0070C0"/>
          <w:sz w:val="16"/>
          <w:szCs w:val="16"/>
        </w:rPr>
        <w:noBreakHyphen/>
        <w:t>снарядов и оборудование для их изготовления. В апреле 1945 г. советские войска заняли район Штеттина, где имелись пусковые установки самолетов</w:t>
      </w:r>
      <w:r w:rsidRPr="001A0BAA">
        <w:rPr>
          <w:color w:val="0070C0"/>
          <w:sz w:val="16"/>
          <w:szCs w:val="16"/>
        </w:rPr>
        <w:noBreakHyphen/>
        <w:t>снарядов V</w:t>
      </w:r>
      <w:r w:rsidRPr="001A0BAA">
        <w:rPr>
          <w:color w:val="0070C0"/>
          <w:sz w:val="16"/>
          <w:szCs w:val="16"/>
        </w:rPr>
        <w:noBreakHyphen/>
        <w:t>1. Трофейные материалы были направлены для изучения в различные организации Москвы и Уфы (25072).</w:t>
      </w:r>
    </w:p>
    <w:p w14:paraId="6D9D09ED" w14:textId="77777777" w:rsidR="002F0C29" w:rsidRPr="001A0BAA" w:rsidRDefault="002F0C29" w:rsidP="002F0C29">
      <w:pPr>
        <w:jc w:val="both"/>
        <w:rPr>
          <w:color w:val="0070C0"/>
          <w:sz w:val="16"/>
          <w:szCs w:val="16"/>
        </w:rPr>
      </w:pPr>
    </w:p>
    <w:p w14:paraId="4B3C5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марта 1945 г. первые образцы двигателей ЮМО-004 - вернее их обломки - поступили в ЦИАМ Через некоторое время были найдены двигатели БМВ-003 и ЮМО-004 (к Ме-262) (9033).</w:t>
      </w:r>
    </w:p>
    <w:p w14:paraId="63F94240" w14:textId="77777777" w:rsidR="00665165" w:rsidRPr="00925F26" w:rsidRDefault="00665165" w:rsidP="00925F26">
      <w:pPr>
        <w:autoSpaceDE w:val="0"/>
        <w:autoSpaceDN w:val="0"/>
        <w:adjustRightInd w:val="0"/>
        <w:jc w:val="both"/>
        <w:rPr>
          <w:color w:val="000000" w:themeColor="text1"/>
          <w:sz w:val="16"/>
          <w:szCs w:val="16"/>
        </w:rPr>
      </w:pPr>
    </w:p>
    <w:p w14:paraId="0E897654" w14:textId="77777777" w:rsidR="00C177E1" w:rsidRPr="00925F26" w:rsidRDefault="00C177E1" w:rsidP="00925F26">
      <w:pPr>
        <w:jc w:val="both"/>
        <w:rPr>
          <w:color w:val="000000" w:themeColor="text1"/>
          <w:sz w:val="16"/>
          <w:szCs w:val="16"/>
        </w:rPr>
      </w:pPr>
      <w:r w:rsidRPr="00925F26">
        <w:rPr>
          <w:color w:val="000000" w:themeColor="text1"/>
          <w:sz w:val="16"/>
          <w:szCs w:val="16"/>
        </w:rPr>
        <w:t>В начале марта 1945 года первые образцы двигателей Jumo-004, точнее их обломки, поступили в Цен</w:t>
      </w:r>
      <w:r w:rsidRPr="00925F26">
        <w:rPr>
          <w:color w:val="000000" w:themeColor="text1"/>
          <w:sz w:val="16"/>
          <w:szCs w:val="16"/>
        </w:rPr>
        <w:softHyphen/>
        <w:t>тральный институт авиамоторостроения (ЦИАМ). Летом того же года в НИИ ВВС испытали на стенде двигатель BMW 003, что позволи</w:t>
      </w:r>
      <w:r w:rsidRPr="00925F26">
        <w:rPr>
          <w:color w:val="000000" w:themeColor="text1"/>
          <w:sz w:val="16"/>
          <w:szCs w:val="16"/>
        </w:rPr>
        <w:softHyphen/>
        <w:t>ло определить его тяговые и расходные характеристики (23462).</w:t>
      </w:r>
    </w:p>
    <w:p w14:paraId="4A8D3A0C" w14:textId="77777777" w:rsidR="00C177E1" w:rsidRPr="00925F26" w:rsidRDefault="00C177E1" w:rsidP="00925F26">
      <w:pPr>
        <w:jc w:val="both"/>
        <w:rPr>
          <w:color w:val="000000" w:themeColor="text1"/>
          <w:sz w:val="16"/>
          <w:szCs w:val="16"/>
        </w:rPr>
      </w:pPr>
    </w:p>
    <w:p w14:paraId="70160AAE" w14:textId="77777777" w:rsidR="002F0C29" w:rsidRPr="001A0BAA" w:rsidRDefault="002F0C29" w:rsidP="002F0C29">
      <w:pPr>
        <w:jc w:val="both"/>
        <w:rPr>
          <w:color w:val="0070C0"/>
          <w:sz w:val="16"/>
          <w:szCs w:val="16"/>
        </w:rPr>
      </w:pPr>
      <w:r w:rsidRPr="001A0BAA">
        <w:rPr>
          <w:rStyle w:val="114"/>
          <w:rFonts w:ascii="Times New Roman" w:eastAsia="Trebuchet MS" w:hAnsi="Times New Roman"/>
          <w:color w:val="0070C0"/>
          <w:sz w:val="16"/>
          <w:szCs w:val="16"/>
        </w:rPr>
        <w:t xml:space="preserve">В начале марта </w:t>
      </w:r>
      <w:r w:rsidRPr="001A0BAA">
        <w:rPr>
          <w:rStyle w:val="114"/>
          <w:rFonts w:ascii="Times New Roman" w:eastAsia="Trebuchet MS" w:hAnsi="Times New Roman"/>
          <w:color w:val="0070C0"/>
          <w:sz w:val="16"/>
          <w:szCs w:val="16"/>
          <w:lang w:val="en-US"/>
        </w:rPr>
        <w:t>l</w:t>
      </w:r>
      <w:r w:rsidRPr="001A0BAA">
        <w:rPr>
          <w:rStyle w:val="114"/>
          <w:rFonts w:ascii="Times New Roman" w:eastAsia="Trebuchet MS" w:hAnsi="Times New Roman"/>
          <w:color w:val="0070C0"/>
          <w:sz w:val="16"/>
          <w:szCs w:val="16"/>
        </w:rPr>
        <w:t xml:space="preserve">945 года первые образцы двигателей </w:t>
      </w:r>
      <w:r w:rsidRPr="001A0BAA">
        <w:rPr>
          <w:rStyle w:val="114"/>
          <w:rFonts w:ascii="Times New Roman" w:eastAsia="Trebuchet MS" w:hAnsi="Times New Roman"/>
          <w:color w:val="0070C0"/>
          <w:sz w:val="16"/>
          <w:szCs w:val="16"/>
          <w:lang w:val="en-US"/>
        </w:rPr>
        <w:t>Jumo</w:t>
      </w:r>
      <w:r w:rsidRPr="001A0BAA">
        <w:rPr>
          <w:rStyle w:val="114"/>
          <w:rFonts w:ascii="Times New Roman" w:eastAsia="Trebuchet MS" w:hAnsi="Times New Roman"/>
          <w:color w:val="0070C0"/>
          <w:sz w:val="16"/>
          <w:szCs w:val="16"/>
        </w:rPr>
        <w:t xml:space="preserve"> 004, точнее их</w:t>
      </w:r>
      <w:r w:rsidRPr="001A0BAA">
        <w:rPr>
          <w:rStyle w:val="114"/>
          <w:rFonts w:ascii="Times New Roman" w:eastAsia="Trebuchet MS" w:hAnsi="Times New Roman"/>
          <w:b/>
          <w:bCs/>
          <w:color w:val="0070C0"/>
          <w:sz w:val="16"/>
          <w:szCs w:val="16"/>
        </w:rPr>
        <w:t xml:space="preserve"> </w:t>
      </w:r>
      <w:r w:rsidRPr="001A0BAA">
        <w:rPr>
          <w:rStyle w:val="114"/>
          <w:rFonts w:ascii="Times New Roman" w:eastAsia="Trebuchet MS" w:hAnsi="Times New Roman"/>
          <w:color w:val="0070C0"/>
          <w:sz w:val="16"/>
          <w:szCs w:val="16"/>
        </w:rPr>
        <w:t>обломки, поступили в Централь</w:t>
      </w:r>
      <w:r w:rsidRPr="001A0BAA">
        <w:rPr>
          <w:rStyle w:val="114"/>
          <w:rFonts w:ascii="Times New Roman" w:eastAsia="Trebuchet MS" w:hAnsi="Times New Roman"/>
          <w:color w:val="0070C0"/>
          <w:sz w:val="16"/>
          <w:szCs w:val="16"/>
        </w:rPr>
        <w:softHyphen/>
        <w:t xml:space="preserve">ный институт авиамоторостроения (ЦИАМ). Летом того же года в НИИ ВВС испытали на стенде двигатель </w:t>
      </w:r>
      <w:r w:rsidRPr="001A0BAA">
        <w:rPr>
          <w:rStyle w:val="114"/>
          <w:rFonts w:ascii="Times New Roman" w:eastAsia="Trebuchet MS" w:hAnsi="Times New Roman"/>
          <w:color w:val="0070C0"/>
          <w:sz w:val="16"/>
          <w:szCs w:val="16"/>
          <w:lang w:val="en-US"/>
        </w:rPr>
        <w:t>BMW</w:t>
      </w:r>
      <w:r w:rsidRPr="001A0BAA">
        <w:rPr>
          <w:rStyle w:val="114"/>
          <w:rFonts w:ascii="Times New Roman" w:eastAsia="Trebuchet MS" w:hAnsi="Times New Roman"/>
          <w:color w:val="0070C0"/>
          <w:sz w:val="16"/>
          <w:szCs w:val="16"/>
        </w:rPr>
        <w:t>-003, что позволило определить его тя</w:t>
      </w:r>
      <w:r w:rsidRPr="001A0BAA">
        <w:rPr>
          <w:rStyle w:val="114"/>
          <w:rFonts w:ascii="Times New Roman" w:eastAsia="Trebuchet MS" w:hAnsi="Times New Roman"/>
          <w:color w:val="0070C0"/>
          <w:sz w:val="16"/>
          <w:szCs w:val="16"/>
        </w:rPr>
        <w:softHyphen/>
        <w:t>говые расходные характеристики (25113).</w:t>
      </w:r>
    </w:p>
    <w:p w14:paraId="18A4A695" w14:textId="77777777" w:rsidR="002F0C29" w:rsidRPr="001A0BAA" w:rsidRDefault="002F0C29" w:rsidP="002F0C29">
      <w:pPr>
        <w:jc w:val="both"/>
        <w:rPr>
          <w:color w:val="0070C0"/>
          <w:sz w:val="16"/>
          <w:szCs w:val="16"/>
        </w:rPr>
      </w:pPr>
    </w:p>
    <w:p w14:paraId="6C6F8D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марта 1945 в НИИ ГВФ вернулись к вопросу применения десантных планеров в интересах народного хозяйства и решили возить грузы в Туркмении на линии Ашхабад - пос. Дарваза в Каракумах, где добывалась сера, а назад - воду. Летали почти 2 месяца на Г-11 за Ю-52. При взлете песок и камешки портили планер. Также летали по маршруту Ашхабад-Ташауз за 450 км (94,128).</w:t>
      </w:r>
    </w:p>
    <w:p w14:paraId="0E8AE80F" w14:textId="77777777" w:rsidR="00665165" w:rsidRPr="00925F26" w:rsidRDefault="00665165" w:rsidP="00925F26">
      <w:pPr>
        <w:autoSpaceDE w:val="0"/>
        <w:autoSpaceDN w:val="0"/>
        <w:adjustRightInd w:val="0"/>
        <w:jc w:val="both"/>
        <w:rPr>
          <w:color w:val="000000" w:themeColor="text1"/>
          <w:sz w:val="16"/>
          <w:szCs w:val="16"/>
        </w:rPr>
      </w:pPr>
    </w:p>
    <w:p w14:paraId="01F53B3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7EDE741" w14:textId="77777777" w:rsidR="00665165" w:rsidRPr="00925F26" w:rsidRDefault="00665165" w:rsidP="00925F26">
      <w:pPr>
        <w:autoSpaceDE w:val="0"/>
        <w:autoSpaceDN w:val="0"/>
        <w:adjustRightInd w:val="0"/>
        <w:jc w:val="both"/>
        <w:rPr>
          <w:iCs/>
          <w:color w:val="000000" w:themeColor="text1"/>
          <w:sz w:val="16"/>
          <w:szCs w:val="16"/>
        </w:rPr>
      </w:pPr>
    </w:p>
    <w:p w14:paraId="3CCD71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марта 1945 было письмо Кирпичников - зампред Госплана, Борисов - начальник отдела боеприпасов по письму ВРИО НАЧАЛЬНИКА УНКГБ по ХАБАРОВСКОМУ КРАЮ КОМИССАР ГОСБЕЗОПАСНОСТИ 2-го РАНГА - С.ГОГЛИДЗЕ от 18 декабря 1944 г. № 100902:</w:t>
      </w:r>
    </w:p>
    <w:p w14:paraId="3088E2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0E549A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Товарищу Берия Л.П.</w:t>
      </w:r>
    </w:p>
    <w:p w14:paraId="5EC996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Вашему поручению, в связи со спецдонесением ВРИО начальника УНКГБ по Хабаровскому краю тов. Гоглидзе - о ненормальностях с выпуском боеприпасов на Хабаровском заводе № 106 Наркомвооружения, докладываем:</w:t>
      </w:r>
    </w:p>
    <w:p w14:paraId="769E88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Приведенные в письме тов Гоглидзе факты невыполнения программы по минам 120мм, выпуска мин с дефектами и другие недостатки имевшие место на заводе № 106 НКВ в 1944 г. подтвердились.</w:t>
      </w:r>
    </w:p>
    <w:p w14:paraId="3ADE1F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выправления работы завода № 106 Наркомвооружения и ГАУ КА приняты следующие меры:</w:t>
      </w:r>
    </w:p>
    <w:p w14:paraId="76779F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директор завода № 106 т. Третьяков от руководства заводом отстранен;</w:t>
      </w:r>
    </w:p>
    <w:p w14:paraId="661C53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Главному инженеру заводу тов. Пьянкову об"явлен строгий выговор с предупреждением;</w:t>
      </w:r>
    </w:p>
    <w:p w14:paraId="67BF9A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начальник ОТК завода освобожден от работы;</w:t>
      </w:r>
    </w:p>
    <w:p w14:paraId="3C970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районный военный инженер полковник Посашков понижен в должности и переведен на работу военным представителем в г. Горький;</w:t>
      </w:r>
    </w:p>
    <w:p w14:paraId="091136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все ранее забракованные корпуса мин 120 мм вновь пересмотрены и сданы на снаряжение, отход в брак составил около 6,5%;</w:t>
      </w:r>
    </w:p>
    <w:p w14:paraId="745660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для оказания технической помощи и улучшения хозяйственной деятельности на завод командированы специалисты Наркомвооружения (металлург, нач. технического сектора и диспетчер наркомата);</w:t>
      </w:r>
    </w:p>
    <w:p w14:paraId="30C52B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пересмотрен заново технологический процесс и пересмотрена цепочка по изготовлению корпусов. Заменен контрольно-измерительный инструмент.</w:t>
      </w:r>
    </w:p>
    <w:p w14:paraId="172647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принятых мер работа завода № 106 в январе-феврале с.г. улучшилась. План производства боеприпасов выполняется, качество выпускаемой продукции улучшилось.</w:t>
      </w:r>
    </w:p>
    <w:p w14:paraId="329F43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В.Рябиков</w:t>
      </w:r>
    </w:p>
    <w:p w14:paraId="22F3F0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Н.Борисов</w:t>
      </w:r>
    </w:p>
    <w:p w14:paraId="0355C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П.Кирпичников</w:t>
      </w:r>
    </w:p>
    <w:p w14:paraId="0D0C22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фонд Госплана 1945 года в делах отдела боеприпасов РГАЭ ф. 4372, д. 307. - л. л. 160 (11747).</w:t>
      </w:r>
    </w:p>
    <w:p w14:paraId="258D752A" w14:textId="77777777" w:rsidR="00665165" w:rsidRPr="00925F26" w:rsidRDefault="00665165" w:rsidP="00925F26">
      <w:pPr>
        <w:autoSpaceDE w:val="0"/>
        <w:autoSpaceDN w:val="0"/>
        <w:adjustRightInd w:val="0"/>
        <w:jc w:val="both"/>
        <w:rPr>
          <w:color w:val="000000" w:themeColor="text1"/>
          <w:sz w:val="16"/>
          <w:szCs w:val="16"/>
        </w:rPr>
      </w:pPr>
    </w:p>
    <w:p w14:paraId="3ED489C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AB64FA3" w14:textId="77777777" w:rsidR="00665165" w:rsidRPr="00925F26" w:rsidRDefault="00665165" w:rsidP="00925F26">
      <w:pPr>
        <w:autoSpaceDE w:val="0"/>
        <w:autoSpaceDN w:val="0"/>
        <w:adjustRightInd w:val="0"/>
        <w:jc w:val="both"/>
        <w:rPr>
          <w:iCs/>
          <w:color w:val="000000" w:themeColor="text1"/>
          <w:sz w:val="16"/>
          <w:szCs w:val="16"/>
        </w:rPr>
      </w:pPr>
    </w:p>
    <w:p w14:paraId="3F1A1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вышел приказ НКАП N 92сс, согласно которому для проведения заводских летных испытаний Пе-2М назначили ведущим летчиком-испытателем Ф.Ф.Опадчего. В состав испытательной бригады входили также ведущий инженер К.Попов, инженер летно-испытательной станции А.Никонов, техник В.Белоусов и бортмеханик А.Артамошин (3337).</w:t>
      </w:r>
    </w:p>
    <w:p w14:paraId="66049584" w14:textId="77777777" w:rsidR="00665165" w:rsidRPr="00925F26" w:rsidRDefault="00665165" w:rsidP="00925F26">
      <w:pPr>
        <w:autoSpaceDE w:val="0"/>
        <w:autoSpaceDN w:val="0"/>
        <w:adjustRightInd w:val="0"/>
        <w:jc w:val="both"/>
        <w:rPr>
          <w:color w:val="000000" w:themeColor="text1"/>
          <w:sz w:val="16"/>
          <w:szCs w:val="16"/>
        </w:rPr>
      </w:pPr>
    </w:p>
    <w:p w14:paraId="58E8D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на Як-9 с мотором ВК-105ПД был произведен полет до высоты 12350 м, полет был прекращен из-за перегрева масла - 115 градусов С. С целью устранения дефекта с 8 марта начаты работы по переделке маслосистемы самолета под двойной контур. Это мероприятие должно было снизить температуру масла (2592,223).</w:t>
      </w:r>
    </w:p>
    <w:p w14:paraId="7779B567" w14:textId="77777777" w:rsidR="00665165" w:rsidRPr="00925F26" w:rsidRDefault="00665165" w:rsidP="00925F26">
      <w:pPr>
        <w:autoSpaceDE w:val="0"/>
        <w:autoSpaceDN w:val="0"/>
        <w:adjustRightInd w:val="0"/>
        <w:jc w:val="both"/>
        <w:rPr>
          <w:color w:val="000000" w:themeColor="text1"/>
          <w:sz w:val="16"/>
          <w:szCs w:val="16"/>
        </w:rPr>
      </w:pPr>
    </w:p>
    <w:p w14:paraId="133126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на Як-3 с ВК-105П и двухступенчатым нагнетателем был произведен полет на определение максимальных скоростей на границе высотности. Полет был прекращен из-за окончания смеси впрыска в цилиндры и испарения воды из расходного бачка. После посадки были обнаружены: сильный выброс масла из суфлерной трубы, течь через сальники впрыска и незначительное количество блесток стружки в фильтре Куно. В результате гонки мотора на земле 9 марта 1945 стружки в фильтре не обнаружено (2592,223).</w:t>
      </w:r>
    </w:p>
    <w:p w14:paraId="5F9F06E4" w14:textId="77777777" w:rsidR="00665165" w:rsidRPr="00925F26" w:rsidRDefault="00665165" w:rsidP="00925F26">
      <w:pPr>
        <w:autoSpaceDE w:val="0"/>
        <w:autoSpaceDN w:val="0"/>
        <w:adjustRightInd w:val="0"/>
        <w:jc w:val="both"/>
        <w:rPr>
          <w:color w:val="000000" w:themeColor="text1"/>
          <w:sz w:val="16"/>
          <w:szCs w:val="16"/>
        </w:rPr>
      </w:pPr>
    </w:p>
    <w:p w14:paraId="72D845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вышел приказ НКАП N 94сс о создании Особого ГУ в целях быстрейшего вывоза оборудования германской авиапромышленности, учета и распределения этого оборудования среди ГУ и заводов (1647,52).</w:t>
      </w:r>
    </w:p>
    <w:p w14:paraId="6DEE1B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целях быстрейшей реализации постановления ГОКО о вывозе оборудования германской АП, учета и распределения этого оборудования среди заводов авиапрома:</w:t>
      </w:r>
    </w:p>
    <w:p w14:paraId="629B6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Создать в системе НКАП Особое ГУ с задачами:</w:t>
      </w:r>
    </w:p>
    <w:p w14:paraId="7EC253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изучения дислокации, мощности и характера производства немецких авиаприборов</w:t>
      </w:r>
    </w:p>
    <w:p w14:paraId="0014EC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подготовки предложений по использованию оборудования, подлежащего вывозу из Германии</w:t>
      </w:r>
    </w:p>
    <w:p w14:paraId="3DC8C4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организации демонтажа и вывоза этого оборудования с посылкой людей для демонтажа оборудования, обеспечения транспортными средствами, контроль за следованием оборудования в пути</w:t>
      </w:r>
    </w:p>
    <w:p w14:paraId="5A3779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инструктажа по демонтажу, упаковке, учету и использованию трофейного оборудования в пути." (1832,51).</w:t>
      </w:r>
    </w:p>
    <w:p w14:paraId="1D34CE0C" w14:textId="77777777" w:rsidR="00665165" w:rsidRPr="00925F26" w:rsidRDefault="00665165" w:rsidP="00925F26">
      <w:pPr>
        <w:autoSpaceDE w:val="0"/>
        <w:autoSpaceDN w:val="0"/>
        <w:adjustRightInd w:val="0"/>
        <w:jc w:val="both"/>
        <w:rPr>
          <w:color w:val="000000" w:themeColor="text1"/>
          <w:sz w:val="16"/>
          <w:szCs w:val="16"/>
        </w:rPr>
      </w:pPr>
    </w:p>
    <w:p w14:paraId="0DD164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По указанию Г.М. Маленкова уже 8 марта в 17 часов 15 минут самолет С-47 доставил в столицу образец секретного оружия Третьего рейха.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3512CA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2CF640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E077120" w14:textId="77777777" w:rsidR="00665165" w:rsidRPr="00925F26" w:rsidRDefault="00665165" w:rsidP="00925F26">
      <w:pPr>
        <w:autoSpaceDE w:val="0"/>
        <w:autoSpaceDN w:val="0"/>
        <w:adjustRightInd w:val="0"/>
        <w:jc w:val="both"/>
        <w:rPr>
          <w:color w:val="000000" w:themeColor="text1"/>
          <w:sz w:val="16"/>
          <w:szCs w:val="16"/>
        </w:rPr>
      </w:pPr>
    </w:p>
    <w:p w14:paraId="38A8C575" w14:textId="77777777" w:rsidR="003B0B5C" w:rsidRPr="001A0BAA" w:rsidRDefault="003B0B5C" w:rsidP="003B0B5C">
      <w:pPr>
        <w:jc w:val="both"/>
        <w:rPr>
          <w:color w:val="0070C0"/>
          <w:sz w:val="16"/>
          <w:szCs w:val="16"/>
        </w:rPr>
      </w:pPr>
      <w:r w:rsidRPr="001A0BAA">
        <w:rPr>
          <w:color w:val="0070C0"/>
          <w:sz w:val="16"/>
          <w:szCs w:val="16"/>
        </w:rPr>
        <w:t xml:space="preserve">7 марта 1945 г. приказом N 94сс в системе Наркомата было организовано Особое Главное Управление НКАП </w:t>
      </w:r>
    </w:p>
    <w:p w14:paraId="3DABE901" w14:textId="77777777" w:rsidR="003B0B5C" w:rsidRPr="001A0BAA" w:rsidRDefault="003B0B5C" w:rsidP="003B0B5C">
      <w:pPr>
        <w:jc w:val="both"/>
        <w:rPr>
          <w:color w:val="0070C0"/>
          <w:sz w:val="16"/>
          <w:szCs w:val="16"/>
        </w:rPr>
      </w:pPr>
      <w:r w:rsidRPr="001A0BAA">
        <w:rPr>
          <w:color w:val="0070C0"/>
          <w:sz w:val="16"/>
          <w:szCs w:val="16"/>
        </w:rPr>
        <w:t>Сов. секретно</w:t>
      </w:r>
    </w:p>
    <w:p w14:paraId="07169A7E" w14:textId="77777777" w:rsidR="003B0B5C" w:rsidRPr="001A0BAA" w:rsidRDefault="003B0B5C" w:rsidP="003B0B5C">
      <w:pPr>
        <w:jc w:val="both"/>
        <w:rPr>
          <w:color w:val="0070C0"/>
          <w:sz w:val="16"/>
          <w:szCs w:val="16"/>
        </w:rPr>
      </w:pPr>
      <w:r w:rsidRPr="001A0BAA">
        <w:rPr>
          <w:color w:val="0070C0"/>
          <w:sz w:val="16"/>
          <w:szCs w:val="16"/>
        </w:rPr>
        <w:t>ДОКЛАД О РАБОТЕ ОСОБОГО ГЛАВНОГО УПРАВЛЕНИЯ НКАП</w:t>
      </w:r>
    </w:p>
    <w:p w14:paraId="0931800F" w14:textId="77777777" w:rsidR="003B0B5C" w:rsidRPr="001A0BAA" w:rsidRDefault="003B0B5C" w:rsidP="003B0B5C">
      <w:pPr>
        <w:jc w:val="both"/>
        <w:rPr>
          <w:color w:val="0070C0"/>
          <w:sz w:val="16"/>
          <w:szCs w:val="16"/>
        </w:rPr>
      </w:pPr>
      <w:r w:rsidRPr="001A0BAA">
        <w:rPr>
          <w:color w:val="0070C0"/>
          <w:sz w:val="16"/>
          <w:szCs w:val="16"/>
        </w:rPr>
        <w:t>Особое Главное Управление НКАП было организовано в системе Наркомата 7.III.1945 г. приказом за N 94сс.</w:t>
      </w:r>
    </w:p>
    <w:p w14:paraId="4B0A8056" w14:textId="77777777" w:rsidR="003B0B5C" w:rsidRPr="001A0BAA" w:rsidRDefault="003B0B5C" w:rsidP="003B0B5C">
      <w:pPr>
        <w:jc w:val="both"/>
        <w:rPr>
          <w:color w:val="0070C0"/>
          <w:sz w:val="16"/>
          <w:szCs w:val="16"/>
        </w:rPr>
      </w:pPr>
      <w:r w:rsidRPr="001A0BAA">
        <w:rPr>
          <w:color w:val="0070C0"/>
          <w:sz w:val="16"/>
          <w:szCs w:val="16"/>
        </w:rPr>
        <w:t>В задачи Особого Главного Управления входило: выявление немецких авиационных заводов, изучение их, разработка предложений по использованию оборудования этих заводов на заводах Наркомата, организация демонтажа и отгрузки оборудования немецких заводов, учет и использование трофейного оборудования. Распределение и использование оборудования немецких научно-исследовательских институтов, лабораторий и опытных заводов, а также обработка технических материалов было возложено на специальную комиссию НКАП (приказ N 219 с от 21 мая 1945 г.), которая работала отдельно от Особого Главного Управления.</w:t>
      </w:r>
    </w:p>
    <w:p w14:paraId="6CEA489E" w14:textId="77777777" w:rsidR="003B0B5C" w:rsidRPr="001A0BAA" w:rsidRDefault="003B0B5C" w:rsidP="003B0B5C">
      <w:pPr>
        <w:jc w:val="both"/>
        <w:rPr>
          <w:color w:val="0070C0"/>
          <w:sz w:val="16"/>
          <w:szCs w:val="16"/>
        </w:rPr>
      </w:pPr>
      <w:r w:rsidRPr="001A0BAA">
        <w:rPr>
          <w:color w:val="0070C0"/>
          <w:sz w:val="16"/>
          <w:szCs w:val="16"/>
        </w:rPr>
        <w:t>Работа Особого Главного Управления в настоящее время поводится в Германии Уполномоченным НКАП в г. Берлине и подчиненными ему Уполномоченными по северному району (г. Росток), федеральной земле Саксонии, Тюрингии и Бранденбургской провинции. Каждый Уполномоченный имеет свой штаб, непосредственно связан с заместителями Уполномоченного Особого Комитета и осуществляет практическое руководство работниками НКАП по демонтажу оборудования немецких заводов в своем районе, упаковке, отгрузке, сопровождению оборудования в пути, ведет учет и отчетность по трофейному оборудованию.</w:t>
      </w:r>
    </w:p>
    <w:p w14:paraId="72F0CC62" w14:textId="77777777" w:rsidR="003B0B5C" w:rsidRPr="001A0BAA" w:rsidRDefault="003B0B5C" w:rsidP="003B0B5C">
      <w:pPr>
        <w:jc w:val="both"/>
        <w:rPr>
          <w:color w:val="0070C0"/>
          <w:sz w:val="16"/>
          <w:szCs w:val="16"/>
        </w:rPr>
      </w:pPr>
      <w:r w:rsidRPr="001A0BAA">
        <w:rPr>
          <w:color w:val="0070C0"/>
          <w:sz w:val="16"/>
          <w:szCs w:val="16"/>
        </w:rPr>
        <w:t>В первое время Уполномоченными проводилась также работа по разведке немецких авиационных заводов.</w:t>
      </w:r>
    </w:p>
    <w:p w14:paraId="1ADDB687" w14:textId="77777777" w:rsidR="003B0B5C" w:rsidRPr="001A0BAA" w:rsidRDefault="003B0B5C" w:rsidP="003B0B5C">
      <w:pPr>
        <w:jc w:val="both"/>
        <w:rPr>
          <w:color w:val="0070C0"/>
          <w:sz w:val="16"/>
          <w:szCs w:val="16"/>
        </w:rPr>
      </w:pPr>
      <w:r w:rsidRPr="001A0BAA">
        <w:rPr>
          <w:color w:val="0070C0"/>
          <w:sz w:val="16"/>
          <w:szCs w:val="16"/>
        </w:rPr>
        <w:t>За весь период работы Наркомавиапром было командировано на отгрузку оборудования и выполнение технических заданий 1765 человек, из них: в Германию - 1347, Польшу - 54, Чехословакию - 74, Румынию - 12, Австрию - 245, Маньчжурию - 10.</w:t>
      </w:r>
    </w:p>
    <w:p w14:paraId="46B01450" w14:textId="77777777" w:rsidR="003B0B5C" w:rsidRPr="001A0BAA" w:rsidRDefault="003B0B5C" w:rsidP="003B0B5C">
      <w:pPr>
        <w:jc w:val="both"/>
        <w:rPr>
          <w:color w:val="0070C0"/>
          <w:sz w:val="16"/>
          <w:szCs w:val="16"/>
        </w:rPr>
      </w:pPr>
      <w:r w:rsidRPr="001A0BAA">
        <w:rPr>
          <w:color w:val="0070C0"/>
          <w:sz w:val="16"/>
          <w:szCs w:val="16"/>
        </w:rPr>
        <w:t>В настоящее время в командировке находится 544 человека, из них: в Германии - 475, Румынии - 12, Венгрии - 1 и сопровождают транспорты из Чехословакии - 56 человек.</w:t>
      </w:r>
    </w:p>
    <w:p w14:paraId="6C080E89" w14:textId="77777777" w:rsidR="003B0B5C" w:rsidRPr="001A0BAA" w:rsidRDefault="003B0B5C" w:rsidP="003B0B5C">
      <w:pPr>
        <w:jc w:val="both"/>
        <w:rPr>
          <w:color w:val="0070C0"/>
          <w:sz w:val="16"/>
          <w:szCs w:val="16"/>
        </w:rPr>
      </w:pPr>
      <w:r w:rsidRPr="001A0BAA">
        <w:rPr>
          <w:color w:val="0070C0"/>
          <w:sz w:val="16"/>
          <w:szCs w:val="16"/>
        </w:rPr>
        <w:t>Отгрузка оборудования из Венгрии, Австрии, Польшы и Чехословакии окончена и сейчас демонтаж и отгрузка ведутся только по Германии.</w:t>
      </w:r>
    </w:p>
    <w:p w14:paraId="0C2296EF" w14:textId="77777777" w:rsidR="003B0B5C" w:rsidRPr="001A0BAA" w:rsidRDefault="003B0B5C" w:rsidP="003B0B5C">
      <w:pPr>
        <w:jc w:val="both"/>
        <w:rPr>
          <w:color w:val="0070C0"/>
          <w:sz w:val="16"/>
          <w:szCs w:val="16"/>
        </w:rPr>
      </w:pPr>
      <w:r w:rsidRPr="001A0BAA">
        <w:rPr>
          <w:color w:val="0070C0"/>
          <w:sz w:val="16"/>
          <w:szCs w:val="16"/>
        </w:rPr>
        <w:t>Всего отгружено с трофейным народнохозяйственным имуществом на заводы НКАП 1.966 вагонов, из них прибыло 7.601 вагон и находится в пути 4365 вагонов. И числа находящихся в пути вагонов 596 шт. выгружены на перевалочных базах НКО в Инстербурге и Бресте.</w:t>
      </w:r>
    </w:p>
    <w:p w14:paraId="2604F75D" w14:textId="77777777" w:rsidR="003B0B5C" w:rsidRPr="001A0BAA" w:rsidRDefault="003B0B5C" w:rsidP="003B0B5C">
      <w:pPr>
        <w:jc w:val="both"/>
        <w:rPr>
          <w:color w:val="0070C0"/>
          <w:sz w:val="16"/>
          <w:szCs w:val="16"/>
        </w:rPr>
      </w:pPr>
      <w:r w:rsidRPr="001A0BAA">
        <w:rPr>
          <w:color w:val="0070C0"/>
          <w:sz w:val="16"/>
          <w:szCs w:val="16"/>
        </w:rPr>
        <w:t>Транспорта с оборудованием находятся в пути иногда 5-6 месяцев, что крайне тяжело сказывается на состоянии прибывающего оборудования. Такое длительное пребывание в пути часто также приводит к тому, что сопровождающие покидают транспорта. Особенно тяжелое положение с вопросом сохранности оборудования, выгруженного на базах НКО временного хранения.</w:t>
      </w:r>
    </w:p>
    <w:p w14:paraId="27926887" w14:textId="77777777" w:rsidR="003B0B5C" w:rsidRPr="001A0BAA" w:rsidRDefault="003B0B5C" w:rsidP="003B0B5C">
      <w:pPr>
        <w:jc w:val="both"/>
        <w:rPr>
          <w:color w:val="0070C0"/>
          <w:sz w:val="16"/>
          <w:szCs w:val="16"/>
        </w:rPr>
      </w:pPr>
      <w:r w:rsidRPr="001A0BAA">
        <w:rPr>
          <w:color w:val="0070C0"/>
          <w:sz w:val="16"/>
          <w:szCs w:val="16"/>
        </w:rPr>
        <w:t>Положение значительно бы улучшилось, если бы Наркомату было представлено право смены сопровождающих транспорты, когда они длительно находятся в пути.</w:t>
      </w:r>
    </w:p>
    <w:p w14:paraId="36C0D04C" w14:textId="77777777" w:rsidR="003B0B5C" w:rsidRPr="001A0BAA" w:rsidRDefault="003B0B5C" w:rsidP="003B0B5C">
      <w:pPr>
        <w:jc w:val="both"/>
        <w:rPr>
          <w:color w:val="0070C0"/>
          <w:sz w:val="16"/>
          <w:szCs w:val="16"/>
        </w:rPr>
      </w:pPr>
      <w:r w:rsidRPr="001A0BAA">
        <w:rPr>
          <w:color w:val="0070C0"/>
          <w:sz w:val="16"/>
          <w:szCs w:val="16"/>
        </w:rPr>
        <w:t>Наркомавиапром приняты меры к самой тщательной консервации и упаковке отгружаемого оборудования, что, безусловно, должно резко снизить порчу оборудования в пути.</w:t>
      </w:r>
    </w:p>
    <w:p w14:paraId="1E03B181" w14:textId="77777777" w:rsidR="003B0B5C" w:rsidRPr="001A0BAA" w:rsidRDefault="003B0B5C" w:rsidP="003B0B5C">
      <w:pPr>
        <w:jc w:val="both"/>
        <w:rPr>
          <w:color w:val="0070C0"/>
          <w:sz w:val="16"/>
          <w:szCs w:val="16"/>
        </w:rPr>
      </w:pPr>
      <w:r w:rsidRPr="001A0BAA">
        <w:rPr>
          <w:color w:val="0070C0"/>
          <w:sz w:val="16"/>
          <w:szCs w:val="16"/>
        </w:rPr>
        <w:t>Приняты также меры по сохранности прибывшего оборудования и ускорению монтажа его.</w:t>
      </w:r>
    </w:p>
    <w:p w14:paraId="0EBD56B1" w14:textId="77777777" w:rsidR="003B0B5C" w:rsidRPr="001A0BAA" w:rsidRDefault="003B0B5C" w:rsidP="003B0B5C">
      <w:pPr>
        <w:jc w:val="both"/>
        <w:rPr>
          <w:color w:val="0070C0"/>
          <w:sz w:val="16"/>
          <w:szCs w:val="16"/>
        </w:rPr>
      </w:pPr>
      <w:r w:rsidRPr="001A0BAA">
        <w:rPr>
          <w:color w:val="0070C0"/>
          <w:sz w:val="16"/>
          <w:szCs w:val="16"/>
        </w:rPr>
        <w:t>Эти вопросы на имя товарища Маленкова Г.М. докладываются отдельно.</w:t>
      </w:r>
    </w:p>
    <w:p w14:paraId="10B379F4" w14:textId="77777777" w:rsidR="003B0B5C" w:rsidRPr="001A0BAA" w:rsidRDefault="003B0B5C" w:rsidP="003B0B5C">
      <w:pPr>
        <w:jc w:val="both"/>
        <w:rPr>
          <w:color w:val="0070C0"/>
          <w:sz w:val="16"/>
          <w:szCs w:val="16"/>
        </w:rPr>
      </w:pPr>
      <w:r w:rsidRPr="001A0BAA">
        <w:rPr>
          <w:color w:val="0070C0"/>
          <w:sz w:val="16"/>
          <w:szCs w:val="16"/>
        </w:rPr>
        <w:t>РАСПРЕДЕЛЕНИЕ ТРОФЕЙНОГО МЕТАЛЛОРЕЖУЩЕГО ОБОРУДОВАНИЯ ПО ОБЛАСТЯМ САМОЛЕТОСТРОЕНИЯ</w:t>
      </w:r>
    </w:p>
    <w:p w14:paraId="505A3B37" w14:textId="77777777" w:rsidR="003B0B5C" w:rsidRPr="001A0BAA" w:rsidRDefault="003B0B5C" w:rsidP="003B0B5C">
      <w:pPr>
        <w:jc w:val="both"/>
        <w:rPr>
          <w:color w:val="0070C0"/>
          <w:sz w:val="16"/>
          <w:szCs w:val="16"/>
        </w:rPr>
      </w:pPr>
      <w:r w:rsidRPr="001A0BAA">
        <w:rPr>
          <w:color w:val="0070C0"/>
          <w:sz w:val="16"/>
          <w:szCs w:val="16"/>
        </w:rPr>
        <w:t>По решениям ГОКО Наркомавиапрому передано оборудование со 123 немецких предприятий в количестве 65074 единиц, в том числе металлообрабатывающих станков - 33460 единиц.</w:t>
      </w:r>
    </w:p>
    <w:p w14:paraId="309E81F3" w14:textId="77777777" w:rsidR="003B0B5C" w:rsidRPr="001A0BAA" w:rsidRDefault="003B0B5C" w:rsidP="003B0B5C">
      <w:pPr>
        <w:jc w:val="both"/>
        <w:rPr>
          <w:color w:val="0070C0"/>
          <w:sz w:val="16"/>
          <w:szCs w:val="16"/>
        </w:rPr>
      </w:pPr>
      <w:r w:rsidRPr="001A0BAA">
        <w:rPr>
          <w:color w:val="0070C0"/>
          <w:sz w:val="16"/>
          <w:szCs w:val="16"/>
        </w:rPr>
        <w:t>В настоящее время оборудование 76 немецких заводов полностью отгружено и получено на предприятия Наркомавиапрома. Оборудование остальных заводов, за исключением 8 объектов, полностью демонтировано, упаковано и находится в стадии отгрузки.</w:t>
      </w:r>
    </w:p>
    <w:p w14:paraId="4BEC205E" w14:textId="77777777" w:rsidR="003B0B5C" w:rsidRPr="001A0BAA" w:rsidRDefault="003B0B5C" w:rsidP="003B0B5C">
      <w:pPr>
        <w:jc w:val="both"/>
        <w:rPr>
          <w:color w:val="0070C0"/>
          <w:sz w:val="16"/>
          <w:szCs w:val="16"/>
        </w:rPr>
      </w:pPr>
      <w:r w:rsidRPr="001A0BAA">
        <w:rPr>
          <w:color w:val="0070C0"/>
          <w:sz w:val="16"/>
          <w:szCs w:val="16"/>
        </w:rPr>
        <w:t>Всего получено заводами НКАП 15807 металлорежущих станков и 17875 единиц разного технологического, энергетического и общезаводского оборудования.</w:t>
      </w:r>
    </w:p>
    <w:p w14:paraId="3CA28EDD" w14:textId="77777777" w:rsidR="003B0B5C" w:rsidRPr="001A0BAA" w:rsidRDefault="003B0B5C" w:rsidP="003B0B5C">
      <w:pPr>
        <w:jc w:val="both"/>
        <w:rPr>
          <w:color w:val="0070C0"/>
          <w:sz w:val="16"/>
          <w:szCs w:val="16"/>
        </w:rPr>
      </w:pPr>
      <w:r w:rsidRPr="001A0BAA">
        <w:rPr>
          <w:color w:val="0070C0"/>
          <w:sz w:val="16"/>
          <w:szCs w:val="16"/>
        </w:rPr>
        <w:t>В декабре месяце 1945 года по приказу Маршала Советского Союза тов. Жукова Г.К., Наркомавиапрому было передано дополнительно оборудование 37 немецких заводов в количестве 20371 единиц, в том числе 16424 металлорежущих станка.</w:t>
      </w:r>
    </w:p>
    <w:p w14:paraId="434F9086" w14:textId="77777777" w:rsidR="003B0B5C" w:rsidRPr="001A0BAA" w:rsidRDefault="003B0B5C" w:rsidP="003B0B5C">
      <w:pPr>
        <w:jc w:val="both"/>
        <w:rPr>
          <w:color w:val="0070C0"/>
          <w:sz w:val="16"/>
          <w:szCs w:val="16"/>
        </w:rPr>
      </w:pPr>
      <w:r w:rsidRPr="001A0BAA">
        <w:rPr>
          <w:color w:val="0070C0"/>
          <w:sz w:val="16"/>
          <w:szCs w:val="16"/>
        </w:rPr>
        <w:t>В настоящее время оборудование этих предприятий демонтируется.</w:t>
      </w:r>
    </w:p>
    <w:p w14:paraId="5E682F28" w14:textId="77777777" w:rsidR="003B0B5C" w:rsidRPr="001A0BAA" w:rsidRDefault="003B0B5C" w:rsidP="003B0B5C">
      <w:pPr>
        <w:jc w:val="both"/>
        <w:rPr>
          <w:color w:val="0070C0"/>
          <w:sz w:val="16"/>
          <w:szCs w:val="16"/>
        </w:rPr>
      </w:pPr>
      <w:r w:rsidRPr="001A0BAA">
        <w:rPr>
          <w:color w:val="0070C0"/>
          <w:sz w:val="16"/>
          <w:szCs w:val="16"/>
        </w:rPr>
        <w:t>Таким образом Наркомавиапрому с немецких предприятий передано 49884 ме- таллорежущих станка и 35561 единица разного технологического, энергетического и общезаводского оборудования.</w:t>
      </w:r>
    </w:p>
    <w:p w14:paraId="5DE60080" w14:textId="77777777" w:rsidR="003B0B5C" w:rsidRPr="001A0BAA" w:rsidRDefault="003B0B5C" w:rsidP="003B0B5C">
      <w:pPr>
        <w:jc w:val="both"/>
        <w:rPr>
          <w:color w:val="0070C0"/>
          <w:sz w:val="16"/>
          <w:szCs w:val="16"/>
        </w:rPr>
      </w:pPr>
      <w:r w:rsidRPr="001A0BAA">
        <w:rPr>
          <w:color w:val="0070C0"/>
          <w:sz w:val="16"/>
          <w:szCs w:val="16"/>
        </w:rPr>
        <w:t>Распределение этого оборудования по важнейшим отраслям авиапромышленности произведено следующим образом:</w:t>
      </w:r>
    </w:p>
    <w:p w14:paraId="5BAE08B6" w14:textId="77777777" w:rsidR="003B0B5C" w:rsidRPr="001A0BAA" w:rsidRDefault="003B0B5C" w:rsidP="003B0B5C">
      <w:pPr>
        <w:jc w:val="both"/>
        <w:rPr>
          <w:color w:val="0070C0"/>
          <w:sz w:val="16"/>
          <w:szCs w:val="16"/>
        </w:rPr>
      </w:pPr>
      <w:r w:rsidRPr="001A0BAA">
        <w:rPr>
          <w:color w:val="0070C0"/>
          <w:sz w:val="16"/>
          <w:szCs w:val="16"/>
        </w:rPr>
        <w:t>моторостроительные заводы - 14341 металлорежущий станок;</w:t>
      </w:r>
    </w:p>
    <w:p w14:paraId="3E9122A2" w14:textId="77777777" w:rsidR="003B0B5C" w:rsidRPr="001A0BAA" w:rsidRDefault="003B0B5C" w:rsidP="003B0B5C">
      <w:pPr>
        <w:jc w:val="both"/>
        <w:rPr>
          <w:color w:val="0070C0"/>
          <w:sz w:val="16"/>
          <w:szCs w:val="16"/>
        </w:rPr>
      </w:pPr>
      <w:r w:rsidRPr="001A0BAA">
        <w:rPr>
          <w:color w:val="0070C0"/>
          <w:sz w:val="16"/>
          <w:szCs w:val="16"/>
        </w:rPr>
        <w:t>самолетостроительные заводы - 10461 металлорежущий станок;</w:t>
      </w:r>
    </w:p>
    <w:p w14:paraId="60EA65A2" w14:textId="77777777" w:rsidR="003B0B5C" w:rsidRPr="001A0BAA" w:rsidRDefault="003B0B5C" w:rsidP="003B0B5C">
      <w:pPr>
        <w:jc w:val="both"/>
        <w:rPr>
          <w:color w:val="0070C0"/>
          <w:sz w:val="16"/>
          <w:szCs w:val="16"/>
        </w:rPr>
      </w:pPr>
      <w:r w:rsidRPr="001A0BAA">
        <w:rPr>
          <w:color w:val="0070C0"/>
          <w:sz w:val="16"/>
          <w:szCs w:val="16"/>
        </w:rPr>
        <w:t>заводы по производству авиамоторных агрегатов - 6420 металлорежущих станков;</w:t>
      </w:r>
    </w:p>
    <w:p w14:paraId="1B49EE51" w14:textId="77777777" w:rsidR="003B0B5C" w:rsidRPr="001A0BAA" w:rsidRDefault="003B0B5C" w:rsidP="003B0B5C">
      <w:pPr>
        <w:jc w:val="both"/>
        <w:rPr>
          <w:color w:val="0070C0"/>
          <w:sz w:val="16"/>
          <w:szCs w:val="16"/>
        </w:rPr>
      </w:pPr>
      <w:r w:rsidRPr="001A0BAA">
        <w:rPr>
          <w:color w:val="0070C0"/>
          <w:sz w:val="16"/>
          <w:szCs w:val="16"/>
        </w:rPr>
        <w:t>опытные базы по самолето- и моторостроению и научно-исследовательские институты - 5220 металлорежущих станков;</w:t>
      </w:r>
    </w:p>
    <w:p w14:paraId="7E485391" w14:textId="77777777" w:rsidR="003B0B5C" w:rsidRPr="001A0BAA" w:rsidRDefault="003B0B5C" w:rsidP="003B0B5C">
      <w:pPr>
        <w:jc w:val="both"/>
        <w:rPr>
          <w:color w:val="0070C0"/>
          <w:sz w:val="16"/>
          <w:szCs w:val="16"/>
        </w:rPr>
      </w:pPr>
      <w:r w:rsidRPr="001A0BAA">
        <w:rPr>
          <w:color w:val="0070C0"/>
          <w:sz w:val="16"/>
          <w:szCs w:val="16"/>
        </w:rPr>
        <w:t>заводы по производству радиолокационных приборов- 3881 металлорежущий станок;</w:t>
      </w:r>
    </w:p>
    <w:p w14:paraId="37BAE015" w14:textId="77777777" w:rsidR="003B0B5C" w:rsidRPr="001A0BAA" w:rsidRDefault="003B0B5C" w:rsidP="003B0B5C">
      <w:pPr>
        <w:jc w:val="both"/>
        <w:rPr>
          <w:color w:val="0070C0"/>
          <w:sz w:val="16"/>
          <w:szCs w:val="16"/>
        </w:rPr>
      </w:pPr>
      <w:r w:rsidRPr="001A0BAA">
        <w:rPr>
          <w:color w:val="0070C0"/>
          <w:sz w:val="16"/>
          <w:szCs w:val="16"/>
        </w:rPr>
        <w:t>заводы по производству самолетных агрегатов- 3383 металлорежущих станка;</w:t>
      </w:r>
    </w:p>
    <w:p w14:paraId="17334997" w14:textId="77777777" w:rsidR="003B0B5C" w:rsidRPr="001A0BAA" w:rsidRDefault="003B0B5C" w:rsidP="003B0B5C">
      <w:pPr>
        <w:jc w:val="both"/>
        <w:rPr>
          <w:color w:val="0070C0"/>
          <w:sz w:val="16"/>
          <w:szCs w:val="16"/>
        </w:rPr>
      </w:pPr>
      <w:r w:rsidRPr="001A0BAA">
        <w:rPr>
          <w:color w:val="0070C0"/>
          <w:sz w:val="16"/>
          <w:szCs w:val="16"/>
        </w:rPr>
        <w:t>заводы по производству авиаприборов - 3194 металлорежущих станка;</w:t>
      </w:r>
    </w:p>
    <w:p w14:paraId="259AF608" w14:textId="77777777" w:rsidR="003B0B5C" w:rsidRPr="001A0BAA" w:rsidRDefault="003B0B5C" w:rsidP="003B0B5C">
      <w:pPr>
        <w:jc w:val="both"/>
        <w:rPr>
          <w:color w:val="0070C0"/>
          <w:sz w:val="16"/>
          <w:szCs w:val="16"/>
        </w:rPr>
      </w:pPr>
      <w:r w:rsidRPr="001A0BAA">
        <w:rPr>
          <w:color w:val="0070C0"/>
          <w:sz w:val="16"/>
          <w:szCs w:val="16"/>
        </w:rPr>
        <w:t>металлургические заводы - 1474 металлорежущих станка;</w:t>
      </w:r>
    </w:p>
    <w:p w14:paraId="44DD5205" w14:textId="77777777" w:rsidR="003B0B5C" w:rsidRPr="001A0BAA" w:rsidRDefault="003B0B5C" w:rsidP="003B0B5C">
      <w:pPr>
        <w:jc w:val="both"/>
        <w:rPr>
          <w:color w:val="0070C0"/>
          <w:sz w:val="16"/>
          <w:szCs w:val="16"/>
        </w:rPr>
      </w:pPr>
      <w:r w:rsidRPr="001A0BAA">
        <w:rPr>
          <w:color w:val="0070C0"/>
          <w:sz w:val="16"/>
          <w:szCs w:val="16"/>
        </w:rPr>
        <w:t>заводы по производству винтов - 732 металлорежущих станка;</w:t>
      </w:r>
    </w:p>
    <w:p w14:paraId="79A05DBC" w14:textId="77777777" w:rsidR="003B0B5C" w:rsidRPr="001A0BAA" w:rsidRDefault="003B0B5C" w:rsidP="003B0B5C">
      <w:pPr>
        <w:jc w:val="both"/>
        <w:rPr>
          <w:color w:val="0070C0"/>
          <w:sz w:val="16"/>
          <w:szCs w:val="16"/>
        </w:rPr>
      </w:pPr>
      <w:r w:rsidRPr="001A0BAA">
        <w:rPr>
          <w:color w:val="0070C0"/>
          <w:sz w:val="16"/>
          <w:szCs w:val="16"/>
        </w:rPr>
        <w:t>опытные базы по реактивной технике - 221 металлорежущий станок.</w:t>
      </w:r>
    </w:p>
    <w:p w14:paraId="1838DFEC" w14:textId="77777777" w:rsidR="003B0B5C" w:rsidRPr="001A0BAA" w:rsidRDefault="003B0B5C" w:rsidP="003B0B5C">
      <w:pPr>
        <w:jc w:val="both"/>
        <w:rPr>
          <w:color w:val="0070C0"/>
          <w:sz w:val="16"/>
          <w:szCs w:val="16"/>
        </w:rPr>
      </w:pPr>
      <w:r w:rsidRPr="001A0BAA">
        <w:rPr>
          <w:color w:val="0070C0"/>
          <w:sz w:val="16"/>
          <w:szCs w:val="16"/>
        </w:rPr>
        <w:t>При распределении оборудования была учтена необходимость оснащения новых производств в системе Наркомавиапрома. Для производства реактивных двигателей, самолетов-снарядов и агрегатов к ним (заводы NN 16, 26, 451, 122, 456, 458) выделено 6295 металлорежущих станков.</w:t>
      </w:r>
    </w:p>
    <w:p w14:paraId="58F3267E" w14:textId="77777777" w:rsidR="003B0B5C" w:rsidRPr="001A0BAA" w:rsidRDefault="003B0B5C" w:rsidP="003B0B5C">
      <w:pPr>
        <w:jc w:val="both"/>
        <w:rPr>
          <w:color w:val="0070C0"/>
          <w:sz w:val="16"/>
          <w:szCs w:val="16"/>
        </w:rPr>
      </w:pPr>
      <w:r w:rsidRPr="001A0BAA">
        <w:rPr>
          <w:color w:val="0070C0"/>
          <w:sz w:val="16"/>
          <w:szCs w:val="16"/>
        </w:rPr>
        <w:t>Для производства самолета Б-4 и агрегатов к нему (заводы NN 22, 19, 43, 140, 25, 284, 306) выделено - 3878 металлорежущих станков.</w:t>
      </w:r>
    </w:p>
    <w:p w14:paraId="03188DBD" w14:textId="77777777" w:rsidR="003B0B5C" w:rsidRPr="001A0BAA" w:rsidRDefault="003B0B5C" w:rsidP="003B0B5C">
      <w:pPr>
        <w:jc w:val="both"/>
        <w:rPr>
          <w:color w:val="0070C0"/>
          <w:sz w:val="16"/>
          <w:szCs w:val="16"/>
        </w:rPr>
      </w:pPr>
      <w:r w:rsidRPr="001A0BAA">
        <w:rPr>
          <w:color w:val="0070C0"/>
          <w:sz w:val="16"/>
          <w:szCs w:val="16"/>
        </w:rPr>
        <w:lastRenderedPageBreak/>
        <w:t>Для производства приборов по радиолокации выделен 3881 металлорежущий станок.</w:t>
      </w:r>
    </w:p>
    <w:p w14:paraId="60023698" w14:textId="77777777" w:rsidR="003B0B5C" w:rsidRPr="001A0BAA" w:rsidRDefault="003B0B5C" w:rsidP="003B0B5C">
      <w:pPr>
        <w:jc w:val="both"/>
        <w:rPr>
          <w:color w:val="0070C0"/>
          <w:sz w:val="16"/>
          <w:szCs w:val="16"/>
        </w:rPr>
      </w:pPr>
      <w:r w:rsidRPr="001A0BAA">
        <w:rPr>
          <w:color w:val="0070C0"/>
          <w:sz w:val="16"/>
          <w:szCs w:val="16"/>
        </w:rPr>
        <w:t>На базе трофейного оборудования создаются новые заводы:</w:t>
      </w:r>
    </w:p>
    <w:p w14:paraId="4FF54222" w14:textId="77777777" w:rsidR="003B0B5C" w:rsidRPr="001A0BAA" w:rsidRDefault="003B0B5C" w:rsidP="003B0B5C">
      <w:pPr>
        <w:jc w:val="both"/>
        <w:rPr>
          <w:color w:val="0070C0"/>
          <w:sz w:val="16"/>
          <w:szCs w:val="16"/>
        </w:rPr>
      </w:pPr>
      <w:r w:rsidRPr="001A0BAA">
        <w:rPr>
          <w:color w:val="0070C0"/>
          <w:sz w:val="16"/>
          <w:szCs w:val="16"/>
        </w:rPr>
        <w:t>завод N 36 (г. Рыбинск) - по производству авиамоторов АШ62ИР для транспортных самолетов. Заводу выделено 2117 металлорежущих станков, из них получено 1621 единица;</w:t>
      </w:r>
    </w:p>
    <w:p w14:paraId="0EF6E5D3" w14:textId="77777777" w:rsidR="003B0B5C" w:rsidRPr="001A0BAA" w:rsidRDefault="003B0B5C" w:rsidP="003B0B5C">
      <w:pPr>
        <w:jc w:val="both"/>
        <w:rPr>
          <w:color w:val="0070C0"/>
          <w:sz w:val="16"/>
          <w:szCs w:val="16"/>
        </w:rPr>
      </w:pPr>
      <w:r w:rsidRPr="001A0BAA">
        <w:rPr>
          <w:color w:val="0070C0"/>
          <w:sz w:val="16"/>
          <w:szCs w:val="16"/>
        </w:rPr>
        <w:t>завод N 478 (г. Запорожье) - по производству для легкомоторной авиации и мотоциклов. Заводу выделено 2486 металлорежущих станков, из них получено 1283 единицы;</w:t>
      </w:r>
    </w:p>
    <w:p w14:paraId="30DB9077" w14:textId="77777777" w:rsidR="003B0B5C" w:rsidRPr="001A0BAA" w:rsidRDefault="003B0B5C" w:rsidP="003B0B5C">
      <w:pPr>
        <w:jc w:val="both"/>
        <w:rPr>
          <w:color w:val="0070C0"/>
          <w:sz w:val="16"/>
          <w:szCs w:val="16"/>
        </w:rPr>
      </w:pPr>
      <w:r w:rsidRPr="001A0BAA">
        <w:rPr>
          <w:color w:val="0070C0"/>
          <w:sz w:val="16"/>
          <w:szCs w:val="16"/>
        </w:rPr>
        <w:t>завод N 466 (г. Ленинград) - по производству моторов Джемси - Д-6 и воздушно-реактивных двигателей. Заводу выделено 2433 металлорежущих станка, из них получено 1413 единиц;</w:t>
      </w:r>
    </w:p>
    <w:p w14:paraId="724203A3" w14:textId="77777777" w:rsidR="003B0B5C" w:rsidRPr="001A0BAA" w:rsidRDefault="003B0B5C" w:rsidP="003B0B5C">
      <w:pPr>
        <w:jc w:val="both"/>
        <w:rPr>
          <w:color w:val="0070C0"/>
          <w:sz w:val="16"/>
          <w:szCs w:val="16"/>
        </w:rPr>
      </w:pPr>
      <w:r w:rsidRPr="001A0BAA">
        <w:rPr>
          <w:color w:val="0070C0"/>
          <w:sz w:val="16"/>
          <w:szCs w:val="16"/>
        </w:rPr>
        <w:t>завод N 218 (г. Ленинград) - по производству приборов теплового контроля. Заводу выделен 751 металлорежущий станок, все станки получены;</w:t>
      </w:r>
    </w:p>
    <w:p w14:paraId="69927F52" w14:textId="77777777" w:rsidR="003B0B5C" w:rsidRPr="001A0BAA" w:rsidRDefault="003B0B5C" w:rsidP="003B0B5C">
      <w:pPr>
        <w:jc w:val="both"/>
        <w:rPr>
          <w:color w:val="0070C0"/>
          <w:sz w:val="16"/>
          <w:szCs w:val="16"/>
        </w:rPr>
      </w:pPr>
      <w:r w:rsidRPr="001A0BAA">
        <w:rPr>
          <w:color w:val="0070C0"/>
          <w:sz w:val="16"/>
          <w:szCs w:val="16"/>
        </w:rPr>
        <w:t>завод N 265 (г. Воронеж) - по производству насосов непосредственного впрыска. Заводу выделено 2760 металлорежущих станков, из них получено 561 единицы;</w:t>
      </w:r>
    </w:p>
    <w:p w14:paraId="342B576A" w14:textId="77777777" w:rsidR="003B0B5C" w:rsidRPr="001A0BAA" w:rsidRDefault="003B0B5C" w:rsidP="003B0B5C">
      <w:pPr>
        <w:jc w:val="both"/>
        <w:rPr>
          <w:color w:val="0070C0"/>
          <w:sz w:val="16"/>
          <w:szCs w:val="16"/>
        </w:rPr>
      </w:pPr>
      <w:r w:rsidRPr="001A0BAA">
        <w:rPr>
          <w:color w:val="0070C0"/>
          <w:sz w:val="16"/>
          <w:szCs w:val="16"/>
        </w:rPr>
        <w:t>завод N 489 (г. Днепропетровск) - по производству автоматики для винтомоторной группы. Заводу выделено 342 металлорежущих станка, все станки получены;</w:t>
      </w:r>
    </w:p>
    <w:p w14:paraId="7DC54330" w14:textId="77777777" w:rsidR="003B0B5C" w:rsidRPr="001A0BAA" w:rsidRDefault="003B0B5C" w:rsidP="003B0B5C">
      <w:pPr>
        <w:jc w:val="both"/>
        <w:rPr>
          <w:color w:val="0070C0"/>
          <w:sz w:val="16"/>
          <w:szCs w:val="16"/>
        </w:rPr>
      </w:pPr>
      <w:r w:rsidRPr="001A0BAA">
        <w:rPr>
          <w:color w:val="0070C0"/>
          <w:sz w:val="16"/>
          <w:szCs w:val="16"/>
        </w:rPr>
        <w:t>завод N 64 (г. Воронеж) - по производству запасных частей для ВВС и сельскохозяйственных машин. Заводу выделено 2507 металлорежущих станков, из них получено 907 единицы;</w:t>
      </w:r>
    </w:p>
    <w:p w14:paraId="13AF85CC" w14:textId="77777777" w:rsidR="003B0B5C" w:rsidRPr="001A0BAA" w:rsidRDefault="003B0B5C" w:rsidP="003B0B5C">
      <w:pPr>
        <w:jc w:val="both"/>
        <w:rPr>
          <w:color w:val="0070C0"/>
          <w:sz w:val="16"/>
          <w:szCs w:val="16"/>
        </w:rPr>
      </w:pPr>
      <w:r w:rsidRPr="001A0BAA">
        <w:rPr>
          <w:color w:val="0070C0"/>
          <w:sz w:val="16"/>
          <w:szCs w:val="16"/>
        </w:rPr>
        <w:t>завод N 135 (г. Харьков) - по производству самолетов Як-8. Заводу выделено 487 металлорежущих станков, все станки получены;</w:t>
      </w:r>
    </w:p>
    <w:p w14:paraId="4FAC923D" w14:textId="77777777" w:rsidR="003B0B5C" w:rsidRPr="001A0BAA" w:rsidRDefault="003B0B5C" w:rsidP="003B0B5C">
      <w:pPr>
        <w:jc w:val="both"/>
        <w:rPr>
          <w:color w:val="0070C0"/>
          <w:sz w:val="16"/>
          <w:szCs w:val="16"/>
        </w:rPr>
      </w:pPr>
      <w:r w:rsidRPr="001A0BAA">
        <w:rPr>
          <w:color w:val="0070C0"/>
          <w:sz w:val="16"/>
          <w:szCs w:val="16"/>
        </w:rPr>
        <w:t>завод N 272 (г. Ленинград) - по производству самолетов Як-10. Заводу выделено 467 металлорежущих станков, станки полностью получены.</w:t>
      </w:r>
    </w:p>
    <w:p w14:paraId="2A7311AB" w14:textId="77777777" w:rsidR="003B0B5C" w:rsidRPr="001A0BAA" w:rsidRDefault="003B0B5C" w:rsidP="003B0B5C">
      <w:pPr>
        <w:jc w:val="both"/>
        <w:rPr>
          <w:color w:val="0070C0"/>
          <w:sz w:val="16"/>
          <w:szCs w:val="16"/>
        </w:rPr>
      </w:pPr>
      <w:r w:rsidRPr="001A0BAA">
        <w:rPr>
          <w:color w:val="0070C0"/>
          <w:sz w:val="16"/>
          <w:szCs w:val="16"/>
        </w:rPr>
        <w:t>Для доукомплектовки заводов под производство самолета Ту-2 (заводы NN 23, 1, 166) выделено 969 металлорежущих станков. Все станки демонтированы, упакованы и ожидают отгрузки.</w:t>
      </w:r>
    </w:p>
    <w:p w14:paraId="1B7988FE" w14:textId="77777777" w:rsidR="003B0B5C" w:rsidRPr="001A0BAA" w:rsidRDefault="003B0B5C" w:rsidP="003B0B5C">
      <w:pPr>
        <w:jc w:val="both"/>
        <w:rPr>
          <w:color w:val="0070C0"/>
          <w:sz w:val="16"/>
          <w:szCs w:val="16"/>
        </w:rPr>
      </w:pPr>
      <w:r w:rsidRPr="001A0BAA">
        <w:rPr>
          <w:color w:val="0070C0"/>
          <w:sz w:val="16"/>
          <w:szCs w:val="16"/>
        </w:rPr>
        <w:t>Распределение оборудования по каждому заводу дано в приложении N 1.</w:t>
      </w:r>
    </w:p>
    <w:p w14:paraId="208930C6" w14:textId="77777777" w:rsidR="003B0B5C" w:rsidRPr="001A0BAA" w:rsidRDefault="003B0B5C" w:rsidP="003B0B5C">
      <w:pPr>
        <w:jc w:val="both"/>
        <w:rPr>
          <w:color w:val="0070C0"/>
          <w:sz w:val="16"/>
          <w:szCs w:val="16"/>
        </w:rPr>
      </w:pPr>
      <w:r w:rsidRPr="001A0BAA">
        <w:rPr>
          <w:color w:val="0070C0"/>
          <w:sz w:val="16"/>
          <w:szCs w:val="16"/>
        </w:rPr>
        <w:t>ОСНАЩЕНИЕ ТРОФЕЙНЫМ ОБОРУДОВАНИЕМ ОПЫТНЫХ БАЗ И НАУЧНО-ИССЛЕДОВАТЕЛЬСКИХ ИНСТИТУТОВ НКАП</w:t>
      </w:r>
    </w:p>
    <w:p w14:paraId="4A20CDC2" w14:textId="77777777" w:rsidR="003B0B5C" w:rsidRPr="001A0BAA" w:rsidRDefault="003B0B5C" w:rsidP="003B0B5C">
      <w:pPr>
        <w:jc w:val="both"/>
        <w:rPr>
          <w:color w:val="0070C0"/>
          <w:sz w:val="16"/>
          <w:szCs w:val="16"/>
        </w:rPr>
      </w:pPr>
      <w:r w:rsidRPr="001A0BAA">
        <w:rPr>
          <w:color w:val="0070C0"/>
          <w:sz w:val="16"/>
          <w:szCs w:val="16"/>
        </w:rPr>
        <w:t>Всего для оснащения опытных баз и научно-исследовательских институтов выделено 5220 металлорежущих станков. Среди немецких предприятий и институтов, оборудование которых вывезено и подлежит вывозу на опытные базы имеются:</w:t>
      </w:r>
    </w:p>
    <w:p w14:paraId="67825D4C" w14:textId="77777777" w:rsidR="003B0B5C" w:rsidRPr="001A0BAA" w:rsidRDefault="003B0B5C" w:rsidP="003B0B5C">
      <w:pPr>
        <w:jc w:val="both"/>
        <w:rPr>
          <w:color w:val="0070C0"/>
          <w:sz w:val="16"/>
          <w:szCs w:val="16"/>
        </w:rPr>
      </w:pPr>
      <w:r w:rsidRPr="001A0BAA">
        <w:rPr>
          <w:color w:val="0070C0"/>
          <w:sz w:val="16"/>
          <w:szCs w:val="16"/>
        </w:rPr>
        <w:t>ИНСТИТУТ (АДЛЕРСГОФ, г. БЕРЛИН)</w:t>
      </w:r>
    </w:p>
    <w:p w14:paraId="0F4213F0" w14:textId="77777777" w:rsidR="003B0B5C" w:rsidRPr="001A0BAA" w:rsidRDefault="003B0B5C" w:rsidP="003B0B5C">
      <w:pPr>
        <w:jc w:val="both"/>
        <w:rPr>
          <w:color w:val="0070C0"/>
          <w:sz w:val="16"/>
          <w:szCs w:val="16"/>
        </w:rPr>
      </w:pPr>
      <w:r w:rsidRPr="001A0BAA">
        <w:rPr>
          <w:color w:val="0070C0"/>
          <w:sz w:val="16"/>
          <w:szCs w:val="16"/>
        </w:rPr>
        <w:t>Один из важнейших немецких центров по аэродинамическим испытаниям, испытаниям авиамоторов в высотных условиях и изучению прочности материалов.</w:t>
      </w:r>
    </w:p>
    <w:p w14:paraId="7503A42B" w14:textId="77777777" w:rsidR="003B0B5C" w:rsidRPr="001A0BAA" w:rsidRDefault="003B0B5C" w:rsidP="003B0B5C">
      <w:pPr>
        <w:jc w:val="both"/>
        <w:rPr>
          <w:color w:val="0070C0"/>
          <w:sz w:val="16"/>
          <w:szCs w:val="16"/>
        </w:rPr>
      </w:pPr>
      <w:r w:rsidRPr="001A0BAA">
        <w:rPr>
          <w:color w:val="0070C0"/>
          <w:sz w:val="16"/>
          <w:szCs w:val="16"/>
        </w:rPr>
        <w:t>Помимо большого количества лабораторного оборудования, из института вывозится оборудование 5 аэродинамических труб: скоростной трубы, большой трубы, средней, малой и штопорной. Вывозится оборудование двух высотных лабораторий для испытания авиамоторов, одноцилидровые установки, установки для вибрационных испытаний авиавинтов и другое оборудование.</w:t>
      </w:r>
    </w:p>
    <w:p w14:paraId="27BDF87D" w14:textId="77777777" w:rsidR="003B0B5C" w:rsidRPr="001A0BAA" w:rsidRDefault="003B0B5C" w:rsidP="003B0B5C">
      <w:pPr>
        <w:jc w:val="both"/>
        <w:rPr>
          <w:color w:val="0070C0"/>
          <w:sz w:val="16"/>
          <w:szCs w:val="16"/>
        </w:rPr>
      </w:pPr>
      <w:r w:rsidRPr="001A0BAA">
        <w:rPr>
          <w:color w:val="0070C0"/>
          <w:sz w:val="16"/>
          <w:szCs w:val="16"/>
        </w:rPr>
        <w:t>Все это оборудование демонтировано и упаковано. Отгружено 6 транспортов в количестве 241 вагона с оборудованием института, из них 5 транспортов прибыли в ЦАГИ, ЦИАМ, НИСО.</w:t>
      </w:r>
    </w:p>
    <w:p w14:paraId="3DF2986B" w14:textId="77777777" w:rsidR="003B0B5C" w:rsidRPr="001A0BAA" w:rsidRDefault="003B0B5C" w:rsidP="003B0B5C">
      <w:pPr>
        <w:jc w:val="both"/>
        <w:rPr>
          <w:color w:val="0070C0"/>
          <w:sz w:val="16"/>
          <w:szCs w:val="16"/>
        </w:rPr>
      </w:pPr>
      <w:r w:rsidRPr="001A0BAA">
        <w:rPr>
          <w:color w:val="0070C0"/>
          <w:sz w:val="16"/>
          <w:szCs w:val="16"/>
        </w:rPr>
        <w:t>Находящийся в пути транспорт N 177/4491 загружен оборудованием скоростной трубы.</w:t>
      </w:r>
    </w:p>
    <w:p w14:paraId="1ECE25E0" w14:textId="77777777" w:rsidR="003B0B5C" w:rsidRPr="001A0BAA" w:rsidRDefault="003B0B5C" w:rsidP="003B0B5C">
      <w:pPr>
        <w:jc w:val="both"/>
        <w:rPr>
          <w:color w:val="0070C0"/>
          <w:sz w:val="16"/>
          <w:szCs w:val="16"/>
        </w:rPr>
      </w:pPr>
      <w:r w:rsidRPr="001A0BAA">
        <w:rPr>
          <w:color w:val="0070C0"/>
          <w:sz w:val="16"/>
          <w:szCs w:val="16"/>
        </w:rPr>
        <w:t>ОПЫТНЫЙ ЦЕНТР ФИРМЫ ЮНКЕРС В г. ДЕССАУ</w:t>
      </w:r>
    </w:p>
    <w:p w14:paraId="658FD684" w14:textId="77777777" w:rsidR="003B0B5C" w:rsidRPr="001A0BAA" w:rsidRDefault="003B0B5C" w:rsidP="003B0B5C">
      <w:pPr>
        <w:jc w:val="both"/>
        <w:rPr>
          <w:color w:val="0070C0"/>
          <w:sz w:val="16"/>
          <w:szCs w:val="16"/>
        </w:rPr>
      </w:pPr>
      <w:r w:rsidRPr="001A0BAA">
        <w:rPr>
          <w:color w:val="0070C0"/>
          <w:sz w:val="16"/>
          <w:szCs w:val="16"/>
        </w:rPr>
        <w:t>Этот центр являлся основной экспериментально-исследовательской базой опытного самолетостроения и моторостроения фирмы Юнкерс.</w:t>
      </w:r>
    </w:p>
    <w:p w14:paraId="5A25857B" w14:textId="77777777" w:rsidR="003B0B5C" w:rsidRPr="001A0BAA" w:rsidRDefault="003B0B5C" w:rsidP="003B0B5C">
      <w:pPr>
        <w:jc w:val="both"/>
        <w:rPr>
          <w:color w:val="0070C0"/>
          <w:sz w:val="16"/>
          <w:szCs w:val="16"/>
        </w:rPr>
      </w:pPr>
      <w:r w:rsidRPr="001A0BAA">
        <w:rPr>
          <w:color w:val="0070C0"/>
          <w:sz w:val="16"/>
          <w:szCs w:val="16"/>
        </w:rPr>
        <w:t>Из этого центра подлежит вывозу оборудование двух аэродинамических труб, одна из которых рассчитана на сверхзвуковые скорости, оборудование двух установок для высотных испытаний авиамоторов, пять электропендельных установок, девять одноцилиндровых установок, двенадцать опытных установок для испытания авиамоторов, до сорока установок для исследования автоматики, впрыскивающей аппаратуры и других агрегатов.</w:t>
      </w:r>
    </w:p>
    <w:p w14:paraId="6C7E9F5D" w14:textId="77777777" w:rsidR="003B0B5C" w:rsidRPr="001A0BAA" w:rsidRDefault="003B0B5C" w:rsidP="003B0B5C">
      <w:pPr>
        <w:jc w:val="both"/>
        <w:rPr>
          <w:color w:val="0070C0"/>
          <w:sz w:val="16"/>
          <w:szCs w:val="16"/>
        </w:rPr>
      </w:pPr>
      <w:r w:rsidRPr="001A0BAA">
        <w:rPr>
          <w:color w:val="0070C0"/>
          <w:sz w:val="16"/>
          <w:szCs w:val="16"/>
        </w:rPr>
        <w:t>Подлежат вывозу также установки по исследованию камер сгорания, реактивных двигателей, турбокомпрессоров, нагнетателей и оборудование лабораторий: прочности, испытания материалов, гидросистем, физической.</w:t>
      </w:r>
    </w:p>
    <w:p w14:paraId="50B4B143" w14:textId="77777777" w:rsidR="003B0B5C" w:rsidRPr="001A0BAA" w:rsidRDefault="003B0B5C" w:rsidP="003B0B5C">
      <w:pPr>
        <w:jc w:val="both"/>
        <w:rPr>
          <w:color w:val="0070C0"/>
          <w:sz w:val="16"/>
          <w:szCs w:val="16"/>
        </w:rPr>
      </w:pPr>
      <w:r w:rsidRPr="001A0BAA">
        <w:rPr>
          <w:color w:val="0070C0"/>
          <w:sz w:val="16"/>
          <w:szCs w:val="16"/>
        </w:rPr>
        <w:t>Подробное описание опытного центра фирмы Юнкерс в г. Дессау дано в приложении N 2.</w:t>
      </w:r>
    </w:p>
    <w:p w14:paraId="3F01488F" w14:textId="77777777" w:rsidR="003B0B5C" w:rsidRPr="001A0BAA" w:rsidRDefault="003B0B5C" w:rsidP="003B0B5C">
      <w:pPr>
        <w:jc w:val="both"/>
        <w:rPr>
          <w:color w:val="0070C0"/>
          <w:sz w:val="16"/>
          <w:szCs w:val="16"/>
        </w:rPr>
      </w:pPr>
      <w:r w:rsidRPr="001A0BAA">
        <w:rPr>
          <w:color w:val="0070C0"/>
          <w:sz w:val="16"/>
          <w:szCs w:val="16"/>
        </w:rPr>
        <w:t>По заданию Наркомата на заводе Юнкерс изготовлена труба сверхзвуковых скоростей. Оборудование трубы упаковано и будет вывезено самолетами.</w:t>
      </w:r>
    </w:p>
    <w:p w14:paraId="2F495B09" w14:textId="77777777" w:rsidR="003B0B5C" w:rsidRPr="001A0BAA" w:rsidRDefault="003B0B5C" w:rsidP="003B0B5C">
      <w:pPr>
        <w:jc w:val="both"/>
        <w:rPr>
          <w:color w:val="0070C0"/>
          <w:sz w:val="16"/>
          <w:szCs w:val="16"/>
        </w:rPr>
      </w:pPr>
      <w:r w:rsidRPr="001A0BAA">
        <w:rPr>
          <w:color w:val="0070C0"/>
          <w:sz w:val="16"/>
          <w:szCs w:val="16"/>
        </w:rPr>
        <w:t>Все оборудование опытного центра Юнкерс в настоящее время полностью отремонтировано и восстановлено под руководством работников НКАП и эксплуатируется на работе по тематике особой технической группы.</w:t>
      </w:r>
    </w:p>
    <w:p w14:paraId="2C362DE1" w14:textId="77777777" w:rsidR="003B0B5C" w:rsidRPr="001A0BAA" w:rsidRDefault="003B0B5C" w:rsidP="003B0B5C">
      <w:pPr>
        <w:jc w:val="both"/>
        <w:rPr>
          <w:color w:val="0070C0"/>
          <w:sz w:val="16"/>
          <w:szCs w:val="16"/>
        </w:rPr>
      </w:pPr>
      <w:r w:rsidRPr="001A0BAA">
        <w:rPr>
          <w:color w:val="0070C0"/>
          <w:sz w:val="16"/>
          <w:szCs w:val="16"/>
        </w:rPr>
        <w:t>ВЫСОТНАЯ УСТАНОВКА ЗАВОДА БОРЗИГ - г. БЕРЛИН</w:t>
      </w:r>
    </w:p>
    <w:p w14:paraId="358AE0C3" w14:textId="77777777" w:rsidR="003B0B5C" w:rsidRPr="001A0BAA" w:rsidRDefault="003B0B5C" w:rsidP="003B0B5C">
      <w:pPr>
        <w:jc w:val="both"/>
        <w:rPr>
          <w:color w:val="0070C0"/>
          <w:sz w:val="16"/>
          <w:szCs w:val="16"/>
        </w:rPr>
      </w:pPr>
      <w:r w:rsidRPr="001A0BAA">
        <w:rPr>
          <w:color w:val="0070C0"/>
          <w:sz w:val="16"/>
          <w:szCs w:val="16"/>
        </w:rPr>
        <w:t>Оборудование этой установки позволяет производить испытание авиамоторов мощностью до 3000 л.с. на высоте 14 км. Установка была изготовлена по нашему заказу в 1940 году и оставлена немцами у себя. На установке выполнялись заказы по испытаниям для военного министерства.</w:t>
      </w:r>
    </w:p>
    <w:p w14:paraId="2BDD7261" w14:textId="77777777" w:rsidR="003B0B5C" w:rsidRPr="001A0BAA" w:rsidRDefault="003B0B5C" w:rsidP="003B0B5C">
      <w:pPr>
        <w:jc w:val="both"/>
        <w:rPr>
          <w:color w:val="0070C0"/>
          <w:sz w:val="16"/>
          <w:szCs w:val="16"/>
        </w:rPr>
      </w:pPr>
      <w:r w:rsidRPr="001A0BAA">
        <w:rPr>
          <w:color w:val="0070C0"/>
          <w:sz w:val="16"/>
          <w:szCs w:val="16"/>
        </w:rPr>
        <w:t>Все оборудование высотной установки отгружено и прибыло в ЦИАМ НКАП.</w:t>
      </w:r>
    </w:p>
    <w:p w14:paraId="6979CF66" w14:textId="77777777" w:rsidR="003B0B5C" w:rsidRPr="001A0BAA" w:rsidRDefault="003B0B5C" w:rsidP="003B0B5C">
      <w:pPr>
        <w:jc w:val="both"/>
        <w:rPr>
          <w:color w:val="0070C0"/>
          <w:sz w:val="16"/>
          <w:szCs w:val="16"/>
        </w:rPr>
      </w:pPr>
      <w:r w:rsidRPr="001A0BAA">
        <w:rPr>
          <w:color w:val="0070C0"/>
          <w:sz w:val="16"/>
          <w:szCs w:val="16"/>
        </w:rPr>
        <w:t>ЛАБОРАТОРИЯ СИМЕНС ШУККЕРТ - г. БЕРЛИН</w:t>
      </w:r>
    </w:p>
    <w:p w14:paraId="011665EF" w14:textId="77777777" w:rsidR="003B0B5C" w:rsidRPr="001A0BAA" w:rsidRDefault="003B0B5C" w:rsidP="003B0B5C">
      <w:pPr>
        <w:jc w:val="both"/>
        <w:rPr>
          <w:color w:val="0070C0"/>
          <w:sz w:val="16"/>
          <w:szCs w:val="16"/>
        </w:rPr>
      </w:pPr>
      <w:r w:rsidRPr="001A0BAA">
        <w:rPr>
          <w:color w:val="0070C0"/>
          <w:sz w:val="16"/>
          <w:szCs w:val="16"/>
        </w:rPr>
        <w:t>В г. Берлине была обнаружена очень ценная лаборатория фирмы Сименс Шуккерт по керамическим свечам. Оборудование этой лаборатории полностью отгружено, получено и смонтировано на заводе N 476 НКАП.</w:t>
      </w:r>
    </w:p>
    <w:p w14:paraId="53512830" w14:textId="77777777" w:rsidR="003B0B5C" w:rsidRPr="001A0BAA" w:rsidRDefault="003B0B5C" w:rsidP="003B0B5C">
      <w:pPr>
        <w:jc w:val="both"/>
        <w:rPr>
          <w:color w:val="0070C0"/>
          <w:sz w:val="16"/>
          <w:szCs w:val="16"/>
        </w:rPr>
      </w:pPr>
      <w:r w:rsidRPr="001A0BAA">
        <w:rPr>
          <w:color w:val="0070C0"/>
          <w:sz w:val="16"/>
          <w:szCs w:val="16"/>
        </w:rPr>
        <w:t>ВСЕГЕРМАНСКИЙ ИНСТИТУТ ПО ИСПЫТАНИЮ МАТЕРИАЛОВ (ДОЛЕМ, г. БЕРЛИН)</w:t>
      </w:r>
    </w:p>
    <w:p w14:paraId="6B7F9346" w14:textId="77777777" w:rsidR="003B0B5C" w:rsidRPr="001A0BAA" w:rsidRDefault="003B0B5C" w:rsidP="003B0B5C">
      <w:pPr>
        <w:jc w:val="both"/>
        <w:rPr>
          <w:color w:val="0070C0"/>
          <w:sz w:val="16"/>
          <w:szCs w:val="16"/>
        </w:rPr>
      </w:pPr>
      <w:r w:rsidRPr="001A0BAA">
        <w:rPr>
          <w:color w:val="0070C0"/>
          <w:sz w:val="16"/>
          <w:szCs w:val="16"/>
        </w:rPr>
        <w:t>Из этого института подлежит вывозу ценное лабораторное оборудование. Отгружено и получено ВИАМом НКАП: машин и приборов для испытания материалов - 98 единиц, аналитических и технических весов - 50 штук, термических и плавильных лабораторий печей - 35 штук, рентгеновское оборудование, электроприборы и другое, всего на сумму 613.204 рублей.</w:t>
      </w:r>
    </w:p>
    <w:p w14:paraId="1841E7EE" w14:textId="77777777" w:rsidR="003B0B5C" w:rsidRPr="001A0BAA" w:rsidRDefault="003B0B5C" w:rsidP="003B0B5C">
      <w:pPr>
        <w:jc w:val="both"/>
        <w:rPr>
          <w:color w:val="0070C0"/>
          <w:sz w:val="16"/>
          <w:szCs w:val="16"/>
        </w:rPr>
      </w:pPr>
      <w:r w:rsidRPr="001A0BAA">
        <w:rPr>
          <w:color w:val="0070C0"/>
          <w:sz w:val="16"/>
          <w:szCs w:val="16"/>
        </w:rPr>
        <w:t>Следует отметить, что если по станочному оборудованию нужды опытного строительства выделенным количеством обеспечиваются, то лабораторным оборудованием и оборудованием для специальных испытаний это обеспечение надо считать неудовлетворительным. В значительной степени это объясняется тем фактом, что значительное количество лабораторного оборудования было изъято, увезено и уничтожено немцами и союзниками. Особенно это относится к оптическим приборам.</w:t>
      </w:r>
    </w:p>
    <w:p w14:paraId="336B66E9" w14:textId="77777777" w:rsidR="003B0B5C" w:rsidRPr="001A0BAA" w:rsidRDefault="003B0B5C" w:rsidP="003B0B5C">
      <w:pPr>
        <w:jc w:val="both"/>
        <w:rPr>
          <w:color w:val="0070C0"/>
          <w:sz w:val="16"/>
          <w:szCs w:val="16"/>
        </w:rPr>
      </w:pPr>
      <w:r w:rsidRPr="001A0BAA">
        <w:rPr>
          <w:color w:val="0070C0"/>
          <w:sz w:val="16"/>
          <w:szCs w:val="16"/>
        </w:rPr>
        <w:t>Получение выделенного оборудования из Германии для опытных баз сильно запаздывает. Кроме общих затруднений с транспортом большую роль в этом деле сыграло то обстоятельство, что по основным заводам: Юнкерс в г. Дессау, Зибельфгцейгверке в г. Галле, Миттельдейчемоторенверке в г. Тауха, Гюнтер (Юнкерс) в г. Хальберштадт, Дорнье Висмар, Юнкерс - г. Макленбург, Наркомавиапром обращался с ходатайством о передаче оборудования этих заводов для укомплектования опытных баз - в первой половине августа 1945 года, а разрешение на демонтаж этих заводов было получено только в декабре 1945 года. Задержка в решении вопроса была вызвана затруднениями в отгрузке ранее демонтированного оборудования немецких заводов.</w:t>
      </w:r>
    </w:p>
    <w:p w14:paraId="3A57BD21" w14:textId="77777777" w:rsidR="003B0B5C" w:rsidRPr="001A0BAA" w:rsidRDefault="003B0B5C" w:rsidP="003B0B5C">
      <w:pPr>
        <w:jc w:val="both"/>
        <w:rPr>
          <w:color w:val="0070C0"/>
          <w:sz w:val="16"/>
          <w:szCs w:val="16"/>
        </w:rPr>
      </w:pPr>
      <w:r w:rsidRPr="001A0BAA">
        <w:rPr>
          <w:color w:val="0070C0"/>
          <w:sz w:val="16"/>
          <w:szCs w:val="16"/>
        </w:rPr>
        <w:t>Точные даты ходатайств по этим заводам нами даны в приложении N 3.</w:t>
      </w:r>
    </w:p>
    <w:p w14:paraId="52FF7593" w14:textId="77777777" w:rsidR="003B0B5C" w:rsidRPr="001A0BAA" w:rsidRDefault="003B0B5C" w:rsidP="003B0B5C">
      <w:pPr>
        <w:jc w:val="both"/>
        <w:rPr>
          <w:color w:val="0070C0"/>
          <w:sz w:val="16"/>
          <w:szCs w:val="16"/>
        </w:rPr>
      </w:pPr>
      <w:r w:rsidRPr="001A0BAA">
        <w:rPr>
          <w:color w:val="0070C0"/>
          <w:sz w:val="16"/>
          <w:szCs w:val="16"/>
        </w:rPr>
        <w:t>ХАРАКТЕРИСТИКА И ИСПОЛЬЗОВАНИЕ ПРИБЫВШЕГО ТРОФЕЙНОГО ОБОРУДОВАНИЯ</w:t>
      </w:r>
    </w:p>
    <w:p w14:paraId="2D4E7965" w14:textId="77777777" w:rsidR="003B0B5C" w:rsidRPr="001A0BAA" w:rsidRDefault="003B0B5C" w:rsidP="003B0B5C">
      <w:pPr>
        <w:jc w:val="both"/>
        <w:rPr>
          <w:color w:val="0070C0"/>
          <w:sz w:val="16"/>
          <w:szCs w:val="16"/>
        </w:rPr>
      </w:pPr>
      <w:r w:rsidRPr="001A0BAA">
        <w:rPr>
          <w:color w:val="0070C0"/>
          <w:sz w:val="16"/>
          <w:szCs w:val="16"/>
        </w:rPr>
        <w:t>Всего получено 15807 металлорежущих станков 17875 единиц разного технологического, энергетического и общезаводского оборудования с 90 немецких предприятий.</w:t>
      </w:r>
    </w:p>
    <w:p w14:paraId="3693EE3C" w14:textId="77777777" w:rsidR="003B0B5C" w:rsidRPr="001A0BAA" w:rsidRDefault="003B0B5C" w:rsidP="003B0B5C">
      <w:pPr>
        <w:jc w:val="both"/>
        <w:rPr>
          <w:color w:val="0070C0"/>
          <w:sz w:val="16"/>
          <w:szCs w:val="16"/>
        </w:rPr>
      </w:pPr>
      <w:r w:rsidRPr="001A0BAA">
        <w:rPr>
          <w:color w:val="0070C0"/>
          <w:sz w:val="16"/>
          <w:szCs w:val="16"/>
        </w:rPr>
        <w:t>В числе полученного оборудования кроме металлорежущих станков имеется:</w:t>
      </w:r>
    </w:p>
    <w:p w14:paraId="642745C4" w14:textId="77777777" w:rsidR="003B0B5C" w:rsidRPr="001A0BAA" w:rsidRDefault="003B0B5C" w:rsidP="003B0B5C">
      <w:pPr>
        <w:jc w:val="both"/>
        <w:rPr>
          <w:color w:val="0070C0"/>
          <w:sz w:val="16"/>
          <w:szCs w:val="16"/>
        </w:rPr>
      </w:pPr>
      <w:r w:rsidRPr="001A0BAA">
        <w:rPr>
          <w:color w:val="0070C0"/>
          <w:sz w:val="16"/>
          <w:szCs w:val="16"/>
        </w:rPr>
        <w:t>прессов - 1605 единиц,</w:t>
      </w:r>
    </w:p>
    <w:p w14:paraId="51AC6577" w14:textId="77777777" w:rsidR="003B0B5C" w:rsidRPr="001A0BAA" w:rsidRDefault="003B0B5C" w:rsidP="003B0B5C">
      <w:pPr>
        <w:jc w:val="both"/>
        <w:rPr>
          <w:color w:val="0070C0"/>
          <w:sz w:val="16"/>
          <w:szCs w:val="16"/>
        </w:rPr>
      </w:pPr>
      <w:r w:rsidRPr="001A0BAA">
        <w:rPr>
          <w:color w:val="0070C0"/>
          <w:sz w:val="16"/>
          <w:szCs w:val="16"/>
        </w:rPr>
        <w:t>молотов - 30 единиц,</w:t>
      </w:r>
    </w:p>
    <w:p w14:paraId="5DBD6A55" w14:textId="77777777" w:rsidR="003B0B5C" w:rsidRPr="001A0BAA" w:rsidRDefault="003B0B5C" w:rsidP="003B0B5C">
      <w:pPr>
        <w:jc w:val="both"/>
        <w:rPr>
          <w:color w:val="0070C0"/>
          <w:sz w:val="16"/>
          <w:szCs w:val="16"/>
        </w:rPr>
      </w:pPr>
      <w:r w:rsidRPr="001A0BAA">
        <w:rPr>
          <w:color w:val="0070C0"/>
          <w:sz w:val="16"/>
          <w:szCs w:val="16"/>
        </w:rPr>
        <w:t>механических ножниц - 216 единиц,</w:t>
      </w:r>
    </w:p>
    <w:p w14:paraId="46A5327E" w14:textId="77777777" w:rsidR="003B0B5C" w:rsidRPr="001A0BAA" w:rsidRDefault="003B0B5C" w:rsidP="003B0B5C">
      <w:pPr>
        <w:jc w:val="both"/>
        <w:rPr>
          <w:color w:val="0070C0"/>
          <w:sz w:val="16"/>
          <w:szCs w:val="16"/>
        </w:rPr>
      </w:pPr>
      <w:r w:rsidRPr="001A0BAA">
        <w:rPr>
          <w:color w:val="0070C0"/>
          <w:sz w:val="16"/>
          <w:szCs w:val="16"/>
        </w:rPr>
        <w:t>деревообрабатывающих станков - 545 единиц,</w:t>
      </w:r>
    </w:p>
    <w:p w14:paraId="4A8EF007" w14:textId="77777777" w:rsidR="003B0B5C" w:rsidRPr="001A0BAA" w:rsidRDefault="003B0B5C" w:rsidP="003B0B5C">
      <w:pPr>
        <w:jc w:val="both"/>
        <w:rPr>
          <w:color w:val="0070C0"/>
          <w:sz w:val="16"/>
          <w:szCs w:val="16"/>
        </w:rPr>
      </w:pPr>
      <w:r w:rsidRPr="001A0BAA">
        <w:rPr>
          <w:color w:val="0070C0"/>
          <w:sz w:val="16"/>
          <w:szCs w:val="16"/>
        </w:rPr>
        <w:t>электромоторов - 4179 единиц,</w:t>
      </w:r>
    </w:p>
    <w:p w14:paraId="689B17BB" w14:textId="77777777" w:rsidR="003B0B5C" w:rsidRPr="001A0BAA" w:rsidRDefault="003B0B5C" w:rsidP="003B0B5C">
      <w:pPr>
        <w:jc w:val="both"/>
        <w:rPr>
          <w:color w:val="0070C0"/>
          <w:sz w:val="16"/>
          <w:szCs w:val="16"/>
        </w:rPr>
      </w:pPr>
      <w:r w:rsidRPr="001A0BAA">
        <w:rPr>
          <w:color w:val="0070C0"/>
          <w:sz w:val="16"/>
          <w:szCs w:val="16"/>
        </w:rPr>
        <w:t>насосов - 290 единиц,</w:t>
      </w:r>
    </w:p>
    <w:p w14:paraId="20EA3CF3" w14:textId="77777777" w:rsidR="003B0B5C" w:rsidRPr="001A0BAA" w:rsidRDefault="003B0B5C" w:rsidP="003B0B5C">
      <w:pPr>
        <w:jc w:val="both"/>
        <w:rPr>
          <w:color w:val="0070C0"/>
          <w:sz w:val="16"/>
          <w:szCs w:val="16"/>
        </w:rPr>
      </w:pPr>
      <w:r w:rsidRPr="001A0BAA">
        <w:rPr>
          <w:color w:val="0070C0"/>
          <w:sz w:val="16"/>
          <w:szCs w:val="16"/>
        </w:rPr>
        <w:t>компрессоров - 319 единиц,</w:t>
      </w:r>
    </w:p>
    <w:p w14:paraId="5530EBDA" w14:textId="77777777" w:rsidR="003B0B5C" w:rsidRPr="001A0BAA" w:rsidRDefault="003B0B5C" w:rsidP="003B0B5C">
      <w:pPr>
        <w:jc w:val="both"/>
        <w:rPr>
          <w:color w:val="0070C0"/>
          <w:sz w:val="16"/>
          <w:szCs w:val="16"/>
        </w:rPr>
      </w:pPr>
      <w:r w:rsidRPr="001A0BAA">
        <w:rPr>
          <w:color w:val="0070C0"/>
          <w:sz w:val="16"/>
          <w:szCs w:val="16"/>
        </w:rPr>
        <w:t>машин для литья под давлением - 37 единиц,</w:t>
      </w:r>
    </w:p>
    <w:p w14:paraId="50D4DF2A" w14:textId="77777777" w:rsidR="003B0B5C" w:rsidRPr="001A0BAA" w:rsidRDefault="003B0B5C" w:rsidP="003B0B5C">
      <w:pPr>
        <w:jc w:val="both"/>
        <w:rPr>
          <w:color w:val="0070C0"/>
          <w:sz w:val="16"/>
          <w:szCs w:val="16"/>
        </w:rPr>
      </w:pPr>
      <w:r w:rsidRPr="001A0BAA">
        <w:rPr>
          <w:color w:val="0070C0"/>
          <w:sz w:val="16"/>
          <w:szCs w:val="16"/>
        </w:rPr>
        <w:t>сварочного оборудования - 223 единицы,</w:t>
      </w:r>
    </w:p>
    <w:p w14:paraId="1182275A" w14:textId="77777777" w:rsidR="003B0B5C" w:rsidRPr="001A0BAA" w:rsidRDefault="003B0B5C" w:rsidP="003B0B5C">
      <w:pPr>
        <w:jc w:val="both"/>
        <w:rPr>
          <w:color w:val="0070C0"/>
          <w:sz w:val="16"/>
          <w:szCs w:val="16"/>
        </w:rPr>
      </w:pPr>
      <w:r w:rsidRPr="001A0BAA">
        <w:rPr>
          <w:color w:val="0070C0"/>
          <w:sz w:val="16"/>
          <w:szCs w:val="16"/>
        </w:rPr>
        <w:t>электропечей - 148 единиц.</w:t>
      </w:r>
    </w:p>
    <w:p w14:paraId="492C5A0C" w14:textId="77777777" w:rsidR="003B0B5C" w:rsidRPr="001A0BAA" w:rsidRDefault="003B0B5C" w:rsidP="003B0B5C">
      <w:pPr>
        <w:jc w:val="both"/>
        <w:rPr>
          <w:color w:val="0070C0"/>
          <w:sz w:val="16"/>
          <w:szCs w:val="16"/>
        </w:rPr>
      </w:pPr>
      <w:r w:rsidRPr="001A0BAA">
        <w:rPr>
          <w:color w:val="0070C0"/>
          <w:sz w:val="16"/>
          <w:szCs w:val="16"/>
        </w:rPr>
        <w:t>Прибывшее оборудование имеет в среднем до 20-25% износа и в большинстве является универсальным.</w:t>
      </w:r>
    </w:p>
    <w:p w14:paraId="45875A99" w14:textId="77777777" w:rsidR="003B0B5C" w:rsidRPr="001A0BAA" w:rsidRDefault="003B0B5C" w:rsidP="003B0B5C">
      <w:pPr>
        <w:jc w:val="both"/>
        <w:rPr>
          <w:color w:val="0070C0"/>
          <w:sz w:val="16"/>
          <w:szCs w:val="16"/>
        </w:rPr>
      </w:pPr>
      <w:r w:rsidRPr="001A0BAA">
        <w:rPr>
          <w:color w:val="0070C0"/>
          <w:sz w:val="16"/>
          <w:szCs w:val="16"/>
        </w:rPr>
        <w:t>Среди полученных металлорежущих станков имеется: револьверных - 111 единиц, автоматов и полуавтоматов - 578 единиц, фрезерных - 198 единиц. Эти станки и, особенно револьверныеПиттлер и автоматыИндекс, представляют для Наркомавиапрома большую ценность, так как в них испытывался большой недостаток. Полученные 37 машин для литья под давлением дадут возможность организовать на заводе N 219 НКАП выпуск деталей для моторов, агрегатов и приборов литьем под давлением.</w:t>
      </w:r>
    </w:p>
    <w:p w14:paraId="74AB6A0F" w14:textId="77777777" w:rsidR="003B0B5C" w:rsidRPr="001A0BAA" w:rsidRDefault="003B0B5C" w:rsidP="003B0B5C">
      <w:pPr>
        <w:jc w:val="both"/>
        <w:rPr>
          <w:color w:val="0070C0"/>
          <w:sz w:val="16"/>
          <w:szCs w:val="16"/>
        </w:rPr>
      </w:pPr>
      <w:r w:rsidRPr="001A0BAA">
        <w:rPr>
          <w:color w:val="0070C0"/>
          <w:sz w:val="16"/>
          <w:szCs w:val="16"/>
        </w:rPr>
        <w:t>Особенно велика потребность в таких деталях для самолета Б-4 и реактивных двигателей.</w:t>
      </w:r>
    </w:p>
    <w:p w14:paraId="6F10B06A" w14:textId="77777777" w:rsidR="003B0B5C" w:rsidRPr="001A0BAA" w:rsidRDefault="003B0B5C" w:rsidP="003B0B5C">
      <w:pPr>
        <w:jc w:val="both"/>
        <w:rPr>
          <w:color w:val="0070C0"/>
          <w:sz w:val="16"/>
          <w:szCs w:val="16"/>
        </w:rPr>
      </w:pPr>
      <w:r w:rsidRPr="001A0BAA">
        <w:rPr>
          <w:color w:val="0070C0"/>
          <w:sz w:val="16"/>
          <w:szCs w:val="16"/>
        </w:rPr>
        <w:t>Получено 440 станков, представляющих технологический комплекс для обработки коленчатых валов. Организация этого производства намечена на заводе N 150 НКАП.</w:t>
      </w:r>
    </w:p>
    <w:p w14:paraId="6E4CD328" w14:textId="77777777" w:rsidR="003B0B5C" w:rsidRPr="001A0BAA" w:rsidRDefault="003B0B5C" w:rsidP="003B0B5C">
      <w:pPr>
        <w:jc w:val="both"/>
        <w:rPr>
          <w:color w:val="0070C0"/>
          <w:sz w:val="16"/>
          <w:szCs w:val="16"/>
        </w:rPr>
      </w:pPr>
      <w:r w:rsidRPr="001A0BAA">
        <w:rPr>
          <w:color w:val="0070C0"/>
          <w:sz w:val="16"/>
          <w:szCs w:val="16"/>
        </w:rPr>
        <w:t>Наркомавиапромом получено 43 гидравлических пресса для производства изделий из пластмасс.</w:t>
      </w:r>
    </w:p>
    <w:p w14:paraId="144DA117" w14:textId="77777777" w:rsidR="003B0B5C" w:rsidRPr="001A0BAA" w:rsidRDefault="003B0B5C" w:rsidP="003B0B5C">
      <w:pPr>
        <w:jc w:val="both"/>
        <w:rPr>
          <w:color w:val="0070C0"/>
          <w:sz w:val="16"/>
          <w:szCs w:val="16"/>
        </w:rPr>
      </w:pPr>
      <w:r w:rsidRPr="001A0BAA">
        <w:rPr>
          <w:color w:val="0070C0"/>
          <w:sz w:val="16"/>
          <w:szCs w:val="16"/>
        </w:rPr>
        <w:lastRenderedPageBreak/>
        <w:t>На базе этого оборудования организован большой цех на заводе N 218 НКАП. Заводом N 82 получено 5 прессов фирмы "Шуллер" для глубокой вытяжки. Такие прессы у нас в промышленности не применялись. Применение этих прессов значительно совершенствует технологию вытяжки.</w:t>
      </w:r>
    </w:p>
    <w:p w14:paraId="0129B711" w14:textId="77777777" w:rsidR="003B0B5C" w:rsidRPr="001A0BAA" w:rsidRDefault="003B0B5C" w:rsidP="003B0B5C">
      <w:pPr>
        <w:jc w:val="both"/>
        <w:rPr>
          <w:color w:val="0070C0"/>
          <w:sz w:val="16"/>
          <w:szCs w:val="16"/>
        </w:rPr>
      </w:pPr>
      <w:r w:rsidRPr="001A0BAA">
        <w:rPr>
          <w:color w:val="0070C0"/>
          <w:sz w:val="16"/>
          <w:szCs w:val="16"/>
        </w:rPr>
        <w:t xml:space="preserve">За исключением 10 деталей, прибыло оборудование мощного 10 тыс. тонного гидравлического пресса и на завод N 65 НКАП. Это первый пресс такой мощности в системе заводов НКАП. На этот же завод прибыл бесшаботный </w:t>
      </w:r>
      <w:proofErr w:type="gramStart"/>
      <w:r w:rsidRPr="001A0BAA">
        <w:rPr>
          <w:color w:val="0070C0"/>
          <w:sz w:val="16"/>
          <w:szCs w:val="16"/>
        </w:rPr>
        <w:t>35 тонный</w:t>
      </w:r>
      <w:proofErr w:type="gramEnd"/>
      <w:r w:rsidRPr="001A0BAA">
        <w:rPr>
          <w:color w:val="0070C0"/>
          <w:sz w:val="16"/>
          <w:szCs w:val="16"/>
        </w:rPr>
        <w:t xml:space="preserve"> молот, являющийся технической новинкой и отличающийся простой конструкцией и легкостью монтажа.</w:t>
      </w:r>
    </w:p>
    <w:p w14:paraId="3860B422" w14:textId="77777777" w:rsidR="003B0B5C" w:rsidRPr="001A0BAA" w:rsidRDefault="003B0B5C" w:rsidP="003B0B5C">
      <w:pPr>
        <w:jc w:val="both"/>
        <w:rPr>
          <w:color w:val="0070C0"/>
          <w:sz w:val="16"/>
          <w:szCs w:val="16"/>
        </w:rPr>
      </w:pPr>
      <w:r w:rsidRPr="001A0BAA">
        <w:rPr>
          <w:color w:val="0070C0"/>
          <w:sz w:val="16"/>
          <w:szCs w:val="16"/>
        </w:rPr>
        <w:t>Полностью прибыло в ЦИАМ оборудование высотной установки завода "Борзиг". Получены для моторных заводов НКАП 14 универсальных установокфалю для испытания авиамоторов. Из числа полностью вывезенных немецких заводов наиболее ценными и комп- лектными являются: завод фирмы "Бош", фирмы "Вайсензее Гусс", фирмы "Люфт-фаргереитеверке" из г. Берлин, завод "Леман и К" из г. Бург и завод "Даймлер Бенц" из г. Мезеритц.</w:t>
      </w:r>
    </w:p>
    <w:p w14:paraId="70EB5597" w14:textId="77777777" w:rsidR="003B0B5C" w:rsidRPr="001A0BAA" w:rsidRDefault="003B0B5C" w:rsidP="003B0B5C">
      <w:pPr>
        <w:jc w:val="both"/>
        <w:rPr>
          <w:color w:val="0070C0"/>
          <w:sz w:val="16"/>
          <w:szCs w:val="16"/>
        </w:rPr>
      </w:pPr>
      <w:r w:rsidRPr="001A0BAA">
        <w:rPr>
          <w:color w:val="0070C0"/>
          <w:sz w:val="16"/>
          <w:szCs w:val="16"/>
        </w:rPr>
        <w:t>Полученное оборудование использовалось немецкой авиапромышленностью следующим образом: 8117 металлорежущих станков на 31 авиамоторных и мотороагрегатных заводах; 3731 металлорежущих станков на 27 самолетостроительных и самолетоагрегатных заводах; 2866 металлорежущих станка на 19 приборостроительных заводах; 504 металлорежущих станка на 5 винтовых заводах; 275 металлорежущих станков на 3 металлургических заводах; 198 металлорежущих станков в 4 институтах и лабораториях; 116 металлорежущих станков на заводе литья под давлением.</w:t>
      </w:r>
    </w:p>
    <w:p w14:paraId="0F3F73F9" w14:textId="77777777" w:rsidR="003B0B5C" w:rsidRPr="001A0BAA" w:rsidRDefault="003B0B5C" w:rsidP="003B0B5C">
      <w:pPr>
        <w:jc w:val="both"/>
        <w:rPr>
          <w:color w:val="0070C0"/>
          <w:sz w:val="16"/>
          <w:szCs w:val="16"/>
        </w:rPr>
      </w:pPr>
      <w:r w:rsidRPr="001A0BAA">
        <w:rPr>
          <w:color w:val="0070C0"/>
          <w:sz w:val="16"/>
          <w:szCs w:val="16"/>
        </w:rPr>
        <w:t>Полученные 15807 металлорежущих станков используются Наркомавиапромом:</w:t>
      </w:r>
    </w:p>
    <w:p w14:paraId="1050E383" w14:textId="77777777" w:rsidR="003B0B5C" w:rsidRPr="001A0BAA" w:rsidRDefault="003B0B5C" w:rsidP="003B0B5C">
      <w:pPr>
        <w:jc w:val="both"/>
        <w:rPr>
          <w:color w:val="0070C0"/>
          <w:sz w:val="16"/>
          <w:szCs w:val="16"/>
        </w:rPr>
      </w:pPr>
      <w:r w:rsidRPr="001A0BAA">
        <w:rPr>
          <w:color w:val="0070C0"/>
          <w:sz w:val="16"/>
          <w:szCs w:val="16"/>
        </w:rPr>
        <w:t>НА МОТОРОСТРОИТЕЛЬНЫХ ЗАВОДАХ NN 29, 36, 41, 466, 478 и 500 - 4559 металлорежущих станков, в том числе:</w:t>
      </w:r>
    </w:p>
    <w:p w14:paraId="0A34DA15" w14:textId="77777777" w:rsidR="003B0B5C" w:rsidRPr="001A0BAA" w:rsidRDefault="003B0B5C" w:rsidP="003B0B5C">
      <w:pPr>
        <w:jc w:val="both"/>
        <w:rPr>
          <w:color w:val="0070C0"/>
          <w:sz w:val="16"/>
          <w:szCs w:val="16"/>
        </w:rPr>
      </w:pPr>
      <w:r w:rsidRPr="001A0BAA">
        <w:rPr>
          <w:color w:val="0070C0"/>
          <w:sz w:val="16"/>
          <w:szCs w:val="16"/>
        </w:rPr>
        <w:t>на заводе N 36 (г. Рыбинск) - 1621 металлорежущий станок, из них смонтировано 853 единицы;</w:t>
      </w:r>
    </w:p>
    <w:p w14:paraId="289F01AA" w14:textId="77777777" w:rsidR="003B0B5C" w:rsidRPr="001A0BAA" w:rsidRDefault="003B0B5C" w:rsidP="003B0B5C">
      <w:pPr>
        <w:jc w:val="both"/>
        <w:rPr>
          <w:color w:val="0070C0"/>
          <w:sz w:val="16"/>
          <w:szCs w:val="16"/>
        </w:rPr>
      </w:pPr>
      <w:r w:rsidRPr="001A0BAA">
        <w:rPr>
          <w:color w:val="0070C0"/>
          <w:sz w:val="16"/>
          <w:szCs w:val="16"/>
        </w:rPr>
        <w:t>на заводе N 466 (г. Ленинград) - 1413 металлорежущих станков, из них смонтировано 144 единицы;</w:t>
      </w:r>
    </w:p>
    <w:p w14:paraId="770FACC6" w14:textId="77777777" w:rsidR="003B0B5C" w:rsidRPr="001A0BAA" w:rsidRDefault="003B0B5C" w:rsidP="003B0B5C">
      <w:pPr>
        <w:jc w:val="both"/>
        <w:rPr>
          <w:color w:val="0070C0"/>
          <w:sz w:val="16"/>
          <w:szCs w:val="16"/>
        </w:rPr>
      </w:pPr>
      <w:r w:rsidRPr="001A0BAA">
        <w:rPr>
          <w:color w:val="0070C0"/>
          <w:sz w:val="16"/>
          <w:szCs w:val="16"/>
        </w:rPr>
        <w:t>на заводе N 478 (г. Запорожье) - 1283 металлорежущих станка, из них смонтировано 823 единицы.</w:t>
      </w:r>
    </w:p>
    <w:p w14:paraId="2F6415DA" w14:textId="77777777" w:rsidR="003B0B5C" w:rsidRPr="001A0BAA" w:rsidRDefault="003B0B5C" w:rsidP="003B0B5C">
      <w:pPr>
        <w:jc w:val="both"/>
        <w:rPr>
          <w:color w:val="0070C0"/>
          <w:sz w:val="16"/>
          <w:szCs w:val="16"/>
        </w:rPr>
      </w:pPr>
      <w:r w:rsidRPr="001A0BAA">
        <w:rPr>
          <w:color w:val="0070C0"/>
          <w:sz w:val="16"/>
          <w:szCs w:val="16"/>
        </w:rPr>
        <w:t>НА МОТОРОАГРЕГАТНЫХ ЗАВОДАХ NN 25, 140, 265, 284, 306, 315, 451, 476 и 489 - 3245 металлорежущих станков, в том числе:</w:t>
      </w:r>
    </w:p>
    <w:p w14:paraId="2DA711A8" w14:textId="77777777" w:rsidR="003B0B5C" w:rsidRPr="001A0BAA" w:rsidRDefault="003B0B5C" w:rsidP="003B0B5C">
      <w:pPr>
        <w:jc w:val="both"/>
        <w:rPr>
          <w:color w:val="0070C0"/>
          <w:sz w:val="16"/>
          <w:szCs w:val="16"/>
        </w:rPr>
      </w:pPr>
      <w:r w:rsidRPr="001A0BAA">
        <w:rPr>
          <w:color w:val="0070C0"/>
          <w:sz w:val="16"/>
          <w:szCs w:val="16"/>
        </w:rPr>
        <w:t>на заводе N 451 (г. Москва) - 709 металлорежущих станков, из них смонтировано 325 единицы;</w:t>
      </w:r>
    </w:p>
    <w:p w14:paraId="7D5D1C1D" w14:textId="77777777" w:rsidR="003B0B5C" w:rsidRPr="001A0BAA" w:rsidRDefault="003B0B5C" w:rsidP="003B0B5C">
      <w:pPr>
        <w:jc w:val="both"/>
        <w:rPr>
          <w:color w:val="0070C0"/>
          <w:sz w:val="16"/>
          <w:szCs w:val="16"/>
        </w:rPr>
      </w:pPr>
      <w:r w:rsidRPr="001A0BAA">
        <w:rPr>
          <w:color w:val="0070C0"/>
          <w:sz w:val="16"/>
          <w:szCs w:val="16"/>
        </w:rPr>
        <w:t>на заводе N 140 (г. Москва) - 623 металлорежущих станка, из них смонтировано 384 единицы;</w:t>
      </w:r>
    </w:p>
    <w:p w14:paraId="780C8CAD" w14:textId="77777777" w:rsidR="003B0B5C" w:rsidRPr="001A0BAA" w:rsidRDefault="003B0B5C" w:rsidP="003B0B5C">
      <w:pPr>
        <w:jc w:val="both"/>
        <w:rPr>
          <w:color w:val="0070C0"/>
          <w:sz w:val="16"/>
          <w:szCs w:val="16"/>
        </w:rPr>
      </w:pPr>
      <w:r w:rsidRPr="001A0BAA">
        <w:rPr>
          <w:color w:val="0070C0"/>
          <w:sz w:val="16"/>
          <w:szCs w:val="16"/>
        </w:rPr>
        <w:t>на заводе N 265 (г. Воронеж) - 561 металлорежущий станок, из них смонтировано 534 единицы;</w:t>
      </w:r>
    </w:p>
    <w:p w14:paraId="147DCAB4" w14:textId="77777777" w:rsidR="003B0B5C" w:rsidRPr="001A0BAA" w:rsidRDefault="003B0B5C" w:rsidP="003B0B5C">
      <w:pPr>
        <w:jc w:val="both"/>
        <w:rPr>
          <w:color w:val="0070C0"/>
          <w:sz w:val="16"/>
          <w:szCs w:val="16"/>
        </w:rPr>
      </w:pPr>
      <w:r w:rsidRPr="001A0BAA">
        <w:rPr>
          <w:color w:val="0070C0"/>
          <w:sz w:val="16"/>
          <w:szCs w:val="16"/>
        </w:rPr>
        <w:t>на заводе N 284 (г. Сарапул) - 505 металлорежущих станков, из них смонтировано 79 единицы.</w:t>
      </w:r>
    </w:p>
    <w:p w14:paraId="38D606A0" w14:textId="77777777" w:rsidR="003B0B5C" w:rsidRPr="001A0BAA" w:rsidRDefault="003B0B5C" w:rsidP="003B0B5C">
      <w:pPr>
        <w:jc w:val="both"/>
        <w:rPr>
          <w:color w:val="0070C0"/>
          <w:sz w:val="16"/>
          <w:szCs w:val="16"/>
        </w:rPr>
      </w:pPr>
      <w:r w:rsidRPr="001A0BAA">
        <w:rPr>
          <w:color w:val="0070C0"/>
          <w:sz w:val="16"/>
          <w:szCs w:val="16"/>
        </w:rPr>
        <w:t>НА САМОЛЕТОСТРОИТЕЛЬНЫХ ЗАВОДАХ NN 64, 82, 135, 168, 272, 456 и 473 - 2871 металлорежущих станок, в том числе:</w:t>
      </w:r>
    </w:p>
    <w:p w14:paraId="05C8FA8D" w14:textId="77777777" w:rsidR="003B0B5C" w:rsidRPr="001A0BAA" w:rsidRDefault="003B0B5C" w:rsidP="003B0B5C">
      <w:pPr>
        <w:jc w:val="both"/>
        <w:rPr>
          <w:color w:val="0070C0"/>
          <w:sz w:val="16"/>
          <w:szCs w:val="16"/>
        </w:rPr>
      </w:pPr>
      <w:r w:rsidRPr="001A0BAA">
        <w:rPr>
          <w:color w:val="0070C0"/>
          <w:sz w:val="16"/>
          <w:szCs w:val="16"/>
        </w:rPr>
        <w:t>на заводе N 64 (г. Воронеж) - 907 металлорежущих станков, из них смонтировано 673 единицы;</w:t>
      </w:r>
    </w:p>
    <w:p w14:paraId="0A409F36" w14:textId="77777777" w:rsidR="003B0B5C" w:rsidRPr="001A0BAA" w:rsidRDefault="003B0B5C" w:rsidP="003B0B5C">
      <w:pPr>
        <w:jc w:val="both"/>
        <w:rPr>
          <w:color w:val="0070C0"/>
          <w:sz w:val="16"/>
          <w:szCs w:val="16"/>
        </w:rPr>
      </w:pPr>
      <w:r w:rsidRPr="001A0BAA">
        <w:rPr>
          <w:color w:val="0070C0"/>
          <w:sz w:val="16"/>
          <w:szCs w:val="16"/>
        </w:rPr>
        <w:t>на заводе N 456 (г. Москва) - 606 металлорежущих станков, из них смонтировано 419 единицы;</w:t>
      </w:r>
    </w:p>
    <w:p w14:paraId="6C287FA1" w14:textId="77777777" w:rsidR="003B0B5C" w:rsidRPr="001A0BAA" w:rsidRDefault="003B0B5C" w:rsidP="003B0B5C">
      <w:pPr>
        <w:jc w:val="both"/>
        <w:rPr>
          <w:color w:val="0070C0"/>
          <w:sz w:val="16"/>
          <w:szCs w:val="16"/>
        </w:rPr>
      </w:pPr>
      <w:r w:rsidRPr="001A0BAA">
        <w:rPr>
          <w:color w:val="0070C0"/>
          <w:sz w:val="16"/>
          <w:szCs w:val="16"/>
        </w:rPr>
        <w:t>на заводе N 135 (г. Харьков) - 487 металлорежущих станков, из них смонтировано 430 единицы;</w:t>
      </w:r>
    </w:p>
    <w:p w14:paraId="68B53959" w14:textId="77777777" w:rsidR="003B0B5C" w:rsidRPr="001A0BAA" w:rsidRDefault="003B0B5C" w:rsidP="003B0B5C">
      <w:pPr>
        <w:jc w:val="both"/>
        <w:rPr>
          <w:color w:val="0070C0"/>
          <w:sz w:val="16"/>
          <w:szCs w:val="16"/>
        </w:rPr>
      </w:pPr>
      <w:r w:rsidRPr="001A0BAA">
        <w:rPr>
          <w:color w:val="0070C0"/>
          <w:sz w:val="16"/>
          <w:szCs w:val="16"/>
        </w:rPr>
        <w:t>на заводе N 272 (г. Ленинград) - 467 металлорежущих станков, из них смонтировано 463 единицы.</w:t>
      </w:r>
    </w:p>
    <w:p w14:paraId="0B6600E6" w14:textId="77777777" w:rsidR="003B0B5C" w:rsidRPr="001A0BAA" w:rsidRDefault="003B0B5C" w:rsidP="003B0B5C">
      <w:pPr>
        <w:jc w:val="both"/>
        <w:rPr>
          <w:color w:val="0070C0"/>
          <w:sz w:val="16"/>
          <w:szCs w:val="16"/>
        </w:rPr>
      </w:pPr>
      <w:r w:rsidRPr="001A0BAA">
        <w:rPr>
          <w:color w:val="0070C0"/>
          <w:sz w:val="16"/>
          <w:szCs w:val="16"/>
        </w:rPr>
        <w:t>НА РАДИОЛОКАЦИОННЫХ ЗАВОДАХ NN 283, 28, 382, 464, 483, 555 и ЦКБ-17 - 1658 металлорежущих станков, в том числе:</w:t>
      </w:r>
    </w:p>
    <w:p w14:paraId="633D2ACE" w14:textId="77777777" w:rsidR="003B0B5C" w:rsidRPr="001A0BAA" w:rsidRDefault="003B0B5C" w:rsidP="003B0B5C">
      <w:pPr>
        <w:jc w:val="both"/>
        <w:rPr>
          <w:color w:val="0070C0"/>
          <w:sz w:val="16"/>
          <w:szCs w:val="16"/>
        </w:rPr>
      </w:pPr>
      <w:r w:rsidRPr="001A0BAA">
        <w:rPr>
          <w:color w:val="0070C0"/>
          <w:sz w:val="16"/>
          <w:szCs w:val="16"/>
        </w:rPr>
        <w:t>на заводе N 483 (г. Киев) - 34 металлорежущих станка, из них смонтировано 41 единица;</w:t>
      </w:r>
    </w:p>
    <w:p w14:paraId="3CA003F7" w14:textId="77777777" w:rsidR="003B0B5C" w:rsidRPr="001A0BAA" w:rsidRDefault="003B0B5C" w:rsidP="003B0B5C">
      <w:pPr>
        <w:jc w:val="both"/>
        <w:rPr>
          <w:color w:val="0070C0"/>
          <w:sz w:val="16"/>
          <w:szCs w:val="16"/>
        </w:rPr>
      </w:pPr>
      <w:r w:rsidRPr="001A0BAA">
        <w:rPr>
          <w:color w:val="0070C0"/>
          <w:sz w:val="16"/>
          <w:szCs w:val="16"/>
        </w:rPr>
        <w:t>на заводе N 283 (г. Ленинград) - 264 металлорежущих станка, из них смонтировано 203 единицы;</w:t>
      </w:r>
    </w:p>
    <w:p w14:paraId="61C5007B" w14:textId="77777777" w:rsidR="003B0B5C" w:rsidRPr="001A0BAA" w:rsidRDefault="003B0B5C" w:rsidP="003B0B5C">
      <w:pPr>
        <w:jc w:val="both"/>
        <w:rPr>
          <w:color w:val="0070C0"/>
          <w:sz w:val="16"/>
          <w:szCs w:val="16"/>
        </w:rPr>
      </w:pPr>
      <w:r w:rsidRPr="001A0BAA">
        <w:rPr>
          <w:color w:val="0070C0"/>
          <w:sz w:val="16"/>
          <w:szCs w:val="16"/>
        </w:rPr>
        <w:t>на заводе N 287 (г. Ленинград) - 384 металлорежущих станка, из них смонтировано 161 единица;</w:t>
      </w:r>
    </w:p>
    <w:p w14:paraId="5DB06226" w14:textId="77777777" w:rsidR="003B0B5C" w:rsidRPr="001A0BAA" w:rsidRDefault="003B0B5C" w:rsidP="003B0B5C">
      <w:pPr>
        <w:jc w:val="both"/>
        <w:rPr>
          <w:color w:val="0070C0"/>
          <w:sz w:val="16"/>
          <w:szCs w:val="16"/>
        </w:rPr>
      </w:pPr>
      <w:r w:rsidRPr="001A0BAA">
        <w:rPr>
          <w:color w:val="0070C0"/>
          <w:sz w:val="16"/>
          <w:szCs w:val="16"/>
        </w:rPr>
        <w:t>в ЦКБ-17 (г. Москва) - 313 металлорежущих станков, из них смонтировано 354 единицы.</w:t>
      </w:r>
    </w:p>
    <w:p w14:paraId="52B2221F" w14:textId="77777777" w:rsidR="003B0B5C" w:rsidRPr="001A0BAA" w:rsidRDefault="003B0B5C" w:rsidP="003B0B5C">
      <w:pPr>
        <w:jc w:val="both"/>
        <w:rPr>
          <w:color w:val="0070C0"/>
          <w:sz w:val="16"/>
          <w:szCs w:val="16"/>
        </w:rPr>
      </w:pPr>
      <w:r w:rsidRPr="001A0BAA">
        <w:rPr>
          <w:color w:val="0070C0"/>
          <w:sz w:val="16"/>
          <w:szCs w:val="16"/>
        </w:rPr>
        <w:t>НА МЕТАЛЛУРГИЧЕСКИХ ЗАВОДАХ NN 65 и 150 - 1026 металлорежущих станков, в том числе:</w:t>
      </w:r>
    </w:p>
    <w:p w14:paraId="16D3E2B2" w14:textId="77777777" w:rsidR="003B0B5C" w:rsidRPr="001A0BAA" w:rsidRDefault="003B0B5C" w:rsidP="003B0B5C">
      <w:pPr>
        <w:jc w:val="both"/>
        <w:rPr>
          <w:color w:val="0070C0"/>
          <w:sz w:val="16"/>
          <w:szCs w:val="16"/>
        </w:rPr>
      </w:pPr>
      <w:r w:rsidRPr="001A0BAA">
        <w:rPr>
          <w:color w:val="0070C0"/>
          <w:sz w:val="16"/>
          <w:szCs w:val="16"/>
        </w:rPr>
        <w:t>на заводе N 150 (г. Супино) - 764 металлорежущих станка, из них смонтировано 262 единицы.</w:t>
      </w:r>
    </w:p>
    <w:p w14:paraId="59AC7B90" w14:textId="77777777" w:rsidR="003B0B5C" w:rsidRPr="001A0BAA" w:rsidRDefault="003B0B5C" w:rsidP="003B0B5C">
      <w:pPr>
        <w:jc w:val="both"/>
        <w:rPr>
          <w:color w:val="0070C0"/>
          <w:sz w:val="16"/>
          <w:szCs w:val="16"/>
        </w:rPr>
      </w:pPr>
      <w:r w:rsidRPr="001A0BAA">
        <w:rPr>
          <w:color w:val="0070C0"/>
          <w:sz w:val="16"/>
          <w:szCs w:val="16"/>
        </w:rPr>
        <w:t xml:space="preserve">НА ПРИБОРОСТРОИТЕЛЬНЫХ ЗАВОДАХ NN 128 и 218 - 971 металлорежущий станок, в том </w:t>
      </w:r>
      <w:proofErr w:type="gramStart"/>
      <w:r w:rsidRPr="001A0BAA">
        <w:rPr>
          <w:color w:val="0070C0"/>
          <w:sz w:val="16"/>
          <w:szCs w:val="16"/>
        </w:rPr>
        <w:t>числе :</w:t>
      </w:r>
      <w:proofErr w:type="gramEnd"/>
    </w:p>
    <w:p w14:paraId="490D264B" w14:textId="77777777" w:rsidR="003B0B5C" w:rsidRPr="001A0BAA" w:rsidRDefault="003B0B5C" w:rsidP="003B0B5C">
      <w:pPr>
        <w:jc w:val="both"/>
        <w:rPr>
          <w:color w:val="0070C0"/>
          <w:sz w:val="16"/>
          <w:szCs w:val="16"/>
        </w:rPr>
      </w:pPr>
      <w:r w:rsidRPr="001A0BAA">
        <w:rPr>
          <w:color w:val="0070C0"/>
          <w:sz w:val="16"/>
          <w:szCs w:val="16"/>
        </w:rPr>
        <w:t>на заводе N 218 (г. Ленинград) - 751 металлорежущий станок, из них смонтировано 131 единицы.</w:t>
      </w:r>
    </w:p>
    <w:p w14:paraId="1882E311" w14:textId="77777777" w:rsidR="003B0B5C" w:rsidRPr="001A0BAA" w:rsidRDefault="003B0B5C" w:rsidP="003B0B5C">
      <w:pPr>
        <w:jc w:val="both"/>
        <w:rPr>
          <w:color w:val="0070C0"/>
          <w:sz w:val="16"/>
          <w:szCs w:val="16"/>
        </w:rPr>
      </w:pPr>
      <w:r w:rsidRPr="001A0BAA">
        <w:rPr>
          <w:color w:val="0070C0"/>
          <w:sz w:val="16"/>
          <w:szCs w:val="16"/>
        </w:rPr>
        <w:t>НА САМОЛЕТОАГРЕГАТНЫХ ЗАВОДАХ NN 219, 455 и 485 - 609 металлорежущих станков, в том числе:</w:t>
      </w:r>
    </w:p>
    <w:p w14:paraId="704DB227" w14:textId="77777777" w:rsidR="003B0B5C" w:rsidRPr="001A0BAA" w:rsidRDefault="003B0B5C" w:rsidP="003B0B5C">
      <w:pPr>
        <w:jc w:val="both"/>
        <w:rPr>
          <w:color w:val="0070C0"/>
          <w:sz w:val="16"/>
          <w:szCs w:val="16"/>
        </w:rPr>
      </w:pPr>
      <w:r w:rsidRPr="001A0BAA">
        <w:rPr>
          <w:color w:val="0070C0"/>
          <w:sz w:val="16"/>
          <w:szCs w:val="16"/>
        </w:rPr>
        <w:t>на заводе N 455 (г. Костино) - 324 металлорежущих станка, из них смонтировано 204 единицы;</w:t>
      </w:r>
    </w:p>
    <w:p w14:paraId="6FB87E19" w14:textId="77777777" w:rsidR="003B0B5C" w:rsidRPr="001A0BAA" w:rsidRDefault="003B0B5C" w:rsidP="003B0B5C">
      <w:pPr>
        <w:jc w:val="both"/>
        <w:rPr>
          <w:color w:val="0070C0"/>
          <w:sz w:val="16"/>
          <w:szCs w:val="16"/>
        </w:rPr>
      </w:pPr>
      <w:r w:rsidRPr="001A0BAA">
        <w:rPr>
          <w:color w:val="0070C0"/>
          <w:sz w:val="16"/>
          <w:szCs w:val="16"/>
        </w:rPr>
        <w:t>на заводе N 485 (г. Киев) - 169 металлорежущих станков, из них смонтировано 162 единицы.</w:t>
      </w:r>
    </w:p>
    <w:p w14:paraId="13CA6FB5" w14:textId="77777777" w:rsidR="003B0B5C" w:rsidRPr="001A0BAA" w:rsidRDefault="003B0B5C" w:rsidP="003B0B5C">
      <w:pPr>
        <w:jc w:val="both"/>
        <w:rPr>
          <w:color w:val="0070C0"/>
          <w:sz w:val="16"/>
          <w:szCs w:val="16"/>
        </w:rPr>
      </w:pPr>
      <w:r w:rsidRPr="001A0BAA">
        <w:rPr>
          <w:color w:val="0070C0"/>
          <w:sz w:val="16"/>
          <w:szCs w:val="16"/>
        </w:rPr>
        <w:t>НА ОПЫТНЫХ БАЗАХ И В НАУЧНО-ИССЛЕДОВАТЕЛЬСКИХ ИНСТИТУТАХ по самолето- и моторостроению - 530 металлорежущих станков и - 541 металлорежущих станков, полученных за счет перераспределения прибывшего трофейного оборудования, в том числе:</w:t>
      </w:r>
    </w:p>
    <w:p w14:paraId="582C3883" w14:textId="77777777" w:rsidR="003B0B5C" w:rsidRPr="001A0BAA" w:rsidRDefault="003B0B5C" w:rsidP="003B0B5C">
      <w:pPr>
        <w:jc w:val="both"/>
        <w:rPr>
          <w:color w:val="0070C0"/>
          <w:sz w:val="16"/>
          <w:szCs w:val="16"/>
        </w:rPr>
      </w:pPr>
      <w:r w:rsidRPr="001A0BAA">
        <w:rPr>
          <w:color w:val="0070C0"/>
          <w:sz w:val="16"/>
          <w:szCs w:val="16"/>
        </w:rPr>
        <w:t>в ЦАГИ (Раменское) - 162 металлорежущих станка;</w:t>
      </w:r>
    </w:p>
    <w:p w14:paraId="3380D78D" w14:textId="77777777" w:rsidR="003B0B5C" w:rsidRPr="001A0BAA" w:rsidRDefault="003B0B5C" w:rsidP="003B0B5C">
      <w:pPr>
        <w:jc w:val="both"/>
        <w:rPr>
          <w:color w:val="0070C0"/>
          <w:sz w:val="16"/>
          <w:szCs w:val="16"/>
        </w:rPr>
      </w:pPr>
      <w:r w:rsidRPr="001A0BAA">
        <w:rPr>
          <w:color w:val="0070C0"/>
          <w:sz w:val="16"/>
          <w:szCs w:val="16"/>
        </w:rPr>
        <w:t>на заводе N 155 (КБ т. Микояна в г. Москва) - 32 металлорежущих станка;</w:t>
      </w:r>
    </w:p>
    <w:p w14:paraId="70DA0D84" w14:textId="77777777" w:rsidR="003B0B5C" w:rsidRPr="001A0BAA" w:rsidRDefault="003B0B5C" w:rsidP="003B0B5C">
      <w:pPr>
        <w:jc w:val="both"/>
        <w:rPr>
          <w:color w:val="0070C0"/>
          <w:sz w:val="16"/>
          <w:szCs w:val="16"/>
        </w:rPr>
      </w:pPr>
      <w:r w:rsidRPr="001A0BAA">
        <w:rPr>
          <w:color w:val="0070C0"/>
          <w:sz w:val="16"/>
          <w:szCs w:val="16"/>
        </w:rPr>
        <w:t>на заводе N 156 (КБ т. Туполева в г. Москва) - 208 металлорежущих станков;</w:t>
      </w:r>
    </w:p>
    <w:p w14:paraId="78458439" w14:textId="77777777" w:rsidR="003B0B5C" w:rsidRPr="001A0BAA" w:rsidRDefault="003B0B5C" w:rsidP="003B0B5C">
      <w:pPr>
        <w:jc w:val="both"/>
        <w:rPr>
          <w:color w:val="0070C0"/>
          <w:sz w:val="16"/>
          <w:szCs w:val="16"/>
        </w:rPr>
      </w:pPr>
      <w:r w:rsidRPr="001A0BAA">
        <w:rPr>
          <w:color w:val="0070C0"/>
          <w:sz w:val="16"/>
          <w:szCs w:val="16"/>
        </w:rPr>
        <w:t>ЦИАМ (г. Москва) - 111 металлорежущих станков;</w:t>
      </w:r>
    </w:p>
    <w:p w14:paraId="1DEE87E7" w14:textId="77777777" w:rsidR="003B0B5C" w:rsidRPr="001A0BAA" w:rsidRDefault="003B0B5C" w:rsidP="003B0B5C">
      <w:pPr>
        <w:jc w:val="both"/>
        <w:rPr>
          <w:color w:val="0070C0"/>
          <w:sz w:val="16"/>
          <w:szCs w:val="16"/>
        </w:rPr>
      </w:pPr>
      <w:r w:rsidRPr="001A0BAA">
        <w:rPr>
          <w:color w:val="0070C0"/>
          <w:sz w:val="16"/>
          <w:szCs w:val="16"/>
        </w:rPr>
        <w:t>ВИАМ (г. Москва) - 39 металлорежущих станков;</w:t>
      </w:r>
    </w:p>
    <w:p w14:paraId="62E072DF" w14:textId="77777777" w:rsidR="003B0B5C" w:rsidRPr="001A0BAA" w:rsidRDefault="003B0B5C" w:rsidP="003B0B5C">
      <w:pPr>
        <w:jc w:val="both"/>
        <w:rPr>
          <w:color w:val="0070C0"/>
          <w:sz w:val="16"/>
          <w:szCs w:val="16"/>
        </w:rPr>
      </w:pPr>
      <w:r w:rsidRPr="001A0BAA">
        <w:rPr>
          <w:color w:val="0070C0"/>
          <w:sz w:val="16"/>
          <w:szCs w:val="16"/>
        </w:rPr>
        <w:t>КБ завода N 478 (г. Запорожье) - 140 металлорежущих станков;</w:t>
      </w:r>
    </w:p>
    <w:p w14:paraId="57A3B990" w14:textId="77777777" w:rsidR="003B0B5C" w:rsidRPr="001A0BAA" w:rsidRDefault="003B0B5C" w:rsidP="003B0B5C">
      <w:pPr>
        <w:jc w:val="both"/>
        <w:rPr>
          <w:color w:val="0070C0"/>
          <w:sz w:val="16"/>
          <w:szCs w:val="16"/>
        </w:rPr>
      </w:pPr>
      <w:r w:rsidRPr="001A0BAA">
        <w:rPr>
          <w:color w:val="0070C0"/>
          <w:sz w:val="16"/>
          <w:szCs w:val="16"/>
        </w:rPr>
        <w:t>КБ завода N 383 (г. Москва) - 20 металлорежущих станков;</w:t>
      </w:r>
    </w:p>
    <w:p w14:paraId="3F12C060" w14:textId="77777777" w:rsidR="003B0B5C" w:rsidRPr="001A0BAA" w:rsidRDefault="003B0B5C" w:rsidP="003B0B5C">
      <w:pPr>
        <w:jc w:val="both"/>
        <w:rPr>
          <w:color w:val="0070C0"/>
          <w:sz w:val="16"/>
          <w:szCs w:val="16"/>
        </w:rPr>
      </w:pPr>
      <w:r w:rsidRPr="001A0BAA">
        <w:rPr>
          <w:color w:val="0070C0"/>
          <w:sz w:val="16"/>
          <w:szCs w:val="16"/>
        </w:rPr>
        <w:t>на заводе N 301 (КБ т. Лавочкина в г. Москва) - 231 металлорежущих станка;</w:t>
      </w:r>
    </w:p>
    <w:p w14:paraId="4D6AEE67" w14:textId="77777777" w:rsidR="003B0B5C" w:rsidRPr="001A0BAA" w:rsidRDefault="003B0B5C" w:rsidP="003B0B5C">
      <w:pPr>
        <w:jc w:val="both"/>
        <w:rPr>
          <w:color w:val="0070C0"/>
          <w:sz w:val="16"/>
          <w:szCs w:val="16"/>
        </w:rPr>
      </w:pPr>
      <w:r w:rsidRPr="001A0BAA">
        <w:rPr>
          <w:color w:val="0070C0"/>
          <w:sz w:val="16"/>
          <w:szCs w:val="16"/>
        </w:rPr>
        <w:t>на заводе N 25 (КБ т. Енгибарьяна в г. Москва) - 103 металлорежущих станка.</w:t>
      </w:r>
    </w:p>
    <w:p w14:paraId="1A48C2DB" w14:textId="77777777" w:rsidR="003B0B5C" w:rsidRPr="001A0BAA" w:rsidRDefault="003B0B5C" w:rsidP="003B0B5C">
      <w:pPr>
        <w:jc w:val="both"/>
        <w:rPr>
          <w:color w:val="0070C0"/>
          <w:sz w:val="16"/>
          <w:szCs w:val="16"/>
        </w:rPr>
      </w:pPr>
      <w:r w:rsidRPr="001A0BAA">
        <w:rPr>
          <w:color w:val="0070C0"/>
          <w:sz w:val="16"/>
          <w:szCs w:val="16"/>
        </w:rPr>
        <w:t>НА ВИНТОВОМ ЗАВОДЕ N 383 (г. Москва) - 193 металлорежущих станка, из них смонтировано 69 единиц.</w:t>
      </w:r>
    </w:p>
    <w:p w14:paraId="74681270" w14:textId="77777777" w:rsidR="003B0B5C" w:rsidRPr="001A0BAA" w:rsidRDefault="003B0B5C" w:rsidP="003B0B5C">
      <w:pPr>
        <w:jc w:val="both"/>
        <w:rPr>
          <w:color w:val="0070C0"/>
          <w:sz w:val="16"/>
          <w:szCs w:val="16"/>
        </w:rPr>
      </w:pPr>
      <w:r w:rsidRPr="001A0BAA">
        <w:rPr>
          <w:color w:val="0070C0"/>
          <w:sz w:val="16"/>
          <w:szCs w:val="16"/>
        </w:rPr>
        <w:t>В УЧЕБНЫХ МАСТЕРСКИХ Московского Авиационного Института - 145 металлорежущих станков, из них смонтировано 98 единиц.</w:t>
      </w:r>
    </w:p>
    <w:p w14:paraId="57984C72" w14:textId="77777777" w:rsidR="003B0B5C" w:rsidRPr="001A0BAA" w:rsidRDefault="003B0B5C" w:rsidP="003B0B5C">
      <w:pPr>
        <w:jc w:val="both"/>
        <w:rPr>
          <w:color w:val="0070C0"/>
          <w:sz w:val="16"/>
          <w:szCs w:val="16"/>
        </w:rPr>
      </w:pPr>
    </w:p>
    <w:p w14:paraId="7E8BE6D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82396A7" w14:textId="77777777" w:rsidR="00665165" w:rsidRPr="00925F26" w:rsidRDefault="00665165" w:rsidP="00925F26">
      <w:pPr>
        <w:autoSpaceDE w:val="0"/>
        <w:autoSpaceDN w:val="0"/>
        <w:adjustRightInd w:val="0"/>
        <w:jc w:val="both"/>
        <w:rPr>
          <w:iCs/>
          <w:color w:val="000000" w:themeColor="text1"/>
          <w:sz w:val="16"/>
          <w:szCs w:val="16"/>
        </w:rPr>
      </w:pPr>
    </w:p>
    <w:p w14:paraId="685768B2" w14:textId="77777777" w:rsidR="00FD716B" w:rsidRPr="00925F26" w:rsidRDefault="00FD716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7 марта 1945 года был подписан приказ по НКТП №107с, согласно которому проект утвердили, присвоив ему обозначение «Уралмаш-1». Согласно приказу, к 1 мая предполагалось получить первый образец, вооружённый 100-мм орудием Д-10С, он получал индекс СУ-101. К 15 мая изготовлялся второй образец, имевший индекс СУ-102, он получал 122-мм орудие Д-25с. Также изготовлялся корпус «Уралмаш-1», предназначавшийся для обстрела. В проект вносились последние изменения перед изготовлением. Перерабатывалась система охлаждения и вентиляция боевого отделения, изолировалось моторно-трансмиссионное отделение, боекомплект возрастал до 40 выстрелов, усиливалась подвеска и повышалась броневая защита орудия, а также нижнего лобового листа.</w:t>
      </w:r>
    </w:p>
    <w:p w14:paraId="7C58614F" w14:textId="77777777" w:rsidR="00FD716B" w:rsidRPr="00925F26" w:rsidRDefault="00FD716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Согласно плану УСА ГБТУ КА на второй квартал 1945 года, проектирование и изготовление двух опытных образцов «Уралмаш-1» обходилось в 1 500 000 рублей (по 750 000 на каждый образец). Впрочем, работы по реализации проекта начались уже в марте. За этот месяц корпусной цех УЗТМ успел заложить и изготовить три корпуса, как и указывалось в приказе по НКТП №107с. Таким образом, уже в марте проектная документация по «Уралмаш-1», по крайней мере, касающаяся корпуса, уже была готова (19525).</w:t>
      </w:r>
    </w:p>
    <w:p w14:paraId="6599FC13" w14:textId="77777777" w:rsidR="00FD716B" w:rsidRPr="00925F26" w:rsidRDefault="00FD716B" w:rsidP="00925F26">
      <w:pPr>
        <w:pStyle w:val="ae"/>
        <w:shd w:val="clear" w:color="auto" w:fill="FFFFFF"/>
        <w:spacing w:before="0" w:after="0"/>
        <w:jc w:val="both"/>
        <w:textAlignment w:val="baseline"/>
        <w:rPr>
          <w:color w:val="000000" w:themeColor="text1"/>
          <w:sz w:val="16"/>
          <w:szCs w:val="16"/>
        </w:rPr>
      </w:pPr>
    </w:p>
    <w:p w14:paraId="3D1352FC" w14:textId="77777777" w:rsidR="00C177E1" w:rsidRPr="00925F26" w:rsidRDefault="00C177E1" w:rsidP="00925F26">
      <w:pPr>
        <w:jc w:val="both"/>
        <w:rPr>
          <w:color w:val="000000" w:themeColor="text1"/>
          <w:sz w:val="16"/>
          <w:szCs w:val="16"/>
        </w:rPr>
      </w:pPr>
      <w:r w:rsidRPr="00925F26">
        <w:rPr>
          <w:color w:val="000000" w:themeColor="text1"/>
          <w:sz w:val="16"/>
          <w:szCs w:val="16"/>
        </w:rPr>
        <w:t>7 марта 1945 года работа по СУ-100М2 вошла в практическую стадию. Переработанная версия проекта была утверждена под обозначением СУ-101, тогда же она получила индекс "Уралмаш-1". Помимо опытного образца САУ, к 1 мая 1945 года изготовлялся корпус, предназначавшийся для испытаний обстрелом. Также появилась и вторая опытная машина, которая сдавалась к 15 мая. Обозначалась она как СУ-102, она же "Уралмаш-2". Согласно исходному заданию, главным отличием СУ-102 становилась 122-мм пушка Д-25с. Ее появление было связано с тем, что Д-10с поражала лоб "Пантеры" с дистанции 1300-1400 метров. Д-25 делала это с вдвое большей дистанции (23527).</w:t>
      </w:r>
    </w:p>
    <w:p w14:paraId="29636165" w14:textId="77777777" w:rsidR="00C177E1" w:rsidRPr="00925F26" w:rsidRDefault="00C177E1" w:rsidP="00925F26">
      <w:pPr>
        <w:jc w:val="both"/>
        <w:rPr>
          <w:color w:val="000000" w:themeColor="text1"/>
          <w:sz w:val="16"/>
          <w:szCs w:val="16"/>
        </w:rPr>
      </w:pPr>
    </w:p>
    <w:p w14:paraId="4687A592" w14:textId="77777777" w:rsidR="002F0C29" w:rsidRPr="001A0BAA" w:rsidRDefault="002F0C29" w:rsidP="002F0C29">
      <w:pPr>
        <w:jc w:val="both"/>
        <w:rPr>
          <w:color w:val="0070C0"/>
          <w:sz w:val="16"/>
          <w:szCs w:val="16"/>
        </w:rPr>
      </w:pPr>
      <w:r w:rsidRPr="001A0BAA">
        <w:rPr>
          <w:color w:val="0070C0"/>
          <w:sz w:val="16"/>
          <w:szCs w:val="16"/>
        </w:rPr>
        <w:t>7 марта 1945 года по результатам обсуждения проекта Нарком танковой промышленности издал приказ №107, в соот</w:t>
      </w:r>
      <w:r w:rsidRPr="001A0BAA">
        <w:rPr>
          <w:color w:val="0070C0"/>
          <w:sz w:val="16"/>
          <w:szCs w:val="16"/>
        </w:rPr>
        <w:softHyphen/>
        <w:t>ветствии с которым для доработки был оставлен только проект САУ с задним рас</w:t>
      </w:r>
      <w:r w:rsidRPr="001A0BAA">
        <w:rPr>
          <w:color w:val="0070C0"/>
          <w:sz w:val="16"/>
          <w:szCs w:val="16"/>
        </w:rPr>
        <w:softHyphen/>
        <w:t>положением боевого отделения и назна</w:t>
      </w:r>
      <w:r w:rsidRPr="001A0BAA">
        <w:rPr>
          <w:color w:val="0070C0"/>
          <w:sz w:val="16"/>
          <w:szCs w:val="16"/>
        </w:rPr>
        <w:softHyphen/>
        <w:t>чен срок изготовления опытного образца — 1 мая 1945 года.</w:t>
      </w:r>
    </w:p>
    <w:p w14:paraId="5CE7AF06" w14:textId="77777777" w:rsidR="002F0C29" w:rsidRPr="001A0BAA" w:rsidRDefault="002F0C29" w:rsidP="002F0C29">
      <w:pPr>
        <w:jc w:val="both"/>
        <w:rPr>
          <w:color w:val="0070C0"/>
          <w:sz w:val="16"/>
          <w:szCs w:val="16"/>
        </w:rPr>
      </w:pPr>
      <w:r w:rsidRPr="001A0BAA">
        <w:rPr>
          <w:color w:val="0070C0"/>
          <w:sz w:val="16"/>
          <w:szCs w:val="16"/>
        </w:rPr>
        <w:t>Учитывая исключительно большую инициативу, проявленную Урал</w:t>
      </w:r>
      <w:r w:rsidRPr="001A0BAA">
        <w:rPr>
          <w:color w:val="0070C0"/>
          <w:sz w:val="16"/>
          <w:szCs w:val="16"/>
        </w:rPr>
        <w:softHyphen/>
        <w:t>машзаводом в деле создания новой боевой машины, САУ получила наименование «Уралмаш-1».</w:t>
      </w:r>
    </w:p>
    <w:p w14:paraId="3F3262FB" w14:textId="77777777" w:rsidR="002F0C29" w:rsidRPr="001A0BAA" w:rsidRDefault="002F0C29" w:rsidP="002F0C29">
      <w:pPr>
        <w:jc w:val="both"/>
        <w:rPr>
          <w:color w:val="0070C0"/>
          <w:sz w:val="16"/>
          <w:szCs w:val="16"/>
        </w:rPr>
      </w:pPr>
      <w:r w:rsidRPr="001A0BAA">
        <w:rPr>
          <w:color w:val="0070C0"/>
          <w:sz w:val="16"/>
          <w:szCs w:val="16"/>
        </w:rPr>
        <w:t>В разработке проектной документации САУ принимали участие конструктора А.М.Лехтцинд, И.И.Эммануилов, А.Г.</w:t>
      </w:r>
      <w:proofErr w:type="gramStart"/>
      <w:r w:rsidRPr="001A0BAA">
        <w:rPr>
          <w:color w:val="0070C0"/>
          <w:sz w:val="16"/>
          <w:szCs w:val="16"/>
        </w:rPr>
        <w:t>Гай- воронский</w:t>
      </w:r>
      <w:proofErr w:type="gramEnd"/>
      <w:r w:rsidRPr="001A0BAA">
        <w:rPr>
          <w:color w:val="0070C0"/>
          <w:sz w:val="16"/>
          <w:szCs w:val="16"/>
        </w:rPr>
        <w:t>, Г.Ф.Ксюнин, И.Ф.Вахрушев, Л.А.Пинус, Е.А.Карлинский, Е.И.Линь- кова, Д.А.Гериев, В. Л. Лихоманов, Н.Н.Ефимов, А.Д.Нехлюдов и другие, под общим непосредственным руковод</w:t>
      </w:r>
      <w:r w:rsidRPr="001A0BAA">
        <w:rPr>
          <w:color w:val="0070C0"/>
          <w:sz w:val="16"/>
          <w:szCs w:val="16"/>
        </w:rPr>
        <w:softHyphen/>
        <w:t>ством главного конструктора Л.И.Горлицкого (25002).</w:t>
      </w:r>
    </w:p>
    <w:p w14:paraId="0B0BFCF2" w14:textId="77777777" w:rsidR="002F0C29" w:rsidRPr="001A0BAA" w:rsidRDefault="002F0C29" w:rsidP="002F0C29">
      <w:pPr>
        <w:jc w:val="both"/>
        <w:rPr>
          <w:color w:val="0070C0"/>
          <w:sz w:val="16"/>
          <w:szCs w:val="16"/>
        </w:rPr>
      </w:pPr>
    </w:p>
    <w:p w14:paraId="5F683F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года И.В. Курчатов составил заключение по новым поступившим разведывательным данным. В заключении И.В. Курчатов оценивает информацию по использованию "метода взрыва во внутрь" (то есть имплозии) для создания атомной бомбы. Он отмечает, что сейчас трудно дать окончательную оценку заключения анализируемых материалов (и то, "что этот метод следует предпочесть методу сближения"), но несомненно, что метод "взрыва во внутрь" представляет большой интерес, принципиально правилен и должен быть подвергнут серьезному теоретическому и опытному анализу. И.В. Курчатов отмечает, что в материале содержатся интересные замечания о веществе изоляции для атомной бомбы (речь идет об отражателе нейтронов вокруг делящегося материала). Они соответствуют тем взглядам, которые были развиты и у нас в последнее время. В наших конструкциях также намечено использовать бериллий для изоляции, правда, в виде металла, а не его окиси, как в рассматриваемых материалах (10549).</w:t>
      </w:r>
    </w:p>
    <w:p w14:paraId="3D640EE3" w14:textId="77777777" w:rsidR="00665165" w:rsidRPr="00925F26" w:rsidRDefault="00665165" w:rsidP="00925F26">
      <w:pPr>
        <w:autoSpaceDE w:val="0"/>
        <w:autoSpaceDN w:val="0"/>
        <w:adjustRightInd w:val="0"/>
        <w:jc w:val="both"/>
        <w:rPr>
          <w:color w:val="000000" w:themeColor="text1"/>
          <w:sz w:val="16"/>
          <w:szCs w:val="16"/>
        </w:rPr>
      </w:pPr>
    </w:p>
    <w:p w14:paraId="429BE0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вышло Распоряжение ГКО № 7724. О передаче трофейного угля СНК Литовской ССР и НКВМФ. РГАНИР, Фонд ГКО, д. 378, лл. (11012).</w:t>
      </w:r>
    </w:p>
    <w:p w14:paraId="71014826" w14:textId="77777777" w:rsidR="00665165" w:rsidRPr="00925F26" w:rsidRDefault="00665165" w:rsidP="00925F26">
      <w:pPr>
        <w:autoSpaceDE w:val="0"/>
        <w:autoSpaceDN w:val="0"/>
        <w:adjustRightInd w:val="0"/>
        <w:jc w:val="both"/>
        <w:rPr>
          <w:color w:val="000000" w:themeColor="text1"/>
          <w:sz w:val="16"/>
          <w:szCs w:val="16"/>
        </w:rPr>
      </w:pPr>
    </w:p>
    <w:p w14:paraId="5939C0F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7AD3BAC" w14:textId="77777777" w:rsidR="00665165" w:rsidRPr="00925F26" w:rsidRDefault="00665165" w:rsidP="00925F26">
      <w:pPr>
        <w:autoSpaceDE w:val="0"/>
        <w:autoSpaceDN w:val="0"/>
        <w:adjustRightInd w:val="0"/>
        <w:jc w:val="both"/>
        <w:rPr>
          <w:iCs/>
          <w:color w:val="000000" w:themeColor="text1"/>
          <w:sz w:val="16"/>
          <w:szCs w:val="16"/>
        </w:rPr>
      </w:pPr>
    </w:p>
    <w:p w14:paraId="6BD6EAD5" w14:textId="77777777" w:rsidR="00001948" w:rsidRPr="00925F26" w:rsidRDefault="00001948" w:rsidP="00925F26">
      <w:pPr>
        <w:jc w:val="both"/>
        <w:rPr>
          <w:color w:val="000000" w:themeColor="text1"/>
          <w:sz w:val="16"/>
          <w:szCs w:val="16"/>
        </w:rPr>
      </w:pPr>
      <w:r w:rsidRPr="00925F26">
        <w:rPr>
          <w:bCs/>
          <w:color w:val="000000" w:themeColor="text1"/>
          <w:sz w:val="16"/>
          <w:szCs w:val="16"/>
        </w:rPr>
        <w:t>7 марта</w:t>
      </w:r>
      <w:r w:rsidRPr="00925F26">
        <w:rPr>
          <w:color w:val="000000" w:themeColor="text1"/>
          <w:sz w:val="16"/>
          <w:szCs w:val="16"/>
        </w:rPr>
        <w:t xml:space="preserve"> в 1945 году оперативная сводка Совинформбюро:</w:t>
      </w:r>
    </w:p>
    <w:p w14:paraId="2EFBD3CF"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2-го Белорусского фронта 7 марта с боем овладели городами Гнев (Меве), Старогард (Прейсиш Старгард) — важными опорными пунктами обороны немцев на подступах к Данцигу, а также с боями заняли более 200 других населённых пунктов, среди которых крупные населённые пункты Заабен, Пиншин, Гох Штюбляу, Кошмин, Логуткен, Линево, Ольпух, Дзимянен, Зоммин, Реков, Луббен, Треблин, Бартин, Цоллбрюк, Альт-Беверсдорф, Альт-Шлавин, Дамсхаген, Нойвассер.</w:t>
      </w:r>
    </w:p>
    <w:p w14:paraId="0DF96B5E"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1-го Белорусского фронта, продолжая наступление, 7 марта штурмом овладели городами Голлнов, Штепенитц и Массов — важными опорными пунктами обороны немцев на подступах к Штеттину, а также с боями заняли более 50 других населённых пунктов и среди них Вальддивенов, Фритцов, Яссов, Лаатциг, Загер, Паульсдорф, Шюцендорф, Амалиенхоф.</w:t>
      </w:r>
    </w:p>
    <w:p w14:paraId="3498AD58"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фронта завершили ликвидацию окружённой группировки противника южнее города Шифельбайн. По предварительным данным, в этом районе взято в плен более 8.000 немецких солдат и офицеров и захвачено большое количество вооружения и военного имущества. В числе пленных командир 10-го немецкого армейского корпуса генерал-лейтенант Краппе вместе со своим штабом.</w:t>
      </w:r>
    </w:p>
    <w:p w14:paraId="603EEBA6"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2-го Украинского фронта, преодолевая сопротивление противника в трудных условиях горно-лесистой местности в полосе Карпат, 7 марта овладели на территории Чехословакии городом Банска Штявница — сильным опорным пунктом обороны немцев, а также с боями заняли населённые пункты Саса, Бабина, Колпахи, Годруша, Гвоздница.</w:t>
      </w:r>
    </w:p>
    <w:p w14:paraId="68E3219C" w14:textId="77777777" w:rsidR="00001948" w:rsidRPr="00925F26" w:rsidRDefault="00001948" w:rsidP="00925F26">
      <w:pPr>
        <w:jc w:val="both"/>
        <w:rPr>
          <w:color w:val="000000" w:themeColor="text1"/>
          <w:sz w:val="16"/>
          <w:szCs w:val="16"/>
        </w:rPr>
      </w:pPr>
      <w:r w:rsidRPr="00925F26">
        <w:rPr>
          <w:color w:val="000000" w:themeColor="text1"/>
          <w:sz w:val="16"/>
          <w:szCs w:val="16"/>
        </w:rPr>
        <w:t>В Венгрии, северо-восточнее и южнее озера Балатон, атаки крупных сил пехоты и танков противника отбивались нашими войсками.</w:t>
      </w:r>
    </w:p>
    <w:p w14:paraId="6C8D437F" w14:textId="77777777" w:rsidR="00001948" w:rsidRPr="00925F26" w:rsidRDefault="00001948" w:rsidP="00925F26">
      <w:pPr>
        <w:jc w:val="both"/>
        <w:rPr>
          <w:color w:val="000000" w:themeColor="text1"/>
          <w:sz w:val="16"/>
          <w:szCs w:val="16"/>
        </w:rPr>
      </w:pPr>
      <w:r w:rsidRPr="00925F26">
        <w:rPr>
          <w:color w:val="000000" w:themeColor="text1"/>
          <w:sz w:val="16"/>
          <w:szCs w:val="16"/>
        </w:rPr>
        <w:t>На других участках фронта поиски разведчиков и в ряде пунктов бои местного значения.</w:t>
      </w:r>
    </w:p>
    <w:p w14:paraId="02635993" w14:textId="77777777" w:rsidR="00001948" w:rsidRPr="00925F26" w:rsidRDefault="00001948" w:rsidP="00925F26">
      <w:pPr>
        <w:jc w:val="both"/>
        <w:rPr>
          <w:color w:val="000000" w:themeColor="text1"/>
          <w:sz w:val="16"/>
          <w:szCs w:val="16"/>
        </w:rPr>
      </w:pPr>
      <w:r w:rsidRPr="00925F26">
        <w:rPr>
          <w:color w:val="000000" w:themeColor="text1"/>
          <w:sz w:val="16"/>
          <w:szCs w:val="16"/>
        </w:rPr>
        <w:t>За 6 марта на всех фронтах подбито и уничтожено 149 немецких танков. В воздушных боях и огнём зенитной артиллерии сбито 29 самолётов противника.</w:t>
      </w:r>
    </w:p>
    <w:p w14:paraId="38700863"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2-го Белорусского фронта продолжали наступление. Советские части под огнём противника переправились через разлившуюся реку Ферзе и после ожесточённых боёв овладели городом Гнев (Меве) — важным опорным пунктом обороны немцев в нижнем течении реки Вислы. Другие наши части, продвинувшись вперёд на 10 километров, выбили немцев из города Старогард (Прейсиш Старгард) — опорного пункта вражеской обороны на подступах к Данцигу. Старогард является важным узлом путей сообщений. К нему сходятся четыре железные дороги. Советские пехотинцы и танкисты, с боями продвигаясь вперед, северо-западнее Старогарда заняли крупный населённый пункт Линево, находящийся в 40 километрах от Данцига. Отступая под ударами наших войск, противник несёт тяжёлые потери. В течение дня войсками фронта захвачены трофеи, в числе которых 44 орудия, 80 миномётов, 14 железнодорожных эшелонов и 500 автомашин.</w:t>
      </w:r>
    </w:p>
    <w:p w14:paraId="3CFE8958"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1-го Белорусского фронта развивали успешное наступление. Советские части, занявшие вчера город Каммин, сегодня нанесли удар в северном направлении и заняли населённый пункт Вальддивенов на побережье Балтийского моря. Другие наши части на широком фронте вышли на восточный берег пролива Дивенов и Штеттинской гавани. Советские танки и пехота, продвинувшись вперёд на 15 километров, вышли к городу Голлнов — важному опорному пункту немцев, прикрывавшему подступы к городу Штеттин. Противник, стремясь удержать плацдарм на восточном берегу Одера, упорно сопротивлялся. На окраинах города немцы зарыли в землю танки и использовали их как огневые точки. Наши войска пошли на штурм, сломили вражеское сопротивление и овладели городом Голлнов. Советскими частями заняты города Массов и Штепенитц.</w:t>
      </w:r>
    </w:p>
    <w:p w14:paraId="0BE7DB79" w14:textId="77777777" w:rsidR="00001948" w:rsidRPr="00925F26" w:rsidRDefault="00001948" w:rsidP="00925F26">
      <w:pPr>
        <w:jc w:val="both"/>
        <w:rPr>
          <w:color w:val="000000" w:themeColor="text1"/>
          <w:sz w:val="16"/>
          <w:szCs w:val="16"/>
        </w:rPr>
      </w:pPr>
      <w:r w:rsidRPr="00925F26">
        <w:rPr>
          <w:color w:val="000000" w:themeColor="text1"/>
          <w:sz w:val="16"/>
          <w:szCs w:val="16"/>
        </w:rPr>
        <w:t>Нашими войсками ликвидирована группировка противника, окружённая южнее города Шифельбайн. Немецкие части, попавшие в «котёл», предпринимали отчаянные попытки прорвать кольцо советских войск. Особенно ожесточённые бои произошли в районе дорог, ведущих на запад. Стремительными ударами со всех сторон наши пехотинцы, танкисты и кавалеристы расчленили немецкие войска на изолированные друг от друга группы. Части Польского войска за день истребили свыше 1.500 гитлеровцев. Наши кавалеристы уничтожили 1.200 немецких солдат и офицеров. Советские танкисты в боях за ликвидацию окружённой группировки противника истребили до 4 тысяч гитлеровцев. Район боёв усеян разбитой техникой, вооружением и трупами солдат и офицеров противника. Наши войска взяли богатые трофеи. Только на одном участке бойцами Н-ского соединения захвачено у немцев 28 танков и самоходных орудий, 167 полевых орудий, 54 миномёта, около 700 грузовых и легковых автомашин, 800 повозок и 2 тысячи лошадей.</w:t>
      </w:r>
    </w:p>
    <w:p w14:paraId="58DB7704"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2-го Украинского фронта, с боями продвигаясь вперёд, вышли на подступы к городу Банска Штявница. Стремясь восстановить положение, немецкая пехота, усиленная самоходными орудиями, предприняла контратаку. В результате упорного боя советские части опрокинули гитлеровцев и на плечах отступающего противника ворвались в город с юга и юго-востока. Всю ночь шли уличные бои. Сегодня наши войска разгромили вражеский гарнизон и овладели городом Банска Штявница — узлом шоссейных дорог и сильным опорным пунктом обороны немцев в полосе Карпат.</w:t>
      </w:r>
    </w:p>
    <w:p w14:paraId="7671A7EC" w14:textId="77777777" w:rsidR="00001948" w:rsidRPr="00925F26" w:rsidRDefault="00001948" w:rsidP="00925F26">
      <w:pPr>
        <w:jc w:val="both"/>
        <w:rPr>
          <w:color w:val="000000" w:themeColor="text1"/>
          <w:sz w:val="16"/>
          <w:szCs w:val="16"/>
        </w:rPr>
      </w:pPr>
      <w:r w:rsidRPr="00925F26">
        <w:rPr>
          <w:color w:val="000000" w:themeColor="text1"/>
          <w:sz w:val="16"/>
          <w:szCs w:val="16"/>
        </w:rPr>
        <w:t>В Венгрии, северо-восточнее и южнее озера Балатон, противник рано утром, после сильной артиллерийской подготовки, атаковал наши позиции. На одном участке немцы бросили в бой крупные силы пехоты, а также танки и бронетранспортёры с автоматчиками. Бой с самого начала принял напряжённый характер. Советские пехотинцы и артиллеристы, отбивая вражеские атаки, нанесли немцам большие потери. В течение дня уничтожено свыше тысячи гитлеровцев, сожжено и подбито 52 танка и самоходных орудия противника.</w:t>
      </w:r>
    </w:p>
    <w:p w14:paraId="0143EFEA" w14:textId="77777777" w:rsidR="00001948" w:rsidRPr="00925F26" w:rsidRDefault="00001948"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в результате бомбово-штурмового удара, потопила три немецких транспорта. Кроме того, одному транспорту и эсминцу противника нанесены серьёзные повреждения. Огнём береговых артиллерийских батарей потоплен немецкий катер.» (15061).</w:t>
      </w:r>
    </w:p>
    <w:p w14:paraId="26579C22" w14:textId="77777777" w:rsidR="00001948" w:rsidRPr="00925F26" w:rsidRDefault="00001948" w:rsidP="00925F26">
      <w:pPr>
        <w:jc w:val="both"/>
        <w:rPr>
          <w:color w:val="000000" w:themeColor="text1"/>
          <w:sz w:val="16"/>
          <w:szCs w:val="16"/>
        </w:rPr>
      </w:pPr>
    </w:p>
    <w:p w14:paraId="0A0D79B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марта 1945 на озере Балатон немецкие войска начали наступательную операцию (4962).</w:t>
      </w:r>
    </w:p>
    <w:p w14:paraId="4202B9F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DA4B9B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марта 1945 советские войска маршала Жукова осадили Щецин (4962).</w:t>
      </w:r>
    </w:p>
    <w:p w14:paraId="337685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FF1E5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A3BCADF" w14:textId="77777777" w:rsidR="00665165" w:rsidRPr="00925F26" w:rsidRDefault="00665165" w:rsidP="00925F26">
      <w:pPr>
        <w:autoSpaceDE w:val="0"/>
        <w:autoSpaceDN w:val="0"/>
        <w:adjustRightInd w:val="0"/>
        <w:jc w:val="both"/>
        <w:rPr>
          <w:iCs/>
          <w:color w:val="000000" w:themeColor="text1"/>
          <w:sz w:val="16"/>
          <w:szCs w:val="16"/>
        </w:rPr>
      </w:pPr>
    </w:p>
    <w:p w14:paraId="52E289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вышло Постановление ГКО № 7725 По вопросам Венгрии (о проведении в Венгрии земельной реформы, предоставлении заема, о помощи продовольствием и др. вопросы). РГАНИР, Фонд ГКО, д. 378, лл. 2-4 (11012).</w:t>
      </w:r>
    </w:p>
    <w:p w14:paraId="57C6BD4E" w14:textId="77777777" w:rsidR="00665165" w:rsidRPr="00925F26" w:rsidRDefault="00665165" w:rsidP="00925F26">
      <w:pPr>
        <w:autoSpaceDE w:val="0"/>
        <w:autoSpaceDN w:val="0"/>
        <w:adjustRightInd w:val="0"/>
        <w:jc w:val="both"/>
        <w:rPr>
          <w:color w:val="000000" w:themeColor="text1"/>
          <w:sz w:val="16"/>
          <w:szCs w:val="16"/>
        </w:rPr>
      </w:pPr>
    </w:p>
    <w:p w14:paraId="7E592EA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E609EC8" w14:textId="77777777" w:rsidR="00665165" w:rsidRPr="00925F26" w:rsidRDefault="00665165" w:rsidP="00925F26">
      <w:pPr>
        <w:autoSpaceDE w:val="0"/>
        <w:autoSpaceDN w:val="0"/>
        <w:adjustRightInd w:val="0"/>
        <w:jc w:val="both"/>
        <w:rPr>
          <w:iCs/>
          <w:color w:val="000000" w:themeColor="text1"/>
          <w:sz w:val="16"/>
          <w:szCs w:val="16"/>
        </w:rPr>
      </w:pPr>
    </w:p>
    <w:p w14:paraId="1BB822EB" w14:textId="77777777" w:rsidR="00001948" w:rsidRPr="00925F26" w:rsidRDefault="00001948" w:rsidP="00925F26">
      <w:pPr>
        <w:autoSpaceDE w:val="0"/>
        <w:autoSpaceDN w:val="0"/>
        <w:adjustRightInd w:val="0"/>
        <w:jc w:val="both"/>
        <w:rPr>
          <w:color w:val="000000" w:themeColor="text1"/>
          <w:sz w:val="16"/>
          <w:szCs w:val="16"/>
        </w:rPr>
      </w:pPr>
      <w:r w:rsidRPr="00925F26">
        <w:rPr>
          <w:color w:val="000000" w:themeColor="text1"/>
          <w:sz w:val="16"/>
          <w:szCs w:val="16"/>
        </w:rPr>
        <w:t>7 марта 1945 первый полет выполнил транспортный вертолет XHRP-X с тандемным расположением винтов (1090).</w:t>
      </w:r>
    </w:p>
    <w:p w14:paraId="0220570F" w14:textId="77777777" w:rsidR="00001948" w:rsidRPr="00925F26" w:rsidRDefault="00001948" w:rsidP="00925F26">
      <w:pPr>
        <w:autoSpaceDE w:val="0"/>
        <w:autoSpaceDN w:val="0"/>
        <w:adjustRightInd w:val="0"/>
        <w:jc w:val="both"/>
        <w:rPr>
          <w:color w:val="000000" w:themeColor="text1"/>
          <w:sz w:val="16"/>
          <w:szCs w:val="16"/>
        </w:rPr>
      </w:pPr>
    </w:p>
    <w:p w14:paraId="2DB88B14" w14:textId="77777777" w:rsidR="00001948" w:rsidRPr="00925F26" w:rsidRDefault="00001948" w:rsidP="00925F26">
      <w:pPr>
        <w:jc w:val="both"/>
        <w:rPr>
          <w:color w:val="000000" w:themeColor="text1"/>
          <w:sz w:val="16"/>
          <w:szCs w:val="16"/>
        </w:rPr>
      </w:pPr>
      <w:r w:rsidRPr="00925F26">
        <w:rPr>
          <w:bCs/>
          <w:color w:val="000000" w:themeColor="text1"/>
          <w:sz w:val="16"/>
          <w:szCs w:val="16"/>
        </w:rPr>
        <w:t>7 марта</w:t>
      </w:r>
      <w:r w:rsidRPr="00925F26">
        <w:rPr>
          <w:color w:val="000000" w:themeColor="text1"/>
          <w:sz w:val="16"/>
          <w:szCs w:val="16"/>
        </w:rPr>
        <w:t xml:space="preserve"> в 1945 году первый полёт поисково-спасательного вертолёта «PV-3» конструктора Фрэнка Пясецкого (другое наименование «XHRP-X» "Dogship") (разработчик: «Piasecki», США). В историю мирового вертолетостроения этот аппарат вошел как первый серийный двухвинтовой вертолет продольной схемы. Оснащенный двигателем «Pratt&amp;Whitney» «R-1340» «Wasp» мощностью 600 л.с, вертолет развивал скорость до 193 км/ч. PV-3 был предназначен для транспортировки шести носилок с ранеными или груза. Вертолеты этого типа поступали в экспериментальные эскадрильи «VX-3» и «HMX-1» ВМС США и морской пехоты. Всего было построено три прототипа (два летных и один для статических испытаний) «XHRP-1» и 20 серийных машин. В вооруженных силах вертолет получил наименование </w:t>
      </w:r>
      <w:hyperlink r:id="rId64" w:tgtFrame="_blank" w:history="1">
        <w:r w:rsidRPr="00925F26">
          <w:rPr>
            <w:color w:val="000000" w:themeColor="text1"/>
            <w:sz w:val="16"/>
            <w:szCs w:val="16"/>
          </w:rPr>
          <w:t xml:space="preserve">«HRP-1» «Rescuer» </w:t>
        </w:r>
      </w:hyperlink>
      <w:r w:rsidRPr="00925F26">
        <w:rPr>
          <w:color w:val="000000" w:themeColor="text1"/>
          <w:sz w:val="16"/>
          <w:szCs w:val="16"/>
        </w:rPr>
        <w:t>(спасатель) (15061).</w:t>
      </w:r>
    </w:p>
    <w:p w14:paraId="1BBC53B0" w14:textId="77777777" w:rsidR="00001948" w:rsidRPr="00925F26" w:rsidRDefault="00001948" w:rsidP="00925F26">
      <w:pPr>
        <w:jc w:val="both"/>
        <w:rPr>
          <w:color w:val="000000" w:themeColor="text1"/>
          <w:sz w:val="16"/>
          <w:szCs w:val="16"/>
        </w:rPr>
      </w:pPr>
    </w:p>
    <w:p w14:paraId="28B26F00" w14:textId="77777777" w:rsidR="005A6AF3" w:rsidRPr="00925F26" w:rsidRDefault="005A6AF3" w:rsidP="00925F26">
      <w:pPr>
        <w:jc w:val="both"/>
        <w:rPr>
          <w:color w:val="000000" w:themeColor="text1"/>
          <w:sz w:val="16"/>
          <w:szCs w:val="16"/>
        </w:rPr>
      </w:pPr>
      <w:r w:rsidRPr="00925F26">
        <w:rPr>
          <w:color w:val="000000" w:themeColor="text1"/>
          <w:sz w:val="16"/>
          <w:szCs w:val="16"/>
        </w:rPr>
        <w:t>7 марта 1945 первый полет вертолета Спасатель Пясецкого HRP (20371).</w:t>
      </w:r>
    </w:p>
    <w:p w14:paraId="60592040" w14:textId="77777777" w:rsidR="005A6AF3" w:rsidRPr="00925F26" w:rsidRDefault="005A6AF3" w:rsidP="00925F26">
      <w:pPr>
        <w:jc w:val="both"/>
        <w:rPr>
          <w:color w:val="000000" w:themeColor="text1"/>
          <w:sz w:val="16"/>
          <w:szCs w:val="16"/>
        </w:rPr>
      </w:pPr>
    </w:p>
    <w:p w14:paraId="56371B81" w14:textId="05F3542F" w:rsidR="005A6AF3" w:rsidRPr="00925F26" w:rsidRDefault="005A6AF3" w:rsidP="00925F26">
      <w:pPr>
        <w:jc w:val="both"/>
        <w:rPr>
          <w:color w:val="000000" w:themeColor="text1"/>
          <w:sz w:val="16"/>
          <w:szCs w:val="16"/>
        </w:rPr>
      </w:pPr>
      <w:r w:rsidRPr="00925F26">
        <w:rPr>
          <w:color w:val="000000" w:themeColor="text1"/>
          <w:sz w:val="16"/>
          <w:szCs w:val="16"/>
        </w:rPr>
        <w:t xml:space="preserve">7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полёт поисково-спасательного вертолёта PV-3 (другое наименование XHRP-X "Dogship") (разработчик: Piasecki, США</w:t>
      </w:r>
      <w:proofErr w:type="gramStart"/>
      <w:r w:rsidRPr="00925F26">
        <w:rPr>
          <w:color w:val="000000" w:themeColor="text1"/>
          <w:sz w:val="16"/>
          <w:szCs w:val="16"/>
        </w:rPr>
        <w:t>).hrp</w:t>
      </w:r>
      <w:proofErr w:type="gramEnd"/>
      <w:r w:rsidRPr="00925F26">
        <w:rPr>
          <w:color w:val="000000" w:themeColor="text1"/>
          <w:sz w:val="16"/>
          <w:szCs w:val="16"/>
        </w:rPr>
        <w:t>1-1.jpgВсего было построено три прототипа (два летных и один для статических испытаний) XHRP-1 и 20 серийных машин. В вооруженных силах вертолет получил наименование HRP-1 Rescuer (спасатель) (22577).</w:t>
      </w:r>
    </w:p>
    <w:p w14:paraId="1B26FF0E" w14:textId="77777777" w:rsidR="005A6AF3" w:rsidRPr="00925F26" w:rsidRDefault="005A6AF3" w:rsidP="00925F26">
      <w:pPr>
        <w:jc w:val="both"/>
        <w:rPr>
          <w:color w:val="000000" w:themeColor="text1"/>
          <w:sz w:val="16"/>
          <w:szCs w:val="16"/>
        </w:rPr>
      </w:pPr>
    </w:p>
    <w:p w14:paraId="22E3541E" w14:textId="77777777" w:rsidR="00001948" w:rsidRPr="00925F26" w:rsidRDefault="00001948" w:rsidP="00925F26">
      <w:pPr>
        <w:autoSpaceDE w:val="0"/>
        <w:autoSpaceDN w:val="0"/>
        <w:adjustRightInd w:val="0"/>
        <w:jc w:val="both"/>
        <w:rPr>
          <w:color w:val="000000" w:themeColor="text1"/>
          <w:sz w:val="16"/>
          <w:szCs w:val="16"/>
        </w:rPr>
      </w:pPr>
      <w:r w:rsidRPr="00925F26">
        <w:rPr>
          <w:color w:val="000000" w:themeColor="text1"/>
          <w:sz w:val="16"/>
          <w:szCs w:val="16"/>
        </w:rPr>
        <w:t>7 марта 1945 союзники освободили Кельн (2248,3).</w:t>
      </w:r>
    </w:p>
    <w:p w14:paraId="061EB9D3" w14:textId="77777777" w:rsidR="00001948" w:rsidRPr="00925F26" w:rsidRDefault="00001948" w:rsidP="00925F26">
      <w:pPr>
        <w:autoSpaceDE w:val="0"/>
        <w:autoSpaceDN w:val="0"/>
        <w:adjustRightInd w:val="0"/>
        <w:jc w:val="both"/>
        <w:rPr>
          <w:color w:val="000000" w:themeColor="text1"/>
          <w:sz w:val="16"/>
          <w:szCs w:val="16"/>
        </w:rPr>
      </w:pPr>
    </w:p>
    <w:p w14:paraId="1ADE73C5" w14:textId="77777777" w:rsidR="005A6AF3" w:rsidRPr="00925F26" w:rsidRDefault="005A6AF3" w:rsidP="00925F26">
      <w:pPr>
        <w:jc w:val="both"/>
        <w:rPr>
          <w:color w:val="000000" w:themeColor="text1"/>
          <w:sz w:val="16"/>
          <w:szCs w:val="16"/>
        </w:rPr>
      </w:pPr>
      <w:r w:rsidRPr="00925F26">
        <w:rPr>
          <w:color w:val="000000" w:themeColor="text1"/>
          <w:sz w:val="16"/>
          <w:szCs w:val="16"/>
        </w:rPr>
        <w:t>7 марта 1945 г. в районе Ремагена Ar 234В-2 вели бомбардировку захваченной американцами переправы через Рейн. Самолет Аг 234 имел большой потенциал. Высокие характеристики позволяли использовать его в программе Mistell. В этом случае под фюзеляж подвешивался беспилотный самолет-снаряд большой мощности Ar Е377. Фашисты даже мечтали дотянуться до США, используя Ar 234 в качестве носителя ракет «Фау-1». Всего было построено 214 экземпляров Ar 234. После ряда успехов их стали отправлять на самоубийственные задания без всякого прикрытия. За короткий промежуток времени погибли три пилота, еще четверо были ранены (22776).</w:t>
      </w:r>
    </w:p>
    <w:p w14:paraId="630BFF71" w14:textId="77777777" w:rsidR="005A6AF3" w:rsidRPr="00925F26" w:rsidRDefault="005A6AF3" w:rsidP="00925F26">
      <w:pPr>
        <w:jc w:val="both"/>
        <w:rPr>
          <w:color w:val="000000" w:themeColor="text1"/>
          <w:sz w:val="16"/>
          <w:szCs w:val="16"/>
        </w:rPr>
      </w:pPr>
    </w:p>
    <w:p w14:paraId="63CB8C99" w14:textId="77777777" w:rsidR="00001948" w:rsidRPr="00925F26" w:rsidRDefault="00001948" w:rsidP="00925F26">
      <w:pPr>
        <w:jc w:val="both"/>
        <w:rPr>
          <w:color w:val="000000" w:themeColor="text1"/>
          <w:sz w:val="16"/>
          <w:szCs w:val="16"/>
        </w:rPr>
      </w:pPr>
      <w:r w:rsidRPr="00925F26">
        <w:rPr>
          <w:bCs/>
          <w:color w:val="000000" w:themeColor="text1"/>
          <w:sz w:val="16"/>
          <w:szCs w:val="16"/>
        </w:rPr>
        <w:lastRenderedPageBreak/>
        <w:t>7 марта</w:t>
      </w:r>
      <w:r w:rsidRPr="00925F26">
        <w:rPr>
          <w:color w:val="000000" w:themeColor="text1"/>
          <w:sz w:val="16"/>
          <w:szCs w:val="16"/>
        </w:rPr>
        <w:t xml:space="preserve"> в 1945 году американские войска заняли город Бонн (15061).</w:t>
      </w:r>
    </w:p>
    <w:p w14:paraId="12DDA539" w14:textId="77777777" w:rsidR="00001948" w:rsidRPr="00925F26" w:rsidRDefault="00001948" w:rsidP="00925F26">
      <w:pPr>
        <w:jc w:val="both"/>
        <w:rPr>
          <w:color w:val="000000" w:themeColor="text1"/>
          <w:sz w:val="16"/>
          <w:szCs w:val="16"/>
        </w:rPr>
      </w:pPr>
    </w:p>
    <w:p w14:paraId="5C1834C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марта 1945 войска союзников форсировали Рейн (4962).</w:t>
      </w:r>
    </w:p>
    <w:p w14:paraId="27AE860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D59519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7 March 1945 First bridge-head established over the Rhine at Remagen (270).</w:t>
      </w:r>
    </w:p>
    <w:p w14:paraId="169B5EBA" w14:textId="77777777" w:rsidR="00665165" w:rsidRPr="00925F26" w:rsidRDefault="00665165" w:rsidP="00925F26">
      <w:pPr>
        <w:autoSpaceDE w:val="0"/>
        <w:autoSpaceDN w:val="0"/>
        <w:adjustRightInd w:val="0"/>
        <w:jc w:val="both"/>
        <w:rPr>
          <w:color w:val="000000" w:themeColor="text1"/>
          <w:sz w:val="16"/>
          <w:szCs w:val="16"/>
          <w:lang w:val="en-US"/>
        </w:rPr>
      </w:pPr>
    </w:p>
    <w:p w14:paraId="618DD5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7 марта 1945 началась подготовка союзников к форсированию </w:t>
      </w:r>
      <w:proofErr w:type="gramStart"/>
      <w:r w:rsidRPr="00925F26">
        <w:rPr>
          <w:color w:val="000000" w:themeColor="text1"/>
          <w:sz w:val="16"/>
          <w:szCs w:val="16"/>
        </w:rPr>
        <w:t>Рейна (270)</w:t>
      </w:r>
      <w:proofErr w:type="gramEnd"/>
      <w:r w:rsidRPr="00925F26">
        <w:rPr>
          <w:color w:val="000000" w:themeColor="text1"/>
          <w:sz w:val="16"/>
          <w:szCs w:val="16"/>
        </w:rPr>
        <w:t xml:space="preserve"> и танковая колонна Першингов пересекла реку по железнодорожному мосту (2248,3).</w:t>
      </w:r>
    </w:p>
    <w:p w14:paraId="1950A15F" w14:textId="77777777" w:rsidR="00665165" w:rsidRPr="00925F26" w:rsidRDefault="00665165" w:rsidP="00925F26">
      <w:pPr>
        <w:autoSpaceDE w:val="0"/>
        <w:autoSpaceDN w:val="0"/>
        <w:adjustRightInd w:val="0"/>
        <w:jc w:val="both"/>
        <w:rPr>
          <w:color w:val="000000" w:themeColor="text1"/>
          <w:sz w:val="16"/>
          <w:szCs w:val="16"/>
        </w:rPr>
      </w:pPr>
    </w:p>
    <w:p w14:paraId="454B894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7 1945 The tandem rotor XHRP-X transport helicopter, built under Navy contract by P-V Engineering Forum made its first flight at the contractor's plant at Sharon Hill, Pennsylvania with Frank N. Piasecki as pilot and George N. Towson as copilot (1090).</w:t>
      </w:r>
    </w:p>
    <w:p w14:paraId="7DDF86B2" w14:textId="77777777" w:rsidR="00665165" w:rsidRPr="00925F26" w:rsidRDefault="00665165" w:rsidP="00925F26">
      <w:pPr>
        <w:autoSpaceDE w:val="0"/>
        <w:autoSpaceDN w:val="0"/>
        <w:adjustRightInd w:val="0"/>
        <w:jc w:val="both"/>
        <w:rPr>
          <w:color w:val="000000" w:themeColor="text1"/>
          <w:sz w:val="16"/>
          <w:szCs w:val="16"/>
          <w:lang w:val="en-US"/>
        </w:rPr>
      </w:pPr>
    </w:p>
    <w:p w14:paraId="033F433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7th, 1945: German engineers having failed to blow it, advance units of the US First Army capture the Ludendorff railway bridge at Remagen, the last remaining bridge across the Rhine, allowing US troops to gain a first foothold on the east bank of the river (3819).</w:t>
      </w:r>
    </w:p>
    <w:p w14:paraId="2D017143" w14:textId="77777777" w:rsidR="00665165" w:rsidRPr="00925F26" w:rsidRDefault="00665165" w:rsidP="00925F26">
      <w:pPr>
        <w:autoSpaceDE w:val="0"/>
        <w:autoSpaceDN w:val="0"/>
        <w:adjustRightInd w:val="0"/>
        <w:jc w:val="both"/>
        <w:rPr>
          <w:color w:val="000000" w:themeColor="text1"/>
          <w:sz w:val="16"/>
          <w:szCs w:val="16"/>
          <w:lang w:val="en-US"/>
        </w:rPr>
      </w:pPr>
    </w:p>
    <w:p w14:paraId="2B62F5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части США захватили ж/д мост через Рейн - последний целый мост, который немцы не успели взорвать (3819).</w:t>
      </w:r>
    </w:p>
    <w:p w14:paraId="0E74F2C2" w14:textId="77777777" w:rsidR="00665165" w:rsidRPr="00925F26" w:rsidRDefault="00665165" w:rsidP="00925F26">
      <w:pPr>
        <w:autoSpaceDE w:val="0"/>
        <w:autoSpaceDN w:val="0"/>
        <w:adjustRightInd w:val="0"/>
        <w:jc w:val="both"/>
        <w:rPr>
          <w:color w:val="000000" w:themeColor="text1"/>
          <w:sz w:val="16"/>
          <w:szCs w:val="16"/>
        </w:rPr>
      </w:pPr>
    </w:p>
    <w:p w14:paraId="3791BFD7" w14:textId="77777777" w:rsidR="00001948" w:rsidRPr="00925F26" w:rsidRDefault="00001948" w:rsidP="00925F26">
      <w:pPr>
        <w:jc w:val="both"/>
        <w:rPr>
          <w:color w:val="000000" w:themeColor="text1"/>
          <w:sz w:val="16"/>
          <w:szCs w:val="16"/>
        </w:rPr>
      </w:pPr>
      <w:r w:rsidRPr="00925F26">
        <w:rPr>
          <w:bCs/>
          <w:color w:val="000000" w:themeColor="text1"/>
          <w:sz w:val="16"/>
          <w:szCs w:val="16"/>
        </w:rPr>
        <w:t>7 марта</w:t>
      </w:r>
      <w:r w:rsidRPr="00925F26">
        <w:rPr>
          <w:color w:val="000000" w:themeColor="text1"/>
          <w:sz w:val="16"/>
          <w:szCs w:val="16"/>
        </w:rPr>
        <w:t xml:space="preserve"> в 1945 году в Германии американские войска подходят к железнодорожному мосту Люддендорф в Римегене (южнее Бонна), вступают в бой и захватывают его. Вечером через Рейн переправляются 100 американских боевых частей (в течение следующих двух недель союзники наведут шесть мостов через Рейн; 17 марта мост в Римегене будет разрушен) (15061).</w:t>
      </w:r>
    </w:p>
    <w:p w14:paraId="6D7959E5" w14:textId="77777777" w:rsidR="00001948" w:rsidRPr="00925F26" w:rsidRDefault="00001948" w:rsidP="00925F26">
      <w:pPr>
        <w:jc w:val="both"/>
        <w:rPr>
          <w:color w:val="000000" w:themeColor="text1"/>
          <w:sz w:val="16"/>
          <w:szCs w:val="16"/>
        </w:rPr>
      </w:pPr>
    </w:p>
    <w:p w14:paraId="637A88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1945 Тито возглавил правительство Югославии, в которое также вошли роялисты (2248,3).</w:t>
      </w:r>
    </w:p>
    <w:p w14:paraId="6ECAB66D" w14:textId="77777777" w:rsidR="00665165" w:rsidRPr="00925F26" w:rsidRDefault="00665165" w:rsidP="00925F26">
      <w:pPr>
        <w:autoSpaceDE w:val="0"/>
        <w:autoSpaceDN w:val="0"/>
        <w:adjustRightInd w:val="0"/>
        <w:jc w:val="both"/>
        <w:rPr>
          <w:color w:val="000000" w:themeColor="text1"/>
          <w:sz w:val="16"/>
          <w:szCs w:val="16"/>
        </w:rPr>
      </w:pPr>
    </w:p>
    <w:p w14:paraId="71C55AF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B40DBF4" w14:textId="77777777" w:rsidR="00665165" w:rsidRPr="00925F26" w:rsidRDefault="00665165" w:rsidP="00925F26">
      <w:pPr>
        <w:autoSpaceDE w:val="0"/>
        <w:autoSpaceDN w:val="0"/>
        <w:adjustRightInd w:val="0"/>
        <w:jc w:val="both"/>
        <w:rPr>
          <w:iCs/>
          <w:color w:val="000000" w:themeColor="text1"/>
          <w:sz w:val="16"/>
          <w:szCs w:val="16"/>
        </w:rPr>
      </w:pPr>
    </w:p>
    <w:p w14:paraId="4242E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8 по 29 марта 1945 л А.А.Манчуаров и и Г.А.Седов проводили гос. испытания Як-9УТ со сменными пушками (65,152).</w:t>
      </w:r>
    </w:p>
    <w:p w14:paraId="1BCED35D" w14:textId="77777777" w:rsidR="00665165" w:rsidRPr="00925F26" w:rsidRDefault="00665165" w:rsidP="00925F26">
      <w:pPr>
        <w:autoSpaceDE w:val="0"/>
        <w:autoSpaceDN w:val="0"/>
        <w:adjustRightInd w:val="0"/>
        <w:jc w:val="both"/>
        <w:rPr>
          <w:color w:val="000000" w:themeColor="text1"/>
          <w:sz w:val="16"/>
          <w:szCs w:val="16"/>
        </w:rPr>
      </w:pPr>
    </w:p>
    <w:p w14:paraId="6EB5BC8D" w14:textId="77777777" w:rsidR="002F0C29" w:rsidRPr="001A0BAA" w:rsidRDefault="002F0C29" w:rsidP="002F0C29">
      <w:pPr>
        <w:jc w:val="both"/>
        <w:rPr>
          <w:color w:val="0070C0"/>
          <w:sz w:val="16"/>
          <w:szCs w:val="16"/>
        </w:rPr>
      </w:pPr>
      <w:r w:rsidRPr="001A0BAA">
        <w:rPr>
          <w:color w:val="0070C0"/>
          <w:sz w:val="16"/>
          <w:szCs w:val="16"/>
        </w:rPr>
        <w:t>С 8 по 29 марта 1945 года проходил государственные испытания Як</w:t>
      </w:r>
      <w:r w:rsidRPr="001A0BAA">
        <w:rPr>
          <w:color w:val="0070C0"/>
          <w:sz w:val="16"/>
          <w:szCs w:val="16"/>
        </w:rPr>
        <w:noBreakHyphen/>
        <w:t>9УТ.</w:t>
      </w:r>
    </w:p>
    <w:p w14:paraId="4D0F590B" w14:textId="77777777" w:rsidR="002F0C29" w:rsidRPr="001A0BAA" w:rsidRDefault="002F0C29" w:rsidP="002F0C29">
      <w:pPr>
        <w:jc w:val="both"/>
        <w:rPr>
          <w:color w:val="0070C0"/>
          <w:sz w:val="16"/>
          <w:szCs w:val="16"/>
        </w:rPr>
      </w:pPr>
      <w:r w:rsidRPr="001A0BAA">
        <w:rPr>
          <w:color w:val="0070C0"/>
          <w:sz w:val="16"/>
          <w:szCs w:val="16"/>
        </w:rPr>
        <w:t>В носовой части новой машины была установлена пушка Н</w:t>
      </w:r>
      <w:r w:rsidRPr="001A0BAA">
        <w:rPr>
          <w:color w:val="0070C0"/>
          <w:sz w:val="16"/>
          <w:szCs w:val="16"/>
        </w:rPr>
        <w:noBreakHyphen/>
        <w:t>37 и две недавно запущенные в производство пушки Б</w:t>
      </w:r>
      <w:r w:rsidRPr="001A0BAA">
        <w:rPr>
          <w:color w:val="0070C0"/>
          <w:sz w:val="16"/>
          <w:szCs w:val="16"/>
        </w:rPr>
        <w:noBreakHyphen/>
        <w:t>2 °C калибра 20 мм. Обе конструкции отличались небольшими размерами и малым весом (Б</w:t>
      </w:r>
      <w:r w:rsidRPr="001A0BAA">
        <w:rPr>
          <w:color w:val="0070C0"/>
          <w:sz w:val="16"/>
          <w:szCs w:val="16"/>
        </w:rPr>
        <w:noBreakHyphen/>
        <w:t>20 была только на 3 кг тяжелее пулемета УБС). Запас нарядов – 30 штук к Н</w:t>
      </w:r>
      <w:r w:rsidRPr="001A0BAA">
        <w:rPr>
          <w:color w:val="0070C0"/>
          <w:sz w:val="16"/>
          <w:szCs w:val="16"/>
        </w:rPr>
        <w:noBreakHyphen/>
        <w:t>37 и по 120 штук к Б</w:t>
      </w:r>
      <w:r w:rsidRPr="001A0BAA">
        <w:rPr>
          <w:color w:val="0070C0"/>
          <w:sz w:val="16"/>
          <w:szCs w:val="16"/>
        </w:rPr>
        <w:noBreakHyphen/>
        <w:t>2 °C.</w:t>
      </w:r>
    </w:p>
    <w:p w14:paraId="60D7E385" w14:textId="77777777" w:rsidR="002F0C29" w:rsidRPr="001A0BAA" w:rsidRDefault="002F0C29" w:rsidP="002F0C29">
      <w:pPr>
        <w:jc w:val="both"/>
        <w:rPr>
          <w:color w:val="0070C0"/>
          <w:sz w:val="16"/>
          <w:szCs w:val="16"/>
        </w:rPr>
      </w:pPr>
      <w:r w:rsidRPr="001A0BAA">
        <w:rPr>
          <w:color w:val="0070C0"/>
          <w:sz w:val="16"/>
          <w:szCs w:val="16"/>
        </w:rPr>
        <w:t>Прототипом новой модификации истребителя был самолет Як</w:t>
      </w:r>
      <w:r w:rsidRPr="001A0BAA">
        <w:rPr>
          <w:color w:val="0070C0"/>
          <w:sz w:val="16"/>
          <w:szCs w:val="16"/>
        </w:rPr>
        <w:noBreakHyphen/>
        <w:t>9У номер 39</w:t>
      </w:r>
      <w:r w:rsidRPr="001A0BAA">
        <w:rPr>
          <w:color w:val="0070C0"/>
          <w:sz w:val="16"/>
          <w:szCs w:val="16"/>
        </w:rPr>
        <w:noBreakHyphen/>
        <w:t>083 с двигателем ВК</w:t>
      </w:r>
      <w:r w:rsidRPr="001A0BAA">
        <w:rPr>
          <w:color w:val="0070C0"/>
          <w:sz w:val="16"/>
          <w:szCs w:val="16"/>
        </w:rPr>
        <w:noBreakHyphen/>
        <w:t>107А и воздушным винтом типа ВИШ</w:t>
      </w:r>
      <w:r w:rsidRPr="001A0BAA">
        <w:rPr>
          <w:color w:val="0070C0"/>
          <w:sz w:val="16"/>
          <w:szCs w:val="16"/>
        </w:rPr>
        <w:noBreakHyphen/>
        <w:t>107ЛО. В его конструкции была предусмотрена возможность установки вместо Н</w:t>
      </w:r>
      <w:r w:rsidRPr="001A0BAA">
        <w:rPr>
          <w:color w:val="0070C0"/>
          <w:sz w:val="16"/>
          <w:szCs w:val="16"/>
        </w:rPr>
        <w:noBreakHyphen/>
        <w:t>37 других пушек: Б</w:t>
      </w:r>
      <w:r w:rsidRPr="001A0BAA">
        <w:rPr>
          <w:color w:val="0070C0"/>
          <w:sz w:val="16"/>
          <w:szCs w:val="16"/>
        </w:rPr>
        <w:noBreakHyphen/>
        <w:t>20М, НС</w:t>
      </w:r>
      <w:r w:rsidRPr="001A0BAA">
        <w:rPr>
          <w:color w:val="0070C0"/>
          <w:sz w:val="16"/>
          <w:szCs w:val="16"/>
        </w:rPr>
        <w:noBreakHyphen/>
        <w:t>23, Н</w:t>
      </w:r>
      <w:r w:rsidRPr="001A0BAA">
        <w:rPr>
          <w:color w:val="0070C0"/>
          <w:sz w:val="16"/>
          <w:szCs w:val="16"/>
        </w:rPr>
        <w:noBreakHyphen/>
        <w:t>45. Такие изменения можно было проводить только на сборочной линии (нельзя было заменять пушки в полевых условиях), но и это позволяло гибко реагировать на потребности фронта.</w:t>
      </w:r>
    </w:p>
    <w:p w14:paraId="55404E11" w14:textId="77777777" w:rsidR="002F0C29" w:rsidRPr="001A0BAA" w:rsidRDefault="002F0C29" w:rsidP="002F0C29">
      <w:pPr>
        <w:jc w:val="both"/>
        <w:rPr>
          <w:color w:val="0070C0"/>
          <w:sz w:val="16"/>
          <w:szCs w:val="16"/>
        </w:rPr>
      </w:pPr>
      <w:r w:rsidRPr="001A0BAA">
        <w:rPr>
          <w:color w:val="0070C0"/>
          <w:sz w:val="16"/>
          <w:szCs w:val="16"/>
        </w:rPr>
        <w:t>Вес модификации «УТ» возрос по сравнению с Як</w:t>
      </w:r>
      <w:r w:rsidRPr="001A0BAA">
        <w:rPr>
          <w:color w:val="0070C0"/>
          <w:sz w:val="16"/>
          <w:szCs w:val="16"/>
        </w:rPr>
        <w:noBreakHyphen/>
        <w:t>9У незначительно, поэтому их летные данные были практически идентичны. Однако имелось два существенных пилотажных и эксплуатационных различия: пушка «УТ» оказывала дополнительное аэродинамическое сопротивление при работе рулями высоты и элеронами, кроме того (а это уже хорошая новость) температура масла и воды удерживалась в допустимых пределах даже при наборе высоты с наибольшей скоростью.</w:t>
      </w:r>
    </w:p>
    <w:p w14:paraId="1EFFB978" w14:textId="77777777" w:rsidR="002F0C29" w:rsidRPr="001A0BAA" w:rsidRDefault="002F0C29" w:rsidP="002F0C29">
      <w:pPr>
        <w:jc w:val="both"/>
        <w:rPr>
          <w:color w:val="0070C0"/>
          <w:sz w:val="16"/>
          <w:szCs w:val="16"/>
        </w:rPr>
      </w:pPr>
      <w:r w:rsidRPr="001A0BAA">
        <w:rPr>
          <w:color w:val="0070C0"/>
          <w:sz w:val="16"/>
          <w:szCs w:val="16"/>
        </w:rPr>
        <w:t>Новое вооружение, несмотря на большую силу огня (три ствола выбрасывали 6 кг снарядов в секунду), было очень надежным. Кроме того, сила отдачи пушки Н</w:t>
      </w:r>
      <w:r w:rsidRPr="001A0BAA">
        <w:rPr>
          <w:color w:val="0070C0"/>
          <w:sz w:val="16"/>
          <w:szCs w:val="16"/>
        </w:rPr>
        <w:noBreakHyphen/>
        <w:t>37 была значительно меньше, чем у НС</w:t>
      </w:r>
      <w:r w:rsidRPr="001A0BAA">
        <w:rPr>
          <w:color w:val="0070C0"/>
          <w:sz w:val="16"/>
          <w:szCs w:val="16"/>
        </w:rPr>
        <w:noBreakHyphen/>
        <w:t xml:space="preserve">37, </w:t>
      </w:r>
      <w:r w:rsidRPr="001A0BAA">
        <w:rPr>
          <w:color w:val="0070C0"/>
          <w:sz w:val="16"/>
          <w:szCs w:val="16"/>
        </w:rPr>
        <w:noBreakHyphen/>
        <w:t>что позволяло стрелять очередями из 4–5 снарядов, без опасности увода самолета с лини прицеливания.</w:t>
      </w:r>
    </w:p>
    <w:p w14:paraId="537AFB85" w14:textId="77777777" w:rsidR="002F0C29" w:rsidRPr="001A0BAA" w:rsidRDefault="002F0C29" w:rsidP="002F0C29">
      <w:pPr>
        <w:jc w:val="both"/>
        <w:rPr>
          <w:color w:val="0070C0"/>
          <w:sz w:val="16"/>
          <w:szCs w:val="16"/>
        </w:rPr>
      </w:pPr>
      <w:r w:rsidRPr="001A0BAA">
        <w:rPr>
          <w:color w:val="0070C0"/>
          <w:sz w:val="16"/>
          <w:szCs w:val="16"/>
        </w:rPr>
        <w:t>Выводы испытаний в НИИ ВВС были положительными, ВВС признали самолет нужным, и он был направлен в серийное производство. Однако серийные самолеты вооружались уже не Н</w:t>
      </w:r>
      <w:r w:rsidRPr="001A0BAA">
        <w:rPr>
          <w:color w:val="0070C0"/>
          <w:sz w:val="16"/>
          <w:szCs w:val="16"/>
        </w:rPr>
        <w:noBreakHyphen/>
        <w:t>37 – опять вернулись к старому орудию НС</w:t>
      </w:r>
      <w:r w:rsidRPr="001A0BAA">
        <w:rPr>
          <w:color w:val="0070C0"/>
          <w:sz w:val="16"/>
          <w:szCs w:val="16"/>
        </w:rPr>
        <w:noBreakHyphen/>
        <w:t>37. Две пушки Б</w:t>
      </w:r>
      <w:r w:rsidRPr="001A0BAA">
        <w:rPr>
          <w:color w:val="0070C0"/>
          <w:sz w:val="16"/>
          <w:szCs w:val="16"/>
        </w:rPr>
        <w:noBreakHyphen/>
        <w:t>2 °C были сохранены. Вместе с пушкой НС</w:t>
      </w:r>
      <w:r w:rsidRPr="001A0BAA">
        <w:rPr>
          <w:color w:val="0070C0"/>
          <w:sz w:val="16"/>
          <w:szCs w:val="16"/>
        </w:rPr>
        <w:noBreakHyphen/>
        <w:t>37 вернулись и проблемы с прицеливанием, о которых упоминалось при описании Як</w:t>
      </w:r>
      <w:r w:rsidRPr="001A0BAA">
        <w:rPr>
          <w:color w:val="0070C0"/>
          <w:sz w:val="16"/>
          <w:szCs w:val="16"/>
        </w:rPr>
        <w:noBreakHyphen/>
        <w:t>9Т. Можно было выпускать только один</w:t>
      </w:r>
      <w:r w:rsidRPr="001A0BAA">
        <w:rPr>
          <w:color w:val="0070C0"/>
          <w:sz w:val="16"/>
          <w:szCs w:val="16"/>
        </w:rPr>
        <w:noBreakHyphen/>
        <w:t>два снаряда за одно нажатие гашетки. При стрельбе на небольшой скорости либо большим количеством снарядов самолет уводило с линии прицеливания.</w:t>
      </w:r>
    </w:p>
    <w:p w14:paraId="30100FBC" w14:textId="77777777" w:rsidR="002F0C29" w:rsidRPr="001A0BAA" w:rsidRDefault="002F0C29" w:rsidP="002F0C29">
      <w:pPr>
        <w:jc w:val="both"/>
        <w:rPr>
          <w:color w:val="0070C0"/>
          <w:sz w:val="16"/>
          <w:szCs w:val="16"/>
        </w:rPr>
      </w:pPr>
      <w:r w:rsidRPr="001A0BAA">
        <w:rPr>
          <w:color w:val="0070C0"/>
          <w:sz w:val="16"/>
          <w:szCs w:val="16"/>
        </w:rPr>
        <w:t>В период с февраля по май 1945 года было изготовлено 282 штуки Як</w:t>
      </w:r>
      <w:r w:rsidRPr="001A0BAA">
        <w:rPr>
          <w:color w:val="0070C0"/>
          <w:sz w:val="16"/>
          <w:szCs w:val="16"/>
        </w:rPr>
        <w:noBreakHyphen/>
        <w:t>9УТ (25077).</w:t>
      </w:r>
    </w:p>
    <w:p w14:paraId="733860C8" w14:textId="77777777" w:rsidR="002F0C29" w:rsidRPr="001A0BAA" w:rsidRDefault="002F0C29" w:rsidP="002F0C29">
      <w:pPr>
        <w:jc w:val="both"/>
        <w:rPr>
          <w:color w:val="0070C0"/>
          <w:sz w:val="16"/>
          <w:szCs w:val="16"/>
        </w:rPr>
      </w:pPr>
    </w:p>
    <w:p w14:paraId="688F4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8 марта 1945 В.Л.Расторгуев закончил заводские испытания Як-3 ВК108, которые проводились с 7 октября 1944, хотя первый вылет был сделан 18 декабря 1944. Всего было 5 полетов продолжительностью 1:47. На самом деле 8 марта 1945 был первый полет с замененным после рекордного полета 21 декабря 1944 </w:t>
      </w:r>
      <w:proofErr w:type="gramStart"/>
      <w:r w:rsidRPr="00925F26">
        <w:rPr>
          <w:color w:val="000000" w:themeColor="text1"/>
          <w:sz w:val="16"/>
          <w:szCs w:val="16"/>
        </w:rPr>
        <w:t>двигателем</w:t>
      </w:r>
      <w:proofErr w:type="gramEnd"/>
      <w:r w:rsidRPr="00925F26">
        <w:rPr>
          <w:color w:val="000000" w:themeColor="text1"/>
          <w:sz w:val="16"/>
          <w:szCs w:val="16"/>
        </w:rPr>
        <w:t xml:space="preserve"> и он работал неудовлетворительно, так что дальнейшие полеты не проводились (65,196).</w:t>
      </w:r>
    </w:p>
    <w:p w14:paraId="5B9C83F6" w14:textId="77777777" w:rsidR="00665165" w:rsidRPr="00925F26" w:rsidRDefault="00665165" w:rsidP="00925F26">
      <w:pPr>
        <w:autoSpaceDE w:val="0"/>
        <w:autoSpaceDN w:val="0"/>
        <w:adjustRightInd w:val="0"/>
        <w:jc w:val="both"/>
        <w:rPr>
          <w:color w:val="000000" w:themeColor="text1"/>
          <w:sz w:val="16"/>
          <w:szCs w:val="16"/>
        </w:rPr>
      </w:pPr>
    </w:p>
    <w:p w14:paraId="1E7F4B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года Як-3 ВК-108 совершил последний полет, после чего работы по нему прекратили, но ненадолго. 21 декабря 1944 летчик-испытатель В.Л. Расторгуев (ведущий инженер А.Н. Конуков) на пока еще безоружной машине Як-3 с ВК-108 достиг скорости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14809D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252A316D" w14:textId="77777777" w:rsidR="00665165" w:rsidRPr="00925F26" w:rsidRDefault="00665165" w:rsidP="00925F26">
      <w:pPr>
        <w:autoSpaceDE w:val="0"/>
        <w:autoSpaceDN w:val="0"/>
        <w:adjustRightInd w:val="0"/>
        <w:jc w:val="both"/>
        <w:rPr>
          <w:color w:val="000000" w:themeColor="text1"/>
          <w:sz w:val="16"/>
          <w:szCs w:val="16"/>
        </w:rPr>
      </w:pPr>
    </w:p>
    <w:p w14:paraId="449185A3" w14:textId="77777777" w:rsidR="002F0C29" w:rsidRPr="001A0BAA" w:rsidRDefault="002F0C29" w:rsidP="002F0C29">
      <w:pPr>
        <w:jc w:val="both"/>
        <w:rPr>
          <w:color w:val="0070C0"/>
          <w:sz w:val="16"/>
          <w:szCs w:val="16"/>
        </w:rPr>
      </w:pPr>
      <w:r w:rsidRPr="001A0BAA">
        <w:rPr>
          <w:color w:val="0070C0"/>
          <w:sz w:val="16"/>
          <w:szCs w:val="16"/>
        </w:rPr>
        <w:t>8 марта 1945 года продолжались официальные испытания Як-3 с ВК-108 (с 21 декабря 1944 года самолет не летал, поскольку ему меняли двигатель. Замена шла долго).</w:t>
      </w:r>
    </w:p>
    <w:p w14:paraId="1DC092A9" w14:textId="77777777" w:rsidR="002F0C29" w:rsidRPr="001A0BAA" w:rsidRDefault="002F0C29" w:rsidP="002F0C29">
      <w:pPr>
        <w:jc w:val="both"/>
        <w:rPr>
          <w:color w:val="0070C0"/>
          <w:sz w:val="16"/>
          <w:szCs w:val="16"/>
        </w:rPr>
      </w:pPr>
      <w:r w:rsidRPr="001A0BAA">
        <w:rPr>
          <w:color w:val="0070C0"/>
          <w:sz w:val="16"/>
          <w:szCs w:val="16"/>
        </w:rPr>
        <w:t>В первом же полете с новым мотором произошла авария и работы над машиной прекратили.</w:t>
      </w:r>
    </w:p>
    <w:p w14:paraId="7FC72C11" w14:textId="77777777" w:rsidR="002F0C29" w:rsidRPr="001A0BAA" w:rsidRDefault="002F0C29" w:rsidP="002F0C29">
      <w:pPr>
        <w:jc w:val="both"/>
        <w:rPr>
          <w:color w:val="0070C0"/>
          <w:sz w:val="16"/>
          <w:szCs w:val="16"/>
        </w:rPr>
      </w:pPr>
      <w:r w:rsidRPr="001A0BAA">
        <w:rPr>
          <w:color w:val="0070C0"/>
          <w:sz w:val="16"/>
          <w:szCs w:val="16"/>
        </w:rPr>
        <w:t>Еще одну попытку установить на Як</w:t>
      </w:r>
      <w:r w:rsidRPr="001A0BAA">
        <w:rPr>
          <w:color w:val="0070C0"/>
          <w:sz w:val="16"/>
          <w:szCs w:val="16"/>
        </w:rPr>
        <w:noBreakHyphen/>
        <w:t>3 двигатель ВК</w:t>
      </w:r>
      <w:r w:rsidRPr="001A0BAA">
        <w:rPr>
          <w:color w:val="0070C0"/>
          <w:sz w:val="16"/>
          <w:szCs w:val="16"/>
        </w:rPr>
        <w:noBreakHyphen/>
        <w:t>108 предприняла во второй половине 1945 года в ОКБ Яковлева группа инженера В.Г. Григорьева. Однако и в этот раз удачного самолета не получилось. В планах НКАП на 1946 год фигурировала постройка на заводе в Тбилиси трех Як</w:t>
      </w:r>
      <w:r w:rsidRPr="001A0BAA">
        <w:rPr>
          <w:color w:val="0070C0"/>
          <w:sz w:val="16"/>
          <w:szCs w:val="16"/>
        </w:rPr>
        <w:noBreakHyphen/>
        <w:t>3 с ВК</w:t>
      </w:r>
      <w:r w:rsidRPr="001A0BAA">
        <w:rPr>
          <w:color w:val="0070C0"/>
          <w:sz w:val="16"/>
          <w:szCs w:val="16"/>
        </w:rPr>
        <w:noBreakHyphen/>
        <w:t>108, но планы так и остались на бумаге (25076).</w:t>
      </w:r>
    </w:p>
    <w:p w14:paraId="16F27DBE" w14:textId="77777777" w:rsidR="002F0C29" w:rsidRPr="001A0BAA" w:rsidRDefault="002F0C29" w:rsidP="002F0C29">
      <w:pPr>
        <w:jc w:val="both"/>
        <w:rPr>
          <w:color w:val="0070C0"/>
          <w:sz w:val="16"/>
          <w:szCs w:val="16"/>
        </w:rPr>
      </w:pPr>
    </w:p>
    <w:p w14:paraId="5EB6E3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вышел приказ НКАП N 91с:</w:t>
      </w:r>
    </w:p>
    <w:p w14:paraId="293C3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проверки применения геликоптера и выявления эксплуатационных данных этого типа самолета:</w:t>
      </w:r>
    </w:p>
    <w:p w14:paraId="054ADF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Зам. нач. 6 ГУ Пагину и директору завода 473 Дуднику организовать производство малой серии геликоптеров конструкции Братухина и обеспечить выпуск к 1 августа 1945 - 1-го экз., к 1 сентября - 2-х экз., к 1 октября - 3-х и к 1 ноября 1945 - 4-х геликоптеров." (1832,3).</w:t>
      </w:r>
    </w:p>
    <w:p w14:paraId="246AB5DD" w14:textId="77777777" w:rsidR="00665165" w:rsidRPr="00925F26" w:rsidRDefault="00665165" w:rsidP="00925F26">
      <w:pPr>
        <w:autoSpaceDE w:val="0"/>
        <w:autoSpaceDN w:val="0"/>
        <w:adjustRightInd w:val="0"/>
        <w:jc w:val="both"/>
        <w:rPr>
          <w:color w:val="000000" w:themeColor="text1"/>
          <w:sz w:val="16"/>
          <w:szCs w:val="16"/>
        </w:rPr>
      </w:pPr>
    </w:p>
    <w:p w14:paraId="2CCFA1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марта 1945 года вышел приказ Наркома А. И. Шахурина о стро</w:t>
      </w:r>
      <w:r w:rsidRPr="00925F26">
        <w:rPr>
          <w:color w:val="000000" w:themeColor="text1"/>
          <w:sz w:val="16"/>
          <w:szCs w:val="16"/>
        </w:rPr>
        <w:softHyphen/>
        <w:t>ительстве серии из шести вертолетов «Омега» на киевском авиаза</w:t>
      </w:r>
      <w:r w:rsidRPr="00925F26">
        <w:rPr>
          <w:color w:val="000000" w:themeColor="text1"/>
          <w:sz w:val="16"/>
          <w:szCs w:val="16"/>
        </w:rPr>
        <w:softHyphen/>
        <w:t>воде № 473. Однако в серийное производство «Омега-П» не по</w:t>
      </w:r>
      <w:r w:rsidRPr="00925F26">
        <w:rPr>
          <w:color w:val="000000" w:themeColor="text1"/>
          <w:sz w:val="16"/>
          <w:szCs w:val="16"/>
        </w:rPr>
        <w:softHyphen/>
        <w:t>шел, поскольку не осталось двигателей МГ-31-Ф — их выпуск во время войны был прекращен. Вертолет «Омега-Ц» остался только в опытном экземпляре, который после дооборудования вторым комплектом рычагов уп</w:t>
      </w:r>
      <w:r w:rsidRPr="00925F26">
        <w:rPr>
          <w:color w:val="000000" w:themeColor="text1"/>
          <w:sz w:val="16"/>
          <w:szCs w:val="16"/>
        </w:rPr>
        <w:softHyphen/>
        <w:t>равления и проведения дополнительных испытаний использовал</w:t>
      </w:r>
      <w:r w:rsidRPr="00925F26">
        <w:rPr>
          <w:color w:val="000000" w:themeColor="text1"/>
          <w:sz w:val="16"/>
          <w:szCs w:val="16"/>
        </w:rPr>
        <w:softHyphen/>
        <w:t>ся для обучения и тренировки летного состава. В том же 1945 году вертолет должен был участвовать в воздушном параде по случаю Дня авиации, но накануне праздника потерпел аварию из-за ошиб</w:t>
      </w:r>
      <w:r w:rsidRPr="00925F26">
        <w:rPr>
          <w:color w:val="000000" w:themeColor="text1"/>
          <w:sz w:val="16"/>
          <w:szCs w:val="16"/>
        </w:rPr>
        <w:softHyphen/>
        <w:t>ки пилота. Через год восстановленный вертолет «Омега-П» впер</w:t>
      </w:r>
      <w:r w:rsidRPr="00925F26">
        <w:rPr>
          <w:color w:val="000000" w:themeColor="text1"/>
          <w:sz w:val="16"/>
          <w:szCs w:val="16"/>
        </w:rPr>
        <w:softHyphen/>
        <w:t>вые принял участие в воздушном параде на Тушинском аэродро</w:t>
      </w:r>
      <w:r w:rsidRPr="00925F26">
        <w:rPr>
          <w:color w:val="000000" w:themeColor="text1"/>
          <w:sz w:val="16"/>
          <w:szCs w:val="16"/>
        </w:rPr>
        <w:softHyphen/>
        <w:t>ме, пилотировал его летчик М. К. Байкалов. Но вскоре эксплуата</w:t>
      </w:r>
      <w:r w:rsidRPr="00925F26">
        <w:rPr>
          <w:color w:val="000000" w:themeColor="text1"/>
          <w:sz w:val="16"/>
          <w:szCs w:val="16"/>
        </w:rPr>
        <w:softHyphen/>
        <w:t>ция вертолета была прекращена в связи с выходом из строя двига</w:t>
      </w:r>
      <w:r w:rsidRPr="00925F26">
        <w:rPr>
          <w:color w:val="000000" w:themeColor="text1"/>
          <w:sz w:val="16"/>
          <w:szCs w:val="16"/>
        </w:rPr>
        <w:softHyphen/>
        <w:t>телей и отсутствием запасных (10736).</w:t>
      </w:r>
    </w:p>
    <w:p w14:paraId="34745B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ED53B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был подготовлен:</w:t>
      </w:r>
    </w:p>
    <w:p w14:paraId="05562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557D5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Ответ на запрос заместителя начальника ГУУЗ'а НКАП Н.С. Аржаникова в Отдел транспортной авиации НКАП т. Лебединскому с перечнем уникального германского оборудования, которое может быть использовано для учебных заведений Наркомавиапрома (8993).</w:t>
      </w:r>
    </w:p>
    <w:p w14:paraId="438C63F9" w14:textId="77777777" w:rsidR="00665165" w:rsidRPr="00925F26" w:rsidRDefault="00665165" w:rsidP="00925F26">
      <w:pPr>
        <w:autoSpaceDE w:val="0"/>
        <w:autoSpaceDN w:val="0"/>
        <w:adjustRightInd w:val="0"/>
        <w:jc w:val="both"/>
        <w:rPr>
          <w:color w:val="000000" w:themeColor="text1"/>
          <w:sz w:val="16"/>
          <w:szCs w:val="16"/>
        </w:rPr>
      </w:pPr>
    </w:p>
    <w:p w14:paraId="7BE415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8 марта 1945 по указанию Г.М. Маленкова в 17 часов 15 минут самолет С-47 доставил в столицу образец секретного оружия Третьего рейха. 7 марта 1945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w:t>
      </w:r>
      <w:r w:rsidRPr="00925F26">
        <w:rPr>
          <w:color w:val="000000" w:themeColor="text1"/>
          <w:sz w:val="16"/>
          <w:szCs w:val="16"/>
        </w:rPr>
        <w:lastRenderedPageBreak/>
        <w:t>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781DC6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29534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ACE2244" w14:textId="77777777" w:rsidR="00665165" w:rsidRPr="00925F26" w:rsidRDefault="00665165" w:rsidP="00925F26">
      <w:pPr>
        <w:autoSpaceDE w:val="0"/>
        <w:autoSpaceDN w:val="0"/>
        <w:adjustRightInd w:val="0"/>
        <w:jc w:val="both"/>
        <w:rPr>
          <w:color w:val="000000" w:themeColor="text1"/>
          <w:sz w:val="16"/>
          <w:szCs w:val="16"/>
        </w:rPr>
      </w:pPr>
    </w:p>
    <w:p w14:paraId="510587D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C38DD67" w14:textId="77777777" w:rsidR="00665165" w:rsidRPr="00925F26" w:rsidRDefault="00665165" w:rsidP="00925F26">
      <w:pPr>
        <w:autoSpaceDE w:val="0"/>
        <w:autoSpaceDN w:val="0"/>
        <w:adjustRightInd w:val="0"/>
        <w:jc w:val="both"/>
        <w:rPr>
          <w:iCs/>
          <w:color w:val="000000" w:themeColor="text1"/>
          <w:sz w:val="16"/>
          <w:szCs w:val="16"/>
        </w:rPr>
      </w:pPr>
    </w:p>
    <w:p w14:paraId="0C92AF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8 марта 1945 г. на базе ЛФ ЦАКБ был создан ЦКБ-34 Для ЦКБ-34 характерна марка "СМ". </w:t>
      </w:r>
    </w:p>
    <w:p w14:paraId="725A2D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1956 г. создана пушка СМ-54 (2А3) на самоходном шасси для стрельбы ядерными боеприпасами «Конденсатор» (калибр-406 мм, масса- 570 кг, макс. дальность стрельбы- 25,6 км).</w:t>
      </w:r>
    </w:p>
    <w:p w14:paraId="089430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1965 г. ЦКБ-34 ГКОТ передано в ведение 4ГУ МОМ и по приказу от 6.03.1966 г. преобразовано в КБСМ (средств механизации).77 В 1970-80-е г. КБ специального машиностроения вновь вошло в МОМ (в ведении 4ГУ). Затем называлось МаЦКБ. Головное предприятие по наземному оборудованию для РКТ. По решению правительства № 22-р от 9.01.2004 г. и Указу Президента РФ № 1009 от 4.08.2004 г. ОАО вошло в число стратегических оборонных предприятий.</w:t>
      </w:r>
    </w:p>
    <w:p w14:paraId="3810E5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на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7B3BD8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Имело филиал в КБОМ (г. Москва). </w:t>
      </w:r>
    </w:p>
    <w:p w14:paraId="41E8F8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(2002 г.) ~1900 чел.</w:t>
      </w:r>
    </w:p>
    <w:p w14:paraId="21A16C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(1950-60-е)- В.Г. Рудяк,58 (1970-е г.)- В. Степанов, Г.А. Белов.</w:t>
      </w:r>
    </w:p>
    <w:p w14:paraId="48CDD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гл. конструктор (2002 г.)- Н.А. Трофимов.</w:t>
      </w:r>
    </w:p>
    <w:p w14:paraId="1B483D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1-й зам. Начальника/ гл. инженер (2002 г.)- В.Г. Долбенков. Зам. Начальника по экономике (2002 г.)- И.В. Маркелов.69 </w:t>
      </w:r>
    </w:p>
    <w:p w14:paraId="3D6F5B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Работали: (1958 г.-)- Е.А. Угрюмов (нач. лаборатории).</w:t>
      </w:r>
    </w:p>
    <w:p w14:paraId="740652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Создано: палубная артустановка СМ-5 (конец 1940-х); СМ-2-1 (1950-е), СМ-6, СМ-33, СМ-31, СМ-59 (ПУ с «КСЩ» для эсминца пр. 56Э). ПУ: для БРПЛ: СМ-60 для Р-11ФМ и Р-13, СМ-87 для Р-21, для Р-27; СМ-64 для ЗРК «Волхов» М-2 (1957); СМ-44 (2П5) для РСЗО «Коршун» на шасси ЯАЗ-214, КрАЗ-214 (1955); для ККР КСЩ, «Аметист», «Малахит», «Оникс».58 </w:t>
      </w:r>
    </w:p>
    <w:p w14:paraId="319DAD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ЦКБ-34 МОП, МО, ГКОТ, КБ средств механизации (КБСМ) МОМ, МаЦКБ МОМ, ФГУП, ОАО «КБ Специального машиностроения» (КБСМ) </w:t>
      </w:r>
    </w:p>
    <w:p w14:paraId="0918E9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194100 г. Ленинград, Санкт-Петербург Лесной пр., 64 тел. 245-51-13 (10776).</w:t>
      </w:r>
    </w:p>
    <w:p w14:paraId="1BC65C77" w14:textId="77777777" w:rsidR="00665165" w:rsidRPr="00925F26" w:rsidRDefault="00665165" w:rsidP="00925F26">
      <w:pPr>
        <w:autoSpaceDE w:val="0"/>
        <w:autoSpaceDN w:val="0"/>
        <w:adjustRightInd w:val="0"/>
        <w:jc w:val="both"/>
        <w:rPr>
          <w:color w:val="000000" w:themeColor="text1"/>
          <w:sz w:val="16"/>
          <w:szCs w:val="16"/>
        </w:rPr>
      </w:pPr>
    </w:p>
    <w:p w14:paraId="23D5F8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7726. О разбронировании 8 тыс. т. мазута НКВМФ для нужд оборонной промышленности в марте 1945 г. РГАНИР, Фонд ГКО, д. 378 Л.5 (11012).</w:t>
      </w:r>
    </w:p>
    <w:p w14:paraId="62A94EF5" w14:textId="77777777" w:rsidR="00665165" w:rsidRPr="00925F26" w:rsidRDefault="00665165" w:rsidP="00925F26">
      <w:pPr>
        <w:autoSpaceDE w:val="0"/>
        <w:autoSpaceDN w:val="0"/>
        <w:adjustRightInd w:val="0"/>
        <w:jc w:val="both"/>
        <w:rPr>
          <w:color w:val="000000" w:themeColor="text1"/>
          <w:sz w:val="16"/>
          <w:szCs w:val="16"/>
        </w:rPr>
      </w:pPr>
    </w:p>
    <w:p w14:paraId="1446FE8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7727 [О поставках 50 одноосных 1,5-тонных автоприцепов для лесозаготовительных работ НКВД на строительстве Беломорско-Балтийского канала.] (7313, 6).</w:t>
      </w:r>
    </w:p>
    <w:p w14:paraId="029F154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BFFF9E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7728 [О железнодорожных перевозках на пусковых объектах строек черной металлургии (НКВД).] (7313, 7).</w:t>
      </w:r>
    </w:p>
    <w:p w14:paraId="16237DE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AA19CA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7729 [Об обеспечении строительными материалами строек и предприятий НКЧМ, НКЦМ, НКЭС, НКПС, НКУП и НКНП.] (7313, 8-9,10-16).</w:t>
      </w:r>
    </w:p>
    <w:p w14:paraId="550359B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C95409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7730 О мерах по усилению выгрузки и ликвидации накопления груженых вагонов с воинскими грузами для 3, 2, 1-го Белорусских и 1-го Украинского фронтов. (7313, 17-22).</w:t>
      </w:r>
    </w:p>
    <w:p w14:paraId="04DB671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00E20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7731. О нормах расхода строительного леса на жилищное строительство по угольным бассейнам. РГАНИР, Фонд ГКО, д. 378, лл. 23-24 (11012).</w:t>
      </w:r>
    </w:p>
    <w:p w14:paraId="690ACE85" w14:textId="77777777" w:rsidR="00665165" w:rsidRPr="00925F26" w:rsidRDefault="00665165" w:rsidP="00925F26">
      <w:pPr>
        <w:autoSpaceDE w:val="0"/>
        <w:autoSpaceDN w:val="0"/>
        <w:adjustRightInd w:val="0"/>
        <w:jc w:val="both"/>
        <w:rPr>
          <w:color w:val="000000" w:themeColor="text1"/>
          <w:sz w:val="16"/>
          <w:szCs w:val="16"/>
        </w:rPr>
      </w:pPr>
    </w:p>
    <w:p w14:paraId="5EA1B8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7732 О поставке Наркомату боеприпасов импортного металла для производства свертных артиллерийских гильз. РГАНИР, Фонд ГКО, д. 378 Л.25 (11012).</w:t>
      </w:r>
    </w:p>
    <w:p w14:paraId="7D3C8829" w14:textId="77777777" w:rsidR="00665165" w:rsidRPr="00925F26" w:rsidRDefault="00665165" w:rsidP="00925F26">
      <w:pPr>
        <w:autoSpaceDE w:val="0"/>
        <w:autoSpaceDN w:val="0"/>
        <w:adjustRightInd w:val="0"/>
        <w:jc w:val="both"/>
        <w:rPr>
          <w:color w:val="000000" w:themeColor="text1"/>
          <w:sz w:val="16"/>
          <w:szCs w:val="16"/>
        </w:rPr>
      </w:pPr>
    </w:p>
    <w:p w14:paraId="1640835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7733 О передаче Наркомуглю для шахт Донбасса узкоколейных рельс трофейной железнодорожной ветки, вывезенной из Финляндии в Ленинград. (7313, 26).</w:t>
      </w:r>
    </w:p>
    <w:p w14:paraId="43FC1AA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996E49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7734 [Об организации в Риге речного училища.] (7313, 27).</w:t>
      </w:r>
    </w:p>
    <w:p w14:paraId="6CCC349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10B815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7735 [Об организации подвижных радиостанций НКГБ в прифронтовой зоне.] (7313, 28).</w:t>
      </w:r>
    </w:p>
    <w:p w14:paraId="616DCED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CA48E5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7737 О мероприятиях по обеспечению геологоразведочных работ по урану в 1945 г. (Д. 378, 30-37, 38-53).</w:t>
      </w:r>
    </w:p>
    <w:p w14:paraId="5FF51B4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9239E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7736. О досрочном освобождении 4 тыс. осужденных за самовольный уход с предприятий и бытовые преступления и направлении их на заводы НКСС и НКАП. РГАНИР, Фонд ГКО, д. 378 Л.29 (11012).</w:t>
      </w:r>
    </w:p>
    <w:p w14:paraId="468A20D1" w14:textId="77777777" w:rsidR="00665165" w:rsidRPr="00925F26" w:rsidRDefault="00665165" w:rsidP="00925F26">
      <w:pPr>
        <w:autoSpaceDE w:val="0"/>
        <w:autoSpaceDN w:val="0"/>
        <w:adjustRightInd w:val="0"/>
        <w:jc w:val="both"/>
        <w:rPr>
          <w:color w:val="000000" w:themeColor="text1"/>
          <w:sz w:val="16"/>
          <w:szCs w:val="16"/>
        </w:rPr>
      </w:pPr>
    </w:p>
    <w:p w14:paraId="3C19DB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7738 Об организации производства антифриза и диэтиленгликоля на заводе №96 Наркомхимпрома. РГАНИР, Фонд ГКО, д. 378, лл. 54-56, 57-59 (11012).</w:t>
      </w:r>
    </w:p>
    <w:p w14:paraId="4717D3F1" w14:textId="77777777" w:rsidR="00665165" w:rsidRPr="00925F26" w:rsidRDefault="00665165" w:rsidP="00925F26">
      <w:pPr>
        <w:autoSpaceDE w:val="0"/>
        <w:autoSpaceDN w:val="0"/>
        <w:adjustRightInd w:val="0"/>
        <w:jc w:val="both"/>
        <w:rPr>
          <w:color w:val="000000" w:themeColor="text1"/>
          <w:sz w:val="16"/>
          <w:szCs w:val="16"/>
        </w:rPr>
      </w:pPr>
    </w:p>
    <w:p w14:paraId="782A96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7739 О создании в системе Наркомвооружения морского артиллерийского конструкторского бюро на базе Ленинградского филиала Центрального артиллерийского конструкторского бюро. РГАНИР, Фонд ГКО, д. 378, лл. 60-62 (11012).</w:t>
      </w:r>
    </w:p>
    <w:p w14:paraId="14CF023B" w14:textId="77777777" w:rsidR="00665165" w:rsidRPr="00925F26" w:rsidRDefault="00665165" w:rsidP="00925F26">
      <w:pPr>
        <w:autoSpaceDE w:val="0"/>
        <w:autoSpaceDN w:val="0"/>
        <w:adjustRightInd w:val="0"/>
        <w:jc w:val="both"/>
        <w:rPr>
          <w:color w:val="000000" w:themeColor="text1"/>
          <w:sz w:val="16"/>
          <w:szCs w:val="16"/>
        </w:rPr>
      </w:pPr>
    </w:p>
    <w:p w14:paraId="64953D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Распоряжение ГКО № 7740. О мерах по обеспечению выполнения заводами НКРП в марте 1945 г. плана производства синтетического каучука, шин и других резинотехнических и асбестовых изделий. РГАНИР, Фонд ГКО, д. 378, лл. 63-67 (11012).</w:t>
      </w:r>
    </w:p>
    <w:p w14:paraId="4C61FD40" w14:textId="77777777" w:rsidR="00665165" w:rsidRPr="00925F26" w:rsidRDefault="00665165" w:rsidP="00925F26">
      <w:pPr>
        <w:autoSpaceDE w:val="0"/>
        <w:autoSpaceDN w:val="0"/>
        <w:adjustRightInd w:val="0"/>
        <w:jc w:val="both"/>
        <w:rPr>
          <w:color w:val="000000" w:themeColor="text1"/>
          <w:sz w:val="16"/>
          <w:szCs w:val="16"/>
        </w:rPr>
      </w:pPr>
    </w:p>
    <w:p w14:paraId="663D4F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вышло Постановление ГКО № 7741 О неотложных мерах по снабжению хлопком, шерстью, льняным и пеньковым волокном предприятий текстильной промышленности. РГАНИР, Фонд ГКО, д. 378, лл. 68-69 (11012).</w:t>
      </w:r>
    </w:p>
    <w:p w14:paraId="592947E0" w14:textId="77777777" w:rsidR="00665165" w:rsidRPr="00925F26" w:rsidRDefault="00665165" w:rsidP="00925F26">
      <w:pPr>
        <w:autoSpaceDE w:val="0"/>
        <w:autoSpaceDN w:val="0"/>
        <w:adjustRightInd w:val="0"/>
        <w:jc w:val="both"/>
        <w:rPr>
          <w:color w:val="000000" w:themeColor="text1"/>
          <w:sz w:val="16"/>
          <w:szCs w:val="16"/>
        </w:rPr>
      </w:pPr>
    </w:p>
    <w:p w14:paraId="1FB72F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года в связи с острой нехваткой урана в СССР было выпущено Постановление ГКО "О мероприятиях по обеспечению геологоразведочных работ по урану в 1945 году". Это постановление обязало Комитет по делам геологии интенсифицировать поиск богатых урановых месторождений в СССР. К началу целенаправленных поисков в СССР было известно пять месторождений с общим запасом около 500 тонн урана. Эти месторождения и послужили базой, с которой начала свое развитие урановая промышленность Советского Союза. Для сравнения отметим, что в это время общие мировые запасы урана оценивались в 12000-15000 тонн, в том числе в Европе - 1000 тонн (Рудные горы в Чехословакии, Корнуэлл в Англии), в Африке - 3000 тонн (Шинколобве в Бельгийском Конго), в Северной Америке 9000 тонн (6000 тонн - Медвежье озеро в Канаде и 3000 тонн - Плато Колорадо в США) (10549).</w:t>
      </w:r>
    </w:p>
    <w:p w14:paraId="5193BA11" w14:textId="77777777" w:rsidR="00665165" w:rsidRPr="00925F26" w:rsidRDefault="00665165" w:rsidP="00925F26">
      <w:pPr>
        <w:autoSpaceDE w:val="0"/>
        <w:autoSpaceDN w:val="0"/>
        <w:adjustRightInd w:val="0"/>
        <w:jc w:val="both"/>
        <w:rPr>
          <w:color w:val="000000" w:themeColor="text1"/>
          <w:sz w:val="16"/>
          <w:szCs w:val="16"/>
        </w:rPr>
      </w:pPr>
    </w:p>
    <w:p w14:paraId="2B56038E" w14:textId="77777777" w:rsidR="0000194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DD32F36" w14:textId="77777777" w:rsidR="00001948" w:rsidRPr="00925F26" w:rsidRDefault="00001948" w:rsidP="00925F26">
      <w:pPr>
        <w:autoSpaceDE w:val="0"/>
        <w:autoSpaceDN w:val="0"/>
        <w:adjustRightInd w:val="0"/>
        <w:jc w:val="both"/>
        <w:rPr>
          <w:iCs/>
          <w:color w:val="000000" w:themeColor="text1"/>
          <w:sz w:val="16"/>
          <w:szCs w:val="16"/>
        </w:rPr>
      </w:pPr>
    </w:p>
    <w:p w14:paraId="49C6EF2D" w14:textId="77777777" w:rsidR="00001948" w:rsidRPr="00925F26" w:rsidRDefault="00001948" w:rsidP="00925F26">
      <w:pPr>
        <w:jc w:val="both"/>
        <w:rPr>
          <w:color w:val="000000" w:themeColor="text1"/>
          <w:sz w:val="16"/>
          <w:szCs w:val="16"/>
        </w:rPr>
      </w:pPr>
      <w:r w:rsidRPr="00925F26">
        <w:rPr>
          <w:bCs/>
          <w:color w:val="000000" w:themeColor="text1"/>
          <w:sz w:val="16"/>
          <w:szCs w:val="16"/>
        </w:rPr>
        <w:t>8 марта</w:t>
      </w:r>
      <w:r w:rsidRPr="00925F26">
        <w:rPr>
          <w:color w:val="000000" w:themeColor="text1"/>
          <w:sz w:val="16"/>
          <w:szCs w:val="16"/>
        </w:rPr>
        <w:t xml:space="preserve"> в 1945 году оперативная сводка Совинформбюро:.</w:t>
      </w:r>
    </w:p>
    <w:p w14:paraId="6FD272E7"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8 марта овладели городами Бытув (Бютов) и Косьцежина (Берент) — важными узлами железных и шоссейных дорог и сильными опорными пунктами обороны немцев на путях к Данцигу, а также заняли более 300 других населённых пунктов, среди которых: крупные населённые пункты Адлих Либенау, Перплин, Райкау, Сварошин, Шадрау, Майстерсвальде, Штангенвальде, Эггертсхютте, Грабувко, Калиска, Корнен, Накель, Борнтухен, Альт-Кольциглов, Клайн И Гросс Ганзен, Клайн Зильков, Квакенбург, Францен. За 7 марта войска фронта взяли в плен более 2.000 немецких солдат и офицеров.</w:t>
      </w:r>
    </w:p>
    <w:p w14:paraId="778EF4C9" w14:textId="77777777" w:rsidR="00001948" w:rsidRPr="00925F26" w:rsidRDefault="00001948" w:rsidP="00925F26">
      <w:pPr>
        <w:jc w:val="both"/>
        <w:rPr>
          <w:color w:val="000000" w:themeColor="text1"/>
          <w:sz w:val="16"/>
          <w:szCs w:val="16"/>
        </w:rPr>
      </w:pPr>
      <w:r w:rsidRPr="00925F26">
        <w:rPr>
          <w:color w:val="000000" w:themeColor="text1"/>
          <w:sz w:val="16"/>
          <w:szCs w:val="16"/>
        </w:rPr>
        <w:t>На Штеттинском направлении, северо-западнее и западнее города Штаргард, наши войска вели бои по очищению от противника восточного берега реки Одер и заняли более 60 населённых пунктов, в том числе крупные населённые пункты Любцин, Христиненберг, Августвальде, Баренбрух, Кубланк, Реков, Колов, Зинцлов, Бремерхайде.</w:t>
      </w:r>
    </w:p>
    <w:p w14:paraId="4251C060" w14:textId="77777777" w:rsidR="00001948" w:rsidRPr="00925F26" w:rsidRDefault="00001948" w:rsidP="00925F26">
      <w:pPr>
        <w:jc w:val="both"/>
        <w:rPr>
          <w:color w:val="000000" w:themeColor="text1"/>
          <w:sz w:val="16"/>
          <w:szCs w:val="16"/>
        </w:rPr>
      </w:pPr>
      <w:r w:rsidRPr="00925F26">
        <w:rPr>
          <w:color w:val="000000" w:themeColor="text1"/>
          <w:sz w:val="16"/>
          <w:szCs w:val="16"/>
        </w:rPr>
        <w:t>В боях за 7 марта войска 1-го Белорусского фронта взяли в плен свыше 3.000 немецких солдат и офицеров.</w:t>
      </w:r>
    </w:p>
    <w:p w14:paraId="554DF85E" w14:textId="77777777" w:rsidR="00001948" w:rsidRPr="00925F26" w:rsidRDefault="00001948" w:rsidP="00925F26">
      <w:pPr>
        <w:jc w:val="both"/>
        <w:rPr>
          <w:color w:val="000000" w:themeColor="text1"/>
          <w:sz w:val="16"/>
          <w:szCs w:val="16"/>
        </w:rPr>
      </w:pPr>
      <w:r w:rsidRPr="00925F26">
        <w:rPr>
          <w:color w:val="000000" w:themeColor="text1"/>
          <w:sz w:val="16"/>
          <w:szCs w:val="16"/>
        </w:rPr>
        <w:t>В Венгрии северо-восточнее и южнее озера Балатон наши войска продолжали отбивать атаки крупных сил пехоты и танков противника.</w:t>
      </w:r>
    </w:p>
    <w:p w14:paraId="2B3E11A8" w14:textId="77777777" w:rsidR="00001948" w:rsidRPr="00925F26" w:rsidRDefault="00001948"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073815E7" w14:textId="77777777" w:rsidR="00001948" w:rsidRPr="00925F26" w:rsidRDefault="00001948" w:rsidP="00925F26">
      <w:pPr>
        <w:jc w:val="both"/>
        <w:rPr>
          <w:color w:val="000000" w:themeColor="text1"/>
          <w:sz w:val="16"/>
          <w:szCs w:val="16"/>
        </w:rPr>
      </w:pPr>
      <w:r w:rsidRPr="00925F26">
        <w:rPr>
          <w:color w:val="000000" w:themeColor="text1"/>
          <w:sz w:val="16"/>
          <w:szCs w:val="16"/>
        </w:rPr>
        <w:t>За 7 марта на всех фронтах подбито и уничтожено 116 немецких танков. В воздушных боях и огнём зенитной артиллерии сбито 39 самолётов противника.</w:t>
      </w:r>
    </w:p>
    <w:p w14:paraId="0DACF76B"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2-го Белорусского фронта развивали успешное наступление. Советские пехотинцы при поддержке танков и артиллерии атаковали город Косьцежина (Берент)— сильный опорный пункт обороны немцев на подступах к Данцигу. Наши бойцы ворвались в город и после ожесточённых уличных схваток овладели им. Упорные бои происходили также на подступах к городу Бытув (Бютов). Этот город является важным узлом коммуникаций в восточной Померании. К нему сходятся три железные и несколько шоссейных дорог. Удерживая Бытув, немцы имели возможность маневрировать своими войсками. Бойцы Н-ского соединения, подошедшие к городу, отразили следовавшие одна за другой десять контратак противника. Тем временем наши подвижные части совершили обходный манёвр и нанесли врагу удар с северо-запада. В результате ожесточённого боя сопротивление немцев было сломлено. Остатки разбитого вражеского гарнизона в беспорядке отступили.</w:t>
      </w:r>
    </w:p>
    <w:p w14:paraId="3F9C75B3" w14:textId="77777777" w:rsidR="00001948" w:rsidRPr="00925F26" w:rsidRDefault="00001948" w:rsidP="00925F26">
      <w:pPr>
        <w:jc w:val="both"/>
        <w:rPr>
          <w:color w:val="000000" w:themeColor="text1"/>
          <w:sz w:val="16"/>
          <w:szCs w:val="16"/>
        </w:rPr>
      </w:pPr>
      <w:r w:rsidRPr="00925F26">
        <w:rPr>
          <w:color w:val="000000" w:themeColor="text1"/>
          <w:sz w:val="16"/>
          <w:szCs w:val="16"/>
        </w:rPr>
        <w:t>Войска фронта, преодолевая лесные завалы, минные поля и ломая оборону противника, построенную между озёрами, продвинулись вперёд на 20 километров. В районе населённого пункта Штангенвальде немцы бросили в контратаку танки. Наши танкисты уничтожили 13 вражеских танков и выбили немцев из Штангенвальде, находящегося в 20 километрах к юго-западу от Данцига. За день боёв наши войска истребили свыше 3 тысяч немецких солдат и офицеров. Уничтожено 42 танка и самоходных орудия противника. Захвачено у немцев 6 самолётов, 3 железнодорожных эшелона с военным имуществом и большое количество вооружения. Взят в плен командир немецкой запасной бригады «Герман Геринг» полковник Майер со своим штабом.</w:t>
      </w:r>
    </w:p>
    <w:p w14:paraId="705C25D9" w14:textId="77777777" w:rsidR="00001948" w:rsidRPr="00925F26" w:rsidRDefault="00001948" w:rsidP="00925F26">
      <w:pPr>
        <w:jc w:val="both"/>
        <w:rPr>
          <w:color w:val="000000" w:themeColor="text1"/>
          <w:sz w:val="16"/>
          <w:szCs w:val="16"/>
        </w:rPr>
      </w:pPr>
      <w:r w:rsidRPr="00925F26">
        <w:rPr>
          <w:color w:val="000000" w:themeColor="text1"/>
          <w:sz w:val="16"/>
          <w:szCs w:val="16"/>
        </w:rPr>
        <w:t>На Штеттинском направлении наши войска продолжали наступление. Советские танки и пехота, продвигаясь вдоль шоссейных и железных дорог, идущих к городу Альтдамм, выбили немцев из ряда населённых пунктов. Ожесточённые бои идут в 5 километрах к востоку от Альтдамма. Немцы стремятся удержать в своих руках этот город, прикрывающий Штеттин с востока. Советские войска, наступающие в северном направлении между озером Мадю-Зее и рекой Одер, продвинулись вперёд на 15 километров. Занят ряд сильно укреплённых опорных пунктов. Отступая под ударами наших войск, противник несёт большие потери в живой силе и технике. По неполным данным, захвачено у немцев 5 самоходных орудий, 74 полевых орудия, более 100 миномётов, 300 пулемётов и другие трофеи.</w:t>
      </w:r>
    </w:p>
    <w:p w14:paraId="1A24DD29" w14:textId="77777777" w:rsidR="00001948" w:rsidRPr="00925F26" w:rsidRDefault="00001948" w:rsidP="00925F26">
      <w:pPr>
        <w:jc w:val="both"/>
        <w:rPr>
          <w:color w:val="000000" w:themeColor="text1"/>
          <w:sz w:val="16"/>
          <w:szCs w:val="16"/>
        </w:rPr>
      </w:pPr>
      <w:r w:rsidRPr="00925F26">
        <w:rPr>
          <w:color w:val="000000" w:themeColor="text1"/>
          <w:sz w:val="16"/>
          <w:szCs w:val="16"/>
        </w:rPr>
        <w:t>В городе Штепенитц, занятом вчера нашими войсками, захвачено 23 паровоза, более 500 железнодорожных вагонов и цистерн, пароход с баржей и несколько складов с боеприпасами, продовольствием и военными материалами.</w:t>
      </w:r>
    </w:p>
    <w:p w14:paraId="134533F5" w14:textId="77777777" w:rsidR="00001948" w:rsidRPr="00925F26" w:rsidRDefault="00001948" w:rsidP="00925F26">
      <w:pPr>
        <w:jc w:val="both"/>
        <w:rPr>
          <w:color w:val="000000" w:themeColor="text1"/>
          <w:sz w:val="16"/>
          <w:szCs w:val="16"/>
        </w:rPr>
      </w:pPr>
      <w:r w:rsidRPr="00925F26">
        <w:rPr>
          <w:color w:val="000000" w:themeColor="text1"/>
          <w:sz w:val="16"/>
          <w:szCs w:val="16"/>
        </w:rPr>
        <w:t>В Венгрии северо-восточнее и южнее озера Балатон противник на рассвете возобновил атаки. На узком участке немцы бросили в бой крупные силы пехоты и танков. Мощным огнём из всех видов оружия и контрударами советские части отбивают атаки гитлеровцев. В ходе ожесточённого боя уничтожено свыше 2 тысяч немецких солдат и офицеров. Сожжено, подбито и подорвалось на минах 26 бронетранспортёров и 48 танков и самоходных орудий противника.</w:t>
      </w:r>
    </w:p>
    <w:p w14:paraId="60E6EB1C" w14:textId="77777777" w:rsidR="00001948" w:rsidRPr="00925F26" w:rsidRDefault="00001948" w:rsidP="00925F26">
      <w:pPr>
        <w:jc w:val="both"/>
        <w:rPr>
          <w:color w:val="000000" w:themeColor="text1"/>
          <w:sz w:val="16"/>
          <w:szCs w:val="16"/>
        </w:rPr>
      </w:pPr>
      <w:r w:rsidRPr="00925F26">
        <w:rPr>
          <w:color w:val="000000" w:themeColor="text1"/>
          <w:sz w:val="16"/>
          <w:szCs w:val="16"/>
        </w:rPr>
        <w:t>Отражая вражеские атаки, советские бойцы, сержанты и офицеры проявляют непоколебимую стойкость и героизм. Орудийный расчёт сержанта Нанешева в одном бою подбил три немецких танка. Бронебойщики Воронин и Емельянов вместе с группой автоматчиков истребили взвод вражеской пехоты и сожгли самоходное орудие. Пулемётчик Басаранов уничтожил 13 немцев. Два немецких танка атаковали пулемётный взвод лейтенанта Кропачёва. Лейтенант Кропачёв противотанковыми гранатами подбил один немецкий танк. Другой танк пулемётчики забросали бутылками с горючей смесью. Вражеская машина сгорела. Три немецких танка подорвались на минах, установленных сапёром Василенко.</w:t>
      </w:r>
    </w:p>
    <w:p w14:paraId="15D6785A" w14:textId="77777777" w:rsidR="00001948" w:rsidRPr="00925F26" w:rsidRDefault="00001948" w:rsidP="00925F26">
      <w:pPr>
        <w:jc w:val="both"/>
        <w:rPr>
          <w:color w:val="000000" w:themeColor="text1"/>
          <w:sz w:val="16"/>
          <w:szCs w:val="16"/>
        </w:rPr>
      </w:pPr>
      <w:r w:rsidRPr="00925F26">
        <w:rPr>
          <w:color w:val="000000" w:themeColor="text1"/>
          <w:sz w:val="16"/>
          <w:szCs w:val="16"/>
        </w:rPr>
        <w:t>Нашими кораблями в Балтийском море потоплен транспорт противника водоизмещением в 4 тысячи тонн.» (15062).</w:t>
      </w:r>
    </w:p>
    <w:p w14:paraId="5FD3CCBD" w14:textId="77777777" w:rsidR="00001948" w:rsidRPr="00925F26" w:rsidRDefault="00001948" w:rsidP="00925F26">
      <w:pPr>
        <w:jc w:val="both"/>
        <w:rPr>
          <w:color w:val="000000" w:themeColor="text1"/>
          <w:sz w:val="16"/>
          <w:szCs w:val="16"/>
        </w:rPr>
      </w:pPr>
    </w:p>
    <w:p w14:paraId="5B6269C4" w14:textId="77777777" w:rsidR="00001948" w:rsidRPr="00925F26" w:rsidRDefault="00001948" w:rsidP="00925F26">
      <w:pPr>
        <w:jc w:val="both"/>
        <w:rPr>
          <w:color w:val="000000" w:themeColor="text1"/>
          <w:sz w:val="16"/>
          <w:szCs w:val="16"/>
        </w:rPr>
      </w:pPr>
      <w:r w:rsidRPr="00925F26">
        <w:rPr>
          <w:bCs/>
          <w:color w:val="000000" w:themeColor="text1"/>
          <w:sz w:val="16"/>
          <w:szCs w:val="16"/>
        </w:rPr>
        <w:t>8 марта</w:t>
      </w:r>
      <w:r w:rsidRPr="00925F26">
        <w:rPr>
          <w:color w:val="000000" w:themeColor="text1"/>
          <w:sz w:val="16"/>
          <w:szCs w:val="16"/>
        </w:rPr>
        <w:t xml:space="preserve"> в 1945 году под Ленинградом летчики В.Рыбин и А.Федотов (из 11-го и 102-го гвардейских полков) на «Spitfire» «LF IX» перехватили и сбили шедший на большой высоте немецкий разведчик «Ju88». Сбитый самолет относился к одной из последних модификаций (S или Т), имевшей на моторах устройства для форсирования мощности. Для других типов истребителей этот «Юнкерс» был неуязвим (15062).</w:t>
      </w:r>
    </w:p>
    <w:p w14:paraId="69806EC0" w14:textId="77777777" w:rsidR="00001948" w:rsidRPr="00925F26" w:rsidRDefault="00001948" w:rsidP="00925F26">
      <w:pPr>
        <w:jc w:val="both"/>
        <w:rPr>
          <w:color w:val="000000" w:themeColor="text1"/>
          <w:sz w:val="16"/>
          <w:szCs w:val="16"/>
        </w:rPr>
      </w:pPr>
    </w:p>
    <w:p w14:paraId="372CB579" w14:textId="77777777" w:rsidR="00202AFD" w:rsidRPr="00925F26" w:rsidRDefault="00202AFD" w:rsidP="00925F26">
      <w:pPr>
        <w:jc w:val="both"/>
        <w:rPr>
          <w:color w:val="000000" w:themeColor="text1"/>
          <w:sz w:val="16"/>
          <w:szCs w:val="16"/>
        </w:rPr>
      </w:pPr>
      <w:r w:rsidRPr="00925F26">
        <w:rPr>
          <w:color w:val="000000" w:themeColor="text1"/>
          <w:sz w:val="16"/>
          <w:szCs w:val="16"/>
        </w:rPr>
        <w:t>8 марта 1945 г. «Мистели» разрушили несколько переправ через Одер и 30 апреля 1945 г. совершили свой последний боевой вылет. Четыре сцепки вылетели из Пенемюнде для атаки моста через Одер в районе Тантова. Однако они не смогли долететь до цели, а из четырех пилотов выжил только один, приземлившийся в Ростоке (22758).</w:t>
      </w:r>
    </w:p>
    <w:p w14:paraId="493AA68B" w14:textId="77777777" w:rsidR="00202AFD" w:rsidRPr="00925F26" w:rsidRDefault="00202AFD" w:rsidP="00925F26">
      <w:pPr>
        <w:jc w:val="both"/>
        <w:rPr>
          <w:color w:val="000000" w:themeColor="text1"/>
          <w:sz w:val="16"/>
          <w:szCs w:val="16"/>
        </w:rPr>
      </w:pPr>
    </w:p>
    <w:p w14:paraId="7F25A0D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197C020" w14:textId="77777777" w:rsidR="00665165" w:rsidRPr="00925F26" w:rsidRDefault="00665165" w:rsidP="00925F26">
      <w:pPr>
        <w:autoSpaceDE w:val="0"/>
        <w:autoSpaceDN w:val="0"/>
        <w:adjustRightInd w:val="0"/>
        <w:jc w:val="both"/>
        <w:rPr>
          <w:iCs/>
          <w:color w:val="000000" w:themeColor="text1"/>
          <w:sz w:val="16"/>
          <w:szCs w:val="16"/>
        </w:rPr>
      </w:pPr>
    </w:p>
    <w:p w14:paraId="2EEF3C2C" w14:textId="77777777" w:rsidR="00D66160" w:rsidRPr="00925F26" w:rsidRDefault="00D66160" w:rsidP="00925F26">
      <w:pPr>
        <w:jc w:val="both"/>
        <w:rPr>
          <w:color w:val="000000" w:themeColor="text1"/>
          <w:sz w:val="16"/>
          <w:szCs w:val="16"/>
        </w:rPr>
      </w:pPr>
      <w:r w:rsidRPr="00925F26">
        <w:rPr>
          <w:color w:val="000000" w:themeColor="text1"/>
          <w:sz w:val="16"/>
          <w:szCs w:val="16"/>
        </w:rPr>
        <w:t>8 марта 1945 г. четверка "Мис</w:t>
      </w:r>
      <w:r w:rsidRPr="00925F26">
        <w:rPr>
          <w:color w:val="000000" w:themeColor="text1"/>
          <w:sz w:val="16"/>
          <w:szCs w:val="16"/>
        </w:rPr>
        <w:softHyphen/>
        <w:t>телей" в сопровождении пяти самолетов- осветителей Ju 88S и двух доразведчиков Ju 188 атаковала переправы в районе го</w:t>
      </w:r>
      <w:r w:rsidRPr="00925F26">
        <w:rPr>
          <w:color w:val="000000" w:themeColor="text1"/>
          <w:sz w:val="16"/>
          <w:szCs w:val="16"/>
        </w:rPr>
        <w:softHyphen/>
        <w:t>рода Геритц. Снова выявилась невысокая надежность составных самолетов: первая "Мистель" была потеряна через 30 минут после взлета из-за отказа в системе уп</w:t>
      </w:r>
      <w:r w:rsidRPr="00925F26">
        <w:rPr>
          <w:color w:val="000000" w:themeColor="text1"/>
          <w:sz w:val="16"/>
          <w:szCs w:val="16"/>
        </w:rPr>
        <w:softHyphen/>
        <w:t>равления нижним элементом. Вторая "Мистель" была повреждена зенитным снарядом, который вывел из строя авто</w:t>
      </w:r>
      <w:r w:rsidRPr="00925F26">
        <w:rPr>
          <w:color w:val="000000" w:themeColor="text1"/>
          <w:sz w:val="16"/>
          <w:szCs w:val="16"/>
        </w:rPr>
        <w:softHyphen/>
        <w:t>пилот. Две оставшиеся системы, по док</w:t>
      </w:r>
      <w:r w:rsidRPr="00925F26">
        <w:rPr>
          <w:color w:val="000000" w:themeColor="text1"/>
          <w:sz w:val="16"/>
          <w:szCs w:val="16"/>
        </w:rPr>
        <w:softHyphen/>
        <w:t>ладам экипажей, удачно атаковали "се</w:t>
      </w:r>
      <w:r w:rsidRPr="00925F26">
        <w:rPr>
          <w:color w:val="000000" w:themeColor="text1"/>
          <w:sz w:val="16"/>
          <w:szCs w:val="16"/>
        </w:rPr>
        <w:softHyphen/>
        <w:t>верный мост у Геритц, добившись двух попаданий", но советский информацион</w:t>
      </w:r>
      <w:r w:rsidRPr="00925F26">
        <w:rPr>
          <w:color w:val="000000" w:themeColor="text1"/>
          <w:sz w:val="16"/>
          <w:szCs w:val="16"/>
        </w:rPr>
        <w:softHyphen/>
        <w:t>ный бюллетень ВВС от апреля 1945 г. ставит все на свои места: ближайший разрыв пришелся в 50 м от наплавной переправы; поднятой волной она была разорвана, но через полчаса восстановле</w:t>
      </w:r>
      <w:r w:rsidRPr="00925F26">
        <w:rPr>
          <w:color w:val="000000" w:themeColor="text1"/>
          <w:sz w:val="16"/>
          <w:szCs w:val="16"/>
        </w:rPr>
        <w:softHyphen/>
        <w:t>на. Вторая "Мистель" взорвалась на бере</w:t>
      </w:r>
      <w:r w:rsidRPr="00925F26">
        <w:rPr>
          <w:color w:val="000000" w:themeColor="text1"/>
          <w:sz w:val="16"/>
          <w:szCs w:val="16"/>
        </w:rPr>
        <w:softHyphen/>
        <w:t>гу в 100 м от переправы и не нанесла ей никаких повреждений. Огнем зенитной артиллерии был сбит один Ju 188, а его экипаж взят в плен.</w:t>
      </w:r>
    </w:p>
    <w:p w14:paraId="2AE41EBB" w14:textId="77777777" w:rsidR="00D66160" w:rsidRPr="00925F26" w:rsidRDefault="00D66160" w:rsidP="00925F26">
      <w:pPr>
        <w:jc w:val="both"/>
        <w:rPr>
          <w:color w:val="000000" w:themeColor="text1"/>
          <w:sz w:val="16"/>
          <w:szCs w:val="16"/>
        </w:rPr>
      </w:pPr>
      <w:r w:rsidRPr="00925F26">
        <w:rPr>
          <w:color w:val="000000" w:themeColor="text1"/>
          <w:sz w:val="16"/>
          <w:szCs w:val="16"/>
        </w:rPr>
        <w:t>Ровно через месяц пять "Мистелей" 3 были использованы для нанесения удара по мостам через Вислу в районе Варшавы. Из-за сильного противодействия зенит</w:t>
      </w:r>
      <w:r w:rsidRPr="00925F26">
        <w:rPr>
          <w:color w:val="000000" w:themeColor="text1"/>
          <w:sz w:val="16"/>
          <w:szCs w:val="16"/>
        </w:rPr>
        <w:softHyphen/>
        <w:t>ной артиллерии разделение элементов было произведено на максимальной даль</w:t>
      </w:r>
      <w:r w:rsidRPr="00925F26">
        <w:rPr>
          <w:color w:val="000000" w:themeColor="text1"/>
          <w:sz w:val="16"/>
          <w:szCs w:val="16"/>
        </w:rPr>
        <w:softHyphen/>
        <w:t>ности, поэтому ни один из "юнкерсов" в цель не попал, зато все пять FW I90A-8 вернулись на свой аэродром Последняя попытка применения "Мистелей" датиру</w:t>
      </w:r>
      <w:r w:rsidRPr="00925F26">
        <w:rPr>
          <w:color w:val="000000" w:themeColor="text1"/>
          <w:sz w:val="16"/>
          <w:szCs w:val="16"/>
        </w:rPr>
        <w:softHyphen/>
        <w:t>ется 30 апреля 1945 г. В этот день объек</w:t>
      </w:r>
      <w:r w:rsidRPr="00925F26">
        <w:rPr>
          <w:color w:val="000000" w:themeColor="text1"/>
          <w:sz w:val="16"/>
          <w:szCs w:val="16"/>
        </w:rPr>
        <w:softHyphen/>
        <w:t>тами атаки для четырех составных само</w:t>
      </w:r>
      <w:r w:rsidRPr="00925F26">
        <w:rPr>
          <w:color w:val="000000" w:themeColor="text1"/>
          <w:sz w:val="16"/>
          <w:szCs w:val="16"/>
        </w:rPr>
        <w:softHyphen/>
        <w:t>летов стали мосты через Одер в районе Пренцлау. И вновь одна машина была по</w:t>
      </w:r>
      <w:r w:rsidRPr="00925F26">
        <w:rPr>
          <w:color w:val="000000" w:themeColor="text1"/>
          <w:sz w:val="16"/>
          <w:szCs w:val="16"/>
        </w:rPr>
        <w:softHyphen/>
        <w:t>теряна в результате аварии, а три осталь</w:t>
      </w:r>
      <w:r w:rsidRPr="00925F26">
        <w:rPr>
          <w:color w:val="000000" w:themeColor="text1"/>
          <w:sz w:val="16"/>
          <w:szCs w:val="16"/>
        </w:rPr>
        <w:softHyphen/>
        <w:t>ные промахнулись мимо цели (24193).</w:t>
      </w:r>
    </w:p>
    <w:p w14:paraId="0C7BAEFF" w14:textId="77777777" w:rsidR="00D66160" w:rsidRPr="00925F26" w:rsidRDefault="00D66160" w:rsidP="00925F26">
      <w:pPr>
        <w:jc w:val="both"/>
        <w:rPr>
          <w:color w:val="000000" w:themeColor="text1"/>
          <w:sz w:val="16"/>
          <w:szCs w:val="16"/>
        </w:rPr>
      </w:pPr>
    </w:p>
    <w:p w14:paraId="7FF535EA" w14:textId="77777777" w:rsidR="00D66160" w:rsidRPr="00925F26" w:rsidRDefault="00D66160" w:rsidP="00925F26">
      <w:pPr>
        <w:jc w:val="both"/>
        <w:rPr>
          <w:color w:val="000000" w:themeColor="text1"/>
          <w:sz w:val="16"/>
          <w:szCs w:val="16"/>
        </w:rPr>
      </w:pPr>
      <w:r w:rsidRPr="00925F26">
        <w:rPr>
          <w:color w:val="000000" w:themeColor="text1"/>
          <w:sz w:val="16"/>
          <w:szCs w:val="16"/>
        </w:rPr>
        <w:t>8 марта 1945  г. ракета Вассерфаль развила скорость 760 м/с (45,6 км/мин, 2736 км/час) и достигла высоты 19 км. Одни источники говорят, что было выполнено 25 пусков, 15 из которых признали успешными, по другим — за два года запустили около 50 ракет. В любом случае, ракету подготовили к серийному производству, но было уже поздно — шли последние недели войны (23372).</w:t>
      </w:r>
    </w:p>
    <w:p w14:paraId="7D224492" w14:textId="77777777" w:rsidR="00D66160" w:rsidRPr="00925F26" w:rsidRDefault="00D66160" w:rsidP="00925F26">
      <w:pPr>
        <w:jc w:val="both"/>
        <w:rPr>
          <w:color w:val="000000" w:themeColor="text1"/>
          <w:sz w:val="16"/>
          <w:szCs w:val="16"/>
        </w:rPr>
      </w:pPr>
    </w:p>
    <w:p w14:paraId="15B28709" w14:textId="77777777" w:rsidR="00C1740F" w:rsidRPr="00925F26" w:rsidRDefault="00C1740F" w:rsidP="00925F26">
      <w:pPr>
        <w:jc w:val="both"/>
        <w:rPr>
          <w:color w:val="000000" w:themeColor="text1"/>
          <w:sz w:val="16"/>
          <w:szCs w:val="16"/>
        </w:rPr>
      </w:pPr>
      <w:r w:rsidRPr="00925F26">
        <w:rPr>
          <w:bCs/>
          <w:color w:val="000000" w:themeColor="text1"/>
          <w:sz w:val="16"/>
          <w:szCs w:val="16"/>
        </w:rPr>
        <w:t>8 марта</w:t>
      </w:r>
      <w:r w:rsidRPr="00925F26">
        <w:rPr>
          <w:color w:val="000000" w:themeColor="text1"/>
          <w:sz w:val="16"/>
          <w:szCs w:val="16"/>
        </w:rPr>
        <w:t xml:space="preserve"> в 1945 году последний, из заказанных </w:t>
      </w:r>
      <w:proofErr w:type="gramStart"/>
      <w:r w:rsidRPr="00925F26">
        <w:rPr>
          <w:color w:val="000000" w:themeColor="text1"/>
          <w:sz w:val="16"/>
          <w:szCs w:val="16"/>
        </w:rPr>
        <w:t>66 палубных</w:t>
      </w:r>
      <w:proofErr w:type="gramEnd"/>
      <w:r w:rsidRPr="00925F26">
        <w:rPr>
          <w:color w:val="000000" w:themeColor="text1"/>
          <w:sz w:val="16"/>
          <w:szCs w:val="16"/>
        </w:rPr>
        <w:t xml:space="preserve"> истребителей </w:t>
      </w:r>
      <w:hyperlink r:id="rId65" w:tgtFrame="_blank" w:history="1">
        <w:r w:rsidRPr="00925F26">
          <w:rPr>
            <w:color w:val="000000" w:themeColor="text1"/>
            <w:sz w:val="16"/>
            <w:szCs w:val="16"/>
          </w:rPr>
          <w:t xml:space="preserve">«F7F-2» «Tigercat» </w:t>
        </w:r>
      </w:hyperlink>
      <w:r w:rsidRPr="00925F26">
        <w:rPr>
          <w:color w:val="000000" w:themeColor="text1"/>
          <w:sz w:val="16"/>
          <w:szCs w:val="16"/>
        </w:rPr>
        <w:t>(разработчик: Grumman, США), передали флоту. Главными отличиями "двойки" («F7F-2») от своего предшественника стала установка радара AN/APS-6 в носовой части фюзеляжа, для чего потребовалось демонтировать оттуда 12,7 мм пулеметы (хотя "посадочные места" под них сохранили) и установка второй кабины для оператора РЛС. Ее разместили непосредственно за кабиной пилота, для чего пришлось уменьшить объем фюзеляжного топливного бака (15062).</w:t>
      </w:r>
    </w:p>
    <w:p w14:paraId="7CF31DF6" w14:textId="77777777" w:rsidR="00C1740F" w:rsidRPr="00925F26" w:rsidRDefault="00C1740F" w:rsidP="00925F26">
      <w:pPr>
        <w:jc w:val="both"/>
        <w:rPr>
          <w:color w:val="000000" w:themeColor="text1"/>
          <w:sz w:val="16"/>
          <w:szCs w:val="16"/>
        </w:rPr>
      </w:pPr>
    </w:p>
    <w:p w14:paraId="15D16154" w14:textId="77777777" w:rsidR="00C1740F" w:rsidRPr="00925F26" w:rsidRDefault="00C1740F"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8 1945 A rocket powered Gorgon air-to-air missile was launched from a PBY-5A and achieved an estimated speed of 550 m.p.h. in its first powered test flight, conducted off Cape May, N.J. under the direction of Lieutenant Commander M. B. Taylor (1090).</w:t>
      </w:r>
    </w:p>
    <w:p w14:paraId="1C8F89D7" w14:textId="77777777" w:rsidR="00C1740F" w:rsidRPr="00925F26" w:rsidRDefault="00C1740F" w:rsidP="00925F26">
      <w:pPr>
        <w:autoSpaceDE w:val="0"/>
        <w:autoSpaceDN w:val="0"/>
        <w:adjustRightInd w:val="0"/>
        <w:jc w:val="both"/>
        <w:rPr>
          <w:color w:val="000000" w:themeColor="text1"/>
          <w:sz w:val="16"/>
          <w:szCs w:val="16"/>
          <w:lang w:val="en-US"/>
        </w:rPr>
      </w:pPr>
    </w:p>
    <w:p w14:paraId="49A7CB08" w14:textId="77777777" w:rsidR="00C1740F" w:rsidRPr="00925F26" w:rsidRDefault="00C1740F" w:rsidP="00925F26">
      <w:pPr>
        <w:autoSpaceDE w:val="0"/>
        <w:autoSpaceDN w:val="0"/>
        <w:adjustRightInd w:val="0"/>
        <w:jc w:val="both"/>
        <w:rPr>
          <w:color w:val="000000" w:themeColor="text1"/>
          <w:sz w:val="16"/>
          <w:szCs w:val="16"/>
        </w:rPr>
      </w:pPr>
      <w:r w:rsidRPr="00925F26">
        <w:rPr>
          <w:color w:val="000000" w:themeColor="text1"/>
          <w:sz w:val="16"/>
          <w:szCs w:val="16"/>
        </w:rPr>
        <w:t>8 марта 1945 состоялось испытание американской ракеты воздух-воздух Гордон (1090).</w:t>
      </w:r>
    </w:p>
    <w:p w14:paraId="4524C826" w14:textId="77777777" w:rsidR="00C1740F" w:rsidRPr="00925F26" w:rsidRDefault="00C1740F" w:rsidP="00925F26">
      <w:pPr>
        <w:autoSpaceDE w:val="0"/>
        <w:autoSpaceDN w:val="0"/>
        <w:adjustRightInd w:val="0"/>
        <w:jc w:val="both"/>
        <w:rPr>
          <w:color w:val="000000" w:themeColor="text1"/>
          <w:sz w:val="16"/>
          <w:szCs w:val="16"/>
        </w:rPr>
      </w:pPr>
    </w:p>
    <w:p w14:paraId="2F1F36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немецкая ракета ФАУ-2 попала в оживленный рынок в Лондоне, убив 110 человек (4962).</w:t>
      </w:r>
    </w:p>
    <w:p w14:paraId="5B71AE1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306499" w14:textId="77777777" w:rsidR="00C1740F" w:rsidRPr="00925F26" w:rsidRDefault="00C1740F" w:rsidP="00925F26">
      <w:pPr>
        <w:jc w:val="both"/>
        <w:rPr>
          <w:color w:val="000000" w:themeColor="text1"/>
          <w:sz w:val="16"/>
          <w:szCs w:val="16"/>
        </w:rPr>
      </w:pPr>
      <w:r w:rsidRPr="00925F26">
        <w:rPr>
          <w:bCs/>
          <w:color w:val="000000" w:themeColor="text1"/>
          <w:sz w:val="16"/>
          <w:szCs w:val="16"/>
        </w:rPr>
        <w:t>8 марта</w:t>
      </w:r>
      <w:r w:rsidRPr="00925F26">
        <w:rPr>
          <w:color w:val="000000" w:themeColor="text1"/>
          <w:sz w:val="16"/>
          <w:szCs w:val="16"/>
        </w:rPr>
        <w:t xml:space="preserve"> в 1945 году американские войска заняли Бонн (15062).</w:t>
      </w:r>
    </w:p>
    <w:p w14:paraId="62901CEB" w14:textId="77777777" w:rsidR="00C1740F" w:rsidRPr="00925F26" w:rsidRDefault="00C1740F" w:rsidP="00925F26">
      <w:pPr>
        <w:jc w:val="both"/>
        <w:rPr>
          <w:color w:val="000000" w:themeColor="text1"/>
          <w:sz w:val="16"/>
          <w:szCs w:val="16"/>
        </w:rPr>
      </w:pPr>
    </w:p>
    <w:p w14:paraId="4DB24D5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марта 1945 фашистами уничтожено 117 голландцев Амстердама за убийство генерала СС Ханса Раутера (4962).</w:t>
      </w:r>
    </w:p>
    <w:p w14:paraId="4C4D167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6468C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8th, 1945: Beginning of secret negotiations at Bern, Switzerland, between representatives of the American OSS (Allan Dulles) and the German High Command in Italy (General von Vietinghoff and SS General Wolff) for an early surrender of German forces in Italy. In the East, the Red Army penetrates into the southern suburbs of Breslau (3819).</w:t>
      </w:r>
    </w:p>
    <w:p w14:paraId="5B13F940" w14:textId="77777777" w:rsidR="00665165" w:rsidRPr="00925F26" w:rsidRDefault="00665165" w:rsidP="00925F26">
      <w:pPr>
        <w:autoSpaceDE w:val="0"/>
        <w:autoSpaceDN w:val="0"/>
        <w:adjustRightInd w:val="0"/>
        <w:jc w:val="both"/>
        <w:rPr>
          <w:color w:val="000000" w:themeColor="text1"/>
          <w:sz w:val="16"/>
          <w:szCs w:val="16"/>
          <w:lang w:val="en-US"/>
        </w:rPr>
      </w:pPr>
    </w:p>
    <w:p w14:paraId="284DE2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марта 1945 начались секретные переговоры в Берне, Швейцарии между Аленом Даллесом м г фон Витенгхоффом и г СС Вольфом. КА подошла к восточным предместьям Бреслау (3819).</w:t>
      </w:r>
    </w:p>
    <w:p w14:paraId="4EE878E2" w14:textId="77777777" w:rsidR="00665165" w:rsidRPr="00925F26" w:rsidRDefault="00665165" w:rsidP="00925F26">
      <w:pPr>
        <w:autoSpaceDE w:val="0"/>
        <w:autoSpaceDN w:val="0"/>
        <w:adjustRightInd w:val="0"/>
        <w:jc w:val="both"/>
        <w:rPr>
          <w:color w:val="000000" w:themeColor="text1"/>
          <w:sz w:val="16"/>
          <w:szCs w:val="16"/>
        </w:rPr>
      </w:pPr>
    </w:p>
    <w:p w14:paraId="477243BA" w14:textId="77777777" w:rsidR="00C1740F" w:rsidRPr="00925F26" w:rsidRDefault="00C1740F" w:rsidP="00925F26">
      <w:pPr>
        <w:jc w:val="both"/>
        <w:rPr>
          <w:color w:val="000000" w:themeColor="text1"/>
          <w:sz w:val="16"/>
          <w:szCs w:val="16"/>
        </w:rPr>
      </w:pPr>
      <w:r w:rsidRPr="00925F26">
        <w:rPr>
          <w:bCs/>
          <w:color w:val="000000" w:themeColor="text1"/>
          <w:sz w:val="16"/>
          <w:szCs w:val="16"/>
        </w:rPr>
        <w:t>8 марта</w:t>
      </w:r>
      <w:r w:rsidRPr="00925F26">
        <w:rPr>
          <w:color w:val="000000" w:themeColor="text1"/>
          <w:sz w:val="16"/>
          <w:szCs w:val="16"/>
        </w:rPr>
        <w:t xml:space="preserve"> в 1945 году генерал СС Вольф начинает в Швейцарии секретные переговоры с американскими представителями об условиях сдачи германских войск в Италии (15062).</w:t>
      </w:r>
    </w:p>
    <w:p w14:paraId="059D174E" w14:textId="77777777" w:rsidR="00C1740F" w:rsidRPr="00925F26" w:rsidRDefault="00C1740F" w:rsidP="00925F26">
      <w:pPr>
        <w:jc w:val="both"/>
        <w:rPr>
          <w:color w:val="000000" w:themeColor="text1"/>
          <w:sz w:val="16"/>
          <w:szCs w:val="16"/>
        </w:rPr>
      </w:pPr>
    </w:p>
    <w:p w14:paraId="7693D1EA" w14:textId="77777777" w:rsidR="00C1740F" w:rsidRPr="00925F26" w:rsidRDefault="00C1740F" w:rsidP="00925F26">
      <w:pPr>
        <w:jc w:val="both"/>
        <w:rPr>
          <w:color w:val="000000" w:themeColor="text1"/>
          <w:sz w:val="16"/>
          <w:szCs w:val="16"/>
        </w:rPr>
      </w:pPr>
      <w:r w:rsidRPr="00925F26">
        <w:rPr>
          <w:bCs/>
          <w:color w:val="000000" w:themeColor="text1"/>
          <w:sz w:val="16"/>
          <w:szCs w:val="16"/>
        </w:rPr>
        <w:t>8 марта</w:t>
      </w:r>
      <w:r w:rsidRPr="00925F26">
        <w:rPr>
          <w:color w:val="000000" w:themeColor="text1"/>
          <w:sz w:val="16"/>
          <w:szCs w:val="16"/>
        </w:rPr>
        <w:t xml:space="preserve"> в 1945 году визит Черчилля в Аахен – в расположение британских оккупационных войск в Германии (15062).</w:t>
      </w:r>
    </w:p>
    <w:p w14:paraId="1FE90242" w14:textId="77777777" w:rsidR="00C1740F" w:rsidRPr="00925F26" w:rsidRDefault="00C1740F" w:rsidP="00925F26">
      <w:pPr>
        <w:jc w:val="both"/>
        <w:rPr>
          <w:color w:val="000000" w:themeColor="text1"/>
          <w:sz w:val="16"/>
          <w:szCs w:val="16"/>
        </w:rPr>
      </w:pPr>
    </w:p>
    <w:p w14:paraId="4908686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299393D" w14:textId="77777777" w:rsidR="00665165" w:rsidRPr="00925F26" w:rsidRDefault="00665165" w:rsidP="00925F26">
      <w:pPr>
        <w:autoSpaceDE w:val="0"/>
        <w:autoSpaceDN w:val="0"/>
        <w:adjustRightInd w:val="0"/>
        <w:jc w:val="both"/>
        <w:rPr>
          <w:iCs/>
          <w:color w:val="000000" w:themeColor="text1"/>
          <w:sz w:val="16"/>
          <w:szCs w:val="16"/>
        </w:rPr>
      </w:pPr>
    </w:p>
    <w:p w14:paraId="2B35B7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9 марта по 5 апреля 1945 проходили войсковые испытания 40 Як-9ДД 1-й и 2-й серий в 386иап 6бак (бомбардировочного авиакорпуса) 3ВА в Восточной Пруссии (65,138).</w:t>
      </w:r>
    </w:p>
    <w:p w14:paraId="46CD50EA" w14:textId="77777777" w:rsidR="00665165" w:rsidRPr="00925F26" w:rsidRDefault="00665165" w:rsidP="00925F26">
      <w:pPr>
        <w:autoSpaceDE w:val="0"/>
        <w:autoSpaceDN w:val="0"/>
        <w:adjustRightInd w:val="0"/>
        <w:jc w:val="both"/>
        <w:rPr>
          <w:color w:val="000000" w:themeColor="text1"/>
          <w:sz w:val="16"/>
          <w:szCs w:val="16"/>
        </w:rPr>
      </w:pPr>
    </w:p>
    <w:p w14:paraId="4DA5E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9 марта по 25 апреля 1945 года сорок машин Як-9ДД первых двух серий участвовали в войсковых испытаниях, проходивших в 368-м иап (командир М.К. Жулин) 334-й иад 6-го бомбардировочного авиакорпуса.</w:t>
      </w:r>
    </w:p>
    <w:p w14:paraId="70F486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w:t>
      </w:r>
      <w:proofErr w:type="gramStart"/>
      <w:r w:rsidRPr="00925F26">
        <w:rPr>
          <w:color w:val="000000" w:themeColor="text1"/>
          <w:sz w:val="16"/>
          <w:szCs w:val="16"/>
        </w:rPr>
        <w:t>В частности</w:t>
      </w:r>
      <w:proofErr w:type="gramEnd"/>
      <w:r w:rsidRPr="00925F26">
        <w:rPr>
          <w:color w:val="000000" w:themeColor="text1"/>
          <w:sz w:val="16"/>
          <w:szCs w:val="16"/>
        </w:rPr>
        <w:t xml:space="preserve">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6FE2EB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6F7E5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Заниженная скороподъемность и недостаточная маневренность, особенно при полной полетной массе.</w:t>
      </w:r>
    </w:p>
    <w:p w14:paraId="5D616C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7D8AA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4C33CD42" w14:textId="77777777" w:rsidR="00665165" w:rsidRPr="00925F26" w:rsidRDefault="00665165" w:rsidP="00925F26">
      <w:pPr>
        <w:autoSpaceDE w:val="0"/>
        <w:autoSpaceDN w:val="0"/>
        <w:adjustRightInd w:val="0"/>
        <w:jc w:val="both"/>
        <w:rPr>
          <w:color w:val="000000" w:themeColor="text1"/>
          <w:sz w:val="16"/>
          <w:szCs w:val="16"/>
        </w:rPr>
      </w:pPr>
    </w:p>
    <w:p w14:paraId="7A5639CF" w14:textId="77777777" w:rsidR="00FD716B" w:rsidRPr="00925F26" w:rsidRDefault="00FD716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С 9 марта по 25 апреля 1945 г., провели войсковые ис</w:t>
      </w:r>
      <w:r w:rsidRPr="00925F26">
        <w:rPr>
          <w:rFonts w:ascii="Times New Roman" w:cs="Times New Roman"/>
          <w:color w:val="000000" w:themeColor="text1"/>
          <w:spacing w:val="0"/>
        </w:rPr>
        <w:softHyphen/>
        <w:t xml:space="preserve">пытания Як-9ДД. 40 машин первых двух серий в период проведения наступления на Штеттин и Берлин передали в 368-й иап 334-й иад. Воздушные бои приходилось вести преимущественно с </w:t>
      </w:r>
      <w:r w:rsidRPr="00925F26">
        <w:rPr>
          <w:rFonts w:ascii="Times New Roman" w:cs="Times New Roman"/>
          <w:color w:val="000000" w:themeColor="text1"/>
          <w:spacing w:val="0"/>
          <w:lang w:val="en-US"/>
        </w:rPr>
        <w:t>FW</w:t>
      </w:r>
      <w:r w:rsidRPr="00925F26">
        <w:rPr>
          <w:rFonts w:ascii="Times New Roman" w:cs="Times New Roman"/>
          <w:color w:val="000000" w:themeColor="text1"/>
          <w:spacing w:val="0"/>
        </w:rPr>
        <w:t xml:space="preserve"> 190. Як-9- ДД использовались в основном для сопро</w:t>
      </w:r>
      <w:r w:rsidRPr="00925F26">
        <w:rPr>
          <w:rFonts w:ascii="Times New Roman" w:cs="Times New Roman"/>
          <w:color w:val="000000" w:themeColor="text1"/>
          <w:spacing w:val="0"/>
        </w:rPr>
        <w:softHyphen/>
        <w:t>вождения бомбардировщиков Пе-2 и Ту-2. Но при полёте последних на максимальной скорости Як-9ДД не имели необходимого преимущества для совместных действий.</w:t>
      </w:r>
    </w:p>
    <w:p w14:paraId="58F4BC6C" w14:textId="77777777" w:rsidR="00FD716B" w:rsidRPr="00925F26" w:rsidRDefault="00FD716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Отмечались низкая скороподъёмность и недостаточная маневрённость дальнего ис</w:t>
      </w:r>
      <w:r w:rsidRPr="00925F26">
        <w:rPr>
          <w:rFonts w:ascii="Times New Roman" w:cs="Times New Roman"/>
          <w:color w:val="000000" w:themeColor="text1"/>
          <w:spacing w:val="0"/>
        </w:rPr>
        <w:softHyphen/>
        <w:t>требителя, особенно при полной полётной массе. Боевая живучесть ухудшилась из-за установки центропланного бензобака под ногами у лётчика и отсутствия протекторов на крайних консольных баках. Сказывалась и большая площадь поражения восьми ба</w:t>
      </w:r>
      <w:r w:rsidRPr="00925F26">
        <w:rPr>
          <w:rFonts w:ascii="Times New Roman" w:cs="Times New Roman"/>
          <w:color w:val="000000" w:themeColor="text1"/>
          <w:spacing w:val="0"/>
        </w:rPr>
        <w:softHyphen/>
        <w:t>ков в крыле. Большая масса и недостаточ</w:t>
      </w:r>
      <w:r w:rsidRPr="00925F26">
        <w:rPr>
          <w:rFonts w:ascii="Times New Roman" w:cs="Times New Roman"/>
          <w:color w:val="000000" w:themeColor="text1"/>
          <w:spacing w:val="0"/>
        </w:rPr>
        <w:softHyphen/>
        <w:t>ная мощность двигателя являлись главными причинами ухудшения лётно-пилотажных и манёвренных качеств. Поэтому лётчики от</w:t>
      </w:r>
      <w:r w:rsidRPr="00925F26">
        <w:rPr>
          <w:rFonts w:ascii="Times New Roman" w:cs="Times New Roman"/>
          <w:color w:val="000000" w:themeColor="text1"/>
          <w:spacing w:val="0"/>
        </w:rPr>
        <w:softHyphen/>
        <w:t>носились к Як-9ДД сдержанно, называя его между собой «летающей цистерной».</w:t>
      </w:r>
    </w:p>
    <w:p w14:paraId="3FED6FC0" w14:textId="77777777" w:rsidR="00FD716B" w:rsidRPr="00925F26" w:rsidRDefault="00FD716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К этому времени Як-9ДД уже не являлись новинкой. Для оказания помощи Народно- освободительной армии Югославии, в ита</w:t>
      </w:r>
      <w:r w:rsidRPr="00925F26">
        <w:rPr>
          <w:rFonts w:ascii="Times New Roman" w:cs="Times New Roman"/>
          <w:color w:val="000000" w:themeColor="text1"/>
          <w:spacing w:val="0"/>
        </w:rPr>
        <w:softHyphen/>
        <w:t>льянском местечке Бари создали советскую авиабазу. В Авиагруппу особого назначения (АГОН), кроме самолётов С-47 и У-2, вклю</w:t>
      </w:r>
      <w:r w:rsidRPr="00925F26">
        <w:rPr>
          <w:rFonts w:ascii="Times New Roman" w:cs="Times New Roman"/>
          <w:color w:val="000000" w:themeColor="text1"/>
          <w:spacing w:val="0"/>
        </w:rPr>
        <w:softHyphen/>
        <w:t>чили 12 Як-9ДД 22-го иап. В последний со всех фронтов собрали наиболее опытных лётчиков. Истребители, лидируемые бом</w:t>
      </w:r>
      <w:r w:rsidRPr="00925F26">
        <w:rPr>
          <w:rFonts w:ascii="Times New Roman" w:cs="Times New Roman"/>
          <w:color w:val="000000" w:themeColor="text1"/>
          <w:spacing w:val="0"/>
        </w:rPr>
        <w:softHyphen/>
        <w:t>бардировщиком «Бостон», прибыли в Бари 25 августа. Большая часть полёта протя</w:t>
      </w:r>
      <w:r w:rsidRPr="00925F26">
        <w:rPr>
          <w:rFonts w:ascii="Times New Roman" w:cs="Times New Roman"/>
          <w:color w:val="000000" w:themeColor="text1"/>
          <w:spacing w:val="0"/>
        </w:rPr>
        <w:softHyphen/>
        <w:t>женностью свыше 2000 км проходила на большой высоте и частично за облаками.</w:t>
      </w:r>
    </w:p>
    <w:p w14:paraId="12E4DD8A" w14:textId="77777777" w:rsidR="00FD716B" w:rsidRPr="00925F26" w:rsidRDefault="00FD716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большинстве случаев в дневных опера</w:t>
      </w:r>
      <w:r w:rsidRPr="00925F26">
        <w:rPr>
          <w:rFonts w:ascii="Times New Roman" w:cs="Times New Roman"/>
          <w:color w:val="000000" w:themeColor="text1"/>
          <w:spacing w:val="0"/>
        </w:rPr>
        <w:softHyphen/>
        <w:t>циях участвовали по два С-47, прикрывав</w:t>
      </w:r>
      <w:r w:rsidRPr="00925F26">
        <w:rPr>
          <w:rFonts w:ascii="Times New Roman" w:cs="Times New Roman"/>
          <w:color w:val="000000" w:themeColor="text1"/>
          <w:spacing w:val="0"/>
        </w:rPr>
        <w:softHyphen/>
        <w:t>шихся четырьмя-шестью Як-9ДД, и только один раз в воздух подняли девять транспор</w:t>
      </w:r>
      <w:r w:rsidRPr="00925F26">
        <w:rPr>
          <w:rFonts w:ascii="Times New Roman" w:cs="Times New Roman"/>
          <w:color w:val="000000" w:themeColor="text1"/>
          <w:spacing w:val="0"/>
        </w:rPr>
        <w:softHyphen/>
        <w:t>тных машин, сопровождавшихся всей дюжи</w:t>
      </w:r>
      <w:r w:rsidRPr="00925F26">
        <w:rPr>
          <w:rFonts w:ascii="Times New Roman" w:cs="Times New Roman"/>
          <w:color w:val="000000" w:themeColor="text1"/>
          <w:spacing w:val="0"/>
        </w:rPr>
        <w:softHyphen/>
        <w:t>ной истребителей. До 9 декабря 1944 г. лёт</w:t>
      </w:r>
      <w:r w:rsidRPr="00925F26">
        <w:rPr>
          <w:rFonts w:ascii="Times New Roman" w:cs="Times New Roman"/>
          <w:color w:val="000000" w:themeColor="text1"/>
          <w:spacing w:val="0"/>
        </w:rPr>
        <w:softHyphen/>
        <w:t>чики Як-9ДД выполнили 155 вылетов днём, включая разведку. При этом не вернулся с боевого задания один истребитель - либо разбился в горах Югославии из-за плохой погоды, либо утонул в Адриатическом море после отказа мотора.</w:t>
      </w:r>
    </w:p>
    <w:p w14:paraId="7113A0DD" w14:textId="77777777" w:rsidR="00FD716B" w:rsidRPr="00925F26" w:rsidRDefault="00FD716B"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Командир АГОН Щелкунов докладывал в Москву: «Очень хорошее впечатление... о нашем истребителе Як-9ДД, так как на высотах до 3000 м с ним не может конкури</w:t>
      </w:r>
      <w:r w:rsidRPr="00925F26">
        <w:rPr>
          <w:rFonts w:ascii="Times New Roman" w:cs="Times New Roman"/>
          <w:color w:val="000000" w:themeColor="text1"/>
          <w:spacing w:val="0"/>
        </w:rPr>
        <w:softHyphen/>
        <w:t>ровать ни один самолёт, ни в скорости, ни в манёвре, что проверено нами практически. Почти все американские самолёты являют</w:t>
      </w:r>
      <w:r w:rsidRPr="00925F26">
        <w:rPr>
          <w:rFonts w:ascii="Times New Roman" w:cs="Times New Roman"/>
          <w:color w:val="000000" w:themeColor="text1"/>
          <w:spacing w:val="0"/>
        </w:rPr>
        <w:softHyphen/>
        <w:t>ся высотными и до высот 3000 - 4000 м не блещут своими качествами» (19103).</w:t>
      </w:r>
    </w:p>
    <w:p w14:paraId="190F4529" w14:textId="77777777" w:rsidR="00FD716B" w:rsidRPr="00925F26" w:rsidRDefault="00FD716B" w:rsidP="00925F26">
      <w:pPr>
        <w:pStyle w:val="27"/>
        <w:shd w:val="clear" w:color="auto" w:fill="auto"/>
        <w:spacing w:after="0" w:line="240" w:lineRule="auto"/>
        <w:ind w:firstLine="0"/>
        <w:rPr>
          <w:rFonts w:ascii="Times New Roman" w:cs="Times New Roman"/>
          <w:color w:val="000000" w:themeColor="text1"/>
          <w:spacing w:val="0"/>
        </w:rPr>
      </w:pPr>
    </w:p>
    <w:p w14:paraId="1F974837" w14:textId="5C7ACF9A" w:rsidR="00334ED3" w:rsidRPr="001A0BAA" w:rsidRDefault="00334ED3" w:rsidP="00334ED3">
      <w:pPr>
        <w:jc w:val="both"/>
        <w:rPr>
          <w:color w:val="0070C0"/>
          <w:sz w:val="16"/>
          <w:szCs w:val="16"/>
        </w:rPr>
      </w:pPr>
      <w:r w:rsidRPr="001A0BAA">
        <w:rPr>
          <w:color w:val="0070C0"/>
          <w:sz w:val="16"/>
          <w:szCs w:val="16"/>
        </w:rPr>
        <w:t>С 9 марта по 25 апреля 1945 года для оценки боевой ценности Як</w:t>
      </w:r>
      <w:r w:rsidRPr="001A0BAA">
        <w:rPr>
          <w:color w:val="0070C0"/>
          <w:sz w:val="16"/>
          <w:szCs w:val="16"/>
        </w:rPr>
        <w:noBreakHyphen/>
        <w:t>9ДД были проведены войсковые испытания. На новых машинах летали пилоты из 368 ИАП, 334 НАД и 6 БАК (Бомбардировочный авиационный корпус), который имел на вооружении Ту</w:t>
      </w:r>
      <w:r w:rsidRPr="001A0BAA">
        <w:rPr>
          <w:color w:val="0070C0"/>
          <w:sz w:val="16"/>
          <w:szCs w:val="16"/>
        </w:rPr>
        <w:noBreakHyphen/>
        <w:t>2. В испытаниях приняло участие 40 Як</w:t>
      </w:r>
      <w:r w:rsidRPr="001A0BAA">
        <w:rPr>
          <w:color w:val="0070C0"/>
          <w:sz w:val="16"/>
          <w:szCs w:val="16"/>
        </w:rPr>
        <w:noBreakHyphen/>
        <w:t>9ДД из 1</w:t>
      </w:r>
      <w:r w:rsidRPr="001A0BAA">
        <w:rPr>
          <w:color w:val="0070C0"/>
          <w:sz w:val="16"/>
          <w:szCs w:val="16"/>
        </w:rPr>
        <w:noBreakHyphen/>
        <w:t>й и 2</w:t>
      </w:r>
      <w:r w:rsidRPr="001A0BAA">
        <w:rPr>
          <w:color w:val="0070C0"/>
          <w:sz w:val="16"/>
          <w:szCs w:val="16"/>
        </w:rPr>
        <w:noBreakHyphen/>
        <w:t>й производственных серий, которые были изготовлены между маем и августом 1944 года (25077).</w:t>
      </w:r>
    </w:p>
    <w:p w14:paraId="09BA34E2" w14:textId="77777777" w:rsidR="00334ED3" w:rsidRPr="001A0BAA" w:rsidRDefault="00334ED3" w:rsidP="00334ED3">
      <w:pPr>
        <w:jc w:val="both"/>
        <w:rPr>
          <w:color w:val="0070C0"/>
          <w:sz w:val="16"/>
          <w:szCs w:val="16"/>
        </w:rPr>
      </w:pPr>
    </w:p>
    <w:p w14:paraId="79DCE792" w14:textId="77777777" w:rsidR="00C1740F" w:rsidRPr="00925F26" w:rsidRDefault="00C1740F" w:rsidP="00925F26">
      <w:pPr>
        <w:jc w:val="both"/>
        <w:rPr>
          <w:color w:val="000000" w:themeColor="text1"/>
          <w:sz w:val="16"/>
          <w:szCs w:val="16"/>
        </w:rPr>
      </w:pPr>
      <w:r w:rsidRPr="00925F26">
        <w:rPr>
          <w:bCs/>
          <w:color w:val="000000" w:themeColor="text1"/>
          <w:sz w:val="16"/>
          <w:szCs w:val="16"/>
        </w:rPr>
        <w:t>9 марта</w:t>
      </w:r>
      <w:r w:rsidRPr="00925F26">
        <w:rPr>
          <w:color w:val="000000" w:themeColor="text1"/>
          <w:sz w:val="16"/>
          <w:szCs w:val="16"/>
        </w:rPr>
        <w:t xml:space="preserve"> в 1945 году начались (по 25 апреля) войсковые испытания на боевое применение дальнего истребителя </w:t>
      </w:r>
      <w:hyperlink r:id="rId66" w:tgtFrame="_blank" w:history="1">
        <w:r w:rsidRPr="00925F26">
          <w:rPr>
            <w:color w:val="000000" w:themeColor="text1"/>
            <w:sz w:val="16"/>
            <w:szCs w:val="16"/>
          </w:rPr>
          <w:t xml:space="preserve">«Як-9ДД», </w:t>
        </w:r>
      </w:hyperlink>
      <w:r w:rsidRPr="00925F26">
        <w:rPr>
          <w:color w:val="000000" w:themeColor="text1"/>
          <w:sz w:val="16"/>
          <w:szCs w:val="16"/>
        </w:rPr>
        <w:t>ОКБ Яковлева. Проводились в 368 истребительного авиационного полка (командир - майор А.Г.Жулин) 334-й истребительной авиационной дивизии 6-го бомбардировочного авиационного корпуса 3-й Воздушной Армии. Всего проходило испытания 40 истребителей «Як-9ДД» 1-й и 2-й серий выпуска мая - августа 1944 г. Испытания показали, что истребители «Як-9ДД» не вполне удовлетворяли требованиям, предъявляемым к истребителям сопровождения такого скоростного бомбардировщика, как «Ту-2» по следующим причинам</w:t>
      </w:r>
      <w:proofErr w:type="gramStart"/>
      <w:r w:rsidRPr="00925F26">
        <w:rPr>
          <w:color w:val="000000" w:themeColor="text1"/>
          <w:sz w:val="16"/>
          <w:szCs w:val="16"/>
        </w:rPr>
        <w:t>: Относительно</w:t>
      </w:r>
      <w:proofErr w:type="gramEnd"/>
      <w:r w:rsidRPr="00925F26">
        <w:rPr>
          <w:color w:val="000000" w:themeColor="text1"/>
          <w:sz w:val="16"/>
          <w:szCs w:val="16"/>
        </w:rPr>
        <w:t xml:space="preserve"> малая максимальная скорость. При полёте «Ту-2» на максимальной скорости «Як-9ДД» не имели необходимого преимущества (на 25...30%) для совместных действий, особенно в моменты ухода «Ту-2» от цели 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«Як-З» и установить на нем более мощный двигатель, например «М-105ПФ2», но этот двигатель обладал недостаточной по сравнению с двигателями «Ту-2» высотностью. Заниженная скороподъемность и недостаточная маневренность, особенно при полной полётной массе. Ухудшившаяся живучесть из-за установки центропланного бензобака (90 л) под ногами лётчика и отсутствия протекторов на крайних консольных бензобаках. Живучесть самолёта ухудшилась и вследствие большой площади поражения восьми бензобаков в крыле. Большая полётная масса, большой разнос масс, а также малая мощность двигателя являлись главными причинами ухудшения лётно-пилотажных и маневренных качеств «Як-9ДД». Поэтому лётчики относились к «Як-9ДД» сдержанно, называя его между собой "летающая цистерна" (15063).</w:t>
      </w:r>
    </w:p>
    <w:p w14:paraId="2AACB64A" w14:textId="77777777" w:rsidR="00C1740F" w:rsidRPr="00925F26" w:rsidRDefault="00C1740F" w:rsidP="00925F26">
      <w:pPr>
        <w:jc w:val="both"/>
        <w:rPr>
          <w:color w:val="000000" w:themeColor="text1"/>
          <w:sz w:val="16"/>
          <w:szCs w:val="16"/>
        </w:rPr>
      </w:pPr>
    </w:p>
    <w:p w14:paraId="3ED9FE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А.E.Репин утвердил Акт о гос. испытаниях Ту-2 М-82ФН N 16/7 23 завода с винтом АВ-5В-21А, которые состоялись с 18 октября 1944 по 23 февраля 1945. 50 полетов 44:22 налет.</w:t>
      </w:r>
    </w:p>
    <w:p w14:paraId="4BFB3D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 и Шубратов</w:t>
      </w:r>
    </w:p>
    <w:p w14:paraId="006CB1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Нюхтиков</w:t>
      </w:r>
    </w:p>
    <w:p w14:paraId="64D620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7603, нормальный полетный - 10500, перегрузочный 11520 кг</w:t>
      </w:r>
    </w:p>
    <w:p w14:paraId="05ADAD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p w14:paraId="72E7FE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(4 чел.) - 360</w:t>
      </w:r>
    </w:p>
    <w:p w14:paraId="491472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- 980</w:t>
      </w:r>
    </w:p>
    <w:p w14:paraId="307B2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масло - 140</w:t>
      </w:r>
    </w:p>
    <w:p w14:paraId="7FB752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пушечно-пулеметное вооружение - 140</w:t>
      </w:r>
    </w:p>
    <w:p w14:paraId="36D22F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боезапас - 202</w:t>
      </w:r>
    </w:p>
    <w:p w14:paraId="387B0F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- 1000 кг</w:t>
      </w:r>
    </w:p>
    <w:p w14:paraId="640FA3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- 75</w:t>
      </w:r>
    </w:p>
    <w:p w14:paraId="47016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2897 кг</w:t>
      </w:r>
    </w:p>
    <w:p w14:paraId="1C74B8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дополнительная нагрузка - горючее 980, масло 40</w:t>
      </w:r>
    </w:p>
    <w:p w14:paraId="44E90D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летные данные:</w:t>
      </w:r>
    </w:p>
    <w:p w14:paraId="3BC49B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число оборотов - 2400, наддув - 1010</w:t>
      </w:r>
    </w:p>
    <w:p w14:paraId="008929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- 482 км/час, на форсаже - 508</w:t>
      </w:r>
    </w:p>
    <w:p w14:paraId="2911E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высотности 2600 - 508, на форсаже 1600 - 538</w:t>
      </w:r>
    </w:p>
    <w:p w14:paraId="2EBD51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 высотности 5700 м - 549 км/час</w:t>
      </w:r>
    </w:p>
    <w:p w14:paraId="2FEF30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- 9,3</w:t>
      </w:r>
    </w:p>
    <w:p w14:paraId="0622D5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- 9600</w:t>
      </w:r>
    </w:p>
    <w:p w14:paraId="016956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 - 425 м</w:t>
      </w:r>
    </w:p>
    <w:p w14:paraId="4115A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 - 150 км/час</w:t>
      </w:r>
    </w:p>
    <w:p w14:paraId="772FB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Пробег - 510 м</w:t>
      </w:r>
    </w:p>
    <w:p w14:paraId="7CB814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 Скорость на 0 - 10, на 1 гр. 2050 - 11,6, на 2 гр. 4850 - 7,6</w:t>
      </w:r>
    </w:p>
    <w:p w14:paraId="3CFAE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техн. Дальность на 1000 м на скорости 330 при 1800 оборотах при весе 11520 (горючее 1960 + 1000 бомб) - 2050 км (824).</w:t>
      </w:r>
    </w:p>
    <w:p w14:paraId="011837DB" w14:textId="77777777" w:rsidR="00665165" w:rsidRPr="00925F26" w:rsidRDefault="00665165" w:rsidP="00925F26">
      <w:pPr>
        <w:autoSpaceDE w:val="0"/>
        <w:autoSpaceDN w:val="0"/>
        <w:adjustRightInd w:val="0"/>
        <w:jc w:val="both"/>
        <w:rPr>
          <w:color w:val="000000" w:themeColor="text1"/>
          <w:sz w:val="16"/>
          <w:szCs w:val="16"/>
        </w:rPr>
      </w:pPr>
    </w:p>
    <w:p w14:paraId="19236F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л Б.Н.Кудрин на БИ-7 с РД-1 Исаева вместо Д-1-А-1100 Л.С.Душкина выполнил 2-й полет, а 1-й был 24 января 1945. существенных отличий от БИ-2 и Би-3 не было, но вес вырос до 1757 кг, а баки - до 555 кг. Задание: ознакомительный полет на тяге 1100 кг. На разбеге машину поворачивало вправо. Шасси убралось нормально. Набор высоты был на 550-600 км/час. на 3500 м двигатель кончил работать. После падения скорости до 350-400 км/час почувствовались сильные рывки на управлении и продолжались до 280 км/час. Посадка была нормальной. летали 8 мин. 16 сек. и двигатель работал 73 сек. (2928,21).</w:t>
      </w:r>
    </w:p>
    <w:p w14:paraId="7F83E701" w14:textId="77777777" w:rsidR="00665165" w:rsidRPr="00925F26" w:rsidRDefault="00665165" w:rsidP="00925F26">
      <w:pPr>
        <w:autoSpaceDE w:val="0"/>
        <w:autoSpaceDN w:val="0"/>
        <w:adjustRightInd w:val="0"/>
        <w:jc w:val="both"/>
        <w:rPr>
          <w:color w:val="000000" w:themeColor="text1"/>
          <w:sz w:val="16"/>
          <w:szCs w:val="16"/>
        </w:rPr>
      </w:pPr>
    </w:p>
    <w:p w14:paraId="024202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ГОКО N 7755с о вывозе крыльев самолетов со склада в г. Китлицтребен на 456 в Москву (1874,11).</w:t>
      </w:r>
    </w:p>
    <w:p w14:paraId="395A03F6" w14:textId="77777777" w:rsidR="00665165" w:rsidRPr="00925F26" w:rsidRDefault="00665165" w:rsidP="00925F26">
      <w:pPr>
        <w:autoSpaceDE w:val="0"/>
        <w:autoSpaceDN w:val="0"/>
        <w:adjustRightInd w:val="0"/>
        <w:jc w:val="both"/>
        <w:rPr>
          <w:color w:val="000000" w:themeColor="text1"/>
          <w:sz w:val="16"/>
          <w:szCs w:val="16"/>
        </w:rPr>
      </w:pPr>
    </w:p>
    <w:p w14:paraId="4D56D42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714C5B7" w14:textId="77777777" w:rsidR="00665165" w:rsidRPr="00925F26" w:rsidRDefault="00665165" w:rsidP="00925F26">
      <w:pPr>
        <w:autoSpaceDE w:val="0"/>
        <w:autoSpaceDN w:val="0"/>
        <w:adjustRightInd w:val="0"/>
        <w:jc w:val="both"/>
        <w:rPr>
          <w:iCs/>
          <w:color w:val="000000" w:themeColor="text1"/>
          <w:sz w:val="16"/>
          <w:szCs w:val="16"/>
        </w:rPr>
      </w:pPr>
    </w:p>
    <w:p w14:paraId="12F1BB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марта 1945 г. в письме нар</w:t>
      </w:r>
      <w:r w:rsidRPr="00925F26">
        <w:rPr>
          <w:color w:val="000000" w:themeColor="text1"/>
          <w:sz w:val="16"/>
          <w:szCs w:val="16"/>
        </w:rPr>
        <w:softHyphen/>
        <w:t>кому танковой промышленности В. Малышеву И. Зальц</w:t>
      </w:r>
      <w:r w:rsidRPr="00925F26">
        <w:rPr>
          <w:color w:val="000000" w:themeColor="text1"/>
          <w:sz w:val="16"/>
          <w:szCs w:val="16"/>
        </w:rPr>
        <w:softHyphen/>
        <w:t>ман и С. Махонин просили утвердить следующую програм</w:t>
      </w:r>
      <w:r w:rsidRPr="00925F26">
        <w:rPr>
          <w:color w:val="000000" w:themeColor="text1"/>
          <w:sz w:val="16"/>
          <w:szCs w:val="16"/>
        </w:rPr>
        <w:softHyphen/>
        <w:t>му производства новой машины: в мае — 10, в июне — 30, в июле — 60 и начиная с августа по 100 в месяц. Однако в это время в серию запускался ИС-3 («Объект 703»), поэтому сил и средств для «Объекта 701» уже не оставалось (11153).</w:t>
      </w:r>
    </w:p>
    <w:p w14:paraId="5EA567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709F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7742. О выделении угля для коммунально-бытовых нужд Иркутска. РГАНИР, Фонд ГКО, д. 378 Л.70 (11012).</w:t>
      </w:r>
    </w:p>
    <w:p w14:paraId="1D9EB3F7" w14:textId="77777777" w:rsidR="00665165" w:rsidRPr="00925F26" w:rsidRDefault="00665165" w:rsidP="00925F26">
      <w:pPr>
        <w:autoSpaceDE w:val="0"/>
        <w:autoSpaceDN w:val="0"/>
        <w:adjustRightInd w:val="0"/>
        <w:jc w:val="both"/>
        <w:rPr>
          <w:color w:val="000000" w:themeColor="text1"/>
          <w:sz w:val="16"/>
          <w:szCs w:val="16"/>
        </w:rPr>
      </w:pPr>
    </w:p>
    <w:p w14:paraId="6C6AC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7743. О мерах по обеспечению ввода в действие Кум-Курганской ГЭС Узбекской ССР. РГАНИР, Фонд ГКО, д. 378 Л.71 (11012).</w:t>
      </w:r>
    </w:p>
    <w:p w14:paraId="56EA3F19" w14:textId="77777777" w:rsidR="00665165" w:rsidRPr="00925F26" w:rsidRDefault="00665165" w:rsidP="00925F26">
      <w:pPr>
        <w:autoSpaceDE w:val="0"/>
        <w:autoSpaceDN w:val="0"/>
        <w:adjustRightInd w:val="0"/>
        <w:jc w:val="both"/>
        <w:rPr>
          <w:color w:val="000000" w:themeColor="text1"/>
          <w:sz w:val="16"/>
          <w:szCs w:val="16"/>
        </w:rPr>
      </w:pPr>
    </w:p>
    <w:p w14:paraId="738375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7744. Об обеспечении оборудованием строительства ТЭЦ при заводе №75 НКВ. РГАНИР, Фонд ГКО, д. 378, лл. 72 (11012).</w:t>
      </w:r>
    </w:p>
    <w:p w14:paraId="1538E9CA" w14:textId="77777777" w:rsidR="00665165" w:rsidRPr="00925F26" w:rsidRDefault="00665165" w:rsidP="00925F26">
      <w:pPr>
        <w:autoSpaceDE w:val="0"/>
        <w:autoSpaceDN w:val="0"/>
        <w:adjustRightInd w:val="0"/>
        <w:jc w:val="both"/>
        <w:rPr>
          <w:color w:val="000000" w:themeColor="text1"/>
          <w:sz w:val="16"/>
          <w:szCs w:val="16"/>
        </w:rPr>
      </w:pPr>
    </w:p>
    <w:p w14:paraId="436DAE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7745 Об отгрузке угля стекольным и цементным заводам Наркомстройматериалов СССР в 1-й половине марта 1945 года. РГАНИР, Фонд ГКО, д. 378, лл. 73-74 (11012).</w:t>
      </w:r>
    </w:p>
    <w:p w14:paraId="61DD351B" w14:textId="77777777" w:rsidR="00665165" w:rsidRPr="00925F26" w:rsidRDefault="00665165" w:rsidP="00925F26">
      <w:pPr>
        <w:autoSpaceDE w:val="0"/>
        <w:autoSpaceDN w:val="0"/>
        <w:adjustRightInd w:val="0"/>
        <w:jc w:val="both"/>
        <w:rPr>
          <w:color w:val="000000" w:themeColor="text1"/>
          <w:sz w:val="16"/>
          <w:szCs w:val="16"/>
        </w:rPr>
      </w:pPr>
    </w:p>
    <w:p w14:paraId="7E4B3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7746. О поставках текстиля и пряжи для пороховых заводов НКБ. РГАНИР, Фонд ГКО, д. 378, лл. 75-76, 77 (11012).</w:t>
      </w:r>
    </w:p>
    <w:p w14:paraId="26F09F21" w14:textId="77777777" w:rsidR="00665165" w:rsidRPr="00925F26" w:rsidRDefault="00665165" w:rsidP="00925F26">
      <w:pPr>
        <w:autoSpaceDE w:val="0"/>
        <w:autoSpaceDN w:val="0"/>
        <w:adjustRightInd w:val="0"/>
        <w:jc w:val="both"/>
        <w:rPr>
          <w:color w:val="000000" w:themeColor="text1"/>
          <w:sz w:val="16"/>
          <w:szCs w:val="16"/>
        </w:rPr>
      </w:pPr>
    </w:p>
    <w:p w14:paraId="781583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7747 О вывозе оборудования по производству корпусов артиллерийских снарядов с немецкого завода "Оберхютте Стальроренверк" в г. Глейвиц. РГАНИР, Фонд ГКО, д. 378, лл. 78-70 (11012).</w:t>
      </w:r>
    </w:p>
    <w:p w14:paraId="6C604058" w14:textId="77777777" w:rsidR="00665165" w:rsidRPr="00925F26" w:rsidRDefault="00665165" w:rsidP="00925F26">
      <w:pPr>
        <w:autoSpaceDE w:val="0"/>
        <w:autoSpaceDN w:val="0"/>
        <w:adjustRightInd w:val="0"/>
        <w:jc w:val="both"/>
        <w:rPr>
          <w:color w:val="000000" w:themeColor="text1"/>
          <w:sz w:val="16"/>
          <w:szCs w:val="16"/>
        </w:rPr>
      </w:pPr>
    </w:p>
    <w:p w14:paraId="439156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7748 О вывозе металлообрабатывающего, подъемно-транспортного, энергетического и специального оборудования с немецкой судостроительной верфи фирмы "Шихау" в г. Эльбинг. РГАНИР, Фонд ГКО, д. 378, лл. 80-81, 82-83 (11012).</w:t>
      </w:r>
    </w:p>
    <w:p w14:paraId="39A0C6BD" w14:textId="77777777" w:rsidR="00665165" w:rsidRPr="00925F26" w:rsidRDefault="00665165" w:rsidP="00925F26">
      <w:pPr>
        <w:autoSpaceDE w:val="0"/>
        <w:autoSpaceDN w:val="0"/>
        <w:adjustRightInd w:val="0"/>
        <w:jc w:val="both"/>
        <w:rPr>
          <w:color w:val="000000" w:themeColor="text1"/>
          <w:sz w:val="16"/>
          <w:szCs w:val="16"/>
        </w:rPr>
      </w:pPr>
    </w:p>
    <w:p w14:paraId="67F509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г. вышло Постановление ГКО № 7749 «О вывозе гироскопических компасов фирмы “Аншютц” с немецких складов в г. Сольц» (Д. 458. Л. 164).</w:t>
      </w:r>
    </w:p>
    <w:p w14:paraId="3E742FCA" w14:textId="77777777" w:rsidR="00665165" w:rsidRPr="00925F26" w:rsidRDefault="00665165" w:rsidP="00925F26">
      <w:pPr>
        <w:autoSpaceDE w:val="0"/>
        <w:autoSpaceDN w:val="0"/>
        <w:adjustRightInd w:val="0"/>
        <w:jc w:val="both"/>
        <w:rPr>
          <w:color w:val="000000" w:themeColor="text1"/>
          <w:sz w:val="16"/>
          <w:szCs w:val="16"/>
        </w:rPr>
      </w:pPr>
    </w:p>
    <w:p w14:paraId="0A5A22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7750 О вывозе оборудования по производству цветного проката с немецких заводов Верхней Силезии. РГАНИР, Фонд ГКО, д. 378, лл. 85-87 (11012).</w:t>
      </w:r>
    </w:p>
    <w:p w14:paraId="3EE701AB" w14:textId="77777777" w:rsidR="00665165" w:rsidRPr="00925F26" w:rsidRDefault="00665165" w:rsidP="00925F26">
      <w:pPr>
        <w:autoSpaceDE w:val="0"/>
        <w:autoSpaceDN w:val="0"/>
        <w:adjustRightInd w:val="0"/>
        <w:jc w:val="both"/>
        <w:rPr>
          <w:color w:val="000000" w:themeColor="text1"/>
          <w:sz w:val="16"/>
          <w:szCs w:val="16"/>
        </w:rPr>
      </w:pPr>
    </w:p>
    <w:p w14:paraId="3F37C9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7751 О вывозе оборудования и аппаратуры c завода гидрирования угля фирмы "Обершлезише гидрирерверке" в Блехгаммер. РГАНИР, Фонд ГКО, д. 378, лл. 88-89 (11012).</w:t>
      </w:r>
    </w:p>
    <w:p w14:paraId="5A41A3EE" w14:textId="77777777" w:rsidR="00665165" w:rsidRPr="00925F26" w:rsidRDefault="00665165" w:rsidP="00925F26">
      <w:pPr>
        <w:autoSpaceDE w:val="0"/>
        <w:autoSpaceDN w:val="0"/>
        <w:adjustRightInd w:val="0"/>
        <w:jc w:val="both"/>
        <w:rPr>
          <w:color w:val="000000" w:themeColor="text1"/>
          <w:sz w:val="16"/>
          <w:szCs w:val="16"/>
        </w:rPr>
      </w:pPr>
    </w:p>
    <w:p w14:paraId="233ABB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7752 О вывозе оборудования и аппаратуры с немецкого завода синтеза бензина фирмы "Шаффготш-бензин" в г. Одерталь. РГАНИР, Фонд ГКО, д. 378, лл. 90-91 (11012).</w:t>
      </w:r>
    </w:p>
    <w:p w14:paraId="1F332A84" w14:textId="77777777" w:rsidR="00665165" w:rsidRPr="00925F26" w:rsidRDefault="00665165" w:rsidP="00925F26">
      <w:pPr>
        <w:autoSpaceDE w:val="0"/>
        <w:autoSpaceDN w:val="0"/>
        <w:adjustRightInd w:val="0"/>
        <w:jc w:val="both"/>
        <w:rPr>
          <w:color w:val="000000" w:themeColor="text1"/>
          <w:sz w:val="16"/>
          <w:szCs w:val="16"/>
        </w:rPr>
      </w:pPr>
    </w:p>
    <w:p w14:paraId="08F2DF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7753 О вывозе оборудования немецких оксидных заводов "Кристин Крафт" и "Рудольф Грубе". РГАНИР, Фонд ГКО, д. 378, лл. 92-93 (11012).</w:t>
      </w:r>
    </w:p>
    <w:p w14:paraId="686A5C4E" w14:textId="77777777" w:rsidR="00665165" w:rsidRPr="00925F26" w:rsidRDefault="00665165" w:rsidP="00925F26">
      <w:pPr>
        <w:autoSpaceDE w:val="0"/>
        <w:autoSpaceDN w:val="0"/>
        <w:adjustRightInd w:val="0"/>
        <w:jc w:val="both"/>
        <w:rPr>
          <w:color w:val="000000" w:themeColor="text1"/>
          <w:sz w:val="16"/>
          <w:szCs w:val="16"/>
        </w:rPr>
      </w:pPr>
    </w:p>
    <w:p w14:paraId="53640A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7754 О вывозе оборудования с предприятий Верхней Силезии "Ное Бляйшарлей" и "Альте Бляйшарлей" фирмы "Гишес Эрбен" в г. Беутен. РГАНИР, Фонд ГКО, д. 378, лл. 94-96 (11012).</w:t>
      </w:r>
    </w:p>
    <w:p w14:paraId="40042A32" w14:textId="77777777" w:rsidR="00665165" w:rsidRPr="00925F26" w:rsidRDefault="00665165" w:rsidP="00925F26">
      <w:pPr>
        <w:autoSpaceDE w:val="0"/>
        <w:autoSpaceDN w:val="0"/>
        <w:adjustRightInd w:val="0"/>
        <w:jc w:val="both"/>
        <w:rPr>
          <w:color w:val="000000" w:themeColor="text1"/>
          <w:sz w:val="16"/>
          <w:szCs w:val="16"/>
        </w:rPr>
      </w:pPr>
    </w:p>
    <w:p w14:paraId="7AD3A2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г. вышло Постановление ГКО № 7755 «О вывозе воздушных торпед и крыльев к самолетам-снарядам» (Д. 458. Л. 182).</w:t>
      </w:r>
    </w:p>
    <w:p w14:paraId="241DFAA6" w14:textId="77777777" w:rsidR="00665165" w:rsidRPr="00925F26" w:rsidRDefault="00665165" w:rsidP="00925F26">
      <w:pPr>
        <w:autoSpaceDE w:val="0"/>
        <w:autoSpaceDN w:val="0"/>
        <w:adjustRightInd w:val="0"/>
        <w:jc w:val="both"/>
        <w:rPr>
          <w:color w:val="000000" w:themeColor="text1"/>
          <w:sz w:val="16"/>
          <w:szCs w:val="16"/>
        </w:rPr>
      </w:pPr>
    </w:p>
    <w:p w14:paraId="2D256D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7756 О вывозе горнорудного и обогатительного оборудования цинковой промышленности с рудников "Фидлерсглюкгрубе" и "Ное-Виктория" и обогатительной фабрики "Нойхоф" в г. Беутен. РГАНИР, Фонд ГКО, д. 378, лл. 98-100 (11012).</w:t>
      </w:r>
    </w:p>
    <w:p w14:paraId="0FEF2D9F" w14:textId="77777777" w:rsidR="00665165" w:rsidRPr="00925F26" w:rsidRDefault="00665165" w:rsidP="00925F26">
      <w:pPr>
        <w:autoSpaceDE w:val="0"/>
        <w:autoSpaceDN w:val="0"/>
        <w:adjustRightInd w:val="0"/>
        <w:jc w:val="both"/>
        <w:rPr>
          <w:color w:val="000000" w:themeColor="text1"/>
          <w:sz w:val="16"/>
          <w:szCs w:val="16"/>
        </w:rPr>
      </w:pPr>
    </w:p>
    <w:p w14:paraId="65B5F7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7757 О вывозе дизель-генератора с электростанции в г. Инстербург. РГАНИР, Фонд ГКО, д. 378, лл. 101 (11012).</w:t>
      </w:r>
    </w:p>
    <w:p w14:paraId="10DDAE01" w14:textId="77777777" w:rsidR="00665165" w:rsidRPr="00925F26" w:rsidRDefault="00665165" w:rsidP="00925F26">
      <w:pPr>
        <w:autoSpaceDE w:val="0"/>
        <w:autoSpaceDN w:val="0"/>
        <w:adjustRightInd w:val="0"/>
        <w:jc w:val="both"/>
        <w:rPr>
          <w:color w:val="000000" w:themeColor="text1"/>
          <w:sz w:val="16"/>
          <w:szCs w:val="16"/>
        </w:rPr>
      </w:pPr>
    </w:p>
    <w:p w14:paraId="23690C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7758 О вывозе оборудования с немецкого паровозоремонтного завода фирмы "Бетридсгеминсшафт Рав Доброс" в г. Ельс. РГАНИР, Фонд ГКО, д. 378, лл. 102-103 (11012).</w:t>
      </w:r>
    </w:p>
    <w:p w14:paraId="1001C33F" w14:textId="77777777" w:rsidR="00665165" w:rsidRPr="00925F26" w:rsidRDefault="00665165" w:rsidP="00925F26">
      <w:pPr>
        <w:autoSpaceDE w:val="0"/>
        <w:autoSpaceDN w:val="0"/>
        <w:adjustRightInd w:val="0"/>
        <w:jc w:val="both"/>
        <w:rPr>
          <w:color w:val="000000" w:themeColor="text1"/>
          <w:sz w:val="16"/>
          <w:szCs w:val="16"/>
        </w:rPr>
      </w:pPr>
    </w:p>
    <w:p w14:paraId="2EAC09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7759 О вывозе оборудования с немецкого паровозоремонтного завода в г. Глейвиц. РГАНИР, Фонд ГКО, д. 378, лл. 104 (11012).</w:t>
      </w:r>
    </w:p>
    <w:p w14:paraId="18E7D8AA" w14:textId="77777777" w:rsidR="00665165" w:rsidRPr="00925F26" w:rsidRDefault="00665165" w:rsidP="00925F26">
      <w:pPr>
        <w:autoSpaceDE w:val="0"/>
        <w:autoSpaceDN w:val="0"/>
        <w:adjustRightInd w:val="0"/>
        <w:jc w:val="both"/>
        <w:rPr>
          <w:color w:val="000000" w:themeColor="text1"/>
          <w:sz w:val="16"/>
          <w:szCs w:val="16"/>
        </w:rPr>
      </w:pPr>
    </w:p>
    <w:p w14:paraId="116FAD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7760 О вывозе телефонного оборудования из Восточной Пруссии. РГАНИР, Фонд ГКО, д. 378, лл. 105 (11012).</w:t>
      </w:r>
    </w:p>
    <w:p w14:paraId="046A71BB" w14:textId="77777777" w:rsidR="00665165" w:rsidRPr="00925F26" w:rsidRDefault="00665165" w:rsidP="00925F26">
      <w:pPr>
        <w:autoSpaceDE w:val="0"/>
        <w:autoSpaceDN w:val="0"/>
        <w:adjustRightInd w:val="0"/>
        <w:jc w:val="both"/>
        <w:rPr>
          <w:color w:val="000000" w:themeColor="text1"/>
          <w:sz w:val="16"/>
          <w:szCs w:val="16"/>
        </w:rPr>
      </w:pPr>
    </w:p>
    <w:p w14:paraId="0299BC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7761 О вывозе полиграфического оборудования немецких типографий в г. г. Беутен, Глейвиц, Кенигсхютте и Нойдамм. РГАНИР, Фонд ГКО, д. 378, лл. 106-107 (11012).</w:t>
      </w:r>
    </w:p>
    <w:p w14:paraId="5EE20CE3" w14:textId="77777777" w:rsidR="00665165" w:rsidRPr="00925F26" w:rsidRDefault="00665165" w:rsidP="00925F26">
      <w:pPr>
        <w:autoSpaceDE w:val="0"/>
        <w:autoSpaceDN w:val="0"/>
        <w:adjustRightInd w:val="0"/>
        <w:jc w:val="both"/>
        <w:rPr>
          <w:color w:val="000000" w:themeColor="text1"/>
          <w:sz w:val="16"/>
          <w:szCs w:val="16"/>
        </w:rPr>
      </w:pPr>
    </w:p>
    <w:p w14:paraId="211540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7762 О вывозе запасных частей к тракторам и сельхозмашинам отечественных марок из г. Сосновец. РГАНИР, Фонд ГКО, д. 378, лл. 109-110 (11012).</w:t>
      </w:r>
    </w:p>
    <w:p w14:paraId="4761DFE3" w14:textId="77777777" w:rsidR="00665165" w:rsidRPr="00925F26" w:rsidRDefault="00665165" w:rsidP="00925F26">
      <w:pPr>
        <w:autoSpaceDE w:val="0"/>
        <w:autoSpaceDN w:val="0"/>
        <w:adjustRightInd w:val="0"/>
        <w:jc w:val="both"/>
        <w:rPr>
          <w:color w:val="000000" w:themeColor="text1"/>
          <w:sz w:val="16"/>
          <w:szCs w:val="16"/>
        </w:rPr>
      </w:pPr>
    </w:p>
    <w:p w14:paraId="10D6F5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7763 О вывозе электромоторов и каучука-сырца с перевалочной базы в городе Демблин. РГАНИР, Фонд ГКО, д. 378, лл. 111 (11012).</w:t>
      </w:r>
    </w:p>
    <w:p w14:paraId="21823CFF" w14:textId="77777777" w:rsidR="00665165" w:rsidRPr="00925F26" w:rsidRDefault="00665165" w:rsidP="00925F26">
      <w:pPr>
        <w:autoSpaceDE w:val="0"/>
        <w:autoSpaceDN w:val="0"/>
        <w:adjustRightInd w:val="0"/>
        <w:jc w:val="both"/>
        <w:rPr>
          <w:color w:val="000000" w:themeColor="text1"/>
          <w:sz w:val="16"/>
          <w:szCs w:val="16"/>
        </w:rPr>
      </w:pPr>
    </w:p>
    <w:p w14:paraId="1C6AD2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7764 О вывозе оборудования и материальных средств с территории Венгрии. РГАНИР, Фонд ГКО, д. 378, лл. 112 (11012).</w:t>
      </w:r>
    </w:p>
    <w:p w14:paraId="4914F773" w14:textId="77777777" w:rsidR="00665165" w:rsidRPr="00925F26" w:rsidRDefault="00665165" w:rsidP="00925F26">
      <w:pPr>
        <w:autoSpaceDE w:val="0"/>
        <w:autoSpaceDN w:val="0"/>
        <w:adjustRightInd w:val="0"/>
        <w:jc w:val="both"/>
        <w:rPr>
          <w:color w:val="000000" w:themeColor="text1"/>
          <w:sz w:val="16"/>
          <w:szCs w:val="16"/>
        </w:rPr>
      </w:pPr>
    </w:p>
    <w:p w14:paraId="4465E3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7765 О вывозе цветных и черных металлов из района Будапешта. РГАНИР, Фонд ГКО, д. 378, лл. 113-114 (11012).</w:t>
      </w:r>
    </w:p>
    <w:p w14:paraId="13D28E9D" w14:textId="77777777" w:rsidR="00665165" w:rsidRPr="00925F26" w:rsidRDefault="00665165" w:rsidP="00925F26">
      <w:pPr>
        <w:autoSpaceDE w:val="0"/>
        <w:autoSpaceDN w:val="0"/>
        <w:adjustRightInd w:val="0"/>
        <w:jc w:val="both"/>
        <w:rPr>
          <w:color w:val="000000" w:themeColor="text1"/>
          <w:sz w:val="16"/>
          <w:szCs w:val="16"/>
        </w:rPr>
      </w:pPr>
    </w:p>
    <w:p w14:paraId="0FB5D1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7766 О вывозе двух прокатных станов с немецкого завода "Андреасхютте" акционерного общества "Ферейнихте Обершлезише Хюттенверке" в г. Андреасхютте. РГАНИР, Фонд ГКО, д. 378, лл. 115-116 (11012).</w:t>
      </w:r>
    </w:p>
    <w:p w14:paraId="4D326194" w14:textId="77777777" w:rsidR="00665165" w:rsidRPr="00925F26" w:rsidRDefault="00665165" w:rsidP="00925F26">
      <w:pPr>
        <w:autoSpaceDE w:val="0"/>
        <w:autoSpaceDN w:val="0"/>
        <w:adjustRightInd w:val="0"/>
        <w:jc w:val="both"/>
        <w:rPr>
          <w:color w:val="000000" w:themeColor="text1"/>
          <w:sz w:val="16"/>
          <w:szCs w:val="16"/>
        </w:rPr>
      </w:pPr>
    </w:p>
    <w:p w14:paraId="20D65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7767 Об использовании оборудования, вывозимого с завода "Хорти-Легет" (остров Чепель, Венгрия). РГАНИР, Фонд ГКО, д. 378, лл. 117 (11012).</w:t>
      </w:r>
    </w:p>
    <w:p w14:paraId="5A79B8CB" w14:textId="77777777" w:rsidR="00665165" w:rsidRPr="00925F26" w:rsidRDefault="00665165" w:rsidP="00925F26">
      <w:pPr>
        <w:autoSpaceDE w:val="0"/>
        <w:autoSpaceDN w:val="0"/>
        <w:adjustRightInd w:val="0"/>
        <w:jc w:val="both"/>
        <w:rPr>
          <w:color w:val="000000" w:themeColor="text1"/>
          <w:sz w:val="16"/>
          <w:szCs w:val="16"/>
        </w:rPr>
      </w:pPr>
    </w:p>
    <w:p w14:paraId="0AB32E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7768 О перегоне трофейного немецкого скота с территории Германии и Польши в районы Советского Союза, освобожденные от немецкой оккупации, для передачи этого скота колхозам и совхозам и семьям воинов Красной Армии. РГАНИР, Фонд ГКО, д. 378, лл. 118-122, 123-124 (11012).</w:t>
      </w:r>
    </w:p>
    <w:p w14:paraId="17099812" w14:textId="77777777" w:rsidR="00665165" w:rsidRPr="00925F26" w:rsidRDefault="00665165" w:rsidP="00925F26">
      <w:pPr>
        <w:autoSpaceDE w:val="0"/>
        <w:autoSpaceDN w:val="0"/>
        <w:adjustRightInd w:val="0"/>
        <w:jc w:val="both"/>
        <w:rPr>
          <w:color w:val="000000" w:themeColor="text1"/>
          <w:sz w:val="16"/>
          <w:szCs w:val="16"/>
        </w:rPr>
      </w:pPr>
    </w:p>
    <w:p w14:paraId="661B9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7769. О дополнительном выделении бензина для НКМВ. РГАНИР, Фонд ГКО, д. 378 Л.125 (11012).</w:t>
      </w:r>
    </w:p>
    <w:p w14:paraId="4B7E7D27" w14:textId="77777777" w:rsidR="00665165" w:rsidRPr="00925F26" w:rsidRDefault="00665165" w:rsidP="00925F26">
      <w:pPr>
        <w:autoSpaceDE w:val="0"/>
        <w:autoSpaceDN w:val="0"/>
        <w:adjustRightInd w:val="0"/>
        <w:jc w:val="both"/>
        <w:rPr>
          <w:color w:val="000000" w:themeColor="text1"/>
          <w:sz w:val="16"/>
          <w:szCs w:val="16"/>
        </w:rPr>
      </w:pPr>
    </w:p>
    <w:p w14:paraId="4E941A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7770 Об обеспечении в марте 1945 года мазутом Горьковского автозавода. РГАНИР, Фонд ГКО, д. 378, лл. 126-127 (11012).</w:t>
      </w:r>
    </w:p>
    <w:p w14:paraId="22BD4ED3" w14:textId="77777777" w:rsidR="00665165" w:rsidRPr="00925F26" w:rsidRDefault="00665165" w:rsidP="00925F26">
      <w:pPr>
        <w:autoSpaceDE w:val="0"/>
        <w:autoSpaceDN w:val="0"/>
        <w:adjustRightInd w:val="0"/>
        <w:jc w:val="both"/>
        <w:rPr>
          <w:color w:val="000000" w:themeColor="text1"/>
          <w:sz w:val="16"/>
          <w:szCs w:val="16"/>
        </w:rPr>
      </w:pPr>
    </w:p>
    <w:p w14:paraId="5385A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7771 О мероприятиях по обеспечению донецким углем Днепродзержинской ГРЭС марте 1945 г. РГАНИР, Фонд ГКО, д. 378, лл. 128-129 (11012).</w:t>
      </w:r>
    </w:p>
    <w:p w14:paraId="4A89E069" w14:textId="77777777" w:rsidR="00665165" w:rsidRPr="00925F26" w:rsidRDefault="00665165" w:rsidP="00925F26">
      <w:pPr>
        <w:autoSpaceDE w:val="0"/>
        <w:autoSpaceDN w:val="0"/>
        <w:adjustRightInd w:val="0"/>
        <w:jc w:val="both"/>
        <w:rPr>
          <w:color w:val="000000" w:themeColor="text1"/>
          <w:sz w:val="16"/>
          <w:szCs w:val="16"/>
        </w:rPr>
      </w:pPr>
    </w:p>
    <w:p w14:paraId="2672E8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7772 О мероприятиях по обеспечению отгрузки мазута важнейшим заводам Наркомбоеприпасов в марте 1945 года. РГАНИР, Фонд ГКО, д. 378, лл. 130-132 (11012).</w:t>
      </w:r>
    </w:p>
    <w:p w14:paraId="21458DE3" w14:textId="77777777" w:rsidR="00665165" w:rsidRPr="00925F26" w:rsidRDefault="00665165" w:rsidP="00925F26">
      <w:pPr>
        <w:autoSpaceDE w:val="0"/>
        <w:autoSpaceDN w:val="0"/>
        <w:adjustRightInd w:val="0"/>
        <w:jc w:val="both"/>
        <w:rPr>
          <w:color w:val="000000" w:themeColor="text1"/>
          <w:sz w:val="16"/>
          <w:szCs w:val="16"/>
        </w:rPr>
      </w:pPr>
    </w:p>
    <w:p w14:paraId="04610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7773 О мероприятиях по обеспечению углем важнейших заводов Наркомбоеприпасов в марте 1945 г. РГАНИР, Фонд ГКО, д. 378, лл. 133-136 (11012).</w:t>
      </w:r>
    </w:p>
    <w:p w14:paraId="19BF946B" w14:textId="77777777" w:rsidR="00665165" w:rsidRPr="00925F26" w:rsidRDefault="00665165" w:rsidP="00925F26">
      <w:pPr>
        <w:autoSpaceDE w:val="0"/>
        <w:autoSpaceDN w:val="0"/>
        <w:adjustRightInd w:val="0"/>
        <w:jc w:val="both"/>
        <w:rPr>
          <w:color w:val="000000" w:themeColor="text1"/>
          <w:sz w:val="16"/>
          <w:szCs w:val="16"/>
        </w:rPr>
      </w:pPr>
    </w:p>
    <w:p w14:paraId="65AD90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вышло Постановление ГКО № 7774 О неотложных мерах помощи углем заводам № 3, 71, 235, 92 и 232 Наркомвооружения в марте 1945 года. РГАНИР, Фонд ГКО, д. 378, лл. 137-140 (11012).</w:t>
      </w:r>
    </w:p>
    <w:p w14:paraId="4E9CEB6C" w14:textId="77777777" w:rsidR="00665165" w:rsidRPr="00925F26" w:rsidRDefault="00665165" w:rsidP="00925F26">
      <w:pPr>
        <w:autoSpaceDE w:val="0"/>
        <w:autoSpaceDN w:val="0"/>
        <w:adjustRightInd w:val="0"/>
        <w:jc w:val="both"/>
        <w:rPr>
          <w:color w:val="000000" w:themeColor="text1"/>
          <w:sz w:val="16"/>
          <w:szCs w:val="16"/>
        </w:rPr>
      </w:pPr>
    </w:p>
    <w:p w14:paraId="7500719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7776 [О поставке Спецметуправлению НКВД оборудования, строительных материалов, горючего для строительства лаборатории № 2 АН СССР.] (7313, 143-144,145-147).</w:t>
      </w:r>
    </w:p>
    <w:p w14:paraId="2D12822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A17D2F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F05C598" w14:textId="77777777" w:rsidR="00665165" w:rsidRPr="00925F26" w:rsidRDefault="00665165" w:rsidP="00925F26">
      <w:pPr>
        <w:autoSpaceDE w:val="0"/>
        <w:autoSpaceDN w:val="0"/>
        <w:adjustRightInd w:val="0"/>
        <w:jc w:val="both"/>
        <w:rPr>
          <w:iCs/>
          <w:color w:val="000000" w:themeColor="text1"/>
          <w:sz w:val="16"/>
          <w:szCs w:val="16"/>
        </w:rPr>
      </w:pPr>
    </w:p>
    <w:p w14:paraId="5B7A2CF6" w14:textId="77777777" w:rsidR="00C1740F" w:rsidRPr="00925F26" w:rsidRDefault="00C1740F" w:rsidP="00925F26">
      <w:pPr>
        <w:jc w:val="both"/>
        <w:rPr>
          <w:color w:val="000000" w:themeColor="text1"/>
          <w:sz w:val="16"/>
          <w:szCs w:val="16"/>
        </w:rPr>
      </w:pPr>
      <w:r w:rsidRPr="00925F26">
        <w:rPr>
          <w:bCs/>
          <w:color w:val="000000" w:themeColor="text1"/>
          <w:sz w:val="16"/>
          <w:szCs w:val="16"/>
        </w:rPr>
        <w:t>9 марта</w:t>
      </w:r>
      <w:r w:rsidRPr="00925F26">
        <w:rPr>
          <w:color w:val="000000" w:themeColor="text1"/>
          <w:sz w:val="16"/>
          <w:szCs w:val="16"/>
        </w:rPr>
        <w:t xml:space="preserve"> в 1945 году оперативная сводка Совинформбюро:</w:t>
      </w:r>
    </w:p>
    <w:p w14:paraId="791BC3E9" w14:textId="77777777" w:rsidR="00C1740F" w:rsidRPr="00925F26" w:rsidRDefault="00C1740F"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овладели городом Штольп — важным узлом железных и шоссейных дорог и мощным опорным пунктом обороны немцев в северной Померании, а также заняли города Шлаве, Рюгенвальде, Штольпмюнде и более 200 других населённых пунктов, в том числе крупные населённые пункты Райнфельд, Кельпин, Шенберг, Сулленшин, Гросс-Носсин, Лупов, Дарсин, Гроссглушен, Даммен, Зорхов, Карцин, Вайтенхаген, Залеске, Пустамин, Иерсхефт, Рюценхаген. За 8 марта войска фронта взяли в плен более 1.500 немецких солдат и офицеров.</w:t>
      </w:r>
    </w:p>
    <w:p w14:paraId="3937CD16" w14:textId="77777777" w:rsidR="00C1740F" w:rsidRPr="00925F26" w:rsidRDefault="00C1740F" w:rsidP="00925F26">
      <w:pPr>
        <w:jc w:val="both"/>
        <w:rPr>
          <w:color w:val="000000" w:themeColor="text1"/>
          <w:sz w:val="16"/>
          <w:szCs w:val="16"/>
        </w:rPr>
      </w:pPr>
      <w:r w:rsidRPr="00925F26">
        <w:rPr>
          <w:color w:val="000000" w:themeColor="text1"/>
          <w:sz w:val="16"/>
          <w:szCs w:val="16"/>
        </w:rPr>
        <w:t>На Штеттинском направлении каши войска продолжали бои по очищению от противника восточного берега реки Одер и заняли населённые пункты Вольфсхорст, Хакенвальде, Грюнхорст, Карлсгоф, Мюленбек, Бинов, Вольтин, Виров, Туехойзер.</w:t>
      </w:r>
    </w:p>
    <w:p w14:paraId="2CC3A02E" w14:textId="77777777" w:rsidR="00C1740F" w:rsidRPr="00925F26" w:rsidRDefault="00C1740F" w:rsidP="00925F26">
      <w:pPr>
        <w:jc w:val="both"/>
        <w:rPr>
          <w:color w:val="000000" w:themeColor="text1"/>
          <w:sz w:val="16"/>
          <w:szCs w:val="16"/>
        </w:rPr>
      </w:pPr>
      <w:r w:rsidRPr="00925F26">
        <w:rPr>
          <w:color w:val="000000" w:themeColor="text1"/>
          <w:sz w:val="16"/>
          <w:szCs w:val="16"/>
        </w:rPr>
        <w:t>В боях за 8 марта войска 1-го Белорусского фронта взяли в плен свыше 3.000 немецких солдат и офицеров. В числе пленных командир немецкой пехотной дивизии «Бервальде» генерал-лейтенант Райтель.</w:t>
      </w:r>
    </w:p>
    <w:p w14:paraId="67E4E0B9" w14:textId="77777777" w:rsidR="00C1740F" w:rsidRPr="00925F26" w:rsidRDefault="00C1740F" w:rsidP="00925F26">
      <w:pPr>
        <w:jc w:val="both"/>
        <w:rPr>
          <w:color w:val="000000" w:themeColor="text1"/>
          <w:sz w:val="16"/>
          <w:szCs w:val="16"/>
        </w:rPr>
      </w:pPr>
      <w:r w:rsidRPr="00925F26">
        <w:rPr>
          <w:color w:val="000000" w:themeColor="text1"/>
          <w:sz w:val="16"/>
          <w:szCs w:val="16"/>
        </w:rPr>
        <w:t>В Венгрии северо-восточнее озера Балатон немцы продолжали атаки крупными силами танков, стремясь прорваться к Дунаю. В боях за 8 марта в этом районе подбито и уничтожено 70 немецких танков.</w:t>
      </w:r>
    </w:p>
    <w:p w14:paraId="528DF525" w14:textId="77777777" w:rsidR="00C1740F" w:rsidRPr="00925F26" w:rsidRDefault="00C1740F"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B026169" w14:textId="77777777" w:rsidR="00C1740F" w:rsidRPr="00925F26" w:rsidRDefault="00C1740F" w:rsidP="00925F26">
      <w:pPr>
        <w:jc w:val="both"/>
        <w:rPr>
          <w:color w:val="000000" w:themeColor="text1"/>
          <w:sz w:val="16"/>
          <w:szCs w:val="16"/>
        </w:rPr>
      </w:pPr>
      <w:r w:rsidRPr="00925F26">
        <w:rPr>
          <w:color w:val="000000" w:themeColor="text1"/>
          <w:sz w:val="16"/>
          <w:szCs w:val="16"/>
        </w:rPr>
        <w:t>За 8 марта на всех фронтах подбито и уничтожено 128 немецких танков. В воздушных боях и огнём зенитной артиллерии сбит 61 самолёт противника.</w:t>
      </w:r>
    </w:p>
    <w:p w14:paraId="155FD23D" w14:textId="77777777" w:rsidR="00C1740F" w:rsidRPr="00925F26" w:rsidRDefault="00C1740F" w:rsidP="00925F26">
      <w:pPr>
        <w:jc w:val="both"/>
        <w:rPr>
          <w:color w:val="000000" w:themeColor="text1"/>
          <w:sz w:val="16"/>
          <w:szCs w:val="16"/>
        </w:rPr>
      </w:pPr>
      <w:r w:rsidRPr="00925F26">
        <w:rPr>
          <w:color w:val="000000" w:themeColor="text1"/>
          <w:sz w:val="16"/>
          <w:szCs w:val="16"/>
        </w:rPr>
        <w:t>Удары нашей авиации по железнодорожному узлу Веспрем в Венгрии.</w:t>
      </w:r>
    </w:p>
    <w:p w14:paraId="18112084" w14:textId="77777777" w:rsidR="00C1740F" w:rsidRPr="00925F26" w:rsidRDefault="00C1740F" w:rsidP="00925F26">
      <w:pPr>
        <w:jc w:val="both"/>
        <w:rPr>
          <w:color w:val="000000" w:themeColor="text1"/>
          <w:sz w:val="16"/>
          <w:szCs w:val="16"/>
        </w:rPr>
      </w:pPr>
      <w:r w:rsidRPr="00925F26">
        <w:rPr>
          <w:color w:val="000000" w:themeColor="text1"/>
          <w:sz w:val="16"/>
          <w:szCs w:val="16"/>
        </w:rPr>
        <w:t>В ночь на 9 марта наши тяжёлые бомбардировщики нанесли удар по железнодорожному узлу Веспрем в Венгрии. Во время бомбардировки на железнодорожном узле находилось большое количество эшелонов. В результате бомбардировки на железнодорожном узле возникли пожары, сопровождавшиеся взрывами большой силы.</w:t>
      </w:r>
    </w:p>
    <w:p w14:paraId="64191DD3" w14:textId="77777777" w:rsidR="00C1740F" w:rsidRPr="00925F26" w:rsidRDefault="00C1740F"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Советские подвижные соединения и пехота стремительным ударом заняли город Шлаве. Вражеский гарнизон города, пытавшийся спастись бегством, был настигнут на шоссейной дороге и уничтожен огнём и гусеницами советских танков. Развивая успех, наши войска устремились к городу Штольпу. Этот город является важным узлом путей сообщения в северной Померании. К нему сходятся шесть железных и несколько шоссейных дорог. На обочинах дорог, ведущих к Штольпу, лежит много цемента, стальных плит, брёвен. Повсюду видны отрытые гнёзда для дотов. Противник пытался построить в этом районе долговременную оборону. Гитлеровцы согнали сюда десятки тысяч людей с лопатами, ломами и кирками. Работа по строительству шла день и ночь. Однако быстрое продвижение Красной Армии сорвало планы немцев. Укрепления так и остались недостроенными. К исходу дня наши войска достигли западной окраины Штольпа. Советская пехота завязала бои с упорно оборонявшимся противником, а танки, самоходная артиллерия и гвардейские миномёты обошли город с севера и юга. Вечером, под прикрытием артиллерийского огня, в город Штольп с трёх сторон ворвались советские стрелки. Начался ночной штурм. Самоходные орудия следовали в боевых порядках пехоты и подавляли вражеские огневые точки. Сапёры подбирались к зданиям, из которых немцы вели огонь, закладывали взрывчатые вещества и взрывали их. В результате упорного боя наши войска полностью овладели городом Штольп — мощным опорным пунктом обороны противника. В течение дня уничтожено до 4 тысяч немецких солдат и офицеров, подбито и сожжено 35 танков и самоходных орудий. Нашими частями захвачены трофеи, в числе которых 4 танка, 5 бронетранспортёров, 44 орудия, 30 паровозов, 500 вагонов и 25 разных складов.</w:t>
      </w:r>
    </w:p>
    <w:p w14:paraId="329A187F" w14:textId="77777777" w:rsidR="00C1740F" w:rsidRPr="00925F26" w:rsidRDefault="00C1740F" w:rsidP="00925F26">
      <w:pPr>
        <w:jc w:val="both"/>
        <w:rPr>
          <w:color w:val="000000" w:themeColor="text1"/>
          <w:sz w:val="16"/>
          <w:szCs w:val="16"/>
        </w:rPr>
      </w:pPr>
      <w:r w:rsidRPr="00925F26">
        <w:rPr>
          <w:color w:val="000000" w:themeColor="text1"/>
          <w:sz w:val="16"/>
          <w:szCs w:val="16"/>
        </w:rPr>
        <w:t>На Штеттинском направлении наши войска очищали от противника восточный берег реки Одер. Нанося немцам удары с севера, востока и юга, советские части продвигаются к городу Альтдамм — опорному пункту противника, прикрывающему Штеттин с востока. Пехотинцы и танкисты, поддержанные артиллерией, выбивают немцев из укреплений, построенных в населённых пунктах и у дорог. Только на одном участке наши войска истребили до полка пехоты противника. Захвачено у немцев 2 самоходных и 132 полевых орудия, много миномётов, пулемётов и другие трофеи. Взят в плен командир полка немецкой дивизии «Меркиш-Фридланд» полковник Янус.</w:t>
      </w:r>
    </w:p>
    <w:p w14:paraId="5CAA88BE" w14:textId="77777777" w:rsidR="00C1740F" w:rsidRPr="00925F26" w:rsidRDefault="00C1740F" w:rsidP="00925F26">
      <w:pPr>
        <w:jc w:val="both"/>
        <w:rPr>
          <w:color w:val="000000" w:themeColor="text1"/>
          <w:sz w:val="16"/>
          <w:szCs w:val="16"/>
        </w:rPr>
      </w:pPr>
      <w:r w:rsidRPr="00925F26">
        <w:rPr>
          <w:color w:val="000000" w:themeColor="text1"/>
          <w:sz w:val="16"/>
          <w:szCs w:val="16"/>
        </w:rPr>
        <w:t>Советские лётчики наносили удары по войскам противника, скопившимся у переправ через реку Одер. В воздушных боях и огнём зенитной артиллерии за день сбито 36 немецких самолётов.</w:t>
      </w:r>
    </w:p>
    <w:p w14:paraId="154CBB3D" w14:textId="77777777" w:rsidR="00C1740F" w:rsidRPr="00925F26" w:rsidRDefault="00C1740F"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потопила в Балтийском море немецкий транспорт водоизмещением в 6 тысяч тонн.</w:t>
      </w:r>
    </w:p>
    <w:p w14:paraId="3BB7E150" w14:textId="77777777" w:rsidR="00C1740F" w:rsidRPr="00925F26" w:rsidRDefault="00C1740F" w:rsidP="00925F26">
      <w:pPr>
        <w:jc w:val="both"/>
        <w:rPr>
          <w:color w:val="000000" w:themeColor="text1"/>
          <w:sz w:val="16"/>
          <w:szCs w:val="16"/>
        </w:rPr>
      </w:pPr>
      <w:r w:rsidRPr="00925F26">
        <w:rPr>
          <w:color w:val="000000" w:themeColor="text1"/>
          <w:sz w:val="16"/>
          <w:szCs w:val="16"/>
        </w:rPr>
        <w:t xml:space="preserve">На 2-м Украинском фронте нашими бойцами взяты в плен два солдата 102-й роты испанского легиона Хесус Сайнс Балса и Энрике Марота Эрнандес. Пленный Хесус Сайнс Балса рассказал: «В 1943 году я служил в испанской «Голубой дивизии» санитаром. В конце года меня демобилизовали, и я вернулся в Испанию. В июне 1944 года я добровольно вступил в испанскую армию. Однако меня не оставили в Испании, а отправили в Иннсбрук (Австрия), где формировался новый испанский легион. Центром вербовки испанских солдат для участия в войне на стороне немцев является город Логроньо (Испания). Вербовкой руководил подполковник из военного министерства, фамилии которого я не помню. Другой вербовочный пункт находится в городе Сан-Себастьян. Начальником пункта был один из руководителей </w:t>
      </w:r>
      <w:r w:rsidRPr="00925F26">
        <w:rPr>
          <w:color w:val="000000" w:themeColor="text1"/>
          <w:sz w:val="16"/>
          <w:szCs w:val="16"/>
        </w:rPr>
        <w:lastRenderedPageBreak/>
        <w:t>испанских фалангистов лейтенант испанской армии Каррерас, ранее служивший в «Голубой дивизии». С августа легион пополнялся также испанцами, завербованными для работ на промышленных предприятиях Германии.</w:t>
      </w:r>
    </w:p>
    <w:p w14:paraId="184B7ED9" w14:textId="77777777" w:rsidR="00C1740F" w:rsidRPr="00925F26" w:rsidRDefault="00C1740F" w:rsidP="00925F26">
      <w:pPr>
        <w:jc w:val="both"/>
        <w:rPr>
          <w:color w:val="000000" w:themeColor="text1"/>
          <w:sz w:val="16"/>
          <w:szCs w:val="16"/>
        </w:rPr>
      </w:pPr>
      <w:r w:rsidRPr="00925F26">
        <w:rPr>
          <w:color w:val="000000" w:themeColor="text1"/>
          <w:sz w:val="16"/>
          <w:szCs w:val="16"/>
        </w:rPr>
        <w:t>В августе легион был полностью укомплектован. Первую роту в полном составе направили в Карпаты для участия в боях. Две роты легиона были переброшены в Югославию, в район Целье (юго-западнее Марибор), для борьбы против югославских партизан. В конце октября обе роты были переведены из Югославии в Штоккерау (Австрия). Сюда же прибыли остатки первой роты, разбитой в Карпатах. В Штоккерау легион получил пополнение из Испании и 7 февраля 1945 года в полном составе был переброшен по железной дороге через Братиславу — Нитру в район Врабле. После прибытия на место две роты легиона получили новую нумерацию, а именно: 1-я рота стала именоваться 101-й отдельной испанской ротой, а 2-я рота — 102-й отдельной испанской ротой. Обе роты 19 февраля заняли оборону в районе восточнее Врабле, сменив немецкие подразделения, отведённые на отдых».</w:t>
      </w:r>
    </w:p>
    <w:p w14:paraId="234E1AEF" w14:textId="77777777" w:rsidR="00C1740F" w:rsidRPr="00925F26" w:rsidRDefault="00C1740F" w:rsidP="00925F26">
      <w:pPr>
        <w:jc w:val="both"/>
        <w:rPr>
          <w:color w:val="000000" w:themeColor="text1"/>
          <w:sz w:val="16"/>
          <w:szCs w:val="16"/>
        </w:rPr>
      </w:pPr>
      <w:r w:rsidRPr="00925F26">
        <w:rPr>
          <w:color w:val="000000" w:themeColor="text1"/>
          <w:sz w:val="16"/>
          <w:szCs w:val="16"/>
        </w:rPr>
        <w:t>Правящая клика Испании из кожи лезет вон, стараясь уверить всех и вся в нейтралитете Испании. В то же время под аккомпанемент лживых речей о своём миролюбии правительство Франко формирует воинские части и посылает их на подмогу Гитлеру, попавшему в беду. Пока испанские газеты и радиостанции на все лады расписывают нейтралитет Испании, испанский легион сражается против югославских патриотов и против Красной Армии, с боями освобождающей территорию Чехословакии, Испанские дипломаты, не жалея сил, пытаются убедить всех, будто бы правительство Франко не имеет ничего общего с фашистской Германией, а представители испанского военного министерства и фаланги вербуют среди солдат «добровольцев» и отправляют их в Германию, а оттуда на советско-германский фронт. В Испании также усиленно вербуют рабочих для работы на предприятиях Германии. Однако многие из этих рабочих попадают в испанский легион, где их одевают в военную форму, дают оружие и гонят в бой. Так выглядит нейтралитет франкистской Испании на деле. Трудно представить более подлую и двурушническую политику, чем та, которую изо дня в день проводят испанские подручные Гитлера.</w:t>
      </w:r>
    </w:p>
    <w:p w14:paraId="066BFCF9" w14:textId="77777777" w:rsidR="00C1740F" w:rsidRPr="00925F26" w:rsidRDefault="00C1740F" w:rsidP="00925F26">
      <w:pPr>
        <w:jc w:val="both"/>
        <w:rPr>
          <w:color w:val="000000" w:themeColor="text1"/>
          <w:sz w:val="16"/>
          <w:szCs w:val="16"/>
        </w:rPr>
      </w:pPr>
      <w:r w:rsidRPr="00925F26">
        <w:rPr>
          <w:color w:val="000000" w:themeColor="text1"/>
          <w:sz w:val="16"/>
          <w:szCs w:val="16"/>
        </w:rPr>
        <w:t>Показания испанцев, взятых в плен на советско-германском фронте, снова разоблачают мадридских «нейтралов», помогающих фашистской Германии вести войну против Объединённых наций.» (15063).</w:t>
      </w:r>
    </w:p>
    <w:p w14:paraId="77D48E22" w14:textId="77777777" w:rsidR="00C1740F" w:rsidRPr="00925F26" w:rsidRDefault="00C1740F" w:rsidP="00925F26">
      <w:pPr>
        <w:jc w:val="both"/>
        <w:rPr>
          <w:color w:val="000000" w:themeColor="text1"/>
          <w:sz w:val="16"/>
          <w:szCs w:val="16"/>
        </w:rPr>
      </w:pPr>
    </w:p>
    <w:p w14:paraId="305D9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года советская авиация повредила подводную лодку U-351 и потопила или сильно повредила 6 транспортов, дозорный корабль и пассажирский корабль "Метеор". А на следующий день в ходе воздушного налета получили повреждения и сели на мель три морских охотника: N 302, 303 и 305 (2691).</w:t>
      </w:r>
    </w:p>
    <w:p w14:paraId="11B4154E" w14:textId="77777777" w:rsidR="00665165" w:rsidRPr="00925F26" w:rsidRDefault="00665165" w:rsidP="00925F26">
      <w:pPr>
        <w:autoSpaceDE w:val="0"/>
        <w:autoSpaceDN w:val="0"/>
        <w:adjustRightInd w:val="0"/>
        <w:jc w:val="both"/>
        <w:rPr>
          <w:color w:val="000000" w:themeColor="text1"/>
          <w:sz w:val="16"/>
          <w:szCs w:val="16"/>
        </w:rPr>
      </w:pPr>
    </w:p>
    <w:p w14:paraId="44A1FE2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59F9CBF" w14:textId="77777777" w:rsidR="00665165" w:rsidRPr="00925F26" w:rsidRDefault="00665165" w:rsidP="00925F26">
      <w:pPr>
        <w:autoSpaceDE w:val="0"/>
        <w:autoSpaceDN w:val="0"/>
        <w:adjustRightInd w:val="0"/>
        <w:jc w:val="both"/>
        <w:rPr>
          <w:iCs/>
          <w:color w:val="000000" w:themeColor="text1"/>
          <w:sz w:val="16"/>
          <w:szCs w:val="16"/>
        </w:rPr>
      </w:pPr>
    </w:p>
    <w:p w14:paraId="274D13E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марта 1945 вышло Распоряжение ГКО № 7775 [О передаче личного состава, освободившегося после реорганизации городских частей МПВО, в Распоряжение ГКО Главного управления по делам военнопленных и интернированных НКВД.] (7313, 141,142).</w:t>
      </w:r>
    </w:p>
    <w:p w14:paraId="5301F19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C9F0CA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CB5E6E5" w14:textId="77777777" w:rsidR="00665165" w:rsidRPr="00925F26" w:rsidRDefault="00665165" w:rsidP="00925F26">
      <w:pPr>
        <w:autoSpaceDE w:val="0"/>
        <w:autoSpaceDN w:val="0"/>
        <w:adjustRightInd w:val="0"/>
        <w:jc w:val="both"/>
        <w:rPr>
          <w:iCs/>
          <w:color w:val="000000" w:themeColor="text1"/>
          <w:sz w:val="16"/>
          <w:szCs w:val="16"/>
        </w:rPr>
      </w:pPr>
    </w:p>
    <w:p w14:paraId="7967B2C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марта 1945 американские войска захватили Бонн (4962).</w:t>
      </w:r>
    </w:p>
    <w:p w14:paraId="1A43A45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003674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марта 1945 немцы неожиданно предприняли попытку высадки десанта глубоко в тылу союзников - в Гранвилле (Нормандия) (4962).</w:t>
      </w:r>
    </w:p>
    <w:p w14:paraId="0D9EF7C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97B1C1" w14:textId="49C695BF" w:rsidR="006D7A23" w:rsidRPr="00925F26" w:rsidRDefault="006D7A23" w:rsidP="00925F26">
      <w:pPr>
        <w:jc w:val="both"/>
        <w:rPr>
          <w:color w:val="000000" w:themeColor="text1"/>
          <w:sz w:val="16"/>
          <w:szCs w:val="16"/>
        </w:rPr>
      </w:pPr>
      <w:r w:rsidRPr="00925F26">
        <w:rPr>
          <w:color w:val="000000" w:themeColor="text1"/>
          <w:sz w:val="16"/>
          <w:szCs w:val="16"/>
        </w:rPr>
        <w:t>9 марта 1945, разочаровавшись в результатах стратегических бомбовых ударов против Японии с использованием B-29 СуперФортресом в дневное время, ВВС США переключаются на низковысотную ночную бомбардировку Японии с использованием зажигательных бомб (20371).</w:t>
      </w:r>
    </w:p>
    <w:p w14:paraId="7E8B1E43" w14:textId="77777777" w:rsidR="006D7A23" w:rsidRPr="00925F26" w:rsidRDefault="006D7A23" w:rsidP="00925F26">
      <w:pPr>
        <w:jc w:val="both"/>
        <w:rPr>
          <w:color w:val="000000" w:themeColor="text1"/>
          <w:sz w:val="16"/>
          <w:szCs w:val="16"/>
        </w:rPr>
      </w:pPr>
    </w:p>
    <w:p w14:paraId="3A14F8C9" w14:textId="77777777" w:rsidR="006D7A23" w:rsidRPr="00925F26" w:rsidRDefault="006D7A23" w:rsidP="00925F26">
      <w:pPr>
        <w:jc w:val="both"/>
        <w:rPr>
          <w:color w:val="000000" w:themeColor="text1"/>
          <w:sz w:val="16"/>
          <w:szCs w:val="16"/>
        </w:rPr>
      </w:pPr>
      <w:r w:rsidRPr="00925F26">
        <w:rPr>
          <w:color w:val="000000" w:themeColor="text1"/>
          <w:sz w:val="16"/>
          <w:szCs w:val="16"/>
        </w:rPr>
        <w:t xml:space="preserve">9–10 марта 1945 состоялся авианалёт в Токио (кодовое название USAAF Operation </w:t>
      </w:r>
      <w:proofErr w:type="gramStart"/>
      <w:r w:rsidRPr="00925F26">
        <w:rPr>
          <w:color w:val="000000" w:themeColor="text1"/>
          <w:sz w:val="16"/>
          <w:szCs w:val="16"/>
        </w:rPr>
        <w:t>Meetinghouse )</w:t>
      </w:r>
      <w:proofErr w:type="gramEnd"/>
      <w:r w:rsidRPr="00925F26">
        <w:rPr>
          <w:color w:val="000000" w:themeColor="text1"/>
          <w:sz w:val="16"/>
          <w:szCs w:val="16"/>
        </w:rPr>
        <w:t xml:space="preserve"> - ночной налет бомбардировщиков B-29 Superfortress на Токио - самый разрушительный воздушный налет за время Второй мировой войны, даже с учетом атомных бомбардировок Хиросимы и Нагасаки. Налет создал пожар, который разрушает 41 квадратный километр (16 квадратных миль) города, убивая примерно от 88 000 до 125 000 человек, раня как минимум 41 000, а возможно, и до миллиона человек, и оставив, вероятно, миллион человек без крова.</w:t>
      </w:r>
    </w:p>
    <w:p w14:paraId="51990804" w14:textId="77777777" w:rsidR="006D7A23" w:rsidRPr="00925F26" w:rsidRDefault="006D7A23" w:rsidP="00925F26">
      <w:pPr>
        <w:jc w:val="both"/>
        <w:rPr>
          <w:color w:val="000000" w:themeColor="text1"/>
          <w:sz w:val="16"/>
          <w:szCs w:val="16"/>
        </w:rPr>
      </w:pPr>
    </w:p>
    <w:p w14:paraId="76D568DA" w14:textId="5C175274" w:rsidR="006D7A23" w:rsidRPr="00925F26" w:rsidRDefault="006D7A23" w:rsidP="00925F26">
      <w:pPr>
        <w:jc w:val="both"/>
        <w:rPr>
          <w:color w:val="000000" w:themeColor="text1"/>
          <w:sz w:val="16"/>
          <w:szCs w:val="16"/>
        </w:rPr>
      </w:pPr>
      <w:r w:rsidRPr="00925F26">
        <w:rPr>
          <w:color w:val="000000" w:themeColor="text1"/>
          <w:sz w:val="16"/>
          <w:szCs w:val="16"/>
        </w:rPr>
        <w:t xml:space="preserve">9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300 бомбардировщиков Boeing B-29 "Superfortresses" совершили ночной налет на Токио. Разрушена приблизительно одна четверть города. Убито, по разным оценкам, от 88000 до 125000 человек (22575).</w:t>
      </w:r>
    </w:p>
    <w:p w14:paraId="74246682" w14:textId="77777777" w:rsidR="006D7A23" w:rsidRPr="00925F26" w:rsidRDefault="006D7A23" w:rsidP="00925F26">
      <w:pPr>
        <w:jc w:val="both"/>
        <w:rPr>
          <w:color w:val="000000" w:themeColor="text1"/>
          <w:sz w:val="16"/>
          <w:szCs w:val="16"/>
        </w:rPr>
      </w:pPr>
    </w:p>
    <w:p w14:paraId="26952C7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марта 1945 в ходе американского налета разрушена четверть Токио, погибло более 80 тысяч человек (4962).</w:t>
      </w:r>
    </w:p>
    <w:p w14:paraId="43D8C06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C4DE0D7" w14:textId="77777777" w:rsidR="006D7A23" w:rsidRPr="00925F26" w:rsidRDefault="006D7A2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9 1945. B-29s begin mass incendiary raids (1287).</w:t>
      </w:r>
    </w:p>
    <w:p w14:paraId="22B73E53" w14:textId="77777777" w:rsidR="006D7A23" w:rsidRPr="00925F26" w:rsidRDefault="006D7A23" w:rsidP="00925F26">
      <w:pPr>
        <w:autoSpaceDE w:val="0"/>
        <w:autoSpaceDN w:val="0"/>
        <w:adjustRightInd w:val="0"/>
        <w:jc w:val="both"/>
        <w:rPr>
          <w:color w:val="000000" w:themeColor="text1"/>
          <w:sz w:val="16"/>
          <w:szCs w:val="16"/>
          <w:lang w:val="en-US"/>
        </w:rPr>
      </w:pPr>
    </w:p>
    <w:p w14:paraId="6ADEB2AF" w14:textId="77777777" w:rsidR="006D7A23" w:rsidRPr="00925F26" w:rsidRDefault="006D7A2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09 1945 General Curtis Le May, defying conventional techniques, sends 325 B-29 Superfortresses to individually and sequentially bomb Tokyo with napalm bombs so as to create a massive conflagration. That night, over 80,000 people die (1769).</w:t>
      </w:r>
    </w:p>
    <w:p w14:paraId="7C79CB89" w14:textId="77777777" w:rsidR="006D7A23" w:rsidRPr="00925F26" w:rsidRDefault="006D7A23" w:rsidP="00925F26">
      <w:pPr>
        <w:autoSpaceDE w:val="0"/>
        <w:autoSpaceDN w:val="0"/>
        <w:adjustRightInd w:val="0"/>
        <w:jc w:val="both"/>
        <w:rPr>
          <w:color w:val="000000" w:themeColor="text1"/>
          <w:sz w:val="16"/>
          <w:szCs w:val="16"/>
          <w:lang w:val="en-US"/>
        </w:rPr>
      </w:pPr>
    </w:p>
    <w:p w14:paraId="678234D6" w14:textId="77777777" w:rsidR="006D7A23" w:rsidRPr="00925F26" w:rsidRDefault="006D7A2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9-10, 1945 - LeMay launches an all-out low altitude fire bomb raid on Tokyo with 334 B-29s, stripped of guns for greater bomb load, carrying 2000 tons of incendiaries. 15.8 square miles of Tokyo burn, killing at least 100,000 people, injuring 1,000,000 (41,000 seriously) (1039).</w:t>
      </w:r>
    </w:p>
    <w:p w14:paraId="0931EF81" w14:textId="77777777" w:rsidR="006D7A23" w:rsidRPr="00925F26" w:rsidRDefault="006D7A23" w:rsidP="00925F26">
      <w:pPr>
        <w:autoSpaceDE w:val="0"/>
        <w:autoSpaceDN w:val="0"/>
        <w:adjustRightInd w:val="0"/>
        <w:jc w:val="both"/>
        <w:rPr>
          <w:color w:val="000000" w:themeColor="text1"/>
          <w:sz w:val="16"/>
          <w:szCs w:val="16"/>
          <w:lang w:val="en-US"/>
        </w:rPr>
      </w:pPr>
    </w:p>
    <w:p w14:paraId="5BBDE1B5" w14:textId="77777777" w:rsidR="006D7A23" w:rsidRPr="00925F26" w:rsidRDefault="006D7A23" w:rsidP="00925F26">
      <w:pPr>
        <w:autoSpaceDE w:val="0"/>
        <w:autoSpaceDN w:val="0"/>
        <w:adjustRightInd w:val="0"/>
        <w:jc w:val="both"/>
        <w:rPr>
          <w:color w:val="000000" w:themeColor="text1"/>
          <w:sz w:val="16"/>
          <w:szCs w:val="16"/>
        </w:rPr>
      </w:pPr>
      <w:r w:rsidRPr="00925F26">
        <w:rPr>
          <w:color w:val="000000" w:themeColor="text1"/>
          <w:sz w:val="16"/>
          <w:szCs w:val="16"/>
        </w:rPr>
        <w:t>9/10 марта 1945 334 из-за бомбежки зажигательными бомбами с В-29 с небольшой высоты в Токио погибло 100 тыс. чел., 1 млн. были ранены (1287;1769;1039;2248,3).</w:t>
      </w:r>
    </w:p>
    <w:p w14:paraId="1E88BF49" w14:textId="77777777" w:rsidR="006D7A23" w:rsidRPr="00925F26" w:rsidRDefault="006D7A23" w:rsidP="00925F26">
      <w:pPr>
        <w:autoSpaceDE w:val="0"/>
        <w:autoSpaceDN w:val="0"/>
        <w:adjustRightInd w:val="0"/>
        <w:jc w:val="both"/>
        <w:rPr>
          <w:color w:val="000000" w:themeColor="text1"/>
          <w:sz w:val="16"/>
          <w:szCs w:val="16"/>
          <w:lang w:val="en-US"/>
        </w:rPr>
      </w:pPr>
      <w:r w:rsidRPr="00925F26">
        <w:rPr>
          <w:color w:val="000000" w:themeColor="text1"/>
          <w:sz w:val="16"/>
          <w:szCs w:val="16"/>
        </w:rPr>
        <w:t xml:space="preserve">По другим данным - 279 В-29 сбросили 1555 т зажигательных и напалмовых бомб и погибло 84 тыс. </w:t>
      </w:r>
      <w:r w:rsidRPr="00925F26">
        <w:rPr>
          <w:color w:val="000000" w:themeColor="text1"/>
          <w:sz w:val="16"/>
          <w:szCs w:val="16"/>
          <w:lang w:val="en-US"/>
        </w:rPr>
        <w:t>(1051,28).</w:t>
      </w:r>
    </w:p>
    <w:p w14:paraId="7F1F27E3" w14:textId="77777777" w:rsidR="006D7A23" w:rsidRPr="00925F26" w:rsidRDefault="006D7A23" w:rsidP="00925F26">
      <w:pPr>
        <w:autoSpaceDE w:val="0"/>
        <w:autoSpaceDN w:val="0"/>
        <w:adjustRightInd w:val="0"/>
        <w:jc w:val="both"/>
        <w:rPr>
          <w:color w:val="000000" w:themeColor="text1"/>
          <w:sz w:val="16"/>
          <w:szCs w:val="16"/>
          <w:lang w:val="en-US"/>
        </w:rPr>
      </w:pPr>
    </w:p>
    <w:p w14:paraId="6D59249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9th, 1945: German light naval vessels from the still German-ocupied British Channel Islands enter the Allied supply port of Granville in Bretagne, sinking five ships. Units of the US Third Army capture Andernach on the Rhine. on the Oder front in the East, troops of the Soviet 1st Belorussian Front are fighting inside the fortress of Kustrin (3819).</w:t>
      </w:r>
    </w:p>
    <w:p w14:paraId="0FDD055B" w14:textId="77777777" w:rsidR="00665165" w:rsidRPr="00925F26" w:rsidRDefault="00665165" w:rsidP="00925F26">
      <w:pPr>
        <w:autoSpaceDE w:val="0"/>
        <w:autoSpaceDN w:val="0"/>
        <w:adjustRightInd w:val="0"/>
        <w:jc w:val="both"/>
        <w:rPr>
          <w:color w:val="000000" w:themeColor="text1"/>
          <w:sz w:val="16"/>
          <w:szCs w:val="16"/>
          <w:lang w:val="en-US"/>
        </w:rPr>
      </w:pPr>
    </w:p>
    <w:p w14:paraId="2D2321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легкий немецкий корабль из сил Английского Канала вошел в порт Гранвиль в Бретани и потопил 5 судов. Части 3А США заняли Андернах на Рейне. 1БФ сражался в Кюстрине (3819).</w:t>
      </w:r>
    </w:p>
    <w:p w14:paraId="37CA8ECA" w14:textId="77777777" w:rsidR="00665165" w:rsidRPr="00925F26" w:rsidRDefault="00665165" w:rsidP="00925F26">
      <w:pPr>
        <w:autoSpaceDE w:val="0"/>
        <w:autoSpaceDN w:val="0"/>
        <w:adjustRightInd w:val="0"/>
        <w:jc w:val="both"/>
        <w:rPr>
          <w:color w:val="000000" w:themeColor="text1"/>
          <w:sz w:val="16"/>
          <w:szCs w:val="16"/>
        </w:rPr>
      </w:pPr>
    </w:p>
    <w:p w14:paraId="554BC0AC" w14:textId="77777777" w:rsidR="00C1740F" w:rsidRPr="00925F26" w:rsidRDefault="00C1740F" w:rsidP="00925F26">
      <w:pPr>
        <w:jc w:val="both"/>
        <w:rPr>
          <w:color w:val="000000" w:themeColor="text1"/>
          <w:sz w:val="16"/>
          <w:szCs w:val="16"/>
        </w:rPr>
      </w:pPr>
      <w:r w:rsidRPr="00925F26">
        <w:rPr>
          <w:bCs/>
          <w:color w:val="000000" w:themeColor="text1"/>
          <w:sz w:val="16"/>
          <w:szCs w:val="16"/>
        </w:rPr>
        <w:t>9 марта</w:t>
      </w:r>
      <w:r w:rsidRPr="00925F26">
        <w:rPr>
          <w:color w:val="000000" w:themeColor="text1"/>
          <w:sz w:val="16"/>
          <w:szCs w:val="16"/>
        </w:rPr>
        <w:t xml:space="preserve"> в 1945 году (по 21 марта) бои британских войск за Мандалай (15063).</w:t>
      </w:r>
    </w:p>
    <w:p w14:paraId="562B700F" w14:textId="77777777" w:rsidR="00C1740F" w:rsidRPr="00925F26" w:rsidRDefault="00C1740F" w:rsidP="00925F26">
      <w:pPr>
        <w:jc w:val="both"/>
        <w:rPr>
          <w:color w:val="000000" w:themeColor="text1"/>
          <w:sz w:val="16"/>
          <w:szCs w:val="16"/>
        </w:rPr>
      </w:pPr>
    </w:p>
    <w:p w14:paraId="5B76C6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марта 1945 японские военные власти ликвидировали французскую кололниальную администрацию во Вьетнаме, Камбодже, Лаосе и создали марионеточные правительства (3960, 96).</w:t>
      </w:r>
    </w:p>
    <w:p w14:paraId="76B05214" w14:textId="77777777" w:rsidR="00665165" w:rsidRPr="00925F26" w:rsidRDefault="00665165" w:rsidP="00925F26">
      <w:pPr>
        <w:autoSpaceDE w:val="0"/>
        <w:autoSpaceDN w:val="0"/>
        <w:adjustRightInd w:val="0"/>
        <w:jc w:val="both"/>
        <w:rPr>
          <w:color w:val="000000" w:themeColor="text1"/>
          <w:sz w:val="16"/>
          <w:szCs w:val="16"/>
        </w:rPr>
      </w:pPr>
    </w:p>
    <w:p w14:paraId="6549BFC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9500319" w14:textId="77777777" w:rsidR="00665165" w:rsidRPr="00925F26" w:rsidRDefault="00665165" w:rsidP="00925F26">
      <w:pPr>
        <w:autoSpaceDE w:val="0"/>
        <w:autoSpaceDN w:val="0"/>
        <w:adjustRightInd w:val="0"/>
        <w:jc w:val="both"/>
        <w:rPr>
          <w:iCs/>
          <w:color w:val="000000" w:themeColor="text1"/>
          <w:sz w:val="16"/>
          <w:szCs w:val="16"/>
        </w:rPr>
      </w:pPr>
    </w:p>
    <w:p w14:paraId="6D93B7F0"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К 10 марта 1945 на Ил-10 поставили уширенные ленты по 4-й и 8-й нервюрам для дополнительного крепления стрингеров и четыре дополнительных стрингера на верхней обшивке между 4-й и 5-й нервюрами. Перенесли стык стенок переднего лонжерона с 4-й на 5-ю нервюру. Добавили стойки на правом заднем лонжероне у разъема и на правом переднем лонжероне у разъема, а также стойку на переднем левом лонжероне между 1 -й и 2-й нервюрами. На стенке передних лонжеронов от разъема до вырезов под пулеметы поставлены 1,5-мм накладки из ДЗл1,5. Профиль усиления выреза в переднем лонжероне крыла для пушки ВЯ выполнили из хромансилевой стали С30ХГСА вместо дюраля.</w:t>
      </w:r>
    </w:p>
    <w:p w14:paraId="57045491" w14:textId="77777777" w:rsidR="00DD401F" w:rsidRPr="00925F26" w:rsidRDefault="00DD401F" w:rsidP="00925F26">
      <w:pPr>
        <w:jc w:val="both"/>
        <w:rPr>
          <w:color w:val="000000" w:themeColor="text1"/>
          <w:sz w:val="16"/>
          <w:szCs w:val="16"/>
        </w:rPr>
      </w:pPr>
      <w:r w:rsidRPr="00925F26">
        <w:rPr>
          <w:rStyle w:val="107"/>
          <w:rFonts w:eastAsiaTheme="minorHAnsi"/>
          <w:color w:val="000000" w:themeColor="text1"/>
          <w:sz w:val="16"/>
          <w:szCs w:val="16"/>
        </w:rPr>
        <w:t>Такое крыло, установленное на серийном самолете Ил-10 зав. № 1899008, при испытаниях в мае 1945 года выдержало 125 % от расчетной нагрузки на случай А\ после чего между 1 -й и 2-й нервюрами произошел разрыв нижнего пояса заднего лонжерона и потеря устойчивости стенки заднего лонжерона (17490).</w:t>
      </w:r>
    </w:p>
    <w:p w14:paraId="5C2D2B8C" w14:textId="77777777" w:rsidR="00DD401F" w:rsidRPr="00925F26" w:rsidRDefault="00DD401F" w:rsidP="00925F26">
      <w:pPr>
        <w:jc w:val="both"/>
        <w:rPr>
          <w:color w:val="000000" w:themeColor="text1"/>
          <w:sz w:val="16"/>
          <w:szCs w:val="16"/>
        </w:rPr>
      </w:pPr>
    </w:p>
    <w:p w14:paraId="4BEC70C7" w14:textId="77777777" w:rsidR="00DD401F" w:rsidRPr="00925F26" w:rsidRDefault="00DD401F"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По состоянию на 10 марта 1945 года завод № 30 получил «от Главного конструктора все чертежи самолета Ил-16». Технологическим отделом завода проведен технологический контроль чертежей, и по его замечаниям СКО завода было выпущено около 450 листков изменений («главным образом исправление ошибок и постановка недостающих размеров»). В цеха была спущена вся техническая документация. Из Куйбышева были получены «все детали, сходные с Ил-10 (за исключением бронекорпуса)». К 10 мая планировалось изготовить лонжероны и нервюры центроплана и крыла, щитки центроплана и крыла, центроплан, крыло и фюзеляж (17490).</w:t>
      </w:r>
    </w:p>
    <w:p w14:paraId="48AF50BE" w14:textId="77777777" w:rsidR="00DD401F" w:rsidRPr="00925F26" w:rsidRDefault="00DD401F" w:rsidP="00925F26">
      <w:pPr>
        <w:jc w:val="both"/>
        <w:rPr>
          <w:color w:val="000000" w:themeColor="text1"/>
          <w:sz w:val="16"/>
          <w:szCs w:val="16"/>
        </w:rPr>
      </w:pPr>
    </w:p>
    <w:p w14:paraId="08B969AF"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lastRenderedPageBreak/>
        <w:t>По состоянию на 10 марта 1945 г. завод №30 получил от Главного кон</w:t>
      </w:r>
      <w:r w:rsidRPr="00925F26">
        <w:rPr>
          <w:rFonts w:ascii="Times New Roman" w:hAnsi="Times New Roman" w:cs="Times New Roman"/>
          <w:color w:val="000000" w:themeColor="text1"/>
          <w:sz w:val="16"/>
          <w:szCs w:val="16"/>
        </w:rPr>
        <w:softHyphen/>
        <w:t>структора все чертежи самолета Ил-16. Технологическим отделом завода про</w:t>
      </w:r>
      <w:r w:rsidRPr="00925F26">
        <w:rPr>
          <w:rFonts w:ascii="Times New Roman" w:hAnsi="Times New Roman" w:cs="Times New Roman"/>
          <w:color w:val="000000" w:themeColor="text1"/>
          <w:sz w:val="16"/>
          <w:szCs w:val="16"/>
        </w:rPr>
        <w:softHyphen/>
        <w:t>веден технологический контроль чер</w:t>
      </w:r>
      <w:r w:rsidRPr="00925F26">
        <w:rPr>
          <w:rFonts w:ascii="Times New Roman" w:hAnsi="Times New Roman" w:cs="Times New Roman"/>
          <w:color w:val="000000" w:themeColor="text1"/>
          <w:sz w:val="16"/>
          <w:szCs w:val="16"/>
        </w:rPr>
        <w:softHyphen/>
        <w:t>тежей и по его замечаниям СКО завода было выпущено около 450 листков из</w:t>
      </w:r>
      <w:r w:rsidRPr="00925F26">
        <w:rPr>
          <w:rFonts w:ascii="Times New Roman" w:hAnsi="Times New Roman" w:cs="Times New Roman"/>
          <w:color w:val="000000" w:themeColor="text1"/>
          <w:sz w:val="16"/>
          <w:szCs w:val="16"/>
        </w:rPr>
        <w:softHyphen/>
        <w:t>менений («главным образом исправ</w:t>
      </w:r>
      <w:r w:rsidRPr="00925F26">
        <w:rPr>
          <w:rFonts w:ascii="Times New Roman" w:hAnsi="Times New Roman" w:cs="Times New Roman"/>
          <w:color w:val="000000" w:themeColor="text1"/>
          <w:sz w:val="16"/>
          <w:szCs w:val="16"/>
        </w:rPr>
        <w:softHyphen/>
        <w:t>ление ошибок и постановка недоста</w:t>
      </w:r>
      <w:r w:rsidRPr="00925F26">
        <w:rPr>
          <w:rFonts w:ascii="Times New Roman" w:hAnsi="Times New Roman" w:cs="Times New Roman"/>
          <w:color w:val="000000" w:themeColor="text1"/>
          <w:sz w:val="16"/>
          <w:szCs w:val="16"/>
        </w:rPr>
        <w:softHyphen/>
        <w:t>ющих размеров»). В цеха была спу</w:t>
      </w:r>
      <w:r w:rsidRPr="00925F26">
        <w:rPr>
          <w:rFonts w:ascii="Times New Roman" w:hAnsi="Times New Roman" w:cs="Times New Roman"/>
          <w:color w:val="000000" w:themeColor="text1"/>
          <w:sz w:val="16"/>
          <w:szCs w:val="16"/>
        </w:rPr>
        <w:softHyphen/>
        <w:t>щена вся техническая документация. Из Куйбышева были получены «все де</w:t>
      </w:r>
      <w:r w:rsidRPr="00925F26">
        <w:rPr>
          <w:rFonts w:ascii="Times New Roman" w:hAnsi="Times New Roman" w:cs="Times New Roman"/>
          <w:color w:val="000000" w:themeColor="text1"/>
          <w:sz w:val="16"/>
          <w:szCs w:val="16"/>
        </w:rPr>
        <w:softHyphen/>
        <w:t>тали сходные с Ил-10 (за исключением бронекорпуса)». К 10 мая планировалось изготовить лонжероны и нервюры цент</w:t>
      </w:r>
      <w:r w:rsidRPr="00925F26">
        <w:rPr>
          <w:rFonts w:ascii="Times New Roman" w:hAnsi="Times New Roman" w:cs="Times New Roman"/>
          <w:color w:val="000000" w:themeColor="text1"/>
          <w:sz w:val="16"/>
          <w:szCs w:val="16"/>
        </w:rPr>
        <w:softHyphen/>
        <w:t>роплана и крыла, щитки центроплана и крыла, центроплан, крыло и фюзеляж (17469).</w:t>
      </w:r>
    </w:p>
    <w:p w14:paraId="4C181E30" w14:textId="77777777" w:rsidR="0032140A" w:rsidRPr="00925F26" w:rsidRDefault="0032140A"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4506FB2" w14:textId="77777777" w:rsidR="00334ED3" w:rsidRPr="001A0BAA" w:rsidRDefault="00334ED3" w:rsidP="00334ED3">
      <w:pPr>
        <w:jc w:val="both"/>
        <w:rPr>
          <w:color w:val="0070C0"/>
          <w:sz w:val="16"/>
          <w:szCs w:val="16"/>
        </w:rPr>
      </w:pPr>
      <w:r w:rsidRPr="001A0BAA">
        <w:rPr>
          <w:color w:val="0070C0"/>
          <w:sz w:val="16"/>
          <w:szCs w:val="16"/>
        </w:rPr>
        <w:t>10 марта 1945 г. на высоте 2600 метров РД-1 на Ла-7Р-2 прибавил около 95 км/ч. В целом двигатель работал плохо, в 15 запусках из 45 он отказывал, причем в шести случаях - по вине зажигания (24925).</w:t>
      </w:r>
    </w:p>
    <w:p w14:paraId="2CD9EF29" w14:textId="77777777" w:rsidR="00334ED3" w:rsidRPr="001A0BAA" w:rsidRDefault="00334ED3" w:rsidP="00334ED3">
      <w:pPr>
        <w:jc w:val="both"/>
        <w:rPr>
          <w:color w:val="0070C0"/>
          <w:sz w:val="16"/>
          <w:szCs w:val="16"/>
        </w:rPr>
      </w:pPr>
    </w:p>
    <w:p w14:paraId="544AF971" w14:textId="77777777" w:rsidR="004945E9" w:rsidRPr="00925F26" w:rsidRDefault="004945E9" w:rsidP="00925F26">
      <w:pPr>
        <w:jc w:val="both"/>
        <w:rPr>
          <w:color w:val="000000" w:themeColor="text1"/>
          <w:sz w:val="16"/>
          <w:szCs w:val="16"/>
        </w:rPr>
      </w:pPr>
      <w:r w:rsidRPr="00925F26">
        <w:rPr>
          <w:color w:val="000000" w:themeColor="text1"/>
          <w:sz w:val="16"/>
          <w:szCs w:val="16"/>
        </w:rPr>
        <w:t>С 10 марта по 28 июля 1945 года под руководством В.Н. Челомея в период на полигоне Джизак было проведено около 70 пусков самолетов-снарядов «10Х». Индекс «Х» (икс) обозначал необычность и секретность самолёта-снаряда (12415).</w:t>
      </w:r>
    </w:p>
    <w:p w14:paraId="5B50545E" w14:textId="77777777" w:rsidR="004945E9" w:rsidRPr="00925F26" w:rsidRDefault="004945E9" w:rsidP="00925F26">
      <w:pPr>
        <w:jc w:val="both"/>
        <w:rPr>
          <w:color w:val="000000" w:themeColor="text1"/>
          <w:sz w:val="16"/>
          <w:szCs w:val="16"/>
        </w:rPr>
      </w:pPr>
    </w:p>
    <w:p w14:paraId="33C17E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марта 1945 войска Второго Белорусского фронта вступили на территорию ракетного исследовательского центра Penemunde (2990).</w:t>
      </w:r>
    </w:p>
    <w:p w14:paraId="21269017" w14:textId="77777777" w:rsidR="00665165" w:rsidRPr="00925F26" w:rsidRDefault="00665165" w:rsidP="00925F26">
      <w:pPr>
        <w:autoSpaceDE w:val="0"/>
        <w:autoSpaceDN w:val="0"/>
        <w:adjustRightInd w:val="0"/>
        <w:jc w:val="both"/>
        <w:rPr>
          <w:color w:val="000000" w:themeColor="text1"/>
          <w:sz w:val="16"/>
          <w:szCs w:val="16"/>
        </w:rPr>
      </w:pPr>
    </w:p>
    <w:p w14:paraId="5F728DE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8B9F489" w14:textId="77777777" w:rsidR="00665165" w:rsidRPr="00925F26" w:rsidRDefault="00665165" w:rsidP="00925F26">
      <w:pPr>
        <w:autoSpaceDE w:val="0"/>
        <w:autoSpaceDN w:val="0"/>
        <w:adjustRightInd w:val="0"/>
        <w:jc w:val="both"/>
        <w:rPr>
          <w:iCs/>
          <w:color w:val="000000" w:themeColor="text1"/>
          <w:sz w:val="16"/>
          <w:szCs w:val="16"/>
        </w:rPr>
      </w:pPr>
    </w:p>
    <w:p w14:paraId="20E719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марта 1945 г. после показа танк Т-54 с завода №37 был направлен в Кубин</w:t>
      </w:r>
      <w:r w:rsidRPr="00925F26">
        <w:rPr>
          <w:color w:val="000000" w:themeColor="text1"/>
          <w:sz w:val="16"/>
          <w:szCs w:val="16"/>
        </w:rPr>
        <w:softHyphen/>
        <w:t>ку на НИБТ полигон для дальнейших испы</w:t>
      </w:r>
      <w:r w:rsidRPr="00925F26">
        <w:rPr>
          <w:color w:val="000000" w:themeColor="text1"/>
          <w:sz w:val="16"/>
          <w:szCs w:val="16"/>
        </w:rPr>
        <w:softHyphen/>
        <w:t>таний. Для проведения полигонных испы</w:t>
      </w:r>
      <w:r w:rsidRPr="00925F26">
        <w:rPr>
          <w:color w:val="000000" w:themeColor="text1"/>
          <w:sz w:val="16"/>
          <w:szCs w:val="16"/>
        </w:rPr>
        <w:softHyphen/>
        <w:t>таний приказом НКТП и заместителя коман</w:t>
      </w:r>
      <w:r w:rsidRPr="00925F26">
        <w:rPr>
          <w:color w:val="000000" w:themeColor="text1"/>
          <w:sz w:val="16"/>
          <w:szCs w:val="16"/>
        </w:rPr>
        <w:softHyphen/>
        <w:t>дующего БТ и МВ КА №92/с/021 от 28 фев</w:t>
      </w:r>
      <w:r w:rsidRPr="00925F26">
        <w:rPr>
          <w:color w:val="000000" w:themeColor="text1"/>
          <w:sz w:val="16"/>
          <w:szCs w:val="16"/>
        </w:rPr>
        <w:softHyphen/>
        <w:t>раля 1945 г. была назначена комиссия во главе с Е.А. Кульчицким.</w:t>
      </w:r>
    </w:p>
    <w:p w14:paraId="5CB781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результатам полигонных испытаний, прошедшихв периоде 11 марта по 14апре</w:t>
      </w:r>
      <w:r w:rsidRPr="00925F26">
        <w:rPr>
          <w:color w:val="000000" w:themeColor="text1"/>
          <w:sz w:val="16"/>
          <w:szCs w:val="16"/>
        </w:rPr>
        <w:softHyphen/>
        <w:t>ля 1945 г., комиссией 14 апреля 1945 г. был представлен отчет, в выводах которого го</w:t>
      </w:r>
      <w:r w:rsidRPr="00925F26">
        <w:rPr>
          <w:color w:val="000000" w:themeColor="text1"/>
          <w:sz w:val="16"/>
          <w:szCs w:val="16"/>
        </w:rPr>
        <w:softHyphen/>
        <w:t>ворилось:</w:t>
      </w:r>
    </w:p>
    <w:p w14:paraId="06FD42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r w:rsidRPr="00925F26">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925F26">
        <w:rPr>
          <w:iCs/>
          <w:color w:val="000000" w:themeColor="text1"/>
          <w:sz w:val="16"/>
          <w:szCs w:val="16"/>
        </w:rPr>
        <w:softHyphen/>
        <w:t>ходит по боевым качествам все современ</w:t>
      </w:r>
      <w:r w:rsidRPr="00925F26">
        <w:rPr>
          <w:iCs/>
          <w:color w:val="000000" w:themeColor="text1"/>
          <w:sz w:val="16"/>
          <w:szCs w:val="16"/>
        </w:rPr>
        <w:softHyphen/>
        <w:t>ные средние танки.</w:t>
      </w:r>
    </w:p>
    <w:p w14:paraId="3CDB5C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2. Опытный образец танка Т-54 испыта</w:t>
      </w:r>
      <w:r w:rsidRPr="00925F26">
        <w:rPr>
          <w:iCs/>
          <w:color w:val="000000" w:themeColor="text1"/>
          <w:sz w:val="16"/>
          <w:szCs w:val="16"/>
        </w:rPr>
        <w:softHyphen/>
        <w:t>ния по прочности основных агрегатов в объе</w:t>
      </w:r>
      <w:r w:rsidRPr="00925F26">
        <w:rPr>
          <w:iCs/>
          <w:color w:val="000000" w:themeColor="text1"/>
          <w:sz w:val="16"/>
          <w:szCs w:val="16"/>
        </w:rPr>
        <w:softHyphen/>
        <w:t>ме 1553 км пробега в зимних и весенних ус</w:t>
      </w:r>
      <w:r w:rsidRPr="00925F26">
        <w:rPr>
          <w:iCs/>
          <w:color w:val="000000" w:themeColor="text1"/>
          <w:sz w:val="16"/>
          <w:szCs w:val="16"/>
        </w:rPr>
        <w:softHyphen/>
        <w:t>ловиях выдержал.</w:t>
      </w:r>
    </w:p>
    <w:p w14:paraId="466B8B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3. Танк имеет дефекты, обусловленные конструктивной недоработкой отдельных уз</w:t>
      </w:r>
      <w:r w:rsidRPr="00925F26">
        <w:rPr>
          <w:iCs/>
          <w:color w:val="000000" w:themeColor="text1"/>
          <w:sz w:val="16"/>
          <w:szCs w:val="16"/>
        </w:rPr>
        <w:softHyphen/>
        <w:t>лов, устранение которых значительно повы</w:t>
      </w:r>
      <w:r w:rsidRPr="00925F26">
        <w:rPr>
          <w:iCs/>
          <w:color w:val="000000" w:themeColor="text1"/>
          <w:sz w:val="16"/>
          <w:szCs w:val="16"/>
        </w:rPr>
        <w:softHyphen/>
        <w:t xml:space="preserve">сит тактико-технические качества танка». </w:t>
      </w:r>
      <w:r w:rsidRPr="00925F26">
        <w:rPr>
          <w:color w:val="000000" w:themeColor="text1"/>
          <w:sz w:val="16"/>
          <w:szCs w:val="16"/>
        </w:rPr>
        <w:t xml:space="preserve">В заключении комиссия отметила: «...3. </w:t>
      </w:r>
      <w:r w:rsidRPr="00925F26">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925F26">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925F26">
        <w:rPr>
          <w:iCs/>
          <w:color w:val="000000" w:themeColor="text1"/>
          <w:sz w:val="16"/>
          <w:szCs w:val="16"/>
        </w:rPr>
        <w:softHyphen/>
        <w:t>танциях, а трансмиссия и ходовая часть сни</w:t>
      </w:r>
      <w:r w:rsidRPr="00925F26">
        <w:rPr>
          <w:iCs/>
          <w:color w:val="000000" w:themeColor="text1"/>
          <w:sz w:val="16"/>
          <w:szCs w:val="16"/>
        </w:rPr>
        <w:softHyphen/>
        <w:t>жают динамические качества танка.</w:t>
      </w:r>
    </w:p>
    <w:p w14:paraId="26D867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925F26">
        <w:rPr>
          <w:iCs/>
          <w:color w:val="000000" w:themeColor="text1"/>
          <w:sz w:val="16"/>
          <w:szCs w:val="16"/>
        </w:rPr>
        <w:softHyphen/>
        <w:t>довать танк Т-54 на вооружение Красной Ар</w:t>
      </w:r>
      <w:r w:rsidRPr="00925F26">
        <w:rPr>
          <w:iCs/>
          <w:color w:val="000000" w:themeColor="text1"/>
          <w:sz w:val="16"/>
          <w:szCs w:val="16"/>
        </w:rPr>
        <w:softHyphen/>
        <w:t>мии с обязательным устранением отмечен</w:t>
      </w:r>
      <w:r w:rsidRPr="00925F26">
        <w:rPr>
          <w:iCs/>
          <w:color w:val="000000" w:themeColor="text1"/>
          <w:sz w:val="16"/>
          <w:szCs w:val="16"/>
        </w:rPr>
        <w:softHyphen/>
        <w:t>ных в отчете недостатков.</w:t>
      </w:r>
    </w:p>
    <w:p w14:paraId="56FBBC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5. В связи с тем, что отработка ряда новых узлов может задержать ввод в се</w:t>
      </w:r>
      <w:r w:rsidRPr="00925F26">
        <w:rPr>
          <w:iCs/>
          <w:color w:val="000000" w:themeColor="text1"/>
          <w:sz w:val="16"/>
          <w:szCs w:val="16"/>
        </w:rPr>
        <w:softHyphen/>
        <w:t>рийное производство танка Т-54, необхо</w:t>
      </w:r>
      <w:r w:rsidRPr="00925F26">
        <w:rPr>
          <w:iCs/>
          <w:color w:val="000000" w:themeColor="text1"/>
          <w:sz w:val="16"/>
          <w:szCs w:val="16"/>
        </w:rPr>
        <w:softHyphen/>
        <w:t>димость в котором в армии весьма вели</w:t>
      </w:r>
      <w:r w:rsidRPr="00925F26">
        <w:rPr>
          <w:iCs/>
          <w:color w:val="000000" w:themeColor="text1"/>
          <w:sz w:val="16"/>
          <w:szCs w:val="16"/>
        </w:rPr>
        <w:softHyphen/>
        <w:t>ка, комиссия считает возможным начать производство танков Т-54, не ожидая вве</w:t>
      </w:r>
      <w:r w:rsidRPr="00925F26">
        <w:rPr>
          <w:iCs/>
          <w:color w:val="000000" w:themeColor="text1"/>
          <w:sz w:val="16"/>
          <w:szCs w:val="16"/>
        </w:rPr>
        <w:softHyphen/>
        <w:t>дения следующих узлов и механизмов, срочную отработку которых поручить заво</w:t>
      </w:r>
      <w:r w:rsidRPr="00925F26">
        <w:rPr>
          <w:iCs/>
          <w:color w:val="000000" w:themeColor="text1"/>
          <w:sz w:val="16"/>
          <w:szCs w:val="16"/>
        </w:rPr>
        <w:softHyphen/>
        <w:t>ду №183 в очередности, устанавливаемой НКГПиГБТУКА:</w:t>
      </w:r>
    </w:p>
    <w:p w14:paraId="127ABA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а) башни по типу танка ИС-3;</w:t>
      </w:r>
    </w:p>
    <w:p w14:paraId="094969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б) КПП с синхронизаторами и 2-х ступен</w:t>
      </w:r>
      <w:r w:rsidRPr="00925F26">
        <w:rPr>
          <w:iCs/>
          <w:color w:val="000000" w:themeColor="text1"/>
          <w:sz w:val="16"/>
          <w:szCs w:val="16"/>
        </w:rPr>
        <w:softHyphen/>
        <w:t>чатого планетарного механизма поворота танка;</w:t>
      </w:r>
    </w:p>
    <w:p w14:paraId="605490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экрана от гранат типа «Фауст»;</w:t>
      </w:r>
    </w:p>
    <w:p w14:paraId="274AB8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г) изменение углов наклона кормовых листов корпуса;</w:t>
      </w:r>
    </w:p>
    <w:p w14:paraId="78917C1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iCs/>
          <w:color w:val="000000" w:themeColor="text1"/>
          <w:sz w:val="16"/>
          <w:szCs w:val="16"/>
        </w:rPr>
        <w:t>д) вращающегося пола боевого отделе</w:t>
      </w:r>
      <w:r w:rsidRPr="00925F26">
        <w:rPr>
          <w:iCs/>
          <w:color w:val="000000" w:themeColor="text1"/>
          <w:sz w:val="16"/>
          <w:szCs w:val="16"/>
        </w:rPr>
        <w:softHyphen/>
        <w:t>ния;</w:t>
      </w:r>
    </w:p>
    <w:p w14:paraId="005195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е) смотровых приборов по типу М4А2 в командирской башенке;</w:t>
      </w:r>
    </w:p>
    <w:p w14:paraId="54F0B7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ж) гусениц с цевочным зацеплением;</w:t>
      </w:r>
    </w:p>
    <w:p w14:paraId="31B5E7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з) амортизаторов ходовой части (на всех катках).</w:t>
      </w:r>
    </w:p>
    <w:p w14:paraId="2A7A88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По мере отработки, эти механизмы вво</w:t>
      </w:r>
      <w:r w:rsidRPr="00925F26">
        <w:rPr>
          <w:iCs/>
          <w:color w:val="000000" w:themeColor="text1"/>
          <w:sz w:val="16"/>
          <w:szCs w:val="16"/>
        </w:rPr>
        <w:softHyphen/>
        <w:t>дить в серийное производство».</w:t>
      </w:r>
    </w:p>
    <w:p w14:paraId="39E581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1945 г. начальник ТУ ГЕТУ КА инженер-полковникА.И. Благонравов подпи</w:t>
      </w:r>
      <w:r w:rsidRPr="00925F26">
        <w:rPr>
          <w:color w:val="000000" w:themeColor="text1"/>
          <w:sz w:val="16"/>
          <w:szCs w:val="16"/>
        </w:rPr>
        <w:softHyphen/>
        <w:t>сал заключение по отчету об испытаниях опытного образца модернизированного тан</w:t>
      </w:r>
      <w:r w:rsidRPr="00925F26">
        <w:rPr>
          <w:color w:val="000000" w:themeColor="text1"/>
          <w:sz w:val="16"/>
          <w:szCs w:val="16"/>
        </w:rPr>
        <w:softHyphen/>
        <w:t>ка Т-44(Т-54).</w:t>
      </w:r>
    </w:p>
    <w:p w14:paraId="349DBC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925F26">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925F26">
        <w:rPr>
          <w:iCs/>
          <w:color w:val="000000" w:themeColor="text1"/>
          <w:sz w:val="16"/>
          <w:szCs w:val="16"/>
        </w:rPr>
        <w:softHyphen/>
        <w:t>ный образец, наиболее полно отвечающий упомянутым требованиям.</w:t>
      </w:r>
    </w:p>
    <w:p w14:paraId="225AA1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Отчет комиссии по испытаниям опытно</w:t>
      </w:r>
      <w:r w:rsidRPr="00925F26">
        <w:rPr>
          <w:iCs/>
          <w:color w:val="000000" w:themeColor="text1"/>
          <w:sz w:val="16"/>
          <w:szCs w:val="16"/>
        </w:rPr>
        <w:softHyphen/>
        <w:t>го образца модернизированного танка Т-44-100 с замечаниями и предложениями, изло</w:t>
      </w:r>
      <w:r w:rsidRPr="00925F26">
        <w:rPr>
          <w:iCs/>
          <w:color w:val="000000" w:themeColor="text1"/>
          <w:sz w:val="16"/>
          <w:szCs w:val="16"/>
        </w:rPr>
        <w:softHyphen/>
        <w:t>женными выше, считаю возможным доло</w:t>
      </w:r>
      <w:r w:rsidRPr="00925F26">
        <w:rPr>
          <w:iCs/>
          <w:color w:val="000000" w:themeColor="text1"/>
          <w:sz w:val="16"/>
          <w:szCs w:val="16"/>
        </w:rPr>
        <w:softHyphen/>
        <w:t>жить для утверждения. Благонравов».</w:t>
      </w:r>
    </w:p>
    <w:p w14:paraId="09ED59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проведенных испытаний нарком танковой промышленно</w:t>
      </w:r>
      <w:r w:rsidRPr="00925F26">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925F26">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925F26">
        <w:rPr>
          <w:color w:val="000000" w:themeColor="text1"/>
          <w:sz w:val="16"/>
          <w:szCs w:val="16"/>
        </w:rPr>
        <w:softHyphen/>
        <w:t>миссией, на другом — планетарные механиз</w:t>
      </w:r>
      <w:r w:rsidRPr="00925F26">
        <w:rPr>
          <w:color w:val="000000" w:themeColor="text1"/>
          <w:sz w:val="16"/>
          <w:szCs w:val="16"/>
        </w:rPr>
        <w:softHyphen/>
        <w:t>мы поворота (ПМП).</w:t>
      </w:r>
    </w:p>
    <w:p w14:paraId="717E59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w:t>
      </w:r>
      <w:r w:rsidRPr="00925F26">
        <w:rPr>
          <w:color w:val="000000" w:themeColor="text1"/>
          <w:sz w:val="16"/>
          <w:szCs w:val="16"/>
        </w:rPr>
        <w:softHyphen/>
        <w:t>бовалось внести 68 изменений. Однако от</w:t>
      </w:r>
      <w:r w:rsidRPr="00925F26">
        <w:rPr>
          <w:color w:val="000000" w:themeColor="text1"/>
          <w:sz w:val="16"/>
          <w:szCs w:val="16"/>
        </w:rPr>
        <w:softHyphen/>
        <w:t>работка чертежей и опытного образца по данным предложениям на заводе № 183 дли</w:t>
      </w:r>
      <w:r w:rsidRPr="00925F26">
        <w:rPr>
          <w:color w:val="000000" w:themeColor="text1"/>
          <w:sz w:val="16"/>
          <w:szCs w:val="16"/>
        </w:rPr>
        <w:softHyphen/>
        <w:t>тельное время не производилась (11468).</w:t>
      </w:r>
    </w:p>
    <w:p w14:paraId="174EE1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831AEAE" w14:textId="77777777" w:rsidR="00FD716B" w:rsidRPr="00925F26" w:rsidRDefault="00FD716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10 марта 1945 опытный образец Т-54 добрался до Кубинки, причём до поступления на полигон успел ещё поездить. Согласно показаниям спидометра, он прошёл 227 км (впрочем, по другим данным пробег составил 193 км). Пока танк ехал из Нижнего Тагила, был подписан совместный приказ НКТП и БТМВ №92с/021 от 28 февраля 1945 года. Согласно ему, испытания должны были начаться 1 марта и закончиться 21 числа. 25 марта ожидалось получить от НИБТ Полигона отчёт об испытаниях. Столь жёсткие сроки объяснялись тем, что танк выглядел ещё более перспективным, чем Т-44, а потому постановка его в серийное производство являлась отнюдь не вопросом на перспективу.</w:t>
      </w:r>
    </w:p>
    <w:p w14:paraId="35072BF8" w14:textId="77777777" w:rsidR="00FD716B" w:rsidRPr="00925F26" w:rsidRDefault="00FD716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На практике к испытаниям удалось приступить только 11 марта.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 (19090).</w:t>
      </w:r>
    </w:p>
    <w:p w14:paraId="6F2E8C01" w14:textId="77777777" w:rsidR="00FD716B" w:rsidRPr="00925F26" w:rsidRDefault="00FD716B" w:rsidP="00925F26">
      <w:pPr>
        <w:pStyle w:val="ae"/>
        <w:shd w:val="clear" w:color="auto" w:fill="FFFFFF"/>
        <w:spacing w:before="0" w:after="0"/>
        <w:jc w:val="both"/>
        <w:textAlignment w:val="baseline"/>
        <w:rPr>
          <w:color w:val="000000" w:themeColor="text1"/>
          <w:sz w:val="16"/>
          <w:szCs w:val="16"/>
        </w:rPr>
      </w:pPr>
    </w:p>
    <w:p w14:paraId="67BDE4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марта 1945 г. была подготовлена СПРАВКА ТУ ГБТУ КА О ПОСТУПЛЕНИИ ИМПОРТНОГО БРОНЕТАНКОВОГО ВООРУЖЕНИЯ В СССР ЗА ПЕРИОД с 1941 по ЯНВАРЬ 1945 г.</w:t>
      </w:r>
    </w:p>
    <w:tbl>
      <w:tblPr>
        <w:tblW w:w="0" w:type="auto"/>
        <w:tblInd w:w="40" w:type="dxa"/>
        <w:tblLayout w:type="fixed"/>
        <w:tblCellMar>
          <w:left w:w="40" w:type="dxa"/>
          <w:right w:w="40" w:type="dxa"/>
        </w:tblCellMar>
        <w:tblLook w:val="0000" w:firstRow="0" w:lastRow="0" w:firstColumn="0" w:lastColumn="0" w:noHBand="0" w:noVBand="0"/>
      </w:tblPr>
      <w:tblGrid>
        <w:gridCol w:w="864"/>
        <w:gridCol w:w="614"/>
        <w:gridCol w:w="614"/>
        <w:gridCol w:w="614"/>
        <w:gridCol w:w="605"/>
        <w:gridCol w:w="614"/>
        <w:gridCol w:w="614"/>
        <w:gridCol w:w="614"/>
        <w:gridCol w:w="614"/>
        <w:gridCol w:w="605"/>
        <w:gridCol w:w="614"/>
        <w:gridCol w:w="614"/>
        <w:gridCol w:w="605"/>
        <w:gridCol w:w="730"/>
        <w:gridCol w:w="682"/>
      </w:tblGrid>
      <w:tr w:rsidR="000F5689" w:rsidRPr="00925F26" w14:paraId="58AD74BA" w14:textId="77777777">
        <w:trPr>
          <w:trHeight w:val="595"/>
        </w:trPr>
        <w:tc>
          <w:tcPr>
            <w:tcW w:w="864" w:type="dxa"/>
            <w:tcBorders>
              <w:top w:val="single" w:sz="6" w:space="0" w:color="auto"/>
              <w:left w:val="single" w:sz="6" w:space="0" w:color="auto"/>
              <w:bottom w:val="single" w:sz="6" w:space="0" w:color="auto"/>
              <w:right w:val="single" w:sz="6" w:space="0" w:color="auto"/>
            </w:tcBorders>
          </w:tcPr>
          <w:p w14:paraId="7AE35A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F2644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140E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w:t>
            </w:r>
            <w:r w:rsidRPr="00925F26">
              <w:rPr>
                <w:color w:val="000000" w:themeColor="text1"/>
                <w:sz w:val="16"/>
                <w:szCs w:val="16"/>
              </w:rPr>
              <w:softHyphen/>
              <w:t>вель</w:t>
            </w:r>
          </w:p>
          <w:p w14:paraId="6E6C16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3B026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МК-4</w:t>
            </w:r>
          </w:p>
          <w:p w14:paraId="57B083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9BC7F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МК-2</w:t>
            </w:r>
          </w:p>
          <w:p w14:paraId="3F6C79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F7182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Вален</w:t>
            </w:r>
            <w:r w:rsidRPr="00925F26">
              <w:rPr>
                <w:color w:val="000000" w:themeColor="text1"/>
                <w:sz w:val="16"/>
                <w:szCs w:val="16"/>
              </w:rPr>
              <w:softHyphen/>
              <w:t>тин 3-5</w:t>
            </w:r>
          </w:p>
          <w:p w14:paraId="00B2AE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1CD58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Вален</w:t>
            </w:r>
            <w:r w:rsidRPr="00925F26">
              <w:rPr>
                <w:color w:val="000000" w:themeColor="text1"/>
                <w:sz w:val="16"/>
                <w:szCs w:val="16"/>
              </w:rPr>
              <w:softHyphen/>
              <w:t>тин?</w:t>
            </w:r>
          </w:p>
          <w:p w14:paraId="1DD2F1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81FE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Вален</w:t>
            </w:r>
            <w:r w:rsidRPr="00925F26">
              <w:rPr>
                <w:color w:val="000000" w:themeColor="text1"/>
                <w:sz w:val="16"/>
                <w:szCs w:val="16"/>
              </w:rPr>
              <w:softHyphen/>
              <w:t>тин 9-10</w:t>
            </w:r>
          </w:p>
          <w:p w14:paraId="55FC62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E61C5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М4-А2</w:t>
            </w:r>
          </w:p>
          <w:p w14:paraId="17EB9D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F501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М4-А4</w:t>
            </w:r>
          </w:p>
          <w:p w14:paraId="063ABB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64047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М-3 сред</w:t>
            </w:r>
            <w:r w:rsidRPr="00925F26">
              <w:rPr>
                <w:color w:val="000000" w:themeColor="text1"/>
                <w:sz w:val="16"/>
                <w:szCs w:val="16"/>
              </w:rPr>
              <w:softHyphen/>
              <w:t>ний</w:t>
            </w:r>
          </w:p>
          <w:p w14:paraId="3AFC3D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9CD3A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М-3</w:t>
            </w:r>
          </w:p>
          <w:p w14:paraId="513786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легкий</w:t>
            </w:r>
          </w:p>
          <w:p w14:paraId="5A3DBD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D9043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М5-А1</w:t>
            </w:r>
          </w:p>
          <w:p w14:paraId="727902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75AF8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Мосто</w:t>
            </w:r>
            <w:r w:rsidRPr="00925F26">
              <w:rPr>
                <w:color w:val="000000" w:themeColor="text1"/>
                <w:sz w:val="16"/>
                <w:szCs w:val="16"/>
              </w:rPr>
              <w:softHyphen/>
              <w:t>вые танки</w:t>
            </w:r>
          </w:p>
          <w:p w14:paraId="6802EC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36BF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Тетрарх</w:t>
            </w:r>
          </w:p>
          <w:p w14:paraId="766970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61EBA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танков</w:t>
            </w:r>
          </w:p>
          <w:p w14:paraId="23DFB8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E68494A"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1163E3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w:t>
            </w:r>
          </w:p>
          <w:p w14:paraId="40290B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1B27B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74888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499AA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219C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270FD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145</w:t>
            </w:r>
          </w:p>
          <w:p w14:paraId="13ACB1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32A66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216</w:t>
            </w:r>
          </w:p>
          <w:p w14:paraId="6CA010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39EC0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C3B92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64FE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17FA4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8C87E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EA8C4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B927B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D9CDD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5F6AC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34214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2443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F3F6A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D5A8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5BCA6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425E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A334D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34CD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DCC29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C65D1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361</w:t>
            </w:r>
          </w:p>
          <w:p w14:paraId="3935C2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1DBF8E4"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61D074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w:t>
            </w:r>
          </w:p>
          <w:p w14:paraId="1504AE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AAE0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9707B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502F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w:t>
            </w:r>
          </w:p>
          <w:p w14:paraId="0E2A30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3847D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626</w:t>
            </w:r>
          </w:p>
          <w:p w14:paraId="0CE10D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CBE3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636</w:t>
            </w:r>
          </w:p>
          <w:p w14:paraId="18DF24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398A1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323</w:t>
            </w:r>
          </w:p>
          <w:p w14:paraId="5181C3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3018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22AD6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079A1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w:t>
            </w:r>
          </w:p>
          <w:p w14:paraId="352A2E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E3CDF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0442B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434E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812</w:t>
            </w:r>
          </w:p>
          <w:p w14:paraId="6B1894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8F508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977</w:t>
            </w:r>
          </w:p>
          <w:p w14:paraId="5B4F1E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5491D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0F4E8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E99F9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40E8F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D9EDC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727CC0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6FE92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3514</w:t>
            </w:r>
          </w:p>
          <w:p w14:paraId="5F3511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99CA35A"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3EE7FC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p w14:paraId="64C115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72C9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4AC6A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58F65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174</w:t>
            </w:r>
          </w:p>
          <w:p w14:paraId="3928A5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774E1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147</w:t>
            </w:r>
          </w:p>
          <w:p w14:paraId="0A068D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876CF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430</w:t>
            </w:r>
          </w:p>
          <w:p w14:paraId="41130D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2EEBC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709</w:t>
            </w:r>
          </w:p>
          <w:p w14:paraId="6BB75D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48BCB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637</w:t>
            </w:r>
          </w:p>
          <w:p w14:paraId="321738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CFAD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469</w:t>
            </w:r>
          </w:p>
          <w:p w14:paraId="1D3F53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7EAC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13AF59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11CB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164</w:t>
            </w:r>
          </w:p>
          <w:p w14:paraId="4AB017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089C4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255</w:t>
            </w:r>
          </w:p>
          <w:p w14:paraId="203BD5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28C86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541C3C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A3836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98087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2EB21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1750B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25959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2992</w:t>
            </w:r>
          </w:p>
          <w:p w14:paraId="18C787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A38CB91"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49338C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p w14:paraId="5998B4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256CA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669BB3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4EAD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B5A27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CA768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D5074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9E86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w:t>
            </w:r>
          </w:p>
          <w:p w14:paraId="66AA84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6B431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39CEE9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1E2C9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290</w:t>
            </w:r>
          </w:p>
          <w:p w14:paraId="0458EF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2FAC6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2345</w:t>
            </w:r>
          </w:p>
          <w:p w14:paraId="49B01C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430A6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97C6B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524BF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DC8C9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ADB54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B4CAF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7F165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2DB0E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B941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2614C8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6559C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D5623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C8A76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2757</w:t>
            </w:r>
          </w:p>
          <w:p w14:paraId="36F0AD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4E0B086"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7FE645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январь 1945 г.</w:t>
            </w:r>
          </w:p>
          <w:p w14:paraId="3FFC99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88DFC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A1476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18C1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6BE8D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759D2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BF86B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450FC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1FC23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0F219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2B66E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BBAA3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1BA4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8377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289</w:t>
            </w:r>
          </w:p>
          <w:p w14:paraId="637B2D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797EF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AB9C1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334A8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63D79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68FF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A2573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9DE24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A3A23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360B7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078A8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FF5DB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5E42F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E02B3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289</w:t>
            </w:r>
          </w:p>
          <w:p w14:paraId="28AB76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561F31" w:rsidRPr="00925F26" w14:paraId="4309ECE4" w14:textId="77777777">
        <w:trPr>
          <w:trHeight w:val="442"/>
        </w:trPr>
        <w:tc>
          <w:tcPr>
            <w:tcW w:w="864" w:type="dxa"/>
            <w:tcBorders>
              <w:top w:val="single" w:sz="6" w:space="0" w:color="auto"/>
              <w:left w:val="single" w:sz="6" w:space="0" w:color="auto"/>
              <w:bottom w:val="single" w:sz="6" w:space="0" w:color="auto"/>
              <w:right w:val="single" w:sz="6" w:space="0" w:color="auto"/>
            </w:tcBorders>
          </w:tcPr>
          <w:p w14:paraId="4AE0F6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33549C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01793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3387CC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BBC2C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258</w:t>
            </w:r>
          </w:p>
          <w:p w14:paraId="7CFA7B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05FC4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918</w:t>
            </w:r>
          </w:p>
          <w:p w14:paraId="64F979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C5C5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1364</w:t>
            </w:r>
          </w:p>
          <w:p w14:paraId="2B3FE0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C912C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1041</w:t>
            </w:r>
          </w:p>
          <w:p w14:paraId="787497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BE1ED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927</w:t>
            </w:r>
          </w:p>
          <w:p w14:paraId="15648E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DB3EE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3139</w:t>
            </w:r>
          </w:p>
          <w:p w14:paraId="0AD725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C69F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30E0EE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2897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976</w:t>
            </w:r>
          </w:p>
          <w:p w14:paraId="704CE9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1A200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1232</w:t>
            </w:r>
          </w:p>
          <w:p w14:paraId="4EF786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8E457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3B0179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9373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2DC64E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BBBC5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5D8EDD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CC2D6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9913</w:t>
            </w:r>
          </w:p>
          <w:p w14:paraId="69AD93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6ED1ACE2" w14:textId="77777777" w:rsidR="00665165" w:rsidRPr="00925F26" w:rsidRDefault="00665165" w:rsidP="00925F26">
      <w:pPr>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912"/>
        <w:gridCol w:w="960"/>
        <w:gridCol w:w="970"/>
        <w:gridCol w:w="979"/>
        <w:gridCol w:w="970"/>
        <w:gridCol w:w="970"/>
        <w:gridCol w:w="979"/>
        <w:gridCol w:w="970"/>
        <w:gridCol w:w="922"/>
        <w:gridCol w:w="931"/>
      </w:tblGrid>
      <w:tr w:rsidR="000F5689" w:rsidRPr="00925F26" w14:paraId="7274FE5D"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7CE253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1BADF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0FA1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МК-1</w:t>
            </w:r>
          </w:p>
          <w:p w14:paraId="77A901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ACF2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МЗА1</w:t>
            </w:r>
          </w:p>
          <w:p w14:paraId="6AD89F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35FA9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М-2</w:t>
            </w:r>
          </w:p>
          <w:p w14:paraId="58016A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5D7C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СУ-57(Т-48)</w:t>
            </w:r>
          </w:p>
          <w:p w14:paraId="228C28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F092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СУ-76(Т-70)</w:t>
            </w:r>
          </w:p>
          <w:p w14:paraId="2942C9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23152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СУ-76 (М-10)</w:t>
            </w:r>
          </w:p>
          <w:p w14:paraId="3924EC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93A9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Су-М-17</w:t>
            </w:r>
          </w:p>
          <w:p w14:paraId="33D7A1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4948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СУ-37 (М-15)</w:t>
            </w:r>
          </w:p>
          <w:p w14:paraId="007446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BF43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Ремонтные танки</w:t>
            </w:r>
          </w:p>
          <w:p w14:paraId="4F9DC3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26216EF" w14:textId="77777777">
        <w:trPr>
          <w:trHeight w:val="413"/>
        </w:trPr>
        <w:tc>
          <w:tcPr>
            <w:tcW w:w="912" w:type="dxa"/>
            <w:tcBorders>
              <w:top w:val="single" w:sz="6" w:space="0" w:color="auto"/>
              <w:left w:val="single" w:sz="6" w:space="0" w:color="auto"/>
              <w:bottom w:val="single" w:sz="6" w:space="0" w:color="auto"/>
              <w:right w:val="single" w:sz="6" w:space="0" w:color="auto"/>
            </w:tcBorders>
          </w:tcPr>
          <w:p w14:paraId="0D4F2D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w:t>
            </w:r>
          </w:p>
          <w:p w14:paraId="31922B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95BB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330</w:t>
            </w:r>
          </w:p>
          <w:p w14:paraId="3E4B5E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71BC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26AE2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98192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AD9BA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C285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A79C3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45BD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A7967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9709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3578D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DED7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0BC0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F252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44C10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523C3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81E02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22842C8" w14:textId="77777777">
        <w:trPr>
          <w:trHeight w:val="432"/>
        </w:trPr>
        <w:tc>
          <w:tcPr>
            <w:tcW w:w="912" w:type="dxa"/>
            <w:tcBorders>
              <w:top w:val="single" w:sz="6" w:space="0" w:color="auto"/>
              <w:left w:val="single" w:sz="6" w:space="0" w:color="auto"/>
              <w:bottom w:val="single" w:sz="6" w:space="0" w:color="auto"/>
              <w:right w:val="single" w:sz="6" w:space="0" w:color="auto"/>
            </w:tcBorders>
          </w:tcPr>
          <w:p w14:paraId="28169F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w:t>
            </w:r>
          </w:p>
          <w:p w14:paraId="06EFC3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59B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903</w:t>
            </w:r>
          </w:p>
          <w:p w14:paraId="38D6CD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8ED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261</w:t>
            </w:r>
          </w:p>
          <w:p w14:paraId="229CCC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46D4D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w:t>
            </w:r>
          </w:p>
          <w:p w14:paraId="205063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11DE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38941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3927C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5C6B0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5E9D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2CB34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9880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D7689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8BDE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BEA7B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D8BD4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85AE5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8C73AEB"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7D96BE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p w14:paraId="1B1F0D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59C3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403</w:t>
            </w:r>
          </w:p>
          <w:p w14:paraId="3BBB8C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0A63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608</w:t>
            </w:r>
          </w:p>
          <w:p w14:paraId="1A8F14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06C2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647260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F7DD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241</w:t>
            </w:r>
          </w:p>
          <w:p w14:paraId="4A0AB8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605E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409A5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2613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CC30E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0900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E5ACA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0FB0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10292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AB405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74E0F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CBF05B6"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2E2C08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p w14:paraId="6A3F0F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3353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351</w:t>
            </w:r>
          </w:p>
          <w:p w14:paraId="1C24B2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D73C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1954</w:t>
            </w:r>
          </w:p>
          <w:p w14:paraId="4A2D99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274A0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F4234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EB86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409</w:t>
            </w:r>
          </w:p>
          <w:p w14:paraId="2B9671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9E21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5E820F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E91F8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p w14:paraId="00F841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E3E8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186DE8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8CFE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7AF9FB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33911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w:t>
            </w:r>
          </w:p>
          <w:p w14:paraId="1F5AE2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C9CFE03"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474B22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январь 1945 г.</w:t>
            </w:r>
          </w:p>
          <w:p w14:paraId="288522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8DF9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w:t>
            </w:r>
          </w:p>
          <w:p w14:paraId="5FA169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235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180</w:t>
            </w:r>
          </w:p>
          <w:p w14:paraId="42E1DA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D96C9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CCE2B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6588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E402E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4872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683C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DFE6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E8CDB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D46B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C2F6C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2726C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AA92D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3355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7546B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6DE8262" w14:textId="77777777">
        <w:trPr>
          <w:trHeight w:val="442"/>
        </w:trPr>
        <w:tc>
          <w:tcPr>
            <w:tcW w:w="912" w:type="dxa"/>
            <w:tcBorders>
              <w:top w:val="single" w:sz="6" w:space="0" w:color="auto"/>
              <w:left w:val="single" w:sz="6" w:space="0" w:color="auto"/>
              <w:bottom w:val="single" w:sz="6" w:space="0" w:color="auto"/>
              <w:right w:val="single" w:sz="6" w:space="0" w:color="auto"/>
            </w:tcBorders>
          </w:tcPr>
          <w:p w14:paraId="0DC99C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0A91F5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7339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2003</w:t>
            </w:r>
          </w:p>
          <w:p w14:paraId="0B6A65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211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3003</w:t>
            </w:r>
          </w:p>
          <w:p w14:paraId="495E42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3CD5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113</w:t>
            </w:r>
          </w:p>
          <w:p w14:paraId="78E5D6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D79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650</w:t>
            </w:r>
          </w:p>
          <w:p w14:paraId="16D7D1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953D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285731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1392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p w14:paraId="6DD536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79DD1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6C893C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F3B6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0BB5DB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A9FA2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w:t>
            </w:r>
          </w:p>
          <w:p w14:paraId="392E0E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113CCC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ТУ ГБТУ КА инженер-полковник Муравич</w:t>
      </w:r>
    </w:p>
    <w:p w14:paraId="647008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5 отдела ТУ ГБТУ КА инженер-майор Билеткин</w:t>
      </w:r>
    </w:p>
    <w:p w14:paraId="390B68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3016. Л. 118. Подлинник (11420).</w:t>
      </w:r>
    </w:p>
    <w:p w14:paraId="05C4AC55" w14:textId="77777777" w:rsidR="00665165" w:rsidRPr="00925F26" w:rsidRDefault="00665165" w:rsidP="00925F26">
      <w:pPr>
        <w:autoSpaceDE w:val="0"/>
        <w:autoSpaceDN w:val="0"/>
        <w:adjustRightInd w:val="0"/>
        <w:jc w:val="both"/>
        <w:rPr>
          <w:color w:val="000000" w:themeColor="text1"/>
          <w:sz w:val="16"/>
          <w:szCs w:val="16"/>
        </w:rPr>
      </w:pPr>
    </w:p>
    <w:p w14:paraId="6513EBC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марта 1945 вышло Постановление ГКО № 7778 [О снабжении углем железных дорог НКПС и сахарных заводов НКПП.] (7313, 155).</w:t>
      </w:r>
    </w:p>
    <w:p w14:paraId="484831C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4AA003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8D66FC1" w14:textId="77777777" w:rsidR="00665165" w:rsidRPr="00925F26" w:rsidRDefault="00665165" w:rsidP="00925F26">
      <w:pPr>
        <w:autoSpaceDE w:val="0"/>
        <w:autoSpaceDN w:val="0"/>
        <w:adjustRightInd w:val="0"/>
        <w:jc w:val="both"/>
        <w:rPr>
          <w:iCs/>
          <w:color w:val="000000" w:themeColor="text1"/>
          <w:sz w:val="16"/>
          <w:szCs w:val="16"/>
        </w:rPr>
      </w:pPr>
    </w:p>
    <w:p w14:paraId="358A270A" w14:textId="77777777" w:rsidR="00C1740F" w:rsidRPr="00925F26" w:rsidRDefault="00C1740F" w:rsidP="00925F26">
      <w:pPr>
        <w:jc w:val="both"/>
        <w:rPr>
          <w:color w:val="000000" w:themeColor="text1"/>
          <w:sz w:val="16"/>
          <w:szCs w:val="16"/>
        </w:rPr>
      </w:pPr>
      <w:r w:rsidRPr="00925F26">
        <w:rPr>
          <w:bCs/>
          <w:color w:val="000000" w:themeColor="text1"/>
          <w:sz w:val="16"/>
          <w:szCs w:val="16"/>
        </w:rPr>
        <w:t>10 марта</w:t>
      </w:r>
      <w:r w:rsidRPr="00925F26">
        <w:rPr>
          <w:color w:val="000000" w:themeColor="text1"/>
          <w:sz w:val="16"/>
          <w:szCs w:val="16"/>
        </w:rPr>
        <w:t xml:space="preserve"> в 1945 году оперативная сводка Совинформбюро:</w:t>
      </w:r>
    </w:p>
    <w:p w14:paraId="10088201" w14:textId="77777777" w:rsidR="00C1740F" w:rsidRPr="00925F26" w:rsidRDefault="00C1740F" w:rsidP="00925F26">
      <w:pPr>
        <w:jc w:val="both"/>
        <w:rPr>
          <w:color w:val="000000" w:themeColor="text1"/>
          <w:sz w:val="16"/>
          <w:szCs w:val="16"/>
        </w:rPr>
      </w:pPr>
      <w:r w:rsidRPr="00925F26">
        <w:rPr>
          <w:color w:val="000000" w:themeColor="text1"/>
          <w:sz w:val="16"/>
          <w:szCs w:val="16"/>
        </w:rPr>
        <w:t>«В течение 10 марта юго-восточнее Данцига наши войска в результате наступательных боёв заняли город Тигенхоф и населённые пункты Йюнгфер, Нойштэд-Тервальд, Ладекопп, Тиге, Мариенау, Нидау, Хальбштадт, Миленц, Гросс Монтау.</w:t>
      </w:r>
    </w:p>
    <w:p w14:paraId="31700BE6" w14:textId="77777777" w:rsidR="00C1740F" w:rsidRPr="00925F26" w:rsidRDefault="00C1740F" w:rsidP="00925F26">
      <w:pPr>
        <w:jc w:val="both"/>
        <w:rPr>
          <w:color w:val="000000" w:themeColor="text1"/>
          <w:sz w:val="16"/>
          <w:szCs w:val="16"/>
        </w:rPr>
      </w:pPr>
      <w:r w:rsidRPr="00925F26">
        <w:rPr>
          <w:color w:val="000000" w:themeColor="text1"/>
          <w:sz w:val="16"/>
          <w:szCs w:val="16"/>
        </w:rPr>
        <w:t>Войска 2-го Белорусского фронта, развивая успешное наступление на Данциг-ском направлении, 10 марта овладели важными узлами железных и шоссейных дорог — городами Лауенбург и Картузы (Картхауз), а также заняли более 300 других населённых пунктов, в том числе крупные населённые пункты Бальдау, Дальвин, Шенек, Гросс Гольмкау, Гренцдорф, Кобиссау, Михуцин, Сираковитц, Вутцков, Цевитц, Нойендорф, Ландехоф, Витциг, Цеценов, Гизебитц, Шмользин.</w:t>
      </w:r>
    </w:p>
    <w:p w14:paraId="32853E7D" w14:textId="77777777" w:rsidR="00C1740F" w:rsidRPr="00925F26" w:rsidRDefault="00C1740F" w:rsidP="00925F26">
      <w:pPr>
        <w:jc w:val="both"/>
        <w:rPr>
          <w:color w:val="000000" w:themeColor="text1"/>
          <w:sz w:val="16"/>
          <w:szCs w:val="16"/>
        </w:rPr>
      </w:pPr>
      <w:r w:rsidRPr="00925F26">
        <w:rPr>
          <w:color w:val="000000" w:themeColor="text1"/>
          <w:sz w:val="16"/>
          <w:szCs w:val="16"/>
        </w:rPr>
        <w:t>На Штеттинском направлении наши войска заняли населённые пункты Егерсвайль, Францхаузен, Буххольц, Клебов.</w:t>
      </w:r>
    </w:p>
    <w:p w14:paraId="3CBB0346" w14:textId="77777777" w:rsidR="00C1740F" w:rsidRPr="00925F26" w:rsidRDefault="00C1740F" w:rsidP="00925F26">
      <w:pPr>
        <w:jc w:val="both"/>
        <w:rPr>
          <w:color w:val="000000" w:themeColor="text1"/>
          <w:sz w:val="16"/>
          <w:szCs w:val="16"/>
        </w:rPr>
      </w:pPr>
      <w:r w:rsidRPr="00925F26">
        <w:rPr>
          <w:color w:val="000000" w:themeColor="text1"/>
          <w:sz w:val="16"/>
          <w:szCs w:val="16"/>
        </w:rPr>
        <w:t>В боях за 9 марта войска 1-го Белорусского фронта взяли в плен более 2.000 немецких солдат и офицеров.</w:t>
      </w:r>
    </w:p>
    <w:p w14:paraId="6D79614E" w14:textId="77777777" w:rsidR="00C1740F" w:rsidRPr="00925F26" w:rsidRDefault="00C1740F" w:rsidP="00925F26">
      <w:pPr>
        <w:jc w:val="both"/>
        <w:rPr>
          <w:color w:val="000000" w:themeColor="text1"/>
          <w:sz w:val="16"/>
          <w:szCs w:val="16"/>
        </w:rPr>
      </w:pPr>
      <w:r w:rsidRPr="00925F26">
        <w:rPr>
          <w:color w:val="000000" w:themeColor="text1"/>
          <w:sz w:val="16"/>
          <w:szCs w:val="16"/>
        </w:rPr>
        <w:t>В Венгрии северо-восточнее озера Балатон наши войска отбивали атаки крупных сил пехоты и танков противника, стремящегося прорваться к Дунаю. Ценой больших потерь противнику удалось на отдельных участках незначительно вклиниться в оборону наших войск. За 9 марта в этом районе подбито и уничтожено 72 немецких танка и самоходных орудия.</w:t>
      </w:r>
    </w:p>
    <w:p w14:paraId="6496D51C" w14:textId="77777777" w:rsidR="00C1740F" w:rsidRPr="00925F26" w:rsidRDefault="00C1740F"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097A830B" w14:textId="77777777" w:rsidR="00C1740F" w:rsidRPr="00925F26" w:rsidRDefault="00C1740F" w:rsidP="00925F26">
      <w:pPr>
        <w:jc w:val="both"/>
        <w:rPr>
          <w:color w:val="000000" w:themeColor="text1"/>
          <w:sz w:val="16"/>
          <w:szCs w:val="16"/>
        </w:rPr>
      </w:pPr>
      <w:r w:rsidRPr="00925F26">
        <w:rPr>
          <w:color w:val="000000" w:themeColor="text1"/>
          <w:sz w:val="16"/>
          <w:szCs w:val="16"/>
        </w:rPr>
        <w:t>За 9 марта на всех фронтах подбито и уничтожено 113 немецких танков и самоходных, орудий. В воздушных боях и огнём зенитной артиллерии сбито 83 самолёта противника.</w:t>
      </w:r>
    </w:p>
    <w:p w14:paraId="3C01F7BE" w14:textId="77777777" w:rsidR="00C1740F" w:rsidRPr="00925F26" w:rsidRDefault="00C1740F" w:rsidP="00925F26">
      <w:pPr>
        <w:jc w:val="both"/>
        <w:rPr>
          <w:color w:val="000000" w:themeColor="text1"/>
          <w:sz w:val="16"/>
          <w:szCs w:val="16"/>
        </w:rPr>
      </w:pPr>
      <w:r w:rsidRPr="00925F26">
        <w:rPr>
          <w:color w:val="000000" w:themeColor="text1"/>
          <w:sz w:val="16"/>
          <w:szCs w:val="16"/>
        </w:rPr>
        <w:t>Налёты нашей авиации на Данциг и Кенигсберг</w:t>
      </w:r>
    </w:p>
    <w:p w14:paraId="3289F716" w14:textId="77777777" w:rsidR="00C1740F" w:rsidRPr="00925F26" w:rsidRDefault="00C1740F" w:rsidP="00925F26">
      <w:pPr>
        <w:jc w:val="both"/>
        <w:rPr>
          <w:color w:val="000000" w:themeColor="text1"/>
          <w:sz w:val="16"/>
          <w:szCs w:val="16"/>
        </w:rPr>
      </w:pPr>
      <w:r w:rsidRPr="00925F26">
        <w:rPr>
          <w:color w:val="000000" w:themeColor="text1"/>
          <w:sz w:val="16"/>
          <w:szCs w:val="16"/>
        </w:rPr>
        <w:t>В ночь на 10 марта наши тяжёлые бомбардировщики совершили налёты на Данциг и Кенигсберг и подвергли бомбардировке находящиеся в этих городах военно-промышленные объекты.</w:t>
      </w:r>
    </w:p>
    <w:p w14:paraId="71D8D045" w14:textId="77777777" w:rsidR="00C1740F" w:rsidRPr="00925F26" w:rsidRDefault="00C1740F" w:rsidP="00925F26">
      <w:pPr>
        <w:jc w:val="both"/>
        <w:rPr>
          <w:color w:val="000000" w:themeColor="text1"/>
          <w:sz w:val="16"/>
          <w:szCs w:val="16"/>
        </w:rPr>
      </w:pPr>
      <w:r w:rsidRPr="00925F26">
        <w:rPr>
          <w:color w:val="000000" w:themeColor="text1"/>
          <w:sz w:val="16"/>
          <w:szCs w:val="16"/>
        </w:rPr>
        <w:t>В результате бомбардировки в Данциге возникло много пожаров. Особенно крупные пожары отмечены в порту и на территории железнодорожного узла.</w:t>
      </w:r>
    </w:p>
    <w:p w14:paraId="25BAD9A2" w14:textId="77777777" w:rsidR="00C1740F" w:rsidRPr="00925F26" w:rsidRDefault="00C1740F" w:rsidP="00925F26">
      <w:pPr>
        <w:jc w:val="both"/>
        <w:rPr>
          <w:color w:val="000000" w:themeColor="text1"/>
          <w:sz w:val="16"/>
          <w:szCs w:val="16"/>
        </w:rPr>
      </w:pPr>
      <w:r w:rsidRPr="00925F26">
        <w:rPr>
          <w:color w:val="000000" w:themeColor="text1"/>
          <w:sz w:val="16"/>
          <w:szCs w:val="16"/>
        </w:rPr>
        <w:t>В Кенигсберге возникло несколько пожаров, сопровождавшихся сильными взрывами.</w:t>
      </w:r>
    </w:p>
    <w:p w14:paraId="0C3BEB5B" w14:textId="77777777" w:rsidR="00C1740F" w:rsidRPr="00925F26" w:rsidRDefault="00C1740F" w:rsidP="00925F26">
      <w:pPr>
        <w:jc w:val="both"/>
        <w:rPr>
          <w:color w:val="000000" w:themeColor="text1"/>
          <w:sz w:val="16"/>
          <w:szCs w:val="16"/>
        </w:rPr>
      </w:pPr>
      <w:r w:rsidRPr="00925F26">
        <w:rPr>
          <w:color w:val="000000" w:themeColor="text1"/>
          <w:sz w:val="16"/>
          <w:szCs w:val="16"/>
        </w:rPr>
        <w:t>Юго-восточнее Данцига наши отряды переправились через реку Ногат и захватили плацдарм на её западном берегу. Противник контратаками пытался отбросить советские отряды за реку, но успеха не добился. Тем временем на плацдарм переправились пехотные и артиллерийские части. В результате наступательных боёв наши войска выбили немцев из ряда опорных пунктов и штурмом заняли город Тигенхоф. Захвачены трофеи и пленные.</w:t>
      </w:r>
    </w:p>
    <w:p w14:paraId="71C0AAD1" w14:textId="77777777" w:rsidR="00C1740F" w:rsidRPr="00925F26" w:rsidRDefault="00C1740F"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Наши подвижные соединения и пехота на широком фронте форсировали реку Лупов и устремились на восток. Отступая под ударами советских войск, немцы минируют дороги, взрывают мосты и переправы. С боями продвигаясь вперёд, наши части вышли к городу Лауенбург и с хода ворвались на его улицы. Гарнизон противника оказывал упорное сопротивление, но был разгромлен и в беспорядке отступил. Занятый нашими войсками город Лауенбург является узлом пяти железных и нескольких шоссейных дорог. Другие наши части, преодолев заминированные лесные завалы, продвинулись вперед и овладели городом и железнодорожным узлом Картузы (Картхауз). За день боёв уничтожено более 3 тысяч немецких солдат и офицеров, подбито и сожжено 22 танка и самоходных орудия. Нашими войсками захвачено много вооружения, 5 железнодорожных составов и крупные склады с боеприпасами и военным имуществом.</w:t>
      </w:r>
    </w:p>
    <w:p w14:paraId="07660CF0" w14:textId="77777777" w:rsidR="00C1740F" w:rsidRPr="00925F26" w:rsidRDefault="00C1740F" w:rsidP="00925F26">
      <w:pPr>
        <w:jc w:val="both"/>
        <w:rPr>
          <w:color w:val="000000" w:themeColor="text1"/>
          <w:sz w:val="16"/>
          <w:szCs w:val="16"/>
        </w:rPr>
      </w:pPr>
      <w:r w:rsidRPr="00925F26">
        <w:rPr>
          <w:color w:val="000000" w:themeColor="text1"/>
          <w:sz w:val="16"/>
          <w:szCs w:val="16"/>
        </w:rPr>
        <w:t>На Штеттинском направлении наши войска, преодолевая упорное сопротивление и отражая контратаки противника, заняли несколько сильно укреплённых населённых пунктов. Советские артиллеристы ведут огонь по укреплениям немцев, построенным на окраинах города Альгдамм. В течение дня наши бойцы захватили 32 орудия, 44 пулемёта и другие трофеи.</w:t>
      </w:r>
    </w:p>
    <w:p w14:paraId="710B1426" w14:textId="77777777" w:rsidR="00C1740F" w:rsidRPr="00925F26" w:rsidRDefault="00C1740F" w:rsidP="00925F26">
      <w:pPr>
        <w:jc w:val="both"/>
        <w:rPr>
          <w:color w:val="000000" w:themeColor="text1"/>
          <w:sz w:val="16"/>
          <w:szCs w:val="16"/>
        </w:rPr>
      </w:pPr>
      <w:r w:rsidRPr="00925F26">
        <w:rPr>
          <w:color w:val="000000" w:themeColor="text1"/>
          <w:sz w:val="16"/>
          <w:szCs w:val="16"/>
        </w:rPr>
        <w:t xml:space="preserve">В Венгрии северо-восточнее озера Балатон противник усилил свою группировку эсэсовскими танковыми дивизиями и продолжал атаковать наши позиции. Ожесточённые бои продолжались и </w:t>
      </w:r>
      <w:proofErr w:type="gramStart"/>
      <w:r w:rsidRPr="00925F26">
        <w:rPr>
          <w:color w:val="000000" w:themeColor="text1"/>
          <w:sz w:val="16"/>
          <w:szCs w:val="16"/>
        </w:rPr>
        <w:t>днём</w:t>
      </w:r>
      <w:proofErr w:type="gramEnd"/>
      <w:r w:rsidRPr="00925F26">
        <w:rPr>
          <w:color w:val="000000" w:themeColor="text1"/>
          <w:sz w:val="16"/>
          <w:szCs w:val="16"/>
        </w:rPr>
        <w:t xml:space="preserve"> и ночью. Советские пехотинцы, артиллеристы и бронебойщики огнём из всех видов оружия и контрударами отражают вражеские атаки. Только на одном участке отбито двадцать атак. Места боёв усеяны трупами гитлеровцев и разбитым вооружением противника.</w:t>
      </w:r>
    </w:p>
    <w:p w14:paraId="5110E226" w14:textId="77777777" w:rsidR="00C1740F" w:rsidRPr="00925F26" w:rsidRDefault="00C1740F" w:rsidP="00925F26">
      <w:pPr>
        <w:jc w:val="both"/>
        <w:rPr>
          <w:color w:val="000000" w:themeColor="text1"/>
          <w:sz w:val="16"/>
          <w:szCs w:val="16"/>
        </w:rPr>
      </w:pPr>
      <w:r w:rsidRPr="00925F26">
        <w:rPr>
          <w:color w:val="000000" w:themeColor="text1"/>
          <w:sz w:val="16"/>
          <w:szCs w:val="16"/>
        </w:rPr>
        <w:t>Советские воины, отбивая атаки крупных сил танков и пехоты противника, проявляют непоколебимую стойкость и мужество. Бессмертный подвиг совершил командир взвода младший лейтенант Киселёв. Когда вражеский танк ворвался в расположение нашей части, лейтенант с противотанковой гранатой бросился под гусеницы танка и подорвал его. Товарищ Киселёв погиб смертью героя. Пулемётчики братья Василий и Андрей Черных, пропустив немецкий танк через свой окоп, открыли огонь из пулемёта по следовавшей за танком пехоте и истребили группу гитлеровцев. Танк повернул обратно и стал утюжить окоп, в котором находились пулемётчики. Выбрав удачный момент, братья Черных подорвали танк гранатой и уничтожили немецких танкистов, пытавшихся спастись бегством. Четырнадцать немецких танков атаковали позиции одной нашей артиллерийской батареи. Командир огневого взвода гвардии лейтенант Сергеев встал за орудие и меткими выстрелами подбил два вражеских танка. Орудийный расчёт сержанта Лазарева подбил танк и сжёг два бронетранспортёра противника. Орудийный расчёт противотанковой пушки сержанта Коняшина сжёг и подбил три немецких танка.</w:t>
      </w:r>
    </w:p>
    <w:p w14:paraId="0FC0BED3" w14:textId="77777777" w:rsidR="00C1740F" w:rsidRPr="00925F26" w:rsidRDefault="00C1740F"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наносила торпедные и бомбоштурмовые удары по кораблям противника, находящимся в море и в порту Пиллау. Потоплены три немецких транспорта общим водоизмещением в 20 тысяч тонн, сторожевой корабль и быстроходная десантная баржа.» (15064).</w:t>
      </w:r>
    </w:p>
    <w:p w14:paraId="70655128" w14:textId="77777777" w:rsidR="00C1740F" w:rsidRPr="00925F26" w:rsidRDefault="00C1740F" w:rsidP="00925F26">
      <w:pPr>
        <w:jc w:val="both"/>
        <w:rPr>
          <w:color w:val="000000" w:themeColor="text1"/>
          <w:sz w:val="16"/>
          <w:szCs w:val="16"/>
        </w:rPr>
      </w:pPr>
    </w:p>
    <w:p w14:paraId="79E767AF" w14:textId="77777777" w:rsidR="00C1740F" w:rsidRPr="00925F26" w:rsidRDefault="00C1740F" w:rsidP="00925F26">
      <w:pPr>
        <w:jc w:val="both"/>
        <w:rPr>
          <w:color w:val="000000" w:themeColor="text1"/>
          <w:sz w:val="16"/>
          <w:szCs w:val="16"/>
        </w:rPr>
      </w:pPr>
      <w:r w:rsidRPr="00925F26">
        <w:rPr>
          <w:bCs/>
          <w:color w:val="000000" w:themeColor="text1"/>
          <w:sz w:val="16"/>
          <w:szCs w:val="16"/>
        </w:rPr>
        <w:t>10 марта</w:t>
      </w:r>
      <w:r w:rsidRPr="00925F26">
        <w:rPr>
          <w:color w:val="000000" w:themeColor="text1"/>
          <w:sz w:val="16"/>
          <w:szCs w:val="16"/>
        </w:rPr>
        <w:t xml:space="preserve"> в 1945 году войска Второго Белорусского фронта вступили на территорию ракетного исследовательского центра нацистской Германии Пенемюнде (Penemunde) (15064).</w:t>
      </w:r>
    </w:p>
    <w:p w14:paraId="3D81A407" w14:textId="77777777" w:rsidR="00C1740F" w:rsidRPr="00925F26" w:rsidRDefault="00C1740F" w:rsidP="00925F26">
      <w:pPr>
        <w:jc w:val="both"/>
        <w:rPr>
          <w:color w:val="000000" w:themeColor="text1"/>
          <w:sz w:val="16"/>
          <w:szCs w:val="16"/>
        </w:rPr>
      </w:pPr>
    </w:p>
    <w:p w14:paraId="317E795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марта 1945 советские войска форсировали Одер (4962).</w:t>
      </w:r>
    </w:p>
    <w:p w14:paraId="5C01951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3C1335A" w14:textId="77777777" w:rsidR="00C1740F" w:rsidRPr="00925F26" w:rsidRDefault="00C1740F" w:rsidP="00925F26">
      <w:pPr>
        <w:jc w:val="both"/>
        <w:rPr>
          <w:color w:val="000000" w:themeColor="text1"/>
          <w:sz w:val="16"/>
          <w:szCs w:val="16"/>
        </w:rPr>
      </w:pPr>
      <w:r w:rsidRPr="00925F26">
        <w:rPr>
          <w:bCs/>
          <w:color w:val="000000" w:themeColor="text1"/>
          <w:sz w:val="16"/>
          <w:szCs w:val="16"/>
        </w:rPr>
        <w:t>10 марта</w:t>
      </w:r>
      <w:r w:rsidRPr="00925F26">
        <w:rPr>
          <w:color w:val="000000" w:themeColor="text1"/>
          <w:sz w:val="16"/>
          <w:szCs w:val="16"/>
        </w:rPr>
        <w:t xml:space="preserve"> в 1945 году войска 1-го Белорусского фронта в основном очистили от немецко-фашистских войск побережье Балтийского моря (район Кольберга — устье реки Одер) (15064).</w:t>
      </w:r>
    </w:p>
    <w:p w14:paraId="65DBCCAC" w14:textId="77777777" w:rsidR="00C1740F" w:rsidRPr="00925F26" w:rsidRDefault="00C1740F" w:rsidP="00925F26">
      <w:pPr>
        <w:jc w:val="both"/>
        <w:rPr>
          <w:color w:val="000000" w:themeColor="text1"/>
          <w:sz w:val="16"/>
          <w:szCs w:val="16"/>
        </w:rPr>
      </w:pPr>
    </w:p>
    <w:p w14:paraId="3C47DF8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марта 1945 советские войска 4-го Украинского фронта начали Моравска-Остравскую наступательную операцию (4962).</w:t>
      </w:r>
    </w:p>
    <w:p w14:paraId="2C57910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66419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10 марта по 5 мая 1945 состоялась Моравско-Остравская операция - наступали по труднопроходимой горно-лесистой местности (2438,418) силами 4УФ (И.Е.Петров) (3398,107).</w:t>
      </w:r>
    </w:p>
    <w:p w14:paraId="39390086" w14:textId="77777777" w:rsidR="00665165" w:rsidRPr="00925F26" w:rsidRDefault="00665165" w:rsidP="00925F26">
      <w:pPr>
        <w:autoSpaceDE w:val="0"/>
        <w:autoSpaceDN w:val="0"/>
        <w:adjustRightInd w:val="0"/>
        <w:jc w:val="both"/>
        <w:rPr>
          <w:color w:val="000000" w:themeColor="text1"/>
          <w:sz w:val="16"/>
          <w:szCs w:val="16"/>
        </w:rPr>
      </w:pPr>
    </w:p>
    <w:p w14:paraId="5AD5DAE3" w14:textId="77777777" w:rsidR="00C1740F" w:rsidRPr="00925F26" w:rsidRDefault="00C1740F" w:rsidP="00925F26">
      <w:pPr>
        <w:jc w:val="both"/>
        <w:rPr>
          <w:color w:val="000000" w:themeColor="text1"/>
          <w:sz w:val="16"/>
          <w:szCs w:val="16"/>
        </w:rPr>
      </w:pPr>
      <w:r w:rsidRPr="00925F26">
        <w:rPr>
          <w:bCs/>
          <w:color w:val="000000" w:themeColor="text1"/>
          <w:sz w:val="16"/>
          <w:szCs w:val="16"/>
        </w:rPr>
        <w:t>10 марта</w:t>
      </w:r>
      <w:r w:rsidRPr="00925F26">
        <w:rPr>
          <w:color w:val="000000" w:themeColor="text1"/>
          <w:sz w:val="16"/>
          <w:szCs w:val="16"/>
        </w:rPr>
        <w:t xml:space="preserve"> в 1945 году началась Моравско-Остравская наступательная операция войск 4-го Украинского фронта (командующий генерал армии И.Е.Петров, с 25 марта - Еременко). Завершилась 5 мая. В результате операции были созданы условия для дальнейшего продвижения войск фронта в центральную часть Чехословакии</w:t>
      </w:r>
    </w:p>
    <w:p w14:paraId="593B17DF" w14:textId="77777777" w:rsidR="00C1740F" w:rsidRPr="00925F26" w:rsidRDefault="00C1740F" w:rsidP="00925F26">
      <w:pPr>
        <w:jc w:val="both"/>
        <w:rPr>
          <w:color w:val="000000" w:themeColor="text1"/>
          <w:sz w:val="16"/>
          <w:szCs w:val="16"/>
        </w:rPr>
      </w:pPr>
    </w:p>
    <w:p w14:paraId="4B0FA4F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10th, 1945: FM Kesselring replaces FM von Rundstedt as C-i-C of German forces in the West. German troops evacuate Wesel on the lower Rhine. The US Third Army captures Bonn. In the East, the Kriegsmarine evacuates 25,000 civilian refugees from the besieged Baltic fortress of Kolberg in Pommerania. In the battle for Danzig, the Soviet 2nd Belorussian Front captures Zoppot (3819).</w:t>
      </w:r>
    </w:p>
    <w:p w14:paraId="3237B713" w14:textId="77777777" w:rsidR="00665165" w:rsidRPr="00925F26" w:rsidRDefault="00665165" w:rsidP="00925F26">
      <w:pPr>
        <w:autoSpaceDE w:val="0"/>
        <w:autoSpaceDN w:val="0"/>
        <w:adjustRightInd w:val="0"/>
        <w:jc w:val="both"/>
        <w:rPr>
          <w:color w:val="000000" w:themeColor="text1"/>
          <w:sz w:val="16"/>
          <w:szCs w:val="16"/>
          <w:lang w:val="en-US"/>
        </w:rPr>
      </w:pPr>
    </w:p>
    <w:p w14:paraId="1E7721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марта 1945 вышло Постановление ГКО № 7777 О мерах по приему и доставке в СССР посылок от бойцов и офицеров фронта. РГАНИР, Фонд ГКО, д. 378, лл. 148-153, 154 (11012).</w:t>
      </w:r>
    </w:p>
    <w:p w14:paraId="5B50F8A5" w14:textId="77777777" w:rsidR="00665165" w:rsidRPr="00925F26" w:rsidRDefault="00665165" w:rsidP="00925F26">
      <w:pPr>
        <w:autoSpaceDE w:val="0"/>
        <w:autoSpaceDN w:val="0"/>
        <w:adjustRightInd w:val="0"/>
        <w:jc w:val="both"/>
        <w:rPr>
          <w:color w:val="000000" w:themeColor="text1"/>
          <w:sz w:val="16"/>
          <w:szCs w:val="16"/>
        </w:rPr>
      </w:pPr>
    </w:p>
    <w:p w14:paraId="4C5FBAC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F8CCF77" w14:textId="77777777" w:rsidR="00665165" w:rsidRPr="00925F26" w:rsidRDefault="00665165" w:rsidP="00925F26">
      <w:pPr>
        <w:autoSpaceDE w:val="0"/>
        <w:autoSpaceDN w:val="0"/>
        <w:adjustRightInd w:val="0"/>
        <w:jc w:val="both"/>
        <w:rPr>
          <w:iCs/>
          <w:color w:val="000000" w:themeColor="text1"/>
          <w:sz w:val="16"/>
          <w:szCs w:val="16"/>
        </w:rPr>
      </w:pPr>
    </w:p>
    <w:p w14:paraId="27FFCF0A" w14:textId="77777777" w:rsidR="00C1740F" w:rsidRPr="00925F26" w:rsidRDefault="00C1740F" w:rsidP="00925F26">
      <w:pPr>
        <w:jc w:val="both"/>
        <w:rPr>
          <w:color w:val="000000" w:themeColor="text1"/>
          <w:sz w:val="16"/>
          <w:szCs w:val="16"/>
        </w:rPr>
      </w:pPr>
      <w:r w:rsidRPr="00925F26">
        <w:rPr>
          <w:bCs/>
          <w:color w:val="000000" w:themeColor="text1"/>
          <w:sz w:val="16"/>
          <w:szCs w:val="16"/>
        </w:rPr>
        <w:t>10 марта</w:t>
      </w:r>
      <w:r w:rsidRPr="00925F26">
        <w:rPr>
          <w:color w:val="000000" w:themeColor="text1"/>
          <w:sz w:val="16"/>
          <w:szCs w:val="16"/>
        </w:rPr>
        <w:t xml:space="preserve"> в 1945 году состоялся первый полет американского серийного палубного истребителя </w:t>
      </w:r>
      <w:hyperlink r:id="rId67" w:tgtFrame="_blank" w:history="1">
        <w:r w:rsidRPr="00925F26">
          <w:rPr>
            <w:color w:val="000000" w:themeColor="text1"/>
            <w:sz w:val="16"/>
            <w:szCs w:val="16"/>
          </w:rPr>
          <w:t xml:space="preserve">«F7F-3» «Tigercat». </w:t>
        </w:r>
      </w:hyperlink>
    </w:p>
    <w:p w14:paraId="1BB67F10" w14:textId="77777777" w:rsidR="00C1740F" w:rsidRPr="00925F26" w:rsidRDefault="00C1740F" w:rsidP="00925F26">
      <w:pPr>
        <w:jc w:val="both"/>
        <w:rPr>
          <w:color w:val="000000" w:themeColor="text1"/>
          <w:sz w:val="16"/>
          <w:szCs w:val="16"/>
        </w:rPr>
      </w:pPr>
    </w:p>
    <w:p w14:paraId="6CEB2A2D" w14:textId="294737A3" w:rsidR="00AC061A" w:rsidRPr="00925F26" w:rsidRDefault="00AC061A" w:rsidP="00925F26">
      <w:pPr>
        <w:jc w:val="both"/>
        <w:rPr>
          <w:color w:val="000000" w:themeColor="text1"/>
          <w:sz w:val="16"/>
          <w:szCs w:val="16"/>
        </w:rPr>
      </w:pPr>
      <w:r w:rsidRPr="00925F26">
        <w:rPr>
          <w:color w:val="000000" w:themeColor="text1"/>
          <w:sz w:val="16"/>
          <w:szCs w:val="16"/>
        </w:rPr>
        <w:t xml:space="preserve">10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Состоялся первый полет американского серийного палубного истребителя F7F-3 Tigercat. Внешне от своих предшественников самолет отличался лишь увеличенным по высоте и площади вертикальным оперением, гораздо более серьезные изменения коснулись конструкции. На истребителе установили моторы Пратт-Уитни R-2800-34W мощностью 2100 л.с., с улучшенными высотными характеристиками, усилили конструкцию планера, а на месте кабины оператора установили дополнительный 300-литровый топливный бак, доведя суммарную вместимость топливной системы до 1720 л. Увеличен вес боевой нагрузки - теперь самолет мог нести под крылом 453-кг бомбы, а под фюзеляжем - 907-кг бомбу (22572).</w:t>
      </w:r>
    </w:p>
    <w:p w14:paraId="14BE008E" w14:textId="77777777" w:rsidR="00AC061A" w:rsidRPr="00925F26" w:rsidRDefault="00AC061A" w:rsidP="00925F26">
      <w:pPr>
        <w:jc w:val="both"/>
        <w:rPr>
          <w:color w:val="000000" w:themeColor="text1"/>
          <w:sz w:val="16"/>
          <w:szCs w:val="16"/>
        </w:rPr>
      </w:pPr>
    </w:p>
    <w:p w14:paraId="433546C7" w14:textId="77777777" w:rsidR="00C1740F" w:rsidRPr="00925F26" w:rsidRDefault="00C1740F" w:rsidP="00925F26">
      <w:pPr>
        <w:jc w:val="both"/>
        <w:rPr>
          <w:color w:val="000000" w:themeColor="text1"/>
          <w:sz w:val="16"/>
          <w:szCs w:val="16"/>
        </w:rPr>
      </w:pPr>
      <w:r w:rsidRPr="00925F26">
        <w:rPr>
          <w:bCs/>
          <w:color w:val="000000" w:themeColor="text1"/>
          <w:sz w:val="16"/>
          <w:szCs w:val="16"/>
        </w:rPr>
        <w:t>10 марта</w:t>
      </w:r>
      <w:r w:rsidRPr="00925F26">
        <w:rPr>
          <w:color w:val="000000" w:themeColor="text1"/>
          <w:sz w:val="16"/>
          <w:szCs w:val="16"/>
        </w:rPr>
        <w:t xml:space="preserve"> в 1945 году от налета 334 американских бомбардировщиков Б-29 был уничтожен целый район Токио. «Летающие крепости» были специально переоборудованы, чтобы нести максимальную бомбовую нагрузку - 7 тонн зажигательных бомб. В пламени пожара погибло свыше 100 тысяч человек. (Это больше, чем при атомной бомбёжке Хиросимы. Люди пытались спастись от огня в реке, но варились в ней заживо.) В столице Японии были закрыты все вузы и </w:t>
      </w:r>
      <w:proofErr w:type="gramStart"/>
      <w:r w:rsidRPr="00925F26">
        <w:rPr>
          <w:color w:val="000000" w:themeColor="text1"/>
          <w:sz w:val="16"/>
          <w:szCs w:val="16"/>
        </w:rPr>
        <w:t>школы</w:t>
      </w:r>
      <w:proofErr w:type="gramEnd"/>
      <w:r w:rsidRPr="00925F26">
        <w:rPr>
          <w:color w:val="000000" w:themeColor="text1"/>
          <w:sz w:val="16"/>
          <w:szCs w:val="16"/>
        </w:rPr>
        <w:t xml:space="preserve"> и каждый житель старше шести лет привлечен к работам (15064).</w:t>
      </w:r>
    </w:p>
    <w:p w14:paraId="6DE92272" w14:textId="77777777" w:rsidR="00C1740F" w:rsidRPr="00925F26" w:rsidRDefault="00C1740F" w:rsidP="00925F26">
      <w:pPr>
        <w:jc w:val="both"/>
        <w:rPr>
          <w:color w:val="000000" w:themeColor="text1"/>
          <w:sz w:val="16"/>
          <w:szCs w:val="16"/>
        </w:rPr>
      </w:pPr>
    </w:p>
    <w:p w14:paraId="355F52E1" w14:textId="033EE091" w:rsidR="00AC061A" w:rsidRPr="00925F26" w:rsidRDefault="00AC061A" w:rsidP="00925F26">
      <w:pPr>
        <w:jc w:val="both"/>
        <w:rPr>
          <w:color w:val="000000" w:themeColor="text1"/>
          <w:sz w:val="16"/>
          <w:szCs w:val="16"/>
        </w:rPr>
      </w:pPr>
      <w:r w:rsidRPr="00925F26">
        <w:rPr>
          <w:color w:val="000000" w:themeColor="text1"/>
          <w:sz w:val="16"/>
          <w:szCs w:val="16"/>
        </w:rPr>
        <w:t xml:space="preserve">10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Бомбардировка японской столицы, проведённая Военно-воздушными силами США. В авианалёте участвовало 334 стратегических бомбардировщика B-29, каждый из которых сбросил несколько тонн зажигательных бомб и напалма. В результате образовавшегося огненного смерча пожары быстро распространились в жилых кварталах, застроенных деревянными зданиями. Погибло не менее 80 тысяч жителей, более вероятное число погибших — свыше 100 тысяч человек. Было потеряно 14 бомбардировщиков (22572).</w:t>
      </w:r>
    </w:p>
    <w:p w14:paraId="24FB4D6B" w14:textId="77777777" w:rsidR="00AC061A" w:rsidRPr="00925F26" w:rsidRDefault="00AC061A" w:rsidP="00925F26">
      <w:pPr>
        <w:jc w:val="both"/>
        <w:rPr>
          <w:color w:val="000000" w:themeColor="text1"/>
          <w:sz w:val="16"/>
          <w:szCs w:val="16"/>
        </w:rPr>
      </w:pPr>
    </w:p>
    <w:p w14:paraId="57D5C6E1" w14:textId="77777777" w:rsidR="00AC061A" w:rsidRPr="00925F26" w:rsidRDefault="00AC061A" w:rsidP="00925F26">
      <w:pPr>
        <w:jc w:val="both"/>
        <w:rPr>
          <w:color w:val="000000" w:themeColor="text1"/>
          <w:sz w:val="16"/>
          <w:szCs w:val="16"/>
        </w:rPr>
      </w:pPr>
      <w:r w:rsidRPr="00925F26">
        <w:rPr>
          <w:color w:val="000000" w:themeColor="text1"/>
          <w:sz w:val="16"/>
          <w:szCs w:val="16"/>
        </w:rPr>
        <w:t>10 марта 1945 г. один из последних японских бумажных шаров достиг района Хэнфорда (около Вашингтона), где находилось предприятие, задействованное в рамках ядерного проекта «Манхэттен». Шар упал на линию электропередач, снабжавшую электроэнергией здание с ядерным реактором, который нарабатывал плутоний для атомной бомбы, которую позже американцы сбросили на Нагасаки. Работа реактора была остановлена.</w:t>
      </w:r>
    </w:p>
    <w:p w14:paraId="3F3B8ABE" w14:textId="77777777" w:rsidR="00AC061A" w:rsidRPr="00925F26" w:rsidRDefault="00AC061A" w:rsidP="00925F26">
      <w:pPr>
        <w:jc w:val="both"/>
        <w:rPr>
          <w:color w:val="000000" w:themeColor="text1"/>
          <w:sz w:val="16"/>
          <w:szCs w:val="16"/>
        </w:rPr>
      </w:pPr>
      <w:r w:rsidRPr="00925F26">
        <w:rPr>
          <w:color w:val="000000" w:themeColor="text1"/>
          <w:sz w:val="16"/>
          <w:szCs w:val="16"/>
        </w:rPr>
        <w:t>Как стало известно после окончания войны из рассекреченных материалов, порядка 900 воздушных шаров достигли территории США (это менее 1 % от общего количества запущенных шаров). (22860).</w:t>
      </w:r>
    </w:p>
    <w:p w14:paraId="6A466F2A" w14:textId="77777777" w:rsidR="00AC061A" w:rsidRPr="00925F26" w:rsidRDefault="00AC061A" w:rsidP="00925F26">
      <w:pPr>
        <w:jc w:val="both"/>
        <w:rPr>
          <w:color w:val="000000" w:themeColor="text1"/>
          <w:sz w:val="16"/>
          <w:szCs w:val="16"/>
        </w:rPr>
      </w:pPr>
    </w:p>
    <w:p w14:paraId="23DB6D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марта 1945 фельдмаршал Киссельринг заменил фельдмаршала Рундштеда на посту ГК на Западе. Немецкие войска оставили Весел в нижнем Рейне. 3А США захватила бонн. ВМФ Германии эвакуировал 25 тыс. чел. из Колберга в Померании. В битве за Данциг 2БФ занял Заппот (3819).</w:t>
      </w:r>
    </w:p>
    <w:p w14:paraId="340B1582" w14:textId="77777777" w:rsidR="00665165" w:rsidRPr="00925F26" w:rsidRDefault="00665165" w:rsidP="00925F26">
      <w:pPr>
        <w:autoSpaceDE w:val="0"/>
        <w:autoSpaceDN w:val="0"/>
        <w:adjustRightInd w:val="0"/>
        <w:jc w:val="both"/>
        <w:rPr>
          <w:color w:val="000000" w:themeColor="text1"/>
          <w:sz w:val="16"/>
          <w:szCs w:val="16"/>
        </w:rPr>
      </w:pPr>
    </w:p>
    <w:p w14:paraId="2844F4A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марта 1945 американские войска высадились на о. Миндано (Филиппины) (4962).</w:t>
      </w:r>
    </w:p>
    <w:p w14:paraId="786A1E4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AA0A061" w14:textId="77777777" w:rsidR="00AC061A" w:rsidRPr="00925F26" w:rsidRDefault="00AC061A" w:rsidP="00925F26">
      <w:pPr>
        <w:jc w:val="both"/>
        <w:rPr>
          <w:color w:val="000000" w:themeColor="text1"/>
          <w:sz w:val="16"/>
          <w:szCs w:val="16"/>
        </w:rPr>
      </w:pPr>
      <w:r w:rsidRPr="00925F26">
        <w:rPr>
          <w:color w:val="000000" w:themeColor="text1"/>
          <w:sz w:val="16"/>
          <w:szCs w:val="16"/>
        </w:rPr>
        <w:t>10 марта 1945 Правительство Польши воссоздает LOT Polish Airlines, которая не работала с 1939 года. Она возобновит работу в 1946 году.</w:t>
      </w:r>
    </w:p>
    <w:p w14:paraId="5F3582C7" w14:textId="77777777" w:rsidR="00AC061A" w:rsidRPr="00925F26" w:rsidRDefault="00AC061A" w:rsidP="00925F26">
      <w:pPr>
        <w:jc w:val="both"/>
        <w:rPr>
          <w:color w:val="000000" w:themeColor="text1"/>
          <w:sz w:val="16"/>
          <w:szCs w:val="16"/>
        </w:rPr>
      </w:pPr>
    </w:p>
    <w:p w14:paraId="1A19714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D1C5E3A" w14:textId="77777777" w:rsidR="00665165" w:rsidRPr="00925F26" w:rsidRDefault="00665165" w:rsidP="00925F26">
      <w:pPr>
        <w:autoSpaceDE w:val="0"/>
        <w:autoSpaceDN w:val="0"/>
        <w:adjustRightInd w:val="0"/>
        <w:jc w:val="both"/>
        <w:rPr>
          <w:iCs/>
          <w:color w:val="000000" w:themeColor="text1"/>
          <w:sz w:val="16"/>
          <w:szCs w:val="16"/>
        </w:rPr>
      </w:pPr>
    </w:p>
    <w:p w14:paraId="2457CD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11 по 19 марта 1945 состоялись контрольные испытания трофейного облегченного ФВ-190 А-8 N 580967 c BMW-801. В.И.Хомяков выполнил 8 полетов и налетал 6 час. 5 мин. Отв. исп. и-м Рабкин. На форсаже имел преимущества перед Як-3 и Як-9у, но уступал Ла-7 по маневренности и горизонтальной и вертикальной скорости (747,4).</w:t>
      </w:r>
    </w:p>
    <w:p w14:paraId="576C1B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69603D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И-м Рабкин</w:t>
      </w:r>
    </w:p>
    <w:p w14:paraId="2C1F75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п/п В.И.Хомяков</w:t>
      </w:r>
    </w:p>
    <w:p w14:paraId="4DD854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Рабкин</w:t>
      </w:r>
    </w:p>
    <w:p w14:paraId="7F38E6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рез-та предварительных испытаний</w:t>
      </w:r>
    </w:p>
    <w:p w14:paraId="44E61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4A6E9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времчя войны немцы произвели несколько модификаций с-та ФВ-190 с мотором возд. Охлаждения БМВ-801</w:t>
      </w:r>
    </w:p>
    <w:p w14:paraId="0FFED4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истребительный вариант - </w:t>
      </w:r>
      <w:r w:rsidRPr="00925F26">
        <w:rPr>
          <w:color w:val="000000" w:themeColor="text1"/>
          <w:sz w:val="16"/>
          <w:szCs w:val="16"/>
          <w:lang w:val="en-US"/>
        </w:rPr>
        <w:t>Jager</w:t>
      </w:r>
      <w:r w:rsidRPr="00925F26">
        <w:rPr>
          <w:color w:val="000000" w:themeColor="text1"/>
          <w:sz w:val="16"/>
          <w:szCs w:val="16"/>
        </w:rPr>
        <w:t xml:space="preserve"> - ФВ-190А-1, А-2, А-3, А-4, А-6, А-7, А-8, А-9</w:t>
      </w:r>
    </w:p>
    <w:p w14:paraId="3E24C6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штурмовой вариант - </w:t>
      </w:r>
      <w:r w:rsidRPr="00925F26">
        <w:rPr>
          <w:color w:val="000000" w:themeColor="text1"/>
          <w:sz w:val="16"/>
          <w:szCs w:val="16"/>
          <w:lang w:val="en-US"/>
        </w:rPr>
        <w:t>Schlachtsjager</w:t>
      </w:r>
      <w:r w:rsidRPr="00925F26">
        <w:rPr>
          <w:color w:val="000000" w:themeColor="text1"/>
          <w:sz w:val="16"/>
          <w:szCs w:val="16"/>
        </w:rPr>
        <w:t xml:space="preserve"> - ФВ </w:t>
      </w:r>
      <w:r w:rsidRPr="00925F26">
        <w:rPr>
          <w:color w:val="000000" w:themeColor="text1"/>
          <w:sz w:val="16"/>
          <w:szCs w:val="16"/>
          <w:lang w:val="en-US"/>
        </w:rPr>
        <w:t>F</w:t>
      </w:r>
      <w:r w:rsidRPr="00925F26">
        <w:rPr>
          <w:color w:val="000000" w:themeColor="text1"/>
          <w:sz w:val="16"/>
          <w:szCs w:val="16"/>
        </w:rPr>
        <w:t xml:space="preserve">-1, </w:t>
      </w:r>
      <w:r w:rsidRPr="00925F26">
        <w:rPr>
          <w:color w:val="000000" w:themeColor="text1"/>
          <w:sz w:val="16"/>
          <w:szCs w:val="16"/>
          <w:lang w:val="en-US"/>
        </w:rPr>
        <w:t>F</w:t>
      </w:r>
      <w:r w:rsidRPr="00925F26">
        <w:rPr>
          <w:color w:val="000000" w:themeColor="text1"/>
          <w:sz w:val="16"/>
          <w:szCs w:val="16"/>
        </w:rPr>
        <w:t xml:space="preserve">-2, </w:t>
      </w:r>
      <w:r w:rsidRPr="00925F26">
        <w:rPr>
          <w:color w:val="000000" w:themeColor="text1"/>
          <w:sz w:val="16"/>
          <w:szCs w:val="16"/>
          <w:lang w:val="en-US"/>
        </w:rPr>
        <w:t>F</w:t>
      </w:r>
      <w:r w:rsidRPr="00925F26">
        <w:rPr>
          <w:color w:val="000000" w:themeColor="text1"/>
          <w:sz w:val="16"/>
          <w:szCs w:val="16"/>
        </w:rPr>
        <w:t xml:space="preserve">-3, </w:t>
      </w:r>
      <w:r w:rsidRPr="00925F26">
        <w:rPr>
          <w:color w:val="000000" w:themeColor="text1"/>
          <w:sz w:val="16"/>
          <w:szCs w:val="16"/>
          <w:lang w:val="en-US"/>
        </w:rPr>
        <w:t>F</w:t>
      </w:r>
      <w:r w:rsidRPr="00925F26">
        <w:rPr>
          <w:color w:val="000000" w:themeColor="text1"/>
          <w:sz w:val="16"/>
          <w:szCs w:val="16"/>
        </w:rPr>
        <w:t xml:space="preserve">-8, </w:t>
      </w:r>
      <w:r w:rsidRPr="00925F26">
        <w:rPr>
          <w:color w:val="000000" w:themeColor="text1"/>
          <w:sz w:val="16"/>
          <w:szCs w:val="16"/>
          <w:lang w:val="en-US"/>
        </w:rPr>
        <w:t>F</w:t>
      </w:r>
      <w:r w:rsidRPr="00925F26">
        <w:rPr>
          <w:color w:val="000000" w:themeColor="text1"/>
          <w:sz w:val="16"/>
          <w:szCs w:val="16"/>
        </w:rPr>
        <w:t xml:space="preserve">-9, </w:t>
      </w:r>
      <w:r w:rsidRPr="00925F26">
        <w:rPr>
          <w:color w:val="000000" w:themeColor="text1"/>
          <w:sz w:val="16"/>
          <w:szCs w:val="16"/>
          <w:lang w:val="en-US"/>
        </w:rPr>
        <w:t>A</w:t>
      </w:r>
      <w:r w:rsidRPr="00925F26">
        <w:rPr>
          <w:color w:val="000000" w:themeColor="text1"/>
          <w:sz w:val="16"/>
          <w:szCs w:val="16"/>
        </w:rPr>
        <w:t>-5</w:t>
      </w:r>
    </w:p>
    <w:p w14:paraId="23E4CA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дальний истребительно-бомбардировочный вариант - </w:t>
      </w:r>
      <w:r w:rsidRPr="00925F26">
        <w:rPr>
          <w:color w:val="000000" w:themeColor="text1"/>
          <w:sz w:val="16"/>
          <w:szCs w:val="16"/>
          <w:lang w:val="en-US"/>
        </w:rPr>
        <w:t>Jaborei</w:t>
      </w:r>
      <w:r w:rsidRPr="00925F26">
        <w:rPr>
          <w:color w:val="000000" w:themeColor="text1"/>
          <w:sz w:val="16"/>
          <w:szCs w:val="16"/>
        </w:rPr>
        <w:t xml:space="preserve"> - ФВ-190</w:t>
      </w:r>
      <w:r w:rsidRPr="00925F26">
        <w:rPr>
          <w:color w:val="000000" w:themeColor="text1"/>
          <w:sz w:val="16"/>
          <w:szCs w:val="16"/>
          <w:lang w:val="en-US"/>
        </w:rPr>
        <w:t>G</w:t>
      </w:r>
      <w:r w:rsidRPr="00925F26">
        <w:rPr>
          <w:color w:val="000000" w:themeColor="text1"/>
          <w:sz w:val="16"/>
          <w:szCs w:val="16"/>
        </w:rPr>
        <w:t xml:space="preserve">-1, </w:t>
      </w:r>
      <w:r w:rsidRPr="00925F26">
        <w:rPr>
          <w:color w:val="000000" w:themeColor="text1"/>
          <w:sz w:val="16"/>
          <w:szCs w:val="16"/>
          <w:lang w:val="en-US"/>
        </w:rPr>
        <w:t>G</w:t>
      </w:r>
      <w:r w:rsidRPr="00925F26">
        <w:rPr>
          <w:color w:val="000000" w:themeColor="text1"/>
          <w:sz w:val="16"/>
          <w:szCs w:val="16"/>
        </w:rPr>
        <w:t xml:space="preserve">-2, </w:t>
      </w:r>
      <w:r w:rsidRPr="00925F26">
        <w:rPr>
          <w:color w:val="000000" w:themeColor="text1"/>
          <w:sz w:val="16"/>
          <w:szCs w:val="16"/>
          <w:lang w:val="en-US"/>
        </w:rPr>
        <w:t>G</w:t>
      </w:r>
      <w:r w:rsidRPr="00925F26">
        <w:rPr>
          <w:color w:val="000000" w:themeColor="text1"/>
          <w:sz w:val="16"/>
          <w:szCs w:val="16"/>
        </w:rPr>
        <w:t xml:space="preserve">-3, </w:t>
      </w:r>
      <w:r w:rsidRPr="00925F26">
        <w:rPr>
          <w:color w:val="000000" w:themeColor="text1"/>
          <w:sz w:val="16"/>
          <w:szCs w:val="16"/>
          <w:lang w:val="en-US"/>
        </w:rPr>
        <w:t>G</w:t>
      </w:r>
      <w:r w:rsidRPr="00925F26">
        <w:rPr>
          <w:color w:val="000000" w:themeColor="text1"/>
          <w:sz w:val="16"/>
          <w:szCs w:val="16"/>
        </w:rPr>
        <w:t xml:space="preserve">-8, </w:t>
      </w:r>
      <w:r w:rsidRPr="00925F26">
        <w:rPr>
          <w:color w:val="000000" w:themeColor="text1"/>
          <w:sz w:val="16"/>
          <w:szCs w:val="16"/>
          <w:lang w:val="en-US"/>
        </w:rPr>
        <w:t>G</w:t>
      </w:r>
      <w:r w:rsidRPr="00925F26">
        <w:rPr>
          <w:color w:val="000000" w:themeColor="text1"/>
          <w:sz w:val="16"/>
          <w:szCs w:val="16"/>
        </w:rPr>
        <w:t>-9</w:t>
      </w:r>
    </w:p>
    <w:p w14:paraId="1B424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последнее время немцы используют для штурмовки наземных войск и объектов с-ты ФВ-190 всех модификаций.</w:t>
      </w:r>
    </w:p>
    <w:p w14:paraId="581B98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ГК НИИ ВВС КА проходили испытания с-ты ФВ-190А-4 в июле 1943, ФВ-190А-5 в сентябре 1943 и ФВ 190А-8 в декабре 1944.</w:t>
      </w:r>
    </w:p>
    <w:p w14:paraId="35A3A5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Цель испытаний - определить ЛТД</w:t>
      </w:r>
    </w:p>
    <w:p w14:paraId="620378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3A337E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64917B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3C395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Вооружени с-та изменено за счет снятия 2=х крыльевых пушек МК-108А-3 калибра 30 мм и б/припасов к ним.</w:t>
      </w:r>
    </w:p>
    <w:p w14:paraId="7EE52F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Сняты две бронеплиты под патронными ящиками крыльевых пушек.</w:t>
      </w:r>
    </w:p>
    <w:p w14:paraId="394D2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Уменьшен запас горючего с 642 л до 524 л за счет снятия дополнительного фюзеляжного бака емкостью 118 л</w:t>
      </w:r>
    </w:p>
    <w:p w14:paraId="5FB3FB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5) Установлен винт </w:t>
      </w:r>
      <w:r w:rsidRPr="00925F26">
        <w:rPr>
          <w:color w:val="000000" w:themeColor="text1"/>
          <w:sz w:val="16"/>
          <w:szCs w:val="16"/>
          <w:lang w:val="en-US"/>
        </w:rPr>
        <w:t>VDM</w:t>
      </w:r>
      <w:r w:rsidRPr="00925F26">
        <w:rPr>
          <w:color w:val="000000" w:themeColor="text1"/>
          <w:sz w:val="16"/>
          <w:szCs w:val="16"/>
        </w:rPr>
        <w:t xml:space="preserve"> Д-3,3, не имеет на комлевых частях лопастей симмертричных грузов - противовесов.</w:t>
      </w:r>
    </w:p>
    <w:p w14:paraId="16D50B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06156B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3111, полетный - 3986</w:t>
      </w:r>
    </w:p>
    <w:p w14:paraId="7EBE8B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p w14:paraId="6EF2C1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с парашютом - 90</w:t>
      </w:r>
    </w:p>
    <w:p w14:paraId="71F7D0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уд. Вес 0,75) - на 524 л - 393 кг</w:t>
      </w:r>
    </w:p>
    <w:p w14:paraId="4B0F6A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- 49</w:t>
      </w:r>
    </w:p>
    <w:p w14:paraId="297C59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Стрелково-пушечное вооружение - 127,5 (2хМГ-151 - 84 + 2хМГ-131 - 43,5)</w:t>
      </w:r>
    </w:p>
    <w:p w14:paraId="22813C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 182 кг</w:t>
      </w:r>
    </w:p>
    <w:p w14:paraId="530036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- 33,5</w:t>
      </w:r>
    </w:p>
    <w:p w14:paraId="4A3A54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Всего 875</w:t>
      </w:r>
    </w:p>
    <w:p w14:paraId="3AC6E9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Макс. Скорость у земли - 522 при 1,35 (995-998) и 2450</w:t>
      </w:r>
    </w:p>
    <w:p w14:paraId="7BE70A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1400 - 555, на 2 гр. 6150 - 614</w:t>
      </w:r>
    </w:p>
    <w:p w14:paraId="699D44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 Скорость у земли на форсаже - 542 при 1,42 (1045) и 2700</w:t>
      </w:r>
    </w:p>
    <w:p w14:paraId="5147C2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1250 - 569, на 2 гр. 6500 - 642</w:t>
      </w:r>
    </w:p>
    <w:p w14:paraId="4904ED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включенной кнопкой - 582 при 1,65 (1215) на 2700</w:t>
      </w:r>
    </w:p>
    <w:p w14:paraId="5D1FA6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5000 - 6,1 и 5,4 при форсаже</w:t>
      </w:r>
    </w:p>
    <w:p w14:paraId="22565C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1000 м 21-22</w:t>
      </w:r>
    </w:p>
    <w:p w14:paraId="662B63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 боевой работы - 1100 - 1200</w:t>
      </w:r>
    </w:p>
    <w:p w14:paraId="298A7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управлении самолет тяжелый (по-прежнему)</w:t>
      </w:r>
    </w:p>
    <w:p w14:paraId="3FC68E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Устойчивость в продольном отношении улучшена за счет смещения вперед цт</w:t>
      </w:r>
    </w:p>
    <w:p w14:paraId="3F657E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33A27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маневренности в гор</w:t>
      </w:r>
      <w:proofErr w:type="gramStart"/>
      <w:r w:rsidRPr="00925F26">
        <w:rPr>
          <w:color w:val="000000" w:themeColor="text1"/>
          <w:sz w:val="16"/>
          <w:szCs w:val="16"/>
        </w:rPr>
        <w:t>.</w:t>
      </w:r>
      <w:proofErr w:type="gramEnd"/>
      <w:r w:rsidRPr="00925F26">
        <w:rPr>
          <w:color w:val="000000" w:themeColor="text1"/>
          <w:sz w:val="16"/>
          <w:szCs w:val="16"/>
        </w:rPr>
        <w:t xml:space="preserve"> и верт. плоскостях с-т уступает всем отечественным истребителям с высоты 250-500 м.</w:t>
      </w:r>
    </w:p>
    <w:p w14:paraId="7B609E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Хомяков</w:t>
      </w:r>
    </w:p>
    <w:p w14:paraId="44A5B0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236AAE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настоящих испытаний довести до сведения строевых частей ВВС КА и ГК отечественных авиазаводов</w:t>
      </w:r>
    </w:p>
    <w:p w14:paraId="4EACCE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23 марта 1945 (747,4).</w:t>
      </w:r>
    </w:p>
    <w:p w14:paraId="5670919D" w14:textId="77777777" w:rsidR="00665165" w:rsidRPr="00925F26" w:rsidRDefault="00665165" w:rsidP="00925F26">
      <w:pPr>
        <w:autoSpaceDE w:val="0"/>
        <w:autoSpaceDN w:val="0"/>
        <w:adjustRightInd w:val="0"/>
        <w:jc w:val="both"/>
        <w:rPr>
          <w:color w:val="000000" w:themeColor="text1"/>
          <w:sz w:val="16"/>
          <w:szCs w:val="16"/>
        </w:rPr>
      </w:pPr>
    </w:p>
    <w:p w14:paraId="378F084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53C85C0" w14:textId="77777777" w:rsidR="00665165" w:rsidRPr="00925F26" w:rsidRDefault="00665165" w:rsidP="00925F26">
      <w:pPr>
        <w:autoSpaceDE w:val="0"/>
        <w:autoSpaceDN w:val="0"/>
        <w:adjustRightInd w:val="0"/>
        <w:jc w:val="both"/>
        <w:rPr>
          <w:iCs/>
          <w:color w:val="000000" w:themeColor="text1"/>
          <w:sz w:val="16"/>
          <w:szCs w:val="16"/>
        </w:rPr>
      </w:pPr>
    </w:p>
    <w:p w14:paraId="7DE3CB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11 марта по 14 апреля 1945 проходили мспытания Т-54 на Кубинке под председательством Кульчицкого Е. А (приказ № 092/021 от 28.02.45) (11075).</w:t>
      </w:r>
    </w:p>
    <w:p w14:paraId="271401C5" w14:textId="77777777" w:rsidR="00665165" w:rsidRPr="00925F26" w:rsidRDefault="00665165" w:rsidP="00925F26">
      <w:pPr>
        <w:autoSpaceDE w:val="0"/>
        <w:autoSpaceDN w:val="0"/>
        <w:adjustRightInd w:val="0"/>
        <w:jc w:val="both"/>
        <w:rPr>
          <w:color w:val="000000" w:themeColor="text1"/>
          <w:sz w:val="16"/>
          <w:szCs w:val="16"/>
        </w:rPr>
      </w:pPr>
    </w:p>
    <w:p w14:paraId="4594A9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11 марта по 14 апреля 1945 г. в Кубинке были проведены испытания макетного образца Т-54 (бывш. Т-44В). Вот краткое описание танка:</w:t>
      </w:r>
    </w:p>
    <w:p w14:paraId="734993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«Корпус танка Т-54 сохранен от проекта Т-44-В, но тол</w:t>
      </w:r>
      <w:r w:rsidRPr="00925F26">
        <w:rPr>
          <w:color w:val="000000" w:themeColor="text1"/>
          <w:sz w:val="16"/>
          <w:szCs w:val="16"/>
        </w:rPr>
        <w:softHyphen/>
        <w:t>щина лоб брони увеличена со 110-мм до 120-мм... Лобовая, бортовая и днищевая броня корпуса применена средней твер</w:t>
      </w:r>
      <w:r w:rsidRPr="00925F26">
        <w:rPr>
          <w:color w:val="000000" w:themeColor="text1"/>
          <w:sz w:val="16"/>
          <w:szCs w:val="16"/>
        </w:rPr>
        <w:softHyphen/>
        <w:t>дости, остальная - высокой. Общая длина корпуса танка от</w:t>
      </w:r>
      <w:r w:rsidRPr="00925F26">
        <w:rPr>
          <w:color w:val="000000" w:themeColor="text1"/>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925F26">
        <w:rPr>
          <w:color w:val="000000" w:themeColor="text1"/>
          <w:sz w:val="16"/>
          <w:szCs w:val="16"/>
        </w:rPr>
        <w:softHyphen/>
        <w:t>ной на 12-30 мм толщиной брони, но с погоном диаметром 1800мм и более эффективной системой вентиляции...</w:t>
      </w:r>
    </w:p>
    <w:p w14:paraId="68A381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танк установлена 100-мм пушка Д-10ТК обр. 1944 г. изготовления завода № 8, которая в отличие от 100-мм пуш</w:t>
      </w:r>
      <w:r w:rsidRPr="00925F26">
        <w:rPr>
          <w:color w:val="000000" w:themeColor="text1"/>
          <w:sz w:val="16"/>
          <w:szCs w:val="16"/>
        </w:rPr>
        <w:softHyphen/>
        <w:t>ки Д-10Т не имеет пружинн</w:t>
      </w:r>
      <w:proofErr w:type="gramStart"/>
      <w:r w:rsidRPr="00925F26">
        <w:rPr>
          <w:color w:val="000000" w:themeColor="text1"/>
          <w:sz w:val="16"/>
          <w:szCs w:val="16"/>
        </w:rPr>
        <w:t>.</w:t>
      </w:r>
      <w:proofErr w:type="gramEnd"/>
      <w:r w:rsidRPr="00925F26">
        <w:rPr>
          <w:color w:val="000000" w:themeColor="text1"/>
          <w:sz w:val="16"/>
          <w:szCs w:val="16"/>
        </w:rPr>
        <w:t xml:space="preserve"> уравновешивающий механизм. Труба ствола имеет более тонкие стенки, ствол уравновешен дополнительными грузами...»</w:t>
      </w:r>
    </w:p>
    <w:p w14:paraId="63A917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ходе испытаний танк показал неплохую подвижность, но его максимальная скорость составила 43,5-44 км/ч про</w:t>
      </w:r>
      <w:r w:rsidRPr="00925F26">
        <w:rPr>
          <w:color w:val="000000" w:themeColor="text1"/>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6903E2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925F26">
        <w:rPr>
          <w:color w:val="000000" w:themeColor="text1"/>
          <w:sz w:val="16"/>
          <w:szCs w:val="16"/>
        </w:rPr>
        <w:softHyphen/>
        <w:t>тование танковых и механизированных соединений...»</w:t>
      </w:r>
    </w:p>
    <w:p w14:paraId="551CE0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4FD198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C3585D2" w14:textId="77777777" w:rsidR="00CE1517" w:rsidRPr="00925F26" w:rsidRDefault="00CE1517" w:rsidP="00925F26">
      <w:pPr>
        <w:jc w:val="both"/>
        <w:rPr>
          <w:color w:val="000000" w:themeColor="text1"/>
          <w:sz w:val="16"/>
          <w:szCs w:val="16"/>
        </w:rPr>
      </w:pPr>
      <w:r w:rsidRPr="00925F26">
        <w:rPr>
          <w:color w:val="000000" w:themeColor="text1"/>
          <w:sz w:val="16"/>
          <w:szCs w:val="16"/>
        </w:rPr>
        <w:t>В период с 11 марта по 14 апреля 1945 г. на НИБТ Полигоне прошли полигонные испытания первого опытного образца танка Т-54, изготовленного заводом № 183. Председателем комиссии, согласно совместному приказу НКТП и командующего БТ и МВ КА № 092/021 от 28 февраля 1945 г., был назначен Е.А. Кульчицкий. Позднее он так опишет свою первую встречу с «пятьдесятчетверкой»:</w:t>
      </w:r>
    </w:p>
    <w:p w14:paraId="6C5BAD9E" w14:textId="77777777" w:rsidR="00CE1517" w:rsidRPr="00925F26" w:rsidRDefault="00CE1517" w:rsidP="00925F26">
      <w:pPr>
        <w:jc w:val="both"/>
        <w:rPr>
          <w:color w:val="000000" w:themeColor="text1"/>
          <w:sz w:val="16"/>
          <w:szCs w:val="16"/>
        </w:rPr>
      </w:pPr>
      <w:r w:rsidRPr="00925F26">
        <w:rPr>
          <w:color w:val="000000" w:themeColor="text1"/>
          <w:sz w:val="16"/>
          <w:szCs w:val="16"/>
        </w:rPr>
        <w:t>Танк производил впечатление. Его внешние формы учитывали необходимые углы встречи с будущими снарядами противника, что придавало ему соответствующую обтекаемость и красоту. Более совершенной формы корпус, приплюснутая башня с новой пушкой покоились на десяти больших опорных катках. Эта, на первый взгляд, просто красота форм и силуэта говорила специалистам о некоторых высоких технических параметрах машины, а именно: обтекаемые формы корпуса и башни – о повышенной стойкости броневой защиты и меньшей поражаемости его, длинный ствол пушки – о высокой начальной скорости снаряда, что является основным положительным качеством танковой пушки, десять больших, с внешней обрезинкой, опорных катков говорили о возможностях движения на больших скоростях.</w:t>
      </w:r>
    </w:p>
    <w:p w14:paraId="1420688F" w14:textId="2B221A48" w:rsidR="00CE1517" w:rsidRPr="00925F26" w:rsidRDefault="00CE1517" w:rsidP="00925F26">
      <w:pPr>
        <w:jc w:val="both"/>
        <w:rPr>
          <w:color w:val="000000" w:themeColor="text1"/>
          <w:sz w:val="16"/>
          <w:szCs w:val="16"/>
        </w:rPr>
      </w:pPr>
      <w:r w:rsidRPr="00925F26">
        <w:rPr>
          <w:color w:val="000000" w:themeColor="text1"/>
          <w:sz w:val="16"/>
          <w:szCs w:val="16"/>
        </w:rPr>
        <w:t>В первый же день испытаний, 11 марта 1945 г., Е.А. Кульчицкий направил своему непосредственному начальнику – начальнику ТУ ГБТУ КА инженер-полковнику А.И. Благонравову Сводку № 1 о ходе испытаний первого опытного образца танка Т-54 для последующего</w:t>
      </w:r>
      <w:r w:rsidR="00997EDF" w:rsidRPr="00925F26">
        <w:rPr>
          <w:color w:val="000000" w:themeColor="text1"/>
          <w:sz w:val="16"/>
          <w:szCs w:val="16"/>
        </w:rPr>
        <w:t xml:space="preserve">  </w:t>
      </w:r>
      <w:r w:rsidRPr="00925F26">
        <w:rPr>
          <w:color w:val="000000" w:themeColor="text1"/>
          <w:sz w:val="16"/>
          <w:szCs w:val="16"/>
        </w:rPr>
        <w:t>доклада генерал-полковнику танковых войск тов. Коробкову и генерал-лейтенанту инженерно-танковой службы тов. Малышеву. В этой сводке он сообщил, что:</w:t>
      </w:r>
    </w:p>
    <w:p w14:paraId="3A57E7A1" w14:textId="77777777" w:rsidR="00CE1517" w:rsidRPr="00925F26" w:rsidRDefault="00CE1517" w:rsidP="00925F26">
      <w:pPr>
        <w:jc w:val="both"/>
        <w:rPr>
          <w:color w:val="000000" w:themeColor="text1"/>
          <w:sz w:val="16"/>
          <w:szCs w:val="16"/>
        </w:rPr>
      </w:pPr>
      <w:r w:rsidRPr="00925F26">
        <w:rPr>
          <w:color w:val="000000" w:themeColor="text1"/>
          <w:sz w:val="16"/>
          <w:szCs w:val="16"/>
        </w:rPr>
        <w:t>«1. Машина прибыла на НИБТ Полигон ГБТУ КА 10 марта с/г.</w:t>
      </w:r>
    </w:p>
    <w:p w14:paraId="595DCF5F" w14:textId="77777777" w:rsidR="00CE1517" w:rsidRPr="00925F26" w:rsidRDefault="00CE1517" w:rsidP="00925F26">
      <w:pPr>
        <w:jc w:val="both"/>
        <w:rPr>
          <w:color w:val="000000" w:themeColor="text1"/>
          <w:sz w:val="16"/>
          <w:szCs w:val="16"/>
        </w:rPr>
      </w:pPr>
      <w:r w:rsidRPr="00925F26">
        <w:rPr>
          <w:color w:val="000000" w:themeColor="text1"/>
          <w:sz w:val="16"/>
          <w:szCs w:val="16"/>
        </w:rPr>
        <w:t>2. Сегодня производились следующие работы:</w:t>
      </w:r>
    </w:p>
    <w:p w14:paraId="7EE95F14" w14:textId="77777777" w:rsidR="00CE1517" w:rsidRPr="00925F26" w:rsidRDefault="00CE1517" w:rsidP="00925F26">
      <w:pPr>
        <w:jc w:val="both"/>
        <w:rPr>
          <w:color w:val="000000" w:themeColor="text1"/>
          <w:sz w:val="16"/>
          <w:szCs w:val="16"/>
        </w:rPr>
      </w:pPr>
      <w:r w:rsidRPr="00925F26">
        <w:rPr>
          <w:color w:val="000000" w:themeColor="text1"/>
          <w:sz w:val="16"/>
          <w:szCs w:val="16"/>
        </w:rPr>
        <w:t>а) определение габаритных размеров танка;</w:t>
      </w:r>
    </w:p>
    <w:p w14:paraId="59F16DDD" w14:textId="77777777" w:rsidR="00CE1517" w:rsidRPr="00925F26" w:rsidRDefault="00CE1517" w:rsidP="00925F26">
      <w:pPr>
        <w:jc w:val="both"/>
        <w:rPr>
          <w:color w:val="000000" w:themeColor="text1"/>
          <w:sz w:val="16"/>
          <w:szCs w:val="16"/>
        </w:rPr>
      </w:pPr>
      <w:r w:rsidRPr="00925F26">
        <w:rPr>
          <w:color w:val="000000" w:themeColor="text1"/>
          <w:sz w:val="16"/>
          <w:szCs w:val="16"/>
        </w:rPr>
        <w:t>б) определение завала и эллипсности опорных катков.</w:t>
      </w:r>
    </w:p>
    <w:p w14:paraId="1E108AD5" w14:textId="77777777" w:rsidR="00CE1517" w:rsidRPr="00925F26" w:rsidRDefault="00CE1517" w:rsidP="00925F26">
      <w:pPr>
        <w:jc w:val="both"/>
        <w:rPr>
          <w:color w:val="000000" w:themeColor="text1"/>
          <w:sz w:val="16"/>
          <w:szCs w:val="16"/>
        </w:rPr>
      </w:pPr>
      <w:r w:rsidRPr="00925F26">
        <w:rPr>
          <w:color w:val="000000" w:themeColor="text1"/>
          <w:sz w:val="16"/>
          <w:szCs w:val="16"/>
        </w:rPr>
        <w:t>3. Проверка регулировки приводов бортовых и главного фрикционов и коробки перемены передач.</w:t>
      </w:r>
    </w:p>
    <w:p w14:paraId="7BAAD528" w14:textId="77777777" w:rsidR="00CE1517" w:rsidRPr="00925F26" w:rsidRDefault="00CE1517" w:rsidP="00925F26">
      <w:pPr>
        <w:jc w:val="both"/>
        <w:rPr>
          <w:color w:val="000000" w:themeColor="text1"/>
          <w:sz w:val="16"/>
          <w:szCs w:val="16"/>
        </w:rPr>
      </w:pPr>
      <w:r w:rsidRPr="00925F26">
        <w:rPr>
          <w:color w:val="000000" w:themeColor="text1"/>
          <w:sz w:val="16"/>
          <w:szCs w:val="16"/>
        </w:rPr>
        <w:t>4. Проверка качества смазки КПП и мотора и ходовой части».</w:t>
      </w:r>
    </w:p>
    <w:p w14:paraId="63C0602E" w14:textId="77777777" w:rsidR="00CE1517" w:rsidRPr="00925F26" w:rsidRDefault="00CE1517" w:rsidP="00925F26">
      <w:pPr>
        <w:jc w:val="both"/>
        <w:rPr>
          <w:color w:val="000000" w:themeColor="text1"/>
          <w:sz w:val="16"/>
          <w:szCs w:val="16"/>
        </w:rPr>
      </w:pPr>
      <w:r w:rsidRPr="00925F26">
        <w:rPr>
          <w:color w:val="000000" w:themeColor="text1"/>
          <w:sz w:val="16"/>
          <w:szCs w:val="16"/>
        </w:rPr>
        <w:t>[ЦАМО. Ф. 38. Оп. 11355. Д. 3013. Л. 18] (21209).</w:t>
      </w:r>
    </w:p>
    <w:p w14:paraId="6636C044" w14:textId="77777777" w:rsidR="00CE1517" w:rsidRPr="00925F26" w:rsidRDefault="00CE1517" w:rsidP="00925F26">
      <w:pPr>
        <w:jc w:val="both"/>
        <w:rPr>
          <w:color w:val="000000" w:themeColor="text1"/>
          <w:sz w:val="16"/>
          <w:szCs w:val="16"/>
        </w:rPr>
      </w:pPr>
    </w:p>
    <w:p w14:paraId="36D866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11 марта по 14апре</w:t>
      </w:r>
      <w:r w:rsidRPr="00925F26">
        <w:rPr>
          <w:color w:val="000000" w:themeColor="text1"/>
          <w:sz w:val="16"/>
          <w:szCs w:val="16"/>
        </w:rPr>
        <w:softHyphen/>
        <w:t>ля 1945 г. прошли полигонные испытания Т-54, по результатам которых комиссией 14 апреля 1945 г. был представлен отчет, в выводах которого го</w:t>
      </w:r>
      <w:r w:rsidRPr="00925F26">
        <w:rPr>
          <w:color w:val="000000" w:themeColor="text1"/>
          <w:sz w:val="16"/>
          <w:szCs w:val="16"/>
        </w:rPr>
        <w:softHyphen/>
        <w:t>ворилось:</w:t>
      </w:r>
    </w:p>
    <w:p w14:paraId="26D672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r w:rsidRPr="00925F26">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925F26">
        <w:rPr>
          <w:iCs/>
          <w:color w:val="000000" w:themeColor="text1"/>
          <w:sz w:val="16"/>
          <w:szCs w:val="16"/>
        </w:rPr>
        <w:softHyphen/>
        <w:t>ходит по боевым качествам все современ</w:t>
      </w:r>
      <w:r w:rsidRPr="00925F26">
        <w:rPr>
          <w:iCs/>
          <w:color w:val="000000" w:themeColor="text1"/>
          <w:sz w:val="16"/>
          <w:szCs w:val="16"/>
        </w:rPr>
        <w:softHyphen/>
        <w:t>ные средние танки.</w:t>
      </w:r>
    </w:p>
    <w:p w14:paraId="0BF256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2. Опытный образец танка Т-54 испыта</w:t>
      </w:r>
      <w:r w:rsidRPr="00925F26">
        <w:rPr>
          <w:iCs/>
          <w:color w:val="000000" w:themeColor="text1"/>
          <w:sz w:val="16"/>
          <w:szCs w:val="16"/>
        </w:rPr>
        <w:softHyphen/>
        <w:t>ния по прочности основных агрегатов в объе</w:t>
      </w:r>
      <w:r w:rsidRPr="00925F26">
        <w:rPr>
          <w:iCs/>
          <w:color w:val="000000" w:themeColor="text1"/>
          <w:sz w:val="16"/>
          <w:szCs w:val="16"/>
        </w:rPr>
        <w:softHyphen/>
        <w:t>ме 1553 км пробега в зимних и весенних ус</w:t>
      </w:r>
      <w:r w:rsidRPr="00925F26">
        <w:rPr>
          <w:iCs/>
          <w:color w:val="000000" w:themeColor="text1"/>
          <w:sz w:val="16"/>
          <w:szCs w:val="16"/>
        </w:rPr>
        <w:softHyphen/>
        <w:t>ловиях выдержал.</w:t>
      </w:r>
    </w:p>
    <w:p w14:paraId="6AF36E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3. Танк имеет дефекты, обусловленные конструктивной недоработкой отдельных уз</w:t>
      </w:r>
      <w:r w:rsidRPr="00925F26">
        <w:rPr>
          <w:iCs/>
          <w:color w:val="000000" w:themeColor="text1"/>
          <w:sz w:val="16"/>
          <w:szCs w:val="16"/>
        </w:rPr>
        <w:softHyphen/>
        <w:t>лов, устранение которых значительно повы</w:t>
      </w:r>
      <w:r w:rsidRPr="00925F26">
        <w:rPr>
          <w:iCs/>
          <w:color w:val="000000" w:themeColor="text1"/>
          <w:sz w:val="16"/>
          <w:szCs w:val="16"/>
        </w:rPr>
        <w:softHyphen/>
        <w:t xml:space="preserve">сит тактико-технические качества танка». </w:t>
      </w:r>
      <w:r w:rsidRPr="00925F26">
        <w:rPr>
          <w:color w:val="000000" w:themeColor="text1"/>
          <w:sz w:val="16"/>
          <w:szCs w:val="16"/>
        </w:rPr>
        <w:t xml:space="preserve">В заключении комиссия отметила: «...3. </w:t>
      </w:r>
      <w:r w:rsidRPr="00925F26">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925F26">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925F26">
        <w:rPr>
          <w:iCs/>
          <w:color w:val="000000" w:themeColor="text1"/>
          <w:sz w:val="16"/>
          <w:szCs w:val="16"/>
        </w:rPr>
        <w:softHyphen/>
        <w:t>танциях, а трансмиссия и ходовая часть сни</w:t>
      </w:r>
      <w:r w:rsidRPr="00925F26">
        <w:rPr>
          <w:iCs/>
          <w:color w:val="000000" w:themeColor="text1"/>
          <w:sz w:val="16"/>
          <w:szCs w:val="16"/>
        </w:rPr>
        <w:softHyphen/>
        <w:t>жают динамические качества танка.</w:t>
      </w:r>
    </w:p>
    <w:p w14:paraId="17F288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925F26">
        <w:rPr>
          <w:iCs/>
          <w:color w:val="000000" w:themeColor="text1"/>
          <w:sz w:val="16"/>
          <w:szCs w:val="16"/>
        </w:rPr>
        <w:softHyphen/>
        <w:t>довать танк Т-54 на вооружение Красной Ар</w:t>
      </w:r>
      <w:r w:rsidRPr="00925F26">
        <w:rPr>
          <w:iCs/>
          <w:color w:val="000000" w:themeColor="text1"/>
          <w:sz w:val="16"/>
          <w:szCs w:val="16"/>
        </w:rPr>
        <w:softHyphen/>
        <w:t>мии с обязательным устранением отмечен</w:t>
      </w:r>
      <w:r w:rsidRPr="00925F26">
        <w:rPr>
          <w:iCs/>
          <w:color w:val="000000" w:themeColor="text1"/>
          <w:sz w:val="16"/>
          <w:szCs w:val="16"/>
        </w:rPr>
        <w:softHyphen/>
        <w:t>ных в отчете недостатков.</w:t>
      </w:r>
    </w:p>
    <w:p w14:paraId="4E5D4F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5. В связи с тем, что отработка ряда новых узлов может задержать ввод в се</w:t>
      </w:r>
      <w:r w:rsidRPr="00925F26">
        <w:rPr>
          <w:iCs/>
          <w:color w:val="000000" w:themeColor="text1"/>
          <w:sz w:val="16"/>
          <w:szCs w:val="16"/>
        </w:rPr>
        <w:softHyphen/>
        <w:t>рийное производство танка Т-54, необхо</w:t>
      </w:r>
      <w:r w:rsidRPr="00925F26">
        <w:rPr>
          <w:iCs/>
          <w:color w:val="000000" w:themeColor="text1"/>
          <w:sz w:val="16"/>
          <w:szCs w:val="16"/>
        </w:rPr>
        <w:softHyphen/>
        <w:t>димость в котором в армии весьма вели</w:t>
      </w:r>
      <w:r w:rsidRPr="00925F26">
        <w:rPr>
          <w:iCs/>
          <w:color w:val="000000" w:themeColor="text1"/>
          <w:sz w:val="16"/>
          <w:szCs w:val="16"/>
        </w:rPr>
        <w:softHyphen/>
        <w:t>ка, комиссия считает возможным начать производство танков Т-54, не ожидая вве</w:t>
      </w:r>
      <w:r w:rsidRPr="00925F26">
        <w:rPr>
          <w:iCs/>
          <w:color w:val="000000" w:themeColor="text1"/>
          <w:sz w:val="16"/>
          <w:szCs w:val="16"/>
        </w:rPr>
        <w:softHyphen/>
        <w:t>дения следующих узлов и механизмов, срочную отработку которых поручить заво</w:t>
      </w:r>
      <w:r w:rsidRPr="00925F26">
        <w:rPr>
          <w:iCs/>
          <w:color w:val="000000" w:themeColor="text1"/>
          <w:sz w:val="16"/>
          <w:szCs w:val="16"/>
        </w:rPr>
        <w:softHyphen/>
        <w:t>ду №183 в очередности, устанавливаемой НКГПиГБТУКА:</w:t>
      </w:r>
    </w:p>
    <w:p w14:paraId="6CC76D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а) башни по типу танка ИС-3;</w:t>
      </w:r>
    </w:p>
    <w:p w14:paraId="39C3A1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б) КПП с синхронизаторами и 2-х ступен</w:t>
      </w:r>
      <w:r w:rsidRPr="00925F26">
        <w:rPr>
          <w:iCs/>
          <w:color w:val="000000" w:themeColor="text1"/>
          <w:sz w:val="16"/>
          <w:szCs w:val="16"/>
        </w:rPr>
        <w:softHyphen/>
        <w:t>чатого планетарного механизма поворота танка;</w:t>
      </w:r>
    </w:p>
    <w:p w14:paraId="211D6A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экрана от гранат типа «Фауст»;</w:t>
      </w:r>
    </w:p>
    <w:p w14:paraId="0081BF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г) изменение углов наклона кормовых листов корпуса;</w:t>
      </w:r>
    </w:p>
    <w:p w14:paraId="0CAC435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iCs/>
          <w:color w:val="000000" w:themeColor="text1"/>
          <w:sz w:val="16"/>
          <w:szCs w:val="16"/>
        </w:rPr>
        <w:t>д) вращающегося пола боевого отделе</w:t>
      </w:r>
      <w:r w:rsidRPr="00925F26">
        <w:rPr>
          <w:iCs/>
          <w:color w:val="000000" w:themeColor="text1"/>
          <w:sz w:val="16"/>
          <w:szCs w:val="16"/>
        </w:rPr>
        <w:softHyphen/>
        <w:t>ния;</w:t>
      </w:r>
    </w:p>
    <w:p w14:paraId="47A0E1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е) смотровых приборов по типу М4А2 в командирской башенке;</w:t>
      </w:r>
    </w:p>
    <w:p w14:paraId="01FC04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ж) гусениц с цевочным зацеплением;</w:t>
      </w:r>
    </w:p>
    <w:p w14:paraId="3C34A8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з) амортизаторов ходовой части (на всех катках).</w:t>
      </w:r>
    </w:p>
    <w:p w14:paraId="4B3652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По мере отработки, эти механизмы вво</w:t>
      </w:r>
      <w:r w:rsidRPr="00925F26">
        <w:rPr>
          <w:iCs/>
          <w:color w:val="000000" w:themeColor="text1"/>
          <w:sz w:val="16"/>
          <w:szCs w:val="16"/>
        </w:rPr>
        <w:softHyphen/>
        <w:t>дить в серийное производство».</w:t>
      </w:r>
    </w:p>
    <w:p w14:paraId="7E022F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1945 г. начальник ТУ ГЕТУ КА инженер-полковникА.И. Благонравов подпи</w:t>
      </w:r>
      <w:r w:rsidRPr="00925F26">
        <w:rPr>
          <w:color w:val="000000" w:themeColor="text1"/>
          <w:sz w:val="16"/>
          <w:szCs w:val="16"/>
        </w:rPr>
        <w:softHyphen/>
        <w:t>сал заключение по отчету об испытаниях опытного образца модернизированного тан</w:t>
      </w:r>
      <w:r w:rsidRPr="00925F26">
        <w:rPr>
          <w:color w:val="000000" w:themeColor="text1"/>
          <w:sz w:val="16"/>
          <w:szCs w:val="16"/>
        </w:rPr>
        <w:softHyphen/>
        <w:t>ка Т-44(Т-54).</w:t>
      </w:r>
    </w:p>
    <w:p w14:paraId="34D4A0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925F26">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925F26">
        <w:rPr>
          <w:iCs/>
          <w:color w:val="000000" w:themeColor="text1"/>
          <w:sz w:val="16"/>
          <w:szCs w:val="16"/>
        </w:rPr>
        <w:softHyphen/>
        <w:t>ный образец, наиболее полно отвечающий упомянутым требованиям.</w:t>
      </w:r>
    </w:p>
    <w:p w14:paraId="5C187C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lastRenderedPageBreak/>
        <w:t>Отчет комиссии по испытаниям опытно</w:t>
      </w:r>
      <w:r w:rsidRPr="00925F26">
        <w:rPr>
          <w:iCs/>
          <w:color w:val="000000" w:themeColor="text1"/>
          <w:sz w:val="16"/>
          <w:szCs w:val="16"/>
        </w:rPr>
        <w:softHyphen/>
        <w:t>го образца модернизированного танка Т-44-100 с замечаниями и предложениями, изло</w:t>
      </w:r>
      <w:r w:rsidRPr="00925F26">
        <w:rPr>
          <w:iCs/>
          <w:color w:val="000000" w:themeColor="text1"/>
          <w:sz w:val="16"/>
          <w:szCs w:val="16"/>
        </w:rPr>
        <w:softHyphen/>
        <w:t>женными выше, считаю возможным доло</w:t>
      </w:r>
      <w:r w:rsidRPr="00925F26">
        <w:rPr>
          <w:iCs/>
          <w:color w:val="000000" w:themeColor="text1"/>
          <w:sz w:val="16"/>
          <w:szCs w:val="16"/>
        </w:rPr>
        <w:softHyphen/>
        <w:t>жить для утверждения. Благонравов».</w:t>
      </w:r>
    </w:p>
    <w:p w14:paraId="3262AD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проведенных испытаний нарком танковой промышленно</w:t>
      </w:r>
      <w:r w:rsidRPr="00925F26">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925F26">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925F26">
        <w:rPr>
          <w:color w:val="000000" w:themeColor="text1"/>
          <w:sz w:val="16"/>
          <w:szCs w:val="16"/>
        </w:rPr>
        <w:softHyphen/>
        <w:t>миссией, на другом — планетарные механиз</w:t>
      </w:r>
      <w:r w:rsidRPr="00925F26">
        <w:rPr>
          <w:color w:val="000000" w:themeColor="text1"/>
          <w:sz w:val="16"/>
          <w:szCs w:val="16"/>
        </w:rPr>
        <w:softHyphen/>
        <w:t>мы поворота (ПМП).</w:t>
      </w:r>
    </w:p>
    <w:p w14:paraId="0EAB33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w:t>
      </w:r>
      <w:r w:rsidRPr="00925F26">
        <w:rPr>
          <w:color w:val="000000" w:themeColor="text1"/>
          <w:sz w:val="16"/>
          <w:szCs w:val="16"/>
        </w:rPr>
        <w:softHyphen/>
        <w:t>бовалось внести 68 изменений. Однако от</w:t>
      </w:r>
      <w:r w:rsidRPr="00925F26">
        <w:rPr>
          <w:color w:val="000000" w:themeColor="text1"/>
          <w:sz w:val="16"/>
          <w:szCs w:val="16"/>
        </w:rPr>
        <w:softHyphen/>
        <w:t>работка чертежей и опытного образца по данным предложениям на заводе № 183 дли</w:t>
      </w:r>
      <w:r w:rsidRPr="00925F26">
        <w:rPr>
          <w:color w:val="000000" w:themeColor="text1"/>
          <w:sz w:val="16"/>
          <w:szCs w:val="16"/>
        </w:rPr>
        <w:softHyphen/>
        <w:t>тельное время не производилась (11468).</w:t>
      </w:r>
    </w:p>
    <w:p w14:paraId="58D563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5E2398"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11 марта 1945 начались испытания Т-54 на НИИБТ.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w:t>
      </w:r>
    </w:p>
    <w:p w14:paraId="6F882AB9"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 xml:space="preserve">За время испытаний танк прошёл 1553 км, из них 450 — по заснеженной грунтовой дороге, 475 — по грязной разбитой грунтовой дороге при распутице, 416 — по асфальтовому шоссе, 141 — по целине, и 71 — в ходе испытаний стрельбой. Шоссе было покрыто слоем укатанного снега толщиной 5-8 см, последние 100 км проходили уже по чистому асфальту. При этом замеры максимальной скорости произвели ещё в момент, когда асфальт был покрыт снегом. Результаты оказались далеки от расчётных: максимальная скорость составила 43,5 км/ч, то есть на 10 км/ч меньше предполагавшейся. В ходе езды по асфальту, в различных дорожных условиях, скорость варьировалась от 23,1 до 41,2 км/ч. Последний показатель был получен уже при езде по чистому асфальту. Отчасти средняя скорость, составившая 34 км/ч, оказалась заниженной, поскольку танк часто останавливали для замера температуры бандажей опорных катков. Вместе с тем дальнейшие испытания показали, что расчётная скорость машины явно преувеличена. Даже 50 км/ч являлись недостижимыми для нового танка, причём это касалось и образцов, которые строили позднее. Такой была плата за рост броневой защиты и вооружения. Расход топлива при этом составил 153 л на 100 км, что позволяло пройти 320 км на одной </w:t>
      </w:r>
      <w:proofErr w:type="gramStart"/>
      <w:r w:rsidRPr="00925F26">
        <w:rPr>
          <w:color w:val="000000" w:themeColor="text1"/>
          <w:sz w:val="16"/>
          <w:szCs w:val="16"/>
        </w:rPr>
        <w:t>заправке.Несмотря</w:t>
      </w:r>
      <w:proofErr w:type="gramEnd"/>
      <w:r w:rsidRPr="00925F26">
        <w:rPr>
          <w:color w:val="000000" w:themeColor="text1"/>
          <w:sz w:val="16"/>
          <w:szCs w:val="16"/>
        </w:rPr>
        <w:t xml:space="preserve"> на бо́льшую, чем у Т-34-85, массу, показатели при езде Т-54 в зимних условиях оказались близкими.</w:t>
      </w:r>
    </w:p>
    <w:p w14:paraId="55DBF75D"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Как и в случае с опытными образцами Т-44, условия езды по просёлку оказались близкими к экстремальным. Просёлок был либо засыпан глубоким (40-60 см) снегом, либо полон грязи. Неудивительно, что в таких условиях средняя скорость составила 15,2 км/ч. В тех же условиях средняя скорость Т-34-85 составила 17,7 км/ч. По той же причине завышенным оказался расход топлива. В условиях заснеженного просёлка расход составил 305 л на 100 км, а по раскисшей весенней грунтовке — 268 л на 100 км. При езде в таких условиях при закрытых люках было необходимо периодически очищать смотровой прибор механика-водителя от снега. Больших проблем это не вызвало — требовалось лишь приоткрыть крышку люка и очистить прибор рукой. Сделать это можно было прямо во время движения.</w:t>
      </w:r>
    </w:p>
    <w:p w14:paraId="72AD83DF"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ходе специспытаний выяснилось, что в зимних условиях максимально преодолеваемый подъём не превышает 13-15 градусов — причиной тому стало недостаточное сцепление с грунтом. Уже упомянутый Т-34-85, имевший такие же гусеничные ленты, в тех же условиях показал ничуть не лучшие результаты. После установки шпор машина смогла преодолеть подъём крутизной 25 градусов. При езде по косогорам максимально допустимый крен составил 15-16 градусов. С учётом сложных условий, это вполне нормальные результаты. На испытаниях валкой деревьев удалось повалить сосну диаметром 530 мм. При езде отмечались сравнительно небольшие усилия на рычагах: 14-15 кг для обычных поворотов и 18-20 кг для поворотов на месте.</w:t>
      </w:r>
    </w:p>
    <w:p w14:paraId="05A90118"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Одним из важнейших результатов ходовых испытаний стало то, что среди дефектов не оказалось традиционного пункта «разрушение бандажей опорного катка и его замена». Ни одного катка менять не пришлось, а какие-то проблемы обнаружились только с 3-м правым катком. Обнаруженные дефекты не помешали полностью пройти всю программу испытаний, даже с повреждениями каток признали пригодным к дальнейшей эксплуатации. Естественно, у опытной машины набралось немало дефектов ходовой части (например, погнутые и сломанные балансиры, разбитые ограничители хода балансиров), но удалось победить едва ли не главную головную боль советских средних танков.</w:t>
      </w:r>
    </w:p>
    <w:p w14:paraId="3F9BAB98"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Крайне занятными оказались испытания стрельбой. Как уже говорилось, на танк установили 100-мм орудие Д-10Т, но пострелять из него так и не удалось. 23-24 марта это орудие заменили на другую систему — Д-10ТК. От Д-10Т она отличалась рядом изменений. Убрали пружинный уравновешивающий механизм, изменили конструкцию трубы и ограждения орудия, появился электроспуск пушки и пулемёта, а также пружинный компенсатор. Именно эта система и испытывалась стрельбой. Как показали испытания, кучность была в пределах нормы, максимальная прицельная скорострельность составила, в зависимости от укладки, 4,5-5,4 выстрела в минуту.</w:t>
      </w:r>
    </w:p>
    <w:p w14:paraId="5212B0B2"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Также испытывались механизмы наведения орудия. Благодаря электрическому мотору поворота башни полный оборот производился за 10 секунд (для сравнения, вручную башня делала полный оборот за 2 минуты 30 секунд). А вот с вертикальной наводкой дела явно не задались. Наведение в диапазоне 26 градусов вручную производилось 50 секунд, причём наводчик вращал рукоятку двумя руками. Электропривод помог, но не сильно — 15 секунд для подъёма на 20 градусов. Неважная работа механизмов вертикальной наводки сказалась на результатах стрельбы с хода — её признали неудовлетворительной. Впрочем, и у механизмов горизонтальной наводки было не всё гладко. Отмечались люфты, а электропривод не обеспечивал точной наводки. Не лучшими результаты оказались и с точки зрения загазованности боевого отделения. НИБТ Полигон предлагал улучшить вентилятор, а также разработать механизм продувки канала ствола.</w:t>
      </w:r>
    </w:p>
    <w:p w14:paraId="32118BA2"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Немало нареканий вызвали рабочие места экипажа. Требование сделать место командира с оглядкой на ИС-6 привело к тому, что обзорность ухудшилась. Также имелись нарекания на недостаточное уплотнение крыши люка командирской башенки. Сиденье не регулировалось по высоте, имелись и другие претензии по удобству работы командира. Введение кнопки управления поворотом башни признали хорошей идеей, но конструкцию требовалось доработать. Неидеальным оказалось и место наводчика. Ввиду проблем с механизмами поворота удачным место назвать не могли, но выявились и другие недостатки — неудобное сиденье, слишком близкое расположение к щиту орудия прицела ТШ-19, не очень удачное размещение электроспуска, который мешал заряжающему. У места заряжающего также хватало недостатков. Например, коробка с патронами располагалась у виска бойца, когда тот использовал смотровой прибор МК-IV. Общим недостатком боевого отделения назвали отсутствие «вращающегося пола» (полика). Рабочее место механика-водителя было не хуже, чем на Т-44, вместе с тем набралось претензий и по нему. Требовалось сделать сиденье более прочным, изменить расположение рычагов и педалей по типу серийного Т-44, а также снабдить механика-водителя съёмным ветровым щитком. В целом же обзорность Т-54 признали худшей, чем обзорность Т-44. Весьма неприятный вывод, ведь до того обзорность каждого нового танка КБ-520 была лучше, чем у предшественника.</w:t>
      </w:r>
    </w:p>
    <w:p w14:paraId="6626A010"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Ещё один неприятный вывод был сделан по поводу конструкции корпуса и, в особенности, башни. Наличие мелких деталей на лбу корпуса, особенно крепление ленивца, признали плохим решением. Также признали непрочным соединения лба корпуса с его бортами (как показали более поздние испытания обстрелом корпуса Т-44, вывод был верным). Неудачной оказалась и конструкция соединения бортов с днищем — теоретически в эту зону машину можно было поразить даже противотанковым ружьём. Масса нареканий набралась по конструкции жалюзи надмоторной плиты. Наконец, конструкцию башни признали неудачной и неравнопрочной по сравнению с корпусом — это касалось и формы башни, и подвижной бронировки. НИБТ Полигон предложил изменить конструкцию башни, взяв за основу башню ИС-3.</w:t>
      </w:r>
    </w:p>
    <w:p w14:paraId="72D77A53"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Общий вердикт оказался двояким. С одной стороны, танк превосходил Т-44 по защите и вооружению, а также выдержал ходовые испытания. С другой стороны, недостатков набралось очень много. Одним словом, машина получилась хорошей, но для принятия её на вооружение требовалась большая работа над ошибками. В любом случае, в заключении комиссия рекомендовала Т-54 на вооружение Красной армии, но не в том виде, в каком он поступил на испытания (19090)</w:t>
      </w:r>
    </w:p>
    <w:p w14:paraId="4F7CAD4D" w14:textId="77777777" w:rsidR="00F8392F" w:rsidRPr="00925F26" w:rsidRDefault="00F8392F" w:rsidP="00925F26">
      <w:pPr>
        <w:pStyle w:val="ae"/>
        <w:shd w:val="clear" w:color="auto" w:fill="FFFFFF"/>
        <w:spacing w:before="0" w:after="0"/>
        <w:jc w:val="both"/>
        <w:textAlignment w:val="baseline"/>
        <w:rPr>
          <w:color w:val="000000" w:themeColor="text1"/>
          <w:sz w:val="16"/>
          <w:szCs w:val="16"/>
        </w:rPr>
      </w:pPr>
    </w:p>
    <w:p w14:paraId="7D1133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11 марта по 14 апреля 1945 г. после заводс</w:t>
      </w:r>
      <w:r w:rsidRPr="00925F26">
        <w:rPr>
          <w:color w:val="000000" w:themeColor="text1"/>
          <w:sz w:val="16"/>
          <w:szCs w:val="16"/>
        </w:rPr>
        <w:softHyphen/>
        <w:t>кого пробега и показа командованию БТ и МВ КА и членам прави</w:t>
      </w:r>
      <w:r w:rsidRPr="00925F26">
        <w:rPr>
          <w:color w:val="000000" w:themeColor="text1"/>
          <w:sz w:val="16"/>
          <w:szCs w:val="16"/>
        </w:rPr>
        <w:softHyphen/>
        <w:t>тельства Т-54, изготовленный 30 января 1945, г. прошел испы</w:t>
      </w:r>
      <w:r w:rsidRPr="00925F26">
        <w:rPr>
          <w:color w:val="000000" w:themeColor="text1"/>
          <w:sz w:val="16"/>
          <w:szCs w:val="16"/>
        </w:rPr>
        <w:softHyphen/>
        <w:t>тания на НИБТ полигоне в Кубинке под руководством комиссии, воз</w:t>
      </w:r>
      <w:r w:rsidRPr="00925F26">
        <w:rPr>
          <w:color w:val="000000" w:themeColor="text1"/>
          <w:sz w:val="16"/>
          <w:szCs w:val="16"/>
        </w:rPr>
        <w:softHyphen/>
        <w:t>главляемой заместителем начальника Технического управления ГЕГГУ КАгв. полковником Е.А. Кульчицким.</w:t>
      </w:r>
    </w:p>
    <w:p w14:paraId="17E6D9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испытаний нарком танковой промыш</w:t>
      </w:r>
      <w:r w:rsidRPr="00925F26">
        <w:rPr>
          <w:color w:val="000000" w:themeColor="text1"/>
          <w:sz w:val="16"/>
          <w:szCs w:val="16"/>
        </w:rPr>
        <w:softHyphen/>
        <w:t>ленности В.А. Малышев дал указания директору завода №183 гене</w:t>
      </w:r>
      <w:r w:rsidRPr="00925F26">
        <w:rPr>
          <w:color w:val="000000" w:themeColor="text1"/>
          <w:sz w:val="16"/>
          <w:szCs w:val="16"/>
        </w:rPr>
        <w:softHyphen/>
        <w:t>рал-майору ИТС Ю.Е. Максареву об изготовлении двух опытных об</w:t>
      </w:r>
      <w:r w:rsidRPr="00925F26">
        <w:rPr>
          <w:color w:val="000000" w:themeColor="text1"/>
          <w:sz w:val="16"/>
          <w:szCs w:val="16"/>
        </w:rPr>
        <w:softHyphen/>
        <w:t>разцов танка Т-54 к июню 1945 г. На одном из них должна была быть установлена планетарная трансмиссия, на другом - ПМП.</w:t>
      </w:r>
    </w:p>
    <w:p w14:paraId="0E3DEA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требовалось внести 68 изме</w:t>
      </w:r>
      <w:r w:rsidRPr="00925F26">
        <w:rPr>
          <w:color w:val="000000" w:themeColor="text1"/>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925F26">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925F26">
        <w:rPr>
          <w:color w:val="000000" w:themeColor="text1"/>
          <w:sz w:val="16"/>
          <w:szCs w:val="16"/>
        </w:rPr>
        <w:softHyphen/>
        <w:t>чием стальных бортовых экранов, а на одном из них на крыше баш</w:t>
      </w:r>
      <w:r w:rsidRPr="00925F26">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925F26">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785391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925F26">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38FFC9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время испытаний выявилось большое количество дефек</w:t>
      </w:r>
      <w:r w:rsidRPr="00925F26">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925F26">
        <w:rPr>
          <w:color w:val="000000" w:themeColor="text1"/>
          <w:sz w:val="16"/>
          <w:szCs w:val="16"/>
        </w:rPr>
        <w:softHyphen/>
        <w:t>ботали без дефектов. Синхронизаторы коробки передач ожидае</w:t>
      </w:r>
      <w:r w:rsidRPr="00925F26">
        <w:rPr>
          <w:color w:val="000000" w:themeColor="text1"/>
          <w:sz w:val="16"/>
          <w:szCs w:val="16"/>
        </w:rPr>
        <w:softHyphen/>
        <w:t>мого эффекта не дали, так как время переключения передач со</w:t>
      </w:r>
      <w:r w:rsidRPr="00925F26">
        <w:rPr>
          <w:color w:val="000000" w:themeColor="text1"/>
          <w:sz w:val="16"/>
          <w:szCs w:val="16"/>
        </w:rPr>
        <w:softHyphen/>
        <w:t>ставляло 5 с. По результатам ходовых испытаний в конструкцию танка внесли еще 98 изменений (11770).</w:t>
      </w:r>
    </w:p>
    <w:p w14:paraId="47D12E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EDF7366" w14:textId="77777777" w:rsidR="00F270A5" w:rsidRPr="00925F26" w:rsidRDefault="00F270A5" w:rsidP="00925F26">
      <w:pPr>
        <w:shd w:val="clear" w:color="auto" w:fill="FFFFFF"/>
        <w:jc w:val="both"/>
        <w:rPr>
          <w:color w:val="000000" w:themeColor="text1"/>
          <w:sz w:val="16"/>
          <w:szCs w:val="16"/>
        </w:rPr>
      </w:pPr>
      <w:r w:rsidRPr="00925F26">
        <w:rPr>
          <w:color w:val="000000" w:themeColor="text1"/>
          <w:sz w:val="16"/>
          <w:szCs w:val="16"/>
        </w:rPr>
        <w:lastRenderedPageBreak/>
        <w:t>11 марта 1945 года в сторону Мурманска отправился конвой JW 65, состоявший из 26 транспортов. Из этого числа 20 марта один транспорт, SS Horace Bushnell, был серьезно поврежден подводной лодкой U-995, а второй, Thomas Donaldson, был потоплен подводной лодкой U-968. Произошло это неподалеку от Мурманска. На следующий день конвой прибыл в Мурманск, в числе прибывших грузов оказались и те самые два легких танка M24. 25 марта они были погружены на железнодорожную платформу и отправились в Кубинку (17684).</w:t>
      </w:r>
    </w:p>
    <w:p w14:paraId="1D5AD404" w14:textId="77777777" w:rsidR="00F270A5" w:rsidRPr="00925F26" w:rsidRDefault="00F270A5" w:rsidP="00925F26">
      <w:pPr>
        <w:jc w:val="both"/>
        <w:rPr>
          <w:color w:val="000000" w:themeColor="text1"/>
          <w:sz w:val="16"/>
          <w:szCs w:val="16"/>
        </w:rPr>
      </w:pPr>
    </w:p>
    <w:p w14:paraId="40846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Распоряжение ГКО № 7779. О подготовке дноуглубительного флота к навигации 1945 года и обеспечении нормальных судоходных глубин в морских каналах и портах. РГАНИР, Фонд ГКО, д. 379, лл. 1-4, 5-12 (11012).</w:t>
      </w:r>
    </w:p>
    <w:p w14:paraId="336E7A9A" w14:textId="77777777" w:rsidR="00665165" w:rsidRPr="00925F26" w:rsidRDefault="00665165" w:rsidP="00925F26">
      <w:pPr>
        <w:autoSpaceDE w:val="0"/>
        <w:autoSpaceDN w:val="0"/>
        <w:adjustRightInd w:val="0"/>
        <w:jc w:val="both"/>
        <w:rPr>
          <w:color w:val="000000" w:themeColor="text1"/>
          <w:sz w:val="16"/>
          <w:szCs w:val="16"/>
        </w:rPr>
      </w:pPr>
    </w:p>
    <w:p w14:paraId="306239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7780 О плане военного судостроения на 1945 год и I квартал 1945 года. РГАНИР, Фонд ГКО, д. 379, лл. 13-29, 30-85 (11012).</w:t>
      </w:r>
    </w:p>
    <w:p w14:paraId="4352BDE9" w14:textId="77777777" w:rsidR="00665165" w:rsidRPr="00925F26" w:rsidRDefault="00665165" w:rsidP="00925F26">
      <w:pPr>
        <w:autoSpaceDE w:val="0"/>
        <w:autoSpaceDN w:val="0"/>
        <w:adjustRightInd w:val="0"/>
        <w:jc w:val="both"/>
        <w:rPr>
          <w:color w:val="000000" w:themeColor="text1"/>
          <w:sz w:val="16"/>
          <w:szCs w:val="16"/>
        </w:rPr>
      </w:pPr>
    </w:p>
    <w:p w14:paraId="584C5954" w14:textId="77777777" w:rsidR="00D26E96" w:rsidRPr="00925F26" w:rsidRDefault="00D26E96" w:rsidP="00925F26">
      <w:pPr>
        <w:jc w:val="both"/>
        <w:rPr>
          <w:color w:val="000000" w:themeColor="text1"/>
          <w:sz w:val="16"/>
          <w:szCs w:val="16"/>
        </w:rPr>
      </w:pPr>
      <w:r w:rsidRPr="00925F26">
        <w:rPr>
          <w:color w:val="000000" w:themeColor="text1"/>
          <w:sz w:val="16"/>
          <w:szCs w:val="16"/>
        </w:rPr>
        <w:t>11 марта 1945 г. постановление ГКО № 7780сс «О плане военного судостроения в 1945 и 1 квартале 1945 г.» предусматривало восстановление на заводе им. Козицкого производства радиотрансляционных судовых установок. А постановление ГКО № 9692сс от 29 июля 1945 г. «О плане судостроения, производства минно-торпедного вооружения, трально-сетевого вооружения и морских приборов на 3 квартал 1945 г.» требовало от завода им. Козицкого в первую очередь восстановить производство морских радиопередатчиков «Ураган-М», «Шквал-М», «Шторм-М», «Скат» и «Бриз-М» (18297).</w:t>
      </w:r>
    </w:p>
    <w:p w14:paraId="040BC283" w14:textId="77777777" w:rsidR="00D26E96" w:rsidRPr="00925F26" w:rsidRDefault="00D26E96" w:rsidP="00925F26">
      <w:pPr>
        <w:jc w:val="both"/>
        <w:rPr>
          <w:color w:val="000000" w:themeColor="text1"/>
          <w:sz w:val="16"/>
          <w:szCs w:val="16"/>
        </w:rPr>
      </w:pPr>
    </w:p>
    <w:p w14:paraId="5231CA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7781 Об изготовлении опытной партии неконтактных оптических взрывателей для торпед РГАНИР, Фонд ГКО, д. РГАНИР, Фонд ГКО, д. 379, лл. 86-87, 88-89 (11012).</w:t>
      </w:r>
    </w:p>
    <w:p w14:paraId="5B37F87A" w14:textId="77777777" w:rsidR="00665165" w:rsidRPr="00925F26" w:rsidRDefault="00665165" w:rsidP="00925F26">
      <w:pPr>
        <w:autoSpaceDE w:val="0"/>
        <w:autoSpaceDN w:val="0"/>
        <w:adjustRightInd w:val="0"/>
        <w:jc w:val="both"/>
        <w:rPr>
          <w:color w:val="000000" w:themeColor="text1"/>
          <w:sz w:val="16"/>
          <w:szCs w:val="16"/>
        </w:rPr>
      </w:pPr>
    </w:p>
    <w:p w14:paraId="0D4446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7782 О поставках импортных моторов и дизельгенераторов для Наркомвоенморфлота. РГАНИР, Фонд ГКО, д. 379, лл. 90-91 (11012).</w:t>
      </w:r>
    </w:p>
    <w:p w14:paraId="0F5812F9" w14:textId="77777777" w:rsidR="00665165" w:rsidRPr="00925F26" w:rsidRDefault="00665165" w:rsidP="00925F26">
      <w:pPr>
        <w:autoSpaceDE w:val="0"/>
        <w:autoSpaceDN w:val="0"/>
        <w:adjustRightInd w:val="0"/>
        <w:jc w:val="both"/>
        <w:rPr>
          <w:color w:val="000000" w:themeColor="text1"/>
          <w:sz w:val="16"/>
          <w:szCs w:val="16"/>
        </w:rPr>
      </w:pPr>
    </w:p>
    <w:p w14:paraId="40DC8F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7783 О восстановлении и строительстве главной военно-морской базы Черноморского флота в Севастополе. РГАНИР, Фонд ГКО, д. 379, лл. 92-94 (11012).</w:t>
      </w:r>
    </w:p>
    <w:p w14:paraId="6885B843" w14:textId="77777777" w:rsidR="00665165" w:rsidRPr="00925F26" w:rsidRDefault="00665165" w:rsidP="00925F26">
      <w:pPr>
        <w:autoSpaceDE w:val="0"/>
        <w:autoSpaceDN w:val="0"/>
        <w:adjustRightInd w:val="0"/>
        <w:jc w:val="both"/>
        <w:rPr>
          <w:color w:val="000000" w:themeColor="text1"/>
          <w:sz w:val="16"/>
          <w:szCs w:val="16"/>
        </w:rPr>
      </w:pPr>
    </w:p>
    <w:p w14:paraId="6CFAC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7784 О ходе восстановления судостроительных заводов № 444 и 445 Наркомсудпрома в г. Николаеве. РГАНИР, Фонд ГКО, д. 379, лл. 95-96 (11012).</w:t>
      </w:r>
    </w:p>
    <w:p w14:paraId="6BCF8E56" w14:textId="77777777" w:rsidR="00665165" w:rsidRPr="00925F26" w:rsidRDefault="00665165" w:rsidP="00925F26">
      <w:pPr>
        <w:autoSpaceDE w:val="0"/>
        <w:autoSpaceDN w:val="0"/>
        <w:adjustRightInd w:val="0"/>
        <w:jc w:val="both"/>
        <w:rPr>
          <w:color w:val="000000" w:themeColor="text1"/>
          <w:sz w:val="16"/>
          <w:szCs w:val="16"/>
        </w:rPr>
      </w:pPr>
    </w:p>
    <w:p w14:paraId="149460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7785 О строительстве в 1945 году на Дальнем Востоке взлетно-посадочных полос из металлических звеньев на аэродромах ВВС Военно-Морского Флота. РГАНИР, Фонд ГКО, д. 379, лл. 97-102, 103-104 (11012).</w:t>
      </w:r>
    </w:p>
    <w:p w14:paraId="1B3847E0" w14:textId="77777777" w:rsidR="00665165" w:rsidRPr="00925F26" w:rsidRDefault="00665165" w:rsidP="00925F26">
      <w:pPr>
        <w:autoSpaceDE w:val="0"/>
        <w:autoSpaceDN w:val="0"/>
        <w:adjustRightInd w:val="0"/>
        <w:jc w:val="both"/>
        <w:rPr>
          <w:color w:val="000000" w:themeColor="text1"/>
          <w:sz w:val="16"/>
          <w:szCs w:val="16"/>
        </w:rPr>
      </w:pPr>
    </w:p>
    <w:p w14:paraId="592A22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7786 Об организации производства судовых дизелей М-50 для боевых катеров ВМФ на заводе № 800 Наркомтанкопрома (быв. завод №174 в гор. Ленинграде). РГАНИР, Фонд ГКО, д. 379, лл. 105-110, 111-112 (11012).</w:t>
      </w:r>
    </w:p>
    <w:p w14:paraId="406F302F" w14:textId="77777777" w:rsidR="00665165" w:rsidRPr="00925F26" w:rsidRDefault="00665165" w:rsidP="00925F26">
      <w:pPr>
        <w:autoSpaceDE w:val="0"/>
        <w:autoSpaceDN w:val="0"/>
        <w:adjustRightInd w:val="0"/>
        <w:jc w:val="both"/>
        <w:rPr>
          <w:color w:val="000000" w:themeColor="text1"/>
          <w:sz w:val="16"/>
          <w:szCs w:val="16"/>
        </w:rPr>
      </w:pPr>
    </w:p>
    <w:p w14:paraId="04984841" w14:textId="1F1E5806" w:rsidR="004945E9" w:rsidRPr="00925F26" w:rsidRDefault="004945E9" w:rsidP="00925F26">
      <w:pPr>
        <w:pStyle w:val="ae"/>
        <w:spacing w:before="0" w:after="0"/>
        <w:jc w:val="both"/>
        <w:rPr>
          <w:color w:val="000000" w:themeColor="text1"/>
          <w:sz w:val="16"/>
          <w:szCs w:val="16"/>
        </w:rPr>
      </w:pPr>
      <w:r w:rsidRPr="00925F26">
        <w:rPr>
          <w:iCs/>
          <w:color w:val="000000" w:themeColor="text1"/>
          <w:sz w:val="16"/>
          <w:szCs w:val="16"/>
        </w:rPr>
        <w:t>11 марта 1945</w:t>
      </w:r>
      <w:r w:rsidR="00997EDF" w:rsidRPr="00925F26">
        <w:rPr>
          <w:color w:val="000000" w:themeColor="text1"/>
          <w:sz w:val="16"/>
          <w:szCs w:val="16"/>
        </w:rPr>
        <w:t xml:space="preserve">  </w:t>
      </w:r>
      <w:r w:rsidRPr="00925F26">
        <w:rPr>
          <w:iCs/>
          <w:color w:val="000000" w:themeColor="text1"/>
          <w:sz w:val="16"/>
          <w:szCs w:val="16"/>
        </w:rPr>
        <w:t>г. Государственный Комитет Обороны по докладной записке Л.П.</w:t>
      </w:r>
      <w:r w:rsidR="00997EDF" w:rsidRPr="00925F26">
        <w:rPr>
          <w:color w:val="000000" w:themeColor="text1"/>
          <w:sz w:val="16"/>
          <w:szCs w:val="16"/>
        </w:rPr>
        <w:t xml:space="preserve">  </w:t>
      </w:r>
      <w:r w:rsidRPr="00925F26">
        <w:rPr>
          <w:iCs/>
          <w:color w:val="000000" w:themeColor="text1"/>
          <w:sz w:val="16"/>
          <w:szCs w:val="16"/>
        </w:rPr>
        <w:t>Берии от 9 марта принял решение о производстве на заводе № 174 судовых дизелей М50 мощностью 1000</w:t>
      </w:r>
      <w:r w:rsidR="00997EDF" w:rsidRPr="00925F26">
        <w:rPr>
          <w:color w:val="000000" w:themeColor="text1"/>
          <w:sz w:val="16"/>
          <w:szCs w:val="16"/>
        </w:rPr>
        <w:t xml:space="preserve">  </w:t>
      </w:r>
      <w:r w:rsidRPr="00925F26">
        <w:rPr>
          <w:iCs/>
          <w:color w:val="000000" w:themeColor="text1"/>
          <w:sz w:val="16"/>
          <w:szCs w:val="16"/>
        </w:rPr>
        <w:t>л.</w:t>
      </w:r>
      <w:r w:rsidRPr="00925F26">
        <w:rPr>
          <w:iCs/>
          <w:color w:val="000000" w:themeColor="text1"/>
          <w:sz w:val="16"/>
          <w:szCs w:val="16"/>
        </w:rPr>
        <w:t> </w:t>
      </w:r>
      <w:r w:rsidRPr="00925F26">
        <w:rPr>
          <w:iCs/>
          <w:color w:val="000000" w:themeColor="text1"/>
          <w:sz w:val="16"/>
          <w:szCs w:val="16"/>
        </w:rPr>
        <w:t>с. для боевых катеров Военно-морского флота. Тогда же заводу присвоили новый номер 800. Директором был назначен С.А.</w:t>
      </w:r>
      <w:r w:rsidR="00997EDF" w:rsidRPr="00925F26">
        <w:rPr>
          <w:color w:val="000000" w:themeColor="text1"/>
          <w:sz w:val="16"/>
          <w:szCs w:val="16"/>
        </w:rPr>
        <w:t xml:space="preserve">  </w:t>
      </w:r>
      <w:r w:rsidRPr="00925F26">
        <w:rPr>
          <w:iCs/>
          <w:color w:val="000000" w:themeColor="text1"/>
          <w:sz w:val="16"/>
          <w:szCs w:val="16"/>
        </w:rPr>
        <w:t>Скачков, в 1946</w:t>
      </w:r>
      <w:r w:rsidR="00997EDF" w:rsidRPr="00925F26">
        <w:rPr>
          <w:color w:val="000000" w:themeColor="text1"/>
          <w:sz w:val="16"/>
          <w:szCs w:val="16"/>
        </w:rPr>
        <w:t xml:space="preserve">  </w:t>
      </w:r>
      <w:r w:rsidRPr="00925F26">
        <w:rPr>
          <w:iCs/>
          <w:color w:val="000000" w:themeColor="text1"/>
          <w:sz w:val="16"/>
          <w:szCs w:val="16"/>
        </w:rPr>
        <w:t>г. его сменил Т.В.</w:t>
      </w:r>
      <w:r w:rsidR="00997EDF" w:rsidRPr="00925F26">
        <w:rPr>
          <w:color w:val="000000" w:themeColor="text1"/>
          <w:sz w:val="16"/>
          <w:szCs w:val="16"/>
        </w:rPr>
        <w:t xml:space="preserve">  </w:t>
      </w:r>
      <w:r w:rsidRPr="00925F26">
        <w:rPr>
          <w:iCs/>
          <w:color w:val="000000" w:themeColor="text1"/>
          <w:sz w:val="16"/>
          <w:szCs w:val="16"/>
        </w:rPr>
        <w:t>Филатов (12635.</w:t>
      </w:r>
    </w:p>
    <w:p w14:paraId="61189C89" w14:textId="77777777" w:rsidR="004945E9" w:rsidRPr="00925F26" w:rsidRDefault="004945E9" w:rsidP="00925F26">
      <w:pPr>
        <w:jc w:val="both"/>
        <w:rPr>
          <w:color w:val="000000" w:themeColor="text1"/>
          <w:sz w:val="16"/>
          <w:szCs w:val="16"/>
        </w:rPr>
      </w:pPr>
    </w:p>
    <w:p w14:paraId="083A1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г. в соответствии с пост. ГКО № 7786 на заводе № 800 (Завод № 800 НКТП, МТМ, МТиТМ, п/я 853, Ленинградский машиностроительный завод «Звезда» им. К.Е. Ворошилова, ОАО «Звезда» /192012(193012)  г. Ленинград,  г. Санкт-Петербург ул. Бабушкина, 123 тел. 262-81-42/) была начата организация производства судового дизеля М-50 для торпедных катеров, для чего из ЦИАМ на завод передана техдокументация. 26.04.1945 г. вышло постановление ГКО № 8282 об укомплектовании завода оборудованием для производства дизеля М-50.</w:t>
      </w:r>
    </w:p>
    <w:p w14:paraId="36FAC1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Позднее строились дизели для судов ВМФ: ТД-200, «Шмель», «Бурундук», тральщиков типа «Сокол», сторожевых катеров «Москит», «Гриф». В начале 1960-</w:t>
      </w:r>
      <w:proofErr w:type="gramStart"/>
      <w:r w:rsidRPr="00925F26">
        <w:rPr>
          <w:color w:val="000000" w:themeColor="text1"/>
          <w:sz w:val="16"/>
          <w:szCs w:val="16"/>
        </w:rPr>
        <w:t>х  г.</w:t>
      </w:r>
      <w:proofErr w:type="gramEnd"/>
      <w:r w:rsidRPr="00925F26">
        <w:rPr>
          <w:color w:val="000000" w:themeColor="text1"/>
          <w:sz w:val="16"/>
          <w:szCs w:val="16"/>
        </w:rPr>
        <w:t xml:space="preserve"> освоено производство принципиально новых сверхлегких звездообразных дизелей ЧН16/17 (что послужило поводом для присвоения предприятию открытого названия «Звезда»). Выпускались дизели для почти всех отечественных СПК («Ракета», «Метеор», «Полесье», «Комета», «Восход»).</w:t>
      </w:r>
    </w:p>
    <w:p w14:paraId="4CED9A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(2005 г.): главные судовые дизели и реверс-редукторные агрегаты. В 2005 г.- создание реверс- ре дукторной передачи для корвета пр. 20382 «Тигр».</w:t>
      </w:r>
    </w:p>
    <w:p w14:paraId="52483E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Входило в ФПГ «Скоростной флот» (2007 г.).</w:t>
      </w:r>
    </w:p>
    <w:p w14:paraId="389098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отдела международных продаж (2006 г.)- А.А. Гуменный.</w:t>
      </w:r>
    </w:p>
    <w:p w14:paraId="1E4A3299"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w:t>
      </w:r>
      <w:r w:rsidRPr="00925F26">
        <w:rPr>
          <w:iCs/>
          <w:color w:val="000000" w:themeColor="text1"/>
          <w:sz w:val="16"/>
          <w:szCs w:val="16"/>
        </w:rPr>
        <w:t xml:space="preserve"> судовые дизели:</w:t>
      </w:r>
      <w:r w:rsidRPr="00925F26">
        <w:rPr>
          <w:color w:val="000000" w:themeColor="text1"/>
          <w:sz w:val="16"/>
          <w:szCs w:val="16"/>
        </w:rPr>
        <w:t xml:space="preserve"> М-50 (1945-), М503Б и М504А для пр. 205 (1950-е), М470М (1990-е), М507А, М521ТМ5, М532А, М533, М534 (2005), ЧН16/17 (1960-е), 12ЧН18/20 для СПК (2005); реверс-редукторные передачи.</w:t>
      </w:r>
    </w:p>
    <w:p w14:paraId="1F83E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ОКБ-800</w:t>
      </w:r>
    </w:p>
    <w:p w14:paraId="225EBE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599-302 от 23.02.1953 г. на территории завода № 800 (завод «Звезда» им. К.Е. Ворошилова) было создано ОКБ-800, гл. конструктором которого назначен В.М. Яковлев (до этого- гл. конструктор ОКБ-500).</w:t>
      </w:r>
    </w:p>
    <w:p w14:paraId="27C27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(1953 г.-)- В.М. Яковлев {9.06.1903-05.1983 г.}.</w:t>
      </w:r>
    </w:p>
    <w:p w14:paraId="6AECE8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Ведущие конструкторы: (1954-56 г.)- А.С. Мевиус.</w:t>
      </w:r>
    </w:p>
    <w:p w14:paraId="1DA25546"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дизельные двигатели М-500, М-503, М-504, М-507.</w:t>
      </w:r>
    </w:p>
    <w:p w14:paraId="77AE0F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«Звезда»</w:t>
      </w:r>
    </w:p>
    <w:p w14:paraId="6B8A4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1970 г. на базе завода «Звезда» как головного предприятия создано ПО «Звезда».</w:t>
      </w:r>
      <w:r w:rsidRPr="00925F26">
        <w:rPr>
          <w:color w:val="000000" w:themeColor="text1"/>
          <w:sz w:val="16"/>
          <w:szCs w:val="16"/>
          <w:vertAlign w:val="superscript"/>
        </w:rPr>
        <w:t>131</w:t>
      </w:r>
      <w:r w:rsidRPr="00925F26">
        <w:rPr>
          <w:color w:val="000000" w:themeColor="text1"/>
          <w:sz w:val="16"/>
          <w:szCs w:val="16"/>
        </w:rPr>
        <w:t xml:space="preserve"> В состав ПО в 1977-86 г. входил завод «Русский дизель» (11982).</w:t>
      </w:r>
    </w:p>
    <w:p w14:paraId="32EA001E" w14:textId="77777777" w:rsidR="00665165" w:rsidRPr="00925F26" w:rsidRDefault="00665165" w:rsidP="00925F26">
      <w:pPr>
        <w:autoSpaceDE w:val="0"/>
        <w:autoSpaceDN w:val="0"/>
        <w:adjustRightInd w:val="0"/>
        <w:jc w:val="both"/>
        <w:rPr>
          <w:color w:val="000000" w:themeColor="text1"/>
          <w:sz w:val="16"/>
          <w:szCs w:val="16"/>
        </w:rPr>
      </w:pPr>
    </w:p>
    <w:p w14:paraId="56134D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7787 О принятии на вооружение и производстве электроакустических взрывателей "Краб" для морских якорных мин. РГАНИР, Фонд ГКО, д. 379, лл. 113-115, 116-121 (11012).</w:t>
      </w:r>
    </w:p>
    <w:p w14:paraId="3D96AF79" w14:textId="77777777" w:rsidR="00665165" w:rsidRPr="00925F26" w:rsidRDefault="00665165" w:rsidP="00925F26">
      <w:pPr>
        <w:autoSpaceDE w:val="0"/>
        <w:autoSpaceDN w:val="0"/>
        <w:adjustRightInd w:val="0"/>
        <w:jc w:val="both"/>
        <w:rPr>
          <w:color w:val="000000" w:themeColor="text1"/>
          <w:sz w:val="16"/>
          <w:szCs w:val="16"/>
        </w:rPr>
      </w:pPr>
    </w:p>
    <w:p w14:paraId="58D68A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7788 Об организации производства железнодорожных цистерн на Мариупольском заводе им. Ильича Наркомтанкопрома. РГАНИР, Фонд ГКО, д. 379, лл. 122-129, 130-145 (11012).</w:t>
      </w:r>
    </w:p>
    <w:p w14:paraId="398A4148" w14:textId="77777777" w:rsidR="00665165" w:rsidRPr="00925F26" w:rsidRDefault="00665165" w:rsidP="00925F26">
      <w:pPr>
        <w:autoSpaceDE w:val="0"/>
        <w:autoSpaceDN w:val="0"/>
        <w:adjustRightInd w:val="0"/>
        <w:jc w:val="both"/>
        <w:rPr>
          <w:color w:val="000000" w:themeColor="text1"/>
          <w:sz w:val="16"/>
          <w:szCs w:val="16"/>
        </w:rPr>
      </w:pPr>
    </w:p>
    <w:p w14:paraId="07F7496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марта 1945 вышло Постановление ГКО № 7789 О мероприятиях по восстановлению Днепро-Бугского канала. (7314, 146-150,151-156).</w:t>
      </w:r>
    </w:p>
    <w:p w14:paraId="34C739D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A022B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г. и 29 октября 1944 г. ГКО возложил на ленинград</w:t>
      </w:r>
      <w:r w:rsidRPr="00925F26">
        <w:rPr>
          <w:color w:val="000000" w:themeColor="text1"/>
          <w:sz w:val="16"/>
          <w:szCs w:val="16"/>
        </w:rPr>
        <w:softHyphen/>
        <w:t>ские заводы Наркомсудпрома строительство 60 малых морских тральщиков (3898).</w:t>
      </w:r>
    </w:p>
    <w:p w14:paraId="2058CF4B" w14:textId="77777777" w:rsidR="00665165" w:rsidRPr="00925F26" w:rsidRDefault="00665165" w:rsidP="00925F26">
      <w:pPr>
        <w:autoSpaceDE w:val="0"/>
        <w:autoSpaceDN w:val="0"/>
        <w:adjustRightInd w:val="0"/>
        <w:jc w:val="both"/>
        <w:rPr>
          <w:color w:val="000000" w:themeColor="text1"/>
          <w:sz w:val="16"/>
          <w:szCs w:val="16"/>
        </w:rPr>
      </w:pPr>
    </w:p>
    <w:p w14:paraId="0A153136" w14:textId="4D29DC63" w:rsidR="00F8392F" w:rsidRPr="00925F26" w:rsidRDefault="00F8392F" w:rsidP="00925F26">
      <w:pPr>
        <w:jc w:val="both"/>
        <w:rPr>
          <w:color w:val="000000" w:themeColor="text1"/>
          <w:sz w:val="16"/>
          <w:szCs w:val="16"/>
        </w:rPr>
      </w:pPr>
      <w:r w:rsidRPr="00925F26">
        <w:rPr>
          <w:color w:val="000000" w:themeColor="text1"/>
          <w:sz w:val="16"/>
          <w:szCs w:val="16"/>
        </w:rPr>
        <w:t>11 марта</w:t>
      </w:r>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 Государственный Комитет Обороны по докладной записке Л.П.</w:t>
      </w:r>
      <w:r w:rsidR="00997EDF" w:rsidRPr="00925F26">
        <w:rPr>
          <w:color w:val="000000" w:themeColor="text1"/>
          <w:sz w:val="16"/>
          <w:szCs w:val="16"/>
        </w:rPr>
        <w:t xml:space="preserve">  </w:t>
      </w:r>
      <w:r w:rsidRPr="00925F26">
        <w:rPr>
          <w:color w:val="000000" w:themeColor="text1"/>
          <w:sz w:val="16"/>
          <w:szCs w:val="16"/>
        </w:rPr>
        <w:t>Берии от 9 марта принял решение о производстве на заводе № 174 судовых дизелей М50 мощностью 1000</w:t>
      </w:r>
      <w:r w:rsidR="00997EDF" w:rsidRPr="00925F26">
        <w:rPr>
          <w:color w:val="000000" w:themeColor="text1"/>
          <w:sz w:val="16"/>
          <w:szCs w:val="16"/>
        </w:rPr>
        <w:t xml:space="preserve">  </w:t>
      </w:r>
      <w:r w:rsidRPr="00925F26">
        <w:rPr>
          <w:color w:val="000000" w:themeColor="text1"/>
          <w:sz w:val="16"/>
          <w:szCs w:val="16"/>
        </w:rPr>
        <w:t>с. для боевых катеров Военно-морского флота. Тогда же заводу присвоили новый номер 800. Директором был назначен С.А.Скачков, в</w:t>
      </w:r>
      <w:r w:rsidR="00997EDF" w:rsidRPr="00925F26">
        <w:rPr>
          <w:color w:val="000000" w:themeColor="text1"/>
          <w:sz w:val="16"/>
          <w:szCs w:val="16"/>
        </w:rPr>
        <w:t xml:space="preserve">  </w:t>
      </w:r>
      <w:r w:rsidRPr="00925F26">
        <w:rPr>
          <w:color w:val="000000" w:themeColor="text1"/>
          <w:sz w:val="16"/>
          <w:szCs w:val="16"/>
        </w:rPr>
        <w:t>1946</w:t>
      </w:r>
      <w:r w:rsidR="00997EDF" w:rsidRPr="00925F26">
        <w:rPr>
          <w:color w:val="000000" w:themeColor="text1"/>
          <w:sz w:val="16"/>
          <w:szCs w:val="16"/>
        </w:rPr>
        <w:t xml:space="preserve">  </w:t>
      </w:r>
      <w:r w:rsidRPr="00925F26">
        <w:rPr>
          <w:color w:val="000000" w:themeColor="text1"/>
          <w:sz w:val="16"/>
          <w:szCs w:val="16"/>
        </w:rPr>
        <w:t>г. его сменил Т.В.</w:t>
      </w:r>
      <w:r w:rsidR="00997EDF" w:rsidRPr="00925F26">
        <w:rPr>
          <w:color w:val="000000" w:themeColor="text1"/>
          <w:sz w:val="16"/>
          <w:szCs w:val="16"/>
        </w:rPr>
        <w:t xml:space="preserve">  </w:t>
      </w:r>
      <w:r w:rsidRPr="00925F26">
        <w:rPr>
          <w:color w:val="000000" w:themeColor="text1"/>
          <w:sz w:val="16"/>
          <w:szCs w:val="16"/>
        </w:rPr>
        <w:t>Филатов (19567).</w:t>
      </w:r>
    </w:p>
    <w:p w14:paraId="6A0DAA99" w14:textId="77777777" w:rsidR="00F8392F" w:rsidRPr="00925F26" w:rsidRDefault="00F8392F" w:rsidP="00925F26">
      <w:pPr>
        <w:jc w:val="both"/>
        <w:rPr>
          <w:color w:val="000000" w:themeColor="text1"/>
          <w:sz w:val="16"/>
          <w:szCs w:val="16"/>
        </w:rPr>
      </w:pPr>
    </w:p>
    <w:p w14:paraId="2956A27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BA2DAB5" w14:textId="77777777" w:rsidR="00665165" w:rsidRPr="00925F26" w:rsidRDefault="00665165" w:rsidP="00925F26">
      <w:pPr>
        <w:autoSpaceDE w:val="0"/>
        <w:autoSpaceDN w:val="0"/>
        <w:adjustRightInd w:val="0"/>
        <w:jc w:val="both"/>
        <w:rPr>
          <w:iCs/>
          <w:color w:val="000000" w:themeColor="text1"/>
          <w:sz w:val="16"/>
          <w:szCs w:val="16"/>
        </w:rPr>
      </w:pPr>
    </w:p>
    <w:p w14:paraId="31AD5627" w14:textId="77777777" w:rsidR="00C1740F" w:rsidRPr="00925F26" w:rsidRDefault="00C1740F" w:rsidP="00925F26">
      <w:pPr>
        <w:jc w:val="both"/>
        <w:rPr>
          <w:color w:val="000000" w:themeColor="text1"/>
          <w:sz w:val="16"/>
          <w:szCs w:val="16"/>
        </w:rPr>
      </w:pPr>
      <w:r w:rsidRPr="00925F26">
        <w:rPr>
          <w:bCs/>
          <w:color w:val="000000" w:themeColor="text1"/>
          <w:sz w:val="16"/>
          <w:szCs w:val="16"/>
        </w:rPr>
        <w:t>11 марта</w:t>
      </w:r>
      <w:r w:rsidRPr="00925F26">
        <w:rPr>
          <w:color w:val="000000" w:themeColor="text1"/>
          <w:sz w:val="16"/>
          <w:szCs w:val="16"/>
        </w:rPr>
        <w:t xml:space="preserve"> в 1945 году оперативная сводка Совинформбюро:</w:t>
      </w:r>
    </w:p>
    <w:p w14:paraId="61CEEE82" w14:textId="77777777" w:rsidR="00C1740F" w:rsidRPr="00925F26" w:rsidRDefault="00C1740F" w:rsidP="00925F26">
      <w:pPr>
        <w:jc w:val="both"/>
        <w:rPr>
          <w:color w:val="000000" w:themeColor="text1"/>
          <w:sz w:val="16"/>
          <w:szCs w:val="16"/>
        </w:rPr>
      </w:pPr>
      <w:r w:rsidRPr="00925F26">
        <w:rPr>
          <w:color w:val="000000" w:themeColor="text1"/>
          <w:sz w:val="16"/>
          <w:szCs w:val="16"/>
        </w:rPr>
        <w:t>«В течение 11 марта юго-восточнее Данцига наши войска, наступая на север вдоль восточного берега Вислы, заняли более 40 населённых пунктов и среди них: Бреске, Нойтайх, Айхвальде, Тралау, Гросс и Клайн-Лихтенау, Лиссау.</w:t>
      </w:r>
    </w:p>
    <w:p w14:paraId="5AA0D0FC" w14:textId="77777777" w:rsidR="00C1740F" w:rsidRPr="00925F26" w:rsidRDefault="00C1740F"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на Данцигском направлении, заняли город Леба и более 200 других населённых пунктов, в том числе крупные населённые пункты Келлн, Помичин, Старахутта, Лебно, Вишетцин, Гросс и Клайн Бошполь, Лузин, Зеелау, Гневин, Люблов. В боях за 10 марта войска фронта взяли в плен более 1.000 немецких солдат и офицеров.</w:t>
      </w:r>
    </w:p>
    <w:p w14:paraId="667E32A1" w14:textId="77777777" w:rsidR="00C1740F" w:rsidRPr="00925F26" w:rsidRDefault="00C1740F" w:rsidP="00925F26">
      <w:pPr>
        <w:jc w:val="both"/>
        <w:rPr>
          <w:color w:val="000000" w:themeColor="text1"/>
          <w:sz w:val="16"/>
          <w:szCs w:val="16"/>
        </w:rPr>
      </w:pPr>
      <w:r w:rsidRPr="00925F26">
        <w:rPr>
          <w:color w:val="000000" w:themeColor="text1"/>
          <w:sz w:val="16"/>
          <w:szCs w:val="16"/>
        </w:rPr>
        <w:t>В районе Кольберга наши войска вели бои по уничтожению гарнизона противника, блокированного в восточной части города. В боях за 10 марта в этом районе взято в плен свыше 1.600 немецких солдат и офицеров.</w:t>
      </w:r>
    </w:p>
    <w:p w14:paraId="12693796" w14:textId="77777777" w:rsidR="00C1740F" w:rsidRPr="00925F26" w:rsidRDefault="00C1740F"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наши войска вели бои, отбивая атаки крупных сил танков и пехоты противника. За 10 марта в этом районе огнём нашей артиллерии уничтожено 95 немецких танков и, кроме этого, подбито и подорвалось на наших минных полях 57 танков противника.</w:t>
      </w:r>
    </w:p>
    <w:p w14:paraId="69863AF3" w14:textId="77777777" w:rsidR="00C1740F" w:rsidRPr="00925F26" w:rsidRDefault="00C1740F" w:rsidP="00925F26">
      <w:pPr>
        <w:jc w:val="both"/>
        <w:rPr>
          <w:color w:val="000000" w:themeColor="text1"/>
          <w:sz w:val="16"/>
          <w:szCs w:val="16"/>
        </w:rPr>
      </w:pPr>
      <w:r w:rsidRPr="00925F26">
        <w:rPr>
          <w:color w:val="000000" w:themeColor="text1"/>
          <w:sz w:val="16"/>
          <w:szCs w:val="16"/>
        </w:rPr>
        <w:lastRenderedPageBreak/>
        <w:t>На других участках фронта — поиски разведчиков и в ряде пунктов бои местного значения.</w:t>
      </w:r>
    </w:p>
    <w:p w14:paraId="5D9064BA" w14:textId="77777777" w:rsidR="00C1740F" w:rsidRPr="00925F26" w:rsidRDefault="00C1740F" w:rsidP="00925F26">
      <w:pPr>
        <w:jc w:val="both"/>
        <w:rPr>
          <w:color w:val="000000" w:themeColor="text1"/>
          <w:sz w:val="16"/>
          <w:szCs w:val="16"/>
        </w:rPr>
      </w:pPr>
      <w:r w:rsidRPr="00925F26">
        <w:rPr>
          <w:color w:val="000000" w:themeColor="text1"/>
          <w:sz w:val="16"/>
          <w:szCs w:val="16"/>
        </w:rPr>
        <w:t>За 10 марта на всех фронтах подбито и уничтожено 187 немецких танков и самоходных орудий.</w:t>
      </w:r>
    </w:p>
    <w:p w14:paraId="0775155B" w14:textId="77777777" w:rsidR="00C1740F" w:rsidRPr="00925F26" w:rsidRDefault="00C1740F" w:rsidP="00925F26">
      <w:pPr>
        <w:jc w:val="both"/>
        <w:rPr>
          <w:color w:val="000000" w:themeColor="text1"/>
          <w:sz w:val="16"/>
          <w:szCs w:val="16"/>
        </w:rPr>
      </w:pPr>
      <w:r w:rsidRPr="00925F26">
        <w:rPr>
          <w:color w:val="000000" w:themeColor="text1"/>
          <w:sz w:val="16"/>
          <w:szCs w:val="16"/>
        </w:rPr>
        <w:t xml:space="preserve">Юго-восточнее Данцига наши войска с боями продвигались на север, вдоль восточного берега реки Вислы. Противник, используя для обороны </w:t>
      </w:r>
      <w:proofErr w:type="gramStart"/>
      <w:r w:rsidRPr="00925F26">
        <w:rPr>
          <w:color w:val="000000" w:themeColor="text1"/>
          <w:sz w:val="16"/>
          <w:szCs w:val="16"/>
        </w:rPr>
        <w:t>трудно проходимую</w:t>
      </w:r>
      <w:proofErr w:type="gramEnd"/>
      <w:r w:rsidRPr="00925F26">
        <w:rPr>
          <w:color w:val="000000" w:themeColor="text1"/>
          <w:sz w:val="16"/>
          <w:szCs w:val="16"/>
        </w:rPr>
        <w:t xml:space="preserve"> местность, изрезанную густой сетью каналов, оказывал упорное сопротивление. Минируя дороги и часто переходя в контратаки, немцы пытались задержать продвижение советских частей. Ожесточённые бои произошли на подступах к Нойтайх — узлу железных дорог и важному опорному пункту обороны немцев. Одна наша стрелковая часть обошла этот населённый пункт с сервера. Другие части нанесли врагу удар с юга и востока. После упорного боя Нойтайх очищен от противника. Уничтожено свыше батальона немецкой пехоты. Захвачено 18 орудий, 41 пулемёт, много винтовок, автоматов и боеприпасов.</w:t>
      </w:r>
    </w:p>
    <w:p w14:paraId="31C0F91C" w14:textId="77777777" w:rsidR="00C1740F" w:rsidRPr="00925F26" w:rsidRDefault="00C1740F"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на Данцигском направлении. Наши подвижные соединения и пехота, переправившись через канал Бренкенхоф, устремились на север. Противник сосредоточил в районе города Леба крупные силы и пытался удержать в своих руках этот важный опорный пункт, расположенный на побережье Балтийского моря. Советские части отразили ряд вражеских контратак, а затем нанесли немцам мощный удар и овладели городом Леба. Другие наши части, наступающие в восточном направлении, продвинулись вперёд на 20 километров и ведут бои на подступах к городу Нойштадт. Отступая под ударами наших войск, противник несёт тяжёлые потери. По неполным данным, за день боев истреблено свыше 2.500 немецких солдат и офицеров. Захвачены трофеи, в числе которых 23 танка, 51 паровоз, 12 железнодорожных эшелонов, 1.700 повозок с грузами и 21 склад с военным имуществом.</w:t>
      </w:r>
    </w:p>
    <w:p w14:paraId="532171BA" w14:textId="77777777" w:rsidR="00C1740F" w:rsidRPr="00925F26" w:rsidRDefault="00C1740F" w:rsidP="00925F26">
      <w:pPr>
        <w:jc w:val="both"/>
        <w:rPr>
          <w:color w:val="000000" w:themeColor="text1"/>
          <w:sz w:val="16"/>
          <w:szCs w:val="16"/>
        </w:rPr>
      </w:pPr>
      <w:r w:rsidRPr="00925F26">
        <w:rPr>
          <w:color w:val="000000" w:themeColor="text1"/>
          <w:sz w:val="16"/>
          <w:szCs w:val="16"/>
        </w:rPr>
        <w:t>В боях с немецкими захватчиками советские бойцы проявляют доблесть и геройство. Старшина Дмитриев во главе группы разведчиков прорвался в тыл противника к мосту, который охраняли немецкие сапёры. Наши разведчики внезапно напали на гитлеровцев, часть из них уничтожили, а остальных взяли в плен. Подразделение сапёров под командованием старшего сержанта Резвых сопровождало группу танков. Дорогу советским танкам преградил противотанковый ров. Под сильным огнём противника сапёры засыпали ров и расчистили путь танкам. Продвигаясь вперёд, бойцы подразделения встретили группу гитлеровцев и вступили с ними в бой. Огнём из автоматов сапёры уничтожили 30 немцев.</w:t>
      </w:r>
    </w:p>
    <w:p w14:paraId="4514BC25" w14:textId="77777777" w:rsidR="00C1740F" w:rsidRPr="00925F26" w:rsidRDefault="00C1740F" w:rsidP="00925F26">
      <w:pPr>
        <w:jc w:val="both"/>
        <w:rPr>
          <w:color w:val="000000" w:themeColor="text1"/>
          <w:sz w:val="16"/>
          <w:szCs w:val="16"/>
        </w:rPr>
      </w:pPr>
      <w:r w:rsidRPr="00925F26">
        <w:rPr>
          <w:color w:val="000000" w:themeColor="text1"/>
          <w:sz w:val="16"/>
          <w:szCs w:val="16"/>
        </w:rPr>
        <w:t>В районе города Кольберг наши войска вели бои по ликвидации окружённого гарнизона противника. Стремительно продвигаясь вперёд, части Н-ского соединения вышли на побережье Балтийского моря западнее Кольберга и отрезали вражескому гарнизону пути отхода. Стремительными ударами наши бойцы очистили от противника западную часть города. Другие наши подразделения ночью ворвались на восточную окраину Кольберта. Многочисленный немецкий гарнизон, зажатый в тиски, яростно сопротивляется. Наши штурмовые группы очищают от врага улицу за улицей. Захвачено у немцев много вооружения и склады боеприпасов.</w:t>
      </w:r>
    </w:p>
    <w:p w14:paraId="4782AD89" w14:textId="77777777" w:rsidR="00C1740F" w:rsidRPr="00925F26" w:rsidRDefault="00C1740F"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наши войска отбивали атаки крупных сил танков и пехоты противника. Взятые в плен немцы показывают, что они имеют приказ любой ценой выйти к Дунаю. Немецкие танки и бронетранспортёры с автоматчиками, отбрасываемые мощным огнём советской артиллерии, снова и снова на больших скоростях устремляются в атаку, стремясь прорваться через боевые порядки наших войск. Советские пехотинцы, артиллеристы и бронебойщики мужественно отражают вражеские атаки. За день боёв уничтожено свыше 2.000 немецких солдат и офицеров. На подступах к нашим позициям осталось много подбитых и сожжённых танков, самоходных орудий и бронетранспортёров противника.» (15065).</w:t>
      </w:r>
    </w:p>
    <w:p w14:paraId="7B482F4B" w14:textId="77777777" w:rsidR="00C1740F" w:rsidRPr="00925F26" w:rsidRDefault="00C1740F" w:rsidP="00925F26">
      <w:pPr>
        <w:jc w:val="both"/>
        <w:rPr>
          <w:color w:val="000000" w:themeColor="text1"/>
          <w:sz w:val="16"/>
          <w:szCs w:val="16"/>
        </w:rPr>
      </w:pPr>
    </w:p>
    <w:p w14:paraId="1B4B37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возле Бреслау был организован ложный аэродром, на который до 25 апреля немецкие л сбросили 388 парашютов с грузами для осажденного гарнизона, посадили 65 Ю-52 и 4 планера. всего получили 140 т. Плюс 16 Ю-52 было сбито (438,935).</w:t>
      </w:r>
    </w:p>
    <w:p w14:paraId="2FAB47F2" w14:textId="77777777" w:rsidR="00665165" w:rsidRPr="00925F26" w:rsidRDefault="00665165" w:rsidP="00925F26">
      <w:pPr>
        <w:autoSpaceDE w:val="0"/>
        <w:autoSpaceDN w:val="0"/>
        <w:adjustRightInd w:val="0"/>
        <w:jc w:val="both"/>
        <w:rPr>
          <w:color w:val="000000" w:themeColor="text1"/>
          <w:sz w:val="16"/>
          <w:szCs w:val="16"/>
        </w:rPr>
      </w:pPr>
    </w:p>
    <w:p w14:paraId="58F3D1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11 февраля до 5 мая 1945 г. на город, превращенный нацистами в мощную крепость, было направлено 1786 вылетов самолетов Пе-2, сброшено 1569,7 т бомб, преимущественно крупных калибров. Здесь 11 февраля при выполнении 157 боевого вылета в кабине "петлякова" погиб командир корпуса генерал-майор И.С. Полбин, самолет которого был сбит при пикировании прямым попаданием зенитного снаряда и упал на окраине Бреслау; судьбу летчика разделил главный штурман 6-го гв. бак подполковник М.К.Зарукин.</w:t>
      </w:r>
    </w:p>
    <w:p w14:paraId="1CC84D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Погиб командир-новатор, сыгравший особую роль в судьбе самолета Пе-2. Генерал Полбин, которого посмертно вторично удостоили звания Героя Советского Союза, "был храбрым, я бы даже сказал - безумно храбрым человеком, - вспоминал маршал И.С. Конев. - Причем эта храбрость сочеталась у него с высокими командирскими и организаторскими качествами. Всю войну он продолжал летать на выполнение боевых задач, особенно когда это были задачи крупные, ответственные или особо опасные...".</w:t>
      </w:r>
    </w:p>
    <w:p w14:paraId="4B47A0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Многие ветераны корпуса с исключительной теплотой отзывались об Иване Семеновиче. Герой Советского Союза Н.И. Га- пеенок вспоминал, как в их 81-гв бап, стоящий на аэродроме Бабки, 29 апреля 1943 г. неожиданно прилетел командир корпуса, приказав построить личный состав. "На этом построении, - рассказывал Николай Иванович, - полковник Полбин после приветствия объявил, что с полком он знакомиться будет не в строю, а примет его в бою", после чего поставил командиру части боевую задачу. Командир корпуса внимательно наблюдал за ходом подготовки к вылету, возглавил группу из 18 Пе-2, а после приземления провел тщательный разбор полета, отметив удачные действия и указав на допущенные ошибки, уделив особое внимание экипажам, впервые выполнявшим в тот день боевое задание.</w:t>
      </w:r>
    </w:p>
    <w:p w14:paraId="15EF01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 Полбин настойчиво внедрял среди подчиненных убеждение, что на "пешках" необходимо уничтожать врага именно с пикирования, многие рекомендации и заключения сделал на основе собственного опыта.</w:t>
      </w:r>
    </w:p>
    <w:p w14:paraId="0D1A63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Он считал бомбардировщик В.М. Петлякова не только лучшим самолетом такого класса в Советском Союзе, но и среди зарубежных аналогов. В выводах отчета он указывал: "Самолет Пе-2 очень удачен как пикирующий бомбардировщик, с большим запасом прочности конструкции самолета. При пикировании до приборной скорости 600 км/ч вибраций консолей не наблюдается, в пикировании устойчив. Это качество особенно важно при нанесении удара группой и при поражении малоразмерных целей. Выделяется в лучшую сторону по сравнению с Ту-2, который неустойчиво пикирует и неохотно входит в пикирование..."</w:t>
      </w:r>
    </w:p>
    <w:p w14:paraId="487075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Воспитанный генералом Полбиным личный состав корпуса сильно отличался от экипажей, начавших воевать в корпусе в 1942-1943 гг. Прежде всего они хорошо освоили боевую машину Пе-2, знали ее сильные и слабые стороны. Средняя бомбовая нагрузка самолета возросла с 680 кг до 826 кг в 1944 г. и 880 кг в 1945 г. Поскольку бомбометание с пикирования стало основным способом боевых действий, на всех самолетах авиакорпуса кнопка бомбосбрасывателя была переставлена на штурвал пилота, а на большинстве машин демонтированы внутренние бомбовые замки. Практически все полеты (если быть точным, то 97% на заключительном этапе войны) выполнялись с включенным радиополукомпасом. В Берлинской операции 6-й гв. бак, которым стал командовать полковник Д.Т. Никишин, выполнил 3479 боевых вылетов, сбросил на го- Дежурство на земле ловы врага 3580 т бомб, потеряв всего 18 "пе шек", 13 из которых от огня с земли (12042).</w:t>
      </w:r>
    </w:p>
    <w:p w14:paraId="1D4DA3FC" w14:textId="77777777" w:rsidR="00665165" w:rsidRPr="00925F26" w:rsidRDefault="00665165" w:rsidP="00925F26">
      <w:pPr>
        <w:autoSpaceDE w:val="0"/>
        <w:autoSpaceDN w:val="0"/>
        <w:adjustRightInd w:val="0"/>
        <w:jc w:val="both"/>
        <w:rPr>
          <w:color w:val="000000" w:themeColor="text1"/>
          <w:sz w:val="16"/>
          <w:szCs w:val="16"/>
        </w:rPr>
      </w:pPr>
    </w:p>
    <w:p w14:paraId="4698CEB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F3E3577" w14:textId="77777777" w:rsidR="00665165" w:rsidRPr="00925F26" w:rsidRDefault="00665165" w:rsidP="00925F26">
      <w:pPr>
        <w:autoSpaceDE w:val="0"/>
        <w:autoSpaceDN w:val="0"/>
        <w:adjustRightInd w:val="0"/>
        <w:jc w:val="both"/>
        <w:rPr>
          <w:iCs/>
          <w:color w:val="000000" w:themeColor="text1"/>
          <w:sz w:val="16"/>
          <w:szCs w:val="16"/>
        </w:rPr>
      </w:pPr>
    </w:p>
    <w:p w14:paraId="1A604F5A" w14:textId="77777777" w:rsidR="00CE1517" w:rsidRPr="00925F26" w:rsidRDefault="00CE1517" w:rsidP="00925F26">
      <w:pPr>
        <w:jc w:val="both"/>
        <w:rPr>
          <w:color w:val="000000" w:themeColor="text1"/>
          <w:sz w:val="16"/>
          <w:szCs w:val="16"/>
        </w:rPr>
      </w:pPr>
      <w:r w:rsidRPr="00925F26">
        <w:rPr>
          <w:color w:val="000000" w:themeColor="text1"/>
          <w:sz w:val="16"/>
          <w:szCs w:val="16"/>
        </w:rPr>
        <w:t>11 марта 1945 пилот Люфтваффе Гельмут Герстенхауэр и два вторых пилота прибывают в Вердер, Германия, завершая полет на вертолете Focke-Achgelis Fa 223, начатый из аэропорта Темпельхоф в Берлине 26 февраля, нНаправляясь в Данциг. Проблемы с навигацией и плохая погода вынуждают их остановиться в Крайльсхайме, Вюрцбурге и Майнингене 26 февраля, в Вердере 27 февраля (до которого они достигают после 315-километрового (196-мильного) полета из Майнингена), Пренцлау 28 февраля. 1 марта 1945, прежде чем окончательно покинуть Штольп 5 марта и прибыть в Данциг позже в тот же день после полета над территорией наступающей Советской Армией, Получив приказ вернуться в Вердер, они совершают длительный перелет из Данцига в Вердер через Гарц . Всего за 13 дней путешествия было преодолено 1675 километров (1041 миль) - неофициальный рекорд для вертолетов на то время - при времени полета 16 часов 25 минут (20371).</w:t>
      </w:r>
    </w:p>
    <w:p w14:paraId="7BD0EEA2" w14:textId="77777777" w:rsidR="00CE1517" w:rsidRPr="00925F26" w:rsidRDefault="00CE1517" w:rsidP="00925F26">
      <w:pPr>
        <w:jc w:val="both"/>
        <w:rPr>
          <w:color w:val="000000" w:themeColor="text1"/>
          <w:sz w:val="16"/>
          <w:szCs w:val="16"/>
        </w:rPr>
      </w:pPr>
    </w:p>
    <w:p w14:paraId="4095F5E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марта 1945 авиация союзников разбомбила заводы Круппа в Эссене (4962).</w:t>
      </w:r>
    </w:p>
    <w:p w14:paraId="5407EA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EB078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в ходе одной операции на одну цель, Эссен, 1079 бомбардировщиков сбросили 4738 т бомб (2255).</w:t>
      </w:r>
    </w:p>
    <w:p w14:paraId="6305D5A8" w14:textId="77777777" w:rsidR="00665165" w:rsidRPr="00925F26" w:rsidRDefault="00665165" w:rsidP="00925F26">
      <w:pPr>
        <w:autoSpaceDE w:val="0"/>
        <w:autoSpaceDN w:val="0"/>
        <w:adjustRightInd w:val="0"/>
        <w:jc w:val="both"/>
        <w:rPr>
          <w:color w:val="000000" w:themeColor="text1"/>
          <w:sz w:val="16"/>
          <w:szCs w:val="16"/>
        </w:rPr>
      </w:pPr>
    </w:p>
    <w:p w14:paraId="71E27A6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March 11th, 1945: The US third Army captures Kochem on the lower </w:t>
      </w:r>
      <w:proofErr w:type="gramStart"/>
      <w:r w:rsidRPr="00925F26">
        <w:rPr>
          <w:color w:val="000000" w:themeColor="text1"/>
          <w:sz w:val="16"/>
          <w:szCs w:val="16"/>
          <w:lang w:val="en-US"/>
        </w:rPr>
        <w:t>Moselle river</w:t>
      </w:r>
      <w:proofErr w:type="gramEnd"/>
      <w:r w:rsidRPr="00925F26">
        <w:rPr>
          <w:color w:val="000000" w:themeColor="text1"/>
          <w:sz w:val="16"/>
          <w:szCs w:val="16"/>
          <w:lang w:val="en-US"/>
        </w:rPr>
        <w:t>. In the East, the Red Army approaches Gotenhafen, closing a vital port of embarkation for tens of thousands of refugees from East Prussia who are now heading for the Hela peninsula (3819).</w:t>
      </w:r>
    </w:p>
    <w:p w14:paraId="187DA7BE" w14:textId="77777777" w:rsidR="00665165" w:rsidRPr="00925F26" w:rsidRDefault="00665165" w:rsidP="00925F26">
      <w:pPr>
        <w:autoSpaceDE w:val="0"/>
        <w:autoSpaceDN w:val="0"/>
        <w:adjustRightInd w:val="0"/>
        <w:jc w:val="both"/>
        <w:rPr>
          <w:color w:val="000000" w:themeColor="text1"/>
          <w:sz w:val="16"/>
          <w:szCs w:val="16"/>
          <w:lang w:val="en-US"/>
        </w:rPr>
      </w:pPr>
    </w:p>
    <w:p w14:paraId="2798E9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3А США захватила Кочем в нижнем течении Мозуля. КА подошла к Готенхаффену, отрезав десятки тысяч беженцев из Восточной Пруссии (3819).</w:t>
      </w:r>
    </w:p>
    <w:p w14:paraId="3030BCE9" w14:textId="77777777" w:rsidR="00665165" w:rsidRPr="00925F26" w:rsidRDefault="00665165" w:rsidP="00925F26">
      <w:pPr>
        <w:autoSpaceDE w:val="0"/>
        <w:autoSpaceDN w:val="0"/>
        <w:adjustRightInd w:val="0"/>
        <w:jc w:val="both"/>
        <w:rPr>
          <w:color w:val="000000" w:themeColor="text1"/>
          <w:sz w:val="16"/>
          <w:szCs w:val="16"/>
        </w:rPr>
      </w:pPr>
    </w:p>
    <w:p w14:paraId="58CC0ACA" w14:textId="77777777" w:rsidR="00C1740F" w:rsidRPr="00925F26" w:rsidRDefault="00C1740F" w:rsidP="00925F26">
      <w:pPr>
        <w:jc w:val="both"/>
        <w:rPr>
          <w:color w:val="000000" w:themeColor="text1"/>
          <w:sz w:val="16"/>
          <w:szCs w:val="16"/>
        </w:rPr>
      </w:pPr>
      <w:r w:rsidRPr="00925F26">
        <w:rPr>
          <w:bCs/>
          <w:color w:val="000000" w:themeColor="text1"/>
          <w:sz w:val="16"/>
          <w:szCs w:val="16"/>
        </w:rPr>
        <w:t>11 марта</w:t>
      </w:r>
      <w:r w:rsidRPr="00925F26">
        <w:rPr>
          <w:color w:val="000000" w:themeColor="text1"/>
          <w:sz w:val="16"/>
          <w:szCs w:val="16"/>
        </w:rPr>
        <w:t xml:space="preserve"> в 1945 году Швейцария прекратила транзитное сообщение с Германией, поставки электроэнергии и ряда стратегических товаров, а также заморозила германские активы в швейцарских банках. Однако, последняя мера не коснулась «номерных счетов» - анонимных вкладов германских руководителей (15065).</w:t>
      </w:r>
    </w:p>
    <w:p w14:paraId="26C6C08D" w14:textId="77777777" w:rsidR="00C1740F" w:rsidRPr="00925F26" w:rsidRDefault="00C1740F" w:rsidP="00925F26">
      <w:pPr>
        <w:jc w:val="both"/>
        <w:rPr>
          <w:color w:val="000000" w:themeColor="text1"/>
          <w:sz w:val="16"/>
          <w:szCs w:val="16"/>
        </w:rPr>
      </w:pPr>
    </w:p>
    <w:p w14:paraId="31D59A8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11-18, 1945 - During these eight days fire raids with similar tactics are launched on Nagoya, Osaka, and Kobe; the second, third, and fourth largest cities in Japan. An additional 16 square miles of city are burned, killing more than 50,000 people (1039).</w:t>
      </w:r>
    </w:p>
    <w:p w14:paraId="6A969E9C" w14:textId="77777777" w:rsidR="00665165" w:rsidRPr="00925F26" w:rsidRDefault="00665165" w:rsidP="00925F26">
      <w:pPr>
        <w:autoSpaceDE w:val="0"/>
        <w:autoSpaceDN w:val="0"/>
        <w:adjustRightInd w:val="0"/>
        <w:jc w:val="both"/>
        <w:rPr>
          <w:color w:val="000000" w:themeColor="text1"/>
          <w:sz w:val="16"/>
          <w:szCs w:val="16"/>
          <w:lang w:val="en-US"/>
        </w:rPr>
      </w:pPr>
    </w:p>
    <w:p w14:paraId="2F4FB7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11-18 марта 1945 бомбардировкам зажигательными бомбами подверглись Нагоя, Окинава, Кобе. Погибло 50 тыс. чел. (1039).</w:t>
      </w:r>
    </w:p>
    <w:p w14:paraId="204E6AEA" w14:textId="77777777" w:rsidR="00665165" w:rsidRPr="00925F26" w:rsidRDefault="00665165" w:rsidP="00925F26">
      <w:pPr>
        <w:autoSpaceDE w:val="0"/>
        <w:autoSpaceDN w:val="0"/>
        <w:adjustRightInd w:val="0"/>
        <w:jc w:val="both"/>
        <w:rPr>
          <w:color w:val="000000" w:themeColor="text1"/>
          <w:sz w:val="16"/>
          <w:szCs w:val="16"/>
        </w:rPr>
      </w:pPr>
    </w:p>
    <w:p w14:paraId="7B68589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D1C756B" w14:textId="77777777" w:rsidR="00665165" w:rsidRPr="00925F26" w:rsidRDefault="00665165" w:rsidP="00925F26">
      <w:pPr>
        <w:autoSpaceDE w:val="0"/>
        <w:autoSpaceDN w:val="0"/>
        <w:adjustRightInd w:val="0"/>
        <w:jc w:val="both"/>
        <w:rPr>
          <w:iCs/>
          <w:color w:val="000000" w:themeColor="text1"/>
          <w:sz w:val="16"/>
          <w:szCs w:val="16"/>
        </w:rPr>
      </w:pPr>
    </w:p>
    <w:p w14:paraId="77D189C5" w14:textId="77777777" w:rsidR="00C1740F" w:rsidRPr="00925F26" w:rsidRDefault="00C1740F" w:rsidP="00925F26">
      <w:pPr>
        <w:pStyle w:val="a3"/>
        <w:rPr>
          <w:color w:val="000000" w:themeColor="text1"/>
          <w:lang w:val="ru-RU"/>
        </w:rPr>
      </w:pPr>
      <w:r w:rsidRPr="00925F26">
        <w:rPr>
          <w:color w:val="000000" w:themeColor="text1"/>
          <w:lang w:val="ru-RU"/>
        </w:rPr>
        <w:t>12 марта 1945 заместитель начальника института генерал- лейтенант М.В. Гуревич утвердил Отчёт по госиспытаниям прицела ПШ-3 (перископический стрелково-бомбардировочноный прицел, который позволял</w:t>
      </w:r>
      <w:r w:rsidRPr="00925F26">
        <w:rPr>
          <w:rStyle w:val="284"/>
          <w:rFonts w:ascii="Times New Roman" w:hAnsi="Times New Roman" w:cs="Times New Roman"/>
          <w:i w:val="0"/>
          <w:color w:val="000000" w:themeColor="text1"/>
          <w:sz w:val="16"/>
          <w:szCs w:val="16"/>
          <w:lang w:val="ru-RU"/>
        </w:rPr>
        <w:t xml:space="preserve"> «заглянуть под себя и наблюдать цель в</w:t>
      </w:r>
      <w:r w:rsidRPr="00925F26">
        <w:rPr>
          <w:color w:val="000000" w:themeColor="text1"/>
          <w:lang w:val="ru-RU"/>
        </w:rPr>
        <w:t xml:space="preserve"> момент</w:t>
      </w:r>
      <w:r w:rsidRPr="00925F26">
        <w:rPr>
          <w:rStyle w:val="284"/>
          <w:rFonts w:ascii="Times New Roman" w:hAnsi="Times New Roman" w:cs="Times New Roman"/>
          <w:i w:val="0"/>
          <w:color w:val="000000" w:themeColor="text1"/>
          <w:sz w:val="16"/>
          <w:szCs w:val="16"/>
          <w:lang w:val="ru-RU"/>
        </w:rPr>
        <w:t xml:space="preserve"> атаки»</w:t>
      </w:r>
      <w:r w:rsidRPr="00925F26">
        <w:rPr>
          <w:color w:val="000000" w:themeColor="text1"/>
          <w:lang w:val="ru-RU"/>
        </w:rPr>
        <w:t>), разработанного заводом № 589 НКВ.</w:t>
      </w:r>
    </w:p>
    <w:p w14:paraId="3C9F4D2B" w14:textId="77777777" w:rsidR="00C1740F" w:rsidRPr="00925F26" w:rsidRDefault="00C1740F" w:rsidP="00925F26">
      <w:pPr>
        <w:pStyle w:val="a3"/>
        <w:rPr>
          <w:color w:val="000000" w:themeColor="text1"/>
          <w:lang w:val="ru-RU"/>
        </w:rPr>
      </w:pPr>
      <w:r w:rsidRPr="00925F26">
        <w:rPr>
          <w:color w:val="000000" w:themeColor="text1"/>
          <w:lang w:val="ru-RU"/>
        </w:rPr>
        <w:t>Прицела ПШ-3 в целом успешно прошёл государственные испытания на самолёте Ил-2 (зав. № 0944) в ГК НИИ ВВС.</w:t>
      </w:r>
    </w:p>
    <w:p w14:paraId="4660352D" w14:textId="77777777" w:rsidR="00C1740F" w:rsidRPr="00925F26" w:rsidRDefault="00C1740F" w:rsidP="00925F26">
      <w:pPr>
        <w:pStyle w:val="a3"/>
        <w:rPr>
          <w:color w:val="000000" w:themeColor="text1"/>
          <w:lang w:val="ru-RU"/>
        </w:rPr>
      </w:pPr>
      <w:r w:rsidRPr="00925F26">
        <w:rPr>
          <w:color w:val="000000" w:themeColor="text1"/>
          <w:lang w:val="ru-RU"/>
        </w:rPr>
        <w:t>В состав испытательной бригады входили: ведущий инженер по испытаниям - инженер-май</w:t>
      </w:r>
      <w:r w:rsidRPr="00925F26">
        <w:rPr>
          <w:color w:val="000000" w:themeColor="text1"/>
          <w:lang w:val="ru-RU"/>
        </w:rPr>
        <w:softHyphen/>
        <w:t>ор С.М. Лавров, его помощник старший техник-лейтенант А.Г. Гречишников, ведущий лётчик - подполковник Н.И. Звонарёв. От завода № 589 НКВ в испытаниях участвовал техник-инженер Н.И. Чижов.</w:t>
      </w:r>
    </w:p>
    <w:p w14:paraId="73E4CEEB" w14:textId="77777777" w:rsidR="00C1740F" w:rsidRPr="00925F26" w:rsidRDefault="00C1740F" w:rsidP="00925F26">
      <w:pPr>
        <w:pStyle w:val="a3"/>
        <w:rPr>
          <w:color w:val="000000" w:themeColor="text1"/>
          <w:lang w:val="ru-RU"/>
        </w:rPr>
      </w:pPr>
      <w:r w:rsidRPr="00925F26">
        <w:rPr>
          <w:color w:val="000000" w:themeColor="text1"/>
          <w:lang w:val="ru-RU"/>
        </w:rPr>
        <w:t>Прицел опробовали лётчики Управления авиавооружения ГК НИИ ВВС: майор А.В. Куса- кин, майор И.А. Доброскокин, старший лейтенант П.В. Романов и техник-испытатель старший техник-лейтенант Д.Г. Винокуров.</w:t>
      </w:r>
    </w:p>
    <w:p w14:paraId="2BE309D4" w14:textId="77777777" w:rsidR="00C1740F" w:rsidRPr="00925F26" w:rsidRDefault="00C1740F" w:rsidP="00925F26">
      <w:pPr>
        <w:pStyle w:val="a3"/>
        <w:rPr>
          <w:color w:val="000000" w:themeColor="text1"/>
          <w:lang w:val="ru-RU"/>
        </w:rPr>
      </w:pPr>
      <w:r w:rsidRPr="00925F26">
        <w:rPr>
          <w:color w:val="000000" w:themeColor="text1"/>
          <w:lang w:val="ru-RU"/>
        </w:rPr>
        <w:t>Прицел ПШ-3 рассчитывался для применения на штурмовом самолёте Ил-10. Но для уско</w:t>
      </w:r>
      <w:r w:rsidRPr="00925F26">
        <w:rPr>
          <w:color w:val="000000" w:themeColor="text1"/>
          <w:lang w:val="ru-RU"/>
        </w:rPr>
        <w:softHyphen/>
        <w:t>рения доводки и постановки прицела на вооружение решили его испытать на Ил-2.</w:t>
      </w:r>
    </w:p>
    <w:p w14:paraId="3FFCD89E" w14:textId="77777777" w:rsidR="00C1740F" w:rsidRPr="00925F26" w:rsidRDefault="00C1740F" w:rsidP="00925F26">
      <w:pPr>
        <w:pStyle w:val="a3"/>
        <w:rPr>
          <w:color w:val="000000" w:themeColor="text1"/>
          <w:lang w:val="ru-RU"/>
        </w:rPr>
      </w:pPr>
      <w:r w:rsidRPr="00925F26">
        <w:rPr>
          <w:color w:val="000000" w:themeColor="text1"/>
          <w:lang w:val="ru-RU"/>
        </w:rPr>
        <w:t>ПШ-3 обеспечивал прицельное бомбометание с горизонтального и пикирующего (пла</w:t>
      </w:r>
      <w:r w:rsidRPr="00925F26">
        <w:rPr>
          <w:color w:val="000000" w:themeColor="text1"/>
          <w:lang w:val="ru-RU"/>
        </w:rPr>
        <w:softHyphen/>
        <w:t>нирующего) полётов. Прицельные данные вырабатывались автоматически в зависимости от установки лётчиком исходных данных - высоты и путевой скорости полёта при бомбометании с горизонтального полёта, высоты ввода в пикирование при бомбометании с пикирования (ско</w:t>
      </w:r>
      <w:r w:rsidRPr="00925F26">
        <w:rPr>
          <w:color w:val="000000" w:themeColor="text1"/>
          <w:lang w:val="ru-RU"/>
        </w:rPr>
        <w:softHyphen/>
        <w:t>рость ввода в пикирование постоянная). Кроме бомбометания, прицел ПШ-3 использовался для стрельбы из стрелково-пушечного и ракетного оружия.</w:t>
      </w:r>
    </w:p>
    <w:p w14:paraId="620EEDA1" w14:textId="77777777" w:rsidR="00C1740F" w:rsidRPr="00925F26" w:rsidRDefault="00C1740F" w:rsidP="00925F26">
      <w:pPr>
        <w:pStyle w:val="a3"/>
        <w:rPr>
          <w:color w:val="000000" w:themeColor="text1"/>
          <w:lang w:val="ru-RU"/>
        </w:rPr>
      </w:pPr>
      <w:r w:rsidRPr="00925F26">
        <w:rPr>
          <w:color w:val="000000" w:themeColor="text1"/>
          <w:lang w:val="ru-RU"/>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 от линии го</w:t>
      </w:r>
      <w:r w:rsidRPr="00925F26">
        <w:rPr>
          <w:color w:val="000000" w:themeColor="text1"/>
          <w:lang w:val="ru-RU"/>
        </w:rPr>
        <w:softHyphen/>
        <w:t>ризонта. Угол поля зрения при удале</w:t>
      </w:r>
      <w:r w:rsidRPr="00925F26">
        <w:rPr>
          <w:color w:val="000000" w:themeColor="text1"/>
          <w:lang w:val="ru-RU"/>
        </w:rPr>
        <w:softHyphen/>
        <w:t>нии глаза лётчика от окуляра 30 мм равнялся 23°, увеличения не было, диаметр объектива - 40 мм, вынос плоскости визирования относительно центра окуляра - 680 мм. Ветровой снос не учитывался: предлагалось за</w:t>
      </w:r>
      <w:r w:rsidRPr="00925F26">
        <w:rPr>
          <w:color w:val="000000" w:themeColor="text1"/>
          <w:lang w:val="ru-RU"/>
        </w:rPr>
        <w:softHyphen/>
        <w:t>ходить на цель по или против направ</w:t>
      </w:r>
      <w:r w:rsidRPr="00925F26">
        <w:rPr>
          <w:color w:val="000000" w:themeColor="text1"/>
          <w:lang w:val="ru-RU"/>
        </w:rPr>
        <w:softHyphen/>
        <w:t>ления ветра.</w:t>
      </w:r>
    </w:p>
    <w:p w14:paraId="71BF1739" w14:textId="77777777" w:rsidR="00C1740F" w:rsidRPr="00925F26" w:rsidRDefault="00C1740F" w:rsidP="00925F26">
      <w:pPr>
        <w:pStyle w:val="a3"/>
        <w:rPr>
          <w:color w:val="000000" w:themeColor="text1"/>
          <w:lang w:val="ru-RU"/>
        </w:rPr>
      </w:pPr>
      <w:r w:rsidRPr="00925F26">
        <w:rPr>
          <w:color w:val="000000" w:themeColor="text1"/>
          <w:lang w:val="ru-RU"/>
        </w:rPr>
        <w:t>Габариты прицела с выдвину</w:t>
      </w:r>
      <w:r w:rsidRPr="00925F26">
        <w:rPr>
          <w:color w:val="000000" w:themeColor="text1"/>
          <w:lang w:val="ru-RU"/>
        </w:rPr>
        <w:softHyphen/>
        <w:t>той окулярной частью составляли 750</w:t>
      </w:r>
      <w:r w:rsidRPr="00925F26">
        <w:rPr>
          <w:color w:val="000000" w:themeColor="text1"/>
        </w:rPr>
        <w:t>x</w:t>
      </w:r>
      <w:r w:rsidRPr="00925F26">
        <w:rPr>
          <w:color w:val="000000" w:themeColor="text1"/>
          <w:lang w:val="ru-RU"/>
        </w:rPr>
        <w:t>152</w:t>
      </w:r>
      <w:r w:rsidRPr="00925F26">
        <w:rPr>
          <w:color w:val="000000" w:themeColor="text1"/>
        </w:rPr>
        <w:t>x</w:t>
      </w:r>
      <w:r w:rsidRPr="00925F26">
        <w:rPr>
          <w:color w:val="000000" w:themeColor="text1"/>
          <w:lang w:val="ru-RU"/>
        </w:rPr>
        <w:t>120 мм, с убранной - 640</w:t>
      </w:r>
      <w:r w:rsidRPr="00925F26">
        <w:rPr>
          <w:color w:val="000000" w:themeColor="text1"/>
        </w:rPr>
        <w:t>x</w:t>
      </w:r>
      <w:r w:rsidRPr="00925F26">
        <w:rPr>
          <w:color w:val="000000" w:themeColor="text1"/>
          <w:lang w:val="ru-RU"/>
        </w:rPr>
        <w:t>152</w:t>
      </w:r>
      <w:r w:rsidRPr="00925F26">
        <w:rPr>
          <w:color w:val="000000" w:themeColor="text1"/>
        </w:rPr>
        <w:t>x</w:t>
      </w:r>
      <w:r w:rsidRPr="00925F26">
        <w:rPr>
          <w:color w:val="000000" w:themeColor="text1"/>
          <w:lang w:val="ru-RU"/>
        </w:rPr>
        <w:t>120 мм. Вес прицела - всего 4,5 кг.</w:t>
      </w:r>
    </w:p>
    <w:p w14:paraId="4AEAC876" w14:textId="77777777" w:rsidR="00C1740F" w:rsidRPr="00925F26" w:rsidRDefault="00C1740F" w:rsidP="00925F26">
      <w:pPr>
        <w:pStyle w:val="a3"/>
        <w:rPr>
          <w:color w:val="000000" w:themeColor="text1"/>
          <w:lang w:val="ru-RU"/>
        </w:rPr>
      </w:pPr>
      <w:r w:rsidRPr="00925F26">
        <w:rPr>
          <w:color w:val="000000" w:themeColor="text1"/>
          <w:lang w:val="ru-RU"/>
        </w:rPr>
        <w:t>Рабочий диапазон при бомбо</w:t>
      </w:r>
      <w:r w:rsidRPr="00925F26">
        <w:rPr>
          <w:color w:val="000000" w:themeColor="text1"/>
          <w:lang w:val="ru-RU"/>
        </w:rPr>
        <w:softHyphen/>
        <w:t>метании с горизонтального полёта составлял: высота 100-1400 м, ско</w:t>
      </w:r>
      <w:r w:rsidRPr="00925F26">
        <w:rPr>
          <w:color w:val="000000" w:themeColor="text1"/>
          <w:lang w:val="ru-RU"/>
        </w:rPr>
        <w:softHyphen/>
        <w:t>рость полёта 350-550 км/ч. Приня</w:t>
      </w:r>
      <w:r w:rsidRPr="00925F26">
        <w:rPr>
          <w:color w:val="000000" w:themeColor="text1"/>
          <w:lang w:val="ru-RU"/>
        </w:rPr>
        <w:softHyphen/>
        <w:t>тое в расчётах характеристическое время падения бомбы - 20,37 сек.</w:t>
      </w:r>
    </w:p>
    <w:p w14:paraId="2C19404B" w14:textId="77777777" w:rsidR="00C1740F" w:rsidRPr="00925F26" w:rsidRDefault="00C1740F" w:rsidP="00925F26">
      <w:pPr>
        <w:pStyle w:val="a3"/>
        <w:rPr>
          <w:color w:val="000000" w:themeColor="text1"/>
          <w:lang w:val="ru-RU"/>
        </w:rPr>
      </w:pPr>
      <w:r w:rsidRPr="00925F26">
        <w:rPr>
          <w:color w:val="000000" w:themeColor="text1"/>
          <w:lang w:val="ru-RU"/>
        </w:rPr>
        <w:t>При бомбометании с пикиро</w:t>
      </w:r>
      <w:r w:rsidRPr="00925F26">
        <w:rPr>
          <w:color w:val="000000" w:themeColor="text1"/>
          <w:lang w:val="ru-RU"/>
        </w:rPr>
        <w:softHyphen/>
        <w:t>вания на самолёте Ил-10 скорость ввода в пикирование была постоян</w:t>
      </w:r>
      <w:r w:rsidRPr="00925F26">
        <w:rPr>
          <w:color w:val="000000" w:themeColor="text1"/>
          <w:lang w:val="ru-RU"/>
        </w:rPr>
        <w:softHyphen/>
        <w:t>ной - 340 км/ч. Высота ввода в пики</w:t>
      </w:r>
      <w:r w:rsidRPr="00925F26">
        <w:rPr>
          <w:color w:val="000000" w:themeColor="text1"/>
          <w:lang w:val="ru-RU"/>
        </w:rPr>
        <w:softHyphen/>
        <w:t>рование изменялась в зависимости от угла пикирования: при угле пики</w:t>
      </w:r>
      <w:r w:rsidRPr="00925F26">
        <w:rPr>
          <w:color w:val="000000" w:themeColor="text1"/>
          <w:lang w:val="ru-RU"/>
        </w:rPr>
        <w:softHyphen/>
        <w:t>рования 25° - 800 м, 30° - 1000 м, 35° - 1200 м, 40° - 1400 м.</w:t>
      </w:r>
    </w:p>
    <w:p w14:paraId="5FC44686" w14:textId="77777777" w:rsidR="00C1740F" w:rsidRPr="00925F26" w:rsidRDefault="00C1740F" w:rsidP="00925F26">
      <w:pPr>
        <w:pStyle w:val="a3"/>
        <w:rPr>
          <w:color w:val="000000" w:themeColor="text1"/>
          <w:lang w:val="ru-RU"/>
        </w:rPr>
      </w:pPr>
      <w:r w:rsidRPr="00925F26">
        <w:rPr>
          <w:color w:val="000000" w:themeColor="text1"/>
          <w:lang w:val="ru-RU"/>
        </w:rPr>
        <w:t>Применительно к Ил-2 бомбоме</w:t>
      </w:r>
      <w:r w:rsidRPr="00925F26">
        <w:rPr>
          <w:color w:val="000000" w:themeColor="text1"/>
          <w:lang w:val="ru-RU"/>
        </w:rPr>
        <w:softHyphen/>
        <w:t>тание с горизонтального полёта при помощи ПШ-3 можно было выпол</w:t>
      </w:r>
      <w:r w:rsidRPr="00925F26">
        <w:rPr>
          <w:color w:val="000000" w:themeColor="text1"/>
          <w:lang w:val="ru-RU"/>
        </w:rPr>
        <w:softHyphen/>
        <w:t>нять на всех высотах при путевой скорости не менее 350 км/ч. Бомбометание с пикирования допускалось только при высоте ввода 800 м и скорости около 320 км/ч.</w:t>
      </w:r>
    </w:p>
    <w:p w14:paraId="07D27540" w14:textId="77777777" w:rsidR="00C1740F" w:rsidRPr="00925F26" w:rsidRDefault="00C1740F" w:rsidP="00925F26">
      <w:pPr>
        <w:pStyle w:val="a3"/>
        <w:rPr>
          <w:color w:val="000000" w:themeColor="text1"/>
          <w:lang w:val="ru-RU"/>
        </w:rPr>
      </w:pPr>
      <w:r w:rsidRPr="00925F26">
        <w:rPr>
          <w:color w:val="000000" w:themeColor="text1"/>
          <w:lang w:val="ru-RU"/>
        </w:rPr>
        <w:t>При бомбометании с горизонтального полёта от лётчика требовалось установить высо</w:t>
      </w:r>
      <w:r w:rsidRPr="00925F26">
        <w:rPr>
          <w:color w:val="000000" w:themeColor="text1"/>
          <w:lang w:val="ru-RU"/>
        </w:rPr>
        <w:softHyphen/>
        <w:t xml:space="preserve">ту, совместить шкалу прицела со скоростью, развернуть самолёт на цель. Наблюдая цель в окуляр прицела в момент её прихода </w:t>
      </w:r>
      <w:proofErr w:type="gramStart"/>
      <w:r w:rsidRPr="00925F26">
        <w:rPr>
          <w:color w:val="000000" w:themeColor="text1"/>
          <w:lang w:val="ru-RU"/>
        </w:rPr>
        <w:t>в перекрестие</w:t>
      </w:r>
      <w:proofErr w:type="gramEnd"/>
      <w:r w:rsidRPr="00925F26">
        <w:rPr>
          <w:color w:val="000000" w:themeColor="text1"/>
          <w:lang w:val="ru-RU"/>
        </w:rPr>
        <w:t xml:space="preserve"> следовало нажать кнопку пуска счётно- решающего устройства, который в течение 6-8 сек вырабатывал прицельные данные соответ</w:t>
      </w:r>
      <w:r w:rsidRPr="00925F26">
        <w:rPr>
          <w:color w:val="000000" w:themeColor="text1"/>
          <w:lang w:val="ru-RU"/>
        </w:rPr>
        <w:softHyphen/>
        <w:t>ствующие заданным условиям полёта (высота и скорость) и автоматически удерживал линию визирования на цели или вблизи неё. В момент построения счетно-решающим механизмом угла прицеливания (или упреждения) в поле зрения прицела появлялся световой сигнал. При</w:t>
      </w:r>
      <w:r w:rsidRPr="00925F26">
        <w:rPr>
          <w:color w:val="000000" w:themeColor="text1"/>
          <w:lang w:val="ru-RU"/>
        </w:rPr>
        <w:softHyphen/>
        <w:t>цел наводился в упреждающую точку. С этого момента цель быстро «подходила» к перекре</w:t>
      </w:r>
      <w:r w:rsidRPr="00925F26">
        <w:rPr>
          <w:color w:val="000000" w:themeColor="text1"/>
          <w:lang w:val="ru-RU"/>
        </w:rPr>
        <w:softHyphen/>
        <w:t>стию прицела. При совмещении цели с перекрестием сетки прицела автоматически сбра</w:t>
      </w:r>
      <w:r w:rsidRPr="00925F26">
        <w:rPr>
          <w:color w:val="000000" w:themeColor="text1"/>
          <w:lang w:val="ru-RU"/>
        </w:rPr>
        <w:softHyphen/>
        <w:t>сывались бомбы. Сброс бомб можно было выполнить и без автоматики прицела, вручную, нажав боевую кнопку.</w:t>
      </w:r>
    </w:p>
    <w:p w14:paraId="2FE8C150" w14:textId="77777777" w:rsidR="00C1740F" w:rsidRPr="00925F26" w:rsidRDefault="00C1740F" w:rsidP="00925F26">
      <w:pPr>
        <w:pStyle w:val="a3"/>
        <w:rPr>
          <w:color w:val="000000" w:themeColor="text1"/>
          <w:lang w:val="ru-RU"/>
        </w:rPr>
      </w:pPr>
      <w:r w:rsidRPr="00925F26">
        <w:rPr>
          <w:color w:val="000000" w:themeColor="text1"/>
          <w:lang w:val="ru-RU"/>
        </w:rPr>
        <w:t>В алгоритме работы прицела была заложена следующая схема. Считалось, что самолёт пикирует «с</w:t>
      </w:r>
      <w:r w:rsidRPr="00925F26">
        <w:rPr>
          <w:rStyle w:val="277"/>
          <w:rFonts w:ascii="Times New Roman" w:hAnsi="Times New Roman" w:cs="Times New Roman"/>
          <w:i w:val="0"/>
          <w:color w:val="000000" w:themeColor="text1"/>
          <w:sz w:val="16"/>
          <w:szCs w:val="16"/>
          <w:lang w:val="ru-RU"/>
        </w:rPr>
        <w:t xml:space="preserve"> некоторой наперёд заданной траекторией, состоящей из трёх участков</w:t>
      </w:r>
      <w:r w:rsidRPr="00925F26">
        <w:rPr>
          <w:color w:val="000000" w:themeColor="text1"/>
          <w:lang w:val="ru-RU"/>
        </w:rPr>
        <w:t>»: ввод в пикирование (продолжительность около 6 сек), боевой курс (3 сек), участок бросания бомбы (3 сек). При этом в любой точке траектории участка бросания бомбы</w:t>
      </w:r>
      <w:r w:rsidRPr="00925F26">
        <w:rPr>
          <w:rStyle w:val="277"/>
          <w:rFonts w:ascii="Times New Roman" w:hAnsi="Times New Roman" w:cs="Times New Roman"/>
          <w:i w:val="0"/>
          <w:color w:val="000000" w:themeColor="text1"/>
          <w:sz w:val="16"/>
          <w:szCs w:val="16"/>
          <w:lang w:val="ru-RU"/>
        </w:rPr>
        <w:t xml:space="preserve"> «лётчик может сбросить бомбы при условии непрерывного совмещения перекрестия сетки прицела с целью».</w:t>
      </w:r>
    </w:p>
    <w:p w14:paraId="0F4CE239" w14:textId="77777777" w:rsidR="00C1740F" w:rsidRPr="00925F26" w:rsidRDefault="00C1740F" w:rsidP="00925F26">
      <w:pPr>
        <w:pStyle w:val="a3"/>
        <w:rPr>
          <w:color w:val="000000" w:themeColor="text1"/>
          <w:lang w:val="ru-RU"/>
        </w:rPr>
      </w:pPr>
      <w:r w:rsidRPr="00925F26">
        <w:rPr>
          <w:color w:val="000000" w:themeColor="text1"/>
          <w:lang w:val="ru-RU"/>
        </w:rPr>
        <w:t>Перед вводом в пикирование лётчик должен был выставить на прицеле высоту ввода в пикирование. Визирное зеркало прицела устанавливалось под углом предварительного визирования цели. Затем лётчик выполнял разворот самолёта на цель и находил её через окуляр прицела.</w:t>
      </w:r>
    </w:p>
    <w:p w14:paraId="138F551D" w14:textId="77777777" w:rsidR="00C1740F" w:rsidRPr="00925F26" w:rsidRDefault="00C1740F" w:rsidP="00925F26">
      <w:pPr>
        <w:pStyle w:val="a3"/>
        <w:rPr>
          <w:color w:val="000000" w:themeColor="text1"/>
          <w:lang w:val="ru-RU"/>
        </w:rPr>
      </w:pPr>
      <w:r w:rsidRPr="00925F26">
        <w:rPr>
          <w:color w:val="000000" w:themeColor="text1"/>
          <w:lang w:val="ru-RU"/>
        </w:rPr>
        <w:t>В момент прихода цели к перекрестию сетки прицела лётчик одновременно нажимал пуска счетно-решающего механизма прицела и начинал ввод самолёта в пикирование. Во время ввода самолёта в пикирование необходимо было удерживать цель на перекрестии сетки прицела. Непосредственно в ходе пикирования от лётчика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3 сек с момента по</w:t>
      </w:r>
      <w:r w:rsidRPr="00925F26">
        <w:rPr>
          <w:color w:val="000000" w:themeColor="text1"/>
          <w:lang w:val="ru-RU"/>
        </w:rPr>
        <w:softHyphen/>
        <w:t>явления светового сигнала и до его исчезновения. Всё это время цель следовало удерживать в перекрестии сетки прицела.</w:t>
      </w:r>
    </w:p>
    <w:p w14:paraId="7CC0FA0C" w14:textId="77777777" w:rsidR="00C1740F" w:rsidRPr="00925F26" w:rsidRDefault="00C1740F"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221"/>
          <w:rFonts w:ascii="Times New Roman" w:eastAsia="Arial Unicode MS" w:hAnsi="Times New Roman" w:cs="Times New Roman"/>
          <w:i w:val="0"/>
          <w:iCs w:val="0"/>
          <w:color w:val="000000" w:themeColor="text1"/>
        </w:rPr>
        <w:t>В отчёте по результатам испытаний отмечалось, что прицел ПШ-3 на самолёте Ил-2 «обеспечивает</w:t>
      </w:r>
      <w:r w:rsidRPr="00925F26">
        <w:rPr>
          <w:rFonts w:ascii="Times New Roman" w:hAnsi="Times New Roman" w:cs="Times New Roman"/>
          <w:i w:val="0"/>
          <w:color w:val="000000" w:themeColor="text1"/>
          <w:sz w:val="16"/>
          <w:szCs w:val="16"/>
        </w:rPr>
        <w:t xml:space="preserve"> достаточные удобства наводки, наблюдения</w:t>
      </w:r>
      <w:r w:rsidRPr="00925F26">
        <w:rPr>
          <w:rStyle w:val="2221"/>
          <w:rFonts w:ascii="Times New Roman" w:eastAsia="Arial Unicode MS" w:hAnsi="Times New Roman" w:cs="Times New Roman"/>
          <w:i w:val="0"/>
          <w:iCs w:val="0"/>
          <w:color w:val="000000" w:themeColor="text1"/>
        </w:rPr>
        <w:t xml:space="preserve"> за</w:t>
      </w:r>
      <w:r w:rsidRPr="00925F26">
        <w:rPr>
          <w:rFonts w:ascii="Times New Roman" w:hAnsi="Times New Roman" w:cs="Times New Roman"/>
          <w:i w:val="0"/>
          <w:color w:val="000000" w:themeColor="text1"/>
          <w:sz w:val="16"/>
          <w:szCs w:val="16"/>
        </w:rPr>
        <w:t xml:space="preserve"> целью и бомбометания с го</w:t>
      </w:r>
      <w:r w:rsidRPr="00925F26">
        <w:rPr>
          <w:rFonts w:ascii="Times New Roman" w:hAnsi="Times New Roman" w:cs="Times New Roman"/>
          <w:i w:val="0"/>
          <w:color w:val="000000" w:themeColor="text1"/>
          <w:sz w:val="16"/>
          <w:szCs w:val="16"/>
        </w:rPr>
        <w:softHyphen/>
        <w:t>ризонтального полёта и с планирования».</w:t>
      </w:r>
      <w:r w:rsidRPr="00925F26">
        <w:rPr>
          <w:rStyle w:val="2221"/>
          <w:rFonts w:ascii="Times New Roman" w:eastAsia="Arial Unicode MS" w:hAnsi="Times New Roman" w:cs="Times New Roman"/>
          <w:i w:val="0"/>
          <w:iCs w:val="0"/>
          <w:color w:val="000000" w:themeColor="text1"/>
        </w:rPr>
        <w:t xml:space="preserve"> При этом</w:t>
      </w:r>
      <w:r w:rsidRPr="00925F26">
        <w:rPr>
          <w:rFonts w:ascii="Times New Roman" w:hAnsi="Times New Roman" w:cs="Times New Roman"/>
          <w:i w:val="0"/>
          <w:color w:val="000000" w:themeColor="text1"/>
          <w:sz w:val="16"/>
          <w:szCs w:val="16"/>
        </w:rPr>
        <w:t xml:space="preserve"> «удаление глаз лётчика от окуляра, при котором используется всё поле зрения (23°), должно быть не более 80 мм».</w:t>
      </w:r>
      <w:r w:rsidRPr="00925F26">
        <w:rPr>
          <w:rStyle w:val="2221"/>
          <w:rFonts w:ascii="Times New Roman" w:eastAsia="Arial Unicode MS" w:hAnsi="Times New Roman" w:cs="Times New Roman"/>
          <w:i w:val="0"/>
          <w:iCs w:val="0"/>
          <w:color w:val="000000" w:themeColor="text1"/>
        </w:rPr>
        <w:t xml:space="preserve"> В этих условиях полёта - корпус лётчика наклонен вперёд, пилотирование самолётом было возможно, «но </w:t>
      </w:r>
      <w:r w:rsidRPr="00925F26">
        <w:rPr>
          <w:rFonts w:ascii="Times New Roman" w:hAnsi="Times New Roman" w:cs="Times New Roman"/>
          <w:i w:val="0"/>
          <w:color w:val="000000" w:themeColor="text1"/>
          <w:sz w:val="16"/>
          <w:szCs w:val="16"/>
        </w:rPr>
        <w:t>голова лётчика в меньшей мере защищена бронёй</w:t>
      </w:r>
      <w:r w:rsidRPr="00925F26">
        <w:rPr>
          <w:rStyle w:val="2221"/>
          <w:rFonts w:ascii="Times New Roman" w:eastAsia="Arial Unicode MS" w:hAnsi="Times New Roman" w:cs="Times New Roman"/>
          <w:i w:val="0"/>
          <w:iCs w:val="0"/>
          <w:color w:val="000000" w:themeColor="text1"/>
        </w:rPr>
        <w:t xml:space="preserve">». Синхронно-временной механизм ПШ-3 </w:t>
      </w:r>
      <w:r w:rsidRPr="00925F26">
        <w:rPr>
          <w:rFonts w:ascii="Times New Roman" w:hAnsi="Times New Roman" w:cs="Times New Roman"/>
          <w:i w:val="0"/>
          <w:color w:val="000000" w:themeColor="text1"/>
          <w:sz w:val="16"/>
          <w:szCs w:val="16"/>
        </w:rPr>
        <w:t>«уравнивает скорости</w:t>
      </w:r>
      <w:r w:rsidRPr="00925F26">
        <w:rPr>
          <w:rStyle w:val="2221"/>
          <w:rFonts w:ascii="Times New Roman" w:eastAsia="Arial Unicode MS" w:hAnsi="Times New Roman" w:cs="Times New Roman"/>
          <w:i w:val="0"/>
          <w:iCs w:val="0"/>
          <w:color w:val="000000" w:themeColor="text1"/>
        </w:rPr>
        <w:t xml:space="preserve"> движения</w:t>
      </w:r>
      <w:r w:rsidRPr="00925F26">
        <w:rPr>
          <w:rFonts w:ascii="Times New Roman" w:hAnsi="Times New Roman" w:cs="Times New Roman"/>
          <w:i w:val="0"/>
          <w:color w:val="000000" w:themeColor="text1"/>
          <w:sz w:val="16"/>
          <w:szCs w:val="16"/>
        </w:rPr>
        <w:t xml:space="preserve"> визирного луча и цели относительно самолёта, улучшает ус</w:t>
      </w:r>
      <w:r w:rsidRPr="00925F26">
        <w:rPr>
          <w:rFonts w:ascii="Times New Roman" w:hAnsi="Times New Roman" w:cs="Times New Roman"/>
          <w:i w:val="0"/>
          <w:color w:val="000000" w:themeColor="text1"/>
          <w:sz w:val="16"/>
          <w:szCs w:val="16"/>
        </w:rPr>
        <w:softHyphen/>
        <w:t>ловия прицеливания, особенно при бомбометании с малых высот при большой скорости по</w:t>
      </w:r>
      <w:r w:rsidRPr="00925F26">
        <w:rPr>
          <w:rFonts w:ascii="Times New Roman" w:hAnsi="Times New Roman" w:cs="Times New Roman"/>
          <w:i w:val="0"/>
          <w:color w:val="000000" w:themeColor="text1"/>
          <w:sz w:val="16"/>
          <w:szCs w:val="16"/>
        </w:rPr>
        <w:softHyphen/>
        <w:t>лёта».</w:t>
      </w:r>
      <w:r w:rsidRPr="00925F26">
        <w:rPr>
          <w:rStyle w:val="2221"/>
          <w:rFonts w:ascii="Times New Roman" w:eastAsia="Arial Unicode MS" w:hAnsi="Times New Roman" w:cs="Times New Roman"/>
          <w:i w:val="0"/>
          <w:iCs w:val="0"/>
          <w:color w:val="000000" w:themeColor="text1"/>
        </w:rPr>
        <w:t xml:space="preserve"> И главное,</w:t>
      </w:r>
      <w:r w:rsidRPr="00925F26">
        <w:rPr>
          <w:rFonts w:ascii="Times New Roman" w:hAnsi="Times New Roman" w:cs="Times New Roman"/>
          <w:i w:val="0"/>
          <w:color w:val="000000" w:themeColor="text1"/>
          <w:sz w:val="16"/>
          <w:szCs w:val="16"/>
        </w:rPr>
        <w:t xml:space="preserve"> «точность бомбометания с горизонтального полёта и планирования с ПШ-3 выше, чем с ВМШ-2».</w:t>
      </w:r>
    </w:p>
    <w:p w14:paraId="12458743" w14:textId="77777777" w:rsidR="00C1740F" w:rsidRPr="00925F26" w:rsidRDefault="00C1740F" w:rsidP="00925F26">
      <w:pPr>
        <w:pStyle w:val="a3"/>
        <w:rPr>
          <w:color w:val="000000" w:themeColor="text1"/>
          <w:lang w:val="ru-RU"/>
        </w:rPr>
      </w:pPr>
      <w:r w:rsidRPr="00925F26">
        <w:rPr>
          <w:color w:val="000000" w:themeColor="text1"/>
          <w:lang w:val="ru-RU"/>
        </w:rPr>
        <w:t>Время нахождения на боевом курсе, как при бомбометании с горизонта, так и с пикирова</w:t>
      </w:r>
      <w:r w:rsidRPr="00925F26">
        <w:rPr>
          <w:color w:val="000000" w:themeColor="text1"/>
          <w:lang w:val="ru-RU"/>
        </w:rPr>
        <w:softHyphen/>
        <w:t>ния, было сравнительно невелико и не превышало 10-12 сек.</w:t>
      </w:r>
    </w:p>
    <w:p w14:paraId="1062D435" w14:textId="77777777" w:rsidR="00C1740F" w:rsidRPr="00925F26" w:rsidRDefault="00C1740F" w:rsidP="00925F26">
      <w:pPr>
        <w:pStyle w:val="a3"/>
        <w:rPr>
          <w:color w:val="000000" w:themeColor="text1"/>
          <w:lang w:val="ru-RU"/>
        </w:rPr>
      </w:pPr>
      <w:r w:rsidRPr="00925F26">
        <w:rPr>
          <w:color w:val="000000" w:themeColor="text1"/>
          <w:lang w:val="ru-RU"/>
        </w:rPr>
        <w:t>При горизонтальном бомбометании боковая наводка считалась простой, наводка по даль</w:t>
      </w:r>
      <w:r w:rsidRPr="00925F26">
        <w:rPr>
          <w:color w:val="000000" w:themeColor="text1"/>
          <w:lang w:val="ru-RU"/>
        </w:rPr>
        <w:softHyphen/>
        <w:t>ности - «</w:t>
      </w:r>
      <w:r w:rsidRPr="00925F26">
        <w:rPr>
          <w:rStyle w:val="263"/>
          <w:rFonts w:ascii="Times New Roman" w:hAnsi="Times New Roman" w:cs="Times New Roman"/>
          <w:i w:val="0"/>
          <w:color w:val="000000" w:themeColor="text1"/>
          <w:sz w:val="16"/>
          <w:szCs w:val="16"/>
          <w:lang w:val="ru-RU"/>
        </w:rPr>
        <w:t>зависит от точного выдерживания лётчиком путевой скорости и высоты бросания, уста</w:t>
      </w:r>
      <w:r w:rsidRPr="00925F26">
        <w:rPr>
          <w:rStyle w:val="263"/>
          <w:rFonts w:ascii="Times New Roman" w:hAnsi="Times New Roman" w:cs="Times New Roman"/>
          <w:i w:val="0"/>
          <w:color w:val="000000" w:themeColor="text1"/>
          <w:sz w:val="16"/>
          <w:szCs w:val="16"/>
          <w:lang w:val="ru-RU"/>
        </w:rPr>
        <w:softHyphen/>
        <w:t>новленной на прицеле»,</w:t>
      </w:r>
      <w:r w:rsidRPr="00925F26">
        <w:rPr>
          <w:color w:val="000000" w:themeColor="text1"/>
          <w:lang w:val="ru-RU"/>
        </w:rPr>
        <w:t xml:space="preserve"> но также была несложной. Выход на цель (высота полёта 100-800 м) можно было выполнять как с разворота, так и с прямой.</w:t>
      </w:r>
    </w:p>
    <w:p w14:paraId="3A73B7F1" w14:textId="77777777" w:rsidR="00C1740F" w:rsidRPr="00925F26" w:rsidRDefault="00C1740F" w:rsidP="00925F26">
      <w:pPr>
        <w:pStyle w:val="a3"/>
        <w:rPr>
          <w:color w:val="000000" w:themeColor="text1"/>
          <w:lang w:val="ru-RU"/>
        </w:rPr>
      </w:pPr>
      <w:r w:rsidRPr="00925F26">
        <w:rPr>
          <w:color w:val="000000" w:themeColor="text1"/>
          <w:lang w:val="ru-RU"/>
        </w:rPr>
        <w:t>Некоторую трудность представлял ввод самолёта в планирование. От лётчиков требовался энергичный маневр самолётом. Все остальные элементы затруднений не вызывали. Было доста</w:t>
      </w:r>
      <w:r w:rsidRPr="00925F26">
        <w:rPr>
          <w:color w:val="000000" w:themeColor="text1"/>
          <w:lang w:val="ru-RU"/>
        </w:rPr>
        <w:softHyphen/>
        <w:t>точно небольшой тренировки - всего 2-3 полёта.</w:t>
      </w:r>
    </w:p>
    <w:p w14:paraId="0464655B" w14:textId="77777777" w:rsidR="00C1740F" w:rsidRPr="00925F26" w:rsidRDefault="00C1740F" w:rsidP="00925F26">
      <w:pPr>
        <w:pStyle w:val="a3"/>
        <w:rPr>
          <w:color w:val="000000" w:themeColor="text1"/>
          <w:lang w:val="ru-RU"/>
        </w:rPr>
      </w:pPr>
      <w:r w:rsidRPr="00925F26">
        <w:rPr>
          <w:color w:val="000000" w:themeColor="text1"/>
          <w:lang w:val="ru-RU"/>
        </w:rPr>
        <w:t>В ходе испытаний бомбы сбрасывались с высоты 400 м на скорости 350 км/ч при горизон</w:t>
      </w:r>
      <w:r w:rsidRPr="00925F26">
        <w:rPr>
          <w:color w:val="000000" w:themeColor="text1"/>
          <w:lang w:val="ru-RU"/>
        </w:rPr>
        <w:softHyphen/>
        <w:t>тальном бомбометании и 420 км/ч при сбросе бомб с пикирования (угол 30°). Во всех случаях кучность бомбометания была выше, чем при использовании ВМШ-2. Причём все точки падения бомб находились в пределах отличной оценки по «Руководству по бомбометанию 1944 г.».</w:t>
      </w:r>
    </w:p>
    <w:p w14:paraId="1A910E81" w14:textId="77777777" w:rsidR="00C1740F" w:rsidRPr="00925F26" w:rsidRDefault="00C1740F"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211"/>
          <w:rFonts w:ascii="Times New Roman" w:eastAsia="Arial Unicode MS" w:hAnsi="Times New Roman" w:cs="Times New Roman"/>
          <w:i w:val="0"/>
          <w:iCs w:val="0"/>
          <w:color w:val="000000" w:themeColor="text1"/>
        </w:rPr>
        <w:t>Отмечалось, что</w:t>
      </w:r>
      <w:r w:rsidRPr="00925F26">
        <w:rPr>
          <w:rFonts w:ascii="Times New Roman" w:hAnsi="Times New Roman" w:cs="Times New Roman"/>
          <w:i w:val="0"/>
          <w:color w:val="000000" w:themeColor="text1"/>
          <w:sz w:val="16"/>
          <w:szCs w:val="16"/>
        </w:rPr>
        <w:t xml:space="preserve"> «красный сигнал, указывающий момент построения угла прицеливания (упреждения, ви</w:t>
      </w:r>
      <w:r w:rsidRPr="00925F26">
        <w:rPr>
          <w:rFonts w:ascii="Times New Roman" w:hAnsi="Times New Roman" w:cs="Times New Roman"/>
          <w:i w:val="0"/>
          <w:color w:val="000000" w:themeColor="text1"/>
          <w:sz w:val="16"/>
          <w:szCs w:val="16"/>
        </w:rPr>
        <w:softHyphen/>
        <w:t>ден плохо, ...пользоваться неудоб</w:t>
      </w:r>
      <w:r w:rsidRPr="00925F26">
        <w:rPr>
          <w:rFonts w:ascii="Times New Roman" w:hAnsi="Times New Roman" w:cs="Times New Roman"/>
          <w:i w:val="0"/>
          <w:color w:val="000000" w:themeColor="text1"/>
          <w:sz w:val="16"/>
          <w:szCs w:val="16"/>
        </w:rPr>
        <w:softHyphen/>
        <w:t>но».</w:t>
      </w:r>
      <w:r w:rsidRPr="00925F26">
        <w:rPr>
          <w:rStyle w:val="2211"/>
          <w:rFonts w:ascii="Times New Roman" w:eastAsia="Arial Unicode MS" w:hAnsi="Times New Roman" w:cs="Times New Roman"/>
          <w:i w:val="0"/>
          <w:iCs w:val="0"/>
          <w:color w:val="000000" w:themeColor="text1"/>
        </w:rPr>
        <w:t xml:space="preserve"> Предлагалось увеличить (на 1-2 сек) время ввода самолёта в пикиро</w:t>
      </w:r>
      <w:r w:rsidRPr="00925F26">
        <w:rPr>
          <w:rStyle w:val="2211"/>
          <w:rFonts w:ascii="Times New Roman" w:eastAsia="Arial Unicode MS" w:hAnsi="Times New Roman" w:cs="Times New Roman"/>
          <w:i w:val="0"/>
          <w:iCs w:val="0"/>
          <w:color w:val="000000" w:themeColor="text1"/>
        </w:rPr>
        <w:softHyphen/>
        <w:t>вание.</w:t>
      </w:r>
    </w:p>
    <w:p w14:paraId="49E6386A" w14:textId="77777777" w:rsidR="00C1740F" w:rsidRPr="00925F26" w:rsidRDefault="00C1740F" w:rsidP="00925F26">
      <w:pPr>
        <w:pStyle w:val="a3"/>
        <w:rPr>
          <w:color w:val="000000" w:themeColor="text1"/>
          <w:lang w:val="ru-RU"/>
        </w:rPr>
      </w:pPr>
      <w:r w:rsidRPr="00925F26">
        <w:rPr>
          <w:color w:val="000000" w:themeColor="text1"/>
          <w:lang w:val="ru-RU"/>
        </w:rPr>
        <w:t xml:space="preserve">В заключении делался вывод, что </w:t>
      </w:r>
      <w:r w:rsidRPr="00925F26">
        <w:rPr>
          <w:rStyle w:val="254"/>
          <w:rFonts w:ascii="Times New Roman" w:hAnsi="Times New Roman" w:cs="Times New Roman"/>
          <w:i w:val="0"/>
          <w:color w:val="000000" w:themeColor="text1"/>
          <w:sz w:val="16"/>
          <w:szCs w:val="16"/>
          <w:lang w:val="ru-RU"/>
        </w:rPr>
        <w:t>«государственные испытания ПШ-3 выдержал».</w:t>
      </w:r>
      <w:r w:rsidRPr="00925F26">
        <w:rPr>
          <w:color w:val="000000" w:themeColor="text1"/>
          <w:lang w:val="ru-RU"/>
        </w:rPr>
        <w:t xml:space="preserve"> Рекомендовалось</w:t>
      </w:r>
      <w:r w:rsidRPr="00925F26">
        <w:rPr>
          <w:rStyle w:val="254"/>
          <w:rFonts w:ascii="Times New Roman" w:hAnsi="Times New Roman" w:cs="Times New Roman"/>
          <w:i w:val="0"/>
          <w:color w:val="000000" w:themeColor="text1"/>
          <w:sz w:val="16"/>
          <w:szCs w:val="16"/>
          <w:lang w:val="ru-RU"/>
        </w:rPr>
        <w:t xml:space="preserve"> «про</w:t>
      </w:r>
      <w:r w:rsidRPr="00925F26">
        <w:rPr>
          <w:rStyle w:val="254"/>
          <w:rFonts w:ascii="Times New Roman" w:hAnsi="Times New Roman" w:cs="Times New Roman"/>
          <w:i w:val="0"/>
          <w:color w:val="000000" w:themeColor="text1"/>
          <w:sz w:val="16"/>
          <w:szCs w:val="16"/>
          <w:lang w:val="ru-RU"/>
        </w:rPr>
        <w:softHyphen/>
        <w:t>сить 2-е ГУ НКВ обязать завод № 589</w:t>
      </w:r>
      <w:r w:rsidRPr="00925F26">
        <w:rPr>
          <w:color w:val="000000" w:themeColor="text1"/>
          <w:lang w:val="ru-RU"/>
        </w:rPr>
        <w:t>» срочно пересчитать ПШ-3 для самолёта Ил-2, а также</w:t>
      </w:r>
      <w:r w:rsidRPr="00925F26">
        <w:rPr>
          <w:rStyle w:val="254"/>
          <w:rFonts w:ascii="Times New Roman" w:hAnsi="Times New Roman" w:cs="Times New Roman"/>
          <w:i w:val="0"/>
          <w:color w:val="000000" w:themeColor="text1"/>
          <w:sz w:val="16"/>
          <w:szCs w:val="16"/>
          <w:lang w:val="ru-RU"/>
        </w:rPr>
        <w:t xml:space="preserve"> «изготовить</w:t>
      </w:r>
      <w:r w:rsidRPr="00925F26">
        <w:rPr>
          <w:color w:val="000000" w:themeColor="text1"/>
          <w:lang w:val="ru-RU"/>
        </w:rPr>
        <w:t xml:space="preserve"> опытную</w:t>
      </w:r>
      <w:r w:rsidRPr="00925F26">
        <w:rPr>
          <w:rStyle w:val="254"/>
          <w:rFonts w:ascii="Times New Roman" w:hAnsi="Times New Roman" w:cs="Times New Roman"/>
          <w:i w:val="0"/>
          <w:color w:val="000000" w:themeColor="text1"/>
          <w:sz w:val="16"/>
          <w:szCs w:val="16"/>
          <w:lang w:val="ru-RU"/>
        </w:rPr>
        <w:t xml:space="preserve"> партию в 30</w:t>
      </w:r>
      <w:r w:rsidRPr="00925F26">
        <w:rPr>
          <w:color w:val="000000" w:themeColor="text1"/>
          <w:lang w:val="ru-RU"/>
        </w:rPr>
        <w:t xml:space="preserve"> шт. для</w:t>
      </w:r>
      <w:r w:rsidRPr="00925F26">
        <w:rPr>
          <w:rStyle w:val="254"/>
          <w:rFonts w:ascii="Times New Roman" w:hAnsi="Times New Roman" w:cs="Times New Roman"/>
          <w:i w:val="0"/>
          <w:color w:val="000000" w:themeColor="text1"/>
          <w:sz w:val="16"/>
          <w:szCs w:val="16"/>
          <w:lang w:val="ru-RU"/>
        </w:rPr>
        <w:t xml:space="preserve"> войсковых испытаний на Ил-2 в июне-июле 1945</w:t>
      </w:r>
      <w:r w:rsidRPr="00925F26">
        <w:rPr>
          <w:color w:val="000000" w:themeColor="text1"/>
          <w:lang w:val="ru-RU"/>
        </w:rPr>
        <w:t xml:space="preserve"> г.». Два образца требовалось к 1 мая 1 945 г. подать на контрольные испытания в Управление АВ ГК НИИ ВВС. Одновременно предлагалось «</w:t>
      </w:r>
      <w:r w:rsidRPr="00925F26">
        <w:rPr>
          <w:rStyle w:val="254"/>
          <w:rFonts w:ascii="Times New Roman" w:hAnsi="Times New Roman" w:cs="Times New Roman"/>
          <w:i w:val="0"/>
          <w:color w:val="000000" w:themeColor="text1"/>
          <w:sz w:val="16"/>
          <w:szCs w:val="16"/>
          <w:lang w:val="ru-RU"/>
        </w:rPr>
        <w:t>просить Главного конструктора т.</w:t>
      </w:r>
      <w:r w:rsidRPr="00925F26">
        <w:rPr>
          <w:color w:val="000000" w:themeColor="text1"/>
          <w:lang w:val="ru-RU"/>
        </w:rPr>
        <w:t xml:space="preserve"> Ильюшина</w:t>
      </w:r>
      <w:r w:rsidRPr="00925F26">
        <w:rPr>
          <w:rStyle w:val="254"/>
          <w:rFonts w:ascii="Times New Roman" w:hAnsi="Times New Roman" w:cs="Times New Roman"/>
          <w:i w:val="0"/>
          <w:color w:val="000000" w:themeColor="text1"/>
          <w:sz w:val="16"/>
          <w:szCs w:val="16"/>
          <w:lang w:val="ru-RU"/>
        </w:rPr>
        <w:t xml:space="preserve"> С.В. ускорить монтаж ПШ-3 на самолёт</w:t>
      </w:r>
      <w:r w:rsidRPr="00925F26">
        <w:rPr>
          <w:color w:val="000000" w:themeColor="text1"/>
          <w:lang w:val="ru-RU"/>
        </w:rPr>
        <w:t xml:space="preserve"> Ил-10 для</w:t>
      </w:r>
      <w:r w:rsidRPr="00925F26">
        <w:rPr>
          <w:rStyle w:val="254"/>
          <w:rFonts w:ascii="Times New Roman" w:hAnsi="Times New Roman" w:cs="Times New Roman"/>
          <w:i w:val="0"/>
          <w:color w:val="000000" w:themeColor="text1"/>
          <w:sz w:val="16"/>
          <w:szCs w:val="16"/>
          <w:lang w:val="ru-RU"/>
        </w:rPr>
        <w:t xml:space="preserve"> государствен</w:t>
      </w:r>
      <w:r w:rsidRPr="00925F26">
        <w:rPr>
          <w:rStyle w:val="254"/>
          <w:rFonts w:ascii="Times New Roman" w:hAnsi="Times New Roman" w:cs="Times New Roman"/>
          <w:i w:val="0"/>
          <w:color w:val="000000" w:themeColor="text1"/>
          <w:sz w:val="16"/>
          <w:szCs w:val="16"/>
          <w:lang w:val="ru-RU"/>
        </w:rPr>
        <w:softHyphen/>
        <w:t>ных испытаний» (15978).</w:t>
      </w:r>
    </w:p>
    <w:p w14:paraId="200F1446" w14:textId="77777777" w:rsidR="00C1740F" w:rsidRPr="00925F26" w:rsidRDefault="00C1740F" w:rsidP="00925F26">
      <w:pPr>
        <w:pStyle w:val="a3"/>
        <w:rPr>
          <w:color w:val="000000" w:themeColor="text1"/>
          <w:lang w:val="ru-RU"/>
        </w:rPr>
      </w:pPr>
    </w:p>
    <w:p w14:paraId="7D898C21"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12 марта 1945 заместителем начальника НИИ ВВС генерал-лейтенантом М. В. Гуревичем был утвержден Отчет по испытаниям прицела ПШ-3, который был разработан заводом № 589 НКВ специально для Ил-10 и с 22 по 28 февраля 1945 на самолете Ил-2 (зав. № 0944) в ГК НИИ ВВС.</w:t>
      </w:r>
    </w:p>
    <w:p w14:paraId="20D1D1DD"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2C6CD923" w14:textId="77777777" w:rsidR="00BD4B69" w:rsidRPr="00925F26" w:rsidRDefault="00BD4B6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66D2E2FD"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435AE47E" w14:textId="77777777" w:rsidR="00BD4B69" w:rsidRPr="00925F26" w:rsidRDefault="00BD4B6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10FC94C9"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44E4A2C9"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1245C29A" w14:textId="77777777" w:rsidR="00BD4B69" w:rsidRPr="00925F26" w:rsidRDefault="00BD4B6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 xml:space="preserve">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w:t>
      </w:r>
      <w:r w:rsidRPr="00925F26">
        <w:rPr>
          <w:rStyle w:val="107"/>
          <w:rFonts w:eastAsiaTheme="minorHAnsi"/>
          <w:color w:val="000000" w:themeColor="text1"/>
          <w:sz w:val="16"/>
          <w:szCs w:val="16"/>
        </w:rPr>
        <w:lastRenderedPageBreak/>
        <w:t>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19474FA9"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5FC7C555"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0DEA3DE6"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6E55693C" w14:textId="77777777" w:rsidR="00BD4B69" w:rsidRPr="00925F26" w:rsidRDefault="00BD4B69" w:rsidP="00925F26">
      <w:pPr>
        <w:jc w:val="both"/>
        <w:rPr>
          <w:color w:val="000000" w:themeColor="text1"/>
          <w:sz w:val="16"/>
          <w:szCs w:val="16"/>
        </w:rPr>
      </w:pPr>
      <w:r w:rsidRPr="00925F26">
        <w:rPr>
          <w:rStyle w:val="107"/>
          <w:rFonts w:eastAsiaTheme="minorHAnsi"/>
          <w:color w:val="000000" w:themeColor="text1"/>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5DB303FA" w14:textId="77777777" w:rsidR="00BD4B69" w:rsidRPr="00925F26" w:rsidRDefault="00BD4B6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37AC7E4A" w14:textId="77777777" w:rsidR="00BD4B69" w:rsidRPr="00925F26" w:rsidRDefault="00BD4B69" w:rsidP="00925F26">
      <w:pPr>
        <w:jc w:val="both"/>
        <w:rPr>
          <w:rStyle w:val="107"/>
          <w:rFonts w:eastAsiaTheme="minorHAnsi"/>
          <w:color w:val="000000" w:themeColor="text1"/>
          <w:sz w:val="16"/>
          <w:szCs w:val="16"/>
        </w:rPr>
      </w:pPr>
    </w:p>
    <w:p w14:paraId="6F75A9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закончились специальные летные испытания по отработке методов борьбы Як и Ла с немецкими истребителями-штурмовиками ФВ-190 А-8 с БМВ-801 N 68201 и облегченным N 580967 выпуска сентября 1944, которые проводились с 1 марта 1945 (746,1).</w:t>
      </w:r>
    </w:p>
    <w:p w14:paraId="0FE1A0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5DD8E7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Проводились с 1 по 12 марта 1945</w:t>
      </w:r>
    </w:p>
    <w:p w14:paraId="652ADF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 вед. И и-м Рабин</w:t>
      </w:r>
    </w:p>
    <w:p w14:paraId="38DF60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Пон. Нач. 1 отд. 1У и М.Д.Васильев</w:t>
      </w:r>
    </w:p>
    <w:p w14:paraId="6C7676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Летали л облета: Хомяков (ФВ), Антипов (ФВ), Дзюба (Ла-5), Кубышкин (Ла-7), Прошаков (Як-3), Кувшинов (Як-9У).</w:t>
      </w:r>
    </w:p>
    <w:p w14:paraId="17B0AB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ФВ-190А-8 № 68201 - серийный, выпуска сентября 1944.</w:t>
      </w:r>
    </w:p>
    <w:p w14:paraId="6FACE7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Основное назначение с-та - борьба с тяжелыми бомб. с-тами.</w:t>
      </w:r>
    </w:p>
    <w:p w14:paraId="573F21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Советско-германском фронте применяется в качестве истребителя и штурмовика.</w:t>
      </w:r>
    </w:p>
    <w:p w14:paraId="2C005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232F2D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Запас горючего - 642 л, размещается в 2-х основных и одном дополнительном б/б.</w:t>
      </w:r>
    </w:p>
    <w:p w14:paraId="63EAFD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 УДМ диаметром 3,3</w:t>
      </w:r>
    </w:p>
    <w:p w14:paraId="4911DF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4DB68C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 фюзеляжем предусмотрена подвеска б/д для бом весом до 250 кг (или подвесного б/б)</w:t>
      </w:r>
    </w:p>
    <w:p w14:paraId="6F25E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С-т оборудован модифицированной УКВ р/с </w:t>
      </w:r>
      <w:r w:rsidRPr="00925F26">
        <w:rPr>
          <w:color w:val="000000" w:themeColor="text1"/>
          <w:sz w:val="16"/>
          <w:szCs w:val="16"/>
          <w:lang w:val="en-US"/>
        </w:rPr>
        <w:t>F</w:t>
      </w:r>
      <w:r w:rsidRPr="00925F26">
        <w:rPr>
          <w:color w:val="000000" w:themeColor="text1"/>
          <w:sz w:val="16"/>
          <w:szCs w:val="16"/>
        </w:rPr>
        <w:t xml:space="preserve"> и </w:t>
      </w:r>
      <w:r w:rsidRPr="00925F26">
        <w:rPr>
          <w:color w:val="000000" w:themeColor="text1"/>
          <w:sz w:val="16"/>
          <w:szCs w:val="16"/>
          <w:lang w:val="en-US"/>
        </w:rPr>
        <w:t>G</w:t>
      </w:r>
      <w:r w:rsidRPr="00925F26">
        <w:rPr>
          <w:color w:val="000000" w:themeColor="text1"/>
          <w:sz w:val="16"/>
          <w:szCs w:val="16"/>
        </w:rPr>
        <w:t>-25А, представляющей собой радиоопознавательс “свой-чужой”.</w:t>
      </w:r>
    </w:p>
    <w:p w14:paraId="1D7186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с-т приземлился на советской территории в октябре 1944.</w:t>
      </w:r>
    </w:p>
    <w:p w14:paraId="27439F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восстановительного ремонта на опытном заводе ГК НИИ ВВС к началу наст. Испытаний на нем совершено 18 полетов прод. 15:00.</w:t>
      </w:r>
    </w:p>
    <w:p w14:paraId="68386D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57D9AD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200-300 м на форсаже уходит от Як-3 на преследовании</w:t>
      </w:r>
    </w:p>
    <w:p w14:paraId="54D20D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19660951" w14:textId="77777777" w:rsidR="00665165" w:rsidRPr="00925F26" w:rsidRDefault="00665165" w:rsidP="00925F26">
      <w:pPr>
        <w:autoSpaceDE w:val="0"/>
        <w:autoSpaceDN w:val="0"/>
        <w:adjustRightInd w:val="0"/>
        <w:jc w:val="both"/>
        <w:rPr>
          <w:color w:val="000000" w:themeColor="text1"/>
          <w:sz w:val="16"/>
          <w:szCs w:val="16"/>
        </w:rPr>
      </w:pPr>
    </w:p>
    <w:p w14:paraId="7A8033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1942 по приказу НКАП №192 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по ул.Авиамоторная (10777).</w:t>
      </w:r>
    </w:p>
    <w:p w14:paraId="233EF6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Осуществлял ремонт моторов М-25, М-62, М-63, М-11, производство моторов М-11 (42 г.) и его модификаций. </w:t>
      </w:r>
    </w:p>
    <w:p w14:paraId="41747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2C302E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4F72C3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00C98B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4F0439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701F70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011FFB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42EE96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925F26">
        <w:rPr>
          <w:color w:val="000000" w:themeColor="text1"/>
          <w:sz w:val="16"/>
          <w:szCs w:val="16"/>
        </w:rPr>
        <w:t>.</w:t>
      </w:r>
      <w:proofErr w:type="gramEnd"/>
      <w:r w:rsidRPr="00925F26">
        <w:rPr>
          <w:color w:val="000000" w:themeColor="text1"/>
          <w:sz w:val="16"/>
          <w:szCs w:val="16"/>
        </w:rPr>
        <w:t xml:space="preserve"> и гл.к. назначен В.В.Уваров (приказ №546 от 15.8.46 г.). Штат формировался в основном за счет опытного и серийного КБ завода. </w:t>
      </w:r>
    </w:p>
    <w:p w14:paraId="5612C3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28DBD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.7.48 г. завод передан из 8ГУ в 4ГУ (моторные агрегаты), с 1.7.49 г. - во 2ГУ МАП (самолетные агрегаты). </w:t>
      </w:r>
    </w:p>
    <w:p w14:paraId="14F220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А.Т.Завитаев (1946-48гг). Далее дир. - Ю.А.Мизюров (до 1950 г.), И.А.Лихачев (в 1950-53гг.). </w:t>
      </w:r>
    </w:p>
    <w:p w14:paraId="27CDDB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925F26">
        <w:rPr>
          <w:color w:val="000000" w:themeColor="text1"/>
          <w:sz w:val="16"/>
          <w:szCs w:val="16"/>
        </w:rPr>
        <w:t>гл.инж</w:t>
      </w:r>
      <w:proofErr w:type="gramEnd"/>
      <w:r w:rsidRPr="00925F26">
        <w:rPr>
          <w:color w:val="000000" w:themeColor="text1"/>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1F5C3A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303B80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75BFB0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55E54A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Авангард, Московский машиностроительный завод, ОАО (ОАО "ММЗ "Авангард") </w:t>
      </w:r>
    </w:p>
    <w:p w14:paraId="585A5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1C16D3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- 125130 г.Москва ул.Цеткин К., 33 (10777).</w:t>
      </w:r>
    </w:p>
    <w:p w14:paraId="32C3E439" w14:textId="77777777" w:rsidR="00665165" w:rsidRPr="00925F26" w:rsidRDefault="00665165" w:rsidP="00925F26">
      <w:pPr>
        <w:autoSpaceDE w:val="0"/>
        <w:autoSpaceDN w:val="0"/>
        <w:adjustRightInd w:val="0"/>
        <w:jc w:val="both"/>
        <w:rPr>
          <w:color w:val="000000" w:themeColor="text1"/>
          <w:sz w:val="16"/>
          <w:szCs w:val="16"/>
        </w:rPr>
      </w:pPr>
    </w:p>
    <w:p w14:paraId="20173E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вышло постановление ГОКО N 7755с по отгрузке крыльев и пусковых устройств самолетов-снарядов (1874,11).</w:t>
      </w:r>
    </w:p>
    <w:p w14:paraId="36B2FB17" w14:textId="77777777" w:rsidR="00665165" w:rsidRPr="00925F26" w:rsidRDefault="00665165" w:rsidP="00925F26">
      <w:pPr>
        <w:autoSpaceDE w:val="0"/>
        <w:autoSpaceDN w:val="0"/>
        <w:adjustRightInd w:val="0"/>
        <w:jc w:val="both"/>
        <w:rPr>
          <w:color w:val="000000" w:themeColor="text1"/>
          <w:sz w:val="16"/>
          <w:szCs w:val="16"/>
        </w:rPr>
      </w:pPr>
    </w:p>
    <w:p w14:paraId="0B5780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6F59523" w14:textId="77777777" w:rsidR="00665165" w:rsidRPr="00925F26" w:rsidRDefault="00665165" w:rsidP="00925F26">
      <w:pPr>
        <w:autoSpaceDE w:val="0"/>
        <w:autoSpaceDN w:val="0"/>
        <w:adjustRightInd w:val="0"/>
        <w:jc w:val="both"/>
        <w:rPr>
          <w:iCs/>
          <w:color w:val="000000" w:themeColor="text1"/>
          <w:sz w:val="16"/>
          <w:szCs w:val="16"/>
        </w:rPr>
      </w:pPr>
    </w:p>
    <w:p w14:paraId="066736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марта 1945 г. наркомом танковой промышленности В.А. Малыше</w:t>
      </w:r>
      <w:r w:rsidRPr="00925F26">
        <w:rPr>
          <w:color w:val="000000" w:themeColor="text1"/>
          <w:sz w:val="16"/>
          <w:szCs w:val="16"/>
        </w:rPr>
        <w:softHyphen/>
        <w:t>вым и заместителем командующего БТ и МВ РККА Б.М. Коробковым был подписан совместный приказ о проведении полигонных испытаний танка ИС-3 ("Объект 703") на НИБТ полигоне с 23 марта по 11 апреля 1945 г. комиссией под председательством инженер-полковника А.И. Благонравова (10703).</w:t>
      </w:r>
    </w:p>
    <w:p w14:paraId="40B332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5B01932" w14:textId="77777777" w:rsidR="00F76B9F" w:rsidRPr="00925F26" w:rsidRDefault="00F76B9F" w:rsidP="00925F26">
      <w:pPr>
        <w:jc w:val="both"/>
        <w:rPr>
          <w:color w:val="000000" w:themeColor="text1"/>
          <w:sz w:val="16"/>
          <w:szCs w:val="16"/>
        </w:rPr>
      </w:pPr>
      <w:r w:rsidRPr="00925F26">
        <w:rPr>
          <w:color w:val="000000" w:themeColor="text1"/>
          <w:sz w:val="16"/>
          <w:szCs w:val="16"/>
        </w:rPr>
        <w:t>С 12 марта по 15 апреля 1945 года проходили испытания канадского снегохода. Ввиду того, что они начались довольно поздно, программу испытаний пришлось корректировать, поскольку к их концу снег практически растаял. Тем не менее даже тот объём испытаний, который удалось провести, наглядно показал очевидные преимущества конструкции чисто гусеничного снегохода над аэросанями. Всего машина прошла 881 км, из них по заснеженной целине — 737 км, по заснеженной просёлочной дороге — 73 км и по асфальтовому шоссе — 7 км. В местах, где проходил снегоход, толщина снежного покрова достигала 70 см, что же касается грунтовых дорог, то это были разбитые просёлки с наезженными танковыми колеями.</w:t>
      </w:r>
    </w:p>
    <w:p w14:paraId="3FC35447" w14:textId="77777777" w:rsidR="00F76B9F" w:rsidRPr="00925F26" w:rsidRDefault="00F76B9F" w:rsidP="00925F26">
      <w:pPr>
        <w:jc w:val="both"/>
        <w:rPr>
          <w:color w:val="000000" w:themeColor="text1"/>
          <w:sz w:val="16"/>
          <w:szCs w:val="16"/>
        </w:rPr>
      </w:pPr>
      <w:r w:rsidRPr="00925F26">
        <w:rPr>
          <w:color w:val="000000" w:themeColor="text1"/>
          <w:sz w:val="16"/>
          <w:szCs w:val="16"/>
        </w:rPr>
        <w:t>На ровных заснеженных участках у НКЛ-38 наблюдалось определённое преимущество: средняя техническая скорость достигала 14,6 км/ч, в то время как у канадского снегохода она составляла 11–12,5 км/ч (в зависимости от плотности снега). Благодаря широким гусеницам канадская машина могла проходить участки, которые до того могли преодолевать лишь аэросани. Канадский снегоход, почти втрое более тяжёлый, чем НКЛ-38, проваливался в рыхлом снегу на глубину до 40 см, при этом продолжая уверенно двигаться вперёд. При езде по просёлочным дорогам канадская машина и вовсе вышла вперёд: у НКЛ-38 техническая скорость на накатанной дороге составляла 16,2 км/ч, а Armoured Snowmobile Mk.I шёл по разбитой танками дороге со скоростью 20,3 км/ч. Испытателями отмечалась хорошая приёмистость и лёгкость управления снегоходом.</w:t>
      </w:r>
    </w:p>
    <w:p w14:paraId="4384FBB6" w14:textId="77777777" w:rsidR="00F76B9F" w:rsidRPr="00925F26" w:rsidRDefault="00F76B9F" w:rsidP="00925F26">
      <w:pPr>
        <w:jc w:val="both"/>
        <w:rPr>
          <w:color w:val="000000" w:themeColor="text1"/>
          <w:sz w:val="16"/>
          <w:szCs w:val="16"/>
        </w:rPr>
      </w:pPr>
      <w:r w:rsidRPr="00925F26">
        <w:rPr>
          <w:color w:val="000000" w:themeColor="text1"/>
          <w:sz w:val="16"/>
          <w:szCs w:val="16"/>
        </w:rPr>
        <w:t>Снегоход легко преодолевал снежные валы высотой 170 см, кустарник для него не был проблемой, на испытаниях машина повалила дерево с диаметром ствола 15 см — всё это было для аэросаней абсолютно нереальными показателями. Аэросани не могли подняться на косогор углом более 15 градусов, а для снегохода и 20 градусов не были проблемой (на более крутые склоны машина не могла подняться из-за недостаточного сцепления гусениц со снегом).</w:t>
      </w:r>
    </w:p>
    <w:p w14:paraId="5FB95FBD" w14:textId="77777777" w:rsidR="00F76B9F" w:rsidRPr="00925F26" w:rsidRDefault="00F76B9F" w:rsidP="00925F26">
      <w:pPr>
        <w:jc w:val="both"/>
        <w:rPr>
          <w:color w:val="000000" w:themeColor="text1"/>
          <w:sz w:val="16"/>
          <w:szCs w:val="16"/>
        </w:rPr>
      </w:pPr>
      <w:r w:rsidRPr="00925F26">
        <w:rPr>
          <w:color w:val="000000" w:themeColor="text1"/>
          <w:sz w:val="16"/>
          <w:szCs w:val="16"/>
        </w:rPr>
        <w:t>Можно с уверенностью говорить о том, что на тот момент не было ни одной машины, которая могла сравниться с Armoured Snowmobile Mk.I по проходимости. Наличие у машины буксирного крюка не осталось незамеченным: одним из пунктов испытаний стала буксировка 76-мм полковой пушки образца 1943 года (ОБ-25). Снегоход без проблем тащил за собой пушку по всем участкам местности, при этом средняя скорость движения по просёлочной дороге составила 18–20 км/ч. Этого испытателям показалось мало, и в довесок к пушке за Armoured Snowmobile Mk.I потащили его оппонента НКЛ-38. Машина справилась и с этой задачей, уверенно потащив невероятный для снегохода груз за собой. Более того, канадский снегоход дополнительно испытали на подъём с НКЛ-38 в качестве прицепа — в таком виде был преодолён косогор с углом 12 градусов.</w:t>
      </w:r>
    </w:p>
    <w:p w14:paraId="659AC1B4" w14:textId="77777777" w:rsidR="00F76B9F" w:rsidRPr="00925F26" w:rsidRDefault="00F76B9F" w:rsidP="00925F26">
      <w:pPr>
        <w:jc w:val="both"/>
        <w:rPr>
          <w:color w:val="000000" w:themeColor="text1"/>
          <w:sz w:val="16"/>
          <w:szCs w:val="16"/>
        </w:rPr>
      </w:pPr>
      <w:r w:rsidRPr="00925F26">
        <w:rPr>
          <w:color w:val="000000" w:themeColor="text1"/>
          <w:sz w:val="16"/>
          <w:szCs w:val="16"/>
        </w:rPr>
        <w:t>Положительные отзывы вызвало и расположение экипажа. Как уже говорилось, кабина была сделана открытой сверху, и головы экипажа защищали лишь откидывающиеся ветровые щитки, зато имелась эффективная система обогрева. Отмечалось удобство пользования радиостанцией, удобное расположение рычагов управления и информативность приборной панели. Была высоко оценена и установка вооружения, позволявшая по-разному распределять оружие между членами экипажа. Вертлюги, доступные стрелку-радисту, позволяли вести огонь как по наземным, так и по воздушным целям. Единственным серьёзным недостатком боевого отделения было расположение смотрового прибора в лобовом листе корпуса. Конструкторы установили его слишком низко, и смотровой прибор выполнял, по сути, декоративную функцию, поскольку пользоваться им было почти невозможно.</w:t>
      </w:r>
    </w:p>
    <w:p w14:paraId="7D0613BE" w14:textId="77777777" w:rsidR="00F76B9F" w:rsidRPr="00925F26" w:rsidRDefault="00F76B9F" w:rsidP="00925F26">
      <w:pPr>
        <w:jc w:val="both"/>
        <w:rPr>
          <w:color w:val="000000" w:themeColor="text1"/>
          <w:sz w:val="16"/>
          <w:szCs w:val="16"/>
        </w:rPr>
      </w:pPr>
      <w:r w:rsidRPr="00925F26">
        <w:rPr>
          <w:color w:val="000000" w:themeColor="text1"/>
          <w:sz w:val="16"/>
          <w:szCs w:val="16"/>
        </w:rPr>
        <w:t>По итогам испытаний канадская машина удостоилась похвалы. Конструкцию ходовой части признали удачной, также отмечали высокие данные по проходимости, которая оказалась выше, чем у Bombardier B2 (улучшенную версию B1 также прислали на испытания в СССР). Благодаря применению автоматической коробки передач отмечалась лёгкость управления. Удачным решением назвали и использование тёплого воздуха от двигателя в качестве средства обогрева боевого отделения. В целом машина представляла большой интерес для советской промышленности:</w:t>
      </w:r>
    </w:p>
    <w:p w14:paraId="6D305BCD" w14:textId="77777777" w:rsidR="00F76B9F" w:rsidRPr="00925F26" w:rsidRDefault="00F76B9F" w:rsidP="00925F26">
      <w:pPr>
        <w:jc w:val="both"/>
        <w:rPr>
          <w:color w:val="000000" w:themeColor="text1"/>
          <w:sz w:val="16"/>
          <w:szCs w:val="16"/>
        </w:rPr>
      </w:pPr>
      <w:r w:rsidRPr="00925F26">
        <w:rPr>
          <w:color w:val="000000" w:themeColor="text1"/>
          <w:sz w:val="16"/>
          <w:szCs w:val="16"/>
        </w:rPr>
        <w:t>«1. Канадский бронированный снегоход Б-3 (Мк-1) обладает удовлетворительными динамическими качествами и высокой проходимостью в условиях зимнего бездорожья.</w:t>
      </w:r>
    </w:p>
    <w:p w14:paraId="733ECA5F" w14:textId="77777777" w:rsidR="00F76B9F" w:rsidRPr="00925F26" w:rsidRDefault="00F76B9F" w:rsidP="00925F26">
      <w:pPr>
        <w:jc w:val="both"/>
        <w:rPr>
          <w:color w:val="000000" w:themeColor="text1"/>
          <w:sz w:val="16"/>
          <w:szCs w:val="16"/>
        </w:rPr>
      </w:pPr>
      <w:r w:rsidRPr="00925F26">
        <w:rPr>
          <w:color w:val="000000" w:themeColor="text1"/>
          <w:sz w:val="16"/>
          <w:szCs w:val="16"/>
        </w:rPr>
        <w:t>Малое количество мест для пассажиров и груза на снегоходе затрудняет использование его как транспортёра или лёгкого</w:t>
      </w:r>
      <w:hyperlink r:id="rId68" w:history="1">
        <w:r w:rsidRPr="00925F26">
          <w:rPr>
            <w:rStyle w:val="a5"/>
            <w:color w:val="000000" w:themeColor="text1"/>
            <w:sz w:val="16"/>
            <w:szCs w:val="16"/>
          </w:rPr>
          <w:t>артиллерийского тягача</w:t>
        </w:r>
      </w:hyperlink>
      <w:r w:rsidRPr="00925F26">
        <w:rPr>
          <w:color w:val="000000" w:themeColor="text1"/>
          <w:sz w:val="16"/>
          <w:szCs w:val="16"/>
        </w:rPr>
        <w:t>.</w:t>
      </w:r>
    </w:p>
    <w:p w14:paraId="4AE684F0" w14:textId="77777777" w:rsidR="00F76B9F" w:rsidRPr="00925F26" w:rsidRDefault="00F76B9F" w:rsidP="00925F26">
      <w:pPr>
        <w:jc w:val="both"/>
        <w:rPr>
          <w:color w:val="000000" w:themeColor="text1"/>
          <w:sz w:val="16"/>
          <w:szCs w:val="16"/>
        </w:rPr>
      </w:pPr>
      <w:r w:rsidRPr="00925F26">
        <w:rPr>
          <w:color w:val="000000" w:themeColor="text1"/>
          <w:sz w:val="16"/>
          <w:szCs w:val="16"/>
        </w:rPr>
        <w:t>В настоящем виде снегоход может быть использован как разведывательная или связная машина.</w:t>
      </w:r>
    </w:p>
    <w:p w14:paraId="0886D0B8" w14:textId="77777777" w:rsidR="00F76B9F" w:rsidRPr="00925F26" w:rsidRDefault="00F76B9F" w:rsidP="00925F26">
      <w:pPr>
        <w:jc w:val="both"/>
        <w:rPr>
          <w:color w:val="000000" w:themeColor="text1"/>
          <w:sz w:val="16"/>
          <w:szCs w:val="16"/>
        </w:rPr>
      </w:pPr>
      <w:r w:rsidRPr="00925F26">
        <w:rPr>
          <w:color w:val="000000" w:themeColor="text1"/>
          <w:sz w:val="16"/>
          <w:szCs w:val="16"/>
        </w:rPr>
        <w:t>2. Базу снегохода Б-3 (Мк-1) целесообразно использовать для создания отечественного вездехода в качестве транспортёра и лёгкого тягача».</w:t>
      </w:r>
    </w:p>
    <w:p w14:paraId="3701DB0A" w14:textId="77777777" w:rsidR="00F76B9F" w:rsidRPr="00925F26" w:rsidRDefault="00F76B9F" w:rsidP="00925F26">
      <w:pPr>
        <w:jc w:val="both"/>
        <w:rPr>
          <w:color w:val="000000" w:themeColor="text1"/>
          <w:sz w:val="16"/>
          <w:szCs w:val="16"/>
        </w:rPr>
      </w:pPr>
      <w:r w:rsidRPr="00925F26">
        <w:rPr>
          <w:color w:val="000000" w:themeColor="text1"/>
          <w:sz w:val="16"/>
          <w:szCs w:val="16"/>
        </w:rPr>
        <w:t>Вряд ли на НИБТ Полигоне знали, для чего разрабатывался Armoured Snowmobile Mk.I, так что комментарии насчёт «плохого тягача» можно опустить. Как уже говорилось, данная машина фактически являлась аналогом НКЛ-26. Она показала главное: гусеничная система Бомбардье выглядела более удачной, чем аэросани. Даже небольшого объёма испытаний оказалось достаточно, чтобы сделать выводы о перспективах аэросаней. НКЛ-38 в серию не пошли, а после войны боевые аэросани уже не строили. Впрочем, для канадской машины испытания на этом не закончились (18251).</w:t>
      </w:r>
    </w:p>
    <w:p w14:paraId="5D3CF150" w14:textId="77777777" w:rsidR="00F76B9F" w:rsidRPr="00925F26" w:rsidRDefault="00F76B9F" w:rsidP="00925F26">
      <w:pPr>
        <w:jc w:val="both"/>
        <w:rPr>
          <w:color w:val="000000" w:themeColor="text1"/>
          <w:sz w:val="16"/>
          <w:szCs w:val="16"/>
        </w:rPr>
      </w:pPr>
    </w:p>
    <w:p w14:paraId="06026C5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марта 1945 вышло Распоряжение ГКО № 7791 [О мерах по разгрузке Уфимского, Грозненских и Бакинских нефтезаводов от скопившихся светлых нефтепродуктов.] (7315, 2-3).</w:t>
      </w:r>
    </w:p>
    <w:p w14:paraId="260437F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AE44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вышло Постановление ГКО № 7790 О мерах неотложной помощи углем Мосгорисполкому в марте 1945 года. РГАНИР, Фонд ГКО, д. 380 Л.1 (11012).</w:t>
      </w:r>
    </w:p>
    <w:p w14:paraId="725A0E06" w14:textId="77777777" w:rsidR="00665165" w:rsidRPr="00925F26" w:rsidRDefault="00665165" w:rsidP="00925F26">
      <w:pPr>
        <w:autoSpaceDE w:val="0"/>
        <w:autoSpaceDN w:val="0"/>
        <w:adjustRightInd w:val="0"/>
        <w:jc w:val="both"/>
        <w:rPr>
          <w:color w:val="000000" w:themeColor="text1"/>
          <w:sz w:val="16"/>
          <w:szCs w:val="16"/>
        </w:rPr>
      </w:pPr>
    </w:p>
    <w:p w14:paraId="03D8DF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вышло Распоряжение ГКО № 7792. Об обеспечении предприятий НКЧМ марганцевой рудой. РГАНИР, Фонд ГКО, д. 380 Л.4 (11012).</w:t>
      </w:r>
    </w:p>
    <w:p w14:paraId="32159E4A" w14:textId="77777777" w:rsidR="00665165" w:rsidRPr="00925F26" w:rsidRDefault="00665165" w:rsidP="00925F26">
      <w:pPr>
        <w:autoSpaceDE w:val="0"/>
        <w:autoSpaceDN w:val="0"/>
        <w:adjustRightInd w:val="0"/>
        <w:jc w:val="both"/>
        <w:rPr>
          <w:color w:val="000000" w:themeColor="text1"/>
          <w:sz w:val="16"/>
          <w:szCs w:val="16"/>
        </w:rPr>
      </w:pPr>
    </w:p>
    <w:p w14:paraId="02664B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вышло Постановление ГКО № 7793 Об обеспечении куйбышевских электростанций углем на период весеннего разлива реки Волги. РГАНИР, Фонд ГКО, д. 380, лл. 5-7 (11012).</w:t>
      </w:r>
    </w:p>
    <w:p w14:paraId="2961FCAB" w14:textId="77777777" w:rsidR="00665165" w:rsidRPr="00925F26" w:rsidRDefault="00665165" w:rsidP="00925F26">
      <w:pPr>
        <w:autoSpaceDE w:val="0"/>
        <w:autoSpaceDN w:val="0"/>
        <w:adjustRightInd w:val="0"/>
        <w:jc w:val="both"/>
        <w:rPr>
          <w:color w:val="000000" w:themeColor="text1"/>
          <w:sz w:val="16"/>
          <w:szCs w:val="16"/>
        </w:rPr>
      </w:pPr>
    </w:p>
    <w:p w14:paraId="2F26EF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вышло Постановление ГКО № 7794 О мероприятиях по обеспечению мазутом заводов Наркомвооружения в марте 1945 г. РГАНИР, Фонд ГКО, д. 380, лл. 8-10 (11012).</w:t>
      </w:r>
    </w:p>
    <w:p w14:paraId="03CC9D32" w14:textId="77777777" w:rsidR="00665165" w:rsidRPr="00925F26" w:rsidRDefault="00665165" w:rsidP="00925F26">
      <w:pPr>
        <w:autoSpaceDE w:val="0"/>
        <w:autoSpaceDN w:val="0"/>
        <w:adjustRightInd w:val="0"/>
        <w:jc w:val="both"/>
        <w:rPr>
          <w:color w:val="000000" w:themeColor="text1"/>
          <w:sz w:val="16"/>
          <w:szCs w:val="16"/>
        </w:rPr>
      </w:pPr>
    </w:p>
    <w:p w14:paraId="5BB74B9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1DB1A06" w14:textId="77777777" w:rsidR="00665165" w:rsidRPr="00925F26" w:rsidRDefault="00665165" w:rsidP="00925F26">
      <w:pPr>
        <w:autoSpaceDE w:val="0"/>
        <w:autoSpaceDN w:val="0"/>
        <w:adjustRightInd w:val="0"/>
        <w:jc w:val="both"/>
        <w:rPr>
          <w:iCs/>
          <w:color w:val="000000" w:themeColor="text1"/>
          <w:sz w:val="16"/>
          <w:szCs w:val="16"/>
        </w:rPr>
      </w:pPr>
    </w:p>
    <w:p w14:paraId="6D8226ED" w14:textId="77777777" w:rsidR="00070AF2" w:rsidRPr="00925F26" w:rsidRDefault="00070AF2" w:rsidP="00925F26">
      <w:pPr>
        <w:jc w:val="both"/>
        <w:rPr>
          <w:color w:val="000000" w:themeColor="text1"/>
          <w:sz w:val="16"/>
          <w:szCs w:val="16"/>
        </w:rPr>
      </w:pPr>
      <w:r w:rsidRPr="00925F26">
        <w:rPr>
          <w:bCs/>
          <w:color w:val="000000" w:themeColor="text1"/>
          <w:sz w:val="16"/>
          <w:szCs w:val="16"/>
        </w:rPr>
        <w:t>12 марта</w:t>
      </w:r>
      <w:r w:rsidRPr="00925F26">
        <w:rPr>
          <w:color w:val="000000" w:themeColor="text1"/>
          <w:sz w:val="16"/>
          <w:szCs w:val="16"/>
        </w:rPr>
        <w:t xml:space="preserve"> в 1945 году оперативная сводка Совинформбюро:</w:t>
      </w:r>
    </w:p>
    <w:p w14:paraId="351C4EA1" w14:textId="77777777" w:rsidR="00070AF2" w:rsidRPr="00925F26" w:rsidRDefault="00070AF2"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овладели важными опорными пунктами обороны немцев на подступах к Данцигу и Гдыне городами Тчев (Диршау), Вейхарово (Нойштадт) и вышли на побережье Данцигской бухты севернее Гдыни, заняв город Пуцк (Путциг). Одновременно войска фронта заняли более 100 других населённых пунктов и среди них Квашин, Коллетцкау, Решке, Гневау, Гросс Шлатау, Зеллистрау, Польцин, Верблин, Шлавошин, Карвен. За 11 марта в этом районе взято в плен более 2.000 немецких солдат и офицеров.</w:t>
      </w:r>
    </w:p>
    <w:p w14:paraId="1A014C22" w14:textId="77777777" w:rsidR="00070AF2" w:rsidRPr="00925F26" w:rsidRDefault="00070AF2" w:rsidP="00925F26">
      <w:pPr>
        <w:jc w:val="both"/>
        <w:rPr>
          <w:color w:val="000000" w:themeColor="text1"/>
          <w:sz w:val="16"/>
          <w:szCs w:val="16"/>
        </w:rPr>
      </w:pPr>
      <w:r w:rsidRPr="00925F26">
        <w:rPr>
          <w:color w:val="000000" w:themeColor="text1"/>
          <w:sz w:val="16"/>
          <w:szCs w:val="16"/>
        </w:rPr>
        <w:t>Войска 1-го Белорусского фронта после упорных боёв 12 марта штурмом овладели городом и крепостью Кистжинь (Кюстрин) — важным узлом путей сообщения и мощным опорным пунктом обороны немцев на реке Одер, прикрывающим подступы к Берлину.</w:t>
      </w:r>
    </w:p>
    <w:p w14:paraId="3ED27F6E" w14:textId="77777777" w:rsidR="00070AF2" w:rsidRPr="00925F26" w:rsidRDefault="00070AF2"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наши войска отбивали атаки крупных сил пехоты и танков противника и нанесли ему большие потери. В боях за 11 марта в этом районе огнём нашей артиллерии уничтожено 54 немецких танка и самоходных орудия. Кроме того, подбито и подорвалось на наших минных полях 27 танков и самоходных орудий противника.</w:t>
      </w:r>
    </w:p>
    <w:p w14:paraId="2C6F78F4" w14:textId="77777777" w:rsidR="00070AF2" w:rsidRPr="00925F26" w:rsidRDefault="00070AF2"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4B7FE1E3" w14:textId="77777777" w:rsidR="00070AF2" w:rsidRPr="00925F26" w:rsidRDefault="00070AF2" w:rsidP="00925F26">
      <w:pPr>
        <w:jc w:val="both"/>
        <w:rPr>
          <w:color w:val="000000" w:themeColor="text1"/>
          <w:sz w:val="16"/>
          <w:szCs w:val="16"/>
        </w:rPr>
      </w:pPr>
      <w:r w:rsidRPr="00925F26">
        <w:rPr>
          <w:color w:val="000000" w:themeColor="text1"/>
          <w:sz w:val="16"/>
          <w:szCs w:val="16"/>
        </w:rPr>
        <w:t>За 11 марта на всех фронтах подбито и уничтожено 168 немецких танков и самоходных орудий. В воздушных боях и огнём зенитной артиллерии сбито 102 самолёта противника.</w:t>
      </w:r>
    </w:p>
    <w:p w14:paraId="0409929E" w14:textId="77777777" w:rsidR="00070AF2" w:rsidRPr="00925F26" w:rsidRDefault="00070AF2" w:rsidP="00925F26">
      <w:pPr>
        <w:jc w:val="both"/>
        <w:rPr>
          <w:color w:val="000000" w:themeColor="text1"/>
          <w:sz w:val="16"/>
          <w:szCs w:val="16"/>
        </w:rPr>
      </w:pPr>
      <w:r w:rsidRPr="00925F26">
        <w:rPr>
          <w:color w:val="000000" w:themeColor="text1"/>
          <w:sz w:val="16"/>
          <w:szCs w:val="16"/>
        </w:rPr>
        <w:t>Налёты нашей авиации на Данциг, Гдыню и Кенигсберг</w:t>
      </w:r>
    </w:p>
    <w:p w14:paraId="7E4A6002" w14:textId="77777777" w:rsidR="00070AF2" w:rsidRPr="00925F26" w:rsidRDefault="00070AF2" w:rsidP="00925F26">
      <w:pPr>
        <w:jc w:val="both"/>
        <w:rPr>
          <w:color w:val="000000" w:themeColor="text1"/>
          <w:sz w:val="16"/>
          <w:szCs w:val="16"/>
        </w:rPr>
      </w:pPr>
      <w:r w:rsidRPr="00925F26">
        <w:rPr>
          <w:color w:val="000000" w:themeColor="text1"/>
          <w:sz w:val="16"/>
          <w:szCs w:val="16"/>
        </w:rPr>
        <w:lastRenderedPageBreak/>
        <w:t>В ночь на 12 марта ваши тяжёлые бомбардировщики нанесли удар по военно-промышленным объектам в городах Данциге, Гдыне и Кенигсберге. В результате бомбардировки в указанных городах возникли пожары, сопровождавшиеся взрывами. Особенно сильные взрывы отмечены в Гдыне на территории военных складов и в порту.</w:t>
      </w:r>
    </w:p>
    <w:p w14:paraId="065217CE" w14:textId="77777777" w:rsidR="00070AF2" w:rsidRPr="00925F26" w:rsidRDefault="00070AF2" w:rsidP="00925F26">
      <w:pPr>
        <w:jc w:val="both"/>
        <w:rPr>
          <w:color w:val="000000" w:themeColor="text1"/>
          <w:sz w:val="16"/>
          <w:szCs w:val="16"/>
        </w:rPr>
      </w:pPr>
      <w:r w:rsidRPr="00925F26">
        <w:rPr>
          <w:color w:val="000000" w:themeColor="text1"/>
          <w:sz w:val="16"/>
          <w:szCs w:val="16"/>
        </w:rPr>
        <w:t xml:space="preserve">Войска 2-го Белорусского фронта продолжали успешное наступление. На подступах к Данцигу с юга советские части овладели городом Тчев (Диршау) — крупным узлом железных дорог и сильным опорным пунктом обороны немцев. Противник сосредоточил в этом районе крупные силы пехоты и предпринимал контратаки. Наши передовые подразделения отражали вражеские контратаки, а основные силы совершили обходный манёвр и нанесли противнику внезапный удар с фланга. Над вражеской группировкой нависла опасность окружения. Немцы в беспорядке отступили, бросая оружие и боеприпасы. На другом участке наши подвижные соединения и пехота, преследуя разбитые немецкие части, быстро продвинулись вперёд и достигли западной окраины города Вейхарово (Нойштадт). Немцы, используя баррикады и каменные здания, оказывали упорное сопротивление. Наши пехотинцы и танкисты подавили узлы сопротивления противника и заняли город Вейхарово. Развивая успех, войска фронта продвинулись вперед на 25 километров и стремительной атакой заняли город Луцк (Путциг), расположенный на побережье Данцигской бухты. За день наступления занято более 100 других населённых пунктов, в том числе узел шоссейных дорог Квашин, находящийся в 10 километрах от Гдыни. В руках немцев остаётся узкая прибрежная полоса вдоль </w:t>
      </w:r>
      <w:proofErr w:type="gramStart"/>
      <w:r w:rsidRPr="00925F26">
        <w:rPr>
          <w:color w:val="000000" w:themeColor="text1"/>
          <w:sz w:val="16"/>
          <w:szCs w:val="16"/>
        </w:rPr>
        <w:t>Данциг-ской</w:t>
      </w:r>
      <w:proofErr w:type="gramEnd"/>
      <w:r w:rsidRPr="00925F26">
        <w:rPr>
          <w:color w:val="000000" w:themeColor="text1"/>
          <w:sz w:val="16"/>
          <w:szCs w:val="16"/>
        </w:rPr>
        <w:t xml:space="preserve"> бухты. Отступая под ударами наших войск, противник несёт огромные потери. На улицах населённых пунктов и на дорогах лежат тысячи вражеских трупов. Наши части захватили 34 танка и самоходных орудия, 11 бронетранспортёров, 127 полевых орудий, 6 самолётов, 1.800 повозок, 2.600 лошадей, 15 железнодорожных эшелонов и много других трофеев.</w:t>
      </w:r>
    </w:p>
    <w:p w14:paraId="1667DCAE" w14:textId="77777777" w:rsidR="00070AF2" w:rsidRPr="00925F26" w:rsidRDefault="00070AF2" w:rsidP="00925F26">
      <w:pPr>
        <w:jc w:val="both"/>
        <w:rPr>
          <w:color w:val="000000" w:themeColor="text1"/>
          <w:sz w:val="16"/>
          <w:szCs w:val="16"/>
        </w:rPr>
      </w:pPr>
      <w:r w:rsidRPr="00925F26">
        <w:rPr>
          <w:color w:val="000000" w:themeColor="text1"/>
          <w:sz w:val="16"/>
          <w:szCs w:val="16"/>
        </w:rPr>
        <w:t>Войска 1-го Белорусского фронта сегодня штурмом овладели городом и крепостью Кистжинь (Кюстрин). Этот город, расположенный при впадении реки Варты в Одер, являлся мощным опорным пунктом, прикрывающим подступы к Берлину. За последние годы форты крепости были усилены современными железобетонными оборонительными сооружениями. Несколько дней назад наши войска начали бои за Кистжинь. После мощной артиллерийской подготовки советские танки и пехота стремительным ударом заняли Нойштадт — северное предместье города и ворвались на его окраины. Завязались ожесточённые уличные бои. Немцы превратили все каменные здания в доты, а улицы преградили минными полями, баррикадами и противотанковыми рвами. Наши артиллеристы разрушали вражеские узлы сопротивления и расчищали путь пехоте. Противник, устилая улицы города трупами своих солдат, был вынужден оставлять один квартал за другим. Советские части выбили гитлеровцев из района железнодорожной станции, военных заводов и захватили 150 полевых орудий и большие склады боеприпасов. Сегодня наши войска завершили разгром крупного гарнизона противника и полностью овладели городом и крепостью. Захвачено много пленных. Наша авиация активно поддерживала действия наземных войск. Советские лётчики в воздушных боях сбили 32 самолёта противника. Кроме того, 8 немецких самолётов уничтожено огнём нашей зенитной артиллерии.</w:t>
      </w:r>
    </w:p>
    <w:p w14:paraId="2989C472" w14:textId="77777777" w:rsidR="00070AF2" w:rsidRPr="00925F26" w:rsidRDefault="00070AF2" w:rsidP="00925F26">
      <w:pPr>
        <w:jc w:val="both"/>
        <w:rPr>
          <w:color w:val="000000" w:themeColor="text1"/>
          <w:sz w:val="16"/>
          <w:szCs w:val="16"/>
        </w:rPr>
      </w:pPr>
      <w:r w:rsidRPr="00925F26">
        <w:rPr>
          <w:color w:val="000000" w:themeColor="text1"/>
          <w:sz w:val="16"/>
          <w:szCs w:val="16"/>
        </w:rPr>
        <w:t>Юго-западнее города Кольберг наши подразделения при прочёске леса встретили группу гитлеровцев. Немцы оказали сопротивление. В результате боя 27 немецких солдат и офицеров было убито, а 11 человек взято в плен. Среди убитых обнаружен труп командира 163-й немецкой пехотной дивизии генерал-лейтенанта Рубель.</w:t>
      </w:r>
    </w:p>
    <w:p w14:paraId="25421CF6" w14:textId="77777777" w:rsidR="00070AF2" w:rsidRPr="00925F26" w:rsidRDefault="00070AF2"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противник рано утром, после сильной артиллерийской подготовки, возобновил атаки наших позиций. Не добившись за истекшие дни успеха, немцы ввели в бой ещё две танковые дивизии. Пленные сообщают, что перед началом наступления Гитлер издал приказ, в котором предлагал, не считаясь ни с какими потерями, к 10 марта выйти к Дунаю. Немцы уже потеряли сотни танков, но не добились успеха. Советские пехотинцы, артиллеристы и танкисты мужественно защищают свои рубежи и наносят врагу огромный урон. За день боёв уничтожено свыше 3 тысяч немецких солдат и офицеров.</w:t>
      </w:r>
    </w:p>
    <w:p w14:paraId="745DD125" w14:textId="77777777" w:rsidR="00070AF2" w:rsidRPr="00925F26" w:rsidRDefault="00070AF2" w:rsidP="00925F26">
      <w:pPr>
        <w:jc w:val="both"/>
        <w:rPr>
          <w:color w:val="000000" w:themeColor="text1"/>
          <w:sz w:val="16"/>
          <w:szCs w:val="16"/>
        </w:rPr>
      </w:pPr>
      <w:r w:rsidRPr="00925F26">
        <w:rPr>
          <w:color w:val="000000" w:themeColor="text1"/>
          <w:sz w:val="16"/>
          <w:szCs w:val="16"/>
        </w:rPr>
        <w:t>Наша авиация наносила массированные бомбоштурмовые удары по боевым порядкам и подходящим резервам противника. Уничтожено большое число немецких танков, самоходных орудий, бронетранспортёров и автомашин. В воздушных боях сбито 25 самолётов противника.» (15066).</w:t>
      </w:r>
    </w:p>
    <w:p w14:paraId="4E2D7918" w14:textId="77777777" w:rsidR="00070AF2" w:rsidRPr="00925F26" w:rsidRDefault="00070AF2" w:rsidP="00925F26">
      <w:pPr>
        <w:jc w:val="both"/>
        <w:rPr>
          <w:color w:val="000000" w:themeColor="text1"/>
          <w:sz w:val="16"/>
          <w:szCs w:val="16"/>
        </w:rPr>
      </w:pPr>
    </w:p>
    <w:p w14:paraId="418B62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марта 1945 года имел место первый налет на конвой в Поморском заливе. 25 бомбардировщиков, 26 торпедоносцев и 56 штурмовиков в сопровождении 85 истребителей потопили тральщик N 3137, тральный катер N 249, транспорты "Андрос", "Хильде Ясмунд", "Карслберг", а также большой армейский транспорт "Руссельхайм" (9338 тонн) (2691).</w:t>
      </w:r>
    </w:p>
    <w:p w14:paraId="1B5E72A4" w14:textId="77777777" w:rsidR="00665165" w:rsidRPr="00925F26" w:rsidRDefault="00665165" w:rsidP="00925F26">
      <w:pPr>
        <w:autoSpaceDE w:val="0"/>
        <w:autoSpaceDN w:val="0"/>
        <w:adjustRightInd w:val="0"/>
        <w:jc w:val="both"/>
        <w:rPr>
          <w:color w:val="000000" w:themeColor="text1"/>
          <w:sz w:val="16"/>
          <w:szCs w:val="16"/>
        </w:rPr>
      </w:pPr>
    </w:p>
    <w:p w14:paraId="1160C9EF" w14:textId="77777777" w:rsidR="00BA2B8F" w:rsidRPr="00925F26" w:rsidRDefault="00BA2B8F" w:rsidP="00925F26">
      <w:pPr>
        <w:jc w:val="both"/>
        <w:rPr>
          <w:color w:val="000000" w:themeColor="text1"/>
          <w:sz w:val="16"/>
          <w:szCs w:val="16"/>
        </w:rPr>
      </w:pPr>
      <w:r w:rsidRPr="00925F26">
        <w:rPr>
          <w:color w:val="000000" w:themeColor="text1"/>
          <w:sz w:val="16"/>
          <w:szCs w:val="16"/>
        </w:rPr>
        <w:t>К 12 марта 1945 года, части армии, понесшие в ходе Силезской и Одер- ской операций тяжелые потери, были выведены во второй эшелон 1-го Украинского фронта на отдых и доукомплектование.</w:t>
      </w:r>
    </w:p>
    <w:p w14:paraId="492F8CD2" w14:textId="77777777" w:rsidR="00BA2B8F" w:rsidRPr="00925F26" w:rsidRDefault="00BA2B8F" w:rsidP="00925F26">
      <w:pPr>
        <w:jc w:val="both"/>
        <w:rPr>
          <w:color w:val="000000" w:themeColor="text1"/>
          <w:sz w:val="16"/>
          <w:szCs w:val="16"/>
        </w:rPr>
      </w:pPr>
      <w:r w:rsidRPr="00925F26">
        <w:rPr>
          <w:color w:val="000000" w:themeColor="text1"/>
          <w:sz w:val="16"/>
          <w:szCs w:val="16"/>
        </w:rPr>
        <w:t>К этому моменту в составе 3-й гвардейской танковой армии имелось всего 223 танка, из них 206 Т-34-85, 13 Т-34-76 (с тралами ПТ-3 из состава 90-го отдельного инженерно-танкового полка) и 4 ИС-2. Из Т-34-85 60 машин требовали капитального, 21 среднего и 5 текущего ремонта, а у 91 тридцатьчетверки был полностью израсходован моторесурс:</w:t>
      </w:r>
    </w:p>
    <w:p w14:paraId="403A3A91" w14:textId="77777777" w:rsidR="00BA2B8F" w:rsidRPr="00925F26" w:rsidRDefault="00BA2B8F" w:rsidP="00925F26">
      <w:pPr>
        <w:jc w:val="both"/>
        <w:rPr>
          <w:color w:val="000000" w:themeColor="text1"/>
          <w:sz w:val="16"/>
          <w:szCs w:val="16"/>
        </w:rPr>
      </w:pPr>
      <w:r w:rsidRPr="00925F26">
        <w:rPr>
          <w:color w:val="000000" w:themeColor="text1"/>
          <w:sz w:val="16"/>
          <w:szCs w:val="16"/>
        </w:rPr>
        <w:t>«Большинство танков и СУ из числа исправных, оставшихся от предыдущей операции, отработали по 250—400 моточасов и прошли 1709-1850 км, вследствие чего ходовая часть, двигатели, узлы и агрегаты трансмиссии были сильно изношены и требовали замены. Перед Управлением бронетанкового снабжения и ремонта была поставлена задача полностью подготовить и восстановить боевые машины к предстоящим операциям».</w:t>
      </w:r>
    </w:p>
    <w:p w14:paraId="14E5A432" w14:textId="77777777" w:rsidR="00BA2B8F" w:rsidRPr="00925F26" w:rsidRDefault="00BA2B8F" w:rsidP="00925F26">
      <w:pPr>
        <w:jc w:val="both"/>
        <w:rPr>
          <w:color w:val="000000" w:themeColor="text1"/>
          <w:sz w:val="16"/>
          <w:szCs w:val="16"/>
        </w:rPr>
      </w:pPr>
      <w:r w:rsidRPr="00925F26">
        <w:rPr>
          <w:color w:val="000000" w:themeColor="text1"/>
          <w:sz w:val="16"/>
          <w:szCs w:val="16"/>
        </w:rPr>
        <w:t>В течение месяца армия готовилась к предстоящим боям, восстанавливала технику и получала новую. В результате к 13 апреля 1945 года в ее составе имелось уже 456 танков, из которых 433 составляли тридцатьчетверки (420 Т-34-85 и 13 Т-34-76 с тралами). Правда при этом отмечалось, что 104 Т-34-85 «не имели запаса хода по ходовой части», а 26 Т-34-85 и 5 Т-34-76 переработали свой гарантийный срок (12217).</w:t>
      </w:r>
    </w:p>
    <w:p w14:paraId="48D8CBA2" w14:textId="77777777" w:rsidR="00BA2B8F" w:rsidRPr="00925F26" w:rsidRDefault="00BA2B8F" w:rsidP="00925F26">
      <w:pPr>
        <w:jc w:val="both"/>
        <w:rPr>
          <w:color w:val="000000" w:themeColor="text1"/>
          <w:sz w:val="16"/>
          <w:szCs w:val="16"/>
        </w:rPr>
      </w:pPr>
    </w:p>
    <w:p w14:paraId="4008EBE7"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14EE5E5" w14:textId="77777777" w:rsidR="00524C9D" w:rsidRPr="00925F26" w:rsidRDefault="00524C9D" w:rsidP="00925F26">
      <w:pPr>
        <w:autoSpaceDE w:val="0"/>
        <w:autoSpaceDN w:val="0"/>
        <w:adjustRightInd w:val="0"/>
        <w:jc w:val="both"/>
        <w:rPr>
          <w:iCs/>
          <w:color w:val="000000" w:themeColor="text1"/>
          <w:sz w:val="16"/>
          <w:szCs w:val="16"/>
        </w:rPr>
      </w:pPr>
    </w:p>
    <w:p w14:paraId="3AD64806" w14:textId="77777777" w:rsidR="00524C9D" w:rsidRPr="00925F26" w:rsidRDefault="00524C9D" w:rsidP="00925F26">
      <w:pPr>
        <w:jc w:val="both"/>
        <w:rPr>
          <w:color w:val="000000" w:themeColor="text1"/>
          <w:sz w:val="16"/>
          <w:szCs w:val="16"/>
        </w:rPr>
      </w:pPr>
      <w:r w:rsidRPr="00925F26">
        <w:rPr>
          <w:bCs/>
          <w:color w:val="000000" w:themeColor="text1"/>
          <w:sz w:val="16"/>
          <w:szCs w:val="16"/>
        </w:rPr>
        <w:t>12 марта</w:t>
      </w:r>
      <w:r w:rsidRPr="00925F26">
        <w:rPr>
          <w:color w:val="000000" w:themeColor="text1"/>
          <w:sz w:val="16"/>
          <w:szCs w:val="16"/>
        </w:rPr>
        <w:t xml:space="preserve"> в 1945 году СССР передал Трансильванию Румынии (15066).</w:t>
      </w:r>
    </w:p>
    <w:p w14:paraId="4995F31C" w14:textId="77777777" w:rsidR="00524C9D" w:rsidRPr="00925F26" w:rsidRDefault="00524C9D" w:rsidP="00925F26">
      <w:pPr>
        <w:jc w:val="both"/>
        <w:rPr>
          <w:color w:val="000000" w:themeColor="text1"/>
          <w:sz w:val="16"/>
          <w:szCs w:val="16"/>
        </w:rPr>
      </w:pPr>
    </w:p>
    <w:p w14:paraId="189C465A" w14:textId="77777777" w:rsidR="00524C9D" w:rsidRPr="00925F26" w:rsidRDefault="00524C9D" w:rsidP="00925F26">
      <w:pPr>
        <w:jc w:val="both"/>
        <w:rPr>
          <w:color w:val="000000" w:themeColor="text1"/>
          <w:sz w:val="16"/>
          <w:szCs w:val="16"/>
        </w:rPr>
      </w:pPr>
      <w:r w:rsidRPr="00925F26">
        <w:rPr>
          <w:bCs/>
          <w:color w:val="000000" w:themeColor="text1"/>
          <w:sz w:val="16"/>
          <w:szCs w:val="16"/>
        </w:rPr>
        <w:t>12 марта</w:t>
      </w:r>
      <w:r w:rsidRPr="00925F26">
        <w:rPr>
          <w:color w:val="000000" w:themeColor="text1"/>
          <w:sz w:val="16"/>
          <w:szCs w:val="16"/>
        </w:rPr>
        <w:t xml:space="preserve"> в 1945 году советское руководство, получив сведения о предстоящей встрече англо-американских представителей с представителями немецких войск в Северной Италии для обсуждения вопроса о прекращении военных действий, потребовало включения советского представителя в состав союзной делегации, но англо-американское руководство ответило отказом (15066).</w:t>
      </w:r>
    </w:p>
    <w:p w14:paraId="3E43A19E" w14:textId="77777777" w:rsidR="00524C9D" w:rsidRPr="00925F26" w:rsidRDefault="00524C9D" w:rsidP="00925F26">
      <w:pPr>
        <w:jc w:val="both"/>
        <w:rPr>
          <w:color w:val="000000" w:themeColor="text1"/>
          <w:sz w:val="16"/>
          <w:szCs w:val="16"/>
        </w:rPr>
      </w:pPr>
    </w:p>
    <w:p w14:paraId="439C09B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42D4064" w14:textId="77777777" w:rsidR="00665165" w:rsidRPr="00925F26" w:rsidRDefault="00665165" w:rsidP="00925F26">
      <w:pPr>
        <w:autoSpaceDE w:val="0"/>
        <w:autoSpaceDN w:val="0"/>
        <w:adjustRightInd w:val="0"/>
        <w:jc w:val="both"/>
        <w:rPr>
          <w:iCs/>
          <w:color w:val="000000" w:themeColor="text1"/>
          <w:sz w:val="16"/>
          <w:szCs w:val="16"/>
        </w:rPr>
      </w:pPr>
    </w:p>
    <w:p w14:paraId="76743E7E" w14:textId="77777777" w:rsidR="00334ED3" w:rsidRPr="001A0BAA" w:rsidRDefault="00334ED3" w:rsidP="00334ED3">
      <w:pPr>
        <w:jc w:val="both"/>
        <w:rPr>
          <w:color w:val="0070C0"/>
          <w:sz w:val="16"/>
          <w:szCs w:val="16"/>
        </w:rPr>
      </w:pPr>
      <w:r w:rsidRPr="001A0BAA">
        <w:rPr>
          <w:color w:val="0070C0"/>
          <w:sz w:val="16"/>
          <w:szCs w:val="16"/>
        </w:rPr>
        <w:t>12 марта 1945 года И</w:t>
      </w:r>
      <w:r w:rsidRPr="001A0BAA">
        <w:rPr>
          <w:color w:val="0070C0"/>
          <w:sz w:val="16"/>
          <w:szCs w:val="16"/>
        </w:rPr>
        <w:noBreakHyphen/>
        <w:t>152 на службе в финских ВВС совершил последний полет (25069).</w:t>
      </w:r>
    </w:p>
    <w:p w14:paraId="648E6BA5" w14:textId="77777777" w:rsidR="00334ED3" w:rsidRPr="001A0BAA" w:rsidRDefault="00334ED3" w:rsidP="00334ED3">
      <w:pPr>
        <w:jc w:val="both"/>
        <w:rPr>
          <w:color w:val="0070C0"/>
          <w:sz w:val="16"/>
          <w:szCs w:val="16"/>
        </w:rPr>
      </w:pPr>
    </w:p>
    <w:p w14:paraId="412B9AF8" w14:textId="32BFF106" w:rsidR="00CE1517" w:rsidRPr="00925F26" w:rsidRDefault="00CE1517" w:rsidP="00925F26">
      <w:pPr>
        <w:jc w:val="both"/>
        <w:rPr>
          <w:color w:val="000000" w:themeColor="text1"/>
          <w:sz w:val="16"/>
          <w:szCs w:val="16"/>
        </w:rPr>
      </w:pPr>
      <w:r w:rsidRPr="00925F26">
        <w:rPr>
          <w:color w:val="000000" w:themeColor="text1"/>
          <w:sz w:val="16"/>
          <w:szCs w:val="16"/>
        </w:rPr>
        <w:t xml:space="preserve">12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полёт скоростного бомбардировщика Mosquito B.35 (разработчик: de Havilland, Великобритания).</w:t>
      </w:r>
    </w:p>
    <w:p w14:paraId="40E4E1A1" w14:textId="77777777" w:rsidR="00CE1517" w:rsidRPr="00925F26" w:rsidRDefault="00CE1517" w:rsidP="00925F26">
      <w:pPr>
        <w:jc w:val="both"/>
        <w:rPr>
          <w:color w:val="000000" w:themeColor="text1"/>
          <w:sz w:val="16"/>
          <w:szCs w:val="16"/>
        </w:rPr>
      </w:pPr>
      <w:r w:rsidRPr="00925F26">
        <w:rPr>
          <w:color w:val="000000" w:themeColor="text1"/>
          <w:sz w:val="16"/>
          <w:szCs w:val="16"/>
        </w:rPr>
        <w:t>Эта модификация отличалась от предшественников новыми, более совершенными моторами "Мерлин" 113 (114) мощностью по 1710 л.с. Максимальная скорость В.35 на высоте 9000 м достигала 679 км/ч. К концу мая "Де Хевиллснд" смогла выпустить 57 самолётов, но принять участие в войне они не успели. Всего было построено 274 бомбардировщика этой модификации. Часть из них впоследствии переоборудовали в буксировщики мишеней ТТ.35 (не менее 75 единиц) и разведчики PR.35 (не менее 9 машин) (22570).</w:t>
      </w:r>
    </w:p>
    <w:p w14:paraId="27B0A68C" w14:textId="77777777" w:rsidR="00CE1517" w:rsidRPr="00925F26" w:rsidRDefault="00CE1517" w:rsidP="00925F26">
      <w:pPr>
        <w:jc w:val="both"/>
        <w:rPr>
          <w:color w:val="000000" w:themeColor="text1"/>
          <w:sz w:val="16"/>
          <w:szCs w:val="16"/>
        </w:rPr>
      </w:pPr>
    </w:p>
    <w:p w14:paraId="670C1BC9" w14:textId="77777777" w:rsidR="00070AF2" w:rsidRPr="00925F26" w:rsidRDefault="00070AF2" w:rsidP="00925F26">
      <w:pPr>
        <w:jc w:val="both"/>
        <w:rPr>
          <w:color w:val="000000" w:themeColor="text1"/>
          <w:sz w:val="16"/>
          <w:szCs w:val="16"/>
        </w:rPr>
      </w:pPr>
      <w:r w:rsidRPr="00925F26">
        <w:rPr>
          <w:color w:val="000000" w:themeColor="text1"/>
          <w:sz w:val="16"/>
          <w:szCs w:val="16"/>
        </w:rPr>
        <w:t>12 марта 1945г. на совещании у Геринга Go.229 был включен в "срочную истребительную программу", но через два месяца американцы захватили завод в Фридрихсроде. VЗ был уже подготовлен для испытаний, V4 и V6 были почти готовы, были готовы и узлы для 20 предсерийных Go.229a-0.</w:t>
      </w:r>
    </w:p>
    <w:p w14:paraId="5692D798" w14:textId="77777777" w:rsidR="00070AF2" w:rsidRPr="00925F26" w:rsidRDefault="00070AF2" w:rsidP="00925F26">
      <w:pPr>
        <w:jc w:val="both"/>
        <w:rPr>
          <w:color w:val="000000" w:themeColor="text1"/>
          <w:sz w:val="16"/>
          <w:szCs w:val="16"/>
        </w:rPr>
      </w:pPr>
      <w:r w:rsidRPr="00925F26">
        <w:rPr>
          <w:color w:val="000000" w:themeColor="text1"/>
          <w:sz w:val="16"/>
          <w:szCs w:val="16"/>
        </w:rPr>
        <w:t xml:space="preserve">Go.229 - первый турбореактивный самолет - "летающее крыло" – стал одним из самых нестандартных боевых самолетов, построенных в течении 2-й мировой войны, стал. Он представлял собой итог более чем десятилетней конструкторской деятельности братьев Реймара и Вальтера Хортенов, главной целью которых было создание самолета с минимальным сопротивлением. В результате Go.229 не имел фюзеляжа как такового. Толщина центроплана была достаточной для размещения в нем пилота и двигателя. Вертикальное оперение отсутствовало. Управление по курсу осуществлялось спойлерами, установленными на крыле. Точно так же создан и современный американский B-2. Участие "Готаер вагонфабрик" свелось к подготовке серийного производства с некоторыми соответствующими изменениями в конструкции. Основную же работу провели братья Хортены по собственной инициативе за два года до присоединения к их работам концерна в Готе. В 1942 г. майор Вальтер Хортен и его брат обер-лейтенант Реймар были отозваны из строевых частей специально для работы в "зондеркоманде 9", созданной под эгидой люфтваффе исключительно для реализации проекта "летающего крыла". Основная идея заключалась в том, что чистое крыло будет иметь значительно меньшее аэродинамическое сопротивление. Первый планер "Хортен-I" полетел еще в 1931г, когда Вальтеру Хортену только исполнилось 16 лет. Деревянный планер с тканевым покрытием управлялся элевонами и рулевыми тормозами на концах крыла. Опыт, полученный в работе над ним, отразился в создании в 1934г. нового "Хортен-II", имевшего большее удлинение крыла и стреловидную заднюю кромку. Внутренние элевоны использовались как рули высоты, а внешние - как элероны. В течении 1935г. "Хортен" был оснащен 80-сильным двигателем воздушного охлаждения "Хирт" НМ-60R, расположенным внутри крыла и работающим на толкающий винт через удлиненный вал. Оба брата поступили в люфтваффе в 1936г, но продолжили свою конструкторскую деятельность. В 1936-37 гг были построены три "Хортена-II", участвовавшие в состязаниях в Роне в 1937г. В 1938г. Хортены ушли из люфтваффе и построили еще ряд самолетов. К этому времени работы братьев получили заметную официальную и неофициальную известность. В 1939 ими интересовался Эрнст Хейнкель, но переговоры зашли в тупик из-за его желания зарегистрировать все последующие патенты на свое имя. Еще одни переговоры прошли с Вилли Мессершмиттом, но опять же безрезультатно. Действенное участие министерства авиации </w:t>
      </w:r>
      <w:r w:rsidRPr="00925F26">
        <w:rPr>
          <w:color w:val="000000" w:themeColor="text1"/>
          <w:sz w:val="16"/>
          <w:szCs w:val="16"/>
        </w:rPr>
        <w:lastRenderedPageBreak/>
        <w:t>и создание "зондеркоманды-9" на базе ремонтного завода в Геттингене помогло им. Кроме того, братья могли использовать фурнитурную фабрику "Пешке" для вспомогательных работ. К моменту передачи завода братья спроектировали и построили планер Но-IV, в котором пилот располагался лежа. Удлинение крыла было 21.66 вместо 10.66 на Но-III. Первым спроектированным с самого начала самолетом Хортенов стал двухместный Ho-V с двумя 80-сильными моторами "Хирт" НМ-60R. Двигатели располагались в крыле и приводили толкающие винты через удлиненные валы. Братья довольно быстро осознали перспективы сочетания прекрасной аэродинамики летающего крыла с турбореактивным двигателем. Однако они понимали, что несмотря на хорошие связи в РЛМ, консерватизм последнего пересилит. К счастью, разведка добыла сведения, что подобные работы проводятся в США на фирме "Нортроп". Это подхлестнуло РЛМ в финансировании работ "зондеркоманды 9", предоставив ей особый статус, выводящий из-под непосредственного руководства Технического департамента. Перед проработкой проекта реактивного истребителя "летающее крыло" Хортены создали двухместный учебный Но-VII, главной задачей которого было обучение пилотов на самолете столь необычной схемы. Одновременно самолет должен был послужить для проверки проработок по реактивному истребителю. В результате Но-VII официально предназначался на роль опытного самолета для аэродинамических исследований и в качестве связного. Контракт на 20 Но-VII был передан на завод "Пешке" в Миндене. В целом похожий по конфигурации на Но-V, новый самолет был оснащен двумя двигателями "Аргус" Аs-10С мощностью 240л.с, и имел убираемое четырехстоечное шасси. Два передних колеса на отдельных стойках крепились у самой линии симметрии и убирались назад. Две задние стойки под валами двигателей убирались вперед с поворотом на 90. Хортены продолжили работу над реактивным истребителем, который они назвали Но-IX - его сборка уже началась в Геттингене. Необычная компоновка самолета захватила воображение Геринга, который оказал проекту персональную поддержку и потребовал начать летные испытания в моторном варианте в кратчайший срок. Весной 1944г. были проведены первые успешные испытания безмоторного прототипа. Начались работы над второй машиной. Из-за неготовности к этому времени турбореактивных двигателей ВМW-003 на втором опытном самолете было решено установить Jumo-004, что потребовало внести в конструкцию некоторые изменения. Но-IX-V2 был спроектирован из расчета на перегрузку 7, что с запасом прочности 1.8 давало разрушающую перегрузку 12.6. Центроплан сварной из стальных труб с фанерной обшивкой (за исключением района выхлопных сопел моторов, обшитого стальным листом). Консоли цельнодеревянной конструкции с металлическими законцовками. Передняя кромка выполнялась из так называемого литого дерева, представлявшего собой прессованый с резиной опилки. Остальная поверхность крыла обшивалась фанерой. Крыло с одним основным лонжероном и одним вспомогательным, к которому крепились рулевые поверхности. Баков в каждом крыле было четыре - по два за и перед лонжероном. Два ТРД Jumo-004В монтировались близко к линии симметрии. Шасси трехстоечное; носовое колесо убиралось назад, основные стойки - к линии симметрии. Для сокращения пробега был предусмотрен тормозной парашют. Продольная и поперечная управляемость обеспечивалась элевонами, которые вместе с закрылками занимали всю заднюю кромку крыла. Закрылки были связаны со спойлерами, расположенными сразу за стойками шасси. Управление по курсу осуществлялось спойлерами на консолях сразу за главным лонжероном. При этом использовалась пара спойлеров разной длины на верхней и нижней поверхности крыла. Таким образом обеспечивалось нормальное управление самолета на малых и больших скоростях. На стадии полного производства работ и подключилась "Готаер вагонфабрик", получившая задание довести конструкцию до серийного производства. Дальнейшие работы по самолету были переданы конструкторскому бюро ГВФ. Самолет получил обозначение Go.229, и в начале лета 1944г. был выдан контракт на семь опытных и 20 предсерийных самолетов.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5A65B96F" w14:textId="77777777" w:rsidR="00070AF2" w:rsidRPr="00925F26" w:rsidRDefault="00070AF2" w:rsidP="00925F26">
      <w:pPr>
        <w:jc w:val="both"/>
        <w:rPr>
          <w:color w:val="000000" w:themeColor="text1"/>
          <w:sz w:val="16"/>
          <w:szCs w:val="16"/>
        </w:rPr>
      </w:pPr>
    </w:p>
    <w:p w14:paraId="0B87C1A7" w14:textId="77777777" w:rsidR="00524C9D" w:rsidRPr="00925F26" w:rsidRDefault="00524C9D" w:rsidP="00925F26">
      <w:pPr>
        <w:jc w:val="both"/>
        <w:rPr>
          <w:color w:val="000000" w:themeColor="text1"/>
          <w:sz w:val="16"/>
          <w:szCs w:val="16"/>
        </w:rPr>
      </w:pPr>
      <w:r w:rsidRPr="00925F26">
        <w:rPr>
          <w:bCs/>
          <w:color w:val="000000" w:themeColor="text1"/>
          <w:sz w:val="16"/>
          <w:szCs w:val="16"/>
        </w:rPr>
        <w:t>12 марта</w:t>
      </w:r>
      <w:r w:rsidRPr="00925F26">
        <w:rPr>
          <w:color w:val="000000" w:themeColor="text1"/>
          <w:sz w:val="16"/>
          <w:szCs w:val="16"/>
        </w:rPr>
        <w:t xml:space="preserve"> в 1945 году первый полёт скоростного бомбардировщика </w:t>
      </w:r>
      <w:hyperlink r:id="rId69" w:tgtFrame="_blank" w:history="1">
        <w:r w:rsidRPr="00925F26">
          <w:rPr>
            <w:color w:val="000000" w:themeColor="text1"/>
            <w:sz w:val="16"/>
            <w:szCs w:val="16"/>
          </w:rPr>
          <w:t xml:space="preserve">«Mosquito» «B.35» </w:t>
        </w:r>
      </w:hyperlink>
      <w:r w:rsidRPr="00925F26">
        <w:rPr>
          <w:color w:val="000000" w:themeColor="text1"/>
          <w:sz w:val="16"/>
          <w:szCs w:val="16"/>
        </w:rPr>
        <w:t>(разработчик: «de Havilland», Великобритания). Эта модификация отличалась от предшественников новыми, более совершенными моторами "Мерлин" 113 (114) мощностью по 1710 л.с. Максимальная скорость В.35 на высоте 9000 м достигала 679 км/ч. К концу мая "Де Хевиллснд" смогла выпустить 57 самолётов, но принять участие в войне они не успели. Всего было построено 274 бомбардировщика этой модификации. Часть из них впоследствии переоборудовали в буксировщики мишеней ТТ.35 (не менее 75 единиц) и разведчики «PR.35» (не менее 9 машин) (15066).</w:t>
      </w:r>
    </w:p>
    <w:p w14:paraId="721CCD7A" w14:textId="77777777" w:rsidR="00524C9D" w:rsidRPr="00925F26" w:rsidRDefault="00524C9D" w:rsidP="00925F26">
      <w:pPr>
        <w:jc w:val="both"/>
        <w:rPr>
          <w:color w:val="000000" w:themeColor="text1"/>
          <w:sz w:val="16"/>
          <w:szCs w:val="16"/>
        </w:rPr>
      </w:pPr>
    </w:p>
    <w:p w14:paraId="5603A8C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марта 1945 в Берлине под покровительством фашистов создан Украинский национальный комитет, пытавшийся создать из остатков дивизии “СС-Галичина” “украинскую армию” (4962).</w:t>
      </w:r>
    </w:p>
    <w:p w14:paraId="656F6E1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DFCD0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марта 1945 в нацистском концлагере умерла 16-летняя голландская писательница Анна Франк (4962).</w:t>
      </w:r>
    </w:p>
    <w:p w14:paraId="6AC9BA3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7F8E79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2D9FE41" w14:textId="77777777" w:rsidR="00665165" w:rsidRPr="00925F26" w:rsidRDefault="00665165" w:rsidP="00925F26">
      <w:pPr>
        <w:autoSpaceDE w:val="0"/>
        <w:autoSpaceDN w:val="0"/>
        <w:adjustRightInd w:val="0"/>
        <w:jc w:val="both"/>
        <w:rPr>
          <w:iCs/>
          <w:color w:val="000000" w:themeColor="text1"/>
          <w:sz w:val="16"/>
          <w:szCs w:val="16"/>
        </w:rPr>
      </w:pPr>
    </w:p>
    <w:p w14:paraId="7FFBA8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года заводом № 64 был подписан договором № 1219 с ВВС, в соответствии с которым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7469F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1946 и 1947 гг. заводом освоены следующие агрегаты:</w:t>
      </w:r>
    </w:p>
    <w:p w14:paraId="20833B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хвостовая часть фюзеляжа;</w:t>
      </w:r>
    </w:p>
    <w:p w14:paraId="659E46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оперение;</w:t>
      </w:r>
    </w:p>
    <w:p w14:paraId="0409CC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шасси.</w:t>
      </w:r>
    </w:p>
    <w:p w14:paraId="06FB69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60150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B8A99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7F2B96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4649D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19C100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 Белявский</w:t>
      </w:r>
    </w:p>
    <w:p w14:paraId="1C4DA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Производственный профиль – самолет Ан-10 конструкции Антонова</w:t>
      </w:r>
    </w:p>
    <w:p w14:paraId="693D3D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Характеристика аэродрома завода</w:t>
      </w:r>
    </w:p>
    <w:p w14:paraId="6D5D01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4127863" w14:textId="77777777" w:rsidR="00665165" w:rsidRPr="00925F26" w:rsidRDefault="00665165" w:rsidP="00925F26">
      <w:pPr>
        <w:autoSpaceDE w:val="0"/>
        <w:autoSpaceDN w:val="0"/>
        <w:adjustRightInd w:val="0"/>
        <w:jc w:val="both"/>
        <w:rPr>
          <w:color w:val="000000" w:themeColor="text1"/>
          <w:sz w:val="16"/>
          <w:szCs w:val="16"/>
        </w:rPr>
      </w:pPr>
    </w:p>
    <w:p w14:paraId="12AC028D"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13 марта 1945 гола было письмо Ильюшина Маленкову и Шахурину: «На 1 марта эксплуатационный опыт по самолету Ил-10 с АМ-42 н</w:t>
      </w:r>
      <w:r w:rsidRPr="001A0BAA">
        <w:rPr>
          <w:rStyle w:val="aff0"/>
          <w:rFonts w:ascii="Times New Roman" w:hAnsi="Times New Roman" w:cs="Times New Roman"/>
          <w:color w:val="0070C0"/>
          <w:spacing w:val="0"/>
          <w:sz w:val="16"/>
          <w:szCs w:val="16"/>
          <w:lang w:val="en-US"/>
        </w:rPr>
        <w:t>a</w:t>
      </w:r>
      <w:r w:rsidRPr="001A0BAA">
        <w:rPr>
          <w:rStyle w:val="aff0"/>
          <w:rFonts w:ascii="Times New Roman" w:hAnsi="Times New Roman" w:cs="Times New Roman"/>
          <w:color w:val="0070C0"/>
          <w:spacing w:val="0"/>
          <w:sz w:val="16"/>
          <w:szCs w:val="16"/>
        </w:rPr>
        <w:t xml:space="preserve"> заводе № 1, на заводе № 18, в 1 КЗШАБ (Краснознаменной штурмовой авиабрига</w:t>
      </w:r>
      <w:r w:rsidRPr="001A0BAA">
        <w:rPr>
          <w:rStyle w:val="aff0"/>
          <w:rFonts w:ascii="Times New Roman" w:hAnsi="Times New Roman" w:cs="Times New Roman"/>
          <w:color w:val="0070C0"/>
          <w:spacing w:val="0"/>
          <w:sz w:val="16"/>
          <w:szCs w:val="16"/>
        </w:rPr>
        <w:softHyphen/>
        <w:t>де), в маршевых штурмовых полках 108 и 571 показал, что можно переходить к постройке на заводах № 1 и № 18 одного типа самолета Ил-10.</w:t>
      </w:r>
    </w:p>
    <w:p w14:paraId="6BEAA660"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 xml:space="preserve">Эксплуатационный опыт показал, что </w:t>
      </w:r>
      <w:proofErr w:type="gramStart"/>
      <w:r w:rsidRPr="001A0BAA">
        <w:rPr>
          <w:rStyle w:val="aff0"/>
          <w:rFonts w:ascii="Times New Roman" w:hAnsi="Times New Roman" w:cs="Times New Roman"/>
          <w:color w:val="0070C0"/>
          <w:spacing w:val="0"/>
          <w:sz w:val="16"/>
          <w:szCs w:val="16"/>
        </w:rPr>
        <w:t>&lt; ... &gt;Ил</w:t>
      </w:r>
      <w:proofErr w:type="gramEnd"/>
      <w:r w:rsidRPr="001A0BAA">
        <w:rPr>
          <w:rStyle w:val="aff0"/>
          <w:rFonts w:ascii="Times New Roman" w:hAnsi="Times New Roman" w:cs="Times New Roman"/>
          <w:color w:val="0070C0"/>
          <w:spacing w:val="0"/>
          <w:sz w:val="16"/>
          <w:szCs w:val="16"/>
        </w:rPr>
        <w:t xml:space="preserve">- 10 </w:t>
      </w:r>
      <w:proofErr w:type="gramStart"/>
      <w:r w:rsidRPr="001A0BAA">
        <w:rPr>
          <w:rStyle w:val="aff0"/>
          <w:rFonts w:ascii="Times New Roman" w:hAnsi="Times New Roman" w:cs="Times New Roman"/>
          <w:color w:val="0070C0"/>
          <w:spacing w:val="0"/>
          <w:sz w:val="16"/>
          <w:szCs w:val="16"/>
        </w:rPr>
        <w:t>&lt; ...</w:t>
      </w:r>
      <w:proofErr w:type="gramEnd"/>
      <w:r w:rsidRPr="001A0BAA">
        <w:rPr>
          <w:rStyle w:val="aff0"/>
          <w:rFonts w:ascii="Times New Roman" w:hAnsi="Times New Roman" w:cs="Times New Roman"/>
          <w:color w:val="0070C0"/>
          <w:spacing w:val="0"/>
          <w:sz w:val="16"/>
          <w:szCs w:val="16"/>
        </w:rPr>
        <w:t xml:space="preserve"> &gt; является вполне современным </w:t>
      </w:r>
      <w:proofErr w:type="gramStart"/>
      <w:r w:rsidRPr="001A0BAA">
        <w:rPr>
          <w:rStyle w:val="aff0"/>
          <w:rFonts w:ascii="Times New Roman" w:hAnsi="Times New Roman" w:cs="Times New Roman"/>
          <w:color w:val="0070C0"/>
          <w:spacing w:val="0"/>
          <w:sz w:val="16"/>
          <w:szCs w:val="16"/>
        </w:rPr>
        <w:t>&lt; ...</w:t>
      </w:r>
      <w:proofErr w:type="gramEnd"/>
      <w:r w:rsidRPr="001A0BAA">
        <w:rPr>
          <w:rStyle w:val="aff0"/>
          <w:rFonts w:ascii="Times New Roman" w:hAnsi="Times New Roman" w:cs="Times New Roman"/>
          <w:color w:val="0070C0"/>
          <w:spacing w:val="0"/>
          <w:sz w:val="16"/>
          <w:szCs w:val="16"/>
        </w:rPr>
        <w:t xml:space="preserve"> &gt; штурмовиком и по своим летно-техническим данным превосходит Ил-2...</w:t>
      </w:r>
    </w:p>
    <w:p w14:paraId="23FD91D6"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За это время как в самолете, так и моторе никаких серь</w:t>
      </w:r>
      <w:r w:rsidRPr="001A0BAA">
        <w:rPr>
          <w:rStyle w:val="aff0"/>
          <w:rFonts w:ascii="Times New Roman" w:hAnsi="Times New Roman" w:cs="Times New Roman"/>
          <w:color w:val="0070C0"/>
          <w:spacing w:val="0"/>
          <w:sz w:val="16"/>
          <w:szCs w:val="16"/>
        </w:rPr>
        <w:softHyphen/>
        <w:t>езных дефектов не обнаружено &lt;...&gt;</w:t>
      </w:r>
    </w:p>
    <w:p w14:paraId="51D07404"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С первых дней наступления на Берлин боевую работу начали штурмовики 108-го гвардейского шал. Ил-10 нано</w:t>
      </w:r>
      <w:r w:rsidRPr="001A0BAA">
        <w:rPr>
          <w:rStyle w:val="aff0"/>
          <w:rFonts w:ascii="Times New Roman" w:hAnsi="Times New Roman" w:cs="Times New Roman"/>
          <w:color w:val="0070C0"/>
          <w:spacing w:val="0"/>
          <w:sz w:val="16"/>
          <w:szCs w:val="16"/>
        </w:rPr>
        <w:softHyphen/>
        <w:t>сили удары по скоплению танков, бронемашин и солдат противника. Свыше недели почти круглые сутки штурмо</w:t>
      </w:r>
      <w:r w:rsidRPr="001A0BAA">
        <w:rPr>
          <w:rStyle w:val="aff0"/>
          <w:rFonts w:ascii="Times New Roman" w:hAnsi="Times New Roman" w:cs="Times New Roman"/>
          <w:color w:val="0070C0"/>
          <w:spacing w:val="0"/>
          <w:sz w:val="16"/>
          <w:szCs w:val="16"/>
        </w:rPr>
        <w:softHyphen/>
        <w:t>вики «обрабатывали» вражеские позиции, и все возвраща</w:t>
      </w:r>
      <w:r w:rsidRPr="001A0BAA">
        <w:rPr>
          <w:rStyle w:val="aff0"/>
          <w:rFonts w:ascii="Times New Roman" w:hAnsi="Times New Roman" w:cs="Times New Roman"/>
          <w:color w:val="0070C0"/>
          <w:spacing w:val="0"/>
          <w:sz w:val="16"/>
          <w:szCs w:val="16"/>
        </w:rPr>
        <w:softHyphen/>
        <w:t>лись домой. Складывалось впечатление о неуязвимости машины, но 30 апреля полк понес первую потерю. При возвращении на базу в самолет летчика Городецкого попал крупнокалиберный снаряд...</w:t>
      </w:r>
    </w:p>
    <w:p w14:paraId="44FF9CE9"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В отчете по результатам войсковых испытаний отмеча</w:t>
      </w:r>
      <w:r w:rsidRPr="001A0BAA">
        <w:rPr>
          <w:rStyle w:val="aff0"/>
          <w:rFonts w:ascii="Times New Roman" w:hAnsi="Times New Roman" w:cs="Times New Roman"/>
          <w:color w:val="0070C0"/>
          <w:spacing w:val="0"/>
          <w:sz w:val="16"/>
          <w:szCs w:val="16"/>
        </w:rPr>
        <w:softHyphen/>
        <w:t>лось:</w:t>
      </w:r>
    </w:p>
    <w:p w14:paraId="1D338039"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«Наличие большого диапазона скоростей и лучшая манев</w:t>
      </w:r>
      <w:r w:rsidRPr="001A0BAA">
        <w:rPr>
          <w:rStyle w:val="aff0"/>
          <w:rFonts w:ascii="Times New Roman" w:hAnsi="Times New Roman" w:cs="Times New Roman"/>
          <w:color w:val="0070C0"/>
          <w:spacing w:val="0"/>
          <w:sz w:val="16"/>
          <w:szCs w:val="16"/>
        </w:rPr>
        <w:softHyphen/>
        <w:t>ренность облегчают задачу истребителей сопровождения и позволяют самолету вступать в воздушный бой с противни</w:t>
      </w:r>
      <w:r w:rsidRPr="001A0BAA">
        <w:rPr>
          <w:rStyle w:val="aff0"/>
          <w:rFonts w:ascii="Times New Roman" w:hAnsi="Times New Roman" w:cs="Times New Roman"/>
          <w:color w:val="0070C0"/>
          <w:spacing w:val="0"/>
          <w:sz w:val="16"/>
          <w:szCs w:val="16"/>
        </w:rPr>
        <w:softHyphen/>
        <w:t>ком.</w:t>
      </w:r>
    </w:p>
    <w:p w14:paraId="5BCABB8F"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Полное бронирование кабины повышает живучесть само</w:t>
      </w:r>
      <w:r w:rsidRPr="001A0BAA">
        <w:rPr>
          <w:rStyle w:val="aff0"/>
          <w:rFonts w:ascii="Times New Roman" w:hAnsi="Times New Roman" w:cs="Times New Roman"/>
          <w:color w:val="0070C0"/>
          <w:spacing w:val="0"/>
          <w:sz w:val="16"/>
          <w:szCs w:val="16"/>
        </w:rPr>
        <w:softHyphen/>
        <w:t>лета...</w:t>
      </w:r>
    </w:p>
    <w:p w14:paraId="0B8A4747" w14:textId="77777777" w:rsidR="00A5033B" w:rsidRPr="001A0BAA" w:rsidRDefault="00A5033B" w:rsidP="00A5033B">
      <w:pPr>
        <w:jc w:val="both"/>
        <w:rPr>
          <w:color w:val="0070C0"/>
          <w:sz w:val="16"/>
          <w:szCs w:val="16"/>
        </w:rPr>
      </w:pPr>
      <w:r w:rsidRPr="001A0BAA">
        <w:rPr>
          <w:rStyle w:val="aff0"/>
          <w:rFonts w:ascii="Times New Roman" w:hAnsi="Times New Roman" w:cs="Times New Roman"/>
          <w:color w:val="0070C0"/>
          <w:spacing w:val="0"/>
          <w:sz w:val="16"/>
          <w:szCs w:val="16"/>
        </w:rPr>
        <w:t>Простота в технике пилотирования и сравнительно лег</w:t>
      </w:r>
      <w:r w:rsidRPr="001A0BAA">
        <w:rPr>
          <w:rStyle w:val="aff0"/>
          <w:rFonts w:ascii="Times New Roman" w:hAnsi="Times New Roman" w:cs="Times New Roman"/>
          <w:color w:val="0070C0"/>
          <w:spacing w:val="0"/>
          <w:sz w:val="16"/>
          <w:szCs w:val="16"/>
        </w:rPr>
        <w:softHyphen/>
        <w:t>кий. переход к эксплуатации как летным, так и техническим составом дают возможность перевооружить строевые час</w:t>
      </w:r>
      <w:r w:rsidRPr="001A0BAA">
        <w:rPr>
          <w:rStyle w:val="aff0"/>
          <w:rFonts w:ascii="Times New Roman" w:hAnsi="Times New Roman" w:cs="Times New Roman"/>
          <w:color w:val="0070C0"/>
          <w:spacing w:val="0"/>
          <w:sz w:val="16"/>
          <w:szCs w:val="16"/>
        </w:rPr>
        <w:softHyphen/>
        <w:t>ти на этот самолет в кратчайшие сроки...» (25091)</w:t>
      </w:r>
    </w:p>
    <w:p w14:paraId="52DD189A" w14:textId="77777777" w:rsidR="00A5033B" w:rsidRPr="001A0BAA" w:rsidRDefault="00A5033B" w:rsidP="00A5033B">
      <w:pPr>
        <w:jc w:val="both"/>
        <w:rPr>
          <w:color w:val="0070C0"/>
          <w:sz w:val="16"/>
          <w:szCs w:val="16"/>
        </w:rPr>
      </w:pPr>
    </w:p>
    <w:p w14:paraId="73A13DE9" w14:textId="55EE4D55" w:rsidR="00C52CB1" w:rsidRPr="00925F26" w:rsidRDefault="00C52CB1"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13 марта 1945 </w:t>
      </w:r>
      <w:proofErr w:type="gramStart"/>
      <w:r w:rsidRPr="00925F26">
        <w:rPr>
          <w:color w:val="000000" w:themeColor="text1"/>
          <w:sz w:val="16"/>
          <w:szCs w:val="16"/>
        </w:rPr>
        <w:t>года</w:t>
      </w:r>
      <w:r w:rsidR="00997EDF" w:rsidRPr="00925F26">
        <w:rPr>
          <w:color w:val="000000" w:themeColor="text1"/>
          <w:sz w:val="16"/>
          <w:szCs w:val="16"/>
        </w:rPr>
        <w:t xml:space="preserve">  </w:t>
      </w:r>
      <w:r w:rsidRPr="00925F26">
        <w:rPr>
          <w:color w:val="000000" w:themeColor="text1"/>
          <w:sz w:val="16"/>
          <w:szCs w:val="16"/>
        </w:rPr>
        <w:t>подписан</w:t>
      </w:r>
      <w:proofErr w:type="gramEnd"/>
      <w:r w:rsidRPr="00925F26">
        <w:rPr>
          <w:color w:val="000000" w:themeColor="text1"/>
          <w:sz w:val="16"/>
          <w:szCs w:val="16"/>
        </w:rPr>
        <w:t xml:space="preserve"> договор №1219 между заводом №64 и командованием ВВС об организации сборки самолетов Ил-4 из готовых агрегатов, получаемых с завода №126 (19822).</w:t>
      </w:r>
    </w:p>
    <w:p w14:paraId="0BD10C95" w14:textId="77777777" w:rsidR="00C52CB1" w:rsidRPr="00925F26" w:rsidRDefault="00C52CB1" w:rsidP="00925F26">
      <w:pPr>
        <w:pStyle w:val="ae"/>
        <w:shd w:val="clear" w:color="auto" w:fill="FFFFFF"/>
        <w:spacing w:before="0" w:after="0"/>
        <w:jc w:val="both"/>
        <w:rPr>
          <w:color w:val="000000" w:themeColor="text1"/>
          <w:sz w:val="16"/>
          <w:szCs w:val="16"/>
        </w:rPr>
      </w:pPr>
    </w:p>
    <w:p w14:paraId="6DDC6A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13—17 марта 1945 г. НКАП и ВВС согласовали отпускные цены на 2-й квартал 1945 г. — последний квартал Великой Отечественной войны.</w:t>
      </w:r>
    </w:p>
    <w:p w14:paraId="3BE2F7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Отпускные цены на авиатехнику, согласованные в марте 1945 г. между НКАП и ВВС (тыс. руб.) (РГАЭ. Ф. 8044. </w:t>
      </w:r>
      <w:r w:rsidRPr="00925F26">
        <w:rPr>
          <w:color w:val="000000" w:themeColor="text1"/>
          <w:sz w:val="16"/>
          <w:szCs w:val="16"/>
          <w:lang w:val="en-US"/>
        </w:rPr>
        <w:t xml:space="preserve">On. </w:t>
      </w:r>
      <w:r w:rsidRPr="00925F26">
        <w:rPr>
          <w:color w:val="000000" w:themeColor="text1"/>
          <w:sz w:val="16"/>
          <w:szCs w:val="16"/>
        </w:rPr>
        <w:t>1. Д. 2973. Л. 22)</w:t>
      </w:r>
    </w:p>
    <w:tbl>
      <w:tblPr>
        <w:tblW w:w="0" w:type="auto"/>
        <w:tblInd w:w="8" w:type="dxa"/>
        <w:tblLayout w:type="fixed"/>
        <w:tblCellMar>
          <w:left w:w="0" w:type="dxa"/>
          <w:right w:w="0" w:type="dxa"/>
        </w:tblCellMar>
        <w:tblLook w:val="0000" w:firstRow="0" w:lastRow="0" w:firstColumn="0" w:lastColumn="0" w:noHBand="0" w:noVBand="0"/>
      </w:tblPr>
      <w:tblGrid>
        <w:gridCol w:w="806"/>
        <w:gridCol w:w="2554"/>
        <w:gridCol w:w="2592"/>
      </w:tblGrid>
      <w:tr w:rsidR="000F5689" w:rsidRPr="00925F26" w14:paraId="63A39FAC" w14:textId="77777777">
        <w:trPr>
          <w:trHeight w:val="235"/>
        </w:trPr>
        <w:tc>
          <w:tcPr>
            <w:tcW w:w="806" w:type="dxa"/>
            <w:tcBorders>
              <w:top w:val="single" w:sz="6" w:space="0" w:color="auto"/>
              <w:left w:val="single" w:sz="6" w:space="0" w:color="auto"/>
              <w:bottom w:val="single" w:sz="6" w:space="0" w:color="auto"/>
              <w:right w:val="nil"/>
            </w:tcBorders>
            <w:shd w:val="clear" w:color="auto" w:fill="FFFFFF"/>
          </w:tcPr>
          <w:p w14:paraId="0D4197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завода</w:t>
            </w:r>
          </w:p>
        </w:tc>
        <w:tc>
          <w:tcPr>
            <w:tcW w:w="2554" w:type="dxa"/>
            <w:tcBorders>
              <w:top w:val="single" w:sz="6" w:space="0" w:color="auto"/>
              <w:left w:val="nil"/>
              <w:bottom w:val="single" w:sz="6" w:space="0" w:color="auto"/>
              <w:right w:val="nil"/>
            </w:tcBorders>
            <w:shd w:val="clear" w:color="auto" w:fill="FFFFFF"/>
          </w:tcPr>
          <w:p w14:paraId="284E9737"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 xml:space="preserve">Тип </w:t>
            </w:r>
            <w:r w:rsidRPr="00925F26">
              <w:rPr>
                <w:color w:val="000000" w:themeColor="text1"/>
                <w:sz w:val="16"/>
                <w:szCs w:val="16"/>
                <w:lang w:val="en-US"/>
              </w:rPr>
              <w:t>,</w:t>
            </w:r>
            <w:proofErr w:type="gramEnd"/>
            <w:r w:rsidRPr="00925F26">
              <w:rPr>
                <w:color w:val="000000" w:themeColor="text1"/>
                <w:sz w:val="16"/>
                <w:szCs w:val="16"/>
              </w:rPr>
              <w:t xml:space="preserve"> модель авиатехники</w:t>
            </w:r>
          </w:p>
        </w:tc>
        <w:tc>
          <w:tcPr>
            <w:tcW w:w="2592" w:type="dxa"/>
            <w:tcBorders>
              <w:top w:val="single" w:sz="6" w:space="0" w:color="auto"/>
              <w:left w:val="nil"/>
              <w:bottom w:val="single" w:sz="6" w:space="0" w:color="auto"/>
              <w:right w:val="single" w:sz="6" w:space="0" w:color="auto"/>
            </w:tcBorders>
            <w:shd w:val="clear" w:color="auto" w:fill="FFFFFF"/>
          </w:tcPr>
          <w:p w14:paraId="6A0BD9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Отпускная цена во П квартале 1945 г.</w:t>
            </w:r>
          </w:p>
        </w:tc>
      </w:tr>
      <w:tr w:rsidR="000F5689" w:rsidRPr="00925F26" w14:paraId="5E71252A" w14:textId="77777777">
        <w:trPr>
          <w:trHeight w:val="221"/>
        </w:trPr>
        <w:tc>
          <w:tcPr>
            <w:tcW w:w="5952" w:type="dxa"/>
            <w:gridSpan w:val="3"/>
            <w:tcBorders>
              <w:top w:val="single" w:sz="6" w:space="0" w:color="auto"/>
              <w:left w:val="single" w:sz="6" w:space="0" w:color="auto"/>
              <w:bottom w:val="single" w:sz="6" w:space="0" w:color="auto"/>
              <w:right w:val="single" w:sz="6" w:space="0" w:color="auto"/>
            </w:tcBorders>
            <w:shd w:val="clear" w:color="auto" w:fill="FFFFFF"/>
          </w:tcPr>
          <w:p w14:paraId="17316EB7"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Самолёты (без моторов)</w:t>
            </w:r>
          </w:p>
        </w:tc>
      </w:tr>
      <w:tr w:rsidR="000F5689" w:rsidRPr="00925F26" w14:paraId="2D2796A0"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5ABAF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1675A3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(ВК-105ПФ)</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39FCAA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r>
      <w:tr w:rsidR="000F5689" w:rsidRPr="00925F26" w14:paraId="5C878477"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62CA4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04729C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3BEBB4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r>
      <w:tr w:rsidR="000F5689" w:rsidRPr="00925F26" w14:paraId="33F5AD34"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55F1A9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330C6F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JIa-7 </w:t>
            </w:r>
            <w:r w:rsidRPr="00925F26">
              <w:rPr>
                <w:color w:val="000000" w:themeColor="text1"/>
                <w:sz w:val="16"/>
                <w:szCs w:val="16"/>
              </w:rPr>
              <w:t>(АШ-82ФН)</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7F211A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w:t>
            </w:r>
          </w:p>
        </w:tc>
      </w:tr>
      <w:tr w:rsidR="000F5689" w:rsidRPr="00925F26" w14:paraId="4D36471C"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73026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3E066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 (ВК-107А)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71CF6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w:t>
            </w:r>
          </w:p>
        </w:tc>
      </w:tr>
      <w:tr w:rsidR="000F5689" w:rsidRPr="00925F26" w14:paraId="1BA5912B"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652CF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21DEAD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Ще-2(2М-11Д)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76B1BC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w:t>
            </w:r>
          </w:p>
        </w:tc>
      </w:tr>
      <w:tr w:rsidR="000F5689" w:rsidRPr="00925F26" w14:paraId="4DB0C435"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9BEE0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6AAB42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 (2АЧ-30Б)</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4720BA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w:t>
            </w:r>
          </w:p>
        </w:tc>
      </w:tr>
      <w:tr w:rsidR="000F5689" w:rsidRPr="00925F26" w14:paraId="26701E00"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11640D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464</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4665F4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5063F9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44,5</w:t>
            </w:r>
          </w:p>
        </w:tc>
      </w:tr>
      <w:tr w:rsidR="000F5689" w:rsidRPr="00925F26" w14:paraId="529E339C"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63BC0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494</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2D46EC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По-2с(М-11Д)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4E28F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r>
      <w:tr w:rsidR="000F5689" w:rsidRPr="00925F26" w14:paraId="10497EAD" w14:textId="77777777">
        <w:trPr>
          <w:trHeight w:val="226"/>
        </w:trPr>
        <w:tc>
          <w:tcPr>
            <w:tcW w:w="5952" w:type="dxa"/>
            <w:gridSpan w:val="3"/>
            <w:tcBorders>
              <w:top w:val="single" w:sz="6" w:space="0" w:color="auto"/>
              <w:left w:val="single" w:sz="6" w:space="0" w:color="auto"/>
              <w:bottom w:val="single" w:sz="6" w:space="0" w:color="auto"/>
              <w:right w:val="single" w:sz="6" w:space="0" w:color="auto"/>
            </w:tcBorders>
            <w:shd w:val="clear" w:color="auto" w:fill="FFFFFF"/>
          </w:tcPr>
          <w:p w14:paraId="1A2ECBB4"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Авиамоторы</w:t>
            </w:r>
          </w:p>
        </w:tc>
      </w:tr>
      <w:tr w:rsidR="000F5689" w:rsidRPr="00925F26" w14:paraId="311EDA8F"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6E8D74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43C8F6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АШ-83</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0FAE69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r>
      <w:tr w:rsidR="000F5689" w:rsidRPr="00925F26" w14:paraId="647E3A4B"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07B37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0A5157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6D9E1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w:t>
            </w:r>
          </w:p>
        </w:tc>
      </w:tr>
      <w:tr w:rsidR="000F5689" w:rsidRPr="00925F26" w14:paraId="4054564D" w14:textId="77777777">
        <w:trPr>
          <w:trHeight w:val="240"/>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598F4B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695247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АШ-62ИР</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48152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w:t>
            </w:r>
          </w:p>
        </w:tc>
      </w:tr>
    </w:tbl>
    <w:p w14:paraId="7E7FB1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(12011).</w:t>
      </w:r>
    </w:p>
    <w:p w14:paraId="03C55F57" w14:textId="77777777" w:rsidR="00665165" w:rsidRPr="00925F26" w:rsidRDefault="00665165" w:rsidP="00925F26">
      <w:pPr>
        <w:autoSpaceDE w:val="0"/>
        <w:autoSpaceDN w:val="0"/>
        <w:adjustRightInd w:val="0"/>
        <w:jc w:val="both"/>
        <w:rPr>
          <w:color w:val="000000" w:themeColor="text1"/>
          <w:sz w:val="16"/>
          <w:szCs w:val="16"/>
        </w:rPr>
      </w:pPr>
    </w:p>
    <w:p w14:paraId="305D25C6" w14:textId="77777777" w:rsidR="00CE1517" w:rsidRPr="00925F26" w:rsidRDefault="00CE1517" w:rsidP="00925F26">
      <w:pPr>
        <w:jc w:val="both"/>
        <w:rPr>
          <w:color w:val="000000" w:themeColor="text1"/>
          <w:sz w:val="16"/>
          <w:szCs w:val="16"/>
          <w:lang w:bidi="ru-RU"/>
        </w:rPr>
      </w:pPr>
      <w:r w:rsidRPr="00925F26">
        <w:rPr>
          <w:color w:val="000000" w:themeColor="text1"/>
          <w:sz w:val="16"/>
          <w:szCs w:val="16"/>
          <w:lang w:bidi="ru-RU"/>
        </w:rPr>
        <w:t xml:space="preserve">13-17 марта 1945 г. НКАП и ВВС согласовали отпускные иены на </w:t>
      </w:r>
      <w:r w:rsidRPr="00925F26">
        <w:rPr>
          <w:color w:val="000000" w:themeColor="text1"/>
          <w:sz w:val="16"/>
          <w:szCs w:val="16"/>
          <w:lang w:val="en-US" w:bidi="en-US"/>
        </w:rPr>
        <w:t>II</w:t>
      </w:r>
      <w:r w:rsidRPr="00925F26">
        <w:rPr>
          <w:color w:val="000000" w:themeColor="text1"/>
          <w:sz w:val="16"/>
          <w:szCs w:val="16"/>
          <w:lang w:bidi="en-US"/>
        </w:rPr>
        <w:t xml:space="preserve"> </w:t>
      </w:r>
      <w:r w:rsidRPr="00925F26">
        <w:rPr>
          <w:color w:val="000000" w:themeColor="text1"/>
          <w:sz w:val="16"/>
          <w:szCs w:val="16"/>
          <w:lang w:bidi="ru-RU"/>
        </w:rPr>
        <w:t>квартал года - последний в период Великой Отечественной войны (см. табл.).</w:t>
      </w:r>
    </w:p>
    <w:p w14:paraId="007EE4DD" w14:textId="77777777" w:rsidR="00CE1517" w:rsidRPr="00925F26" w:rsidRDefault="00CE1517" w:rsidP="00925F26">
      <w:pPr>
        <w:pStyle w:val="aff1"/>
        <w:spacing w:line="240" w:lineRule="auto"/>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bidi="ru-RU"/>
        </w:rPr>
        <w:t>Отпускные цены на авиатехнику, согласованные между НКАП и ВВС в марте 1945 г.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8"/>
        <w:gridCol w:w="2502"/>
        <w:gridCol w:w="3096"/>
      </w:tblGrid>
      <w:tr w:rsidR="000F5689" w:rsidRPr="00925F26" w14:paraId="21F5339A" w14:textId="77777777" w:rsidTr="00076D96">
        <w:trPr>
          <w:trHeight w:val="283"/>
        </w:trPr>
        <w:tc>
          <w:tcPr>
            <w:tcW w:w="988" w:type="dxa"/>
          </w:tcPr>
          <w:p w14:paraId="1F1EB426"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завода</w:t>
            </w:r>
          </w:p>
        </w:tc>
        <w:tc>
          <w:tcPr>
            <w:tcW w:w="2502" w:type="dxa"/>
          </w:tcPr>
          <w:p w14:paraId="77F1E2AE"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Тип и модель авиатехники</w:t>
            </w:r>
          </w:p>
        </w:tc>
        <w:tc>
          <w:tcPr>
            <w:tcW w:w="3096" w:type="dxa"/>
          </w:tcPr>
          <w:p w14:paraId="1592207E"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Отпускная цена на II квартал 1945 г.</w:t>
            </w:r>
          </w:p>
        </w:tc>
      </w:tr>
      <w:tr w:rsidR="000F5689" w:rsidRPr="00925F26" w14:paraId="2CC26164" w14:textId="77777777" w:rsidTr="00076D96">
        <w:trPr>
          <w:trHeight w:val="346"/>
        </w:trPr>
        <w:tc>
          <w:tcPr>
            <w:tcW w:w="988" w:type="dxa"/>
          </w:tcPr>
          <w:p w14:paraId="56C96CC4" w14:textId="77777777" w:rsidR="00CE1517" w:rsidRPr="00925F26" w:rsidRDefault="00CE1517" w:rsidP="00925F26">
            <w:pPr>
              <w:jc w:val="both"/>
              <w:rPr>
                <w:color w:val="000000" w:themeColor="text1"/>
                <w:sz w:val="16"/>
                <w:szCs w:val="16"/>
              </w:rPr>
            </w:pPr>
          </w:p>
        </w:tc>
        <w:tc>
          <w:tcPr>
            <w:tcW w:w="5598" w:type="dxa"/>
            <w:gridSpan w:val="2"/>
            <w:vAlign w:val="center"/>
          </w:tcPr>
          <w:p w14:paraId="085E8288"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Самолёты (без моторов)</w:t>
            </w:r>
          </w:p>
        </w:tc>
      </w:tr>
      <w:tr w:rsidR="000F5689" w:rsidRPr="00925F26" w14:paraId="3B236F59" w14:textId="77777777" w:rsidTr="00076D96">
        <w:trPr>
          <w:trHeight w:val="250"/>
        </w:trPr>
        <w:tc>
          <w:tcPr>
            <w:tcW w:w="988" w:type="dxa"/>
            <w:vAlign w:val="bottom"/>
          </w:tcPr>
          <w:p w14:paraId="381F05D5"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31</w:t>
            </w:r>
          </w:p>
        </w:tc>
        <w:tc>
          <w:tcPr>
            <w:tcW w:w="2502" w:type="dxa"/>
            <w:vAlign w:val="bottom"/>
          </w:tcPr>
          <w:p w14:paraId="192F815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Як-3 (ВК-105ПФ)</w:t>
            </w:r>
          </w:p>
        </w:tc>
        <w:tc>
          <w:tcPr>
            <w:tcW w:w="3096" w:type="dxa"/>
            <w:vAlign w:val="bottom"/>
          </w:tcPr>
          <w:p w14:paraId="4E80B819"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200</w:t>
            </w:r>
          </w:p>
        </w:tc>
      </w:tr>
      <w:tr w:rsidR="000F5689" w:rsidRPr="00925F26" w14:paraId="5300C89F" w14:textId="77777777" w:rsidTr="00076D96">
        <w:trPr>
          <w:trHeight w:val="197"/>
        </w:trPr>
        <w:tc>
          <w:tcPr>
            <w:tcW w:w="988" w:type="dxa"/>
          </w:tcPr>
          <w:p w14:paraId="5973821F"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31</w:t>
            </w:r>
          </w:p>
        </w:tc>
        <w:tc>
          <w:tcPr>
            <w:tcW w:w="2502" w:type="dxa"/>
          </w:tcPr>
          <w:p w14:paraId="3F53C278"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Як-3 (ВК-107А)</w:t>
            </w:r>
          </w:p>
        </w:tc>
        <w:tc>
          <w:tcPr>
            <w:tcW w:w="3096" w:type="dxa"/>
          </w:tcPr>
          <w:p w14:paraId="0B583BF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250</w:t>
            </w:r>
          </w:p>
        </w:tc>
      </w:tr>
      <w:tr w:rsidR="000F5689" w:rsidRPr="00925F26" w14:paraId="5D090F17" w14:textId="77777777" w:rsidTr="00076D96">
        <w:trPr>
          <w:trHeight w:val="202"/>
        </w:trPr>
        <w:tc>
          <w:tcPr>
            <w:tcW w:w="988" w:type="dxa"/>
          </w:tcPr>
          <w:p w14:paraId="601D527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99</w:t>
            </w:r>
          </w:p>
        </w:tc>
        <w:tc>
          <w:tcPr>
            <w:tcW w:w="2502" w:type="dxa"/>
          </w:tcPr>
          <w:p w14:paraId="5FF10C0C"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Ла-7 (АШ-82ФН)</w:t>
            </w:r>
          </w:p>
        </w:tc>
        <w:tc>
          <w:tcPr>
            <w:tcW w:w="3096" w:type="dxa"/>
          </w:tcPr>
          <w:p w14:paraId="3D68156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310</w:t>
            </w:r>
          </w:p>
        </w:tc>
      </w:tr>
      <w:tr w:rsidR="000F5689" w:rsidRPr="00925F26" w14:paraId="70305A44" w14:textId="77777777" w:rsidTr="00076D96">
        <w:trPr>
          <w:trHeight w:val="202"/>
        </w:trPr>
        <w:tc>
          <w:tcPr>
            <w:tcW w:w="988" w:type="dxa"/>
          </w:tcPr>
          <w:p w14:paraId="3F94D1ED"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153</w:t>
            </w:r>
          </w:p>
        </w:tc>
        <w:tc>
          <w:tcPr>
            <w:tcW w:w="2502" w:type="dxa"/>
          </w:tcPr>
          <w:p w14:paraId="4B46528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Як-9 (ВК-107А)</w:t>
            </w:r>
          </w:p>
        </w:tc>
        <w:tc>
          <w:tcPr>
            <w:tcW w:w="3096" w:type="dxa"/>
          </w:tcPr>
          <w:p w14:paraId="63D7FDCC"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135</w:t>
            </w:r>
          </w:p>
        </w:tc>
      </w:tr>
      <w:tr w:rsidR="000F5689" w:rsidRPr="00925F26" w14:paraId="4EB9932C" w14:textId="77777777" w:rsidTr="00076D96">
        <w:trPr>
          <w:trHeight w:val="197"/>
        </w:trPr>
        <w:tc>
          <w:tcPr>
            <w:tcW w:w="988" w:type="dxa"/>
          </w:tcPr>
          <w:p w14:paraId="0A03D6C5"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47</w:t>
            </w:r>
          </w:p>
        </w:tc>
        <w:tc>
          <w:tcPr>
            <w:tcW w:w="2502" w:type="dxa"/>
          </w:tcPr>
          <w:p w14:paraId="505304FA"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Ще-2 (2М-11Д)</w:t>
            </w:r>
          </w:p>
        </w:tc>
        <w:tc>
          <w:tcPr>
            <w:tcW w:w="3096" w:type="dxa"/>
          </w:tcPr>
          <w:p w14:paraId="1BF2DA9E"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180</w:t>
            </w:r>
          </w:p>
        </w:tc>
      </w:tr>
      <w:tr w:rsidR="000F5689" w:rsidRPr="00925F26" w14:paraId="7670B50C" w14:textId="77777777" w:rsidTr="00076D96">
        <w:trPr>
          <w:trHeight w:val="202"/>
        </w:trPr>
        <w:tc>
          <w:tcPr>
            <w:tcW w:w="988" w:type="dxa"/>
          </w:tcPr>
          <w:p w14:paraId="404FEC88"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39</w:t>
            </w:r>
          </w:p>
        </w:tc>
        <w:tc>
          <w:tcPr>
            <w:tcW w:w="2502" w:type="dxa"/>
          </w:tcPr>
          <w:p w14:paraId="5531E64F"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Ер-2 (2АЧ-30Б)</w:t>
            </w:r>
          </w:p>
        </w:tc>
        <w:tc>
          <w:tcPr>
            <w:tcW w:w="3096" w:type="dxa"/>
          </w:tcPr>
          <w:p w14:paraId="765D5AC9"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875</w:t>
            </w:r>
          </w:p>
        </w:tc>
      </w:tr>
      <w:tr w:rsidR="000F5689" w:rsidRPr="00925F26" w14:paraId="07937496" w14:textId="77777777" w:rsidTr="00076D96">
        <w:trPr>
          <w:trHeight w:val="197"/>
        </w:trPr>
        <w:tc>
          <w:tcPr>
            <w:tcW w:w="988" w:type="dxa"/>
          </w:tcPr>
          <w:p w14:paraId="5CDE7A1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464</w:t>
            </w:r>
          </w:p>
        </w:tc>
        <w:tc>
          <w:tcPr>
            <w:tcW w:w="2502" w:type="dxa"/>
          </w:tcPr>
          <w:p w14:paraId="5DFE40AF"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По-2 (М-11Д)</w:t>
            </w:r>
          </w:p>
        </w:tc>
        <w:tc>
          <w:tcPr>
            <w:tcW w:w="3096" w:type="dxa"/>
          </w:tcPr>
          <w:p w14:paraId="7E04573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44.5</w:t>
            </w:r>
          </w:p>
        </w:tc>
      </w:tr>
      <w:tr w:rsidR="000F5689" w:rsidRPr="00925F26" w14:paraId="4056AA92" w14:textId="77777777" w:rsidTr="00076D96">
        <w:trPr>
          <w:trHeight w:val="206"/>
        </w:trPr>
        <w:tc>
          <w:tcPr>
            <w:tcW w:w="988" w:type="dxa"/>
          </w:tcPr>
          <w:p w14:paraId="3EEC6599"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494</w:t>
            </w:r>
          </w:p>
        </w:tc>
        <w:tc>
          <w:tcPr>
            <w:tcW w:w="2502" w:type="dxa"/>
          </w:tcPr>
          <w:p w14:paraId="0E0286E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По-2с (М-11Д)</w:t>
            </w:r>
          </w:p>
        </w:tc>
        <w:tc>
          <w:tcPr>
            <w:tcW w:w="3096" w:type="dxa"/>
          </w:tcPr>
          <w:p w14:paraId="11FD5FF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42</w:t>
            </w:r>
          </w:p>
        </w:tc>
      </w:tr>
    </w:tbl>
    <w:p w14:paraId="57DA6CD8" w14:textId="77777777" w:rsidR="00CE1517" w:rsidRPr="00925F26" w:rsidRDefault="00CE1517" w:rsidP="00925F26">
      <w:pPr>
        <w:jc w:val="both"/>
        <w:rPr>
          <w:color w:val="000000" w:themeColor="text1"/>
          <w:sz w:val="16"/>
          <w:szCs w:val="16"/>
          <w:lang w:bidi="ru-RU"/>
        </w:rPr>
      </w:pPr>
      <w:r w:rsidRPr="00925F26">
        <w:rPr>
          <w:color w:val="000000" w:themeColor="text1"/>
          <w:sz w:val="16"/>
          <w:szCs w:val="16"/>
          <w:lang w:bidi="ru-RU"/>
        </w:rPr>
        <w:t>Там же, ф. 4372, оп. 43, д. 240, л. 2</w:t>
      </w:r>
    </w:p>
    <w:p w14:paraId="718E7115" w14:textId="77777777" w:rsidR="00CE1517" w:rsidRPr="00925F26" w:rsidRDefault="00CE1517" w:rsidP="00925F26">
      <w:pPr>
        <w:pStyle w:val="aff1"/>
        <w:spacing w:line="240" w:lineRule="auto"/>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Авиамоторы</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8"/>
        <w:gridCol w:w="2551"/>
        <w:gridCol w:w="3119"/>
      </w:tblGrid>
      <w:tr w:rsidR="000F5689" w:rsidRPr="00925F26" w14:paraId="110F54C3" w14:textId="77777777" w:rsidTr="00076D96">
        <w:trPr>
          <w:trHeight w:val="254"/>
        </w:trPr>
        <w:tc>
          <w:tcPr>
            <w:tcW w:w="988" w:type="dxa"/>
            <w:vAlign w:val="bottom"/>
          </w:tcPr>
          <w:p w14:paraId="009531F0"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w:t>
            </w:r>
          </w:p>
        </w:tc>
        <w:tc>
          <w:tcPr>
            <w:tcW w:w="2551" w:type="dxa"/>
            <w:vAlign w:val="bottom"/>
          </w:tcPr>
          <w:p w14:paraId="76A968AD"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АШ-83</w:t>
            </w:r>
          </w:p>
        </w:tc>
        <w:tc>
          <w:tcPr>
            <w:tcW w:w="3119" w:type="dxa"/>
            <w:vAlign w:val="bottom"/>
          </w:tcPr>
          <w:p w14:paraId="5C21A04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125</w:t>
            </w:r>
          </w:p>
        </w:tc>
      </w:tr>
      <w:tr w:rsidR="000F5689" w:rsidRPr="00925F26" w14:paraId="6B7747C7" w14:textId="77777777" w:rsidTr="00076D96">
        <w:trPr>
          <w:trHeight w:val="202"/>
        </w:trPr>
        <w:tc>
          <w:tcPr>
            <w:tcW w:w="988" w:type="dxa"/>
          </w:tcPr>
          <w:p w14:paraId="1433657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26</w:t>
            </w:r>
          </w:p>
        </w:tc>
        <w:tc>
          <w:tcPr>
            <w:tcW w:w="2551" w:type="dxa"/>
          </w:tcPr>
          <w:p w14:paraId="12C7D7DA"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ВК-107А</w:t>
            </w:r>
          </w:p>
        </w:tc>
        <w:tc>
          <w:tcPr>
            <w:tcW w:w="3119" w:type="dxa"/>
          </w:tcPr>
          <w:p w14:paraId="17B08F5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86</w:t>
            </w:r>
          </w:p>
        </w:tc>
      </w:tr>
      <w:tr w:rsidR="000F5689" w:rsidRPr="00925F26" w14:paraId="5BFD44FB" w14:textId="77777777" w:rsidTr="00076D96">
        <w:trPr>
          <w:trHeight w:val="307"/>
        </w:trPr>
        <w:tc>
          <w:tcPr>
            <w:tcW w:w="988" w:type="dxa"/>
          </w:tcPr>
          <w:p w14:paraId="5A099B52"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36</w:t>
            </w:r>
          </w:p>
        </w:tc>
        <w:tc>
          <w:tcPr>
            <w:tcW w:w="2551" w:type="dxa"/>
          </w:tcPr>
          <w:p w14:paraId="3D9886B6"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АШ-62ИР</w:t>
            </w:r>
          </w:p>
        </w:tc>
        <w:tc>
          <w:tcPr>
            <w:tcW w:w="3119" w:type="dxa"/>
          </w:tcPr>
          <w:p w14:paraId="1F74B98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68</w:t>
            </w:r>
          </w:p>
        </w:tc>
      </w:tr>
    </w:tbl>
    <w:p w14:paraId="1E4C3717" w14:textId="77777777" w:rsidR="00CE1517" w:rsidRPr="00925F26" w:rsidRDefault="00CE1517" w:rsidP="00925F26">
      <w:pPr>
        <w:jc w:val="both"/>
        <w:rPr>
          <w:color w:val="000000" w:themeColor="text1"/>
          <w:sz w:val="16"/>
          <w:szCs w:val="16"/>
          <w:lang w:bidi="ru-RU"/>
        </w:rPr>
      </w:pPr>
      <w:r w:rsidRPr="00925F26">
        <w:rPr>
          <w:color w:val="000000" w:themeColor="text1"/>
          <w:sz w:val="16"/>
          <w:szCs w:val="16"/>
          <w:lang w:bidi="ru-RU"/>
        </w:rPr>
        <w:t xml:space="preserve">Составлено по: РГАЭ, ф. 8044, </w:t>
      </w:r>
      <w:r w:rsidRPr="00925F26">
        <w:rPr>
          <w:smallCaps/>
          <w:color w:val="000000" w:themeColor="text1"/>
          <w:sz w:val="16"/>
          <w:szCs w:val="16"/>
          <w:lang w:bidi="ru-RU"/>
        </w:rPr>
        <w:t>оп.</w:t>
      </w:r>
      <w:r w:rsidRPr="00925F26">
        <w:rPr>
          <w:color w:val="000000" w:themeColor="text1"/>
          <w:sz w:val="16"/>
          <w:szCs w:val="16"/>
          <w:lang w:bidi="ru-RU"/>
        </w:rPr>
        <w:t xml:space="preserve"> 1, д. 2973, л. 22</w:t>
      </w:r>
    </w:p>
    <w:p w14:paraId="6CEA2207" w14:textId="77777777" w:rsidR="00CE1517" w:rsidRPr="00925F26" w:rsidRDefault="00CE1517" w:rsidP="00925F26">
      <w:pPr>
        <w:jc w:val="both"/>
        <w:rPr>
          <w:color w:val="000000" w:themeColor="text1"/>
          <w:sz w:val="16"/>
          <w:szCs w:val="16"/>
        </w:rPr>
      </w:pPr>
      <w:r w:rsidRPr="00925F26">
        <w:rPr>
          <w:color w:val="000000" w:themeColor="text1"/>
          <w:sz w:val="16"/>
          <w:szCs w:val="16"/>
          <w:lang w:bidi="ru-RU"/>
        </w:rPr>
        <w:t>Однако по ряду типов и моделей стороны не пришли к соглашению, поэтому 17 апреля 1945 г. итоговые отпускные цены на них установил СНК СССР, заняв равноудалённую позицию, в одних случаях приняв аргументы военных, в дру</w:t>
      </w:r>
      <w:r w:rsidRPr="00925F26">
        <w:rPr>
          <w:color w:val="000000" w:themeColor="text1"/>
          <w:sz w:val="16"/>
          <w:szCs w:val="16"/>
          <w:lang w:bidi="ru-RU"/>
        </w:rPr>
        <w:softHyphen/>
        <w:t>гих - авиастроителей (см. табл.).</w:t>
      </w:r>
    </w:p>
    <w:p w14:paraId="6D285AFB" w14:textId="77777777" w:rsidR="00CE1517" w:rsidRPr="00925F26" w:rsidRDefault="00CE1517" w:rsidP="00925F26">
      <w:pPr>
        <w:pStyle w:val="28"/>
        <w:spacing w:before="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Отпускные цены на типы и модели, вызвавшие разногласия НКАП - ВВС, урегулированные постановлением СНК СССР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88"/>
        <w:gridCol w:w="1704"/>
        <w:gridCol w:w="1627"/>
        <w:gridCol w:w="1637"/>
        <w:gridCol w:w="1608"/>
      </w:tblGrid>
      <w:tr w:rsidR="000F5689" w:rsidRPr="00925F26" w14:paraId="592EDCD4" w14:textId="77777777" w:rsidTr="00076D96">
        <w:trPr>
          <w:trHeight w:val="283"/>
        </w:trPr>
        <w:tc>
          <w:tcPr>
            <w:tcW w:w="888" w:type="dxa"/>
          </w:tcPr>
          <w:p w14:paraId="4037338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 завода</w:t>
            </w:r>
          </w:p>
        </w:tc>
        <w:tc>
          <w:tcPr>
            <w:tcW w:w="1704" w:type="dxa"/>
          </w:tcPr>
          <w:p w14:paraId="20C00AD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Модель</w:t>
            </w:r>
          </w:p>
        </w:tc>
        <w:tc>
          <w:tcPr>
            <w:tcW w:w="1627" w:type="dxa"/>
          </w:tcPr>
          <w:p w14:paraId="026BF92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Предложения ВВС</w:t>
            </w:r>
          </w:p>
        </w:tc>
        <w:tc>
          <w:tcPr>
            <w:tcW w:w="1637" w:type="dxa"/>
          </w:tcPr>
          <w:p w14:paraId="0341FF00"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Предложения НКАП</w:t>
            </w:r>
          </w:p>
        </w:tc>
        <w:tc>
          <w:tcPr>
            <w:tcW w:w="1608" w:type="dxa"/>
          </w:tcPr>
          <w:p w14:paraId="15E04E7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Постановление СНК</w:t>
            </w:r>
          </w:p>
        </w:tc>
      </w:tr>
      <w:tr w:rsidR="000F5689" w:rsidRPr="00925F26" w14:paraId="4FD546AB" w14:textId="77777777" w:rsidTr="00076D96">
        <w:trPr>
          <w:trHeight w:val="278"/>
        </w:trPr>
        <w:tc>
          <w:tcPr>
            <w:tcW w:w="888" w:type="dxa"/>
            <w:vAlign w:val="bottom"/>
          </w:tcPr>
          <w:p w14:paraId="75DA8CA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21</w:t>
            </w:r>
          </w:p>
        </w:tc>
        <w:tc>
          <w:tcPr>
            <w:tcW w:w="1704" w:type="dxa"/>
            <w:vAlign w:val="bottom"/>
          </w:tcPr>
          <w:p w14:paraId="5C537A1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Ла-7</w:t>
            </w:r>
          </w:p>
        </w:tc>
        <w:tc>
          <w:tcPr>
            <w:tcW w:w="1627" w:type="dxa"/>
            <w:vAlign w:val="bottom"/>
          </w:tcPr>
          <w:p w14:paraId="097F11C8"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118</w:t>
            </w:r>
          </w:p>
        </w:tc>
        <w:tc>
          <w:tcPr>
            <w:tcW w:w="1637" w:type="dxa"/>
            <w:vAlign w:val="bottom"/>
          </w:tcPr>
          <w:p w14:paraId="6AD9E83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125</w:t>
            </w:r>
          </w:p>
        </w:tc>
        <w:tc>
          <w:tcPr>
            <w:tcW w:w="1608" w:type="dxa"/>
            <w:vAlign w:val="bottom"/>
          </w:tcPr>
          <w:p w14:paraId="44AD850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120</w:t>
            </w:r>
          </w:p>
        </w:tc>
      </w:tr>
      <w:tr w:rsidR="000F5689" w:rsidRPr="00925F26" w14:paraId="6602C2C2" w14:textId="77777777" w:rsidTr="00076D96">
        <w:trPr>
          <w:trHeight w:val="379"/>
        </w:trPr>
        <w:tc>
          <w:tcPr>
            <w:tcW w:w="888" w:type="dxa"/>
            <w:vAlign w:val="bottom"/>
          </w:tcPr>
          <w:p w14:paraId="4404E1E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82</w:t>
            </w:r>
          </w:p>
        </w:tc>
        <w:tc>
          <w:tcPr>
            <w:tcW w:w="1704" w:type="dxa"/>
          </w:tcPr>
          <w:p w14:paraId="0A5AC485"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(АШ-82ФН)</w:t>
            </w:r>
          </w:p>
          <w:p w14:paraId="5731C9E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Як-9</w:t>
            </w:r>
          </w:p>
        </w:tc>
        <w:tc>
          <w:tcPr>
            <w:tcW w:w="1627" w:type="dxa"/>
            <w:vAlign w:val="bottom"/>
          </w:tcPr>
          <w:p w14:paraId="2C1A92F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171</w:t>
            </w:r>
          </w:p>
        </w:tc>
        <w:tc>
          <w:tcPr>
            <w:tcW w:w="1637" w:type="dxa"/>
            <w:vAlign w:val="bottom"/>
          </w:tcPr>
          <w:p w14:paraId="128583A6"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200</w:t>
            </w:r>
          </w:p>
        </w:tc>
        <w:tc>
          <w:tcPr>
            <w:tcW w:w="1608" w:type="dxa"/>
            <w:vAlign w:val="bottom"/>
          </w:tcPr>
          <w:p w14:paraId="2718305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185</w:t>
            </w:r>
          </w:p>
        </w:tc>
      </w:tr>
      <w:tr w:rsidR="000F5689" w:rsidRPr="00925F26" w14:paraId="0AB8D940" w14:textId="77777777" w:rsidTr="00076D96">
        <w:trPr>
          <w:trHeight w:val="379"/>
        </w:trPr>
        <w:tc>
          <w:tcPr>
            <w:tcW w:w="888" w:type="dxa"/>
            <w:vAlign w:val="bottom"/>
          </w:tcPr>
          <w:p w14:paraId="12F667D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166</w:t>
            </w:r>
          </w:p>
        </w:tc>
        <w:tc>
          <w:tcPr>
            <w:tcW w:w="1704" w:type="dxa"/>
          </w:tcPr>
          <w:p w14:paraId="11F9808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en-US" w:bidi="en-US"/>
              </w:rPr>
              <w:t>(BK-107A)</w:t>
            </w:r>
          </w:p>
          <w:p w14:paraId="2BC3F549"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Як-9</w:t>
            </w:r>
          </w:p>
        </w:tc>
        <w:tc>
          <w:tcPr>
            <w:tcW w:w="1627" w:type="dxa"/>
            <w:vAlign w:val="bottom"/>
          </w:tcPr>
          <w:p w14:paraId="17A5C73E"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138</w:t>
            </w:r>
          </w:p>
        </w:tc>
        <w:tc>
          <w:tcPr>
            <w:tcW w:w="1637" w:type="dxa"/>
            <w:vAlign w:val="bottom"/>
          </w:tcPr>
          <w:p w14:paraId="4DD94135"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142</w:t>
            </w:r>
          </w:p>
        </w:tc>
        <w:tc>
          <w:tcPr>
            <w:tcW w:w="1608" w:type="dxa"/>
            <w:vAlign w:val="bottom"/>
          </w:tcPr>
          <w:p w14:paraId="22A76420"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138</w:t>
            </w:r>
          </w:p>
        </w:tc>
      </w:tr>
      <w:tr w:rsidR="000F5689" w:rsidRPr="00925F26" w14:paraId="0CE4BF9B" w14:textId="77777777" w:rsidTr="00076D96">
        <w:trPr>
          <w:trHeight w:val="379"/>
        </w:trPr>
        <w:tc>
          <w:tcPr>
            <w:tcW w:w="888" w:type="dxa"/>
            <w:vAlign w:val="bottom"/>
          </w:tcPr>
          <w:p w14:paraId="7073138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292</w:t>
            </w:r>
          </w:p>
        </w:tc>
        <w:tc>
          <w:tcPr>
            <w:tcW w:w="1704" w:type="dxa"/>
            <w:vAlign w:val="bottom"/>
          </w:tcPr>
          <w:p w14:paraId="09C0695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en-US" w:bidi="en-US"/>
              </w:rPr>
              <w:t>(BK-J07A)</w:t>
            </w:r>
          </w:p>
          <w:p w14:paraId="35955BD0"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Як-3</w:t>
            </w:r>
          </w:p>
        </w:tc>
        <w:tc>
          <w:tcPr>
            <w:tcW w:w="1627" w:type="dxa"/>
            <w:vAlign w:val="bottom"/>
          </w:tcPr>
          <w:p w14:paraId="3DEFF90E"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122</w:t>
            </w:r>
          </w:p>
        </w:tc>
        <w:tc>
          <w:tcPr>
            <w:tcW w:w="1637" w:type="dxa"/>
            <w:vAlign w:val="bottom"/>
          </w:tcPr>
          <w:p w14:paraId="3A32544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130</w:t>
            </w:r>
          </w:p>
        </w:tc>
        <w:tc>
          <w:tcPr>
            <w:tcW w:w="1608" w:type="dxa"/>
            <w:vAlign w:val="bottom"/>
          </w:tcPr>
          <w:p w14:paraId="37D8A2A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127</w:t>
            </w:r>
          </w:p>
        </w:tc>
      </w:tr>
      <w:tr w:rsidR="000F5689" w:rsidRPr="00925F26" w14:paraId="6FB1F0BB" w14:textId="77777777" w:rsidTr="00076D96">
        <w:trPr>
          <w:trHeight w:val="379"/>
        </w:trPr>
        <w:tc>
          <w:tcPr>
            <w:tcW w:w="888" w:type="dxa"/>
            <w:vAlign w:val="bottom"/>
          </w:tcPr>
          <w:p w14:paraId="3E97561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381</w:t>
            </w:r>
          </w:p>
        </w:tc>
        <w:tc>
          <w:tcPr>
            <w:tcW w:w="1704" w:type="dxa"/>
            <w:vAlign w:val="bottom"/>
          </w:tcPr>
          <w:p w14:paraId="4ECF1782"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(ВК-105ПФ)</w:t>
            </w:r>
          </w:p>
          <w:p w14:paraId="79C5BDED"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Ла-7</w:t>
            </w:r>
          </w:p>
        </w:tc>
        <w:tc>
          <w:tcPr>
            <w:tcW w:w="1627" w:type="dxa"/>
            <w:vAlign w:val="bottom"/>
          </w:tcPr>
          <w:p w14:paraId="321415EC"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180</w:t>
            </w:r>
          </w:p>
        </w:tc>
        <w:tc>
          <w:tcPr>
            <w:tcW w:w="1637" w:type="dxa"/>
            <w:vAlign w:val="bottom"/>
          </w:tcPr>
          <w:p w14:paraId="4799DD12"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195</w:t>
            </w:r>
          </w:p>
        </w:tc>
        <w:tc>
          <w:tcPr>
            <w:tcW w:w="1608" w:type="dxa"/>
            <w:vAlign w:val="bottom"/>
          </w:tcPr>
          <w:p w14:paraId="74C2C950"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180</w:t>
            </w:r>
          </w:p>
        </w:tc>
      </w:tr>
      <w:tr w:rsidR="000F5689" w:rsidRPr="00925F26" w14:paraId="616FF704" w14:textId="77777777" w:rsidTr="00076D96">
        <w:trPr>
          <w:trHeight w:val="384"/>
        </w:trPr>
        <w:tc>
          <w:tcPr>
            <w:tcW w:w="888" w:type="dxa"/>
            <w:vAlign w:val="bottom"/>
          </w:tcPr>
          <w:p w14:paraId="186D1AB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23</w:t>
            </w:r>
          </w:p>
        </w:tc>
        <w:tc>
          <w:tcPr>
            <w:tcW w:w="1704" w:type="dxa"/>
            <w:vAlign w:val="bottom"/>
          </w:tcPr>
          <w:p w14:paraId="2CA69DCC"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(АШ-82ФН) Ту-2</w:t>
            </w:r>
          </w:p>
        </w:tc>
        <w:tc>
          <w:tcPr>
            <w:tcW w:w="1627" w:type="dxa"/>
            <w:vAlign w:val="bottom"/>
          </w:tcPr>
          <w:p w14:paraId="0F00613F"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570</w:t>
            </w:r>
          </w:p>
        </w:tc>
        <w:tc>
          <w:tcPr>
            <w:tcW w:w="1637" w:type="dxa"/>
            <w:vAlign w:val="bottom"/>
          </w:tcPr>
          <w:p w14:paraId="1C9F61F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590</w:t>
            </w:r>
          </w:p>
        </w:tc>
        <w:tc>
          <w:tcPr>
            <w:tcW w:w="1608" w:type="dxa"/>
            <w:vAlign w:val="bottom"/>
          </w:tcPr>
          <w:p w14:paraId="297DFD6D"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570</w:t>
            </w:r>
          </w:p>
        </w:tc>
      </w:tr>
      <w:tr w:rsidR="000F5689" w:rsidRPr="00925F26" w14:paraId="40A3F03F" w14:textId="77777777" w:rsidTr="00076D96">
        <w:trPr>
          <w:trHeight w:val="389"/>
        </w:trPr>
        <w:tc>
          <w:tcPr>
            <w:tcW w:w="888" w:type="dxa"/>
            <w:vAlign w:val="bottom"/>
          </w:tcPr>
          <w:p w14:paraId="1F644C0A"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lastRenderedPageBreak/>
              <w:t>471</w:t>
            </w:r>
          </w:p>
        </w:tc>
        <w:tc>
          <w:tcPr>
            <w:tcW w:w="1704" w:type="dxa"/>
          </w:tcPr>
          <w:p w14:paraId="65C5F193"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(2АЩ-82ФН)</w:t>
            </w:r>
          </w:p>
          <w:p w14:paraId="75D17B5A"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По-2 (М-11Д)</w:t>
            </w:r>
          </w:p>
        </w:tc>
        <w:tc>
          <w:tcPr>
            <w:tcW w:w="1627" w:type="dxa"/>
            <w:vAlign w:val="bottom"/>
          </w:tcPr>
          <w:p w14:paraId="00761B91"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42</w:t>
            </w:r>
          </w:p>
        </w:tc>
        <w:tc>
          <w:tcPr>
            <w:tcW w:w="1637" w:type="dxa"/>
            <w:vAlign w:val="bottom"/>
          </w:tcPr>
          <w:p w14:paraId="4E0C447E"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44</w:t>
            </w:r>
          </w:p>
        </w:tc>
        <w:tc>
          <w:tcPr>
            <w:tcW w:w="1608" w:type="dxa"/>
            <w:vAlign w:val="bottom"/>
          </w:tcPr>
          <w:p w14:paraId="47AC862B"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w:t>
            </w:r>
          </w:p>
        </w:tc>
      </w:tr>
      <w:tr w:rsidR="000F5689" w:rsidRPr="00925F26" w14:paraId="5F18A748" w14:textId="77777777" w:rsidTr="00076D96">
        <w:trPr>
          <w:trHeight w:val="408"/>
        </w:trPr>
        <w:tc>
          <w:tcPr>
            <w:tcW w:w="888" w:type="dxa"/>
          </w:tcPr>
          <w:p w14:paraId="6C446572"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 18</w:t>
            </w:r>
          </w:p>
        </w:tc>
        <w:tc>
          <w:tcPr>
            <w:tcW w:w="1704" w:type="dxa"/>
            <w:vAlign w:val="bottom"/>
          </w:tcPr>
          <w:p w14:paraId="16F4A7F9"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Ил-10</w:t>
            </w:r>
          </w:p>
          <w:p w14:paraId="42DCC21D"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(АМ-38Ф)</w:t>
            </w:r>
          </w:p>
        </w:tc>
        <w:tc>
          <w:tcPr>
            <w:tcW w:w="1627" w:type="dxa"/>
          </w:tcPr>
          <w:p w14:paraId="2A0FB764"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250</w:t>
            </w:r>
          </w:p>
        </w:tc>
        <w:tc>
          <w:tcPr>
            <w:tcW w:w="1637" w:type="dxa"/>
          </w:tcPr>
          <w:p w14:paraId="37FB3D89"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275</w:t>
            </w:r>
          </w:p>
        </w:tc>
        <w:tc>
          <w:tcPr>
            <w:tcW w:w="1608" w:type="dxa"/>
          </w:tcPr>
          <w:p w14:paraId="3C74922D"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271</w:t>
            </w:r>
          </w:p>
        </w:tc>
      </w:tr>
    </w:tbl>
    <w:p w14:paraId="4FD65451" w14:textId="77777777" w:rsidR="00CE1517" w:rsidRPr="00925F26" w:rsidRDefault="00CE1517" w:rsidP="00925F26">
      <w:pPr>
        <w:pStyle w:val="aff1"/>
        <w:spacing w:line="240" w:lineRule="auto"/>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bidi="ru-RU"/>
        </w:rPr>
        <w:t>Составлено по: РГАЭ ф. 8044, оп. 1, д. 2973, л. 22, 29-30.</w:t>
      </w:r>
    </w:p>
    <w:p w14:paraId="6C6D7520" w14:textId="77777777" w:rsidR="00CE1517" w:rsidRPr="00925F26" w:rsidRDefault="00CE1517" w:rsidP="00925F26">
      <w:pPr>
        <w:jc w:val="both"/>
        <w:rPr>
          <w:color w:val="000000" w:themeColor="text1"/>
          <w:sz w:val="16"/>
          <w:szCs w:val="16"/>
        </w:rPr>
      </w:pPr>
      <w:r w:rsidRPr="00925F26">
        <w:rPr>
          <w:color w:val="000000" w:themeColor="text1"/>
          <w:sz w:val="16"/>
          <w:szCs w:val="16"/>
          <w:lang w:bidi="ru-RU"/>
        </w:rPr>
        <w:t>Согласно данным таблицы 4, советская авиационная индустрия в течение всей войны (за исключением 1942 г.)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сле</w:t>
      </w:r>
      <w:r w:rsidRPr="00925F26">
        <w:rPr>
          <w:color w:val="000000" w:themeColor="text1"/>
          <w:sz w:val="16"/>
          <w:szCs w:val="16"/>
          <w:lang w:bidi="ru-RU"/>
        </w:rPr>
        <w:softHyphen/>
        <w:t>дует учитывать (22646).</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78"/>
        <w:gridCol w:w="3907"/>
        <w:gridCol w:w="1267"/>
        <w:gridCol w:w="1214"/>
      </w:tblGrid>
      <w:tr w:rsidR="000F5689" w:rsidRPr="00925F26" w14:paraId="2D74E970" w14:textId="77777777" w:rsidTr="00076D96">
        <w:trPr>
          <w:trHeight w:val="547"/>
        </w:trPr>
        <w:tc>
          <w:tcPr>
            <w:tcW w:w="878" w:type="dxa"/>
          </w:tcPr>
          <w:p w14:paraId="3E333454" w14:textId="77777777" w:rsidR="00CE1517" w:rsidRPr="00925F26" w:rsidRDefault="00CE1517" w:rsidP="00925F26">
            <w:pPr>
              <w:jc w:val="both"/>
              <w:rPr>
                <w:color w:val="000000" w:themeColor="text1"/>
                <w:sz w:val="16"/>
                <w:szCs w:val="16"/>
              </w:rPr>
            </w:pPr>
          </w:p>
        </w:tc>
        <w:tc>
          <w:tcPr>
            <w:tcW w:w="5174" w:type="dxa"/>
            <w:gridSpan w:val="2"/>
            <w:vAlign w:val="center"/>
          </w:tcPr>
          <w:p w14:paraId="4D6B3CFA"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Динамика рентабельности авиапромышленности в 1941-1945 гг. (%)</w:t>
            </w:r>
          </w:p>
        </w:tc>
        <w:tc>
          <w:tcPr>
            <w:tcW w:w="1214" w:type="dxa"/>
          </w:tcPr>
          <w:p w14:paraId="260F2115" w14:textId="77777777" w:rsidR="00CE1517" w:rsidRPr="00925F26" w:rsidRDefault="00CE1517" w:rsidP="00925F26">
            <w:pPr>
              <w:jc w:val="both"/>
              <w:rPr>
                <w:color w:val="000000" w:themeColor="text1"/>
                <w:sz w:val="16"/>
                <w:szCs w:val="16"/>
              </w:rPr>
            </w:pPr>
          </w:p>
        </w:tc>
      </w:tr>
      <w:tr w:rsidR="000F5689" w:rsidRPr="00925F26" w14:paraId="0671D7C2" w14:textId="77777777" w:rsidTr="00076D96">
        <w:trPr>
          <w:trHeight w:val="370"/>
        </w:trPr>
        <w:tc>
          <w:tcPr>
            <w:tcW w:w="878" w:type="dxa"/>
            <w:vAlign w:val="center"/>
          </w:tcPr>
          <w:p w14:paraId="792C3A1C"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1940 г.</w:t>
            </w:r>
          </w:p>
        </w:tc>
        <w:tc>
          <w:tcPr>
            <w:tcW w:w="3907" w:type="dxa"/>
            <w:vAlign w:val="center"/>
          </w:tcPr>
          <w:p w14:paraId="30BE4EDE" w14:textId="77777777" w:rsidR="00CE1517" w:rsidRPr="00925F26" w:rsidRDefault="00CE1517" w:rsidP="00925F26">
            <w:pPr>
              <w:pStyle w:val="afff8"/>
              <w:tabs>
                <w:tab w:val="left" w:pos="1296"/>
                <w:tab w:val="left" w:pos="2597"/>
              </w:tabs>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1941 г.</w:t>
            </w:r>
            <w:r w:rsidRPr="00925F26">
              <w:rPr>
                <w:rFonts w:ascii="Times New Roman" w:hAnsi="Times New Roman" w:cs="Times New Roman"/>
                <w:color w:val="000000" w:themeColor="text1"/>
                <w:sz w:val="16"/>
                <w:szCs w:val="16"/>
                <w:lang w:bidi="ru-RU"/>
              </w:rPr>
              <w:tab/>
              <w:t>1942 г.</w:t>
            </w:r>
            <w:r w:rsidRPr="00925F26">
              <w:rPr>
                <w:rFonts w:ascii="Times New Roman" w:hAnsi="Times New Roman" w:cs="Times New Roman"/>
                <w:color w:val="000000" w:themeColor="text1"/>
                <w:sz w:val="16"/>
                <w:szCs w:val="16"/>
                <w:lang w:bidi="ru-RU"/>
              </w:rPr>
              <w:tab/>
              <w:t>1943 г.</w:t>
            </w:r>
          </w:p>
        </w:tc>
        <w:tc>
          <w:tcPr>
            <w:tcW w:w="1267" w:type="dxa"/>
            <w:vAlign w:val="center"/>
          </w:tcPr>
          <w:p w14:paraId="0FE45685"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1944 г.</w:t>
            </w:r>
          </w:p>
        </w:tc>
        <w:tc>
          <w:tcPr>
            <w:tcW w:w="1214" w:type="dxa"/>
            <w:vAlign w:val="center"/>
          </w:tcPr>
          <w:p w14:paraId="45D7E4D0"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1945 г.</w:t>
            </w:r>
          </w:p>
        </w:tc>
      </w:tr>
      <w:tr w:rsidR="000F5689" w:rsidRPr="00925F26" w14:paraId="22A21D6C" w14:textId="77777777" w:rsidTr="00076D96">
        <w:trPr>
          <w:trHeight w:val="389"/>
        </w:trPr>
        <w:tc>
          <w:tcPr>
            <w:tcW w:w="878" w:type="dxa"/>
            <w:vAlign w:val="center"/>
          </w:tcPr>
          <w:p w14:paraId="586ED8EF"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+7.32</w:t>
            </w:r>
          </w:p>
        </w:tc>
        <w:tc>
          <w:tcPr>
            <w:tcW w:w="3907" w:type="dxa"/>
          </w:tcPr>
          <w:p w14:paraId="2F853027" w14:textId="77777777" w:rsidR="00CE1517" w:rsidRPr="00925F26" w:rsidRDefault="00CE1517" w:rsidP="00925F26">
            <w:pPr>
              <w:pStyle w:val="afff8"/>
              <w:tabs>
                <w:tab w:val="left" w:pos="432"/>
                <w:tab w:val="left" w:pos="1291"/>
                <w:tab w:val="left" w:pos="1771"/>
                <w:tab w:val="left" w:pos="2592"/>
                <w:tab w:val="left" w:pos="3110"/>
              </w:tabs>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w:t>
            </w:r>
            <w:r w:rsidRPr="00925F26">
              <w:rPr>
                <w:rFonts w:ascii="Times New Roman" w:hAnsi="Times New Roman" w:cs="Times New Roman"/>
                <w:color w:val="000000" w:themeColor="text1"/>
                <w:sz w:val="16"/>
                <w:szCs w:val="16"/>
                <w:lang w:bidi="ru-RU"/>
              </w:rPr>
              <w:tab/>
              <w:t>+13.53</w:t>
            </w:r>
            <w:r w:rsidRPr="00925F26">
              <w:rPr>
                <w:rFonts w:ascii="Times New Roman" w:hAnsi="Times New Roman" w:cs="Times New Roman"/>
                <w:color w:val="000000" w:themeColor="text1"/>
                <w:sz w:val="16"/>
                <w:szCs w:val="16"/>
                <w:lang w:bidi="ru-RU"/>
              </w:rPr>
              <w:tab/>
              <w:t>|</w:t>
            </w:r>
            <w:r w:rsidRPr="00925F26">
              <w:rPr>
                <w:rFonts w:ascii="Times New Roman" w:hAnsi="Times New Roman" w:cs="Times New Roman"/>
                <w:color w:val="000000" w:themeColor="text1"/>
                <w:sz w:val="16"/>
                <w:szCs w:val="16"/>
                <w:lang w:bidi="ru-RU"/>
              </w:rPr>
              <w:tab/>
              <w:t>-0.98</w:t>
            </w:r>
            <w:r w:rsidRPr="00925F26">
              <w:rPr>
                <w:rFonts w:ascii="Times New Roman" w:hAnsi="Times New Roman" w:cs="Times New Roman"/>
                <w:color w:val="000000" w:themeColor="text1"/>
                <w:sz w:val="16"/>
                <w:szCs w:val="16"/>
                <w:lang w:bidi="ru-RU"/>
              </w:rPr>
              <w:tab/>
              <w:t>|</w:t>
            </w:r>
            <w:r w:rsidRPr="00925F26">
              <w:rPr>
                <w:rFonts w:ascii="Times New Roman" w:hAnsi="Times New Roman" w:cs="Times New Roman"/>
                <w:color w:val="000000" w:themeColor="text1"/>
                <w:sz w:val="16"/>
                <w:szCs w:val="16"/>
                <w:lang w:bidi="ru-RU"/>
              </w:rPr>
              <w:tab/>
              <w:t>+7.7</w:t>
            </w:r>
          </w:p>
        </w:tc>
        <w:tc>
          <w:tcPr>
            <w:tcW w:w="1267" w:type="dxa"/>
            <w:vAlign w:val="center"/>
          </w:tcPr>
          <w:p w14:paraId="23950E27" w14:textId="77777777" w:rsidR="00CE1517" w:rsidRPr="00925F26" w:rsidRDefault="00CE1517"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+5.52</w:t>
            </w:r>
          </w:p>
        </w:tc>
        <w:tc>
          <w:tcPr>
            <w:tcW w:w="1214" w:type="dxa"/>
          </w:tcPr>
          <w:p w14:paraId="284CBAAC" w14:textId="77777777" w:rsidR="00CE1517" w:rsidRPr="00925F26" w:rsidRDefault="00CE1517" w:rsidP="00925F26">
            <w:pPr>
              <w:pStyle w:val="afff8"/>
              <w:tabs>
                <w:tab w:val="left" w:pos="466"/>
              </w:tabs>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w:t>
            </w:r>
            <w:r w:rsidRPr="00925F26">
              <w:rPr>
                <w:rFonts w:ascii="Times New Roman" w:hAnsi="Times New Roman" w:cs="Times New Roman"/>
                <w:color w:val="000000" w:themeColor="text1"/>
                <w:sz w:val="16"/>
                <w:szCs w:val="16"/>
                <w:lang w:bidi="ru-RU"/>
              </w:rPr>
              <w:tab/>
              <w:t>+5.2</w:t>
            </w:r>
          </w:p>
        </w:tc>
      </w:tr>
    </w:tbl>
    <w:p w14:paraId="404F6FE8" w14:textId="77777777" w:rsidR="00CE1517" w:rsidRPr="00925F26" w:rsidRDefault="00CE1517" w:rsidP="00925F26">
      <w:pPr>
        <w:pStyle w:val="aff1"/>
        <w:spacing w:line="240" w:lineRule="auto"/>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bidi="ru-RU"/>
        </w:rPr>
        <w:t>Составлено по: Симонов Н.С. Указ. соч. С. 177 (22646).</w:t>
      </w:r>
    </w:p>
    <w:p w14:paraId="4284EF8C" w14:textId="77777777" w:rsidR="00CE1517" w:rsidRPr="00925F26" w:rsidRDefault="00CE1517" w:rsidP="00925F26">
      <w:pPr>
        <w:jc w:val="both"/>
        <w:rPr>
          <w:color w:val="000000" w:themeColor="text1"/>
          <w:sz w:val="16"/>
          <w:szCs w:val="16"/>
        </w:rPr>
      </w:pPr>
      <w:r w:rsidRPr="00925F26">
        <w:rPr>
          <w:color w:val="000000" w:themeColor="text1"/>
          <w:sz w:val="16"/>
          <w:szCs w:val="16"/>
          <w:lang w:bidi="ru-RU"/>
        </w:rPr>
        <w:t>Таким образом, в советской экономике военных лет монетарные инстру</w:t>
      </w:r>
      <w:r w:rsidRPr="00925F26">
        <w:rPr>
          <w:color w:val="000000" w:themeColor="text1"/>
          <w:sz w:val="16"/>
          <w:szCs w:val="16"/>
          <w:lang w:bidi="ru-RU"/>
        </w:rPr>
        <w:softHyphen/>
        <w:t>менты регулирования, действительно, существенно редуцировались, но только на уровне внутриведомственных взаимоотношений. Однако рассмотренный пример согласования цен на авиационную продукцию между руководством НКАП и ВВС позволяет сделать вывод о существенном значении межведом</w:t>
      </w:r>
      <w:r w:rsidRPr="00925F26">
        <w:rPr>
          <w:color w:val="000000" w:themeColor="text1"/>
          <w:sz w:val="16"/>
          <w:szCs w:val="16"/>
          <w:lang w:bidi="ru-RU"/>
        </w:rPr>
        <w:softHyphen/>
        <w:t>ственных финансовых взаиморасчётов для успешного функционирования авиационной промышленности. Её руководство всемерно старалось снизить себестоимость и поднять отпускные цены на производимую для фронта про</w:t>
      </w:r>
      <w:r w:rsidRPr="00925F26">
        <w:rPr>
          <w:color w:val="000000" w:themeColor="text1"/>
          <w:sz w:val="16"/>
          <w:szCs w:val="16"/>
          <w:lang w:bidi="ru-RU"/>
        </w:rPr>
        <w:softHyphen/>
        <w:t>дукцию, а НКО пытался их снизить. В подобных спорах советское правитель</w:t>
      </w:r>
      <w:r w:rsidRPr="00925F26">
        <w:rPr>
          <w:color w:val="000000" w:themeColor="text1"/>
          <w:sz w:val="16"/>
          <w:szCs w:val="16"/>
          <w:lang w:bidi="ru-RU"/>
        </w:rPr>
        <w:softHyphen/>
        <w:t>ство выступало в роли арбитра и всегда стремилось обуздать ведомственные амбиции, проводя взвешенную ценовую политику (22646).</w:t>
      </w:r>
    </w:p>
    <w:p w14:paraId="00E6A6A7" w14:textId="77777777" w:rsidR="00CE1517" w:rsidRPr="00925F26" w:rsidRDefault="00CE1517" w:rsidP="00925F26">
      <w:pPr>
        <w:jc w:val="both"/>
        <w:rPr>
          <w:color w:val="000000" w:themeColor="text1"/>
          <w:sz w:val="16"/>
          <w:szCs w:val="16"/>
        </w:rPr>
      </w:pPr>
    </w:p>
    <w:p w14:paraId="45E7329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18CCE94" w14:textId="77777777" w:rsidR="00665165" w:rsidRPr="00925F26" w:rsidRDefault="00665165" w:rsidP="00925F26">
      <w:pPr>
        <w:autoSpaceDE w:val="0"/>
        <w:autoSpaceDN w:val="0"/>
        <w:adjustRightInd w:val="0"/>
        <w:jc w:val="both"/>
        <w:rPr>
          <w:iCs/>
          <w:color w:val="000000" w:themeColor="text1"/>
          <w:sz w:val="16"/>
          <w:szCs w:val="16"/>
        </w:rPr>
      </w:pPr>
    </w:p>
    <w:p w14:paraId="21DDEA0B" w14:textId="77777777" w:rsidR="00524C9D" w:rsidRPr="00925F26" w:rsidRDefault="00524C9D" w:rsidP="00925F26">
      <w:pPr>
        <w:pStyle w:val="book"/>
        <w:ind w:firstLine="0"/>
        <w:jc w:val="both"/>
        <w:rPr>
          <w:color w:val="000000" w:themeColor="text1"/>
          <w:sz w:val="16"/>
          <w:szCs w:val="16"/>
        </w:rPr>
      </w:pPr>
      <w:r w:rsidRPr="00925F26">
        <w:rPr>
          <w:color w:val="000000" w:themeColor="text1"/>
          <w:sz w:val="16"/>
          <w:szCs w:val="16"/>
        </w:rPr>
        <w:t>13 марта 1945 г. в Германию был отправлен заместитель начальника научно-исследовательского отдела Артиллерийского исторического музея полковник Н.Т. Сорокин. По заданию работы должны были производиться в следующих пунктах: Берлин — Шпандау — Потстдам — Ораниенбург; Кенигсберг — Пилау; Бреславль; Дрезден; Прага; Вена. Группа старинных крепостей: Кюстрин, Глагау, Нейсе, Котгбус, Франкфурт-на-Одере и т.д. В конце мая 1945 г. Сорокин прибыл в Дрезден, а 2 июля 1945 г. принял от техника-лейтенанта А.А. Сатышева Артиллерийский музей Дрездена. Была составлена краткая опись экспонатов. В музее насчитали 143 орудия, 36 минометов, 62 пулемета, 63 орудийных ствола, 1507 единиц огнестрельного оружия различных систем, 3 самолета и т.д., а также «библиотека с разными книгами — 1; нагрудников исторических стальных — 6 комнат; обмундирования музейного — 1 комната» (15225).</w:t>
      </w:r>
    </w:p>
    <w:p w14:paraId="59687F83" w14:textId="77777777" w:rsidR="00524C9D" w:rsidRPr="00925F26" w:rsidRDefault="00524C9D" w:rsidP="00925F26">
      <w:pPr>
        <w:pStyle w:val="book"/>
        <w:ind w:firstLine="0"/>
        <w:jc w:val="both"/>
        <w:rPr>
          <w:color w:val="000000" w:themeColor="text1"/>
          <w:sz w:val="16"/>
          <w:szCs w:val="16"/>
        </w:rPr>
      </w:pPr>
    </w:p>
    <w:p w14:paraId="18F0A46D" w14:textId="77777777" w:rsidR="006B4C87" w:rsidRPr="00925F26" w:rsidRDefault="006B4C87" w:rsidP="00925F26">
      <w:pPr>
        <w:pStyle w:val="ae"/>
        <w:shd w:val="clear" w:color="auto" w:fill="FFFFFF"/>
        <w:spacing w:before="0" w:after="0"/>
        <w:jc w:val="both"/>
        <w:rPr>
          <w:color w:val="000000" w:themeColor="text1"/>
          <w:sz w:val="16"/>
          <w:szCs w:val="16"/>
        </w:rPr>
      </w:pPr>
      <w:r w:rsidRPr="00925F26">
        <w:rPr>
          <w:color w:val="000000" w:themeColor="text1"/>
          <w:sz w:val="16"/>
          <w:szCs w:val="16"/>
        </w:rPr>
        <w:t>13 марта 1945 года появилась гораздо более подробная информация о «горизонтальной подвеске танка M2A2». Сводку подготовил начальник танкового отдела Советской правительственной закупочной комиссии (СПЗК) в США подполковник Пульников. В соответствии с этим документом, одной из причин появления подвески HVSS стали многочисленные жалобы со стороны американских союзников. Пульников подчёркивал, что жалобы на ходовую часть VVSS неоднократно отправляла и советская сторона.</w:t>
      </w:r>
    </w:p>
    <w:p w14:paraId="62E0A949" w14:textId="77777777" w:rsidR="006B4C87" w:rsidRPr="00925F26" w:rsidRDefault="006B4C8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 слову, по данным Пульникова, траки T66 танки получали только с января по март 1945 года, с марта 1945 года в серию пошли траки T80.</w:t>
      </w:r>
    </w:p>
    <w:p w14:paraId="5FCB3E7E" w14:textId="77777777" w:rsidR="006B4C87" w:rsidRPr="00925F26" w:rsidRDefault="006B4C8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сводке Пульникова нашлось место и для описания достаточно специфичной особенности подвески. Тележки в ней использовались трёх типов: 7067329 (левая передняя и правая задняя), 7067330 (правая передняя и левая задняя) и 7067331 (центральные). Друг от друга они отличались наличием упоров, ограничивающих ход балансира. По данным американского Танко-автомобильного центра ресурс опорных катков составлял 6400 километров, поддерживающих катков — 8000 километров, ленивцев — 6400 километров, амортизаторов 2400 километров. Ресурс трака T66 составил 4000 километров. Американцами испытывался и трак T88, который М4 получили уже после окончания войны. Его ресурс оказался ещё больше — 6800 километров.</w:t>
      </w:r>
    </w:p>
    <w:p w14:paraId="132953F9" w14:textId="77777777" w:rsidR="006B4C87" w:rsidRPr="00925F26" w:rsidRDefault="006B4C8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Пульников сообщал и о других изменениях M4A2E8. С марта 1945 года (с машины под номером 64741) прекращалась установка миномёта в крыше башни, а начиная с машины 64724 у танков появился чехол, который ставился на орудийную маску (17725).</w:t>
      </w:r>
    </w:p>
    <w:p w14:paraId="33873606" w14:textId="77777777" w:rsidR="006B4C87" w:rsidRPr="00925F26" w:rsidRDefault="006B4C87" w:rsidP="00925F26">
      <w:pPr>
        <w:jc w:val="both"/>
        <w:rPr>
          <w:rStyle w:val="107"/>
          <w:rFonts w:eastAsiaTheme="minorHAnsi"/>
          <w:color w:val="000000" w:themeColor="text1"/>
          <w:sz w:val="16"/>
          <w:szCs w:val="16"/>
        </w:rPr>
      </w:pPr>
    </w:p>
    <w:p w14:paraId="653051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Распоряжение ГКО № 7795. О поставке строительных материалов для восстановления заводов № 444 и 445 НКСП. РГАНИР, Фонд ГКО, д. 380, лл. 11-13 (11012).</w:t>
      </w:r>
    </w:p>
    <w:p w14:paraId="09ADED59" w14:textId="77777777" w:rsidR="00665165" w:rsidRPr="00925F26" w:rsidRDefault="00665165" w:rsidP="00925F26">
      <w:pPr>
        <w:autoSpaceDE w:val="0"/>
        <w:autoSpaceDN w:val="0"/>
        <w:adjustRightInd w:val="0"/>
        <w:jc w:val="both"/>
        <w:rPr>
          <w:color w:val="000000" w:themeColor="text1"/>
          <w:sz w:val="16"/>
          <w:szCs w:val="16"/>
        </w:rPr>
      </w:pPr>
    </w:p>
    <w:p w14:paraId="707728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Постановление ГКО № 7796 О мерах неотложной помощи углем Магнитогорскому металлургическому комбинату Наркомчермета. РГАНИР, Фонд ГКО, д. 380, лл. 14-16 (11012).</w:t>
      </w:r>
    </w:p>
    <w:p w14:paraId="2651076F" w14:textId="77777777" w:rsidR="00665165" w:rsidRPr="00925F26" w:rsidRDefault="00665165" w:rsidP="00925F26">
      <w:pPr>
        <w:autoSpaceDE w:val="0"/>
        <w:autoSpaceDN w:val="0"/>
        <w:adjustRightInd w:val="0"/>
        <w:jc w:val="both"/>
        <w:rPr>
          <w:color w:val="000000" w:themeColor="text1"/>
          <w:sz w:val="16"/>
          <w:szCs w:val="16"/>
        </w:rPr>
      </w:pPr>
    </w:p>
    <w:p w14:paraId="0D96E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Постановление ГКО № 7797 Об обеспечении топочным мазутом предприятий Наркомчермета в марте 1945 г. РГАНИР, Фонд ГКО, д. 380, лл. 17-18, 19-22 (11012).</w:t>
      </w:r>
    </w:p>
    <w:p w14:paraId="71156050" w14:textId="77777777" w:rsidR="00665165" w:rsidRPr="00925F26" w:rsidRDefault="00665165" w:rsidP="00925F26">
      <w:pPr>
        <w:autoSpaceDE w:val="0"/>
        <w:autoSpaceDN w:val="0"/>
        <w:adjustRightInd w:val="0"/>
        <w:jc w:val="both"/>
        <w:rPr>
          <w:color w:val="000000" w:themeColor="text1"/>
          <w:sz w:val="16"/>
          <w:szCs w:val="16"/>
        </w:rPr>
      </w:pPr>
    </w:p>
    <w:p w14:paraId="5C1CD6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Распоряжение ГКО № 7798. О продлении до 20 марта 1945 г. второй очереди графика ограничений отпуска электроэнергии на Московской энергосистеме. РГАНИР, Фонд ГКО, д. 380, лл. 23 (11012).</w:t>
      </w:r>
    </w:p>
    <w:p w14:paraId="595E9717" w14:textId="77777777" w:rsidR="00665165" w:rsidRPr="00925F26" w:rsidRDefault="00665165" w:rsidP="00925F26">
      <w:pPr>
        <w:autoSpaceDE w:val="0"/>
        <w:autoSpaceDN w:val="0"/>
        <w:adjustRightInd w:val="0"/>
        <w:jc w:val="both"/>
        <w:rPr>
          <w:color w:val="000000" w:themeColor="text1"/>
          <w:sz w:val="16"/>
          <w:szCs w:val="16"/>
        </w:rPr>
      </w:pPr>
    </w:p>
    <w:p w14:paraId="1CD720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Распоряжение ГКО № 7799. Об обеспечении заводов НКТП чугунами и огнеупорами. РГАНИР, Фонд ГКО, д. 380, лл. 24-25, 26-29 (11012).</w:t>
      </w:r>
    </w:p>
    <w:p w14:paraId="0418E593" w14:textId="77777777" w:rsidR="00665165" w:rsidRPr="00925F26" w:rsidRDefault="00665165" w:rsidP="00925F26">
      <w:pPr>
        <w:autoSpaceDE w:val="0"/>
        <w:autoSpaceDN w:val="0"/>
        <w:adjustRightInd w:val="0"/>
        <w:jc w:val="both"/>
        <w:rPr>
          <w:color w:val="000000" w:themeColor="text1"/>
          <w:sz w:val="16"/>
          <w:szCs w:val="16"/>
        </w:rPr>
      </w:pPr>
    </w:p>
    <w:p w14:paraId="4A2BE8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Распоряжение ГКО № 7800. О мерах по обеспечению производства катков к танкам ИС на Ворошиловградском и Брянском заводах НКТМ чугунами, ферросплавами, углем, мазутом и формовочными песками. РГАНИР, Фонд ГКО, д. 380, лл. 30-31 (11012).</w:t>
      </w:r>
    </w:p>
    <w:p w14:paraId="11780EC0" w14:textId="77777777" w:rsidR="00665165" w:rsidRPr="00925F26" w:rsidRDefault="00665165" w:rsidP="00925F26">
      <w:pPr>
        <w:autoSpaceDE w:val="0"/>
        <w:autoSpaceDN w:val="0"/>
        <w:adjustRightInd w:val="0"/>
        <w:jc w:val="both"/>
        <w:rPr>
          <w:color w:val="000000" w:themeColor="text1"/>
          <w:sz w:val="16"/>
          <w:szCs w:val="16"/>
        </w:rPr>
      </w:pPr>
    </w:p>
    <w:p w14:paraId="45DA98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Распоряжение ГКО № 7801. О перевозке формовочных песков для НКМВ в марте 1945 г. РГАНИР, Фонд ГКО, д. 380 Л.32 (11012).</w:t>
      </w:r>
    </w:p>
    <w:p w14:paraId="6E28450E" w14:textId="77777777" w:rsidR="00665165" w:rsidRPr="00925F26" w:rsidRDefault="00665165" w:rsidP="00925F26">
      <w:pPr>
        <w:autoSpaceDE w:val="0"/>
        <w:autoSpaceDN w:val="0"/>
        <w:adjustRightInd w:val="0"/>
        <w:jc w:val="both"/>
        <w:rPr>
          <w:color w:val="000000" w:themeColor="text1"/>
          <w:sz w:val="16"/>
          <w:szCs w:val="16"/>
        </w:rPr>
      </w:pPr>
    </w:p>
    <w:p w14:paraId="19EE2F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вышло Постановление ГКО № 7802 Об оказании помощи в организации энергоснабжения г. Варшава. РГАНИР, Фонд ГКО, д. 380, лл. 33-34 (11012).</w:t>
      </w:r>
    </w:p>
    <w:p w14:paraId="6199C20A" w14:textId="77777777" w:rsidR="00665165" w:rsidRPr="00925F26" w:rsidRDefault="00665165" w:rsidP="00925F26">
      <w:pPr>
        <w:autoSpaceDE w:val="0"/>
        <w:autoSpaceDN w:val="0"/>
        <w:adjustRightInd w:val="0"/>
        <w:jc w:val="both"/>
        <w:rPr>
          <w:color w:val="000000" w:themeColor="text1"/>
          <w:sz w:val="16"/>
          <w:szCs w:val="16"/>
        </w:rPr>
      </w:pPr>
    </w:p>
    <w:p w14:paraId="62B5D96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марта 1945 вышло Постановление ГКО № 7803 О кругобайкальском железнодорожном участке (телеграмма т. Ковалева). (7315, 35-41).</w:t>
      </w:r>
    </w:p>
    <w:p w14:paraId="7561B06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FB9993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E38A4FB" w14:textId="77777777" w:rsidR="00665165" w:rsidRPr="00925F26" w:rsidRDefault="00665165" w:rsidP="00925F26">
      <w:pPr>
        <w:autoSpaceDE w:val="0"/>
        <w:autoSpaceDN w:val="0"/>
        <w:adjustRightInd w:val="0"/>
        <w:jc w:val="both"/>
        <w:rPr>
          <w:iCs/>
          <w:color w:val="000000" w:themeColor="text1"/>
          <w:sz w:val="16"/>
          <w:szCs w:val="16"/>
        </w:rPr>
      </w:pPr>
    </w:p>
    <w:p w14:paraId="6E1E19A2" w14:textId="77777777" w:rsidR="00524C9D" w:rsidRPr="00925F26" w:rsidRDefault="00524C9D" w:rsidP="00925F26">
      <w:pPr>
        <w:jc w:val="both"/>
        <w:rPr>
          <w:color w:val="000000" w:themeColor="text1"/>
          <w:sz w:val="16"/>
          <w:szCs w:val="16"/>
        </w:rPr>
      </w:pPr>
      <w:r w:rsidRPr="00925F26">
        <w:rPr>
          <w:bCs/>
          <w:color w:val="000000" w:themeColor="text1"/>
          <w:sz w:val="16"/>
          <w:szCs w:val="16"/>
        </w:rPr>
        <w:t>13 марта</w:t>
      </w:r>
      <w:r w:rsidRPr="00925F26">
        <w:rPr>
          <w:color w:val="000000" w:themeColor="text1"/>
          <w:sz w:val="16"/>
          <w:szCs w:val="16"/>
        </w:rPr>
        <w:t xml:space="preserve"> в 1945 году оперативная сводка Совинформбюро:.</w:t>
      </w:r>
    </w:p>
    <w:p w14:paraId="13CA3DA3" w14:textId="77777777" w:rsidR="00524C9D" w:rsidRPr="00925F26" w:rsidRDefault="00524C9D" w:rsidP="00925F26">
      <w:pPr>
        <w:jc w:val="both"/>
        <w:rPr>
          <w:color w:val="000000" w:themeColor="text1"/>
          <w:sz w:val="16"/>
          <w:szCs w:val="16"/>
        </w:rPr>
      </w:pPr>
      <w:r w:rsidRPr="00925F26">
        <w:rPr>
          <w:color w:val="000000" w:themeColor="text1"/>
          <w:sz w:val="16"/>
          <w:szCs w:val="16"/>
        </w:rPr>
        <w:t>«В течение 13 марта юго-восточнее Данцига наши войска, наступая на север вдоль восточного берега Вислы, заняли населённые пункты Раймерсвальде, Ной-Тайхервальде, Фирценхубен, Брескерфельд, Прангенау, Нойкирх, Пальшау.</w:t>
      </w:r>
    </w:p>
    <w:p w14:paraId="50AB4B57" w14:textId="77777777" w:rsidR="00524C9D" w:rsidRPr="00925F26" w:rsidRDefault="00524C9D" w:rsidP="00925F26">
      <w:pPr>
        <w:jc w:val="both"/>
        <w:rPr>
          <w:color w:val="000000" w:themeColor="text1"/>
          <w:sz w:val="16"/>
          <w:szCs w:val="16"/>
        </w:rPr>
      </w:pPr>
      <w:r w:rsidRPr="00925F26">
        <w:rPr>
          <w:color w:val="000000" w:themeColor="text1"/>
          <w:sz w:val="16"/>
          <w:szCs w:val="16"/>
        </w:rPr>
        <w:t>Северо-западнее города Гдыня наши войска заняли населённые пункты Реда, Полхау, Брезин, Осланин, Рутцау, Гнездау, Шварцау, Халлерово, Хлапау. За 12 марта в этом районе взято в плен более 1.000 немецких солдат и офицеров.</w:t>
      </w:r>
    </w:p>
    <w:p w14:paraId="56761A20" w14:textId="77777777" w:rsidR="00524C9D" w:rsidRPr="00925F26" w:rsidRDefault="00524C9D" w:rsidP="00925F26">
      <w:pPr>
        <w:jc w:val="both"/>
        <w:rPr>
          <w:color w:val="000000" w:themeColor="text1"/>
          <w:sz w:val="16"/>
          <w:szCs w:val="16"/>
        </w:rPr>
      </w:pPr>
      <w:r w:rsidRPr="00925F26">
        <w:rPr>
          <w:color w:val="000000" w:themeColor="text1"/>
          <w:sz w:val="16"/>
          <w:szCs w:val="16"/>
        </w:rPr>
        <w:t>На 1-м Белорусском фронте, в боях за город и крепость Нистжинь (Люстрин), взято в плен более 3.000 немецких солдат и офицеров. В числе пленных комендант крепости Кистжинь — полковник Крюгер.</w:t>
      </w:r>
    </w:p>
    <w:p w14:paraId="0BD52F72" w14:textId="77777777" w:rsidR="00524C9D" w:rsidRPr="00925F26" w:rsidRDefault="00524C9D"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немцы, несмотря на большие потери, продолжали атаки крупными силами танков и пехоты. В боях за 12 марта в этом районе огнём нашей артиллерии уничтожено 45 немецких танков и самоходных орудий и, кроме того, подбито и подорвалось на наших минных полях 50 танков и самоходных орудий противника.</w:t>
      </w:r>
    </w:p>
    <w:p w14:paraId="0C89D886" w14:textId="77777777" w:rsidR="00524C9D" w:rsidRPr="00925F26" w:rsidRDefault="00524C9D"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1F443152" w14:textId="77777777" w:rsidR="00524C9D" w:rsidRPr="00925F26" w:rsidRDefault="00524C9D" w:rsidP="00925F26">
      <w:pPr>
        <w:jc w:val="both"/>
        <w:rPr>
          <w:color w:val="000000" w:themeColor="text1"/>
          <w:sz w:val="16"/>
          <w:szCs w:val="16"/>
        </w:rPr>
      </w:pPr>
      <w:r w:rsidRPr="00925F26">
        <w:rPr>
          <w:color w:val="000000" w:themeColor="text1"/>
          <w:sz w:val="16"/>
          <w:szCs w:val="16"/>
        </w:rPr>
        <w:t>За 12 марта на всех фронтах подбито и уничтожено 134 немецких танка и самоходных орудия. В воздушных боях и огнём зенитной артиллерии сбито 9 самолётов противника.</w:t>
      </w:r>
    </w:p>
    <w:p w14:paraId="1624E9D0" w14:textId="77777777" w:rsidR="00524C9D" w:rsidRPr="00925F26" w:rsidRDefault="00524C9D" w:rsidP="00925F26">
      <w:pPr>
        <w:jc w:val="both"/>
        <w:rPr>
          <w:color w:val="000000" w:themeColor="text1"/>
          <w:sz w:val="16"/>
          <w:szCs w:val="16"/>
        </w:rPr>
      </w:pPr>
      <w:r w:rsidRPr="00925F26">
        <w:rPr>
          <w:color w:val="000000" w:themeColor="text1"/>
          <w:sz w:val="16"/>
          <w:szCs w:val="16"/>
        </w:rPr>
        <w:t xml:space="preserve">Юго-восточнее Данцига наши войска с боями продвигались на север вдоль восточного берега реки Вислы. Изрезанная каналами местность затрудняет наступательные действия советских частей. Опираясь на заранее подготовленные оборонительные рубежи и сильно укрепленные пункты, противник оказывает упорное </w:t>
      </w:r>
      <w:r w:rsidRPr="00925F26">
        <w:rPr>
          <w:color w:val="000000" w:themeColor="text1"/>
          <w:sz w:val="16"/>
          <w:szCs w:val="16"/>
        </w:rPr>
        <w:lastRenderedPageBreak/>
        <w:t>сопротивление. Немцы часто предпринимают контратаки. Отбивая вражеские контратаки, наши войска нанесли противнику большие потери. Части Н-ского соединения переправились через раку Линау и выбили немцев из нескольких населённых пунктов.</w:t>
      </w:r>
    </w:p>
    <w:p w14:paraId="212A8DEE" w14:textId="77777777" w:rsidR="00524C9D" w:rsidRPr="00925F26" w:rsidRDefault="00524C9D" w:rsidP="00925F26">
      <w:pPr>
        <w:jc w:val="both"/>
        <w:rPr>
          <w:color w:val="000000" w:themeColor="text1"/>
          <w:sz w:val="16"/>
          <w:szCs w:val="16"/>
        </w:rPr>
      </w:pPr>
      <w:r w:rsidRPr="00925F26">
        <w:rPr>
          <w:color w:val="000000" w:themeColor="text1"/>
          <w:sz w:val="16"/>
          <w:szCs w:val="16"/>
        </w:rPr>
        <w:t>Северо-западнее Гдыни наши войска заняли ряд населенных пунктов. Противник, прижатый к Данцигской бухте, отчаянно сопротивляется. Советские пехотинцы, танкисты и артиллеристы наносят врагу непрерывные удары и настойчиво продвигаются вперёд. Занят железнодорожный узел Реда, находящийся в 13 километрах от Гдыни. Ожесточённые бои идут у внешнего обвода данцигско-гдынского укреплённого района. За день уничтожено до 3 тысяч солдат и офицеров противника. Подбито и сожжено 30 немецких танков и самоходных орудий, уничтожено 86 полевых орудий и свыше 700 автомашин. Нашими частями захвачено у немцев 22 танка и самоходных орудия, 68 полевых орудий, 15 шестиствольных минометов и много других трофеев.</w:t>
      </w:r>
    </w:p>
    <w:p w14:paraId="7893B43B" w14:textId="77777777" w:rsidR="00524C9D" w:rsidRPr="00925F26" w:rsidRDefault="00524C9D"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крупные силы танков и пехоты противника продолжали атаковать наши позиции. Бои принимают всё более ожесточённый характер и часто переходят в рукопашные схватки. Не добившись успеха на одном участке, немцы меняют направление удара, пытаясь найти слабое место в советской обороне. Однако противник, на всех участках встречает упорное сопротивление наших войск и несёт огромные потери.</w:t>
      </w:r>
    </w:p>
    <w:p w14:paraId="5576344B" w14:textId="77777777" w:rsidR="00524C9D" w:rsidRPr="00925F26" w:rsidRDefault="00524C9D" w:rsidP="00925F26">
      <w:pPr>
        <w:jc w:val="both"/>
        <w:rPr>
          <w:color w:val="000000" w:themeColor="text1"/>
          <w:sz w:val="16"/>
          <w:szCs w:val="16"/>
        </w:rPr>
      </w:pPr>
      <w:r w:rsidRPr="00925F26">
        <w:rPr>
          <w:color w:val="000000" w:themeColor="text1"/>
          <w:sz w:val="16"/>
          <w:szCs w:val="16"/>
        </w:rPr>
        <w:t>Советские воины, отражая вражеские атаки, проявляют непоколебимую стойкость и беззаветную храбрость. Крупные силы пехоты и 20 танков противника атаковали позиции, которые оборонял стрелковый батальон капитана Агаметова. Гитлеровцам удалось ворваться в наши траншеи. Капитан Агаметов перегруппировал свои силы и поднял бойцов в контратаку. Потеряв 200 солдат убитыми и 6 танков, немцы отошли на исходный рубеж. На другом участке 14 вражеских бронетранспортёров с автоматчиками приближались к советским позициям. Находившаяся в засаде батарея самоходных орудий старшего лейтенанта Киктина открыла огонь и подбила два немецких бронетранспортера. Гитлеровцы повернули обратно. Преследуя отступающего противника, наши самоходные орудия уничтожили ещё 11 бронетранспортёров. Разведчики сержанты Банков, Ерёмин и Крукусин проникли в расположение противника и заметили танк, укрытый в засаде. Немецкие танкисты стояли возле танка. Отважные разведчики меткими выстрелами уничтожили гитлеровцев. Сержант Ерёмин завёл немецкий танк и совместно со своими товарищами доставил его в расположение своей части.</w:t>
      </w:r>
    </w:p>
    <w:p w14:paraId="32C0FAA3" w14:textId="77777777" w:rsidR="00524C9D" w:rsidRPr="00925F26" w:rsidRDefault="00524C9D" w:rsidP="00925F26">
      <w:pPr>
        <w:jc w:val="both"/>
        <w:rPr>
          <w:color w:val="000000" w:themeColor="text1"/>
          <w:sz w:val="16"/>
          <w:szCs w:val="16"/>
        </w:rPr>
      </w:pPr>
      <w:r w:rsidRPr="00925F26">
        <w:rPr>
          <w:color w:val="000000" w:themeColor="text1"/>
          <w:sz w:val="16"/>
          <w:szCs w:val="16"/>
        </w:rPr>
        <w:t>Авиацией Краснознамённого Балтийского флота потоплены в Балтийском море транспорт водоизмещением в 12 тысяч тонн и сторожевой корабль противника.</w:t>
      </w:r>
    </w:p>
    <w:p w14:paraId="305C0D71" w14:textId="77777777" w:rsidR="00524C9D" w:rsidRPr="00925F26" w:rsidRDefault="00524C9D" w:rsidP="00925F26">
      <w:pPr>
        <w:jc w:val="both"/>
        <w:rPr>
          <w:color w:val="000000" w:themeColor="text1"/>
          <w:sz w:val="16"/>
          <w:szCs w:val="16"/>
        </w:rPr>
      </w:pPr>
      <w:r w:rsidRPr="00925F26">
        <w:rPr>
          <w:color w:val="000000" w:themeColor="text1"/>
          <w:sz w:val="16"/>
          <w:szCs w:val="16"/>
        </w:rPr>
        <w:t>Взятый в плен на 1-м Украинском франте унтер-офицер боевой группы 408-й немецкой пехотной дивизии Бруно Вибер сообщил: «Наш полк понёс большие потери. Часть солдат разбежалась. Командир полка майор Майер-Шоллер объединил остатки разбитых подразделений в боевую группу. Командиром боевой группы был назначен майор Герольд. После отъезда командира полка в штаб дивизии майор Герольд передал командование боевой группой обер-лейтенанту, бывшему лётчику, который только накануне прибыл в полк, а сам уехал. Через час обер-лейтенант также заявил, что он едет в штаб дивизии просить помощи, и передал командование группой одному унтер-офицеру. Было ясно, что офицеры убегают, чтобы спасти свою жизнь, а нас бросают на произвол судьбы. Я собрал группу солдат. Мы пришли к заключению, что если будем дальше воевать, то непременно погибнем, и решили сдаться в плен» (15067).</w:t>
      </w:r>
    </w:p>
    <w:p w14:paraId="567C73CD" w14:textId="77777777" w:rsidR="00524C9D" w:rsidRPr="00925F26" w:rsidRDefault="00524C9D" w:rsidP="00925F26">
      <w:pPr>
        <w:jc w:val="both"/>
        <w:rPr>
          <w:color w:val="000000" w:themeColor="text1"/>
          <w:sz w:val="16"/>
          <w:szCs w:val="16"/>
        </w:rPr>
      </w:pPr>
    </w:p>
    <w:p w14:paraId="7F7371C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13th, 1945: The Soviet 1st Belorussian Front (Zhukov) captures the Oder fortress of Kustrin, 70 miles east of Berlin, while the 2nd Belorussian Front (Rokossovsky) launches an offensive against the Braunsberg pocket south of Konigsberg. Following a 600-bomber raid by the US 8th Air Force, the RAF (with 800 bombers) attacks Swinemunde north of Stettin, a major port of disembarkation for German escapees from the East, causing heavy damage to the docks and killing hundreds of refugees (3819).</w:t>
      </w:r>
    </w:p>
    <w:p w14:paraId="0AE21973" w14:textId="77777777" w:rsidR="00665165" w:rsidRPr="00925F26" w:rsidRDefault="00665165" w:rsidP="00925F26">
      <w:pPr>
        <w:autoSpaceDE w:val="0"/>
        <w:autoSpaceDN w:val="0"/>
        <w:adjustRightInd w:val="0"/>
        <w:jc w:val="both"/>
        <w:rPr>
          <w:color w:val="000000" w:themeColor="text1"/>
          <w:sz w:val="16"/>
          <w:szCs w:val="16"/>
          <w:lang w:val="en-US"/>
        </w:rPr>
      </w:pPr>
    </w:p>
    <w:p w14:paraId="1EF6FF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1БФ (Жуков) занял крепость Кюстрин в 70 милях от Берлина, а 2БФ (Рокосовский) начал наступление против Браунсберга на юг от Кенигсберга. После рейда 8ВА США численностью 600 самолетов Королевские ВВС повторили налет на Швиннемюнде, порт разгрузки беженцев из Восточной Пруссии (3819).</w:t>
      </w:r>
    </w:p>
    <w:p w14:paraId="04A1CC58" w14:textId="77777777" w:rsidR="00665165" w:rsidRPr="00925F26" w:rsidRDefault="00665165" w:rsidP="00925F26">
      <w:pPr>
        <w:autoSpaceDE w:val="0"/>
        <w:autoSpaceDN w:val="0"/>
        <w:adjustRightInd w:val="0"/>
        <w:jc w:val="both"/>
        <w:rPr>
          <w:color w:val="000000" w:themeColor="text1"/>
          <w:sz w:val="16"/>
          <w:szCs w:val="16"/>
        </w:rPr>
      </w:pPr>
    </w:p>
    <w:p w14:paraId="4E28EC9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3082AAE" w14:textId="77777777" w:rsidR="00665165" w:rsidRPr="00925F26" w:rsidRDefault="00665165" w:rsidP="00925F26">
      <w:pPr>
        <w:autoSpaceDE w:val="0"/>
        <w:autoSpaceDN w:val="0"/>
        <w:adjustRightInd w:val="0"/>
        <w:jc w:val="both"/>
        <w:rPr>
          <w:iCs/>
          <w:color w:val="000000" w:themeColor="text1"/>
          <w:sz w:val="16"/>
          <w:szCs w:val="16"/>
        </w:rPr>
      </w:pPr>
    </w:p>
    <w:p w14:paraId="3B5A0A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заместитель наркома Чернышов подписал приказ № 047 “О строительстве в 1945 году образцовых исправительно-трудовых лагерей и колоний НКВД”, которым к 1 ноября предписывалось ввести в эксплуатацию следующие “образцовые лагеря и колонии”:</w:t>
      </w:r>
    </w:p>
    <w:p w14:paraId="086255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по ГУЛЖДС - Свияжский отдельный лагерный пункт при Ремзаводе № 1 ГУЛЖДС (поселок Нижние Вязовые);</w:t>
      </w:r>
    </w:p>
    <w:p w14:paraId="3F7FB7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по Главпромстрою - ИТЛ при Закавказметаллургстрое НКВД (Тбилиси);</w:t>
      </w:r>
    </w:p>
    <w:p w14:paraId="21BA4D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по ГУЛГМП - ИТЛ в западном районе Воркутлага;</w:t>
      </w:r>
    </w:p>
    <w:p w14:paraId="032D7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по Управлению лагерей лесной промышленности - лагерный пункт в Унженском ИТЛ;</w:t>
      </w:r>
    </w:p>
    <w:p w14:paraId="01B317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по Управлению исправительно-трудовых колоний ГУЛАГа - Крюковскую ИТК УИТЛК УНКВД по Московской области (7560).</w:t>
      </w:r>
    </w:p>
    <w:p w14:paraId="4E8B6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Уже в хрущевские времена именно в образцово-показательную Крюковскую ИТК под Москвой станут возить все делегации иностранцев, интересовавшихся пенитенциарной политикой в СССР (7560).</w:t>
      </w:r>
    </w:p>
    <w:p w14:paraId="54D78E89" w14:textId="77777777" w:rsidR="00665165" w:rsidRPr="00925F26" w:rsidRDefault="00665165" w:rsidP="00925F26">
      <w:pPr>
        <w:autoSpaceDE w:val="0"/>
        <w:autoSpaceDN w:val="0"/>
        <w:adjustRightInd w:val="0"/>
        <w:jc w:val="both"/>
        <w:rPr>
          <w:color w:val="000000" w:themeColor="text1"/>
          <w:sz w:val="16"/>
          <w:szCs w:val="16"/>
        </w:rPr>
      </w:pPr>
    </w:p>
    <w:p w14:paraId="6C83F35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D1B14B8" w14:textId="77777777" w:rsidR="00665165" w:rsidRPr="00925F26" w:rsidRDefault="00665165" w:rsidP="00925F26">
      <w:pPr>
        <w:autoSpaceDE w:val="0"/>
        <w:autoSpaceDN w:val="0"/>
        <w:adjustRightInd w:val="0"/>
        <w:jc w:val="both"/>
        <w:rPr>
          <w:iCs/>
          <w:color w:val="000000" w:themeColor="text1"/>
          <w:sz w:val="16"/>
          <w:szCs w:val="16"/>
        </w:rPr>
      </w:pPr>
    </w:p>
    <w:p w14:paraId="32F68EAB" w14:textId="77777777" w:rsidR="00524C9D" w:rsidRPr="00925F26" w:rsidRDefault="00524C9D" w:rsidP="00925F26">
      <w:pPr>
        <w:jc w:val="both"/>
        <w:rPr>
          <w:color w:val="000000" w:themeColor="text1"/>
          <w:sz w:val="16"/>
          <w:szCs w:val="16"/>
        </w:rPr>
      </w:pPr>
      <w:r w:rsidRPr="00925F26">
        <w:rPr>
          <w:bCs/>
          <w:color w:val="000000" w:themeColor="text1"/>
          <w:sz w:val="16"/>
          <w:szCs w:val="16"/>
        </w:rPr>
        <w:t>13 марта</w:t>
      </w:r>
      <w:r w:rsidRPr="00925F26">
        <w:rPr>
          <w:color w:val="000000" w:themeColor="text1"/>
          <w:sz w:val="16"/>
          <w:szCs w:val="16"/>
        </w:rPr>
        <w:t xml:space="preserve"> в 1945 году поднялся в воздух первый прототип </w:t>
      </w:r>
      <w:hyperlink r:id="rId70" w:tgtFrame="_blank" w:history="1">
        <w:r w:rsidRPr="00925F26">
          <w:rPr>
            <w:color w:val="000000" w:themeColor="text1"/>
            <w:sz w:val="16"/>
            <w:szCs w:val="16"/>
          </w:rPr>
          <w:t xml:space="preserve">«XTB2D-1». </w:t>
        </w:r>
      </w:hyperlink>
      <w:r w:rsidRPr="00925F26">
        <w:rPr>
          <w:color w:val="000000" w:themeColor="text1"/>
          <w:sz w:val="16"/>
          <w:szCs w:val="16"/>
        </w:rPr>
        <w:t>Летом этого же года был облетан и второй экземпляр, который отличался увеличенной на 58 см длиной фюзеляжа. Ни один из самолетов не был вооружен. К началу 1945 года необходимость в новых самолетах «XTB2D» отпала, поэтому заказ на 23 серийные машины отменили, а летные испытания двух прототипов приостановили. В конце 1948 года оба самолета были отправлены на слом (15067).</w:t>
      </w:r>
    </w:p>
    <w:p w14:paraId="37CBF5F6" w14:textId="77777777" w:rsidR="00524C9D" w:rsidRPr="00925F26" w:rsidRDefault="00524C9D" w:rsidP="00925F26">
      <w:pPr>
        <w:jc w:val="both"/>
        <w:rPr>
          <w:color w:val="000000" w:themeColor="text1"/>
          <w:sz w:val="16"/>
          <w:szCs w:val="16"/>
        </w:rPr>
      </w:pPr>
    </w:p>
    <w:p w14:paraId="26A7AE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состоялся испытательный сброс с Ланкастера сверхмощную бомбу Грэнд Слэм весом 9988 кг на виадук у Билефельда. Разбили три пролета и потом было 40 сбросов (1144,29).</w:t>
      </w:r>
    </w:p>
    <w:p w14:paraId="09EE2AF7" w14:textId="77777777" w:rsidR="00665165" w:rsidRPr="00925F26" w:rsidRDefault="00665165" w:rsidP="00925F26">
      <w:pPr>
        <w:autoSpaceDE w:val="0"/>
        <w:autoSpaceDN w:val="0"/>
        <w:adjustRightInd w:val="0"/>
        <w:jc w:val="both"/>
        <w:rPr>
          <w:color w:val="000000" w:themeColor="text1"/>
          <w:sz w:val="16"/>
          <w:szCs w:val="16"/>
        </w:rPr>
      </w:pPr>
    </w:p>
    <w:p w14:paraId="10F305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г. состоялся первый испытательный сброс новой сверхмощной десятитонной «Грэнд Слэм» (9988 кг).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5615637E" w14:textId="77777777" w:rsidR="00665165" w:rsidRPr="00925F26" w:rsidRDefault="00665165" w:rsidP="00925F26">
      <w:pPr>
        <w:autoSpaceDE w:val="0"/>
        <w:autoSpaceDN w:val="0"/>
        <w:adjustRightInd w:val="0"/>
        <w:jc w:val="both"/>
        <w:rPr>
          <w:color w:val="000000" w:themeColor="text1"/>
          <w:sz w:val="16"/>
          <w:szCs w:val="16"/>
        </w:rPr>
      </w:pPr>
    </w:p>
    <w:p w14:paraId="0D96B337" w14:textId="77777777" w:rsidR="00524C9D" w:rsidRPr="00925F26" w:rsidRDefault="00524C9D" w:rsidP="00925F26">
      <w:pPr>
        <w:jc w:val="both"/>
        <w:rPr>
          <w:bCs/>
          <w:color w:val="000000" w:themeColor="text1"/>
          <w:sz w:val="16"/>
          <w:szCs w:val="16"/>
        </w:rPr>
      </w:pPr>
      <w:r w:rsidRPr="00925F26">
        <w:rPr>
          <w:bCs/>
          <w:color w:val="000000" w:themeColor="text1"/>
          <w:sz w:val="16"/>
          <w:szCs w:val="16"/>
        </w:rPr>
        <w:t>13 марта</w:t>
      </w:r>
      <w:r w:rsidRPr="00925F26">
        <w:rPr>
          <w:color w:val="000000" w:themeColor="text1"/>
          <w:sz w:val="16"/>
          <w:szCs w:val="16"/>
        </w:rPr>
        <w:t xml:space="preserve"> в 1945 году произошел первый реальный сброс 9988 килограммовой бомбы "Грэнд Слэм" со стратегического бомбардировщика </w:t>
      </w:r>
      <w:hyperlink r:id="rId71" w:tgtFrame="_blank" w:history="1">
        <w:r w:rsidRPr="00925F26">
          <w:rPr>
            <w:color w:val="000000" w:themeColor="text1"/>
            <w:sz w:val="16"/>
            <w:szCs w:val="16"/>
          </w:rPr>
          <w:t>"Ланкастер" I "Спешиэл".</w:t>
        </w:r>
      </w:hyperlink>
    </w:p>
    <w:p w14:paraId="696601AC" w14:textId="77777777" w:rsidR="00524C9D" w:rsidRPr="00925F26" w:rsidRDefault="00524C9D" w:rsidP="00925F26">
      <w:pPr>
        <w:jc w:val="both"/>
        <w:rPr>
          <w:bCs/>
          <w:color w:val="000000" w:themeColor="text1"/>
          <w:sz w:val="16"/>
          <w:szCs w:val="16"/>
        </w:rPr>
      </w:pPr>
    </w:p>
    <w:p w14:paraId="7BEBB5EB" w14:textId="77777777" w:rsidR="00CE1517" w:rsidRPr="00925F26" w:rsidRDefault="00CE1517" w:rsidP="00925F26">
      <w:pPr>
        <w:jc w:val="both"/>
        <w:rPr>
          <w:color w:val="000000" w:themeColor="text1"/>
          <w:sz w:val="16"/>
          <w:szCs w:val="16"/>
        </w:rPr>
      </w:pPr>
      <w:r w:rsidRPr="00925F26">
        <w:rPr>
          <w:color w:val="000000" w:themeColor="text1"/>
          <w:sz w:val="16"/>
          <w:szCs w:val="16"/>
        </w:rPr>
        <w:t>13–14 марта 1945 Авро Ланкастер из 617-й эскадрильи Королевских ВВС бомбят виадук Билефельд в Германии, впервые применив бомбу Большого шлема массой 22 000 фунтов (9 980 кг) (20371).</w:t>
      </w:r>
    </w:p>
    <w:p w14:paraId="1CAEF2BB" w14:textId="77777777" w:rsidR="00CE1517" w:rsidRPr="00925F26" w:rsidRDefault="00CE1517" w:rsidP="00925F26">
      <w:pPr>
        <w:jc w:val="both"/>
        <w:rPr>
          <w:color w:val="000000" w:themeColor="text1"/>
          <w:sz w:val="16"/>
          <w:szCs w:val="16"/>
        </w:rPr>
      </w:pPr>
    </w:p>
    <w:p w14:paraId="7EA2BB3C" w14:textId="1BB0C03D" w:rsidR="00CE1517" w:rsidRPr="00925F26" w:rsidRDefault="00CE1517" w:rsidP="00925F26">
      <w:pPr>
        <w:jc w:val="both"/>
        <w:rPr>
          <w:color w:val="000000" w:themeColor="text1"/>
          <w:sz w:val="16"/>
          <w:szCs w:val="16"/>
        </w:rPr>
      </w:pPr>
      <w:r w:rsidRPr="00925F26">
        <w:rPr>
          <w:color w:val="000000" w:themeColor="text1"/>
          <w:sz w:val="16"/>
          <w:szCs w:val="16"/>
        </w:rPr>
        <w:t>13–14 марта 1945</w:t>
      </w:r>
      <w:r w:rsidR="00997EDF" w:rsidRPr="00925F26">
        <w:rPr>
          <w:color w:val="000000" w:themeColor="text1"/>
          <w:sz w:val="16"/>
          <w:szCs w:val="16"/>
        </w:rPr>
        <w:t xml:space="preserve">  </w:t>
      </w:r>
      <w:r w:rsidRPr="00925F26">
        <w:rPr>
          <w:color w:val="000000" w:themeColor="text1"/>
          <w:sz w:val="16"/>
          <w:szCs w:val="16"/>
        </w:rPr>
        <w:t>- Бомбардировка виадука Билефельд самолетами Авро Ланкастер.</w:t>
      </w:r>
    </w:p>
    <w:p w14:paraId="43F5DBB1" w14:textId="77777777" w:rsidR="00CE1517" w:rsidRPr="00925F26" w:rsidRDefault="00CE1517" w:rsidP="00925F26">
      <w:pPr>
        <w:jc w:val="both"/>
        <w:rPr>
          <w:color w:val="000000" w:themeColor="text1"/>
          <w:sz w:val="16"/>
          <w:szCs w:val="16"/>
        </w:rPr>
      </w:pPr>
      <w:r w:rsidRPr="00925F26">
        <w:rPr>
          <w:color w:val="000000" w:themeColor="text1"/>
          <w:sz w:val="16"/>
          <w:szCs w:val="16"/>
        </w:rPr>
        <w:t>Знаменитая сверхтяжёлая сейсмическая бомба "Гранд слэм" инженера Барнса Уоллеса была доставлена до цели специально модифицированным Авро Ланкастером 617-й эскадрильи Королевских ВВС. Это было первое её боевое применение. Окончательно виадук добили другими не менее культовыми бомбами Уоллса "Толл бой", которые к тому моменту уже давно хорошо себя зарекомендовали, разрушив в итоге около 30 метров его длины</w:t>
      </w:r>
    </w:p>
    <w:p w14:paraId="49F9E88C" w14:textId="77777777" w:rsidR="00CE1517" w:rsidRPr="00925F26" w:rsidRDefault="00CE1517" w:rsidP="00925F26">
      <w:pPr>
        <w:jc w:val="both"/>
        <w:rPr>
          <w:color w:val="000000" w:themeColor="text1"/>
          <w:sz w:val="16"/>
          <w:szCs w:val="16"/>
        </w:rPr>
      </w:pPr>
      <w:r w:rsidRPr="00925F26">
        <w:rPr>
          <w:color w:val="000000" w:themeColor="text1"/>
          <w:sz w:val="16"/>
          <w:szCs w:val="16"/>
        </w:rPr>
        <w:t>Особенностью бомбы "Гранд слэм" были её огромный вес - 9980 кг (22000 lbs), из них масса взрывчатого вещества (торпекс: 42 % тринитротолуола, 40 % гексогена и 18 % алюминиевой пудры; в два раза ядрёнее тротила) - 4144 кг; а также стабилизаторы как у "Толлбоя", заставлявшие её быстро вращаться и падать строго вертикально вниз. Бомба набирала сверхзвуковую скорость и зарывалась в грунт аж на 40 м (при сбросе её с 8 км). Взрыв мощностью в 6,5 тонн в тротиловом эквиваленте устраивал мини-землетрясение, разрушая инфраструктуру врага. На Билефельд бомба была сброшена с высоты 5 км (22568).</w:t>
      </w:r>
    </w:p>
    <w:p w14:paraId="135B1522" w14:textId="77777777" w:rsidR="00CE1517" w:rsidRPr="00925F26" w:rsidRDefault="00CE1517" w:rsidP="00925F26">
      <w:pPr>
        <w:jc w:val="both"/>
        <w:rPr>
          <w:color w:val="000000" w:themeColor="text1"/>
          <w:sz w:val="16"/>
          <w:szCs w:val="16"/>
        </w:rPr>
      </w:pPr>
    </w:p>
    <w:p w14:paraId="095B02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марта 1945 Перу объявила войну Германии (2100).</w:t>
      </w:r>
    </w:p>
    <w:p w14:paraId="0372E24B" w14:textId="77777777" w:rsidR="00665165" w:rsidRPr="00925F26" w:rsidRDefault="00665165" w:rsidP="00925F26">
      <w:pPr>
        <w:autoSpaceDE w:val="0"/>
        <w:autoSpaceDN w:val="0"/>
        <w:adjustRightInd w:val="0"/>
        <w:jc w:val="both"/>
        <w:rPr>
          <w:color w:val="000000" w:themeColor="text1"/>
          <w:sz w:val="16"/>
          <w:szCs w:val="16"/>
        </w:rPr>
      </w:pPr>
    </w:p>
    <w:p w14:paraId="696006D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3F2B39B" w14:textId="77777777" w:rsidR="00665165" w:rsidRPr="00925F26" w:rsidRDefault="00665165" w:rsidP="00925F26">
      <w:pPr>
        <w:autoSpaceDE w:val="0"/>
        <w:autoSpaceDN w:val="0"/>
        <w:adjustRightInd w:val="0"/>
        <w:jc w:val="both"/>
        <w:rPr>
          <w:iCs/>
          <w:color w:val="000000" w:themeColor="text1"/>
          <w:sz w:val="16"/>
          <w:szCs w:val="16"/>
        </w:rPr>
      </w:pPr>
    </w:p>
    <w:p w14:paraId="30E10A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14 марта 1945 г. самолет И-223 выполнил первый вылет (5852,40).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АВ-5Л-22В диаметром 3,6 м, а также </w:t>
      </w:r>
      <w:proofErr w:type="gramStart"/>
      <w:r w:rsidRPr="00925F26">
        <w:rPr>
          <w:color w:val="000000" w:themeColor="text1"/>
          <w:sz w:val="16"/>
          <w:szCs w:val="16"/>
        </w:rPr>
        <w:t>гермокаби-ной</w:t>
      </w:r>
      <w:proofErr w:type="gramEnd"/>
      <w:r w:rsidRPr="00925F26">
        <w:rPr>
          <w:color w:val="000000" w:themeColor="text1"/>
          <w:sz w:val="16"/>
          <w:szCs w:val="16"/>
        </w:rPr>
        <w:t>.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(5852,40).</w:t>
      </w:r>
    </w:p>
    <w:p w14:paraId="4468AEAB" w14:textId="77777777" w:rsidR="00665165" w:rsidRPr="00925F26" w:rsidRDefault="00665165" w:rsidP="00925F26">
      <w:pPr>
        <w:autoSpaceDE w:val="0"/>
        <w:autoSpaceDN w:val="0"/>
        <w:adjustRightInd w:val="0"/>
        <w:jc w:val="both"/>
        <w:rPr>
          <w:color w:val="000000" w:themeColor="text1"/>
          <w:sz w:val="16"/>
          <w:szCs w:val="16"/>
        </w:rPr>
      </w:pPr>
    </w:p>
    <w:p w14:paraId="7F01BF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состоялся первый полет второго экземпляра И-225 МиГ (4,252).</w:t>
      </w:r>
    </w:p>
    <w:p w14:paraId="011E27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было не до того, так как все занимались машиной с мотор-компрессором (1084,48).</w:t>
      </w:r>
    </w:p>
    <w:p w14:paraId="7CD05C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качестве МиГ-13 был на вооружении ВМФ до 1950 (173,435).</w:t>
      </w:r>
    </w:p>
    <w:p w14:paraId="6076C552" w14:textId="77777777" w:rsidR="00665165" w:rsidRPr="00925F26" w:rsidRDefault="00665165" w:rsidP="00925F26">
      <w:pPr>
        <w:autoSpaceDE w:val="0"/>
        <w:autoSpaceDN w:val="0"/>
        <w:adjustRightInd w:val="0"/>
        <w:jc w:val="both"/>
        <w:rPr>
          <w:color w:val="000000" w:themeColor="text1"/>
          <w:sz w:val="16"/>
          <w:szCs w:val="16"/>
        </w:rPr>
      </w:pPr>
    </w:p>
    <w:p w14:paraId="477CCC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марта 1945 г. в первый полет отправился второй экземпляр истребителя И—225. Первоначально на самолет планиро</w:t>
      </w:r>
      <w:r w:rsidRPr="00925F26">
        <w:rPr>
          <w:color w:val="000000" w:themeColor="text1"/>
          <w:sz w:val="16"/>
          <w:szCs w:val="16"/>
        </w:rPr>
        <w:softHyphen/>
        <w:t>вали установить мотор АМ—43, однако из-за его от</w:t>
      </w:r>
      <w:r w:rsidRPr="00925F26">
        <w:rPr>
          <w:color w:val="000000" w:themeColor="text1"/>
          <w:sz w:val="16"/>
          <w:szCs w:val="16"/>
        </w:rPr>
        <w:softHyphen/>
        <w:t>сутствия смонтировали АМ—42ФБ и турбокомпрес</w:t>
      </w:r>
      <w:r w:rsidRPr="00925F26">
        <w:rPr>
          <w:color w:val="000000" w:themeColor="text1"/>
          <w:sz w:val="16"/>
          <w:szCs w:val="16"/>
        </w:rPr>
        <w:softHyphen/>
        <w:t>сор АМТК—1А. Был применен трехлопастный воздушный винт АВ—5Л—22В диаметром 3,6 м. Пилот размещался в гермокабине. Вооружение И—225 состояло из четырех синхронных 20-мм пушек СШ—20 с боекомплектом по 100 патронов на ствол. Проведение заводских летных испытаний второго экземпляра И—225 поручили ведущему инженеру АТ.Брунову и летчику-испытателю А.П.Дееву (9984).</w:t>
      </w:r>
    </w:p>
    <w:p w14:paraId="19C22C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93C99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г. второй экземпляр истребителя И-225 поднялся в воздух.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10 000 м, которую И-225 набирал всего за 8,8 мин. Время подъема на высоту 5000 м было рекордно малым - всего 4 мин. 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34D1CBA2" w14:textId="77777777" w:rsidR="00665165" w:rsidRPr="00925F26" w:rsidRDefault="00665165" w:rsidP="00925F26">
      <w:pPr>
        <w:autoSpaceDE w:val="0"/>
        <w:autoSpaceDN w:val="0"/>
        <w:adjustRightInd w:val="0"/>
        <w:jc w:val="both"/>
        <w:rPr>
          <w:color w:val="000000" w:themeColor="text1"/>
          <w:sz w:val="16"/>
          <w:szCs w:val="16"/>
        </w:rPr>
      </w:pPr>
    </w:p>
    <w:p w14:paraId="6F7DC337" w14:textId="77777777" w:rsidR="00524C9D" w:rsidRPr="00925F26" w:rsidRDefault="00524C9D" w:rsidP="00925F26">
      <w:pPr>
        <w:jc w:val="both"/>
        <w:rPr>
          <w:bCs/>
          <w:color w:val="000000" w:themeColor="text1"/>
          <w:sz w:val="16"/>
          <w:szCs w:val="16"/>
        </w:rPr>
      </w:pPr>
      <w:r w:rsidRPr="00925F26">
        <w:rPr>
          <w:bCs/>
          <w:color w:val="000000" w:themeColor="text1"/>
          <w:sz w:val="16"/>
          <w:szCs w:val="16"/>
        </w:rPr>
        <w:t>14 марта</w:t>
      </w:r>
      <w:r w:rsidRPr="00925F26">
        <w:rPr>
          <w:color w:val="000000" w:themeColor="text1"/>
          <w:sz w:val="16"/>
          <w:szCs w:val="16"/>
        </w:rPr>
        <w:t xml:space="preserve"> в 1945 году состоялся первый полет истребитель И-225 конструкции ОКБ А.И.Микояна, А.П.Деев</w:t>
      </w:r>
    </w:p>
    <w:p w14:paraId="46B70C1E" w14:textId="77777777" w:rsidR="00524C9D" w:rsidRPr="00925F26" w:rsidRDefault="00524C9D" w:rsidP="00925F26">
      <w:pPr>
        <w:jc w:val="both"/>
        <w:rPr>
          <w:bCs/>
          <w:color w:val="000000" w:themeColor="text1"/>
          <w:sz w:val="16"/>
          <w:szCs w:val="16"/>
        </w:rPr>
      </w:pPr>
    </w:p>
    <w:p w14:paraId="7758AD8B" w14:textId="77777777" w:rsidR="00524C9D" w:rsidRPr="00925F26" w:rsidRDefault="00524C9D" w:rsidP="00925F26">
      <w:pPr>
        <w:jc w:val="both"/>
        <w:rPr>
          <w:color w:val="000000" w:themeColor="text1"/>
          <w:sz w:val="16"/>
          <w:szCs w:val="16"/>
        </w:rPr>
      </w:pPr>
      <w:r w:rsidRPr="00925F26">
        <w:rPr>
          <w:bCs/>
          <w:color w:val="000000" w:themeColor="text1"/>
          <w:sz w:val="16"/>
          <w:szCs w:val="16"/>
        </w:rPr>
        <w:t>14 марта</w:t>
      </w:r>
      <w:r w:rsidRPr="00925F26">
        <w:rPr>
          <w:color w:val="000000" w:themeColor="text1"/>
          <w:sz w:val="16"/>
          <w:szCs w:val="16"/>
        </w:rPr>
        <w:t xml:space="preserve"> в 1945 году состоялся первый полет истребитель </w:t>
      </w:r>
      <w:hyperlink r:id="rId72" w:tgtFrame="_blank" w:history="1">
        <w:r w:rsidRPr="00925F26">
          <w:rPr>
            <w:color w:val="000000" w:themeColor="text1"/>
            <w:sz w:val="16"/>
            <w:szCs w:val="16"/>
          </w:rPr>
          <w:t xml:space="preserve">«И-225» </w:t>
        </w:r>
      </w:hyperlink>
      <w:r w:rsidRPr="00925F26">
        <w:rPr>
          <w:color w:val="000000" w:themeColor="text1"/>
          <w:sz w:val="16"/>
          <w:szCs w:val="16"/>
        </w:rPr>
        <w:t>конструкции ОКБ А.И.Микояна, пилот А.П.Деев.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2АВ-5Л-22В» диаметром 3,6 м, а также гермокабиной.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(15068).</w:t>
      </w:r>
    </w:p>
    <w:p w14:paraId="200694C0" w14:textId="77777777" w:rsidR="00524C9D" w:rsidRPr="00925F26" w:rsidRDefault="00524C9D" w:rsidP="00925F26">
      <w:pPr>
        <w:jc w:val="both"/>
        <w:rPr>
          <w:color w:val="000000" w:themeColor="text1"/>
          <w:sz w:val="16"/>
          <w:szCs w:val="16"/>
        </w:rPr>
      </w:pPr>
    </w:p>
    <w:p w14:paraId="67F3B2AA" w14:textId="77777777" w:rsidR="00A822EC" w:rsidRPr="00925F26" w:rsidRDefault="00A822EC" w:rsidP="00925F26">
      <w:pPr>
        <w:jc w:val="both"/>
        <w:rPr>
          <w:color w:val="000000" w:themeColor="text1"/>
          <w:sz w:val="16"/>
          <w:szCs w:val="16"/>
        </w:rPr>
      </w:pPr>
      <w:r w:rsidRPr="00925F26">
        <w:rPr>
          <w:color w:val="000000" w:themeColor="text1"/>
          <w:sz w:val="16"/>
          <w:szCs w:val="16"/>
        </w:rPr>
        <w:t>14 марта 1945 г. лётчик-испыта</w:t>
      </w:r>
      <w:r w:rsidRPr="00925F26">
        <w:rPr>
          <w:color w:val="000000" w:themeColor="text1"/>
          <w:sz w:val="16"/>
          <w:szCs w:val="16"/>
        </w:rPr>
        <w:softHyphen/>
        <w:t>тель Александр Павлович Деев выполнил на самолёте И-225 №02 первый полёт с Центрального аэродрома.</w:t>
      </w:r>
    </w:p>
    <w:p w14:paraId="0B1A02FF" w14:textId="77777777" w:rsidR="00A822EC" w:rsidRPr="00925F26" w:rsidRDefault="00A822EC" w:rsidP="00925F26">
      <w:pPr>
        <w:jc w:val="both"/>
        <w:rPr>
          <w:color w:val="000000" w:themeColor="text1"/>
          <w:sz w:val="16"/>
          <w:szCs w:val="16"/>
        </w:rPr>
      </w:pPr>
      <w:r w:rsidRPr="00925F26">
        <w:rPr>
          <w:color w:val="000000" w:themeColor="text1"/>
          <w:sz w:val="16"/>
          <w:szCs w:val="16"/>
        </w:rPr>
        <w:t>В то время кадровый голод испытыва</w:t>
      </w:r>
      <w:r w:rsidRPr="00925F26">
        <w:rPr>
          <w:color w:val="000000" w:themeColor="text1"/>
          <w:sz w:val="16"/>
          <w:szCs w:val="16"/>
        </w:rPr>
        <w:softHyphen/>
        <w:t>ли не только конструкторское бюро №155 и его опытное производство, но и завод</w:t>
      </w:r>
      <w:r w:rsidRPr="00925F26">
        <w:rPr>
          <w:color w:val="000000" w:themeColor="text1"/>
          <w:sz w:val="16"/>
          <w:szCs w:val="16"/>
        </w:rPr>
        <w:softHyphen/>
        <w:t>ское представительство военной прием</w:t>
      </w:r>
      <w:r w:rsidRPr="00925F26">
        <w:rPr>
          <w:color w:val="000000" w:themeColor="text1"/>
          <w:sz w:val="16"/>
          <w:szCs w:val="16"/>
        </w:rPr>
        <w:softHyphen/>
        <w:t>ки, которое обеспечивало испытания но</w:t>
      </w:r>
      <w:r w:rsidRPr="00925F26">
        <w:rPr>
          <w:color w:val="000000" w:themeColor="text1"/>
          <w:sz w:val="16"/>
          <w:szCs w:val="16"/>
        </w:rPr>
        <w:softHyphen/>
        <w:t>вых самолётов. На его усиление и при</w:t>
      </w:r>
      <w:r w:rsidRPr="00925F26">
        <w:rPr>
          <w:color w:val="000000" w:themeColor="text1"/>
          <w:sz w:val="16"/>
          <w:szCs w:val="16"/>
        </w:rPr>
        <w:softHyphen/>
        <w:t>шел Деев в январе 1945 г., имея за пле</w:t>
      </w:r>
      <w:r w:rsidRPr="00925F26">
        <w:rPr>
          <w:color w:val="000000" w:themeColor="text1"/>
          <w:sz w:val="16"/>
          <w:szCs w:val="16"/>
        </w:rPr>
        <w:softHyphen/>
        <w:t>чами пока только опыт облёта серийных машин плюс боевой. До того он служил на заводе №135, строившем ближние раз</w:t>
      </w:r>
      <w:r w:rsidRPr="00925F26">
        <w:rPr>
          <w:color w:val="000000" w:themeColor="text1"/>
          <w:sz w:val="16"/>
          <w:szCs w:val="16"/>
        </w:rPr>
        <w:softHyphen/>
        <w:t>ведчики и бомбардировщики Р-10 и Су-2 в Харькове и в эвакуации в Перми, затем на 23-м в Москве, когда там производи</w:t>
      </w:r>
      <w:r w:rsidRPr="00925F26">
        <w:rPr>
          <w:color w:val="000000" w:themeColor="text1"/>
          <w:sz w:val="16"/>
          <w:szCs w:val="16"/>
        </w:rPr>
        <w:softHyphen/>
        <w:t>лись дальние Ил-4, был на заводе №600 в Урумчи в Китае, где собирались вести сборку УТИ-4 и И-16, дальше в его послуж</w:t>
      </w:r>
      <w:r w:rsidRPr="00925F26">
        <w:rPr>
          <w:color w:val="000000" w:themeColor="text1"/>
          <w:sz w:val="16"/>
          <w:szCs w:val="16"/>
        </w:rPr>
        <w:softHyphen/>
        <w:t>ном списке следовал 1-й завод в Куйбы</w:t>
      </w:r>
      <w:r w:rsidRPr="00925F26">
        <w:rPr>
          <w:color w:val="000000" w:themeColor="text1"/>
          <w:sz w:val="16"/>
          <w:szCs w:val="16"/>
        </w:rPr>
        <w:softHyphen/>
        <w:t>шеве и штурмовики Ил-2, за ним - №381 в Москве и истребители Ла-7. Опыт у Деева накопился разносторонний, и хотя такой работы, как предстояла по самолётам «5А» и «Н», он ещё не вел, приступил к ней ре</w:t>
      </w:r>
      <w:r w:rsidRPr="00925F26">
        <w:rPr>
          <w:color w:val="000000" w:themeColor="text1"/>
          <w:sz w:val="16"/>
          <w:szCs w:val="16"/>
        </w:rPr>
        <w:softHyphen/>
        <w:t>шительно, облетав 4 апреля 1945 г. заодно и «полуреактивный» И-250.</w:t>
      </w:r>
    </w:p>
    <w:p w14:paraId="7FF19EF0" w14:textId="77777777" w:rsidR="00A822EC" w:rsidRPr="00925F26" w:rsidRDefault="00A822EC" w:rsidP="00925F26">
      <w:pPr>
        <w:jc w:val="both"/>
        <w:rPr>
          <w:color w:val="000000" w:themeColor="text1"/>
          <w:sz w:val="16"/>
          <w:szCs w:val="16"/>
        </w:rPr>
      </w:pPr>
      <w:r w:rsidRPr="00925F26">
        <w:rPr>
          <w:color w:val="000000" w:themeColor="text1"/>
          <w:sz w:val="16"/>
          <w:szCs w:val="16"/>
        </w:rPr>
        <w:t>Чисто поршневая машина оказа</w:t>
      </w:r>
      <w:r w:rsidRPr="00925F26">
        <w:rPr>
          <w:color w:val="000000" w:themeColor="text1"/>
          <w:sz w:val="16"/>
          <w:szCs w:val="16"/>
        </w:rPr>
        <w:softHyphen/>
        <w:t>лась ничуть не проще «сапожка-скорохо</w:t>
      </w:r>
      <w:r w:rsidRPr="00925F26">
        <w:rPr>
          <w:color w:val="000000" w:themeColor="text1"/>
          <w:sz w:val="16"/>
          <w:szCs w:val="16"/>
        </w:rPr>
        <w:softHyphen/>
        <w:t>да» - по-прежнему портила жизнь сило</w:t>
      </w:r>
      <w:r w:rsidRPr="00925F26">
        <w:rPr>
          <w:color w:val="000000" w:themeColor="text1"/>
          <w:sz w:val="16"/>
          <w:szCs w:val="16"/>
        </w:rPr>
        <w:softHyphen/>
        <w:t>вая установка, которая с новым нагнета</w:t>
      </w:r>
      <w:r w:rsidRPr="00925F26">
        <w:rPr>
          <w:color w:val="000000" w:themeColor="text1"/>
          <w:sz w:val="16"/>
          <w:szCs w:val="16"/>
        </w:rPr>
        <w:softHyphen/>
        <w:t>телем работала не лучше прежней и уже в одном из первых полётов случилась вы</w:t>
      </w:r>
      <w:r w:rsidRPr="00925F26">
        <w:rPr>
          <w:color w:val="000000" w:themeColor="text1"/>
          <w:sz w:val="16"/>
          <w:szCs w:val="16"/>
        </w:rPr>
        <w:softHyphen/>
        <w:t>нужденная посадка вне аэродрома. Само</w:t>
      </w:r>
      <w:r w:rsidRPr="00925F26">
        <w:rPr>
          <w:color w:val="000000" w:themeColor="text1"/>
          <w:sz w:val="16"/>
          <w:szCs w:val="16"/>
        </w:rPr>
        <w:softHyphen/>
        <w:t>лёт оказался легко поврежден.</w:t>
      </w:r>
    </w:p>
    <w:p w14:paraId="736B6721" w14:textId="77777777" w:rsidR="00A822EC" w:rsidRPr="00925F26" w:rsidRDefault="00A822EC" w:rsidP="00925F26">
      <w:pPr>
        <w:jc w:val="both"/>
        <w:rPr>
          <w:color w:val="000000" w:themeColor="text1"/>
          <w:sz w:val="16"/>
          <w:szCs w:val="16"/>
        </w:rPr>
      </w:pPr>
      <w:r w:rsidRPr="00925F26">
        <w:rPr>
          <w:color w:val="000000" w:themeColor="text1"/>
          <w:sz w:val="16"/>
          <w:szCs w:val="16"/>
        </w:rPr>
        <w:t>Ремонт был выполнен на месте по</w:t>
      </w:r>
      <w:r w:rsidRPr="00925F26">
        <w:rPr>
          <w:color w:val="000000" w:themeColor="text1"/>
          <w:sz w:val="16"/>
          <w:szCs w:val="16"/>
        </w:rPr>
        <w:softHyphen/>
        <w:t>садки и самолет подготовили к перелёту на Центральный аэродром, но 26 апреля 1945 г., вероятно, сразу при взлете с ме</w:t>
      </w:r>
      <w:r w:rsidRPr="00925F26">
        <w:rPr>
          <w:color w:val="000000" w:themeColor="text1"/>
          <w:sz w:val="16"/>
          <w:szCs w:val="16"/>
        </w:rPr>
        <w:softHyphen/>
        <w:t>ста вынужденной посадки у деревни Лузгарино неподалёку от города Шатура (в то время - Кривандинский район на востоке Московской области) И-225 потерпел ава</w:t>
      </w:r>
      <w:r w:rsidRPr="00925F26">
        <w:rPr>
          <w:color w:val="000000" w:themeColor="text1"/>
          <w:sz w:val="16"/>
          <w:szCs w:val="16"/>
        </w:rPr>
        <w:softHyphen/>
        <w:t>рию. Лётчик остался невредим, машина удержалась на шасси, но получила повре</w:t>
      </w:r>
      <w:r w:rsidRPr="00925F26">
        <w:rPr>
          <w:color w:val="000000" w:themeColor="text1"/>
          <w:sz w:val="16"/>
          <w:szCs w:val="16"/>
        </w:rPr>
        <w:softHyphen/>
        <w:t>ждения. Прибывшим на место происшест</w:t>
      </w:r>
      <w:r w:rsidRPr="00925F26">
        <w:rPr>
          <w:color w:val="000000" w:themeColor="text1"/>
          <w:sz w:val="16"/>
          <w:szCs w:val="16"/>
        </w:rPr>
        <w:softHyphen/>
        <w:t>вия предстало жалкое зрелище. Оказался погнут воздушный винт, покоробились си</w:t>
      </w:r>
      <w:r w:rsidRPr="00925F26">
        <w:rPr>
          <w:color w:val="000000" w:themeColor="text1"/>
          <w:sz w:val="16"/>
          <w:szCs w:val="16"/>
        </w:rPr>
        <w:softHyphen/>
        <w:t>ловые панели центроплана крыла в меж</w:t>
      </w:r>
      <w:r w:rsidRPr="00925F26">
        <w:rPr>
          <w:color w:val="000000" w:themeColor="text1"/>
          <w:sz w:val="16"/>
          <w:szCs w:val="16"/>
        </w:rPr>
        <w:softHyphen/>
        <w:t>лонжеронной части и элероны. Но хуже всего было то, что фюзеляж переломился за кабиной, в нем разрушилась проводка управления и сломалась законцовка ле</w:t>
      </w:r>
      <w:r w:rsidRPr="00925F26">
        <w:rPr>
          <w:color w:val="000000" w:themeColor="text1"/>
          <w:sz w:val="16"/>
          <w:szCs w:val="16"/>
        </w:rPr>
        <w:softHyphen/>
        <w:t>вой плоскости горизонтального оперения.</w:t>
      </w:r>
    </w:p>
    <w:p w14:paraId="7A604642" w14:textId="77777777" w:rsidR="00A822EC" w:rsidRPr="00925F26" w:rsidRDefault="00A822EC" w:rsidP="00925F26">
      <w:pPr>
        <w:jc w:val="both"/>
        <w:rPr>
          <w:color w:val="000000" w:themeColor="text1"/>
          <w:sz w:val="16"/>
          <w:szCs w:val="16"/>
        </w:rPr>
      </w:pPr>
      <w:r w:rsidRPr="00925F26">
        <w:rPr>
          <w:color w:val="000000" w:themeColor="text1"/>
          <w:sz w:val="16"/>
          <w:szCs w:val="16"/>
        </w:rPr>
        <w:t>Поскольку в то время постройку обо</w:t>
      </w:r>
      <w:r w:rsidRPr="00925F26">
        <w:rPr>
          <w:color w:val="000000" w:themeColor="text1"/>
          <w:sz w:val="16"/>
          <w:szCs w:val="16"/>
        </w:rPr>
        <w:softHyphen/>
        <w:t>их опытных образцов самолёта И-250 за</w:t>
      </w:r>
      <w:r w:rsidRPr="00925F26">
        <w:rPr>
          <w:color w:val="000000" w:themeColor="text1"/>
          <w:sz w:val="16"/>
          <w:szCs w:val="16"/>
        </w:rPr>
        <w:softHyphen/>
        <w:t>кончили, проект И-300 («Ф») переделы</w:t>
      </w:r>
      <w:r w:rsidRPr="00925F26">
        <w:rPr>
          <w:color w:val="000000" w:themeColor="text1"/>
          <w:sz w:val="16"/>
          <w:szCs w:val="16"/>
        </w:rPr>
        <w:softHyphen/>
        <w:t>вался под новую компоновку с размеще</w:t>
      </w:r>
      <w:r w:rsidRPr="00925F26">
        <w:rPr>
          <w:color w:val="000000" w:themeColor="text1"/>
          <w:sz w:val="16"/>
          <w:szCs w:val="16"/>
        </w:rPr>
        <w:softHyphen/>
        <w:t>нием двигателей в фюзеляже вместо гон</w:t>
      </w:r>
      <w:r w:rsidRPr="00925F26">
        <w:rPr>
          <w:color w:val="000000" w:themeColor="text1"/>
          <w:sz w:val="16"/>
          <w:szCs w:val="16"/>
        </w:rPr>
        <w:softHyphen/>
        <w:t>дол под крылом, а строительство «Утки» не требовало больших производствен</w:t>
      </w:r>
      <w:r w:rsidRPr="00925F26">
        <w:rPr>
          <w:color w:val="000000" w:themeColor="text1"/>
          <w:sz w:val="16"/>
          <w:szCs w:val="16"/>
        </w:rPr>
        <w:softHyphen/>
        <w:t>ных мощностей, Микоян распорядился са</w:t>
      </w:r>
      <w:r w:rsidRPr="00925F26">
        <w:rPr>
          <w:color w:val="000000" w:themeColor="text1"/>
          <w:sz w:val="16"/>
          <w:szCs w:val="16"/>
        </w:rPr>
        <w:softHyphen/>
        <w:t>молёт ремонтировать силами 155-го за</w:t>
      </w:r>
      <w:r w:rsidRPr="00925F26">
        <w:rPr>
          <w:color w:val="000000" w:themeColor="text1"/>
          <w:sz w:val="16"/>
          <w:szCs w:val="16"/>
        </w:rPr>
        <w:softHyphen/>
        <w:t>вода. Для этого были сделаны заново, но с использованием неповрежденных дета</w:t>
      </w:r>
      <w:r w:rsidRPr="00925F26">
        <w:rPr>
          <w:color w:val="000000" w:themeColor="text1"/>
          <w:sz w:val="16"/>
          <w:szCs w:val="16"/>
        </w:rPr>
        <w:softHyphen/>
        <w:t>лей и узлов панели и элероны крыла, фю</w:t>
      </w:r>
      <w:r w:rsidRPr="00925F26">
        <w:rPr>
          <w:color w:val="000000" w:themeColor="text1"/>
          <w:sz w:val="16"/>
          <w:szCs w:val="16"/>
        </w:rPr>
        <w:softHyphen/>
        <w:t>зеляж с системами в нем и левая консоль ГО, был получен новый воздушный винт того же типа. Несмотря на окончание вой</w:t>
      </w:r>
      <w:r w:rsidRPr="00925F26">
        <w:rPr>
          <w:color w:val="000000" w:themeColor="text1"/>
          <w:sz w:val="16"/>
          <w:szCs w:val="16"/>
        </w:rPr>
        <w:softHyphen/>
        <w:t>ны с Германией, новая обстановка рассла</w:t>
      </w:r>
      <w:r w:rsidRPr="00925F26">
        <w:rPr>
          <w:color w:val="000000" w:themeColor="text1"/>
          <w:sz w:val="16"/>
          <w:szCs w:val="16"/>
        </w:rPr>
        <w:softHyphen/>
        <w:t>бляться не давала и проект по-прежнему оставался нужен (23586).</w:t>
      </w:r>
    </w:p>
    <w:p w14:paraId="5A745A1F" w14:textId="77777777" w:rsidR="00A822EC" w:rsidRPr="00925F26" w:rsidRDefault="00A822EC" w:rsidP="00925F26">
      <w:pPr>
        <w:jc w:val="both"/>
        <w:rPr>
          <w:color w:val="000000" w:themeColor="text1"/>
          <w:sz w:val="16"/>
          <w:szCs w:val="16"/>
        </w:rPr>
      </w:pPr>
    </w:p>
    <w:p w14:paraId="688DECA2" w14:textId="77777777" w:rsidR="00A5033B" w:rsidRPr="001A0BAA" w:rsidRDefault="00A5033B" w:rsidP="00A5033B">
      <w:pPr>
        <w:jc w:val="both"/>
        <w:rPr>
          <w:color w:val="0070C0"/>
          <w:sz w:val="16"/>
          <w:szCs w:val="16"/>
        </w:rPr>
      </w:pPr>
      <w:r w:rsidRPr="001A0BAA">
        <w:rPr>
          <w:color w:val="0070C0"/>
          <w:sz w:val="16"/>
          <w:szCs w:val="16"/>
        </w:rPr>
        <w:t>14 марта 1945 года начались испытания второго экзем</w:t>
      </w:r>
      <w:r w:rsidRPr="001A0BAA">
        <w:rPr>
          <w:color w:val="0070C0"/>
          <w:sz w:val="16"/>
          <w:szCs w:val="16"/>
        </w:rPr>
        <w:softHyphen/>
        <w:t xml:space="preserve">пляра И-225 с форсированным двигателем АМ-42БФ и продолжались недолго, поскольку в ОКБ-155 все усилия сосредоточили на создании полуреактивного истребителя И-250 </w:t>
      </w:r>
      <w:proofErr w:type="gramStart"/>
      <w:r w:rsidRPr="001A0BAA">
        <w:rPr>
          <w:color w:val="0070C0"/>
          <w:sz w:val="16"/>
          <w:szCs w:val="16"/>
        </w:rPr>
        <w:t>( «</w:t>
      </w:r>
      <w:proofErr w:type="gramEnd"/>
      <w:r w:rsidRPr="001A0BAA">
        <w:rPr>
          <w:color w:val="0070C0"/>
          <w:sz w:val="16"/>
          <w:szCs w:val="16"/>
        </w:rPr>
        <w:t>Н») с мотокомпрессорным или, как его тогда называли, воздуш</w:t>
      </w:r>
      <w:r w:rsidRPr="001A0BAA">
        <w:rPr>
          <w:color w:val="0070C0"/>
          <w:sz w:val="16"/>
          <w:szCs w:val="16"/>
        </w:rPr>
        <w:softHyphen/>
        <w:t>но-реактивным компрессорным двигателем (ВРДК) (25030).</w:t>
      </w:r>
    </w:p>
    <w:p w14:paraId="27BBDEB7" w14:textId="77777777" w:rsidR="00A5033B" w:rsidRPr="001A0BAA" w:rsidRDefault="00A5033B" w:rsidP="00A5033B">
      <w:pPr>
        <w:jc w:val="both"/>
        <w:rPr>
          <w:color w:val="0070C0"/>
          <w:sz w:val="16"/>
          <w:szCs w:val="16"/>
        </w:rPr>
      </w:pPr>
    </w:p>
    <w:p w14:paraId="6D5BE07A" w14:textId="77777777" w:rsidR="00A5033B" w:rsidRPr="001A0BAA" w:rsidRDefault="00A5033B" w:rsidP="00A5033B">
      <w:pPr>
        <w:jc w:val="both"/>
        <w:rPr>
          <w:color w:val="0070C0"/>
          <w:sz w:val="16"/>
          <w:szCs w:val="16"/>
        </w:rPr>
      </w:pPr>
      <w:r w:rsidRPr="001A0BAA">
        <w:rPr>
          <w:color w:val="0070C0"/>
          <w:sz w:val="16"/>
          <w:szCs w:val="16"/>
        </w:rPr>
        <w:t>14 марта 1945 г. второй экземпляр истребителя И-225 выполнил первый вылет.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АВ-5Л-22В диаметром 3,6 м, а также гермокабиной.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(25230).</w:t>
      </w:r>
    </w:p>
    <w:p w14:paraId="78BFABE4" w14:textId="77777777" w:rsidR="00A5033B" w:rsidRPr="001A0BAA" w:rsidRDefault="00A5033B" w:rsidP="00A5033B">
      <w:pPr>
        <w:jc w:val="both"/>
        <w:rPr>
          <w:color w:val="0070C0"/>
          <w:sz w:val="16"/>
          <w:szCs w:val="16"/>
        </w:rPr>
      </w:pPr>
    </w:p>
    <w:p w14:paraId="378548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года Яковлев писал письмо N Н-35/1189 зам. наркома ВМФ адмиралу Галлеру.</w:t>
      </w:r>
    </w:p>
    <w:p w14:paraId="0F4B17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Ваш N 151642с.</w:t>
      </w:r>
    </w:p>
    <w:p w14:paraId="4ED3F8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Сообщаю, что продувки модели самолета Ли-2 (ПС-84) с тральным кольцом, с целью аэродинамической проверки этого самолета в варианте минного тральщика, в настоящее время закончены.</w:t>
      </w:r>
    </w:p>
    <w:p w14:paraId="34EB9D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Постройка самолета Ли-2 в указанном варианте, разработанном конструктором Голубковым, предусматривается проектом тематического плана по опытному самолетостроению на 1945 год, представляемым Наркомавиапромом на утверждение в ГКО (2595,5).</w:t>
      </w:r>
    </w:p>
    <w:p w14:paraId="4E00DE9D" w14:textId="77777777" w:rsidR="00665165" w:rsidRPr="00925F26" w:rsidRDefault="00665165" w:rsidP="00925F26">
      <w:pPr>
        <w:autoSpaceDE w:val="0"/>
        <w:autoSpaceDN w:val="0"/>
        <w:adjustRightInd w:val="0"/>
        <w:jc w:val="both"/>
        <w:rPr>
          <w:color w:val="000000" w:themeColor="text1"/>
          <w:sz w:val="16"/>
          <w:szCs w:val="16"/>
        </w:rPr>
      </w:pPr>
    </w:p>
    <w:p w14:paraId="1269011C" w14:textId="77777777" w:rsidR="00BA2B8F" w:rsidRPr="00925F26" w:rsidRDefault="00BA2B8F" w:rsidP="00925F26">
      <w:pPr>
        <w:jc w:val="both"/>
        <w:rPr>
          <w:color w:val="000000" w:themeColor="text1"/>
          <w:sz w:val="16"/>
          <w:szCs w:val="16"/>
        </w:rPr>
      </w:pPr>
      <w:r w:rsidRPr="00925F26">
        <w:rPr>
          <w:color w:val="000000" w:themeColor="text1"/>
          <w:sz w:val="16"/>
          <w:szCs w:val="16"/>
        </w:rPr>
        <w:t>14 марта 1945 г. из СООБЩЕНИЯ ДИРЕКТОРА ЗАВОДА ИМЕНИ В.П. ЧКАЛОВА ГЕНЕРАЛ-МАЙОРА В.Н. ЛИСИЦЫНА СЕКРЕТАРЮ НОВОСИБИРСКОГО ОБКОМА ВКП(б) М.В. КУЛАГИНУ</w:t>
      </w:r>
    </w:p>
    <w:p w14:paraId="615C3B01" w14:textId="77777777" w:rsidR="00BA2B8F" w:rsidRPr="00925F26" w:rsidRDefault="00BA2B8F" w:rsidP="00925F26">
      <w:pPr>
        <w:jc w:val="both"/>
        <w:rPr>
          <w:color w:val="000000" w:themeColor="text1"/>
          <w:sz w:val="16"/>
          <w:szCs w:val="16"/>
        </w:rPr>
      </w:pPr>
      <w:r w:rsidRPr="00925F26">
        <w:rPr>
          <w:color w:val="000000" w:themeColor="text1"/>
          <w:sz w:val="16"/>
          <w:szCs w:val="16"/>
        </w:rPr>
        <w:t>Секретарю Новосибирского обкома ВКП(б) тов. Кулагину М.В.</w:t>
      </w:r>
    </w:p>
    <w:p w14:paraId="2A50792B" w14:textId="77777777" w:rsidR="00BA2B8F" w:rsidRPr="00925F26" w:rsidRDefault="00BA2B8F" w:rsidP="00925F26">
      <w:pPr>
        <w:jc w:val="both"/>
        <w:rPr>
          <w:color w:val="000000" w:themeColor="text1"/>
          <w:sz w:val="16"/>
          <w:szCs w:val="16"/>
        </w:rPr>
      </w:pPr>
      <w:r w:rsidRPr="00925F26">
        <w:rPr>
          <w:color w:val="000000" w:themeColor="text1"/>
          <w:sz w:val="16"/>
          <w:szCs w:val="16"/>
        </w:rPr>
        <w:t>За 13 дней марта месяца завод, в среднем, отгружает 16 самолетов в сутки. В результате этого скопление готовой продукции увеличивается и по состоянию на 13 марта с.г. достигло 235 машин. Самолетами заставлены все пожарные проезды; вынуждены прекратить расстыковку самолетов, а, следовательно, и сдачу их к бою из-за отсутствия места. Для того чтобы расшить это скопление, необходимо в течение месяца ежесуточно получать минимум 35 платформ. Убедительно прошу Вашего энергичного вмешательства и соответствующего указания управлению Томской железной дороги.</w:t>
      </w:r>
    </w:p>
    <w:p w14:paraId="6C453E5C" w14:textId="77777777" w:rsidR="00BA2B8F" w:rsidRPr="00925F26" w:rsidRDefault="00BA2B8F" w:rsidP="00925F26">
      <w:pPr>
        <w:jc w:val="both"/>
        <w:rPr>
          <w:color w:val="000000" w:themeColor="text1"/>
          <w:sz w:val="16"/>
          <w:szCs w:val="16"/>
        </w:rPr>
      </w:pPr>
      <w:r w:rsidRPr="00925F26">
        <w:rPr>
          <w:color w:val="000000" w:themeColor="text1"/>
          <w:sz w:val="16"/>
          <w:szCs w:val="16"/>
        </w:rPr>
        <w:t>Директор завода генерал-майор НАС Лисицын</w:t>
      </w:r>
    </w:p>
    <w:p w14:paraId="37764429" w14:textId="77777777" w:rsidR="00BA2B8F" w:rsidRPr="00925F26" w:rsidRDefault="00BA2B8F" w:rsidP="00925F26">
      <w:pPr>
        <w:jc w:val="both"/>
        <w:rPr>
          <w:color w:val="000000" w:themeColor="text1"/>
          <w:sz w:val="16"/>
          <w:szCs w:val="16"/>
        </w:rPr>
      </w:pPr>
      <w:r w:rsidRPr="00925F26">
        <w:rPr>
          <w:color w:val="000000" w:themeColor="text1"/>
          <w:sz w:val="16"/>
          <w:szCs w:val="16"/>
        </w:rPr>
        <w:t>ГАНО. Ф. П-4. Оп. 9. Д. 353. Л. 42. Подлинник.</w:t>
      </w:r>
    </w:p>
    <w:p w14:paraId="4F21B2BC" w14:textId="77777777" w:rsidR="00BA2B8F" w:rsidRPr="00925F26" w:rsidRDefault="00BA2B8F" w:rsidP="00925F26">
      <w:pPr>
        <w:jc w:val="both"/>
        <w:rPr>
          <w:color w:val="000000" w:themeColor="text1"/>
          <w:sz w:val="16"/>
          <w:szCs w:val="16"/>
        </w:rPr>
      </w:pPr>
      <w:r w:rsidRPr="00925F26">
        <w:rPr>
          <w:color w:val="000000" w:themeColor="text1"/>
          <w:sz w:val="16"/>
          <w:szCs w:val="16"/>
        </w:rPr>
        <w:t>Подпись-автограф Лисицына. Документ составлен на фирменном бланке завода имени В.П. Чкалова Народного комиссариата авиационной промышленности СССР в 2 экз. В верхнем левом углу резолюция с росчерком Кулагина, датированная 23 марта: «тон. Замчев-окиЙ, даны категорические указания о подаче ежесуточно не менее 40 платформ. Следите за исполнением» (12194).</w:t>
      </w:r>
    </w:p>
    <w:p w14:paraId="5AD2A7F8" w14:textId="77777777" w:rsidR="00BA2B8F" w:rsidRPr="00925F26" w:rsidRDefault="00BA2B8F" w:rsidP="00925F26">
      <w:pPr>
        <w:jc w:val="both"/>
        <w:rPr>
          <w:color w:val="000000" w:themeColor="text1"/>
          <w:sz w:val="16"/>
          <w:szCs w:val="16"/>
        </w:rPr>
      </w:pPr>
    </w:p>
    <w:p w14:paraId="5E82AE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г. Постановление ГКО № 7809 «О вывозе оборудования по производству авиационных бомб с немецкого завода “Стальбау Хандлер зоне” в г. Глейвиц» (Д. 460. Л. 102).</w:t>
      </w:r>
    </w:p>
    <w:p w14:paraId="566C9945" w14:textId="77777777" w:rsidR="00665165" w:rsidRPr="00925F26" w:rsidRDefault="00665165" w:rsidP="00925F26">
      <w:pPr>
        <w:autoSpaceDE w:val="0"/>
        <w:autoSpaceDN w:val="0"/>
        <w:adjustRightInd w:val="0"/>
        <w:jc w:val="both"/>
        <w:rPr>
          <w:color w:val="000000" w:themeColor="text1"/>
          <w:sz w:val="16"/>
          <w:szCs w:val="16"/>
        </w:rPr>
      </w:pPr>
    </w:p>
    <w:p w14:paraId="1F40DE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14(15) марта 1946 г. (вероятно, на месте эвакуированного НИИ-9) для разработки аппаратуры для телевещания в соответствии с пост, правительства был основан ВНИИТ (НИИ-380) (НИИ-380, ВНИИ-380 ГКРЭ, А-1772, ВНИИ телевидения (ВНИИТ) «Электрон» МПСС, МРП, ФГУП «НИИТ» / г. Ленинград К-64/ /194021  г. Санкт-Петербург ул. Политехническая, 22 тел. 247-41-67/).</w:t>
      </w:r>
    </w:p>
    <w:p w14:paraId="16987D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радиотехнических систем (конец 1940-</w:t>
      </w:r>
      <w:proofErr w:type="gramStart"/>
      <w:r w:rsidRPr="00925F26">
        <w:rPr>
          <w:color w:val="000000" w:themeColor="text1"/>
          <w:sz w:val="16"/>
          <w:szCs w:val="16"/>
        </w:rPr>
        <w:t>х  г.</w:t>
      </w:r>
      <w:proofErr w:type="gramEnd"/>
      <w:r w:rsidRPr="00925F26">
        <w:rPr>
          <w:color w:val="000000" w:themeColor="text1"/>
          <w:sz w:val="16"/>
          <w:szCs w:val="16"/>
        </w:rPr>
        <w:t xml:space="preserve"> ).</w:t>
      </w:r>
      <w:r w:rsidRPr="00925F26">
        <w:rPr>
          <w:color w:val="000000" w:themeColor="text1"/>
          <w:sz w:val="16"/>
          <w:szCs w:val="16"/>
          <w:vertAlign w:val="superscript"/>
        </w:rPr>
        <w:t>60</w:t>
      </w:r>
      <w:r w:rsidRPr="00925F26">
        <w:rPr>
          <w:color w:val="000000" w:themeColor="text1"/>
          <w:sz w:val="16"/>
          <w:szCs w:val="16"/>
        </w:rPr>
        <w:t xml:space="preserve"> В 1946-49 г. создана ТВ аппаратура на новый в мире стандарт изображения на 625 строк, внедренная на Московском телецентре. Впервые в стране создана и передана в эксплуатацию самолетная телевизионная аппаратура изображения подстилающей поверхности Земли. В 1956- 59 г. впервые в мире создана система космического телевидения «Енисей».</w:t>
      </w:r>
    </w:p>
    <w:p w14:paraId="73023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Головной институт: по разработке телевизионной аппаратуры для космической техники (1957-65 г.); по ИК системам пассивной оптической локации в интересах СПРН и ККП (1960-2001 г.).</w:t>
      </w:r>
    </w:p>
    <w:p w14:paraId="37DBDA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Разработка, изготовление и поставка профессиональной аппаратуры для телевещания (цветные ТВ-камеры, студийное оборудование, передвижные ТВ-станции); исследования, разработка и изготовление авиационной ТВ- аппаратуры высокого разрешения, космических ТВ-систем; создание сети наземных пунктов для приема </w:t>
      </w:r>
      <w:r w:rsidRPr="00925F26">
        <w:rPr>
          <w:color w:val="000000" w:themeColor="text1"/>
          <w:sz w:val="16"/>
          <w:szCs w:val="16"/>
        </w:rPr>
        <w:lastRenderedPageBreak/>
        <w:t>и обработки ТВ-информации; ТВ-аппаратура для наблюдений под водой; медицинская ТВ-аппаратура; телевизионные измерительные приборы; исследования и внедрение цифровых методов в телевидении.</w:t>
      </w:r>
    </w:p>
    <w:p w14:paraId="0866C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создано типовое профессиональное оборудование для телецентров: 1-го поколения (1958 г.), 2-го поколения (1960-е), 3-го поколения (1975-78 г.). Разработан проект (1960-е) Государственного стандарта на параметры телевизионного вещания СССР (И.М. Завгороднев).</w:t>
      </w:r>
    </w:p>
    <w:p w14:paraId="6AC63A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1970 г. велась разработка телевизионной аппаратуры для космической системы обнаружения стартов БР УС- К. В 1973 г. ОКР «Малахит-ЦТ» (совместно с КБ «Орбита») по разработке видеомагнитофона.</w:t>
      </w:r>
    </w:p>
    <w:p w14:paraId="51BE0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Существовали отделы: вакуумный (в 1955 г. преобразован в ОКБ ЭВП); синхронизации и импульсной техники. Имелась производственная площадка К-2 с опытным производством (1960-е).</w:t>
      </w:r>
    </w:p>
    <w:p w14:paraId="0329D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1966 г. НИИ-380 переименован во ВНИИТ. Имел наименование «предприятие- п/я А-1772». При институте действовал завод «п/я В-2307».</w:t>
      </w:r>
    </w:p>
    <w:p w14:paraId="7800B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(2002 г.): разработка и выпуск аппаратуры для цифрового телевидения, для пилотируемых КК, в т.ч. МКС; многоспектральная ТВ-аппаратура для геостационарных ИСЗ; комплексы ТВ-оборудования для морского флота; оборудование для автоматизированных трехмерных измерений в производстве; цифровая аппаратура для программного обеспечения для обработки ТВ-информации; телевизионные навигационные системы ближней зоны; ОЭС различного назначения.</w:t>
      </w:r>
    </w:p>
    <w:p w14:paraId="4DADEA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составе НИИ- научно-технический комплекс (НТК) № 57, принимавший участие в создании комплекса контроля космического пространства «Окно».</w:t>
      </w:r>
    </w:p>
    <w:p w14:paraId="2418B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Указу Президента РФ № 1009 от 4.08.2004 г. вошел в число стратегических оборонных предприятий.</w:t>
      </w:r>
    </w:p>
    <w:p w14:paraId="63F860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(2002 г.)- 900 чел.</w:t>
      </w:r>
    </w:p>
    <w:p w14:paraId="4A94E0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И.О. директора (1946 г.)- А. Г. Громов. Директор (1946 г.-)- П.В. Шмаков, А.А. Селезнев, (1950-54 г.)- Н. Г. Моисеев, (1954-83 г.)- И.А. Росселевич, (1983-2004 г.)- М.А. Грудзинский,</w:t>
      </w:r>
      <w:r w:rsidRPr="00925F26">
        <w:rPr>
          <w:color w:val="000000" w:themeColor="text1"/>
          <w:sz w:val="16"/>
          <w:szCs w:val="16"/>
          <w:vertAlign w:val="superscript"/>
        </w:rPr>
        <w:t>101</w:t>
      </w:r>
      <w:r w:rsidRPr="00925F26">
        <w:rPr>
          <w:color w:val="000000" w:themeColor="text1"/>
          <w:sz w:val="16"/>
          <w:szCs w:val="16"/>
        </w:rPr>
        <w:t xml:space="preserve"> (2004-07 г.-)- А.А. Умбиталиев.</w:t>
      </w:r>
    </w:p>
    <w:p w14:paraId="4C818B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директора (2002 г.)- В.В. Кованько.</w:t>
      </w:r>
      <w:r w:rsidRPr="00925F26">
        <w:rPr>
          <w:color w:val="000000" w:themeColor="text1"/>
          <w:sz w:val="16"/>
          <w:szCs w:val="16"/>
          <w:vertAlign w:val="superscript"/>
        </w:rPr>
        <w:t>69</w:t>
      </w:r>
      <w:r w:rsidRPr="00925F26">
        <w:rPr>
          <w:color w:val="000000" w:themeColor="text1"/>
          <w:sz w:val="16"/>
          <w:szCs w:val="16"/>
        </w:rPr>
        <w:t xml:space="preserve"> Зам. директора: по науке (-1953 г.)- А.В. Дубинин; (-1952 г.)- А. Г. Громов.</w:t>
      </w:r>
    </w:p>
    <w:p w14:paraId="20CD50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(1960-е  г.)- И.А. Росселевич, (1970 г.)- П.Ф. Брацлавец.</w:t>
      </w:r>
    </w:p>
    <w:p w14:paraId="7F96EC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И.О. гл. инженера (1950 г.)- Н. Г. Моисеев. Гл. инженер (-1953 г.)- А.В. Дубинин.</w:t>
      </w:r>
    </w:p>
    <w:p w14:paraId="5BF485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инженера (-1996 г.)- Б.И. Баранов.</w:t>
      </w:r>
    </w:p>
    <w:p w14:paraId="4EAF1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НТК № 57 (2005 г.)- А. Верешкин.</w:t>
      </w:r>
    </w:p>
    <w:p w14:paraId="2D29DA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И.О. гл. инженера ОП на площадке К-2 (1966-68 г.)- А. Г. Громов.</w:t>
      </w:r>
    </w:p>
    <w:p w14:paraId="39BB97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(1953 г.-)- Б.И. Баранов («Енисей», Н-400, И-400М), (-1959-87 г.)- И.Л. Валик («Енисей»), (- 2001 г.)- М.А. Грудзинский («Иртыш»), П.Ф. Брацлавец («Селигер», «Ястреб», «Кречет», МБТ, МБТА), А.В. Воронов (аппаратура «И-400», Ленинградского телецентра), А. Г. Козлова («Клест»), Н. Г. Моисеев, И.А. Росселевич («Метеор»).</w:t>
      </w:r>
    </w:p>
    <w:p w14:paraId="6CB010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конструкторов: (-1952-62 г.-)- А. Г. Козлова («И-400, -400М», «Байкал»), К.К. Деркач («И-400»), (1987- 93 г.)- И.Л. Валик, Б.В. Долгодров, П.Н. Заботкин, И.М. Завгороднев (ранцевая репортажная ТВ установка), С.Н. Зайцев, Н.Ф. Курчев.</w:t>
      </w:r>
    </w:p>
    <w:p w14:paraId="396565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Б.И. Баранов, (-1999 г.)- П.Ф. Брацлавец, (-1987 г.)- И.Л. Валик, (1968-83 г.)- М.А. Грудзинский, (-1993 г.)- К.К. Деркач, (1948 г.-)- А.В. Дубинин, (1948-; 1954-56 г.)- Н. Г. Моисеев.</w:t>
      </w:r>
    </w:p>
    <w:p w14:paraId="01E33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отдела: (-1983 г.)- В.В. Никитин.</w:t>
      </w:r>
    </w:p>
    <w:p w14:paraId="04E78D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лабораторий: антенной (1948-69 г.)- П.П. Кузнецов; физико-технологической (-1967 г.)- С.И. Кочергин; (1947 г.-)- Б.И. Баранов, П.Ф. Брацлавец, И.Л. Валик, (-1974 г.)- А.В. Воронов, К.К. Деркач, (-1980 г.)- С.Н. Зайцев, (-2000 г.)- А. Г. Козлова, (-1998 г.)- Л.И. Хромов.</w:t>
      </w:r>
    </w:p>
    <w:p w14:paraId="422192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групп: НИГ (-1956 г.)- Д.П. Лютоев, П.Ф. Брацлавец, С.И. Кочергин; конструкторской (1948-; - 1980 г.)- Б.В. Долгодров.</w:t>
      </w:r>
    </w:p>
    <w:p w14:paraId="1D0DBE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Ученый секретарь (1983-91 г.)- И.А. Росселевич.</w:t>
      </w:r>
    </w:p>
    <w:p w14:paraId="3360FB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Научные руководители НИР: (1962-87 г.)- И.Л. Валик, В.В. Никитин («Снегирь»).</w:t>
      </w:r>
    </w:p>
    <w:p w14:paraId="2AA14D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научного руководителя НИР: В.В. Никитин («Барий»),</w:t>
      </w:r>
    </w:p>
    <w:p w14:paraId="0932081E"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Московский телевизионный центр (1949); бортовое фототелевизионное устройство «Енисей» панорамного обзора Луны для КА «Луна-3» (1959);</w:t>
      </w:r>
      <w:r w:rsidRPr="00925F26">
        <w:rPr>
          <w:iCs/>
          <w:color w:val="000000" w:themeColor="text1"/>
          <w:sz w:val="16"/>
          <w:szCs w:val="16"/>
        </w:rPr>
        <w:t xml:space="preserve"> телевизионные системы:</w:t>
      </w:r>
      <w:r w:rsidRPr="00925F26">
        <w:rPr>
          <w:color w:val="000000" w:themeColor="text1"/>
          <w:sz w:val="16"/>
          <w:szCs w:val="16"/>
        </w:rPr>
        <w:t xml:space="preserve"> космической связи «Селигер» для КК «Восток» (1960), «Топаз-10» для КК «Восток-2», «Топаз-25» для КК «Восток-3»; «Ястреб», «Кречет» для КА «Союз» и «Салют», «Байкал» (1962), «Метеор», многоцелевой комплекс «Клест», «Беркут» для КА «Молния»; «Калий», «Преобразователь», «Соловей», «Шторм», «Прибой», «Валун», «Буревестник», «Барий», «Снегирь», ТНС, 18Ц6; «Стандарт ТВ»; оповещения и управления войсками ПВО «И-400», «И-400М» (1959); для обнаружения ракет из космоса МБТ, МБТА, «Иртыш» (2001); ТВ аппаратура: Московского, Ленинградского телецентров, приемного комплекса для Всемирной выставки в Брюсселе (1958); автономные пункты приема информации системы «Метеор» (2) (1970-е); наземная станция «Фобос-Кречет»; система цветного космического телевидения «Арктур» (1975);</w:t>
      </w:r>
      <w:r w:rsidRPr="00925F26">
        <w:rPr>
          <w:color w:val="000000" w:themeColor="text1"/>
          <w:sz w:val="16"/>
          <w:szCs w:val="16"/>
          <w:vertAlign w:val="superscript"/>
        </w:rPr>
        <w:t>77</w:t>
      </w:r>
      <w:r w:rsidRPr="00925F26">
        <w:rPr>
          <w:color w:val="000000" w:themeColor="text1"/>
          <w:sz w:val="16"/>
          <w:szCs w:val="16"/>
        </w:rPr>
        <w:t xml:space="preserve"> ранцевая репортажная ТВ установка; ТВ приемники: «Свет», ТМ-1; телевизор КВН-49; видеомагнитофоны: «Кадр-3, -5, -103»; реле ТКЕ.</w:t>
      </w:r>
    </w:p>
    <w:p w14:paraId="5F6E10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электровакуумных приборов (ОКБ ЭВП), п/я 367, Специальное КБ (СКБ) ЭВП, ВНИИ электронно-лучевых приборов (ВНИИЭЛП), НПО, ЦНИИ «Электрон», ОАО «ЦНИИ «Электрон» /194223  г. Санкт-Петербург пр. Мориса Тореза, 68 тел. 552-36-00, -31-97/</w:t>
      </w:r>
    </w:p>
    <w:p w14:paraId="1C6FB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ЭВП создано в 1955 г. из вакуумного отдела НИИ-380. В 1956 г.- СКБ электровакуумных приборов. Имело наименование «п/я 367» (1956 г.).</w:t>
      </w:r>
      <w:r w:rsidRPr="00925F26">
        <w:rPr>
          <w:color w:val="000000" w:themeColor="text1"/>
          <w:sz w:val="16"/>
          <w:szCs w:val="16"/>
          <w:vertAlign w:val="superscript"/>
        </w:rPr>
        <w:t>130</w:t>
      </w:r>
    </w:p>
    <w:p w14:paraId="04F7E1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вакуумных фотоприемных устройств (ФПУ), фотоэлектронных умножителей (ФЭУ), спецкинескопов (супериконоскопов, суперортиконов) для МО, науки и народного хозяйства.</w:t>
      </w:r>
    </w:p>
    <w:p w14:paraId="34842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1963 г. СКБ ЭВП преобразовано во ВНИИЭЛП, перед которым поставлена задача создания единой технологии изготовления массовых черно-белых кинескопов для телевизоров и проведения НИОКР по всем типам ФПУ, ФЭУ и спецкинескопов, в т.ч. для цветного телевидения.</w:t>
      </w:r>
    </w:p>
    <w:p w14:paraId="4C620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1971(0) г. на базе ВНИИЭЛП создано НПО «Электрон», в состав которого вошли также заводы в Новгороде, Нальчике и Орджоникидзе.</w:t>
      </w:r>
    </w:p>
    <w:p w14:paraId="689554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1970-</w:t>
      </w:r>
      <w:proofErr w:type="gramStart"/>
      <w:r w:rsidRPr="00925F26">
        <w:rPr>
          <w:color w:val="000000" w:themeColor="text1"/>
          <w:sz w:val="16"/>
          <w:szCs w:val="16"/>
        </w:rPr>
        <w:t>х  г.</w:t>
      </w:r>
      <w:proofErr w:type="gramEnd"/>
      <w:r w:rsidRPr="00925F26">
        <w:rPr>
          <w:color w:val="000000" w:themeColor="text1"/>
          <w:sz w:val="16"/>
          <w:szCs w:val="16"/>
        </w:rPr>
        <w:t xml:space="preserve"> НПО поручено создание специальных телевизионных трубок для ОЭК «Окно». Созданы специальные телевизионные системы для всех видов ВС, для космических исследований, различные ФПУ (радиационно-стойкие видиконы, супервидиконы, кремниконы, пировидиконы). В начале 1980-</w:t>
      </w:r>
      <w:proofErr w:type="gramStart"/>
      <w:r w:rsidRPr="00925F26">
        <w:rPr>
          <w:color w:val="000000" w:themeColor="text1"/>
          <w:sz w:val="16"/>
          <w:szCs w:val="16"/>
        </w:rPr>
        <w:t>х  г.</w:t>
      </w:r>
      <w:proofErr w:type="gramEnd"/>
      <w:r w:rsidRPr="00925F26">
        <w:rPr>
          <w:color w:val="000000" w:themeColor="text1"/>
          <w:sz w:val="16"/>
          <w:szCs w:val="16"/>
        </w:rPr>
        <w:t xml:space="preserve"> созданы твердотельные ФПУ.</w:t>
      </w:r>
    </w:p>
    <w:p w14:paraId="43DB86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и производство (2002 г.): телевизионные передающие приборы (матричные фоточувствительные приборы с переносом заряда (ФППЗ), датчики изображения, линейные ФППЗ, видиконы, телевизионные передающие трубки, диссекторы); фоточувствительные приборы (усилители яркости, фотоэлектронные умножители, фотодиоды, специальные ЭЛТ); системы ночного видения, цифровые системы регистрации изображения; дактилоскопическая электронная система.</w:t>
      </w:r>
    </w:p>
    <w:p w14:paraId="57C819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Имеет филиалы (2002 г.)- ГУП «НПП «Электрон», ШШ «Электрон-Луч», НПП «Электрон-Оптроник», НПП Электронного машиностроения.</w:t>
      </w:r>
    </w:p>
    <w:p w14:paraId="329046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1992 г. НПО преобразовано в ЦНИИ «Электрон». В 2000 г. предприятие акционировано и преобразовано в ОАО. По решению правительства № 22-р от 9.01.2004 г. вошло в перечень стратегических предприятий.</w:t>
      </w:r>
    </w:p>
    <w:p w14:paraId="63E594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(2002 г.)- 790 чел.</w:t>
      </w:r>
    </w:p>
    <w:p w14:paraId="798DF3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Гендиректор (1971 г.-)-  Г.С. Вильдгрубе, (1985 г.-)- Ю.С. Сергеев, (2002 г.)- И.С. Васильев.</w:t>
      </w:r>
    </w:p>
    <w:p w14:paraId="55BE90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по производству (1956-63 г.)- А. Г. Громов.</w:t>
      </w:r>
    </w:p>
    <w:p w14:paraId="0AAA1F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(2002 г.)- Р.М. Степанов.</w:t>
      </w:r>
    </w:p>
    <w:p w14:paraId="3B9352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гендиректора: по маркетингу (2002 г.)- С.С. Татаурщиков; по производству (2002 г.)- В.В. Крылов.</w:t>
      </w:r>
    </w:p>
    <w:p w14:paraId="1DD177A2"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фотоэлектронные приборы: дня спускаемых КА «Луна», «Венера», «Луноход»; КА «Метеор», «Вега», «Фобос», «Комета Галлея»; РН «Союз», ОК «Буран»;</w:t>
      </w:r>
      <w:r w:rsidRPr="00925F26">
        <w:rPr>
          <w:color w:val="000000" w:themeColor="text1"/>
          <w:sz w:val="16"/>
          <w:szCs w:val="16"/>
          <w:vertAlign w:val="superscript"/>
        </w:rPr>
        <w:t>69</w:t>
      </w:r>
      <w:r w:rsidRPr="00925F26">
        <w:rPr>
          <w:color w:val="000000" w:themeColor="text1"/>
          <w:sz w:val="16"/>
          <w:szCs w:val="16"/>
        </w:rPr>
        <w:t xml:space="preserve"> ФЭУ для медицинских приборов (РИК-01, РИГ- 04П) (11982).</w:t>
      </w:r>
    </w:p>
    <w:p w14:paraId="07E747FD" w14:textId="77777777" w:rsidR="00665165" w:rsidRPr="00925F26" w:rsidRDefault="00665165" w:rsidP="00925F26">
      <w:pPr>
        <w:autoSpaceDE w:val="0"/>
        <w:autoSpaceDN w:val="0"/>
        <w:adjustRightInd w:val="0"/>
        <w:jc w:val="both"/>
        <w:rPr>
          <w:color w:val="000000" w:themeColor="text1"/>
          <w:sz w:val="16"/>
          <w:szCs w:val="16"/>
        </w:rPr>
      </w:pPr>
    </w:p>
    <w:p w14:paraId="4EC168F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CE56E9A" w14:textId="77777777" w:rsidR="00665165" w:rsidRPr="00925F26" w:rsidRDefault="00665165" w:rsidP="00925F26">
      <w:pPr>
        <w:autoSpaceDE w:val="0"/>
        <w:autoSpaceDN w:val="0"/>
        <w:adjustRightInd w:val="0"/>
        <w:jc w:val="both"/>
        <w:rPr>
          <w:iCs/>
          <w:color w:val="000000" w:themeColor="text1"/>
          <w:sz w:val="16"/>
          <w:szCs w:val="16"/>
        </w:rPr>
      </w:pPr>
    </w:p>
    <w:p w14:paraId="38D0E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Распоряжение ГКО № 7804. О продлении до 1 мая 1945 г. срока работы военных автомашин и шоферов на дровозаготовках для Москвы. РГАНИР, Фонд ГКО, д. 380 Л.42 (11012).</w:t>
      </w:r>
    </w:p>
    <w:p w14:paraId="417D1F3B" w14:textId="77777777" w:rsidR="00665165" w:rsidRPr="00925F26" w:rsidRDefault="00665165" w:rsidP="00925F26">
      <w:pPr>
        <w:autoSpaceDE w:val="0"/>
        <w:autoSpaceDN w:val="0"/>
        <w:adjustRightInd w:val="0"/>
        <w:jc w:val="both"/>
        <w:rPr>
          <w:color w:val="000000" w:themeColor="text1"/>
          <w:sz w:val="16"/>
          <w:szCs w:val="16"/>
        </w:rPr>
      </w:pPr>
    </w:p>
    <w:p w14:paraId="7823F7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Распоряжение ГКО № 7805. О мерах по обеспечению электроэнергией промышленности Саранска. РГАНИР, Фонд ГКО, д. 380 Л.43 (11012).</w:t>
      </w:r>
    </w:p>
    <w:p w14:paraId="16D4CDCD" w14:textId="77777777" w:rsidR="00665165" w:rsidRPr="00925F26" w:rsidRDefault="00665165" w:rsidP="00925F26">
      <w:pPr>
        <w:autoSpaceDE w:val="0"/>
        <w:autoSpaceDN w:val="0"/>
        <w:adjustRightInd w:val="0"/>
        <w:jc w:val="both"/>
        <w:rPr>
          <w:color w:val="000000" w:themeColor="text1"/>
          <w:sz w:val="16"/>
          <w:szCs w:val="16"/>
        </w:rPr>
      </w:pPr>
    </w:p>
    <w:p w14:paraId="7CE7FB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7806 О вывозе оборудования кузнечно-прессового, термического цехов и штамповочно-инструментальной мастерской завода "Андреасхютте" концерна "Оберхютте" в г. Андреасхютте. РГАНИР, Фонд ГКО, д. 380, лл. 44-45 (11012).</w:t>
      </w:r>
    </w:p>
    <w:p w14:paraId="6AA56926" w14:textId="77777777" w:rsidR="00665165" w:rsidRPr="00925F26" w:rsidRDefault="00665165" w:rsidP="00925F26">
      <w:pPr>
        <w:autoSpaceDE w:val="0"/>
        <w:autoSpaceDN w:val="0"/>
        <w:adjustRightInd w:val="0"/>
        <w:jc w:val="both"/>
        <w:rPr>
          <w:color w:val="000000" w:themeColor="text1"/>
          <w:sz w:val="16"/>
          <w:szCs w:val="16"/>
        </w:rPr>
      </w:pPr>
    </w:p>
    <w:p w14:paraId="66BFCE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7807 О вывозе оборудования литейно-механического завода концерна "Оберхютте" в местечке Малопан Хютендорф. РГАНИР, Фонд ГКО, д. 380, лл. 46-47 (11012).</w:t>
      </w:r>
    </w:p>
    <w:p w14:paraId="674F48EA" w14:textId="77777777" w:rsidR="00665165" w:rsidRPr="00925F26" w:rsidRDefault="00665165" w:rsidP="00925F26">
      <w:pPr>
        <w:autoSpaceDE w:val="0"/>
        <w:autoSpaceDN w:val="0"/>
        <w:adjustRightInd w:val="0"/>
        <w:jc w:val="both"/>
        <w:rPr>
          <w:color w:val="000000" w:themeColor="text1"/>
          <w:sz w:val="16"/>
          <w:szCs w:val="16"/>
        </w:rPr>
      </w:pPr>
    </w:p>
    <w:p w14:paraId="67AD3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г. вышло Постановление ГКО № 7808 «О вывозе оборудования по производству точных танковых деталей с завода “Хемшайт” в г. Антониенхютте» (Д. 460. Л. 101).</w:t>
      </w:r>
    </w:p>
    <w:p w14:paraId="7AC6664E" w14:textId="77777777" w:rsidR="00665165" w:rsidRPr="00925F26" w:rsidRDefault="00665165" w:rsidP="00925F26">
      <w:pPr>
        <w:autoSpaceDE w:val="0"/>
        <w:autoSpaceDN w:val="0"/>
        <w:adjustRightInd w:val="0"/>
        <w:jc w:val="both"/>
        <w:rPr>
          <w:color w:val="000000" w:themeColor="text1"/>
          <w:sz w:val="16"/>
          <w:szCs w:val="16"/>
        </w:rPr>
      </w:pPr>
    </w:p>
    <w:p w14:paraId="284FB1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7810 О вывозе металлообрабатывающего, подъемно-транспортного, энергетического и специального оборудования с немецкого машиностроительного завода фирмы "Шихау" в г. Эльбинг. РГАНИР, Фонд ГКО, д. 380, лл. 52-52, 54-55 (11012).</w:t>
      </w:r>
    </w:p>
    <w:p w14:paraId="14481D29" w14:textId="77777777" w:rsidR="00665165" w:rsidRPr="00925F26" w:rsidRDefault="00665165" w:rsidP="00925F26">
      <w:pPr>
        <w:autoSpaceDE w:val="0"/>
        <w:autoSpaceDN w:val="0"/>
        <w:adjustRightInd w:val="0"/>
        <w:jc w:val="both"/>
        <w:rPr>
          <w:color w:val="000000" w:themeColor="text1"/>
          <w:sz w:val="16"/>
          <w:szCs w:val="16"/>
        </w:rPr>
      </w:pPr>
    </w:p>
    <w:p w14:paraId="2D9374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7811 О вывозе оборудования по производству зубчатых колес с завода "Мартин" в г. Швентоховицы на завод №75 Наркомтанкопрома для производства танков Т-44. РГАНИР, Фонд ГКО, д. 380, лл. 56-57 (11012).</w:t>
      </w:r>
    </w:p>
    <w:p w14:paraId="0CF3C9B1" w14:textId="77777777" w:rsidR="00665165" w:rsidRPr="00925F26" w:rsidRDefault="00665165" w:rsidP="00925F26">
      <w:pPr>
        <w:autoSpaceDE w:val="0"/>
        <w:autoSpaceDN w:val="0"/>
        <w:adjustRightInd w:val="0"/>
        <w:jc w:val="both"/>
        <w:rPr>
          <w:color w:val="000000" w:themeColor="text1"/>
          <w:sz w:val="16"/>
          <w:szCs w:val="16"/>
        </w:rPr>
      </w:pPr>
    </w:p>
    <w:p w14:paraId="7F8D45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7812 О вывозе оборудования и материалов с карбидного завода в г. Бейтен. РГАНИР, Фонд ГКО, д. 380, лл. 58-59 (11012).</w:t>
      </w:r>
    </w:p>
    <w:p w14:paraId="69A27EF8" w14:textId="77777777" w:rsidR="00665165" w:rsidRPr="00925F26" w:rsidRDefault="00665165" w:rsidP="00925F26">
      <w:pPr>
        <w:autoSpaceDE w:val="0"/>
        <w:autoSpaceDN w:val="0"/>
        <w:adjustRightInd w:val="0"/>
        <w:jc w:val="both"/>
        <w:rPr>
          <w:color w:val="000000" w:themeColor="text1"/>
          <w:sz w:val="16"/>
          <w:szCs w:val="16"/>
        </w:rPr>
      </w:pPr>
    </w:p>
    <w:p w14:paraId="19EDEA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7813 О вывозе оборудования по производству цинковых полюсов к анодным батареям с завода фирмы "Силезия Хютте" в селении Липин (Верхняя Силезия). РГАНИР, Фонд ГКО, д. 380, лл. 60-61 (11012).</w:t>
      </w:r>
    </w:p>
    <w:p w14:paraId="57596E97" w14:textId="77777777" w:rsidR="00665165" w:rsidRPr="00925F26" w:rsidRDefault="00665165" w:rsidP="00925F26">
      <w:pPr>
        <w:autoSpaceDE w:val="0"/>
        <w:autoSpaceDN w:val="0"/>
        <w:adjustRightInd w:val="0"/>
        <w:jc w:val="both"/>
        <w:rPr>
          <w:color w:val="000000" w:themeColor="text1"/>
          <w:sz w:val="16"/>
          <w:szCs w:val="16"/>
        </w:rPr>
      </w:pPr>
    </w:p>
    <w:p w14:paraId="1CF48C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7814 О вывозе оборудования и материалов с завода по ремонту тракторов в м. Вайсенбург (15 км к северу от г. Познань). РГАНИР, Фонд ГКО, д. 380, лл. 62-63 (11012).</w:t>
      </w:r>
    </w:p>
    <w:p w14:paraId="6CBBBE7C" w14:textId="77777777" w:rsidR="00665165" w:rsidRPr="00925F26" w:rsidRDefault="00665165" w:rsidP="00925F26">
      <w:pPr>
        <w:autoSpaceDE w:val="0"/>
        <w:autoSpaceDN w:val="0"/>
        <w:adjustRightInd w:val="0"/>
        <w:jc w:val="both"/>
        <w:rPr>
          <w:color w:val="000000" w:themeColor="text1"/>
          <w:sz w:val="16"/>
          <w:szCs w:val="16"/>
        </w:rPr>
      </w:pPr>
    </w:p>
    <w:p w14:paraId="79877E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7815 О перегоне неиспользуемых фронтами трофейных лошадей с территории Германии и Польши в районы Советского Союза, освобожденные от немецкой оккупации и передаче этих лошадей колхозам. РГАНИР, Фонд ГКО, д. 380, лл. 64-66, 67-68 (11012).</w:t>
      </w:r>
    </w:p>
    <w:p w14:paraId="5E006A2C" w14:textId="77777777" w:rsidR="00665165" w:rsidRPr="00925F26" w:rsidRDefault="00665165" w:rsidP="00925F26">
      <w:pPr>
        <w:autoSpaceDE w:val="0"/>
        <w:autoSpaceDN w:val="0"/>
        <w:adjustRightInd w:val="0"/>
        <w:jc w:val="both"/>
        <w:rPr>
          <w:color w:val="000000" w:themeColor="text1"/>
          <w:sz w:val="16"/>
          <w:szCs w:val="16"/>
        </w:rPr>
      </w:pPr>
    </w:p>
    <w:p w14:paraId="50F61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7816 О вывозе оборудования, металлоконструкций и материалов линий электропередач и понизительных подстанций на напряжение 110 киловольт из Верхней Силезии. РГАНИР, Фонд ГКО, д. 380, лл. 69-70 (11012).</w:t>
      </w:r>
    </w:p>
    <w:p w14:paraId="0B7CFEF1" w14:textId="77777777" w:rsidR="00665165" w:rsidRPr="00925F26" w:rsidRDefault="00665165" w:rsidP="00925F26">
      <w:pPr>
        <w:autoSpaceDE w:val="0"/>
        <w:autoSpaceDN w:val="0"/>
        <w:adjustRightInd w:val="0"/>
        <w:jc w:val="both"/>
        <w:rPr>
          <w:color w:val="000000" w:themeColor="text1"/>
          <w:sz w:val="16"/>
          <w:szCs w:val="16"/>
        </w:rPr>
      </w:pPr>
    </w:p>
    <w:p w14:paraId="554D1C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7817 О вывозе немецких дорожно-строительных машин, собранных в районе г. Будапешт. РГАНИР, Фонд ГКО, д. 380, лл. 71, 72 (11012).</w:t>
      </w:r>
    </w:p>
    <w:p w14:paraId="0A596F22" w14:textId="77777777" w:rsidR="00665165" w:rsidRPr="00925F26" w:rsidRDefault="00665165" w:rsidP="00925F26">
      <w:pPr>
        <w:autoSpaceDE w:val="0"/>
        <w:autoSpaceDN w:val="0"/>
        <w:adjustRightInd w:val="0"/>
        <w:jc w:val="both"/>
        <w:rPr>
          <w:color w:val="000000" w:themeColor="text1"/>
          <w:sz w:val="16"/>
          <w:szCs w:val="16"/>
        </w:rPr>
      </w:pPr>
    </w:p>
    <w:p w14:paraId="24090F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7818 О вывозе оборудования с немецких металлообрабатывающих заводов в г. г. Гинденбург и Беутен. РГАНИР, Фонд ГКО, д. 380, лл. 73-74 (11012).</w:t>
      </w:r>
    </w:p>
    <w:p w14:paraId="0AB1968E" w14:textId="77777777" w:rsidR="00665165" w:rsidRPr="00925F26" w:rsidRDefault="00665165" w:rsidP="00925F26">
      <w:pPr>
        <w:autoSpaceDE w:val="0"/>
        <w:autoSpaceDN w:val="0"/>
        <w:adjustRightInd w:val="0"/>
        <w:jc w:val="both"/>
        <w:rPr>
          <w:color w:val="000000" w:themeColor="text1"/>
          <w:sz w:val="16"/>
          <w:szCs w:val="16"/>
        </w:rPr>
      </w:pPr>
    </w:p>
    <w:p w14:paraId="59E98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7819 О создании монтажной организации Наркомрезинпрома. РГАНИР, Фонд ГКО, д. 380, лл. 75-76 (11012).</w:t>
      </w:r>
    </w:p>
    <w:p w14:paraId="6F8DCD2F" w14:textId="77777777" w:rsidR="00665165" w:rsidRPr="00925F26" w:rsidRDefault="00665165" w:rsidP="00925F26">
      <w:pPr>
        <w:autoSpaceDE w:val="0"/>
        <w:autoSpaceDN w:val="0"/>
        <w:adjustRightInd w:val="0"/>
        <w:jc w:val="both"/>
        <w:rPr>
          <w:color w:val="000000" w:themeColor="text1"/>
          <w:sz w:val="16"/>
          <w:szCs w:val="16"/>
        </w:rPr>
      </w:pPr>
    </w:p>
    <w:p w14:paraId="2E0583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7820 О вывозе электромоторов и электротехнических материалов с электромоторного завода в г. Дроссен. РГАНИР, Фонд ГКО, д. 380, лл. 77 (11012).</w:t>
      </w:r>
    </w:p>
    <w:p w14:paraId="24A4EA0F" w14:textId="77777777" w:rsidR="00665165" w:rsidRPr="00925F26" w:rsidRDefault="00665165" w:rsidP="00925F26">
      <w:pPr>
        <w:autoSpaceDE w:val="0"/>
        <w:autoSpaceDN w:val="0"/>
        <w:adjustRightInd w:val="0"/>
        <w:jc w:val="both"/>
        <w:rPr>
          <w:color w:val="000000" w:themeColor="text1"/>
          <w:sz w:val="16"/>
          <w:szCs w:val="16"/>
        </w:rPr>
      </w:pPr>
    </w:p>
    <w:p w14:paraId="65B40B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7821 О вывозе 200 километров телефонного 112-парного подземного кабеля, проложенного на трассе Люблин-Замостье-госграница СССР. РГАНИР, Фонд ГКО, д. 380, лл. 78-79 (11012).</w:t>
      </w:r>
    </w:p>
    <w:p w14:paraId="473A7211" w14:textId="77777777" w:rsidR="00665165" w:rsidRPr="00925F26" w:rsidRDefault="00665165" w:rsidP="00925F26">
      <w:pPr>
        <w:autoSpaceDE w:val="0"/>
        <w:autoSpaceDN w:val="0"/>
        <w:adjustRightInd w:val="0"/>
        <w:jc w:val="both"/>
        <w:rPr>
          <w:color w:val="000000" w:themeColor="text1"/>
          <w:sz w:val="16"/>
          <w:szCs w:val="16"/>
        </w:rPr>
      </w:pPr>
    </w:p>
    <w:p w14:paraId="2836D0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7822 О вывозе 450 километров телефонного 10-парного кабеля со складов в г. Фридеберг. РГАНИР, Фонд ГКО, д. 380, лл. 80 (11012).</w:t>
      </w:r>
    </w:p>
    <w:p w14:paraId="59E55A7A" w14:textId="77777777" w:rsidR="00665165" w:rsidRPr="00925F26" w:rsidRDefault="00665165" w:rsidP="00925F26">
      <w:pPr>
        <w:autoSpaceDE w:val="0"/>
        <w:autoSpaceDN w:val="0"/>
        <w:adjustRightInd w:val="0"/>
        <w:jc w:val="both"/>
        <w:rPr>
          <w:color w:val="000000" w:themeColor="text1"/>
          <w:sz w:val="16"/>
          <w:szCs w:val="16"/>
        </w:rPr>
      </w:pPr>
    </w:p>
    <w:p w14:paraId="4ECCE5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7823 О вывозе 600 тонн трофейной железной катанки из г. Бельско (Польша). РГАНИР, Фонд ГКО, д. 380, лл. 81 (11012).</w:t>
      </w:r>
    </w:p>
    <w:p w14:paraId="258BFCB2" w14:textId="77777777" w:rsidR="00665165" w:rsidRPr="00925F26" w:rsidRDefault="00665165" w:rsidP="00925F26">
      <w:pPr>
        <w:autoSpaceDE w:val="0"/>
        <w:autoSpaceDN w:val="0"/>
        <w:adjustRightInd w:val="0"/>
        <w:jc w:val="both"/>
        <w:rPr>
          <w:color w:val="000000" w:themeColor="text1"/>
          <w:sz w:val="16"/>
          <w:szCs w:val="16"/>
        </w:rPr>
      </w:pPr>
    </w:p>
    <w:p w14:paraId="0669F2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7824 О вывозе с трофейных складов 3-го Украинского фронта картона, бумаги и меховых шкурок. РГАНИР, Фонд ГКО, д. 380, лл. 82-83 (11012).</w:t>
      </w:r>
    </w:p>
    <w:p w14:paraId="2994C73E" w14:textId="77777777" w:rsidR="00665165" w:rsidRPr="00925F26" w:rsidRDefault="00665165" w:rsidP="00925F26">
      <w:pPr>
        <w:autoSpaceDE w:val="0"/>
        <w:autoSpaceDN w:val="0"/>
        <w:adjustRightInd w:val="0"/>
        <w:jc w:val="both"/>
        <w:rPr>
          <w:color w:val="000000" w:themeColor="text1"/>
          <w:sz w:val="16"/>
          <w:szCs w:val="16"/>
        </w:rPr>
      </w:pPr>
    </w:p>
    <w:p w14:paraId="4BAC59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7825 О вывозе трофейного интендантского имущества со складов 4-го Украинского фронта. РГАНИР, Фонд ГКО, д. 380, лл. 84 (11012).</w:t>
      </w:r>
    </w:p>
    <w:p w14:paraId="2DEEDA5A" w14:textId="77777777" w:rsidR="00665165" w:rsidRPr="00925F26" w:rsidRDefault="00665165" w:rsidP="00925F26">
      <w:pPr>
        <w:autoSpaceDE w:val="0"/>
        <w:autoSpaceDN w:val="0"/>
        <w:adjustRightInd w:val="0"/>
        <w:jc w:val="both"/>
        <w:rPr>
          <w:color w:val="000000" w:themeColor="text1"/>
          <w:sz w:val="16"/>
          <w:szCs w:val="16"/>
        </w:rPr>
      </w:pPr>
    </w:p>
    <w:p w14:paraId="3F3B7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7826 Об обеспечении углем промышленных предприятий Польши. РГАНИР, Фонд ГКО, д. 380, лл. 85-87 (11012).</w:t>
      </w:r>
    </w:p>
    <w:p w14:paraId="66DB4501" w14:textId="77777777" w:rsidR="00665165" w:rsidRPr="00925F26" w:rsidRDefault="00665165" w:rsidP="00925F26">
      <w:pPr>
        <w:autoSpaceDE w:val="0"/>
        <w:autoSpaceDN w:val="0"/>
        <w:adjustRightInd w:val="0"/>
        <w:jc w:val="both"/>
        <w:rPr>
          <w:color w:val="000000" w:themeColor="text1"/>
          <w:sz w:val="16"/>
          <w:szCs w:val="16"/>
        </w:rPr>
      </w:pPr>
    </w:p>
    <w:p w14:paraId="04F3258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7828 Об усилении противовоздушной обороны Дальнего Востока и Забайкалья. (7315, 100-102,103-106).</w:t>
      </w:r>
    </w:p>
    <w:p w14:paraId="7EF2C68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2B68B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7829 О плане добычи угля на март 1945 года по Наркомуглю. РГАНИР, Фонд ГКО, д. 380, лл. 107-108 (11012).</w:t>
      </w:r>
    </w:p>
    <w:p w14:paraId="70021890" w14:textId="77777777" w:rsidR="00665165" w:rsidRPr="00925F26" w:rsidRDefault="00665165" w:rsidP="00925F26">
      <w:pPr>
        <w:autoSpaceDE w:val="0"/>
        <w:autoSpaceDN w:val="0"/>
        <w:adjustRightInd w:val="0"/>
        <w:jc w:val="both"/>
        <w:rPr>
          <w:color w:val="000000" w:themeColor="text1"/>
          <w:sz w:val="16"/>
          <w:szCs w:val="16"/>
        </w:rPr>
      </w:pPr>
    </w:p>
    <w:p w14:paraId="1B7543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7830 О мероприятиях по дальнейшему развитию добычи угля на шахтах комбината "Москвауголь". (7315, 109-134,135-165).</w:t>
      </w:r>
    </w:p>
    <w:p w14:paraId="7C9DE5F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08B1FE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7831 Об улучшении работы Карагандинской железной дороги. (7315, 166-172,173-187).</w:t>
      </w:r>
    </w:p>
    <w:p w14:paraId="045484C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976197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7832 О мероприятиях по дальнейшему увеличению добычи угля на шахтах комбината "Тулауголь". (7316, 1-25,26-41).</w:t>
      </w:r>
    </w:p>
    <w:p w14:paraId="02BC926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74A140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7833 О мерах помощи речному транспорту по подготовке к навигации 1945 г. (7316, 42-59,60-109).</w:t>
      </w:r>
    </w:p>
    <w:p w14:paraId="0FEFEFE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2D3056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года вышел приказ № 120с НКТП</w:t>
      </w:r>
    </w:p>
    <w:p w14:paraId="7481FDE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Об организации производства судовых дизелей М-50 для боевых катеров ВМФ на заводе № 800 НКТП (бывший завод № 174 в Ленинграде) (6213, 98).</w:t>
      </w:r>
    </w:p>
    <w:p w14:paraId="39F6727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E913CA2"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4CFD5B0" w14:textId="77777777" w:rsidR="00524C9D" w:rsidRPr="00925F26" w:rsidRDefault="00524C9D" w:rsidP="00925F26">
      <w:pPr>
        <w:autoSpaceDE w:val="0"/>
        <w:autoSpaceDN w:val="0"/>
        <w:adjustRightInd w:val="0"/>
        <w:jc w:val="both"/>
        <w:rPr>
          <w:iCs/>
          <w:color w:val="000000" w:themeColor="text1"/>
          <w:sz w:val="16"/>
          <w:szCs w:val="16"/>
        </w:rPr>
      </w:pPr>
    </w:p>
    <w:p w14:paraId="14459BAE" w14:textId="77777777" w:rsidR="00524C9D" w:rsidRPr="00925F26" w:rsidRDefault="00524C9D" w:rsidP="00925F26">
      <w:pPr>
        <w:jc w:val="both"/>
        <w:rPr>
          <w:color w:val="000000" w:themeColor="text1"/>
          <w:sz w:val="16"/>
          <w:szCs w:val="16"/>
        </w:rPr>
      </w:pPr>
      <w:r w:rsidRPr="00925F26">
        <w:rPr>
          <w:bCs/>
          <w:color w:val="000000" w:themeColor="text1"/>
          <w:sz w:val="16"/>
          <w:szCs w:val="16"/>
        </w:rPr>
        <w:t>14 марта</w:t>
      </w:r>
      <w:r w:rsidRPr="00925F26">
        <w:rPr>
          <w:color w:val="000000" w:themeColor="text1"/>
          <w:sz w:val="16"/>
          <w:szCs w:val="16"/>
        </w:rPr>
        <w:t xml:space="preserve"> в 1945 году оперативная сводка Совинформбюро:</w:t>
      </w:r>
    </w:p>
    <w:p w14:paraId="4D72146A" w14:textId="77777777" w:rsidR="00524C9D" w:rsidRPr="00925F26" w:rsidRDefault="00524C9D" w:rsidP="00925F26">
      <w:pPr>
        <w:jc w:val="both"/>
        <w:rPr>
          <w:color w:val="000000" w:themeColor="text1"/>
          <w:sz w:val="16"/>
          <w:szCs w:val="16"/>
        </w:rPr>
      </w:pPr>
      <w:r w:rsidRPr="00925F26">
        <w:rPr>
          <w:color w:val="000000" w:themeColor="text1"/>
          <w:sz w:val="16"/>
          <w:szCs w:val="16"/>
        </w:rPr>
        <w:t>«В течение 14 марта юго-западнее Кенигсберга войска 3-го Белорусского фронта вели наступательные бои по уничтожению Восточно-Прусской группы войск противника и заняли населённые пункты Гросс Клингбекк, Грюнвизе, Ланк, Бартланген, Хиршкен, Хансвальде, Гросс Людткенфюрст, Шенлинде, Нениглих Редерсдорф, Хоенвальде, Брайтлинде, Линденау и железнодорожную станцию Фогельзанг. Войсками фронта взято в плен более 2.000 немецких солдат и офицеров.</w:t>
      </w:r>
    </w:p>
    <w:p w14:paraId="2C85F4CF" w14:textId="77777777" w:rsidR="00524C9D" w:rsidRPr="00925F26" w:rsidRDefault="00524C9D" w:rsidP="00925F26">
      <w:pPr>
        <w:jc w:val="both"/>
        <w:rPr>
          <w:color w:val="000000" w:themeColor="text1"/>
          <w:sz w:val="16"/>
          <w:szCs w:val="16"/>
        </w:rPr>
      </w:pPr>
      <w:r w:rsidRPr="00925F26">
        <w:rPr>
          <w:color w:val="000000" w:themeColor="text1"/>
          <w:sz w:val="16"/>
          <w:szCs w:val="16"/>
        </w:rPr>
        <w:t>Войска 2-го Украинского фронта, преодолевая сопротивление противника в горне-лесистой местности в полосе Карпат, 14 марта овладели городом и важным железнодорожным узлом Зволен — сильным опорным пунктом обороны немцев на реке Грон; заняты также населённые пункты: Лесковец, Муотева, Мозолевци, Добра Нива, Банска Бела, Тепла, Репиште, Поважан.</w:t>
      </w:r>
    </w:p>
    <w:p w14:paraId="2A0D7BEC" w14:textId="77777777" w:rsidR="00524C9D" w:rsidRPr="00925F26" w:rsidRDefault="00524C9D"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атаки танков и пехоты противника успешно отбивались нашими войсками. В боях за 13 марта в этом районе огнём нашей артиллерии уничтожено 39 немецких танков и самоходных орудий и, кроме того, подбито и подорвалось на наших минных полях 46 танков и самоходных орудий противника.</w:t>
      </w:r>
    </w:p>
    <w:p w14:paraId="6257D497" w14:textId="77777777" w:rsidR="00524C9D" w:rsidRPr="00925F26" w:rsidRDefault="00524C9D"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5E83861C" w14:textId="77777777" w:rsidR="00524C9D" w:rsidRPr="00925F26" w:rsidRDefault="00524C9D" w:rsidP="00925F26">
      <w:pPr>
        <w:jc w:val="both"/>
        <w:rPr>
          <w:color w:val="000000" w:themeColor="text1"/>
          <w:sz w:val="16"/>
          <w:szCs w:val="16"/>
        </w:rPr>
      </w:pPr>
      <w:r w:rsidRPr="00925F26">
        <w:rPr>
          <w:color w:val="000000" w:themeColor="text1"/>
          <w:sz w:val="16"/>
          <w:szCs w:val="16"/>
        </w:rPr>
        <w:t>За 13 марта на всех фронтах подбито и уничтожено 137 немецких танков и самоходных орудий. В воздушных боях и огнем зенитной артиллерии сбито 37 самолетов противника.».</w:t>
      </w:r>
    </w:p>
    <w:p w14:paraId="76BCD788" w14:textId="77777777" w:rsidR="00524C9D" w:rsidRPr="00925F26" w:rsidRDefault="00524C9D" w:rsidP="00925F26">
      <w:pPr>
        <w:jc w:val="both"/>
        <w:rPr>
          <w:color w:val="000000" w:themeColor="text1"/>
          <w:sz w:val="16"/>
          <w:szCs w:val="16"/>
        </w:rPr>
      </w:pPr>
      <w:r w:rsidRPr="00925F26">
        <w:rPr>
          <w:color w:val="000000" w:themeColor="text1"/>
          <w:sz w:val="16"/>
          <w:szCs w:val="16"/>
        </w:rPr>
        <w:t>Налет нашей авиации на железнодорожный узел Веспрем в Венгрии.</w:t>
      </w:r>
    </w:p>
    <w:p w14:paraId="45A563CF" w14:textId="77777777" w:rsidR="00524C9D" w:rsidRPr="00925F26" w:rsidRDefault="00524C9D" w:rsidP="00925F26">
      <w:pPr>
        <w:jc w:val="both"/>
        <w:rPr>
          <w:color w:val="000000" w:themeColor="text1"/>
          <w:sz w:val="16"/>
          <w:szCs w:val="16"/>
        </w:rPr>
      </w:pPr>
      <w:r w:rsidRPr="00925F26">
        <w:rPr>
          <w:color w:val="000000" w:themeColor="text1"/>
          <w:sz w:val="16"/>
          <w:szCs w:val="16"/>
        </w:rPr>
        <w:t>«В ночь на 14 марта наши тяжелые бомбардировщики нанесли удар по железнодорожному узлу Веспрем в Венгрии. В результате бомбардировки на территории железнодорожного узла возникли пожары, сопровождавшиеся сильными взрывами.</w:t>
      </w:r>
    </w:p>
    <w:p w14:paraId="74F2C926" w14:textId="77777777" w:rsidR="00524C9D" w:rsidRPr="00925F26" w:rsidRDefault="00524C9D" w:rsidP="00925F26">
      <w:pPr>
        <w:jc w:val="both"/>
        <w:rPr>
          <w:color w:val="000000" w:themeColor="text1"/>
          <w:sz w:val="16"/>
          <w:szCs w:val="16"/>
        </w:rPr>
      </w:pPr>
      <w:r w:rsidRPr="00925F26">
        <w:rPr>
          <w:color w:val="000000" w:themeColor="text1"/>
          <w:sz w:val="16"/>
          <w:szCs w:val="16"/>
        </w:rPr>
        <w:t xml:space="preserve">Юго-западнее Кенигсберга войска 3-го Белорусского фронта вели наступательные бои. Прижатые к морю, немецкие войска предпринимают отчаянные усилия, чтобы удержать оставшийся у них участок территории Восточной Пруссии. Немцы роют дополнительные линии траншей, укрепили все населенные пункты и почти сплошь заминировали подступы к своему переднему краю. Прошедший дождь и начавшаяся оттепель вызвали сильное таяние снега. Вода затопила все низины. Советские </w:t>
      </w:r>
      <w:r w:rsidRPr="00925F26">
        <w:rPr>
          <w:color w:val="000000" w:themeColor="text1"/>
          <w:sz w:val="16"/>
          <w:szCs w:val="16"/>
        </w:rPr>
        <w:lastRenderedPageBreak/>
        <w:t>части, поддерживаемые мощным огнем артиллерии, в результате ожесточенного боя продвинулись вперед и выбили немцев из населенного пункта Ланк – важного узла сопротивления. На другом участке наши пехотинцы заняли железнодорожную станцию Фонельзанг, находящуюся в 9 километрах к юго-востоку от города Барунсберга. За день боев уничтожено свыше 4 тысяч солдат и офицеров противника. Войсками фронта захвачено у немцев 50 орудий, 23 миномета, 160 пулеметов и другие трофеи.</w:t>
      </w:r>
    </w:p>
    <w:p w14:paraId="211BA58D" w14:textId="77777777" w:rsidR="00524C9D" w:rsidRPr="00925F26" w:rsidRDefault="00524C9D" w:rsidP="00925F26">
      <w:pPr>
        <w:jc w:val="both"/>
        <w:rPr>
          <w:color w:val="000000" w:themeColor="text1"/>
          <w:sz w:val="16"/>
          <w:szCs w:val="16"/>
        </w:rPr>
      </w:pPr>
      <w:r w:rsidRPr="00925F26">
        <w:rPr>
          <w:color w:val="000000" w:themeColor="text1"/>
          <w:sz w:val="16"/>
          <w:szCs w:val="16"/>
        </w:rPr>
        <w:t>Войска 2-го Украинского фронта, действуя в полосе Карпат, с боями продвигаются вперед. Сегодня наши войска овладели городом Зволен – сильным опорным пунктом обороны немцев на реке Грон. На дальних и ближних подступах к городу противник построил прочную оборону. На склонах гор немцы оборудовали артиллерийские позиции и пулеметные гнезда, откуда простреливали подступы к городу. Все дороги преграждали широкие противотанковые рвы. Противник сосредоточил в этом районе крупные силы пехоты и много самоходной артиллерии. После упорного боя советские части сломили вражеское сопротивление и, овладев селением Муотева, прорвались к железнодорожной станции Зволен. Бои переместились на улицы города. Немцы, пытаясь восстановить положение, предприняли ряд контратак, но успеха не добились. Наращивая удары, наши войска отбросили противника за реку Грон и овладели городом Зволен. На подступах к городу и его улицах осталось много вражеских трупов. Захвачены трофеи и пленные.</w:t>
      </w:r>
    </w:p>
    <w:p w14:paraId="3CAAD7AF" w14:textId="77777777" w:rsidR="00524C9D" w:rsidRPr="00925F26" w:rsidRDefault="00524C9D" w:rsidP="00925F26">
      <w:pPr>
        <w:jc w:val="both"/>
        <w:rPr>
          <w:color w:val="000000" w:themeColor="text1"/>
          <w:sz w:val="16"/>
          <w:szCs w:val="16"/>
        </w:rPr>
      </w:pPr>
      <w:r w:rsidRPr="00925F26">
        <w:rPr>
          <w:color w:val="000000" w:themeColor="text1"/>
          <w:sz w:val="16"/>
          <w:szCs w:val="16"/>
        </w:rPr>
        <w:t>Зволен – узел четырех железных и нескольких шоссейных дорог. В городе имеются промышленные предприятия по переработке железной руды, залежами которой богат этот район.</w:t>
      </w:r>
    </w:p>
    <w:p w14:paraId="012116AA" w14:textId="77777777" w:rsidR="00524C9D" w:rsidRPr="00925F26" w:rsidRDefault="00524C9D"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наши войска успешно отбивали атаки немцев. Противник, не считаясь с потерями, бросает в бой танки и пехоту. Наши части мужественно отражают вражеский натиск и огнем из всех видов оружия происходят опустошение в рядах атакующих немцев. Сегодня ожесточенные бои происходили за один населенный пункт. Немецким танкам и пехоте ценою тяжелых жертв удалось ворваться в селение. В завязавшемся уличном бою советские артиллеристы, бронебойщики и стрелки истребили свыше 600 гитлеровцев, сожгли и подбили 24 танка и 3 самоходных орудия. К исходу дня наши части контрударом выбили немцев из населенного пункта и восстановили положение. На другом участке двадцать три советских бойца, во главе с гвардии младшим лейтенантом Мыльниковым, находились в боевом охранении. Противник, пытаясь овладеть этим рубежом, три раза переходил в атаку. Немцы окружили советских бойцов, но они и в окружении продолжали драться с прежним упорством. Советские воины отстояли свой рубеж до подхода подкрепления. Перед позициями гвардейцев подсчитано свыше 100 вражеских трупов. В одном районе небольшая группа наших бойцов охраняла переправу через водный рубеж. Немецкий танк и два самоходных орудия пытались прорваться к этой переправе. Старший лейтенант Иваницкий противотанковой гранатой подорвал вражеский танк. Сержант Бессараб огнем из противотанкового ружья сжег самоходное орудие, а красноармеец Фалюнов удачно брошенной гранатой подорвал и второе орудие противника.</w:t>
      </w:r>
    </w:p>
    <w:p w14:paraId="6D6F332C" w14:textId="77777777" w:rsidR="00524C9D" w:rsidRPr="00925F26" w:rsidRDefault="00524C9D" w:rsidP="00925F26">
      <w:pPr>
        <w:jc w:val="both"/>
        <w:rPr>
          <w:color w:val="000000" w:themeColor="text1"/>
          <w:sz w:val="16"/>
          <w:szCs w:val="16"/>
        </w:rPr>
      </w:pPr>
      <w:r w:rsidRPr="00925F26">
        <w:rPr>
          <w:color w:val="000000" w:themeColor="text1"/>
          <w:sz w:val="16"/>
          <w:szCs w:val="16"/>
        </w:rPr>
        <w:t>На 1-м Белорусском фронте наша авиация наносила удары по войскам противника и его путям сообщения. Воздушной разведкой в нижнем течении Одера было обнаружено несколько больших барж. Вскоре над целью появились наши штурмовики во главе с капитаном Прониным. Советские лётчики потопили баржу, на которой находилось более 200 немецких солдат и офицеров, 30 автомашин и 7 орудий.» (15068).</w:t>
      </w:r>
    </w:p>
    <w:p w14:paraId="5E0B20C3" w14:textId="77777777" w:rsidR="00524C9D" w:rsidRPr="00925F26" w:rsidRDefault="00524C9D" w:rsidP="00925F26">
      <w:pPr>
        <w:jc w:val="both"/>
        <w:rPr>
          <w:color w:val="000000" w:themeColor="text1"/>
          <w:sz w:val="16"/>
          <w:szCs w:val="16"/>
        </w:rPr>
      </w:pPr>
    </w:p>
    <w:p w14:paraId="6BF4AEEE"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4E7D55A" w14:textId="77777777" w:rsidR="00524C9D" w:rsidRPr="00925F26" w:rsidRDefault="00524C9D" w:rsidP="00925F26">
      <w:pPr>
        <w:autoSpaceDE w:val="0"/>
        <w:autoSpaceDN w:val="0"/>
        <w:adjustRightInd w:val="0"/>
        <w:jc w:val="both"/>
        <w:rPr>
          <w:iCs/>
          <w:color w:val="000000" w:themeColor="text1"/>
          <w:sz w:val="16"/>
          <w:szCs w:val="16"/>
        </w:rPr>
      </w:pPr>
    </w:p>
    <w:p w14:paraId="6CF09EF5" w14:textId="77777777" w:rsidR="00524C9D" w:rsidRPr="00925F26" w:rsidRDefault="00524C9D" w:rsidP="00925F26">
      <w:pPr>
        <w:jc w:val="both"/>
        <w:rPr>
          <w:color w:val="000000" w:themeColor="text1"/>
          <w:sz w:val="16"/>
          <w:szCs w:val="16"/>
        </w:rPr>
      </w:pPr>
      <w:r w:rsidRPr="00925F26">
        <w:rPr>
          <w:bCs/>
          <w:color w:val="000000" w:themeColor="text1"/>
          <w:sz w:val="16"/>
          <w:szCs w:val="16"/>
        </w:rPr>
        <w:t>14 марта</w:t>
      </w:r>
      <w:r w:rsidRPr="00925F26">
        <w:rPr>
          <w:color w:val="000000" w:themeColor="text1"/>
          <w:sz w:val="16"/>
          <w:szCs w:val="16"/>
        </w:rPr>
        <w:t xml:space="preserve"> в 1945 году СНК СССР принял решение о возвращении населению, учреждениям и организациям радиоприемников, сданных ими органам Наркомсвязи на хранение в начале войны (15068).</w:t>
      </w:r>
    </w:p>
    <w:p w14:paraId="660EFEDC" w14:textId="77777777" w:rsidR="00524C9D" w:rsidRPr="00925F26" w:rsidRDefault="00524C9D" w:rsidP="00925F26">
      <w:pPr>
        <w:jc w:val="both"/>
        <w:rPr>
          <w:color w:val="000000" w:themeColor="text1"/>
          <w:sz w:val="16"/>
          <w:szCs w:val="16"/>
        </w:rPr>
      </w:pPr>
    </w:p>
    <w:p w14:paraId="6854207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E6DD682" w14:textId="77777777" w:rsidR="00665165" w:rsidRPr="00925F26" w:rsidRDefault="00665165" w:rsidP="00925F26">
      <w:pPr>
        <w:autoSpaceDE w:val="0"/>
        <w:autoSpaceDN w:val="0"/>
        <w:adjustRightInd w:val="0"/>
        <w:jc w:val="both"/>
        <w:rPr>
          <w:iCs/>
          <w:color w:val="000000" w:themeColor="text1"/>
          <w:sz w:val="16"/>
          <w:szCs w:val="16"/>
        </w:rPr>
      </w:pPr>
    </w:p>
    <w:p w14:paraId="56CB27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было подписано соглашение о перестройке болгарских ВВС при советском содействии. Программа предусматривала поставку 69 Ил-2 и 3 Ил-2УТ, которые были поставлены в апреле 1945. В дальнейшем поступило еще 7 Ил-2УТ. Все машины базировались в Пловдиве (241,40).</w:t>
      </w:r>
    </w:p>
    <w:p w14:paraId="4AAF6201" w14:textId="77777777" w:rsidR="00665165" w:rsidRPr="00925F26" w:rsidRDefault="00665165" w:rsidP="00925F26">
      <w:pPr>
        <w:autoSpaceDE w:val="0"/>
        <w:autoSpaceDN w:val="0"/>
        <w:adjustRightInd w:val="0"/>
        <w:jc w:val="both"/>
        <w:rPr>
          <w:color w:val="000000" w:themeColor="text1"/>
          <w:sz w:val="16"/>
          <w:szCs w:val="16"/>
        </w:rPr>
      </w:pPr>
    </w:p>
    <w:p w14:paraId="454FA0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вышло Постановление ГКО № 7827 О мерах помощи Болгарии в создании воинских частей. РГАНИР, Фонд ГКО, д. 380, лл. 88-89, 90-99 (11012).</w:t>
      </w:r>
    </w:p>
    <w:p w14:paraId="1ACFE393" w14:textId="77777777" w:rsidR="00665165" w:rsidRPr="00925F26" w:rsidRDefault="00665165" w:rsidP="00925F26">
      <w:pPr>
        <w:autoSpaceDE w:val="0"/>
        <w:autoSpaceDN w:val="0"/>
        <w:adjustRightInd w:val="0"/>
        <w:jc w:val="both"/>
        <w:rPr>
          <w:color w:val="000000" w:themeColor="text1"/>
          <w:sz w:val="16"/>
          <w:szCs w:val="16"/>
        </w:rPr>
      </w:pPr>
    </w:p>
    <w:p w14:paraId="345A2C6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2667FDB" w14:textId="77777777" w:rsidR="00665165" w:rsidRPr="00925F26" w:rsidRDefault="00665165" w:rsidP="00925F26">
      <w:pPr>
        <w:autoSpaceDE w:val="0"/>
        <w:autoSpaceDN w:val="0"/>
        <w:adjustRightInd w:val="0"/>
        <w:jc w:val="both"/>
        <w:rPr>
          <w:iCs/>
          <w:color w:val="000000" w:themeColor="text1"/>
          <w:sz w:val="16"/>
          <w:szCs w:val="16"/>
        </w:rPr>
      </w:pPr>
    </w:p>
    <w:p w14:paraId="3143A18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3-я американская армия форсировала реку Мозель у Кобленца (Германия).</w:t>
      </w:r>
    </w:p>
    <w:p w14:paraId="0A981E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8CB3B7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марта 1945 англичане сбросили на Германию самую тяжелую в мире бомбу “Грэнд Слэм” (9980 кг) (4962).</w:t>
      </w:r>
    </w:p>
    <w:p w14:paraId="77B4C26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C93E8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англичане с Ланкастера сбросили 22000 фунтовую бомбу Grand Slam (9980 кг, 7.74 м в длину) и уничтожили 2 пролета виадука в Германии (2255).</w:t>
      </w:r>
    </w:p>
    <w:p w14:paraId="014692CE" w14:textId="77777777" w:rsidR="00665165" w:rsidRPr="00925F26" w:rsidRDefault="00665165" w:rsidP="00925F26">
      <w:pPr>
        <w:autoSpaceDE w:val="0"/>
        <w:autoSpaceDN w:val="0"/>
        <w:adjustRightInd w:val="0"/>
        <w:jc w:val="both"/>
        <w:rPr>
          <w:color w:val="000000" w:themeColor="text1"/>
          <w:sz w:val="16"/>
          <w:szCs w:val="16"/>
        </w:rPr>
      </w:pPr>
    </w:p>
    <w:p w14:paraId="0B7A9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г. на следующий день после первого испытательного сброса новой сверхмощной десятитонной «Грэнд Слэм» (9988 кг)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796F7EDF" w14:textId="77777777" w:rsidR="00665165" w:rsidRPr="00925F26" w:rsidRDefault="00665165" w:rsidP="00925F26">
      <w:pPr>
        <w:autoSpaceDE w:val="0"/>
        <w:autoSpaceDN w:val="0"/>
        <w:adjustRightInd w:val="0"/>
        <w:jc w:val="both"/>
        <w:rPr>
          <w:color w:val="000000" w:themeColor="text1"/>
          <w:sz w:val="16"/>
          <w:szCs w:val="16"/>
        </w:rPr>
      </w:pPr>
    </w:p>
    <w:p w14:paraId="456326B0" w14:textId="77777777" w:rsidR="00524C9D" w:rsidRPr="00925F26" w:rsidRDefault="00524C9D" w:rsidP="00925F26">
      <w:pPr>
        <w:jc w:val="both"/>
        <w:rPr>
          <w:color w:val="000000" w:themeColor="text1"/>
          <w:sz w:val="16"/>
          <w:szCs w:val="16"/>
        </w:rPr>
      </w:pPr>
      <w:r w:rsidRPr="00925F26">
        <w:rPr>
          <w:bCs/>
          <w:color w:val="000000" w:themeColor="text1"/>
          <w:sz w:val="16"/>
          <w:szCs w:val="16"/>
        </w:rPr>
        <w:t>14 марта</w:t>
      </w:r>
      <w:r w:rsidRPr="00925F26">
        <w:rPr>
          <w:color w:val="000000" w:themeColor="text1"/>
          <w:sz w:val="16"/>
          <w:szCs w:val="16"/>
        </w:rPr>
        <w:t xml:space="preserve"> в 1945 году на Германию сброшена самая большая британская бомба «Грэнд Слэм» (весила 9980 кг и была 7,74 м в длину) (15068).</w:t>
      </w:r>
    </w:p>
    <w:p w14:paraId="07CFFEF0" w14:textId="77777777" w:rsidR="00524C9D" w:rsidRPr="00925F26" w:rsidRDefault="00524C9D" w:rsidP="00925F26">
      <w:pPr>
        <w:jc w:val="both"/>
        <w:rPr>
          <w:color w:val="000000" w:themeColor="text1"/>
          <w:sz w:val="16"/>
          <w:szCs w:val="16"/>
        </w:rPr>
      </w:pPr>
    </w:p>
    <w:p w14:paraId="5173FE39" w14:textId="77777777" w:rsidR="00524C9D" w:rsidRPr="00925F26" w:rsidRDefault="00524C9D" w:rsidP="00925F26">
      <w:pPr>
        <w:jc w:val="both"/>
        <w:rPr>
          <w:color w:val="000000" w:themeColor="text1"/>
          <w:sz w:val="16"/>
          <w:szCs w:val="16"/>
        </w:rPr>
      </w:pPr>
      <w:r w:rsidRPr="00925F26">
        <w:rPr>
          <w:bCs/>
          <w:color w:val="000000" w:themeColor="text1"/>
          <w:sz w:val="16"/>
          <w:szCs w:val="16"/>
        </w:rPr>
        <w:t>14 марта</w:t>
      </w:r>
      <w:r w:rsidRPr="00925F26">
        <w:rPr>
          <w:color w:val="000000" w:themeColor="text1"/>
          <w:sz w:val="16"/>
          <w:szCs w:val="16"/>
        </w:rPr>
        <w:t xml:space="preserve"> в 1945 году первый боевой вылет 617-й эскадрильи ВВС ОК, когда 14 "Ланкастеров" с "Тэллбой" и один с "Грэнд Слэм" уничтожили Билефельдский виадук. Это была первая из 41 "Грэнд Слэм", сброшенных эскадрильей до конца войны. 15-я эскадрилья, единственная другая часть, летавшая на "Ланкастер" I "Спешиэл" (15068).</w:t>
      </w:r>
    </w:p>
    <w:p w14:paraId="69ECC405" w14:textId="77777777" w:rsidR="00524C9D" w:rsidRPr="00925F26" w:rsidRDefault="00524C9D" w:rsidP="00925F26">
      <w:pPr>
        <w:jc w:val="both"/>
        <w:rPr>
          <w:color w:val="000000" w:themeColor="text1"/>
          <w:sz w:val="16"/>
          <w:szCs w:val="16"/>
        </w:rPr>
      </w:pPr>
    </w:p>
    <w:p w14:paraId="59127BA7" w14:textId="77777777" w:rsidR="00A5033B" w:rsidRPr="001A0BAA" w:rsidRDefault="00A5033B" w:rsidP="00A5033B">
      <w:pPr>
        <w:jc w:val="both"/>
        <w:rPr>
          <w:color w:val="0070C0"/>
          <w:sz w:val="16"/>
          <w:szCs w:val="16"/>
        </w:rPr>
      </w:pPr>
      <w:r w:rsidRPr="001A0BAA">
        <w:rPr>
          <w:color w:val="0070C0"/>
          <w:sz w:val="16"/>
          <w:szCs w:val="16"/>
        </w:rPr>
        <w:t>14 марта 1945 года англичане впервые сбросили на Германию десятитонную бомбу "Грэнд Слэм" (Grand Slam) — самый тяжелый и наиболее разрушительный боеприпас, когда-либо примененный в боевых действиях до появления ядерного оружия.</w:t>
      </w:r>
    </w:p>
    <w:p w14:paraId="351EAAEF" w14:textId="77777777" w:rsidR="00A5033B" w:rsidRPr="001A0BAA" w:rsidRDefault="00A5033B" w:rsidP="00A5033B">
      <w:pPr>
        <w:jc w:val="both"/>
        <w:rPr>
          <w:color w:val="0070C0"/>
          <w:sz w:val="16"/>
          <w:szCs w:val="16"/>
        </w:rPr>
      </w:pPr>
      <w:r w:rsidRPr="001A0BAA">
        <w:rPr>
          <w:color w:val="0070C0"/>
          <w:sz w:val="16"/>
          <w:szCs w:val="16"/>
        </w:rPr>
        <w:t>"Грэнд Слэм" имел в носовой части толстостенный стальной боевой блок, способный при падении с высоты в несколько километров пробить более 40 метров грунта или до семи метров железобетона. Такая проникающая способность позволяла "вскрывать" самые мощные и хорошо защищенные подземные бункеры. В первом же вылете с "Грэнд Слэмом" экипаж английского бомбардировщика "Ланкастер" из 617-го авиадивизиона добился большого успеха, разрушив стратегически важный железнодорожный виадук в Билефельде, который англичане ранее многократно, но безуспешно пытались разбомбить обычными бомбами.</w:t>
      </w:r>
    </w:p>
    <w:p w14:paraId="74905090" w14:textId="77777777" w:rsidR="00A5033B" w:rsidRPr="001A0BAA" w:rsidRDefault="00A5033B" w:rsidP="00A5033B">
      <w:pPr>
        <w:jc w:val="both"/>
        <w:rPr>
          <w:color w:val="0070C0"/>
          <w:sz w:val="16"/>
          <w:szCs w:val="16"/>
        </w:rPr>
      </w:pPr>
      <w:r w:rsidRPr="001A0BAA">
        <w:rPr>
          <w:color w:val="0070C0"/>
          <w:sz w:val="16"/>
          <w:szCs w:val="16"/>
        </w:rPr>
        <w:t>Всего было выпущено 99 "десятитонок", из них до конца войны успели сбросить 42. Объектами бомбометания были мосты, виадуки и железобетонные укрытия для подводных лодок. В послевоенный период бомбы аналогичного калибра применялись советской авиацией в Афганистане (девятитонные ФАБ-9000 М-54), проявив высокую эффективность против пещерных укрытий. За три месяца 1988 года бомбардировщики Ту-16 сбросили "за речкой" 289 таких бомб.</w:t>
      </w:r>
    </w:p>
    <w:p w14:paraId="5F6F97ED" w14:textId="77777777" w:rsidR="00A5033B" w:rsidRPr="001A0BAA" w:rsidRDefault="00A5033B" w:rsidP="00A5033B">
      <w:pPr>
        <w:jc w:val="both"/>
        <w:rPr>
          <w:color w:val="0070C0"/>
          <w:sz w:val="16"/>
          <w:szCs w:val="16"/>
        </w:rPr>
      </w:pPr>
      <w:r w:rsidRPr="001A0BAA">
        <w:rPr>
          <w:color w:val="0070C0"/>
          <w:sz w:val="16"/>
          <w:szCs w:val="16"/>
        </w:rPr>
        <w:t>Американцы после войны некоторое время выпускали "Грэнд Слэмы" по лицензии под обозначением М110, а в 1948 году разработали еще более тяжелую 20-тонную противобункерную бомбу Т-12 "Клаудмэйкер", представлявшую собой значительно увеличенный в размерах английский прототип. Однако она никогда не применялась на практике, а в 1959 году была снята с вооружения, так как проигрывала в эффективности ядерным боеприпасам (25718).</w:t>
      </w:r>
    </w:p>
    <w:p w14:paraId="5724436D" w14:textId="77777777" w:rsidR="00A5033B" w:rsidRPr="001A0BAA" w:rsidRDefault="00A5033B" w:rsidP="00A5033B">
      <w:pPr>
        <w:jc w:val="both"/>
        <w:rPr>
          <w:color w:val="0070C0"/>
          <w:sz w:val="16"/>
          <w:szCs w:val="16"/>
        </w:rPr>
      </w:pPr>
    </w:p>
    <w:p w14:paraId="3B28E29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March 14th, 1945: The US Third Army crosses the </w:t>
      </w:r>
      <w:proofErr w:type="gramStart"/>
      <w:r w:rsidRPr="00925F26">
        <w:rPr>
          <w:color w:val="000000" w:themeColor="text1"/>
          <w:sz w:val="16"/>
          <w:szCs w:val="16"/>
          <w:lang w:val="en-US"/>
        </w:rPr>
        <w:t>Moselle river</w:t>
      </w:r>
      <w:proofErr w:type="gramEnd"/>
      <w:r w:rsidRPr="00925F26">
        <w:rPr>
          <w:color w:val="000000" w:themeColor="text1"/>
          <w:sz w:val="16"/>
          <w:szCs w:val="16"/>
          <w:lang w:val="en-US"/>
        </w:rPr>
        <w:t xml:space="preserve"> near Koblenz. In Hungary, the German counterattack to recapture the oilfields near Lake Balaton comes to an end. In East Prussia, the Red Army cuts all communications between Konigsberg and the German forces fighting in the Braunsberg pocket. The US 15th Air Force, taking off from Italian airfields, launches a heavy raid (500 bombers) against Regensburg, while the RAF attacks Wuppertal with 400 aircraft (3819).</w:t>
      </w:r>
    </w:p>
    <w:p w14:paraId="2A88739F" w14:textId="77777777" w:rsidR="00665165" w:rsidRPr="00925F26" w:rsidRDefault="00665165" w:rsidP="00925F26">
      <w:pPr>
        <w:autoSpaceDE w:val="0"/>
        <w:autoSpaceDN w:val="0"/>
        <w:adjustRightInd w:val="0"/>
        <w:jc w:val="both"/>
        <w:rPr>
          <w:color w:val="000000" w:themeColor="text1"/>
          <w:sz w:val="16"/>
          <w:szCs w:val="16"/>
          <w:lang w:val="en-US"/>
        </w:rPr>
      </w:pPr>
    </w:p>
    <w:p w14:paraId="4FC875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3А США форсировала р Мозель у Кобленца. В Венгрии закончилось немецкое наступление для возврата нефтяных промыслов у Балатона. В Восточной Пруссии КА перерезала все коммуникации между Кенигсбергом и немецкими войсками в Браунсбергском котле. 15ВА США, взлетев с аэродромов в Италии , выполнила массированный налет (500 бомбардировщиков) на Регенсбург, а Королевские ВВС бомбили Вуппертал силами 400 самолетов (3819).</w:t>
      </w:r>
    </w:p>
    <w:p w14:paraId="5847E874" w14:textId="77777777" w:rsidR="00665165" w:rsidRPr="00925F26" w:rsidRDefault="00665165" w:rsidP="00925F26">
      <w:pPr>
        <w:autoSpaceDE w:val="0"/>
        <w:autoSpaceDN w:val="0"/>
        <w:adjustRightInd w:val="0"/>
        <w:jc w:val="both"/>
        <w:rPr>
          <w:color w:val="000000" w:themeColor="text1"/>
          <w:sz w:val="16"/>
          <w:szCs w:val="16"/>
        </w:rPr>
      </w:pPr>
    </w:p>
    <w:p w14:paraId="29664EE8" w14:textId="77777777" w:rsidR="00934A89" w:rsidRPr="00925F26" w:rsidRDefault="00934A89" w:rsidP="00925F26">
      <w:pPr>
        <w:jc w:val="both"/>
        <w:rPr>
          <w:color w:val="000000" w:themeColor="text1"/>
          <w:sz w:val="16"/>
          <w:szCs w:val="16"/>
        </w:rPr>
      </w:pPr>
      <w:r w:rsidRPr="00925F26">
        <w:rPr>
          <w:color w:val="000000" w:themeColor="text1"/>
          <w:sz w:val="16"/>
          <w:szCs w:val="16"/>
        </w:rPr>
        <w:t>14 марта 1945 основана компания Transportes Aéreos Portugueses, будущая компания TAP Portugal. Он начнет полеты в сентябре 1946 года (20371).</w:t>
      </w:r>
    </w:p>
    <w:p w14:paraId="54EDDC5E" w14:textId="77777777" w:rsidR="00934A89" w:rsidRPr="00925F26" w:rsidRDefault="00934A89" w:rsidP="00925F26">
      <w:pPr>
        <w:jc w:val="both"/>
        <w:rPr>
          <w:color w:val="000000" w:themeColor="text1"/>
          <w:sz w:val="16"/>
          <w:szCs w:val="16"/>
        </w:rPr>
      </w:pPr>
    </w:p>
    <w:p w14:paraId="59AD84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марта 1945 Чили объявила войну Германии (2100).</w:t>
      </w:r>
    </w:p>
    <w:p w14:paraId="70CCA46E" w14:textId="77777777" w:rsidR="00665165" w:rsidRPr="00925F26" w:rsidRDefault="00665165" w:rsidP="00925F26">
      <w:pPr>
        <w:autoSpaceDE w:val="0"/>
        <w:autoSpaceDN w:val="0"/>
        <w:adjustRightInd w:val="0"/>
        <w:jc w:val="both"/>
        <w:rPr>
          <w:color w:val="000000" w:themeColor="text1"/>
          <w:sz w:val="16"/>
          <w:szCs w:val="16"/>
        </w:rPr>
      </w:pPr>
    </w:p>
    <w:p w14:paraId="75CD08B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5D559BB" w14:textId="77777777" w:rsidR="00665165" w:rsidRPr="00925F26" w:rsidRDefault="00665165" w:rsidP="00925F26">
      <w:pPr>
        <w:autoSpaceDE w:val="0"/>
        <w:autoSpaceDN w:val="0"/>
        <w:adjustRightInd w:val="0"/>
        <w:jc w:val="both"/>
        <w:rPr>
          <w:iCs/>
          <w:color w:val="000000" w:themeColor="text1"/>
          <w:sz w:val="16"/>
          <w:szCs w:val="16"/>
        </w:rPr>
      </w:pPr>
    </w:p>
    <w:p w14:paraId="74E04C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15 марта 1945 Лапин утвердил Акт по контрольным испытаниям Пе-2 винт ВИШ-105СВ с регулятором Р-7А</w:t>
      </w:r>
    </w:p>
    <w:p w14:paraId="5BED38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Пе-2 N 6/424 с ВИШ-105СВ 22 завода выпуска января 1945 с моторами пр-ва завода № 16</w:t>
      </w:r>
    </w:p>
    <w:p w14:paraId="369287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КИ проходили с 17 февраля по 1 марта 1945</w:t>
      </w:r>
    </w:p>
    <w:p w14:paraId="2E64F4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полета продолжительностью 17 час. 5 мин. (806,8).</w:t>
      </w:r>
    </w:p>
    <w:p w14:paraId="71F51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Ви и/к-н М.В.Самочетов</w:t>
      </w:r>
    </w:p>
    <w:p w14:paraId="62AE7A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В.М.Шульгин.</w:t>
      </w:r>
    </w:p>
    <w:p w14:paraId="5AA8EF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предыдущих испытаний.</w:t>
      </w:r>
    </w:p>
    <w:p w14:paraId="1E0248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октябре 1944 в НИИ ВВС испытывался серийный Пе-2 № 14/350 пр-ва з-да 22, выпуска июля 1944 с мотором з-да № 16.</w:t>
      </w:r>
    </w:p>
    <w:p w14:paraId="58B1C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36CE9B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2F29EF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76DA0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24E95B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с-та № 14/350, испытанного в октябре 1944 в ГК НИИ ВВС, с-т № 6/424 отличается:</w:t>
      </w:r>
    </w:p>
    <w:p w14:paraId="2777D3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с-ту</w:t>
      </w:r>
    </w:p>
    <w:p w14:paraId="3AE7CE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улучшена аэродинамика с-та</w:t>
      </w:r>
    </w:p>
    <w:p w14:paraId="69E9A9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улучшена заделка обшивки на стыках агрегатов, ленты перекрытия сняты, а обшивка соединена встык</w:t>
      </w:r>
    </w:p>
    <w:p w14:paraId="44275B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установлена металлическая перегородка герметизации в Ф-3</w:t>
      </w:r>
    </w:p>
    <w:p w14:paraId="34F9CE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Подшпаклеваны носки крыла, ЦП, Ф-1, стабилизатора и килей</w:t>
      </w:r>
    </w:p>
    <w:p w14:paraId="6E7C3D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2F4AEE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установлены форточки на амбразуры для бортового пулемета и т.п.</w:t>
      </w:r>
    </w:p>
    <w:p w14:paraId="68A9BD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52C8E2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7FA5D7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агрегат газового запуска мотора</w:t>
      </w:r>
    </w:p>
    <w:p w14:paraId="183FF6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w:t>
      </w:r>
    </w:p>
    <w:p w14:paraId="68EE47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Установлена однолучевая антенна для РСБ-3бис и РПК-10 по образцу, испытанному в 1944</w:t>
      </w:r>
    </w:p>
    <w:p w14:paraId="1842F4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Установлен кислородный прибор КП-12 вместо КПА-3бис</w:t>
      </w:r>
    </w:p>
    <w:p w14:paraId="5B9C60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1941C3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6047, цт 23.1%</w:t>
      </w:r>
    </w:p>
    <w:p w14:paraId="0AEDF7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 8405 26,5%</w:t>
      </w:r>
    </w:p>
    <w:p w14:paraId="664F0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 8805 26,2%</w:t>
      </w:r>
    </w:p>
    <w:p w14:paraId="002353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Нагрузки нормального полетного веса:</w:t>
      </w:r>
    </w:p>
    <w:p w14:paraId="664F6C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- 270</w:t>
      </w:r>
    </w:p>
    <w:p w14:paraId="100D9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- 1100</w:t>
      </w:r>
    </w:p>
    <w:p w14:paraId="742815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- 120</w:t>
      </w:r>
    </w:p>
    <w:p w14:paraId="40CA23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пулеметы - 84</w:t>
      </w:r>
    </w:p>
    <w:p w14:paraId="25D214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б/запас - 112</w:t>
      </w:r>
    </w:p>
    <w:p w14:paraId="075B94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бомбы с замками (внешняя подвеска) - 607</w:t>
      </w:r>
    </w:p>
    <w:p w14:paraId="5F580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спецоборудование - 65</w:t>
      </w:r>
    </w:p>
    <w:p w14:paraId="4EC136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2358</w:t>
      </w:r>
    </w:p>
    <w:p w14:paraId="65646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Дополнительная нагрузка - 4хФАБ-100 = 400</w:t>
      </w:r>
    </w:p>
    <w:p w14:paraId="56FAC2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w:t>
      </w:r>
    </w:p>
    <w:p w14:paraId="6D05A1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- 468 км/час</w:t>
      </w:r>
    </w:p>
    <w:p w14:paraId="0C1BA5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гр. высотности - 513 км/час</w:t>
      </w:r>
    </w:p>
    <w:p w14:paraId="1B9CD2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 гр. высотности - 527 км/час</w:t>
      </w:r>
    </w:p>
    <w:p w14:paraId="6A544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- 9,7, 8200 м - 34</w:t>
      </w:r>
    </w:p>
    <w:p w14:paraId="3E7BB7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1000 м на наивыгоднейшей скорости 310 км/час, 1750 оборотах - 1220 км</w:t>
      </w:r>
    </w:p>
    <w:p w14:paraId="2B4DB1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 - 490, пробег - 565</w:t>
      </w:r>
    </w:p>
    <w:p w14:paraId="5E8E71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F5689" w:rsidRPr="00925F26" w14:paraId="0600D4AE" w14:textId="77777777">
        <w:tc>
          <w:tcPr>
            <w:tcW w:w="2802" w:type="dxa"/>
            <w:tcBorders>
              <w:top w:val="single" w:sz="12" w:space="0" w:color="auto"/>
            </w:tcBorders>
          </w:tcPr>
          <w:p w14:paraId="19B762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2B4605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2802" w:type="dxa"/>
            <w:tcBorders>
              <w:top w:val="single" w:sz="12" w:space="0" w:color="auto"/>
            </w:tcBorders>
          </w:tcPr>
          <w:p w14:paraId="385DEA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r>
      <w:tr w:rsidR="000F5689" w:rsidRPr="00925F26" w14:paraId="6A3D916C" w14:textId="77777777">
        <w:tc>
          <w:tcPr>
            <w:tcW w:w="2802" w:type="dxa"/>
          </w:tcPr>
          <w:p w14:paraId="68EBC4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37EE3D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802" w:type="dxa"/>
          </w:tcPr>
          <w:p w14:paraId="49BCC7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w:t>
            </w:r>
          </w:p>
        </w:tc>
      </w:tr>
      <w:tr w:rsidR="000F5689" w:rsidRPr="00925F26" w14:paraId="2D1D1AC4" w14:textId="77777777">
        <w:tc>
          <w:tcPr>
            <w:tcW w:w="2802" w:type="dxa"/>
          </w:tcPr>
          <w:p w14:paraId="5700D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2050</w:t>
            </w:r>
          </w:p>
        </w:tc>
        <w:tc>
          <w:tcPr>
            <w:tcW w:w="2802" w:type="dxa"/>
          </w:tcPr>
          <w:p w14:paraId="555DBA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w:t>
            </w:r>
          </w:p>
        </w:tc>
        <w:tc>
          <w:tcPr>
            <w:tcW w:w="2802" w:type="dxa"/>
          </w:tcPr>
          <w:p w14:paraId="07BB07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1080</w:t>
            </w:r>
          </w:p>
        </w:tc>
      </w:tr>
      <w:tr w:rsidR="000F5689" w:rsidRPr="00925F26" w14:paraId="0CAA795D" w14:textId="77777777">
        <w:tc>
          <w:tcPr>
            <w:tcW w:w="2802" w:type="dxa"/>
          </w:tcPr>
          <w:p w14:paraId="50989E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2650</w:t>
            </w:r>
          </w:p>
        </w:tc>
        <w:tc>
          <w:tcPr>
            <w:tcW w:w="2802" w:type="dxa"/>
          </w:tcPr>
          <w:p w14:paraId="0A0C4C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504</w:t>
            </w:r>
          </w:p>
        </w:tc>
        <w:tc>
          <w:tcPr>
            <w:tcW w:w="2802" w:type="dxa"/>
          </w:tcPr>
          <w:p w14:paraId="14CCB7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970</w:t>
            </w:r>
          </w:p>
        </w:tc>
      </w:tr>
      <w:tr w:rsidR="000F5689" w:rsidRPr="00925F26" w14:paraId="7AA43D12" w14:textId="77777777">
        <w:tc>
          <w:tcPr>
            <w:tcW w:w="2802" w:type="dxa"/>
          </w:tcPr>
          <w:p w14:paraId="02FE8F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3060</w:t>
            </w:r>
          </w:p>
        </w:tc>
        <w:tc>
          <w:tcPr>
            <w:tcW w:w="2802" w:type="dxa"/>
          </w:tcPr>
          <w:p w14:paraId="7ADF42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w:t>
            </w:r>
          </w:p>
        </w:tc>
        <w:tc>
          <w:tcPr>
            <w:tcW w:w="2802" w:type="dxa"/>
          </w:tcPr>
          <w:p w14:paraId="620BD2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r>
      <w:tr w:rsidR="000F5689" w:rsidRPr="00925F26" w14:paraId="3A73F506" w14:textId="77777777">
        <w:tc>
          <w:tcPr>
            <w:tcW w:w="2802" w:type="dxa"/>
          </w:tcPr>
          <w:p w14:paraId="09C7D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52FDF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512,5</w:t>
            </w:r>
          </w:p>
        </w:tc>
        <w:tc>
          <w:tcPr>
            <w:tcW w:w="2802" w:type="dxa"/>
          </w:tcPr>
          <w:p w14:paraId="74E2C3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w:t>
            </w:r>
          </w:p>
        </w:tc>
      </w:tr>
      <w:tr w:rsidR="000F5689" w:rsidRPr="00925F26" w14:paraId="4612C36D" w14:textId="77777777">
        <w:tc>
          <w:tcPr>
            <w:tcW w:w="2802" w:type="dxa"/>
          </w:tcPr>
          <w:p w14:paraId="0D8BBF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2802" w:type="dxa"/>
          </w:tcPr>
          <w:p w14:paraId="452DF1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w:t>
            </w:r>
          </w:p>
        </w:tc>
        <w:tc>
          <w:tcPr>
            <w:tcW w:w="2802" w:type="dxa"/>
          </w:tcPr>
          <w:p w14:paraId="0EA409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690</w:t>
            </w:r>
          </w:p>
        </w:tc>
      </w:tr>
      <w:tr w:rsidR="000F5689" w:rsidRPr="00925F26" w14:paraId="46DFFDD1" w14:textId="77777777">
        <w:tc>
          <w:tcPr>
            <w:tcW w:w="2802" w:type="dxa"/>
            <w:tcBorders>
              <w:bottom w:val="single" w:sz="12" w:space="0" w:color="auto"/>
            </w:tcBorders>
          </w:tcPr>
          <w:p w14:paraId="58E007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258087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c>
          <w:tcPr>
            <w:tcW w:w="2802" w:type="dxa"/>
            <w:tcBorders>
              <w:bottom w:val="single" w:sz="12" w:space="0" w:color="auto"/>
            </w:tcBorders>
          </w:tcPr>
          <w:p w14:paraId="4ECA6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r>
    </w:tbl>
    <w:p w14:paraId="1A1909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4D9AC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925F26" w14:paraId="6123B8D5" w14:textId="77777777">
        <w:tc>
          <w:tcPr>
            <w:tcW w:w="2802" w:type="dxa"/>
            <w:tcBorders>
              <w:top w:val="single" w:sz="12" w:space="0" w:color="auto"/>
            </w:tcBorders>
          </w:tcPr>
          <w:p w14:paraId="45EE2A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2802" w:type="dxa"/>
            <w:tcBorders>
              <w:top w:val="single" w:sz="12" w:space="0" w:color="auto"/>
            </w:tcBorders>
          </w:tcPr>
          <w:p w14:paraId="5CEA05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Верт. Скорость </w:t>
            </w:r>
          </w:p>
        </w:tc>
        <w:tc>
          <w:tcPr>
            <w:tcW w:w="2802" w:type="dxa"/>
            <w:tcBorders>
              <w:top w:val="single" w:sz="12" w:space="0" w:color="auto"/>
            </w:tcBorders>
          </w:tcPr>
          <w:p w14:paraId="18EE4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Рк</w:t>
            </w:r>
          </w:p>
        </w:tc>
        <w:tc>
          <w:tcPr>
            <w:tcW w:w="2802" w:type="dxa"/>
            <w:tcBorders>
              <w:top w:val="single" w:sz="12" w:space="0" w:color="auto"/>
            </w:tcBorders>
          </w:tcPr>
          <w:p w14:paraId="08B9F6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 скорость</w:t>
            </w:r>
          </w:p>
        </w:tc>
      </w:tr>
      <w:tr w:rsidR="000F5689" w:rsidRPr="00925F26" w14:paraId="22443F6F" w14:textId="77777777">
        <w:tc>
          <w:tcPr>
            <w:tcW w:w="2802" w:type="dxa"/>
          </w:tcPr>
          <w:p w14:paraId="3276BE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2802" w:type="dxa"/>
          </w:tcPr>
          <w:p w14:paraId="107F25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w:t>
            </w:r>
          </w:p>
        </w:tc>
        <w:tc>
          <w:tcPr>
            <w:tcW w:w="2802" w:type="dxa"/>
          </w:tcPr>
          <w:p w14:paraId="78C33A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1040</w:t>
            </w:r>
          </w:p>
        </w:tc>
        <w:tc>
          <w:tcPr>
            <w:tcW w:w="2802" w:type="dxa"/>
          </w:tcPr>
          <w:p w14:paraId="74BA1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4E9B7BCE" w14:textId="77777777">
        <w:tc>
          <w:tcPr>
            <w:tcW w:w="2802" w:type="dxa"/>
          </w:tcPr>
          <w:p w14:paraId="2F4254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2100</w:t>
            </w:r>
          </w:p>
        </w:tc>
        <w:tc>
          <w:tcPr>
            <w:tcW w:w="2802" w:type="dxa"/>
          </w:tcPr>
          <w:p w14:paraId="1EC2B1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802" w:type="dxa"/>
          </w:tcPr>
          <w:p w14:paraId="2E2105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960</w:t>
            </w:r>
          </w:p>
        </w:tc>
        <w:tc>
          <w:tcPr>
            <w:tcW w:w="2802" w:type="dxa"/>
          </w:tcPr>
          <w:p w14:paraId="43E54BD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D911B86" w14:textId="77777777">
        <w:tc>
          <w:tcPr>
            <w:tcW w:w="2802" w:type="dxa"/>
          </w:tcPr>
          <w:p w14:paraId="3DE95B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гр. 3400</w:t>
            </w:r>
          </w:p>
        </w:tc>
        <w:tc>
          <w:tcPr>
            <w:tcW w:w="2802" w:type="dxa"/>
          </w:tcPr>
          <w:p w14:paraId="3C6C5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2802" w:type="dxa"/>
          </w:tcPr>
          <w:p w14:paraId="246C1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1075</w:t>
            </w:r>
          </w:p>
        </w:tc>
        <w:tc>
          <w:tcPr>
            <w:tcW w:w="2802" w:type="dxa"/>
          </w:tcPr>
          <w:p w14:paraId="6153F95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E2ACDB4" w14:textId="77777777">
        <w:tc>
          <w:tcPr>
            <w:tcW w:w="2802" w:type="dxa"/>
          </w:tcPr>
          <w:p w14:paraId="72D9E8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2802" w:type="dxa"/>
          </w:tcPr>
          <w:p w14:paraId="2CAEDF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2802" w:type="dxa"/>
          </w:tcPr>
          <w:p w14:paraId="4BBB3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w:t>
            </w:r>
          </w:p>
        </w:tc>
        <w:tc>
          <w:tcPr>
            <w:tcW w:w="2802" w:type="dxa"/>
          </w:tcPr>
          <w:p w14:paraId="6750B4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r>
      <w:tr w:rsidR="000F5689" w:rsidRPr="00925F26" w14:paraId="19861A37" w14:textId="77777777">
        <w:tc>
          <w:tcPr>
            <w:tcW w:w="2802" w:type="dxa"/>
            <w:tcBorders>
              <w:bottom w:val="single" w:sz="12" w:space="0" w:color="auto"/>
            </w:tcBorders>
          </w:tcPr>
          <w:p w14:paraId="6B223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2802" w:type="dxa"/>
            <w:tcBorders>
              <w:bottom w:val="single" w:sz="12" w:space="0" w:color="auto"/>
            </w:tcBorders>
          </w:tcPr>
          <w:p w14:paraId="1A668C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2802" w:type="dxa"/>
            <w:tcBorders>
              <w:bottom w:val="single" w:sz="12" w:space="0" w:color="auto"/>
            </w:tcBorders>
          </w:tcPr>
          <w:p w14:paraId="6B2ACD9E"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Borders>
              <w:bottom w:val="single" w:sz="12" w:space="0" w:color="auto"/>
            </w:tcBorders>
          </w:tcPr>
          <w:p w14:paraId="641F22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r>
    </w:tbl>
    <w:p w14:paraId="48A875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01AB52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Посадка с тормозами на 50 гр. посадочная скорость 140 км/час при полетном весе 7200 кг, дистанция - 1160 м</w:t>
      </w:r>
    </w:p>
    <w:p w14:paraId="247FE0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58D875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Носовой ШКАС и УБК неподвижные + УБТ на ВУБ-1 и УБТ на ЛУ + бортовые ШКАС</w:t>
      </w:r>
    </w:p>
    <w:p w14:paraId="031AB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33BAE3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двусторонней радиосвязи с наземной р/с РАФ-КВ-3 на 1000 м - телефон 360, телеграф - 400</w:t>
      </w:r>
    </w:p>
    <w:p w14:paraId="23AD30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Оценка производственного выполнения:</w:t>
      </w:r>
    </w:p>
    <w:p w14:paraId="461826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279851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волнистость обшивки, низкое качество покраски, отставание и неравномерное нанесение краски</w:t>
      </w:r>
    </w:p>
    <w:p w14:paraId="19727B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створки бомборлюка плотно не закрываются, остаются щели</w:t>
      </w:r>
    </w:p>
    <w:p w14:paraId="57EADA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боковые форточки фонаря кабины л плохо подогнаны, открываются и закрываются с большим усилием</w:t>
      </w:r>
    </w:p>
    <w:p w14:paraId="67DEE2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монтаж трубопроводов на моторе выполнен плохо, течи воды, масла, бензина</w:t>
      </w:r>
    </w:p>
    <w:p w14:paraId="6CAE3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71E935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1AC540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а) дышать стало трудновстречается большое сопротивление на вдохе</w:t>
      </w:r>
    </w:p>
    <w:p w14:paraId="1C3F8C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4CF196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шланг тяжелый и жесткий, что затрудняет движение в кабине</w:t>
      </w:r>
    </w:p>
    <w:p w14:paraId="6B360B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1359B9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 в существующем виде прибор КП-12 не может быть рекомендован для установки на серийные Пе-2</w:t>
      </w:r>
    </w:p>
    <w:p w14:paraId="743F0E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 подписали 6 марта 1945</w:t>
      </w:r>
    </w:p>
    <w:p w14:paraId="3218FD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0F5689" w:rsidRPr="00925F26" w14:paraId="57399369" w14:textId="77777777">
        <w:tc>
          <w:tcPr>
            <w:tcW w:w="3936" w:type="dxa"/>
            <w:tcBorders>
              <w:top w:val="single" w:sz="12" w:space="0" w:color="auto"/>
            </w:tcBorders>
          </w:tcPr>
          <w:p w14:paraId="03CAC7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2236" w:type="dxa"/>
            <w:tcBorders>
              <w:top w:val="single" w:sz="12" w:space="0" w:color="auto"/>
            </w:tcBorders>
          </w:tcPr>
          <w:p w14:paraId="154BA8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128018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 14/350 2ВК-105ПФ с полетным весом 8400 кг, испытанным в НИИ ВВС в октябре 1944</w:t>
            </w:r>
          </w:p>
        </w:tc>
      </w:tr>
      <w:tr w:rsidR="000F5689" w:rsidRPr="00925F26" w14:paraId="498E24FE" w14:textId="77777777">
        <w:tc>
          <w:tcPr>
            <w:tcW w:w="3936" w:type="dxa"/>
          </w:tcPr>
          <w:p w14:paraId="56D90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номинальном режиме а) у земли</w:t>
            </w:r>
          </w:p>
          <w:p w14:paraId="6020022E" w14:textId="77777777" w:rsidR="00665165" w:rsidRPr="00925F26" w:rsidRDefault="00665165" w:rsidP="00925F26">
            <w:pPr>
              <w:autoSpaceDE w:val="0"/>
              <w:autoSpaceDN w:val="0"/>
              <w:adjustRightInd w:val="0"/>
              <w:jc w:val="both"/>
              <w:rPr>
                <w:color w:val="000000" w:themeColor="text1"/>
                <w:sz w:val="16"/>
                <w:szCs w:val="16"/>
              </w:rPr>
            </w:pPr>
          </w:p>
        </w:tc>
        <w:tc>
          <w:tcPr>
            <w:tcW w:w="2236" w:type="dxa"/>
          </w:tcPr>
          <w:p w14:paraId="47008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w:t>
            </w:r>
          </w:p>
        </w:tc>
        <w:tc>
          <w:tcPr>
            <w:tcW w:w="2236" w:type="dxa"/>
          </w:tcPr>
          <w:p w14:paraId="794E3D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457</w:t>
            </w:r>
          </w:p>
        </w:tc>
      </w:tr>
      <w:tr w:rsidR="000F5689" w:rsidRPr="00925F26" w14:paraId="73FBFE54" w14:textId="77777777">
        <w:tc>
          <w:tcPr>
            <w:tcW w:w="3936" w:type="dxa"/>
          </w:tcPr>
          <w:p w14:paraId="6D2DF3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 1 гр. высотности</w:t>
            </w:r>
          </w:p>
        </w:tc>
        <w:tc>
          <w:tcPr>
            <w:tcW w:w="2236" w:type="dxa"/>
          </w:tcPr>
          <w:p w14:paraId="16F381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513/2500</w:t>
            </w:r>
          </w:p>
        </w:tc>
        <w:tc>
          <w:tcPr>
            <w:tcW w:w="2236" w:type="dxa"/>
          </w:tcPr>
          <w:p w14:paraId="16C739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499/1850</w:t>
            </w:r>
          </w:p>
        </w:tc>
      </w:tr>
      <w:tr w:rsidR="000F5689" w:rsidRPr="00925F26" w14:paraId="52600AF2" w14:textId="77777777">
        <w:tc>
          <w:tcPr>
            <w:tcW w:w="3936" w:type="dxa"/>
          </w:tcPr>
          <w:p w14:paraId="2558D8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 2 гр. высотности</w:t>
            </w:r>
          </w:p>
        </w:tc>
        <w:tc>
          <w:tcPr>
            <w:tcW w:w="2236" w:type="dxa"/>
          </w:tcPr>
          <w:p w14:paraId="5C8897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527/3900</w:t>
            </w:r>
          </w:p>
        </w:tc>
        <w:tc>
          <w:tcPr>
            <w:tcW w:w="2236" w:type="dxa"/>
          </w:tcPr>
          <w:p w14:paraId="7F17E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513/3700</w:t>
            </w:r>
          </w:p>
        </w:tc>
      </w:tr>
      <w:tr w:rsidR="000F5689" w:rsidRPr="00925F26" w14:paraId="7FA85AB3" w14:textId="77777777">
        <w:tc>
          <w:tcPr>
            <w:tcW w:w="3936" w:type="dxa"/>
          </w:tcPr>
          <w:p w14:paraId="4990C8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подъема на 5000 м</w:t>
            </w:r>
          </w:p>
        </w:tc>
        <w:tc>
          <w:tcPr>
            <w:tcW w:w="2236" w:type="dxa"/>
          </w:tcPr>
          <w:p w14:paraId="527211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c>
          <w:tcPr>
            <w:tcW w:w="2236" w:type="dxa"/>
          </w:tcPr>
          <w:p w14:paraId="7D0D3B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w:t>
            </w:r>
          </w:p>
        </w:tc>
      </w:tr>
      <w:tr w:rsidR="000F5689" w:rsidRPr="00925F26" w14:paraId="751ECFC5" w14:textId="77777777">
        <w:tc>
          <w:tcPr>
            <w:tcW w:w="3936" w:type="dxa"/>
          </w:tcPr>
          <w:p w14:paraId="78AC7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2236" w:type="dxa"/>
          </w:tcPr>
          <w:p w14:paraId="0B4C93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236" w:type="dxa"/>
          </w:tcPr>
          <w:p w14:paraId="13C484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7500</w:t>
            </w:r>
          </w:p>
        </w:tc>
      </w:tr>
      <w:tr w:rsidR="000F5689" w:rsidRPr="00925F26" w14:paraId="47755845" w14:textId="77777777">
        <w:tc>
          <w:tcPr>
            <w:tcW w:w="3936" w:type="dxa"/>
          </w:tcPr>
          <w:p w14:paraId="3A15A6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набора 8000 м </w:t>
            </w:r>
          </w:p>
        </w:tc>
        <w:tc>
          <w:tcPr>
            <w:tcW w:w="2236" w:type="dxa"/>
          </w:tcPr>
          <w:p w14:paraId="6BA68E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2236" w:type="dxa"/>
          </w:tcPr>
          <w:p w14:paraId="6FB9D6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r>
      <w:tr w:rsidR="000F5689" w:rsidRPr="00925F26" w14:paraId="4AD27946" w14:textId="77777777">
        <w:tc>
          <w:tcPr>
            <w:tcW w:w="3936" w:type="dxa"/>
          </w:tcPr>
          <w:p w14:paraId="7BC82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236" w:type="dxa"/>
          </w:tcPr>
          <w:p w14:paraId="480727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c>
          <w:tcPr>
            <w:tcW w:w="2236" w:type="dxa"/>
          </w:tcPr>
          <w:p w14:paraId="557A2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1207</w:t>
            </w:r>
          </w:p>
        </w:tc>
      </w:tr>
      <w:tr w:rsidR="000F5689" w:rsidRPr="00925F26" w14:paraId="565F03C9" w14:textId="77777777">
        <w:tc>
          <w:tcPr>
            <w:tcW w:w="3936" w:type="dxa"/>
          </w:tcPr>
          <w:p w14:paraId="07834D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236" w:type="dxa"/>
          </w:tcPr>
          <w:p w14:paraId="533A02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490</w:t>
            </w:r>
          </w:p>
        </w:tc>
        <w:tc>
          <w:tcPr>
            <w:tcW w:w="2236" w:type="dxa"/>
          </w:tcPr>
          <w:p w14:paraId="738F2A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4D32CF65" w14:textId="77777777">
        <w:tc>
          <w:tcPr>
            <w:tcW w:w="3936" w:type="dxa"/>
            <w:tcBorders>
              <w:bottom w:val="single" w:sz="12" w:space="0" w:color="auto"/>
            </w:tcBorders>
          </w:tcPr>
          <w:p w14:paraId="16211D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отрыва</w:t>
            </w:r>
          </w:p>
        </w:tc>
        <w:tc>
          <w:tcPr>
            <w:tcW w:w="2236" w:type="dxa"/>
            <w:tcBorders>
              <w:bottom w:val="single" w:sz="12" w:space="0" w:color="auto"/>
            </w:tcBorders>
          </w:tcPr>
          <w:p w14:paraId="0F6FA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2236" w:type="dxa"/>
            <w:tcBorders>
              <w:bottom w:val="single" w:sz="12" w:space="0" w:color="auto"/>
            </w:tcBorders>
          </w:tcPr>
          <w:p w14:paraId="4925E0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r>
    </w:tbl>
    <w:p w14:paraId="314B33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2D0C3E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49D37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F90F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Невозможно окрыть входной люк из кабины пилота</w:t>
      </w:r>
    </w:p>
    <w:p w14:paraId="0704F1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Отсутствует противокапотажная рама</w:t>
      </w:r>
    </w:p>
    <w:p w14:paraId="63AD7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Обшивка с-та имеет вмятины, покраска - плохая</w:t>
      </w:r>
    </w:p>
    <w:p w14:paraId="10FB35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Нач. 1 У м/п/п Паукер 6 марта, Нач. 1 У гмиас Сафонов 7 марта и Зам. Нач. ГУ ИАС Лосюков 10 марта 1945 (806,8).</w:t>
      </w:r>
    </w:p>
    <w:p w14:paraId="1033DF42" w14:textId="77777777" w:rsidR="00665165" w:rsidRPr="00925F26" w:rsidRDefault="00665165" w:rsidP="00925F26">
      <w:pPr>
        <w:autoSpaceDE w:val="0"/>
        <w:autoSpaceDN w:val="0"/>
        <w:adjustRightInd w:val="0"/>
        <w:jc w:val="both"/>
        <w:rPr>
          <w:color w:val="000000" w:themeColor="text1"/>
          <w:sz w:val="16"/>
          <w:szCs w:val="16"/>
        </w:rPr>
      </w:pPr>
    </w:p>
    <w:p w14:paraId="3108A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года вышел приказ НКАП № 95</w:t>
      </w:r>
    </w:p>
    <w:p w14:paraId="34FA04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проведения второго этапа летных испытаний на заводе № 22 на продолжительность и выявления надежности самолета Пе-8 с моторами АЧ-30Б в пассажирском варианте, назначить летчиком-испытателем майора Говорова Б.Г. (8962).</w:t>
      </w:r>
    </w:p>
    <w:p w14:paraId="769359F5" w14:textId="77777777" w:rsidR="00665165" w:rsidRPr="00925F26" w:rsidRDefault="00665165" w:rsidP="00925F26">
      <w:pPr>
        <w:autoSpaceDE w:val="0"/>
        <w:autoSpaceDN w:val="0"/>
        <w:adjustRightInd w:val="0"/>
        <w:jc w:val="both"/>
        <w:rPr>
          <w:color w:val="000000" w:themeColor="text1"/>
          <w:sz w:val="16"/>
          <w:szCs w:val="16"/>
        </w:rPr>
      </w:pPr>
    </w:p>
    <w:p w14:paraId="0DEF13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после получения летного мотора первый опытный экземпляр самолета И-250 передали на заводские испытания (6000).</w:t>
      </w:r>
    </w:p>
    <w:p w14:paraId="27D671DE" w14:textId="77777777" w:rsidR="00665165" w:rsidRPr="00925F26" w:rsidRDefault="00665165" w:rsidP="00925F26">
      <w:pPr>
        <w:autoSpaceDE w:val="0"/>
        <w:autoSpaceDN w:val="0"/>
        <w:adjustRightInd w:val="0"/>
        <w:jc w:val="both"/>
        <w:rPr>
          <w:color w:val="000000" w:themeColor="text1"/>
          <w:sz w:val="16"/>
          <w:szCs w:val="16"/>
        </w:rPr>
      </w:pPr>
    </w:p>
    <w:p w14:paraId="3DC057CC" w14:textId="77777777" w:rsidR="00A5033B" w:rsidRPr="001A0BAA" w:rsidRDefault="00A5033B" w:rsidP="00A5033B">
      <w:pPr>
        <w:jc w:val="both"/>
        <w:rPr>
          <w:color w:val="0070C0"/>
          <w:sz w:val="16"/>
          <w:szCs w:val="16"/>
        </w:rPr>
      </w:pPr>
      <w:r w:rsidRPr="001A0BAA">
        <w:rPr>
          <w:color w:val="0070C0"/>
          <w:sz w:val="16"/>
          <w:szCs w:val="16"/>
        </w:rPr>
        <w:t>15 марта 1945 г. после получения летного мотора первый опытный экземпляр самолета И-250 передали на заводские испытания. Ответственными за их проведение в соответствии с приказом НКАП №125 от 28 марта 1945 года назначили летчика-испытателя А.П. Деева, а также ведущих инженеров В.Н.Сорокина от ОКБ-155 (по самолету) и А.И.Комиссарова от ЦИАМа (по ВРДК). Истребитель И-250 №01 совершил первый полет 4 апреля 1945 года (24925).</w:t>
      </w:r>
    </w:p>
    <w:p w14:paraId="16F50621" w14:textId="77777777" w:rsidR="00A5033B" w:rsidRPr="001A0BAA" w:rsidRDefault="00A5033B" w:rsidP="00A5033B">
      <w:pPr>
        <w:jc w:val="both"/>
        <w:rPr>
          <w:color w:val="0070C0"/>
          <w:sz w:val="16"/>
          <w:szCs w:val="16"/>
        </w:rPr>
      </w:pPr>
    </w:p>
    <w:p w14:paraId="7ADA3D6F" w14:textId="77777777" w:rsidR="00A5033B" w:rsidRPr="001A0BAA" w:rsidRDefault="00A5033B" w:rsidP="00A5033B">
      <w:pPr>
        <w:jc w:val="both"/>
        <w:rPr>
          <w:color w:val="0070C0"/>
          <w:sz w:val="16"/>
          <w:szCs w:val="16"/>
        </w:rPr>
      </w:pPr>
      <w:r w:rsidRPr="001A0BAA">
        <w:rPr>
          <w:color w:val="0070C0"/>
          <w:sz w:val="16"/>
          <w:szCs w:val="16"/>
        </w:rPr>
        <w:t>15 марта 1945 года Постановлением ГКО № 5404 от задавался взлетный вес УТИ Ла-7 не более 3250 кг, но уло</w:t>
      </w:r>
      <w:r w:rsidRPr="001A0BAA">
        <w:rPr>
          <w:color w:val="0070C0"/>
          <w:sz w:val="16"/>
          <w:szCs w:val="16"/>
        </w:rPr>
        <w:softHyphen/>
        <w:t>житься в него не удалось (24988).</w:t>
      </w:r>
    </w:p>
    <w:p w14:paraId="2173D798" w14:textId="77777777" w:rsidR="00A5033B" w:rsidRPr="001A0BAA" w:rsidRDefault="00A5033B" w:rsidP="00A5033B">
      <w:pPr>
        <w:jc w:val="both"/>
        <w:rPr>
          <w:color w:val="0070C0"/>
          <w:sz w:val="16"/>
          <w:szCs w:val="16"/>
        </w:rPr>
      </w:pPr>
    </w:p>
    <w:p w14:paraId="68DB0A7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62C851E" w14:textId="77777777" w:rsidR="00665165" w:rsidRPr="00925F26" w:rsidRDefault="00665165" w:rsidP="00925F26">
      <w:pPr>
        <w:autoSpaceDE w:val="0"/>
        <w:autoSpaceDN w:val="0"/>
        <w:adjustRightInd w:val="0"/>
        <w:jc w:val="both"/>
        <w:rPr>
          <w:iCs/>
          <w:color w:val="000000" w:themeColor="text1"/>
          <w:sz w:val="16"/>
          <w:szCs w:val="16"/>
        </w:rPr>
      </w:pPr>
    </w:p>
    <w:p w14:paraId="3F586C7D" w14:textId="77777777" w:rsidR="00A5033B" w:rsidRPr="001A0BAA" w:rsidRDefault="00A5033B" w:rsidP="00A5033B">
      <w:pPr>
        <w:jc w:val="both"/>
        <w:rPr>
          <w:color w:val="0070C0"/>
          <w:sz w:val="16"/>
          <w:szCs w:val="16"/>
        </w:rPr>
      </w:pPr>
      <w:r w:rsidRPr="001A0BAA">
        <w:rPr>
          <w:color w:val="0070C0"/>
          <w:sz w:val="16"/>
          <w:szCs w:val="16"/>
        </w:rPr>
        <w:t>15 марта 1945 года в от</w:t>
      </w:r>
      <w:r w:rsidRPr="001A0BAA">
        <w:rPr>
          <w:color w:val="0070C0"/>
          <w:sz w:val="16"/>
          <w:szCs w:val="16"/>
        </w:rPr>
        <w:softHyphen/>
        <w:t>чете завода № 75 говорилось следу</w:t>
      </w:r>
      <w:r w:rsidRPr="001A0BAA">
        <w:rPr>
          <w:color w:val="0070C0"/>
          <w:sz w:val="16"/>
          <w:szCs w:val="16"/>
        </w:rPr>
        <w:softHyphen/>
        <w:t>ющее:</w:t>
      </w:r>
    </w:p>
    <w:p w14:paraId="3E46C230" w14:textId="77777777" w:rsidR="00A5033B" w:rsidRPr="001A0BAA" w:rsidRDefault="00A5033B" w:rsidP="00A5033B">
      <w:pPr>
        <w:jc w:val="both"/>
        <w:rPr>
          <w:color w:val="0070C0"/>
          <w:sz w:val="16"/>
          <w:szCs w:val="16"/>
        </w:rPr>
      </w:pPr>
      <w:r w:rsidRPr="001A0BAA">
        <w:rPr>
          <w:color w:val="0070C0"/>
          <w:sz w:val="16"/>
          <w:szCs w:val="16"/>
        </w:rPr>
        <w:t>«Металлами и другими покупными деталя</w:t>
      </w:r>
      <w:r w:rsidRPr="001A0BAA">
        <w:rPr>
          <w:color w:val="0070C0"/>
          <w:sz w:val="16"/>
          <w:szCs w:val="16"/>
        </w:rPr>
        <w:softHyphen/>
        <w:t>ми и оборудованием программа завода обе</w:t>
      </w:r>
      <w:r w:rsidRPr="001A0BAA">
        <w:rPr>
          <w:color w:val="0070C0"/>
          <w:sz w:val="16"/>
          <w:szCs w:val="16"/>
        </w:rPr>
        <w:softHyphen/>
        <w:t>спечена в достаточном количестве. По элек</w:t>
      </w:r>
      <w:r w:rsidRPr="001A0BAA">
        <w:rPr>
          <w:color w:val="0070C0"/>
          <w:sz w:val="16"/>
          <w:szCs w:val="16"/>
        </w:rPr>
        <w:softHyphen/>
        <w:t>троэнергии завод ограничений не имеет.</w:t>
      </w:r>
    </w:p>
    <w:p w14:paraId="3B948FEB" w14:textId="77777777" w:rsidR="00A5033B" w:rsidRPr="001A0BAA" w:rsidRDefault="00A5033B" w:rsidP="00A5033B">
      <w:pPr>
        <w:jc w:val="both"/>
        <w:rPr>
          <w:color w:val="0070C0"/>
          <w:sz w:val="16"/>
          <w:szCs w:val="16"/>
        </w:rPr>
      </w:pPr>
      <w:r w:rsidRPr="001A0BAA">
        <w:rPr>
          <w:color w:val="0070C0"/>
          <w:sz w:val="16"/>
          <w:szCs w:val="16"/>
        </w:rPr>
        <w:t>Производственными площадями и подъем</w:t>
      </w:r>
      <w:r w:rsidRPr="001A0BAA">
        <w:rPr>
          <w:color w:val="0070C0"/>
          <w:sz w:val="16"/>
          <w:szCs w:val="16"/>
        </w:rPr>
        <w:softHyphen/>
        <w:t>но-транспортными средствами завод сейчас и при дальнейшем наборе мощностей обе</w:t>
      </w:r>
      <w:r w:rsidRPr="001A0BAA">
        <w:rPr>
          <w:color w:val="0070C0"/>
          <w:sz w:val="16"/>
          <w:szCs w:val="16"/>
        </w:rPr>
        <w:softHyphen/>
        <w:t>спечен (сейчас имеется 160 тыс. кв. м произ</w:t>
      </w:r>
      <w:r w:rsidRPr="001A0BAA">
        <w:rPr>
          <w:color w:val="0070C0"/>
          <w:sz w:val="16"/>
          <w:szCs w:val="16"/>
        </w:rPr>
        <w:softHyphen/>
        <w:t>водственных площадей, не считая 6 тыс. кв. м вспомогательных площадей). Основным не</w:t>
      </w:r>
      <w:r w:rsidRPr="001A0BAA">
        <w:rPr>
          <w:color w:val="0070C0"/>
          <w:sz w:val="16"/>
          <w:szCs w:val="16"/>
        </w:rPr>
        <w:softHyphen/>
        <w:t>достатком по производственным площадям в текущую зиму, влияющим на производи</w:t>
      </w:r>
      <w:r w:rsidRPr="001A0BAA">
        <w:rPr>
          <w:color w:val="0070C0"/>
          <w:sz w:val="16"/>
          <w:szCs w:val="16"/>
        </w:rPr>
        <w:softHyphen/>
        <w:t>тельность, было то, что цеха не отапливались из-за отсутствия пара.</w:t>
      </w:r>
    </w:p>
    <w:p w14:paraId="4D61F41A" w14:textId="77777777" w:rsidR="00A5033B" w:rsidRPr="001A0BAA" w:rsidRDefault="00A5033B" w:rsidP="00A5033B">
      <w:pPr>
        <w:jc w:val="both"/>
        <w:rPr>
          <w:color w:val="0070C0"/>
          <w:sz w:val="16"/>
          <w:szCs w:val="16"/>
        </w:rPr>
      </w:pPr>
      <w:r w:rsidRPr="001A0BAA">
        <w:rPr>
          <w:color w:val="0070C0"/>
          <w:sz w:val="16"/>
          <w:szCs w:val="16"/>
        </w:rPr>
        <w:t>Кадры. На 1 февраля 1945 года работа</w:t>
      </w:r>
      <w:r w:rsidRPr="001A0BAA">
        <w:rPr>
          <w:color w:val="0070C0"/>
          <w:sz w:val="16"/>
          <w:szCs w:val="16"/>
        </w:rPr>
        <w:softHyphen/>
        <w:t>ет 17 145 человек, которые распределяются по следующим производственным участкам:</w:t>
      </w:r>
    </w:p>
    <w:p w14:paraId="41DE5918" w14:textId="77777777" w:rsidR="00A5033B" w:rsidRPr="001A0BAA" w:rsidRDefault="00A5033B" w:rsidP="00A5033B">
      <w:pPr>
        <w:jc w:val="both"/>
        <w:rPr>
          <w:color w:val="0070C0"/>
          <w:sz w:val="16"/>
          <w:szCs w:val="16"/>
        </w:rPr>
      </w:pPr>
      <w:r w:rsidRPr="001A0BAA">
        <w:rPr>
          <w:color w:val="0070C0"/>
          <w:sz w:val="16"/>
          <w:szCs w:val="16"/>
        </w:rPr>
        <w:t>В танковом производстве - 7407;</w:t>
      </w:r>
    </w:p>
    <w:p w14:paraId="0A0CCAC9" w14:textId="77777777" w:rsidR="00A5033B" w:rsidRPr="001A0BAA" w:rsidRDefault="00A5033B" w:rsidP="00A5033B">
      <w:pPr>
        <w:jc w:val="both"/>
        <w:rPr>
          <w:color w:val="0070C0"/>
          <w:sz w:val="16"/>
          <w:szCs w:val="16"/>
        </w:rPr>
      </w:pPr>
      <w:r w:rsidRPr="001A0BAA">
        <w:rPr>
          <w:color w:val="0070C0"/>
          <w:sz w:val="16"/>
          <w:szCs w:val="16"/>
        </w:rPr>
        <w:t>В металлургическом производстве - 2804;</w:t>
      </w:r>
    </w:p>
    <w:p w14:paraId="27CC2510" w14:textId="77777777" w:rsidR="00A5033B" w:rsidRPr="001A0BAA" w:rsidRDefault="00A5033B" w:rsidP="00A5033B">
      <w:pPr>
        <w:jc w:val="both"/>
        <w:rPr>
          <w:color w:val="0070C0"/>
          <w:sz w:val="16"/>
          <w:szCs w:val="16"/>
        </w:rPr>
      </w:pPr>
      <w:r w:rsidRPr="001A0BAA">
        <w:rPr>
          <w:color w:val="0070C0"/>
          <w:sz w:val="16"/>
          <w:szCs w:val="16"/>
        </w:rPr>
        <w:t>В дизельном производстве - 179;</w:t>
      </w:r>
    </w:p>
    <w:p w14:paraId="5DB69873" w14:textId="77777777" w:rsidR="00A5033B" w:rsidRPr="001A0BAA" w:rsidRDefault="00A5033B" w:rsidP="00A5033B">
      <w:pPr>
        <w:jc w:val="both"/>
        <w:rPr>
          <w:color w:val="0070C0"/>
          <w:sz w:val="16"/>
          <w:szCs w:val="16"/>
        </w:rPr>
      </w:pPr>
      <w:r w:rsidRPr="001A0BAA">
        <w:rPr>
          <w:color w:val="0070C0"/>
          <w:sz w:val="16"/>
          <w:szCs w:val="16"/>
        </w:rPr>
        <w:t>В производстве боеприпасов - 900;</w:t>
      </w:r>
    </w:p>
    <w:p w14:paraId="4103521D" w14:textId="77777777" w:rsidR="00A5033B" w:rsidRPr="001A0BAA" w:rsidRDefault="00A5033B" w:rsidP="00A5033B">
      <w:pPr>
        <w:jc w:val="both"/>
        <w:rPr>
          <w:color w:val="0070C0"/>
          <w:sz w:val="16"/>
          <w:szCs w:val="16"/>
        </w:rPr>
      </w:pPr>
      <w:r w:rsidRPr="001A0BAA">
        <w:rPr>
          <w:color w:val="0070C0"/>
          <w:sz w:val="16"/>
          <w:szCs w:val="16"/>
        </w:rPr>
        <w:t>На строительстве - 1133;</w:t>
      </w:r>
    </w:p>
    <w:p w14:paraId="3771F050" w14:textId="77777777" w:rsidR="00A5033B" w:rsidRPr="001A0BAA" w:rsidRDefault="00A5033B" w:rsidP="00A5033B">
      <w:pPr>
        <w:jc w:val="both"/>
        <w:rPr>
          <w:color w:val="0070C0"/>
          <w:sz w:val="16"/>
          <w:szCs w:val="16"/>
        </w:rPr>
      </w:pPr>
      <w:r w:rsidRPr="001A0BAA">
        <w:rPr>
          <w:color w:val="0070C0"/>
          <w:sz w:val="16"/>
          <w:szCs w:val="16"/>
        </w:rPr>
        <w:t>В транспортных цехах - 873;</w:t>
      </w:r>
    </w:p>
    <w:p w14:paraId="291CF55F" w14:textId="77777777" w:rsidR="00A5033B" w:rsidRPr="001A0BAA" w:rsidRDefault="00A5033B" w:rsidP="00A5033B">
      <w:pPr>
        <w:jc w:val="both"/>
        <w:rPr>
          <w:color w:val="0070C0"/>
          <w:sz w:val="16"/>
          <w:szCs w:val="16"/>
        </w:rPr>
      </w:pPr>
      <w:r w:rsidRPr="001A0BAA">
        <w:rPr>
          <w:color w:val="0070C0"/>
          <w:sz w:val="16"/>
          <w:szCs w:val="16"/>
        </w:rPr>
        <w:t>В отделе главных механиков и энергети</w:t>
      </w:r>
      <w:r w:rsidRPr="001A0BAA">
        <w:rPr>
          <w:color w:val="0070C0"/>
          <w:sz w:val="16"/>
          <w:szCs w:val="16"/>
        </w:rPr>
        <w:softHyphen/>
        <w:t>ков - 1130;</w:t>
      </w:r>
    </w:p>
    <w:p w14:paraId="56FDFBDA" w14:textId="77777777" w:rsidR="00A5033B" w:rsidRPr="001A0BAA" w:rsidRDefault="00A5033B" w:rsidP="00A5033B">
      <w:pPr>
        <w:jc w:val="both"/>
        <w:rPr>
          <w:color w:val="0070C0"/>
          <w:sz w:val="16"/>
          <w:szCs w:val="16"/>
        </w:rPr>
      </w:pPr>
      <w:r w:rsidRPr="001A0BAA">
        <w:rPr>
          <w:color w:val="0070C0"/>
          <w:sz w:val="16"/>
          <w:szCs w:val="16"/>
        </w:rPr>
        <w:t>В отделе рабочего снабжения - 2000;</w:t>
      </w:r>
    </w:p>
    <w:p w14:paraId="68B3B8D4" w14:textId="77777777" w:rsidR="00A5033B" w:rsidRPr="001A0BAA" w:rsidRDefault="00A5033B" w:rsidP="00A5033B">
      <w:pPr>
        <w:jc w:val="both"/>
        <w:rPr>
          <w:color w:val="0070C0"/>
          <w:sz w:val="16"/>
          <w:szCs w:val="16"/>
        </w:rPr>
      </w:pPr>
      <w:r w:rsidRPr="001A0BAA">
        <w:rPr>
          <w:color w:val="0070C0"/>
          <w:sz w:val="16"/>
          <w:szCs w:val="16"/>
        </w:rPr>
        <w:t>Непроизводственная группа - 759.</w:t>
      </w:r>
    </w:p>
    <w:p w14:paraId="51C686AA" w14:textId="77777777" w:rsidR="00A5033B" w:rsidRPr="001A0BAA" w:rsidRDefault="00A5033B" w:rsidP="00A5033B">
      <w:pPr>
        <w:jc w:val="both"/>
        <w:rPr>
          <w:color w:val="0070C0"/>
          <w:sz w:val="16"/>
          <w:szCs w:val="16"/>
        </w:rPr>
      </w:pPr>
      <w:r w:rsidRPr="001A0BAA">
        <w:rPr>
          <w:color w:val="0070C0"/>
          <w:sz w:val="16"/>
          <w:szCs w:val="16"/>
        </w:rPr>
        <w:t>Обеспечение инженерно-техническими кадрами - 109% (2020 человек) ...</w:t>
      </w:r>
    </w:p>
    <w:p w14:paraId="482905F1" w14:textId="77777777" w:rsidR="00A5033B" w:rsidRPr="001A0BAA" w:rsidRDefault="00A5033B" w:rsidP="00A5033B">
      <w:pPr>
        <w:jc w:val="both"/>
        <w:rPr>
          <w:color w:val="0070C0"/>
          <w:sz w:val="16"/>
          <w:szCs w:val="16"/>
        </w:rPr>
      </w:pPr>
      <w:r w:rsidRPr="001A0BAA">
        <w:rPr>
          <w:color w:val="0070C0"/>
          <w:sz w:val="16"/>
          <w:szCs w:val="16"/>
        </w:rPr>
        <w:t>Слабо и непроизводительно использует</w:t>
      </w:r>
      <w:r w:rsidRPr="001A0BAA">
        <w:rPr>
          <w:color w:val="0070C0"/>
          <w:sz w:val="16"/>
          <w:szCs w:val="16"/>
        </w:rPr>
        <w:softHyphen/>
        <w:t>ся станочный парк. Так, из 900 установ</w:t>
      </w:r>
      <w:r w:rsidRPr="001A0BAA">
        <w:rPr>
          <w:color w:val="0070C0"/>
          <w:sz w:val="16"/>
          <w:szCs w:val="16"/>
        </w:rPr>
        <w:softHyphen/>
        <w:t>ленных производственных станков рабо</w:t>
      </w:r>
      <w:r w:rsidRPr="001A0BAA">
        <w:rPr>
          <w:color w:val="0070C0"/>
          <w:sz w:val="16"/>
          <w:szCs w:val="16"/>
        </w:rPr>
        <w:softHyphen/>
        <w:t>тает только 500. В число 900 входят 56 станков высокопроизводительных много</w:t>
      </w:r>
      <w:r w:rsidRPr="001A0BAA">
        <w:rPr>
          <w:color w:val="0070C0"/>
          <w:sz w:val="16"/>
          <w:szCs w:val="16"/>
        </w:rPr>
        <w:softHyphen/>
        <w:t>резцовых и более 250 станков револьверных (завод № 183 имеет многорезцовых 18 и ре</w:t>
      </w:r>
      <w:r w:rsidRPr="001A0BAA">
        <w:rPr>
          <w:color w:val="0070C0"/>
          <w:sz w:val="16"/>
          <w:szCs w:val="16"/>
        </w:rPr>
        <w:softHyphen/>
        <w:t>вольверных 150). Имеющийся парк стан</w:t>
      </w:r>
      <w:r w:rsidRPr="001A0BAA">
        <w:rPr>
          <w:color w:val="0070C0"/>
          <w:sz w:val="16"/>
          <w:szCs w:val="16"/>
        </w:rPr>
        <w:softHyphen/>
        <w:t>ков при правильной организации и полной загрузке в состоянии обеспечить выпуск 6-7, а самые дефицитные группы стан</w:t>
      </w:r>
      <w:r w:rsidRPr="001A0BAA">
        <w:rPr>
          <w:color w:val="0070C0"/>
          <w:sz w:val="16"/>
          <w:szCs w:val="16"/>
        </w:rPr>
        <w:softHyphen/>
        <w:t>ков (зуборезные, протяжные и карусель</w:t>
      </w:r>
      <w:r w:rsidRPr="001A0BAA">
        <w:rPr>
          <w:color w:val="0070C0"/>
          <w:sz w:val="16"/>
          <w:szCs w:val="16"/>
        </w:rPr>
        <w:softHyphen/>
        <w:t>ные) без каких-либо технологических ме</w:t>
      </w:r>
      <w:r w:rsidRPr="001A0BAA">
        <w:rPr>
          <w:color w:val="0070C0"/>
          <w:sz w:val="16"/>
          <w:szCs w:val="16"/>
        </w:rPr>
        <w:softHyphen/>
        <w:t>роприятий в состоянии обеспечить выпуск 4 танков в сутки.</w:t>
      </w:r>
    </w:p>
    <w:p w14:paraId="68D5D4C0" w14:textId="77777777" w:rsidR="00A5033B" w:rsidRPr="001A0BAA" w:rsidRDefault="00A5033B" w:rsidP="00A5033B">
      <w:pPr>
        <w:jc w:val="both"/>
        <w:rPr>
          <w:color w:val="0070C0"/>
          <w:sz w:val="16"/>
          <w:szCs w:val="16"/>
        </w:rPr>
      </w:pPr>
      <w:r w:rsidRPr="001A0BAA">
        <w:rPr>
          <w:color w:val="0070C0"/>
          <w:sz w:val="16"/>
          <w:szCs w:val="16"/>
        </w:rPr>
        <w:t>Качество выпущенных за этот пери</w:t>
      </w:r>
      <w:r w:rsidRPr="001A0BAA">
        <w:rPr>
          <w:color w:val="0070C0"/>
          <w:sz w:val="16"/>
          <w:szCs w:val="16"/>
        </w:rPr>
        <w:softHyphen/>
        <w:t>од Т-44, как показал опыт их эксплуата</w:t>
      </w:r>
      <w:r w:rsidRPr="001A0BAA">
        <w:rPr>
          <w:color w:val="0070C0"/>
          <w:sz w:val="16"/>
          <w:szCs w:val="16"/>
        </w:rPr>
        <w:softHyphen/>
        <w:t>ции в учебных войсковых частях и всех про</w:t>
      </w:r>
      <w:r w:rsidRPr="001A0BAA">
        <w:rPr>
          <w:color w:val="0070C0"/>
          <w:sz w:val="16"/>
          <w:szCs w:val="16"/>
        </w:rPr>
        <w:softHyphen/>
        <w:t>веденных испытаний на заводе, находится на низком уровне» (25012).</w:t>
      </w:r>
    </w:p>
    <w:p w14:paraId="6E4FC0A9" w14:textId="77777777" w:rsidR="00A5033B" w:rsidRPr="001A0BAA" w:rsidRDefault="00A5033B" w:rsidP="00A5033B">
      <w:pPr>
        <w:jc w:val="both"/>
        <w:rPr>
          <w:color w:val="0070C0"/>
          <w:sz w:val="16"/>
          <w:szCs w:val="16"/>
        </w:rPr>
      </w:pPr>
    </w:p>
    <w:p w14:paraId="7998E7ED" w14:textId="77777777" w:rsidR="00934A89" w:rsidRPr="00925F26" w:rsidRDefault="00934A89" w:rsidP="00925F26">
      <w:pPr>
        <w:jc w:val="both"/>
        <w:rPr>
          <w:color w:val="000000" w:themeColor="text1"/>
          <w:sz w:val="16"/>
          <w:szCs w:val="16"/>
        </w:rPr>
      </w:pPr>
      <w:r w:rsidRPr="00925F26">
        <w:rPr>
          <w:color w:val="000000" w:themeColor="text1"/>
          <w:sz w:val="16"/>
          <w:szCs w:val="16"/>
        </w:rPr>
        <w:t>С 15 марта 1945 на СУ-100 устанавливаются телескопические прицелы ТШ-19 с обогревом (19927).</w:t>
      </w:r>
    </w:p>
    <w:p w14:paraId="7A066508" w14:textId="77777777" w:rsidR="00934A89" w:rsidRPr="00925F26" w:rsidRDefault="00934A89" w:rsidP="00925F26">
      <w:pPr>
        <w:jc w:val="both"/>
        <w:rPr>
          <w:color w:val="000000" w:themeColor="text1"/>
          <w:sz w:val="16"/>
          <w:szCs w:val="16"/>
        </w:rPr>
      </w:pPr>
    </w:p>
    <w:p w14:paraId="64FB91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вышло Распоряжение ГКО № 7834. Об обеспечении поставками литья производства корпусов 82 мм мин на заводе "Красная Этна" НКСМ. РГАНИР, Фонд ГКО, д. 381, лл. 110-111 (11012).</w:t>
      </w:r>
    </w:p>
    <w:p w14:paraId="21FF93A0" w14:textId="77777777" w:rsidR="00665165" w:rsidRPr="00925F26" w:rsidRDefault="00665165" w:rsidP="00925F26">
      <w:pPr>
        <w:autoSpaceDE w:val="0"/>
        <w:autoSpaceDN w:val="0"/>
        <w:adjustRightInd w:val="0"/>
        <w:jc w:val="both"/>
        <w:rPr>
          <w:color w:val="000000" w:themeColor="text1"/>
          <w:sz w:val="16"/>
          <w:szCs w:val="16"/>
        </w:rPr>
      </w:pPr>
    </w:p>
    <w:p w14:paraId="64CF1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вышло Распоряжение ГКО № 7835. О выделении Главному управлению ремонта танков КА 50 дизелей В-2. РГАНИР, Фонд ГКО, д. 381, лл. 112 (11012).</w:t>
      </w:r>
    </w:p>
    <w:p w14:paraId="77FFC1FC" w14:textId="77777777" w:rsidR="00665165" w:rsidRPr="00925F26" w:rsidRDefault="00665165" w:rsidP="00925F26">
      <w:pPr>
        <w:autoSpaceDE w:val="0"/>
        <w:autoSpaceDN w:val="0"/>
        <w:adjustRightInd w:val="0"/>
        <w:jc w:val="both"/>
        <w:rPr>
          <w:color w:val="000000" w:themeColor="text1"/>
          <w:sz w:val="16"/>
          <w:szCs w:val="16"/>
        </w:rPr>
      </w:pPr>
    </w:p>
    <w:p w14:paraId="29C1D3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вышло Постановление ГКО № 7836 Об оказании неотложной помощи металлом заводам, изготовляющим взрыватели. РГАНИР, Фонд ГКО, д. 381, лл. 113-115, 116-126 (11012).</w:t>
      </w:r>
    </w:p>
    <w:p w14:paraId="0BD56E93" w14:textId="77777777" w:rsidR="00665165" w:rsidRPr="00925F26" w:rsidRDefault="00665165" w:rsidP="00925F26">
      <w:pPr>
        <w:autoSpaceDE w:val="0"/>
        <w:autoSpaceDN w:val="0"/>
        <w:adjustRightInd w:val="0"/>
        <w:jc w:val="both"/>
        <w:rPr>
          <w:color w:val="000000" w:themeColor="text1"/>
          <w:sz w:val="16"/>
          <w:szCs w:val="16"/>
        </w:rPr>
      </w:pPr>
    </w:p>
    <w:p w14:paraId="15FFB9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вышло Постановление ГКО № 7837 О проведении противопаводковых мероприятий на Нижне-Свирской ГЭС. РГАНИР, Фонд ГКО, д. 381, лл. 127 (11012).</w:t>
      </w:r>
    </w:p>
    <w:p w14:paraId="0E708B0F" w14:textId="77777777" w:rsidR="00665165" w:rsidRPr="00925F26" w:rsidRDefault="00665165" w:rsidP="00925F26">
      <w:pPr>
        <w:autoSpaceDE w:val="0"/>
        <w:autoSpaceDN w:val="0"/>
        <w:adjustRightInd w:val="0"/>
        <w:jc w:val="both"/>
        <w:rPr>
          <w:color w:val="000000" w:themeColor="text1"/>
          <w:sz w:val="16"/>
          <w:szCs w:val="16"/>
        </w:rPr>
      </w:pPr>
    </w:p>
    <w:p w14:paraId="0E937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вышло Постановление ГКО № 7838 О проведении противопаводковых мероприятий на Дзауджикауской гидроэлектростанции. РГАНИР, Фонд ГКО, д. 381, лл. 128-129 (11012).</w:t>
      </w:r>
    </w:p>
    <w:p w14:paraId="49E53E80" w14:textId="77777777" w:rsidR="00665165" w:rsidRPr="00925F26" w:rsidRDefault="00665165" w:rsidP="00925F26">
      <w:pPr>
        <w:autoSpaceDE w:val="0"/>
        <w:autoSpaceDN w:val="0"/>
        <w:adjustRightInd w:val="0"/>
        <w:jc w:val="both"/>
        <w:rPr>
          <w:color w:val="000000" w:themeColor="text1"/>
          <w:sz w:val="16"/>
          <w:szCs w:val="16"/>
        </w:rPr>
      </w:pPr>
    </w:p>
    <w:p w14:paraId="7A9B9F5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марта 1945 вышло Распоряжение ГКО № 7839 [О дополнительном выделении НКВД угля в марте 1945 г.] (7316, 130).</w:t>
      </w:r>
    </w:p>
    <w:p w14:paraId="3F3CF3E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0666F7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марта 1945 вышло Распоряжение ГКО № 7840 [О мерах по обеспечению бункеровки судов, отправляемых за импортом.] (7316, 131).</w:t>
      </w:r>
    </w:p>
    <w:p w14:paraId="14CDF9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CDDE7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вышло Распоряжение ГКО № 7841. О мерах по разгрузке комбината №179 НКБ от скопившихся готовых корпусов 122 мм снарядов. РГАНИР, Фонд ГКО, д. 381, лл. 132-134 (11012).</w:t>
      </w:r>
    </w:p>
    <w:p w14:paraId="28024384" w14:textId="77777777" w:rsidR="00665165" w:rsidRPr="00925F26" w:rsidRDefault="00665165" w:rsidP="00925F26">
      <w:pPr>
        <w:autoSpaceDE w:val="0"/>
        <w:autoSpaceDN w:val="0"/>
        <w:adjustRightInd w:val="0"/>
        <w:jc w:val="both"/>
        <w:rPr>
          <w:color w:val="000000" w:themeColor="text1"/>
          <w:sz w:val="16"/>
          <w:szCs w:val="16"/>
        </w:rPr>
      </w:pPr>
    </w:p>
    <w:p w14:paraId="79E4D92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марта 1945 И-250 № 1 передали на заводские испытания (6471, 6).</w:t>
      </w:r>
    </w:p>
    <w:p w14:paraId="5B6C4B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AC3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Ждановцы спустили на воду 10-й ТЩ типа МТ-2 (10671).</w:t>
      </w:r>
    </w:p>
    <w:p w14:paraId="3D8979FF" w14:textId="77777777" w:rsidR="00665165" w:rsidRPr="00925F26" w:rsidRDefault="00665165" w:rsidP="00925F26">
      <w:pPr>
        <w:autoSpaceDE w:val="0"/>
        <w:autoSpaceDN w:val="0"/>
        <w:adjustRightInd w:val="0"/>
        <w:jc w:val="both"/>
        <w:rPr>
          <w:color w:val="000000" w:themeColor="text1"/>
          <w:sz w:val="16"/>
          <w:szCs w:val="16"/>
        </w:rPr>
      </w:pPr>
    </w:p>
    <w:p w14:paraId="5E1A13B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973126C" w14:textId="77777777" w:rsidR="00665165" w:rsidRPr="00925F26" w:rsidRDefault="00665165" w:rsidP="00925F26">
      <w:pPr>
        <w:autoSpaceDE w:val="0"/>
        <w:autoSpaceDN w:val="0"/>
        <w:adjustRightInd w:val="0"/>
        <w:jc w:val="both"/>
        <w:rPr>
          <w:iCs/>
          <w:color w:val="000000" w:themeColor="text1"/>
          <w:sz w:val="16"/>
          <w:szCs w:val="16"/>
        </w:rPr>
      </w:pPr>
    </w:p>
    <w:p w14:paraId="3E9682E4" w14:textId="77777777" w:rsidR="00524C9D" w:rsidRPr="00925F26" w:rsidRDefault="00524C9D" w:rsidP="00925F26">
      <w:pPr>
        <w:jc w:val="both"/>
        <w:rPr>
          <w:color w:val="000000" w:themeColor="text1"/>
          <w:sz w:val="16"/>
          <w:szCs w:val="16"/>
        </w:rPr>
      </w:pPr>
      <w:r w:rsidRPr="00925F26">
        <w:rPr>
          <w:bCs/>
          <w:color w:val="000000" w:themeColor="text1"/>
          <w:sz w:val="16"/>
          <w:szCs w:val="16"/>
        </w:rPr>
        <w:t>15 марта</w:t>
      </w:r>
      <w:r w:rsidRPr="00925F26">
        <w:rPr>
          <w:color w:val="000000" w:themeColor="text1"/>
          <w:sz w:val="16"/>
          <w:szCs w:val="16"/>
        </w:rPr>
        <w:t xml:space="preserve"> в 1945 году оперативная сводка Совинформбюро:</w:t>
      </w:r>
    </w:p>
    <w:p w14:paraId="2F282D83" w14:textId="77777777" w:rsidR="00524C9D" w:rsidRPr="00925F26" w:rsidRDefault="00524C9D" w:rsidP="00925F26">
      <w:pPr>
        <w:jc w:val="both"/>
        <w:rPr>
          <w:color w:val="000000" w:themeColor="text1"/>
          <w:sz w:val="16"/>
          <w:szCs w:val="16"/>
        </w:rPr>
      </w:pPr>
      <w:r w:rsidRPr="00925F26">
        <w:rPr>
          <w:color w:val="000000" w:themeColor="text1"/>
          <w:sz w:val="16"/>
          <w:szCs w:val="16"/>
        </w:rPr>
        <w:t>«В течение 15 марта юго-западнее Кенигсберга войска 3-го Белорусского фронта, продолжая наступление, вышли на побережье залива Фриш-Гаф и заняли населённые пункты Вангитт, Дюмпелькруг, Пиннау, Албенен, Айнзам. Населённый пункт Хайде Вальдбург, расположенный в восьми километрах юго-западнее Кенигсберга, несколько раз переходил из рук в руки и вновь занят нашими войсками. Таким образом, с выходом на побережье залива Фриш-Гаф наши войска расчленили восточно-прусскую группу войск немцев на две части. Одновременно войска фронта заняли населённые пункты Коббельбуде, Золлэкен, Первильтен, Варгиттен, Кеммерсхофен, Альбенорт, Грюнвер, Альбенек, Бладиау, Гросс Редерсдорф, Шенраде, Маринхеэ, Хермсдорф, Кальвальде, Айзенберг, Фридрихсруз, Фридхевхен, Фогельзанг и железнодорожную станцию Коббельбуде. В боях за 14 марта в этом районе взято в плен более 1.000 немецких солдат и офицеров.</w:t>
      </w:r>
    </w:p>
    <w:p w14:paraId="3366B569" w14:textId="77777777" w:rsidR="00524C9D" w:rsidRPr="00925F26" w:rsidRDefault="00524C9D" w:rsidP="00925F26">
      <w:pPr>
        <w:jc w:val="both"/>
        <w:rPr>
          <w:color w:val="000000" w:themeColor="text1"/>
          <w:sz w:val="16"/>
          <w:szCs w:val="16"/>
        </w:rPr>
      </w:pPr>
      <w:r w:rsidRPr="00925F26">
        <w:rPr>
          <w:color w:val="000000" w:themeColor="text1"/>
          <w:sz w:val="16"/>
          <w:szCs w:val="16"/>
        </w:rPr>
        <w:t>В Кольберге продолжались бои по уничтожению гарнизона противника, блокированного в восточной части города.</w:t>
      </w:r>
    </w:p>
    <w:p w14:paraId="064A472D" w14:textId="77777777" w:rsidR="00524C9D" w:rsidRPr="00925F26" w:rsidRDefault="00524C9D"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каши войска отбили атаки пехоты и танков противника. В боях за 14 марта в этом районе огнём нашей артиллерии уничтожено и подбито 50 немецких танков и самоходных орудий.</w:t>
      </w:r>
    </w:p>
    <w:p w14:paraId="6A994E81" w14:textId="77777777" w:rsidR="00524C9D" w:rsidRPr="00925F26" w:rsidRDefault="00524C9D"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16659DCE" w14:textId="77777777" w:rsidR="00524C9D" w:rsidRPr="00925F26" w:rsidRDefault="00524C9D" w:rsidP="00925F26">
      <w:pPr>
        <w:jc w:val="both"/>
        <w:rPr>
          <w:color w:val="000000" w:themeColor="text1"/>
          <w:sz w:val="16"/>
          <w:szCs w:val="16"/>
        </w:rPr>
      </w:pPr>
      <w:r w:rsidRPr="00925F26">
        <w:rPr>
          <w:color w:val="000000" w:themeColor="text1"/>
          <w:sz w:val="16"/>
          <w:szCs w:val="16"/>
        </w:rPr>
        <w:t>За 14 марта на всех фронтах подбито и уничтожено 90 немецких танков и самоходных орудий. В воздушных боях и огнём зенитной артиллерии сбито 18 самолётов противника.</w:t>
      </w:r>
    </w:p>
    <w:p w14:paraId="5363B3BD" w14:textId="77777777" w:rsidR="00524C9D" w:rsidRPr="00925F26" w:rsidRDefault="00524C9D" w:rsidP="00925F26">
      <w:pPr>
        <w:jc w:val="both"/>
        <w:rPr>
          <w:color w:val="000000" w:themeColor="text1"/>
          <w:sz w:val="16"/>
          <w:szCs w:val="16"/>
        </w:rPr>
      </w:pPr>
      <w:r w:rsidRPr="00925F26">
        <w:rPr>
          <w:color w:val="000000" w:themeColor="text1"/>
          <w:sz w:val="16"/>
          <w:szCs w:val="16"/>
        </w:rPr>
        <w:t>Удар нашей авиации по железнодорожному узлу и аэродрому Веспрем в Венгрии</w:t>
      </w:r>
    </w:p>
    <w:p w14:paraId="32F33393" w14:textId="77777777" w:rsidR="00524C9D" w:rsidRPr="00925F26" w:rsidRDefault="00524C9D" w:rsidP="00925F26">
      <w:pPr>
        <w:jc w:val="both"/>
        <w:rPr>
          <w:color w:val="000000" w:themeColor="text1"/>
          <w:sz w:val="16"/>
          <w:szCs w:val="16"/>
        </w:rPr>
      </w:pPr>
      <w:r w:rsidRPr="00925F26">
        <w:rPr>
          <w:color w:val="000000" w:themeColor="text1"/>
          <w:sz w:val="16"/>
          <w:szCs w:val="16"/>
        </w:rPr>
        <w:t>В ночь на 15 марта наши тяжёлые бомбардировщики нанесли удар по железнодорожному узлу и аэродрому Веспрем в Венгрии. В результате бомбардировки на железнодорожном узле и аэродроме возникли пожары, сопровождавшиеся взрывами.</w:t>
      </w:r>
    </w:p>
    <w:p w14:paraId="370E670B" w14:textId="77777777" w:rsidR="00524C9D" w:rsidRPr="00925F26" w:rsidRDefault="00524C9D" w:rsidP="00925F26">
      <w:pPr>
        <w:jc w:val="both"/>
        <w:rPr>
          <w:color w:val="000000" w:themeColor="text1"/>
          <w:sz w:val="16"/>
          <w:szCs w:val="16"/>
        </w:rPr>
      </w:pPr>
      <w:r w:rsidRPr="00925F26">
        <w:rPr>
          <w:color w:val="000000" w:themeColor="text1"/>
          <w:sz w:val="16"/>
          <w:szCs w:val="16"/>
        </w:rPr>
        <w:t>В Восточной Пруссии, юго-западнее Кенигсберга, наши войска продолжали наступление. Упорные бои произошли в районе опорного пункта немецкой обороны Хайде Вальдбург, расположенного на побережье залива Фриш-Гаф. Противник, стремясь восстановить связь между Кенигсбергским гарнизоном и группой своих войск, действующей юго-западнее Кенигсберга, предпринял ряд ожесточенных контратак. Населённый пункт Хайде Вальдбург несколько раз переходил из рук в руки. Сегодня наши войска стремительным ударом сломили вражеское сопротивление и на значительном участке вышли к заливу Фриш-Гаф. Отдельные группы немцев, прижатые к заливу, сложили оружие и сдались в плен. На другом участке советские части в результате упорных боёв, переходивших в рукопашные схватки, заняли ряд населенных пунктов. За день боёв уничтожено свыше 4.500 солдат и офицеров противника. Подбито и сожжено 29 немецких танков и самоходных орудий, уничтожено 108 полевых орудий, 50 миномётов и 280 пулемётов. Нашими бойцами захвачено у немцев много вооружения и военного имущества.</w:t>
      </w:r>
    </w:p>
    <w:p w14:paraId="3E93E644" w14:textId="77777777" w:rsidR="00524C9D" w:rsidRPr="00925F26" w:rsidRDefault="00524C9D" w:rsidP="00925F26">
      <w:pPr>
        <w:jc w:val="both"/>
        <w:rPr>
          <w:color w:val="000000" w:themeColor="text1"/>
          <w:sz w:val="16"/>
          <w:szCs w:val="16"/>
        </w:rPr>
      </w:pPr>
      <w:r w:rsidRPr="00925F26">
        <w:rPr>
          <w:color w:val="000000" w:themeColor="text1"/>
          <w:sz w:val="16"/>
          <w:szCs w:val="16"/>
        </w:rPr>
        <w:t>В Кольберге наши войска вели бои по ликвидации немецкого гарнизона, блокированного в восточной части города. Противник контратаками пытается удержать подступы к гавани, в которой находится несколько судов. Советские артиллеристы потопили немецкий транспорт, пытавшийся выйти из гавани. Кроме того, четыре баржи подожжены зажигательными снарядами и потонули. Штурмуя здания, превращенные в узлы сопротивления, наши части очищают от гитлеровцев один квартал за другим. Противник несёт тяжёлые потери. В результате стремительной атаки занято железнодорожное депо. Захвачено 10 паровозов и 400 вагонов с различными грузами. Огнём пехотного оружия сбито 2 немецких гидросамолёта. Взято в плен свыше 600 немцев.</w:t>
      </w:r>
    </w:p>
    <w:p w14:paraId="4AF58D4D" w14:textId="77777777" w:rsidR="00524C9D" w:rsidRPr="00925F26" w:rsidRDefault="00524C9D" w:rsidP="00925F26">
      <w:pPr>
        <w:jc w:val="both"/>
        <w:rPr>
          <w:color w:val="000000" w:themeColor="text1"/>
          <w:sz w:val="16"/>
          <w:szCs w:val="16"/>
        </w:rPr>
      </w:pPr>
      <w:r w:rsidRPr="00925F26">
        <w:rPr>
          <w:color w:val="000000" w:themeColor="text1"/>
          <w:sz w:val="16"/>
          <w:szCs w:val="16"/>
        </w:rPr>
        <w:t>В Венгрии северо-восточнее и восточнее озера Балатон наши войска отбили вражеские атаки. На одном участке немцы ввели в бой до сотни танков и мотопехоту. После многочасового боя противник был отброшен на исходный рубеж. На других участках гитлеровцы, встреченные сильным артиллерийским огнём, повернули обратно, не достигнув наших позиций. Стрелковая рота старшего лейтенанта Краснослободцева, отражая вражеские атаки, уничтожила 3 немецких танка и до роты гитлеровцев. Орудийный расчёт гвардии, старшего сержанта Милованова подбил 3 вражеских танка. Рядовой Борис Яхонтов противотанковыми гранатами подорвал 2 немецких танка. Связист гвардии сержант Григорий Максименко, исправив обрыв на линии связи, возвращался в своё подразделение. Он заметил, что разорвавшийся вражеский снаряд вывел из строя расчёт нашего орудия. Максименко подбежал к орудию и открыл огонь по противнику. Меткими выстрелами он подбил два немецких самоходных орудия.</w:t>
      </w:r>
    </w:p>
    <w:p w14:paraId="493AB191" w14:textId="77777777" w:rsidR="00524C9D" w:rsidRPr="00925F26" w:rsidRDefault="00524C9D" w:rsidP="00925F26">
      <w:pPr>
        <w:jc w:val="both"/>
        <w:rPr>
          <w:color w:val="000000" w:themeColor="text1"/>
          <w:sz w:val="16"/>
          <w:szCs w:val="16"/>
        </w:rPr>
      </w:pPr>
      <w:r w:rsidRPr="00925F26">
        <w:rPr>
          <w:color w:val="000000" w:themeColor="text1"/>
          <w:sz w:val="16"/>
          <w:szCs w:val="16"/>
        </w:rPr>
        <w:t>Авиации Краснознамённого Балтийского флота атаковала суда противника в южной части Балтийского моря. Прямыми попаданиями бомб потоплены пять немецких транспортов общим водоизмещением более 30 тысяч тонн.</w:t>
      </w:r>
    </w:p>
    <w:p w14:paraId="6BBAE569" w14:textId="77777777" w:rsidR="00524C9D" w:rsidRPr="00925F26" w:rsidRDefault="00524C9D" w:rsidP="00925F26">
      <w:pPr>
        <w:jc w:val="both"/>
        <w:rPr>
          <w:color w:val="000000" w:themeColor="text1"/>
          <w:sz w:val="16"/>
          <w:szCs w:val="16"/>
        </w:rPr>
      </w:pPr>
      <w:r w:rsidRPr="00925F26">
        <w:rPr>
          <w:color w:val="000000" w:themeColor="text1"/>
          <w:sz w:val="16"/>
          <w:szCs w:val="16"/>
        </w:rPr>
        <w:t>Советское Информбюро 1 марта опубликовало приказ командующего 2-й немецкой армией генерал-полковника Вейса о мерах борьбы против трусов, дезертиров и пораженцев. Ростом дезертирства обеспокоен не только командующий 2-й немецкой армией. Подобные же заботы одолевают и других немецких генералов. На днях наши войска захватили приказ нового командующего северной группой немецких армий генерал-полковника Рендулица. В приказе говорится: «Всякий солдат, который в ходе боевых действий отбился от своего подразделения, должен немедленно примкнуть к ближайшей части в зоне боёв. Такую часть легко найти во всякое время по шуму боя. Солдат, не сделавший этого, является дезертиром. Солдаты всех родов войск, задержанные в населённых пунктах, в обозах или среди беженцев и заявляющие, что они якобы ищут свою часть, подлежат расстрелу. Для немедленного рассмотрения дел и безотлагательного приведения приговора в исполнение учреждаются «летучие военно-полевые суды».</w:t>
      </w:r>
    </w:p>
    <w:p w14:paraId="7BFFCFE6" w14:textId="77777777" w:rsidR="00524C9D" w:rsidRPr="00925F26" w:rsidRDefault="00524C9D" w:rsidP="00925F26">
      <w:pPr>
        <w:jc w:val="both"/>
        <w:rPr>
          <w:color w:val="000000" w:themeColor="text1"/>
          <w:sz w:val="16"/>
          <w:szCs w:val="16"/>
        </w:rPr>
      </w:pPr>
      <w:r w:rsidRPr="00925F26">
        <w:rPr>
          <w:color w:val="000000" w:themeColor="text1"/>
          <w:sz w:val="16"/>
          <w:szCs w:val="16"/>
        </w:rPr>
        <w:t>Немецкие «летучие военно-полевые суды» заседают день и ночь и пачками выносят смертные приговоры. И все же они не успевают рассматривать все дела о дезертирстве. Поэтому нацистские офицеры зачастую расстреливают солдат без всякого суда и следствия. Пленный солдат 234-го полка 56-й немецкой пехотной дивизии Иозеф Дуллинг рассказал: «22-го февраля в нашем батальоне были расстреляны без суда 15 немецких солдат за то, что они оставили позиции» (15069).</w:t>
      </w:r>
    </w:p>
    <w:p w14:paraId="1FD793FB" w14:textId="77777777" w:rsidR="00524C9D" w:rsidRPr="00925F26" w:rsidRDefault="00524C9D" w:rsidP="00925F26">
      <w:pPr>
        <w:jc w:val="both"/>
        <w:rPr>
          <w:color w:val="000000" w:themeColor="text1"/>
          <w:sz w:val="16"/>
          <w:szCs w:val="16"/>
        </w:rPr>
      </w:pPr>
    </w:p>
    <w:p w14:paraId="2C54CD8A" w14:textId="77777777" w:rsidR="00524C9D" w:rsidRPr="00925F26" w:rsidRDefault="00524C9D" w:rsidP="00925F26">
      <w:pPr>
        <w:jc w:val="both"/>
        <w:rPr>
          <w:color w:val="000000" w:themeColor="text1"/>
          <w:sz w:val="16"/>
          <w:szCs w:val="16"/>
        </w:rPr>
      </w:pPr>
      <w:r w:rsidRPr="00925F26">
        <w:rPr>
          <w:bCs/>
          <w:color w:val="000000" w:themeColor="text1"/>
          <w:sz w:val="16"/>
          <w:szCs w:val="16"/>
        </w:rPr>
        <w:t>15 марта</w:t>
      </w:r>
      <w:r w:rsidRPr="00925F26">
        <w:rPr>
          <w:color w:val="000000" w:themeColor="text1"/>
          <w:sz w:val="16"/>
          <w:szCs w:val="16"/>
        </w:rPr>
        <w:t xml:space="preserve"> в 1945 году юго-западнее Кенигсберга войска 3-го Белорусского фронта вышли на побережье залива Фриш-Гаф и заняли населенные пункты Вангитт, Дюмпелькруг, Пиннау, Албенен, Айнзам. Населенный пункт Хайде Вальдбург, расположенный в восьми километрах юго-западнее Кенигсберга, несколько раз переходил из рук в руки и вновь занят нашими войсками. Таким образом, наши войска расчленили восточно-прусскую группу войск немцев на две части. Одновременно войска фронта заняли населенные пункты Коббельбуде, Золлэкен, Первильтен, Варгиттен, Кеммерсхофен, Альбенорт, Грюнвер, Альбенек, Бладиау, Гросс Редерсдорф, Шенраде, Маринхеэ, Хермсдорф, Кальвальде, Айзенберг, Фридрихсруэ, Фридхевхен, Фогельзанг и железнодорожную станцию Коббельбуде (15069).</w:t>
      </w:r>
    </w:p>
    <w:p w14:paraId="4C5DFA4E" w14:textId="77777777" w:rsidR="00524C9D" w:rsidRPr="00925F26" w:rsidRDefault="00524C9D" w:rsidP="00925F26">
      <w:pPr>
        <w:jc w:val="both"/>
        <w:rPr>
          <w:color w:val="000000" w:themeColor="text1"/>
          <w:sz w:val="16"/>
          <w:szCs w:val="16"/>
        </w:rPr>
      </w:pPr>
    </w:p>
    <w:p w14:paraId="4C584DA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марта 1945 Советские (4-я гвардейская, 26-я, 27-я, 57-я и 17-я воздушная армии) и болгарские (1-я армия) войска под общим командованием маршала Ф. И. Толбухина полностью остановили продвижение 6-й немецкой танковой армии СС под командованием обергруппенфюрера СС ''Зеппа'' Дитриха в районе озера Балатон в Венгрии. Последняя крупная оборонительная операция советских войск во Второй Мировой войне (</w:t>
      </w:r>
      <w:proofErr w:type="gramStart"/>
      <w:r w:rsidRPr="00925F26">
        <w:rPr>
          <w:color w:val="000000" w:themeColor="text1"/>
          <w:sz w:val="16"/>
          <w:szCs w:val="16"/>
        </w:rPr>
        <w:t>4963 )</w:t>
      </w:r>
      <w:proofErr w:type="gramEnd"/>
      <w:r w:rsidRPr="00925F26">
        <w:rPr>
          <w:color w:val="000000" w:themeColor="text1"/>
          <w:sz w:val="16"/>
          <w:szCs w:val="16"/>
        </w:rPr>
        <w:t>.</w:t>
      </w:r>
    </w:p>
    <w:p w14:paraId="72A7551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878E6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15 по 31 марта 1945 1УФ (И.С.Конев) проводил Верхнесилезскую наступательную операцию - вышли в предгорья Судет (3398,112).</w:t>
      </w:r>
    </w:p>
    <w:p w14:paraId="712C6937" w14:textId="77777777" w:rsidR="00665165" w:rsidRPr="00925F26" w:rsidRDefault="00665165" w:rsidP="00925F26">
      <w:pPr>
        <w:autoSpaceDE w:val="0"/>
        <w:autoSpaceDN w:val="0"/>
        <w:adjustRightInd w:val="0"/>
        <w:jc w:val="both"/>
        <w:rPr>
          <w:color w:val="000000" w:themeColor="text1"/>
          <w:sz w:val="16"/>
          <w:szCs w:val="16"/>
        </w:rPr>
      </w:pPr>
    </w:p>
    <w:p w14:paraId="4FCD54B9" w14:textId="77777777" w:rsidR="00524C9D" w:rsidRPr="00925F26" w:rsidRDefault="00524C9D" w:rsidP="00925F26">
      <w:pPr>
        <w:jc w:val="both"/>
        <w:rPr>
          <w:color w:val="000000" w:themeColor="text1"/>
          <w:sz w:val="16"/>
          <w:szCs w:val="16"/>
        </w:rPr>
      </w:pPr>
      <w:r w:rsidRPr="00925F26">
        <w:rPr>
          <w:bCs/>
          <w:color w:val="000000" w:themeColor="text1"/>
          <w:sz w:val="16"/>
          <w:szCs w:val="16"/>
        </w:rPr>
        <w:t>15 марта</w:t>
      </w:r>
      <w:r w:rsidRPr="00925F26">
        <w:rPr>
          <w:color w:val="000000" w:themeColor="text1"/>
          <w:sz w:val="16"/>
          <w:szCs w:val="16"/>
        </w:rPr>
        <w:t xml:space="preserve"> в 1945 году началась Верхне-Силезская операция советских войск. В январе - первой половине апреля 1945 года советскими войсками были осуществлены Восточно-Прусская, Висло-Одерская, Венская, Восточно-Померанская, Нижне-Силезская и Верхне-Силезская наступательные операции. Их результатом стал разгром главных военных группировок немецко-фашистских войск и освобождение почти всей Польши, значительной части Чехословакии, всей Венгрии, восточной части Австрии с ее столицей Веной. Советские войска вышли к Одеру.Верхне-Силезская наступательная операция (15-31 марта) завершилась полным разгромом оппельнско-ратиборской группировки гитлеровцев. Противник потерял только убитыми около 30 тысяч солдат, унтер-офицеров и офицеров. 15 тысяч гитлеровцев советские войска взяли в плен, и преимущественно в оппельнском котле. Окруженная в районе Оппельна группировка гитлеровцев была разгромлена в рекордно короткий срок (15069).</w:t>
      </w:r>
    </w:p>
    <w:p w14:paraId="13380CDC" w14:textId="77777777" w:rsidR="00524C9D" w:rsidRPr="00925F26" w:rsidRDefault="00524C9D" w:rsidP="00925F26">
      <w:pPr>
        <w:jc w:val="both"/>
        <w:rPr>
          <w:color w:val="000000" w:themeColor="text1"/>
          <w:sz w:val="16"/>
          <w:szCs w:val="16"/>
        </w:rPr>
      </w:pPr>
    </w:p>
    <w:p w14:paraId="68520A9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15th, 1945: The Soviet 1st Ukrainian Front begins an offensive in the Ratibor area of Upper Silesia. In the West, attacks by troops of the US First Army to expand the Remagen bridgehead meet with little success (3819).</w:t>
      </w:r>
    </w:p>
    <w:p w14:paraId="2E6E402B" w14:textId="77777777" w:rsidR="00665165" w:rsidRPr="00925F26" w:rsidRDefault="00665165" w:rsidP="00925F26">
      <w:pPr>
        <w:autoSpaceDE w:val="0"/>
        <w:autoSpaceDN w:val="0"/>
        <w:adjustRightInd w:val="0"/>
        <w:jc w:val="both"/>
        <w:rPr>
          <w:color w:val="000000" w:themeColor="text1"/>
          <w:sz w:val="16"/>
          <w:szCs w:val="16"/>
          <w:lang w:val="en-US"/>
        </w:rPr>
      </w:pPr>
    </w:p>
    <w:p w14:paraId="56A073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марта 1945 1УФ начал наступление в районе Ратибора в Верхней Силезии (3819).</w:t>
      </w:r>
    </w:p>
    <w:p w14:paraId="6472894F" w14:textId="77777777" w:rsidR="00665165" w:rsidRPr="00925F26" w:rsidRDefault="00665165" w:rsidP="00925F26">
      <w:pPr>
        <w:autoSpaceDE w:val="0"/>
        <w:autoSpaceDN w:val="0"/>
        <w:adjustRightInd w:val="0"/>
        <w:jc w:val="both"/>
        <w:rPr>
          <w:color w:val="000000" w:themeColor="text1"/>
          <w:sz w:val="16"/>
          <w:szCs w:val="16"/>
        </w:rPr>
      </w:pPr>
    </w:p>
    <w:p w14:paraId="190A8FD7"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53CF369" w14:textId="77777777" w:rsidR="00524C9D" w:rsidRPr="00925F26" w:rsidRDefault="00524C9D" w:rsidP="00925F26">
      <w:pPr>
        <w:autoSpaceDE w:val="0"/>
        <w:autoSpaceDN w:val="0"/>
        <w:adjustRightInd w:val="0"/>
        <w:jc w:val="both"/>
        <w:rPr>
          <w:iCs/>
          <w:color w:val="000000" w:themeColor="text1"/>
          <w:sz w:val="16"/>
          <w:szCs w:val="16"/>
        </w:rPr>
      </w:pPr>
    </w:p>
    <w:p w14:paraId="4E52E7D9" w14:textId="77777777" w:rsidR="00524C9D" w:rsidRPr="00925F26" w:rsidRDefault="00524C9D" w:rsidP="00925F26">
      <w:pPr>
        <w:jc w:val="both"/>
        <w:rPr>
          <w:color w:val="000000" w:themeColor="text1"/>
          <w:sz w:val="16"/>
          <w:szCs w:val="16"/>
        </w:rPr>
      </w:pPr>
      <w:r w:rsidRPr="00925F26">
        <w:rPr>
          <w:bCs/>
          <w:color w:val="000000" w:themeColor="text1"/>
          <w:sz w:val="16"/>
          <w:szCs w:val="16"/>
        </w:rPr>
        <w:t>15 марта</w:t>
      </w:r>
      <w:r w:rsidRPr="00925F26">
        <w:rPr>
          <w:color w:val="000000" w:themeColor="text1"/>
          <w:sz w:val="16"/>
          <w:szCs w:val="16"/>
        </w:rPr>
        <w:t xml:space="preserve"> в 1945 году очередная немецкая ракета "A-4"/SS-1/Scunner/ (Фау-2) пущенная по Антверпену угодила в населенный пункт Brasschaat. В результате 7 человек было убито, 74 ранено и разрушено 10 домов (15069).</w:t>
      </w:r>
    </w:p>
    <w:p w14:paraId="5D954E77" w14:textId="77777777" w:rsidR="00524C9D" w:rsidRPr="00925F26" w:rsidRDefault="00524C9D" w:rsidP="00925F26">
      <w:pPr>
        <w:jc w:val="both"/>
        <w:rPr>
          <w:color w:val="000000" w:themeColor="text1"/>
          <w:sz w:val="16"/>
          <w:szCs w:val="16"/>
        </w:rPr>
      </w:pPr>
    </w:p>
    <w:p w14:paraId="43F014E1" w14:textId="6FBD766B" w:rsidR="00816E1B" w:rsidRPr="00925F26" w:rsidRDefault="00816E1B" w:rsidP="00925F26">
      <w:pPr>
        <w:jc w:val="both"/>
        <w:rPr>
          <w:color w:val="000000" w:themeColor="text1"/>
          <w:sz w:val="16"/>
          <w:szCs w:val="16"/>
        </w:rPr>
      </w:pPr>
      <w:r w:rsidRPr="00925F26">
        <w:rPr>
          <w:color w:val="000000" w:themeColor="text1"/>
          <w:sz w:val="16"/>
          <w:szCs w:val="16"/>
        </w:rPr>
        <w:t>15</w:t>
      </w:r>
      <w:r w:rsidR="00997EDF" w:rsidRPr="00925F26">
        <w:rPr>
          <w:color w:val="000000" w:themeColor="text1"/>
          <w:sz w:val="16"/>
          <w:szCs w:val="16"/>
        </w:rPr>
        <w:t xml:space="preserve">  </w:t>
      </w:r>
      <w:bookmarkStart w:id="11" w:name="YANDEX_23"/>
      <w:bookmarkEnd w:id="11"/>
      <w:r w:rsidR="00997EDF" w:rsidRPr="00925F26">
        <w:rPr>
          <w:rStyle w:val="highlight"/>
          <w:color w:val="000000" w:themeColor="text1"/>
          <w:sz w:val="16"/>
          <w:szCs w:val="16"/>
        </w:rPr>
        <w:t xml:space="preserve">  </w:t>
      </w:r>
      <w:r w:rsidRPr="00925F26">
        <w:rPr>
          <w:rStyle w:val="highlight"/>
          <w:color w:val="000000" w:themeColor="text1"/>
          <w:sz w:val="16"/>
          <w:szCs w:val="16"/>
        </w:rPr>
        <w:t>марта</w:t>
      </w:r>
      <w:r w:rsidR="00997EDF" w:rsidRPr="00925F26">
        <w:rPr>
          <w:rStyle w:val="highlight"/>
          <w:color w:val="000000" w:themeColor="text1"/>
          <w:sz w:val="16"/>
          <w:szCs w:val="16"/>
        </w:rPr>
        <w:t xml:space="preserve">  </w:t>
      </w:r>
      <w:bookmarkStart w:id="12" w:name="YANDEX_24"/>
      <w:bookmarkEnd w:id="12"/>
      <w:r w:rsidR="00997EDF" w:rsidRPr="00925F26">
        <w:rPr>
          <w:rStyle w:val="highlight"/>
          <w:color w:val="000000" w:themeColor="text1"/>
          <w:sz w:val="16"/>
          <w:szCs w:val="16"/>
        </w:rPr>
        <w:t xml:space="preserve">  </w:t>
      </w:r>
      <w:r w:rsidRPr="00925F26">
        <w:rPr>
          <w:rStyle w:val="highlight"/>
          <w:color w:val="000000" w:themeColor="text1"/>
          <w:sz w:val="16"/>
          <w:szCs w:val="16"/>
        </w:rPr>
        <w:t>1945</w:t>
      </w:r>
      <w:r w:rsidR="00997EDF" w:rsidRPr="00925F26">
        <w:rPr>
          <w:rStyle w:val="highlight"/>
          <w:color w:val="000000" w:themeColor="text1"/>
          <w:sz w:val="16"/>
          <w:szCs w:val="16"/>
        </w:rPr>
        <w:t xml:space="preserve">  </w:t>
      </w:r>
      <w:r w:rsidR="00997EDF" w:rsidRPr="00925F26">
        <w:rPr>
          <w:color w:val="000000" w:themeColor="text1"/>
          <w:sz w:val="16"/>
          <w:szCs w:val="16"/>
        </w:rPr>
        <w:t xml:space="preserve">  </w:t>
      </w:r>
      <w:r w:rsidRPr="00925F26">
        <w:rPr>
          <w:color w:val="000000" w:themeColor="text1"/>
          <w:sz w:val="16"/>
          <w:szCs w:val="16"/>
        </w:rPr>
        <w:t xml:space="preserve">г. американцы разбомбили </w:t>
      </w:r>
      <w:bookmarkStart w:id="13" w:name="YANDEX_25"/>
      <w:bookmarkEnd w:id="13"/>
      <w:r w:rsidR="00997EDF" w:rsidRPr="00925F26">
        <w:rPr>
          <w:rStyle w:val="highlight"/>
          <w:color w:val="000000" w:themeColor="text1"/>
          <w:sz w:val="16"/>
          <w:szCs w:val="16"/>
        </w:rPr>
        <w:t xml:space="preserve">  </w:t>
      </w:r>
      <w:r w:rsidRPr="00925F26">
        <w:rPr>
          <w:rStyle w:val="highlight"/>
          <w:color w:val="000000" w:themeColor="text1"/>
          <w:sz w:val="16"/>
          <w:szCs w:val="16"/>
        </w:rPr>
        <w:t>завод</w:t>
      </w:r>
      <w:r w:rsidR="00997EDF" w:rsidRPr="00925F26">
        <w:rPr>
          <w:rStyle w:val="highlight"/>
          <w:color w:val="000000" w:themeColor="text1"/>
          <w:sz w:val="16"/>
          <w:szCs w:val="16"/>
        </w:rPr>
        <w:t xml:space="preserve">  </w:t>
      </w:r>
      <w:r w:rsidRPr="00925F26">
        <w:rPr>
          <w:color w:val="000000" w:themeColor="text1"/>
          <w:sz w:val="16"/>
          <w:szCs w:val="16"/>
        </w:rPr>
        <w:t xml:space="preserve"> компании «Ауэр» в</w:t>
      </w:r>
      <w:r w:rsidR="00997EDF" w:rsidRPr="00925F26">
        <w:rPr>
          <w:color w:val="000000" w:themeColor="text1"/>
          <w:sz w:val="16"/>
          <w:szCs w:val="16"/>
        </w:rPr>
        <w:t xml:space="preserve">  </w:t>
      </w:r>
      <w:r w:rsidRPr="00925F26">
        <w:rPr>
          <w:color w:val="000000" w:themeColor="text1"/>
          <w:sz w:val="16"/>
          <w:szCs w:val="16"/>
        </w:rPr>
        <w:t>Ораниенбурге, к</w:t>
      </w:r>
      <w:r w:rsidR="00997EDF" w:rsidRPr="00925F26">
        <w:rPr>
          <w:color w:val="000000" w:themeColor="text1"/>
          <w:sz w:val="16"/>
          <w:szCs w:val="16"/>
        </w:rPr>
        <w:t xml:space="preserve">  </w:t>
      </w:r>
      <w:r w:rsidRPr="00925F26">
        <w:rPr>
          <w:color w:val="000000" w:themeColor="text1"/>
          <w:sz w:val="16"/>
          <w:szCs w:val="16"/>
        </w:rPr>
        <w:t>северу от Берлина (советская зона), производивший торий и</w:t>
      </w:r>
      <w:r w:rsidR="00997EDF" w:rsidRPr="00925F26">
        <w:rPr>
          <w:color w:val="000000" w:themeColor="text1"/>
          <w:sz w:val="16"/>
          <w:szCs w:val="16"/>
        </w:rPr>
        <w:t xml:space="preserve">  </w:t>
      </w:r>
      <w:r w:rsidRPr="00925F26">
        <w:rPr>
          <w:color w:val="000000" w:themeColor="text1"/>
          <w:sz w:val="16"/>
          <w:szCs w:val="16"/>
        </w:rPr>
        <w:t>уран для германского атомного проекта. Глава американского «Манхэттенского проекта» генерал Гроувз вспоминал: «Цель нашей бомбардировки Ораниенбурга была закамуфлирована от русских и</w:t>
      </w:r>
      <w:r w:rsidR="00997EDF" w:rsidRPr="00925F26">
        <w:rPr>
          <w:color w:val="000000" w:themeColor="text1"/>
          <w:sz w:val="16"/>
          <w:szCs w:val="16"/>
        </w:rPr>
        <w:t xml:space="preserve">  </w:t>
      </w:r>
      <w:r w:rsidRPr="00925F26">
        <w:rPr>
          <w:color w:val="000000" w:themeColor="text1"/>
          <w:sz w:val="16"/>
          <w:szCs w:val="16"/>
        </w:rPr>
        <w:t>немцев одновременной бомбовой атакой на Цоссен, месторасположение штаб-квартиры германской армии». Руководитель исследований компании «Ауэр» Н.</w:t>
      </w:r>
      <w:r w:rsidR="00997EDF" w:rsidRPr="00925F26">
        <w:rPr>
          <w:color w:val="000000" w:themeColor="text1"/>
          <w:sz w:val="16"/>
          <w:szCs w:val="16"/>
        </w:rPr>
        <w:t xml:space="preserve">  </w:t>
      </w:r>
      <w:r w:rsidRPr="00925F26">
        <w:rPr>
          <w:color w:val="000000" w:themeColor="text1"/>
          <w:sz w:val="16"/>
          <w:szCs w:val="16"/>
        </w:rPr>
        <w:t>Риль просветил советские власти о</w:t>
      </w:r>
      <w:r w:rsidR="00997EDF" w:rsidRPr="00925F26">
        <w:rPr>
          <w:color w:val="000000" w:themeColor="text1"/>
          <w:sz w:val="16"/>
          <w:szCs w:val="16"/>
        </w:rPr>
        <w:t xml:space="preserve">  </w:t>
      </w:r>
      <w:r w:rsidRPr="00925F26">
        <w:rPr>
          <w:color w:val="000000" w:themeColor="text1"/>
          <w:sz w:val="16"/>
          <w:szCs w:val="16"/>
        </w:rPr>
        <w:t>причине американского налета на небольшой немецкий городок. После окончания боевых действий Гроувз сумел вывести из соляной шахты близ Штасфурта, находившегося в</w:t>
      </w:r>
      <w:r w:rsidR="00997EDF" w:rsidRPr="00925F26">
        <w:rPr>
          <w:color w:val="000000" w:themeColor="text1"/>
          <w:sz w:val="16"/>
          <w:szCs w:val="16"/>
        </w:rPr>
        <w:t xml:space="preserve">  </w:t>
      </w:r>
      <w:r w:rsidRPr="00925F26">
        <w:rPr>
          <w:color w:val="000000" w:themeColor="text1"/>
          <w:sz w:val="16"/>
          <w:szCs w:val="16"/>
        </w:rPr>
        <w:t>советской зоне оккупации, 1200</w:t>
      </w:r>
      <w:r w:rsidR="00997EDF" w:rsidRPr="00925F26">
        <w:rPr>
          <w:color w:val="000000" w:themeColor="text1"/>
          <w:sz w:val="16"/>
          <w:szCs w:val="16"/>
        </w:rPr>
        <w:t xml:space="preserve">  </w:t>
      </w:r>
      <w:r w:rsidRPr="00925F26">
        <w:rPr>
          <w:color w:val="000000" w:themeColor="text1"/>
          <w:sz w:val="16"/>
          <w:szCs w:val="16"/>
        </w:rPr>
        <w:t>т урановой руды (17449).</w:t>
      </w:r>
    </w:p>
    <w:p w14:paraId="6C5DD9EC" w14:textId="77777777" w:rsidR="00816E1B" w:rsidRPr="00925F26" w:rsidRDefault="00816E1B" w:rsidP="00925F26">
      <w:pPr>
        <w:jc w:val="both"/>
        <w:rPr>
          <w:color w:val="000000" w:themeColor="text1"/>
          <w:sz w:val="16"/>
          <w:szCs w:val="16"/>
        </w:rPr>
      </w:pPr>
    </w:p>
    <w:p w14:paraId="677E18EF" w14:textId="5F8A392C" w:rsidR="00C52CB1" w:rsidRPr="00925F26" w:rsidRDefault="00C52CB1" w:rsidP="00925F26">
      <w:pPr>
        <w:jc w:val="both"/>
        <w:rPr>
          <w:color w:val="000000" w:themeColor="text1"/>
          <w:sz w:val="16"/>
          <w:szCs w:val="16"/>
        </w:rPr>
      </w:pPr>
      <w:r w:rsidRPr="00925F26">
        <w:rPr>
          <w:color w:val="000000" w:themeColor="text1"/>
          <w:sz w:val="16"/>
          <w:szCs w:val="16"/>
        </w:rPr>
        <w:t>По настоянию генерала Гровза американские ВВС 15</w:t>
      </w:r>
      <w:r w:rsidR="00997EDF" w:rsidRPr="00925F26">
        <w:rPr>
          <w:color w:val="000000" w:themeColor="text1"/>
          <w:sz w:val="16"/>
          <w:szCs w:val="16"/>
        </w:rPr>
        <w:t xml:space="preserve">  </w:t>
      </w:r>
      <w:r w:rsidRPr="00925F26">
        <w:rPr>
          <w:color w:val="000000" w:themeColor="text1"/>
          <w:sz w:val="16"/>
          <w:szCs w:val="16"/>
        </w:rPr>
        <w:t>марта 1945</w:t>
      </w:r>
      <w:r w:rsidR="00997EDF" w:rsidRPr="00925F26">
        <w:rPr>
          <w:color w:val="000000" w:themeColor="text1"/>
          <w:sz w:val="16"/>
          <w:szCs w:val="16"/>
        </w:rPr>
        <w:t xml:space="preserve">  </w:t>
      </w:r>
      <w:r w:rsidRPr="00925F26">
        <w:rPr>
          <w:color w:val="000000" w:themeColor="text1"/>
          <w:sz w:val="16"/>
          <w:szCs w:val="16"/>
        </w:rPr>
        <w:t>г. разбомбили завод компании «Ауэр» по производству тория и урана в Ораниенбурге к</w:t>
      </w:r>
      <w:r w:rsidR="00997EDF" w:rsidRPr="00925F26">
        <w:rPr>
          <w:color w:val="000000" w:themeColor="text1"/>
          <w:sz w:val="16"/>
          <w:szCs w:val="16"/>
        </w:rPr>
        <w:t xml:space="preserve">  </w:t>
      </w:r>
      <w:r w:rsidRPr="00925F26">
        <w:rPr>
          <w:color w:val="000000" w:themeColor="text1"/>
          <w:sz w:val="16"/>
          <w:szCs w:val="16"/>
        </w:rPr>
        <w:t>северу от Берлина (советская зона). В апреле по его приказу было вывезено 1200 т урановых окисей (почти весь немецкий запас) из соляных копей в Штасфурте, попадавших в советскую зону (19847).</w:t>
      </w:r>
    </w:p>
    <w:p w14:paraId="6B8F7FBC" w14:textId="77777777" w:rsidR="00C52CB1" w:rsidRPr="00925F26" w:rsidRDefault="00C52CB1" w:rsidP="00925F26">
      <w:pPr>
        <w:jc w:val="both"/>
        <w:rPr>
          <w:color w:val="000000" w:themeColor="text1"/>
          <w:sz w:val="16"/>
          <w:szCs w:val="16"/>
        </w:rPr>
      </w:pPr>
    </w:p>
    <w:p w14:paraId="307157FA" w14:textId="77777777" w:rsidR="00934A89" w:rsidRPr="00925F26" w:rsidRDefault="00934A89" w:rsidP="00925F26">
      <w:pPr>
        <w:jc w:val="both"/>
        <w:rPr>
          <w:color w:val="000000" w:themeColor="text1"/>
          <w:sz w:val="16"/>
          <w:szCs w:val="16"/>
        </w:rPr>
      </w:pPr>
      <w:r w:rsidRPr="00925F26">
        <w:rPr>
          <w:color w:val="000000" w:themeColor="text1"/>
          <w:sz w:val="16"/>
          <w:szCs w:val="16"/>
        </w:rPr>
        <w:t>15 марта 1945 ВМС США возлагают ответственность за эвакуацию раненых на Службу воздушного транспорта ВМС (20371).</w:t>
      </w:r>
    </w:p>
    <w:p w14:paraId="0748F075" w14:textId="77777777" w:rsidR="00934A89" w:rsidRPr="00925F26" w:rsidRDefault="00934A89" w:rsidP="00925F26">
      <w:pPr>
        <w:jc w:val="both"/>
        <w:rPr>
          <w:color w:val="000000" w:themeColor="text1"/>
          <w:sz w:val="16"/>
          <w:szCs w:val="16"/>
        </w:rPr>
      </w:pPr>
    </w:p>
    <w:p w14:paraId="7CD99A6C" w14:textId="77777777" w:rsidR="00A822EC" w:rsidRPr="00925F26" w:rsidRDefault="00A822EC" w:rsidP="00925F26">
      <w:pPr>
        <w:jc w:val="both"/>
        <w:rPr>
          <w:color w:val="000000" w:themeColor="text1"/>
          <w:sz w:val="16"/>
          <w:szCs w:val="16"/>
        </w:rPr>
      </w:pPr>
      <w:r w:rsidRPr="00925F26">
        <w:rPr>
          <w:color w:val="000000" w:themeColor="text1"/>
          <w:sz w:val="16"/>
          <w:szCs w:val="16"/>
        </w:rPr>
        <w:t xml:space="preserve">15 марта 1945  г. состоялся первый запуск французской баллистической ракеты EA-1941. на полуострове Сен-Мандрие (Saint-Mandrier) у входа в гавань Тулона. Она должна была нести полезную нагрузку 25 кг на 100 км. Ракета взлетела, но потеряла стабилизацию </w:t>
      </w:r>
      <w:proofErr w:type="gramStart"/>
      <w:r w:rsidRPr="00925F26">
        <w:rPr>
          <w:color w:val="000000" w:themeColor="text1"/>
          <w:sz w:val="16"/>
          <w:szCs w:val="16"/>
        </w:rPr>
        <w:t>и  взорвалась</w:t>
      </w:r>
      <w:proofErr w:type="gramEnd"/>
      <w:r w:rsidRPr="00925F26">
        <w:rPr>
          <w:color w:val="000000" w:themeColor="text1"/>
          <w:sz w:val="16"/>
          <w:szCs w:val="16"/>
        </w:rPr>
        <w:t xml:space="preserve"> через 5 секунд. Установить причину не удалось, возможно, оторвался стабилизатор. И все же это был первый пуск ракеты с ЖРД во Франции. На 16 марта планировался запуск еще двух ракет. Но хватило и одной. Клапан не открылся, давление не росло, ракета осталась на рампе и через 10 секунд взорвалась (23372).</w:t>
      </w:r>
    </w:p>
    <w:p w14:paraId="430620D6" w14:textId="77777777" w:rsidR="00A822EC" w:rsidRPr="00925F26" w:rsidRDefault="00A822EC" w:rsidP="00925F26">
      <w:pPr>
        <w:jc w:val="both"/>
        <w:rPr>
          <w:color w:val="000000" w:themeColor="text1"/>
          <w:sz w:val="16"/>
          <w:szCs w:val="16"/>
        </w:rPr>
      </w:pPr>
    </w:p>
    <w:p w14:paraId="61B21446" w14:textId="77777777" w:rsidR="00A822EC" w:rsidRPr="00925F26" w:rsidRDefault="00A822EC"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7C0AE87" w14:textId="77777777" w:rsidR="00A822EC" w:rsidRPr="00925F26" w:rsidRDefault="00A822EC" w:rsidP="00925F26">
      <w:pPr>
        <w:autoSpaceDE w:val="0"/>
        <w:autoSpaceDN w:val="0"/>
        <w:adjustRightInd w:val="0"/>
        <w:jc w:val="both"/>
        <w:rPr>
          <w:iCs/>
          <w:color w:val="000000" w:themeColor="text1"/>
          <w:sz w:val="16"/>
          <w:szCs w:val="16"/>
        </w:rPr>
      </w:pPr>
    </w:p>
    <w:p w14:paraId="4BC767A7" w14:textId="77777777" w:rsidR="00A822EC" w:rsidRPr="00925F26" w:rsidRDefault="00A822EC" w:rsidP="00925F26">
      <w:pPr>
        <w:jc w:val="both"/>
        <w:rPr>
          <w:color w:val="000000" w:themeColor="text1"/>
          <w:sz w:val="16"/>
          <w:szCs w:val="16"/>
        </w:rPr>
      </w:pPr>
      <w:r w:rsidRPr="00925F26">
        <w:rPr>
          <w:color w:val="000000" w:themeColor="text1"/>
          <w:sz w:val="16"/>
          <w:szCs w:val="16"/>
        </w:rPr>
        <w:t>В середине марта 1945 г. был получен кондиционный двигатель для И-250. Установка его на самолет и все проверки затянулись еще на две недели, и 28 марта в соответствии с приказом НКАП для заводских испытаний машины утвердили летчика-испытателя А.П. Деева, а также ведущих инженеров от ОКБ-155 В.Н. Сорокина (по самолету) и от ЦИАМ А.И. Комиссарова (по ВРДК) (23462).</w:t>
      </w:r>
    </w:p>
    <w:p w14:paraId="3BE060F0" w14:textId="77777777" w:rsidR="00A822EC" w:rsidRPr="00925F26" w:rsidRDefault="00A822EC" w:rsidP="00925F26">
      <w:pPr>
        <w:jc w:val="both"/>
        <w:rPr>
          <w:color w:val="000000" w:themeColor="text1"/>
          <w:sz w:val="16"/>
          <w:szCs w:val="16"/>
        </w:rPr>
      </w:pPr>
    </w:p>
    <w:p w14:paraId="602BED40" w14:textId="77777777" w:rsidR="00934A89" w:rsidRPr="00925F26" w:rsidRDefault="00934A89"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0398B71" w14:textId="77777777" w:rsidR="00934A89" w:rsidRPr="00925F26" w:rsidRDefault="00934A89" w:rsidP="00925F26">
      <w:pPr>
        <w:autoSpaceDE w:val="0"/>
        <w:autoSpaceDN w:val="0"/>
        <w:adjustRightInd w:val="0"/>
        <w:jc w:val="both"/>
        <w:rPr>
          <w:iCs/>
          <w:color w:val="000000" w:themeColor="text1"/>
          <w:sz w:val="16"/>
          <w:szCs w:val="16"/>
        </w:rPr>
      </w:pPr>
    </w:p>
    <w:p w14:paraId="33838A4A" w14:textId="77777777" w:rsidR="00934A89" w:rsidRPr="00925F26" w:rsidRDefault="00934A89" w:rsidP="00925F26">
      <w:pPr>
        <w:jc w:val="both"/>
        <w:rPr>
          <w:color w:val="000000" w:themeColor="text1"/>
          <w:sz w:val="16"/>
          <w:szCs w:val="16"/>
        </w:rPr>
      </w:pPr>
      <w:r w:rsidRPr="00925F26">
        <w:rPr>
          <w:color w:val="000000" w:themeColor="text1"/>
          <w:sz w:val="16"/>
          <w:szCs w:val="16"/>
        </w:rPr>
        <w:t>С середины марта 1945 новые бронекорпуса пошли в серийное производство - на СУ-100 с этого момента нет больше вертикальной створки люка заряжающего.</w:t>
      </w:r>
    </w:p>
    <w:p w14:paraId="585CF68C" w14:textId="77777777" w:rsidR="00934A89" w:rsidRPr="00925F26" w:rsidRDefault="00934A89"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Еще одно изменение, произошедшее в марте - исчезает литера «Р.», отлитая прежде на крышке люка механика-водителя. В апре</w:t>
      </w:r>
      <w:r w:rsidRPr="00925F26">
        <w:rPr>
          <w:rFonts w:ascii="Times New Roman" w:hAnsi="Times New Roman"/>
          <w:color w:val="000000" w:themeColor="text1"/>
          <w:sz w:val="16"/>
          <w:szCs w:val="16"/>
        </w:rPr>
        <w:softHyphen/>
        <w:t>ле крышки люков с буквой уже не встречают</w:t>
      </w:r>
      <w:r w:rsidRPr="00925F26">
        <w:rPr>
          <w:rFonts w:ascii="Times New Roman" w:hAnsi="Times New Roman"/>
          <w:color w:val="000000" w:themeColor="text1"/>
          <w:sz w:val="16"/>
          <w:szCs w:val="16"/>
        </w:rPr>
        <w:softHyphen/>
        <w:t>ся на СУ-100. Любопытно, что на самоходках СУ-85 эту крышку украшала литера «С.» с точ</w:t>
      </w:r>
      <w:r w:rsidRPr="00925F26">
        <w:rPr>
          <w:rFonts w:ascii="Times New Roman" w:hAnsi="Times New Roman"/>
          <w:color w:val="000000" w:themeColor="text1"/>
          <w:sz w:val="16"/>
          <w:szCs w:val="16"/>
        </w:rPr>
        <w:softHyphen/>
        <w:t>кой. Документов о значении этих букв пока найти не удалось, но конструкторская логика прослеживается такая: завод УЗТМ отливал броневые детали для многих боевых машин, в том числе и поставлял их другим заводам. У самоходок СУ-122 люк механика-водителя был намного уже «тридчатьчетверочного», так что перепутать эти крышки с танковыми было невозможно. А вот крышка люка СУ-85 внешне была очень похожа на крышку для люка Т-34, отличаясь лишь в деталях, поэтому ее маркировали литерой «С.» - «самоход» (так именовались машины в заводских доку</w:t>
      </w:r>
      <w:r w:rsidRPr="00925F26">
        <w:rPr>
          <w:rFonts w:ascii="Times New Roman" w:hAnsi="Times New Roman"/>
          <w:color w:val="000000" w:themeColor="text1"/>
          <w:sz w:val="16"/>
          <w:szCs w:val="16"/>
        </w:rPr>
        <w:softHyphen/>
        <w:t>ментах 1940-х годов). В свою очередь, новая аналогичная деталь СУ-100 уже не нуждалась в спе</w:t>
      </w:r>
      <w:r w:rsidRPr="00925F26">
        <w:rPr>
          <w:rFonts w:ascii="Times New Roman" w:hAnsi="Times New Roman"/>
          <w:color w:val="000000" w:themeColor="text1"/>
          <w:sz w:val="16"/>
          <w:szCs w:val="16"/>
        </w:rPr>
        <w:softHyphen/>
        <w:t>циальной маркировке, но литера «Р.» («рав</w:t>
      </w:r>
      <w:r w:rsidRPr="00925F26">
        <w:rPr>
          <w:rFonts w:ascii="Times New Roman" w:hAnsi="Times New Roman"/>
          <w:color w:val="000000" w:themeColor="text1"/>
          <w:sz w:val="16"/>
          <w:szCs w:val="16"/>
        </w:rPr>
        <w:softHyphen/>
        <w:t>нопрочная») исчезла лишь при изготовлении новой литьевой оснастки - понятно, что толь</w:t>
      </w:r>
      <w:r w:rsidRPr="00925F26">
        <w:rPr>
          <w:rFonts w:ascii="Times New Roman" w:hAnsi="Times New Roman"/>
          <w:color w:val="000000" w:themeColor="text1"/>
          <w:sz w:val="16"/>
          <w:szCs w:val="16"/>
        </w:rPr>
        <w:softHyphen/>
        <w:t>ко ради ликвидации буквы никто бы ее менять не стал, это делалось лишь по износу или при необходимости изменить конструк</w:t>
      </w:r>
      <w:r w:rsidRPr="00925F26">
        <w:rPr>
          <w:rFonts w:ascii="Times New Roman" w:hAnsi="Times New Roman"/>
          <w:color w:val="000000" w:themeColor="text1"/>
          <w:sz w:val="16"/>
          <w:szCs w:val="16"/>
        </w:rPr>
        <w:softHyphen/>
        <w:t>цию. Применительно к крышке люка мехвода СУ-100 термин «равнопрочность» приме</w:t>
      </w:r>
      <w:r w:rsidRPr="00925F26">
        <w:rPr>
          <w:rFonts w:ascii="Times New Roman" w:hAnsi="Times New Roman"/>
          <w:color w:val="000000" w:themeColor="text1"/>
          <w:sz w:val="16"/>
          <w:szCs w:val="16"/>
        </w:rPr>
        <w:softHyphen/>
        <w:t>няется в рукописном «Кратком техническом описании головного образца» (ЦАМО фонд 38 опись 11369 дело 460), составленном в июне 1944 г. на УЗТМ, что и дает возможность предложить именно такую расшифровку загадочной буквы «Р.» на нем (19927).</w:t>
      </w:r>
    </w:p>
    <w:p w14:paraId="016B4582" w14:textId="77777777" w:rsidR="00934A89" w:rsidRPr="00925F26" w:rsidRDefault="00934A89" w:rsidP="00925F26">
      <w:pPr>
        <w:pStyle w:val="260"/>
        <w:shd w:val="clear" w:color="auto" w:fill="auto"/>
        <w:spacing w:line="240" w:lineRule="auto"/>
        <w:jc w:val="both"/>
        <w:rPr>
          <w:rFonts w:ascii="Times New Roman" w:hAnsi="Times New Roman"/>
          <w:color w:val="000000" w:themeColor="text1"/>
          <w:sz w:val="16"/>
          <w:szCs w:val="16"/>
        </w:rPr>
      </w:pPr>
    </w:p>
    <w:p w14:paraId="7B24333F"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6CF0414" w14:textId="77777777" w:rsidR="00524C9D" w:rsidRPr="00925F26" w:rsidRDefault="00524C9D" w:rsidP="00925F26">
      <w:pPr>
        <w:autoSpaceDE w:val="0"/>
        <w:autoSpaceDN w:val="0"/>
        <w:adjustRightInd w:val="0"/>
        <w:jc w:val="both"/>
        <w:rPr>
          <w:iCs/>
          <w:color w:val="000000" w:themeColor="text1"/>
          <w:sz w:val="16"/>
          <w:szCs w:val="16"/>
        </w:rPr>
      </w:pPr>
    </w:p>
    <w:p w14:paraId="3EDC47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года начальник инспекции при наркоме Волоконский и ст. инженер инспекции Калмыков писали письмо N 1463 Шахурину.</w:t>
      </w:r>
    </w:p>
    <w:p w14:paraId="23AC60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Докладная записка</w:t>
      </w:r>
    </w:p>
    <w:p w14:paraId="26F796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вопросу выполнения приказа N 382сс от 6/VI-44 г.</w:t>
      </w:r>
    </w:p>
    <w:p w14:paraId="035105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 отработке высотных самолетов.</w:t>
      </w:r>
    </w:p>
    <w:p w14:paraId="56552E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самолету гл. конструктора Лавочкина.</w:t>
      </w:r>
    </w:p>
    <w:p w14:paraId="1CED4E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Ла-7 с АШ-82ФН и 2ТК-3 должен быть сдан на летные испытания к 1/Х-44 г. Самолет производством закончен в январе с.г. и передан на заводские летные испытания. В первом контрольном полете 12/I наблюдалось сильное факеление из ТК, для выяснения причин было произведено изменение регулировки смеси. При полетах 25/I и 1/III факеление имело место на конце выхлопа мотора из-за переобогащения смеси.</w:t>
      </w:r>
    </w:p>
    <w:p w14:paraId="56DA8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производится регулировка винтомоторной группы. С мотора снят насос НВ и отправлен в ЦИАМ для тарировки.</w:t>
      </w:r>
    </w:p>
    <w:p w14:paraId="1918F7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 По самолетам гл. конструктора Яковлева.</w:t>
      </w:r>
    </w:p>
    <w:p w14:paraId="6DE5CE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Летные испытания самолета Як-9 с мотором ВК-105ПД должны быть окончены к 15/VII-44 г. Летные испытания самолета начаты с 27/IV-44 г. и до сих пор не закончены.</w:t>
      </w:r>
    </w:p>
    <w:p w14:paraId="24247C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полетах в январе выявлена неудовлетворительная работа винтомоторной группы (перебои в работе мотора на высотах 12800 м и 13000 м), высокая температура масла на выходе из мотора - 115 градусов С и падение давления масла до нижнего предела - 3,5 атм.</w:t>
      </w:r>
    </w:p>
    <w:p w14:paraId="26DB65CD"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В полетах</w:t>
      </w:r>
      <w:proofErr w:type="gramEnd"/>
      <w:r w:rsidRPr="00925F26">
        <w:rPr>
          <w:color w:val="000000" w:themeColor="text1"/>
          <w:sz w:val="16"/>
          <w:szCs w:val="16"/>
        </w:rPr>
        <w:t xml:space="preserve"> проведенных в феврале наблюдались также дефекты. Для устранения перегрева масла на больших высотах на трубе суфлера был установлен </w:t>
      </w:r>
      <w:proofErr w:type="gramStart"/>
      <w:r w:rsidRPr="00925F26">
        <w:rPr>
          <w:color w:val="000000" w:themeColor="text1"/>
          <w:sz w:val="16"/>
          <w:szCs w:val="16"/>
        </w:rPr>
        <w:t>клапан</w:t>
      </w:r>
      <w:proofErr w:type="gramEnd"/>
      <w:r w:rsidRPr="00925F26">
        <w:rPr>
          <w:color w:val="000000" w:themeColor="text1"/>
          <w:sz w:val="16"/>
          <w:szCs w:val="16"/>
        </w:rPr>
        <w:t xml:space="preserve"> создающий избыточное давление в картере до 0,1 кг/см кв. При гонке мотора на земле установка клапана вызвала недопустимый выброс масла через лабиринт вала винта. клапан был снят.</w:t>
      </w:r>
    </w:p>
    <w:p w14:paraId="49DD41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был произведен полет до высоты 12350 м, полет был прекращен из-за перегрева масла - 115 градусов С.</w:t>
      </w:r>
    </w:p>
    <w:p w14:paraId="481E89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целью устранения дефекта с 8 марта начаты работы по переделке маслосистемы самолета под двойной контур. Это мероприятие должно снизить температуру масла.</w:t>
      </w:r>
    </w:p>
    <w:p w14:paraId="56834B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Летные испытания самолета Як-3 с ВК-105П и двухступенчатым нагнетателем, проведенные в феврале до высоты 12000 метров выявили дефекты: перегрев масла на выходе из мотора - 115 градусов С и испарение воды из расширительного бачка.</w:t>
      </w:r>
    </w:p>
    <w:p w14:paraId="05F996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марта был произведен полет на определение максимальных скоростей на границе высотности. Полет был прекращен из-за окончания смеси впрыска в цилиндры и испарения воды из расходного бачка. После посадки были обнаружены: сильный выброс масла из суфлерной трубы, течь через сальники впрыска и незначительное количество блесток стружки в фильтре Куно. В результате гонки мотора на земле 9/III-с.г. стружки в фильтре не обнаружено.</w:t>
      </w:r>
    </w:p>
    <w:p w14:paraId="5316BC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к летным испытаниям подготовлен.</w:t>
      </w:r>
    </w:p>
    <w:p w14:paraId="2A38F7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III. По самолетам гл. конструктора Микояна.</w:t>
      </w:r>
    </w:p>
    <w:p w14:paraId="667F56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Летные испытания самолета Миг с АМ-39Б и 2ТК-2Б должны быть по приказу окончены к 15/VIII-44 г.</w:t>
      </w:r>
    </w:p>
    <w:p w14:paraId="3E352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 не выполнен. Летные испытания самолета, начатые 7/V-44 г. до сих пор не закончены. 24/I-45 г. самолет передан в ЛИИ.</w:t>
      </w:r>
    </w:p>
    <w:p w14:paraId="18015D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испытания не начаты из-за отсутствия мотора АМ-39Б, который должен поставить завод N 300 взамен выбывшего из строя мотора на самолете. Сроки подачи нового мотора гл. конструктор Микулин не указывает.</w:t>
      </w:r>
    </w:p>
    <w:p w14:paraId="076121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Самолет Миг с АМ-39Б и ТК-300Б в настоящее время находится на заводе N 155. На самолете производятся монтажные работы по установке ТК-300Б, поданного заводом N 300 только 13/III-с.г. По состоянию работ самолет может быть оборудован ТК-300Б - к 19/III-45 г.</w:t>
      </w:r>
    </w:p>
    <w:p w14:paraId="345E73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Выполнение приказа Наркомавиапрома N 382сс, по отработке высотных истребителей, затянулось вследствие больших доработок, проводимых в процессе летных испытаний по винтомоторной группе, особенно по самолетам гл. конструктора Микояна (2592,223).</w:t>
      </w:r>
    </w:p>
    <w:p w14:paraId="26812A59" w14:textId="77777777" w:rsidR="00665165" w:rsidRPr="00925F26" w:rsidRDefault="00665165" w:rsidP="00925F26">
      <w:pPr>
        <w:autoSpaceDE w:val="0"/>
        <w:autoSpaceDN w:val="0"/>
        <w:adjustRightInd w:val="0"/>
        <w:jc w:val="both"/>
        <w:rPr>
          <w:color w:val="000000" w:themeColor="text1"/>
          <w:sz w:val="16"/>
          <w:szCs w:val="16"/>
        </w:rPr>
      </w:pPr>
    </w:p>
    <w:p w14:paraId="44426B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года Шахурин писал письмо N Н-35/1271 наркому ВМФ адмиралу флота Кузнецову Н.Г.</w:t>
      </w:r>
    </w:p>
    <w:p w14:paraId="4311BF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Для рассмотрения вопроса о проектировании новых типов палубных самолетов, предназначенных для кораблей-авианосцев, и установления возможности применения в этих целях существующих самолетов, прошу Вас дать указание выслать тактико-технические требования ВВС ВМФ ко всем типам самолетов, указанным в Вашем письме от 25 января с.г. за N 109сс (2595).</w:t>
      </w:r>
    </w:p>
    <w:p w14:paraId="1AFD61CF" w14:textId="77777777" w:rsidR="00665165" w:rsidRPr="00925F26" w:rsidRDefault="00665165" w:rsidP="00925F26">
      <w:pPr>
        <w:autoSpaceDE w:val="0"/>
        <w:autoSpaceDN w:val="0"/>
        <w:adjustRightInd w:val="0"/>
        <w:jc w:val="both"/>
        <w:rPr>
          <w:color w:val="000000" w:themeColor="text1"/>
          <w:sz w:val="16"/>
          <w:szCs w:val="16"/>
        </w:rPr>
      </w:pPr>
    </w:p>
    <w:p w14:paraId="059E13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года А. Шахурин писал письмо зам. председателя СНК Микояну А.И.:</w:t>
      </w:r>
    </w:p>
    <w:p w14:paraId="1C534C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площадях бывш. Лианозовского кирпичного завода организован завод № 3 треста № 41 НКАП, выпускающий оборудование, боеприпасы, сложное литье и имеющий в своем составе уникальные производства – светосоставов (связанное с переработкой радия) и трубчатых электрических нагревателей.</w:t>
      </w:r>
    </w:p>
    <w:p w14:paraId="42AD23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Бывш. завод металлоконструкций в Стаханове реконструирован в завод № 11 треста № 41, изготовляющий для заводов НКАП тяжелое нестандартное оборудование (моечные машины, вагранки, механизмы для внутризаводского транспорта) и литье (8959).</w:t>
      </w:r>
    </w:p>
    <w:p w14:paraId="073C9FDF" w14:textId="77777777" w:rsidR="00665165" w:rsidRPr="00925F26" w:rsidRDefault="00665165" w:rsidP="00925F26">
      <w:pPr>
        <w:autoSpaceDE w:val="0"/>
        <w:autoSpaceDN w:val="0"/>
        <w:adjustRightInd w:val="0"/>
        <w:jc w:val="both"/>
        <w:rPr>
          <w:color w:val="000000" w:themeColor="text1"/>
          <w:sz w:val="16"/>
          <w:szCs w:val="16"/>
        </w:rPr>
      </w:pPr>
    </w:p>
    <w:p w14:paraId="3BCDF3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года А. Шахурин писал письмо зам. председателя СНК Вознесенскому Н.А.</w:t>
      </w:r>
    </w:p>
    <w:p w14:paraId="66FC6B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ГКО от 14 марта 1944 года № 5398сс, завод № 487 ликвидирован как уставная организация, изготовляющая авиационное вооружение.</w:t>
      </w:r>
    </w:p>
    <w:p w14:paraId="7CAD52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(гл. конструктор Шебанов И.П.), состоявшее при заводе № 487, имеющий утвержденный НКАП отдельный, не связанный с заводом план работ по проектированию и изготовлению опытных образцов установок авиавооружения продолжает свою деятельность на прежних площадях.</w:t>
      </w:r>
    </w:p>
    <w:p w14:paraId="2055DB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разрешения на реорганизацию ОКБ при бывш. заводе № 487 в самостоятельное уставное ОКБ с подчинением его непосредственно 7-му гл. управлению НКАП и с присвоением ему наименования “ОКБ № 4 НКАП” (8959).</w:t>
      </w:r>
    </w:p>
    <w:p w14:paraId="18CAEAB9" w14:textId="77777777" w:rsidR="00665165" w:rsidRPr="00925F26" w:rsidRDefault="00665165" w:rsidP="00925F26">
      <w:pPr>
        <w:autoSpaceDE w:val="0"/>
        <w:autoSpaceDN w:val="0"/>
        <w:adjustRightInd w:val="0"/>
        <w:jc w:val="both"/>
        <w:rPr>
          <w:color w:val="000000" w:themeColor="text1"/>
          <w:sz w:val="16"/>
          <w:szCs w:val="16"/>
        </w:rPr>
      </w:pPr>
    </w:p>
    <w:p w14:paraId="3B9B75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года вышел приказ НКАП:</w:t>
      </w:r>
    </w:p>
    <w:p w14:paraId="55EC15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Утвердить Бибикова Я.Л. начальником НИИ-1 НКАП</w:t>
      </w:r>
    </w:p>
    <w:p w14:paraId="5D14A3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Утвердить Пережогина Б.А. директором завода № 28 (8958)</w:t>
      </w:r>
    </w:p>
    <w:p w14:paraId="7BDB5E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Б.Л.Ванников обратился к зам. ГОКО Л.П.Б. с предложением о создании новой проектно-конструкторской организации ЦКБ по РС № 1, мотивируя необходимостью совершенствования М-13, М-13дд, М-31, М-31УК. Предполагал разместить в Люберцах на заводе НКБ, а на первых порах - на заводе 67 (8633,9).</w:t>
      </w:r>
    </w:p>
    <w:p w14:paraId="29CB45AC" w14:textId="77777777" w:rsidR="00665165" w:rsidRPr="00925F26" w:rsidRDefault="00665165" w:rsidP="00925F26">
      <w:pPr>
        <w:autoSpaceDE w:val="0"/>
        <w:autoSpaceDN w:val="0"/>
        <w:adjustRightInd w:val="0"/>
        <w:jc w:val="both"/>
        <w:rPr>
          <w:color w:val="000000" w:themeColor="text1"/>
          <w:sz w:val="16"/>
          <w:szCs w:val="16"/>
        </w:rPr>
      </w:pPr>
    </w:p>
    <w:p w14:paraId="763CAE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марта 1945 г. нарком боеприпасов Б.Л. Ванников обратился к заместителю предсе</w:t>
      </w:r>
      <w:r w:rsidRPr="00925F26">
        <w:rPr>
          <w:color w:val="000000" w:themeColor="text1"/>
          <w:sz w:val="16"/>
          <w:szCs w:val="16"/>
        </w:rPr>
        <w:softHyphen/>
        <w:t>дателя ГКО Л.П. Берии с предложения</w:t>
      </w:r>
      <w:r w:rsidRPr="00925F26">
        <w:rPr>
          <w:color w:val="000000" w:themeColor="text1"/>
          <w:sz w:val="16"/>
          <w:szCs w:val="16"/>
        </w:rPr>
        <w:softHyphen/>
        <w:t>ми о создании новой проектно-конст-рукторской организации — Централь</w:t>
      </w:r>
      <w:r w:rsidRPr="00925F26">
        <w:rPr>
          <w:color w:val="000000" w:themeColor="text1"/>
          <w:sz w:val="16"/>
          <w:szCs w:val="16"/>
        </w:rPr>
        <w:softHyphen/>
        <w:t>ного конструкторского бюро по реак</w:t>
      </w:r>
      <w:r w:rsidRPr="00925F26">
        <w:rPr>
          <w:color w:val="000000" w:themeColor="text1"/>
          <w:sz w:val="16"/>
          <w:szCs w:val="16"/>
        </w:rPr>
        <w:softHyphen/>
        <w:t>тивным снарядам. Разместить это КБ предлагалось в Москве на территории завода №67 (бывший «Мастяжарт» — Мастерские тяжелой артиллерии) на Ве-льяминовской улице (11090).</w:t>
      </w:r>
    </w:p>
    <w:p w14:paraId="10ED14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238DB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года Решением ГКО от образован "Военаэропроект" (10515).</w:t>
      </w:r>
    </w:p>
    <w:p w14:paraId="0A36810B" w14:textId="77777777" w:rsidR="00665165" w:rsidRPr="00925F26" w:rsidRDefault="00665165" w:rsidP="00925F26">
      <w:pPr>
        <w:autoSpaceDE w:val="0"/>
        <w:autoSpaceDN w:val="0"/>
        <w:adjustRightInd w:val="0"/>
        <w:jc w:val="both"/>
        <w:rPr>
          <w:color w:val="000000" w:themeColor="text1"/>
          <w:sz w:val="16"/>
          <w:szCs w:val="16"/>
        </w:rPr>
      </w:pPr>
    </w:p>
    <w:p w14:paraId="680148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7850 О неотложных мерах по обеспечению отгрузки авиафанерной березы и авиационной сосны. РГАНИР, Фонд ГКО, д. 382, лл. 1-4, 5-8 (11012).</w:t>
      </w:r>
    </w:p>
    <w:p w14:paraId="1439F31C" w14:textId="77777777" w:rsidR="00665165" w:rsidRPr="00925F26" w:rsidRDefault="00665165" w:rsidP="00925F26">
      <w:pPr>
        <w:autoSpaceDE w:val="0"/>
        <w:autoSpaceDN w:val="0"/>
        <w:adjustRightInd w:val="0"/>
        <w:jc w:val="both"/>
        <w:rPr>
          <w:color w:val="000000" w:themeColor="text1"/>
          <w:sz w:val="16"/>
          <w:szCs w:val="16"/>
        </w:rPr>
      </w:pPr>
    </w:p>
    <w:p w14:paraId="0E30451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CD6C3D0" w14:textId="77777777" w:rsidR="00665165" w:rsidRPr="00925F26" w:rsidRDefault="00665165" w:rsidP="00925F26">
      <w:pPr>
        <w:autoSpaceDE w:val="0"/>
        <w:autoSpaceDN w:val="0"/>
        <w:adjustRightInd w:val="0"/>
        <w:jc w:val="both"/>
        <w:rPr>
          <w:iCs/>
          <w:color w:val="000000" w:themeColor="text1"/>
          <w:sz w:val="16"/>
          <w:szCs w:val="16"/>
        </w:rPr>
      </w:pPr>
    </w:p>
    <w:p w14:paraId="062301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Государственного Комитета Обороны, согласно которому изготовление серии 180/57-мм одноорудийной щитовой установки МУ-1 было произведено без предварительной постройки и испытания головного образца. Завод "Баррикады" изготовил серию в 12 качающихся частей МУ-1 в 1947 году. Двенадцать установок МУ-1 изготовил ЛМЗ. Причем клепаный стол был заменен на сварной. Головной образец МУ-1 (ствол №3, станок №2) был испытан на полигоне в два этапа: с 26.10.1947 г. по 3.12.1947 г. и с 19.02.1948 г. по 20.03.1948 г. Всего сделано 352 выстрела. Результаты признаны удовлетворительными и МУ-1 рекомендована к принятию на вооружение. Первые четыре установки МУ-1(№№ 5, 6, 7 и 8) в соответствии с Постановлением СМ от 30.12.1949 г. в 1952 году были смонтированы на батарее № 127 в Порт-Артуре. Строилась батарея с 1950 года по 1953 год. Государственные испытания батареи были проведены с ноября 1953 года по январь 1954 года. Приказом Главкома ВМС от 9.04.1954 г. 180-мм четырехорудийная батарея МУ-1 с ПУС "Москва-2с-ЦМ" была принята в состав береговой обороны Порт-Артура. В 1953 году на Камчатке у мыса Безымянный было начато строительство батареи №41 в составе 4-х установок МУ-1. Батарея была введена в строй в 1957 году. Директивой Главного штаба ВМФ от 12.03.1974 г. батарея была расформирована. В палубном варианте МУ-1 предполагалось устанавливать на кораблях, а в береговом варианте в одноорудийных башнях. Кроме того, качающаяся часть МУ-1 могла быть установлена на ТМ-1-180, МО-1-180 и МБ-2-180 (3861).</w:t>
      </w:r>
    </w:p>
    <w:p w14:paraId="07FFED06" w14:textId="77777777" w:rsidR="00665165" w:rsidRPr="00925F26" w:rsidRDefault="00665165" w:rsidP="00925F26">
      <w:pPr>
        <w:autoSpaceDE w:val="0"/>
        <w:autoSpaceDN w:val="0"/>
        <w:adjustRightInd w:val="0"/>
        <w:jc w:val="both"/>
        <w:rPr>
          <w:color w:val="000000" w:themeColor="text1"/>
          <w:sz w:val="16"/>
          <w:szCs w:val="16"/>
        </w:rPr>
      </w:pPr>
    </w:p>
    <w:p w14:paraId="0034AE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марта 1945 г. опытный образец танка ИС-3 № 2 поступил на НИБТ полигон для испытаний, которые продолжались до середины апреля 1945 г. 14 апреля 1945 г. комиссия представила отчет по испытаниям танка, в котором рекомендовала танк ИС-3 ("Объект 703") для приня</w:t>
      </w:r>
      <w:r w:rsidRPr="00925F26">
        <w:rPr>
          <w:color w:val="000000" w:themeColor="text1"/>
          <w:sz w:val="16"/>
          <w:szCs w:val="16"/>
        </w:rPr>
        <w:softHyphen/>
        <w:t>тия в серийное производство, с устранением недостатков, отмеченных в отчете (10703).</w:t>
      </w:r>
    </w:p>
    <w:p w14:paraId="0012D0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CC5470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марта 1945 вышло Распоряжение ГКО № 7842 [Об увеличении нормы вагонов для отгрузки крепежного леса на март 1945 г.] (7316, 135).</w:t>
      </w:r>
    </w:p>
    <w:p w14:paraId="67422BB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0933BA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7844 Об усилении погрузки угля по железным дорогам во второй половине марта 1945 г. (7316, 138-140).</w:t>
      </w:r>
    </w:p>
    <w:p w14:paraId="5B65714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DB6AB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7845 Об обеспечении завоза руды для Кузнецкого металлургического комбината Наркомчермета в марте и II квартале 1945 года. РГАНИР, Фонд ГКО, д. 381, лл. 141-143 (11012).</w:t>
      </w:r>
    </w:p>
    <w:p w14:paraId="43EF3AE1" w14:textId="77777777" w:rsidR="00665165" w:rsidRPr="00925F26" w:rsidRDefault="00665165" w:rsidP="00925F26">
      <w:pPr>
        <w:autoSpaceDE w:val="0"/>
        <w:autoSpaceDN w:val="0"/>
        <w:adjustRightInd w:val="0"/>
        <w:jc w:val="both"/>
        <w:rPr>
          <w:color w:val="000000" w:themeColor="text1"/>
          <w:sz w:val="16"/>
          <w:szCs w:val="16"/>
        </w:rPr>
      </w:pPr>
    </w:p>
    <w:p w14:paraId="4BB2AD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7846 Об увеличении производства и поставки НКО ССР 100 мм снарядов. РГАНИР, Фонд ГКО, д. 381, лл. 144-146, 147-158 (11012).</w:t>
      </w:r>
    </w:p>
    <w:p w14:paraId="20A46625" w14:textId="77777777" w:rsidR="00665165" w:rsidRPr="00925F26" w:rsidRDefault="00665165" w:rsidP="00925F26">
      <w:pPr>
        <w:autoSpaceDE w:val="0"/>
        <w:autoSpaceDN w:val="0"/>
        <w:adjustRightInd w:val="0"/>
        <w:jc w:val="both"/>
        <w:rPr>
          <w:color w:val="000000" w:themeColor="text1"/>
          <w:sz w:val="16"/>
          <w:szCs w:val="16"/>
        </w:rPr>
      </w:pPr>
    </w:p>
    <w:p w14:paraId="5DEF5E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7847 О восстановлении Таллинского энергетического узла и обеспечении электроэнергией оборонительных сооружений и военно-морских баз, расположенных на территории Эстонской ССР. РГАНИР, Фонд ГКО, д. 381, лл. 159-163, 164-165 (11012).</w:t>
      </w:r>
    </w:p>
    <w:p w14:paraId="4301870A" w14:textId="77777777" w:rsidR="00665165" w:rsidRPr="00925F26" w:rsidRDefault="00665165" w:rsidP="00925F26">
      <w:pPr>
        <w:autoSpaceDE w:val="0"/>
        <w:autoSpaceDN w:val="0"/>
        <w:adjustRightInd w:val="0"/>
        <w:jc w:val="both"/>
        <w:rPr>
          <w:color w:val="000000" w:themeColor="text1"/>
          <w:sz w:val="16"/>
          <w:szCs w:val="16"/>
        </w:rPr>
      </w:pPr>
    </w:p>
    <w:p w14:paraId="2CA667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7848 О производстве новых радиопередатчиков, радиоприемников и радиовысотомеров для истребительной, штурмовой, бомбардировочной и транспортной авиации. РГАНИР, Фонд ГКО, д. 381, лл. 166-168, 169-172 (11012).</w:t>
      </w:r>
    </w:p>
    <w:p w14:paraId="06CB033C" w14:textId="77777777" w:rsidR="00665165" w:rsidRPr="00925F26" w:rsidRDefault="00665165" w:rsidP="00925F26">
      <w:pPr>
        <w:autoSpaceDE w:val="0"/>
        <w:autoSpaceDN w:val="0"/>
        <w:adjustRightInd w:val="0"/>
        <w:jc w:val="both"/>
        <w:rPr>
          <w:color w:val="000000" w:themeColor="text1"/>
          <w:sz w:val="16"/>
          <w:szCs w:val="16"/>
        </w:rPr>
      </w:pPr>
    </w:p>
    <w:p w14:paraId="3547D5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7849 О производстве башенных и открытых артиллерийских установок для Военно-Морского Флота на Ленинградском Металлическом заводе им. Сталина Наркомтяжмаша. РГАНИР, Фонд ГКО, д. 381, лл. 173-176, 177-193 (11012).</w:t>
      </w:r>
    </w:p>
    <w:p w14:paraId="1FC960DC" w14:textId="77777777" w:rsidR="00665165" w:rsidRPr="00925F26" w:rsidRDefault="00665165" w:rsidP="00925F26">
      <w:pPr>
        <w:autoSpaceDE w:val="0"/>
        <w:autoSpaceDN w:val="0"/>
        <w:adjustRightInd w:val="0"/>
        <w:jc w:val="both"/>
        <w:rPr>
          <w:color w:val="000000" w:themeColor="text1"/>
          <w:sz w:val="16"/>
          <w:szCs w:val="16"/>
        </w:rPr>
      </w:pPr>
    </w:p>
    <w:p w14:paraId="0B959F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 вышло постановление ГКО № 7849 о производстве башенных и открытых артустановок на заводе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925F26">
        <w:rPr>
          <w:color w:val="000000" w:themeColor="text1"/>
          <w:sz w:val="16"/>
          <w:szCs w:val="16"/>
          <w:lang w:val="en-US"/>
        </w:rPr>
        <w:t>JIM</w:t>
      </w:r>
      <w:r w:rsidRPr="00925F26">
        <w:rPr>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w:t>
      </w:r>
    </w:p>
    <w:p w14:paraId="0602B7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3153A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925F26">
        <w:rPr>
          <w:color w:val="000000" w:themeColor="text1"/>
          <w:sz w:val="16"/>
          <w:szCs w:val="16"/>
          <w:vertAlign w:val="superscript"/>
        </w:rPr>
        <w:t>142</w:t>
      </w:r>
    </w:p>
    <w:p w14:paraId="722CB9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38DD91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925F26">
        <w:rPr>
          <w:color w:val="000000" w:themeColor="text1"/>
          <w:sz w:val="16"/>
          <w:szCs w:val="16"/>
          <w:vertAlign w:val="superscript"/>
        </w:rPr>
        <w:t>77</w:t>
      </w:r>
    </w:p>
    <w:p w14:paraId="272964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1956 г. начат выпуск газовых турбин. Всего на ЛМЗ изготовлено (на начало 2000-</w:t>
      </w:r>
      <w:proofErr w:type="gramStart"/>
      <w:r w:rsidRPr="00925F26">
        <w:rPr>
          <w:color w:val="000000" w:themeColor="text1"/>
          <w:sz w:val="16"/>
          <w:szCs w:val="16"/>
        </w:rPr>
        <w:t>х  г.</w:t>
      </w:r>
      <w:proofErr w:type="gramEnd"/>
      <w:r w:rsidRPr="00925F26">
        <w:rPr>
          <w:color w:val="000000" w:themeColor="text1"/>
          <w:sz w:val="16"/>
          <w:szCs w:val="16"/>
        </w:rPr>
        <w:t>) 2750 турбин. В 1958 г. начат выпуск газотурбинных установок.</w:t>
      </w:r>
    </w:p>
    <w:p w14:paraId="79EE0D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1970 г. спроектирована гидротурбина для Саянской ГЭС мощностью 815 МВт.</w:t>
      </w:r>
    </w:p>
    <w:p w14:paraId="3C8A7A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25.11.1992 г. завод акционирован и преобразован в АООТ, затем - ОАО ЛМЗ.</w:t>
      </w:r>
      <w:r w:rsidRPr="00925F26">
        <w:rPr>
          <w:color w:val="000000" w:themeColor="text1"/>
          <w:sz w:val="16"/>
          <w:szCs w:val="16"/>
          <w:vertAlign w:val="superscript"/>
        </w:rPr>
        <w:t>131</w:t>
      </w:r>
    </w:p>
    <w:p w14:paraId="278AFE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1A60F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Производство (2000-</w:t>
      </w:r>
      <w:proofErr w:type="gramStart"/>
      <w:r w:rsidRPr="00925F26">
        <w:rPr>
          <w:color w:val="000000" w:themeColor="text1"/>
          <w:sz w:val="16"/>
          <w:szCs w:val="16"/>
        </w:rPr>
        <w:t>е  г.</w:t>
      </w:r>
      <w:proofErr w:type="gramEnd"/>
      <w:r w:rsidRPr="00925F26">
        <w:rPr>
          <w:color w:val="000000" w:themeColor="text1"/>
          <w:sz w:val="16"/>
          <w:szCs w:val="16"/>
        </w:rPr>
        <w:t>): газотурбинные установки; паровые турбины для ТЭЦ, АЭС.</w:t>
      </w:r>
    </w:p>
    <w:p w14:paraId="14150E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ЛМЗ являлся филиалом концерна «Силовые машины» (2002 г.).</w:t>
      </w:r>
    </w:p>
    <w:p w14:paraId="06C9F4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(1996 г.)- 9970 чел., (1998 г.)- около 5 тыс. чел.</w:t>
      </w:r>
    </w:p>
    <w:p w14:paraId="0CB88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(12.1937 г.)- Тылочкин, (-09-11.1938 г.-)- Н. Г. Никитин, (02.1942 г.)- Седов.</w:t>
      </w:r>
      <w:r w:rsidRPr="00925F26">
        <w:rPr>
          <w:color w:val="000000" w:themeColor="text1"/>
          <w:sz w:val="16"/>
          <w:szCs w:val="16"/>
          <w:vertAlign w:val="superscript"/>
        </w:rPr>
        <w:t>65</w:t>
      </w:r>
      <w:r w:rsidRPr="00925F26">
        <w:rPr>
          <w:color w:val="000000" w:themeColor="text1"/>
          <w:sz w:val="16"/>
          <w:szCs w:val="16"/>
        </w:rPr>
        <w:t xml:space="preserve"> Гендиректор (-1998-99 г.- )- В. Чернышев, (-2003-02.2004 г.)- В. Шевченко, (02.2004 г.-)- И. Сорочан.</w:t>
      </w:r>
    </w:p>
    <w:p w14:paraId="1E216A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Гендиректора (-1990 г.)- В.К. Глухих. Зам. гендиректора (-02.2004 г.)- И. Сорочан.</w:t>
      </w:r>
      <w:r w:rsidRPr="00925F26">
        <w:rPr>
          <w:color w:val="000000" w:themeColor="text1"/>
          <w:sz w:val="16"/>
          <w:szCs w:val="16"/>
          <w:vertAlign w:val="superscript"/>
        </w:rPr>
        <w:t>1ш</w:t>
      </w:r>
      <w:r w:rsidRPr="00925F26">
        <w:rPr>
          <w:color w:val="000000" w:themeColor="text1"/>
          <w:sz w:val="16"/>
          <w:szCs w:val="16"/>
        </w:rPr>
        <w:t>*</w:t>
      </w:r>
      <w:r w:rsidRPr="00925F26">
        <w:rPr>
          <w:color w:val="000000" w:themeColor="text1"/>
          <w:sz w:val="16"/>
          <w:szCs w:val="16"/>
          <w:vertAlign w:val="superscript"/>
        </w:rPr>
        <w:t>йпмоГ8</w:t>
      </w:r>
    </w:p>
    <w:p w14:paraId="02EFDD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Технический директор (04.1937 г.)-проф. М.И. Гринбер г.</w:t>
      </w:r>
    </w:p>
    <w:p w14:paraId="4721CA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(11.1938 г.)- Н. Г. Шанцев, (-1990 г.)- В.К. Глухих.</w:t>
      </w:r>
      <w:r w:rsidRPr="00925F26">
        <w:rPr>
          <w:color w:val="000000" w:themeColor="text1"/>
          <w:sz w:val="16"/>
          <w:szCs w:val="16"/>
          <w:vertAlign w:val="superscript"/>
        </w:rPr>
        <w:t>49</w:t>
      </w:r>
    </w:p>
    <w:p w14:paraId="76693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Помощник гл. инженера (-1912-14 г.-)- В. Смыслов.</w:t>
      </w:r>
    </w:p>
    <w:p w14:paraId="3DC334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(1938 г.)- Захаров.</w:t>
      </w:r>
    </w:p>
    <w:p w14:paraId="04B4E7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котельного (1912 г.)- Ф.К. Тихонов; (1946 г.)- В.А. Носанов.</w:t>
      </w:r>
    </w:p>
    <w:p w14:paraId="2B1D4F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1E9103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строитель (1913 г.-)- В.Н. Корнилович.</w:t>
      </w:r>
    </w:p>
    <w:p w14:paraId="3C47F5D8"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ПЛ С.К. Джевецкого «Почтовый» (1906-), эсминец типа «Орфей» (1917)- 8, тральщик типа «Ударник» (1917-, не достроены)- 8;</w:t>
      </w:r>
      <w:r w:rsidRPr="00925F26">
        <w:rPr>
          <w:iCs/>
          <w:color w:val="000000" w:themeColor="text1"/>
          <w:sz w:val="16"/>
          <w:szCs w:val="16"/>
        </w:rPr>
        <w:t xml:space="preserve"> артиллерийские башни:</w:t>
      </w:r>
      <w:r w:rsidRPr="00925F26">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925F26">
        <w:rPr>
          <w:iCs/>
          <w:color w:val="000000" w:themeColor="text1"/>
          <w:sz w:val="16"/>
          <w:szCs w:val="16"/>
        </w:rPr>
        <w:t xml:space="preserve"> турбины:</w:t>
      </w:r>
      <w:r w:rsidRPr="00925F26">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2FAF3710" w14:textId="77777777" w:rsidR="00665165" w:rsidRPr="00925F26" w:rsidRDefault="00665165" w:rsidP="00925F26">
      <w:pPr>
        <w:jc w:val="both"/>
        <w:rPr>
          <w:color w:val="000000" w:themeColor="text1"/>
          <w:sz w:val="16"/>
          <w:szCs w:val="16"/>
        </w:rPr>
      </w:pPr>
      <w:r w:rsidRPr="00925F26">
        <w:rPr>
          <w:color w:val="000000" w:themeColor="text1"/>
          <w:sz w:val="16"/>
          <w:szCs w:val="16"/>
        </w:rPr>
        <w:t>КБ-1 ЛМЗ</w:t>
      </w:r>
    </w:p>
    <w:p w14:paraId="6FE02140" w14:textId="77777777" w:rsidR="00665165" w:rsidRPr="00925F26" w:rsidRDefault="00665165" w:rsidP="00925F26">
      <w:pPr>
        <w:jc w:val="both"/>
        <w:rPr>
          <w:color w:val="000000" w:themeColor="text1"/>
          <w:sz w:val="16"/>
          <w:szCs w:val="16"/>
        </w:rPr>
      </w:pPr>
      <w:r w:rsidRPr="00925F26">
        <w:rPr>
          <w:color w:val="000000" w:themeColor="text1"/>
          <w:sz w:val="16"/>
          <w:szCs w:val="16"/>
        </w:rPr>
        <w:t>До ВОВ - разработка корабельных артиллерийских башен.61 В 1920-</w:t>
      </w:r>
      <w:proofErr w:type="gramStart"/>
      <w:r w:rsidRPr="00925F26">
        <w:rPr>
          <w:color w:val="000000" w:themeColor="text1"/>
          <w:sz w:val="16"/>
          <w:szCs w:val="16"/>
        </w:rPr>
        <w:t>е  г.</w:t>
      </w:r>
      <w:proofErr w:type="gramEnd"/>
      <w:r w:rsidRPr="00925F26">
        <w:rPr>
          <w:color w:val="000000" w:themeColor="text1"/>
          <w:sz w:val="16"/>
          <w:szCs w:val="16"/>
        </w:rPr>
        <w:t xml:space="preserve">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468762F" w14:textId="77777777" w:rsidR="00665165" w:rsidRPr="00925F26" w:rsidRDefault="00665165" w:rsidP="00925F26">
      <w:pPr>
        <w:jc w:val="both"/>
        <w:rPr>
          <w:color w:val="000000" w:themeColor="text1"/>
          <w:sz w:val="16"/>
          <w:szCs w:val="16"/>
        </w:rPr>
      </w:pPr>
      <w:r w:rsidRPr="00925F26">
        <w:rPr>
          <w:color w:val="000000" w:themeColor="text1"/>
          <w:sz w:val="16"/>
          <w:szCs w:val="16"/>
        </w:rPr>
        <w:t>В конце 1940-</w:t>
      </w:r>
      <w:proofErr w:type="gramStart"/>
      <w:r w:rsidRPr="00925F26">
        <w:rPr>
          <w:color w:val="000000" w:themeColor="text1"/>
          <w:sz w:val="16"/>
          <w:szCs w:val="16"/>
        </w:rPr>
        <w:t>х  г.</w:t>
      </w:r>
      <w:proofErr w:type="gramEnd"/>
      <w:r w:rsidRPr="00925F26">
        <w:rPr>
          <w:color w:val="000000" w:themeColor="text1"/>
          <w:sz w:val="16"/>
          <w:szCs w:val="16"/>
        </w:rPr>
        <w:t xml:space="preserve"> начата разработка 3-орудийной башенной установки СМ-31 для 305-мм пушек СМ-33 (совместно с ЦКБ-34), в 1953 г. работы прекращены.</w:t>
      </w:r>
    </w:p>
    <w:p w14:paraId="368AAC23" w14:textId="77777777" w:rsidR="00665165" w:rsidRPr="00925F26" w:rsidRDefault="00665165" w:rsidP="00925F26">
      <w:pPr>
        <w:jc w:val="both"/>
        <w:rPr>
          <w:color w:val="000000" w:themeColor="text1"/>
          <w:sz w:val="16"/>
          <w:szCs w:val="16"/>
        </w:rPr>
      </w:pPr>
      <w:r w:rsidRPr="00925F26">
        <w:rPr>
          <w:color w:val="000000" w:themeColor="text1"/>
          <w:sz w:val="16"/>
          <w:szCs w:val="16"/>
        </w:rPr>
        <w:t>Заведующий (1920-е)- Р.Н. Вульф. Начальник (-1941 г.)- Т.Д. Вылкост.</w:t>
      </w:r>
    </w:p>
    <w:p w14:paraId="00FA8400" w14:textId="77777777" w:rsidR="00665165" w:rsidRPr="00925F26" w:rsidRDefault="00665165" w:rsidP="00925F26">
      <w:pPr>
        <w:jc w:val="both"/>
        <w:rPr>
          <w:color w:val="000000" w:themeColor="text1"/>
          <w:sz w:val="16"/>
          <w:szCs w:val="16"/>
        </w:rPr>
      </w:pPr>
      <w:r w:rsidRPr="00925F26">
        <w:rPr>
          <w:color w:val="000000" w:themeColor="text1"/>
          <w:sz w:val="16"/>
          <w:szCs w:val="16"/>
        </w:rPr>
        <w:t>ОАО «Силовые машины»</w:t>
      </w:r>
    </w:p>
    <w:p w14:paraId="25A699D7" w14:textId="77777777" w:rsidR="00665165" w:rsidRPr="00925F26" w:rsidRDefault="00665165" w:rsidP="00925F26">
      <w:pPr>
        <w:jc w:val="both"/>
        <w:rPr>
          <w:color w:val="000000" w:themeColor="text1"/>
          <w:sz w:val="16"/>
          <w:szCs w:val="16"/>
        </w:rPr>
      </w:pPr>
      <w:r w:rsidRPr="00925F26">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03689C89" w14:textId="77777777" w:rsidR="00665165" w:rsidRPr="00925F26" w:rsidRDefault="00665165" w:rsidP="00925F26">
      <w:pPr>
        <w:jc w:val="both"/>
        <w:rPr>
          <w:color w:val="000000" w:themeColor="text1"/>
          <w:sz w:val="16"/>
          <w:szCs w:val="16"/>
        </w:rPr>
      </w:pPr>
      <w:r w:rsidRPr="00925F26">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5F49E110" w14:textId="77777777" w:rsidR="00665165" w:rsidRPr="00925F26" w:rsidRDefault="00665165" w:rsidP="00925F26">
      <w:pPr>
        <w:jc w:val="both"/>
        <w:rPr>
          <w:color w:val="000000" w:themeColor="text1"/>
          <w:sz w:val="16"/>
          <w:szCs w:val="16"/>
        </w:rPr>
      </w:pPr>
      <w:r w:rsidRPr="00925F26">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04C083B" w14:textId="77777777" w:rsidR="00665165" w:rsidRPr="00925F26" w:rsidRDefault="00665165" w:rsidP="00925F26">
      <w:pPr>
        <w:jc w:val="both"/>
        <w:rPr>
          <w:color w:val="000000" w:themeColor="text1"/>
          <w:sz w:val="16"/>
          <w:szCs w:val="16"/>
        </w:rPr>
      </w:pPr>
      <w:r w:rsidRPr="00925F26">
        <w:rPr>
          <w:color w:val="000000" w:themeColor="text1"/>
          <w:sz w:val="16"/>
          <w:szCs w:val="16"/>
        </w:rPr>
        <w:t>Начальники управлений: информационных технологий (2007 г.)- А.Л. Банкевич.</w:t>
      </w:r>
    </w:p>
    <w:p w14:paraId="6FE48052" w14:textId="77777777" w:rsidR="00665165" w:rsidRPr="00925F26" w:rsidRDefault="00665165" w:rsidP="00925F26">
      <w:pPr>
        <w:jc w:val="both"/>
        <w:rPr>
          <w:color w:val="000000" w:themeColor="text1"/>
          <w:sz w:val="16"/>
          <w:szCs w:val="16"/>
        </w:rPr>
      </w:pPr>
      <w:r w:rsidRPr="00925F26">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2C1BAF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Глухоозерский механический завод основан в 1914 г.</w:t>
      </w:r>
    </w:p>
    <w:p w14:paraId="3D1BD5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FD37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18.12.1992 г. завод преобразован в АООТ, затем - ОАО «ЗТЛ».</w:t>
      </w:r>
      <w:r w:rsidRPr="00925F26">
        <w:rPr>
          <w:color w:val="000000" w:themeColor="text1"/>
          <w:sz w:val="16"/>
          <w:szCs w:val="16"/>
          <w:vertAlign w:val="superscript"/>
        </w:rPr>
        <w:t>131</w:t>
      </w:r>
    </w:p>
    <w:p w14:paraId="1E6EDE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Гендиректор (-2003-04 г.-)- А.П. Балашов. Директор филиала (2005 г.)- А.П. Балашов (11982).</w:t>
      </w:r>
    </w:p>
    <w:p w14:paraId="1E688B3F" w14:textId="77777777" w:rsidR="00524C9D" w:rsidRPr="00925F26" w:rsidRDefault="00524C9D" w:rsidP="00925F26">
      <w:pPr>
        <w:autoSpaceDE w:val="0"/>
        <w:autoSpaceDN w:val="0"/>
        <w:adjustRightInd w:val="0"/>
        <w:jc w:val="both"/>
        <w:rPr>
          <w:color w:val="000000" w:themeColor="text1"/>
          <w:sz w:val="16"/>
          <w:szCs w:val="16"/>
        </w:rPr>
      </w:pPr>
    </w:p>
    <w:p w14:paraId="2BB2A3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7851 Об организации производства высоконапорных насосов на заводе имени Фрунзе Наркомминвооружения. РГАНИР, Фонд ГКО, д. 382, лл. 9-11, 12-13 (11012).</w:t>
      </w:r>
    </w:p>
    <w:p w14:paraId="7F46178C" w14:textId="77777777" w:rsidR="00665165" w:rsidRPr="00925F26" w:rsidRDefault="00665165" w:rsidP="00925F26">
      <w:pPr>
        <w:autoSpaceDE w:val="0"/>
        <w:autoSpaceDN w:val="0"/>
        <w:adjustRightInd w:val="0"/>
        <w:jc w:val="both"/>
        <w:rPr>
          <w:color w:val="000000" w:themeColor="text1"/>
          <w:sz w:val="16"/>
          <w:szCs w:val="16"/>
        </w:rPr>
      </w:pPr>
    </w:p>
    <w:p w14:paraId="3F025F2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7852 О мероприятиях по обеспечению лесными материалами предприятий НКВД СССР Печорского угольного бассейна. (7317, 14-16,17).</w:t>
      </w:r>
    </w:p>
    <w:p w14:paraId="590845D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D6BFC3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7853 О развитии добычи и переработки нефти, производства сажи и радия по Ухтинскому комбинату НКВД СССР. (7317, 18-25,26-46).</w:t>
      </w:r>
    </w:p>
    <w:p w14:paraId="22B7527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DE2C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г. вышло постановление ГКО № 7853 о развитии добычи и переработки нефти, производстве сажи и радия на комбинате (Завод № 226 ММП, МСМ, МЭП, п/я 3179, Ухтинский комбинат МСМ, Завод «Комиэлектростеатит», ОАО «Ухтинский электрокерамический завод «Прогресс», ООО «Электрокерамический завод «Прогресс» /Коми  г. Ухта р/п Водный/).</w:t>
      </w:r>
    </w:p>
    <w:p w14:paraId="30EF01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1953 г. завод № 226 передан из ММП в МСМ, распоряжением СМ № 6964-рс от 29.11.1956 г. завод с 1957 г. передан из МСМ в МЭТП.</w:t>
      </w:r>
    </w:p>
    <w:p w14:paraId="5C1942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радия (к </w:t>
      </w:r>
      <w:proofErr w:type="gramStart"/>
      <w:r w:rsidRPr="00925F26">
        <w:rPr>
          <w:color w:val="000000" w:themeColor="text1"/>
          <w:sz w:val="16"/>
          <w:szCs w:val="16"/>
        </w:rPr>
        <w:t>1952  г.</w:t>
      </w:r>
      <w:proofErr w:type="gramEnd"/>
      <w:r w:rsidRPr="00925F26">
        <w:rPr>
          <w:color w:val="000000" w:themeColor="text1"/>
          <w:sz w:val="16"/>
          <w:szCs w:val="16"/>
        </w:rPr>
        <w:t xml:space="preserve"> - 271 гр., в 1956 - 114 гр.).</w:t>
      </w:r>
    </w:p>
    <w:p w14:paraId="501BC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комбинате действовало ОПБ-4. Комбинат находился в ведении предприятия «п/я 979».</w:t>
      </w:r>
      <w:r w:rsidRPr="00925F26">
        <w:rPr>
          <w:color w:val="000000" w:themeColor="text1"/>
          <w:sz w:val="16"/>
          <w:szCs w:val="16"/>
          <w:vertAlign w:val="superscript"/>
        </w:rPr>
        <w:t>78</w:t>
      </w:r>
    </w:p>
    <w:p w14:paraId="54DF6B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«Комиэлектростеатит» основан в 1957 г. на дезактивированной площадке ликвидированного завода № 226. В 1966 г. его переименовали в завод «Прогресс». В 1997 г. завод преобразован в ОАО «Ухтинский электрокерамический завод «Прогресс», далее - ООО «Электрокерамический завод «Прогресс».</w:t>
      </w:r>
    </w:p>
    <w:p w14:paraId="1A3BD0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1958 г. освоен выпуск электрокерамических, радиокерамических материалов, изоляторов, электроустановочных изделий и пьезокерамики, керамических высоковольтных конденсаторов. В 1980 г. освоено производство оксидноцинковых варисторов. С 1996 г. предприятие производит броневые плиты из ударовязкой корундовой керамики для изготовления бронежилетов высших классов защиты и оснащения бронетехники. С 1998 г. выпускаются усилители искры УИ-01 для повышения эффективности работы двигателей внутреннего сгорания. Производство ТЕП (электроустановочные изделия, замочно-скобяные и металлоизделия, изделия из пластмасс).</w:t>
      </w:r>
    </w:p>
    <w:p w14:paraId="03AFB0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(1957-87 г.)- Н.Е.Волков. Гендиректор (2007 г.)- В.К.Кудрявцев.</w:t>
      </w:r>
    </w:p>
    <w:p w14:paraId="061365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(1956 г.)- И.В.Дахно (11982).</w:t>
      </w:r>
    </w:p>
    <w:p w14:paraId="313B5613" w14:textId="77777777" w:rsidR="00665165" w:rsidRPr="00925F26" w:rsidRDefault="00665165" w:rsidP="00925F26">
      <w:pPr>
        <w:autoSpaceDE w:val="0"/>
        <w:autoSpaceDN w:val="0"/>
        <w:adjustRightInd w:val="0"/>
        <w:jc w:val="both"/>
        <w:rPr>
          <w:color w:val="000000" w:themeColor="text1"/>
          <w:sz w:val="16"/>
          <w:szCs w:val="16"/>
        </w:rPr>
      </w:pPr>
    </w:p>
    <w:p w14:paraId="4C61EA3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марта 1945 вышло Распоряжение ГКО № 7854 [О выделении 10 т бензина для перевозки жидкого кислорода предприятиям Москвы и области.] (7317, 47).</w:t>
      </w:r>
    </w:p>
    <w:p w14:paraId="636365F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74ADB9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DD61DAC" w14:textId="77777777" w:rsidR="00665165" w:rsidRPr="00925F26" w:rsidRDefault="00665165" w:rsidP="00925F26">
      <w:pPr>
        <w:autoSpaceDE w:val="0"/>
        <w:autoSpaceDN w:val="0"/>
        <w:adjustRightInd w:val="0"/>
        <w:jc w:val="both"/>
        <w:rPr>
          <w:iCs/>
          <w:color w:val="000000" w:themeColor="text1"/>
          <w:sz w:val="16"/>
          <w:szCs w:val="16"/>
        </w:rPr>
      </w:pPr>
    </w:p>
    <w:p w14:paraId="6A3D1AC9" w14:textId="77777777" w:rsidR="00524C9D" w:rsidRPr="00925F26" w:rsidRDefault="00524C9D" w:rsidP="00925F26">
      <w:pPr>
        <w:jc w:val="both"/>
        <w:rPr>
          <w:color w:val="000000" w:themeColor="text1"/>
          <w:sz w:val="16"/>
          <w:szCs w:val="16"/>
        </w:rPr>
      </w:pPr>
      <w:r w:rsidRPr="00925F26">
        <w:rPr>
          <w:bCs/>
          <w:color w:val="000000" w:themeColor="text1"/>
          <w:sz w:val="16"/>
          <w:szCs w:val="16"/>
        </w:rPr>
        <w:t>16 марта</w:t>
      </w:r>
      <w:r w:rsidRPr="00925F26">
        <w:rPr>
          <w:color w:val="000000" w:themeColor="text1"/>
          <w:sz w:val="16"/>
          <w:szCs w:val="16"/>
        </w:rPr>
        <w:t xml:space="preserve"> в 1945 году оперативная сводка Совинформбюро:</w:t>
      </w:r>
    </w:p>
    <w:p w14:paraId="45397FEA" w14:textId="77777777" w:rsidR="00524C9D" w:rsidRPr="00925F26" w:rsidRDefault="00524C9D" w:rsidP="00925F26">
      <w:pPr>
        <w:jc w:val="both"/>
        <w:rPr>
          <w:color w:val="000000" w:themeColor="text1"/>
          <w:sz w:val="16"/>
          <w:szCs w:val="16"/>
        </w:rPr>
      </w:pPr>
      <w:r w:rsidRPr="00925F26">
        <w:rPr>
          <w:color w:val="000000" w:themeColor="text1"/>
          <w:sz w:val="16"/>
          <w:szCs w:val="16"/>
        </w:rPr>
        <w:t>«В течение 16 марта юго-западнее Кенигсберга наши войска, продолжая наступление, заняли населённые пункты Покарбен, Тенген, Шойшен, Весделен, Кранцберг, Штобекен, Фуксберг, Йарфтталь, Фройденталь, Лаутербах, Френзельсвальде, Герцогсвальде. За 15 марта в этом районе взято в плен более 600 немецких солдат и офицеров.</w:t>
      </w:r>
    </w:p>
    <w:p w14:paraId="49ED0741" w14:textId="77777777" w:rsidR="00524C9D" w:rsidRPr="00925F26" w:rsidRDefault="00524C9D" w:rsidP="00925F26">
      <w:pPr>
        <w:jc w:val="both"/>
        <w:rPr>
          <w:color w:val="000000" w:themeColor="text1"/>
          <w:sz w:val="16"/>
          <w:szCs w:val="16"/>
        </w:rPr>
      </w:pPr>
      <w:r w:rsidRPr="00925F26">
        <w:rPr>
          <w:color w:val="000000" w:themeColor="text1"/>
          <w:sz w:val="16"/>
          <w:szCs w:val="16"/>
        </w:rPr>
        <w:t>Западнее и северо-западнее Данцига наши войска в результате наступательных боёв заняли населённые пункты Жуково (Цукау), Пемпау, Банин, Рамкау, Эспенкруг. За 15 марта в этом районе наши войска взяли в плен более 700 немецких солдат и офицеров.</w:t>
      </w:r>
    </w:p>
    <w:p w14:paraId="253C1AE3" w14:textId="77777777" w:rsidR="00524C9D" w:rsidRPr="00925F26" w:rsidRDefault="00524C9D" w:rsidP="00925F26">
      <w:pPr>
        <w:jc w:val="both"/>
        <w:rPr>
          <w:color w:val="000000" w:themeColor="text1"/>
          <w:sz w:val="16"/>
          <w:szCs w:val="16"/>
        </w:rPr>
      </w:pPr>
      <w:r w:rsidRPr="00925F26">
        <w:rPr>
          <w:color w:val="000000" w:themeColor="text1"/>
          <w:sz w:val="16"/>
          <w:szCs w:val="16"/>
        </w:rPr>
        <w:t>На Штеттинском направлении наши войска вели бои по ликвидации плацдарма немцев на восточном берегу Одера, заняв при этом город Грайфенхаген и населённые пункты Розенгартен, Брюнкен, Ной Брюнкен, Винтерсфельде.</w:t>
      </w:r>
    </w:p>
    <w:p w14:paraId="0DE03AE1" w14:textId="77777777" w:rsidR="00524C9D" w:rsidRPr="00925F26" w:rsidRDefault="00524C9D" w:rsidP="00925F26">
      <w:pPr>
        <w:jc w:val="both"/>
        <w:rPr>
          <w:color w:val="000000" w:themeColor="text1"/>
          <w:sz w:val="16"/>
          <w:szCs w:val="16"/>
        </w:rPr>
      </w:pPr>
      <w:r w:rsidRPr="00925F26">
        <w:rPr>
          <w:color w:val="000000" w:themeColor="text1"/>
          <w:sz w:val="16"/>
          <w:szCs w:val="16"/>
        </w:rPr>
        <w:lastRenderedPageBreak/>
        <w:t>В Венгрии северо-восточнее озера Балатон атаки танковых частей немцев, понесших в предыдущих боях большие потери, значительно ослабели.</w:t>
      </w:r>
    </w:p>
    <w:p w14:paraId="6E3F76FE" w14:textId="77777777" w:rsidR="00524C9D" w:rsidRPr="00925F26" w:rsidRDefault="00524C9D"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13C4E364" w14:textId="77777777" w:rsidR="00524C9D" w:rsidRPr="00925F26" w:rsidRDefault="00524C9D" w:rsidP="00925F26">
      <w:pPr>
        <w:jc w:val="both"/>
        <w:rPr>
          <w:color w:val="000000" w:themeColor="text1"/>
          <w:sz w:val="16"/>
          <w:szCs w:val="16"/>
        </w:rPr>
      </w:pPr>
      <w:r w:rsidRPr="00925F26">
        <w:rPr>
          <w:color w:val="000000" w:themeColor="text1"/>
          <w:sz w:val="16"/>
          <w:szCs w:val="16"/>
        </w:rPr>
        <w:t>За 15 марта на всех фронтах подбито и уничтожено 63 немецких танка и самоходных орудия. В воздушных боях и огнём зенитной артиллерии сбито 33 самолёта противника.</w:t>
      </w:r>
    </w:p>
    <w:p w14:paraId="03542336" w14:textId="77777777" w:rsidR="00524C9D" w:rsidRPr="00925F26" w:rsidRDefault="00524C9D" w:rsidP="00925F26">
      <w:pPr>
        <w:jc w:val="both"/>
        <w:rPr>
          <w:color w:val="000000" w:themeColor="text1"/>
          <w:sz w:val="16"/>
          <w:szCs w:val="16"/>
        </w:rPr>
      </w:pPr>
      <w:r w:rsidRPr="00925F26">
        <w:rPr>
          <w:color w:val="000000" w:themeColor="text1"/>
          <w:sz w:val="16"/>
          <w:szCs w:val="16"/>
        </w:rPr>
        <w:t>Налёт нашей авиации на железнодорожный узел Веспрем в Венгрии</w:t>
      </w:r>
    </w:p>
    <w:p w14:paraId="4DD784B7" w14:textId="77777777" w:rsidR="00524C9D" w:rsidRPr="00925F26" w:rsidRDefault="00524C9D" w:rsidP="00925F26">
      <w:pPr>
        <w:jc w:val="both"/>
        <w:rPr>
          <w:color w:val="000000" w:themeColor="text1"/>
          <w:sz w:val="16"/>
          <w:szCs w:val="16"/>
        </w:rPr>
      </w:pPr>
      <w:r w:rsidRPr="00925F26">
        <w:rPr>
          <w:color w:val="000000" w:themeColor="text1"/>
          <w:sz w:val="16"/>
          <w:szCs w:val="16"/>
        </w:rPr>
        <w:t>В ночь на 16 марта наши тяжёлые бомбардировщики вновь нанесли удар по железнодорожному узлу Веспрем в Венгрии.</w:t>
      </w:r>
    </w:p>
    <w:p w14:paraId="600B3FDD" w14:textId="77777777" w:rsidR="00524C9D" w:rsidRPr="00925F26" w:rsidRDefault="00524C9D" w:rsidP="00925F26">
      <w:pPr>
        <w:jc w:val="both"/>
        <w:rPr>
          <w:color w:val="000000" w:themeColor="text1"/>
          <w:sz w:val="16"/>
          <w:szCs w:val="16"/>
        </w:rPr>
      </w:pPr>
      <w:r w:rsidRPr="00925F26">
        <w:rPr>
          <w:color w:val="000000" w:themeColor="text1"/>
          <w:sz w:val="16"/>
          <w:szCs w:val="16"/>
        </w:rPr>
        <w:t>В результате бомбардировки на железнодорожном узле возникли пожары, сопровождавшиеся взрывами.</w:t>
      </w:r>
    </w:p>
    <w:p w14:paraId="2A9DFAE5" w14:textId="77777777" w:rsidR="00524C9D" w:rsidRPr="00925F26" w:rsidRDefault="00524C9D"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сжимать кольцо окружения Восточно-Прусской группы войск противника. Немцы, зажатые на узкой прибрежной полосе, оказывают отчаянное сопротивление. Особенно ожесточённые бои происходили к западу от населённого пункта Бладиау, занятого вчера нашими войсками. Бладиау — узел шоссейных дорог. Овладев им, советские части перерезали последнюю, находившуюся в руках немцев, шоссейную магистраль, идущую вдоль линии фронта. Противник пытался восстановить положение и предпринял ряд атак, но успеха не добился. Советские части отбили вражеские атаки и, продвинувшись вперёд, захватили выгодные позиции. Другие наши части переправились через реку Лаутер и стремительной атакой заняли опорный пункт обороны немцев Фройденталь. В боях за день противник потерял только убитыми свыше 4 тысяч солдат и офицеров. Захвачено у немцев 6 танков, 50 орудий, 33 миномета и 128 пулемётов.</w:t>
      </w:r>
    </w:p>
    <w:p w14:paraId="09AEF577" w14:textId="77777777" w:rsidR="00524C9D" w:rsidRPr="00925F26" w:rsidRDefault="00524C9D" w:rsidP="00925F26">
      <w:pPr>
        <w:jc w:val="both"/>
        <w:rPr>
          <w:color w:val="000000" w:themeColor="text1"/>
          <w:sz w:val="16"/>
          <w:szCs w:val="16"/>
        </w:rPr>
      </w:pPr>
      <w:r w:rsidRPr="00925F26">
        <w:rPr>
          <w:color w:val="000000" w:themeColor="text1"/>
          <w:sz w:val="16"/>
          <w:szCs w:val="16"/>
        </w:rPr>
        <w:t>Западнее и северо-западнее Данцига наши войска вели бои на внешнем оборонительном обводе данцигско-гдынского укреплённого района. Этот обвод состоит из глубокого противотанкового рва, нескольких линий траншей и большого количества дотов и дзотов. На узком участке немцы сосредоточили много артиллерийских и миномётных батарей. Все оборонительные сооружения прикрыты густой сетью проволочных заграждений и минными полями. Особенно сильно укреплены населённые пункты, прикрывающие дороги к Данцигу и Гдыне. Советские части, с боями продвигаясь вперёд, вышли на южные, западные и северные окраины населённого пункта Жувово (Цукау). Крупный гарнизон противника засел в дотах, каменных знаниях и сильным огнём пытался преградить путь нашим частям. Советские пехотинцы и артиллеристы подавили очаги вражеского сопротивления и овладели Жуково (Цукау). На другом участке наши войска отразили несколько контратак пехоты и танков противника, поддержанных огнём артиллерии военных кораблей. Перед нашими позициями остались сотни вражеских трупов. Захвачены трофеи, в числе которых 5 танков, 7 паровозов, 120 вагонов и 5 складов с военным имуществом.</w:t>
      </w:r>
    </w:p>
    <w:p w14:paraId="180B9AA5" w14:textId="77777777" w:rsidR="00524C9D" w:rsidRPr="00925F26" w:rsidRDefault="00524C9D" w:rsidP="00925F26">
      <w:pPr>
        <w:jc w:val="both"/>
        <w:rPr>
          <w:color w:val="000000" w:themeColor="text1"/>
          <w:sz w:val="16"/>
          <w:szCs w:val="16"/>
        </w:rPr>
      </w:pPr>
      <w:r w:rsidRPr="00925F26">
        <w:rPr>
          <w:color w:val="000000" w:themeColor="text1"/>
          <w:sz w:val="16"/>
          <w:szCs w:val="16"/>
        </w:rPr>
        <w:t>На Штеттинском направлении наши войска вели бои по ликвидации плацдарма противника на восточном берегу Одера. Немцы, пытаясь любой ценой удержать плацдарм в своих руках, сосредоточили здесь крупные силы танков, артиллерии и пехоты. Опираясь на заранее подготовленные укрепления, противник оказывает упорное сопротивление. После ожесточённых боёв советские части, продвигающиеся вдоль Одера на север, с трёх сторон вышли в городу Грайфенхаген. Гарнизон противника был прижат в реке и разгромлен. Овладев городом Грайфенхаген, важным опорным пунктом обороны немцев на восточном берегу Одера, наши бойцы захватили много оружия и военных материалов. На другом участке наши войска заняли селение Розенгартен и перекрёсток шоссейных дорог в 3 километрах к юго-востоку от города Альтдамм. Взято в плен более 500 немцев.</w:t>
      </w:r>
    </w:p>
    <w:p w14:paraId="10385934" w14:textId="77777777" w:rsidR="00524C9D" w:rsidRPr="00925F26" w:rsidRDefault="00524C9D" w:rsidP="00925F26">
      <w:pPr>
        <w:jc w:val="both"/>
        <w:rPr>
          <w:color w:val="000000" w:themeColor="text1"/>
          <w:sz w:val="16"/>
          <w:szCs w:val="16"/>
        </w:rPr>
      </w:pPr>
      <w:r w:rsidRPr="00925F26">
        <w:rPr>
          <w:color w:val="000000" w:themeColor="text1"/>
          <w:sz w:val="16"/>
          <w:szCs w:val="16"/>
        </w:rPr>
        <w:t>За последнее время поступают сообщения о росте дезертирства в немецкой армии. Солдаты разгромленных немецких частей и подразделений в одиночку и мелкими группами уходят в тыл, бродят в лесах, переодеваются в гражданское платье и укрываются в населённых пунктах. Немецкое командование жестоко расправляется с дезертирами. Пленные сообщают, что в ряде немецких городов повешены и расстреляны группы солдат, бежавших с фронта и пойманных в тылу.</w:t>
      </w:r>
    </w:p>
    <w:p w14:paraId="5CC2C847" w14:textId="77777777" w:rsidR="00524C9D" w:rsidRPr="00925F26" w:rsidRDefault="00524C9D" w:rsidP="00925F26">
      <w:pPr>
        <w:jc w:val="both"/>
        <w:rPr>
          <w:color w:val="000000" w:themeColor="text1"/>
          <w:sz w:val="16"/>
          <w:szCs w:val="16"/>
        </w:rPr>
      </w:pPr>
      <w:r w:rsidRPr="00925F26">
        <w:rPr>
          <w:color w:val="000000" w:themeColor="text1"/>
          <w:sz w:val="16"/>
          <w:szCs w:val="16"/>
        </w:rPr>
        <w:t>Пленный солдат 171 полка 56 немец-вой пехотной дивизии Людвиг Гайзлер рассказал: «В Кенигсберге укрывается очень много солдат, покинувших свои подразделения. Несколько дней назад в городе было расстреляно 80 дезертиров». По заявлению солдат 690-го полка 337-й немецкой пехот--ной дивизии в Данциге были публично повешены 28 солдат. Пленные солдаты 550-го немецкого штрафного батальона Отто Балдер и Роберт Брюкнер рассказали: «В городе Пиллау военные власти почти ежедневно производят казни. За один день было расстреляно 14 солдат. Кроме того, в порту у маяка были повешены семь солдат и один офицер».</w:t>
      </w:r>
    </w:p>
    <w:p w14:paraId="378A21F6" w14:textId="77777777" w:rsidR="00524C9D" w:rsidRPr="00925F26" w:rsidRDefault="00524C9D" w:rsidP="00925F26">
      <w:pPr>
        <w:jc w:val="both"/>
        <w:rPr>
          <w:color w:val="000000" w:themeColor="text1"/>
          <w:sz w:val="16"/>
          <w:szCs w:val="16"/>
        </w:rPr>
      </w:pPr>
      <w:r w:rsidRPr="00925F26">
        <w:rPr>
          <w:color w:val="000000" w:themeColor="text1"/>
          <w:sz w:val="16"/>
          <w:szCs w:val="16"/>
        </w:rPr>
        <w:t>Перешедший на сторону Красной Армии мобилизованный в немецкую армию поляк Тадеуш Кеповский рассказал: «Недавно я был в Штеттине. В городе висели большие объявления о том, что за бегство с поля боя и дезертирство расстреляно 150 солдат и офицеров. В объявлениях были перечислены фамилии и адреса казнённых» (15070).</w:t>
      </w:r>
    </w:p>
    <w:p w14:paraId="4945AFDC" w14:textId="77777777" w:rsidR="00524C9D" w:rsidRPr="00925F26" w:rsidRDefault="00524C9D" w:rsidP="00925F26">
      <w:pPr>
        <w:jc w:val="both"/>
        <w:rPr>
          <w:color w:val="000000" w:themeColor="text1"/>
          <w:sz w:val="16"/>
          <w:szCs w:val="16"/>
        </w:rPr>
      </w:pPr>
    </w:p>
    <w:p w14:paraId="11786E6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марта 1945 советские войска начали Венскую наступательную операцию (4962</w:t>
      </w:r>
      <w:proofErr w:type="gramStart"/>
      <w:r w:rsidRPr="00925F26">
        <w:rPr>
          <w:color w:val="000000" w:themeColor="text1"/>
          <w:sz w:val="16"/>
          <w:szCs w:val="16"/>
        </w:rPr>
        <w:t>) ,</w:t>
      </w:r>
      <w:proofErr w:type="gramEnd"/>
      <w:r w:rsidRPr="00925F26">
        <w:rPr>
          <w:color w:val="000000" w:themeColor="text1"/>
          <w:sz w:val="16"/>
          <w:szCs w:val="16"/>
        </w:rPr>
        <w:t xml:space="preserve"> стратегическая наступательная операция войск 3-го и лев. крыла 2-го Украинского </w:t>
      </w:r>
      <w:proofErr w:type="gramStart"/>
      <w:r w:rsidRPr="00925F26">
        <w:rPr>
          <w:color w:val="000000" w:themeColor="text1"/>
          <w:sz w:val="16"/>
          <w:szCs w:val="16"/>
        </w:rPr>
        <w:t>фр.,проведённая</w:t>
      </w:r>
      <w:proofErr w:type="gramEnd"/>
      <w:r w:rsidRPr="00925F26">
        <w:rPr>
          <w:color w:val="000000" w:themeColor="text1"/>
          <w:sz w:val="16"/>
          <w:szCs w:val="16"/>
        </w:rPr>
        <w:t xml:space="preserve"> 16 марта - 15 апреля с целью завершения разгрома немецко-фашистских войск в зап. части Венгрии и освобождения столицы Австрии - Вены (</w:t>
      </w:r>
      <w:proofErr w:type="gramStart"/>
      <w:r w:rsidRPr="00925F26">
        <w:rPr>
          <w:color w:val="000000" w:themeColor="text1"/>
          <w:sz w:val="16"/>
          <w:szCs w:val="16"/>
        </w:rPr>
        <w:t>4963 )</w:t>
      </w:r>
      <w:proofErr w:type="gramEnd"/>
      <w:r w:rsidRPr="00925F26">
        <w:rPr>
          <w:color w:val="000000" w:themeColor="text1"/>
          <w:sz w:val="16"/>
          <w:szCs w:val="16"/>
        </w:rPr>
        <w:t>.</w:t>
      </w:r>
    </w:p>
    <w:p w14:paraId="54312DD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DB7FCD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16 1945 Russians begin offensive against Vienna (1037).</w:t>
      </w:r>
    </w:p>
    <w:p w14:paraId="166CF592" w14:textId="77777777" w:rsidR="00665165" w:rsidRPr="00925F26" w:rsidRDefault="00665165" w:rsidP="00925F26">
      <w:pPr>
        <w:autoSpaceDE w:val="0"/>
        <w:autoSpaceDN w:val="0"/>
        <w:adjustRightInd w:val="0"/>
        <w:jc w:val="both"/>
        <w:rPr>
          <w:color w:val="000000" w:themeColor="text1"/>
          <w:sz w:val="16"/>
          <w:szCs w:val="16"/>
          <w:lang w:val="en-US"/>
        </w:rPr>
      </w:pPr>
    </w:p>
    <w:p w14:paraId="6D158D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началось наступление СА (3УФ Ф.И.Толбухина) на Вену (1037) и операция шла до 15 апреля 1945. Разбили 32 дивизии и в плен взяли 130 тыс. балканская группировка оказалась изолированной (2438,135).</w:t>
      </w:r>
    </w:p>
    <w:p w14:paraId="6EE508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подготовке Венской операции на воздушную разведку ВА затрачивалось до 25-30% всех самолетовылетов (518,121).</w:t>
      </w:r>
    </w:p>
    <w:p w14:paraId="637D8D1A" w14:textId="77777777" w:rsidR="00665165" w:rsidRPr="00925F26" w:rsidRDefault="00665165" w:rsidP="00925F26">
      <w:pPr>
        <w:autoSpaceDE w:val="0"/>
        <w:autoSpaceDN w:val="0"/>
        <w:adjustRightInd w:val="0"/>
        <w:jc w:val="both"/>
        <w:rPr>
          <w:color w:val="000000" w:themeColor="text1"/>
          <w:sz w:val="16"/>
          <w:szCs w:val="16"/>
        </w:rPr>
      </w:pPr>
    </w:p>
    <w:p w14:paraId="629B11C2" w14:textId="77777777" w:rsidR="00524C9D" w:rsidRPr="00925F26" w:rsidRDefault="00524C9D" w:rsidP="00925F26">
      <w:pPr>
        <w:jc w:val="both"/>
        <w:rPr>
          <w:color w:val="000000" w:themeColor="text1"/>
          <w:sz w:val="16"/>
          <w:szCs w:val="16"/>
        </w:rPr>
      </w:pPr>
      <w:r w:rsidRPr="00925F26">
        <w:rPr>
          <w:bCs/>
          <w:color w:val="000000" w:themeColor="text1"/>
          <w:sz w:val="16"/>
          <w:szCs w:val="16"/>
        </w:rPr>
        <w:t>16 марта</w:t>
      </w:r>
      <w:r w:rsidRPr="00925F26">
        <w:rPr>
          <w:color w:val="000000" w:themeColor="text1"/>
          <w:sz w:val="16"/>
          <w:szCs w:val="16"/>
        </w:rPr>
        <w:t xml:space="preserve"> в 1945 году началась Венская стратегическая наступательная операция советских войск 3-го, левого крыла 2-го Украинских фронтов (маршалы Советского Союза Ф.И.Толбухин и Р.Я.Малиновский), Дунайской военной флотилии при участии болгарских и югославских войск. Завершилась 15 апреля. В результате операции была освобождена Венгрия и полностью очищена от врага восточная часть Австрии с ее столицей Веной. Советские войска начали Венскую наступательную операцию непосредственно после успешного завершения Балатонской оборонительной операции 1945 года. Войска 2-го и 3-го Украинских фронтов (маршалы Р.Я.Малиновский и Ф.И.Толбухин) разгромили немецкую группу армий «Юг» (генерал пехоты О.Велер) и освободили Вену (13 апреля). Продолжая преследование разбитых вражеских соединений, советские войска 15 апреля вышли на линию Штоккерау, Санкт-Пёльтен, Марибор и далее по северному берегу реки Дравы. Только в период боев за Вену и преследования советские войска взяли в плен 130 000 человек, захватили и уничтожили 1345 танков и штурмовых орудий, свыше 2250 орудий и минометов; было полностью разбито 11 немецких дивизий, в том числе вся 6-я танковая армия СС. В результате Венской операции завершилось освобождение Венгрии, была полностью очищена от врага восточная часть Австрии. В память боев за Вену советское правительство учредило медаль "За взятие Вены" (15070).</w:t>
      </w:r>
    </w:p>
    <w:p w14:paraId="72052E38" w14:textId="77777777" w:rsidR="00524C9D" w:rsidRPr="00925F26" w:rsidRDefault="00524C9D" w:rsidP="00925F26">
      <w:pPr>
        <w:jc w:val="both"/>
        <w:rPr>
          <w:color w:val="000000" w:themeColor="text1"/>
          <w:sz w:val="16"/>
          <w:szCs w:val="16"/>
        </w:rPr>
      </w:pPr>
    </w:p>
    <w:p w14:paraId="4BCB060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16th, 1945: In Hungary, the Soviet 2nd Ukrainian Front (Tolbukhin) begins an offensive toward Lake Balaton. In the East, the German heavy vessels Schlesien and Prinz Eugen support the forces of Heeresgruppe Kurland in their defense against heavy Soviet attacks to break up the Kessel. The US 8th Air Force launches a massive attack (675 bombers) against the HQ complex of the OKH at Zossen 20 miles south of Berlin, but with minimal effect (3819).</w:t>
      </w:r>
    </w:p>
    <w:p w14:paraId="46B2A20B" w14:textId="77777777" w:rsidR="00665165" w:rsidRPr="00925F26" w:rsidRDefault="00665165" w:rsidP="00925F26">
      <w:pPr>
        <w:autoSpaceDE w:val="0"/>
        <w:autoSpaceDN w:val="0"/>
        <w:adjustRightInd w:val="0"/>
        <w:jc w:val="both"/>
        <w:rPr>
          <w:color w:val="000000" w:themeColor="text1"/>
          <w:sz w:val="16"/>
          <w:szCs w:val="16"/>
          <w:lang w:val="en-US"/>
        </w:rPr>
      </w:pPr>
    </w:p>
    <w:p w14:paraId="4DFF4A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 Венгрии 2УФ (Толбухин) начал наступление на о Балатон. Тяжелые крейсера Шлезиен и Принц Йоген поддерживали огнем силы Группы Курляндия в попытках прорваться к Кесселю. 8ВА США выполнила массированный налет (675 бомбардировщиков) на комплекс штаба Верховного ГК в Цоссене в 20 милях на юг от Берлина, но с минимальными результатами (3819).</w:t>
      </w:r>
    </w:p>
    <w:p w14:paraId="55DEB2AB" w14:textId="77777777" w:rsidR="00665165" w:rsidRPr="00925F26" w:rsidRDefault="00665165" w:rsidP="00925F26">
      <w:pPr>
        <w:autoSpaceDE w:val="0"/>
        <w:autoSpaceDN w:val="0"/>
        <w:adjustRightInd w:val="0"/>
        <w:jc w:val="both"/>
        <w:rPr>
          <w:color w:val="000000" w:themeColor="text1"/>
          <w:sz w:val="16"/>
          <w:szCs w:val="16"/>
        </w:rPr>
      </w:pPr>
    </w:p>
    <w:p w14:paraId="5B791C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7855 О восстановлении и строительстве в 1945 году аэродромов и аэродромных сооружений для ВВС Красной Армии, ВВС Военно-Морского Флота и ГУГВФ. РГАНИР, Фонд ГКО, д. 382, лл. 48-57, 58-105 (11012).</w:t>
      </w:r>
    </w:p>
    <w:p w14:paraId="5037939E" w14:textId="77777777" w:rsidR="00665165" w:rsidRPr="00925F26" w:rsidRDefault="00665165" w:rsidP="00925F26">
      <w:pPr>
        <w:autoSpaceDE w:val="0"/>
        <w:autoSpaceDN w:val="0"/>
        <w:adjustRightInd w:val="0"/>
        <w:jc w:val="both"/>
        <w:rPr>
          <w:color w:val="000000" w:themeColor="text1"/>
          <w:sz w:val="16"/>
          <w:szCs w:val="16"/>
        </w:rPr>
      </w:pPr>
    </w:p>
    <w:p w14:paraId="7F26F88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5183A1E" w14:textId="77777777" w:rsidR="00665165" w:rsidRPr="00925F26" w:rsidRDefault="00665165" w:rsidP="00925F26">
      <w:pPr>
        <w:autoSpaceDE w:val="0"/>
        <w:autoSpaceDN w:val="0"/>
        <w:adjustRightInd w:val="0"/>
        <w:jc w:val="both"/>
        <w:rPr>
          <w:iCs/>
          <w:color w:val="000000" w:themeColor="text1"/>
          <w:sz w:val="16"/>
          <w:szCs w:val="16"/>
        </w:rPr>
      </w:pPr>
    </w:p>
    <w:p w14:paraId="5D7A4E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марта 1945 вышло Постановление ГКО № 7843 Об оказании помощи населению Закарпатской Украины продовольствием, семенами и промышленными товарами. РГАНИР, Фонд ГКО, д. 381, лл. 136-137 (11012).</w:t>
      </w:r>
    </w:p>
    <w:p w14:paraId="38305671" w14:textId="77777777" w:rsidR="00665165" w:rsidRPr="00925F26" w:rsidRDefault="00665165" w:rsidP="00925F26">
      <w:pPr>
        <w:autoSpaceDE w:val="0"/>
        <w:autoSpaceDN w:val="0"/>
        <w:adjustRightInd w:val="0"/>
        <w:jc w:val="both"/>
        <w:rPr>
          <w:color w:val="000000" w:themeColor="text1"/>
          <w:sz w:val="16"/>
          <w:szCs w:val="16"/>
        </w:rPr>
      </w:pPr>
    </w:p>
    <w:p w14:paraId="317104F1"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7D76DDC" w14:textId="77777777" w:rsidR="00524C9D" w:rsidRPr="00925F26" w:rsidRDefault="00524C9D" w:rsidP="00925F26">
      <w:pPr>
        <w:autoSpaceDE w:val="0"/>
        <w:autoSpaceDN w:val="0"/>
        <w:adjustRightInd w:val="0"/>
        <w:jc w:val="both"/>
        <w:rPr>
          <w:iCs/>
          <w:color w:val="000000" w:themeColor="text1"/>
          <w:sz w:val="16"/>
          <w:szCs w:val="16"/>
        </w:rPr>
      </w:pPr>
    </w:p>
    <w:p w14:paraId="7E9E88BB" w14:textId="77777777" w:rsidR="00524C9D" w:rsidRPr="00925F26" w:rsidRDefault="00524C9D" w:rsidP="00925F26">
      <w:pPr>
        <w:jc w:val="both"/>
        <w:rPr>
          <w:color w:val="000000" w:themeColor="text1"/>
          <w:sz w:val="16"/>
          <w:szCs w:val="16"/>
        </w:rPr>
      </w:pPr>
      <w:r w:rsidRPr="00925F26">
        <w:rPr>
          <w:bCs/>
          <w:color w:val="000000" w:themeColor="text1"/>
          <w:sz w:val="16"/>
          <w:szCs w:val="16"/>
        </w:rPr>
        <w:t>16 марта</w:t>
      </w:r>
      <w:r w:rsidRPr="00925F26">
        <w:rPr>
          <w:color w:val="000000" w:themeColor="text1"/>
          <w:sz w:val="16"/>
          <w:szCs w:val="16"/>
        </w:rPr>
        <w:t xml:space="preserve"> в 1945 году НКИД СССР В.М.Молотов направил послам США и Великобритании А.Гарриману и А.Керру послание с требованием включить советского представителя в состав союзной делегации на переговорах с немецким командованием в Северной Италии (15070).</w:t>
      </w:r>
    </w:p>
    <w:p w14:paraId="22F058C9" w14:textId="77777777" w:rsidR="00524C9D" w:rsidRPr="00925F26" w:rsidRDefault="00524C9D" w:rsidP="00925F26">
      <w:pPr>
        <w:jc w:val="both"/>
        <w:rPr>
          <w:color w:val="000000" w:themeColor="text1"/>
          <w:sz w:val="16"/>
          <w:szCs w:val="16"/>
        </w:rPr>
      </w:pPr>
    </w:p>
    <w:p w14:paraId="798ACB64" w14:textId="77777777" w:rsidR="00524C9D"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CA9BA41" w14:textId="77777777" w:rsidR="00524C9D" w:rsidRPr="00925F26" w:rsidRDefault="00524C9D" w:rsidP="00925F26">
      <w:pPr>
        <w:autoSpaceDE w:val="0"/>
        <w:autoSpaceDN w:val="0"/>
        <w:adjustRightInd w:val="0"/>
        <w:jc w:val="both"/>
        <w:rPr>
          <w:iCs/>
          <w:color w:val="000000" w:themeColor="text1"/>
          <w:sz w:val="16"/>
          <w:szCs w:val="16"/>
        </w:rPr>
      </w:pPr>
    </w:p>
    <w:p w14:paraId="765B446C" w14:textId="77777777" w:rsidR="00524C9D" w:rsidRPr="00925F26" w:rsidRDefault="00524C9D" w:rsidP="00925F26">
      <w:pPr>
        <w:jc w:val="both"/>
        <w:rPr>
          <w:color w:val="000000" w:themeColor="text1"/>
          <w:sz w:val="16"/>
          <w:szCs w:val="16"/>
        </w:rPr>
      </w:pPr>
      <w:r w:rsidRPr="00925F26">
        <w:rPr>
          <w:bCs/>
          <w:color w:val="000000" w:themeColor="text1"/>
          <w:sz w:val="16"/>
          <w:szCs w:val="16"/>
        </w:rPr>
        <w:t>16 марта</w:t>
      </w:r>
      <w:r w:rsidRPr="00925F26">
        <w:rPr>
          <w:color w:val="000000" w:themeColor="text1"/>
          <w:sz w:val="16"/>
          <w:szCs w:val="16"/>
        </w:rPr>
        <w:t xml:space="preserve"> в 1945 году в 15:48 UTC батарея 901/2 провела свой последний пуск ракеты "A-4"/SS-1/Scunner" по Антверпену (15070).</w:t>
      </w:r>
    </w:p>
    <w:p w14:paraId="265CEA42" w14:textId="77777777" w:rsidR="00524C9D" w:rsidRPr="00925F26" w:rsidRDefault="00524C9D" w:rsidP="00925F26">
      <w:pPr>
        <w:jc w:val="both"/>
        <w:rPr>
          <w:color w:val="000000" w:themeColor="text1"/>
          <w:sz w:val="16"/>
          <w:szCs w:val="16"/>
        </w:rPr>
      </w:pPr>
    </w:p>
    <w:p w14:paraId="5593A5BD" w14:textId="77777777" w:rsidR="00524C9D" w:rsidRPr="00925F26" w:rsidRDefault="00524C9D" w:rsidP="00925F26">
      <w:pPr>
        <w:jc w:val="both"/>
        <w:rPr>
          <w:color w:val="000000" w:themeColor="text1"/>
          <w:sz w:val="16"/>
          <w:szCs w:val="16"/>
        </w:rPr>
      </w:pPr>
      <w:r w:rsidRPr="00925F26">
        <w:rPr>
          <w:bCs/>
          <w:color w:val="000000" w:themeColor="text1"/>
          <w:sz w:val="16"/>
          <w:szCs w:val="16"/>
        </w:rPr>
        <w:t>16 марта</w:t>
      </w:r>
      <w:r w:rsidRPr="00925F26">
        <w:rPr>
          <w:color w:val="000000" w:themeColor="text1"/>
          <w:sz w:val="16"/>
          <w:szCs w:val="16"/>
        </w:rPr>
        <w:t xml:space="preserve"> в 1945 году последний 199-й пуск ракеты "A-4"/SS-1/Scunner/ (Фау-2) по Антверпену сделала 901/3 батарея (15070).</w:t>
      </w:r>
    </w:p>
    <w:p w14:paraId="1C4A339B" w14:textId="77777777" w:rsidR="00524C9D" w:rsidRPr="00925F26" w:rsidRDefault="00524C9D" w:rsidP="00925F26">
      <w:pPr>
        <w:jc w:val="both"/>
        <w:rPr>
          <w:color w:val="000000" w:themeColor="text1"/>
          <w:sz w:val="16"/>
          <w:szCs w:val="16"/>
        </w:rPr>
      </w:pPr>
    </w:p>
    <w:p w14:paraId="65AA8305" w14:textId="77777777" w:rsidR="00524C9D" w:rsidRPr="00925F26" w:rsidRDefault="00524C9D" w:rsidP="00925F26">
      <w:pPr>
        <w:jc w:val="both"/>
        <w:rPr>
          <w:color w:val="000000" w:themeColor="text1"/>
          <w:sz w:val="16"/>
          <w:szCs w:val="16"/>
        </w:rPr>
      </w:pPr>
      <w:r w:rsidRPr="00925F26">
        <w:rPr>
          <w:bCs/>
          <w:color w:val="000000" w:themeColor="text1"/>
          <w:sz w:val="16"/>
          <w:szCs w:val="16"/>
        </w:rPr>
        <w:lastRenderedPageBreak/>
        <w:t>16 марта</w:t>
      </w:r>
      <w:r w:rsidRPr="00925F26">
        <w:rPr>
          <w:color w:val="000000" w:themeColor="text1"/>
          <w:sz w:val="16"/>
          <w:szCs w:val="16"/>
        </w:rPr>
        <w:t xml:space="preserve"> в 1945 году фирме «Bell» заказали третий экспериментальный самолет «Х-1». Самолеты «XS-1» получили регистрационные номера: №1 - 46-062, №2 - 46-063, и №3 - 46-064 (15070).</w:t>
      </w:r>
    </w:p>
    <w:p w14:paraId="59713C1E" w14:textId="77777777" w:rsidR="00524C9D" w:rsidRPr="00925F26" w:rsidRDefault="00524C9D" w:rsidP="00925F26">
      <w:pPr>
        <w:jc w:val="both"/>
        <w:rPr>
          <w:color w:val="000000" w:themeColor="text1"/>
          <w:sz w:val="16"/>
          <w:szCs w:val="16"/>
        </w:rPr>
      </w:pPr>
    </w:p>
    <w:p w14:paraId="71A1F470" w14:textId="77777777" w:rsidR="0063556F" w:rsidRPr="00925F26" w:rsidRDefault="0063556F" w:rsidP="00925F26">
      <w:pPr>
        <w:jc w:val="both"/>
        <w:rPr>
          <w:color w:val="000000" w:themeColor="text1"/>
          <w:sz w:val="16"/>
          <w:szCs w:val="16"/>
        </w:rPr>
      </w:pPr>
      <w:r w:rsidRPr="00925F26">
        <w:rPr>
          <w:color w:val="000000" w:themeColor="text1"/>
          <w:sz w:val="16"/>
          <w:szCs w:val="16"/>
        </w:rPr>
        <w:t>16 марта 1945 г. фирма Bell Aircraft получила от ВВС контракт на строи</w:t>
      </w:r>
      <w:r w:rsidRPr="00925F26">
        <w:rPr>
          <w:color w:val="000000" w:themeColor="text1"/>
          <w:sz w:val="16"/>
          <w:szCs w:val="16"/>
        </w:rPr>
        <w:softHyphen/>
        <w:t>тельство трех экземпляров самолета XS-1 («экспериментальный, сверхзву</w:t>
      </w:r>
      <w:r w:rsidRPr="00925F26">
        <w:rPr>
          <w:color w:val="000000" w:themeColor="text1"/>
          <w:sz w:val="16"/>
          <w:szCs w:val="16"/>
        </w:rPr>
        <w:softHyphen/>
        <w:t>ковой, первый», позже просто Х-1) для получения данных об условиях полета на трансзвуковых скоростях. XS-1 был первым американских скоростным са</w:t>
      </w:r>
      <w:r w:rsidRPr="00925F26">
        <w:rPr>
          <w:color w:val="000000" w:themeColor="text1"/>
          <w:sz w:val="16"/>
          <w:szCs w:val="16"/>
        </w:rPr>
        <w:softHyphen/>
        <w:t>молетом, создававшимен специально для проведения летных исследований и не предназначенным для серийного производства. В разработке широко использовались материалы немецкого проекта DFS.346. Основные техничес</w:t>
      </w:r>
      <w:r w:rsidRPr="00925F26">
        <w:rPr>
          <w:color w:val="000000" w:themeColor="text1"/>
          <w:sz w:val="16"/>
          <w:szCs w:val="16"/>
        </w:rPr>
        <w:softHyphen/>
        <w:t>кие параметры машины были сформу</w:t>
      </w:r>
      <w:r w:rsidRPr="00925F26">
        <w:rPr>
          <w:color w:val="000000" w:themeColor="text1"/>
          <w:sz w:val="16"/>
          <w:szCs w:val="16"/>
        </w:rPr>
        <w:softHyphen/>
        <w:t>лированы специалистами Националь</w:t>
      </w:r>
      <w:r w:rsidRPr="00925F26">
        <w:rPr>
          <w:color w:val="000000" w:themeColor="text1"/>
          <w:sz w:val="16"/>
          <w:szCs w:val="16"/>
        </w:rPr>
        <w:softHyphen/>
        <w:t>ного консультативного комитета по аэронавтике NACA (National Advisoty Committee for Aeronautics).</w:t>
      </w:r>
    </w:p>
    <w:p w14:paraId="6D2B69D1" w14:textId="77777777" w:rsidR="0063556F" w:rsidRPr="00925F26" w:rsidRDefault="0063556F" w:rsidP="00925F26">
      <w:pPr>
        <w:jc w:val="both"/>
        <w:rPr>
          <w:color w:val="000000" w:themeColor="text1"/>
          <w:sz w:val="16"/>
          <w:szCs w:val="16"/>
        </w:rPr>
      </w:pPr>
      <w:r w:rsidRPr="00925F26">
        <w:rPr>
          <w:color w:val="000000" w:themeColor="text1"/>
          <w:sz w:val="16"/>
          <w:szCs w:val="16"/>
        </w:rPr>
        <w:t>В качестве некоего условного прото</w:t>
      </w:r>
      <w:r w:rsidRPr="00925F26">
        <w:rPr>
          <w:color w:val="000000" w:themeColor="text1"/>
          <w:sz w:val="16"/>
          <w:szCs w:val="16"/>
        </w:rPr>
        <w:softHyphen/>
        <w:t>типа XS-1 была принята полудюймо</w:t>
      </w:r>
      <w:r w:rsidRPr="00925F26">
        <w:rPr>
          <w:color w:val="000000" w:themeColor="text1"/>
          <w:sz w:val="16"/>
          <w:szCs w:val="16"/>
        </w:rPr>
        <w:softHyphen/>
        <w:t>вая (12,7 мм) пуля от пулемета Брау</w:t>
      </w:r>
      <w:r w:rsidRPr="00925F26">
        <w:rPr>
          <w:color w:val="000000" w:themeColor="text1"/>
          <w:sz w:val="16"/>
          <w:szCs w:val="16"/>
        </w:rPr>
        <w:softHyphen/>
        <w:t>нинга, аэродинамические качества ко</w:t>
      </w:r>
      <w:r w:rsidRPr="00925F26">
        <w:rPr>
          <w:color w:val="000000" w:themeColor="text1"/>
          <w:sz w:val="16"/>
          <w:szCs w:val="16"/>
        </w:rPr>
        <w:softHyphen/>
        <w:t>торой на сверхзвуке были широко из</w:t>
      </w:r>
      <w:r w:rsidRPr="00925F26">
        <w:rPr>
          <w:color w:val="000000" w:themeColor="text1"/>
          <w:sz w:val="16"/>
          <w:szCs w:val="16"/>
        </w:rPr>
        <w:softHyphen/>
        <w:t>вестны. Самолет строился по схеме свободнонесущего цельнометалличес</w:t>
      </w:r>
      <w:r w:rsidRPr="00925F26">
        <w:rPr>
          <w:color w:val="000000" w:themeColor="text1"/>
          <w:sz w:val="16"/>
          <w:szCs w:val="16"/>
        </w:rPr>
        <w:softHyphen/>
        <w:t>кого моноплана с прямым крылом. Конструкция рассчитывалась на пе</w:t>
      </w:r>
      <w:r w:rsidRPr="00925F26">
        <w:rPr>
          <w:color w:val="000000" w:themeColor="text1"/>
          <w:sz w:val="16"/>
          <w:szCs w:val="16"/>
        </w:rPr>
        <w:softHyphen/>
        <w:t>регрузки от + 18 до -10 единиц. Верете</w:t>
      </w:r>
      <w:r w:rsidRPr="00925F26">
        <w:rPr>
          <w:color w:val="000000" w:themeColor="text1"/>
          <w:sz w:val="16"/>
          <w:szCs w:val="16"/>
        </w:rPr>
        <w:softHyphen/>
        <w:t>нообразный фюзеляж - овального се</w:t>
      </w:r>
      <w:r w:rsidRPr="00925F26">
        <w:rPr>
          <w:color w:val="000000" w:themeColor="text1"/>
          <w:sz w:val="16"/>
          <w:szCs w:val="16"/>
        </w:rPr>
        <w:softHyphen/>
        <w:t>чения, с гермокабиной и фонарем, вписанным в общие обводы. Хвостовое оперение, как и крыло, заметной стре</w:t>
      </w:r>
      <w:r w:rsidRPr="00925F26">
        <w:rPr>
          <w:color w:val="000000" w:themeColor="text1"/>
          <w:sz w:val="16"/>
          <w:szCs w:val="16"/>
        </w:rPr>
        <w:softHyphen/>
        <w:t>ловидности не имело. Горизонтальное оперение установлено на 1/3 высоты киля для выноса из зоны турбулент</w:t>
      </w:r>
      <w:r w:rsidRPr="00925F26">
        <w:rPr>
          <w:color w:val="000000" w:themeColor="text1"/>
          <w:sz w:val="16"/>
          <w:szCs w:val="16"/>
        </w:rPr>
        <w:softHyphen/>
        <w:t>ности за крылом.</w:t>
      </w:r>
    </w:p>
    <w:p w14:paraId="35875DF4" w14:textId="77777777" w:rsidR="0063556F" w:rsidRPr="00925F26" w:rsidRDefault="0063556F" w:rsidP="00925F26">
      <w:pPr>
        <w:jc w:val="both"/>
        <w:rPr>
          <w:color w:val="000000" w:themeColor="text1"/>
          <w:sz w:val="16"/>
          <w:szCs w:val="16"/>
        </w:rPr>
      </w:pPr>
      <w:r w:rsidRPr="00925F26">
        <w:rPr>
          <w:color w:val="000000" w:themeColor="text1"/>
          <w:sz w:val="16"/>
          <w:szCs w:val="16"/>
        </w:rPr>
        <w:t>Кислородно-спиртовый двигатель XLR-11-RM-31 - первый американский ЖРД для установки на самолет - был создан фирмой Reaction Motors. Систе</w:t>
      </w:r>
      <w:r w:rsidRPr="00925F26">
        <w:rPr>
          <w:color w:val="000000" w:themeColor="text1"/>
          <w:sz w:val="16"/>
          <w:szCs w:val="16"/>
        </w:rPr>
        <w:softHyphen/>
        <w:t>ма подачи топлива - вытеснительная, тяга регулировалась за счет дроссели</w:t>
      </w:r>
      <w:r w:rsidRPr="00925F26">
        <w:rPr>
          <w:color w:val="000000" w:themeColor="text1"/>
          <w:sz w:val="16"/>
          <w:szCs w:val="16"/>
        </w:rPr>
        <w:softHyphen/>
        <w:t>рования четырех камер сгорания, ко</w:t>
      </w:r>
      <w:r w:rsidRPr="00925F26">
        <w:rPr>
          <w:color w:val="000000" w:themeColor="text1"/>
          <w:sz w:val="16"/>
          <w:szCs w:val="16"/>
        </w:rPr>
        <w:softHyphen/>
        <w:t>торые могли работать как по отдель</w:t>
      </w:r>
      <w:r w:rsidRPr="00925F26">
        <w:rPr>
          <w:color w:val="000000" w:themeColor="text1"/>
          <w:sz w:val="16"/>
          <w:szCs w:val="16"/>
        </w:rPr>
        <w:softHyphen/>
        <w:t>ности, так и совместно. Поскольку вре</w:t>
      </w:r>
      <w:r w:rsidRPr="00925F26">
        <w:rPr>
          <w:color w:val="000000" w:themeColor="text1"/>
          <w:sz w:val="16"/>
          <w:szCs w:val="16"/>
        </w:rPr>
        <w:softHyphen/>
        <w:t>мя работы двигателя не превышало 4 мин, применялся воздушный запуск с самолета-носителя (бомбардировщи</w:t>
      </w:r>
      <w:r w:rsidRPr="00925F26">
        <w:rPr>
          <w:color w:val="000000" w:themeColor="text1"/>
          <w:sz w:val="16"/>
          <w:szCs w:val="16"/>
        </w:rPr>
        <w:softHyphen/>
        <w:t>ки В-29 и В-50) на высоте 9000 м. По</w:t>
      </w:r>
      <w:r w:rsidRPr="00925F26">
        <w:rPr>
          <w:color w:val="000000" w:themeColor="text1"/>
          <w:sz w:val="16"/>
          <w:szCs w:val="16"/>
        </w:rPr>
        <w:softHyphen/>
        <w:t>садка осуществлялась планированием (23388).</w:t>
      </w:r>
    </w:p>
    <w:p w14:paraId="252C2A31" w14:textId="77777777" w:rsidR="0063556F" w:rsidRPr="00925F26" w:rsidRDefault="0063556F" w:rsidP="00925F26">
      <w:pPr>
        <w:jc w:val="both"/>
        <w:rPr>
          <w:color w:val="000000" w:themeColor="text1"/>
          <w:sz w:val="16"/>
          <w:szCs w:val="16"/>
        </w:rPr>
      </w:pPr>
    </w:p>
    <w:p w14:paraId="681C3AEA" w14:textId="77777777" w:rsidR="00524C9D" w:rsidRPr="00925F26" w:rsidRDefault="00524C9D" w:rsidP="00925F26">
      <w:pPr>
        <w:jc w:val="both"/>
        <w:rPr>
          <w:color w:val="000000" w:themeColor="text1"/>
          <w:sz w:val="16"/>
          <w:szCs w:val="16"/>
        </w:rPr>
      </w:pPr>
      <w:r w:rsidRPr="00925F26">
        <w:rPr>
          <w:bCs/>
          <w:color w:val="000000" w:themeColor="text1"/>
          <w:sz w:val="16"/>
          <w:szCs w:val="16"/>
        </w:rPr>
        <w:t>16 марта</w:t>
      </w:r>
      <w:r w:rsidRPr="00925F26">
        <w:rPr>
          <w:color w:val="000000" w:themeColor="text1"/>
          <w:sz w:val="16"/>
          <w:szCs w:val="16"/>
        </w:rPr>
        <w:t xml:space="preserve"> в 1945 году американские войска полностью овладели островом Иводзима (15070).</w:t>
      </w:r>
    </w:p>
    <w:p w14:paraId="1E0D120E" w14:textId="77777777" w:rsidR="00524C9D" w:rsidRPr="00925F26" w:rsidRDefault="00524C9D" w:rsidP="00925F26">
      <w:pPr>
        <w:jc w:val="both"/>
        <w:rPr>
          <w:color w:val="000000" w:themeColor="text1"/>
          <w:sz w:val="16"/>
          <w:szCs w:val="16"/>
        </w:rPr>
      </w:pPr>
    </w:p>
    <w:p w14:paraId="767A5DE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F71574F" w14:textId="77777777" w:rsidR="00665165" w:rsidRPr="00925F26" w:rsidRDefault="00665165" w:rsidP="00925F26">
      <w:pPr>
        <w:autoSpaceDE w:val="0"/>
        <w:autoSpaceDN w:val="0"/>
        <w:adjustRightInd w:val="0"/>
        <w:jc w:val="both"/>
        <w:rPr>
          <w:iCs/>
          <w:color w:val="000000" w:themeColor="text1"/>
          <w:sz w:val="16"/>
          <w:szCs w:val="16"/>
        </w:rPr>
      </w:pPr>
    </w:p>
    <w:p w14:paraId="39A88CCC" w14:textId="77777777" w:rsidR="00C75651" w:rsidRPr="00925F26" w:rsidRDefault="00C75651" w:rsidP="00925F26">
      <w:pPr>
        <w:jc w:val="both"/>
        <w:rPr>
          <w:color w:val="000000" w:themeColor="text1"/>
          <w:sz w:val="16"/>
          <w:szCs w:val="16"/>
        </w:rPr>
      </w:pPr>
      <w:r w:rsidRPr="00925F26">
        <w:rPr>
          <w:color w:val="000000" w:themeColor="text1"/>
          <w:sz w:val="16"/>
          <w:szCs w:val="16"/>
        </w:rPr>
        <w:t>17 марта 1944 г. Историческая справка по самолету ТБ-7 (Пе-8), составленная главным конструктором самолета на заводе № 22 И. Ф. Незваль</w:t>
      </w:r>
    </w:p>
    <w:p w14:paraId="122E34D8" w14:textId="77777777" w:rsidR="00C75651" w:rsidRPr="00925F26" w:rsidRDefault="00C75651" w:rsidP="00925F26">
      <w:pPr>
        <w:jc w:val="both"/>
        <w:rPr>
          <w:color w:val="000000" w:themeColor="text1"/>
          <w:sz w:val="16"/>
          <w:szCs w:val="16"/>
        </w:rPr>
      </w:pPr>
      <w:r w:rsidRPr="00925F26">
        <w:rPr>
          <w:color w:val="000000" w:themeColor="text1"/>
          <w:sz w:val="16"/>
          <w:szCs w:val="16"/>
        </w:rPr>
        <w:t xml:space="preserve">Самолет ТБ-7 задуман в варианте высотного бомбардировщика оборудованного специальным агрегатом центрального наддува. </w:t>
      </w:r>
    </w:p>
    <w:p w14:paraId="11AE07EE" w14:textId="77777777" w:rsidR="00C75651" w:rsidRPr="00925F26" w:rsidRDefault="00C75651" w:rsidP="00925F26">
      <w:pPr>
        <w:jc w:val="both"/>
        <w:rPr>
          <w:color w:val="000000" w:themeColor="text1"/>
          <w:sz w:val="16"/>
          <w:szCs w:val="16"/>
        </w:rPr>
      </w:pPr>
      <w:r w:rsidRPr="00925F26">
        <w:rPr>
          <w:color w:val="000000" w:themeColor="text1"/>
          <w:sz w:val="16"/>
          <w:szCs w:val="16"/>
        </w:rPr>
        <w:t>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5C72F78C" w14:textId="77777777" w:rsidR="00C75651" w:rsidRPr="00925F26" w:rsidRDefault="00C75651" w:rsidP="00925F26">
      <w:pPr>
        <w:jc w:val="both"/>
        <w:rPr>
          <w:color w:val="000000" w:themeColor="text1"/>
          <w:sz w:val="16"/>
          <w:szCs w:val="16"/>
        </w:rPr>
      </w:pPr>
      <w:r w:rsidRPr="00925F26">
        <w:rPr>
          <w:color w:val="000000" w:themeColor="text1"/>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w:t>
      </w:r>
    </w:p>
    <w:p w14:paraId="418F97A4" w14:textId="77777777" w:rsidR="00C75651" w:rsidRPr="00925F26" w:rsidRDefault="00C75651" w:rsidP="00925F26">
      <w:pPr>
        <w:jc w:val="both"/>
        <w:rPr>
          <w:color w:val="000000" w:themeColor="text1"/>
          <w:sz w:val="16"/>
          <w:szCs w:val="16"/>
        </w:rPr>
      </w:pPr>
      <w:r w:rsidRPr="00925F26">
        <w:rPr>
          <w:color w:val="000000" w:themeColor="text1"/>
          <w:sz w:val="16"/>
          <w:szCs w:val="16"/>
        </w:rPr>
        <w:t>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3CB949FE" w14:textId="77777777" w:rsidR="00C75651" w:rsidRPr="00925F26" w:rsidRDefault="00C75651" w:rsidP="00925F26">
      <w:pPr>
        <w:jc w:val="both"/>
        <w:rPr>
          <w:color w:val="000000" w:themeColor="text1"/>
          <w:sz w:val="16"/>
          <w:szCs w:val="16"/>
        </w:rPr>
      </w:pPr>
      <w:r w:rsidRPr="00925F26">
        <w:rPr>
          <w:color w:val="000000" w:themeColor="text1"/>
          <w:sz w:val="16"/>
          <w:szCs w:val="16"/>
        </w:rPr>
        <w:t>Таким образом, на проектирование с изысканиями затрачено около двух лет, а вместе с постройкой — два с половиной года.</w:t>
      </w:r>
    </w:p>
    <w:p w14:paraId="2B585FD4" w14:textId="77777777" w:rsidR="00C75651" w:rsidRPr="00925F26" w:rsidRDefault="00C75651" w:rsidP="00925F26">
      <w:pPr>
        <w:jc w:val="both"/>
        <w:rPr>
          <w:color w:val="000000" w:themeColor="text1"/>
          <w:sz w:val="16"/>
          <w:szCs w:val="16"/>
        </w:rPr>
      </w:pPr>
      <w:r w:rsidRPr="00925F26">
        <w:rPr>
          <w:color w:val="000000" w:themeColor="text1"/>
          <w:sz w:val="16"/>
          <w:szCs w:val="16"/>
        </w:rPr>
        <w:t>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78611796" w14:textId="77777777" w:rsidR="00C75651" w:rsidRPr="00925F26" w:rsidRDefault="00C75651" w:rsidP="00925F26">
      <w:pPr>
        <w:jc w:val="both"/>
        <w:rPr>
          <w:color w:val="000000" w:themeColor="text1"/>
          <w:sz w:val="16"/>
          <w:szCs w:val="16"/>
        </w:rPr>
      </w:pPr>
      <w:r w:rsidRPr="00925F26">
        <w:rPr>
          <w:color w:val="000000" w:themeColor="text1"/>
          <w:sz w:val="16"/>
          <w:szCs w:val="16"/>
        </w:rPr>
        <w:t>В носу шаровую башню с пушкой Швак-20.</w:t>
      </w:r>
    </w:p>
    <w:p w14:paraId="3FD2D1F3" w14:textId="77777777" w:rsidR="00C75651" w:rsidRPr="00925F26" w:rsidRDefault="00C75651" w:rsidP="00925F26">
      <w:pPr>
        <w:jc w:val="both"/>
        <w:rPr>
          <w:color w:val="000000" w:themeColor="text1"/>
          <w:sz w:val="16"/>
          <w:szCs w:val="16"/>
        </w:rPr>
      </w:pPr>
      <w:r w:rsidRPr="00925F26">
        <w:rPr>
          <w:color w:val="000000" w:themeColor="text1"/>
          <w:sz w:val="16"/>
          <w:szCs w:val="16"/>
        </w:rPr>
        <w:t>На корме шаровую башню с пушкой Швак-20.</w:t>
      </w:r>
    </w:p>
    <w:p w14:paraId="15CD25E1" w14:textId="77777777" w:rsidR="00C75651" w:rsidRPr="00925F26" w:rsidRDefault="00C75651" w:rsidP="00925F26">
      <w:pPr>
        <w:jc w:val="both"/>
        <w:rPr>
          <w:color w:val="000000" w:themeColor="text1"/>
          <w:sz w:val="16"/>
          <w:szCs w:val="16"/>
        </w:rPr>
      </w:pPr>
      <w:r w:rsidRPr="00925F26">
        <w:rPr>
          <w:color w:val="000000" w:themeColor="text1"/>
          <w:sz w:val="16"/>
          <w:szCs w:val="16"/>
        </w:rPr>
        <w:t>На верху турель с пулеметом Шкас — 7/62.</w:t>
      </w:r>
    </w:p>
    <w:p w14:paraId="7A32F0F7" w14:textId="77777777" w:rsidR="00C75651" w:rsidRPr="00925F26" w:rsidRDefault="00C75651" w:rsidP="00925F26">
      <w:pPr>
        <w:jc w:val="both"/>
        <w:rPr>
          <w:color w:val="000000" w:themeColor="text1"/>
          <w:sz w:val="16"/>
          <w:szCs w:val="16"/>
        </w:rPr>
      </w:pPr>
      <w:r w:rsidRPr="00925F26">
        <w:rPr>
          <w:color w:val="000000" w:themeColor="text1"/>
          <w:sz w:val="16"/>
          <w:szCs w:val="16"/>
        </w:rPr>
        <w:t>В шассийных установках 2 пушки Швак-20.</w:t>
      </w:r>
    </w:p>
    <w:p w14:paraId="0F5337D5" w14:textId="77777777" w:rsidR="00C75651" w:rsidRPr="00925F26" w:rsidRDefault="00C75651" w:rsidP="00925F26">
      <w:pPr>
        <w:jc w:val="both"/>
        <w:rPr>
          <w:color w:val="000000" w:themeColor="text1"/>
          <w:sz w:val="16"/>
          <w:szCs w:val="16"/>
        </w:rPr>
      </w:pPr>
      <w:r w:rsidRPr="00925F26">
        <w:rPr>
          <w:color w:val="000000" w:themeColor="text1"/>
          <w:sz w:val="16"/>
          <w:szCs w:val="16"/>
        </w:rPr>
        <w:t xml:space="preserve">После первых испытаний в марте 1937 г. машина встала на доводки и переделку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0691A2DA" w14:textId="77777777" w:rsidR="00C75651" w:rsidRPr="00925F26" w:rsidRDefault="00C75651" w:rsidP="00925F26">
      <w:pPr>
        <w:jc w:val="both"/>
        <w:rPr>
          <w:color w:val="000000" w:themeColor="text1"/>
          <w:sz w:val="16"/>
          <w:szCs w:val="16"/>
        </w:rPr>
      </w:pPr>
      <w:r w:rsidRPr="00925F26">
        <w:rPr>
          <w:color w:val="000000" w:themeColor="text1"/>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1C2128B7" w14:textId="77777777" w:rsidR="00C75651" w:rsidRPr="00925F26" w:rsidRDefault="00C75651" w:rsidP="00925F26">
      <w:pPr>
        <w:jc w:val="both"/>
        <w:rPr>
          <w:color w:val="000000" w:themeColor="text1"/>
          <w:sz w:val="16"/>
          <w:szCs w:val="16"/>
        </w:rPr>
      </w:pPr>
      <w:r w:rsidRPr="00925F26">
        <w:rPr>
          <w:color w:val="000000" w:themeColor="text1"/>
          <w:sz w:val="16"/>
          <w:szCs w:val="16"/>
        </w:rPr>
        <w:t>В августе 1937 г. самолет был передан в НИИ ВВС на совместные испытания, 1-й этап которых закончился в октябре 1937 г.</w:t>
      </w:r>
    </w:p>
    <w:p w14:paraId="3F23ABB4" w14:textId="77777777" w:rsidR="00C75651" w:rsidRPr="00925F26" w:rsidRDefault="00C75651" w:rsidP="00925F26">
      <w:pPr>
        <w:jc w:val="both"/>
        <w:rPr>
          <w:color w:val="000000" w:themeColor="text1"/>
          <w:sz w:val="16"/>
          <w:szCs w:val="16"/>
        </w:rPr>
      </w:pPr>
      <w:r w:rsidRPr="00925F26">
        <w:rPr>
          <w:color w:val="000000" w:themeColor="text1"/>
          <w:sz w:val="16"/>
          <w:szCs w:val="16"/>
        </w:rPr>
        <w:t>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567EED35" w14:textId="77777777" w:rsidR="00C75651" w:rsidRPr="00925F26" w:rsidRDefault="00C75651" w:rsidP="00925F26">
      <w:pPr>
        <w:jc w:val="both"/>
        <w:rPr>
          <w:color w:val="000000" w:themeColor="text1"/>
          <w:sz w:val="16"/>
          <w:szCs w:val="16"/>
        </w:rPr>
      </w:pPr>
      <w:r w:rsidRPr="00925F26">
        <w:rPr>
          <w:color w:val="000000" w:themeColor="text1"/>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Style w:val="affc"/>
        <w:tblW w:w="0" w:type="auto"/>
        <w:tblInd w:w="150" w:type="dxa"/>
        <w:tblLook w:val="04A0" w:firstRow="1" w:lastRow="0" w:firstColumn="1" w:lastColumn="0" w:noHBand="0" w:noVBand="1"/>
      </w:tblPr>
      <w:tblGrid>
        <w:gridCol w:w="1554"/>
        <w:gridCol w:w="916"/>
        <w:gridCol w:w="916"/>
        <w:gridCol w:w="916"/>
      </w:tblGrid>
      <w:tr w:rsidR="00C75651" w:rsidRPr="00925F26" w14:paraId="571EE6C4" w14:textId="77777777" w:rsidTr="004C5D62">
        <w:tc>
          <w:tcPr>
            <w:tcW w:w="1554" w:type="dxa"/>
          </w:tcPr>
          <w:p w14:paraId="5E5EFBC5" w14:textId="77777777" w:rsidR="00C75651" w:rsidRPr="00925F26" w:rsidRDefault="00C75651" w:rsidP="00925F26">
            <w:pPr>
              <w:jc w:val="both"/>
              <w:rPr>
                <w:color w:val="000000" w:themeColor="text1"/>
                <w:sz w:val="16"/>
                <w:szCs w:val="16"/>
              </w:rPr>
            </w:pPr>
            <w:r w:rsidRPr="00925F26">
              <w:rPr>
                <w:color w:val="000000" w:themeColor="text1"/>
                <w:sz w:val="16"/>
                <w:szCs w:val="16"/>
              </w:rPr>
              <w:t>полетный вес</w:t>
            </w:r>
          </w:p>
        </w:tc>
        <w:tc>
          <w:tcPr>
            <w:tcW w:w="916" w:type="dxa"/>
          </w:tcPr>
          <w:p w14:paraId="7CED9585" w14:textId="77777777" w:rsidR="00C75651" w:rsidRPr="00925F26" w:rsidRDefault="00C75651" w:rsidP="00925F26">
            <w:pPr>
              <w:jc w:val="both"/>
              <w:rPr>
                <w:color w:val="000000" w:themeColor="text1"/>
                <w:sz w:val="16"/>
                <w:szCs w:val="16"/>
              </w:rPr>
            </w:pPr>
            <w:r w:rsidRPr="00925F26">
              <w:rPr>
                <w:color w:val="000000" w:themeColor="text1"/>
                <w:sz w:val="16"/>
                <w:szCs w:val="16"/>
              </w:rPr>
              <w:t>24000</w:t>
            </w:r>
          </w:p>
        </w:tc>
        <w:tc>
          <w:tcPr>
            <w:tcW w:w="916" w:type="dxa"/>
          </w:tcPr>
          <w:p w14:paraId="418E112B" w14:textId="77777777" w:rsidR="00C75651" w:rsidRPr="00925F26" w:rsidRDefault="00C75651" w:rsidP="00925F26">
            <w:pPr>
              <w:jc w:val="both"/>
              <w:rPr>
                <w:color w:val="000000" w:themeColor="text1"/>
                <w:sz w:val="16"/>
                <w:szCs w:val="16"/>
              </w:rPr>
            </w:pPr>
            <w:r w:rsidRPr="00925F26">
              <w:rPr>
                <w:color w:val="000000" w:themeColor="text1"/>
                <w:sz w:val="16"/>
                <w:szCs w:val="16"/>
              </w:rPr>
              <w:t>26000</w:t>
            </w:r>
          </w:p>
        </w:tc>
        <w:tc>
          <w:tcPr>
            <w:tcW w:w="916" w:type="dxa"/>
          </w:tcPr>
          <w:p w14:paraId="02357039" w14:textId="77777777" w:rsidR="00C75651" w:rsidRPr="00925F26" w:rsidRDefault="00C75651" w:rsidP="00925F26">
            <w:pPr>
              <w:jc w:val="both"/>
              <w:rPr>
                <w:color w:val="000000" w:themeColor="text1"/>
                <w:sz w:val="16"/>
                <w:szCs w:val="16"/>
              </w:rPr>
            </w:pPr>
            <w:r w:rsidRPr="00925F26">
              <w:rPr>
                <w:color w:val="000000" w:themeColor="text1"/>
                <w:sz w:val="16"/>
                <w:szCs w:val="16"/>
              </w:rPr>
              <w:t>28000</w:t>
            </w:r>
          </w:p>
        </w:tc>
      </w:tr>
      <w:tr w:rsidR="00C75651" w:rsidRPr="00925F26" w14:paraId="03D3491B" w14:textId="77777777" w:rsidTr="004C5D62">
        <w:tc>
          <w:tcPr>
            <w:tcW w:w="1554" w:type="dxa"/>
          </w:tcPr>
          <w:p w14:paraId="5787BF8D" w14:textId="77777777" w:rsidR="00C75651" w:rsidRPr="00925F26" w:rsidRDefault="00C75651" w:rsidP="00925F26">
            <w:pPr>
              <w:jc w:val="both"/>
              <w:rPr>
                <w:color w:val="000000" w:themeColor="text1"/>
                <w:sz w:val="16"/>
                <w:szCs w:val="16"/>
              </w:rPr>
            </w:pPr>
            <w:r w:rsidRPr="00925F26">
              <w:rPr>
                <w:color w:val="000000" w:themeColor="text1"/>
                <w:sz w:val="16"/>
                <w:szCs w:val="16"/>
              </w:rPr>
              <w:t>1. Максимальная скорость у земли</w:t>
            </w:r>
          </w:p>
        </w:tc>
        <w:tc>
          <w:tcPr>
            <w:tcW w:w="916" w:type="dxa"/>
          </w:tcPr>
          <w:p w14:paraId="0DCC669B" w14:textId="77777777" w:rsidR="00C75651" w:rsidRPr="00925F26" w:rsidRDefault="00C75651" w:rsidP="00925F26">
            <w:pPr>
              <w:jc w:val="both"/>
              <w:rPr>
                <w:color w:val="000000" w:themeColor="text1"/>
                <w:sz w:val="16"/>
                <w:szCs w:val="16"/>
              </w:rPr>
            </w:pPr>
            <w:r w:rsidRPr="00925F26">
              <w:rPr>
                <w:color w:val="000000" w:themeColor="text1"/>
                <w:sz w:val="16"/>
                <w:szCs w:val="16"/>
              </w:rPr>
              <w:t>315 км/ч</w:t>
            </w:r>
          </w:p>
        </w:tc>
        <w:tc>
          <w:tcPr>
            <w:tcW w:w="916" w:type="dxa"/>
          </w:tcPr>
          <w:p w14:paraId="75890EBD" w14:textId="77777777" w:rsidR="00C75651" w:rsidRPr="00925F26" w:rsidRDefault="00C75651" w:rsidP="00925F26">
            <w:pPr>
              <w:jc w:val="both"/>
              <w:rPr>
                <w:color w:val="000000" w:themeColor="text1"/>
                <w:sz w:val="16"/>
                <w:szCs w:val="16"/>
              </w:rPr>
            </w:pPr>
            <w:r w:rsidRPr="00925F26">
              <w:rPr>
                <w:color w:val="000000" w:themeColor="text1"/>
                <w:sz w:val="16"/>
                <w:szCs w:val="16"/>
              </w:rPr>
              <w:t>312 км/ч</w:t>
            </w:r>
          </w:p>
        </w:tc>
        <w:tc>
          <w:tcPr>
            <w:tcW w:w="916" w:type="dxa"/>
          </w:tcPr>
          <w:p w14:paraId="26075EF9" w14:textId="77777777" w:rsidR="00C75651" w:rsidRPr="00925F26" w:rsidRDefault="00C75651" w:rsidP="00925F26">
            <w:pPr>
              <w:jc w:val="both"/>
              <w:rPr>
                <w:color w:val="000000" w:themeColor="text1"/>
                <w:sz w:val="16"/>
                <w:szCs w:val="16"/>
              </w:rPr>
            </w:pPr>
            <w:r w:rsidRPr="00925F26">
              <w:rPr>
                <w:color w:val="000000" w:themeColor="text1"/>
                <w:sz w:val="16"/>
                <w:szCs w:val="16"/>
              </w:rPr>
              <w:t>305 км/ч</w:t>
            </w:r>
          </w:p>
        </w:tc>
      </w:tr>
      <w:tr w:rsidR="00C75651" w:rsidRPr="00925F26" w14:paraId="50440459" w14:textId="77777777" w:rsidTr="004C5D62">
        <w:tc>
          <w:tcPr>
            <w:tcW w:w="1554" w:type="dxa"/>
          </w:tcPr>
          <w:p w14:paraId="5BA851B2" w14:textId="77777777" w:rsidR="00C75651" w:rsidRPr="00925F26" w:rsidRDefault="00C75651" w:rsidP="00925F26">
            <w:pPr>
              <w:jc w:val="both"/>
              <w:rPr>
                <w:color w:val="000000" w:themeColor="text1"/>
                <w:sz w:val="16"/>
                <w:szCs w:val="16"/>
              </w:rPr>
            </w:pPr>
            <w:r w:rsidRPr="00925F26">
              <w:rPr>
                <w:color w:val="000000" w:themeColor="text1"/>
                <w:sz w:val="16"/>
                <w:szCs w:val="16"/>
              </w:rPr>
              <w:t>2. Максимальная скорость АЦН на высоте 4700 м</w:t>
            </w:r>
          </w:p>
        </w:tc>
        <w:tc>
          <w:tcPr>
            <w:tcW w:w="916" w:type="dxa"/>
          </w:tcPr>
          <w:p w14:paraId="6352FF0A" w14:textId="77777777" w:rsidR="00C75651" w:rsidRPr="00925F26" w:rsidRDefault="00C75651" w:rsidP="00925F26">
            <w:pPr>
              <w:jc w:val="both"/>
              <w:rPr>
                <w:color w:val="000000" w:themeColor="text1"/>
                <w:sz w:val="16"/>
                <w:szCs w:val="16"/>
              </w:rPr>
            </w:pPr>
            <w:r w:rsidRPr="00925F26">
              <w:rPr>
                <w:color w:val="000000" w:themeColor="text1"/>
                <w:sz w:val="16"/>
                <w:szCs w:val="16"/>
              </w:rPr>
              <w:t>375 км/ч</w:t>
            </w:r>
          </w:p>
        </w:tc>
        <w:tc>
          <w:tcPr>
            <w:tcW w:w="916" w:type="dxa"/>
          </w:tcPr>
          <w:p w14:paraId="020F199F" w14:textId="77777777" w:rsidR="00C75651" w:rsidRPr="00925F26" w:rsidRDefault="00C75651" w:rsidP="00925F26">
            <w:pPr>
              <w:jc w:val="both"/>
              <w:rPr>
                <w:color w:val="000000" w:themeColor="text1"/>
                <w:sz w:val="16"/>
                <w:szCs w:val="16"/>
              </w:rPr>
            </w:pPr>
            <w:r w:rsidRPr="00925F26">
              <w:rPr>
                <w:color w:val="000000" w:themeColor="text1"/>
                <w:sz w:val="16"/>
                <w:szCs w:val="16"/>
              </w:rPr>
              <w:t>371 км/ч</w:t>
            </w:r>
          </w:p>
        </w:tc>
        <w:tc>
          <w:tcPr>
            <w:tcW w:w="916" w:type="dxa"/>
          </w:tcPr>
          <w:p w14:paraId="1856AD53" w14:textId="77777777" w:rsidR="00C75651" w:rsidRPr="00925F26" w:rsidRDefault="00C75651" w:rsidP="00925F26">
            <w:pPr>
              <w:jc w:val="both"/>
              <w:rPr>
                <w:color w:val="000000" w:themeColor="text1"/>
                <w:sz w:val="16"/>
                <w:szCs w:val="16"/>
              </w:rPr>
            </w:pPr>
            <w:r w:rsidRPr="00925F26">
              <w:rPr>
                <w:color w:val="000000" w:themeColor="text1"/>
                <w:sz w:val="16"/>
                <w:szCs w:val="16"/>
              </w:rPr>
              <w:t>361 км/ч</w:t>
            </w:r>
          </w:p>
        </w:tc>
      </w:tr>
      <w:tr w:rsidR="00C75651" w:rsidRPr="00925F26" w14:paraId="444843B3" w14:textId="77777777" w:rsidTr="004C5D62">
        <w:tc>
          <w:tcPr>
            <w:tcW w:w="1554" w:type="dxa"/>
          </w:tcPr>
          <w:p w14:paraId="5C67A7D7" w14:textId="77777777" w:rsidR="00C75651" w:rsidRPr="00925F26" w:rsidRDefault="00C75651" w:rsidP="00925F26">
            <w:pPr>
              <w:jc w:val="both"/>
              <w:rPr>
                <w:color w:val="000000" w:themeColor="text1"/>
                <w:sz w:val="16"/>
                <w:szCs w:val="16"/>
              </w:rPr>
            </w:pPr>
            <w:r w:rsidRPr="00925F26">
              <w:rPr>
                <w:color w:val="000000" w:themeColor="text1"/>
                <w:sz w:val="16"/>
                <w:szCs w:val="16"/>
              </w:rPr>
              <w:t>3. Максимальная скорость с АЦН на высоте 8600 м</w:t>
            </w:r>
          </w:p>
        </w:tc>
        <w:tc>
          <w:tcPr>
            <w:tcW w:w="916" w:type="dxa"/>
          </w:tcPr>
          <w:p w14:paraId="0F9ED753" w14:textId="77777777" w:rsidR="00C75651" w:rsidRPr="00925F26" w:rsidRDefault="00C75651" w:rsidP="00925F26">
            <w:pPr>
              <w:jc w:val="both"/>
              <w:rPr>
                <w:color w:val="000000" w:themeColor="text1"/>
                <w:sz w:val="16"/>
                <w:szCs w:val="16"/>
              </w:rPr>
            </w:pPr>
            <w:r w:rsidRPr="00925F26">
              <w:rPr>
                <w:color w:val="000000" w:themeColor="text1"/>
                <w:sz w:val="16"/>
                <w:szCs w:val="16"/>
              </w:rPr>
              <w:t>430 км/ч</w:t>
            </w:r>
          </w:p>
        </w:tc>
        <w:tc>
          <w:tcPr>
            <w:tcW w:w="916" w:type="dxa"/>
          </w:tcPr>
          <w:p w14:paraId="5BB73410" w14:textId="77777777" w:rsidR="00C75651" w:rsidRPr="00925F26" w:rsidRDefault="00C75651" w:rsidP="00925F26">
            <w:pPr>
              <w:jc w:val="both"/>
              <w:rPr>
                <w:color w:val="000000" w:themeColor="text1"/>
                <w:sz w:val="16"/>
                <w:szCs w:val="16"/>
              </w:rPr>
            </w:pPr>
            <w:r w:rsidRPr="00925F26">
              <w:rPr>
                <w:color w:val="000000" w:themeColor="text1"/>
                <w:sz w:val="16"/>
                <w:szCs w:val="16"/>
              </w:rPr>
              <w:t>420 км/ч</w:t>
            </w:r>
          </w:p>
        </w:tc>
        <w:tc>
          <w:tcPr>
            <w:tcW w:w="916" w:type="dxa"/>
          </w:tcPr>
          <w:p w14:paraId="1E552A66" w14:textId="77777777" w:rsidR="00C75651" w:rsidRPr="00925F26" w:rsidRDefault="00C75651" w:rsidP="00925F26">
            <w:pPr>
              <w:jc w:val="both"/>
              <w:rPr>
                <w:color w:val="000000" w:themeColor="text1"/>
                <w:sz w:val="16"/>
                <w:szCs w:val="16"/>
              </w:rPr>
            </w:pPr>
            <w:r w:rsidRPr="00925F26">
              <w:rPr>
                <w:color w:val="000000" w:themeColor="text1"/>
                <w:sz w:val="16"/>
                <w:szCs w:val="16"/>
              </w:rPr>
              <w:t>406 км/ч</w:t>
            </w:r>
          </w:p>
        </w:tc>
      </w:tr>
      <w:tr w:rsidR="00C75651" w:rsidRPr="00925F26" w14:paraId="2E29C175" w14:textId="77777777" w:rsidTr="004C5D62">
        <w:tc>
          <w:tcPr>
            <w:tcW w:w="1554" w:type="dxa"/>
          </w:tcPr>
          <w:p w14:paraId="235A1028" w14:textId="77777777" w:rsidR="00C75651" w:rsidRPr="00925F26" w:rsidRDefault="00C75651" w:rsidP="00925F26">
            <w:pPr>
              <w:jc w:val="both"/>
              <w:rPr>
                <w:color w:val="000000" w:themeColor="text1"/>
                <w:sz w:val="16"/>
                <w:szCs w:val="16"/>
              </w:rPr>
            </w:pPr>
            <w:r w:rsidRPr="00925F26">
              <w:rPr>
                <w:color w:val="000000" w:themeColor="text1"/>
                <w:sz w:val="16"/>
                <w:szCs w:val="16"/>
              </w:rPr>
              <w:t>4. Время подъема на 5000 без АЦН</w:t>
            </w:r>
          </w:p>
        </w:tc>
        <w:tc>
          <w:tcPr>
            <w:tcW w:w="916" w:type="dxa"/>
          </w:tcPr>
          <w:p w14:paraId="512A981C" w14:textId="77777777" w:rsidR="00C75651" w:rsidRPr="00925F26" w:rsidRDefault="00C75651" w:rsidP="00925F26">
            <w:pPr>
              <w:jc w:val="both"/>
              <w:rPr>
                <w:color w:val="000000" w:themeColor="text1"/>
                <w:sz w:val="16"/>
                <w:szCs w:val="16"/>
              </w:rPr>
            </w:pPr>
            <w:r w:rsidRPr="00925F26">
              <w:rPr>
                <w:color w:val="000000" w:themeColor="text1"/>
                <w:sz w:val="16"/>
                <w:szCs w:val="16"/>
              </w:rPr>
              <w:t>17 мин.</w:t>
            </w:r>
          </w:p>
        </w:tc>
        <w:tc>
          <w:tcPr>
            <w:tcW w:w="916" w:type="dxa"/>
          </w:tcPr>
          <w:p w14:paraId="6A1A523F" w14:textId="77777777" w:rsidR="00C75651" w:rsidRPr="00925F26" w:rsidRDefault="00C75651" w:rsidP="00925F26">
            <w:pPr>
              <w:jc w:val="both"/>
              <w:rPr>
                <w:color w:val="000000" w:themeColor="text1"/>
                <w:sz w:val="16"/>
                <w:szCs w:val="16"/>
              </w:rPr>
            </w:pPr>
            <w:r w:rsidRPr="00925F26">
              <w:rPr>
                <w:color w:val="000000" w:themeColor="text1"/>
                <w:sz w:val="16"/>
                <w:szCs w:val="16"/>
              </w:rPr>
              <w:t>19,1 мин.</w:t>
            </w:r>
          </w:p>
        </w:tc>
        <w:tc>
          <w:tcPr>
            <w:tcW w:w="916" w:type="dxa"/>
          </w:tcPr>
          <w:p w14:paraId="0ED22031" w14:textId="77777777" w:rsidR="00C75651" w:rsidRPr="00925F26" w:rsidRDefault="00C75651" w:rsidP="00925F26">
            <w:pPr>
              <w:jc w:val="both"/>
              <w:rPr>
                <w:color w:val="000000" w:themeColor="text1"/>
                <w:sz w:val="16"/>
                <w:szCs w:val="16"/>
              </w:rPr>
            </w:pPr>
            <w:r w:rsidRPr="00925F26">
              <w:rPr>
                <w:color w:val="000000" w:themeColor="text1"/>
                <w:sz w:val="16"/>
                <w:szCs w:val="16"/>
              </w:rPr>
              <w:t>23,3 мин.</w:t>
            </w:r>
          </w:p>
        </w:tc>
      </w:tr>
      <w:tr w:rsidR="00C75651" w:rsidRPr="00925F26" w14:paraId="5B37060A" w14:textId="77777777" w:rsidTr="004C5D62">
        <w:tc>
          <w:tcPr>
            <w:tcW w:w="1554" w:type="dxa"/>
          </w:tcPr>
          <w:p w14:paraId="12EF6E30" w14:textId="77777777" w:rsidR="00C75651" w:rsidRPr="00925F26" w:rsidRDefault="00C75651" w:rsidP="00925F26">
            <w:pPr>
              <w:jc w:val="both"/>
              <w:rPr>
                <w:color w:val="000000" w:themeColor="text1"/>
                <w:sz w:val="16"/>
                <w:szCs w:val="16"/>
              </w:rPr>
            </w:pPr>
            <w:r w:rsidRPr="00925F26">
              <w:rPr>
                <w:color w:val="000000" w:themeColor="text1"/>
                <w:sz w:val="16"/>
                <w:szCs w:val="16"/>
              </w:rPr>
              <w:t>5. Время подъема на 5000 с АЦН</w:t>
            </w:r>
          </w:p>
        </w:tc>
        <w:tc>
          <w:tcPr>
            <w:tcW w:w="916" w:type="dxa"/>
          </w:tcPr>
          <w:p w14:paraId="0662E243" w14:textId="77777777" w:rsidR="00C75651" w:rsidRPr="00925F26" w:rsidRDefault="00C75651" w:rsidP="00925F26">
            <w:pPr>
              <w:jc w:val="both"/>
              <w:rPr>
                <w:color w:val="000000" w:themeColor="text1"/>
                <w:sz w:val="16"/>
                <w:szCs w:val="16"/>
              </w:rPr>
            </w:pPr>
            <w:r w:rsidRPr="00925F26">
              <w:rPr>
                <w:color w:val="000000" w:themeColor="text1"/>
                <w:sz w:val="16"/>
                <w:szCs w:val="16"/>
              </w:rPr>
              <w:t>1$,3 мин.</w:t>
            </w:r>
          </w:p>
        </w:tc>
        <w:tc>
          <w:tcPr>
            <w:tcW w:w="916" w:type="dxa"/>
          </w:tcPr>
          <w:p w14:paraId="1A8EC802" w14:textId="77777777" w:rsidR="00C75651" w:rsidRPr="00925F26" w:rsidRDefault="00C75651" w:rsidP="00925F26">
            <w:pPr>
              <w:jc w:val="both"/>
              <w:rPr>
                <w:color w:val="000000" w:themeColor="text1"/>
                <w:sz w:val="16"/>
                <w:szCs w:val="16"/>
              </w:rPr>
            </w:pPr>
            <w:r w:rsidRPr="00925F26">
              <w:rPr>
                <w:color w:val="000000" w:themeColor="text1"/>
                <w:sz w:val="16"/>
                <w:szCs w:val="16"/>
              </w:rPr>
              <w:t>18,8 мин.</w:t>
            </w:r>
          </w:p>
        </w:tc>
        <w:tc>
          <w:tcPr>
            <w:tcW w:w="916" w:type="dxa"/>
          </w:tcPr>
          <w:p w14:paraId="729BB9E2" w14:textId="77777777" w:rsidR="00C75651" w:rsidRPr="00925F26" w:rsidRDefault="00C75651" w:rsidP="00925F26">
            <w:pPr>
              <w:jc w:val="both"/>
              <w:rPr>
                <w:color w:val="000000" w:themeColor="text1"/>
                <w:sz w:val="16"/>
                <w:szCs w:val="16"/>
              </w:rPr>
            </w:pPr>
            <w:r w:rsidRPr="00925F26">
              <w:rPr>
                <w:color w:val="000000" w:themeColor="text1"/>
                <w:sz w:val="16"/>
                <w:szCs w:val="16"/>
              </w:rPr>
              <w:t>. |</w:t>
            </w:r>
          </w:p>
        </w:tc>
      </w:tr>
      <w:tr w:rsidR="00C75651" w:rsidRPr="00925F26" w14:paraId="2D178884" w14:textId="77777777" w:rsidTr="004C5D62">
        <w:tc>
          <w:tcPr>
            <w:tcW w:w="1554" w:type="dxa"/>
          </w:tcPr>
          <w:p w14:paraId="68EFA00C" w14:textId="77777777" w:rsidR="00C75651" w:rsidRPr="00925F26" w:rsidRDefault="00C75651" w:rsidP="00925F26">
            <w:pPr>
              <w:jc w:val="both"/>
              <w:rPr>
                <w:color w:val="000000" w:themeColor="text1"/>
                <w:sz w:val="16"/>
                <w:szCs w:val="16"/>
              </w:rPr>
            </w:pPr>
            <w:r w:rsidRPr="00925F26">
              <w:rPr>
                <w:color w:val="000000" w:themeColor="text1"/>
                <w:sz w:val="16"/>
                <w:szCs w:val="16"/>
              </w:rPr>
              <w:t>6. Практический потолок без АЦН</w:t>
            </w:r>
          </w:p>
        </w:tc>
        <w:tc>
          <w:tcPr>
            <w:tcW w:w="916" w:type="dxa"/>
          </w:tcPr>
          <w:p w14:paraId="4BDBD436" w14:textId="77777777" w:rsidR="00C75651" w:rsidRPr="00925F26" w:rsidRDefault="00C75651" w:rsidP="00925F26">
            <w:pPr>
              <w:jc w:val="both"/>
              <w:rPr>
                <w:color w:val="000000" w:themeColor="text1"/>
                <w:sz w:val="16"/>
                <w:szCs w:val="16"/>
              </w:rPr>
            </w:pPr>
            <w:r w:rsidRPr="00925F26">
              <w:rPr>
                <w:color w:val="000000" w:themeColor="text1"/>
                <w:sz w:val="16"/>
                <w:szCs w:val="16"/>
              </w:rPr>
              <w:t>8200 м</w:t>
            </w:r>
          </w:p>
        </w:tc>
        <w:tc>
          <w:tcPr>
            <w:tcW w:w="916" w:type="dxa"/>
          </w:tcPr>
          <w:p w14:paraId="4B68EC04" w14:textId="77777777" w:rsidR="00C75651" w:rsidRPr="00925F26" w:rsidRDefault="00C75651" w:rsidP="00925F26">
            <w:pPr>
              <w:jc w:val="both"/>
              <w:rPr>
                <w:color w:val="000000" w:themeColor="text1"/>
                <w:sz w:val="16"/>
                <w:szCs w:val="16"/>
              </w:rPr>
            </w:pPr>
            <w:r w:rsidRPr="00925F26">
              <w:rPr>
                <w:color w:val="000000" w:themeColor="text1"/>
                <w:sz w:val="16"/>
                <w:szCs w:val="16"/>
              </w:rPr>
              <w:t>7300 м</w:t>
            </w:r>
          </w:p>
        </w:tc>
        <w:tc>
          <w:tcPr>
            <w:tcW w:w="916" w:type="dxa"/>
          </w:tcPr>
          <w:p w14:paraId="13332B79" w14:textId="77777777" w:rsidR="00C75651" w:rsidRPr="00925F26" w:rsidRDefault="00C75651" w:rsidP="00925F26">
            <w:pPr>
              <w:jc w:val="both"/>
              <w:rPr>
                <w:color w:val="000000" w:themeColor="text1"/>
                <w:sz w:val="16"/>
                <w:szCs w:val="16"/>
              </w:rPr>
            </w:pPr>
            <w:r w:rsidRPr="00925F26">
              <w:rPr>
                <w:color w:val="000000" w:themeColor="text1"/>
                <w:sz w:val="16"/>
                <w:szCs w:val="16"/>
              </w:rPr>
              <w:t>5700 м</w:t>
            </w:r>
          </w:p>
        </w:tc>
      </w:tr>
      <w:tr w:rsidR="00C75651" w:rsidRPr="00925F26" w14:paraId="615AB895" w14:textId="77777777" w:rsidTr="004C5D62">
        <w:tc>
          <w:tcPr>
            <w:tcW w:w="1554" w:type="dxa"/>
          </w:tcPr>
          <w:p w14:paraId="7ADCF555" w14:textId="77777777" w:rsidR="00C75651" w:rsidRPr="00925F26" w:rsidRDefault="00C75651" w:rsidP="00925F26">
            <w:pPr>
              <w:jc w:val="both"/>
              <w:rPr>
                <w:color w:val="000000" w:themeColor="text1"/>
                <w:sz w:val="16"/>
                <w:szCs w:val="16"/>
              </w:rPr>
            </w:pPr>
            <w:r w:rsidRPr="00925F26">
              <w:rPr>
                <w:color w:val="000000" w:themeColor="text1"/>
                <w:sz w:val="16"/>
                <w:szCs w:val="16"/>
              </w:rPr>
              <w:t>7. Практический потолок с</w:t>
            </w:r>
          </w:p>
        </w:tc>
        <w:tc>
          <w:tcPr>
            <w:tcW w:w="916" w:type="dxa"/>
          </w:tcPr>
          <w:p w14:paraId="09BCC5BA" w14:textId="77777777" w:rsidR="00C75651" w:rsidRPr="00925F26" w:rsidRDefault="00C75651" w:rsidP="00925F26">
            <w:pPr>
              <w:jc w:val="both"/>
              <w:rPr>
                <w:color w:val="000000" w:themeColor="text1"/>
                <w:sz w:val="16"/>
                <w:szCs w:val="16"/>
              </w:rPr>
            </w:pPr>
            <w:r w:rsidRPr="00925F26">
              <w:rPr>
                <w:color w:val="000000" w:themeColor="text1"/>
                <w:sz w:val="16"/>
                <w:szCs w:val="16"/>
              </w:rPr>
              <w:t>—</w:t>
            </w:r>
          </w:p>
        </w:tc>
        <w:tc>
          <w:tcPr>
            <w:tcW w:w="916" w:type="dxa"/>
          </w:tcPr>
          <w:p w14:paraId="29FA3030" w14:textId="77777777" w:rsidR="00C75651" w:rsidRPr="00925F26" w:rsidRDefault="00C75651" w:rsidP="00925F26">
            <w:pPr>
              <w:jc w:val="both"/>
              <w:rPr>
                <w:color w:val="000000" w:themeColor="text1"/>
                <w:sz w:val="16"/>
                <w:szCs w:val="16"/>
              </w:rPr>
            </w:pPr>
            <w:r w:rsidRPr="00925F26">
              <w:rPr>
                <w:color w:val="000000" w:themeColor="text1"/>
                <w:sz w:val="16"/>
                <w:szCs w:val="16"/>
              </w:rPr>
              <w:t>10200 м</w:t>
            </w:r>
          </w:p>
        </w:tc>
        <w:tc>
          <w:tcPr>
            <w:tcW w:w="916" w:type="dxa"/>
          </w:tcPr>
          <w:p w14:paraId="7E175D14" w14:textId="77777777" w:rsidR="00C75651" w:rsidRPr="00925F26" w:rsidRDefault="00C75651" w:rsidP="00925F26">
            <w:pPr>
              <w:jc w:val="both"/>
              <w:rPr>
                <w:color w:val="000000" w:themeColor="text1"/>
                <w:sz w:val="16"/>
                <w:szCs w:val="16"/>
              </w:rPr>
            </w:pPr>
            <w:r w:rsidRPr="00925F26">
              <w:rPr>
                <w:color w:val="000000" w:themeColor="text1"/>
                <w:sz w:val="16"/>
                <w:szCs w:val="16"/>
              </w:rPr>
              <w:t>—</w:t>
            </w:r>
          </w:p>
        </w:tc>
      </w:tr>
      <w:tr w:rsidR="00C75651" w:rsidRPr="00925F26" w14:paraId="51ADEF15" w14:textId="77777777" w:rsidTr="004C5D62">
        <w:tc>
          <w:tcPr>
            <w:tcW w:w="1554" w:type="dxa"/>
          </w:tcPr>
          <w:p w14:paraId="706810C1" w14:textId="77777777" w:rsidR="00C75651" w:rsidRPr="00925F26" w:rsidRDefault="00C75651" w:rsidP="00925F26">
            <w:pPr>
              <w:jc w:val="both"/>
              <w:rPr>
                <w:color w:val="000000" w:themeColor="text1"/>
                <w:sz w:val="16"/>
                <w:szCs w:val="16"/>
              </w:rPr>
            </w:pPr>
            <w:r w:rsidRPr="00925F26">
              <w:rPr>
                <w:color w:val="000000" w:themeColor="text1"/>
                <w:sz w:val="16"/>
                <w:szCs w:val="16"/>
              </w:rPr>
              <w:t>8. Время набора потолка без АЦН</w:t>
            </w:r>
          </w:p>
        </w:tc>
        <w:tc>
          <w:tcPr>
            <w:tcW w:w="916" w:type="dxa"/>
          </w:tcPr>
          <w:p w14:paraId="6357BA24" w14:textId="77777777" w:rsidR="00C75651" w:rsidRPr="00925F26" w:rsidRDefault="00C75651" w:rsidP="00925F26">
            <w:pPr>
              <w:jc w:val="both"/>
              <w:rPr>
                <w:color w:val="000000" w:themeColor="text1"/>
                <w:sz w:val="16"/>
                <w:szCs w:val="16"/>
              </w:rPr>
            </w:pPr>
            <w:r w:rsidRPr="00925F26">
              <w:rPr>
                <w:color w:val="000000" w:themeColor="text1"/>
                <w:sz w:val="16"/>
                <w:szCs w:val="16"/>
              </w:rPr>
              <w:t>65 мин.</w:t>
            </w:r>
          </w:p>
        </w:tc>
        <w:tc>
          <w:tcPr>
            <w:tcW w:w="916" w:type="dxa"/>
          </w:tcPr>
          <w:p w14:paraId="378CE500" w14:textId="77777777" w:rsidR="00C75651" w:rsidRPr="00925F26" w:rsidRDefault="00C75651" w:rsidP="00925F26">
            <w:pPr>
              <w:jc w:val="both"/>
              <w:rPr>
                <w:color w:val="000000" w:themeColor="text1"/>
                <w:sz w:val="16"/>
                <w:szCs w:val="16"/>
              </w:rPr>
            </w:pPr>
            <w:r w:rsidRPr="00925F26">
              <w:rPr>
                <w:color w:val="000000" w:themeColor="text1"/>
                <w:sz w:val="16"/>
                <w:szCs w:val="16"/>
              </w:rPr>
              <w:t>65,2 мин.</w:t>
            </w:r>
          </w:p>
        </w:tc>
        <w:tc>
          <w:tcPr>
            <w:tcW w:w="916" w:type="dxa"/>
          </w:tcPr>
          <w:p w14:paraId="3339F662" w14:textId="77777777" w:rsidR="00C75651" w:rsidRPr="00925F26" w:rsidRDefault="00C75651" w:rsidP="00925F26">
            <w:pPr>
              <w:jc w:val="both"/>
              <w:rPr>
                <w:color w:val="000000" w:themeColor="text1"/>
                <w:sz w:val="16"/>
                <w:szCs w:val="16"/>
              </w:rPr>
            </w:pPr>
            <w:r w:rsidRPr="00925F26">
              <w:rPr>
                <w:color w:val="000000" w:themeColor="text1"/>
                <w:sz w:val="16"/>
                <w:szCs w:val="16"/>
              </w:rPr>
              <w:t>64 мин.</w:t>
            </w:r>
          </w:p>
        </w:tc>
      </w:tr>
      <w:tr w:rsidR="00C75651" w:rsidRPr="00925F26" w14:paraId="09DEDD14" w14:textId="77777777" w:rsidTr="004C5D62">
        <w:tc>
          <w:tcPr>
            <w:tcW w:w="1554" w:type="dxa"/>
          </w:tcPr>
          <w:p w14:paraId="18B9DE89" w14:textId="77777777" w:rsidR="00C75651" w:rsidRPr="00925F26" w:rsidRDefault="00C75651" w:rsidP="00925F26">
            <w:pPr>
              <w:jc w:val="both"/>
              <w:rPr>
                <w:color w:val="000000" w:themeColor="text1"/>
                <w:sz w:val="16"/>
                <w:szCs w:val="16"/>
              </w:rPr>
            </w:pPr>
            <w:r w:rsidRPr="00925F26">
              <w:rPr>
                <w:color w:val="000000" w:themeColor="text1"/>
                <w:sz w:val="16"/>
                <w:szCs w:val="16"/>
              </w:rPr>
              <w:t>9. Время набора потолка с</w:t>
            </w:r>
          </w:p>
        </w:tc>
        <w:tc>
          <w:tcPr>
            <w:tcW w:w="916" w:type="dxa"/>
          </w:tcPr>
          <w:p w14:paraId="2D9AE272" w14:textId="77777777" w:rsidR="00C75651" w:rsidRPr="00925F26" w:rsidRDefault="00C75651" w:rsidP="00925F26">
            <w:pPr>
              <w:jc w:val="both"/>
              <w:rPr>
                <w:color w:val="000000" w:themeColor="text1"/>
                <w:sz w:val="16"/>
                <w:szCs w:val="16"/>
              </w:rPr>
            </w:pPr>
            <w:r w:rsidRPr="00925F26">
              <w:rPr>
                <w:color w:val="000000" w:themeColor="text1"/>
                <w:sz w:val="16"/>
                <w:szCs w:val="16"/>
              </w:rPr>
              <w:t>ттт</w:t>
            </w:r>
          </w:p>
        </w:tc>
        <w:tc>
          <w:tcPr>
            <w:tcW w:w="916" w:type="dxa"/>
          </w:tcPr>
          <w:p w14:paraId="29EDFD7E" w14:textId="77777777" w:rsidR="00C75651" w:rsidRPr="00925F26" w:rsidRDefault="00C75651" w:rsidP="00925F26">
            <w:pPr>
              <w:jc w:val="both"/>
              <w:rPr>
                <w:color w:val="000000" w:themeColor="text1"/>
                <w:sz w:val="16"/>
                <w:szCs w:val="16"/>
              </w:rPr>
            </w:pPr>
            <w:r w:rsidRPr="00925F26">
              <w:rPr>
                <w:color w:val="000000" w:themeColor="text1"/>
                <w:sz w:val="16"/>
                <w:szCs w:val="16"/>
              </w:rPr>
              <w:t>57 мин.</w:t>
            </w:r>
          </w:p>
        </w:tc>
        <w:tc>
          <w:tcPr>
            <w:tcW w:w="916" w:type="dxa"/>
          </w:tcPr>
          <w:p w14:paraId="2A228897" w14:textId="77777777" w:rsidR="00C75651" w:rsidRPr="00925F26" w:rsidRDefault="00C75651" w:rsidP="00925F26">
            <w:pPr>
              <w:jc w:val="both"/>
              <w:rPr>
                <w:color w:val="000000" w:themeColor="text1"/>
                <w:sz w:val="16"/>
                <w:szCs w:val="16"/>
              </w:rPr>
            </w:pPr>
            <w:r w:rsidRPr="00925F26">
              <w:rPr>
                <w:color w:val="000000" w:themeColor="text1"/>
                <w:sz w:val="16"/>
                <w:szCs w:val="16"/>
              </w:rPr>
              <w:t>—</w:t>
            </w:r>
          </w:p>
        </w:tc>
      </w:tr>
      <w:tr w:rsidR="00C75651" w:rsidRPr="00925F26" w14:paraId="4037D1AE" w14:textId="77777777" w:rsidTr="004C5D62">
        <w:tc>
          <w:tcPr>
            <w:tcW w:w="1554" w:type="dxa"/>
          </w:tcPr>
          <w:p w14:paraId="45D40209" w14:textId="77777777" w:rsidR="00C75651" w:rsidRPr="00925F26" w:rsidRDefault="00C75651" w:rsidP="00925F26">
            <w:pPr>
              <w:jc w:val="both"/>
              <w:rPr>
                <w:color w:val="000000" w:themeColor="text1"/>
                <w:sz w:val="16"/>
                <w:szCs w:val="16"/>
              </w:rPr>
            </w:pPr>
            <w:r w:rsidRPr="00925F26">
              <w:rPr>
                <w:color w:val="000000" w:themeColor="text1"/>
                <w:sz w:val="16"/>
                <w:szCs w:val="16"/>
              </w:rPr>
              <w:t>10. Длина разбега со щитками</w:t>
            </w:r>
          </w:p>
        </w:tc>
        <w:tc>
          <w:tcPr>
            <w:tcW w:w="916" w:type="dxa"/>
          </w:tcPr>
          <w:p w14:paraId="715EEED4" w14:textId="77777777" w:rsidR="00C75651" w:rsidRPr="00925F26" w:rsidRDefault="00C75651" w:rsidP="00925F26">
            <w:pPr>
              <w:jc w:val="both"/>
              <w:rPr>
                <w:color w:val="000000" w:themeColor="text1"/>
                <w:sz w:val="16"/>
                <w:szCs w:val="16"/>
              </w:rPr>
            </w:pPr>
            <w:r w:rsidRPr="00925F26">
              <w:rPr>
                <w:color w:val="000000" w:themeColor="text1"/>
                <w:sz w:val="16"/>
                <w:szCs w:val="16"/>
              </w:rPr>
              <w:t>280 м</w:t>
            </w:r>
          </w:p>
        </w:tc>
        <w:tc>
          <w:tcPr>
            <w:tcW w:w="916" w:type="dxa"/>
          </w:tcPr>
          <w:p w14:paraId="61FD39DE" w14:textId="77777777" w:rsidR="00C75651" w:rsidRPr="00925F26" w:rsidRDefault="00C75651" w:rsidP="00925F26">
            <w:pPr>
              <w:jc w:val="both"/>
              <w:rPr>
                <w:color w:val="000000" w:themeColor="text1"/>
                <w:sz w:val="16"/>
                <w:szCs w:val="16"/>
              </w:rPr>
            </w:pPr>
            <w:r w:rsidRPr="00925F26">
              <w:rPr>
                <w:color w:val="000000" w:themeColor="text1"/>
                <w:sz w:val="16"/>
                <w:szCs w:val="16"/>
              </w:rPr>
              <w:t>405 м</w:t>
            </w:r>
          </w:p>
        </w:tc>
        <w:tc>
          <w:tcPr>
            <w:tcW w:w="916" w:type="dxa"/>
          </w:tcPr>
          <w:p w14:paraId="4AA1E76B" w14:textId="77777777" w:rsidR="00C75651" w:rsidRPr="00925F26" w:rsidRDefault="00C75651" w:rsidP="00925F26">
            <w:pPr>
              <w:jc w:val="both"/>
              <w:rPr>
                <w:color w:val="000000" w:themeColor="text1"/>
                <w:sz w:val="16"/>
                <w:szCs w:val="16"/>
              </w:rPr>
            </w:pPr>
            <w:r w:rsidRPr="00925F26">
              <w:rPr>
                <w:color w:val="000000" w:themeColor="text1"/>
                <w:sz w:val="16"/>
                <w:szCs w:val="16"/>
              </w:rPr>
              <w:t>538 м</w:t>
            </w:r>
          </w:p>
        </w:tc>
      </w:tr>
      <w:tr w:rsidR="00C75651" w:rsidRPr="00925F26" w14:paraId="50F6E88A" w14:textId="77777777" w:rsidTr="004C5D62">
        <w:tc>
          <w:tcPr>
            <w:tcW w:w="1554" w:type="dxa"/>
          </w:tcPr>
          <w:p w14:paraId="3873E9EF" w14:textId="77777777" w:rsidR="00C75651" w:rsidRPr="00925F26" w:rsidRDefault="00C75651" w:rsidP="00925F26">
            <w:pPr>
              <w:jc w:val="both"/>
              <w:rPr>
                <w:color w:val="000000" w:themeColor="text1"/>
                <w:sz w:val="16"/>
                <w:szCs w:val="16"/>
              </w:rPr>
            </w:pPr>
            <w:r w:rsidRPr="00925F26">
              <w:rPr>
                <w:color w:val="000000" w:themeColor="text1"/>
                <w:sz w:val="16"/>
                <w:szCs w:val="16"/>
              </w:rPr>
              <w:t>11. Время разбега со щитками</w:t>
            </w:r>
          </w:p>
        </w:tc>
        <w:tc>
          <w:tcPr>
            <w:tcW w:w="916" w:type="dxa"/>
          </w:tcPr>
          <w:p w14:paraId="51E25AFA" w14:textId="77777777" w:rsidR="00C75651" w:rsidRPr="00925F26" w:rsidRDefault="00C75651" w:rsidP="00925F26">
            <w:pPr>
              <w:jc w:val="both"/>
              <w:rPr>
                <w:color w:val="000000" w:themeColor="text1"/>
                <w:sz w:val="16"/>
                <w:szCs w:val="16"/>
              </w:rPr>
            </w:pPr>
            <w:r w:rsidRPr="00925F26">
              <w:rPr>
                <w:color w:val="000000" w:themeColor="text1"/>
                <w:sz w:val="16"/>
                <w:szCs w:val="16"/>
              </w:rPr>
              <w:t>16,8 мин.</w:t>
            </w:r>
          </w:p>
        </w:tc>
        <w:tc>
          <w:tcPr>
            <w:tcW w:w="916" w:type="dxa"/>
          </w:tcPr>
          <w:p w14:paraId="73C90AE6" w14:textId="77777777" w:rsidR="00C75651" w:rsidRPr="00925F26" w:rsidRDefault="00C75651" w:rsidP="00925F26">
            <w:pPr>
              <w:jc w:val="both"/>
              <w:rPr>
                <w:color w:val="000000" w:themeColor="text1"/>
                <w:sz w:val="16"/>
                <w:szCs w:val="16"/>
              </w:rPr>
            </w:pPr>
            <w:r w:rsidRPr="00925F26">
              <w:rPr>
                <w:color w:val="000000" w:themeColor="text1"/>
                <w:sz w:val="16"/>
                <w:szCs w:val="16"/>
              </w:rPr>
              <w:t>22,2 мин.</w:t>
            </w:r>
          </w:p>
        </w:tc>
        <w:tc>
          <w:tcPr>
            <w:tcW w:w="916" w:type="dxa"/>
          </w:tcPr>
          <w:p w14:paraId="02B410D8" w14:textId="77777777" w:rsidR="00C75651" w:rsidRPr="00925F26" w:rsidRDefault="00C75651" w:rsidP="00925F26">
            <w:pPr>
              <w:jc w:val="both"/>
              <w:rPr>
                <w:color w:val="000000" w:themeColor="text1"/>
                <w:sz w:val="16"/>
                <w:szCs w:val="16"/>
              </w:rPr>
            </w:pPr>
            <w:r w:rsidRPr="00925F26">
              <w:rPr>
                <w:color w:val="000000" w:themeColor="text1"/>
                <w:sz w:val="16"/>
                <w:szCs w:val="16"/>
              </w:rPr>
              <w:t>28,5 мин.</w:t>
            </w:r>
          </w:p>
        </w:tc>
      </w:tr>
    </w:tbl>
    <w:p w14:paraId="2B43C736" w14:textId="77777777" w:rsidR="00C75651" w:rsidRPr="00925F26" w:rsidRDefault="00C75651" w:rsidP="00925F26">
      <w:pPr>
        <w:jc w:val="both"/>
        <w:rPr>
          <w:color w:val="000000" w:themeColor="text1"/>
          <w:sz w:val="16"/>
          <w:szCs w:val="16"/>
        </w:rPr>
      </w:pPr>
      <w:r w:rsidRPr="00925F26">
        <w:rPr>
          <w:color w:val="000000" w:themeColor="text1"/>
          <w:sz w:val="16"/>
          <w:szCs w:val="16"/>
        </w:rPr>
        <w:t>Длина разбега при полетном весе в 30000 кг получена 770 м.</w:t>
      </w:r>
    </w:p>
    <w:p w14:paraId="623E1B43" w14:textId="77777777" w:rsidR="00C75651" w:rsidRPr="00925F26" w:rsidRDefault="00C75651" w:rsidP="00925F26">
      <w:pPr>
        <w:jc w:val="both"/>
        <w:rPr>
          <w:color w:val="000000" w:themeColor="text1"/>
          <w:sz w:val="16"/>
          <w:szCs w:val="16"/>
        </w:rPr>
      </w:pPr>
      <w:r w:rsidRPr="00925F26">
        <w:rPr>
          <w:color w:val="000000" w:themeColor="text1"/>
          <w:sz w:val="16"/>
          <w:szCs w:val="16"/>
        </w:rPr>
        <w:t>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03A8BF79" w14:textId="77777777" w:rsidR="00C75651" w:rsidRPr="00925F26" w:rsidRDefault="00C75651" w:rsidP="00925F26">
      <w:pPr>
        <w:jc w:val="both"/>
        <w:rPr>
          <w:color w:val="000000" w:themeColor="text1"/>
          <w:sz w:val="16"/>
          <w:szCs w:val="16"/>
        </w:rPr>
      </w:pPr>
      <w:r w:rsidRPr="00925F26">
        <w:rPr>
          <w:color w:val="000000" w:themeColor="text1"/>
          <w:sz w:val="16"/>
          <w:szCs w:val="16"/>
        </w:rPr>
        <w:t xml:space="preserve">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w:t>
      </w:r>
    </w:p>
    <w:p w14:paraId="7BC6282C" w14:textId="77777777" w:rsidR="00C75651" w:rsidRPr="00925F26" w:rsidRDefault="00C75651" w:rsidP="00925F26">
      <w:pPr>
        <w:jc w:val="both"/>
        <w:rPr>
          <w:color w:val="000000" w:themeColor="text1"/>
          <w:sz w:val="16"/>
          <w:szCs w:val="16"/>
        </w:rPr>
      </w:pPr>
      <w:r w:rsidRPr="00925F26">
        <w:rPr>
          <w:color w:val="000000" w:themeColor="text1"/>
          <w:sz w:val="16"/>
          <w:szCs w:val="16"/>
        </w:rPr>
        <w:t>Испытания «Дублера» закончились летом 1938 г.</w:t>
      </w:r>
    </w:p>
    <w:p w14:paraId="7C00080E" w14:textId="77777777" w:rsidR="00C75651" w:rsidRPr="00925F26" w:rsidRDefault="00C75651" w:rsidP="00925F26">
      <w:pPr>
        <w:jc w:val="both"/>
        <w:rPr>
          <w:color w:val="000000" w:themeColor="text1"/>
          <w:sz w:val="16"/>
          <w:szCs w:val="16"/>
        </w:rPr>
      </w:pPr>
      <w:r w:rsidRPr="00925F26">
        <w:rPr>
          <w:color w:val="000000" w:themeColor="text1"/>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28420CD4" w14:textId="77777777" w:rsidR="00C75651" w:rsidRPr="00925F26" w:rsidRDefault="00C75651" w:rsidP="00925F26">
      <w:pPr>
        <w:jc w:val="both"/>
        <w:rPr>
          <w:color w:val="000000" w:themeColor="text1"/>
          <w:sz w:val="16"/>
          <w:szCs w:val="16"/>
        </w:rPr>
      </w:pPr>
      <w:r w:rsidRPr="00925F26">
        <w:rPr>
          <w:color w:val="000000" w:themeColor="text1"/>
          <w:sz w:val="16"/>
          <w:szCs w:val="16"/>
        </w:rPr>
        <w:t>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08F2F1B8" w14:textId="77777777" w:rsidR="00C75651" w:rsidRPr="00925F26" w:rsidRDefault="00C75651" w:rsidP="00925F26">
      <w:pPr>
        <w:jc w:val="both"/>
        <w:rPr>
          <w:color w:val="000000" w:themeColor="text1"/>
          <w:sz w:val="16"/>
          <w:szCs w:val="16"/>
        </w:rPr>
      </w:pPr>
      <w:r w:rsidRPr="00925F26">
        <w:rPr>
          <w:color w:val="000000" w:themeColor="text1"/>
          <w:sz w:val="16"/>
          <w:szCs w:val="16"/>
        </w:rPr>
        <w:lastRenderedPageBreak/>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6B2FC502" w14:textId="77777777" w:rsidR="00C75651" w:rsidRPr="00925F26" w:rsidRDefault="00C75651" w:rsidP="00925F26">
      <w:pPr>
        <w:jc w:val="both"/>
        <w:rPr>
          <w:color w:val="000000" w:themeColor="text1"/>
          <w:sz w:val="16"/>
          <w:szCs w:val="16"/>
        </w:rPr>
      </w:pPr>
      <w:r w:rsidRPr="00925F26">
        <w:rPr>
          <w:color w:val="000000" w:themeColor="text1"/>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22A5BB2A" w14:textId="77777777" w:rsidR="00C75651" w:rsidRPr="00925F26" w:rsidRDefault="00C75651" w:rsidP="00925F26">
      <w:pPr>
        <w:jc w:val="both"/>
        <w:rPr>
          <w:color w:val="000000" w:themeColor="text1"/>
          <w:sz w:val="16"/>
          <w:szCs w:val="16"/>
        </w:rPr>
      </w:pPr>
      <w:r w:rsidRPr="00925F26">
        <w:rPr>
          <w:color w:val="000000" w:themeColor="text1"/>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4B0A0137" w14:textId="77777777" w:rsidR="00C75651" w:rsidRPr="00925F26" w:rsidRDefault="00C75651" w:rsidP="00925F26">
      <w:pPr>
        <w:jc w:val="both"/>
        <w:rPr>
          <w:color w:val="000000" w:themeColor="text1"/>
          <w:sz w:val="16"/>
          <w:szCs w:val="16"/>
        </w:rPr>
      </w:pPr>
      <w:r w:rsidRPr="00925F26">
        <w:rPr>
          <w:color w:val="000000" w:themeColor="text1"/>
          <w:sz w:val="16"/>
          <w:szCs w:val="16"/>
        </w:rPr>
        <w:t>При полетном весе 27000 кг самолет ТБ-7 имел:</w:t>
      </w:r>
    </w:p>
    <w:p w14:paraId="59DD7558" w14:textId="77777777" w:rsidR="00C75651" w:rsidRPr="00925F26" w:rsidRDefault="00C75651" w:rsidP="00925F26">
      <w:pPr>
        <w:jc w:val="both"/>
        <w:rPr>
          <w:color w:val="000000" w:themeColor="text1"/>
          <w:sz w:val="16"/>
          <w:szCs w:val="16"/>
        </w:rPr>
      </w:pPr>
      <w:r w:rsidRPr="00925F26">
        <w:rPr>
          <w:color w:val="000000" w:themeColor="text1"/>
          <w:sz w:val="16"/>
          <w:szCs w:val="16"/>
        </w:rPr>
        <w:t>Максимальную скорость у земли — 347 км/час</w:t>
      </w:r>
    </w:p>
    <w:p w14:paraId="1FEB8D0F" w14:textId="77777777" w:rsidR="00C75651" w:rsidRPr="00925F26" w:rsidRDefault="00C75651" w:rsidP="00925F26">
      <w:pPr>
        <w:jc w:val="both"/>
        <w:rPr>
          <w:color w:val="000000" w:themeColor="text1"/>
          <w:sz w:val="16"/>
          <w:szCs w:val="16"/>
        </w:rPr>
      </w:pPr>
      <w:r w:rsidRPr="00925F26">
        <w:rPr>
          <w:color w:val="000000" w:themeColor="text1"/>
          <w:sz w:val="16"/>
          <w:szCs w:val="16"/>
        </w:rPr>
        <w:t>Максимальную скорость на высоте 6360 м — 443 км/час</w:t>
      </w:r>
    </w:p>
    <w:p w14:paraId="2A8F34FE" w14:textId="77777777" w:rsidR="00C75651" w:rsidRPr="00925F26" w:rsidRDefault="00C75651" w:rsidP="00925F26">
      <w:pPr>
        <w:jc w:val="both"/>
        <w:rPr>
          <w:color w:val="000000" w:themeColor="text1"/>
          <w:sz w:val="16"/>
          <w:szCs w:val="16"/>
        </w:rPr>
      </w:pPr>
      <w:r w:rsidRPr="00925F26">
        <w:rPr>
          <w:color w:val="000000" w:themeColor="text1"/>
          <w:sz w:val="16"/>
          <w:szCs w:val="16"/>
        </w:rPr>
        <w:t>Время подъема на 5000 м — 14,6 мин.</w:t>
      </w:r>
    </w:p>
    <w:p w14:paraId="52F0C51F" w14:textId="77777777" w:rsidR="00C75651" w:rsidRPr="00925F26" w:rsidRDefault="00C75651" w:rsidP="00925F26">
      <w:pPr>
        <w:jc w:val="both"/>
        <w:rPr>
          <w:color w:val="000000" w:themeColor="text1"/>
          <w:sz w:val="16"/>
          <w:szCs w:val="16"/>
        </w:rPr>
      </w:pPr>
      <w:r w:rsidRPr="00925F26">
        <w:rPr>
          <w:color w:val="000000" w:themeColor="text1"/>
          <w:sz w:val="16"/>
          <w:szCs w:val="16"/>
        </w:rPr>
        <w:t>Практический потолок — 9300 м</w:t>
      </w:r>
    </w:p>
    <w:p w14:paraId="79C70FB9" w14:textId="77777777" w:rsidR="00C75651" w:rsidRPr="00925F26" w:rsidRDefault="00C75651" w:rsidP="00925F26">
      <w:pPr>
        <w:jc w:val="both"/>
        <w:rPr>
          <w:color w:val="000000" w:themeColor="text1"/>
          <w:sz w:val="16"/>
          <w:szCs w:val="16"/>
        </w:rPr>
      </w:pPr>
      <w:r w:rsidRPr="00925F26">
        <w:rPr>
          <w:color w:val="000000" w:themeColor="text1"/>
          <w:sz w:val="16"/>
          <w:szCs w:val="16"/>
        </w:rPr>
        <w:t>Время набора потолка — 43,5 мин.</w:t>
      </w:r>
    </w:p>
    <w:p w14:paraId="64B327C3" w14:textId="77777777" w:rsidR="00C75651" w:rsidRPr="00925F26" w:rsidRDefault="00C75651" w:rsidP="00925F26">
      <w:pPr>
        <w:jc w:val="both"/>
        <w:rPr>
          <w:color w:val="000000" w:themeColor="text1"/>
          <w:sz w:val="16"/>
          <w:szCs w:val="16"/>
        </w:rPr>
      </w:pPr>
      <w:r w:rsidRPr="00925F26">
        <w:rPr>
          <w:color w:val="000000" w:themeColor="text1"/>
          <w:sz w:val="16"/>
          <w:szCs w:val="16"/>
        </w:rPr>
        <w:t>Длина разбега на номинале — 485 м</w:t>
      </w:r>
    </w:p>
    <w:p w14:paraId="480951E9" w14:textId="77777777" w:rsidR="00C75651" w:rsidRPr="00925F26" w:rsidRDefault="00C75651" w:rsidP="00925F26">
      <w:pPr>
        <w:jc w:val="both"/>
        <w:rPr>
          <w:color w:val="000000" w:themeColor="text1"/>
          <w:sz w:val="16"/>
          <w:szCs w:val="16"/>
        </w:rPr>
      </w:pPr>
      <w:r w:rsidRPr="00925F26">
        <w:rPr>
          <w:color w:val="000000" w:themeColor="text1"/>
          <w:sz w:val="16"/>
          <w:szCs w:val="16"/>
        </w:rPr>
        <w:t>Время разбега -- 18 сек.</w:t>
      </w:r>
    </w:p>
    <w:p w14:paraId="28982AF7" w14:textId="77777777" w:rsidR="00C75651" w:rsidRPr="00925F26" w:rsidRDefault="00C75651" w:rsidP="00925F26">
      <w:pPr>
        <w:jc w:val="both"/>
        <w:rPr>
          <w:color w:val="000000" w:themeColor="text1"/>
          <w:sz w:val="16"/>
          <w:szCs w:val="16"/>
        </w:rPr>
      </w:pPr>
      <w:r w:rsidRPr="00925F26">
        <w:rPr>
          <w:color w:val="000000" w:themeColor="text1"/>
          <w:sz w:val="16"/>
          <w:szCs w:val="16"/>
        </w:rPr>
        <w:t>Этот самолет был также оборудован десантной кабиной.</w:t>
      </w:r>
    </w:p>
    <w:p w14:paraId="70B51EF8" w14:textId="77777777" w:rsidR="00C75651" w:rsidRPr="00925F26" w:rsidRDefault="00C75651" w:rsidP="00925F26">
      <w:pPr>
        <w:jc w:val="both"/>
        <w:rPr>
          <w:color w:val="000000" w:themeColor="text1"/>
          <w:sz w:val="16"/>
          <w:szCs w:val="16"/>
        </w:rPr>
      </w:pPr>
      <w:proofErr w:type="gramStart"/>
      <w:r w:rsidRPr="00925F26">
        <w:rPr>
          <w:color w:val="000000" w:themeColor="text1"/>
          <w:sz w:val="16"/>
          <w:szCs w:val="16"/>
        </w:rPr>
        <w:t>Помимо этого</w:t>
      </w:r>
      <w:proofErr w:type="gramEnd"/>
      <w:r w:rsidRPr="00925F26">
        <w:rPr>
          <w:color w:val="000000" w:themeColor="text1"/>
          <w:sz w:val="16"/>
          <w:szCs w:val="16"/>
        </w:rPr>
        <w:t xml:space="preserve">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 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6F71F6BE" w14:textId="77777777" w:rsidR="00C75651" w:rsidRPr="00925F26" w:rsidRDefault="00C75651" w:rsidP="00925F26">
      <w:pPr>
        <w:jc w:val="both"/>
        <w:rPr>
          <w:color w:val="000000" w:themeColor="text1"/>
          <w:sz w:val="16"/>
          <w:szCs w:val="16"/>
        </w:rPr>
      </w:pPr>
      <w:r w:rsidRPr="00925F26">
        <w:rPr>
          <w:color w:val="000000" w:themeColor="text1"/>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w:t>
      </w:r>
    </w:p>
    <w:p w14:paraId="0213D189" w14:textId="77777777" w:rsidR="00C75651" w:rsidRPr="00925F26" w:rsidRDefault="00C75651" w:rsidP="00925F26">
      <w:pPr>
        <w:jc w:val="both"/>
        <w:rPr>
          <w:color w:val="000000" w:themeColor="text1"/>
          <w:sz w:val="16"/>
          <w:szCs w:val="16"/>
        </w:rPr>
      </w:pPr>
      <w:r w:rsidRPr="00925F26">
        <w:rPr>
          <w:color w:val="000000" w:themeColor="text1"/>
          <w:sz w:val="16"/>
          <w:szCs w:val="16"/>
        </w:rPr>
        <w:t>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4D5A27A5" w14:textId="77777777" w:rsidR="00C75651" w:rsidRPr="00925F26" w:rsidRDefault="00C75651" w:rsidP="00925F26">
      <w:pPr>
        <w:jc w:val="both"/>
        <w:rPr>
          <w:color w:val="000000" w:themeColor="text1"/>
          <w:sz w:val="16"/>
          <w:szCs w:val="16"/>
        </w:rPr>
      </w:pPr>
      <w:r w:rsidRPr="00925F26">
        <w:rPr>
          <w:color w:val="000000" w:themeColor="text1"/>
          <w:sz w:val="16"/>
          <w:szCs w:val="16"/>
        </w:rPr>
        <w:t>В этот же период был выпущен один самолет, оборудованный моторами М-82, испытания которого были закончены осенью 1942 г.</w:t>
      </w:r>
    </w:p>
    <w:p w14:paraId="16AFCB99" w14:textId="77777777" w:rsidR="00C75651" w:rsidRPr="00925F26" w:rsidRDefault="00C75651" w:rsidP="00925F26">
      <w:pPr>
        <w:jc w:val="both"/>
        <w:rPr>
          <w:color w:val="000000" w:themeColor="text1"/>
          <w:sz w:val="16"/>
          <w:szCs w:val="16"/>
        </w:rPr>
      </w:pPr>
      <w:r w:rsidRPr="00925F26">
        <w:rPr>
          <w:color w:val="000000" w:themeColor="text1"/>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71227137" w14:textId="77777777" w:rsidR="00C75651" w:rsidRPr="00925F26" w:rsidRDefault="00C75651" w:rsidP="00925F26">
      <w:pPr>
        <w:jc w:val="both"/>
        <w:rPr>
          <w:color w:val="000000" w:themeColor="text1"/>
          <w:sz w:val="16"/>
          <w:szCs w:val="16"/>
        </w:rPr>
      </w:pPr>
      <w:r w:rsidRPr="00925F26">
        <w:rPr>
          <w:color w:val="000000" w:themeColor="text1"/>
          <w:sz w:val="16"/>
          <w:szCs w:val="16"/>
        </w:rPr>
        <w:t xml:space="preserve">Однако это </w:t>
      </w:r>
      <w:proofErr w:type="gramStart"/>
      <w:r w:rsidRPr="00925F26">
        <w:rPr>
          <w:color w:val="000000" w:themeColor="text1"/>
          <w:sz w:val="16"/>
          <w:szCs w:val="16"/>
        </w:rPr>
        <w:t>решение по существу</w:t>
      </w:r>
      <w:proofErr w:type="gramEnd"/>
      <w:r w:rsidRPr="00925F26">
        <w:rPr>
          <w:color w:val="000000" w:themeColor="text1"/>
          <w:sz w:val="16"/>
          <w:szCs w:val="16"/>
        </w:rPr>
        <w:t xml:space="preserve">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515E3381" w14:textId="77777777" w:rsidR="00C75651" w:rsidRPr="00925F26" w:rsidRDefault="00C75651" w:rsidP="00925F26">
      <w:pPr>
        <w:jc w:val="both"/>
        <w:rPr>
          <w:color w:val="000000" w:themeColor="text1"/>
          <w:sz w:val="16"/>
          <w:szCs w:val="16"/>
        </w:rPr>
      </w:pPr>
      <w:r w:rsidRPr="00925F26">
        <w:rPr>
          <w:color w:val="000000" w:themeColor="text1"/>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25EAC4B1" w14:textId="77777777" w:rsidR="00C75651" w:rsidRPr="00925F26" w:rsidRDefault="00C75651" w:rsidP="00925F26">
      <w:pPr>
        <w:jc w:val="both"/>
        <w:rPr>
          <w:color w:val="000000" w:themeColor="text1"/>
          <w:sz w:val="16"/>
          <w:szCs w:val="16"/>
        </w:rPr>
      </w:pPr>
      <w:r w:rsidRPr="00925F26">
        <w:rPr>
          <w:color w:val="000000" w:themeColor="text1"/>
          <w:sz w:val="16"/>
          <w:szCs w:val="16"/>
        </w:rPr>
        <w:t>Главный конструктор И. Ф. Незваль</w:t>
      </w:r>
    </w:p>
    <w:p w14:paraId="3A887233" w14:textId="77777777" w:rsidR="00C75651" w:rsidRPr="00925F26" w:rsidRDefault="00C75651" w:rsidP="00925F26">
      <w:pPr>
        <w:jc w:val="both"/>
        <w:rPr>
          <w:color w:val="000000" w:themeColor="text1"/>
          <w:sz w:val="16"/>
          <w:szCs w:val="16"/>
        </w:rPr>
      </w:pPr>
      <w:r w:rsidRPr="00925F26">
        <w:rPr>
          <w:color w:val="000000" w:themeColor="text1"/>
          <w:sz w:val="16"/>
          <w:szCs w:val="16"/>
        </w:rPr>
        <w:t>НА РТ Ф. Р-2845. Оп. 3. Д 277. Л. 71-73 об. Отпуск (23664).</w:t>
      </w:r>
    </w:p>
    <w:p w14:paraId="1F91D556" w14:textId="77777777" w:rsidR="00C75651" w:rsidRPr="00925F26" w:rsidRDefault="00C75651" w:rsidP="00925F26">
      <w:pPr>
        <w:jc w:val="both"/>
        <w:rPr>
          <w:color w:val="000000" w:themeColor="text1"/>
          <w:sz w:val="16"/>
          <w:szCs w:val="16"/>
        </w:rPr>
      </w:pPr>
    </w:p>
    <w:p w14:paraId="4A2F5D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17 марта по 9 июля 1945 в НИИ ВВС испытывался эталон Як-9УТ. Рекомендовали в серию (65,152).</w:t>
      </w:r>
    </w:p>
    <w:p w14:paraId="16182049" w14:textId="77777777" w:rsidR="00665165" w:rsidRPr="00925F26" w:rsidRDefault="00665165" w:rsidP="00925F26">
      <w:pPr>
        <w:autoSpaceDE w:val="0"/>
        <w:autoSpaceDN w:val="0"/>
        <w:adjustRightInd w:val="0"/>
        <w:jc w:val="both"/>
        <w:rPr>
          <w:color w:val="000000" w:themeColor="text1"/>
          <w:sz w:val="16"/>
          <w:szCs w:val="16"/>
        </w:rPr>
      </w:pPr>
    </w:p>
    <w:p w14:paraId="369B5C6C" w14:textId="77777777" w:rsidR="00F36DAA" w:rsidRPr="00925F26" w:rsidRDefault="00F36DAA" w:rsidP="00925F26">
      <w:pPr>
        <w:jc w:val="both"/>
        <w:rPr>
          <w:color w:val="000000" w:themeColor="text1"/>
          <w:sz w:val="16"/>
          <w:szCs w:val="16"/>
        </w:rPr>
      </w:pPr>
      <w:r w:rsidRPr="00925F26">
        <w:rPr>
          <w:bCs/>
          <w:color w:val="000000" w:themeColor="text1"/>
          <w:sz w:val="16"/>
          <w:szCs w:val="16"/>
        </w:rPr>
        <w:t>17 марта</w:t>
      </w:r>
      <w:r w:rsidRPr="00925F26">
        <w:rPr>
          <w:color w:val="000000" w:themeColor="text1"/>
          <w:sz w:val="16"/>
          <w:szCs w:val="16"/>
        </w:rPr>
        <w:t xml:space="preserve"> в 1945 году начались (по 9 июля 1945 года) Госиспытания эталона ударного истребителя </w:t>
      </w:r>
      <w:hyperlink r:id="rId73" w:tgtFrame="_blank" w:history="1">
        <w:r w:rsidRPr="00925F26">
          <w:rPr>
            <w:color w:val="000000" w:themeColor="text1"/>
            <w:sz w:val="16"/>
            <w:szCs w:val="16"/>
          </w:rPr>
          <w:t xml:space="preserve">«Як-9УТ», </w:t>
        </w:r>
      </w:hyperlink>
      <w:r w:rsidRPr="00925F26">
        <w:rPr>
          <w:color w:val="000000" w:themeColor="text1"/>
          <w:sz w:val="16"/>
          <w:szCs w:val="16"/>
        </w:rPr>
        <w:t xml:space="preserve">ОКБ Яковлева. В заключении HИИ ВВС по результатам госиспытаний эталона отмечалось, что «Як-9УТ» с данным вооружением является нужным для ВВС СА самолётом и может быть рекомендован для запуска в серийное производство. «Як-9УТ» с двигателем «ВК-107А» и винтом «ВИШ-107ЛО» </w:t>
      </w:r>
      <w:proofErr w:type="gramStart"/>
      <w:r w:rsidRPr="00925F26">
        <w:rPr>
          <w:color w:val="000000" w:themeColor="text1"/>
          <w:sz w:val="16"/>
          <w:szCs w:val="16"/>
        </w:rPr>
        <w:t>- это</w:t>
      </w:r>
      <w:proofErr w:type="gramEnd"/>
      <w:r w:rsidRPr="00925F26">
        <w:rPr>
          <w:color w:val="000000" w:themeColor="text1"/>
          <w:sz w:val="16"/>
          <w:szCs w:val="16"/>
        </w:rPr>
        <w:t xml:space="preserve"> модификация серийного «Як-9У» №39-083 с теми же двигателем и винтом, отличающаяся более мощным пушечным вооружением. Взамен мотор-пушки «ШВАК» калибра 20 мм с боезапасом 120 снарядов и двух синхронных пулеметов «УБС» калибра 12,7 мм с боезапасом по 150 патронов на «Як-9УТ» были установлены легкая 37-мм мотор-пушка «H-37» с боезапасом 30 снарядов и две синхронные пушки «Б-20» («Б-20С») калибра 20 мм с боезапасом по 120 снарядов. Внешне самолет отличался от «Як-9У» выступающим из кока винта дульным тормозом пушки «H-37». Была предусмотрена возможность замены (в заводских условиях) мотор-пушки «H-37» калибра 37 мм на мотор-пушки «Б-20М» калибра 20 мм, «HС-23» калибра 23 мм, «H-45» калибра 45 мм. В последнем случае одна (правая) пушка «Б-20С» должна была сниматься (15071).</w:t>
      </w:r>
    </w:p>
    <w:p w14:paraId="01357527" w14:textId="77777777" w:rsidR="00F36DAA" w:rsidRPr="00925F26" w:rsidRDefault="00F36DAA" w:rsidP="00925F26">
      <w:pPr>
        <w:jc w:val="both"/>
        <w:rPr>
          <w:color w:val="000000" w:themeColor="text1"/>
          <w:sz w:val="16"/>
          <w:szCs w:val="16"/>
        </w:rPr>
      </w:pPr>
    </w:p>
    <w:p w14:paraId="71DFC2FB" w14:textId="77777777" w:rsidR="0081738B" w:rsidRPr="00925F26" w:rsidRDefault="0081738B"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17 марта 1945 г. и. о. начальника управления заказов ВВС инженер-полковник Кувенев своим письмом № 702113 сообщал заместителю наркома авиапромышленности генерал-майору ИАС Воронину список самолетов, подлежащих отправке в части ВВС по железной дороге, что для истребителей было основным способом их доставки в строевые части. В этом месяце завод № 21 должен был отгрузить по 50 самолетов 2-й Воздушной Армии 1-го Украинского фронта (база назначения Разводув), 4-й ВА 1-го Белорусского фронта (Белосток), 8-й ВА 4-го Украинского фронта (на Львов), а также 5-й (2-й Украинский фронт) и 17-й ВА (3-й Украинский фронт, оба получали матчасть в Черновцах). Завод № 381 поставлял 80 самолетов Ла-7 в запасной полк 1-й ВА 3-го Белорусского фронта на аэродром Истенбург. Новые истребители начали получать и «невоюющие» военные округа — 80 «семерок» отправлялось в Хабаровск для ВВС Дальневосточного фронта и 40 машин — в Читу дислоцированной в Забайкальском военном округе 12-й ВА. Итого за март подлежало отправке в строевые части 410 штук Ла-7, в то время как Як-3 отгружалось 210, а Як-9У — 160 (22772).</w:t>
      </w:r>
    </w:p>
    <w:p w14:paraId="30480D1F" w14:textId="77777777" w:rsidR="0081738B" w:rsidRPr="00925F26" w:rsidRDefault="0081738B" w:rsidP="00925F26">
      <w:pPr>
        <w:pStyle w:val="260"/>
        <w:shd w:val="clear" w:color="auto" w:fill="auto"/>
        <w:spacing w:line="240" w:lineRule="auto"/>
        <w:jc w:val="both"/>
        <w:rPr>
          <w:rFonts w:ascii="Times New Roman" w:hAnsi="Times New Roman"/>
          <w:color w:val="000000" w:themeColor="text1"/>
          <w:sz w:val="16"/>
          <w:szCs w:val="16"/>
        </w:rPr>
      </w:pPr>
    </w:p>
    <w:p w14:paraId="7ADC0B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года ГОКО утвердил Положением, в соответствии с которым на гос. испытания самолеты и другие образцы авиационной техники должны предъявляться в НИИ ВВС гл. конструкторами через соответствующие министерства, после успешных заводских испытаний (2078,267).</w:t>
      </w:r>
    </w:p>
    <w:p w14:paraId="66AFE9AE" w14:textId="77777777" w:rsidR="00665165" w:rsidRPr="00925F26" w:rsidRDefault="00665165" w:rsidP="00925F26">
      <w:pPr>
        <w:autoSpaceDE w:val="0"/>
        <w:autoSpaceDN w:val="0"/>
        <w:adjustRightInd w:val="0"/>
        <w:jc w:val="both"/>
        <w:rPr>
          <w:color w:val="000000" w:themeColor="text1"/>
          <w:sz w:val="16"/>
          <w:szCs w:val="16"/>
        </w:rPr>
      </w:pPr>
    </w:p>
    <w:p w14:paraId="1B7B2110" w14:textId="77777777" w:rsidR="007B38E4" w:rsidRPr="00925F26" w:rsidRDefault="007B38E4" w:rsidP="00925F26">
      <w:pPr>
        <w:jc w:val="both"/>
        <w:rPr>
          <w:rStyle w:val="731"/>
          <w:rFonts w:ascii="Times New Roman" w:hAnsi="Times New Roman" w:cs="Times New Roman"/>
          <w:color w:val="000000" w:themeColor="text1"/>
          <w:sz w:val="16"/>
          <w:szCs w:val="16"/>
        </w:rPr>
      </w:pPr>
      <w:r w:rsidRPr="00925F26">
        <w:rPr>
          <w:rStyle w:val="731"/>
          <w:rFonts w:ascii="Times New Roman" w:hAnsi="Times New Roman" w:cs="Times New Roman"/>
          <w:color w:val="000000" w:themeColor="text1"/>
          <w:sz w:val="16"/>
          <w:szCs w:val="16"/>
        </w:rPr>
        <w:t>17 марта 1945 года Государственный Комитет Обороны постановлением ГОКО № 7860с утвердил новое положение о ГК НИИ ВВС. Во втором пункте второго раздела этого документа было написано, что на госиспыта</w:t>
      </w:r>
      <w:r w:rsidRPr="00925F26">
        <w:rPr>
          <w:rStyle w:val="731"/>
          <w:rFonts w:ascii="Times New Roman" w:hAnsi="Times New Roman" w:cs="Times New Roman"/>
          <w:color w:val="000000" w:themeColor="text1"/>
          <w:sz w:val="16"/>
          <w:szCs w:val="16"/>
        </w:rPr>
        <w:softHyphen/>
        <w:t>ния в ГК НИИ ВВС самолеты передаются Глав</w:t>
      </w:r>
      <w:r w:rsidRPr="00925F26">
        <w:rPr>
          <w:rStyle w:val="731"/>
          <w:rFonts w:ascii="Times New Roman" w:hAnsi="Times New Roman" w:cs="Times New Roman"/>
          <w:color w:val="000000" w:themeColor="text1"/>
          <w:sz w:val="16"/>
          <w:szCs w:val="16"/>
        </w:rPr>
        <w:softHyphen/>
        <w:t>ным конструктором через соответствующие министерства. А К.А. Вигант попытался «про</w:t>
      </w:r>
      <w:r w:rsidRPr="00925F26">
        <w:rPr>
          <w:rStyle w:val="731"/>
          <w:rFonts w:ascii="Times New Roman" w:hAnsi="Times New Roman" w:cs="Times New Roman"/>
          <w:color w:val="000000" w:themeColor="text1"/>
          <w:sz w:val="16"/>
          <w:szCs w:val="16"/>
        </w:rPr>
        <w:softHyphen/>
        <w:t>сунуть» 310015 и 310002 12 и 15 декабря «от себя», что вызвало гнев командования НИИ и Главкома. В итоге обе машины передали на испытания только 23 декабря 1946 года. До этого борт № 12 достаточно успешно отстре</w:t>
      </w:r>
      <w:r w:rsidRPr="00925F26">
        <w:rPr>
          <w:rStyle w:val="731"/>
          <w:rFonts w:ascii="Times New Roman" w:hAnsi="Times New Roman" w:cs="Times New Roman"/>
          <w:color w:val="000000" w:themeColor="text1"/>
          <w:sz w:val="16"/>
          <w:szCs w:val="16"/>
        </w:rPr>
        <w:softHyphen/>
        <w:t>ляли в тире. При расходе на испытания более шести боекомплектов были всего три задержки по вине установки. Борт № 12, в отличие от 310015, имел еще особенность - «жабры» на задней части капота двигателя. Дело в том, что при подготовке к параду лет</w:t>
      </w:r>
      <w:r w:rsidRPr="00925F26">
        <w:rPr>
          <w:rStyle w:val="731"/>
          <w:rFonts w:ascii="Times New Roman" w:hAnsi="Times New Roman" w:cs="Times New Roman"/>
          <w:color w:val="000000" w:themeColor="text1"/>
          <w:sz w:val="16"/>
          <w:szCs w:val="16"/>
        </w:rPr>
        <w:softHyphen/>
        <w:t>чики жаловались на дым в кабине, поэтому на некоторых машинах были добавлены эти «жабры» для улучшения продува отсека дви</w:t>
      </w:r>
      <w:r w:rsidRPr="00925F26">
        <w:rPr>
          <w:rStyle w:val="731"/>
          <w:rFonts w:ascii="Times New Roman" w:hAnsi="Times New Roman" w:cs="Times New Roman"/>
          <w:color w:val="000000" w:themeColor="text1"/>
          <w:sz w:val="16"/>
          <w:szCs w:val="16"/>
        </w:rPr>
        <w:softHyphen/>
        <w:t>гателя (19920).</w:t>
      </w:r>
    </w:p>
    <w:p w14:paraId="5DB01829" w14:textId="77777777" w:rsidR="007B38E4" w:rsidRPr="00925F26" w:rsidRDefault="007B38E4" w:rsidP="00925F26">
      <w:pPr>
        <w:jc w:val="both"/>
        <w:rPr>
          <w:color w:val="000000" w:themeColor="text1"/>
          <w:sz w:val="16"/>
          <w:szCs w:val="16"/>
        </w:rPr>
      </w:pPr>
    </w:p>
    <w:p w14:paraId="05A4B8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распоряжение ГОКО N 7861сс, по которому НИИ-1 проводит срочную работу для ВМФ по торпеде РАТ (2595,36).</w:t>
      </w:r>
    </w:p>
    <w:p w14:paraId="1B4F0BAA" w14:textId="77777777" w:rsidR="00665165" w:rsidRPr="00925F26" w:rsidRDefault="00665165" w:rsidP="00925F26">
      <w:pPr>
        <w:autoSpaceDE w:val="0"/>
        <w:autoSpaceDN w:val="0"/>
        <w:adjustRightInd w:val="0"/>
        <w:jc w:val="both"/>
        <w:rPr>
          <w:color w:val="000000" w:themeColor="text1"/>
          <w:sz w:val="16"/>
          <w:szCs w:val="16"/>
        </w:rPr>
      </w:pPr>
    </w:p>
    <w:p w14:paraId="427F41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года врид начальника УЗСМ ГУЗ ВВС инженер-полковник Кувенев писал письмо N 702113 зам. наркома Авиапрома генерал-майору ИАС Воронину.</w:t>
      </w:r>
    </w:p>
    <w:p w14:paraId="2706E6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исполнение плана формирований сообщаю список самолетов, подлежащих отправке с заводов НКАП по железной дороге в марте 1945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0F5689" w:rsidRPr="00925F26" w14:paraId="10CEEC3B" w14:textId="77777777">
        <w:tc>
          <w:tcPr>
            <w:tcW w:w="1409" w:type="dxa"/>
          </w:tcPr>
          <w:p w14:paraId="4EC4E0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NN заводов</w:t>
            </w:r>
          </w:p>
        </w:tc>
        <w:tc>
          <w:tcPr>
            <w:tcW w:w="1409" w:type="dxa"/>
          </w:tcPr>
          <w:p w14:paraId="71ED92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самолетов</w:t>
            </w:r>
          </w:p>
        </w:tc>
        <w:tc>
          <w:tcPr>
            <w:tcW w:w="1409" w:type="dxa"/>
          </w:tcPr>
          <w:p w14:paraId="42242B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Кол-во</w:t>
            </w:r>
          </w:p>
        </w:tc>
        <w:tc>
          <w:tcPr>
            <w:tcW w:w="1409" w:type="dxa"/>
          </w:tcPr>
          <w:p w14:paraId="009AB7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Кому</w:t>
            </w:r>
          </w:p>
        </w:tc>
        <w:tc>
          <w:tcPr>
            <w:tcW w:w="1409" w:type="dxa"/>
          </w:tcPr>
          <w:p w14:paraId="4A8CA6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Куда</w:t>
            </w:r>
          </w:p>
        </w:tc>
      </w:tr>
      <w:tr w:rsidR="000F5689" w:rsidRPr="00925F26" w14:paraId="776BDC92" w14:textId="77777777">
        <w:tc>
          <w:tcPr>
            <w:tcW w:w="1409" w:type="dxa"/>
          </w:tcPr>
          <w:p w14:paraId="6D494C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w:t>
            </w:r>
          </w:p>
        </w:tc>
        <w:tc>
          <w:tcPr>
            <w:tcW w:w="1409" w:type="dxa"/>
          </w:tcPr>
          <w:p w14:paraId="2FF5A1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w:t>
            </w:r>
          </w:p>
        </w:tc>
        <w:tc>
          <w:tcPr>
            <w:tcW w:w="1409" w:type="dxa"/>
          </w:tcPr>
          <w:p w14:paraId="7D425F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7657B3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ВА</w:t>
            </w:r>
          </w:p>
        </w:tc>
        <w:tc>
          <w:tcPr>
            <w:tcW w:w="1409" w:type="dxa"/>
          </w:tcPr>
          <w:p w14:paraId="1D94FA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Познань</w:t>
            </w:r>
          </w:p>
        </w:tc>
      </w:tr>
      <w:tr w:rsidR="000F5689" w:rsidRPr="00925F26" w14:paraId="5F3D197E" w14:textId="77777777">
        <w:tc>
          <w:tcPr>
            <w:tcW w:w="1409" w:type="dxa"/>
          </w:tcPr>
          <w:p w14:paraId="7FF9B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92A64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A603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394207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w:t>
            </w:r>
          </w:p>
        </w:tc>
        <w:tc>
          <w:tcPr>
            <w:tcW w:w="1409" w:type="dxa"/>
          </w:tcPr>
          <w:p w14:paraId="3524C8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Разводув</w:t>
            </w:r>
          </w:p>
        </w:tc>
      </w:tr>
      <w:tr w:rsidR="000F5689" w:rsidRPr="00925F26" w14:paraId="5F7384FF" w14:textId="77777777">
        <w:tc>
          <w:tcPr>
            <w:tcW w:w="1409" w:type="dxa"/>
          </w:tcPr>
          <w:p w14:paraId="4607D8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5FA5B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609F9E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66854A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w:t>
            </w:r>
          </w:p>
        </w:tc>
        <w:tc>
          <w:tcPr>
            <w:tcW w:w="1409" w:type="dxa"/>
          </w:tcPr>
          <w:p w14:paraId="2298EA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Белосток</w:t>
            </w:r>
          </w:p>
        </w:tc>
      </w:tr>
      <w:tr w:rsidR="000F5689" w:rsidRPr="00925F26" w14:paraId="17C494C6" w14:textId="77777777">
        <w:tc>
          <w:tcPr>
            <w:tcW w:w="1409" w:type="dxa"/>
          </w:tcPr>
          <w:p w14:paraId="6DC207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79449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ED832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409" w:type="dxa"/>
          </w:tcPr>
          <w:p w14:paraId="672748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ДВФ</w:t>
            </w:r>
          </w:p>
        </w:tc>
        <w:tc>
          <w:tcPr>
            <w:tcW w:w="1409" w:type="dxa"/>
          </w:tcPr>
          <w:p w14:paraId="6923A6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Хабаровск</w:t>
            </w:r>
          </w:p>
        </w:tc>
      </w:tr>
      <w:tr w:rsidR="000F5689" w:rsidRPr="00925F26" w14:paraId="25B33E38" w14:textId="77777777">
        <w:tc>
          <w:tcPr>
            <w:tcW w:w="1409" w:type="dxa"/>
          </w:tcPr>
          <w:p w14:paraId="6B8C1D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795128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9970A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7277DC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ВА</w:t>
            </w:r>
          </w:p>
        </w:tc>
        <w:tc>
          <w:tcPr>
            <w:tcW w:w="1409" w:type="dxa"/>
          </w:tcPr>
          <w:p w14:paraId="7B4874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Чита</w:t>
            </w:r>
          </w:p>
        </w:tc>
      </w:tr>
      <w:tr w:rsidR="000F5689" w:rsidRPr="00925F26" w14:paraId="56DD01F7" w14:textId="77777777">
        <w:tc>
          <w:tcPr>
            <w:tcW w:w="1409" w:type="dxa"/>
          </w:tcPr>
          <w:p w14:paraId="6866A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6733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C9BC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0F1B91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ВМФ</w:t>
            </w:r>
          </w:p>
        </w:tc>
        <w:tc>
          <w:tcPr>
            <w:tcW w:w="1409" w:type="dxa"/>
          </w:tcPr>
          <w:p w14:paraId="2FA48D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доп. адресу</w:t>
            </w:r>
          </w:p>
        </w:tc>
      </w:tr>
      <w:tr w:rsidR="000F5689" w:rsidRPr="00925F26" w14:paraId="302BBEBD" w14:textId="77777777">
        <w:tc>
          <w:tcPr>
            <w:tcW w:w="1409" w:type="dxa"/>
          </w:tcPr>
          <w:p w14:paraId="77A13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7EC10B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ED6A4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c>
          <w:tcPr>
            <w:tcW w:w="1409" w:type="dxa"/>
          </w:tcPr>
          <w:p w14:paraId="1B83C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БЛВО</w:t>
            </w:r>
          </w:p>
        </w:tc>
        <w:tc>
          <w:tcPr>
            <w:tcW w:w="1409" w:type="dxa"/>
          </w:tcPr>
          <w:p w14:paraId="295EA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Бобруйск</w:t>
            </w:r>
          </w:p>
        </w:tc>
      </w:tr>
      <w:tr w:rsidR="000F5689" w:rsidRPr="00925F26" w14:paraId="649F582B" w14:textId="77777777">
        <w:tc>
          <w:tcPr>
            <w:tcW w:w="1409" w:type="dxa"/>
          </w:tcPr>
          <w:p w14:paraId="19412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73CE1A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4DF2B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408B6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З-ду 301</w:t>
            </w:r>
          </w:p>
        </w:tc>
        <w:tc>
          <w:tcPr>
            <w:tcW w:w="1409" w:type="dxa"/>
          </w:tcPr>
          <w:p w14:paraId="401AF1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Химки</w:t>
            </w:r>
          </w:p>
        </w:tc>
      </w:tr>
      <w:tr w:rsidR="000F5689" w:rsidRPr="00925F26" w14:paraId="254D5428" w14:textId="77777777">
        <w:tc>
          <w:tcPr>
            <w:tcW w:w="1409" w:type="dxa"/>
          </w:tcPr>
          <w:p w14:paraId="50064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B59B7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BDE0C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409" w:type="dxa"/>
          </w:tcPr>
          <w:p w14:paraId="708F0D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ВА</w:t>
            </w:r>
          </w:p>
        </w:tc>
        <w:tc>
          <w:tcPr>
            <w:tcW w:w="1409" w:type="dxa"/>
          </w:tcPr>
          <w:p w14:paraId="3AF6B3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Ленинград</w:t>
            </w:r>
          </w:p>
        </w:tc>
      </w:tr>
      <w:tr w:rsidR="000F5689" w:rsidRPr="00925F26" w14:paraId="6C1686B8" w14:textId="77777777">
        <w:tc>
          <w:tcPr>
            <w:tcW w:w="1409" w:type="dxa"/>
          </w:tcPr>
          <w:p w14:paraId="22A23E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w:t>
            </w:r>
          </w:p>
        </w:tc>
        <w:tc>
          <w:tcPr>
            <w:tcW w:w="1409" w:type="dxa"/>
          </w:tcPr>
          <w:p w14:paraId="4554CD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w:t>
            </w:r>
          </w:p>
        </w:tc>
        <w:tc>
          <w:tcPr>
            <w:tcW w:w="1409" w:type="dxa"/>
          </w:tcPr>
          <w:p w14:paraId="6149A7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61A921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ВА</w:t>
            </w:r>
          </w:p>
        </w:tc>
        <w:tc>
          <w:tcPr>
            <w:tcW w:w="1409" w:type="dxa"/>
          </w:tcPr>
          <w:p w14:paraId="30815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Истербург</w:t>
            </w:r>
          </w:p>
        </w:tc>
      </w:tr>
      <w:tr w:rsidR="000F5689" w:rsidRPr="00925F26" w14:paraId="4880E80C" w14:textId="77777777">
        <w:tc>
          <w:tcPr>
            <w:tcW w:w="1409" w:type="dxa"/>
          </w:tcPr>
          <w:p w14:paraId="373B40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77329B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6B813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5825F0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ВА</w:t>
            </w:r>
          </w:p>
        </w:tc>
        <w:tc>
          <w:tcPr>
            <w:tcW w:w="1409" w:type="dxa"/>
          </w:tcPr>
          <w:p w14:paraId="428377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Белосток</w:t>
            </w:r>
          </w:p>
        </w:tc>
      </w:tr>
      <w:tr w:rsidR="000F5689" w:rsidRPr="00925F26" w14:paraId="145722A8" w14:textId="77777777">
        <w:tc>
          <w:tcPr>
            <w:tcW w:w="1409" w:type="dxa"/>
          </w:tcPr>
          <w:p w14:paraId="1452EC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C3E2F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08B378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682C95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w:t>
            </w:r>
          </w:p>
        </w:tc>
        <w:tc>
          <w:tcPr>
            <w:tcW w:w="1409" w:type="dxa"/>
          </w:tcPr>
          <w:p w14:paraId="11696B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Познань</w:t>
            </w:r>
          </w:p>
        </w:tc>
      </w:tr>
      <w:tr w:rsidR="000F5689" w:rsidRPr="00925F26" w14:paraId="71CFB7F3" w14:textId="77777777">
        <w:tc>
          <w:tcPr>
            <w:tcW w:w="1409" w:type="dxa"/>
          </w:tcPr>
          <w:p w14:paraId="6DD937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w:t>
            </w:r>
          </w:p>
        </w:tc>
        <w:tc>
          <w:tcPr>
            <w:tcW w:w="1409" w:type="dxa"/>
          </w:tcPr>
          <w:p w14:paraId="4127E4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2794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712EE6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w:t>
            </w:r>
          </w:p>
        </w:tc>
        <w:tc>
          <w:tcPr>
            <w:tcW w:w="1409" w:type="dxa"/>
          </w:tcPr>
          <w:p w14:paraId="2F5F30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Разводув</w:t>
            </w:r>
          </w:p>
        </w:tc>
      </w:tr>
      <w:tr w:rsidR="000F5689" w:rsidRPr="00925F26" w14:paraId="32AB2D49" w14:textId="77777777">
        <w:tc>
          <w:tcPr>
            <w:tcW w:w="1409" w:type="dxa"/>
          </w:tcPr>
          <w:p w14:paraId="48D0E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1409" w:type="dxa"/>
          </w:tcPr>
          <w:p w14:paraId="11314F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1409" w:type="dxa"/>
          </w:tcPr>
          <w:p w14:paraId="2BB691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15FC22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w:t>
            </w:r>
          </w:p>
        </w:tc>
        <w:tc>
          <w:tcPr>
            <w:tcW w:w="1409" w:type="dxa"/>
          </w:tcPr>
          <w:p w14:paraId="04C27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Инстербург</w:t>
            </w:r>
          </w:p>
        </w:tc>
      </w:tr>
      <w:tr w:rsidR="000F5689" w:rsidRPr="00925F26" w14:paraId="37E565BA" w14:textId="77777777">
        <w:tc>
          <w:tcPr>
            <w:tcW w:w="1409" w:type="dxa"/>
          </w:tcPr>
          <w:p w14:paraId="6BF523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66E71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5F921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0183DD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w:t>
            </w:r>
          </w:p>
        </w:tc>
        <w:tc>
          <w:tcPr>
            <w:tcW w:w="1409" w:type="dxa"/>
          </w:tcPr>
          <w:p w14:paraId="3ADC7E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Белосток</w:t>
            </w:r>
          </w:p>
        </w:tc>
      </w:tr>
      <w:tr w:rsidR="000F5689" w:rsidRPr="00925F26" w14:paraId="2DA0163C" w14:textId="77777777">
        <w:tc>
          <w:tcPr>
            <w:tcW w:w="1409" w:type="dxa"/>
          </w:tcPr>
          <w:p w14:paraId="767C60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C8141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5BBF3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36744B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w:t>
            </w:r>
          </w:p>
        </w:tc>
        <w:tc>
          <w:tcPr>
            <w:tcW w:w="1409" w:type="dxa"/>
          </w:tcPr>
          <w:p w14:paraId="268A95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Познань</w:t>
            </w:r>
          </w:p>
        </w:tc>
      </w:tr>
      <w:tr w:rsidR="000F5689" w:rsidRPr="00925F26" w14:paraId="59007789" w14:textId="77777777">
        <w:tc>
          <w:tcPr>
            <w:tcW w:w="1409" w:type="dxa"/>
          </w:tcPr>
          <w:p w14:paraId="7181BE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97E07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2F10E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44BEE1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w:t>
            </w:r>
          </w:p>
        </w:tc>
        <w:tc>
          <w:tcPr>
            <w:tcW w:w="1409" w:type="dxa"/>
          </w:tcPr>
          <w:p w14:paraId="69E6DE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Разводув</w:t>
            </w:r>
          </w:p>
        </w:tc>
      </w:tr>
      <w:tr w:rsidR="000F5689" w:rsidRPr="00925F26" w14:paraId="27AEE643" w14:textId="77777777">
        <w:tc>
          <w:tcPr>
            <w:tcW w:w="1409" w:type="dxa"/>
          </w:tcPr>
          <w:p w14:paraId="01F6A5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1409" w:type="dxa"/>
          </w:tcPr>
          <w:p w14:paraId="6E474E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093F9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07E31A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409" w:type="dxa"/>
          </w:tcPr>
          <w:p w14:paraId="2E87B8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Бузэу</w:t>
            </w:r>
          </w:p>
        </w:tc>
      </w:tr>
      <w:tr w:rsidR="000F5689" w:rsidRPr="00925F26" w14:paraId="6E739173" w14:textId="77777777">
        <w:tc>
          <w:tcPr>
            <w:tcW w:w="1409" w:type="dxa"/>
          </w:tcPr>
          <w:p w14:paraId="7BC454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409" w:type="dxa"/>
          </w:tcPr>
          <w:p w14:paraId="35F932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1409" w:type="dxa"/>
          </w:tcPr>
          <w:p w14:paraId="34246D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7495C7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ВА</w:t>
            </w:r>
          </w:p>
        </w:tc>
        <w:tc>
          <w:tcPr>
            <w:tcW w:w="1409" w:type="dxa"/>
          </w:tcPr>
          <w:p w14:paraId="310380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Черновицы</w:t>
            </w:r>
          </w:p>
        </w:tc>
      </w:tr>
      <w:tr w:rsidR="000F5689" w:rsidRPr="00925F26" w14:paraId="30B97794" w14:textId="77777777">
        <w:tc>
          <w:tcPr>
            <w:tcW w:w="1409" w:type="dxa"/>
          </w:tcPr>
          <w:p w14:paraId="629FC9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7054D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16978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164A9B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w:t>
            </w:r>
          </w:p>
        </w:tc>
        <w:tc>
          <w:tcPr>
            <w:tcW w:w="1409" w:type="dxa"/>
          </w:tcPr>
          <w:p w14:paraId="473E01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Белосток</w:t>
            </w:r>
          </w:p>
        </w:tc>
      </w:tr>
      <w:tr w:rsidR="000F5689" w:rsidRPr="00925F26" w14:paraId="223398B2" w14:textId="77777777">
        <w:tc>
          <w:tcPr>
            <w:tcW w:w="1409" w:type="dxa"/>
          </w:tcPr>
          <w:p w14:paraId="562D38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FCBB8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6566F4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39D174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w:t>
            </w:r>
          </w:p>
        </w:tc>
        <w:tc>
          <w:tcPr>
            <w:tcW w:w="1409" w:type="dxa"/>
          </w:tcPr>
          <w:p w14:paraId="335D6D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Разводув</w:t>
            </w:r>
          </w:p>
        </w:tc>
      </w:tr>
      <w:tr w:rsidR="000F5689" w:rsidRPr="00925F26" w14:paraId="678A3B04" w14:textId="77777777">
        <w:tc>
          <w:tcPr>
            <w:tcW w:w="1409" w:type="dxa"/>
          </w:tcPr>
          <w:p w14:paraId="3075A3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C123A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26CDE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359D43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w:t>
            </w:r>
          </w:p>
        </w:tc>
        <w:tc>
          <w:tcPr>
            <w:tcW w:w="1409" w:type="dxa"/>
          </w:tcPr>
          <w:p w14:paraId="6D2CB7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Львов</w:t>
            </w:r>
          </w:p>
        </w:tc>
      </w:tr>
      <w:tr w:rsidR="000F5689" w:rsidRPr="00925F26" w14:paraId="4B1C5901" w14:textId="77777777">
        <w:tc>
          <w:tcPr>
            <w:tcW w:w="1409" w:type="dxa"/>
          </w:tcPr>
          <w:p w14:paraId="3D06F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FE9FD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EAD94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409" w:type="dxa"/>
          </w:tcPr>
          <w:p w14:paraId="441483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w:t>
            </w:r>
          </w:p>
        </w:tc>
        <w:tc>
          <w:tcPr>
            <w:tcW w:w="1409" w:type="dxa"/>
          </w:tcPr>
          <w:p w14:paraId="61F9E6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Черновицы</w:t>
            </w:r>
          </w:p>
        </w:tc>
      </w:tr>
      <w:tr w:rsidR="000F5689" w:rsidRPr="00925F26" w14:paraId="031523CC" w14:textId="77777777">
        <w:tc>
          <w:tcPr>
            <w:tcW w:w="1409" w:type="dxa"/>
          </w:tcPr>
          <w:p w14:paraId="198F45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868D8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94EF9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409" w:type="dxa"/>
          </w:tcPr>
          <w:p w14:paraId="45CCB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ДВФ</w:t>
            </w:r>
          </w:p>
        </w:tc>
        <w:tc>
          <w:tcPr>
            <w:tcW w:w="1409" w:type="dxa"/>
          </w:tcPr>
          <w:p w14:paraId="5A301E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Хабаровск</w:t>
            </w:r>
          </w:p>
        </w:tc>
      </w:tr>
      <w:tr w:rsidR="000F5689" w:rsidRPr="00925F26" w14:paraId="1C1CB97E" w14:textId="77777777">
        <w:tc>
          <w:tcPr>
            <w:tcW w:w="1409" w:type="dxa"/>
          </w:tcPr>
          <w:p w14:paraId="5D0AF9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09215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FF2CF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01128B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ВА</w:t>
            </w:r>
          </w:p>
        </w:tc>
        <w:tc>
          <w:tcPr>
            <w:tcW w:w="1409" w:type="dxa"/>
          </w:tcPr>
          <w:p w14:paraId="3F7F92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Чита</w:t>
            </w:r>
          </w:p>
        </w:tc>
      </w:tr>
      <w:tr w:rsidR="000F5689" w:rsidRPr="00925F26" w14:paraId="1C254423" w14:textId="77777777">
        <w:tc>
          <w:tcPr>
            <w:tcW w:w="1409" w:type="dxa"/>
          </w:tcPr>
          <w:p w14:paraId="1504DF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381</w:t>
            </w:r>
          </w:p>
        </w:tc>
        <w:tc>
          <w:tcPr>
            <w:tcW w:w="1409" w:type="dxa"/>
          </w:tcPr>
          <w:p w14:paraId="76EEE6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61F96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44E647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ВА</w:t>
            </w:r>
          </w:p>
        </w:tc>
        <w:tc>
          <w:tcPr>
            <w:tcW w:w="1409" w:type="dxa"/>
          </w:tcPr>
          <w:p w14:paraId="5149ED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Инстербург</w:t>
            </w:r>
          </w:p>
        </w:tc>
      </w:tr>
      <w:tr w:rsidR="000F5689" w:rsidRPr="00925F26" w14:paraId="05933641" w14:textId="77777777">
        <w:tc>
          <w:tcPr>
            <w:tcW w:w="1409" w:type="dxa"/>
          </w:tcPr>
          <w:p w14:paraId="5CB3C3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409" w:type="dxa"/>
          </w:tcPr>
          <w:p w14:paraId="776524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1409" w:type="dxa"/>
          </w:tcPr>
          <w:p w14:paraId="7E3BC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409" w:type="dxa"/>
          </w:tcPr>
          <w:p w14:paraId="560FE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ДВФ</w:t>
            </w:r>
          </w:p>
        </w:tc>
        <w:tc>
          <w:tcPr>
            <w:tcW w:w="1409" w:type="dxa"/>
          </w:tcPr>
          <w:p w14:paraId="3A6D1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Хабаровск</w:t>
            </w:r>
          </w:p>
        </w:tc>
      </w:tr>
      <w:tr w:rsidR="000F5689" w:rsidRPr="00925F26" w14:paraId="206410A5" w14:textId="77777777">
        <w:tc>
          <w:tcPr>
            <w:tcW w:w="1409" w:type="dxa"/>
          </w:tcPr>
          <w:p w14:paraId="7B951A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409" w:type="dxa"/>
          </w:tcPr>
          <w:p w14:paraId="221464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1409" w:type="dxa"/>
          </w:tcPr>
          <w:p w14:paraId="0352C4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409" w:type="dxa"/>
          </w:tcPr>
          <w:p w14:paraId="195B3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ЛьВО</w:t>
            </w:r>
          </w:p>
        </w:tc>
        <w:tc>
          <w:tcPr>
            <w:tcW w:w="1409" w:type="dxa"/>
          </w:tcPr>
          <w:p w14:paraId="5C32B5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Львов</w:t>
            </w:r>
          </w:p>
        </w:tc>
      </w:tr>
      <w:tr w:rsidR="000F5689" w:rsidRPr="00925F26" w14:paraId="5370966A" w14:textId="77777777">
        <w:tc>
          <w:tcPr>
            <w:tcW w:w="1409" w:type="dxa"/>
          </w:tcPr>
          <w:p w14:paraId="39DF40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4B41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D02E6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409" w:type="dxa"/>
          </w:tcPr>
          <w:p w14:paraId="03563E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ШАК</w:t>
            </w:r>
          </w:p>
        </w:tc>
        <w:tc>
          <w:tcPr>
            <w:tcW w:w="1409" w:type="dxa"/>
          </w:tcPr>
          <w:p w14:paraId="1EAC4F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Шауляй</w:t>
            </w:r>
          </w:p>
        </w:tc>
      </w:tr>
      <w:tr w:rsidR="000F5689" w:rsidRPr="00925F26" w14:paraId="769E1830" w14:textId="77777777">
        <w:tc>
          <w:tcPr>
            <w:tcW w:w="1409" w:type="dxa"/>
          </w:tcPr>
          <w:p w14:paraId="21473D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409" w:type="dxa"/>
          </w:tcPr>
          <w:p w14:paraId="451794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49CAE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409" w:type="dxa"/>
          </w:tcPr>
          <w:p w14:paraId="79EC00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ДВФ</w:t>
            </w:r>
          </w:p>
        </w:tc>
        <w:tc>
          <w:tcPr>
            <w:tcW w:w="1409" w:type="dxa"/>
          </w:tcPr>
          <w:p w14:paraId="6DDA9B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Хабаровск</w:t>
            </w:r>
          </w:p>
        </w:tc>
      </w:tr>
      <w:tr w:rsidR="000F5689" w:rsidRPr="00925F26" w14:paraId="4E50F2C4" w14:textId="77777777">
        <w:tc>
          <w:tcPr>
            <w:tcW w:w="1409" w:type="dxa"/>
          </w:tcPr>
          <w:p w14:paraId="2A12D1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F0DB3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BA03D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409" w:type="dxa"/>
          </w:tcPr>
          <w:p w14:paraId="0D535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ШАК</w:t>
            </w:r>
          </w:p>
        </w:tc>
        <w:tc>
          <w:tcPr>
            <w:tcW w:w="1409" w:type="dxa"/>
          </w:tcPr>
          <w:p w14:paraId="510881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Шауляй</w:t>
            </w:r>
          </w:p>
        </w:tc>
      </w:tr>
      <w:tr w:rsidR="000F5689" w:rsidRPr="00925F26" w14:paraId="1EAF7CCE" w14:textId="77777777">
        <w:tc>
          <w:tcPr>
            <w:tcW w:w="1409" w:type="dxa"/>
          </w:tcPr>
          <w:p w14:paraId="127E2B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409" w:type="dxa"/>
          </w:tcPr>
          <w:p w14:paraId="0D5240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корр.</w:t>
            </w:r>
          </w:p>
        </w:tc>
        <w:tc>
          <w:tcPr>
            <w:tcW w:w="1409" w:type="dxa"/>
          </w:tcPr>
          <w:p w14:paraId="277A1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409" w:type="dxa"/>
          </w:tcPr>
          <w:p w14:paraId="122C49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ДВФ</w:t>
            </w:r>
          </w:p>
        </w:tc>
        <w:tc>
          <w:tcPr>
            <w:tcW w:w="1409" w:type="dxa"/>
          </w:tcPr>
          <w:p w14:paraId="4805B9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Хабаровск</w:t>
            </w:r>
          </w:p>
        </w:tc>
      </w:tr>
      <w:tr w:rsidR="000F5689" w:rsidRPr="00925F26" w14:paraId="29D70729" w14:textId="77777777">
        <w:tc>
          <w:tcPr>
            <w:tcW w:w="1409" w:type="dxa"/>
          </w:tcPr>
          <w:p w14:paraId="4D53B5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409" w:type="dxa"/>
          </w:tcPr>
          <w:p w14:paraId="1F656C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1409" w:type="dxa"/>
          </w:tcPr>
          <w:p w14:paraId="110AB9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1409" w:type="dxa"/>
          </w:tcPr>
          <w:p w14:paraId="638AA1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86EB3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27C0BF3" w14:textId="77777777">
        <w:tc>
          <w:tcPr>
            <w:tcW w:w="1409" w:type="dxa"/>
          </w:tcPr>
          <w:p w14:paraId="393A6D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w:t>
            </w:r>
          </w:p>
        </w:tc>
        <w:tc>
          <w:tcPr>
            <w:tcW w:w="1409" w:type="dxa"/>
          </w:tcPr>
          <w:p w14:paraId="119293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1409" w:type="dxa"/>
          </w:tcPr>
          <w:p w14:paraId="3F2634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1409" w:type="dxa"/>
          </w:tcPr>
          <w:p w14:paraId="37AFF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 64</w:t>
            </w:r>
          </w:p>
        </w:tc>
        <w:tc>
          <w:tcPr>
            <w:tcW w:w="1409" w:type="dxa"/>
          </w:tcPr>
          <w:p w14:paraId="73AF98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Воронеж</w:t>
            </w:r>
          </w:p>
        </w:tc>
      </w:tr>
      <w:tr w:rsidR="000F5689" w:rsidRPr="00925F26" w14:paraId="1AD77717" w14:textId="77777777">
        <w:tc>
          <w:tcPr>
            <w:tcW w:w="1409" w:type="dxa"/>
          </w:tcPr>
          <w:p w14:paraId="5BE342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w:t>
            </w:r>
          </w:p>
        </w:tc>
        <w:tc>
          <w:tcPr>
            <w:tcW w:w="1409" w:type="dxa"/>
          </w:tcPr>
          <w:p w14:paraId="386A69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УТ-2</w:t>
            </w:r>
          </w:p>
        </w:tc>
        <w:tc>
          <w:tcPr>
            <w:tcW w:w="1409" w:type="dxa"/>
          </w:tcPr>
          <w:p w14:paraId="65599A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409" w:type="dxa"/>
          </w:tcPr>
          <w:p w14:paraId="399A98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Рустав. ав. шк.</w:t>
            </w:r>
          </w:p>
        </w:tc>
        <w:tc>
          <w:tcPr>
            <w:tcW w:w="1409" w:type="dxa"/>
          </w:tcPr>
          <w:p w14:paraId="7AD36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Вазиани</w:t>
            </w:r>
          </w:p>
        </w:tc>
      </w:tr>
      <w:tr w:rsidR="000F5689" w:rsidRPr="00925F26" w14:paraId="7BDAEE51" w14:textId="77777777">
        <w:tc>
          <w:tcPr>
            <w:tcW w:w="1409" w:type="dxa"/>
          </w:tcPr>
          <w:p w14:paraId="57007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476F7B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AF2B9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409" w:type="dxa"/>
          </w:tcPr>
          <w:p w14:paraId="6CB4B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3-й ав. шк.</w:t>
            </w:r>
          </w:p>
        </w:tc>
        <w:tc>
          <w:tcPr>
            <w:tcW w:w="1409" w:type="dxa"/>
          </w:tcPr>
          <w:p w14:paraId="6C906E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Сасово</w:t>
            </w:r>
          </w:p>
        </w:tc>
      </w:tr>
      <w:tr w:rsidR="000F5689" w:rsidRPr="00925F26" w14:paraId="6D727CC9" w14:textId="77777777">
        <w:tc>
          <w:tcPr>
            <w:tcW w:w="1409" w:type="dxa"/>
          </w:tcPr>
          <w:p w14:paraId="18F594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05010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3A83C8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409" w:type="dxa"/>
          </w:tcPr>
          <w:p w14:paraId="6CB31F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9-й -"-</w:t>
            </w:r>
          </w:p>
        </w:tc>
        <w:tc>
          <w:tcPr>
            <w:tcW w:w="1409" w:type="dxa"/>
          </w:tcPr>
          <w:p w14:paraId="2ED99D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Бугуруслан</w:t>
            </w:r>
          </w:p>
        </w:tc>
      </w:tr>
      <w:tr w:rsidR="000F5689" w:rsidRPr="00925F26" w14:paraId="7D5358C9" w14:textId="77777777">
        <w:tc>
          <w:tcPr>
            <w:tcW w:w="1409" w:type="dxa"/>
          </w:tcPr>
          <w:p w14:paraId="5C2A11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54E948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14819D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409" w:type="dxa"/>
          </w:tcPr>
          <w:p w14:paraId="4B745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11-й -"-</w:t>
            </w:r>
          </w:p>
        </w:tc>
        <w:tc>
          <w:tcPr>
            <w:tcW w:w="1409" w:type="dxa"/>
          </w:tcPr>
          <w:p w14:paraId="499BE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Джизак</w:t>
            </w:r>
          </w:p>
        </w:tc>
      </w:tr>
      <w:tr w:rsidR="000F5689" w:rsidRPr="00925F26" w14:paraId="1F21FB0C" w14:textId="77777777">
        <w:tc>
          <w:tcPr>
            <w:tcW w:w="1409" w:type="dxa"/>
          </w:tcPr>
          <w:p w14:paraId="018221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7845C6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9" w:type="dxa"/>
          </w:tcPr>
          <w:p w14:paraId="27CC74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409" w:type="dxa"/>
          </w:tcPr>
          <w:p w14:paraId="69A262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21-й -"-</w:t>
            </w:r>
          </w:p>
        </w:tc>
        <w:tc>
          <w:tcPr>
            <w:tcW w:w="1409" w:type="dxa"/>
          </w:tcPr>
          <w:p w14:paraId="15A612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Телави</w:t>
            </w:r>
          </w:p>
        </w:tc>
      </w:tr>
      <w:tr w:rsidR="000F5689" w:rsidRPr="00925F26" w14:paraId="0B9CBA81" w14:textId="77777777">
        <w:tc>
          <w:tcPr>
            <w:tcW w:w="1409" w:type="dxa"/>
          </w:tcPr>
          <w:p w14:paraId="75A8B6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387</w:t>
            </w:r>
          </w:p>
        </w:tc>
        <w:tc>
          <w:tcPr>
            <w:tcW w:w="1409" w:type="dxa"/>
          </w:tcPr>
          <w:p w14:paraId="6475E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w:t>
            </w:r>
          </w:p>
        </w:tc>
        <w:tc>
          <w:tcPr>
            <w:tcW w:w="1409" w:type="dxa"/>
          </w:tcPr>
          <w:p w14:paraId="1AE53F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409" w:type="dxa"/>
          </w:tcPr>
          <w:p w14:paraId="67C19A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11-й -"-</w:t>
            </w:r>
          </w:p>
        </w:tc>
        <w:tc>
          <w:tcPr>
            <w:tcW w:w="1409" w:type="dxa"/>
          </w:tcPr>
          <w:p w14:paraId="0961E5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Джизак</w:t>
            </w:r>
          </w:p>
        </w:tc>
      </w:tr>
    </w:tbl>
    <w:p w14:paraId="16ABA2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указаний директорам заводов по обеспечению погрузки и отправки указанных самолетов (1879,90).</w:t>
      </w:r>
    </w:p>
    <w:p w14:paraId="518EBECB" w14:textId="77777777" w:rsidR="00665165" w:rsidRPr="00925F26" w:rsidRDefault="00665165" w:rsidP="00925F26">
      <w:pPr>
        <w:autoSpaceDE w:val="0"/>
        <w:autoSpaceDN w:val="0"/>
        <w:adjustRightInd w:val="0"/>
        <w:jc w:val="both"/>
        <w:rPr>
          <w:color w:val="000000" w:themeColor="text1"/>
          <w:sz w:val="16"/>
          <w:szCs w:val="16"/>
        </w:rPr>
      </w:pPr>
    </w:p>
    <w:p w14:paraId="6C3A49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года гл. инженер ВВС генерал-полковник ИАС Репин писал письмо N 741243 Шахурину.</w:t>
      </w:r>
    </w:p>
    <w:p w14:paraId="13334E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ГК НИИ ВВС в феврале 1945 года проведены с положительным результатом полигонные испытания опытного образца самолетного обнаружителя локаторов "Сол-3", изготовленного 9 ремесленным училищем связи.</w:t>
      </w:r>
    </w:p>
    <w:p w14:paraId="32448A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Самолетный обнаружитель локаторов "Сол-3" предназначен для обнаружения облучения наших самолетов немецкими самолетными локационными установками "ФУГ-202" и "ФУГ-220".</w:t>
      </w:r>
    </w:p>
    <w:p w14:paraId="0A7101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Прибор "Сол-3" должен устанавливаться на всех ночных бомбардировщиках и разведчиках ВВС.</w:t>
      </w:r>
    </w:p>
    <w:p w14:paraId="2C42DC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Прибор по схеме и конструкции прост и легко осуществим в серийном производстве.</w:t>
      </w:r>
    </w:p>
    <w:p w14:paraId="1C0056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об изготовлении во II квартале 1945 года 300 штук приборов "Сол-3", 30 штук имитаторов сигнала локаторов и 100 штук дополнительных усилительно-релейных установок, необходимых для проведения войсковых испытаний (1879).</w:t>
      </w:r>
    </w:p>
    <w:p w14:paraId="5413C67F" w14:textId="77777777" w:rsidR="00665165" w:rsidRPr="00925F26" w:rsidRDefault="00665165" w:rsidP="00925F26">
      <w:pPr>
        <w:autoSpaceDE w:val="0"/>
        <w:autoSpaceDN w:val="0"/>
        <w:adjustRightInd w:val="0"/>
        <w:jc w:val="both"/>
        <w:rPr>
          <w:color w:val="000000" w:themeColor="text1"/>
          <w:sz w:val="16"/>
          <w:szCs w:val="16"/>
        </w:rPr>
      </w:pPr>
    </w:p>
    <w:p w14:paraId="15B2CE68" w14:textId="77777777" w:rsidR="00F36DAA" w:rsidRPr="00925F26" w:rsidRDefault="00F36DAA" w:rsidP="00925F26">
      <w:pPr>
        <w:jc w:val="both"/>
        <w:rPr>
          <w:color w:val="000000" w:themeColor="text1"/>
          <w:sz w:val="16"/>
          <w:szCs w:val="16"/>
        </w:rPr>
      </w:pPr>
      <w:r w:rsidRPr="00925F26">
        <w:rPr>
          <w:color w:val="000000" w:themeColor="text1"/>
          <w:sz w:val="16"/>
          <w:szCs w:val="16"/>
        </w:rPr>
        <w:t>17 марта 1945 г. ГОСУДАРСТВЕННЫЙ КОМИТЕТ ОБОРОНЫ</w:t>
      </w:r>
    </w:p>
    <w:p w14:paraId="07A51E36" w14:textId="77777777" w:rsidR="00F36DAA" w:rsidRPr="00925F26" w:rsidRDefault="00F36DAA" w:rsidP="00925F26">
      <w:pPr>
        <w:jc w:val="both"/>
        <w:rPr>
          <w:color w:val="000000" w:themeColor="text1"/>
          <w:sz w:val="16"/>
          <w:szCs w:val="16"/>
        </w:rPr>
      </w:pPr>
      <w:r w:rsidRPr="00925F26">
        <w:rPr>
          <w:color w:val="000000" w:themeColor="text1"/>
          <w:sz w:val="16"/>
          <w:szCs w:val="16"/>
        </w:rPr>
        <w:t>РАСПОРЯЖЕНИЕ № ГКО-7861сс</w:t>
      </w:r>
    </w:p>
    <w:p w14:paraId="6484BA75" w14:textId="77777777" w:rsidR="00F36DAA" w:rsidRPr="00925F26" w:rsidRDefault="00F36DAA" w:rsidP="00925F26">
      <w:pPr>
        <w:jc w:val="both"/>
        <w:rPr>
          <w:color w:val="000000" w:themeColor="text1"/>
          <w:sz w:val="16"/>
          <w:szCs w:val="16"/>
        </w:rPr>
      </w:pPr>
      <w:r w:rsidRPr="00925F26">
        <w:rPr>
          <w:color w:val="000000" w:themeColor="text1"/>
          <w:sz w:val="16"/>
          <w:szCs w:val="16"/>
        </w:rPr>
        <w:t>Москва, Кремль</w:t>
      </w:r>
    </w:p>
    <w:p w14:paraId="52F20739" w14:textId="77777777" w:rsidR="00F36DAA" w:rsidRPr="00925F26" w:rsidRDefault="00F36DAA" w:rsidP="00925F26">
      <w:pPr>
        <w:jc w:val="both"/>
        <w:rPr>
          <w:color w:val="000000" w:themeColor="text1"/>
          <w:sz w:val="16"/>
          <w:szCs w:val="16"/>
        </w:rPr>
      </w:pPr>
      <w:r w:rsidRPr="00925F26">
        <w:rPr>
          <w:color w:val="000000" w:themeColor="text1"/>
          <w:sz w:val="16"/>
          <w:szCs w:val="16"/>
        </w:rPr>
        <w:t>Для решения вопроса об изготовлении опытной партии реактивных авиационных торпед "РАТ", разрабатываемых НИИ-1 НКАП, обязать:</w:t>
      </w:r>
    </w:p>
    <w:p w14:paraId="2A0C050D" w14:textId="77777777" w:rsidR="00F36DAA" w:rsidRPr="00925F26" w:rsidRDefault="00F36DAA" w:rsidP="00925F26">
      <w:pPr>
        <w:jc w:val="both"/>
        <w:rPr>
          <w:color w:val="000000" w:themeColor="text1"/>
          <w:sz w:val="16"/>
          <w:szCs w:val="16"/>
        </w:rPr>
      </w:pPr>
      <w:r w:rsidRPr="00925F26">
        <w:rPr>
          <w:color w:val="000000" w:themeColor="text1"/>
          <w:sz w:val="16"/>
          <w:szCs w:val="16"/>
        </w:rPr>
        <w:t>1. Наркомавиапром (т. Шахурина) закончить разработку технического проекта реактивной авиационной торпеды “РАТ” в НИИ-1 НКАП к 1.VII.1945 года с учётом последующего изготовления опытных образцов на торпедостроительных заводах Наркомсудпрома.</w:t>
      </w:r>
    </w:p>
    <w:p w14:paraId="2A2A9A6B" w14:textId="77777777" w:rsidR="00F36DAA" w:rsidRPr="00925F26" w:rsidRDefault="00F36DAA" w:rsidP="00925F26">
      <w:pPr>
        <w:jc w:val="both"/>
        <w:rPr>
          <w:color w:val="000000" w:themeColor="text1"/>
          <w:sz w:val="16"/>
          <w:szCs w:val="16"/>
        </w:rPr>
      </w:pPr>
      <w:r w:rsidRPr="00925F26">
        <w:rPr>
          <w:color w:val="000000" w:themeColor="text1"/>
          <w:sz w:val="16"/>
          <w:szCs w:val="16"/>
        </w:rPr>
        <w:t>2. Наркомсудпром (т. Носенко), Наркомавиапром (т. Шахурину) обеспечить проведение необходимых исследовательских работ по отработке отдельных узлов реактивной авиационной торпеды до 1.VII.1945 года, для чего:</w:t>
      </w:r>
    </w:p>
    <w:p w14:paraId="3F72B46B" w14:textId="77777777" w:rsidR="00F36DAA" w:rsidRPr="00925F26" w:rsidRDefault="00F36DAA" w:rsidP="00925F26">
      <w:pPr>
        <w:jc w:val="both"/>
        <w:rPr>
          <w:color w:val="000000" w:themeColor="text1"/>
          <w:sz w:val="16"/>
          <w:szCs w:val="16"/>
        </w:rPr>
      </w:pPr>
      <w:r w:rsidRPr="00925F26">
        <w:rPr>
          <w:color w:val="000000" w:themeColor="text1"/>
          <w:sz w:val="16"/>
          <w:szCs w:val="16"/>
        </w:rPr>
        <w:t>а) Наркомсудпрому (т. Носенко) изготовить и испытать на своих заводах безмаятниковый гиростат;</w:t>
      </w:r>
    </w:p>
    <w:p w14:paraId="2E803388" w14:textId="77777777" w:rsidR="00F36DAA" w:rsidRPr="00925F26" w:rsidRDefault="00F36DAA" w:rsidP="00925F26">
      <w:pPr>
        <w:jc w:val="both"/>
        <w:rPr>
          <w:color w:val="000000" w:themeColor="text1"/>
          <w:sz w:val="16"/>
          <w:szCs w:val="16"/>
        </w:rPr>
      </w:pPr>
      <w:r w:rsidRPr="00925F26">
        <w:rPr>
          <w:color w:val="000000" w:themeColor="text1"/>
          <w:sz w:val="16"/>
          <w:szCs w:val="16"/>
        </w:rPr>
        <w:t>б) Наркомбоеприпасов (т. Ванникову) изготовить по техническим условиям НИИ-1 НКАП пороховые шашки в количествах, необходимых для окончания исследований;</w:t>
      </w:r>
    </w:p>
    <w:p w14:paraId="0745A6E6" w14:textId="77777777" w:rsidR="00F36DAA" w:rsidRPr="00925F26" w:rsidRDefault="00F36DAA" w:rsidP="00925F26">
      <w:pPr>
        <w:jc w:val="both"/>
        <w:rPr>
          <w:color w:val="000000" w:themeColor="text1"/>
          <w:sz w:val="16"/>
          <w:szCs w:val="16"/>
        </w:rPr>
      </w:pPr>
      <w:r w:rsidRPr="00925F26">
        <w:rPr>
          <w:color w:val="000000" w:themeColor="text1"/>
          <w:sz w:val="16"/>
          <w:szCs w:val="16"/>
        </w:rPr>
        <w:t>в) Наркомавиапром (т. Шахурину) закончить исследовательские работы по реактивному двигателю и базисные торпеды.</w:t>
      </w:r>
    </w:p>
    <w:p w14:paraId="16208BC4" w14:textId="6B30D7BA" w:rsidR="00F36DAA" w:rsidRPr="00925F26" w:rsidRDefault="00F36DAA" w:rsidP="00925F26">
      <w:pPr>
        <w:jc w:val="both"/>
        <w:rPr>
          <w:color w:val="000000" w:themeColor="text1"/>
          <w:sz w:val="16"/>
          <w:szCs w:val="16"/>
        </w:rPr>
      </w:pPr>
      <w:r w:rsidRPr="00925F26">
        <w:rPr>
          <w:color w:val="000000" w:themeColor="text1"/>
          <w:sz w:val="16"/>
          <w:szCs w:val="16"/>
        </w:rPr>
        <w:t>3. Наркомвоенморфлот (т. Кузнецова), ВВС КА (т. Новикова), Наркомавиапром (т.</w:t>
      </w:r>
      <w:r w:rsidR="00997EDF" w:rsidRPr="00925F26">
        <w:rPr>
          <w:color w:val="000000" w:themeColor="text1"/>
          <w:sz w:val="16"/>
          <w:szCs w:val="16"/>
        </w:rPr>
        <w:t xml:space="preserve">  </w:t>
      </w:r>
      <w:r w:rsidRPr="00925F26">
        <w:rPr>
          <w:color w:val="000000" w:themeColor="text1"/>
          <w:sz w:val="16"/>
          <w:szCs w:val="16"/>
        </w:rPr>
        <w:t>Шахурина), Наркомсудпром (т. Носенко) и Наркомбоеприпасов (т. Ванникова) рассмотреть технический проект реактивной авиационной торпеды и результаты окончания экспериментальных работ и представить совместные предложения в ГОКО по изготовлению опытной партии реактивных торпед к 1.VIII.1945 года.</w:t>
      </w:r>
    </w:p>
    <w:p w14:paraId="799E993E" w14:textId="77777777" w:rsidR="00F36DAA" w:rsidRPr="00925F26" w:rsidRDefault="00F36DAA" w:rsidP="00925F26">
      <w:pPr>
        <w:jc w:val="both"/>
        <w:rPr>
          <w:color w:val="000000" w:themeColor="text1"/>
          <w:sz w:val="16"/>
          <w:szCs w:val="16"/>
        </w:rPr>
      </w:pPr>
      <w:r w:rsidRPr="00925F26">
        <w:rPr>
          <w:color w:val="000000" w:themeColor="text1"/>
          <w:sz w:val="16"/>
          <w:szCs w:val="16"/>
        </w:rPr>
        <w:t>ЗАМ. ПРЕДСЕДАТЕЛЯ ГОСУДАРСТВЕННОГО КОМИТЕТА ОБОРОНЫ Л. БЕРИЯ (15501).</w:t>
      </w:r>
    </w:p>
    <w:p w14:paraId="5469E4D2" w14:textId="77777777" w:rsidR="00F36DAA" w:rsidRPr="00925F26" w:rsidRDefault="00F36DAA" w:rsidP="00925F26">
      <w:pPr>
        <w:jc w:val="both"/>
        <w:rPr>
          <w:color w:val="000000" w:themeColor="text1"/>
          <w:sz w:val="16"/>
          <w:szCs w:val="16"/>
        </w:rPr>
      </w:pPr>
    </w:p>
    <w:p w14:paraId="7D7C2B8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F9E885A" w14:textId="77777777" w:rsidR="00665165" w:rsidRPr="00925F26" w:rsidRDefault="00665165" w:rsidP="00925F26">
      <w:pPr>
        <w:autoSpaceDE w:val="0"/>
        <w:autoSpaceDN w:val="0"/>
        <w:adjustRightInd w:val="0"/>
        <w:jc w:val="both"/>
        <w:rPr>
          <w:iCs/>
          <w:color w:val="000000" w:themeColor="text1"/>
          <w:sz w:val="16"/>
          <w:szCs w:val="16"/>
        </w:rPr>
      </w:pPr>
    </w:p>
    <w:p w14:paraId="1FE1A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Распоряжение ГКО № 7856. О выделении 6,5 тыс. военнообязанных, негодных к строевой службе, на период массового лова рыбы в Каспийском бассейне. РГАНИР, Фонд ГКО, д. 382, лл. 106 (11012).</w:t>
      </w:r>
    </w:p>
    <w:p w14:paraId="2E131096" w14:textId="77777777" w:rsidR="00665165" w:rsidRPr="00925F26" w:rsidRDefault="00665165" w:rsidP="00925F26">
      <w:pPr>
        <w:autoSpaceDE w:val="0"/>
        <w:autoSpaceDN w:val="0"/>
        <w:adjustRightInd w:val="0"/>
        <w:jc w:val="both"/>
        <w:rPr>
          <w:color w:val="000000" w:themeColor="text1"/>
          <w:sz w:val="16"/>
          <w:szCs w:val="16"/>
        </w:rPr>
      </w:pPr>
    </w:p>
    <w:p w14:paraId="2C701CF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марта 1945 вышло Распоряжение ГКО № 7857 [О мерах по укреплению искусственных сооружений и подготовке их к пропуску весеннего паводка.] (7317, 107-109).</w:t>
      </w:r>
    </w:p>
    <w:p w14:paraId="6414EF3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22A4B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Постановление ГКО № 7858 О неотложной помощи мазутом Березниковским азотному и содовому заводам Наркомхимпрома. РГАНИР, Фонд ГКО, д. 382, лл. 110 (11012).</w:t>
      </w:r>
    </w:p>
    <w:p w14:paraId="7B98A563" w14:textId="77777777" w:rsidR="00665165" w:rsidRPr="00925F26" w:rsidRDefault="00665165" w:rsidP="00925F26">
      <w:pPr>
        <w:autoSpaceDE w:val="0"/>
        <w:autoSpaceDN w:val="0"/>
        <w:adjustRightInd w:val="0"/>
        <w:jc w:val="both"/>
        <w:rPr>
          <w:color w:val="000000" w:themeColor="text1"/>
          <w:sz w:val="16"/>
          <w:szCs w:val="16"/>
        </w:rPr>
      </w:pPr>
    </w:p>
    <w:p w14:paraId="2A0DB8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Распоряжение ГКО № 7859. О дополнительном выделении дизельного топлива строительству Закавказского металлургического комбината. РГАНИР, Фонд ГКО, д. 382, лл. 111 (11012).</w:t>
      </w:r>
    </w:p>
    <w:p w14:paraId="6B7C66F0" w14:textId="77777777" w:rsidR="00665165" w:rsidRPr="00925F26" w:rsidRDefault="00665165" w:rsidP="00925F26">
      <w:pPr>
        <w:autoSpaceDE w:val="0"/>
        <w:autoSpaceDN w:val="0"/>
        <w:adjustRightInd w:val="0"/>
        <w:jc w:val="both"/>
        <w:rPr>
          <w:color w:val="000000" w:themeColor="text1"/>
          <w:sz w:val="16"/>
          <w:szCs w:val="16"/>
        </w:rPr>
      </w:pPr>
    </w:p>
    <w:p w14:paraId="1E85F54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марта 1945 вышло Постановление ГКО № 7860 О Государственном Краснознаменном научно-исследовательском институте ВВС Красной Армии. (7317, 112,113-122).</w:t>
      </w:r>
    </w:p>
    <w:p w14:paraId="141F9AC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B82AD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Распоряжение ГКО № 7861. Об изготовлении опытной партии реактивных авиационных торпед, разрабатываемых НИИ-1 НКАП. РГАНИР, Фонд ГКО, д. 382, лл. 123-124 (11012).</w:t>
      </w:r>
    </w:p>
    <w:p w14:paraId="7F561AF4" w14:textId="77777777" w:rsidR="00665165" w:rsidRPr="00925F26" w:rsidRDefault="00665165" w:rsidP="00925F26">
      <w:pPr>
        <w:autoSpaceDE w:val="0"/>
        <w:autoSpaceDN w:val="0"/>
        <w:adjustRightInd w:val="0"/>
        <w:jc w:val="both"/>
        <w:rPr>
          <w:color w:val="000000" w:themeColor="text1"/>
          <w:sz w:val="16"/>
          <w:szCs w:val="16"/>
        </w:rPr>
      </w:pPr>
    </w:p>
    <w:p w14:paraId="255511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Постановление ГКО № 7864 Об отгрузке Наркомчермету карагандинских коксующихся и энергетических углей в марте 1945 года. РГАНИР, Фонд ГКО, д. 382 Л.135-136 (11012).</w:t>
      </w:r>
    </w:p>
    <w:p w14:paraId="4B7A31B3" w14:textId="77777777" w:rsidR="00665165" w:rsidRPr="00925F26" w:rsidRDefault="00665165" w:rsidP="00925F26">
      <w:pPr>
        <w:autoSpaceDE w:val="0"/>
        <w:autoSpaceDN w:val="0"/>
        <w:adjustRightInd w:val="0"/>
        <w:jc w:val="both"/>
        <w:rPr>
          <w:color w:val="000000" w:themeColor="text1"/>
          <w:sz w:val="16"/>
          <w:szCs w:val="16"/>
        </w:rPr>
      </w:pPr>
    </w:p>
    <w:p w14:paraId="29D16DCE" w14:textId="77777777" w:rsidR="00F36DAA" w:rsidRPr="00925F26" w:rsidRDefault="00F36DAA" w:rsidP="00925F26">
      <w:pPr>
        <w:jc w:val="both"/>
        <w:rPr>
          <w:color w:val="000000" w:themeColor="text1"/>
          <w:sz w:val="16"/>
          <w:szCs w:val="16"/>
        </w:rPr>
      </w:pPr>
      <w:r w:rsidRPr="00925F26">
        <w:rPr>
          <w:color w:val="000000" w:themeColor="text1"/>
          <w:sz w:val="16"/>
          <w:szCs w:val="16"/>
        </w:rPr>
        <w:t>17 марта 1945 г. Ведомость оптических и штурманских приборов, подлежащих поставке Наркомсудпрому для военного судостроения в 1945 г.</w:t>
      </w:r>
    </w:p>
    <w:tbl>
      <w:tblPr>
        <w:tblW w:w="67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40"/>
        <w:gridCol w:w="2380"/>
        <w:gridCol w:w="850"/>
        <w:gridCol w:w="851"/>
        <w:gridCol w:w="1275"/>
      </w:tblGrid>
      <w:tr w:rsidR="000F5689" w:rsidRPr="00925F26" w14:paraId="145CBB98"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626E4024" w14:textId="77777777" w:rsidR="00F36DAA" w:rsidRPr="00925F26" w:rsidRDefault="00F36DAA" w:rsidP="00925F26">
            <w:pPr>
              <w:jc w:val="both"/>
              <w:rPr>
                <w:color w:val="000000" w:themeColor="text1"/>
                <w:sz w:val="16"/>
                <w:szCs w:val="16"/>
              </w:rPr>
            </w:pPr>
            <w:r w:rsidRPr="00925F26">
              <w:rPr>
                <w:color w:val="000000" w:themeColor="text1"/>
                <w:sz w:val="16"/>
                <w:szCs w:val="16"/>
              </w:rPr>
              <w:lastRenderedPageBreak/>
              <w:t>Наименование приборов</w:t>
            </w:r>
          </w:p>
        </w:tc>
        <w:tc>
          <w:tcPr>
            <w:tcW w:w="850" w:type="dxa"/>
            <w:tcBorders>
              <w:top w:val="outset" w:sz="6" w:space="0" w:color="auto"/>
              <w:left w:val="outset" w:sz="6" w:space="0" w:color="auto"/>
              <w:bottom w:val="outset" w:sz="6" w:space="0" w:color="auto"/>
              <w:right w:val="outset" w:sz="6" w:space="0" w:color="auto"/>
            </w:tcBorders>
            <w:hideMark/>
          </w:tcPr>
          <w:p w14:paraId="3A9F89C8" w14:textId="77777777" w:rsidR="00F36DAA" w:rsidRPr="00925F26" w:rsidRDefault="00F36DAA" w:rsidP="00925F26">
            <w:pPr>
              <w:jc w:val="both"/>
              <w:rPr>
                <w:color w:val="000000" w:themeColor="text1"/>
                <w:sz w:val="16"/>
                <w:szCs w:val="16"/>
              </w:rPr>
            </w:pPr>
            <w:r w:rsidRPr="00925F26">
              <w:rPr>
                <w:color w:val="000000" w:themeColor="text1"/>
                <w:sz w:val="16"/>
                <w:szCs w:val="16"/>
              </w:rPr>
              <w:t>Един. измер.</w:t>
            </w:r>
          </w:p>
        </w:tc>
        <w:tc>
          <w:tcPr>
            <w:tcW w:w="851" w:type="dxa"/>
            <w:tcBorders>
              <w:top w:val="outset" w:sz="6" w:space="0" w:color="auto"/>
              <w:left w:val="outset" w:sz="6" w:space="0" w:color="auto"/>
              <w:bottom w:val="outset" w:sz="6" w:space="0" w:color="auto"/>
              <w:right w:val="outset" w:sz="6" w:space="0" w:color="auto"/>
            </w:tcBorders>
            <w:hideMark/>
          </w:tcPr>
          <w:p w14:paraId="15759C4B" w14:textId="77777777" w:rsidR="00F36DAA" w:rsidRPr="00925F26" w:rsidRDefault="00F36DAA" w:rsidP="00925F26">
            <w:pPr>
              <w:jc w:val="both"/>
              <w:rPr>
                <w:color w:val="000000" w:themeColor="text1"/>
                <w:sz w:val="16"/>
                <w:szCs w:val="16"/>
              </w:rPr>
            </w:pPr>
            <w:r w:rsidRPr="00925F26">
              <w:rPr>
                <w:color w:val="000000" w:themeColor="text1"/>
                <w:sz w:val="16"/>
                <w:szCs w:val="16"/>
              </w:rPr>
              <w:t>Подлежит поставке в 1945 г.</w:t>
            </w:r>
          </w:p>
        </w:tc>
        <w:tc>
          <w:tcPr>
            <w:tcW w:w="1275" w:type="dxa"/>
            <w:tcBorders>
              <w:top w:val="outset" w:sz="6" w:space="0" w:color="auto"/>
              <w:left w:val="outset" w:sz="6" w:space="0" w:color="auto"/>
              <w:bottom w:val="outset" w:sz="6" w:space="0" w:color="auto"/>
              <w:right w:val="outset" w:sz="6" w:space="0" w:color="auto"/>
            </w:tcBorders>
            <w:hideMark/>
          </w:tcPr>
          <w:p w14:paraId="5BF9AC88" w14:textId="77777777" w:rsidR="00F36DAA" w:rsidRPr="00925F26" w:rsidRDefault="00F36DAA" w:rsidP="00925F26">
            <w:pPr>
              <w:jc w:val="both"/>
              <w:rPr>
                <w:color w:val="000000" w:themeColor="text1"/>
                <w:sz w:val="16"/>
                <w:szCs w:val="16"/>
              </w:rPr>
            </w:pPr>
            <w:r w:rsidRPr="00925F26">
              <w:rPr>
                <w:color w:val="000000" w:themeColor="text1"/>
                <w:sz w:val="16"/>
                <w:szCs w:val="16"/>
              </w:rPr>
              <w:t>Завод-поставщик</w:t>
            </w:r>
          </w:p>
        </w:tc>
      </w:tr>
      <w:tr w:rsidR="000F5689" w:rsidRPr="00925F26" w14:paraId="40C106E7"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495760F" w14:textId="77777777" w:rsidR="00F36DAA" w:rsidRPr="00925F26" w:rsidRDefault="00F36DAA" w:rsidP="00925F26">
            <w:pPr>
              <w:jc w:val="both"/>
              <w:rPr>
                <w:color w:val="000000" w:themeColor="text1"/>
                <w:sz w:val="16"/>
                <w:szCs w:val="16"/>
              </w:rPr>
            </w:pPr>
            <w:r w:rsidRPr="00925F26">
              <w:rPr>
                <w:color w:val="000000" w:themeColor="text1"/>
                <w:sz w:val="16"/>
                <w:szCs w:val="16"/>
              </w:rPr>
              <w:t>Стереодальномеры ДМ-4 без тумбы</w:t>
            </w:r>
          </w:p>
        </w:tc>
        <w:tc>
          <w:tcPr>
            <w:tcW w:w="850" w:type="dxa"/>
            <w:tcBorders>
              <w:top w:val="outset" w:sz="6" w:space="0" w:color="auto"/>
              <w:left w:val="outset" w:sz="6" w:space="0" w:color="auto"/>
              <w:bottom w:val="outset" w:sz="6" w:space="0" w:color="auto"/>
              <w:right w:val="outset" w:sz="6" w:space="0" w:color="auto"/>
            </w:tcBorders>
            <w:hideMark/>
          </w:tcPr>
          <w:p w14:paraId="34DEEE00"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75D3397" w14:textId="77777777" w:rsidR="00F36DAA" w:rsidRPr="00925F26" w:rsidRDefault="00F36DAA" w:rsidP="00925F26">
            <w:pPr>
              <w:jc w:val="both"/>
              <w:rPr>
                <w:color w:val="000000" w:themeColor="text1"/>
                <w:sz w:val="16"/>
                <w:szCs w:val="16"/>
              </w:rPr>
            </w:pPr>
            <w:r w:rsidRPr="00925F26">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7D910D88"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70A56B08"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832A65B" w14:textId="77777777" w:rsidR="00F36DAA" w:rsidRPr="00925F26" w:rsidRDefault="00F36DAA" w:rsidP="00925F26">
            <w:pPr>
              <w:jc w:val="both"/>
              <w:rPr>
                <w:color w:val="000000" w:themeColor="text1"/>
                <w:sz w:val="16"/>
                <w:szCs w:val="16"/>
              </w:rPr>
            </w:pPr>
            <w:r w:rsidRPr="00925F26">
              <w:rPr>
                <w:color w:val="000000" w:themeColor="text1"/>
                <w:sz w:val="16"/>
                <w:szCs w:val="16"/>
              </w:rPr>
              <w:t>Антивибрационные подцапфенники А-4Б-43</w:t>
            </w:r>
          </w:p>
        </w:tc>
        <w:tc>
          <w:tcPr>
            <w:tcW w:w="850" w:type="dxa"/>
            <w:tcBorders>
              <w:top w:val="outset" w:sz="6" w:space="0" w:color="auto"/>
              <w:left w:val="outset" w:sz="6" w:space="0" w:color="auto"/>
              <w:bottom w:val="outset" w:sz="6" w:space="0" w:color="auto"/>
              <w:right w:val="outset" w:sz="6" w:space="0" w:color="auto"/>
            </w:tcBorders>
            <w:hideMark/>
          </w:tcPr>
          <w:p w14:paraId="5A24D41D"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51EA3B52" w14:textId="77777777" w:rsidR="00F36DAA" w:rsidRPr="00925F26" w:rsidRDefault="00F36DAA" w:rsidP="00925F26">
            <w:pPr>
              <w:jc w:val="both"/>
              <w:rPr>
                <w:color w:val="000000" w:themeColor="text1"/>
                <w:sz w:val="16"/>
                <w:szCs w:val="16"/>
              </w:rPr>
            </w:pPr>
            <w:r w:rsidRPr="00925F26">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21F28A03"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4997385A"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507F8DC" w14:textId="77777777" w:rsidR="00F36DAA" w:rsidRPr="00925F26" w:rsidRDefault="00F36DAA" w:rsidP="00925F26">
            <w:pPr>
              <w:jc w:val="both"/>
              <w:rPr>
                <w:color w:val="000000" w:themeColor="text1"/>
                <w:sz w:val="16"/>
                <w:szCs w:val="16"/>
              </w:rPr>
            </w:pPr>
            <w:r w:rsidRPr="00925F26">
              <w:rPr>
                <w:color w:val="000000" w:themeColor="text1"/>
                <w:sz w:val="16"/>
                <w:szCs w:val="16"/>
              </w:rPr>
              <w:t>Стереодальномеры ДМ-2 без тумбы</w:t>
            </w:r>
          </w:p>
        </w:tc>
        <w:tc>
          <w:tcPr>
            <w:tcW w:w="850" w:type="dxa"/>
            <w:tcBorders>
              <w:top w:val="outset" w:sz="6" w:space="0" w:color="auto"/>
              <w:left w:val="outset" w:sz="6" w:space="0" w:color="auto"/>
              <w:bottom w:val="outset" w:sz="6" w:space="0" w:color="auto"/>
              <w:right w:val="outset" w:sz="6" w:space="0" w:color="auto"/>
            </w:tcBorders>
            <w:hideMark/>
          </w:tcPr>
          <w:p w14:paraId="6DE2D993"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2C1CB72" w14:textId="77777777" w:rsidR="00F36DAA" w:rsidRPr="00925F26" w:rsidRDefault="00F36DAA" w:rsidP="00925F26">
            <w:pPr>
              <w:jc w:val="both"/>
              <w:rPr>
                <w:color w:val="000000" w:themeColor="text1"/>
                <w:sz w:val="16"/>
                <w:szCs w:val="16"/>
              </w:rPr>
            </w:pPr>
            <w:r w:rsidRPr="00925F26">
              <w:rPr>
                <w:color w:val="000000" w:themeColor="text1"/>
                <w:sz w:val="16"/>
                <w:szCs w:val="16"/>
              </w:rPr>
              <w:t>3</w:t>
            </w:r>
          </w:p>
        </w:tc>
        <w:tc>
          <w:tcPr>
            <w:tcW w:w="1275" w:type="dxa"/>
            <w:tcBorders>
              <w:top w:val="outset" w:sz="6" w:space="0" w:color="auto"/>
              <w:left w:val="outset" w:sz="6" w:space="0" w:color="auto"/>
              <w:bottom w:val="outset" w:sz="6" w:space="0" w:color="auto"/>
              <w:right w:val="outset" w:sz="6" w:space="0" w:color="auto"/>
            </w:tcBorders>
            <w:hideMark/>
          </w:tcPr>
          <w:p w14:paraId="4FA6B5BF"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488EEC0A"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959B7FA" w14:textId="77777777" w:rsidR="00F36DAA" w:rsidRPr="00925F26" w:rsidRDefault="00F36DAA" w:rsidP="00925F26">
            <w:pPr>
              <w:jc w:val="both"/>
              <w:rPr>
                <w:color w:val="000000" w:themeColor="text1"/>
                <w:sz w:val="16"/>
                <w:szCs w:val="16"/>
              </w:rPr>
            </w:pPr>
            <w:r w:rsidRPr="00925F26">
              <w:rPr>
                <w:color w:val="000000" w:themeColor="text1"/>
                <w:sz w:val="16"/>
                <w:szCs w:val="16"/>
              </w:rPr>
              <w:t>Стереодальномеры ДМ-1,5 с конвертером</w:t>
            </w:r>
          </w:p>
        </w:tc>
        <w:tc>
          <w:tcPr>
            <w:tcW w:w="850" w:type="dxa"/>
            <w:tcBorders>
              <w:top w:val="outset" w:sz="6" w:space="0" w:color="auto"/>
              <w:left w:val="outset" w:sz="6" w:space="0" w:color="auto"/>
              <w:bottom w:val="outset" w:sz="6" w:space="0" w:color="auto"/>
              <w:right w:val="outset" w:sz="6" w:space="0" w:color="auto"/>
            </w:tcBorders>
            <w:hideMark/>
          </w:tcPr>
          <w:p w14:paraId="11F3BF26"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4EF8D9AA" w14:textId="77777777" w:rsidR="00F36DAA" w:rsidRPr="00925F26" w:rsidRDefault="00F36DAA" w:rsidP="00925F26">
            <w:pPr>
              <w:jc w:val="both"/>
              <w:rPr>
                <w:color w:val="000000" w:themeColor="text1"/>
                <w:sz w:val="16"/>
                <w:szCs w:val="16"/>
              </w:rPr>
            </w:pPr>
            <w:r w:rsidRPr="00925F26">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3BC325D3"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4C5B8979"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2E02140D" w14:textId="77777777" w:rsidR="00F36DAA" w:rsidRPr="00925F26" w:rsidRDefault="00F36DAA" w:rsidP="00925F26">
            <w:pPr>
              <w:jc w:val="both"/>
              <w:rPr>
                <w:color w:val="000000" w:themeColor="text1"/>
                <w:sz w:val="16"/>
                <w:szCs w:val="16"/>
              </w:rPr>
            </w:pPr>
            <w:r w:rsidRPr="00925F26">
              <w:rPr>
                <w:color w:val="000000" w:themeColor="text1"/>
                <w:sz w:val="16"/>
                <w:szCs w:val="16"/>
              </w:rPr>
              <w:t>Стереодальномеры ДМ-1,5 на АВТ</w:t>
            </w:r>
          </w:p>
        </w:tc>
        <w:tc>
          <w:tcPr>
            <w:tcW w:w="850" w:type="dxa"/>
            <w:tcBorders>
              <w:top w:val="outset" w:sz="6" w:space="0" w:color="auto"/>
              <w:left w:val="outset" w:sz="6" w:space="0" w:color="auto"/>
              <w:bottom w:val="outset" w:sz="6" w:space="0" w:color="auto"/>
              <w:right w:val="outset" w:sz="6" w:space="0" w:color="auto"/>
            </w:tcBorders>
            <w:hideMark/>
          </w:tcPr>
          <w:p w14:paraId="20C7F717"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25EE1F5" w14:textId="77777777" w:rsidR="00F36DAA" w:rsidRPr="00925F26" w:rsidRDefault="00F36DAA" w:rsidP="00925F26">
            <w:pPr>
              <w:jc w:val="both"/>
              <w:rPr>
                <w:color w:val="000000" w:themeColor="text1"/>
                <w:sz w:val="16"/>
                <w:szCs w:val="16"/>
              </w:rPr>
            </w:pPr>
            <w:r w:rsidRPr="00925F26">
              <w:rPr>
                <w:color w:val="000000" w:themeColor="text1"/>
                <w:sz w:val="16"/>
                <w:szCs w:val="16"/>
              </w:rPr>
              <w:t>21</w:t>
            </w:r>
          </w:p>
        </w:tc>
        <w:tc>
          <w:tcPr>
            <w:tcW w:w="1275" w:type="dxa"/>
            <w:tcBorders>
              <w:top w:val="outset" w:sz="6" w:space="0" w:color="auto"/>
              <w:left w:val="outset" w:sz="6" w:space="0" w:color="auto"/>
              <w:bottom w:val="outset" w:sz="6" w:space="0" w:color="auto"/>
              <w:right w:val="outset" w:sz="6" w:space="0" w:color="auto"/>
            </w:tcBorders>
            <w:hideMark/>
          </w:tcPr>
          <w:p w14:paraId="7D0F3B1C"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0D124F83"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6EB5BACD" w14:textId="77777777" w:rsidR="00F36DAA" w:rsidRPr="00925F26" w:rsidRDefault="00F36DAA" w:rsidP="00925F26">
            <w:pPr>
              <w:jc w:val="both"/>
              <w:rPr>
                <w:color w:val="000000" w:themeColor="text1"/>
                <w:sz w:val="16"/>
                <w:szCs w:val="16"/>
              </w:rPr>
            </w:pPr>
            <w:r w:rsidRPr="00925F26">
              <w:rPr>
                <w:color w:val="000000" w:themeColor="text1"/>
                <w:sz w:val="16"/>
                <w:szCs w:val="16"/>
              </w:rPr>
              <w:t>Визир центральной наводки ВМЦ-2</w:t>
            </w:r>
          </w:p>
        </w:tc>
        <w:tc>
          <w:tcPr>
            <w:tcW w:w="850" w:type="dxa"/>
            <w:tcBorders>
              <w:top w:val="outset" w:sz="6" w:space="0" w:color="auto"/>
              <w:left w:val="outset" w:sz="6" w:space="0" w:color="auto"/>
              <w:bottom w:val="outset" w:sz="6" w:space="0" w:color="auto"/>
              <w:right w:val="outset" w:sz="6" w:space="0" w:color="auto"/>
            </w:tcBorders>
            <w:hideMark/>
          </w:tcPr>
          <w:p w14:paraId="4CCC2E20"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501271F1" w14:textId="77777777" w:rsidR="00F36DAA" w:rsidRPr="00925F26" w:rsidRDefault="00F36DAA" w:rsidP="00925F26">
            <w:pPr>
              <w:jc w:val="both"/>
              <w:rPr>
                <w:color w:val="000000" w:themeColor="text1"/>
                <w:sz w:val="16"/>
                <w:szCs w:val="16"/>
              </w:rPr>
            </w:pPr>
            <w:r w:rsidRPr="00925F26">
              <w:rPr>
                <w:color w:val="000000" w:themeColor="text1"/>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6EAA0F1A"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5D2DC356"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280F9D5" w14:textId="77777777" w:rsidR="00F36DAA" w:rsidRPr="00925F26" w:rsidRDefault="00F36DAA" w:rsidP="00925F26">
            <w:pPr>
              <w:jc w:val="both"/>
              <w:rPr>
                <w:color w:val="000000" w:themeColor="text1"/>
                <w:sz w:val="16"/>
                <w:szCs w:val="16"/>
              </w:rPr>
            </w:pPr>
            <w:r w:rsidRPr="00925F26">
              <w:rPr>
                <w:color w:val="000000" w:themeColor="text1"/>
                <w:sz w:val="16"/>
                <w:szCs w:val="16"/>
              </w:rPr>
              <w:t>Торпедные инклинометры ПМР-21</w:t>
            </w:r>
          </w:p>
        </w:tc>
        <w:tc>
          <w:tcPr>
            <w:tcW w:w="850" w:type="dxa"/>
            <w:tcBorders>
              <w:top w:val="outset" w:sz="6" w:space="0" w:color="auto"/>
              <w:left w:val="outset" w:sz="6" w:space="0" w:color="auto"/>
              <w:bottom w:val="outset" w:sz="6" w:space="0" w:color="auto"/>
              <w:right w:val="outset" w:sz="6" w:space="0" w:color="auto"/>
            </w:tcBorders>
            <w:hideMark/>
          </w:tcPr>
          <w:p w14:paraId="78FD1E6B"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2184D7FF" w14:textId="77777777" w:rsidR="00F36DAA" w:rsidRPr="00925F26" w:rsidRDefault="00F36DAA" w:rsidP="00925F26">
            <w:pPr>
              <w:jc w:val="both"/>
              <w:rPr>
                <w:color w:val="000000" w:themeColor="text1"/>
                <w:sz w:val="16"/>
                <w:szCs w:val="16"/>
              </w:rPr>
            </w:pPr>
            <w:r w:rsidRPr="00925F26">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005F257C"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599381BC"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3FABAA69" w14:textId="77777777" w:rsidR="00F36DAA" w:rsidRPr="00925F26" w:rsidRDefault="00F36DAA" w:rsidP="00925F26">
            <w:pPr>
              <w:jc w:val="both"/>
              <w:rPr>
                <w:color w:val="000000" w:themeColor="text1"/>
                <w:sz w:val="16"/>
                <w:szCs w:val="16"/>
              </w:rPr>
            </w:pPr>
            <w:r w:rsidRPr="00925F26">
              <w:rPr>
                <w:color w:val="000000" w:themeColor="text1"/>
                <w:sz w:val="16"/>
                <w:szCs w:val="16"/>
              </w:rPr>
              <w:t>Машинки осушки оптики ТОБ</w:t>
            </w:r>
          </w:p>
        </w:tc>
        <w:tc>
          <w:tcPr>
            <w:tcW w:w="850" w:type="dxa"/>
            <w:tcBorders>
              <w:top w:val="outset" w:sz="6" w:space="0" w:color="auto"/>
              <w:left w:val="outset" w:sz="6" w:space="0" w:color="auto"/>
              <w:bottom w:val="outset" w:sz="6" w:space="0" w:color="auto"/>
              <w:right w:val="outset" w:sz="6" w:space="0" w:color="auto"/>
            </w:tcBorders>
            <w:hideMark/>
          </w:tcPr>
          <w:p w14:paraId="37B56326"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44A97CF3" w14:textId="77777777" w:rsidR="00F36DAA" w:rsidRPr="00925F26" w:rsidRDefault="00F36DAA" w:rsidP="00925F26">
            <w:pPr>
              <w:jc w:val="both"/>
              <w:rPr>
                <w:color w:val="000000" w:themeColor="text1"/>
                <w:sz w:val="16"/>
                <w:szCs w:val="16"/>
              </w:rPr>
            </w:pPr>
            <w:r w:rsidRPr="00925F26">
              <w:rPr>
                <w:color w:val="000000" w:themeColor="text1"/>
                <w:sz w:val="16"/>
                <w:szCs w:val="16"/>
              </w:rPr>
              <w:t>8</w:t>
            </w:r>
          </w:p>
        </w:tc>
        <w:tc>
          <w:tcPr>
            <w:tcW w:w="1275" w:type="dxa"/>
            <w:tcBorders>
              <w:top w:val="outset" w:sz="6" w:space="0" w:color="auto"/>
              <w:left w:val="outset" w:sz="6" w:space="0" w:color="auto"/>
              <w:bottom w:val="outset" w:sz="6" w:space="0" w:color="auto"/>
              <w:right w:val="outset" w:sz="6" w:space="0" w:color="auto"/>
            </w:tcBorders>
            <w:hideMark/>
          </w:tcPr>
          <w:p w14:paraId="352B4F71"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4DA9ED8F"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0AE4E16B" w14:textId="77777777" w:rsidR="00F36DAA" w:rsidRPr="00925F26" w:rsidRDefault="00F36DAA" w:rsidP="00925F26">
            <w:pPr>
              <w:jc w:val="both"/>
              <w:rPr>
                <w:color w:val="000000" w:themeColor="text1"/>
                <w:sz w:val="16"/>
                <w:szCs w:val="16"/>
              </w:rPr>
            </w:pPr>
            <w:r w:rsidRPr="00925F26">
              <w:rPr>
                <w:color w:val="000000" w:themeColor="text1"/>
                <w:sz w:val="16"/>
                <w:szCs w:val="16"/>
              </w:rPr>
              <w:t>Перископы:</w:t>
            </w:r>
          </w:p>
        </w:tc>
        <w:tc>
          <w:tcPr>
            <w:tcW w:w="2380" w:type="dxa"/>
            <w:tcBorders>
              <w:top w:val="outset" w:sz="6" w:space="0" w:color="auto"/>
              <w:left w:val="outset" w:sz="6" w:space="0" w:color="auto"/>
              <w:bottom w:val="outset" w:sz="6" w:space="0" w:color="auto"/>
              <w:right w:val="outset" w:sz="6" w:space="0" w:color="auto"/>
            </w:tcBorders>
            <w:hideMark/>
          </w:tcPr>
          <w:p w14:paraId="09A86A5D" w14:textId="77777777" w:rsidR="00F36DAA" w:rsidRPr="00925F26" w:rsidRDefault="00F36DAA" w:rsidP="00925F26">
            <w:pPr>
              <w:jc w:val="both"/>
              <w:rPr>
                <w:color w:val="000000" w:themeColor="text1"/>
                <w:sz w:val="16"/>
                <w:szCs w:val="16"/>
              </w:rPr>
            </w:pPr>
            <w:r w:rsidRPr="00925F26">
              <w:rPr>
                <w:color w:val="000000" w:themeColor="text1"/>
                <w:sz w:val="16"/>
                <w:szCs w:val="16"/>
              </w:rPr>
              <w:t>ПА-9</w:t>
            </w:r>
          </w:p>
        </w:tc>
        <w:tc>
          <w:tcPr>
            <w:tcW w:w="850" w:type="dxa"/>
            <w:tcBorders>
              <w:top w:val="outset" w:sz="6" w:space="0" w:color="auto"/>
              <w:left w:val="outset" w:sz="6" w:space="0" w:color="auto"/>
              <w:bottom w:val="outset" w:sz="6" w:space="0" w:color="auto"/>
              <w:right w:val="outset" w:sz="6" w:space="0" w:color="auto"/>
            </w:tcBorders>
            <w:hideMark/>
          </w:tcPr>
          <w:p w14:paraId="1D0536DF"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C16CE9E" w14:textId="77777777" w:rsidR="00F36DAA" w:rsidRPr="00925F26" w:rsidRDefault="00F36DAA" w:rsidP="00925F26">
            <w:pPr>
              <w:jc w:val="both"/>
              <w:rPr>
                <w:color w:val="000000" w:themeColor="text1"/>
                <w:sz w:val="16"/>
                <w:szCs w:val="16"/>
              </w:rPr>
            </w:pPr>
            <w:r w:rsidRPr="00925F26">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420179C9"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49A9E1FC"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0B0B631D" w14:textId="77777777" w:rsidR="00F36DAA" w:rsidRPr="00925F26" w:rsidRDefault="00F36DAA" w:rsidP="00925F26">
            <w:pPr>
              <w:jc w:val="both"/>
              <w:rPr>
                <w:color w:val="000000" w:themeColor="text1"/>
                <w:sz w:val="16"/>
                <w:szCs w:val="16"/>
              </w:rPr>
            </w:pPr>
          </w:p>
        </w:tc>
        <w:tc>
          <w:tcPr>
            <w:tcW w:w="2380" w:type="dxa"/>
            <w:tcBorders>
              <w:top w:val="outset" w:sz="6" w:space="0" w:color="auto"/>
              <w:left w:val="outset" w:sz="6" w:space="0" w:color="auto"/>
              <w:bottom w:val="outset" w:sz="6" w:space="0" w:color="auto"/>
              <w:right w:val="outset" w:sz="6" w:space="0" w:color="auto"/>
            </w:tcBorders>
            <w:hideMark/>
          </w:tcPr>
          <w:p w14:paraId="4EE6130C" w14:textId="77777777" w:rsidR="00F36DAA" w:rsidRPr="00925F26" w:rsidRDefault="00F36DAA" w:rsidP="00925F26">
            <w:pPr>
              <w:jc w:val="both"/>
              <w:rPr>
                <w:color w:val="000000" w:themeColor="text1"/>
                <w:sz w:val="16"/>
                <w:szCs w:val="16"/>
              </w:rPr>
            </w:pPr>
            <w:r w:rsidRPr="00925F26">
              <w:rPr>
                <w:color w:val="000000" w:themeColor="text1"/>
                <w:sz w:val="16"/>
                <w:szCs w:val="16"/>
              </w:rPr>
              <w:t>ПЗ-9</w:t>
            </w:r>
          </w:p>
        </w:tc>
        <w:tc>
          <w:tcPr>
            <w:tcW w:w="850" w:type="dxa"/>
            <w:tcBorders>
              <w:top w:val="outset" w:sz="6" w:space="0" w:color="auto"/>
              <w:left w:val="outset" w:sz="6" w:space="0" w:color="auto"/>
              <w:bottom w:val="outset" w:sz="6" w:space="0" w:color="auto"/>
              <w:right w:val="outset" w:sz="6" w:space="0" w:color="auto"/>
            </w:tcBorders>
            <w:hideMark/>
          </w:tcPr>
          <w:p w14:paraId="6B758015"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15BFA5D6" w14:textId="77777777" w:rsidR="00F36DAA" w:rsidRPr="00925F26" w:rsidRDefault="00F36DAA" w:rsidP="00925F26">
            <w:pPr>
              <w:jc w:val="both"/>
              <w:rPr>
                <w:color w:val="000000" w:themeColor="text1"/>
                <w:sz w:val="16"/>
                <w:szCs w:val="16"/>
              </w:rPr>
            </w:pPr>
            <w:r w:rsidRPr="00925F26">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7449AE1F"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1D66FA1F"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154F4ACE" w14:textId="77777777" w:rsidR="00F36DAA" w:rsidRPr="00925F26" w:rsidRDefault="00F36DAA" w:rsidP="00925F26">
            <w:pPr>
              <w:jc w:val="both"/>
              <w:rPr>
                <w:color w:val="000000" w:themeColor="text1"/>
                <w:sz w:val="16"/>
                <w:szCs w:val="16"/>
              </w:rPr>
            </w:pPr>
          </w:p>
        </w:tc>
        <w:tc>
          <w:tcPr>
            <w:tcW w:w="2380" w:type="dxa"/>
            <w:tcBorders>
              <w:top w:val="outset" w:sz="6" w:space="0" w:color="auto"/>
              <w:left w:val="outset" w:sz="6" w:space="0" w:color="auto"/>
              <w:bottom w:val="outset" w:sz="6" w:space="0" w:color="auto"/>
              <w:right w:val="outset" w:sz="6" w:space="0" w:color="auto"/>
            </w:tcBorders>
            <w:hideMark/>
          </w:tcPr>
          <w:p w14:paraId="1DF5748A" w14:textId="77777777" w:rsidR="00F36DAA" w:rsidRPr="00925F26" w:rsidRDefault="00F36DAA" w:rsidP="00925F26">
            <w:pPr>
              <w:jc w:val="both"/>
              <w:rPr>
                <w:color w:val="000000" w:themeColor="text1"/>
                <w:sz w:val="16"/>
                <w:szCs w:val="16"/>
              </w:rPr>
            </w:pPr>
            <w:r w:rsidRPr="00925F26">
              <w:rPr>
                <w:color w:val="000000" w:themeColor="text1"/>
                <w:sz w:val="16"/>
                <w:szCs w:val="16"/>
              </w:rPr>
              <w:t>ПА-7,5</w:t>
            </w:r>
          </w:p>
        </w:tc>
        <w:tc>
          <w:tcPr>
            <w:tcW w:w="850" w:type="dxa"/>
            <w:tcBorders>
              <w:top w:val="outset" w:sz="6" w:space="0" w:color="auto"/>
              <w:left w:val="outset" w:sz="6" w:space="0" w:color="auto"/>
              <w:bottom w:val="outset" w:sz="6" w:space="0" w:color="auto"/>
              <w:right w:val="outset" w:sz="6" w:space="0" w:color="auto"/>
            </w:tcBorders>
            <w:hideMark/>
          </w:tcPr>
          <w:p w14:paraId="6C849258"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4EF2D5C" w14:textId="77777777" w:rsidR="00F36DAA" w:rsidRPr="00925F26" w:rsidRDefault="00F36DAA" w:rsidP="00925F26">
            <w:pPr>
              <w:jc w:val="both"/>
              <w:rPr>
                <w:color w:val="000000" w:themeColor="text1"/>
                <w:sz w:val="16"/>
                <w:szCs w:val="16"/>
              </w:rPr>
            </w:pPr>
            <w:r w:rsidRPr="00925F26">
              <w:rPr>
                <w:color w:val="000000" w:themeColor="text1"/>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56ABF1C5"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r w:rsidR="000F5689" w:rsidRPr="00925F26" w14:paraId="030B052B"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2962BCA" w14:textId="77777777" w:rsidR="00F36DAA" w:rsidRPr="00925F26" w:rsidRDefault="00F36DAA" w:rsidP="00925F26">
            <w:pPr>
              <w:jc w:val="both"/>
              <w:rPr>
                <w:color w:val="000000" w:themeColor="text1"/>
                <w:sz w:val="16"/>
                <w:szCs w:val="16"/>
              </w:rPr>
            </w:pPr>
            <w:r w:rsidRPr="00925F26">
              <w:rPr>
                <w:color w:val="000000" w:themeColor="text1"/>
                <w:sz w:val="16"/>
                <w:szCs w:val="16"/>
              </w:rPr>
              <w:t>Оптическая передача магнитного компаса ГОН-23</w:t>
            </w:r>
          </w:p>
        </w:tc>
        <w:tc>
          <w:tcPr>
            <w:tcW w:w="850" w:type="dxa"/>
            <w:tcBorders>
              <w:top w:val="outset" w:sz="6" w:space="0" w:color="auto"/>
              <w:left w:val="outset" w:sz="6" w:space="0" w:color="auto"/>
              <w:bottom w:val="outset" w:sz="6" w:space="0" w:color="auto"/>
              <w:right w:val="outset" w:sz="6" w:space="0" w:color="auto"/>
            </w:tcBorders>
            <w:hideMark/>
          </w:tcPr>
          <w:p w14:paraId="261AA486" w14:textId="77777777" w:rsidR="00F36DAA" w:rsidRPr="00925F26" w:rsidRDefault="00F36DAA" w:rsidP="00925F26">
            <w:pPr>
              <w:jc w:val="both"/>
              <w:rPr>
                <w:color w:val="000000" w:themeColor="text1"/>
                <w:sz w:val="16"/>
                <w:szCs w:val="16"/>
              </w:rPr>
            </w:pPr>
            <w:r w:rsidRPr="00925F26">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7266EBC" w14:textId="77777777" w:rsidR="00F36DAA" w:rsidRPr="00925F26" w:rsidRDefault="00F36DAA" w:rsidP="00925F26">
            <w:pPr>
              <w:jc w:val="both"/>
              <w:rPr>
                <w:color w:val="000000" w:themeColor="text1"/>
                <w:sz w:val="16"/>
                <w:szCs w:val="16"/>
              </w:rPr>
            </w:pPr>
            <w:r w:rsidRPr="00925F26">
              <w:rPr>
                <w:color w:val="000000" w:themeColor="text1"/>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48731C21" w14:textId="77777777" w:rsidR="00F36DAA" w:rsidRPr="00925F26" w:rsidRDefault="00F36DAA" w:rsidP="00925F26">
            <w:pPr>
              <w:jc w:val="both"/>
              <w:rPr>
                <w:color w:val="000000" w:themeColor="text1"/>
                <w:sz w:val="16"/>
                <w:szCs w:val="16"/>
              </w:rPr>
            </w:pPr>
            <w:r w:rsidRPr="00925F26">
              <w:rPr>
                <w:color w:val="000000" w:themeColor="text1"/>
                <w:sz w:val="16"/>
                <w:szCs w:val="16"/>
              </w:rPr>
              <w:t>№ 237</w:t>
            </w:r>
          </w:p>
        </w:tc>
      </w:tr>
    </w:tbl>
    <w:p w14:paraId="58D1FAAB" w14:textId="77777777" w:rsidR="00F36DAA" w:rsidRPr="00925F26" w:rsidRDefault="00F36DAA" w:rsidP="00925F26">
      <w:pPr>
        <w:jc w:val="both"/>
        <w:rPr>
          <w:color w:val="000000" w:themeColor="text1"/>
          <w:sz w:val="16"/>
          <w:szCs w:val="16"/>
        </w:rPr>
      </w:pPr>
      <w:r w:rsidRPr="00925F26">
        <w:rPr>
          <w:color w:val="000000" w:themeColor="text1"/>
          <w:sz w:val="16"/>
          <w:szCs w:val="16"/>
        </w:rPr>
        <w:t>НА РТ. Ф. Р-6600. Оп. 1. Д. 82. Л. 30. Заверенная копия (15494).</w:t>
      </w:r>
    </w:p>
    <w:p w14:paraId="0A8A46DF" w14:textId="77777777" w:rsidR="00F36DAA" w:rsidRPr="00925F26" w:rsidRDefault="00F36DAA" w:rsidP="00925F26">
      <w:pPr>
        <w:jc w:val="both"/>
        <w:rPr>
          <w:color w:val="000000" w:themeColor="text1"/>
          <w:sz w:val="16"/>
          <w:szCs w:val="16"/>
        </w:rPr>
      </w:pPr>
    </w:p>
    <w:p w14:paraId="75CD8DD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9C726C0" w14:textId="77777777" w:rsidR="00665165" w:rsidRPr="00925F26" w:rsidRDefault="00665165" w:rsidP="00925F26">
      <w:pPr>
        <w:autoSpaceDE w:val="0"/>
        <w:autoSpaceDN w:val="0"/>
        <w:adjustRightInd w:val="0"/>
        <w:jc w:val="both"/>
        <w:rPr>
          <w:iCs/>
          <w:color w:val="000000" w:themeColor="text1"/>
          <w:sz w:val="16"/>
          <w:szCs w:val="16"/>
        </w:rPr>
      </w:pPr>
    </w:p>
    <w:p w14:paraId="1826960E" w14:textId="77777777" w:rsidR="00F36DAA" w:rsidRPr="00925F26" w:rsidRDefault="00F36DAA" w:rsidP="00925F26">
      <w:pPr>
        <w:jc w:val="both"/>
        <w:rPr>
          <w:color w:val="000000" w:themeColor="text1"/>
          <w:sz w:val="16"/>
          <w:szCs w:val="16"/>
        </w:rPr>
      </w:pPr>
      <w:r w:rsidRPr="00925F26">
        <w:rPr>
          <w:bCs/>
          <w:color w:val="000000" w:themeColor="text1"/>
          <w:sz w:val="16"/>
          <w:szCs w:val="16"/>
        </w:rPr>
        <w:t>17 марта</w:t>
      </w:r>
      <w:r w:rsidRPr="00925F26">
        <w:rPr>
          <w:color w:val="000000" w:themeColor="text1"/>
          <w:sz w:val="16"/>
          <w:szCs w:val="16"/>
        </w:rPr>
        <w:t xml:space="preserve"> в 1945 году оперативная сводка Совинформбюро:</w:t>
      </w:r>
    </w:p>
    <w:p w14:paraId="1B5745B2" w14:textId="77777777" w:rsidR="00F36DAA" w:rsidRPr="00925F26" w:rsidRDefault="00F36DAA" w:rsidP="00925F26">
      <w:pPr>
        <w:jc w:val="both"/>
        <w:rPr>
          <w:color w:val="000000" w:themeColor="text1"/>
          <w:sz w:val="16"/>
          <w:szCs w:val="16"/>
        </w:rPr>
      </w:pPr>
      <w:r w:rsidRPr="00925F26">
        <w:rPr>
          <w:color w:val="000000" w:themeColor="text1"/>
          <w:sz w:val="16"/>
          <w:szCs w:val="16"/>
        </w:rPr>
        <w:t>«В течение 17 марта юго-западнее Кенигсберга наши войска, продолжая бои по уничтожению Восточно-Прусской группы немцев, заняли населённые пункты Бранденбург, Поплиттен, Першкен, Легниттен, Прауссен, Паннвиц, Ворникам, Фордер-Фройденталь, Дойч Тирау, Бильсхефен. За 16 марта в этом районе взято в плен более 700 немецких солдат и офицеров.</w:t>
      </w:r>
    </w:p>
    <w:p w14:paraId="7E197063" w14:textId="77777777" w:rsidR="00F36DAA" w:rsidRPr="00925F26" w:rsidRDefault="00F36DAA" w:rsidP="00925F26">
      <w:pPr>
        <w:jc w:val="both"/>
        <w:rPr>
          <w:color w:val="000000" w:themeColor="text1"/>
          <w:sz w:val="16"/>
          <w:szCs w:val="16"/>
        </w:rPr>
      </w:pPr>
      <w:r w:rsidRPr="00925F26">
        <w:rPr>
          <w:color w:val="000000" w:themeColor="text1"/>
          <w:sz w:val="16"/>
          <w:szCs w:val="16"/>
        </w:rPr>
        <w:t>На Штеттинском направлении наши войска, продолжая бои по ликвидации плацдарма немцев на восточном берегу Одера, заняли населённые пункты Альтхоф, Берглянд, Вильхельмсфельде, Фрауенхоф, Ретцовсфельде, Фердинанд-Штайн. В боях за 15 и 16 марта войска 1-го Белорусского фронта взяли в плен более 2.000 немецких солдат и офицеров. В числе пленных командир 402-й немецкой пехотной дивизии генерал-лейтенант Шлейниц.</w:t>
      </w:r>
    </w:p>
    <w:p w14:paraId="30F9850B" w14:textId="77777777" w:rsidR="00F36DAA" w:rsidRPr="00925F26" w:rsidRDefault="00F36DAA" w:rsidP="00925F26">
      <w:pPr>
        <w:jc w:val="both"/>
        <w:rPr>
          <w:color w:val="000000" w:themeColor="text1"/>
          <w:sz w:val="16"/>
          <w:szCs w:val="16"/>
        </w:rPr>
      </w:pPr>
      <w:r w:rsidRPr="00925F26">
        <w:rPr>
          <w:color w:val="000000" w:themeColor="text1"/>
          <w:sz w:val="16"/>
          <w:szCs w:val="16"/>
        </w:rPr>
        <w:t>В районе Бреслау продолжались бои по уничтожению окружённой в городе группы войск противника.</w:t>
      </w:r>
    </w:p>
    <w:p w14:paraId="6F71D33B" w14:textId="77777777" w:rsidR="00F36DAA" w:rsidRPr="00925F26" w:rsidRDefault="00F36DAA"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7CC16F46" w14:textId="77777777" w:rsidR="00F36DAA" w:rsidRPr="00925F26" w:rsidRDefault="00F36DAA" w:rsidP="00925F26">
      <w:pPr>
        <w:jc w:val="both"/>
        <w:rPr>
          <w:color w:val="000000" w:themeColor="text1"/>
          <w:sz w:val="16"/>
          <w:szCs w:val="16"/>
        </w:rPr>
      </w:pPr>
      <w:r w:rsidRPr="00925F26">
        <w:rPr>
          <w:color w:val="000000" w:themeColor="text1"/>
          <w:sz w:val="16"/>
          <w:szCs w:val="16"/>
        </w:rPr>
        <w:t>За 16 марта на всех фронтах подбито и уничтожено 113 немецких танков. В воздушных боях и огнём зенитной артиллерии сбито 65 самолётов противника.</w:t>
      </w:r>
    </w:p>
    <w:p w14:paraId="23D6BF8D" w14:textId="77777777" w:rsidR="00F36DAA" w:rsidRPr="00925F26" w:rsidRDefault="00F36DAA" w:rsidP="00925F26">
      <w:pPr>
        <w:jc w:val="both"/>
        <w:rPr>
          <w:color w:val="000000" w:themeColor="text1"/>
          <w:sz w:val="16"/>
          <w:szCs w:val="16"/>
        </w:rPr>
      </w:pPr>
      <w:r w:rsidRPr="00925F26">
        <w:rPr>
          <w:color w:val="000000" w:themeColor="text1"/>
          <w:sz w:val="16"/>
          <w:szCs w:val="16"/>
        </w:rPr>
        <w:t>Налёт нашей авиации на железнодорожный узел Моравска Острава в Чехословакии</w:t>
      </w:r>
    </w:p>
    <w:p w14:paraId="007F4617" w14:textId="77777777" w:rsidR="00F36DAA" w:rsidRPr="00925F26" w:rsidRDefault="00F36DAA" w:rsidP="00925F26">
      <w:pPr>
        <w:jc w:val="both"/>
        <w:rPr>
          <w:color w:val="000000" w:themeColor="text1"/>
          <w:sz w:val="16"/>
          <w:szCs w:val="16"/>
        </w:rPr>
      </w:pPr>
      <w:r w:rsidRPr="00925F26">
        <w:rPr>
          <w:color w:val="000000" w:themeColor="text1"/>
          <w:sz w:val="16"/>
          <w:szCs w:val="16"/>
        </w:rPr>
        <w:t>В ночь на 17 марта наши тяжёлые бомбардировщики нанесли удар по железнодорожному узлу Моравска Острава в Чехословакии. В результате бомбардировки на территории железнодорожного узла возникли пожары, сопровождавшиеся сильными взрывами.</w:t>
      </w:r>
    </w:p>
    <w:p w14:paraId="2DB086DF" w14:textId="77777777" w:rsidR="00F36DAA" w:rsidRPr="00925F26" w:rsidRDefault="00F36DAA"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наступление. Весенняя распутица и неблагоприятные условия погоды затрудняют действия советских частей. Преодолевая ожесточённое сопротивление противника, советские пехотинцы, продвигаясь вдоль железной дороги Кенигсберг — Браунсберг, заняли несколько сильно укреплённых населённых пунктов. Другие наши части, преодолев полосу долговременных укреплений, овладели узлом дорог Дойч Тирау. Отступая, немцы оставили на поле боя тысячи убитых и раненых своих солдат и офицеров. Захвачено и уничтожено 11 танков, 106 полевых орудий, 9 бронетранспортеров и другое вооружение противника.</w:t>
      </w:r>
    </w:p>
    <w:p w14:paraId="6832DA6C" w14:textId="77777777" w:rsidR="00F36DAA" w:rsidRPr="00925F26" w:rsidRDefault="00F36DAA" w:rsidP="00925F26">
      <w:pPr>
        <w:jc w:val="both"/>
        <w:rPr>
          <w:color w:val="000000" w:themeColor="text1"/>
          <w:sz w:val="16"/>
          <w:szCs w:val="16"/>
        </w:rPr>
      </w:pPr>
      <w:r w:rsidRPr="00925F26">
        <w:rPr>
          <w:color w:val="000000" w:themeColor="text1"/>
          <w:sz w:val="16"/>
          <w:szCs w:val="16"/>
        </w:rPr>
        <w:t>Пленные сообщают, что немецкое командование выделило специальные отряды эсэсовцев, которым поручено расстреливать на месте солдат и офицеров, самовольно оставляющих позиции или пытающиеся сдаться в плен. Тем не менее, отмечен ряд случаев, когда группы немцев прекращают сопротивление, бросают оружие и сдаются в плен.</w:t>
      </w:r>
    </w:p>
    <w:p w14:paraId="01F25C88" w14:textId="77777777" w:rsidR="00F36DAA" w:rsidRPr="00925F26" w:rsidRDefault="00F36DAA" w:rsidP="00925F26">
      <w:pPr>
        <w:jc w:val="both"/>
        <w:rPr>
          <w:color w:val="000000" w:themeColor="text1"/>
          <w:sz w:val="16"/>
          <w:szCs w:val="16"/>
        </w:rPr>
      </w:pPr>
      <w:r w:rsidRPr="00925F26">
        <w:rPr>
          <w:color w:val="000000" w:themeColor="text1"/>
          <w:sz w:val="16"/>
          <w:szCs w:val="16"/>
        </w:rPr>
        <w:t>На Штеттинском направлении наши войска продолжали бои по ликвидации плацдарма противника на восточном берегу Одера. Немцы сосредоточили на плацдарме большое количество артиллерии, в том числе тяжёлые зенитные орудия. Сильным огнём и контратаками гитлеровцы стремятся удержать свои позиции. Наши войска, наступающие с севера, заняли несколько населённых пунктов, расположенных на восточном побережье озера Даммшер-Зее. Немцы выбиты го селения Вильхельмсфельде (7 километров северо-восточнее города Альтдамм). Другие наши части, наступающие с юга вдоль восточного берега Одера, сломили упорное сопротивление противника и заняли населённый пункт Фрауенхоф, находящийся в 8 километрах от Штеттина. За день боёв уничтожено более 3 тысяч немецких солдат и офицеров.</w:t>
      </w:r>
    </w:p>
    <w:p w14:paraId="49D48FCB" w14:textId="77777777" w:rsidR="00F36DAA" w:rsidRPr="00925F26" w:rsidRDefault="00F36DAA" w:rsidP="00925F26">
      <w:pPr>
        <w:jc w:val="both"/>
        <w:rPr>
          <w:color w:val="000000" w:themeColor="text1"/>
          <w:sz w:val="16"/>
          <w:szCs w:val="16"/>
        </w:rPr>
      </w:pPr>
      <w:r w:rsidRPr="00925F26">
        <w:rPr>
          <w:color w:val="000000" w:themeColor="text1"/>
          <w:sz w:val="16"/>
          <w:szCs w:val="16"/>
        </w:rPr>
        <w:t>В Бреслау наши войска вели бои по ликвидации окружённого гарнизона противника. Советские штурмовые группы, преодолевая минные заграждения и баррикады, выбивают немцев из дотов и приспособленных для обороны домов. Наши подразделения заняли пригород Лобрюкк (восточный) и вышли к реке Лое. Противник, опираясь на заранее подготовленный рубеж обороны, оказывал упорное сопротивление. Под прикрытием артиллерийского огня советская пехота с хода переправилась через реку Лое и с двух сторон начала штурм крупного авторемонтного завода. В результате упорных боёв, переходивших в рукопашные схватки, очищена от гитлеровцев южная и центральная часть территории завода. На другом участке наши подразделения овладели трамвайным парком и несколькими кварталами. В течение дня противник потерял только убитыми 1.200 солдат и офицеров.</w:t>
      </w:r>
    </w:p>
    <w:p w14:paraId="7A9D3609" w14:textId="77777777" w:rsidR="00F36DAA" w:rsidRPr="00925F26" w:rsidRDefault="00F36DAA" w:rsidP="00925F26">
      <w:pPr>
        <w:jc w:val="both"/>
        <w:rPr>
          <w:color w:val="000000" w:themeColor="text1"/>
          <w:sz w:val="16"/>
          <w:szCs w:val="16"/>
        </w:rPr>
      </w:pPr>
      <w:r w:rsidRPr="00925F26">
        <w:rPr>
          <w:color w:val="000000" w:themeColor="text1"/>
          <w:sz w:val="16"/>
          <w:szCs w:val="16"/>
        </w:rPr>
        <w:t>Окружённому в Бреслау гарнизону немцы пытаются сбрасывать грузы с транспортных самолётов. За последние два дня огнём зенитной артиллерии сбито 10 немецких транспортных самолётов.</w:t>
      </w:r>
    </w:p>
    <w:p w14:paraId="7C2EFF90" w14:textId="77777777" w:rsidR="00F36DAA" w:rsidRPr="00925F26" w:rsidRDefault="00F36DAA" w:rsidP="00925F26">
      <w:pPr>
        <w:jc w:val="both"/>
        <w:rPr>
          <w:color w:val="000000" w:themeColor="text1"/>
          <w:sz w:val="16"/>
          <w:szCs w:val="16"/>
        </w:rPr>
      </w:pPr>
      <w:r w:rsidRPr="00925F26">
        <w:rPr>
          <w:color w:val="000000" w:themeColor="text1"/>
          <w:sz w:val="16"/>
          <w:szCs w:val="16"/>
        </w:rPr>
        <w:t>Наши тяжёлые бомбардировщики вчера нанесли удар по военным объектам противника в городе Бреслау. В результате бомбардировки возникли пожары, среди которых наблюдением отмечено 12 сильных взрывов.</w:t>
      </w:r>
    </w:p>
    <w:p w14:paraId="320F20BD" w14:textId="77777777" w:rsidR="00F36DAA" w:rsidRPr="00925F26" w:rsidRDefault="00F36DAA" w:rsidP="00925F26">
      <w:pPr>
        <w:jc w:val="both"/>
        <w:rPr>
          <w:color w:val="000000" w:themeColor="text1"/>
          <w:sz w:val="16"/>
          <w:szCs w:val="16"/>
        </w:rPr>
      </w:pPr>
      <w:r w:rsidRPr="00925F26">
        <w:rPr>
          <w:color w:val="000000" w:themeColor="text1"/>
          <w:sz w:val="16"/>
          <w:szCs w:val="16"/>
        </w:rPr>
        <w:t>Взятый в плен на 1-м Белорусском фронте командир 1-го немецкого сапёрного полка полковник Генлейн рассказал: «Мой полк подчинялся непосредственно командующему Берлинским военным округом. В последнее время подразделения полка рыли окопы и строили промежуточные оборонительные рубежи. Солдаты работали день и ночь, но все наши труды пропали даром. Окопов и траншей мы накопали очень много, но они нам не понадобились. Советские танки прорвались в наши тылы. Мы очутились в окружении вместе с теми немецкими частями, для которых строили укрепления. Началась безумная паника. Сапёрные подразделения перемешались с пехотой и обозами. Все бежали, бросая вооружение, имущество и личные вещи. Каждый думал лишь о спасении собственной жизни. Я растерял не только полк, но и штаб. Вместе с группой офицеров несколько дней отсиживался в лесу. Потом мы направились на запад, пытаясь пробраться через линию фронта, но эта затея не удалась. Из создавшегося положения был только один выход— сложить оружие. Вместе с сопровождавшими меня майором Дикманом и лейтенантом Ваплером я сдался в плен».</w:t>
      </w:r>
    </w:p>
    <w:p w14:paraId="0967BC05" w14:textId="77777777" w:rsidR="00F36DAA" w:rsidRPr="00925F26" w:rsidRDefault="00F36DAA" w:rsidP="00925F26">
      <w:pPr>
        <w:jc w:val="both"/>
        <w:rPr>
          <w:color w:val="000000" w:themeColor="text1"/>
          <w:sz w:val="16"/>
          <w:szCs w:val="16"/>
        </w:rPr>
      </w:pPr>
      <w:r w:rsidRPr="00925F26">
        <w:rPr>
          <w:color w:val="000000" w:themeColor="text1"/>
          <w:sz w:val="16"/>
          <w:szCs w:val="16"/>
        </w:rPr>
        <w:t>Полковник Генлейн в заключение заявил: «Мне 57 лет. Я профессиональный офицер и в начале войны был уверен, что Германия победит. Катастрофа немецкой армии под Сталинградом поколебала мою веру, а последовавшие затем события разрушили её до основания. Для меня стало ясно, что Германия бесповоротно проиграла войну. Но, признаюсь, такого поражения, какое немецкая армия потерпела за последние месяцы на Восточном фронте, я всё-таки не ожидал. Германия вела много войн и не раз имела неудачи. Однако такого невиданного поражения, такого банкротства немецкой стратегии история Германии ещё не знала» (15071).</w:t>
      </w:r>
    </w:p>
    <w:p w14:paraId="6BA4B89F" w14:textId="77777777" w:rsidR="00F36DAA" w:rsidRPr="00925F26" w:rsidRDefault="00F36DAA" w:rsidP="00925F26">
      <w:pPr>
        <w:jc w:val="both"/>
        <w:rPr>
          <w:color w:val="000000" w:themeColor="text1"/>
          <w:sz w:val="16"/>
          <w:szCs w:val="16"/>
        </w:rPr>
      </w:pPr>
    </w:p>
    <w:p w14:paraId="294B9D6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марта 1945 6-й советский гвардейский механизированный корпус прорвал немецкую оборону и овладел населенным пунктом Штефансдорф. 10-й советский гвардейский танковый корпус форсировал реку Нейсе у Ротхауса и развил наступление на немецкий город Нойштадт (4963 ).</w:t>
      </w:r>
    </w:p>
    <w:p w14:paraId="54E34D9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F238DE4"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марта 1945 г. вышло РАСПОРЯЖЕНИЕ НАЧАЛЬНИКА ШТАБА БТ и МВ КА НАЧАЛЬНИКАМ ШТАБОВ БТ и МВ ФРОНТОВ ПО ВОПРОСУ ИСПОЛЬЗОВАНИЯ ТРОФЕЙНЫХ «ФАУСТПАТРОНОВ» №0792134</w:t>
      </w:r>
    </w:p>
    <w:p w14:paraId="020731FC" w14:textId="77777777" w:rsidR="00324FA8" w:rsidRPr="00925F26" w:rsidRDefault="00324FA8" w:rsidP="00925F26">
      <w:pPr>
        <w:autoSpaceDE w:val="0"/>
        <w:autoSpaceDN w:val="0"/>
        <w:adjustRightInd w:val="0"/>
        <w:jc w:val="both"/>
        <w:rPr>
          <w:color w:val="000000" w:themeColor="text1"/>
          <w:sz w:val="16"/>
          <w:szCs w:val="16"/>
        </w:rPr>
      </w:pPr>
      <w:r w:rsidRPr="00925F26">
        <w:rPr>
          <w:color w:val="000000" w:themeColor="text1"/>
          <w:sz w:val="16"/>
          <w:szCs w:val="16"/>
        </w:rPr>
        <w:t>Для борьбы с танками противника при помощи трофейных «фаустпатронов» в частях и соедине</w:t>
      </w:r>
      <w:r w:rsidRPr="00925F26">
        <w:rPr>
          <w:color w:val="000000" w:themeColor="text1"/>
          <w:sz w:val="16"/>
          <w:szCs w:val="16"/>
        </w:rPr>
        <w:softHyphen/>
        <w:t>ниях 1-й гвардейской ТА созданы специальные отделения (по одному на мотострелковую роту). Для подготовки людей были проведены практические занятия по стрельбе «фаустпатроном».</w:t>
      </w:r>
    </w:p>
    <w:p w14:paraId="69152EF7"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Каждому из состава этого отделения была выдана инструкция (перевод с немецкой инструкции) по правилам использования «фаустпатрона».</w:t>
      </w:r>
    </w:p>
    <w:p w14:paraId="6CB7B031"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Учитывая опыт 1 гв. ТА, Вам необходимо дать соответствующие указания бронетанковым и механизированным войскам по вопросу использования трофейных «фаустпатронов».</w:t>
      </w:r>
    </w:p>
    <w:p w14:paraId="5DEF3F4F"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 опыте использования «фаустпатронов» нашими войсками, а также об опыте борьбы с «фаус</w:t>
      </w:r>
      <w:r w:rsidRPr="00925F26">
        <w:rPr>
          <w:color w:val="000000" w:themeColor="text1"/>
          <w:sz w:val="16"/>
          <w:szCs w:val="16"/>
        </w:rPr>
        <w:softHyphen/>
        <w:t>тпатронами», применяемыми против наших танков, доносить в штаб БТ и МВ КА.</w:t>
      </w:r>
    </w:p>
    <w:p w14:paraId="3E5CAF1D"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w:t>
      </w:r>
      <w:r w:rsidRPr="00925F26">
        <w:rPr>
          <w:color w:val="000000" w:themeColor="text1"/>
          <w:sz w:val="16"/>
          <w:szCs w:val="16"/>
          <w:vertAlign w:val="superscript"/>
        </w:rPr>
        <w:t>1</w:t>
      </w:r>
      <w:r w:rsidRPr="00925F26">
        <w:rPr>
          <w:color w:val="000000" w:themeColor="text1"/>
          <w:sz w:val="16"/>
          <w:szCs w:val="16"/>
        </w:rPr>
        <w:t>: 1. Инструкция по использованию «фаустпатрона» (перевод с немецкого на 2 лис</w:t>
      </w:r>
      <w:r w:rsidRPr="00925F26">
        <w:rPr>
          <w:color w:val="000000" w:themeColor="text1"/>
          <w:sz w:val="16"/>
          <w:szCs w:val="16"/>
        </w:rPr>
        <w:softHyphen/>
        <w:t>тах).</w:t>
      </w:r>
    </w:p>
    <w:p w14:paraId="04B6B737"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Чертеж устройства фаустпатрона на 1 листе.</w:t>
      </w:r>
    </w:p>
    <w:p w14:paraId="709F7DFD"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Начальник штаба БТ и МВ КА генерал-полковник танковых войск М. Соломатин</w:t>
      </w:r>
    </w:p>
    <w:p w14:paraId="31B137EA" w14:textId="77777777" w:rsidR="00324FA8" w:rsidRPr="00925F26" w:rsidRDefault="00324FA8"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w:t>
      </w:r>
    </w:p>
    <w:p w14:paraId="76BAE026" w14:textId="77777777" w:rsidR="00324FA8" w:rsidRPr="00925F26" w:rsidRDefault="00324FA8"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11360. Д. 591. Л. 9. Подлинник (11420).</w:t>
      </w:r>
    </w:p>
    <w:p w14:paraId="7A361154" w14:textId="77777777" w:rsidR="00324FA8" w:rsidRPr="00925F26" w:rsidRDefault="00324FA8" w:rsidP="00925F26">
      <w:pPr>
        <w:autoSpaceDE w:val="0"/>
        <w:autoSpaceDN w:val="0"/>
        <w:adjustRightInd w:val="0"/>
        <w:jc w:val="both"/>
        <w:rPr>
          <w:color w:val="000000" w:themeColor="text1"/>
          <w:sz w:val="16"/>
          <w:szCs w:val="16"/>
        </w:rPr>
      </w:pPr>
    </w:p>
    <w:p w14:paraId="0743C9B7" w14:textId="77777777" w:rsidR="00E31C44" w:rsidRPr="00925F26" w:rsidRDefault="00E31C44" w:rsidP="00925F26">
      <w:pPr>
        <w:autoSpaceDE w:val="0"/>
        <w:autoSpaceDN w:val="0"/>
        <w:adjustRightInd w:val="0"/>
        <w:jc w:val="both"/>
        <w:rPr>
          <w:color w:val="000000" w:themeColor="text1"/>
          <w:sz w:val="16"/>
          <w:szCs w:val="16"/>
        </w:rPr>
      </w:pPr>
      <w:r w:rsidRPr="00925F26">
        <w:rPr>
          <w:color w:val="000000" w:themeColor="text1"/>
          <w:sz w:val="16"/>
          <w:szCs w:val="16"/>
        </w:rPr>
        <w:t>17 марта 1945 г. с согласия президента «Украинской республики» Андрея Ливицкого командующим УНА — «Украинской народной армии» назначен генерал Шандрук. Он предпринял попытку собрать украинские части, даже 25 апреля 1945 г. в воссозданной дивизии «Галичина» провел принятие присяги на верность Украине (17459).</w:t>
      </w:r>
    </w:p>
    <w:p w14:paraId="4E9E313E" w14:textId="77777777" w:rsidR="00E31C44" w:rsidRPr="00925F26" w:rsidRDefault="00E31C44" w:rsidP="00925F26">
      <w:pPr>
        <w:autoSpaceDE w:val="0"/>
        <w:autoSpaceDN w:val="0"/>
        <w:adjustRightInd w:val="0"/>
        <w:jc w:val="both"/>
        <w:rPr>
          <w:color w:val="000000" w:themeColor="text1"/>
          <w:sz w:val="16"/>
          <w:szCs w:val="16"/>
        </w:rPr>
      </w:pPr>
    </w:p>
    <w:p w14:paraId="25D4077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22F484E" w14:textId="77777777" w:rsidR="00665165" w:rsidRPr="00925F26" w:rsidRDefault="00665165" w:rsidP="00925F26">
      <w:pPr>
        <w:autoSpaceDE w:val="0"/>
        <w:autoSpaceDN w:val="0"/>
        <w:adjustRightInd w:val="0"/>
        <w:jc w:val="both"/>
        <w:rPr>
          <w:iCs/>
          <w:color w:val="000000" w:themeColor="text1"/>
          <w:sz w:val="16"/>
          <w:szCs w:val="16"/>
        </w:rPr>
      </w:pPr>
    </w:p>
    <w:p w14:paraId="7AF5B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Постановление ГКО № 7862 Об оказании помощи по восстановлению г. Варшавы. РГАНИР, Фонд ГКО, д. 382, лл. 125-132 (11012).</w:t>
      </w:r>
    </w:p>
    <w:p w14:paraId="4079063C" w14:textId="77777777" w:rsidR="00665165" w:rsidRPr="00925F26" w:rsidRDefault="00665165" w:rsidP="00925F26">
      <w:pPr>
        <w:autoSpaceDE w:val="0"/>
        <w:autoSpaceDN w:val="0"/>
        <w:adjustRightInd w:val="0"/>
        <w:jc w:val="both"/>
        <w:rPr>
          <w:color w:val="000000" w:themeColor="text1"/>
          <w:sz w:val="16"/>
          <w:szCs w:val="16"/>
        </w:rPr>
      </w:pPr>
    </w:p>
    <w:p w14:paraId="7DF0F4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1945 вышло Постановление ГКО № 7863 Об экономической миссии при Временном Польском правительстве. РГАНИР, Фонд ГКО, д. 382, лл. 133-134 (11012).</w:t>
      </w:r>
    </w:p>
    <w:p w14:paraId="1FE2AD60" w14:textId="77777777" w:rsidR="00665165" w:rsidRPr="00925F26" w:rsidRDefault="00665165" w:rsidP="00925F26">
      <w:pPr>
        <w:autoSpaceDE w:val="0"/>
        <w:autoSpaceDN w:val="0"/>
        <w:adjustRightInd w:val="0"/>
        <w:jc w:val="both"/>
        <w:rPr>
          <w:color w:val="000000" w:themeColor="text1"/>
          <w:sz w:val="16"/>
          <w:szCs w:val="16"/>
        </w:rPr>
      </w:pPr>
    </w:p>
    <w:p w14:paraId="562201E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1B1014B" w14:textId="77777777" w:rsidR="00665165" w:rsidRPr="00925F26" w:rsidRDefault="00665165" w:rsidP="00925F26">
      <w:pPr>
        <w:autoSpaceDE w:val="0"/>
        <w:autoSpaceDN w:val="0"/>
        <w:adjustRightInd w:val="0"/>
        <w:jc w:val="both"/>
        <w:rPr>
          <w:iCs/>
          <w:color w:val="000000" w:themeColor="text1"/>
          <w:sz w:val="16"/>
          <w:szCs w:val="16"/>
        </w:rPr>
      </w:pPr>
    </w:p>
    <w:p w14:paraId="2E8B816C" w14:textId="77777777" w:rsidR="00F36DAA" w:rsidRPr="00925F26" w:rsidRDefault="00F36DAA" w:rsidP="00925F26">
      <w:pPr>
        <w:jc w:val="both"/>
        <w:rPr>
          <w:color w:val="000000" w:themeColor="text1"/>
          <w:sz w:val="16"/>
          <w:szCs w:val="16"/>
        </w:rPr>
      </w:pPr>
      <w:r w:rsidRPr="00925F26">
        <w:rPr>
          <w:bCs/>
          <w:color w:val="000000" w:themeColor="text1"/>
          <w:sz w:val="16"/>
          <w:szCs w:val="16"/>
        </w:rPr>
        <w:t>17 марта</w:t>
      </w:r>
      <w:r w:rsidRPr="00925F26">
        <w:rPr>
          <w:color w:val="000000" w:themeColor="text1"/>
          <w:sz w:val="16"/>
          <w:szCs w:val="16"/>
        </w:rPr>
        <w:t xml:space="preserve"> в 1945 году ракетная часть SS О. 500 расположенная в Нидерландах начала обстрел ракетами "A-4"/SS-1/Scunner/ (Фау-2) Ремагенского моста, захваченного союзниками. По мосту было пущено 11 ракет, самое близкое попадание к мосту составило 300 метров, в результате попадания в здание около моста было убито 3 и ранено 15 американских солдат. От сотрясения, вызванными ракетными бомбардировками, сильно поврежденный до этого, мост все-таки рухнул. Единственны известный случай, в истории применения ракеты "А-4" по точечному объекту (15071).</w:t>
      </w:r>
    </w:p>
    <w:p w14:paraId="38F0EAB8" w14:textId="77777777" w:rsidR="00F36DAA" w:rsidRPr="00925F26" w:rsidRDefault="00F36DAA" w:rsidP="00925F26">
      <w:pPr>
        <w:jc w:val="both"/>
        <w:rPr>
          <w:color w:val="000000" w:themeColor="text1"/>
          <w:sz w:val="16"/>
          <w:szCs w:val="16"/>
        </w:rPr>
      </w:pPr>
    </w:p>
    <w:p w14:paraId="0D69708F" w14:textId="77777777" w:rsidR="00F36DAA" w:rsidRPr="00925F26" w:rsidRDefault="00F36DAA" w:rsidP="00925F26">
      <w:pPr>
        <w:jc w:val="both"/>
        <w:rPr>
          <w:color w:val="000000" w:themeColor="text1"/>
          <w:sz w:val="16"/>
          <w:szCs w:val="16"/>
        </w:rPr>
      </w:pPr>
      <w:r w:rsidRPr="00925F26">
        <w:rPr>
          <w:bCs/>
          <w:color w:val="000000" w:themeColor="text1"/>
          <w:sz w:val="16"/>
          <w:szCs w:val="16"/>
        </w:rPr>
        <w:t>17 марта</w:t>
      </w:r>
      <w:r w:rsidRPr="00925F26">
        <w:rPr>
          <w:color w:val="000000" w:themeColor="text1"/>
          <w:sz w:val="16"/>
          <w:szCs w:val="16"/>
        </w:rPr>
        <w:t xml:space="preserve"> в 1945 году попытки рейхсминистра иностранных дел Германии фон Риббентропа начать мирные переговоры с западными союзниками через своего представителя в Стокгольме (15071).</w:t>
      </w:r>
    </w:p>
    <w:p w14:paraId="210FDE04" w14:textId="77777777" w:rsidR="00F36DAA" w:rsidRPr="00925F26" w:rsidRDefault="00F36DAA" w:rsidP="00925F26">
      <w:pPr>
        <w:jc w:val="both"/>
        <w:rPr>
          <w:color w:val="000000" w:themeColor="text1"/>
          <w:sz w:val="16"/>
          <w:szCs w:val="16"/>
        </w:rPr>
      </w:pPr>
    </w:p>
    <w:p w14:paraId="78C4FE8A" w14:textId="77777777" w:rsidR="00E31C44" w:rsidRPr="00925F26" w:rsidRDefault="00E31C44" w:rsidP="00925F26">
      <w:pPr>
        <w:jc w:val="both"/>
        <w:rPr>
          <w:color w:val="000000" w:themeColor="text1"/>
          <w:sz w:val="16"/>
          <w:szCs w:val="16"/>
        </w:rPr>
      </w:pPr>
      <w:r w:rsidRPr="00925F26">
        <w:rPr>
          <w:color w:val="000000" w:themeColor="text1"/>
          <w:sz w:val="16"/>
          <w:szCs w:val="16"/>
        </w:rPr>
        <w:t>17 марта</w:t>
      </w:r>
      <w:r w:rsidRPr="00925F26">
        <w:rPr>
          <w:bCs/>
          <w:color w:val="000000" w:themeColor="text1"/>
          <w:sz w:val="16"/>
          <w:szCs w:val="16"/>
        </w:rPr>
        <w:t xml:space="preserve"> 1945 в Швейцарию прибыл Парилли, уведомивший о том, что Вольф со свитой прибудет на границу рано утром 19-го. Он сообщил также, что вместо Кессельринга на посту командующего немецкими войсками в Италии стал генерал фон Фитингоф, которого Вольф считает своим другом. Были приняты все меры предосторожности, чтобы оградить прибывающих на тайные переговоры нацистов от опасности. Было решено, что с границы группу Вольфа доставят в автомобиле в частный дом в Лугано. Нацисты войдут в дом, машина уедет, а они через черный ход покинут его и на машинах, принадлежащих УСС, отправятся в Аскону. </w:t>
      </w:r>
      <w:r w:rsidRPr="00925F26">
        <w:rPr>
          <w:color w:val="000000" w:themeColor="text1"/>
          <w:sz w:val="16"/>
          <w:szCs w:val="16"/>
        </w:rPr>
        <w:t>19 марта</w:t>
      </w:r>
      <w:r w:rsidRPr="00925F26">
        <w:rPr>
          <w:bCs/>
          <w:color w:val="000000" w:themeColor="text1"/>
          <w:sz w:val="16"/>
          <w:szCs w:val="16"/>
        </w:rPr>
        <w:t xml:space="preserve"> группа сотрудников УСС, разбившись на двойки и тройки, на разных поездах направилась из Берна в Аскону. Вольф и сопровождающие его лица прибыли из Лугано вскоре после одиннадцати (17459).</w:t>
      </w:r>
    </w:p>
    <w:p w14:paraId="3865F217" w14:textId="77777777" w:rsidR="00E31C44" w:rsidRPr="00925F26" w:rsidRDefault="00E31C44" w:rsidP="00925F26">
      <w:pPr>
        <w:jc w:val="both"/>
        <w:rPr>
          <w:color w:val="000000" w:themeColor="text1"/>
          <w:sz w:val="16"/>
          <w:szCs w:val="16"/>
        </w:rPr>
      </w:pPr>
    </w:p>
    <w:p w14:paraId="3A051CD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17th, 1945: The US Third Army (Patton) captures Koblenz on the Rhine. The Ludendorff bridge at Remagen, seized by US troops on March 7, suddenly collapses, killing dozens of US Army engineers working to reenforce it (3819).</w:t>
      </w:r>
    </w:p>
    <w:p w14:paraId="7131598C" w14:textId="77777777" w:rsidR="00665165" w:rsidRPr="00925F26" w:rsidRDefault="00665165" w:rsidP="00925F26">
      <w:pPr>
        <w:autoSpaceDE w:val="0"/>
        <w:autoSpaceDN w:val="0"/>
        <w:adjustRightInd w:val="0"/>
        <w:jc w:val="both"/>
        <w:rPr>
          <w:color w:val="000000" w:themeColor="text1"/>
          <w:sz w:val="16"/>
          <w:szCs w:val="16"/>
          <w:lang w:val="en-US"/>
        </w:rPr>
      </w:pPr>
    </w:p>
    <w:p w14:paraId="0D4535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марта 3А США (Паттон) захватила Кобленц на Рейне. Войска Мост Людендорфа у Ремагена, захваченный 7 марта, неожиданно сломался, убив десятки рабочих и инженеров, работающих над его укреплением (3819).</w:t>
      </w:r>
    </w:p>
    <w:p w14:paraId="3312761E" w14:textId="77777777" w:rsidR="00665165" w:rsidRPr="00925F26" w:rsidRDefault="00665165" w:rsidP="00925F26">
      <w:pPr>
        <w:autoSpaceDE w:val="0"/>
        <w:autoSpaceDN w:val="0"/>
        <w:adjustRightInd w:val="0"/>
        <w:jc w:val="both"/>
        <w:rPr>
          <w:color w:val="000000" w:themeColor="text1"/>
          <w:sz w:val="16"/>
          <w:szCs w:val="16"/>
        </w:rPr>
      </w:pPr>
    </w:p>
    <w:p w14:paraId="664A30AB" w14:textId="77777777" w:rsidR="00E31C44" w:rsidRPr="00925F26" w:rsidRDefault="00E31C44" w:rsidP="00925F26">
      <w:pPr>
        <w:shd w:val="clear" w:color="auto" w:fill="FFFFFF"/>
        <w:jc w:val="both"/>
        <w:rPr>
          <w:color w:val="000000" w:themeColor="text1"/>
          <w:sz w:val="16"/>
          <w:szCs w:val="16"/>
        </w:rPr>
      </w:pPr>
      <w:r w:rsidRPr="00925F26">
        <w:rPr>
          <w:color w:val="000000" w:themeColor="text1"/>
          <w:sz w:val="16"/>
          <w:szCs w:val="16"/>
        </w:rPr>
        <w:t>17 — 18 марта 1945 г. была неудачная немецких саперов при подрыве моста через Рейн (</w:t>
      </w:r>
      <w:r w:rsidRPr="00925F26">
        <w:rPr>
          <w:bCs/>
          <w:iCs/>
          <w:color w:val="000000" w:themeColor="text1"/>
          <w:sz w:val="16"/>
          <w:szCs w:val="16"/>
        </w:rPr>
        <w:t>К.Типпельскирх «История Второй мировой войны», М., «АСТ», 1999):</w:t>
      </w:r>
    </w:p>
    <w:p w14:paraId="4739ECCF" w14:textId="77777777" w:rsidR="00E31C44" w:rsidRPr="00925F26" w:rsidRDefault="00E31C44" w:rsidP="00925F26">
      <w:pPr>
        <w:shd w:val="clear" w:color="auto" w:fill="FFFFFF"/>
        <w:jc w:val="both"/>
        <w:rPr>
          <w:color w:val="000000" w:themeColor="text1"/>
          <w:sz w:val="16"/>
          <w:szCs w:val="16"/>
        </w:rPr>
      </w:pPr>
      <w:r w:rsidRPr="00925F26">
        <w:rPr>
          <w:bCs/>
          <w:color w:val="000000" w:themeColor="text1"/>
          <w:sz w:val="16"/>
          <w:szCs w:val="16"/>
        </w:rPr>
        <w:t xml:space="preserve">«Немецкие саперные группы и командовавшие ими офицеры должны были решать явно нелегкую задачу. В интересах переброски возможно большего количества живой силы и техники мосты через Рейн необходимо было взрывать лишь в последнюю минуту. Но и подрывные заряды приходилось помещать как можно позже, чтобы они не детонировали преждевременно из-за непрерывных разрывов бомб противника. В районе Ремагена немецкие саперы-ландштурмовцы именно во время этих действий подверглись внезапному нападению танков противника и вынуждены были уйти в укрытие. Несмотря на всевозможные предупредительные меры, это была одна из тех неувязок, с которыми всегда приходится считаться на войне, а в подобной хаотической обстановке – </w:t>
      </w:r>
      <w:proofErr w:type="gramStart"/>
      <w:r w:rsidRPr="00925F26">
        <w:rPr>
          <w:bCs/>
          <w:color w:val="000000" w:themeColor="text1"/>
          <w:sz w:val="16"/>
          <w:szCs w:val="16"/>
        </w:rPr>
        <w:t>больше</w:t>
      </w:r>
      <w:proofErr w:type="gramEnd"/>
      <w:r w:rsidRPr="00925F26">
        <w:rPr>
          <w:bCs/>
          <w:color w:val="000000" w:themeColor="text1"/>
          <w:sz w:val="16"/>
          <w:szCs w:val="16"/>
        </w:rPr>
        <w:t xml:space="preserve"> чем когда бы то ни было. К несчастью, такая неувязка произошла с одним из рейнских мостов.</w:t>
      </w:r>
    </w:p>
    <w:p w14:paraId="143E8F21" w14:textId="77777777" w:rsidR="00E31C44" w:rsidRPr="00925F26" w:rsidRDefault="00E31C44" w:rsidP="00925F26">
      <w:pPr>
        <w:shd w:val="clear" w:color="auto" w:fill="FFFFFF"/>
        <w:jc w:val="both"/>
        <w:rPr>
          <w:color w:val="000000" w:themeColor="text1"/>
          <w:sz w:val="16"/>
          <w:szCs w:val="16"/>
        </w:rPr>
      </w:pPr>
      <w:r w:rsidRPr="00925F26">
        <w:rPr>
          <w:bCs/>
          <w:color w:val="000000" w:themeColor="text1"/>
          <w:sz w:val="16"/>
          <w:szCs w:val="16"/>
        </w:rPr>
        <w:t xml:space="preserve">Это событие произвело в лагере обоих противников эффект разорвавшейся бомбы. Американский командующий армией, которому было еще не ясно, входил </w:t>
      </w:r>
      <w:proofErr w:type="gramStart"/>
      <w:r w:rsidRPr="00925F26">
        <w:rPr>
          <w:bCs/>
          <w:color w:val="000000" w:themeColor="text1"/>
          <w:sz w:val="16"/>
          <w:szCs w:val="16"/>
        </w:rPr>
        <w:t>ли несомненно</w:t>
      </w:r>
      <w:proofErr w:type="gramEnd"/>
      <w:r w:rsidRPr="00925F26">
        <w:rPr>
          <w:bCs/>
          <w:color w:val="000000" w:themeColor="text1"/>
          <w:sz w:val="16"/>
          <w:szCs w:val="16"/>
        </w:rPr>
        <w:t xml:space="preserve"> предстоящий на этом участке бой в расчеты высшего командования, запросил Эйзенхауэра, как действовать дальше. В ответ он немедленно получил приказ ввести несколько дивизий в направлении на Ремаген и любыми средствами удерживать и расширять захваченный между тем небольшой плацдарм. Катастрофическое положение немцев усугубилось еще тем, что нигде под рукой не было достаточных сил, чтобы, предприняв контратаку, отбросить американцев за реку. Прошло много драгоценных часов, прежде чем к плацдарму подошло первое сильное немецкое соединение – 11-я танковая дивизия, только что переправившаяся через Рейн у Кёльна. За это время американцы успели уже настолько закрепиться, что все попытки ликвидировать плацдарм провалились. Не большим успехом увенчались и предпринятые в последующие решающие дни попытки разрушить мост дальнобойной артиллерией и налетами авиации. Когда в результате всего этого </w:t>
      </w:r>
      <w:r w:rsidRPr="00925F26">
        <w:rPr>
          <w:color w:val="000000" w:themeColor="text1"/>
          <w:sz w:val="16"/>
          <w:szCs w:val="16"/>
        </w:rPr>
        <w:t>17 марта (1945)</w:t>
      </w:r>
      <w:r w:rsidRPr="00925F26">
        <w:rPr>
          <w:bCs/>
          <w:color w:val="000000" w:themeColor="text1"/>
          <w:sz w:val="16"/>
          <w:szCs w:val="16"/>
        </w:rPr>
        <w:t xml:space="preserve"> поврежденный бык рухнул, увлекая за собой полотно моста, американцы уже навели через Рейн временный мост. Ярость Гитлера по поводу потери моста не знала границ. Все, на кого только можно было возложить хоть какую-нибудь ответственность за опоздание с подрывом или за непринятие немедленных решительных контрмер против захвата противником плацдарма, предстали перед специально для этой цели назначенным военно-полевым судом под председательством некоего генерала Хюбнера, обладавшего неограниченными полномочиями. Этот суд предназначался исключительно для утоления жажды мести Гитлера, причем исключалось всякое упорядоченное, соответствующее законоположению разбирательство, и многие офицеры были приговорены к расстрелу за якобы проявленные перед лицом противника бездействие и трусость (17459).</w:t>
      </w:r>
    </w:p>
    <w:p w14:paraId="3F0594DE" w14:textId="77777777" w:rsidR="00E31C44" w:rsidRPr="00925F26" w:rsidRDefault="00E31C44" w:rsidP="00925F26">
      <w:pPr>
        <w:autoSpaceDE w:val="0"/>
        <w:autoSpaceDN w:val="0"/>
        <w:adjustRightInd w:val="0"/>
        <w:jc w:val="both"/>
        <w:rPr>
          <w:color w:val="000000" w:themeColor="text1"/>
          <w:sz w:val="16"/>
          <w:szCs w:val="16"/>
        </w:rPr>
      </w:pPr>
    </w:p>
    <w:p w14:paraId="542CE51C" w14:textId="77777777" w:rsidR="00AB62EF" w:rsidRPr="00925F26" w:rsidRDefault="00AB62EF" w:rsidP="00925F26">
      <w:pPr>
        <w:autoSpaceDE w:val="0"/>
        <w:autoSpaceDN w:val="0"/>
        <w:adjustRightInd w:val="0"/>
        <w:jc w:val="both"/>
        <w:rPr>
          <w:color w:val="000000" w:themeColor="text1"/>
          <w:sz w:val="16"/>
          <w:szCs w:val="16"/>
        </w:rPr>
      </w:pPr>
      <w:r w:rsidRPr="00925F26">
        <w:rPr>
          <w:color w:val="000000" w:themeColor="text1"/>
          <w:sz w:val="16"/>
          <w:szCs w:val="16"/>
        </w:rPr>
        <w:t>17 марта 1945 г. в политических целях временное просоветское национальное правительство Венгрии декретом от отменило в Венгрии помещичье землевладение, и отдала более половины изъятой земли в пользование 600 тыс. крестьян (17459).</w:t>
      </w:r>
    </w:p>
    <w:p w14:paraId="595E428E" w14:textId="77777777" w:rsidR="00AB62EF" w:rsidRPr="00925F26" w:rsidRDefault="00AB62EF" w:rsidP="00925F26">
      <w:pPr>
        <w:autoSpaceDE w:val="0"/>
        <w:autoSpaceDN w:val="0"/>
        <w:adjustRightInd w:val="0"/>
        <w:jc w:val="both"/>
        <w:rPr>
          <w:color w:val="000000" w:themeColor="text1"/>
          <w:sz w:val="16"/>
          <w:szCs w:val="16"/>
        </w:rPr>
      </w:pPr>
    </w:p>
    <w:p w14:paraId="102C2432" w14:textId="77777777" w:rsidR="00F36DAA" w:rsidRPr="00925F26" w:rsidRDefault="00F36DAA" w:rsidP="00925F26">
      <w:pPr>
        <w:jc w:val="both"/>
        <w:rPr>
          <w:color w:val="000000" w:themeColor="text1"/>
          <w:sz w:val="16"/>
          <w:szCs w:val="16"/>
        </w:rPr>
      </w:pPr>
      <w:r w:rsidRPr="00925F26">
        <w:rPr>
          <w:bCs/>
          <w:color w:val="000000" w:themeColor="text1"/>
          <w:sz w:val="16"/>
          <w:szCs w:val="16"/>
        </w:rPr>
        <w:t>17 марта</w:t>
      </w:r>
      <w:r w:rsidRPr="00925F26">
        <w:rPr>
          <w:color w:val="000000" w:themeColor="text1"/>
          <w:sz w:val="16"/>
          <w:szCs w:val="16"/>
        </w:rPr>
        <w:t xml:space="preserve"> в 1945 году 331 американский сверхмощный бомбардировщик "Летающие крепости" совершают налет на японский город Кобе. Сбрасывается 2 500 тонн зажигательных бомб. 331 бомбардировщик «В-29» выжгли 8 квадратных километров городских кварталов (15071).</w:t>
      </w:r>
    </w:p>
    <w:p w14:paraId="08754724" w14:textId="77777777" w:rsidR="00F36DAA" w:rsidRPr="00925F26" w:rsidRDefault="00F36DAA" w:rsidP="00925F26">
      <w:pPr>
        <w:jc w:val="both"/>
        <w:rPr>
          <w:color w:val="000000" w:themeColor="text1"/>
          <w:sz w:val="16"/>
          <w:szCs w:val="16"/>
        </w:rPr>
      </w:pPr>
    </w:p>
    <w:p w14:paraId="1636F3AB" w14:textId="77777777" w:rsidR="00F36DAA" w:rsidRPr="00925F26" w:rsidRDefault="00F36DAA" w:rsidP="00925F26">
      <w:pPr>
        <w:jc w:val="both"/>
        <w:rPr>
          <w:color w:val="000000" w:themeColor="text1"/>
          <w:sz w:val="16"/>
          <w:szCs w:val="16"/>
        </w:rPr>
      </w:pPr>
      <w:r w:rsidRPr="00925F26">
        <w:rPr>
          <w:bCs/>
          <w:color w:val="000000" w:themeColor="text1"/>
          <w:sz w:val="16"/>
          <w:szCs w:val="16"/>
        </w:rPr>
        <w:t>17 марта</w:t>
      </w:r>
      <w:r w:rsidRPr="00925F26">
        <w:rPr>
          <w:color w:val="000000" w:themeColor="text1"/>
          <w:sz w:val="16"/>
          <w:szCs w:val="16"/>
        </w:rPr>
        <w:t xml:space="preserve"> в 1945 году представитель Чан Кай-ши Мяо Бин прибыл в Токио и передал принцу Хигасикуни лично для императора Хирохито послание Чан Кай-ши, в котором лидер Китая выражал пожелание заключить мир с Японией. Условием мира должен был стать вывод японских войск из Китая и начало переговоров о Маньчжурии (15071).</w:t>
      </w:r>
    </w:p>
    <w:p w14:paraId="552E9474" w14:textId="77777777" w:rsidR="00F36DAA" w:rsidRPr="00925F26" w:rsidRDefault="00F36DAA" w:rsidP="00925F26">
      <w:pPr>
        <w:jc w:val="both"/>
        <w:rPr>
          <w:color w:val="000000" w:themeColor="text1"/>
          <w:sz w:val="16"/>
          <w:szCs w:val="16"/>
        </w:rPr>
      </w:pPr>
    </w:p>
    <w:p w14:paraId="248D34B5" w14:textId="77777777" w:rsidR="007B38E4" w:rsidRPr="00925F26" w:rsidRDefault="007B38E4" w:rsidP="00925F26">
      <w:pPr>
        <w:jc w:val="both"/>
        <w:rPr>
          <w:color w:val="000000" w:themeColor="text1"/>
          <w:sz w:val="16"/>
          <w:szCs w:val="16"/>
        </w:rPr>
      </w:pPr>
      <w:r w:rsidRPr="00925F26">
        <w:rPr>
          <w:color w:val="000000" w:themeColor="text1"/>
          <w:sz w:val="16"/>
          <w:szCs w:val="16"/>
        </w:rPr>
        <w:t>17 марта 1945 американский актер Бобби Хатчинс, проходящий военную службу в ВВС США, погиб в результате столкновения в воздухе двух тренировочных самолетов AT-6 Texan на аэродроме армии Мерсед в Мерседе, Калифорния. Другой пилот выживает (20371).</w:t>
      </w:r>
    </w:p>
    <w:p w14:paraId="582BBD73" w14:textId="77777777" w:rsidR="007B38E4" w:rsidRPr="00925F26" w:rsidRDefault="007B38E4" w:rsidP="00925F26">
      <w:pPr>
        <w:jc w:val="both"/>
        <w:rPr>
          <w:color w:val="000000" w:themeColor="text1"/>
          <w:sz w:val="16"/>
          <w:szCs w:val="16"/>
        </w:rPr>
      </w:pPr>
    </w:p>
    <w:p w14:paraId="7701FBDB" w14:textId="77777777" w:rsidR="00E31C44" w:rsidRPr="00925F26" w:rsidRDefault="00E31C44" w:rsidP="00925F26">
      <w:pPr>
        <w:jc w:val="both"/>
        <w:rPr>
          <w:color w:val="000000" w:themeColor="text1"/>
          <w:sz w:val="16"/>
          <w:szCs w:val="16"/>
        </w:rPr>
      </w:pPr>
      <w:r w:rsidRPr="00925F26">
        <w:rPr>
          <w:color w:val="000000" w:themeColor="text1"/>
          <w:sz w:val="16"/>
          <w:szCs w:val="16"/>
        </w:rPr>
        <w:t>17 марта 1945 г. Аргентина объявила войну Германии и Японии. Решение едва ли не последнее среди стран мира. Причина в прогерманской ориентации правящих кругов Аргентины (17459).</w:t>
      </w:r>
    </w:p>
    <w:p w14:paraId="2227F8F8" w14:textId="77777777" w:rsidR="00E31C44" w:rsidRPr="00925F26" w:rsidRDefault="00E31C44" w:rsidP="00925F26">
      <w:pPr>
        <w:jc w:val="both"/>
        <w:rPr>
          <w:color w:val="000000" w:themeColor="text1"/>
          <w:sz w:val="16"/>
          <w:szCs w:val="16"/>
        </w:rPr>
      </w:pPr>
    </w:p>
    <w:p w14:paraId="7287180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3B1F839" w14:textId="77777777" w:rsidR="00665165" w:rsidRPr="00925F26" w:rsidRDefault="00665165" w:rsidP="00925F26">
      <w:pPr>
        <w:autoSpaceDE w:val="0"/>
        <w:autoSpaceDN w:val="0"/>
        <w:adjustRightInd w:val="0"/>
        <w:jc w:val="both"/>
        <w:rPr>
          <w:iCs/>
          <w:color w:val="000000" w:themeColor="text1"/>
          <w:sz w:val="16"/>
          <w:szCs w:val="16"/>
        </w:rPr>
      </w:pPr>
    </w:p>
    <w:p w14:paraId="1141FF67" w14:textId="77777777" w:rsidR="00A5033B" w:rsidRPr="001A0BAA" w:rsidRDefault="00A5033B" w:rsidP="00A5033B">
      <w:pPr>
        <w:jc w:val="both"/>
        <w:rPr>
          <w:color w:val="0070C0"/>
          <w:sz w:val="16"/>
          <w:szCs w:val="16"/>
        </w:rPr>
      </w:pPr>
      <w:r w:rsidRPr="001A0BAA">
        <w:rPr>
          <w:color w:val="0070C0"/>
          <w:sz w:val="16"/>
          <w:szCs w:val="16"/>
        </w:rPr>
        <w:t>18 марта 1945 года облетали Ту-2 № 716</w:t>
      </w:r>
      <w:r w:rsidRPr="001A0BAA">
        <w:rPr>
          <w:color w:val="0070C0"/>
          <w:sz w:val="16"/>
          <w:szCs w:val="16"/>
        </w:rPr>
        <w:noBreakHyphen/>
        <w:t>й, на который установили двигатели АШ</w:t>
      </w:r>
      <w:r w:rsidRPr="001A0BAA">
        <w:rPr>
          <w:color w:val="0070C0"/>
          <w:sz w:val="16"/>
          <w:szCs w:val="16"/>
        </w:rPr>
        <w:noBreakHyphen/>
        <w:t xml:space="preserve">83ФН мощностью 1900 </w:t>
      </w:r>
      <w:proofErr w:type="gramStart"/>
      <w:r w:rsidRPr="001A0BAA">
        <w:rPr>
          <w:color w:val="0070C0"/>
          <w:sz w:val="16"/>
          <w:szCs w:val="16"/>
        </w:rPr>
        <w:t>л.с..</w:t>
      </w:r>
      <w:proofErr w:type="gramEnd"/>
      <w:r w:rsidRPr="001A0BAA">
        <w:rPr>
          <w:color w:val="0070C0"/>
          <w:sz w:val="16"/>
          <w:szCs w:val="16"/>
        </w:rPr>
        <w:t xml:space="preserve"> Главным пилотом</w:t>
      </w:r>
      <w:r w:rsidRPr="001A0BAA">
        <w:rPr>
          <w:color w:val="0070C0"/>
          <w:sz w:val="16"/>
          <w:szCs w:val="16"/>
        </w:rPr>
        <w:noBreakHyphen/>
        <w:t>исследователем был А.Д. Перелет, а главным инженером – М.М. Егоров. На испытаниях самолет показал следующие характеристики:</w:t>
      </w:r>
    </w:p>
    <w:p w14:paraId="2BEFC0BA" w14:textId="77777777" w:rsidR="00A5033B" w:rsidRPr="001A0BAA" w:rsidRDefault="00A5033B" w:rsidP="00A5033B">
      <w:pPr>
        <w:jc w:val="both"/>
        <w:rPr>
          <w:color w:val="0070C0"/>
          <w:sz w:val="16"/>
          <w:szCs w:val="16"/>
        </w:rPr>
      </w:pPr>
      <w:r w:rsidRPr="001A0BAA">
        <w:rPr>
          <w:color w:val="0070C0"/>
          <w:sz w:val="16"/>
          <w:szCs w:val="16"/>
        </w:rPr>
        <w:t>Взлетная масса: 10500 кг</w:t>
      </w:r>
    </w:p>
    <w:p w14:paraId="27C15CCA" w14:textId="77777777" w:rsidR="00A5033B" w:rsidRPr="001A0BAA" w:rsidRDefault="00A5033B" w:rsidP="00A5033B">
      <w:pPr>
        <w:jc w:val="both"/>
        <w:rPr>
          <w:color w:val="0070C0"/>
          <w:sz w:val="16"/>
          <w:szCs w:val="16"/>
        </w:rPr>
      </w:pPr>
      <w:r w:rsidRPr="001A0BAA">
        <w:rPr>
          <w:color w:val="0070C0"/>
          <w:sz w:val="16"/>
          <w:szCs w:val="16"/>
        </w:rPr>
        <w:t>Максимальная скорость: 605 км/ч на высоте 6780 м</w:t>
      </w:r>
    </w:p>
    <w:p w14:paraId="40117438" w14:textId="77777777" w:rsidR="00A5033B" w:rsidRPr="001A0BAA" w:rsidRDefault="00A5033B" w:rsidP="00A5033B">
      <w:pPr>
        <w:jc w:val="both"/>
        <w:rPr>
          <w:color w:val="0070C0"/>
          <w:sz w:val="16"/>
          <w:szCs w:val="16"/>
        </w:rPr>
      </w:pPr>
      <w:r w:rsidRPr="001A0BAA">
        <w:rPr>
          <w:color w:val="0070C0"/>
          <w:sz w:val="16"/>
          <w:szCs w:val="16"/>
        </w:rPr>
        <w:t>Потолок: 10600 м</w:t>
      </w:r>
    </w:p>
    <w:p w14:paraId="78A46314" w14:textId="77777777" w:rsidR="00A5033B" w:rsidRPr="001A0BAA" w:rsidRDefault="00A5033B" w:rsidP="00A5033B">
      <w:pPr>
        <w:jc w:val="both"/>
        <w:rPr>
          <w:color w:val="0070C0"/>
          <w:sz w:val="16"/>
          <w:szCs w:val="16"/>
        </w:rPr>
      </w:pPr>
      <w:r w:rsidRPr="001A0BAA">
        <w:rPr>
          <w:color w:val="0070C0"/>
          <w:sz w:val="16"/>
          <w:szCs w:val="16"/>
        </w:rPr>
        <w:t>Скороподъемность: 5000 м за 7,2 мин.</w:t>
      </w:r>
    </w:p>
    <w:p w14:paraId="5579F531" w14:textId="77777777" w:rsidR="00A5033B" w:rsidRPr="001A0BAA" w:rsidRDefault="00A5033B" w:rsidP="00A5033B">
      <w:pPr>
        <w:jc w:val="both"/>
        <w:rPr>
          <w:color w:val="0070C0"/>
          <w:sz w:val="16"/>
          <w:szCs w:val="16"/>
        </w:rPr>
      </w:pPr>
      <w:r w:rsidRPr="001A0BAA">
        <w:rPr>
          <w:color w:val="0070C0"/>
          <w:sz w:val="16"/>
          <w:szCs w:val="16"/>
        </w:rPr>
        <w:t>Дальность полета: 2365 км (расчетная) (25073).</w:t>
      </w:r>
    </w:p>
    <w:p w14:paraId="42C04D9D" w14:textId="77777777" w:rsidR="00A5033B" w:rsidRPr="001A0BAA" w:rsidRDefault="00A5033B" w:rsidP="00A5033B">
      <w:pPr>
        <w:jc w:val="both"/>
        <w:rPr>
          <w:color w:val="0070C0"/>
          <w:sz w:val="16"/>
          <w:szCs w:val="16"/>
        </w:rPr>
      </w:pPr>
    </w:p>
    <w:p w14:paraId="1D8C6C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18 марта 1945 года Шахурин писал письмо N Н-32/1487 командующему ВВС гл. маршалу авиации Новикову А.А.</w:t>
      </w:r>
    </w:p>
    <w:p w14:paraId="2F25F4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Выпускаемые заводом N 500 опытные и серийные авиационные дизели, снабженные турбокомпрессорами, требуют проверки в полете основных данных и надежности работы их в высотных условиях, так как стендовые испытания не могут дать исчерпывающих данных.</w:t>
      </w:r>
    </w:p>
    <w:p w14:paraId="5E205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этой цели необходимо использовать самолет Пе-8 с установкой на его крайних моторамах проверенных серийных моторов и опытных на средних для безопасности на случай отказа в работе последних.</w:t>
      </w:r>
    </w:p>
    <w:p w14:paraId="1A395E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45-й авиационный дивизии находится в законсервированном состоянии самолет Пе-8 N 42029 - ходатайствую о передаче его заводу N 500 для проведения указанных испытаний, ввиду отсутствия такового типа самолета с авиадизелями в системе НКАП (1879,96).</w:t>
      </w:r>
    </w:p>
    <w:p w14:paraId="25EC994B" w14:textId="77777777" w:rsidR="00665165" w:rsidRPr="00925F26" w:rsidRDefault="00665165" w:rsidP="00925F26">
      <w:pPr>
        <w:autoSpaceDE w:val="0"/>
        <w:autoSpaceDN w:val="0"/>
        <w:adjustRightInd w:val="0"/>
        <w:jc w:val="both"/>
        <w:rPr>
          <w:color w:val="000000" w:themeColor="text1"/>
          <w:sz w:val="16"/>
          <w:szCs w:val="16"/>
        </w:rPr>
      </w:pPr>
    </w:p>
    <w:p w14:paraId="00C19ED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EF6D08F" w14:textId="77777777" w:rsidR="00665165" w:rsidRPr="00925F26" w:rsidRDefault="00665165" w:rsidP="00925F26">
      <w:pPr>
        <w:autoSpaceDE w:val="0"/>
        <w:autoSpaceDN w:val="0"/>
        <w:adjustRightInd w:val="0"/>
        <w:jc w:val="both"/>
        <w:rPr>
          <w:iCs/>
          <w:color w:val="000000" w:themeColor="text1"/>
          <w:sz w:val="16"/>
          <w:szCs w:val="16"/>
        </w:rPr>
      </w:pPr>
    </w:p>
    <w:p w14:paraId="7DABB1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марта 1945 г. вышел ПРИКАЗ КОМАНДУЮЩЕГО БТ и МВ КА О ПРОВЕДЕНИИ РАБОТ ПО СОЗДАНИЮ ТАНКОВЫХ ДУПЛЕКСНЫХ РАДИОСТАНЦИЙ №028</w:t>
      </w:r>
    </w:p>
    <w:p w14:paraId="3EC55F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Симплексные радиостанции, принятые на вооружение бронетанковых и механизированных войск Красной Армии, неудобны в эксплуатации вследствие необходимости при осуществлении связи переходить с приема на передачу.</w:t>
      </w:r>
    </w:p>
    <w:p w14:paraId="34F2FA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создания танковых дуплексных радиостанций, в которых устранена необходимость перехода с приема на передачу, ПРИКАЗЫВАЮ:</w:t>
      </w:r>
    </w:p>
    <w:p w14:paraId="6884F8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504F91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Военной ордена Ленина академии бронетанковых и механизированных войск Красной Армии им. Сталина в 3-месячный срок провести следующие работы:</w:t>
      </w:r>
    </w:p>
    <w:p w14:paraId="177B21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Изготовить на базе радиостанции 9-РС действующий лабораторный макет радиостанции, допускающей осуществление дуплексной радиосвязи.</w:t>
      </w:r>
    </w:p>
    <w:p w14:paraId="69B80D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Проверить возможность использования радиостанции 10-РК для осуществления дуплексной радиосвязи и одновременной симплексной радиосвязи в двух направлениях.</w:t>
      </w:r>
    </w:p>
    <w:p w14:paraId="54E0A7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498087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Начальнику школы радиоспециалистов БТ и МВ КА инженер-подполковнику т. Равдонику выделить в распоряжение академии БТ и МВ КА им. Сталина сроком на 3 месяца рабочую бригаду в составе 5 радиотехников.</w:t>
      </w:r>
    </w:p>
    <w:p w14:paraId="62E2C8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313B54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Начальнику управления кадров БТ и МВ КА генерал-майору танковых войск т. Сафонову прико</w:t>
      </w:r>
      <w:r w:rsidRPr="00925F26">
        <w:rPr>
          <w:color w:val="000000" w:themeColor="text1"/>
          <w:sz w:val="16"/>
          <w:szCs w:val="16"/>
        </w:rPr>
        <w:softHyphen/>
        <w:t>мандировать академии БТ и МВ им. Сталина сроком на 3 месяца находящегося в резерве БТ и МВ КА инженер-капитана Гольдберга А.В.</w:t>
      </w:r>
    </w:p>
    <w:p w14:paraId="4C1AE1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3E4CC0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Начальнику Главного управления ремонта танков генерал-лейтенанту инженерно-танковой службы т. Сосенкову выдать академии БТ и МВ КА радиостанции, измерительную аппаратуру и материалы, необходимые для проведения указанных работ по прилагаемой ведомости.</w:t>
      </w:r>
    </w:p>
    <w:p w14:paraId="218406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610C03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Член военного совета БТ и МВ КА генерал-полковник танковых войск Бирюков</w:t>
      </w:r>
    </w:p>
    <w:p w14:paraId="24EE3F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штаба БТ и МВ КА генерал-полковник танковых войск Соломатин</w:t>
      </w:r>
    </w:p>
    <w:p w14:paraId="630DC0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11353. Д. 1519. Л. 70. Подлинник (11420).</w:t>
      </w:r>
    </w:p>
    <w:p w14:paraId="2197AF8E" w14:textId="77777777" w:rsidR="00665165" w:rsidRPr="00925F26" w:rsidRDefault="00665165" w:rsidP="00925F26">
      <w:pPr>
        <w:autoSpaceDE w:val="0"/>
        <w:autoSpaceDN w:val="0"/>
        <w:adjustRightInd w:val="0"/>
        <w:jc w:val="both"/>
        <w:rPr>
          <w:color w:val="000000" w:themeColor="text1"/>
          <w:sz w:val="16"/>
          <w:szCs w:val="16"/>
        </w:rPr>
      </w:pPr>
    </w:p>
    <w:p w14:paraId="5336A3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марта 1945 спустили на воду 11-й ТЩ (10671).</w:t>
      </w:r>
    </w:p>
    <w:p w14:paraId="7219A945" w14:textId="77777777" w:rsidR="00665165" w:rsidRPr="00925F26" w:rsidRDefault="00665165" w:rsidP="00925F26">
      <w:pPr>
        <w:autoSpaceDE w:val="0"/>
        <w:autoSpaceDN w:val="0"/>
        <w:adjustRightInd w:val="0"/>
        <w:jc w:val="both"/>
        <w:rPr>
          <w:color w:val="000000" w:themeColor="text1"/>
          <w:sz w:val="16"/>
          <w:szCs w:val="16"/>
        </w:rPr>
      </w:pPr>
    </w:p>
    <w:p w14:paraId="5D7FB8D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7E23AC4" w14:textId="77777777" w:rsidR="00665165" w:rsidRPr="00925F26" w:rsidRDefault="00665165" w:rsidP="00925F26">
      <w:pPr>
        <w:autoSpaceDE w:val="0"/>
        <w:autoSpaceDN w:val="0"/>
        <w:adjustRightInd w:val="0"/>
        <w:jc w:val="both"/>
        <w:rPr>
          <w:iCs/>
          <w:color w:val="000000" w:themeColor="text1"/>
          <w:sz w:val="16"/>
          <w:szCs w:val="16"/>
        </w:rPr>
      </w:pPr>
    </w:p>
    <w:p w14:paraId="0CF528F4" w14:textId="77777777" w:rsidR="00324FA8" w:rsidRPr="00925F26" w:rsidRDefault="00324FA8" w:rsidP="00925F26">
      <w:pPr>
        <w:jc w:val="both"/>
        <w:rPr>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в 1945 году оперативная сводка Совинформбюро:</w:t>
      </w:r>
    </w:p>
    <w:p w14:paraId="3430D183" w14:textId="77777777" w:rsidR="00324FA8" w:rsidRPr="00925F26" w:rsidRDefault="00324FA8" w:rsidP="00925F26">
      <w:pPr>
        <w:jc w:val="both"/>
        <w:rPr>
          <w:color w:val="000000" w:themeColor="text1"/>
          <w:sz w:val="16"/>
          <w:szCs w:val="16"/>
        </w:rPr>
      </w:pPr>
      <w:r w:rsidRPr="00925F26">
        <w:rPr>
          <w:color w:val="000000" w:themeColor="text1"/>
          <w:sz w:val="16"/>
          <w:szCs w:val="16"/>
        </w:rPr>
        <w:t>«В течение 18 марта юго-западнее Кенигсберга наши войска вели бои по уничтожению Восточно-Прусской группы немцев и, сжимая кольцо окружения, заняли более 40 населённых пунктов, в том числе Коршенру, Патерсорт, Людвигсорт, Шванис, Риппен, Лаукиттен, Прейсиш Тирау, Ленхефен, Малендорф, Рефельд, Грюненфельд. В боях за 17 марта в этом районе взято в плен более 800 немецких солдат и офицеров.</w:t>
      </w:r>
    </w:p>
    <w:p w14:paraId="4FE26342" w14:textId="77777777" w:rsidR="00324FA8" w:rsidRPr="00925F26" w:rsidRDefault="00324FA8" w:rsidP="00925F26">
      <w:pPr>
        <w:jc w:val="both"/>
        <w:rPr>
          <w:color w:val="000000" w:themeColor="text1"/>
          <w:sz w:val="16"/>
          <w:szCs w:val="16"/>
        </w:rPr>
      </w:pPr>
      <w:r w:rsidRPr="00925F26">
        <w:rPr>
          <w:color w:val="000000" w:themeColor="text1"/>
          <w:sz w:val="16"/>
          <w:szCs w:val="16"/>
        </w:rPr>
        <w:t>Войска 1-го Белорусского фронта, сломив сопротивление окружённого гарнизона немцев, 18 марта овладели городом и портом на Балтийском море Кольберг.</w:t>
      </w:r>
    </w:p>
    <w:p w14:paraId="3B06BE8F" w14:textId="77777777" w:rsidR="00324FA8" w:rsidRPr="00925F26" w:rsidRDefault="00324FA8" w:rsidP="00925F26">
      <w:pPr>
        <w:jc w:val="both"/>
        <w:rPr>
          <w:color w:val="000000" w:themeColor="text1"/>
          <w:sz w:val="16"/>
          <w:szCs w:val="16"/>
        </w:rPr>
      </w:pPr>
      <w:r w:rsidRPr="00925F26">
        <w:rPr>
          <w:color w:val="000000" w:themeColor="text1"/>
          <w:sz w:val="16"/>
          <w:szCs w:val="16"/>
        </w:rPr>
        <w:t>В Чехословакии западнее и юго-западнее города Зволена наши войска в результате наступательных боёв заняли населённые пункты Остра Лука, Шашовске Подгродье, Горне Опатовце, Глиник на Грон, Вигне.</w:t>
      </w:r>
    </w:p>
    <w:p w14:paraId="0CC936CA" w14:textId="77777777" w:rsidR="00324FA8" w:rsidRPr="00925F26" w:rsidRDefault="00324FA8"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1E4797C3" w14:textId="77777777" w:rsidR="00324FA8" w:rsidRPr="00925F26" w:rsidRDefault="00324FA8" w:rsidP="00925F26">
      <w:pPr>
        <w:jc w:val="both"/>
        <w:rPr>
          <w:color w:val="000000" w:themeColor="text1"/>
          <w:sz w:val="16"/>
          <w:szCs w:val="16"/>
        </w:rPr>
      </w:pPr>
      <w:r w:rsidRPr="00925F26">
        <w:rPr>
          <w:color w:val="000000" w:themeColor="text1"/>
          <w:sz w:val="16"/>
          <w:szCs w:val="16"/>
        </w:rPr>
        <w:t>За 17 марта на всех фронтах подбито и уничтожено 136 немецких танков и самоходных орудий. В воздушных боях и огнём зенитной артиллерии сбито 26 самолётов противника.</w:t>
      </w:r>
    </w:p>
    <w:p w14:paraId="3B95C60B" w14:textId="77777777" w:rsidR="00324FA8" w:rsidRPr="00925F26" w:rsidRDefault="00324FA8"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сжимать с востока и юга окружённую Восточно-Прусскую группировку противника. Немцы, опираясь на сильно укреплённые населённые пункты, высоты и водные рубежи, оказывают упорное сопротивление. Однако в результате ударов наших войск территория, занимаемая противником, сокращается с каждым днём. Гитлеровцы загнаны на незначительный по своим размерам прибрежный участок. Наши войска, занявшие вчера важный опорный пункт немцев Бранденбург, в результате ночных боёв очистили от противника левый берег реки Фришинг в ее нижнем течении. Сегодня утром гитлеровцы выбиты из лесного массива, прикрывающего с северо-востока подступы к Людвигсорту — железнодорожной станции и узлу шоссейных дорог. Затем наша пехота стремительной атакой овладела населённым пунктом Людвигсорт. Одновременно советские части, наступающие вдоль побережья залива Фриш-Гаф, продвинулись вперед на 4 километра и заняли несколько прибрежных селений. Юго-восточнее города Браунсберг ожесточённые бои происходили в полосе автострады Кенигсберг — Эльбинг. Немцы построили на этом участке полосу обороны с дотами и дзотами. Наши войска, после артиллерийского обстрела вражеских позиций прорвали оборону немцев и заняли населённый пункт Грюненфельд, находящийся в 8 километрах к юго-востоку от города Браунсберга. За день боёв уничтожено более 3 тысяч немецких солдат и офицеров, 19 танков, 39 полевых орудий и 170 пулемётов противника. Захвачены трофеи, в числе которых 11 танков, 4 бронетранспортёра, 16 орудий и 3 склада с боеприпасами.</w:t>
      </w:r>
    </w:p>
    <w:p w14:paraId="7BDB624B" w14:textId="77777777" w:rsidR="00324FA8" w:rsidRPr="00925F26" w:rsidRDefault="00324FA8" w:rsidP="00925F26">
      <w:pPr>
        <w:jc w:val="both"/>
        <w:rPr>
          <w:color w:val="000000" w:themeColor="text1"/>
          <w:sz w:val="16"/>
          <w:szCs w:val="16"/>
        </w:rPr>
      </w:pPr>
      <w:r w:rsidRPr="00925F26">
        <w:rPr>
          <w:color w:val="000000" w:themeColor="text1"/>
          <w:sz w:val="16"/>
          <w:szCs w:val="16"/>
        </w:rPr>
        <w:t>Пленные сообщают об огромных потерях немецких войск. Так, 7-я рота 432-го полка за три дня боёв потеряла убитыми 80 процентов своего личного состава. Остатки 50-й немецкой пехотной дивизии сведены в один полк неполного состава. 302-я бригада штурмовых орудий потеряла всю материальную часть и действует сейчас как пехотный батальон. Гренадерский полк танковой дивизии СС «Великая Германия» в последних боях полностью уничтожен.</w:t>
      </w:r>
    </w:p>
    <w:p w14:paraId="2A56D055" w14:textId="77777777" w:rsidR="00324FA8" w:rsidRPr="00925F26" w:rsidRDefault="00324FA8" w:rsidP="00925F26">
      <w:pPr>
        <w:jc w:val="both"/>
        <w:rPr>
          <w:color w:val="000000" w:themeColor="text1"/>
          <w:sz w:val="16"/>
          <w:szCs w:val="16"/>
        </w:rPr>
      </w:pPr>
      <w:r w:rsidRPr="00925F26">
        <w:rPr>
          <w:color w:val="000000" w:themeColor="text1"/>
          <w:sz w:val="16"/>
          <w:szCs w:val="16"/>
        </w:rPr>
        <w:t>Войска 1-го Белорусского фронта сегодня овладели городом Кольберг. Этот город и порт на Балтийском море оборонял крупный вражеский гарнизон, усиленный остатками немецких дивизий, разгромленных в Померании. Противник оказывал упорное сопротивление и пытался выиграть время для того, чтобы вывезти из Кольберга морским путём войска, вооружение я военные материалы. Эти намерения немцев были сорваны умелыми действиями наших войск. Советские части стремительным ударом овладели западной частью города по реке Перзанте и взяли порт под артиллерийский обстрел. Несколько судов противника, пытавшихся пройти в порт, было потоплено. Бои переместились в восточную часть города. Вчера наши части очистили от гитлеровцев улицы Кольберга южнее линии железной дороги. Затем был предпринят решительный штурм. После ожесточённых уличных боёв войска фронта, действующие совместно с Польским войском, сломили сопротивление немецкого гарнизона и полностью овладели городом и портом Кольберг. На улицах города остались тысячи вражеских трупов. Захвачены большие трофеи и много пленных.</w:t>
      </w:r>
    </w:p>
    <w:p w14:paraId="5F8314BC" w14:textId="77777777" w:rsidR="00324FA8" w:rsidRPr="00925F26" w:rsidRDefault="00324FA8" w:rsidP="00925F26">
      <w:pPr>
        <w:jc w:val="both"/>
        <w:rPr>
          <w:color w:val="000000" w:themeColor="text1"/>
          <w:sz w:val="16"/>
          <w:szCs w:val="16"/>
        </w:rPr>
      </w:pPr>
      <w:r w:rsidRPr="00925F26">
        <w:rPr>
          <w:color w:val="000000" w:themeColor="text1"/>
          <w:sz w:val="16"/>
          <w:szCs w:val="16"/>
        </w:rPr>
        <w:t>В Чехословакии западнее и юго-западнее города Зволен наши войска в трудных условиях горно-лесистой местности с боями продвигались вперёд. Противник создал на высотах и склонах гор опорные пункты и пытался удержать в своих руках плацдарм на левом берегу реки Грон. Наши пехотинцы выбили немцев из населённого пункта Остра Лука и, продвигаясь по шоссе, вышли к реке Грон. В этом районе разгромлены два батальона пехоты противника. Захвачено 180 пленных и много трофеев. На другом участке советские части выбили гитлеровцев из крупного опорного пункта Горне Опатовце, а также заняли пять горных высот. Развивая успех, наши войска полностью очистили от немцев левый берег реки Грон к западу от города Зволен. Отдельные группы солдат противника были прижаты к реке и ликвидированы.» (15072).</w:t>
      </w:r>
    </w:p>
    <w:p w14:paraId="42BF518E" w14:textId="77777777" w:rsidR="00324FA8" w:rsidRPr="00925F26" w:rsidRDefault="00324FA8" w:rsidP="00925F26">
      <w:pPr>
        <w:jc w:val="both"/>
        <w:rPr>
          <w:color w:val="000000" w:themeColor="text1"/>
          <w:sz w:val="16"/>
          <w:szCs w:val="16"/>
        </w:rPr>
      </w:pPr>
    </w:p>
    <w:p w14:paraId="40A88595" w14:textId="77777777" w:rsidR="00324FA8" w:rsidRPr="00925F26" w:rsidRDefault="00324FA8" w:rsidP="00925F26">
      <w:pPr>
        <w:jc w:val="both"/>
        <w:rPr>
          <w:bCs/>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 xml:space="preserve">в 1945 году последний налёт на Берлин самолетов 8-й воздушной армии. В налёте принимало участие 1327 тяжелых </w:t>
      </w:r>
      <w:proofErr w:type="gramStart"/>
      <w:r w:rsidRPr="00925F26">
        <w:rPr>
          <w:color w:val="000000" w:themeColor="text1"/>
          <w:sz w:val="16"/>
          <w:szCs w:val="16"/>
        </w:rPr>
        <w:t>бомбардировщиков..</w:t>
      </w:r>
      <w:proofErr w:type="gramEnd"/>
      <w:r w:rsidRPr="00925F26">
        <w:rPr>
          <w:color w:val="000000" w:themeColor="text1"/>
          <w:sz w:val="16"/>
          <w:szCs w:val="16"/>
        </w:rPr>
        <w:t xml:space="preserve"> Шесть реактивных истребителей «Люфтваффе» "Me-262" вооруженных неуправляемыми ракетами "R4M" калибра 55 мм одним залпом с 400 метров сбили сразу 8 бомбардировщиков союзников "В-17". Первое применение ракет "R4M", класса воздух-воздух, в бою.</w:t>
      </w:r>
    </w:p>
    <w:p w14:paraId="1C198C88" w14:textId="77777777" w:rsidR="00324FA8" w:rsidRPr="00925F26" w:rsidRDefault="00324FA8" w:rsidP="00925F26">
      <w:pPr>
        <w:jc w:val="both"/>
        <w:rPr>
          <w:color w:val="000000" w:themeColor="text1"/>
          <w:sz w:val="16"/>
          <w:szCs w:val="16"/>
        </w:rPr>
      </w:pPr>
      <w:r w:rsidRPr="00925F26">
        <w:rPr>
          <w:color w:val="000000" w:themeColor="text1"/>
          <w:sz w:val="16"/>
          <w:szCs w:val="16"/>
        </w:rPr>
        <w:t>"R4M" - твердотопливная ракета конструкции Курта Хебера, длина - 814 мм, масса - 4 кг, БЧ ракеты имела 520 г гексогена, теоретическая дальность полета - 2500 м, максимальная скорость полета - 540 м/с. Подвешивались по 12 штук на двух деревянных направляющих под плоскостями истребителя, все 24 ракеты выпускались залпом с интервалом 0.03 сек. Зенитки сбили еще 16 самолетов и повредили еще 16, которые совершили вынужденные посадки на занятой советскими войсками территории (15072).</w:t>
      </w:r>
    </w:p>
    <w:p w14:paraId="1B310A5C" w14:textId="77777777" w:rsidR="00324FA8" w:rsidRPr="00925F26" w:rsidRDefault="00324FA8" w:rsidP="00925F26">
      <w:pPr>
        <w:jc w:val="both"/>
        <w:rPr>
          <w:color w:val="000000" w:themeColor="text1"/>
          <w:sz w:val="16"/>
          <w:szCs w:val="16"/>
        </w:rPr>
      </w:pPr>
    </w:p>
    <w:p w14:paraId="7CF2CB10" w14:textId="285FD010" w:rsidR="00A8589E" w:rsidRPr="00925F26" w:rsidRDefault="00A8589E" w:rsidP="00925F26">
      <w:pPr>
        <w:jc w:val="both"/>
        <w:rPr>
          <w:color w:val="000000" w:themeColor="text1"/>
          <w:sz w:val="16"/>
          <w:szCs w:val="16"/>
        </w:rPr>
      </w:pPr>
      <w:r w:rsidRPr="00925F26">
        <w:rPr>
          <w:color w:val="000000" w:themeColor="text1"/>
          <w:sz w:val="16"/>
          <w:szCs w:val="16"/>
        </w:rPr>
        <w:lastRenderedPageBreak/>
        <w:t xml:space="preserve">18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Последний налёт на Берлин самолетов 8-й воздушной армии. В налёте принимало участие 1327 тяжелых бомбардировщиков. Превосходство союзников в воздухе было подавляющим и, несмотря на участие в бою 50 реактивных истребителей Ме-262, Люфтваффе сбили лишь 8 самолётов. Зенитки сбили еще 16 самолетов и повредили еще 16, которые совершили вынужденные посадки на занятой советскими войсками территории (22564).</w:t>
      </w:r>
    </w:p>
    <w:p w14:paraId="0965211F" w14:textId="77777777" w:rsidR="00A8589E" w:rsidRPr="00925F26" w:rsidRDefault="00A8589E" w:rsidP="00925F26">
      <w:pPr>
        <w:jc w:val="both"/>
        <w:rPr>
          <w:color w:val="000000" w:themeColor="text1"/>
          <w:sz w:val="16"/>
          <w:szCs w:val="16"/>
        </w:rPr>
      </w:pPr>
    </w:p>
    <w:p w14:paraId="436733CD" w14:textId="77777777" w:rsidR="00324FA8" w:rsidRPr="00925F26" w:rsidRDefault="00324FA8" w:rsidP="00925F26">
      <w:pPr>
        <w:jc w:val="both"/>
        <w:rPr>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в 1945 году 93-я советская танковая бригада на восточном берегу Нейсе прорвала оборону 20-й немецкой пехотной дивизии СС. 61-я советская гвардейская танковая бригада овладела немецким городом Нойштадт. Контрнаступление 4 немецких танковых (16-я, 17-я, 20-я и ''Герман Геринг''), 45-й пехотной дивизий и 184-й бригады самоходной артиллерии в направлении городов Нейсе и Ротхаус на позиции 6-го советского гвардейского корпуса (15072).</w:t>
      </w:r>
    </w:p>
    <w:p w14:paraId="693B2B24" w14:textId="77777777" w:rsidR="00324FA8" w:rsidRPr="00925F26" w:rsidRDefault="00324FA8" w:rsidP="00925F26">
      <w:pPr>
        <w:jc w:val="both"/>
        <w:rPr>
          <w:color w:val="000000" w:themeColor="text1"/>
          <w:sz w:val="16"/>
          <w:szCs w:val="16"/>
        </w:rPr>
      </w:pPr>
    </w:p>
    <w:p w14:paraId="1DF304F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марта 1945 cоветские войска вышли к Южному Бугу на юге Правобережной Украины. 93-я советская танковая бригада на восточном берегу Нейсе прорвала оборону 20-й немецкой пехотной дивизии СС. 61-я советская гвардейская танковая бригада овладела немецким городом Нойштадт. Контрнаступление 4 немецких танковых (16-я, 17-я, 20-я и ''Герман Геринг''), 45-й пехотной дивизий и 184-й бригады самоходной артиллерии в направлении городов Нейсе и Ротхаус на позиции 6-го советского гвардейского корпуса (4963 ).</w:t>
      </w:r>
    </w:p>
    <w:p w14:paraId="0F11EEA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FDCA6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марта 1945 году 1-я армия Войска Польского овладела Кольбергом (4963 ).</w:t>
      </w:r>
    </w:p>
    <w:p w14:paraId="4C4B62D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31B57CE" w14:textId="77777777" w:rsidR="00324FA8" w:rsidRPr="00925F26" w:rsidRDefault="00324FA8" w:rsidP="00925F26">
      <w:pPr>
        <w:jc w:val="both"/>
        <w:rPr>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в 1945 году 1-я армия Войска Польского и соединения советских войск завершили разгром немецкого гарнизона Кольберга и заняли город (15072).</w:t>
      </w:r>
    </w:p>
    <w:p w14:paraId="4B0425D2" w14:textId="77777777" w:rsidR="00324FA8" w:rsidRPr="00925F26" w:rsidRDefault="00324FA8" w:rsidP="00925F26">
      <w:pPr>
        <w:jc w:val="both"/>
        <w:rPr>
          <w:color w:val="000000" w:themeColor="text1"/>
          <w:sz w:val="16"/>
          <w:szCs w:val="16"/>
        </w:rPr>
      </w:pPr>
    </w:p>
    <w:p w14:paraId="792BB4A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18th, 1945: In the East, the Soviet 2nd Belorussian Front (Rokossovsky) captures the fortress city of Kolberg after 68,000 civilian refugees have been evacuated by sea. The US Third Army captures Boppard on the Rhine (3819).</w:t>
      </w:r>
    </w:p>
    <w:p w14:paraId="1CBEEAA0" w14:textId="77777777" w:rsidR="00665165" w:rsidRPr="00925F26" w:rsidRDefault="00665165" w:rsidP="00925F26">
      <w:pPr>
        <w:autoSpaceDE w:val="0"/>
        <w:autoSpaceDN w:val="0"/>
        <w:adjustRightInd w:val="0"/>
        <w:jc w:val="both"/>
        <w:rPr>
          <w:color w:val="000000" w:themeColor="text1"/>
          <w:sz w:val="16"/>
          <w:szCs w:val="16"/>
          <w:lang w:val="en-US"/>
        </w:rPr>
      </w:pPr>
    </w:p>
    <w:p w14:paraId="633BC2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18 </w:t>
      </w:r>
      <w:r w:rsidRPr="00925F26">
        <w:rPr>
          <w:color w:val="000000" w:themeColor="text1"/>
          <w:sz w:val="16"/>
          <w:szCs w:val="16"/>
        </w:rPr>
        <w:t>марта</w:t>
      </w:r>
      <w:r w:rsidRPr="00925F26">
        <w:rPr>
          <w:color w:val="000000" w:themeColor="text1"/>
          <w:sz w:val="16"/>
          <w:szCs w:val="16"/>
          <w:lang w:val="en-US"/>
        </w:rPr>
        <w:t xml:space="preserve"> 1945 2</w:t>
      </w:r>
      <w:r w:rsidRPr="00925F26">
        <w:rPr>
          <w:color w:val="000000" w:themeColor="text1"/>
          <w:sz w:val="16"/>
          <w:szCs w:val="16"/>
        </w:rPr>
        <w:t>БФ</w:t>
      </w:r>
      <w:r w:rsidRPr="00925F26">
        <w:rPr>
          <w:color w:val="000000" w:themeColor="text1"/>
          <w:sz w:val="16"/>
          <w:szCs w:val="16"/>
          <w:lang w:val="en-US"/>
        </w:rPr>
        <w:t xml:space="preserve"> (</w:t>
      </w:r>
      <w:r w:rsidRPr="00925F26">
        <w:rPr>
          <w:color w:val="000000" w:themeColor="text1"/>
          <w:sz w:val="16"/>
          <w:szCs w:val="16"/>
        </w:rPr>
        <w:t>Рокосовский</w:t>
      </w:r>
      <w:r w:rsidRPr="00925F26">
        <w:rPr>
          <w:color w:val="000000" w:themeColor="text1"/>
          <w:sz w:val="16"/>
          <w:szCs w:val="16"/>
          <w:lang w:val="en-US"/>
        </w:rPr>
        <w:t xml:space="preserve">) </w:t>
      </w:r>
      <w:r w:rsidRPr="00925F26">
        <w:rPr>
          <w:color w:val="000000" w:themeColor="text1"/>
          <w:sz w:val="16"/>
          <w:szCs w:val="16"/>
        </w:rPr>
        <w:t>захватилкрепостьКольберг</w:t>
      </w:r>
      <w:r w:rsidRPr="00925F26">
        <w:rPr>
          <w:color w:val="000000" w:themeColor="text1"/>
          <w:sz w:val="16"/>
          <w:szCs w:val="16"/>
          <w:lang w:val="en-US"/>
        </w:rPr>
        <w:t xml:space="preserve">, </w:t>
      </w:r>
      <w:r w:rsidRPr="00925F26">
        <w:rPr>
          <w:color w:val="000000" w:themeColor="text1"/>
          <w:sz w:val="16"/>
          <w:szCs w:val="16"/>
        </w:rPr>
        <w:t>но</w:t>
      </w:r>
      <w:r w:rsidRPr="00925F26">
        <w:rPr>
          <w:color w:val="000000" w:themeColor="text1"/>
          <w:sz w:val="16"/>
          <w:szCs w:val="16"/>
          <w:lang w:val="en-US"/>
        </w:rPr>
        <w:t xml:space="preserve"> 68 </w:t>
      </w:r>
      <w:r w:rsidRPr="00925F26">
        <w:rPr>
          <w:color w:val="000000" w:themeColor="text1"/>
          <w:sz w:val="16"/>
          <w:szCs w:val="16"/>
        </w:rPr>
        <w:t>тыс</w:t>
      </w:r>
      <w:r w:rsidRPr="00925F26">
        <w:rPr>
          <w:color w:val="000000" w:themeColor="text1"/>
          <w:sz w:val="16"/>
          <w:szCs w:val="16"/>
          <w:lang w:val="en-US"/>
        </w:rPr>
        <w:t xml:space="preserve">. </w:t>
      </w:r>
      <w:r w:rsidRPr="00925F26">
        <w:rPr>
          <w:color w:val="000000" w:themeColor="text1"/>
          <w:sz w:val="16"/>
          <w:szCs w:val="16"/>
        </w:rPr>
        <w:t>беженцевуспелиэвакуироваться</w:t>
      </w:r>
      <w:r w:rsidRPr="00925F26">
        <w:rPr>
          <w:color w:val="000000" w:themeColor="text1"/>
          <w:sz w:val="16"/>
          <w:szCs w:val="16"/>
          <w:lang w:val="en-US"/>
        </w:rPr>
        <w:t xml:space="preserve">. </w:t>
      </w:r>
      <w:r w:rsidRPr="00925F26">
        <w:rPr>
          <w:color w:val="000000" w:themeColor="text1"/>
          <w:sz w:val="16"/>
          <w:szCs w:val="16"/>
        </w:rPr>
        <w:t>3А США захватила Боппард на Рейне (3819).</w:t>
      </w:r>
    </w:p>
    <w:p w14:paraId="0695588C" w14:textId="77777777" w:rsidR="00665165" w:rsidRPr="00925F26" w:rsidRDefault="00665165" w:rsidP="00925F26">
      <w:pPr>
        <w:autoSpaceDE w:val="0"/>
        <w:autoSpaceDN w:val="0"/>
        <w:adjustRightInd w:val="0"/>
        <w:jc w:val="both"/>
        <w:rPr>
          <w:color w:val="000000" w:themeColor="text1"/>
          <w:sz w:val="16"/>
          <w:szCs w:val="16"/>
        </w:rPr>
      </w:pPr>
    </w:p>
    <w:p w14:paraId="2A72B3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марта 1945 вышло Постановление ГКО № 7865 О переводе войск ДВФ и ЗабФ на довольствие по норме № 2 приказа НКО № 312 - 1941 г. РГАНИР, Фонд ГКО, д. 382, лл. 137 (11012).</w:t>
      </w:r>
    </w:p>
    <w:p w14:paraId="0D63ABE6" w14:textId="77777777" w:rsidR="00665165" w:rsidRPr="00925F26" w:rsidRDefault="00665165" w:rsidP="00925F26">
      <w:pPr>
        <w:autoSpaceDE w:val="0"/>
        <w:autoSpaceDN w:val="0"/>
        <w:adjustRightInd w:val="0"/>
        <w:jc w:val="both"/>
        <w:rPr>
          <w:color w:val="000000" w:themeColor="text1"/>
          <w:sz w:val="16"/>
          <w:szCs w:val="16"/>
        </w:rPr>
      </w:pPr>
    </w:p>
    <w:p w14:paraId="43C644E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84F6F60" w14:textId="77777777" w:rsidR="00665165" w:rsidRPr="00925F26" w:rsidRDefault="00665165" w:rsidP="00925F26">
      <w:pPr>
        <w:autoSpaceDE w:val="0"/>
        <w:autoSpaceDN w:val="0"/>
        <w:adjustRightInd w:val="0"/>
        <w:jc w:val="both"/>
        <w:rPr>
          <w:iCs/>
          <w:color w:val="000000" w:themeColor="text1"/>
          <w:sz w:val="16"/>
          <w:szCs w:val="16"/>
        </w:rPr>
      </w:pPr>
    </w:p>
    <w:p w14:paraId="0A7074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марта 1945 года было получено:</w:t>
      </w:r>
    </w:p>
    <w:p w14:paraId="17359F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ЛИЧНО И СЕКРЕТНО ДЛЯ МАРШАЛА СТАЛИНА ОТ ПРЕЗИДЕНТА РУЗВЕЛЬТА</w:t>
      </w:r>
    </w:p>
    <w:p w14:paraId="7F46C2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отправки из Польши бывших американских военнопленных, то мне сообщают, что согласие на поездку генерала Дина с целью знакомства с положением американских военнопленных в Польше взято обратно. В Вашем последнем послании Вы сообщили мне, что нет нужды удовлетворять мою просьбу о разрешении американским самолетам доставлять грузы в Польшу и вывозить оттуда больных. Я располагаю сведениями, которые я считаю достоверными и надежными, что в госпиталях в Польше по-прежнему находится значительное число больных и раненых американцев, а также о том, что там находилось, наверняка несколько дней тому назад, и, возможно, все еще находится большое количество других освобожденных американских военнопленных, или сконцентрированных в советских сборных пунктах и ожидающих отправки в Одессу, или не установивших контакта с советскими властями и бродящих небольшими группами в поисках американских офицеров связи. Говоря со всей откровенностью, я не могу понять Вашего нежелания разрешить американским офицерам связи, имеющим необходимые средства, помочь их соотечественникам в этом деле. Американское Правительство делало все, чтобы удовлетворить любую Вашу просьбу. Сейчас я прошу Вас удовлетворить мою просьбу в этом особом деле. Пожалуйста, пригласите к себе Посла Гарримана, чтобы он смог подробно объяснить Вам все мои пожелания (7430).</w:t>
      </w:r>
    </w:p>
    <w:p w14:paraId="589298C6" w14:textId="77777777" w:rsidR="00665165" w:rsidRPr="00925F26" w:rsidRDefault="00665165" w:rsidP="00925F26">
      <w:pPr>
        <w:autoSpaceDE w:val="0"/>
        <w:autoSpaceDN w:val="0"/>
        <w:adjustRightInd w:val="0"/>
        <w:jc w:val="both"/>
        <w:rPr>
          <w:color w:val="000000" w:themeColor="text1"/>
          <w:sz w:val="16"/>
          <w:szCs w:val="16"/>
        </w:rPr>
      </w:pPr>
    </w:p>
    <w:p w14:paraId="0AFBB8A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5E88908" w14:textId="77777777" w:rsidR="00665165" w:rsidRPr="00925F26" w:rsidRDefault="00665165" w:rsidP="00925F26">
      <w:pPr>
        <w:autoSpaceDE w:val="0"/>
        <w:autoSpaceDN w:val="0"/>
        <w:adjustRightInd w:val="0"/>
        <w:jc w:val="both"/>
        <w:rPr>
          <w:iCs/>
          <w:color w:val="000000" w:themeColor="text1"/>
          <w:sz w:val="16"/>
          <w:szCs w:val="16"/>
        </w:rPr>
      </w:pPr>
    </w:p>
    <w:p w14:paraId="342C7F52" w14:textId="528C2E92" w:rsidR="00A8589E" w:rsidRPr="00925F26" w:rsidRDefault="00A8589E" w:rsidP="00925F26">
      <w:pPr>
        <w:jc w:val="both"/>
        <w:rPr>
          <w:color w:val="000000" w:themeColor="text1"/>
          <w:sz w:val="16"/>
          <w:szCs w:val="16"/>
        </w:rPr>
      </w:pPr>
      <w:r w:rsidRPr="00925F26">
        <w:rPr>
          <w:color w:val="000000" w:themeColor="text1"/>
          <w:sz w:val="16"/>
          <w:szCs w:val="16"/>
        </w:rPr>
        <w:t xml:space="preserve">18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палубного бомбардировщика XBT2D-1 Dauntless II на аэродроме ВМФ США в Калифорнии (22564).</w:t>
      </w:r>
    </w:p>
    <w:p w14:paraId="2A1D33AC" w14:textId="77777777" w:rsidR="00A8589E" w:rsidRPr="00925F26" w:rsidRDefault="00A8589E" w:rsidP="00925F26">
      <w:pPr>
        <w:jc w:val="both"/>
        <w:rPr>
          <w:color w:val="000000" w:themeColor="text1"/>
          <w:sz w:val="16"/>
          <w:szCs w:val="16"/>
        </w:rPr>
      </w:pPr>
    </w:p>
    <w:p w14:paraId="08352173" w14:textId="77777777" w:rsidR="00A8589E" w:rsidRPr="00925F26" w:rsidRDefault="00A8589E" w:rsidP="00925F26">
      <w:pPr>
        <w:jc w:val="both"/>
        <w:rPr>
          <w:color w:val="000000" w:themeColor="text1"/>
          <w:sz w:val="16"/>
          <w:szCs w:val="16"/>
        </w:rPr>
      </w:pPr>
      <w:r w:rsidRPr="00925F26">
        <w:rPr>
          <w:color w:val="000000" w:themeColor="text1"/>
          <w:sz w:val="16"/>
          <w:szCs w:val="16"/>
        </w:rPr>
        <w:t>18 марта 1945 первый полет Douglas XB2D-1, прототипа AD Skyraider (20371).</w:t>
      </w:r>
    </w:p>
    <w:p w14:paraId="7950E6C8" w14:textId="77777777" w:rsidR="00A8589E" w:rsidRPr="00925F26" w:rsidRDefault="00A8589E" w:rsidP="00925F26">
      <w:pPr>
        <w:jc w:val="both"/>
        <w:rPr>
          <w:color w:val="000000" w:themeColor="text1"/>
          <w:sz w:val="16"/>
          <w:szCs w:val="16"/>
        </w:rPr>
      </w:pPr>
    </w:p>
    <w:p w14:paraId="60620493" w14:textId="4250CCAA" w:rsidR="00A8589E" w:rsidRPr="00925F26" w:rsidRDefault="00A8589E" w:rsidP="00925F26">
      <w:pPr>
        <w:jc w:val="both"/>
        <w:rPr>
          <w:color w:val="000000" w:themeColor="text1"/>
          <w:sz w:val="16"/>
          <w:szCs w:val="16"/>
        </w:rPr>
      </w:pPr>
      <w:r w:rsidRPr="00925F26">
        <w:rPr>
          <w:color w:val="000000" w:themeColor="text1"/>
          <w:sz w:val="16"/>
          <w:szCs w:val="16"/>
        </w:rPr>
        <w:t xml:space="preserve">18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Шесть реактивных истребителей Люфтваффе "Me-262" вооруженных неуправляемыми ракетами "R4M" калибра 55 мм одним залпом с 400 метров сбили сразу 8 бомбардировщиков союзников "В-17". Первое применение ракет "R4M", класса воздух-воздух, в бою. "R4M" - твердотопливная ракета конструкции Курта Хебера, длина - 814 мм, масса - 4 кг, БЧ ракеты имела 520 г гексогена, теоретическая дальность полета - 2500 м, максимальная скорость полета - 540 м/с. Подвешивались по 12 штук на двух деревянных направляющих под плоскостями истребителя, все 24 ракеты выпускались залпом с интервалом 0.03 сек (22564).</w:t>
      </w:r>
    </w:p>
    <w:p w14:paraId="2B566787" w14:textId="77777777" w:rsidR="00A8589E" w:rsidRPr="00925F26" w:rsidRDefault="00A8589E" w:rsidP="00925F26">
      <w:pPr>
        <w:jc w:val="both"/>
        <w:rPr>
          <w:color w:val="000000" w:themeColor="text1"/>
          <w:sz w:val="16"/>
          <w:szCs w:val="16"/>
        </w:rPr>
      </w:pPr>
    </w:p>
    <w:p w14:paraId="74DDDCFB" w14:textId="77777777" w:rsidR="0049679F" w:rsidRPr="00925F26" w:rsidRDefault="0049679F" w:rsidP="00925F26">
      <w:pPr>
        <w:jc w:val="both"/>
        <w:rPr>
          <w:bCs/>
          <w:color w:val="000000" w:themeColor="text1"/>
          <w:sz w:val="16"/>
          <w:szCs w:val="16"/>
        </w:rPr>
      </w:pPr>
      <w:r w:rsidRPr="00925F26">
        <w:rPr>
          <w:color w:val="000000" w:themeColor="text1"/>
          <w:sz w:val="16"/>
          <w:szCs w:val="16"/>
        </w:rPr>
        <w:t>18 марта 1945 г. министр Альберт Шпеер подал Гитлеру записку, в которой просил в случае начала военных действий в Германии никого не наделять правом разрушать мосты, рудники, электростанции и т.п. Эта записка привела к обратному эффекту – 19 марта 1945 г. Гитлер отдал приказ о всеобщем разрушении, 23 марта Мартин Борман назначил ответственных за полное разрушение инфраструктуры – это были партийные вожди территорий – гауляйтеры (17459).</w:t>
      </w:r>
    </w:p>
    <w:p w14:paraId="7E738ABB" w14:textId="77777777" w:rsidR="0049679F" w:rsidRPr="00925F26" w:rsidRDefault="0049679F" w:rsidP="00925F26">
      <w:pPr>
        <w:jc w:val="both"/>
        <w:rPr>
          <w:bCs/>
          <w:color w:val="000000" w:themeColor="text1"/>
          <w:sz w:val="16"/>
          <w:szCs w:val="16"/>
        </w:rPr>
      </w:pPr>
    </w:p>
    <w:p w14:paraId="319E2A63" w14:textId="77777777" w:rsidR="00324FA8" w:rsidRPr="00925F26" w:rsidRDefault="00324FA8" w:rsidP="00925F26">
      <w:pPr>
        <w:jc w:val="both"/>
        <w:rPr>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в 1945 году в беседе с А.Шпеером Адольф Гитлер заявил: «Если война будет проиграна, то погибнет и народ. Эта судьба неотвратима. Поэтому не следует обращать внимание на то, что будут уничтожены материальные основы, которые в будущем могут обеспечить народу самое примитивное существование. Напротив, даже лучше самим уничтожить эти основы, ибо народ наш оказался слабым, и будущее будет принадлежать исключительно более сильному восточному народу. Кроме того, после борьбы останутся в живых лишь неполноценные люди, так как лучшие пали в борьбе» (15072).</w:t>
      </w:r>
    </w:p>
    <w:p w14:paraId="1BCCD496" w14:textId="77777777" w:rsidR="00324FA8" w:rsidRPr="00925F26" w:rsidRDefault="00324FA8" w:rsidP="00925F26">
      <w:pPr>
        <w:jc w:val="both"/>
        <w:rPr>
          <w:color w:val="000000" w:themeColor="text1"/>
          <w:sz w:val="16"/>
          <w:szCs w:val="16"/>
        </w:rPr>
      </w:pPr>
    </w:p>
    <w:p w14:paraId="1C042FF3" w14:textId="77777777" w:rsidR="00E31C44" w:rsidRPr="00925F26" w:rsidRDefault="00E31C44" w:rsidP="00925F26">
      <w:pPr>
        <w:jc w:val="both"/>
        <w:rPr>
          <w:color w:val="000000" w:themeColor="text1"/>
          <w:sz w:val="16"/>
          <w:szCs w:val="16"/>
        </w:rPr>
      </w:pPr>
      <w:r w:rsidRPr="00925F26">
        <w:rPr>
          <w:color w:val="000000" w:themeColor="text1"/>
          <w:sz w:val="16"/>
          <w:szCs w:val="16"/>
        </w:rPr>
        <w:t>19 марта</w:t>
      </w:r>
      <w:r w:rsidRPr="00925F26">
        <w:rPr>
          <w:bCs/>
          <w:color w:val="000000" w:themeColor="text1"/>
          <w:sz w:val="16"/>
          <w:szCs w:val="16"/>
        </w:rPr>
        <w:t xml:space="preserve"> 1945 группа сотрудников УСС, разбившись на двойки и тройки, на разных поездах направилась из Берна в Аскону. Вольф и сопровождающие его лица прибыли из Лугано вскоре после одиннадцати (17459).</w:t>
      </w:r>
    </w:p>
    <w:p w14:paraId="67B02C41" w14:textId="77777777" w:rsidR="00E31C44" w:rsidRPr="00925F26" w:rsidRDefault="00E31C44" w:rsidP="00925F26">
      <w:pPr>
        <w:jc w:val="both"/>
        <w:rPr>
          <w:color w:val="000000" w:themeColor="text1"/>
          <w:sz w:val="16"/>
          <w:szCs w:val="16"/>
        </w:rPr>
      </w:pPr>
    </w:p>
    <w:p w14:paraId="6C9EB58B" w14:textId="77777777" w:rsidR="00324FA8" w:rsidRPr="00925F26" w:rsidRDefault="00324FA8" w:rsidP="00925F26">
      <w:pPr>
        <w:jc w:val="both"/>
        <w:rPr>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в 1945 году (18-21 марта) американское соединение «Task Force-38» проводит рейд на острова Кюсю и Хонсю. В результате контратак японских бомбардировщиков и камикадзе повреждены 5 торпедоносцев. Первое применение японцами управляемой человеком бомбы оказывается неудачным (15072).</w:t>
      </w:r>
    </w:p>
    <w:p w14:paraId="1FA77FF9" w14:textId="77777777" w:rsidR="00324FA8" w:rsidRPr="00925F26" w:rsidRDefault="00324FA8" w:rsidP="00925F26">
      <w:pPr>
        <w:jc w:val="both"/>
        <w:rPr>
          <w:color w:val="000000" w:themeColor="text1"/>
          <w:sz w:val="16"/>
          <w:szCs w:val="16"/>
        </w:rPr>
      </w:pPr>
    </w:p>
    <w:p w14:paraId="4227A1F0" w14:textId="77777777" w:rsidR="00A8589E" w:rsidRPr="00925F26" w:rsidRDefault="00A8589E" w:rsidP="00925F26">
      <w:pPr>
        <w:jc w:val="both"/>
        <w:rPr>
          <w:color w:val="000000" w:themeColor="text1"/>
          <w:sz w:val="16"/>
          <w:szCs w:val="16"/>
        </w:rPr>
      </w:pPr>
      <w:r w:rsidRPr="00925F26">
        <w:rPr>
          <w:color w:val="000000" w:themeColor="text1"/>
          <w:sz w:val="16"/>
          <w:szCs w:val="16"/>
        </w:rPr>
        <w:t>18 марта 1945 авианосец ВМС США Task Force 58 на носит удар по Кюсю (20371).</w:t>
      </w:r>
    </w:p>
    <w:p w14:paraId="057C56B9" w14:textId="77777777" w:rsidR="00A8589E" w:rsidRPr="00925F26" w:rsidRDefault="00A8589E" w:rsidP="00925F26">
      <w:pPr>
        <w:jc w:val="both"/>
        <w:rPr>
          <w:color w:val="000000" w:themeColor="text1"/>
          <w:sz w:val="16"/>
          <w:szCs w:val="16"/>
        </w:rPr>
      </w:pPr>
    </w:p>
    <w:p w14:paraId="77E52B47" w14:textId="77777777" w:rsidR="00324FA8" w:rsidRPr="00925F26" w:rsidRDefault="00324FA8" w:rsidP="00925F26">
      <w:pPr>
        <w:jc w:val="both"/>
        <w:rPr>
          <w:color w:val="000000" w:themeColor="text1"/>
          <w:sz w:val="16"/>
          <w:szCs w:val="16"/>
        </w:rPr>
      </w:pPr>
      <w:r w:rsidRPr="00925F26">
        <w:rPr>
          <w:bCs/>
          <w:color w:val="000000" w:themeColor="text1"/>
          <w:sz w:val="16"/>
          <w:szCs w:val="16"/>
        </w:rPr>
        <w:t xml:space="preserve">18 марта </w:t>
      </w:r>
      <w:r w:rsidRPr="00925F26">
        <w:rPr>
          <w:color w:val="000000" w:themeColor="text1"/>
          <w:sz w:val="16"/>
          <w:szCs w:val="16"/>
        </w:rPr>
        <w:t>в 1945 году правительство Японии закрывает школы, призывая на военную службу всех детей старше шести лет (15072).</w:t>
      </w:r>
    </w:p>
    <w:p w14:paraId="2DBA28FF" w14:textId="77777777" w:rsidR="00324FA8" w:rsidRPr="00925F26" w:rsidRDefault="00324FA8" w:rsidP="00925F26">
      <w:pPr>
        <w:jc w:val="both"/>
        <w:rPr>
          <w:color w:val="000000" w:themeColor="text1"/>
          <w:sz w:val="16"/>
          <w:szCs w:val="16"/>
        </w:rPr>
      </w:pPr>
    </w:p>
    <w:p w14:paraId="59C38F2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марта 1945 правительство Японии закрыло школы, призвав на военную службу всех детей старше шести лет (4962).</w:t>
      </w:r>
    </w:p>
    <w:p w14:paraId="3E58E20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2E40C3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18 March - 21 June 1945 </w:t>
      </w:r>
      <w:proofErr w:type="gramStart"/>
      <w:r w:rsidRPr="00925F26">
        <w:rPr>
          <w:color w:val="000000" w:themeColor="text1"/>
          <w:sz w:val="16"/>
          <w:szCs w:val="16"/>
          <w:lang w:val="en-US"/>
        </w:rPr>
        <w:t>The</w:t>
      </w:r>
      <w:proofErr w:type="gramEnd"/>
      <w:r w:rsidRPr="00925F26">
        <w:rPr>
          <w:color w:val="000000" w:themeColor="text1"/>
          <w:sz w:val="16"/>
          <w:szCs w:val="16"/>
          <w:lang w:val="en-US"/>
        </w:rPr>
        <w:t xml:space="preserve"> Okinawa Campaign 1945 The last, and for naval forces the most violent of the major amphibious campaigns of World War II, was supported by three separately operating carrier forces, by tender-based patrol squadrons, by Marine and Army air units based in the immediate area and by Army and Navy air units based in other areas. On 28 May a change in overall command from the Fifth Fleet (Admiral R. A. Spruance) to the Third Fleet (Admiral W. F. Hasley) took place, which changed all task number designations from the 50's to the 30's. (In this account, first designations are used throughout.) The fast carriers of Task Force 58 (Vice Admiral M. A. Mitscher) began the attack. With an original strength of 10 heavy and six light carriers, this force launched neutralization strikes on Kyushu, Japan (18-22 Mar), destroying 482 enemy aircraft by air attack and another 46 by ship's gunfire and began pre-assault strikes on Okinawa (23 Mar). During these preliminaries, Kamikaze pilots, employing conventional aircraft, bombs, and Baka flying bombs (first observed on 21 Mar) retaliated with attacks which seriously damaged the carrier Franklin and scored hits on four others (1090). For the next 3 months the fast carrier force operated continuously in a 60-mile-square area northeast of Okinawa and within 350 miles of Japan, from which position it neutralized Amami Gunto airfields, furnished close air support for ground operations, intercepted enemy air raids, and on occasion moved northward to hit airfields on Kyushu. Task Group 52.1 (Rear Admiral C. T. Durgin), originally 18 escort carriers strong, conducted pre-assault strikes and supported the occupation of Kerama Retto (25-26 Mar), joined in the pre-assault strikes on Okinawa (27-29 Mar) and, from a fairly restricted operating area southeast of the island, supported the landings and flew daily close support for operations ashore until the island was secure (21 June). The arrival in May of two </w:t>
      </w:r>
      <w:proofErr w:type="gramStart"/>
      <w:r w:rsidRPr="00925F26">
        <w:rPr>
          <w:color w:val="000000" w:themeColor="text1"/>
          <w:sz w:val="16"/>
          <w:szCs w:val="16"/>
          <w:lang w:val="en-US"/>
        </w:rPr>
        <w:t>CVE's</w:t>
      </w:r>
      <w:proofErr w:type="gramEnd"/>
      <w:r w:rsidRPr="00925F26">
        <w:rPr>
          <w:color w:val="000000" w:themeColor="text1"/>
          <w:sz w:val="16"/>
          <w:szCs w:val="16"/>
          <w:lang w:val="en-US"/>
        </w:rPr>
        <w:t xml:space="preserve"> with Marine Carrier Air Groups on board marked the combat debut in Marine Air Support carriers. Task Force 57 (Vice Admiral H. B. Rawlings, RN), a British task force built around four carriers, operated south of Okinawa (26 Mar-20 Apr and 3-25 of May), from which position it neutralized airfields on Sakishima Gunto and Formosa, and intercepted air raids headed for the assault area. Subject to frequent suicide attacks, all four carriers took </w:t>
      </w:r>
      <w:r w:rsidRPr="00925F26">
        <w:rPr>
          <w:color w:val="000000" w:themeColor="text1"/>
          <w:sz w:val="16"/>
          <w:szCs w:val="16"/>
          <w:lang w:val="en-US"/>
        </w:rPr>
        <w:lastRenderedPageBreak/>
        <w:t xml:space="preserve">hits in the course of their action, but all remained operational. Patrol squadrons of Fleet Air Wing 1, based on seaplane tenders at Kerama Retto, conducted long-range antishipping search over the East China Sea to protect assault forces from enemy surface force interference, flew antisubmarine patrols in the immediate area, and provided air-sea rescue services for carrier operations from D minus 1 day to the end of the campaign. Army and Marine Corps troops landed on the western shores (1 Apr) against light opposition, established a firm beachhead, and captured Yontan airfield the same day. Supporting </w:t>
      </w:r>
      <w:proofErr w:type="gramStart"/>
      <w:r w:rsidRPr="00925F26">
        <w:rPr>
          <w:color w:val="000000" w:themeColor="text1"/>
          <w:sz w:val="16"/>
          <w:szCs w:val="16"/>
          <w:lang w:val="en-US"/>
        </w:rPr>
        <w:t>shore based</w:t>
      </w:r>
      <w:proofErr w:type="gramEnd"/>
      <w:r w:rsidRPr="00925F26">
        <w:rPr>
          <w:color w:val="000000" w:themeColor="text1"/>
          <w:sz w:val="16"/>
          <w:szCs w:val="16"/>
          <w:lang w:val="en-US"/>
        </w:rPr>
        <w:t xml:space="preserve"> air moved in behind the landings led by the OY-1 spotting planes (3 Apr). As Ground opposition stiffened, Marine Corps elements of the Tactical Air Force began local air defense patrols (7 Apr) and shortly started their close air support mission. A Navy landplane patrol squadron joined forces ashore (22 Apr) and extended the range of seaplane search operations, and an Army fighter squadron began operations from Ie Shima (13 May). Strong Japanese air opposition developed (6 Apr) in the first of a series of mass suicide attacks involving some 400 aircraft. In seven mass raids, interspersed with smaller scattered ones, during the critical period (6 Apr-28 May), the Japanese expended some 1,500 aircraft, principally against naval forces supporting the campaign. In the 3 month's struggle against the humanly guided missiles of the Kamikaze force, the U.S. Navy took the heaviest punishment in its history. Although Task Force 58 lost no ship during the campaign, eight heavy and one light </w:t>
      </w:r>
      <w:proofErr w:type="gramStart"/>
      <w:r w:rsidRPr="00925F26">
        <w:rPr>
          <w:color w:val="000000" w:themeColor="text1"/>
          <w:sz w:val="16"/>
          <w:szCs w:val="16"/>
          <w:lang w:val="en-US"/>
        </w:rPr>
        <w:t>carriers</w:t>
      </w:r>
      <w:proofErr w:type="gramEnd"/>
      <w:r w:rsidRPr="00925F26">
        <w:rPr>
          <w:color w:val="000000" w:themeColor="text1"/>
          <w:sz w:val="16"/>
          <w:szCs w:val="16"/>
          <w:lang w:val="en-US"/>
        </w:rPr>
        <w:t xml:space="preserve"> were hit: Enterprise, Intrepid, Yorktown (18 Mar), Franklin, Wasp (19 Mar), San Jacinto (6 Apr), Hancock (7 Apr) Enterprise, Essex (11 Apr) Intrepid (16 Apr) Bunker Hill (11 May), and the Enterprise (14 May). Three escort carriers of Task Force 52, Wake Island (3 Apr), Sangamon (4 May), and Natoma Bay (6 June), were hit. Opposition from Japanese naval forces was brief and ineffective. A task force of one light cruiser, eight destroyers, and Yamato, the world's largest battleship, made what was to be the last sortie of the Japanese Navy and was decisively beaten by carrier aircraft in the Battle of the East China Sea (7 Apr), in which only four Japanese destroyers survived. Carrier air support was on a larger and more extensive scale than any previous amphibious campaign. Fast and escort carrier planes flew over 40,000 action sorties, destroyed 2,516 enemy aircraft, and blasted enemy positions with 8,500 tons of bombs and 50,000 rockets. Marine Corps squadrons ashore destroyed another 506 Japanese aircraft and expended 1,800 tons of bombs and 15,865 rockets on close air support missions. Task Force 58's time on the line (18 Mar-10 June) was surpassed by the escort carriers (24 Mar-21 June), but of several records for continuous operations in an active combat area that were marked up by the carriers during the campaign, the most outstanding was logged by the Essex with 79 consecutive days (1090).</w:t>
      </w:r>
    </w:p>
    <w:p w14:paraId="31B5ACD7" w14:textId="77777777" w:rsidR="00665165" w:rsidRPr="00925F26" w:rsidRDefault="00665165" w:rsidP="00925F26">
      <w:pPr>
        <w:autoSpaceDE w:val="0"/>
        <w:autoSpaceDN w:val="0"/>
        <w:adjustRightInd w:val="0"/>
        <w:jc w:val="both"/>
        <w:rPr>
          <w:color w:val="000000" w:themeColor="text1"/>
          <w:sz w:val="16"/>
          <w:szCs w:val="16"/>
          <w:lang w:val="en-US"/>
        </w:rPr>
      </w:pPr>
    </w:p>
    <w:p w14:paraId="21B48E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18 марта по 21 июня 1945 были бои за Окинаву (1090).</w:t>
      </w:r>
    </w:p>
    <w:p w14:paraId="26CD4D8E" w14:textId="77777777" w:rsidR="00665165" w:rsidRPr="00925F26" w:rsidRDefault="00665165" w:rsidP="00925F26">
      <w:pPr>
        <w:autoSpaceDE w:val="0"/>
        <w:autoSpaceDN w:val="0"/>
        <w:adjustRightInd w:val="0"/>
        <w:jc w:val="both"/>
        <w:rPr>
          <w:color w:val="000000" w:themeColor="text1"/>
          <w:sz w:val="16"/>
          <w:szCs w:val="16"/>
        </w:rPr>
      </w:pPr>
    </w:p>
    <w:p w14:paraId="2D24F90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E7192F2" w14:textId="77777777" w:rsidR="00665165" w:rsidRPr="00925F26" w:rsidRDefault="00665165" w:rsidP="00925F26">
      <w:pPr>
        <w:autoSpaceDE w:val="0"/>
        <w:autoSpaceDN w:val="0"/>
        <w:adjustRightInd w:val="0"/>
        <w:jc w:val="both"/>
        <w:rPr>
          <w:iCs/>
          <w:color w:val="000000" w:themeColor="text1"/>
          <w:sz w:val="16"/>
          <w:szCs w:val="16"/>
        </w:rPr>
      </w:pPr>
    </w:p>
    <w:p w14:paraId="661F4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19 по 23 марта 1945 состоялись специальные испытания серийного Ла-7 N 38102158 с улучшенной герметизацией вентиляции кабины. Вед</w:t>
      </w:r>
      <w:proofErr w:type="gramStart"/>
      <w:r w:rsidRPr="00925F26">
        <w:rPr>
          <w:color w:val="000000" w:themeColor="text1"/>
          <w:sz w:val="16"/>
          <w:szCs w:val="16"/>
        </w:rPr>
        <w:t>.</w:t>
      </w:r>
      <w:proofErr w:type="gramEnd"/>
      <w:r w:rsidRPr="00925F26">
        <w:rPr>
          <w:color w:val="000000" w:themeColor="text1"/>
          <w:sz w:val="16"/>
          <w:szCs w:val="16"/>
        </w:rPr>
        <w:t xml:space="preserve"> и В.П.Алексеенко, вед. л Д.Г.Тикуленко. 10 полетов, 5 час. 34 мин. Проблема в том, что летчики угорали (740,1).</w:t>
      </w:r>
    </w:p>
    <w:p w14:paraId="596F2D5E" w14:textId="77777777" w:rsidR="00665165" w:rsidRPr="00925F26" w:rsidRDefault="00665165" w:rsidP="00925F26">
      <w:pPr>
        <w:autoSpaceDE w:val="0"/>
        <w:autoSpaceDN w:val="0"/>
        <w:adjustRightInd w:val="0"/>
        <w:jc w:val="both"/>
        <w:rPr>
          <w:color w:val="000000" w:themeColor="text1"/>
          <w:sz w:val="16"/>
          <w:szCs w:val="16"/>
        </w:rPr>
      </w:pPr>
    </w:p>
    <w:p w14:paraId="192C65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марта 1945 закончились контрольные испытания трофейного облегченного ФВ-190 А-8 N 580967 c BMW-801, которые проводились с 11 марта 1945 (747,4).</w:t>
      </w:r>
    </w:p>
    <w:p w14:paraId="575151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65B1B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И-м Рабкин</w:t>
      </w:r>
    </w:p>
    <w:p w14:paraId="6DF48F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п/п В.И.Хомяков</w:t>
      </w:r>
    </w:p>
    <w:p w14:paraId="5A1F44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Рабкин</w:t>
      </w:r>
    </w:p>
    <w:p w14:paraId="7C8278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рез-та предварительных испытаний</w:t>
      </w:r>
    </w:p>
    <w:p w14:paraId="3448F4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6DD77A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времчя войны немцы произвели несколько модификаций с-та ФВ-190 с мотором возд. Охлаждения БМВ-801</w:t>
      </w:r>
    </w:p>
    <w:p w14:paraId="7E7CE7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истребительный вариант - </w:t>
      </w:r>
      <w:r w:rsidRPr="00925F26">
        <w:rPr>
          <w:color w:val="000000" w:themeColor="text1"/>
          <w:sz w:val="16"/>
          <w:szCs w:val="16"/>
          <w:lang w:val="en-US"/>
        </w:rPr>
        <w:t>Jager</w:t>
      </w:r>
      <w:r w:rsidRPr="00925F26">
        <w:rPr>
          <w:color w:val="000000" w:themeColor="text1"/>
          <w:sz w:val="16"/>
          <w:szCs w:val="16"/>
        </w:rPr>
        <w:t xml:space="preserve"> - ФВ-190А-1, А-2, А-3, А-4, А-6, А-7, А-8, А-9</w:t>
      </w:r>
    </w:p>
    <w:p w14:paraId="18C7CE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штурмовой вариант - </w:t>
      </w:r>
      <w:r w:rsidRPr="00925F26">
        <w:rPr>
          <w:color w:val="000000" w:themeColor="text1"/>
          <w:sz w:val="16"/>
          <w:szCs w:val="16"/>
          <w:lang w:val="en-US"/>
        </w:rPr>
        <w:t>Schlachtsjager</w:t>
      </w:r>
      <w:r w:rsidRPr="00925F26">
        <w:rPr>
          <w:color w:val="000000" w:themeColor="text1"/>
          <w:sz w:val="16"/>
          <w:szCs w:val="16"/>
        </w:rPr>
        <w:t xml:space="preserve"> - ФВ </w:t>
      </w:r>
      <w:r w:rsidRPr="00925F26">
        <w:rPr>
          <w:color w:val="000000" w:themeColor="text1"/>
          <w:sz w:val="16"/>
          <w:szCs w:val="16"/>
          <w:lang w:val="en-US"/>
        </w:rPr>
        <w:t>F</w:t>
      </w:r>
      <w:r w:rsidRPr="00925F26">
        <w:rPr>
          <w:color w:val="000000" w:themeColor="text1"/>
          <w:sz w:val="16"/>
          <w:szCs w:val="16"/>
        </w:rPr>
        <w:t xml:space="preserve">-1, </w:t>
      </w:r>
      <w:r w:rsidRPr="00925F26">
        <w:rPr>
          <w:color w:val="000000" w:themeColor="text1"/>
          <w:sz w:val="16"/>
          <w:szCs w:val="16"/>
          <w:lang w:val="en-US"/>
        </w:rPr>
        <w:t>F</w:t>
      </w:r>
      <w:r w:rsidRPr="00925F26">
        <w:rPr>
          <w:color w:val="000000" w:themeColor="text1"/>
          <w:sz w:val="16"/>
          <w:szCs w:val="16"/>
        </w:rPr>
        <w:t xml:space="preserve">-2, </w:t>
      </w:r>
      <w:r w:rsidRPr="00925F26">
        <w:rPr>
          <w:color w:val="000000" w:themeColor="text1"/>
          <w:sz w:val="16"/>
          <w:szCs w:val="16"/>
          <w:lang w:val="en-US"/>
        </w:rPr>
        <w:t>F</w:t>
      </w:r>
      <w:r w:rsidRPr="00925F26">
        <w:rPr>
          <w:color w:val="000000" w:themeColor="text1"/>
          <w:sz w:val="16"/>
          <w:szCs w:val="16"/>
        </w:rPr>
        <w:t xml:space="preserve">-3, </w:t>
      </w:r>
      <w:r w:rsidRPr="00925F26">
        <w:rPr>
          <w:color w:val="000000" w:themeColor="text1"/>
          <w:sz w:val="16"/>
          <w:szCs w:val="16"/>
          <w:lang w:val="en-US"/>
        </w:rPr>
        <w:t>F</w:t>
      </w:r>
      <w:r w:rsidRPr="00925F26">
        <w:rPr>
          <w:color w:val="000000" w:themeColor="text1"/>
          <w:sz w:val="16"/>
          <w:szCs w:val="16"/>
        </w:rPr>
        <w:t xml:space="preserve">-8, </w:t>
      </w:r>
      <w:r w:rsidRPr="00925F26">
        <w:rPr>
          <w:color w:val="000000" w:themeColor="text1"/>
          <w:sz w:val="16"/>
          <w:szCs w:val="16"/>
          <w:lang w:val="en-US"/>
        </w:rPr>
        <w:t>F</w:t>
      </w:r>
      <w:r w:rsidRPr="00925F26">
        <w:rPr>
          <w:color w:val="000000" w:themeColor="text1"/>
          <w:sz w:val="16"/>
          <w:szCs w:val="16"/>
        </w:rPr>
        <w:t xml:space="preserve">-9, </w:t>
      </w:r>
      <w:r w:rsidRPr="00925F26">
        <w:rPr>
          <w:color w:val="000000" w:themeColor="text1"/>
          <w:sz w:val="16"/>
          <w:szCs w:val="16"/>
          <w:lang w:val="en-US"/>
        </w:rPr>
        <w:t>A</w:t>
      </w:r>
      <w:r w:rsidRPr="00925F26">
        <w:rPr>
          <w:color w:val="000000" w:themeColor="text1"/>
          <w:sz w:val="16"/>
          <w:szCs w:val="16"/>
        </w:rPr>
        <w:t>-5</w:t>
      </w:r>
    </w:p>
    <w:p w14:paraId="4457D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дальний истребительно-бомбардировочный вариант - </w:t>
      </w:r>
      <w:r w:rsidRPr="00925F26">
        <w:rPr>
          <w:color w:val="000000" w:themeColor="text1"/>
          <w:sz w:val="16"/>
          <w:szCs w:val="16"/>
          <w:lang w:val="en-US"/>
        </w:rPr>
        <w:t>Jaborei</w:t>
      </w:r>
      <w:r w:rsidRPr="00925F26">
        <w:rPr>
          <w:color w:val="000000" w:themeColor="text1"/>
          <w:sz w:val="16"/>
          <w:szCs w:val="16"/>
        </w:rPr>
        <w:t xml:space="preserve"> - ФВ-190</w:t>
      </w:r>
      <w:r w:rsidRPr="00925F26">
        <w:rPr>
          <w:color w:val="000000" w:themeColor="text1"/>
          <w:sz w:val="16"/>
          <w:szCs w:val="16"/>
          <w:lang w:val="en-US"/>
        </w:rPr>
        <w:t>G</w:t>
      </w:r>
      <w:r w:rsidRPr="00925F26">
        <w:rPr>
          <w:color w:val="000000" w:themeColor="text1"/>
          <w:sz w:val="16"/>
          <w:szCs w:val="16"/>
        </w:rPr>
        <w:t xml:space="preserve">-1, </w:t>
      </w:r>
      <w:r w:rsidRPr="00925F26">
        <w:rPr>
          <w:color w:val="000000" w:themeColor="text1"/>
          <w:sz w:val="16"/>
          <w:szCs w:val="16"/>
          <w:lang w:val="en-US"/>
        </w:rPr>
        <w:t>G</w:t>
      </w:r>
      <w:r w:rsidRPr="00925F26">
        <w:rPr>
          <w:color w:val="000000" w:themeColor="text1"/>
          <w:sz w:val="16"/>
          <w:szCs w:val="16"/>
        </w:rPr>
        <w:t xml:space="preserve">-2, </w:t>
      </w:r>
      <w:r w:rsidRPr="00925F26">
        <w:rPr>
          <w:color w:val="000000" w:themeColor="text1"/>
          <w:sz w:val="16"/>
          <w:szCs w:val="16"/>
          <w:lang w:val="en-US"/>
        </w:rPr>
        <w:t>G</w:t>
      </w:r>
      <w:r w:rsidRPr="00925F26">
        <w:rPr>
          <w:color w:val="000000" w:themeColor="text1"/>
          <w:sz w:val="16"/>
          <w:szCs w:val="16"/>
        </w:rPr>
        <w:t xml:space="preserve">-3, </w:t>
      </w:r>
      <w:r w:rsidRPr="00925F26">
        <w:rPr>
          <w:color w:val="000000" w:themeColor="text1"/>
          <w:sz w:val="16"/>
          <w:szCs w:val="16"/>
          <w:lang w:val="en-US"/>
        </w:rPr>
        <w:t>G</w:t>
      </w:r>
      <w:r w:rsidRPr="00925F26">
        <w:rPr>
          <w:color w:val="000000" w:themeColor="text1"/>
          <w:sz w:val="16"/>
          <w:szCs w:val="16"/>
        </w:rPr>
        <w:t xml:space="preserve">-8, </w:t>
      </w:r>
      <w:r w:rsidRPr="00925F26">
        <w:rPr>
          <w:color w:val="000000" w:themeColor="text1"/>
          <w:sz w:val="16"/>
          <w:szCs w:val="16"/>
          <w:lang w:val="en-US"/>
        </w:rPr>
        <w:t>G</w:t>
      </w:r>
      <w:r w:rsidRPr="00925F26">
        <w:rPr>
          <w:color w:val="000000" w:themeColor="text1"/>
          <w:sz w:val="16"/>
          <w:szCs w:val="16"/>
        </w:rPr>
        <w:t>-9</w:t>
      </w:r>
    </w:p>
    <w:p w14:paraId="7893E7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последнее время немцы используют для штурмовки наземных войск и объектов с-ты ФВ-190 всех модификаций.</w:t>
      </w:r>
    </w:p>
    <w:p w14:paraId="5D2111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ГК НИИ ВВС КА проходили испытания с-ты ФВ-190А-4 в июле 1943, ФВ-190А-5 в сентябре 1943 и ФВ 190А-8 в декабре 1944.</w:t>
      </w:r>
    </w:p>
    <w:p w14:paraId="58BA1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Цель испытаний - определить ЛТД</w:t>
      </w:r>
    </w:p>
    <w:p w14:paraId="75C2BC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4ACBBD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054187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3E05D2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Вооружени с-та изменено за счет снятия 2=х крыльевых пушек МК-108А-3 калибра 30 мм и б/припасов к ним.</w:t>
      </w:r>
    </w:p>
    <w:p w14:paraId="005DA8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Сняты две бронеплиты под патронными ящиками крыльевых пушек.</w:t>
      </w:r>
    </w:p>
    <w:p w14:paraId="241F8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Уменьшен запас горючего с 642 л до 524 л за счет снятия дополнительного фюзеляжного бака емкостью 118 л</w:t>
      </w:r>
    </w:p>
    <w:p w14:paraId="6873B6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5) Установлен винт </w:t>
      </w:r>
      <w:r w:rsidRPr="00925F26">
        <w:rPr>
          <w:color w:val="000000" w:themeColor="text1"/>
          <w:sz w:val="16"/>
          <w:szCs w:val="16"/>
          <w:lang w:val="en-US"/>
        </w:rPr>
        <w:t>VDM</w:t>
      </w:r>
      <w:r w:rsidRPr="00925F26">
        <w:rPr>
          <w:color w:val="000000" w:themeColor="text1"/>
          <w:sz w:val="16"/>
          <w:szCs w:val="16"/>
        </w:rPr>
        <w:t xml:space="preserve"> Д-3,3, не имеет на комлевых частях лопастей симмертричных грузов - противовесов.</w:t>
      </w:r>
    </w:p>
    <w:p w14:paraId="3A396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484796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3111, полетный - 3986</w:t>
      </w:r>
    </w:p>
    <w:p w14:paraId="7D749C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p w14:paraId="7DA55F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с парашютом - 90</w:t>
      </w:r>
    </w:p>
    <w:p w14:paraId="4C411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уд. Вес 0,75) - на 524 л - 393 кг</w:t>
      </w:r>
    </w:p>
    <w:p w14:paraId="78555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- 49</w:t>
      </w:r>
    </w:p>
    <w:p w14:paraId="7CF151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Стрелково-пушечное вооружение - 127,5 (2хМГ-151 - 84 + 2хМГ-131 - 43,5)</w:t>
      </w:r>
    </w:p>
    <w:p w14:paraId="50CB6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 182 кг</w:t>
      </w:r>
    </w:p>
    <w:p w14:paraId="261F97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- 33,5</w:t>
      </w:r>
    </w:p>
    <w:p w14:paraId="250882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875</w:t>
      </w:r>
    </w:p>
    <w:p w14:paraId="528FF7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Макс. Скорость у земли - 522 при 1,35 (995-998) и 2450</w:t>
      </w:r>
    </w:p>
    <w:p w14:paraId="7819A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1400 - 555, на 2 гр. 6150 - 614</w:t>
      </w:r>
    </w:p>
    <w:p w14:paraId="0B0A1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 Скорость у земли на форсаже - 542 при 1,42 (1045) и 2700</w:t>
      </w:r>
    </w:p>
    <w:p w14:paraId="1D2103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1250 - 569, на 2 гр. 6500 - 642</w:t>
      </w:r>
    </w:p>
    <w:p w14:paraId="168043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включенной кнопкой - 582 при 1,65 (1215) на 2700</w:t>
      </w:r>
    </w:p>
    <w:p w14:paraId="51B01D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5000 - 6,1 и 5,4 при форсаже</w:t>
      </w:r>
    </w:p>
    <w:p w14:paraId="6C6035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1000 м 21-22</w:t>
      </w:r>
    </w:p>
    <w:p w14:paraId="41E456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 боевой работы - 1100 - 1200</w:t>
      </w:r>
    </w:p>
    <w:p w14:paraId="6FCC3A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управлении самолет тяжелый (по-прежнему)</w:t>
      </w:r>
    </w:p>
    <w:p w14:paraId="08E35A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Устойчивость в продольном отношении улучшена за счет смещения вперед цт</w:t>
      </w:r>
    </w:p>
    <w:p w14:paraId="1515C1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7E9F6D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маневренности в гор</w:t>
      </w:r>
      <w:proofErr w:type="gramStart"/>
      <w:r w:rsidRPr="00925F26">
        <w:rPr>
          <w:color w:val="000000" w:themeColor="text1"/>
          <w:sz w:val="16"/>
          <w:szCs w:val="16"/>
        </w:rPr>
        <w:t>.</w:t>
      </w:r>
      <w:proofErr w:type="gramEnd"/>
      <w:r w:rsidRPr="00925F26">
        <w:rPr>
          <w:color w:val="000000" w:themeColor="text1"/>
          <w:sz w:val="16"/>
          <w:szCs w:val="16"/>
        </w:rPr>
        <w:t xml:space="preserve"> и верт. плоскостях с-т уступает всем отечественным истребителям с высоты 250-500 м.</w:t>
      </w:r>
    </w:p>
    <w:p w14:paraId="454519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Хомяков</w:t>
      </w:r>
    </w:p>
    <w:p w14:paraId="06E213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2A0C5F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настоящих испытаний довести до сведения строевых частей ВВС КА и ГК отечественных авиазаводов</w:t>
      </w:r>
    </w:p>
    <w:p w14:paraId="37B961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23 марта 1945 (747,4).</w:t>
      </w:r>
    </w:p>
    <w:p w14:paraId="5DE36867" w14:textId="77777777" w:rsidR="00665165" w:rsidRPr="00925F26" w:rsidRDefault="00665165" w:rsidP="00925F26">
      <w:pPr>
        <w:autoSpaceDE w:val="0"/>
        <w:autoSpaceDN w:val="0"/>
        <w:adjustRightInd w:val="0"/>
        <w:jc w:val="both"/>
        <w:rPr>
          <w:color w:val="000000" w:themeColor="text1"/>
          <w:sz w:val="16"/>
          <w:szCs w:val="16"/>
        </w:rPr>
      </w:pPr>
    </w:p>
    <w:p w14:paraId="78292E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марта 1945 вышло постановление Правительства об организации в рамках НКБ ГЦКБ-1 по РС как конкурента филиала 1 НИИ-1 (2393,24).</w:t>
      </w:r>
    </w:p>
    <w:p w14:paraId="5EE8F036" w14:textId="77777777" w:rsidR="00665165" w:rsidRPr="00925F26" w:rsidRDefault="00665165" w:rsidP="00925F26">
      <w:pPr>
        <w:autoSpaceDE w:val="0"/>
        <w:autoSpaceDN w:val="0"/>
        <w:adjustRightInd w:val="0"/>
        <w:jc w:val="both"/>
        <w:rPr>
          <w:color w:val="000000" w:themeColor="text1"/>
          <w:sz w:val="16"/>
          <w:szCs w:val="16"/>
        </w:rPr>
      </w:pPr>
    </w:p>
    <w:p w14:paraId="29542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19 марта 1945 создано Государственное ЦКБ № 1 для создания пороховых РС. В последние годы ВОВ в его состав вошло КБ-2 вместе с основными работниками: Е.А. Печерский, З.Ю. Бродский, М.А. Ляпунов. С 1.04.1947 г. ГЦКБ № 1 преобразовано в НИИ-1 МСХМ. В 1947-51 г.- в подчинении МСХМ.</w:t>
      </w:r>
    </w:p>
    <w:p w14:paraId="1C1E5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1951 г., после преобразования КБ-2 МСХМ, тематику по НУРС вместе с сотрудниками передали в НИИ-1, где образовался отдел под руководством Э.Н. Кашерининова (перешедшего из НИИ-2 МСХМ) для работ по УРВВ. </w:t>
      </w:r>
    </w:p>
    <w:p w14:paraId="52150D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1952-53 г.- в подчинении ММ, с 1954 г. НИИ-1 – в ведении 6ГУ МОП,А-1/00 в 1959 г.- в ГКОТ. С 1967 г.- МИТ. В 1990 г. МИТ- в ведении МОП. В 1991 г. на базе МИТ образовался НТЦ "Комплекс". По Указу Президента РФ № 1009 от 4.08.2004 г. ФГУП МИТ вошел в число стратегических оборонных предприятий.</w:t>
      </w:r>
    </w:p>
    <w:p w14:paraId="0CB354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Разработка АРС-212 (тема О-21, шифр «Овод»; ведущий инженер Е.Н. Сухов) велась в соответствии с постановлением СМ СССР № 5119-2226 от 15.12.1951 г. и приказом МАП № 1264 от 26.12.1951 г. АРС-212 пнв как С-21 с электровзрывателем В-21 в 1953 г. Разработан АРС-140-150 (1953 г.), на вооружение не принят. А- 1/00 </w:t>
      </w:r>
    </w:p>
    <w:p w14:paraId="56C21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 144-85 от 4.02.1956 г. началась разработка МД-24Ф. Приказом МО № 0071 от 20.06.1962 г. он принят на вооружение вместе с химическим вариантом МС-24УД.</w:t>
      </w:r>
    </w:p>
    <w:p w14:paraId="6E8365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АРС-160 «Пика» и АРС-280 «Буран» (на его базе создан и принят на вооружение (1960 г.) С-24 с механическим взрывателем В-24А) в соответствии с постановлением СМ СССР № 2469-1022 от 19.09.1953 г.</w:t>
      </w:r>
    </w:p>
    <w:p w14:paraId="41E664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13.10.1960 г. вышло постановление СМ СССР о создании корабельного ракетного противолодочного комплекса «Вихрь».</w:t>
      </w:r>
    </w:p>
    <w:p w14:paraId="3E9A73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на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Р-30 «Булава».</w:t>
      </w:r>
    </w:p>
    <w:p w14:paraId="46497D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 (середина 1950-х г.)- С.Я. Бодров (до этого- начальник ГУ по взрывателям в НКБ и директор взрывательного завода). Директор (1961-87 г.)- А.Д. Надирадзе, (1987-93 г.-)- Б.Н. Лагутин, (-1993-2005 г.-)- Ю.С. Соломонов. </w:t>
      </w:r>
    </w:p>
    <w:p w14:paraId="0C53E3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конструктор (1961-87 г.)- А.Д. Надирадзе. Ген. Конструктор (1987-93 г.-)- Б.Н. Лагутин, (-1993-2005 г.-)- Ю.С. Соломонов. </w:t>
      </w:r>
    </w:p>
    <w:p w14:paraId="094C13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1-й зам. Директора (2002 г.)- А.А. Дорофеев. </w:t>
      </w:r>
    </w:p>
    <w:p w14:paraId="468E1E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1-й зам. Ген. Конструктора (2002 г.)- А.А. Дорофеев. Зам. ген. конструктора (1990-е)- Л. Соломонов.63 </w:t>
      </w:r>
    </w:p>
    <w:p w14:paraId="5542B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совета директоров «НТЦ «Комплекс-МИТ» (2002 г.)- Б.Н. Лагутин.</w:t>
      </w:r>
    </w:p>
    <w:p w14:paraId="7A9670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Председателя совета директоров (2002 г.)- Ю.С. Соломонов.</w:t>
      </w:r>
    </w:p>
    <w:p w14:paraId="7870C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Работали: А. Лифшиц (БМ-14), Громов (1951 г.), Н. Жуков (БМД-20Ф), Н. Горбачев (БМ-24), Соркин, Победоносцев, М.В. Орлов (перешедший из НИИ-642, в начале 1960-х был начальником СКБ-1 института), З. Бродский (С-3К), Н. Лобанов (С-21), М. Ляпунов (С-24); (1971 г.-)- Ю.С. Соломонов. </w:t>
      </w:r>
    </w:p>
    <w:p w14:paraId="1AD4E8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НИИ-1 МОП работала (независимо) группа под руководством гл. конструктора Н.П. Мазурова (ОТРК «Нептун», «Марс», «Филин», «Луна»; ПКР «Вихрь», «Ливень», «Медведка»).</w:t>
      </w:r>
    </w:p>
    <w:p w14:paraId="74F858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Создано: НУРС: ТРС-85, ТРС-122, ТРС "339", АРС-212-ОФ (С-21, пнв в 1953 г.), АРС-140-150; С-1, С-2, С-3 (пнв в 1950-х г., но серийно не строились); С-3К (пнв в 1961 г.); С-24 (пнв в середине 1960-х); РСЗО: БМ-14 (8У32, М-14ОФ, пнв в 1952 г.), БМ-14-17 (8У36, М-14ОФ, пнв в 1952 г.), БМД-20Ф (8У33, МД-20, пнв в 1952 г.), БМ-24 (М-24Ф, пнв в 1951 г., М-24ФУД, пнв в 1955 г., МД-24Ф, пнв в 1962 г.); ПТУР: «Кобра» (проект, 1957 г.); ПКР: «Вихрь» РПК-1 (82Р, пнв в 1968 г.), «Ливень» РПК-5 (89Р, пнв в 1980 г.), «Медведка» (опытная, 1980-е); МБР: «Темп», «Темп-2С» 15Ж42 (РС-14, пнв в 1976 г.); «Тополь» РТ-2ПМ (15Ж58, РС-12М, пнв в 1988 г.), конверсионная РН «Старт», «Тополь-М» РТ-2ПМ (РС-12М2, пнв в 1998 г.); «Курьер» (опытная, 1990 г.); БРСД: «Пионер» (15Ж45, РСД-10, пнв в 1976 г.), «Пионер УТТХ» (15Ж53, пнв в 1981 г.); ОТРК: «Нептун» (опытная, 1948 г.); «Марс» 2П2 (3Р1, пнв в 1958 г.), «Филин» 2П4 (3Р2, пнв в 1958 г.); «Луна» 2К6 (3Р9, 3Р10, пнв в 1961 г.), «Луна-М» 9К52 (9М21, пнв в 1967 г.); "Темп" (9М71, опытный, 1959), «Темп-С» 9К76 (ОТР-22, 9М76, пнв в 1965 г.).</w:t>
      </w:r>
    </w:p>
    <w:p w14:paraId="766C3F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ГЦКБ –1 МСХМ, НИИ-1 МСХМ, ММ, МОП, МОМ, ГКОТ, п/я-2227, Московский институт теплотехники (МИТ) ГКОТ, МОП, ФГУП «МИТ» РКА, ЗАО «НТЦ «Комплекс-МИТ»</w:t>
      </w:r>
    </w:p>
    <w:p w14:paraId="31C627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127276 г. Москва, Березовая аллея, 10/1 тел. 907-15-00 (10776).</w:t>
      </w:r>
    </w:p>
    <w:p w14:paraId="19DE67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ГП «НТЦ "Комплекс"»</w:t>
      </w:r>
    </w:p>
    <w:p w14:paraId="0442D6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127276 г. Москва Березовая аллея, 10/1 тел. 402-58-53</w:t>
      </w:r>
    </w:p>
    <w:p w14:paraId="132B2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Основан в 1991 г. на базе МИТ.</w:t>
      </w:r>
    </w:p>
    <w:p w14:paraId="79859C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Разработаны конверсионные транспортабельные РН «Старт».</w:t>
      </w:r>
    </w:p>
    <w:p w14:paraId="15C71E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Президент (2002 г.)- Б.Н. Лагутин.</w:t>
      </w:r>
    </w:p>
    <w:p w14:paraId="12EF04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(2002 г.)- Ю.С. Соломонов.</w:t>
      </w:r>
    </w:p>
    <w:p w14:paraId="76848A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(2002 г.)- В.И. Андрюшин (10776).</w:t>
      </w:r>
    </w:p>
    <w:p w14:paraId="55B33E58" w14:textId="77777777" w:rsidR="00665165" w:rsidRPr="00925F26" w:rsidRDefault="00665165" w:rsidP="00925F26">
      <w:pPr>
        <w:autoSpaceDE w:val="0"/>
        <w:autoSpaceDN w:val="0"/>
        <w:adjustRightInd w:val="0"/>
        <w:jc w:val="both"/>
        <w:rPr>
          <w:color w:val="000000" w:themeColor="text1"/>
          <w:sz w:val="16"/>
          <w:szCs w:val="16"/>
        </w:rPr>
      </w:pPr>
    </w:p>
    <w:p w14:paraId="586B9E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марта 1945 года вышло распоряжение СНК № 4445-р:</w:t>
      </w:r>
    </w:p>
    <w:p w14:paraId="33B1F044"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Земельный участок и здания бывш. ОКБ № 31 НКАП в Воронеже (Коминтерновский район) передать НК стройматериалов под строительство Воронежского гипсового завода (8963).</w:t>
      </w:r>
    </w:p>
    <w:p w14:paraId="4C5B2FC1"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6143CA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19 марта 1945 года в соответствии с приказом МАП за № 139сс были значительно увеличены штаты, производственные площади и количество оборудования ОКБ-250 Добрынина, что позволило довести двигатель М-250 до </w:t>
      </w:r>
      <w:proofErr w:type="gramStart"/>
      <w:r w:rsidRPr="00925F26">
        <w:rPr>
          <w:color w:val="000000" w:themeColor="text1"/>
          <w:sz w:val="16"/>
          <w:szCs w:val="16"/>
        </w:rPr>
        <w:t>50 часового</w:t>
      </w:r>
      <w:proofErr w:type="gramEnd"/>
      <w:r w:rsidRPr="00925F26">
        <w:rPr>
          <w:color w:val="000000" w:themeColor="text1"/>
          <w:sz w:val="16"/>
          <w:szCs w:val="16"/>
        </w:rPr>
        <w:t xml:space="preserve"> ресурса в первом полугодии 1946 года.</w:t>
      </w:r>
    </w:p>
    <w:p w14:paraId="00C792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решением СМ за № 2418-1025с от 3 ноября 1946 года ОКБ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0355DB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двигатель имел максимальную мощность равную 3500 л.с. ………….</w:t>
      </w:r>
    </w:p>
    <w:p w14:paraId="0FC3E2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 был построен и доведен в сравнительно короткие сроки.</w:t>
      </w:r>
    </w:p>
    <w:p w14:paraId="68C3A4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3490A7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2C7FE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40D40B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Первый образец двигателя был собран в январе 1950 года.</w:t>
      </w:r>
    </w:p>
    <w:p w14:paraId="21CFE3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феврале 1951 года двигатель прошел государственные </w:t>
      </w:r>
      <w:proofErr w:type="gramStart"/>
      <w:r w:rsidRPr="00925F26">
        <w:rPr>
          <w:color w:val="000000" w:themeColor="text1"/>
          <w:sz w:val="16"/>
          <w:szCs w:val="16"/>
        </w:rPr>
        <w:t>100 часовые</w:t>
      </w:r>
      <w:proofErr w:type="gramEnd"/>
      <w:r w:rsidRPr="00925F26">
        <w:rPr>
          <w:color w:val="000000" w:themeColor="text1"/>
          <w:sz w:val="16"/>
          <w:szCs w:val="16"/>
        </w:rPr>
        <w:t xml:space="preserve"> стендовые испытания и был рекомендован для запуска в малую серию.</w:t>
      </w:r>
    </w:p>
    <w:p w14:paraId="3F4E09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госиспытаний двигателю М-253К был присвоен индекс ВД-4К.</w:t>
      </w:r>
    </w:p>
    <w:p w14:paraId="2FCCB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5AE7D3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0AA12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период с марта 1952 года по июнь 1954 года была разработана конструкция двигателя, выпущены чертежи ……</w:t>
      </w:r>
      <w:proofErr w:type="gramStart"/>
      <w:r w:rsidRPr="00925F26">
        <w:rPr>
          <w:color w:val="000000" w:themeColor="text1"/>
          <w:sz w:val="16"/>
          <w:szCs w:val="16"/>
        </w:rPr>
        <w:t>……..</w:t>
      </w:r>
      <w:proofErr w:type="gramEnd"/>
      <w:r w:rsidRPr="00925F26">
        <w:rPr>
          <w:color w:val="000000" w:themeColor="text1"/>
          <w:sz w:val="16"/>
          <w:szCs w:val="16"/>
        </w:rPr>
        <w:t xml:space="preserve"> и проведена доводка его до наработки отдельных двигателей до 100 часов.</w:t>
      </w:r>
    </w:p>
    <w:p w14:paraId="63466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июне 1954 года работы по двигателю ВД-5 были прекращены в виду прекращения работ по самолету, для которого он проектировался.</w:t>
      </w:r>
    </w:p>
    <w:p w14:paraId="1F510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1954 года ОКБ занималось созданием следующих двигателей:</w:t>
      </w:r>
    </w:p>
    <w:p w14:paraId="020667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4AB2E7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4C5796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5745D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2D4181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450A3A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346B2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0DFD03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1955 году была разработана конструкция, выпущены чертежи, изготовлен первый образец и начата доводка на прочность.</w:t>
      </w:r>
    </w:p>
    <w:p w14:paraId="3E83BE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5F1DB7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1211F8B6" w14:textId="77777777" w:rsidR="00665165" w:rsidRPr="00925F26" w:rsidRDefault="00665165" w:rsidP="00925F26">
      <w:pPr>
        <w:autoSpaceDE w:val="0"/>
        <w:autoSpaceDN w:val="0"/>
        <w:adjustRightInd w:val="0"/>
        <w:jc w:val="both"/>
        <w:rPr>
          <w:color w:val="000000" w:themeColor="text1"/>
          <w:sz w:val="16"/>
          <w:szCs w:val="16"/>
        </w:rPr>
      </w:pPr>
    </w:p>
    <w:p w14:paraId="567F0F1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373EA28" w14:textId="77777777" w:rsidR="00665165" w:rsidRPr="00925F26" w:rsidRDefault="00665165" w:rsidP="00925F26">
      <w:pPr>
        <w:autoSpaceDE w:val="0"/>
        <w:autoSpaceDN w:val="0"/>
        <w:adjustRightInd w:val="0"/>
        <w:jc w:val="both"/>
        <w:rPr>
          <w:iCs/>
          <w:color w:val="000000" w:themeColor="text1"/>
          <w:sz w:val="16"/>
          <w:szCs w:val="16"/>
        </w:rPr>
      </w:pPr>
    </w:p>
    <w:p w14:paraId="70EAEED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марта 1945 года вышел приказ № 129с НКТП</w:t>
      </w:r>
    </w:p>
    <w:p w14:paraId="7FD8FCE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ГОКО № 7786-с от 11 марта 1945 года и в дополнение к приказу № 120с от 14 марта 1945 года:</w:t>
      </w:r>
    </w:p>
    <w:p w14:paraId="426A10B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Бывшему заводу № 174 присвоить № 800 и включить его в состав 2 ГЛ. управления НКТП (6214, 16).</w:t>
      </w:r>
    </w:p>
    <w:p w14:paraId="7A0F1EC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11BC4C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157F6A9" w14:textId="77777777" w:rsidR="00665165" w:rsidRPr="00925F26" w:rsidRDefault="00665165" w:rsidP="00925F26">
      <w:pPr>
        <w:autoSpaceDE w:val="0"/>
        <w:autoSpaceDN w:val="0"/>
        <w:adjustRightInd w:val="0"/>
        <w:jc w:val="both"/>
        <w:rPr>
          <w:iCs/>
          <w:color w:val="000000" w:themeColor="text1"/>
          <w:sz w:val="16"/>
          <w:szCs w:val="16"/>
        </w:rPr>
      </w:pPr>
    </w:p>
    <w:p w14:paraId="769E5D00" w14:textId="77777777" w:rsidR="00324FA8" w:rsidRPr="00925F26" w:rsidRDefault="00324FA8" w:rsidP="00925F26">
      <w:pPr>
        <w:jc w:val="both"/>
        <w:rPr>
          <w:color w:val="000000" w:themeColor="text1"/>
          <w:sz w:val="16"/>
          <w:szCs w:val="16"/>
        </w:rPr>
      </w:pPr>
      <w:r w:rsidRPr="00925F26">
        <w:rPr>
          <w:bCs/>
          <w:color w:val="000000" w:themeColor="text1"/>
          <w:sz w:val="16"/>
          <w:szCs w:val="16"/>
        </w:rPr>
        <w:t>19 марта</w:t>
      </w:r>
      <w:r w:rsidRPr="00925F26">
        <w:rPr>
          <w:color w:val="000000" w:themeColor="text1"/>
          <w:sz w:val="16"/>
          <w:szCs w:val="16"/>
        </w:rPr>
        <w:t xml:space="preserve"> в 1945 году оперативная сводка Совинформбюро:</w:t>
      </w:r>
    </w:p>
    <w:p w14:paraId="3462BE44" w14:textId="77777777" w:rsidR="00324FA8" w:rsidRPr="00925F26" w:rsidRDefault="00324FA8" w:rsidP="00925F26">
      <w:pPr>
        <w:jc w:val="both"/>
        <w:rPr>
          <w:color w:val="000000" w:themeColor="text1"/>
          <w:sz w:val="16"/>
          <w:szCs w:val="16"/>
        </w:rPr>
      </w:pPr>
      <w:r w:rsidRPr="00925F26">
        <w:rPr>
          <w:color w:val="000000" w:themeColor="text1"/>
          <w:sz w:val="16"/>
          <w:szCs w:val="16"/>
        </w:rPr>
        <w:t>«В течение 19 марта юго-западнее Кенигсберга наши войска вели успешные бои по уничтожению Восточно-Прусской группы немцев и, продвигаясь к побережью залива ФРИШТАФ, заняли более 30 населённых пунктов, в том числе Шелен, Виндкайм, Поттлиттен, Киршайтен, Шрайнен, Квилиттен, Нойвальд, Фрайхуфен, Галлинген, Грюнвальде, Вальтерсдорф, Биркенау, Ной Банду, Пагендорф, Шиллгенен, Клайн Амстмюле, Загерн, Мариенфельде, Вилленберг, Штангендорф, Кальберхаус. В боях за 18 марта в этом районе маши войска взяли в плен 2.138 немецких солдат и офицеров и захватили следующие трофеи: танков и самоходных орудий — 47, орудий — 236, миномётов — 57, пулемётов — 350, автомашин — 530, паровозов — 59, железнодорожных вагонов — 550 и складов с различным военным имуществом — 50.</w:t>
      </w:r>
    </w:p>
    <w:p w14:paraId="4B29F485" w14:textId="77777777" w:rsidR="00324FA8" w:rsidRPr="00925F26" w:rsidRDefault="00324FA8" w:rsidP="00925F26">
      <w:pPr>
        <w:jc w:val="both"/>
        <w:rPr>
          <w:color w:val="000000" w:themeColor="text1"/>
          <w:sz w:val="16"/>
          <w:szCs w:val="16"/>
        </w:rPr>
      </w:pPr>
      <w:r w:rsidRPr="00925F26">
        <w:rPr>
          <w:color w:val="000000" w:themeColor="text1"/>
          <w:sz w:val="16"/>
          <w:szCs w:val="16"/>
        </w:rPr>
        <w:t>По уточнённым данным, в боях за город Кольберг войска 1-го Белорусского фронта взяли в плен более 6.000 немецких солдат и офицеров и захватили следующие трофеи: танков и самоходных орудий — 40, орудий — 100, железнодорожных эшелонов—22, паровозов 48, складов с различным военным имуществом—15. Противник потерял только убитыми до 8.000 солдат и офицеров.</w:t>
      </w:r>
    </w:p>
    <w:p w14:paraId="2396668A" w14:textId="77777777" w:rsidR="00324FA8" w:rsidRPr="00925F26" w:rsidRDefault="00324FA8" w:rsidP="00925F26">
      <w:pPr>
        <w:jc w:val="both"/>
        <w:rPr>
          <w:color w:val="000000" w:themeColor="text1"/>
          <w:sz w:val="16"/>
          <w:szCs w:val="16"/>
        </w:rPr>
      </w:pPr>
      <w:r w:rsidRPr="00925F26">
        <w:rPr>
          <w:color w:val="000000" w:themeColor="text1"/>
          <w:sz w:val="16"/>
          <w:szCs w:val="16"/>
        </w:rPr>
        <w:t>В районе Бреслау наши войска продолжали бои по уничтожению окружённой в городе группировки противника.</w:t>
      </w:r>
    </w:p>
    <w:p w14:paraId="5BE875E7" w14:textId="77777777" w:rsidR="00324FA8" w:rsidRPr="00925F26" w:rsidRDefault="00324FA8"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7FFFFA7A" w14:textId="77777777" w:rsidR="00324FA8" w:rsidRPr="00925F26" w:rsidRDefault="00324FA8" w:rsidP="00925F26">
      <w:pPr>
        <w:jc w:val="both"/>
        <w:rPr>
          <w:color w:val="000000" w:themeColor="text1"/>
          <w:sz w:val="16"/>
          <w:szCs w:val="16"/>
        </w:rPr>
      </w:pPr>
      <w:r w:rsidRPr="00925F26">
        <w:rPr>
          <w:color w:val="000000" w:themeColor="text1"/>
          <w:sz w:val="16"/>
          <w:szCs w:val="16"/>
        </w:rPr>
        <w:t>За 18 марта на всех фронтах подбито и уничтожено 126 немецких танков и самоходных орудий. В воздушных боях и огнём зенитной артиллерии сбито 117 самолётов противника.».</w:t>
      </w:r>
    </w:p>
    <w:p w14:paraId="1A39192D" w14:textId="77777777" w:rsidR="00324FA8" w:rsidRPr="00925F26" w:rsidRDefault="00324FA8" w:rsidP="00925F26">
      <w:pPr>
        <w:jc w:val="both"/>
        <w:rPr>
          <w:color w:val="000000" w:themeColor="text1"/>
          <w:sz w:val="16"/>
          <w:szCs w:val="16"/>
        </w:rPr>
      </w:pPr>
      <w:r w:rsidRPr="00925F26">
        <w:rPr>
          <w:color w:val="000000" w:themeColor="text1"/>
          <w:sz w:val="16"/>
          <w:szCs w:val="16"/>
        </w:rPr>
        <w:t>Налёт нашей авиации на Данциг.</w:t>
      </w:r>
    </w:p>
    <w:p w14:paraId="1B879AC2" w14:textId="77777777" w:rsidR="00324FA8" w:rsidRPr="00925F26" w:rsidRDefault="00324FA8" w:rsidP="00925F26">
      <w:pPr>
        <w:jc w:val="both"/>
        <w:rPr>
          <w:color w:val="000000" w:themeColor="text1"/>
          <w:sz w:val="16"/>
          <w:szCs w:val="16"/>
        </w:rPr>
      </w:pPr>
      <w:r w:rsidRPr="00925F26">
        <w:rPr>
          <w:color w:val="000000" w:themeColor="text1"/>
          <w:sz w:val="16"/>
          <w:szCs w:val="16"/>
        </w:rPr>
        <w:t>«В ночь на 19 марта наши тяжёлые бомбардировщики нанесли удар по военно-промышленным объектам немцев в Данциге.</w:t>
      </w:r>
    </w:p>
    <w:p w14:paraId="3C48BBED" w14:textId="77777777" w:rsidR="00324FA8" w:rsidRPr="00925F26" w:rsidRDefault="00324FA8" w:rsidP="00925F26">
      <w:pPr>
        <w:jc w:val="both"/>
        <w:rPr>
          <w:color w:val="000000" w:themeColor="text1"/>
          <w:sz w:val="16"/>
          <w:szCs w:val="16"/>
        </w:rPr>
      </w:pPr>
      <w:r w:rsidRPr="00925F26">
        <w:rPr>
          <w:color w:val="000000" w:themeColor="text1"/>
          <w:sz w:val="16"/>
          <w:szCs w:val="16"/>
        </w:rPr>
        <w:t>В результате бомбардировки в порту Данциг возникли большие пожары, сопровождавшиеся сильными взрывами.</w:t>
      </w:r>
    </w:p>
    <w:p w14:paraId="4D5E3675" w14:textId="77777777" w:rsidR="00324FA8" w:rsidRPr="00925F26" w:rsidRDefault="00324FA8"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вести успешные бои по ликвидации Восточно-Прусской группировки противника. Немцы оказывают сильное огневое сопротивление и с отчаянием обречённых бросаются в контратаки. Наши войска с востока, юга и запада сжимают кольцо окружения и наносят противнику непрерывные удары. Советские гвардейские части, наступающие вдоль побережья залива Фриш-Гаф, выбили немцев из опорного пункта Шелена. В результате ночной атаки занято село Виндкайм. Ожесточённая борьба происходила за укреплённый пункт Грюн-вальде. Этот населённый пункт, несколько раз переходивший из рук в руки, занят нашими подразделениями. Советские части окружили и уничтожили вражеский гарнизон в опорном пункте Вальтерсдорфе. Юго-западнее города Браунсберга наша пехота при поддержке артиллерии атаковала сильно укреплённые позиции немцев на восточном берегу реки Бауде. Под огнём противника советские бойцы переправились через реку и заняли опорные пункты Вилленберг, Штангендорф и Мариенфедьде (2 километра южнее города Браунсберга). За день боёв уничтожено несколько тысяч солдат и офицеров противника.</w:t>
      </w:r>
    </w:p>
    <w:p w14:paraId="325C0BA9" w14:textId="77777777" w:rsidR="00324FA8" w:rsidRPr="00925F26" w:rsidRDefault="00324FA8" w:rsidP="00925F26">
      <w:pPr>
        <w:jc w:val="both"/>
        <w:rPr>
          <w:color w:val="000000" w:themeColor="text1"/>
          <w:sz w:val="16"/>
          <w:szCs w:val="16"/>
        </w:rPr>
      </w:pPr>
      <w:r w:rsidRPr="00925F26">
        <w:rPr>
          <w:color w:val="000000" w:themeColor="text1"/>
          <w:sz w:val="16"/>
          <w:szCs w:val="16"/>
        </w:rPr>
        <w:t>Советские бомбардировщики, штурмовики и истребители наносили удары по опорным пунктам и огневым позициям немцев, а также по пристаням и причалам в заливе Фриш-Гаф. Территория, занимаемая немецкими войсками, окутана дымом от пожаров, вызванных действиями советской авиации. В воздушных боях за день наши лётчики сбили 29 самолётов противника.</w:t>
      </w:r>
    </w:p>
    <w:p w14:paraId="10380E1E" w14:textId="77777777" w:rsidR="00324FA8" w:rsidRPr="00925F26" w:rsidRDefault="00324FA8" w:rsidP="00925F26">
      <w:pPr>
        <w:jc w:val="both"/>
        <w:rPr>
          <w:color w:val="000000" w:themeColor="text1"/>
          <w:sz w:val="16"/>
          <w:szCs w:val="16"/>
        </w:rPr>
      </w:pPr>
      <w:r w:rsidRPr="00925F26">
        <w:rPr>
          <w:color w:val="000000" w:themeColor="text1"/>
          <w:sz w:val="16"/>
          <w:szCs w:val="16"/>
        </w:rPr>
        <w:t>В боях в Восточной Пруссии советские воины показывают образцы доблести и геройства. Подразделения капитана Серёжникова, завершив смелый обходный манёвр, с тыла атаковали опорный пункт обороны противника. Вражеский гарнизон был разгромлен и в беспорядке отступил, оставив миномёты и склад мин. Наши бойцы повернули трофейное оружие против немцев и выпустили по ним более тысячи мин. Капитан Поединцев, старший сержант Саленов, рядовые Пущенко и Закладный ворвались в дом, из которого немцы вели сильный огонь. Отважные воины гранатами уничтожили 10 гитлеровцев. Остальные находившиеся в доме 23 немецких солдата сдались в плен. Красноармеец Петеалис обнаружил замаскированный пулемёт противника. Тов. Петелис незаметно подобрался к пулемёту и захватил немецких пулемётчиков в плен.</w:t>
      </w:r>
    </w:p>
    <w:p w14:paraId="51823F75" w14:textId="77777777" w:rsidR="00324FA8" w:rsidRPr="00925F26" w:rsidRDefault="00324FA8" w:rsidP="00925F26">
      <w:pPr>
        <w:jc w:val="both"/>
        <w:rPr>
          <w:color w:val="000000" w:themeColor="text1"/>
          <w:sz w:val="16"/>
          <w:szCs w:val="16"/>
        </w:rPr>
      </w:pPr>
      <w:r w:rsidRPr="00925F26">
        <w:rPr>
          <w:color w:val="000000" w:themeColor="text1"/>
          <w:sz w:val="16"/>
          <w:szCs w:val="16"/>
        </w:rPr>
        <w:t>Авиация 2-го Белорусского фронта совершила налёт на аэродром противника в районе Данцига. Советские лётчики бомбардировочно-штурмовым ударом уничтожили 17 и повредили 12 немецких самолётов. На территории аэродрома возникли пожары, среди которых произошло несколько сильных взрывов.</w:t>
      </w:r>
    </w:p>
    <w:p w14:paraId="0CC94BF1" w14:textId="77777777" w:rsidR="00324FA8" w:rsidRPr="00925F26" w:rsidRDefault="00324FA8" w:rsidP="00925F26">
      <w:pPr>
        <w:jc w:val="both"/>
        <w:rPr>
          <w:color w:val="000000" w:themeColor="text1"/>
          <w:sz w:val="16"/>
          <w:szCs w:val="16"/>
        </w:rPr>
      </w:pPr>
      <w:r w:rsidRPr="00925F26">
        <w:rPr>
          <w:color w:val="000000" w:themeColor="text1"/>
          <w:sz w:val="16"/>
          <w:szCs w:val="16"/>
        </w:rPr>
        <w:t>В Бреслау наши войска продолжали бои по ликвидации окружённого гарнизона противника. Преодолевая на своём пути завалы, баррикады и минные заграждения, советские штурмовые группы шаг за шагом продвигаются вперёд. Упорные бои вчера происходили в районе крупного автомобильном завода «Фамо Юнкерс». Наши подразделения сломили сопротивление немцев и заняли юго-западную часть завода. Севернее площади Гинденбурга советские пехотинцы отбили пять контратак противника и в результате боя, неоднократно переходившего в рукопашные сшивки, овладели четырьмя вражескими узлами сопротивления. Другие наши части ведут бои на подступах к главной товарной станции и железнодорожным мастерским.</w:t>
      </w:r>
    </w:p>
    <w:p w14:paraId="21730743" w14:textId="77777777" w:rsidR="00324FA8" w:rsidRPr="00925F26" w:rsidRDefault="00324FA8" w:rsidP="00925F26">
      <w:pPr>
        <w:jc w:val="both"/>
        <w:rPr>
          <w:color w:val="000000" w:themeColor="text1"/>
          <w:sz w:val="16"/>
          <w:szCs w:val="16"/>
        </w:rPr>
      </w:pPr>
      <w:r w:rsidRPr="00925F26">
        <w:rPr>
          <w:color w:val="000000" w:themeColor="text1"/>
          <w:sz w:val="16"/>
          <w:szCs w:val="16"/>
        </w:rPr>
        <w:t>На одной улице немецкая пехота перешла в контратаку. Старшина Пархоменко подпустил гитлеровцев на близкое расстояние и открыл огонь из станкового пулемёта. Часть немцев была уничтожена, а остальные залегли. Противник направил самоходное орудие на помощь своей пехоте. Пархоменко удачно метнул противотанковую гранату и разбил гусеницу орудия. Продолжая вести огонь из пулемёта, старшина Пархоменко истребил ещё несколько десятков немецких солдат и офицеров. Сапёры Кадыров и Соколов взорвали опорный пункт обороны, оборудованный немцами в большом каменном здании. Под развалинами дома погибло много гитлеровцев. Противник пытается на транспортных самолётах доставлять грузы осаждённому гарнизону города Бреслау. Только за одну ночь наши лётчики и зенитчики сбили 7 немецких транспортных самолётов.</w:t>
      </w:r>
    </w:p>
    <w:p w14:paraId="54EA5D58" w14:textId="77777777" w:rsidR="00324FA8" w:rsidRPr="00925F26" w:rsidRDefault="00324FA8"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Балтийском море четыре немецких транспорта общим водоизмещением в 21 тысяч тонн.» (15073).</w:t>
      </w:r>
    </w:p>
    <w:p w14:paraId="3E0BE82A" w14:textId="77777777" w:rsidR="00324FA8" w:rsidRPr="00925F26" w:rsidRDefault="00324FA8" w:rsidP="00925F26">
      <w:pPr>
        <w:jc w:val="both"/>
        <w:rPr>
          <w:color w:val="000000" w:themeColor="text1"/>
          <w:sz w:val="16"/>
          <w:szCs w:val="16"/>
        </w:rPr>
      </w:pPr>
    </w:p>
    <w:p w14:paraId="69D65C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марта 1945 к К.Иванов при штурмовке аэродрома Хайлигенбайле (Восточная Пруссия) направил горящий Ил-2 на скопление самолетов на земле (455,163).</w:t>
      </w:r>
    </w:p>
    <w:p w14:paraId="5F94C73D" w14:textId="77777777" w:rsidR="00665165" w:rsidRPr="00925F26" w:rsidRDefault="00665165" w:rsidP="00925F26">
      <w:pPr>
        <w:autoSpaceDE w:val="0"/>
        <w:autoSpaceDN w:val="0"/>
        <w:adjustRightInd w:val="0"/>
        <w:jc w:val="both"/>
        <w:rPr>
          <w:color w:val="000000" w:themeColor="text1"/>
          <w:sz w:val="16"/>
          <w:szCs w:val="16"/>
        </w:rPr>
      </w:pPr>
    </w:p>
    <w:p w14:paraId="69AC5B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 марта по 8 апреля 1945 польские Ил-2 выполнили ряд разведывательных полетов над Балтийским морем и атаковывали случайные цели, в том числе пусковые площадки ракет V-2 в районе Kamien Pomorski (241,37).</w:t>
      </w:r>
    </w:p>
    <w:p w14:paraId="143C76DC" w14:textId="77777777" w:rsidR="00665165" w:rsidRPr="00925F26" w:rsidRDefault="00665165" w:rsidP="00925F26">
      <w:pPr>
        <w:autoSpaceDE w:val="0"/>
        <w:autoSpaceDN w:val="0"/>
        <w:adjustRightInd w:val="0"/>
        <w:jc w:val="both"/>
        <w:rPr>
          <w:color w:val="000000" w:themeColor="text1"/>
          <w:sz w:val="16"/>
          <w:szCs w:val="16"/>
        </w:rPr>
      </w:pPr>
    </w:p>
    <w:p w14:paraId="6EA89E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марта 1945 на Ил-10 вылетели 42 экипа</w:t>
      </w:r>
      <w:r w:rsidRPr="00925F26">
        <w:rPr>
          <w:color w:val="000000" w:themeColor="text1"/>
          <w:sz w:val="16"/>
          <w:szCs w:val="16"/>
        </w:rPr>
        <w:softHyphen/>
        <w:t>жа 118-го гшап и 41 экипаж 571-го шап, а 20 марта - четыре экипажа 118-го гшап (один летом на Ил-10 и три - поездом) и один экипаж 571-го шап летом на Ил-10 (11132).</w:t>
      </w:r>
    </w:p>
    <w:p w14:paraId="55E7BA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5E9DC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марта 1945 из Куйбышева вылетели 42 экипажа 118-го гшап и 41 -из 571-го шап, а 20 марта - четыре из 118-го гшап (один на Ил-10 и три - поез</w:t>
      </w:r>
      <w:r w:rsidRPr="00925F26">
        <w:rPr>
          <w:color w:val="000000" w:themeColor="text1"/>
          <w:sz w:val="16"/>
          <w:szCs w:val="16"/>
        </w:rPr>
        <w:softHyphen/>
        <w:t>дом) и один экипаж 571-го шап (летом). В следующем месяце на фронт на</w:t>
      </w:r>
      <w:r w:rsidRPr="00925F26">
        <w:rPr>
          <w:color w:val="000000" w:themeColor="text1"/>
          <w:sz w:val="16"/>
          <w:szCs w:val="16"/>
        </w:rPr>
        <w:softHyphen/>
        <w:t>правили сразу семь полков на новых штурмовиках (7, 59, 75-й и 132-й гшап и 723, 899-й и 995-й шап) - в общей слож</w:t>
      </w:r>
      <w:r w:rsidRPr="00925F26">
        <w:rPr>
          <w:color w:val="000000" w:themeColor="text1"/>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925F26">
        <w:rPr>
          <w:color w:val="000000" w:themeColor="text1"/>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925F26">
        <w:rPr>
          <w:color w:val="000000" w:themeColor="text1"/>
          <w:sz w:val="16"/>
          <w:szCs w:val="16"/>
        </w:rPr>
        <w:softHyphen/>
        <w:t>кументам полки этого корпуса проходи</w:t>
      </w:r>
      <w:r w:rsidRPr="00925F26">
        <w:rPr>
          <w:color w:val="000000" w:themeColor="text1"/>
          <w:sz w:val="16"/>
          <w:szCs w:val="16"/>
        </w:rPr>
        <w:softHyphen/>
        <w:t>ли тренировку для участия в параде на Красной площади по случаю победы над Германией (10681).</w:t>
      </w:r>
    </w:p>
    <w:p w14:paraId="67C194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873A307" w14:textId="77777777" w:rsidR="0049679F"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741F5E5" w14:textId="77777777" w:rsidR="0049679F" w:rsidRPr="00925F26" w:rsidRDefault="0049679F" w:rsidP="00925F26">
      <w:pPr>
        <w:shd w:val="clear" w:color="auto" w:fill="FFFFFF"/>
        <w:autoSpaceDE w:val="0"/>
        <w:autoSpaceDN w:val="0"/>
        <w:adjustRightInd w:val="0"/>
        <w:jc w:val="both"/>
        <w:rPr>
          <w:color w:val="000000" w:themeColor="text1"/>
          <w:sz w:val="16"/>
          <w:szCs w:val="16"/>
        </w:rPr>
      </w:pPr>
    </w:p>
    <w:p w14:paraId="18832E6E" w14:textId="77777777" w:rsidR="0049679F" w:rsidRPr="00925F26" w:rsidRDefault="0049679F" w:rsidP="00925F26">
      <w:pPr>
        <w:autoSpaceDE w:val="0"/>
        <w:autoSpaceDN w:val="0"/>
        <w:adjustRightInd w:val="0"/>
        <w:jc w:val="both"/>
        <w:rPr>
          <w:iCs/>
          <w:color w:val="000000" w:themeColor="text1"/>
          <w:sz w:val="16"/>
          <w:szCs w:val="16"/>
        </w:rPr>
      </w:pPr>
      <w:r w:rsidRPr="00925F26">
        <w:rPr>
          <w:color w:val="000000" w:themeColor="text1"/>
          <w:sz w:val="16"/>
          <w:szCs w:val="16"/>
        </w:rPr>
        <w:t>19 марта 1945 г.</w:t>
      </w:r>
      <w:r w:rsidRPr="00925F26">
        <w:rPr>
          <w:bCs/>
          <w:color w:val="000000" w:themeColor="text1"/>
          <w:sz w:val="16"/>
          <w:szCs w:val="16"/>
        </w:rPr>
        <w:t xml:space="preserve"> В.М. Молотов, пригласив в МИД турецкого посла Селима Сарпера, официально заявил ему, что Советское правительство денонсирует договор 1925 г. со всеми относящимися к нему протоколами и актами как утративший своё значение и нуждающийся в серьёзных изменениях. Кстати, срок его действия, согласно последнему продлению, истекал 7 ноября 1945 г. По поводу советской ноты в Анкаре состоялось заседание правительства Турции, на нём был обсуждён и затем </w:t>
      </w:r>
      <w:r w:rsidRPr="00925F26">
        <w:rPr>
          <w:bCs/>
          <w:color w:val="000000" w:themeColor="text1"/>
          <w:sz w:val="16"/>
          <w:szCs w:val="16"/>
        </w:rPr>
        <w:lastRenderedPageBreak/>
        <w:t>утверждён проект ответной турецкой ноты. В нём сообщалось о готовности заключить новый документ, более соответствующий времени</w:t>
      </w:r>
      <w:proofErr w:type="gramStart"/>
      <w:r w:rsidRPr="00925F26">
        <w:rPr>
          <w:bCs/>
          <w:color w:val="000000" w:themeColor="text1"/>
          <w:sz w:val="16"/>
          <w:szCs w:val="16"/>
        </w:rPr>
        <w:t>, И</w:t>
      </w:r>
      <w:proofErr w:type="gramEnd"/>
      <w:r w:rsidRPr="00925F26">
        <w:rPr>
          <w:bCs/>
          <w:color w:val="000000" w:themeColor="text1"/>
          <w:sz w:val="16"/>
          <w:szCs w:val="16"/>
        </w:rPr>
        <w:t xml:space="preserve"> предлагалось советской стороне как инициатору предложения об отмене договора 1925 г. представить советский вариант основных положений будущего договора (17459).</w:t>
      </w:r>
    </w:p>
    <w:p w14:paraId="7B98FC70" w14:textId="77777777" w:rsidR="0049679F" w:rsidRPr="00925F26" w:rsidRDefault="0049679F" w:rsidP="00925F26">
      <w:pPr>
        <w:autoSpaceDE w:val="0"/>
        <w:autoSpaceDN w:val="0"/>
        <w:adjustRightInd w:val="0"/>
        <w:jc w:val="both"/>
        <w:rPr>
          <w:iCs/>
          <w:color w:val="000000" w:themeColor="text1"/>
          <w:sz w:val="16"/>
          <w:szCs w:val="16"/>
        </w:rPr>
      </w:pPr>
    </w:p>
    <w:p w14:paraId="371943A8" w14:textId="77777777" w:rsidR="00DB3663" w:rsidRPr="00925F26" w:rsidRDefault="00DB3663" w:rsidP="00925F26">
      <w:pPr>
        <w:jc w:val="both"/>
        <w:rPr>
          <w:color w:val="000000" w:themeColor="text1"/>
          <w:sz w:val="16"/>
          <w:szCs w:val="16"/>
        </w:rPr>
      </w:pPr>
      <w:r w:rsidRPr="00925F26">
        <w:rPr>
          <w:color w:val="000000" w:themeColor="text1"/>
          <w:sz w:val="16"/>
          <w:szCs w:val="16"/>
        </w:rPr>
        <w:t>19 марта 1945 г. был денонсирован Договор о дружбе и нейтралитете 1925 г., 7 и 18 июня 1945 г. состоялись исторические встречи главы советского внешнеполитического ведомства В. М. Молотова и посла Турции в СССР С. Сарпера, на которых были выдвинуты три основных требования: совместный контроль над Проливами, предоставление СССР военных баз в Проливах и удовлетворение территориальных претензий, в число которых входил вопрос передачи под юрисдикцию СССР округов Карс и Ардаган19. Турецкая сторона соглашалась лишь на заключение с СССР союзного договора против возможной агрессии со стороны европейских и средиземноморских стран, а также предлагала заключить договор о покупке оружия у СССР для того, чтобы обеспечить оборону Проливов20. Посол Турции в СССР предлагал условия, на которых впоследствии можно было выстроить новую базу дружественных советско-турецких отношений, по крайней мере предупредить развертывание американских баз, в том числе с ядерным оружием, на границах с СССР, что произошло в 1950-е годы. Однако В.М. Молотов не отступил ни от одного из своих требований и отказался заключать договор21, что негативным образом отразилось на дальнейших отношениях между нашими странами. Советское правительство считало свои жесткие требования обоснованными по двум причинам: недостаточно дружественный нейтралитет Турции во время Великой Отечественной войны (в том числе нарушения конвенции о режиме Проливов), а также несправедливость договора 1921 г., по которому к Республике Турция отошли территории Карса и Ардагана, присоединенные к Российской империи по Берлинскому трактату 1878 г. (18513).</w:t>
      </w:r>
    </w:p>
    <w:p w14:paraId="5F455E51" w14:textId="77777777" w:rsidR="00DB3663" w:rsidRPr="00925F26" w:rsidRDefault="00DB3663" w:rsidP="00925F26">
      <w:pPr>
        <w:jc w:val="both"/>
        <w:rPr>
          <w:color w:val="000000" w:themeColor="text1"/>
          <w:sz w:val="16"/>
          <w:szCs w:val="16"/>
        </w:rPr>
      </w:pPr>
    </w:p>
    <w:p w14:paraId="034044E9" w14:textId="77777777" w:rsidR="0049679F" w:rsidRPr="00925F26" w:rsidRDefault="0049679F" w:rsidP="00925F26">
      <w:pPr>
        <w:autoSpaceDE w:val="0"/>
        <w:autoSpaceDN w:val="0"/>
        <w:adjustRightInd w:val="0"/>
        <w:jc w:val="both"/>
        <w:rPr>
          <w:iCs/>
          <w:color w:val="000000" w:themeColor="text1"/>
          <w:sz w:val="16"/>
          <w:szCs w:val="16"/>
        </w:rPr>
      </w:pPr>
      <w:r w:rsidRPr="00925F26">
        <w:rPr>
          <w:color w:val="000000" w:themeColor="text1"/>
          <w:sz w:val="16"/>
          <w:szCs w:val="16"/>
        </w:rPr>
        <w:t>19 марта 1945 г.</w:t>
      </w:r>
      <w:r w:rsidRPr="00925F26">
        <w:rPr>
          <w:bCs/>
          <w:color w:val="000000" w:themeColor="text1"/>
          <w:sz w:val="16"/>
          <w:szCs w:val="16"/>
        </w:rPr>
        <w:t xml:space="preserve"> во время переговоров с Молотовым в Москве Бенеш, будучи заинтересованным, в поддержке СССР в вопросе выселения судетских немцев из Чехословакии, вновь подтвердил готовность чехов уступить Подкарпатскую Русь (Карпатскую Украину) Советскому Союзу, предложив заключить договор о передаче Карпатской Украины СССР и отметив, что в течение 20 лет он никогда не считал вопрос Карпатской Украины «окончательно решенным» (17459).</w:t>
      </w:r>
    </w:p>
    <w:p w14:paraId="53A05F4F" w14:textId="77777777" w:rsidR="0049679F" w:rsidRPr="00925F26" w:rsidRDefault="0049679F" w:rsidP="00925F26">
      <w:pPr>
        <w:autoSpaceDE w:val="0"/>
        <w:autoSpaceDN w:val="0"/>
        <w:adjustRightInd w:val="0"/>
        <w:jc w:val="both"/>
        <w:rPr>
          <w:iCs/>
          <w:color w:val="000000" w:themeColor="text1"/>
          <w:sz w:val="16"/>
          <w:szCs w:val="16"/>
        </w:rPr>
      </w:pPr>
    </w:p>
    <w:p w14:paraId="4A752A2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BDFCDFA" w14:textId="77777777" w:rsidR="00665165" w:rsidRPr="00925F26" w:rsidRDefault="00665165" w:rsidP="00925F26">
      <w:pPr>
        <w:autoSpaceDE w:val="0"/>
        <w:autoSpaceDN w:val="0"/>
        <w:adjustRightInd w:val="0"/>
        <w:jc w:val="both"/>
        <w:rPr>
          <w:iCs/>
          <w:color w:val="000000" w:themeColor="text1"/>
          <w:sz w:val="16"/>
          <w:szCs w:val="16"/>
        </w:rPr>
      </w:pPr>
    </w:p>
    <w:p w14:paraId="23EDAA31" w14:textId="77777777" w:rsidR="00324FA8" w:rsidRPr="00925F26" w:rsidRDefault="00324FA8" w:rsidP="00925F26">
      <w:pPr>
        <w:jc w:val="both"/>
        <w:rPr>
          <w:color w:val="000000" w:themeColor="text1"/>
          <w:sz w:val="16"/>
          <w:szCs w:val="16"/>
        </w:rPr>
      </w:pPr>
      <w:r w:rsidRPr="00925F26">
        <w:rPr>
          <w:bCs/>
          <w:color w:val="000000" w:themeColor="text1"/>
          <w:sz w:val="16"/>
          <w:szCs w:val="16"/>
        </w:rPr>
        <w:t>19 марта</w:t>
      </w:r>
      <w:r w:rsidRPr="00925F26">
        <w:rPr>
          <w:color w:val="000000" w:themeColor="text1"/>
          <w:sz w:val="16"/>
          <w:szCs w:val="16"/>
        </w:rPr>
        <w:t xml:space="preserve"> в 1945 году во время передислокации 901/2 батареи, стреляющей БР "A-4"/SS-1/Scunner/ (Фау-2), из Kirburg в Marienberg авиация союзников разбомбила всю колонну, остановившуюся из-за поломки головной машины (15073).</w:t>
      </w:r>
    </w:p>
    <w:p w14:paraId="6FA6E061" w14:textId="77777777" w:rsidR="00324FA8" w:rsidRPr="00925F26" w:rsidRDefault="00324FA8" w:rsidP="00925F26">
      <w:pPr>
        <w:jc w:val="both"/>
        <w:rPr>
          <w:color w:val="000000" w:themeColor="text1"/>
          <w:sz w:val="16"/>
          <w:szCs w:val="16"/>
        </w:rPr>
      </w:pPr>
    </w:p>
    <w:p w14:paraId="6FFAED7C" w14:textId="77777777" w:rsidR="00324FA8" w:rsidRPr="00925F26" w:rsidRDefault="00324FA8" w:rsidP="00925F26">
      <w:pPr>
        <w:jc w:val="both"/>
        <w:rPr>
          <w:color w:val="000000" w:themeColor="text1"/>
          <w:sz w:val="16"/>
          <w:szCs w:val="16"/>
        </w:rPr>
      </w:pPr>
      <w:r w:rsidRPr="00925F26">
        <w:rPr>
          <w:bCs/>
          <w:color w:val="000000" w:themeColor="text1"/>
          <w:sz w:val="16"/>
          <w:szCs w:val="16"/>
        </w:rPr>
        <w:t>19 марта</w:t>
      </w:r>
      <w:r w:rsidRPr="00925F26">
        <w:rPr>
          <w:color w:val="000000" w:themeColor="text1"/>
          <w:sz w:val="16"/>
          <w:szCs w:val="16"/>
        </w:rPr>
        <w:t xml:space="preserve"> в 1945 году на перехват 978 самолётов союзников поднялись 40 немецких истребителей, в том числе реактивные «Ме-262» и «Ме-163». Пилоты «Me-262» заявили об уничтожении трех «В-17», а от летчиков «Ме-163» удача в тот день отвернулась. Союзники отмечали появление «Ме-163» 24, 30 и 31 марта, причём 24 марта один из реактивных "мессеров" был сбит (15073).</w:t>
      </w:r>
    </w:p>
    <w:p w14:paraId="08759ED1" w14:textId="77777777" w:rsidR="00324FA8" w:rsidRPr="00925F26" w:rsidRDefault="00324FA8" w:rsidP="00925F26">
      <w:pPr>
        <w:jc w:val="both"/>
        <w:rPr>
          <w:color w:val="000000" w:themeColor="text1"/>
          <w:sz w:val="16"/>
          <w:szCs w:val="16"/>
        </w:rPr>
      </w:pPr>
    </w:p>
    <w:p w14:paraId="235A79A4" w14:textId="77777777" w:rsidR="0049679F" w:rsidRPr="00925F26" w:rsidRDefault="0049679F"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марта</w:t>
      </w:r>
      <w:r w:rsidRPr="00925F26">
        <w:rPr>
          <w:bCs/>
          <w:color w:val="000000" w:themeColor="text1"/>
          <w:sz w:val="16"/>
          <w:szCs w:val="16"/>
        </w:rPr>
        <w:t xml:space="preserve"> 1945 неподалеку от итало-швейцарской границы, на берегу озера Маджоре состоялась встреча Вольфа с военными представителями союзников: английским генералом Эйри и американским генералом Лемницером, на которой обсуждались условия будущей капитуляции. Но по возвращении в Италию Вольф вновь столкнулся с неприятностями. На этот раз из Берлина позвонил Гиммлер и сообщил, что отныне семья Вольфа, а также фрау Дольман будут находиться под особым наблюдением гестапо. Кроме того, Вольфу впредь запрещалось выезжать за пределы Италии. Гиммлер звонил неоднократно, каждый раз интересуясь здоровьем Вольфа и передавая привет от семьи. Вольф не на шутку встревожился (17459).</w:t>
      </w:r>
    </w:p>
    <w:p w14:paraId="60F94784" w14:textId="77777777" w:rsidR="0049679F" w:rsidRPr="00925F26" w:rsidRDefault="0049679F" w:rsidP="00925F26">
      <w:pPr>
        <w:tabs>
          <w:tab w:val="left" w:pos="11199"/>
        </w:tabs>
        <w:autoSpaceDE w:val="0"/>
        <w:autoSpaceDN w:val="0"/>
        <w:adjustRightInd w:val="0"/>
        <w:jc w:val="both"/>
        <w:rPr>
          <w:color w:val="000000" w:themeColor="text1"/>
          <w:sz w:val="16"/>
          <w:szCs w:val="16"/>
        </w:rPr>
      </w:pPr>
    </w:p>
    <w:p w14:paraId="563982F8" w14:textId="77777777" w:rsidR="0049679F" w:rsidRPr="00925F26" w:rsidRDefault="0049679F"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19 марта 1945 г. тайные контакты немцев с союзниками в Швейцарии стали явными, это привело к невозможности заключения тайного соглашения о капитуляции в Северной Италии. Все это отголоски остановки советских войск на Одере 17 февраля 1945 </w:t>
      </w:r>
      <w:proofErr w:type="gramStart"/>
      <w:r w:rsidRPr="00925F26">
        <w:rPr>
          <w:color w:val="000000" w:themeColor="text1"/>
          <w:sz w:val="16"/>
          <w:szCs w:val="16"/>
        </w:rPr>
        <w:t>г..</w:t>
      </w:r>
      <w:proofErr w:type="gramEnd"/>
      <w:r w:rsidRPr="00925F26">
        <w:rPr>
          <w:color w:val="000000" w:themeColor="text1"/>
          <w:sz w:val="16"/>
          <w:szCs w:val="16"/>
        </w:rPr>
        <w:t xml:space="preserve"> Союзники нарушали соглашение, заключенное в Москве (19 октября 1943 г.), но проблема в том, что американские спецслужбы по традиции действовали самостоятельно и не спешили подавать информацию наверх (17459).</w:t>
      </w:r>
    </w:p>
    <w:p w14:paraId="77625322" w14:textId="77777777" w:rsidR="0049679F" w:rsidRPr="00925F26" w:rsidRDefault="0049679F" w:rsidP="00925F26">
      <w:pPr>
        <w:tabs>
          <w:tab w:val="left" w:pos="11199"/>
        </w:tabs>
        <w:autoSpaceDE w:val="0"/>
        <w:autoSpaceDN w:val="0"/>
        <w:adjustRightInd w:val="0"/>
        <w:jc w:val="both"/>
        <w:rPr>
          <w:color w:val="000000" w:themeColor="text1"/>
          <w:sz w:val="16"/>
          <w:szCs w:val="16"/>
        </w:rPr>
      </w:pPr>
    </w:p>
    <w:p w14:paraId="121C46E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19 марта 1945 Гитлер объявил о начале тактики выжженной земли, заявив: “Если война проиграна, нация тоже должна исчезнуть” (4962), вышел приказ </w:t>
      </w:r>
      <w:proofErr w:type="gramStart"/>
      <w:r w:rsidRPr="00925F26">
        <w:rPr>
          <w:color w:val="000000" w:themeColor="text1"/>
          <w:sz w:val="16"/>
          <w:szCs w:val="16"/>
        </w:rPr>
        <w:t>Гитлера,на</w:t>
      </w:r>
      <w:proofErr w:type="gramEnd"/>
      <w:r w:rsidRPr="00925F26">
        <w:rPr>
          <w:color w:val="000000" w:themeColor="text1"/>
          <w:sz w:val="16"/>
          <w:szCs w:val="16"/>
        </w:rPr>
        <w:t xml:space="preserve"> основании которого следовало уничтожать при отходе все, что в какой-то мере прямо или </w:t>
      </w:r>
      <w:proofErr w:type="gramStart"/>
      <w:r w:rsidRPr="00925F26">
        <w:rPr>
          <w:color w:val="000000" w:themeColor="text1"/>
          <w:sz w:val="16"/>
          <w:szCs w:val="16"/>
        </w:rPr>
        <w:t>косвенно,немедленно</w:t>
      </w:r>
      <w:proofErr w:type="gramEnd"/>
      <w:r w:rsidRPr="00925F26">
        <w:rPr>
          <w:color w:val="000000" w:themeColor="text1"/>
          <w:sz w:val="16"/>
          <w:szCs w:val="16"/>
        </w:rPr>
        <w:t xml:space="preserve"> или в будущем может быть использовано противником (</w:t>
      </w:r>
      <w:proofErr w:type="gramStart"/>
      <w:r w:rsidRPr="00925F26">
        <w:rPr>
          <w:color w:val="000000" w:themeColor="text1"/>
          <w:sz w:val="16"/>
          <w:szCs w:val="16"/>
        </w:rPr>
        <w:t>4963 )</w:t>
      </w:r>
      <w:proofErr w:type="gramEnd"/>
      <w:r w:rsidRPr="00925F26">
        <w:rPr>
          <w:color w:val="000000" w:themeColor="text1"/>
          <w:sz w:val="16"/>
          <w:szCs w:val="16"/>
        </w:rPr>
        <w:t>.</w:t>
      </w:r>
    </w:p>
    <w:p w14:paraId="61D8AFA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0D7B285" w14:textId="77777777" w:rsidR="00324FA8" w:rsidRPr="00925F26" w:rsidRDefault="00324FA8" w:rsidP="00925F26">
      <w:pPr>
        <w:jc w:val="both"/>
        <w:rPr>
          <w:color w:val="000000" w:themeColor="text1"/>
          <w:sz w:val="16"/>
          <w:szCs w:val="16"/>
        </w:rPr>
      </w:pPr>
      <w:r w:rsidRPr="00925F26">
        <w:rPr>
          <w:bCs/>
          <w:color w:val="000000" w:themeColor="text1"/>
          <w:sz w:val="16"/>
          <w:szCs w:val="16"/>
        </w:rPr>
        <w:t>19 марта</w:t>
      </w:r>
      <w:r w:rsidRPr="00925F26">
        <w:rPr>
          <w:color w:val="000000" w:themeColor="text1"/>
          <w:sz w:val="16"/>
          <w:szCs w:val="16"/>
        </w:rPr>
        <w:t xml:space="preserve"> в 1945 году Адольф Гитлер объявил о начале тактики выжженной земли, подписав директиву о том, что все военные, промышленные, транспортные объекты и объекты связи, равно как и все материальные ресурсы Германии, должны быть уничтожены, дабы не попасть в руки врага. "Если война проиграна, нация тоже должна исчезнуть" (15073).</w:t>
      </w:r>
    </w:p>
    <w:p w14:paraId="7DE88722" w14:textId="77777777" w:rsidR="00324FA8" w:rsidRPr="00925F26" w:rsidRDefault="00324FA8" w:rsidP="00925F26">
      <w:pPr>
        <w:jc w:val="both"/>
        <w:rPr>
          <w:color w:val="000000" w:themeColor="text1"/>
          <w:sz w:val="16"/>
          <w:szCs w:val="16"/>
        </w:rPr>
      </w:pPr>
    </w:p>
    <w:p w14:paraId="5C9515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марта 1945 А.Гитлер приказал проводить тактику выжженной земли (2100).</w:t>
      </w:r>
    </w:p>
    <w:p w14:paraId="5E7987D0" w14:textId="77777777" w:rsidR="00665165" w:rsidRPr="00925F26" w:rsidRDefault="00665165" w:rsidP="00925F26">
      <w:pPr>
        <w:autoSpaceDE w:val="0"/>
        <w:autoSpaceDN w:val="0"/>
        <w:adjustRightInd w:val="0"/>
        <w:jc w:val="both"/>
        <w:rPr>
          <w:color w:val="000000" w:themeColor="text1"/>
          <w:sz w:val="16"/>
          <w:szCs w:val="16"/>
        </w:rPr>
      </w:pPr>
    </w:p>
    <w:p w14:paraId="775C2EE5" w14:textId="77777777" w:rsidR="0049679F" w:rsidRPr="00925F26" w:rsidRDefault="0049679F" w:rsidP="00925F26">
      <w:pPr>
        <w:jc w:val="both"/>
        <w:rPr>
          <w:bCs/>
          <w:color w:val="000000" w:themeColor="text1"/>
          <w:sz w:val="16"/>
          <w:szCs w:val="16"/>
        </w:rPr>
      </w:pPr>
      <w:r w:rsidRPr="00925F26">
        <w:rPr>
          <w:color w:val="000000" w:themeColor="text1"/>
          <w:sz w:val="16"/>
          <w:szCs w:val="16"/>
        </w:rPr>
        <w:t>19 марта 1945 г. Гитлер отдал приказ о всеобщем разрушении, 23 марта Мартин Борман назначил ответственных за полное разрушение инфраструктуры – это были партийные вожди территорий – гауляйтеры (17459).</w:t>
      </w:r>
    </w:p>
    <w:p w14:paraId="267FFC75" w14:textId="77777777" w:rsidR="0049679F" w:rsidRPr="00925F26" w:rsidRDefault="0049679F" w:rsidP="00925F26">
      <w:pPr>
        <w:autoSpaceDE w:val="0"/>
        <w:autoSpaceDN w:val="0"/>
        <w:adjustRightInd w:val="0"/>
        <w:jc w:val="both"/>
        <w:rPr>
          <w:color w:val="000000" w:themeColor="text1"/>
          <w:sz w:val="16"/>
          <w:szCs w:val="16"/>
        </w:rPr>
      </w:pPr>
    </w:p>
    <w:p w14:paraId="1704D253" w14:textId="77777777" w:rsidR="00324FA8" w:rsidRPr="00925F26" w:rsidRDefault="00324FA8" w:rsidP="00925F26">
      <w:pPr>
        <w:autoSpaceDE w:val="0"/>
        <w:autoSpaceDN w:val="0"/>
        <w:adjustRightInd w:val="0"/>
        <w:jc w:val="both"/>
        <w:rPr>
          <w:color w:val="000000" w:themeColor="text1"/>
          <w:sz w:val="16"/>
          <w:szCs w:val="16"/>
        </w:rPr>
      </w:pPr>
      <w:r w:rsidRPr="00925F26">
        <w:rPr>
          <w:color w:val="000000" w:themeColor="text1"/>
          <w:sz w:val="16"/>
          <w:szCs w:val="16"/>
        </w:rPr>
        <w:t>19 марта 1945 7А США (Патч) захватила Вормс на Рейне. 8ВА США выполнила налет силами 200 б и 700 и на Берлин. А.Г. приказал разрушать все промышленные и транспортные сооружения, чтобы они не попали в руки врага. Приказ не выполнялся (3819).</w:t>
      </w:r>
    </w:p>
    <w:p w14:paraId="2F056803" w14:textId="77777777" w:rsidR="00324FA8" w:rsidRPr="00925F26" w:rsidRDefault="00324FA8" w:rsidP="00925F26">
      <w:pPr>
        <w:autoSpaceDE w:val="0"/>
        <w:autoSpaceDN w:val="0"/>
        <w:adjustRightInd w:val="0"/>
        <w:jc w:val="both"/>
        <w:rPr>
          <w:color w:val="000000" w:themeColor="text1"/>
          <w:sz w:val="16"/>
          <w:szCs w:val="16"/>
        </w:rPr>
      </w:pPr>
    </w:p>
    <w:p w14:paraId="7D73F4DB" w14:textId="77777777" w:rsidR="00324FA8" w:rsidRPr="00925F26" w:rsidRDefault="00324FA8" w:rsidP="00925F26">
      <w:pPr>
        <w:jc w:val="both"/>
        <w:rPr>
          <w:color w:val="000000" w:themeColor="text1"/>
          <w:sz w:val="16"/>
          <w:szCs w:val="16"/>
        </w:rPr>
      </w:pPr>
      <w:r w:rsidRPr="00925F26">
        <w:rPr>
          <w:bCs/>
          <w:color w:val="000000" w:themeColor="text1"/>
          <w:sz w:val="16"/>
          <w:szCs w:val="16"/>
        </w:rPr>
        <w:t>19 марта</w:t>
      </w:r>
      <w:r w:rsidRPr="00925F26">
        <w:rPr>
          <w:color w:val="000000" w:themeColor="text1"/>
          <w:sz w:val="16"/>
          <w:szCs w:val="16"/>
        </w:rPr>
        <w:t xml:space="preserve"> в 1945 году в Швейцарии состоялась встреча генерала СС К.Вольфа с представителями английского командования в Италии (15073).</w:t>
      </w:r>
    </w:p>
    <w:p w14:paraId="6485777B" w14:textId="77777777" w:rsidR="00324FA8" w:rsidRPr="00925F26" w:rsidRDefault="00324FA8" w:rsidP="00925F26">
      <w:pPr>
        <w:jc w:val="both"/>
        <w:rPr>
          <w:color w:val="000000" w:themeColor="text1"/>
          <w:sz w:val="16"/>
          <w:szCs w:val="16"/>
        </w:rPr>
      </w:pPr>
    </w:p>
    <w:p w14:paraId="6F45A8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марта 1945 на совещании представителей чехословацкого эмигрантского правительства, компартии и Словацкого национального совета была достигнута договоренность о создании правительства Чехословакии (3186).</w:t>
      </w:r>
    </w:p>
    <w:p w14:paraId="5E653D34" w14:textId="77777777" w:rsidR="00665165" w:rsidRPr="00925F26" w:rsidRDefault="00665165" w:rsidP="00925F26">
      <w:pPr>
        <w:autoSpaceDE w:val="0"/>
        <w:autoSpaceDN w:val="0"/>
        <w:adjustRightInd w:val="0"/>
        <w:jc w:val="both"/>
        <w:rPr>
          <w:color w:val="000000" w:themeColor="text1"/>
          <w:sz w:val="16"/>
          <w:szCs w:val="16"/>
        </w:rPr>
      </w:pPr>
    </w:p>
    <w:p w14:paraId="6CE9E90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19th, 1945: The US Seventh Army (Patch) captures Worms on the Rhine. In the East, heavy fighting in Hungary and East Prussia. The US 8th Air Force carries out another heavy attack (200 bombers and 700 fighters) against Berlin. Hitler orders the demolition of all German industrial, utility and transport facilities in danger of falling into enemy hands; this order (Verbrannte Erde Scorched Earth) is sabotaged by armaments minister Speer and most local commanders (3819).</w:t>
      </w:r>
    </w:p>
    <w:p w14:paraId="649CA187" w14:textId="77777777" w:rsidR="00665165" w:rsidRPr="00925F26" w:rsidRDefault="00665165" w:rsidP="00925F26">
      <w:pPr>
        <w:autoSpaceDE w:val="0"/>
        <w:autoSpaceDN w:val="0"/>
        <w:adjustRightInd w:val="0"/>
        <w:jc w:val="both"/>
        <w:rPr>
          <w:color w:val="000000" w:themeColor="text1"/>
          <w:sz w:val="16"/>
          <w:szCs w:val="16"/>
          <w:lang w:val="en-US"/>
        </w:rPr>
      </w:pPr>
    </w:p>
    <w:p w14:paraId="67EDB40C" w14:textId="77777777" w:rsidR="0049679F" w:rsidRPr="00925F26" w:rsidRDefault="0049679F" w:rsidP="00925F26">
      <w:pPr>
        <w:autoSpaceDE w:val="0"/>
        <w:autoSpaceDN w:val="0"/>
        <w:adjustRightInd w:val="0"/>
        <w:jc w:val="both"/>
        <w:rPr>
          <w:iCs/>
          <w:color w:val="000000" w:themeColor="text1"/>
          <w:sz w:val="16"/>
          <w:szCs w:val="16"/>
        </w:rPr>
      </w:pPr>
      <w:r w:rsidRPr="00925F26">
        <w:rPr>
          <w:color w:val="000000" w:themeColor="text1"/>
          <w:sz w:val="16"/>
          <w:szCs w:val="16"/>
        </w:rPr>
        <w:t>19 марта (1945)</w:t>
      </w:r>
      <w:r w:rsidRPr="00925F26">
        <w:rPr>
          <w:bCs/>
          <w:color w:val="000000" w:themeColor="text1"/>
          <w:sz w:val="16"/>
          <w:szCs w:val="16"/>
        </w:rPr>
        <w:t xml:space="preserve"> мощное соединение американских авианосцев приблизилось к берегам Японии и выпустило сотни самолетов для удара по остаткам японского флота в Куре и Кобе. Ни одного корабля потоплено не было, но семнадцать боевых кораблей получили повреждения. В их число вошли шесть авианосцев и три линкора, включая «Изе» и «Хьюга», которые уцелели в Лейте только для того, чтобы получить бомбовые попадания в доках военно-морской базы Куре (17459).</w:t>
      </w:r>
    </w:p>
    <w:p w14:paraId="252121CE" w14:textId="77777777" w:rsidR="0049679F" w:rsidRPr="00925F26" w:rsidRDefault="0049679F" w:rsidP="00925F26">
      <w:pPr>
        <w:autoSpaceDE w:val="0"/>
        <w:autoSpaceDN w:val="0"/>
        <w:adjustRightInd w:val="0"/>
        <w:jc w:val="both"/>
        <w:rPr>
          <w:iCs/>
          <w:color w:val="000000" w:themeColor="text1"/>
          <w:sz w:val="16"/>
          <w:szCs w:val="16"/>
        </w:rPr>
      </w:pPr>
    </w:p>
    <w:p w14:paraId="30E99142" w14:textId="77777777" w:rsidR="00A8589E" w:rsidRPr="00925F26" w:rsidRDefault="00A8589E" w:rsidP="00925F26">
      <w:pPr>
        <w:jc w:val="both"/>
        <w:rPr>
          <w:color w:val="000000" w:themeColor="text1"/>
          <w:sz w:val="16"/>
          <w:szCs w:val="16"/>
        </w:rPr>
      </w:pPr>
      <w:r w:rsidRPr="00925F26">
        <w:rPr>
          <w:color w:val="000000" w:themeColor="text1"/>
          <w:sz w:val="16"/>
          <w:szCs w:val="16"/>
        </w:rPr>
        <w:t>19 марта 1945 Целевая группа 58 повреждает линкор Ямато, авианосцы Amagi и Ryuho и 14 других кораблей, а затем истребители проводят зачистку над Кюсю. Контратаки японской авиации повредили авианосец USS Wasp (CV-18) , у которого 101 человек убит и 269 раненых, но лн продолжает действовать еще несколько дней, а также USS Franklin (CV-13) , у которого 724 человека убиты или пропали без вести и 265 ранены. Авианосец Франклин выжил и добрался в Соединенные Штаты, несмотря на почти смертельные повреждения - вероятно, самый серьезно поврежденный авианосец за все время, когда он вернулся в порт - и никогда не возвращается в строй (20371).</w:t>
      </w:r>
    </w:p>
    <w:p w14:paraId="0B766A38" w14:textId="77777777" w:rsidR="00A8589E" w:rsidRPr="00925F26" w:rsidRDefault="00A8589E" w:rsidP="00925F26">
      <w:pPr>
        <w:jc w:val="both"/>
        <w:rPr>
          <w:color w:val="000000" w:themeColor="text1"/>
          <w:sz w:val="16"/>
          <w:szCs w:val="16"/>
        </w:rPr>
      </w:pPr>
    </w:p>
    <w:p w14:paraId="031A8F7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CFE817A" w14:textId="77777777" w:rsidR="00665165" w:rsidRPr="00925F26" w:rsidRDefault="00665165" w:rsidP="00925F26">
      <w:pPr>
        <w:autoSpaceDE w:val="0"/>
        <w:autoSpaceDN w:val="0"/>
        <w:adjustRightInd w:val="0"/>
        <w:jc w:val="both"/>
        <w:rPr>
          <w:iCs/>
          <w:color w:val="000000" w:themeColor="text1"/>
          <w:sz w:val="16"/>
          <w:szCs w:val="16"/>
        </w:rPr>
      </w:pPr>
    </w:p>
    <w:p w14:paraId="3AB9F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20 марта по 8 апреля 1945 после перерыва после 25 февраля проходили гос. испытания модифицированного (управление винтом и мотором) Ла-7 АШ-82ФН-ВГ N 38101356 производства 381 завода (744,1).</w:t>
      </w:r>
    </w:p>
    <w:p w14:paraId="0B313F93" w14:textId="77777777" w:rsidR="00665165" w:rsidRPr="00925F26" w:rsidRDefault="00665165" w:rsidP="00925F26">
      <w:pPr>
        <w:autoSpaceDE w:val="0"/>
        <w:autoSpaceDN w:val="0"/>
        <w:adjustRightInd w:val="0"/>
        <w:jc w:val="both"/>
        <w:rPr>
          <w:color w:val="000000" w:themeColor="text1"/>
          <w:sz w:val="16"/>
          <w:szCs w:val="16"/>
        </w:rPr>
      </w:pPr>
    </w:p>
    <w:p w14:paraId="7B60A6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были возобновлены и закончились 8 апреля 1945 прерванные с 25 февраля 1945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w:t>
      </w:r>
    </w:p>
    <w:p w14:paraId="45CEE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выполнено 24 полета с налетом 15:40</w:t>
      </w:r>
    </w:p>
    <w:p w14:paraId="2D19B5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Вед. Ии ли и Л.А.Радионов</w:t>
      </w:r>
    </w:p>
    <w:p w14:paraId="4E5C1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и-м Д.Г.Пикуленко</w:t>
      </w:r>
    </w:p>
    <w:p w14:paraId="3F1CD7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508427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Заключение:</w:t>
      </w:r>
    </w:p>
    <w:p w14:paraId="78E4EB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012873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надежности работы провести войсковые испытания (20 с-тов)</w:t>
      </w:r>
    </w:p>
    <w:p w14:paraId="07DF7F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241F80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июле 1944 испытавался во 2у ГК НИИ ВВС на с-та Ла-5 № 1618 вновь удовлетворительно</w:t>
      </w:r>
    </w:p>
    <w:p w14:paraId="677F4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Отмечено, что значительно облегчает управление ВМГ</w:t>
      </w:r>
    </w:p>
    <w:p w14:paraId="1941D0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0CE7E6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377E2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АРТЦ-43 - был изготовлен в опытном экз. В 1943 заводом № 194 НКАП согласно плану опытных работ ВВС КА</w:t>
      </w:r>
    </w:p>
    <w:p w14:paraId="7D950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58751B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1FB5A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15FF0A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744753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6F66915F" w14:textId="77777777" w:rsidR="00665165" w:rsidRPr="00925F26" w:rsidRDefault="00665165" w:rsidP="00925F26">
      <w:pPr>
        <w:autoSpaceDE w:val="0"/>
        <w:autoSpaceDN w:val="0"/>
        <w:adjustRightInd w:val="0"/>
        <w:jc w:val="both"/>
        <w:rPr>
          <w:color w:val="000000" w:themeColor="text1"/>
          <w:sz w:val="16"/>
          <w:szCs w:val="16"/>
        </w:rPr>
      </w:pPr>
    </w:p>
    <w:p w14:paraId="093034D9" w14:textId="77777777" w:rsidR="00A5033B" w:rsidRPr="001A0BAA" w:rsidRDefault="00A5033B" w:rsidP="00A5033B">
      <w:pPr>
        <w:jc w:val="both"/>
        <w:rPr>
          <w:color w:val="0070C0"/>
          <w:sz w:val="16"/>
          <w:szCs w:val="16"/>
        </w:rPr>
      </w:pPr>
      <w:r w:rsidRPr="001A0BAA">
        <w:rPr>
          <w:color w:val="0070C0"/>
          <w:sz w:val="16"/>
          <w:szCs w:val="16"/>
        </w:rPr>
        <w:t xml:space="preserve">С 20 марта по 8 апреля 1945 г. проходил испытания Ла-7 заводской номер 38101356, на котором для упрощения управления работой </w:t>
      </w:r>
      <w:proofErr w:type="gramStart"/>
      <w:r w:rsidRPr="001A0BAA">
        <w:rPr>
          <w:color w:val="0070C0"/>
          <w:sz w:val="16"/>
          <w:szCs w:val="16"/>
        </w:rPr>
        <w:t>винто-моторной</w:t>
      </w:r>
      <w:proofErr w:type="gramEnd"/>
      <w:r w:rsidRPr="001A0BAA">
        <w:rPr>
          <w:color w:val="0070C0"/>
          <w:sz w:val="16"/>
          <w:szCs w:val="16"/>
        </w:rPr>
        <w:t xml:space="preserve"> группой на нагнетатель е-67 был установлен регулятор 82-ФН-ВГ и появился автоматический терморегулятор АРТГ-43. Всего по программе летных испытаний было выполнено 24 полета (25058).</w:t>
      </w:r>
    </w:p>
    <w:p w14:paraId="19681245" w14:textId="77777777" w:rsidR="00A5033B" w:rsidRPr="001A0BAA" w:rsidRDefault="00A5033B" w:rsidP="00A5033B">
      <w:pPr>
        <w:jc w:val="both"/>
        <w:rPr>
          <w:color w:val="0070C0"/>
          <w:sz w:val="16"/>
          <w:szCs w:val="16"/>
        </w:rPr>
      </w:pPr>
    </w:p>
    <w:p w14:paraId="4CE3E8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5E6764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Проводились с 1 по 12 марта 1945</w:t>
      </w:r>
    </w:p>
    <w:p w14:paraId="3F9211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 вед. И и-м Рабин</w:t>
      </w:r>
    </w:p>
    <w:p w14:paraId="61BF6B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Пон. Нач. 1 отд. 1У и М.Д.Васильев</w:t>
      </w:r>
    </w:p>
    <w:p w14:paraId="0790F5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Летали л облета: Хомяков (ФВ), Антипов (ФВ), Дзюба (Ла-5), Кубышкин (Ла-7), Прошаков (Як-3), Кувшинов (Як-9У).</w:t>
      </w:r>
    </w:p>
    <w:p w14:paraId="5F356B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ФВ-190А-8 № 68201 - серийный, выпуска сентября 1944.</w:t>
      </w:r>
    </w:p>
    <w:p w14:paraId="1F79CC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Основное назначение с-та - борьба с тяжелыми бомб. с-тами.</w:t>
      </w:r>
    </w:p>
    <w:p w14:paraId="1E9A77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Советско-германском фронте применяется в качестве истребителя и штурмовика.</w:t>
      </w:r>
    </w:p>
    <w:p w14:paraId="26E70F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09586B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Запас горючего - 642 л, размещается в 2-х основных и одном дополнительном б/б.</w:t>
      </w:r>
    </w:p>
    <w:p w14:paraId="20127C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 УДМ диаметром 3,3</w:t>
      </w:r>
    </w:p>
    <w:p w14:paraId="003749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63F853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 фюзеляжем предусмотрена подвеска б/д для бом весом до 250 кг (или подвесного б/б)</w:t>
      </w:r>
    </w:p>
    <w:p w14:paraId="489DA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С-т оборудован модифицированной УКВ р/с </w:t>
      </w:r>
      <w:r w:rsidRPr="00925F26">
        <w:rPr>
          <w:color w:val="000000" w:themeColor="text1"/>
          <w:sz w:val="16"/>
          <w:szCs w:val="16"/>
          <w:lang w:val="en-US"/>
        </w:rPr>
        <w:t>F</w:t>
      </w:r>
      <w:r w:rsidRPr="00925F26">
        <w:rPr>
          <w:color w:val="000000" w:themeColor="text1"/>
          <w:sz w:val="16"/>
          <w:szCs w:val="16"/>
        </w:rPr>
        <w:t xml:space="preserve"> и </w:t>
      </w:r>
      <w:r w:rsidRPr="00925F26">
        <w:rPr>
          <w:color w:val="000000" w:themeColor="text1"/>
          <w:sz w:val="16"/>
          <w:szCs w:val="16"/>
          <w:lang w:val="en-US"/>
        </w:rPr>
        <w:t>G</w:t>
      </w:r>
      <w:r w:rsidRPr="00925F26">
        <w:rPr>
          <w:color w:val="000000" w:themeColor="text1"/>
          <w:sz w:val="16"/>
          <w:szCs w:val="16"/>
        </w:rPr>
        <w:t>-25А, представляющей собой радиоопознавательс “свой-чужой”.</w:t>
      </w:r>
    </w:p>
    <w:p w14:paraId="62A2B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с-т приземлился на советской территории в октябре 1944.</w:t>
      </w:r>
    </w:p>
    <w:p w14:paraId="16476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восстановительного ремонта на опытном заводе ГК НИИ ВВС к началу наст. Испытаний на нем совершено 18 полетов прод. 15:00.</w:t>
      </w:r>
    </w:p>
    <w:p w14:paraId="4C0F42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00654A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200-300 м на форсаже уходит от Як-3 на преследовании</w:t>
      </w:r>
    </w:p>
    <w:p w14:paraId="48E72A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6748C8FF" w14:textId="77777777" w:rsidR="00665165" w:rsidRPr="00925F26" w:rsidRDefault="00665165" w:rsidP="00925F26">
      <w:pPr>
        <w:autoSpaceDE w:val="0"/>
        <w:autoSpaceDN w:val="0"/>
        <w:adjustRightInd w:val="0"/>
        <w:jc w:val="both"/>
        <w:rPr>
          <w:color w:val="000000" w:themeColor="text1"/>
          <w:sz w:val="16"/>
          <w:szCs w:val="16"/>
        </w:rPr>
      </w:pPr>
    </w:p>
    <w:p w14:paraId="6E53D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20 марта по конец августа 1945 в Средней Азии в Голодной степи между Ташкентом и Сыр-Дарьей в зоне шириной 50 км и длинной 270 км с Севера на Юр от Арыси до Джезказгана начались испытания нашего V-1 Х-10 В.Н.Челомея. Пускали с 3 Пе-8, дооборудованных на 51 заводе. Получилось не более 30% успешных из 63 пусков (1087,30). Бросали с 2000 м и до выхода на горизонтальный полет снаряд терял 100-200 м. Из 22 сброшенных нормально в самостоятельный полет перешли 6. На втором этапе - 12, на третьем из 4 - 3 и сила взрыва была эквивалентна ФАБ-2000. Из 18 пущенных для определения точности до цели долетело 6 и 5 попали в квадрат 20х20 км за 170 км. Испытания закончились 25 июля (1800,4).</w:t>
      </w:r>
    </w:p>
    <w:p w14:paraId="220616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в апреле (1087,30).</w:t>
      </w:r>
    </w:p>
    <w:p w14:paraId="5E952655" w14:textId="77777777" w:rsidR="00665165" w:rsidRPr="00925F26" w:rsidRDefault="00665165" w:rsidP="00925F26">
      <w:pPr>
        <w:autoSpaceDE w:val="0"/>
        <w:autoSpaceDN w:val="0"/>
        <w:adjustRightInd w:val="0"/>
        <w:jc w:val="both"/>
        <w:rPr>
          <w:color w:val="000000" w:themeColor="text1"/>
          <w:sz w:val="16"/>
          <w:szCs w:val="16"/>
        </w:rPr>
      </w:pPr>
    </w:p>
    <w:p w14:paraId="1AEC73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завод № 124 получил письмо от заместителя командира 45-й авиадивизии дальнего действия Анурова, который сообщал, что «на самолете Пе-8 № 42611 4 М-82, при выполнении боевого задания 26.02.1944, в полете лопнул нижний пояс переднего лонжерона центроплана в бомболюке. Разрушение произошло на 40 часу эксплуатации самолета при гарантийных 500 часах.</w:t>
      </w:r>
    </w:p>
    <w:p w14:paraId="7C113F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Обрывы нижних поясов лонжеронов центроплана являются массовыми, имели место в восьми случаях» (12049).</w:t>
      </w:r>
    </w:p>
    <w:p w14:paraId="3CB62206" w14:textId="77777777" w:rsidR="00665165" w:rsidRPr="00925F26" w:rsidRDefault="00665165" w:rsidP="00925F26">
      <w:pPr>
        <w:autoSpaceDE w:val="0"/>
        <w:autoSpaceDN w:val="0"/>
        <w:adjustRightInd w:val="0"/>
        <w:jc w:val="both"/>
        <w:rPr>
          <w:color w:val="000000" w:themeColor="text1"/>
          <w:sz w:val="16"/>
          <w:szCs w:val="16"/>
        </w:rPr>
      </w:pPr>
    </w:p>
    <w:p w14:paraId="32440A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выполнили первый сброс самолета-снаряда на высоте 700 м. устойчиво прошел 22 км при заданных 30, хорошо сохраняя курс (1873,291).</w:t>
      </w:r>
    </w:p>
    <w:p w14:paraId="775C9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18 апреля 1945 был только один Пе-8 (1873,234).</w:t>
      </w:r>
    </w:p>
    <w:p w14:paraId="37214A1B" w14:textId="77777777" w:rsidR="00665165" w:rsidRPr="00925F26" w:rsidRDefault="00665165" w:rsidP="00925F26">
      <w:pPr>
        <w:autoSpaceDE w:val="0"/>
        <w:autoSpaceDN w:val="0"/>
        <w:adjustRightInd w:val="0"/>
        <w:jc w:val="both"/>
        <w:rPr>
          <w:color w:val="000000" w:themeColor="text1"/>
          <w:sz w:val="16"/>
          <w:szCs w:val="16"/>
        </w:rPr>
      </w:pPr>
    </w:p>
    <w:p w14:paraId="1324BC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марта 1945 г. начались летные испытания 10Х. По их результатам рекомендо</w:t>
      </w:r>
      <w:r w:rsidRPr="00925F26">
        <w:rPr>
          <w:color w:val="000000" w:themeColor="text1"/>
          <w:sz w:val="16"/>
          <w:szCs w:val="16"/>
        </w:rPr>
        <w:softHyphen/>
        <w:t>вали принять 10Х на вооружение. Затем последовали крылатые ракеты 14Х, 16Х и другие (10667).</w:t>
      </w:r>
    </w:p>
    <w:p w14:paraId="035CD0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AB2D0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г. крылатая ракета 10Х конструкции Челомея совершила первый полет с борта Пе8 – советской «летающей крепости». Сброс КР 10Х производился на высоте 2000 м. После сброса КР 10Х провалилась на 100–200 м, а затем вышла в горизонтальный полет. Дальше полет проходил на заданной высоте и по установленному на земле курсу. Из 22 сброшенных самолетов-снарядов нормально в самостоятельный полет перешли только шесть.</w:t>
      </w:r>
    </w:p>
    <w:p w14:paraId="58F9D3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втором этапе определялись основные характеристики КР 10Х, проверялась работа их агрегатов и механизмов. Было сброшено также 22 самолета-снаряда. Из них в самостоятельный полет ушло уже 12 самолетов-снарядов. Полученные скорость полета 600–620 км/ч и дальность полета до 240 км соответствовали расчетным данным.</w:t>
      </w:r>
    </w:p>
    <w:p w14:paraId="0330E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первом и втором этапах проводились заводские испытания.</w:t>
      </w:r>
    </w:p>
    <w:p w14:paraId="05EF7D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третьем, заключительном этапе проводились полигонные испытания. В их задачу входила проверка точности попадания самолета-снаряда и эффективности действия боевого заряда. Из четырех снабженных взрывчатым веществом самолетов-снарядов 10Х три выполнили поставленную задачу удовлетворительно. Сила взрыва оказалась эквивалентной силе взрыва авиационной бомбы весом 2000 кг.</w:t>
      </w:r>
    </w:p>
    <w:p w14:paraId="4FB6D0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определения точности стрельбы было запущено 18 самолетов-снарядов. Для проведения испытаний были выбраны тяжелые климатические условия. Температура воздуха достигала 60–65оС выше нуля. Пыль и песок забивали воздухопроводы, попадая в автопилоты, выводили их из строя. До цели долетели только шесть КР, пять из них попали в заданный квадрат 20 х 20 км, расположенный на расстоянии 170 км от точки сброса (11686).</w:t>
      </w:r>
    </w:p>
    <w:p w14:paraId="33618C8D" w14:textId="77777777" w:rsidR="00665165" w:rsidRPr="00925F26" w:rsidRDefault="00665165" w:rsidP="00925F26">
      <w:pPr>
        <w:autoSpaceDE w:val="0"/>
        <w:autoSpaceDN w:val="0"/>
        <w:adjustRightInd w:val="0"/>
        <w:jc w:val="both"/>
        <w:rPr>
          <w:color w:val="000000" w:themeColor="text1"/>
          <w:sz w:val="16"/>
          <w:szCs w:val="16"/>
        </w:rPr>
      </w:pPr>
    </w:p>
    <w:p w14:paraId="4059DA6F" w14:textId="77777777" w:rsidR="00BA2B8F" w:rsidRPr="00925F26" w:rsidRDefault="00BA2B8F" w:rsidP="00925F26">
      <w:pPr>
        <w:jc w:val="both"/>
        <w:rPr>
          <w:color w:val="000000" w:themeColor="text1"/>
          <w:sz w:val="16"/>
          <w:szCs w:val="16"/>
        </w:rPr>
      </w:pPr>
      <w:r w:rsidRPr="00925F26">
        <w:rPr>
          <w:color w:val="000000" w:themeColor="text1"/>
          <w:sz w:val="16"/>
          <w:szCs w:val="16"/>
        </w:rPr>
        <w:t>20 марта 1945 г. в районе г. Джизак Узбекской СССР начались летные испытания самолетов-снарядов, которые подвешивались под переоборудованные серийные бомбардировщики. Коллектив и его руководитель работали с большим энтузиазмом и напряжением. В сентябре 1945 г. Челомей был награжден первым (и сразу высшим!) орденом Ленина, как он написал в автобиографии - «за особую НИР по авиадвигателям» (12415).</w:t>
      </w:r>
    </w:p>
    <w:p w14:paraId="521DACAA" w14:textId="77777777" w:rsidR="00BA2B8F" w:rsidRPr="00925F26" w:rsidRDefault="00BA2B8F" w:rsidP="00925F26">
      <w:pPr>
        <w:jc w:val="both"/>
        <w:rPr>
          <w:color w:val="000000" w:themeColor="text1"/>
          <w:sz w:val="16"/>
          <w:szCs w:val="16"/>
        </w:rPr>
      </w:pPr>
    </w:p>
    <w:p w14:paraId="5775D584" w14:textId="77777777" w:rsidR="00D76EE0" w:rsidRPr="00925F26" w:rsidRDefault="00D76EE0"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20 марта 1945 г. в Средней Азии начались Испытания самолетов-снарядов и продолжа</w:t>
      </w:r>
      <w:r w:rsidRPr="00925F26">
        <w:rPr>
          <w:rFonts w:ascii="Times New Roman" w:cs="Times New Roman"/>
          <w:color w:val="000000" w:themeColor="text1"/>
          <w:spacing w:val="0"/>
          <w:sz w:val="16"/>
          <w:szCs w:val="16"/>
        </w:rPr>
        <w:softHyphen/>
        <w:t>лись до августа. Изготовление катапульты требовало длительного времени. Поэтому, в отличие от нем</w:t>
      </w:r>
      <w:r w:rsidRPr="00925F26">
        <w:rPr>
          <w:rFonts w:ascii="Times New Roman" w:cs="Times New Roman"/>
          <w:color w:val="000000" w:themeColor="text1"/>
          <w:spacing w:val="0"/>
          <w:sz w:val="16"/>
          <w:szCs w:val="16"/>
        </w:rPr>
        <w:softHyphen/>
        <w:t>цев, с опережением шел вариант самолётного старта. На заводе № 51 осуществлялась изготовление устройств подвески самолётов-снарядов для дооборудования трех тяжёлых бомбардировщиков Пе-8. Для испытаний в Голодной степи (между Ташкентом и Сыр-Дарьей) выделили</w:t>
      </w:r>
      <w:r w:rsidRPr="00925F26">
        <w:rPr>
          <w:rStyle w:val="aff9"/>
          <w:rFonts w:ascii="Times New Roman" w:cs="Times New Roman"/>
          <w:b w:val="0"/>
          <w:color w:val="000000" w:themeColor="text1"/>
          <w:spacing w:val="0"/>
          <w:sz w:val="16"/>
          <w:szCs w:val="16"/>
        </w:rPr>
        <w:t xml:space="preserve"> зону </w:t>
      </w:r>
      <w:r w:rsidRPr="00925F26">
        <w:rPr>
          <w:rFonts w:ascii="Times New Roman" w:cs="Times New Roman"/>
          <w:color w:val="000000" w:themeColor="text1"/>
          <w:spacing w:val="0"/>
          <w:sz w:val="16"/>
          <w:szCs w:val="16"/>
        </w:rPr>
        <w:t>шириной 50 км, протянувшуюся на 270 км с севера на юг от Арыси до Джизака, где</w:t>
      </w:r>
      <w:r w:rsidRPr="00925F26">
        <w:rPr>
          <w:rStyle w:val="aff9"/>
          <w:rFonts w:ascii="Times New Roman" w:cs="Times New Roman"/>
          <w:b w:val="0"/>
          <w:color w:val="000000" w:themeColor="text1"/>
          <w:spacing w:val="0"/>
          <w:sz w:val="16"/>
          <w:szCs w:val="16"/>
        </w:rPr>
        <w:t xml:space="preserve"> и </w:t>
      </w:r>
      <w:r w:rsidRPr="00925F26">
        <w:rPr>
          <w:rFonts w:ascii="Times New Roman" w:cs="Times New Roman"/>
          <w:color w:val="000000" w:themeColor="text1"/>
          <w:spacing w:val="0"/>
          <w:sz w:val="16"/>
          <w:szCs w:val="16"/>
        </w:rPr>
        <w:t>базировалась экспедиция (15790).</w:t>
      </w:r>
    </w:p>
    <w:p w14:paraId="5E8D0809" w14:textId="77777777" w:rsidR="00D76EE0" w:rsidRPr="00925F26" w:rsidRDefault="00D76EE0" w:rsidP="00925F26">
      <w:pPr>
        <w:jc w:val="both"/>
        <w:rPr>
          <w:color w:val="000000" w:themeColor="text1"/>
          <w:sz w:val="16"/>
          <w:szCs w:val="16"/>
        </w:rPr>
      </w:pPr>
    </w:p>
    <w:p w14:paraId="637A2E5D" w14:textId="77777777" w:rsidR="00BA2B8F" w:rsidRPr="00925F26" w:rsidRDefault="00BA2B8F" w:rsidP="00925F26">
      <w:pPr>
        <w:jc w:val="both"/>
        <w:rPr>
          <w:color w:val="000000" w:themeColor="text1"/>
          <w:sz w:val="16"/>
          <w:szCs w:val="16"/>
        </w:rPr>
      </w:pPr>
      <w:r w:rsidRPr="00925F26">
        <w:rPr>
          <w:color w:val="000000" w:themeColor="text1"/>
          <w:sz w:val="16"/>
          <w:szCs w:val="16"/>
        </w:rPr>
        <w:t>20 марта 1945 года состоялся первый пуск СС „10-Х” с самолета-носителя ПЕ-8.</w:t>
      </w:r>
    </w:p>
    <w:p w14:paraId="6151919B" w14:textId="77777777" w:rsidR="00BA2B8F" w:rsidRPr="00925F26" w:rsidRDefault="00BA2B8F" w:rsidP="00925F26">
      <w:pPr>
        <w:jc w:val="both"/>
        <w:rPr>
          <w:color w:val="000000" w:themeColor="text1"/>
          <w:sz w:val="16"/>
          <w:szCs w:val="16"/>
        </w:rPr>
      </w:pPr>
      <w:r w:rsidRPr="00925F26">
        <w:rPr>
          <w:color w:val="000000" w:themeColor="text1"/>
          <w:sz w:val="16"/>
          <w:szCs w:val="16"/>
        </w:rPr>
        <w:t>В период с 20 марта по 28 июля, при наличии трех самолетов-носителей ПЕ-8 и самолета ЕР-2, было проведено 70 пусков СС „10-</w:t>
      </w:r>
      <w:proofErr w:type="gramStart"/>
      <w:r w:rsidRPr="00925F26">
        <w:rPr>
          <w:color w:val="000000" w:themeColor="text1"/>
          <w:sz w:val="16"/>
          <w:szCs w:val="16"/>
        </w:rPr>
        <w:t>Х”...</w:t>
      </w:r>
      <w:proofErr w:type="gramEnd"/>
      <w:r w:rsidRPr="00925F26">
        <w:rPr>
          <w:color w:val="000000" w:themeColor="text1"/>
          <w:sz w:val="16"/>
          <w:szCs w:val="16"/>
        </w:rPr>
        <w:t>» (12414).</w:t>
      </w:r>
    </w:p>
    <w:p w14:paraId="114BCFC3" w14:textId="77777777" w:rsidR="00BA2B8F" w:rsidRPr="00925F26" w:rsidRDefault="00BA2B8F" w:rsidP="00925F26">
      <w:pPr>
        <w:jc w:val="both"/>
        <w:rPr>
          <w:color w:val="000000" w:themeColor="text1"/>
          <w:sz w:val="16"/>
          <w:szCs w:val="16"/>
        </w:rPr>
      </w:pPr>
    </w:p>
    <w:p w14:paraId="246E2743" w14:textId="77777777" w:rsidR="00750C95" w:rsidRPr="00925F26" w:rsidRDefault="00750C95" w:rsidP="00925F26">
      <w:pPr>
        <w:jc w:val="both"/>
        <w:rPr>
          <w:color w:val="000000" w:themeColor="text1"/>
          <w:sz w:val="16"/>
          <w:szCs w:val="16"/>
        </w:rPr>
      </w:pPr>
      <w:r w:rsidRPr="00925F26">
        <w:rPr>
          <w:bCs/>
          <w:color w:val="000000" w:themeColor="text1"/>
          <w:sz w:val="16"/>
          <w:szCs w:val="16"/>
        </w:rPr>
        <w:t>20 марта</w:t>
      </w:r>
      <w:r w:rsidRPr="00925F26">
        <w:rPr>
          <w:color w:val="000000" w:themeColor="text1"/>
          <w:sz w:val="16"/>
          <w:szCs w:val="16"/>
        </w:rPr>
        <w:t xml:space="preserve"> в 1945 году осуществлен первый полет "самолета-снаряда" </w:t>
      </w:r>
      <w:hyperlink r:id="rId74" w:tgtFrame="_blank" w:history="1">
        <w:r w:rsidRPr="00925F26">
          <w:rPr>
            <w:color w:val="000000" w:themeColor="text1"/>
            <w:sz w:val="16"/>
            <w:szCs w:val="16"/>
          </w:rPr>
          <w:t xml:space="preserve">«10-Х» </w:t>
        </w:r>
      </w:hyperlink>
      <w:r w:rsidRPr="00925F26">
        <w:rPr>
          <w:color w:val="000000" w:themeColor="text1"/>
          <w:sz w:val="16"/>
          <w:szCs w:val="16"/>
        </w:rPr>
        <w:t>разработки коллектива ОКБ-51 во главе с В.Н.Челомеем (отечественного аналога немецкой «Фау-1»). Запуск произведен с самолета «Пе-8». Заводские летные испытания нового оружия начались в Голодной степи на базе экспедиции в Джизаке. В рамках первого этапа испытаний осуществлялась проверка функционирования подвесных устройств на «Пе-8», сбрасывания «10Х», а также работы его механизмов и двигателя в момент отрыва от самолета-носителя. Сброс «10Х» производился на высоте 2000 метров, после чего, до момента выхода самолета-санряда в горизонтальный полет он терял 100-200 метров высоты. Дальше полет шел на заданной высоте по установленному еще на земле курсу. Из 22 сброшенных самолетов-снарядов «10Х» нормально в самостоятельный полет смогли перейти лишь 6 (15074).</w:t>
      </w:r>
    </w:p>
    <w:p w14:paraId="30E4EA64" w14:textId="77777777" w:rsidR="00750C95" w:rsidRPr="00925F26" w:rsidRDefault="00750C95" w:rsidP="00925F26">
      <w:pPr>
        <w:jc w:val="both"/>
        <w:rPr>
          <w:color w:val="000000" w:themeColor="text1"/>
          <w:sz w:val="16"/>
          <w:szCs w:val="16"/>
        </w:rPr>
      </w:pPr>
    </w:p>
    <w:p w14:paraId="434740FB" w14:textId="77777777" w:rsidR="005D5B85" w:rsidRPr="00925F26" w:rsidRDefault="005D5B85" w:rsidP="00925F26">
      <w:pPr>
        <w:jc w:val="both"/>
        <w:rPr>
          <w:color w:val="000000" w:themeColor="text1"/>
          <w:sz w:val="16"/>
          <w:szCs w:val="16"/>
        </w:rPr>
      </w:pPr>
      <w:r w:rsidRPr="00925F26">
        <w:rPr>
          <w:color w:val="000000" w:themeColor="text1"/>
          <w:sz w:val="16"/>
          <w:szCs w:val="16"/>
        </w:rPr>
        <w:t>20 марта 1945 года, после отработки механизма подвески, был проведен 1-й пуск 10-Х с самолета Пе-8. До конца лета прошло 70 пусков. До за</w:t>
      </w:r>
      <w:r w:rsidRPr="00925F26">
        <w:rPr>
          <w:color w:val="000000" w:themeColor="text1"/>
          <w:sz w:val="16"/>
          <w:szCs w:val="16"/>
        </w:rPr>
        <w:softHyphen/>
        <w:t>данного квадрата 7 на 10 км долетели лишь 24 ракеты. То отка</w:t>
      </w:r>
      <w:r w:rsidRPr="00925F26">
        <w:rPr>
          <w:color w:val="000000" w:themeColor="text1"/>
          <w:sz w:val="16"/>
          <w:szCs w:val="16"/>
        </w:rPr>
        <w:softHyphen/>
        <w:t>зывала система управления, то двигатель. И то, и другое дорабо</w:t>
      </w:r>
      <w:r w:rsidRPr="00925F26">
        <w:rPr>
          <w:color w:val="000000" w:themeColor="text1"/>
          <w:sz w:val="16"/>
          <w:szCs w:val="16"/>
        </w:rPr>
        <w:softHyphen/>
        <w:t>тали, но к концу года вся доработанная партия была забракована и главный конструктор в отчаянии обратился к Шахурину:</w:t>
      </w:r>
    </w:p>
    <w:p w14:paraId="1F94BB25" w14:textId="77777777" w:rsidR="005D5B85" w:rsidRPr="00925F26" w:rsidRDefault="005D5B85" w:rsidP="00925F26">
      <w:pPr>
        <w:jc w:val="both"/>
        <w:rPr>
          <w:color w:val="000000" w:themeColor="text1"/>
          <w:sz w:val="16"/>
          <w:szCs w:val="16"/>
        </w:rPr>
      </w:pPr>
      <w:r w:rsidRPr="00925F26">
        <w:rPr>
          <w:color w:val="000000" w:themeColor="text1"/>
          <w:sz w:val="16"/>
          <w:szCs w:val="16"/>
        </w:rPr>
        <w:t>— Алексей Иванович, отправьте моих специалистов в Гер</w:t>
      </w:r>
      <w:r w:rsidRPr="00925F26">
        <w:rPr>
          <w:color w:val="000000" w:themeColor="text1"/>
          <w:sz w:val="16"/>
          <w:szCs w:val="16"/>
        </w:rPr>
        <w:softHyphen/>
        <w:t>манию. Пусть разберутся с материальной частью ФАУ-1.</w:t>
      </w:r>
    </w:p>
    <w:p w14:paraId="27DC4BBE" w14:textId="77777777" w:rsidR="005D5B85" w:rsidRPr="00925F26" w:rsidRDefault="005D5B85" w:rsidP="00925F26">
      <w:pPr>
        <w:jc w:val="both"/>
        <w:rPr>
          <w:color w:val="000000" w:themeColor="text1"/>
          <w:sz w:val="16"/>
          <w:szCs w:val="16"/>
        </w:rPr>
      </w:pPr>
      <w:r w:rsidRPr="00925F26">
        <w:rPr>
          <w:color w:val="000000" w:themeColor="text1"/>
          <w:sz w:val="16"/>
          <w:szCs w:val="16"/>
        </w:rPr>
        <w:t>Отправленная в Нордхаузен группа полтора года разби</w:t>
      </w:r>
      <w:r w:rsidRPr="00925F26">
        <w:rPr>
          <w:color w:val="000000" w:themeColor="text1"/>
          <w:sz w:val="16"/>
          <w:szCs w:val="16"/>
        </w:rPr>
        <w:softHyphen/>
        <w:t>ралась с технической документацией. Руководство ВВС начало терять веру в работу Челомея. Чувствуя, что почва уходит из- под ног, главный конструктор вышел в Правительство с предло</w:t>
      </w:r>
      <w:r w:rsidRPr="00925F26">
        <w:rPr>
          <w:color w:val="000000" w:themeColor="text1"/>
          <w:sz w:val="16"/>
          <w:szCs w:val="16"/>
        </w:rPr>
        <w:softHyphen/>
        <w:t>жением о разработке нового 2-моторного самолета-снаряда. Предложение было одобрено. Одновременно ему рекомендо</w:t>
      </w:r>
      <w:r w:rsidRPr="00925F26">
        <w:rPr>
          <w:color w:val="000000" w:themeColor="text1"/>
          <w:sz w:val="16"/>
          <w:szCs w:val="16"/>
        </w:rPr>
        <w:softHyphen/>
        <w:t>вали завершить работу над 10-Х.</w:t>
      </w:r>
    </w:p>
    <w:p w14:paraId="49526E92" w14:textId="77777777" w:rsidR="005D5B85" w:rsidRPr="00925F26" w:rsidRDefault="005D5B85" w:rsidP="00925F26">
      <w:pPr>
        <w:jc w:val="both"/>
        <w:rPr>
          <w:color w:val="000000" w:themeColor="text1"/>
          <w:sz w:val="16"/>
          <w:szCs w:val="16"/>
        </w:rPr>
      </w:pPr>
      <w:r w:rsidRPr="00925F26">
        <w:rPr>
          <w:color w:val="000000" w:themeColor="text1"/>
          <w:sz w:val="16"/>
          <w:szCs w:val="16"/>
        </w:rPr>
        <w:t>Летом 1947 года Челомей получил необходимые матери</w:t>
      </w:r>
      <w:r w:rsidRPr="00925F26">
        <w:rPr>
          <w:color w:val="000000" w:themeColor="text1"/>
          <w:sz w:val="16"/>
          <w:szCs w:val="16"/>
        </w:rPr>
        <w:softHyphen/>
        <w:t>алы из Германии и провел сравнительные испытания автопи</w:t>
      </w:r>
      <w:r w:rsidRPr="00925F26">
        <w:rPr>
          <w:color w:val="000000" w:themeColor="text1"/>
          <w:sz w:val="16"/>
          <w:szCs w:val="16"/>
        </w:rPr>
        <w:softHyphen/>
        <w:t>лотов фирмы «Аскания» и московского завода № 118 (МНПК</w:t>
      </w:r>
    </w:p>
    <w:p w14:paraId="7A68B9DE" w14:textId="77777777" w:rsidR="005D5B85" w:rsidRPr="00925F26" w:rsidRDefault="005D5B85" w:rsidP="00925F26">
      <w:pPr>
        <w:jc w:val="both"/>
        <w:rPr>
          <w:color w:val="000000" w:themeColor="text1"/>
          <w:sz w:val="16"/>
          <w:szCs w:val="16"/>
        </w:rPr>
      </w:pPr>
      <w:r w:rsidRPr="00925F26">
        <w:rPr>
          <w:color w:val="000000" w:themeColor="text1"/>
          <w:sz w:val="16"/>
          <w:szCs w:val="16"/>
        </w:rPr>
        <w:t>«Авионика»). Немецкий автопилот работал стабильно, не из</w:t>
      </w:r>
      <w:r w:rsidRPr="00925F26">
        <w:rPr>
          <w:color w:val="000000" w:themeColor="text1"/>
          <w:sz w:val="16"/>
          <w:szCs w:val="16"/>
        </w:rPr>
        <w:softHyphen/>
        <w:t>менял параметры при температурах от -35 до +45 градусов и вибрационных перегрузках до 10 единиц. Наш автопилот температуры не выдерживал, от тряски разваливался.</w:t>
      </w:r>
    </w:p>
    <w:p w14:paraId="1EAF69E5" w14:textId="77777777" w:rsidR="005D5B85" w:rsidRPr="00925F26" w:rsidRDefault="005D5B85" w:rsidP="00925F26">
      <w:pPr>
        <w:jc w:val="both"/>
        <w:rPr>
          <w:color w:val="000000" w:themeColor="text1"/>
          <w:sz w:val="16"/>
          <w:szCs w:val="16"/>
        </w:rPr>
      </w:pPr>
      <w:r w:rsidRPr="00925F26">
        <w:rPr>
          <w:color w:val="000000" w:themeColor="text1"/>
          <w:sz w:val="16"/>
          <w:szCs w:val="16"/>
        </w:rPr>
        <w:t>Командование ВВС все более сомневалось в целесоо</w:t>
      </w:r>
      <w:r w:rsidRPr="00925F26">
        <w:rPr>
          <w:color w:val="000000" w:themeColor="text1"/>
          <w:sz w:val="16"/>
          <w:szCs w:val="16"/>
        </w:rPr>
        <w:softHyphen/>
        <w:t>бразности проведения дальнейших работ. 1-й ложкой дегтя стало известие о прекращении схожей разработки в коллекти</w:t>
      </w:r>
      <w:r w:rsidRPr="00925F26">
        <w:rPr>
          <w:color w:val="000000" w:themeColor="text1"/>
          <w:sz w:val="16"/>
          <w:szCs w:val="16"/>
        </w:rPr>
        <w:softHyphen/>
        <w:t>ве А.Я.Березняка (здесь силами немецких конструкторов соз</w:t>
      </w:r>
      <w:r w:rsidRPr="00925F26">
        <w:rPr>
          <w:color w:val="000000" w:themeColor="text1"/>
          <w:sz w:val="16"/>
          <w:szCs w:val="16"/>
        </w:rPr>
        <w:softHyphen/>
        <w:t>давался пилотируемый самолет с пульсирующим двигателем «Аргус»). Второй ложкой дегтя стало известие о начале работ С.Л.Берии, П.Н.Куксенко и А.И.Микояна над системой «Ко</w:t>
      </w:r>
      <w:r w:rsidRPr="00925F26">
        <w:rPr>
          <w:color w:val="000000" w:themeColor="text1"/>
          <w:sz w:val="16"/>
          <w:szCs w:val="16"/>
        </w:rPr>
        <w:softHyphen/>
        <w:t>мета» с беспилотным самолетом-снарядом. Ознакомившись с результатами испытаний ФАУ-1, Куксенко заявил, что ком</w:t>
      </w:r>
      <w:r w:rsidRPr="00925F26">
        <w:rPr>
          <w:color w:val="000000" w:themeColor="text1"/>
          <w:sz w:val="16"/>
          <w:szCs w:val="16"/>
        </w:rPr>
        <w:softHyphen/>
        <w:t>плектующих системы управления полетом, способных выдер</w:t>
      </w:r>
      <w:r w:rsidRPr="00925F26">
        <w:rPr>
          <w:color w:val="000000" w:themeColor="text1"/>
          <w:sz w:val="16"/>
          <w:szCs w:val="16"/>
        </w:rPr>
        <w:softHyphen/>
        <w:t>жать вибрационные перегрузки работающего пульсирующего двигателя, не существует. Категорически отказавшись рассма</w:t>
      </w:r>
      <w:r w:rsidRPr="00925F26">
        <w:rPr>
          <w:color w:val="000000" w:themeColor="text1"/>
          <w:sz w:val="16"/>
          <w:szCs w:val="16"/>
        </w:rPr>
        <w:softHyphen/>
        <w:t>тривать даже саму возможность создания проекта «Кометы» с ПуВРД, он выбрал турбореактивный двигатель (23510).</w:t>
      </w:r>
    </w:p>
    <w:p w14:paraId="4A7E2D90" w14:textId="77777777" w:rsidR="005D5B85" w:rsidRPr="00925F26" w:rsidRDefault="005D5B85" w:rsidP="00925F26">
      <w:pPr>
        <w:jc w:val="both"/>
        <w:rPr>
          <w:color w:val="000000" w:themeColor="text1"/>
          <w:sz w:val="16"/>
          <w:szCs w:val="16"/>
        </w:rPr>
      </w:pPr>
    </w:p>
    <w:p w14:paraId="4ED1180F" w14:textId="77777777" w:rsidR="00A8589E" w:rsidRPr="00925F26" w:rsidRDefault="00A8589E" w:rsidP="00925F26">
      <w:pPr>
        <w:jc w:val="both"/>
        <w:rPr>
          <w:color w:val="000000" w:themeColor="text1"/>
          <w:sz w:val="16"/>
          <w:szCs w:val="16"/>
        </w:rPr>
      </w:pPr>
      <w:r w:rsidRPr="00925F26">
        <w:rPr>
          <w:color w:val="000000" w:themeColor="text1"/>
          <w:sz w:val="16"/>
          <w:szCs w:val="16"/>
        </w:rPr>
        <w:t>В период с 20 марта по 22 июля 1945 г., при наличии трех самолетов-носителей Пе-8, было проведено 63 пуска самолетов-снарядов 10Х (19823).</w:t>
      </w:r>
    </w:p>
    <w:p w14:paraId="4694DF60" w14:textId="77777777" w:rsidR="00A8589E" w:rsidRPr="00925F26" w:rsidRDefault="00A8589E" w:rsidP="00925F26">
      <w:pPr>
        <w:jc w:val="both"/>
        <w:rPr>
          <w:color w:val="000000" w:themeColor="text1"/>
          <w:sz w:val="16"/>
          <w:szCs w:val="16"/>
        </w:rPr>
      </w:pPr>
    </w:p>
    <w:p w14:paraId="319C0202" w14:textId="77777777" w:rsidR="00A5033B" w:rsidRPr="001A0BAA" w:rsidRDefault="00A5033B" w:rsidP="00A5033B">
      <w:pPr>
        <w:jc w:val="both"/>
        <w:rPr>
          <w:color w:val="0070C0"/>
          <w:sz w:val="16"/>
          <w:szCs w:val="16"/>
        </w:rPr>
      </w:pPr>
      <w:r w:rsidRPr="001A0BAA">
        <w:rPr>
          <w:color w:val="0070C0"/>
          <w:sz w:val="16"/>
          <w:szCs w:val="16"/>
        </w:rPr>
        <w:t>С 20 марта 1945 г. были начаты стрельбы самолетами-снарядами 10Х (так в СССР называли в то время крылатые ракеты) с трех четырехмоторных бомбардировщиков Пе-8 на авиационном полигоне в Голодной степи, в районе города Джизак (Узбекистан).</w:t>
      </w:r>
    </w:p>
    <w:p w14:paraId="4905CA9D" w14:textId="77777777" w:rsidR="00A5033B" w:rsidRPr="001A0BAA" w:rsidRDefault="00A5033B" w:rsidP="00A5033B">
      <w:pPr>
        <w:jc w:val="both"/>
        <w:rPr>
          <w:color w:val="0070C0"/>
          <w:sz w:val="16"/>
          <w:szCs w:val="16"/>
        </w:rPr>
      </w:pPr>
      <w:r w:rsidRPr="001A0BAA">
        <w:rPr>
          <w:color w:val="0070C0"/>
          <w:sz w:val="16"/>
          <w:szCs w:val="16"/>
        </w:rPr>
        <w:t>Испытания продолжались до 25 июля 1946 г.</w:t>
      </w:r>
    </w:p>
    <w:p w14:paraId="7E3AB23D" w14:textId="77777777" w:rsidR="00A5033B" w:rsidRPr="001A0BAA" w:rsidRDefault="00A5033B" w:rsidP="00A5033B">
      <w:pPr>
        <w:jc w:val="both"/>
        <w:rPr>
          <w:color w:val="0070C0"/>
          <w:sz w:val="16"/>
          <w:szCs w:val="16"/>
        </w:rPr>
      </w:pPr>
      <w:r w:rsidRPr="001A0BAA">
        <w:rPr>
          <w:color w:val="0070C0"/>
          <w:sz w:val="16"/>
          <w:szCs w:val="16"/>
        </w:rPr>
        <w:t>Из 63 запущенных ракет 10Х в цель не попала ни одна. В районе цели упали 19 (30 %), пуски остальных 44 были аварийными. При этом «в зачет» шли попадания в квадрат 5 х 5 км, что намного хуже, чем у прототипа.</w:t>
      </w:r>
    </w:p>
    <w:p w14:paraId="2CD4B9C2" w14:textId="77777777" w:rsidR="00A5033B" w:rsidRPr="001A0BAA" w:rsidRDefault="00A5033B" w:rsidP="00A5033B">
      <w:pPr>
        <w:jc w:val="both"/>
        <w:rPr>
          <w:color w:val="0070C0"/>
          <w:sz w:val="16"/>
          <w:szCs w:val="16"/>
        </w:rPr>
      </w:pPr>
      <w:r w:rsidRPr="001A0BAA">
        <w:rPr>
          <w:color w:val="0070C0"/>
          <w:sz w:val="16"/>
          <w:szCs w:val="16"/>
        </w:rPr>
        <w:t>Скорость полёта 10Х не превышала 590 км/ч (при встречном или боковом ветре ещё меньше). Лучшие винтомоторные истребители, выпускавшиеся во время войны, летали быстрее (24989).</w:t>
      </w:r>
    </w:p>
    <w:p w14:paraId="77E71B05" w14:textId="77777777" w:rsidR="00A5033B" w:rsidRPr="001A0BAA" w:rsidRDefault="00A5033B" w:rsidP="00A5033B">
      <w:pPr>
        <w:jc w:val="both"/>
        <w:rPr>
          <w:color w:val="0070C0"/>
          <w:sz w:val="16"/>
          <w:szCs w:val="16"/>
        </w:rPr>
      </w:pPr>
    </w:p>
    <w:p w14:paraId="3B660770" w14:textId="77777777" w:rsidR="007076F2" w:rsidRPr="001A0BAA" w:rsidRDefault="007076F2" w:rsidP="007076F2">
      <w:pPr>
        <w:jc w:val="both"/>
        <w:rPr>
          <w:color w:val="0070C0"/>
          <w:sz w:val="16"/>
          <w:szCs w:val="16"/>
        </w:rPr>
      </w:pPr>
      <w:r w:rsidRPr="001A0BAA">
        <w:rPr>
          <w:rStyle w:val="aff0"/>
          <w:rFonts w:ascii="Times New Roman" w:hAnsi="Times New Roman" w:cs="Times New Roman"/>
          <w:color w:val="0070C0"/>
          <w:spacing w:val="0"/>
          <w:sz w:val="16"/>
          <w:szCs w:val="16"/>
        </w:rPr>
        <w:t>20 марта 1945 года с переоборудованных бомбардировщи</w:t>
      </w:r>
      <w:r w:rsidRPr="001A0BAA">
        <w:rPr>
          <w:rStyle w:val="aff0"/>
          <w:rFonts w:ascii="Times New Roman" w:hAnsi="Times New Roman" w:cs="Times New Roman"/>
          <w:color w:val="0070C0"/>
          <w:spacing w:val="0"/>
          <w:sz w:val="16"/>
          <w:szCs w:val="16"/>
        </w:rPr>
        <w:softHyphen/>
        <w:t>ков Пе-8 и Ер-2 начались оценочные заводские испытания са</w:t>
      </w:r>
      <w:r w:rsidRPr="001A0BAA">
        <w:rPr>
          <w:rStyle w:val="aff0"/>
          <w:rFonts w:ascii="Times New Roman" w:hAnsi="Times New Roman" w:cs="Times New Roman"/>
          <w:color w:val="0070C0"/>
          <w:spacing w:val="0"/>
          <w:sz w:val="16"/>
          <w:szCs w:val="16"/>
        </w:rPr>
        <w:softHyphen/>
        <w:t>молётов-снарядов 10Х Челомея (25433).</w:t>
      </w:r>
    </w:p>
    <w:p w14:paraId="5438207D" w14:textId="77777777" w:rsidR="007076F2" w:rsidRPr="001A0BAA" w:rsidRDefault="007076F2" w:rsidP="007076F2">
      <w:pPr>
        <w:jc w:val="both"/>
        <w:rPr>
          <w:color w:val="0070C0"/>
          <w:sz w:val="16"/>
          <w:szCs w:val="16"/>
        </w:rPr>
      </w:pPr>
    </w:p>
    <w:p w14:paraId="5900C8E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E2755AE" w14:textId="77777777" w:rsidR="00665165" w:rsidRPr="00925F26" w:rsidRDefault="00665165" w:rsidP="00925F26">
      <w:pPr>
        <w:autoSpaceDE w:val="0"/>
        <w:autoSpaceDN w:val="0"/>
        <w:adjustRightInd w:val="0"/>
        <w:jc w:val="both"/>
        <w:rPr>
          <w:iCs/>
          <w:color w:val="000000" w:themeColor="text1"/>
          <w:sz w:val="16"/>
          <w:szCs w:val="16"/>
        </w:rPr>
      </w:pPr>
    </w:p>
    <w:p w14:paraId="160EA3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марта 1945 г. была подготовлена ДОКЛАДНАЯ ЗАПИСКА ЗАМЕСТИТЕЛЮ ПРЕДСЕДАТЕЛЯ ГКО Л.П. БЕРИИ О НОВОМ ТЯЖЕЛОМ ТАНКЕ НА БАЗЕ ТАНКА ИС</w:t>
      </w:r>
    </w:p>
    <w:p w14:paraId="4AB423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Докладываем, что Кировским заводом Наркомтанкопрома спроектировано и изготовлено 5 опытных образцов нового тяжелого танка на базе танка ИС (Иосиф Сталин).</w:t>
      </w:r>
    </w:p>
    <w:p w14:paraId="7BB277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новом танке осуществлена новая конструкция башни и броневого корпуса, обеспечивающая значительное, более чем в два раза, увеличение бронестойкости по сравнению с серийным танком ИС. Такое увеличение бронестойкости достигнуто как за счет некоторого увеличения толщины брони, но главным образом за счет применения больших углов наклона броневых стенок башни и корпуса, что резко повысило их бронестойкость.</w:t>
      </w:r>
    </w:p>
    <w:p w14:paraId="08A057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Корпус и башня нового тяжелого танка не будет пробиваться из танковой и противотанковой пушки противника калибром 88 мм при стрельбе в лоб башни и в борта при курсовых углах маневри</w:t>
      </w:r>
      <w:r w:rsidRPr="00925F26">
        <w:rPr>
          <w:color w:val="000000" w:themeColor="text1"/>
          <w:sz w:val="16"/>
          <w:szCs w:val="16"/>
        </w:rPr>
        <w:softHyphen/>
        <w:t>рования танка к противнику до 60".</w:t>
      </w:r>
    </w:p>
    <w:p w14:paraId="0A58F5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Различие в бронировании нового танка и серийного танка ИС видно из таблицы (где толщина брони в мм и угол наклона в градусах):</w:t>
      </w:r>
    </w:p>
    <w:tbl>
      <w:tblPr>
        <w:tblW w:w="0" w:type="auto"/>
        <w:tblInd w:w="40" w:type="dxa"/>
        <w:tblLayout w:type="fixed"/>
        <w:tblCellMar>
          <w:left w:w="40" w:type="dxa"/>
          <w:right w:w="40" w:type="dxa"/>
        </w:tblCellMar>
        <w:tblLook w:val="0000" w:firstRow="0" w:lastRow="0" w:firstColumn="0" w:lastColumn="0" w:noHBand="0" w:noVBand="0"/>
      </w:tblPr>
      <w:tblGrid>
        <w:gridCol w:w="3370"/>
        <w:gridCol w:w="3120"/>
        <w:gridCol w:w="3072"/>
      </w:tblGrid>
      <w:tr w:rsidR="000F5689" w:rsidRPr="00925F26" w14:paraId="06C917C6" w14:textId="77777777">
        <w:trPr>
          <w:trHeight w:val="317"/>
        </w:trPr>
        <w:tc>
          <w:tcPr>
            <w:tcW w:w="3370" w:type="dxa"/>
            <w:tcBorders>
              <w:top w:val="single" w:sz="6" w:space="0" w:color="auto"/>
              <w:left w:val="single" w:sz="6" w:space="0" w:color="auto"/>
              <w:bottom w:val="single" w:sz="6" w:space="0" w:color="auto"/>
              <w:right w:val="single" w:sz="6" w:space="0" w:color="auto"/>
            </w:tcBorders>
          </w:tcPr>
          <w:p w14:paraId="11BF21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детали</w:t>
            </w:r>
          </w:p>
          <w:p w14:paraId="6C6FB4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46C19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ИС</w:t>
            </w:r>
          </w:p>
          <w:p w14:paraId="120B86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5F454B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тяжелый танк</w:t>
            </w:r>
          </w:p>
          <w:p w14:paraId="007440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DF96344"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BA1C8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1 .</w:t>
            </w:r>
            <w:proofErr w:type="gramEnd"/>
            <w:r w:rsidRPr="00925F26">
              <w:rPr>
                <w:color w:val="000000" w:themeColor="text1"/>
                <w:sz w:val="16"/>
                <w:szCs w:val="16"/>
              </w:rPr>
              <w:t xml:space="preserve"> Нос танка:</w:t>
            </w:r>
          </w:p>
          <w:p w14:paraId="38956C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5775B0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F3F3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1E0CB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7DA54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8C3A75F"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0361E6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верхний лист</w:t>
            </w:r>
          </w:p>
          <w:p w14:paraId="5DDA11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1E1E3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 мм / 60°</w:t>
            </w:r>
          </w:p>
          <w:p w14:paraId="21D862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054878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 мм /55°</w:t>
            </w:r>
          </w:p>
          <w:p w14:paraId="484BA3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731BD83"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24F8B3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нижний лист</w:t>
            </w:r>
          </w:p>
          <w:p w14:paraId="7407C3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68E0DE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 мм / 30°</w:t>
            </w:r>
          </w:p>
          <w:p w14:paraId="15D30C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5C9BC4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 мм /55</w:t>
            </w:r>
          </w:p>
          <w:p w14:paraId="5ECADA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32BB308"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3A4003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Борта танка:</w:t>
            </w:r>
          </w:p>
          <w:p w14:paraId="44D19A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38225D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6408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DA824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67F78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949CE92"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3E7FE6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вертикальный</w:t>
            </w:r>
          </w:p>
          <w:p w14:paraId="4BB186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748414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90мм</w:t>
            </w:r>
          </w:p>
          <w:p w14:paraId="0A0823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75489A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90мм</w:t>
            </w:r>
          </w:p>
          <w:p w14:paraId="7D4C0A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0C79890"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4F86B4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наклонный</w:t>
            </w:r>
          </w:p>
          <w:p w14:paraId="7DD49B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6057F6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 мм /15'</w:t>
            </w:r>
          </w:p>
          <w:p w14:paraId="298739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43B1CE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 мм / 60"</w:t>
            </w:r>
          </w:p>
          <w:p w14:paraId="17472E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9B1471E"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243491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Башня:</w:t>
            </w:r>
          </w:p>
          <w:p w14:paraId="0FB7DB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B77CE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48D9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BDFC4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293C3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1CF2AEB"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1020E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передняя часть</w:t>
            </w:r>
          </w:p>
          <w:p w14:paraId="27059F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DB791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100мм</w:t>
            </w:r>
          </w:p>
          <w:p w14:paraId="2657CE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118B7D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210мм</w:t>
            </w:r>
          </w:p>
          <w:p w14:paraId="2F6571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E830885"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3AE53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боковые стенки</w:t>
            </w:r>
          </w:p>
          <w:p w14:paraId="31BB10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706CC0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 мм /20"</w:t>
            </w:r>
          </w:p>
          <w:p w14:paraId="17190B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36E0F7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115 мм /45</w:t>
            </w:r>
          </w:p>
          <w:p w14:paraId="6F8EA5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8D35386" w14:textId="77777777">
        <w:trPr>
          <w:trHeight w:val="326"/>
        </w:trPr>
        <w:tc>
          <w:tcPr>
            <w:tcW w:w="3370" w:type="dxa"/>
            <w:tcBorders>
              <w:top w:val="single" w:sz="6" w:space="0" w:color="auto"/>
              <w:left w:val="single" w:sz="6" w:space="0" w:color="auto"/>
              <w:bottom w:val="single" w:sz="6" w:space="0" w:color="auto"/>
              <w:right w:val="single" w:sz="6" w:space="0" w:color="auto"/>
            </w:tcBorders>
          </w:tcPr>
          <w:p w14:paraId="13EAAA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Корма танка</w:t>
            </w:r>
          </w:p>
          <w:p w14:paraId="2CAB89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192" w:type="dxa"/>
            <w:gridSpan w:val="2"/>
            <w:tcBorders>
              <w:top w:val="single" w:sz="6" w:space="0" w:color="auto"/>
              <w:left w:val="single" w:sz="6" w:space="0" w:color="auto"/>
              <w:bottom w:val="single" w:sz="6" w:space="0" w:color="auto"/>
              <w:right w:val="single" w:sz="6" w:space="0" w:color="auto"/>
            </w:tcBorders>
          </w:tcPr>
          <w:p w14:paraId="4BBD6F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толщина и углы наклона одинаковые</w:t>
            </w:r>
          </w:p>
          <w:p w14:paraId="3D7BFE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3E381E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Изменение бронирования вызвало лишь незначительное, на полтонны, увеличение веса нового танка.</w:t>
      </w:r>
    </w:p>
    <w:p w14:paraId="09FA31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механизмы трансмиссии и ходовой части нового танка остались те же, что и у серийного танка ИС. На новом танке установлено специальное электрическое устройство, позволяющее коман</w:t>
      </w:r>
      <w:r w:rsidRPr="00925F26">
        <w:rPr>
          <w:color w:val="000000" w:themeColor="text1"/>
          <w:sz w:val="16"/>
          <w:szCs w:val="16"/>
        </w:rPr>
        <w:softHyphen/>
        <w:t>диру танка управлять огнем со своего места.</w:t>
      </w:r>
    </w:p>
    <w:p w14:paraId="5E43B0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тяжелый танк в декабре месяце 1944 г. успешно прошел испытания на научно-испыта</w:t>
      </w:r>
      <w:r w:rsidRPr="00925F26">
        <w:rPr>
          <w:color w:val="000000" w:themeColor="text1"/>
          <w:sz w:val="16"/>
          <w:szCs w:val="16"/>
        </w:rPr>
        <w:softHyphen/>
        <w:t>тельном бронетанковом полигоне ГБТУ КА.</w:t>
      </w:r>
    </w:p>
    <w:p w14:paraId="65C677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Учитывая несомненные преимущества нового тяжелого танка, вносим на Ваше рассмотрение проект постановления ГОКО, в котором предусматривается:</w:t>
      </w:r>
    </w:p>
    <w:p w14:paraId="09EC2E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Принятие на вооружение Красной Армии нового тяжелого танка Кировского завода.</w:t>
      </w:r>
    </w:p>
    <w:p w14:paraId="44D12C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Присвоение новому танку имени «Маршал Сталин».</w:t>
      </w:r>
    </w:p>
    <w:p w14:paraId="27B104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Начало серийного производства танков «Маршал Сталин» предполагается начать в апреле месяце выпуском 25 штук, в мае — 100 штук и в июне 250 штук, т.е. полностью перейти на выпуск танков «Маршал Сталин» вместо танков ИС.</w:t>
      </w:r>
    </w:p>
    <w:p w14:paraId="4D16B8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Серийное производство танков «Маршал Сталин» будет осуществляться без снижения выпуска на Кировском заводе тяжелых танков и артсамоходов (500 штук в месяц).</w:t>
      </w:r>
    </w:p>
    <w:p w14:paraId="7B9E22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Просим поддержать наше ходатайство и подписать прилагаемое письмо на имя товарища Сталина.</w:t>
      </w:r>
    </w:p>
    <w:p w14:paraId="7CA274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Малышев Н. Бирюков</w:t>
      </w:r>
    </w:p>
    <w:p w14:paraId="7F4E6F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Коробков Н. Борисов</w:t>
      </w:r>
    </w:p>
    <w:p w14:paraId="7F0D0D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И.Зальцман</w:t>
      </w:r>
    </w:p>
    <w:p w14:paraId="32DB6C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2732. Л. 22-23. Копия (11420).</w:t>
      </w:r>
    </w:p>
    <w:p w14:paraId="26DA6D48" w14:textId="77777777" w:rsidR="00665165" w:rsidRPr="00925F26" w:rsidRDefault="00665165" w:rsidP="00925F26">
      <w:pPr>
        <w:autoSpaceDE w:val="0"/>
        <w:autoSpaceDN w:val="0"/>
        <w:adjustRightInd w:val="0"/>
        <w:jc w:val="both"/>
        <w:rPr>
          <w:color w:val="000000" w:themeColor="text1"/>
          <w:sz w:val="16"/>
          <w:szCs w:val="16"/>
        </w:rPr>
      </w:pPr>
    </w:p>
    <w:p w14:paraId="6D80BE92" w14:textId="77777777" w:rsidR="007076F2" w:rsidRPr="001A0BAA" w:rsidRDefault="007076F2" w:rsidP="007076F2">
      <w:pPr>
        <w:jc w:val="both"/>
        <w:rPr>
          <w:color w:val="0070C0"/>
          <w:sz w:val="16"/>
          <w:szCs w:val="16"/>
        </w:rPr>
      </w:pPr>
      <w:r w:rsidRPr="001A0BAA">
        <w:rPr>
          <w:color w:val="0070C0"/>
          <w:sz w:val="16"/>
          <w:szCs w:val="16"/>
        </w:rPr>
        <w:t>20 марта 1945 года в адрес заместителя председателя ГКО Л.П.Берия была направлена докладная записка следующего со</w:t>
      </w:r>
      <w:r w:rsidRPr="001A0BAA">
        <w:rPr>
          <w:color w:val="0070C0"/>
          <w:sz w:val="16"/>
          <w:szCs w:val="16"/>
        </w:rPr>
        <w:softHyphen/>
        <w:t>держания:</w:t>
      </w:r>
    </w:p>
    <w:p w14:paraId="7F1BD627" w14:textId="77777777" w:rsidR="007076F2" w:rsidRPr="001A0BAA" w:rsidRDefault="007076F2" w:rsidP="007076F2">
      <w:pPr>
        <w:jc w:val="both"/>
        <w:rPr>
          <w:color w:val="0070C0"/>
          <w:sz w:val="16"/>
          <w:szCs w:val="16"/>
        </w:rPr>
      </w:pPr>
      <w:r w:rsidRPr="001A0BAA">
        <w:rPr>
          <w:color w:val="0070C0"/>
          <w:sz w:val="16"/>
          <w:szCs w:val="16"/>
        </w:rPr>
        <w:t>«Докладываем, что Кировским заводом Наркомтанкопрома спроектировано и изготовлено 5 опытных образцов нового тяжелого танка на базе танка ИС (Иосиф Сталин).</w:t>
      </w:r>
    </w:p>
    <w:p w14:paraId="69F3A4C1" w14:textId="77777777" w:rsidR="007076F2" w:rsidRPr="001A0BAA" w:rsidRDefault="007076F2" w:rsidP="007076F2">
      <w:pPr>
        <w:jc w:val="both"/>
        <w:rPr>
          <w:color w:val="0070C0"/>
          <w:sz w:val="16"/>
          <w:szCs w:val="16"/>
        </w:rPr>
      </w:pPr>
      <w:r w:rsidRPr="001A0BAA">
        <w:rPr>
          <w:color w:val="0070C0"/>
          <w:sz w:val="16"/>
          <w:szCs w:val="16"/>
        </w:rPr>
        <w:t>На новом танке осуществлена новая конструк</w:t>
      </w:r>
      <w:r w:rsidRPr="001A0BAA">
        <w:rPr>
          <w:color w:val="0070C0"/>
          <w:sz w:val="16"/>
          <w:szCs w:val="16"/>
        </w:rPr>
        <w:softHyphen/>
        <w:t>ция башни и броневого корпуса, обеспечивающая значительное, более чем в два раза, увеличение бронестойкости по сравнению с серийным танком ИС. Такое увеличение бронестойкости достигнуто за счет некоторого увеличения толщины брони, но главным образом за счет применения больших углов наклона броневых стенок башни и корпуса, что резко повысило их бронестойкость.</w:t>
      </w:r>
    </w:p>
    <w:p w14:paraId="4304736E" w14:textId="77777777" w:rsidR="007076F2" w:rsidRPr="001A0BAA" w:rsidRDefault="007076F2" w:rsidP="007076F2">
      <w:pPr>
        <w:jc w:val="both"/>
        <w:rPr>
          <w:color w:val="0070C0"/>
          <w:sz w:val="16"/>
          <w:szCs w:val="16"/>
        </w:rPr>
      </w:pPr>
      <w:r w:rsidRPr="001A0BAA">
        <w:rPr>
          <w:color w:val="0070C0"/>
          <w:sz w:val="16"/>
          <w:szCs w:val="16"/>
        </w:rPr>
        <w:t>Корпус и башня нового тяжелого танка не будет пробиваться из танковой и противотанковой пушки противника калибром 88 мм при стрельбе в лоб башни и в борта при курсовых углах манев</w:t>
      </w:r>
      <w:r w:rsidRPr="001A0BAA">
        <w:rPr>
          <w:color w:val="0070C0"/>
          <w:sz w:val="16"/>
          <w:szCs w:val="16"/>
        </w:rPr>
        <w:softHyphen/>
        <w:t>рирования танка к противнику до 60°.</w:t>
      </w:r>
    </w:p>
    <w:p w14:paraId="1CCD0B58" w14:textId="77777777" w:rsidR="007076F2" w:rsidRPr="001A0BAA" w:rsidRDefault="007076F2" w:rsidP="007076F2">
      <w:pPr>
        <w:jc w:val="both"/>
        <w:rPr>
          <w:color w:val="0070C0"/>
          <w:sz w:val="16"/>
          <w:szCs w:val="16"/>
        </w:rPr>
      </w:pPr>
      <w:r w:rsidRPr="001A0BAA">
        <w:rPr>
          <w:color w:val="0070C0"/>
          <w:sz w:val="16"/>
          <w:szCs w:val="16"/>
        </w:rPr>
        <w:t>Различие в бронировании новою танка и серийного танка ИС видно из таблицы:</w:t>
      </w:r>
    </w:p>
    <w:tbl>
      <w:tblPr>
        <w:tblOverlap w:val="never"/>
        <w:tblW w:w="0" w:type="auto"/>
        <w:tblLayout w:type="fixed"/>
        <w:tblCellMar>
          <w:left w:w="10" w:type="dxa"/>
          <w:right w:w="10" w:type="dxa"/>
        </w:tblCellMar>
        <w:tblLook w:val="0000" w:firstRow="0" w:lastRow="0" w:firstColumn="0" w:lastColumn="0" w:noHBand="0" w:noVBand="0"/>
      </w:tblPr>
      <w:tblGrid>
        <w:gridCol w:w="2445"/>
        <w:gridCol w:w="1909"/>
        <w:gridCol w:w="2957"/>
      </w:tblGrid>
      <w:tr w:rsidR="007076F2" w:rsidRPr="001A0BAA" w14:paraId="5A1B5395" w14:textId="77777777" w:rsidTr="00B56A2A">
        <w:trPr>
          <w:trHeight w:hRule="exact" w:val="268"/>
          <w:tblHeader/>
        </w:trPr>
        <w:tc>
          <w:tcPr>
            <w:tcW w:w="2445" w:type="dxa"/>
            <w:tcBorders>
              <w:top w:val="single" w:sz="4" w:space="0" w:color="auto"/>
              <w:left w:val="single" w:sz="4" w:space="0" w:color="auto"/>
            </w:tcBorders>
            <w:shd w:val="clear" w:color="auto" w:fill="FFFFFF"/>
            <w:vAlign w:val="bottom"/>
          </w:tcPr>
          <w:p w14:paraId="0138F448"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Наименование детали</w:t>
            </w:r>
          </w:p>
        </w:tc>
        <w:tc>
          <w:tcPr>
            <w:tcW w:w="1909" w:type="dxa"/>
            <w:tcBorders>
              <w:top w:val="single" w:sz="4" w:space="0" w:color="auto"/>
              <w:left w:val="single" w:sz="4" w:space="0" w:color="auto"/>
            </w:tcBorders>
            <w:shd w:val="clear" w:color="auto" w:fill="FFFFFF"/>
            <w:vAlign w:val="bottom"/>
          </w:tcPr>
          <w:p w14:paraId="0100224F"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Танк ИС</w:t>
            </w:r>
          </w:p>
        </w:tc>
        <w:tc>
          <w:tcPr>
            <w:tcW w:w="2957" w:type="dxa"/>
            <w:tcBorders>
              <w:top w:val="single" w:sz="4" w:space="0" w:color="auto"/>
              <w:left w:val="single" w:sz="4" w:space="0" w:color="auto"/>
              <w:right w:val="single" w:sz="4" w:space="0" w:color="auto"/>
            </w:tcBorders>
            <w:shd w:val="clear" w:color="auto" w:fill="FFFFFF"/>
            <w:vAlign w:val="bottom"/>
          </w:tcPr>
          <w:p w14:paraId="7D30F45B"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Новый тяжелый танк</w:t>
            </w:r>
          </w:p>
        </w:tc>
      </w:tr>
      <w:tr w:rsidR="007076F2" w:rsidRPr="001A0BAA" w14:paraId="3CFF0F48" w14:textId="77777777" w:rsidTr="00B56A2A">
        <w:trPr>
          <w:trHeight w:hRule="exact" w:val="565"/>
        </w:trPr>
        <w:tc>
          <w:tcPr>
            <w:tcW w:w="2445" w:type="dxa"/>
            <w:tcBorders>
              <w:top w:val="single" w:sz="4" w:space="0" w:color="auto"/>
              <w:left w:val="single" w:sz="4" w:space="0" w:color="auto"/>
            </w:tcBorders>
            <w:shd w:val="clear" w:color="auto" w:fill="FFFFFF"/>
            <w:vAlign w:val="bottom"/>
          </w:tcPr>
          <w:p w14:paraId="65626AD8"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1.Нос танка: верхний лист нижний лист</w:t>
            </w:r>
          </w:p>
        </w:tc>
        <w:tc>
          <w:tcPr>
            <w:tcW w:w="1909" w:type="dxa"/>
            <w:tcBorders>
              <w:top w:val="single" w:sz="4" w:space="0" w:color="auto"/>
              <w:left w:val="single" w:sz="4" w:space="0" w:color="auto"/>
            </w:tcBorders>
            <w:shd w:val="clear" w:color="auto" w:fill="FFFFFF"/>
            <w:vAlign w:val="bottom"/>
          </w:tcPr>
          <w:p w14:paraId="0BA9DA02"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90 мм/60</w:t>
            </w:r>
            <w:r w:rsidRPr="001A0BAA">
              <w:rPr>
                <w:rFonts w:ascii="Times New Roman" w:eastAsia="Times New Roman" w:hAnsi="Times New Roman" w:cs="Times New Roman"/>
                <w:color w:val="0070C0"/>
                <w:sz w:val="16"/>
                <w:szCs w:val="16"/>
                <w:vertAlign w:val="superscript"/>
              </w:rPr>
              <w:t>о</w:t>
            </w:r>
          </w:p>
          <w:p w14:paraId="0E1D23AB"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u w:val="single"/>
              </w:rPr>
              <w:t>90 мм/30</w:t>
            </w:r>
            <w:r w:rsidRPr="001A0BAA">
              <w:rPr>
                <w:rFonts w:ascii="Times New Roman" w:eastAsia="Times New Roman" w:hAnsi="Times New Roman" w:cs="Times New Roman"/>
                <w:color w:val="0070C0"/>
                <w:sz w:val="16"/>
                <w:szCs w:val="16"/>
                <w:u w:val="single"/>
                <w:vertAlign w:val="superscript"/>
              </w:rPr>
              <w:t>о</w:t>
            </w:r>
          </w:p>
        </w:tc>
        <w:tc>
          <w:tcPr>
            <w:tcW w:w="2957" w:type="dxa"/>
            <w:tcBorders>
              <w:top w:val="single" w:sz="4" w:space="0" w:color="auto"/>
              <w:left w:val="single" w:sz="4" w:space="0" w:color="auto"/>
              <w:right w:val="single" w:sz="4" w:space="0" w:color="auto"/>
            </w:tcBorders>
            <w:shd w:val="clear" w:color="auto" w:fill="FFFFFF"/>
            <w:vAlign w:val="bottom"/>
          </w:tcPr>
          <w:p w14:paraId="0EEE1FA8"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120 мм/55</w:t>
            </w:r>
            <w:r w:rsidRPr="001A0BAA">
              <w:rPr>
                <w:rFonts w:ascii="Times New Roman" w:eastAsia="Times New Roman" w:hAnsi="Times New Roman" w:cs="Times New Roman"/>
                <w:color w:val="0070C0"/>
                <w:sz w:val="16"/>
                <w:szCs w:val="16"/>
                <w:vertAlign w:val="superscript"/>
              </w:rPr>
              <w:t>о</w:t>
            </w:r>
          </w:p>
          <w:p w14:paraId="60411CE9"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u w:val="single"/>
              </w:rPr>
              <w:t>110 мм/55</w:t>
            </w:r>
            <w:r w:rsidRPr="001A0BAA">
              <w:rPr>
                <w:rFonts w:ascii="Times New Roman" w:eastAsia="Times New Roman" w:hAnsi="Times New Roman" w:cs="Times New Roman"/>
                <w:color w:val="0070C0"/>
                <w:sz w:val="16"/>
                <w:szCs w:val="16"/>
                <w:u w:val="single"/>
                <w:vertAlign w:val="superscript"/>
              </w:rPr>
              <w:t>о</w:t>
            </w:r>
          </w:p>
        </w:tc>
      </w:tr>
      <w:tr w:rsidR="007076F2" w:rsidRPr="001A0BAA" w14:paraId="1ED9C3D7" w14:textId="77777777" w:rsidTr="00B56A2A">
        <w:trPr>
          <w:trHeight w:hRule="exact" w:val="569"/>
        </w:trPr>
        <w:tc>
          <w:tcPr>
            <w:tcW w:w="2445" w:type="dxa"/>
            <w:tcBorders>
              <w:top w:val="single" w:sz="4" w:space="0" w:color="auto"/>
              <w:left w:val="single" w:sz="4" w:space="0" w:color="auto"/>
            </w:tcBorders>
            <w:shd w:val="clear" w:color="auto" w:fill="FFFFFF"/>
            <w:vAlign w:val="bottom"/>
          </w:tcPr>
          <w:p w14:paraId="1FFA0191"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 Борта танка: вертикальный наклонный</w:t>
            </w:r>
          </w:p>
        </w:tc>
        <w:tc>
          <w:tcPr>
            <w:tcW w:w="1909" w:type="dxa"/>
            <w:tcBorders>
              <w:top w:val="single" w:sz="4" w:space="0" w:color="auto"/>
              <w:left w:val="single" w:sz="4" w:space="0" w:color="auto"/>
            </w:tcBorders>
            <w:shd w:val="clear" w:color="auto" w:fill="FFFFFF"/>
            <w:vAlign w:val="bottom"/>
          </w:tcPr>
          <w:p w14:paraId="551AEB4B"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90 мм</w:t>
            </w:r>
          </w:p>
          <w:p w14:paraId="04C1915D"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90 мм/15</w:t>
            </w:r>
            <w:r w:rsidRPr="001A0BAA">
              <w:rPr>
                <w:rFonts w:ascii="Times New Roman" w:eastAsia="Times New Roman" w:hAnsi="Times New Roman" w:cs="Times New Roman"/>
                <w:color w:val="0070C0"/>
                <w:sz w:val="16"/>
                <w:szCs w:val="16"/>
                <w:vertAlign w:val="superscript"/>
              </w:rPr>
              <w:t>о</w:t>
            </w:r>
          </w:p>
        </w:tc>
        <w:tc>
          <w:tcPr>
            <w:tcW w:w="2957" w:type="dxa"/>
            <w:tcBorders>
              <w:top w:val="single" w:sz="4" w:space="0" w:color="auto"/>
              <w:left w:val="single" w:sz="4" w:space="0" w:color="auto"/>
              <w:right w:val="single" w:sz="4" w:space="0" w:color="auto"/>
            </w:tcBorders>
            <w:shd w:val="clear" w:color="auto" w:fill="FFFFFF"/>
            <w:vAlign w:val="bottom"/>
          </w:tcPr>
          <w:p w14:paraId="10F24C98"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90 мм</w:t>
            </w:r>
          </w:p>
          <w:p w14:paraId="3A711259"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90 мм/60</w:t>
            </w:r>
            <w:r w:rsidRPr="001A0BAA">
              <w:rPr>
                <w:rFonts w:ascii="Times New Roman" w:eastAsia="Times New Roman" w:hAnsi="Times New Roman" w:cs="Times New Roman"/>
                <w:color w:val="0070C0"/>
                <w:sz w:val="16"/>
                <w:szCs w:val="16"/>
                <w:vertAlign w:val="superscript"/>
              </w:rPr>
              <w:t>о</w:t>
            </w:r>
          </w:p>
        </w:tc>
      </w:tr>
      <w:tr w:rsidR="007076F2" w:rsidRPr="001A0BAA" w14:paraId="07262A1A" w14:textId="77777777" w:rsidTr="00B56A2A">
        <w:trPr>
          <w:trHeight w:hRule="exact" w:val="565"/>
        </w:trPr>
        <w:tc>
          <w:tcPr>
            <w:tcW w:w="2445" w:type="dxa"/>
            <w:tcBorders>
              <w:top w:val="single" w:sz="4" w:space="0" w:color="auto"/>
              <w:left w:val="single" w:sz="4" w:space="0" w:color="auto"/>
            </w:tcBorders>
            <w:shd w:val="clear" w:color="auto" w:fill="FFFFFF"/>
            <w:vAlign w:val="bottom"/>
          </w:tcPr>
          <w:p w14:paraId="233ACAFA"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3. Башня:</w:t>
            </w:r>
          </w:p>
          <w:p w14:paraId="21899152" w14:textId="77777777" w:rsidR="007076F2" w:rsidRPr="001A0BAA" w:rsidRDefault="007076F2" w:rsidP="00B56A2A">
            <w:pPr>
              <w:pStyle w:val="afff8"/>
              <w:ind w:left="160"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передняя часть боковые стенки</w:t>
            </w:r>
          </w:p>
        </w:tc>
        <w:tc>
          <w:tcPr>
            <w:tcW w:w="1909" w:type="dxa"/>
            <w:tcBorders>
              <w:top w:val="single" w:sz="4" w:space="0" w:color="auto"/>
              <w:left w:val="single" w:sz="4" w:space="0" w:color="auto"/>
            </w:tcBorders>
            <w:shd w:val="clear" w:color="auto" w:fill="FFFFFF"/>
            <w:vAlign w:val="bottom"/>
          </w:tcPr>
          <w:p w14:paraId="3598A89E"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100 мм</w:t>
            </w:r>
          </w:p>
          <w:p w14:paraId="3C898738"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100 мм/20</w:t>
            </w:r>
            <w:r w:rsidRPr="001A0BAA">
              <w:rPr>
                <w:rFonts w:ascii="Times New Roman" w:eastAsia="Times New Roman" w:hAnsi="Times New Roman" w:cs="Times New Roman"/>
                <w:color w:val="0070C0"/>
                <w:sz w:val="16"/>
                <w:szCs w:val="16"/>
                <w:vertAlign w:val="superscript"/>
              </w:rPr>
              <w:t>о</w:t>
            </w:r>
          </w:p>
        </w:tc>
        <w:tc>
          <w:tcPr>
            <w:tcW w:w="2957" w:type="dxa"/>
            <w:tcBorders>
              <w:top w:val="single" w:sz="4" w:space="0" w:color="auto"/>
              <w:left w:val="single" w:sz="4" w:space="0" w:color="auto"/>
              <w:right w:val="single" w:sz="4" w:space="0" w:color="auto"/>
            </w:tcBorders>
            <w:shd w:val="clear" w:color="auto" w:fill="FFFFFF"/>
            <w:vAlign w:val="bottom"/>
          </w:tcPr>
          <w:p w14:paraId="031556AD"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210 мм</w:t>
            </w:r>
          </w:p>
          <w:p w14:paraId="64AACA77"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u w:val="single"/>
              </w:rPr>
              <w:t>115 мм/45</w:t>
            </w:r>
            <w:r w:rsidRPr="001A0BAA">
              <w:rPr>
                <w:rFonts w:ascii="Times New Roman" w:eastAsia="Times New Roman" w:hAnsi="Times New Roman" w:cs="Times New Roman"/>
                <w:color w:val="0070C0"/>
                <w:sz w:val="16"/>
                <w:szCs w:val="16"/>
                <w:u w:val="single"/>
                <w:vertAlign w:val="superscript"/>
              </w:rPr>
              <w:t>о</w:t>
            </w:r>
          </w:p>
        </w:tc>
      </w:tr>
      <w:tr w:rsidR="007076F2" w:rsidRPr="001A0BAA" w14:paraId="2D19411C" w14:textId="77777777" w:rsidTr="00B56A2A">
        <w:trPr>
          <w:trHeight w:hRule="exact" w:val="254"/>
        </w:trPr>
        <w:tc>
          <w:tcPr>
            <w:tcW w:w="2445" w:type="dxa"/>
            <w:tcBorders>
              <w:top w:val="single" w:sz="4" w:space="0" w:color="auto"/>
              <w:left w:val="single" w:sz="4" w:space="0" w:color="auto"/>
              <w:bottom w:val="single" w:sz="4" w:space="0" w:color="auto"/>
            </w:tcBorders>
            <w:shd w:val="clear" w:color="auto" w:fill="FFFFFF"/>
            <w:vAlign w:val="bottom"/>
          </w:tcPr>
          <w:p w14:paraId="5E29DD04"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4.Корма танка</w:t>
            </w:r>
          </w:p>
        </w:tc>
        <w:tc>
          <w:tcPr>
            <w:tcW w:w="486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0710DDCA" w14:textId="77777777" w:rsidR="007076F2" w:rsidRPr="001A0BAA" w:rsidRDefault="007076F2"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Толщины и углы наклона одинаковые</w:t>
            </w:r>
          </w:p>
        </w:tc>
      </w:tr>
    </w:tbl>
    <w:p w14:paraId="3CE3A7E3" w14:textId="77777777" w:rsidR="007076F2" w:rsidRPr="001A0BAA" w:rsidRDefault="007076F2" w:rsidP="007076F2">
      <w:pPr>
        <w:jc w:val="both"/>
        <w:rPr>
          <w:color w:val="0070C0"/>
          <w:sz w:val="16"/>
          <w:szCs w:val="16"/>
        </w:rPr>
      </w:pPr>
      <w:r w:rsidRPr="001A0BAA">
        <w:rPr>
          <w:color w:val="0070C0"/>
          <w:sz w:val="16"/>
          <w:szCs w:val="16"/>
        </w:rPr>
        <w:t>Увеличение бронирования вызвало лишь незначительное, на полтонны, увеличение веса нового танка.</w:t>
      </w:r>
    </w:p>
    <w:p w14:paraId="04AC8BB5" w14:textId="77777777" w:rsidR="007076F2" w:rsidRPr="001A0BAA" w:rsidRDefault="007076F2" w:rsidP="007076F2">
      <w:pPr>
        <w:jc w:val="both"/>
        <w:rPr>
          <w:color w:val="0070C0"/>
          <w:sz w:val="16"/>
          <w:szCs w:val="16"/>
        </w:rPr>
      </w:pPr>
      <w:r w:rsidRPr="001A0BAA">
        <w:rPr>
          <w:color w:val="0070C0"/>
          <w:sz w:val="16"/>
          <w:szCs w:val="16"/>
        </w:rPr>
        <w:t>Все механизмы трансмиссии и ходовой части нового танка остались те же, что и у серийного танка ИС. На новом танке установ</w:t>
      </w:r>
      <w:r w:rsidRPr="001A0BAA">
        <w:rPr>
          <w:color w:val="0070C0"/>
          <w:sz w:val="16"/>
          <w:szCs w:val="16"/>
        </w:rPr>
        <w:softHyphen/>
        <w:t>лено специальное электрическое устройство, позволяющее командиру танка управлять огнем со своего места.</w:t>
      </w:r>
    </w:p>
    <w:p w14:paraId="6A7842DE" w14:textId="77777777" w:rsidR="007076F2" w:rsidRPr="001A0BAA" w:rsidRDefault="007076F2" w:rsidP="007076F2">
      <w:pPr>
        <w:jc w:val="both"/>
        <w:rPr>
          <w:color w:val="0070C0"/>
          <w:sz w:val="16"/>
          <w:szCs w:val="16"/>
        </w:rPr>
      </w:pPr>
      <w:r w:rsidRPr="001A0BAA">
        <w:rPr>
          <w:color w:val="0070C0"/>
          <w:sz w:val="16"/>
          <w:szCs w:val="16"/>
        </w:rPr>
        <w:t>Новый тяжелый танк в декабре месяце 1944 года успешно прошел испытания на научно</w:t>
      </w:r>
      <w:r w:rsidRPr="001A0BAA">
        <w:rPr>
          <w:color w:val="0070C0"/>
          <w:sz w:val="16"/>
          <w:szCs w:val="16"/>
        </w:rPr>
        <w:softHyphen/>
        <w:t>испытательном бронетанковом полигоне ГБТУ КА.</w:t>
      </w:r>
    </w:p>
    <w:p w14:paraId="22AA2D9F" w14:textId="77777777" w:rsidR="007076F2" w:rsidRPr="001A0BAA" w:rsidRDefault="007076F2" w:rsidP="007076F2">
      <w:pPr>
        <w:jc w:val="both"/>
        <w:rPr>
          <w:color w:val="0070C0"/>
          <w:sz w:val="16"/>
          <w:szCs w:val="16"/>
        </w:rPr>
      </w:pPr>
      <w:r w:rsidRPr="001A0BAA">
        <w:rPr>
          <w:color w:val="0070C0"/>
          <w:sz w:val="16"/>
          <w:szCs w:val="16"/>
        </w:rPr>
        <w:t>Учитывая несомненные преимущества нового тяжелого танка, вносим на Ваше рассмотрение проект постановления ГОКО, в котором предусма</w:t>
      </w:r>
      <w:r w:rsidRPr="001A0BAA">
        <w:rPr>
          <w:color w:val="0070C0"/>
          <w:sz w:val="16"/>
          <w:szCs w:val="16"/>
        </w:rPr>
        <w:softHyphen/>
        <w:t>тривается:</w:t>
      </w:r>
    </w:p>
    <w:p w14:paraId="75A4E09C" w14:textId="77777777" w:rsidR="007076F2" w:rsidRPr="001A0BAA" w:rsidRDefault="007076F2" w:rsidP="007076F2">
      <w:pPr>
        <w:jc w:val="both"/>
        <w:rPr>
          <w:color w:val="0070C0"/>
          <w:sz w:val="16"/>
          <w:szCs w:val="16"/>
        </w:rPr>
      </w:pPr>
      <w:r w:rsidRPr="001A0BAA">
        <w:rPr>
          <w:color w:val="0070C0"/>
          <w:sz w:val="16"/>
          <w:szCs w:val="16"/>
        </w:rPr>
        <w:t>Принятие на вооружение Красной Армии но</w:t>
      </w:r>
      <w:r w:rsidRPr="001A0BAA">
        <w:rPr>
          <w:color w:val="0070C0"/>
          <w:sz w:val="16"/>
          <w:szCs w:val="16"/>
        </w:rPr>
        <w:softHyphen/>
        <w:t>вого тяжелого танка Кировского завода.</w:t>
      </w:r>
    </w:p>
    <w:p w14:paraId="5149B52F" w14:textId="77777777" w:rsidR="007076F2" w:rsidRPr="001A0BAA" w:rsidRDefault="007076F2" w:rsidP="007076F2">
      <w:pPr>
        <w:jc w:val="both"/>
        <w:rPr>
          <w:color w:val="0070C0"/>
          <w:sz w:val="16"/>
          <w:szCs w:val="16"/>
        </w:rPr>
      </w:pPr>
      <w:r w:rsidRPr="001A0BAA">
        <w:rPr>
          <w:color w:val="0070C0"/>
          <w:sz w:val="16"/>
          <w:szCs w:val="16"/>
        </w:rPr>
        <w:t>Присвоение новому танку имени «Маршал Сталин».</w:t>
      </w:r>
    </w:p>
    <w:p w14:paraId="13B8B74D" w14:textId="77777777" w:rsidR="007076F2" w:rsidRPr="001A0BAA" w:rsidRDefault="007076F2" w:rsidP="007076F2">
      <w:pPr>
        <w:jc w:val="both"/>
        <w:rPr>
          <w:color w:val="0070C0"/>
          <w:sz w:val="16"/>
          <w:szCs w:val="16"/>
        </w:rPr>
      </w:pPr>
      <w:r w:rsidRPr="001A0BAA">
        <w:rPr>
          <w:color w:val="0070C0"/>
          <w:sz w:val="16"/>
          <w:szCs w:val="16"/>
        </w:rPr>
        <w:t>Начало серийного производства танков «Маршал Сталин» предлагается начать в апреле месяце выпуском 25 штук, в мае — 100 штук и в июне 250 штук, т.е. полностью перейти на выпуск танков «Маршал Сталин» вместо танков ИС.</w:t>
      </w:r>
    </w:p>
    <w:p w14:paraId="305CB5AD" w14:textId="77777777" w:rsidR="007076F2" w:rsidRPr="001A0BAA" w:rsidRDefault="007076F2" w:rsidP="007076F2">
      <w:pPr>
        <w:jc w:val="both"/>
        <w:rPr>
          <w:color w:val="0070C0"/>
          <w:sz w:val="16"/>
          <w:szCs w:val="16"/>
        </w:rPr>
      </w:pPr>
      <w:r w:rsidRPr="001A0BAA">
        <w:rPr>
          <w:color w:val="0070C0"/>
          <w:sz w:val="16"/>
          <w:szCs w:val="16"/>
        </w:rPr>
        <w:t>Серийное производство танков «Маршал Сталин» будет осуществляться без снижения выпуска на Кировском заводе тяжелых танков и артсамоходов (500 штук в месяц).</w:t>
      </w:r>
    </w:p>
    <w:p w14:paraId="6FB28A3B" w14:textId="77777777" w:rsidR="007076F2" w:rsidRPr="001A0BAA" w:rsidRDefault="007076F2" w:rsidP="007076F2">
      <w:pPr>
        <w:jc w:val="both"/>
        <w:rPr>
          <w:color w:val="0070C0"/>
          <w:sz w:val="16"/>
          <w:szCs w:val="16"/>
        </w:rPr>
      </w:pPr>
      <w:r w:rsidRPr="001A0BAA">
        <w:rPr>
          <w:color w:val="0070C0"/>
          <w:sz w:val="16"/>
          <w:szCs w:val="16"/>
        </w:rPr>
        <w:t>Просим поддержать наше ходатайство и подписать прилагаемое письмо на имя товарища Сталина.</w:t>
      </w:r>
    </w:p>
    <w:p w14:paraId="2F6DF837" w14:textId="77777777" w:rsidR="007076F2" w:rsidRPr="001A0BAA" w:rsidRDefault="007076F2" w:rsidP="007076F2">
      <w:pPr>
        <w:jc w:val="both"/>
        <w:rPr>
          <w:color w:val="0070C0"/>
          <w:sz w:val="16"/>
          <w:szCs w:val="16"/>
        </w:rPr>
      </w:pPr>
      <w:r w:rsidRPr="001A0BAA">
        <w:rPr>
          <w:color w:val="0070C0"/>
          <w:sz w:val="16"/>
          <w:szCs w:val="16"/>
        </w:rPr>
        <w:t>В.Малышев, Н.Бирюков, Б.Коробков, Н.Борисов, И.Зальцман» (25001).</w:t>
      </w:r>
    </w:p>
    <w:p w14:paraId="28D81658" w14:textId="77777777" w:rsidR="007076F2" w:rsidRPr="001A0BAA" w:rsidRDefault="007076F2" w:rsidP="007076F2">
      <w:pPr>
        <w:jc w:val="both"/>
        <w:rPr>
          <w:color w:val="0070C0"/>
          <w:sz w:val="16"/>
          <w:szCs w:val="16"/>
        </w:rPr>
      </w:pPr>
    </w:p>
    <w:p w14:paraId="5EA0082A" w14:textId="77777777" w:rsidR="00A8589E" w:rsidRPr="00925F26" w:rsidRDefault="00A8589E"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20 марта 1945 г. Приказом №52 КБ УЗТМ принимаются для установки более совершенные радиостанции 9-РС (ранние СУ-100 оборудовались радиостан</w:t>
      </w:r>
      <w:r w:rsidRPr="00925F26">
        <w:rPr>
          <w:rFonts w:ascii="Times New Roman" w:hAnsi="Times New Roman"/>
          <w:color w:val="000000" w:themeColor="text1"/>
          <w:sz w:val="16"/>
          <w:szCs w:val="16"/>
        </w:rPr>
        <w:softHyphen/>
        <w:t>циями 9-РМ), кото</w:t>
      </w:r>
      <w:r w:rsidRPr="00925F26">
        <w:rPr>
          <w:rFonts w:ascii="Times New Roman" w:hAnsi="Times New Roman"/>
          <w:color w:val="000000" w:themeColor="text1"/>
          <w:sz w:val="16"/>
          <w:szCs w:val="16"/>
        </w:rPr>
        <w:softHyphen/>
        <w:t>рые и ставятся на серийные машины, начиная с 15 апреля. Тут уместно сделать небольшое отступление на излюбленную моделистами тему «во время войны как угодно могло быть». Радиостанции 9-РМ («Тапир-М») выпускал с апреля 1943 года эвакуированный из Москвы в город Сарапул завод №203 им. Орджоникидзе. Приемники РСИ-4Т («Малют</w:t>
      </w:r>
      <w:r w:rsidRPr="00925F26">
        <w:rPr>
          <w:rFonts w:ascii="Times New Roman" w:hAnsi="Times New Roman"/>
          <w:color w:val="000000" w:themeColor="text1"/>
          <w:sz w:val="16"/>
          <w:szCs w:val="16"/>
        </w:rPr>
        <w:softHyphen/>
        <w:t>ка») для них делали в Новосибирске на эва</w:t>
      </w:r>
      <w:r w:rsidRPr="00925F26">
        <w:rPr>
          <w:rFonts w:ascii="Times New Roman" w:hAnsi="Times New Roman"/>
          <w:color w:val="000000" w:themeColor="text1"/>
          <w:sz w:val="16"/>
          <w:szCs w:val="16"/>
        </w:rPr>
        <w:softHyphen/>
        <w:t>куированном из Воронежа заводе №590 «Электросигнал». В 1944 году 203-й завод освоил производство более совершенной версии радиостанции 9-РС («Тур») с заметно лучшими характеристиками и начал постав</w:t>
      </w:r>
      <w:r w:rsidRPr="00925F26">
        <w:rPr>
          <w:rFonts w:ascii="Times New Roman" w:hAnsi="Times New Roman"/>
          <w:color w:val="000000" w:themeColor="text1"/>
          <w:sz w:val="16"/>
          <w:szCs w:val="16"/>
        </w:rPr>
        <w:softHyphen/>
        <w:t>лять ее на танковые заводы вместо 9-РМ. Поскольку станция была в прежних габаритах и переделка корпусов СУ-100 под нее не тре</w:t>
      </w:r>
      <w:r w:rsidRPr="00925F26">
        <w:rPr>
          <w:rFonts w:ascii="Times New Roman" w:hAnsi="Times New Roman"/>
          <w:color w:val="000000" w:themeColor="text1"/>
          <w:sz w:val="16"/>
          <w:szCs w:val="16"/>
        </w:rPr>
        <w:softHyphen/>
        <w:t xml:space="preserve">бовалась, военпред на УЗТМ разрешил ее установку в самоходки </w:t>
      </w:r>
      <w:proofErr w:type="gramStart"/>
      <w:r w:rsidRPr="00925F26">
        <w:rPr>
          <w:rFonts w:ascii="Times New Roman" w:hAnsi="Times New Roman"/>
          <w:color w:val="000000" w:themeColor="text1"/>
          <w:sz w:val="16"/>
          <w:szCs w:val="16"/>
        </w:rPr>
        <w:t>и...</w:t>
      </w:r>
      <w:proofErr w:type="gramEnd"/>
      <w:r w:rsidRPr="00925F26">
        <w:rPr>
          <w:rFonts w:ascii="Times New Roman" w:hAnsi="Times New Roman"/>
          <w:color w:val="000000" w:themeColor="text1"/>
          <w:sz w:val="16"/>
          <w:szCs w:val="16"/>
        </w:rPr>
        <w:t xml:space="preserve"> получил грандиоз</w:t>
      </w:r>
      <w:r w:rsidRPr="00925F26">
        <w:rPr>
          <w:rFonts w:ascii="Times New Roman" w:hAnsi="Times New Roman"/>
          <w:color w:val="000000" w:themeColor="text1"/>
          <w:sz w:val="16"/>
          <w:szCs w:val="16"/>
        </w:rPr>
        <w:softHyphen/>
        <w:t>ный разнос. Несмотря на очевидность реше</w:t>
      </w:r>
      <w:r w:rsidRPr="00925F26">
        <w:rPr>
          <w:rFonts w:ascii="Times New Roman" w:hAnsi="Times New Roman"/>
          <w:color w:val="000000" w:themeColor="text1"/>
          <w:sz w:val="16"/>
          <w:szCs w:val="16"/>
        </w:rPr>
        <w:softHyphen/>
        <w:t>ния, он не имел права сам его принимать - должно быть заключение комиссии по испы</w:t>
      </w:r>
      <w:r w:rsidRPr="00925F26">
        <w:rPr>
          <w:rFonts w:ascii="Times New Roman" w:hAnsi="Times New Roman"/>
          <w:color w:val="000000" w:themeColor="text1"/>
          <w:sz w:val="16"/>
          <w:szCs w:val="16"/>
        </w:rPr>
        <w:softHyphen/>
        <w:t>таниям нового агрегата на машине. В итоге испытания провели, закономерное заключе</w:t>
      </w:r>
      <w:r w:rsidRPr="00925F26">
        <w:rPr>
          <w:rFonts w:ascii="Times New Roman" w:hAnsi="Times New Roman"/>
          <w:color w:val="000000" w:themeColor="text1"/>
          <w:sz w:val="16"/>
          <w:szCs w:val="16"/>
        </w:rPr>
        <w:softHyphen/>
        <w:t xml:space="preserve">ние о допустимости установки новой станции зафиксировали в протоколе, и только тогда новая станция законно «прописалась» на СУ- 100. Так что все делалось по определенной процедуре и вовсе </w:t>
      </w:r>
      <w:proofErr w:type="gramStart"/>
      <w:r w:rsidRPr="00925F26">
        <w:rPr>
          <w:rFonts w:ascii="Times New Roman" w:hAnsi="Times New Roman"/>
          <w:color w:val="000000" w:themeColor="text1"/>
          <w:sz w:val="16"/>
          <w:szCs w:val="16"/>
        </w:rPr>
        <w:t>не«</w:t>
      </w:r>
      <w:proofErr w:type="gramEnd"/>
      <w:r w:rsidRPr="00925F26">
        <w:rPr>
          <w:rFonts w:ascii="Times New Roman" w:hAnsi="Times New Roman"/>
          <w:color w:val="000000" w:themeColor="text1"/>
          <w:sz w:val="16"/>
          <w:szCs w:val="16"/>
        </w:rPr>
        <w:t>какугодно» (19927).</w:t>
      </w:r>
    </w:p>
    <w:p w14:paraId="3C661B7C" w14:textId="77777777" w:rsidR="00A8589E" w:rsidRPr="00925F26" w:rsidRDefault="00A8589E" w:rsidP="00925F26">
      <w:pPr>
        <w:pStyle w:val="1142"/>
        <w:shd w:val="clear" w:color="auto" w:fill="auto"/>
        <w:spacing w:line="240" w:lineRule="auto"/>
        <w:ind w:firstLine="0"/>
        <w:rPr>
          <w:rFonts w:ascii="Times New Roman" w:hAnsi="Times New Roman" w:cs="Times New Roman"/>
          <w:color w:val="000000" w:themeColor="text1"/>
          <w:sz w:val="16"/>
          <w:szCs w:val="16"/>
        </w:rPr>
      </w:pPr>
    </w:p>
    <w:p w14:paraId="0082E315" w14:textId="77777777" w:rsidR="005D5B85" w:rsidRPr="00925F26" w:rsidRDefault="005D5B85" w:rsidP="00925F26">
      <w:pPr>
        <w:jc w:val="both"/>
        <w:rPr>
          <w:color w:val="000000" w:themeColor="text1"/>
          <w:sz w:val="16"/>
          <w:szCs w:val="16"/>
        </w:rPr>
      </w:pPr>
      <w:r w:rsidRPr="00925F26">
        <w:rPr>
          <w:color w:val="000000" w:themeColor="text1"/>
          <w:sz w:val="16"/>
          <w:szCs w:val="16"/>
        </w:rPr>
        <w:t>20 март 1945 г. Докладная записка Г.Маленкова И.В. Сталину о вывозе оборудования из Венгрии и Германии. (Утверждено постановлениями ГКО СССР 115 7876-7897 от 21 марта 1945 г.)</w:t>
      </w:r>
    </w:p>
    <w:p w14:paraId="384E3F06" w14:textId="77777777" w:rsidR="005D5B85" w:rsidRPr="00925F26" w:rsidRDefault="005D5B85" w:rsidP="00925F26">
      <w:pPr>
        <w:jc w:val="both"/>
        <w:rPr>
          <w:color w:val="000000" w:themeColor="text1"/>
          <w:sz w:val="16"/>
          <w:szCs w:val="16"/>
        </w:rPr>
      </w:pPr>
      <w:r w:rsidRPr="00925F26">
        <w:rPr>
          <w:color w:val="000000" w:themeColor="text1"/>
          <w:sz w:val="16"/>
          <w:szCs w:val="16"/>
        </w:rPr>
        <w:t>РГАСПИ. Ф. 644« Оп. 2. Д. 463. Л. 20-22. Подлинник. Машинописный текст. Подписи —</w:t>
      </w:r>
    </w:p>
    <w:p w14:paraId="2CD48AF8" w14:textId="77777777" w:rsidR="005D5B85" w:rsidRPr="00925F26" w:rsidRDefault="005D5B85" w:rsidP="00925F26">
      <w:pPr>
        <w:jc w:val="both"/>
        <w:rPr>
          <w:color w:val="000000" w:themeColor="text1"/>
          <w:sz w:val="16"/>
          <w:szCs w:val="16"/>
        </w:rPr>
      </w:pPr>
      <w:r w:rsidRPr="00925F26">
        <w:rPr>
          <w:color w:val="000000" w:themeColor="text1"/>
          <w:sz w:val="16"/>
          <w:szCs w:val="16"/>
        </w:rPr>
        <w:t>автографы Г.М. Маленкова и И.В. Сталина.</w:t>
      </w:r>
    </w:p>
    <w:p w14:paraId="70E41D77" w14:textId="77777777" w:rsidR="005D5B85" w:rsidRPr="00925F26" w:rsidRDefault="005D5B85" w:rsidP="00925F26">
      <w:pPr>
        <w:jc w:val="both"/>
        <w:rPr>
          <w:color w:val="000000" w:themeColor="text1"/>
          <w:sz w:val="16"/>
          <w:szCs w:val="16"/>
        </w:rPr>
      </w:pPr>
      <w:r w:rsidRPr="00925F26">
        <w:rPr>
          <w:color w:val="000000" w:themeColor="text1"/>
          <w:sz w:val="16"/>
          <w:szCs w:val="16"/>
        </w:rPr>
        <w:t>Товарищу СТАЛИНУ</w:t>
      </w:r>
    </w:p>
    <w:p w14:paraId="7A4B421B" w14:textId="77777777" w:rsidR="005D5B85" w:rsidRPr="00925F26" w:rsidRDefault="005D5B85" w:rsidP="00925F26">
      <w:pPr>
        <w:jc w:val="both"/>
        <w:rPr>
          <w:color w:val="000000" w:themeColor="text1"/>
          <w:sz w:val="16"/>
          <w:szCs w:val="16"/>
        </w:rPr>
      </w:pPr>
      <w:r w:rsidRPr="00925F26">
        <w:rPr>
          <w:color w:val="000000" w:themeColor="text1"/>
          <w:sz w:val="16"/>
          <w:szCs w:val="16"/>
        </w:rPr>
        <w:t xml:space="preserve">Представляю на Ваше утверждение следующие проекты постановлений </w:t>
      </w:r>
      <w:proofErr w:type="gramStart"/>
      <w:r w:rsidRPr="00925F26">
        <w:rPr>
          <w:color w:val="000000" w:themeColor="text1"/>
          <w:sz w:val="16"/>
          <w:szCs w:val="16"/>
        </w:rPr>
        <w:t>ГОКО</w:t>
      </w:r>
      <w:proofErr w:type="gramEnd"/>
      <w:r w:rsidRPr="00925F26">
        <w:rPr>
          <w:color w:val="000000" w:themeColor="text1"/>
          <w:sz w:val="16"/>
          <w:szCs w:val="16"/>
        </w:rPr>
        <w:t xml:space="preserve"> рассмотренные Особым комитетом:</w:t>
      </w:r>
    </w:p>
    <w:p w14:paraId="34340AF5" w14:textId="77777777" w:rsidR="005D5B85" w:rsidRPr="00925F26" w:rsidRDefault="005D5B85" w:rsidP="00925F26">
      <w:pPr>
        <w:jc w:val="both"/>
        <w:rPr>
          <w:color w:val="000000" w:themeColor="text1"/>
          <w:sz w:val="16"/>
          <w:szCs w:val="16"/>
        </w:rPr>
      </w:pPr>
      <w:r w:rsidRPr="00925F26">
        <w:rPr>
          <w:color w:val="000000" w:themeColor="text1"/>
          <w:sz w:val="16"/>
          <w:szCs w:val="16"/>
        </w:rPr>
        <w:t>1. О вывозе оборудования по производству реактивных снарядов с немецких заводов «Гута Банкова» в г. Домброво-Гурне и «Ферум» в г. Котовице для Центрального конструкторского бюро N5 47 Наркомбоеприпасов в г. Москва.</w:t>
      </w:r>
    </w:p>
    <w:p w14:paraId="4B952A4D" w14:textId="77777777" w:rsidR="005D5B85" w:rsidRPr="00925F26" w:rsidRDefault="005D5B85" w:rsidP="00925F26">
      <w:pPr>
        <w:jc w:val="both"/>
        <w:rPr>
          <w:color w:val="000000" w:themeColor="text1"/>
          <w:sz w:val="16"/>
          <w:szCs w:val="16"/>
        </w:rPr>
      </w:pPr>
      <w:r w:rsidRPr="00925F26">
        <w:rPr>
          <w:color w:val="000000" w:themeColor="text1"/>
          <w:sz w:val="16"/>
          <w:szCs w:val="16"/>
        </w:rPr>
        <w:t>2. О вывозе с двух немецких артиллерийских заводов в г. Ландсберг 345 металлообрабатывающих станков и 12 подъемных кранов на заводы Наркомвооружения № 7 в г. Ленинград и № 88 в г. Калининград Московской области.</w:t>
      </w:r>
    </w:p>
    <w:p w14:paraId="3484A8E2" w14:textId="77777777" w:rsidR="005D5B85" w:rsidRPr="00925F26" w:rsidRDefault="005D5B85" w:rsidP="00925F26">
      <w:pPr>
        <w:jc w:val="both"/>
        <w:rPr>
          <w:color w:val="000000" w:themeColor="text1"/>
          <w:sz w:val="16"/>
          <w:szCs w:val="16"/>
        </w:rPr>
      </w:pPr>
      <w:r w:rsidRPr="00925F26">
        <w:rPr>
          <w:color w:val="000000" w:themeColor="text1"/>
          <w:sz w:val="16"/>
          <w:szCs w:val="16"/>
        </w:rPr>
        <w:t>3. О вывозе оборудования по производству осветительных электроламп в количестве до 400 миллионов штук в год и радиоламп в количестве до 3 миллионов штук в год с завода «Тонгсрам» в г. Будапешт на электро- и радиоламповые заводы Наркомэлектропрома в гг. Москва и Щелково.</w:t>
      </w:r>
    </w:p>
    <w:p w14:paraId="604FC8EE" w14:textId="77777777" w:rsidR="005D5B85" w:rsidRPr="00925F26" w:rsidRDefault="005D5B85" w:rsidP="00925F26">
      <w:pPr>
        <w:jc w:val="both"/>
        <w:rPr>
          <w:color w:val="000000" w:themeColor="text1"/>
          <w:sz w:val="16"/>
          <w:szCs w:val="16"/>
        </w:rPr>
      </w:pPr>
      <w:r w:rsidRPr="00925F26">
        <w:rPr>
          <w:color w:val="000000" w:themeColor="text1"/>
          <w:sz w:val="16"/>
          <w:szCs w:val="16"/>
        </w:rPr>
        <w:t>4. О вывозе оборудования по производству радиоламп с трех радиовакуумных заводов немецких фирм «Лоренц» и «Телефункен» в городе Лигниц на электро— и радиоламповые заводы Наркомэлектропрома в гг. Москва и Щелково.</w:t>
      </w:r>
    </w:p>
    <w:p w14:paraId="6FDC42B3" w14:textId="77777777" w:rsidR="005D5B85" w:rsidRPr="00925F26" w:rsidRDefault="005D5B85" w:rsidP="00925F26">
      <w:pPr>
        <w:jc w:val="both"/>
        <w:rPr>
          <w:color w:val="000000" w:themeColor="text1"/>
          <w:sz w:val="16"/>
          <w:szCs w:val="16"/>
        </w:rPr>
      </w:pPr>
      <w:r w:rsidRPr="00925F26">
        <w:rPr>
          <w:color w:val="000000" w:themeColor="text1"/>
          <w:sz w:val="16"/>
          <w:szCs w:val="16"/>
        </w:rPr>
        <w:t>5. О вывозе оборудования, радиолокаторов и технического архива с немецкого радиозавода фирмы «Телефункен» в городе Лейбусдорф в Научно-исследовательский институт радиолокации № 108 в г. Москва.</w:t>
      </w:r>
    </w:p>
    <w:p w14:paraId="6FF7D0F9" w14:textId="77777777" w:rsidR="005D5B85" w:rsidRPr="00925F26" w:rsidRDefault="005D5B85" w:rsidP="00925F26">
      <w:pPr>
        <w:jc w:val="both"/>
        <w:rPr>
          <w:color w:val="000000" w:themeColor="text1"/>
          <w:sz w:val="16"/>
          <w:szCs w:val="16"/>
        </w:rPr>
      </w:pPr>
      <w:r w:rsidRPr="00925F26">
        <w:rPr>
          <w:color w:val="000000" w:themeColor="text1"/>
          <w:sz w:val="16"/>
          <w:szCs w:val="16"/>
        </w:rPr>
        <w:t>6. О вывозе оборудования с самолетно-агрегатного завода в г. Торг на завод № 485 Наркомавиапрома в г. Киев для организации производства самолетных агрегатов.</w:t>
      </w:r>
    </w:p>
    <w:p w14:paraId="1118DBB8" w14:textId="77777777" w:rsidR="005D5B85" w:rsidRPr="00925F26" w:rsidRDefault="005D5B85" w:rsidP="00925F26">
      <w:pPr>
        <w:jc w:val="both"/>
        <w:rPr>
          <w:color w:val="000000" w:themeColor="text1"/>
          <w:sz w:val="16"/>
          <w:szCs w:val="16"/>
        </w:rPr>
      </w:pPr>
      <w:r w:rsidRPr="00925F26">
        <w:rPr>
          <w:color w:val="000000" w:themeColor="text1"/>
          <w:sz w:val="16"/>
          <w:szCs w:val="16"/>
        </w:rPr>
        <w:t>7. О вывозе металлообрабатывающего оборудования с немецкого механического завода Шпротау на танковый ремонтный завод № 17 Наркомата обороны в г. Львов.</w:t>
      </w:r>
    </w:p>
    <w:p w14:paraId="01B1CDAE" w14:textId="77777777" w:rsidR="005D5B85" w:rsidRPr="00925F26" w:rsidRDefault="005D5B85" w:rsidP="00925F26">
      <w:pPr>
        <w:jc w:val="both"/>
        <w:rPr>
          <w:color w:val="000000" w:themeColor="text1"/>
          <w:sz w:val="16"/>
          <w:szCs w:val="16"/>
        </w:rPr>
      </w:pPr>
      <w:r w:rsidRPr="00925F26">
        <w:rPr>
          <w:color w:val="000000" w:themeColor="text1"/>
          <w:sz w:val="16"/>
          <w:szCs w:val="16"/>
        </w:rPr>
        <w:t>8. О вывозе с чугунно—сталелитейного завода «Крайсверке» в г. Нейзальце на завод № 80 Наркомтанкопрома в г. Ленинград 35 формовочных машин, специальных станков по производству танковых деталей и другого оборудования и на Днепропетровский завод металлургического оборудования Наркомчермета 12 трехтонных вагранок, 3 электропечей, 2 бессемеровских конвертеров, 20 мостовых кранов и другого оборудования.</w:t>
      </w:r>
    </w:p>
    <w:p w14:paraId="1D2C49A8" w14:textId="77777777" w:rsidR="005D5B85" w:rsidRPr="00925F26" w:rsidRDefault="005D5B85" w:rsidP="00925F26">
      <w:pPr>
        <w:jc w:val="both"/>
        <w:rPr>
          <w:color w:val="000000" w:themeColor="text1"/>
          <w:sz w:val="16"/>
          <w:szCs w:val="16"/>
        </w:rPr>
      </w:pPr>
      <w:r w:rsidRPr="00925F26">
        <w:rPr>
          <w:color w:val="000000" w:themeColor="text1"/>
          <w:sz w:val="16"/>
          <w:szCs w:val="16"/>
        </w:rPr>
        <w:t>9. О вывозе трофейного оборудования и радиолокационного имущества из мастерской по ремонту радиолокаторов в г. Вартенбург на завод Ш 703 Еаркомсудпрома в г. Москва.</w:t>
      </w:r>
    </w:p>
    <w:p w14:paraId="47126369" w14:textId="77777777" w:rsidR="005D5B85" w:rsidRPr="00925F26" w:rsidRDefault="005D5B85" w:rsidP="00925F26">
      <w:pPr>
        <w:jc w:val="both"/>
        <w:rPr>
          <w:color w:val="000000" w:themeColor="text1"/>
          <w:sz w:val="16"/>
          <w:szCs w:val="16"/>
        </w:rPr>
      </w:pPr>
      <w:r w:rsidRPr="00925F26">
        <w:rPr>
          <w:color w:val="000000" w:themeColor="text1"/>
          <w:sz w:val="16"/>
          <w:szCs w:val="16"/>
        </w:rPr>
        <w:t>10. О вывозе оборудования по производству электромоторов мощностью от 5 до 150 киловатт в количестве до 28 тысяч штук в год с немецкого завода фирмы «Карл Кайзер» в г. Циленциг на Харьковский электромеханический завод (ХЭМЗ).</w:t>
      </w:r>
    </w:p>
    <w:p w14:paraId="277C9886" w14:textId="77777777" w:rsidR="005D5B85" w:rsidRPr="00925F26" w:rsidRDefault="005D5B85" w:rsidP="00925F26">
      <w:pPr>
        <w:jc w:val="both"/>
        <w:rPr>
          <w:color w:val="000000" w:themeColor="text1"/>
          <w:sz w:val="16"/>
          <w:szCs w:val="16"/>
        </w:rPr>
      </w:pPr>
      <w:r w:rsidRPr="00925F26">
        <w:rPr>
          <w:color w:val="000000" w:themeColor="text1"/>
          <w:sz w:val="16"/>
          <w:szCs w:val="16"/>
        </w:rPr>
        <w:t xml:space="preserve">11. О вывозе оборудования доменного и мартеновского цехов и аглофабрики завода «Юлианхютте» в г. Бо12. О вывозе с немецкого завода «Андреасхютте»: прокатного стана 360 мм и 120 металлорежущих станков им. Ворошилова в Донбассе; оборудования для производства калиброванного металла на Дружковский </w:t>
      </w:r>
      <w:r w:rsidRPr="00925F26">
        <w:rPr>
          <w:color w:val="000000" w:themeColor="text1"/>
          <w:sz w:val="16"/>
          <w:szCs w:val="16"/>
        </w:rPr>
        <w:lastRenderedPageBreak/>
        <w:t>метизный завод в Донбассе; оборудования цеха по производству вагонеток Коппеля на на машиностроительный завод металлургический завод «Коммунист» в г. Кривой Рог; оборудования по производству стрелочных переводов — на Кадиевский машиностроительный завод в Донбассе.</w:t>
      </w:r>
    </w:p>
    <w:p w14:paraId="71F41D4D" w14:textId="77777777" w:rsidR="005D5B85" w:rsidRPr="00925F26" w:rsidRDefault="005D5B85" w:rsidP="00925F26">
      <w:pPr>
        <w:jc w:val="both"/>
        <w:rPr>
          <w:color w:val="000000" w:themeColor="text1"/>
          <w:sz w:val="16"/>
          <w:szCs w:val="16"/>
        </w:rPr>
      </w:pPr>
      <w:r w:rsidRPr="00925F26">
        <w:rPr>
          <w:color w:val="000000" w:themeColor="text1"/>
          <w:sz w:val="16"/>
          <w:szCs w:val="16"/>
        </w:rPr>
        <w:t>13. О вывозе на Кадиевский и Ворошиловский коксохимические заводы в Донбассе оборудования смолоразгонного и бензольно—ректификационного завода «Скалляйн» фирмы Борзиг в г. Гинденбург, оборудования двух коксовых батарей строящегося коксохимического завода фирмы Борзиг при шахте Глейвицер—Груббе в г. Глейвиц и оборудования Центральной коксохимической лаборатории фирмы Борзиг в г. Гинденбург.</w:t>
      </w:r>
    </w:p>
    <w:p w14:paraId="3D14FDE5" w14:textId="77777777" w:rsidR="005D5B85" w:rsidRPr="00925F26" w:rsidRDefault="005D5B85" w:rsidP="00925F26">
      <w:pPr>
        <w:jc w:val="both"/>
        <w:rPr>
          <w:color w:val="000000" w:themeColor="text1"/>
          <w:sz w:val="16"/>
          <w:szCs w:val="16"/>
        </w:rPr>
      </w:pPr>
      <w:r w:rsidRPr="00925F26">
        <w:rPr>
          <w:color w:val="000000" w:themeColor="text1"/>
          <w:sz w:val="16"/>
          <w:szCs w:val="16"/>
        </w:rPr>
        <w:t>14. О вывозе оборудования с немецких машиностроительных заводов:</w:t>
      </w:r>
    </w:p>
    <w:p w14:paraId="695D1BD2" w14:textId="77777777" w:rsidR="005D5B85" w:rsidRPr="00925F26" w:rsidRDefault="005D5B85" w:rsidP="00925F26">
      <w:pPr>
        <w:jc w:val="both"/>
        <w:rPr>
          <w:color w:val="000000" w:themeColor="text1"/>
          <w:sz w:val="16"/>
          <w:szCs w:val="16"/>
        </w:rPr>
      </w:pPr>
      <w:r w:rsidRPr="00925F26">
        <w:rPr>
          <w:color w:val="000000" w:themeColor="text1"/>
          <w:sz w:val="16"/>
          <w:szCs w:val="16"/>
        </w:rPr>
        <w:t>с завода «Реденхютте» в г. Гинденбург на Торецкий завод в г. Дружковка (Донбасс);</w:t>
      </w:r>
    </w:p>
    <w:p w14:paraId="34013B21" w14:textId="77777777" w:rsidR="005D5B85" w:rsidRPr="00925F26" w:rsidRDefault="005D5B85" w:rsidP="00925F26">
      <w:pPr>
        <w:jc w:val="both"/>
        <w:rPr>
          <w:color w:val="000000" w:themeColor="text1"/>
          <w:sz w:val="16"/>
          <w:szCs w:val="16"/>
        </w:rPr>
      </w:pPr>
      <w:r w:rsidRPr="00925F26">
        <w:rPr>
          <w:color w:val="000000" w:themeColor="text1"/>
          <w:sz w:val="16"/>
          <w:szCs w:val="16"/>
        </w:rPr>
        <w:t>с завода «Доннерсмаркхютте» на завод имени XV-летия ЛКСМУ в г. Сталино Донбасс);</w:t>
      </w:r>
    </w:p>
    <w:p w14:paraId="2E4633C9" w14:textId="77777777" w:rsidR="005D5B85" w:rsidRPr="00925F26" w:rsidRDefault="005D5B85" w:rsidP="00925F26">
      <w:pPr>
        <w:jc w:val="both"/>
        <w:rPr>
          <w:color w:val="000000" w:themeColor="text1"/>
          <w:sz w:val="16"/>
          <w:szCs w:val="16"/>
        </w:rPr>
      </w:pPr>
      <w:r w:rsidRPr="00925F26">
        <w:rPr>
          <w:color w:val="000000" w:themeColor="text1"/>
          <w:sz w:val="16"/>
          <w:szCs w:val="16"/>
        </w:rPr>
        <w:t>с завода Шикора унд Гердес в г. Бобрек—Карф на завод имени Пархоменко в г. Ворошиловград.</w:t>
      </w:r>
    </w:p>
    <w:p w14:paraId="563D74D8" w14:textId="77777777" w:rsidR="005D5B85" w:rsidRPr="00925F26" w:rsidRDefault="005D5B85" w:rsidP="00925F26">
      <w:pPr>
        <w:jc w:val="both"/>
        <w:rPr>
          <w:color w:val="000000" w:themeColor="text1"/>
          <w:sz w:val="16"/>
          <w:szCs w:val="16"/>
        </w:rPr>
      </w:pPr>
      <w:r w:rsidRPr="00925F26">
        <w:rPr>
          <w:color w:val="000000" w:themeColor="text1"/>
          <w:sz w:val="16"/>
          <w:szCs w:val="16"/>
        </w:rPr>
        <w:t>15. О вывозе с немецкого завода в г. Цюллихау на Московский завод автозапчастей Наркомсредмаша 122 металлорежущих станков, 9 компрессоров, 2 насосов, 14 прессов и 67 испытательных и сборочных стендов и другого оборудования для производства автомобильных агрегатов.</w:t>
      </w:r>
    </w:p>
    <w:p w14:paraId="0EB85F9C" w14:textId="77777777" w:rsidR="005D5B85" w:rsidRPr="00925F26" w:rsidRDefault="005D5B85" w:rsidP="00925F26">
      <w:pPr>
        <w:jc w:val="both"/>
        <w:rPr>
          <w:color w:val="000000" w:themeColor="text1"/>
          <w:sz w:val="16"/>
          <w:szCs w:val="16"/>
        </w:rPr>
      </w:pPr>
      <w:r w:rsidRPr="00925F26">
        <w:rPr>
          <w:color w:val="000000" w:themeColor="text1"/>
          <w:sz w:val="16"/>
          <w:szCs w:val="16"/>
        </w:rPr>
        <w:t>16. О вывозе с немецкого завода «Верайнигте Зауэрштофверке Глейвиц—Бреслау» в г. Глейвиц на завод RS 176 Еаркомбоеприпасов в г. Тула двух агрегатов кислородной установки и двух газгольдеров.</w:t>
      </w:r>
    </w:p>
    <w:p w14:paraId="52388EAE" w14:textId="77777777" w:rsidR="005D5B85" w:rsidRPr="00925F26" w:rsidRDefault="005D5B85" w:rsidP="00925F26">
      <w:pPr>
        <w:jc w:val="both"/>
        <w:rPr>
          <w:color w:val="000000" w:themeColor="text1"/>
          <w:sz w:val="16"/>
          <w:szCs w:val="16"/>
        </w:rPr>
      </w:pPr>
      <w:r w:rsidRPr="00925F26">
        <w:rPr>
          <w:color w:val="000000" w:themeColor="text1"/>
          <w:sz w:val="16"/>
          <w:szCs w:val="16"/>
        </w:rPr>
        <w:t>17. О вывозе из типографии «Лигниц-Тагенблат» (г. Лигниц) в г. Киев 2 газетных машин, 2 книжных ротационных машин, 13 плоских печатных машин, 8 американок, II наборных машин «Линотип» и другого полиграфического оборудования.</w:t>
      </w:r>
    </w:p>
    <w:p w14:paraId="5EC68D17" w14:textId="77777777" w:rsidR="005D5B85" w:rsidRPr="00925F26" w:rsidRDefault="005D5B85" w:rsidP="00925F26">
      <w:pPr>
        <w:jc w:val="both"/>
        <w:rPr>
          <w:color w:val="000000" w:themeColor="text1"/>
          <w:sz w:val="16"/>
          <w:szCs w:val="16"/>
        </w:rPr>
      </w:pPr>
      <w:r w:rsidRPr="00925F26">
        <w:rPr>
          <w:color w:val="000000" w:themeColor="text1"/>
          <w:sz w:val="16"/>
          <w:szCs w:val="16"/>
        </w:rPr>
        <w:t>18. О вывозе оборудования с домостроительных и машиностроительных заводов и завода ребристых труб в Восточной Пруссии на предприятия Наркомата строительных материалов</w:t>
      </w:r>
    </w:p>
    <w:p w14:paraId="021F8A12" w14:textId="77777777" w:rsidR="005D5B85" w:rsidRPr="00925F26" w:rsidRDefault="005D5B85" w:rsidP="00925F26">
      <w:pPr>
        <w:jc w:val="both"/>
        <w:rPr>
          <w:color w:val="000000" w:themeColor="text1"/>
          <w:sz w:val="16"/>
          <w:szCs w:val="16"/>
        </w:rPr>
      </w:pPr>
      <w:r w:rsidRPr="00925F26">
        <w:rPr>
          <w:color w:val="000000" w:themeColor="text1"/>
          <w:sz w:val="16"/>
          <w:szCs w:val="16"/>
        </w:rPr>
        <w:t>19. О вывозе трофейного имущества со складов Наркохмата обороны I—го Белорусского фронта на склады в г. Минске для последующей передачи народному хозяйству.</w:t>
      </w:r>
    </w:p>
    <w:p w14:paraId="0F00786F" w14:textId="77777777" w:rsidR="005D5B85" w:rsidRPr="00925F26" w:rsidRDefault="005D5B85" w:rsidP="00925F26">
      <w:pPr>
        <w:jc w:val="both"/>
        <w:rPr>
          <w:color w:val="000000" w:themeColor="text1"/>
          <w:sz w:val="16"/>
          <w:szCs w:val="16"/>
        </w:rPr>
      </w:pPr>
      <w:r w:rsidRPr="00925F26">
        <w:rPr>
          <w:color w:val="000000" w:themeColor="text1"/>
          <w:sz w:val="16"/>
          <w:szCs w:val="16"/>
        </w:rPr>
        <w:t>20. О вывозе 70 тонн трофейной ртути со станции Мальч в Верхней Силезии в г. Москву на базы Главного управления государственных материальных резервов.</w:t>
      </w:r>
    </w:p>
    <w:p w14:paraId="2018EE08" w14:textId="77777777" w:rsidR="005D5B85" w:rsidRPr="00925F26" w:rsidRDefault="005D5B85" w:rsidP="00925F26">
      <w:pPr>
        <w:jc w:val="both"/>
        <w:rPr>
          <w:color w:val="000000" w:themeColor="text1"/>
          <w:sz w:val="16"/>
          <w:szCs w:val="16"/>
        </w:rPr>
      </w:pPr>
      <w:r w:rsidRPr="00925F26">
        <w:rPr>
          <w:color w:val="000000" w:themeColor="text1"/>
          <w:sz w:val="16"/>
          <w:szCs w:val="16"/>
        </w:rPr>
        <w:t>21. Об организации Особых монтажных управлений Наркомстроя для обеспечения демонтажа оборудования немецких предприятий, перевозимых в Советский Союз.</w:t>
      </w:r>
    </w:p>
    <w:p w14:paraId="777059C2" w14:textId="77777777" w:rsidR="005D5B85" w:rsidRPr="00925F26" w:rsidRDefault="005D5B85" w:rsidP="00925F26">
      <w:pPr>
        <w:jc w:val="both"/>
        <w:rPr>
          <w:color w:val="000000" w:themeColor="text1"/>
          <w:sz w:val="16"/>
          <w:szCs w:val="16"/>
        </w:rPr>
      </w:pPr>
      <w:r w:rsidRPr="00925F26">
        <w:rPr>
          <w:color w:val="000000" w:themeColor="text1"/>
          <w:sz w:val="16"/>
          <w:szCs w:val="16"/>
        </w:rPr>
        <w:t>22. Об организации вывоза оборудования и материалов с демонтируемых немецких заводов в …бреке на восстанавливаемый Константиновский металлургический завод в Донбассе.</w:t>
      </w:r>
    </w:p>
    <w:p w14:paraId="2C3051CD" w14:textId="77777777" w:rsidR="005D5B85" w:rsidRPr="00925F26" w:rsidRDefault="005D5B85" w:rsidP="00925F26">
      <w:pPr>
        <w:jc w:val="both"/>
        <w:rPr>
          <w:color w:val="000000" w:themeColor="text1"/>
          <w:sz w:val="16"/>
          <w:szCs w:val="16"/>
        </w:rPr>
      </w:pPr>
      <w:r w:rsidRPr="00925F26">
        <w:rPr>
          <w:color w:val="000000" w:themeColor="text1"/>
          <w:sz w:val="16"/>
          <w:szCs w:val="16"/>
        </w:rPr>
        <w:t>Маленков</w:t>
      </w:r>
    </w:p>
    <w:p w14:paraId="54BEF5B8" w14:textId="77777777" w:rsidR="005D5B85" w:rsidRPr="00925F26" w:rsidRDefault="005D5B85" w:rsidP="00925F26">
      <w:pPr>
        <w:jc w:val="both"/>
        <w:rPr>
          <w:color w:val="000000" w:themeColor="text1"/>
          <w:sz w:val="16"/>
          <w:szCs w:val="16"/>
        </w:rPr>
      </w:pPr>
      <w:r w:rsidRPr="00925F26">
        <w:rPr>
          <w:color w:val="000000" w:themeColor="text1"/>
          <w:sz w:val="16"/>
          <w:szCs w:val="16"/>
        </w:rPr>
        <w:t>Подпись о согласии: И. Сталин (23981).</w:t>
      </w:r>
    </w:p>
    <w:p w14:paraId="3CE5824A" w14:textId="77777777" w:rsidR="005D5B85" w:rsidRPr="00925F26" w:rsidRDefault="005D5B85" w:rsidP="00925F26">
      <w:pPr>
        <w:jc w:val="both"/>
        <w:rPr>
          <w:color w:val="000000" w:themeColor="text1"/>
          <w:sz w:val="16"/>
          <w:szCs w:val="16"/>
        </w:rPr>
      </w:pPr>
    </w:p>
    <w:p w14:paraId="249F30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Распоряжение ГКО № 7866. О дополнительном выделении угля заводу № 701 НКМВ. РГАНИР, Фонд ГКО, д. 382 Л.138 (11012).</w:t>
      </w:r>
    </w:p>
    <w:p w14:paraId="0A028AB0" w14:textId="77777777" w:rsidR="00665165" w:rsidRPr="00925F26" w:rsidRDefault="00665165" w:rsidP="00925F26">
      <w:pPr>
        <w:autoSpaceDE w:val="0"/>
        <w:autoSpaceDN w:val="0"/>
        <w:adjustRightInd w:val="0"/>
        <w:jc w:val="both"/>
        <w:rPr>
          <w:color w:val="000000" w:themeColor="text1"/>
          <w:sz w:val="16"/>
          <w:szCs w:val="16"/>
        </w:rPr>
      </w:pPr>
    </w:p>
    <w:p w14:paraId="1E8F25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Распоряжение ГКО № 7867. О дополнительном выделении угля ТЭЦ Богословского алюминиевого завода для снабжения электроэнергией угольных разрезов треста "Богословуголь". РГАНИР, Фонд ГКО, д. 382 Л.139 (11012).</w:t>
      </w:r>
    </w:p>
    <w:p w14:paraId="748B7180" w14:textId="77777777" w:rsidR="00665165" w:rsidRPr="00925F26" w:rsidRDefault="00665165" w:rsidP="00925F26">
      <w:pPr>
        <w:autoSpaceDE w:val="0"/>
        <w:autoSpaceDN w:val="0"/>
        <w:adjustRightInd w:val="0"/>
        <w:jc w:val="both"/>
        <w:rPr>
          <w:color w:val="000000" w:themeColor="text1"/>
          <w:sz w:val="16"/>
          <w:szCs w:val="16"/>
        </w:rPr>
      </w:pPr>
    </w:p>
    <w:p w14:paraId="248E2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Распоряжение ГКО № 7868. Об увеличении на март лимита отпуска электроэнергии по Уральской энергосистеме заводам НКЧМ. РГАНИР, Фонд ГКО, д. 382 Л.140-141 (11012).</w:t>
      </w:r>
    </w:p>
    <w:p w14:paraId="7CC97A69" w14:textId="77777777" w:rsidR="00665165" w:rsidRPr="00925F26" w:rsidRDefault="00665165" w:rsidP="00925F26">
      <w:pPr>
        <w:autoSpaceDE w:val="0"/>
        <w:autoSpaceDN w:val="0"/>
        <w:adjustRightInd w:val="0"/>
        <w:jc w:val="both"/>
        <w:rPr>
          <w:color w:val="000000" w:themeColor="text1"/>
          <w:sz w:val="16"/>
          <w:szCs w:val="16"/>
        </w:rPr>
      </w:pPr>
    </w:p>
    <w:p w14:paraId="586A12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Постановление ГКО № 7869 О мероприятиях по обеспечению углем Казанских, Омских, Игумновской и Барнаульской электростанций НКЭС. РГАНИР, Фонд ГКО, д. 382, лл. 142-145 (11012).</w:t>
      </w:r>
    </w:p>
    <w:p w14:paraId="7847D78E" w14:textId="77777777" w:rsidR="00665165" w:rsidRPr="00925F26" w:rsidRDefault="00665165" w:rsidP="00925F26">
      <w:pPr>
        <w:autoSpaceDE w:val="0"/>
        <w:autoSpaceDN w:val="0"/>
        <w:adjustRightInd w:val="0"/>
        <w:jc w:val="both"/>
        <w:rPr>
          <w:color w:val="000000" w:themeColor="text1"/>
          <w:sz w:val="16"/>
          <w:szCs w:val="16"/>
        </w:rPr>
      </w:pPr>
    </w:p>
    <w:p w14:paraId="77255DE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марта 1945 вышло Постановление ГКО № 7870 О возвращении заводу № 257 НКБ производственных площадей, временно занятых Орским заводом тяжелого машиностроения. (7317, 146-147).</w:t>
      </w:r>
    </w:p>
    <w:p w14:paraId="6F90D99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2F91C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Распоряжение ГКО № 7871. О мерах по обеспечению плана I кв. 1945 г. по комплектной сдаче НКО противотанковых мин. РГАНИР, Фонд ГКО, д. 382, лл. 148-149, 150-152 (11012).</w:t>
      </w:r>
    </w:p>
    <w:p w14:paraId="49C35018" w14:textId="77777777" w:rsidR="00665165" w:rsidRPr="00925F26" w:rsidRDefault="00665165" w:rsidP="00925F26">
      <w:pPr>
        <w:autoSpaceDE w:val="0"/>
        <w:autoSpaceDN w:val="0"/>
        <w:adjustRightInd w:val="0"/>
        <w:jc w:val="both"/>
        <w:rPr>
          <w:color w:val="000000" w:themeColor="text1"/>
          <w:sz w:val="16"/>
          <w:szCs w:val="16"/>
        </w:rPr>
      </w:pPr>
    </w:p>
    <w:p w14:paraId="64E47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Постановление ГКО № 7872 О мерах обеспечения серным сырьем заводов Наркомхимпрома. РГАНИР, Фонд ГКО, д. 382, лл. 152-154 (11012).</w:t>
      </w:r>
    </w:p>
    <w:p w14:paraId="2BAE2DED" w14:textId="77777777" w:rsidR="00665165" w:rsidRPr="00925F26" w:rsidRDefault="00665165" w:rsidP="00925F26">
      <w:pPr>
        <w:autoSpaceDE w:val="0"/>
        <w:autoSpaceDN w:val="0"/>
        <w:adjustRightInd w:val="0"/>
        <w:jc w:val="both"/>
        <w:rPr>
          <w:color w:val="000000" w:themeColor="text1"/>
          <w:sz w:val="16"/>
          <w:szCs w:val="16"/>
        </w:rPr>
      </w:pPr>
    </w:p>
    <w:p w14:paraId="5424B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Постановление ГКО № 7873 Об увеличении производства и сдачи НКО капсюльных втулок КВ-4 в марте и во II квартале 1945 г. РГАНИР, Фонд ГКО, д. 382, лл. 155-158, 159-164 (11012).</w:t>
      </w:r>
    </w:p>
    <w:p w14:paraId="1EB35090" w14:textId="77777777" w:rsidR="00665165" w:rsidRPr="00925F26" w:rsidRDefault="00665165" w:rsidP="00925F26">
      <w:pPr>
        <w:autoSpaceDE w:val="0"/>
        <w:autoSpaceDN w:val="0"/>
        <w:adjustRightInd w:val="0"/>
        <w:jc w:val="both"/>
        <w:rPr>
          <w:color w:val="000000" w:themeColor="text1"/>
          <w:sz w:val="16"/>
          <w:szCs w:val="16"/>
        </w:rPr>
      </w:pPr>
    </w:p>
    <w:p w14:paraId="602659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марта 1945 г. в соответствие с решением Военного Совета БТ и МВ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925F26">
        <w:rPr>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925F26">
        <w:rPr>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3A44CF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CC91FF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ADBF735" w14:textId="77777777" w:rsidR="00665165" w:rsidRPr="00925F26" w:rsidRDefault="00665165" w:rsidP="00925F26">
      <w:pPr>
        <w:autoSpaceDE w:val="0"/>
        <w:autoSpaceDN w:val="0"/>
        <w:adjustRightInd w:val="0"/>
        <w:jc w:val="both"/>
        <w:rPr>
          <w:iCs/>
          <w:color w:val="000000" w:themeColor="text1"/>
          <w:sz w:val="16"/>
          <w:szCs w:val="16"/>
        </w:rPr>
      </w:pPr>
    </w:p>
    <w:p w14:paraId="73A79A2C" w14:textId="77777777" w:rsidR="00D76EE0" w:rsidRPr="00925F26" w:rsidRDefault="00D76EE0" w:rsidP="00925F26">
      <w:pPr>
        <w:jc w:val="both"/>
        <w:rPr>
          <w:color w:val="000000" w:themeColor="text1"/>
          <w:sz w:val="16"/>
          <w:szCs w:val="16"/>
        </w:rPr>
      </w:pPr>
      <w:r w:rsidRPr="00925F26">
        <w:rPr>
          <w:bCs/>
          <w:color w:val="000000" w:themeColor="text1"/>
          <w:sz w:val="16"/>
          <w:szCs w:val="16"/>
        </w:rPr>
        <w:t>20 марта</w:t>
      </w:r>
      <w:r w:rsidRPr="00925F26">
        <w:rPr>
          <w:color w:val="000000" w:themeColor="text1"/>
          <w:sz w:val="16"/>
          <w:szCs w:val="16"/>
        </w:rPr>
        <w:t xml:space="preserve"> в 1945 году оперативная сводка Совинформбюро:</w:t>
      </w:r>
    </w:p>
    <w:p w14:paraId="7FD275BA" w14:textId="77777777" w:rsidR="00D76EE0" w:rsidRPr="00925F26" w:rsidRDefault="00D76EE0" w:rsidP="00925F26">
      <w:pPr>
        <w:jc w:val="both"/>
        <w:rPr>
          <w:color w:val="000000" w:themeColor="text1"/>
          <w:sz w:val="16"/>
          <w:szCs w:val="16"/>
        </w:rPr>
      </w:pPr>
      <w:r w:rsidRPr="00925F26">
        <w:rPr>
          <w:color w:val="000000" w:themeColor="text1"/>
          <w:sz w:val="16"/>
          <w:szCs w:val="16"/>
        </w:rPr>
        <w:t>«Войска 3-го Белорусского фронта, продолжая бои по уничтожению группировки немцев в Восточной Пруссии, 20 карта овладели городом Браунсберг — сильным опорным пунктом обороны немцев на побережье залива Фриш-Гаф, а также с боями заняли более 40 других населённых пунктов, в том числе Феддерау, Весслинек, Кордоммен, Раушник, Томсдорф, Вермтен, Хаммерсдорф, Ной-Пассарге. В боях за 19 и 20 марта в этом районе войска фронта взяли в плен более 4.000 немецких солдат и офицеров и захватили свыше 300 орудий.</w:t>
      </w:r>
    </w:p>
    <w:p w14:paraId="47FB6891" w14:textId="77777777" w:rsidR="00D76EE0" w:rsidRPr="00925F26" w:rsidRDefault="00D76EE0" w:rsidP="00925F26">
      <w:pPr>
        <w:jc w:val="both"/>
        <w:rPr>
          <w:color w:val="000000" w:themeColor="text1"/>
          <w:sz w:val="16"/>
          <w:szCs w:val="16"/>
        </w:rPr>
      </w:pPr>
      <w:r w:rsidRPr="00925F26">
        <w:rPr>
          <w:color w:val="000000" w:themeColor="text1"/>
          <w:sz w:val="16"/>
          <w:szCs w:val="16"/>
        </w:rPr>
        <w:t>Войска 1-го Белорусского фронта после серьёзных боёв 20 марта овладели городом Альтдамм и ликвидировали сильно укреплённый плацдарм немцев на правом берегу реки Одер восточнее Штеттина.</w:t>
      </w:r>
    </w:p>
    <w:p w14:paraId="12E7503B" w14:textId="77777777" w:rsidR="00D76EE0" w:rsidRPr="00925F26" w:rsidRDefault="00D76EE0"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4EFD9AD5" w14:textId="77777777" w:rsidR="00D76EE0" w:rsidRPr="00925F26" w:rsidRDefault="00D76EE0" w:rsidP="00925F26">
      <w:pPr>
        <w:jc w:val="both"/>
        <w:rPr>
          <w:color w:val="000000" w:themeColor="text1"/>
          <w:sz w:val="16"/>
          <w:szCs w:val="16"/>
        </w:rPr>
      </w:pPr>
      <w:r w:rsidRPr="00925F26">
        <w:rPr>
          <w:color w:val="000000" w:themeColor="text1"/>
          <w:sz w:val="16"/>
          <w:szCs w:val="16"/>
        </w:rPr>
        <w:t>За 19 марта на всех фронтах подбито и уничтожено 115 немецких танков и самоходных орудий. В воздушных боях и огнём зенитной артиллерии сбито 116 самолётов противника.</w:t>
      </w:r>
    </w:p>
    <w:p w14:paraId="7229CE71" w14:textId="77777777" w:rsidR="00D76EE0" w:rsidRPr="00925F26" w:rsidRDefault="00D76EE0" w:rsidP="00925F26">
      <w:pPr>
        <w:jc w:val="both"/>
        <w:rPr>
          <w:color w:val="000000" w:themeColor="text1"/>
          <w:sz w:val="16"/>
          <w:szCs w:val="16"/>
        </w:rPr>
      </w:pPr>
      <w:r w:rsidRPr="00925F26">
        <w:rPr>
          <w:color w:val="000000" w:themeColor="text1"/>
          <w:sz w:val="16"/>
          <w:szCs w:val="16"/>
        </w:rPr>
        <w:t>Налёты нашей авиации на Данциг, Кенигсберг и Пиллау</w:t>
      </w:r>
    </w:p>
    <w:p w14:paraId="48E1C8ED" w14:textId="77777777" w:rsidR="00D76EE0" w:rsidRPr="00925F26" w:rsidRDefault="00D76EE0" w:rsidP="00925F26">
      <w:pPr>
        <w:jc w:val="both"/>
        <w:rPr>
          <w:color w:val="000000" w:themeColor="text1"/>
          <w:sz w:val="16"/>
          <w:szCs w:val="16"/>
        </w:rPr>
      </w:pPr>
      <w:r w:rsidRPr="00925F26">
        <w:rPr>
          <w:color w:val="000000" w:themeColor="text1"/>
          <w:sz w:val="16"/>
          <w:szCs w:val="16"/>
        </w:rPr>
        <w:t>В ночь на 20 марта наши тяжёлые бомбардировщики нанесли удары по военным объектам немцев в Данциге, Кенигсберге и Пиллау.</w:t>
      </w:r>
    </w:p>
    <w:p w14:paraId="18E5F9F3" w14:textId="77777777" w:rsidR="00D76EE0" w:rsidRPr="00925F26" w:rsidRDefault="00D76EE0" w:rsidP="00925F26">
      <w:pPr>
        <w:jc w:val="both"/>
        <w:rPr>
          <w:color w:val="000000" w:themeColor="text1"/>
          <w:sz w:val="16"/>
          <w:szCs w:val="16"/>
        </w:rPr>
      </w:pPr>
      <w:r w:rsidRPr="00925F26">
        <w:rPr>
          <w:color w:val="000000" w:themeColor="text1"/>
          <w:sz w:val="16"/>
          <w:szCs w:val="16"/>
        </w:rPr>
        <w:t>В результате бомбардировки в Данциге на территории железнодорожного узла возникло много пожаров, сопровождавшихся взрывами. В порту Данциг прямым попаданием бомб потоплен морской транспорт противника, находившийся у причала.</w:t>
      </w:r>
    </w:p>
    <w:p w14:paraId="49B2AE8D" w14:textId="77777777" w:rsidR="00D76EE0" w:rsidRPr="00925F26" w:rsidRDefault="00D76EE0" w:rsidP="00925F26">
      <w:pPr>
        <w:jc w:val="both"/>
        <w:rPr>
          <w:color w:val="000000" w:themeColor="text1"/>
          <w:sz w:val="16"/>
          <w:szCs w:val="16"/>
        </w:rPr>
      </w:pPr>
      <w:r w:rsidRPr="00925F26">
        <w:rPr>
          <w:color w:val="000000" w:themeColor="text1"/>
          <w:sz w:val="16"/>
          <w:szCs w:val="16"/>
        </w:rPr>
        <w:t>В Кенигсберге и Пиллау среди возникших пожаров отмечено несколько сильных взрывов.</w:t>
      </w:r>
    </w:p>
    <w:p w14:paraId="66DF37CE" w14:textId="77777777" w:rsidR="00D76EE0" w:rsidRPr="00925F26" w:rsidRDefault="00D76EE0" w:rsidP="00925F26">
      <w:pPr>
        <w:jc w:val="both"/>
        <w:rPr>
          <w:color w:val="000000" w:themeColor="text1"/>
          <w:sz w:val="16"/>
          <w:szCs w:val="16"/>
        </w:rPr>
      </w:pPr>
      <w:r w:rsidRPr="00925F26">
        <w:rPr>
          <w:color w:val="000000" w:themeColor="text1"/>
          <w:sz w:val="16"/>
          <w:szCs w:val="16"/>
        </w:rPr>
        <w:t>Войска 3-го Белорусского фронта продолжали успешные бои по ликвидации Восточно-Прусской группировки противника, окружённой юго-западнее Кенигсберга. Советские части, наступающие вдоль реки Пассарге на север, вышли на южную окраину города Брауасберга и завязали бои за железнодорожную станцию. Части, наступающие с запада, ночью преодолели труднопроходимую местность и выбили немцев из укреплённого пункта Гунтенберга. Развивая успех, наши войска ворвались в город и к утру очистили от противника его юго-западную часть по реке Пассарге. Затем советские части в нескольких местах переправились через реку и, сломив упорное сопротивление вражеского гарнизона, полностью овладели городом Браунсберг — важным узлом дорог и сильным опорным пунктам обороны немцев на побережье залива Фриш-Гаф. С потерей Браунсберга положение окружённой группировки противника резко ухудшилась. Сейчас в руках немцев в этом районе остаётся единственный узел дорог город Хайлигенбайль. Стремясь отстоять этот город, немецкое командование бросает в контратаки крупные силы пехоты, с ожесточением отстаивая каждую позицию. Наши войска с востока, юга и запада продолжают всё теснее и теснее сжимать кольцо окружения противника. За день боёв уничтожено более 5 тысяч немецких солдат и офицеров. На отдельных участках немецкие солдаты группами сдаются в плен. Так, в районе южнее Хайлигенбайля сегодня взято в плен свыше 2.000 вражеских солдат и офицеров. Захвачено у немцев 60 танков, свыше 1.000 автомашин, 3 паровоза, 259 железнодорожных вагонов с грузами, много вооружения и склады с военными материалами.</w:t>
      </w:r>
    </w:p>
    <w:p w14:paraId="1C6CB8D9" w14:textId="77777777" w:rsidR="00D76EE0" w:rsidRPr="00925F26" w:rsidRDefault="00D76EE0" w:rsidP="00925F26">
      <w:pPr>
        <w:jc w:val="both"/>
        <w:rPr>
          <w:color w:val="000000" w:themeColor="text1"/>
          <w:sz w:val="16"/>
          <w:szCs w:val="16"/>
        </w:rPr>
      </w:pPr>
      <w:r w:rsidRPr="00925F26">
        <w:rPr>
          <w:color w:val="000000" w:themeColor="text1"/>
          <w:sz w:val="16"/>
          <w:szCs w:val="16"/>
        </w:rPr>
        <w:t xml:space="preserve">Войска 1-го Белорусского фронта после серьёзных боёв овладели городом Альтдамм — важным опорным пунктом обороны немцев на подступах к Штеттину. Вчера советские части, наступающие вдоль правого берега реки Одер в северном направлении, вышли к населённому пункту Подеюх. Гитлеровцы упорно защищали этот пункт. Танки и пехота противника предприняли одну за другой десять яростных контратак. Мощными ударами нашей артиллерии, следовавшей вместе со </w:t>
      </w:r>
      <w:r w:rsidRPr="00925F26">
        <w:rPr>
          <w:color w:val="000000" w:themeColor="text1"/>
          <w:sz w:val="16"/>
          <w:szCs w:val="16"/>
        </w:rPr>
        <w:lastRenderedPageBreak/>
        <w:t>штурмующими подразделениями пехоты, вражеское сопротивление было сломлено. Одна наша часть завязала бои за железнодорожную станцию Финкенвальде, отрезав немецкий гарнизон Альтдамма от юго-западной переправы через Одер. Тем временем другие наши части ворвались в Альтдамм с северо-востока. Всю ночь продолжались ожесточённые бои. Немцы освещали улицы города ракетами и вели сильный артиллерийский огонь. Советские подразделения очищали от врага квартал за кварталом. Овладев железнодорожной станцией, наши части прижали немцев к единственной оставшейся в их распоряжении переправе через Одер западнее Альтдамма. Эту переправу защищал бронепоезд. Меткими залпами наша артиллерия разбила вражеский бронепоезд. Сегодня рано утром штурмовые группы очистили от гитлеровцев аэродром и перерезали шоссейную дорогу Альтдамм—Штеттин. Советские части усилили удары по врагу, оборонявшему город. Вскоре организованное сопротивление противника было подавлено, и город Альтдамм занят нашими войсками. Ликвидирован сильно укреплённый плацдарм немцев на правом берегу реки Одер, восточнее Штеттина. В боях за Альтдамм немцы понесли тяжёлые потери. На подступах к городу и его улицах остались тысячи вражеских трупов. Наши войска захватили большие трофеи, в числе которых много танков, бронетранспортёров, тяжёлых орудий и другой боевой техники.</w:t>
      </w:r>
    </w:p>
    <w:p w14:paraId="11FC1C99" w14:textId="77777777" w:rsidR="00D76EE0" w:rsidRPr="00925F26" w:rsidRDefault="00D76EE0" w:rsidP="00925F26">
      <w:pPr>
        <w:jc w:val="both"/>
        <w:rPr>
          <w:color w:val="000000" w:themeColor="text1"/>
          <w:sz w:val="16"/>
          <w:szCs w:val="16"/>
        </w:rPr>
      </w:pPr>
      <w:r w:rsidRPr="00925F26">
        <w:rPr>
          <w:color w:val="000000" w:themeColor="text1"/>
          <w:sz w:val="16"/>
          <w:szCs w:val="16"/>
        </w:rPr>
        <w:t>Наши тяжёлые бомбардировщики сегодня днём бомбардировали военные объекты немцев в городе Бреслау. В результате бомбардировки возникли пожары и произошло 6 сильных взрывов.</w:t>
      </w:r>
    </w:p>
    <w:p w14:paraId="0FE1E32A" w14:textId="77777777" w:rsidR="00D76EE0" w:rsidRPr="00925F26" w:rsidRDefault="00D76EE0"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продолжала наносить торпедно-бомбовые удары по немецким кораблям и транспортам в Балтийском море. Морские лётчики потопили 4 транспорта общим водоизмещением в 26 тысяч тонн, миноносец, 2 сторожевых корабля и сторожевой катер противника. Нанесены повреждения нескольким другим судам. Отмечено прямое попадание бомбы в немецкий лёгкий крейсер.» (15074).</w:t>
      </w:r>
    </w:p>
    <w:p w14:paraId="67D483F8" w14:textId="77777777" w:rsidR="00D76EE0" w:rsidRPr="00925F26" w:rsidRDefault="00D76EE0" w:rsidP="00925F26">
      <w:pPr>
        <w:jc w:val="both"/>
        <w:rPr>
          <w:color w:val="000000" w:themeColor="text1"/>
          <w:sz w:val="16"/>
          <w:szCs w:val="16"/>
        </w:rPr>
      </w:pPr>
    </w:p>
    <w:p w14:paraId="5ED7A66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марта 1945 Войска 3-го Белорусского фронта, продолжая бои по уничтожению группировки немцев в Восточной Пруссии, овладели городом Браунсверг - сильным опорным пунктом обороны немцев на побережье залива Фриш-Гаф, а также с боями заняли более 40 других населенных пунктов, в том числе Феддерау, Весслинек, Кордоммен, Раушник, Томсдорф, Вермтен, Хаммерсдорф, Ной-Пассарге. Войска 1-го Белорусского фронта после серьезных боев овладели городом Альтдамм и ликивидировали сильно укрепленный плацдарм немцев на правом берегу реки Одер восточнее Штеттина (4963 ).</w:t>
      </w:r>
    </w:p>
    <w:p w14:paraId="121760B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5E5EEC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марта 1945 Гитлер снял Гиммлера с поста командующего группой армий “Висла” (4962).</w:t>
      </w:r>
    </w:p>
    <w:p w14:paraId="0106E94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130AC4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20th, 1945: German troops of Heeresgruppe Weichsel evacuate their bridgehead across the Oder at Stettin. In East Prussia, the Red Army captures Braunsberg, 40 miles south of Konigsberg (3819).</w:t>
      </w:r>
    </w:p>
    <w:p w14:paraId="434DE4F4" w14:textId="77777777" w:rsidR="00665165" w:rsidRPr="00925F26" w:rsidRDefault="00665165" w:rsidP="00925F26">
      <w:pPr>
        <w:autoSpaceDE w:val="0"/>
        <w:autoSpaceDN w:val="0"/>
        <w:adjustRightInd w:val="0"/>
        <w:jc w:val="both"/>
        <w:rPr>
          <w:color w:val="000000" w:themeColor="text1"/>
          <w:sz w:val="16"/>
          <w:szCs w:val="16"/>
          <w:lang w:val="en-US"/>
        </w:rPr>
      </w:pPr>
    </w:p>
    <w:p w14:paraId="1E553C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войска Группы Вайсшел оставили плацдармы на Одере у Штецина. КА захватила Браунсберг в 40 милях от Кенигсберга (3819).</w:t>
      </w:r>
    </w:p>
    <w:p w14:paraId="4707226E" w14:textId="77777777" w:rsidR="00665165" w:rsidRPr="00925F26" w:rsidRDefault="00665165" w:rsidP="00925F26">
      <w:pPr>
        <w:autoSpaceDE w:val="0"/>
        <w:autoSpaceDN w:val="0"/>
        <w:adjustRightInd w:val="0"/>
        <w:jc w:val="both"/>
        <w:rPr>
          <w:color w:val="000000" w:themeColor="text1"/>
          <w:sz w:val="16"/>
          <w:szCs w:val="16"/>
        </w:rPr>
      </w:pPr>
    </w:p>
    <w:p w14:paraId="77C0A9A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53967C0" w14:textId="77777777" w:rsidR="00665165" w:rsidRPr="00925F26" w:rsidRDefault="00665165" w:rsidP="00925F26">
      <w:pPr>
        <w:autoSpaceDE w:val="0"/>
        <w:autoSpaceDN w:val="0"/>
        <w:adjustRightInd w:val="0"/>
        <w:jc w:val="both"/>
        <w:rPr>
          <w:iCs/>
          <w:color w:val="000000" w:themeColor="text1"/>
          <w:sz w:val="16"/>
          <w:szCs w:val="16"/>
        </w:rPr>
      </w:pPr>
    </w:p>
    <w:p w14:paraId="764E02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вышло Постановление ГКО № 7874 О выдаче 49810 тонн трофейного сахара для обеспечения нужд польского государства. РГАНИР, Фонд ГКО, д. 382, лл. 165 (11012).</w:t>
      </w:r>
    </w:p>
    <w:p w14:paraId="29CE21FB" w14:textId="77777777" w:rsidR="00665165" w:rsidRPr="00925F26" w:rsidRDefault="00665165" w:rsidP="00925F26">
      <w:pPr>
        <w:autoSpaceDE w:val="0"/>
        <w:autoSpaceDN w:val="0"/>
        <w:adjustRightInd w:val="0"/>
        <w:jc w:val="both"/>
        <w:rPr>
          <w:color w:val="000000" w:themeColor="text1"/>
          <w:sz w:val="16"/>
          <w:szCs w:val="16"/>
        </w:rPr>
      </w:pPr>
    </w:p>
    <w:p w14:paraId="63FA53F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5739335" w14:textId="77777777" w:rsidR="00665165" w:rsidRPr="00925F26" w:rsidRDefault="00665165" w:rsidP="00925F26">
      <w:pPr>
        <w:autoSpaceDE w:val="0"/>
        <w:autoSpaceDN w:val="0"/>
        <w:adjustRightInd w:val="0"/>
        <w:jc w:val="both"/>
        <w:rPr>
          <w:iCs/>
          <w:color w:val="000000" w:themeColor="text1"/>
          <w:sz w:val="16"/>
          <w:szCs w:val="16"/>
        </w:rPr>
      </w:pPr>
    </w:p>
    <w:p w14:paraId="0DE30A62" w14:textId="77777777" w:rsidR="00750C95" w:rsidRPr="00925F26" w:rsidRDefault="00750C95" w:rsidP="00925F26">
      <w:pPr>
        <w:jc w:val="both"/>
        <w:rPr>
          <w:bCs/>
          <w:color w:val="000000" w:themeColor="text1"/>
          <w:sz w:val="16"/>
          <w:szCs w:val="16"/>
        </w:rPr>
      </w:pPr>
      <w:r w:rsidRPr="00925F26">
        <w:rPr>
          <w:bCs/>
          <w:color w:val="000000" w:themeColor="text1"/>
          <w:sz w:val="16"/>
          <w:szCs w:val="16"/>
        </w:rPr>
        <w:t>20 марта</w:t>
      </w:r>
      <w:r w:rsidRPr="00925F26">
        <w:rPr>
          <w:color w:val="000000" w:themeColor="text1"/>
          <w:sz w:val="16"/>
          <w:szCs w:val="16"/>
        </w:rPr>
        <w:t xml:space="preserve"> в 1945 году разбит первый американский реактивный истребитель-перехватчик «ХР-80А» из-за разрушения двигателя - у самолета просто срезало хвост, но летчик-испытатель Тони Левьер успел покинуть его с парашютом. Чтобы исследовать причину аварии, в течение года (!) искали разрушившийся диск турбины и нашли в 10 километрах от трассы полета самолета! (15074).</w:t>
      </w:r>
    </w:p>
    <w:p w14:paraId="5A1218EF" w14:textId="77777777" w:rsidR="00750C95" w:rsidRPr="00925F26" w:rsidRDefault="00750C95" w:rsidP="00925F26">
      <w:pPr>
        <w:jc w:val="both"/>
        <w:rPr>
          <w:bCs/>
          <w:color w:val="000000" w:themeColor="text1"/>
          <w:sz w:val="16"/>
          <w:szCs w:val="16"/>
        </w:rPr>
      </w:pPr>
    </w:p>
    <w:p w14:paraId="03535FAC" w14:textId="77777777" w:rsidR="00D76EE0" w:rsidRPr="00925F26" w:rsidRDefault="00D76EE0" w:rsidP="00925F26">
      <w:pPr>
        <w:jc w:val="both"/>
        <w:rPr>
          <w:color w:val="000000" w:themeColor="text1"/>
          <w:sz w:val="16"/>
          <w:szCs w:val="16"/>
        </w:rPr>
      </w:pPr>
      <w:r w:rsidRPr="00925F26">
        <w:rPr>
          <w:bCs/>
          <w:color w:val="000000" w:themeColor="text1"/>
          <w:sz w:val="16"/>
          <w:szCs w:val="16"/>
        </w:rPr>
        <w:t>20 марта</w:t>
      </w:r>
      <w:r w:rsidRPr="00925F26">
        <w:rPr>
          <w:color w:val="000000" w:themeColor="text1"/>
          <w:sz w:val="16"/>
          <w:szCs w:val="16"/>
        </w:rPr>
        <w:t xml:space="preserve"> в 1945 году Адольф Гитлер снимает Генриха Гиммлера с поста командующего группой армий "Висла" (15074).</w:t>
      </w:r>
    </w:p>
    <w:p w14:paraId="3089EA9B" w14:textId="77777777" w:rsidR="00D76EE0" w:rsidRPr="00925F26" w:rsidRDefault="00D76EE0" w:rsidP="00925F26">
      <w:pPr>
        <w:jc w:val="both"/>
        <w:rPr>
          <w:color w:val="000000" w:themeColor="text1"/>
          <w:sz w:val="16"/>
          <w:szCs w:val="16"/>
        </w:rPr>
      </w:pPr>
    </w:p>
    <w:p w14:paraId="35F9FABA" w14:textId="77777777" w:rsidR="00D76EE0" w:rsidRPr="00925F26" w:rsidRDefault="00D76EE0" w:rsidP="00925F26">
      <w:pPr>
        <w:jc w:val="both"/>
        <w:rPr>
          <w:color w:val="000000" w:themeColor="text1"/>
          <w:sz w:val="16"/>
          <w:szCs w:val="16"/>
        </w:rPr>
      </w:pPr>
      <w:r w:rsidRPr="00925F26">
        <w:rPr>
          <w:bCs/>
          <w:color w:val="000000" w:themeColor="text1"/>
          <w:sz w:val="16"/>
          <w:szCs w:val="16"/>
        </w:rPr>
        <w:t>20 марта</w:t>
      </w:r>
      <w:r w:rsidRPr="00925F26">
        <w:rPr>
          <w:color w:val="000000" w:themeColor="text1"/>
          <w:sz w:val="16"/>
          <w:szCs w:val="16"/>
        </w:rPr>
        <w:t xml:space="preserve"> в 1945 году французское правительство воссоединило территории Эльзаса и Лотарингии с Францией (15074).</w:t>
      </w:r>
    </w:p>
    <w:p w14:paraId="521487D0" w14:textId="77777777" w:rsidR="00D76EE0" w:rsidRPr="00925F26" w:rsidRDefault="00D76EE0" w:rsidP="00925F26">
      <w:pPr>
        <w:jc w:val="both"/>
        <w:rPr>
          <w:color w:val="000000" w:themeColor="text1"/>
          <w:sz w:val="16"/>
          <w:szCs w:val="16"/>
        </w:rPr>
      </w:pPr>
    </w:p>
    <w:p w14:paraId="78AB130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марта 1945 английское правительство объявило приоритетом своей послевоенной политики добиться, чтобы у каждой семьи было отдельное жилье (на это отводилось два года) (4962).</w:t>
      </w:r>
    </w:p>
    <w:p w14:paraId="5605AC9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2B9F2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марта 1945 в Бирме британские и индийские войска наступали на Мандалай (3907,256).</w:t>
      </w:r>
    </w:p>
    <w:p w14:paraId="22ABDC95" w14:textId="77777777" w:rsidR="00665165" w:rsidRPr="00925F26" w:rsidRDefault="00665165" w:rsidP="00925F26">
      <w:pPr>
        <w:autoSpaceDE w:val="0"/>
        <w:autoSpaceDN w:val="0"/>
        <w:adjustRightInd w:val="0"/>
        <w:jc w:val="both"/>
        <w:rPr>
          <w:color w:val="000000" w:themeColor="text1"/>
          <w:sz w:val="16"/>
          <w:szCs w:val="16"/>
        </w:rPr>
      </w:pPr>
    </w:p>
    <w:p w14:paraId="3639FF98" w14:textId="77777777" w:rsidR="00D76EE0" w:rsidRPr="00925F26" w:rsidRDefault="00D76EE0" w:rsidP="00925F26">
      <w:pPr>
        <w:jc w:val="both"/>
        <w:rPr>
          <w:color w:val="000000" w:themeColor="text1"/>
          <w:sz w:val="16"/>
          <w:szCs w:val="16"/>
        </w:rPr>
      </w:pPr>
      <w:r w:rsidRPr="00925F26">
        <w:rPr>
          <w:bCs/>
          <w:color w:val="000000" w:themeColor="text1"/>
          <w:sz w:val="16"/>
          <w:szCs w:val="16"/>
        </w:rPr>
        <w:t>20 марта</w:t>
      </w:r>
      <w:r w:rsidRPr="00925F26">
        <w:rPr>
          <w:color w:val="000000" w:themeColor="text1"/>
          <w:sz w:val="16"/>
          <w:szCs w:val="16"/>
        </w:rPr>
        <w:t xml:space="preserve"> в 1945 году в Бирме (современная Мьянма) британские и индийские войска вступают в Мандалай (15074).</w:t>
      </w:r>
    </w:p>
    <w:p w14:paraId="6A0F3E49" w14:textId="77777777" w:rsidR="00D76EE0" w:rsidRPr="00925F26" w:rsidRDefault="00D76EE0" w:rsidP="00925F26">
      <w:pPr>
        <w:jc w:val="both"/>
        <w:rPr>
          <w:color w:val="000000" w:themeColor="text1"/>
          <w:sz w:val="16"/>
          <w:szCs w:val="16"/>
        </w:rPr>
      </w:pPr>
    </w:p>
    <w:p w14:paraId="65D56F1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8133612" w14:textId="77777777" w:rsidR="00665165" w:rsidRPr="00925F26" w:rsidRDefault="00665165" w:rsidP="00925F26">
      <w:pPr>
        <w:autoSpaceDE w:val="0"/>
        <w:autoSpaceDN w:val="0"/>
        <w:adjustRightInd w:val="0"/>
        <w:jc w:val="both"/>
        <w:rPr>
          <w:iCs/>
          <w:color w:val="000000" w:themeColor="text1"/>
          <w:sz w:val="16"/>
          <w:szCs w:val="16"/>
        </w:rPr>
      </w:pPr>
    </w:p>
    <w:p w14:paraId="240E2848"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21 марта 1945 генерал-лейтенанту А.А. Лапи</w:t>
      </w:r>
      <w:r w:rsidRPr="00925F26">
        <w:rPr>
          <w:rFonts w:ascii="Times New Roman" w:cs="Times New Roman"/>
          <w:color w:val="000000" w:themeColor="text1"/>
          <w:spacing w:val="0"/>
        </w:rPr>
        <w:softHyphen/>
        <w:t>ну поступил доклад начальника Управления технической эксплуатации ВВС генерал-лей</w:t>
      </w:r>
      <w:r w:rsidRPr="00925F26">
        <w:rPr>
          <w:rFonts w:ascii="Times New Roman" w:cs="Times New Roman"/>
          <w:color w:val="000000" w:themeColor="text1"/>
          <w:spacing w:val="0"/>
        </w:rPr>
        <w:softHyphen/>
        <w:t>тенанта Ф.Н. Шульговского по вопросу эф</w:t>
      </w:r>
      <w:r w:rsidRPr="00925F26">
        <w:rPr>
          <w:rFonts w:ascii="Times New Roman" w:cs="Times New Roman"/>
          <w:color w:val="000000" w:themeColor="text1"/>
          <w:spacing w:val="0"/>
        </w:rPr>
        <w:softHyphen/>
        <w:t>фективности дополнительного бронирования кабины стрелка на Ил-2 и</w:t>
      </w:r>
      <w:r w:rsidRPr="00925F26">
        <w:rPr>
          <w:rStyle w:val="aff6"/>
          <w:rFonts w:ascii="Times New Roman" w:hAnsi="Times New Roman" w:cs="Times New Roman"/>
          <w:i w:val="0"/>
          <w:color w:val="000000" w:themeColor="text1"/>
          <w:spacing w:val="0"/>
        </w:rPr>
        <w:t xml:space="preserve"> «о состоянии дора</w:t>
      </w:r>
      <w:r w:rsidRPr="00925F26">
        <w:rPr>
          <w:rStyle w:val="aff6"/>
          <w:rFonts w:ascii="Times New Roman" w:hAnsi="Times New Roman" w:cs="Times New Roman"/>
          <w:i w:val="0"/>
          <w:color w:val="000000" w:themeColor="text1"/>
          <w:spacing w:val="0"/>
        </w:rPr>
        <w:softHyphen/>
        <w:t>ботки самолетов в частях Действующей Армии на 1 марта, согласно донесениям Главных ин</w:t>
      </w:r>
      <w:r w:rsidRPr="00925F26">
        <w:rPr>
          <w:rStyle w:val="aff6"/>
          <w:rFonts w:ascii="Times New Roman" w:hAnsi="Times New Roman" w:cs="Times New Roman"/>
          <w:i w:val="0"/>
          <w:color w:val="000000" w:themeColor="text1"/>
          <w:spacing w:val="0"/>
        </w:rPr>
        <w:softHyphen/>
        <w:t>женеров Воздушных Армий».</w:t>
      </w:r>
      <w:r w:rsidRPr="00925F26">
        <w:rPr>
          <w:rFonts w:ascii="Times New Roman" w:cs="Times New Roman"/>
          <w:color w:val="000000" w:themeColor="text1"/>
          <w:spacing w:val="0"/>
        </w:rPr>
        <w:t xml:space="preserve"> Он указывал, что главные инженеры воздушных армий дают по</w:t>
      </w:r>
      <w:r w:rsidRPr="00925F26">
        <w:rPr>
          <w:rFonts w:ascii="Times New Roman" w:cs="Times New Roman"/>
          <w:color w:val="000000" w:themeColor="text1"/>
          <w:spacing w:val="0"/>
        </w:rPr>
        <w:softHyphen/>
        <w:t>ложительные отзывы о дополнительном бро</w:t>
      </w:r>
      <w:r w:rsidRPr="00925F26">
        <w:rPr>
          <w:rFonts w:ascii="Times New Roman" w:cs="Times New Roman"/>
          <w:color w:val="000000" w:themeColor="text1"/>
          <w:spacing w:val="0"/>
        </w:rPr>
        <w:softHyphen/>
        <w:t>нировании, отмечая увеличение безопасно</w:t>
      </w:r>
      <w:r w:rsidRPr="00925F26">
        <w:rPr>
          <w:rFonts w:ascii="Times New Roman" w:cs="Times New Roman"/>
          <w:color w:val="000000" w:themeColor="text1"/>
          <w:spacing w:val="0"/>
        </w:rPr>
        <w:softHyphen/>
        <w:t>сти полета и уменьшение случаев поражения стрелков.</w:t>
      </w:r>
    </w:p>
    <w:p w14:paraId="4E2C2088"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Так, в 3-й, 4-й и 15-й ВА зарегистрирова</w:t>
      </w:r>
      <w:r w:rsidRPr="00925F26">
        <w:rPr>
          <w:rFonts w:ascii="Times New Roman" w:cs="Times New Roman"/>
          <w:color w:val="000000" w:themeColor="text1"/>
          <w:spacing w:val="0"/>
        </w:rPr>
        <w:softHyphen/>
        <w:t>ли 21 попадание осколков снарядов зенитной артиллерии в район кабины стрелка. На броне остались следы в виде вмятин, но пробоин не было. Пули зенитных пулеметов крупного ка</w:t>
      </w:r>
      <w:r w:rsidRPr="00925F26">
        <w:rPr>
          <w:rFonts w:ascii="Times New Roman" w:cs="Times New Roman"/>
          <w:color w:val="000000" w:themeColor="text1"/>
          <w:spacing w:val="0"/>
        </w:rPr>
        <w:softHyphen/>
        <w:t>либра дополнительную броню не пробивали и оставляли на ней лишь вмятины. В 15-й ВА за</w:t>
      </w:r>
      <w:r w:rsidRPr="00925F26">
        <w:rPr>
          <w:rFonts w:ascii="Times New Roman" w:cs="Times New Roman"/>
          <w:color w:val="000000" w:themeColor="text1"/>
          <w:spacing w:val="0"/>
        </w:rPr>
        <w:softHyphen/>
        <w:t>фиксировали случай прямого попадания сна</w:t>
      </w:r>
      <w:r w:rsidRPr="00925F26">
        <w:rPr>
          <w:rFonts w:ascii="Times New Roman" w:cs="Times New Roman"/>
          <w:color w:val="000000" w:themeColor="text1"/>
          <w:spacing w:val="0"/>
        </w:rPr>
        <w:softHyphen/>
        <w:t>ряда пушки «Эрликон» в район кабины стрелка. Броня кабины была пробита, а стрелок ранен.</w:t>
      </w:r>
    </w:p>
    <w:p w14:paraId="0DE8DB19" w14:textId="77777777" w:rsidR="0032140A" w:rsidRPr="00925F26" w:rsidRDefault="0032140A"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hAnsi="Times New Roman" w:cs="Times New Roman"/>
          <w:i w:val="0"/>
          <w:color w:val="000000" w:themeColor="text1"/>
          <w:sz w:val="16"/>
          <w:szCs w:val="16"/>
        </w:rPr>
        <w:t>В связи с установкой дополнительного бронирования стрелка техника пилотирования Ил-2 изменилась незначительно. В основном это коснулось взлетных качеств:</w:t>
      </w:r>
      <w:r w:rsidRPr="00925F26">
        <w:rPr>
          <w:rFonts w:ascii="Times New Roman" w:cs="Times New Roman"/>
          <w:color w:val="000000" w:themeColor="text1"/>
          <w:sz w:val="16"/>
          <w:szCs w:val="16"/>
        </w:rPr>
        <w:t xml:space="preserve"> «несколько тяжелее становится подъем хвоста на взлете, особенно при работе на аэродромах с мягким грунтом».</w:t>
      </w:r>
      <w:r w:rsidRPr="00925F26">
        <w:rPr>
          <w:rStyle w:val="4e"/>
          <w:rFonts w:ascii="Times New Roman" w:hAnsi="Times New Roman" w:cs="Times New Roman"/>
          <w:i w:val="0"/>
          <w:color w:val="000000" w:themeColor="text1"/>
          <w:sz w:val="16"/>
          <w:szCs w:val="16"/>
        </w:rPr>
        <w:t xml:space="preserve"> На основании полученных резуль</w:t>
      </w:r>
      <w:r w:rsidRPr="00925F26">
        <w:rPr>
          <w:rStyle w:val="4e"/>
          <w:rFonts w:ascii="Times New Roman" w:hAnsi="Times New Roman" w:cs="Times New Roman"/>
          <w:i w:val="0"/>
          <w:color w:val="000000" w:themeColor="text1"/>
          <w:sz w:val="16"/>
          <w:szCs w:val="16"/>
        </w:rPr>
        <w:softHyphen/>
        <w:t>татов был еделан вывод «о</w:t>
      </w:r>
      <w:r w:rsidRPr="00925F26">
        <w:rPr>
          <w:rFonts w:ascii="Times New Roman" w:cs="Times New Roman"/>
          <w:color w:val="000000" w:themeColor="text1"/>
          <w:sz w:val="16"/>
          <w:szCs w:val="16"/>
        </w:rPr>
        <w:t xml:space="preserve"> достаточной эф</w:t>
      </w:r>
      <w:r w:rsidRPr="00925F26">
        <w:rPr>
          <w:rFonts w:ascii="Times New Roman" w:cs="Times New Roman"/>
          <w:color w:val="000000" w:themeColor="text1"/>
          <w:sz w:val="16"/>
          <w:szCs w:val="16"/>
        </w:rPr>
        <w:softHyphen/>
        <w:t>фективности дополнительного бронирования кабины стрелка, улучшающего безопасность работы стрелка и повышающего живучесть самолета, при незначительном ухудшении его взлетных свойств».</w:t>
      </w:r>
    </w:p>
    <w:p w14:paraId="392A11D1"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По состоянию на 1 марта 1945 г., из 1045 комплектов дополнительного бронирования, отправленных в действующую армию, в стро</w:t>
      </w:r>
      <w:r w:rsidRPr="00925F26">
        <w:rPr>
          <w:rFonts w:ascii="Times New Roman" w:cs="Times New Roman"/>
          <w:color w:val="000000" w:themeColor="text1"/>
          <w:spacing w:val="0"/>
        </w:rPr>
        <w:softHyphen/>
        <w:t>евых частях установили всего лишь 380. Еще 328 комплектов находилось на складах. Основ</w:t>
      </w:r>
      <w:r w:rsidRPr="00925F26">
        <w:rPr>
          <w:rFonts w:ascii="Times New Roman" w:cs="Times New Roman"/>
          <w:color w:val="000000" w:themeColor="text1"/>
          <w:spacing w:val="0"/>
        </w:rPr>
        <w:softHyphen/>
        <w:t>ной причиной такой задержки считалось отста</w:t>
      </w:r>
      <w:r w:rsidRPr="00925F26">
        <w:rPr>
          <w:rFonts w:ascii="Times New Roman" w:cs="Times New Roman"/>
          <w:color w:val="000000" w:themeColor="text1"/>
          <w:spacing w:val="0"/>
        </w:rPr>
        <w:softHyphen/>
        <w:t>вание обслуживающих БАО от продвигающих</w:t>
      </w:r>
      <w:r w:rsidRPr="00925F26">
        <w:rPr>
          <w:rFonts w:ascii="Times New Roman" w:cs="Times New Roman"/>
          <w:color w:val="000000" w:themeColor="text1"/>
          <w:spacing w:val="0"/>
        </w:rPr>
        <w:softHyphen/>
        <w:t>ся вперед авиачастей и соединений.</w:t>
      </w:r>
    </w:p>
    <w:p w14:paraId="1DFA608F" w14:textId="77777777" w:rsidR="0032140A" w:rsidRPr="00925F26" w:rsidRDefault="0032140A"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hAnsi="Times New Roman" w:cs="Times New Roman"/>
          <w:i w:val="0"/>
          <w:color w:val="000000" w:themeColor="text1"/>
          <w:sz w:val="16"/>
          <w:szCs w:val="16"/>
        </w:rPr>
        <w:t>Отмечалось</w:t>
      </w:r>
      <w:r w:rsidRPr="00925F26">
        <w:rPr>
          <w:rFonts w:ascii="Times New Roman" w:cs="Times New Roman"/>
          <w:color w:val="000000" w:themeColor="text1"/>
          <w:sz w:val="16"/>
          <w:szCs w:val="16"/>
        </w:rPr>
        <w:t xml:space="preserve"> «недостаточное внимание этому вопросу со стороны некоторых Главных инженеров воздушных армий».</w:t>
      </w:r>
      <w:r w:rsidRPr="00925F26">
        <w:rPr>
          <w:rStyle w:val="4e"/>
          <w:rFonts w:ascii="Times New Roman" w:hAnsi="Times New Roman" w:cs="Times New Roman"/>
          <w:i w:val="0"/>
          <w:color w:val="000000" w:themeColor="text1"/>
          <w:sz w:val="16"/>
          <w:szCs w:val="16"/>
        </w:rPr>
        <w:t xml:space="preserve"> Так, 26 ноября 1944 г</w:t>
      </w:r>
      <w:r w:rsidRPr="00925F26">
        <w:rPr>
          <w:rFonts w:ascii="Times New Roman" w:cs="Times New Roman"/>
          <w:color w:val="000000" w:themeColor="text1"/>
          <w:sz w:val="16"/>
          <w:szCs w:val="16"/>
        </w:rPr>
        <w:t>. на склад 2-й ВА поступило 30 комплек</w:t>
      </w:r>
      <w:r w:rsidRPr="00925F26">
        <w:rPr>
          <w:rFonts w:ascii="Times New Roman" w:cs="Times New Roman"/>
          <w:color w:val="000000" w:themeColor="text1"/>
          <w:sz w:val="16"/>
          <w:szCs w:val="16"/>
        </w:rPr>
        <w:softHyphen/>
        <w:t>тов брони, а к 5 января - еще 70 комплектов. Однако к 1 марта смонтировали только пять комплектов,</w:t>
      </w:r>
      <w:r w:rsidRPr="00925F26">
        <w:rPr>
          <w:rStyle w:val="aff6"/>
          <w:rFonts w:ascii="Times New Roman" w:hAnsi="Times New Roman" w:cs="Times New Roman"/>
          <w:i w:val="0"/>
          <w:color w:val="000000" w:themeColor="text1"/>
        </w:rPr>
        <w:t xml:space="preserve"> «причем два самолета из этих 5 были разбиты при тренировочных полетах», а </w:t>
      </w:r>
      <w:r w:rsidRPr="00925F26">
        <w:rPr>
          <w:rFonts w:ascii="Times New Roman" w:cs="Times New Roman"/>
          <w:color w:val="000000" w:themeColor="text1"/>
          <w:sz w:val="16"/>
          <w:szCs w:val="16"/>
        </w:rPr>
        <w:t>к установке оставшихся комплектов даже не приступали.</w:t>
      </w:r>
    </w:p>
    <w:p w14:paraId="29571B6D"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части 16-й ВА к 25 ноября 1944 г. посту</w:t>
      </w:r>
      <w:r w:rsidRPr="00925F26">
        <w:rPr>
          <w:rFonts w:ascii="Times New Roman" w:cs="Times New Roman"/>
          <w:color w:val="000000" w:themeColor="text1"/>
          <w:spacing w:val="0"/>
        </w:rPr>
        <w:softHyphen/>
        <w:t>пило 70 комплектов дополнительной брони, но к 1 марта смонтировали только пять комплек</w:t>
      </w:r>
      <w:r w:rsidRPr="00925F26">
        <w:rPr>
          <w:rFonts w:ascii="Times New Roman" w:cs="Times New Roman"/>
          <w:color w:val="000000" w:themeColor="text1"/>
          <w:spacing w:val="0"/>
        </w:rPr>
        <w:softHyphen/>
        <w:t>тов. В 5-й ВА из 70 комплектов установили лишь 20 комплектов, в 6-й ВА монтаж брони (75 комплектов) вообще не проводили, ссыла</w:t>
      </w:r>
      <w:r w:rsidRPr="00925F26">
        <w:rPr>
          <w:rFonts w:ascii="Times New Roman" w:cs="Times New Roman"/>
          <w:color w:val="000000" w:themeColor="text1"/>
          <w:spacing w:val="0"/>
        </w:rPr>
        <w:softHyphen/>
        <w:t>ясь на</w:t>
      </w:r>
      <w:r w:rsidRPr="00925F26">
        <w:rPr>
          <w:rStyle w:val="aff6"/>
          <w:rFonts w:ascii="Times New Roman" w:hAnsi="Times New Roman" w:cs="Times New Roman"/>
          <w:i w:val="0"/>
          <w:color w:val="000000" w:themeColor="text1"/>
          <w:spacing w:val="0"/>
        </w:rPr>
        <w:t xml:space="preserve"> «отсутствие информационного бюлле</w:t>
      </w:r>
      <w:r w:rsidRPr="00925F26">
        <w:rPr>
          <w:rStyle w:val="aff6"/>
          <w:rFonts w:ascii="Times New Roman" w:hAnsi="Times New Roman" w:cs="Times New Roman"/>
          <w:i w:val="0"/>
          <w:color w:val="000000" w:themeColor="text1"/>
          <w:spacing w:val="0"/>
        </w:rPr>
        <w:softHyphen/>
        <w:t>теня по установке брони на самолеты заводов №№ 1 и 18, в то время как эти бюллетени в адрес Главного инженера 6 ВА были направле</w:t>
      </w:r>
      <w:r w:rsidRPr="00925F26">
        <w:rPr>
          <w:rStyle w:val="aff6"/>
          <w:rFonts w:ascii="Times New Roman" w:hAnsi="Times New Roman" w:cs="Times New Roman"/>
          <w:i w:val="0"/>
          <w:color w:val="000000" w:themeColor="text1"/>
          <w:spacing w:val="0"/>
        </w:rPr>
        <w:softHyphen/>
        <w:t>ны 30.12.44 г.».</w:t>
      </w:r>
      <w:r w:rsidRPr="00925F26">
        <w:rPr>
          <w:rFonts w:ascii="Times New Roman" w:cs="Times New Roman"/>
          <w:color w:val="000000" w:themeColor="text1"/>
          <w:spacing w:val="0"/>
        </w:rPr>
        <w:t xml:space="preserve"> Пришлось УТЭ ВВС высылать бюллетень вторично.</w:t>
      </w:r>
    </w:p>
    <w:p w14:paraId="0DC3F766"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Наилучшее положение дел с установкой дополнительной брони отмечалось в 1-й ВА (получено 63 комплекта, установлено 63), 3-й ВА (120 и 95 комплектов), 4-й ВА (80</w:t>
      </w:r>
      <w:r w:rsidRPr="00925F26">
        <w:rPr>
          <w:rStyle w:val="aff9"/>
          <w:rFonts w:ascii="Times New Roman" w:cs="Times New Roman"/>
          <w:b w:val="0"/>
          <w:color w:val="000000" w:themeColor="text1"/>
          <w:spacing w:val="0"/>
          <w:sz w:val="16"/>
          <w:szCs w:val="16"/>
        </w:rPr>
        <w:t xml:space="preserve"> и</w:t>
      </w:r>
      <w:r w:rsidRPr="00925F26">
        <w:rPr>
          <w:rFonts w:ascii="Times New Roman" w:cs="Times New Roman"/>
          <w:color w:val="000000" w:themeColor="text1"/>
          <w:spacing w:val="0"/>
        </w:rPr>
        <w:t xml:space="preserve"> 68 ком</w:t>
      </w:r>
      <w:r w:rsidRPr="00925F26">
        <w:rPr>
          <w:rFonts w:ascii="Times New Roman" w:cs="Times New Roman"/>
          <w:color w:val="000000" w:themeColor="text1"/>
          <w:spacing w:val="0"/>
        </w:rPr>
        <w:softHyphen/>
        <w:t>плектов)</w:t>
      </w:r>
      <w:r w:rsidRPr="00925F26">
        <w:rPr>
          <w:rStyle w:val="aff9"/>
          <w:rFonts w:ascii="Times New Roman" w:cs="Times New Roman"/>
          <w:b w:val="0"/>
          <w:color w:val="000000" w:themeColor="text1"/>
          <w:spacing w:val="0"/>
          <w:sz w:val="16"/>
          <w:szCs w:val="16"/>
        </w:rPr>
        <w:t xml:space="preserve"> и</w:t>
      </w:r>
      <w:r w:rsidRPr="00925F26">
        <w:rPr>
          <w:rFonts w:ascii="Times New Roman" w:cs="Times New Roman"/>
          <w:color w:val="000000" w:themeColor="text1"/>
          <w:spacing w:val="0"/>
        </w:rPr>
        <w:t xml:space="preserve"> 15-й</w:t>
      </w:r>
      <w:r w:rsidRPr="00925F26">
        <w:rPr>
          <w:rStyle w:val="aff9"/>
          <w:rFonts w:ascii="Times New Roman" w:cs="Times New Roman"/>
          <w:b w:val="0"/>
          <w:color w:val="000000" w:themeColor="text1"/>
          <w:spacing w:val="0"/>
          <w:sz w:val="16"/>
          <w:szCs w:val="16"/>
        </w:rPr>
        <w:t xml:space="preserve"> </w:t>
      </w:r>
      <w:proofErr w:type="gramStart"/>
      <w:r w:rsidRPr="00925F26">
        <w:rPr>
          <w:rStyle w:val="aff9"/>
          <w:rFonts w:ascii="Times New Roman" w:cs="Times New Roman"/>
          <w:b w:val="0"/>
          <w:color w:val="000000" w:themeColor="text1"/>
          <w:spacing w:val="0"/>
          <w:sz w:val="16"/>
          <w:szCs w:val="16"/>
        </w:rPr>
        <w:t>ВА(</w:t>
      </w:r>
      <w:r w:rsidRPr="00925F26">
        <w:rPr>
          <w:rFonts w:ascii="Times New Roman" w:cs="Times New Roman"/>
          <w:color w:val="000000" w:themeColor="text1"/>
          <w:spacing w:val="0"/>
        </w:rPr>
        <w:t xml:space="preserve"> 125</w:t>
      </w:r>
      <w:proofErr w:type="gramEnd"/>
      <w:r w:rsidRPr="00925F26">
        <w:rPr>
          <w:rStyle w:val="aff9"/>
          <w:rFonts w:ascii="Times New Roman" w:cs="Times New Roman"/>
          <w:b w:val="0"/>
          <w:color w:val="000000" w:themeColor="text1"/>
          <w:spacing w:val="0"/>
          <w:sz w:val="16"/>
          <w:szCs w:val="16"/>
        </w:rPr>
        <w:t xml:space="preserve"> и</w:t>
      </w:r>
      <w:r w:rsidRPr="00925F26">
        <w:rPr>
          <w:rFonts w:ascii="Times New Roman" w:cs="Times New Roman"/>
          <w:color w:val="000000" w:themeColor="text1"/>
          <w:spacing w:val="0"/>
        </w:rPr>
        <w:t xml:space="preserve"> 124</w:t>
      </w:r>
      <w:r w:rsidRPr="00925F26">
        <w:rPr>
          <w:rStyle w:val="aff9"/>
          <w:rFonts w:ascii="Times New Roman" w:cs="Times New Roman"/>
          <w:b w:val="0"/>
          <w:color w:val="000000" w:themeColor="text1"/>
          <w:spacing w:val="0"/>
          <w:sz w:val="16"/>
          <w:szCs w:val="16"/>
        </w:rPr>
        <w:t xml:space="preserve"> комплектов).</w:t>
      </w:r>
    </w:p>
    <w:p w14:paraId="31F6AC84" w14:textId="77777777" w:rsidR="0032140A" w:rsidRPr="00925F26" w:rsidRDefault="0032140A" w:rsidP="00925F26">
      <w:pPr>
        <w:pStyle w:val="28"/>
        <w:shd w:val="clear" w:color="auto" w:fill="auto"/>
        <w:spacing w:before="0" w:line="240" w:lineRule="auto"/>
        <w:jc w:val="both"/>
        <w:rPr>
          <w:rFonts w:ascii="Times New Roman" w:hAnsi="Times New Roman" w:cs="Times New Roman"/>
          <w:color w:val="000000" w:themeColor="text1"/>
          <w:sz w:val="16"/>
          <w:szCs w:val="16"/>
        </w:rPr>
      </w:pPr>
      <w:r w:rsidRPr="00925F26">
        <w:rPr>
          <w:rStyle w:val="2f4"/>
          <w:rFonts w:ascii="Times New Roman" w:hAnsi="Times New Roman" w:cs="Times New Roman"/>
          <w:b w:val="0"/>
          <w:color w:val="000000" w:themeColor="text1"/>
          <w:sz w:val="16"/>
          <w:szCs w:val="16"/>
        </w:rPr>
        <w:t>По данным</w:t>
      </w:r>
      <w:r w:rsidRPr="00925F26">
        <w:rPr>
          <w:rFonts w:ascii="Times New Roman" w:hAnsi="Times New Roman" w:cs="Times New Roman"/>
          <w:color w:val="000000" w:themeColor="text1"/>
          <w:sz w:val="16"/>
          <w:szCs w:val="16"/>
        </w:rPr>
        <w:t xml:space="preserve"> УЗСиМ ГУЗ ВВС, к 27 марта г. на заводе №30</w:t>
      </w:r>
      <w:r w:rsidRPr="00925F26">
        <w:rPr>
          <w:rStyle w:val="aff9"/>
          <w:rFonts w:ascii="Times New Roman" w:hAnsi="Times New Roman" w:cs="Times New Roman"/>
          <w:b w:val="0"/>
          <w:color w:val="000000" w:themeColor="text1"/>
          <w:spacing w:val="0"/>
          <w:sz w:val="16"/>
          <w:szCs w:val="16"/>
        </w:rPr>
        <w:t xml:space="preserve"> имелось</w:t>
      </w:r>
      <w:r w:rsidRPr="00925F26">
        <w:rPr>
          <w:rStyle w:val="0pt1"/>
          <w:rFonts w:eastAsia="Calibri"/>
          <w:b w:val="0"/>
          <w:color w:val="000000" w:themeColor="text1"/>
          <w:spacing w:val="0"/>
          <w:sz w:val="16"/>
          <w:szCs w:val="16"/>
        </w:rPr>
        <w:t xml:space="preserve"> 800 готовых</w:t>
      </w:r>
      <w:r w:rsidRPr="00925F26">
        <w:rPr>
          <w:rStyle w:val="aff9"/>
          <w:rFonts w:ascii="Times New Roman" w:hAnsi="Times New Roman" w:cs="Times New Roman"/>
          <w:b w:val="0"/>
          <w:color w:val="000000" w:themeColor="text1"/>
          <w:spacing w:val="0"/>
          <w:sz w:val="16"/>
          <w:szCs w:val="16"/>
        </w:rPr>
        <w:t xml:space="preserve"> к </w:t>
      </w:r>
      <w:r w:rsidRPr="00925F26">
        <w:rPr>
          <w:rFonts w:ascii="Times New Roman" w:hAnsi="Times New Roman" w:cs="Times New Roman"/>
          <w:color w:val="000000" w:themeColor="text1"/>
          <w:sz w:val="16"/>
          <w:szCs w:val="16"/>
        </w:rPr>
        <w:t>отправке комплектов</w:t>
      </w:r>
      <w:r w:rsidRPr="00925F26">
        <w:rPr>
          <w:rStyle w:val="aff9"/>
          <w:rFonts w:ascii="Times New Roman" w:hAnsi="Times New Roman" w:cs="Times New Roman"/>
          <w:b w:val="0"/>
          <w:color w:val="000000" w:themeColor="text1"/>
          <w:spacing w:val="0"/>
          <w:sz w:val="16"/>
          <w:szCs w:val="16"/>
        </w:rPr>
        <w:t xml:space="preserve"> дополнительной</w:t>
      </w:r>
      <w:r w:rsidRPr="00925F26">
        <w:rPr>
          <w:rStyle w:val="0pt1"/>
          <w:rFonts w:eastAsia="Calibri"/>
          <w:b w:val="0"/>
          <w:color w:val="000000" w:themeColor="text1"/>
          <w:spacing w:val="0"/>
          <w:sz w:val="16"/>
          <w:szCs w:val="16"/>
        </w:rPr>
        <w:t xml:space="preserve"> брони,</w:t>
      </w:r>
      <w:r w:rsidRPr="00925F26">
        <w:rPr>
          <w:rFonts w:ascii="Times New Roman" w:hAnsi="Times New Roman" w:cs="Times New Roman"/>
          <w:color w:val="000000" w:themeColor="text1"/>
          <w:sz w:val="16"/>
          <w:szCs w:val="16"/>
        </w:rPr>
        <w:t xml:space="preserve"> а на заводе № 1 - 350</w:t>
      </w:r>
      <w:r w:rsidRPr="00925F26">
        <w:rPr>
          <w:rStyle w:val="aff9"/>
          <w:rFonts w:ascii="Times New Roman" w:hAnsi="Times New Roman" w:cs="Times New Roman"/>
          <w:b w:val="0"/>
          <w:color w:val="000000" w:themeColor="text1"/>
          <w:spacing w:val="0"/>
          <w:sz w:val="16"/>
          <w:szCs w:val="16"/>
        </w:rPr>
        <w:t xml:space="preserve"> комплектов.</w:t>
      </w:r>
      <w:r w:rsidRPr="00925F26">
        <w:rPr>
          <w:rStyle w:val="0pt1"/>
          <w:rFonts w:eastAsia="Calibri"/>
          <w:b w:val="0"/>
          <w:color w:val="000000" w:themeColor="text1"/>
          <w:spacing w:val="0"/>
          <w:sz w:val="16"/>
          <w:szCs w:val="16"/>
        </w:rPr>
        <w:t xml:space="preserve"> До 15 апре</w:t>
      </w:r>
      <w:r w:rsidRPr="00925F26">
        <w:rPr>
          <w:rStyle w:val="0pt1"/>
          <w:rFonts w:eastAsia="Calibri"/>
          <w:b w:val="0"/>
          <w:color w:val="000000" w:themeColor="text1"/>
          <w:spacing w:val="0"/>
          <w:sz w:val="16"/>
          <w:szCs w:val="16"/>
        </w:rPr>
        <w:softHyphen/>
      </w:r>
      <w:r w:rsidRPr="00925F26">
        <w:rPr>
          <w:rFonts w:ascii="Times New Roman" w:hAnsi="Times New Roman" w:cs="Times New Roman"/>
          <w:color w:val="000000" w:themeColor="text1"/>
          <w:sz w:val="16"/>
          <w:szCs w:val="16"/>
        </w:rPr>
        <w:t>ля предполагалось полностью</w:t>
      </w:r>
      <w:r w:rsidRPr="00925F26">
        <w:rPr>
          <w:rStyle w:val="0pt1"/>
          <w:rFonts w:eastAsia="Calibri"/>
          <w:b w:val="0"/>
          <w:color w:val="000000" w:themeColor="text1"/>
          <w:spacing w:val="0"/>
          <w:sz w:val="16"/>
          <w:szCs w:val="16"/>
        </w:rPr>
        <w:t xml:space="preserve"> укомплектовать </w:t>
      </w:r>
      <w:r w:rsidRPr="00925F26">
        <w:rPr>
          <w:rStyle w:val="aff6"/>
          <w:rFonts w:ascii="Times New Roman" w:hAnsi="Times New Roman" w:cs="Times New Roman"/>
          <w:i w:val="0"/>
          <w:color w:val="000000" w:themeColor="text1"/>
        </w:rPr>
        <w:t>«арматурой и нормалями»</w:t>
      </w:r>
      <w:r w:rsidRPr="00925F26">
        <w:rPr>
          <w:rFonts w:ascii="Times New Roman" w:hAnsi="Times New Roman" w:cs="Times New Roman"/>
          <w:color w:val="000000" w:themeColor="text1"/>
          <w:sz w:val="16"/>
          <w:szCs w:val="16"/>
        </w:rPr>
        <w:t xml:space="preserve"> еще 500</w:t>
      </w:r>
      <w:r w:rsidRPr="00925F26">
        <w:rPr>
          <w:rStyle w:val="aff9"/>
          <w:rFonts w:ascii="Times New Roman" w:hAnsi="Times New Roman" w:cs="Times New Roman"/>
          <w:b w:val="0"/>
          <w:color w:val="000000" w:themeColor="text1"/>
          <w:spacing w:val="0"/>
          <w:sz w:val="16"/>
          <w:szCs w:val="16"/>
        </w:rPr>
        <w:t xml:space="preserve"> и</w:t>
      </w:r>
      <w:r w:rsidRPr="00925F26">
        <w:rPr>
          <w:rFonts w:ascii="Times New Roman" w:hAnsi="Times New Roman" w:cs="Times New Roman"/>
          <w:color w:val="000000" w:themeColor="text1"/>
          <w:sz w:val="16"/>
          <w:szCs w:val="16"/>
        </w:rPr>
        <w:t xml:space="preserve"> 188</w:t>
      </w:r>
      <w:r w:rsidRPr="00925F26">
        <w:rPr>
          <w:rStyle w:val="aff9"/>
          <w:rFonts w:ascii="Times New Roman" w:hAnsi="Times New Roman" w:cs="Times New Roman"/>
          <w:b w:val="0"/>
          <w:color w:val="000000" w:themeColor="text1"/>
          <w:spacing w:val="0"/>
          <w:sz w:val="16"/>
          <w:szCs w:val="16"/>
        </w:rPr>
        <w:t xml:space="preserve"> ком</w:t>
      </w:r>
      <w:r w:rsidRPr="00925F26">
        <w:rPr>
          <w:rStyle w:val="aff9"/>
          <w:rFonts w:ascii="Times New Roman" w:hAnsi="Times New Roman" w:cs="Times New Roman"/>
          <w:b w:val="0"/>
          <w:color w:val="000000" w:themeColor="text1"/>
          <w:spacing w:val="0"/>
          <w:sz w:val="16"/>
          <w:szCs w:val="16"/>
        </w:rPr>
        <w:softHyphen/>
      </w:r>
      <w:r w:rsidRPr="00925F26">
        <w:rPr>
          <w:rFonts w:ascii="Times New Roman" w:hAnsi="Times New Roman" w:cs="Times New Roman"/>
          <w:color w:val="000000" w:themeColor="text1"/>
          <w:sz w:val="16"/>
          <w:szCs w:val="16"/>
        </w:rPr>
        <w:t>плектов соответственно (17478).</w:t>
      </w:r>
    </w:p>
    <w:p w14:paraId="5F452116" w14:textId="77777777" w:rsidR="0032140A" w:rsidRPr="00925F26" w:rsidRDefault="0032140A" w:rsidP="00925F26">
      <w:pPr>
        <w:pStyle w:val="27"/>
        <w:shd w:val="clear" w:color="auto" w:fill="auto"/>
        <w:spacing w:after="0" w:line="240" w:lineRule="auto"/>
        <w:ind w:firstLine="0"/>
        <w:rPr>
          <w:rFonts w:ascii="Times New Roman" w:cs="Times New Roman"/>
          <w:color w:val="000000" w:themeColor="text1"/>
          <w:spacing w:val="0"/>
        </w:rPr>
      </w:pPr>
    </w:p>
    <w:p w14:paraId="7A1340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года В. Кузнецов писал письмо N Н-32/1362 гл. инженеру ВВС генерал-полковнику ИАС Репину.</w:t>
      </w:r>
    </w:p>
    <w:p w14:paraId="4FA703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постановления ГОКО от 22 мая 1944 года за N 5947сс о проведении летных испытаний флюгерных винтов и внедрении их в эксплуатацию для многомоторных самолетов Ил-4, Ли-2, Пе-2, Ер-2, Ту-2 завод N 25 отработал и провел в 1944 году летные испытания флюгерного винта АБ-7Е-21 на самолете Ту-2 с 2АШ-82ФН.</w:t>
      </w:r>
    </w:p>
    <w:p w14:paraId="553C31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года 8-е гл. управление НКАП предъявило ГК НИИ ВВС этот винт на государственные испытания.</w:t>
      </w:r>
    </w:p>
    <w:p w14:paraId="014632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ГК НИИ ВВС отказался проводить летные государственные испытания флюгерного винта АВ-7Е-21 на самолете Ту-2 с 2АШ-82ФН, считая этот винт как винт обратной схемы, непригодным для эксплуатации на самолете Ту-2.</w:t>
      </w:r>
    </w:p>
    <w:p w14:paraId="7D0D87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Учитывая удовлетворительные результаты проведенных испытаний указанного винта на самолете Ту-2 в ЛИИ НКАП и постановление ГОКО обязывающее провести летные испытания флюгерных винтов на многомоторных самолетах, прошу Ваших указаний ГК НИИ ВВС о проведении летных государственных и войсковых испытаний указанного винта на самолете Ту-2.</w:t>
      </w:r>
    </w:p>
    <w:p w14:paraId="0B1C38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Вопрос о пригодности флюгерного винта АВ-7 для эксплуатации на самолетах Ту-2 решить после проведения этих испытаний (1879).</w:t>
      </w:r>
    </w:p>
    <w:p w14:paraId="549FDF95" w14:textId="77777777" w:rsidR="00665165" w:rsidRPr="00925F26" w:rsidRDefault="00665165" w:rsidP="00925F26">
      <w:pPr>
        <w:autoSpaceDE w:val="0"/>
        <w:autoSpaceDN w:val="0"/>
        <w:adjustRightInd w:val="0"/>
        <w:jc w:val="both"/>
        <w:rPr>
          <w:color w:val="000000" w:themeColor="text1"/>
          <w:sz w:val="16"/>
          <w:szCs w:val="16"/>
        </w:rPr>
      </w:pPr>
    </w:p>
    <w:p w14:paraId="14513731" w14:textId="77777777" w:rsidR="0057250B" w:rsidRPr="00925F26" w:rsidRDefault="0057250B" w:rsidP="00925F26">
      <w:pPr>
        <w:jc w:val="both"/>
        <w:rPr>
          <w:color w:val="000000" w:themeColor="text1"/>
          <w:sz w:val="16"/>
          <w:szCs w:val="16"/>
        </w:rPr>
      </w:pPr>
      <w:r w:rsidRPr="00925F26">
        <w:rPr>
          <w:color w:val="000000" w:themeColor="text1"/>
          <w:sz w:val="16"/>
          <w:szCs w:val="16"/>
        </w:rPr>
        <w:t>21 марта 1945 г. Из приказа директора завода № 16 М. М. Лукина об изготовлении и выпуске спецдвигателей РД-1</w:t>
      </w:r>
    </w:p>
    <w:p w14:paraId="0ABF0109" w14:textId="77777777" w:rsidR="0057250B" w:rsidRPr="00925F26" w:rsidRDefault="0057250B" w:rsidP="00925F26">
      <w:pPr>
        <w:jc w:val="both"/>
        <w:rPr>
          <w:color w:val="000000" w:themeColor="text1"/>
          <w:sz w:val="16"/>
          <w:szCs w:val="16"/>
        </w:rPr>
      </w:pPr>
      <w:r w:rsidRPr="00925F26">
        <w:rPr>
          <w:color w:val="000000" w:themeColor="text1"/>
          <w:sz w:val="16"/>
          <w:szCs w:val="16"/>
        </w:rPr>
        <w:t>Во исполнение приказания народного комиссара авиационной промышленности об изготовлении и выпуске серии спецдвигателей РД-1 приказываю:</w:t>
      </w:r>
    </w:p>
    <w:p w14:paraId="5C976C84" w14:textId="77777777" w:rsidR="0057250B" w:rsidRPr="00925F26" w:rsidRDefault="0057250B" w:rsidP="00925F26">
      <w:pPr>
        <w:jc w:val="both"/>
        <w:rPr>
          <w:color w:val="000000" w:themeColor="text1"/>
          <w:sz w:val="16"/>
          <w:szCs w:val="16"/>
        </w:rPr>
      </w:pPr>
      <w:r w:rsidRPr="00925F26">
        <w:rPr>
          <w:color w:val="000000" w:themeColor="text1"/>
          <w:sz w:val="16"/>
          <w:szCs w:val="16"/>
        </w:rPr>
        <w:t>I. Утвердить следующий график выпуска двигателей РД-1:</w:t>
      </w:r>
    </w:p>
    <w:p w14:paraId="382AF146" w14:textId="77777777" w:rsidR="0057250B" w:rsidRPr="00925F26" w:rsidRDefault="0057250B" w:rsidP="00925F26">
      <w:pPr>
        <w:jc w:val="both"/>
        <w:rPr>
          <w:color w:val="000000" w:themeColor="text1"/>
          <w:sz w:val="16"/>
          <w:szCs w:val="16"/>
        </w:rPr>
      </w:pPr>
      <w:r w:rsidRPr="00925F26">
        <w:rPr>
          <w:color w:val="000000" w:themeColor="text1"/>
          <w:sz w:val="16"/>
          <w:szCs w:val="16"/>
        </w:rPr>
        <w:t>Апрель – 15 двигателей</w:t>
      </w:r>
    </w:p>
    <w:p w14:paraId="6276E4CB" w14:textId="77777777" w:rsidR="0057250B" w:rsidRPr="00925F26" w:rsidRDefault="0057250B" w:rsidP="00925F26">
      <w:pPr>
        <w:jc w:val="both"/>
        <w:rPr>
          <w:color w:val="000000" w:themeColor="text1"/>
          <w:sz w:val="16"/>
          <w:szCs w:val="16"/>
        </w:rPr>
      </w:pPr>
      <w:r w:rsidRPr="00925F26">
        <w:rPr>
          <w:color w:val="000000" w:themeColor="text1"/>
          <w:sz w:val="16"/>
          <w:szCs w:val="16"/>
        </w:rPr>
        <w:t>Май – 40 двигателей</w:t>
      </w:r>
    </w:p>
    <w:p w14:paraId="06341BD6" w14:textId="77777777" w:rsidR="0057250B" w:rsidRPr="00925F26" w:rsidRDefault="0057250B" w:rsidP="00925F26">
      <w:pPr>
        <w:jc w:val="both"/>
        <w:rPr>
          <w:color w:val="000000" w:themeColor="text1"/>
          <w:sz w:val="16"/>
          <w:szCs w:val="16"/>
        </w:rPr>
      </w:pPr>
      <w:r w:rsidRPr="00925F26">
        <w:rPr>
          <w:color w:val="000000" w:themeColor="text1"/>
          <w:sz w:val="16"/>
          <w:szCs w:val="16"/>
        </w:rPr>
        <w:t>Июнь – 65 двигателей</w:t>
      </w:r>
    </w:p>
    <w:p w14:paraId="181C9D49" w14:textId="77777777" w:rsidR="0057250B" w:rsidRPr="00925F26" w:rsidRDefault="0057250B" w:rsidP="00925F26">
      <w:pPr>
        <w:jc w:val="both"/>
        <w:rPr>
          <w:color w:val="000000" w:themeColor="text1"/>
          <w:sz w:val="16"/>
          <w:szCs w:val="16"/>
        </w:rPr>
      </w:pPr>
      <w:r w:rsidRPr="00925F26">
        <w:rPr>
          <w:color w:val="000000" w:themeColor="text1"/>
          <w:sz w:val="16"/>
          <w:szCs w:val="16"/>
        </w:rPr>
        <w:t>Июль – 80 двигателей</w:t>
      </w:r>
    </w:p>
    <w:p w14:paraId="1CCACA5F" w14:textId="77777777" w:rsidR="0057250B" w:rsidRPr="00925F26" w:rsidRDefault="0057250B" w:rsidP="00925F26">
      <w:pPr>
        <w:jc w:val="both"/>
        <w:rPr>
          <w:color w:val="000000" w:themeColor="text1"/>
          <w:sz w:val="16"/>
          <w:szCs w:val="16"/>
        </w:rPr>
      </w:pPr>
      <w:r w:rsidRPr="00925F26">
        <w:rPr>
          <w:color w:val="000000" w:themeColor="text1"/>
          <w:sz w:val="16"/>
          <w:szCs w:val="16"/>
        </w:rPr>
        <w:t>Исходя из особенностей монтажа двигателей на самолетах Ла и Як, рамы двигателей изготовить равными партиями для выпускаемых двигателей (по 50 %).</w:t>
      </w:r>
    </w:p>
    <w:p w14:paraId="2AC2519D" w14:textId="77777777" w:rsidR="0057250B" w:rsidRPr="00925F26" w:rsidRDefault="0057250B" w:rsidP="00925F26">
      <w:pPr>
        <w:jc w:val="both"/>
        <w:rPr>
          <w:color w:val="000000" w:themeColor="text1"/>
          <w:sz w:val="16"/>
          <w:szCs w:val="16"/>
        </w:rPr>
      </w:pPr>
      <w:r w:rsidRPr="00925F26">
        <w:rPr>
          <w:color w:val="000000" w:themeColor="text1"/>
          <w:sz w:val="16"/>
          <w:szCs w:val="16"/>
        </w:rPr>
        <w:t>II. Впредь до особых указаний изготовить и обеспечить поставку заводу № 115 для самолетов Як моторов ВК-105ПФ с приводом Р-60 в количестве 30 штук в следующие сроки:</w:t>
      </w:r>
    </w:p>
    <w:p w14:paraId="7BC1C93A" w14:textId="77777777" w:rsidR="0057250B" w:rsidRPr="00925F26" w:rsidRDefault="0057250B" w:rsidP="00925F26">
      <w:pPr>
        <w:jc w:val="both"/>
        <w:rPr>
          <w:color w:val="000000" w:themeColor="text1"/>
          <w:sz w:val="16"/>
          <w:szCs w:val="16"/>
        </w:rPr>
      </w:pPr>
      <w:r w:rsidRPr="00925F26">
        <w:rPr>
          <w:color w:val="000000" w:themeColor="text1"/>
          <w:sz w:val="16"/>
          <w:szCs w:val="16"/>
        </w:rPr>
        <w:t>Апрель – 5 штук</w:t>
      </w:r>
    </w:p>
    <w:p w14:paraId="5451A410" w14:textId="77777777" w:rsidR="0057250B" w:rsidRPr="00925F26" w:rsidRDefault="0057250B" w:rsidP="00925F26">
      <w:pPr>
        <w:jc w:val="both"/>
        <w:rPr>
          <w:color w:val="000000" w:themeColor="text1"/>
          <w:sz w:val="16"/>
          <w:szCs w:val="16"/>
        </w:rPr>
      </w:pPr>
      <w:r w:rsidRPr="00925F26">
        <w:rPr>
          <w:color w:val="000000" w:themeColor="text1"/>
          <w:sz w:val="16"/>
          <w:szCs w:val="16"/>
        </w:rPr>
        <w:t>Май – 25 штук</w:t>
      </w:r>
    </w:p>
    <w:p w14:paraId="5B0FEC87" w14:textId="77777777" w:rsidR="0057250B" w:rsidRPr="00925F26" w:rsidRDefault="0057250B" w:rsidP="00925F26">
      <w:pPr>
        <w:jc w:val="both"/>
        <w:rPr>
          <w:color w:val="000000" w:themeColor="text1"/>
          <w:sz w:val="16"/>
          <w:szCs w:val="16"/>
        </w:rPr>
      </w:pPr>
      <w:r w:rsidRPr="00925F26">
        <w:rPr>
          <w:color w:val="000000" w:themeColor="text1"/>
          <w:sz w:val="16"/>
          <w:szCs w:val="16"/>
        </w:rPr>
        <w:t>III. В целях обеспечения выполнения утвержденных графиков в п. 1 и в п. 2 настоящего приказа:</w:t>
      </w:r>
    </w:p>
    <w:p w14:paraId="0CF1D468" w14:textId="77777777" w:rsidR="0057250B" w:rsidRPr="00925F26" w:rsidRDefault="0057250B" w:rsidP="00925F26">
      <w:pPr>
        <w:jc w:val="both"/>
        <w:rPr>
          <w:color w:val="000000" w:themeColor="text1"/>
          <w:sz w:val="16"/>
          <w:szCs w:val="16"/>
        </w:rPr>
      </w:pPr>
      <w:r w:rsidRPr="00925F26">
        <w:rPr>
          <w:color w:val="000000" w:themeColor="text1"/>
          <w:sz w:val="16"/>
          <w:szCs w:val="16"/>
        </w:rPr>
        <w:t>1. Главному конструктору ОКБ-СД тов. Глушко к 21 марта с. г. выдать в производство всю техническую документацию на изготовление двигателя РД-1 (за исключением системы зажигания, техдокументацию по которой выдать не позднее 10 апреля с. г.). […]</w:t>
      </w:r>
      <w:hyperlink r:id="rId75" w:anchor="_ftn1" w:history="1">
        <w:r w:rsidRPr="00925F26">
          <w:rPr>
            <w:color w:val="000000" w:themeColor="text1"/>
            <w:sz w:val="16"/>
            <w:szCs w:val="16"/>
          </w:rPr>
          <w:t>[1]</w:t>
        </w:r>
      </w:hyperlink>
    </w:p>
    <w:p w14:paraId="346E59B2" w14:textId="77777777" w:rsidR="0057250B" w:rsidRPr="00925F26" w:rsidRDefault="0057250B" w:rsidP="00925F26">
      <w:pPr>
        <w:jc w:val="both"/>
        <w:rPr>
          <w:color w:val="000000" w:themeColor="text1"/>
          <w:sz w:val="16"/>
          <w:szCs w:val="16"/>
        </w:rPr>
      </w:pPr>
      <w:r w:rsidRPr="00925F26">
        <w:rPr>
          <w:color w:val="000000" w:themeColor="text1"/>
          <w:sz w:val="16"/>
          <w:szCs w:val="16"/>
        </w:rPr>
        <w:t>Все работы по изготовлению и выпуску деталей, узлов и агрегатов 2-й серии двигателей РД-1 должны вестись впереди всех других заказов.</w:t>
      </w:r>
    </w:p>
    <w:p w14:paraId="0873D92F" w14:textId="77777777" w:rsidR="0057250B" w:rsidRPr="00925F26" w:rsidRDefault="0057250B" w:rsidP="00925F26">
      <w:pPr>
        <w:jc w:val="both"/>
        <w:rPr>
          <w:color w:val="000000" w:themeColor="text1"/>
          <w:sz w:val="16"/>
          <w:szCs w:val="16"/>
        </w:rPr>
      </w:pPr>
      <w:r w:rsidRPr="00925F26">
        <w:rPr>
          <w:color w:val="000000" w:themeColor="text1"/>
          <w:sz w:val="16"/>
          <w:szCs w:val="16"/>
        </w:rPr>
        <w:t>Категорически запретить внесение изменений в техническую документацию, зашифрованную шифром «2-ая серия» без моего личного утверждения.</w:t>
      </w:r>
    </w:p>
    <w:p w14:paraId="5F5F998B" w14:textId="77777777" w:rsidR="0057250B" w:rsidRPr="00925F26" w:rsidRDefault="0057250B" w:rsidP="00925F26">
      <w:pPr>
        <w:jc w:val="both"/>
        <w:rPr>
          <w:color w:val="000000" w:themeColor="text1"/>
          <w:sz w:val="16"/>
          <w:szCs w:val="16"/>
        </w:rPr>
      </w:pPr>
      <w:r w:rsidRPr="00925F26">
        <w:rPr>
          <w:color w:val="000000" w:themeColor="text1"/>
          <w:sz w:val="16"/>
          <w:szCs w:val="16"/>
        </w:rPr>
        <w:t>Предупредить всех исполнителей настоящего приказа о строжайшей их ответственности за выполнение настоящего приказа по выполнению важнейшего военного мероприятия.</w:t>
      </w:r>
    </w:p>
    <w:p w14:paraId="71924F8C" w14:textId="77777777" w:rsidR="0057250B" w:rsidRPr="00925F26" w:rsidRDefault="0057250B" w:rsidP="00925F26">
      <w:pPr>
        <w:jc w:val="both"/>
        <w:rPr>
          <w:color w:val="000000" w:themeColor="text1"/>
          <w:sz w:val="16"/>
          <w:szCs w:val="16"/>
        </w:rPr>
      </w:pPr>
      <w:r w:rsidRPr="00925F26">
        <w:rPr>
          <w:color w:val="000000" w:themeColor="text1"/>
          <w:sz w:val="16"/>
          <w:szCs w:val="16"/>
        </w:rPr>
        <w:t>Начальнику производства тов. Чевела и тов. Лозину выполнение настоящего приказа взять под особый контроль и каждого 1-5-10-15-20-25-30 числа месяца подробно информировать меня о ходе его исполнения.</w:t>
      </w:r>
    </w:p>
    <w:p w14:paraId="150296D6" w14:textId="77777777" w:rsidR="0057250B" w:rsidRPr="00925F26" w:rsidRDefault="0057250B" w:rsidP="00925F26">
      <w:pPr>
        <w:jc w:val="both"/>
        <w:rPr>
          <w:color w:val="000000" w:themeColor="text1"/>
          <w:sz w:val="16"/>
          <w:szCs w:val="16"/>
        </w:rPr>
      </w:pPr>
      <w:r w:rsidRPr="00925F26">
        <w:rPr>
          <w:color w:val="000000" w:themeColor="text1"/>
          <w:sz w:val="16"/>
          <w:szCs w:val="16"/>
        </w:rPr>
        <w:t>Директор завода № 16 М. Лукин</w:t>
      </w:r>
    </w:p>
    <w:p w14:paraId="1F6155A7" w14:textId="77777777" w:rsidR="0057250B" w:rsidRPr="00925F26" w:rsidRDefault="0057250B" w:rsidP="00925F26">
      <w:pPr>
        <w:jc w:val="both"/>
        <w:rPr>
          <w:color w:val="000000" w:themeColor="text1"/>
          <w:sz w:val="16"/>
          <w:szCs w:val="16"/>
        </w:rPr>
      </w:pPr>
      <w:r w:rsidRPr="00925F26">
        <w:rPr>
          <w:color w:val="000000" w:themeColor="text1"/>
          <w:sz w:val="16"/>
          <w:szCs w:val="16"/>
        </w:rPr>
        <w:t>НА РТ. Ф. Р-5940. Оп. 1. Д. 179. Л. 13, 17. Подлинник.</w:t>
      </w:r>
    </w:p>
    <w:p w14:paraId="741FAD33" w14:textId="77777777" w:rsidR="0057250B" w:rsidRPr="00925F26" w:rsidRDefault="0057250B" w:rsidP="00925F26">
      <w:pPr>
        <w:jc w:val="both"/>
        <w:rPr>
          <w:color w:val="000000" w:themeColor="text1"/>
          <w:sz w:val="16"/>
          <w:szCs w:val="16"/>
        </w:rPr>
      </w:pPr>
    </w:p>
    <w:p w14:paraId="5001361D" w14:textId="77777777" w:rsidR="0019755A" w:rsidRPr="00925F26" w:rsidRDefault="0019755A" w:rsidP="00925F26">
      <w:pPr>
        <w:jc w:val="both"/>
        <w:rPr>
          <w:color w:val="000000" w:themeColor="text1"/>
          <w:sz w:val="16"/>
          <w:szCs w:val="16"/>
        </w:rPr>
      </w:pPr>
      <w:r w:rsidRPr="00925F26">
        <w:rPr>
          <w:color w:val="000000" w:themeColor="text1"/>
          <w:sz w:val="16"/>
          <w:szCs w:val="16"/>
        </w:rPr>
        <w:t>21 марта 1945 г. Из приказа директора завода № 16 М. М. Лукина об изготовлении и выпуске спецдвигателей РД-1</w:t>
      </w:r>
    </w:p>
    <w:p w14:paraId="5985D192" w14:textId="77777777" w:rsidR="0019755A" w:rsidRPr="00925F26" w:rsidRDefault="0019755A" w:rsidP="00925F26">
      <w:pPr>
        <w:jc w:val="both"/>
        <w:rPr>
          <w:color w:val="000000" w:themeColor="text1"/>
          <w:sz w:val="16"/>
          <w:szCs w:val="16"/>
        </w:rPr>
      </w:pPr>
      <w:r w:rsidRPr="00925F26">
        <w:rPr>
          <w:color w:val="000000" w:themeColor="text1"/>
          <w:sz w:val="16"/>
          <w:szCs w:val="16"/>
        </w:rPr>
        <w:t>Во исполнение приказания народного комиссара авиационной промышленности об изготовлении и выпуске серий спецдвигателей РД-1 приказываю:</w:t>
      </w:r>
    </w:p>
    <w:p w14:paraId="7DC5C279" w14:textId="77777777" w:rsidR="0019755A" w:rsidRPr="00925F26" w:rsidRDefault="0019755A" w:rsidP="00925F26">
      <w:pPr>
        <w:jc w:val="both"/>
        <w:rPr>
          <w:color w:val="000000" w:themeColor="text1"/>
          <w:sz w:val="16"/>
          <w:szCs w:val="16"/>
        </w:rPr>
      </w:pPr>
      <w:r w:rsidRPr="00925F26">
        <w:rPr>
          <w:color w:val="000000" w:themeColor="text1"/>
          <w:sz w:val="16"/>
          <w:szCs w:val="16"/>
        </w:rPr>
        <w:t>I. Утвердить следующий график выпуска двигателей РД-1:</w:t>
      </w:r>
    </w:p>
    <w:p w14:paraId="26C2A680" w14:textId="77777777" w:rsidR="0019755A" w:rsidRPr="00925F26" w:rsidRDefault="0019755A" w:rsidP="00925F26">
      <w:pPr>
        <w:jc w:val="both"/>
        <w:rPr>
          <w:color w:val="000000" w:themeColor="text1"/>
          <w:sz w:val="16"/>
          <w:szCs w:val="16"/>
        </w:rPr>
      </w:pPr>
      <w:r w:rsidRPr="00925F26">
        <w:rPr>
          <w:color w:val="000000" w:themeColor="text1"/>
          <w:sz w:val="16"/>
          <w:szCs w:val="16"/>
        </w:rPr>
        <w:t>Апрель — 15 двигателей</w:t>
      </w:r>
    </w:p>
    <w:p w14:paraId="147A50CC" w14:textId="77777777" w:rsidR="0019755A" w:rsidRPr="00925F26" w:rsidRDefault="0019755A" w:rsidP="00925F26">
      <w:pPr>
        <w:jc w:val="both"/>
        <w:rPr>
          <w:color w:val="000000" w:themeColor="text1"/>
          <w:sz w:val="16"/>
          <w:szCs w:val="16"/>
        </w:rPr>
      </w:pPr>
      <w:r w:rsidRPr="00925F26">
        <w:rPr>
          <w:color w:val="000000" w:themeColor="text1"/>
          <w:sz w:val="16"/>
          <w:szCs w:val="16"/>
        </w:rPr>
        <w:t>Май — 40 двигателей</w:t>
      </w:r>
    </w:p>
    <w:p w14:paraId="337A62D9" w14:textId="77777777" w:rsidR="0019755A" w:rsidRPr="00925F26" w:rsidRDefault="0019755A" w:rsidP="00925F26">
      <w:pPr>
        <w:jc w:val="both"/>
        <w:rPr>
          <w:color w:val="000000" w:themeColor="text1"/>
          <w:sz w:val="16"/>
          <w:szCs w:val="16"/>
        </w:rPr>
      </w:pPr>
      <w:r w:rsidRPr="00925F26">
        <w:rPr>
          <w:color w:val="000000" w:themeColor="text1"/>
          <w:sz w:val="16"/>
          <w:szCs w:val="16"/>
        </w:rPr>
        <w:t>Июнь — 65 двигателей</w:t>
      </w:r>
    </w:p>
    <w:p w14:paraId="792EF645" w14:textId="77777777" w:rsidR="0019755A" w:rsidRPr="00925F26" w:rsidRDefault="0019755A" w:rsidP="00925F26">
      <w:pPr>
        <w:jc w:val="both"/>
        <w:rPr>
          <w:color w:val="000000" w:themeColor="text1"/>
          <w:sz w:val="16"/>
          <w:szCs w:val="16"/>
        </w:rPr>
      </w:pPr>
      <w:r w:rsidRPr="00925F26">
        <w:rPr>
          <w:color w:val="000000" w:themeColor="text1"/>
          <w:sz w:val="16"/>
          <w:szCs w:val="16"/>
        </w:rPr>
        <w:t>Июль — 80 двигателей</w:t>
      </w:r>
    </w:p>
    <w:p w14:paraId="19AAB44C" w14:textId="77777777" w:rsidR="0019755A" w:rsidRPr="00925F26" w:rsidRDefault="0019755A" w:rsidP="00925F26">
      <w:pPr>
        <w:jc w:val="both"/>
        <w:rPr>
          <w:color w:val="000000" w:themeColor="text1"/>
          <w:sz w:val="16"/>
          <w:szCs w:val="16"/>
        </w:rPr>
      </w:pPr>
      <w:r w:rsidRPr="00925F26">
        <w:rPr>
          <w:color w:val="000000" w:themeColor="text1"/>
          <w:sz w:val="16"/>
          <w:szCs w:val="16"/>
        </w:rPr>
        <w:t>Исходя из особенностей монтажа двигателей на самолетах Ла и Як, рамы двигателей изготовить равными партиями для выпускаемых двигателей (по 50 %).</w:t>
      </w:r>
    </w:p>
    <w:p w14:paraId="44D38B92" w14:textId="77777777" w:rsidR="0019755A" w:rsidRPr="00925F26" w:rsidRDefault="0019755A" w:rsidP="00925F26">
      <w:pPr>
        <w:jc w:val="both"/>
        <w:rPr>
          <w:color w:val="000000" w:themeColor="text1"/>
          <w:sz w:val="16"/>
          <w:szCs w:val="16"/>
        </w:rPr>
      </w:pPr>
      <w:r w:rsidRPr="00925F26">
        <w:rPr>
          <w:color w:val="000000" w:themeColor="text1"/>
          <w:sz w:val="16"/>
          <w:szCs w:val="16"/>
        </w:rPr>
        <w:t>II. Впредь до особых указаний изготовить и обеспечить поставку заводу № 115 для самолетов Як моторов ВК-105ПФ с приводом Р— 60 в количестве 30 штук в следующие сроки:</w:t>
      </w:r>
    </w:p>
    <w:p w14:paraId="029E3037" w14:textId="77777777" w:rsidR="0019755A" w:rsidRPr="00925F26" w:rsidRDefault="0019755A" w:rsidP="00925F26">
      <w:pPr>
        <w:jc w:val="both"/>
        <w:rPr>
          <w:color w:val="000000" w:themeColor="text1"/>
          <w:sz w:val="16"/>
          <w:szCs w:val="16"/>
        </w:rPr>
      </w:pPr>
      <w:r w:rsidRPr="00925F26">
        <w:rPr>
          <w:color w:val="000000" w:themeColor="text1"/>
          <w:sz w:val="16"/>
          <w:szCs w:val="16"/>
        </w:rPr>
        <w:t>Апрель — 5 штук</w:t>
      </w:r>
      <w:r w:rsidRPr="00925F26">
        <w:rPr>
          <w:color w:val="000000" w:themeColor="text1"/>
          <w:sz w:val="16"/>
          <w:szCs w:val="16"/>
        </w:rPr>
        <w:tab/>
        <w:t>J</w:t>
      </w:r>
    </w:p>
    <w:p w14:paraId="09AC6F19" w14:textId="77777777" w:rsidR="0019755A" w:rsidRPr="00925F26" w:rsidRDefault="0019755A" w:rsidP="00925F26">
      <w:pPr>
        <w:jc w:val="both"/>
        <w:rPr>
          <w:color w:val="000000" w:themeColor="text1"/>
          <w:sz w:val="16"/>
          <w:szCs w:val="16"/>
        </w:rPr>
      </w:pPr>
      <w:r w:rsidRPr="00925F26">
        <w:rPr>
          <w:color w:val="000000" w:themeColor="text1"/>
          <w:sz w:val="16"/>
          <w:szCs w:val="16"/>
        </w:rPr>
        <w:t>Май — 25 штук</w:t>
      </w:r>
      <w:r w:rsidRPr="00925F26">
        <w:rPr>
          <w:color w:val="000000" w:themeColor="text1"/>
          <w:sz w:val="16"/>
          <w:szCs w:val="16"/>
        </w:rPr>
        <w:tab/>
        <w:t>1</w:t>
      </w:r>
    </w:p>
    <w:p w14:paraId="372EBFA4" w14:textId="77777777" w:rsidR="0019755A" w:rsidRPr="00925F26" w:rsidRDefault="0019755A" w:rsidP="00925F26">
      <w:pPr>
        <w:jc w:val="both"/>
        <w:rPr>
          <w:color w:val="000000" w:themeColor="text1"/>
          <w:sz w:val="16"/>
          <w:szCs w:val="16"/>
        </w:rPr>
      </w:pPr>
      <w:r w:rsidRPr="00925F26">
        <w:rPr>
          <w:color w:val="000000" w:themeColor="text1"/>
          <w:sz w:val="16"/>
          <w:szCs w:val="16"/>
        </w:rPr>
        <w:t>III. В целях обеспечения выполнения утвержденных графиков в п. 1 и в п. 2 настоящего приказа:</w:t>
      </w:r>
    </w:p>
    <w:p w14:paraId="177AD1D6" w14:textId="77777777" w:rsidR="0019755A" w:rsidRPr="00925F26" w:rsidRDefault="0019755A" w:rsidP="00925F26">
      <w:pPr>
        <w:jc w:val="both"/>
        <w:rPr>
          <w:color w:val="000000" w:themeColor="text1"/>
          <w:sz w:val="16"/>
          <w:szCs w:val="16"/>
        </w:rPr>
      </w:pPr>
      <w:r w:rsidRPr="00925F26">
        <w:rPr>
          <w:color w:val="000000" w:themeColor="text1"/>
          <w:sz w:val="16"/>
          <w:szCs w:val="16"/>
        </w:rPr>
        <w:t>1. Главному конструктору ОКБ-СД тов. Глушко к 21 марта с. г. выдать в производство всю техническую документацию на изготовление двигателя РД-1 (за исключением системы зажигания, техдокументацию по которой выдать не позднее 10 апреля с. г.[...]</w:t>
      </w:r>
    </w:p>
    <w:p w14:paraId="5DD0AC13" w14:textId="77777777" w:rsidR="0019755A" w:rsidRPr="00925F26" w:rsidRDefault="0019755A" w:rsidP="00925F26">
      <w:pPr>
        <w:jc w:val="both"/>
        <w:rPr>
          <w:color w:val="000000" w:themeColor="text1"/>
          <w:sz w:val="16"/>
          <w:szCs w:val="16"/>
        </w:rPr>
      </w:pPr>
      <w:r w:rsidRPr="00925F26">
        <w:rPr>
          <w:color w:val="000000" w:themeColor="text1"/>
          <w:sz w:val="16"/>
          <w:szCs w:val="16"/>
        </w:rPr>
        <w:t>Все работы по изготовлению и выпуску деталей, узлов и агрегатов 2-й серии двигателей РД-1 должны вестись впереди всех других заказов.</w:t>
      </w:r>
    </w:p>
    <w:p w14:paraId="29662A9F" w14:textId="77777777" w:rsidR="0019755A" w:rsidRPr="00925F26" w:rsidRDefault="0019755A" w:rsidP="00925F26">
      <w:pPr>
        <w:jc w:val="both"/>
        <w:rPr>
          <w:color w:val="000000" w:themeColor="text1"/>
          <w:sz w:val="16"/>
          <w:szCs w:val="16"/>
        </w:rPr>
      </w:pPr>
      <w:r w:rsidRPr="00925F26">
        <w:rPr>
          <w:color w:val="000000" w:themeColor="text1"/>
          <w:sz w:val="16"/>
          <w:szCs w:val="16"/>
        </w:rPr>
        <w:t>Категорически запретить внесение изменений в техническую документацию, зашифрованную шифром «2-ая серия» без моего личного утверждения.</w:t>
      </w:r>
    </w:p>
    <w:p w14:paraId="4F7DE7CF" w14:textId="77777777" w:rsidR="0019755A" w:rsidRPr="00925F26" w:rsidRDefault="0019755A" w:rsidP="00925F26">
      <w:pPr>
        <w:jc w:val="both"/>
        <w:rPr>
          <w:color w:val="000000" w:themeColor="text1"/>
          <w:sz w:val="16"/>
          <w:szCs w:val="16"/>
        </w:rPr>
      </w:pPr>
      <w:r w:rsidRPr="00925F26">
        <w:rPr>
          <w:color w:val="000000" w:themeColor="text1"/>
          <w:sz w:val="16"/>
          <w:szCs w:val="16"/>
        </w:rPr>
        <w:t>Предупредить всех исполнителей настоящего приказа о строжайшей их ответственности за выполнение настоящего приказа по выполнению важнейшего военного мероприятия.</w:t>
      </w:r>
    </w:p>
    <w:p w14:paraId="2C32C612" w14:textId="77777777" w:rsidR="0019755A" w:rsidRPr="00925F26" w:rsidRDefault="0019755A" w:rsidP="00925F26">
      <w:pPr>
        <w:jc w:val="both"/>
        <w:rPr>
          <w:color w:val="000000" w:themeColor="text1"/>
          <w:sz w:val="16"/>
          <w:szCs w:val="16"/>
        </w:rPr>
      </w:pPr>
      <w:r w:rsidRPr="00925F26">
        <w:rPr>
          <w:color w:val="000000" w:themeColor="text1"/>
          <w:sz w:val="16"/>
          <w:szCs w:val="16"/>
        </w:rPr>
        <w:t>Начальнику производства тов. Чевела и тов. Лозину выполнение настоящего приказа взять под особый контроль и каждого, 1-5-10-15-20-25-30 числа месяца подробно информировать меня о ходе его исполнения.</w:t>
      </w:r>
      <w:r w:rsidRPr="00925F26">
        <w:rPr>
          <w:color w:val="000000" w:themeColor="text1"/>
          <w:sz w:val="16"/>
          <w:szCs w:val="16"/>
        </w:rPr>
        <w:tab/>
        <w:t>|</w:t>
      </w:r>
    </w:p>
    <w:p w14:paraId="32E55A29" w14:textId="77777777" w:rsidR="0019755A" w:rsidRPr="00925F26" w:rsidRDefault="0019755A" w:rsidP="00925F26">
      <w:pPr>
        <w:jc w:val="both"/>
        <w:rPr>
          <w:color w:val="000000" w:themeColor="text1"/>
          <w:sz w:val="16"/>
          <w:szCs w:val="16"/>
        </w:rPr>
      </w:pPr>
      <w:r w:rsidRPr="00925F26">
        <w:rPr>
          <w:color w:val="000000" w:themeColor="text1"/>
          <w:sz w:val="16"/>
          <w:szCs w:val="16"/>
        </w:rPr>
        <w:t>Директор завода № 16</w:t>
      </w:r>
      <w:r w:rsidRPr="00925F26">
        <w:rPr>
          <w:color w:val="000000" w:themeColor="text1"/>
          <w:sz w:val="16"/>
          <w:szCs w:val="16"/>
        </w:rPr>
        <w:tab/>
        <w:t>М. Лукин</w:t>
      </w:r>
    </w:p>
    <w:p w14:paraId="23C0A486" w14:textId="77777777" w:rsidR="0019755A" w:rsidRPr="00925F26" w:rsidRDefault="0019755A" w:rsidP="00925F26">
      <w:pPr>
        <w:jc w:val="both"/>
        <w:rPr>
          <w:color w:val="000000" w:themeColor="text1"/>
          <w:sz w:val="16"/>
          <w:szCs w:val="16"/>
        </w:rPr>
      </w:pPr>
      <w:r w:rsidRPr="00925F26">
        <w:rPr>
          <w:color w:val="000000" w:themeColor="text1"/>
          <w:sz w:val="16"/>
          <w:szCs w:val="16"/>
        </w:rPr>
        <w:t>НА РТ Ф. P-5940. On. 1. Д. 179. Л. 13, 17. Подлинник (24047).</w:t>
      </w:r>
    </w:p>
    <w:p w14:paraId="3074630D" w14:textId="77777777" w:rsidR="0019755A" w:rsidRPr="00925F26" w:rsidRDefault="0019755A" w:rsidP="00925F26">
      <w:pPr>
        <w:jc w:val="both"/>
        <w:rPr>
          <w:color w:val="000000" w:themeColor="text1"/>
          <w:sz w:val="16"/>
          <w:szCs w:val="16"/>
        </w:rPr>
      </w:pPr>
    </w:p>
    <w:p w14:paraId="7E446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ГОКО N 7895с о демонтаже и вывозу оборудования с самолетно-агрегатного завода в г. Торн на завод 458 в Киеве (1874,11).</w:t>
      </w:r>
    </w:p>
    <w:p w14:paraId="22145DA7" w14:textId="77777777" w:rsidR="00665165" w:rsidRPr="00925F26" w:rsidRDefault="00665165" w:rsidP="00925F26">
      <w:pPr>
        <w:autoSpaceDE w:val="0"/>
        <w:autoSpaceDN w:val="0"/>
        <w:adjustRightInd w:val="0"/>
        <w:jc w:val="both"/>
        <w:rPr>
          <w:color w:val="000000" w:themeColor="text1"/>
          <w:sz w:val="16"/>
          <w:szCs w:val="16"/>
        </w:rPr>
      </w:pPr>
    </w:p>
    <w:p w14:paraId="02598C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г. вышло Постановление ГКО № 7895 «О вывозе оборудования самолетно-агрегатного завода в г. Торн на завод № 485 Наркомавиапрома в г. Киев» (Д. 463. Л. 71–72).</w:t>
      </w:r>
    </w:p>
    <w:p w14:paraId="4061E498" w14:textId="77777777" w:rsidR="00665165" w:rsidRPr="00925F26" w:rsidRDefault="00665165" w:rsidP="00925F26">
      <w:pPr>
        <w:autoSpaceDE w:val="0"/>
        <w:autoSpaceDN w:val="0"/>
        <w:adjustRightInd w:val="0"/>
        <w:jc w:val="both"/>
        <w:rPr>
          <w:color w:val="000000" w:themeColor="text1"/>
          <w:sz w:val="16"/>
          <w:szCs w:val="16"/>
        </w:rPr>
      </w:pPr>
    </w:p>
    <w:p w14:paraId="068B78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вышел приказ НКАП № 109с:</w:t>
      </w:r>
    </w:p>
    <w:p w14:paraId="2FA662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исполнение постановления ГКО № 7133 от 13 декабря 1944:</w:t>
      </w:r>
    </w:p>
    <w:p w14:paraId="1D23AF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Наркома Воронину и ГИ 6 ГУ Пагину организовать во Львове з-д по ремонту с-в, присвоив ему № 797,</w:t>
      </w:r>
    </w:p>
    <w:p w14:paraId="7D0FE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Назначить дир. З-да Н.И.Горьковенко, ГИ Н.В.Нечаева</w:t>
      </w:r>
    </w:p>
    <w:p w14:paraId="659627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Шахурин (1831, 90-91).</w:t>
      </w:r>
    </w:p>
    <w:p w14:paraId="4C7BAF7F" w14:textId="77777777" w:rsidR="00665165" w:rsidRPr="00925F26" w:rsidRDefault="00665165" w:rsidP="00925F26">
      <w:pPr>
        <w:autoSpaceDE w:val="0"/>
        <w:autoSpaceDN w:val="0"/>
        <w:adjustRightInd w:val="0"/>
        <w:jc w:val="both"/>
        <w:rPr>
          <w:color w:val="000000" w:themeColor="text1"/>
          <w:sz w:val="16"/>
          <w:szCs w:val="16"/>
        </w:rPr>
      </w:pPr>
    </w:p>
    <w:p w14:paraId="40086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г. по приказу № 109с в системе 6ГУ НКАП на площадке бывшего завода НКАП был вновь организован Завод № 797 НКАП, МАП, МПСС, о/я 125, Львовский завод им. Ленина, Львовское ПО (ЛПО) им. Ленина, Львовское объединение радиотехнической аппаратуры (ЛОРТА), ГП «Львовский завод радиотехнической промышленности «ЛОРТА» /Украина 79601  г. Львов ул. Патона, 1/. Коллектив сформирован из кадров заводов № 135, № 163, № 473, № 86 НКАП.</w:t>
      </w:r>
    </w:p>
    <w:p w14:paraId="1DF29E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1.03.1946 г. завод передан из 6ГУ в 11ГУ, с 1.03.1951 г.- из 11ГУ в 1ГУ, с 1.07.1951 г.- из 1ГУ в 14ГУ. В соответствии с пост. СМ СССР № 5275-2282сс от22.12.1951 г. и приказом № 15сс от 3.01.1952 г. завод с 1.01.1952 г. передан в МПСС.</w:t>
      </w:r>
    </w:p>
    <w:p w14:paraId="7FAC4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(03.1945 г.-)- Н.И. Горьковский.</w:t>
      </w:r>
    </w:p>
    <w:p w14:paraId="0FF1E8B5"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измерительная РЛС «Кама-ИК» с ретранслятором «Карат» (1975); радиопеленгационная станция траекторных измерений «Веер» с ретранслятором «Луч»; малогабаритная бортовая телеметрическая аппаратура «Трал П1»; детали для ЗРК С-200, С-300, для АСУ «Байкал», «Нива», «Основа», «Сенеж» (2006 г.); наземные радиозапросчики (2006); радиоизмерительная аппаратура (2006);</w:t>
      </w:r>
      <w:r w:rsidRPr="00925F26">
        <w:rPr>
          <w:iCs/>
          <w:color w:val="000000" w:themeColor="text1"/>
          <w:sz w:val="16"/>
          <w:szCs w:val="16"/>
        </w:rPr>
        <w:t xml:space="preserve"> осциллографы:</w:t>
      </w:r>
      <w:r w:rsidRPr="00925F26">
        <w:rPr>
          <w:color w:val="000000" w:themeColor="text1"/>
          <w:sz w:val="16"/>
          <w:szCs w:val="16"/>
        </w:rPr>
        <w:t xml:space="preserve"> С1-13А, </w:t>
      </w:r>
      <w:r w:rsidRPr="00925F26">
        <w:rPr>
          <w:color w:val="000000" w:themeColor="text1"/>
          <w:sz w:val="16"/>
          <w:szCs w:val="16"/>
          <w:lang w:val="en-US"/>
        </w:rPr>
        <w:t>Cl</w:t>
      </w:r>
      <w:r w:rsidRPr="00925F26">
        <w:rPr>
          <w:color w:val="000000" w:themeColor="text1"/>
          <w:sz w:val="16"/>
          <w:szCs w:val="16"/>
        </w:rPr>
        <w:t>-19; СТ-21, ТДС-7, ТДС-15, ТДС-17; Х1-17, 41-5, 41-28, В7-8;</w:t>
      </w:r>
      <w:r w:rsidRPr="00925F26">
        <w:rPr>
          <w:iCs/>
          <w:color w:val="000000" w:themeColor="text1"/>
          <w:sz w:val="16"/>
          <w:szCs w:val="16"/>
        </w:rPr>
        <w:t xml:space="preserve"> усилители:</w:t>
      </w:r>
      <w:r w:rsidRPr="00925F26">
        <w:rPr>
          <w:color w:val="000000" w:themeColor="text1"/>
          <w:sz w:val="16"/>
          <w:szCs w:val="16"/>
        </w:rPr>
        <w:t xml:space="preserve"> «Юпитер-квадро» (1975-), «Амфитон А1-01С (1982-), -002С, УП-003С, 35У-101С (1990-), 75У-101С, 50УМ-104С, 150УМ-108С, 35У-202С (1990-), 50У-202С, 150У-204С, </w:t>
      </w:r>
      <w:r w:rsidRPr="00925F26">
        <w:rPr>
          <w:color w:val="000000" w:themeColor="text1"/>
          <w:sz w:val="16"/>
          <w:szCs w:val="16"/>
          <w:lang w:val="en-US"/>
        </w:rPr>
        <w:t>AJ</w:t>
      </w:r>
      <w:r w:rsidRPr="00925F26">
        <w:rPr>
          <w:color w:val="000000" w:themeColor="text1"/>
          <w:sz w:val="16"/>
          <w:szCs w:val="16"/>
        </w:rPr>
        <w:t xml:space="preserve">-01-У-С», «Трембита-101С, -002С», ЛОРТА 75УС-101С; магнитофоны: «Амфитон МС, П-401С, П- 402С, П-403С»; магнитолы: «Амфитон </w:t>
      </w:r>
      <w:r w:rsidRPr="00925F26">
        <w:rPr>
          <w:color w:val="000000" w:themeColor="text1"/>
          <w:sz w:val="16"/>
          <w:szCs w:val="16"/>
          <w:lang w:val="en-US"/>
        </w:rPr>
        <w:t>MP</w:t>
      </w:r>
      <w:r w:rsidRPr="00925F26">
        <w:rPr>
          <w:color w:val="000000" w:themeColor="text1"/>
          <w:sz w:val="16"/>
          <w:szCs w:val="16"/>
        </w:rPr>
        <w:t>, МТ»; эквалайзеры: «Амфитон Э-005С, ЭК-005С», ЛОРТА Э-005С; телевизоры: ЛОРТА 32ТК-501, 42ТК-600, 16ТК-605; антенные приставки: ЛОРТА ТСТ-001, АТК-Д; видеомагнитофоны: «Спектр-203, ВМ-97»; акустическая система «Амфитон» 25АС-027 (1987-); комплекты спутникового телевидения (2006) (11982).</w:t>
      </w:r>
    </w:p>
    <w:p w14:paraId="4E792352" w14:textId="77777777" w:rsidR="00665165" w:rsidRPr="00925F26" w:rsidRDefault="00665165" w:rsidP="00925F26">
      <w:pPr>
        <w:autoSpaceDE w:val="0"/>
        <w:autoSpaceDN w:val="0"/>
        <w:adjustRightInd w:val="0"/>
        <w:jc w:val="both"/>
        <w:rPr>
          <w:color w:val="000000" w:themeColor="text1"/>
          <w:sz w:val="16"/>
          <w:szCs w:val="16"/>
        </w:rPr>
      </w:pPr>
    </w:p>
    <w:p w14:paraId="184CEA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года вышел приказ НКАП об организации самолеторемонтного завода № 797 во Львове (8954).</w:t>
      </w:r>
    </w:p>
    <w:p w14:paraId="59BF2963" w14:textId="77777777" w:rsidR="00665165" w:rsidRPr="00925F26" w:rsidRDefault="00665165" w:rsidP="00925F26">
      <w:pPr>
        <w:autoSpaceDE w:val="0"/>
        <w:autoSpaceDN w:val="0"/>
        <w:adjustRightInd w:val="0"/>
        <w:jc w:val="both"/>
        <w:rPr>
          <w:color w:val="000000" w:themeColor="text1"/>
          <w:sz w:val="16"/>
          <w:szCs w:val="16"/>
        </w:rPr>
      </w:pPr>
    </w:p>
    <w:p w14:paraId="1C3B764B" w14:textId="77777777" w:rsidR="00E621F5" w:rsidRPr="00925F26" w:rsidRDefault="00E621F5" w:rsidP="00E621F5">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7876 О вывозе оборудования по производству реактивных снарядов с немецких заводов "Гута Банкова" в г. Домброва Гурна и "Ферум" в г. Катовице. РГАНИР, Фонд ГКО, д. 382, лл. 168-169 (11012).</w:t>
      </w:r>
    </w:p>
    <w:p w14:paraId="3035CEB9" w14:textId="77777777" w:rsidR="00E621F5" w:rsidRPr="00925F26" w:rsidRDefault="00E621F5" w:rsidP="00E621F5">
      <w:pPr>
        <w:autoSpaceDE w:val="0"/>
        <w:autoSpaceDN w:val="0"/>
        <w:adjustRightInd w:val="0"/>
        <w:jc w:val="both"/>
        <w:rPr>
          <w:color w:val="000000" w:themeColor="text1"/>
          <w:sz w:val="16"/>
          <w:szCs w:val="16"/>
        </w:rPr>
      </w:pPr>
    </w:p>
    <w:p w14:paraId="73CEAC07" w14:textId="77777777" w:rsidR="00670D8A" w:rsidRPr="00925F26" w:rsidRDefault="00670D8A" w:rsidP="00925F26">
      <w:pPr>
        <w:jc w:val="both"/>
        <w:rPr>
          <w:color w:val="000000" w:themeColor="text1"/>
          <w:sz w:val="16"/>
          <w:szCs w:val="16"/>
          <w:shd w:val="clear" w:color="auto" w:fill="FFFFFF"/>
        </w:rPr>
      </w:pPr>
      <w:r w:rsidRPr="00925F26">
        <w:rPr>
          <w:color w:val="000000" w:themeColor="text1"/>
          <w:sz w:val="16"/>
          <w:szCs w:val="16"/>
          <w:shd w:val="clear" w:color="auto" w:fill="FFFFFF"/>
        </w:rPr>
        <w:lastRenderedPageBreak/>
        <w:t>21 марта 1945 года вождь подписал постановление Государственного комитета обороны №7876сс «О вывозе оборудования по производству реактивных снарядов с немецких заводов “Гута Банкова” в г. Домброво Гурне и “Ферум” в г. Катовице», в котором наркому боеприпасов Борису Львовичу Ванникову предписывалось заняться проблемой и принять ракетные трофеи под свою ответственность (20875).</w:t>
      </w:r>
    </w:p>
    <w:p w14:paraId="5AAA794F" w14:textId="77777777" w:rsidR="00670D8A" w:rsidRPr="00925F26" w:rsidRDefault="00670D8A" w:rsidP="00925F26">
      <w:pPr>
        <w:jc w:val="both"/>
        <w:rPr>
          <w:color w:val="000000" w:themeColor="text1"/>
          <w:sz w:val="16"/>
          <w:szCs w:val="16"/>
          <w:shd w:val="clear" w:color="auto" w:fill="FFFFFF"/>
        </w:rPr>
      </w:pPr>
    </w:p>
    <w:p w14:paraId="3FE99AD6" w14:textId="77777777" w:rsidR="007076F2" w:rsidRPr="001A0BAA" w:rsidRDefault="007076F2" w:rsidP="007076F2">
      <w:pPr>
        <w:jc w:val="both"/>
        <w:rPr>
          <w:color w:val="0070C0"/>
          <w:sz w:val="16"/>
          <w:szCs w:val="16"/>
        </w:rPr>
      </w:pPr>
      <w:r w:rsidRPr="001A0BAA">
        <w:rPr>
          <w:color w:val="0070C0"/>
          <w:sz w:val="16"/>
          <w:szCs w:val="16"/>
        </w:rPr>
        <w:t>21 марта 1945 г. И.В.С. подписал постановление ГКО № 7876сс «О вывозе оборудования по производству реактивных снарядов с немецких заводов „Гута Банкова“ в г. Домброво Гурне и „Ферум“ в г. Катовице».</w:t>
      </w:r>
    </w:p>
    <w:p w14:paraId="7FE5CDFE" w14:textId="77777777" w:rsidR="007076F2" w:rsidRPr="001A0BAA" w:rsidRDefault="007076F2" w:rsidP="007076F2">
      <w:pPr>
        <w:jc w:val="both"/>
        <w:rPr>
          <w:color w:val="0070C0"/>
          <w:sz w:val="16"/>
          <w:szCs w:val="16"/>
        </w:rPr>
      </w:pPr>
      <w:r w:rsidRPr="001A0BAA">
        <w:rPr>
          <w:color w:val="0070C0"/>
          <w:sz w:val="16"/>
          <w:szCs w:val="16"/>
        </w:rPr>
        <w:t>Постановление предписывало наркому боеприпасов Борису Ванникову принять трофеи под свою ответственность.</w:t>
      </w:r>
    </w:p>
    <w:p w14:paraId="2E1C89B4" w14:textId="77777777" w:rsidR="007076F2" w:rsidRPr="001A0BAA" w:rsidRDefault="007076F2" w:rsidP="007076F2">
      <w:pPr>
        <w:jc w:val="both"/>
        <w:rPr>
          <w:color w:val="0070C0"/>
          <w:sz w:val="16"/>
          <w:szCs w:val="16"/>
        </w:rPr>
      </w:pPr>
      <w:r w:rsidRPr="001A0BAA">
        <w:rPr>
          <w:color w:val="0070C0"/>
          <w:sz w:val="16"/>
          <w:szCs w:val="16"/>
        </w:rPr>
        <w:t>Постановление ГКО № 8206сс «Об организации в системе Наркомата боеприпасов конструкторского бюро и опытного завода по реактивным снарядам» появилось 19 апреля. Исполняя это постановление, Б. Ванников учредил в Москве Центральное КБ реактивных снарядов (ЦКБ-1) с опытным производством на базе завода № 67 своего наркомата.</w:t>
      </w:r>
    </w:p>
    <w:p w14:paraId="17DB7EC2" w14:textId="77777777" w:rsidR="007076F2" w:rsidRPr="001A0BAA" w:rsidRDefault="007076F2" w:rsidP="007076F2">
      <w:pPr>
        <w:jc w:val="both"/>
        <w:rPr>
          <w:color w:val="0070C0"/>
          <w:sz w:val="16"/>
          <w:szCs w:val="16"/>
        </w:rPr>
      </w:pPr>
      <w:r w:rsidRPr="001A0BAA">
        <w:rPr>
          <w:color w:val="0070C0"/>
          <w:sz w:val="16"/>
          <w:szCs w:val="16"/>
        </w:rPr>
        <w:t>А станцию для испытаний трофейной ракетной техники руководство НКБ планировало разместить на полигоне в восточной части Крыма, предназначенном для бомбометания с самолетов (24989).</w:t>
      </w:r>
    </w:p>
    <w:p w14:paraId="5A9A8D13" w14:textId="77777777" w:rsidR="007076F2" w:rsidRPr="001A0BAA" w:rsidRDefault="007076F2" w:rsidP="007076F2">
      <w:pPr>
        <w:jc w:val="both"/>
        <w:rPr>
          <w:color w:val="0070C0"/>
          <w:sz w:val="16"/>
          <w:szCs w:val="16"/>
        </w:rPr>
      </w:pPr>
    </w:p>
    <w:p w14:paraId="15A3B1A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3E322B8" w14:textId="77777777" w:rsidR="00665165" w:rsidRPr="00925F26" w:rsidRDefault="00665165" w:rsidP="00925F26">
      <w:pPr>
        <w:autoSpaceDE w:val="0"/>
        <w:autoSpaceDN w:val="0"/>
        <w:adjustRightInd w:val="0"/>
        <w:jc w:val="both"/>
        <w:rPr>
          <w:iCs/>
          <w:color w:val="000000" w:themeColor="text1"/>
          <w:sz w:val="16"/>
          <w:szCs w:val="16"/>
        </w:rPr>
      </w:pPr>
    </w:p>
    <w:p w14:paraId="7BB7B8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7875 Об оказании неотложной помощи мазутом важнейшим предприятиям г. г. Горького и Молотова. РГАНИР, Фонд ГКО, д. 382, лл. 166-167 (11012).</w:t>
      </w:r>
    </w:p>
    <w:p w14:paraId="522EB1B0" w14:textId="77777777" w:rsidR="00665165" w:rsidRPr="00925F26" w:rsidRDefault="00665165" w:rsidP="00925F26">
      <w:pPr>
        <w:autoSpaceDE w:val="0"/>
        <w:autoSpaceDN w:val="0"/>
        <w:adjustRightInd w:val="0"/>
        <w:jc w:val="both"/>
        <w:rPr>
          <w:color w:val="000000" w:themeColor="text1"/>
          <w:sz w:val="16"/>
          <w:szCs w:val="16"/>
        </w:rPr>
      </w:pPr>
    </w:p>
    <w:p w14:paraId="313555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7877 О вывозе оборудования по производству артиллерийского вооружения с немецких артиллерийских заводов в г. Ландсберг. РГАНИР, Фонд ГКО, д. 382, лл. 170-171 (11012).</w:t>
      </w:r>
    </w:p>
    <w:p w14:paraId="662653E6" w14:textId="77777777" w:rsidR="00665165" w:rsidRPr="00925F26" w:rsidRDefault="00665165" w:rsidP="00925F26">
      <w:pPr>
        <w:autoSpaceDE w:val="0"/>
        <w:autoSpaceDN w:val="0"/>
        <w:adjustRightInd w:val="0"/>
        <w:jc w:val="both"/>
        <w:rPr>
          <w:color w:val="000000" w:themeColor="text1"/>
          <w:sz w:val="16"/>
          <w:szCs w:val="16"/>
        </w:rPr>
      </w:pPr>
    </w:p>
    <w:p w14:paraId="676D99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7878 О вывозе оборудования для производства радиоламп с радиовакуумных заводов немецких фирм "Лоренц" и "Телефункен" в г. Лигниц. РГАНИР, Фонд ГКО, д. 382, лл. 172-173 (11012).</w:t>
      </w:r>
    </w:p>
    <w:p w14:paraId="72A71333" w14:textId="77777777" w:rsidR="00665165" w:rsidRPr="00925F26" w:rsidRDefault="00665165" w:rsidP="00925F26">
      <w:pPr>
        <w:autoSpaceDE w:val="0"/>
        <w:autoSpaceDN w:val="0"/>
        <w:adjustRightInd w:val="0"/>
        <w:jc w:val="both"/>
        <w:rPr>
          <w:color w:val="000000" w:themeColor="text1"/>
          <w:sz w:val="16"/>
          <w:szCs w:val="16"/>
        </w:rPr>
      </w:pPr>
    </w:p>
    <w:p w14:paraId="0E987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7879 О вывозе оборудования по производству электро- и радиоламп с венгерского завода "Тунгсрам" в г. Будапешт. РГАНИР, Фонд ГКО, д. 382, лл. 174-175 (11012).</w:t>
      </w:r>
    </w:p>
    <w:p w14:paraId="0A60F746" w14:textId="77777777" w:rsidR="00665165" w:rsidRPr="00925F26" w:rsidRDefault="00665165" w:rsidP="00925F26">
      <w:pPr>
        <w:autoSpaceDE w:val="0"/>
        <w:autoSpaceDN w:val="0"/>
        <w:adjustRightInd w:val="0"/>
        <w:jc w:val="both"/>
        <w:rPr>
          <w:color w:val="000000" w:themeColor="text1"/>
          <w:sz w:val="16"/>
          <w:szCs w:val="16"/>
        </w:rPr>
      </w:pPr>
    </w:p>
    <w:p w14:paraId="44FAF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г. Постановление ГКО № 7880 «О вывозе оборудования, радиолокаторов, технического архива и библиотеки с немецкого радиозавода фирмы “Телефункен” в г. Лейбусдорф» (Д. 463. Л. 32–33).</w:t>
      </w:r>
    </w:p>
    <w:p w14:paraId="6A9A850B" w14:textId="77777777" w:rsidR="00665165" w:rsidRPr="00925F26" w:rsidRDefault="00665165" w:rsidP="00925F26">
      <w:pPr>
        <w:autoSpaceDE w:val="0"/>
        <w:autoSpaceDN w:val="0"/>
        <w:adjustRightInd w:val="0"/>
        <w:jc w:val="both"/>
        <w:rPr>
          <w:color w:val="000000" w:themeColor="text1"/>
          <w:sz w:val="16"/>
          <w:szCs w:val="16"/>
        </w:rPr>
      </w:pPr>
    </w:p>
    <w:p w14:paraId="44EEEE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7881 О вывозе оборудования немецкого механического завода в г. Шпротау. РГАНИР, Фонд ГКО, д. 382, лл. 178-179 (11012).</w:t>
      </w:r>
    </w:p>
    <w:p w14:paraId="1D43A013" w14:textId="77777777" w:rsidR="00665165" w:rsidRPr="00925F26" w:rsidRDefault="00665165" w:rsidP="00925F26">
      <w:pPr>
        <w:autoSpaceDE w:val="0"/>
        <w:autoSpaceDN w:val="0"/>
        <w:adjustRightInd w:val="0"/>
        <w:jc w:val="both"/>
        <w:rPr>
          <w:color w:val="000000" w:themeColor="text1"/>
          <w:sz w:val="16"/>
          <w:szCs w:val="16"/>
        </w:rPr>
      </w:pPr>
    </w:p>
    <w:p w14:paraId="4660B9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7882 О вывозе оборудования с чугунносталелитейного завода "Крайсверке" г. Нейзальц. РГАНИР, Фонд ГКО, д. 382, лл. 180-181 (11012).</w:t>
      </w:r>
    </w:p>
    <w:p w14:paraId="07B8E048" w14:textId="77777777" w:rsidR="00665165" w:rsidRPr="00925F26" w:rsidRDefault="00665165" w:rsidP="00925F26">
      <w:pPr>
        <w:autoSpaceDE w:val="0"/>
        <w:autoSpaceDN w:val="0"/>
        <w:adjustRightInd w:val="0"/>
        <w:jc w:val="both"/>
        <w:rPr>
          <w:color w:val="000000" w:themeColor="text1"/>
          <w:sz w:val="16"/>
          <w:szCs w:val="16"/>
        </w:rPr>
      </w:pPr>
    </w:p>
    <w:p w14:paraId="5A80E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7883 О вывозе трофейного радиолокационного имущества из г. Вартенбург. РГАНИР, Фонд ГКО, д. 382, лл. 182-183 (11012).</w:t>
      </w:r>
    </w:p>
    <w:p w14:paraId="1DDA34FB" w14:textId="77777777" w:rsidR="00665165" w:rsidRPr="00925F26" w:rsidRDefault="00665165" w:rsidP="00925F26">
      <w:pPr>
        <w:autoSpaceDE w:val="0"/>
        <w:autoSpaceDN w:val="0"/>
        <w:adjustRightInd w:val="0"/>
        <w:jc w:val="both"/>
        <w:rPr>
          <w:color w:val="000000" w:themeColor="text1"/>
          <w:sz w:val="16"/>
          <w:szCs w:val="16"/>
        </w:rPr>
      </w:pPr>
    </w:p>
    <w:p w14:paraId="572F4A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7884 О вывозе оборудования с немецкого электромашиностроительного завода фирмы "Карл Кайзер" в г. Циленциг. РГАНИР, Фонд ГКО, д. 382, лл. 184-185 (11012).</w:t>
      </w:r>
    </w:p>
    <w:p w14:paraId="4C48836F" w14:textId="77777777" w:rsidR="00665165" w:rsidRPr="00925F26" w:rsidRDefault="00665165" w:rsidP="00925F26">
      <w:pPr>
        <w:autoSpaceDE w:val="0"/>
        <w:autoSpaceDN w:val="0"/>
        <w:adjustRightInd w:val="0"/>
        <w:jc w:val="both"/>
        <w:rPr>
          <w:color w:val="000000" w:themeColor="text1"/>
          <w:sz w:val="16"/>
          <w:szCs w:val="16"/>
        </w:rPr>
      </w:pPr>
    </w:p>
    <w:p w14:paraId="14E708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7885 О вывозе оборудования доменного и мартеновского цехов и аглофабрики с завода "Юлианхютте" в гор. Бобрек. РГАНИР, Фонд ГКО, д. 382, лл. 186-187 (11012).</w:t>
      </w:r>
    </w:p>
    <w:p w14:paraId="7E4775E7" w14:textId="77777777" w:rsidR="00665165" w:rsidRPr="00925F26" w:rsidRDefault="00665165" w:rsidP="00925F26">
      <w:pPr>
        <w:autoSpaceDE w:val="0"/>
        <w:autoSpaceDN w:val="0"/>
        <w:adjustRightInd w:val="0"/>
        <w:jc w:val="both"/>
        <w:rPr>
          <w:color w:val="000000" w:themeColor="text1"/>
          <w:sz w:val="16"/>
          <w:szCs w:val="16"/>
        </w:rPr>
      </w:pPr>
    </w:p>
    <w:p w14:paraId="16831C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7886 О вывозе оборудования с завода "Андреасхютте" в г. Андреасхютте. РГАНИР, Фонд ГКО, д. 382, лл. 188-189 (11012).</w:t>
      </w:r>
    </w:p>
    <w:p w14:paraId="3ED7DF63" w14:textId="77777777" w:rsidR="00665165" w:rsidRPr="00925F26" w:rsidRDefault="00665165" w:rsidP="00925F26">
      <w:pPr>
        <w:autoSpaceDE w:val="0"/>
        <w:autoSpaceDN w:val="0"/>
        <w:adjustRightInd w:val="0"/>
        <w:jc w:val="both"/>
        <w:rPr>
          <w:color w:val="000000" w:themeColor="text1"/>
          <w:sz w:val="16"/>
          <w:szCs w:val="16"/>
        </w:rPr>
      </w:pPr>
    </w:p>
    <w:p w14:paraId="7AA1A9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7887 О вывозе оборудования смолоразгонного и бензольно-ректификационного завода "Скалляйн" фирмы "Борзиг" в г. Гинденбург, двух коксовых батарей строящегося коксохимического завода фирмы "Борзиг" при шахте "Глейвицер-Груббе" в г. Глейвиц и оборудования Центральной коксохимической лаборатории при Главном управлении фирмы Борзинг в г. Гиндеобург. РГАНИР, Фонд ГКО, д. 382, лл. 190, 191 (11012).</w:t>
      </w:r>
    </w:p>
    <w:p w14:paraId="26EE0AAD" w14:textId="77777777" w:rsidR="00665165" w:rsidRPr="00925F26" w:rsidRDefault="00665165" w:rsidP="00925F26">
      <w:pPr>
        <w:autoSpaceDE w:val="0"/>
        <w:autoSpaceDN w:val="0"/>
        <w:adjustRightInd w:val="0"/>
        <w:jc w:val="both"/>
        <w:rPr>
          <w:color w:val="000000" w:themeColor="text1"/>
          <w:sz w:val="16"/>
          <w:szCs w:val="16"/>
        </w:rPr>
      </w:pPr>
    </w:p>
    <w:p w14:paraId="151C52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7888 О вывозе оборудования с немецких заводов на заводы Наркомугля в Донбассе. РГАНИР, Фонд ГКО, д. 382, лл. 192-193 (11012).</w:t>
      </w:r>
    </w:p>
    <w:p w14:paraId="7A906025" w14:textId="77777777" w:rsidR="00665165" w:rsidRPr="00925F26" w:rsidRDefault="00665165" w:rsidP="00925F26">
      <w:pPr>
        <w:autoSpaceDE w:val="0"/>
        <w:autoSpaceDN w:val="0"/>
        <w:adjustRightInd w:val="0"/>
        <w:jc w:val="both"/>
        <w:rPr>
          <w:color w:val="000000" w:themeColor="text1"/>
          <w:sz w:val="16"/>
          <w:szCs w:val="16"/>
        </w:rPr>
      </w:pPr>
    </w:p>
    <w:p w14:paraId="0FC56B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7889 О вывозе оборудования с немецкого завода по производству автомобильных агрегатов в г. Цюллихау. РГАНИР, Фонд ГКО, д. 382, лл. 194-195 (11012).</w:t>
      </w:r>
    </w:p>
    <w:p w14:paraId="23BF6AB1" w14:textId="77777777" w:rsidR="00665165" w:rsidRPr="00925F26" w:rsidRDefault="00665165" w:rsidP="00925F26">
      <w:pPr>
        <w:autoSpaceDE w:val="0"/>
        <w:autoSpaceDN w:val="0"/>
        <w:adjustRightInd w:val="0"/>
        <w:jc w:val="both"/>
        <w:rPr>
          <w:color w:val="000000" w:themeColor="text1"/>
          <w:sz w:val="16"/>
          <w:szCs w:val="16"/>
        </w:rPr>
      </w:pPr>
    </w:p>
    <w:p w14:paraId="016CC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7890 О вывозе оборудования по производству кислорода с немецкого завода "Верейнигте Зауерштофверке Глейвиц-Бреслау" в г. Глейвиц. РГАНИР, Фонд ГКО, д. 382, лл. 196-197 (11012).</w:t>
      </w:r>
    </w:p>
    <w:p w14:paraId="4466A7B7" w14:textId="77777777" w:rsidR="00665165" w:rsidRPr="00925F26" w:rsidRDefault="00665165" w:rsidP="00925F26">
      <w:pPr>
        <w:autoSpaceDE w:val="0"/>
        <w:autoSpaceDN w:val="0"/>
        <w:adjustRightInd w:val="0"/>
        <w:jc w:val="both"/>
        <w:rPr>
          <w:color w:val="000000" w:themeColor="text1"/>
          <w:sz w:val="16"/>
          <w:szCs w:val="16"/>
        </w:rPr>
      </w:pPr>
    </w:p>
    <w:p w14:paraId="313CE3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7891 О вывозе полиграфического оборудования немецкой типографии в г. Лигниц. РГАНИР, Фонд ГКО, д. 382, лл. 198-199 (11012).</w:t>
      </w:r>
    </w:p>
    <w:p w14:paraId="07F4AB98" w14:textId="77777777" w:rsidR="00665165" w:rsidRPr="00925F26" w:rsidRDefault="00665165" w:rsidP="00925F26">
      <w:pPr>
        <w:autoSpaceDE w:val="0"/>
        <w:autoSpaceDN w:val="0"/>
        <w:adjustRightInd w:val="0"/>
        <w:jc w:val="both"/>
        <w:rPr>
          <w:color w:val="000000" w:themeColor="text1"/>
          <w:sz w:val="16"/>
          <w:szCs w:val="16"/>
        </w:rPr>
      </w:pPr>
    </w:p>
    <w:p w14:paraId="5067AA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7892 О вывозе оборудования немецких домостроительных, машиностроительного заводов и завода ребристых труб из Восточной Пруссии. РГАНИР, Фонд ГКО, д. 382, лл. 200-202 (11012).</w:t>
      </w:r>
    </w:p>
    <w:p w14:paraId="3403F65E" w14:textId="77777777" w:rsidR="00665165" w:rsidRPr="00925F26" w:rsidRDefault="00665165" w:rsidP="00925F26">
      <w:pPr>
        <w:autoSpaceDE w:val="0"/>
        <w:autoSpaceDN w:val="0"/>
        <w:adjustRightInd w:val="0"/>
        <w:jc w:val="both"/>
        <w:rPr>
          <w:color w:val="000000" w:themeColor="text1"/>
          <w:sz w:val="16"/>
          <w:szCs w:val="16"/>
        </w:rPr>
      </w:pPr>
    </w:p>
    <w:p w14:paraId="170F4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7893 О вывозе трофейного имущества со складов 1-го Белорусского фронта. РГАНИР, Фонд ГКО, д. 382, лл. 203, 204-205 (11012).</w:t>
      </w:r>
    </w:p>
    <w:p w14:paraId="40C2797F" w14:textId="77777777" w:rsidR="00665165" w:rsidRPr="00925F26" w:rsidRDefault="00665165" w:rsidP="00925F26">
      <w:pPr>
        <w:autoSpaceDE w:val="0"/>
        <w:autoSpaceDN w:val="0"/>
        <w:adjustRightInd w:val="0"/>
        <w:jc w:val="both"/>
        <w:rPr>
          <w:color w:val="000000" w:themeColor="text1"/>
          <w:sz w:val="16"/>
          <w:szCs w:val="16"/>
        </w:rPr>
      </w:pPr>
    </w:p>
    <w:p w14:paraId="7FBBD9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7894 О вывозе трофейной ртути. РГАНИР, Фонд ГКО, д. 382, лл. 206 (11012).</w:t>
      </w:r>
    </w:p>
    <w:p w14:paraId="649A81D6" w14:textId="77777777" w:rsidR="00665165" w:rsidRPr="00925F26" w:rsidRDefault="00665165" w:rsidP="00925F26">
      <w:pPr>
        <w:autoSpaceDE w:val="0"/>
        <w:autoSpaceDN w:val="0"/>
        <w:adjustRightInd w:val="0"/>
        <w:jc w:val="both"/>
        <w:rPr>
          <w:color w:val="000000" w:themeColor="text1"/>
          <w:sz w:val="16"/>
          <w:szCs w:val="16"/>
        </w:rPr>
      </w:pPr>
    </w:p>
    <w:p w14:paraId="1673CD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7896 Об организации вывоза оборудования и материалов с демонтируемых немецких заводов. РГАНИР, Фонд ГКО, д. 382, лл. 209-212 (11012).</w:t>
      </w:r>
    </w:p>
    <w:p w14:paraId="739AC585" w14:textId="77777777" w:rsidR="00665165" w:rsidRPr="00925F26" w:rsidRDefault="00665165" w:rsidP="00925F26">
      <w:pPr>
        <w:autoSpaceDE w:val="0"/>
        <w:autoSpaceDN w:val="0"/>
        <w:adjustRightInd w:val="0"/>
        <w:jc w:val="both"/>
        <w:rPr>
          <w:color w:val="000000" w:themeColor="text1"/>
          <w:sz w:val="16"/>
          <w:szCs w:val="16"/>
        </w:rPr>
      </w:pPr>
    </w:p>
    <w:p w14:paraId="139883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вышло Постановление ГКО № 7897 Об организации особых монтажных управлений Наркомстроя. РГАНИР, Фонд ГКО, д. 382, лл. 213-218 (11012).</w:t>
      </w:r>
    </w:p>
    <w:p w14:paraId="5D079B90" w14:textId="77777777" w:rsidR="00665165" w:rsidRPr="00925F26" w:rsidRDefault="00665165" w:rsidP="00925F26">
      <w:pPr>
        <w:autoSpaceDE w:val="0"/>
        <w:autoSpaceDN w:val="0"/>
        <w:adjustRightInd w:val="0"/>
        <w:jc w:val="both"/>
        <w:rPr>
          <w:color w:val="000000" w:themeColor="text1"/>
          <w:sz w:val="16"/>
          <w:szCs w:val="16"/>
        </w:rPr>
      </w:pPr>
    </w:p>
    <w:p w14:paraId="07E7BA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марта 1945 г. для стимулирования погрузки и отправки трофейного оборудования и материалов с демонтируемых предприятий ГКО была установлена система, предусматривавшая премирование личного состава. В пунктах погрузки за каждый отгруженный полновесный вагон – 100 рублей, из них: _ для премирования рядового и сержантского состава трофейных частей – 80 рублей; _ офицерского состава трофейных частей _ 4 рубля; _ личного состава военно_экспедиционных управлений наркомата путей сообщения – 3 рубля; _ личного состава военных сообщений фронта и армии – 3 рубля.</w:t>
      </w:r>
    </w:p>
    <w:p w14:paraId="5FF736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пунктах перевалки с западно_европейской на советскую колею – 50 рублей, из них: _ для премирования рядового и сержантского состава рабочих частей перевалочной базы – 42 рубля; _ офицерского состава перевалочной базы и рабочих частей – 5 рублей; _ в распоряжение начальника перевалочной базы для премирования работников железнодорожных станций перевалки 3 рубля (11254).</w:t>
      </w:r>
    </w:p>
    <w:p w14:paraId="2A0008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61AF1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Армия:</w:t>
      </w:r>
    </w:p>
    <w:p w14:paraId="64865819" w14:textId="77777777" w:rsidR="00665165" w:rsidRPr="00925F26" w:rsidRDefault="00665165" w:rsidP="00925F26">
      <w:pPr>
        <w:autoSpaceDE w:val="0"/>
        <w:autoSpaceDN w:val="0"/>
        <w:adjustRightInd w:val="0"/>
        <w:jc w:val="both"/>
        <w:rPr>
          <w:iCs/>
          <w:color w:val="000000" w:themeColor="text1"/>
          <w:sz w:val="16"/>
          <w:szCs w:val="16"/>
        </w:rPr>
      </w:pPr>
    </w:p>
    <w:p w14:paraId="10EE9C03" w14:textId="77777777" w:rsidR="00DC5271" w:rsidRPr="00925F26" w:rsidRDefault="00DC5271" w:rsidP="00925F26">
      <w:pPr>
        <w:jc w:val="both"/>
        <w:rPr>
          <w:color w:val="000000" w:themeColor="text1"/>
          <w:sz w:val="16"/>
          <w:szCs w:val="16"/>
        </w:rPr>
      </w:pPr>
      <w:r w:rsidRPr="00925F26">
        <w:rPr>
          <w:bCs/>
          <w:color w:val="000000" w:themeColor="text1"/>
          <w:sz w:val="16"/>
          <w:szCs w:val="16"/>
        </w:rPr>
        <w:t>21 марта</w:t>
      </w:r>
      <w:r w:rsidRPr="00925F26">
        <w:rPr>
          <w:color w:val="000000" w:themeColor="text1"/>
          <w:sz w:val="16"/>
          <w:szCs w:val="16"/>
        </w:rPr>
        <w:t xml:space="preserve"> в 1945 году оперативная сводка Совинформбюро:</w:t>
      </w:r>
    </w:p>
    <w:p w14:paraId="2CE3EC44" w14:textId="77777777" w:rsidR="00DC5271" w:rsidRPr="00925F26" w:rsidRDefault="00DC5271" w:rsidP="00925F26">
      <w:pPr>
        <w:jc w:val="both"/>
        <w:rPr>
          <w:color w:val="000000" w:themeColor="text1"/>
          <w:sz w:val="16"/>
          <w:szCs w:val="16"/>
        </w:rPr>
      </w:pPr>
      <w:r w:rsidRPr="00925F26">
        <w:rPr>
          <w:color w:val="000000" w:themeColor="text1"/>
          <w:sz w:val="16"/>
          <w:szCs w:val="16"/>
        </w:rPr>
        <w:t>«В течение 21 марта юго-западнее Кенигсберга войска 3-го БЕлорусского фронта продолжали бои по уничтожению Восточно-Прусской группы немцев и, продвигаясь к побережью залива Фриш-Гаф, заняли населённые пункты Больбиттен, Штутенен, Невеккен, Грунау, Радау, Альт-Пассарге. По дополнительным данным, в боях за город Браунсберг войска фронта захватили следующие трофеи: танков — 204, бронетранспортёров — 25, миномётов — 109, пулемётов — 204, автомашин — 1.050, паровозов — 5, железнодорожных вагонов — 633, складов с различным военным имуществом—17.</w:t>
      </w:r>
    </w:p>
    <w:p w14:paraId="3EEBC9FD" w14:textId="77777777" w:rsidR="00DC5271" w:rsidRPr="00925F26" w:rsidRDefault="00DC5271" w:rsidP="00925F26">
      <w:pPr>
        <w:jc w:val="both"/>
        <w:rPr>
          <w:color w:val="000000" w:themeColor="text1"/>
          <w:sz w:val="16"/>
          <w:szCs w:val="16"/>
        </w:rPr>
      </w:pPr>
      <w:r w:rsidRPr="00925F26">
        <w:rPr>
          <w:color w:val="000000" w:themeColor="text1"/>
          <w:sz w:val="16"/>
          <w:szCs w:val="16"/>
        </w:rPr>
        <w:t>На Данцигском направлении наши войска в результате наступательных боёв заняли населённые пункты Мюльбанц, Колинг, Кладау, Иетау, Заалау, Клайн-Белькау, Нидер-Прангенау, Биссау, Гросс-Катц. За 20 марта в этом районе наши войска взяли в плен более 600 немецких солдат и офицеров.</w:t>
      </w:r>
    </w:p>
    <w:p w14:paraId="76B0CE37" w14:textId="77777777" w:rsidR="00DC5271" w:rsidRPr="00925F26" w:rsidRDefault="00DC5271" w:rsidP="00925F26">
      <w:pPr>
        <w:jc w:val="both"/>
        <w:rPr>
          <w:color w:val="000000" w:themeColor="text1"/>
          <w:sz w:val="16"/>
          <w:szCs w:val="16"/>
        </w:rPr>
      </w:pPr>
      <w:r w:rsidRPr="00925F26">
        <w:rPr>
          <w:color w:val="000000" w:themeColor="text1"/>
          <w:sz w:val="16"/>
          <w:szCs w:val="16"/>
        </w:rPr>
        <w:t>В районе Бреслау продолжались бои по уничтожению окружённой в городе группировки противника.</w:t>
      </w:r>
    </w:p>
    <w:p w14:paraId="77E415FA" w14:textId="77777777" w:rsidR="00DC5271" w:rsidRPr="00925F26" w:rsidRDefault="00DC5271" w:rsidP="00925F26">
      <w:pPr>
        <w:jc w:val="both"/>
        <w:rPr>
          <w:color w:val="000000" w:themeColor="text1"/>
          <w:sz w:val="16"/>
          <w:szCs w:val="16"/>
        </w:rPr>
      </w:pPr>
      <w:r w:rsidRPr="00925F26">
        <w:rPr>
          <w:color w:val="000000" w:themeColor="text1"/>
          <w:sz w:val="16"/>
          <w:szCs w:val="16"/>
        </w:rPr>
        <w:t>За 20 марта на всех фронтах подбито и уничтожено 176 немецких танков. В воздушных боях и огнём зенитной артиллерии сбито 69 самолётов противника.</w:t>
      </w:r>
    </w:p>
    <w:p w14:paraId="042C1DB9" w14:textId="77777777" w:rsidR="00DC5271" w:rsidRPr="00925F26" w:rsidRDefault="00DC5271" w:rsidP="00925F26">
      <w:pPr>
        <w:jc w:val="both"/>
        <w:rPr>
          <w:color w:val="000000" w:themeColor="text1"/>
          <w:sz w:val="16"/>
          <w:szCs w:val="16"/>
        </w:rPr>
      </w:pPr>
      <w:r w:rsidRPr="00925F26">
        <w:rPr>
          <w:color w:val="000000" w:themeColor="text1"/>
          <w:sz w:val="16"/>
          <w:szCs w:val="16"/>
        </w:rPr>
        <w:t>Налёт нашей авиации на железнодорожный узел Веспрем в Венгрии</w:t>
      </w:r>
    </w:p>
    <w:p w14:paraId="2B7CE619" w14:textId="77777777" w:rsidR="00DC5271" w:rsidRPr="00925F26" w:rsidRDefault="00DC5271" w:rsidP="00925F26">
      <w:pPr>
        <w:jc w:val="both"/>
        <w:rPr>
          <w:color w:val="000000" w:themeColor="text1"/>
          <w:sz w:val="16"/>
          <w:szCs w:val="16"/>
        </w:rPr>
      </w:pPr>
      <w:r w:rsidRPr="00925F26">
        <w:rPr>
          <w:color w:val="000000" w:themeColor="text1"/>
          <w:sz w:val="16"/>
          <w:szCs w:val="16"/>
        </w:rPr>
        <w:t>В ночь на 21 марта наши тяжёлые бомбардировщики нанесли удар по железнодорожному узлу Веспрем в Венгрии. В результате бомбардировки на территории узла возникли пожары, сопровождавшиеся взрывами.</w:t>
      </w:r>
    </w:p>
    <w:p w14:paraId="71942725" w14:textId="77777777" w:rsidR="00DC5271" w:rsidRPr="00925F26" w:rsidRDefault="00DC5271" w:rsidP="00925F26">
      <w:pPr>
        <w:jc w:val="both"/>
        <w:rPr>
          <w:color w:val="000000" w:themeColor="text1"/>
          <w:sz w:val="16"/>
          <w:szCs w:val="16"/>
        </w:rPr>
      </w:pPr>
      <w:r w:rsidRPr="00925F26">
        <w:rPr>
          <w:color w:val="000000" w:themeColor="text1"/>
          <w:sz w:val="16"/>
          <w:szCs w:val="16"/>
        </w:rPr>
        <w:t>Действия авиации Краснознамённого Балтийского флота</w:t>
      </w:r>
    </w:p>
    <w:p w14:paraId="5BAE9D04" w14:textId="77777777" w:rsidR="00DC5271" w:rsidRPr="00925F26" w:rsidRDefault="00DC5271" w:rsidP="00925F26">
      <w:pPr>
        <w:jc w:val="both"/>
        <w:rPr>
          <w:color w:val="000000" w:themeColor="text1"/>
          <w:sz w:val="16"/>
          <w:szCs w:val="16"/>
        </w:rPr>
      </w:pPr>
      <w:r w:rsidRPr="00925F26">
        <w:rPr>
          <w:color w:val="000000" w:themeColor="text1"/>
          <w:sz w:val="16"/>
          <w:szCs w:val="16"/>
        </w:rPr>
        <w:t>19 марта авиацией Краснознамённого Балтийского флота потоплены: в порту Пил-лау — три немецких транспорта водоизмещением от 5 до 6 тысяч тонн каждый и в районе острова Борнхольм — два немецких транспорта водоизмещением от 10 до 12 тысяч тонн каждый и один сторожевой корабль противника.</w:t>
      </w:r>
    </w:p>
    <w:p w14:paraId="54CA95EB" w14:textId="77777777" w:rsidR="00DC5271" w:rsidRPr="00925F26" w:rsidRDefault="00DC5271" w:rsidP="00925F26">
      <w:pPr>
        <w:jc w:val="both"/>
        <w:rPr>
          <w:color w:val="000000" w:themeColor="text1"/>
          <w:sz w:val="16"/>
          <w:szCs w:val="16"/>
        </w:rPr>
      </w:pPr>
      <w:r w:rsidRPr="00925F26">
        <w:rPr>
          <w:color w:val="000000" w:themeColor="text1"/>
          <w:sz w:val="16"/>
          <w:szCs w:val="16"/>
        </w:rPr>
        <w:t xml:space="preserve">Юго-западнее Кенигсберга войска 3-го Белорусского фронта продолжали бои по ликвидации Восточно-Прусской группы войск </w:t>
      </w:r>
      <w:proofErr w:type="gramStart"/>
      <w:r w:rsidRPr="00925F26">
        <w:rPr>
          <w:color w:val="000000" w:themeColor="text1"/>
          <w:sz w:val="16"/>
          <w:szCs w:val="16"/>
        </w:rPr>
        <w:t>противника</w:t>
      </w:r>
      <w:proofErr w:type="gramEnd"/>
      <w:r w:rsidRPr="00925F26">
        <w:rPr>
          <w:color w:val="000000" w:themeColor="text1"/>
          <w:sz w:val="16"/>
          <w:szCs w:val="16"/>
        </w:rPr>
        <w:t xml:space="preserve"> Несмотря на это, наступающие советские части настойчиво продвигаются вперёд, уничтожая вражеские узлы сопротивления. Прижатые к заливу Фриш-Гаф на узкой прибрежной полосе остатки разгромлённых немецких соединений яростно сопротивляются. В районе населённого пункта Больбиттен немецкая пехота, поддержанная танками и самоходными орудиями, предприняла несколько контратак. Наши подразделения отбили вражеские контратаки и, продвигаясь вперёд, заняли Больбиттен. Особенно ожесточённые бои происходят в районе города Хайлигенбайль. Противник сосредоточил здесь танки, самоходные орудия, полевую артиллерию и упорно обороняет подступы к городу с юга. Советские части, наступающие на север вдоль реки Банау, сломили сопротивление немцев и овладели сильно укреплёнными позициями. Идут бои за переправы через реку Иарфт, прикрывающую город Хайлигенбайль с юга. Одновременно другие наши части выбили немцев из сильно укреплённых опорных пунктов Грунау и Радау и вышли к железной дороге Браунсберг — Хайлигенбайль. Опираясь на укрепления, построенные у насыпи железнодорожного полотна, гитлеровцы пытались задержать советские войска на этом рубеже. Наши пехотинцы стремительной атакой на ряде участков прорвали оборону немцев. Войска фронта, наступающие вдоль побережья залива Фриш-Гаф на восток, переправились через реку Пассарге в её устье и заняли прибрежный населённый пункт Альт-Пассарге. Наша артиллерия днём и ночью обстреливает порты и пристани, находящиеся в руках противника. За день боёв истреблено более 4 тысяч немецких солдат и офицеров, уничтожено 26 танков и 60 орудий противника. Нашими войсками захвачено много трофеев и пленных.</w:t>
      </w:r>
    </w:p>
    <w:p w14:paraId="7AE62EAF" w14:textId="77777777" w:rsidR="00DC5271" w:rsidRPr="00925F26" w:rsidRDefault="00DC5271" w:rsidP="00925F26">
      <w:pPr>
        <w:jc w:val="both"/>
        <w:rPr>
          <w:color w:val="000000" w:themeColor="text1"/>
          <w:sz w:val="16"/>
          <w:szCs w:val="16"/>
        </w:rPr>
      </w:pPr>
      <w:r w:rsidRPr="00925F26">
        <w:rPr>
          <w:color w:val="000000" w:themeColor="text1"/>
          <w:sz w:val="16"/>
          <w:szCs w:val="16"/>
        </w:rPr>
        <w:t>На Данцигском направлении наши войска вели наступательные бои. Юго-западнее Данцига советские части прорвали две линии вражеских траншей и заняли опорный пункт Клайн-Белькау, находящийся в 10 километрах от Данцига. Ожесточённые бои произошли в районе крупного населённого пункта Гросс-Катц. Противник располагал в этом районе сильными укреплениями. Гитлеровцы, поддержанные огнём с военных кораблей и бронепоездов, оказывали отчаянное сопротивление. Наши пехотинцы, танкисты и артиллеристы преодолели несколько линий траншей, противотанковые рвы, минные поля и ворвались в Гросс-Катц. Вражеский гарнизон, понесший в упорных уличных боях тяжёлые потери, в беспорядке отступил. Советские части овладели Гросс-Катцом — важным узлом обороны немцев, находящимся в 4 километрах от побережья Данцигской бухты. В течение дня уничтожено несколько тысяч солдат и офицеров противника, 25 танков, 54 орудия, 5 бронетранспортёров и один вражеский бронепоезд.</w:t>
      </w:r>
    </w:p>
    <w:p w14:paraId="6B99F95D" w14:textId="77777777" w:rsidR="00DC5271" w:rsidRPr="00925F26" w:rsidRDefault="00DC5271" w:rsidP="00925F26">
      <w:pPr>
        <w:jc w:val="both"/>
        <w:rPr>
          <w:color w:val="000000" w:themeColor="text1"/>
          <w:sz w:val="16"/>
          <w:szCs w:val="16"/>
        </w:rPr>
      </w:pPr>
      <w:r w:rsidRPr="00925F26">
        <w:rPr>
          <w:color w:val="000000" w:themeColor="text1"/>
          <w:sz w:val="16"/>
          <w:szCs w:val="16"/>
        </w:rPr>
        <w:t>Наша авиация, несмотря на неблагоприятную погоду, наносила бомбардировочно-штурмовые удары по войскам, военным объектам и кораблям противника. Советские лётчики уничтожили несколько танков, 120 автомашин, потопили катер и 3 баржи. В порту Гдыня взорван крупный склад боеприпасов.</w:t>
      </w:r>
    </w:p>
    <w:p w14:paraId="0D00667D" w14:textId="77777777" w:rsidR="00DC5271" w:rsidRPr="00925F26" w:rsidRDefault="00DC5271" w:rsidP="00925F26">
      <w:pPr>
        <w:jc w:val="both"/>
        <w:rPr>
          <w:color w:val="000000" w:themeColor="text1"/>
          <w:sz w:val="16"/>
          <w:szCs w:val="16"/>
        </w:rPr>
      </w:pPr>
      <w:r w:rsidRPr="00925F26">
        <w:rPr>
          <w:color w:val="000000" w:themeColor="text1"/>
          <w:sz w:val="16"/>
          <w:szCs w:val="16"/>
        </w:rPr>
        <w:t>Наши тяжёлые бомбардировщики сегодня вновь нанесли удар по военным объектам противника в городе Бреслау. В результате бомбардировки возникли пожары, среди которых отмечено 5 сильных взрывов.</w:t>
      </w:r>
    </w:p>
    <w:p w14:paraId="63688D12" w14:textId="77777777" w:rsidR="00DC5271" w:rsidRPr="00925F26" w:rsidRDefault="00DC5271" w:rsidP="00925F26">
      <w:pPr>
        <w:jc w:val="both"/>
        <w:rPr>
          <w:color w:val="000000" w:themeColor="text1"/>
          <w:sz w:val="16"/>
          <w:szCs w:val="16"/>
          <w:lang w:val="en-US"/>
        </w:rPr>
      </w:pPr>
      <w:r w:rsidRPr="00925F26">
        <w:rPr>
          <w:color w:val="000000" w:themeColor="text1"/>
          <w:sz w:val="16"/>
          <w:szCs w:val="16"/>
        </w:rPr>
        <w:t xml:space="preserve">В оборонительных боях, недавно происходивших в районе северо-восточнее озера Балатон, советские воины проявили высокую боевую выучку и беззаветную храбрость. Батарея самоходных орудий старшего лейтенанта Кочерги, вступив в бой с 14 немецкими танками, сожгла и подбила 8 танков противника. В ночном бою на раненого командира роты лейтенанта Бахрушина набросилась группа немцев. На выручку своего командира поспешил красноармеец Солодкий. Отважный боец застрелил трёх гитлеровцев, а двух заколол штыком. Солодкий благополучно доставил лейтенанта на медицинский пункт. Гвардии красноармеец Иван Скородумов при отражении вражеской атаки прыгнул на немецкий танк, у которого был открыт люк. Гвардеец очередью из автомата перебил немецких танкистов и привёл танк в свою часть.» </w:t>
      </w:r>
      <w:r w:rsidRPr="00925F26">
        <w:rPr>
          <w:color w:val="000000" w:themeColor="text1"/>
          <w:sz w:val="16"/>
          <w:szCs w:val="16"/>
          <w:lang w:val="en-US"/>
        </w:rPr>
        <w:t>(15075).</w:t>
      </w:r>
    </w:p>
    <w:p w14:paraId="3CF8C634" w14:textId="77777777" w:rsidR="00DC5271" w:rsidRPr="00925F26" w:rsidRDefault="00DC5271" w:rsidP="00925F26">
      <w:pPr>
        <w:jc w:val="both"/>
        <w:rPr>
          <w:color w:val="000000" w:themeColor="text1"/>
          <w:sz w:val="16"/>
          <w:szCs w:val="16"/>
          <w:lang w:val="en-US"/>
        </w:rPr>
      </w:pPr>
    </w:p>
    <w:p w14:paraId="2ED88A7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21st, 1945: In Hungary, the Red Army captures Stuhlweissenburg. In the West, units of the US First Army advance from the Remagen bridgehead toward Siegburg. The US 8th Air Force launches a major attack (650 bombers) against Hamburg (3819).</w:t>
      </w:r>
    </w:p>
    <w:p w14:paraId="4445AFD5" w14:textId="77777777" w:rsidR="00665165" w:rsidRPr="00925F26" w:rsidRDefault="00665165" w:rsidP="00925F26">
      <w:pPr>
        <w:autoSpaceDE w:val="0"/>
        <w:autoSpaceDN w:val="0"/>
        <w:adjustRightInd w:val="0"/>
        <w:jc w:val="both"/>
        <w:rPr>
          <w:color w:val="000000" w:themeColor="text1"/>
          <w:sz w:val="16"/>
          <w:szCs w:val="16"/>
          <w:lang w:val="en-US"/>
        </w:rPr>
      </w:pPr>
    </w:p>
    <w:p w14:paraId="407750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в Венгрии КА заняла Секешфехервар. 1А США продвинулась к Зигбургу. 8ВА США совершила налет силами 650 б на Гамбург (3819).</w:t>
      </w:r>
    </w:p>
    <w:p w14:paraId="3C60BAF3" w14:textId="77777777" w:rsidR="00665165" w:rsidRPr="00925F26" w:rsidRDefault="00665165" w:rsidP="00925F26">
      <w:pPr>
        <w:autoSpaceDE w:val="0"/>
        <w:autoSpaceDN w:val="0"/>
        <w:adjustRightInd w:val="0"/>
        <w:jc w:val="both"/>
        <w:rPr>
          <w:color w:val="000000" w:themeColor="text1"/>
          <w:sz w:val="16"/>
          <w:szCs w:val="16"/>
        </w:rPr>
      </w:pPr>
    </w:p>
    <w:p w14:paraId="65F0CBC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1C6606A" w14:textId="77777777" w:rsidR="00665165" w:rsidRPr="00925F26" w:rsidRDefault="00665165" w:rsidP="00925F26">
      <w:pPr>
        <w:autoSpaceDE w:val="0"/>
        <w:autoSpaceDN w:val="0"/>
        <w:adjustRightInd w:val="0"/>
        <w:jc w:val="both"/>
        <w:rPr>
          <w:iCs/>
          <w:color w:val="000000" w:themeColor="text1"/>
          <w:sz w:val="16"/>
          <w:szCs w:val="16"/>
        </w:rPr>
      </w:pPr>
    </w:p>
    <w:p w14:paraId="126DBB85" w14:textId="77777777" w:rsidR="00DC5271" w:rsidRPr="00925F26" w:rsidRDefault="00DC5271" w:rsidP="00925F26">
      <w:pPr>
        <w:jc w:val="both"/>
        <w:rPr>
          <w:color w:val="000000" w:themeColor="text1"/>
          <w:sz w:val="16"/>
          <w:szCs w:val="16"/>
        </w:rPr>
      </w:pPr>
      <w:r w:rsidRPr="00925F26">
        <w:rPr>
          <w:bCs/>
          <w:color w:val="000000" w:themeColor="text1"/>
          <w:sz w:val="16"/>
          <w:szCs w:val="16"/>
        </w:rPr>
        <w:t>21 марта</w:t>
      </w:r>
      <w:r w:rsidRPr="00925F26">
        <w:rPr>
          <w:color w:val="000000" w:themeColor="text1"/>
          <w:sz w:val="16"/>
          <w:szCs w:val="16"/>
        </w:rPr>
        <w:t xml:space="preserve"> в 1945 году в Германии на испытательном стенде было проведено первое испытание ЖРД для ракеты "A-4"/SS-1/Scunner/ (Фау-2) (15075).</w:t>
      </w:r>
    </w:p>
    <w:p w14:paraId="16BF9E35" w14:textId="77777777" w:rsidR="00DC5271" w:rsidRPr="00925F26" w:rsidRDefault="00DC5271" w:rsidP="00925F26">
      <w:pPr>
        <w:jc w:val="both"/>
        <w:rPr>
          <w:color w:val="000000" w:themeColor="text1"/>
          <w:sz w:val="16"/>
          <w:szCs w:val="16"/>
        </w:rPr>
      </w:pPr>
    </w:p>
    <w:p w14:paraId="50251645" w14:textId="77777777" w:rsidR="00DC5271" w:rsidRPr="00925F26" w:rsidRDefault="00DC5271" w:rsidP="00925F26">
      <w:pPr>
        <w:autoSpaceDE w:val="0"/>
        <w:autoSpaceDN w:val="0"/>
        <w:adjustRightInd w:val="0"/>
        <w:jc w:val="both"/>
        <w:rPr>
          <w:color w:val="000000" w:themeColor="text1"/>
          <w:sz w:val="16"/>
          <w:szCs w:val="16"/>
        </w:rPr>
      </w:pPr>
      <w:r w:rsidRPr="00925F26">
        <w:rPr>
          <w:color w:val="000000" w:themeColor="text1"/>
          <w:sz w:val="16"/>
          <w:szCs w:val="16"/>
        </w:rPr>
        <w:t>21 марта 1945 началась разработка новой американской управляемой ракеты воздух-поверхность (1090).</w:t>
      </w:r>
    </w:p>
    <w:p w14:paraId="39D425B1" w14:textId="77777777" w:rsidR="00DC5271" w:rsidRPr="00925F26" w:rsidRDefault="00DC5271" w:rsidP="00925F26">
      <w:pPr>
        <w:autoSpaceDE w:val="0"/>
        <w:autoSpaceDN w:val="0"/>
        <w:adjustRightInd w:val="0"/>
        <w:jc w:val="both"/>
        <w:rPr>
          <w:color w:val="000000" w:themeColor="text1"/>
          <w:sz w:val="16"/>
          <w:szCs w:val="16"/>
        </w:rPr>
      </w:pPr>
    </w:p>
    <w:p w14:paraId="1AB6BBDD" w14:textId="77777777" w:rsidR="00DC5271" w:rsidRPr="00925F26" w:rsidRDefault="00DC5271" w:rsidP="00925F26">
      <w:pPr>
        <w:jc w:val="both"/>
        <w:rPr>
          <w:color w:val="000000" w:themeColor="text1"/>
          <w:sz w:val="16"/>
          <w:szCs w:val="16"/>
        </w:rPr>
      </w:pPr>
      <w:r w:rsidRPr="00925F26">
        <w:rPr>
          <w:bCs/>
          <w:color w:val="000000" w:themeColor="text1"/>
          <w:sz w:val="16"/>
          <w:szCs w:val="16"/>
        </w:rPr>
        <w:t>21 марта</w:t>
      </w:r>
      <w:r w:rsidRPr="00925F26">
        <w:rPr>
          <w:color w:val="000000" w:themeColor="text1"/>
          <w:sz w:val="16"/>
          <w:szCs w:val="16"/>
        </w:rPr>
        <w:t xml:space="preserve"> в 1945 году потоплен германский линкор "Шлезвиг-Гольштейн" (в строю с 1908 г., 14218 т, 19 узлов, главный калибр - 4 280-мм орудия), который был назван кораблем, начавшим Вторую мировую войну: в 4.45 1 сентября 1939 г. его орудия открыли огонь по польским укреплениям на полуострове Вестерплятте (15075).</w:t>
      </w:r>
    </w:p>
    <w:p w14:paraId="6F51C87A" w14:textId="77777777" w:rsidR="00DC5271" w:rsidRPr="00925F26" w:rsidRDefault="00DC5271" w:rsidP="00925F26">
      <w:pPr>
        <w:jc w:val="both"/>
        <w:rPr>
          <w:color w:val="000000" w:themeColor="text1"/>
          <w:sz w:val="16"/>
          <w:szCs w:val="16"/>
        </w:rPr>
      </w:pPr>
    </w:p>
    <w:p w14:paraId="2F84DD31" w14:textId="77777777" w:rsidR="00DC5271" w:rsidRPr="00925F26" w:rsidRDefault="00DC5271" w:rsidP="00925F26">
      <w:pPr>
        <w:jc w:val="both"/>
        <w:rPr>
          <w:color w:val="000000" w:themeColor="text1"/>
          <w:sz w:val="16"/>
          <w:szCs w:val="16"/>
        </w:rPr>
      </w:pPr>
      <w:r w:rsidRPr="00925F26">
        <w:rPr>
          <w:bCs/>
          <w:color w:val="000000" w:themeColor="text1"/>
          <w:sz w:val="16"/>
          <w:szCs w:val="16"/>
        </w:rPr>
        <w:t>21 марта</w:t>
      </w:r>
      <w:r w:rsidRPr="00925F26">
        <w:rPr>
          <w:color w:val="000000" w:themeColor="text1"/>
          <w:sz w:val="16"/>
          <w:szCs w:val="16"/>
        </w:rPr>
        <w:t xml:space="preserve"> в 1945 году фельдмаршалу Гудериану не удается уговорить Генриха Гиммлера вместе пойти к Адольфу Гитлеру и убедить его начать мирные переговоры (15075).</w:t>
      </w:r>
    </w:p>
    <w:p w14:paraId="172677CC" w14:textId="77777777" w:rsidR="00DC5271" w:rsidRPr="00925F26" w:rsidRDefault="00DC5271" w:rsidP="00925F26">
      <w:pPr>
        <w:jc w:val="both"/>
        <w:rPr>
          <w:color w:val="000000" w:themeColor="text1"/>
          <w:sz w:val="16"/>
          <w:szCs w:val="16"/>
        </w:rPr>
      </w:pPr>
    </w:p>
    <w:p w14:paraId="39CE7C2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марта 1945 американские войска захватили г. Майнц (Германия) (4962).</w:t>
      </w:r>
    </w:p>
    <w:p w14:paraId="417E33C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195D91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марта 1945 в ходе английского авианалета на центр Копенгагена погибли сотни мирных жителей, в том числе 86 школьников (самая большая трагедия Дании в ходе войны) (4962).</w:t>
      </w:r>
    </w:p>
    <w:p w14:paraId="0CB6729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E56006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марта 1945 фельдмаршал Гудериан не смог уговорить Гиммлера вместе пойти к Гитлеру и убедить его начать мирные переговоры (4962).</w:t>
      </w:r>
    </w:p>
    <w:p w14:paraId="5459BC6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19D2DC9" w14:textId="77777777" w:rsidR="00DC5271" w:rsidRPr="00925F26" w:rsidRDefault="00DC5271" w:rsidP="00925F26">
      <w:pPr>
        <w:jc w:val="both"/>
        <w:rPr>
          <w:color w:val="000000" w:themeColor="text1"/>
          <w:sz w:val="16"/>
          <w:szCs w:val="16"/>
        </w:rPr>
      </w:pPr>
      <w:r w:rsidRPr="00925F26">
        <w:rPr>
          <w:bCs/>
          <w:color w:val="000000" w:themeColor="text1"/>
          <w:sz w:val="16"/>
          <w:szCs w:val="16"/>
        </w:rPr>
        <w:t>21 марта</w:t>
      </w:r>
      <w:r w:rsidRPr="00925F26">
        <w:rPr>
          <w:color w:val="000000" w:themeColor="text1"/>
          <w:sz w:val="16"/>
          <w:szCs w:val="16"/>
        </w:rPr>
        <w:t xml:space="preserve"> в 1945 году налет германских быстроходных катеров на английский конвой у восточного побережья Англии (15075).</w:t>
      </w:r>
    </w:p>
    <w:p w14:paraId="55F2293F" w14:textId="77777777" w:rsidR="00DC5271" w:rsidRPr="00925F26" w:rsidRDefault="00DC5271" w:rsidP="00925F26">
      <w:pPr>
        <w:jc w:val="both"/>
        <w:rPr>
          <w:color w:val="000000" w:themeColor="text1"/>
          <w:sz w:val="16"/>
          <w:szCs w:val="16"/>
        </w:rPr>
      </w:pPr>
    </w:p>
    <w:p w14:paraId="46253C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марта 1945 состоялось первое боевое применение японцами ракетного снаряда Ока, управляемого камикадзе. Направили 18 самолетов Бетти с 16 Ока, т.к. на 2-х были обычные бомбы + 30 истребителей прикрытия для атаки 3-х авианосцев, поврежденных в предыдущих боях. На подлете группу атаковало 50 Хэлкэтов и сбили все бомбардировщики и 15 истребителей, т.ч. снаряды пущены не были (2969,21).</w:t>
      </w:r>
    </w:p>
    <w:p w14:paraId="1D960DDF" w14:textId="77777777" w:rsidR="00665165" w:rsidRPr="00925F26" w:rsidRDefault="00665165" w:rsidP="00925F26">
      <w:pPr>
        <w:autoSpaceDE w:val="0"/>
        <w:autoSpaceDN w:val="0"/>
        <w:adjustRightInd w:val="0"/>
        <w:jc w:val="both"/>
        <w:rPr>
          <w:color w:val="000000" w:themeColor="text1"/>
          <w:sz w:val="16"/>
          <w:szCs w:val="16"/>
        </w:rPr>
      </w:pPr>
    </w:p>
    <w:p w14:paraId="46A1FF74" w14:textId="77777777" w:rsidR="00670D8A" w:rsidRPr="00925F26" w:rsidRDefault="00670D8A" w:rsidP="00925F26">
      <w:pPr>
        <w:jc w:val="both"/>
        <w:rPr>
          <w:color w:val="000000" w:themeColor="text1"/>
          <w:sz w:val="16"/>
          <w:szCs w:val="16"/>
        </w:rPr>
      </w:pPr>
      <w:r w:rsidRPr="00925F26">
        <w:rPr>
          <w:color w:val="000000" w:themeColor="text1"/>
          <w:sz w:val="16"/>
          <w:szCs w:val="16"/>
        </w:rPr>
        <w:t>21 марта 1945 Императорский флот Японии впервые безуспешно использует управляемый человеком реактивный самолет - камикадзе с реактивным двигателем Yokosuka MXY7 Ohka («Цвет вишни») (20371).</w:t>
      </w:r>
    </w:p>
    <w:p w14:paraId="4FD1CDE5" w14:textId="77777777" w:rsidR="00670D8A" w:rsidRPr="00925F26" w:rsidRDefault="00670D8A" w:rsidP="00925F26">
      <w:pPr>
        <w:jc w:val="both"/>
        <w:rPr>
          <w:color w:val="000000" w:themeColor="text1"/>
          <w:sz w:val="16"/>
          <w:szCs w:val="16"/>
        </w:rPr>
      </w:pPr>
    </w:p>
    <w:p w14:paraId="209EE70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21 1945 The development of a rocket-powered surface-to-air guided missile, was initiated as the Bureau of Aeronautics awarded a contract for 100 experimental Larks to the Ranger Engine Division of Fairchild (1090).</w:t>
      </w:r>
    </w:p>
    <w:p w14:paraId="0B10AD51" w14:textId="77777777" w:rsidR="00665165" w:rsidRPr="00925F26" w:rsidRDefault="00665165" w:rsidP="00925F26">
      <w:pPr>
        <w:autoSpaceDE w:val="0"/>
        <w:autoSpaceDN w:val="0"/>
        <w:adjustRightInd w:val="0"/>
        <w:jc w:val="both"/>
        <w:rPr>
          <w:color w:val="000000" w:themeColor="text1"/>
          <w:sz w:val="16"/>
          <w:szCs w:val="16"/>
          <w:lang w:val="en-US"/>
        </w:rPr>
      </w:pPr>
    </w:p>
    <w:p w14:paraId="19D5A6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Утром 21 марта 1945 г. японский разведывательный самолет обнаружил американские авианосцы в 320 милях к югу от Кюсю.</w:t>
      </w:r>
    </w:p>
    <w:p w14:paraId="345CF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Командующий 5-м воздушным флотом (базовая авиация) вицеадмирал У. Матомэ принял решение о нанесении удара по авианосцам самолетами-снарядами. Ясная погода и отсутствие истребительно-авиационного заслона, утверждал он, благоприятствуют выполнению боевой задачи.</w:t>
      </w:r>
    </w:p>
    <w:p w14:paraId="6CE3AC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 корпуса «Боги грома» капитан I ранга О. Мотохару возражал против этой операции. Он считал, что медлительные и неуклюжие носители с подвешенными самолетами-снарядами представляют собой заманчивую цель для замечательных американских истребителей Хеллкет. Японские истребители, управляемые неопытными летчиками, не смогут защитить бомбардировщики с новым оружием. «Операция, – говорил О. Мотохару, – будет безнадежной и бесполезной».</w:t>
      </w:r>
    </w:p>
    <w:p w14:paraId="754F5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Подполковник Нонака (по другим переводам – Ионака) вообще скептически относился к самолету-снаряду Ока. Больше всего его угнетала мысль, что, проводив и отправив своих товарищей по оружию на смерть, он должен вернуться, чтобы снова и снова выполнять эту тяжкую миссию. Для себя он решил, что в первом же боевом вылете совершит самоубийственную атаку на корабль противника. Он даже отослал жене личные вещи, включая и любимый набор для чайной церемонии.</w:t>
      </w:r>
    </w:p>
    <w:p w14:paraId="00240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адмирал Угаки настоял на своем решении. Его поддержал командующий авиацией флота на острове Кюсю. Подготовка к вылету заняла немного времени. Перед проведением прощального ритуала произошел несчастный случай. Один из летчиков-камикадзе, неся поднос с чашечками сакэ, проходил мимо бомбардировщика. Летчик этого самолета-носителя внезапно запустил моторы, проверяя их. «Бог грома» был мгновенно изрублен лопастями винта. Тело сразу же убрали с полосы, но на аэродроме установилась гнетущая атмосфера. В этот момент раздалась дробь барабана, и летчики корпуса выстроились перед зданием штаба. Окамура обратился к ним со слезами на глазах: «…Храбрость и решительность повергнет даже дьявола. С вашим страстным духом мученичества вы сможете преодолеть любые трудности… Сейчас вы уйдете в другой мир. Я молюсь, чтобы вы продолжали оставаться там такими же чистыми, прекрасными, здоровыми и благородными, как в этой жизни…» «Боги грома» выпили церемониальное сакэ, прокричали прощальные слова и направились к самолетам. Перед вылетом техники поклялись смертникам в готовности машин, а экипажи носителей и эскорта – довести их до цели. В подземном пункте управления полетами напряженно ожидали сообщений, но их не было. Все успокаивали себя тем, что летчики вынуждены были соблюдать режим радиомолчания. В 15 часов, когда топливо в самолетах должно было быть на исходе, Угаки приказал запросить по радио подполковника Нонака. Ответа не последовало.</w:t>
      </w:r>
    </w:p>
    <w:p w14:paraId="00A720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Когда начало темнеть, на аэродроме приземлился поврежденный Зеро. Затем еще один. Всего из полета вернулось пять потрепанных истребителей. Летчики доложили развитие обстановки: в 100–150 км от авианосцев (оперативное время 14 часов) группу японских самолетов обнаружили, и с авианосцев «Хорнет» и «Бели Вуд» по тревоге в воздух было поднято около 150 (Иванов Ю.Г. Камикадзе: пилоты-смертники. Смоленск: Русич, 2001.) (50 (Хорикоши Д., Окумия М., Кайдин М. Японская авиация во Второй мировой войне. М.: АСТ, 2001.)) истребителей Хеллкет. 30 японских истребителей отчаянно, но безуспешно отбивали атаки американцев. Тяжелогруженные бомбардировщики стали легкой целью для американских истребителей.</w:t>
      </w:r>
    </w:p>
    <w:p w14:paraId="269DDB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Через 10 минут в воду рухнуло 11 сбитых самолетов-носителей.</w:t>
      </w:r>
    </w:p>
    <w:p w14:paraId="110BE3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 пытались сбросить самолеты-снаряды, чтобы улучшить свою маневренность, но у них ничего не получилось. Вскоре в небе осталось только три бомбардировщика, один из них – подполковника Нонака. Последнее, что увидели японские летчики-истребители, прежде чем скрыться в облаках, – все три бомбардировщика, крыло к крылу, пикировали в самоубийственной атаке.</w:t>
      </w:r>
    </w:p>
    <w:p w14:paraId="1026D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Получив рапорт о провале операции, командующий Объединенным флотом адмирал Тойода был шокирован: надежды на чудооружие мгновенно растаяли. Бомбардировщики с самолетами-снарядами не смогли даже приблизиться к авианосцам. Погибло 160 летчиков, в том числе и 15 пилотов самолета Ока. Полгода интенсивной подготовки оказались напрасными. Командование 5-го воздушного флота также не могло поверить, что первая массированная атака «Богов грома» катастрофически провалилась. От грозной силы остались жалкие остатки. Капитан I ранга Окамура, персонально ответственный за подготовку к боевому применению корпуса, еле сдерживал себя от ярости. Он признавал вину за собой, что согласился с приказом вице-адмирала Угаки провести дневную операцию без достаточного количества истребителей прикрытия.</w:t>
      </w:r>
    </w:p>
    <w:p w14:paraId="3DEB4F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Срочно была создана комиссия для выяснения причин срыва удара самолетами-снарядами по американским кораблям. В нее вошли заместитель начальника Главного морского штаба вицеадмирал О. Дзисабуро и заместитель начальника штаба Объединенного флота контр-адмирал Такада. Одной из рекомендаций комиссии стало предложение проводить самоубийственные атаки одиночными самолетами-носителями. Это была поддержка личных размышлений Окамуры.</w:t>
      </w:r>
    </w:p>
    <w:p w14:paraId="075C80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свете рекомендаций комиссии капитан I ранга Окамура провел реорганизацию корпуса, вплоть до изменения его оргштатной структуры. Была ликвидирована эскадрилья истребителей эскорта, а все летчики разделены на две группы. В одной группе оказались все пилоты, прошедшие подготовку на самолетах Ока, а в другой – летчики, которые должны были совершить самоубийственные атаки на истребителях Зеро (11686).</w:t>
      </w:r>
    </w:p>
    <w:p w14:paraId="02B4FB1A" w14:textId="77777777" w:rsidR="00665165" w:rsidRPr="00925F26" w:rsidRDefault="00665165" w:rsidP="00925F26">
      <w:pPr>
        <w:autoSpaceDE w:val="0"/>
        <w:autoSpaceDN w:val="0"/>
        <w:adjustRightInd w:val="0"/>
        <w:jc w:val="both"/>
        <w:rPr>
          <w:color w:val="000000" w:themeColor="text1"/>
          <w:sz w:val="16"/>
          <w:szCs w:val="16"/>
        </w:rPr>
      </w:pPr>
    </w:p>
    <w:p w14:paraId="7411D85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BA4FE15" w14:textId="77777777" w:rsidR="00665165" w:rsidRPr="00925F26" w:rsidRDefault="00665165" w:rsidP="00925F26">
      <w:pPr>
        <w:autoSpaceDE w:val="0"/>
        <w:autoSpaceDN w:val="0"/>
        <w:adjustRightInd w:val="0"/>
        <w:jc w:val="both"/>
        <w:rPr>
          <w:iCs/>
          <w:color w:val="000000" w:themeColor="text1"/>
          <w:sz w:val="16"/>
          <w:szCs w:val="16"/>
        </w:rPr>
      </w:pPr>
    </w:p>
    <w:p w14:paraId="33B46E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года секретарь Хабаровского крайкома ВКП(б) Р. Назаров, командующий войсками Дальневосточного фронта генерала армии М. Пуркаев и уполномоченный Госплана СССР В. Костенни- Як-9 в полете ков направили И.В. Сталину докладную записку "О комплексном развитии авиационной промышленности Дальнего Востока" следующего содержания:</w:t>
      </w:r>
    </w:p>
    <w:p w14:paraId="2BF59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"Слабость внешних и внутренних транспортных связей Дальнего Востока, удаленность его от основных промышленных районов страны создают исключительно сложные и трудные условия вероятного театра военных действий. Единственная железнодорожная магистраль, связывающая Дальний Восток с промышленными центрами Союза и проходящая вдоль государственной границы, может затруднить в период военных действий своевременную доставку материальных ресурсов фронту вообще, самолетов и авиамоторов в особенности.</w:t>
      </w:r>
    </w:p>
    <w:p w14:paraId="07D494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Учитывая нужды фронта и народного хозяйства края, необходимо теперь обеспечить комплексное развитие авиационной промышленности на базе трех действующих и одного недействующего авиационных заводов Дальнего Востока...</w:t>
      </w:r>
    </w:p>
    <w:p w14:paraId="01512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Мощности авиационных заводов недостаточно загружены и позволяют, при рациональном их использовании, организовать производство новых самолетов, нужных ВВС Дальневосточного фронта. Поэтому необходимо завод № 126 в г. Комсомольске- на-Амуре перевести на производство самолетов типа Ил-2 вместо производимых им Ил-4; завод № 83 в г. Хабаровске перевести на производство самолетов типа Як-9 вместо производимых им агрегатов к Ил-4 для завода № 126 и россыпи к самолетам ВВС Дальневосточного фронта; завод № П6 в Семе- новке Приморского края перевести на производство самолетов типа Як-9 вместо производимых им самолетов Ту-2. Самолеты Ту-2 Дальневосточному фронту не нужны, [они] вывозятся на запад и загружают тем самым железнодорожный транспорт...".</w:t>
      </w:r>
    </w:p>
    <w:p w14:paraId="228A46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реакция руководства страны (по сведениям автора) на это послание так и не последовало (12046).</w:t>
      </w:r>
    </w:p>
    <w:p w14:paraId="2DC36993" w14:textId="77777777" w:rsidR="00665165" w:rsidRPr="00925F26" w:rsidRDefault="00665165" w:rsidP="00925F26">
      <w:pPr>
        <w:autoSpaceDE w:val="0"/>
        <w:autoSpaceDN w:val="0"/>
        <w:adjustRightInd w:val="0"/>
        <w:jc w:val="both"/>
        <w:rPr>
          <w:color w:val="000000" w:themeColor="text1"/>
          <w:sz w:val="16"/>
          <w:szCs w:val="16"/>
        </w:rPr>
      </w:pPr>
    </w:p>
    <w:p w14:paraId="3CB5F3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года по распоряжению правительства от Як-3 с ВК-107А сняли с производства на заводе в Саратове. Правда, в Тбилиси разрешили собирать машины из оставшегося задела, но в августе и там остановили их выпуск. Судя по всему, задел по Як-3 использовали для изготовления реактивных Як-15.</w:t>
      </w:r>
    </w:p>
    <w:p w14:paraId="2B475A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отличие от истребителя Як-9 с мотором ВК-107А, построенного в 2214 экземплярах, оба завода выпустили лишь 51 Як-3 ВК-107А. Им были свойственны те же дефекты, что и Як-9, но главным был все же неудовлетворительный температурный режим двигателя. </w:t>
      </w:r>
    </w:p>
    <w:p w14:paraId="6B7032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 самолетов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F5689" w:rsidRPr="00925F26" w14:paraId="343E76B6" w14:textId="77777777">
        <w:tc>
          <w:tcPr>
            <w:tcW w:w="2242" w:type="dxa"/>
            <w:tcBorders>
              <w:top w:val="single" w:sz="12" w:space="0" w:color="auto"/>
            </w:tcBorders>
          </w:tcPr>
          <w:p w14:paraId="4A3E6F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w:t>
            </w:r>
          </w:p>
        </w:tc>
        <w:tc>
          <w:tcPr>
            <w:tcW w:w="2242" w:type="dxa"/>
            <w:tcBorders>
              <w:top w:val="single" w:sz="12" w:space="0" w:color="auto"/>
            </w:tcBorders>
          </w:tcPr>
          <w:p w14:paraId="5851F9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Тип/год</w:t>
            </w:r>
          </w:p>
        </w:tc>
        <w:tc>
          <w:tcPr>
            <w:tcW w:w="2242" w:type="dxa"/>
            <w:tcBorders>
              <w:top w:val="single" w:sz="12" w:space="0" w:color="auto"/>
            </w:tcBorders>
          </w:tcPr>
          <w:p w14:paraId="5BCB91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2242" w:type="dxa"/>
            <w:tcBorders>
              <w:top w:val="single" w:sz="12" w:space="0" w:color="auto"/>
            </w:tcBorders>
          </w:tcPr>
          <w:p w14:paraId="2B9613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c>
          <w:tcPr>
            <w:tcW w:w="2242" w:type="dxa"/>
            <w:tcBorders>
              <w:top w:val="single" w:sz="12" w:space="0" w:color="auto"/>
            </w:tcBorders>
          </w:tcPr>
          <w:p w14:paraId="3764E1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1946 г.</w:t>
            </w:r>
          </w:p>
        </w:tc>
      </w:tr>
      <w:tr w:rsidR="000F5689" w:rsidRPr="00925F26" w14:paraId="056D064D" w14:textId="77777777">
        <w:tc>
          <w:tcPr>
            <w:tcW w:w="2242" w:type="dxa"/>
          </w:tcPr>
          <w:p w14:paraId="5B5CE8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2242" w:type="dxa"/>
          </w:tcPr>
          <w:p w14:paraId="1659F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2242" w:type="dxa"/>
          </w:tcPr>
          <w:p w14:paraId="1449C4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498</w:t>
            </w:r>
          </w:p>
        </w:tc>
        <w:tc>
          <w:tcPr>
            <w:tcW w:w="2242" w:type="dxa"/>
          </w:tcPr>
          <w:p w14:paraId="6CF7F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462</w:t>
            </w:r>
          </w:p>
        </w:tc>
        <w:tc>
          <w:tcPr>
            <w:tcW w:w="2242" w:type="dxa"/>
          </w:tcPr>
          <w:p w14:paraId="7EBF21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CB604E2" w14:textId="77777777">
        <w:tc>
          <w:tcPr>
            <w:tcW w:w="2242" w:type="dxa"/>
          </w:tcPr>
          <w:p w14:paraId="429779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2242" w:type="dxa"/>
          </w:tcPr>
          <w:p w14:paraId="481E5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ВК-105ПФ2</w:t>
            </w:r>
          </w:p>
        </w:tc>
        <w:tc>
          <w:tcPr>
            <w:tcW w:w="2242" w:type="dxa"/>
          </w:tcPr>
          <w:p w14:paraId="4E8E9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1682</w:t>
            </w:r>
          </w:p>
        </w:tc>
        <w:tc>
          <w:tcPr>
            <w:tcW w:w="2242" w:type="dxa"/>
          </w:tcPr>
          <w:p w14:paraId="4EE812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1918</w:t>
            </w:r>
          </w:p>
        </w:tc>
        <w:tc>
          <w:tcPr>
            <w:tcW w:w="2242" w:type="dxa"/>
          </w:tcPr>
          <w:p w14:paraId="382C75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w:t>
            </w:r>
          </w:p>
        </w:tc>
      </w:tr>
      <w:tr w:rsidR="000F5689" w:rsidRPr="00925F26" w14:paraId="204C6B9F" w14:textId="77777777">
        <w:tc>
          <w:tcPr>
            <w:tcW w:w="2242" w:type="dxa"/>
          </w:tcPr>
          <w:p w14:paraId="0DE613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2242" w:type="dxa"/>
          </w:tcPr>
          <w:p w14:paraId="4E8778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2242" w:type="dxa"/>
          </w:tcPr>
          <w:p w14:paraId="3E2221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42" w:type="dxa"/>
          </w:tcPr>
          <w:p w14:paraId="3E753D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2242" w:type="dxa"/>
          </w:tcPr>
          <w:p w14:paraId="32B9E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r>
      <w:tr w:rsidR="000F5689" w:rsidRPr="00925F26" w14:paraId="0765BEF8" w14:textId="77777777">
        <w:tc>
          <w:tcPr>
            <w:tcW w:w="2242" w:type="dxa"/>
            <w:tcBorders>
              <w:bottom w:val="single" w:sz="12" w:space="0" w:color="auto"/>
            </w:tcBorders>
          </w:tcPr>
          <w:p w14:paraId="2EC970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2242" w:type="dxa"/>
            <w:tcBorders>
              <w:bottom w:val="single" w:sz="12" w:space="0" w:color="auto"/>
            </w:tcBorders>
          </w:tcPr>
          <w:p w14:paraId="00EAF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2242" w:type="dxa"/>
            <w:tcBorders>
              <w:bottom w:val="single" w:sz="12" w:space="0" w:color="auto"/>
            </w:tcBorders>
          </w:tcPr>
          <w:p w14:paraId="505C1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42" w:type="dxa"/>
            <w:tcBorders>
              <w:bottom w:val="single" w:sz="12" w:space="0" w:color="auto"/>
            </w:tcBorders>
          </w:tcPr>
          <w:p w14:paraId="78CD7E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42" w:type="dxa"/>
            <w:tcBorders>
              <w:bottom w:val="single" w:sz="12" w:space="0" w:color="auto"/>
            </w:tcBorders>
          </w:tcPr>
          <w:p w14:paraId="7E75C7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r>
    </w:tbl>
    <w:p w14:paraId="655BF2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(12047).</w:t>
      </w:r>
    </w:p>
    <w:p w14:paraId="13750FD9" w14:textId="77777777" w:rsidR="00665165" w:rsidRPr="00925F26" w:rsidRDefault="00665165" w:rsidP="00925F26">
      <w:pPr>
        <w:autoSpaceDE w:val="0"/>
        <w:autoSpaceDN w:val="0"/>
        <w:adjustRightInd w:val="0"/>
        <w:jc w:val="both"/>
        <w:rPr>
          <w:color w:val="000000" w:themeColor="text1"/>
          <w:sz w:val="16"/>
          <w:szCs w:val="16"/>
        </w:rPr>
      </w:pPr>
    </w:p>
    <w:p w14:paraId="0CEDB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года зам. начальника и начальник штаба ВВС ВМФ генерал-лейтенант авиации Бартновский писал письмо N 10502с Шахурину.</w:t>
      </w:r>
    </w:p>
    <w:p w14:paraId="17B766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ГОКО N 4093 от 12 ноября 1943 года завод Подъемно-транспортного оборудования им. Кирова НКТМ совместно с заводом N 458 НКАП в течение 1943-44 г.г. произвели модернизацию самолетного вооружения крейсера "Молотов", имевшую целью установку на корабле звена самолетов в составе 2-х истребителей "Спитфайр" и разведчика - летающей лодки Бе-4.</w:t>
      </w:r>
    </w:p>
    <w:p w14:paraId="71D118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1944 года комиссия НКВМФ провела государственные испытания авиационного оборудования крейсера "Молотов"; отчет комиссии утвержден наркомом ВМФ адмиралом флота Кузнецовым.</w:t>
      </w:r>
    </w:p>
    <w:p w14:paraId="7DAD20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испытаний установлено, что для ввода в эксплуатацию самолетного вооружения крейсера "Молотов" необходимо по заводу N 458 НКАП (переоборудовавшему истребители "Спитфайр") и по заводу N 477 НКАП (выпускающему серийно разведчики Бе-4) выполнить ряд доводочных работ отмеченных в отчете комиссии.</w:t>
      </w:r>
    </w:p>
    <w:p w14:paraId="75C300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Направляя при этом выводы комиссии с перечнем необходимых работ, прошу Ваших указаний заводам N 458 и N 477 об их выполнении к 15-му мая с.г. (2595).</w:t>
      </w:r>
    </w:p>
    <w:p w14:paraId="54F8BED2" w14:textId="77777777" w:rsidR="00665165" w:rsidRPr="00925F26" w:rsidRDefault="00665165" w:rsidP="00925F26">
      <w:pPr>
        <w:autoSpaceDE w:val="0"/>
        <w:autoSpaceDN w:val="0"/>
        <w:adjustRightInd w:val="0"/>
        <w:jc w:val="both"/>
        <w:rPr>
          <w:color w:val="000000" w:themeColor="text1"/>
          <w:sz w:val="16"/>
          <w:szCs w:val="16"/>
        </w:rPr>
      </w:pPr>
    </w:p>
    <w:p w14:paraId="65BD4E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года вышел приказ НКАП № 111с об организации на заводе № 87 ремонта электротеплоизмерительных приборов (8964).</w:t>
      </w:r>
    </w:p>
    <w:p w14:paraId="2A7ACC37" w14:textId="77777777" w:rsidR="00665165" w:rsidRPr="00925F26" w:rsidRDefault="00665165" w:rsidP="00925F26">
      <w:pPr>
        <w:autoSpaceDE w:val="0"/>
        <w:autoSpaceDN w:val="0"/>
        <w:adjustRightInd w:val="0"/>
        <w:jc w:val="both"/>
        <w:rPr>
          <w:color w:val="000000" w:themeColor="text1"/>
          <w:sz w:val="16"/>
          <w:szCs w:val="16"/>
        </w:rPr>
      </w:pPr>
    </w:p>
    <w:p w14:paraId="43F929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 xml:space="preserve">22 марта 1945 г. была Докладная записка "О комплексном развитии авиационной промышленности Дальнего Востока", направленная председателю СНК СССР И.В. Сталину </w:t>
      </w:r>
    </w:p>
    <w:p w14:paraId="48C4A2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Совершенно секретно</w:t>
      </w:r>
    </w:p>
    <w:p w14:paraId="3A92D9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Слабость внешних и внутренних транспортных связей Дальнего Востока, удаленность его от основных промышленных районов страны создают исключительно сложные и трудные условия вероятного театра военных действий. Единственная железнодорожная магистраль, связывающая Дальний Восток с промышленными центрами Союза и проходящая вдоль государственной границы, может затруднить в период военных действий своевременную доставку материальных ресурсов фронту вообще, самолетов и авиамоторов в особенности.</w:t>
      </w:r>
    </w:p>
    <w:p w14:paraId="2EAB53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Учитывая нужды фронта и народного хозяйства края, необходимо теперь обеспечить комплексное развитие авиационной промышленности на базе трех действующих и одного недействующего авиационных заводов Дальнего Востока. Для создания комплекса в авиационной промышленности необходимо организовать на Дальнем Востоке производство авиамоторов, которые до сих пор завозятся из западных районов Союза. Одновременно крайне необходимо перестроить работу действующих авиационных заводов и перевести их на серийное производство самолетов для удовлетворения потребностей военно-воздушных сил Дальневосточного фронта.</w:t>
      </w:r>
    </w:p>
    <w:p w14:paraId="7DB05F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этих целях производство авиамоторов целесообразно организовать на заводе № 130 в г. Комсомольске-на-Амуре после окончания его строительства. Завод № 130, предназначавшийся для производства истребителей, законсервирован в 1941 г. (70% технической готовности основных производственных объектов). Общие затраты на строительство завода № 130 составили 130 млн руб.; производственные площади готовностью 70% составляют 40 тыс. 256 кв. метров.</w:t>
      </w:r>
    </w:p>
    <w:p w14:paraId="725420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Вместе с тем наличные мощности авиационных заводов недостаточно загружены и позволяют, при рациональном их использовании, организовать производство новых самолетов, нужных ВВС Дальневосточного фронта. Поэтому необходимо завод № 126 в г. Комсомольске-на-Амуре перевести на производство самолетов типа ИЛ-2 вместо производимых им ИЛ-4; завод № 83 в г. Хабаровске перевести на производство самолетов типа ЯК-9 вместо производимых им агрегатов к ИЛ-4 для завода № 126 и россыпи к самолетам ВВС Дальневосточного фронта; завод № 116 в Семеновке Приморского края перевести на производство самолетов типа ЯК-9 вместо производимых им самолетов ТУ-2. Самолеты ТУ-2 Дальневосточному фронту не нужны, [они] вывозятся на запад и загружают тем самым железнодорожный транспорт.</w:t>
      </w:r>
    </w:p>
    <w:p w14:paraId="208123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Перевод дальневосточных заводов на производство новых типов самолетов обеспечит пополнение штата боевого состава ВВС Дальневосточного фронта по штурмовой и истребительной авиации и послужит базой для развития гражданского самолетостроения.</w:t>
      </w:r>
    </w:p>
    <w:p w14:paraId="152AB8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создания на Дальнем Востоке законченного цикла авиационной промышленности - просим Вас, тов. Сталин, обязать Наркомавиапром:</w:t>
      </w:r>
    </w:p>
    <w:p w14:paraId="22E222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Закончить в 1945 г. строительство производственных корпусов завода №130 в г. Комсомольске-на-Амуре и организовать на этом заводе производство 8-9 авиамоторов в сутки типа АМ-38 - в первый год работы завода.</w:t>
      </w:r>
    </w:p>
    <w:p w14:paraId="5850B4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Завод № 126 в г. Комсомольске-на-Амуре перевести на серийное производство самолетов типа ИЛ-2 до 3-3,5 самолета в сутки.</w:t>
      </w:r>
    </w:p>
    <w:p w14:paraId="2B259B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Завод № 116 в с. Семеновка (Приморье) перевести на серийное производство самолетов типа ЯК-9 до 3-3,5 самолета в сутки.</w:t>
      </w:r>
    </w:p>
    <w:p w14:paraId="5CC58D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Завод № 83 в г. Хабаровске перевести на производство самолетов типа ЯК-9 до 2-2,5 самолета в сутки.</w:t>
      </w:r>
    </w:p>
    <w:p w14:paraId="21D473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этих мероприятий укрепит Дальний Восток как форпост советской власти на Востоке, разгрузит железнодорожный транспорт, сократит нерациональные и дальние перевозки и послужит базой развития квалифицированного машиностроения на Дальнем Востоке.</w:t>
      </w:r>
    </w:p>
    <w:p w14:paraId="6E6C4D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Секретарь Хабаровского крайкома ВКП(б) Р. Назаров</w:t>
      </w:r>
    </w:p>
    <w:p w14:paraId="4BE33E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войсками Дальневосточного фронта генерал армии М. Пуркаев</w:t>
      </w:r>
    </w:p>
    <w:p w14:paraId="67DD5C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Уполномоченный Госплана СССР В. Костенников</w:t>
      </w:r>
    </w:p>
    <w:p w14:paraId="32312E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 Р-1276. Оп. 1. Д. 21. Л.1-4. Машинописная копия (11629).</w:t>
      </w:r>
    </w:p>
    <w:p w14:paraId="23DC51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623E14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9853848" w14:textId="77777777" w:rsidR="00665165" w:rsidRPr="00925F26" w:rsidRDefault="00665165" w:rsidP="00925F26">
      <w:pPr>
        <w:autoSpaceDE w:val="0"/>
        <w:autoSpaceDN w:val="0"/>
        <w:adjustRightInd w:val="0"/>
        <w:jc w:val="both"/>
        <w:rPr>
          <w:iCs/>
          <w:color w:val="000000" w:themeColor="text1"/>
          <w:sz w:val="16"/>
          <w:szCs w:val="16"/>
        </w:rPr>
      </w:pPr>
    </w:p>
    <w:p w14:paraId="46CCE8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7898. О введении второй очереди графика ограничений отпуска электроэнергии потребителям Горьковской энергосистемы. РГАНИР, Фонд ГКО, д. 383, лл. 1 (11012).</w:t>
      </w:r>
    </w:p>
    <w:p w14:paraId="3DFDF910" w14:textId="77777777" w:rsidR="00665165" w:rsidRPr="00925F26" w:rsidRDefault="00665165" w:rsidP="00925F26">
      <w:pPr>
        <w:autoSpaceDE w:val="0"/>
        <w:autoSpaceDN w:val="0"/>
        <w:adjustRightInd w:val="0"/>
        <w:jc w:val="both"/>
        <w:rPr>
          <w:color w:val="000000" w:themeColor="text1"/>
          <w:sz w:val="16"/>
          <w:szCs w:val="16"/>
        </w:rPr>
      </w:pPr>
    </w:p>
    <w:p w14:paraId="5348B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7899. О графике отгрузки угля Игумновской ТЭЦ. РГАНИР, Фонд ГКО, д. 383, лл. 2 (11012).</w:t>
      </w:r>
    </w:p>
    <w:p w14:paraId="276C9AA9" w14:textId="77777777" w:rsidR="00665165" w:rsidRPr="00925F26" w:rsidRDefault="00665165" w:rsidP="00925F26">
      <w:pPr>
        <w:autoSpaceDE w:val="0"/>
        <w:autoSpaceDN w:val="0"/>
        <w:adjustRightInd w:val="0"/>
        <w:jc w:val="both"/>
        <w:rPr>
          <w:color w:val="000000" w:themeColor="text1"/>
          <w:sz w:val="16"/>
          <w:szCs w:val="16"/>
        </w:rPr>
      </w:pPr>
    </w:p>
    <w:p w14:paraId="0C760F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7900. О поставках металла НКУП. РГАНИР, Фонд ГКО, д. 383, лл. 3 (11012).</w:t>
      </w:r>
    </w:p>
    <w:p w14:paraId="28404D80" w14:textId="77777777" w:rsidR="00665165" w:rsidRPr="00925F26" w:rsidRDefault="00665165" w:rsidP="00925F26">
      <w:pPr>
        <w:autoSpaceDE w:val="0"/>
        <w:autoSpaceDN w:val="0"/>
        <w:adjustRightInd w:val="0"/>
        <w:jc w:val="both"/>
        <w:rPr>
          <w:color w:val="000000" w:themeColor="text1"/>
          <w:sz w:val="16"/>
          <w:szCs w:val="16"/>
        </w:rPr>
      </w:pPr>
    </w:p>
    <w:p w14:paraId="45E9EBD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22 марта 1945 вышло Распоряжение ГКО № 7901 [О возобновлении с осени 1945 г. занятий в Ленинградском </w:t>
      </w:r>
      <w:proofErr w:type="gramStart"/>
      <w:r w:rsidRPr="00925F26">
        <w:rPr>
          <w:color w:val="000000" w:themeColor="text1"/>
          <w:sz w:val="16"/>
          <w:szCs w:val="16"/>
        </w:rPr>
        <w:t>станко-инструментальном</w:t>
      </w:r>
      <w:proofErr w:type="gramEnd"/>
      <w:r w:rsidRPr="00925F26">
        <w:rPr>
          <w:color w:val="000000" w:themeColor="text1"/>
          <w:sz w:val="16"/>
          <w:szCs w:val="16"/>
        </w:rPr>
        <w:t xml:space="preserve"> институте НКСС.] (7318, 4).</w:t>
      </w:r>
    </w:p>
    <w:p w14:paraId="3A093D6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F851E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7902. О прописке в Ленинграде 1100 рабочих, мобилизованных на предприятия и стройки НКстроя. РГАНИР, Фонд ГКО, д. 383, лл. 5 (11012).</w:t>
      </w:r>
    </w:p>
    <w:p w14:paraId="00F2501C" w14:textId="77777777" w:rsidR="00665165" w:rsidRPr="00925F26" w:rsidRDefault="00665165" w:rsidP="00925F26">
      <w:pPr>
        <w:autoSpaceDE w:val="0"/>
        <w:autoSpaceDN w:val="0"/>
        <w:adjustRightInd w:val="0"/>
        <w:jc w:val="both"/>
        <w:rPr>
          <w:color w:val="000000" w:themeColor="text1"/>
          <w:sz w:val="16"/>
          <w:szCs w:val="16"/>
        </w:rPr>
      </w:pPr>
    </w:p>
    <w:p w14:paraId="6AF7F4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7904. О реэвакуации 1-го Ленинградского пехотного училища им. Кирова. РГАНИР, Фонд ГКО, д. 383, лл. 7 (11012).</w:t>
      </w:r>
    </w:p>
    <w:p w14:paraId="45781466" w14:textId="77777777" w:rsidR="00665165" w:rsidRPr="00925F26" w:rsidRDefault="00665165" w:rsidP="00925F26">
      <w:pPr>
        <w:autoSpaceDE w:val="0"/>
        <w:autoSpaceDN w:val="0"/>
        <w:adjustRightInd w:val="0"/>
        <w:jc w:val="both"/>
        <w:rPr>
          <w:color w:val="000000" w:themeColor="text1"/>
          <w:sz w:val="16"/>
          <w:szCs w:val="16"/>
        </w:rPr>
      </w:pPr>
    </w:p>
    <w:p w14:paraId="2AB379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Постановление ГКО № 7910 О передаче Наркомсредмашу авторемонтного завода Наркомавтотранспорта РСФСР в г. Иркутске. РГАНИР, Фонд ГКО, д. 383, лл. 14 (11012).</w:t>
      </w:r>
    </w:p>
    <w:p w14:paraId="4236D191" w14:textId="77777777" w:rsidR="00665165" w:rsidRPr="00925F26" w:rsidRDefault="00665165" w:rsidP="00925F26">
      <w:pPr>
        <w:autoSpaceDE w:val="0"/>
        <w:autoSpaceDN w:val="0"/>
        <w:adjustRightInd w:val="0"/>
        <w:jc w:val="both"/>
        <w:rPr>
          <w:color w:val="000000" w:themeColor="text1"/>
          <w:sz w:val="16"/>
          <w:szCs w:val="16"/>
        </w:rPr>
      </w:pPr>
    </w:p>
    <w:p w14:paraId="4C12813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7908 [О реэвакуации сотрудников Ленинградского отделения Гипроречтранса.] (7318, 11).</w:t>
      </w:r>
    </w:p>
    <w:p w14:paraId="7CF3F72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65D09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 эсминец "Огневой" вступил в строй, став единственным новым эсминцем, достроенным во вре</w:t>
      </w:r>
      <w:r w:rsidRPr="00925F26">
        <w:rPr>
          <w:color w:val="000000" w:themeColor="text1"/>
          <w:sz w:val="16"/>
          <w:szCs w:val="16"/>
        </w:rPr>
        <w:softHyphen/>
        <w:t>мя войны (3898).</w:t>
      </w:r>
    </w:p>
    <w:p w14:paraId="2A53A272" w14:textId="77777777" w:rsidR="00665165" w:rsidRPr="00925F26" w:rsidRDefault="00665165" w:rsidP="00925F26">
      <w:pPr>
        <w:autoSpaceDE w:val="0"/>
        <w:autoSpaceDN w:val="0"/>
        <w:adjustRightInd w:val="0"/>
        <w:jc w:val="both"/>
        <w:rPr>
          <w:color w:val="000000" w:themeColor="text1"/>
          <w:sz w:val="16"/>
          <w:szCs w:val="16"/>
        </w:rPr>
      </w:pPr>
    </w:p>
    <w:p w14:paraId="658BA9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марта 1945 вышел приказ о дополнительных полигонных испытаниях танка "Объект 701" (10703).</w:t>
      </w:r>
    </w:p>
    <w:p w14:paraId="3A002A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36A3DB9" w14:textId="77777777" w:rsidR="00DC5271" w:rsidRPr="00925F26" w:rsidRDefault="00DC5271" w:rsidP="00925F26">
      <w:pPr>
        <w:jc w:val="both"/>
        <w:rPr>
          <w:color w:val="000000" w:themeColor="text1"/>
          <w:sz w:val="16"/>
          <w:szCs w:val="16"/>
        </w:rPr>
      </w:pPr>
      <w:r w:rsidRPr="00925F26">
        <w:rPr>
          <w:bCs/>
          <w:color w:val="000000" w:themeColor="text1"/>
          <w:sz w:val="16"/>
          <w:szCs w:val="16"/>
        </w:rPr>
        <w:t>22 марта</w:t>
      </w:r>
      <w:r w:rsidRPr="00925F26">
        <w:rPr>
          <w:color w:val="000000" w:themeColor="text1"/>
          <w:sz w:val="16"/>
          <w:szCs w:val="16"/>
        </w:rPr>
        <w:t xml:space="preserve"> в 1945 году приступил к своей деятельности Научно-исследовательский институт по урану, образованный в 1944 г. постановлением КО в системе НКВД СССР. Ныне ГНЦ Российской Федерации - ФГУП "Всероссийский НИИ неорганических материалов имени академика А.А.Бочвара" - головная организация Минатома Российской Федерации по проблемам материаловедения и технологий</w:t>
      </w:r>
    </w:p>
    <w:p w14:paraId="0DCEACEA" w14:textId="77777777" w:rsidR="00DC5271" w:rsidRPr="00925F26" w:rsidRDefault="00DC5271" w:rsidP="00925F26">
      <w:pPr>
        <w:jc w:val="both"/>
        <w:rPr>
          <w:color w:val="000000" w:themeColor="text1"/>
          <w:sz w:val="16"/>
          <w:szCs w:val="16"/>
        </w:rPr>
      </w:pPr>
    </w:p>
    <w:p w14:paraId="4CCC442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35F8062" w14:textId="77777777" w:rsidR="00665165" w:rsidRPr="00925F26" w:rsidRDefault="00665165" w:rsidP="00925F26">
      <w:pPr>
        <w:autoSpaceDE w:val="0"/>
        <w:autoSpaceDN w:val="0"/>
        <w:adjustRightInd w:val="0"/>
        <w:jc w:val="both"/>
        <w:rPr>
          <w:iCs/>
          <w:color w:val="000000" w:themeColor="text1"/>
          <w:sz w:val="16"/>
          <w:szCs w:val="16"/>
        </w:rPr>
      </w:pPr>
    </w:p>
    <w:p w14:paraId="11CCFEE1" w14:textId="77777777" w:rsidR="00DC5271" w:rsidRPr="00925F26" w:rsidRDefault="00DC5271" w:rsidP="00925F26">
      <w:pPr>
        <w:jc w:val="both"/>
        <w:rPr>
          <w:color w:val="000000" w:themeColor="text1"/>
          <w:sz w:val="16"/>
          <w:szCs w:val="16"/>
        </w:rPr>
      </w:pPr>
      <w:r w:rsidRPr="00925F26">
        <w:rPr>
          <w:bCs/>
          <w:color w:val="000000" w:themeColor="text1"/>
          <w:sz w:val="16"/>
          <w:szCs w:val="16"/>
        </w:rPr>
        <w:t>22 марта</w:t>
      </w:r>
      <w:r w:rsidRPr="00925F26">
        <w:rPr>
          <w:color w:val="000000" w:themeColor="text1"/>
          <w:sz w:val="16"/>
          <w:szCs w:val="16"/>
        </w:rPr>
        <w:t xml:space="preserve"> в 1945 году оперативная сводка Совинформбюро:</w:t>
      </w:r>
    </w:p>
    <w:p w14:paraId="005AB7F6" w14:textId="77777777" w:rsidR="00DC5271" w:rsidRPr="00925F26" w:rsidRDefault="00DC5271" w:rsidP="00925F26">
      <w:pPr>
        <w:jc w:val="both"/>
        <w:rPr>
          <w:color w:val="000000" w:themeColor="text1"/>
          <w:sz w:val="16"/>
          <w:szCs w:val="16"/>
        </w:rPr>
      </w:pPr>
      <w:r w:rsidRPr="00925F26">
        <w:rPr>
          <w:color w:val="000000" w:themeColor="text1"/>
          <w:sz w:val="16"/>
          <w:szCs w:val="16"/>
        </w:rPr>
        <w:t>«В течение 22 марта юго-западнее Кенигсберга войска 3-го Белорусского фронта вели бои по уничтожению группировки противника, прижатой к побережью залива Фриш-Гаф в районе Хайлигенбайль, и заняли населённые пункты Мюкюнен, Габдиттен, Ширтен, Генрихсхоф, Гелененхоф. За 21 марта в этом районе войска фронта взяли в плен более 800 немецких солдат и офицеров.</w:t>
      </w:r>
    </w:p>
    <w:p w14:paraId="33501104" w14:textId="77777777" w:rsidR="00DC5271" w:rsidRPr="00925F26" w:rsidRDefault="00DC5271" w:rsidP="00925F26">
      <w:pPr>
        <w:jc w:val="both"/>
        <w:rPr>
          <w:color w:val="000000" w:themeColor="text1"/>
          <w:sz w:val="16"/>
          <w:szCs w:val="16"/>
        </w:rPr>
      </w:pPr>
      <w:r w:rsidRPr="00925F26">
        <w:rPr>
          <w:color w:val="000000" w:themeColor="text1"/>
          <w:sz w:val="16"/>
          <w:szCs w:val="16"/>
        </w:rPr>
        <w:t>На Данцигском направлении наши войска, продолжая наступление, замяли населённые пункты Крифкол, Гюттланд, Хохенштайн, Шенварлинг, Клайн Клешкау, Руссошин, Бангшин, Леесен, Вельтцендорф. В боях за 21 марта в этом районе взято в плен более 500 немецких солдат и офицеров.</w:t>
      </w:r>
    </w:p>
    <w:p w14:paraId="21A98639" w14:textId="77777777" w:rsidR="00DC5271" w:rsidRPr="00925F26" w:rsidRDefault="00DC5271" w:rsidP="00925F26">
      <w:pPr>
        <w:jc w:val="both"/>
        <w:rPr>
          <w:color w:val="000000" w:themeColor="text1"/>
          <w:sz w:val="16"/>
          <w:szCs w:val="16"/>
        </w:rPr>
      </w:pPr>
      <w:r w:rsidRPr="00925F26">
        <w:rPr>
          <w:color w:val="000000" w:themeColor="text1"/>
          <w:sz w:val="16"/>
          <w:szCs w:val="16"/>
        </w:rPr>
        <w:t>Войска 1-го Украинского фронта, прорвав оборону противника западнее и южнее города Оппельн, продвинулись вперёд на 40 километров на каждом направлении и, соединившись в районе города Нойштадт, окружили и разгромили группу немецких войск юго-западнее Оппельн.</w:t>
      </w:r>
    </w:p>
    <w:p w14:paraId="7F8EEA4E" w14:textId="77777777" w:rsidR="00DC5271" w:rsidRPr="00925F26" w:rsidRDefault="00DC5271" w:rsidP="00925F26">
      <w:pPr>
        <w:jc w:val="both"/>
        <w:rPr>
          <w:color w:val="000000" w:themeColor="text1"/>
          <w:sz w:val="16"/>
          <w:szCs w:val="16"/>
        </w:rPr>
      </w:pPr>
      <w:r w:rsidRPr="00925F26">
        <w:rPr>
          <w:color w:val="000000" w:themeColor="text1"/>
          <w:sz w:val="16"/>
          <w:szCs w:val="16"/>
        </w:rPr>
        <w:t>В результате боёв войска фронта взяли в плен до 15.000 немецких солдат и офицеров и захватили следующие трофеи: самолётов — 21, танков и самоходных орудий — 57, орудий — 464, пулемётов — свыше 1.000, винтовок и автоматов — более 13.000, автомашин — 3.000, паровозов — 27, вагонов — 1.520, лошадей — 5.000, складов с боеприпасами, снаряжением и продовольствием — 75. Противник потерял только убитыми свыше 30.000 солдат и офицеров.</w:t>
      </w:r>
    </w:p>
    <w:p w14:paraId="28BFBBFB" w14:textId="77777777" w:rsidR="00DC5271" w:rsidRPr="00925F26" w:rsidRDefault="00DC5271" w:rsidP="00925F26">
      <w:pPr>
        <w:jc w:val="both"/>
        <w:rPr>
          <w:color w:val="000000" w:themeColor="text1"/>
          <w:sz w:val="16"/>
          <w:szCs w:val="16"/>
        </w:rPr>
      </w:pPr>
      <w:r w:rsidRPr="00925F26">
        <w:rPr>
          <w:color w:val="000000" w:themeColor="text1"/>
          <w:sz w:val="16"/>
          <w:szCs w:val="16"/>
        </w:rPr>
        <w:t>В ходе наступления войска фронта овладели в немецкой Силезии городами Нойштадт, Козель, Штейнау, Зюльц, Краппитц, Обер-Глогау, Фалькенберг, а также с боями заняли более 400 других населённых пунктов, в том числе крупные населённые пункты Лоренцберг, Арнсдорф, Штригендорф, Кюшмальц, Зай-Ферсдорф, Штефансдорф, Гросс-Нойдорф, Хермсдорф, Фолькманнсдорф, Диттерсдорф, Штойбендорф, Забшютц, Гребниг, Матцкирх, Шверфельде, Грегорсдорф.</w:t>
      </w:r>
    </w:p>
    <w:p w14:paraId="5E9B5995" w14:textId="77777777" w:rsidR="00DC5271" w:rsidRPr="00925F26" w:rsidRDefault="00DC5271" w:rsidP="00925F26">
      <w:pPr>
        <w:jc w:val="both"/>
        <w:rPr>
          <w:color w:val="000000" w:themeColor="text1"/>
          <w:sz w:val="16"/>
          <w:szCs w:val="16"/>
        </w:rPr>
      </w:pPr>
      <w:r w:rsidRPr="00925F26">
        <w:rPr>
          <w:color w:val="000000" w:themeColor="text1"/>
          <w:sz w:val="16"/>
          <w:szCs w:val="16"/>
        </w:rPr>
        <w:t>В Чехословакии северо-восточнее и севернее Зволена наши войска, действуя в трудных условиях горно-лесистой местности в полосе Карпат, заняли более 40 населённых пунктов, среди которых крупные населённые пункты Преданна, Лубетова, Дубравица, Черин, Бадин, Сельница, Гайники.</w:t>
      </w:r>
    </w:p>
    <w:p w14:paraId="08C89B53" w14:textId="77777777" w:rsidR="00DC5271" w:rsidRPr="00925F26" w:rsidRDefault="00DC5271" w:rsidP="00925F26">
      <w:pPr>
        <w:jc w:val="both"/>
        <w:rPr>
          <w:color w:val="000000" w:themeColor="text1"/>
          <w:sz w:val="16"/>
          <w:szCs w:val="16"/>
        </w:rPr>
      </w:pPr>
      <w:r w:rsidRPr="00925F26">
        <w:rPr>
          <w:color w:val="000000" w:themeColor="text1"/>
          <w:sz w:val="16"/>
          <w:szCs w:val="16"/>
        </w:rPr>
        <w:t>В районе нижнего течения реки Дравы, северо-западнее города Осиек, немецкие войска в двух местах форсировали реку и пытались расширить занятые плацдармы. Войска болгарской и югославской армий, действуя совместно с нашими войсками, решительным контрударом разгромили переправившиеся немецкие части и остатки их отбросили на южный берег Дравы.</w:t>
      </w:r>
    </w:p>
    <w:p w14:paraId="12FB6BBD" w14:textId="77777777" w:rsidR="00DC5271" w:rsidRPr="00925F26" w:rsidRDefault="00DC5271" w:rsidP="00925F26">
      <w:pPr>
        <w:jc w:val="both"/>
        <w:rPr>
          <w:color w:val="000000" w:themeColor="text1"/>
          <w:sz w:val="16"/>
          <w:szCs w:val="16"/>
        </w:rPr>
      </w:pPr>
      <w:r w:rsidRPr="00925F26">
        <w:rPr>
          <w:color w:val="000000" w:themeColor="text1"/>
          <w:sz w:val="16"/>
          <w:szCs w:val="16"/>
        </w:rPr>
        <w:lastRenderedPageBreak/>
        <w:t>За 21 марта на всех фронтах подбито и уничтожено 89 немецких танков и самоходных орудий. В воздушных боях и огнём зенитной артиллерии сбит 51 самолёт противника.</w:t>
      </w:r>
    </w:p>
    <w:p w14:paraId="5260E80F" w14:textId="77777777" w:rsidR="00DC5271" w:rsidRPr="00925F26" w:rsidRDefault="00DC5271" w:rsidP="00925F26">
      <w:pPr>
        <w:jc w:val="both"/>
        <w:rPr>
          <w:color w:val="000000" w:themeColor="text1"/>
          <w:sz w:val="16"/>
          <w:szCs w:val="16"/>
        </w:rPr>
      </w:pPr>
      <w:r w:rsidRPr="00925F26">
        <w:rPr>
          <w:color w:val="000000" w:themeColor="text1"/>
          <w:sz w:val="16"/>
          <w:szCs w:val="16"/>
        </w:rPr>
        <w:t>Налёт нашей авиации на железнодорожный узел Веспрем в Венгрии.</w:t>
      </w:r>
    </w:p>
    <w:p w14:paraId="6AB35C57" w14:textId="77777777" w:rsidR="00DC5271" w:rsidRPr="00925F26" w:rsidRDefault="00DC5271" w:rsidP="00925F26">
      <w:pPr>
        <w:jc w:val="both"/>
        <w:rPr>
          <w:color w:val="000000" w:themeColor="text1"/>
          <w:sz w:val="16"/>
          <w:szCs w:val="16"/>
        </w:rPr>
      </w:pPr>
      <w:r w:rsidRPr="00925F26">
        <w:rPr>
          <w:color w:val="000000" w:themeColor="text1"/>
          <w:sz w:val="16"/>
          <w:szCs w:val="16"/>
        </w:rPr>
        <w:t>В ночь на 22 марта наши тяжёлые бомбардировщики нанесли удар по железнодорожному узлу Веспрем в Венгрии. В результате бомбардировки на территории узла возникли пожары, сопровождавшиеся сильными взрывами.</w:t>
      </w:r>
    </w:p>
    <w:p w14:paraId="7DEA6E16" w14:textId="77777777" w:rsidR="00DC5271" w:rsidRPr="00925F26" w:rsidRDefault="00DC5271" w:rsidP="00925F26">
      <w:pPr>
        <w:jc w:val="both"/>
        <w:rPr>
          <w:color w:val="000000" w:themeColor="text1"/>
          <w:sz w:val="16"/>
          <w:szCs w:val="16"/>
        </w:rPr>
      </w:pPr>
      <w:r w:rsidRPr="00925F26">
        <w:rPr>
          <w:color w:val="000000" w:themeColor="text1"/>
          <w:sz w:val="16"/>
          <w:szCs w:val="16"/>
        </w:rPr>
        <w:t>Юго-западнее Кенигсберга наши войска продолжали бои по ликвидации Восточно-Прусской группировки немцев. Сломив сопротивление противника, советские части заняли опорный пункт Ширтен, находящийся в трёх километрах к востоку от города Хайлигенбайля. Особенно ожесточённые бои происходят на подступах к Хайли-генбайлю. Противник стремится во что бы то ни стало удержать в своих руках этот город, прикрывающий прибрежный посёлок Розенберг, в котором оборудованы причалы для судов. Немцы заранее подготовили Хайлигенбайль к обороне. На подступах к нему отрыты оплошные линии траншей и установлены широкие минные поля. Наши части, подошедшие вчера к городу с юга, сегодня после ожесточённого боя овладели казармами и группой домов на южном берегу реки Иарфт. Затем советские бойцы по грудь в ледяной воде переправились через реку и заняли несколько зданий на её северном берегу. За день советские войска истребили более 2 тысяч немецких солдат и офицеров, уничтожили 16 танков и самоходных орудий, 10 бронетранспортёров, 48 полевых орудий и до 400 автомашин.</w:t>
      </w:r>
    </w:p>
    <w:p w14:paraId="258E4532" w14:textId="77777777" w:rsidR="00DC5271" w:rsidRPr="00925F26" w:rsidRDefault="00DC5271" w:rsidP="00925F26">
      <w:pPr>
        <w:jc w:val="both"/>
        <w:rPr>
          <w:color w:val="000000" w:themeColor="text1"/>
          <w:sz w:val="16"/>
          <w:szCs w:val="16"/>
        </w:rPr>
      </w:pPr>
      <w:r w:rsidRPr="00925F26">
        <w:rPr>
          <w:color w:val="000000" w:themeColor="text1"/>
          <w:sz w:val="16"/>
          <w:szCs w:val="16"/>
        </w:rPr>
        <w:t>Наши бомбардировщики, штурмовики и истребители атакуют артиллерийские позиции, опорные пункты немцев, пристани, причалы, а также суда противника в заливе Фриш-Гаф.».</w:t>
      </w:r>
    </w:p>
    <w:p w14:paraId="5E0144BC" w14:textId="77777777" w:rsidR="00DC5271" w:rsidRPr="00925F26" w:rsidRDefault="00DC5271" w:rsidP="00925F26">
      <w:pPr>
        <w:jc w:val="both"/>
        <w:rPr>
          <w:color w:val="000000" w:themeColor="text1"/>
          <w:sz w:val="16"/>
          <w:szCs w:val="16"/>
        </w:rPr>
      </w:pPr>
      <w:r w:rsidRPr="00925F26">
        <w:rPr>
          <w:color w:val="000000" w:themeColor="text1"/>
          <w:sz w:val="16"/>
          <w:szCs w:val="16"/>
        </w:rPr>
        <w:t>На Данцигском направлении наши войска, преодолевая упорное сопротивление противника, с боями заняли несколько населенных пунктов. Немцы контратаками, а также сильным огнём полевых орудий и артиллерии военных кораблей стремятся не допустить продвижения советских частей к побережью Данцигской бухты. Наши войска, наступающие вдоль западного берега Вислы, выбили немцев из Гюттланда— важного узла дорог. На другом участке ожесточённые бои произошли за высоту, господствующую над местностью. Противник построил на этой высоте железобетонные доты с подземными ходами сообщения. Наши бойцы обошли высоту с юга и штурмом овладели этим мощным опорным пунктом обороны немцев. Сломив вражеское сопротивление, советские части овладели также населённым пунктом Вельтцендорф, находящимся в 4 километрах к западу от Гдыни. Нашими подразделениями захвачен бронепоезд противника. Команда бронепоезда взята в плен.</w:t>
      </w:r>
    </w:p>
    <w:p w14:paraId="71B6DBA0" w14:textId="77777777" w:rsidR="00DC5271" w:rsidRPr="00925F26" w:rsidRDefault="00DC5271" w:rsidP="00925F26">
      <w:pPr>
        <w:jc w:val="both"/>
        <w:rPr>
          <w:color w:val="000000" w:themeColor="text1"/>
          <w:sz w:val="16"/>
          <w:szCs w:val="16"/>
        </w:rPr>
      </w:pPr>
      <w:r w:rsidRPr="00925F26">
        <w:rPr>
          <w:color w:val="000000" w:themeColor="text1"/>
          <w:sz w:val="16"/>
          <w:szCs w:val="16"/>
        </w:rPr>
        <w:t>Войска 1-го Украинского фронта перешли в наступление. К западу от города Оппелын советские части после упорных боёв прорвали сильно укреплённую оборону противника. Затем в прорыв были введены наши подвижные соединения. Ударная группа наших войск стремительно продвинулась вперёд и овладела городом Фалькенберг, уничтожив при этом более 2 тысяч гитлеровцев. Вскоре пал важный опорный пункт обороны немцев и узел шоссейных дорог Ламсдорф. В этом населённом пункте наши бойцы освободили свыше 4 тысяч советских граждан, томившихся в фашистской неволе. Развивая успех, наши войска вышли к городу Нойштадт. Всю ночь, не стихая, шли ожесточённые уличные бои. К утру город был очищен от гитлеровцев. В Нойштадте захвачены большие трофеи, в том числе склады с военным имуществом. В то же время наши части, занимавшие плацдарм на западном берегу Одера, южнее города Оппельна, сломили сопротивление немцев и овладели городом Обер-Глогау. Отбрасывая и уничтожая противника, наши войска, наступающие западнее и южнее Оппельна, соединились в районе города Нойштадт. Таким образом, группа немецких войск, расположенная в районе к юго-западу от Оппельна, оказалась в окружении. Противник, находившийся под непрерывным артиллерийско-миномётным обстрелом, нёс огромные потери. Стремительными ударами советские танковые соединения расчленили окружённую вражескую группировку на отдельные изолированные друг от друга части. Умелые и решительные действия наших войск дезорганизовали противника. Провалились также попытки немцев извне оказать помощь окружённым войскам. Советские пехотинцы, танкисты и артиллеристы, отбивая вражеские контратаки, одновременно вели бои по ликвидации немецких частей, попавших в окружение. Сопротивление гитлеровцев было сломлено. Немецкие солдаты и офицеры стали группами сдаваться в плен. Наши войска подавили последние очаги сопротивления и завершили разгром окружённой группы немецких войск. Места боёв завалены тысячами трупов гитлеровцев. В ходе боёв подбито и сожжено 280 танков и самоходных орудий, 62 бронетранспортёра, уничтожены сотни орудий, миномётов и другого вооружения противника.» (15076).</w:t>
      </w:r>
    </w:p>
    <w:p w14:paraId="0F148895" w14:textId="77777777" w:rsidR="00DC5271" w:rsidRPr="00925F26" w:rsidRDefault="00DC5271" w:rsidP="00925F26">
      <w:pPr>
        <w:jc w:val="both"/>
        <w:rPr>
          <w:color w:val="000000" w:themeColor="text1"/>
          <w:sz w:val="16"/>
          <w:szCs w:val="16"/>
        </w:rPr>
      </w:pPr>
    </w:p>
    <w:p w14:paraId="21C86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 18:20 л Л.Сивко в составе четверки Як-9 к В.Мельникова, прикрывавшей войска в районе Цехина сбил Ме-262. Кроме И.Н.Кожедуба сбил и ГСС Г.Мерквиладзе и вели бой П.Еремин, Н.Тимофеев, Н.Старченко (455,172). Официально сбили 6 (3417,20).</w:t>
      </w:r>
    </w:p>
    <w:p w14:paraId="214620CB" w14:textId="77777777" w:rsidR="00665165" w:rsidRPr="00925F26" w:rsidRDefault="00665165" w:rsidP="00925F26">
      <w:pPr>
        <w:autoSpaceDE w:val="0"/>
        <w:autoSpaceDN w:val="0"/>
        <w:adjustRightInd w:val="0"/>
        <w:jc w:val="both"/>
        <w:rPr>
          <w:color w:val="000000" w:themeColor="text1"/>
          <w:sz w:val="16"/>
          <w:szCs w:val="16"/>
        </w:rPr>
      </w:pPr>
    </w:p>
    <w:p w14:paraId="6B27884F" w14:textId="77777777" w:rsidR="00E621F5" w:rsidRPr="001A0BAA" w:rsidRDefault="00E621F5" w:rsidP="00E621F5">
      <w:pPr>
        <w:jc w:val="both"/>
        <w:rPr>
          <w:color w:val="0070C0"/>
          <w:sz w:val="16"/>
          <w:szCs w:val="16"/>
        </w:rPr>
      </w:pPr>
      <w:r w:rsidRPr="001A0BAA">
        <w:rPr>
          <w:color w:val="0070C0"/>
          <w:sz w:val="16"/>
          <w:szCs w:val="16"/>
        </w:rPr>
        <w:t>22 марта 1945 года над Берлином группа Як</w:t>
      </w:r>
      <w:r w:rsidRPr="001A0BAA">
        <w:rPr>
          <w:color w:val="0070C0"/>
          <w:sz w:val="16"/>
          <w:szCs w:val="16"/>
        </w:rPr>
        <w:noBreakHyphen/>
        <w:t>3 из 812</w:t>
      </w:r>
      <w:r w:rsidRPr="001A0BAA">
        <w:rPr>
          <w:color w:val="0070C0"/>
          <w:sz w:val="16"/>
          <w:szCs w:val="16"/>
        </w:rPr>
        <w:noBreakHyphen/>
        <w:t>го ИАП, шедшая на высоте 2500 метров, была атакована реактивными Me 262. Мессершмитты атаковали в 18:40, но их атака не принесла результатов. Когда реактивные «мессеры» выходили из атаки, один из них попал в прицел Льва Сивко, который сбил одного Me 262. Спустя меньше месяца Сивко погиб в бою (25076).</w:t>
      </w:r>
    </w:p>
    <w:p w14:paraId="66A539A8" w14:textId="77777777" w:rsidR="00E621F5" w:rsidRPr="001A0BAA" w:rsidRDefault="00E621F5" w:rsidP="00E621F5">
      <w:pPr>
        <w:jc w:val="both"/>
        <w:rPr>
          <w:color w:val="0070C0"/>
          <w:sz w:val="16"/>
          <w:szCs w:val="16"/>
        </w:rPr>
      </w:pPr>
    </w:p>
    <w:p w14:paraId="6BA1BEB7" w14:textId="77777777" w:rsidR="00E621F5" w:rsidRPr="001A0BAA" w:rsidRDefault="00E621F5" w:rsidP="00E621F5">
      <w:pPr>
        <w:jc w:val="both"/>
        <w:rPr>
          <w:color w:val="0070C0"/>
          <w:sz w:val="16"/>
          <w:szCs w:val="16"/>
        </w:rPr>
      </w:pPr>
      <w:r w:rsidRPr="001A0BAA">
        <w:rPr>
          <w:rStyle w:val="114"/>
          <w:rFonts w:ascii="Times New Roman" w:eastAsia="Trebuchet MS" w:hAnsi="Times New Roman"/>
          <w:color w:val="0070C0"/>
          <w:sz w:val="16"/>
          <w:szCs w:val="16"/>
        </w:rPr>
        <w:t>22 м</w:t>
      </w:r>
      <w:r w:rsidRPr="001A0BAA">
        <w:rPr>
          <w:rStyle w:val="114"/>
          <w:rFonts w:ascii="Times New Roman" w:eastAsia="Courier New" w:hAnsi="Times New Roman"/>
          <w:color w:val="0070C0"/>
          <w:sz w:val="16"/>
          <w:szCs w:val="16"/>
        </w:rPr>
        <w:t>а</w:t>
      </w:r>
      <w:r w:rsidRPr="001A0BAA">
        <w:rPr>
          <w:rStyle w:val="114"/>
          <w:rFonts w:ascii="Times New Roman" w:eastAsia="Trebuchet MS" w:hAnsi="Times New Roman"/>
          <w:color w:val="0070C0"/>
          <w:sz w:val="16"/>
          <w:szCs w:val="16"/>
        </w:rPr>
        <w:t>рт</w:t>
      </w:r>
      <w:r w:rsidRPr="001A0BAA">
        <w:rPr>
          <w:rStyle w:val="114"/>
          <w:rFonts w:ascii="Times New Roman" w:eastAsia="Courier New" w:hAnsi="Times New Roman"/>
          <w:color w:val="0070C0"/>
          <w:sz w:val="16"/>
          <w:szCs w:val="16"/>
        </w:rPr>
        <w:t xml:space="preserve">а </w:t>
      </w:r>
      <w:r w:rsidRPr="001A0BAA">
        <w:rPr>
          <w:rStyle w:val="114"/>
          <w:rFonts w:ascii="Times New Roman" w:eastAsia="Trebuchet MS" w:hAnsi="Times New Roman"/>
          <w:color w:val="0070C0"/>
          <w:sz w:val="16"/>
          <w:szCs w:val="16"/>
        </w:rPr>
        <w:t xml:space="preserve">1945 года вечером четвёрка Як-9 из 812-го иап, </w:t>
      </w:r>
      <w:r w:rsidRPr="001A0BAA">
        <w:rPr>
          <w:rStyle w:val="114"/>
          <w:rFonts w:ascii="Times New Roman" w:eastAsia="Courier New" w:hAnsi="Times New Roman"/>
          <w:color w:val="0070C0"/>
          <w:sz w:val="16"/>
          <w:szCs w:val="16"/>
        </w:rPr>
        <w:t>прикры</w:t>
      </w:r>
      <w:r w:rsidRPr="001A0BAA">
        <w:rPr>
          <w:rStyle w:val="114"/>
          <w:rFonts w:ascii="Times New Roman" w:eastAsia="Courier New" w:hAnsi="Times New Roman"/>
          <w:color w:val="0070C0"/>
          <w:sz w:val="16"/>
          <w:szCs w:val="16"/>
        </w:rPr>
        <w:softHyphen/>
        <w:t xml:space="preserve">вавшая наземные </w:t>
      </w:r>
      <w:r w:rsidRPr="001A0BAA">
        <w:rPr>
          <w:rStyle w:val="114"/>
          <w:rFonts w:ascii="Times New Roman" w:eastAsia="Trebuchet MS" w:hAnsi="Times New Roman"/>
          <w:color w:val="0070C0"/>
          <w:sz w:val="16"/>
          <w:szCs w:val="16"/>
        </w:rPr>
        <w:t>войск</w:t>
      </w:r>
      <w:r w:rsidRPr="001A0BAA">
        <w:rPr>
          <w:rStyle w:val="114"/>
          <w:rFonts w:ascii="Times New Roman" w:eastAsia="Courier New" w:hAnsi="Times New Roman"/>
          <w:color w:val="0070C0"/>
          <w:sz w:val="16"/>
          <w:szCs w:val="16"/>
        </w:rPr>
        <w:t>а</w:t>
      </w:r>
      <w:r w:rsidRPr="001A0BAA">
        <w:rPr>
          <w:rStyle w:val="114"/>
          <w:rFonts w:ascii="Times New Roman" w:eastAsia="Trebuchet MS" w:hAnsi="Times New Roman"/>
          <w:color w:val="0070C0"/>
          <w:sz w:val="16"/>
          <w:szCs w:val="16"/>
        </w:rPr>
        <w:t>, во главе с капит</w:t>
      </w:r>
      <w:r w:rsidRPr="001A0BAA">
        <w:rPr>
          <w:rStyle w:val="114"/>
          <w:rFonts w:ascii="Times New Roman" w:eastAsia="Courier New" w:hAnsi="Times New Roman"/>
          <w:color w:val="0070C0"/>
          <w:sz w:val="16"/>
          <w:szCs w:val="16"/>
        </w:rPr>
        <w:t>а</w:t>
      </w:r>
      <w:r w:rsidRPr="001A0BAA">
        <w:rPr>
          <w:rStyle w:val="114"/>
          <w:rFonts w:ascii="Times New Roman" w:eastAsia="Trebuchet MS" w:hAnsi="Times New Roman"/>
          <w:color w:val="0070C0"/>
          <w:sz w:val="16"/>
          <w:szCs w:val="16"/>
        </w:rPr>
        <w:softHyphen/>
        <w:t>ном В. И. Мельн</w:t>
      </w:r>
      <w:r w:rsidRPr="001A0BAA">
        <w:rPr>
          <w:rStyle w:val="114"/>
          <w:rFonts w:ascii="Times New Roman" w:eastAsia="Courier New" w:hAnsi="Times New Roman"/>
          <w:color w:val="0070C0"/>
          <w:sz w:val="16"/>
          <w:szCs w:val="16"/>
        </w:rPr>
        <w:t>и</w:t>
      </w:r>
      <w:r w:rsidRPr="001A0BAA">
        <w:rPr>
          <w:rStyle w:val="114"/>
          <w:rFonts w:ascii="Times New Roman" w:eastAsia="Trebuchet MS" w:hAnsi="Times New Roman"/>
          <w:color w:val="0070C0"/>
          <w:sz w:val="16"/>
          <w:szCs w:val="16"/>
        </w:rPr>
        <w:t>ков</w:t>
      </w:r>
      <w:r w:rsidRPr="001A0BAA">
        <w:rPr>
          <w:rStyle w:val="114"/>
          <w:rFonts w:ascii="Times New Roman" w:eastAsia="Courier New" w:hAnsi="Times New Roman"/>
          <w:color w:val="0070C0"/>
          <w:sz w:val="16"/>
          <w:szCs w:val="16"/>
        </w:rPr>
        <w:t>ы</w:t>
      </w:r>
      <w:r w:rsidRPr="001A0BAA">
        <w:rPr>
          <w:rStyle w:val="114"/>
          <w:rFonts w:ascii="Times New Roman" w:eastAsia="Trebuchet MS" w:hAnsi="Times New Roman"/>
          <w:color w:val="0070C0"/>
          <w:sz w:val="16"/>
          <w:szCs w:val="16"/>
        </w:rPr>
        <w:t>м барражировала на высоте 2000 метров со скоростью 550 км/ч. Первым неизвестный самолёт без воздуш</w:t>
      </w:r>
      <w:r w:rsidRPr="001A0BAA">
        <w:rPr>
          <w:rStyle w:val="114"/>
          <w:rFonts w:ascii="Times New Roman" w:eastAsia="Trebuchet MS" w:hAnsi="Times New Roman"/>
          <w:color w:val="0070C0"/>
          <w:sz w:val="16"/>
          <w:szCs w:val="16"/>
        </w:rPr>
        <w:softHyphen/>
        <w:t>ных винтов увидел Л. И. Сивко. Когда само</w:t>
      </w:r>
      <w:r w:rsidRPr="001A0BAA">
        <w:rPr>
          <w:rStyle w:val="114"/>
          <w:rFonts w:ascii="Times New Roman" w:eastAsia="Trebuchet MS" w:hAnsi="Times New Roman"/>
          <w:color w:val="0070C0"/>
          <w:sz w:val="16"/>
          <w:szCs w:val="16"/>
        </w:rPr>
        <w:softHyphen/>
        <w:t>лёт противника начал разворачиваться, Сив</w:t>
      </w:r>
      <w:r w:rsidRPr="001A0BAA">
        <w:rPr>
          <w:rStyle w:val="114"/>
          <w:rFonts w:ascii="Times New Roman" w:eastAsia="Trebuchet MS" w:hAnsi="Times New Roman"/>
          <w:color w:val="0070C0"/>
          <w:sz w:val="16"/>
          <w:szCs w:val="16"/>
        </w:rPr>
        <w:softHyphen/>
        <w:t>ко очередью с дистанции 100 метров повре</w:t>
      </w:r>
      <w:r w:rsidRPr="001A0BAA">
        <w:rPr>
          <w:rStyle w:val="114"/>
          <w:rFonts w:ascii="Times New Roman" w:eastAsia="Trebuchet MS" w:hAnsi="Times New Roman"/>
          <w:color w:val="0070C0"/>
          <w:sz w:val="16"/>
          <w:szCs w:val="16"/>
        </w:rPr>
        <w:softHyphen/>
        <w:t>дил правую плоскость крыла Ме.262, после чего самолет противника перевернулся и упал в п</w:t>
      </w:r>
      <w:r w:rsidRPr="001A0BAA">
        <w:rPr>
          <w:rStyle w:val="114"/>
          <w:rFonts w:ascii="Times New Roman" w:eastAsia="Courier New" w:hAnsi="Times New Roman"/>
          <w:color w:val="0070C0"/>
          <w:sz w:val="16"/>
          <w:szCs w:val="16"/>
        </w:rPr>
        <w:t>я</w:t>
      </w:r>
      <w:r w:rsidRPr="001A0BAA">
        <w:rPr>
          <w:rStyle w:val="114"/>
          <w:rFonts w:ascii="Times New Roman" w:eastAsia="Trebuchet MS" w:hAnsi="Times New Roman"/>
          <w:color w:val="0070C0"/>
          <w:sz w:val="16"/>
          <w:szCs w:val="16"/>
        </w:rPr>
        <w:t xml:space="preserve">ти километрах западнее </w:t>
      </w:r>
      <w:r w:rsidRPr="001A0BAA">
        <w:rPr>
          <w:rStyle w:val="114"/>
          <w:rFonts w:ascii="Times New Roman" w:eastAsia="Courier New" w:hAnsi="Times New Roman"/>
          <w:color w:val="0070C0"/>
          <w:sz w:val="16"/>
          <w:szCs w:val="16"/>
        </w:rPr>
        <w:t>города Ц</w:t>
      </w:r>
      <w:r w:rsidRPr="001A0BAA">
        <w:rPr>
          <w:rStyle w:val="114"/>
          <w:rFonts w:ascii="Times New Roman" w:eastAsia="Trebuchet MS" w:hAnsi="Times New Roman"/>
          <w:color w:val="0070C0"/>
          <w:sz w:val="16"/>
          <w:szCs w:val="16"/>
        </w:rPr>
        <w:t>е</w:t>
      </w:r>
      <w:r w:rsidRPr="001A0BAA">
        <w:rPr>
          <w:rStyle w:val="114"/>
          <w:rFonts w:ascii="Times New Roman" w:eastAsia="Courier New" w:hAnsi="Times New Roman"/>
          <w:color w:val="0070C0"/>
          <w:sz w:val="16"/>
          <w:szCs w:val="16"/>
        </w:rPr>
        <w:t>хина. Это была в</w:t>
      </w:r>
      <w:r w:rsidRPr="001A0BAA">
        <w:rPr>
          <w:rStyle w:val="114"/>
          <w:rFonts w:ascii="Times New Roman" w:eastAsia="Trebuchet MS" w:hAnsi="Times New Roman"/>
          <w:color w:val="0070C0"/>
          <w:sz w:val="16"/>
          <w:szCs w:val="16"/>
        </w:rPr>
        <w:t xml:space="preserve">торая победа </w:t>
      </w:r>
      <w:r w:rsidRPr="001A0BAA">
        <w:rPr>
          <w:rStyle w:val="114"/>
          <w:rFonts w:ascii="Times New Roman" w:eastAsia="Courier New" w:hAnsi="Times New Roman"/>
          <w:color w:val="0070C0"/>
          <w:sz w:val="16"/>
          <w:szCs w:val="16"/>
        </w:rPr>
        <w:t xml:space="preserve">над </w:t>
      </w:r>
      <w:r w:rsidRPr="001A0BAA">
        <w:rPr>
          <w:rStyle w:val="114"/>
          <w:rFonts w:ascii="Times New Roman" w:eastAsia="Trebuchet MS" w:hAnsi="Times New Roman"/>
          <w:color w:val="0070C0"/>
          <w:sz w:val="16"/>
          <w:szCs w:val="16"/>
        </w:rPr>
        <w:t xml:space="preserve">реактивным «мессершмиттом» </w:t>
      </w:r>
      <w:r w:rsidRPr="001A0BAA">
        <w:rPr>
          <w:rStyle w:val="114"/>
          <w:rFonts w:ascii="Times New Roman" w:eastAsia="Courier New" w:hAnsi="Times New Roman"/>
          <w:color w:val="0070C0"/>
          <w:sz w:val="16"/>
          <w:szCs w:val="16"/>
        </w:rPr>
        <w:t xml:space="preserve">на </w:t>
      </w:r>
      <w:r w:rsidRPr="001A0BAA">
        <w:rPr>
          <w:rStyle w:val="114"/>
          <w:rFonts w:ascii="Times New Roman" w:eastAsia="Trebuchet MS" w:hAnsi="Times New Roman"/>
          <w:color w:val="0070C0"/>
          <w:sz w:val="16"/>
          <w:szCs w:val="16"/>
        </w:rPr>
        <w:t>сове</w:t>
      </w:r>
      <w:r w:rsidRPr="001A0BAA">
        <w:rPr>
          <w:rStyle w:val="114"/>
          <w:rFonts w:ascii="Times New Roman" w:eastAsia="Courier New" w:hAnsi="Times New Roman"/>
          <w:color w:val="0070C0"/>
          <w:sz w:val="16"/>
          <w:szCs w:val="16"/>
        </w:rPr>
        <w:t>т</w:t>
      </w:r>
      <w:r w:rsidRPr="001A0BAA">
        <w:rPr>
          <w:rStyle w:val="114"/>
          <w:rFonts w:ascii="Times New Roman" w:eastAsia="Trebuchet MS" w:hAnsi="Times New Roman"/>
          <w:color w:val="0070C0"/>
          <w:sz w:val="16"/>
          <w:szCs w:val="16"/>
        </w:rPr>
        <w:t>ском фронте.</w:t>
      </w:r>
    </w:p>
    <w:p w14:paraId="371E66C5" w14:textId="77777777" w:rsidR="00E621F5" w:rsidRPr="001A0BAA" w:rsidRDefault="00E621F5" w:rsidP="00E621F5">
      <w:pPr>
        <w:jc w:val="both"/>
        <w:rPr>
          <w:color w:val="0070C0"/>
          <w:sz w:val="16"/>
          <w:szCs w:val="16"/>
        </w:rPr>
      </w:pPr>
      <w:r w:rsidRPr="001A0BAA">
        <w:rPr>
          <w:rStyle w:val="114"/>
          <w:rFonts w:ascii="Times New Roman" w:eastAsia="Trebuchet MS" w:hAnsi="Times New Roman"/>
          <w:color w:val="0070C0"/>
          <w:sz w:val="16"/>
          <w:szCs w:val="16"/>
        </w:rPr>
        <w:t>В оперативной сводке 3-го истребитель</w:t>
      </w:r>
      <w:r w:rsidRPr="001A0BAA">
        <w:rPr>
          <w:rStyle w:val="114"/>
          <w:rFonts w:ascii="Times New Roman" w:eastAsia="Trebuchet MS" w:hAnsi="Times New Roman"/>
          <w:color w:val="0070C0"/>
          <w:sz w:val="16"/>
          <w:szCs w:val="16"/>
        </w:rPr>
        <w:softHyphen/>
        <w:t>ного авиационного корпуса от 22 марта, в частности, сообщалось, что на выполнение боевых заданий в тот день «Летало 155 само</w:t>
      </w:r>
      <w:r w:rsidRPr="001A0BAA">
        <w:rPr>
          <w:rStyle w:val="114"/>
          <w:rFonts w:ascii="Times New Roman" w:eastAsia="Trebuchet MS" w:hAnsi="Times New Roman"/>
          <w:color w:val="0070C0"/>
          <w:sz w:val="16"/>
          <w:szCs w:val="16"/>
        </w:rPr>
        <w:softHyphen/>
        <w:t>летов: 97 Як-9, 36 Як-3, 22 Ла-7. Летчиками 3-го иак проведено 20 воздушных боев, в ре</w:t>
      </w:r>
      <w:r w:rsidRPr="001A0BAA">
        <w:rPr>
          <w:rStyle w:val="114"/>
          <w:rFonts w:ascii="Times New Roman" w:eastAsia="Trebuchet MS" w:hAnsi="Times New Roman"/>
          <w:color w:val="0070C0"/>
          <w:sz w:val="16"/>
          <w:szCs w:val="16"/>
        </w:rPr>
        <w:softHyphen/>
        <w:t>зу</w:t>
      </w:r>
      <w:r w:rsidRPr="001A0BAA">
        <w:rPr>
          <w:rStyle w:val="114"/>
          <w:rFonts w:ascii="Times New Roman" w:eastAsia="Courier New" w:hAnsi="Times New Roman"/>
          <w:color w:val="0070C0"/>
          <w:sz w:val="16"/>
          <w:szCs w:val="16"/>
        </w:rPr>
        <w:t>л</w:t>
      </w:r>
      <w:r w:rsidRPr="001A0BAA">
        <w:rPr>
          <w:rStyle w:val="114"/>
          <w:rFonts w:ascii="Times New Roman" w:eastAsia="Trebuchet MS" w:hAnsi="Times New Roman"/>
          <w:color w:val="0070C0"/>
          <w:sz w:val="16"/>
          <w:szCs w:val="16"/>
        </w:rPr>
        <w:t>ьтате которых сбито 18 самолетов про</w:t>
      </w:r>
      <w:r w:rsidRPr="001A0BAA">
        <w:rPr>
          <w:rStyle w:val="114"/>
          <w:rFonts w:ascii="Times New Roman" w:eastAsia="Trebuchet MS" w:hAnsi="Times New Roman"/>
          <w:color w:val="0070C0"/>
          <w:sz w:val="16"/>
          <w:szCs w:val="16"/>
        </w:rPr>
        <w:softHyphen/>
        <w:t>тивника, из них 14ФВ-190, 3 Ме-109, 1 реак</w:t>
      </w:r>
      <w:r w:rsidRPr="001A0BAA">
        <w:rPr>
          <w:rStyle w:val="114"/>
          <w:rFonts w:ascii="Times New Roman" w:eastAsia="Trebuchet MS" w:hAnsi="Times New Roman"/>
          <w:color w:val="0070C0"/>
          <w:sz w:val="16"/>
          <w:szCs w:val="16"/>
        </w:rPr>
        <w:softHyphen/>
        <w:t>тивный Ме-262 ...» (25113).</w:t>
      </w:r>
    </w:p>
    <w:p w14:paraId="245969D0" w14:textId="77777777" w:rsidR="00E621F5" w:rsidRPr="001A0BAA" w:rsidRDefault="00E621F5" w:rsidP="00E621F5">
      <w:pPr>
        <w:jc w:val="both"/>
        <w:rPr>
          <w:color w:val="0070C0"/>
          <w:sz w:val="16"/>
          <w:szCs w:val="16"/>
        </w:rPr>
      </w:pPr>
    </w:p>
    <w:p w14:paraId="1A64D2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года «Красная звезда» писала: «В боях по уничтожению восточно-прусской группировки юго-западнее Кенигсберга большую помощь наземным частям оказывают аэростаты воздушного наблюдения» (11328).</w:t>
      </w:r>
    </w:p>
    <w:p w14:paraId="28DD1ECA" w14:textId="77777777" w:rsidR="00665165" w:rsidRPr="00925F26" w:rsidRDefault="00665165" w:rsidP="00925F26">
      <w:pPr>
        <w:autoSpaceDE w:val="0"/>
        <w:autoSpaceDN w:val="0"/>
        <w:adjustRightInd w:val="0"/>
        <w:jc w:val="both"/>
        <w:rPr>
          <w:color w:val="000000" w:themeColor="text1"/>
          <w:sz w:val="16"/>
          <w:szCs w:val="16"/>
        </w:rPr>
      </w:pPr>
    </w:p>
    <w:p w14:paraId="45F3021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вышло Постановление ГКО № 7909 О выплате денежного содержания военнослужащим и суточных денег вольнонаемному составу Наркомвоенморфлота на территории Чехословакии [в местной валюте - кронах]. (7318, 12-13).</w:t>
      </w:r>
    </w:p>
    <w:p w14:paraId="16A372D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7785C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Постановление ГКО № 7911 О передислокации Ленинградской военной воздушной академии в ЛенинграРГАНИР, Фонд ГКО, д. РГАНИР, Фонд ГКО, д. 383, лл. 15 (11012).</w:t>
      </w:r>
    </w:p>
    <w:p w14:paraId="7F76B532" w14:textId="77777777" w:rsidR="00665165" w:rsidRPr="00925F26" w:rsidRDefault="00665165" w:rsidP="00925F26">
      <w:pPr>
        <w:autoSpaceDE w:val="0"/>
        <w:autoSpaceDN w:val="0"/>
        <w:adjustRightInd w:val="0"/>
        <w:jc w:val="both"/>
        <w:rPr>
          <w:color w:val="000000" w:themeColor="text1"/>
          <w:sz w:val="16"/>
          <w:szCs w:val="16"/>
        </w:rPr>
      </w:pPr>
    </w:p>
    <w:p w14:paraId="08122BB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C24ACC7" w14:textId="77777777" w:rsidR="00665165" w:rsidRPr="00925F26" w:rsidRDefault="00665165" w:rsidP="00925F26">
      <w:pPr>
        <w:autoSpaceDE w:val="0"/>
        <w:autoSpaceDN w:val="0"/>
        <w:adjustRightInd w:val="0"/>
        <w:jc w:val="both"/>
        <w:rPr>
          <w:iCs/>
          <w:color w:val="000000" w:themeColor="text1"/>
          <w:sz w:val="16"/>
          <w:szCs w:val="16"/>
        </w:rPr>
      </w:pPr>
    </w:p>
    <w:p w14:paraId="6605343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7903 [О переводе из Москвы в Ленинград Военно-медицинского музея КА.] (7318, 6).</w:t>
      </w:r>
    </w:p>
    <w:p w14:paraId="70B03D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428C1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7905. О реэвакуации работников предприятий кинематографии Ленинграда. РГАНИР, Фонд ГКО, д. 383, лл. 8 (11012).</w:t>
      </w:r>
    </w:p>
    <w:p w14:paraId="1AA60510" w14:textId="77777777" w:rsidR="00665165" w:rsidRPr="00925F26" w:rsidRDefault="00665165" w:rsidP="00925F26">
      <w:pPr>
        <w:autoSpaceDE w:val="0"/>
        <w:autoSpaceDN w:val="0"/>
        <w:adjustRightInd w:val="0"/>
        <w:jc w:val="both"/>
        <w:rPr>
          <w:color w:val="000000" w:themeColor="text1"/>
          <w:sz w:val="16"/>
          <w:szCs w:val="16"/>
        </w:rPr>
      </w:pPr>
    </w:p>
    <w:p w14:paraId="6E1CF29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7906 [О возобновлении работы Фармацевтического института в Ленинграде.] (7318, 9).</w:t>
      </w:r>
    </w:p>
    <w:p w14:paraId="6793FC3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3F0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вышло Распоряжение ГКО № 7907. О реэвакуации в Ленинград детей, чьи родители находятся в городе. РГАНИР, Фонд ГКО, д. 383, лл. 10 (11012).</w:t>
      </w:r>
    </w:p>
    <w:p w14:paraId="14DF456D" w14:textId="77777777" w:rsidR="00665165" w:rsidRPr="00925F26" w:rsidRDefault="00665165" w:rsidP="00925F26">
      <w:pPr>
        <w:autoSpaceDE w:val="0"/>
        <w:autoSpaceDN w:val="0"/>
        <w:adjustRightInd w:val="0"/>
        <w:jc w:val="both"/>
        <w:rPr>
          <w:color w:val="000000" w:themeColor="text1"/>
          <w:sz w:val="16"/>
          <w:szCs w:val="16"/>
        </w:rPr>
      </w:pPr>
    </w:p>
    <w:p w14:paraId="547726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заместитель наркома А. П. Завенягин подписал приказ № 0223 “О строительстве Инспецмета НКВД и завода № 5 НКВД” (изданный на основании постановления ГКО № 7102сс/ов от 8 декабря 1944 года “О мероприятиях по обеспечению развития добычи и переработки урановых руд”):</w:t>
      </w:r>
    </w:p>
    <w:p w14:paraId="7A1E86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“Приказываю:</w:t>
      </w:r>
    </w:p>
    <w:p w14:paraId="001431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начальнику Главпромстроя НКВД СССР генерал-майору инженерно-технической службы тов. Комаровскому приступить к строительству в Москве Института специальных металлов НКВД и завода № 5 НКВД;</w:t>
      </w:r>
    </w:p>
    <w:p w14:paraId="21CE78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организовать в Москве в системе Главпромстроя НКВД СССР на базе Управления Химкинского строительства Управление специального строительства “Спецстрой” НКВД СССР; возложить на Спецстрой НКВД все строительные работы по бывшему Управлению Химкинского строительства и завода, руководство механическим заводом в Москве и стекольным заводом “Красное Эхо”, а также строительство двух жилых домов: для Норильского и Воркутинского комбинатов НКВД;</w:t>
      </w:r>
    </w:p>
    <w:p w14:paraId="0901D0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Спецметуправлению НКВД СССР заключить подрядный договор со Спецстроем НКВД на производство строительно-монтажных работ по строительству Инспецмета НКВД и завода № 5 НКВД с жилым фондом;</w:t>
      </w:r>
    </w:p>
    <w:p w14:paraId="25AA78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Начальнику Гидропроекта Главпромстроя НКВД СССР генерал-майору инженерно-технической службы С. Я. Жуку немедленно приступить к составлению проекта и рабочих чертежей строительства Инспецмета НКВД и завода № 5 НКВД; заключить со Спецстроем НКВД подрядный договор на проведение проектных работ; организовать на площадке строительства Особое проектно-конструкторское бюро (ОКТБ) из числа спецконтингента для проектирования указанных объектов” (7560).</w:t>
      </w:r>
    </w:p>
    <w:p w14:paraId="17CB97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Инспецмет (ныне НИИ неорганических материалов имени А. Бочвара) и завод № 5 должны были разместиться в комплексе зданий Всесоюзного института экспериментальной медицины, строительство которого началось еще в 1930-х по проекту Н. Е. Лансере - с 1931-го заключенного архитектурной “шарашки”, участвовавшего также в проектировании “Большого дома” на Литейном в Ленинграде, сталинской дачи на Валдае и т. п (7560).</w:t>
      </w:r>
    </w:p>
    <w:p w14:paraId="78797C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Спецстрой НКВД возглавил бывший начальник Управления Химкинского строительства Главпромстроя НКВД А. В. Венгеровский (в 1935-1937 годах сотрудник автотракторного отдела Москваволгостроя, а с сентября 1944-го - начальник последнего из ответвлений огромного некогда Дмитлага - Химлага или Химкинского лагерного участка, обслуживавшего мелкие объекты Главпромстроя и в декабре того же года переданного было в ведение УИТЛК УНКВД по Московской области). Уже 4 апреля 1946-го приказом МВД СССР № 442 Венгеровского сменит в этой должности полковник А. И. Хархардин, ранее начальник Ягринлага и строительства № 203 (7560).</w:t>
      </w:r>
    </w:p>
    <w:p w14:paraId="679EDF68" w14:textId="77777777" w:rsidR="00665165" w:rsidRPr="00925F26" w:rsidRDefault="00665165" w:rsidP="00925F26">
      <w:pPr>
        <w:autoSpaceDE w:val="0"/>
        <w:autoSpaceDN w:val="0"/>
        <w:adjustRightInd w:val="0"/>
        <w:jc w:val="both"/>
        <w:rPr>
          <w:color w:val="000000" w:themeColor="text1"/>
          <w:sz w:val="16"/>
          <w:szCs w:val="16"/>
        </w:rPr>
      </w:pPr>
    </w:p>
    <w:p w14:paraId="54ED972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9CDD053" w14:textId="77777777" w:rsidR="00665165" w:rsidRPr="00925F26" w:rsidRDefault="00665165" w:rsidP="00925F26">
      <w:pPr>
        <w:autoSpaceDE w:val="0"/>
        <w:autoSpaceDN w:val="0"/>
        <w:adjustRightInd w:val="0"/>
        <w:jc w:val="both"/>
        <w:rPr>
          <w:iCs/>
          <w:color w:val="000000" w:themeColor="text1"/>
          <w:sz w:val="16"/>
          <w:szCs w:val="16"/>
        </w:rPr>
      </w:pPr>
    </w:p>
    <w:p w14:paraId="27BDC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года</w:t>
      </w:r>
    </w:p>
    <w:p w14:paraId="36E29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ЛИЧНО И СЕКРЕТНО ОТ ПРЕМЬЕРА И. В. СТАЛИНА ПРЕЗИДЕНТУ г-ну Ф. РУЗВЕЛЬТУ</w:t>
      </w:r>
    </w:p>
    <w:p w14:paraId="2D4767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Ваше послание по поводу эвакуации из Польши бывших американских военнопленных получил.</w:t>
      </w:r>
    </w:p>
    <w:p w14:paraId="275D60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Относительно имеющихся у Вас сведений о большом будто бы числе больных и раненых американцев, находящихся в Польше, а также ожидающих отправки в Одессу или не установивших контакта с советскими властями, должен сказать, что сведения эти не точны. В действительности, кроме находящегося в пути в направлении на Одессу некоторого числа американцев, на территории Польши к 16 марта находилось всего лишь 17 человек больных американских военных. Я получил сегодня донесение, что на днях они (17 человек) будут вывезены на самолетах в Одессу.</w:t>
      </w:r>
    </w:p>
    <w:p w14:paraId="444DB5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поводу содержащейся в Вашем послании просьбы должен сказать, что если бы эта просьба касалась лично меня, то я готов был бы уступить даже в ущерб своим интересам. Но в данном случае дело касается интересов советских армий на фронте и советских командующих, которые не хотят иметь у себя лишних офицеров, не имеющих отношения к военным операциям, но требующих в то же время забот по их устройству, по организации для них встреч и всякого рода связей, по их охране от возможных диверсий со стороны немецких агентов, которые еще не выловлены, и других мероприятий, отвлекающих командующих и подчиненных им офицеров от их прямых обязанностей. Наши командующие головой отвечают за положение дел на фронте и в ближайшем тылу, и я не считаю возможным в какой-либо мере ограничивать их права.</w:t>
      </w:r>
    </w:p>
    <w:p w14:paraId="742B4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 должен вместе с тем сказать, что освобожденные Красной Армией бывшие американские военнопленные находятся в советских лагерях в хороших условиях, во всяком случае в лучших условиях, чем бывшие советские военнопленные в американских лагерях, где они были частично помещены вместе с немецкими военнопленными и где некоторые из них подвергались несправедливому обращению и незаконным стеснениям, вплоть до побоев, о чем уже не раз сообщалось Американскому Правительству (7430).</w:t>
      </w:r>
    </w:p>
    <w:p w14:paraId="3B730FC3" w14:textId="77777777" w:rsidR="00665165" w:rsidRPr="00925F26" w:rsidRDefault="00665165" w:rsidP="00925F26">
      <w:pPr>
        <w:autoSpaceDE w:val="0"/>
        <w:autoSpaceDN w:val="0"/>
        <w:adjustRightInd w:val="0"/>
        <w:jc w:val="both"/>
        <w:rPr>
          <w:color w:val="000000" w:themeColor="text1"/>
          <w:sz w:val="16"/>
          <w:szCs w:val="16"/>
        </w:rPr>
      </w:pPr>
    </w:p>
    <w:p w14:paraId="48307C63" w14:textId="77777777" w:rsidR="00DC5271" w:rsidRPr="00925F26" w:rsidRDefault="00DC5271" w:rsidP="00925F26">
      <w:pPr>
        <w:jc w:val="both"/>
        <w:rPr>
          <w:color w:val="000000" w:themeColor="text1"/>
          <w:sz w:val="16"/>
          <w:szCs w:val="16"/>
        </w:rPr>
      </w:pPr>
      <w:r w:rsidRPr="00925F26">
        <w:rPr>
          <w:bCs/>
          <w:color w:val="000000" w:themeColor="text1"/>
          <w:sz w:val="16"/>
          <w:szCs w:val="16"/>
        </w:rPr>
        <w:t>22 марта</w:t>
      </w:r>
      <w:r w:rsidRPr="00925F26">
        <w:rPr>
          <w:color w:val="000000" w:themeColor="text1"/>
          <w:sz w:val="16"/>
          <w:szCs w:val="16"/>
        </w:rPr>
        <w:t xml:space="preserve"> в 1945 году НКИД СССР В.М.Молотов осудил отказ англо-американской стороны включить советского представителя в состав делегации союзников на переговорах с командованием немецких войск в Северной Италии (15076).</w:t>
      </w:r>
    </w:p>
    <w:p w14:paraId="0720C5EC" w14:textId="77777777" w:rsidR="00DC5271" w:rsidRPr="00925F26" w:rsidRDefault="00DC5271" w:rsidP="00925F26">
      <w:pPr>
        <w:jc w:val="both"/>
        <w:rPr>
          <w:color w:val="000000" w:themeColor="text1"/>
          <w:sz w:val="16"/>
          <w:szCs w:val="16"/>
        </w:rPr>
      </w:pPr>
    </w:p>
    <w:p w14:paraId="0F55AE0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502EEDB" w14:textId="77777777" w:rsidR="00665165" w:rsidRPr="00925F26" w:rsidRDefault="00665165" w:rsidP="00925F26">
      <w:pPr>
        <w:autoSpaceDE w:val="0"/>
        <w:autoSpaceDN w:val="0"/>
        <w:adjustRightInd w:val="0"/>
        <w:jc w:val="both"/>
        <w:rPr>
          <w:iCs/>
          <w:color w:val="000000" w:themeColor="text1"/>
          <w:sz w:val="16"/>
          <w:szCs w:val="16"/>
        </w:rPr>
      </w:pPr>
    </w:p>
    <w:p w14:paraId="3C9221FF" w14:textId="77777777" w:rsidR="00450976" w:rsidRPr="00925F26" w:rsidRDefault="00450976" w:rsidP="00925F26">
      <w:pPr>
        <w:jc w:val="both"/>
        <w:rPr>
          <w:color w:val="000000" w:themeColor="text1"/>
          <w:sz w:val="16"/>
          <w:szCs w:val="16"/>
        </w:rPr>
      </w:pPr>
      <w:r w:rsidRPr="00925F26">
        <w:rPr>
          <w:bCs/>
          <w:color w:val="000000" w:themeColor="text1"/>
          <w:sz w:val="16"/>
          <w:szCs w:val="16"/>
        </w:rPr>
        <w:t>22 марта</w:t>
      </w:r>
      <w:r w:rsidRPr="00925F26">
        <w:rPr>
          <w:color w:val="000000" w:themeColor="text1"/>
          <w:sz w:val="16"/>
          <w:szCs w:val="16"/>
        </w:rPr>
        <w:t xml:space="preserve"> в 1945 году реактивный самолет люфтваффе "Me-262" сбил бомбардировщик союзников "В-17". Примечательно, что пилотом истребителя был </w:t>
      </w:r>
      <w:proofErr w:type="gramStart"/>
      <w:r w:rsidRPr="00925F26">
        <w:rPr>
          <w:color w:val="000000" w:themeColor="text1"/>
          <w:sz w:val="16"/>
          <w:szCs w:val="16"/>
        </w:rPr>
        <w:t>Виктор Петерманн (Viktor Petermann)</w:t>
      </w:r>
      <w:proofErr w:type="gramEnd"/>
      <w:r w:rsidRPr="00925F26">
        <w:rPr>
          <w:color w:val="000000" w:themeColor="text1"/>
          <w:sz w:val="16"/>
          <w:szCs w:val="16"/>
        </w:rPr>
        <w:t xml:space="preserve"> у которого была ампутирована левая рука (15076).</w:t>
      </w:r>
    </w:p>
    <w:p w14:paraId="4D2F16B1" w14:textId="77777777" w:rsidR="00450976" w:rsidRPr="00925F26" w:rsidRDefault="00450976" w:rsidP="00925F26">
      <w:pPr>
        <w:jc w:val="both"/>
        <w:rPr>
          <w:color w:val="000000" w:themeColor="text1"/>
          <w:sz w:val="16"/>
          <w:szCs w:val="16"/>
        </w:rPr>
      </w:pPr>
    </w:p>
    <w:p w14:paraId="22866316" w14:textId="77777777" w:rsidR="00DC5271" w:rsidRPr="00925F26" w:rsidRDefault="00DC5271" w:rsidP="00925F26">
      <w:pPr>
        <w:jc w:val="both"/>
        <w:rPr>
          <w:color w:val="000000" w:themeColor="text1"/>
          <w:sz w:val="16"/>
          <w:szCs w:val="16"/>
        </w:rPr>
      </w:pPr>
      <w:r w:rsidRPr="00925F26">
        <w:rPr>
          <w:bCs/>
          <w:color w:val="000000" w:themeColor="text1"/>
          <w:sz w:val="16"/>
          <w:szCs w:val="16"/>
        </w:rPr>
        <w:t>22 марта</w:t>
      </w:r>
      <w:r w:rsidRPr="00925F26">
        <w:rPr>
          <w:color w:val="000000" w:themeColor="text1"/>
          <w:sz w:val="16"/>
          <w:szCs w:val="16"/>
        </w:rPr>
        <w:t xml:space="preserve"> в 1945 году генерал-полковник Хейнрици сменил Гиммлера на посту командующего группой армий «Висла» (15076).</w:t>
      </w:r>
    </w:p>
    <w:p w14:paraId="18941438" w14:textId="77777777" w:rsidR="00DC5271" w:rsidRPr="00925F26" w:rsidRDefault="00DC5271" w:rsidP="00925F26">
      <w:pPr>
        <w:jc w:val="both"/>
        <w:rPr>
          <w:color w:val="000000" w:themeColor="text1"/>
          <w:sz w:val="16"/>
          <w:szCs w:val="16"/>
        </w:rPr>
      </w:pPr>
    </w:p>
    <w:p w14:paraId="03D857E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американские войска генерала Паттона форсировали Рейн, обманув англичан, собиравшихся сделать это на следующий день (4962).</w:t>
      </w:r>
    </w:p>
    <w:p w14:paraId="1DB1DFB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BDF2C7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генерал-полковник Хейнрици сменил Гиммлера на посту командующего группой армий “Висла”4963</w:t>
      </w:r>
    </w:p>
    <w:p w14:paraId="4BB8CC2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B7D03F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Япония, испытывающая проблемы с едой, предприняла массированную атаку с целью захвата урожая в Центральном Китае (4962).</w:t>
      </w:r>
    </w:p>
    <w:p w14:paraId="560D974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7197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было выполнено 10 налетов на Окинаву (2248,3).</w:t>
      </w:r>
    </w:p>
    <w:p w14:paraId="3AD663A2" w14:textId="77777777" w:rsidR="00665165" w:rsidRPr="00925F26" w:rsidRDefault="00665165" w:rsidP="00925F26">
      <w:pPr>
        <w:autoSpaceDE w:val="0"/>
        <w:autoSpaceDN w:val="0"/>
        <w:adjustRightInd w:val="0"/>
        <w:jc w:val="both"/>
        <w:rPr>
          <w:color w:val="000000" w:themeColor="text1"/>
          <w:sz w:val="16"/>
          <w:szCs w:val="16"/>
        </w:rPr>
      </w:pPr>
    </w:p>
    <w:p w14:paraId="4DB9060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22nd, 1945: Units of the US Third Army cross the Rhine at Oppenheim south of Mainz against minimal German resistance (3819).</w:t>
      </w:r>
    </w:p>
    <w:p w14:paraId="4E28517E" w14:textId="77777777" w:rsidR="00665165" w:rsidRPr="00925F26" w:rsidRDefault="00665165" w:rsidP="00925F26">
      <w:pPr>
        <w:autoSpaceDE w:val="0"/>
        <w:autoSpaceDN w:val="0"/>
        <w:adjustRightInd w:val="0"/>
        <w:jc w:val="both"/>
        <w:rPr>
          <w:color w:val="000000" w:themeColor="text1"/>
          <w:sz w:val="16"/>
          <w:szCs w:val="16"/>
          <w:lang w:val="en-US"/>
        </w:rPr>
      </w:pPr>
    </w:p>
    <w:p w14:paraId="7BCB3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 Германии американские войска переправились через Рейн в Нейрштейне и Оппенгейме в 32 км от Франкфурта (3907,256).</w:t>
      </w:r>
    </w:p>
    <w:p w14:paraId="3DD60A34" w14:textId="77777777" w:rsidR="00665165" w:rsidRPr="00925F26" w:rsidRDefault="00665165" w:rsidP="00925F26">
      <w:pPr>
        <w:autoSpaceDE w:val="0"/>
        <w:autoSpaceDN w:val="0"/>
        <w:adjustRightInd w:val="0"/>
        <w:jc w:val="both"/>
        <w:rPr>
          <w:color w:val="000000" w:themeColor="text1"/>
          <w:sz w:val="16"/>
          <w:szCs w:val="16"/>
        </w:rPr>
      </w:pPr>
    </w:p>
    <w:p w14:paraId="4222B1BE" w14:textId="77777777" w:rsidR="00633902" w:rsidRPr="00925F26" w:rsidRDefault="00633902" w:rsidP="00925F26">
      <w:pPr>
        <w:jc w:val="both"/>
        <w:rPr>
          <w:color w:val="000000" w:themeColor="text1"/>
          <w:sz w:val="16"/>
          <w:szCs w:val="16"/>
        </w:rPr>
      </w:pPr>
      <w:r w:rsidRPr="00925F26">
        <w:rPr>
          <w:color w:val="000000" w:themeColor="text1"/>
          <w:sz w:val="16"/>
          <w:szCs w:val="16"/>
        </w:rPr>
        <w:t>22 марта 1942 авианосец США «Энтерпрайз» поврежден пожаром, вызванным огнем американской зенитной артиллерии, и оперативная группа 58 уходит из японских вод. Во время ударов по Кюсю и Внутреннему морю было уничтожено 528 японских самолетов; Япония признает, что в боях «воздух-воздух» было потеряно 163 самолета и было уничтожено еще несколько японских самолетов (20371).</w:t>
      </w:r>
    </w:p>
    <w:p w14:paraId="480998F8" w14:textId="77777777" w:rsidR="00633902" w:rsidRPr="00925F26" w:rsidRDefault="00633902" w:rsidP="00925F26">
      <w:pPr>
        <w:jc w:val="both"/>
        <w:rPr>
          <w:color w:val="000000" w:themeColor="text1"/>
          <w:sz w:val="16"/>
          <w:szCs w:val="16"/>
        </w:rPr>
      </w:pPr>
    </w:p>
    <w:p w14:paraId="575252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в Каире был основан Арабский Союз (3481).</w:t>
      </w:r>
    </w:p>
    <w:p w14:paraId="0C2531F4" w14:textId="77777777" w:rsidR="00665165" w:rsidRPr="00925F26" w:rsidRDefault="00665165" w:rsidP="00925F26">
      <w:pPr>
        <w:autoSpaceDE w:val="0"/>
        <w:autoSpaceDN w:val="0"/>
        <w:adjustRightInd w:val="0"/>
        <w:jc w:val="both"/>
        <w:rPr>
          <w:color w:val="000000" w:themeColor="text1"/>
          <w:sz w:val="16"/>
          <w:szCs w:val="16"/>
        </w:rPr>
      </w:pPr>
    </w:p>
    <w:p w14:paraId="09FA04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г. Египтом, Ираком, Саудовской Аравией, Трансиорданией, Сирией и Ливаном был подписан Договор о создании Лиги арабских государств (ЛАГ). В мае 1945 г. к нему присоединился Йемен (3871).</w:t>
      </w:r>
    </w:p>
    <w:p w14:paraId="577B5412" w14:textId="77777777" w:rsidR="00665165" w:rsidRPr="00925F26" w:rsidRDefault="00665165" w:rsidP="00925F26">
      <w:pPr>
        <w:autoSpaceDE w:val="0"/>
        <w:autoSpaceDN w:val="0"/>
        <w:adjustRightInd w:val="0"/>
        <w:jc w:val="both"/>
        <w:rPr>
          <w:color w:val="000000" w:themeColor="text1"/>
          <w:sz w:val="16"/>
          <w:szCs w:val="16"/>
        </w:rPr>
      </w:pPr>
    </w:p>
    <w:p w14:paraId="31552A7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марта 1945 на Каирской конференции создана Лига Арабских государств (4962).</w:t>
      </w:r>
    </w:p>
    <w:p w14:paraId="2B4A7DE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3CCF7F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9525C0F" w14:textId="77777777" w:rsidR="00665165" w:rsidRPr="00925F26" w:rsidRDefault="00665165" w:rsidP="00925F26">
      <w:pPr>
        <w:autoSpaceDE w:val="0"/>
        <w:autoSpaceDN w:val="0"/>
        <w:adjustRightInd w:val="0"/>
        <w:jc w:val="both"/>
        <w:rPr>
          <w:iCs/>
          <w:color w:val="000000" w:themeColor="text1"/>
          <w:sz w:val="16"/>
          <w:szCs w:val="16"/>
        </w:rPr>
      </w:pPr>
    </w:p>
    <w:p w14:paraId="77A279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на 5000 м на Су-6 с РД при включении РД произошел взрыв и двигатель оторвался (2234,9).</w:t>
      </w:r>
    </w:p>
    <w:p w14:paraId="2F144E40" w14:textId="77777777" w:rsidR="00665165" w:rsidRPr="00925F26" w:rsidRDefault="00665165" w:rsidP="00925F26">
      <w:pPr>
        <w:autoSpaceDE w:val="0"/>
        <w:autoSpaceDN w:val="0"/>
        <w:adjustRightInd w:val="0"/>
        <w:jc w:val="both"/>
        <w:rPr>
          <w:color w:val="000000" w:themeColor="text1"/>
          <w:sz w:val="16"/>
          <w:szCs w:val="16"/>
        </w:rPr>
      </w:pPr>
    </w:p>
    <w:p w14:paraId="390AA7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 марта 1945 в поле</w:t>
      </w:r>
      <w:r w:rsidRPr="00925F26">
        <w:rPr>
          <w:color w:val="000000" w:themeColor="text1"/>
          <w:sz w:val="16"/>
          <w:szCs w:val="16"/>
        </w:rPr>
        <w:softHyphen/>
        <w:t>те Су-7 при повторном включении РД-1 в воздухе произошел взрыв, вызвавший незначительные повреждения хвосто</w:t>
      </w:r>
      <w:r w:rsidRPr="00925F26">
        <w:rPr>
          <w:color w:val="000000" w:themeColor="text1"/>
          <w:sz w:val="16"/>
          <w:szCs w:val="16"/>
        </w:rPr>
        <w:softHyphen/>
        <w:t>вого оперения и полное разрушение РД-1. Г.И.Комаров успешно завершил полет на поврежденном самолете. Для установления причин аварии самолета, приказом заместителя Нар</w:t>
      </w:r>
      <w:r w:rsidRPr="00925F26">
        <w:rPr>
          <w:color w:val="000000" w:themeColor="text1"/>
          <w:sz w:val="16"/>
          <w:szCs w:val="16"/>
        </w:rPr>
        <w:softHyphen/>
        <w:t>кома А.С.Яковлева, была назначена комиссия, которая установила, что пос</w:t>
      </w:r>
      <w:r w:rsidRPr="00925F26">
        <w:rPr>
          <w:color w:val="000000" w:themeColor="text1"/>
          <w:sz w:val="16"/>
          <w:szCs w:val="16"/>
        </w:rPr>
        <w:softHyphen/>
        <w:t>ле неудавшегося высотного запуска при повторной попытке произвести его про</w:t>
      </w:r>
      <w:r w:rsidRPr="00925F26">
        <w:rPr>
          <w:color w:val="000000" w:themeColor="text1"/>
          <w:sz w:val="16"/>
          <w:szCs w:val="16"/>
        </w:rPr>
        <w:softHyphen/>
        <w:t>изошел взрыв. Его причиной послужи</w:t>
      </w:r>
      <w:r w:rsidRPr="00925F26">
        <w:rPr>
          <w:color w:val="000000" w:themeColor="text1"/>
          <w:sz w:val="16"/>
          <w:szCs w:val="16"/>
        </w:rPr>
        <w:softHyphen/>
        <w:t>ла ненадежная работа системы эфиро-воздушного зажигания со свечой накаливания. Ввиду неудовлетворительной рабо</w:t>
      </w:r>
      <w:r w:rsidRPr="00925F26">
        <w:rPr>
          <w:color w:val="000000" w:themeColor="text1"/>
          <w:sz w:val="16"/>
          <w:szCs w:val="16"/>
        </w:rPr>
        <w:softHyphen/>
        <w:t>ты системы зажигания двигателя РД-1 ОКБ-СД завода №16 разработало модификацию двигателя. Вместо пре</w:t>
      </w:r>
      <w:r w:rsidRPr="00925F26">
        <w:rPr>
          <w:color w:val="000000" w:themeColor="text1"/>
          <w:sz w:val="16"/>
          <w:szCs w:val="16"/>
        </w:rPr>
        <w:softHyphen/>
        <w:t>жней системы зажигания применили химическую, в которой в качестве пускового компонента использовалась смесь Б23-75, самовоспламенявшаяся при соприкосновении с горючим и окислителем. Также уменьшили коли</w:t>
      </w:r>
      <w:r w:rsidRPr="00925F26">
        <w:rPr>
          <w:color w:val="000000" w:themeColor="text1"/>
          <w:sz w:val="16"/>
          <w:szCs w:val="16"/>
        </w:rPr>
        <w:softHyphen/>
        <w:t>чество пусковых форсунок. Модифика</w:t>
      </w:r>
      <w:r w:rsidRPr="00925F26">
        <w:rPr>
          <w:color w:val="000000" w:themeColor="text1"/>
          <w:sz w:val="16"/>
          <w:szCs w:val="16"/>
        </w:rPr>
        <w:softHyphen/>
        <w:t>ция двигателя получила обозначение РД-1ХЗ (химический запуск). Пусковые свойства модифицированного двигате</w:t>
      </w:r>
      <w:r w:rsidRPr="00925F26">
        <w:rPr>
          <w:color w:val="000000" w:themeColor="text1"/>
          <w:sz w:val="16"/>
          <w:szCs w:val="16"/>
        </w:rPr>
        <w:softHyphen/>
        <w:t>ля стали значительно лучше, но все же было несколько случаев взрывов дви</w:t>
      </w:r>
      <w:r w:rsidRPr="00925F26">
        <w:rPr>
          <w:color w:val="000000" w:themeColor="text1"/>
          <w:sz w:val="16"/>
          <w:szCs w:val="16"/>
        </w:rPr>
        <w:softHyphen/>
        <w:t>гателей на стенде, а также отмечалась вибрация двигателя при переходе с одного режима работы на другой (10668).</w:t>
      </w:r>
    </w:p>
    <w:p w14:paraId="68CD45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5EA1EDB" w14:textId="77777777" w:rsidR="00677D5F" w:rsidRPr="00925F26" w:rsidRDefault="00677D5F" w:rsidP="00925F26">
      <w:pPr>
        <w:shd w:val="clear" w:color="auto" w:fill="FFFFFF"/>
        <w:jc w:val="both"/>
        <w:rPr>
          <w:color w:val="000000" w:themeColor="text1"/>
          <w:sz w:val="16"/>
          <w:szCs w:val="16"/>
        </w:rPr>
      </w:pPr>
      <w:r w:rsidRPr="00925F26">
        <w:rPr>
          <w:color w:val="000000" w:themeColor="text1"/>
          <w:sz w:val="16"/>
          <w:szCs w:val="16"/>
        </w:rPr>
        <w:t>23 марта 1945 в полете при повторном включении РД-1 в воздухе на Су-7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21AE81E4" w14:textId="77777777" w:rsidR="00677D5F" w:rsidRPr="00925F26" w:rsidRDefault="00677D5F" w:rsidP="00925F26">
      <w:pPr>
        <w:shd w:val="clear" w:color="auto" w:fill="FFFFFF"/>
        <w:jc w:val="both"/>
        <w:rPr>
          <w:color w:val="000000" w:themeColor="text1"/>
          <w:sz w:val="16"/>
          <w:szCs w:val="16"/>
        </w:rPr>
      </w:pPr>
      <w:r w:rsidRPr="00925F26">
        <w:rPr>
          <w:color w:val="000000" w:themeColor="text1"/>
          <w:sz w:val="16"/>
          <w:szCs w:val="16"/>
        </w:rPr>
        <w:t>Для установления причин аварии самолета по приказу за местителя Наркома А.С. Яковлева была назначена комиссия.</w:t>
      </w:r>
    </w:p>
    <w:p w14:paraId="3EB9C27F" w14:textId="77777777" w:rsidR="00677D5F" w:rsidRPr="00925F26" w:rsidRDefault="00677D5F" w:rsidP="00925F26">
      <w:pPr>
        <w:shd w:val="clear" w:color="auto" w:fill="FFFFFF"/>
        <w:jc w:val="both"/>
        <w:rPr>
          <w:color w:val="000000" w:themeColor="text1"/>
          <w:sz w:val="16"/>
          <w:szCs w:val="16"/>
        </w:rPr>
      </w:pPr>
      <w:r w:rsidRPr="00925F26">
        <w:rPr>
          <w:color w:val="000000" w:themeColor="text1"/>
          <w:sz w:val="16"/>
          <w:szCs w:val="16"/>
        </w:rPr>
        <w:t xml:space="preserve">Было установлено, что после неудавшегося высотного запуска при повторной попытке произвести его произошел взрыв. </w:t>
      </w:r>
      <w:proofErr w:type="gramStart"/>
      <w:r w:rsidRPr="00925F26">
        <w:rPr>
          <w:color w:val="000000" w:themeColor="text1"/>
          <w:sz w:val="16"/>
          <w:szCs w:val="16"/>
        </w:rPr>
        <w:t>При чиной</w:t>
      </w:r>
      <w:proofErr w:type="gramEnd"/>
      <w:r w:rsidRPr="00925F26">
        <w:rPr>
          <w:color w:val="000000" w:themeColor="text1"/>
          <w:sz w:val="16"/>
          <w:szCs w:val="16"/>
        </w:rPr>
        <w:t xml:space="preserve"> взрыва послужила ненадежная работа системы эфиро воздушного зажигания со свечой накаливания (19586).</w:t>
      </w:r>
    </w:p>
    <w:p w14:paraId="77676497" w14:textId="77777777" w:rsidR="00677D5F" w:rsidRPr="00925F26" w:rsidRDefault="00677D5F" w:rsidP="00925F26">
      <w:pPr>
        <w:shd w:val="clear" w:color="auto" w:fill="FFFFFF"/>
        <w:jc w:val="both"/>
        <w:rPr>
          <w:color w:val="000000" w:themeColor="text1"/>
          <w:sz w:val="16"/>
          <w:szCs w:val="16"/>
        </w:rPr>
      </w:pPr>
    </w:p>
    <w:p w14:paraId="548AE89E"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на высоте 5000 метров у «Су-6» «2ТК-3» с «РД-1», во время программного полета при включении «РД-1» в камере сгорания произошел взрыв, и двигатель оторвался от самолета. Небольшие повреждения получили рули высоты. На снимках силовая установка «Су-6» с двигателем «М-82ФНВ» с турбокомпрессором «ТК-3» и двигателем «РД-1» в хвостовом конусе (15077).</w:t>
      </w:r>
    </w:p>
    <w:p w14:paraId="700AE7A9" w14:textId="77777777" w:rsidR="00450976" w:rsidRPr="00925F26" w:rsidRDefault="00450976" w:rsidP="00925F26">
      <w:pPr>
        <w:jc w:val="both"/>
        <w:rPr>
          <w:color w:val="000000" w:themeColor="text1"/>
          <w:sz w:val="16"/>
          <w:szCs w:val="16"/>
        </w:rPr>
      </w:pPr>
    </w:p>
    <w:p w14:paraId="4017A0B4" w14:textId="77777777" w:rsidR="006773EC" w:rsidRPr="001A0BAA" w:rsidRDefault="006773EC" w:rsidP="006773EC">
      <w:pPr>
        <w:jc w:val="both"/>
        <w:rPr>
          <w:color w:val="0070C0"/>
          <w:sz w:val="16"/>
          <w:szCs w:val="16"/>
        </w:rPr>
      </w:pPr>
      <w:r w:rsidRPr="001A0BAA">
        <w:rPr>
          <w:color w:val="0070C0"/>
          <w:sz w:val="16"/>
          <w:szCs w:val="16"/>
        </w:rPr>
        <w:lastRenderedPageBreak/>
        <w:t>23 марта 1945 в полете Су-7 при повторном включении РД-1 в воздухе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657CFB65" w14:textId="77777777" w:rsidR="006773EC" w:rsidRPr="001A0BAA" w:rsidRDefault="006773EC" w:rsidP="006773EC">
      <w:pPr>
        <w:jc w:val="both"/>
        <w:rPr>
          <w:color w:val="0070C0"/>
          <w:sz w:val="16"/>
          <w:szCs w:val="16"/>
        </w:rPr>
      </w:pPr>
      <w:r w:rsidRPr="001A0BAA">
        <w:rPr>
          <w:color w:val="0070C0"/>
          <w:sz w:val="16"/>
          <w:szCs w:val="16"/>
        </w:rPr>
        <w:t>Для установления причин аварии самолета по приказу за</w:t>
      </w:r>
      <w:r w:rsidRPr="001A0BAA">
        <w:rPr>
          <w:color w:val="0070C0"/>
          <w:sz w:val="16"/>
          <w:szCs w:val="16"/>
        </w:rPr>
        <w:softHyphen/>
        <w:t>местителя Наркома А.С. Яковлева была назначена комиссия. Было установлено, что после неудавшегося высотного запуска при повторной попытке произвести его произошел взрыв. При</w:t>
      </w:r>
      <w:r w:rsidRPr="001A0BAA">
        <w:rPr>
          <w:color w:val="0070C0"/>
          <w:sz w:val="16"/>
          <w:szCs w:val="16"/>
        </w:rPr>
        <w:softHyphen/>
        <w:t>чиной взрыва послужила ненадежная работа системы эфиро</w:t>
      </w:r>
      <w:r w:rsidRPr="001A0BAA">
        <w:rPr>
          <w:color w:val="0070C0"/>
          <w:sz w:val="16"/>
          <w:szCs w:val="16"/>
        </w:rPr>
        <w:softHyphen/>
        <w:t>воздушного зажигания со свечой накаливания (24920).</w:t>
      </w:r>
    </w:p>
    <w:p w14:paraId="06C54203" w14:textId="77777777" w:rsidR="006773EC" w:rsidRPr="001A0BAA" w:rsidRDefault="006773EC" w:rsidP="006773EC">
      <w:pPr>
        <w:jc w:val="both"/>
        <w:rPr>
          <w:color w:val="0070C0"/>
          <w:sz w:val="16"/>
          <w:szCs w:val="16"/>
        </w:rPr>
      </w:pPr>
    </w:p>
    <w:p w14:paraId="6D663E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г. Ер-2, пилотировавшийся капитаном Коростылевым, пролетел из Иркутска до Москвы за один день с промежуточной посадкой в Новосибирске. За 15 ч 25 мин летного времени было пройдено расстояние 4600 км. Вслед за этим началась подготовка к беспосадочному перелету по тому же маршруту.</w:t>
      </w:r>
    </w:p>
    <w:p w14:paraId="067F25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Эти перелеты и предшествовавшие им тренировки выявили невозможность ночных полетов из-за неудовлетворительного обзора. Фонарь кабины летчиков пришлось опять дорабатывать. К концу сентября установили новый фонарь и устранили дефекты, выявленные при войсковых испытаниях, а с октября эти доработки стали внедрять на серийных, в том числе и на ранее выпущенных бомбардировщиках. </w:t>
      </w:r>
    </w:p>
    <w:p w14:paraId="56C011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Эксплуатация самолетов с дизелями существенно отличалась от эксплуатации машин с карбюраторными моторами. Пока в кабинах бомбардировщика находились испытатели с их знаниями, квалификацией и опытом, трудностей не возникало. Но настало время, и за штурвалы боевых машин сели строевые летчики, которым пришлось менять приобретенные навыки.</w:t>
      </w:r>
    </w:p>
    <w:p w14:paraId="217E2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Особенностью эксплуатации дизелей был иной способ контролирования их работы и управления ими в полете. Раньше достаточно было послать вперед сектор газа, и карбюратор автоматически дозировал подачу горючего в цилиндры, летчику оставалось лишь поработать высотным корректором и осуществлять контроль числа оборотов и давления наддува. Теперь же основными параметрами, кроме оборотов двигателя, становились часовой расход топлива и температура выхлопных газов, давление наддува устанавливалось автоматически. При этом летчик должен был постоянно помнить, что дизель, по сравнению с бензиновым мотором, ничем не защищался при выходе на максимальные обороты, и сектор газа разрешалось давать вперед до упора лишь на взлете. На других режимах полета этот рычаг требовалось устанавливать в строгом соответствии с инструкцией, и особенно при полетах выше границы высотности двигателя (11994).</w:t>
      </w:r>
    </w:p>
    <w:p w14:paraId="008439DF" w14:textId="77777777" w:rsidR="00665165" w:rsidRPr="00925F26" w:rsidRDefault="00665165" w:rsidP="00925F26">
      <w:pPr>
        <w:autoSpaceDE w:val="0"/>
        <w:autoSpaceDN w:val="0"/>
        <w:adjustRightInd w:val="0"/>
        <w:jc w:val="both"/>
        <w:rPr>
          <w:color w:val="000000" w:themeColor="text1"/>
          <w:sz w:val="16"/>
          <w:szCs w:val="16"/>
        </w:rPr>
      </w:pPr>
    </w:p>
    <w:p w14:paraId="6BACD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23 марта по 9 апреля 1945 л В.Г.Иванов, ви И.А.Колосов и и по вооружению А.Г.Аронов проводили гос. испытания Як-3П c 3 Б-20 (Б-20М и 2хБ-20С) (65,177).</w:t>
      </w:r>
    </w:p>
    <w:p w14:paraId="60DE0CB6" w14:textId="77777777" w:rsidR="00665165" w:rsidRPr="00925F26" w:rsidRDefault="00665165" w:rsidP="00925F26">
      <w:pPr>
        <w:autoSpaceDE w:val="0"/>
        <w:autoSpaceDN w:val="0"/>
        <w:adjustRightInd w:val="0"/>
        <w:jc w:val="both"/>
        <w:rPr>
          <w:color w:val="000000" w:themeColor="text1"/>
          <w:sz w:val="16"/>
          <w:szCs w:val="16"/>
        </w:rPr>
      </w:pPr>
    </w:p>
    <w:p w14:paraId="419A8266"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(по 9 апреля) в HИИ ВВС начались госиспытания головных образцов </w:t>
      </w:r>
      <w:hyperlink r:id="rId76" w:tgtFrame="_blank" w:history="1">
        <w:r w:rsidRPr="00925F26">
          <w:rPr>
            <w:color w:val="000000" w:themeColor="text1"/>
            <w:sz w:val="16"/>
            <w:szCs w:val="16"/>
          </w:rPr>
          <w:t xml:space="preserve">«Як-ЗП» </w:t>
        </w:r>
      </w:hyperlink>
      <w:r w:rsidRPr="00925F26">
        <w:rPr>
          <w:color w:val="000000" w:themeColor="text1"/>
          <w:sz w:val="16"/>
          <w:szCs w:val="16"/>
        </w:rPr>
        <w:t>(летчик В.Г.Иванов, ведущий инженер по самолету И.А.Колосов, по вооружению - А.Г.Аронов). Было произведено 37 полетов общей продолжительностью 17 ч 39 мин. По результатам госиспытаний отмечалось, что самолет с тремя пушками «Б-20» нужен для ВВС. «Як-ЗП» серийно строился на заводах №292 в Саратове и N31 в Тбилиси с апреля 1945 г. до середины 1946 г. С 1 августа 1945 г. все «Як-З» «ВК-105ПФ2» выпускались только с тремя пушками «Б-20». Всего построено 596 экземпляров «Як-ЗП» (15077).</w:t>
      </w:r>
    </w:p>
    <w:p w14:paraId="5F896C8D" w14:textId="77777777" w:rsidR="00450976" w:rsidRPr="00925F26" w:rsidRDefault="00450976" w:rsidP="00925F26">
      <w:pPr>
        <w:jc w:val="both"/>
        <w:rPr>
          <w:color w:val="000000" w:themeColor="text1"/>
          <w:sz w:val="16"/>
          <w:szCs w:val="16"/>
        </w:rPr>
      </w:pPr>
    </w:p>
    <w:p w14:paraId="361653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23 марта по 9 апреля 1945 года проходили государственные испытания трехпушечного Як-3, на которые предъявили самолет № 1630. Ведущими по машине были инженер И.А. Колосов и летчик В.Г. Иванов. За тот период выполнили 37 полетов общей продолжительностью 17 часов 39 минут.</w:t>
      </w:r>
    </w:p>
    <w:p w14:paraId="119B00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на самолете сохранились крупные дефекты, ранее отмеченные в ходе контрольных проверок серийных машин, максимальные горизонтальные скорости были на 15-25 км/ч ниже заданных постановлением ГКО вследствие отсоса щитков шасси в полете и волнистой поверхности крыла. Мала была и дальность двухсторонней радиосвязи, не превышавшая 55-60 км при заданной 100 км. Кроме этого, выявили отставание обшивки киля, чрезмерные нагрузки на ручку управления самолетом, недостаточную прочность кронштейна крепления гидроцилиндра спуска пушки Б-20М и другие дефекты.</w:t>
      </w:r>
    </w:p>
    <w:p w14:paraId="027B6E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Возможности промышленности все же были ограничены. Не хватало оборудова- Истребитель ния, материалов и специалистов, чтобы Bf109G-6 оперативно устранять все недостатки. Да и политики давили со всех сторон, требуя выполнения плана, поэтому и приходилось что-то приносить в жертву. Поэтому воевать приходилось на том, что выпускали заводы, и Як-ЗП не стал исключением (12047).</w:t>
      </w:r>
    </w:p>
    <w:p w14:paraId="54491CC6" w14:textId="77777777" w:rsidR="00665165" w:rsidRPr="00925F26" w:rsidRDefault="00665165" w:rsidP="00925F26">
      <w:pPr>
        <w:autoSpaceDE w:val="0"/>
        <w:autoSpaceDN w:val="0"/>
        <w:adjustRightInd w:val="0"/>
        <w:jc w:val="both"/>
        <w:rPr>
          <w:color w:val="000000" w:themeColor="text1"/>
          <w:sz w:val="16"/>
          <w:szCs w:val="16"/>
        </w:rPr>
      </w:pPr>
    </w:p>
    <w:p w14:paraId="1B605A47" w14:textId="77777777" w:rsidR="006773EC" w:rsidRPr="001A0BAA" w:rsidRDefault="006773EC" w:rsidP="006773EC">
      <w:pPr>
        <w:jc w:val="both"/>
        <w:rPr>
          <w:color w:val="0070C0"/>
          <w:sz w:val="16"/>
          <w:szCs w:val="16"/>
        </w:rPr>
      </w:pPr>
      <w:r w:rsidRPr="001A0BAA">
        <w:rPr>
          <w:color w:val="0070C0"/>
          <w:sz w:val="16"/>
          <w:szCs w:val="16"/>
        </w:rPr>
        <w:t>С 23 марта по 9 апреля 1945 года проходили госиспытания Як-3П с ВК</w:t>
      </w:r>
      <w:r w:rsidRPr="001A0BAA">
        <w:rPr>
          <w:color w:val="0070C0"/>
          <w:sz w:val="16"/>
          <w:szCs w:val="16"/>
        </w:rPr>
        <w:noBreakHyphen/>
        <w:t>105ПФ2, оснащенного тремя пушками.</w:t>
      </w:r>
    </w:p>
    <w:p w14:paraId="5A74284A" w14:textId="77777777" w:rsidR="006773EC" w:rsidRPr="001A0BAA" w:rsidRDefault="006773EC" w:rsidP="006773EC">
      <w:pPr>
        <w:jc w:val="both"/>
        <w:rPr>
          <w:color w:val="0070C0"/>
          <w:sz w:val="16"/>
          <w:szCs w:val="16"/>
        </w:rPr>
      </w:pPr>
      <w:r w:rsidRPr="001A0BAA">
        <w:rPr>
          <w:color w:val="0070C0"/>
          <w:sz w:val="16"/>
          <w:szCs w:val="16"/>
        </w:rPr>
        <w:t>Между блоками цилиндров установили пушку Б</w:t>
      </w:r>
      <w:r w:rsidRPr="001A0BAA">
        <w:rPr>
          <w:color w:val="0070C0"/>
          <w:sz w:val="16"/>
          <w:szCs w:val="16"/>
        </w:rPr>
        <w:noBreakHyphen/>
        <w:t>20М с боекомплектом 120 выстрелов, а над двигателем две пушки Б</w:t>
      </w:r>
      <w:r w:rsidRPr="001A0BAA">
        <w:rPr>
          <w:color w:val="0070C0"/>
          <w:sz w:val="16"/>
          <w:szCs w:val="16"/>
        </w:rPr>
        <w:noBreakHyphen/>
        <w:t>2 °C с боекомплектом 130 выстрелов на ствол. Масса вооружения оказалась на 11 кг меньше, чем у серийного Як</w:t>
      </w:r>
      <w:r w:rsidRPr="001A0BAA">
        <w:rPr>
          <w:color w:val="0070C0"/>
          <w:sz w:val="16"/>
          <w:szCs w:val="16"/>
        </w:rPr>
        <w:noBreakHyphen/>
        <w:t>3. Испытания показали, что летные характеристики самолета не изменились, пилотирование не усложнилось, а отдача пушек не сбивала наводку</w:t>
      </w:r>
    </w:p>
    <w:p w14:paraId="353A7833" w14:textId="77777777" w:rsidR="006773EC" w:rsidRPr="001A0BAA" w:rsidRDefault="006773EC" w:rsidP="006773EC">
      <w:pPr>
        <w:jc w:val="both"/>
        <w:rPr>
          <w:color w:val="0070C0"/>
          <w:sz w:val="16"/>
          <w:szCs w:val="16"/>
        </w:rPr>
      </w:pPr>
      <w:r w:rsidRPr="001A0BAA">
        <w:rPr>
          <w:color w:val="0070C0"/>
          <w:sz w:val="16"/>
          <w:szCs w:val="16"/>
        </w:rPr>
        <w:t>Як</w:t>
      </w:r>
      <w:r w:rsidRPr="001A0BAA">
        <w:rPr>
          <w:color w:val="0070C0"/>
          <w:sz w:val="16"/>
          <w:szCs w:val="16"/>
        </w:rPr>
        <w:noBreakHyphen/>
        <w:t>3П направили в серийное производство. Заводы в Саратове и Тбилиси до середины 1946 года выпустили 596 машин этого типа, причем с 1 августа 1945 года заводы выпускали только пушечную модификацию истребителя (25075).</w:t>
      </w:r>
    </w:p>
    <w:p w14:paraId="1F2203C9" w14:textId="77777777" w:rsidR="006773EC" w:rsidRPr="001A0BAA" w:rsidRDefault="006773EC" w:rsidP="006773EC">
      <w:pPr>
        <w:jc w:val="both"/>
        <w:rPr>
          <w:color w:val="0070C0"/>
          <w:sz w:val="16"/>
          <w:szCs w:val="16"/>
        </w:rPr>
      </w:pPr>
    </w:p>
    <w:p w14:paraId="13E1C0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23 марта по 9 апреля 1945 в НИИ ВВС проходили контрольные испытания Як-3 №2229 саратовского авиазавода. На крыле усилили средние части нервюр №8, 9, 10, 11, 14, 16 и 18, установили дополнительные замки на центропланные щитки, закрывавшие после уборки основные опоры шасси, сборник конденсата между компрессором АК-50 и прямоточным фильтром, </w:t>
      </w:r>
      <w:proofErr w:type="gramStart"/>
      <w:r w:rsidRPr="00925F26">
        <w:rPr>
          <w:color w:val="000000" w:themeColor="text1"/>
          <w:sz w:val="16"/>
          <w:szCs w:val="16"/>
        </w:rPr>
        <w:t>масло- радиатор</w:t>
      </w:r>
      <w:proofErr w:type="gramEnd"/>
      <w:r w:rsidRPr="00925F26">
        <w:rPr>
          <w:color w:val="000000" w:themeColor="text1"/>
          <w:sz w:val="16"/>
          <w:szCs w:val="16"/>
        </w:rPr>
        <w:t xml:space="preserve"> типа 555 заменили на 555У.</w:t>
      </w:r>
    </w:p>
    <w:p w14:paraId="56A12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Выяснилось, что на самолете сохранились дефекты, выявленные в ходе контрольных испытаний машины №1112 (сентябрь 1944 г.), а трубка Вентури, питавшая гироскопические приборы и установленная в выходной части тоннеля водоради- атора, не обеспечивала необходимого перепада давления для нормальной работы указателя поворота.</w:t>
      </w:r>
    </w:p>
    <w:p w14:paraId="7E9E1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Максимальные горизонтальные скорости истребителя оказались заниженными по сравнению с установленными постановлением ГКО от 26 октября 1943 года на 10-11 км/ч при кране шасси, поставленном на уборку, и на 22-25 км/ч - в его нейтральном положении. Дальность радиопередачи не превышала 60 км, а емкость бензобаков сократилась на 12 литров.</w:t>
      </w:r>
    </w:p>
    <w:p w14:paraId="12B500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Кроме этого, отмечалось, что сферический козырек фонаря искажал видимые через него предметы и на нем отсутствовало переднее бронестекло.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опыт Великой Отечественной показал, что немцы избегали лобовых атак и вероятность поражения летчика с передней полусферы была ничтожна, заказчик продолжал настаивать на переднем бронестекле, но на Як-3 его так и не установили, ограничившись задней прозрачной броней.</w:t>
      </w:r>
    </w:p>
    <w:p w14:paraId="44E5C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Усилия на ручке управления самолетом были чрезмерными, а эффективность руля высоты - мала. Были отмечены и другие недостатки. Хотя самолет испытания не выдержал, промышленность продолжала выпуск Як-3, а военпреды их принимали.</w:t>
      </w:r>
    </w:p>
    <w:p w14:paraId="3DF09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Вслед за машиной №2229 на контрольные испытания в НИИ ВВС поступил самолет №4145, выпущенный в мае тем же заводом.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517238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25FEB21E" w14:textId="77777777" w:rsidR="00665165" w:rsidRPr="00925F26" w:rsidRDefault="00665165" w:rsidP="00925F26">
      <w:pPr>
        <w:autoSpaceDE w:val="0"/>
        <w:autoSpaceDN w:val="0"/>
        <w:adjustRightInd w:val="0"/>
        <w:jc w:val="both"/>
        <w:rPr>
          <w:color w:val="000000" w:themeColor="text1"/>
          <w:sz w:val="16"/>
          <w:szCs w:val="16"/>
        </w:rPr>
      </w:pPr>
    </w:p>
    <w:p w14:paraId="3703F0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закончились специальные испытания серийного Ла-7 N 38102158 с улучшенной герметизацией вентиляции кабины, которые проводились с 19 марта 1945 (740,1).</w:t>
      </w:r>
    </w:p>
    <w:p w14:paraId="2D2C7DE4" w14:textId="77777777" w:rsidR="00665165" w:rsidRPr="00925F26" w:rsidRDefault="00665165" w:rsidP="00925F26">
      <w:pPr>
        <w:autoSpaceDE w:val="0"/>
        <w:autoSpaceDN w:val="0"/>
        <w:adjustRightInd w:val="0"/>
        <w:jc w:val="both"/>
        <w:rPr>
          <w:color w:val="000000" w:themeColor="text1"/>
          <w:sz w:val="16"/>
          <w:szCs w:val="16"/>
        </w:rPr>
      </w:pPr>
    </w:p>
    <w:p w14:paraId="1EE64E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к Коростылев на Ер-2 прошел из Иркутска до Москвы за один день с посадкой в Новосибирске. За 15:25 прошел 4600 км и начал готовиться к выполнению этого полета без посадки (2865,10).</w:t>
      </w:r>
    </w:p>
    <w:p w14:paraId="046F7FD2" w14:textId="77777777" w:rsidR="00665165" w:rsidRPr="00925F26" w:rsidRDefault="00665165" w:rsidP="00925F26">
      <w:pPr>
        <w:autoSpaceDE w:val="0"/>
        <w:autoSpaceDN w:val="0"/>
        <w:adjustRightInd w:val="0"/>
        <w:jc w:val="both"/>
        <w:rPr>
          <w:color w:val="000000" w:themeColor="text1"/>
          <w:sz w:val="16"/>
          <w:szCs w:val="16"/>
        </w:rPr>
      </w:pPr>
    </w:p>
    <w:p w14:paraId="44874F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года письмом 7 Главного Управления НКАП №428 инициативная работа ОКБ Незваля по пассажирской машине на 50 мест была включена в тематический план ОКБ на первый и второй кварталы 1945 года (7685).</w:t>
      </w:r>
    </w:p>
    <w:p w14:paraId="161384CF" w14:textId="77777777" w:rsidR="00665165" w:rsidRPr="00925F26" w:rsidRDefault="00665165" w:rsidP="00925F26">
      <w:pPr>
        <w:autoSpaceDE w:val="0"/>
        <w:autoSpaceDN w:val="0"/>
        <w:adjustRightInd w:val="0"/>
        <w:jc w:val="both"/>
        <w:rPr>
          <w:color w:val="000000" w:themeColor="text1"/>
          <w:sz w:val="16"/>
          <w:szCs w:val="16"/>
        </w:rPr>
      </w:pPr>
    </w:p>
    <w:p w14:paraId="05DAB705" w14:textId="77777777" w:rsidR="000B23E5" w:rsidRPr="00925F26" w:rsidRDefault="000B23E5" w:rsidP="00925F26">
      <w:pPr>
        <w:jc w:val="both"/>
        <w:rPr>
          <w:color w:val="000000" w:themeColor="text1"/>
          <w:sz w:val="16"/>
          <w:szCs w:val="16"/>
        </w:rPr>
      </w:pPr>
      <w:r w:rsidRPr="00925F26">
        <w:rPr>
          <w:color w:val="000000" w:themeColor="text1"/>
          <w:sz w:val="16"/>
          <w:szCs w:val="16"/>
        </w:rPr>
        <w:t>23 марта 1945 года после рассмотрения проекта Незваля по пассажирской машине эта инициативная работа ОКБ была подтверждена в варианте на 50 пассажиров письмом 7 Главного Управления НКАП №428 от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(12726).</w:t>
      </w:r>
    </w:p>
    <w:p w14:paraId="32ABE8AC" w14:textId="77777777" w:rsidR="000B23E5" w:rsidRPr="00925F26" w:rsidRDefault="000B23E5" w:rsidP="00925F26">
      <w:pPr>
        <w:jc w:val="both"/>
        <w:rPr>
          <w:color w:val="000000" w:themeColor="text1"/>
          <w:sz w:val="16"/>
          <w:szCs w:val="16"/>
        </w:rPr>
      </w:pPr>
    </w:p>
    <w:p w14:paraId="0809EE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года П. Дементьев писал письмо N Н-32/1402 гл. инженеру ВВС генерал-полковнику ИАС Репину А.К.</w:t>
      </w:r>
    </w:p>
    <w:p w14:paraId="0013F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На В/N 741243</w:t>
      </w:r>
    </w:p>
    <w:p w14:paraId="1A28FB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Вашим письмом сообщаю, что Наркомавиапром согласен принять для постановки на производство самолетный обнаружитель локаторов "СОЛ-3" разработки НИИ ВВС в количестве 300 штук и 30 штук локаторов к ним, а также 100 штук усилительных релейных установок.</w:t>
      </w:r>
    </w:p>
    <w:p w14:paraId="3152EE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Ввиду того, что указанное производство предполагается поставить на заводе N 283 в г. Ленинграде, для чего необходимо оснастить завод первоначальным оборудованием и рабочими кадрами - эти приборы могут быть изготовлены только в третьем квартале.</w:t>
      </w:r>
    </w:p>
    <w:p w14:paraId="558B18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об оформлении соответствующего договора с заводом N 283 и ЦКБ-17, которому поручена разработка рабочих чертежей (1879).</w:t>
      </w:r>
    </w:p>
    <w:p w14:paraId="5428D265" w14:textId="77777777" w:rsidR="00665165" w:rsidRPr="00925F26" w:rsidRDefault="00665165" w:rsidP="00925F26">
      <w:pPr>
        <w:autoSpaceDE w:val="0"/>
        <w:autoSpaceDN w:val="0"/>
        <w:adjustRightInd w:val="0"/>
        <w:jc w:val="both"/>
        <w:rPr>
          <w:color w:val="000000" w:themeColor="text1"/>
          <w:sz w:val="16"/>
          <w:szCs w:val="16"/>
        </w:rPr>
      </w:pPr>
    </w:p>
    <w:p w14:paraId="3D1C5FE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499153E" w14:textId="77777777" w:rsidR="00665165" w:rsidRPr="00925F26" w:rsidRDefault="00665165" w:rsidP="00925F26">
      <w:pPr>
        <w:autoSpaceDE w:val="0"/>
        <w:autoSpaceDN w:val="0"/>
        <w:adjustRightInd w:val="0"/>
        <w:jc w:val="both"/>
        <w:rPr>
          <w:iCs/>
          <w:color w:val="000000" w:themeColor="text1"/>
          <w:sz w:val="16"/>
          <w:szCs w:val="16"/>
        </w:rPr>
      </w:pPr>
    </w:p>
    <w:p w14:paraId="7FD08E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период с 23 марта по 11 апреля 1945 г. один из 8 изготовленных опытный образец танка успешно прошел полигонные испытания, по результатам которых было принято решение о принятии танка на вооружение Крас</w:t>
      </w:r>
      <w:r w:rsidRPr="00925F26">
        <w:rPr>
          <w:color w:val="000000" w:themeColor="text1"/>
          <w:sz w:val="16"/>
          <w:szCs w:val="16"/>
        </w:rPr>
        <w:softHyphen/>
        <w:t>ной Армии и организации на ЧКЗ его серийного производства (10703).</w:t>
      </w:r>
    </w:p>
    <w:p w14:paraId="7EFB10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C7CD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23 марта по 12 ап</w:t>
      </w:r>
      <w:r w:rsidRPr="00925F26">
        <w:rPr>
          <w:color w:val="000000" w:themeColor="text1"/>
          <w:sz w:val="16"/>
          <w:szCs w:val="16"/>
        </w:rPr>
        <w:softHyphen/>
        <w:t>реля 1945 г. проодили государственные испытания танка ИС-3 на НИБТ полигоне.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925F26">
        <w:rPr>
          <w:color w:val="000000" w:themeColor="text1"/>
          <w:sz w:val="16"/>
          <w:szCs w:val="16"/>
        </w:rPr>
        <w:t>...(</w:t>
      </w:r>
      <w:proofErr w:type="gramEnd"/>
      <w:r w:rsidRPr="00925F26">
        <w:rPr>
          <w:color w:val="000000" w:themeColor="text1"/>
          <w:sz w:val="16"/>
          <w:szCs w:val="16"/>
        </w:rPr>
        <w:t>11135).</w:t>
      </w:r>
    </w:p>
    <w:p w14:paraId="0C329A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8B35229" w14:textId="77777777" w:rsidR="006773EC" w:rsidRPr="001A0BAA" w:rsidRDefault="006773EC" w:rsidP="006773EC">
      <w:pPr>
        <w:jc w:val="both"/>
        <w:rPr>
          <w:color w:val="0070C0"/>
          <w:sz w:val="16"/>
          <w:szCs w:val="16"/>
        </w:rPr>
      </w:pPr>
      <w:r w:rsidRPr="001A0BAA">
        <w:rPr>
          <w:color w:val="0070C0"/>
          <w:sz w:val="16"/>
          <w:szCs w:val="16"/>
        </w:rPr>
        <w:t>С 23 марта по 11 апреля 1945 года под руковод</w:t>
      </w:r>
      <w:r w:rsidRPr="001A0BAA">
        <w:rPr>
          <w:color w:val="0070C0"/>
          <w:sz w:val="16"/>
          <w:szCs w:val="16"/>
        </w:rPr>
        <w:softHyphen/>
        <w:t>ством инженер-полковника А.И.Благонравова проводились полигонные испытания ИС-3 (объект 703) (25001).</w:t>
      </w:r>
    </w:p>
    <w:p w14:paraId="2263D88C" w14:textId="77777777" w:rsidR="006773EC" w:rsidRPr="001A0BAA" w:rsidRDefault="006773EC" w:rsidP="006773EC">
      <w:pPr>
        <w:jc w:val="both"/>
        <w:rPr>
          <w:color w:val="0070C0"/>
          <w:sz w:val="16"/>
          <w:szCs w:val="16"/>
        </w:rPr>
      </w:pPr>
    </w:p>
    <w:p w14:paraId="0C5029A7" w14:textId="77777777" w:rsidR="00BA2B8F" w:rsidRPr="00925F26" w:rsidRDefault="00BA2B8F" w:rsidP="00925F26">
      <w:pPr>
        <w:jc w:val="both"/>
        <w:rPr>
          <w:color w:val="000000" w:themeColor="text1"/>
          <w:sz w:val="16"/>
          <w:szCs w:val="16"/>
        </w:rPr>
      </w:pPr>
      <w:r w:rsidRPr="00925F26">
        <w:rPr>
          <w:color w:val="000000" w:themeColor="text1"/>
          <w:sz w:val="16"/>
          <w:szCs w:val="16"/>
        </w:rPr>
        <w:t>С 23 марта по 10 апреля 1945 года на НИБТ полигоне в Кубинке проводились «Испытания катков танка Т-У на Т-34-85». Цель испытаний - возможность использования опорных катков Т-У на Т-34-85. Катки Т-У были приспособлены для Т-34-85 в конструкторском бюро НИБТ полигона (установлены вместе с серийными катками Т-34-85). После этого танк прошел 604 км плюс специальные испытания - преодоление косогоров, скатов и т.д.</w:t>
      </w:r>
    </w:p>
    <w:p w14:paraId="7A5AB116" w14:textId="77777777" w:rsidR="00BA2B8F" w:rsidRPr="00925F26" w:rsidRDefault="00BA2B8F" w:rsidP="00925F26">
      <w:pPr>
        <w:jc w:val="both"/>
        <w:rPr>
          <w:color w:val="000000" w:themeColor="text1"/>
          <w:sz w:val="16"/>
          <w:szCs w:val="16"/>
        </w:rPr>
      </w:pPr>
      <w:r w:rsidRPr="00925F26">
        <w:rPr>
          <w:color w:val="000000" w:themeColor="text1"/>
          <w:sz w:val="16"/>
          <w:szCs w:val="16"/>
        </w:rPr>
        <w:t>Выводы. Опорные катки Т-У обладают более низкой надежностью, чем у Т-34-85 серийные. Произошедшие поломки катков являются следствием их большей нагруженности. Монтаж катков Т-У на Т-34-85 может быть осуществлен средствами войсковой ремонтной части».</w:t>
      </w:r>
    </w:p>
    <w:p w14:paraId="04489125" w14:textId="77777777" w:rsidR="00BA2B8F" w:rsidRPr="00925F26" w:rsidRDefault="00BA2B8F" w:rsidP="00925F26">
      <w:pPr>
        <w:jc w:val="both"/>
        <w:rPr>
          <w:color w:val="000000" w:themeColor="text1"/>
          <w:sz w:val="16"/>
          <w:szCs w:val="16"/>
        </w:rPr>
      </w:pPr>
      <w:r w:rsidRPr="00925F26">
        <w:rPr>
          <w:color w:val="000000" w:themeColor="text1"/>
          <w:sz w:val="16"/>
          <w:szCs w:val="16"/>
        </w:rPr>
        <w:t>Вполне возможно, что испытания на НИБТ полигоне проводились с подачи командования 4-го ПТРЗ, которое могло обратиться в вышестоящие инстанции с таким рационализаторским предложением (12217).</w:t>
      </w:r>
    </w:p>
    <w:p w14:paraId="6EF4E2C6" w14:textId="77777777" w:rsidR="00BA2B8F" w:rsidRPr="00925F26" w:rsidRDefault="00BA2B8F" w:rsidP="00925F26">
      <w:pPr>
        <w:jc w:val="both"/>
        <w:rPr>
          <w:color w:val="000000" w:themeColor="text1"/>
          <w:sz w:val="16"/>
          <w:szCs w:val="16"/>
        </w:rPr>
      </w:pPr>
    </w:p>
    <w:p w14:paraId="43ACB7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7912. О направлении Главлесоспирту при СНК СССР 950 чел., освобождающихся из заключения. РГАНИР, Фонд ГКО, д. 383, лл. 16 (11012).</w:t>
      </w:r>
    </w:p>
    <w:p w14:paraId="5414D0B9" w14:textId="77777777" w:rsidR="00665165" w:rsidRPr="00925F26" w:rsidRDefault="00665165" w:rsidP="00925F26">
      <w:pPr>
        <w:autoSpaceDE w:val="0"/>
        <w:autoSpaceDN w:val="0"/>
        <w:adjustRightInd w:val="0"/>
        <w:jc w:val="both"/>
        <w:rPr>
          <w:color w:val="000000" w:themeColor="text1"/>
          <w:sz w:val="16"/>
          <w:szCs w:val="16"/>
        </w:rPr>
      </w:pPr>
    </w:p>
    <w:p w14:paraId="3D9836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7913. О Криворожском складе взрывчатых веществ НКЧМ. РГАНИР, Фонд ГКО, д. 383, лл. 17 (11012).</w:t>
      </w:r>
    </w:p>
    <w:p w14:paraId="136DD38A" w14:textId="77777777" w:rsidR="00665165" w:rsidRPr="00925F26" w:rsidRDefault="00665165" w:rsidP="00925F26">
      <w:pPr>
        <w:autoSpaceDE w:val="0"/>
        <w:autoSpaceDN w:val="0"/>
        <w:adjustRightInd w:val="0"/>
        <w:jc w:val="both"/>
        <w:rPr>
          <w:color w:val="000000" w:themeColor="text1"/>
          <w:sz w:val="16"/>
          <w:szCs w:val="16"/>
        </w:rPr>
      </w:pPr>
    </w:p>
    <w:p w14:paraId="77590E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7914. О мерах по обеспечению строительства ТЭЦ Закавказского металлургического завода. РГАНИР, Фонд ГКО, д. 383, лл. 18 (11012).</w:t>
      </w:r>
    </w:p>
    <w:p w14:paraId="2EA06F5A" w14:textId="77777777" w:rsidR="00665165" w:rsidRPr="00925F26" w:rsidRDefault="00665165" w:rsidP="00925F26">
      <w:pPr>
        <w:autoSpaceDE w:val="0"/>
        <w:autoSpaceDN w:val="0"/>
        <w:adjustRightInd w:val="0"/>
        <w:jc w:val="both"/>
        <w:rPr>
          <w:color w:val="000000" w:themeColor="text1"/>
          <w:sz w:val="16"/>
          <w:szCs w:val="16"/>
        </w:rPr>
      </w:pPr>
    </w:p>
    <w:p w14:paraId="5BDCA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7915. О мерах неотложной помощи НКСП в восстановлении заводов № 444 и 445. РГАНИР, Фонд ГКО, д. 383, лл. 19-20 (11012).</w:t>
      </w:r>
    </w:p>
    <w:p w14:paraId="3A91C7C1" w14:textId="77777777" w:rsidR="00665165" w:rsidRPr="00925F26" w:rsidRDefault="00665165" w:rsidP="00925F26">
      <w:pPr>
        <w:autoSpaceDE w:val="0"/>
        <w:autoSpaceDN w:val="0"/>
        <w:adjustRightInd w:val="0"/>
        <w:jc w:val="both"/>
        <w:rPr>
          <w:color w:val="000000" w:themeColor="text1"/>
          <w:sz w:val="16"/>
          <w:szCs w:val="16"/>
        </w:rPr>
      </w:pPr>
    </w:p>
    <w:p w14:paraId="05A9065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7916 [О дополнительном выделении бензина НКздраву УССР в марте 1945 г.] (7318, 21).</w:t>
      </w:r>
    </w:p>
    <w:p w14:paraId="406404A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1443F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7917 [О мерах по обеспечению пуска дополнительных мощностей по алюминию на Сталинском алюминиевом заводе.] (7318, 22-24).</w:t>
      </w:r>
    </w:p>
    <w:p w14:paraId="1C80B39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75DB8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7918 [О дополнительном выделении угля для Челябметаллургстроя НКВД в марте 1945 г.] (7318, 25).</w:t>
      </w:r>
    </w:p>
    <w:p w14:paraId="1472BA2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5D5A2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Распоряжение ГКО № 7919 [О реэвакуации Ленинградского государственного оптического института из г. Йошкар-Ола.] (7318, 26).</w:t>
      </w:r>
    </w:p>
    <w:p w14:paraId="6857F25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F8D69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Постановление ГКО № 7920 Об увеличении численности войск правительственной связи НКВД СССР. (7318, 27).</w:t>
      </w:r>
    </w:p>
    <w:p w14:paraId="354D104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8777C0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Постановление ГКО № 7921 Об организации научно-технического совета в НКПС. (7318, 28-30).</w:t>
      </w:r>
    </w:p>
    <w:p w14:paraId="4ADE879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60389C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Постановление ГКО № 7922 Об использовании водных путей сообщения на занятой территории Германии для нужд Красной Армии и Войска Польского. (7318, 31-35).</w:t>
      </w:r>
    </w:p>
    <w:p w14:paraId="60C9C22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7294B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вышло Постановление ГКО № 7923 О завозе хлопка-волокна на предприятия Наркомтекстиля СССР в навигацию 1945 г. РГАНИР, Фонд ГКО, д. 383, лл. 36-40, 41-43 (11012).</w:t>
      </w:r>
    </w:p>
    <w:p w14:paraId="46379E60" w14:textId="77777777" w:rsidR="00665165" w:rsidRPr="00925F26" w:rsidRDefault="00665165" w:rsidP="00925F26">
      <w:pPr>
        <w:autoSpaceDE w:val="0"/>
        <w:autoSpaceDN w:val="0"/>
        <w:adjustRightInd w:val="0"/>
        <w:jc w:val="both"/>
        <w:rPr>
          <w:color w:val="000000" w:themeColor="text1"/>
          <w:sz w:val="16"/>
          <w:szCs w:val="16"/>
        </w:rPr>
      </w:pPr>
    </w:p>
    <w:p w14:paraId="5EC3AC7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вышло Постановление ГКО № 7924 Об усилении пропускной способности Карагандинской железной дороги. (7318, 44-51,52-63).</w:t>
      </w:r>
    </w:p>
    <w:p w14:paraId="13BBC75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5DB2F5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4B41B88" w14:textId="77777777" w:rsidR="00665165" w:rsidRPr="00925F26" w:rsidRDefault="00665165" w:rsidP="00925F26">
      <w:pPr>
        <w:autoSpaceDE w:val="0"/>
        <w:autoSpaceDN w:val="0"/>
        <w:adjustRightInd w:val="0"/>
        <w:jc w:val="both"/>
        <w:rPr>
          <w:iCs/>
          <w:color w:val="000000" w:themeColor="text1"/>
          <w:sz w:val="16"/>
          <w:szCs w:val="16"/>
        </w:rPr>
      </w:pPr>
    </w:p>
    <w:p w14:paraId="6C912511"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оперативная сводка Совинформбюро:</w:t>
      </w:r>
    </w:p>
    <w:p w14:paraId="1747F643" w14:textId="77777777" w:rsidR="00450976" w:rsidRPr="00925F26" w:rsidRDefault="00450976" w:rsidP="00925F26">
      <w:pPr>
        <w:jc w:val="both"/>
        <w:rPr>
          <w:color w:val="000000" w:themeColor="text1"/>
          <w:sz w:val="16"/>
          <w:szCs w:val="16"/>
        </w:rPr>
      </w:pPr>
      <w:r w:rsidRPr="00925F26">
        <w:rPr>
          <w:color w:val="000000" w:themeColor="text1"/>
          <w:sz w:val="16"/>
          <w:szCs w:val="16"/>
        </w:rPr>
        <w:t>«В течение 23 марта войска 3-го Белорусского фронта продолжали бои по уничтожению группы войск немцев на побережье залива Фриш-Гаф в районе Хайлигенбайль. За 22 марта в этом районе войска фронта взяли в плен 1.600 немецких солдат и офицеров.</w:t>
      </w:r>
    </w:p>
    <w:p w14:paraId="3EBF3032" w14:textId="77777777" w:rsidR="00450976" w:rsidRPr="00925F26" w:rsidRDefault="00450976"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на Данцигском направлении, овладели городом Цоппот и вышли на побережье Данцигской бухты между Гдыней и Данцигом, разрезав тем самым группировку немцев на две части, а также заняли населённые пункты Артшау, Гросс Белькау, Леблау, Шеферай, Шмирау, Мариенталь, Штайнфлис, Штолценфельс, Гренцфлис, Колибкен. В боях за 22 марта войска фронта взяли в плен более 1.000 немецких солдат и офицеров.</w:t>
      </w:r>
    </w:p>
    <w:p w14:paraId="47A8CF6C" w14:textId="77777777" w:rsidR="00450976" w:rsidRPr="00925F26" w:rsidRDefault="00450976" w:rsidP="00925F26">
      <w:pPr>
        <w:jc w:val="both"/>
        <w:rPr>
          <w:color w:val="000000" w:themeColor="text1"/>
          <w:sz w:val="16"/>
          <w:szCs w:val="16"/>
        </w:rPr>
      </w:pPr>
      <w:r w:rsidRPr="00925F26">
        <w:rPr>
          <w:color w:val="000000" w:themeColor="text1"/>
          <w:sz w:val="16"/>
          <w:szCs w:val="16"/>
        </w:rPr>
        <w:t>В Силезии северо-западнее Ратибора наши войска в результате наступательных боёв, овладели городом Ернау и заняли населённые пункты Хейдерсдорф, Линден-Дорф, Опперсдорф, Ригерсдорф, Вакенау, Крешендорф, Шлегенберг, Баде-Витц, Нойдорф, Хондорф. За 22 марта войска 1-го Украинского фронта взяли в плен более 1.600 немецких солдат и офицеров.</w:t>
      </w:r>
    </w:p>
    <w:p w14:paraId="322A333C" w14:textId="77777777" w:rsidR="00450976" w:rsidRPr="00925F26" w:rsidRDefault="00450976" w:rsidP="00925F26">
      <w:pPr>
        <w:jc w:val="both"/>
        <w:rPr>
          <w:color w:val="000000" w:themeColor="text1"/>
          <w:sz w:val="16"/>
          <w:szCs w:val="16"/>
        </w:rPr>
      </w:pPr>
      <w:r w:rsidRPr="00925F26">
        <w:rPr>
          <w:color w:val="000000" w:themeColor="text1"/>
          <w:sz w:val="16"/>
          <w:szCs w:val="16"/>
        </w:rPr>
        <w:t>За 22 марта на всех фронтах подбито и уничтожено 156 немецких танков. В воздушных боях и огнём зенитной артиллерии сбито 149 самолётов противника.</w:t>
      </w:r>
    </w:p>
    <w:p w14:paraId="17FC45D6" w14:textId="77777777" w:rsidR="00450976" w:rsidRPr="00925F26" w:rsidRDefault="00450976" w:rsidP="00925F26">
      <w:pPr>
        <w:jc w:val="both"/>
        <w:rPr>
          <w:color w:val="000000" w:themeColor="text1"/>
          <w:sz w:val="16"/>
          <w:szCs w:val="16"/>
        </w:rPr>
      </w:pPr>
      <w:r w:rsidRPr="00925F26">
        <w:rPr>
          <w:color w:val="000000" w:themeColor="text1"/>
          <w:sz w:val="16"/>
          <w:szCs w:val="16"/>
        </w:rPr>
        <w:t>Налёты нашей авиации на Данциг, Моравска Острава и Папа</w:t>
      </w:r>
    </w:p>
    <w:p w14:paraId="440FEFB2" w14:textId="77777777" w:rsidR="00450976" w:rsidRPr="00925F26" w:rsidRDefault="00450976" w:rsidP="00925F26">
      <w:pPr>
        <w:jc w:val="both"/>
        <w:rPr>
          <w:color w:val="000000" w:themeColor="text1"/>
          <w:sz w:val="16"/>
          <w:szCs w:val="16"/>
        </w:rPr>
      </w:pPr>
      <w:r w:rsidRPr="00925F26">
        <w:rPr>
          <w:color w:val="000000" w:themeColor="text1"/>
          <w:sz w:val="16"/>
          <w:szCs w:val="16"/>
        </w:rPr>
        <w:t>В ночь на 23 марта наши тяжёлые бомбардировщики нанесли удары по железнодорожному узлу и порту Данциг, железнодорожным узлам Моравска Острава (в Чехословакии) и Папа (в Венгрии).</w:t>
      </w:r>
    </w:p>
    <w:p w14:paraId="326B480C" w14:textId="77777777" w:rsidR="00450976" w:rsidRPr="00925F26" w:rsidRDefault="00450976" w:rsidP="00925F26">
      <w:pPr>
        <w:jc w:val="both"/>
        <w:rPr>
          <w:color w:val="000000" w:themeColor="text1"/>
          <w:sz w:val="16"/>
          <w:szCs w:val="16"/>
        </w:rPr>
      </w:pPr>
      <w:r w:rsidRPr="00925F26">
        <w:rPr>
          <w:color w:val="000000" w:themeColor="text1"/>
          <w:sz w:val="16"/>
          <w:szCs w:val="16"/>
        </w:rPr>
        <w:t>В результате бомбардировки на территории железнодорожного узла и в порту Данциг возникло свыше 30 пожаров, сопровождавшихся взрывами большой силы.</w:t>
      </w:r>
    </w:p>
    <w:p w14:paraId="58B7B9AB" w14:textId="77777777" w:rsidR="00450976" w:rsidRPr="00925F26" w:rsidRDefault="00450976" w:rsidP="00925F26">
      <w:pPr>
        <w:jc w:val="both"/>
        <w:rPr>
          <w:color w:val="000000" w:themeColor="text1"/>
          <w:sz w:val="16"/>
          <w:szCs w:val="16"/>
        </w:rPr>
      </w:pPr>
      <w:r w:rsidRPr="00925F26">
        <w:rPr>
          <w:color w:val="000000" w:themeColor="text1"/>
          <w:sz w:val="16"/>
          <w:szCs w:val="16"/>
        </w:rPr>
        <w:t>На железнодорожном узле Моравска Острава отмечены пожары и взрывы среди немецких воинских эшелонов.</w:t>
      </w:r>
    </w:p>
    <w:p w14:paraId="1B5AAFA3" w14:textId="77777777" w:rsidR="00450976" w:rsidRPr="00925F26" w:rsidRDefault="00450976" w:rsidP="00925F26">
      <w:pPr>
        <w:jc w:val="both"/>
        <w:rPr>
          <w:color w:val="000000" w:themeColor="text1"/>
          <w:sz w:val="16"/>
          <w:szCs w:val="16"/>
        </w:rPr>
      </w:pPr>
      <w:r w:rsidRPr="00925F26">
        <w:rPr>
          <w:color w:val="000000" w:themeColor="text1"/>
          <w:sz w:val="16"/>
          <w:szCs w:val="16"/>
        </w:rPr>
        <w:t>На железнодорожном узле Папа прямым попаданием бомб в пакгаузы и склады горючего вызваны крупные пожары. К рассвету город и железнодорожный узел были окутаны сплошным чёрным дымом.</w:t>
      </w:r>
    </w:p>
    <w:p w14:paraId="0110C3E1" w14:textId="77777777" w:rsidR="00450976" w:rsidRPr="00925F26" w:rsidRDefault="00450976" w:rsidP="00925F26">
      <w:pPr>
        <w:jc w:val="both"/>
        <w:rPr>
          <w:color w:val="000000" w:themeColor="text1"/>
          <w:sz w:val="16"/>
          <w:szCs w:val="16"/>
        </w:rPr>
      </w:pPr>
      <w:r w:rsidRPr="00925F26">
        <w:rPr>
          <w:color w:val="000000" w:themeColor="text1"/>
          <w:sz w:val="16"/>
          <w:szCs w:val="16"/>
        </w:rPr>
        <w:t>Войска 3-го Белорусского фронта продолжали бои по ликвидации группы немецких войск, прижатых к заливу Фриш-Гаф в районе города Хайлигенбайль. Противник отчаянно сопротивляется, но под ударами советских частей оставляет одну позицию за другой. В траншеях и на дорогах лежат тысячи вражеских трупов. За день боёв уничтожено 32 немецких танка и самоходных орудия, 60 полевых орудий и несколько сот автомашин. Огнём нашей артиллерии в заливе Фриш-Гаф разбито 10 барж. Кроме того, 7 барж противника потоплено советскими лётчиками.</w:t>
      </w:r>
    </w:p>
    <w:p w14:paraId="7B374309" w14:textId="77777777" w:rsidR="00450976" w:rsidRPr="00925F26" w:rsidRDefault="00450976" w:rsidP="00925F26">
      <w:pPr>
        <w:jc w:val="both"/>
        <w:rPr>
          <w:color w:val="000000" w:themeColor="text1"/>
          <w:sz w:val="16"/>
          <w:szCs w:val="16"/>
        </w:rPr>
      </w:pPr>
      <w:r w:rsidRPr="00925F26">
        <w:rPr>
          <w:color w:val="000000" w:themeColor="text1"/>
          <w:sz w:val="16"/>
          <w:szCs w:val="16"/>
        </w:rPr>
        <w:t>Пленные сообщают, что по приказу немецкого командования за последние дни расстреляно большое количество солдат за самовольное оставление позиций и попытки сдаться в плен. Тем не менее число вражеских солдат и офицеров, добровольно сдающихся в плен, продолжает увеличиваться. На одном участке на сторону Красной Армии перешла большая группа артиллеристов 150-го немецкого артиллерийского полка. Пленные сдали советским бойцам несколько орудий.</w:t>
      </w:r>
    </w:p>
    <w:p w14:paraId="1213A83C" w14:textId="77777777" w:rsidR="00450976" w:rsidRPr="00925F26" w:rsidRDefault="00450976" w:rsidP="00925F26">
      <w:pPr>
        <w:jc w:val="both"/>
        <w:rPr>
          <w:color w:val="000000" w:themeColor="text1"/>
          <w:sz w:val="16"/>
          <w:szCs w:val="16"/>
        </w:rPr>
      </w:pPr>
      <w:r w:rsidRPr="00925F26">
        <w:rPr>
          <w:color w:val="000000" w:themeColor="text1"/>
          <w:sz w:val="16"/>
          <w:szCs w:val="16"/>
        </w:rPr>
        <w:lastRenderedPageBreak/>
        <w:t>На Данцигском направлении наши войска продолжали наступление. Советские пехотинцы и артиллеристы при активной поддержке авиации взламывают укрепления данцигско-гдынского внешнего оборонительного обвода. Ожесточённые бои происходили сегодня северо-западнее Данцига. Немцы, опираясь на мощную полосу обороны, оказывали яростное сопротивление. Они стремились во что бы то ни стало не допустить наши войска к побережью Даицигской бухты. В течение дня было отбито десять контратак пехоты и танков противника, поддержанных сильным огнём корабельной и береговой артиллерии. Наши пехотинцы и танкисты стремительным ударом преодолели несколько линий траншей, а также противотанковые рвы и прорвались к побережью Данцигской бухты. Таким образом, прибрежные железная и шоссейная дороги Данциг— Гдыня перерезаны советскими войсками, а вражеская группа войск расчленена на две изолированные друг от друга части. Затем наши войска нанесли удар в южном направлении и ворвались на северную окраину города Цоппот. Другие наши части, сломив сопротивление немцев, подошли к городу с запада. В результате ожесточённых уличных боёв немецкий гарнизон был разгромлён и город Цоппот очищен от противника. Цопнот, важный опорный пункт обороны немцев на побережье Данцигской бухты, расположен в 5 километрах к северу от Данцига.</w:t>
      </w:r>
    </w:p>
    <w:p w14:paraId="1729BD79" w14:textId="77777777" w:rsidR="00450976" w:rsidRPr="00925F26" w:rsidRDefault="00450976" w:rsidP="00925F26">
      <w:pPr>
        <w:jc w:val="both"/>
        <w:rPr>
          <w:color w:val="000000" w:themeColor="text1"/>
          <w:sz w:val="16"/>
          <w:szCs w:val="16"/>
        </w:rPr>
      </w:pPr>
      <w:r w:rsidRPr="00925F26">
        <w:rPr>
          <w:color w:val="000000" w:themeColor="text1"/>
          <w:sz w:val="16"/>
          <w:szCs w:val="16"/>
        </w:rPr>
        <w:t>В ходе боёв противник несёт тяжёлые потери. В течение дня наши войска уничтожили более 4 тысяч немецких солдат и офицеров. На дорогах и в населённых пунктах валяется много разбитых орудий, миномётов, пулемётов и другого вооружения противника.</w:t>
      </w:r>
    </w:p>
    <w:p w14:paraId="37567CDC" w14:textId="77777777" w:rsidR="00450976" w:rsidRPr="00925F26" w:rsidRDefault="00450976" w:rsidP="00925F26">
      <w:pPr>
        <w:jc w:val="both"/>
        <w:rPr>
          <w:color w:val="000000" w:themeColor="text1"/>
          <w:sz w:val="16"/>
          <w:szCs w:val="16"/>
        </w:rPr>
      </w:pPr>
      <w:r w:rsidRPr="00925F26">
        <w:rPr>
          <w:color w:val="000000" w:themeColor="text1"/>
          <w:sz w:val="16"/>
          <w:szCs w:val="16"/>
        </w:rPr>
        <w:t>В Данцигской бухте находится значительное число транспортов, барж и других немецких судов. Советские лётчики потопили три корабля, катер и взорвали большой транспорт. Отмечены прямые попадания бомб в другие суда противника. В воздушных боях и огнём зенитной артиллерии сбит 31 немецкий самолёт.</w:t>
      </w:r>
    </w:p>
    <w:p w14:paraId="0C00DCB7" w14:textId="77777777" w:rsidR="00450976" w:rsidRPr="00925F26" w:rsidRDefault="00450976" w:rsidP="00925F26">
      <w:pPr>
        <w:jc w:val="both"/>
        <w:rPr>
          <w:color w:val="000000" w:themeColor="text1"/>
          <w:sz w:val="16"/>
          <w:szCs w:val="16"/>
        </w:rPr>
      </w:pPr>
      <w:r w:rsidRPr="00925F26">
        <w:rPr>
          <w:color w:val="000000" w:themeColor="text1"/>
          <w:sz w:val="16"/>
          <w:szCs w:val="16"/>
        </w:rPr>
        <w:t>В Силезии северо-западнее города Ратибор наши войска, преодолев сопротивление немцев, заняли узел шоссейных дорог Вакенау. Другие наши части овладели населённым пунктом Крешендорф, расположенным у границы Германии с Чехословакией. Ударами советских пехотинцев и танкистов противник выбит из города Ернау — узла трёх железных и нескольких шоссейных дорог. В бою за Ернау Н-ская гвардейская танковая часть разгромила до батальона гитлеровцев. Танкисты взяли в плен более 100 эсэсовцев. Взвод автоматчиков лейтенанта Карпова стремительно ворвался в траншеи противника и уничтожил несколько десятков гитлеровцев. На подступах к одному селению наша пехота попала под сильный пулемётный огонь и была вынуждена залечь. Гвардии сержант Дорошенко скрытно подобрался к немецкому пулемёту и гранатами уничтожил его вместе с расчётом. Наши бойцы поднялись в атаку и выбили противника из населённого пункта.</w:t>
      </w:r>
    </w:p>
    <w:p w14:paraId="18201553" w14:textId="77777777" w:rsidR="00450976" w:rsidRPr="00925F26" w:rsidRDefault="00450976" w:rsidP="00925F26">
      <w:pPr>
        <w:jc w:val="both"/>
        <w:rPr>
          <w:color w:val="000000" w:themeColor="text1"/>
          <w:sz w:val="16"/>
          <w:szCs w:val="16"/>
        </w:rPr>
      </w:pPr>
      <w:r w:rsidRPr="00925F26">
        <w:rPr>
          <w:color w:val="000000" w:themeColor="text1"/>
          <w:sz w:val="16"/>
          <w:szCs w:val="16"/>
        </w:rPr>
        <w:t>Сегодня днём наша авиация бомбардировала войска противника в города Бреслау. В результате бомбардировки возникли пожары и произошло 9 сильных взрывов.</w:t>
      </w:r>
    </w:p>
    <w:p w14:paraId="21DED783" w14:textId="77777777" w:rsidR="00450976" w:rsidRPr="00925F26" w:rsidRDefault="00450976" w:rsidP="00925F26">
      <w:pPr>
        <w:jc w:val="both"/>
        <w:rPr>
          <w:color w:val="000000" w:themeColor="text1"/>
          <w:sz w:val="16"/>
          <w:szCs w:val="16"/>
        </w:rPr>
      </w:pPr>
      <w:r w:rsidRPr="00925F26">
        <w:rPr>
          <w:color w:val="000000" w:themeColor="text1"/>
          <w:sz w:val="16"/>
          <w:szCs w:val="16"/>
        </w:rPr>
        <w:t>На подступах к Бреслау огнём нашей зенитной артиллерии сбито 7 немецких транспортных самолётов.» (15077).</w:t>
      </w:r>
    </w:p>
    <w:p w14:paraId="7CFE8591" w14:textId="77777777" w:rsidR="00450976" w:rsidRPr="00925F26" w:rsidRDefault="00450976" w:rsidP="00925F26">
      <w:pPr>
        <w:jc w:val="both"/>
        <w:rPr>
          <w:color w:val="000000" w:themeColor="text1"/>
          <w:sz w:val="16"/>
          <w:szCs w:val="16"/>
        </w:rPr>
      </w:pPr>
    </w:p>
    <w:p w14:paraId="4B570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года два А-20 из 36-го МТАП (командир, Герой Советского Союза, капитан В.П) совершили одну из последних атак североморской авиации. Это были два налета на немецкие подлодки (2691).</w:t>
      </w:r>
    </w:p>
    <w:p w14:paraId="64F6CDEA" w14:textId="77777777" w:rsidR="00665165" w:rsidRPr="00925F26" w:rsidRDefault="00665165" w:rsidP="00925F26">
      <w:pPr>
        <w:autoSpaceDE w:val="0"/>
        <w:autoSpaceDN w:val="0"/>
        <w:adjustRightInd w:val="0"/>
        <w:jc w:val="both"/>
        <w:rPr>
          <w:color w:val="000000" w:themeColor="text1"/>
          <w:sz w:val="16"/>
          <w:szCs w:val="16"/>
        </w:rPr>
      </w:pPr>
    </w:p>
    <w:p w14:paraId="6B467DF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23 марта 1945 3 Чехословацкий шап был признан годным для участия в боевых действиях. ОднаконачалисьучебныеполетыпоиспользованиюРС</w:t>
      </w:r>
      <w:r w:rsidRPr="00925F26">
        <w:rPr>
          <w:color w:val="000000" w:themeColor="text1"/>
          <w:sz w:val="16"/>
          <w:szCs w:val="16"/>
          <w:lang w:val="en-US"/>
        </w:rPr>
        <w:t xml:space="preserve"> (241,39).</w:t>
      </w:r>
    </w:p>
    <w:p w14:paraId="0A5C805F" w14:textId="77777777" w:rsidR="00665165" w:rsidRPr="00925F26" w:rsidRDefault="00665165" w:rsidP="00925F26">
      <w:pPr>
        <w:autoSpaceDE w:val="0"/>
        <w:autoSpaceDN w:val="0"/>
        <w:adjustRightInd w:val="0"/>
        <w:jc w:val="both"/>
        <w:rPr>
          <w:color w:val="000000" w:themeColor="text1"/>
          <w:sz w:val="16"/>
          <w:szCs w:val="16"/>
          <w:lang w:val="en-US"/>
        </w:rPr>
      </w:pPr>
    </w:p>
    <w:p w14:paraId="19B5832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23rd, 1945: The Red Army reaches the outskirts of Danzig and Gotenhafen. The RAF launches a devastating raid (300 bombers) against Hildesheim near Hannover, a small city of little military and industrial importance (3819).</w:t>
      </w:r>
    </w:p>
    <w:p w14:paraId="6375ED79" w14:textId="77777777" w:rsidR="00665165" w:rsidRPr="00925F26" w:rsidRDefault="00665165" w:rsidP="00925F26">
      <w:pPr>
        <w:autoSpaceDE w:val="0"/>
        <w:autoSpaceDN w:val="0"/>
        <w:adjustRightInd w:val="0"/>
        <w:jc w:val="both"/>
        <w:rPr>
          <w:color w:val="000000" w:themeColor="text1"/>
          <w:sz w:val="16"/>
          <w:szCs w:val="16"/>
          <w:lang w:val="en-US"/>
        </w:rPr>
      </w:pPr>
    </w:p>
    <w:p w14:paraId="3E2427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КА достигла окрестностей Данцига и Готтенхаффена. Королевские ВВС выполнили разрушительный налет (300 б) на Хильдесхайм у Ганновера, маленький город, не имеющий промышленного и военного значение (3819).</w:t>
      </w:r>
    </w:p>
    <w:p w14:paraId="0C0D4774" w14:textId="77777777" w:rsidR="00665165" w:rsidRPr="00925F26" w:rsidRDefault="00665165" w:rsidP="00925F26">
      <w:pPr>
        <w:autoSpaceDE w:val="0"/>
        <w:autoSpaceDN w:val="0"/>
        <w:adjustRightInd w:val="0"/>
        <w:jc w:val="both"/>
        <w:rPr>
          <w:color w:val="000000" w:themeColor="text1"/>
          <w:sz w:val="16"/>
          <w:szCs w:val="16"/>
        </w:rPr>
      </w:pPr>
    </w:p>
    <w:p w14:paraId="747AE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года на дно отправился тральщик М 1303 и патрульный корабль (2691).</w:t>
      </w:r>
    </w:p>
    <w:p w14:paraId="29CB5647" w14:textId="77777777" w:rsidR="00665165" w:rsidRPr="00925F26" w:rsidRDefault="00665165" w:rsidP="00925F26">
      <w:pPr>
        <w:autoSpaceDE w:val="0"/>
        <w:autoSpaceDN w:val="0"/>
        <w:adjustRightInd w:val="0"/>
        <w:jc w:val="both"/>
        <w:rPr>
          <w:color w:val="000000" w:themeColor="text1"/>
          <w:sz w:val="16"/>
          <w:szCs w:val="16"/>
        </w:rPr>
      </w:pPr>
    </w:p>
    <w:p w14:paraId="78B9AFA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6941C38" w14:textId="77777777" w:rsidR="00665165" w:rsidRPr="00925F26" w:rsidRDefault="00665165" w:rsidP="00925F26">
      <w:pPr>
        <w:autoSpaceDE w:val="0"/>
        <w:autoSpaceDN w:val="0"/>
        <w:adjustRightInd w:val="0"/>
        <w:jc w:val="both"/>
        <w:rPr>
          <w:iCs/>
          <w:color w:val="000000" w:themeColor="text1"/>
          <w:sz w:val="16"/>
          <w:szCs w:val="16"/>
        </w:rPr>
      </w:pPr>
    </w:p>
    <w:p w14:paraId="7B0B4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года</w:t>
      </w:r>
    </w:p>
    <w:p w14:paraId="7B3E15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ЛИЧНО И СЕКРЕТНО ОТ ПРЕМЬЕРА И. В. СТАЛИНА ПРЕМЬЕР-МИНИСТРУ г-ну У. ЧЕРЧИЛЛЮ</w:t>
      </w:r>
    </w:p>
    <w:p w14:paraId="17BAE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Получил Ваши послания.</w:t>
      </w:r>
    </w:p>
    <w:p w14:paraId="77EA3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британских военнопленных, то у Вас нет оснований беспокоиться о них. Они находятся в лучших условиях, чем находились советские военнопленные в английских лагерях, где они в ряде случаев подвергались притеснениям вплоть до побоев. Кроме того, их нет уже в наших лагерях — они находятся на пути в Одессу для поездки на родину.</w:t>
      </w:r>
    </w:p>
    <w:p w14:paraId="6E6D44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Благодарю Вас за информацию о положении на западном фронте. Я верю в полководческий талант фельдмаршала Монтгомери (7430).</w:t>
      </w:r>
    </w:p>
    <w:p w14:paraId="70F30C41" w14:textId="77777777" w:rsidR="00665165" w:rsidRPr="00925F26" w:rsidRDefault="00665165" w:rsidP="00925F26">
      <w:pPr>
        <w:autoSpaceDE w:val="0"/>
        <w:autoSpaceDN w:val="0"/>
        <w:adjustRightInd w:val="0"/>
        <w:jc w:val="both"/>
        <w:rPr>
          <w:color w:val="000000" w:themeColor="text1"/>
          <w:sz w:val="16"/>
          <w:szCs w:val="16"/>
        </w:rPr>
      </w:pPr>
    </w:p>
    <w:p w14:paraId="372A14B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469C177" w14:textId="77777777" w:rsidR="00665165" w:rsidRPr="00925F26" w:rsidRDefault="00665165" w:rsidP="00925F26">
      <w:pPr>
        <w:autoSpaceDE w:val="0"/>
        <w:autoSpaceDN w:val="0"/>
        <w:adjustRightInd w:val="0"/>
        <w:jc w:val="both"/>
        <w:rPr>
          <w:iCs/>
          <w:color w:val="000000" w:themeColor="text1"/>
          <w:sz w:val="16"/>
          <w:szCs w:val="16"/>
        </w:rPr>
      </w:pPr>
    </w:p>
    <w:p w14:paraId="482FDE47"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ночью, немцами была проведена последняя операция с использованием легких десантных планеров </w:t>
      </w:r>
      <w:hyperlink r:id="rId77" w:tgtFrame="_blank" w:history="1">
        <w:r w:rsidRPr="00925F26">
          <w:rPr>
            <w:color w:val="000000" w:themeColor="text1"/>
            <w:sz w:val="16"/>
            <w:szCs w:val="16"/>
          </w:rPr>
          <w:t xml:space="preserve">«DFS.230», </w:t>
        </w:r>
      </w:hyperlink>
      <w:r w:rsidRPr="00925F26">
        <w:rPr>
          <w:color w:val="000000" w:themeColor="text1"/>
          <w:sz w:val="16"/>
          <w:szCs w:val="16"/>
        </w:rPr>
        <w:t>когда попытались направить шесть планеров в Бреслау, который был в осаде. Через голову военного командования гауляйтер Ханке персонально радировал Борману в Рейхсканцелярию с просьбой доставить тяжелую артиллерию для противодействия советским войскам. Гитлер выделил шесть пехотных гаубиц калибром 150 мм. Hо даже в разобранном виде их нельзя было перевести на Ju.52/Зm. В результате три орудия были погружены на планеры «Go.242», а боеприпасы для них везли «DFS.230». Один «Go.242» и два «DFS.230» были cбиты, но два орудия были доставлены и снабжались боеприпасами с помощью «DFS.230» до самой капитуляции гарнизона. Конструкция «DFS.230» была совершенно обычной. Крыло c одним лонжероном примерно по трети хорды, с деревянной обшивкой до него и тканевой за ним. Элероны с триммером также с тканевой обшивкой. Крыло с подкосами из легкого сплава. Фюзеляж квадратного сечения сварен из стальных труб и обшит тканью. Снизу шла мощная балка, поглощавшая нагрузки от подрессоренной посадочной лыжи. Было предусмотрено двойное управление. Hа силовой балке сидели пилот и еще девять человек. Так как максимальный полетный вес был 2100 кг, включая 1200 кг нагрузки, то кроме 10 человек планер мог поднять еще 270 кг груза. В задней части кабины слева был грузовой люк. Загрузка могла происходить и через снимаемую панель под крылом справа. Для взлета использовалась двухколесная тележка, сбрасываемая после отрыва. С полной нагрузкой планер демонстрировал аэродинамическое качество 18. Все первые полеты проводились на буксире за «Ju.52», но потом в качестве буксировщика испытывались и другие самолеты, включая «Hе.46», «Hs.126» и «Ju.87b». Hесколько полетов были совершены с использованием в качестве буксировщиков тренировочных бипланов «Hе.72» "Кадет". Рассматривались и варианты с заменой гибкого троса на жесткий буксир. При этом «DFS.230» крепился за нос с помощью 1.5-м жесткого сцепления (15077).</w:t>
      </w:r>
    </w:p>
    <w:p w14:paraId="6F6F20C8" w14:textId="77777777" w:rsidR="00450976" w:rsidRPr="00925F26" w:rsidRDefault="00450976" w:rsidP="00925F26">
      <w:pPr>
        <w:jc w:val="both"/>
        <w:rPr>
          <w:color w:val="000000" w:themeColor="text1"/>
          <w:sz w:val="16"/>
          <w:szCs w:val="16"/>
        </w:rPr>
      </w:pPr>
    </w:p>
    <w:p w14:paraId="6B47E6B8" w14:textId="58F51EEF" w:rsidR="00633902" w:rsidRPr="00925F26" w:rsidRDefault="00633902" w:rsidP="00925F26">
      <w:pPr>
        <w:jc w:val="both"/>
        <w:rPr>
          <w:color w:val="000000" w:themeColor="text1"/>
          <w:sz w:val="16"/>
          <w:szCs w:val="16"/>
        </w:rPr>
      </w:pPr>
      <w:r w:rsidRPr="00925F26">
        <w:rPr>
          <w:color w:val="000000" w:themeColor="text1"/>
          <w:sz w:val="16"/>
          <w:szCs w:val="16"/>
        </w:rPr>
        <w:t>23 марта 1945</w:t>
      </w:r>
      <w:r w:rsidR="00997EDF" w:rsidRPr="00925F26">
        <w:rPr>
          <w:color w:val="000000" w:themeColor="text1"/>
          <w:sz w:val="16"/>
          <w:szCs w:val="16"/>
        </w:rPr>
        <w:t xml:space="preserve">  </w:t>
      </w:r>
      <w:r w:rsidRPr="00925F26">
        <w:rPr>
          <w:color w:val="000000" w:themeColor="text1"/>
          <w:sz w:val="16"/>
          <w:szCs w:val="16"/>
        </w:rPr>
        <w:t>- Ночью, немцами была проведена последняя операция с использованием легких десантных планеров DFS.230, когда попытались направить шесть планеров в Бреслау, который был в осаде. Через голову военного командования гауляйтер Ханке персонально радировал Борману в Рейхсканцелярию с просьбой доставить тяжелую артиллерию для противодействия советским войскам. Гитлер выделил шесть пехотных гаубиц калибром 150мм. Hо даже в разобранном виде их нельзя было перевести на Ju.52/Зm. В результате три орудия были погружены на планеры Go.242, а боеприпасы для них везли DFS.230. Один Go.242 и два DFS.230 были cбиты, но два орудия были доставлены и снабжались боеприпасами с помощью DFS.230 до самой капитуляции гарнизона (22559).</w:t>
      </w:r>
      <w:r w:rsidR="00997EDF" w:rsidRPr="00925F26">
        <w:rPr>
          <w:color w:val="000000" w:themeColor="text1"/>
          <w:sz w:val="16"/>
          <w:szCs w:val="16"/>
        </w:rPr>
        <w:t xml:space="preserve">  </w:t>
      </w:r>
    </w:p>
    <w:p w14:paraId="406B06D2" w14:textId="77777777" w:rsidR="00633902" w:rsidRPr="00925F26" w:rsidRDefault="00633902" w:rsidP="00925F26">
      <w:pPr>
        <w:jc w:val="both"/>
        <w:rPr>
          <w:color w:val="000000" w:themeColor="text1"/>
          <w:sz w:val="16"/>
          <w:szCs w:val="16"/>
        </w:rPr>
      </w:pPr>
    </w:p>
    <w:p w14:paraId="15499471"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ВВС США объявили конкурс на создание всепогодного истребителя-бомбардировщика. В общем плане он представлялся как наследник ночного истребителя «P-61» «Black Widow» компании «Northrop», и первоначально рассматривалась конструкция с поршневым двигателем. Тем не менее, было ясно, что эра поршневых истребителей заканчивается, и в декабре 1945 г. требования были изменены - предполагалось, что силовой установкой для истребителя-бомбардировщика должны служить исключительно реактивные двигатели. Предложения поступили от нескольких компаний – «Bell», «Consolidated-Vultee», «Douglas», «Goodyear», «Northrop» и «Curtiss-Wright». Компания «Curtiss-Wright» представила "Модель 29". Модель 29 на реактивной тяге была специально сконструирована для атакующей роли, и произвела на армию достаточно благоприятное впечатление - было заказано два испытательных образца, обозначенных как «XA-43». На роль ночного истребителя на реактивной тяге компания Curtiss предложила самолет сходной конструкции, но приспособленный конкретно для работы перехватчиком. Проекту было присвоено фирменное обозначение «Модель 29А». Армия заказала два испытательных образца под обозначением </w:t>
      </w:r>
      <w:hyperlink r:id="rId78" w:tgtFrame="_blank" w:history="1">
        <w:r w:rsidRPr="00925F26">
          <w:rPr>
            <w:color w:val="000000" w:themeColor="text1"/>
            <w:sz w:val="16"/>
            <w:szCs w:val="16"/>
          </w:rPr>
          <w:t xml:space="preserve">«XP-87», </w:t>
        </w:r>
      </w:hyperlink>
      <w:r w:rsidRPr="00925F26">
        <w:rPr>
          <w:color w:val="000000" w:themeColor="text1"/>
          <w:sz w:val="16"/>
          <w:szCs w:val="16"/>
        </w:rPr>
        <w:t>и самолету было присвоено имя «Blackhawk» («Черный ястреб») (15077).</w:t>
      </w:r>
    </w:p>
    <w:p w14:paraId="42D06939" w14:textId="77777777" w:rsidR="00450976" w:rsidRPr="00925F26" w:rsidRDefault="00450976" w:rsidP="00925F26">
      <w:pPr>
        <w:jc w:val="both"/>
        <w:rPr>
          <w:color w:val="000000" w:themeColor="text1"/>
          <w:sz w:val="16"/>
          <w:szCs w:val="16"/>
        </w:rPr>
      </w:pPr>
    </w:p>
    <w:p w14:paraId="5061960F"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разбился во время взлета американский истребитель </w:t>
      </w:r>
      <w:hyperlink r:id="rId79" w:tgtFrame="_blank" w:history="1">
        <w:r w:rsidRPr="00925F26">
          <w:rPr>
            <w:color w:val="000000" w:themeColor="text1"/>
            <w:sz w:val="16"/>
            <w:szCs w:val="16"/>
          </w:rPr>
          <w:t xml:space="preserve">«Bell» «P-59A» «Airacomet» «YP-59A» </w:t>
        </w:r>
      </w:hyperlink>
      <w:r w:rsidRPr="00925F26">
        <w:rPr>
          <w:color w:val="000000" w:themeColor="text1"/>
          <w:sz w:val="16"/>
          <w:szCs w:val="16"/>
        </w:rPr>
        <w:t>с номером "10" переданый для испытаний авиации ВМФ США. Опытный "Аэрокомет" стал летающей лабораторией для отработки оборудования безпилотного полета с радиоуправлением (15077).</w:t>
      </w:r>
    </w:p>
    <w:p w14:paraId="4AC69BEF" w14:textId="77777777" w:rsidR="00450976" w:rsidRPr="00925F26" w:rsidRDefault="00450976" w:rsidP="00925F26">
      <w:pPr>
        <w:jc w:val="both"/>
        <w:rPr>
          <w:color w:val="000000" w:themeColor="text1"/>
          <w:sz w:val="16"/>
          <w:szCs w:val="16"/>
        </w:rPr>
      </w:pPr>
    </w:p>
    <w:p w14:paraId="4058FB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 23 марта 1945 года, когда 902-й ракетно-артиллерийский полк нанес последний ракетный удар по Антверпену, продолжалось немецкое ракетное наступление, которое начиналось с 8 сентября 1944 года.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w:t>
      </w:r>
      <w:r w:rsidRPr="00925F26">
        <w:rPr>
          <w:color w:val="000000" w:themeColor="text1"/>
          <w:sz w:val="16"/>
          <w:szCs w:val="16"/>
        </w:rPr>
        <w:lastRenderedPageBreak/>
        <w:t>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 (11688).</w:t>
      </w:r>
    </w:p>
    <w:p w14:paraId="30B69D33" w14:textId="77777777" w:rsidR="00665165" w:rsidRPr="00925F26" w:rsidRDefault="00665165" w:rsidP="00925F26">
      <w:pPr>
        <w:autoSpaceDE w:val="0"/>
        <w:autoSpaceDN w:val="0"/>
        <w:adjustRightInd w:val="0"/>
        <w:jc w:val="both"/>
        <w:rPr>
          <w:color w:val="000000" w:themeColor="text1"/>
          <w:sz w:val="16"/>
          <w:szCs w:val="16"/>
        </w:rPr>
      </w:pPr>
    </w:p>
    <w:p w14:paraId="68B96C9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началось форсирование Рейна 21-й английской группой армий (</w:t>
      </w:r>
      <w:proofErr w:type="gramStart"/>
      <w:r w:rsidRPr="00925F26">
        <w:rPr>
          <w:color w:val="000000" w:themeColor="text1"/>
          <w:sz w:val="16"/>
          <w:szCs w:val="16"/>
        </w:rPr>
        <w:t>4963 )</w:t>
      </w:r>
      <w:proofErr w:type="gramEnd"/>
      <w:r w:rsidRPr="00925F26">
        <w:rPr>
          <w:color w:val="000000" w:themeColor="text1"/>
          <w:sz w:val="16"/>
          <w:szCs w:val="16"/>
        </w:rPr>
        <w:t>.</w:t>
      </w:r>
    </w:p>
    <w:p w14:paraId="2C88C0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6090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23 марта по 18 апреля 1945 была Рурская операция англо-американских войск. К 1 апреля окружили 18 дивизий численностью 325 тыс., которые 18 апреля сдались (2443,84).</w:t>
      </w:r>
    </w:p>
    <w:p w14:paraId="349C780D" w14:textId="77777777" w:rsidR="00665165" w:rsidRPr="00925F26" w:rsidRDefault="00665165" w:rsidP="00925F26">
      <w:pPr>
        <w:autoSpaceDE w:val="0"/>
        <w:autoSpaceDN w:val="0"/>
        <w:adjustRightInd w:val="0"/>
        <w:jc w:val="both"/>
        <w:rPr>
          <w:color w:val="000000" w:themeColor="text1"/>
          <w:sz w:val="16"/>
          <w:szCs w:val="16"/>
        </w:rPr>
      </w:pPr>
    </w:p>
    <w:p w14:paraId="71B64DB5"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(23 марта - 17 апреля) наступление американо-английских войск в Руре (15077).</w:t>
      </w:r>
    </w:p>
    <w:p w14:paraId="79D0016D" w14:textId="77777777" w:rsidR="00450976" w:rsidRPr="00925F26" w:rsidRDefault="00450976" w:rsidP="00925F26">
      <w:pPr>
        <w:jc w:val="both"/>
        <w:rPr>
          <w:color w:val="000000" w:themeColor="text1"/>
          <w:sz w:val="16"/>
          <w:szCs w:val="16"/>
        </w:rPr>
      </w:pPr>
    </w:p>
    <w:p w14:paraId="3BD3A95C"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началась Рурская </w:t>
      </w:r>
      <w:proofErr w:type="gramStart"/>
      <w:r w:rsidRPr="00925F26">
        <w:rPr>
          <w:color w:val="000000" w:themeColor="text1"/>
          <w:sz w:val="16"/>
          <w:szCs w:val="16"/>
        </w:rPr>
        <w:t>операцияю</w:t>
      </w:r>
      <w:proofErr w:type="gramEnd"/>
      <w:r w:rsidRPr="00925F26">
        <w:rPr>
          <w:color w:val="000000" w:themeColor="text1"/>
          <w:sz w:val="16"/>
          <w:szCs w:val="16"/>
        </w:rPr>
        <w:t xml:space="preserve"> В феврале 1945 года англо-американское командование ускорило подготовку и проведение операции по выходу к реке Рейн. С форсирования этой жизненной артерии Германии в ночь с 23 на 24 марта началась Рурская операция - наступательная операция англо-американских войск во второй мировой войне в целях окружения и разгрома рурской группировки немецких войск под командованием генерала-фельдмаршала Вальтера Моделя. К концу марта союзники вышли к Рейну на всем его протяжении. 18 апреля окруженная силами американской армии основная часть немецкой группировки войск (более 300 тысяч человек) сложила оружие (15077).</w:t>
      </w:r>
    </w:p>
    <w:p w14:paraId="42150484" w14:textId="77777777" w:rsidR="00450976" w:rsidRPr="00925F26" w:rsidRDefault="00450976" w:rsidP="00925F26">
      <w:pPr>
        <w:jc w:val="both"/>
        <w:rPr>
          <w:color w:val="000000" w:themeColor="text1"/>
          <w:sz w:val="16"/>
          <w:szCs w:val="16"/>
        </w:rPr>
      </w:pPr>
    </w:p>
    <w:p w14:paraId="3B5B0A7B"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началось форсирование Рейна 21-й английской группой армий (15077).</w:t>
      </w:r>
    </w:p>
    <w:p w14:paraId="2EADD1F3" w14:textId="77777777" w:rsidR="00450976" w:rsidRPr="00925F26" w:rsidRDefault="00450976" w:rsidP="00925F26">
      <w:pPr>
        <w:jc w:val="both"/>
        <w:rPr>
          <w:color w:val="000000" w:themeColor="text1"/>
          <w:sz w:val="16"/>
          <w:szCs w:val="16"/>
        </w:rPr>
      </w:pPr>
    </w:p>
    <w:p w14:paraId="5D5C12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марта 1945 части британской и канадской армии форсировали Рейн в районах Рееса и Везеля рядом с голландской границей (3907,256).</w:t>
      </w:r>
    </w:p>
    <w:p w14:paraId="3048F1F3" w14:textId="77777777" w:rsidR="00665165" w:rsidRPr="00925F26" w:rsidRDefault="00665165" w:rsidP="00925F26">
      <w:pPr>
        <w:autoSpaceDE w:val="0"/>
        <w:autoSpaceDN w:val="0"/>
        <w:adjustRightInd w:val="0"/>
        <w:jc w:val="both"/>
        <w:rPr>
          <w:color w:val="000000" w:themeColor="text1"/>
          <w:sz w:val="16"/>
          <w:szCs w:val="16"/>
        </w:rPr>
      </w:pPr>
    </w:p>
    <w:p w14:paraId="7976BDB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марта 1945 французское правительство генерала Де Голля объявило “ограниченное самоуправление” Индокитая (4962).</w:t>
      </w:r>
    </w:p>
    <w:p w14:paraId="5B58BF1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6A6C1D2" w14:textId="77777777" w:rsidR="00450976" w:rsidRPr="00925F26" w:rsidRDefault="00450976" w:rsidP="00925F26">
      <w:pPr>
        <w:jc w:val="both"/>
        <w:rPr>
          <w:color w:val="000000" w:themeColor="text1"/>
          <w:sz w:val="16"/>
          <w:szCs w:val="16"/>
        </w:rPr>
      </w:pPr>
      <w:r w:rsidRPr="00925F26">
        <w:rPr>
          <w:bCs/>
          <w:color w:val="000000" w:themeColor="text1"/>
          <w:sz w:val="16"/>
          <w:szCs w:val="16"/>
        </w:rPr>
        <w:t>23 марта</w:t>
      </w:r>
      <w:r w:rsidRPr="00925F26">
        <w:rPr>
          <w:color w:val="000000" w:themeColor="text1"/>
          <w:sz w:val="16"/>
          <w:szCs w:val="16"/>
        </w:rPr>
        <w:t xml:space="preserve"> в 1945 году (23-31 марта) подготовительные атаки американского подразделения «Task Force-38» и английской группы торпедоносцев на Окинаву и Рюкю. Японские камикадзе отразили эти атаки (15077).</w:t>
      </w:r>
    </w:p>
    <w:p w14:paraId="76667C8A" w14:textId="77777777" w:rsidR="00450976" w:rsidRPr="00925F26" w:rsidRDefault="00450976" w:rsidP="00925F26">
      <w:pPr>
        <w:jc w:val="both"/>
        <w:rPr>
          <w:color w:val="000000" w:themeColor="text1"/>
          <w:sz w:val="16"/>
          <w:szCs w:val="16"/>
        </w:rPr>
      </w:pPr>
    </w:p>
    <w:p w14:paraId="27FE1FDA" w14:textId="77777777" w:rsidR="00633902" w:rsidRPr="00925F26" w:rsidRDefault="00633902" w:rsidP="00925F26">
      <w:pPr>
        <w:jc w:val="both"/>
        <w:rPr>
          <w:color w:val="000000" w:themeColor="text1"/>
          <w:sz w:val="16"/>
          <w:szCs w:val="16"/>
        </w:rPr>
      </w:pPr>
      <w:r w:rsidRPr="00925F26">
        <w:rPr>
          <w:color w:val="000000" w:themeColor="text1"/>
          <w:sz w:val="16"/>
          <w:szCs w:val="16"/>
        </w:rPr>
        <w:t>23 марта - 1 апреля 1945 боевая группа 58 наносит удары по Окинаве и ее окрестностям (20371).</w:t>
      </w:r>
    </w:p>
    <w:p w14:paraId="5B18A711" w14:textId="77777777" w:rsidR="00633902" w:rsidRPr="00925F26" w:rsidRDefault="00633902" w:rsidP="00925F26">
      <w:pPr>
        <w:jc w:val="both"/>
        <w:rPr>
          <w:color w:val="000000" w:themeColor="text1"/>
          <w:sz w:val="16"/>
          <w:szCs w:val="16"/>
        </w:rPr>
      </w:pPr>
    </w:p>
    <w:p w14:paraId="5BCE0BD8" w14:textId="77777777" w:rsidR="00633902" w:rsidRPr="00925F26" w:rsidRDefault="00633902" w:rsidP="00925F26">
      <w:pPr>
        <w:jc w:val="both"/>
        <w:rPr>
          <w:color w:val="000000" w:themeColor="text1"/>
          <w:sz w:val="16"/>
          <w:szCs w:val="16"/>
        </w:rPr>
      </w:pPr>
      <w:r w:rsidRPr="00925F26">
        <w:rPr>
          <w:color w:val="000000" w:themeColor="text1"/>
          <w:sz w:val="16"/>
          <w:szCs w:val="16"/>
        </w:rPr>
        <w:t xml:space="preserve">23 марта 1945 The British ТОФ, сосредоточенный вокруг авианосцев HMS Упрямый, HMS Победоносец, HMS Прославленные и HMS Неутомимый, отходит на </w:t>
      </w:r>
      <w:proofErr w:type="gramStart"/>
      <w:r w:rsidRPr="00925F26">
        <w:rPr>
          <w:color w:val="000000" w:themeColor="text1"/>
          <w:sz w:val="16"/>
          <w:szCs w:val="16"/>
        </w:rPr>
        <w:t>Atoll</w:t>
      </w:r>
      <w:proofErr w:type="gramEnd"/>
      <w:r w:rsidRPr="00925F26">
        <w:rPr>
          <w:color w:val="000000" w:themeColor="text1"/>
          <w:sz w:val="16"/>
          <w:szCs w:val="16"/>
        </w:rPr>
        <w:t xml:space="preserve"> Улить, чтобы начать работу в качестве целевой группы 57 Пятого флота США (20371).</w:t>
      </w:r>
    </w:p>
    <w:p w14:paraId="0AA9410D" w14:textId="77777777" w:rsidR="00633902" w:rsidRPr="00925F26" w:rsidRDefault="00633902" w:rsidP="00925F26">
      <w:pPr>
        <w:jc w:val="both"/>
        <w:rPr>
          <w:color w:val="000000" w:themeColor="text1"/>
          <w:sz w:val="16"/>
          <w:szCs w:val="16"/>
        </w:rPr>
      </w:pPr>
    </w:p>
    <w:p w14:paraId="54C49FA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62DF508" w14:textId="77777777" w:rsidR="00665165" w:rsidRPr="00925F26" w:rsidRDefault="00665165" w:rsidP="00925F26">
      <w:pPr>
        <w:autoSpaceDE w:val="0"/>
        <w:autoSpaceDN w:val="0"/>
        <w:adjustRightInd w:val="0"/>
        <w:jc w:val="both"/>
        <w:rPr>
          <w:iCs/>
          <w:color w:val="000000" w:themeColor="text1"/>
          <w:sz w:val="16"/>
          <w:szCs w:val="16"/>
        </w:rPr>
      </w:pPr>
    </w:p>
    <w:p w14:paraId="7C1DF730"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24 марта 1945 г. приказом командующего 2 ВА генерал-лейтенанта С. А. Красовского № 044 была назначена государственная комиссия, которая фиксировала Официально результаты и особенности боевого применения и эксплуатации нового штурмовика Ил-10</w:t>
      </w:r>
    </w:p>
    <w:p w14:paraId="24A0F0FD"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состав комиссии вошли: командир 2 гшак Герой Советского Союза генерал-майор Слюсарев (председатель), заместитель командира 2 гшак по ИАС инженер-полковник Синеок, старший инженер по эксплуатации 2 ВА инженер -майор Даниловцев, инспектор по технике пилотирования 2 ВА майор Шляма, старший инженер 6 гшад инженер-майор Зильманович, командир 108 гшап подполковник Топилин, старший инженер 108 гшап старший техник-лейтенант Броун, заместитель начальника 5 -го отдела 1-го управления ГК НИИ ВВС по летной части полковник Долгов, ведущий инженер 1-го управления ГК НИИ ВВС инженер-подполковник Аброщенко, ведущий инженер 2-го управления ГК НИИ ВВС инженер-майор Сороко.</w:t>
      </w:r>
    </w:p>
    <w:p w14:paraId="4D49D9D3"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Кроме комиссии, в войсковых испытаниях принимала участие бригада специалистов от ГК НИИ ВВС, которая все время находилась в 108 гшап. В состав бригады входили: полковник А. К. Долгов, инженер-подполковник П. Т. Аброщенко, инженер-майор Сороко, подполковник П. И. Никитин (тактика и боевое применение), инженер-капитан И. К. Бутко (вооружение), инженер-капитан В. Д. Кабанов (винтомоторная группа), инженер-майор С. Т. Глущенко (спецоборудование), старший техник-лейтенант В. К. Торгонский (эксплуатация).</w:t>
      </w:r>
    </w:p>
    <w:p w14:paraId="25364B2C"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От Управления заказов самолетов и моторов ГУЗ ВВС в испытаниях участвовал помощник военпреда на заводе № 18 старший техник-лейтенант Н. С. Грищенко.</w:t>
      </w:r>
    </w:p>
    <w:p w14:paraId="2EEE9075"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Для обеспечения войсковых испытаний к 108-му полку были прикомандированы инженеры от ОКБ -240 Ильюшина и работники заводов № 18 и № 24. Бригаду от 18-го авиазавода (всего 7 человек) возглавлял старший инженер ЭРО завода А. С. Руденко, 24-й моторный завод представлял инженер ЭРО завода П. С. Захаров (с ним один механик), а ОКБ-240 - инженер-конструктор бомбардировочного вооружения Д. И. Коклин и инженер-конструктор винтомоторной группы В. А. Ерофеев.</w:t>
      </w:r>
    </w:p>
    <w:p w14:paraId="11289832"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 xml:space="preserve">В выводах отчета по результатам войсковых испытаний самолета Ил-10 указывалось, что «бомбовая нагрузка самолета по весу, назначению и калибру подвешиваемых авиабомб обеспечивает выполнение возлагаемых на самолет-штурмовик </w:t>
      </w:r>
      <w:proofErr w:type="gramStart"/>
      <w:r w:rsidRPr="00925F26">
        <w:rPr>
          <w:rStyle w:val="107"/>
          <w:rFonts w:eastAsiaTheme="minorHAnsi"/>
          <w:color w:val="000000" w:themeColor="text1"/>
          <w:sz w:val="16"/>
          <w:szCs w:val="16"/>
        </w:rPr>
        <w:t>задач./</w:t>
      </w:r>
      <w:proofErr w:type="gramEnd"/>
      <w:r w:rsidRPr="00925F26">
        <w:rPr>
          <w:rStyle w:val="107"/>
          <w:rFonts w:eastAsiaTheme="minorHAnsi"/>
          <w:color w:val="000000" w:themeColor="text1"/>
          <w:sz w:val="16"/>
          <w:szCs w:val="16"/>
        </w:rPr>
        <w:t>.../Вооружение самолета Ил-10 по количеству боевых точек, калибру и боезапасу к ним отличия от вооружения Ил -2 не имеет.</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При действии по целям, прикрытым истребителями противника, самолет Ил-10 требует сопровождения в такой же степени, как и самолет Ил-2./.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/Наличие большего диапазона скоростей и лучшей маневренности облегчает задачу истребителей сопровождения и позволяет Ил-10 вступать в активный воздушный бой с </w:t>
      </w:r>
      <w:proofErr w:type="gramStart"/>
      <w:r w:rsidRPr="00925F26">
        <w:rPr>
          <w:rStyle w:val="107"/>
          <w:rFonts w:eastAsiaTheme="minorHAnsi"/>
          <w:color w:val="000000" w:themeColor="text1"/>
          <w:sz w:val="16"/>
          <w:szCs w:val="16"/>
        </w:rPr>
        <w:t>противником./..</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Живучесть конструкции (бронирование экипажа и винтомоторной группы) лучше, чем на самолете Ил-2, и в целом является достаточной. Уязвимыми местами могут являться водо- и маслорадиаторы. В целом эффективность броневой защиты экипажа и ВМГ от МЗА, ЗА и ИА</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в достаточной степени не выявлена и требует дополнительной проверки путем анализа повреждений на самолетах, находящихся в других действующих частях </w:t>
      </w:r>
      <w:proofErr w:type="gramStart"/>
      <w:r w:rsidRPr="00925F26">
        <w:rPr>
          <w:rStyle w:val="107"/>
          <w:rFonts w:eastAsiaTheme="minorHAnsi"/>
          <w:color w:val="000000" w:themeColor="text1"/>
          <w:sz w:val="16"/>
          <w:szCs w:val="16"/>
        </w:rPr>
        <w:t>ВВС./..</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Обзор из кабины летчика, вследствие отсутствия обзора назад и затенения переднего стекла в плохих метеоусловиях (дождь, снег), в ср авнении с обзором на самолете Ил-2 - хуже./. ../Временной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ПЗМ/.../Основным методом бомбометания в боевых условиях на самолете Ил-10 принят тот же, что и для Ил-2, с той лишь разницей, что: 1) возросли углы планирования с 30 до 50°; 2) возросла скорость ввода в пикирование от 320 до 350 км/ч; 3) скорость вывода из пикирования выросла до 500-600 км/ч; 4) улучшилась маневренность самолета./.../В обслуживании и эксплуатации Ил-10 проще и удобнее, чем Ил-2, однако ряд производственных и конструктивных дефектов усложняет эксплуатацию./..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Время подготовки Ил-10 к боевым вылетам механиком и мотористом практически такое же, что и время, потребное для Ил-2</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Цельнометаллическая конструкция Ил-10 в сравнении с конструкцией планера Ил-2 упрощает уход за ним и увеличивает срок его </w:t>
      </w:r>
      <w:proofErr w:type="gramStart"/>
      <w:r w:rsidRPr="00925F26">
        <w:rPr>
          <w:rStyle w:val="107"/>
          <w:rFonts w:eastAsiaTheme="minorHAnsi"/>
          <w:color w:val="000000" w:themeColor="text1"/>
          <w:sz w:val="16"/>
          <w:szCs w:val="16"/>
        </w:rPr>
        <w:t>службы,/</w:t>
      </w:r>
      <w:proofErr w:type="gramEnd"/>
      <w:r w:rsidRPr="00925F26">
        <w:rPr>
          <w:rStyle w:val="107"/>
          <w:rFonts w:eastAsiaTheme="minorHAnsi"/>
          <w:color w:val="000000" w:themeColor="text1"/>
          <w:sz w:val="16"/>
          <w:szCs w:val="16"/>
        </w:rPr>
        <w:t>.../наряду с очень удобным эксплуатационным люком в фюзеляже, обеспечивающим хороший подход к трубопроводам, агрегатам и управлению.»</w:t>
      </w:r>
    </w:p>
    <w:p w14:paraId="5D6378C6"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 xml:space="preserve">Обращалось внимание, что «рекомендованные конструктором углы пикирования 25-30° явно малы для самолета Ил-10. Это снижает его боевые </w:t>
      </w:r>
      <w:proofErr w:type="gramStart"/>
      <w:r w:rsidRPr="00925F26">
        <w:rPr>
          <w:rStyle w:val="107"/>
          <w:rFonts w:eastAsiaTheme="minorHAnsi"/>
          <w:color w:val="000000" w:themeColor="text1"/>
          <w:sz w:val="16"/>
          <w:szCs w:val="16"/>
        </w:rPr>
        <w:t>качества./</w:t>
      </w:r>
      <w:proofErr w:type="gramEnd"/>
      <w:r w:rsidRPr="00925F26">
        <w:rPr>
          <w:rStyle w:val="107"/>
          <w:rFonts w:eastAsiaTheme="minorHAnsi"/>
          <w:color w:val="000000" w:themeColor="text1"/>
          <w:sz w:val="16"/>
          <w:szCs w:val="16"/>
        </w:rPr>
        <w:t>.../Отдельными летчиками в полку (лейтенанты М. А. Ахрютин и Н. С. Зубов пришли в полк из истребителей. -</w:t>
      </w:r>
      <w:r w:rsidRPr="00925F26">
        <w:rPr>
          <w:rStyle w:val="BodytextItalic"/>
          <w:rFonts w:eastAsiaTheme="minorHAnsi"/>
          <w:i w:val="0"/>
          <w:color w:val="000000" w:themeColor="text1"/>
          <w:sz w:val="16"/>
          <w:szCs w:val="16"/>
        </w:rPr>
        <w:t xml:space="preserve"> Прим. авт.) </w:t>
      </w:r>
      <w:r w:rsidRPr="00925F26">
        <w:rPr>
          <w:rStyle w:val="107"/>
          <w:rFonts w:eastAsiaTheme="minorHAnsi"/>
          <w:color w:val="000000" w:themeColor="text1"/>
          <w:sz w:val="16"/>
          <w:szCs w:val="16"/>
        </w:rPr>
        <w:t>производились фигуры высшего пилотажа. Перевороты и замедленные бочки». В этой связи предлагалось «усилить крыло самолета с тем, чтобы самолет по своему запасу прочности мог быть отнесен к классу истребителей (класс А - маневренный самолет)».</w:t>
      </w:r>
    </w:p>
    <w:p w14:paraId="4C1D3020"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По технике пилотирования самолет прост. «Имея лучшую устойчивость, хорошую управляемость и более высокую маневренность», Ил -10 охотно прощал летному составу ошибки и не утомлял летчика при полете в болтанку. Переучивание летного и инженерно-технического состава, ранее работавшего на Ил-2 с АМ-38 ф, при переходе на Ил-10 с АМ-42 трудности не представляет. Летному составу достаточно дать 10-15 учебно-тренировочных полетов (3-4 часа налета). Инженерно-технический состав легко осваивает матчасть самолета и мотора непосредственно в ходе эксплуатации.</w:t>
      </w:r>
    </w:p>
    <w:p w14:paraId="16CC208E"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 - указывалось в материалах отчета.</w:t>
      </w:r>
    </w:p>
    <w:p w14:paraId="3009B4C3"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качестве основных дефектов самолета Ил-10 Госкомиссия отметила следующие: «Неудовлетворительная конструкция фонаря кабины (трудно открывается на земле, рулежка и полет в сложных метеоусловиях с открытым фонарем невозможны</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Отсутствует обзор назад из кабины летчика (необходимо сделать в бронеспинке вставку из прозрачного бронестекла по типу самолета Ил-2</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.../Велики усилия на ручку управления от элеронов на скорости выше 400 км/час./.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/Обтекатели (лопухи) колес шасси при рулежке и посадке на мягком грунте и зимой в снег зарываются, деформируются и тормозят движение самолета./.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/Тросы везде рвутся: и ограничительные тросы фонаря кабины и аварийного выпуска шасси, и системы управления, а также тросы стопора костыля./.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/Прочность покрышек колес 800^260 мм, как и эффективность тормозов, </w:t>
      </w:r>
      <w:proofErr w:type="gramStart"/>
      <w:r w:rsidRPr="00925F26">
        <w:rPr>
          <w:rStyle w:val="107"/>
          <w:rFonts w:eastAsiaTheme="minorHAnsi"/>
          <w:color w:val="000000" w:themeColor="text1"/>
          <w:sz w:val="16"/>
          <w:szCs w:val="16"/>
        </w:rPr>
        <w:t>недостаточна./..</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При аварийных посадках ломается силовая рама крепления узлов шасси, и разрушаются упоры хвостового колеса при посадке с убранным костылем, а также ломается рама № 14 </w:t>
      </w:r>
      <w:proofErr w:type="gramStart"/>
      <w:r w:rsidRPr="00925F26">
        <w:rPr>
          <w:rStyle w:val="107"/>
          <w:rFonts w:eastAsiaTheme="minorHAnsi"/>
          <w:color w:val="000000" w:themeColor="text1"/>
          <w:sz w:val="16"/>
          <w:szCs w:val="16"/>
        </w:rPr>
        <w:t>фюзеляжа./</w:t>
      </w:r>
      <w:proofErr w:type="gramEnd"/>
      <w:r w:rsidRPr="00925F26">
        <w:rPr>
          <w:rStyle w:val="107"/>
          <w:rFonts w:eastAsiaTheme="minorHAnsi"/>
          <w:color w:val="000000" w:themeColor="text1"/>
          <w:sz w:val="16"/>
          <w:szCs w:val="16"/>
        </w:rPr>
        <w:t>.../Шасси самолета при давлении воздуха в системе 38 атм. на скоростях свыше 260 км/час не выпускаются».</w:t>
      </w:r>
    </w:p>
    <w:p w14:paraId="7F687A1F"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от 25 мая 1945 года государственная комиссия от 2 ВА констатировала: «1. По летно -тактическим данным самолет Ил-10 с мотором АМ-42 является вполне современным бронированным штурмовиком, обладающим явным преимуществом в сравнении с самолетом Ил-2 с мотором АМ-38ф</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3. При </w:t>
      </w:r>
      <w:r w:rsidRPr="00925F26">
        <w:rPr>
          <w:rStyle w:val="107"/>
          <w:rFonts w:eastAsiaTheme="minorHAnsi"/>
          <w:color w:val="000000" w:themeColor="text1"/>
          <w:sz w:val="16"/>
          <w:szCs w:val="16"/>
        </w:rPr>
        <w:lastRenderedPageBreak/>
        <w:t>устранении отмеченных конструктивных и производственных недостатков самолет Ил-10 с АМ-42 будет более прост в эксплуатации и явится более эффективным вооружением штурмовых частей ВВС Красной Армии».</w:t>
      </w:r>
    </w:p>
    <w:p w14:paraId="6621FCEF"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Составленное отдельно заключение ГК НИИ ВВС по результатам войсковых испытаний самолета Ил-10 с АМ-42 главный инженер ВВС КА генерал-полковник А. К. Репин подписал 20 июня.</w:t>
      </w:r>
    </w:p>
    <w:p w14:paraId="40F13876"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Согласно рассылке, отчет и заключение были направлены: командующему ВВС КА главному маршалу авиации А. А. Новикову, наркому авиапромышленности А. И. Шахурину, в УК ЦК ВКП(б) генерал-полковнику Н С. Шиманову, начальнику ГУЗ ВВС генерал-лейтенанту Н. П. Селезневу, начальнику УТЭ ГУ ИАС ВВС генерал-лейтенанту Ф. Н. Шульговскому, С. В. Ильюшину, начальнику 1-го ГУ НКАП, директорам заводов 1, 18 и 24, а также старшим военпредам на этих заводах.</w:t>
      </w:r>
    </w:p>
    <w:p w14:paraId="010FE654"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К сожалению, ряд вопросов боевого применения самолета Ил-10 в материалах отчета по войсковым испытаниям отражены не были, в том числе не дана оценка реальной боевой эффективности «десятки» в сравнении с самолетом Ил-2. Между тем простейший анализ показывает, что Ил-10 все же не в полной мере отвечал требованиям войны и кардинально проблему повышения боевой эффективности штурмовой авиации ВВС КА в то время не решил.</w:t>
      </w:r>
    </w:p>
    <w:p w14:paraId="5A03E7BA"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Действительно, при одинаковом стрелково -пушечном вооружении Ил-10 заметно уступал Ил-2 по весу бомбовой нагрузки при загрузке самолета бомбами наиболее ходовых калибров - АО-2,5, АО-25, ПТАБ-2,5-1,5 и ФАБ-50. Тогда как именно количество сброшенных бомб при прочих равных условиях определяет величину вероятности попадания по цели (поражения цели). Нормальная бомбовая нагрузка в 400 кг на Ил-10 обеспечивалась лишь при подвеске четырех бомб ФАБ-100 и АО-2,5 сч. При использовании других калибров «десятка» оказывалась недогруженной до нормального варианта.</w:t>
      </w:r>
    </w:p>
    <w:p w14:paraId="62DDA1C9"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Соответственно, по средней бомбовой нагрузке, приходящейся на один боевой вылет по опыту боев апреля - мая 1945 года, Ил-2 превзошел Ил-10 - 400 кг против 304 кг.</w:t>
      </w:r>
    </w:p>
    <w:p w14:paraId="6B9491CE"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Прицельный комплект Ил-10 фактически ничем не отличался от такового на Ил-2. На «десятке» имелись все тот же оптический стрелковый прицел ПБП-1б, разметка и визирные штыри на бронекапоте и крыле, метки и прицельные линии на лобовом и боковых бронестеклах фонаря кабины, а также временной механизм штурмовика ВМШ-10.</w:t>
      </w:r>
    </w:p>
    <w:p w14:paraId="3DAA7A5B"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Обзор летчику вперед-вниз оказался даже меньше, чем на Ил-2 - 7° против 8°. Обзор назад и вовсе отсутствовал (летчики предлагали «в бронеспинке сделать проставки из прозрачного бронестекла по типу самолета Ил-2»).</w:t>
      </w:r>
    </w:p>
    <w:p w14:paraId="5024CBE6"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По мнению фронтовиков-летчиков, временным механизмом штурмовика ВМШ-10 на Ил-10 пользоваться в бою было так же невозможно, как и ВМШ-2 на самолете Ил-2.</w:t>
      </w:r>
    </w:p>
    <w:p w14:paraId="2EAF2467"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Основные методы бомбометания в боевых условиях на самолете Ил-10 были приняты те же, что и для самолета Ил -2, с той лишь разницей, что улучшилась маневренность самолета, возросли рабочие углы пикирования - до 50°, скорость ввода в пикирование - 350 км/ч и вывода из пикирования - 500-600 км/ч.</w:t>
      </w:r>
    </w:p>
    <w:p w14:paraId="101441D6"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К числу серьезных недостатков Ил-10 летный состав относил сильную вибрацию прицела ПБП-1б в полете, что ухудшает «точность прицельной стрельбы».</w:t>
      </w:r>
    </w:p>
    <w:p w14:paraId="742E6DFB"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то же время прицеливаться при атаке на самолете Ил-10 было легче, чем на Ил-2. Однако излишняя путевая устойчивость Ил-10 при пикировании усложняла введение поправок в прицеливание при стрельбе. Летчики жаловались, что «довороты, даже незначительные, необходимо делать заваливанием самолета в крен». Это приводило к затратам времени на устранение последующего скольжения самолета. К тому же «управление на скоростях более 400 км/ч становится тяжелым, особенно управление элеронами».</w:t>
      </w:r>
    </w:p>
    <w:p w14:paraId="343E1BB6"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Пневмоэлектрическое управление огнем из пушек и пулеметов на Ил-10 оценивалось положительно: «исключительно удобное, облегчает работу летчика и сделано удачно».</w:t>
      </w:r>
    </w:p>
    <w:p w14:paraId="4DB9F3C0"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Средний расход боекомплекта к пушкам и пулеметам в одном боевом вылете у Ил-2 в 2-3 раза был выше, чем у самолетов Ил-10.</w:t>
      </w:r>
    </w:p>
    <w:p w14:paraId="71C8F665"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Этот результат объясняется меньшей скоростью при пикировании Ил-2 в сравнении с Ил-10, что позволяло летчику «двойки» в одном заходе совершенно свободно отстрелять из пушек и пулеметов две прицельные очереди продолжительностью 1-2 секунды. Тогда как летчик «десятки» за один заход прицельно успевал отстрелять только одну очередь.</w:t>
      </w:r>
    </w:p>
    <w:p w14:paraId="45A1853D"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К тому же на Ил-2 стояли четыре ракетных орудия РО-82, а это также повышало боевые возможности самолета.</w:t>
      </w:r>
    </w:p>
    <w:p w14:paraId="60815B70"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Безвозвратные боевые потери 571-го шап, 118-го и 108-го гшап, по официальным данным, составили 12 самолетов Ил-10, погибли 5 летчиков и 8 воздушных стрелков. Небоевые потери составили 11 самолетов. Налет на одну боевую потерю «десятки» составил 85 самолето -вылетов.</w:t>
      </w:r>
    </w:p>
    <w:p w14:paraId="5D9DAF34"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Оказывается, что по всем этим показателям самолет Ил-2 в апреле - мае 1945 года оказался даже несколько лучше самолета Ил-10. Налет на одну безвозвратную потерю Ил-2 в среднем достигал 90 боевых вылетов.</w:t>
      </w:r>
    </w:p>
    <w:p w14:paraId="05573DBA"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 xml:space="preserve">Инженеры полков отмечали, что, несмотря на цельнометаллическую конструкцию, Ил-10 «держал удар» хуже, чем Ил-2. Виной тому примененный на Ил-10 скоростной профиль крыла типа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Даже при небольших повреждениях крыла «десятка» теряла управляемость, и на вынужденных посадках самолеты бились. Здесь следует напомнить, что Ил-10 изначально создавался как бронированный истребитель и только затем по инициативе С. В. Ильюшина был переделан в двухместный штурмовик. В то же время крыло «чистого» штурмовика Ил-2, где использовался профиль </w:t>
      </w:r>
      <w:r w:rsidRPr="00925F26">
        <w:rPr>
          <w:rStyle w:val="107"/>
          <w:rFonts w:eastAsiaTheme="minorHAnsi"/>
          <w:color w:val="000000" w:themeColor="text1"/>
          <w:sz w:val="16"/>
          <w:szCs w:val="16"/>
          <w:lang w:val="en-US"/>
        </w:rPr>
        <w:t>Clark</w:t>
      </w:r>
      <w:r w:rsidRPr="00925F26">
        <w:rPr>
          <w:rStyle w:val="107"/>
          <w:rFonts w:eastAsiaTheme="minorHAnsi"/>
          <w:color w:val="000000" w:themeColor="text1"/>
          <w:sz w:val="16"/>
          <w:szCs w:val="16"/>
        </w:rPr>
        <w:t>-</w:t>
      </w:r>
      <w:r w:rsidRPr="00925F26">
        <w:rPr>
          <w:rStyle w:val="107"/>
          <w:rFonts w:eastAsiaTheme="minorHAnsi"/>
          <w:color w:val="000000" w:themeColor="text1"/>
          <w:sz w:val="16"/>
          <w:szCs w:val="16"/>
          <w:lang w:val="en-US"/>
        </w:rPr>
        <w:t>YH</w:t>
      </w:r>
      <w:r w:rsidRPr="00925F26">
        <w:rPr>
          <w:rStyle w:val="107"/>
          <w:rFonts w:eastAsiaTheme="minorHAnsi"/>
          <w:color w:val="000000" w:themeColor="text1"/>
          <w:sz w:val="16"/>
          <w:szCs w:val="16"/>
        </w:rPr>
        <w:t>, не теряло несущих свойств при значительном разрушении обшивки. Как следствие, процент списанных Ил-10, поврежденных в бою и совершивших вынужденные посадки, был в 2-2,5 раза выше, чем самолетов Ил-2.</w:t>
      </w:r>
    </w:p>
    <w:p w14:paraId="7EE7C841"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отличие от «десятки» на Ил-2 имелась надежно работающая система заполнения бензобаков нейтральным газом.</w:t>
      </w:r>
    </w:p>
    <w:p w14:paraId="1CFA74F4"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При оценке боевой живучести необходимо учитывать ограниченность статистики боевых действий Ил-10 в сравнении с Ил-2. Например, налет на одну боевую потерю в 571 шап достигал 207 вылетов, тогда как в 108 гшап - 75, а в 118 гшап - всего 20 боевых вылетов. Это говорит о том, что летный состав 571 шап сумел более полно использовать высокую маневренность Ил-10 в сравнении с экипажами 108 и 118 гшап.</w:t>
      </w:r>
    </w:p>
    <w:p w14:paraId="4F657A8C" w14:textId="77777777" w:rsidR="006B4C87" w:rsidRPr="00925F26" w:rsidRDefault="006B4C87"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Самолет Ил-2 уступал Ил-10 только в подвижности над полем боя. На высоте 1000 м «десятка» превосходила «двойку» по скорости горизонтального полета в 1,3 раза, по диапазону рабочих скоростей - более чем в 1,4 раза, по вертикальной скорости - в 1,4-1,7 раза, по величине маневренной перегрузки - на 11,5 %</w:t>
      </w:r>
    </w:p>
    <w:p w14:paraId="031B38C3"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Как отмечали боевые летчики, «вследствие легкости управления и повышенной скорости легко замыкается круг, эффективно выполняется противозенитный маневр». Маневрирование одиночными самолетами выполнялось одновременно и по высоте, и по курсу, применялись боевые развороты, змейка, уход от цели на бреющем полете и т. д. Особенно был выгоден маневр по высоте ввиду высокой вертикальной скорости Ил-10. За один боевой разворот Ил-10 с боевой нагрузкой набирал до 600-800 м высоты. После пикирования (и сброса бомб) Ил-10 мог легко «производить вертикальную горку и резкие эволюции, делающие его похожим на истребителя». В отличие от самолета Ил-2, «при заваливании на спину Ил-10 легко выходит в нормальный полет». При плавном выводе из пикирования даже под углом 45-50° большой просадки не дает. При выполнении экипажами противозенитного маневра разрывы наблюдались позади группы, так как немецкие зенитные расчеты ориентировались на летные данные Ил-2.</w:t>
      </w:r>
    </w:p>
    <w:p w14:paraId="465D3388"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Повышенное значение маневренной перегрузки в сочетании с высокой вертикальной скоростью позволяло летчикам Ил-10 более энергично и за меньшее время выполнять боевые развороты и проходить участок ввода самолета в пикирование. Благодаря этому пространственный размах круга, например, эскадрильи Ил-10 при атаке цели с пикирования под углом 35-40° находился в пределах 2500-2700 км (дальность до цели в точке 3-го разворота), что было сравнимо с Ил-2. Одновременно с этим затруднялось ведение прицельного огня зенитными расчетами противника.</w:t>
      </w:r>
    </w:p>
    <w:p w14:paraId="008EC613"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Высокая вертикальная маневренность Ил-10 позволяла штурмовикам при полете к цели и обратно эшелонировать боевой порядок групп (четверок или шестерок) по высоте. В этом случае «превышение двух эшелонов позволяет пикированием догнать и отбить атаку противника на первую группу сзади снизу, в то время как стрелки первой группы своим огнем имеют возможность отбить атаки истребителей, атакующих замыкающих снизу-сзади».</w:t>
      </w:r>
    </w:p>
    <w:p w14:paraId="00516CF8"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При появлении истребителей противника экипажи Ил-10 становились в оборонительный круг. Атаки пилотов люфтваффе отражались ведомыми, которые энергично отворачивали в сторону истребителей, обстреливали их и затем легко занимали свое место в круге за счет «запаса скорости, маневренности и легкости в управлении».</w:t>
      </w:r>
    </w:p>
    <w:p w14:paraId="4ECE240F"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отчетных документах указывалось, что Ил-10 более скоростной и маневренный, чем Ил-2, поэтому борьбу с истребителями противника вести легче.</w:t>
      </w:r>
    </w:p>
    <w:p w14:paraId="554A411B"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В то же время, несмотря на высокую маневренность Ил-10, полет на больших скоростях при построении круга приводил к большому радиусу. По этой причине «группа из 6 самолетов Ил-10 плохо замыкает круг, а лучшей группой для работы в круге является группа 8-10 самолетов Ил-10».</w:t>
      </w:r>
    </w:p>
    <w:p w14:paraId="1CB07B3B"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Между тем возросшие скорости полета и боевого маневрирования Ил-10 затрудняли ориентировку при полете по маршруту, поиск целей на поле боя и визирование цели при атаке.</w:t>
      </w:r>
    </w:p>
    <w:p w14:paraId="397458C8"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Из-за недостаточного обзора летчику вперед и вниз ведущий группы Ил-10 при подходе к цели, как правило, оставлял цель слева от себя, «визируя» ее с доворотом на 90° и последующим пикированием под углом 30-40°.</w:t>
      </w:r>
    </w:p>
    <w:p w14:paraId="3F7EBC09"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Летный состав констатировал, что «самолет Ил-10 при пикировании не терпит резкостей в выводе, не допускает перегрузки 5,5 единицы».</w:t>
      </w:r>
    </w:p>
    <w:p w14:paraId="7C0074C4"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 xml:space="preserve">По общему мнению, для успешного боевого применения и эксплуатации Ил-10 требуется только хорошая и отличная подготовка летного состава в технике пилотирования самолетом, а также отличные знания материальной части. При этом летчики особо отмечали, что «десятка» «совершенно не терпит летного состава, недостаточно оттренированного во взлете и посадке»: «Самолет требует исключительно низкого истребительного подхода, а на взлете в первой половине разбега имеет тенденцию к рысканию, в большинстве случаев с отклонением вправо./.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/Самолет требует исключительного внимания, так как рулит неустойчиво. При невнимательном или неграмотном действии возможно вращение на 360°, и неоднократно».</w:t>
      </w:r>
    </w:p>
    <w:p w14:paraId="388C78B1"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 xml:space="preserve">Тенденция к развороту вправо обуславливалась сильным реактивным моментом вращающегося винта и узкой колеей шасси. Последнее в совокупности с недостаточным обзором вперед приводило к тому, что даже летчик с хорошей техникой пилотирования не всегда мог выдержать направление взлета, особенно с сильным боковым ветром. Чтобы взлететь при сильном боковом ветре, опытные летчики зачастую сознательно шли на нарушение инструкции: для парирования </w:t>
      </w:r>
      <w:r w:rsidRPr="00925F26">
        <w:rPr>
          <w:rStyle w:val="107"/>
          <w:rFonts w:eastAsiaTheme="minorHAnsi"/>
          <w:color w:val="000000" w:themeColor="text1"/>
          <w:sz w:val="16"/>
          <w:szCs w:val="16"/>
        </w:rPr>
        <w:lastRenderedPageBreak/>
        <w:t>разворота самолета вследствие сильного ветра кратковременно нажимали на тормоз. «Молодые» же подобных вольностей позволить себе не могли - в результате их разворачивало поперек полосы, и они прекращали взлет. С подобной особенностью Ил-10 столкнулись абсолютно во всех штурмовых авиаполках.</w:t>
      </w:r>
    </w:p>
    <w:p w14:paraId="7FFEF0F1"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Именно по этой причине лейтенант Г. А. Веселов из 571 шап 15 апреля разбил свой самолет при взлете на боевое задание.</w:t>
      </w:r>
    </w:p>
    <w:p w14:paraId="726E5B2A"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25 апреля на взлете потерпел аварию командир звена 108 гшап лейтенант Е. А. Молтаков. В начале разбега самолет развернулся вправо на 7-8°, своевременно парировать разворот летчик не смог. Самолет, выйдя с укатанной полосы правым колесом, развернулся вправо еще больше. Однако Молтаков взлет не прекратил, «дал форсаж и подорвал машину». Самолет свалился на правое крыло и скапотировал. Экипаж получил ранения и отправлен в госпиталь, а Ил-10 зав. N° 103051 - списан.</w:t>
      </w:r>
    </w:p>
    <w:p w14:paraId="0EAC3FCA"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При вылете на боевое задание 12 экипажей 118 гшап 8 мая из -за сильного бокового ветра взлететь смогли только шестерка Верещинского и пара из состава шестерки капитана Свищева - сам Свищев и помощник командира полка по воздушно-стрелковой службе майор Шагинов. Остальные прервали взлет и на боевое задание не пошли.</w:t>
      </w:r>
    </w:p>
    <w:p w14:paraId="0117E0A8"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Что касается вопросов эксплуатации Ил-10, то выявилось весьма много конструктивных дефектов. При этом ряд из них были очень и очень серьезными. Об этом говорилось выше. Конечно, это все были «детские болезни» Ил -10, как у всякого нового самолета. Здесь следует учитывать, что Ил-2 «стоял» в массовом производстве уже четыре года, соответственно его конструкция и технология изготовления были вполне доведены.</w:t>
      </w:r>
    </w:p>
    <w:p w14:paraId="0C125052" w14:textId="77777777" w:rsidR="006B4C87" w:rsidRPr="00925F26" w:rsidRDefault="006B4C87" w:rsidP="00925F26">
      <w:pPr>
        <w:jc w:val="both"/>
        <w:rPr>
          <w:color w:val="000000" w:themeColor="text1"/>
          <w:sz w:val="16"/>
          <w:szCs w:val="16"/>
        </w:rPr>
      </w:pPr>
      <w:r w:rsidRPr="00925F26">
        <w:rPr>
          <w:rStyle w:val="107"/>
          <w:rFonts w:eastAsiaTheme="minorHAnsi"/>
          <w:color w:val="000000" w:themeColor="text1"/>
          <w:sz w:val="16"/>
          <w:szCs w:val="16"/>
        </w:rPr>
        <w:t>Разумеется, при обработке статистики военного времени необходимо делать скидку на недостаточное освоение Ил-10 как летно-техническим составом, так и серийными заводами. Однако можно сделать вывод, что при переходе от Ил-2 к Ил-10 отечественная авиация выбрала «количество за счет качества». То есть в серию запустили не самый эффективный в боевом отношении самолет, а самый удобный с точки зрения быстроты налаживания массового выпуска, хотя развитие самолета штурмового типа в сторону повышения подвижности, а не пассивного наращивания брони, в целом было правильным (17490).</w:t>
      </w:r>
    </w:p>
    <w:p w14:paraId="35A0119D" w14:textId="77777777" w:rsidR="006B4C87" w:rsidRPr="00925F26" w:rsidRDefault="006B4C87" w:rsidP="00925F26">
      <w:pPr>
        <w:jc w:val="both"/>
        <w:rPr>
          <w:rStyle w:val="107"/>
          <w:rFonts w:eastAsiaTheme="minorHAnsi"/>
          <w:color w:val="000000" w:themeColor="text1"/>
          <w:sz w:val="16"/>
          <w:szCs w:val="16"/>
        </w:rPr>
      </w:pPr>
    </w:p>
    <w:p w14:paraId="58D07F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 марта 1945 г. самолет СУ-5 с задержкой из-за несвоевременной по</w:t>
      </w:r>
      <w:r w:rsidRPr="00925F26">
        <w:rPr>
          <w:color w:val="000000" w:themeColor="text1"/>
          <w:sz w:val="16"/>
          <w:szCs w:val="16"/>
        </w:rPr>
        <w:softHyphen/>
        <w:t>дачи силовой установки был передан на летно-испытательную станцию (ЛИС) завода № 134. В этот же день лет</w:t>
      </w:r>
      <w:r w:rsidRPr="00925F26">
        <w:rPr>
          <w:color w:val="000000" w:themeColor="text1"/>
          <w:sz w:val="16"/>
          <w:szCs w:val="16"/>
        </w:rPr>
        <w:softHyphen/>
        <w:t>чик-испытатель Г.И. Комаров выполнил первые рулежки, а 6 апреля, после по</w:t>
      </w:r>
      <w:r w:rsidRPr="00925F26">
        <w:rPr>
          <w:color w:val="000000" w:themeColor="text1"/>
          <w:sz w:val="16"/>
          <w:szCs w:val="16"/>
        </w:rPr>
        <w:softHyphen/>
        <w:t>лучения разрешения, состоялся пер</w:t>
      </w:r>
      <w:r w:rsidRPr="00925F26">
        <w:rPr>
          <w:color w:val="000000" w:themeColor="text1"/>
          <w:sz w:val="16"/>
          <w:szCs w:val="16"/>
        </w:rPr>
        <w:softHyphen/>
        <w:t>вый полет экспериментального истре</w:t>
      </w:r>
      <w:r w:rsidRPr="00925F26">
        <w:rPr>
          <w:color w:val="000000" w:themeColor="text1"/>
          <w:sz w:val="16"/>
          <w:szCs w:val="16"/>
        </w:rPr>
        <w:softHyphen/>
        <w:t>бителя Су-5. Начались заводские лет</w:t>
      </w:r>
      <w:r w:rsidRPr="00925F26">
        <w:rPr>
          <w:color w:val="000000" w:themeColor="text1"/>
          <w:sz w:val="16"/>
          <w:szCs w:val="16"/>
        </w:rPr>
        <w:softHyphen/>
        <w:t>ные испытания (10669).</w:t>
      </w:r>
    </w:p>
    <w:p w14:paraId="51B365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A37D7F8"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24 марта 1945 года с существенным опозданием из-за несвоевременной подачи силовой установки летный экземпляр самолета Су-5 был передан на летно-испытательную станцию завода № 134. В этот же день летчиком-испытателем Г.И. Комаровым были выполне ны первые рулежки. 6 апреля первым полетом эксперимен тального истребителя Су-5 были начаты заводские летные испытания.</w:t>
      </w:r>
    </w:p>
    <w:p w14:paraId="7B652CCB"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17 апреля 1945 г., с некоторым опозданием, была утверж дена бригада по обслуживанию летных испытаний, в которую от завода № 134 вошли: летчик-испытатель — Г.И. Комаров, ведущий инженер по самолету — С.Я. Горбунов, бортмеха ник — А.М.Зуев и моторист — И.Н. Осипенко, а ЦИАМ пред ставляли: ведущий инженер по ВРДК — А.И. Комиссаров и механик Мазанов.</w:t>
      </w:r>
    </w:p>
    <w:p w14:paraId="73745091"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Испытания самолета проводились на Тушинском аэродро ме. 15 июня из-за аварии двигателя ВК-107А испытания были прекращены. К этому моменту были выполнены 23 полета с общим налетом 8 ч. 50 мин.</w:t>
      </w:r>
    </w:p>
    <w:p w14:paraId="5043CF60"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По результатам испытаний был выпущен отчет:</w:t>
      </w:r>
    </w:p>
    <w:p w14:paraId="547763B9"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 1. Винтомоторная установка в части питания, смазки и охлаждения работает на всех режимах вполне удовлетво рительно.</w:t>
      </w:r>
    </w:p>
    <w:p w14:paraId="0339A5D9"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2. Управляемость и устойчивость самолета на различных скоростях и эволюциях — нормальная.</w:t>
      </w:r>
    </w:p>
    <w:p w14:paraId="559C300D"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3. При производстве полета на сверхмаксимальную ско рость никаких элементов срыва и вибраций не наблюдалось.</w:t>
      </w:r>
    </w:p>
    <w:p w14:paraId="63EC41BB"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79A2A010"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6EE36CB0" w14:textId="77777777" w:rsidR="00677D5F" w:rsidRPr="00925F26" w:rsidRDefault="00677D5F"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25CD84EA" w14:textId="77777777" w:rsidR="00677D5F" w:rsidRPr="00925F26" w:rsidRDefault="00677D5F" w:rsidP="00925F26">
      <w:pPr>
        <w:pStyle w:val="ae"/>
        <w:shd w:val="clear" w:color="auto" w:fill="FFFFFF"/>
        <w:spacing w:before="0" w:after="0"/>
        <w:jc w:val="both"/>
        <w:rPr>
          <w:color w:val="000000" w:themeColor="text1"/>
          <w:sz w:val="16"/>
          <w:szCs w:val="16"/>
        </w:rPr>
      </w:pPr>
    </w:p>
    <w:p w14:paraId="38623026" w14:textId="77777777" w:rsidR="006773EC" w:rsidRPr="001A0BAA" w:rsidRDefault="006773EC" w:rsidP="006773EC">
      <w:pPr>
        <w:jc w:val="both"/>
        <w:rPr>
          <w:color w:val="0070C0"/>
          <w:sz w:val="16"/>
          <w:szCs w:val="16"/>
        </w:rPr>
      </w:pPr>
      <w:r w:rsidRPr="001A0BAA">
        <w:rPr>
          <w:color w:val="0070C0"/>
          <w:sz w:val="16"/>
          <w:szCs w:val="16"/>
        </w:rPr>
        <w:t>24 марта 1945 года из-за несвоевременной подачи силовой установки летный экземпляр самолета Су-7 был передан на летно-испытательную станцию завода № 134. В этот же день летчиком-испытателем Г.И. Комаровым были выполне</w:t>
      </w:r>
      <w:r w:rsidRPr="001A0BAA">
        <w:rPr>
          <w:color w:val="0070C0"/>
          <w:sz w:val="16"/>
          <w:szCs w:val="16"/>
        </w:rPr>
        <w:softHyphen/>
        <w:t>ны первые рулежки. 6 апреля первым полетом эксперимен</w:t>
      </w:r>
      <w:r w:rsidRPr="001A0BAA">
        <w:rPr>
          <w:color w:val="0070C0"/>
          <w:sz w:val="16"/>
          <w:szCs w:val="16"/>
        </w:rPr>
        <w:softHyphen/>
        <w:t>тального истребителя Су-5 были начаты заводские летные испытания (24920).</w:t>
      </w:r>
    </w:p>
    <w:p w14:paraId="29DDEBD6" w14:textId="77777777" w:rsidR="006773EC" w:rsidRPr="001A0BAA" w:rsidRDefault="006773EC" w:rsidP="006773EC">
      <w:pPr>
        <w:jc w:val="both"/>
        <w:rPr>
          <w:color w:val="0070C0"/>
          <w:sz w:val="16"/>
          <w:szCs w:val="16"/>
        </w:rPr>
      </w:pPr>
    </w:p>
    <w:p w14:paraId="5870CA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в ходе испытаний ДБ-II-108 В.М.М. вышел из строя правый мотор из-за обрыва шатуна (3337).</w:t>
      </w:r>
    </w:p>
    <w:p w14:paraId="7A255EE7" w14:textId="77777777" w:rsidR="00665165" w:rsidRPr="00925F26" w:rsidRDefault="00665165" w:rsidP="00925F26">
      <w:pPr>
        <w:autoSpaceDE w:val="0"/>
        <w:autoSpaceDN w:val="0"/>
        <w:adjustRightInd w:val="0"/>
        <w:jc w:val="both"/>
        <w:rPr>
          <w:color w:val="000000" w:themeColor="text1"/>
          <w:sz w:val="16"/>
          <w:szCs w:val="16"/>
        </w:rPr>
      </w:pPr>
    </w:p>
    <w:p w14:paraId="06B6B3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полете 24 марта 1945 ДБ-I-108 В.М.М. вышел из строя правый мотор из-за обрыва шатуна, а 5 апреля произошла катастрофа. В этот день у заво</w:t>
      </w:r>
      <w:r w:rsidRPr="00925F26">
        <w:rPr>
          <w:color w:val="000000" w:themeColor="text1"/>
          <w:sz w:val="16"/>
          <w:szCs w:val="16"/>
        </w:rPr>
        <w:softHyphen/>
        <w:t>дского летчика-испытателя А.Г. Васильченко на высо</w:t>
      </w:r>
      <w:r w:rsidRPr="00925F26">
        <w:rPr>
          <w:color w:val="000000" w:themeColor="text1"/>
          <w:sz w:val="16"/>
          <w:szCs w:val="16"/>
        </w:rPr>
        <w:softHyphen/>
        <w:t>те 1500 м сорвало крышку капота левого двигателя и оттуда вырвалось пламя. Васильченко решил увели</w:t>
      </w:r>
      <w:r w:rsidRPr="00925F26">
        <w:rPr>
          <w:color w:val="000000" w:themeColor="text1"/>
          <w:sz w:val="16"/>
          <w:szCs w:val="16"/>
        </w:rPr>
        <w:softHyphen/>
        <w:t>чить скорость захода на посадку и тем самым спасти машину. Но случилось непредвиденное, перед само</w:t>
      </w:r>
      <w:r w:rsidRPr="00925F26">
        <w:rPr>
          <w:color w:val="000000" w:themeColor="text1"/>
          <w:sz w:val="16"/>
          <w:szCs w:val="16"/>
        </w:rPr>
        <w:softHyphen/>
        <w:t>летом «ДБ» неожиданно появился заходивший на посадку Пе-2. Пилот пытался уклониться от столкнове</w:t>
      </w:r>
      <w:r w:rsidRPr="00925F26">
        <w:rPr>
          <w:color w:val="000000" w:themeColor="text1"/>
          <w:sz w:val="16"/>
          <w:szCs w:val="16"/>
        </w:rPr>
        <w:softHyphen/>
        <w:t>ния, но «ДБ» задел правой консолью жилой дом и упал, не долетев до аэродрома. В результате катастрофы был потерян не только самолет, но и погибли ведущий инженер Л. Дьяконов и трое гражданских лиц, среди них — двое детей.</w:t>
      </w:r>
    </w:p>
    <w:p w14:paraId="2A0AC7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соответствии с приказом НКАП к 25 апреля по</w:t>
      </w:r>
      <w:r w:rsidRPr="00925F26">
        <w:rPr>
          <w:color w:val="000000" w:themeColor="text1"/>
          <w:sz w:val="16"/>
          <w:szCs w:val="16"/>
        </w:rPr>
        <w:softHyphen/>
        <w:t>строили вторую машину. На ней-то, получившей обо</w:t>
      </w:r>
      <w:r w:rsidRPr="00925F26">
        <w:rPr>
          <w:color w:val="000000" w:themeColor="text1"/>
          <w:sz w:val="16"/>
          <w:szCs w:val="16"/>
        </w:rPr>
        <w:softHyphen/>
        <w:t>значение ДБ-П-108, и продолжили летные испытания. Однако в связи с требованием ВВС об установке пол</w:t>
      </w:r>
      <w:r w:rsidRPr="00925F26">
        <w:rPr>
          <w:color w:val="000000" w:themeColor="text1"/>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w:t>
      </w:r>
    </w:p>
    <w:p w14:paraId="7AA6A4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ДБ-И 08 послужил основой для многочис</w:t>
      </w:r>
      <w:r w:rsidRPr="00925F26">
        <w:rPr>
          <w:color w:val="000000" w:themeColor="text1"/>
          <w:sz w:val="16"/>
          <w:szCs w:val="16"/>
        </w:rPr>
        <w:softHyphen/>
        <w:t>ленных проектов, последним из которых стал ДБ-1\/-108 с носовой кабиной штурмана, предложенный ВВС в мае 1945 года (11446).</w:t>
      </w:r>
    </w:p>
    <w:p w14:paraId="660484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662C2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были окончены работы по вывозу в СССР на завод 64 в Воронеж оборудования с завода Хорти Легет в Будапеште (1874,12).</w:t>
      </w:r>
    </w:p>
    <w:p w14:paraId="25D175E7" w14:textId="77777777" w:rsidR="00665165" w:rsidRPr="00925F26" w:rsidRDefault="00665165" w:rsidP="00925F26">
      <w:pPr>
        <w:autoSpaceDE w:val="0"/>
        <w:autoSpaceDN w:val="0"/>
        <w:adjustRightInd w:val="0"/>
        <w:jc w:val="both"/>
        <w:rPr>
          <w:color w:val="000000" w:themeColor="text1"/>
          <w:sz w:val="16"/>
          <w:szCs w:val="16"/>
        </w:rPr>
      </w:pPr>
    </w:p>
    <w:p w14:paraId="6FA4E9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года была подготовлена справка:</w:t>
      </w:r>
    </w:p>
    <w:p w14:paraId="249D96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Совнаркома от 21 октября 1939 года № 10726 НКАП построен в Ульяновске завод № 280 по производству авиаприборов. Завод выпускает в настоящее время готовую продукцию.</w:t>
      </w:r>
    </w:p>
    <w:p w14:paraId="4CA4B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утвердить ввод в эксплуатацию завода № 280 и разрешить включить его в число действующих предприятий НКАП (8950).</w:t>
      </w:r>
    </w:p>
    <w:p w14:paraId="65D97DC4" w14:textId="77777777" w:rsidR="00665165" w:rsidRPr="00925F26" w:rsidRDefault="00665165" w:rsidP="00925F26">
      <w:pPr>
        <w:autoSpaceDE w:val="0"/>
        <w:autoSpaceDN w:val="0"/>
        <w:adjustRightInd w:val="0"/>
        <w:jc w:val="both"/>
        <w:rPr>
          <w:color w:val="000000" w:themeColor="text1"/>
          <w:sz w:val="16"/>
          <w:szCs w:val="16"/>
        </w:rPr>
      </w:pPr>
    </w:p>
    <w:p w14:paraId="63BAA79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ABC081A" w14:textId="77777777" w:rsidR="00665165" w:rsidRPr="00925F26" w:rsidRDefault="00665165" w:rsidP="00925F26">
      <w:pPr>
        <w:autoSpaceDE w:val="0"/>
        <w:autoSpaceDN w:val="0"/>
        <w:adjustRightInd w:val="0"/>
        <w:jc w:val="both"/>
        <w:rPr>
          <w:iCs/>
          <w:color w:val="000000" w:themeColor="text1"/>
          <w:sz w:val="16"/>
          <w:szCs w:val="16"/>
        </w:rPr>
      </w:pPr>
    </w:p>
    <w:p w14:paraId="6A8F82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вышло Распоряжение ГКО № 7925. О продлении до 1 апреля 1945 г. действия графика ограничений второй очереди по Московской энергосистеме. РГАНИР, Фонд ГКО, д. 383, лл. 64 (11012).</w:t>
      </w:r>
    </w:p>
    <w:p w14:paraId="1E8B2CD2" w14:textId="77777777" w:rsidR="00665165" w:rsidRPr="00925F26" w:rsidRDefault="00665165" w:rsidP="00925F26">
      <w:pPr>
        <w:autoSpaceDE w:val="0"/>
        <w:autoSpaceDN w:val="0"/>
        <w:adjustRightInd w:val="0"/>
        <w:jc w:val="both"/>
        <w:rPr>
          <w:color w:val="000000" w:themeColor="text1"/>
          <w:sz w:val="16"/>
          <w:szCs w:val="16"/>
        </w:rPr>
      </w:pPr>
    </w:p>
    <w:p w14:paraId="5C4347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вышло Распоряжение ГКО № 7926. О дополнительном выделении топочного мазута Уфимской ТЭЦ в марте 1945 г. РГАНИР, Фонд ГКО, д. 383, лл. 65 (11012).</w:t>
      </w:r>
    </w:p>
    <w:p w14:paraId="1C2D6444" w14:textId="77777777" w:rsidR="00665165" w:rsidRPr="00925F26" w:rsidRDefault="00665165" w:rsidP="00925F26">
      <w:pPr>
        <w:autoSpaceDE w:val="0"/>
        <w:autoSpaceDN w:val="0"/>
        <w:adjustRightInd w:val="0"/>
        <w:jc w:val="both"/>
        <w:rPr>
          <w:color w:val="000000" w:themeColor="text1"/>
          <w:sz w:val="16"/>
          <w:szCs w:val="16"/>
        </w:rPr>
      </w:pPr>
    </w:p>
    <w:p w14:paraId="146C5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вышло Распоряжение ГКО № 7927. О дополнительном выделении угля Наркомтекстилю Грузинской СССР в марте 1945 г. РГАНИР, Фонд ГКО, д. 383, лл. 66 (11012).</w:t>
      </w:r>
    </w:p>
    <w:p w14:paraId="1B48D99F" w14:textId="77777777" w:rsidR="00665165" w:rsidRPr="00925F26" w:rsidRDefault="00665165" w:rsidP="00925F26">
      <w:pPr>
        <w:autoSpaceDE w:val="0"/>
        <w:autoSpaceDN w:val="0"/>
        <w:adjustRightInd w:val="0"/>
        <w:jc w:val="both"/>
        <w:rPr>
          <w:color w:val="000000" w:themeColor="text1"/>
          <w:sz w:val="16"/>
          <w:szCs w:val="16"/>
        </w:rPr>
      </w:pPr>
    </w:p>
    <w:p w14:paraId="54D1626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марта 1945 вышло Распоряжение ГКО № 7928 [О проведении дноуглубительных работ на пристани завода №419 НКНП.] (7318, 67).</w:t>
      </w:r>
    </w:p>
    <w:p w14:paraId="7FB8173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45FE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вышло Постановление ГКО № 7929 Об отгрузке Наркомчермету в третьей декаде марта 1945 г. коксующихся и энергетических углей восточных бассейнов. РГАНИР, Фонд ГКО, д. 383, лл. 68-69 (11012).</w:t>
      </w:r>
    </w:p>
    <w:p w14:paraId="7F0C617D" w14:textId="77777777" w:rsidR="00665165" w:rsidRPr="00925F26" w:rsidRDefault="00665165" w:rsidP="00925F26">
      <w:pPr>
        <w:autoSpaceDE w:val="0"/>
        <w:autoSpaceDN w:val="0"/>
        <w:adjustRightInd w:val="0"/>
        <w:jc w:val="both"/>
        <w:rPr>
          <w:color w:val="000000" w:themeColor="text1"/>
          <w:sz w:val="16"/>
          <w:szCs w:val="16"/>
        </w:rPr>
      </w:pPr>
    </w:p>
    <w:p w14:paraId="190503A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068FDD8" w14:textId="77777777" w:rsidR="00665165" w:rsidRPr="00925F26" w:rsidRDefault="00665165" w:rsidP="00925F26">
      <w:pPr>
        <w:autoSpaceDE w:val="0"/>
        <w:autoSpaceDN w:val="0"/>
        <w:adjustRightInd w:val="0"/>
        <w:jc w:val="both"/>
        <w:rPr>
          <w:iCs/>
          <w:color w:val="000000" w:themeColor="text1"/>
          <w:sz w:val="16"/>
          <w:szCs w:val="16"/>
        </w:rPr>
      </w:pPr>
    </w:p>
    <w:p w14:paraId="06DF36D1" w14:textId="77777777" w:rsidR="00B52070" w:rsidRPr="00925F26" w:rsidRDefault="00B52070" w:rsidP="00925F26">
      <w:pPr>
        <w:jc w:val="both"/>
        <w:rPr>
          <w:color w:val="000000" w:themeColor="text1"/>
          <w:sz w:val="16"/>
          <w:szCs w:val="16"/>
        </w:rPr>
      </w:pPr>
      <w:r w:rsidRPr="00925F26">
        <w:rPr>
          <w:bCs/>
          <w:color w:val="000000" w:themeColor="text1"/>
          <w:sz w:val="16"/>
          <w:szCs w:val="16"/>
        </w:rPr>
        <w:t>24 марта</w:t>
      </w:r>
      <w:r w:rsidRPr="00925F26">
        <w:rPr>
          <w:color w:val="000000" w:themeColor="text1"/>
          <w:sz w:val="16"/>
          <w:szCs w:val="16"/>
        </w:rPr>
        <w:t xml:space="preserve"> в 1945 году оперативная сводка Совинформбюро:</w:t>
      </w:r>
    </w:p>
    <w:p w14:paraId="3C46A068" w14:textId="77777777" w:rsidR="00B52070" w:rsidRPr="00925F26" w:rsidRDefault="00B52070" w:rsidP="00925F26">
      <w:pPr>
        <w:jc w:val="both"/>
        <w:rPr>
          <w:color w:val="000000" w:themeColor="text1"/>
          <w:sz w:val="16"/>
          <w:szCs w:val="16"/>
        </w:rPr>
      </w:pPr>
      <w:r w:rsidRPr="00925F26">
        <w:rPr>
          <w:color w:val="000000" w:themeColor="text1"/>
          <w:sz w:val="16"/>
          <w:szCs w:val="16"/>
        </w:rPr>
        <w:lastRenderedPageBreak/>
        <w:t>«В течение 24 марта на Данцигском направлении войска 2-го Белорусского фронта, продолжая наступление, овладели городом Прауст и заняли населённые пункты Розенберг, Лангенау, Циплау, Гишкау, Роттманнсдорф, Штрашин, Иенкау, Банкау, Хохкельпин, Клайн-Кельпин, Гольдкруг, Виттомин. В боях за 23 марта в этом районе войска фронта взяли в плен до 1.000 немецких солдат и офицеров.</w:t>
      </w:r>
    </w:p>
    <w:p w14:paraId="7C847D42"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24 марта овладели в Силезии, западнее Одера, городами Нейссе и Леобшютц— сильными опорными пунктами обороны немцев, а также заняли населённые пункты Гисмансдорф, Митлер-Нойланд, Хайдау, Линдевизе, Шнеллевальде.</w:t>
      </w:r>
    </w:p>
    <w:p w14:paraId="01C6581F"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3-го Украинского фронта, отразив атаки одиннадцати танковых дивизий немцев юго-западнее Будапешта и измотав их в оборонительных боях, перешли потом в наступление, разгромили танковую группу немцев и продвинулись вперёд на 70 километров на фронте протяжением более 100 километров.</w:t>
      </w:r>
    </w:p>
    <w:p w14:paraId="312F5C94" w14:textId="77777777" w:rsidR="00B52070" w:rsidRPr="00925F26" w:rsidRDefault="00B52070" w:rsidP="00925F26">
      <w:pPr>
        <w:jc w:val="both"/>
        <w:rPr>
          <w:color w:val="000000" w:themeColor="text1"/>
          <w:sz w:val="16"/>
          <w:szCs w:val="16"/>
        </w:rPr>
      </w:pPr>
      <w:r w:rsidRPr="00925F26">
        <w:rPr>
          <w:color w:val="000000" w:themeColor="text1"/>
          <w:sz w:val="16"/>
          <w:szCs w:val="16"/>
        </w:rPr>
        <w:t>В ходе наступления наши войска овладели городами Секешфехервар, Мор, Зирез, Веспрем, Эньинг, а также заняли более 350 других населённых пунктов, среди которых крупные населённые пункты Вертешкетхель, Реде, Баконьсентласло, Чеснэк, Марко, Сенткиральсабадья, Балатоналмадь, Балатонкенеше.</w:t>
      </w:r>
    </w:p>
    <w:p w14:paraId="00FF5FE8"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фронта в этих боях взяли в плен более 6.000 солдат и офицеров противника, уничтожили и захватили 745 танков и самоходных орудий, более 800 орудий и много другого вооружения и военного имущества. Противник потерял только убитыми более 70.000 солдат и офицеров.</w:t>
      </w:r>
    </w:p>
    <w:p w14:paraId="600EEBFF" w14:textId="77777777" w:rsidR="00B52070" w:rsidRPr="00925F26" w:rsidRDefault="00B52070" w:rsidP="00925F26">
      <w:pPr>
        <w:jc w:val="both"/>
        <w:rPr>
          <w:color w:val="000000" w:themeColor="text1"/>
          <w:sz w:val="16"/>
          <w:szCs w:val="16"/>
        </w:rPr>
      </w:pPr>
      <w:r w:rsidRPr="00925F26">
        <w:rPr>
          <w:color w:val="000000" w:themeColor="text1"/>
          <w:sz w:val="16"/>
          <w:szCs w:val="16"/>
        </w:rPr>
        <w:t>В числе одиннадцати танковых дивизий противника разгромлены четыре танковые дивизии, входящие в состав 6-й немецкой танковой армии СС, переброшенной с Западного фронта.</w:t>
      </w:r>
    </w:p>
    <w:p w14:paraId="37806FA1" w14:textId="77777777" w:rsidR="00B52070" w:rsidRPr="00925F26" w:rsidRDefault="00B52070" w:rsidP="00925F26">
      <w:pPr>
        <w:jc w:val="both"/>
        <w:rPr>
          <w:color w:val="000000" w:themeColor="text1"/>
          <w:sz w:val="16"/>
          <w:szCs w:val="16"/>
        </w:rPr>
      </w:pPr>
      <w:r w:rsidRPr="00925F26">
        <w:rPr>
          <w:color w:val="000000" w:themeColor="text1"/>
          <w:sz w:val="16"/>
          <w:szCs w:val="16"/>
        </w:rPr>
        <w:t>За 23 марта на всех фронтах подбито и уничтожено 204 немецких танка и самоходных орудия. В воздушных боях и огнём зенитной артиллерии сбито 107 самолётов противника.</w:t>
      </w:r>
    </w:p>
    <w:p w14:paraId="55473832" w14:textId="77777777" w:rsidR="00B52070" w:rsidRPr="00925F26" w:rsidRDefault="00B52070" w:rsidP="00925F26">
      <w:pPr>
        <w:jc w:val="both"/>
        <w:rPr>
          <w:color w:val="000000" w:themeColor="text1"/>
          <w:sz w:val="16"/>
          <w:szCs w:val="16"/>
        </w:rPr>
      </w:pPr>
      <w:r w:rsidRPr="00925F26">
        <w:rPr>
          <w:color w:val="000000" w:themeColor="text1"/>
          <w:sz w:val="16"/>
          <w:szCs w:val="16"/>
        </w:rPr>
        <w:t>Налёт нашей авиации на железнодорожный узел Моравска Острава в Чехословакии</w:t>
      </w:r>
    </w:p>
    <w:p w14:paraId="2843C5A9" w14:textId="77777777" w:rsidR="00B52070" w:rsidRPr="00925F26" w:rsidRDefault="00B52070" w:rsidP="00925F26">
      <w:pPr>
        <w:jc w:val="both"/>
        <w:rPr>
          <w:color w:val="000000" w:themeColor="text1"/>
          <w:sz w:val="16"/>
          <w:szCs w:val="16"/>
        </w:rPr>
      </w:pPr>
      <w:r w:rsidRPr="00925F26">
        <w:rPr>
          <w:color w:val="000000" w:themeColor="text1"/>
          <w:sz w:val="16"/>
          <w:szCs w:val="16"/>
        </w:rPr>
        <w:t>В ночь на 24 марта наши тяжёлые бомбардировщики нанесли удар по железнодорожному узлу Моравска Острава в Чехословакии. В результате бомбардировки на территории узла возникли пожары, сопровождавшиеся сильными взрывами.</w:t>
      </w:r>
    </w:p>
    <w:p w14:paraId="4B02A2A9" w14:textId="77777777" w:rsidR="00B52070" w:rsidRPr="00925F26" w:rsidRDefault="00B52070" w:rsidP="00925F26">
      <w:pPr>
        <w:jc w:val="both"/>
        <w:rPr>
          <w:color w:val="000000" w:themeColor="text1"/>
          <w:sz w:val="16"/>
          <w:szCs w:val="16"/>
        </w:rPr>
      </w:pPr>
      <w:r w:rsidRPr="00925F26">
        <w:rPr>
          <w:color w:val="000000" w:themeColor="text1"/>
          <w:sz w:val="16"/>
          <w:szCs w:val="16"/>
        </w:rPr>
        <w:t>Удар авиации Краснознамённого Балтийского флота по немецким транспортам.</w:t>
      </w:r>
    </w:p>
    <w:p w14:paraId="3F270510" w14:textId="77777777" w:rsidR="00B52070" w:rsidRPr="00925F26" w:rsidRDefault="00B52070" w:rsidP="00925F26">
      <w:pPr>
        <w:jc w:val="both"/>
        <w:rPr>
          <w:color w:val="000000" w:themeColor="text1"/>
          <w:sz w:val="16"/>
          <w:szCs w:val="16"/>
        </w:rPr>
      </w:pPr>
      <w:r w:rsidRPr="00925F26">
        <w:rPr>
          <w:color w:val="000000" w:themeColor="text1"/>
          <w:sz w:val="16"/>
          <w:szCs w:val="16"/>
        </w:rPr>
        <w:t>22 марта авиация Краснознамённого Балтийского флота нанесла удар по немецким транспортам в районе портов Данциг, Гдыня и Пиллау. В результате бомбардировки потоплены в районе портов Данциг и Гдыня — 6 немецких транспортов общим водоизмещением в 34.000 тонн и два сторожевых корабля; в порту Пиллау — один транспорт водоизмещением в 3.000 тонн.</w:t>
      </w:r>
    </w:p>
    <w:p w14:paraId="56F9FE38" w14:textId="77777777" w:rsidR="00B52070" w:rsidRPr="00925F26" w:rsidRDefault="00B52070" w:rsidP="00925F26">
      <w:pPr>
        <w:jc w:val="both"/>
        <w:rPr>
          <w:color w:val="000000" w:themeColor="text1"/>
          <w:sz w:val="16"/>
          <w:szCs w:val="16"/>
        </w:rPr>
      </w:pPr>
      <w:r w:rsidRPr="00925F26">
        <w:rPr>
          <w:color w:val="000000" w:themeColor="text1"/>
          <w:sz w:val="16"/>
          <w:szCs w:val="16"/>
        </w:rPr>
        <w:t>На Данцигском направлении наши войска продолжали наступление. Противник упорно сопротивляется и за день предпринял свыше двадцати контратак. Южнее Данцига советские части, наступающие в северном направлении, заняли ряд опорных пунктов. Ударами с юга и запада наши войска разгромили вражеский гарнизон и овладели городом Прауст — узлом железных и шоссейных дорог. Западнее Данцига советские пехотинцы и артиллеристы ведут бои во второй полосе укреплённого района. Занят крупный населённый пункт Клайн-Кельпин. Юго-западнее Гдыни наши войска преодолели многочисленные инженерные препятствия, в том числе проволочные заграждения, находящиеся под электрическим током, и выбили немцев из Виттоминна — опорного пункта, расположенного в двух километрах от Гдыни. Захвачено много трофеев, в том числе 500 железнодорожных вагонов с боеприпасами, вооружением и снаряжением.</w:t>
      </w:r>
    </w:p>
    <w:p w14:paraId="4F9A8827" w14:textId="77777777" w:rsidR="00B52070" w:rsidRPr="00925F26" w:rsidRDefault="00B52070" w:rsidP="00925F26">
      <w:pPr>
        <w:jc w:val="both"/>
        <w:rPr>
          <w:color w:val="000000" w:themeColor="text1"/>
          <w:sz w:val="16"/>
          <w:szCs w:val="16"/>
        </w:rPr>
      </w:pPr>
      <w:r w:rsidRPr="00925F26">
        <w:rPr>
          <w:color w:val="000000" w:themeColor="text1"/>
          <w:sz w:val="16"/>
          <w:szCs w:val="16"/>
        </w:rPr>
        <w:t>В Данцигской бухте наша авиация потопила немецкий военный корабль. На другом военном корабле возник пожар. В результате прямого попадания бомб повреждено 5 транспортов противника.</w:t>
      </w:r>
    </w:p>
    <w:p w14:paraId="766629E4"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вчера завязали бои за сильный опорный пункт обороны немцев город Нейссе. Советские бойцы после упорных уличных боёв заняли северо-западную часть города. Подтянув резервы, немцы пытались восстановить положение, но успеха не добились. Усиливая нажим, наши войска ворвались в юго-восточную часть города и очистили её от противника. Город Нейссе является важным узлом путей сообщения. К нему сходятся четыре железные и несколько шоссейных дорог. В Нейссе захвачены большие военные склады немцев. На другом участке гитлеровцы упорно обороняли промышленный город Леобшютц. Они перебросили на этот участок свежую пехотную дивизию и неоднократно переходили в контратаки. Наши подразделения, настойчиво продвигаясь вперёд, обошли город с севера, востока и юга и зажали противника в клещи. Затем советские пехотинцы и танкисты предприняли атаку и овладели городом Леобшютц. За день боёв уничтожено и подбито 57 немецких танков и 16 бронетранспортёров. Взято в плен 350 солдат и офицеров противника.</w:t>
      </w:r>
    </w:p>
    <w:p w14:paraId="4861F4FB"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3-го Украинского фронта перешли в наступление в районе юго-западнее Будапешта. В начале марта противник сосредоточил в этом районе одиннадцать отборных танковых дивизий, в том числе дивизии 6-й танковой армии СС, переброшенной с Западного фронта. Перейдя в наступление, немцы бросили в бой сотни танков, самоходных орудий, бронетранспортёров, огромное число артиллерии, авиации и крупные силы пехоты. Они рассчитывали разгромить советские войска, с хода форсировать Дунай и захватить на его восточном берегу плацдармы для развития дальнейших операций.</w:t>
      </w:r>
    </w:p>
    <w:p w14:paraId="71002369" w14:textId="77777777" w:rsidR="00B52070" w:rsidRPr="00925F26" w:rsidRDefault="00B52070" w:rsidP="00925F26">
      <w:pPr>
        <w:jc w:val="both"/>
        <w:rPr>
          <w:color w:val="000000" w:themeColor="text1"/>
          <w:sz w:val="16"/>
          <w:szCs w:val="16"/>
        </w:rPr>
      </w:pPr>
      <w:r w:rsidRPr="00925F26">
        <w:rPr>
          <w:color w:val="000000" w:themeColor="text1"/>
          <w:sz w:val="16"/>
          <w:szCs w:val="16"/>
        </w:rPr>
        <w:t>Наши войска в ожесточённых оборонительных сражениях измотали противника, нанесли ему огромные потери и сорвали планы немецкого командования. Вслед за этим войска 3-го Украинского фронта сами перешли в наступление. Советская пехота после мощной артиллерийской подготовки атаковала немцев и прорвала их сильно укреплённую оборону. Затем в прорыв были введены наши подвижные соединения. Советские войска, стремительно продвинувшись вперёд, выбили противника из города Мор. Другие наши части завязали бои за город Секешфехервар. Немцы превратили этот город в важнейший опорный пункт своей обороны. На подступах к городу они построили много дотов и дзотов. Во всех каменных домах были оборудованы огневые точки. Советские танкисты и пехотинцы в ожесточённых уличных боях разгромили крупный вражеский гарнизон и овладели городам Секешфехервар — узлом шести железных дорог. Особенно упорно немцы обороняли важный железнодорожный узел и город Веспрем. В районе города они бросили в контратаки свыше 100 танков, в большинстве типа «Королевский тигр» и «Пантера». Однако все попытки противника задержать наши наступающие части потерпели неудачу. Решительными и умелыми действиями войска фронта разгромили танковую группу немцев. Город Веспрем в результате обходного манёвра и атаки с фронта очищен от гитлеровцев. В ходе боёв противник несёт огромные потери. Только вчера уничтожено более 4 тысяч немецких солдат и офицеров. В течение дня советские части захватили у немцев 61 танк, 6 бронетранспортёров, 76 орудий, сотни пулемётов, автоматов, более 300 автомашин и другие трофеи.» (15078).</w:t>
      </w:r>
    </w:p>
    <w:p w14:paraId="2D5B785E" w14:textId="77777777" w:rsidR="00B52070" w:rsidRPr="00925F26" w:rsidRDefault="00B52070" w:rsidP="00925F26">
      <w:pPr>
        <w:jc w:val="both"/>
        <w:rPr>
          <w:color w:val="000000" w:themeColor="text1"/>
          <w:sz w:val="16"/>
          <w:szCs w:val="16"/>
        </w:rPr>
      </w:pPr>
    </w:p>
    <w:p w14:paraId="2925867E" w14:textId="77777777" w:rsidR="00B52070" w:rsidRPr="00925F26" w:rsidRDefault="00B52070" w:rsidP="00925F26">
      <w:pPr>
        <w:jc w:val="both"/>
        <w:rPr>
          <w:color w:val="000000" w:themeColor="text1"/>
          <w:sz w:val="16"/>
          <w:szCs w:val="16"/>
        </w:rPr>
      </w:pPr>
      <w:r w:rsidRPr="00925F26">
        <w:rPr>
          <w:bCs/>
          <w:color w:val="000000" w:themeColor="text1"/>
          <w:sz w:val="16"/>
          <w:szCs w:val="16"/>
        </w:rPr>
        <w:t>24 марта</w:t>
      </w:r>
      <w:r w:rsidRPr="00925F26">
        <w:rPr>
          <w:color w:val="000000" w:themeColor="text1"/>
          <w:sz w:val="16"/>
          <w:szCs w:val="16"/>
        </w:rPr>
        <w:t xml:space="preserve"> в 1945 году началась Братиславско-Брновская наступательная операция советских войск. Проводилась войсками 2-го Украинского фронта (Маршал Советского Союза Р.Я.Малиновский) при участии Дунайской военной флотилии (контр-адмирал Г.Н.Холостяков). Завершилась 5 мая. В результате этой операции было завершено освобождение Словакии от немецко-фашистских захватчиков (15078).</w:t>
      </w:r>
    </w:p>
    <w:p w14:paraId="1FA5492C" w14:textId="77777777" w:rsidR="00B52070" w:rsidRPr="00925F26" w:rsidRDefault="00B52070" w:rsidP="00925F26">
      <w:pPr>
        <w:jc w:val="both"/>
        <w:rPr>
          <w:color w:val="000000" w:themeColor="text1"/>
          <w:sz w:val="16"/>
          <w:szCs w:val="16"/>
        </w:rPr>
      </w:pPr>
    </w:p>
    <w:p w14:paraId="22F4D5B5" w14:textId="77777777" w:rsidR="00B52070" w:rsidRPr="00925F26" w:rsidRDefault="00B52070" w:rsidP="00925F26">
      <w:pPr>
        <w:jc w:val="both"/>
        <w:rPr>
          <w:color w:val="000000" w:themeColor="text1"/>
          <w:sz w:val="16"/>
          <w:szCs w:val="16"/>
        </w:rPr>
      </w:pPr>
      <w:r w:rsidRPr="00925F26">
        <w:rPr>
          <w:bCs/>
          <w:color w:val="000000" w:themeColor="text1"/>
          <w:sz w:val="16"/>
          <w:szCs w:val="16"/>
        </w:rPr>
        <w:t>24 марта</w:t>
      </w:r>
      <w:r w:rsidRPr="00925F26">
        <w:rPr>
          <w:color w:val="000000" w:themeColor="text1"/>
          <w:sz w:val="16"/>
          <w:szCs w:val="16"/>
        </w:rPr>
        <w:t xml:space="preserve"> в 1945 году 4-я советская гвардейская танковая армия (5-й гвардейский механизированный и 10-й гвардейский танковый корпуса) во взаимодействии с 60-й армией нанесли удар по району немецких городов Ратибор, Егерндорф и Троппау (совр. территория Польши). Им противостояли следующие немецкие части: 75ПД, 78ПД, 8ТД, ТД ''Охрана Фюрера'', 100ЛПД части 16ТД и 17ТД. Высадка 17-й американской и 6-й английской воздушно-десантных дивизий (всего около 17 000 чел., 614 единиц бронетехники, 286 орудий и минометов) в нижнем течение Рейна под прикрытием 2 753 самолетов (15078).</w:t>
      </w:r>
    </w:p>
    <w:p w14:paraId="25B7477D" w14:textId="77777777" w:rsidR="00B52070" w:rsidRPr="00925F26" w:rsidRDefault="00B52070" w:rsidP="00925F26">
      <w:pPr>
        <w:jc w:val="both"/>
        <w:rPr>
          <w:color w:val="000000" w:themeColor="text1"/>
          <w:sz w:val="16"/>
          <w:szCs w:val="16"/>
        </w:rPr>
      </w:pPr>
    </w:p>
    <w:p w14:paraId="033E4B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24-25 марта 1945 согласно сообщению Совинформбюро авиация БФ нанесла удары по кораблям и севернее Гданьска и в Пилау потопили п/л, плавучий док, три сторожевика и 11 транспортов водоизмещением 67000 т (438,935).</w:t>
      </w:r>
    </w:p>
    <w:p w14:paraId="07F16C1A" w14:textId="77777777" w:rsidR="00665165" w:rsidRPr="00925F26" w:rsidRDefault="00665165" w:rsidP="00925F26">
      <w:pPr>
        <w:autoSpaceDE w:val="0"/>
        <w:autoSpaceDN w:val="0"/>
        <w:adjustRightInd w:val="0"/>
        <w:jc w:val="both"/>
        <w:rPr>
          <w:color w:val="000000" w:themeColor="text1"/>
          <w:sz w:val="16"/>
          <w:szCs w:val="16"/>
        </w:rPr>
      </w:pPr>
    </w:p>
    <w:p w14:paraId="53CCDCD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марта 1945 4-я советская гвардейская танковая армия (5-й гвардейский механизированный и 10-й гвардейский танковый корпуса) во взаимодействии с 60-й армией нанесли удар по району немецких городов Ратибор, Егерндорф и Троппау (совр. территория Польши). Им противостояли следующие немецкие части: 75ПД, 78ПД, 8ТД, ТД ''Охрана Фюрера'', 100ЛПД части 16ТД и 17ТД. Высадка 17-й американской и 6-й английской воздушно-десантных дивизий (всего около 17 000 чел., 614 единиц бронетехники, 286 орудий и минометов) в нижнем течение Рейна под прикрытием 2 753 самолетов (</w:t>
      </w:r>
      <w:proofErr w:type="gramStart"/>
      <w:r w:rsidRPr="00925F26">
        <w:rPr>
          <w:color w:val="000000" w:themeColor="text1"/>
          <w:sz w:val="16"/>
          <w:szCs w:val="16"/>
        </w:rPr>
        <w:t>4963 )</w:t>
      </w:r>
      <w:proofErr w:type="gramEnd"/>
      <w:r w:rsidRPr="00925F26">
        <w:rPr>
          <w:color w:val="000000" w:themeColor="text1"/>
          <w:sz w:val="16"/>
          <w:szCs w:val="16"/>
        </w:rPr>
        <w:t>.</w:t>
      </w:r>
    </w:p>
    <w:p w14:paraId="7541FCB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87EA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24 марта 1945 года летчик Подьячий добился "юбилейной", двухсотой, победы 1-го гвардейского полка. На торпедоносцах этою полка устанавливались первые советские бортовые локаторы тина "Гнейс-2М", предназначенные для обнаружения морских надводных целей. По предложению старшего инженера ВВС Балтийского </w:t>
      </w:r>
      <w:proofErr w:type="gramStart"/>
      <w:r w:rsidRPr="00925F26">
        <w:rPr>
          <w:color w:val="000000" w:themeColor="text1"/>
          <w:sz w:val="16"/>
          <w:szCs w:val="16"/>
        </w:rPr>
        <w:t>флота</w:t>
      </w:r>
      <w:proofErr w:type="gramEnd"/>
      <w:r w:rsidRPr="00925F26">
        <w:rPr>
          <w:color w:val="000000" w:themeColor="text1"/>
          <w:sz w:val="16"/>
          <w:szCs w:val="16"/>
        </w:rPr>
        <w:t xml:space="preserve"> но радиолокации А.А. Бубнова на пяти машинах смонтировали РЛС, полученные со складов флота. Сначала их опробовали па Ладоге: берег обнаруживался за 90 км, а баржа с буксиром - за 20 (3457,109).</w:t>
      </w:r>
    </w:p>
    <w:p w14:paraId="1C4A151A" w14:textId="77777777" w:rsidR="00665165" w:rsidRPr="00925F26" w:rsidRDefault="00665165" w:rsidP="00925F26">
      <w:pPr>
        <w:autoSpaceDE w:val="0"/>
        <w:autoSpaceDN w:val="0"/>
        <w:adjustRightInd w:val="0"/>
        <w:jc w:val="both"/>
        <w:rPr>
          <w:color w:val="000000" w:themeColor="text1"/>
          <w:sz w:val="16"/>
          <w:szCs w:val="16"/>
        </w:rPr>
      </w:pPr>
    </w:p>
    <w:p w14:paraId="611840D0" w14:textId="77777777" w:rsidR="00BA2B8F" w:rsidRPr="00925F26" w:rsidRDefault="00BA2B8F" w:rsidP="00925F26">
      <w:pPr>
        <w:jc w:val="both"/>
        <w:rPr>
          <w:color w:val="000000" w:themeColor="text1"/>
          <w:sz w:val="16"/>
          <w:szCs w:val="16"/>
        </w:rPr>
      </w:pPr>
      <w:r w:rsidRPr="00925F26">
        <w:rPr>
          <w:color w:val="000000" w:themeColor="text1"/>
          <w:sz w:val="16"/>
          <w:szCs w:val="16"/>
        </w:rPr>
        <w:t>24 марта 1945 года Указом Президиума Верховного Совета СССР было присвоено звание Героя Советского Союза (посмертно) командиру Т-34 6-й гвардейской танковой армии гвардии старшему сержанту Михаилу Космачеву. В наградном листе говорилось:</w:t>
      </w:r>
    </w:p>
    <w:p w14:paraId="7A7B5881" w14:textId="77777777" w:rsidR="00BA2B8F" w:rsidRPr="00925F26" w:rsidRDefault="00BA2B8F" w:rsidP="00925F26">
      <w:pPr>
        <w:jc w:val="both"/>
        <w:rPr>
          <w:color w:val="000000" w:themeColor="text1"/>
          <w:sz w:val="16"/>
          <w:szCs w:val="16"/>
        </w:rPr>
      </w:pPr>
      <w:r w:rsidRPr="00925F26">
        <w:rPr>
          <w:color w:val="000000" w:themeColor="text1"/>
          <w:sz w:val="16"/>
          <w:szCs w:val="16"/>
        </w:rPr>
        <w:t>«Гвардии ст. сержант Космачев показал мужество и отвагу в бою. Так, в боях за город Вырлад, будучи в засаде, со своим экипажем уничтожил 3 самоходные установки и танк Т-1У противника. В бою за город Фокшаны его экипаж уничтожил самоходку, два тяжелых орудия, до 120 человек пехоты, захватил 8 исправных минометов, 400 винтовок, 10 ручных пулеметов. В бою за город Бызед экипаж его танка уничтожил 3 средних пушки, 2 самоходные установки и до 300 солдат и офицеров противника. В городе Бызед наши три танка, в том числе и танк Космачева, захватили 3 эшелона с автомашинами и вездеходами. Его экипаж первым прорвался к мосту через реку Серет, там уничтожил батарею средних пушек, рассеял колонну танков и автомашин и до подхода основных сил прочно удерживал мост. В бою за селение Рыфов им уничтожен вражеский гарнизон, захвачено 6 исправных пушек, прожектор и три склада с боеприпасами.</w:t>
      </w:r>
    </w:p>
    <w:p w14:paraId="68FF511C" w14:textId="77777777" w:rsidR="00BA2B8F" w:rsidRPr="00925F26" w:rsidRDefault="00BA2B8F" w:rsidP="00925F26">
      <w:pPr>
        <w:jc w:val="both"/>
        <w:rPr>
          <w:color w:val="000000" w:themeColor="text1"/>
          <w:sz w:val="16"/>
          <w:szCs w:val="16"/>
        </w:rPr>
      </w:pPr>
      <w:r w:rsidRPr="00925F26">
        <w:rPr>
          <w:color w:val="000000" w:themeColor="text1"/>
          <w:sz w:val="16"/>
          <w:szCs w:val="16"/>
        </w:rPr>
        <w:t>Достоин присвоения звания Героя Советского Союза».</w:t>
      </w:r>
    </w:p>
    <w:p w14:paraId="25D78FF1" w14:textId="77777777" w:rsidR="00BA2B8F" w:rsidRPr="00925F26" w:rsidRDefault="00BA2B8F" w:rsidP="00925F26">
      <w:pPr>
        <w:jc w:val="both"/>
        <w:rPr>
          <w:color w:val="000000" w:themeColor="text1"/>
          <w:sz w:val="16"/>
          <w:szCs w:val="16"/>
        </w:rPr>
      </w:pPr>
      <w:r w:rsidRPr="00925F26">
        <w:rPr>
          <w:color w:val="000000" w:themeColor="text1"/>
          <w:sz w:val="16"/>
          <w:szCs w:val="16"/>
        </w:rPr>
        <w:t>13 декабря 1944 года гвардии старший сержант Космачев погиб в бою на территории Венгрии (12217).</w:t>
      </w:r>
    </w:p>
    <w:p w14:paraId="59B9D230" w14:textId="77777777" w:rsidR="00BA2B8F" w:rsidRPr="00925F26" w:rsidRDefault="00BA2B8F" w:rsidP="00925F26">
      <w:pPr>
        <w:jc w:val="both"/>
        <w:rPr>
          <w:color w:val="000000" w:themeColor="text1"/>
          <w:sz w:val="16"/>
          <w:szCs w:val="16"/>
        </w:rPr>
      </w:pPr>
    </w:p>
    <w:p w14:paraId="48C159C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C9DCEB5" w14:textId="77777777" w:rsidR="00665165" w:rsidRPr="00925F26" w:rsidRDefault="00665165" w:rsidP="00925F26">
      <w:pPr>
        <w:autoSpaceDE w:val="0"/>
        <w:autoSpaceDN w:val="0"/>
        <w:adjustRightInd w:val="0"/>
        <w:jc w:val="both"/>
        <w:rPr>
          <w:iCs/>
          <w:color w:val="000000" w:themeColor="text1"/>
          <w:sz w:val="16"/>
          <w:szCs w:val="16"/>
        </w:rPr>
      </w:pPr>
    </w:p>
    <w:p w14:paraId="0D0FBE10" w14:textId="2CF207C2" w:rsidR="00B52070" w:rsidRPr="00925F26" w:rsidRDefault="00B52070" w:rsidP="00925F26">
      <w:pPr>
        <w:jc w:val="both"/>
        <w:rPr>
          <w:color w:val="000000" w:themeColor="text1"/>
          <w:sz w:val="16"/>
          <w:szCs w:val="16"/>
        </w:rPr>
      </w:pPr>
      <w:r w:rsidRPr="00925F26">
        <w:rPr>
          <w:color w:val="000000" w:themeColor="text1"/>
          <w:sz w:val="16"/>
          <w:szCs w:val="16"/>
        </w:rPr>
        <w:t xml:space="preserve">24 марта в 1945 году проведена </w:t>
      </w:r>
      <w:hyperlink r:id="rId80" w:tgtFrame="_blank" w:history="1">
        <w:r w:rsidRPr="00925F26">
          <w:rPr>
            <w:color w:val="000000" w:themeColor="text1"/>
            <w:sz w:val="16"/>
            <w:szCs w:val="16"/>
          </w:rPr>
          <w:t xml:space="preserve">"Варсити" </w:t>
        </w:r>
      </w:hyperlink>
      <w:r w:rsidRPr="00925F26">
        <w:rPr>
          <w:color w:val="000000" w:themeColor="text1"/>
          <w:sz w:val="16"/>
          <w:szCs w:val="16"/>
        </w:rPr>
        <w:t>по выброске десанта вглубь Германии. Операция "Варсити": свыше 1600 самолетов «С-47» и 1300 планеров "Вакос", "Хорс" и "Гамилькар" высаживают за Рейном в районе Везеля 20 тысяч солдат и офицеров 17-й воздушно-десантной дивизии США и 6-й британской воздушно-десантной дивизии. 13-я воздушно-десантная дивизия США в операции не участвует - нет достаточного количества самолетов. Цена победы - около 2500 парашютистов и планеристов убитыми (больше, чем потеряли 82-я и 101-я воздушно-десантные дивизии в первый день генерального наступления). Союзные</w:t>
      </w:r>
      <w:r w:rsidR="00EA0CFB" w:rsidRPr="00925F26">
        <w:rPr>
          <w:color w:val="000000" w:themeColor="text1"/>
          <w:sz w:val="16"/>
          <w:szCs w:val="16"/>
        </w:rPr>
        <w:t xml:space="preserve"> </w:t>
      </w:r>
      <w:r w:rsidRPr="00925F26">
        <w:rPr>
          <w:color w:val="000000" w:themeColor="text1"/>
          <w:sz w:val="16"/>
          <w:szCs w:val="16"/>
        </w:rPr>
        <w:t>войска</w:t>
      </w:r>
      <w:r w:rsidR="00EA0CFB" w:rsidRPr="00925F26">
        <w:rPr>
          <w:color w:val="000000" w:themeColor="text1"/>
          <w:sz w:val="16"/>
          <w:szCs w:val="16"/>
        </w:rPr>
        <w:t xml:space="preserve"> </w:t>
      </w:r>
      <w:r w:rsidRPr="00925F26">
        <w:rPr>
          <w:color w:val="000000" w:themeColor="text1"/>
          <w:sz w:val="16"/>
          <w:szCs w:val="16"/>
        </w:rPr>
        <w:t>форсировали</w:t>
      </w:r>
      <w:r w:rsidR="00EA0CFB" w:rsidRPr="00925F26">
        <w:rPr>
          <w:color w:val="000000" w:themeColor="text1"/>
          <w:sz w:val="16"/>
          <w:szCs w:val="16"/>
        </w:rPr>
        <w:t xml:space="preserve"> </w:t>
      </w:r>
      <w:r w:rsidRPr="00925F26">
        <w:rPr>
          <w:color w:val="000000" w:themeColor="text1"/>
          <w:sz w:val="16"/>
          <w:szCs w:val="16"/>
        </w:rPr>
        <w:t>Рейн (15078).</w:t>
      </w:r>
    </w:p>
    <w:p w14:paraId="2FFB2A27" w14:textId="77777777" w:rsidR="00B52070" w:rsidRPr="00925F26" w:rsidRDefault="00B52070" w:rsidP="00925F26">
      <w:pPr>
        <w:jc w:val="both"/>
        <w:rPr>
          <w:color w:val="000000" w:themeColor="text1"/>
          <w:sz w:val="16"/>
          <w:szCs w:val="16"/>
        </w:rPr>
      </w:pPr>
    </w:p>
    <w:p w14:paraId="7D80105A" w14:textId="77777777" w:rsidR="00EA0CFB" w:rsidRPr="00925F26" w:rsidRDefault="00EA0CFB" w:rsidP="00925F26">
      <w:pPr>
        <w:jc w:val="both"/>
        <w:rPr>
          <w:color w:val="000000" w:themeColor="text1"/>
          <w:sz w:val="16"/>
          <w:szCs w:val="16"/>
          <w:lang w:val="en-US"/>
        </w:rPr>
      </w:pPr>
      <w:r w:rsidRPr="00925F26">
        <w:rPr>
          <w:color w:val="000000" w:themeColor="text1"/>
          <w:sz w:val="16"/>
          <w:szCs w:val="16"/>
        </w:rPr>
        <w:t>24 марта 1945 Союзнические силы начинают крупномасштабное форсирование реки Рейн в ходе операции «Университетская</w:t>
      </w:r>
      <w:proofErr w:type="gramStart"/>
      <w:r w:rsidRPr="00925F26">
        <w:rPr>
          <w:color w:val="000000" w:themeColor="text1"/>
          <w:sz w:val="16"/>
          <w:szCs w:val="16"/>
        </w:rPr>
        <w:t>» .</w:t>
      </w:r>
      <w:proofErr w:type="gramEnd"/>
      <w:r w:rsidRPr="00925F26">
        <w:rPr>
          <w:color w:val="000000" w:themeColor="text1"/>
          <w:sz w:val="16"/>
          <w:szCs w:val="16"/>
        </w:rPr>
        <w:t xml:space="preserve"> В</w:t>
      </w:r>
      <w:r w:rsidRPr="00925F26">
        <w:rPr>
          <w:color w:val="000000" w:themeColor="text1"/>
          <w:sz w:val="16"/>
          <w:szCs w:val="16"/>
          <w:lang w:val="en-US"/>
        </w:rPr>
        <w:t xml:space="preserve"> </w:t>
      </w:r>
      <w:r w:rsidRPr="00925F26">
        <w:rPr>
          <w:color w:val="000000" w:themeColor="text1"/>
          <w:sz w:val="16"/>
          <w:szCs w:val="16"/>
        </w:rPr>
        <w:t>операции</w:t>
      </w:r>
      <w:r w:rsidRPr="00925F26">
        <w:rPr>
          <w:color w:val="000000" w:themeColor="text1"/>
          <w:sz w:val="16"/>
          <w:szCs w:val="16"/>
          <w:lang w:val="en-US"/>
        </w:rPr>
        <w:t xml:space="preserve"> </w:t>
      </w:r>
      <w:r w:rsidRPr="00925F26">
        <w:rPr>
          <w:color w:val="000000" w:themeColor="text1"/>
          <w:sz w:val="16"/>
          <w:szCs w:val="16"/>
        </w:rPr>
        <w:t>задействовано</w:t>
      </w:r>
      <w:r w:rsidRPr="00925F26">
        <w:rPr>
          <w:color w:val="000000" w:themeColor="text1"/>
          <w:sz w:val="16"/>
          <w:szCs w:val="16"/>
          <w:lang w:val="en-US"/>
        </w:rPr>
        <w:t xml:space="preserve"> 2 </w:t>
      </w:r>
      <w:r w:rsidRPr="00925F26">
        <w:rPr>
          <w:color w:val="000000" w:themeColor="text1"/>
          <w:sz w:val="16"/>
          <w:szCs w:val="16"/>
        </w:rPr>
        <w:t>тысячи</w:t>
      </w:r>
      <w:r w:rsidRPr="00925F26">
        <w:rPr>
          <w:color w:val="000000" w:themeColor="text1"/>
          <w:sz w:val="16"/>
          <w:szCs w:val="16"/>
          <w:lang w:val="en-US"/>
        </w:rPr>
        <w:t xml:space="preserve"> </w:t>
      </w:r>
      <w:r w:rsidRPr="00925F26">
        <w:rPr>
          <w:color w:val="000000" w:themeColor="text1"/>
          <w:sz w:val="16"/>
          <w:szCs w:val="16"/>
        </w:rPr>
        <w:t>транспортных</w:t>
      </w:r>
      <w:r w:rsidRPr="00925F26">
        <w:rPr>
          <w:color w:val="000000" w:themeColor="text1"/>
          <w:sz w:val="16"/>
          <w:szCs w:val="16"/>
          <w:lang w:val="en-US"/>
        </w:rPr>
        <w:t xml:space="preserve"> </w:t>
      </w:r>
      <w:r w:rsidRPr="00925F26">
        <w:rPr>
          <w:color w:val="000000" w:themeColor="text1"/>
          <w:sz w:val="16"/>
          <w:szCs w:val="16"/>
        </w:rPr>
        <w:t>самолетов</w:t>
      </w:r>
      <w:r w:rsidRPr="00925F26">
        <w:rPr>
          <w:color w:val="000000" w:themeColor="text1"/>
          <w:sz w:val="16"/>
          <w:szCs w:val="16"/>
          <w:lang w:val="en-US"/>
        </w:rPr>
        <w:t xml:space="preserve"> </w:t>
      </w:r>
      <w:r w:rsidRPr="00925F26">
        <w:rPr>
          <w:color w:val="000000" w:themeColor="text1"/>
          <w:sz w:val="16"/>
          <w:szCs w:val="16"/>
        </w:rPr>
        <w:t>и</w:t>
      </w:r>
      <w:r w:rsidRPr="00925F26">
        <w:rPr>
          <w:color w:val="000000" w:themeColor="text1"/>
          <w:sz w:val="16"/>
          <w:szCs w:val="16"/>
          <w:lang w:val="en-US"/>
        </w:rPr>
        <w:t xml:space="preserve"> </w:t>
      </w:r>
      <w:r w:rsidRPr="00925F26">
        <w:rPr>
          <w:color w:val="000000" w:themeColor="text1"/>
          <w:sz w:val="16"/>
          <w:szCs w:val="16"/>
        </w:rPr>
        <w:t>планеров</w:t>
      </w:r>
      <w:r w:rsidRPr="00925F26">
        <w:rPr>
          <w:color w:val="000000" w:themeColor="text1"/>
          <w:sz w:val="16"/>
          <w:szCs w:val="16"/>
          <w:lang w:val="en-US"/>
        </w:rPr>
        <w:t xml:space="preserve"> (20371).</w:t>
      </w:r>
    </w:p>
    <w:p w14:paraId="35003C58" w14:textId="77777777" w:rsidR="00EA0CFB" w:rsidRPr="00925F26" w:rsidRDefault="00EA0CFB" w:rsidP="00925F26">
      <w:pPr>
        <w:jc w:val="both"/>
        <w:rPr>
          <w:color w:val="000000" w:themeColor="text1"/>
          <w:sz w:val="16"/>
          <w:szCs w:val="16"/>
          <w:lang w:val="en-US"/>
        </w:rPr>
      </w:pPr>
    </w:p>
    <w:p w14:paraId="518CF8C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24th, 1945: In a major effort (Operation Plunder), units of the British Second Army (Dempsey) cross the lower Rhine at Wesel, followed by 40,000 US and British airborne troops (Operation Varsity). The US Third Army captures Speyer and Ludwigshafen on the upper Rhine. In the East, the 1st Ukrainian Front captures Neisse in Upper Silesia (3819).</w:t>
      </w:r>
    </w:p>
    <w:p w14:paraId="2831BA20" w14:textId="77777777" w:rsidR="00665165" w:rsidRPr="00925F26" w:rsidRDefault="00665165" w:rsidP="00925F26">
      <w:pPr>
        <w:autoSpaceDE w:val="0"/>
        <w:autoSpaceDN w:val="0"/>
        <w:adjustRightInd w:val="0"/>
        <w:jc w:val="both"/>
        <w:rPr>
          <w:color w:val="000000" w:themeColor="text1"/>
          <w:sz w:val="16"/>
          <w:szCs w:val="16"/>
          <w:lang w:val="en-US"/>
        </w:rPr>
      </w:pPr>
    </w:p>
    <w:p w14:paraId="16BE15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марта 1945 состоялась Рейнская воздушно-десантная операция с целью оказания помощи силам 21 группы армий в захвате плацдармов на правом берегу Рейна как часть Рурской операции. с 1595 самолетов и 1347 планеров под защитой 889 истребителей сбросили две дивизии. захватили плацдармы и 5 мостов через Иссель (2443,71).</w:t>
      </w:r>
    </w:p>
    <w:p w14:paraId="15499C9F" w14:textId="77777777" w:rsidR="00665165" w:rsidRPr="00925F26" w:rsidRDefault="00665165" w:rsidP="00925F26">
      <w:pPr>
        <w:autoSpaceDE w:val="0"/>
        <w:autoSpaceDN w:val="0"/>
        <w:adjustRightInd w:val="0"/>
        <w:jc w:val="both"/>
        <w:rPr>
          <w:color w:val="000000" w:themeColor="text1"/>
          <w:sz w:val="16"/>
          <w:szCs w:val="16"/>
        </w:rPr>
      </w:pPr>
    </w:p>
    <w:p w14:paraId="440A29F2" w14:textId="77777777" w:rsidR="00927952" w:rsidRPr="00925F26" w:rsidRDefault="00927952" w:rsidP="00925F26">
      <w:pPr>
        <w:jc w:val="both"/>
        <w:rPr>
          <w:color w:val="000000" w:themeColor="text1"/>
          <w:sz w:val="16"/>
          <w:szCs w:val="16"/>
        </w:rPr>
      </w:pPr>
      <w:r w:rsidRPr="00925F26">
        <w:rPr>
          <w:color w:val="000000" w:themeColor="text1"/>
          <w:sz w:val="16"/>
          <w:szCs w:val="16"/>
        </w:rPr>
        <w:t>24 марта 1945 года боевое состоялось применение авиадесантного танка Locust (18244).</w:t>
      </w:r>
    </w:p>
    <w:p w14:paraId="54F80CDE" w14:textId="77777777" w:rsidR="00927952" w:rsidRPr="00925F26" w:rsidRDefault="00927952" w:rsidP="00925F26">
      <w:pPr>
        <w:jc w:val="both"/>
        <w:rPr>
          <w:color w:val="000000" w:themeColor="text1"/>
          <w:sz w:val="16"/>
          <w:szCs w:val="16"/>
        </w:rPr>
      </w:pPr>
    </w:p>
    <w:p w14:paraId="4B12865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марта 1945 канадские войска вступили в Голландию (4962).</w:t>
      </w:r>
    </w:p>
    <w:p w14:paraId="20B80AA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F7D5CBE" w14:textId="77777777" w:rsidR="00B52070" w:rsidRPr="00925F26" w:rsidRDefault="00B52070" w:rsidP="00925F26">
      <w:pPr>
        <w:autoSpaceDE w:val="0"/>
        <w:autoSpaceDN w:val="0"/>
        <w:adjustRightInd w:val="0"/>
        <w:jc w:val="both"/>
        <w:rPr>
          <w:color w:val="000000" w:themeColor="text1"/>
          <w:sz w:val="16"/>
          <w:szCs w:val="16"/>
        </w:rPr>
      </w:pPr>
      <w:r w:rsidRPr="00925F26">
        <w:rPr>
          <w:color w:val="000000" w:themeColor="text1"/>
          <w:sz w:val="16"/>
          <w:szCs w:val="16"/>
        </w:rPr>
        <w:t>24 марта 1945 Египет объявил войну Германии (2100).</w:t>
      </w:r>
    </w:p>
    <w:p w14:paraId="175BC815" w14:textId="77777777" w:rsidR="00B52070" w:rsidRPr="00925F26" w:rsidRDefault="00B52070" w:rsidP="00925F26">
      <w:pPr>
        <w:autoSpaceDE w:val="0"/>
        <w:autoSpaceDN w:val="0"/>
        <w:adjustRightInd w:val="0"/>
        <w:jc w:val="both"/>
        <w:rPr>
          <w:color w:val="000000" w:themeColor="text1"/>
          <w:sz w:val="16"/>
          <w:szCs w:val="16"/>
        </w:rPr>
      </w:pPr>
    </w:p>
    <w:p w14:paraId="371786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Вечером 24 марта 1945 капитан I ранга Окамура собрал всех летчиков и объявил, что массовое применение самолета Ока прекращено.</w:t>
      </w:r>
    </w:p>
    <w:p w14:paraId="1C7E71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Потеряв один самолет, корпус лишался одного летчика. Потеря самолета Ока вела к потере самолета-носителя и экипажа из восьми человек. Он также объявил, глядя в растерянные лица пилотов, что теперь в самоубийственных атаках будут участвовать и летчики-истребители. Для этого в корпусе будет сформирована «Эскадрилья Кэмму», на вооружении которой будут стоять новейшие самолеты Зеро с 500-килограммовой бомбой (11686).</w:t>
      </w:r>
    </w:p>
    <w:p w14:paraId="39E626DC" w14:textId="77777777" w:rsidR="00665165" w:rsidRPr="00925F26" w:rsidRDefault="00665165" w:rsidP="00925F26">
      <w:pPr>
        <w:autoSpaceDE w:val="0"/>
        <w:autoSpaceDN w:val="0"/>
        <w:adjustRightInd w:val="0"/>
        <w:jc w:val="both"/>
        <w:rPr>
          <w:color w:val="000000" w:themeColor="text1"/>
          <w:sz w:val="16"/>
          <w:szCs w:val="16"/>
        </w:rPr>
      </w:pPr>
    </w:p>
    <w:p w14:paraId="1D764AA5" w14:textId="77777777" w:rsidR="00EA0CFB" w:rsidRPr="00925F26" w:rsidRDefault="00EA0CFB" w:rsidP="00925F26">
      <w:pPr>
        <w:jc w:val="both"/>
        <w:rPr>
          <w:color w:val="000000" w:themeColor="text1"/>
          <w:sz w:val="16"/>
          <w:szCs w:val="16"/>
        </w:rPr>
      </w:pPr>
      <w:r w:rsidRPr="00925F26">
        <w:rPr>
          <w:color w:val="000000" w:themeColor="text1"/>
          <w:sz w:val="16"/>
          <w:szCs w:val="16"/>
        </w:rPr>
        <w:t>24 марта 1945 112 самолетов-носителей оперативной группы 58 потопили весь конвой из восьми японских кораблей в 150 морских милях (278 км) к северо-западу от Окинавы (20371).</w:t>
      </w:r>
    </w:p>
    <w:p w14:paraId="5E1A4C32" w14:textId="77777777" w:rsidR="00EA0CFB" w:rsidRPr="00925F26" w:rsidRDefault="00EA0CFB" w:rsidP="00925F26">
      <w:pPr>
        <w:jc w:val="both"/>
        <w:rPr>
          <w:color w:val="000000" w:themeColor="text1"/>
          <w:sz w:val="16"/>
          <w:szCs w:val="16"/>
        </w:rPr>
      </w:pPr>
    </w:p>
    <w:p w14:paraId="4D6D8682" w14:textId="77777777" w:rsidR="00B52070" w:rsidRPr="00925F26" w:rsidRDefault="00B52070" w:rsidP="00925F26">
      <w:pPr>
        <w:jc w:val="both"/>
        <w:rPr>
          <w:color w:val="000000" w:themeColor="text1"/>
          <w:sz w:val="16"/>
          <w:szCs w:val="16"/>
        </w:rPr>
      </w:pPr>
      <w:r w:rsidRPr="00925F26">
        <w:rPr>
          <w:bCs/>
          <w:color w:val="000000" w:themeColor="text1"/>
          <w:sz w:val="16"/>
          <w:szCs w:val="16"/>
        </w:rPr>
        <w:t>24 марта</w:t>
      </w:r>
      <w:r w:rsidRPr="00925F26">
        <w:rPr>
          <w:color w:val="000000" w:themeColor="text1"/>
          <w:sz w:val="16"/>
          <w:szCs w:val="16"/>
        </w:rPr>
        <w:t xml:space="preserve"> в 1945 году «Биллборд» публикует первый американский альбомный чарт. Нэт Кинг Коул стал первым лидером чарта с диском «A Collection Of Favourites» (15078).</w:t>
      </w:r>
    </w:p>
    <w:p w14:paraId="7DCE1917" w14:textId="77777777" w:rsidR="00B52070" w:rsidRPr="00925F26" w:rsidRDefault="00B52070" w:rsidP="00925F26">
      <w:pPr>
        <w:jc w:val="both"/>
        <w:rPr>
          <w:color w:val="000000" w:themeColor="text1"/>
          <w:sz w:val="16"/>
          <w:szCs w:val="16"/>
        </w:rPr>
      </w:pPr>
    </w:p>
    <w:p w14:paraId="66A58ED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8651E13" w14:textId="77777777" w:rsidR="00665165" w:rsidRPr="00925F26" w:rsidRDefault="00665165" w:rsidP="00925F26">
      <w:pPr>
        <w:autoSpaceDE w:val="0"/>
        <w:autoSpaceDN w:val="0"/>
        <w:adjustRightInd w:val="0"/>
        <w:jc w:val="both"/>
        <w:rPr>
          <w:iCs/>
          <w:color w:val="000000" w:themeColor="text1"/>
          <w:sz w:val="16"/>
          <w:szCs w:val="16"/>
        </w:rPr>
      </w:pPr>
    </w:p>
    <w:p w14:paraId="5A3FAE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марта 1945 закончились гос. испытания модифицированного Ла-7 № 38105758 с 3 пушками Б-20, которые проходили с 22 февраля 1945 по.</w:t>
      </w:r>
    </w:p>
    <w:p w14:paraId="5817FD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С-ты № 38100358, 38105758 производства завода № 381</w:t>
      </w:r>
    </w:p>
    <w:p w14:paraId="2B59D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И-м Г.В.Чертявский</w:t>
      </w:r>
    </w:p>
    <w:p w14:paraId="31A5A6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м Кубышкин</w:t>
      </w:r>
    </w:p>
    <w:p w14:paraId="3AE1E4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С-ты производства з-да № 381 выпуска января-февраля 1945 г</w:t>
      </w:r>
    </w:p>
    <w:p w14:paraId="070BA1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38100358 испытания начались 25 января 1945 и прекращены 7 февраля 1945 из-за ненадежной работы вооружения.</w:t>
      </w:r>
    </w:p>
    <w:p w14:paraId="643C45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5758 испытания начаты 22 февраля и закончены 25 марта 1945 г.</w:t>
      </w:r>
    </w:p>
    <w:p w14:paraId="77456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полетов на с-те № 0358 налет составил 2:50</w:t>
      </w:r>
    </w:p>
    <w:p w14:paraId="3CB0B4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2675, полетный - 3312</w:t>
      </w:r>
    </w:p>
    <w:p w14:paraId="6219F3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571, на 1 гр. (2900) - 632, на 5000 - 636, на 2 гр. (6100) - 662 км/час</w:t>
      </w:r>
    </w:p>
    <w:p w14:paraId="189B1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5000 - 5,1</w:t>
      </w:r>
    </w:p>
    <w:p w14:paraId="0FD50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10325, время набора 26 мин.</w:t>
      </w:r>
    </w:p>
    <w:p w14:paraId="79C04B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610E73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02653E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работы 20мм пушек Б-20с и их синхронной установки не обеспечена.</w:t>
      </w:r>
    </w:p>
    <w:p w14:paraId="011C3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Материалы испытаний оставить для внутреннего пользованияч.</w:t>
      </w:r>
    </w:p>
    <w:p w14:paraId="339661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2B1D16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Кочетков, Л.. 2 апреля 1945 (743,1).</w:t>
      </w:r>
    </w:p>
    <w:p w14:paraId="15E6C6CC" w14:textId="77777777" w:rsidR="00665165" w:rsidRPr="00925F26" w:rsidRDefault="00665165" w:rsidP="00925F26">
      <w:pPr>
        <w:autoSpaceDE w:val="0"/>
        <w:autoSpaceDN w:val="0"/>
        <w:adjustRightInd w:val="0"/>
        <w:jc w:val="both"/>
        <w:rPr>
          <w:color w:val="000000" w:themeColor="text1"/>
          <w:sz w:val="16"/>
          <w:szCs w:val="16"/>
        </w:rPr>
      </w:pPr>
    </w:p>
    <w:p w14:paraId="516530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марта 1945 была окончена отгрузка в СССР на завод 456 в Москве крыльев самолетов-снарядов из г. Китлицтребен (1874,15).</w:t>
      </w:r>
    </w:p>
    <w:p w14:paraId="3212C7C2" w14:textId="77777777" w:rsidR="00665165" w:rsidRPr="00925F26" w:rsidRDefault="00665165" w:rsidP="00925F26">
      <w:pPr>
        <w:autoSpaceDE w:val="0"/>
        <w:autoSpaceDN w:val="0"/>
        <w:adjustRightInd w:val="0"/>
        <w:jc w:val="both"/>
        <w:rPr>
          <w:color w:val="000000" w:themeColor="text1"/>
          <w:sz w:val="16"/>
          <w:szCs w:val="16"/>
        </w:rPr>
      </w:pPr>
    </w:p>
    <w:p w14:paraId="15861C92" w14:textId="77777777" w:rsidR="00F94661" w:rsidRPr="00925F26" w:rsidRDefault="00F9466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502BE44" w14:textId="77777777" w:rsidR="00F94661" w:rsidRPr="00925F26" w:rsidRDefault="00F94661" w:rsidP="00925F26">
      <w:pPr>
        <w:autoSpaceDE w:val="0"/>
        <w:autoSpaceDN w:val="0"/>
        <w:adjustRightInd w:val="0"/>
        <w:jc w:val="both"/>
        <w:rPr>
          <w:iCs/>
          <w:color w:val="000000" w:themeColor="text1"/>
          <w:sz w:val="16"/>
          <w:szCs w:val="16"/>
        </w:rPr>
      </w:pPr>
    </w:p>
    <w:p w14:paraId="654A1D81" w14:textId="77777777" w:rsidR="00F94661" w:rsidRPr="00925F26" w:rsidRDefault="00F94661" w:rsidP="00925F26">
      <w:pPr>
        <w:shd w:val="clear" w:color="auto" w:fill="FFFFFF"/>
        <w:jc w:val="both"/>
        <w:rPr>
          <w:color w:val="000000" w:themeColor="text1"/>
          <w:sz w:val="16"/>
          <w:szCs w:val="16"/>
        </w:rPr>
      </w:pPr>
      <w:r w:rsidRPr="00925F26">
        <w:rPr>
          <w:color w:val="000000" w:themeColor="text1"/>
          <w:sz w:val="16"/>
          <w:szCs w:val="16"/>
        </w:rPr>
        <w:t>25 марта 1945 два легких танка M24 были погружены на железнодорожную платформу и отправились из Мурманска в Кубинку (17684).</w:t>
      </w:r>
    </w:p>
    <w:p w14:paraId="675ABFCB" w14:textId="77777777" w:rsidR="00F94661" w:rsidRPr="00925F26" w:rsidRDefault="00F94661" w:rsidP="00925F26">
      <w:pPr>
        <w:jc w:val="both"/>
        <w:rPr>
          <w:rStyle w:val="107"/>
          <w:rFonts w:eastAsiaTheme="minorHAnsi"/>
          <w:color w:val="000000" w:themeColor="text1"/>
          <w:sz w:val="16"/>
          <w:szCs w:val="16"/>
        </w:rPr>
      </w:pPr>
    </w:p>
    <w:p w14:paraId="1F7CB819" w14:textId="77777777" w:rsidR="00F94661" w:rsidRPr="00925F26" w:rsidRDefault="00F94661"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25 марта 1944 прибывший в Мурманск 21 марта </w:t>
      </w:r>
      <w:proofErr w:type="gramStart"/>
      <w:r w:rsidRPr="00925F26">
        <w:rPr>
          <w:color w:val="000000" w:themeColor="text1"/>
          <w:sz w:val="16"/>
          <w:szCs w:val="16"/>
        </w:rPr>
        <w:t>вместе с семью</w:t>
      </w:r>
      <w:proofErr w:type="gramEnd"/>
      <w:r w:rsidRPr="00925F26">
        <w:rPr>
          <w:color w:val="000000" w:themeColor="text1"/>
          <w:sz w:val="16"/>
          <w:szCs w:val="16"/>
        </w:rPr>
        <w:t xml:space="preserve"> M4A2E8 на борту транспорта SS Eleazar Lord (</w:t>
      </w:r>
      <w:hyperlink r:id="rId81" w:history="1">
        <w:r w:rsidRPr="00925F26">
          <w:rPr>
            <w:rStyle w:val="a5"/>
            <w:color w:val="000000" w:themeColor="text1"/>
            <w:sz w:val="16"/>
            <w:szCs w:val="16"/>
          </w:rPr>
          <w:t>типа Liberty</w:t>
        </w:r>
      </w:hyperlink>
      <w:r w:rsidRPr="00925F26">
        <w:rPr>
          <w:color w:val="000000" w:themeColor="text1"/>
          <w:sz w:val="16"/>
          <w:szCs w:val="16"/>
        </w:rPr>
        <w:t>) танк M4A2E8 с регистрационным номером U.S.A. 30122430, был отправлен на НИБТ Полигон в Кубинку. 3 апреля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 (17725).</w:t>
      </w:r>
    </w:p>
    <w:p w14:paraId="0EAF5966" w14:textId="77777777" w:rsidR="00F94661" w:rsidRPr="00925F26" w:rsidRDefault="00F94661" w:rsidP="00925F26">
      <w:pPr>
        <w:jc w:val="both"/>
        <w:rPr>
          <w:rStyle w:val="107"/>
          <w:rFonts w:eastAsiaTheme="minorHAnsi"/>
          <w:color w:val="000000" w:themeColor="text1"/>
          <w:sz w:val="16"/>
          <w:szCs w:val="16"/>
        </w:rPr>
      </w:pPr>
    </w:p>
    <w:p w14:paraId="7805480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DA89080" w14:textId="77777777" w:rsidR="00665165" w:rsidRPr="00925F26" w:rsidRDefault="00665165" w:rsidP="00925F26">
      <w:pPr>
        <w:autoSpaceDE w:val="0"/>
        <w:autoSpaceDN w:val="0"/>
        <w:adjustRightInd w:val="0"/>
        <w:jc w:val="both"/>
        <w:rPr>
          <w:iCs/>
          <w:color w:val="000000" w:themeColor="text1"/>
          <w:sz w:val="16"/>
          <w:szCs w:val="16"/>
        </w:rPr>
      </w:pPr>
    </w:p>
    <w:p w14:paraId="46BC709E" w14:textId="77777777" w:rsidR="00B52070" w:rsidRPr="00925F26" w:rsidRDefault="00B52070" w:rsidP="00925F26">
      <w:pPr>
        <w:jc w:val="both"/>
        <w:rPr>
          <w:color w:val="000000" w:themeColor="text1"/>
          <w:sz w:val="16"/>
          <w:szCs w:val="16"/>
        </w:rPr>
      </w:pPr>
      <w:r w:rsidRPr="00925F26">
        <w:rPr>
          <w:bCs/>
          <w:color w:val="000000" w:themeColor="text1"/>
          <w:sz w:val="16"/>
          <w:szCs w:val="16"/>
        </w:rPr>
        <w:t>25 марта</w:t>
      </w:r>
      <w:r w:rsidRPr="00925F26">
        <w:rPr>
          <w:color w:val="000000" w:themeColor="text1"/>
          <w:sz w:val="16"/>
          <w:szCs w:val="16"/>
        </w:rPr>
        <w:t xml:space="preserve"> в 1945 году оперативная сводка Совинформбюро:</w:t>
      </w:r>
    </w:p>
    <w:p w14:paraId="46392973"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3-го Белорусского фронта, продолжая наступление, 25 марта овладели городом ХАйлигенбайль — последним опорным пунктом обороны немцев на побережье залива Фриш-Гаф юго-западнее Кенигсберга, а также заняли населённые пункты Партайнен, Ремзегут, Каймкаллен, Брегден, Штайндорф, Карбен, Прейсиш Банау, Шеттниенен, Герлаксдорф, Рааде, Лейзунен, Бюстервальде, Рауненберг. В боях за 24 и 25 марта в этом районе войска фронта взяли в плен более 9.000 немецких солдат и офицеров и захватили следующие трофеи: самолётов— 109, танков и самоходных орудий — 65, орудий — 245, пулемётов — 176, автомашин — 3.330, бронетранспортёров — 69.</w:t>
      </w:r>
    </w:p>
    <w:p w14:paraId="19F808A1" w14:textId="77777777" w:rsidR="00B52070" w:rsidRPr="00925F26" w:rsidRDefault="00B52070" w:rsidP="00925F26">
      <w:pPr>
        <w:jc w:val="both"/>
        <w:rPr>
          <w:color w:val="000000" w:themeColor="text1"/>
          <w:sz w:val="16"/>
          <w:szCs w:val="16"/>
        </w:rPr>
      </w:pPr>
      <w:r w:rsidRPr="00925F26">
        <w:rPr>
          <w:color w:val="000000" w:themeColor="text1"/>
          <w:sz w:val="16"/>
          <w:szCs w:val="16"/>
        </w:rPr>
        <w:t>На Гданьском (Данцигском) направлении наши войска, преодолевая сопротивление противника, овладели пригородом Гданьска (Данцига) — Олива и заняли населённые пункты Боргфельд, Ковалл, Карчемке, Клайн Катц, Виттомин. За 24 марта в этом районе наши войска взяли в плен более 1.000 немецких солдат и офицеров.</w:t>
      </w:r>
    </w:p>
    <w:p w14:paraId="5B6FD8E3"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2-го Украинского фронта, перейдя в наступление, прорвали сильную оборону немцев в горах Вэртэшхедышг западнее Будапешта, разгромили группу немецких войск в районе Естергома и продвинулись вперёд на 45 километров.</w:t>
      </w:r>
    </w:p>
    <w:p w14:paraId="6CE0527B" w14:textId="77777777" w:rsidR="00B52070" w:rsidRPr="00925F26" w:rsidRDefault="00B52070" w:rsidP="00925F26">
      <w:pPr>
        <w:jc w:val="both"/>
        <w:rPr>
          <w:color w:val="000000" w:themeColor="text1"/>
          <w:sz w:val="16"/>
          <w:szCs w:val="16"/>
        </w:rPr>
      </w:pPr>
      <w:r w:rsidRPr="00925F26">
        <w:rPr>
          <w:color w:val="000000" w:themeColor="text1"/>
          <w:sz w:val="16"/>
          <w:szCs w:val="16"/>
        </w:rPr>
        <w:t>В ходе наступления войска фронта овладели городами Естергом, Несмей, Фельшегалла и Тата, а также заняли более 200 других населённых пунктов, в том числе крупные населённые пункты Токод, Тат, Байот, Таварош, Татабанья, Банхида, Кернье, Дунаальмаш, Насади, Моча, Коч, Сенд, Часар.</w:t>
      </w:r>
    </w:p>
    <w:p w14:paraId="74C9269A" w14:textId="77777777" w:rsidR="00B52070" w:rsidRPr="00925F26" w:rsidRDefault="00B52070" w:rsidP="00925F26">
      <w:pPr>
        <w:jc w:val="both"/>
        <w:rPr>
          <w:color w:val="000000" w:themeColor="text1"/>
          <w:sz w:val="16"/>
          <w:szCs w:val="16"/>
        </w:rPr>
      </w:pPr>
      <w:r w:rsidRPr="00925F26">
        <w:rPr>
          <w:color w:val="000000" w:themeColor="text1"/>
          <w:sz w:val="16"/>
          <w:szCs w:val="16"/>
        </w:rPr>
        <w:lastRenderedPageBreak/>
        <w:t>За время этих боёв наши войска взяли в плен 7.000 солдат и офицеров противника, уничтожили и захватили 250 танков и самоходных орудий, более 300 орудий и много другого вооружения и военного имущества.</w:t>
      </w:r>
    </w:p>
    <w:p w14:paraId="63DACDC4" w14:textId="77777777" w:rsidR="00B52070" w:rsidRPr="00925F26" w:rsidRDefault="00B52070" w:rsidP="00925F26">
      <w:pPr>
        <w:jc w:val="both"/>
        <w:rPr>
          <w:color w:val="000000" w:themeColor="text1"/>
          <w:sz w:val="16"/>
          <w:szCs w:val="16"/>
        </w:rPr>
      </w:pPr>
      <w:r w:rsidRPr="00925F26">
        <w:rPr>
          <w:color w:val="000000" w:themeColor="text1"/>
          <w:sz w:val="16"/>
          <w:szCs w:val="16"/>
        </w:rPr>
        <w:t>Севернее озера Балатон наши войска, продолжая наступление, овладели городом и железнодорожной станцией Варошлед, а также заняли более 50 других населённых пунктов и среди них: Папатесер, Баконькоппань, Тапольцафе, Баконьяко, Мадьярполань, Сентгал, Тотважонь, Балатонфюред, Фюрдетелеп.</w:t>
      </w:r>
    </w:p>
    <w:p w14:paraId="5C14C0BA" w14:textId="77777777" w:rsidR="00B52070" w:rsidRPr="00925F26" w:rsidRDefault="00B52070" w:rsidP="00925F26">
      <w:pPr>
        <w:jc w:val="both"/>
        <w:rPr>
          <w:color w:val="000000" w:themeColor="text1"/>
          <w:sz w:val="16"/>
          <w:szCs w:val="16"/>
        </w:rPr>
      </w:pPr>
      <w:r w:rsidRPr="00925F26">
        <w:rPr>
          <w:color w:val="000000" w:themeColor="text1"/>
          <w:sz w:val="16"/>
          <w:szCs w:val="16"/>
        </w:rPr>
        <w:t>За 24 марта на всех фронтах подбито и уничтожено 147 немецких танков и самоходных орудий. В воздушных боях и огнём зенитной артиллерии сбито 63 самолёта противника.</w:t>
      </w:r>
    </w:p>
    <w:p w14:paraId="23328852" w14:textId="77777777" w:rsidR="00B52070" w:rsidRPr="00925F26" w:rsidRDefault="00B52070" w:rsidP="00925F26">
      <w:pPr>
        <w:jc w:val="both"/>
        <w:rPr>
          <w:color w:val="000000" w:themeColor="text1"/>
          <w:sz w:val="16"/>
          <w:szCs w:val="16"/>
        </w:rPr>
      </w:pPr>
      <w:r w:rsidRPr="00925F26">
        <w:rPr>
          <w:color w:val="000000" w:themeColor="text1"/>
          <w:sz w:val="16"/>
          <w:szCs w:val="16"/>
        </w:rPr>
        <w:t>Налёт нашей авиации на Гданьск (Данциг) и Пиллау</w:t>
      </w:r>
    </w:p>
    <w:p w14:paraId="64A48914" w14:textId="77777777" w:rsidR="00B52070" w:rsidRPr="00925F26" w:rsidRDefault="00B52070" w:rsidP="00925F26">
      <w:pPr>
        <w:jc w:val="both"/>
        <w:rPr>
          <w:color w:val="000000" w:themeColor="text1"/>
          <w:sz w:val="16"/>
          <w:szCs w:val="16"/>
        </w:rPr>
      </w:pPr>
      <w:r w:rsidRPr="00925F26">
        <w:rPr>
          <w:color w:val="000000" w:themeColor="text1"/>
          <w:sz w:val="16"/>
          <w:szCs w:val="16"/>
        </w:rPr>
        <w:t>В ночь на 25 марта наши тяжёлые бомбардировщики нанесли дар по военным объектам противника в Гданьске (Данциге) и Пиллау.</w:t>
      </w:r>
    </w:p>
    <w:p w14:paraId="172BB58F" w14:textId="77777777" w:rsidR="00B52070" w:rsidRPr="00925F26" w:rsidRDefault="00B52070" w:rsidP="00925F26">
      <w:pPr>
        <w:jc w:val="both"/>
        <w:rPr>
          <w:color w:val="000000" w:themeColor="text1"/>
          <w:sz w:val="16"/>
          <w:szCs w:val="16"/>
        </w:rPr>
      </w:pPr>
      <w:r w:rsidRPr="00925F26">
        <w:rPr>
          <w:color w:val="000000" w:themeColor="text1"/>
          <w:sz w:val="16"/>
          <w:szCs w:val="16"/>
        </w:rPr>
        <w:t>В результате бомбардировки на железнодорожном узле и в порту Гданьск (Данциг) возникло более 50 пожаров, сопровождавшийся взрывами большой силы.</w:t>
      </w:r>
    </w:p>
    <w:p w14:paraId="02E0FB01" w14:textId="77777777" w:rsidR="00B52070" w:rsidRPr="00925F26" w:rsidRDefault="00B52070" w:rsidP="00925F26">
      <w:pPr>
        <w:jc w:val="both"/>
        <w:rPr>
          <w:color w:val="000000" w:themeColor="text1"/>
          <w:sz w:val="16"/>
          <w:szCs w:val="16"/>
        </w:rPr>
      </w:pPr>
      <w:r w:rsidRPr="00925F26">
        <w:rPr>
          <w:color w:val="000000" w:themeColor="text1"/>
          <w:sz w:val="16"/>
          <w:szCs w:val="16"/>
        </w:rPr>
        <w:t>В порту Пиллау отмечено несколько пожаров и крупных взрывов.</w:t>
      </w:r>
    </w:p>
    <w:p w14:paraId="0C0A16DB"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3-го Белорусского фронта вели успешные бои по ликвидации группы войск противника на побережье залива Фриш-Гаф. Немцы оказывают отчаянное сопротивление. Пленные показывают, что немецкое командование приняло ряд чрезвычайных мер для повышения боеспособности своих частей. Многие орудийные расчёты укомплектованы офицерами. Позади пехотных подразделений расположены эсэсовские заградительные отряды. Они расстреливают солдат за малейшую попытку отступить с занимаемых позиций или сдаться в плен.</w:t>
      </w:r>
    </w:p>
    <w:p w14:paraId="7A1B7998" w14:textId="77777777" w:rsidR="00B52070" w:rsidRPr="00925F26" w:rsidRDefault="00B52070" w:rsidP="00925F26">
      <w:pPr>
        <w:jc w:val="both"/>
        <w:rPr>
          <w:color w:val="000000" w:themeColor="text1"/>
          <w:sz w:val="16"/>
          <w:szCs w:val="16"/>
        </w:rPr>
      </w:pPr>
      <w:r w:rsidRPr="00925F26">
        <w:rPr>
          <w:color w:val="000000" w:themeColor="text1"/>
          <w:sz w:val="16"/>
          <w:szCs w:val="16"/>
        </w:rPr>
        <w:t>Наши войска, преодолевая сопротивление противника, настойчиво продвигаются вперёд. Ожесточённые бои произошли в городе Хайлигенбайль. Немцы приспособили к обороне каждое здание и вели сильный огонь из подвалов и чердаков. Советские штурмовые группы, усиленные орудиями, выбили врага с территории железнодорожной станции и завода, расположенных в юго-восточной части города. В заводских корпусах захвачено 134 авиамотора. Очищая от гитлеровцев квартал за кварталом, наши войска сегодня вышли на северные окраины и полностью овладели городом Хайлигенбайль —- последним опорным пунктом обороны немцев на побережье залива Фриш-Гаф. Другие наши части очистили от противника район между реками Пассарге и Банау, заняв при этом ряд населённых пунктов. Число взятых в плен немцев всё время увеличивается.</w:t>
      </w:r>
    </w:p>
    <w:p w14:paraId="0B14A93C" w14:textId="77777777" w:rsidR="00B52070" w:rsidRPr="00925F26" w:rsidRDefault="00B52070" w:rsidP="00925F26">
      <w:pPr>
        <w:jc w:val="both"/>
        <w:rPr>
          <w:color w:val="000000" w:themeColor="text1"/>
          <w:sz w:val="16"/>
          <w:szCs w:val="16"/>
        </w:rPr>
      </w:pPr>
      <w:r w:rsidRPr="00925F26">
        <w:rPr>
          <w:color w:val="000000" w:themeColor="text1"/>
          <w:sz w:val="16"/>
          <w:szCs w:val="16"/>
        </w:rPr>
        <w:t>На Гданьском (Данцигском) направлении наши войска продолжали наступление. Западнее Гданьска (Данцига) советские части вышли к внутреннему обводу укреплённого района. Наши пехотинцы, наступающие по побережью Данцигской бухты, преодолели противотанковый ров и, быстро продвигаясь вперёд, захватили в исправном состоянии мосты через реку Глетткау. Эти мосты сразу же были использованы для переброски танков и артиллерии. Преследуя противника, советские пехотинцы и танкисты ворвались в Олива — пригород Гданьска (Данцига). В результате ожесточённого боя этот пригород, находящийся в 3 километрах к северу от Гданьска, занят нашими войсками. На подступах к Гдыне советские части отбили многочисленные вражеские контратаки и овладели посёлком Клайн Катц. Места боёв завалены трупами немецких солдат и офицеров. За день уничтожено 17 танков, 52 орудия и 58 миномётов противника. Нашими бойцами захвачены трофеи, в числе которых 5 танков, 6 железнодорожных эшелонов и более 600 вагонов с различными военными грузами.</w:t>
      </w:r>
    </w:p>
    <w:p w14:paraId="32AD1214" w14:textId="77777777" w:rsidR="00B52070" w:rsidRPr="00925F26" w:rsidRDefault="00B52070" w:rsidP="00925F26">
      <w:pPr>
        <w:jc w:val="both"/>
        <w:rPr>
          <w:color w:val="000000" w:themeColor="text1"/>
          <w:sz w:val="16"/>
          <w:szCs w:val="16"/>
        </w:rPr>
      </w:pPr>
      <w:r w:rsidRPr="00925F26">
        <w:rPr>
          <w:color w:val="000000" w:themeColor="text1"/>
          <w:sz w:val="16"/>
          <w:szCs w:val="16"/>
        </w:rPr>
        <w:t>Советские лётчики потопили в Данцигской бухте 6 десантных самоходных барж, 2 катера и другие суда немцев. Отмечены прямые попадания бомб в военные корабли противника.</w:t>
      </w:r>
    </w:p>
    <w:p w14:paraId="349B5458" w14:textId="77777777" w:rsidR="00B52070" w:rsidRPr="00925F26" w:rsidRDefault="00B52070" w:rsidP="00925F26">
      <w:pPr>
        <w:jc w:val="both"/>
        <w:rPr>
          <w:color w:val="000000" w:themeColor="text1"/>
          <w:sz w:val="16"/>
          <w:szCs w:val="16"/>
        </w:rPr>
      </w:pPr>
      <w:r w:rsidRPr="00925F26">
        <w:rPr>
          <w:color w:val="000000" w:themeColor="text1"/>
          <w:sz w:val="16"/>
          <w:szCs w:val="16"/>
        </w:rPr>
        <w:t>Войска 2-го Украинского фронта перешли в наступление. Советские пехотные части, поддержанные артиллерией и авиацией, прорвали сильную оборону противника. В покрытых лесом горах Вэртэшхедьшэг западнее Будапешта немцы устроили на дорогах огромные завалы. Они отрыли на всех проходимых участках противотанковые рвы и всюду расставили мины. Наши части, усиленные подразделениями сапёров, с боями преодолели полосу гор и вырвались на равнинную местность. Противник пытался остановить советские войска на втором оборонительном рубеже, построенном на западном берегу реки Алтая. Однако наши пехотинцы, под прикрытием артиллерийского огня, переправились через реку и овладели этим рубежом. Удар советских частей был настолько стремительным, что немцы в беспорядке отступили, бросив всё своё вооружение. Преследуя врага, войска фронта штурмом заняли промышленный венгерский город Тала, вышли на южный берег реки Дунай и перерезали железную дорогу Естергом—Комарно. Таким образом, группа немецких войск, расположенная в районе Естергома, оказалась прижатой к Дунаю. Тесня противника со всех сторон, наши войска овладели городом Естергом — мощным опорным пунктом обороны немцев. В результате стремительных действий советских войск остатки естергомской группы противника загнаны на узкую прибрежную полосу. Весь этот участок обстреливается нашей артиллерией. Немцы пытаются переправиться на северный берег Дуная. Советские лётчики наносят непрерывные удары по переправам противника, топят его лодки, плоты и понтоны. Большое число гитлеровцев утонуло в реке.</w:t>
      </w:r>
    </w:p>
    <w:p w14:paraId="45FF8DF5" w14:textId="77777777" w:rsidR="00B52070" w:rsidRPr="00925F26" w:rsidRDefault="00B52070" w:rsidP="00925F26">
      <w:pPr>
        <w:jc w:val="both"/>
        <w:rPr>
          <w:color w:val="000000" w:themeColor="text1"/>
          <w:sz w:val="16"/>
          <w:szCs w:val="16"/>
        </w:rPr>
      </w:pPr>
      <w:r w:rsidRPr="00925F26">
        <w:rPr>
          <w:color w:val="000000" w:themeColor="text1"/>
          <w:sz w:val="16"/>
          <w:szCs w:val="16"/>
        </w:rPr>
        <w:t>Севернее озера Балатон наши войска продолжали наступление. Советские части продвинулись вперёд на 20 километров и завязали бои за город Варошлед. На подступах к городу противник сосредоточил крупные силы и оказывал упорное сопротивление. Отражая танковые контратаки немцев, наши войска ворвались в город Варошлед и овладели им. Захвачены большие военные склады, много паровозов и вагонов с грузами. В течение дня сожжено и подбито 64 танка и 42 бронетранспортёра противника.» (15079).</w:t>
      </w:r>
    </w:p>
    <w:p w14:paraId="77F5CF9C" w14:textId="77777777" w:rsidR="00B52070" w:rsidRPr="00925F26" w:rsidRDefault="00B52070" w:rsidP="00925F26">
      <w:pPr>
        <w:jc w:val="both"/>
        <w:rPr>
          <w:color w:val="000000" w:themeColor="text1"/>
          <w:sz w:val="16"/>
          <w:szCs w:val="16"/>
        </w:rPr>
      </w:pPr>
    </w:p>
    <w:p w14:paraId="2C2A8B2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марта 1945 войска 2-го Украинского фронта , под командованием Маршала Малиновского начали Братиславско-Брновскую операцию , с целью разгромить немецко-фашистскую групировку в районе Братислава, Брно и завершить освобождение Словакии (4963 ).</w:t>
      </w:r>
    </w:p>
    <w:p w14:paraId="772A591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EA9EC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марта 1945 согласно Дважды Герою Советского Союза капитану А.Н.Ефимову укрепившись на подступах к г. Данциг, немцы оказывали упорное сопротивление нашим наступающим войскам. День и ночь шли ожесточенные бои. Каждый метр земли, каждый дом брался с боем. Данциг, полностью блокированный нашими войсками, был прикрыт сильной системой ПВО. Несмотря на близость линии фронта, аэродром Легштрисс продолжал действовать. Самолеты рассредоточивались далеко за пределами рабочего поля: между ангарами, домами, на расстоянии до 1000-1500 м от рабочего поля. Иногда немцы отруливали самолеты по шоссейной дороге к городу и укрывали их между домами.</w:t>
      </w:r>
    </w:p>
    <w:p w14:paraId="47DB31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Ефимов получил приказание группой в 16 Ил-2 нанести удар по артиллерийско-минометным позициям и скоплению техники противника в районе Олива. Часть базировалась на аэродроме Мариенбург. Группу должны были прикрывать 8 Як-3 с этого же аэродрома.</w:t>
      </w:r>
    </w:p>
    <w:p w14:paraId="3F06A1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Боевой порядок группы - четверки в правом "пеленге". В каждой из последних трех четверок Ефимов назначил экипажи для подавления ЗА противника.</w:t>
      </w:r>
    </w:p>
    <w:p w14:paraId="7C76B5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Подходя к НБП - Картхаузы, связался со станцией наведения и получил новое задание: "нанести удар по аэродрому Легштрисс".</w:t>
      </w:r>
    </w:p>
    <w:p w14:paraId="71194A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сведениям разведки, на аэродроме находилось много самолетов, приготовленных к перебазированию. В ангарах велась подготовка к погрузке на баржи разобранных самолетов, которые не могли уйти летом.</w:t>
      </w:r>
    </w:p>
    <w:p w14:paraId="724C8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радио Ефимов оповестил всю группу и ведущего группы истребителей прикрытия о перенацеливании.</w:t>
      </w:r>
    </w:p>
    <w:p w14:paraId="7C3AD6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Ефимов решил атаковать цель парами с левым "кругом" и с последующим замыканием его. Открытым текстом я передал ведущим четверок о способе атаки цели. Аэродром Легштрисс находился рядом с ранее данной нам целью, так что никаких перерасчетов делать не пришлось, только увеличил курс на 20, рассчитывая выйти на восточную часть аэродрома, чтобы было удобнее атаковать.</w:t>
      </w:r>
    </w:p>
    <w:p w14:paraId="784627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линии фронта Ефимов шел с набором высоты 2000-2200 м. Линию фронта пересекал со снижением на повышенной скорости (340 км/час). Немцы, привыкнув к расчетам на 290-300 км/час для Ил-2, сразу не могли нанести группе поражения. Все разрывы ложились далеко в хвосте. Весь путь до цели ш прошли под сильным зенитным огнем немцев, пытавшихся расстроить боевой порядок группы. К аэродрому подошли на высоте 800-900 м. Группа вытянулась в линию по фронту. Поравнявшись с аэродромом, с левым доворотом начали атаку. ЗА аэродрома открыла огонь по группе, но не смогла нанести серьезного поражения. Специально выделенные для подавления ЗА экипажи на втором заходе заставили замолчать ЗА.</w:t>
      </w:r>
    </w:p>
    <w:p w14:paraId="3677AD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Став в "круг" попарно, группа начала штурмовку аэродрома. Ввиду большой рассредоточенности самолетов приходилось каждому выбирать цель.</w:t>
      </w:r>
    </w:p>
    <w:p w14:paraId="283AB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Группа произвела 3 захода. Выйдя из атаки, Ефимов взял курс на центр г. Данциг. Немцы не ожидали такого маневра и, замолчав, в первый момент не вели никакого огня. Группа вытянулась попарно в цепочку за ведущим. Не дойдя до центра города 2 км, Ефимов резко развернулся вправо, одновременно дав об этом команду группе. Срезая "круг", группа быстро приняла боевой порядок, постепенно набирая высоту.</w:t>
      </w:r>
    </w:p>
    <w:p w14:paraId="6FC74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Потерь группа не имела. Четыре самолета получили незначительные повреждения. На аэродроме Легштрисс было сожжено 14 самолетов и ангар, в котором находилось до 20 разнообразных самолетов, приготовленных к эвакуации.</w:t>
      </w:r>
    </w:p>
    <w:p w14:paraId="4C25A8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штурмовки были подтверждены наземными частями, фотоснимками и истребителями прикрытия (3207).</w:t>
      </w:r>
    </w:p>
    <w:p w14:paraId="5BCFFDFF" w14:textId="77777777" w:rsidR="00665165" w:rsidRPr="00925F26" w:rsidRDefault="00665165" w:rsidP="00925F26">
      <w:pPr>
        <w:autoSpaceDE w:val="0"/>
        <w:autoSpaceDN w:val="0"/>
        <w:adjustRightInd w:val="0"/>
        <w:jc w:val="both"/>
        <w:rPr>
          <w:color w:val="000000" w:themeColor="text1"/>
          <w:sz w:val="16"/>
          <w:szCs w:val="16"/>
        </w:rPr>
      </w:pPr>
    </w:p>
    <w:p w14:paraId="554FF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марта по 5 мая 1945 состоялась Братиславско-Брновская операция по освобождению Словакии силами 2УФ и Дунайской флотилии (2438,113).</w:t>
      </w:r>
    </w:p>
    <w:p w14:paraId="78256EDC" w14:textId="77777777" w:rsidR="00665165" w:rsidRPr="00925F26" w:rsidRDefault="00665165" w:rsidP="00925F26">
      <w:pPr>
        <w:autoSpaceDE w:val="0"/>
        <w:autoSpaceDN w:val="0"/>
        <w:adjustRightInd w:val="0"/>
        <w:jc w:val="both"/>
        <w:rPr>
          <w:color w:val="000000" w:themeColor="text1"/>
          <w:sz w:val="16"/>
          <w:szCs w:val="16"/>
        </w:rPr>
      </w:pPr>
    </w:p>
    <w:p w14:paraId="4F1AE98E" w14:textId="77777777" w:rsidR="00B52070"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67EBB56" w14:textId="77777777" w:rsidR="00B52070" w:rsidRPr="00925F26" w:rsidRDefault="00B52070" w:rsidP="00925F26">
      <w:pPr>
        <w:autoSpaceDE w:val="0"/>
        <w:autoSpaceDN w:val="0"/>
        <w:adjustRightInd w:val="0"/>
        <w:jc w:val="both"/>
        <w:rPr>
          <w:iCs/>
          <w:color w:val="000000" w:themeColor="text1"/>
          <w:sz w:val="16"/>
          <w:szCs w:val="16"/>
        </w:rPr>
      </w:pPr>
    </w:p>
    <w:p w14:paraId="56E5A869" w14:textId="77777777" w:rsidR="00B52070" w:rsidRPr="00925F26" w:rsidRDefault="00B52070" w:rsidP="00925F26">
      <w:pPr>
        <w:jc w:val="both"/>
        <w:rPr>
          <w:color w:val="000000" w:themeColor="text1"/>
          <w:sz w:val="16"/>
          <w:szCs w:val="16"/>
        </w:rPr>
      </w:pPr>
      <w:r w:rsidRPr="00925F26">
        <w:rPr>
          <w:bCs/>
          <w:color w:val="000000" w:themeColor="text1"/>
          <w:sz w:val="16"/>
          <w:szCs w:val="16"/>
        </w:rPr>
        <w:t>25 марта</w:t>
      </w:r>
      <w:r w:rsidRPr="00925F26">
        <w:rPr>
          <w:color w:val="000000" w:themeColor="text1"/>
          <w:sz w:val="16"/>
          <w:szCs w:val="16"/>
        </w:rPr>
        <w:t xml:space="preserve"> в 1945 году постановление СНК СССР «О государственном плане восстановления и развития народного хозяйства на 1945 год» (15079).</w:t>
      </w:r>
    </w:p>
    <w:p w14:paraId="437A99A3" w14:textId="77777777" w:rsidR="00B52070" w:rsidRPr="00925F26" w:rsidRDefault="00B52070" w:rsidP="00925F26">
      <w:pPr>
        <w:jc w:val="both"/>
        <w:rPr>
          <w:color w:val="000000" w:themeColor="text1"/>
          <w:sz w:val="16"/>
          <w:szCs w:val="16"/>
        </w:rPr>
      </w:pPr>
    </w:p>
    <w:p w14:paraId="5164E5B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6CDA614" w14:textId="77777777" w:rsidR="00665165" w:rsidRPr="00925F26" w:rsidRDefault="00665165" w:rsidP="00925F26">
      <w:pPr>
        <w:autoSpaceDE w:val="0"/>
        <w:autoSpaceDN w:val="0"/>
        <w:adjustRightInd w:val="0"/>
        <w:jc w:val="both"/>
        <w:rPr>
          <w:iCs/>
          <w:color w:val="000000" w:themeColor="text1"/>
          <w:sz w:val="16"/>
          <w:szCs w:val="16"/>
        </w:rPr>
      </w:pPr>
    </w:p>
    <w:p w14:paraId="3A6905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25 марта 1945 вышло Постановление ГКО № 7930 О формировании на территории СССР 2-й румынской дивизии из состава военнопленных румынской армии. РГАНИР, Фонд ГКО, д. 383, лл. 70-72 (11012).</w:t>
      </w:r>
    </w:p>
    <w:p w14:paraId="6A0EE207" w14:textId="77777777" w:rsidR="00665165" w:rsidRPr="00925F26" w:rsidRDefault="00665165" w:rsidP="00925F26">
      <w:pPr>
        <w:autoSpaceDE w:val="0"/>
        <w:autoSpaceDN w:val="0"/>
        <w:adjustRightInd w:val="0"/>
        <w:jc w:val="both"/>
        <w:rPr>
          <w:color w:val="000000" w:themeColor="text1"/>
          <w:sz w:val="16"/>
          <w:szCs w:val="16"/>
        </w:rPr>
      </w:pPr>
    </w:p>
    <w:p w14:paraId="58021EB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461ACE5" w14:textId="77777777" w:rsidR="00665165" w:rsidRPr="00925F26" w:rsidRDefault="00665165" w:rsidP="00925F26">
      <w:pPr>
        <w:autoSpaceDE w:val="0"/>
        <w:autoSpaceDN w:val="0"/>
        <w:adjustRightInd w:val="0"/>
        <w:jc w:val="both"/>
        <w:rPr>
          <w:iCs/>
          <w:color w:val="000000" w:themeColor="text1"/>
          <w:sz w:val="16"/>
          <w:szCs w:val="16"/>
        </w:rPr>
      </w:pPr>
    </w:p>
    <w:p w14:paraId="1232B98A" w14:textId="77777777" w:rsidR="00B52070" w:rsidRPr="00925F26" w:rsidRDefault="00B52070" w:rsidP="00925F26">
      <w:pPr>
        <w:jc w:val="both"/>
        <w:rPr>
          <w:color w:val="000000" w:themeColor="text1"/>
          <w:sz w:val="16"/>
          <w:szCs w:val="16"/>
        </w:rPr>
      </w:pPr>
      <w:r w:rsidRPr="00925F26">
        <w:rPr>
          <w:bCs/>
          <w:color w:val="000000" w:themeColor="text1"/>
          <w:sz w:val="16"/>
          <w:szCs w:val="16"/>
        </w:rPr>
        <w:t>25 марта</w:t>
      </w:r>
      <w:r w:rsidRPr="00925F26">
        <w:rPr>
          <w:color w:val="000000" w:themeColor="text1"/>
          <w:sz w:val="16"/>
          <w:szCs w:val="16"/>
        </w:rPr>
        <w:t xml:space="preserve"> в 1945 году налёт американских самолётов на Прагу (15079).</w:t>
      </w:r>
    </w:p>
    <w:p w14:paraId="3F04AFA3" w14:textId="77777777" w:rsidR="00B52070" w:rsidRPr="00925F26" w:rsidRDefault="00B52070" w:rsidP="00925F26">
      <w:pPr>
        <w:jc w:val="both"/>
        <w:rPr>
          <w:color w:val="000000" w:themeColor="text1"/>
          <w:sz w:val="16"/>
          <w:szCs w:val="16"/>
        </w:rPr>
      </w:pPr>
    </w:p>
    <w:p w14:paraId="31D2C526"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25th, 1945: The British Second Army captures Wesel which has been nearly 100% destroyed by Allied bombing (3819).</w:t>
      </w:r>
    </w:p>
    <w:p w14:paraId="7DE220D6" w14:textId="77777777" w:rsidR="00665165" w:rsidRPr="00925F26" w:rsidRDefault="00665165" w:rsidP="00925F26">
      <w:pPr>
        <w:autoSpaceDE w:val="0"/>
        <w:autoSpaceDN w:val="0"/>
        <w:adjustRightInd w:val="0"/>
        <w:jc w:val="both"/>
        <w:rPr>
          <w:color w:val="000000" w:themeColor="text1"/>
          <w:sz w:val="16"/>
          <w:szCs w:val="16"/>
          <w:lang w:val="en-US"/>
        </w:rPr>
      </w:pPr>
    </w:p>
    <w:p w14:paraId="6712B0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марта 1945 в Германии американские войска с плацдармов на Рейне начинают наступление на юг, стремясь овладеть Руром и 28 англичане начинают наступление на севере (3907,256).</w:t>
      </w:r>
    </w:p>
    <w:p w14:paraId="53050573" w14:textId="77777777" w:rsidR="00665165" w:rsidRPr="00925F26" w:rsidRDefault="00665165" w:rsidP="00925F26">
      <w:pPr>
        <w:autoSpaceDE w:val="0"/>
        <w:autoSpaceDN w:val="0"/>
        <w:adjustRightInd w:val="0"/>
        <w:jc w:val="both"/>
        <w:rPr>
          <w:color w:val="000000" w:themeColor="text1"/>
          <w:sz w:val="16"/>
          <w:szCs w:val="16"/>
        </w:rPr>
      </w:pPr>
    </w:p>
    <w:p w14:paraId="02AEFDE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марта 1945 закончилось наступление американцев против немецкого саарско-мозельского выступа (</w:t>
      </w:r>
      <w:proofErr w:type="gramStart"/>
      <w:r w:rsidRPr="00925F26">
        <w:rPr>
          <w:color w:val="000000" w:themeColor="text1"/>
          <w:sz w:val="16"/>
          <w:szCs w:val="16"/>
        </w:rPr>
        <w:t>4963 )</w:t>
      </w:r>
      <w:proofErr w:type="gramEnd"/>
      <w:r w:rsidRPr="00925F26">
        <w:rPr>
          <w:color w:val="000000" w:themeColor="text1"/>
          <w:sz w:val="16"/>
          <w:szCs w:val="16"/>
        </w:rPr>
        <w:t>.</w:t>
      </w:r>
    </w:p>
    <w:p w14:paraId="0E5004D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ED6E8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марта 1945 немецкая подлодка U-234 покинула Киль, перевозя в Японию разобранный Ме-262 и чертежи ракетного оружия, а также 560 кг диоксида урана. Сдалась американцам и 19 мая 1945 была направлена в Портсмут (2605).</w:t>
      </w:r>
    </w:p>
    <w:p w14:paraId="05B2B2C1" w14:textId="77777777" w:rsidR="00665165" w:rsidRPr="00925F26" w:rsidRDefault="00665165" w:rsidP="00925F26">
      <w:pPr>
        <w:autoSpaceDE w:val="0"/>
        <w:autoSpaceDN w:val="0"/>
        <w:adjustRightInd w:val="0"/>
        <w:jc w:val="both"/>
        <w:rPr>
          <w:color w:val="000000" w:themeColor="text1"/>
          <w:sz w:val="16"/>
          <w:szCs w:val="16"/>
        </w:rPr>
      </w:pPr>
    </w:p>
    <w:p w14:paraId="338043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25 марта по 21 июня 1945 была Окинавская операция. 700 катеров и 2 тыс. самолетов с камикадзе (2438,467).</w:t>
      </w:r>
    </w:p>
    <w:p w14:paraId="5AB3C19D" w14:textId="77777777" w:rsidR="00665165" w:rsidRPr="00925F26" w:rsidRDefault="00665165" w:rsidP="00925F26">
      <w:pPr>
        <w:autoSpaceDE w:val="0"/>
        <w:autoSpaceDN w:val="0"/>
        <w:adjustRightInd w:val="0"/>
        <w:jc w:val="both"/>
        <w:rPr>
          <w:color w:val="000000" w:themeColor="text1"/>
          <w:sz w:val="16"/>
          <w:szCs w:val="16"/>
        </w:rPr>
      </w:pPr>
    </w:p>
    <w:p w14:paraId="3D178BF6" w14:textId="77777777" w:rsidR="00B52070" w:rsidRPr="00925F26" w:rsidRDefault="00B52070" w:rsidP="00925F26">
      <w:pPr>
        <w:jc w:val="both"/>
        <w:rPr>
          <w:color w:val="000000" w:themeColor="text1"/>
          <w:sz w:val="16"/>
          <w:szCs w:val="16"/>
        </w:rPr>
      </w:pPr>
      <w:r w:rsidRPr="00925F26">
        <w:rPr>
          <w:bCs/>
          <w:color w:val="000000" w:themeColor="text1"/>
          <w:sz w:val="16"/>
          <w:szCs w:val="16"/>
        </w:rPr>
        <w:t>25 марта</w:t>
      </w:r>
      <w:r w:rsidRPr="00925F26">
        <w:rPr>
          <w:color w:val="000000" w:themeColor="text1"/>
          <w:sz w:val="16"/>
          <w:szCs w:val="16"/>
        </w:rPr>
        <w:t xml:space="preserve"> в 1945 году вооруженные Силы США (10-я армия, 183 тысяч человек; свыше 1500 кораблей, в том числе 59 авианосцев, 22 линкора; около 2,5 тысяч самолетов) в ходе Второй мировой войны начали десантную операцию по захвату острова Окинава, который обороняла японская 32-я армия. Американцы после ожесточенных боев полностью выполнили поставленную задачу 21 июня (15079).</w:t>
      </w:r>
    </w:p>
    <w:p w14:paraId="4B6133BC" w14:textId="77777777" w:rsidR="00B52070" w:rsidRPr="00925F26" w:rsidRDefault="00B52070" w:rsidP="00925F26">
      <w:pPr>
        <w:jc w:val="both"/>
        <w:rPr>
          <w:color w:val="000000" w:themeColor="text1"/>
          <w:sz w:val="16"/>
          <w:szCs w:val="16"/>
        </w:rPr>
      </w:pPr>
    </w:p>
    <w:p w14:paraId="6B0A85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марта 1925 американские войска начали высадку на острова архипелага Кэрама, расположенные в непосредственной близости к Окинаве. На следующий день императорский генеральный штаб отдал приказ о начале операции «Тэнго» («Небеса»). По плану, в соответствии с этой операцией, по флоту союзников в районе Окинавы должны были быть нанесены самоубийственные атаки всеми наличными силами, включая тренировочные и связные самолеты (11686).</w:t>
      </w:r>
    </w:p>
    <w:p w14:paraId="0DA49719" w14:textId="77777777" w:rsidR="00665165" w:rsidRPr="00925F26" w:rsidRDefault="00665165" w:rsidP="00925F26">
      <w:pPr>
        <w:autoSpaceDE w:val="0"/>
        <w:autoSpaceDN w:val="0"/>
        <w:adjustRightInd w:val="0"/>
        <w:jc w:val="both"/>
        <w:rPr>
          <w:color w:val="000000" w:themeColor="text1"/>
          <w:sz w:val="16"/>
          <w:szCs w:val="16"/>
        </w:rPr>
      </w:pPr>
    </w:p>
    <w:p w14:paraId="4555D620" w14:textId="77777777" w:rsidR="00EA0CFB" w:rsidRPr="00925F26" w:rsidRDefault="00EA0CFB" w:rsidP="00925F26">
      <w:pPr>
        <w:jc w:val="both"/>
        <w:rPr>
          <w:color w:val="000000" w:themeColor="text1"/>
          <w:sz w:val="16"/>
          <w:szCs w:val="16"/>
        </w:rPr>
      </w:pPr>
      <w:r w:rsidRPr="00925F26">
        <w:rPr>
          <w:color w:val="000000" w:themeColor="text1"/>
          <w:sz w:val="16"/>
          <w:szCs w:val="16"/>
        </w:rPr>
        <w:t>25 марта 1945 японская авиация совершает последний налет на Иводзиму. Базирующиеся на острове ночные истребители ВВС США P-61 Black Widow сбивают несколько японских самолетов и отгоняют остальных (20371).</w:t>
      </w:r>
    </w:p>
    <w:p w14:paraId="09045156" w14:textId="77777777" w:rsidR="00EA0CFB" w:rsidRPr="00925F26" w:rsidRDefault="00EA0CFB" w:rsidP="00925F26">
      <w:pPr>
        <w:jc w:val="both"/>
        <w:rPr>
          <w:color w:val="000000" w:themeColor="text1"/>
          <w:sz w:val="16"/>
          <w:szCs w:val="16"/>
        </w:rPr>
      </w:pPr>
    </w:p>
    <w:p w14:paraId="7E455BF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5E51FCA" w14:textId="77777777" w:rsidR="00665165" w:rsidRPr="00925F26" w:rsidRDefault="00665165" w:rsidP="00925F26">
      <w:pPr>
        <w:autoSpaceDE w:val="0"/>
        <w:autoSpaceDN w:val="0"/>
        <w:adjustRightInd w:val="0"/>
        <w:jc w:val="both"/>
        <w:rPr>
          <w:iCs/>
          <w:color w:val="000000" w:themeColor="text1"/>
          <w:sz w:val="16"/>
          <w:szCs w:val="16"/>
        </w:rPr>
      </w:pPr>
    </w:p>
    <w:p w14:paraId="02017050" w14:textId="77777777" w:rsidR="00927952" w:rsidRPr="00925F26" w:rsidRDefault="00927952" w:rsidP="00925F26">
      <w:pPr>
        <w:jc w:val="both"/>
        <w:rPr>
          <w:color w:val="000000" w:themeColor="text1"/>
          <w:sz w:val="16"/>
          <w:szCs w:val="16"/>
        </w:rPr>
      </w:pPr>
      <w:r w:rsidRPr="00925F26">
        <w:rPr>
          <w:color w:val="000000" w:themeColor="text1"/>
          <w:sz w:val="16"/>
          <w:szCs w:val="16"/>
        </w:rPr>
        <w:t>26 марта 1945</w:t>
      </w:r>
    </w:p>
    <w:p w14:paraId="0C3E5E12"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u w:val="single"/>
        </w:rPr>
        <w:t>ПРИКАЗ</w:t>
      </w:r>
    </w:p>
    <w:p w14:paraId="4FAB8413"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По заводу имени Ворошилов</w:t>
      </w:r>
      <w:r w:rsidRPr="00925F26">
        <w:rPr>
          <w:rFonts w:eastAsia="Gungsuh"/>
          <w:color w:val="000000" w:themeColor="text1"/>
          <w:sz w:val="16"/>
          <w:szCs w:val="16"/>
          <w:lang w:val="en-US"/>
        </w:rPr>
        <w:t>a</w:t>
      </w:r>
    </w:p>
    <w:p w14:paraId="01F6ABD5"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 xml:space="preserve">В солтветствии с принятыми решеннями на совещания у зам. Наркома т. Кузнецова </w:t>
      </w:r>
      <w:proofErr w:type="gramStart"/>
      <w:r w:rsidRPr="00925F26">
        <w:rPr>
          <w:rFonts w:eastAsia="Gungsuh"/>
          <w:color w:val="000000" w:themeColor="text1"/>
          <w:sz w:val="16"/>
          <w:szCs w:val="16"/>
        </w:rPr>
        <w:t>А.Я</w:t>
      </w:r>
      <w:proofErr w:type="gramEnd"/>
      <w:r w:rsidRPr="00925F26">
        <w:rPr>
          <w:rFonts w:eastAsia="Gungsuh"/>
          <w:color w:val="000000" w:themeColor="text1"/>
          <w:sz w:val="16"/>
          <w:szCs w:val="16"/>
        </w:rPr>
        <w:t xml:space="preserve"> по вопросу постройки эталонной машины на 1945 </w:t>
      </w:r>
      <w:proofErr w:type="gramStart"/>
      <w:r w:rsidRPr="00925F26">
        <w:rPr>
          <w:rFonts w:eastAsia="Gungsuh"/>
          <w:color w:val="000000" w:themeColor="text1"/>
          <w:sz w:val="16"/>
          <w:szCs w:val="16"/>
        </w:rPr>
        <w:t>год</w:t>
      </w:r>
      <w:proofErr w:type="gramEnd"/>
      <w:r w:rsidRPr="00925F26">
        <w:rPr>
          <w:rFonts w:eastAsia="Gungsuh"/>
          <w:color w:val="000000" w:themeColor="text1"/>
          <w:sz w:val="16"/>
          <w:szCs w:val="16"/>
        </w:rPr>
        <w:t xml:space="preserve"> Приказываю:</w:t>
      </w:r>
    </w:p>
    <w:p w14:paraId="6F2AB3E3"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Пар. 1.</w:t>
      </w:r>
    </w:p>
    <w:p w14:paraId="5443FD6F"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Построить эталонную машину Ил-10 со следующими изменениями и добавлениями:</w:t>
      </w:r>
    </w:p>
    <w:p w14:paraId="4F5E605E" w14:textId="77777777" w:rsidR="00927952" w:rsidRPr="00925F26" w:rsidRDefault="00927952" w:rsidP="00925F26">
      <w:pPr>
        <w:jc w:val="both"/>
        <w:rPr>
          <w:iCs/>
          <w:color w:val="000000" w:themeColor="text1"/>
          <w:sz w:val="16"/>
          <w:szCs w:val="16"/>
        </w:rPr>
      </w:pPr>
      <w:r w:rsidRPr="00925F26">
        <w:rPr>
          <w:iCs/>
          <w:color w:val="000000" w:themeColor="text1"/>
          <w:sz w:val="16"/>
          <w:szCs w:val="16"/>
        </w:rPr>
        <w:t>а) установить приемник РСИ-6-МУ с дистанционным управлением взамен РСИ-4</w:t>
      </w:r>
    </w:p>
    <w:p w14:paraId="72A3D634" w14:textId="77777777" w:rsidR="00927952" w:rsidRPr="00925F26" w:rsidRDefault="00927952" w:rsidP="00925F26">
      <w:pPr>
        <w:jc w:val="both"/>
        <w:rPr>
          <w:rFonts w:eastAsia="Gungsuh"/>
          <w:color w:val="000000" w:themeColor="text1"/>
          <w:sz w:val="16"/>
          <w:szCs w:val="16"/>
        </w:rPr>
      </w:pPr>
      <w:r w:rsidRPr="00925F26">
        <w:rPr>
          <w:smallCaps/>
          <w:color w:val="000000" w:themeColor="text1"/>
          <w:sz w:val="16"/>
          <w:szCs w:val="16"/>
        </w:rPr>
        <w:t>Б) У</w:t>
      </w:r>
      <w:r w:rsidRPr="00925F26">
        <w:rPr>
          <w:bCs/>
          <w:color w:val="000000" w:themeColor="text1"/>
          <w:sz w:val="16"/>
          <w:szCs w:val="16"/>
        </w:rPr>
        <w:t>становить</w:t>
      </w:r>
      <w:r w:rsidRPr="00925F26">
        <w:rPr>
          <w:rFonts w:eastAsia="Gungsuh"/>
          <w:color w:val="000000" w:themeColor="text1"/>
          <w:sz w:val="16"/>
          <w:szCs w:val="16"/>
        </w:rPr>
        <w:t xml:space="preserve"> радиополукомпас РПК-10</w:t>
      </w:r>
    </w:p>
    <w:p w14:paraId="125D83DA"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в) Заменить генератор ГС-300 на ГС-500</w:t>
      </w:r>
    </w:p>
    <w:p w14:paraId="2897F885"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г) Смонтировать установку УБ-20 у стрелуа</w:t>
      </w:r>
    </w:p>
    <w:p w14:paraId="6925D43D"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д) Установить механизм "винт-газ" системц ЦИАМ</w:t>
      </w:r>
    </w:p>
    <w:p w14:paraId="6B4C24C3"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е) Установить радиоополнаватель 64-3</w:t>
      </w:r>
    </w:p>
    <w:p w14:paraId="632B4FAA"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ж) Установить навый винт, обеспечивающий лучшее взлетное качество самолета</w:t>
      </w:r>
    </w:p>
    <w:p w14:paraId="0F9C0C4B"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з) Установкть модернизированные тормозные колеса 820 х 260</w:t>
      </w:r>
    </w:p>
    <w:p w14:paraId="7090636C"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и) Установить наружную заслонку в систему всасывания воэдуха в мотор.</w:t>
      </w:r>
    </w:p>
    <w:p w14:paraId="6E431FB1"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к) Установить усиленную лебедку аварийного опускания шасси.</w:t>
      </w:r>
    </w:p>
    <w:p w14:paraId="2023B413"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л) Установить усияанные купола шассн</w:t>
      </w:r>
    </w:p>
    <w:p w14:paraId="14C0109A"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м) Установить усиленный костыль.</w:t>
      </w:r>
    </w:p>
    <w:p w14:paraId="2749934D"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н) Поставить выхлопные патрубки иа материола ЗЯ1 1,5</w:t>
      </w:r>
    </w:p>
    <w:p w14:paraId="4CA4C305"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о) Сделать лючек на броне для подхода к БНК-10</w:t>
      </w:r>
    </w:p>
    <w:p w14:paraId="67DA6CAF"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п) Сделать уваличенные лючки для подхода к дюритам водотруб.</w:t>
      </w:r>
    </w:p>
    <w:p w14:paraId="4188558F"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р) Установить верхнюю крышку мотора с с повернутыми замками</w:t>
      </w:r>
    </w:p>
    <w:p w14:paraId="26471C94"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с) Установить доработанный АСШ-141 по чертежам завода № 24</w:t>
      </w:r>
    </w:p>
    <w:p w14:paraId="11201423"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т) Сделать боковую створку фонаря пилота откидной.</w:t>
      </w:r>
    </w:p>
    <w:p w14:paraId="16B1494D"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 xml:space="preserve">у) Отработать и приложить мерную тару </w:t>
      </w:r>
      <w:r w:rsidRPr="00925F26">
        <w:rPr>
          <w:rFonts w:eastAsia="Gungsuh"/>
          <w:color w:val="000000" w:themeColor="text1"/>
          <w:sz w:val="16"/>
          <w:szCs w:val="16"/>
          <w:lang w:val="en-US"/>
        </w:rPr>
        <w:t>pa</w:t>
      </w:r>
      <w:r w:rsidRPr="00925F26">
        <w:rPr>
          <w:rFonts w:eastAsia="Gungsuh"/>
          <w:color w:val="000000" w:themeColor="text1"/>
          <w:sz w:val="16"/>
          <w:szCs w:val="16"/>
        </w:rPr>
        <w:t>зжижения масла бензином и инструкцию по разжижению</w:t>
      </w:r>
    </w:p>
    <w:p w14:paraId="2A55C67F"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Машину сдать по сборке до 20 апреля</w:t>
      </w:r>
    </w:p>
    <w:p w14:paraId="37ACC077"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Пар. 2</w:t>
      </w:r>
    </w:p>
    <w:p w14:paraId="79607642"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Начальнику СКО т ЛЕСКОВУ оьеспечить Цеха всеми чертежами для этталонной машины к 28 апреля</w:t>
      </w:r>
    </w:p>
    <w:p w14:paraId="04A5CACD"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Парю 3</w:t>
      </w:r>
    </w:p>
    <w:p w14:paraId="6761C1A8" w14:textId="77777777" w:rsidR="00927952" w:rsidRPr="00925F26" w:rsidRDefault="00927952" w:rsidP="00925F26">
      <w:pPr>
        <w:jc w:val="both"/>
        <w:rPr>
          <w:rFonts w:eastAsia="Gungsuh"/>
          <w:color w:val="000000" w:themeColor="text1"/>
          <w:sz w:val="16"/>
          <w:szCs w:val="16"/>
        </w:rPr>
      </w:pPr>
      <w:r w:rsidRPr="00925F26">
        <w:rPr>
          <w:rFonts w:eastAsia="Gungsuh"/>
          <w:color w:val="000000" w:themeColor="text1"/>
          <w:sz w:val="16"/>
          <w:szCs w:val="16"/>
        </w:rPr>
        <w:t>Начальнику ОСП т.ТОЛКАЧЕВУ обеспечить цеха всеми вышеупомянутыми вювь вводиимыми готовыми изделиями для монтажа эталонной машины к 10 апреля.</w:t>
      </w:r>
    </w:p>
    <w:p w14:paraId="2C4F4A29" w14:textId="77777777" w:rsidR="00927952" w:rsidRPr="00925F26" w:rsidRDefault="00927952" w:rsidP="00925F26">
      <w:pPr>
        <w:jc w:val="both"/>
        <w:rPr>
          <w:color w:val="000000" w:themeColor="text1"/>
          <w:sz w:val="16"/>
          <w:szCs w:val="16"/>
        </w:rPr>
      </w:pPr>
      <w:r w:rsidRPr="00925F26">
        <w:rPr>
          <w:rFonts w:eastAsia="Gungsuh"/>
          <w:color w:val="000000" w:themeColor="text1"/>
          <w:sz w:val="16"/>
          <w:szCs w:val="16"/>
        </w:rPr>
        <w:t xml:space="preserve">Директор завода Белянский </w:t>
      </w:r>
      <w:r w:rsidRPr="00925F26">
        <w:rPr>
          <w:color w:val="000000" w:themeColor="text1"/>
          <w:sz w:val="16"/>
          <w:szCs w:val="16"/>
        </w:rPr>
        <w:t>(19789).</w:t>
      </w:r>
    </w:p>
    <w:p w14:paraId="78DCD198" w14:textId="77777777" w:rsidR="00927952" w:rsidRPr="00925F26" w:rsidRDefault="00927952" w:rsidP="00925F26">
      <w:pPr>
        <w:jc w:val="both"/>
        <w:rPr>
          <w:color w:val="000000" w:themeColor="text1"/>
          <w:sz w:val="16"/>
          <w:szCs w:val="16"/>
        </w:rPr>
      </w:pPr>
    </w:p>
    <w:p w14:paraId="07F82B94" w14:textId="77777777" w:rsidR="00C43715" w:rsidRPr="00925F26" w:rsidRDefault="00C43715" w:rsidP="00925F26">
      <w:pPr>
        <w:jc w:val="both"/>
        <w:rPr>
          <w:color w:val="000000" w:themeColor="text1"/>
          <w:sz w:val="16"/>
          <w:szCs w:val="16"/>
        </w:rPr>
      </w:pPr>
      <w:r w:rsidRPr="00925F26">
        <w:rPr>
          <w:color w:val="000000" w:themeColor="text1"/>
          <w:sz w:val="16"/>
          <w:szCs w:val="16"/>
        </w:rPr>
        <w:t>26 марта 1945 г.</w:t>
      </w:r>
    </w:p>
    <w:p w14:paraId="56AC77C6" w14:textId="77777777" w:rsidR="00C43715" w:rsidRPr="00925F26" w:rsidRDefault="00C43715" w:rsidP="00925F26">
      <w:pPr>
        <w:jc w:val="both"/>
        <w:rPr>
          <w:color w:val="000000" w:themeColor="text1"/>
          <w:sz w:val="16"/>
          <w:szCs w:val="16"/>
        </w:rPr>
      </w:pPr>
      <w:r w:rsidRPr="00925F26">
        <w:rPr>
          <w:color w:val="000000" w:themeColor="text1"/>
          <w:sz w:val="16"/>
          <w:szCs w:val="16"/>
        </w:rPr>
        <w:t>Из приказа по заводу № 18 о постройке эталонной машины Ил-10</w:t>
      </w:r>
    </w:p>
    <w:p w14:paraId="317BCACF" w14:textId="77777777" w:rsidR="00C43715" w:rsidRPr="00925F26" w:rsidRDefault="00C43715" w:rsidP="00925F26">
      <w:pPr>
        <w:jc w:val="both"/>
        <w:rPr>
          <w:color w:val="000000" w:themeColor="text1"/>
          <w:sz w:val="16"/>
          <w:szCs w:val="16"/>
        </w:rPr>
      </w:pPr>
      <w:r w:rsidRPr="00925F26">
        <w:rPr>
          <w:color w:val="000000" w:themeColor="text1"/>
          <w:sz w:val="16"/>
          <w:szCs w:val="16"/>
        </w:rPr>
        <w:t>26 марта 1945 г.</w:t>
      </w:r>
    </w:p>
    <w:p w14:paraId="752045E8" w14:textId="77777777" w:rsidR="00C43715" w:rsidRPr="00925F26" w:rsidRDefault="00C43715" w:rsidP="00925F26">
      <w:pPr>
        <w:jc w:val="both"/>
        <w:rPr>
          <w:color w:val="000000" w:themeColor="text1"/>
          <w:sz w:val="16"/>
          <w:szCs w:val="16"/>
        </w:rPr>
      </w:pPr>
      <w:r w:rsidRPr="00925F26">
        <w:rPr>
          <w:color w:val="000000" w:themeColor="text1"/>
          <w:sz w:val="16"/>
          <w:szCs w:val="16"/>
        </w:rPr>
        <w:t>В соответствии с принятыми решениями на совещании у зам. наркома тов. Кузнецова А.И. по вопросу постройки эталонной машины Ил-10 на 1945 год приказываю:</w:t>
      </w:r>
    </w:p>
    <w:p w14:paraId="7226C5E5" w14:textId="77777777" w:rsidR="00C43715" w:rsidRPr="00925F26" w:rsidRDefault="00C43715" w:rsidP="00925F26">
      <w:pPr>
        <w:jc w:val="both"/>
        <w:rPr>
          <w:color w:val="000000" w:themeColor="text1"/>
          <w:sz w:val="16"/>
          <w:szCs w:val="16"/>
        </w:rPr>
      </w:pPr>
      <w:r w:rsidRPr="00925F26">
        <w:rPr>
          <w:color w:val="000000" w:themeColor="text1"/>
          <w:sz w:val="16"/>
          <w:szCs w:val="16"/>
        </w:rPr>
        <w:t>§ 1.</w:t>
      </w:r>
    </w:p>
    <w:p w14:paraId="5482E2B1" w14:textId="77777777" w:rsidR="00C43715" w:rsidRPr="00925F26" w:rsidRDefault="00C43715" w:rsidP="00925F26">
      <w:pPr>
        <w:jc w:val="both"/>
        <w:rPr>
          <w:color w:val="000000" w:themeColor="text1"/>
          <w:sz w:val="16"/>
          <w:szCs w:val="16"/>
        </w:rPr>
      </w:pPr>
      <w:r w:rsidRPr="00925F26">
        <w:rPr>
          <w:color w:val="000000" w:themeColor="text1"/>
          <w:sz w:val="16"/>
          <w:szCs w:val="16"/>
        </w:rPr>
        <w:t>Построить эталонную Ил-10 1945 года со следующими изменениями и добавлениями:</w:t>
      </w:r>
    </w:p>
    <w:p w14:paraId="3C3F8DEC" w14:textId="77777777" w:rsidR="00C43715" w:rsidRPr="00925F26" w:rsidRDefault="00C43715" w:rsidP="00925F26">
      <w:pPr>
        <w:jc w:val="both"/>
        <w:rPr>
          <w:color w:val="000000" w:themeColor="text1"/>
          <w:sz w:val="16"/>
          <w:szCs w:val="16"/>
        </w:rPr>
      </w:pPr>
      <w:r w:rsidRPr="00925F26">
        <w:rPr>
          <w:color w:val="000000" w:themeColor="text1"/>
          <w:sz w:val="16"/>
          <w:szCs w:val="16"/>
        </w:rPr>
        <w:t>а) установить приемник РСИ-6-МУ с дистанционным управлением РСИ-4;</w:t>
      </w:r>
    </w:p>
    <w:p w14:paraId="6D34669B" w14:textId="77777777" w:rsidR="00C43715" w:rsidRPr="00925F26" w:rsidRDefault="00C43715" w:rsidP="00925F26">
      <w:pPr>
        <w:jc w:val="both"/>
        <w:rPr>
          <w:color w:val="000000" w:themeColor="text1"/>
          <w:sz w:val="16"/>
          <w:szCs w:val="16"/>
        </w:rPr>
      </w:pPr>
      <w:r w:rsidRPr="00925F26">
        <w:rPr>
          <w:color w:val="000000" w:themeColor="text1"/>
          <w:sz w:val="16"/>
          <w:szCs w:val="16"/>
        </w:rPr>
        <w:t>б) установить радиополукомпас РПКО-10;</w:t>
      </w:r>
    </w:p>
    <w:p w14:paraId="0E513A47" w14:textId="77777777" w:rsidR="00C43715" w:rsidRPr="00925F26" w:rsidRDefault="00C43715" w:rsidP="00925F26">
      <w:pPr>
        <w:jc w:val="both"/>
        <w:rPr>
          <w:color w:val="000000" w:themeColor="text1"/>
          <w:sz w:val="16"/>
          <w:szCs w:val="16"/>
        </w:rPr>
      </w:pPr>
      <w:r w:rsidRPr="00925F26">
        <w:rPr>
          <w:color w:val="000000" w:themeColor="text1"/>
          <w:sz w:val="16"/>
          <w:szCs w:val="16"/>
        </w:rPr>
        <w:t>в) заменить генератор ГС-350 на ГС-500...1</w:t>
      </w:r>
    </w:p>
    <w:p w14:paraId="5D3573E8" w14:textId="77777777" w:rsidR="00C43715" w:rsidRPr="00925F26" w:rsidRDefault="00C43715" w:rsidP="00925F26">
      <w:pPr>
        <w:jc w:val="both"/>
        <w:rPr>
          <w:color w:val="000000" w:themeColor="text1"/>
          <w:sz w:val="16"/>
          <w:szCs w:val="16"/>
        </w:rPr>
      </w:pPr>
      <w:r w:rsidRPr="00925F26">
        <w:rPr>
          <w:color w:val="000000" w:themeColor="text1"/>
          <w:sz w:val="16"/>
          <w:szCs w:val="16"/>
        </w:rPr>
        <w:t>Машину сдать по сборке до 20/IV.</w:t>
      </w:r>
    </w:p>
    <w:p w14:paraId="66AC7B5F" w14:textId="77777777" w:rsidR="00C43715" w:rsidRPr="00925F26" w:rsidRDefault="00C43715" w:rsidP="00925F26">
      <w:pPr>
        <w:jc w:val="both"/>
        <w:rPr>
          <w:color w:val="000000" w:themeColor="text1"/>
          <w:sz w:val="16"/>
          <w:szCs w:val="16"/>
        </w:rPr>
      </w:pPr>
      <w:r w:rsidRPr="00925F26">
        <w:rPr>
          <w:color w:val="000000" w:themeColor="text1"/>
          <w:sz w:val="16"/>
          <w:szCs w:val="16"/>
        </w:rPr>
        <w:t>Директор завода</w:t>
      </w:r>
      <w:r w:rsidRPr="00925F26">
        <w:rPr>
          <w:color w:val="000000" w:themeColor="text1"/>
          <w:sz w:val="16"/>
          <w:szCs w:val="16"/>
        </w:rPr>
        <w:tab/>
        <w:t>Белянский</w:t>
      </w:r>
    </w:p>
    <w:p w14:paraId="0205E187" w14:textId="77777777" w:rsidR="00C43715" w:rsidRPr="00925F26" w:rsidRDefault="00C43715" w:rsidP="00925F26">
      <w:pPr>
        <w:jc w:val="both"/>
        <w:rPr>
          <w:color w:val="000000" w:themeColor="text1"/>
          <w:sz w:val="16"/>
          <w:szCs w:val="16"/>
        </w:rPr>
      </w:pPr>
      <w:r w:rsidRPr="00925F26">
        <w:rPr>
          <w:color w:val="000000" w:themeColor="text1"/>
          <w:sz w:val="16"/>
          <w:szCs w:val="16"/>
        </w:rPr>
        <w:t>ГАСО. Ф. P-3454. On. 1.Д. 51. Л. 15. Подлинник (20520).</w:t>
      </w:r>
    </w:p>
    <w:p w14:paraId="36A9AEBE" w14:textId="77777777" w:rsidR="00C43715" w:rsidRPr="00925F26" w:rsidRDefault="00C43715" w:rsidP="00925F26">
      <w:pPr>
        <w:jc w:val="both"/>
        <w:rPr>
          <w:color w:val="000000" w:themeColor="text1"/>
          <w:sz w:val="16"/>
          <w:szCs w:val="16"/>
        </w:rPr>
      </w:pPr>
    </w:p>
    <w:p w14:paraId="5395F78B" w14:textId="77777777" w:rsidR="0019755A" w:rsidRPr="00925F26" w:rsidRDefault="0019755A" w:rsidP="00925F26">
      <w:pPr>
        <w:jc w:val="both"/>
        <w:rPr>
          <w:color w:val="000000" w:themeColor="text1"/>
          <w:sz w:val="16"/>
          <w:szCs w:val="16"/>
        </w:rPr>
      </w:pPr>
      <w:r w:rsidRPr="00925F26">
        <w:rPr>
          <w:color w:val="000000" w:themeColor="text1"/>
          <w:sz w:val="16"/>
          <w:szCs w:val="16"/>
        </w:rPr>
        <w:t>26 марта 1945 г. Из приказа по заводу № 18 о постройке эталонной машины Ил-10</w:t>
      </w:r>
    </w:p>
    <w:p w14:paraId="3B4675A0" w14:textId="77777777" w:rsidR="0019755A" w:rsidRPr="00925F26" w:rsidRDefault="0019755A" w:rsidP="00925F26">
      <w:pPr>
        <w:jc w:val="both"/>
        <w:rPr>
          <w:color w:val="000000" w:themeColor="text1"/>
          <w:sz w:val="16"/>
          <w:szCs w:val="16"/>
        </w:rPr>
      </w:pPr>
      <w:r w:rsidRPr="00925F26">
        <w:rPr>
          <w:color w:val="000000" w:themeColor="text1"/>
          <w:sz w:val="16"/>
          <w:szCs w:val="16"/>
        </w:rPr>
        <w:t>В соответствии с принятыми решениями на совещании у зам. наркома тов. Кузнецова А.И. по вопросу постройки эталонной машины Ил-10 на 1945 год приказываю:</w:t>
      </w:r>
    </w:p>
    <w:p w14:paraId="191B44B5" w14:textId="77777777" w:rsidR="0019755A" w:rsidRPr="00925F26" w:rsidRDefault="0019755A" w:rsidP="00925F26">
      <w:pPr>
        <w:jc w:val="both"/>
        <w:rPr>
          <w:color w:val="000000" w:themeColor="text1"/>
          <w:sz w:val="16"/>
          <w:szCs w:val="16"/>
        </w:rPr>
      </w:pPr>
      <w:r w:rsidRPr="00925F26">
        <w:rPr>
          <w:color w:val="000000" w:themeColor="text1"/>
          <w:sz w:val="16"/>
          <w:szCs w:val="16"/>
        </w:rPr>
        <w:t>§ 1.</w:t>
      </w:r>
    </w:p>
    <w:p w14:paraId="46279577" w14:textId="77777777" w:rsidR="0019755A" w:rsidRPr="00925F26" w:rsidRDefault="0019755A" w:rsidP="00925F26">
      <w:pPr>
        <w:jc w:val="both"/>
        <w:rPr>
          <w:color w:val="000000" w:themeColor="text1"/>
          <w:sz w:val="16"/>
          <w:szCs w:val="16"/>
        </w:rPr>
      </w:pPr>
      <w:r w:rsidRPr="00925F26">
        <w:rPr>
          <w:color w:val="000000" w:themeColor="text1"/>
          <w:sz w:val="16"/>
          <w:szCs w:val="16"/>
        </w:rPr>
        <w:t>Построить эталонную Ил-10 1945 года со следующими изменениями и добавлениями:</w:t>
      </w:r>
    </w:p>
    <w:p w14:paraId="779DDB88" w14:textId="77777777" w:rsidR="0019755A" w:rsidRPr="00925F26" w:rsidRDefault="0019755A" w:rsidP="00925F26">
      <w:pPr>
        <w:jc w:val="both"/>
        <w:rPr>
          <w:color w:val="000000" w:themeColor="text1"/>
          <w:sz w:val="16"/>
          <w:szCs w:val="16"/>
        </w:rPr>
      </w:pPr>
      <w:r w:rsidRPr="00925F26">
        <w:rPr>
          <w:color w:val="000000" w:themeColor="text1"/>
          <w:sz w:val="16"/>
          <w:szCs w:val="16"/>
        </w:rPr>
        <w:t>а) установить приемник РСИ-6-МУ с дистанционным управлением РСИ-4;</w:t>
      </w:r>
    </w:p>
    <w:p w14:paraId="7DFBE06C" w14:textId="77777777" w:rsidR="0019755A" w:rsidRPr="00925F26" w:rsidRDefault="0019755A" w:rsidP="00925F26">
      <w:pPr>
        <w:jc w:val="both"/>
        <w:rPr>
          <w:color w:val="000000" w:themeColor="text1"/>
          <w:sz w:val="16"/>
          <w:szCs w:val="16"/>
        </w:rPr>
      </w:pPr>
      <w:r w:rsidRPr="00925F26">
        <w:rPr>
          <w:color w:val="000000" w:themeColor="text1"/>
          <w:sz w:val="16"/>
          <w:szCs w:val="16"/>
        </w:rPr>
        <w:t>б) установить радиополукомпас РПКО-10.</w:t>
      </w:r>
    </w:p>
    <w:p w14:paraId="42DD7E5A" w14:textId="77777777" w:rsidR="0019755A" w:rsidRPr="00925F26" w:rsidRDefault="0019755A" w:rsidP="00925F26">
      <w:pPr>
        <w:jc w:val="both"/>
        <w:rPr>
          <w:color w:val="000000" w:themeColor="text1"/>
          <w:sz w:val="16"/>
          <w:szCs w:val="16"/>
        </w:rPr>
      </w:pPr>
      <w:r w:rsidRPr="00925F26">
        <w:rPr>
          <w:color w:val="000000" w:themeColor="text1"/>
          <w:sz w:val="16"/>
          <w:szCs w:val="16"/>
        </w:rPr>
        <w:t>в) заменить генератор ГС-350 на ГС-500...1</w:t>
      </w:r>
    </w:p>
    <w:p w14:paraId="46452AEC" w14:textId="77777777" w:rsidR="0019755A" w:rsidRPr="00925F26" w:rsidRDefault="0019755A" w:rsidP="00925F26">
      <w:pPr>
        <w:jc w:val="both"/>
        <w:rPr>
          <w:color w:val="000000" w:themeColor="text1"/>
          <w:sz w:val="16"/>
          <w:szCs w:val="16"/>
        </w:rPr>
      </w:pPr>
      <w:r w:rsidRPr="00925F26">
        <w:rPr>
          <w:color w:val="000000" w:themeColor="text1"/>
          <w:sz w:val="16"/>
          <w:szCs w:val="16"/>
        </w:rPr>
        <w:t>Машину сдать по сборке до 20/IV.</w:t>
      </w:r>
    </w:p>
    <w:p w14:paraId="668C6C9C" w14:textId="77777777" w:rsidR="0019755A" w:rsidRPr="00925F26" w:rsidRDefault="0019755A" w:rsidP="00925F26">
      <w:pPr>
        <w:jc w:val="both"/>
        <w:rPr>
          <w:color w:val="000000" w:themeColor="text1"/>
          <w:sz w:val="16"/>
          <w:szCs w:val="16"/>
        </w:rPr>
      </w:pPr>
      <w:r w:rsidRPr="00925F26">
        <w:rPr>
          <w:color w:val="000000" w:themeColor="text1"/>
          <w:sz w:val="16"/>
          <w:szCs w:val="16"/>
        </w:rPr>
        <w:lastRenderedPageBreak/>
        <w:t>Директор завода</w:t>
      </w:r>
      <w:r w:rsidRPr="00925F26">
        <w:rPr>
          <w:color w:val="000000" w:themeColor="text1"/>
          <w:sz w:val="16"/>
          <w:szCs w:val="16"/>
        </w:rPr>
        <w:tab/>
        <w:t>Белянский</w:t>
      </w:r>
    </w:p>
    <w:p w14:paraId="342F8473" w14:textId="77777777" w:rsidR="0019755A" w:rsidRPr="00925F26" w:rsidRDefault="0019755A" w:rsidP="00925F26">
      <w:pPr>
        <w:jc w:val="both"/>
        <w:rPr>
          <w:color w:val="000000" w:themeColor="text1"/>
          <w:sz w:val="16"/>
          <w:szCs w:val="16"/>
        </w:rPr>
      </w:pPr>
      <w:r w:rsidRPr="00925F26">
        <w:rPr>
          <w:color w:val="000000" w:themeColor="text1"/>
          <w:sz w:val="16"/>
          <w:szCs w:val="16"/>
        </w:rPr>
        <w:t>Всего в приказе названо 19 наименований и дополнений к эталонной машине Ил-10</w:t>
      </w:r>
    </w:p>
    <w:p w14:paraId="1DF8F936" w14:textId="77777777" w:rsidR="0019755A" w:rsidRPr="00925F26" w:rsidRDefault="0019755A" w:rsidP="00925F26">
      <w:pPr>
        <w:jc w:val="both"/>
        <w:rPr>
          <w:color w:val="000000" w:themeColor="text1"/>
          <w:sz w:val="16"/>
          <w:szCs w:val="16"/>
        </w:rPr>
      </w:pPr>
      <w:r w:rsidRPr="00925F26">
        <w:rPr>
          <w:color w:val="000000" w:themeColor="text1"/>
          <w:sz w:val="16"/>
          <w:szCs w:val="16"/>
        </w:rPr>
        <w:t>ГАСО</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P-3454. On. 1.</w:t>
      </w:r>
      <w:r w:rsidRPr="00925F26">
        <w:rPr>
          <w:color w:val="000000" w:themeColor="text1"/>
          <w:sz w:val="16"/>
          <w:szCs w:val="16"/>
        </w:rPr>
        <w:t>Д</w:t>
      </w:r>
      <w:r w:rsidRPr="00925F26">
        <w:rPr>
          <w:color w:val="000000" w:themeColor="text1"/>
          <w:sz w:val="16"/>
          <w:szCs w:val="16"/>
          <w:lang w:val="en-US"/>
        </w:rPr>
        <w:t xml:space="preserve">. 51. </w:t>
      </w:r>
      <w:r w:rsidRPr="00925F26">
        <w:rPr>
          <w:color w:val="000000" w:themeColor="text1"/>
          <w:sz w:val="16"/>
          <w:szCs w:val="16"/>
        </w:rPr>
        <w:t>Л</w:t>
      </w:r>
      <w:r w:rsidRPr="00925F26">
        <w:rPr>
          <w:color w:val="000000" w:themeColor="text1"/>
          <w:sz w:val="16"/>
          <w:szCs w:val="16"/>
          <w:lang w:val="en-US"/>
        </w:rPr>
        <w:t xml:space="preserve">. 15. </w:t>
      </w:r>
      <w:r w:rsidRPr="00925F26">
        <w:rPr>
          <w:color w:val="000000" w:themeColor="text1"/>
          <w:sz w:val="16"/>
          <w:szCs w:val="16"/>
        </w:rPr>
        <w:t>Подлинник (23852).</w:t>
      </w:r>
    </w:p>
    <w:p w14:paraId="737D4064" w14:textId="77777777" w:rsidR="0019755A" w:rsidRPr="00925F26" w:rsidRDefault="0019755A" w:rsidP="00925F26">
      <w:pPr>
        <w:jc w:val="both"/>
        <w:rPr>
          <w:color w:val="000000" w:themeColor="text1"/>
          <w:sz w:val="16"/>
          <w:szCs w:val="16"/>
        </w:rPr>
      </w:pPr>
    </w:p>
    <w:p w14:paraId="4A61B818" w14:textId="77777777" w:rsidR="00525BF4" w:rsidRPr="00925F26" w:rsidRDefault="00525BF4" w:rsidP="00925F26">
      <w:pPr>
        <w:pStyle w:val="a3"/>
        <w:rPr>
          <w:color w:val="000000" w:themeColor="text1"/>
          <w:lang w:val="ru-RU"/>
        </w:rPr>
      </w:pPr>
      <w:r w:rsidRPr="00925F26">
        <w:rPr>
          <w:color w:val="000000" w:themeColor="text1"/>
          <w:lang w:val="ru-RU"/>
        </w:rPr>
        <w:t>С 26 мая по 17 октября 1945 Ер-2ММ № 7063901 проходил заво</w:t>
      </w:r>
      <w:r w:rsidRPr="00925F26">
        <w:rPr>
          <w:color w:val="000000" w:themeColor="text1"/>
          <w:lang w:val="ru-RU"/>
        </w:rPr>
        <w:softHyphen/>
        <w:t>дские лётные испытания. С 18 октября по 3 ноября самолёт под</w:t>
      </w:r>
      <w:r w:rsidRPr="00925F26">
        <w:rPr>
          <w:color w:val="000000" w:themeColor="text1"/>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925F26">
        <w:rPr>
          <w:color w:val="000000" w:themeColor="text1"/>
          <w:lang w:val="ru-RU"/>
        </w:rPr>
        <w:softHyphen/>
        <w:t>жались до апреля 1946 г. и прервались из-за выхода из строя правого двигателя (15810).</w:t>
      </w:r>
    </w:p>
    <w:p w14:paraId="21E03E92" w14:textId="77777777" w:rsidR="00525BF4" w:rsidRPr="00925F26" w:rsidRDefault="00525BF4" w:rsidP="00925F26">
      <w:pPr>
        <w:pStyle w:val="a3"/>
        <w:rPr>
          <w:color w:val="000000" w:themeColor="text1"/>
          <w:lang w:val="ru-RU"/>
        </w:rPr>
      </w:pPr>
    </w:p>
    <w:p w14:paraId="32CD3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26 марта по 6 апреля 1945 проходили специальные летные испытания пушечного вооружения 2-х с-тов Ла-7 №№ 38102660 и 38108459 по три модифицированных пушки калибра 20мм (Б-20с) производства завода № 381</w:t>
      </w:r>
    </w:p>
    <w:p w14:paraId="05A97B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Выполнили 30 полетов, настрел - 6635 выстрелов.</w:t>
      </w:r>
    </w:p>
    <w:p w14:paraId="51F947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Исполнитель ви 7 отд. 1У ГК НИИ ВВС и-м В.А.Березин</w:t>
      </w:r>
    </w:p>
    <w:p w14:paraId="634A1B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И 1 от-я 4 У ГК НИИ ВВС Г.В.Минеев</w:t>
      </w:r>
    </w:p>
    <w:p w14:paraId="2D0A2E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7AA167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1D0C5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7DA9B0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1ECD8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2637FB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4CBE3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37E080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Летали Прошаков, Кубышкин (741,4).</w:t>
      </w:r>
    </w:p>
    <w:p w14:paraId="3AB98E97" w14:textId="77777777" w:rsidR="00665165" w:rsidRPr="00925F26" w:rsidRDefault="00665165" w:rsidP="00925F26">
      <w:pPr>
        <w:autoSpaceDE w:val="0"/>
        <w:autoSpaceDN w:val="0"/>
        <w:adjustRightInd w:val="0"/>
        <w:jc w:val="both"/>
        <w:rPr>
          <w:color w:val="000000" w:themeColor="text1"/>
          <w:sz w:val="16"/>
          <w:szCs w:val="16"/>
        </w:rPr>
      </w:pPr>
    </w:p>
    <w:p w14:paraId="4AF10782" w14:textId="77777777" w:rsidR="00C43715" w:rsidRPr="00925F26" w:rsidRDefault="00C43715" w:rsidP="00925F26">
      <w:pPr>
        <w:jc w:val="both"/>
        <w:rPr>
          <w:color w:val="000000" w:themeColor="text1"/>
          <w:sz w:val="16"/>
          <w:szCs w:val="16"/>
        </w:rPr>
      </w:pPr>
      <w:r w:rsidRPr="00925F26">
        <w:rPr>
          <w:color w:val="000000" w:themeColor="text1"/>
          <w:sz w:val="16"/>
          <w:szCs w:val="16"/>
        </w:rPr>
        <w:t>С 26 марта по 6 апреля 1945 г. прошли специальные испытания серийных «трехточечных» Ла-7 №№ 38102660 и 38108459 — и снова неудача. Девятого июля закончились специальные испытания Ла-7 № 38102663 с фильтрами на всасывающих патрубках ПЦН, улучшенной вентиляцией кабины и новой трехточечной пушечной установкой с уменьшенным боекомплектом 390 патронов — результат тот же. Очередные стрельбы были в сентябре: пушки Б-20 «горьковских» Ла-7 №№ 45214414, 45214415 и 45214416 дали в среднем на машину по 3 275, 3 222 и 3 155 выстрелов до отказа вместо 5 000, установленных в документации на одно орудие (22772).</w:t>
      </w:r>
    </w:p>
    <w:p w14:paraId="1BB9E936" w14:textId="77777777" w:rsidR="00C43715" w:rsidRPr="00925F26" w:rsidRDefault="00C43715" w:rsidP="00925F26">
      <w:pPr>
        <w:jc w:val="both"/>
        <w:rPr>
          <w:color w:val="000000" w:themeColor="text1"/>
          <w:sz w:val="16"/>
          <w:szCs w:val="16"/>
        </w:rPr>
      </w:pPr>
    </w:p>
    <w:p w14:paraId="7B9FFC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марта 1945 закончились работы по вывозу оборудования немецкого завода Фокке Вульф в Бирнбаум в СССР на завод 272 в Ленинграде (1874,12).</w:t>
      </w:r>
    </w:p>
    <w:p w14:paraId="4396D1E7" w14:textId="77777777" w:rsidR="00665165" w:rsidRPr="00925F26" w:rsidRDefault="00665165" w:rsidP="00925F26">
      <w:pPr>
        <w:autoSpaceDE w:val="0"/>
        <w:autoSpaceDN w:val="0"/>
        <w:adjustRightInd w:val="0"/>
        <w:jc w:val="both"/>
        <w:rPr>
          <w:color w:val="000000" w:themeColor="text1"/>
          <w:sz w:val="16"/>
          <w:szCs w:val="16"/>
        </w:rPr>
      </w:pPr>
    </w:p>
    <w:p w14:paraId="0BFF52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5D1757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Проводились с 11 по 19 марта 1945</w:t>
      </w:r>
    </w:p>
    <w:p w14:paraId="63789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И-м Рабкин</w:t>
      </w:r>
    </w:p>
    <w:p w14:paraId="253C9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п/п В.И.Хомяков</w:t>
      </w:r>
    </w:p>
    <w:p w14:paraId="1FD5B6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Рабкин</w:t>
      </w:r>
    </w:p>
    <w:p w14:paraId="64C7FB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рез-та предварительных испытаний</w:t>
      </w:r>
    </w:p>
    <w:p w14:paraId="66F75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3A4931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времчя войны немцы произвели несколько модификаций с-та ФВ-190 с мотором возд. Охлаждения БМВ-801</w:t>
      </w:r>
    </w:p>
    <w:p w14:paraId="250762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истребительный вариант - </w:t>
      </w:r>
      <w:r w:rsidRPr="00925F26">
        <w:rPr>
          <w:color w:val="000000" w:themeColor="text1"/>
          <w:sz w:val="16"/>
          <w:szCs w:val="16"/>
          <w:lang w:val="en-US"/>
        </w:rPr>
        <w:t>Jager</w:t>
      </w:r>
      <w:r w:rsidRPr="00925F26">
        <w:rPr>
          <w:color w:val="000000" w:themeColor="text1"/>
          <w:sz w:val="16"/>
          <w:szCs w:val="16"/>
        </w:rPr>
        <w:t xml:space="preserve"> - ФВ-190А-1, А-2, А-3, А-4, А-6, А-7, А-8, А-9</w:t>
      </w:r>
    </w:p>
    <w:p w14:paraId="276C05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штурмовой вариант - </w:t>
      </w:r>
      <w:r w:rsidRPr="00925F26">
        <w:rPr>
          <w:color w:val="000000" w:themeColor="text1"/>
          <w:sz w:val="16"/>
          <w:szCs w:val="16"/>
          <w:lang w:val="en-US"/>
        </w:rPr>
        <w:t>Schlachtsjager</w:t>
      </w:r>
      <w:r w:rsidRPr="00925F26">
        <w:rPr>
          <w:color w:val="000000" w:themeColor="text1"/>
          <w:sz w:val="16"/>
          <w:szCs w:val="16"/>
        </w:rPr>
        <w:t xml:space="preserve"> - ФВ </w:t>
      </w:r>
      <w:r w:rsidRPr="00925F26">
        <w:rPr>
          <w:color w:val="000000" w:themeColor="text1"/>
          <w:sz w:val="16"/>
          <w:szCs w:val="16"/>
          <w:lang w:val="en-US"/>
        </w:rPr>
        <w:t>F</w:t>
      </w:r>
      <w:r w:rsidRPr="00925F26">
        <w:rPr>
          <w:color w:val="000000" w:themeColor="text1"/>
          <w:sz w:val="16"/>
          <w:szCs w:val="16"/>
        </w:rPr>
        <w:t xml:space="preserve">-1, </w:t>
      </w:r>
      <w:r w:rsidRPr="00925F26">
        <w:rPr>
          <w:color w:val="000000" w:themeColor="text1"/>
          <w:sz w:val="16"/>
          <w:szCs w:val="16"/>
          <w:lang w:val="en-US"/>
        </w:rPr>
        <w:t>F</w:t>
      </w:r>
      <w:r w:rsidRPr="00925F26">
        <w:rPr>
          <w:color w:val="000000" w:themeColor="text1"/>
          <w:sz w:val="16"/>
          <w:szCs w:val="16"/>
        </w:rPr>
        <w:t xml:space="preserve">-2, </w:t>
      </w:r>
      <w:r w:rsidRPr="00925F26">
        <w:rPr>
          <w:color w:val="000000" w:themeColor="text1"/>
          <w:sz w:val="16"/>
          <w:szCs w:val="16"/>
          <w:lang w:val="en-US"/>
        </w:rPr>
        <w:t>F</w:t>
      </w:r>
      <w:r w:rsidRPr="00925F26">
        <w:rPr>
          <w:color w:val="000000" w:themeColor="text1"/>
          <w:sz w:val="16"/>
          <w:szCs w:val="16"/>
        </w:rPr>
        <w:t xml:space="preserve">-3, </w:t>
      </w:r>
      <w:r w:rsidRPr="00925F26">
        <w:rPr>
          <w:color w:val="000000" w:themeColor="text1"/>
          <w:sz w:val="16"/>
          <w:szCs w:val="16"/>
          <w:lang w:val="en-US"/>
        </w:rPr>
        <w:t>F</w:t>
      </w:r>
      <w:r w:rsidRPr="00925F26">
        <w:rPr>
          <w:color w:val="000000" w:themeColor="text1"/>
          <w:sz w:val="16"/>
          <w:szCs w:val="16"/>
        </w:rPr>
        <w:t xml:space="preserve">-8, </w:t>
      </w:r>
      <w:r w:rsidRPr="00925F26">
        <w:rPr>
          <w:color w:val="000000" w:themeColor="text1"/>
          <w:sz w:val="16"/>
          <w:szCs w:val="16"/>
          <w:lang w:val="en-US"/>
        </w:rPr>
        <w:t>F</w:t>
      </w:r>
      <w:r w:rsidRPr="00925F26">
        <w:rPr>
          <w:color w:val="000000" w:themeColor="text1"/>
          <w:sz w:val="16"/>
          <w:szCs w:val="16"/>
        </w:rPr>
        <w:t xml:space="preserve">-9, </w:t>
      </w:r>
      <w:r w:rsidRPr="00925F26">
        <w:rPr>
          <w:color w:val="000000" w:themeColor="text1"/>
          <w:sz w:val="16"/>
          <w:szCs w:val="16"/>
          <w:lang w:val="en-US"/>
        </w:rPr>
        <w:t>A</w:t>
      </w:r>
      <w:r w:rsidRPr="00925F26">
        <w:rPr>
          <w:color w:val="000000" w:themeColor="text1"/>
          <w:sz w:val="16"/>
          <w:szCs w:val="16"/>
        </w:rPr>
        <w:t>-5</w:t>
      </w:r>
    </w:p>
    <w:p w14:paraId="761452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дальний истребительно-бомбардировочный вариант - </w:t>
      </w:r>
      <w:r w:rsidRPr="00925F26">
        <w:rPr>
          <w:color w:val="000000" w:themeColor="text1"/>
          <w:sz w:val="16"/>
          <w:szCs w:val="16"/>
          <w:lang w:val="en-US"/>
        </w:rPr>
        <w:t>Jaborei</w:t>
      </w:r>
      <w:r w:rsidRPr="00925F26">
        <w:rPr>
          <w:color w:val="000000" w:themeColor="text1"/>
          <w:sz w:val="16"/>
          <w:szCs w:val="16"/>
        </w:rPr>
        <w:t xml:space="preserve"> - ФВ-190</w:t>
      </w:r>
      <w:r w:rsidRPr="00925F26">
        <w:rPr>
          <w:color w:val="000000" w:themeColor="text1"/>
          <w:sz w:val="16"/>
          <w:szCs w:val="16"/>
          <w:lang w:val="en-US"/>
        </w:rPr>
        <w:t>G</w:t>
      </w:r>
      <w:r w:rsidRPr="00925F26">
        <w:rPr>
          <w:color w:val="000000" w:themeColor="text1"/>
          <w:sz w:val="16"/>
          <w:szCs w:val="16"/>
        </w:rPr>
        <w:t xml:space="preserve">-1, </w:t>
      </w:r>
      <w:r w:rsidRPr="00925F26">
        <w:rPr>
          <w:color w:val="000000" w:themeColor="text1"/>
          <w:sz w:val="16"/>
          <w:szCs w:val="16"/>
          <w:lang w:val="en-US"/>
        </w:rPr>
        <w:t>G</w:t>
      </w:r>
      <w:r w:rsidRPr="00925F26">
        <w:rPr>
          <w:color w:val="000000" w:themeColor="text1"/>
          <w:sz w:val="16"/>
          <w:szCs w:val="16"/>
        </w:rPr>
        <w:t xml:space="preserve">-2, </w:t>
      </w:r>
      <w:r w:rsidRPr="00925F26">
        <w:rPr>
          <w:color w:val="000000" w:themeColor="text1"/>
          <w:sz w:val="16"/>
          <w:szCs w:val="16"/>
          <w:lang w:val="en-US"/>
        </w:rPr>
        <w:t>G</w:t>
      </w:r>
      <w:r w:rsidRPr="00925F26">
        <w:rPr>
          <w:color w:val="000000" w:themeColor="text1"/>
          <w:sz w:val="16"/>
          <w:szCs w:val="16"/>
        </w:rPr>
        <w:t xml:space="preserve">-3, </w:t>
      </w:r>
      <w:r w:rsidRPr="00925F26">
        <w:rPr>
          <w:color w:val="000000" w:themeColor="text1"/>
          <w:sz w:val="16"/>
          <w:szCs w:val="16"/>
          <w:lang w:val="en-US"/>
        </w:rPr>
        <w:t>G</w:t>
      </w:r>
      <w:r w:rsidRPr="00925F26">
        <w:rPr>
          <w:color w:val="000000" w:themeColor="text1"/>
          <w:sz w:val="16"/>
          <w:szCs w:val="16"/>
        </w:rPr>
        <w:t xml:space="preserve">-8, </w:t>
      </w:r>
      <w:r w:rsidRPr="00925F26">
        <w:rPr>
          <w:color w:val="000000" w:themeColor="text1"/>
          <w:sz w:val="16"/>
          <w:szCs w:val="16"/>
          <w:lang w:val="en-US"/>
        </w:rPr>
        <w:t>G</w:t>
      </w:r>
      <w:r w:rsidRPr="00925F26">
        <w:rPr>
          <w:color w:val="000000" w:themeColor="text1"/>
          <w:sz w:val="16"/>
          <w:szCs w:val="16"/>
        </w:rPr>
        <w:t>-9</w:t>
      </w:r>
    </w:p>
    <w:p w14:paraId="04BE6D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последнее время немцы используют для штурмовки наземных войск и объектов с-ты ФВ-190 всех модификаций.</w:t>
      </w:r>
    </w:p>
    <w:p w14:paraId="1871DC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ГК НИИ ВВС КА проходили испытания с-ты ФВ-190А-4 в июле 1943, ФВ-190А-5 в сентябре 1943 и ФВ 190А-8 в декабре 1944.</w:t>
      </w:r>
    </w:p>
    <w:p w14:paraId="631AB5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Цель испытаний - определить ЛТД</w:t>
      </w:r>
    </w:p>
    <w:p w14:paraId="12A54E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6ACEA9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155AEE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5C823D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Вооружени с-та изменено за счет снятия 2-х крыльевых пушек МК-108А-3 калибра 30 мм и б/припасов к ним.</w:t>
      </w:r>
    </w:p>
    <w:p w14:paraId="0B8335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Сняты две бронеплиты под патронными ящиками крыльевых пушек.</w:t>
      </w:r>
    </w:p>
    <w:p w14:paraId="43B51F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Уменьшен запас горючего с 642 л до 524 л за счет снятия дополнительного фюзеляжного бака емкостью 118 л</w:t>
      </w:r>
    </w:p>
    <w:p w14:paraId="167C7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5) Установлен винт </w:t>
      </w:r>
      <w:r w:rsidRPr="00925F26">
        <w:rPr>
          <w:color w:val="000000" w:themeColor="text1"/>
          <w:sz w:val="16"/>
          <w:szCs w:val="16"/>
          <w:lang w:val="en-US"/>
        </w:rPr>
        <w:t>VDM</w:t>
      </w:r>
      <w:r w:rsidRPr="00925F26">
        <w:rPr>
          <w:color w:val="000000" w:themeColor="text1"/>
          <w:sz w:val="16"/>
          <w:szCs w:val="16"/>
        </w:rPr>
        <w:t xml:space="preserve"> Д-3,3, не имеет на комлевых частях лопастей симмертричных грузов - противовесов.</w:t>
      </w:r>
    </w:p>
    <w:p w14:paraId="4033EE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234AB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3111, полетный - 3986</w:t>
      </w:r>
    </w:p>
    <w:p w14:paraId="0577E7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p w14:paraId="63FF2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с парашютом - 90</w:t>
      </w:r>
    </w:p>
    <w:p w14:paraId="4DB8D7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уд. Вес 0,75) - на 524 л - 393 кг</w:t>
      </w:r>
    </w:p>
    <w:p w14:paraId="47289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- 49</w:t>
      </w:r>
    </w:p>
    <w:p w14:paraId="7ACEBE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Стрелково-пушечное вооружение - 127,5 (2хМГ-151 - 84 + 2хМГ-131 - 43,5)</w:t>
      </w:r>
    </w:p>
    <w:p w14:paraId="686064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б/з 182 кг</w:t>
      </w:r>
    </w:p>
    <w:p w14:paraId="55081F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- 33,5</w:t>
      </w:r>
    </w:p>
    <w:p w14:paraId="33BAF9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875</w:t>
      </w:r>
    </w:p>
    <w:p w14:paraId="26FF1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Макс. Скорость у земли - 522 при 1,35 (995-998) и 2450</w:t>
      </w:r>
    </w:p>
    <w:p w14:paraId="2423D6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1400 - 555, на 2 гр. 6150 - 614</w:t>
      </w:r>
    </w:p>
    <w:p w14:paraId="0DF7A1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 Скорость у земли на форсаже - 542 при 1,42 (1045) и 2700</w:t>
      </w:r>
    </w:p>
    <w:p w14:paraId="6FF7A5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1250 - 569, на 2 гр. 6500 - 642</w:t>
      </w:r>
    </w:p>
    <w:p w14:paraId="0A89FC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включенной кнопкой - 582 при 1,65 (1215) на 2700</w:t>
      </w:r>
    </w:p>
    <w:p w14:paraId="6AAF8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5000 - 6,1 и 5,4 при форсаже</w:t>
      </w:r>
    </w:p>
    <w:p w14:paraId="6ADA61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1000 м 21-22</w:t>
      </w:r>
    </w:p>
    <w:p w14:paraId="56D520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 боевой работы - 1100 - 1200</w:t>
      </w:r>
    </w:p>
    <w:p w14:paraId="49560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управлении самолет тяжелый (по-прежнему)</w:t>
      </w:r>
    </w:p>
    <w:p w14:paraId="0449B7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Устойчивость в продольном отношении улучшена за счет смещения вперед цт</w:t>
      </w:r>
    </w:p>
    <w:p w14:paraId="1B1D9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597157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маневренности в гор</w:t>
      </w:r>
      <w:proofErr w:type="gramStart"/>
      <w:r w:rsidRPr="00925F26">
        <w:rPr>
          <w:color w:val="000000" w:themeColor="text1"/>
          <w:sz w:val="16"/>
          <w:szCs w:val="16"/>
        </w:rPr>
        <w:t>.</w:t>
      </w:r>
      <w:proofErr w:type="gramEnd"/>
      <w:r w:rsidRPr="00925F26">
        <w:rPr>
          <w:color w:val="000000" w:themeColor="text1"/>
          <w:sz w:val="16"/>
          <w:szCs w:val="16"/>
        </w:rPr>
        <w:t xml:space="preserve"> и верт. плоскостях с-т уступает всем отечественным истребителям с высоты 250-500 м.</w:t>
      </w:r>
    </w:p>
    <w:p w14:paraId="6C3499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марта 1945 Хомяков</w:t>
      </w:r>
    </w:p>
    <w:p w14:paraId="38F316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60C278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настоящих испытаний довести до сведения строевых частей ВВС КА и ГК отечественных авиазаводов</w:t>
      </w:r>
    </w:p>
    <w:p w14:paraId="1F9F5F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23 марта 1945 (747,4).</w:t>
      </w:r>
    </w:p>
    <w:p w14:paraId="4031C7D2" w14:textId="77777777" w:rsidR="00665165" w:rsidRPr="00925F26" w:rsidRDefault="00665165" w:rsidP="00925F26">
      <w:pPr>
        <w:autoSpaceDE w:val="0"/>
        <w:autoSpaceDN w:val="0"/>
        <w:adjustRightInd w:val="0"/>
        <w:jc w:val="both"/>
        <w:rPr>
          <w:color w:val="000000" w:themeColor="text1"/>
          <w:sz w:val="16"/>
          <w:szCs w:val="16"/>
        </w:rPr>
      </w:pPr>
    </w:p>
    <w:p w14:paraId="50CBA0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марта 1945 г. завер</w:t>
      </w:r>
      <w:r w:rsidRPr="00925F26">
        <w:rPr>
          <w:color w:val="000000" w:themeColor="text1"/>
          <w:sz w:val="16"/>
          <w:szCs w:val="16"/>
        </w:rPr>
        <w:softHyphen/>
        <w:t>шился переезд соответствующих под</w:t>
      </w:r>
      <w:r w:rsidRPr="00925F26">
        <w:rPr>
          <w:color w:val="000000" w:themeColor="text1"/>
          <w:sz w:val="16"/>
          <w:szCs w:val="16"/>
        </w:rPr>
        <w:softHyphen/>
        <w:t>разделений НИИ-1 на новую базу во Владыкино. Пока решались организационные вопросы, в филиале №2 НИИ-1 продол</w:t>
      </w:r>
      <w:r w:rsidRPr="00925F26">
        <w:rPr>
          <w:color w:val="000000" w:themeColor="text1"/>
          <w:sz w:val="16"/>
          <w:szCs w:val="16"/>
        </w:rPr>
        <w:softHyphen/>
        <w:t>жались работы по сопровождению и модернизации ранее разработанных НИИ-3 НКБ образцов реактивного воо</w:t>
      </w:r>
      <w:r w:rsidRPr="00925F26">
        <w:rPr>
          <w:color w:val="000000" w:themeColor="text1"/>
          <w:sz w:val="16"/>
          <w:szCs w:val="16"/>
        </w:rPr>
        <w:softHyphen/>
        <w:t>ружения гвардейских минометных ча</w:t>
      </w:r>
      <w:r w:rsidRPr="00925F26">
        <w:rPr>
          <w:color w:val="000000" w:themeColor="text1"/>
          <w:sz w:val="16"/>
          <w:szCs w:val="16"/>
        </w:rPr>
        <w:softHyphen/>
        <w:t>стей, а также создавалось реактивное вооружение для различных заказчиков. Так, продолжались работы по увеличе</w:t>
      </w:r>
      <w:r w:rsidRPr="00925F26">
        <w:rPr>
          <w:color w:val="000000" w:themeColor="text1"/>
          <w:sz w:val="16"/>
          <w:szCs w:val="16"/>
        </w:rPr>
        <w:softHyphen/>
        <w:t>нию дальности стрельбы РС М-13 при сохранении боевого действия и исполь</w:t>
      </w:r>
      <w:r w:rsidRPr="00925F26">
        <w:rPr>
          <w:color w:val="000000" w:themeColor="text1"/>
          <w:sz w:val="16"/>
          <w:szCs w:val="16"/>
        </w:rPr>
        <w:softHyphen/>
        <w:t>зовании серийных деталей этого снаря</w:t>
      </w:r>
      <w:r w:rsidRPr="00925F26">
        <w:rPr>
          <w:color w:val="000000" w:themeColor="text1"/>
          <w:sz w:val="16"/>
          <w:szCs w:val="16"/>
        </w:rPr>
        <w:softHyphen/>
        <w:t>да. В работе над этим снарядом на осно-вании результатов исследований Ю.А.Победоносцева принимали учас</w:t>
      </w:r>
      <w:r w:rsidRPr="00925F26">
        <w:rPr>
          <w:color w:val="000000" w:themeColor="text1"/>
          <w:sz w:val="16"/>
          <w:szCs w:val="16"/>
        </w:rPr>
        <w:softHyphen/>
        <w:t>тие В.Г. Бессонов, М.П. Горшков и Ф.Н. Пойда. После проведения заводс</w:t>
      </w:r>
      <w:r w:rsidRPr="00925F26">
        <w:rPr>
          <w:color w:val="000000" w:themeColor="text1"/>
          <w:sz w:val="16"/>
          <w:szCs w:val="16"/>
        </w:rPr>
        <w:softHyphen/>
        <w:t>ких и Государственных испытаний но</w:t>
      </w:r>
      <w:r w:rsidRPr="00925F26">
        <w:rPr>
          <w:color w:val="000000" w:themeColor="text1"/>
          <w:sz w:val="16"/>
          <w:szCs w:val="16"/>
        </w:rPr>
        <w:softHyphen/>
        <w:t>вый реактивный снаряд улучшенной кучности и повышенной дальности М-13-ДД (двухкамерный двигатель) в 1944 г. был принят на вооружение. Боевая часть осталась прежней (как у М-13), а ракетная часть была разрабо</w:t>
      </w:r>
      <w:r w:rsidRPr="00925F26">
        <w:rPr>
          <w:color w:val="000000" w:themeColor="text1"/>
          <w:sz w:val="16"/>
          <w:szCs w:val="16"/>
        </w:rPr>
        <w:softHyphen/>
        <w:t>тана по двухкамерной схеме и состояла из двух соединенных последовательно штатных ракетных камер снаряда М-13. Между камерами был размещен проме</w:t>
      </w:r>
      <w:r w:rsidRPr="00925F26">
        <w:rPr>
          <w:color w:val="000000" w:themeColor="text1"/>
          <w:sz w:val="16"/>
          <w:szCs w:val="16"/>
        </w:rPr>
        <w:softHyphen/>
        <w:t>жуточный переходник, имеющий во</w:t>
      </w:r>
      <w:r w:rsidRPr="00925F26">
        <w:rPr>
          <w:color w:val="000000" w:themeColor="text1"/>
          <w:sz w:val="16"/>
          <w:szCs w:val="16"/>
        </w:rPr>
        <w:softHyphen/>
        <w:t>семь косонаклонных сопл. При этом обеспечивалась одновременная работа обеих камер. Такая конструкция ракет</w:t>
      </w:r>
      <w:r w:rsidRPr="00925F26">
        <w:rPr>
          <w:color w:val="000000" w:themeColor="text1"/>
          <w:sz w:val="16"/>
          <w:szCs w:val="16"/>
        </w:rPr>
        <w:softHyphen/>
        <w:t>ного двигателя способствовала увеличе</w:t>
      </w:r>
      <w:r w:rsidRPr="00925F26">
        <w:rPr>
          <w:color w:val="000000" w:themeColor="text1"/>
          <w:sz w:val="16"/>
          <w:szCs w:val="16"/>
        </w:rPr>
        <w:softHyphen/>
        <w:t>нию импульса реактивной силы и, как следствие, возрастанию скорости и дальности полета. По принципу дей</w:t>
      </w:r>
      <w:r w:rsidRPr="00925F26">
        <w:rPr>
          <w:color w:val="000000" w:themeColor="text1"/>
          <w:sz w:val="16"/>
          <w:szCs w:val="16"/>
        </w:rPr>
        <w:softHyphen/>
        <w:t>ствия этот РС М-13-ДД напоминал схе</w:t>
      </w:r>
      <w:r w:rsidRPr="00925F26">
        <w:rPr>
          <w:color w:val="000000" w:themeColor="text1"/>
          <w:sz w:val="16"/>
          <w:szCs w:val="16"/>
        </w:rPr>
        <w:softHyphen/>
        <w:t>му «двухпустотной спасательной раке</w:t>
      </w:r>
      <w:r w:rsidRPr="00925F26">
        <w:rPr>
          <w:color w:val="000000" w:themeColor="text1"/>
          <w:sz w:val="16"/>
          <w:szCs w:val="16"/>
        </w:rPr>
        <w:softHyphen/>
        <w:t>ты» 1862 г. К.И. Константинова. Снаряд М-13-ДД имел длину 2,21 м, массу 62,7 кг, головную часть от снаряда М-13. Запускались снаряды с установки БМ-13-СН с 10 спиральными направля</w:t>
      </w:r>
      <w:r w:rsidRPr="00925F26">
        <w:rPr>
          <w:color w:val="000000" w:themeColor="text1"/>
          <w:sz w:val="16"/>
          <w:szCs w:val="16"/>
        </w:rPr>
        <w:softHyphen/>
        <w:t>ющими, которые обеспечивали оперен</w:t>
      </w:r>
      <w:r w:rsidRPr="00925F26">
        <w:rPr>
          <w:color w:val="000000" w:themeColor="text1"/>
          <w:sz w:val="16"/>
          <w:szCs w:val="16"/>
        </w:rPr>
        <w:softHyphen/>
        <w:t>ному снаряду проворачивание, улуч</w:t>
      </w:r>
      <w:r w:rsidRPr="00925F26">
        <w:rPr>
          <w:color w:val="000000" w:themeColor="text1"/>
          <w:sz w:val="16"/>
          <w:szCs w:val="16"/>
        </w:rPr>
        <w:softHyphen/>
        <w:t>шавшее кучность стрельбы. Стрельба этими снарядами велась на дальностях до 11,8 км (11090).</w:t>
      </w:r>
    </w:p>
    <w:p w14:paraId="2ED926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BB3E5DD" w14:textId="77777777" w:rsidR="00BA2B8F" w:rsidRPr="00925F26" w:rsidRDefault="00BA2B8F" w:rsidP="00925F26">
      <w:pPr>
        <w:jc w:val="both"/>
        <w:rPr>
          <w:color w:val="000000" w:themeColor="text1"/>
          <w:sz w:val="16"/>
          <w:szCs w:val="16"/>
        </w:rPr>
      </w:pPr>
      <w:r w:rsidRPr="00925F26">
        <w:rPr>
          <w:color w:val="000000" w:themeColor="text1"/>
          <w:sz w:val="16"/>
          <w:szCs w:val="16"/>
        </w:rPr>
        <w:t>26 марта 1945 г. завершился переезд соответствующих подразделений института НИИ-1 на новую базу во Владыкино (12205).</w:t>
      </w:r>
    </w:p>
    <w:p w14:paraId="1F862E5F" w14:textId="77777777" w:rsidR="00BA2B8F" w:rsidRPr="00925F26" w:rsidRDefault="00BA2B8F" w:rsidP="00925F26">
      <w:pPr>
        <w:jc w:val="both"/>
        <w:rPr>
          <w:color w:val="000000" w:themeColor="text1"/>
          <w:sz w:val="16"/>
          <w:szCs w:val="16"/>
        </w:rPr>
      </w:pPr>
    </w:p>
    <w:p w14:paraId="79ADB93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8A86B59" w14:textId="77777777" w:rsidR="00665165" w:rsidRPr="00925F26" w:rsidRDefault="00665165" w:rsidP="00925F26">
      <w:pPr>
        <w:autoSpaceDE w:val="0"/>
        <w:autoSpaceDN w:val="0"/>
        <w:adjustRightInd w:val="0"/>
        <w:jc w:val="both"/>
        <w:rPr>
          <w:iCs/>
          <w:color w:val="000000" w:themeColor="text1"/>
          <w:sz w:val="16"/>
          <w:szCs w:val="16"/>
        </w:rPr>
      </w:pPr>
    </w:p>
    <w:p w14:paraId="102AF7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марта 1945 танк ИС-3 № 3 поступил на НИБТ полигон (11135).</w:t>
      </w:r>
    </w:p>
    <w:p w14:paraId="5B6585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0C03C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марта 1945 г. была подготовлена ДОКЛАДНАЯ ЗАПИСКА КОМАНДУЮЩЕГО БТ и МВ КА ЗАМЕСТИТЕЛЮ ПРЕДСЕДАТЕЛЯ ГКО СССР В.М. МОЛОТОВУ ОБ ИЗГОТОВЛЕНИИ ОГНЕМЕТНЫХ ТАНКОВ</w:t>
      </w:r>
    </w:p>
    <w:p w14:paraId="49EFE7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Огнеметные танки Т-О34 дают хорошие результаты при огнеметании по живой силе противника, находящейся в укрытиях, и сжигают вражескую технику при попадании в нее струи горящей огнесмеси.</w:t>
      </w:r>
    </w:p>
    <w:p w14:paraId="138C8D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танках Т-О34 огнемет установлен в носовой части танков и управление им сосредоточено у механика-водителя. Огнеметание может производиться только вперед по курсу танка.</w:t>
      </w:r>
    </w:p>
    <w:p w14:paraId="120ABA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повышения боевой эффективности огнеметных танков необходимо обеспечить круговое огнеметание и освободить механика-водителя от управления огнеметом, передав эти функции башенному стрелку и командиру танка.</w:t>
      </w:r>
    </w:p>
    <w:p w14:paraId="409A12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переходом промышленности на изготовление танков Т-34-85 и Т-44 считаю необходи</w:t>
      </w:r>
      <w:r w:rsidRPr="00925F26">
        <w:rPr>
          <w:color w:val="000000" w:themeColor="text1"/>
          <w:sz w:val="16"/>
          <w:szCs w:val="16"/>
        </w:rPr>
        <w:softHyphen/>
        <w:t>мым изготовить огнеметные танки этих типов с сохранением пушечного вооружения.</w:t>
      </w:r>
    </w:p>
    <w:p w14:paraId="71CD8C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Представляю проект постановления ГОКО, прошу его утвердить</w:t>
      </w:r>
      <w:r w:rsidRPr="00925F26">
        <w:rPr>
          <w:color w:val="000000" w:themeColor="text1"/>
          <w:sz w:val="16"/>
          <w:szCs w:val="16"/>
          <w:vertAlign w:val="superscript"/>
        </w:rPr>
        <w:t>1</w:t>
      </w:r>
      <w:r w:rsidRPr="00925F26">
        <w:rPr>
          <w:color w:val="000000" w:themeColor="text1"/>
          <w:sz w:val="16"/>
          <w:szCs w:val="16"/>
        </w:rPr>
        <w:t>.</w:t>
      </w:r>
    </w:p>
    <w:p w14:paraId="758CC6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34BA77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2727. Л. 48. Копия (11420).</w:t>
      </w:r>
    </w:p>
    <w:p w14:paraId="707449E3" w14:textId="77777777" w:rsidR="00665165" w:rsidRPr="00925F26" w:rsidRDefault="00665165" w:rsidP="00925F26">
      <w:pPr>
        <w:autoSpaceDE w:val="0"/>
        <w:autoSpaceDN w:val="0"/>
        <w:adjustRightInd w:val="0"/>
        <w:jc w:val="both"/>
        <w:rPr>
          <w:color w:val="000000" w:themeColor="text1"/>
          <w:sz w:val="16"/>
          <w:szCs w:val="16"/>
        </w:rPr>
      </w:pPr>
    </w:p>
    <w:p w14:paraId="384372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марта 1945 г. вышло РАСПОРЯЖЕНИЕ НАЧАЛЬНИКА УЭТ ГБТУ КА О ЗАПРЕЩЕНИИ СНЯТИЯ ГИЛЬЗОУЛАВЛИВАТЕЛЯ С ПУШКИ Д-25 №850232</w:t>
      </w:r>
    </w:p>
    <w:p w14:paraId="0E817F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танковых частях и соединениях, имеющих на вооружении тяжелые танки, имеют место случаи снятия со 122-мм пушки Д-25 гильзоулавливателя по причине неполной экстракции гильзы.</w:t>
      </w:r>
    </w:p>
    <w:p w14:paraId="19022B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Неполная экстракция стреляной гильзы в значительной степени влияет на уменьшение загазо</w:t>
      </w:r>
      <w:r w:rsidRPr="00925F26">
        <w:rPr>
          <w:color w:val="000000" w:themeColor="text1"/>
          <w:sz w:val="16"/>
          <w:szCs w:val="16"/>
        </w:rPr>
        <w:softHyphen/>
        <w:t>ванности боевого отделения танка, так как часть пороховых газов в этот момент успевает выходить в канал ствола пушки.</w:t>
      </w:r>
    </w:p>
    <w:p w14:paraId="033C48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Прошу дать указание танковым частям и соединениям о запрещении снятия гильзоулавливате</w:t>
      </w:r>
      <w:r w:rsidRPr="00925F26">
        <w:rPr>
          <w:color w:val="000000" w:themeColor="text1"/>
          <w:sz w:val="16"/>
          <w:szCs w:val="16"/>
        </w:rPr>
        <w:softHyphen/>
        <w:t>ля, так как отсутствие его приводит к тяжелым ушибам заряжающего.</w:t>
      </w:r>
    </w:p>
    <w:p w14:paraId="3AACCE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УЭТ ГБТУ КА генерал-майор инженерно-танковой службы Печеникин</w:t>
      </w:r>
    </w:p>
    <w:p w14:paraId="126FDD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1 отдела УЭТ ГБТУ КА инженер-полковник Олейников</w:t>
      </w:r>
    </w:p>
    <w:p w14:paraId="688B16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11362. Л 116. Л. 19. Подлинник (11420).</w:t>
      </w:r>
    </w:p>
    <w:p w14:paraId="3AE7C9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91B0086" w14:textId="77777777" w:rsidR="00BA2B8F" w:rsidRPr="00925F26" w:rsidRDefault="00BA2B8F" w:rsidP="00925F26">
      <w:pPr>
        <w:jc w:val="both"/>
        <w:rPr>
          <w:color w:val="000000" w:themeColor="text1"/>
          <w:sz w:val="16"/>
          <w:szCs w:val="16"/>
        </w:rPr>
      </w:pPr>
      <w:r w:rsidRPr="00925F26">
        <w:rPr>
          <w:color w:val="000000" w:themeColor="text1"/>
          <w:sz w:val="16"/>
          <w:szCs w:val="16"/>
        </w:rPr>
        <w:t>26 марта 1945 г. Письмо экипажа радиоустановки «Редут» № 125 ст. лейтенанта Ямбых — коллективу завода № 208.</w:t>
      </w:r>
    </w:p>
    <w:p w14:paraId="4BF00E37" w14:textId="77777777" w:rsidR="00BA2B8F" w:rsidRPr="00925F26" w:rsidRDefault="00BA2B8F" w:rsidP="00925F26">
      <w:pPr>
        <w:jc w:val="both"/>
        <w:rPr>
          <w:color w:val="000000" w:themeColor="text1"/>
          <w:sz w:val="16"/>
          <w:szCs w:val="16"/>
        </w:rPr>
      </w:pPr>
      <w:r w:rsidRPr="00925F26">
        <w:rPr>
          <w:color w:val="000000" w:themeColor="text1"/>
          <w:sz w:val="16"/>
          <w:szCs w:val="16"/>
        </w:rPr>
        <w:t>Здравствуйте, дорогие товарищи! От имени экипажа радиоустановки «Редут» № 125 разрешите передать Вам пламенный фронтовой привет и пожелать наилучших успехов на трудовом фронте. На установке мы работаем с 23 апреля 1944 г. Пройден боевой путь от Украины через Западную Украину, Северную Буковину, Польшу до Силезии (Германия). Установка на сегодняшний день является глазами истребительной авиации и пользуется большим авторитетом среди частей истребительной авиации. На 26 марта установка проработала 3 200 боевых часов. На боевом счету нашей установки имеется 39 сбитых самолетов противника, 40 обнаруженных аэродромов противника. 11 человек нашего экипажа награждены правительственными наградами. Установка движется непосредственно за передним краем и работает на самых ответственных участках фронта по прикрытию наступающих частей Красной Армии. В условиях боевой обстановки нам стало ясно, как важно изготовление Вами для фронта максимального количества станций этого типа. От имени экипажа станции «Редут» № 125 благодарим Вас за хорошую советскую технику, которой Вы нас снабдили, и желаем Вам дальнейших успехов в Вашей работе. Да здравствует Красная Армия и ее верный помощник, сплоченный тыл! Смерть немецким захватчикам! С боевым приветом:</w:t>
      </w:r>
    </w:p>
    <w:p w14:paraId="535E1F48" w14:textId="77777777" w:rsidR="00BA2B8F" w:rsidRPr="00925F26" w:rsidRDefault="00BA2B8F" w:rsidP="00925F26">
      <w:pPr>
        <w:jc w:val="both"/>
        <w:rPr>
          <w:color w:val="000000" w:themeColor="text1"/>
          <w:sz w:val="16"/>
          <w:szCs w:val="16"/>
        </w:rPr>
      </w:pPr>
      <w:r w:rsidRPr="00925F26">
        <w:rPr>
          <w:color w:val="000000" w:themeColor="text1"/>
          <w:sz w:val="16"/>
          <w:szCs w:val="16"/>
        </w:rPr>
        <w:t>Начальник установки трижды орденоносец ст. лейтенант Ямбых А.В.</w:t>
      </w:r>
    </w:p>
    <w:p w14:paraId="5CE2FC0C" w14:textId="77777777" w:rsidR="00BA2B8F" w:rsidRPr="00925F26" w:rsidRDefault="00BA2B8F" w:rsidP="00925F26">
      <w:pPr>
        <w:jc w:val="both"/>
        <w:rPr>
          <w:color w:val="000000" w:themeColor="text1"/>
          <w:sz w:val="16"/>
          <w:szCs w:val="16"/>
        </w:rPr>
      </w:pPr>
      <w:r w:rsidRPr="00925F26">
        <w:rPr>
          <w:color w:val="000000" w:themeColor="text1"/>
          <w:sz w:val="16"/>
          <w:szCs w:val="16"/>
        </w:rPr>
        <w:t>Помощник начальника установки орденоносец лейтенант Гуленко И.</w:t>
      </w:r>
    </w:p>
    <w:p w14:paraId="0AEC51F9" w14:textId="77777777" w:rsidR="00BA2B8F" w:rsidRPr="00925F26" w:rsidRDefault="00BA2B8F" w:rsidP="00925F26">
      <w:pPr>
        <w:jc w:val="both"/>
        <w:rPr>
          <w:color w:val="000000" w:themeColor="text1"/>
          <w:sz w:val="16"/>
          <w:szCs w:val="16"/>
        </w:rPr>
      </w:pPr>
      <w:r w:rsidRPr="00925F26">
        <w:rPr>
          <w:color w:val="000000" w:themeColor="text1"/>
          <w:sz w:val="16"/>
          <w:szCs w:val="16"/>
        </w:rPr>
        <w:t>Ст. оператор орденоносец ст. сержант Муравьев П.К.</w:t>
      </w:r>
    </w:p>
    <w:p w14:paraId="2711695E" w14:textId="77777777" w:rsidR="00BA2B8F" w:rsidRPr="00925F26" w:rsidRDefault="00BA2B8F" w:rsidP="00925F26">
      <w:pPr>
        <w:jc w:val="both"/>
        <w:rPr>
          <w:color w:val="000000" w:themeColor="text1"/>
          <w:sz w:val="16"/>
          <w:szCs w:val="16"/>
        </w:rPr>
      </w:pPr>
      <w:r w:rsidRPr="00925F26">
        <w:rPr>
          <w:color w:val="000000" w:themeColor="text1"/>
          <w:sz w:val="16"/>
          <w:szCs w:val="16"/>
        </w:rPr>
        <w:t>Ст. электромехаиик орденоносец ефрейтор Кондрашкин Ф.А.</w:t>
      </w:r>
    </w:p>
    <w:p w14:paraId="6203FF8E" w14:textId="77777777" w:rsidR="00BA2B8F" w:rsidRPr="00925F26" w:rsidRDefault="00BA2B8F" w:rsidP="00925F26">
      <w:pPr>
        <w:jc w:val="both"/>
        <w:rPr>
          <w:color w:val="000000" w:themeColor="text1"/>
          <w:sz w:val="16"/>
          <w:szCs w:val="16"/>
        </w:rPr>
      </w:pPr>
      <w:r w:rsidRPr="00925F26">
        <w:rPr>
          <w:color w:val="000000" w:themeColor="text1"/>
          <w:sz w:val="16"/>
          <w:szCs w:val="16"/>
        </w:rPr>
        <w:t>Ст. планшетист орденоносец комсомолец Садовников Н.С.</w:t>
      </w:r>
    </w:p>
    <w:p w14:paraId="4E6FE492" w14:textId="77777777" w:rsidR="00BA2B8F" w:rsidRPr="00925F26" w:rsidRDefault="00BA2B8F" w:rsidP="00925F26">
      <w:pPr>
        <w:jc w:val="both"/>
        <w:rPr>
          <w:color w:val="000000" w:themeColor="text1"/>
          <w:sz w:val="16"/>
          <w:szCs w:val="16"/>
        </w:rPr>
      </w:pPr>
      <w:r w:rsidRPr="00925F26">
        <w:rPr>
          <w:color w:val="000000" w:themeColor="text1"/>
          <w:sz w:val="16"/>
          <w:szCs w:val="16"/>
        </w:rPr>
        <w:t>Всего 21 подпись (12160).</w:t>
      </w:r>
    </w:p>
    <w:p w14:paraId="35A083CA" w14:textId="77777777" w:rsidR="00BA2B8F" w:rsidRPr="00925F26" w:rsidRDefault="00BA2B8F" w:rsidP="00925F26">
      <w:pPr>
        <w:jc w:val="both"/>
        <w:rPr>
          <w:color w:val="000000" w:themeColor="text1"/>
          <w:sz w:val="16"/>
          <w:szCs w:val="16"/>
        </w:rPr>
      </w:pPr>
    </w:p>
    <w:p w14:paraId="69ECB28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марта 1945 года вышел приказ № 118с НКВ</w:t>
      </w:r>
    </w:p>
    <w:p w14:paraId="388AA0B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Совнаркома за № 4737-рс от 23 марта 1945 года:</w:t>
      </w:r>
    </w:p>
    <w:p w14:paraId="39446FF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Передать промплощадку завода № 525 в Артемовске Сталинской области Наркомату цветной металлургии (6449, 23).</w:t>
      </w:r>
    </w:p>
    <w:p w14:paraId="1188F8C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EBCC92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B7DB55C" w14:textId="77777777" w:rsidR="00665165" w:rsidRPr="00925F26" w:rsidRDefault="00665165" w:rsidP="00925F26">
      <w:pPr>
        <w:autoSpaceDE w:val="0"/>
        <w:autoSpaceDN w:val="0"/>
        <w:adjustRightInd w:val="0"/>
        <w:jc w:val="both"/>
        <w:rPr>
          <w:iCs/>
          <w:color w:val="000000" w:themeColor="text1"/>
          <w:sz w:val="16"/>
          <w:szCs w:val="16"/>
        </w:rPr>
      </w:pPr>
    </w:p>
    <w:p w14:paraId="60A35C3E" w14:textId="77777777" w:rsidR="00525BF4" w:rsidRPr="00925F26" w:rsidRDefault="00525BF4" w:rsidP="00925F26">
      <w:pPr>
        <w:jc w:val="both"/>
        <w:rPr>
          <w:color w:val="000000" w:themeColor="text1"/>
          <w:sz w:val="16"/>
          <w:szCs w:val="16"/>
        </w:rPr>
      </w:pPr>
      <w:r w:rsidRPr="00925F26">
        <w:rPr>
          <w:bCs/>
          <w:color w:val="000000" w:themeColor="text1"/>
          <w:sz w:val="16"/>
          <w:szCs w:val="16"/>
        </w:rPr>
        <w:t>26 марта</w:t>
      </w:r>
      <w:r w:rsidRPr="00925F26">
        <w:rPr>
          <w:color w:val="000000" w:themeColor="text1"/>
          <w:sz w:val="16"/>
          <w:szCs w:val="16"/>
        </w:rPr>
        <w:t xml:space="preserve"> в 1945 году оперативная сводка Совинформбюро:</w:t>
      </w:r>
    </w:p>
    <w:p w14:paraId="76169DD9" w14:textId="77777777" w:rsidR="00525BF4" w:rsidRPr="00925F26" w:rsidRDefault="00525BF4" w:rsidP="00925F26">
      <w:pPr>
        <w:jc w:val="both"/>
        <w:rPr>
          <w:color w:val="000000" w:themeColor="text1"/>
          <w:sz w:val="16"/>
          <w:szCs w:val="16"/>
        </w:rPr>
      </w:pPr>
      <w:r w:rsidRPr="00925F26">
        <w:rPr>
          <w:color w:val="000000" w:themeColor="text1"/>
          <w:sz w:val="16"/>
          <w:szCs w:val="16"/>
        </w:rPr>
        <w:t>«В течение 26 марта войска 3-го Белорусского фронта завершали ликвидацию группы войск противника на побережье залива Фриш-Гаф юго-западнее Кенигсберга и заняли населённые пункты Гросс Хоппенбрух, Раиншенхоф, Дойч Банду и порт Розенберг, отбросив остатки разгромленных частей противника в район мыса Кальхальцерхакен. По предварительным данным, в боях за 26 марта в этом районе войска фронта взяли в плен более 21.000 немецких солдат и офицеров.</w:t>
      </w:r>
    </w:p>
    <w:p w14:paraId="5CB27A2D" w14:textId="77777777" w:rsidR="00525BF4" w:rsidRPr="00925F26" w:rsidRDefault="00525BF4" w:rsidP="00925F26">
      <w:pPr>
        <w:jc w:val="both"/>
        <w:rPr>
          <w:color w:val="000000" w:themeColor="text1"/>
          <w:sz w:val="16"/>
          <w:szCs w:val="16"/>
        </w:rPr>
      </w:pPr>
      <w:r w:rsidRPr="00925F26">
        <w:rPr>
          <w:color w:val="000000" w:themeColor="text1"/>
          <w:sz w:val="16"/>
          <w:szCs w:val="16"/>
        </w:rPr>
        <w:t>На Гданьском (Данцигском) направлении наши войска, продолжая наступление, заняли населённые пункты Праустер-Пфаррдорф, Гросс Лянд, Альбрехт, Пфардорф, Матцкау, Шенфельд, Цанкенцин, Шюдделькау, Воннеберг, Хелле (2 километра западнее Гданьска (Данцига), Ненкау, Миггау, Пелонкен, Кенигсхоф, Вайсхоф, Ротхоф. В боях за 25 марта в этом районе взято в плен более 1.300 немецких солдат и офицеров.</w:t>
      </w:r>
    </w:p>
    <w:p w14:paraId="4606035D"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Украинского фронта, наступая в трудных условиях горно-лесистой местности в полосе Карпат, овладели в Чехословакии городом Банска Бистрица — важным узлом дорог и сильным опорным пунктом обороны немцев, а также заняли более 50 других населённых пунктов, в числе которых Горня Легота, Ясене, Разлока, Подконице, Преход, Селце, Сасово, Скубин, Малахов, Ракитовце, Турова, Будча и железнодорожные станции Влканова, Радвань, Словацка Люпча, Лучатин, Замосте, Подбрезова. За 25 марта войска фронта взяли в плен более 1.000 солдат и офицеров противника.</w:t>
      </w:r>
    </w:p>
    <w:p w14:paraId="6FBBD9A7" w14:textId="77777777" w:rsidR="00525BF4" w:rsidRPr="00925F26" w:rsidRDefault="00525BF4" w:rsidP="00925F26">
      <w:pPr>
        <w:jc w:val="both"/>
        <w:rPr>
          <w:color w:val="000000" w:themeColor="text1"/>
          <w:sz w:val="16"/>
          <w:szCs w:val="16"/>
        </w:rPr>
      </w:pPr>
      <w:r w:rsidRPr="00925F26">
        <w:rPr>
          <w:color w:val="000000" w:themeColor="text1"/>
          <w:sz w:val="16"/>
          <w:szCs w:val="16"/>
        </w:rPr>
        <w:lastRenderedPageBreak/>
        <w:t>Войска 3-го Украинского фронта, продолжая наступление, 26 марта овладели городами Папа и Девечер — крупными узлами дорог и сильными опорными пунктами обороны немцев, прикрывающими пути к границам Австрии, а также заняли более 100 других населённых пунктов, среди которых крупные населённые пункты Баконьпотерд, Ловаспатона, Ваньола, Куп, Нослоп, Доба, Шомловече, Шомловашархель, Падраг, Надьважонь, Васоль, Балатонудвари, Орвеньеш, Осефо, Тигань и железнодорожные станции Лази, Романд, Банонь-Тамаши, Папатесер, Нальдимот, Айка.</w:t>
      </w:r>
    </w:p>
    <w:p w14:paraId="1499D7D4" w14:textId="77777777" w:rsidR="00525BF4" w:rsidRPr="00925F26" w:rsidRDefault="00525BF4"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6CF992BD" w14:textId="77777777" w:rsidR="00525BF4" w:rsidRPr="00925F26" w:rsidRDefault="00525BF4" w:rsidP="00925F26">
      <w:pPr>
        <w:jc w:val="both"/>
        <w:rPr>
          <w:color w:val="000000" w:themeColor="text1"/>
          <w:sz w:val="16"/>
          <w:szCs w:val="16"/>
        </w:rPr>
      </w:pPr>
      <w:r w:rsidRPr="00925F26">
        <w:rPr>
          <w:color w:val="000000" w:themeColor="text1"/>
          <w:sz w:val="16"/>
          <w:szCs w:val="16"/>
        </w:rPr>
        <w:t>За 25 марта на всех фронтах подбито и уничтожено 180 немецких танков и самоходных орудий. В воздушных боях и огнём зенитной артиллерии сбито 37 самолётов противника.</w:t>
      </w:r>
    </w:p>
    <w:p w14:paraId="3D7F5BBD" w14:textId="77777777" w:rsidR="00525BF4" w:rsidRPr="00925F26" w:rsidRDefault="00525BF4" w:rsidP="00925F26">
      <w:pPr>
        <w:jc w:val="both"/>
        <w:rPr>
          <w:color w:val="000000" w:themeColor="text1"/>
          <w:sz w:val="16"/>
          <w:szCs w:val="16"/>
        </w:rPr>
      </w:pPr>
      <w:r w:rsidRPr="00925F26">
        <w:rPr>
          <w:color w:val="000000" w:themeColor="text1"/>
          <w:sz w:val="16"/>
          <w:szCs w:val="16"/>
        </w:rPr>
        <w:t>Налёт нашей авиации на Гданьск (Данциг).</w:t>
      </w:r>
    </w:p>
    <w:p w14:paraId="59EF3DE5" w14:textId="77777777" w:rsidR="00525BF4" w:rsidRPr="00925F26" w:rsidRDefault="00525BF4" w:rsidP="00925F26">
      <w:pPr>
        <w:jc w:val="both"/>
        <w:rPr>
          <w:color w:val="000000" w:themeColor="text1"/>
          <w:sz w:val="16"/>
          <w:szCs w:val="16"/>
        </w:rPr>
      </w:pPr>
      <w:r w:rsidRPr="00925F26">
        <w:rPr>
          <w:color w:val="000000" w:themeColor="text1"/>
          <w:sz w:val="16"/>
          <w:szCs w:val="16"/>
        </w:rPr>
        <w:t>В ночь на 26 марта наши тяжёлые бомбардировщики нанесли массированный удар по военным объектам противника в Гданьске (Данциге). В результате бомбардировки на железнодорожном узле и в порту Гданьск (Данциг) возникли большие пожары, сопровождавшиеся сильными взрывами. Горели нефтехранилища, железнодорожные составы и в порту транспорты противника.</w:t>
      </w:r>
    </w:p>
    <w:p w14:paraId="4A266B08" w14:textId="77777777" w:rsidR="00525BF4" w:rsidRPr="00925F26" w:rsidRDefault="00525BF4" w:rsidP="00925F26">
      <w:pPr>
        <w:jc w:val="both"/>
        <w:rPr>
          <w:color w:val="000000" w:themeColor="text1"/>
          <w:sz w:val="16"/>
          <w:szCs w:val="16"/>
        </w:rPr>
      </w:pPr>
      <w:r w:rsidRPr="00925F26">
        <w:rPr>
          <w:color w:val="000000" w:themeColor="text1"/>
          <w:sz w:val="16"/>
          <w:szCs w:val="16"/>
        </w:rPr>
        <w:t>В течение дня 26 марта наши бомбардировщики продолжали наносить удары по городу и порту Гданьск (Данциг).</w:t>
      </w:r>
    </w:p>
    <w:p w14:paraId="3EE500E0" w14:textId="77777777" w:rsidR="00525BF4" w:rsidRPr="00925F26" w:rsidRDefault="00525BF4" w:rsidP="00925F26">
      <w:pPr>
        <w:jc w:val="both"/>
        <w:rPr>
          <w:color w:val="000000" w:themeColor="text1"/>
          <w:sz w:val="16"/>
          <w:szCs w:val="16"/>
        </w:rPr>
      </w:pPr>
      <w:r w:rsidRPr="00925F26">
        <w:rPr>
          <w:color w:val="000000" w:themeColor="text1"/>
          <w:sz w:val="16"/>
          <w:szCs w:val="16"/>
        </w:rPr>
        <w:t>Юго-западнее Кенигсберга войска 3-го Белорусского фронта завершали ликвидацию группы войск противника, прижатой к заливу Фриш-Гаф. Советские части переправились через реку Банау и, сломив сопротивление немцев, заняли опорный пункт Дойч Банау. Развивая успех, наши войска овладели портом Розенберг и отбросили немцев на небольшой болотистый мыс. Места боёв завалены трупами гитлеровцев. Противник в беспорядки отступает, оставляя огромное количество вооружения и военных материалов. Нашими войсками захвачено много танков и бронетранспортёров, сотни полевых орудий, несколько тысяч автомашин, 53 паровоза, 1.380 железнодорожных вагонов, 67 складов с боеприпасами и военным снаряжением.</w:t>
      </w:r>
    </w:p>
    <w:p w14:paraId="725F6B96" w14:textId="77777777" w:rsidR="00525BF4" w:rsidRPr="00925F26" w:rsidRDefault="00525BF4" w:rsidP="00925F26">
      <w:pPr>
        <w:jc w:val="both"/>
        <w:rPr>
          <w:color w:val="000000" w:themeColor="text1"/>
          <w:sz w:val="16"/>
          <w:szCs w:val="16"/>
        </w:rPr>
      </w:pPr>
      <w:r w:rsidRPr="00925F26">
        <w:rPr>
          <w:color w:val="000000" w:themeColor="text1"/>
          <w:sz w:val="16"/>
          <w:szCs w:val="16"/>
        </w:rPr>
        <w:t>В боях за 26 марта, по предварительным данным, войска фронта взяли в плен более 21.000 немецких солдат и офицеров. Солдаты и офицеры разгромлённых частей противника прекращают сопротивление и складывают оружие. Количество пленных всё время возрастает.</w:t>
      </w:r>
    </w:p>
    <w:p w14:paraId="51AF4E01" w14:textId="77777777" w:rsidR="00525BF4" w:rsidRPr="00925F26" w:rsidRDefault="00525BF4" w:rsidP="00925F26">
      <w:pPr>
        <w:jc w:val="both"/>
        <w:rPr>
          <w:color w:val="000000" w:themeColor="text1"/>
          <w:sz w:val="16"/>
          <w:szCs w:val="16"/>
        </w:rPr>
      </w:pPr>
      <w:r w:rsidRPr="00925F26">
        <w:rPr>
          <w:color w:val="000000" w:themeColor="text1"/>
          <w:sz w:val="16"/>
          <w:szCs w:val="16"/>
        </w:rPr>
        <w:t xml:space="preserve">На Гданьском (Данцигском) направлении наши войска, развивая наступление с запада, прорвали второй оборонительный рубеж противника. Бои идут в глубине третьей, и последней перед Гданьском, полосы немецких укреплений. В результате мощного удара советские танкисты и пехотинцы овладели опорным пунктом Хелле и ворвались на окраины Эмауса — пригорода Гданьска. Другие наши части, преодолевая долговременные укрепления, приближаются к Гданьску с севера. Позиции противника непрерывно обстреливаются артиллерией и подвергаются бомбоштурмовым ударам авиации с воздуха. За день боёв уничтожено 35 немецких танков и бронетранспортёров, а также свыше 80 полевых и зенитных </w:t>
      </w:r>
      <w:proofErr w:type="gramStart"/>
      <w:r w:rsidRPr="00925F26">
        <w:rPr>
          <w:color w:val="000000" w:themeColor="text1"/>
          <w:sz w:val="16"/>
          <w:szCs w:val="16"/>
        </w:rPr>
        <w:t>орудий.Наша</w:t>
      </w:r>
      <w:proofErr w:type="gramEnd"/>
      <w:r w:rsidRPr="00925F26">
        <w:rPr>
          <w:color w:val="000000" w:themeColor="text1"/>
          <w:sz w:val="16"/>
          <w:szCs w:val="16"/>
        </w:rPr>
        <w:t xml:space="preserve"> авиация потопила в Данцигской бухте 2 парохода, 3 катера и 5 барж. Отмечены прямые попадания бомб в другие суда противника.</w:t>
      </w:r>
    </w:p>
    <w:p w14:paraId="4D506796"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в полосе Карпат. Противник, опираясь на построенные в горах оборонительные сооружения, пытался удержать за собой плацдарм на левом берегу реви Грон, к северу от города Зволен.</w:t>
      </w:r>
    </w:p>
    <w:p w14:paraId="20A2BC90" w14:textId="77777777" w:rsidR="00525BF4" w:rsidRPr="00925F26" w:rsidRDefault="00525BF4" w:rsidP="00925F26">
      <w:pPr>
        <w:jc w:val="both"/>
        <w:rPr>
          <w:color w:val="000000" w:themeColor="text1"/>
          <w:sz w:val="16"/>
          <w:szCs w:val="16"/>
        </w:rPr>
      </w:pPr>
      <w:r w:rsidRPr="00925F26">
        <w:rPr>
          <w:color w:val="000000" w:themeColor="text1"/>
          <w:sz w:val="16"/>
          <w:szCs w:val="16"/>
        </w:rPr>
        <w:t>Центром сопротивления немцев на этом участке являлся город Банска Бистрица —-важный узел дорог, расположенный по обеим сторонам реки Грон. Наши войска вышли к восточной части города Банска Бистрица и завязали уличные бои на окраинах города. Одновременно другие наши части, недавно захватившие плацдарм на правом берегу реки Грон, овладели селением Радвань, прикрывающим город с юга. Пехота противника, усиленная самоходными орудиями, предприняла несколько контратак. Наши бойцы отбросили немцев и, совершив обходный маневр, ворвались на улицы города. Гитлеровцы засели в приспособленных для обороны каменных зданиях. Действуя штурмовыми группами, советские части быстро разгромили вражеские очаги сопротивления и овладели городом Банска Бистрица — сильным опорным пунктам обороны немцев на реке Грон. Захвачено большое количество вооружения и военных материалов.</w:t>
      </w:r>
    </w:p>
    <w:p w14:paraId="1E289657"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Украинского фронта развивали успешное наступление. Советские танки и пехота стремительными ударами сбивают противника с промежуточных рубежей, не давая ему возможности закрепиться на выгодных позициях. Очистив от врага обширный лесной массив, наши войска завязали бой за город Папа. Немцы упорно защищали этот важный узел дорог и сильный опорный пункт, прикрывающий пути к границам Австрии. Советские части совершили обходный манёвр и отрезали вражескому гарнизону пути отхода. Ночью наши войска в результате ожесточённых уличных боёв овладели городом Папа — промышленным центром Венгрии, находящимся в 50—60 километрах от австро-венгерской границы. Другие наши части, занявшие вчера город Варошлед, быстро продвинулись вдоль железной дороги на запад и выбили немцев из города Девечер. Советские части, наступающие вдоль северо-западного побережья озера Балатон, отрезали пути отхода вражеским подразделениям, оборонявшим полуостров Тигань, и разгромили их. В течение дня уничтожено несколько тысяч гитлеровцев, подбито и сожжено 45 танков и 43 бронетранспортёра противника.</w:t>
      </w:r>
    </w:p>
    <w:p w14:paraId="161C39A9" w14:textId="77777777" w:rsidR="00525BF4" w:rsidRPr="00925F26" w:rsidRDefault="00525BF4" w:rsidP="00925F26">
      <w:pPr>
        <w:jc w:val="both"/>
        <w:rPr>
          <w:color w:val="000000" w:themeColor="text1"/>
          <w:sz w:val="16"/>
          <w:szCs w:val="16"/>
        </w:rPr>
      </w:pPr>
      <w:r w:rsidRPr="00925F26">
        <w:rPr>
          <w:color w:val="000000" w:themeColor="text1"/>
          <w:sz w:val="16"/>
          <w:szCs w:val="16"/>
        </w:rPr>
        <w:t>Советские воины в боях с немецкими захватчиками проявляют образцы доблести и геройства. Гвардии красноармеец Чеснов в одном бою уничтожил 7 гитлеровцев и захватил противотанковую пушку. Отважный боец быстро развернул пушку и, открыв огонь, сжег немецкое самоходное орудие. Гвардии красноармеец Гусакович в рукопашной схватке убил немецкого офицера и трёх солдат, а затем противотанковой гранатой подорвал бронетранспортёр противника.</w:t>
      </w:r>
    </w:p>
    <w:p w14:paraId="53DCC8C2" w14:textId="77777777" w:rsidR="00525BF4" w:rsidRPr="00925F26" w:rsidRDefault="00525BF4" w:rsidP="00925F26">
      <w:pPr>
        <w:jc w:val="both"/>
        <w:rPr>
          <w:color w:val="000000" w:themeColor="text1"/>
          <w:sz w:val="16"/>
          <w:szCs w:val="16"/>
        </w:rPr>
      </w:pPr>
      <w:r w:rsidRPr="00925F26">
        <w:rPr>
          <w:color w:val="000000" w:themeColor="text1"/>
          <w:sz w:val="16"/>
          <w:szCs w:val="16"/>
        </w:rPr>
        <w:t>Батарея самоходных орудий старшего лейтенанта Остова разгромила вражескую колонну, сожгла немецкий танк и 8 автомашин и уничтожила до роты гитлеровцев. Артиллеристы батареи гвардии капитана Василенко, отражая вражескую контратаку, подбили 3 танка и 4 бронетранспортёра противника.» (15080).</w:t>
      </w:r>
    </w:p>
    <w:p w14:paraId="580E9570" w14:textId="77777777" w:rsidR="00525BF4" w:rsidRPr="00925F26" w:rsidRDefault="00525BF4" w:rsidP="00925F26">
      <w:pPr>
        <w:jc w:val="both"/>
        <w:rPr>
          <w:color w:val="000000" w:themeColor="text1"/>
          <w:sz w:val="16"/>
          <w:szCs w:val="16"/>
        </w:rPr>
      </w:pPr>
    </w:p>
    <w:p w14:paraId="4287D7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марта 1945 до места назначения, аэродрома Шрода, 16 экипажей 78 гшап во главе с командиром полка добрались. Остальные подтянулись к 11 апреля. Надо отдать должное командованию воздушной ар</w:t>
      </w:r>
      <w:r w:rsidRPr="00925F26">
        <w:rPr>
          <w:color w:val="000000" w:themeColor="text1"/>
          <w:sz w:val="16"/>
          <w:szCs w:val="16"/>
        </w:rPr>
        <w:softHyphen/>
        <w:t>мии и 2-й гшад. Выяснив реальную го</w:t>
      </w:r>
      <w:r w:rsidRPr="00925F26">
        <w:rPr>
          <w:color w:val="000000" w:themeColor="text1"/>
          <w:sz w:val="16"/>
          <w:szCs w:val="16"/>
        </w:rPr>
        <w:softHyphen/>
        <w:t>товность полка к боевым действиям, они мудро решили полк в бой пока не вво</w:t>
      </w:r>
      <w:r w:rsidRPr="00925F26">
        <w:rPr>
          <w:color w:val="000000" w:themeColor="text1"/>
          <w:sz w:val="16"/>
          <w:szCs w:val="16"/>
        </w:rPr>
        <w:softHyphen/>
        <w:t>дить, дабы не подорвать веру в новый штурмовик и не нести напрасные поте</w:t>
      </w:r>
      <w:r w:rsidRPr="00925F26">
        <w:rPr>
          <w:color w:val="000000" w:themeColor="text1"/>
          <w:sz w:val="16"/>
          <w:szCs w:val="16"/>
        </w:rPr>
        <w:softHyphen/>
        <w:t>ри, а дать летчикам полноценно подгото</w:t>
      </w:r>
      <w:r w:rsidRPr="00925F26">
        <w:rPr>
          <w:color w:val="000000" w:themeColor="text1"/>
          <w:sz w:val="16"/>
          <w:szCs w:val="16"/>
        </w:rPr>
        <w:softHyphen/>
        <w:t>виться, а также завершить перевооруже</w:t>
      </w:r>
      <w:r w:rsidRPr="00925F26">
        <w:rPr>
          <w:color w:val="000000" w:themeColor="text1"/>
          <w:sz w:val="16"/>
          <w:szCs w:val="16"/>
        </w:rPr>
        <w:softHyphen/>
        <w:t>ние части на Ил-10. В течение всего ап</w:t>
      </w:r>
      <w:r w:rsidRPr="00925F26">
        <w:rPr>
          <w:color w:val="000000" w:themeColor="text1"/>
          <w:sz w:val="16"/>
          <w:szCs w:val="16"/>
        </w:rPr>
        <w:softHyphen/>
        <w:t>реля в 78-м интенсивно занимались вво</w:t>
      </w:r>
      <w:r w:rsidRPr="00925F26">
        <w:rPr>
          <w:color w:val="000000" w:themeColor="text1"/>
          <w:sz w:val="16"/>
          <w:szCs w:val="16"/>
        </w:rPr>
        <w:softHyphen/>
        <w:t>дом в строй молодого летного состава, не прошедшего в Куйбышеве переучива</w:t>
      </w:r>
      <w:r w:rsidRPr="00925F26">
        <w:rPr>
          <w:color w:val="000000" w:themeColor="text1"/>
          <w:sz w:val="16"/>
          <w:szCs w:val="16"/>
        </w:rPr>
        <w:softHyphen/>
        <w:t>ния на новый штурмовик, и тренировкой «стариков». В это время во Львове при</w:t>
      </w:r>
      <w:r w:rsidRPr="00925F26">
        <w:rPr>
          <w:color w:val="000000" w:themeColor="text1"/>
          <w:sz w:val="16"/>
          <w:szCs w:val="16"/>
        </w:rPr>
        <w:softHyphen/>
        <w:t>нимали и собирали Ил-10. Машины за</w:t>
      </w:r>
      <w:r w:rsidRPr="00925F26">
        <w:rPr>
          <w:color w:val="000000" w:themeColor="text1"/>
          <w:sz w:val="16"/>
          <w:szCs w:val="16"/>
        </w:rPr>
        <w:softHyphen/>
        <w:t>тем перегонялись на базу наиболее под</w:t>
      </w:r>
      <w:r w:rsidRPr="00925F26">
        <w:rPr>
          <w:color w:val="000000" w:themeColor="text1"/>
          <w:sz w:val="16"/>
          <w:szCs w:val="16"/>
        </w:rPr>
        <w:softHyphen/>
        <w:t>готовленными летчиками полка. Имев</w:t>
      </w:r>
      <w:r w:rsidRPr="00925F26">
        <w:rPr>
          <w:color w:val="000000" w:themeColor="text1"/>
          <w:sz w:val="16"/>
          <w:szCs w:val="16"/>
        </w:rPr>
        <w:softHyphen/>
        <w:t>шиеся Ил-2 передавались в другие час</w:t>
      </w:r>
      <w:r w:rsidRPr="00925F26">
        <w:rPr>
          <w:color w:val="000000" w:themeColor="text1"/>
          <w:sz w:val="16"/>
          <w:szCs w:val="16"/>
        </w:rPr>
        <w:softHyphen/>
        <w:t>ти дивизии (10681).</w:t>
      </w:r>
    </w:p>
    <w:p w14:paraId="705601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E911C3A"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К 26 марта 1945 на аэродром базирования 78 полка г. Шрода прибыли 16 экипажей на самолетах Ил-10 во главе с командиром полка. Оставшиеся экипажи смогли добраться до места только к 11 апреля.</w:t>
      </w:r>
    </w:p>
    <w:p w14:paraId="0FF49A71"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Надо отдать должное командованию 16 ВА и 2-й гвардейской шад: выяснив реальную готовность полка к боевым действиям и состояние матчасти, они мудро решили 78 гшап в бой не вводить, дабы не понести напрасные потери и не потерять веру летного состава в новый самолет. Было решено дать летчикам полноценную подготовку на Ил-10. В этой связи в течение всего апреля 78 гшап интенсивно занимался вводом в строй молодого летного состава, не прошедшего в Куйбышеве переучивание на самолете Ил-10, и дополнительной тренировкой «старых» летчиков. Часть технического состава полка была направлена на авиабазу в г. Львов, где осуществлялись приемка и сборка штурмовиков Ил-10. Собранные «десятки» затем перегонялись на базовый аэродром наиболее подготовленными летчиками полка. Всего к 1 мая из Львова на аэродром Шрода перебросили 10 самолетов Ил-10. Одновременно все имевшиеся в наличии штурмовики Ил-2 передавались в другие части дивизии.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вылетала на Ил-10. Однако к этому времени война подошла к концу и 78 гшап в бой не вводился.</w:t>
      </w:r>
    </w:p>
    <w:p w14:paraId="35D58B76"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по 19 декабря 1944 года.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5C54005D" w14:textId="77777777" w:rsidR="00F94661" w:rsidRPr="00925F26" w:rsidRDefault="00F94661" w:rsidP="00925F26">
      <w:pPr>
        <w:jc w:val="both"/>
        <w:rPr>
          <w:rStyle w:val="107"/>
          <w:rFonts w:eastAsiaTheme="minorHAnsi"/>
          <w:color w:val="000000" w:themeColor="text1"/>
          <w:sz w:val="16"/>
          <w:szCs w:val="16"/>
        </w:rPr>
      </w:pPr>
    </w:p>
    <w:p w14:paraId="1D9EC9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26 марта 1945 на аэродром базирова</w:t>
      </w:r>
      <w:r w:rsidRPr="00925F26">
        <w:rPr>
          <w:color w:val="000000" w:themeColor="text1"/>
          <w:sz w:val="16"/>
          <w:szCs w:val="16"/>
        </w:rPr>
        <w:softHyphen/>
        <w:t>ния полка г. Шрода прибыли 16 эки</w:t>
      </w:r>
      <w:r w:rsidRPr="00925F26">
        <w:rPr>
          <w:color w:val="000000" w:themeColor="text1"/>
          <w:sz w:val="16"/>
          <w:szCs w:val="16"/>
        </w:rPr>
        <w:softHyphen/>
        <w:t>пажей на самолетах Ил-10 во главе с командиром полка. Оставшиеся экипа</w:t>
      </w:r>
      <w:r w:rsidRPr="00925F26">
        <w:rPr>
          <w:color w:val="000000" w:themeColor="text1"/>
          <w:sz w:val="16"/>
          <w:szCs w:val="16"/>
        </w:rPr>
        <w:softHyphen/>
        <w:t>жи смогли добраться до места только к 11 апреля. Надо отдать должное командованию 16 ВА и 2-й гвардейской шад, вы</w:t>
      </w:r>
      <w:r w:rsidRPr="00925F26">
        <w:rPr>
          <w:color w:val="000000" w:themeColor="text1"/>
          <w:sz w:val="16"/>
          <w:szCs w:val="16"/>
        </w:rPr>
        <w:softHyphen/>
        <w:t>яснив реальную готовность полка к боевым действиям и состояние матча-сти, они мудро решили 78-й гшап в бой не вводить, дабы не понести напрас</w:t>
      </w:r>
      <w:r w:rsidRPr="00925F26">
        <w:rPr>
          <w:color w:val="000000" w:themeColor="text1"/>
          <w:sz w:val="16"/>
          <w:szCs w:val="16"/>
        </w:rPr>
        <w:softHyphen/>
        <w:t>ные потери и не потерять веру летно</w:t>
      </w:r>
      <w:r w:rsidRPr="00925F26">
        <w:rPr>
          <w:color w:val="000000" w:themeColor="text1"/>
          <w:sz w:val="16"/>
          <w:szCs w:val="16"/>
        </w:rPr>
        <w:softHyphen/>
        <w:t>го состава в новый самолет. Было ре</w:t>
      </w:r>
      <w:r w:rsidRPr="00925F26">
        <w:rPr>
          <w:color w:val="000000" w:themeColor="text1"/>
          <w:sz w:val="16"/>
          <w:szCs w:val="16"/>
        </w:rPr>
        <w:softHyphen/>
        <w:t>шено дать летчикам полноценную под</w:t>
      </w:r>
      <w:r w:rsidRPr="00925F26">
        <w:rPr>
          <w:color w:val="000000" w:themeColor="text1"/>
          <w:sz w:val="16"/>
          <w:szCs w:val="16"/>
        </w:rPr>
        <w:softHyphen/>
        <w:t>готовку и полностью перевооружить полк на Ил-10. В этой связи в течение всего апреля 78-й гшап интенсивно занимался вводом в строй молодого летного состава, не прошедшего в Куй</w:t>
      </w:r>
      <w:r w:rsidRPr="00925F26">
        <w:rPr>
          <w:color w:val="000000" w:themeColor="text1"/>
          <w:sz w:val="16"/>
          <w:szCs w:val="16"/>
        </w:rPr>
        <w:softHyphen/>
        <w:t>бышеве переучивание на самолете Ил-10, и дополнительной тренировкой «старых» летчике в. Часть техническо</w:t>
      </w:r>
      <w:r w:rsidRPr="00925F26">
        <w:rPr>
          <w:color w:val="000000" w:themeColor="text1"/>
          <w:sz w:val="16"/>
          <w:szCs w:val="16"/>
        </w:rPr>
        <w:softHyphen/>
        <w:t>го состава полка была направлена на авиабазу в г.Львов, где осуществлялась приемка и сборка штурмовиков Ил-10. Собранные «десятки» затем перегоня</w:t>
      </w:r>
      <w:r w:rsidRPr="00925F26">
        <w:rPr>
          <w:color w:val="000000" w:themeColor="text1"/>
          <w:sz w:val="16"/>
          <w:szCs w:val="16"/>
        </w:rPr>
        <w:softHyphen/>
        <w:t>лись на базовый аэродром наиболее подготовленными летчиками полка. Одновременно все имевшиеся в нали</w:t>
      </w:r>
      <w:r w:rsidRPr="00925F26">
        <w:rPr>
          <w:color w:val="000000" w:themeColor="text1"/>
          <w:sz w:val="16"/>
          <w:szCs w:val="16"/>
        </w:rPr>
        <w:softHyphen/>
        <w:t>чии штурмовики Ил-2 передавались в другие части дивизии (11131).</w:t>
      </w:r>
    </w:p>
    <w:p w14:paraId="6F95B1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CF16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26 марта 1945 советская авиация нанесла очередной удар по конвою под Лиепаей. Впереди летели двенадцать истребителей, которые должны были очистить воздух от истребителей противника. Ценой одной машины, советские истребители выполнили задание. Но когда на цель вышли 13 торпедоносцев и 9 бомбардировщиков из 8-го МТАД в сопровождении истребителей, в воздухе опять появились Фокке-Вульфы. Сделав несколько заходов, советские самолеты потопили два тральных катера (N 145 и 260), однако главная цель - большой танкер "Зассниц" - остался на плаву. Однако вскоре появились самолеты второй волны: три торпедоносца и два бомбардировщика. На этот раз удача сопутствовала советским летчикам. Получив десять прямых попаданий </w:t>
      </w:r>
      <w:proofErr w:type="gramStart"/>
      <w:r w:rsidRPr="00925F26">
        <w:rPr>
          <w:color w:val="000000" w:themeColor="text1"/>
          <w:sz w:val="16"/>
          <w:szCs w:val="16"/>
        </w:rPr>
        <w:t>"3ассниц"</w:t>
      </w:r>
      <w:proofErr w:type="gramEnd"/>
      <w:r w:rsidRPr="00925F26">
        <w:rPr>
          <w:color w:val="000000" w:themeColor="text1"/>
          <w:sz w:val="16"/>
          <w:szCs w:val="16"/>
        </w:rPr>
        <w:t xml:space="preserve"> взорвался и пошел на дно (2691).</w:t>
      </w:r>
    </w:p>
    <w:p w14:paraId="0F95FA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26 марта 1945 20 Ил-2 были выделены для уничтожения конвоя в составе танкера, двух транспортов, двух сторожевиков юго-западнее Либавы. Удар наносили 4 группами. На первом заходе бомб на бросали. На втором - потопили транспорт и танкер (4365).</w:t>
      </w:r>
    </w:p>
    <w:p w14:paraId="07B6267C" w14:textId="77777777" w:rsidR="00665165" w:rsidRPr="00925F26" w:rsidRDefault="00665165" w:rsidP="00925F26">
      <w:pPr>
        <w:autoSpaceDE w:val="0"/>
        <w:autoSpaceDN w:val="0"/>
        <w:adjustRightInd w:val="0"/>
        <w:jc w:val="both"/>
        <w:rPr>
          <w:color w:val="000000" w:themeColor="text1"/>
          <w:sz w:val="16"/>
          <w:szCs w:val="16"/>
        </w:rPr>
      </w:pPr>
    </w:p>
    <w:p w14:paraId="71EF1D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26 марта 1945 авиация нанесла удар по Гданьску и сбросила 2000 бомб крупного калибра (438,936).</w:t>
      </w:r>
    </w:p>
    <w:p w14:paraId="7D4E1831" w14:textId="77777777" w:rsidR="00665165" w:rsidRPr="00925F26" w:rsidRDefault="00665165" w:rsidP="00925F26">
      <w:pPr>
        <w:autoSpaceDE w:val="0"/>
        <w:autoSpaceDN w:val="0"/>
        <w:adjustRightInd w:val="0"/>
        <w:jc w:val="both"/>
        <w:rPr>
          <w:color w:val="000000" w:themeColor="text1"/>
          <w:sz w:val="16"/>
          <w:szCs w:val="16"/>
        </w:rPr>
      </w:pPr>
    </w:p>
    <w:p w14:paraId="38030B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26 марта 1945 в 1-м и 3-м авиакорпусах было 33 Ер-2, а в 8 ГАД - 77 Ер-2. Летом хотели провести широкие войсковые испытания (2865,11).</w:t>
      </w:r>
    </w:p>
    <w:p w14:paraId="67E8CF5A" w14:textId="77777777" w:rsidR="00665165" w:rsidRPr="00925F26" w:rsidRDefault="00665165" w:rsidP="00925F26">
      <w:pPr>
        <w:autoSpaceDE w:val="0"/>
        <w:autoSpaceDN w:val="0"/>
        <w:adjustRightInd w:val="0"/>
        <w:jc w:val="both"/>
        <w:rPr>
          <w:color w:val="000000" w:themeColor="text1"/>
          <w:sz w:val="16"/>
          <w:szCs w:val="16"/>
        </w:rPr>
      </w:pPr>
    </w:p>
    <w:p w14:paraId="696790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26 марта 1945 г. 33 машины Ер-2 находились в 1-м и 3-м авиакорпусах и 77 - в 8-й гвардейской авиадивизии. До конца войны оставалось полтора месяца, и на Ер-2 с дизелями успели совершить лишь два боевых вылета (11994).</w:t>
      </w:r>
    </w:p>
    <w:p w14:paraId="45253228" w14:textId="77777777" w:rsidR="00665165" w:rsidRPr="00925F26" w:rsidRDefault="00665165" w:rsidP="00925F26">
      <w:pPr>
        <w:autoSpaceDE w:val="0"/>
        <w:autoSpaceDN w:val="0"/>
        <w:adjustRightInd w:val="0"/>
        <w:jc w:val="both"/>
        <w:rPr>
          <w:color w:val="000000" w:themeColor="text1"/>
          <w:sz w:val="16"/>
          <w:szCs w:val="16"/>
        </w:rPr>
      </w:pPr>
    </w:p>
    <w:p w14:paraId="3F01FA0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марта 1945 Умер от болезни Шапошников Борис Михайлович Маршал Советского Союза (</w:t>
      </w:r>
      <w:proofErr w:type="gramStart"/>
      <w:r w:rsidRPr="00925F26">
        <w:rPr>
          <w:color w:val="000000" w:themeColor="text1"/>
          <w:sz w:val="16"/>
          <w:szCs w:val="16"/>
        </w:rPr>
        <w:t>4963 )</w:t>
      </w:r>
      <w:proofErr w:type="gramEnd"/>
      <w:r w:rsidRPr="00925F26">
        <w:rPr>
          <w:color w:val="000000" w:themeColor="text1"/>
          <w:sz w:val="16"/>
          <w:szCs w:val="16"/>
        </w:rPr>
        <w:t>.</w:t>
      </w:r>
    </w:p>
    <w:p w14:paraId="49E2B68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981A29A"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1D47B8F3" w14:textId="77777777" w:rsidR="00665165" w:rsidRPr="00925F26" w:rsidRDefault="00665165" w:rsidP="00925F26">
      <w:pPr>
        <w:autoSpaceDE w:val="0"/>
        <w:autoSpaceDN w:val="0"/>
        <w:adjustRightInd w:val="0"/>
        <w:jc w:val="both"/>
        <w:rPr>
          <w:iCs/>
          <w:color w:val="000000" w:themeColor="text1"/>
          <w:sz w:val="16"/>
          <w:szCs w:val="16"/>
          <w:lang w:val="en-US"/>
        </w:rPr>
      </w:pPr>
    </w:p>
    <w:p w14:paraId="638F154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26th, 1945: The US Third Army captures Darmstadt. Reichsfuhrer-SS Himmler is replaced by General Heinrici as C-i-C of Heeresgruppe Weichsel (3819).</w:t>
      </w:r>
    </w:p>
    <w:p w14:paraId="0330E858" w14:textId="77777777" w:rsidR="00665165" w:rsidRPr="00925F26" w:rsidRDefault="00665165" w:rsidP="00925F26">
      <w:pPr>
        <w:autoSpaceDE w:val="0"/>
        <w:autoSpaceDN w:val="0"/>
        <w:adjustRightInd w:val="0"/>
        <w:jc w:val="both"/>
        <w:rPr>
          <w:color w:val="000000" w:themeColor="text1"/>
          <w:sz w:val="16"/>
          <w:szCs w:val="16"/>
          <w:lang w:val="en-US"/>
        </w:rPr>
      </w:pPr>
    </w:p>
    <w:p w14:paraId="064E22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26 марта 1945 весь западный фронт переместился восточнее Рейна (2248,4).</w:t>
      </w:r>
    </w:p>
    <w:p w14:paraId="7E89B5BC" w14:textId="77777777" w:rsidR="00665165" w:rsidRPr="00925F26" w:rsidRDefault="00665165" w:rsidP="00925F26">
      <w:pPr>
        <w:autoSpaceDE w:val="0"/>
        <w:autoSpaceDN w:val="0"/>
        <w:adjustRightInd w:val="0"/>
        <w:jc w:val="both"/>
        <w:rPr>
          <w:color w:val="000000" w:themeColor="text1"/>
          <w:sz w:val="16"/>
          <w:szCs w:val="16"/>
        </w:rPr>
      </w:pPr>
    </w:p>
    <w:p w14:paraId="040DDD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марта 1945 3А США заняла Дармштадт. Рейхсфюрер СС Г.Г. был заменен г Хейнричи на посту ГК Группы Вейшел (3819).</w:t>
      </w:r>
    </w:p>
    <w:p w14:paraId="22FB58A7" w14:textId="77777777" w:rsidR="00665165" w:rsidRPr="00925F26" w:rsidRDefault="00665165" w:rsidP="00925F26">
      <w:pPr>
        <w:autoSpaceDE w:val="0"/>
        <w:autoSpaceDN w:val="0"/>
        <w:adjustRightInd w:val="0"/>
        <w:jc w:val="both"/>
        <w:rPr>
          <w:color w:val="000000" w:themeColor="text1"/>
          <w:sz w:val="16"/>
          <w:szCs w:val="16"/>
        </w:rPr>
      </w:pPr>
    </w:p>
    <w:p w14:paraId="1F84D4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марта 1945 Сирия объявила войну Германии (2100).</w:t>
      </w:r>
    </w:p>
    <w:p w14:paraId="45CEEC45" w14:textId="77777777" w:rsidR="00665165" w:rsidRPr="00925F26" w:rsidRDefault="00665165" w:rsidP="00925F26">
      <w:pPr>
        <w:autoSpaceDE w:val="0"/>
        <w:autoSpaceDN w:val="0"/>
        <w:adjustRightInd w:val="0"/>
        <w:jc w:val="both"/>
        <w:rPr>
          <w:color w:val="000000" w:themeColor="text1"/>
          <w:sz w:val="16"/>
          <w:szCs w:val="16"/>
        </w:rPr>
      </w:pPr>
    </w:p>
    <w:p w14:paraId="2E4AF12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марта 1945 американские войска овладели островом Иводжима. В етой операции длившейся с 19.2 американцы потеряли 6000 человек убитыми и 17000 ранеными. Потери японцев - 22 000 убитых (</w:t>
      </w:r>
      <w:proofErr w:type="gramStart"/>
      <w:r w:rsidRPr="00925F26">
        <w:rPr>
          <w:color w:val="000000" w:themeColor="text1"/>
          <w:sz w:val="16"/>
          <w:szCs w:val="16"/>
        </w:rPr>
        <w:t>4963 )</w:t>
      </w:r>
      <w:proofErr w:type="gramEnd"/>
      <w:r w:rsidRPr="00925F26">
        <w:rPr>
          <w:color w:val="000000" w:themeColor="text1"/>
          <w:sz w:val="16"/>
          <w:szCs w:val="16"/>
        </w:rPr>
        <w:t>.</w:t>
      </w:r>
    </w:p>
    <w:p w14:paraId="0C132A9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646C355" w14:textId="77777777" w:rsidR="00C43715" w:rsidRPr="00925F26" w:rsidRDefault="00C43715" w:rsidP="00925F26">
      <w:pPr>
        <w:jc w:val="both"/>
        <w:rPr>
          <w:color w:val="000000" w:themeColor="text1"/>
          <w:sz w:val="16"/>
          <w:szCs w:val="16"/>
        </w:rPr>
      </w:pPr>
      <w:r w:rsidRPr="00925F26">
        <w:rPr>
          <w:color w:val="000000" w:themeColor="text1"/>
          <w:sz w:val="16"/>
          <w:szCs w:val="16"/>
        </w:rPr>
        <w:t>26 марта 1945 Соединенные Штаты объявляют операцию на Иводзиме «завершенной» (20371).</w:t>
      </w:r>
    </w:p>
    <w:p w14:paraId="03C04CC1" w14:textId="77777777" w:rsidR="00C43715" w:rsidRPr="00925F26" w:rsidRDefault="00C43715" w:rsidP="00925F26">
      <w:pPr>
        <w:jc w:val="both"/>
        <w:rPr>
          <w:color w:val="000000" w:themeColor="text1"/>
          <w:sz w:val="16"/>
          <w:szCs w:val="16"/>
        </w:rPr>
      </w:pPr>
    </w:p>
    <w:p w14:paraId="034D366C" w14:textId="77777777" w:rsidR="00C43715" w:rsidRPr="00925F26" w:rsidRDefault="00C43715" w:rsidP="00925F26">
      <w:pPr>
        <w:jc w:val="both"/>
        <w:rPr>
          <w:color w:val="000000" w:themeColor="text1"/>
          <w:sz w:val="16"/>
          <w:szCs w:val="16"/>
        </w:rPr>
      </w:pPr>
      <w:r w:rsidRPr="00925F26">
        <w:rPr>
          <w:color w:val="000000" w:themeColor="text1"/>
          <w:sz w:val="16"/>
          <w:szCs w:val="16"/>
        </w:rPr>
        <w:t>26 марта 1945 Британский Тихоокеанский флот проводит свою первую боевую операцию в качестве оперативной группы 57 под командованием Пятого флота США, нанося авиаудары по японским аэродромам на Миякодзима в Сакисима Гунто (20371).</w:t>
      </w:r>
    </w:p>
    <w:p w14:paraId="442D8A73" w14:textId="77777777" w:rsidR="00C43715" w:rsidRPr="00925F26" w:rsidRDefault="00C43715" w:rsidP="00925F26">
      <w:pPr>
        <w:jc w:val="both"/>
        <w:rPr>
          <w:color w:val="000000" w:themeColor="text1"/>
          <w:sz w:val="16"/>
          <w:szCs w:val="16"/>
        </w:rPr>
      </w:pPr>
    </w:p>
    <w:p w14:paraId="56556AC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5EEF7B1" w14:textId="77777777" w:rsidR="00665165" w:rsidRPr="00925F26" w:rsidRDefault="00665165" w:rsidP="00925F26">
      <w:pPr>
        <w:autoSpaceDE w:val="0"/>
        <w:autoSpaceDN w:val="0"/>
        <w:adjustRightInd w:val="0"/>
        <w:jc w:val="both"/>
        <w:rPr>
          <w:iCs/>
          <w:color w:val="000000" w:themeColor="text1"/>
          <w:sz w:val="16"/>
          <w:szCs w:val="16"/>
        </w:rPr>
      </w:pPr>
    </w:p>
    <w:p w14:paraId="5BA10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А.И.Ш. писал письмо N Н-221/1464 в ГКО Г.М.М.:</w:t>
      </w:r>
    </w:p>
    <w:p w14:paraId="4B288D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Посылаю докладную записку тт. С.В.И., Литвинова, Белянского, Юдина, Флисского, Кофмана и командира 1 КЗШАБ Подольского о переходе на производство на заводах 1 и 18 одного типа самолетов Ил-10 и на заводе 24 одного типа мотора АМ-42". (прил. - 3 л.) (1872,200).</w:t>
      </w:r>
    </w:p>
    <w:p w14:paraId="6DC773B4" w14:textId="77777777" w:rsidR="00665165" w:rsidRPr="00925F26" w:rsidRDefault="00665165" w:rsidP="00925F26">
      <w:pPr>
        <w:autoSpaceDE w:val="0"/>
        <w:autoSpaceDN w:val="0"/>
        <w:adjustRightInd w:val="0"/>
        <w:jc w:val="both"/>
        <w:rPr>
          <w:color w:val="000000" w:themeColor="text1"/>
          <w:sz w:val="16"/>
          <w:szCs w:val="16"/>
        </w:rPr>
      </w:pPr>
    </w:p>
    <w:p w14:paraId="17AEB5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закончились заводские испытания Ла-7Р-2, которые шли с 26 января 1945. Провели 19 полетов, 45 пусков ЖРД, в т.ч. 6 в воздухе. 1 марта прибавил 85 км/час, 10 марта 1945 - 95 км/час. РД работал плохо и в 15 запусках из 45 отказывал (2234,6).</w:t>
      </w:r>
    </w:p>
    <w:p w14:paraId="2464ACE2" w14:textId="77777777" w:rsidR="00665165" w:rsidRPr="00925F26" w:rsidRDefault="00665165" w:rsidP="00925F26">
      <w:pPr>
        <w:autoSpaceDE w:val="0"/>
        <w:autoSpaceDN w:val="0"/>
        <w:adjustRightInd w:val="0"/>
        <w:jc w:val="both"/>
        <w:rPr>
          <w:color w:val="000000" w:themeColor="text1"/>
          <w:sz w:val="16"/>
          <w:szCs w:val="16"/>
        </w:rPr>
      </w:pPr>
    </w:p>
    <w:p w14:paraId="454928ED" w14:textId="77777777" w:rsidR="00F4250C" w:rsidRPr="00925F26" w:rsidRDefault="00F4250C" w:rsidP="00925F26">
      <w:pPr>
        <w:shd w:val="clear" w:color="auto" w:fill="FFFFFF"/>
        <w:jc w:val="both"/>
        <w:rPr>
          <w:color w:val="000000" w:themeColor="text1"/>
          <w:sz w:val="16"/>
          <w:szCs w:val="16"/>
        </w:rPr>
      </w:pPr>
      <w:r w:rsidRPr="00925F26">
        <w:rPr>
          <w:color w:val="000000" w:themeColor="text1"/>
          <w:sz w:val="16"/>
          <w:szCs w:val="16"/>
        </w:rPr>
        <w:t xml:space="preserve">27 марта 1945 г. в полете на Ла-7Р-2 на высоте 6000 м РД-1 не включился, попытки повторного запуска на высоте 3000 м привели к сильному взрыву в камере сгорания РД-1. Рули самолета были сильно повреждены, и он потерял управ ляемость, сделал бочку». Кабину летчика заполнили пары азот ной кислоты, но летчик-испытатель Г.М. Шиянов с большим трудом все же смог посадить самолет. До 14 апреля 1945 г. Ла-7Р-2 подвергся ремонту. Заменили поврежденные оперение и камеру сгорания, а также устранили мелкие дефекты, появив шиеся в результате взрыва. На самолете Ла-7Р-2 установили РД-1, имеющий диафрагмы с отверстиями диаметром до 20 мм для обеспечения давления от факела эфирно-воздушного зажи гания на земле до 0,5 атм. Попытки запустить новый РД-1 на высотах 5000...6000 м ни к чему не привели. </w:t>
      </w:r>
      <w:proofErr w:type="gramStart"/>
      <w:r w:rsidRPr="00925F26">
        <w:rPr>
          <w:color w:val="000000" w:themeColor="text1"/>
          <w:sz w:val="16"/>
          <w:szCs w:val="16"/>
        </w:rPr>
        <w:t>Далее</w:t>
      </w:r>
      <w:proofErr w:type="gramEnd"/>
      <w:r w:rsidRPr="00925F26">
        <w:rPr>
          <w:color w:val="000000" w:themeColor="text1"/>
          <w:sz w:val="16"/>
          <w:szCs w:val="16"/>
        </w:rPr>
        <w:t xml:space="preserve"> в связи с этим РД-1 был усовершенствован, как уже говорилось выше, и как РД-1ХЗ стал устанавливаться на всех экспериментальных самолетах вместо РД-1 (19586).</w:t>
      </w:r>
    </w:p>
    <w:p w14:paraId="22B3E93C" w14:textId="77777777" w:rsidR="00F4250C" w:rsidRPr="00925F26" w:rsidRDefault="00F4250C" w:rsidP="00925F26">
      <w:pPr>
        <w:shd w:val="clear" w:color="auto" w:fill="FFFFFF"/>
        <w:jc w:val="both"/>
        <w:rPr>
          <w:color w:val="000000" w:themeColor="text1"/>
          <w:sz w:val="16"/>
          <w:szCs w:val="16"/>
        </w:rPr>
      </w:pPr>
    </w:p>
    <w:p w14:paraId="6B0774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на втором Ла-7Р с РД-1ХЗ В.П.Г. при попытке повторно осуществить запуск взорвался ЖРД и Г.М.Шиянов с трудом посадил машину (173,416). Ремонтировали оперение до 14 апреля 1945 (2234,9).</w:t>
      </w:r>
    </w:p>
    <w:p w14:paraId="18007981" w14:textId="77777777" w:rsidR="00665165" w:rsidRPr="00925F26" w:rsidRDefault="00665165" w:rsidP="00925F26">
      <w:pPr>
        <w:autoSpaceDE w:val="0"/>
        <w:autoSpaceDN w:val="0"/>
        <w:adjustRightInd w:val="0"/>
        <w:jc w:val="both"/>
        <w:rPr>
          <w:color w:val="000000" w:themeColor="text1"/>
          <w:sz w:val="16"/>
          <w:szCs w:val="16"/>
        </w:rPr>
      </w:pPr>
    </w:p>
    <w:p w14:paraId="654202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г. на Ла-7Р, оснащенном ЖРД РД-1 конструкции В.П.Глушко, РД-1 взорвался в воздухе. Шиянов смог посадить поврежденную машину. Доработанный ЖРД был установлен на опытный самолет "120" (4707).</w:t>
      </w:r>
    </w:p>
    <w:p w14:paraId="305E7BBE" w14:textId="77777777" w:rsidR="00665165" w:rsidRPr="00925F26" w:rsidRDefault="00665165" w:rsidP="00925F26">
      <w:pPr>
        <w:autoSpaceDE w:val="0"/>
        <w:autoSpaceDN w:val="0"/>
        <w:adjustRightInd w:val="0"/>
        <w:jc w:val="both"/>
        <w:rPr>
          <w:color w:val="000000" w:themeColor="text1"/>
          <w:sz w:val="16"/>
          <w:szCs w:val="16"/>
        </w:rPr>
      </w:pPr>
    </w:p>
    <w:p w14:paraId="33BDFD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испытания Ла-7Р-2 завершились взрывом ЖРД. С 26 января по 27 марта 1945 г. провели 19 полётов на втором экземпляре Ла-7Р-2 и лишь в шести из них включался ЖРД. По-прежнему надёжность и устойчивость его работы оставляли желать лучшего. Лишь в двух полётах удалось сделать две "площадки" и определить скоростные характеристики машины. Максимальный прирост скорости составил около 95 км/ч на высоте 2600 м. Это был уже второй такой случай. Первый раз двигатель взорвался при запуске на земле. Теперь то же самое произошло в воздухе. В тот день у самолёта, пилотируемого Г.М. Шияновым, на высоте 6000 м не запустился ЖРД. Снизившись до 3000 м, пилот повторил попытку, но раздался взрыв, видимо, из-за скопившихся в камере сгорания компонентов топлива. От взрыва больше всего пострадали рули высоты, от которых остались одни лохмотья. Чуть лучше выглядел руль поворота. Кабина почти неуправляемого самолёта заполнилась ядовитыми парами азотной кислоты. Лишь чудом лётчик спас израненную машину и приземлился. Свыше двух недель ушло на ремонт Ла-7Р-2. Однако и доработанный за это время ЖРД не желал запускаться на больших высотах. Только использование РД-1ХЗ с химическим зажиганием позволило сдвинуть проблему с мёртвой точки, но в целом не повысило надёжность ЖРД. Разобраться в неудачах с двигателем удалось к середине лета, и в августе 1945 г. лётные испытания Ла-7Р-2 продолжили (11986).</w:t>
      </w:r>
    </w:p>
    <w:p w14:paraId="1AC4D3AF" w14:textId="77777777" w:rsidR="00665165" w:rsidRPr="00925F26" w:rsidRDefault="00665165" w:rsidP="00925F26">
      <w:pPr>
        <w:autoSpaceDE w:val="0"/>
        <w:autoSpaceDN w:val="0"/>
        <w:adjustRightInd w:val="0"/>
        <w:jc w:val="both"/>
        <w:rPr>
          <w:color w:val="000000" w:themeColor="text1"/>
          <w:sz w:val="16"/>
          <w:szCs w:val="16"/>
        </w:rPr>
      </w:pPr>
    </w:p>
    <w:p w14:paraId="7B411D34" w14:textId="77777777" w:rsidR="006773EC" w:rsidRPr="001A0BAA" w:rsidRDefault="006773EC" w:rsidP="006773EC">
      <w:pPr>
        <w:jc w:val="both"/>
        <w:rPr>
          <w:color w:val="0070C0"/>
          <w:sz w:val="16"/>
          <w:szCs w:val="16"/>
        </w:rPr>
      </w:pPr>
      <w:r w:rsidRPr="001A0BAA">
        <w:rPr>
          <w:color w:val="0070C0"/>
          <w:sz w:val="16"/>
          <w:szCs w:val="16"/>
        </w:rPr>
        <w:t>27 марта 1945 г. в полете на Ла-7Р-2 на высоте 6000 м РД-1 не включился, попытки повторного запуска на высоте 3000 м привели к сильному взрыву в камере сгорания РД-1. рули самолета были сильно повреждены, и он потерял управ</w:t>
      </w:r>
      <w:r w:rsidRPr="001A0BAA">
        <w:rPr>
          <w:color w:val="0070C0"/>
          <w:sz w:val="16"/>
          <w:szCs w:val="16"/>
        </w:rPr>
        <w:softHyphen/>
        <w:t>ляемость, сделал бочку». Кабину летчика заполнили пары азот</w:t>
      </w:r>
      <w:r w:rsidRPr="001A0BAA">
        <w:rPr>
          <w:color w:val="0070C0"/>
          <w:sz w:val="16"/>
          <w:szCs w:val="16"/>
        </w:rPr>
        <w:softHyphen/>
        <w:t>ной кислоты, но летчик-испытатель Г.М. Шиянов с большим трудом все же смог посадить самолет. До 14 апреля 1945 г. Ла-7Р-2 подвергся ремонту. Заменили поврежденные оперение и камеру сгорания, а также устранили мелкие дефекты, появив</w:t>
      </w:r>
      <w:r w:rsidRPr="001A0BAA">
        <w:rPr>
          <w:color w:val="0070C0"/>
          <w:sz w:val="16"/>
          <w:szCs w:val="16"/>
        </w:rPr>
        <w:softHyphen/>
        <w:t>шиеся в результате взрыва. На самолете Ла-7Р-2 установили РД-1, имеющий диафрагмы с отверстиями диаметром до 20 мм для обеспечения давления от факела эфирно-воздушного зажи</w:t>
      </w:r>
      <w:r w:rsidRPr="001A0BAA">
        <w:rPr>
          <w:color w:val="0070C0"/>
          <w:sz w:val="16"/>
          <w:szCs w:val="16"/>
        </w:rPr>
        <w:softHyphen/>
        <w:t>гания на земле до 0,5 атм. Попытки запустить новый РД-1 на высотах 5000...6000 м ни к чему не привели. Далее, в связи с этим РД-1 был усовершенствован, как уже говорилось выше, и как РД-1ХЗ стал устанавливаться на всех экспериментальных самолетах вместо РД-1. Установка РД-1ХЗ началась 29 апреля 1945 г. Двигатель РД-1ХЗ оказался не надежнее своего пред</w:t>
      </w:r>
      <w:r w:rsidRPr="001A0BAA">
        <w:rPr>
          <w:color w:val="0070C0"/>
          <w:sz w:val="16"/>
          <w:szCs w:val="16"/>
        </w:rPr>
        <w:softHyphen/>
        <w:t>шественника. 12 мая 1945 г. при наземных огневых испытани</w:t>
      </w:r>
      <w:r w:rsidRPr="001A0BAA">
        <w:rPr>
          <w:color w:val="0070C0"/>
          <w:sz w:val="16"/>
          <w:szCs w:val="16"/>
        </w:rPr>
        <w:softHyphen/>
        <w:t>ях на Ла-7Р-2 разорвалась камера сгорания РД-1ХЗ [27] (24920).</w:t>
      </w:r>
    </w:p>
    <w:p w14:paraId="0C0A3FB7" w14:textId="77777777" w:rsidR="006773EC" w:rsidRPr="001A0BAA" w:rsidRDefault="006773EC" w:rsidP="006773EC">
      <w:pPr>
        <w:jc w:val="both"/>
        <w:rPr>
          <w:color w:val="0070C0"/>
          <w:sz w:val="16"/>
          <w:szCs w:val="16"/>
        </w:rPr>
      </w:pPr>
    </w:p>
    <w:p w14:paraId="0BF9AA1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3FEA260" w14:textId="77777777" w:rsidR="00665165" w:rsidRPr="00925F26" w:rsidRDefault="00665165" w:rsidP="00925F26">
      <w:pPr>
        <w:autoSpaceDE w:val="0"/>
        <w:autoSpaceDN w:val="0"/>
        <w:adjustRightInd w:val="0"/>
        <w:jc w:val="both"/>
        <w:rPr>
          <w:iCs/>
          <w:color w:val="000000" w:themeColor="text1"/>
          <w:sz w:val="16"/>
          <w:szCs w:val="16"/>
        </w:rPr>
      </w:pPr>
    </w:p>
    <w:p w14:paraId="701938B3" w14:textId="77777777" w:rsidR="006773EC" w:rsidRPr="001A0BAA" w:rsidRDefault="006773EC" w:rsidP="006773EC">
      <w:pPr>
        <w:jc w:val="both"/>
        <w:rPr>
          <w:color w:val="0070C0"/>
          <w:sz w:val="16"/>
          <w:szCs w:val="16"/>
        </w:rPr>
      </w:pPr>
      <w:r w:rsidRPr="001A0BAA">
        <w:rPr>
          <w:color w:val="0070C0"/>
          <w:sz w:val="16"/>
          <w:szCs w:val="16"/>
        </w:rPr>
        <w:t>27 марта 1945 года в соответствии с заключением комиссии В.А.Малышевым и заместителем командующе</w:t>
      </w:r>
      <w:r w:rsidRPr="001A0BAA">
        <w:rPr>
          <w:color w:val="0070C0"/>
          <w:sz w:val="16"/>
          <w:szCs w:val="16"/>
        </w:rPr>
        <w:softHyphen/>
        <w:t xml:space="preserve">го БТ и МВ Красной Армии Б.М.Коробковым был утвержден протокол мероприятий по устранению недостатков и улучшению конструкции танка ИС-3 (25001). </w:t>
      </w:r>
    </w:p>
    <w:p w14:paraId="12A12D55" w14:textId="77777777" w:rsidR="006773EC" w:rsidRPr="001A0BAA" w:rsidRDefault="006773EC" w:rsidP="006773EC">
      <w:pPr>
        <w:jc w:val="both"/>
        <w:rPr>
          <w:color w:val="0070C0"/>
          <w:sz w:val="16"/>
          <w:szCs w:val="16"/>
        </w:rPr>
      </w:pPr>
    </w:p>
    <w:p w14:paraId="5AA7FF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вышло Постановление ГКО № 7931 О помощи семенами населению Польши. РГАНИР, Фонд ГКО, д. 383, лл. 73-74 (11012).</w:t>
      </w:r>
    </w:p>
    <w:p w14:paraId="7A126377" w14:textId="77777777" w:rsidR="00665165" w:rsidRPr="00925F26" w:rsidRDefault="00665165" w:rsidP="00925F26">
      <w:pPr>
        <w:autoSpaceDE w:val="0"/>
        <w:autoSpaceDN w:val="0"/>
        <w:adjustRightInd w:val="0"/>
        <w:jc w:val="both"/>
        <w:rPr>
          <w:color w:val="000000" w:themeColor="text1"/>
          <w:sz w:val="16"/>
          <w:szCs w:val="16"/>
        </w:rPr>
      </w:pPr>
    </w:p>
    <w:p w14:paraId="2E7EBE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года Приказом НКБ № 116 завод № 53 из Нижнего Ломова был реэвакуирован в Шостку и в построенных зданиях было размещено оборудование для производства взрывателя ГВМЗ-1.</w:t>
      </w:r>
    </w:p>
    <w:p w14:paraId="4F6A6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июле 1946 года завод получил задание на изготовление взрывателя М-4.</w:t>
      </w:r>
    </w:p>
    <w:p w14:paraId="40159A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Нижний Ломов Пензенской области, п/я 5</w:t>
      </w:r>
    </w:p>
    <w:p w14:paraId="17E056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 Шумов (10032).</w:t>
      </w:r>
    </w:p>
    <w:p w14:paraId="146D115E" w14:textId="77777777" w:rsidR="00665165" w:rsidRPr="00925F26" w:rsidRDefault="00665165" w:rsidP="00925F26">
      <w:pPr>
        <w:autoSpaceDE w:val="0"/>
        <w:autoSpaceDN w:val="0"/>
        <w:adjustRightInd w:val="0"/>
        <w:jc w:val="both"/>
        <w:rPr>
          <w:color w:val="000000" w:themeColor="text1"/>
          <w:sz w:val="16"/>
          <w:szCs w:val="16"/>
        </w:rPr>
      </w:pPr>
    </w:p>
    <w:p w14:paraId="3740022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D9FD5E2" w14:textId="77777777" w:rsidR="00665165" w:rsidRPr="00925F26" w:rsidRDefault="00665165" w:rsidP="00925F26">
      <w:pPr>
        <w:autoSpaceDE w:val="0"/>
        <w:autoSpaceDN w:val="0"/>
        <w:adjustRightInd w:val="0"/>
        <w:jc w:val="both"/>
        <w:rPr>
          <w:iCs/>
          <w:color w:val="000000" w:themeColor="text1"/>
          <w:sz w:val="16"/>
          <w:szCs w:val="16"/>
        </w:rPr>
      </w:pPr>
    </w:p>
    <w:p w14:paraId="67DD03A9" w14:textId="77777777" w:rsidR="00525BF4" w:rsidRPr="00925F26" w:rsidRDefault="00525BF4" w:rsidP="00925F26">
      <w:pPr>
        <w:jc w:val="both"/>
        <w:rPr>
          <w:color w:val="000000" w:themeColor="text1"/>
          <w:sz w:val="16"/>
          <w:szCs w:val="16"/>
        </w:rPr>
      </w:pPr>
      <w:r w:rsidRPr="00925F26">
        <w:rPr>
          <w:bCs/>
          <w:color w:val="000000" w:themeColor="text1"/>
          <w:sz w:val="16"/>
          <w:szCs w:val="16"/>
        </w:rPr>
        <w:lastRenderedPageBreak/>
        <w:t>27 марта</w:t>
      </w:r>
      <w:r w:rsidRPr="00925F26">
        <w:rPr>
          <w:color w:val="000000" w:themeColor="text1"/>
          <w:sz w:val="16"/>
          <w:szCs w:val="16"/>
        </w:rPr>
        <w:t xml:space="preserve"> в 1945 году оперативная сводка Совинформбюро:</w:t>
      </w:r>
    </w:p>
    <w:p w14:paraId="24E24BF4" w14:textId="77777777" w:rsidR="00525BF4" w:rsidRPr="00925F26" w:rsidRDefault="00525BF4" w:rsidP="00925F26">
      <w:pPr>
        <w:jc w:val="both"/>
        <w:rPr>
          <w:color w:val="000000" w:themeColor="text1"/>
          <w:sz w:val="16"/>
          <w:szCs w:val="16"/>
        </w:rPr>
      </w:pPr>
      <w:r w:rsidRPr="00925F26">
        <w:rPr>
          <w:color w:val="000000" w:themeColor="text1"/>
          <w:sz w:val="16"/>
          <w:szCs w:val="16"/>
        </w:rPr>
        <w:t>«В течение 27 марта юго-западнее Кенигсберга войска 3-го Белорусского фронта уничтожали остатки разгромлённых частей противника в районе мыса Каль-Хольцер-Хакен, заняв при этом населённые пункты Волиттникк, Шнекенберг, Фоллендорф, Линденберг. В боях за 26 марта в этом районе войска фронта захватили следующие трофеи: самолётов—8, танков—113, бронетранспортёров—66, орудий — 594, миномётов — 350, пулемётов — 1.100, радиостанций — 30, тракторов и тягачей—200, автомашин — 13.000, паровозов—11, железнодорожных вагонов—1.863, складов с различным военным имуществом — 78. За 27 марта в этом районе взято в плен свыше 4.000 немецких солдат и офицеров.</w:t>
      </w:r>
    </w:p>
    <w:p w14:paraId="18889627" w14:textId="77777777" w:rsidR="00525BF4" w:rsidRPr="00925F26" w:rsidRDefault="00525BF4" w:rsidP="00925F26">
      <w:pPr>
        <w:jc w:val="both"/>
        <w:rPr>
          <w:color w:val="000000" w:themeColor="text1"/>
          <w:sz w:val="16"/>
          <w:szCs w:val="16"/>
        </w:rPr>
      </w:pPr>
      <w:r w:rsidRPr="00925F26">
        <w:rPr>
          <w:color w:val="000000" w:themeColor="text1"/>
          <w:sz w:val="16"/>
          <w:szCs w:val="16"/>
        </w:rPr>
        <w:t>На Гданьском (Данцигском) направлении войска 2-го Белорусского фронта, продолжая наступление, заняли пригороды Гданьска (Данцига)—Ора, Штабтгебит, Альчодтштадт, Темпельбург, Эмаус, Циганкенберг, Хайлиген, Лангфур, Хохштрисс, Легштрисс, Райхколони, Шелмюль, Лауенталь, Бресен и прорвались к центру города Гданьска. Одновременно войска фронта, наступая на город Гдыня, заняли населённые пункты Лаузекауле, Хохредлау, Демптау, Пустковиц, Циссау, Загорш, Яново, Рамель, Айхенберг и ворвались в город Гдыня, где завязали уличные бои. За 26 и 27 марта войска фронта взяли в плен более 7.000 немецких солдат и офицеров.</w:t>
      </w:r>
    </w:p>
    <w:p w14:paraId="4AF506B9"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1-го Украинского фронта, продолжая наступление, 27 марта овладел» на территории Силезии городами Штрелен и Рыбник — крупными узлами дорог и сильными опорными пунктами обороны немцев.</w:t>
      </w:r>
    </w:p>
    <w:p w14:paraId="350FB5A8" w14:textId="77777777" w:rsidR="00525BF4" w:rsidRPr="00925F26" w:rsidRDefault="00525BF4" w:rsidP="00925F26">
      <w:pPr>
        <w:jc w:val="both"/>
        <w:rPr>
          <w:color w:val="000000" w:themeColor="text1"/>
          <w:sz w:val="16"/>
          <w:szCs w:val="16"/>
        </w:rPr>
      </w:pPr>
      <w:r w:rsidRPr="00925F26">
        <w:rPr>
          <w:color w:val="000000" w:themeColor="text1"/>
          <w:sz w:val="16"/>
          <w:szCs w:val="16"/>
        </w:rPr>
        <w:t>Северо-восточнее города Моравска Острава войска 4-го Украинского фронта в результате наступательных боёв заняли города Зорау, Лослау и более 40 других населённых пунктов, среди которых крупные населённые пункты Янковиц, Вильхва, Мшана, Ястщембе.</w:t>
      </w:r>
    </w:p>
    <w:p w14:paraId="36B8CEB1" w14:textId="77777777" w:rsidR="00525BF4" w:rsidRPr="00925F26" w:rsidRDefault="00525BF4" w:rsidP="00925F26">
      <w:pPr>
        <w:jc w:val="both"/>
        <w:rPr>
          <w:color w:val="000000" w:themeColor="text1"/>
          <w:sz w:val="16"/>
          <w:szCs w:val="16"/>
        </w:rPr>
      </w:pPr>
      <w:r w:rsidRPr="00925F26">
        <w:rPr>
          <w:color w:val="000000" w:themeColor="text1"/>
          <w:sz w:val="16"/>
          <w:szCs w:val="16"/>
        </w:rPr>
        <w:t>Юго-западнее Естергома войска 2-го Украинского фронта заняли населённые пункты Ньергешуйфалу, Лабатлан, Писке, Шютте, отбросив остатки разгромлённых частей противника на северный берег Дуная. Одновременно войска фронта, развивая наступление по южному берегу Дуная, заняли город Ач и более 40 других населённых пунктов, в том числе Надьигманд, Бано, Бенираталап, Мизеерш и железнодорожные станции Надьигманд и Асари.</w:t>
      </w:r>
    </w:p>
    <w:p w14:paraId="6ADE1BEA" w14:textId="77777777" w:rsidR="00525BF4" w:rsidRPr="00925F26" w:rsidRDefault="00525BF4" w:rsidP="00925F26">
      <w:pPr>
        <w:jc w:val="both"/>
        <w:rPr>
          <w:color w:val="000000" w:themeColor="text1"/>
          <w:sz w:val="16"/>
          <w:szCs w:val="16"/>
        </w:rPr>
      </w:pPr>
      <w:r w:rsidRPr="00925F26">
        <w:rPr>
          <w:color w:val="000000" w:themeColor="text1"/>
          <w:sz w:val="16"/>
          <w:szCs w:val="16"/>
        </w:rPr>
        <w:t>Между Дунаем и озером Балатон войска 3-го Украинского фронта, развивая успешное наступление, овладели городами Кишбер, Тет, Целлдемелк, Яношхаза, Топольча, а также заняли более 200 других населённых пунктов, в том числе крупные населённые пункты Баршоньош, Шокоропатка, Морицхида, Дьярмат, Эдьхазашкесо, Кеменош-Магаши, Мершеват, Дука, Ньирад, Моношторапати, Кевешкал, Кевагоерш и железнодорожные станции Баконьсамбатей, Дьемере, Винар, Вобо, Тюшкевар, Бадачоньтомай.</w:t>
      </w:r>
    </w:p>
    <w:p w14:paraId="65E1C203" w14:textId="77777777" w:rsidR="00525BF4" w:rsidRPr="00925F26" w:rsidRDefault="00525BF4"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20DCDD69" w14:textId="77777777" w:rsidR="00525BF4" w:rsidRPr="00925F26" w:rsidRDefault="00525BF4" w:rsidP="00925F26">
      <w:pPr>
        <w:jc w:val="both"/>
        <w:rPr>
          <w:color w:val="000000" w:themeColor="text1"/>
          <w:sz w:val="16"/>
          <w:szCs w:val="16"/>
        </w:rPr>
      </w:pPr>
      <w:r w:rsidRPr="00925F26">
        <w:rPr>
          <w:color w:val="000000" w:themeColor="text1"/>
          <w:sz w:val="16"/>
          <w:szCs w:val="16"/>
        </w:rPr>
        <w:t>За 26 марта на всех фронтах подбито и уничтожено 179 немецких танков и самоходных орудий. В воздушных боях и огнём зенитной артиллерии сбито 37 самолётов противника.</w:t>
      </w:r>
    </w:p>
    <w:p w14:paraId="5426C356" w14:textId="77777777" w:rsidR="00525BF4" w:rsidRPr="00925F26" w:rsidRDefault="00525BF4" w:rsidP="00925F26">
      <w:pPr>
        <w:jc w:val="both"/>
        <w:rPr>
          <w:color w:val="000000" w:themeColor="text1"/>
          <w:sz w:val="16"/>
          <w:szCs w:val="16"/>
        </w:rPr>
      </w:pPr>
      <w:r w:rsidRPr="00925F26">
        <w:rPr>
          <w:color w:val="000000" w:themeColor="text1"/>
          <w:sz w:val="16"/>
          <w:szCs w:val="16"/>
        </w:rPr>
        <w:t>Массированные налёты нашей авиации на Гданьск (Данциг)</w:t>
      </w:r>
    </w:p>
    <w:p w14:paraId="6E208AF0" w14:textId="77777777" w:rsidR="00525BF4" w:rsidRPr="00925F26" w:rsidRDefault="00525BF4" w:rsidP="00925F26">
      <w:pPr>
        <w:jc w:val="both"/>
        <w:rPr>
          <w:color w:val="000000" w:themeColor="text1"/>
          <w:sz w:val="16"/>
          <w:szCs w:val="16"/>
        </w:rPr>
      </w:pPr>
      <w:r w:rsidRPr="00925F26">
        <w:rPr>
          <w:color w:val="000000" w:themeColor="text1"/>
          <w:sz w:val="16"/>
          <w:szCs w:val="16"/>
        </w:rPr>
        <w:t>В ночь на 27 марта наши тяжёлые бомбардировщики произвели массированный налёт на Гданьск (Данциг) и подвергли бомбардировке военные объекты противника. В результате бомбардировки возникло много пожаров, сопровождавшихся взрывами большой силы.</w:t>
      </w:r>
    </w:p>
    <w:p w14:paraId="717F0B13" w14:textId="77777777" w:rsidR="00525BF4" w:rsidRPr="00925F26" w:rsidRDefault="00525BF4" w:rsidP="00925F26">
      <w:pPr>
        <w:jc w:val="both"/>
        <w:rPr>
          <w:color w:val="000000" w:themeColor="text1"/>
          <w:sz w:val="16"/>
          <w:szCs w:val="16"/>
        </w:rPr>
      </w:pPr>
      <w:r w:rsidRPr="00925F26">
        <w:rPr>
          <w:color w:val="000000" w:themeColor="text1"/>
          <w:sz w:val="16"/>
          <w:szCs w:val="16"/>
        </w:rPr>
        <w:t>Днём 27 марта наши бомбардировщики продолжали наносить удары то городу и судам противника, находящимся в порту Гданьск (Данциг).</w:t>
      </w:r>
    </w:p>
    <w:p w14:paraId="31D8DBB4" w14:textId="77777777" w:rsidR="00525BF4" w:rsidRPr="00925F26" w:rsidRDefault="00525BF4" w:rsidP="00925F26">
      <w:pPr>
        <w:jc w:val="both"/>
        <w:rPr>
          <w:color w:val="000000" w:themeColor="text1"/>
          <w:sz w:val="16"/>
          <w:szCs w:val="16"/>
        </w:rPr>
      </w:pPr>
      <w:r w:rsidRPr="00925F26">
        <w:rPr>
          <w:color w:val="000000" w:themeColor="text1"/>
          <w:sz w:val="16"/>
          <w:szCs w:val="16"/>
        </w:rPr>
        <w:t>Удары авиации Краснознамённого Балтийского флота по кораблям и транспортам противника</w:t>
      </w:r>
    </w:p>
    <w:p w14:paraId="67714F58" w14:textId="77777777" w:rsidR="00525BF4" w:rsidRPr="00925F26" w:rsidRDefault="00525BF4" w:rsidP="00925F26">
      <w:pPr>
        <w:jc w:val="both"/>
        <w:rPr>
          <w:color w:val="000000" w:themeColor="text1"/>
          <w:sz w:val="16"/>
          <w:szCs w:val="16"/>
        </w:rPr>
      </w:pPr>
      <w:r w:rsidRPr="00925F26">
        <w:rPr>
          <w:color w:val="000000" w:themeColor="text1"/>
          <w:sz w:val="16"/>
          <w:szCs w:val="16"/>
        </w:rPr>
        <w:t>24 и 25 марта авиация Краснознамённого Балтийского флота нанесла удары по военным кораблям и транспортам с войсками и техникой противника. В результате этих ударов в Балтийском море севернее Гданьска и в порту Пиллау потоплены: одна подводная лодка, три сторожевых корабля, плавучий док вместе с находившимся в нём судном и одиннадцать немецких транспортов общим водоизмещением в 67.000 тонн.</w:t>
      </w:r>
    </w:p>
    <w:p w14:paraId="00FDE3B3" w14:textId="77777777" w:rsidR="00525BF4" w:rsidRPr="00925F26" w:rsidRDefault="00525BF4" w:rsidP="00925F26">
      <w:pPr>
        <w:jc w:val="both"/>
        <w:rPr>
          <w:color w:val="000000" w:themeColor="text1"/>
          <w:sz w:val="16"/>
          <w:szCs w:val="16"/>
        </w:rPr>
      </w:pPr>
      <w:r w:rsidRPr="00925F26">
        <w:rPr>
          <w:color w:val="000000" w:themeColor="text1"/>
          <w:sz w:val="16"/>
          <w:szCs w:val="16"/>
        </w:rPr>
        <w:t>Юго-западнее Кенигсберга войска 3-го Белорусского фронта добивали остатки разгромлённых частей противника. Продвигаясь по труднопроходимой болотистой местности, советские части заняли посёлок Фоллендорф. Немцы пытались задержаться у дамб в районе населенного пункта Волиттникка. Однако артиллерийско-миномётным огнём и ударами авиации с воздуха вражеские подразделения, засевшие у дамб, были полностью уничтожены. Наша артиллерия обстреливает всю территорию, оставшуюся в руках немцев. Противник несёт огромные потери. Район боёв завален трупами вражеских солдат и офицеров, а также вооружением, брошенным немцами. Советские артиллеристы и лётчики потопили много плотов, лодок и понтонов, на которых гитлеровцы пытались переправиться через залив Фриш-Гаф. По дорогам в тыл тянутся длинные колонны пленных немцев.</w:t>
      </w:r>
    </w:p>
    <w:p w14:paraId="2714FFC1" w14:textId="77777777" w:rsidR="00525BF4" w:rsidRPr="00925F26" w:rsidRDefault="00525BF4" w:rsidP="00925F26">
      <w:pPr>
        <w:jc w:val="both"/>
        <w:rPr>
          <w:color w:val="000000" w:themeColor="text1"/>
          <w:sz w:val="16"/>
          <w:szCs w:val="16"/>
        </w:rPr>
      </w:pPr>
      <w:r w:rsidRPr="00925F26">
        <w:rPr>
          <w:color w:val="000000" w:themeColor="text1"/>
          <w:sz w:val="16"/>
          <w:szCs w:val="16"/>
        </w:rPr>
        <w:t>На Гданьском (Данцигском) направлении войска 2-го Белорусского фронта вели успешные наступательные бои. Советские пехотинцы обошли с трёх сторон пригород Гданьска — Ора и штурмом заняли этот важный узел вражеского сопротивления. Другие наши части, наступающие с запада, очистили от немцев Эмаус и другие пригороды. Стремительным ударом советские пехотинцы, танкисты и артиллеристы прорвались в центр города Гданьска и ведут там ожесточённые уличные бои.</w:t>
      </w:r>
    </w:p>
    <w:p w14:paraId="6BA44BA7" w14:textId="77777777" w:rsidR="00525BF4" w:rsidRPr="00925F26" w:rsidRDefault="00525BF4" w:rsidP="00925F26">
      <w:pPr>
        <w:jc w:val="both"/>
        <w:rPr>
          <w:color w:val="000000" w:themeColor="text1"/>
          <w:sz w:val="16"/>
          <w:szCs w:val="16"/>
        </w:rPr>
      </w:pPr>
      <w:r w:rsidRPr="00925F26">
        <w:rPr>
          <w:color w:val="000000" w:themeColor="text1"/>
          <w:sz w:val="16"/>
          <w:szCs w:val="16"/>
        </w:rPr>
        <w:t>В районе Гдыни ваши войска преодолели заминированный лесной массив и ворвались на юго-западные окраины города. Одновременно наши бойцы, продвигаясь по побережью бухты на север, овладели сильно укреплённой высотой и ворвались в город с юга, Артиллерийским огнём потоплены 4 корабля противника, стоявшие на рейде. Нашими бойцами захвачено много вооружения, 8 паровозов, 600 железнодорожных вагонов и другие трофеи.</w:t>
      </w:r>
    </w:p>
    <w:p w14:paraId="18F74862"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1-го Украинского фронта продолжали наступление. Советская пехота переправилась через реку Клайн Лое и перерезала железную дорогу, идущую от города Штрелен на запад. Развивая успех, наши части ворвались в город и овладели железнодорожной станцией. Затем бои переместились в центр города. Штурмовые группы блокировали очаги сопротивления и уничтожали засевших в них немцев. Сегодня город Штрелен полностью очищен от противника. Штрелен являлся сильным опорным пунктом немецкой обороны и важным узлом путей сообщения. К нему сходятся четыре железных и несколько шоссейных дорог. В городе захвачены большие трофеи.</w:t>
      </w:r>
    </w:p>
    <w:p w14:paraId="61A09976" w14:textId="77777777" w:rsidR="00525BF4" w:rsidRPr="00925F26" w:rsidRDefault="00525BF4" w:rsidP="00925F26">
      <w:pPr>
        <w:jc w:val="both"/>
        <w:rPr>
          <w:color w:val="000000" w:themeColor="text1"/>
          <w:sz w:val="16"/>
          <w:szCs w:val="16"/>
        </w:rPr>
      </w:pPr>
      <w:r w:rsidRPr="00925F26">
        <w:rPr>
          <w:color w:val="000000" w:themeColor="text1"/>
          <w:sz w:val="16"/>
          <w:szCs w:val="16"/>
        </w:rPr>
        <w:t>На другом участке войска фронта, совершив обходный манёвр, с запада атаковали немецкий гарнизон в крупном промышленном городе Рыбнике. К вечеру вражеский гарнизон был разгромлен, а его остатки в беспорядке отступили на юг. На подступах к городу и его улицах уничтожено до тысячи немецких солдат и офицеров. Взято в плен 370 немцев.</w:t>
      </w:r>
    </w:p>
    <w:p w14:paraId="692C371B" w14:textId="77777777" w:rsidR="00525BF4" w:rsidRPr="00925F26" w:rsidRDefault="00525BF4" w:rsidP="00925F26">
      <w:pPr>
        <w:jc w:val="both"/>
        <w:rPr>
          <w:color w:val="000000" w:themeColor="text1"/>
          <w:sz w:val="16"/>
          <w:szCs w:val="16"/>
        </w:rPr>
      </w:pPr>
      <w:r w:rsidRPr="00925F26">
        <w:rPr>
          <w:color w:val="000000" w:themeColor="text1"/>
          <w:sz w:val="16"/>
          <w:szCs w:val="16"/>
        </w:rPr>
        <w:t>В Венгрии между Дунаем и озером Балатон наши войска развивали успешное наступление. Противник пытался удержаться на заранее подготовленном оборонительном рубеже у железной дороги Дьер — Папа. Смелой атакой советская пехота выбила немцев из укреплений и заняла город Тет. Наши войска, овладевшие вчера породами Папа и Девечер, достигли сильно заболоченной местности, по которой проходит канал Марцал.</w:t>
      </w:r>
    </w:p>
    <w:p w14:paraId="604AEE95" w14:textId="77777777" w:rsidR="00525BF4" w:rsidRPr="00925F26" w:rsidRDefault="00525BF4" w:rsidP="00925F26">
      <w:pPr>
        <w:jc w:val="both"/>
        <w:rPr>
          <w:color w:val="000000" w:themeColor="text1"/>
          <w:sz w:val="16"/>
          <w:szCs w:val="16"/>
        </w:rPr>
      </w:pPr>
      <w:r w:rsidRPr="00925F26">
        <w:rPr>
          <w:color w:val="000000" w:themeColor="text1"/>
          <w:sz w:val="16"/>
          <w:szCs w:val="16"/>
        </w:rPr>
        <w:t>Немцы пытались закрепиться на этом рубеже и выиграть время для перегруппировки своих потрёпанных дивизий. Стремительными ударами наши части опрокинули гитлеровцев, форсировали канал и завязали бои за город Целлдемелк и Яношхаза. Противник отчаянно сопротивлялся, но был разгромлен. За день боёв уничтожено до 1,500 гитлеровцев. Подбито и сожжено 78 немецких танков и 35 бронетранспортёров. Взято в плен более 600 немецких солдат и офицеров.» (15081).</w:t>
      </w:r>
    </w:p>
    <w:p w14:paraId="35AFB9EC" w14:textId="77777777" w:rsidR="00525BF4" w:rsidRPr="00925F26" w:rsidRDefault="00525BF4" w:rsidP="00925F26">
      <w:pPr>
        <w:jc w:val="both"/>
        <w:rPr>
          <w:color w:val="000000" w:themeColor="text1"/>
          <w:sz w:val="16"/>
          <w:szCs w:val="16"/>
        </w:rPr>
      </w:pPr>
    </w:p>
    <w:p w14:paraId="317C6C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 марта 1945 г. с аэродрома 5-го зап Толкай около ст. Кинель-Черкассы, Из 42 экипажей 108 гшап, вылетевших к месту постоянного базирования на аэродром Шпроттау в Силезии сумели добраться только 25 экипажей. При этом при выполнении посадки на са</w:t>
      </w:r>
      <w:r w:rsidRPr="00925F26">
        <w:rPr>
          <w:color w:val="000000" w:themeColor="text1"/>
          <w:sz w:val="16"/>
          <w:szCs w:val="16"/>
        </w:rPr>
        <w:softHyphen/>
        <w:t>молете Ил-10 ст. л-та Афанасьева сло</w:t>
      </w:r>
      <w:r w:rsidRPr="00925F26">
        <w:rPr>
          <w:color w:val="000000" w:themeColor="text1"/>
          <w:sz w:val="16"/>
          <w:szCs w:val="16"/>
        </w:rPr>
        <w:softHyphen/>
        <w:t>малась костыльная установка. В резуль</w:t>
      </w:r>
      <w:r w:rsidRPr="00925F26">
        <w:rPr>
          <w:color w:val="000000" w:themeColor="text1"/>
          <w:sz w:val="16"/>
          <w:szCs w:val="16"/>
        </w:rPr>
        <w:softHyphen/>
        <w:t>тате самолет на пробеге развернуло влево, были снесены шасси и повреж</w:t>
      </w:r>
      <w:r w:rsidRPr="00925F26">
        <w:rPr>
          <w:color w:val="000000" w:themeColor="text1"/>
          <w:sz w:val="16"/>
          <w:szCs w:val="16"/>
        </w:rPr>
        <w:softHyphen/>
        <w:t>дена правая плоскость, погнут винт, а в капюшоне вала редуктора образо</w:t>
      </w:r>
      <w:r w:rsidRPr="00925F26">
        <w:rPr>
          <w:color w:val="000000" w:themeColor="text1"/>
          <w:sz w:val="16"/>
          <w:szCs w:val="16"/>
        </w:rPr>
        <w:softHyphen/>
        <w:t>валась трещина. Машина была отправ</w:t>
      </w:r>
      <w:r w:rsidRPr="00925F26">
        <w:rPr>
          <w:color w:val="000000" w:themeColor="text1"/>
          <w:sz w:val="16"/>
          <w:szCs w:val="16"/>
        </w:rPr>
        <w:softHyphen/>
        <w:t>лена в ремонт.</w:t>
      </w:r>
    </w:p>
    <w:p w14:paraId="0D6994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этот же день на аэродром Шпрот</w:t>
      </w:r>
      <w:r w:rsidRPr="00925F26">
        <w:rPr>
          <w:color w:val="000000" w:themeColor="text1"/>
          <w:sz w:val="16"/>
          <w:szCs w:val="16"/>
        </w:rPr>
        <w:softHyphen/>
        <w:t>тау прибыл и наземный эшелон полка в составе штаба, 97 человек техничес</w:t>
      </w:r>
      <w:r w:rsidRPr="00925F26">
        <w:rPr>
          <w:color w:val="000000" w:themeColor="text1"/>
          <w:sz w:val="16"/>
          <w:szCs w:val="16"/>
        </w:rPr>
        <w:softHyphen/>
        <w:t>кого состава и воздушных стрелков. Полк вошел в состав б-й гвардейской шад 2-й ВА.</w:t>
      </w:r>
    </w:p>
    <w:p w14:paraId="2674FA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Пока на фронте было затишье, ре</w:t>
      </w:r>
      <w:r w:rsidRPr="00925F26">
        <w:rPr>
          <w:color w:val="000000" w:themeColor="text1"/>
          <w:sz w:val="16"/>
          <w:szCs w:val="16"/>
        </w:rPr>
        <w:softHyphen/>
        <w:t>шили дать дополнительную трениров</w:t>
      </w:r>
      <w:r w:rsidRPr="00925F26">
        <w:rPr>
          <w:color w:val="000000" w:themeColor="text1"/>
          <w:sz w:val="16"/>
          <w:szCs w:val="16"/>
        </w:rPr>
        <w:softHyphen/>
        <w:t>ку в боевом применении Ил-10 как «старикам», так и молодому пополне</w:t>
      </w:r>
      <w:r w:rsidRPr="00925F26">
        <w:rPr>
          <w:color w:val="000000" w:themeColor="text1"/>
          <w:sz w:val="16"/>
          <w:szCs w:val="16"/>
        </w:rPr>
        <w:softHyphen/>
        <w:t>нию полка. Отработку упражнений предполагалось проводить на ближай</w:t>
      </w:r>
      <w:r w:rsidRPr="00925F26">
        <w:rPr>
          <w:color w:val="000000" w:themeColor="text1"/>
          <w:sz w:val="16"/>
          <w:szCs w:val="16"/>
        </w:rPr>
        <w:softHyphen/>
        <w:t>шем полигоне. Но сначала, 30 марта и 1 апреля, наиболее опытными летчи</w:t>
      </w:r>
      <w:r w:rsidRPr="00925F26">
        <w:rPr>
          <w:color w:val="000000" w:themeColor="text1"/>
          <w:sz w:val="16"/>
          <w:szCs w:val="16"/>
        </w:rPr>
        <w:softHyphen/>
        <w:t>ками полка были выполнены испыта</w:t>
      </w:r>
      <w:r w:rsidRPr="00925F26">
        <w:rPr>
          <w:color w:val="000000" w:themeColor="text1"/>
          <w:sz w:val="16"/>
          <w:szCs w:val="16"/>
        </w:rPr>
        <w:softHyphen/>
        <w:t>тельные полеты с целью определения надежности в работе стрелково-</w:t>
      </w:r>
      <w:proofErr w:type="gramStart"/>
      <w:r w:rsidRPr="00925F26">
        <w:rPr>
          <w:color w:val="000000" w:themeColor="text1"/>
          <w:sz w:val="16"/>
          <w:szCs w:val="16"/>
        </w:rPr>
        <w:t>пу-шечного</w:t>
      </w:r>
      <w:proofErr w:type="gramEnd"/>
      <w:r w:rsidRPr="00925F26">
        <w:rPr>
          <w:color w:val="000000" w:themeColor="text1"/>
          <w:sz w:val="16"/>
          <w:szCs w:val="16"/>
        </w:rPr>
        <w:t xml:space="preserve"> и бомбового вооружения «десятки». Всего было выполнено 8 испытательных полетов с налетом 5 часов 30 минут. Пушки и пулеметы ра</w:t>
      </w:r>
      <w:r w:rsidRPr="00925F26">
        <w:rPr>
          <w:color w:val="000000" w:themeColor="text1"/>
          <w:sz w:val="16"/>
          <w:szCs w:val="16"/>
        </w:rPr>
        <w:softHyphen/>
        <w:t>ботали как часы. Зависания бомб не наблюдалось. Только в одном случае произошел отказ ЭСБР-Зп (11157).</w:t>
      </w:r>
    </w:p>
    <w:p w14:paraId="70C873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FB752F"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27 марта 1945 к месту базирования на аэродром Шпроттау в Силезии из Куйбышева в действующую армию сумели долететь только 25 экипажей 108-го гвардейского штурмового авиаполка. Расстояние в 2700 км удалось преодолеть за 11 ч 40 мин летного времени.</w:t>
      </w:r>
    </w:p>
    <w:p w14:paraId="4DCB78CB"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К сожалению, посадка на аэродром Шпроттау омрачилась аварией Ил-10 старшего лейтенанта Афанасьева, у которого сломалась костыльная установка. Самолет при пробеге развернуло влево, было снесено шасси и повреждена правая плоскость, погнут винт, а в капюшоне вала редуктора образовалась трещина. Машину отправили в ремонт. Экипаж благодаря бронекорпусу остался цел, отделавшись ушибамиВ этот же день на аэродром Шпроттау прибыл и наземный эшелон полка в составе штаба, 97 человек технического состава и воздушных стрелков. Полк вошел в состав 6-й гвардейской шад 2-го гвардейского штурмового авиакорпуса 2 ВА.</w:t>
      </w:r>
    </w:p>
    <w:p w14:paraId="11E5F318"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Отставшие экипажи прибыли на фронт двумя группами. Первая группа в составе 3 Ил-10 добралась до аэродрома Шпроттау 1 апреля, а вторая в составе 7 Ил-10 прибыла 16 апреля уже на аэродром Охельхермсдорф (посадка выполнена в 18.15).</w:t>
      </w:r>
    </w:p>
    <w:p w14:paraId="3DAB900C"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Таким образом, всего на фронт прибыло 35 самолетов Ил-10 вместе с экипажами. Кроме них в состав полка вошли два летчика-инспектора от Главного управления боевой подготовки фронтовой авиации ВВС КА на своих «десятках».</w:t>
      </w:r>
    </w:p>
    <w:p w14:paraId="79C1FC44"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При перелете по маршруту перебазирования на фронт было выполнено 296 самолето -вылетов с общим налетом 374 ч 40 мин.</w:t>
      </w:r>
    </w:p>
    <w:p w14:paraId="21F7A9BA"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Потери материальной части при перелете 108 гшап на фронт составили 7 машин, в том числе две - по вине летчиков, 5 - по вине материальной части самолетов и моторов.</w:t>
      </w:r>
    </w:p>
    <w:p w14:paraId="35370323" w14:textId="77777777" w:rsidR="00F94661" w:rsidRPr="00925F26" w:rsidRDefault="00F94661" w:rsidP="00925F26">
      <w:pPr>
        <w:jc w:val="both"/>
        <w:rPr>
          <w:color w:val="000000" w:themeColor="text1"/>
          <w:sz w:val="16"/>
          <w:szCs w:val="16"/>
        </w:rPr>
      </w:pPr>
      <w:r w:rsidRPr="00925F26">
        <w:rPr>
          <w:rStyle w:val="107"/>
          <w:rFonts w:eastAsiaTheme="minorHAnsi"/>
          <w:color w:val="000000" w:themeColor="text1"/>
          <w:sz w:val="16"/>
          <w:szCs w:val="16"/>
        </w:rPr>
        <w:t>На аэродроме Шпроттау полк базировался с 27 марта по 13 апреля. Аэродром имел бетонированную взлетно-посадочную полосу и рулежные дорожки. На аэродроме располагались шесть полков штурмовиков и истребителей (17490).</w:t>
      </w:r>
    </w:p>
    <w:p w14:paraId="1A8022E5" w14:textId="77777777" w:rsidR="00F94661" w:rsidRPr="00925F26" w:rsidRDefault="00F94661" w:rsidP="00925F26">
      <w:pPr>
        <w:jc w:val="both"/>
        <w:rPr>
          <w:rStyle w:val="107"/>
          <w:rFonts w:eastAsiaTheme="minorHAnsi"/>
          <w:color w:val="000000" w:themeColor="text1"/>
          <w:sz w:val="16"/>
          <w:szCs w:val="16"/>
        </w:rPr>
      </w:pPr>
    </w:p>
    <w:p w14:paraId="40C762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л полка Нормандия-Неман Франсуа Жофр был сбит над Кенигсбергом и провел 10 час. в воде (438,936).</w:t>
      </w:r>
    </w:p>
    <w:p w14:paraId="3C0BD1D8" w14:textId="77777777" w:rsidR="00665165" w:rsidRPr="00925F26" w:rsidRDefault="00665165" w:rsidP="00925F26">
      <w:pPr>
        <w:autoSpaceDE w:val="0"/>
        <w:autoSpaceDN w:val="0"/>
        <w:adjustRightInd w:val="0"/>
        <w:jc w:val="both"/>
        <w:rPr>
          <w:color w:val="000000" w:themeColor="text1"/>
          <w:sz w:val="16"/>
          <w:szCs w:val="16"/>
        </w:rPr>
      </w:pPr>
    </w:p>
    <w:p w14:paraId="26167821" w14:textId="77777777" w:rsidR="00600B70" w:rsidRPr="00925F26" w:rsidRDefault="00600B70" w:rsidP="00925F26">
      <w:pPr>
        <w:jc w:val="both"/>
        <w:rPr>
          <w:color w:val="000000" w:themeColor="text1"/>
          <w:sz w:val="16"/>
          <w:szCs w:val="16"/>
        </w:rPr>
      </w:pPr>
      <w:r w:rsidRPr="00925F26">
        <w:rPr>
          <w:color w:val="000000" w:themeColor="text1"/>
          <w:sz w:val="16"/>
          <w:szCs w:val="16"/>
        </w:rPr>
        <w:t>27 марта 1945, управляя Яковлевым Як-3 французской истребительной группой в составе советских ВВС, пилот французских ВВС Роджер Соваж , единственный черный истребитель, одерживает свою 16-ю и последнюю победу, сбив немецкий Фокке-Вульф Fw 190 (29371).</w:t>
      </w:r>
    </w:p>
    <w:p w14:paraId="470B4A6D" w14:textId="77777777" w:rsidR="00600B70" w:rsidRPr="00925F26" w:rsidRDefault="00600B70" w:rsidP="00925F26">
      <w:pPr>
        <w:jc w:val="both"/>
        <w:rPr>
          <w:color w:val="000000" w:themeColor="text1"/>
          <w:sz w:val="16"/>
          <w:szCs w:val="16"/>
        </w:rPr>
      </w:pPr>
    </w:p>
    <w:p w14:paraId="2C7E271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EAF1644" w14:textId="77777777" w:rsidR="00665165" w:rsidRPr="00925F26" w:rsidRDefault="00665165" w:rsidP="00925F26">
      <w:pPr>
        <w:autoSpaceDE w:val="0"/>
        <w:autoSpaceDN w:val="0"/>
        <w:adjustRightInd w:val="0"/>
        <w:jc w:val="both"/>
        <w:rPr>
          <w:iCs/>
          <w:color w:val="000000" w:themeColor="text1"/>
          <w:sz w:val="16"/>
          <w:szCs w:val="16"/>
        </w:rPr>
      </w:pPr>
    </w:p>
    <w:p w14:paraId="1DF61848" w14:textId="77777777" w:rsidR="00525BF4" w:rsidRPr="00925F26" w:rsidRDefault="00525BF4" w:rsidP="00925F26">
      <w:pPr>
        <w:autoSpaceDE w:val="0"/>
        <w:autoSpaceDN w:val="0"/>
        <w:adjustRightInd w:val="0"/>
        <w:jc w:val="both"/>
        <w:rPr>
          <w:color w:val="000000" w:themeColor="text1"/>
          <w:sz w:val="16"/>
          <w:szCs w:val="16"/>
        </w:rPr>
      </w:pPr>
      <w:r w:rsidRPr="00925F26">
        <w:rPr>
          <w:color w:val="000000" w:themeColor="text1"/>
          <w:sz w:val="16"/>
          <w:szCs w:val="16"/>
        </w:rPr>
        <w:t>27 марта 1945 состоялся последний запуск Фау-2 против Англии. Всего было выпущено 1050 и погибло 2754 чел., а 6500 чел. было ранено (2248,4) и Фау-1 (2469,19).</w:t>
      </w:r>
    </w:p>
    <w:p w14:paraId="050E3317" w14:textId="77777777" w:rsidR="00525BF4" w:rsidRPr="00925F26" w:rsidRDefault="00525BF4" w:rsidP="00925F26">
      <w:pPr>
        <w:autoSpaceDE w:val="0"/>
        <w:autoSpaceDN w:val="0"/>
        <w:adjustRightInd w:val="0"/>
        <w:jc w:val="both"/>
        <w:rPr>
          <w:color w:val="000000" w:themeColor="text1"/>
          <w:sz w:val="16"/>
          <w:szCs w:val="16"/>
        </w:rPr>
      </w:pPr>
    </w:p>
    <w:p w14:paraId="0CCA9DED" w14:textId="77777777" w:rsidR="00525BF4" w:rsidRPr="00925F26" w:rsidRDefault="00525BF4" w:rsidP="00925F26">
      <w:pPr>
        <w:autoSpaceDE w:val="0"/>
        <w:autoSpaceDN w:val="0"/>
        <w:adjustRightInd w:val="0"/>
        <w:jc w:val="both"/>
        <w:rPr>
          <w:color w:val="000000" w:themeColor="text1"/>
          <w:sz w:val="16"/>
          <w:szCs w:val="16"/>
        </w:rPr>
      </w:pPr>
      <w:r w:rsidRPr="00925F26">
        <w:rPr>
          <w:color w:val="000000" w:themeColor="text1"/>
          <w:sz w:val="16"/>
          <w:szCs w:val="16"/>
        </w:rPr>
        <w:t>27-28 марта 1945 состоялся последний запуск Фау-2 против Англии. Всего было выпущено 1050 и погибло 2754 чел., а 6500 чел. было ранено (2248,4). Из 125, запущенных из Голландии, Лондон достигли 13 (1227,22). Всего с июля 1944 на Англию выпустили 10492 и 2419 поразили Лондон и 1112 - другие города. 8696 и 3141 запустили по Антверпену и Льежу (1608,24).</w:t>
      </w:r>
    </w:p>
    <w:p w14:paraId="541932C9" w14:textId="77777777" w:rsidR="00525BF4" w:rsidRPr="00925F26" w:rsidRDefault="00525BF4" w:rsidP="00925F26">
      <w:pPr>
        <w:autoSpaceDE w:val="0"/>
        <w:autoSpaceDN w:val="0"/>
        <w:adjustRightInd w:val="0"/>
        <w:jc w:val="both"/>
        <w:rPr>
          <w:color w:val="000000" w:themeColor="text1"/>
          <w:sz w:val="16"/>
          <w:szCs w:val="16"/>
        </w:rPr>
      </w:pPr>
    </w:p>
    <w:p w14:paraId="65BE30DE" w14:textId="671D9641" w:rsidR="00BA025E" w:rsidRPr="00925F26" w:rsidRDefault="00BA025E" w:rsidP="00925F26">
      <w:pPr>
        <w:jc w:val="both"/>
        <w:rPr>
          <w:color w:val="000000" w:themeColor="text1"/>
          <w:sz w:val="16"/>
          <w:szCs w:val="16"/>
        </w:rPr>
      </w:pPr>
      <w:r w:rsidRPr="00925F26">
        <w:rPr>
          <w:color w:val="000000" w:themeColor="text1"/>
          <w:sz w:val="16"/>
          <w:szCs w:val="16"/>
        </w:rPr>
        <w:t>27 марта 1945 года, когда стартовали три последние ракеты в 3.01,4.02 и 7.18. Хронометраж пусков велся со строгой педантичнос</w:t>
      </w:r>
      <w:r w:rsidRPr="00925F26">
        <w:rPr>
          <w:color w:val="000000" w:themeColor="text1"/>
          <w:sz w:val="16"/>
          <w:szCs w:val="16"/>
        </w:rPr>
        <w:softHyphen/>
        <w:t xml:space="preserve">тью: так требовала того Инструкция. 29 марта 1945 года пусковая команда в составе 150 человек со всем парком автомашин с 60 неиспользованными ракетами А-4 покинула район Гааги. </w:t>
      </w:r>
      <w:r w:rsidR="00997EDF" w:rsidRPr="00925F26">
        <w:rPr>
          <w:color w:val="000000" w:themeColor="text1"/>
          <w:sz w:val="16"/>
          <w:szCs w:val="16"/>
        </w:rPr>
        <w:t xml:space="preserve">  </w:t>
      </w:r>
      <w:r w:rsidRPr="00925F26">
        <w:rPr>
          <w:color w:val="000000" w:themeColor="text1"/>
          <w:sz w:val="16"/>
          <w:szCs w:val="16"/>
        </w:rPr>
        <w:t xml:space="preserve"> За время семимесячного обстре</w:t>
      </w:r>
      <w:r w:rsidRPr="00925F26">
        <w:rPr>
          <w:color w:val="000000" w:themeColor="text1"/>
          <w:sz w:val="16"/>
          <w:szCs w:val="16"/>
        </w:rPr>
        <w:softHyphen/>
        <w:t>ла городов Англии и Бельгии выпу</w:t>
      </w:r>
      <w:r w:rsidRPr="00925F26">
        <w:rPr>
          <w:color w:val="000000" w:themeColor="text1"/>
          <w:sz w:val="16"/>
          <w:szCs w:val="16"/>
        </w:rPr>
        <w:softHyphen/>
        <w:t>щено около 4300 «Фау-2». В сторону Британского острова осуществлено в общей сложности 1402 пуска, из которых только 1054 (75%, по другим данным 1047) достигли территории Соединенного Королевства, на Лон</w:t>
      </w:r>
      <w:r w:rsidRPr="00925F26">
        <w:rPr>
          <w:color w:val="000000" w:themeColor="text1"/>
          <w:sz w:val="16"/>
          <w:szCs w:val="16"/>
        </w:rPr>
        <w:softHyphen/>
        <w:t>дон упало всего 517 ракет. Людские потери составили 9277 человек, из них 2754 убитых и 6523 раненых (19630).</w:t>
      </w:r>
    </w:p>
    <w:p w14:paraId="4C65AB69" w14:textId="77777777" w:rsidR="00BA025E" w:rsidRPr="00925F26" w:rsidRDefault="00BA025E" w:rsidP="00925F26">
      <w:pPr>
        <w:jc w:val="both"/>
        <w:rPr>
          <w:color w:val="000000" w:themeColor="text1"/>
          <w:sz w:val="16"/>
          <w:szCs w:val="16"/>
        </w:rPr>
      </w:pPr>
    </w:p>
    <w:p w14:paraId="736DB129" w14:textId="77777777" w:rsidR="00BA025E" w:rsidRPr="00925F26" w:rsidRDefault="00BA025E" w:rsidP="00925F26">
      <w:pPr>
        <w:jc w:val="both"/>
        <w:rPr>
          <w:color w:val="000000" w:themeColor="text1"/>
          <w:sz w:val="16"/>
          <w:szCs w:val="16"/>
        </w:rPr>
      </w:pPr>
      <w:r w:rsidRPr="00925F26">
        <w:rPr>
          <w:color w:val="000000" w:themeColor="text1"/>
          <w:sz w:val="16"/>
          <w:szCs w:val="16"/>
        </w:rPr>
        <w:t>27 марта 1945 года Последняя Фау-2 упала на Лондон. Из 12000 произведенных немцами Фау-2 более тысячи были выпущены по Англии и около пятисот на занятый союзными войсками Антверпен. Общие число погибших в результате применения «детища фон Брауна» составило около 3000 человек (19627).</w:t>
      </w:r>
    </w:p>
    <w:p w14:paraId="52325FD0" w14:textId="77777777" w:rsidR="00BA025E" w:rsidRPr="00925F26" w:rsidRDefault="00BA025E" w:rsidP="00925F26">
      <w:pPr>
        <w:jc w:val="both"/>
        <w:rPr>
          <w:color w:val="000000" w:themeColor="text1"/>
          <w:sz w:val="16"/>
          <w:szCs w:val="16"/>
        </w:rPr>
      </w:pPr>
    </w:p>
    <w:p w14:paraId="71929A62" w14:textId="77777777" w:rsidR="00BA025E" w:rsidRPr="00925F26" w:rsidRDefault="00BA025E" w:rsidP="00925F26">
      <w:pPr>
        <w:jc w:val="both"/>
        <w:rPr>
          <w:color w:val="000000" w:themeColor="text1"/>
          <w:sz w:val="16"/>
          <w:szCs w:val="16"/>
        </w:rPr>
      </w:pPr>
      <w:r w:rsidRPr="00925F26">
        <w:rPr>
          <w:color w:val="000000" w:themeColor="text1"/>
          <w:sz w:val="16"/>
          <w:szCs w:val="16"/>
        </w:rPr>
        <w:t>27 марта 1945 года в 16 часов 45 минут, когда ракета с № 1115 упала в районе Орпингтона, в графстве Кент закончилось "Ракетное наступление" немцев на Англию. За семь месяцев немцы выпустили в направлении Лондона по меньшей мере 1300 и по Нориджу около 40 ракет. Из них 518 упало в пределах лондонского района обороны, но ни одна не взорвалась в черте Нориджа. В Лондоне от ракет погибло 2511 человек, а 5869 человек были тяжело ранены. В других районах потери составили 213 человек убитыми и 598 тяжело раненными. В последний раз боевые ракеты "Фау-2" были применены во время сражения за Антверпен (19628).</w:t>
      </w:r>
    </w:p>
    <w:p w14:paraId="20398A0E" w14:textId="77777777" w:rsidR="00BA025E" w:rsidRPr="00925F26" w:rsidRDefault="00BA025E" w:rsidP="00925F26">
      <w:pPr>
        <w:jc w:val="both"/>
        <w:rPr>
          <w:color w:val="000000" w:themeColor="text1"/>
          <w:sz w:val="16"/>
          <w:szCs w:val="16"/>
        </w:rPr>
      </w:pPr>
    </w:p>
    <w:p w14:paraId="5A71F6A7" w14:textId="77777777" w:rsidR="00525BF4" w:rsidRPr="00925F26" w:rsidRDefault="00525BF4" w:rsidP="00925F26">
      <w:pPr>
        <w:jc w:val="both"/>
        <w:rPr>
          <w:color w:val="000000" w:themeColor="text1"/>
          <w:sz w:val="16"/>
          <w:szCs w:val="16"/>
        </w:rPr>
      </w:pPr>
      <w:r w:rsidRPr="00925F26">
        <w:rPr>
          <w:bCs/>
          <w:color w:val="000000" w:themeColor="text1"/>
          <w:sz w:val="16"/>
          <w:szCs w:val="16"/>
        </w:rPr>
        <w:t>27 марта</w:t>
      </w:r>
      <w:r w:rsidRPr="00925F26">
        <w:rPr>
          <w:color w:val="000000" w:themeColor="text1"/>
          <w:sz w:val="16"/>
          <w:szCs w:val="16"/>
        </w:rPr>
        <w:t xml:space="preserve"> в 1945 году на территорию Великобритании в деревню Орпингтон (Orpington), графство Кент (Kent), упала последняя ракета "A-4"/SS-1/Scunner/ (Фау-2) пущенная немцами с позиций в континентальной части Европы. Был убит 1 и ранено 23 человека. Последний пуск по Лондону. Завершение ракетного обстрела Великобритании (15081).</w:t>
      </w:r>
    </w:p>
    <w:p w14:paraId="61104E04" w14:textId="77777777" w:rsidR="00525BF4" w:rsidRPr="00925F26" w:rsidRDefault="00525BF4" w:rsidP="00925F26">
      <w:pPr>
        <w:jc w:val="both"/>
        <w:rPr>
          <w:color w:val="000000" w:themeColor="text1"/>
          <w:sz w:val="16"/>
          <w:szCs w:val="16"/>
        </w:rPr>
      </w:pPr>
    </w:p>
    <w:p w14:paraId="203DAC10" w14:textId="77777777" w:rsidR="007A5DBF" w:rsidRPr="00925F26" w:rsidRDefault="007A5DBF" w:rsidP="00925F26">
      <w:pPr>
        <w:jc w:val="both"/>
        <w:rPr>
          <w:color w:val="000000" w:themeColor="text1"/>
          <w:sz w:val="16"/>
          <w:szCs w:val="16"/>
        </w:rPr>
      </w:pPr>
      <w:r w:rsidRPr="00925F26">
        <w:rPr>
          <w:color w:val="000000" w:themeColor="text1"/>
          <w:sz w:val="16"/>
          <w:szCs w:val="16"/>
        </w:rPr>
        <w:t xml:space="preserve">По 27 марта 1945 г. с 6 сентября 1944 г были запущены 1359 ракет А-4 по Великобритании, 1827 — по Бельгии, 116 — по Франции, Голландии, Люксембургу </w:t>
      </w:r>
      <w:proofErr w:type="gramStart"/>
      <w:r w:rsidRPr="00925F26">
        <w:rPr>
          <w:color w:val="000000" w:themeColor="text1"/>
          <w:sz w:val="16"/>
          <w:szCs w:val="16"/>
        </w:rPr>
        <w:t>и  мосту</w:t>
      </w:r>
      <w:proofErr w:type="gramEnd"/>
      <w:r w:rsidRPr="00925F26">
        <w:rPr>
          <w:color w:val="000000" w:themeColor="text1"/>
          <w:sz w:val="16"/>
          <w:szCs w:val="16"/>
        </w:rPr>
        <w:t xml:space="preserve"> </w:t>
      </w:r>
      <w:proofErr w:type="gramStart"/>
      <w:r w:rsidRPr="00925F26">
        <w:rPr>
          <w:color w:val="000000" w:themeColor="text1"/>
          <w:sz w:val="16"/>
          <w:szCs w:val="16"/>
        </w:rPr>
        <w:t>в  Германии</w:t>
      </w:r>
      <w:proofErr w:type="gramEnd"/>
      <w:r w:rsidRPr="00925F26">
        <w:rPr>
          <w:color w:val="000000" w:themeColor="text1"/>
          <w:sz w:val="16"/>
          <w:szCs w:val="16"/>
        </w:rPr>
        <w:t xml:space="preserve">. Всего 3302 ракеты (1359 + 1827 + 116). Из ракет, нацеленных на Англию, долетели 1055 (77,5 % от числа запущенных), </w:t>
      </w:r>
      <w:proofErr w:type="gramStart"/>
      <w:r w:rsidRPr="00925F26">
        <w:rPr>
          <w:color w:val="000000" w:themeColor="text1"/>
          <w:sz w:val="16"/>
          <w:szCs w:val="16"/>
        </w:rPr>
        <w:t>а  305</w:t>
      </w:r>
      <w:proofErr w:type="gramEnd"/>
      <w:r w:rsidRPr="00925F26">
        <w:rPr>
          <w:color w:val="000000" w:themeColor="text1"/>
          <w:sz w:val="16"/>
          <w:szCs w:val="16"/>
        </w:rPr>
        <w:t xml:space="preserve"> (22,5 %) взорвались преждевременно или же вышли из строя в полете и упали в море. Места их падений по графствам были таковы: Лондон — 518, Эссекс — 378, Кент — 64, Хартфордшир — 34, Норфолк — 29, Саффолк — 13, Сассекс, Суррей, Бедфордшир, Букингемшир — от 2 до 8, Беркшир и Кембриджшир — по одной. От их взрывов в Англии погибли 2772 человека (в т.ч. в Лондоне 2511), еще 6523 были тяжело ранены (в т.ч. в Лондоне 5869). В сумме — 9295 жертв. Кроме того, более 10 тысяч человек получили менее опасные ранения. Самой смертоносной стала атака 25 ноября 1944 г., когда от взрыва одной Фау-2 в лондонском универмаге «Вулворт» погибли 160 и были ранены 106 покупателей и обслуживающего персонала магазина. По бельгийским городам было выпущено: по Антверпену — 1610 ракет (долетели до цели 1341), Льежу — 98, Брюсселю — 65, Люттиху  — 27, Хассельту  — 13, Турнаю  — 9, Монсу  — 3, Дисту — 2. В сумме 1827. Одна из ракет 16 декабря </w:t>
      </w:r>
      <w:proofErr w:type="gramStart"/>
      <w:r w:rsidRPr="00925F26">
        <w:rPr>
          <w:color w:val="000000" w:themeColor="text1"/>
          <w:sz w:val="16"/>
          <w:szCs w:val="16"/>
        </w:rPr>
        <w:t>1944  г.</w:t>
      </w:r>
      <w:proofErr w:type="gramEnd"/>
      <w:r w:rsidRPr="00925F26">
        <w:rPr>
          <w:color w:val="000000" w:themeColor="text1"/>
          <w:sz w:val="16"/>
          <w:szCs w:val="16"/>
        </w:rPr>
        <w:t xml:space="preserve"> взорвала кинотеатр «Rex» в Антверпене, где находилось около тысячи человек. Из них погибли 567, почти все остальные получили ранения различной степени тяжести. Этот трагический случай стал самой смертоносной атакой ракеты во Второй мировой войне. В  одном только Антверпене от Фау-2 погибли 4092 человека и 13.172 были ранены — больше, чем в Лондоне. Во Франции: на Лилль упали 25 ракет, на Париж — 22, на Туркуан — 19, на Аррас — 6, на Камбрэ — 4. В сумме 76. На Маастрихт в  Нидерландах  — 19 ракет, на Гаагу  — 5. На Люксембург — 5. Это еще 29 ракет. По мосту через Рейн в  немецком городе Ремаген  — 11 (23372).</w:t>
      </w:r>
    </w:p>
    <w:p w14:paraId="78FEB07C" w14:textId="77777777" w:rsidR="007A5DBF" w:rsidRPr="00925F26" w:rsidRDefault="007A5DBF" w:rsidP="00925F26">
      <w:pPr>
        <w:jc w:val="both"/>
        <w:rPr>
          <w:color w:val="000000" w:themeColor="text1"/>
          <w:sz w:val="16"/>
          <w:szCs w:val="16"/>
        </w:rPr>
      </w:pPr>
    </w:p>
    <w:p w14:paraId="498DD821" w14:textId="77777777" w:rsidR="00525BF4" w:rsidRPr="00925F26" w:rsidRDefault="00525BF4" w:rsidP="00925F26">
      <w:pPr>
        <w:jc w:val="both"/>
        <w:rPr>
          <w:color w:val="000000" w:themeColor="text1"/>
          <w:sz w:val="16"/>
          <w:szCs w:val="16"/>
        </w:rPr>
      </w:pPr>
      <w:r w:rsidRPr="00925F26">
        <w:rPr>
          <w:bCs/>
          <w:color w:val="000000" w:themeColor="text1"/>
          <w:sz w:val="16"/>
          <w:szCs w:val="16"/>
        </w:rPr>
        <w:t>27 марта</w:t>
      </w:r>
      <w:r w:rsidRPr="00925F26">
        <w:rPr>
          <w:color w:val="000000" w:themeColor="text1"/>
          <w:sz w:val="16"/>
          <w:szCs w:val="16"/>
        </w:rPr>
        <w:t xml:space="preserve"> в 1945 году со своей базы близ Гааги германская ракетная батарея осуществила последний пуск БР "A-4"/SS-1/Scunner/ (Фау-2) по Антверпену. Всего в течение обстрела города немецкими ракетными частями по Антверпену было пущено 1593 ракет "А-4" (15081).</w:t>
      </w:r>
    </w:p>
    <w:p w14:paraId="61A93A4F" w14:textId="77777777" w:rsidR="00525BF4" w:rsidRPr="00925F26" w:rsidRDefault="00525BF4" w:rsidP="00925F26">
      <w:pPr>
        <w:jc w:val="both"/>
        <w:rPr>
          <w:color w:val="000000" w:themeColor="text1"/>
          <w:sz w:val="16"/>
          <w:szCs w:val="16"/>
        </w:rPr>
      </w:pPr>
    </w:p>
    <w:p w14:paraId="1942F4E8" w14:textId="08AF6709" w:rsidR="00600B70" w:rsidRPr="00925F26" w:rsidRDefault="00600B70" w:rsidP="00925F26">
      <w:pPr>
        <w:jc w:val="both"/>
        <w:rPr>
          <w:color w:val="000000" w:themeColor="text1"/>
          <w:sz w:val="16"/>
          <w:szCs w:val="16"/>
        </w:rPr>
      </w:pPr>
      <w:r w:rsidRPr="00925F26">
        <w:rPr>
          <w:color w:val="000000" w:themeColor="text1"/>
          <w:sz w:val="16"/>
          <w:szCs w:val="16"/>
        </w:rPr>
        <w:t>27 марта 1945</w:t>
      </w:r>
      <w:r w:rsidR="00997EDF" w:rsidRPr="00925F26">
        <w:rPr>
          <w:color w:val="000000" w:themeColor="text1"/>
          <w:sz w:val="16"/>
          <w:szCs w:val="16"/>
        </w:rPr>
        <w:t xml:space="preserve">  </w:t>
      </w:r>
      <w:r w:rsidRPr="00925F26">
        <w:rPr>
          <w:color w:val="000000" w:themeColor="text1"/>
          <w:sz w:val="16"/>
          <w:szCs w:val="16"/>
        </w:rPr>
        <w:t xml:space="preserve">- На территорию Великобритании в деревню Орпингтон (Orpington), графство Кент (Kent), упала последняя ракета "A-4"/SS-1/Scunner/ (Фау-2) пущенная немцами с позиций в континентальной части Европы. Был убит 1 и ранено 23 человека. Последний пуск по Лондону. Завершение ракетного обстрела Великобритании (22555). </w:t>
      </w:r>
    </w:p>
    <w:p w14:paraId="38BA250D" w14:textId="77777777" w:rsidR="00600B70" w:rsidRPr="00925F26" w:rsidRDefault="00600B70" w:rsidP="00925F26">
      <w:pPr>
        <w:jc w:val="both"/>
        <w:rPr>
          <w:color w:val="000000" w:themeColor="text1"/>
          <w:sz w:val="16"/>
          <w:szCs w:val="16"/>
        </w:rPr>
      </w:pPr>
    </w:p>
    <w:p w14:paraId="3F6E8801" w14:textId="77777777" w:rsidR="00600B70" w:rsidRPr="00925F26" w:rsidRDefault="00600B70" w:rsidP="00925F26">
      <w:pPr>
        <w:jc w:val="both"/>
        <w:rPr>
          <w:color w:val="000000" w:themeColor="text1"/>
          <w:sz w:val="16"/>
          <w:szCs w:val="16"/>
        </w:rPr>
      </w:pPr>
      <w:r w:rsidRPr="00925F26">
        <w:rPr>
          <w:color w:val="000000" w:themeColor="text1"/>
          <w:sz w:val="16"/>
          <w:szCs w:val="16"/>
        </w:rPr>
        <w:t>27 марта 1945 последняя ракета Фау-2, поразившая Англию, падает в Кенте (20371).</w:t>
      </w:r>
    </w:p>
    <w:p w14:paraId="0E647159" w14:textId="77777777" w:rsidR="00600B70" w:rsidRPr="00925F26" w:rsidRDefault="00600B70" w:rsidP="00925F26">
      <w:pPr>
        <w:jc w:val="both"/>
        <w:rPr>
          <w:color w:val="000000" w:themeColor="text1"/>
          <w:sz w:val="16"/>
          <w:szCs w:val="16"/>
        </w:rPr>
      </w:pPr>
    </w:p>
    <w:p w14:paraId="342EDE1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марта 1945 американские войска без борьбы взяли Франкфурт (4962).</w:t>
      </w:r>
    </w:p>
    <w:p w14:paraId="050BCA3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05964F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27th, 1945: The US Third Army captures Aschaffenburg. On the Oder front, beginning of a German counterattack from the Frankfurt bridgehead toward Kustrin that bogs down after a few miles (3819).</w:t>
      </w:r>
    </w:p>
    <w:p w14:paraId="708422E9" w14:textId="77777777" w:rsidR="00665165" w:rsidRPr="00925F26" w:rsidRDefault="00665165" w:rsidP="00925F26">
      <w:pPr>
        <w:autoSpaceDE w:val="0"/>
        <w:autoSpaceDN w:val="0"/>
        <w:adjustRightInd w:val="0"/>
        <w:jc w:val="both"/>
        <w:rPr>
          <w:color w:val="000000" w:themeColor="text1"/>
          <w:sz w:val="16"/>
          <w:szCs w:val="16"/>
          <w:lang w:val="en-US"/>
        </w:rPr>
      </w:pPr>
    </w:p>
    <w:p w14:paraId="183C3F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3А США захватил Асхаффенбург. На Одерском фронте немецкие части контратаковали с плацдарма во Франкфурте на Кюстрин (3819).</w:t>
      </w:r>
    </w:p>
    <w:p w14:paraId="5A4F9468" w14:textId="77777777" w:rsidR="00665165" w:rsidRPr="00925F26" w:rsidRDefault="00665165" w:rsidP="00925F26">
      <w:pPr>
        <w:autoSpaceDE w:val="0"/>
        <w:autoSpaceDN w:val="0"/>
        <w:adjustRightInd w:val="0"/>
        <w:jc w:val="both"/>
        <w:rPr>
          <w:color w:val="000000" w:themeColor="text1"/>
          <w:sz w:val="16"/>
          <w:szCs w:val="16"/>
        </w:rPr>
      </w:pPr>
    </w:p>
    <w:p w14:paraId="39FD406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марта 1945 Аргентина объявила войну Германии и Японии (4962).</w:t>
      </w:r>
    </w:p>
    <w:p w14:paraId="439DB65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468330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27, 1945. B-29 crews begin night mining missions around Japan, eventually establishing a complete blockade (1089).</w:t>
      </w:r>
    </w:p>
    <w:p w14:paraId="7C7A0860" w14:textId="77777777" w:rsidR="00665165" w:rsidRPr="00925F26" w:rsidRDefault="00665165" w:rsidP="00925F26">
      <w:pPr>
        <w:autoSpaceDE w:val="0"/>
        <w:autoSpaceDN w:val="0"/>
        <w:adjustRightInd w:val="0"/>
        <w:jc w:val="both"/>
        <w:rPr>
          <w:color w:val="000000" w:themeColor="text1"/>
          <w:sz w:val="16"/>
          <w:szCs w:val="16"/>
          <w:lang w:val="en-US"/>
        </w:rPr>
      </w:pPr>
    </w:p>
    <w:p w14:paraId="70A04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марта 1945 В-29 стали использоваться для ночного минирования вод вокруг Японии (1089).</w:t>
      </w:r>
    </w:p>
    <w:p w14:paraId="500E345B" w14:textId="77777777" w:rsidR="00665165" w:rsidRPr="00925F26" w:rsidRDefault="00665165" w:rsidP="00925F26">
      <w:pPr>
        <w:autoSpaceDE w:val="0"/>
        <w:autoSpaceDN w:val="0"/>
        <w:adjustRightInd w:val="0"/>
        <w:jc w:val="both"/>
        <w:rPr>
          <w:color w:val="000000" w:themeColor="text1"/>
          <w:sz w:val="16"/>
          <w:szCs w:val="16"/>
        </w:rPr>
      </w:pPr>
    </w:p>
    <w:p w14:paraId="74C61D5A" w14:textId="77777777" w:rsidR="00600B70" w:rsidRPr="00925F26" w:rsidRDefault="00600B70" w:rsidP="00925F26">
      <w:pPr>
        <w:jc w:val="both"/>
        <w:rPr>
          <w:color w:val="000000" w:themeColor="text1"/>
          <w:sz w:val="16"/>
          <w:szCs w:val="16"/>
        </w:rPr>
      </w:pPr>
      <w:r w:rsidRPr="00925F26">
        <w:rPr>
          <w:color w:val="000000" w:themeColor="text1"/>
          <w:sz w:val="16"/>
          <w:szCs w:val="16"/>
        </w:rPr>
        <w:t>27 марта 1945 в поддержку предстоящего вторжения США на Окинаву, B-29 наносят удары по аэродромам и авиационному заводу на острове Кюсю, а также закладывают морские мины в проливе Симоносеки. А камикадзе повреждения линкор USS Nevada (BB-36) с Окинавы, убив 11 и ранив 49 (20371).</w:t>
      </w:r>
    </w:p>
    <w:p w14:paraId="6F60F02A" w14:textId="77777777" w:rsidR="00600B70" w:rsidRPr="00925F26" w:rsidRDefault="00600B70" w:rsidP="00925F26">
      <w:pPr>
        <w:jc w:val="both"/>
        <w:rPr>
          <w:color w:val="000000" w:themeColor="text1"/>
          <w:sz w:val="16"/>
          <w:szCs w:val="16"/>
        </w:rPr>
      </w:pPr>
    </w:p>
    <w:p w14:paraId="4BFB5D0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52BAFF5" w14:textId="77777777" w:rsidR="00665165" w:rsidRPr="00925F26" w:rsidRDefault="00665165" w:rsidP="00925F26">
      <w:pPr>
        <w:autoSpaceDE w:val="0"/>
        <w:autoSpaceDN w:val="0"/>
        <w:adjustRightInd w:val="0"/>
        <w:jc w:val="both"/>
        <w:rPr>
          <w:iCs/>
          <w:color w:val="000000" w:themeColor="text1"/>
          <w:sz w:val="16"/>
          <w:szCs w:val="16"/>
        </w:rPr>
      </w:pPr>
    </w:p>
    <w:p w14:paraId="7809ED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в Силезии (24,314) был выполнен показательный воздушный бой Ил-10 (А.Сироткин - начальник воздушно-стрелковой службы 108 гшап) с Ла-5ФН (ГСС В.Попков), который подтвердил возможности эффективного выполнения боевых задач, включая и такой бой (5,123).</w:t>
      </w:r>
    </w:p>
    <w:p w14:paraId="2FDB85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целью поднятия авторитета нового штурмовика и уверенности летного состава в своих силах командованием 108-го гвардейского шап и 5-го гвардейского иап 11-й гиад, также базировавшемся на аэродроме Шпроттау, был организован показательный воздушный бой Ил-10 с истребителем Ла-5ФН. Ил-10 пилотировал начальник воздушно-стрелковой службы полка к-н А.И.</w:t>
      </w:r>
      <w:proofErr w:type="gramStart"/>
      <w:r w:rsidRPr="00925F26">
        <w:rPr>
          <w:color w:val="000000" w:themeColor="text1"/>
          <w:sz w:val="16"/>
          <w:szCs w:val="16"/>
        </w:rPr>
        <w:t>Си-роткин</w:t>
      </w:r>
      <w:proofErr w:type="gramEnd"/>
      <w:r w:rsidRPr="00925F26">
        <w:rPr>
          <w:color w:val="000000" w:themeColor="text1"/>
          <w:sz w:val="16"/>
          <w:szCs w:val="16"/>
        </w:rPr>
        <w:t>, а "лавочкин" -Герой Советского Союза к-н В.И.Попков, лично сбивший к этому времени 37 немецких самолетов (7489).</w:t>
      </w:r>
    </w:p>
    <w:p w14:paraId="139F35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А.И.Сироткин вспоминает: "Первым упражнением по согласованной программе была погоня истребителя за штурмовиком при крутом планировании</w:t>
      </w:r>
      <w:proofErr w:type="gramStart"/>
      <w:r w:rsidRPr="00925F26">
        <w:rPr>
          <w:color w:val="000000" w:themeColor="text1"/>
          <w:sz w:val="16"/>
          <w:szCs w:val="16"/>
        </w:rPr>
        <w:t>, Набрали</w:t>
      </w:r>
      <w:proofErr w:type="gramEnd"/>
      <w:r w:rsidRPr="00925F26">
        <w:rPr>
          <w:color w:val="000000" w:themeColor="text1"/>
          <w:sz w:val="16"/>
          <w:szCs w:val="16"/>
        </w:rPr>
        <w:t xml:space="preserve">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 (7489).</w:t>
      </w:r>
    </w:p>
    <w:p w14:paraId="5DCBFACC" w14:textId="77777777" w:rsidR="00665165" w:rsidRPr="00925F26" w:rsidRDefault="00665165" w:rsidP="00925F26">
      <w:pPr>
        <w:autoSpaceDE w:val="0"/>
        <w:autoSpaceDN w:val="0"/>
        <w:adjustRightInd w:val="0"/>
        <w:jc w:val="both"/>
        <w:rPr>
          <w:color w:val="000000" w:themeColor="text1"/>
          <w:sz w:val="16"/>
          <w:szCs w:val="16"/>
        </w:rPr>
      </w:pPr>
    </w:p>
    <w:p w14:paraId="756156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года первая в ВВС группа из 25 Ил-10, лидируемая майором Павличенко, приземлилась на аэродромне Шпроттау в Германии. Следом прибыла заводская бригада, которая должна была наблюдать за обкаткой в бою нового самолета. Каждый день экипажи летали на полигон, занимаясь отработкой бомбометания и стрельб. Производилась доводка самолетов и моторов. Устранялись дефекты и неисправности, выявленные после длительного перелета (8683, 36).</w:t>
      </w:r>
    </w:p>
    <w:p w14:paraId="3246FA46" w14:textId="77777777" w:rsidR="00665165" w:rsidRPr="00925F26" w:rsidRDefault="00665165" w:rsidP="00925F26">
      <w:pPr>
        <w:autoSpaceDE w:val="0"/>
        <w:autoSpaceDN w:val="0"/>
        <w:adjustRightInd w:val="0"/>
        <w:jc w:val="both"/>
        <w:rPr>
          <w:color w:val="000000" w:themeColor="text1"/>
          <w:sz w:val="16"/>
          <w:szCs w:val="16"/>
        </w:rPr>
      </w:pPr>
    </w:p>
    <w:p w14:paraId="67FC1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вышел приказ НКАП № 125, который утвердил экипаж для первого вылета И-250 № 1: ли А.П.Деев, ви от ОКБ В.Н.Сорокин и от ЦИАМ А.И.Комиссаров, мех. Г.Е.Павлова (ОКБ) и А.Д.Григорьева (ЦИАМ) + мот. М.П.Кондюков (6471, 7).</w:t>
      </w:r>
    </w:p>
    <w:p w14:paraId="4D21AC42" w14:textId="77777777" w:rsidR="00665165" w:rsidRPr="00925F26" w:rsidRDefault="00665165" w:rsidP="00925F26">
      <w:pPr>
        <w:autoSpaceDE w:val="0"/>
        <w:autoSpaceDN w:val="0"/>
        <w:adjustRightInd w:val="0"/>
        <w:jc w:val="both"/>
        <w:rPr>
          <w:color w:val="000000" w:themeColor="text1"/>
          <w:sz w:val="16"/>
          <w:szCs w:val="16"/>
        </w:rPr>
      </w:pPr>
    </w:p>
    <w:p w14:paraId="1FDA4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г. в соответствии с приказом НКАП №125 летчика-испытателя А.П. Деева, а также ведущих инженеров В.Н.Сорокина от ОКБ-155 (по самолету) и А.И.Комиссарова от ЦИАМа (по'ВРДК) назначили ответственными за проведение заводских испытания И-250 МиГ (6000).</w:t>
      </w:r>
    </w:p>
    <w:p w14:paraId="13DD0219" w14:textId="77777777" w:rsidR="00665165" w:rsidRPr="00925F26" w:rsidRDefault="00665165" w:rsidP="00925F26">
      <w:pPr>
        <w:autoSpaceDE w:val="0"/>
        <w:autoSpaceDN w:val="0"/>
        <w:adjustRightInd w:val="0"/>
        <w:jc w:val="both"/>
        <w:rPr>
          <w:color w:val="000000" w:themeColor="text1"/>
          <w:sz w:val="16"/>
          <w:szCs w:val="16"/>
        </w:rPr>
      </w:pPr>
    </w:p>
    <w:p w14:paraId="5488BCA0" w14:textId="77777777" w:rsidR="0074469E" w:rsidRPr="00925F26" w:rsidRDefault="0074469E" w:rsidP="00925F26">
      <w:pPr>
        <w:jc w:val="both"/>
        <w:rPr>
          <w:color w:val="000000" w:themeColor="text1"/>
          <w:sz w:val="16"/>
          <w:szCs w:val="16"/>
        </w:rPr>
      </w:pPr>
      <w:r w:rsidRPr="00925F26">
        <w:rPr>
          <w:color w:val="000000" w:themeColor="text1"/>
          <w:sz w:val="16"/>
          <w:szCs w:val="16"/>
        </w:rPr>
        <w:t>28 марта 1945 г. в соответствии с приказом НКАП для заводских испытаний И-250 утвердили летчика-испытателя А.П. Деева, а также ведущих инженеров от ОКБ-155 В.Н. Сорокина (по самолету) и от ЦИАМ А.И. Комиссарова (по ВРДК) (23462).</w:t>
      </w:r>
    </w:p>
    <w:p w14:paraId="1CB93386" w14:textId="77777777" w:rsidR="0074469E" w:rsidRPr="00925F26" w:rsidRDefault="0074469E" w:rsidP="00925F26">
      <w:pPr>
        <w:jc w:val="both"/>
        <w:rPr>
          <w:color w:val="000000" w:themeColor="text1"/>
          <w:sz w:val="16"/>
          <w:szCs w:val="16"/>
        </w:rPr>
      </w:pPr>
    </w:p>
    <w:p w14:paraId="20A637F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3BD27F7" w14:textId="77777777" w:rsidR="00665165" w:rsidRPr="00925F26" w:rsidRDefault="00665165" w:rsidP="00925F26">
      <w:pPr>
        <w:autoSpaceDE w:val="0"/>
        <w:autoSpaceDN w:val="0"/>
        <w:adjustRightInd w:val="0"/>
        <w:jc w:val="both"/>
        <w:rPr>
          <w:iCs/>
          <w:color w:val="000000" w:themeColor="text1"/>
          <w:sz w:val="16"/>
          <w:szCs w:val="16"/>
        </w:rPr>
      </w:pPr>
    </w:p>
    <w:p w14:paraId="2AB2FB89"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28 марта 1945 года старший военпред завода №100 Вовк отправил в ГБТУ КА письмо с жалобой на КБ на опытном заводе № 100:</w:t>
      </w:r>
    </w:p>
    <w:p w14:paraId="2F687137"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iCs/>
          <w:color w:val="000000" w:themeColor="text1"/>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54CC1888"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iCs/>
          <w:color w:val="000000" w:themeColor="text1"/>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34D5F32C"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iCs/>
          <w:color w:val="000000" w:themeColor="text1"/>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Кировоского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0EDEA9B1"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(17209).</w:t>
      </w:r>
    </w:p>
    <w:p w14:paraId="0F20A274" w14:textId="77777777" w:rsidR="00FA59CB" w:rsidRPr="00925F26" w:rsidRDefault="00FA59CB" w:rsidP="00925F26">
      <w:pPr>
        <w:pStyle w:val="ae"/>
        <w:shd w:val="clear" w:color="auto" w:fill="FFFFFF"/>
        <w:spacing w:before="0" w:after="0"/>
        <w:jc w:val="both"/>
        <w:rPr>
          <w:color w:val="000000" w:themeColor="text1"/>
          <w:sz w:val="16"/>
          <w:szCs w:val="16"/>
        </w:rPr>
      </w:pPr>
    </w:p>
    <w:p w14:paraId="7204E3A0" w14:textId="77777777" w:rsidR="00F94661" w:rsidRPr="00925F26" w:rsidRDefault="00F94661" w:rsidP="00925F26">
      <w:pPr>
        <w:shd w:val="clear" w:color="auto" w:fill="FFFFFF"/>
        <w:jc w:val="both"/>
        <w:rPr>
          <w:color w:val="000000" w:themeColor="text1"/>
          <w:sz w:val="16"/>
          <w:szCs w:val="16"/>
        </w:rPr>
      </w:pPr>
      <w:r w:rsidRPr="00925F26">
        <w:rPr>
          <w:color w:val="000000" w:themeColor="text1"/>
          <w:sz w:val="16"/>
          <w:szCs w:val="16"/>
        </w:rPr>
        <w:t>28 марта 1945 года, когда старший военпред завода №100 отправил в ГБТУ КА письмо с жалобой на происходящее на заводе:</w:t>
      </w:r>
    </w:p>
    <w:p w14:paraId="409D66C3" w14:textId="77777777" w:rsidR="00F94661" w:rsidRPr="00925F26" w:rsidRDefault="00F94661" w:rsidP="00925F26">
      <w:pPr>
        <w:shd w:val="clear" w:color="auto" w:fill="FFFFFF"/>
        <w:jc w:val="both"/>
        <w:rPr>
          <w:color w:val="000000" w:themeColor="text1"/>
          <w:sz w:val="16"/>
          <w:szCs w:val="16"/>
        </w:rPr>
      </w:pPr>
      <w:r w:rsidRPr="00925F26">
        <w:rPr>
          <w:iCs/>
          <w:color w:val="000000" w:themeColor="text1"/>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717C2792" w14:textId="77777777" w:rsidR="00F94661" w:rsidRPr="00925F26" w:rsidRDefault="00F94661" w:rsidP="00925F26">
      <w:pPr>
        <w:shd w:val="clear" w:color="auto" w:fill="FFFFFF"/>
        <w:jc w:val="both"/>
        <w:rPr>
          <w:color w:val="000000" w:themeColor="text1"/>
          <w:sz w:val="16"/>
          <w:szCs w:val="16"/>
        </w:rPr>
      </w:pPr>
      <w:r w:rsidRPr="00925F26">
        <w:rPr>
          <w:iCs/>
          <w:color w:val="000000" w:themeColor="text1"/>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4306F8FC" w14:textId="77777777" w:rsidR="00F94661" w:rsidRPr="00925F26" w:rsidRDefault="00F94661" w:rsidP="00925F26">
      <w:pPr>
        <w:shd w:val="clear" w:color="auto" w:fill="FFFFFF"/>
        <w:jc w:val="both"/>
        <w:rPr>
          <w:color w:val="000000" w:themeColor="text1"/>
          <w:sz w:val="16"/>
          <w:szCs w:val="16"/>
        </w:rPr>
      </w:pPr>
      <w:r w:rsidRPr="00925F26">
        <w:rPr>
          <w:iCs/>
          <w:color w:val="000000" w:themeColor="text1"/>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7D8AB994" w14:textId="77777777" w:rsidR="00F94661" w:rsidRPr="00925F26" w:rsidRDefault="00F94661" w:rsidP="00925F26">
      <w:pPr>
        <w:shd w:val="clear" w:color="auto" w:fill="FFFFFF"/>
        <w:jc w:val="both"/>
        <w:rPr>
          <w:color w:val="000000" w:themeColor="text1"/>
          <w:sz w:val="16"/>
          <w:szCs w:val="16"/>
        </w:rPr>
      </w:pPr>
      <w:r w:rsidRPr="00925F26">
        <w:rPr>
          <w:color w:val="000000" w:themeColor="text1"/>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Пушка, спаренная с пулемётом ДШК, должна была иметь скорострельность 4 выстрела в минуту и раздельное заряжание (16735).</w:t>
      </w:r>
    </w:p>
    <w:p w14:paraId="4DFE6165" w14:textId="77777777" w:rsidR="00F94661" w:rsidRPr="00925F26" w:rsidRDefault="00F94661" w:rsidP="00925F26">
      <w:pPr>
        <w:shd w:val="clear" w:color="auto" w:fill="FFFFFF"/>
        <w:jc w:val="both"/>
        <w:rPr>
          <w:color w:val="000000" w:themeColor="text1"/>
          <w:sz w:val="16"/>
          <w:szCs w:val="16"/>
        </w:rPr>
      </w:pPr>
    </w:p>
    <w:p w14:paraId="551B4948" w14:textId="77777777" w:rsidR="0074469E" w:rsidRPr="00925F26" w:rsidRDefault="0074469E" w:rsidP="00925F26">
      <w:pPr>
        <w:jc w:val="both"/>
        <w:rPr>
          <w:color w:val="000000" w:themeColor="text1"/>
          <w:sz w:val="16"/>
          <w:szCs w:val="16"/>
        </w:rPr>
      </w:pPr>
      <w:r w:rsidRPr="00925F26">
        <w:rPr>
          <w:color w:val="000000" w:themeColor="text1"/>
          <w:sz w:val="16"/>
          <w:szCs w:val="16"/>
        </w:rPr>
        <w:t xml:space="preserve">28 марта 1945 г. была Докладная записка Л.П. Берии, В.А. Малышева, Б.М. Коробкова И.В. Сталину о модернизации тяжелого танка ИС-2. (Утверждено постановлением ГКО СССР 1В 7950 от 29 марта 1945 </w:t>
      </w:r>
      <w:proofErr w:type="gramStart"/>
      <w:r w:rsidRPr="00925F26">
        <w:rPr>
          <w:color w:val="000000" w:themeColor="text1"/>
          <w:sz w:val="16"/>
          <w:szCs w:val="16"/>
        </w:rPr>
        <w:t>г. )</w:t>
      </w:r>
      <w:proofErr w:type="gramEnd"/>
    </w:p>
    <w:p w14:paraId="12D7295F" w14:textId="77777777" w:rsidR="0074469E" w:rsidRPr="00925F26" w:rsidRDefault="0074469E" w:rsidP="00925F26">
      <w:pPr>
        <w:jc w:val="both"/>
        <w:rPr>
          <w:color w:val="000000" w:themeColor="text1"/>
          <w:sz w:val="16"/>
          <w:szCs w:val="16"/>
        </w:rPr>
      </w:pPr>
      <w:r w:rsidRPr="00925F26">
        <w:rPr>
          <w:color w:val="000000" w:themeColor="text1"/>
          <w:sz w:val="16"/>
          <w:szCs w:val="16"/>
        </w:rPr>
        <w:t>28 марта 1945 г</w:t>
      </w:r>
    </w:p>
    <w:p w14:paraId="635AEFA9" w14:textId="77777777" w:rsidR="0074469E" w:rsidRPr="00925F26" w:rsidRDefault="0074469E" w:rsidP="00925F26">
      <w:pPr>
        <w:jc w:val="both"/>
        <w:rPr>
          <w:color w:val="000000" w:themeColor="text1"/>
          <w:sz w:val="16"/>
          <w:szCs w:val="16"/>
        </w:rPr>
      </w:pPr>
      <w:r w:rsidRPr="00925F26">
        <w:rPr>
          <w:color w:val="000000" w:themeColor="text1"/>
          <w:sz w:val="16"/>
          <w:szCs w:val="16"/>
        </w:rPr>
        <w:t>РГАСПИ. Ф. 644. On. 2* Д. 464« Л* 86-87. Подлинник* Машинописнвц текст, Подписи - автографы Л*П* Берии, В.А. Малышева, Б.М. Коробкова и И.В. Сталина</w:t>
      </w:r>
    </w:p>
    <w:p w14:paraId="32A9118B" w14:textId="77777777" w:rsidR="0074469E" w:rsidRPr="00925F26" w:rsidRDefault="0074469E" w:rsidP="00925F26">
      <w:pPr>
        <w:jc w:val="both"/>
        <w:rPr>
          <w:color w:val="000000" w:themeColor="text1"/>
          <w:sz w:val="16"/>
          <w:szCs w:val="16"/>
        </w:rPr>
      </w:pPr>
      <w:r w:rsidRPr="00925F26">
        <w:rPr>
          <w:color w:val="000000" w:themeColor="text1"/>
          <w:sz w:val="16"/>
          <w:szCs w:val="16"/>
        </w:rPr>
        <w:t>ПРЕДСЕДАТЕЛЮ ГОСУДАРСТВЕННОГО КОМИТЕТА ОБОРОНЫ</w:t>
      </w:r>
    </w:p>
    <w:p w14:paraId="1B12D199" w14:textId="77777777" w:rsidR="0074469E" w:rsidRPr="00925F26" w:rsidRDefault="0074469E" w:rsidP="00925F26">
      <w:pPr>
        <w:jc w:val="both"/>
        <w:rPr>
          <w:color w:val="000000" w:themeColor="text1"/>
          <w:sz w:val="16"/>
          <w:szCs w:val="16"/>
        </w:rPr>
      </w:pPr>
      <w:r w:rsidRPr="00925F26">
        <w:rPr>
          <w:color w:val="000000" w:themeColor="text1"/>
          <w:sz w:val="16"/>
          <w:szCs w:val="16"/>
        </w:rPr>
        <w:t>товарищу СТАЛИНУ И.В.</w:t>
      </w:r>
    </w:p>
    <w:p w14:paraId="3BFF94BA" w14:textId="77777777" w:rsidR="0074469E" w:rsidRPr="00925F26" w:rsidRDefault="0074469E" w:rsidP="00925F26">
      <w:pPr>
        <w:jc w:val="both"/>
        <w:rPr>
          <w:color w:val="000000" w:themeColor="text1"/>
          <w:sz w:val="16"/>
          <w:szCs w:val="16"/>
        </w:rPr>
      </w:pPr>
      <w:r w:rsidRPr="00925F26">
        <w:rPr>
          <w:color w:val="000000" w:themeColor="text1"/>
          <w:sz w:val="16"/>
          <w:szCs w:val="16"/>
        </w:rPr>
        <w:t>О модернизации тяжелого танка ИС—2</w:t>
      </w:r>
    </w:p>
    <w:p w14:paraId="56F97B9C" w14:textId="77777777" w:rsidR="0074469E" w:rsidRPr="00925F26" w:rsidRDefault="0074469E" w:rsidP="00925F26">
      <w:pPr>
        <w:jc w:val="both"/>
        <w:rPr>
          <w:color w:val="000000" w:themeColor="text1"/>
          <w:sz w:val="16"/>
          <w:szCs w:val="16"/>
        </w:rPr>
      </w:pPr>
      <w:r w:rsidRPr="00925F26">
        <w:rPr>
          <w:color w:val="000000" w:themeColor="text1"/>
          <w:sz w:val="16"/>
          <w:szCs w:val="16"/>
        </w:rPr>
        <w:t>Докладываем, что Кировским заводом Наркомтанкопрома спроектировано и изготовлено 5 опытных образцов танков ИС—3 (модернизированные тяжелые танки ИС—2).</w:t>
      </w:r>
    </w:p>
    <w:p w14:paraId="3C07F9EC" w14:textId="77777777" w:rsidR="0074469E" w:rsidRPr="00925F26" w:rsidRDefault="0074469E" w:rsidP="00925F26">
      <w:pPr>
        <w:jc w:val="both"/>
        <w:rPr>
          <w:color w:val="000000" w:themeColor="text1"/>
          <w:sz w:val="16"/>
          <w:szCs w:val="16"/>
        </w:rPr>
      </w:pPr>
      <w:r w:rsidRPr="00925F26">
        <w:rPr>
          <w:color w:val="000000" w:themeColor="text1"/>
          <w:sz w:val="16"/>
          <w:szCs w:val="16"/>
        </w:rPr>
        <w:t>На модернизированном танке ИС-3 осуществлена новая конструкция башни и броневого корпуса, обеспечивающая значительное, более чем в два раза, увеличение бронестойкости по сравнению с серийным танком ИС-2. Такое увеличение бронестойкости достигнуто за счет некоторого увеличения толщины брони, а главным образом за счет применения больших углов наклона броневых стенок башни и корпуса,</w:t>
      </w:r>
    </w:p>
    <w:p w14:paraId="190B9BF1" w14:textId="77777777" w:rsidR="0074469E" w:rsidRPr="00925F26" w:rsidRDefault="0074469E" w:rsidP="00925F26">
      <w:pPr>
        <w:jc w:val="both"/>
        <w:rPr>
          <w:color w:val="000000" w:themeColor="text1"/>
          <w:sz w:val="16"/>
          <w:szCs w:val="16"/>
        </w:rPr>
      </w:pPr>
      <w:r w:rsidRPr="00925F26">
        <w:rPr>
          <w:color w:val="000000" w:themeColor="text1"/>
          <w:sz w:val="16"/>
          <w:szCs w:val="16"/>
        </w:rPr>
        <w:t>что резко повысило их бронестойкость.</w:t>
      </w:r>
    </w:p>
    <w:p w14:paraId="6D6A31C8" w14:textId="77777777" w:rsidR="0074469E" w:rsidRPr="00925F26" w:rsidRDefault="0074469E" w:rsidP="00925F26">
      <w:pPr>
        <w:jc w:val="both"/>
        <w:rPr>
          <w:color w:val="000000" w:themeColor="text1"/>
          <w:sz w:val="16"/>
          <w:szCs w:val="16"/>
        </w:rPr>
      </w:pPr>
      <w:r w:rsidRPr="00925F26">
        <w:rPr>
          <w:color w:val="000000" w:themeColor="text1"/>
          <w:sz w:val="16"/>
          <w:szCs w:val="16"/>
        </w:rPr>
        <w:t>Корпус и башня танка ИС—3 не будут пробиваться из танковых и противотанковых пушек противника калибром 88 мм при стрельбе в лоб танка и башни, и в борта танка при курсовых углах маневрирования к противнику до ± 60°. Изменение бронирования вызвало лишь незначительное, на полтонны, увеличение веса танка (танк ИС—3 46,5 тонны, танк ИС-2 46 тонн).</w:t>
      </w:r>
    </w:p>
    <w:p w14:paraId="1E04BF91" w14:textId="77777777" w:rsidR="0074469E" w:rsidRPr="00925F26" w:rsidRDefault="0074469E" w:rsidP="00925F26">
      <w:pPr>
        <w:jc w:val="both"/>
        <w:rPr>
          <w:color w:val="000000" w:themeColor="text1"/>
          <w:sz w:val="16"/>
          <w:szCs w:val="16"/>
        </w:rPr>
      </w:pPr>
      <w:r w:rsidRPr="00925F26">
        <w:rPr>
          <w:color w:val="000000" w:themeColor="text1"/>
          <w:sz w:val="16"/>
          <w:szCs w:val="16"/>
        </w:rPr>
        <w:t>Все механизмы трансмиссии и ходовой части нового танка остались те же, что и у серийного танка ИС-2. Еа модернизированном танке установлено специальное электрическое устройство, позволяющее командиру танка управлять огнем со своего места.</w:t>
      </w:r>
    </w:p>
    <w:p w14:paraId="3735E588" w14:textId="77777777" w:rsidR="0074469E" w:rsidRPr="00925F26" w:rsidRDefault="0074469E" w:rsidP="00925F26">
      <w:pPr>
        <w:jc w:val="both"/>
        <w:rPr>
          <w:color w:val="000000" w:themeColor="text1"/>
          <w:sz w:val="16"/>
          <w:szCs w:val="16"/>
        </w:rPr>
      </w:pPr>
      <w:r w:rsidRPr="00925F26">
        <w:rPr>
          <w:color w:val="000000" w:themeColor="text1"/>
          <w:sz w:val="16"/>
          <w:szCs w:val="16"/>
        </w:rPr>
        <w:t>Танк ИС—3 в декабре 1944 г. успешно прошел испытания на научно—испытательном полигоне.</w:t>
      </w:r>
    </w:p>
    <w:p w14:paraId="29B373AA" w14:textId="77777777" w:rsidR="0074469E" w:rsidRPr="00925F26" w:rsidRDefault="0074469E" w:rsidP="00925F26">
      <w:pPr>
        <w:jc w:val="both"/>
        <w:rPr>
          <w:color w:val="000000" w:themeColor="text1"/>
          <w:sz w:val="16"/>
          <w:szCs w:val="16"/>
        </w:rPr>
      </w:pPr>
      <w:r w:rsidRPr="00925F26">
        <w:rPr>
          <w:color w:val="000000" w:themeColor="text1"/>
          <w:sz w:val="16"/>
          <w:szCs w:val="16"/>
        </w:rPr>
        <w:t>…существенны, частично уже устранены Кировским заводом, а остальные будут устранены до организации серийного производства танков ИС-3.</w:t>
      </w:r>
    </w:p>
    <w:p w14:paraId="646911C1" w14:textId="77777777" w:rsidR="0074469E" w:rsidRPr="00925F26" w:rsidRDefault="0074469E" w:rsidP="00925F26">
      <w:pPr>
        <w:jc w:val="both"/>
        <w:rPr>
          <w:color w:val="000000" w:themeColor="text1"/>
          <w:sz w:val="16"/>
          <w:szCs w:val="16"/>
        </w:rPr>
      </w:pPr>
      <w:r w:rsidRPr="00925F26">
        <w:rPr>
          <w:color w:val="000000" w:themeColor="text1"/>
          <w:sz w:val="16"/>
          <w:szCs w:val="16"/>
        </w:rPr>
        <w:t>Учитывая несомненные преимущества танка ИС—3, вносим на Ваше рассмотрение проект постановления ГОКО, в котором предусматривается:</w:t>
      </w:r>
    </w:p>
    <w:p w14:paraId="2DDB0084" w14:textId="77777777" w:rsidR="0074469E" w:rsidRPr="00925F26" w:rsidRDefault="0074469E" w:rsidP="00925F26">
      <w:pPr>
        <w:jc w:val="both"/>
        <w:rPr>
          <w:color w:val="000000" w:themeColor="text1"/>
          <w:sz w:val="16"/>
          <w:szCs w:val="16"/>
        </w:rPr>
      </w:pPr>
      <w:r w:rsidRPr="00925F26">
        <w:rPr>
          <w:color w:val="000000" w:themeColor="text1"/>
          <w:sz w:val="16"/>
          <w:szCs w:val="16"/>
        </w:rPr>
        <w:t>1. Принятие на вооружение Красной армии тяжелого танка ИС-3 Кировского завода.</w:t>
      </w:r>
    </w:p>
    <w:p w14:paraId="45AF94E8" w14:textId="77777777" w:rsidR="0074469E" w:rsidRPr="00925F26" w:rsidRDefault="0074469E" w:rsidP="00925F26">
      <w:pPr>
        <w:jc w:val="both"/>
        <w:rPr>
          <w:color w:val="000000" w:themeColor="text1"/>
          <w:sz w:val="16"/>
          <w:szCs w:val="16"/>
        </w:rPr>
      </w:pPr>
      <w:r w:rsidRPr="00925F26">
        <w:rPr>
          <w:color w:val="000000" w:themeColor="text1"/>
          <w:sz w:val="16"/>
          <w:szCs w:val="16"/>
        </w:rPr>
        <w:t>2. Серийное производство танков ИС—3 предполагается начать в апреле выпуском 25 штук, в мае 100 штук и в июне 250 штук, т.е. в июне полностью перейти на выпуск серийных танков ИС-3. Серийное производство танков ИС—3 будет осуществлено без снижения выпуска на Кировском заводе тяжелых танков и артсамоходов (500 штук в месяц).</w:t>
      </w:r>
    </w:p>
    <w:p w14:paraId="7BF050A9" w14:textId="77777777" w:rsidR="0074469E" w:rsidRPr="00925F26" w:rsidRDefault="0074469E" w:rsidP="00925F26">
      <w:pPr>
        <w:jc w:val="both"/>
        <w:rPr>
          <w:color w:val="000000" w:themeColor="text1"/>
          <w:sz w:val="16"/>
          <w:szCs w:val="16"/>
        </w:rPr>
      </w:pPr>
      <w:r w:rsidRPr="00925F26">
        <w:rPr>
          <w:color w:val="000000" w:themeColor="text1"/>
          <w:sz w:val="16"/>
          <w:szCs w:val="16"/>
        </w:rPr>
        <w:t>Просим утвердить прилагаемый проект постановления ГОКО.</w:t>
      </w:r>
    </w:p>
    <w:p w14:paraId="4D534F11" w14:textId="77777777" w:rsidR="0074469E" w:rsidRPr="00925F26" w:rsidRDefault="0074469E" w:rsidP="00925F26">
      <w:pPr>
        <w:jc w:val="both"/>
        <w:rPr>
          <w:color w:val="000000" w:themeColor="text1"/>
          <w:sz w:val="16"/>
          <w:szCs w:val="16"/>
        </w:rPr>
      </w:pPr>
      <w:r w:rsidRPr="00925F26">
        <w:rPr>
          <w:color w:val="000000" w:themeColor="text1"/>
          <w:sz w:val="16"/>
          <w:szCs w:val="16"/>
        </w:rPr>
        <w:t>Приложение: отчёт государственных испытаний танка ИС—3.</w:t>
      </w:r>
    </w:p>
    <w:p w14:paraId="100D19C4" w14:textId="77777777" w:rsidR="0074469E" w:rsidRPr="00925F26" w:rsidRDefault="0074469E" w:rsidP="00925F26">
      <w:pPr>
        <w:jc w:val="both"/>
        <w:rPr>
          <w:color w:val="000000" w:themeColor="text1"/>
          <w:sz w:val="16"/>
          <w:szCs w:val="16"/>
        </w:rPr>
      </w:pPr>
      <w:r w:rsidRPr="00925F26">
        <w:rPr>
          <w:color w:val="000000" w:themeColor="text1"/>
          <w:sz w:val="16"/>
          <w:szCs w:val="16"/>
        </w:rPr>
        <w:t>Л. Берия</w:t>
      </w:r>
    </w:p>
    <w:p w14:paraId="61A23ED4" w14:textId="77777777" w:rsidR="0074469E" w:rsidRPr="00925F26" w:rsidRDefault="0074469E" w:rsidP="00925F26">
      <w:pPr>
        <w:jc w:val="both"/>
        <w:rPr>
          <w:color w:val="000000" w:themeColor="text1"/>
          <w:sz w:val="16"/>
          <w:szCs w:val="16"/>
        </w:rPr>
      </w:pPr>
      <w:r w:rsidRPr="00925F26">
        <w:rPr>
          <w:color w:val="000000" w:themeColor="text1"/>
          <w:sz w:val="16"/>
          <w:szCs w:val="16"/>
        </w:rPr>
        <w:t>В. Малышев</w:t>
      </w:r>
    </w:p>
    <w:p w14:paraId="285147EC" w14:textId="77777777" w:rsidR="0074469E" w:rsidRPr="00925F26" w:rsidRDefault="0074469E" w:rsidP="00925F26">
      <w:pPr>
        <w:jc w:val="both"/>
        <w:rPr>
          <w:color w:val="000000" w:themeColor="text1"/>
          <w:sz w:val="16"/>
          <w:szCs w:val="16"/>
        </w:rPr>
      </w:pPr>
      <w:r w:rsidRPr="00925F26">
        <w:rPr>
          <w:color w:val="000000" w:themeColor="text1"/>
          <w:sz w:val="16"/>
          <w:szCs w:val="16"/>
        </w:rPr>
        <w:t>Б. Коробков (23777).</w:t>
      </w:r>
    </w:p>
    <w:p w14:paraId="5140FAB5" w14:textId="77777777" w:rsidR="0074469E" w:rsidRPr="00925F26" w:rsidRDefault="0074469E" w:rsidP="00925F26">
      <w:pPr>
        <w:jc w:val="both"/>
        <w:rPr>
          <w:color w:val="000000" w:themeColor="text1"/>
          <w:sz w:val="16"/>
          <w:szCs w:val="16"/>
        </w:rPr>
      </w:pPr>
    </w:p>
    <w:p w14:paraId="32EB38A2" w14:textId="77777777" w:rsidR="00BA025E" w:rsidRPr="00925F26" w:rsidRDefault="00BA025E" w:rsidP="00925F26">
      <w:pPr>
        <w:jc w:val="both"/>
        <w:rPr>
          <w:color w:val="000000" w:themeColor="text1"/>
          <w:sz w:val="16"/>
          <w:szCs w:val="16"/>
        </w:rPr>
      </w:pPr>
      <w:r w:rsidRPr="00925F26">
        <w:rPr>
          <w:color w:val="000000" w:themeColor="text1"/>
          <w:sz w:val="16"/>
          <w:szCs w:val="16"/>
        </w:rPr>
        <w:t xml:space="preserve">К 28 марта 1945 года закончилась переделка машины СУ-85А в СУ-85Б. Далее последовали заводские испытания. С 28 марта по 5 апреля машина прошла 300 километров, из её орудия произвели 30 выстрелов. 7–8 апреля на Гороховецком АНИОП было сделано ещё 70 выстрелов. Существенное снижение сопротивления </w:t>
      </w:r>
      <w:r w:rsidRPr="00925F26">
        <w:rPr>
          <w:color w:val="000000" w:themeColor="text1"/>
          <w:sz w:val="16"/>
          <w:szCs w:val="16"/>
        </w:rPr>
        <w:lastRenderedPageBreak/>
        <w:t>откату дало свои результаты. Согласно заводскому отчёту, теперь толчки при выстреле не мешали работе наводчика и командира. Улучшилась ситуация со сбиваемостью прицела при стрельбе, кучность была признана удовлетворительной. Максимальная скорострельность составила 11 выстрелов в минуту, а практическая скорострельность — 10 выстрелов в минуту. Улучшилась и ситуация с защитой боевого отделения при обстреле лобовой части из пулемёта.</w:t>
      </w:r>
    </w:p>
    <w:p w14:paraId="04E869A2" w14:textId="77777777" w:rsidR="00BA025E" w:rsidRPr="00925F26" w:rsidRDefault="00BA025E" w:rsidP="00925F26">
      <w:pPr>
        <w:jc w:val="both"/>
        <w:rPr>
          <w:color w:val="000000" w:themeColor="text1"/>
          <w:sz w:val="16"/>
          <w:szCs w:val="16"/>
        </w:rPr>
      </w:pPr>
      <w:r w:rsidRPr="00925F26">
        <w:rPr>
          <w:color w:val="000000" w:themeColor="text1"/>
          <w:sz w:val="16"/>
          <w:szCs w:val="16"/>
        </w:rPr>
        <w:t>Следующий этап испытаний также проходил на Гороховецком АНИОП 20–25 апреля 1945 года.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632929F7" w14:textId="77777777" w:rsidR="00BA025E" w:rsidRPr="00925F26" w:rsidRDefault="00BA025E" w:rsidP="00925F26">
      <w:pPr>
        <w:jc w:val="both"/>
        <w:rPr>
          <w:color w:val="000000" w:themeColor="text1"/>
          <w:sz w:val="16"/>
          <w:szCs w:val="16"/>
        </w:rPr>
      </w:pPr>
      <w:r w:rsidRPr="00925F26">
        <w:rPr>
          <w:color w:val="000000" w:themeColor="text1"/>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3D3BD8D3" w14:textId="77777777" w:rsidR="00BA025E" w:rsidRPr="00925F26" w:rsidRDefault="00BA025E" w:rsidP="00925F26">
      <w:pPr>
        <w:jc w:val="both"/>
        <w:rPr>
          <w:color w:val="000000" w:themeColor="text1"/>
          <w:sz w:val="16"/>
          <w:szCs w:val="16"/>
        </w:rPr>
      </w:pPr>
      <w:r w:rsidRPr="00925F26">
        <w:rPr>
          <w:color w:val="000000" w:themeColor="text1"/>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3BF9E64D" w14:textId="77777777" w:rsidR="00BA025E" w:rsidRPr="00925F26" w:rsidRDefault="00BA025E" w:rsidP="00925F26">
      <w:pPr>
        <w:jc w:val="both"/>
        <w:rPr>
          <w:color w:val="000000" w:themeColor="text1"/>
          <w:sz w:val="16"/>
          <w:szCs w:val="16"/>
        </w:rPr>
      </w:pPr>
    </w:p>
    <w:p w14:paraId="4F50F232" w14:textId="77777777" w:rsidR="006773EC" w:rsidRPr="001A0BAA" w:rsidRDefault="006773EC" w:rsidP="006773EC">
      <w:pPr>
        <w:jc w:val="both"/>
        <w:rPr>
          <w:color w:val="0070C0"/>
          <w:sz w:val="16"/>
          <w:szCs w:val="16"/>
        </w:rPr>
      </w:pPr>
      <w:r w:rsidRPr="001A0BAA">
        <w:rPr>
          <w:color w:val="0070C0"/>
          <w:sz w:val="16"/>
          <w:szCs w:val="16"/>
        </w:rPr>
        <w:t>28 марта 1945 г. на ГАЗ им. Молотова закончились работы по модернизации СУ-85А. Одним только орудием дело не ограничилось. Рубку переработали, в частности, командир получил новый смотровой прибор (как указывалось, по типу M4A2, похожие призмы позже использовались на БТР-40). Доработали и кормовую часть рубки. За счет того, что заднюю стенку чуть выдвинули назад, удалось выкроить чуть больше места. Также появилась полноценная дверь, на которую вынесли часть снарядной укладки. Это позволило поднять боекомплект до 43 унитаров, а главное, более удобно его разместить.</w:t>
      </w:r>
    </w:p>
    <w:p w14:paraId="6F6848E5" w14:textId="77777777" w:rsidR="006773EC" w:rsidRPr="001A0BAA" w:rsidRDefault="006773EC" w:rsidP="006773EC">
      <w:pPr>
        <w:jc w:val="both"/>
        <w:rPr>
          <w:color w:val="0070C0"/>
          <w:sz w:val="16"/>
          <w:szCs w:val="16"/>
        </w:rPr>
      </w:pPr>
      <w:r w:rsidRPr="001A0BAA">
        <w:rPr>
          <w:color w:val="0070C0"/>
          <w:sz w:val="16"/>
          <w:szCs w:val="16"/>
        </w:rPr>
        <w:t>Изменилась САУ и внутри. Для начала, в боевом отделении переделали сиденья наводчика и заряжающего. Переделали верхний бачок радиатора, а также чуть срезали защитный кожух радиатора. Это позволило увеличить углы горизонтальной наводки орудия. За счёт новых отводок бортовых фрикционов усилия на рычаги уменьшились с 27 до 15 килограмм. Наконец, двигатели закрыли съемными перегородками. Сами двигатели форсировали, мощность выросла до 160 лошадиных сил. Это было верным решением, поскольку масса САУ выросла до 12,4 тонн. За счет повышения мощности силовой установки (она именовалась ГАЗ-15Б) удельная мощность сохранилась на уровне серийной СУ-76М (24993).</w:t>
      </w:r>
    </w:p>
    <w:p w14:paraId="0EC16624" w14:textId="77777777" w:rsidR="006773EC" w:rsidRPr="001A0BAA" w:rsidRDefault="006773EC" w:rsidP="006773EC">
      <w:pPr>
        <w:jc w:val="both"/>
        <w:rPr>
          <w:color w:val="0070C0"/>
          <w:sz w:val="16"/>
          <w:szCs w:val="16"/>
        </w:rPr>
      </w:pPr>
    </w:p>
    <w:p w14:paraId="2C782AC0" w14:textId="77777777" w:rsidR="006773EC" w:rsidRPr="001A0BAA" w:rsidRDefault="006773EC" w:rsidP="006773EC">
      <w:pPr>
        <w:jc w:val="both"/>
        <w:rPr>
          <w:color w:val="0070C0"/>
          <w:sz w:val="16"/>
          <w:szCs w:val="16"/>
        </w:rPr>
      </w:pPr>
      <w:r w:rsidRPr="001A0BAA">
        <w:rPr>
          <w:color w:val="0070C0"/>
          <w:sz w:val="16"/>
          <w:szCs w:val="16"/>
        </w:rPr>
        <w:t>В период с 28 марта по 5 апреля 1945 года проходили заводские испытания СУ-85Б. СПУ прошла 300 километров и сделала 30 выстрелов. Еще 70 выстрелов произвели на Гороховецком АНИОП в период с 7 по 8 апреля. После этого САУ направили на завод №92 для доработки орудия. Вместо однокамерного дульного тормоза орудие получило двухкамерный дульный тормоз. В таком виде СУ-85Б снова направили на Гороховецкий АНИОП, где испытания проходили в период с 20 по 25 апреля. За это время САУ прошла еще 502 километра и произвела 604 выстрела (24993).</w:t>
      </w:r>
    </w:p>
    <w:p w14:paraId="190CE005" w14:textId="77777777" w:rsidR="006773EC" w:rsidRPr="001A0BAA" w:rsidRDefault="006773EC" w:rsidP="006773EC">
      <w:pPr>
        <w:jc w:val="both"/>
        <w:rPr>
          <w:color w:val="0070C0"/>
          <w:sz w:val="16"/>
          <w:szCs w:val="16"/>
        </w:rPr>
      </w:pPr>
    </w:p>
    <w:p w14:paraId="7D04F508" w14:textId="77777777" w:rsidR="00BA2B8F" w:rsidRPr="00925F26" w:rsidRDefault="00BA2B8F" w:rsidP="00925F26">
      <w:pPr>
        <w:jc w:val="both"/>
        <w:rPr>
          <w:color w:val="000000" w:themeColor="text1"/>
          <w:sz w:val="16"/>
          <w:szCs w:val="16"/>
        </w:rPr>
      </w:pPr>
      <w:r w:rsidRPr="00925F26">
        <w:rPr>
          <w:color w:val="000000" w:themeColor="text1"/>
          <w:sz w:val="16"/>
          <w:szCs w:val="16"/>
        </w:rPr>
        <w:t>28 марта 1945 г.</w:t>
      </w:r>
    </w:p>
    <w:p w14:paraId="423924AC" w14:textId="77777777" w:rsidR="00BA2B8F" w:rsidRPr="00925F26" w:rsidRDefault="00BA2B8F" w:rsidP="00925F26">
      <w:pPr>
        <w:jc w:val="both"/>
        <w:rPr>
          <w:color w:val="000000" w:themeColor="text1"/>
          <w:sz w:val="16"/>
          <w:szCs w:val="16"/>
        </w:rPr>
      </w:pPr>
      <w:r w:rsidRPr="00925F26">
        <w:rPr>
          <w:color w:val="000000" w:themeColor="text1"/>
          <w:sz w:val="16"/>
          <w:szCs w:val="16"/>
        </w:rPr>
        <w:t>Коллективу рабочих и инженерно-технических работников завода № 208.</w:t>
      </w:r>
    </w:p>
    <w:p w14:paraId="2540C290" w14:textId="77777777" w:rsidR="00BA2B8F" w:rsidRPr="00925F26" w:rsidRDefault="00BA2B8F" w:rsidP="00925F26">
      <w:pPr>
        <w:jc w:val="both"/>
        <w:rPr>
          <w:color w:val="000000" w:themeColor="text1"/>
          <w:sz w:val="16"/>
          <w:szCs w:val="16"/>
        </w:rPr>
      </w:pPr>
      <w:r w:rsidRPr="00925F26">
        <w:rPr>
          <w:color w:val="000000" w:themeColor="text1"/>
          <w:sz w:val="16"/>
          <w:szCs w:val="16"/>
        </w:rPr>
        <w:t>От имени расчета «Редут» № 121 посылаю Вам, уважаемым труженикам тыла, наш боевой привет и желаю успеха в Вашей самоотверженной работе на благо нашей Родины. Успех боевой работы зависит не только от действия наших бойцов и командиров на фронтах Великой Отечественной войны, успех боевой работы зависит также от того, насколько качественна и многочисленна техника, которой Вы, вот уже четвертый год, снабжаете фронт.</w:t>
      </w:r>
    </w:p>
    <w:p w14:paraId="4074CD41" w14:textId="77777777" w:rsidR="00BA2B8F" w:rsidRPr="00925F26" w:rsidRDefault="00BA2B8F" w:rsidP="00925F26">
      <w:pPr>
        <w:jc w:val="both"/>
        <w:rPr>
          <w:color w:val="000000" w:themeColor="text1"/>
          <w:sz w:val="16"/>
          <w:szCs w:val="16"/>
        </w:rPr>
      </w:pPr>
      <w:r w:rsidRPr="00925F26">
        <w:rPr>
          <w:color w:val="000000" w:themeColor="text1"/>
          <w:sz w:val="16"/>
          <w:szCs w:val="16"/>
        </w:rPr>
        <w:t>Мы глубоко ценим и уважаем Ваш труд, сопряженный с величайшими трудностями военного времени, свидетельством тому служит наше отношение к боевой технике, сделанной Вами. «Редут» — глаза командира, с помощью этого оружия командир управляет авиацией на поле боя. Расчет «Редут» Л1? 121 благодарит коллектив рабочих и инженерно-технических работников, принимавших участие в сборке и монтаже установки. Замечательный комплект.</w:t>
      </w:r>
    </w:p>
    <w:p w14:paraId="5BF30044" w14:textId="77777777" w:rsidR="00BA2B8F" w:rsidRPr="00925F26" w:rsidRDefault="00BA2B8F" w:rsidP="00925F26">
      <w:pPr>
        <w:jc w:val="both"/>
        <w:rPr>
          <w:color w:val="000000" w:themeColor="text1"/>
          <w:sz w:val="16"/>
          <w:szCs w:val="16"/>
        </w:rPr>
      </w:pPr>
      <w:r w:rsidRPr="00925F26">
        <w:rPr>
          <w:color w:val="000000" w:themeColor="text1"/>
          <w:sz w:val="16"/>
          <w:szCs w:val="16"/>
        </w:rPr>
        <w:t>Мы каждый день совершенствуем свою боевую выучку, готовимся к решающим боям с фашистским зверем. Мы надеемся, что завод будет впредь выпускать совершенную, безотказную продукцию для фронта.</w:t>
      </w:r>
    </w:p>
    <w:p w14:paraId="145E1FC0" w14:textId="77777777" w:rsidR="00BA2B8F" w:rsidRPr="00925F26" w:rsidRDefault="00BA2B8F" w:rsidP="00925F26">
      <w:pPr>
        <w:jc w:val="both"/>
        <w:rPr>
          <w:color w:val="000000" w:themeColor="text1"/>
          <w:sz w:val="16"/>
          <w:szCs w:val="16"/>
        </w:rPr>
      </w:pPr>
      <w:r w:rsidRPr="00925F26">
        <w:rPr>
          <w:color w:val="000000" w:themeColor="text1"/>
          <w:sz w:val="16"/>
          <w:szCs w:val="16"/>
        </w:rPr>
        <w:t>От имени расчета:</w:t>
      </w:r>
    </w:p>
    <w:p w14:paraId="79F4C391" w14:textId="77777777" w:rsidR="00BA2B8F" w:rsidRPr="00925F26" w:rsidRDefault="00BA2B8F" w:rsidP="00925F26">
      <w:pPr>
        <w:jc w:val="both"/>
        <w:rPr>
          <w:color w:val="000000" w:themeColor="text1"/>
          <w:sz w:val="16"/>
          <w:szCs w:val="16"/>
        </w:rPr>
      </w:pPr>
      <w:r w:rsidRPr="00925F26">
        <w:rPr>
          <w:color w:val="000000" w:themeColor="text1"/>
          <w:sz w:val="16"/>
          <w:szCs w:val="16"/>
        </w:rPr>
        <w:t>Начальник установки «Редут» № 121 ст. лейтенант Смогилев (12160).</w:t>
      </w:r>
    </w:p>
    <w:p w14:paraId="3DFF8212" w14:textId="77777777" w:rsidR="00BA2B8F" w:rsidRPr="00925F26" w:rsidRDefault="00BA2B8F" w:rsidP="00925F26">
      <w:pPr>
        <w:jc w:val="both"/>
        <w:rPr>
          <w:color w:val="000000" w:themeColor="text1"/>
          <w:sz w:val="16"/>
          <w:szCs w:val="16"/>
        </w:rPr>
      </w:pPr>
    </w:p>
    <w:p w14:paraId="0E2DB1B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марта 1945 года вышел приказ № 119с НКВ</w:t>
      </w:r>
    </w:p>
    <w:p w14:paraId="0A06EC9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ГОКО от 23 марта 1945 года за № 7919</w:t>
      </w:r>
    </w:p>
    <w:p w14:paraId="46AFC23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Директору ГОИ Чехматареву реэвакуировать в апреле 1945 года из Иошкар-Ола в Ленинград Государственный оптический институт (6449, 25).</w:t>
      </w:r>
    </w:p>
    <w:p w14:paraId="5FBA6B8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DBC1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вышло Распоряжение ГКО № 7932. О дополнительном выделении бензина НКНП в I кв. 1945 г. РГАНИР, Фонд ГКО, д. 383, лл. 75 (11012).</w:t>
      </w:r>
    </w:p>
    <w:p w14:paraId="0419B6A2" w14:textId="77777777" w:rsidR="00665165" w:rsidRPr="00925F26" w:rsidRDefault="00665165" w:rsidP="00925F26">
      <w:pPr>
        <w:autoSpaceDE w:val="0"/>
        <w:autoSpaceDN w:val="0"/>
        <w:adjustRightInd w:val="0"/>
        <w:jc w:val="both"/>
        <w:rPr>
          <w:color w:val="000000" w:themeColor="text1"/>
          <w:sz w:val="16"/>
          <w:szCs w:val="16"/>
        </w:rPr>
      </w:pPr>
    </w:p>
    <w:p w14:paraId="69800D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вышло Распоряжение ГКО № 7933. О доставке горючего предприятиям НКУП в Донбассе. РГАНИР, Фонд ГКО, д. 383, лл. 76 (11012).</w:t>
      </w:r>
    </w:p>
    <w:p w14:paraId="7082F395" w14:textId="77777777" w:rsidR="00665165" w:rsidRPr="00925F26" w:rsidRDefault="00665165" w:rsidP="00925F26">
      <w:pPr>
        <w:autoSpaceDE w:val="0"/>
        <w:autoSpaceDN w:val="0"/>
        <w:adjustRightInd w:val="0"/>
        <w:jc w:val="both"/>
        <w:rPr>
          <w:color w:val="000000" w:themeColor="text1"/>
          <w:sz w:val="16"/>
          <w:szCs w:val="16"/>
        </w:rPr>
      </w:pPr>
    </w:p>
    <w:p w14:paraId="6AC79F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вышло Распоряжение ГКО № 7934. О поставках угля и топочного мазута заводу им. Андреева НКЧМ. РГАНИР, Фонд ГКО, д. 383, лл. 77-78 (11012).</w:t>
      </w:r>
    </w:p>
    <w:p w14:paraId="073456E8" w14:textId="77777777" w:rsidR="00665165" w:rsidRPr="00925F26" w:rsidRDefault="00665165" w:rsidP="00925F26">
      <w:pPr>
        <w:autoSpaceDE w:val="0"/>
        <w:autoSpaceDN w:val="0"/>
        <w:adjustRightInd w:val="0"/>
        <w:jc w:val="both"/>
        <w:rPr>
          <w:color w:val="000000" w:themeColor="text1"/>
          <w:sz w:val="16"/>
          <w:szCs w:val="16"/>
        </w:rPr>
      </w:pPr>
    </w:p>
    <w:p w14:paraId="7DF6A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вышло Постановление ГКО № 7935 Об обеспечении лесоматериалами строительства военно-морских баз и береговой обороны Таллинского и Рижского морских оборонительных районов Краснознаменного Балтийского флота. РГАНИР, Фонд ГКО, д. 383, лл. 79-80, 81 (11012).</w:t>
      </w:r>
    </w:p>
    <w:p w14:paraId="7A464090" w14:textId="77777777" w:rsidR="00665165" w:rsidRPr="00925F26" w:rsidRDefault="00665165" w:rsidP="00925F26">
      <w:pPr>
        <w:autoSpaceDE w:val="0"/>
        <w:autoSpaceDN w:val="0"/>
        <w:adjustRightInd w:val="0"/>
        <w:jc w:val="both"/>
        <w:rPr>
          <w:color w:val="000000" w:themeColor="text1"/>
          <w:sz w:val="16"/>
          <w:szCs w:val="16"/>
        </w:rPr>
      </w:pPr>
    </w:p>
    <w:p w14:paraId="7427CB8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марта 1945 вышло Распоряжение ГКО № 7936 [О мерах по перепрофилированию производства в Бакинской ИТК НКВД.] (7318, 82).</w:t>
      </w:r>
    </w:p>
    <w:p w14:paraId="35B7AD3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7D199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44B339B" w14:textId="77777777" w:rsidR="00665165" w:rsidRPr="00925F26" w:rsidRDefault="00665165" w:rsidP="00925F26">
      <w:pPr>
        <w:autoSpaceDE w:val="0"/>
        <w:autoSpaceDN w:val="0"/>
        <w:adjustRightInd w:val="0"/>
        <w:jc w:val="both"/>
        <w:rPr>
          <w:iCs/>
          <w:color w:val="000000" w:themeColor="text1"/>
          <w:sz w:val="16"/>
          <w:szCs w:val="16"/>
        </w:rPr>
      </w:pPr>
    </w:p>
    <w:p w14:paraId="0407B048" w14:textId="77777777" w:rsidR="00525BF4" w:rsidRPr="00925F26" w:rsidRDefault="00525BF4" w:rsidP="00925F26">
      <w:pPr>
        <w:jc w:val="both"/>
        <w:rPr>
          <w:color w:val="000000" w:themeColor="text1"/>
          <w:sz w:val="16"/>
          <w:szCs w:val="16"/>
        </w:rPr>
      </w:pPr>
      <w:r w:rsidRPr="00925F26">
        <w:rPr>
          <w:bCs/>
          <w:color w:val="000000" w:themeColor="text1"/>
          <w:sz w:val="16"/>
          <w:szCs w:val="16"/>
        </w:rPr>
        <w:t>28 марта</w:t>
      </w:r>
      <w:r w:rsidRPr="00925F26">
        <w:rPr>
          <w:color w:val="000000" w:themeColor="text1"/>
          <w:sz w:val="16"/>
          <w:szCs w:val="16"/>
        </w:rPr>
        <w:t xml:space="preserve"> в 1945 году оперативная сводка Совинформбюро:</w:t>
      </w:r>
    </w:p>
    <w:p w14:paraId="36026E15" w14:textId="77777777" w:rsidR="00525BF4" w:rsidRPr="00925F26" w:rsidRDefault="00525BF4" w:rsidP="00925F26">
      <w:pPr>
        <w:jc w:val="both"/>
        <w:rPr>
          <w:color w:val="000000" w:themeColor="text1"/>
          <w:sz w:val="16"/>
          <w:szCs w:val="16"/>
        </w:rPr>
      </w:pPr>
      <w:r w:rsidRPr="00925F26">
        <w:rPr>
          <w:color w:val="000000" w:themeColor="text1"/>
          <w:sz w:val="16"/>
          <w:szCs w:val="16"/>
        </w:rPr>
        <w:t>«В течение 28 марта юго-западнее Кенигсберга войска 3-го Белорусского фронта продолжали бои по уничтожению остатков разгромлённых частей противника в районе мыса Кальхолыдер-Хакен. В боях за 27 марта в этом районе войска фронта захватили следующие трофеи: орудий —222, миномётов —223, пулемётов —430, бронетранспортёров—22, радиостанций—35, автомашин—1.500.</w:t>
      </w:r>
    </w:p>
    <w:p w14:paraId="1645F0C0"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Белорусского фронта 28 марта штурмом овладели городом Гдыня— важной военно-морской базой и крупным портом на Балтийском море.</w:t>
      </w:r>
    </w:p>
    <w:p w14:paraId="1431B66B" w14:textId="77777777" w:rsidR="00525BF4" w:rsidRPr="00925F26" w:rsidRDefault="00525BF4" w:rsidP="00925F26">
      <w:pPr>
        <w:jc w:val="both"/>
        <w:rPr>
          <w:color w:val="000000" w:themeColor="text1"/>
          <w:sz w:val="16"/>
          <w:szCs w:val="16"/>
        </w:rPr>
      </w:pPr>
      <w:r w:rsidRPr="00925F26">
        <w:rPr>
          <w:color w:val="000000" w:themeColor="text1"/>
          <w:sz w:val="16"/>
          <w:szCs w:val="16"/>
        </w:rPr>
        <w:t>В боях за Гдыню войска фронта взяли в плен до 9.000 немецких солдат и офицеров, а также захватили много вооружения и разного военного имущества.</w:t>
      </w:r>
    </w:p>
    <w:p w14:paraId="522FD0FB" w14:textId="77777777" w:rsidR="00525BF4" w:rsidRPr="00925F26" w:rsidRDefault="00525BF4" w:rsidP="00925F26">
      <w:pPr>
        <w:jc w:val="both"/>
        <w:rPr>
          <w:color w:val="000000" w:themeColor="text1"/>
          <w:sz w:val="16"/>
          <w:szCs w:val="16"/>
        </w:rPr>
      </w:pPr>
      <w:r w:rsidRPr="00925F26">
        <w:rPr>
          <w:color w:val="000000" w:themeColor="text1"/>
          <w:sz w:val="16"/>
          <w:szCs w:val="16"/>
        </w:rPr>
        <w:t>Одновременно войска фронта после упорных боёв заняли западную часть города Гданьска (Данцига) и очищали от противника городской район, расположенный на острове Холм.</w:t>
      </w:r>
    </w:p>
    <w:p w14:paraId="0F710A2C"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по южному берегу Дуная, 28 марта овладели городами Дьер и Комаром — важными опорными пунктами обороны немцев на Венском направлении, а также с боями заняли более 40 других населённых пунктов, в том числе крупные населённые пункты Генью, Дьерсен-Тиван, Кишмедьер, Менфе, Ниулфалу.</w:t>
      </w:r>
    </w:p>
    <w:p w14:paraId="7E9FFD6B"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Украинского фронта, развивая наступление, форсировали реку Раба и 28 марта овладели городами Чорно и Шарвар — важными узлами железных дорог и сильными опорными пунктами обороны немцев, прикрывающими пути к границам Австрии, а также заняли более 150 других населённых пунктов, среди которых крупные населённые пункты Раба-Сентмихаль, Раба Пордани, Раба Шебеш, Папоц, Остфиашсонифа, Герче, Калд, Бегете, Чабрендек, Шюмег, Зала-Сентгрот, Бажи, Алшо, Немеш-Вита, Сиглигет и железнодорожные станции Герче, Калд, Укк, Гоганфа, Шюмег. В боях за 27 марта войска фронта взяли в плен свыше 1.500 солдат и офицеров противника.</w:t>
      </w:r>
    </w:p>
    <w:p w14:paraId="5AC9DDFE" w14:textId="77777777" w:rsidR="00525BF4" w:rsidRPr="00925F26" w:rsidRDefault="00525BF4"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0D563750" w14:textId="77777777" w:rsidR="00525BF4" w:rsidRPr="00925F26" w:rsidRDefault="00525BF4" w:rsidP="00925F26">
      <w:pPr>
        <w:jc w:val="both"/>
        <w:rPr>
          <w:color w:val="000000" w:themeColor="text1"/>
          <w:sz w:val="16"/>
          <w:szCs w:val="16"/>
        </w:rPr>
      </w:pPr>
      <w:r w:rsidRPr="00925F26">
        <w:rPr>
          <w:color w:val="000000" w:themeColor="text1"/>
          <w:sz w:val="16"/>
          <w:szCs w:val="16"/>
        </w:rPr>
        <w:t>За 27 марта на всех фронтах подбито и уничтожено 190 немецких танков и самоходных орудий. В воздушных боях и огнём зенитной артиллерии сбито 96 самолётов противника.</w:t>
      </w:r>
    </w:p>
    <w:p w14:paraId="3F94A9F7" w14:textId="77777777" w:rsidR="00525BF4" w:rsidRPr="00925F26" w:rsidRDefault="00525BF4" w:rsidP="00925F26">
      <w:pPr>
        <w:jc w:val="both"/>
        <w:rPr>
          <w:color w:val="000000" w:themeColor="text1"/>
          <w:sz w:val="16"/>
          <w:szCs w:val="16"/>
        </w:rPr>
      </w:pPr>
      <w:r w:rsidRPr="00925F26">
        <w:rPr>
          <w:color w:val="000000" w:themeColor="text1"/>
          <w:sz w:val="16"/>
          <w:szCs w:val="16"/>
        </w:rPr>
        <w:t>Налёты нашей авиации на Пиллау, Хель, Сомбатель и Моравска Острава</w:t>
      </w:r>
    </w:p>
    <w:p w14:paraId="45494185" w14:textId="77777777" w:rsidR="00525BF4" w:rsidRPr="00925F26" w:rsidRDefault="00525BF4" w:rsidP="00925F26">
      <w:pPr>
        <w:jc w:val="both"/>
        <w:rPr>
          <w:color w:val="000000" w:themeColor="text1"/>
          <w:sz w:val="16"/>
          <w:szCs w:val="16"/>
        </w:rPr>
      </w:pPr>
      <w:r w:rsidRPr="00925F26">
        <w:rPr>
          <w:color w:val="000000" w:themeColor="text1"/>
          <w:sz w:val="16"/>
          <w:szCs w:val="16"/>
        </w:rPr>
        <w:t>В ночь на 28 марта наши тяжёлые бомбардировщики нанесли удары по военным объектам и судам противника в портах Пиллау и Хель и по железнодорожным узлам Сомбатель (в Венгрии) и Моравска Острава (в Чехословакии).</w:t>
      </w:r>
    </w:p>
    <w:p w14:paraId="26636E86" w14:textId="77777777" w:rsidR="00525BF4" w:rsidRPr="00925F26" w:rsidRDefault="00525BF4" w:rsidP="00925F26">
      <w:pPr>
        <w:jc w:val="both"/>
        <w:rPr>
          <w:color w:val="000000" w:themeColor="text1"/>
          <w:sz w:val="16"/>
          <w:szCs w:val="16"/>
        </w:rPr>
      </w:pPr>
      <w:r w:rsidRPr="00925F26">
        <w:rPr>
          <w:color w:val="000000" w:themeColor="text1"/>
          <w:sz w:val="16"/>
          <w:szCs w:val="16"/>
        </w:rPr>
        <w:t>В результате бомбардировки в портах Пиллау и Хель возникли большие пожары, сопровождавшиеся сильными взрывами. Отмечены прямые попадания бомб в два транспорта противника.</w:t>
      </w:r>
    </w:p>
    <w:p w14:paraId="4F93D109" w14:textId="77777777" w:rsidR="00525BF4" w:rsidRPr="00925F26" w:rsidRDefault="00525BF4" w:rsidP="00925F26">
      <w:pPr>
        <w:jc w:val="both"/>
        <w:rPr>
          <w:color w:val="000000" w:themeColor="text1"/>
          <w:sz w:val="16"/>
          <w:szCs w:val="16"/>
        </w:rPr>
      </w:pPr>
      <w:r w:rsidRPr="00925F26">
        <w:rPr>
          <w:color w:val="000000" w:themeColor="text1"/>
          <w:sz w:val="16"/>
          <w:szCs w:val="16"/>
        </w:rPr>
        <w:t>На железнодорожных узлах Сомбатель и Моравска Острава бомбардировкой вызвано много пожаров: горели воинские эшелоны немцев.</w:t>
      </w:r>
    </w:p>
    <w:p w14:paraId="74C7359C" w14:textId="77777777" w:rsidR="00525BF4" w:rsidRPr="00925F26" w:rsidRDefault="00525BF4" w:rsidP="00925F26">
      <w:pPr>
        <w:jc w:val="both"/>
        <w:rPr>
          <w:color w:val="000000" w:themeColor="text1"/>
          <w:sz w:val="16"/>
          <w:szCs w:val="16"/>
        </w:rPr>
      </w:pPr>
      <w:r w:rsidRPr="00925F26">
        <w:rPr>
          <w:color w:val="000000" w:themeColor="text1"/>
          <w:sz w:val="16"/>
          <w:szCs w:val="16"/>
        </w:rPr>
        <w:t>Удары авиации Краснознамённого Балтийского флота</w:t>
      </w:r>
    </w:p>
    <w:p w14:paraId="19609EBB" w14:textId="77777777" w:rsidR="00525BF4" w:rsidRPr="00925F26" w:rsidRDefault="00525BF4" w:rsidP="00925F26">
      <w:pPr>
        <w:jc w:val="both"/>
        <w:rPr>
          <w:color w:val="000000" w:themeColor="text1"/>
          <w:sz w:val="16"/>
          <w:szCs w:val="16"/>
        </w:rPr>
      </w:pPr>
      <w:r w:rsidRPr="00925F26">
        <w:rPr>
          <w:color w:val="000000" w:themeColor="text1"/>
          <w:sz w:val="16"/>
          <w:szCs w:val="16"/>
        </w:rPr>
        <w:lastRenderedPageBreak/>
        <w:t>26 марта авиация Краснознаменного Балтийского Флота продолжала наносить бомбоштурмовые удары по немецким транспортам в Балтийском море. В результате этих ударов в юго-восточной части</w:t>
      </w:r>
    </w:p>
    <w:p w14:paraId="2AB6258E" w14:textId="77777777" w:rsidR="00525BF4" w:rsidRPr="00925F26" w:rsidRDefault="00525BF4" w:rsidP="00925F26">
      <w:pPr>
        <w:jc w:val="both"/>
        <w:rPr>
          <w:color w:val="000000" w:themeColor="text1"/>
          <w:sz w:val="16"/>
          <w:szCs w:val="16"/>
        </w:rPr>
      </w:pPr>
      <w:r w:rsidRPr="00925F26">
        <w:rPr>
          <w:color w:val="000000" w:themeColor="text1"/>
          <w:sz w:val="16"/>
          <w:szCs w:val="16"/>
        </w:rPr>
        <w:t>Балтийского моря севернее Гданьска потоплено: пять транспортов и один танкер общим водоизмещением в 31.000 тонн, два сторожевых корабля и один тральщик противника.</w:t>
      </w:r>
    </w:p>
    <w:p w14:paraId="28CB8637" w14:textId="77777777" w:rsidR="00525BF4" w:rsidRPr="00925F26" w:rsidRDefault="00525BF4" w:rsidP="00925F26">
      <w:pPr>
        <w:jc w:val="both"/>
        <w:rPr>
          <w:color w:val="000000" w:themeColor="text1"/>
          <w:sz w:val="16"/>
          <w:szCs w:val="16"/>
        </w:rPr>
      </w:pPr>
      <w:r w:rsidRPr="00925F26">
        <w:rPr>
          <w:color w:val="000000" w:themeColor="text1"/>
          <w:sz w:val="16"/>
          <w:szCs w:val="16"/>
        </w:rPr>
        <w:t>Юго-западнее Кенигсберга войска 3-го Белорусского фронта добивали остатки разгромленных частей противника. Немцы, стремясь задержать продвижение советских войск, взорвали дамбу на восточном берегу мыса Кальхольцер-Хакен. Водой, хлынувшей из залива Фриш-Гаф, затоплена низменность. Действуя в трудных условиях местности, наши войска заняли несколько укреплённых высот. По неполным данным, за день уничтожено до 3 тысяч гитлеровцев. Немецкие солдаты и офицеры группами и в одиночку пытаются на баржах, плотах, лодках, брёвнах и бочках переправиться черев залив на косу Фриш Нерунг. Наши артиллеристы и лётчики потопили 24 баржи, а также много лодок и плотов с гитлеровцами.</w:t>
      </w:r>
    </w:p>
    <w:p w14:paraId="22E8A65A"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Советские части, ворвавшиеся вчера в Гдыню, в результате ожесточённых боёв очистили южные районы города от немецких войск. Всю ночь продолжались уличные бои. Наши пехотинцы, действуя совместно с танкистами и артиллеристами, подавили многочисленные вражеские узлы сопротивления и вышли к городскому району Штейнберг. Этот район прикрывали несколько рядов траншей, проволочные и минные заграждения, а также железобетонные доты, в которых были установлены орудия и пулемёты. Стремительной атакой с юга и запада наши бойцы заняли укреплённый район. Продолжая продвигаться на север, советские войска сегодня штурмом овладели городом Гдыня — важной военно-морской базой и крупным портом на Балтийском море. В боях за Гдыню наши войска нанесли противнику тяжелые потери.</w:t>
      </w:r>
    </w:p>
    <w:p w14:paraId="52429147"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фронта, наступающие на Гданьск (Данциг), овладев пригородами, ворвались в центральную часть города. Немцы, используя укреплённые здания и бетонированные огневые точки, оказывают упорное сопротивление. Советские штурмовые отряды овладели западной частью Гданьска и на ряде участков вышли к реке Мёртвая Висла. Отдельные кварталы были очищены в результате рукопашных схваток и гранатного боя. Южнее пригорода Лауенталь наши войска прижали к реке большую группу противника. Немцы прекратили сопротивление и сдались в плен. Артиллерийским огнем потоплены одна подводная лодка, транспорт, три самоходные баржи и другие суда противника. На одном из аэродромов уничтожено 34 немецких самолёта. Захвачено у немцев 90 орудий, 2 бронепоезда, 26 паровозов и большое количество железнодорожных эшелонов с военным имуществом.</w:t>
      </w:r>
    </w:p>
    <w:p w14:paraId="5ECC2EAD"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Украинского фронта развивали наступление вдоль южного берега Дуная. Советские части, овладев опорным пунктом Надьигманд, стремительным броском вышли к Дунаю и перерезами железную дорогу Комаром — Дьер. Группа немецких войск, расположенная в районе Комарома, была прижата к реке и в значительной своей части ликвидирована. Продолжая наступление на запад, наши войска продвинулись вперёд на 20 километров и сегодня овладели городом Дьер. Этот город является вторым после Будапешта промышленным центром Венгрии. В нём имеются крупные авиационные, орудийные, машиностроительные и другие заводы. В боях за Дьер захвачены большие трофеи и много пленных.</w:t>
      </w:r>
    </w:p>
    <w:p w14:paraId="5A27938A"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Украинского фронта продолжали успешное наступление. Ожесточенные бои произошли за переправы через реку Раба. По западному берегу реки проходил оборонительный рубеж немцев, прикрывавший подступы к австрийской границе. Советские части переправились через Рабу в районе населённых пунктов Раба-Сентмихаль и Морицхида. Противник предпринимал огромные усилия, чтобы задержать наши войска. Он подтянул резервы и бросил в контратаки крупные силы пехоты и танков. Советчкие части опрокинули немцев и, быстро продвинувшись вперёд, заняли город Чорно — важный узел железных дорог. Город Чорно расположен в 15 километрах от австро-венгерской границы. Другие наши части вышли к реке Раба в районе города Шарвар. Под прикрытием артиллерийского огня советские пехотинцы с хода переправились на западный берег реки и ворвались на улицы порода. В то же время подвижные соединения совершили обходный манёвр и перерезали дороги, идущие из Шарвара на северо-запад и запад. Сломив сопротивление немецкого гарнизона, наши войска овладели городом Шарвар. В городе захвачены бронепоезд, 25 паровозов, много вагонов и склады с военным имуществом. За день боёв уничтожено и подбито 40 танков и 69 бронетранспортёров противника.» (15082).</w:t>
      </w:r>
    </w:p>
    <w:p w14:paraId="3B53F62A" w14:textId="77777777" w:rsidR="00525BF4" w:rsidRPr="00925F26" w:rsidRDefault="00525BF4" w:rsidP="00925F26">
      <w:pPr>
        <w:jc w:val="both"/>
        <w:rPr>
          <w:color w:val="000000" w:themeColor="text1"/>
          <w:sz w:val="16"/>
          <w:szCs w:val="16"/>
        </w:rPr>
      </w:pPr>
    </w:p>
    <w:p w14:paraId="1F178BB7" w14:textId="77777777" w:rsidR="00BA025E" w:rsidRPr="00925F26" w:rsidRDefault="00BA025E" w:rsidP="00925F26">
      <w:pPr>
        <w:jc w:val="both"/>
        <w:rPr>
          <w:color w:val="000000" w:themeColor="text1"/>
          <w:sz w:val="16"/>
          <w:szCs w:val="16"/>
        </w:rPr>
      </w:pPr>
      <w:r w:rsidRPr="00925F26">
        <w:rPr>
          <w:color w:val="000000" w:themeColor="text1"/>
          <w:sz w:val="16"/>
          <w:szCs w:val="16"/>
        </w:rPr>
        <w:t>28 марта 1945 г. в составе 108-го Гвар дейского штурмового авиаполка штурмовики Ил-10 появились на фронте, к 1 мая действующей армии было передано 630 таких самолетов. В 1944—1945 гг. выпустили 2371 самолет Ил-10 и 227 самолетов УИл-10 (19727)</w:t>
      </w:r>
    </w:p>
    <w:p w14:paraId="6557B8E1" w14:textId="77777777" w:rsidR="00BA025E" w:rsidRPr="00925F26" w:rsidRDefault="00BA025E" w:rsidP="00925F26">
      <w:pPr>
        <w:jc w:val="both"/>
        <w:rPr>
          <w:color w:val="000000" w:themeColor="text1"/>
          <w:sz w:val="16"/>
          <w:szCs w:val="16"/>
        </w:rPr>
      </w:pPr>
    </w:p>
    <w:p w14:paraId="715C81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28 марта 1945 г. 108-й гвардейский штурмовой авиа полк смог собраться в полном составе на аэродроме Шпроттау в Силезии (7489).</w:t>
      </w:r>
    </w:p>
    <w:p w14:paraId="04F15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Пока на фронте было затишье, 108-й гвардейский усиленно готовил молодое пополнение, отрабатывая на ближайшем полигоне бомбоштурмовые удары по наземным целям (7489).</w:t>
      </w:r>
    </w:p>
    <w:p w14:paraId="3A26249E" w14:textId="77777777" w:rsidR="00665165" w:rsidRPr="00925F26" w:rsidRDefault="00665165" w:rsidP="00925F26">
      <w:pPr>
        <w:autoSpaceDE w:val="0"/>
        <w:autoSpaceDN w:val="0"/>
        <w:adjustRightInd w:val="0"/>
        <w:jc w:val="both"/>
        <w:rPr>
          <w:color w:val="000000" w:themeColor="text1"/>
          <w:sz w:val="16"/>
          <w:szCs w:val="16"/>
        </w:rPr>
      </w:pPr>
    </w:p>
    <w:p w14:paraId="64579D4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марта 1945 Гитлер приказал начальнику германского Генштаба Гудериану взять 6-недельный отпуск по болезни (4962) и вместо генерал-полковника Гудериана начальником генерального штаба сухопутных сил становится генерал Кребс (</w:t>
      </w:r>
      <w:proofErr w:type="gramStart"/>
      <w:r w:rsidRPr="00925F26">
        <w:rPr>
          <w:color w:val="000000" w:themeColor="text1"/>
          <w:sz w:val="16"/>
          <w:szCs w:val="16"/>
        </w:rPr>
        <w:t>4963 )</w:t>
      </w:r>
      <w:proofErr w:type="gramEnd"/>
      <w:r w:rsidRPr="00925F26">
        <w:rPr>
          <w:color w:val="000000" w:themeColor="text1"/>
          <w:sz w:val="16"/>
          <w:szCs w:val="16"/>
        </w:rPr>
        <w:t>.</w:t>
      </w:r>
    </w:p>
    <w:p w14:paraId="1038E15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129A3D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марта 1945 советские войска взяли Гдыню (Польша) (4962).</w:t>
      </w:r>
    </w:p>
    <w:p w14:paraId="657E614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C664D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2БФ (К.К.Рокосовский) овладел портом Гдыня (3398,127).</w:t>
      </w:r>
    </w:p>
    <w:p w14:paraId="3BB966D3" w14:textId="77777777" w:rsidR="00665165" w:rsidRPr="00925F26" w:rsidRDefault="00665165" w:rsidP="00925F26">
      <w:pPr>
        <w:autoSpaceDE w:val="0"/>
        <w:autoSpaceDN w:val="0"/>
        <w:adjustRightInd w:val="0"/>
        <w:jc w:val="both"/>
        <w:rPr>
          <w:color w:val="000000" w:themeColor="text1"/>
          <w:sz w:val="16"/>
          <w:szCs w:val="16"/>
        </w:rPr>
      </w:pPr>
    </w:p>
    <w:p w14:paraId="52AA6F4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F7B4989" w14:textId="77777777" w:rsidR="00665165" w:rsidRPr="00925F26" w:rsidRDefault="00665165" w:rsidP="00925F26">
      <w:pPr>
        <w:autoSpaceDE w:val="0"/>
        <w:autoSpaceDN w:val="0"/>
        <w:adjustRightInd w:val="0"/>
        <w:jc w:val="both"/>
        <w:rPr>
          <w:iCs/>
          <w:color w:val="000000" w:themeColor="text1"/>
          <w:sz w:val="16"/>
          <w:szCs w:val="16"/>
        </w:rPr>
      </w:pPr>
    </w:p>
    <w:p w14:paraId="67C0F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года была подготовлена Информационная записка оргинструкторского отдела Молотовского обкома партии</w:t>
      </w:r>
    </w:p>
    <w:p w14:paraId="70052D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тресте «Андреевуголь» г. Губаха (Молотовская область) в 1943 году было зафиксировано 1558 дезертиров, в 1944 году – 583 дезертира. По заочным приговорам Военного трибунала за первую половину 1944 года в г. Березники (Молотовская область) наказание было вынесено 12 170 дезертирам. Из них было задержано 1590 человек. За вторую половину 1944 года приговоры были вынесены в отношении 7448 дезертиров, из них было задержано 6018 человек. </w:t>
      </w:r>
    </w:p>
    <w:p w14:paraId="11A6E1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в Молотовской области в 1943 году дезертировало с предприятий 28300 человек, в 1944 году – 26800 человек.</w:t>
      </w:r>
    </w:p>
    <w:p w14:paraId="4A1464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№557 в 1943 году дезертировало 159 человек, в 1944 году (за 11 месяцев) – 362 человека.</w:t>
      </w:r>
    </w:p>
    <w:p w14:paraId="0B67EA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Соликамском калийном комбинате – 205 и 316 соответственно. С Чусовского металлургического завода в 1944 году дезертировало 1120 человек…. </w:t>
      </w:r>
    </w:p>
    <w:p w14:paraId="2CA05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укрывательство дезертиров привлечено к уголовной ответственности 13 человек, в том числе председатель колхоза им. Ворошилова, заведующий известковым карьером, директор Хохловского карьероуправления и др., которые сознательно принимали на работу дезертиров и скрывали их от органов милиции…».</w:t>
      </w:r>
    </w:p>
    <w:p w14:paraId="1F1247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РГАСПИ.Ф. 17. Оп. 88. Д. 415. Л. 2-12 (11595).</w:t>
      </w:r>
    </w:p>
    <w:p w14:paraId="1B53A3B8" w14:textId="77777777" w:rsidR="00665165" w:rsidRPr="00925F26" w:rsidRDefault="00665165" w:rsidP="00925F26">
      <w:pPr>
        <w:autoSpaceDE w:val="0"/>
        <w:autoSpaceDN w:val="0"/>
        <w:adjustRightInd w:val="0"/>
        <w:jc w:val="both"/>
        <w:rPr>
          <w:color w:val="000000" w:themeColor="text1"/>
          <w:sz w:val="16"/>
          <w:szCs w:val="16"/>
        </w:rPr>
      </w:pPr>
    </w:p>
    <w:p w14:paraId="72BC795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3882B51" w14:textId="77777777" w:rsidR="00665165" w:rsidRPr="00925F26" w:rsidRDefault="00665165" w:rsidP="00925F26">
      <w:pPr>
        <w:autoSpaceDE w:val="0"/>
        <w:autoSpaceDN w:val="0"/>
        <w:adjustRightInd w:val="0"/>
        <w:jc w:val="both"/>
        <w:rPr>
          <w:iCs/>
          <w:color w:val="000000" w:themeColor="text1"/>
          <w:sz w:val="16"/>
          <w:szCs w:val="16"/>
        </w:rPr>
      </w:pPr>
    </w:p>
    <w:p w14:paraId="59F2902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марта 1945 предпринята последняя атака ФАУ-2 на Англию (4962).</w:t>
      </w:r>
    </w:p>
    <w:p w14:paraId="4990035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4DC6FFA" w14:textId="77777777" w:rsidR="00525BF4" w:rsidRPr="00925F26" w:rsidRDefault="00525BF4" w:rsidP="00925F26">
      <w:pPr>
        <w:jc w:val="both"/>
        <w:rPr>
          <w:color w:val="000000" w:themeColor="text1"/>
          <w:sz w:val="16"/>
          <w:szCs w:val="16"/>
        </w:rPr>
      </w:pPr>
      <w:r w:rsidRPr="00925F26">
        <w:rPr>
          <w:bCs/>
          <w:color w:val="000000" w:themeColor="text1"/>
          <w:sz w:val="16"/>
          <w:szCs w:val="16"/>
        </w:rPr>
        <w:t>28 марта</w:t>
      </w:r>
      <w:r w:rsidRPr="00925F26">
        <w:rPr>
          <w:color w:val="000000" w:themeColor="text1"/>
          <w:sz w:val="16"/>
          <w:szCs w:val="16"/>
        </w:rPr>
        <w:t xml:space="preserve"> в 1945 году на территорию Великобритании упала последняя ракета "Фау-2", выпущенная немцами с позиций в континентальной части Европы (15082).</w:t>
      </w:r>
    </w:p>
    <w:p w14:paraId="07C0A815" w14:textId="77777777" w:rsidR="00525BF4" w:rsidRPr="00925F26" w:rsidRDefault="00525BF4" w:rsidP="00925F26">
      <w:pPr>
        <w:jc w:val="both"/>
        <w:rPr>
          <w:color w:val="000000" w:themeColor="text1"/>
          <w:sz w:val="16"/>
          <w:szCs w:val="16"/>
        </w:rPr>
      </w:pPr>
    </w:p>
    <w:p w14:paraId="6E7EE989" w14:textId="77777777" w:rsidR="0074469E" w:rsidRPr="00925F26" w:rsidRDefault="0074469E" w:rsidP="00925F26">
      <w:pPr>
        <w:jc w:val="both"/>
        <w:rPr>
          <w:color w:val="000000" w:themeColor="text1"/>
          <w:sz w:val="16"/>
          <w:szCs w:val="16"/>
        </w:rPr>
      </w:pPr>
      <w:r w:rsidRPr="00925F26">
        <w:rPr>
          <w:color w:val="000000" w:themeColor="text1"/>
          <w:sz w:val="16"/>
          <w:szCs w:val="16"/>
        </w:rPr>
        <w:t>До 28 марта 1945 г. с  1 января 1944  г. всего было выпущено 5789 годных ракет А-4, но общий объем производства был значительно больше, т.к. много ракет (особенно в начале) браковалось по разным причинам.</w:t>
      </w:r>
    </w:p>
    <w:p w14:paraId="15D22AA7" w14:textId="77777777" w:rsidR="0074469E" w:rsidRPr="00925F26" w:rsidRDefault="0074469E" w:rsidP="00925F26">
      <w:pPr>
        <w:jc w:val="both"/>
        <w:rPr>
          <w:color w:val="000000" w:themeColor="text1"/>
          <w:sz w:val="16"/>
          <w:szCs w:val="16"/>
        </w:rPr>
      </w:pPr>
      <w:r w:rsidRPr="00925F26">
        <w:rPr>
          <w:color w:val="000000" w:themeColor="text1"/>
          <w:sz w:val="16"/>
          <w:szCs w:val="16"/>
        </w:rPr>
        <w:t>По расчетам командования Вермахта для создания паники среди жителей «большого Лондона» необходимо было наносить удары каждые 15 минут, т. е. 4 в час, 96 в сутки, не менее 2880 в месяц. Чтобы обеспечить такой темп, следовало выпускать 3000 ракет в месяц (23372).</w:t>
      </w:r>
    </w:p>
    <w:p w14:paraId="3ABB0223" w14:textId="77777777" w:rsidR="0074469E" w:rsidRPr="00925F26" w:rsidRDefault="0074469E" w:rsidP="00925F26">
      <w:pPr>
        <w:jc w:val="both"/>
        <w:rPr>
          <w:color w:val="000000" w:themeColor="text1"/>
          <w:sz w:val="16"/>
          <w:szCs w:val="16"/>
        </w:rPr>
      </w:pPr>
    </w:p>
    <w:p w14:paraId="04FCF471" w14:textId="77777777" w:rsidR="00525BF4" w:rsidRPr="00925F26" w:rsidRDefault="00525BF4" w:rsidP="00925F26">
      <w:pPr>
        <w:jc w:val="both"/>
        <w:rPr>
          <w:color w:val="000000" w:themeColor="text1"/>
          <w:sz w:val="16"/>
          <w:szCs w:val="16"/>
        </w:rPr>
      </w:pPr>
      <w:r w:rsidRPr="00925F26">
        <w:rPr>
          <w:bCs/>
          <w:color w:val="000000" w:themeColor="text1"/>
          <w:sz w:val="16"/>
          <w:szCs w:val="16"/>
        </w:rPr>
        <w:t>28 марта</w:t>
      </w:r>
      <w:r w:rsidRPr="00925F26">
        <w:rPr>
          <w:color w:val="000000" w:themeColor="text1"/>
          <w:sz w:val="16"/>
          <w:szCs w:val="16"/>
        </w:rPr>
        <w:t xml:space="preserve"> в 1945 году в Германии вместо генерал-полковника Гудериана начальником генерального штаба сухопутных сил становится генерал Кребс (15082).</w:t>
      </w:r>
    </w:p>
    <w:p w14:paraId="773A391C" w14:textId="77777777" w:rsidR="00525BF4" w:rsidRPr="00925F26" w:rsidRDefault="00525BF4" w:rsidP="00925F26">
      <w:pPr>
        <w:jc w:val="both"/>
        <w:rPr>
          <w:color w:val="000000" w:themeColor="text1"/>
          <w:sz w:val="16"/>
          <w:szCs w:val="16"/>
        </w:rPr>
      </w:pPr>
    </w:p>
    <w:p w14:paraId="0FADF1DE" w14:textId="77777777" w:rsidR="00525BF4" w:rsidRPr="00925F26" w:rsidRDefault="00525BF4" w:rsidP="00925F26">
      <w:pPr>
        <w:jc w:val="both"/>
        <w:rPr>
          <w:color w:val="000000" w:themeColor="text1"/>
          <w:sz w:val="16"/>
          <w:szCs w:val="16"/>
        </w:rPr>
      </w:pPr>
      <w:r w:rsidRPr="00925F26">
        <w:rPr>
          <w:bCs/>
          <w:color w:val="000000" w:themeColor="text1"/>
          <w:sz w:val="16"/>
          <w:szCs w:val="16"/>
        </w:rPr>
        <w:t>28 марта</w:t>
      </w:r>
      <w:r w:rsidRPr="00925F26">
        <w:rPr>
          <w:color w:val="000000" w:themeColor="text1"/>
          <w:sz w:val="16"/>
          <w:szCs w:val="16"/>
        </w:rPr>
        <w:t xml:space="preserve"> в 1945 году прогерманское правительство Королевства Венгрии во главе с Ф.Салаши прекратило существование (15082).</w:t>
      </w:r>
    </w:p>
    <w:p w14:paraId="1F248D85" w14:textId="77777777" w:rsidR="00525BF4" w:rsidRPr="00925F26" w:rsidRDefault="00525BF4" w:rsidP="00925F26">
      <w:pPr>
        <w:jc w:val="both"/>
        <w:rPr>
          <w:color w:val="000000" w:themeColor="text1"/>
          <w:sz w:val="16"/>
          <w:szCs w:val="16"/>
        </w:rPr>
      </w:pPr>
    </w:p>
    <w:p w14:paraId="5855DFD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28th, 1945: Argentina declares war against Germany. The US Third Army captures Limburg on the Lahn. In the East, the 1st Belorussian Front captures Gotenhafen north of Danzig. Hitler replaces General Guderian with General Krebs as chief of the OKH (3819).</w:t>
      </w:r>
    </w:p>
    <w:p w14:paraId="717806C0" w14:textId="77777777" w:rsidR="00665165" w:rsidRPr="00925F26" w:rsidRDefault="00665165" w:rsidP="00925F26">
      <w:pPr>
        <w:autoSpaceDE w:val="0"/>
        <w:autoSpaceDN w:val="0"/>
        <w:adjustRightInd w:val="0"/>
        <w:jc w:val="both"/>
        <w:rPr>
          <w:color w:val="000000" w:themeColor="text1"/>
          <w:sz w:val="16"/>
          <w:szCs w:val="16"/>
          <w:lang w:val="en-US"/>
        </w:rPr>
      </w:pPr>
    </w:p>
    <w:p w14:paraId="24A7EB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 1945 Аргентина объявила войну Германии. 3А США заняла Лимбург на Лане. 1БФ занял Готтенхаффен на север от Данцига. А.Г. заменил г Гудериана в качестве ВГК (3819).</w:t>
      </w:r>
    </w:p>
    <w:p w14:paraId="59131726" w14:textId="77777777" w:rsidR="00665165" w:rsidRPr="00925F26" w:rsidRDefault="00665165" w:rsidP="00925F26">
      <w:pPr>
        <w:autoSpaceDE w:val="0"/>
        <w:autoSpaceDN w:val="0"/>
        <w:adjustRightInd w:val="0"/>
        <w:jc w:val="both"/>
        <w:rPr>
          <w:color w:val="000000" w:themeColor="text1"/>
          <w:sz w:val="16"/>
          <w:szCs w:val="16"/>
        </w:rPr>
      </w:pPr>
    </w:p>
    <w:p w14:paraId="4C6BF9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марта 1945 солдаты прояпонской армии Бирмы восстали и казнили своих офицеров (4962).</w:t>
      </w:r>
    </w:p>
    <w:p w14:paraId="654219A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DFA06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51A06E8" w14:textId="77777777" w:rsidR="00665165" w:rsidRPr="00925F26" w:rsidRDefault="00665165" w:rsidP="00925F26">
      <w:pPr>
        <w:autoSpaceDE w:val="0"/>
        <w:autoSpaceDN w:val="0"/>
        <w:adjustRightInd w:val="0"/>
        <w:jc w:val="both"/>
        <w:rPr>
          <w:iCs/>
          <w:color w:val="000000" w:themeColor="text1"/>
          <w:sz w:val="16"/>
          <w:szCs w:val="16"/>
        </w:rPr>
      </w:pPr>
    </w:p>
    <w:p w14:paraId="7287CA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закончились гос. испытания Як-9УТ, которые проводились с 8 по марта 1945 (65,152).</w:t>
      </w:r>
    </w:p>
    <w:p w14:paraId="5E7235A6" w14:textId="77777777" w:rsidR="00665165" w:rsidRPr="00925F26" w:rsidRDefault="00665165" w:rsidP="00925F26">
      <w:pPr>
        <w:autoSpaceDE w:val="0"/>
        <w:autoSpaceDN w:val="0"/>
        <w:adjustRightInd w:val="0"/>
        <w:jc w:val="both"/>
        <w:rPr>
          <w:color w:val="000000" w:themeColor="text1"/>
          <w:sz w:val="16"/>
          <w:szCs w:val="16"/>
        </w:rPr>
      </w:pPr>
    </w:p>
    <w:p w14:paraId="5E81049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699BBD2" w14:textId="77777777" w:rsidR="00665165" w:rsidRPr="00925F26" w:rsidRDefault="00665165" w:rsidP="00925F26">
      <w:pPr>
        <w:autoSpaceDE w:val="0"/>
        <w:autoSpaceDN w:val="0"/>
        <w:adjustRightInd w:val="0"/>
        <w:jc w:val="both"/>
        <w:rPr>
          <w:iCs/>
          <w:color w:val="000000" w:themeColor="text1"/>
          <w:sz w:val="16"/>
          <w:szCs w:val="16"/>
        </w:rPr>
      </w:pPr>
    </w:p>
    <w:p w14:paraId="22C72C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 марта 1945 г. постанов</w:t>
      </w:r>
      <w:r w:rsidRPr="00925F26">
        <w:rPr>
          <w:color w:val="000000" w:themeColor="text1"/>
          <w:sz w:val="16"/>
          <w:szCs w:val="16"/>
        </w:rPr>
        <w:softHyphen/>
        <w:t>лением ГКО танк ИС-3 был принят на вооружение Красной Армии. Начиная с мая 1945 г., он серийно выпу</w:t>
      </w:r>
      <w:r w:rsidRPr="00925F26">
        <w:rPr>
          <w:color w:val="000000" w:themeColor="text1"/>
          <w:sz w:val="16"/>
          <w:szCs w:val="16"/>
        </w:rPr>
        <w:softHyphen/>
        <w:t>скался на ЧКЗ. До 1 сентября 1945 г. заводом было изготовлено 875 тан</w:t>
      </w:r>
      <w:r w:rsidRPr="00925F26">
        <w:rPr>
          <w:color w:val="000000" w:themeColor="text1"/>
          <w:sz w:val="16"/>
          <w:szCs w:val="16"/>
        </w:rPr>
        <w:softHyphen/>
        <w:t xml:space="preserve">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w:t>
      </w:r>
      <w:proofErr w:type="gramStart"/>
      <w:r w:rsidRPr="00925F26">
        <w:rPr>
          <w:color w:val="000000" w:themeColor="text1"/>
          <w:sz w:val="16"/>
          <w:szCs w:val="16"/>
        </w:rPr>
        <w:t>танка</w:t>
      </w:r>
      <w:proofErr w:type="gramEnd"/>
      <w:r w:rsidRPr="00925F26">
        <w:rPr>
          <w:color w:val="000000" w:themeColor="text1"/>
          <w:sz w:val="16"/>
          <w:szCs w:val="16"/>
        </w:rPr>
        <w:t xml:space="preserve"> и он получил обозначение ИС-3М (10703).</w:t>
      </w:r>
    </w:p>
    <w:p w14:paraId="4DF584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F73B66"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29 марта 1945 года, 703-й приняли на вооружение как ИС-3, что еще сильнее отдалило перспективу запуска Объекта 701 в серию (17209).</w:t>
      </w:r>
    </w:p>
    <w:p w14:paraId="4DAE9078" w14:textId="77777777" w:rsidR="00FA59CB" w:rsidRPr="00925F26" w:rsidRDefault="00FA59CB" w:rsidP="00925F26">
      <w:pPr>
        <w:pStyle w:val="ae"/>
        <w:shd w:val="clear" w:color="auto" w:fill="FFFFFF"/>
        <w:spacing w:before="0" w:after="0"/>
        <w:jc w:val="both"/>
        <w:rPr>
          <w:color w:val="000000" w:themeColor="text1"/>
          <w:sz w:val="16"/>
          <w:szCs w:val="16"/>
        </w:rPr>
      </w:pPr>
    </w:p>
    <w:p w14:paraId="3CE93252" w14:textId="77777777" w:rsidR="00D81AD4" w:rsidRPr="00925F26" w:rsidRDefault="00D81AD4" w:rsidP="00925F26">
      <w:pPr>
        <w:shd w:val="clear" w:color="auto" w:fill="FFFFFF"/>
        <w:jc w:val="both"/>
        <w:rPr>
          <w:color w:val="000000" w:themeColor="text1"/>
          <w:sz w:val="16"/>
          <w:szCs w:val="16"/>
        </w:rPr>
      </w:pPr>
      <w:r w:rsidRPr="00925F26">
        <w:rPr>
          <w:color w:val="000000" w:themeColor="text1"/>
          <w:sz w:val="16"/>
          <w:szCs w:val="16"/>
        </w:rPr>
        <w:t>29 марта 1945 года, 703-й приняли на вооружение как ИС-3, что ещё сильнее отдалило перспективу запуска Объекта 701 в серию (16735).</w:t>
      </w:r>
    </w:p>
    <w:p w14:paraId="593C4EC0" w14:textId="77777777" w:rsidR="00D81AD4" w:rsidRPr="00925F26" w:rsidRDefault="00D81AD4" w:rsidP="00925F26">
      <w:pPr>
        <w:jc w:val="both"/>
        <w:rPr>
          <w:rStyle w:val="107"/>
          <w:rFonts w:eastAsiaTheme="minorHAnsi"/>
          <w:color w:val="000000" w:themeColor="text1"/>
          <w:sz w:val="16"/>
          <w:szCs w:val="16"/>
        </w:rPr>
      </w:pPr>
    </w:p>
    <w:p w14:paraId="79A60938" w14:textId="77777777" w:rsidR="00BA025E" w:rsidRPr="00925F26" w:rsidRDefault="00BA025E" w:rsidP="00925F26">
      <w:pPr>
        <w:pStyle w:val="4f"/>
        <w:shd w:val="clear" w:color="auto" w:fill="FFFFFF"/>
        <w:spacing w:before="0" w:beforeAutospacing="0" w:after="0" w:afterAutospacing="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 xml:space="preserve">29 марта 1945 исполняется 75 лет с дня, когда на вооружение Красной армии был принят тяжёлый танк ИС-3, ставший результатом программы глубокой модернизации ИС-2, запущенной ещё в апреле 1944 года (19731). </w:t>
      </w:r>
    </w:p>
    <w:p w14:paraId="71BC91A4" w14:textId="77777777" w:rsidR="00BA025E" w:rsidRPr="00925F26" w:rsidRDefault="00BA025E" w:rsidP="00925F26">
      <w:pPr>
        <w:pStyle w:val="4f"/>
        <w:shd w:val="clear" w:color="auto" w:fill="FFFFFF"/>
        <w:spacing w:before="0" w:beforeAutospacing="0" w:after="0" w:afterAutospacing="0"/>
        <w:jc w:val="both"/>
        <w:textAlignment w:val="baseline"/>
        <w:rPr>
          <w:i/>
          <w:iCs/>
          <w:color w:val="000000" w:themeColor="text1"/>
          <w:sz w:val="16"/>
          <w:szCs w:val="16"/>
          <w:bdr w:val="none" w:sz="0" w:space="0" w:color="auto" w:frame="1"/>
        </w:rPr>
      </w:pPr>
    </w:p>
    <w:p w14:paraId="6D393BD8" w14:textId="77777777" w:rsidR="006773EC" w:rsidRPr="001A0BAA" w:rsidRDefault="006773EC" w:rsidP="006773EC">
      <w:pPr>
        <w:jc w:val="both"/>
        <w:rPr>
          <w:color w:val="0070C0"/>
          <w:sz w:val="16"/>
          <w:szCs w:val="16"/>
        </w:rPr>
      </w:pPr>
      <w:r w:rsidRPr="001A0BAA">
        <w:rPr>
          <w:color w:val="0070C0"/>
          <w:sz w:val="16"/>
          <w:szCs w:val="16"/>
        </w:rPr>
        <w:t>29 марта 1945 г. И.В.Сталин подписал постановление ГКО №7950 «О модернизации тяжелого танка ИС-2», в соответствии с которым на вооруже</w:t>
      </w:r>
      <w:r w:rsidRPr="001A0BAA">
        <w:rPr>
          <w:color w:val="0070C0"/>
          <w:sz w:val="16"/>
          <w:szCs w:val="16"/>
        </w:rPr>
        <w:softHyphen/>
        <w:t>ние Красной Армии был принят тяжелый танк ИС-3 (25001).</w:t>
      </w:r>
    </w:p>
    <w:p w14:paraId="47B9B5C5" w14:textId="77777777" w:rsidR="006773EC" w:rsidRPr="001A0BAA" w:rsidRDefault="006773EC" w:rsidP="006773EC">
      <w:pPr>
        <w:jc w:val="both"/>
        <w:rPr>
          <w:color w:val="0070C0"/>
          <w:sz w:val="16"/>
          <w:szCs w:val="16"/>
        </w:rPr>
      </w:pPr>
    </w:p>
    <w:p w14:paraId="6A2C3A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 марта 1945 закончились дополнительные испытания объекта 701 № 5 пробегом (1073 км), которые проходили с 28 января, а с 30 марта по 9 апреля — испытания в тяжелых дорожных условиях. По ре</w:t>
      </w:r>
      <w:r w:rsidRPr="00925F26">
        <w:rPr>
          <w:color w:val="000000" w:themeColor="text1"/>
          <w:sz w:val="16"/>
          <w:szCs w:val="16"/>
        </w:rPr>
        <w:softHyphen/>
        <w:t>шению комиссии танк дополнительные испытания выдер</w:t>
      </w:r>
      <w:r w:rsidRPr="00925F26">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3DD814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5A0DA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Распоряжение ГКО № 7938. О поставках импортного морского трехжильного телеграфного кабеля ГУС КА и прокладке кабеля через оз. Байкал до 1 июля 1945 г. РГАНИР, Фонд ГКО, д. 383, лл. 85 (11012).</w:t>
      </w:r>
    </w:p>
    <w:p w14:paraId="26EC192D" w14:textId="77777777" w:rsidR="00665165" w:rsidRPr="00925F26" w:rsidRDefault="00665165" w:rsidP="00925F26">
      <w:pPr>
        <w:autoSpaceDE w:val="0"/>
        <w:autoSpaceDN w:val="0"/>
        <w:adjustRightInd w:val="0"/>
        <w:jc w:val="both"/>
        <w:rPr>
          <w:color w:val="000000" w:themeColor="text1"/>
          <w:sz w:val="16"/>
          <w:szCs w:val="16"/>
        </w:rPr>
      </w:pPr>
    </w:p>
    <w:p w14:paraId="4A8EACA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7939 [О выделении автомашин подразделениям НКВД и НКГБ, действующим на фронтах.] (7318, 86).</w:t>
      </w:r>
    </w:p>
    <w:p w14:paraId="5E82BD0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9A12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7940 Об организации авторемонтного завода в г. Домтау (Восточная Пруссия) для ремонта трофейных грузовых автомобилей. РГАНИР, Фонд ГКО, д. 383, лл. 87-88 (11012).</w:t>
      </w:r>
    </w:p>
    <w:p w14:paraId="29BDEC1F" w14:textId="77777777" w:rsidR="00665165" w:rsidRPr="00925F26" w:rsidRDefault="00665165" w:rsidP="00925F26">
      <w:pPr>
        <w:autoSpaceDE w:val="0"/>
        <w:autoSpaceDN w:val="0"/>
        <w:adjustRightInd w:val="0"/>
        <w:jc w:val="both"/>
        <w:rPr>
          <w:color w:val="000000" w:themeColor="text1"/>
          <w:sz w:val="16"/>
          <w:szCs w:val="16"/>
        </w:rPr>
      </w:pPr>
    </w:p>
    <w:p w14:paraId="76181F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7941 Об оплате труда и снабжении продовольственными товарами работников шахт Буланашского угольного месторождения в Свердловской области. РГАНИР, Фонд ГКО, д. 383, лл. 89-91 (11012).</w:t>
      </w:r>
    </w:p>
    <w:p w14:paraId="1675B61A" w14:textId="77777777" w:rsidR="00665165" w:rsidRPr="00925F26" w:rsidRDefault="00665165" w:rsidP="00925F26">
      <w:pPr>
        <w:autoSpaceDE w:val="0"/>
        <w:autoSpaceDN w:val="0"/>
        <w:adjustRightInd w:val="0"/>
        <w:jc w:val="both"/>
        <w:rPr>
          <w:color w:val="000000" w:themeColor="text1"/>
          <w:sz w:val="16"/>
          <w:szCs w:val="16"/>
        </w:rPr>
      </w:pPr>
    </w:p>
    <w:p w14:paraId="3CD7B0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7942 Об усилении правительственной ВЧ связи НКВД СССР с Дальним Востоком. РГАНИР, Фонд ГКО, д. 383, лл. 92-97, 98-108 (11012).</w:t>
      </w:r>
    </w:p>
    <w:p w14:paraId="39AB57C1" w14:textId="77777777" w:rsidR="00665165" w:rsidRPr="00925F26" w:rsidRDefault="00665165" w:rsidP="00925F26">
      <w:pPr>
        <w:autoSpaceDE w:val="0"/>
        <w:autoSpaceDN w:val="0"/>
        <w:adjustRightInd w:val="0"/>
        <w:jc w:val="both"/>
        <w:rPr>
          <w:color w:val="000000" w:themeColor="text1"/>
          <w:sz w:val="16"/>
          <w:szCs w:val="16"/>
        </w:rPr>
      </w:pPr>
    </w:p>
    <w:p w14:paraId="7D5250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7943 Об усилении вывоза угля из Силезского угольного бассейна. РГАНИР, Фонд ГКО, д. 383, лл. 109-112 (11012).</w:t>
      </w:r>
    </w:p>
    <w:p w14:paraId="59F71DFD" w14:textId="77777777" w:rsidR="00665165" w:rsidRPr="00925F26" w:rsidRDefault="00665165" w:rsidP="00925F26">
      <w:pPr>
        <w:autoSpaceDE w:val="0"/>
        <w:autoSpaceDN w:val="0"/>
        <w:adjustRightInd w:val="0"/>
        <w:jc w:val="both"/>
        <w:rPr>
          <w:color w:val="000000" w:themeColor="text1"/>
          <w:sz w:val="16"/>
          <w:szCs w:val="16"/>
        </w:rPr>
      </w:pPr>
    </w:p>
    <w:p w14:paraId="78464B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7944 О выделении во II и III кварталах 1945 г. Грузинской ССР медного купороса и ядохимикатов. РГАНИР, Фонд ГКО, д. 383, лл. 113-115 (11012).</w:t>
      </w:r>
    </w:p>
    <w:p w14:paraId="3BD8B4F9" w14:textId="77777777" w:rsidR="00665165" w:rsidRPr="00925F26" w:rsidRDefault="00665165" w:rsidP="00925F26">
      <w:pPr>
        <w:autoSpaceDE w:val="0"/>
        <w:autoSpaceDN w:val="0"/>
        <w:adjustRightInd w:val="0"/>
        <w:jc w:val="both"/>
        <w:rPr>
          <w:color w:val="000000" w:themeColor="text1"/>
          <w:sz w:val="16"/>
          <w:szCs w:val="16"/>
        </w:rPr>
      </w:pPr>
    </w:p>
    <w:p w14:paraId="03A399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7945 Об оказании помощи строительству Храмской гидроэлектростанции в Грузинской ССР. РГАНИР, Фонд ГКО, д. 383, лл. 116-124, 125-139 (11012).</w:t>
      </w:r>
    </w:p>
    <w:p w14:paraId="3634B8A9" w14:textId="77777777" w:rsidR="00665165" w:rsidRPr="00925F26" w:rsidRDefault="00665165" w:rsidP="00925F26">
      <w:pPr>
        <w:autoSpaceDE w:val="0"/>
        <w:autoSpaceDN w:val="0"/>
        <w:adjustRightInd w:val="0"/>
        <w:jc w:val="both"/>
        <w:rPr>
          <w:color w:val="000000" w:themeColor="text1"/>
          <w:sz w:val="16"/>
          <w:szCs w:val="16"/>
        </w:rPr>
      </w:pPr>
    </w:p>
    <w:p w14:paraId="1F9CF2C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марта 1945 вышло Распоряжение ГКО № 7947 [Об отсрочке от призыва на 1945 г. рабочим и ИТР строительных организаций НКлеса СССР, занятым восстановлением Онежского механического завода.] (7318, 149).</w:t>
      </w:r>
    </w:p>
    <w:p w14:paraId="631B804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11533E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7949 О мерах неотложной помощи слюдяной промышленности Наркомстройматериалов СССР в районах Восточной Сибири. (7318, 151-155,156-158).</w:t>
      </w:r>
    </w:p>
    <w:p w14:paraId="157423E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391C3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7950 О модернизации тяжелого танка ИС-2. РГАНИР, Фонд ГКО, д. 383, лл. 159-162 (11012).</w:t>
      </w:r>
    </w:p>
    <w:p w14:paraId="2A159292" w14:textId="77777777" w:rsidR="00665165" w:rsidRPr="00925F26" w:rsidRDefault="00665165" w:rsidP="00925F26">
      <w:pPr>
        <w:autoSpaceDE w:val="0"/>
        <w:autoSpaceDN w:val="0"/>
        <w:adjustRightInd w:val="0"/>
        <w:jc w:val="both"/>
        <w:rPr>
          <w:color w:val="000000" w:themeColor="text1"/>
          <w:sz w:val="16"/>
          <w:szCs w:val="16"/>
        </w:rPr>
      </w:pPr>
    </w:p>
    <w:p w14:paraId="18A4A5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29-31 марта 1945 Балтийцы заложили на стапеле 3 МТ-2, тем самым выполнив план постройки судов, что стало возможно благодаря успешной подготовке производства к поточной постройке ТЩ. В различной стадии готовности находилось 14 ТЩ. Производился ремонт линкора, крейсеров, эсминцев "Грозящий" и "Сильный". Кроме того, была организована отливка корпусов 85-мм снарядов (10671). Завод им. А. А. Жданова заложил два и отремонтировал три ТЩ. В постройке находилось 16 ТЩ (до 25-го включительно). Заложен 1 БМО, строились 11 БМО (по 63-й включительно). Адмиралтейцы заложили 1 МБК и отремонтировали 1. На Петрозаводе заложены 8-й и 9-й ТЩ, производилась разметка металла для двух стотонников. Техническая готовность строившегося ТЩ по пр. 53-У составляла 48%; выполнение ремонта на эскадренных турбинных тральщиках "Владимир Полухин" - 60%, "Василий Громов" - 70%, ТЩ "Контр-адмирал Хорошкин" - 80%. На Усть-Ижорской верфи техническая готовность канонерской лодки "Пионер" - до 90%; строились три ТЩ (техническая готовность 48, 36 и 21%). Велись также работы по изготовлению 7 понтонов грузоподъемностью по 80 т. Катеростроители заложили 9 катеров типа КМ-4 (10671).</w:t>
      </w:r>
    </w:p>
    <w:p w14:paraId="7F5EF43E" w14:textId="77777777" w:rsidR="00665165" w:rsidRPr="00925F26" w:rsidRDefault="00665165" w:rsidP="00925F26">
      <w:pPr>
        <w:autoSpaceDE w:val="0"/>
        <w:autoSpaceDN w:val="0"/>
        <w:adjustRightInd w:val="0"/>
        <w:jc w:val="both"/>
        <w:rPr>
          <w:color w:val="000000" w:themeColor="text1"/>
          <w:sz w:val="16"/>
          <w:szCs w:val="16"/>
        </w:rPr>
      </w:pPr>
    </w:p>
    <w:p w14:paraId="78CCDCE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6430618" w14:textId="77777777" w:rsidR="00665165" w:rsidRPr="00925F26" w:rsidRDefault="00665165" w:rsidP="00925F26">
      <w:pPr>
        <w:autoSpaceDE w:val="0"/>
        <w:autoSpaceDN w:val="0"/>
        <w:adjustRightInd w:val="0"/>
        <w:jc w:val="both"/>
        <w:rPr>
          <w:iCs/>
          <w:color w:val="000000" w:themeColor="text1"/>
          <w:sz w:val="16"/>
          <w:szCs w:val="16"/>
        </w:rPr>
      </w:pPr>
    </w:p>
    <w:p w14:paraId="344DBCE2" w14:textId="77777777" w:rsidR="00525BF4" w:rsidRPr="00925F26" w:rsidRDefault="00525BF4" w:rsidP="00925F26">
      <w:pPr>
        <w:jc w:val="both"/>
        <w:rPr>
          <w:color w:val="000000" w:themeColor="text1"/>
          <w:sz w:val="16"/>
          <w:szCs w:val="16"/>
        </w:rPr>
      </w:pPr>
      <w:r w:rsidRPr="00925F26">
        <w:rPr>
          <w:bCs/>
          <w:color w:val="000000" w:themeColor="text1"/>
          <w:sz w:val="16"/>
          <w:szCs w:val="16"/>
        </w:rPr>
        <w:t>29 марта</w:t>
      </w:r>
      <w:r w:rsidRPr="00925F26">
        <w:rPr>
          <w:color w:val="000000" w:themeColor="text1"/>
          <w:sz w:val="16"/>
          <w:szCs w:val="16"/>
        </w:rPr>
        <w:t xml:space="preserve"> в 1945 году оперативная сводка Совинформбюро:.</w:t>
      </w:r>
    </w:p>
    <w:p w14:paraId="2553EEBD"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Белорусского фронта 29 марта завершили ликвидацию окружённой Восточно-Прусской группы немецких войск юго-западнее Кенигсберга.</w:t>
      </w:r>
    </w:p>
    <w:p w14:paraId="1FFA8AD3" w14:textId="77777777" w:rsidR="00525BF4" w:rsidRPr="00925F26" w:rsidRDefault="00525BF4" w:rsidP="00925F26">
      <w:pPr>
        <w:jc w:val="both"/>
        <w:rPr>
          <w:color w:val="000000" w:themeColor="text1"/>
          <w:sz w:val="16"/>
          <w:szCs w:val="16"/>
        </w:rPr>
      </w:pPr>
      <w:r w:rsidRPr="00925F26">
        <w:rPr>
          <w:color w:val="000000" w:themeColor="text1"/>
          <w:sz w:val="16"/>
          <w:szCs w:val="16"/>
        </w:rPr>
        <w:t>За время боёв с 13 по 29 марта немцы потеряли свыше 50.000 пленными и 80.000 убитыми, при этом войска фронта захватили следующие трофеи: самолётов --128, танков и самоходных орудий — 605, полевых орудий — свыше 3.500, миномётов—1.440, пулемётов—6.447, бронетранспортёров—586, радиостанций—247, автомашин — 35.060, тракторов и тягачей — 474, паровозов — 232, железнодорожных вагонов — 7.673, складов с боеприпасами, вооружением, продовольствием и другим военным имуществом — 313.</w:t>
      </w:r>
    </w:p>
    <w:p w14:paraId="69AC8309"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Белорусского фронта продолжали бои по очищению от противника восточной части города Гданьска (Данцига) и уничтожали группу войск немцев, прижатую к побережью Данцигской бухты севернее города Гдыня. В боях за 28 марта в этом районе войска фронта взяли в плен 18.500 немецких солдат и офицеров и захватили следующие трофеи: самолётов — 50, танков и самоходных орудий — 67, полевых орудий — 369.</w:t>
      </w:r>
    </w:p>
    <w:p w14:paraId="1A2BEDED"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Украинского фронта в результате стремительного наступления 29 марта овладели городами и важными узлами дорог — Сомбатель, Капувар и, заняв город Кесег, вышли на австрийскую границу, а также с боями заняли болев 100 других населённых пунктов, в том числе крупные населённые пункты Фарад, Михальи, Белед, Чаниг, Бюк, Надьгенч, Веп, Пецель, Икервар, Дьертья-Нош, Балтавар, Заласанто, Рези и железнодорожные станции Тоткерестур, Белед, Репчелак, Хедьфалу, Бюк. В боях за 28 и 29 марта войска фронта, по предварительным данным, взяли в плен более 18.000 солдат и офицеров противника и захватили следующие трофеи: самолётов — 115, танков и самоходных орудий — 71, голевых орудий — 102.</w:t>
      </w:r>
    </w:p>
    <w:p w14:paraId="22536807" w14:textId="77777777" w:rsidR="00525BF4" w:rsidRPr="00925F26" w:rsidRDefault="00525BF4"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74CAA098" w14:textId="77777777" w:rsidR="00525BF4" w:rsidRPr="00925F26" w:rsidRDefault="00525BF4" w:rsidP="00925F26">
      <w:pPr>
        <w:jc w:val="both"/>
        <w:rPr>
          <w:color w:val="000000" w:themeColor="text1"/>
          <w:sz w:val="16"/>
          <w:szCs w:val="16"/>
        </w:rPr>
      </w:pPr>
      <w:r w:rsidRPr="00925F26">
        <w:rPr>
          <w:color w:val="000000" w:themeColor="text1"/>
          <w:sz w:val="16"/>
          <w:szCs w:val="16"/>
        </w:rPr>
        <w:lastRenderedPageBreak/>
        <w:t>За 28 марта на всех фронтах подбито и уничтожено 98 немецких танков и самоходных орудий. В воздушных боях и огнём зенитной артиллерии сбито 23 самолёта противника.</w:t>
      </w:r>
    </w:p>
    <w:p w14:paraId="1C7FCF12" w14:textId="77777777" w:rsidR="00525BF4" w:rsidRPr="00925F26" w:rsidRDefault="00525BF4" w:rsidP="00925F26">
      <w:pPr>
        <w:jc w:val="both"/>
        <w:rPr>
          <w:color w:val="000000" w:themeColor="text1"/>
          <w:sz w:val="16"/>
          <w:szCs w:val="16"/>
        </w:rPr>
      </w:pPr>
      <w:r w:rsidRPr="00925F26">
        <w:rPr>
          <w:color w:val="000000" w:themeColor="text1"/>
          <w:sz w:val="16"/>
          <w:szCs w:val="16"/>
        </w:rPr>
        <w:t>Налёт нашей авиации на город Шопрон в Венгрии</w:t>
      </w:r>
    </w:p>
    <w:p w14:paraId="6E37B616" w14:textId="77777777" w:rsidR="00525BF4" w:rsidRPr="00925F26" w:rsidRDefault="00525BF4" w:rsidP="00925F26">
      <w:pPr>
        <w:jc w:val="both"/>
        <w:rPr>
          <w:color w:val="000000" w:themeColor="text1"/>
          <w:sz w:val="16"/>
          <w:szCs w:val="16"/>
        </w:rPr>
      </w:pPr>
      <w:r w:rsidRPr="00925F26">
        <w:rPr>
          <w:color w:val="000000" w:themeColor="text1"/>
          <w:sz w:val="16"/>
          <w:szCs w:val="16"/>
        </w:rPr>
        <w:t>В ночь на 29 марта наши тяжёлые бомбардировщики нанесли удар по железнодорожному узлу Шопрон в Венгрии. В результате бомбардировки на территории узла возникли пожары, сопровождавшиеся взрывами. К рассвету весь железнодорожный узел Шопрон был охвачен огнём: горели эшелоны и военные склады противника.</w:t>
      </w:r>
    </w:p>
    <w:p w14:paraId="6A514DF2"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Белорусского фронта сегодня завершили ликвидацию окружённой Восточно-Прусской группы немецких войск юго-западнее Кенигсберга. Противник, зажатый на мысе Кальхольцер-Хакен, прилагал отчаянные усилия, чтобы продержаться ещё несколько дней, рассчитывая за это время вывезти морем остатки своих разгромлённых соединений. Советские войска сорвали этот план немцев. Все оставшиеся в руках врага причалы подвергались непрерывным бомбардировкам авиации и артиллерийскому обстрелу. Тем временем наши танкисты и пехотинцы нанесли решающий удар по последнему оплоту немцев — прибрежному посёлку Бальга и окружающим его высотам. Немцы сосредоточили в этом районе отборные отряды эсэсовцев. Под прикрытием мощного артиллерийского огня советские подразделения двинулись в атаку и после ожесточённого боя овладели посёлком Бальга. Вслед за этим наши бойцы заняли укреплённые высоты. В бою за посёлок истреблено свыше 3 тысяч гитлеровцев, преимущественно эсэсовцев и штрафников. Захвачено 1.800 пленных, много танков, полевых орудий, пулемётов, автомашин, склады с боеприпасами и военным имуществом. Стремительно продвигаясь на север, наши войска заняли опорный пункт Кальхольц. Оборонявшие его отряды немецких офицеров были уничтожены. Вслед за падением Кальхольца организованное сопротивление врага прекратилось. Немцы стали толпами сдаваться в плен. Ликвидация крупной группы немецких войск юго-западнее Кенигсберга успешно завершена. По дорогам конвоируются тысячи взятых в плен немецких солдат и офицеров.</w:t>
      </w:r>
    </w:p>
    <w:p w14:paraId="4C2822BE"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успешные бои в городе Гданьске (Данциге). Немцы засели в дотах и укрепленных зданиях и оказывают упорное сопротивление. Советские штурмовые отряды, усиленные орудиями и танками, преодолевают завалы и баррикады на улицах и подавляют вражеские узлы сопротивления. Вся центральная часть города очищена от немецких войск. После ожесточённого боя наши войска форсировали реку Мёртвая Висла и овладели большей частью Гданьского порта. Наши части добивают последние вражеские группы в северо-западной части острова Холм и ведут успешные бои за овладение восточной частью города. Места боёв завалены трупами гитлеровцев. Деморализованные группы немецких солдат прекращают сопротивление и сдаются в плен.</w:t>
      </w:r>
    </w:p>
    <w:p w14:paraId="3AC9A718" w14:textId="77777777" w:rsidR="00525BF4" w:rsidRPr="00925F26" w:rsidRDefault="00525BF4" w:rsidP="00925F26">
      <w:pPr>
        <w:jc w:val="both"/>
        <w:rPr>
          <w:color w:val="000000" w:themeColor="text1"/>
          <w:sz w:val="16"/>
          <w:szCs w:val="16"/>
        </w:rPr>
      </w:pPr>
      <w:r w:rsidRPr="00925F26">
        <w:rPr>
          <w:color w:val="000000" w:themeColor="text1"/>
          <w:sz w:val="16"/>
          <w:szCs w:val="16"/>
        </w:rPr>
        <w:t>В боях за овладение городом Гдыня войска фронта разгромили пять пехотных, танковую, моторизованную эсэсовскую дивизии, две артиллерийские бригады, ряд отдельных батальонов и другие части и подразделения противника. Остатки разгромлённых немецких дивизий прижаты к Данцигскому заливу севернее Гдыни и уничтожаются нашими войсками. Вся территория, занимаемая немцами в этом районе, находится под обстрелом советской артиллерии.</w:t>
      </w:r>
    </w:p>
    <w:p w14:paraId="651C15EA"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3-го Украинского фронта, прорвав оборону противника на реке Раба, развивали стремительное наступление. Советские части продвинулись вперёд на 30 километров и штурмом овладели венгерским городом Кесег. Заняв этот город, наши войска вышли на австрийскую границу. Ожесточённые бои сегодня происходили за город Сомбатель. Немецкий гарнизон, усиленный отступающими частями, укрепился на восточных окраинах города и неоднократно переходил в контратаки. Советские танкисты, совершив обходный манёвр, нанесли противнику удар во фланг и ворвались в Сомбатель. В ожесточённом уличном бою вражеский гарнизон был разбит и в беспорядке отступил на запад. Наши войска захватили большие трофеи, в том числе бронепоезд, 28 паровозов и 360 вагонов с грузами.</w:t>
      </w:r>
    </w:p>
    <w:p w14:paraId="018195D1" w14:textId="77777777" w:rsidR="00525BF4" w:rsidRPr="00925F26" w:rsidRDefault="00525BF4" w:rsidP="00925F26">
      <w:pPr>
        <w:jc w:val="both"/>
        <w:rPr>
          <w:color w:val="000000" w:themeColor="text1"/>
          <w:sz w:val="16"/>
          <w:szCs w:val="16"/>
        </w:rPr>
      </w:pPr>
      <w:r w:rsidRPr="00925F26">
        <w:rPr>
          <w:color w:val="000000" w:themeColor="text1"/>
          <w:sz w:val="16"/>
          <w:szCs w:val="16"/>
        </w:rPr>
        <w:t>Войска 2-го Украинского фронта, овладевшие вчера городом Дьер, захватили у немцев 70 орудий, 210 пулемётов, 70 паровозов, свыше 2 тысяч вагонов с грузами и другие трофеи.</w:t>
      </w:r>
    </w:p>
    <w:p w14:paraId="635D244D" w14:textId="77777777" w:rsidR="00525BF4" w:rsidRPr="00925F26" w:rsidRDefault="00525BF4"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Балтийском море два немецких транспорта общим водоизмещением в 13 тысяч тонн. Кроме того, серьёзно повреждены два других судна противника.</w:t>
      </w:r>
    </w:p>
    <w:p w14:paraId="074692B7" w14:textId="77777777" w:rsidR="00525BF4" w:rsidRPr="00925F26" w:rsidRDefault="00525BF4" w:rsidP="00925F26">
      <w:pPr>
        <w:jc w:val="both"/>
        <w:rPr>
          <w:color w:val="000000" w:themeColor="text1"/>
          <w:sz w:val="16"/>
          <w:szCs w:val="16"/>
        </w:rPr>
      </w:pPr>
      <w:r w:rsidRPr="00925F26">
        <w:rPr>
          <w:color w:val="000000" w:themeColor="text1"/>
          <w:sz w:val="16"/>
          <w:szCs w:val="16"/>
        </w:rPr>
        <w:t>Наши торпедные катеры в районе Клайпеды (Мемеля) в ночном бою потопили два немецких катера.» (15083).</w:t>
      </w:r>
    </w:p>
    <w:p w14:paraId="39773545" w14:textId="77777777" w:rsidR="00525BF4" w:rsidRPr="00925F26" w:rsidRDefault="00525BF4" w:rsidP="00925F26">
      <w:pPr>
        <w:jc w:val="both"/>
        <w:rPr>
          <w:color w:val="000000" w:themeColor="text1"/>
          <w:sz w:val="16"/>
          <w:szCs w:val="16"/>
        </w:rPr>
      </w:pPr>
    </w:p>
    <w:p w14:paraId="2D437A2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марта 1945 Красная армия вступила в Австрию (</w:t>
      </w:r>
      <w:proofErr w:type="gramStart"/>
      <w:r w:rsidRPr="00925F26">
        <w:rPr>
          <w:color w:val="000000" w:themeColor="text1"/>
          <w:sz w:val="16"/>
          <w:szCs w:val="16"/>
        </w:rPr>
        <w:t>4963 )</w:t>
      </w:r>
      <w:proofErr w:type="gramEnd"/>
      <w:r w:rsidRPr="00925F26">
        <w:rPr>
          <w:color w:val="000000" w:themeColor="text1"/>
          <w:sz w:val="16"/>
          <w:szCs w:val="16"/>
        </w:rPr>
        <w:t>.</w:t>
      </w:r>
    </w:p>
    <w:p w14:paraId="10B1D4B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13AC4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3УФ (Ф.И.Толбухин) вступили на территорию Австрии (3398,129).</w:t>
      </w:r>
    </w:p>
    <w:p w14:paraId="167E2B70" w14:textId="77777777" w:rsidR="00665165" w:rsidRPr="00925F26" w:rsidRDefault="00665165" w:rsidP="00925F26">
      <w:pPr>
        <w:autoSpaceDE w:val="0"/>
        <w:autoSpaceDN w:val="0"/>
        <w:adjustRightInd w:val="0"/>
        <w:jc w:val="both"/>
        <w:rPr>
          <w:color w:val="000000" w:themeColor="text1"/>
          <w:sz w:val="16"/>
          <w:szCs w:val="16"/>
        </w:rPr>
      </w:pPr>
    </w:p>
    <w:p w14:paraId="01552F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года Приказом НКВД СССР №059 были введены в действие "Технические указания по специальному оборудованию лагерных зон в лагерях военнопленных" (8983).</w:t>
      </w:r>
    </w:p>
    <w:p w14:paraId="3C13887F" w14:textId="77777777" w:rsidR="00665165" w:rsidRPr="00925F26" w:rsidRDefault="00665165" w:rsidP="00925F26">
      <w:pPr>
        <w:autoSpaceDE w:val="0"/>
        <w:autoSpaceDN w:val="0"/>
        <w:adjustRightInd w:val="0"/>
        <w:jc w:val="both"/>
        <w:rPr>
          <w:color w:val="000000" w:themeColor="text1"/>
          <w:sz w:val="16"/>
          <w:szCs w:val="16"/>
        </w:rPr>
      </w:pPr>
    </w:p>
    <w:p w14:paraId="546838E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7946 О мерах по улучшению трудового использования и материально-бытового положения военнопленных. (7318, 140-142,143-148).</w:t>
      </w:r>
    </w:p>
    <w:p w14:paraId="3D5B767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DBB1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Распоряжение ГКО № 7948. О реэвакуации из Архангельской обл. Ленинградского военно-ветеринарного училища. РГАНИР, Фонд ГКО, д. 383, лл. 150 (11012).</w:t>
      </w:r>
    </w:p>
    <w:p w14:paraId="1F2DD887" w14:textId="77777777" w:rsidR="00665165" w:rsidRPr="00925F26" w:rsidRDefault="00665165" w:rsidP="00925F26">
      <w:pPr>
        <w:autoSpaceDE w:val="0"/>
        <w:autoSpaceDN w:val="0"/>
        <w:adjustRightInd w:val="0"/>
        <w:jc w:val="both"/>
        <w:rPr>
          <w:color w:val="000000" w:themeColor="text1"/>
          <w:sz w:val="16"/>
          <w:szCs w:val="16"/>
        </w:rPr>
      </w:pPr>
    </w:p>
    <w:p w14:paraId="3CD868C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5380A1C" w14:textId="77777777" w:rsidR="00665165" w:rsidRPr="00925F26" w:rsidRDefault="00665165" w:rsidP="00925F26">
      <w:pPr>
        <w:autoSpaceDE w:val="0"/>
        <w:autoSpaceDN w:val="0"/>
        <w:adjustRightInd w:val="0"/>
        <w:jc w:val="both"/>
        <w:rPr>
          <w:iCs/>
          <w:color w:val="000000" w:themeColor="text1"/>
          <w:sz w:val="16"/>
          <w:szCs w:val="16"/>
        </w:rPr>
      </w:pPr>
    </w:p>
    <w:p w14:paraId="61E8A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вышло Постановление ГКО № 7937 О завозе нефтепродуктов из Румынии во II квартале и апреле 1945 года. РГАНИР, Фонд ГКО, д. 383, лл. 83-84 (11012).</w:t>
      </w:r>
    </w:p>
    <w:p w14:paraId="350F8A48" w14:textId="77777777" w:rsidR="00665165" w:rsidRPr="00925F26" w:rsidRDefault="00665165" w:rsidP="00925F26">
      <w:pPr>
        <w:autoSpaceDE w:val="0"/>
        <w:autoSpaceDN w:val="0"/>
        <w:adjustRightInd w:val="0"/>
        <w:jc w:val="both"/>
        <w:rPr>
          <w:color w:val="000000" w:themeColor="text1"/>
          <w:sz w:val="16"/>
          <w:szCs w:val="16"/>
        </w:rPr>
      </w:pPr>
    </w:p>
    <w:p w14:paraId="3038C15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C5E6155" w14:textId="77777777" w:rsidR="00665165" w:rsidRPr="00925F26" w:rsidRDefault="00665165" w:rsidP="00925F26">
      <w:pPr>
        <w:autoSpaceDE w:val="0"/>
        <w:autoSpaceDN w:val="0"/>
        <w:adjustRightInd w:val="0"/>
        <w:jc w:val="both"/>
        <w:rPr>
          <w:iCs/>
          <w:color w:val="000000" w:themeColor="text1"/>
          <w:sz w:val="16"/>
          <w:szCs w:val="16"/>
        </w:rPr>
      </w:pPr>
    </w:p>
    <w:p w14:paraId="1BC89FDF" w14:textId="77777777" w:rsidR="00503A32" w:rsidRPr="00925F26" w:rsidRDefault="00503A32" w:rsidP="00925F26">
      <w:pPr>
        <w:jc w:val="both"/>
        <w:rPr>
          <w:color w:val="000000" w:themeColor="text1"/>
          <w:sz w:val="16"/>
          <w:szCs w:val="16"/>
        </w:rPr>
      </w:pPr>
      <w:r w:rsidRPr="00925F26">
        <w:rPr>
          <w:bCs/>
          <w:color w:val="000000" w:themeColor="text1"/>
          <w:sz w:val="16"/>
          <w:szCs w:val="16"/>
        </w:rPr>
        <w:t>29 марта</w:t>
      </w:r>
      <w:r w:rsidRPr="00925F26">
        <w:rPr>
          <w:color w:val="000000" w:themeColor="text1"/>
          <w:sz w:val="16"/>
          <w:szCs w:val="16"/>
        </w:rPr>
        <w:t xml:space="preserve"> в 1945 году части американской 3-й Бронетанковой дивизия захватили около Bromskirchen поезд с 9-ю БР "A-4"/SS-1/Scunner. Это первый случай захвата союзниками целых БР "А-4". Все ракеты были отправлены в Антверпен и далее в США. Чуть позднее 3-я Бронетанковая дивизия захватила завод, расположенный по соседству в Hatzfeld, на заводе тоже находились целые ракеты "А-4" и различные детали к ним (15083).</w:t>
      </w:r>
    </w:p>
    <w:p w14:paraId="7AA9E501" w14:textId="77777777" w:rsidR="00503A32" w:rsidRPr="00925F26" w:rsidRDefault="00503A32" w:rsidP="00925F26">
      <w:pPr>
        <w:jc w:val="both"/>
        <w:rPr>
          <w:color w:val="000000" w:themeColor="text1"/>
          <w:sz w:val="16"/>
          <w:szCs w:val="16"/>
        </w:rPr>
      </w:pPr>
    </w:p>
    <w:p w14:paraId="62C36400" w14:textId="77777777" w:rsidR="00503A32" w:rsidRPr="00925F26" w:rsidRDefault="00503A32" w:rsidP="00925F26">
      <w:pPr>
        <w:autoSpaceDE w:val="0"/>
        <w:autoSpaceDN w:val="0"/>
        <w:adjustRightInd w:val="0"/>
        <w:jc w:val="both"/>
        <w:rPr>
          <w:color w:val="000000" w:themeColor="text1"/>
          <w:sz w:val="16"/>
          <w:szCs w:val="16"/>
        </w:rPr>
      </w:pPr>
      <w:r w:rsidRPr="00925F26">
        <w:rPr>
          <w:color w:val="000000" w:themeColor="text1"/>
          <w:sz w:val="16"/>
          <w:szCs w:val="16"/>
        </w:rPr>
        <w:t>29 марта 1945 на Англию упал последний V-1. Из 125, запущенных из Голландии, Лондон достигли 13 (1227,22). Всего с июля 1944 на Англию выпустили 10492 и 2419 поразили Лондон и 1112 - другие города. 8696 и 3141 запустили по Антверпену и Льежу (1608,24).</w:t>
      </w:r>
    </w:p>
    <w:p w14:paraId="7CE051F3" w14:textId="77777777" w:rsidR="00503A32" w:rsidRPr="00925F26" w:rsidRDefault="00503A32" w:rsidP="00925F26">
      <w:pPr>
        <w:autoSpaceDE w:val="0"/>
        <w:autoSpaceDN w:val="0"/>
        <w:adjustRightInd w:val="0"/>
        <w:jc w:val="both"/>
        <w:rPr>
          <w:color w:val="000000" w:themeColor="text1"/>
          <w:sz w:val="16"/>
          <w:szCs w:val="16"/>
        </w:rPr>
      </w:pPr>
    </w:p>
    <w:p w14:paraId="44B4E471" w14:textId="77777777" w:rsidR="00503A32" w:rsidRPr="00925F26" w:rsidRDefault="00503A32" w:rsidP="00925F26">
      <w:pPr>
        <w:autoSpaceDE w:val="0"/>
        <w:autoSpaceDN w:val="0"/>
        <w:adjustRightInd w:val="0"/>
        <w:jc w:val="both"/>
        <w:rPr>
          <w:color w:val="000000" w:themeColor="text1"/>
          <w:sz w:val="16"/>
          <w:szCs w:val="16"/>
        </w:rPr>
      </w:pPr>
      <w:r w:rsidRPr="00925F26">
        <w:rPr>
          <w:color w:val="000000" w:themeColor="text1"/>
          <w:sz w:val="16"/>
          <w:szCs w:val="16"/>
        </w:rPr>
        <w:t>29 марта 1945 г. с 6 позиций в Западной Голландии по Англии с середины февраля было запущено 275 крылатых ракет V-1 повышенной дальности. Однако эти удары уже не могли остановить крах Третьего рейха. С потерей Венгрии, Австрии и Верхней Силезии в Германии производство угля составило всего 1/4, а производство стали всего 1/6 часть от уровня января 1944 г. Все это привело к такому напряжению германской промышленности, что из запланированных 60 тысяч ракет V1 было изготовлено всего около 20 тысяч (Орлов А.С. «Чудо-оружие»: обманутые надежды фюрера. Смоленск: Русич, 1999.).</w:t>
      </w:r>
    </w:p>
    <w:p w14:paraId="6AACA4FB" w14:textId="77777777" w:rsidR="00503A32" w:rsidRPr="00925F26" w:rsidRDefault="00503A32" w:rsidP="00925F26">
      <w:pPr>
        <w:autoSpaceDE w:val="0"/>
        <w:autoSpaceDN w:val="0"/>
        <w:adjustRightInd w:val="0"/>
        <w:jc w:val="both"/>
        <w:rPr>
          <w:color w:val="000000" w:themeColor="text1"/>
          <w:sz w:val="16"/>
          <w:szCs w:val="16"/>
          <w:lang w:val="en-US"/>
        </w:rPr>
      </w:pPr>
      <w:r w:rsidRPr="00925F26">
        <w:rPr>
          <w:color w:val="000000" w:themeColor="text1"/>
          <w:sz w:val="16"/>
          <w:szCs w:val="16"/>
        </w:rPr>
        <w:t xml:space="preserve">До конца войны, по немецким данным, было произведено 250 тысяч ракет V1, а по реальным целям выпущено около 20 880 крылатых ракет (Запольскис А.А. Реактивные самолеты люфтваффе. Минск: ХАРВЕСТ, 1999.) (не считая опытных, практических и демонстрационных пусков). Для остальных ракет не хватило топлива или пусковых установок, из-за развала транспортной системы многие из них просто не успели доставить к стартовым позициям. Всего, уже по английским данным, при ударах ракетами V1 погибло 6364 человека и более 18 тысяч было ранено, было разрушено 123 тысячи зданий. После окончания войны Великобритания официально признала, что ущерб, причиненный ей ракетами V1 и V2, исчисляется 47,6 млн английских фунтов стерлингов, тогда как все расходы Германии на ракетную программу составили примерно 25% от этой суммы (Запольскис А.А. Реактивные самолеты люфтваффе. Минск: ХАРВЕСТ, 1999.) </w:t>
      </w:r>
      <w:r w:rsidRPr="00925F26">
        <w:rPr>
          <w:color w:val="000000" w:themeColor="text1"/>
          <w:sz w:val="16"/>
          <w:szCs w:val="16"/>
          <w:lang w:val="en-US"/>
        </w:rPr>
        <w:t>(11686).</w:t>
      </w:r>
    </w:p>
    <w:p w14:paraId="7C421A88" w14:textId="77777777" w:rsidR="00503A32" w:rsidRPr="00925F26" w:rsidRDefault="00503A32" w:rsidP="00925F26">
      <w:pPr>
        <w:autoSpaceDE w:val="0"/>
        <w:autoSpaceDN w:val="0"/>
        <w:adjustRightInd w:val="0"/>
        <w:jc w:val="both"/>
        <w:rPr>
          <w:color w:val="000000" w:themeColor="text1"/>
          <w:sz w:val="16"/>
          <w:szCs w:val="16"/>
          <w:lang w:val="en-US"/>
        </w:rPr>
      </w:pPr>
    </w:p>
    <w:p w14:paraId="0F00BC16"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29th, 1945: The US Third Army (Patton) captures Frankfurt am Main. In Hungary, the Red Army seizes the oilfields south of Komorn, the last source of petroleum for the German war effort (3819).</w:t>
      </w:r>
    </w:p>
    <w:p w14:paraId="2A3C4207" w14:textId="77777777" w:rsidR="00665165" w:rsidRPr="00925F26" w:rsidRDefault="00665165" w:rsidP="00925F26">
      <w:pPr>
        <w:autoSpaceDE w:val="0"/>
        <w:autoSpaceDN w:val="0"/>
        <w:adjustRightInd w:val="0"/>
        <w:jc w:val="both"/>
        <w:rPr>
          <w:color w:val="000000" w:themeColor="text1"/>
          <w:sz w:val="16"/>
          <w:szCs w:val="16"/>
          <w:lang w:val="en-US"/>
        </w:rPr>
      </w:pPr>
    </w:p>
    <w:p w14:paraId="64BDDC8F" w14:textId="77777777" w:rsidR="00503A32" w:rsidRPr="00925F26" w:rsidRDefault="00503A32" w:rsidP="00925F26">
      <w:pPr>
        <w:jc w:val="both"/>
        <w:rPr>
          <w:color w:val="000000" w:themeColor="text1"/>
          <w:sz w:val="16"/>
          <w:szCs w:val="16"/>
        </w:rPr>
      </w:pPr>
      <w:r w:rsidRPr="00925F26">
        <w:rPr>
          <w:bCs/>
          <w:color w:val="000000" w:themeColor="text1"/>
          <w:sz w:val="16"/>
          <w:szCs w:val="16"/>
        </w:rPr>
        <w:t>29 марта</w:t>
      </w:r>
      <w:r w:rsidRPr="00925F26">
        <w:rPr>
          <w:color w:val="000000" w:themeColor="text1"/>
          <w:sz w:val="16"/>
          <w:szCs w:val="16"/>
        </w:rPr>
        <w:t xml:space="preserve"> в 1945 году американские войска заняли Франкфурт-на-Майне (15083).</w:t>
      </w:r>
    </w:p>
    <w:p w14:paraId="62C347DE" w14:textId="77777777" w:rsidR="00503A32" w:rsidRPr="00925F26" w:rsidRDefault="00503A32" w:rsidP="00925F26">
      <w:pPr>
        <w:jc w:val="both"/>
        <w:rPr>
          <w:color w:val="000000" w:themeColor="text1"/>
          <w:sz w:val="16"/>
          <w:szCs w:val="16"/>
        </w:rPr>
      </w:pPr>
    </w:p>
    <w:p w14:paraId="78A8FB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марта 1945 3А США (Паттон) заняла Франкфурт на Майне. КА захватила нефтепромыслы под Комарно, последний источник нефти для немецкой армии (3819).</w:t>
      </w:r>
    </w:p>
    <w:p w14:paraId="05C1332D" w14:textId="77777777" w:rsidR="00665165" w:rsidRPr="00925F26" w:rsidRDefault="00665165" w:rsidP="00925F26">
      <w:pPr>
        <w:autoSpaceDE w:val="0"/>
        <w:autoSpaceDN w:val="0"/>
        <w:adjustRightInd w:val="0"/>
        <w:jc w:val="both"/>
        <w:rPr>
          <w:color w:val="000000" w:themeColor="text1"/>
          <w:sz w:val="16"/>
          <w:szCs w:val="16"/>
        </w:rPr>
      </w:pPr>
    </w:p>
    <w:p w14:paraId="5FD504F6" w14:textId="77777777" w:rsidR="00503A32" w:rsidRPr="00925F26" w:rsidRDefault="00503A32" w:rsidP="00925F26">
      <w:pPr>
        <w:jc w:val="both"/>
        <w:rPr>
          <w:color w:val="000000" w:themeColor="text1"/>
          <w:sz w:val="16"/>
          <w:szCs w:val="16"/>
        </w:rPr>
      </w:pPr>
      <w:r w:rsidRPr="00925F26">
        <w:rPr>
          <w:bCs/>
          <w:color w:val="000000" w:themeColor="text1"/>
          <w:sz w:val="16"/>
          <w:szCs w:val="16"/>
        </w:rPr>
        <w:t>29 марта</w:t>
      </w:r>
      <w:r w:rsidRPr="00925F26">
        <w:rPr>
          <w:color w:val="000000" w:themeColor="text1"/>
          <w:sz w:val="16"/>
          <w:szCs w:val="16"/>
        </w:rPr>
        <w:t xml:space="preserve"> в 1945 году премьер-министр польского эмигрантского правительства в Лондоне С.Миколайчик потребовал немедленного вывода войск НКВД из Польши и проведения свободных выборов под контролем западных держав (15083).</w:t>
      </w:r>
    </w:p>
    <w:p w14:paraId="0A2C3361" w14:textId="77777777" w:rsidR="00503A32" w:rsidRPr="00925F26" w:rsidRDefault="00503A32" w:rsidP="00925F26">
      <w:pPr>
        <w:jc w:val="both"/>
        <w:rPr>
          <w:color w:val="000000" w:themeColor="text1"/>
          <w:sz w:val="16"/>
          <w:szCs w:val="16"/>
        </w:rPr>
      </w:pPr>
    </w:p>
    <w:p w14:paraId="5CBBB3D4" w14:textId="77777777" w:rsidR="00503A32" w:rsidRPr="00925F26" w:rsidRDefault="00503A32" w:rsidP="00925F26">
      <w:pPr>
        <w:jc w:val="both"/>
        <w:rPr>
          <w:color w:val="000000" w:themeColor="text1"/>
          <w:sz w:val="16"/>
          <w:szCs w:val="16"/>
        </w:rPr>
      </w:pPr>
      <w:r w:rsidRPr="00925F26">
        <w:rPr>
          <w:bCs/>
          <w:color w:val="000000" w:themeColor="text1"/>
          <w:sz w:val="16"/>
          <w:szCs w:val="16"/>
        </w:rPr>
        <w:t>29 марта</w:t>
      </w:r>
      <w:r w:rsidRPr="00925F26">
        <w:rPr>
          <w:color w:val="000000" w:themeColor="text1"/>
          <w:sz w:val="16"/>
          <w:szCs w:val="16"/>
        </w:rPr>
        <w:t xml:space="preserve"> в 1945 году военное командование США утвердило план разгрома Японии «Даунфол» (15083).</w:t>
      </w:r>
    </w:p>
    <w:p w14:paraId="27EEB092" w14:textId="77777777" w:rsidR="00503A32" w:rsidRPr="00925F26" w:rsidRDefault="00503A32" w:rsidP="00925F26">
      <w:pPr>
        <w:jc w:val="both"/>
        <w:rPr>
          <w:color w:val="000000" w:themeColor="text1"/>
          <w:sz w:val="16"/>
          <w:szCs w:val="16"/>
        </w:rPr>
      </w:pPr>
    </w:p>
    <w:p w14:paraId="0AF8A1B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Авиапромышленность:</w:t>
      </w:r>
    </w:p>
    <w:p w14:paraId="7F619B2F" w14:textId="77777777" w:rsidR="00665165" w:rsidRPr="00925F26" w:rsidRDefault="00665165" w:rsidP="00925F26">
      <w:pPr>
        <w:autoSpaceDE w:val="0"/>
        <w:autoSpaceDN w:val="0"/>
        <w:adjustRightInd w:val="0"/>
        <w:jc w:val="both"/>
        <w:rPr>
          <w:iCs/>
          <w:color w:val="000000" w:themeColor="text1"/>
          <w:sz w:val="16"/>
          <w:szCs w:val="16"/>
        </w:rPr>
      </w:pPr>
    </w:p>
    <w:p w14:paraId="5E8B5DDF" w14:textId="77777777" w:rsidR="00BA025E" w:rsidRPr="00925F26" w:rsidRDefault="00BA025E" w:rsidP="00925F26">
      <w:pPr>
        <w:pStyle w:val="ae"/>
        <w:spacing w:before="0" w:after="0"/>
        <w:jc w:val="both"/>
        <w:textAlignment w:val="top"/>
        <w:rPr>
          <w:color w:val="000000" w:themeColor="text1"/>
          <w:sz w:val="16"/>
          <w:szCs w:val="16"/>
        </w:rPr>
      </w:pPr>
      <w:r w:rsidRPr="00925F26">
        <w:rPr>
          <w:color w:val="000000" w:themeColor="text1"/>
          <w:sz w:val="16"/>
          <w:szCs w:val="16"/>
        </w:rPr>
        <w:t>30 марта 1945 г. Me 262A-1 № 110426в разобранном состоянии доставили в НИИ ВВС из г. Шнайдемюле. По характеру повреждений было видно, что истребитель совершил вынужденную посадку с убранным шасси и его пришлось восстанавливать на опытном заводе в Чкаловской. Нашим летчикам было известно, что неоднократно реактивные «мессеры» на большой скорости затягивало в пикирование и немецкие летчики разбивались вместе с машинами, поэтому кандидатуру для проведения испытаний подбирали особенно тщательно.</w:t>
      </w:r>
    </w:p>
    <w:p w14:paraId="239D2156" w14:textId="77777777" w:rsidR="00BA025E" w:rsidRPr="00925F26" w:rsidRDefault="00BA025E" w:rsidP="00925F26">
      <w:pPr>
        <w:pStyle w:val="ae"/>
        <w:spacing w:before="0" w:after="0"/>
        <w:jc w:val="both"/>
        <w:textAlignment w:val="top"/>
        <w:rPr>
          <w:color w:val="000000" w:themeColor="text1"/>
          <w:sz w:val="16"/>
          <w:szCs w:val="16"/>
        </w:rPr>
      </w:pPr>
      <w:r w:rsidRPr="00925F26">
        <w:rPr>
          <w:color w:val="000000" w:themeColor="text1"/>
          <w:sz w:val="16"/>
          <w:szCs w:val="16"/>
        </w:rPr>
        <w:t>Из 20 Me.262, обнаруженных на территории Германии советскими войсками, в СССР доставили четыре самолета в поврежденном виде. Три из них поступили на предприятия авиационной промышленности, а четвертый с заводским номером 110426 - в НИИ ВВС. В апреле 1946-го в МАПе один Me.262 находился в летном состоянии, другой - испытывался на прочность, а третий - передали на завод №481 в Сызрань для переделки в двухместный вариант.</w:t>
      </w:r>
    </w:p>
    <w:p w14:paraId="5E14943E" w14:textId="77777777" w:rsidR="00BA025E" w:rsidRPr="00925F26" w:rsidRDefault="00BA025E" w:rsidP="00925F26">
      <w:pPr>
        <w:pStyle w:val="ae"/>
        <w:spacing w:before="0" w:after="0"/>
        <w:jc w:val="both"/>
        <w:textAlignment w:val="top"/>
        <w:rPr>
          <w:color w:val="000000" w:themeColor="text1"/>
          <w:sz w:val="16"/>
          <w:szCs w:val="16"/>
        </w:rPr>
      </w:pPr>
      <w:r w:rsidRPr="00925F26">
        <w:rPr>
          <w:color w:val="000000" w:themeColor="text1"/>
          <w:sz w:val="16"/>
          <w:szCs w:val="16"/>
        </w:rPr>
        <w:t>После всестороннего обследования инженерами НИИ ВВС В.А. Березиным, В.А. Ивановым, Ю.З. Манышевым, С.Ш. Фрадковым и техником В.А. Федотовым под общим руководством И.Г. Рабкина самолет восстановили на Опытном заводе института. 15 августа 1946-го летчик-испытатель А.Г. Кочетков совершил на нем первый полет. Летали на "Мессершмитте" также П.М. Стефановский и Ф.Ф. Демида.</w:t>
      </w:r>
    </w:p>
    <w:p w14:paraId="5687EA9C" w14:textId="77777777" w:rsidR="00BA025E" w:rsidRPr="00925F26" w:rsidRDefault="00BA025E" w:rsidP="00925F26">
      <w:pPr>
        <w:pStyle w:val="ae"/>
        <w:spacing w:before="0" w:after="0"/>
        <w:jc w:val="both"/>
        <w:textAlignment w:val="top"/>
        <w:rPr>
          <w:color w:val="000000" w:themeColor="text1"/>
          <w:sz w:val="16"/>
          <w:szCs w:val="16"/>
        </w:rPr>
      </w:pPr>
      <w:r w:rsidRPr="00925F26">
        <w:rPr>
          <w:color w:val="000000" w:themeColor="text1"/>
          <w:sz w:val="16"/>
          <w:szCs w:val="16"/>
        </w:rPr>
        <w:t>В заключении акта по результатам летных испытаний отмечалось, в частности, что Ме.262 является доведенным реактивным самолетом и обладает большим преимуществом в максимальной горизонтальной скорости перед современными отечественными и иностранными истребителями с поршневыми двигателями. Имеет удовлетворительную скороподъемность и дальность. Плохие взлетные свойства самолета с газотурбинными двигателями требуют больших взлетных полос, длиной до 3 км или применения ускорителей взлета.</w:t>
      </w:r>
    </w:p>
    <w:p w14:paraId="37404594" w14:textId="77777777" w:rsidR="00BA025E" w:rsidRPr="00925F26" w:rsidRDefault="00BA025E" w:rsidP="00925F26">
      <w:pPr>
        <w:pStyle w:val="ae"/>
        <w:spacing w:before="0" w:after="0"/>
        <w:jc w:val="both"/>
        <w:textAlignment w:val="top"/>
        <w:rPr>
          <w:color w:val="000000" w:themeColor="text1"/>
          <w:sz w:val="16"/>
          <w:szCs w:val="16"/>
        </w:rPr>
      </w:pPr>
      <w:r w:rsidRPr="00925F26">
        <w:rPr>
          <w:color w:val="000000" w:themeColor="text1"/>
          <w:sz w:val="16"/>
          <w:szCs w:val="16"/>
        </w:rPr>
        <w:t>Самолет № 110426, после определения его характеристик, передали во 2-е управление НИИ ВВС для испытаний двигателя. 17 сентября 1946-го он потерпел катастрофу, унеся жизнь летчика-испытателя, командира отряда Ф.Ф.Демиды. В тот день на взлете отказал один из двигателей, и машина с правым креном врезалась в землю недалеко от деревни Кишкино (19689).</w:t>
      </w:r>
    </w:p>
    <w:p w14:paraId="37BA0F9D" w14:textId="77777777" w:rsidR="00BA025E" w:rsidRPr="00925F26" w:rsidRDefault="00BA025E" w:rsidP="00925F26">
      <w:pPr>
        <w:pStyle w:val="ae"/>
        <w:spacing w:before="0" w:after="0"/>
        <w:jc w:val="both"/>
        <w:textAlignment w:val="top"/>
        <w:rPr>
          <w:color w:val="000000" w:themeColor="text1"/>
          <w:sz w:val="16"/>
          <w:szCs w:val="16"/>
        </w:rPr>
      </w:pPr>
    </w:p>
    <w:p w14:paraId="77F5D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года А. Яковлев писал письмо N Н-27/1531 гл. инженеру ВВС генерал-полковнику ИАС Репину.</w:t>
      </w:r>
    </w:p>
    <w:p w14:paraId="2CBFAA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Сообщаю, что проектирование и строительство тяжелого десантного планера для перевозки танка, предусматриваемого планом-заявкой ВВС на 1945 год, наркоматом Авиапрома не может быть выполнено, вследствие загруженности завода N 468 работами по доводкам построенного планера конструкции Цыбина и работами по модификации этого планера в варианте мотопланера (1879).</w:t>
      </w:r>
    </w:p>
    <w:p w14:paraId="5004365F" w14:textId="77777777" w:rsidR="00665165" w:rsidRPr="00925F26" w:rsidRDefault="00665165" w:rsidP="00925F26">
      <w:pPr>
        <w:autoSpaceDE w:val="0"/>
        <w:autoSpaceDN w:val="0"/>
        <w:adjustRightInd w:val="0"/>
        <w:jc w:val="both"/>
        <w:rPr>
          <w:color w:val="000000" w:themeColor="text1"/>
          <w:sz w:val="16"/>
          <w:szCs w:val="16"/>
        </w:rPr>
      </w:pPr>
    </w:p>
    <w:p w14:paraId="766A14E7" w14:textId="77777777" w:rsidR="0074469E" w:rsidRPr="00925F26" w:rsidRDefault="0074469E" w:rsidP="00925F26">
      <w:pPr>
        <w:jc w:val="both"/>
        <w:rPr>
          <w:color w:val="000000" w:themeColor="text1"/>
          <w:sz w:val="16"/>
          <w:szCs w:val="16"/>
        </w:rPr>
      </w:pPr>
      <w:r w:rsidRPr="00925F26">
        <w:rPr>
          <w:rFonts w:eastAsia="Georgia"/>
          <w:color w:val="000000" w:themeColor="text1"/>
          <w:sz w:val="16"/>
          <w:szCs w:val="16"/>
        </w:rPr>
        <w:t>30 марта 1945 года в ГК НИИ ВВС в разобранном состоянии доставили из г. Шнайдемюле истребитель Messerschmitt Me 262А-2 № 110426, где он совершил вынужденную посадку. Затем этот самолет</w:t>
      </w:r>
      <w:r w:rsidRPr="00925F26">
        <w:rPr>
          <w:color w:val="000000" w:themeColor="text1"/>
          <w:sz w:val="16"/>
          <w:szCs w:val="16"/>
        </w:rPr>
        <w:t xml:space="preserve"> прошёл всесторонние испытания в ГК НИИ ВВС</w:t>
      </w:r>
      <w:r w:rsidRPr="00925F26">
        <w:rPr>
          <w:rFonts w:eastAsia="Georgia"/>
          <w:color w:val="000000" w:themeColor="text1"/>
          <w:sz w:val="16"/>
          <w:szCs w:val="16"/>
        </w:rPr>
        <w:t xml:space="preserve"> (23379).</w:t>
      </w:r>
    </w:p>
    <w:p w14:paraId="5EB0DD9F" w14:textId="77777777" w:rsidR="0074469E" w:rsidRPr="00925F26" w:rsidRDefault="0074469E" w:rsidP="00925F26">
      <w:pPr>
        <w:jc w:val="both"/>
        <w:rPr>
          <w:color w:val="000000" w:themeColor="text1"/>
          <w:sz w:val="16"/>
          <w:szCs w:val="16"/>
        </w:rPr>
      </w:pPr>
    </w:p>
    <w:p w14:paraId="4449E22A" w14:textId="77777777" w:rsidR="006773EC" w:rsidRPr="001A0BAA" w:rsidRDefault="006773EC" w:rsidP="006773EC">
      <w:pPr>
        <w:jc w:val="both"/>
        <w:rPr>
          <w:color w:val="0070C0"/>
          <w:sz w:val="16"/>
          <w:szCs w:val="16"/>
        </w:rPr>
      </w:pPr>
      <w:r w:rsidRPr="001A0BAA">
        <w:rPr>
          <w:color w:val="0070C0"/>
          <w:sz w:val="16"/>
          <w:szCs w:val="16"/>
        </w:rPr>
        <w:t>30 марта 1945 г. в НИИ ВВС из г. Шнайдемюле в разобранном состоянии доставили Me 262A-1 № 110426. По характеру повреждений было видно, что истребитель совершил вынужденную посадку с убранным шасси и его пришлось восстанавливать на опытном заводе в Чкаловской. Нашим летчикам было известно, что неоднократно реактивные «мессеры» на большой скорости затягивало в пикирование и немецкие летчики разбивались вместе с машинами, поэтому кандидатуру для проведения испытаний подбирали особенно тщательно.</w:t>
      </w:r>
    </w:p>
    <w:p w14:paraId="61763D12" w14:textId="77777777" w:rsidR="006773EC" w:rsidRPr="001A0BAA" w:rsidRDefault="006773EC" w:rsidP="006773EC">
      <w:pPr>
        <w:jc w:val="both"/>
        <w:rPr>
          <w:color w:val="0070C0"/>
          <w:sz w:val="16"/>
          <w:szCs w:val="16"/>
        </w:rPr>
      </w:pPr>
      <w:r w:rsidRPr="001A0BAA">
        <w:rPr>
          <w:color w:val="0070C0"/>
          <w:sz w:val="16"/>
          <w:szCs w:val="16"/>
        </w:rPr>
        <w:t>Из 20 Me.262, обнаруженных на территории Германии советскими войсками, в СССР доставили четыре самолета в поврежденном виде. Три из них поступили на предприятия авиационной промышленности, а четвертый с заводским номером 110426 — в НИИ ВВС. (25237).</w:t>
      </w:r>
    </w:p>
    <w:p w14:paraId="1011D740" w14:textId="77777777" w:rsidR="006773EC" w:rsidRPr="001A0BAA" w:rsidRDefault="006773EC" w:rsidP="006773EC">
      <w:pPr>
        <w:jc w:val="both"/>
        <w:rPr>
          <w:color w:val="0070C0"/>
          <w:sz w:val="16"/>
          <w:szCs w:val="16"/>
        </w:rPr>
      </w:pPr>
    </w:p>
    <w:p w14:paraId="4CA6ADD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марта 1945 г. прошел испытания первый отечественный ТРД С-18 (6395).</w:t>
      </w:r>
    </w:p>
    <w:p w14:paraId="31679D9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F169D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был испытан первый советский ТРД С-18 (2989).</w:t>
      </w:r>
    </w:p>
    <w:p w14:paraId="5193CFB7" w14:textId="77777777" w:rsidR="00665165" w:rsidRPr="00925F26" w:rsidRDefault="00665165" w:rsidP="00925F26">
      <w:pPr>
        <w:autoSpaceDE w:val="0"/>
        <w:autoSpaceDN w:val="0"/>
        <w:adjustRightInd w:val="0"/>
        <w:jc w:val="both"/>
        <w:rPr>
          <w:color w:val="000000" w:themeColor="text1"/>
          <w:sz w:val="16"/>
          <w:szCs w:val="16"/>
        </w:rPr>
      </w:pPr>
    </w:p>
    <w:p w14:paraId="2E949126" w14:textId="77777777" w:rsidR="00BA025E" w:rsidRPr="00925F26" w:rsidRDefault="00BA025E" w:rsidP="00925F26">
      <w:pPr>
        <w:shd w:val="clear" w:color="auto" w:fill="FFFFFF"/>
        <w:jc w:val="both"/>
        <w:rPr>
          <w:color w:val="000000" w:themeColor="text1"/>
          <w:sz w:val="16"/>
          <w:szCs w:val="16"/>
        </w:rPr>
      </w:pPr>
      <w:r w:rsidRPr="00925F26">
        <w:rPr>
          <w:color w:val="000000" w:themeColor="text1"/>
          <w:sz w:val="16"/>
          <w:szCs w:val="16"/>
        </w:rPr>
        <w:t>30 марта 1946 г. приказом министра авиацион</w:t>
      </w:r>
      <w:r w:rsidRPr="00925F26">
        <w:rPr>
          <w:color w:val="000000" w:themeColor="text1"/>
          <w:sz w:val="16"/>
          <w:szCs w:val="16"/>
        </w:rPr>
        <w:softHyphen/>
        <w:t>ной промышленности М.В. Хруничева на базе за</w:t>
      </w:r>
      <w:r w:rsidRPr="00925F26">
        <w:rPr>
          <w:color w:val="000000" w:themeColor="text1"/>
          <w:sz w:val="16"/>
          <w:szCs w:val="16"/>
        </w:rPr>
        <w:softHyphen/>
        <w:t>вода № 165 было образовано ОКБ-165 по разработ</w:t>
      </w:r>
      <w:r w:rsidRPr="00925F26">
        <w:rPr>
          <w:color w:val="000000" w:themeColor="text1"/>
          <w:sz w:val="16"/>
          <w:szCs w:val="16"/>
        </w:rPr>
        <w:softHyphen/>
        <w:t>ке и созданию отечественных турбореактивных двигателей, и Люльку назначили его руководите</w:t>
      </w:r>
      <w:r w:rsidRPr="00925F26">
        <w:rPr>
          <w:color w:val="000000" w:themeColor="text1"/>
          <w:sz w:val="16"/>
          <w:szCs w:val="16"/>
        </w:rPr>
        <w:softHyphen/>
        <w:t>лем. В ОКБ на базе С-18 создаётся лётный вари</w:t>
      </w:r>
      <w:r w:rsidRPr="00925F26">
        <w:rPr>
          <w:color w:val="000000" w:themeColor="text1"/>
          <w:sz w:val="16"/>
          <w:szCs w:val="16"/>
        </w:rPr>
        <w:softHyphen/>
        <w:t>ант двигателя - ТР-1. Изготовлением его основ</w:t>
      </w:r>
      <w:r w:rsidRPr="00925F26">
        <w:rPr>
          <w:color w:val="000000" w:themeColor="text1"/>
          <w:sz w:val="16"/>
          <w:szCs w:val="16"/>
        </w:rPr>
        <w:softHyphen/>
        <w:t>ных узлов, доводкой и испытанием, наряду с заво</w:t>
      </w:r>
      <w:r w:rsidRPr="00925F26">
        <w:rPr>
          <w:color w:val="000000" w:themeColor="text1"/>
          <w:sz w:val="16"/>
          <w:szCs w:val="16"/>
        </w:rPr>
        <w:softHyphen/>
        <w:t>дом № 165, занимался Московский моторный завод № 45 (ныне "Салют"). К работе над двига</w:t>
      </w:r>
      <w:r w:rsidRPr="00925F26">
        <w:rPr>
          <w:color w:val="000000" w:themeColor="text1"/>
          <w:sz w:val="16"/>
          <w:szCs w:val="16"/>
        </w:rPr>
        <w:softHyphen/>
        <w:t>телем ТР-1 были привлечены и другие заводы, конструкторские бюро и институты авиационной промышленности. 27 февраля 1947 г. первый оте</w:t>
      </w:r>
      <w:r w:rsidRPr="00925F26">
        <w:rPr>
          <w:color w:val="000000" w:themeColor="text1"/>
          <w:sz w:val="16"/>
          <w:szCs w:val="16"/>
        </w:rPr>
        <w:softHyphen/>
        <w:t>чественный турбореактивный двигатель ТР-1 прошёл государственные испытания на ресурс в 20 часов, достигнув тяги 1350 кгс. На имя Люльки пришла поздравительная правительственная те</w:t>
      </w:r>
      <w:r w:rsidRPr="00925F26">
        <w:rPr>
          <w:color w:val="000000" w:themeColor="text1"/>
          <w:sz w:val="16"/>
          <w:szCs w:val="16"/>
        </w:rPr>
        <w:softHyphen/>
        <w:t>леграмма от Сталина. Люлька был награждён ор</w:t>
      </w:r>
      <w:r w:rsidRPr="00925F26">
        <w:rPr>
          <w:color w:val="000000" w:themeColor="text1"/>
          <w:sz w:val="16"/>
          <w:szCs w:val="16"/>
        </w:rPr>
        <w:softHyphen/>
        <w:t>деном Ленина, а затем получил Государственную премию, большую группу его соратников награ</w:t>
      </w:r>
      <w:r w:rsidRPr="00925F26">
        <w:rPr>
          <w:color w:val="000000" w:themeColor="text1"/>
          <w:sz w:val="16"/>
          <w:szCs w:val="16"/>
        </w:rPr>
        <w:softHyphen/>
        <w:t>дили орденами и медалями. В том же 1947 г. состоялись первые полёты опытных истребителей Су-11, И-211 и бомбардировщика Ил-22 с двигателем ТР-1. Пилотировали машины Герои Советского Союза Г.М. Шиянов и В.К. Коккинаки (19701).</w:t>
      </w:r>
    </w:p>
    <w:p w14:paraId="14912757" w14:textId="77777777" w:rsidR="00BA025E" w:rsidRPr="00925F26" w:rsidRDefault="00BA025E" w:rsidP="00925F26">
      <w:pPr>
        <w:jc w:val="both"/>
        <w:rPr>
          <w:color w:val="000000" w:themeColor="text1"/>
          <w:sz w:val="16"/>
          <w:szCs w:val="16"/>
        </w:rPr>
      </w:pPr>
    </w:p>
    <w:p w14:paraId="1F9EE17D" w14:textId="77777777" w:rsidR="00503A32" w:rsidRPr="00925F26" w:rsidRDefault="00503A32" w:rsidP="00925F26">
      <w:pPr>
        <w:jc w:val="both"/>
        <w:rPr>
          <w:color w:val="000000" w:themeColor="text1"/>
          <w:sz w:val="16"/>
          <w:szCs w:val="16"/>
        </w:rPr>
      </w:pPr>
      <w:r w:rsidRPr="00925F26">
        <w:rPr>
          <w:color w:val="000000" w:themeColor="text1"/>
          <w:sz w:val="16"/>
          <w:szCs w:val="16"/>
        </w:rPr>
        <w:t>30 марта 1945 г. Из докладной записки директора завода № 16 М. М. Лукина секретарю ЦК ВКП (б) Г. М. Маленкову о работе завода № 16 в годы Великой Отечественной войны</w:t>
      </w:r>
    </w:p>
    <w:p w14:paraId="2D3D4AAF" w14:textId="77777777" w:rsidR="00503A32" w:rsidRPr="00925F26" w:rsidRDefault="00503A32" w:rsidP="00925F26">
      <w:pPr>
        <w:jc w:val="both"/>
        <w:rPr>
          <w:color w:val="000000" w:themeColor="text1"/>
          <w:sz w:val="16"/>
          <w:szCs w:val="16"/>
        </w:rPr>
      </w:pPr>
      <w:r w:rsidRPr="00925F26">
        <w:rPr>
          <w:color w:val="000000" w:themeColor="text1"/>
          <w:sz w:val="16"/>
          <w:szCs w:val="16"/>
        </w:rPr>
        <w:t>[…]</w:t>
      </w:r>
      <w:hyperlink r:id="rId82" w:anchor="_ftn1" w:history="1">
        <w:r w:rsidRPr="00925F26">
          <w:rPr>
            <w:color w:val="000000" w:themeColor="text1"/>
            <w:sz w:val="16"/>
            <w:szCs w:val="16"/>
          </w:rPr>
          <w:t>[1]</w:t>
        </w:r>
      </w:hyperlink>
      <w:r w:rsidRPr="00925F26">
        <w:rPr>
          <w:color w:val="000000" w:themeColor="text1"/>
          <w:sz w:val="16"/>
          <w:szCs w:val="16"/>
        </w:rPr>
        <w:t xml:space="preserve"> Коллектив инженеров и техников, практиков-мастеров и рабочих на деле доказал свою высокую техническую зрелость и в начале 1940 г. решением правительства завод был переведен на выпуск боевых моторов – ВК-105 (М-105).</w:t>
      </w:r>
    </w:p>
    <w:p w14:paraId="2366DFFC" w14:textId="77777777" w:rsidR="00503A32" w:rsidRPr="00925F26" w:rsidRDefault="00503A32" w:rsidP="00925F26">
      <w:pPr>
        <w:jc w:val="both"/>
        <w:rPr>
          <w:color w:val="000000" w:themeColor="text1"/>
          <w:sz w:val="16"/>
          <w:szCs w:val="16"/>
        </w:rPr>
      </w:pPr>
      <w:r w:rsidRPr="00925F26">
        <w:rPr>
          <w:color w:val="000000" w:themeColor="text1"/>
          <w:sz w:val="16"/>
          <w:szCs w:val="16"/>
        </w:rPr>
        <w:t>К моменту перехода завода на выпуск боевых моторов заводом было выпущено:</w:t>
      </w:r>
    </w:p>
    <w:p w14:paraId="3CAB9A2B" w14:textId="77777777" w:rsidR="00503A32" w:rsidRPr="00925F26" w:rsidRDefault="00503A32" w:rsidP="00925F26">
      <w:pPr>
        <w:jc w:val="both"/>
        <w:rPr>
          <w:color w:val="000000" w:themeColor="text1"/>
          <w:sz w:val="16"/>
          <w:szCs w:val="16"/>
        </w:rPr>
      </w:pPr>
      <w:r w:rsidRPr="00925F26">
        <w:rPr>
          <w:color w:val="000000" w:themeColor="text1"/>
          <w:sz w:val="16"/>
          <w:szCs w:val="16"/>
        </w:rPr>
        <w:t>моторов М-11 - 20651 шт.</w:t>
      </w:r>
    </w:p>
    <w:p w14:paraId="1E463260" w14:textId="77777777" w:rsidR="00503A32" w:rsidRPr="00925F26" w:rsidRDefault="00503A32" w:rsidP="00925F26">
      <w:pPr>
        <w:jc w:val="both"/>
        <w:rPr>
          <w:color w:val="000000" w:themeColor="text1"/>
          <w:sz w:val="16"/>
          <w:szCs w:val="16"/>
        </w:rPr>
      </w:pPr>
      <w:r w:rsidRPr="00925F26">
        <w:rPr>
          <w:color w:val="000000" w:themeColor="text1"/>
          <w:sz w:val="16"/>
          <w:szCs w:val="16"/>
        </w:rPr>
        <w:t>моторов МВ-4 - 85 шт.</w:t>
      </w:r>
    </w:p>
    <w:p w14:paraId="06073CAF" w14:textId="77777777" w:rsidR="00503A32" w:rsidRPr="00925F26" w:rsidRDefault="00503A32" w:rsidP="00925F26">
      <w:pPr>
        <w:jc w:val="both"/>
        <w:rPr>
          <w:color w:val="000000" w:themeColor="text1"/>
          <w:sz w:val="16"/>
          <w:szCs w:val="16"/>
        </w:rPr>
      </w:pPr>
      <w:r w:rsidRPr="00925F26">
        <w:rPr>
          <w:color w:val="000000" w:themeColor="text1"/>
          <w:sz w:val="16"/>
          <w:szCs w:val="16"/>
        </w:rPr>
        <w:t>моторов МВ-6 - 109 шт.</w:t>
      </w:r>
    </w:p>
    <w:p w14:paraId="5EAFB4B4" w14:textId="77777777" w:rsidR="00503A32" w:rsidRPr="00925F26" w:rsidRDefault="00503A32" w:rsidP="00925F26">
      <w:pPr>
        <w:jc w:val="both"/>
        <w:rPr>
          <w:color w:val="000000" w:themeColor="text1"/>
          <w:sz w:val="16"/>
          <w:szCs w:val="16"/>
        </w:rPr>
      </w:pPr>
      <w:r w:rsidRPr="00925F26">
        <w:rPr>
          <w:color w:val="000000" w:themeColor="text1"/>
          <w:sz w:val="16"/>
          <w:szCs w:val="16"/>
        </w:rPr>
        <w:t>Небольшой срок прошел со времени перехода завода № 16 на выпуск боевых моторов.</w:t>
      </w:r>
    </w:p>
    <w:p w14:paraId="15B440E6" w14:textId="77777777" w:rsidR="00503A32" w:rsidRPr="00925F26" w:rsidRDefault="00503A32" w:rsidP="00925F26">
      <w:pPr>
        <w:jc w:val="both"/>
        <w:rPr>
          <w:color w:val="000000" w:themeColor="text1"/>
          <w:sz w:val="16"/>
          <w:szCs w:val="16"/>
        </w:rPr>
      </w:pPr>
      <w:r w:rsidRPr="00925F26">
        <w:rPr>
          <w:color w:val="000000" w:themeColor="text1"/>
          <w:sz w:val="16"/>
          <w:szCs w:val="16"/>
        </w:rPr>
        <w:t>К своему десятилетию авиамоторный завод № 16 уже приходит с выпуском 15000 боевых моторов ВК-105.</w:t>
      </w:r>
    </w:p>
    <w:p w14:paraId="3F2A736C" w14:textId="77777777" w:rsidR="00503A32" w:rsidRPr="00925F26" w:rsidRDefault="00503A32" w:rsidP="00925F26">
      <w:pPr>
        <w:jc w:val="both"/>
        <w:rPr>
          <w:color w:val="000000" w:themeColor="text1"/>
          <w:sz w:val="16"/>
          <w:szCs w:val="16"/>
        </w:rPr>
      </w:pPr>
      <w:r w:rsidRPr="00925F26">
        <w:rPr>
          <w:color w:val="000000" w:themeColor="text1"/>
          <w:sz w:val="16"/>
          <w:szCs w:val="16"/>
        </w:rPr>
        <w:t>18 марта с. г. был снят с конвейера 15000-й боевой мотор.</w:t>
      </w:r>
    </w:p>
    <w:p w14:paraId="5A9AD518" w14:textId="77777777" w:rsidR="00503A32" w:rsidRPr="00925F26" w:rsidRDefault="00503A32" w:rsidP="00925F26">
      <w:pPr>
        <w:jc w:val="both"/>
        <w:rPr>
          <w:color w:val="000000" w:themeColor="text1"/>
          <w:sz w:val="16"/>
          <w:szCs w:val="16"/>
        </w:rPr>
      </w:pPr>
      <w:r w:rsidRPr="00925F26">
        <w:rPr>
          <w:color w:val="000000" w:themeColor="text1"/>
          <w:sz w:val="16"/>
          <w:szCs w:val="16"/>
        </w:rPr>
        <w:t>Небольшой срок также отделяет нас от даты 18-20 апреля 1945 г., когда с конвейера завода сойдет 15000-й мотор ВК-105, собранный заводом только за период Великой Отечественной войны.</w:t>
      </w:r>
    </w:p>
    <w:p w14:paraId="00EDD1EA" w14:textId="77777777" w:rsidR="00503A32" w:rsidRPr="00925F26" w:rsidRDefault="00503A32" w:rsidP="00925F26">
      <w:pPr>
        <w:jc w:val="both"/>
        <w:rPr>
          <w:color w:val="000000" w:themeColor="text1"/>
          <w:sz w:val="16"/>
          <w:szCs w:val="16"/>
        </w:rPr>
      </w:pPr>
      <w:r w:rsidRPr="00925F26">
        <w:rPr>
          <w:color w:val="000000" w:themeColor="text1"/>
          <w:sz w:val="16"/>
          <w:szCs w:val="16"/>
        </w:rPr>
        <w:t>И к третьей годовщине Всесоюзного социалистического соревнования, подводя некоторые итоги работы завода, считаем также возможным доложить Вам о некоторых успехах и достижениях коллектива завода за время Отечественной войны.</w:t>
      </w:r>
    </w:p>
    <w:p w14:paraId="3E9AA977" w14:textId="77777777" w:rsidR="00503A32" w:rsidRPr="00925F26" w:rsidRDefault="00503A32" w:rsidP="00925F26">
      <w:pPr>
        <w:jc w:val="both"/>
        <w:rPr>
          <w:color w:val="000000" w:themeColor="text1"/>
          <w:sz w:val="16"/>
          <w:szCs w:val="16"/>
        </w:rPr>
      </w:pPr>
      <w:r w:rsidRPr="00925F26">
        <w:rPr>
          <w:color w:val="000000" w:themeColor="text1"/>
          <w:sz w:val="16"/>
          <w:szCs w:val="16"/>
        </w:rPr>
        <w:t>Период работы завода по выпуску боевых моторов характеризуется непрерывным ростом как количественных, так и качественных показателей:</w:t>
      </w:r>
    </w:p>
    <w:p w14:paraId="4E64218F" w14:textId="77777777" w:rsidR="00503A32" w:rsidRPr="00925F26" w:rsidRDefault="00503A32" w:rsidP="00925F26">
      <w:pPr>
        <w:jc w:val="both"/>
        <w:rPr>
          <w:color w:val="000000" w:themeColor="text1"/>
          <w:sz w:val="16"/>
          <w:szCs w:val="16"/>
        </w:rPr>
      </w:pPr>
      <w:r w:rsidRPr="00925F26">
        <w:rPr>
          <w:color w:val="000000" w:themeColor="text1"/>
          <w:sz w:val="16"/>
          <w:szCs w:val="16"/>
        </w:rPr>
        <w:t>а) Выпуск моторов ВК-105 по годам (в штуках):</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5"/>
        <w:gridCol w:w="1515"/>
        <w:gridCol w:w="1515"/>
        <w:gridCol w:w="1515"/>
        <w:gridCol w:w="1515"/>
      </w:tblGrid>
      <w:tr w:rsidR="000F5689" w:rsidRPr="00925F26" w14:paraId="3F8F56E6" w14:textId="77777777" w:rsidTr="0053208B">
        <w:trPr>
          <w:tblCellSpacing w:w="0" w:type="dxa"/>
        </w:trPr>
        <w:tc>
          <w:tcPr>
            <w:tcW w:w="1515" w:type="dxa"/>
            <w:tcBorders>
              <w:top w:val="outset" w:sz="6" w:space="0" w:color="auto"/>
              <w:left w:val="outset" w:sz="6" w:space="0" w:color="auto"/>
              <w:bottom w:val="outset" w:sz="6" w:space="0" w:color="auto"/>
              <w:right w:val="outset" w:sz="6" w:space="0" w:color="auto"/>
            </w:tcBorders>
            <w:hideMark/>
          </w:tcPr>
          <w:p w14:paraId="72683C65" w14:textId="77777777" w:rsidR="00503A32" w:rsidRPr="00925F26" w:rsidRDefault="00503A32" w:rsidP="00925F26">
            <w:pPr>
              <w:jc w:val="both"/>
              <w:rPr>
                <w:color w:val="000000" w:themeColor="text1"/>
                <w:sz w:val="16"/>
                <w:szCs w:val="16"/>
              </w:rPr>
            </w:pPr>
            <w:r w:rsidRPr="00925F26">
              <w:rPr>
                <w:color w:val="000000" w:themeColor="text1"/>
                <w:sz w:val="16"/>
                <w:szCs w:val="16"/>
              </w:rPr>
              <w:t>1940 г.</w:t>
            </w:r>
          </w:p>
        </w:tc>
        <w:tc>
          <w:tcPr>
            <w:tcW w:w="1515" w:type="dxa"/>
            <w:tcBorders>
              <w:top w:val="outset" w:sz="6" w:space="0" w:color="auto"/>
              <w:left w:val="outset" w:sz="6" w:space="0" w:color="auto"/>
              <w:bottom w:val="outset" w:sz="6" w:space="0" w:color="auto"/>
              <w:right w:val="outset" w:sz="6" w:space="0" w:color="auto"/>
            </w:tcBorders>
            <w:hideMark/>
          </w:tcPr>
          <w:p w14:paraId="23E1D98B" w14:textId="77777777" w:rsidR="00503A32" w:rsidRPr="00925F26" w:rsidRDefault="00503A32" w:rsidP="00925F26">
            <w:pPr>
              <w:jc w:val="both"/>
              <w:rPr>
                <w:color w:val="000000" w:themeColor="text1"/>
                <w:sz w:val="16"/>
                <w:szCs w:val="16"/>
              </w:rPr>
            </w:pPr>
            <w:r w:rsidRPr="00925F26">
              <w:rPr>
                <w:color w:val="000000" w:themeColor="text1"/>
                <w:sz w:val="16"/>
                <w:szCs w:val="16"/>
              </w:rPr>
              <w:t>1941 г.</w:t>
            </w:r>
          </w:p>
        </w:tc>
        <w:tc>
          <w:tcPr>
            <w:tcW w:w="1515" w:type="dxa"/>
            <w:tcBorders>
              <w:top w:val="outset" w:sz="6" w:space="0" w:color="auto"/>
              <w:left w:val="outset" w:sz="6" w:space="0" w:color="auto"/>
              <w:bottom w:val="outset" w:sz="6" w:space="0" w:color="auto"/>
              <w:right w:val="outset" w:sz="6" w:space="0" w:color="auto"/>
            </w:tcBorders>
            <w:hideMark/>
          </w:tcPr>
          <w:p w14:paraId="2A635DDF" w14:textId="77777777" w:rsidR="00503A32" w:rsidRPr="00925F26" w:rsidRDefault="00503A32" w:rsidP="00925F26">
            <w:pPr>
              <w:jc w:val="both"/>
              <w:rPr>
                <w:color w:val="000000" w:themeColor="text1"/>
                <w:sz w:val="16"/>
                <w:szCs w:val="16"/>
              </w:rPr>
            </w:pPr>
            <w:r w:rsidRPr="00925F26">
              <w:rPr>
                <w:color w:val="000000" w:themeColor="text1"/>
                <w:sz w:val="16"/>
                <w:szCs w:val="16"/>
              </w:rPr>
              <w:t>1942 г.</w:t>
            </w:r>
          </w:p>
        </w:tc>
        <w:tc>
          <w:tcPr>
            <w:tcW w:w="1515" w:type="dxa"/>
            <w:tcBorders>
              <w:top w:val="outset" w:sz="6" w:space="0" w:color="auto"/>
              <w:left w:val="outset" w:sz="6" w:space="0" w:color="auto"/>
              <w:bottom w:val="outset" w:sz="6" w:space="0" w:color="auto"/>
              <w:right w:val="outset" w:sz="6" w:space="0" w:color="auto"/>
            </w:tcBorders>
            <w:hideMark/>
          </w:tcPr>
          <w:p w14:paraId="41150C94" w14:textId="77777777" w:rsidR="00503A32" w:rsidRPr="00925F26" w:rsidRDefault="00503A32" w:rsidP="00925F26">
            <w:pPr>
              <w:jc w:val="both"/>
              <w:rPr>
                <w:color w:val="000000" w:themeColor="text1"/>
                <w:sz w:val="16"/>
                <w:szCs w:val="16"/>
              </w:rPr>
            </w:pPr>
            <w:r w:rsidRPr="00925F26">
              <w:rPr>
                <w:color w:val="000000" w:themeColor="text1"/>
                <w:sz w:val="16"/>
                <w:szCs w:val="16"/>
              </w:rPr>
              <w:t>1943 г.</w:t>
            </w:r>
          </w:p>
        </w:tc>
        <w:tc>
          <w:tcPr>
            <w:tcW w:w="1515" w:type="dxa"/>
            <w:tcBorders>
              <w:top w:val="outset" w:sz="6" w:space="0" w:color="auto"/>
              <w:left w:val="outset" w:sz="6" w:space="0" w:color="auto"/>
              <w:bottom w:val="outset" w:sz="6" w:space="0" w:color="auto"/>
              <w:right w:val="outset" w:sz="6" w:space="0" w:color="auto"/>
            </w:tcBorders>
            <w:hideMark/>
          </w:tcPr>
          <w:p w14:paraId="5F905810" w14:textId="77777777" w:rsidR="00503A32" w:rsidRPr="00925F26" w:rsidRDefault="00503A32" w:rsidP="00925F26">
            <w:pPr>
              <w:jc w:val="both"/>
              <w:rPr>
                <w:color w:val="000000" w:themeColor="text1"/>
                <w:sz w:val="16"/>
                <w:szCs w:val="16"/>
              </w:rPr>
            </w:pPr>
            <w:r w:rsidRPr="00925F26">
              <w:rPr>
                <w:color w:val="000000" w:themeColor="text1"/>
                <w:sz w:val="16"/>
                <w:szCs w:val="16"/>
              </w:rPr>
              <w:t>1944 г.</w:t>
            </w:r>
          </w:p>
        </w:tc>
      </w:tr>
      <w:tr w:rsidR="000F5689" w:rsidRPr="00925F26" w14:paraId="3F2FC85E" w14:textId="77777777" w:rsidTr="0053208B">
        <w:trPr>
          <w:tblCellSpacing w:w="0" w:type="dxa"/>
        </w:trPr>
        <w:tc>
          <w:tcPr>
            <w:tcW w:w="1515" w:type="dxa"/>
            <w:tcBorders>
              <w:top w:val="outset" w:sz="6" w:space="0" w:color="auto"/>
              <w:left w:val="outset" w:sz="6" w:space="0" w:color="auto"/>
              <w:bottom w:val="outset" w:sz="6" w:space="0" w:color="auto"/>
              <w:right w:val="outset" w:sz="6" w:space="0" w:color="auto"/>
            </w:tcBorders>
            <w:hideMark/>
          </w:tcPr>
          <w:p w14:paraId="79057D68" w14:textId="77777777" w:rsidR="00503A32" w:rsidRPr="00925F26" w:rsidRDefault="00503A32" w:rsidP="00925F26">
            <w:pPr>
              <w:jc w:val="both"/>
              <w:rPr>
                <w:color w:val="000000" w:themeColor="text1"/>
                <w:sz w:val="16"/>
                <w:szCs w:val="16"/>
              </w:rPr>
            </w:pPr>
            <w:r w:rsidRPr="00925F26">
              <w:rPr>
                <w:color w:val="000000" w:themeColor="text1"/>
                <w:sz w:val="16"/>
                <w:szCs w:val="16"/>
              </w:rPr>
              <w:t>41</w:t>
            </w:r>
          </w:p>
        </w:tc>
        <w:tc>
          <w:tcPr>
            <w:tcW w:w="1515" w:type="dxa"/>
            <w:tcBorders>
              <w:top w:val="outset" w:sz="6" w:space="0" w:color="auto"/>
              <w:left w:val="outset" w:sz="6" w:space="0" w:color="auto"/>
              <w:bottom w:val="outset" w:sz="6" w:space="0" w:color="auto"/>
              <w:right w:val="outset" w:sz="6" w:space="0" w:color="auto"/>
            </w:tcBorders>
            <w:hideMark/>
          </w:tcPr>
          <w:p w14:paraId="62A90666" w14:textId="77777777" w:rsidR="00503A32" w:rsidRPr="00925F26" w:rsidRDefault="00503A32" w:rsidP="00925F26">
            <w:pPr>
              <w:jc w:val="both"/>
              <w:rPr>
                <w:color w:val="000000" w:themeColor="text1"/>
                <w:sz w:val="16"/>
                <w:szCs w:val="16"/>
              </w:rPr>
            </w:pPr>
            <w:r w:rsidRPr="00925F26">
              <w:rPr>
                <w:color w:val="000000" w:themeColor="text1"/>
                <w:sz w:val="16"/>
                <w:szCs w:val="16"/>
              </w:rPr>
              <w:t>1337</w:t>
            </w:r>
          </w:p>
        </w:tc>
        <w:tc>
          <w:tcPr>
            <w:tcW w:w="1515" w:type="dxa"/>
            <w:tcBorders>
              <w:top w:val="outset" w:sz="6" w:space="0" w:color="auto"/>
              <w:left w:val="outset" w:sz="6" w:space="0" w:color="auto"/>
              <w:bottom w:val="outset" w:sz="6" w:space="0" w:color="auto"/>
              <w:right w:val="outset" w:sz="6" w:space="0" w:color="auto"/>
            </w:tcBorders>
            <w:hideMark/>
          </w:tcPr>
          <w:p w14:paraId="09676E92" w14:textId="77777777" w:rsidR="00503A32" w:rsidRPr="00925F26" w:rsidRDefault="00503A32" w:rsidP="00925F26">
            <w:pPr>
              <w:jc w:val="both"/>
              <w:rPr>
                <w:color w:val="000000" w:themeColor="text1"/>
                <w:sz w:val="16"/>
                <w:szCs w:val="16"/>
              </w:rPr>
            </w:pPr>
            <w:r w:rsidRPr="00925F26">
              <w:rPr>
                <w:color w:val="000000" w:themeColor="text1"/>
                <w:sz w:val="16"/>
                <w:szCs w:val="16"/>
              </w:rPr>
              <w:t>2916</w:t>
            </w:r>
          </w:p>
        </w:tc>
        <w:tc>
          <w:tcPr>
            <w:tcW w:w="1515" w:type="dxa"/>
            <w:tcBorders>
              <w:top w:val="outset" w:sz="6" w:space="0" w:color="auto"/>
              <w:left w:val="outset" w:sz="6" w:space="0" w:color="auto"/>
              <w:bottom w:val="outset" w:sz="6" w:space="0" w:color="auto"/>
              <w:right w:val="outset" w:sz="6" w:space="0" w:color="auto"/>
            </w:tcBorders>
            <w:hideMark/>
          </w:tcPr>
          <w:p w14:paraId="60097FA6" w14:textId="77777777" w:rsidR="00503A32" w:rsidRPr="00925F26" w:rsidRDefault="00503A32" w:rsidP="00925F26">
            <w:pPr>
              <w:jc w:val="both"/>
              <w:rPr>
                <w:color w:val="000000" w:themeColor="text1"/>
                <w:sz w:val="16"/>
                <w:szCs w:val="16"/>
              </w:rPr>
            </w:pPr>
            <w:r w:rsidRPr="00925F26">
              <w:rPr>
                <w:color w:val="000000" w:themeColor="text1"/>
                <w:sz w:val="16"/>
                <w:szCs w:val="16"/>
              </w:rPr>
              <w:t>4421</w:t>
            </w:r>
          </w:p>
        </w:tc>
        <w:tc>
          <w:tcPr>
            <w:tcW w:w="1515" w:type="dxa"/>
            <w:tcBorders>
              <w:top w:val="outset" w:sz="6" w:space="0" w:color="auto"/>
              <w:left w:val="outset" w:sz="6" w:space="0" w:color="auto"/>
              <w:bottom w:val="outset" w:sz="6" w:space="0" w:color="auto"/>
              <w:right w:val="outset" w:sz="6" w:space="0" w:color="auto"/>
            </w:tcBorders>
            <w:hideMark/>
          </w:tcPr>
          <w:p w14:paraId="6772EE60" w14:textId="77777777" w:rsidR="00503A32" w:rsidRPr="00925F26" w:rsidRDefault="00503A32" w:rsidP="00925F26">
            <w:pPr>
              <w:jc w:val="both"/>
              <w:rPr>
                <w:color w:val="000000" w:themeColor="text1"/>
                <w:sz w:val="16"/>
                <w:szCs w:val="16"/>
              </w:rPr>
            </w:pPr>
            <w:r w:rsidRPr="00925F26">
              <w:rPr>
                <w:color w:val="000000" w:themeColor="text1"/>
                <w:sz w:val="16"/>
                <w:szCs w:val="16"/>
              </w:rPr>
              <w:t>4975</w:t>
            </w:r>
          </w:p>
        </w:tc>
      </w:tr>
    </w:tbl>
    <w:p w14:paraId="2726A2C7" w14:textId="77777777" w:rsidR="00503A32" w:rsidRPr="00925F26" w:rsidRDefault="00503A32" w:rsidP="00925F26">
      <w:pPr>
        <w:jc w:val="both"/>
        <w:rPr>
          <w:color w:val="000000" w:themeColor="text1"/>
          <w:sz w:val="16"/>
          <w:szCs w:val="16"/>
        </w:rPr>
      </w:pPr>
      <w:r w:rsidRPr="00925F26">
        <w:rPr>
          <w:color w:val="000000" w:themeColor="text1"/>
          <w:sz w:val="16"/>
          <w:szCs w:val="16"/>
        </w:rPr>
        <w:t>[…] В марте месяце с. г. завод достиг проектной мощности среднемесячного выпуска моторов ВК-105ПФ - 500 шт., дав Военно-Воздушным Силам страны 506 моторов.</w:t>
      </w:r>
    </w:p>
    <w:p w14:paraId="103F83F6" w14:textId="77777777" w:rsidR="00503A32" w:rsidRPr="00925F26" w:rsidRDefault="00503A32" w:rsidP="00925F26">
      <w:pPr>
        <w:jc w:val="both"/>
        <w:rPr>
          <w:color w:val="000000" w:themeColor="text1"/>
          <w:sz w:val="16"/>
          <w:szCs w:val="16"/>
        </w:rPr>
      </w:pPr>
      <w:r w:rsidRPr="00925F26">
        <w:rPr>
          <w:color w:val="000000" w:themeColor="text1"/>
          <w:sz w:val="16"/>
          <w:szCs w:val="16"/>
        </w:rPr>
        <w:t>Приведенные выше показатели далеко не характеризуют многих вопросов и мероприятий, проведенных заводом только лишь за военный период.</w:t>
      </w:r>
    </w:p>
    <w:p w14:paraId="6FB63BC5" w14:textId="77777777" w:rsidR="00503A32" w:rsidRPr="00925F26" w:rsidRDefault="00503A32" w:rsidP="00925F26">
      <w:pPr>
        <w:jc w:val="both"/>
        <w:rPr>
          <w:color w:val="000000" w:themeColor="text1"/>
          <w:sz w:val="16"/>
          <w:szCs w:val="16"/>
        </w:rPr>
      </w:pPr>
      <w:r w:rsidRPr="00925F26">
        <w:rPr>
          <w:color w:val="000000" w:themeColor="text1"/>
          <w:sz w:val="16"/>
          <w:szCs w:val="16"/>
        </w:rPr>
        <w:t>На протяжении всей работы завода коллективом, наряду с выпуском серийной продукции, оказывалась большая помощь заводам и организациям в создании новых образцов авиационной техники. […]</w:t>
      </w:r>
    </w:p>
    <w:p w14:paraId="3D1FF8BE" w14:textId="77777777" w:rsidR="00503A32" w:rsidRPr="00925F26" w:rsidRDefault="00503A32" w:rsidP="00925F26">
      <w:pPr>
        <w:jc w:val="both"/>
        <w:rPr>
          <w:color w:val="000000" w:themeColor="text1"/>
          <w:sz w:val="16"/>
          <w:szCs w:val="16"/>
        </w:rPr>
      </w:pPr>
      <w:r w:rsidRPr="00925F26">
        <w:rPr>
          <w:color w:val="000000" w:themeColor="text1"/>
          <w:sz w:val="16"/>
          <w:szCs w:val="16"/>
        </w:rPr>
        <w:t>Особенно в больших размерах развернулись эти работы в период Отечественной войны:</w:t>
      </w:r>
    </w:p>
    <w:p w14:paraId="0E965463" w14:textId="77777777" w:rsidR="00503A32" w:rsidRPr="00925F26" w:rsidRDefault="00503A32" w:rsidP="00925F26">
      <w:pPr>
        <w:jc w:val="both"/>
        <w:rPr>
          <w:color w:val="000000" w:themeColor="text1"/>
          <w:sz w:val="16"/>
          <w:szCs w:val="16"/>
        </w:rPr>
      </w:pPr>
      <w:r w:rsidRPr="00925F26">
        <w:rPr>
          <w:color w:val="000000" w:themeColor="text1"/>
          <w:sz w:val="16"/>
          <w:szCs w:val="16"/>
        </w:rPr>
        <w:t>1942-1943 гг. – активное участие коллектива завода в создании реактивных двигателей РД-1 и РД-3.</w:t>
      </w:r>
    </w:p>
    <w:p w14:paraId="383018C1" w14:textId="77777777" w:rsidR="00503A32" w:rsidRPr="00925F26" w:rsidRDefault="00503A32" w:rsidP="00925F26">
      <w:pPr>
        <w:jc w:val="both"/>
        <w:rPr>
          <w:color w:val="000000" w:themeColor="text1"/>
          <w:sz w:val="16"/>
          <w:szCs w:val="16"/>
        </w:rPr>
      </w:pPr>
      <w:r w:rsidRPr="00925F26">
        <w:rPr>
          <w:color w:val="000000" w:themeColor="text1"/>
          <w:sz w:val="16"/>
          <w:szCs w:val="16"/>
        </w:rPr>
        <w:t>1944 г. – выпуск в серийном производстве первой серии двигателей РД-1, проходящих в настоящее время летные испытания на самолетах: «Яковлев», «Лавочкин», «Сухой».</w:t>
      </w:r>
    </w:p>
    <w:p w14:paraId="28328632" w14:textId="77777777" w:rsidR="00503A32" w:rsidRPr="00925F26" w:rsidRDefault="00503A32" w:rsidP="00925F26">
      <w:pPr>
        <w:jc w:val="both"/>
        <w:rPr>
          <w:color w:val="000000" w:themeColor="text1"/>
          <w:sz w:val="16"/>
          <w:szCs w:val="16"/>
        </w:rPr>
      </w:pPr>
      <w:r w:rsidRPr="00925F26">
        <w:rPr>
          <w:color w:val="000000" w:themeColor="text1"/>
          <w:sz w:val="16"/>
          <w:szCs w:val="16"/>
        </w:rPr>
        <w:t>1944 г. – отработано и полностью внедрено в серию испытание моторов ВК-105ПФ с впрыском воды на низкооктановом топливе - бензине Б-70 вместо бензина Б-78, дающее колоссальную экономию дорогостоящего и высокооктанового топлива Б-78.</w:t>
      </w:r>
    </w:p>
    <w:p w14:paraId="3552FD16" w14:textId="77777777" w:rsidR="00503A32" w:rsidRPr="00925F26" w:rsidRDefault="00503A32" w:rsidP="00925F26">
      <w:pPr>
        <w:jc w:val="both"/>
        <w:rPr>
          <w:color w:val="000000" w:themeColor="text1"/>
          <w:sz w:val="16"/>
          <w:szCs w:val="16"/>
        </w:rPr>
      </w:pPr>
      <w:r w:rsidRPr="00925F26">
        <w:rPr>
          <w:color w:val="000000" w:themeColor="text1"/>
          <w:sz w:val="16"/>
          <w:szCs w:val="16"/>
        </w:rPr>
        <w:t>1944 г. – отработана и проверена многими длительными испытаниями новая конструкция верхнего уплотнения гильз блока, переданная заводу № 26 и осуществленная последним на моторе ВК-108, прошедшем государственные испытания с хорошей оценкой.</w:t>
      </w:r>
    </w:p>
    <w:p w14:paraId="4BC4156D" w14:textId="77777777" w:rsidR="00503A32" w:rsidRPr="00925F26" w:rsidRDefault="00503A32" w:rsidP="00925F26">
      <w:pPr>
        <w:jc w:val="both"/>
        <w:rPr>
          <w:color w:val="000000" w:themeColor="text1"/>
          <w:sz w:val="16"/>
          <w:szCs w:val="16"/>
        </w:rPr>
      </w:pPr>
      <w:r w:rsidRPr="00925F26">
        <w:rPr>
          <w:color w:val="000000" w:themeColor="text1"/>
          <w:sz w:val="16"/>
          <w:szCs w:val="16"/>
        </w:rPr>
        <w:t>1944-1945 гг. – оказана большая помощь ЦИАМу в изготовлении осевых компрессоров (изготовлено 8 комплектов) для воздушно-реактивного двигателя – ВРД.</w:t>
      </w:r>
    </w:p>
    <w:p w14:paraId="3C76C7AC" w14:textId="77777777" w:rsidR="00503A32" w:rsidRPr="00925F26" w:rsidRDefault="00503A32" w:rsidP="00925F26">
      <w:pPr>
        <w:jc w:val="both"/>
        <w:rPr>
          <w:color w:val="000000" w:themeColor="text1"/>
          <w:sz w:val="16"/>
          <w:szCs w:val="16"/>
        </w:rPr>
      </w:pPr>
      <w:r w:rsidRPr="00925F26">
        <w:rPr>
          <w:color w:val="000000" w:themeColor="text1"/>
          <w:sz w:val="16"/>
          <w:szCs w:val="16"/>
        </w:rPr>
        <w:t>1944 г. – изготовлены по решению ГОКО досрочно детали основного узла – редуктора мотора М-250 для ОКБ завода № 16.</w:t>
      </w:r>
    </w:p>
    <w:p w14:paraId="33D6D97E" w14:textId="77777777" w:rsidR="00503A32" w:rsidRPr="00925F26" w:rsidRDefault="00503A32" w:rsidP="00925F26">
      <w:pPr>
        <w:jc w:val="both"/>
        <w:rPr>
          <w:color w:val="000000" w:themeColor="text1"/>
          <w:sz w:val="16"/>
          <w:szCs w:val="16"/>
        </w:rPr>
      </w:pPr>
      <w:r w:rsidRPr="00925F26">
        <w:rPr>
          <w:color w:val="000000" w:themeColor="text1"/>
          <w:sz w:val="16"/>
          <w:szCs w:val="16"/>
        </w:rPr>
        <w:t>На протяжении 4 лет оказывается помощь НКСП в изготовлении реверс-муфт для военно-морских судов.</w:t>
      </w:r>
    </w:p>
    <w:p w14:paraId="54627F9A" w14:textId="77777777" w:rsidR="00503A32" w:rsidRPr="00925F26" w:rsidRDefault="00503A32" w:rsidP="00925F26">
      <w:pPr>
        <w:jc w:val="both"/>
        <w:rPr>
          <w:color w:val="000000" w:themeColor="text1"/>
          <w:sz w:val="16"/>
          <w:szCs w:val="16"/>
        </w:rPr>
      </w:pPr>
      <w:r w:rsidRPr="00925F26">
        <w:rPr>
          <w:color w:val="000000" w:themeColor="text1"/>
          <w:sz w:val="16"/>
          <w:szCs w:val="16"/>
        </w:rPr>
        <w:lastRenderedPageBreak/>
        <w:t>1944-1945 гг. – на серийном моторе ВК-105 ПФ закончены работы по повышению высотности мотора на 1800 м или на 70 %, при этом и мощность мотора возросла на 5 %.</w:t>
      </w:r>
    </w:p>
    <w:p w14:paraId="61C62610" w14:textId="77777777" w:rsidR="00503A32" w:rsidRPr="00925F26" w:rsidRDefault="00503A32" w:rsidP="00925F26">
      <w:pPr>
        <w:jc w:val="both"/>
        <w:rPr>
          <w:color w:val="000000" w:themeColor="text1"/>
          <w:sz w:val="16"/>
          <w:szCs w:val="16"/>
        </w:rPr>
      </w:pPr>
      <w:r w:rsidRPr="00925F26">
        <w:rPr>
          <w:color w:val="000000" w:themeColor="text1"/>
          <w:sz w:val="16"/>
          <w:szCs w:val="16"/>
        </w:rPr>
        <w:t>Моторы в настоящее время успешно проходят испытания на самолете Як-3 в ЛИИ НКАП и на самолете Пе-2 на заводе № 22.</w:t>
      </w:r>
    </w:p>
    <w:p w14:paraId="09AF1BF7" w14:textId="77777777" w:rsidR="00503A32" w:rsidRPr="00925F26" w:rsidRDefault="00503A32" w:rsidP="00925F26">
      <w:pPr>
        <w:jc w:val="both"/>
        <w:rPr>
          <w:color w:val="000000" w:themeColor="text1"/>
          <w:sz w:val="16"/>
          <w:szCs w:val="16"/>
        </w:rPr>
      </w:pPr>
      <w:r w:rsidRPr="00925F26">
        <w:rPr>
          <w:color w:val="000000" w:themeColor="text1"/>
          <w:sz w:val="16"/>
          <w:szCs w:val="16"/>
        </w:rPr>
        <w:t>Конструкторский отдел бензиновых двигателей на заводе совместно с серийным производством в настоящее время работает над созданием мощного в 3500 л. с. мотора МБ-103.</w:t>
      </w:r>
    </w:p>
    <w:p w14:paraId="1DD098A4" w14:textId="77777777" w:rsidR="00503A32" w:rsidRPr="00925F26" w:rsidRDefault="00503A32" w:rsidP="00925F26">
      <w:pPr>
        <w:jc w:val="both"/>
        <w:rPr>
          <w:color w:val="000000" w:themeColor="text1"/>
          <w:sz w:val="16"/>
          <w:szCs w:val="16"/>
        </w:rPr>
      </w:pPr>
      <w:r w:rsidRPr="00925F26">
        <w:rPr>
          <w:color w:val="000000" w:themeColor="text1"/>
          <w:sz w:val="16"/>
          <w:szCs w:val="16"/>
        </w:rPr>
        <w:t>Оказана большая помощь кинопромышленности изготовлением пуансонов и матриц для кинопленки, закупаемых ранее за границей, стоящих колоссальные суммы золотом. […]</w:t>
      </w:r>
    </w:p>
    <w:p w14:paraId="667C911C" w14:textId="77777777" w:rsidR="00503A32" w:rsidRPr="00925F26" w:rsidRDefault="00503A32" w:rsidP="00925F26">
      <w:pPr>
        <w:jc w:val="both"/>
        <w:rPr>
          <w:color w:val="000000" w:themeColor="text1"/>
          <w:sz w:val="16"/>
          <w:szCs w:val="16"/>
        </w:rPr>
      </w:pPr>
      <w:r w:rsidRPr="00925F26">
        <w:rPr>
          <w:color w:val="000000" w:themeColor="text1"/>
          <w:sz w:val="16"/>
          <w:szCs w:val="16"/>
        </w:rPr>
        <w:t>Директор завода № 16 М. Лукин</w:t>
      </w:r>
    </w:p>
    <w:p w14:paraId="53D7CE97" w14:textId="77777777" w:rsidR="00503A32" w:rsidRPr="00925F26" w:rsidRDefault="00503A32" w:rsidP="00925F26">
      <w:pPr>
        <w:jc w:val="both"/>
        <w:rPr>
          <w:color w:val="000000" w:themeColor="text1"/>
          <w:sz w:val="16"/>
          <w:szCs w:val="16"/>
        </w:rPr>
      </w:pPr>
      <w:r w:rsidRPr="00925F26">
        <w:rPr>
          <w:color w:val="000000" w:themeColor="text1"/>
          <w:sz w:val="16"/>
          <w:szCs w:val="16"/>
        </w:rPr>
        <w:t>НА РТ. Ф. Р-5940. Оп. 1. Д. 181. Л. 10, 12, 13, 20. Отпуск (15494).</w:t>
      </w:r>
    </w:p>
    <w:p w14:paraId="191D5485" w14:textId="77777777" w:rsidR="00503A32" w:rsidRPr="00925F26" w:rsidRDefault="00503A32" w:rsidP="00925F26">
      <w:pPr>
        <w:jc w:val="both"/>
        <w:rPr>
          <w:color w:val="000000" w:themeColor="text1"/>
          <w:sz w:val="16"/>
          <w:szCs w:val="16"/>
        </w:rPr>
      </w:pPr>
    </w:p>
    <w:p w14:paraId="2D0AB298" w14:textId="77777777" w:rsidR="0074469E" w:rsidRPr="00925F26" w:rsidRDefault="0074469E" w:rsidP="00925F26">
      <w:pPr>
        <w:jc w:val="both"/>
        <w:rPr>
          <w:color w:val="000000" w:themeColor="text1"/>
          <w:sz w:val="16"/>
          <w:szCs w:val="16"/>
        </w:rPr>
      </w:pPr>
      <w:r w:rsidRPr="00925F26">
        <w:rPr>
          <w:color w:val="000000" w:themeColor="text1"/>
          <w:sz w:val="16"/>
          <w:szCs w:val="16"/>
        </w:rPr>
        <w:t>30 марта 1945 г. Из докладной записки директора завода № 16 М. М. Лукина секретарю ЦК ВКП (б)Г. М. Маленкову о работе завода № 16 в годы Великой Отечественной войны</w:t>
      </w:r>
    </w:p>
    <w:p w14:paraId="0E7231CF" w14:textId="77777777" w:rsidR="0074469E" w:rsidRPr="00925F26" w:rsidRDefault="0074469E" w:rsidP="00925F26">
      <w:pPr>
        <w:jc w:val="both"/>
        <w:rPr>
          <w:color w:val="000000" w:themeColor="text1"/>
          <w:sz w:val="16"/>
          <w:szCs w:val="16"/>
        </w:rPr>
      </w:pPr>
      <w:r w:rsidRPr="00925F26">
        <w:rPr>
          <w:color w:val="000000" w:themeColor="text1"/>
          <w:sz w:val="16"/>
          <w:szCs w:val="16"/>
        </w:rPr>
        <w:t>[—] Коллектив инженеров и техников, практиков-мастеров и рабочих на деле доказал свою высокую техническую зрелость и в начале 1940 г. решением правительства завод был переведен на выпуск боевых моторов — ВК-105 (М-105).</w:t>
      </w:r>
    </w:p>
    <w:p w14:paraId="4DED9BB4" w14:textId="77777777" w:rsidR="0074469E" w:rsidRPr="00925F26" w:rsidRDefault="0074469E" w:rsidP="00925F26">
      <w:pPr>
        <w:jc w:val="both"/>
        <w:rPr>
          <w:color w:val="000000" w:themeColor="text1"/>
          <w:sz w:val="16"/>
          <w:szCs w:val="16"/>
        </w:rPr>
      </w:pPr>
      <w:r w:rsidRPr="00925F26">
        <w:rPr>
          <w:color w:val="000000" w:themeColor="text1"/>
          <w:sz w:val="16"/>
          <w:szCs w:val="16"/>
        </w:rPr>
        <w:t>К моменту перехода завода на выпуск боевых моторов заводом было выпущено:</w:t>
      </w:r>
    </w:p>
    <w:p w14:paraId="2F7B2980" w14:textId="77777777" w:rsidR="0074469E" w:rsidRPr="00925F26" w:rsidRDefault="0074469E" w:rsidP="00925F26">
      <w:pPr>
        <w:jc w:val="both"/>
        <w:rPr>
          <w:color w:val="000000" w:themeColor="text1"/>
          <w:sz w:val="16"/>
          <w:szCs w:val="16"/>
        </w:rPr>
      </w:pPr>
      <w:r w:rsidRPr="00925F26">
        <w:rPr>
          <w:color w:val="000000" w:themeColor="text1"/>
          <w:sz w:val="16"/>
          <w:szCs w:val="16"/>
        </w:rPr>
        <w:t>моторов М-11 - 20651 шт.</w:t>
      </w:r>
    </w:p>
    <w:p w14:paraId="22F3D690" w14:textId="77777777" w:rsidR="0074469E" w:rsidRPr="00925F26" w:rsidRDefault="0074469E" w:rsidP="00925F26">
      <w:pPr>
        <w:jc w:val="both"/>
        <w:rPr>
          <w:color w:val="000000" w:themeColor="text1"/>
          <w:sz w:val="16"/>
          <w:szCs w:val="16"/>
        </w:rPr>
      </w:pPr>
      <w:r w:rsidRPr="00925F26">
        <w:rPr>
          <w:color w:val="000000" w:themeColor="text1"/>
          <w:sz w:val="16"/>
          <w:szCs w:val="16"/>
        </w:rPr>
        <w:t>моторов МВ-4 - 85 шт.</w:t>
      </w:r>
    </w:p>
    <w:p w14:paraId="7F7B1B97" w14:textId="77777777" w:rsidR="0074469E" w:rsidRPr="00925F26" w:rsidRDefault="0074469E" w:rsidP="00925F26">
      <w:pPr>
        <w:jc w:val="both"/>
        <w:rPr>
          <w:color w:val="000000" w:themeColor="text1"/>
          <w:sz w:val="16"/>
          <w:szCs w:val="16"/>
        </w:rPr>
      </w:pPr>
      <w:r w:rsidRPr="00925F26">
        <w:rPr>
          <w:color w:val="000000" w:themeColor="text1"/>
          <w:sz w:val="16"/>
          <w:szCs w:val="16"/>
        </w:rPr>
        <w:t>моторов МВ-6 - 109 шт.</w:t>
      </w:r>
    </w:p>
    <w:p w14:paraId="30DE626C" w14:textId="77777777" w:rsidR="0074469E" w:rsidRPr="00925F26" w:rsidRDefault="0074469E" w:rsidP="00925F26">
      <w:pPr>
        <w:jc w:val="both"/>
        <w:rPr>
          <w:color w:val="000000" w:themeColor="text1"/>
          <w:sz w:val="16"/>
          <w:szCs w:val="16"/>
        </w:rPr>
      </w:pPr>
      <w:r w:rsidRPr="00925F26">
        <w:rPr>
          <w:color w:val="000000" w:themeColor="text1"/>
          <w:sz w:val="16"/>
          <w:szCs w:val="16"/>
        </w:rPr>
        <w:t>Небольшой срок прошел со времени перехода завода № 16 на выпуск боевых моторов.</w:t>
      </w:r>
    </w:p>
    <w:p w14:paraId="5E7298BB" w14:textId="77777777" w:rsidR="0074469E" w:rsidRPr="00925F26" w:rsidRDefault="0074469E" w:rsidP="00925F26">
      <w:pPr>
        <w:jc w:val="both"/>
        <w:rPr>
          <w:color w:val="000000" w:themeColor="text1"/>
          <w:sz w:val="16"/>
          <w:szCs w:val="16"/>
        </w:rPr>
      </w:pPr>
      <w:r w:rsidRPr="00925F26">
        <w:rPr>
          <w:color w:val="000000" w:themeColor="text1"/>
          <w:sz w:val="16"/>
          <w:szCs w:val="16"/>
        </w:rPr>
        <w:t>К своему десятилетию авиамоторный завод № 16 уже приходит с выпуском 15000 боевых моторов ВК-105.</w:t>
      </w:r>
    </w:p>
    <w:p w14:paraId="6D5A336B" w14:textId="77777777" w:rsidR="0074469E" w:rsidRPr="00925F26" w:rsidRDefault="0074469E" w:rsidP="00925F26">
      <w:pPr>
        <w:jc w:val="both"/>
        <w:rPr>
          <w:color w:val="000000" w:themeColor="text1"/>
          <w:sz w:val="16"/>
          <w:szCs w:val="16"/>
        </w:rPr>
      </w:pPr>
      <w:r w:rsidRPr="00925F26">
        <w:rPr>
          <w:color w:val="000000" w:themeColor="text1"/>
          <w:sz w:val="16"/>
          <w:szCs w:val="16"/>
        </w:rPr>
        <w:t>18 марта с. г. был снят с конвейера 15000-й боевой мотор.</w:t>
      </w:r>
    </w:p>
    <w:p w14:paraId="387388E2" w14:textId="77777777" w:rsidR="0074469E" w:rsidRPr="00925F26" w:rsidRDefault="0074469E" w:rsidP="00925F26">
      <w:pPr>
        <w:jc w:val="both"/>
        <w:rPr>
          <w:color w:val="000000" w:themeColor="text1"/>
          <w:sz w:val="16"/>
          <w:szCs w:val="16"/>
        </w:rPr>
      </w:pPr>
      <w:r w:rsidRPr="00925F26">
        <w:rPr>
          <w:color w:val="000000" w:themeColor="text1"/>
          <w:sz w:val="16"/>
          <w:szCs w:val="16"/>
        </w:rPr>
        <w:t>Небольшой срок также отделяет нас от даты 18-20 апреля 1945 г., когда с конвейера завода сойдет 15000-й мотор ВК-105, собранный заводом только за период Великой Отечественной войны.</w:t>
      </w:r>
    </w:p>
    <w:p w14:paraId="43570711" w14:textId="77777777" w:rsidR="0074469E" w:rsidRPr="00925F26" w:rsidRDefault="0074469E" w:rsidP="00925F26">
      <w:pPr>
        <w:jc w:val="both"/>
        <w:rPr>
          <w:color w:val="000000" w:themeColor="text1"/>
          <w:sz w:val="16"/>
          <w:szCs w:val="16"/>
        </w:rPr>
      </w:pPr>
      <w:r w:rsidRPr="00925F26">
        <w:rPr>
          <w:color w:val="000000" w:themeColor="text1"/>
          <w:sz w:val="16"/>
          <w:szCs w:val="16"/>
        </w:rPr>
        <w:t>И к третьей годовщине Всесоюзного социалистического соревнования, подводя некоторые итоги работы завода, считаем также возможным доложить Вам о некоторых успехах и достижениях коллектива завода за время Отечественной войны.</w:t>
      </w:r>
    </w:p>
    <w:p w14:paraId="7CB6DD28" w14:textId="77777777" w:rsidR="0074469E" w:rsidRPr="00925F26" w:rsidRDefault="0074469E" w:rsidP="00925F26">
      <w:pPr>
        <w:jc w:val="both"/>
        <w:rPr>
          <w:color w:val="000000" w:themeColor="text1"/>
          <w:sz w:val="16"/>
          <w:szCs w:val="16"/>
        </w:rPr>
      </w:pPr>
      <w:r w:rsidRPr="00925F26">
        <w:rPr>
          <w:color w:val="000000" w:themeColor="text1"/>
          <w:sz w:val="16"/>
          <w:szCs w:val="16"/>
        </w:rPr>
        <w:t>Период работы завода по выпуску боевых моторов характеризуется непрерывным ростом как количественных, так и качественных показателей:</w:t>
      </w:r>
    </w:p>
    <w:p w14:paraId="0E4F3A66" w14:textId="77777777" w:rsidR="0074469E" w:rsidRPr="00925F26" w:rsidRDefault="0074469E" w:rsidP="00925F26">
      <w:pPr>
        <w:jc w:val="both"/>
        <w:rPr>
          <w:color w:val="000000" w:themeColor="text1"/>
          <w:sz w:val="16"/>
          <w:szCs w:val="16"/>
        </w:rPr>
      </w:pPr>
      <w:r w:rsidRPr="00925F26">
        <w:rPr>
          <w:color w:val="000000" w:themeColor="text1"/>
          <w:sz w:val="16"/>
          <w:szCs w:val="16"/>
        </w:rPr>
        <w:t>а) Выпуск моторов ВК-105 по годам (в штуках):</w:t>
      </w:r>
    </w:p>
    <w:p w14:paraId="10802011" w14:textId="77777777" w:rsidR="0074469E" w:rsidRPr="00925F26" w:rsidRDefault="0074469E" w:rsidP="00925F26">
      <w:pPr>
        <w:jc w:val="both"/>
        <w:rPr>
          <w:color w:val="000000" w:themeColor="text1"/>
          <w:sz w:val="16"/>
          <w:szCs w:val="16"/>
        </w:rPr>
      </w:pPr>
      <w:r w:rsidRPr="00925F26">
        <w:rPr>
          <w:color w:val="000000" w:themeColor="text1"/>
          <w:sz w:val="16"/>
          <w:szCs w:val="16"/>
        </w:rPr>
        <w:t>1940 г.</w:t>
      </w:r>
      <w:r w:rsidRPr="00925F26">
        <w:rPr>
          <w:color w:val="000000" w:themeColor="text1"/>
          <w:sz w:val="16"/>
          <w:szCs w:val="16"/>
        </w:rPr>
        <w:tab/>
        <w:t>41</w:t>
      </w:r>
    </w:p>
    <w:p w14:paraId="1E5AEAD1" w14:textId="77777777" w:rsidR="0074469E" w:rsidRPr="00925F26" w:rsidRDefault="0074469E" w:rsidP="00925F26">
      <w:pPr>
        <w:jc w:val="both"/>
        <w:rPr>
          <w:color w:val="000000" w:themeColor="text1"/>
          <w:sz w:val="16"/>
          <w:szCs w:val="16"/>
        </w:rPr>
      </w:pPr>
      <w:r w:rsidRPr="00925F26">
        <w:rPr>
          <w:color w:val="000000" w:themeColor="text1"/>
          <w:sz w:val="16"/>
          <w:szCs w:val="16"/>
        </w:rPr>
        <w:t>1941 г.</w:t>
      </w:r>
      <w:r w:rsidRPr="00925F26">
        <w:rPr>
          <w:color w:val="000000" w:themeColor="text1"/>
          <w:sz w:val="16"/>
          <w:szCs w:val="16"/>
        </w:rPr>
        <w:tab/>
        <w:t>1337</w:t>
      </w:r>
    </w:p>
    <w:p w14:paraId="20EF2813" w14:textId="77777777" w:rsidR="0074469E" w:rsidRPr="00925F26" w:rsidRDefault="0074469E" w:rsidP="00925F26">
      <w:pPr>
        <w:jc w:val="both"/>
        <w:rPr>
          <w:color w:val="000000" w:themeColor="text1"/>
          <w:sz w:val="16"/>
          <w:szCs w:val="16"/>
        </w:rPr>
      </w:pPr>
      <w:r w:rsidRPr="00925F26">
        <w:rPr>
          <w:color w:val="000000" w:themeColor="text1"/>
          <w:sz w:val="16"/>
          <w:szCs w:val="16"/>
        </w:rPr>
        <w:t>1942 г.</w:t>
      </w:r>
      <w:r w:rsidRPr="00925F26">
        <w:rPr>
          <w:color w:val="000000" w:themeColor="text1"/>
          <w:sz w:val="16"/>
          <w:szCs w:val="16"/>
        </w:rPr>
        <w:tab/>
        <w:t>2916</w:t>
      </w:r>
    </w:p>
    <w:p w14:paraId="11E113B5" w14:textId="77777777" w:rsidR="0074469E" w:rsidRPr="00925F26" w:rsidRDefault="0074469E" w:rsidP="00925F26">
      <w:pPr>
        <w:jc w:val="both"/>
        <w:rPr>
          <w:color w:val="000000" w:themeColor="text1"/>
          <w:sz w:val="16"/>
          <w:szCs w:val="16"/>
        </w:rPr>
      </w:pPr>
      <w:r w:rsidRPr="00925F26">
        <w:rPr>
          <w:color w:val="000000" w:themeColor="text1"/>
          <w:sz w:val="16"/>
          <w:szCs w:val="16"/>
        </w:rPr>
        <w:t>1943 г.</w:t>
      </w:r>
      <w:r w:rsidRPr="00925F26">
        <w:rPr>
          <w:color w:val="000000" w:themeColor="text1"/>
          <w:sz w:val="16"/>
          <w:szCs w:val="16"/>
        </w:rPr>
        <w:tab/>
        <w:t>4421</w:t>
      </w:r>
    </w:p>
    <w:p w14:paraId="02BDC014" w14:textId="77777777" w:rsidR="0074469E" w:rsidRPr="00925F26" w:rsidRDefault="0074469E" w:rsidP="00925F26">
      <w:pPr>
        <w:jc w:val="both"/>
        <w:rPr>
          <w:color w:val="000000" w:themeColor="text1"/>
          <w:sz w:val="16"/>
          <w:szCs w:val="16"/>
        </w:rPr>
      </w:pPr>
      <w:r w:rsidRPr="00925F26">
        <w:rPr>
          <w:color w:val="000000" w:themeColor="text1"/>
          <w:sz w:val="16"/>
          <w:szCs w:val="16"/>
        </w:rPr>
        <w:t>1944 г.</w:t>
      </w:r>
      <w:r w:rsidRPr="00925F26">
        <w:rPr>
          <w:color w:val="000000" w:themeColor="text1"/>
          <w:sz w:val="16"/>
          <w:szCs w:val="16"/>
        </w:rPr>
        <w:tab/>
        <w:t>4975</w:t>
      </w:r>
    </w:p>
    <w:p w14:paraId="447E7105" w14:textId="77777777" w:rsidR="0074469E" w:rsidRPr="00925F26" w:rsidRDefault="0074469E" w:rsidP="00925F26">
      <w:pPr>
        <w:jc w:val="both"/>
        <w:rPr>
          <w:color w:val="000000" w:themeColor="text1"/>
          <w:sz w:val="16"/>
          <w:szCs w:val="16"/>
        </w:rPr>
      </w:pPr>
      <w:r w:rsidRPr="00925F26">
        <w:rPr>
          <w:color w:val="000000" w:themeColor="text1"/>
          <w:sz w:val="16"/>
          <w:szCs w:val="16"/>
        </w:rPr>
        <w:t>[...] В марте месяце с. г. завод достиг проектной мощности среднемесячного выпуска моторов ВК-105ПФ - 500 шт., дав Военно-Воздушным Силам страны 506 моторов.</w:t>
      </w:r>
    </w:p>
    <w:p w14:paraId="41C297AC" w14:textId="77777777" w:rsidR="0074469E" w:rsidRPr="00925F26" w:rsidRDefault="0074469E" w:rsidP="00925F26">
      <w:pPr>
        <w:jc w:val="both"/>
        <w:rPr>
          <w:color w:val="000000" w:themeColor="text1"/>
          <w:sz w:val="16"/>
          <w:szCs w:val="16"/>
        </w:rPr>
      </w:pPr>
      <w:r w:rsidRPr="00925F26">
        <w:rPr>
          <w:color w:val="000000" w:themeColor="text1"/>
          <w:sz w:val="16"/>
          <w:szCs w:val="16"/>
        </w:rPr>
        <w:t>Приведенные выше показатели далеко не характеризуют многих вопросов и мероприятий, проведенных заводом только лишь за военный период.</w:t>
      </w:r>
    </w:p>
    <w:p w14:paraId="61417D92" w14:textId="77777777" w:rsidR="0074469E" w:rsidRPr="00925F26" w:rsidRDefault="0074469E" w:rsidP="00925F26">
      <w:pPr>
        <w:jc w:val="both"/>
        <w:rPr>
          <w:color w:val="000000" w:themeColor="text1"/>
          <w:sz w:val="16"/>
          <w:szCs w:val="16"/>
        </w:rPr>
      </w:pPr>
      <w:r w:rsidRPr="00925F26">
        <w:rPr>
          <w:color w:val="000000" w:themeColor="text1"/>
          <w:sz w:val="16"/>
          <w:szCs w:val="16"/>
        </w:rPr>
        <w:t>На протяжении всей работы завода коллективом, наряду с выпуском серийной продукции, оказывалась большая помощь заводам и организациям в создании новых образцов авиационной техники. [...]</w:t>
      </w:r>
    </w:p>
    <w:p w14:paraId="287B2CF2" w14:textId="77777777" w:rsidR="0074469E" w:rsidRPr="00925F26" w:rsidRDefault="0074469E" w:rsidP="00925F26">
      <w:pPr>
        <w:jc w:val="both"/>
        <w:rPr>
          <w:color w:val="000000" w:themeColor="text1"/>
          <w:sz w:val="16"/>
          <w:szCs w:val="16"/>
        </w:rPr>
      </w:pPr>
      <w:r w:rsidRPr="00925F26">
        <w:rPr>
          <w:color w:val="000000" w:themeColor="text1"/>
          <w:sz w:val="16"/>
          <w:szCs w:val="16"/>
        </w:rPr>
        <w:t>Особенно в больших размерах развернулись эти работы в период Отечественной войны:</w:t>
      </w:r>
    </w:p>
    <w:p w14:paraId="187810C4" w14:textId="77777777" w:rsidR="0074469E" w:rsidRPr="00925F26" w:rsidRDefault="0074469E" w:rsidP="00925F26">
      <w:pPr>
        <w:jc w:val="both"/>
        <w:rPr>
          <w:color w:val="000000" w:themeColor="text1"/>
          <w:sz w:val="16"/>
          <w:szCs w:val="16"/>
        </w:rPr>
      </w:pPr>
      <w:r w:rsidRPr="00925F26">
        <w:rPr>
          <w:color w:val="000000" w:themeColor="text1"/>
          <w:sz w:val="16"/>
          <w:szCs w:val="16"/>
        </w:rPr>
        <w:t>1942-1943 гг. — активное участие коллектива завода в создании реактивных двигателей РД-1 и РД-3.</w:t>
      </w:r>
    </w:p>
    <w:p w14:paraId="5127E24E" w14:textId="77777777" w:rsidR="0074469E" w:rsidRPr="00925F26" w:rsidRDefault="0074469E" w:rsidP="00925F26">
      <w:pPr>
        <w:jc w:val="both"/>
        <w:rPr>
          <w:color w:val="000000" w:themeColor="text1"/>
          <w:sz w:val="16"/>
          <w:szCs w:val="16"/>
        </w:rPr>
      </w:pPr>
      <w:r w:rsidRPr="00925F26">
        <w:rPr>
          <w:color w:val="000000" w:themeColor="text1"/>
          <w:sz w:val="16"/>
          <w:szCs w:val="16"/>
        </w:rPr>
        <w:t>1944 г. — выпуск в серийном производстве первой серии двигателей РД-1, проходящих в настоящее время летные испытания на самолетах: «Яковлев», «Лавочкин», «Сухой».</w:t>
      </w:r>
    </w:p>
    <w:p w14:paraId="02219F89" w14:textId="77777777" w:rsidR="0074469E" w:rsidRPr="00925F26" w:rsidRDefault="0074469E" w:rsidP="00925F26">
      <w:pPr>
        <w:jc w:val="both"/>
        <w:rPr>
          <w:color w:val="000000" w:themeColor="text1"/>
          <w:sz w:val="16"/>
          <w:szCs w:val="16"/>
        </w:rPr>
      </w:pPr>
      <w:r w:rsidRPr="00925F26">
        <w:rPr>
          <w:color w:val="000000" w:themeColor="text1"/>
          <w:sz w:val="16"/>
          <w:szCs w:val="16"/>
        </w:rPr>
        <w:t>1944 г. — отработано и полностью внедрено в серию испытание моторов ВК-105ПФ с впрыском воды на низкооктановом топливе бензине Б-70 вместо бензина Б-78, дающее колоссальную экономию дорогостоящего и высокооктанового топлива Б-78.</w:t>
      </w:r>
    </w:p>
    <w:p w14:paraId="5EF1EC09" w14:textId="77777777" w:rsidR="0074469E" w:rsidRPr="00925F26" w:rsidRDefault="0074469E" w:rsidP="00925F26">
      <w:pPr>
        <w:jc w:val="both"/>
        <w:rPr>
          <w:color w:val="000000" w:themeColor="text1"/>
          <w:sz w:val="16"/>
          <w:szCs w:val="16"/>
        </w:rPr>
      </w:pPr>
      <w:r w:rsidRPr="00925F26">
        <w:rPr>
          <w:color w:val="000000" w:themeColor="text1"/>
          <w:sz w:val="16"/>
          <w:szCs w:val="16"/>
        </w:rPr>
        <w:t>1944 г. — отработана и проверена многими длительными испытаниями новая конструкция верхнего уплотнения гильз блока, переданная заводу № 26 и осуществленная последним на моторе ВК-108, прошедшем государственные испытания с хорошей оценкой.</w:t>
      </w:r>
    </w:p>
    <w:p w14:paraId="01F907FE" w14:textId="77777777" w:rsidR="0074469E" w:rsidRPr="00925F26" w:rsidRDefault="0074469E" w:rsidP="00925F26">
      <w:pPr>
        <w:jc w:val="both"/>
        <w:rPr>
          <w:color w:val="000000" w:themeColor="text1"/>
          <w:sz w:val="16"/>
          <w:szCs w:val="16"/>
        </w:rPr>
      </w:pPr>
      <w:r w:rsidRPr="00925F26">
        <w:rPr>
          <w:color w:val="000000" w:themeColor="text1"/>
          <w:sz w:val="16"/>
          <w:szCs w:val="16"/>
        </w:rPr>
        <w:t>1944-1945 гг. — оказана большая помощь ЦИАМу в изготовлении осевых компрессоров (изготовлено 8 комплектов) для воздушно-реактивного двигателя — ВРД.</w:t>
      </w:r>
    </w:p>
    <w:p w14:paraId="49B442E9" w14:textId="77777777" w:rsidR="0074469E" w:rsidRPr="00925F26" w:rsidRDefault="0074469E" w:rsidP="00925F26">
      <w:pPr>
        <w:jc w:val="both"/>
        <w:rPr>
          <w:color w:val="000000" w:themeColor="text1"/>
          <w:sz w:val="16"/>
          <w:szCs w:val="16"/>
        </w:rPr>
      </w:pPr>
      <w:r w:rsidRPr="00925F26">
        <w:rPr>
          <w:color w:val="000000" w:themeColor="text1"/>
          <w:sz w:val="16"/>
          <w:szCs w:val="16"/>
        </w:rPr>
        <w:t>1944 г. — изготовлены по решению ГОКО досрочно детали основного узла — редуктора мотора М-250 для ОКБ завода № 16.</w:t>
      </w:r>
    </w:p>
    <w:p w14:paraId="2377C1DC" w14:textId="77777777" w:rsidR="0074469E" w:rsidRPr="00925F26" w:rsidRDefault="0074469E" w:rsidP="00925F26">
      <w:pPr>
        <w:jc w:val="both"/>
        <w:rPr>
          <w:color w:val="000000" w:themeColor="text1"/>
          <w:sz w:val="16"/>
          <w:szCs w:val="16"/>
        </w:rPr>
      </w:pPr>
      <w:r w:rsidRPr="00925F26">
        <w:rPr>
          <w:color w:val="000000" w:themeColor="text1"/>
          <w:sz w:val="16"/>
          <w:szCs w:val="16"/>
        </w:rPr>
        <w:t>На протяжении 4 лет оказывается помощь НКСП в изготовлении реверс-муфт для военно-морских судов.</w:t>
      </w:r>
    </w:p>
    <w:p w14:paraId="4454DDE7" w14:textId="77777777" w:rsidR="0074469E" w:rsidRPr="00925F26" w:rsidRDefault="0074469E" w:rsidP="00925F26">
      <w:pPr>
        <w:jc w:val="both"/>
        <w:rPr>
          <w:color w:val="000000" w:themeColor="text1"/>
          <w:sz w:val="16"/>
          <w:szCs w:val="16"/>
        </w:rPr>
      </w:pPr>
      <w:r w:rsidRPr="00925F26">
        <w:rPr>
          <w:color w:val="000000" w:themeColor="text1"/>
          <w:sz w:val="16"/>
          <w:szCs w:val="16"/>
        </w:rPr>
        <w:t>1944-1945 гг. — на серийном моторе ВК-105 ПФ закончены работы по повышению высотности мотора на 1800 м или на 70 %, при этом и мощность мотора возросла на 5 %.</w:t>
      </w:r>
    </w:p>
    <w:p w14:paraId="06D1BD9D" w14:textId="77777777" w:rsidR="0074469E" w:rsidRPr="00925F26" w:rsidRDefault="0074469E" w:rsidP="00925F26">
      <w:pPr>
        <w:jc w:val="both"/>
        <w:rPr>
          <w:color w:val="000000" w:themeColor="text1"/>
          <w:sz w:val="16"/>
          <w:szCs w:val="16"/>
        </w:rPr>
      </w:pPr>
      <w:r w:rsidRPr="00925F26">
        <w:rPr>
          <w:color w:val="000000" w:themeColor="text1"/>
          <w:sz w:val="16"/>
          <w:szCs w:val="16"/>
        </w:rPr>
        <w:t>Моторы в настоящее время успешно проходят испытания на самолете Як-3 в ЛИИ НКАП и на самолете Пе-2 на заводе № 22.</w:t>
      </w:r>
    </w:p>
    <w:p w14:paraId="3763E995" w14:textId="77777777" w:rsidR="0074469E" w:rsidRPr="00925F26" w:rsidRDefault="0074469E" w:rsidP="00925F26">
      <w:pPr>
        <w:jc w:val="both"/>
        <w:rPr>
          <w:color w:val="000000" w:themeColor="text1"/>
          <w:sz w:val="16"/>
          <w:szCs w:val="16"/>
        </w:rPr>
      </w:pPr>
      <w:r w:rsidRPr="00925F26">
        <w:rPr>
          <w:color w:val="000000" w:themeColor="text1"/>
          <w:sz w:val="16"/>
          <w:szCs w:val="16"/>
        </w:rPr>
        <w:t>Конструкторский отдел бензиновых двигателей на заводе совместно с серийным производством в настоящее время работает над созданием мощного в 3500 л. с. мотора МБ-103.</w:t>
      </w:r>
    </w:p>
    <w:p w14:paraId="0F04BFCA" w14:textId="77777777" w:rsidR="0074469E" w:rsidRPr="00925F26" w:rsidRDefault="0074469E" w:rsidP="00925F26">
      <w:pPr>
        <w:jc w:val="both"/>
        <w:rPr>
          <w:color w:val="000000" w:themeColor="text1"/>
          <w:sz w:val="16"/>
          <w:szCs w:val="16"/>
        </w:rPr>
      </w:pPr>
      <w:r w:rsidRPr="00925F26">
        <w:rPr>
          <w:color w:val="000000" w:themeColor="text1"/>
          <w:sz w:val="16"/>
          <w:szCs w:val="16"/>
        </w:rPr>
        <w:t>Оказана большая помощь кинопромышленности изготовлением пуансонов и матриц для кинопленки, закупаемых ранее за границей, стоящих колоссальные суммы золотом. [...]</w:t>
      </w:r>
    </w:p>
    <w:p w14:paraId="443E66E0" w14:textId="77777777" w:rsidR="0074469E" w:rsidRPr="00925F26" w:rsidRDefault="0074469E" w:rsidP="00925F26">
      <w:pPr>
        <w:jc w:val="both"/>
        <w:rPr>
          <w:color w:val="000000" w:themeColor="text1"/>
          <w:sz w:val="16"/>
          <w:szCs w:val="16"/>
        </w:rPr>
      </w:pPr>
      <w:r w:rsidRPr="00925F26">
        <w:rPr>
          <w:color w:val="000000" w:themeColor="text1"/>
          <w:sz w:val="16"/>
          <w:szCs w:val="16"/>
        </w:rPr>
        <w:t>Директор завода № 16</w:t>
      </w:r>
      <w:r w:rsidRPr="00925F26">
        <w:rPr>
          <w:color w:val="000000" w:themeColor="text1"/>
          <w:sz w:val="16"/>
          <w:szCs w:val="16"/>
        </w:rPr>
        <w:tab/>
        <w:t>М. Лукин</w:t>
      </w:r>
    </w:p>
    <w:p w14:paraId="28FD6596" w14:textId="77777777" w:rsidR="0074469E" w:rsidRPr="00925F26" w:rsidRDefault="0074469E" w:rsidP="00925F26">
      <w:pPr>
        <w:jc w:val="both"/>
        <w:rPr>
          <w:color w:val="000000" w:themeColor="text1"/>
          <w:sz w:val="16"/>
          <w:szCs w:val="16"/>
        </w:rPr>
      </w:pPr>
      <w:r w:rsidRPr="00925F26">
        <w:rPr>
          <w:color w:val="000000" w:themeColor="text1"/>
          <w:sz w:val="16"/>
          <w:szCs w:val="16"/>
        </w:rPr>
        <w:t>Главный инженер</w:t>
      </w:r>
      <w:r w:rsidRPr="00925F26">
        <w:rPr>
          <w:color w:val="000000" w:themeColor="text1"/>
          <w:sz w:val="16"/>
          <w:szCs w:val="16"/>
        </w:rPr>
        <w:tab/>
        <w:t>Б. Месяцев</w:t>
      </w:r>
    </w:p>
    <w:p w14:paraId="1C2EE68A" w14:textId="77777777" w:rsidR="0074469E" w:rsidRPr="00925F26" w:rsidRDefault="0074469E" w:rsidP="00925F26">
      <w:pPr>
        <w:jc w:val="both"/>
        <w:rPr>
          <w:color w:val="000000" w:themeColor="text1"/>
          <w:sz w:val="16"/>
          <w:szCs w:val="16"/>
        </w:rPr>
      </w:pPr>
      <w:r w:rsidRPr="00925F26">
        <w:rPr>
          <w:color w:val="000000" w:themeColor="text1"/>
          <w:sz w:val="16"/>
          <w:szCs w:val="16"/>
        </w:rPr>
        <w:t>НА РТ. Ф. P-5940. On. 1. Д. 181. Л. 10, 12, 13, 20. Отпуск (23931).</w:t>
      </w:r>
    </w:p>
    <w:p w14:paraId="4E4EF4B4" w14:textId="77777777" w:rsidR="0074469E" w:rsidRPr="00925F26" w:rsidRDefault="0074469E" w:rsidP="00925F26">
      <w:pPr>
        <w:jc w:val="both"/>
        <w:rPr>
          <w:color w:val="000000" w:themeColor="text1"/>
          <w:sz w:val="16"/>
          <w:szCs w:val="16"/>
        </w:rPr>
      </w:pPr>
    </w:p>
    <w:p w14:paraId="154027B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9416B0E" w14:textId="77777777" w:rsidR="00665165" w:rsidRPr="00925F26" w:rsidRDefault="00665165" w:rsidP="00925F26">
      <w:pPr>
        <w:autoSpaceDE w:val="0"/>
        <w:autoSpaceDN w:val="0"/>
        <w:adjustRightInd w:val="0"/>
        <w:jc w:val="both"/>
        <w:rPr>
          <w:iCs/>
          <w:color w:val="000000" w:themeColor="text1"/>
          <w:sz w:val="16"/>
          <w:szCs w:val="16"/>
        </w:rPr>
      </w:pPr>
    </w:p>
    <w:p w14:paraId="3DB4D9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30 марта по 9 апреля 1945 объект 701 № 5 проходил испытания в тяжелых дорожных условиях. По ре</w:t>
      </w:r>
      <w:r w:rsidRPr="00925F26">
        <w:rPr>
          <w:color w:val="000000" w:themeColor="text1"/>
          <w:sz w:val="16"/>
          <w:szCs w:val="16"/>
        </w:rPr>
        <w:softHyphen/>
        <w:t>шению комиссии танк дополнительные испытания выдер</w:t>
      </w:r>
      <w:r w:rsidRPr="00925F26">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E05B5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C1DB6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вышло Распоряжение ГКО № 7951. О продлении до 10 апреля 1945 г. срока работы на лесозаготовках мобилизованных рабочих. РГАНИР, Фонд ГКО, д. 383, лл. 163 (11012).</w:t>
      </w:r>
    </w:p>
    <w:p w14:paraId="3ADCD182" w14:textId="77777777" w:rsidR="00665165" w:rsidRPr="00925F26" w:rsidRDefault="00665165" w:rsidP="00925F26">
      <w:pPr>
        <w:autoSpaceDE w:val="0"/>
        <w:autoSpaceDN w:val="0"/>
        <w:adjustRightInd w:val="0"/>
        <w:jc w:val="both"/>
        <w:rPr>
          <w:color w:val="000000" w:themeColor="text1"/>
          <w:sz w:val="16"/>
          <w:szCs w:val="16"/>
        </w:rPr>
      </w:pPr>
    </w:p>
    <w:p w14:paraId="445E2D1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марта 1945 вышло Распоряжение ГКО № 7952 [О мерах по достройке водопровода для завода №183 НКТП силами Тагилстроя НКВД.] (7318, 164-165).</w:t>
      </w:r>
    </w:p>
    <w:p w14:paraId="6BF47C0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D4827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марта 1945 г. был подготовлен Отзыв начальника лаборатории № 2 Академии наук СССР И.В. Курчатова «О материале под заголовком "О немецкой атомной бомбе"»</w:t>
      </w:r>
    </w:p>
    <w:p w14:paraId="742D15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Совершенно секретно</w:t>
      </w:r>
    </w:p>
    <w:p w14:paraId="009466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(Особой важности)</w:t>
      </w:r>
    </w:p>
    <w:p w14:paraId="581ED6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Материал исключительно интересен. Он содержит описание конструк</w:t>
      </w:r>
      <w:r w:rsidRPr="00925F26">
        <w:rPr>
          <w:color w:val="000000" w:themeColor="text1"/>
          <w:sz w:val="16"/>
          <w:szCs w:val="16"/>
        </w:rPr>
        <w:softHyphen/>
        <w:t>ции немецкой атомной бомбы, предназначенной к транспортировке на ра</w:t>
      </w:r>
      <w:r w:rsidRPr="00925F26">
        <w:rPr>
          <w:color w:val="000000" w:themeColor="text1"/>
          <w:sz w:val="16"/>
          <w:szCs w:val="16"/>
        </w:rPr>
        <w:softHyphen/>
        <w:t>кетном двигателе типа «Фау».</w:t>
      </w:r>
    </w:p>
    <w:p w14:paraId="322470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Перевод урана-235 через критическую массу, который необходим для развития цепного атомного процесса, производится в описываемой кон</w:t>
      </w:r>
      <w:r w:rsidRPr="00925F26">
        <w:rPr>
          <w:color w:val="000000" w:themeColor="text1"/>
          <w:sz w:val="16"/>
          <w:szCs w:val="16"/>
        </w:rPr>
        <w:softHyphen/>
        <w:t>струкции взрывом окружающей уран-235 смеси пористого тринитротолуо</w:t>
      </w:r>
      <w:r w:rsidRPr="00925F26">
        <w:rPr>
          <w:color w:val="000000" w:themeColor="text1"/>
          <w:sz w:val="16"/>
          <w:szCs w:val="16"/>
        </w:rPr>
        <w:softHyphen/>
        <w:t>ла и жидкого кислорода. Запал урана осуществляется быстрыми нейтрона</w:t>
      </w:r>
      <w:r w:rsidRPr="00925F26">
        <w:rPr>
          <w:color w:val="000000" w:themeColor="text1"/>
          <w:sz w:val="16"/>
          <w:szCs w:val="16"/>
        </w:rPr>
        <w:softHyphen/>
        <w:t>ми, генерируемыми при помощи высоковольтной разрядной трубки, питаемой от специальных генераторов.</w:t>
      </w:r>
    </w:p>
    <w:p w14:paraId="3B0A98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защиты от тепловых нейтронов футляр с ураном окружается слоем кадмия.</w:t>
      </w:r>
    </w:p>
    <w:p w14:paraId="207C60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эти детали конструкции вполне правдоподобны.</w:t>
      </w:r>
    </w:p>
    <w:p w14:paraId="5E9C13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Надо отметить, что на основании ознакомления с материалами у меня не осталось полной уверенности, что немцы действительно делали опыты с атомной бомбой. Эффект разрушения от атомной бомбы должен быть боль</w:t>
      </w:r>
      <w:r w:rsidRPr="00925F26">
        <w:rPr>
          <w:color w:val="000000" w:themeColor="text1"/>
          <w:sz w:val="16"/>
          <w:szCs w:val="16"/>
        </w:rPr>
        <w:softHyphen/>
        <w:t>шим, чем указано, и распространяться на несколько километров, а не сотен метров. Опыты, о которых идет речь в материалах, могли быть предварительными и делаться на конструкциях, предназначенных для атомных бомб, но без снаряжения ее ураном-235.</w:t>
      </w:r>
    </w:p>
    <w:p w14:paraId="249CC9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Желательно получить дополнительные сведения о ходе опытов, которые бы помогли уяснить положение, и образцы урана-235.</w:t>
      </w:r>
    </w:p>
    <w:p w14:paraId="2DD93F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Некоторые моменты, являющиеся, судя по описанию, весьма существен</w:t>
      </w:r>
      <w:r w:rsidRPr="00925F26">
        <w:rPr>
          <w:color w:val="000000" w:themeColor="text1"/>
          <w:sz w:val="16"/>
          <w:szCs w:val="16"/>
        </w:rPr>
        <w:softHyphen/>
        <w:t>ными для действия атомной бомбы, остаются для меня неясными.</w:t>
      </w:r>
    </w:p>
    <w:p w14:paraId="025B6F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ним относится: 1) предварительное подготовительное действие на уран гамма-лучей с энергией, не большей 6 миллионов электронвольт; 2) указание, что на разрушение урана-235 весьма благоприятно действует радиоактивный элемент 93, который получается из урана облучением ней</w:t>
      </w:r>
      <w:r w:rsidRPr="00925F26">
        <w:rPr>
          <w:color w:val="000000" w:themeColor="text1"/>
          <w:sz w:val="16"/>
          <w:szCs w:val="16"/>
        </w:rPr>
        <w:softHyphen/>
        <w:t>тронами.</w:t>
      </w:r>
    </w:p>
    <w:p w14:paraId="08D392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Трудно себе представить, что какое бы то ни было воздействие гамма-лу</w:t>
      </w:r>
      <w:r w:rsidRPr="00925F26">
        <w:rPr>
          <w:color w:val="000000" w:themeColor="text1"/>
          <w:sz w:val="16"/>
          <w:szCs w:val="16"/>
        </w:rPr>
        <w:softHyphen/>
        <w:t>чей или нейтронов могло существенным образом изменить взрывные свой</w:t>
      </w:r>
      <w:r w:rsidRPr="00925F26">
        <w:rPr>
          <w:color w:val="000000" w:themeColor="text1"/>
          <w:sz w:val="16"/>
          <w:szCs w:val="16"/>
        </w:rPr>
        <w:softHyphen/>
        <w:t>ства урана-235.</w:t>
      </w:r>
    </w:p>
    <w:p w14:paraId="37A6F7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Только при больших интенсивностях этого облучения при помощи атом</w:t>
      </w:r>
      <w:r w:rsidRPr="00925F26">
        <w:rPr>
          <w:color w:val="000000" w:themeColor="text1"/>
          <w:sz w:val="16"/>
          <w:szCs w:val="16"/>
        </w:rPr>
        <w:softHyphen/>
        <w:t>ных котлов можно заметно изменить свойства урана-235. Скорее, здесь речь может идти о тонкостях начала взрывного процесса, базирующихся на ка</w:t>
      </w:r>
      <w:r w:rsidRPr="00925F26">
        <w:rPr>
          <w:color w:val="000000" w:themeColor="text1"/>
          <w:sz w:val="16"/>
          <w:szCs w:val="16"/>
        </w:rPr>
        <w:softHyphen/>
        <w:t>ких-то новых физических данных по процессу взаимодействия нейтронов с атомными ядрами урана.</w:t>
      </w:r>
    </w:p>
    <w:p w14:paraId="1B6E64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Было бы исключительно важно получить по этим вопросам более под</w:t>
      </w:r>
      <w:r w:rsidRPr="00925F26">
        <w:rPr>
          <w:color w:val="000000" w:themeColor="text1"/>
          <w:sz w:val="16"/>
          <w:szCs w:val="16"/>
        </w:rPr>
        <w:softHyphen/>
        <w:t>робную и точную информацию.</w:t>
      </w:r>
    </w:p>
    <w:p w14:paraId="751667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Еще более важно было бы знать подробности о процессе извлечения ура</w:t>
      </w:r>
      <w:r w:rsidRPr="00925F26">
        <w:rPr>
          <w:color w:val="000000" w:themeColor="text1"/>
          <w:sz w:val="16"/>
          <w:szCs w:val="16"/>
        </w:rPr>
        <w:softHyphen/>
        <w:t>на-235 из обычного урана.</w:t>
      </w:r>
    </w:p>
    <w:p w14:paraId="7786AC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Считаю нужным отметить, что было бы исключительно важно провести беседу нашего физика с лицом, давшим рецензируемую информацию.</w:t>
      </w:r>
    </w:p>
    <w:p w14:paraId="04A3D3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Курчатов</w:t>
      </w:r>
    </w:p>
    <w:p w14:paraId="1C0862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Экз(емпляр) единст(венный)</w:t>
      </w:r>
    </w:p>
    <w:p w14:paraId="08A6A8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Помета: Копия направлена т. Ильичеву 31.</w:t>
      </w:r>
      <w:r w:rsidRPr="00925F26">
        <w:rPr>
          <w:color w:val="000000" w:themeColor="text1"/>
          <w:sz w:val="16"/>
          <w:szCs w:val="16"/>
          <w:lang w:val="en-US"/>
        </w:rPr>
        <w:t>III</w:t>
      </w:r>
      <w:r w:rsidRPr="00925F26">
        <w:rPr>
          <w:color w:val="000000" w:themeColor="text1"/>
          <w:sz w:val="16"/>
          <w:szCs w:val="16"/>
        </w:rPr>
        <w:t>. 45 г. за № Зсс — см. распис</w:t>
      </w:r>
      <w:r w:rsidRPr="00925F26">
        <w:rPr>
          <w:color w:val="000000" w:themeColor="text1"/>
          <w:sz w:val="16"/>
          <w:szCs w:val="16"/>
        </w:rPr>
        <w:softHyphen/>
        <w:t>ку. А. Васин</w:t>
      </w:r>
    </w:p>
    <w:p w14:paraId="7C9822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Публикуется по: Атомный проект в СССР: Док</w:t>
      </w:r>
      <w:proofErr w:type="gramStart"/>
      <w:r w:rsidRPr="00925F26">
        <w:rPr>
          <w:color w:val="000000" w:themeColor="text1"/>
          <w:sz w:val="16"/>
          <w:szCs w:val="16"/>
        </w:rPr>
        <w:t>.</w:t>
      </w:r>
      <w:proofErr w:type="gramEnd"/>
      <w:r w:rsidRPr="00925F26">
        <w:rPr>
          <w:color w:val="000000" w:themeColor="text1"/>
          <w:sz w:val="16"/>
          <w:szCs w:val="16"/>
        </w:rPr>
        <w:t xml:space="preserve"> и матер.: В 3 т. / Под общ. ред. Л.Д. Рябева. Т. 1.1938-1945.В 2 ч. Часть 2. Министерство РФ по атом</w:t>
      </w:r>
      <w:r w:rsidRPr="00925F26">
        <w:rPr>
          <w:color w:val="000000" w:themeColor="text1"/>
          <w:sz w:val="16"/>
          <w:szCs w:val="16"/>
        </w:rPr>
        <w:softHyphen/>
        <w:t>ной энергии — ГНЦ РФ — ФЭИ им. акад. А.И. Лейпунского; Отв. состави</w:t>
      </w:r>
      <w:r w:rsidRPr="00925F26">
        <w:rPr>
          <w:color w:val="000000" w:themeColor="text1"/>
          <w:sz w:val="16"/>
          <w:szCs w:val="16"/>
        </w:rPr>
        <w:softHyphen/>
        <w:t>тель Л.И. Кудинова. М.: Издательство МФТИ, 2002. С. 260-261. (Далее: Атомный проект в СССР: Док</w:t>
      </w:r>
      <w:proofErr w:type="gramStart"/>
      <w:r w:rsidRPr="00925F26">
        <w:rPr>
          <w:color w:val="000000" w:themeColor="text1"/>
          <w:sz w:val="16"/>
          <w:szCs w:val="16"/>
        </w:rPr>
        <w:t>.</w:t>
      </w:r>
      <w:proofErr w:type="gramEnd"/>
      <w:r w:rsidRPr="00925F26">
        <w:rPr>
          <w:color w:val="000000" w:themeColor="text1"/>
          <w:sz w:val="16"/>
          <w:szCs w:val="16"/>
        </w:rPr>
        <w:t xml:space="preserve"> и матер. Т. 1. Ч. 2.) (11419).</w:t>
      </w:r>
    </w:p>
    <w:p w14:paraId="7368F9D4" w14:textId="77777777" w:rsidR="00665165" w:rsidRPr="00925F26" w:rsidRDefault="00665165" w:rsidP="00925F26">
      <w:pPr>
        <w:autoSpaceDE w:val="0"/>
        <w:autoSpaceDN w:val="0"/>
        <w:adjustRightInd w:val="0"/>
        <w:jc w:val="both"/>
        <w:rPr>
          <w:color w:val="000000" w:themeColor="text1"/>
          <w:sz w:val="16"/>
          <w:szCs w:val="16"/>
        </w:rPr>
      </w:pPr>
    </w:p>
    <w:p w14:paraId="1D451EA6" w14:textId="77777777" w:rsidR="00503A32" w:rsidRPr="00925F26" w:rsidRDefault="00503A32" w:rsidP="00925F26">
      <w:pPr>
        <w:pStyle w:val="book"/>
        <w:ind w:firstLine="0"/>
        <w:jc w:val="both"/>
        <w:rPr>
          <w:color w:val="000000" w:themeColor="text1"/>
          <w:sz w:val="16"/>
          <w:szCs w:val="16"/>
        </w:rPr>
      </w:pPr>
      <w:r w:rsidRPr="00925F26">
        <w:rPr>
          <w:color w:val="000000" w:themeColor="text1"/>
          <w:sz w:val="16"/>
          <w:szCs w:val="16"/>
        </w:rPr>
        <w:t>30 марта 1945 г. И.В. Курчатов. В своем отчете дал краткое описание конструкции немецкой атомной бомбы, предназначенной к транспортировке на ФАУ-2 (15225).</w:t>
      </w:r>
    </w:p>
    <w:p w14:paraId="7FB577AE" w14:textId="77777777" w:rsidR="00503A32" w:rsidRPr="00925F26" w:rsidRDefault="00503A32" w:rsidP="00925F26">
      <w:pPr>
        <w:pStyle w:val="book"/>
        <w:ind w:firstLine="0"/>
        <w:jc w:val="both"/>
        <w:rPr>
          <w:color w:val="000000" w:themeColor="text1"/>
          <w:sz w:val="16"/>
          <w:szCs w:val="16"/>
        </w:rPr>
      </w:pPr>
    </w:p>
    <w:p w14:paraId="43579621" w14:textId="77777777" w:rsidR="006773EC" w:rsidRPr="001A0BAA" w:rsidRDefault="006773EC" w:rsidP="006773EC">
      <w:pPr>
        <w:jc w:val="both"/>
        <w:rPr>
          <w:color w:val="0070C0"/>
          <w:sz w:val="16"/>
          <w:szCs w:val="16"/>
        </w:rPr>
      </w:pPr>
      <w:r w:rsidRPr="001A0BAA">
        <w:rPr>
          <w:color w:val="0070C0"/>
          <w:sz w:val="16"/>
          <w:szCs w:val="16"/>
        </w:rPr>
        <w:t>30 марта 1945 г. И. В. Курчатов, ознакомившись с данными разведки, в своем отчёте дал краткое описание конструкции немецкой атомной бомбы, предназначенной к транспортировке на Фау-2 (25184).</w:t>
      </w:r>
    </w:p>
    <w:p w14:paraId="12274FC0" w14:textId="77777777" w:rsidR="006773EC" w:rsidRPr="001A0BAA" w:rsidRDefault="006773EC" w:rsidP="006773EC">
      <w:pPr>
        <w:jc w:val="both"/>
        <w:rPr>
          <w:color w:val="0070C0"/>
          <w:sz w:val="16"/>
          <w:szCs w:val="16"/>
        </w:rPr>
      </w:pPr>
    </w:p>
    <w:p w14:paraId="6FBD42F2" w14:textId="77777777" w:rsidR="00503A32" w:rsidRPr="00925F26" w:rsidRDefault="00503A32" w:rsidP="00925F26">
      <w:pPr>
        <w:pStyle w:val="book"/>
        <w:ind w:firstLine="0"/>
        <w:jc w:val="both"/>
        <w:rPr>
          <w:color w:val="000000" w:themeColor="text1"/>
          <w:sz w:val="16"/>
          <w:szCs w:val="16"/>
        </w:rPr>
      </w:pPr>
      <w:r w:rsidRPr="00925F26">
        <w:rPr>
          <w:color w:val="000000" w:themeColor="text1"/>
          <w:sz w:val="16"/>
          <w:szCs w:val="16"/>
        </w:rPr>
        <w:t>К 30 марта 1945 г. Данциг был захвачен Красной армией. К этому моменту на верфях уже хорошо знакомой нам фирмы «Шихау» находилось 40 подводных лодок XXI серии (U-3531 ÷ U-3571). Сборка лодок U-3572 ÷ U-3595 еще не началась, но многие секции их уже были на месте. На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 В Данциге на верфи «Шихау» немцы планировали построить 95 больших подводных лодок XXI серии (U-3501 ÷ U-3595). К марту 1945 г. первые 30 лодок были спущены на воду и позже затоплены англо-американской авиацией и своими экипажами, или командиры сдали свои лодки союзникам. Судьбу семи подводных лодок (U-3531 ÷ U-3537) выяснить не удалось. Двадцать же подводных лодок (U-3538 ÷ 3557) были зачислены в списки советского ВМФ. После достройки их планировали ввести в состав Балтийского флота. 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В.Н. Перегудов, а затем П.С. Савинов. Лодки получили, соответственно, номера ТС-5 ÷ ТС-13, ТС-15, ТС-17, ТС-18, ТС-19, ТС-32 ÷ ТС-38. (ТС — трофейное судно). 8 марта 1947 г. подводные лодки ТС-5 ÷ ТС-12 (U-3538 - U-3545) были переименованы в Р-1 ÷ Р-8. Пять подводных лодок (U-3538 ÷ U-3542) 15 июля 1945 г. были спущены на воду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и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(15225).</w:t>
      </w:r>
    </w:p>
    <w:p w14:paraId="4ABE3E1E" w14:textId="77777777" w:rsidR="00503A32" w:rsidRPr="00925F26" w:rsidRDefault="00503A32" w:rsidP="00925F26">
      <w:pPr>
        <w:pStyle w:val="book"/>
        <w:ind w:firstLine="0"/>
        <w:jc w:val="both"/>
        <w:rPr>
          <w:color w:val="000000" w:themeColor="text1"/>
          <w:sz w:val="16"/>
          <w:szCs w:val="16"/>
        </w:rPr>
      </w:pPr>
    </w:p>
    <w:p w14:paraId="7F61D6A4" w14:textId="2E952EA5" w:rsidR="00BA025E" w:rsidRPr="00925F26" w:rsidRDefault="00BA025E"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К 30 марта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Данциг был захвачен Красной армией. К этому моменту на верфях фирмы «Шихау» находилось 40 подводных лодок XXI серии (U-3531 U-3571). Сборка лодок U-3572 — U-3595 еще не началась, но многие секции их уже были на месте. На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w:t>
      </w:r>
    </w:p>
    <w:p w14:paraId="6774584C" w14:textId="1B5FDAB4" w:rsidR="00BA025E" w:rsidRPr="00925F26" w:rsidRDefault="00BA025E" w:rsidP="00925F26">
      <w:pPr>
        <w:pStyle w:val="p1"/>
        <w:spacing w:before="0" w:beforeAutospacing="0" w:after="0" w:afterAutospacing="0"/>
        <w:jc w:val="both"/>
        <w:rPr>
          <w:color w:val="000000" w:themeColor="text1"/>
          <w:sz w:val="16"/>
          <w:szCs w:val="16"/>
        </w:rPr>
      </w:pPr>
      <w:r w:rsidRPr="00925F26">
        <w:rPr>
          <w:color w:val="000000" w:themeColor="text1"/>
          <w:sz w:val="16"/>
          <w:szCs w:val="16"/>
        </w:rPr>
        <w:t>Судьбу семи подводных лодок (U-</w:t>
      </w:r>
      <w:proofErr w:type="gramStart"/>
      <w:r w:rsidRPr="00925F26">
        <w:rPr>
          <w:color w:val="000000" w:themeColor="text1"/>
          <w:sz w:val="16"/>
          <w:szCs w:val="16"/>
        </w:rPr>
        <w:t>3531</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U-3537) выяснить не удалось, о них молчат и германские, и советские источники (включая секретные).</w:t>
      </w:r>
    </w:p>
    <w:p w14:paraId="756C4C39" w14:textId="478B3B6E" w:rsidR="00BA025E" w:rsidRPr="00925F26" w:rsidRDefault="00BA025E"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Двадцать же подводных лодок (U-</w:t>
      </w:r>
      <w:proofErr w:type="gramStart"/>
      <w:r w:rsidRPr="00925F26">
        <w:rPr>
          <w:color w:val="000000" w:themeColor="text1"/>
          <w:sz w:val="16"/>
          <w:szCs w:val="16"/>
        </w:rPr>
        <w:t>3538</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3557) были зачислены в списки советского ВМФ. После достройки их планировали ввести в состав Балтийского флота.</w:t>
      </w:r>
    </w:p>
    <w:p w14:paraId="56B52722" w14:textId="77777777" w:rsidR="00BA025E" w:rsidRPr="00925F26" w:rsidRDefault="00BA025E"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В.Н. Перегудов, а затем П.С. Савинов.</w:t>
      </w:r>
    </w:p>
    <w:p w14:paraId="7EAB2A13" w14:textId="0ED80138" w:rsidR="00BA025E" w:rsidRPr="00925F26" w:rsidRDefault="00BA025E"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Лодки получили, соответственно, номера ТС-5 ТС-13, ТС-15, ТС-17, ТС-18, ТС-19, ТС-32 - ТС-38. (ТС — трофейное судно). 8 марта </w:t>
      </w:r>
      <w:proofErr w:type="gramStart"/>
      <w:r w:rsidRPr="00925F26">
        <w:rPr>
          <w:color w:val="000000" w:themeColor="text1"/>
          <w:sz w:val="16"/>
          <w:szCs w:val="16"/>
        </w:rPr>
        <w:t>1947</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подводные лодки ТС-5 ТС-12 (U-</w:t>
      </w:r>
      <w:proofErr w:type="gramStart"/>
      <w:r w:rsidRPr="00925F26">
        <w:rPr>
          <w:color w:val="000000" w:themeColor="text1"/>
          <w:sz w:val="16"/>
          <w:szCs w:val="16"/>
        </w:rPr>
        <w:t>3538</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U-3545) были переименованы в Р-</w:t>
      </w:r>
      <w:proofErr w:type="gramStart"/>
      <w:r w:rsidRPr="00925F26">
        <w:rPr>
          <w:color w:val="000000" w:themeColor="text1"/>
          <w:sz w:val="16"/>
          <w:szCs w:val="16"/>
        </w:rPr>
        <w:t>1</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Р-8.</w:t>
      </w:r>
    </w:p>
    <w:p w14:paraId="077A1C3B" w14:textId="51D2FFFD" w:rsidR="00BA025E" w:rsidRPr="00925F26" w:rsidRDefault="00BA025E"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Пять подводных лодок (U-3538 U-3542) 15 июля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были спущены на воду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а нашим не хватило духу их послать… к маме Уинстона Черчилля в Фултон. В результате подводные лодки Р-1, Р-2 и Р-3 в августе </w:t>
      </w:r>
      <w:proofErr w:type="gramStart"/>
      <w:r w:rsidRPr="00925F26">
        <w:rPr>
          <w:color w:val="000000" w:themeColor="text1"/>
          <w:sz w:val="16"/>
          <w:szCs w:val="16"/>
        </w:rPr>
        <w:t>1947</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затопили в 20 милях к северо-западу от маяка Ристна в Балтийском море, а остальные лодки XXI серии с июля </w:t>
      </w:r>
      <w:proofErr w:type="gramStart"/>
      <w:r w:rsidRPr="00925F26">
        <w:rPr>
          <w:color w:val="000000" w:themeColor="text1"/>
          <w:sz w:val="16"/>
          <w:szCs w:val="16"/>
        </w:rPr>
        <w:t>1947</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по февраль </w:t>
      </w:r>
      <w:proofErr w:type="gramStart"/>
      <w:r w:rsidRPr="00925F26">
        <w:rPr>
          <w:color w:val="000000" w:themeColor="text1"/>
          <w:sz w:val="16"/>
          <w:szCs w:val="16"/>
        </w:rPr>
        <w:t>1948</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были исключены из списков ВМФ СССР и переданы в Отдел фондового имущества для разборки на металл (19682).</w:t>
      </w:r>
    </w:p>
    <w:p w14:paraId="7299CAB0" w14:textId="77777777" w:rsidR="00BA025E" w:rsidRPr="00925F26" w:rsidRDefault="00BA025E" w:rsidP="00925F26">
      <w:pPr>
        <w:jc w:val="both"/>
        <w:rPr>
          <w:color w:val="000000" w:themeColor="text1"/>
          <w:sz w:val="16"/>
          <w:szCs w:val="16"/>
        </w:rPr>
      </w:pPr>
    </w:p>
    <w:p w14:paraId="1101B82D" w14:textId="4E0907EF" w:rsidR="00BA025E" w:rsidRPr="00925F26" w:rsidRDefault="00BA025E"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30 марта 1945 года советские войска, взяв Данциг (Гданьск), обнаружили корпуса новейших немецких подлодок XXI серии и секции для ПЛ. HК ВМФ приказом № 0086 от 3 мая 1945 года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«Рубин»27) в Ленинграде разрабатывало проект 61428 — достройки немецких ПЛ XXI серии. Его реализации воспрепятствовало решение Берлинской (Потсдамской) конференции (17 июля — 2 августа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В состав ВМФ СССР наряду с немецкими надводными боевыми кораблями вошли 10 германских подлодок30: 4 — типа VII, одна типа IX и 5 новейших, в т.ч. 4 типа XXI и одна — XXIII. Их изучили советские специалисты. Этому способствовала и эксплуатация трофейных ПЛ (19841).</w:t>
      </w:r>
    </w:p>
    <w:p w14:paraId="0A03621B" w14:textId="77777777" w:rsidR="00BA025E" w:rsidRPr="00925F26" w:rsidRDefault="00BA025E" w:rsidP="00925F26">
      <w:pPr>
        <w:pStyle w:val="ae"/>
        <w:shd w:val="clear" w:color="auto" w:fill="FFFFFF"/>
        <w:spacing w:before="0" w:after="0"/>
        <w:jc w:val="both"/>
        <w:rPr>
          <w:color w:val="000000" w:themeColor="text1"/>
          <w:sz w:val="16"/>
          <w:szCs w:val="16"/>
        </w:rPr>
      </w:pPr>
    </w:p>
    <w:p w14:paraId="7EC804B8" w14:textId="77777777" w:rsidR="006773EC" w:rsidRPr="001A0BAA" w:rsidRDefault="006773EC" w:rsidP="006773EC">
      <w:pPr>
        <w:jc w:val="both"/>
        <w:rPr>
          <w:color w:val="0070C0"/>
          <w:sz w:val="16"/>
          <w:szCs w:val="16"/>
        </w:rPr>
      </w:pPr>
      <w:r w:rsidRPr="001A0BAA">
        <w:rPr>
          <w:color w:val="0070C0"/>
          <w:sz w:val="16"/>
          <w:szCs w:val="16"/>
        </w:rPr>
        <w:t>К 30 марта 1945 г. Данциг был захвачен Красной армией. К этому моменту на верфях фирмы «Шихау» находилось 40 подводных лодок XXI серии (U-3531 ÷ U-3571). Сборка лодок U-3572 ÷ U-3595 ещё не началась, но многие секции их уже были на месте. На немецких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w:t>
      </w:r>
    </w:p>
    <w:p w14:paraId="5A69FCC8" w14:textId="279029E9" w:rsidR="006773EC" w:rsidRPr="001A0BAA" w:rsidRDefault="006773EC" w:rsidP="006773EC">
      <w:pPr>
        <w:jc w:val="both"/>
        <w:rPr>
          <w:color w:val="0070C0"/>
          <w:sz w:val="16"/>
          <w:szCs w:val="16"/>
        </w:rPr>
      </w:pPr>
      <w:r w:rsidRPr="001A0BAA">
        <w:rPr>
          <w:color w:val="0070C0"/>
          <w:sz w:val="16"/>
          <w:szCs w:val="16"/>
        </w:rPr>
        <w:t>Судьбу семи подводных лодок (U-3531 ÷ U-3537) выяснить не удалось, о них молчат и германские, и советские источники (включая секретные).</w:t>
      </w:r>
    </w:p>
    <w:p w14:paraId="2F135AE6" w14:textId="77777777" w:rsidR="006773EC" w:rsidRPr="001A0BAA" w:rsidRDefault="006773EC" w:rsidP="006773EC">
      <w:pPr>
        <w:jc w:val="both"/>
        <w:rPr>
          <w:color w:val="0070C0"/>
          <w:sz w:val="16"/>
          <w:szCs w:val="16"/>
        </w:rPr>
      </w:pPr>
      <w:r w:rsidRPr="001A0BAA">
        <w:rPr>
          <w:color w:val="0070C0"/>
          <w:sz w:val="16"/>
          <w:szCs w:val="16"/>
        </w:rPr>
        <w:t>Двадцать же подводных лодок (U-3538 ÷ 3557) были зачислены в списки советского ВМФ. После достройки их планировали ввести в состав Балтийского флота.</w:t>
      </w:r>
    </w:p>
    <w:p w14:paraId="14930605" w14:textId="77777777" w:rsidR="006773EC" w:rsidRPr="001A0BAA" w:rsidRDefault="006773EC" w:rsidP="006773EC">
      <w:pPr>
        <w:jc w:val="both"/>
        <w:rPr>
          <w:color w:val="0070C0"/>
          <w:sz w:val="16"/>
          <w:szCs w:val="16"/>
        </w:rPr>
      </w:pPr>
      <w:r w:rsidRPr="001A0BAA">
        <w:rPr>
          <w:color w:val="0070C0"/>
          <w:sz w:val="16"/>
          <w:szCs w:val="16"/>
        </w:rPr>
        <w:t>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 Н. Перегудов, а затем П. С. Савинов.</w:t>
      </w:r>
    </w:p>
    <w:p w14:paraId="675AA6D6" w14:textId="77777777" w:rsidR="006773EC" w:rsidRPr="001A0BAA" w:rsidRDefault="006773EC" w:rsidP="006773EC">
      <w:pPr>
        <w:jc w:val="both"/>
        <w:rPr>
          <w:color w:val="0070C0"/>
          <w:sz w:val="16"/>
          <w:szCs w:val="16"/>
        </w:rPr>
      </w:pPr>
      <w:r w:rsidRPr="001A0BAA">
        <w:rPr>
          <w:color w:val="0070C0"/>
          <w:sz w:val="16"/>
          <w:szCs w:val="16"/>
        </w:rPr>
        <w:t>Лодки получили, соответственно, номера ТС-5 ÷ ТС-13, ТС-15, ТС-17, ТС-18, ТС-19, ТС-32 ÷ ТС-38. (ТС – трофейное судно). 8 марта 1947 г. подводные лодки ТС-5 ÷ ТС-12 (U-3538 ÷ U-3545) были переименованы в Р-1 ÷ Р-8 (25184).</w:t>
      </w:r>
    </w:p>
    <w:p w14:paraId="1BBF425A" w14:textId="77777777" w:rsidR="006773EC" w:rsidRDefault="006773EC" w:rsidP="006773EC">
      <w:pPr>
        <w:jc w:val="both"/>
        <w:rPr>
          <w:color w:val="0070C0"/>
          <w:sz w:val="16"/>
          <w:szCs w:val="16"/>
        </w:rPr>
      </w:pPr>
    </w:p>
    <w:p w14:paraId="494E7363" w14:textId="5AB14B2F" w:rsidR="001C3F7A" w:rsidRDefault="001C3F7A" w:rsidP="006773EC">
      <w:pPr>
        <w:jc w:val="both"/>
        <w:rPr>
          <w:color w:val="0070C0"/>
          <w:sz w:val="16"/>
          <w:szCs w:val="16"/>
        </w:rPr>
      </w:pPr>
      <w:r w:rsidRPr="001C3F7A">
        <w:rPr>
          <w:color w:val="0070C0"/>
          <w:sz w:val="16"/>
          <w:szCs w:val="16"/>
        </w:rPr>
        <w:t>30 марта 1945 года советские войска, взяв Данциг (Гданьск), обнаружили корпуса новейших немецких подлодок XXI серии и секции для ПЛ. НК ВМФ приказом № 0086 от 3 мая 1945 года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 в Ленинграде разрабатывало проект 614 - достройки немецких ПЛ XXI серии. Его реализации воспрепятствовало решение Берлинской (Потсдамской) конференции (17 июля - 2 августа 1945 г.):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w:t>
      </w:r>
      <w:proofErr w:type="gramStart"/>
      <w:r w:rsidRPr="001C3F7A">
        <w:rPr>
          <w:color w:val="0070C0"/>
          <w:sz w:val="16"/>
          <w:szCs w:val="16"/>
        </w:rPr>
        <w:t>29 .</w:t>
      </w:r>
      <w:proofErr w:type="gramEnd"/>
      <w:r w:rsidRPr="001C3F7A">
        <w:rPr>
          <w:color w:val="0070C0"/>
          <w:sz w:val="16"/>
          <w:szCs w:val="16"/>
        </w:rPr>
        <w:t xml:space="preserve"> Малая подлодка типа «М&gt;&gt; XV серии (проекта 96) В состав ВМФ СССР наряду с немецкими надводными боевыми кораблями вошли 10 германских подлодок: 4 - типа VII, одна - типа IX и 5 новейших, в т.ч. 4 - типа XXI и одна - XXIII. Их изучили советские специалисты. Этому способствовала и эксплуатация трофейных ПЛ. К слову, немецкий опыт активно использовали на Западе. Изучив немецкие ПЛ XXI серии, в США реализовали программу GUPPY (Greater Underwater Propulsion Power Program) - модернизации до германских стандартов всех находившихся в строю американских ПЛ, построенных до и во время войны. А подлодки США типа «Tang» и «Darter» стали развитием конструкции немецких XXI серии. В Великобритании результатом использования немецкого опыта стали ПЛ типов «Porpoise» и «Oberon</w:t>
      </w:r>
      <w:r w:rsidR="00BD351E">
        <w:rPr>
          <w:color w:val="0070C0"/>
          <w:sz w:val="16"/>
          <w:szCs w:val="16"/>
        </w:rPr>
        <w:t>…</w:t>
      </w:r>
      <w:r>
        <w:rPr>
          <w:color w:val="0070C0"/>
          <w:sz w:val="16"/>
          <w:szCs w:val="16"/>
        </w:rPr>
        <w:t xml:space="preserve"> (25789)</w:t>
      </w:r>
      <w:r w:rsidRPr="001C3F7A">
        <w:rPr>
          <w:color w:val="0070C0"/>
          <w:sz w:val="16"/>
          <w:szCs w:val="16"/>
        </w:rPr>
        <w:t>.</w:t>
      </w:r>
    </w:p>
    <w:p w14:paraId="589398E9" w14:textId="77777777" w:rsidR="001C3F7A" w:rsidRPr="001A0BAA" w:rsidRDefault="001C3F7A" w:rsidP="006773EC">
      <w:pPr>
        <w:jc w:val="both"/>
        <w:rPr>
          <w:color w:val="0070C0"/>
          <w:sz w:val="16"/>
          <w:szCs w:val="16"/>
        </w:rPr>
      </w:pPr>
    </w:p>
    <w:p w14:paraId="3ED74B6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4754F1D" w14:textId="77777777" w:rsidR="00665165" w:rsidRPr="00925F26" w:rsidRDefault="00665165" w:rsidP="00925F26">
      <w:pPr>
        <w:autoSpaceDE w:val="0"/>
        <w:autoSpaceDN w:val="0"/>
        <w:adjustRightInd w:val="0"/>
        <w:jc w:val="both"/>
        <w:rPr>
          <w:iCs/>
          <w:color w:val="000000" w:themeColor="text1"/>
          <w:sz w:val="16"/>
          <w:szCs w:val="16"/>
        </w:rPr>
      </w:pPr>
    </w:p>
    <w:p w14:paraId="0369066C" w14:textId="77777777" w:rsidR="00503A32" w:rsidRPr="00925F26" w:rsidRDefault="00503A32" w:rsidP="00925F26">
      <w:pPr>
        <w:jc w:val="both"/>
        <w:rPr>
          <w:color w:val="000000" w:themeColor="text1"/>
          <w:sz w:val="16"/>
          <w:szCs w:val="16"/>
        </w:rPr>
      </w:pPr>
      <w:r w:rsidRPr="00925F26">
        <w:rPr>
          <w:bCs/>
          <w:color w:val="000000" w:themeColor="text1"/>
          <w:sz w:val="16"/>
          <w:szCs w:val="16"/>
        </w:rPr>
        <w:t>30 марта</w:t>
      </w:r>
      <w:r w:rsidRPr="00925F26">
        <w:rPr>
          <w:color w:val="000000" w:themeColor="text1"/>
          <w:sz w:val="16"/>
          <w:szCs w:val="16"/>
        </w:rPr>
        <w:t xml:space="preserve"> в 1945 году оперативная сводка Совинформбюро:</w:t>
      </w:r>
    </w:p>
    <w:p w14:paraId="6F280C83"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2-го Белорусского фронта завершили разгром Данцигской группы немцев и 30 марта штурмом овладели городом и крепостью Гданьск (Данциг)— важнейшим портом и первоклассной военно-морской базой немцев на Балтийском море.</w:t>
      </w:r>
    </w:p>
    <w:p w14:paraId="6E74EF07" w14:textId="77777777" w:rsidR="00503A32" w:rsidRPr="00925F26" w:rsidRDefault="00503A32" w:rsidP="00925F26">
      <w:pPr>
        <w:jc w:val="both"/>
        <w:rPr>
          <w:color w:val="000000" w:themeColor="text1"/>
          <w:sz w:val="16"/>
          <w:szCs w:val="16"/>
        </w:rPr>
      </w:pPr>
      <w:r w:rsidRPr="00925F26">
        <w:rPr>
          <w:color w:val="000000" w:themeColor="text1"/>
          <w:sz w:val="16"/>
          <w:szCs w:val="16"/>
        </w:rPr>
        <w:t>Над Гданьском поднят национальный флаг Польского государства.</w:t>
      </w:r>
    </w:p>
    <w:p w14:paraId="1702E00C" w14:textId="77777777" w:rsidR="00503A32" w:rsidRPr="00925F26" w:rsidRDefault="00503A32" w:rsidP="00925F26">
      <w:pPr>
        <w:jc w:val="both"/>
        <w:rPr>
          <w:color w:val="000000" w:themeColor="text1"/>
          <w:sz w:val="16"/>
          <w:szCs w:val="16"/>
        </w:rPr>
      </w:pPr>
      <w:r w:rsidRPr="00925F26">
        <w:rPr>
          <w:color w:val="000000" w:themeColor="text1"/>
          <w:sz w:val="16"/>
          <w:szCs w:val="16"/>
        </w:rPr>
        <w:t>В боях за город Гданьск войска фронта взяли в плен 10.000 немецких солдат и офицеров, а также захватили следующие трофеи: самолётов — 84, танков и самоходных орудий—140, полевых орудий—358, миномётов—566, пулемётов—1.397, бронепоездов—15, подводных лодок—45, паровозов—306, железнодорожных вагонов — 6.675, судов различного тоннажа—151, складов с вооружением, боеприпасами и продовольствием—214. Противник потерял только убитыми более 39.000 солдат и офицеров.</w:t>
      </w:r>
    </w:p>
    <w:p w14:paraId="6459F39D" w14:textId="77777777" w:rsidR="00503A32" w:rsidRPr="00925F26" w:rsidRDefault="00503A32" w:rsidP="00925F26">
      <w:pPr>
        <w:jc w:val="both"/>
        <w:rPr>
          <w:color w:val="000000" w:themeColor="text1"/>
          <w:sz w:val="16"/>
          <w:szCs w:val="16"/>
        </w:rPr>
      </w:pPr>
      <w:r w:rsidRPr="00925F26">
        <w:rPr>
          <w:color w:val="000000" w:themeColor="text1"/>
          <w:sz w:val="16"/>
          <w:szCs w:val="16"/>
        </w:rPr>
        <w:t>В районах Глогау и Бреслау продолжались бои по уничтожению окружённых войск противника.</w:t>
      </w:r>
    </w:p>
    <w:p w14:paraId="69E3C445"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2-го Украинского фронта, перейдя в наступление, форсировали реки Грон и Нитра, прорвали оборону противника по западным берегам этих рек и, продвинувшись вперёд на 50 километров, овладели городами Комарно, Новы Замки, Шураны, Комьятице, Врабле — сильными опорными пунктами обороны немцев</w:t>
      </w:r>
    </w:p>
    <w:p w14:paraId="61ED7D08" w14:textId="77777777" w:rsidR="00503A32" w:rsidRPr="00925F26" w:rsidRDefault="00503A32" w:rsidP="00925F26">
      <w:pPr>
        <w:jc w:val="both"/>
        <w:rPr>
          <w:color w:val="000000" w:themeColor="text1"/>
          <w:sz w:val="16"/>
          <w:szCs w:val="16"/>
        </w:rPr>
      </w:pPr>
      <w:r w:rsidRPr="00925F26">
        <w:rPr>
          <w:color w:val="000000" w:themeColor="text1"/>
          <w:sz w:val="16"/>
          <w:szCs w:val="16"/>
        </w:rPr>
        <w:t>на Братиславском направлении, а также заняли более 450 других населённых пунктов, в числе которых крупные населённые пункты Нова Баня, Волковце, Лок, Фарнад, Солдины, Кебелкут, Мужла, Топольчанки, Млынянске-Тесари, Двори, Пербете, Марселова, Ежкова-Нова-Вес, Коварце, Опонице, Жираны, Иван-Ка, Цабай-Чапор, Урмин, Тардошкед, Селице, Словацкий Медер, Андод, Насвад и железнодорожные станции Топольчанки, Злате, Моравце, Млынянске-Тесари, Святой Михал, Иванка, Тардошкед. Одновременно войсна фронта, наступая по южному берегу ДУНАЯ, заняли более 30 населённых пунктов; среди них — Надьбайч, Альшовамош, Бача, Икрени, Раба-Патона, Энеше, Кони, Бези, Тарнокрэты, Барбач. В боях за 29 марта войска фронта взяли в плен более 1.000 солдат и офицеров противника.</w:t>
      </w:r>
    </w:p>
    <w:p w14:paraId="6EE2804F"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3-го Украинского фронта, продолжая наступление к западу от озера Балатон, 30 марта овладели городами Залаэгерсег и Кестель, а также заняли более 150 других населённых пунктов, в том числе Дементер, Фельшеоско, Андрашфа, Каратфельд, Богод, Нагикапорнак, Неметфалу.</w:t>
      </w:r>
    </w:p>
    <w:p w14:paraId="02613FD4" w14:textId="77777777" w:rsidR="00503A32" w:rsidRPr="00925F26" w:rsidRDefault="00503A32" w:rsidP="00925F26">
      <w:pPr>
        <w:jc w:val="both"/>
        <w:rPr>
          <w:color w:val="000000" w:themeColor="text1"/>
          <w:sz w:val="16"/>
          <w:szCs w:val="16"/>
        </w:rPr>
      </w:pPr>
      <w:r w:rsidRPr="00925F26">
        <w:rPr>
          <w:color w:val="000000" w:themeColor="text1"/>
          <w:sz w:val="16"/>
          <w:szCs w:val="16"/>
        </w:rPr>
        <w:t>Одновременно войска фронта совместно с войсками болгарской армии прорвали оборону противника южнее озера Балатон и, продвинувшись вперёд до 30 километров, овладели городами Надьбайом, Бегене, Марцали и Надьятад — сильными опорными пунктами обороны немцев, прикрывающими нефтяной район Надьканижа, а также заняли более 100 других населённых пунктов, в том числе крупные населённые пункты Керестур, Берень, Верш, Кетель, Местегне, Тапшонь, Немешдед, Вейсе, Фелшешегешд, Шомодьсоб, Болхаш, Тарани, Белавар и железнодорожные станции Керестур, Кетель, Дьетапуста, Местегне, Альшошегешд, Шомодьсоб, Визвар.</w:t>
      </w:r>
    </w:p>
    <w:p w14:paraId="67DA557F"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фронта севернее города Кесег пересекли австрийскую границу и вступили на территорию Австрии.</w:t>
      </w:r>
    </w:p>
    <w:p w14:paraId="3E0ECCCB" w14:textId="77777777" w:rsidR="00503A32" w:rsidRPr="00925F26" w:rsidRDefault="00503A32"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58D3688D" w14:textId="77777777" w:rsidR="00503A32" w:rsidRPr="00925F26" w:rsidRDefault="00503A32" w:rsidP="00925F26">
      <w:pPr>
        <w:jc w:val="both"/>
        <w:rPr>
          <w:color w:val="000000" w:themeColor="text1"/>
          <w:sz w:val="16"/>
          <w:szCs w:val="16"/>
        </w:rPr>
      </w:pPr>
      <w:r w:rsidRPr="00925F26">
        <w:rPr>
          <w:color w:val="000000" w:themeColor="text1"/>
          <w:sz w:val="16"/>
          <w:szCs w:val="16"/>
        </w:rPr>
        <w:t>За 29 марта на всех фронтах подбито и уничтожено 78 немецких танков и самоходных орудий. В воздушных боях и огнём зенитной артиллерии сбито 8 самолётов противника.</w:t>
      </w:r>
    </w:p>
    <w:p w14:paraId="415EDD23" w14:textId="77777777" w:rsidR="00503A32" w:rsidRPr="00925F26" w:rsidRDefault="00503A32" w:rsidP="00925F26">
      <w:pPr>
        <w:jc w:val="both"/>
        <w:rPr>
          <w:color w:val="000000" w:themeColor="text1"/>
          <w:sz w:val="16"/>
          <w:szCs w:val="16"/>
        </w:rPr>
      </w:pPr>
      <w:r w:rsidRPr="00925F26">
        <w:rPr>
          <w:color w:val="000000" w:themeColor="text1"/>
          <w:sz w:val="16"/>
          <w:szCs w:val="16"/>
        </w:rPr>
        <w:t>Налёт нашей авиации на город Винер Нойштадт в Австрии.</w:t>
      </w:r>
    </w:p>
    <w:p w14:paraId="6F56617A" w14:textId="77777777" w:rsidR="00503A32" w:rsidRPr="00925F26" w:rsidRDefault="00503A32" w:rsidP="00925F26">
      <w:pPr>
        <w:jc w:val="both"/>
        <w:rPr>
          <w:color w:val="000000" w:themeColor="text1"/>
          <w:sz w:val="16"/>
          <w:szCs w:val="16"/>
        </w:rPr>
      </w:pPr>
      <w:r w:rsidRPr="00925F26">
        <w:rPr>
          <w:color w:val="000000" w:themeColor="text1"/>
          <w:sz w:val="16"/>
          <w:szCs w:val="16"/>
        </w:rPr>
        <w:t>В ночь на 30 марта наши тяжёлые бомбардировщики нанести удар по военным объектам противника в городе Винер Нойштадт в Австрии. В результате бомбардировки возникли пожары, сопровождавшие взрывами большой силы.</w:t>
      </w:r>
    </w:p>
    <w:p w14:paraId="5FE67663" w14:textId="77777777" w:rsidR="00503A32" w:rsidRPr="00925F26" w:rsidRDefault="00503A32" w:rsidP="00925F26">
      <w:pPr>
        <w:jc w:val="both"/>
        <w:rPr>
          <w:color w:val="000000" w:themeColor="text1"/>
          <w:sz w:val="16"/>
          <w:szCs w:val="16"/>
        </w:rPr>
      </w:pPr>
      <w:r w:rsidRPr="00925F26">
        <w:rPr>
          <w:color w:val="000000" w:themeColor="text1"/>
          <w:sz w:val="16"/>
          <w:szCs w:val="16"/>
        </w:rPr>
        <w:t xml:space="preserve">Войска 2-го Белорусского фронта сегодня штурмом овладели городом и крепостью Гданьск (Данциг). Противник подготовил город к длительной обороне. Подступы к нему прикрывал мощный укреплённый район, состоящий из трёх оборонительных рубежей. Все населённые пункты в этом районе немцы превратили в опорные пункты и приспособили их для круговой обороны. На окраинах города были сооружены железобетонные доты, казематы для полевой и береговой артиллерии и подземные убежища для личного состава. Каменные здания приспособлены под огневые точки и соединены между собой ходами сообщения. На улицах города гитлеровцы отрыли траншеи и построили заграждения, за которыми были установлены орудия для стрельбы прямой наводкой. Город обороняли крупные силы немецких войск, поддержанные огнем артиллерии военных кораблей. Пленные сообщили, что Гитлер отдал своим войскам строжайший приказ защищать Данциг до последнего солдата. Опираясь на крепость и очень выгодные позиции, немцы рассчитывали надолго сковать под Гданьском крупные силы Красной Армии. Однако планы гитлеровцев были сорваны умелыми и решительными действиями советских войск. Наши пехотинцы и танкисты, поддержанные артиллерией и авиацией, наступая с юга, запада и севера, прорвали оборону немцев и очищали от вражеских войск квартал </w:t>
      </w:r>
      <w:proofErr w:type="gramStart"/>
      <w:r w:rsidRPr="00925F26">
        <w:rPr>
          <w:color w:val="000000" w:themeColor="text1"/>
          <w:sz w:val="16"/>
          <w:szCs w:val="16"/>
        </w:rPr>
        <w:t>за кварталам</w:t>
      </w:r>
      <w:proofErr w:type="gramEnd"/>
      <w:r w:rsidRPr="00925F26">
        <w:rPr>
          <w:color w:val="000000" w:themeColor="text1"/>
          <w:sz w:val="16"/>
          <w:szCs w:val="16"/>
        </w:rPr>
        <w:t>. Сегодня советские части, сломив сопротивление противника, овладели восточной частью города. Занят последний оплот обороны немцев в Гданьске — бастионы в юго-западной части города. Таким образом, войска 2-го Белорусского фронта за короткое время сокрушили мощную вражескую оборону, разгромили крупную группу немецких войск и овладели Гданьском — важнейшим портом и первоклассной военно-морской базой немцев на Балтийском море.</w:t>
      </w:r>
    </w:p>
    <w:p w14:paraId="2758918D" w14:textId="77777777" w:rsidR="00503A32" w:rsidRPr="00925F26" w:rsidRDefault="00503A32" w:rsidP="00925F26">
      <w:pPr>
        <w:jc w:val="both"/>
        <w:rPr>
          <w:color w:val="000000" w:themeColor="text1"/>
          <w:sz w:val="16"/>
          <w:szCs w:val="16"/>
        </w:rPr>
      </w:pPr>
      <w:r w:rsidRPr="00925F26">
        <w:rPr>
          <w:color w:val="000000" w:themeColor="text1"/>
          <w:sz w:val="16"/>
          <w:szCs w:val="16"/>
        </w:rPr>
        <w:t>В боях за Гданьск немцы потеряли пленными и убитыми более 49.000 солдат и офицеров. Уничтожено много танков, сотни орудий, миномётов и другого вооружения противника.</w:t>
      </w:r>
    </w:p>
    <w:p w14:paraId="0BD4A30C"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2-го Украинского фронта перешли в наступление на Братиславском направлении. Несколько дней назад советские передовые отряды под прикрытием артиллерийского огня переправились через реку Грон и стремительной атакой заняли два опорных пункта на её западном берегу. За рекой завязались ожесточённые бои. Немцы, пытаясь отбросить наши передовые отряды, неоднократно переходили в контратаки. Тем временем по переправам, наведённым нашими инженерными подразделениями, через Грон переправились основные советские силы. После артиллерийской и авиационной подготовки наши войска перешли в наступление и прорвали долговременную и глубоко эшелонированную оборону немцев. Противник, подтянув из тыла резервы, оказывал упорное сопротивление. Отбрасывая немцев, советские части овладели городом Врабле. Развивая успех, наши войска на широком фронте вьшли на реку Нитра и в ряде мест с хода форсировали эту серьёзную водную преграду. Советские подвижные соединения ворвались на улицы города Новы Замки и после упорного боя овладели им. Советские пехотинцы, при поддержке кораблей Дунайской флотилии, стремительным ударом заняли также город Комарно—крупный промышленный центр Чехословакии. В городе имеются судостроительные верфи, нефтеперегонный, машиностроительный, снарядный и другие заводы. Нашими войсками захвачены большие трофеи.</w:t>
      </w:r>
    </w:p>
    <w:p w14:paraId="777FA825"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3-го Украинского фронта продолжали успешное наступление. Советские части продвинулись вдоль реки Зала на 20 километров и выбили немцев из города Залаэгерсет — узла железных дорог. Гитлеровцы предприняли контратаку, но были отброшены с большими для них потерями. Другие наши части овладели городом Кестель и тем самым очистили от противника северо-западное побережье озера Балатон. В боях за день уничтожено свыше 3 тысяч немецких солдат и офицеров. Захвачено у немцев 30 самолётов, 31 танк, 13 бронетранспортёров, 47 полевых орудий, много миномётов, пулемётов и склады с военным имуществом. Взято большое число пленных.» (15084).</w:t>
      </w:r>
    </w:p>
    <w:p w14:paraId="77629AC2" w14:textId="77777777" w:rsidR="00503A32" w:rsidRPr="00925F26" w:rsidRDefault="00503A32" w:rsidP="00925F26">
      <w:pPr>
        <w:jc w:val="both"/>
        <w:rPr>
          <w:color w:val="000000" w:themeColor="text1"/>
          <w:sz w:val="16"/>
          <w:szCs w:val="16"/>
        </w:rPr>
      </w:pPr>
    </w:p>
    <w:p w14:paraId="1CD806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марта и 1 апреля 1945, наиболее опытными летчи</w:t>
      </w:r>
      <w:r w:rsidRPr="00925F26">
        <w:rPr>
          <w:color w:val="000000" w:themeColor="text1"/>
          <w:sz w:val="16"/>
          <w:szCs w:val="16"/>
        </w:rPr>
        <w:softHyphen/>
        <w:t>ками 108 гвардейского штурмового полка были выполнены испыта</w:t>
      </w:r>
      <w:r w:rsidRPr="00925F26">
        <w:rPr>
          <w:color w:val="000000" w:themeColor="text1"/>
          <w:sz w:val="16"/>
          <w:szCs w:val="16"/>
        </w:rPr>
        <w:softHyphen/>
        <w:t>тельные полеты с целью определения надежности в работе стрелково-</w:t>
      </w:r>
      <w:proofErr w:type="gramStart"/>
      <w:r w:rsidRPr="00925F26">
        <w:rPr>
          <w:color w:val="000000" w:themeColor="text1"/>
          <w:sz w:val="16"/>
          <w:szCs w:val="16"/>
        </w:rPr>
        <w:t>пу-шечного</w:t>
      </w:r>
      <w:proofErr w:type="gramEnd"/>
      <w:r w:rsidRPr="00925F26">
        <w:rPr>
          <w:color w:val="000000" w:themeColor="text1"/>
          <w:sz w:val="16"/>
          <w:szCs w:val="16"/>
        </w:rPr>
        <w:t xml:space="preserve"> и бомбового вооружения «десятки». Всего было выполнено 8 испытательных полетов с налетом 5 часов 30 минут. Пушки и пулеметы ра</w:t>
      </w:r>
      <w:r w:rsidRPr="00925F26">
        <w:rPr>
          <w:color w:val="000000" w:themeColor="text1"/>
          <w:sz w:val="16"/>
          <w:szCs w:val="16"/>
        </w:rPr>
        <w:softHyphen/>
        <w:t>ботали как часы. Зависания бомб не наблюдалось. Только в одном случае произошел отказ ЭСБР-Зп (11157).</w:t>
      </w:r>
    </w:p>
    <w:p w14:paraId="267D55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1537CB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марта 1945 советские войска пересекли границу Австрии (4962).</w:t>
      </w:r>
    </w:p>
    <w:p w14:paraId="6AE531C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B2A3C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 xml:space="preserve">30 марта 1945 советские войска вошли в Австрию </w:t>
      </w:r>
      <w:r w:rsidRPr="00925F26">
        <w:rPr>
          <w:color w:val="000000" w:themeColor="text1"/>
          <w:sz w:val="16"/>
          <w:szCs w:val="16"/>
          <w:lang w:val="en-US"/>
        </w:rPr>
        <w:t>(2100).</w:t>
      </w:r>
    </w:p>
    <w:p w14:paraId="61432F36" w14:textId="77777777" w:rsidR="00665165" w:rsidRPr="00925F26" w:rsidRDefault="00665165" w:rsidP="00925F26">
      <w:pPr>
        <w:autoSpaceDE w:val="0"/>
        <w:autoSpaceDN w:val="0"/>
        <w:adjustRightInd w:val="0"/>
        <w:jc w:val="both"/>
        <w:rPr>
          <w:color w:val="000000" w:themeColor="text1"/>
          <w:sz w:val="16"/>
          <w:szCs w:val="16"/>
          <w:lang w:val="en-US"/>
        </w:rPr>
      </w:pPr>
    </w:p>
    <w:p w14:paraId="697723E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30th, 1945: On the Oder front, German troops of Heeresgruppe Weichsel (Heinrici) evacuate their last remaining bridgehead at Wollin N of Stettin (3819).</w:t>
      </w:r>
    </w:p>
    <w:p w14:paraId="1AAA17DD" w14:textId="77777777" w:rsidR="00665165" w:rsidRPr="00925F26" w:rsidRDefault="00665165" w:rsidP="00925F26">
      <w:pPr>
        <w:autoSpaceDE w:val="0"/>
        <w:autoSpaceDN w:val="0"/>
        <w:adjustRightInd w:val="0"/>
        <w:jc w:val="both"/>
        <w:rPr>
          <w:color w:val="000000" w:themeColor="text1"/>
          <w:sz w:val="16"/>
          <w:szCs w:val="16"/>
          <w:lang w:val="en-US"/>
        </w:rPr>
      </w:pPr>
    </w:p>
    <w:p w14:paraId="0A6227D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30 1945 Soviet troops capture Danzig (1050).</w:t>
      </w:r>
    </w:p>
    <w:p w14:paraId="729E4F0B" w14:textId="77777777" w:rsidR="00665165" w:rsidRPr="00925F26" w:rsidRDefault="00665165" w:rsidP="00925F26">
      <w:pPr>
        <w:autoSpaceDE w:val="0"/>
        <w:autoSpaceDN w:val="0"/>
        <w:adjustRightInd w:val="0"/>
        <w:jc w:val="both"/>
        <w:rPr>
          <w:color w:val="000000" w:themeColor="text1"/>
          <w:sz w:val="16"/>
          <w:szCs w:val="16"/>
          <w:lang w:val="en-US"/>
        </w:rPr>
      </w:pPr>
    </w:p>
    <w:p w14:paraId="3E4B5C3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марта 1945 советские войска взяли Данциг (Гданьск) (4962).</w:t>
      </w:r>
    </w:p>
    <w:p w14:paraId="6C1CC61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6E8A8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СА взяла Данциг (1050).</w:t>
      </w:r>
    </w:p>
    <w:p w14:paraId="4691C3BF" w14:textId="77777777" w:rsidR="00665165" w:rsidRPr="00925F26" w:rsidRDefault="00665165" w:rsidP="00925F26">
      <w:pPr>
        <w:autoSpaceDE w:val="0"/>
        <w:autoSpaceDN w:val="0"/>
        <w:adjustRightInd w:val="0"/>
        <w:jc w:val="both"/>
        <w:rPr>
          <w:color w:val="000000" w:themeColor="text1"/>
          <w:sz w:val="16"/>
          <w:szCs w:val="16"/>
        </w:rPr>
      </w:pPr>
    </w:p>
    <w:p w14:paraId="610F5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на аэродром Балбасово прибыли три B-24J из Венгрии. Бомбардировщики собирались па аэродромы Сомбор в Югославии, Кечкемет и Печ в Венгрии, а оттуда перегонялись под Оршу (3457,117).</w:t>
      </w:r>
    </w:p>
    <w:p w14:paraId="25711CA1" w14:textId="77777777" w:rsidR="00665165" w:rsidRPr="00925F26" w:rsidRDefault="00665165" w:rsidP="00925F26">
      <w:pPr>
        <w:autoSpaceDE w:val="0"/>
        <w:autoSpaceDN w:val="0"/>
        <w:adjustRightInd w:val="0"/>
        <w:jc w:val="both"/>
        <w:rPr>
          <w:color w:val="000000" w:themeColor="text1"/>
          <w:sz w:val="16"/>
          <w:szCs w:val="16"/>
        </w:rPr>
      </w:pPr>
    </w:p>
    <w:p w14:paraId="7F6417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в Schnaisemule захватили севший на вынужденную посадку из-за проблем с двигателем Me 262A-2 N 110426, на котором после ремонта совершил первый полет А.Г.Кочетков 15 августа 1945 (2466,131).</w:t>
      </w:r>
    </w:p>
    <w:p w14:paraId="3DEEAF68" w14:textId="77777777" w:rsidR="00665165" w:rsidRPr="00925F26" w:rsidRDefault="00665165" w:rsidP="00925F26">
      <w:pPr>
        <w:autoSpaceDE w:val="0"/>
        <w:autoSpaceDN w:val="0"/>
        <w:adjustRightInd w:val="0"/>
        <w:jc w:val="both"/>
        <w:rPr>
          <w:color w:val="000000" w:themeColor="text1"/>
          <w:sz w:val="16"/>
          <w:szCs w:val="16"/>
        </w:rPr>
      </w:pPr>
    </w:p>
    <w:p w14:paraId="08CC00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30 мар</w:t>
      </w:r>
      <w:r w:rsidRPr="00925F26">
        <w:rPr>
          <w:color w:val="000000" w:themeColor="text1"/>
          <w:sz w:val="16"/>
          <w:szCs w:val="16"/>
        </w:rPr>
        <w:softHyphen/>
        <w:t>та 1945 г. вышел Боевом приказ №2 штаба 4 корпуса ПВО: «Противник ведет оборо</w:t>
      </w:r>
      <w:r w:rsidRPr="00925F26">
        <w:rPr>
          <w:color w:val="000000" w:themeColor="text1"/>
          <w:sz w:val="16"/>
          <w:szCs w:val="16"/>
        </w:rPr>
        <w:softHyphen/>
        <w:t>нительные бои на участке 1-го Бело</w:t>
      </w:r>
      <w:r w:rsidRPr="00925F26">
        <w:rPr>
          <w:color w:val="000000" w:themeColor="text1"/>
          <w:sz w:val="16"/>
          <w:szCs w:val="16"/>
        </w:rPr>
        <w:softHyphen/>
        <w:t>русского фронта... При налетах на переправы через р. Одер противник применяет самолеты-снаряды «Фау-1», буксируемые самолетами типа Хе- 111» (10791).</w:t>
      </w:r>
    </w:p>
    <w:p w14:paraId="153163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C5C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марта 1945 оперативный штаб Люфтваффе уведомил командира KG200 оберст-лейтенанта Баумбаха о том, что операция «Железный молот» откладывается.</w:t>
      </w:r>
    </w:p>
    <w:p w14:paraId="17B87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февраля, 23 мая и 28 июля 1944 Шпеер трижды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И наконец, в январе 1945 г. Гитлер отдал приказ о подготовке к операции, получившей кодовое наименование «Железный молот». 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 В начале апреля предназначенные для нее «Мистелы» использовались для атак железнодорожных мостов через Вислу и Одер, по которым к советским войскам шли составы с пополнением, техникой и снаряжением. А точку в операции, возможность которой еще рассматривалась, поставили американцы. 10 апреля стратегические бомбардировщики В-17 и В-24 из 8-й воздушной армии США, сбросив сотни тонн бомб на аэродромы Брист, Ораниенбург, Рехлин, Бург, Пархим и Нойруппин, превратили большую часть из них и прилегающие районы в лунный пейзаж. Среди уничтоженных самолетов были и 23 комплекса «Мистел-2». Этот удар окончательно похоронил немецкие планы атаки городов Поволжья (11744).</w:t>
      </w:r>
    </w:p>
    <w:p w14:paraId="1B357FB3" w14:textId="77777777" w:rsidR="00665165" w:rsidRPr="00925F26" w:rsidRDefault="00665165" w:rsidP="00925F26">
      <w:pPr>
        <w:autoSpaceDE w:val="0"/>
        <w:autoSpaceDN w:val="0"/>
        <w:adjustRightInd w:val="0"/>
        <w:jc w:val="both"/>
        <w:rPr>
          <w:color w:val="000000" w:themeColor="text1"/>
          <w:sz w:val="16"/>
          <w:szCs w:val="16"/>
        </w:rPr>
      </w:pPr>
    </w:p>
    <w:p w14:paraId="6E70C93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30 марта 1945 оперативный штаб Люфтваффе уведомил командира KG200 оберст-лейтенанта Баумбаха о том, что операция «Железный молот» откладывается. В начале апреля предназначенные для нее «Мистелы» использовались для атак железнодорожных мостов через Вислу и Одер, по которым к советским войскам шли составы с пополнением, техникой и снаряжением. А точку в операции, возможность которой еще рассматривалась, поставили американцы. 10 апреля стратегические бомбардировщики В-17 и В-24 из 8-й воздушной армии США, сбросив сотни тонн бомб на аэродромы Брист, Ораниенбург, Рехлин, Бург, Пархим и Нойруппин, превратили большую часть из них и прилегающие районы в лунный пейзаж. Среди уничтоженных самолетов были и 23 комплекса «Мистел-2». Этот удар окончательно похоронил немецкие планы атаки городов Поволжья (11742).</w:t>
      </w:r>
    </w:p>
    <w:p w14:paraId="77E374D4" w14:textId="77777777" w:rsidR="00665165" w:rsidRPr="00925F26" w:rsidRDefault="00665165" w:rsidP="00925F26">
      <w:pPr>
        <w:widowControl w:val="0"/>
        <w:autoSpaceDE w:val="0"/>
        <w:autoSpaceDN w:val="0"/>
        <w:adjustRightInd w:val="0"/>
        <w:jc w:val="both"/>
        <w:rPr>
          <w:color w:val="000000" w:themeColor="text1"/>
          <w:sz w:val="16"/>
          <w:szCs w:val="16"/>
        </w:rPr>
      </w:pPr>
    </w:p>
    <w:p w14:paraId="6C05D7FB" w14:textId="77777777" w:rsidR="00503A32"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73BB8D6" w14:textId="77777777" w:rsidR="00503A32" w:rsidRPr="00925F26" w:rsidRDefault="00503A32" w:rsidP="00925F26">
      <w:pPr>
        <w:autoSpaceDE w:val="0"/>
        <w:autoSpaceDN w:val="0"/>
        <w:adjustRightInd w:val="0"/>
        <w:jc w:val="both"/>
        <w:rPr>
          <w:iCs/>
          <w:color w:val="000000" w:themeColor="text1"/>
          <w:sz w:val="16"/>
          <w:szCs w:val="16"/>
        </w:rPr>
      </w:pPr>
    </w:p>
    <w:p w14:paraId="092EBEF0" w14:textId="77777777" w:rsidR="00503A32" w:rsidRPr="00925F26" w:rsidRDefault="00503A32" w:rsidP="00925F26">
      <w:pPr>
        <w:autoSpaceDE w:val="0"/>
        <w:autoSpaceDN w:val="0"/>
        <w:adjustRightInd w:val="0"/>
        <w:jc w:val="both"/>
        <w:rPr>
          <w:color w:val="000000" w:themeColor="text1"/>
          <w:sz w:val="16"/>
          <w:szCs w:val="16"/>
        </w:rPr>
      </w:pPr>
      <w:r w:rsidRPr="00925F26">
        <w:rPr>
          <w:color w:val="000000" w:themeColor="text1"/>
          <w:sz w:val="16"/>
          <w:szCs w:val="16"/>
        </w:rPr>
        <w:t>30 марта 1945 года И.В. Курчатов представил отзыв на материалы ГРУ "О немецкой атомной бомбе". Материал содержал описание конструкции немецкой атомной бомбы, предназначенной для транспортировки на ракете "Фау". В нем, в частности, отмечалось, что перевод U-235 через критичность производился взрывом окружающего ядерный заряд состава из пористого тротила и жидкого кислорода. Цепная реакция инициировалась быстрыми нейтронами при помощи высоковольтной разрядной трубки, питаемой от специальных генераторов. И.В. Курчатов отметил, что все детали конструкции вполне правдоподобны и совпадают с теми, которые у нас кладутся в основу проектирования атомной бомбы (10549).</w:t>
      </w:r>
    </w:p>
    <w:p w14:paraId="615FC4D1" w14:textId="77777777" w:rsidR="00503A32" w:rsidRPr="00925F26" w:rsidRDefault="00503A32" w:rsidP="00925F26">
      <w:pPr>
        <w:autoSpaceDE w:val="0"/>
        <w:autoSpaceDN w:val="0"/>
        <w:adjustRightInd w:val="0"/>
        <w:jc w:val="both"/>
        <w:rPr>
          <w:color w:val="000000" w:themeColor="text1"/>
          <w:sz w:val="16"/>
          <w:szCs w:val="16"/>
        </w:rPr>
      </w:pPr>
    </w:p>
    <w:p w14:paraId="11D3A92C" w14:textId="3DE2A3D7" w:rsidR="001C3F7A" w:rsidRPr="001C3F7A" w:rsidRDefault="001C3F7A" w:rsidP="00925F26">
      <w:pPr>
        <w:autoSpaceDE w:val="0"/>
        <w:autoSpaceDN w:val="0"/>
        <w:adjustRightInd w:val="0"/>
        <w:jc w:val="both"/>
        <w:rPr>
          <w:color w:val="0070C0"/>
          <w:sz w:val="16"/>
          <w:szCs w:val="16"/>
        </w:rPr>
      </w:pPr>
      <w:r w:rsidRPr="001C3F7A">
        <w:rPr>
          <w:color w:val="0070C0"/>
          <w:sz w:val="16"/>
          <w:szCs w:val="16"/>
        </w:rPr>
        <w:t>30 марта 1945 года советские войска, взяв Данциг (Гданьск), обнаружили корпуса новейших немецких подлодок XXI серии и секции для ПЛ. НК ВМФ приказом № 0086 от 3 мая 1945 года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 27 в Ленинграде разрабатывало проект 614 - достройки немецких ПЛ XXI серии. Его реализации воспрепятствовало решение Берлинской (Потсдамской) конференции (17 июля - 2 августа 1945 г.):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Малая подлодка типа «М&gt;&gt; XV серии (проекта 96) В состав ВМФ СССР наряду с немецкими надводными боевыми кораблями вошли 10 германских подлодок</w:t>
      </w:r>
      <w:proofErr w:type="gramStart"/>
      <w:r w:rsidRPr="001C3F7A">
        <w:rPr>
          <w:color w:val="0070C0"/>
          <w:sz w:val="16"/>
          <w:szCs w:val="16"/>
        </w:rPr>
        <w:t>30 :</w:t>
      </w:r>
      <w:proofErr w:type="gramEnd"/>
      <w:r w:rsidRPr="001C3F7A">
        <w:rPr>
          <w:color w:val="0070C0"/>
          <w:sz w:val="16"/>
          <w:szCs w:val="16"/>
        </w:rPr>
        <w:t xml:space="preserve"> 4 - типа VII, одна - типа IX и 5 новейших, в т.ч. 4 - типа XXI и одна - XXIII. Их изучили советские специалисты. Этому способствовала и эксплуатация трофейных ПЛ. К слову, немецкий опыт активно использовали на Западе. Изучив немецкие ПЛ XXI серии, в США реализовали программу GUPPY (Greater Underwater Propulsion Power Program) - модернизации до германских стандартов всех находившихся в строю американских ПЛ, построенных до и во время войны. А подлодки США типа «Tang» и «Darter» стали развитием конструкции немецких XXI серии. В Великобритании результатом использования немецкого опыта стали ПЛ типов «Porpoise» и «</w:t>
      </w:r>
      <w:proofErr w:type="gramStart"/>
      <w:r w:rsidRPr="001C3F7A">
        <w:rPr>
          <w:color w:val="0070C0"/>
          <w:sz w:val="16"/>
          <w:szCs w:val="16"/>
        </w:rPr>
        <w:t>Oberon,,</w:t>
      </w:r>
      <w:proofErr w:type="gramEnd"/>
      <w:r w:rsidRPr="001C3F7A">
        <w:rPr>
          <w:color w:val="0070C0"/>
          <w:sz w:val="16"/>
          <w:szCs w:val="16"/>
        </w:rPr>
        <w:t xml:space="preserve"> (25789).</w:t>
      </w:r>
    </w:p>
    <w:p w14:paraId="29A75FFD" w14:textId="77777777" w:rsidR="001C3F7A" w:rsidRPr="001C3F7A" w:rsidRDefault="001C3F7A" w:rsidP="00925F26">
      <w:pPr>
        <w:autoSpaceDE w:val="0"/>
        <w:autoSpaceDN w:val="0"/>
        <w:adjustRightInd w:val="0"/>
        <w:jc w:val="both"/>
        <w:rPr>
          <w:color w:val="0070C0"/>
          <w:sz w:val="16"/>
          <w:szCs w:val="16"/>
        </w:rPr>
      </w:pPr>
    </w:p>
    <w:p w14:paraId="320E78A4" w14:textId="000DBA0E"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03708F0" w14:textId="77777777" w:rsidR="00665165" w:rsidRPr="00925F26" w:rsidRDefault="00665165" w:rsidP="00925F26">
      <w:pPr>
        <w:autoSpaceDE w:val="0"/>
        <w:autoSpaceDN w:val="0"/>
        <w:adjustRightInd w:val="0"/>
        <w:jc w:val="both"/>
        <w:rPr>
          <w:iCs/>
          <w:color w:val="000000" w:themeColor="text1"/>
          <w:sz w:val="16"/>
          <w:szCs w:val="16"/>
        </w:rPr>
      </w:pPr>
    </w:p>
    <w:p w14:paraId="414C1505" w14:textId="77777777" w:rsidR="00EE5230" w:rsidRPr="00925F26" w:rsidRDefault="00EE5230" w:rsidP="00925F26">
      <w:pPr>
        <w:jc w:val="both"/>
        <w:rPr>
          <w:color w:val="000000" w:themeColor="text1"/>
          <w:sz w:val="16"/>
          <w:szCs w:val="16"/>
        </w:rPr>
      </w:pPr>
      <w:r w:rsidRPr="00925F26">
        <w:rPr>
          <w:color w:val="000000" w:themeColor="text1"/>
          <w:sz w:val="16"/>
          <w:szCs w:val="16"/>
        </w:rPr>
        <w:t>До 30 марта 1945 г. по Англии было запущено 10.068 ракет Фау-1 (из них 8892 с наземных установок, 1376 с самолётов); около 3200 упали на её территории, в том числе 2419 достигли Лондона, убив 6184 человек и тяжело ранив 17.981. Легкие ранения или средней тяжести получили 23.174 человека. В сумме — 47.339 человек. Выходит, что от каждой ракеты, упавшей в Лондоне, погибали или получали ранения в среднем 19–20 человек. В Лондоне эти ракеты полностью разрушили 24.491 здание, еще 52.293 стали непригодными для использования, это 31–32 здания на каждую ракету. Атакам Фау-1 также подверглись города Портсмут, Саутгемптон, Манчестер, Норвич. А по другим данным, только в 1944 г. за три неполных месяца (с 13 июня по 5 сентября) по Англии были выпущены 9017 крылатых ракет. Из них 3262 (36 %) преодолели все рубежи ПВО, причем 2420 (27 %) упали в черте Лондона, разрушив около 25 тысяч зданий (а не 23 тысячи). Эти ракеты убили 21.393 человека, покалечили свыше 52-х тысяч! Если ракета падала в районе застройки деревянных или старых кирпичных зданий, то один взрыв уничтожал целый квартал! В этом случае выходит, что в среднем одна Фау-1 убивала и калечила 32 человека, а не 20 и, тем более, не 10–11 (23372).</w:t>
      </w:r>
    </w:p>
    <w:p w14:paraId="1ECF3556" w14:textId="77777777" w:rsidR="00EE5230" w:rsidRPr="00925F26" w:rsidRDefault="00EE5230" w:rsidP="00925F26">
      <w:pPr>
        <w:jc w:val="both"/>
        <w:rPr>
          <w:color w:val="000000" w:themeColor="text1"/>
          <w:sz w:val="16"/>
          <w:szCs w:val="16"/>
        </w:rPr>
      </w:pPr>
    </w:p>
    <w:p w14:paraId="0A5EC578" w14:textId="77777777" w:rsidR="00503A32" w:rsidRPr="00925F26" w:rsidRDefault="00503A32" w:rsidP="00925F26">
      <w:pPr>
        <w:jc w:val="both"/>
        <w:rPr>
          <w:color w:val="000000" w:themeColor="text1"/>
          <w:sz w:val="16"/>
          <w:szCs w:val="16"/>
        </w:rPr>
      </w:pPr>
      <w:r w:rsidRPr="00925F26">
        <w:rPr>
          <w:bCs/>
          <w:color w:val="000000" w:themeColor="text1"/>
          <w:sz w:val="16"/>
          <w:szCs w:val="16"/>
        </w:rPr>
        <w:t>30 марта</w:t>
      </w:r>
      <w:r w:rsidRPr="00925F26">
        <w:rPr>
          <w:color w:val="000000" w:themeColor="text1"/>
          <w:sz w:val="16"/>
          <w:szCs w:val="16"/>
        </w:rPr>
        <w:t xml:space="preserve"> в 1945 году сошел с конвейера последний самолет модификации «B-26G» «25MA» среднего бомбардировщика «B-26». «B-26G», внешне не отличалась от «B-26F». На нем несколько изменили бензосистему, ввели аварийный чисто механический выпуск шасси. Собирались внедрить автопилот «C-I», связанный с бомбардировочным прицелом, но реально его смонтировали на очень немногих машинах. На серии «G-5» опять внесли мелкие изменения в гидросистему, на «G-10» под хвостовой турелью поставили гильзосборник, так как при полете в плотном строю стреляные гильзы иногда попадали в другие бомбардировщики. На «G-15» внедрили компактную кислородную систему, на «G-20» модернизировали радиооборудование. В процессе эволюции В-26 постоянно дешевел - очевидно, за счет массовости производства. В ноябре 1944-го в рамках заказа на «В-26С» изготовили 15 учебных «ТВ-26-15». Они сочетали крыло модификации G с отсутствием вооружения и установкой буксировочной лебедки по типу АТ-23В. В марте 1945-го выпустили еще партию из 32 таких же машин: 25 из них передали флоту под индексом «GM-2» (15084).</w:t>
      </w:r>
    </w:p>
    <w:p w14:paraId="70CA3DD2" w14:textId="77777777" w:rsidR="00503A32" w:rsidRPr="00925F26" w:rsidRDefault="00503A32" w:rsidP="00925F26">
      <w:pPr>
        <w:jc w:val="both"/>
        <w:rPr>
          <w:color w:val="000000" w:themeColor="text1"/>
          <w:sz w:val="16"/>
          <w:szCs w:val="16"/>
        </w:rPr>
      </w:pPr>
    </w:p>
    <w:p w14:paraId="19B28818" w14:textId="77777777" w:rsidR="00503A32" w:rsidRPr="00925F26" w:rsidRDefault="00503A32" w:rsidP="00925F26">
      <w:pPr>
        <w:jc w:val="both"/>
        <w:rPr>
          <w:color w:val="000000" w:themeColor="text1"/>
          <w:sz w:val="16"/>
          <w:szCs w:val="16"/>
        </w:rPr>
      </w:pPr>
      <w:r w:rsidRPr="00925F26">
        <w:rPr>
          <w:bCs/>
          <w:color w:val="000000" w:themeColor="text1"/>
          <w:sz w:val="16"/>
          <w:szCs w:val="16"/>
        </w:rPr>
        <w:t>30 марта</w:t>
      </w:r>
      <w:r w:rsidRPr="00925F26">
        <w:rPr>
          <w:color w:val="000000" w:themeColor="text1"/>
          <w:sz w:val="16"/>
          <w:szCs w:val="16"/>
        </w:rPr>
        <w:t xml:space="preserve"> в 1945 году немецкий гарнизон, осажденный советскими войсками в Бреслау, восстановил телефонную связь с Берлином (15084).</w:t>
      </w:r>
    </w:p>
    <w:p w14:paraId="711BBC49" w14:textId="77777777" w:rsidR="00503A32" w:rsidRPr="00925F26" w:rsidRDefault="00503A32" w:rsidP="00925F26">
      <w:pPr>
        <w:jc w:val="both"/>
        <w:rPr>
          <w:color w:val="000000" w:themeColor="text1"/>
          <w:sz w:val="16"/>
          <w:szCs w:val="16"/>
        </w:rPr>
      </w:pPr>
    </w:p>
    <w:p w14:paraId="796D8A2D" w14:textId="66F53DC1" w:rsidR="00EE5230" w:rsidRPr="00925F26" w:rsidRDefault="00EE5230" w:rsidP="00925F26">
      <w:pPr>
        <w:jc w:val="both"/>
        <w:rPr>
          <w:i/>
          <w:iCs/>
          <w:color w:val="000000" w:themeColor="text1"/>
          <w:sz w:val="16"/>
          <w:szCs w:val="16"/>
        </w:rPr>
      </w:pPr>
      <w:r w:rsidRPr="00925F26">
        <w:rPr>
          <w:i/>
          <w:iCs/>
          <w:color w:val="000000" w:themeColor="text1"/>
          <w:sz w:val="16"/>
          <w:szCs w:val="16"/>
        </w:rPr>
        <w:t>Авиапромышленность:</w:t>
      </w:r>
    </w:p>
    <w:p w14:paraId="0CA7447D" w14:textId="77777777" w:rsidR="00EE5230" w:rsidRPr="00925F26" w:rsidRDefault="00EE5230" w:rsidP="00925F26">
      <w:pPr>
        <w:jc w:val="both"/>
        <w:rPr>
          <w:i/>
          <w:iCs/>
          <w:color w:val="000000" w:themeColor="text1"/>
          <w:sz w:val="16"/>
          <w:szCs w:val="16"/>
        </w:rPr>
      </w:pPr>
    </w:p>
    <w:p w14:paraId="309E9E17" w14:textId="77777777" w:rsidR="00130095" w:rsidRPr="001A0BAA" w:rsidRDefault="00130095" w:rsidP="00130095">
      <w:pPr>
        <w:jc w:val="both"/>
        <w:rPr>
          <w:color w:val="0070C0"/>
          <w:sz w:val="16"/>
          <w:szCs w:val="16"/>
        </w:rPr>
      </w:pPr>
      <w:r w:rsidRPr="001A0BAA">
        <w:rPr>
          <w:color w:val="0070C0"/>
          <w:sz w:val="16"/>
          <w:szCs w:val="16"/>
        </w:rPr>
        <w:t>31 марта 1945 года в Тбилиси собрали прототип цельнометаллического самолета Як-3 с ВК-107А. Вся обшивка машины была из дюралевых листов, обшивка рулей из листового электрона. Несмотря на то, что масса самолета уменьшилась на 49 кг, летные характеристики ухудшились по сравнению с машиной со смешанной конструкцией. Заклепки делали поверхность самолета неровной. Емкость топливных баков уменьшилась с 470 до 420 литров. Вооружение состояло из пушек Б</w:t>
      </w:r>
      <w:r w:rsidRPr="001A0BAA">
        <w:rPr>
          <w:color w:val="0070C0"/>
          <w:sz w:val="16"/>
          <w:szCs w:val="16"/>
        </w:rPr>
        <w:noBreakHyphen/>
        <w:t>2 °C и Б</w:t>
      </w:r>
      <w:r w:rsidRPr="001A0BAA">
        <w:rPr>
          <w:color w:val="0070C0"/>
          <w:sz w:val="16"/>
          <w:szCs w:val="16"/>
        </w:rPr>
        <w:noBreakHyphen/>
        <w:t>20М (120 выстрелов на ствол). Заводские испытания продолжались с 12 апреля по 10 мая 1945 года, состоялось 13 полетов общей продолжительностью 4 часа 36 минут. Скорость на высотах 3200, 5000 и 5900 метров составляла 673, 688 и 706 км/ч соответственно. Порядка 20 км/ч скорости терялось из</w:t>
      </w:r>
      <w:r w:rsidRPr="001A0BAA">
        <w:rPr>
          <w:color w:val="0070C0"/>
          <w:sz w:val="16"/>
          <w:szCs w:val="16"/>
        </w:rPr>
        <w:noBreakHyphen/>
        <w:t>за необходимости держать воздухозаборник водяного радиатора максимально распахнутым и недостаточно плотного прилегания створок ниши главного шасси. В ходе боевого разворота у земли Як</w:t>
      </w:r>
      <w:r w:rsidRPr="001A0BAA">
        <w:rPr>
          <w:color w:val="0070C0"/>
          <w:sz w:val="16"/>
          <w:szCs w:val="16"/>
        </w:rPr>
        <w:noBreakHyphen/>
        <w:t xml:space="preserve">3 набирал 1400–1450 метров, а на высоте 5000 метров </w:t>
      </w:r>
      <w:r w:rsidRPr="001A0BAA">
        <w:rPr>
          <w:color w:val="0070C0"/>
          <w:sz w:val="16"/>
          <w:szCs w:val="16"/>
        </w:rPr>
        <w:noBreakHyphen/>
        <w:t>1300 метров. Уменьшение емкости баков сократило дальность полета до 780 км. Самолет легко слушался рулей, причем усилие на органах управления требовалось меньшее, чем Яка</w:t>
      </w:r>
      <w:r w:rsidRPr="001A0BAA">
        <w:rPr>
          <w:color w:val="0070C0"/>
          <w:sz w:val="16"/>
          <w:szCs w:val="16"/>
        </w:rPr>
        <w:noBreakHyphen/>
        <w:t>3 со смешанной конструкцией.</w:t>
      </w:r>
    </w:p>
    <w:p w14:paraId="5023B890" w14:textId="77777777" w:rsidR="00130095" w:rsidRPr="001A0BAA" w:rsidRDefault="00130095" w:rsidP="00130095">
      <w:pPr>
        <w:jc w:val="both"/>
        <w:rPr>
          <w:color w:val="0070C0"/>
          <w:sz w:val="16"/>
          <w:szCs w:val="16"/>
        </w:rPr>
      </w:pPr>
      <w:r w:rsidRPr="001A0BAA">
        <w:rPr>
          <w:color w:val="0070C0"/>
          <w:sz w:val="16"/>
          <w:szCs w:val="16"/>
        </w:rPr>
        <w:t>Самолет направили на государственные испытания, которые продолжались с 25 мая по 9 июня 1945 года. Самолет совершил 44 полета и получил рекомендацию к серийному производству. Завод № 31 в Тбилиси в 1945 году выпустил 40 цельнометаллических Яка</w:t>
      </w:r>
      <w:r w:rsidRPr="001A0BAA">
        <w:rPr>
          <w:color w:val="0070C0"/>
          <w:sz w:val="16"/>
          <w:szCs w:val="16"/>
        </w:rPr>
        <w:noBreakHyphen/>
        <w:t>3, еще восемь машин собрали в 1946 году. Потом было решено прекратить выпуск Як</w:t>
      </w:r>
      <w:r w:rsidRPr="001A0BAA">
        <w:rPr>
          <w:color w:val="0070C0"/>
          <w:sz w:val="16"/>
          <w:szCs w:val="16"/>
        </w:rPr>
        <w:noBreakHyphen/>
        <w:t>3 с двигателем ВК</w:t>
      </w:r>
      <w:r w:rsidRPr="001A0BAA">
        <w:rPr>
          <w:color w:val="0070C0"/>
          <w:sz w:val="16"/>
          <w:szCs w:val="16"/>
        </w:rPr>
        <w:noBreakHyphen/>
        <w:t>107А, переключившись на выпуск Як</w:t>
      </w:r>
      <w:r w:rsidRPr="001A0BAA">
        <w:rPr>
          <w:color w:val="0070C0"/>
          <w:sz w:val="16"/>
          <w:szCs w:val="16"/>
        </w:rPr>
        <w:noBreakHyphen/>
        <w:t>9У, которые лучше соответствовали новому мотору (25076).</w:t>
      </w:r>
    </w:p>
    <w:p w14:paraId="056C4ED9" w14:textId="77777777" w:rsidR="00130095" w:rsidRPr="001A0BAA" w:rsidRDefault="00130095" w:rsidP="00130095">
      <w:pPr>
        <w:jc w:val="both"/>
        <w:rPr>
          <w:color w:val="0070C0"/>
          <w:sz w:val="16"/>
          <w:szCs w:val="16"/>
        </w:rPr>
      </w:pPr>
    </w:p>
    <w:p w14:paraId="271988D7" w14:textId="77777777" w:rsidR="00130095" w:rsidRPr="001A0BAA" w:rsidRDefault="00130095" w:rsidP="00130095">
      <w:pPr>
        <w:jc w:val="both"/>
        <w:rPr>
          <w:color w:val="0070C0"/>
          <w:sz w:val="16"/>
          <w:szCs w:val="16"/>
        </w:rPr>
      </w:pPr>
      <w:r w:rsidRPr="001A0BAA">
        <w:rPr>
          <w:color w:val="0070C0"/>
          <w:sz w:val="16"/>
          <w:szCs w:val="16"/>
        </w:rPr>
        <w:t>31 марта 1945 г. экспертная комиссия НКАП по рассмотрению эскизных проектов опытных самолётов обсудила на своем заседании Предложение Вахмистрова.</w:t>
      </w:r>
    </w:p>
    <w:p w14:paraId="19A367D1" w14:textId="77777777" w:rsidR="00130095" w:rsidRPr="001A0BAA" w:rsidRDefault="00130095" w:rsidP="00130095">
      <w:pPr>
        <w:jc w:val="both"/>
        <w:rPr>
          <w:color w:val="0070C0"/>
          <w:sz w:val="16"/>
          <w:szCs w:val="16"/>
        </w:rPr>
      </w:pPr>
      <w:r w:rsidRPr="001A0BAA">
        <w:rPr>
          <w:color w:val="0070C0"/>
          <w:sz w:val="16"/>
          <w:szCs w:val="16"/>
        </w:rPr>
        <w:lastRenderedPageBreak/>
        <w:t>В протоколе заседания сначала вначале кратко излагаются основные ЛТХ первого и второго проектов. Далее следует раздел «ЗАМЕЧАНИЯ КОМИССИИ», который звучит так:</w:t>
      </w:r>
    </w:p>
    <w:p w14:paraId="2CD269E2" w14:textId="77777777" w:rsidR="00130095" w:rsidRPr="001A0BAA" w:rsidRDefault="00130095" w:rsidP="00130095">
      <w:pPr>
        <w:jc w:val="both"/>
        <w:rPr>
          <w:color w:val="0070C0"/>
          <w:sz w:val="16"/>
          <w:szCs w:val="16"/>
        </w:rPr>
      </w:pPr>
      <w:r w:rsidRPr="001A0BAA">
        <w:rPr>
          <w:color w:val="0070C0"/>
          <w:sz w:val="16"/>
          <w:szCs w:val="16"/>
        </w:rPr>
        <w:t>«1. Длина разбега получается большой 1400 мт. для первого варианта и 2100 мт для второго варианта.</w:t>
      </w:r>
    </w:p>
    <w:p w14:paraId="1F34DC58" w14:textId="77777777" w:rsidR="00130095" w:rsidRPr="001A0BAA" w:rsidRDefault="00130095" w:rsidP="00130095">
      <w:pPr>
        <w:jc w:val="both"/>
        <w:rPr>
          <w:color w:val="0070C0"/>
          <w:sz w:val="16"/>
          <w:szCs w:val="16"/>
        </w:rPr>
      </w:pPr>
      <w:r w:rsidRPr="001A0BAA">
        <w:rPr>
          <w:color w:val="0070C0"/>
          <w:sz w:val="16"/>
          <w:szCs w:val="16"/>
        </w:rPr>
        <w:t>2. Утверждение автора, что система остается уравновешенной в аэродинамическом и весовом отношениях (в случае отцепки одного истребителя – С.К.), необоснованно».</w:t>
      </w:r>
    </w:p>
    <w:p w14:paraId="49F5DC42" w14:textId="77777777" w:rsidR="00130095" w:rsidRPr="001A0BAA" w:rsidRDefault="00130095" w:rsidP="00130095">
      <w:pPr>
        <w:jc w:val="both"/>
        <w:rPr>
          <w:color w:val="0070C0"/>
          <w:sz w:val="16"/>
          <w:szCs w:val="16"/>
        </w:rPr>
      </w:pPr>
      <w:r w:rsidRPr="001A0BAA">
        <w:rPr>
          <w:color w:val="0070C0"/>
          <w:sz w:val="16"/>
          <w:szCs w:val="16"/>
        </w:rPr>
        <w:t>И, наконец, нижеследущее ЗАКЛЮЧЕНИЕ КОМИССИИ: «Предложение т. ВАХМИСТРОВА не может быть рекомендовано к реализации, как нерентабельное» (25211).</w:t>
      </w:r>
    </w:p>
    <w:p w14:paraId="780FA3F8" w14:textId="77777777" w:rsidR="00130095" w:rsidRPr="001A0BAA" w:rsidRDefault="00130095" w:rsidP="00130095">
      <w:pPr>
        <w:jc w:val="both"/>
        <w:rPr>
          <w:color w:val="0070C0"/>
          <w:sz w:val="16"/>
          <w:szCs w:val="16"/>
        </w:rPr>
      </w:pPr>
    </w:p>
    <w:p w14:paraId="34EAE707" w14:textId="77777777" w:rsidR="00EE5230" w:rsidRPr="00925F26" w:rsidRDefault="00EE5230" w:rsidP="00925F26">
      <w:pPr>
        <w:jc w:val="both"/>
        <w:rPr>
          <w:color w:val="000000" w:themeColor="text1"/>
          <w:sz w:val="16"/>
          <w:szCs w:val="16"/>
        </w:rPr>
      </w:pPr>
      <w:r w:rsidRPr="00925F26">
        <w:rPr>
          <w:color w:val="000000" w:themeColor="text1"/>
          <w:sz w:val="16"/>
          <w:szCs w:val="16"/>
        </w:rPr>
        <w:t>31 марта 1945 г. в экспертной комиссии НКАП по рассмотрению эскизных проектов опытных самолётов было обсуждено на заседании предложенин Вахмистрова по мотопланерам. В протоколе заседания сначала вначале кратко излагаются основные ЛТХ первого и второго проектов. Далее следует раздел «ЗАМЕЧАНИЯ КОМИССИИ», который звучит так: «1. Длина разбега получается большой 1400мт. для первого варианта и 2100 мт для второго варианта. 2. Утверждение автора, что система остается уравновешенной в аэродинамическом и весовом отношениях (в случае отцепки одного истребителя – С.К.), необоснованно». И, наконец, нижеследущее ЗАКЛЮЧЕНИЕ КОМИССИИ: «Предложение т. ВАХМИСТРОВА не может быть рекомендовано к реализации, как нерентабельное». К сожалению, в архивном деле нет никаких дополнительных документов (заключений экспертов и т.п.), которые подкрепляли бы вывод, сделанный комиссией. Можно предположить, что сыграли свою роль следующие соображения. Планер с двумя подвешенными истребителями всегда будет в аэродинамическом отношении уступать двухмоторному самолёту той же грузоподъёмности и энерговооружённости и, следовательно, будет иметь более высокий расход топлива и более низкий уровень рентабельности. Экономичность комбинированных самолётов дополнительно будет снижаться с учётом дополнительных расходов на содержание пилотов истребителей и на базирование, содержание и ремонт самих истребителей. Возникают, как представляется, и вопросы, касающиеся управляемости и безопасности полётов (на что косвенно указывает замечание комиссии относительно «уравновешенности системы» в случае отцепки одного из истребителей). Как известно, задача обеспечения длительного полёта с полной коммерческой нагрузкой при отказе одного двигателя была в Советском Союзе впервые успешно решена несколько позднее при создании самолёта Ил-12 (24883).</w:t>
      </w:r>
    </w:p>
    <w:p w14:paraId="32ADC971" w14:textId="77777777" w:rsidR="00EE5230" w:rsidRPr="00925F26" w:rsidRDefault="00EE5230" w:rsidP="00925F26">
      <w:pPr>
        <w:jc w:val="both"/>
        <w:rPr>
          <w:color w:val="000000" w:themeColor="text1"/>
          <w:sz w:val="16"/>
          <w:szCs w:val="16"/>
        </w:rPr>
      </w:pPr>
    </w:p>
    <w:p w14:paraId="501325D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9A09E7A" w14:textId="77777777" w:rsidR="00665165" w:rsidRPr="00925F26" w:rsidRDefault="00665165" w:rsidP="00925F26">
      <w:pPr>
        <w:autoSpaceDE w:val="0"/>
        <w:autoSpaceDN w:val="0"/>
        <w:adjustRightInd w:val="0"/>
        <w:jc w:val="both"/>
        <w:rPr>
          <w:iCs/>
          <w:color w:val="000000" w:themeColor="text1"/>
          <w:sz w:val="16"/>
          <w:szCs w:val="16"/>
        </w:rPr>
      </w:pPr>
    </w:p>
    <w:p w14:paraId="71EC663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года вышел приказ № 124с НКВ</w:t>
      </w:r>
    </w:p>
    <w:p w14:paraId="151A39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целях скорейшего восстановления завода № 790 и включения его в число действующих заводов</w:t>
      </w:r>
    </w:p>
    <w:p w14:paraId="2A0F59A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(6449, 98).</w:t>
      </w:r>
    </w:p>
    <w:p w14:paraId="29EFE06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28146E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 Ленинграде на Кировском заводе собрали первую серийную партию из пяти ИСУ-152 (5008, 174).</w:t>
      </w:r>
    </w:p>
    <w:p w14:paraId="648A0A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EC375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7953 О плане и мерах по обеспечению перевозок народнохозяйственных грузов по железнодорожному и морскому транспорту на апрель и речному транспорту на апрель-май 1945 года. РГАНИР, Фонд ГКО, д. 384, лл. 1-12, 13-215 (11012).</w:t>
      </w:r>
    </w:p>
    <w:p w14:paraId="4B8B0440" w14:textId="77777777" w:rsidR="00665165" w:rsidRPr="00925F26" w:rsidRDefault="00665165" w:rsidP="00925F26">
      <w:pPr>
        <w:autoSpaceDE w:val="0"/>
        <w:autoSpaceDN w:val="0"/>
        <w:adjustRightInd w:val="0"/>
        <w:jc w:val="both"/>
        <w:rPr>
          <w:color w:val="000000" w:themeColor="text1"/>
          <w:sz w:val="16"/>
          <w:szCs w:val="16"/>
        </w:rPr>
      </w:pPr>
    </w:p>
    <w:p w14:paraId="2F2EEFB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7954 Об общем плане перевозок по железнодорожному и морскому транспорту на апрель и речному транспорту на апрель-май 1945 г. (7319, 1).</w:t>
      </w:r>
    </w:p>
    <w:p w14:paraId="36AFA2A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B00236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7955 Об организации в НКПС Главного управления по строительству метрополитенов и железнодорожных тоннелей. (7319, 2-3).</w:t>
      </w:r>
    </w:p>
    <w:p w14:paraId="1F5B29D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7610DE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7956 Об организации в составе НКПС Главного управления по восстановлению и строительству железнодорожных мостов. (7319, 4).</w:t>
      </w:r>
    </w:p>
    <w:p w14:paraId="315E0C0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FFAD6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7957 Об освобождении т. Просвирова Н.А. от обязанности начальника Главного управления военно-восстановительных работ НКПС. (7319, 5).</w:t>
      </w:r>
    </w:p>
    <w:p w14:paraId="0EACFC6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D5AB7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7958 О строительстве автомобильной дороги Иркутск - Слюдянка - Улан-Удэ. (7319, 6-8).</w:t>
      </w:r>
    </w:p>
    <w:p w14:paraId="3C38042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C0448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7959 О плане и материально-техническом обеспечении работ по восстановлению и строительству в 1945 году главной военно-морской базы Черноморского флота и завода №497 Наркомсудпрома в г. Севастополе. РГАНИР, Фонд ГКО, д. 386, лл. 9-23, 24-53 (11012).</w:t>
      </w:r>
    </w:p>
    <w:p w14:paraId="5B6E7022" w14:textId="77777777" w:rsidR="00665165" w:rsidRPr="00925F26" w:rsidRDefault="00665165" w:rsidP="00925F26">
      <w:pPr>
        <w:autoSpaceDE w:val="0"/>
        <w:autoSpaceDN w:val="0"/>
        <w:adjustRightInd w:val="0"/>
        <w:jc w:val="both"/>
        <w:rPr>
          <w:color w:val="000000" w:themeColor="text1"/>
          <w:sz w:val="16"/>
          <w:szCs w:val="16"/>
        </w:rPr>
      </w:pPr>
    </w:p>
    <w:p w14:paraId="36D09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7960 О плане и материально-техническом обеспечении работ по восстановлению и строительству заводов №444 и 445 Наркомсудпрома в г. Николаеве в 1945 году. РГАНИР, Фонд ГКО, д. 386, лл. 54-61, 62-79 (11012).</w:t>
      </w:r>
    </w:p>
    <w:p w14:paraId="7C838820" w14:textId="77777777" w:rsidR="00665165" w:rsidRPr="00925F26" w:rsidRDefault="00665165" w:rsidP="00925F26">
      <w:pPr>
        <w:autoSpaceDE w:val="0"/>
        <w:autoSpaceDN w:val="0"/>
        <w:adjustRightInd w:val="0"/>
        <w:jc w:val="both"/>
        <w:rPr>
          <w:color w:val="000000" w:themeColor="text1"/>
          <w:sz w:val="16"/>
          <w:szCs w:val="16"/>
        </w:rPr>
      </w:pPr>
    </w:p>
    <w:p w14:paraId="5D0A2E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г. Пост. ГКО № 7960 утвержден план восстановления и строительства завода в 1945 г. В том же году Завод № 444 ИМ. А. Марти, ИМ. И.И. Носенко МСП, Завод им. И.И. Носенко, п/я 6, Завод им. А. Марти, Черноморский судостроительный завод (ЧСЗ) МСП, ПО, ГХК «ЧСЗ» /Украина  г. Николаев/ вступил в строй. С 1945 г. - производство понтонов, барж, пассажирских катеров. Позднее - строительство военных кораблей.</w:t>
      </w:r>
      <w:r w:rsidRPr="00925F26">
        <w:rPr>
          <w:color w:val="000000" w:themeColor="text1"/>
          <w:sz w:val="16"/>
          <w:szCs w:val="16"/>
          <w:vertAlign w:val="superscript"/>
        </w:rPr>
        <w:t>61</w:t>
      </w:r>
      <w:r w:rsidRPr="00925F26">
        <w:rPr>
          <w:color w:val="000000" w:themeColor="text1"/>
          <w:sz w:val="16"/>
          <w:szCs w:val="16"/>
        </w:rPr>
        <w:t xml:space="preserve"> До 1953 г. завод № 444 носил имя А. Марти</w:t>
      </w:r>
      <w:r w:rsidRPr="00925F26">
        <w:rPr>
          <w:iCs/>
          <w:color w:val="000000" w:themeColor="text1"/>
          <w:sz w:val="16"/>
          <w:szCs w:val="16"/>
        </w:rPr>
        <w:t xml:space="preserve"> (в 01.1953 г. А. Марти исключен из компартии Франции за критику ВКП (б) и Сталина).</w:t>
      </w:r>
      <w:r w:rsidRPr="00925F26">
        <w:rPr>
          <w:color w:val="000000" w:themeColor="text1"/>
          <w:sz w:val="16"/>
          <w:szCs w:val="16"/>
        </w:rPr>
        <w:t xml:space="preserve"> 5.08.1956 г. заводу № 444 присвоено имя И.И. Носенко. Имел наименование «п/я 6» (1953-56 г.). 13.09.1968 г. завод № 444 переименован в ЧСЗ, лишен имени Носенко (</w:t>
      </w:r>
      <w:r w:rsidRPr="00925F26">
        <w:rPr>
          <w:iCs/>
          <w:color w:val="000000" w:themeColor="text1"/>
          <w:sz w:val="16"/>
          <w:szCs w:val="16"/>
        </w:rPr>
        <w:t>из-за того, что его сын Ю.И. Носенко, офицер КГБ, перебежал на Запад).</w:t>
      </w:r>
      <w:r w:rsidRPr="00925F26">
        <w:rPr>
          <w:iCs/>
          <w:color w:val="000000" w:themeColor="text1"/>
          <w:sz w:val="16"/>
          <w:szCs w:val="16"/>
          <w:vertAlign w:val="superscript"/>
        </w:rPr>
        <w:t>142</w:t>
      </w:r>
      <w:r w:rsidRPr="00925F26">
        <w:rPr>
          <w:color w:val="000000" w:themeColor="text1"/>
          <w:sz w:val="16"/>
          <w:szCs w:val="16"/>
        </w:rPr>
        <w:t xml:space="preserve"> В 1980-</w:t>
      </w:r>
      <w:proofErr w:type="gramStart"/>
      <w:r w:rsidRPr="00925F26">
        <w:rPr>
          <w:color w:val="000000" w:themeColor="text1"/>
          <w:sz w:val="16"/>
          <w:szCs w:val="16"/>
        </w:rPr>
        <w:t>е  г.</w:t>
      </w:r>
      <w:proofErr w:type="gramEnd"/>
      <w:r w:rsidRPr="00925F26">
        <w:rPr>
          <w:color w:val="000000" w:themeColor="text1"/>
          <w:sz w:val="16"/>
          <w:szCs w:val="16"/>
        </w:rPr>
        <w:t xml:space="preserve"> ЧСЗ - в ведении 2ГУ МСП. В 2005 г. - ГХК «Черноморский судостроительный завод».</w:t>
      </w:r>
    </w:p>
    <w:p w14:paraId="6A9E67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1948-53 г. для подготовки к строительству тяжелого крейсера «Сталинград» завод был реконструирован. В 1952 г. для правки броневых листов с Ижорского завода переданы мощные правильные вальцы. Пост, правительства от 25.03.1950 г. предусматривалась закладка крейсера во втором квартале 1951 г. со сдачей в 1954 г.</w:t>
      </w:r>
    </w:p>
    <w:p w14:paraId="59EF06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Крейсер пр. 82 «Сталинград» был заложен 31.12.1951 г., по пр. МТиТМ № 00112 от 18.04.1953 г. его строительство прекращено.</w:t>
      </w:r>
    </w:p>
    <w:p w14:paraId="41D119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w:t>
      </w:r>
      <w:proofErr w:type="gramStart"/>
      <w:r w:rsidRPr="00925F26">
        <w:rPr>
          <w:color w:val="000000" w:themeColor="text1"/>
          <w:sz w:val="16"/>
          <w:szCs w:val="16"/>
        </w:rPr>
        <w:t>е  г.</w:t>
      </w:r>
      <w:proofErr w:type="gramEnd"/>
      <w:r w:rsidRPr="00925F26">
        <w:rPr>
          <w:color w:val="000000" w:themeColor="text1"/>
          <w:sz w:val="16"/>
          <w:szCs w:val="16"/>
        </w:rPr>
        <w:t xml:space="preserve"> на заводе изготовлены опытные образцы подъемно-стыковочного агрегата ПС-31 для БР Р-13.</w:t>
      </w:r>
    </w:p>
    <w:p w14:paraId="0DD0F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w:t>
      </w:r>
      <w:proofErr w:type="gramStart"/>
      <w:r w:rsidRPr="00925F26">
        <w:rPr>
          <w:color w:val="000000" w:themeColor="text1"/>
          <w:sz w:val="16"/>
          <w:szCs w:val="16"/>
        </w:rPr>
        <w:t>е  г.</w:t>
      </w:r>
      <w:proofErr w:type="gramEnd"/>
      <w:r w:rsidRPr="00925F26">
        <w:rPr>
          <w:color w:val="000000" w:themeColor="text1"/>
          <w:sz w:val="16"/>
          <w:szCs w:val="16"/>
        </w:rPr>
        <w:t xml:space="preserve"> построено 72 ГШ пр. 613.</w:t>
      </w:r>
    </w:p>
    <w:p w14:paraId="250720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1960 г. начата новая реконструкция завода, в связи с развертыванием крупносерийной постройки поточно- позиционным методом больших морозильных рыболовных траулеров (БМРТ). Под судостроительный комплекс был переоборудован башенный цех. Блок поточной сборки траулеров создан на месте строительства ПЛ пр. 613. В качестве передаточного использовался плавучий док, построенный в 1914 г. В год завод строил 24 траулера, всего их на заводе построено более 500.</w:t>
      </w:r>
    </w:p>
    <w:p w14:paraId="1D790F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 правительства от 11.1963 г. заводу задана постройка двух кораблей ПЛО пр. 1123.</w:t>
      </w:r>
    </w:p>
    <w:p w14:paraId="48519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1977 г. завод принимал участие в строительстве испытательного комплекса НИТКА, в связи с этим была организована производственная база </w:t>
      </w:r>
      <w:proofErr w:type="gramStart"/>
      <w:r w:rsidRPr="00925F26">
        <w:rPr>
          <w:color w:val="000000" w:themeColor="text1"/>
          <w:sz w:val="16"/>
          <w:szCs w:val="16"/>
        </w:rPr>
        <w:t>в  г.</w:t>
      </w:r>
      <w:proofErr w:type="gramEnd"/>
      <w:r w:rsidRPr="00925F26">
        <w:rPr>
          <w:color w:val="000000" w:themeColor="text1"/>
          <w:sz w:val="16"/>
          <w:szCs w:val="16"/>
        </w:rPr>
        <w:t xml:space="preserve"> Саки.</w:t>
      </w:r>
    </w:p>
    <w:p w14:paraId="7E197C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ПСМ от 30.04.1976 г. заводу поручено строительство двух авианесущих кораблей пр. 1153 со сдачей к 1985 г. В связи с этим начата реконструкция большого наклонного стапеля «0», завершенная в 1982 г. На нем установлены два козловых крана финской фирмы </w:t>
      </w:r>
      <w:r w:rsidRPr="00925F26">
        <w:rPr>
          <w:color w:val="000000" w:themeColor="text1"/>
          <w:sz w:val="16"/>
          <w:szCs w:val="16"/>
          <w:lang w:val="en-US"/>
        </w:rPr>
        <w:t>KONE</w:t>
      </w:r>
      <w:r w:rsidRPr="00925F26">
        <w:rPr>
          <w:color w:val="000000" w:themeColor="text1"/>
          <w:sz w:val="16"/>
          <w:szCs w:val="16"/>
        </w:rPr>
        <w:t xml:space="preserve"> грузоподъемностью по 900 т с шириной пролета 140 м. Освоена </w:t>
      </w:r>
      <w:proofErr w:type="gramStart"/>
      <w:r w:rsidRPr="00925F26">
        <w:rPr>
          <w:color w:val="000000" w:themeColor="text1"/>
          <w:sz w:val="16"/>
          <w:szCs w:val="16"/>
        </w:rPr>
        <w:t>крупно-блочная</w:t>
      </w:r>
      <w:proofErr w:type="gramEnd"/>
      <w:r w:rsidRPr="00925F26">
        <w:rPr>
          <w:color w:val="000000" w:themeColor="text1"/>
          <w:sz w:val="16"/>
          <w:szCs w:val="16"/>
        </w:rPr>
        <w:t xml:space="preserve"> технология формирования корпусов авианосцев, это позволяло подавать на стапель готовые блоки массой по 1500-1700 т.</w:t>
      </w:r>
    </w:p>
    <w:p w14:paraId="32CF4D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10.1978 г. вышло постановление правительства о продолжении строительства ТАКР пр. 1143, но пост, от 03.1980 г. в план завода на 1981-90 г. включена постройка двух ПЛ вертолетоносцев пр. 10200. Затем пр. 10200 был отклонен, и в 05.1982 г. вышло постановление правительства о строительстве крейсера пр. 1143.5.</w:t>
      </w:r>
    </w:p>
    <w:p w14:paraId="55E8DA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1980-</w:t>
      </w:r>
      <w:proofErr w:type="gramStart"/>
      <w:r w:rsidRPr="00925F26">
        <w:rPr>
          <w:color w:val="000000" w:themeColor="text1"/>
          <w:sz w:val="16"/>
          <w:szCs w:val="16"/>
        </w:rPr>
        <w:t>е  г.</w:t>
      </w:r>
      <w:proofErr w:type="gramEnd"/>
      <w:r w:rsidRPr="00925F26">
        <w:rPr>
          <w:color w:val="000000" w:themeColor="text1"/>
          <w:sz w:val="16"/>
          <w:szCs w:val="16"/>
        </w:rPr>
        <w:t xml:space="preserve"> установленные в отделе АСУП завода ЭВМ были соединены в единую сеть с машинами Невского ПКБ, что позволило при строительстве ТАКР «Адмирал Кузнецов» отказаться от плазовой разметки, а резать металл по программам ЭВМ. К 1986 г. была проведена подготовка производства к строительству атомного крейсера пр. 1143.7 «Ульяновск»: спроектирован и построен плавучий цех для сборки атомной СУ (после прекращения строительства авианосцев в нем велась сборка главных дизелей для танкеров); созданы отделы радиационной и ядерной безопасности, спецэнергетики; организованы участки: изготовления баков металловодной защиты, изготовления пластмассовой защиты, по заливке свинца в корпусные конструкции, воды высокой чистоты. С завода «Залив» был передан плавучий контрольно-дозиметрический пункт. Начато строительство новой достроечной набережной с комплексом новых монтажно-достроечных цехов. Велась подготовка к строительству второго корабля пр. 11437 (заказ № 108). Распоряжением правительства Украины от 4.02.1992 г. прекращено строительство «Ульяновска», «Варяга» и 4-й плавбазы пр. 2020; ликвидирован заказ № 108. Работы по дальнейшей реконструкции завода остановлены, цеха не достроены.</w:t>
      </w:r>
    </w:p>
    <w:p w14:paraId="612204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составе завода: цеха: монтажа систем вооружений № 8, сборочно-сварочный № 11 (1958-80-е), корпусо- стапельный № 16, турбинный № 26, № 34, № 41, № 49, агрегатно-модульных сборок, станков с ЧПУ; участок термообработки (обработка деталей массой до 30 т); стапели «0», «1»; Северная и Западная достроечные набережные; 332 крана и более 2100 грузоподъемных устройств.</w:t>
      </w:r>
    </w:p>
    <w:p w14:paraId="710F46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1999 г. был подписан контракт на строительство двух суперяхт компании "</w:t>
      </w:r>
      <w:r w:rsidRPr="00925F26">
        <w:rPr>
          <w:color w:val="000000" w:themeColor="text1"/>
          <w:sz w:val="16"/>
          <w:szCs w:val="16"/>
          <w:lang w:val="en-US"/>
        </w:rPr>
        <w:t>Sparkman</w:t>
      </w:r>
      <w:r w:rsidRPr="00925F26">
        <w:rPr>
          <w:color w:val="000000" w:themeColor="text1"/>
          <w:sz w:val="16"/>
          <w:szCs w:val="16"/>
        </w:rPr>
        <w:t>&amp;</w:t>
      </w:r>
      <w:r w:rsidRPr="00925F26">
        <w:rPr>
          <w:color w:val="000000" w:themeColor="text1"/>
          <w:sz w:val="16"/>
          <w:szCs w:val="16"/>
          <w:lang w:val="en-US"/>
        </w:rPr>
        <w:t>Stephens</w:t>
      </w:r>
      <w:r w:rsidRPr="00925F26">
        <w:rPr>
          <w:color w:val="000000" w:themeColor="text1"/>
          <w:sz w:val="16"/>
          <w:szCs w:val="16"/>
        </w:rPr>
        <w:t>" для Израиля, реализован не был.</w:t>
      </w:r>
    </w:p>
    <w:p w14:paraId="72132B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территории (1980-е)- 247 га (плюс 47 га акватории).</w:t>
      </w:r>
    </w:p>
    <w:p w14:paraId="6478AD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(1967 г.)- около 25 тыс. чел.</w:t>
      </w:r>
    </w:p>
    <w:p w14:paraId="0492F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(12.08.1949-8.07.1952 г.)- В.Ф. Ивочкин, (8.07.1952-05.1954 г.)- В.М. Орешкин {1909-54}, (1954-56 г.)- И.С. Прибыльский (затем- председатель Херсонского СНХ), (12.1956-04.1959 г.)- З. Г. Згибнев, (1959-79 г.)- А.Б. Ганькевич {1912-86}, (09.1979-94 г.)- Ю.И. Макаров {1934-2002}. Гендиректор (1994 г.-)- И.Н. Овдиенко.</w:t>
      </w:r>
    </w:p>
    <w:p w14:paraId="15EE7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гендиректора: по траулерам (1974-76 г.)- Ю.И. Макаров; по машиностроению</w:t>
      </w:r>
    </w:p>
    <w:p w14:paraId="78E7B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(1978-91 г.-&gt; И.И. Винник; по капстроительству (1980-е)- А.Н. Бормосов.</w:t>
      </w:r>
    </w:p>
    <w:p w14:paraId="6B952D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(1950-59 г.)- Е.М. Горбенко, (1961-76 г.)-  Г.М. Балабаев, (09.1976-79 г.)- Ю.И. Макаров, (05.1983- 86 г.)- И.Н. Овдиенко.</w:t>
      </w:r>
    </w:p>
    <w:p w14:paraId="551178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(1948 г.)- Я.Е. Евграфов, (-1967-73 г.)- Л.С. Елеонский, (1973-74 г.)- Ю.И. Макаров, (1974-87 г.)- В.С. Тюрин, (1987-96 г.)- О.И. Хотлубей, (1996-2006 г.-)- С.М. Хальнов.</w:t>
      </w:r>
    </w:p>
    <w:p w14:paraId="1A545E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по верфи (1974-87 г.)- О.И. Хотлубей, (1987-96 г.)- С.М. Хальнов; по траулерам (1967- 69 г.)- Ю.И. Макаров.</w:t>
      </w:r>
    </w:p>
    <w:p w14:paraId="31B8B6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технолог (1980-е)-  Г. Г. Меньков; по авианесущим кораблям (1980-е)- И.В. Рыбаченко; по пр. 2020 (1980- е)- С.П. Вороненко. Гл. сварщик (-1974 г.)-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Тюрин.</w:t>
      </w:r>
    </w:p>
    <w:p w14:paraId="1646B9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технолога- Л.А. Плясков.</w:t>
      </w:r>
    </w:p>
    <w:p w14:paraId="324A9C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 16-  Г. Г. Меньков, М. Г. Рыльский, (1976-90 г.)- Л.П. Трищенко; № 49 (1986 г.)- И.М. Патрик; котельного- С.Н. Астремский.</w:t>
      </w:r>
    </w:p>
    <w:p w14:paraId="735A9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ОГК (1973-74 г.)- Ю.И. Макаров; гл. строителя (1976 г.)- И.И. Винник; АСУП</w:t>
      </w:r>
    </w:p>
    <w:p w14:paraId="74BFC7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(1980-е)- М. Г. Рыльский; ВЭС (03.1992-93 г.)- В.В. Бабич.</w:t>
      </w:r>
    </w:p>
    <w:p w14:paraId="7C669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строитель (-1970-78 г.)- И.И. Винник («Киев», «Минск», «Новороссийск»), (1978-83 г.)- И.Н. Овдиенко («Новороссийск», «Баку», «Адмирал Кузнецов»), (1983-87 г.)-  Г.И. Журенко («Баку», военные заказы), (-1991- 2000 г.-)- Е.М. Ентис («Адмирал Кузнецов», «Варяг»),</w:t>
      </w:r>
    </w:p>
    <w:p w14:paraId="068A38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гл. строителя (1982 г.)-  Г.И. Журенко. Зам. гл. строителя: по вооружению (1978 г.)- И.С. Мельницкий.</w:t>
      </w:r>
    </w:p>
    <w:p w14:paraId="7F9D5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Старшие строители: (1960-е-72 г.-)- С.Н. Астремский («Ленинград», «Минек», «Адмирал Кузнецов»), (1988- 92 г.)- П.С. Герасимов (пр. 11437), (1975-82 г.)-  Г.И. Журенко (пр. 11433), В.Н. Ковалев (авиационные комплексы «Минска», «Баку»), (-1967-76 г.-)- В.Н. Корчагин («Москва», «Ленинград», «Киев», «Баку»), (1962 г.-)- Ю.И. Макаров (траулеры), (1970 г.)- И.Н. Овдиенко («Академик Сергей Королев»), (-1973-81 г.-)- А.И. Середин (авиационный комплекс «Киева», НИТКА). Строители кораблей: Ю.Л. Бобков, (1978 г.)-  Г.Н. Дмитриев (РК «Базальт» ТАКР «Минск»), (1973 г.)- В.Н. Ковалев (авиационный комплекс «Киева»), (1976 г.)- Л. Полевой, (1972 г.)- А.И. Середин (пр. 1143), (-1972-73 г.-)- М.С. Фещенко (авиационное вооружение пр. 1143), (1991 г.)- А. Школенко.</w:t>
      </w:r>
    </w:p>
    <w:p w14:paraId="523C52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Ответственные сдатчики: по корпусу (1980-е)- В.Н. Серебряный («Новороссийск»); комплекса авиационного вооружения (1970-е)- А.И. Середин («Киев»). Руководитель гарантийной команды (1983 г.)- А.Н. Панченко, (1988 г.)- В.Ф. Бабак.</w:t>
      </w:r>
    </w:p>
    <w:p w14:paraId="6F40FA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бюро: отдела АСУП (1971 г.-)- М.М. Райхман; технологической подготовки цеха № 16</w:t>
      </w:r>
    </w:p>
    <w:p w14:paraId="2AE662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(1980-е)- Л.Н. Шалыгина. Руководители групп: вооружения (1967 г.)- Н.П. Татаринов; конструкторской по вооружению (1977 г.-)- В.В. Бабич.</w:t>
      </w:r>
    </w:p>
    <w:p w14:paraId="636B5D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Капитан (1980-е)- Н.А. Деркач.</w:t>
      </w:r>
      <w:r w:rsidRPr="00925F26">
        <w:rPr>
          <w:color w:val="000000" w:themeColor="text1"/>
          <w:sz w:val="16"/>
          <w:szCs w:val="16"/>
          <w:vertAlign w:val="superscript"/>
        </w:rPr>
        <w:t>142</w:t>
      </w:r>
    </w:p>
    <w:p w14:paraId="2901014F"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 ПЛ:</w:t>
      </w:r>
      <w:r w:rsidRPr="00925F26">
        <w:rPr>
          <w:color w:val="000000" w:themeColor="text1"/>
          <w:sz w:val="16"/>
          <w:szCs w:val="16"/>
        </w:rPr>
        <w:t xml:space="preserve"> достройка серии ТХбис (1948)- 1; пр. 613 С-61, -62, -63, -64, -65, -66, -67, -68, -69, -70, -71, -72, -73, -74, -75, -76, -77, -78, -79, -86, -87, -88, -89, -90, -91, -95, -96, -97, -98, -217, -218, -219, -220, -221, -222, - 223, -224, -225, -226, -227, -228, -229, -230, -231, -232, -233, -234, -235, -236, -237, -238, -239, -240, -241, -242, -243, - 244, -245, -246, -250, -374, -375, -376, -377, -378, -379, -380, -381, -382, -383, -384 (1952-57)- 72;</w:t>
      </w:r>
      <w:r w:rsidRPr="00925F26">
        <w:rPr>
          <w:iCs/>
          <w:color w:val="000000" w:themeColor="text1"/>
          <w:sz w:val="16"/>
          <w:szCs w:val="16"/>
        </w:rPr>
        <w:t xml:space="preserve"> крейсеры: </w:t>
      </w:r>
      <w:r w:rsidRPr="00925F26">
        <w:rPr>
          <w:color w:val="000000" w:themeColor="text1"/>
          <w:sz w:val="16"/>
          <w:szCs w:val="16"/>
        </w:rPr>
        <w:t xml:space="preserve">достройка пр. 68К «Фрунзе», «Куйбышев» (1947-), </w:t>
      </w:r>
      <w:r w:rsidRPr="00925F26">
        <w:rPr>
          <w:color w:val="000000" w:themeColor="text1"/>
          <w:sz w:val="16"/>
          <w:szCs w:val="16"/>
          <w:lang w:val="en-US"/>
        </w:rPr>
        <w:t>rip</w:t>
      </w:r>
      <w:r w:rsidRPr="00925F26">
        <w:rPr>
          <w:color w:val="000000" w:themeColor="text1"/>
          <w:sz w:val="16"/>
          <w:szCs w:val="16"/>
        </w:rPr>
        <w:t>. 68бис «Дзержинский» (зак. № 374, 12.1948-08.1950, 08.1952), «Адмирал Нахимов» (зак. № 375, 06.1950-06.1951, 03.1953), «Михаил Кутузов» (зак. № 385, 02.1951- 11.1952, 12.1954), пр. 68бис-ЗИФ «Адмирал Корнилов» (зак. № 395, 11.1951-03.1954), зак. 366 (1952- не достроен); пр. 82 «Сталинград» (зак. № 400, 12.1951-53-, не достроен); противолодочные пр. 1123 «Кондор» «Москва» (зак. 701, 12.1962-01.1965), «Ленинград» (зак. 702, 01.1965-07.1967); ТАКР пр. 1143 «Кречет» «Киев» (зак. 101, 07.1970-12.1972), «Минск» (зак. 102, 12.1972-09.1975), пр. 1143.3 «Новороссийск» (зак. 103, 09.1975- 12.1978), пр. 1143.4 «Баку» (зак. 104, «Адмирал Горшков») (12.1978-03.1982), пр. 1143.5 «Рига» (зак. 105, «Леонид Брежнев», «Тбилиси», «Адмирал Кузнецов») (09.1982-12.1985), «Рига» (зак. 106, «Варяг») (12.1985- 11.1988), пр. 1143.7 «Ульяновск» (зак. 107, 11.1988-92, не достроен);</w:t>
      </w:r>
      <w:r w:rsidRPr="00925F26">
        <w:rPr>
          <w:iCs/>
          <w:color w:val="000000" w:themeColor="text1"/>
          <w:sz w:val="16"/>
          <w:szCs w:val="16"/>
        </w:rPr>
        <w:t xml:space="preserve"> плавбазы ПЛ:</w:t>
      </w:r>
      <w:r w:rsidRPr="00925F26">
        <w:rPr>
          <w:color w:val="000000" w:themeColor="text1"/>
          <w:sz w:val="16"/>
          <w:szCs w:val="16"/>
        </w:rPr>
        <w:t xml:space="preserve"> пр. 310 (1958-60)- 6, пр. 1886 (1963-72)- 6, пр. 1886М (1972)- 1, учебный корабль пр. 1886У (1970-71)- 2;</w:t>
      </w:r>
      <w:r w:rsidRPr="00925F26">
        <w:rPr>
          <w:iCs/>
          <w:color w:val="000000" w:themeColor="text1"/>
          <w:sz w:val="16"/>
          <w:szCs w:val="16"/>
        </w:rPr>
        <w:t xml:space="preserve"> плавучие техбазы:</w:t>
      </w:r>
      <w:r w:rsidRPr="00925F26">
        <w:rPr>
          <w:color w:val="000000" w:themeColor="text1"/>
          <w:sz w:val="16"/>
          <w:szCs w:val="16"/>
        </w:rPr>
        <w:t xml:space="preserve"> несамоходные пр. 323, пр. 323А (1962-65)- всего 3, пр. 323Б (1970), пр. 323В (1978); ракетно-техническая пр. 2001 (1971); перезарядки реакторов ЯЭУ пр. 2020 (1984-90)- 3, зак. 698 (-1992, не достроена); плавмастерские пр. 725 (1960- 62)- 3, пр. 725А (1964-66)- 2; малые плавдоки пр. 28 (1953-56);</w:t>
      </w:r>
      <w:r w:rsidRPr="00925F26">
        <w:rPr>
          <w:iCs/>
          <w:color w:val="000000" w:themeColor="text1"/>
          <w:sz w:val="16"/>
          <w:szCs w:val="16"/>
        </w:rPr>
        <w:t xml:space="preserve"> танкеры:</w:t>
      </w:r>
      <w:r w:rsidRPr="00925F26">
        <w:rPr>
          <w:color w:val="000000" w:themeColor="text1"/>
          <w:sz w:val="16"/>
          <w:szCs w:val="16"/>
        </w:rPr>
        <w:t xml:space="preserve"> пр. 563 «Казбек» (09.1950-09.1951); «панамаксы»: зак. 201, 202 для Норвегии (03.1992-93, не построены), для Греции (1990-е);</w:t>
      </w:r>
      <w:r w:rsidRPr="00925F26">
        <w:rPr>
          <w:iCs/>
          <w:color w:val="000000" w:themeColor="text1"/>
          <w:sz w:val="16"/>
          <w:szCs w:val="16"/>
        </w:rPr>
        <w:t xml:space="preserve"> сухогрузы:</w:t>
      </w:r>
      <w:r w:rsidRPr="00925F26">
        <w:rPr>
          <w:color w:val="000000" w:themeColor="text1"/>
          <w:sz w:val="16"/>
          <w:szCs w:val="16"/>
        </w:rPr>
        <w:t xml:space="preserve"> пр. 567 «Ленинский комсомол»</w:t>
      </w:r>
    </w:p>
    <w:p w14:paraId="269C04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(1959-)- 25 (вместе с заводом 873); пр. 594 типа «Полтава» (1962-)- 1, пр. 595 типа «Бежица» (1962-)- 1, пр. 1568 «Капитан Кушнаренко» (1967-75)- 21; контейнеровозы пр. 1609 «Капитан Смирнов» (1978-), «Капитан Мезенцев», «Инженер Ермошкин», «Владимир Васляев»; БМРТ пр. 394 «Маяковский» (1956-03.1958), (1958-78)- всего более 380 (вместе с заводом «Балтия»); пр. 394А «Пионер Латвии» (1969-), пр. 394АМ «Кронштадт» (1971- )- всего около 150; пр. 1288 «Пулковский меридиан» (1974-90)- более 80;</w:t>
      </w:r>
      <w:r w:rsidRPr="00925F26">
        <w:rPr>
          <w:iCs/>
          <w:color w:val="000000" w:themeColor="text1"/>
          <w:sz w:val="16"/>
          <w:szCs w:val="16"/>
        </w:rPr>
        <w:t xml:space="preserve"> суда </w:t>
      </w:r>
      <w:r w:rsidRPr="00925F26">
        <w:rPr>
          <w:iCs/>
          <w:color w:val="000000" w:themeColor="text1"/>
          <w:sz w:val="16"/>
          <w:szCs w:val="16"/>
          <w:lang w:val="en-US"/>
        </w:rPr>
        <w:t>cnetf</w:t>
      </w:r>
      <w:r w:rsidRPr="00925F26">
        <w:rPr>
          <w:iCs/>
          <w:color w:val="000000" w:themeColor="text1"/>
          <w:sz w:val="16"/>
          <w:szCs w:val="16"/>
        </w:rPr>
        <w:t>назначения для ВМФ:</w:t>
      </w:r>
      <w:r w:rsidRPr="00925F26">
        <w:rPr>
          <w:color w:val="000000" w:themeColor="text1"/>
          <w:sz w:val="16"/>
          <w:szCs w:val="16"/>
        </w:rPr>
        <w:t xml:space="preserve"> больше разведывательные корабли пр. 394Б, пр. 994 (1969-72)- всего 6; пр. 10221 (1986)- 1, пр. 12884 (1992)- 1; китобойные базы пр. 392 «Советская Украина» (1959), «Советская Россия» (1961); научно-промысловое судно «Академик Книпович» (1964); плавучий измерительный пункт пр. 1908 «Академик Сергей Королев» (1969- 12.1970); буксир-спасатель пр. 1454 «Пурга», «Напористый» (1974-);</w:t>
      </w:r>
      <w:r w:rsidRPr="00925F26">
        <w:rPr>
          <w:color w:val="000000" w:themeColor="text1"/>
          <w:sz w:val="16"/>
          <w:szCs w:val="16"/>
          <w:vertAlign w:val="superscript"/>
        </w:rPr>
        <w:t>116</w:t>
      </w:r>
      <w:r w:rsidRPr="00925F26">
        <w:rPr>
          <w:color w:val="000000" w:themeColor="text1"/>
          <w:sz w:val="16"/>
          <w:szCs w:val="16"/>
        </w:rPr>
        <w:t xml:space="preserve"> паровые котлы: КВН 98/64 для ТАКР «Баку», КВГ-2-1 для НИТКА (1970-е); взлетно-посадочные блоки испытательного комплекса НИТКА (1970-е); моторная лодка «Южанка» (1950-е); </w:t>
      </w:r>
      <w:r w:rsidRPr="00925F26">
        <w:rPr>
          <w:iCs/>
          <w:color w:val="000000" w:themeColor="text1"/>
          <w:sz w:val="16"/>
          <w:szCs w:val="16"/>
        </w:rPr>
        <w:t>переоборудование:</w:t>
      </w:r>
      <w:r w:rsidRPr="00925F26">
        <w:rPr>
          <w:color w:val="000000" w:themeColor="text1"/>
          <w:sz w:val="16"/>
          <w:szCs w:val="16"/>
        </w:rPr>
        <w:t xml:space="preserve"> ПЛ: пр. 613 по пр. В613 с БР (1957); С-229 пр. 613 по пр. 613АД с КР П-70 «Аметист» (1963-64); С-65 пр. 613 по пр. 613РВ (04-06.1965); крейсера пр. 68бис-ЗИФ «Адмирал Нахимов» по пр. 67ЭП (1955).</w:t>
      </w:r>
    </w:p>
    <w:p w14:paraId="4A5609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технологическое бюро № 82 (СТБ-82)</w:t>
      </w:r>
    </w:p>
    <w:p w14:paraId="61A7F2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Создано на заводе № 444 в 1950-</w:t>
      </w:r>
      <w:proofErr w:type="gramStart"/>
      <w:r w:rsidRPr="00925F26">
        <w:rPr>
          <w:color w:val="000000" w:themeColor="text1"/>
          <w:sz w:val="16"/>
          <w:szCs w:val="16"/>
        </w:rPr>
        <w:t>е  г.</w:t>
      </w:r>
      <w:proofErr w:type="gramEnd"/>
      <w:r w:rsidRPr="00925F26">
        <w:rPr>
          <w:color w:val="000000" w:themeColor="text1"/>
          <w:sz w:val="16"/>
          <w:szCs w:val="16"/>
        </w:rPr>
        <w:t xml:space="preserve"> для сопровождения строительства головного тяжелого крейсера пр. 82 и разработки технологической документации по нему для других заводов.</w:t>
      </w:r>
      <w:r w:rsidRPr="00925F26">
        <w:rPr>
          <w:color w:val="000000" w:themeColor="text1"/>
          <w:sz w:val="16"/>
          <w:szCs w:val="16"/>
          <w:vertAlign w:val="superscript"/>
        </w:rPr>
        <w:t>142</w:t>
      </w:r>
    </w:p>
    <w:p w14:paraId="02FBD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КБ-444 завода № 444 МСП, ЦКБ-21 МСП, ЦКБ «Черноморсудопроект» (ЧСП), ОАО «ЧСП» /Украина 54010  г. Николаев ул. Бузника, 5/</w:t>
      </w:r>
    </w:p>
    <w:p w14:paraId="1243E1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ЦКБ-21 было образовано на базе КБ Черноморского судостроительного завода (КБ-444) приказом МСП № 383 от 22.12.1955 г. для создания морских транспортных судов. 30.08.1957 г. был утверждён первый технический проект ЦКБ - сухогруза пр. 567, переданный сюда из ЦКБ-32.</w:t>
      </w:r>
    </w:p>
    <w:p w14:paraId="513CE7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1960-</w:t>
      </w:r>
      <w:proofErr w:type="gramStart"/>
      <w:r w:rsidRPr="00925F26">
        <w:rPr>
          <w:color w:val="000000" w:themeColor="text1"/>
          <w:sz w:val="16"/>
          <w:szCs w:val="16"/>
        </w:rPr>
        <w:t>х  г.</w:t>
      </w:r>
      <w:proofErr w:type="gramEnd"/>
      <w:r w:rsidRPr="00925F26">
        <w:rPr>
          <w:color w:val="000000" w:themeColor="text1"/>
          <w:sz w:val="16"/>
          <w:szCs w:val="16"/>
        </w:rPr>
        <w:t xml:space="preserve"> сюда из ЦКБ-17 переданы работы по проектированию плавмастерской для АПЛ пр. 725А.</w:t>
      </w:r>
    </w:p>
    <w:p w14:paraId="288BFE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1966 г. ЦКБ-21 переименовано в ЦКБ «Черноморсудопроект». В 1968 г. ЦКБ присвоено звание «Конструкторское бюро I категории». В 1990 г. изменена организационная структура ЧСП: образованы укрупнённые самостоятельные подразделения КБ-1, КБ-2, КБ-3. Образована дочерняя фирма «Юг-СП».</w:t>
      </w:r>
    </w:p>
    <w:p w14:paraId="1DA63B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706-264 от 3.09.1968 г. начато проектирование плавучего КИК «Академик Сергей Королев» для обеспечения полета комплекса Н1-ЛЗ.</w:t>
      </w:r>
    </w:p>
    <w:p w14:paraId="0D4D9A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1978 г. ВМФ выдано задание на проектирование ПЛ вертолетоносца пр. 10200 на базе ролкера «Капитан Смирнов», в 1980 г. министром обороны работы прекращены.</w:t>
      </w:r>
    </w:p>
    <w:p w14:paraId="751E6B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Здесь созданы: первый отечественный (и в мире) сухогруз с максимальным раскрытием парных палубных люков- пр. 594; первый отечественный корабль комплексного снабжения кораблей ВМФ с устройствами передачи боезапаса, грузов и топлива на ходу «Березина»; уникальное судно снабжения Арктики с грузообработкой вертолётами собственного базирования пр. 10620 «Витус Беринг»; в конце 1970-х - первый отечественный лихтеровоз пр. 17502.</w:t>
      </w:r>
    </w:p>
    <w:p w14:paraId="2B0B4D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(1956-1965 г.)- А.Р. Золотухин, (1970 г.)- С.М. Козлов, (-1995 г.)- Ю. Т. Каменецкий. Гендиректор (2007 г.)- В.Н. Пикинер.</w:t>
      </w:r>
    </w:p>
    <w:p w14:paraId="6BBA1C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Технический директор (2007 г.)- В.В. Панков.</w:t>
      </w:r>
    </w:p>
    <w:p w14:paraId="5DEDB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(1948 г.)- М.И. Жулай (пр. 48к), (-1957-62 г.-)- Б.К. Сидоров (пр. 567, 594).</w:t>
      </w:r>
    </w:p>
    <w:p w14:paraId="02BCFE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К.Ф Иваницкий, (1971-78 г.-)- Ю.Т. Каменецкий, М. Г. Черноморенко.</w:t>
      </w:r>
    </w:p>
    <w:p w14:paraId="278845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(1970-е-87 г.-)- В.К. Ивженко (пр. 1609, 16091), (-1978-80 г.-&gt; Ю.Т. Каменецкий (пр. 10200), А.П. Клименко (пр. 15941), (1980-е)- Н.Т. Кныш пр. 13476), (1970 г.)- С.М. Козлов (пр. 1908), (1960-е)- Л.Р. Козырчук (пр. 1361, 1376), А.В. Корженовский, (1983 г.)- С.Б. Косовский (пр. 10620), О. Г. Кочерга, В.В. Криницкий, К.К. Леснов, (-1967-87 г.-)- В.А. Панков (пр. 1563, 1592, 1597, 10621, 17502), А. Г. Пляка, (1960-е-70 г.- )- Ф. В. Сибирь (пр. 567, 1347, 1568, 1584), (1971 г.)-  Г.М. Филатов (пр. 1585), (-1966-70-е)- А.Ф. Цыбенко (пр. 1573, 1574, 1593), (1960-е-70-е)- Д.С. Шаманов (пр. 725А, 925, 1833), В.Т. Щербинин, (1950-е)- Э. Г. Юсупов (пр. 582).</w:t>
      </w:r>
    </w:p>
    <w:p w14:paraId="31D8AA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конструкторов: (1970 г.)- Ю.Т. Каменецкий, (1978 г.)- М. Г. Черноморенко (пр. 10200).</w:t>
      </w:r>
    </w:p>
    <w:p w14:paraId="6014619A"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лидер пр. 48к (1949); противолодочный вертолетоносец пр. 10200 «Халзан» (1978-80, не реализован); большие разведывательные корабли пр. 394Б, пр. 994 (1960-е); эксплуатационное судно «Воейков» (1961); пр. 224 переоборудования траулера пр. 394 в экспедиционное гидрометеорологическое судно (1958); плавмастерские: пр. 725А (1964), пр. 925 (1970-е, не реализован);</w:t>
      </w:r>
      <w:r w:rsidRPr="00925F26">
        <w:rPr>
          <w:iCs/>
          <w:color w:val="000000" w:themeColor="text1"/>
          <w:sz w:val="16"/>
          <w:szCs w:val="16"/>
        </w:rPr>
        <w:t xml:space="preserve"> сухогрузы:</w:t>
      </w:r>
      <w:r w:rsidRPr="00925F26">
        <w:rPr>
          <w:color w:val="000000" w:themeColor="text1"/>
          <w:sz w:val="16"/>
          <w:szCs w:val="16"/>
        </w:rPr>
        <w:t xml:space="preserve"> пр. 567 (1957), пр. 594 типа «Полтава» (1962), пр. 595 типа «Бежйца» (1962), пр. 1563 типа «Славянск» (1967), пр. 1568 «Капитан Кушнаренко» (1966), быстроходный пр. 1584 типа «Котлин» (1970, не реализован), универсальный пр. 1585 типа «Герои-панфиловцы» (1971), экспортный пр. 1585Э (1974); с горизонтальной грузообработкой (ролкер) пр. 1609 типа «Капитан Смирнов» (1977), пр. 16091 (1987, не реализован); типа «Иргиз», «Парижская коммуна»; большой морозильный рыболовный траулер (БМРТ) пр. 1376 «Алтай» (1969), пр. 1386 типа «Горизонт» (1974); плавучий КИК пр. 1908 «Канопус» «Академик Сергей Королёв» на базе пр. 1568 (1970); контейнеровоз пр. 1597 типа «Александр Фадеев» (1972);</w:t>
      </w:r>
      <w:r w:rsidRPr="00925F26">
        <w:rPr>
          <w:iCs/>
          <w:color w:val="000000" w:themeColor="text1"/>
          <w:sz w:val="16"/>
          <w:szCs w:val="16"/>
        </w:rPr>
        <w:t xml:space="preserve"> рефрижераторы:</w:t>
      </w:r>
      <w:r w:rsidRPr="00925F26">
        <w:rPr>
          <w:color w:val="000000" w:themeColor="text1"/>
          <w:sz w:val="16"/>
          <w:szCs w:val="16"/>
        </w:rPr>
        <w:t xml:space="preserve"> пр. 582 типа «Таврия» (1958), пр. 1347 типа «50 лет СССР», транспортный пр. 13476 типа «Бухта Русская» (1984); морозильное судно пр. 1361 типа «Зеленодольск» (1962); </w:t>
      </w:r>
      <w:r w:rsidRPr="00925F26">
        <w:rPr>
          <w:iCs/>
          <w:color w:val="000000" w:themeColor="text1"/>
          <w:sz w:val="16"/>
          <w:szCs w:val="16"/>
        </w:rPr>
        <w:t>рудовозы:</w:t>
      </w:r>
      <w:r w:rsidRPr="00925F26">
        <w:rPr>
          <w:color w:val="000000" w:themeColor="text1"/>
          <w:sz w:val="16"/>
          <w:szCs w:val="16"/>
        </w:rPr>
        <w:t xml:space="preserve"> пр. 1573 типа «Риголетто» (1966), пр. 1574 типа «Зоя Космодемьянская» (1972), пр. 1592 типа «Капитан Панфилов» (1974), нефтерудовозы пр. 1593 </w:t>
      </w:r>
      <w:r w:rsidRPr="00925F26">
        <w:rPr>
          <w:color w:val="000000" w:themeColor="text1"/>
          <w:sz w:val="16"/>
          <w:szCs w:val="16"/>
        </w:rPr>
        <w:lastRenderedPageBreak/>
        <w:t>типа «Борис Бутома» (1975), пр. 15941 типа «Харитон Греку»; корабль комплексного снабжения пр. 1833 «Пегас» (1976); лихтеровоз пр. 17502 типа «Алексей Косыгин» (1980); научно-исследовательские суда: пр. 1924С и пр. 1924У (1984, совместно с ЦКБ «Балтсудопроект»), «Академик Николай Андреев»; суда снабжения пр. 10620 «Витус Беринг» (1983), пр. 10621 типа «Иван Папанин» (1987); лесовоз-пакетовоз «</w:t>
      </w:r>
      <w:r w:rsidRPr="00925F26">
        <w:rPr>
          <w:color w:val="000000" w:themeColor="text1"/>
          <w:sz w:val="16"/>
          <w:szCs w:val="16"/>
          <w:lang w:val="en-US"/>
        </w:rPr>
        <w:t>RAMONABOITIZ</w:t>
      </w:r>
      <w:r w:rsidRPr="00925F26">
        <w:rPr>
          <w:color w:val="000000" w:themeColor="text1"/>
          <w:sz w:val="16"/>
          <w:szCs w:val="16"/>
        </w:rPr>
        <w:t>», балкер «Киев», многоцелевой буксир «Гайдамака» (11982).</w:t>
      </w:r>
    </w:p>
    <w:p w14:paraId="08F1447D" w14:textId="77777777" w:rsidR="00665165" w:rsidRPr="00925F26" w:rsidRDefault="00665165" w:rsidP="00925F26">
      <w:pPr>
        <w:autoSpaceDE w:val="0"/>
        <w:autoSpaceDN w:val="0"/>
        <w:adjustRightInd w:val="0"/>
        <w:jc w:val="both"/>
        <w:rPr>
          <w:color w:val="000000" w:themeColor="text1"/>
          <w:sz w:val="16"/>
          <w:szCs w:val="16"/>
        </w:rPr>
      </w:pPr>
    </w:p>
    <w:p w14:paraId="2ADD265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7961 О мероприятиях по обеспечению перевозок хлеба речным транспортом в полноводный период навигации 1945 г. (7319, 80-85,86-94).</w:t>
      </w:r>
    </w:p>
    <w:p w14:paraId="01146A3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73A8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7962 О балансах и планах распределения сырья и проката цветных металлов, припасов, баббитов, угольных и графитированных электродов, нефтяного кокса и кабельных изделий на II квартал 1945 г. РГАНИР, Фонд ГКО, д. 386, лл. 95-97, 98-154 (11012).</w:t>
      </w:r>
    </w:p>
    <w:p w14:paraId="6C8FAB5C" w14:textId="77777777" w:rsidR="00665165" w:rsidRPr="00925F26" w:rsidRDefault="00665165" w:rsidP="00925F26">
      <w:pPr>
        <w:autoSpaceDE w:val="0"/>
        <w:autoSpaceDN w:val="0"/>
        <w:adjustRightInd w:val="0"/>
        <w:jc w:val="both"/>
        <w:rPr>
          <w:color w:val="000000" w:themeColor="text1"/>
          <w:sz w:val="16"/>
          <w:szCs w:val="16"/>
        </w:rPr>
      </w:pPr>
    </w:p>
    <w:p w14:paraId="5EADDD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7963 О плане нагрузки, выработки и распределения электроэнергии на II квартал 1945 года. РГАНИР, Фонд ГКО, д. 386, лл. 155-158, 159-212 (11012).</w:t>
      </w:r>
    </w:p>
    <w:p w14:paraId="4F17371D" w14:textId="77777777" w:rsidR="00665165" w:rsidRPr="00925F26" w:rsidRDefault="00665165" w:rsidP="00925F26">
      <w:pPr>
        <w:autoSpaceDE w:val="0"/>
        <w:autoSpaceDN w:val="0"/>
        <w:adjustRightInd w:val="0"/>
        <w:jc w:val="both"/>
        <w:rPr>
          <w:color w:val="000000" w:themeColor="text1"/>
          <w:sz w:val="16"/>
          <w:szCs w:val="16"/>
        </w:rPr>
      </w:pPr>
    </w:p>
    <w:p w14:paraId="48AA3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7964 О мерах помощи по дальнейшему восстановлению Сталиногорской ГРЭС. РГАНИР, Фонд ГКО, д. 387, лл. 1-3, 4-23 (11012).</w:t>
      </w:r>
    </w:p>
    <w:p w14:paraId="44D4DF73" w14:textId="77777777" w:rsidR="00665165" w:rsidRPr="00925F26" w:rsidRDefault="00665165" w:rsidP="00925F26">
      <w:pPr>
        <w:autoSpaceDE w:val="0"/>
        <w:autoSpaceDN w:val="0"/>
        <w:adjustRightInd w:val="0"/>
        <w:jc w:val="both"/>
        <w:rPr>
          <w:color w:val="000000" w:themeColor="text1"/>
          <w:sz w:val="16"/>
          <w:szCs w:val="16"/>
        </w:rPr>
      </w:pPr>
    </w:p>
    <w:p w14:paraId="358D23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7965 О мероприятиях по улучшению использования мощностей предприятий целлюлозно-бумажной промышленности. (7320, 24-32,33-48).</w:t>
      </w:r>
    </w:p>
    <w:p w14:paraId="0291449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00AD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вышло Постановление ГКО № 7966 О мероприятиях по обеспечению строительства главной военно-морской базы Северного Флота в Ваенга и судоремонтного завода в Роста на 1945 гоРГАНИР, Фонд ГКО, д. РГАНИР, Фонд ГКО, д. 387, лл. 49-53, 54-61 (11012).</w:t>
      </w:r>
    </w:p>
    <w:p w14:paraId="2704F3B0" w14:textId="77777777" w:rsidR="00665165" w:rsidRPr="00925F26" w:rsidRDefault="00665165" w:rsidP="00925F26">
      <w:pPr>
        <w:autoSpaceDE w:val="0"/>
        <w:autoSpaceDN w:val="0"/>
        <w:adjustRightInd w:val="0"/>
        <w:jc w:val="both"/>
        <w:rPr>
          <w:color w:val="000000" w:themeColor="text1"/>
          <w:sz w:val="16"/>
          <w:szCs w:val="16"/>
        </w:rPr>
      </w:pPr>
    </w:p>
    <w:p w14:paraId="04055E7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D059F32" w14:textId="77777777" w:rsidR="00665165" w:rsidRPr="00925F26" w:rsidRDefault="00665165" w:rsidP="00925F26">
      <w:pPr>
        <w:autoSpaceDE w:val="0"/>
        <w:autoSpaceDN w:val="0"/>
        <w:adjustRightInd w:val="0"/>
        <w:jc w:val="both"/>
        <w:rPr>
          <w:iCs/>
          <w:color w:val="000000" w:themeColor="text1"/>
          <w:sz w:val="16"/>
          <w:szCs w:val="16"/>
        </w:rPr>
      </w:pPr>
    </w:p>
    <w:p w14:paraId="3BB92232" w14:textId="77777777" w:rsidR="00503A32" w:rsidRPr="00925F26" w:rsidRDefault="00503A32" w:rsidP="00925F26">
      <w:pPr>
        <w:jc w:val="both"/>
        <w:rPr>
          <w:color w:val="000000" w:themeColor="text1"/>
          <w:sz w:val="16"/>
          <w:szCs w:val="16"/>
        </w:rPr>
      </w:pPr>
      <w:r w:rsidRPr="00925F26">
        <w:rPr>
          <w:bCs/>
          <w:color w:val="000000" w:themeColor="text1"/>
          <w:sz w:val="16"/>
          <w:szCs w:val="16"/>
        </w:rPr>
        <w:t>31 марта</w:t>
      </w:r>
      <w:r w:rsidRPr="00925F26">
        <w:rPr>
          <w:color w:val="000000" w:themeColor="text1"/>
          <w:sz w:val="16"/>
          <w:szCs w:val="16"/>
        </w:rPr>
        <w:t xml:space="preserve"> в 1945 году оперативная сводка Совинформбюро:</w:t>
      </w:r>
    </w:p>
    <w:p w14:paraId="4861BA9F" w14:textId="77777777" w:rsidR="00503A32" w:rsidRPr="00925F26" w:rsidRDefault="00503A32" w:rsidP="00925F26">
      <w:pPr>
        <w:jc w:val="both"/>
        <w:rPr>
          <w:color w:val="000000" w:themeColor="text1"/>
          <w:sz w:val="16"/>
          <w:szCs w:val="16"/>
        </w:rPr>
      </w:pPr>
      <w:r w:rsidRPr="00925F26">
        <w:rPr>
          <w:color w:val="000000" w:themeColor="text1"/>
          <w:sz w:val="16"/>
          <w:szCs w:val="16"/>
        </w:rPr>
        <w:t>«На 1-м Белорусском фронте западнее и юго-западнее города Кистжинь (Кюстрин) наши войска окружили и уничтожили значительный гарнизон немцев, оборонявший район между Вартой и Одером, при этом взяли в плен 3.170 немецких солдат и офицеров и захватили полевых орудий — 54, пулемётов— 150. Противник оставил на поле боя до 3.000 трупов своих солдат и офицеров.</w:t>
      </w:r>
    </w:p>
    <w:p w14:paraId="68413329" w14:textId="77777777" w:rsidR="00503A32" w:rsidRPr="00925F26" w:rsidRDefault="00503A32" w:rsidP="00925F26">
      <w:pPr>
        <w:jc w:val="both"/>
        <w:rPr>
          <w:color w:val="000000" w:themeColor="text1"/>
          <w:sz w:val="16"/>
          <w:szCs w:val="16"/>
        </w:rPr>
      </w:pPr>
      <w:r w:rsidRPr="00925F26">
        <w:rPr>
          <w:color w:val="000000" w:themeColor="text1"/>
          <w:sz w:val="16"/>
          <w:szCs w:val="16"/>
        </w:rPr>
        <w:t>В районах Глогау и Бреслау наши войска продолжали бои по уничтожению окружённых групп немецких войск.</w:t>
      </w:r>
    </w:p>
    <w:p w14:paraId="28549E16"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1-го Украинского фронта 31 марта с боем овладели городами Ратибор и Бискау — важными узлами дорог и сильными опорными пунктами обороны немцев на левом берегу Одера, а также с боями заняли более 50 других населённых пунктов и среди них Братш, Тюрмитц, Хохкретшам, Катшер, Трэм, Заудиц, Вейендорф, Хоенбиркен, Пшув, Рыдультау.</w:t>
      </w:r>
    </w:p>
    <w:p w14:paraId="514184F0"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овладели городом Нитра и, форсировав реку Ваг, с боем заняли город Таланта — важный узел дорог на путях к Братиславе. В ходе боёв за 31 марта войска фронта заняли более 80 других населённых пунктов, в том числе крупные населённые пункты Кепешд, Шалья, Дяковце, Перед, Жигард, Горни Салиби, Мостова Керть, Гута, Земянска-Олча, Тани и железнодорожные станции Шалья, Перед, Жигард, Недед. Одновременно войска фронта, наступая по южному берегу Дуная, заняли населённые пункты Дунасег, Кунсигет, Мошонсентмиклош, Бешаркани, Маглоца. В боях за 30 марта войска фронта взяли в плен более 800 солдат и офицеров противника.</w:t>
      </w:r>
    </w:p>
    <w:p w14:paraId="5995C7F3"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3-го Украинского фронта, продолжая наступление, 31 марта овладели городами Вашвар, Керменд, Сентготтард—важными опорными пунктами обороны немцев на раке Раба; южнее озера Балатон войска болгарской армии с боем заняли город чурго. В ходе наступательных боёв за 31 марта войска фронта заняли на территории Венгрии более 100 других населённых пунктов и среди них Шюттер, Хидегшег, Копхаза (5 километров юго-восточнее Шопрона), Надыденк, Унд, Нарай, Кандорфа, Ерисентпетер, Залабакша, Ново, Шармеллек. Одновременно на территории Австрии юго-восточнее Винер Нойштадт войска фронта заняли более 70 населённых пунктов и среди них Дойч Кронц, Некенмаркт, Ланенбах, Рицинг, Чурндорф, Висма, Кирхшлаг, Рехнитц. В боях за 30 марта войска фронта взяли в плен более 8.000 солдат и офицеров противника. В числе пленных командир 3-го венгерского армейского корпуса генерал-лейтенант Актолейко-Бейла.</w:t>
      </w:r>
    </w:p>
    <w:p w14:paraId="62248A2B" w14:textId="77777777" w:rsidR="00503A32" w:rsidRPr="00925F26" w:rsidRDefault="00503A32"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2ED58C1B" w14:textId="77777777" w:rsidR="00503A32" w:rsidRPr="00925F26" w:rsidRDefault="00503A32" w:rsidP="00925F26">
      <w:pPr>
        <w:jc w:val="both"/>
        <w:rPr>
          <w:color w:val="000000" w:themeColor="text1"/>
          <w:sz w:val="16"/>
          <w:szCs w:val="16"/>
        </w:rPr>
      </w:pPr>
      <w:r w:rsidRPr="00925F26">
        <w:rPr>
          <w:color w:val="000000" w:themeColor="text1"/>
          <w:sz w:val="16"/>
          <w:szCs w:val="16"/>
        </w:rPr>
        <w:t>За 30 марта на всех фронтах подбито и уничтожено 50 немецких танков. В воздушных боях и огнём зенитной артиллерии сбито 25 самолётов противника.</w:t>
      </w:r>
    </w:p>
    <w:p w14:paraId="516CC4A5"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1-го Украинского фронта с боями продвигались вперед. Советские пехотинцы и танкисты прорвали немецкую оборону северо-западнее города Ратибор. Противник спешно перебросил на этот участок значительные силы пехоты и танков и оказывал упорное сопротивление. Пленные сообщают, что немецкое командование отдало приказ любой ценой удержать Ратибор – сильный опорный пункт, прикрывающих пути к Моравской Остраве. Немцы, ожидавшие удара наших войск с востока и юга, укрепили восточные и южные подступы к городу. Здесь была построена сплошная полоса долговременных укреплений – железобетонные доты с подземными ходами сообщения, противотанковые рвы и проволочные заграждения. Совершив успешный обходный маневр, наши войска ворвались в Ратибор с запада. Противник, стремясь восстановить положение, предпринял ряд ожесточенных контратак. Отбрасывая гитлеровцев, советские пехотинцы постепенно обходили город. Одновременно другие наши части усилили нажим с востока. Сегодня днем после упорных боев войска фронта, сломив вражеское сопротивление, овладели городом Ратибор – важным узлом железных и шоссейных дорог. Ратибор – крупный промышленный центр на реке Одер. В нем имеются машиностроительные, вагоностроительные и военные заводы, судостроительная верфь и другие предприятия. Нашими войсками занят также город Бискау. За два дня боев уничтожено более 3 тысяч гитлеровцев, сожжено и подбито 37 танков и 14 бронетранспортеров противника. Взято в плен более 1000 немецких солдат и офицеров.</w:t>
      </w:r>
    </w:p>
    <w:p w14:paraId="54C0C9CD"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Наши части сбоями вышли к город Нитра, расположенному в излучине реки Нитра, на ее западном берегу. Немцы часто переходили в контратаки. Наши войска отбили вражеские контратаки и отбросили противника на западный берег реки. Затем советские пехотинцы переправились через реку южнее города и, совершив стремительный обходный маневр, отрезали вражескому гарнизону все пути отхода. Город Нитра был подготовлен немцами к длительной круговой обороне. Наши войска при поддержке артиллерии ворвались в город с юго-запада и в результате ожесточенных уличных боев овладели им. Крупный немецкий гарнизон в большей своей части уничтожен. Часть гитлеровцев сложила оружие и сдалась в плен.</w:t>
      </w:r>
    </w:p>
    <w:p w14:paraId="030AB1D7"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фронта, форсировав реку Ваг, сегодня заняли важный узел дорог город Галанта, находящийся в 45 километрах от Братиславы. Противник, отступая под ударами советских войск, бросает много вооружения и военных материалов.</w:t>
      </w:r>
    </w:p>
    <w:p w14:paraId="4C553BF4" w14:textId="77777777" w:rsidR="00503A32" w:rsidRPr="00925F26" w:rsidRDefault="00503A32" w:rsidP="00925F26">
      <w:pPr>
        <w:jc w:val="both"/>
        <w:rPr>
          <w:color w:val="000000" w:themeColor="text1"/>
          <w:sz w:val="16"/>
          <w:szCs w:val="16"/>
        </w:rPr>
      </w:pPr>
      <w:r w:rsidRPr="00925F26">
        <w:rPr>
          <w:color w:val="000000" w:themeColor="text1"/>
          <w:sz w:val="16"/>
          <w:szCs w:val="16"/>
        </w:rPr>
        <w:t>Войска 3-го Украинского фронта продолжали успешное наступление. Все попытки противника задержаться на промежуточных рубежах сорваны стремительными действиями советских частей. Наши танкисты и пехотинцы, вступившие в гористую, покрытую лесом местность, обходят вражеские узлы обороны и неотступно преследуют потрепанные немецкие дивизии. Ожесточенные бои произошли в долине реки Раба. Сломив сопротивление немцев, советские части овладели городом Керменд и устремились на запад. За день боев наши войска продвинулись на 30 километров и вышли к городу Сентготтард, расположенному у австро-венгерской границы. Немцы, располагавшие выгодными позициями, намеревались задержать здесь советские части, но были разгромлены. Заняв город Сентготтард, наши войска захватили много пленных и большие трофеи. По неполным данным уничтожено до 4 тысяч немецких солдат и офицеров. Захвачено 32 танка и самоходных орудий, 144 пулемета, более 300 автомашин, 30 паровозов, 322 вагона, 3 железнодорожных эшелона с инженерным имуществом и 11 разных складов.</w:t>
      </w:r>
    </w:p>
    <w:p w14:paraId="7CE9D7FB" w14:textId="77777777" w:rsidR="00503A32" w:rsidRPr="00925F26" w:rsidRDefault="00503A32" w:rsidP="00925F26">
      <w:pPr>
        <w:jc w:val="both"/>
        <w:rPr>
          <w:color w:val="000000" w:themeColor="text1"/>
          <w:sz w:val="16"/>
          <w:szCs w:val="16"/>
        </w:rPr>
      </w:pPr>
      <w:r w:rsidRPr="00925F26">
        <w:rPr>
          <w:color w:val="000000" w:themeColor="text1"/>
          <w:sz w:val="16"/>
          <w:szCs w:val="16"/>
        </w:rPr>
        <w:t>29 марта авиацией Краснознаменного Балтийского флота в Данцигской бухте потоплены: миноносец, транспорт водоизмещением в 5 тысяч тонн и быстроходная десантная баржа противника.» (15085).</w:t>
      </w:r>
    </w:p>
    <w:p w14:paraId="320FAEF2" w14:textId="77777777" w:rsidR="00503A32" w:rsidRPr="00925F26" w:rsidRDefault="00503A32" w:rsidP="00925F26">
      <w:pPr>
        <w:jc w:val="both"/>
        <w:rPr>
          <w:color w:val="000000" w:themeColor="text1"/>
          <w:sz w:val="16"/>
          <w:szCs w:val="16"/>
        </w:rPr>
      </w:pPr>
    </w:p>
    <w:p w14:paraId="1EB75002" w14:textId="77777777" w:rsidR="00503A32" w:rsidRPr="00925F26" w:rsidRDefault="00503A32" w:rsidP="00925F26">
      <w:pPr>
        <w:jc w:val="both"/>
        <w:rPr>
          <w:color w:val="000000" w:themeColor="text1"/>
          <w:sz w:val="16"/>
          <w:szCs w:val="16"/>
        </w:rPr>
      </w:pPr>
      <w:r w:rsidRPr="00925F26">
        <w:rPr>
          <w:bCs/>
          <w:color w:val="000000" w:themeColor="text1"/>
          <w:sz w:val="16"/>
          <w:szCs w:val="16"/>
        </w:rPr>
        <w:t>31 марта</w:t>
      </w:r>
      <w:r w:rsidRPr="00925F26">
        <w:rPr>
          <w:color w:val="000000" w:themeColor="text1"/>
          <w:sz w:val="16"/>
          <w:szCs w:val="16"/>
        </w:rPr>
        <w:t xml:space="preserve"> в 1945 году войска 1-го Украинского фронта завершили Верхне -Силезскую наступательную операцию. В результате этой операции были окружены и уничтожены 17 армий группы армий "Центр" и армейская группа "Хейнрици". В ходе операции было уничтожено 40 тысяч фашистов и 14 тысяч взято в плен (15085).</w:t>
      </w:r>
    </w:p>
    <w:p w14:paraId="79852B40" w14:textId="77777777" w:rsidR="00503A32" w:rsidRPr="00925F26" w:rsidRDefault="00503A32" w:rsidP="00925F26">
      <w:pPr>
        <w:jc w:val="both"/>
        <w:rPr>
          <w:color w:val="000000" w:themeColor="text1"/>
          <w:sz w:val="16"/>
          <w:szCs w:val="16"/>
        </w:rPr>
      </w:pPr>
    </w:p>
    <w:p w14:paraId="04D91DE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в 1945 году войска 1-го Украинского фронта завершили Верхне -Силезскую наступательную операцию. В результате этой операции были окружены и уничтожены 17 А группы армий "Центр" и армейская группа "Хейнрици". В ходе операции было уничтожено 40 тысяч фашистов и 14 тысяч взято в плен (</w:t>
      </w:r>
      <w:proofErr w:type="gramStart"/>
      <w:r w:rsidRPr="00925F26">
        <w:rPr>
          <w:color w:val="000000" w:themeColor="text1"/>
          <w:sz w:val="16"/>
          <w:szCs w:val="16"/>
        </w:rPr>
        <w:t>4963 )</w:t>
      </w:r>
      <w:proofErr w:type="gramEnd"/>
      <w:r w:rsidRPr="00925F26">
        <w:rPr>
          <w:color w:val="000000" w:themeColor="text1"/>
          <w:sz w:val="16"/>
          <w:szCs w:val="16"/>
        </w:rPr>
        <w:t>.</w:t>
      </w:r>
    </w:p>
    <w:p w14:paraId="185BFC4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BEB25B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March 31st, 1945: In the Southeast, the Red Army enters German territory near Sopron in Hungary, while capturing Ratibor in Upper Silesia. In the West, the US Third Army reaches Siegen 20 miles east of the Rhine (3819).</w:t>
      </w:r>
    </w:p>
    <w:p w14:paraId="27119340" w14:textId="77777777" w:rsidR="00665165" w:rsidRPr="00925F26" w:rsidRDefault="00665165" w:rsidP="00925F26">
      <w:pPr>
        <w:autoSpaceDE w:val="0"/>
        <w:autoSpaceDN w:val="0"/>
        <w:adjustRightInd w:val="0"/>
        <w:jc w:val="both"/>
        <w:rPr>
          <w:color w:val="000000" w:themeColor="text1"/>
          <w:sz w:val="16"/>
          <w:szCs w:val="16"/>
          <w:lang w:val="en-US"/>
        </w:rPr>
      </w:pPr>
    </w:p>
    <w:p w14:paraId="684ACE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КА вошла на немецкую территорию у Шопроня в Венгрии и заняли Ратибор в Верхней Силезии. 3А США достигла Зигена в 20 милях от Рейна (3819).</w:t>
      </w:r>
    </w:p>
    <w:p w14:paraId="18E3AC74" w14:textId="77777777" w:rsidR="00665165" w:rsidRPr="00925F26" w:rsidRDefault="00665165" w:rsidP="00925F26">
      <w:pPr>
        <w:autoSpaceDE w:val="0"/>
        <w:autoSpaceDN w:val="0"/>
        <w:adjustRightInd w:val="0"/>
        <w:jc w:val="both"/>
        <w:rPr>
          <w:color w:val="000000" w:themeColor="text1"/>
          <w:sz w:val="16"/>
          <w:szCs w:val="16"/>
        </w:rPr>
      </w:pPr>
    </w:p>
    <w:p w14:paraId="715BA9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48EA24C" w14:textId="77777777" w:rsidR="00665165" w:rsidRPr="00925F26" w:rsidRDefault="00665165" w:rsidP="00925F26">
      <w:pPr>
        <w:autoSpaceDE w:val="0"/>
        <w:autoSpaceDN w:val="0"/>
        <w:adjustRightInd w:val="0"/>
        <w:jc w:val="both"/>
        <w:rPr>
          <w:iCs/>
          <w:color w:val="000000" w:themeColor="text1"/>
          <w:sz w:val="16"/>
          <w:szCs w:val="16"/>
        </w:rPr>
      </w:pPr>
    </w:p>
    <w:p w14:paraId="4EF522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США и Англия запретили представителям польского правительства, поддерживаемого СССР, принять участие в заседании ОНН в Сан Франциско (2100).</w:t>
      </w:r>
    </w:p>
    <w:p w14:paraId="2D40950D" w14:textId="77777777" w:rsidR="00665165" w:rsidRPr="00925F26" w:rsidRDefault="00665165" w:rsidP="00925F26">
      <w:pPr>
        <w:autoSpaceDE w:val="0"/>
        <w:autoSpaceDN w:val="0"/>
        <w:adjustRightInd w:val="0"/>
        <w:jc w:val="both"/>
        <w:rPr>
          <w:color w:val="000000" w:themeColor="text1"/>
          <w:sz w:val="16"/>
          <w:szCs w:val="16"/>
        </w:rPr>
      </w:pPr>
    </w:p>
    <w:p w14:paraId="21A2E8C5" w14:textId="77777777" w:rsidR="00665165" w:rsidRPr="00925F26" w:rsidRDefault="001561D1" w:rsidP="00925F26">
      <w:pPr>
        <w:tabs>
          <w:tab w:val="left" w:pos="1620"/>
        </w:tabs>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1C88744" w14:textId="77777777" w:rsidR="00665165" w:rsidRPr="00925F26" w:rsidRDefault="00665165" w:rsidP="00925F26">
      <w:pPr>
        <w:tabs>
          <w:tab w:val="left" w:pos="1620"/>
        </w:tabs>
        <w:autoSpaceDE w:val="0"/>
        <w:autoSpaceDN w:val="0"/>
        <w:adjustRightInd w:val="0"/>
        <w:jc w:val="both"/>
        <w:rPr>
          <w:iCs/>
          <w:color w:val="000000" w:themeColor="text1"/>
          <w:sz w:val="16"/>
          <w:szCs w:val="16"/>
        </w:rPr>
      </w:pPr>
    </w:p>
    <w:p w14:paraId="04F9E9F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марта 1945 Эйзенхауэр по радио призвал немецкие войска к капитуляции (4962).</w:t>
      </w:r>
    </w:p>
    <w:p w14:paraId="0290527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B770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было принято решение о создании правительства народно-демократической Чехословакии (3481).</w:t>
      </w:r>
    </w:p>
    <w:p w14:paraId="196905A0" w14:textId="77777777" w:rsidR="00665165" w:rsidRPr="00925F26" w:rsidRDefault="00665165" w:rsidP="00925F26">
      <w:pPr>
        <w:autoSpaceDE w:val="0"/>
        <w:autoSpaceDN w:val="0"/>
        <w:adjustRightInd w:val="0"/>
        <w:jc w:val="both"/>
        <w:rPr>
          <w:color w:val="000000" w:themeColor="text1"/>
          <w:sz w:val="16"/>
          <w:szCs w:val="16"/>
        </w:rPr>
      </w:pPr>
    </w:p>
    <w:p w14:paraId="6D097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в л Равенсбрюк казнена Е.Ю.Кузьмина-Караваема - мать Мария - участница Сопротивления (3960, 126).</w:t>
      </w:r>
    </w:p>
    <w:p w14:paraId="1F423784" w14:textId="77777777" w:rsidR="00665165" w:rsidRPr="00925F26" w:rsidRDefault="00665165" w:rsidP="00925F26">
      <w:pPr>
        <w:autoSpaceDE w:val="0"/>
        <w:autoSpaceDN w:val="0"/>
        <w:adjustRightInd w:val="0"/>
        <w:jc w:val="both"/>
        <w:rPr>
          <w:color w:val="000000" w:themeColor="text1"/>
          <w:sz w:val="16"/>
          <w:szCs w:val="16"/>
        </w:rPr>
      </w:pPr>
    </w:p>
    <w:p w14:paraId="4A5897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 1945 началось применение Оки японцами (3961, 217).</w:t>
      </w:r>
    </w:p>
    <w:p w14:paraId="43CBF1B2" w14:textId="77777777" w:rsidR="00665165" w:rsidRPr="00925F26" w:rsidRDefault="00665165" w:rsidP="00925F26">
      <w:pPr>
        <w:autoSpaceDE w:val="0"/>
        <w:autoSpaceDN w:val="0"/>
        <w:adjustRightInd w:val="0"/>
        <w:jc w:val="both"/>
        <w:rPr>
          <w:color w:val="000000" w:themeColor="text1"/>
          <w:sz w:val="16"/>
          <w:szCs w:val="16"/>
        </w:rPr>
      </w:pPr>
    </w:p>
    <w:p w14:paraId="0599F760" w14:textId="77777777" w:rsidR="00600B70" w:rsidRPr="00925F26" w:rsidRDefault="00600B70" w:rsidP="00925F26">
      <w:pPr>
        <w:jc w:val="both"/>
        <w:rPr>
          <w:color w:val="000000" w:themeColor="text1"/>
          <w:sz w:val="16"/>
          <w:szCs w:val="16"/>
        </w:rPr>
      </w:pPr>
      <w:r w:rsidRPr="00925F26">
        <w:rPr>
          <w:color w:val="000000" w:themeColor="text1"/>
          <w:sz w:val="16"/>
          <w:szCs w:val="16"/>
        </w:rPr>
        <w:t>31 марта 1945 B-29 снова совершили налет на японские аэродромы на Кюсю (20371).</w:t>
      </w:r>
    </w:p>
    <w:p w14:paraId="7EB3D70B" w14:textId="77777777" w:rsidR="00600B70" w:rsidRPr="00925F26" w:rsidRDefault="00600B70" w:rsidP="00925F26">
      <w:pPr>
        <w:jc w:val="both"/>
        <w:rPr>
          <w:color w:val="000000" w:themeColor="text1"/>
          <w:sz w:val="16"/>
          <w:szCs w:val="16"/>
        </w:rPr>
      </w:pPr>
    </w:p>
    <w:p w14:paraId="544DB18A" w14:textId="77777777" w:rsidR="00600B70" w:rsidRPr="00925F26" w:rsidRDefault="00600B70" w:rsidP="00925F26">
      <w:pPr>
        <w:jc w:val="both"/>
        <w:rPr>
          <w:color w:val="000000" w:themeColor="text1"/>
          <w:sz w:val="16"/>
          <w:szCs w:val="16"/>
        </w:rPr>
      </w:pPr>
      <w:r w:rsidRPr="00925F26">
        <w:rPr>
          <w:color w:val="000000" w:themeColor="text1"/>
          <w:sz w:val="16"/>
          <w:szCs w:val="16"/>
        </w:rPr>
        <w:t>31 марта 1945 камикадзе с Окинавы наносят ущерб США тяжелому крейсеру USS Indianapolis, убивая 9 и ранив 20 селовек (20371).</w:t>
      </w:r>
    </w:p>
    <w:p w14:paraId="43A0CE61" w14:textId="77777777" w:rsidR="00600B70" w:rsidRPr="00925F26" w:rsidRDefault="00600B70" w:rsidP="00925F26">
      <w:pPr>
        <w:jc w:val="both"/>
        <w:rPr>
          <w:color w:val="000000" w:themeColor="text1"/>
          <w:sz w:val="16"/>
          <w:szCs w:val="16"/>
        </w:rPr>
      </w:pPr>
    </w:p>
    <w:p w14:paraId="0B1A3183" w14:textId="77777777" w:rsidR="00600B70" w:rsidRPr="00925F26" w:rsidRDefault="00600B70" w:rsidP="00925F26">
      <w:pPr>
        <w:jc w:val="both"/>
        <w:rPr>
          <w:color w:val="000000" w:themeColor="text1"/>
          <w:sz w:val="16"/>
          <w:szCs w:val="16"/>
        </w:rPr>
      </w:pPr>
      <w:r w:rsidRPr="00925F26">
        <w:rPr>
          <w:color w:val="000000" w:themeColor="text1"/>
          <w:sz w:val="16"/>
          <w:szCs w:val="16"/>
        </w:rPr>
        <w:t>31 марта 1945 г.</w:t>
      </w:r>
    </w:p>
    <w:p w14:paraId="06EA3301" w14:textId="77777777" w:rsidR="00600B70" w:rsidRPr="00925F26" w:rsidRDefault="00600B70" w:rsidP="00925F26">
      <w:pPr>
        <w:jc w:val="both"/>
        <w:rPr>
          <w:color w:val="000000" w:themeColor="text1"/>
          <w:sz w:val="16"/>
          <w:szCs w:val="16"/>
        </w:rPr>
      </w:pPr>
      <w:r w:rsidRPr="00925F26">
        <w:rPr>
          <w:color w:val="000000" w:themeColor="text1"/>
          <w:sz w:val="16"/>
          <w:szCs w:val="16"/>
        </w:rPr>
        <w:t>Секретно</w:t>
      </w:r>
    </w:p>
    <w:p w14:paraId="61B35A9E" w14:textId="77777777" w:rsidR="00600B70" w:rsidRPr="00925F26" w:rsidRDefault="00600B70" w:rsidP="00925F26">
      <w:pPr>
        <w:jc w:val="both"/>
        <w:rPr>
          <w:color w:val="000000" w:themeColor="text1"/>
          <w:sz w:val="16"/>
          <w:szCs w:val="16"/>
        </w:rPr>
      </w:pPr>
      <w:r w:rsidRPr="00925F26">
        <w:rPr>
          <w:color w:val="000000" w:themeColor="text1"/>
          <w:sz w:val="16"/>
          <w:szCs w:val="16"/>
        </w:rPr>
        <w:t>Главное командование Военно-воздушных сил Ставка, 31.03.1945</w:t>
      </w:r>
    </w:p>
    <w:p w14:paraId="38A85483" w14:textId="77777777" w:rsidR="00600B70" w:rsidRPr="00925F26" w:rsidRDefault="00600B70" w:rsidP="00925F26">
      <w:pPr>
        <w:jc w:val="both"/>
        <w:rPr>
          <w:color w:val="000000" w:themeColor="text1"/>
          <w:sz w:val="16"/>
          <w:szCs w:val="16"/>
        </w:rPr>
      </w:pPr>
      <w:r w:rsidRPr="00925F26">
        <w:rPr>
          <w:color w:val="000000" w:themeColor="text1"/>
          <w:sz w:val="16"/>
          <w:szCs w:val="16"/>
        </w:rPr>
        <w:t>Оргштаб военно-воздушных сил</w:t>
      </w:r>
    </w:p>
    <w:p w14:paraId="2CBEFBC2" w14:textId="77777777" w:rsidR="00600B70" w:rsidRPr="00925F26" w:rsidRDefault="00600B70" w:rsidP="00925F26">
      <w:pPr>
        <w:jc w:val="both"/>
        <w:rPr>
          <w:color w:val="000000" w:themeColor="text1"/>
          <w:sz w:val="16"/>
          <w:szCs w:val="16"/>
        </w:rPr>
      </w:pPr>
      <w:r w:rsidRPr="00925F26">
        <w:rPr>
          <w:color w:val="000000" w:themeColor="text1"/>
          <w:sz w:val="16"/>
          <w:szCs w:val="16"/>
        </w:rPr>
        <w:t>[Генштаб / ген[ерал]-кварт[ирмейстер] / 2-й отдел (ИВ)]</w:t>
      </w:r>
    </w:p>
    <w:p w14:paraId="35CD16F8" w14:textId="77777777" w:rsidR="00600B70" w:rsidRPr="00925F26" w:rsidRDefault="00600B70" w:rsidP="00925F26">
      <w:pPr>
        <w:jc w:val="both"/>
        <w:rPr>
          <w:color w:val="000000" w:themeColor="text1"/>
          <w:sz w:val="16"/>
          <w:szCs w:val="16"/>
        </w:rPr>
      </w:pPr>
      <w:r w:rsidRPr="00925F26">
        <w:rPr>
          <w:color w:val="000000" w:themeColor="text1"/>
          <w:sz w:val="16"/>
          <w:szCs w:val="16"/>
        </w:rPr>
        <w:t>Az. 11b16Nt. 4415/4geh.</w:t>
      </w:r>
    </w:p>
    <w:p w14:paraId="17F70B9A" w14:textId="77777777" w:rsidR="00600B70" w:rsidRPr="00925F26" w:rsidRDefault="00600B70" w:rsidP="00925F26">
      <w:pPr>
        <w:jc w:val="both"/>
        <w:rPr>
          <w:color w:val="000000" w:themeColor="text1"/>
          <w:sz w:val="16"/>
          <w:szCs w:val="16"/>
        </w:rPr>
      </w:pPr>
      <w:r w:rsidRPr="00925F26">
        <w:rPr>
          <w:color w:val="000000" w:themeColor="text1"/>
          <w:sz w:val="16"/>
          <w:szCs w:val="16"/>
        </w:rPr>
        <w:t>Касательно]: маркировка самолетов ВСНР.</w:t>
      </w:r>
    </w:p>
    <w:p w14:paraId="7B84CECF" w14:textId="77777777" w:rsidR="00600B70" w:rsidRPr="00925F26" w:rsidRDefault="00600B70" w:rsidP="00925F26">
      <w:pPr>
        <w:jc w:val="both"/>
        <w:rPr>
          <w:color w:val="000000" w:themeColor="text1"/>
          <w:sz w:val="16"/>
          <w:szCs w:val="16"/>
        </w:rPr>
      </w:pPr>
      <w:r w:rsidRPr="00925F26">
        <w:rPr>
          <w:color w:val="000000" w:themeColor="text1"/>
          <w:sz w:val="16"/>
          <w:szCs w:val="16"/>
        </w:rPr>
        <w:t>На: телеграмма инспектора персонала из восточных народов военно-воздушных сил Nr. 472/45 geh. от 28 марта 1945 г.</w:t>
      </w:r>
    </w:p>
    <w:p w14:paraId="30FEE06C" w14:textId="77777777" w:rsidR="00600B70" w:rsidRPr="00925F26" w:rsidRDefault="00600B70" w:rsidP="00925F26">
      <w:pPr>
        <w:jc w:val="both"/>
        <w:rPr>
          <w:color w:val="000000" w:themeColor="text1"/>
          <w:sz w:val="16"/>
          <w:szCs w:val="16"/>
        </w:rPr>
      </w:pPr>
      <w:r w:rsidRPr="00925F26">
        <w:rPr>
          <w:color w:val="000000" w:themeColor="text1"/>
          <w:sz w:val="16"/>
          <w:szCs w:val="16"/>
        </w:rPr>
        <w:t>1) Маркировка самолетов летных частей ВСНР должна быть произведена на основе предписания Гл. ком[андования] военно-воздушных сил / Оргштаб (Генштаб / ген[ерал]-кварт[ирмейстер] / 2-й отдел (ПВ)) Nr. 2535/45geh. От 3 марта 1945 г.</w:t>
      </w:r>
    </w:p>
    <w:p w14:paraId="3CF46793" w14:textId="77777777" w:rsidR="00600B70" w:rsidRPr="00925F26" w:rsidRDefault="00600B70" w:rsidP="00925F26">
      <w:pPr>
        <w:jc w:val="both"/>
        <w:rPr>
          <w:color w:val="000000" w:themeColor="text1"/>
          <w:sz w:val="16"/>
          <w:szCs w:val="16"/>
        </w:rPr>
      </w:pPr>
      <w:r w:rsidRPr="00925F26">
        <w:rPr>
          <w:color w:val="000000" w:themeColor="text1"/>
          <w:sz w:val="16"/>
          <w:szCs w:val="16"/>
        </w:rPr>
        <w:t>2) В запрошенной со ссылкой на данное предписание маркировке самолетов вооруженных сил народов России отказано, т. к. она в предложенной форме нуждается в международной нотификации.</w:t>
      </w:r>
    </w:p>
    <w:p w14:paraId="0736522A" w14:textId="77777777" w:rsidR="00600B70" w:rsidRPr="00925F26" w:rsidRDefault="00600B70" w:rsidP="00925F26">
      <w:pPr>
        <w:jc w:val="both"/>
        <w:rPr>
          <w:color w:val="000000" w:themeColor="text1"/>
          <w:sz w:val="16"/>
          <w:szCs w:val="16"/>
        </w:rPr>
      </w:pPr>
      <w:r w:rsidRPr="00925F26">
        <w:rPr>
          <w:color w:val="000000" w:themeColor="text1"/>
          <w:sz w:val="16"/>
          <w:szCs w:val="16"/>
        </w:rPr>
        <w:t>по поручению подпись</w:t>
      </w:r>
    </w:p>
    <w:p w14:paraId="49FACDFA" w14:textId="77777777" w:rsidR="00600B70" w:rsidRPr="00925F26" w:rsidRDefault="00600B70" w:rsidP="00925F26">
      <w:pPr>
        <w:jc w:val="both"/>
        <w:rPr>
          <w:color w:val="000000" w:themeColor="text1"/>
          <w:sz w:val="16"/>
          <w:szCs w:val="16"/>
        </w:rPr>
      </w:pPr>
      <w:r w:rsidRPr="00925F26">
        <w:rPr>
          <w:color w:val="000000" w:themeColor="text1"/>
          <w:sz w:val="16"/>
          <w:szCs w:val="16"/>
        </w:rPr>
        <w:t>Рассылка:</w:t>
      </w:r>
    </w:p>
    <w:p w14:paraId="35BCDCEB" w14:textId="77777777" w:rsidR="00600B70" w:rsidRPr="00925F26" w:rsidRDefault="00600B70" w:rsidP="00925F26">
      <w:pPr>
        <w:jc w:val="both"/>
        <w:rPr>
          <w:color w:val="000000" w:themeColor="text1"/>
          <w:sz w:val="16"/>
          <w:szCs w:val="16"/>
        </w:rPr>
      </w:pPr>
      <w:r w:rsidRPr="00925F26">
        <w:rPr>
          <w:color w:val="000000" w:themeColor="text1"/>
          <w:sz w:val="16"/>
          <w:szCs w:val="16"/>
        </w:rPr>
        <w:t>Инсп[ектор] перегнала] из воет, народов военно-воздушных сил</w:t>
      </w:r>
    </w:p>
    <w:p w14:paraId="2973E8D5" w14:textId="77777777" w:rsidR="00600B70" w:rsidRPr="00925F26" w:rsidRDefault="00600B70" w:rsidP="00925F26">
      <w:pPr>
        <w:jc w:val="both"/>
        <w:rPr>
          <w:color w:val="000000" w:themeColor="text1"/>
          <w:sz w:val="16"/>
          <w:szCs w:val="16"/>
        </w:rPr>
      </w:pPr>
      <w:r w:rsidRPr="00925F26">
        <w:rPr>
          <w:color w:val="000000" w:themeColor="text1"/>
          <w:sz w:val="16"/>
          <w:szCs w:val="16"/>
        </w:rPr>
        <w:t>Для информации:</w:t>
      </w:r>
    </w:p>
    <w:p w14:paraId="5EB7F577" w14:textId="77777777" w:rsidR="00600B70" w:rsidRPr="00925F26" w:rsidRDefault="00600B70" w:rsidP="00925F26">
      <w:pPr>
        <w:jc w:val="both"/>
        <w:rPr>
          <w:color w:val="000000" w:themeColor="text1"/>
          <w:sz w:val="16"/>
          <w:szCs w:val="16"/>
        </w:rPr>
      </w:pPr>
      <w:r w:rsidRPr="00925F26">
        <w:rPr>
          <w:color w:val="000000" w:themeColor="text1"/>
          <w:sz w:val="16"/>
          <w:szCs w:val="16"/>
        </w:rPr>
        <w:t>Главный инж[енер] военно-воздушных сил ВА-МА. RL/2 III/460. В1.40. Заверенная копия. Перевод с немецкого языка (20696).</w:t>
      </w:r>
    </w:p>
    <w:p w14:paraId="5250B803" w14:textId="77777777" w:rsidR="00600B70" w:rsidRPr="00925F26" w:rsidRDefault="00600B70" w:rsidP="00925F26">
      <w:pPr>
        <w:jc w:val="both"/>
        <w:rPr>
          <w:color w:val="000000" w:themeColor="text1"/>
          <w:sz w:val="16"/>
          <w:szCs w:val="16"/>
        </w:rPr>
      </w:pPr>
    </w:p>
    <w:p w14:paraId="02040E4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0A3D696" w14:textId="77777777" w:rsidR="00665165" w:rsidRPr="00925F26" w:rsidRDefault="00665165" w:rsidP="00925F26">
      <w:pPr>
        <w:autoSpaceDE w:val="0"/>
        <w:autoSpaceDN w:val="0"/>
        <w:adjustRightInd w:val="0"/>
        <w:jc w:val="both"/>
        <w:rPr>
          <w:iCs/>
          <w:color w:val="000000" w:themeColor="text1"/>
          <w:sz w:val="16"/>
          <w:szCs w:val="16"/>
        </w:rPr>
      </w:pPr>
    </w:p>
    <w:p w14:paraId="586C25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марта 1945 перед ОКБ МиГ была поставлена создания реактивного самолета со скоростью не менее 900 км/ч и решили проектировать И-300 с двумя БМВ-003 и И-270 с РД-2М-33 (563,11).</w:t>
      </w:r>
    </w:p>
    <w:p w14:paraId="47F38DEE" w14:textId="77777777" w:rsidR="00665165" w:rsidRPr="00925F26" w:rsidRDefault="00665165" w:rsidP="00925F26">
      <w:pPr>
        <w:autoSpaceDE w:val="0"/>
        <w:autoSpaceDN w:val="0"/>
        <w:adjustRightInd w:val="0"/>
        <w:jc w:val="both"/>
        <w:rPr>
          <w:color w:val="000000" w:themeColor="text1"/>
          <w:sz w:val="16"/>
          <w:szCs w:val="16"/>
        </w:rPr>
      </w:pPr>
    </w:p>
    <w:p w14:paraId="1BE66B82" w14:textId="77777777" w:rsidR="00EE5230" w:rsidRPr="00925F26" w:rsidRDefault="00EE5230" w:rsidP="00925F26">
      <w:pPr>
        <w:jc w:val="both"/>
        <w:rPr>
          <w:color w:val="000000" w:themeColor="text1"/>
          <w:sz w:val="16"/>
          <w:szCs w:val="16"/>
        </w:rPr>
      </w:pPr>
      <w:r w:rsidRPr="00925F26">
        <w:rPr>
          <w:color w:val="000000" w:themeColor="text1"/>
          <w:sz w:val="16"/>
          <w:szCs w:val="16"/>
        </w:rPr>
        <w:t>С конца марта 1945 в ЦИАМ начались испытания двигатели «Сентаурус» VII.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71B715CB" w14:textId="77777777" w:rsidR="00EE5230" w:rsidRPr="00925F26" w:rsidRDefault="00EE5230" w:rsidP="00925F26">
      <w:pPr>
        <w:jc w:val="both"/>
        <w:rPr>
          <w:color w:val="000000" w:themeColor="text1"/>
          <w:sz w:val="16"/>
          <w:szCs w:val="16"/>
        </w:rPr>
      </w:pPr>
    </w:p>
    <w:p w14:paraId="6598B67B" w14:textId="77777777" w:rsidR="0097795E" w:rsidRPr="00925F26" w:rsidRDefault="0097795E" w:rsidP="00925F26">
      <w:pPr>
        <w:tabs>
          <w:tab w:val="left" w:pos="1620"/>
        </w:tabs>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E9D706A" w14:textId="77777777" w:rsidR="0097795E" w:rsidRPr="00925F26" w:rsidRDefault="0097795E" w:rsidP="00925F26">
      <w:pPr>
        <w:tabs>
          <w:tab w:val="left" w:pos="1620"/>
        </w:tabs>
        <w:autoSpaceDE w:val="0"/>
        <w:autoSpaceDN w:val="0"/>
        <w:adjustRightInd w:val="0"/>
        <w:jc w:val="both"/>
        <w:rPr>
          <w:iCs/>
          <w:color w:val="000000" w:themeColor="text1"/>
          <w:sz w:val="16"/>
          <w:szCs w:val="16"/>
        </w:rPr>
      </w:pPr>
    </w:p>
    <w:p w14:paraId="68EE6347" w14:textId="77777777" w:rsidR="0097795E" w:rsidRPr="00925F26" w:rsidRDefault="0097795E" w:rsidP="00925F26">
      <w:pPr>
        <w:jc w:val="both"/>
        <w:rPr>
          <w:color w:val="000000" w:themeColor="text1"/>
          <w:sz w:val="16"/>
          <w:szCs w:val="16"/>
        </w:rPr>
      </w:pPr>
      <w:r w:rsidRPr="00925F26">
        <w:rPr>
          <w:color w:val="000000" w:themeColor="text1"/>
          <w:sz w:val="16"/>
          <w:szCs w:val="16"/>
        </w:rPr>
        <w:t>К концу марта 1945 года удары баллистическими ракетами по целям в Англии и Бельгии были прекращены. Всего средствами воздушного наблюдения системы ПВО Великобритании было зафиксировано 1115 ракет Фау-2, из которых 517 взорвались в Лондоне (47%), 537 на территории Англии (49%) и 61 ракета упала в море. Потери от ударов данных ракет составили 9277 человек, в том числе 2754 убитых и 6523 раненых. Всего с сентября по конец марта 1945 года немцы произвели пуски более 4-х тысяч ракет Фау-2 по Лондону, Южной Англии, Антверпену, Брюсселю, Льежу и Ремагену, а также другим целям. Так по Лондону было выпущено от 1400 до 2000 ракет, а по Антверпену, который был главной базой снабжения союзников в Европе, до 1600 ракет. При этом в Антверпене взорвалось примерно 570 ракет Фау-2. Большое количество ракет просто взрывались при запуске на земле или в воздухе или выходили из строя уже в полете (19626).</w:t>
      </w:r>
    </w:p>
    <w:p w14:paraId="1C6393A8" w14:textId="77777777" w:rsidR="0097795E" w:rsidRPr="00925F26" w:rsidRDefault="0097795E" w:rsidP="00925F26">
      <w:pPr>
        <w:jc w:val="both"/>
        <w:rPr>
          <w:color w:val="000000" w:themeColor="text1"/>
          <w:sz w:val="16"/>
          <w:szCs w:val="16"/>
        </w:rPr>
      </w:pPr>
    </w:p>
    <w:p w14:paraId="332446F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1C3F8CF" w14:textId="77777777" w:rsidR="00665165" w:rsidRPr="00925F26" w:rsidRDefault="00665165" w:rsidP="00925F26">
      <w:pPr>
        <w:autoSpaceDE w:val="0"/>
        <w:autoSpaceDN w:val="0"/>
        <w:adjustRightInd w:val="0"/>
        <w:jc w:val="both"/>
        <w:rPr>
          <w:iCs/>
          <w:color w:val="000000" w:themeColor="text1"/>
          <w:sz w:val="16"/>
          <w:szCs w:val="16"/>
        </w:rPr>
      </w:pPr>
    </w:p>
    <w:p w14:paraId="262CC6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на заводе № 18 нача</w:t>
      </w:r>
      <w:r w:rsidRPr="00925F26">
        <w:rPr>
          <w:color w:val="000000" w:themeColor="text1"/>
          <w:sz w:val="16"/>
          <w:szCs w:val="16"/>
        </w:rPr>
        <w:softHyphen/>
        <w:t>лись работы по отработке всасывающих патрубков с воздухо</w:t>
      </w:r>
      <w:r w:rsidRPr="00925F26">
        <w:rPr>
          <w:color w:val="000000" w:themeColor="text1"/>
          <w:sz w:val="16"/>
          <w:szCs w:val="16"/>
        </w:rPr>
        <w:softHyphen/>
        <w:t>очистительными фильтрами — заводского и полевого варианта установки. Полевой вариант мог монтироваться на ранее вы</w:t>
      </w:r>
      <w:r w:rsidRPr="00925F26">
        <w:rPr>
          <w:color w:val="000000" w:themeColor="text1"/>
          <w:sz w:val="16"/>
          <w:szCs w:val="16"/>
        </w:rPr>
        <w:softHyphen/>
        <w:t>пущенные самолеты и имел крепления к уже имеющимся от</w:t>
      </w:r>
      <w:r w:rsidRPr="00925F26">
        <w:rPr>
          <w:color w:val="000000" w:themeColor="text1"/>
          <w:sz w:val="16"/>
          <w:szCs w:val="16"/>
        </w:rPr>
        <w:softHyphen/>
        <w:t>верстиям в броне. Оба пылефильтра были конструктивно по</w:t>
      </w:r>
      <w:r w:rsidRPr="00925F26">
        <w:rPr>
          <w:color w:val="000000" w:themeColor="text1"/>
          <w:sz w:val="16"/>
          <w:szCs w:val="16"/>
        </w:rPr>
        <w:softHyphen/>
        <w:t>добными фильтру ЦАГИ, стоявшему на Ил-2.</w:t>
      </w:r>
    </w:p>
    <w:p w14:paraId="1ECFFF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Уже 16 апреля завершились заводские летные испытания серийного самолета Ил-10 (зав. № 1892105) с полевым вариан</w:t>
      </w:r>
      <w:r w:rsidRPr="00925F26">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2C921A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стандартный всасывающий патрубок «вживили» две дю</w:t>
      </w:r>
      <w:r w:rsidRPr="00925F26">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925F26">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925F26">
        <w:rPr>
          <w:color w:val="000000" w:themeColor="text1"/>
          <w:sz w:val="16"/>
          <w:szCs w:val="16"/>
        </w:rPr>
        <w:softHyphen/>
        <w:t>рекрывала входной канал патрубка, а внутренняя — перекры</w:t>
      </w:r>
      <w:r w:rsidRPr="00925F26">
        <w:rPr>
          <w:color w:val="000000" w:themeColor="text1"/>
          <w:sz w:val="16"/>
          <w:szCs w:val="16"/>
        </w:rPr>
        <w:softHyphen/>
        <w:t>вала канал патрубка неплотно, с зазором 20 мм между заслон</w:t>
      </w:r>
      <w:r w:rsidRPr="00925F26">
        <w:rPr>
          <w:color w:val="000000" w:themeColor="text1"/>
          <w:sz w:val="16"/>
          <w:szCs w:val="16"/>
        </w:rPr>
        <w:softHyphen/>
        <w:t>кой и задней внутренней стенкой патрубка. В этом случае воз</w:t>
      </w:r>
      <w:r w:rsidRPr="00925F26">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925F26">
        <w:rPr>
          <w:color w:val="000000" w:themeColor="text1"/>
          <w:sz w:val="16"/>
          <w:szCs w:val="16"/>
        </w:rPr>
        <w:softHyphen/>
        <w:t>лению полета. Воздух через входное отверстие патрубка начи</w:t>
      </w:r>
      <w:r w:rsidRPr="00925F26">
        <w:rPr>
          <w:color w:val="000000" w:themeColor="text1"/>
          <w:sz w:val="16"/>
          <w:szCs w:val="16"/>
        </w:rPr>
        <w:softHyphen/>
        <w:t>нал поступать в нагнетатель, минуя фильтрующую сетку.</w:t>
      </w:r>
    </w:p>
    <w:p w14:paraId="7C05CC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модифицированного всасывающего патрубка, на са</w:t>
      </w:r>
      <w:r w:rsidRPr="00925F26">
        <w:rPr>
          <w:color w:val="000000" w:themeColor="text1"/>
          <w:sz w:val="16"/>
          <w:szCs w:val="16"/>
        </w:rPr>
        <w:softHyphen/>
        <w:t>молете в тоннелях продувки водорадиатора со стороны капота сделаны вырезы общей площадью 560 см</w:t>
      </w:r>
      <w:r w:rsidRPr="00925F26">
        <w:rPr>
          <w:color w:val="000000" w:themeColor="text1"/>
          <w:sz w:val="16"/>
          <w:szCs w:val="16"/>
          <w:vertAlign w:val="superscript"/>
        </w:rPr>
        <w:t>2</w:t>
      </w:r>
      <w:r w:rsidRPr="00925F26">
        <w:rPr>
          <w:color w:val="000000" w:themeColor="text1"/>
          <w:sz w:val="16"/>
          <w:szCs w:val="16"/>
        </w:rPr>
        <w:t>, которые закрыва</w:t>
      </w:r>
      <w:r w:rsidRPr="00925F26">
        <w:rPr>
          <w:color w:val="000000" w:themeColor="text1"/>
          <w:sz w:val="16"/>
          <w:szCs w:val="16"/>
        </w:rPr>
        <w:softHyphen/>
        <w:t>лись сеткой «Дельбак» в один слой.</w:t>
      </w:r>
    </w:p>
    <w:p w14:paraId="057062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925F26">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925F26">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925F26">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438D6E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20 апреля на серийный самолет Ил-10.(зав. № 1890404) был смонтирован всасывающий патрубок с воздухоочиститель</w:t>
      </w:r>
      <w:r w:rsidRPr="00925F26">
        <w:rPr>
          <w:color w:val="000000" w:themeColor="text1"/>
          <w:sz w:val="16"/>
          <w:szCs w:val="16"/>
        </w:rPr>
        <w:softHyphen/>
        <w:t>ным фильтром кассетной конструкции с сеткой типа «Дельбак» заводского варианта установки.</w:t>
      </w:r>
    </w:p>
    <w:p w14:paraId="23DEE4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Всасывающий патрубок с пылефильтром состоял из собст</w:t>
      </w:r>
      <w:r w:rsidRPr="00925F26">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925F26">
        <w:rPr>
          <w:color w:val="000000" w:themeColor="text1"/>
          <w:sz w:val="16"/>
          <w:szCs w:val="16"/>
        </w:rPr>
        <w:softHyphen/>
        <w:t>татель. При выпуске шасси заслонка поворачивается, перекры</w:t>
      </w:r>
      <w:r w:rsidRPr="00925F26">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925F26">
        <w:rPr>
          <w:color w:val="000000" w:themeColor="text1"/>
          <w:sz w:val="16"/>
          <w:szCs w:val="16"/>
        </w:rPr>
        <w:softHyphen/>
        <w:t>вающий патрубок снизу.</w:t>
      </w:r>
    </w:p>
    <w:p w14:paraId="38EAAB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завершились к началу мая. Мотор на всех ре</w:t>
      </w:r>
      <w:r w:rsidRPr="00925F26">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925F26">
        <w:rPr>
          <w:color w:val="000000" w:themeColor="text1"/>
          <w:sz w:val="16"/>
          <w:szCs w:val="16"/>
        </w:rPr>
        <w:softHyphen/>
        <w:t>ла 525 км/ч, а на высоте 2500 м — 475 км/ч (11474,514).</w:t>
      </w:r>
    </w:p>
    <w:p w14:paraId="1DC636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2664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18-й авиазавод сдал ВВС 90 машин Ил-10 (7489).</w:t>
      </w:r>
    </w:p>
    <w:p w14:paraId="53F060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Первые 45 Ил-10 предназначались для войсковых испытаний в 108 гшап пп О.В.Топилина. Полк освоил машину в 1 заб и в марте 1945 перебазировался в Германию на полевой а Шпротау. Перед боем поработали на полигоне по мишеням. Боевые возможности оказались более широкими. Боевые вылеты начали в ходе наступления на Берлин. Почти неделю летали беспрерывно (1605,3).</w:t>
      </w:r>
    </w:p>
    <w:p w14:paraId="47BE0477" w14:textId="77777777" w:rsidR="00665165" w:rsidRPr="00925F26" w:rsidRDefault="00665165" w:rsidP="00925F26">
      <w:pPr>
        <w:autoSpaceDE w:val="0"/>
        <w:autoSpaceDN w:val="0"/>
        <w:adjustRightInd w:val="0"/>
        <w:jc w:val="both"/>
        <w:rPr>
          <w:color w:val="000000" w:themeColor="text1"/>
          <w:sz w:val="16"/>
          <w:szCs w:val="16"/>
        </w:rPr>
      </w:pPr>
    </w:p>
    <w:p w14:paraId="5FBE3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марта 1945 года начался выпуск самолетов Ил-10, оборудованных новыми установками, обеспечивающими подвеску четырех реактивных снарядов РС-82 или четырех реактивных снарядов M-13 (модернизованных для использования на штурмовиках), а также новым навигационным оборудованием (радиополукомпас РПКО-10) (ГАСО. Ф. Р-3454. Оп. 1. Д. 51. Л. 15.) (11714).</w:t>
      </w:r>
    </w:p>
    <w:p w14:paraId="1F36F9FA" w14:textId="77777777" w:rsidR="00665165" w:rsidRPr="00925F26" w:rsidRDefault="00665165" w:rsidP="00925F26">
      <w:pPr>
        <w:autoSpaceDE w:val="0"/>
        <w:autoSpaceDN w:val="0"/>
        <w:adjustRightInd w:val="0"/>
        <w:jc w:val="both"/>
        <w:rPr>
          <w:color w:val="000000" w:themeColor="text1"/>
          <w:sz w:val="16"/>
          <w:szCs w:val="16"/>
        </w:rPr>
      </w:pPr>
    </w:p>
    <w:p w14:paraId="1B20AD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на 31 заводе сделали Як-3 с ВК107А цельнометаллический на основе серийного. Работу закончили с 12 апреля по 10 мая были заводские испытания (65,192).</w:t>
      </w:r>
    </w:p>
    <w:p w14:paraId="4FBC7F10" w14:textId="77777777" w:rsidR="00665165" w:rsidRPr="00925F26" w:rsidRDefault="00665165" w:rsidP="00925F26">
      <w:pPr>
        <w:autoSpaceDE w:val="0"/>
        <w:autoSpaceDN w:val="0"/>
        <w:adjustRightInd w:val="0"/>
        <w:jc w:val="both"/>
        <w:rPr>
          <w:color w:val="000000" w:themeColor="text1"/>
          <w:sz w:val="16"/>
          <w:szCs w:val="16"/>
        </w:rPr>
      </w:pPr>
    </w:p>
    <w:p w14:paraId="0D6364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в инициативном порядке на заводе в Саратове началась подготовка к выпуску цельнометаллического крыла и сборка первого Як-3 с мотором В К-107А, вооруженного тремя пушками Б-20. 30 апреля эту машину выкатили на аэродром. В мае на ней планировалась отработка топливной и масляной систем двигателя, отстрел вооружения и испытания в воздухе. 16 мая 1945 года первый серийный самолет Як-3 В К- 107А завода №292 поднялся в воздух. До конца мая на самолете выполнили три полета, показав максимальную скорость у земли 594 км/ч и 707 км/ч - на второй границы высотности.</w:t>
      </w:r>
    </w:p>
    <w:p w14:paraId="3908CF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2211FC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7183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66BAB4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23B66A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28261D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5951FD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397691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14AD6E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C699376" w14:textId="77777777" w:rsidR="00665165" w:rsidRPr="00925F26" w:rsidRDefault="00665165" w:rsidP="00925F26">
      <w:pPr>
        <w:autoSpaceDE w:val="0"/>
        <w:autoSpaceDN w:val="0"/>
        <w:adjustRightInd w:val="0"/>
        <w:jc w:val="both"/>
        <w:rPr>
          <w:color w:val="000000" w:themeColor="text1"/>
          <w:sz w:val="16"/>
          <w:szCs w:val="16"/>
        </w:rPr>
      </w:pPr>
    </w:p>
    <w:p w14:paraId="594AF6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в НИИ ВВС завершились испытания трофейного истребителя FW190A-8, вооруженного двумя 20-мм пушками и двумя 13-мм пулеметами. Воздушный бой, проведенный с Як-3 ВК-105- ПФ2, показал, что наш истребитель обладает значительным преимуществом над "немцем" в маневренности и скороподъемности и лишь незначительно уступает в максимальной скорости у земли при работе двигателя FW190A-8 на форсаже, что позволяло ему уходить от преследования. На горизонталях Як-3 заходил в хвост "немцу" через 1,5-2 виража. В вертикальной плоскости Як-3 сохранял превосходство в высоте, а на пикировании Як-3 быстрее разгонялся, что позволяло не только захватывать инициативу в бою, атакуя противника, но и уходить от него. При этом следовало учитывать, что Як-3 быстрее разгонялся и превосходил FW190A-8 в начале пикировании на меньших скоростях, а на больших скоростях увеличение скорости происходило медленнее (12047).</w:t>
      </w:r>
    </w:p>
    <w:p w14:paraId="2BD1F94E" w14:textId="77777777" w:rsidR="00665165" w:rsidRPr="00925F26" w:rsidRDefault="00665165" w:rsidP="00925F26">
      <w:pPr>
        <w:autoSpaceDE w:val="0"/>
        <w:autoSpaceDN w:val="0"/>
        <w:adjustRightInd w:val="0"/>
        <w:jc w:val="both"/>
        <w:rPr>
          <w:color w:val="000000" w:themeColor="text1"/>
          <w:sz w:val="16"/>
          <w:szCs w:val="16"/>
        </w:rPr>
      </w:pPr>
    </w:p>
    <w:p w14:paraId="3155F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были проведены первые летные испытания НС-37 на Як-9Т и Як-9УТ (10695).</w:t>
      </w:r>
    </w:p>
    <w:p w14:paraId="49BB4393" w14:textId="77777777" w:rsidR="00665165" w:rsidRPr="00925F26" w:rsidRDefault="00665165" w:rsidP="00925F26">
      <w:pPr>
        <w:autoSpaceDE w:val="0"/>
        <w:autoSpaceDN w:val="0"/>
        <w:adjustRightInd w:val="0"/>
        <w:jc w:val="both"/>
        <w:rPr>
          <w:color w:val="000000" w:themeColor="text1"/>
          <w:sz w:val="16"/>
          <w:szCs w:val="16"/>
        </w:rPr>
      </w:pPr>
    </w:p>
    <w:p w14:paraId="301C2E34" w14:textId="77777777" w:rsidR="00EE671E" w:rsidRPr="00925F26" w:rsidRDefault="00EE671E" w:rsidP="00925F26">
      <w:pPr>
        <w:pStyle w:val="rtejustify"/>
        <w:shd w:val="clear" w:color="auto" w:fill="FFFFFF"/>
        <w:spacing w:before="0" w:after="0"/>
        <w:rPr>
          <w:color w:val="000000" w:themeColor="text1"/>
          <w:sz w:val="16"/>
          <w:szCs w:val="16"/>
        </w:rPr>
      </w:pPr>
      <w:r w:rsidRPr="00925F26">
        <w:rPr>
          <w:color w:val="000000" w:themeColor="text1"/>
          <w:sz w:val="16"/>
          <w:szCs w:val="16"/>
        </w:rPr>
        <w:t>В марте 1945 г. на Як-9Т и Як-9УТ проводились первые летные испытания.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44254586" w14:textId="77777777" w:rsidR="00EE671E" w:rsidRPr="00925F26" w:rsidRDefault="00EE671E" w:rsidP="00925F26">
      <w:pPr>
        <w:jc w:val="both"/>
        <w:rPr>
          <w:color w:val="000000" w:themeColor="text1"/>
          <w:sz w:val="16"/>
          <w:szCs w:val="16"/>
        </w:rPr>
      </w:pPr>
    </w:p>
    <w:p w14:paraId="0BB9EC23" w14:textId="77777777" w:rsidR="0028571C" w:rsidRPr="001A0BAA" w:rsidRDefault="0028571C" w:rsidP="0028571C">
      <w:pPr>
        <w:jc w:val="both"/>
        <w:rPr>
          <w:color w:val="0070C0"/>
          <w:sz w:val="16"/>
          <w:szCs w:val="16"/>
        </w:rPr>
      </w:pPr>
      <w:r w:rsidRPr="001A0BAA">
        <w:rPr>
          <w:color w:val="0070C0"/>
          <w:sz w:val="16"/>
          <w:szCs w:val="16"/>
        </w:rPr>
        <w:t>В марте 1945 года машина Ла-5 прошла исследования в ЛИИ, показавшие, что при выпуске щитков время виража на высоте 1000 м сокращалось на 1,5 - 2,5 с. а на высоте 4000 м - на 2.5 - 3,5 с. При этом радиус виража уменьшался на 15 - 20 м и 50 - 60 м соответственно. Предложили ис</w:t>
      </w:r>
      <w:r w:rsidRPr="001A0BAA">
        <w:rPr>
          <w:color w:val="0070C0"/>
          <w:sz w:val="16"/>
          <w:szCs w:val="16"/>
        </w:rPr>
        <w:softHyphen/>
        <w:t>пользовать данную идею на самолетах Ла-7, выпускавшихся заводом №381. Война уже шла к концу, и предложение Миля так и осталось не внедренным, но не потеряло своей актуальности и по сей день (24930).</w:t>
      </w:r>
    </w:p>
    <w:p w14:paraId="76A4A605" w14:textId="77777777" w:rsidR="0028571C" w:rsidRPr="001A0BAA" w:rsidRDefault="0028571C" w:rsidP="0028571C">
      <w:pPr>
        <w:jc w:val="both"/>
        <w:rPr>
          <w:color w:val="0070C0"/>
          <w:sz w:val="16"/>
          <w:szCs w:val="16"/>
        </w:rPr>
      </w:pPr>
    </w:p>
    <w:p w14:paraId="25820D92" w14:textId="77777777" w:rsidR="0028571C" w:rsidRPr="001A0BAA" w:rsidRDefault="0028571C" w:rsidP="0028571C">
      <w:pPr>
        <w:jc w:val="both"/>
        <w:rPr>
          <w:color w:val="0070C0"/>
          <w:sz w:val="16"/>
          <w:szCs w:val="16"/>
        </w:rPr>
      </w:pPr>
      <w:r w:rsidRPr="001A0BAA">
        <w:rPr>
          <w:color w:val="0070C0"/>
          <w:sz w:val="16"/>
          <w:szCs w:val="16"/>
        </w:rPr>
        <w:t>В марте 1945 года на заводе в Горь</w:t>
      </w:r>
      <w:r w:rsidRPr="001A0BAA">
        <w:rPr>
          <w:color w:val="0070C0"/>
          <w:sz w:val="16"/>
          <w:szCs w:val="16"/>
        </w:rPr>
        <w:softHyphen/>
        <w:t>ком изготови</w:t>
      </w:r>
      <w:r w:rsidRPr="001A0BAA">
        <w:rPr>
          <w:color w:val="0070C0"/>
          <w:sz w:val="16"/>
          <w:szCs w:val="16"/>
        </w:rPr>
        <w:softHyphen/>
        <w:t>ли первую спарку Ла-7, использовав серийный истребитель № 45211521. Для этого между 5-м и 8-м шпангоутами разместили вторую кабину для инструктора. При этом в ней установи</w:t>
      </w:r>
      <w:r w:rsidRPr="001A0BAA">
        <w:rPr>
          <w:color w:val="0070C0"/>
          <w:sz w:val="16"/>
          <w:szCs w:val="16"/>
        </w:rPr>
        <w:softHyphen/>
        <w:t>ли серийные сиденье пилота, ручку управ</w:t>
      </w:r>
      <w:r w:rsidRPr="001A0BAA">
        <w:rPr>
          <w:color w:val="0070C0"/>
          <w:sz w:val="16"/>
          <w:szCs w:val="16"/>
        </w:rPr>
        <w:softHyphen/>
        <w:t>ления самолетом с рычагом тормозов, пе</w:t>
      </w:r>
      <w:r w:rsidRPr="001A0BAA">
        <w:rPr>
          <w:color w:val="0070C0"/>
          <w:sz w:val="16"/>
          <w:szCs w:val="16"/>
        </w:rPr>
        <w:softHyphen/>
        <w:t>дали ножного управления, штурвал управ</w:t>
      </w:r>
      <w:r w:rsidRPr="001A0BAA">
        <w:rPr>
          <w:color w:val="0070C0"/>
          <w:sz w:val="16"/>
          <w:szCs w:val="16"/>
        </w:rPr>
        <w:softHyphen/>
        <w:t>ления триммером руля высоты, колонку управления силовой установкой, кран пе</w:t>
      </w:r>
      <w:r w:rsidRPr="001A0BAA">
        <w:rPr>
          <w:color w:val="0070C0"/>
          <w:sz w:val="16"/>
          <w:szCs w:val="16"/>
        </w:rPr>
        <w:softHyphen/>
        <w:t>реключения управления тормозами, воз</w:t>
      </w:r>
      <w:r w:rsidRPr="001A0BAA">
        <w:rPr>
          <w:color w:val="0070C0"/>
          <w:sz w:val="16"/>
          <w:szCs w:val="16"/>
        </w:rPr>
        <w:softHyphen/>
        <w:t>душный кран и трос аварийного выпуска шасси, пилотажно-навигационные при</w:t>
      </w:r>
      <w:r w:rsidRPr="001A0BAA">
        <w:rPr>
          <w:color w:val="0070C0"/>
          <w:sz w:val="16"/>
          <w:szCs w:val="16"/>
        </w:rPr>
        <w:softHyphen/>
        <w:t>боры и приборы контроля винто-мотор</w:t>
      </w:r>
      <w:r w:rsidRPr="001A0BAA">
        <w:rPr>
          <w:color w:val="0070C0"/>
          <w:sz w:val="16"/>
          <w:szCs w:val="16"/>
        </w:rPr>
        <w:softHyphen/>
        <w:t>ной установки. Новым было переговорное устройство СПУФ-2, измененная проводка управления самолетом, усиление фюзе</w:t>
      </w:r>
      <w:r w:rsidRPr="001A0BAA">
        <w:rPr>
          <w:color w:val="0070C0"/>
          <w:sz w:val="16"/>
          <w:szCs w:val="16"/>
        </w:rPr>
        <w:softHyphen/>
        <w:t>ляжа в связи с увеличением выреза под кабину. Кроме этого, сняли правую пуш</w:t>
      </w:r>
      <w:r w:rsidRPr="001A0BAA">
        <w:rPr>
          <w:color w:val="0070C0"/>
          <w:sz w:val="16"/>
          <w:szCs w:val="16"/>
        </w:rPr>
        <w:softHyphen/>
        <w:t>ку СП-20 ШВАК, но боекомплект остался прежний — 340 патронов, бронеспинку и бронестекло, кислородное оборудование, систему нейтрального газа и радиообору</w:t>
      </w:r>
      <w:r w:rsidRPr="001A0BAA">
        <w:rPr>
          <w:color w:val="0070C0"/>
          <w:sz w:val="16"/>
          <w:szCs w:val="16"/>
        </w:rPr>
        <w:softHyphen/>
        <w:t>дование (на время испытаний на машине установили радиостанцию) (24988).</w:t>
      </w:r>
    </w:p>
    <w:p w14:paraId="094F6858" w14:textId="77777777" w:rsidR="0028571C" w:rsidRPr="001A0BAA" w:rsidRDefault="0028571C" w:rsidP="0028571C">
      <w:pPr>
        <w:jc w:val="both"/>
        <w:rPr>
          <w:color w:val="0070C0"/>
          <w:sz w:val="16"/>
          <w:szCs w:val="16"/>
        </w:rPr>
      </w:pPr>
    </w:p>
    <w:p w14:paraId="4662A454" w14:textId="77777777" w:rsidR="0028571C" w:rsidRPr="001A0BAA" w:rsidRDefault="0028571C" w:rsidP="0028571C">
      <w:pPr>
        <w:jc w:val="both"/>
        <w:rPr>
          <w:color w:val="0070C0"/>
          <w:sz w:val="16"/>
          <w:szCs w:val="16"/>
        </w:rPr>
      </w:pPr>
      <w:r w:rsidRPr="001A0BAA">
        <w:rPr>
          <w:rStyle w:val="aff0"/>
          <w:rFonts w:ascii="Times New Roman" w:hAnsi="Times New Roman" w:cs="Times New Roman"/>
          <w:color w:val="0070C0"/>
          <w:spacing w:val="0"/>
          <w:sz w:val="16"/>
          <w:szCs w:val="16"/>
        </w:rPr>
        <w:t>В марте 1945 года на заводе в Горьком серийный самолет Ла-7 № 45211521 переделали в первый учебно-тренировочный УТИЛа-7. Спустя пять месяцев машину предъяви</w:t>
      </w:r>
      <w:r w:rsidRPr="001A0BAA">
        <w:rPr>
          <w:rStyle w:val="aff0"/>
          <w:rFonts w:ascii="Times New Roman" w:hAnsi="Times New Roman" w:cs="Times New Roman"/>
          <w:color w:val="0070C0"/>
          <w:spacing w:val="0"/>
          <w:sz w:val="16"/>
          <w:szCs w:val="16"/>
        </w:rPr>
        <w:softHyphen/>
        <w:t>ли в НИИ ВВС. Ведущими по ней были инженер Г.В. Чер</w:t>
      </w:r>
      <w:r w:rsidRPr="001A0BAA">
        <w:rPr>
          <w:rStyle w:val="aff0"/>
          <w:rFonts w:ascii="Times New Roman" w:hAnsi="Times New Roman" w:cs="Times New Roman"/>
          <w:color w:val="0070C0"/>
          <w:spacing w:val="0"/>
          <w:sz w:val="16"/>
          <w:szCs w:val="16"/>
        </w:rPr>
        <w:softHyphen/>
        <w:t>нявский и летчик А.Г. Прошаков, второй пилот — В.П. Трофимов. В ходе государственных испытаний, завер</w:t>
      </w:r>
      <w:r w:rsidRPr="001A0BAA">
        <w:rPr>
          <w:rStyle w:val="aff0"/>
          <w:rFonts w:ascii="Times New Roman" w:hAnsi="Times New Roman" w:cs="Times New Roman"/>
          <w:color w:val="0070C0"/>
          <w:spacing w:val="0"/>
          <w:sz w:val="16"/>
          <w:szCs w:val="16"/>
        </w:rPr>
        <w:softHyphen/>
        <w:t>шившихся 16 августа, выяснилось, что центровка машины чрезмерно задняя (25 процентов средней аэродинамиче</w:t>
      </w:r>
      <w:r w:rsidRPr="001A0BAA">
        <w:rPr>
          <w:rStyle w:val="aff0"/>
          <w:rFonts w:ascii="Times New Roman" w:hAnsi="Times New Roman" w:cs="Times New Roman"/>
          <w:color w:val="0070C0"/>
          <w:spacing w:val="0"/>
          <w:sz w:val="16"/>
          <w:szCs w:val="16"/>
        </w:rPr>
        <w:softHyphen/>
        <w:t>ской хорды, или САХ), а при посадке, начиная с центровки 23,5 процента САХ, давление на ручку управления самоле</w:t>
      </w:r>
      <w:r w:rsidRPr="001A0BAA">
        <w:rPr>
          <w:rStyle w:val="aff0"/>
          <w:rFonts w:ascii="Times New Roman" w:hAnsi="Times New Roman" w:cs="Times New Roman"/>
          <w:color w:val="0070C0"/>
          <w:spacing w:val="0"/>
          <w:sz w:val="16"/>
          <w:szCs w:val="16"/>
        </w:rPr>
        <w:softHyphen/>
        <w:t>том пропадало и приземление, и без того считающееся са</w:t>
      </w:r>
      <w:r w:rsidRPr="001A0BAA">
        <w:rPr>
          <w:rStyle w:val="aff0"/>
          <w:rFonts w:ascii="Times New Roman" w:hAnsi="Times New Roman" w:cs="Times New Roman"/>
          <w:color w:val="0070C0"/>
          <w:spacing w:val="0"/>
          <w:sz w:val="16"/>
          <w:szCs w:val="16"/>
        </w:rPr>
        <w:softHyphen/>
        <w:t>мым сложным элементом полета, становилось просто опасным. В кабинах самолета (особенно передней) стояла если не африканская, то по крайней мере очень сильная жара. К тому же состав оборудования оказался недостаточ</w:t>
      </w:r>
      <w:r w:rsidRPr="001A0BAA">
        <w:rPr>
          <w:rStyle w:val="aff0"/>
          <w:rFonts w:ascii="Times New Roman" w:hAnsi="Times New Roman" w:cs="Times New Roman"/>
          <w:color w:val="0070C0"/>
          <w:spacing w:val="0"/>
          <w:sz w:val="16"/>
          <w:szCs w:val="16"/>
        </w:rPr>
        <w:softHyphen/>
        <w:t>ным для полноценного обучения курсантов летных школ и запасных авиаполков. Самолет вернули на завод для дора</w:t>
      </w:r>
      <w:r w:rsidRPr="001A0BAA">
        <w:rPr>
          <w:rStyle w:val="aff0"/>
          <w:rFonts w:ascii="Times New Roman" w:hAnsi="Times New Roman" w:cs="Times New Roman"/>
          <w:color w:val="0070C0"/>
          <w:spacing w:val="0"/>
          <w:sz w:val="16"/>
          <w:szCs w:val="16"/>
        </w:rPr>
        <w:softHyphen/>
        <w:t>ботки (25252).</w:t>
      </w:r>
    </w:p>
    <w:p w14:paraId="5146F25F" w14:textId="77777777" w:rsidR="0028571C" w:rsidRPr="001A0BAA" w:rsidRDefault="0028571C" w:rsidP="0028571C">
      <w:pPr>
        <w:jc w:val="both"/>
        <w:rPr>
          <w:color w:val="0070C0"/>
          <w:sz w:val="16"/>
          <w:szCs w:val="16"/>
        </w:rPr>
      </w:pPr>
    </w:p>
    <w:p w14:paraId="29CD07C5" w14:textId="77777777" w:rsidR="0028571C" w:rsidRPr="001A0BAA" w:rsidRDefault="0028571C" w:rsidP="0028571C">
      <w:pPr>
        <w:jc w:val="both"/>
        <w:rPr>
          <w:color w:val="0070C0"/>
          <w:sz w:val="16"/>
          <w:szCs w:val="16"/>
        </w:rPr>
      </w:pPr>
      <w:r w:rsidRPr="001A0BAA">
        <w:rPr>
          <w:color w:val="0070C0"/>
          <w:sz w:val="16"/>
          <w:szCs w:val="16"/>
        </w:rPr>
        <w:t>В марте 1945 г. на заводе №21 серийный Ла-7 переделали в прототип «спарки» УТИЛа-7. Однако на госиспытания его предъявили лишь в августе, по окончании войны (24984).</w:t>
      </w:r>
    </w:p>
    <w:p w14:paraId="39AFE191" w14:textId="77777777" w:rsidR="0028571C" w:rsidRPr="001A0BAA" w:rsidRDefault="0028571C" w:rsidP="0028571C">
      <w:pPr>
        <w:jc w:val="both"/>
        <w:rPr>
          <w:color w:val="0070C0"/>
          <w:sz w:val="16"/>
          <w:szCs w:val="16"/>
        </w:rPr>
      </w:pPr>
    </w:p>
    <w:p w14:paraId="64E90E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года в отчете старшего военпреда завода №19 инженер-майора И.К. Четверика от</w:t>
      </w:r>
      <w:r w:rsidRPr="00925F26">
        <w:rPr>
          <w:color w:val="000000" w:themeColor="text1"/>
          <w:sz w:val="16"/>
          <w:szCs w:val="16"/>
        </w:rPr>
        <w:softHyphen/>
        <w:t>мечалось:</w:t>
      </w:r>
    </w:p>
    <w:p w14:paraId="5BD2C9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каждой воздушной армии со</w:t>
      </w:r>
      <w:r w:rsidRPr="00925F26">
        <w:rPr>
          <w:color w:val="000000" w:themeColor="text1"/>
          <w:sz w:val="16"/>
          <w:szCs w:val="16"/>
        </w:rPr>
        <w:softHyphen/>
        <w:t>зданы точки по замене цилиндров на самолетах Ла-7, куда выделены заводские бригады. Для меньшего простоя самолеты в указанные точ</w:t>
      </w:r>
      <w:r w:rsidRPr="00925F26">
        <w:rPr>
          <w:color w:val="000000" w:themeColor="text1"/>
          <w:sz w:val="16"/>
          <w:szCs w:val="16"/>
        </w:rPr>
        <w:softHyphen/>
        <w:t>ки приходят лётом, где после заме</w:t>
      </w:r>
      <w:r w:rsidRPr="00925F26">
        <w:rPr>
          <w:color w:val="000000" w:themeColor="text1"/>
          <w:sz w:val="16"/>
          <w:szCs w:val="16"/>
        </w:rPr>
        <w:softHyphen/>
        <w:t>ны цилиндровой группы проводят приработку мотора и облет по кругу, с последующей отметкой в форму</w:t>
      </w:r>
      <w:r w:rsidRPr="00925F26">
        <w:rPr>
          <w:color w:val="000000" w:themeColor="text1"/>
          <w:sz w:val="16"/>
          <w:szCs w:val="16"/>
        </w:rPr>
        <w:softHyphen/>
        <w:t>ляре о допуске мотора к эксплоата-ции...</w:t>
      </w:r>
    </w:p>
    <w:p w14:paraId="408E6F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поступивших отчетов можно сделать вывод, что цилиндровая группа моторов АШ-82ФН лимитирует ресурс работы моторов как на са</w:t>
      </w:r>
      <w:r w:rsidRPr="00925F26">
        <w:rPr>
          <w:color w:val="000000" w:themeColor="text1"/>
          <w:sz w:val="16"/>
          <w:szCs w:val="16"/>
        </w:rPr>
        <w:softHyphen/>
        <w:t>молетах Ла-7, так и на самолетах Ла-5. Выработка установленного ресурса работы мотора является редким явлением, и притом с заме</w:t>
      </w:r>
      <w:r w:rsidRPr="00925F26">
        <w:rPr>
          <w:color w:val="000000" w:themeColor="text1"/>
          <w:sz w:val="16"/>
          <w:szCs w:val="16"/>
        </w:rPr>
        <w:softHyphen/>
        <w:t>ной нескольких цилиндров...» (10730).</w:t>
      </w:r>
    </w:p>
    <w:p w14:paraId="336688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FA05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проходили новые контрольные испытания Ла-7 производства 381 завода, вооруженных 3 пушками Б-20 (741,5).</w:t>
      </w:r>
    </w:p>
    <w:p w14:paraId="446768CC" w14:textId="77777777" w:rsidR="00665165" w:rsidRPr="00925F26" w:rsidRDefault="00665165" w:rsidP="00925F26">
      <w:pPr>
        <w:autoSpaceDE w:val="0"/>
        <w:autoSpaceDN w:val="0"/>
        <w:adjustRightInd w:val="0"/>
        <w:jc w:val="both"/>
        <w:rPr>
          <w:color w:val="000000" w:themeColor="text1"/>
          <w:sz w:val="16"/>
          <w:szCs w:val="16"/>
        </w:rPr>
      </w:pPr>
    </w:p>
    <w:p w14:paraId="4E2C2A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марта 1945 г. на заводе № 381 строили трехпушечные Ла-7 (4707).</w:t>
      </w:r>
    </w:p>
    <w:p w14:paraId="0F6D52FD" w14:textId="77777777" w:rsidR="00665165" w:rsidRPr="00925F26" w:rsidRDefault="00665165" w:rsidP="00925F26">
      <w:pPr>
        <w:autoSpaceDE w:val="0"/>
        <w:autoSpaceDN w:val="0"/>
        <w:adjustRightInd w:val="0"/>
        <w:jc w:val="both"/>
        <w:rPr>
          <w:color w:val="000000" w:themeColor="text1"/>
          <w:sz w:val="16"/>
          <w:szCs w:val="16"/>
        </w:rPr>
      </w:pPr>
    </w:p>
    <w:p w14:paraId="701573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 ГК НИИ ВВС прошли специальные испытания серийного самолета Ла-7 N 38102158 с улучшенной герметизацией и вентиляцией кабины, которые показали, что в кабину самолета проникают выхлопные газы, в результате чего создается концентрация окиси углерода в зоне дыхания летчика до 0,128 мгр/литр, что превышает гигиенически допустимую норму в 4 раза. Наличие столь высоких концентраций окиси углерода в кабине, а также дополнительное загрязнение воздуха продуктами разложения масла - альдегидами, создают явную угрозу отравления летчика в продолжительных полетах, особенно когда летчик не пользуется кислородом (1879).</w:t>
      </w:r>
    </w:p>
    <w:p w14:paraId="01F23E35" w14:textId="77777777" w:rsidR="00665165" w:rsidRPr="00925F26" w:rsidRDefault="00665165" w:rsidP="00925F26">
      <w:pPr>
        <w:autoSpaceDE w:val="0"/>
        <w:autoSpaceDN w:val="0"/>
        <w:adjustRightInd w:val="0"/>
        <w:jc w:val="both"/>
        <w:rPr>
          <w:color w:val="000000" w:themeColor="text1"/>
          <w:sz w:val="16"/>
          <w:szCs w:val="16"/>
        </w:rPr>
      </w:pPr>
    </w:p>
    <w:p w14:paraId="45492B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вышел отчет о заводских испытаниях Ла-7 с АШ-82ФН N 2225 с 2х20 мм. Скорость 590 км/час у земли и 675 км/час на 6150 м (1880,163).</w:t>
      </w:r>
    </w:p>
    <w:p w14:paraId="23101893" w14:textId="77777777" w:rsidR="00665165" w:rsidRPr="00925F26" w:rsidRDefault="00665165" w:rsidP="00925F26">
      <w:pPr>
        <w:autoSpaceDE w:val="0"/>
        <w:autoSpaceDN w:val="0"/>
        <w:adjustRightInd w:val="0"/>
        <w:jc w:val="both"/>
        <w:rPr>
          <w:color w:val="000000" w:themeColor="text1"/>
          <w:sz w:val="16"/>
          <w:szCs w:val="16"/>
        </w:rPr>
      </w:pPr>
    </w:p>
    <w:p w14:paraId="3B8B8E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на заводе в Горьком серийный истребитель Ла-7 № 45211521 переделали в двухместный учебно-тренировочный УТИЛа-7. Спустя пять месяцев эту машину предъявили для государственных испытаний в НИИ ВВС, Ведущими по ней были инженер Г.В. Чернявский и лётчик А.Г. Прошаков, часть полётов выполнил другой пилот - В.П. Трофимов. В ходе испытаний, завершившихся 16 августа, выяснилось, что центровка машины - чрезмерно задняя, а при посадке, начиная с центровки 23,5% средней аэродинамической хорды, давление на ручку управления самолётом пропадало и приземление, и без того считающееся самым сложным элементом полёта, становилось просто опасным. В кабинах (особенно передней) по-прежнему стояла если не африканская, то, по крайней мере, близкая к ней жара. Более того, состав оборудования оказался недостаточным для полноценного обучения курсантов лётных школ и запасных авиаполков. Самолёт вернули на завод для доработки (11986).</w:t>
      </w:r>
    </w:p>
    <w:p w14:paraId="73F3232B" w14:textId="77777777" w:rsidR="00665165" w:rsidRPr="00925F26" w:rsidRDefault="00665165" w:rsidP="00925F26">
      <w:pPr>
        <w:autoSpaceDE w:val="0"/>
        <w:autoSpaceDN w:val="0"/>
        <w:adjustRightInd w:val="0"/>
        <w:jc w:val="both"/>
        <w:rPr>
          <w:color w:val="000000" w:themeColor="text1"/>
          <w:sz w:val="16"/>
          <w:szCs w:val="16"/>
        </w:rPr>
      </w:pPr>
    </w:p>
    <w:p w14:paraId="51992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закончились гос. испытания Н-37, которая ставилась на Як-9Т ВК105ПФ2 и на Як-9УТ ВК-107А (65,178).</w:t>
      </w:r>
    </w:p>
    <w:p w14:paraId="7B4A1DC6" w14:textId="77777777" w:rsidR="00665165" w:rsidRPr="00925F26" w:rsidRDefault="00665165" w:rsidP="00925F26">
      <w:pPr>
        <w:autoSpaceDE w:val="0"/>
        <w:autoSpaceDN w:val="0"/>
        <w:adjustRightInd w:val="0"/>
        <w:jc w:val="both"/>
        <w:rPr>
          <w:color w:val="000000" w:themeColor="text1"/>
          <w:sz w:val="16"/>
          <w:szCs w:val="16"/>
        </w:rPr>
      </w:pPr>
    </w:p>
    <w:p w14:paraId="65652BC4" w14:textId="77777777" w:rsidR="00BA1885" w:rsidRPr="00925F26" w:rsidRDefault="00BA1885" w:rsidP="00925F26">
      <w:pPr>
        <w:pStyle w:val="rtejustify"/>
        <w:shd w:val="clear" w:color="auto" w:fill="FFFFFF"/>
        <w:spacing w:before="0" w:after="0"/>
        <w:rPr>
          <w:color w:val="000000" w:themeColor="text1"/>
          <w:sz w:val="16"/>
          <w:szCs w:val="16"/>
        </w:rPr>
      </w:pPr>
      <w:r w:rsidRPr="00925F26">
        <w:rPr>
          <w:color w:val="000000" w:themeColor="text1"/>
          <w:sz w:val="16"/>
          <w:szCs w:val="16"/>
        </w:rPr>
        <w:t>В марте 1945 г. на Як-9Т и Як-9УТ проводились первые летные испытания Н-37.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w:t>
      </w:r>
    </w:p>
    <w:p w14:paraId="754CDB56" w14:textId="602BAB94" w:rsidR="00BA1885" w:rsidRPr="00925F26" w:rsidRDefault="00BA1885" w:rsidP="00925F26">
      <w:pPr>
        <w:pStyle w:val="rtejustify"/>
        <w:shd w:val="clear" w:color="auto" w:fill="FFFFFF"/>
        <w:spacing w:before="0" w:after="0"/>
        <w:rPr>
          <w:color w:val="000000" w:themeColor="text1"/>
          <w:sz w:val="16"/>
          <w:szCs w:val="16"/>
        </w:rPr>
      </w:pPr>
      <w:r w:rsidRPr="00925F26">
        <w:rPr>
          <w:color w:val="000000" w:themeColor="text1"/>
          <w:sz w:val="16"/>
          <w:szCs w:val="16"/>
        </w:rPr>
        <w:t xml:space="preserve">Несколько позже был создан локализатор, получивший название “бабочка”, поперечный размах которого выводил дульные газы за пределы воздухозаборника. Однако при этом ухудшались аэродинамика и маневренность самолета. Было принято решение часть самолетов снабдить такими локализаторами, а остальные ограничить высотой 3 км. Вскоре производство МиГ-9 было прекращено, и в серию пошел МиГ-15, на котором была установлена доработанная версия Н-37Д, ставшая основной. На этой версии был введен двухрядный локализатор, выполнявший также функцию дульного тормоза </w:t>
      </w:r>
      <w:r w:rsidR="00997EDF" w:rsidRPr="00925F26">
        <w:rPr>
          <w:color w:val="000000" w:themeColor="text1"/>
          <w:sz w:val="16"/>
          <w:szCs w:val="16"/>
        </w:rPr>
        <w:t xml:space="preserve">  </w:t>
      </w:r>
      <w:r w:rsidRPr="00925F26">
        <w:rPr>
          <w:color w:val="000000" w:themeColor="text1"/>
          <w:sz w:val="16"/>
          <w:szCs w:val="16"/>
        </w:rPr>
        <w:t>с двумя рядами окон.</w:t>
      </w:r>
    </w:p>
    <w:p w14:paraId="208769FB" w14:textId="027AAB6D" w:rsidR="00BA1885" w:rsidRPr="00925F26" w:rsidRDefault="00BA1885" w:rsidP="00925F26">
      <w:pPr>
        <w:pStyle w:val="rtejustify"/>
        <w:shd w:val="clear" w:color="auto" w:fill="FFFFFF"/>
        <w:spacing w:before="0" w:after="0"/>
        <w:rPr>
          <w:color w:val="000000" w:themeColor="text1"/>
          <w:sz w:val="16"/>
          <w:szCs w:val="16"/>
        </w:rPr>
      </w:pPr>
      <w:r w:rsidRPr="00925F26">
        <w:rPr>
          <w:color w:val="000000" w:themeColor="text1"/>
          <w:sz w:val="16"/>
          <w:szCs w:val="16"/>
        </w:rPr>
        <w:t>Пушка Н-37 наряду с 23-мм НС-23 стала основой вооружения послевоенного поколения истребителей СССР – МиГ-15, МиГ-</w:t>
      </w:r>
      <w:proofErr w:type="gramStart"/>
      <w:r w:rsidRPr="00925F26">
        <w:rPr>
          <w:color w:val="000000" w:themeColor="text1"/>
          <w:sz w:val="16"/>
          <w:szCs w:val="16"/>
        </w:rPr>
        <w:t xml:space="preserve">17, </w:t>
      </w:r>
      <w:r w:rsidR="00997EDF" w:rsidRPr="00925F26">
        <w:rPr>
          <w:color w:val="000000" w:themeColor="text1"/>
          <w:sz w:val="16"/>
          <w:szCs w:val="16"/>
        </w:rPr>
        <w:t xml:space="preserve">  </w:t>
      </w:r>
      <w:proofErr w:type="gramEnd"/>
      <w:r w:rsidRPr="00925F26">
        <w:rPr>
          <w:color w:val="000000" w:themeColor="text1"/>
          <w:sz w:val="16"/>
          <w:szCs w:val="16"/>
        </w:rPr>
        <w:t>Перехватчик Як-25 имел две пушки версии Н-37Л с удлиненным стволом и однокамерным локализатором.</w:t>
      </w:r>
    </w:p>
    <w:p w14:paraId="05F97FDA" w14:textId="5D52DDA0" w:rsidR="00BA1885" w:rsidRPr="00925F26" w:rsidRDefault="00BA1885" w:rsidP="00925F26">
      <w:pPr>
        <w:pStyle w:val="rtejustify"/>
        <w:shd w:val="clear" w:color="auto" w:fill="FFFFFF"/>
        <w:spacing w:before="0" w:after="0"/>
        <w:rPr>
          <w:color w:val="000000" w:themeColor="text1"/>
          <w:sz w:val="16"/>
          <w:szCs w:val="16"/>
        </w:rPr>
      </w:pPr>
      <w:r w:rsidRPr="00925F26">
        <w:rPr>
          <w:color w:val="000000" w:themeColor="text1"/>
          <w:sz w:val="16"/>
          <w:szCs w:val="16"/>
        </w:rPr>
        <w:t xml:space="preserve">Пушка оказалась настолько удачной, что ее производство продолжалось почти 15 лет! В 1947 году было выпущено 518 штук, в 1948 году — 508, в 1949 году — 1314, в 1950 году — 3043, в 1951 году — 3885, в 1952 году — 4433, в 1953 году — 4600, в 1954 году — 1700, в 1956 году — 285 пушек. В 1957 году начался выпуск пушки НН-37 системы Нудельмана-Неменова, по сути являвшейся модернизированным вариантом Н-37. В версии НН-37 при неизменной конфигурации была увеличена крутизна нарезов в стволе. Темп стрельбы НН-37 возрос более чем в полтора раза и достиг 600—700 </w:t>
      </w:r>
      <w:proofErr w:type="gramStart"/>
      <w:r w:rsidRPr="00925F26">
        <w:rPr>
          <w:color w:val="000000" w:themeColor="text1"/>
          <w:sz w:val="16"/>
          <w:szCs w:val="16"/>
        </w:rPr>
        <w:t>выстр./</w:t>
      </w:r>
      <w:proofErr w:type="gramEnd"/>
      <w:r w:rsidRPr="00925F26">
        <w:rPr>
          <w:color w:val="000000" w:themeColor="text1"/>
          <w:sz w:val="16"/>
          <w:szCs w:val="16"/>
        </w:rPr>
        <w:t>мин за счет ускорения наката затвора с патронником, осуществлявшегося новым механизмом — пневматическим ускорителем. Резкое повышение скорострельности сказалось наживучести агрегатов, скорости соударения которых и контактные нагрузки возросли. Для сохранения ресурса кинематики пришлось переконструировать запирающий агрегат и перейти на более прочные стали.</w:t>
      </w:r>
      <w:r w:rsidR="00997EDF" w:rsidRPr="00925F26">
        <w:rPr>
          <w:color w:val="000000" w:themeColor="text1"/>
          <w:sz w:val="16"/>
          <w:szCs w:val="16"/>
        </w:rPr>
        <w:t xml:space="preserve">  </w:t>
      </w:r>
      <w:r w:rsidRPr="00925F26">
        <w:rPr>
          <w:color w:val="000000" w:themeColor="text1"/>
          <w:sz w:val="16"/>
          <w:szCs w:val="16"/>
        </w:rPr>
        <w:t xml:space="preserve"> Версия НН-37 устанавливалась на опытный перехватчик Як-27. Но время пушечных истребителей подходило к концу. Пушки превращались во вспомогательное вооружение, </w:t>
      </w:r>
      <w:proofErr w:type="gramStart"/>
      <w:r w:rsidRPr="00925F26">
        <w:rPr>
          <w:color w:val="000000" w:themeColor="text1"/>
          <w:sz w:val="16"/>
          <w:szCs w:val="16"/>
        </w:rPr>
        <w:t>а стало быть</w:t>
      </w:r>
      <w:proofErr w:type="gramEnd"/>
      <w:r w:rsidRPr="00925F26">
        <w:rPr>
          <w:color w:val="000000" w:themeColor="text1"/>
          <w:sz w:val="16"/>
          <w:szCs w:val="16"/>
        </w:rPr>
        <w:t xml:space="preserve"> могущество пушечных снарядов большого калибра в авиации переставало быть актуальным. На первый план выступала высокая скорострельность пушек умеренного калибра 20-30 мм. И к 1960 году производство пушек 37-мм калибра было свернуто (19170).</w:t>
      </w:r>
    </w:p>
    <w:p w14:paraId="4FAA947A" w14:textId="77777777" w:rsidR="00BA1885" w:rsidRPr="00925F26" w:rsidRDefault="00BA1885" w:rsidP="00925F26">
      <w:pPr>
        <w:pStyle w:val="rtejustify"/>
        <w:shd w:val="clear" w:color="auto" w:fill="FFFFFF"/>
        <w:spacing w:before="0" w:after="0"/>
        <w:rPr>
          <w:color w:val="000000" w:themeColor="text1"/>
          <w:sz w:val="16"/>
          <w:szCs w:val="16"/>
        </w:rPr>
      </w:pPr>
    </w:p>
    <w:p w14:paraId="0DF933FB" w14:textId="77777777" w:rsidR="0028571C" w:rsidRPr="001A0BAA" w:rsidRDefault="0028571C" w:rsidP="0028571C">
      <w:pPr>
        <w:jc w:val="both"/>
        <w:rPr>
          <w:color w:val="0070C0"/>
          <w:sz w:val="16"/>
          <w:szCs w:val="16"/>
        </w:rPr>
      </w:pPr>
      <w:r w:rsidRPr="001A0BAA">
        <w:rPr>
          <w:color w:val="0070C0"/>
          <w:sz w:val="16"/>
          <w:szCs w:val="16"/>
        </w:rPr>
        <w:t>В марте 1945 г. прошли первые летные испытания Н-37 на Як-9Т и Як-9УТ.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w:t>
      </w:r>
    </w:p>
    <w:p w14:paraId="2C4BCB13" w14:textId="77777777" w:rsidR="0028571C" w:rsidRPr="001A0BAA" w:rsidRDefault="0028571C" w:rsidP="0028571C">
      <w:pPr>
        <w:jc w:val="both"/>
        <w:rPr>
          <w:color w:val="0070C0"/>
          <w:sz w:val="16"/>
          <w:szCs w:val="16"/>
        </w:rPr>
      </w:pPr>
      <w:r w:rsidRPr="001A0BAA">
        <w:rPr>
          <w:color w:val="0070C0"/>
          <w:sz w:val="16"/>
          <w:szCs w:val="16"/>
        </w:rPr>
        <w:t>Несколько позже был создан локализатор, получивший название “бабочка”, поперечный размах которого выводил дульные газы за пределы воздухозаборника. Однако при этом ухудшались аэродинамика и маневренность самолета. Было принято решение часть самолетов снабдить такими локализаторами, а остальные ограничить высотой 3 км. Вскоре производство МиГ-9 было прекращено, и в серию пошел МиГ-15, на котором была установлена доработанная версия Н-37Д, ставшая основной. На этой версии был введен двухрядный локализатор, выполнявший также функцию дульного тормоза с двумя рядами окон (25270).</w:t>
      </w:r>
    </w:p>
    <w:p w14:paraId="72BA55CA" w14:textId="77777777" w:rsidR="0028571C" w:rsidRPr="001A0BAA" w:rsidRDefault="0028571C" w:rsidP="0028571C">
      <w:pPr>
        <w:jc w:val="both"/>
        <w:rPr>
          <w:color w:val="0070C0"/>
          <w:sz w:val="16"/>
          <w:szCs w:val="16"/>
        </w:rPr>
      </w:pPr>
    </w:p>
    <w:p w14:paraId="5E0EF4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в ОКБ-155 про</w:t>
      </w:r>
      <w:r w:rsidRPr="00925F26">
        <w:rPr>
          <w:color w:val="000000" w:themeColor="text1"/>
          <w:sz w:val="16"/>
          <w:szCs w:val="16"/>
        </w:rPr>
        <w:softHyphen/>
        <w:t>вели проработку компоновки реактив</w:t>
      </w:r>
      <w:r w:rsidRPr="00925F26">
        <w:rPr>
          <w:color w:val="000000" w:themeColor="text1"/>
          <w:sz w:val="16"/>
          <w:szCs w:val="16"/>
        </w:rPr>
        <w:softHyphen/>
        <w:t>ного истребителя, получившего назва</w:t>
      </w:r>
      <w:r w:rsidRPr="00925F26">
        <w:rPr>
          <w:color w:val="000000" w:themeColor="text1"/>
          <w:sz w:val="16"/>
          <w:szCs w:val="16"/>
        </w:rPr>
        <w:softHyphen/>
        <w:t>ние И-290 и шифр «2». Для него выбра</w:t>
      </w:r>
      <w:r w:rsidRPr="00925F26">
        <w:rPr>
          <w:color w:val="000000" w:themeColor="text1"/>
          <w:sz w:val="16"/>
          <w:szCs w:val="16"/>
        </w:rPr>
        <w:softHyphen/>
        <w:t>ли более мощные ,Зито-004В, разместив два двигателя под консолями крыла. Во</w:t>
      </w:r>
      <w:r w:rsidRPr="00925F26">
        <w:rPr>
          <w:color w:val="000000" w:themeColor="text1"/>
          <w:sz w:val="16"/>
          <w:szCs w:val="16"/>
        </w:rPr>
        <w:softHyphen/>
        <w:t>оружение новой машины состояло из одной 37-мм пушки с боекомплектом 30 патронов и двух 23-мм пушек с боеком</w:t>
      </w:r>
      <w:r w:rsidRPr="00925F26">
        <w:rPr>
          <w:color w:val="000000" w:themeColor="text1"/>
          <w:sz w:val="16"/>
          <w:szCs w:val="16"/>
        </w:rPr>
        <w:softHyphen/>
        <w:t>плектом по 60 патронов. Запас горюче</w:t>
      </w:r>
      <w:r w:rsidRPr="00925F26">
        <w:rPr>
          <w:color w:val="000000" w:themeColor="text1"/>
          <w:sz w:val="16"/>
          <w:szCs w:val="16"/>
        </w:rPr>
        <w:softHyphen/>
        <w:t>го составлял 1400л. Взлетная масса ис</w:t>
      </w:r>
      <w:r w:rsidRPr="00925F26">
        <w:rPr>
          <w:color w:val="000000" w:themeColor="text1"/>
          <w:sz w:val="16"/>
          <w:szCs w:val="16"/>
        </w:rPr>
        <w:softHyphen/>
        <w:t xml:space="preserve">требителя оценивалась </w:t>
      </w:r>
      <w:r w:rsidRPr="00925F26">
        <w:rPr>
          <w:iCs/>
          <w:color w:val="000000" w:themeColor="text1"/>
          <w:sz w:val="16"/>
          <w:szCs w:val="16"/>
        </w:rPr>
        <w:t xml:space="preserve">в </w:t>
      </w:r>
      <w:r w:rsidRPr="00925F26">
        <w:rPr>
          <w:color w:val="000000" w:themeColor="text1"/>
          <w:sz w:val="16"/>
          <w:szCs w:val="16"/>
        </w:rPr>
        <w:t>4500 кг. Пост</w:t>
      </w:r>
      <w:r w:rsidRPr="00925F26">
        <w:rPr>
          <w:color w:val="000000" w:themeColor="text1"/>
          <w:sz w:val="16"/>
          <w:szCs w:val="16"/>
        </w:rPr>
        <w:softHyphen/>
        <w:t>ройку самолета И-290 одобрили в НКАП, и уже в апреле планировалось завер</w:t>
      </w:r>
      <w:r w:rsidRPr="00925F26">
        <w:rPr>
          <w:color w:val="000000" w:themeColor="text1"/>
          <w:sz w:val="16"/>
          <w:szCs w:val="16"/>
        </w:rPr>
        <w:softHyphen/>
        <w:t>шить рабочие чертежи макета, а его из</w:t>
      </w:r>
      <w:r w:rsidRPr="00925F26">
        <w:rPr>
          <w:color w:val="000000" w:themeColor="text1"/>
          <w:sz w:val="16"/>
          <w:szCs w:val="16"/>
        </w:rPr>
        <w:softHyphen/>
        <w:t>готовление к 1 мая (11128).</w:t>
      </w:r>
    </w:p>
    <w:p w14:paraId="7ECE2B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B192734" w14:textId="77777777" w:rsidR="00EE5230" w:rsidRPr="00925F26" w:rsidRDefault="00EE5230" w:rsidP="00925F26">
      <w:pPr>
        <w:jc w:val="both"/>
        <w:rPr>
          <w:color w:val="000000" w:themeColor="text1"/>
          <w:sz w:val="16"/>
          <w:szCs w:val="16"/>
        </w:rPr>
      </w:pPr>
      <w:r w:rsidRPr="00925F26">
        <w:rPr>
          <w:color w:val="000000" w:themeColor="text1"/>
          <w:sz w:val="16"/>
          <w:szCs w:val="16"/>
        </w:rPr>
        <w:t>В марте 1945 года в ОКБ-155 провели прора</w:t>
      </w:r>
      <w:r w:rsidRPr="00925F26">
        <w:rPr>
          <w:color w:val="000000" w:themeColor="text1"/>
          <w:sz w:val="16"/>
          <w:szCs w:val="16"/>
        </w:rPr>
        <w:softHyphen/>
        <w:t>ботку компоновки реактив</w:t>
      </w:r>
      <w:r w:rsidRPr="00925F26">
        <w:rPr>
          <w:color w:val="000000" w:themeColor="text1"/>
          <w:sz w:val="16"/>
          <w:szCs w:val="16"/>
        </w:rPr>
        <w:softHyphen/>
        <w:t>ного истребителя с двумя ТРД, получившего назва</w:t>
      </w:r>
      <w:r w:rsidRPr="00925F26">
        <w:rPr>
          <w:color w:val="000000" w:themeColor="text1"/>
          <w:sz w:val="16"/>
          <w:szCs w:val="16"/>
        </w:rPr>
        <w:softHyphen/>
        <w:t>ние И-290 и заводской шифр «Z». Для него выбрали более мощные Jumo 004В с тягой 900 кгс, разместив их под консолями крыла.</w:t>
      </w:r>
    </w:p>
    <w:p w14:paraId="5F01A7F1" w14:textId="77777777" w:rsidR="00EE5230" w:rsidRPr="00925F26" w:rsidRDefault="00EE5230" w:rsidP="00925F26">
      <w:pPr>
        <w:jc w:val="both"/>
        <w:rPr>
          <w:color w:val="000000" w:themeColor="text1"/>
          <w:sz w:val="16"/>
          <w:szCs w:val="16"/>
        </w:rPr>
      </w:pPr>
      <w:r w:rsidRPr="00925F26">
        <w:rPr>
          <w:color w:val="000000" w:themeColor="text1"/>
          <w:sz w:val="16"/>
          <w:szCs w:val="16"/>
        </w:rPr>
        <w:t>Вооружение новой машины состояло из одной 37-мм пушки с боекомплектом 30 патронов и двух 23-мм пу</w:t>
      </w:r>
      <w:r w:rsidRPr="00925F26">
        <w:rPr>
          <w:color w:val="000000" w:themeColor="text1"/>
          <w:sz w:val="16"/>
          <w:szCs w:val="16"/>
        </w:rPr>
        <w:softHyphen/>
        <w:t>шек с боекомплектом по 60 патронов. Взлётная масса истребителя оценивалась в 4500 кг. Постройку И-290 одобрили в наркомате, и к 1 мая планировалось по</w:t>
      </w:r>
      <w:r w:rsidRPr="00925F26">
        <w:rPr>
          <w:color w:val="000000" w:themeColor="text1"/>
          <w:sz w:val="16"/>
          <w:szCs w:val="16"/>
        </w:rPr>
        <w:softHyphen/>
        <w:t>строить его макет.</w:t>
      </w:r>
    </w:p>
    <w:p w14:paraId="5D94AF47" w14:textId="77777777" w:rsidR="00EE5230" w:rsidRPr="00925F26" w:rsidRDefault="00EE5230" w:rsidP="00925F26">
      <w:pPr>
        <w:jc w:val="both"/>
        <w:rPr>
          <w:color w:val="000000" w:themeColor="text1"/>
          <w:sz w:val="16"/>
          <w:szCs w:val="16"/>
        </w:rPr>
      </w:pPr>
      <w:r w:rsidRPr="00925F26">
        <w:rPr>
          <w:color w:val="000000" w:themeColor="text1"/>
          <w:sz w:val="16"/>
          <w:szCs w:val="16"/>
        </w:rPr>
        <w:t>Однако в июне компоновку машины, у которой к это</w:t>
      </w:r>
      <w:r w:rsidRPr="00925F26">
        <w:rPr>
          <w:color w:val="000000" w:themeColor="text1"/>
          <w:sz w:val="16"/>
          <w:szCs w:val="16"/>
        </w:rPr>
        <w:softHyphen/>
        <w:t>му времени шифр «Z» сменили на «К», полностью переработали. Двигатели решили установить не под консолями крыла, а в фюзеляже, вписав их в его обво</w:t>
      </w:r>
      <w:r w:rsidRPr="00925F26">
        <w:rPr>
          <w:color w:val="000000" w:themeColor="text1"/>
          <w:sz w:val="16"/>
          <w:szCs w:val="16"/>
        </w:rPr>
        <w:softHyphen/>
        <w:t>ды. Во-первых, такое размещение являлось наиболее выгодным в отношении миделя и интерференции, све</w:t>
      </w:r>
      <w:r w:rsidRPr="00925F26">
        <w:rPr>
          <w:color w:val="000000" w:themeColor="text1"/>
          <w:sz w:val="16"/>
          <w:szCs w:val="16"/>
        </w:rPr>
        <w:softHyphen/>
        <w:t>дённой к минимуму благодаря отсутствию мотогондол на крыле. Во-вторых, расположение двух двигателей ря</w:t>
      </w:r>
      <w:r w:rsidRPr="00925F26">
        <w:rPr>
          <w:color w:val="000000" w:themeColor="text1"/>
          <w:sz w:val="16"/>
          <w:szCs w:val="16"/>
        </w:rPr>
        <w:softHyphen/>
        <w:t>дом практически не нарушало управляемость машины в случае выхода из строя одного из них и давало воз</w:t>
      </w:r>
      <w:r w:rsidRPr="00925F26">
        <w:rPr>
          <w:color w:val="000000" w:themeColor="text1"/>
          <w:sz w:val="16"/>
          <w:szCs w:val="16"/>
        </w:rPr>
        <w:softHyphen/>
        <w:t>можность вполне сносно лететь на одном исправном (23379).</w:t>
      </w:r>
    </w:p>
    <w:p w14:paraId="2C1511C2" w14:textId="77777777" w:rsidR="00EE5230" w:rsidRPr="00925F26" w:rsidRDefault="00EE5230" w:rsidP="00925F26">
      <w:pPr>
        <w:jc w:val="both"/>
        <w:rPr>
          <w:color w:val="000000" w:themeColor="text1"/>
          <w:sz w:val="16"/>
          <w:szCs w:val="16"/>
        </w:rPr>
      </w:pPr>
    </w:p>
    <w:p w14:paraId="18D26010" w14:textId="77777777" w:rsidR="00EE5230" w:rsidRPr="00925F26" w:rsidRDefault="00EE5230" w:rsidP="00925F26">
      <w:pPr>
        <w:jc w:val="both"/>
        <w:rPr>
          <w:color w:val="000000" w:themeColor="text1"/>
          <w:sz w:val="16"/>
          <w:szCs w:val="16"/>
        </w:rPr>
      </w:pPr>
      <w:r w:rsidRPr="00925F26">
        <w:rPr>
          <w:color w:val="000000" w:themeColor="text1"/>
          <w:sz w:val="16"/>
          <w:szCs w:val="16"/>
        </w:rPr>
        <w:t>В марте 1945 года первый опытный И-250 пе</w:t>
      </w:r>
      <w:r w:rsidRPr="00925F26">
        <w:rPr>
          <w:color w:val="000000" w:themeColor="text1"/>
          <w:sz w:val="16"/>
          <w:szCs w:val="16"/>
        </w:rPr>
        <w:softHyphen/>
        <w:t>редали на заводские испытания. По расчётам, при полётной массе 3500 кг самолёт с использованием ВРДК Э-30-20 должен был развивать максимальную скорость 825 км/ч на высоте 7000 м, а 5000 м набирать за 3,9 минуты. По</w:t>
      </w:r>
      <w:r w:rsidRPr="00925F26">
        <w:rPr>
          <w:color w:val="000000" w:themeColor="text1"/>
          <w:sz w:val="16"/>
          <w:szCs w:val="16"/>
        </w:rPr>
        <w:softHyphen/>
        <w:t>сле наземной отработки и устранения выявленных де</w:t>
      </w:r>
      <w:r w:rsidRPr="00925F26">
        <w:rPr>
          <w:color w:val="000000" w:themeColor="text1"/>
          <w:sz w:val="16"/>
          <w:szCs w:val="16"/>
        </w:rPr>
        <w:softHyphen/>
        <w:t>фектов 4 апреля И-250, пилотируемый лётчиком-испы</w:t>
      </w:r>
      <w:r w:rsidRPr="00925F26">
        <w:rPr>
          <w:color w:val="000000" w:themeColor="text1"/>
          <w:sz w:val="16"/>
          <w:szCs w:val="16"/>
        </w:rPr>
        <w:softHyphen/>
        <w:t>тателем А.П. Деевым, впервые поднялся в воздух (23379).</w:t>
      </w:r>
    </w:p>
    <w:p w14:paraId="59BC05A6" w14:textId="77777777" w:rsidR="00EE5230" w:rsidRPr="00925F26" w:rsidRDefault="00EE5230" w:rsidP="00925F26">
      <w:pPr>
        <w:jc w:val="both"/>
        <w:rPr>
          <w:color w:val="000000" w:themeColor="text1"/>
          <w:sz w:val="16"/>
          <w:szCs w:val="16"/>
        </w:rPr>
      </w:pPr>
    </w:p>
    <w:p w14:paraId="4666C6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самолет ИТП (М) разобрали. Недоведенность М-107 заставила переделать второй экземпляр ИТП (М-2) под мотор АМ-37. Он был постро</w:t>
      </w:r>
      <w:r w:rsidRPr="00925F26">
        <w:rPr>
          <w:color w:val="000000" w:themeColor="text1"/>
          <w:sz w:val="16"/>
          <w:szCs w:val="16"/>
        </w:rPr>
        <w:softHyphen/>
        <w:t>ен в Новосибирске. При наземной отработке выясни</w:t>
      </w:r>
      <w:r w:rsidRPr="00925F26">
        <w:rPr>
          <w:color w:val="000000" w:themeColor="text1"/>
          <w:sz w:val="16"/>
          <w:szCs w:val="16"/>
        </w:rPr>
        <w:softHyphen/>
        <w:t>лось, что АМ-37 плохо работает. В декабре 1942 г. самолет перевезли в Москву. Несколько позже АМ-37 за</w:t>
      </w:r>
      <w:r w:rsidRPr="00925F26">
        <w:rPr>
          <w:color w:val="000000" w:themeColor="text1"/>
          <w:sz w:val="16"/>
          <w:szCs w:val="16"/>
        </w:rPr>
        <w:softHyphen/>
        <w:t xml:space="preserve">менили на </w:t>
      </w:r>
      <w:r w:rsidRPr="00925F26">
        <w:rPr>
          <w:color w:val="000000" w:themeColor="text1"/>
          <w:sz w:val="16"/>
          <w:szCs w:val="16"/>
        </w:rPr>
        <w:lastRenderedPageBreak/>
        <w:t>новый мотор А.А.Микулина АМ-39. В отли</w:t>
      </w:r>
      <w:r w:rsidRPr="00925F26">
        <w:rPr>
          <w:color w:val="000000" w:themeColor="text1"/>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925F26">
        <w:rPr>
          <w:color w:val="000000" w:themeColor="text1"/>
          <w:sz w:val="16"/>
          <w:szCs w:val="16"/>
        </w:rPr>
        <w:softHyphen/>
        <w:t>вешивалось до 400 кг бомб (10667).</w:t>
      </w:r>
    </w:p>
    <w:p w14:paraId="6FE789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C2E142D" w14:textId="77777777" w:rsidR="0028571C" w:rsidRPr="001A0BAA" w:rsidRDefault="0028571C" w:rsidP="0028571C">
      <w:pPr>
        <w:jc w:val="both"/>
        <w:rPr>
          <w:color w:val="0070C0"/>
          <w:sz w:val="16"/>
          <w:szCs w:val="16"/>
        </w:rPr>
      </w:pPr>
      <w:r w:rsidRPr="001A0BAA">
        <w:rPr>
          <w:color w:val="0070C0"/>
          <w:sz w:val="16"/>
          <w:szCs w:val="16"/>
        </w:rPr>
        <w:t>В марте 1945 г. по приказу директора и главного конструктора завода № 51 В. Н. Челомея все И-185 с моторами М-71, М-82А и М-90 были разобраны (25035).</w:t>
      </w:r>
    </w:p>
    <w:p w14:paraId="2EC8BF1E" w14:textId="77777777" w:rsidR="0028571C" w:rsidRPr="001A0BAA" w:rsidRDefault="0028571C" w:rsidP="0028571C">
      <w:pPr>
        <w:jc w:val="both"/>
        <w:rPr>
          <w:color w:val="0070C0"/>
          <w:sz w:val="16"/>
          <w:szCs w:val="16"/>
        </w:rPr>
      </w:pPr>
    </w:p>
    <w:p w14:paraId="209EC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 НИИ ВВС или ЛИИ испытывали Кингкобру Р-63А-10 с Аллисон V-1710-93 (173,245).</w:t>
      </w:r>
    </w:p>
    <w:p w14:paraId="06D042DB" w14:textId="77777777" w:rsidR="00665165" w:rsidRPr="00925F26" w:rsidRDefault="00665165" w:rsidP="00925F26">
      <w:pPr>
        <w:autoSpaceDE w:val="0"/>
        <w:autoSpaceDN w:val="0"/>
        <w:adjustRightInd w:val="0"/>
        <w:jc w:val="both"/>
        <w:rPr>
          <w:color w:val="000000" w:themeColor="text1"/>
          <w:sz w:val="16"/>
          <w:szCs w:val="16"/>
        </w:rPr>
      </w:pPr>
    </w:p>
    <w:p w14:paraId="4C7A51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после недолгих колебаний нарком А.И.Шахурин принял решение об объединении ОКБ-134 Ермолаева и конструкторского коллектива П.О.Сухого. Последний без особого энтузиазма согласился стать третьим главным конструктором бомбардировщика Ер-2, в судьбе которого изобиловали огромные проблемы. Но выбора у Сухого не было, ведь после прекращения производства ближнего бомбардировщика Су-2 и отказа НКАП от запуска в серию штурмовика Су-6 коллектив был вынужден работать "на полку". А тут - и опытный, и серийный завод, неизмеримо выросшие возможности. Однако и цена оказалась немалой: с первых дней Сухому пришлось решать проблемы, накопившиеся за месяцы относительного "безвластия" (3322,43).</w:t>
      </w:r>
    </w:p>
    <w:p w14:paraId="0B9CAC79" w14:textId="77777777" w:rsidR="00665165" w:rsidRPr="00925F26" w:rsidRDefault="00665165" w:rsidP="00925F26">
      <w:pPr>
        <w:autoSpaceDE w:val="0"/>
        <w:autoSpaceDN w:val="0"/>
        <w:adjustRightInd w:val="0"/>
        <w:jc w:val="both"/>
        <w:rPr>
          <w:color w:val="000000" w:themeColor="text1"/>
          <w:sz w:val="16"/>
          <w:szCs w:val="16"/>
        </w:rPr>
      </w:pPr>
    </w:p>
    <w:p w14:paraId="149168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 ОКБ П.О.С. влили штат ОКБ В.Г.Ермолаева (155,23).</w:t>
      </w:r>
    </w:p>
    <w:p w14:paraId="2954D9D0" w14:textId="77777777" w:rsidR="00665165" w:rsidRPr="00925F26" w:rsidRDefault="00665165" w:rsidP="00925F26">
      <w:pPr>
        <w:autoSpaceDE w:val="0"/>
        <w:autoSpaceDN w:val="0"/>
        <w:adjustRightInd w:val="0"/>
        <w:jc w:val="both"/>
        <w:rPr>
          <w:color w:val="000000" w:themeColor="text1"/>
          <w:sz w:val="16"/>
          <w:szCs w:val="16"/>
        </w:rPr>
      </w:pPr>
    </w:p>
    <w:p w14:paraId="3734C4E6" w14:textId="77777777" w:rsidR="00546AC2" w:rsidRPr="00925F26" w:rsidRDefault="00546AC2" w:rsidP="00925F26">
      <w:pPr>
        <w:shd w:val="clear" w:color="auto" w:fill="FFFFFF"/>
        <w:jc w:val="both"/>
        <w:rPr>
          <w:color w:val="000000" w:themeColor="text1"/>
          <w:sz w:val="16"/>
          <w:szCs w:val="16"/>
        </w:rPr>
      </w:pPr>
      <w:r w:rsidRPr="00925F26">
        <w:rPr>
          <w:color w:val="000000" w:themeColor="text1"/>
          <w:sz w:val="16"/>
          <w:szCs w:val="16"/>
        </w:rPr>
        <w:t>В марте 1945 на Ер-2, изготовленных на заводе № 30 требовалась замена 9 двигателей, в апреле -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7E727834" w14:textId="77777777" w:rsidR="00546AC2" w:rsidRPr="00925F26" w:rsidRDefault="00546AC2" w:rsidP="00925F26">
      <w:pPr>
        <w:shd w:val="clear" w:color="auto" w:fill="FFFFFF"/>
        <w:jc w:val="both"/>
        <w:rPr>
          <w:color w:val="000000" w:themeColor="text1"/>
          <w:sz w:val="16"/>
          <w:szCs w:val="16"/>
        </w:rPr>
      </w:pPr>
    </w:p>
    <w:p w14:paraId="40D91587" w14:textId="77777777" w:rsidR="0023295D" w:rsidRPr="001A0BAA" w:rsidRDefault="0023295D" w:rsidP="0023295D">
      <w:pPr>
        <w:jc w:val="both"/>
        <w:rPr>
          <w:color w:val="0070C0"/>
          <w:sz w:val="16"/>
          <w:szCs w:val="16"/>
        </w:rPr>
      </w:pPr>
      <w:r w:rsidRPr="001A0BAA">
        <w:rPr>
          <w:color w:val="0070C0"/>
          <w:sz w:val="16"/>
          <w:szCs w:val="16"/>
        </w:rPr>
        <w:t>В марте 1945 года две машины Ту-2 («1/ 44» и «2/44») завода № 23 не смогли пройти контрольных испытаний (25074).\</w:t>
      </w:r>
    </w:p>
    <w:p w14:paraId="631BB009" w14:textId="77777777" w:rsidR="0023295D" w:rsidRPr="001A0BAA" w:rsidRDefault="0023295D" w:rsidP="0023295D">
      <w:pPr>
        <w:jc w:val="both"/>
        <w:rPr>
          <w:color w:val="0070C0"/>
          <w:sz w:val="16"/>
          <w:szCs w:val="16"/>
        </w:rPr>
      </w:pPr>
    </w:p>
    <w:p w14:paraId="087A5C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завод № 134 НКАП после смерти Ермолаева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925F26">
        <w:rPr>
          <w:color w:val="000000" w:themeColor="text1"/>
          <w:sz w:val="16"/>
          <w:szCs w:val="16"/>
          <w:vertAlign w:val="superscript"/>
        </w:rPr>
        <w:t>34</w:t>
      </w:r>
      <w:r w:rsidRPr="00925F26">
        <w:rPr>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592D0D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306E5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14979B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393сс от 24.05.1949 г. все помещения на территориях «а» и «б» переданы НИИ-2.</w:t>
      </w:r>
    </w:p>
    <w:p w14:paraId="174840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925F26">
        <w:rPr>
          <w:color w:val="000000" w:themeColor="text1"/>
          <w:sz w:val="16"/>
          <w:szCs w:val="16"/>
          <w:lang w:val="en-US"/>
        </w:rPr>
        <w:t>MB</w:t>
      </w:r>
      <w:r w:rsidRPr="00925F26">
        <w:rPr>
          <w:color w:val="000000" w:themeColor="text1"/>
          <w:sz w:val="16"/>
          <w:szCs w:val="16"/>
        </w:rPr>
        <w:t>.</w:t>
      </w:r>
    </w:p>
    <w:p w14:paraId="49DAB2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1946 г. на завод передано 386 единиц оборудования с завода Юнкерса в  г. Хальберштадт (Германия).</w:t>
      </w:r>
    </w:p>
    <w:p w14:paraId="6604E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660664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 комплексным системам огневой защиты Ту-16 и Ту-95.</w:t>
      </w:r>
    </w:p>
    <w:p w14:paraId="1E5735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129F7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0B35FB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925F26">
        <w:rPr>
          <w:color w:val="000000" w:themeColor="text1"/>
          <w:sz w:val="16"/>
          <w:szCs w:val="16"/>
        </w:rPr>
        <w:t>с  Г.И.</w:t>
      </w:r>
      <w:proofErr w:type="gramEnd"/>
      <w:r w:rsidRPr="00925F26">
        <w:rPr>
          <w:color w:val="000000" w:themeColor="text1"/>
          <w:sz w:val="16"/>
          <w:szCs w:val="16"/>
        </w:rPr>
        <w:t xml:space="preserve"> Хохловым.</w:t>
      </w:r>
    </w:p>
    <w:p w14:paraId="30ED5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1985 г. НИР «Клеенка» по разработке Р-27П. В начале 1990-</w:t>
      </w:r>
      <w:proofErr w:type="gramStart"/>
      <w:r w:rsidRPr="00925F26">
        <w:rPr>
          <w:color w:val="000000" w:themeColor="text1"/>
          <w:sz w:val="16"/>
          <w:szCs w:val="16"/>
        </w:rPr>
        <w:t>х  г.</w:t>
      </w:r>
      <w:proofErr w:type="gramEnd"/>
      <w:r w:rsidRPr="00925F26">
        <w:rPr>
          <w:color w:val="000000" w:themeColor="text1"/>
          <w:sz w:val="16"/>
          <w:szCs w:val="16"/>
        </w:rPr>
        <w:t xml:space="preserve"> - НИР «Ельник» по ракете РВВ-АЕ.</w:t>
      </w:r>
    </w:p>
    <w:p w14:paraId="1BEF3A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392E9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Ильин. Руководитель (1981-2004 г.)</w:t>
      </w:r>
      <w:proofErr w:type="gramStart"/>
      <w:r w:rsidRPr="00925F26">
        <w:rPr>
          <w:color w:val="000000" w:themeColor="text1"/>
          <w:sz w:val="16"/>
          <w:szCs w:val="16"/>
        </w:rPr>
        <w:t>-  Г.А.</w:t>
      </w:r>
      <w:proofErr w:type="gramEnd"/>
      <w:r w:rsidRPr="00925F26">
        <w:rPr>
          <w:color w:val="000000" w:themeColor="text1"/>
          <w:sz w:val="16"/>
          <w:szCs w:val="16"/>
        </w:rPr>
        <w:t xml:space="preserve"> Соколовский. Гендиректор (2005 г.)- В.А. Рац.</w:t>
      </w:r>
    </w:p>
    <w:p w14:paraId="7625F8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Зам. гендиректора: по производству (1999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Ильин; по ВЭД (2002 г.)- В.Н. Сычев.</w:t>
      </w:r>
    </w:p>
    <w:p w14:paraId="29B47B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w:t>
      </w:r>
      <w:proofErr w:type="gramStart"/>
      <w:r w:rsidRPr="00925F26">
        <w:rPr>
          <w:color w:val="000000" w:themeColor="text1"/>
          <w:sz w:val="16"/>
          <w:szCs w:val="16"/>
        </w:rPr>
        <w:t>-  Г.А.</w:t>
      </w:r>
      <w:proofErr w:type="gramEnd"/>
      <w:r w:rsidRPr="00925F26">
        <w:rPr>
          <w:color w:val="000000" w:themeColor="text1"/>
          <w:sz w:val="16"/>
          <w:szCs w:val="16"/>
        </w:rPr>
        <w:t xml:space="preserve"> Соколовский {10.08.1934-}.</w:t>
      </w:r>
    </w:p>
    <w:p w14:paraId="0BEBB3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(1980-е)- В.А. Пустовойтов.</w:t>
      </w:r>
    </w:p>
    <w:p w14:paraId="6C4AB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08A3E3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производства (-1961 г.)- А.Л. Ляпин.</w:t>
      </w:r>
    </w:p>
    <w:p w14:paraId="126E2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Ведущие конструкторы: (1949 г.)- Б.С. Абрамович (ПВ-23).</w:t>
      </w:r>
    </w:p>
    <w:p w14:paraId="279D42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Ведущие инженеры: (1944 г.)- Казанли, (1944 г.)- Сверчевский, (1944 г.)- Н.В. Синельников (Ер-20Н), (1946 г.)- Фисун (УТБ-2).</w:t>
      </w:r>
    </w:p>
    <w:p w14:paraId="57175B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Летчики-испытатели: (1946 г.)- Фиксон, (1946 г.)- Шиянов.</w:t>
      </w:r>
    </w:p>
    <w:p w14:paraId="360CF9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2AD0A120" w14:textId="77777777" w:rsidR="00665165" w:rsidRPr="00925F26" w:rsidRDefault="00665165" w:rsidP="00925F26">
      <w:pPr>
        <w:autoSpaceDE w:val="0"/>
        <w:autoSpaceDN w:val="0"/>
        <w:adjustRightInd w:val="0"/>
        <w:jc w:val="both"/>
        <w:rPr>
          <w:color w:val="000000" w:themeColor="text1"/>
          <w:sz w:val="16"/>
          <w:szCs w:val="16"/>
        </w:rPr>
      </w:pPr>
    </w:p>
    <w:p w14:paraId="408E3F7C" w14:textId="77777777" w:rsidR="0028571C" w:rsidRPr="001A0BAA" w:rsidRDefault="0028571C" w:rsidP="0028571C">
      <w:pPr>
        <w:jc w:val="both"/>
        <w:rPr>
          <w:color w:val="0070C0"/>
          <w:sz w:val="16"/>
          <w:szCs w:val="16"/>
        </w:rPr>
      </w:pPr>
      <w:r w:rsidRPr="001A0BAA">
        <w:rPr>
          <w:color w:val="0070C0"/>
          <w:sz w:val="16"/>
          <w:szCs w:val="16"/>
        </w:rPr>
        <w:t>В марте 1945 года два серийных Ту-2 (№1/44 и № 2/44) предъявили на контрольные испытания, которые они не выдержали. Позже, в июне 1946 года, Совет мини</w:t>
      </w:r>
      <w:r w:rsidRPr="001A0BAA">
        <w:rPr>
          <w:color w:val="0070C0"/>
          <w:sz w:val="16"/>
          <w:szCs w:val="16"/>
        </w:rPr>
        <w:softHyphen/>
        <w:t>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2C263FC1" w14:textId="77777777" w:rsidR="0028571C" w:rsidRPr="001A0BAA" w:rsidRDefault="0028571C" w:rsidP="0028571C">
      <w:pPr>
        <w:jc w:val="both"/>
        <w:rPr>
          <w:color w:val="0070C0"/>
          <w:sz w:val="16"/>
          <w:szCs w:val="16"/>
        </w:rPr>
      </w:pPr>
      <w:r w:rsidRPr="001A0BAA">
        <w:rPr>
          <w:color w:val="0070C0"/>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w:t>
      </w:r>
      <w:r w:rsidRPr="001A0BAA">
        <w:rPr>
          <w:color w:val="0070C0"/>
          <w:sz w:val="16"/>
          <w:szCs w:val="16"/>
        </w:rPr>
        <w:softHyphen/>
        <w:t>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кт максимальная скорость на высоте 5460 м достигла 550 км/ч, а время набора 5000 м сократилось до 10,3 минут, потолок составил 9350 м, разбег и пробег - соответственно, 465 и 875 м.</w:t>
      </w:r>
    </w:p>
    <w:p w14:paraId="5268A26F" w14:textId="77777777" w:rsidR="0028571C" w:rsidRPr="001A0BAA" w:rsidRDefault="0028571C" w:rsidP="0028571C">
      <w:pPr>
        <w:jc w:val="both"/>
        <w:rPr>
          <w:color w:val="0070C0"/>
          <w:sz w:val="16"/>
          <w:szCs w:val="16"/>
        </w:rPr>
      </w:pPr>
      <w:r w:rsidRPr="001A0BAA">
        <w:rPr>
          <w:color w:val="0070C0"/>
          <w:sz w:val="16"/>
          <w:szCs w:val="16"/>
        </w:rPr>
        <w:t>В заключении НИИ ВВС по результатам испытаний десяти самолетов отмечалось, в частности:</w:t>
      </w:r>
    </w:p>
    <w:p w14:paraId="132C5591" w14:textId="77777777" w:rsidR="0028571C" w:rsidRPr="001A0BAA" w:rsidRDefault="0028571C" w:rsidP="0028571C">
      <w:pPr>
        <w:jc w:val="both"/>
        <w:rPr>
          <w:color w:val="0070C0"/>
          <w:sz w:val="16"/>
          <w:szCs w:val="16"/>
        </w:rPr>
      </w:pPr>
      <w:r w:rsidRPr="001A0BAA">
        <w:rPr>
          <w:color w:val="0070C0"/>
          <w:sz w:val="16"/>
          <w:szCs w:val="16"/>
        </w:rPr>
        <w:t>«Летные характеристики модифицированных Ту-2 соответствуют техническим условиям на их поставку ВВС.</w:t>
      </w:r>
    </w:p>
    <w:p w14:paraId="26DB5BF7" w14:textId="77777777" w:rsidR="0028571C" w:rsidRPr="001A0BAA" w:rsidRDefault="0028571C" w:rsidP="0028571C">
      <w:pPr>
        <w:jc w:val="both"/>
        <w:rPr>
          <w:color w:val="0070C0"/>
          <w:sz w:val="16"/>
          <w:szCs w:val="16"/>
        </w:rPr>
      </w:pPr>
      <w:r w:rsidRPr="001A0BAA">
        <w:rPr>
          <w:color w:val="0070C0"/>
          <w:sz w:val="16"/>
          <w:szCs w:val="16"/>
        </w:rPr>
        <w:t>Считать необходимым внедрить на всех Ту-2 конструктивные и производственные изменения, выполненные на испытанных 10 самолетах...» (24991).</w:t>
      </w:r>
    </w:p>
    <w:p w14:paraId="4863E6BA" w14:textId="77777777" w:rsidR="0028571C" w:rsidRPr="001A0BAA" w:rsidRDefault="0028571C" w:rsidP="0028571C">
      <w:pPr>
        <w:jc w:val="both"/>
        <w:rPr>
          <w:color w:val="0070C0"/>
          <w:sz w:val="16"/>
          <w:szCs w:val="16"/>
        </w:rPr>
      </w:pPr>
    </w:p>
    <w:p w14:paraId="091BD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закончились совместные испытаний первого Ту-2Т 62Т - низкого торпедоносца под две торпеды, которые проводились с февраля 1945 (4,187).</w:t>
      </w:r>
    </w:p>
    <w:p w14:paraId="0C8FC6CE" w14:textId="77777777" w:rsidR="00665165" w:rsidRPr="00925F26" w:rsidRDefault="00665165" w:rsidP="00925F26">
      <w:pPr>
        <w:autoSpaceDE w:val="0"/>
        <w:autoSpaceDN w:val="0"/>
        <w:adjustRightInd w:val="0"/>
        <w:jc w:val="both"/>
        <w:rPr>
          <w:color w:val="000000" w:themeColor="text1"/>
          <w:sz w:val="16"/>
          <w:szCs w:val="16"/>
        </w:rPr>
      </w:pPr>
    </w:p>
    <w:p w14:paraId="02CA77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два серийных Ту-2 23 завода NN 1/44 и 2/44 не выдержали гос. контрольных испытаний из-за производственных дефектов (1835,32).</w:t>
      </w:r>
    </w:p>
    <w:p w14:paraId="2C4D7E62" w14:textId="77777777" w:rsidR="00665165" w:rsidRPr="00925F26" w:rsidRDefault="00665165" w:rsidP="00925F26">
      <w:pPr>
        <w:autoSpaceDE w:val="0"/>
        <w:autoSpaceDN w:val="0"/>
        <w:adjustRightInd w:val="0"/>
        <w:jc w:val="both"/>
        <w:rPr>
          <w:color w:val="000000" w:themeColor="text1"/>
          <w:sz w:val="16"/>
          <w:szCs w:val="16"/>
        </w:rPr>
      </w:pPr>
    </w:p>
    <w:p w14:paraId="33F64E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и ОКБ А.Н.Т. Н.В.Кирсанов (в будущем - руководитель работ и ГК Ту-142 и его модификаций) предложил модификацию ДД на основе Ту-2 - самолета 62 в скоростной высотный пассажирский самолет, рассчитанный на перевозку 15-20 пассажиров (1835,61).</w:t>
      </w:r>
    </w:p>
    <w:p w14:paraId="0B3E6BA2" w14:textId="77777777" w:rsidR="00665165" w:rsidRPr="00925F26" w:rsidRDefault="00665165" w:rsidP="00925F26">
      <w:pPr>
        <w:autoSpaceDE w:val="0"/>
        <w:autoSpaceDN w:val="0"/>
        <w:adjustRightInd w:val="0"/>
        <w:jc w:val="both"/>
        <w:rPr>
          <w:color w:val="000000" w:themeColor="text1"/>
          <w:sz w:val="16"/>
          <w:szCs w:val="16"/>
        </w:rPr>
      </w:pPr>
    </w:p>
    <w:p w14:paraId="74B3E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358ADB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2B1FEB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НИИ ВВС по результатам испытаний десяти самолетов отмечалось, в частности:</w:t>
      </w:r>
    </w:p>
    <w:p w14:paraId="029EE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характеристики модифицированных Ту-2 соответствуют техническим условиям на их поставку ВВС.</w:t>
      </w:r>
    </w:p>
    <w:p w14:paraId="26329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7D9D45A2" w14:textId="77777777" w:rsidR="00665165" w:rsidRPr="00925F26" w:rsidRDefault="00665165" w:rsidP="00925F26">
      <w:pPr>
        <w:autoSpaceDE w:val="0"/>
        <w:autoSpaceDN w:val="0"/>
        <w:adjustRightInd w:val="0"/>
        <w:jc w:val="both"/>
        <w:rPr>
          <w:color w:val="000000" w:themeColor="text1"/>
          <w:sz w:val="16"/>
          <w:szCs w:val="16"/>
        </w:rPr>
      </w:pPr>
    </w:p>
    <w:p w14:paraId="5F38040F" w14:textId="77777777" w:rsidR="0028571C" w:rsidRPr="001A0BAA" w:rsidRDefault="0028571C" w:rsidP="0028571C">
      <w:pPr>
        <w:jc w:val="both"/>
        <w:rPr>
          <w:color w:val="0070C0"/>
          <w:sz w:val="16"/>
          <w:szCs w:val="16"/>
        </w:rPr>
      </w:pPr>
      <w:r w:rsidRPr="001A0BAA">
        <w:rPr>
          <w:color w:val="0070C0"/>
          <w:sz w:val="16"/>
          <w:szCs w:val="16"/>
        </w:rPr>
        <w:t>В марте 1945 г. был разобран НБ с моторами М-82ФНВ (25035).</w:t>
      </w:r>
    </w:p>
    <w:p w14:paraId="03008B92" w14:textId="77777777" w:rsidR="0028571C" w:rsidRPr="001A0BAA" w:rsidRDefault="0028571C" w:rsidP="0028571C">
      <w:pPr>
        <w:jc w:val="both"/>
        <w:rPr>
          <w:color w:val="0070C0"/>
          <w:sz w:val="16"/>
          <w:szCs w:val="16"/>
        </w:rPr>
      </w:pPr>
    </w:p>
    <w:p w14:paraId="46F70487" w14:textId="77777777" w:rsidR="0028571C" w:rsidRPr="00925F26" w:rsidRDefault="0028571C" w:rsidP="0028571C">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НБ разобрали (10667).</w:t>
      </w:r>
    </w:p>
    <w:p w14:paraId="0D759A7F" w14:textId="77777777" w:rsidR="0028571C" w:rsidRPr="00925F26" w:rsidRDefault="0028571C" w:rsidP="0028571C">
      <w:pPr>
        <w:shd w:val="clear" w:color="auto" w:fill="FFFFFF"/>
        <w:autoSpaceDE w:val="0"/>
        <w:autoSpaceDN w:val="0"/>
        <w:adjustRightInd w:val="0"/>
        <w:jc w:val="both"/>
        <w:rPr>
          <w:color w:val="000000" w:themeColor="text1"/>
          <w:sz w:val="16"/>
          <w:szCs w:val="16"/>
        </w:rPr>
      </w:pPr>
    </w:p>
    <w:p w14:paraId="158540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был выпущен Пе-2 с ВК-107А (4,173).</w:t>
      </w:r>
    </w:p>
    <w:p w14:paraId="3400ABE8" w14:textId="77777777" w:rsidR="00665165" w:rsidRPr="00925F26" w:rsidRDefault="00665165" w:rsidP="00925F26">
      <w:pPr>
        <w:autoSpaceDE w:val="0"/>
        <w:autoSpaceDN w:val="0"/>
        <w:adjustRightInd w:val="0"/>
        <w:jc w:val="both"/>
        <w:rPr>
          <w:color w:val="000000" w:themeColor="text1"/>
          <w:sz w:val="16"/>
          <w:szCs w:val="16"/>
        </w:rPr>
      </w:pPr>
    </w:p>
    <w:p w14:paraId="18CFA6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вместе с заданием прекратить производство Пе-8 и Пе-3 (сохранив оснастку), заводу давались следующие цифры по суточному выпуску Пе-2: 10 - в апреле, 11 - в мае и 12 - в июне. Судя по годовому отчету, эти показатели достигнуты не были. Если в части отправлено всего 2944 машины (из них 135 учебных), то при 324 рабочих днях суточный выпуск в среднем составлял 9 машин. Кстати сказать, годовой тираж Пе-2 более чем в два раза превысил количество потерь в войсках - 1142 за 1944 г. Грозило перепроизводство....</w:t>
      </w:r>
    </w:p>
    <w:p w14:paraId="712A67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Пе-2 и Пе-8, завод впервые отчитался за истребители Пе-3. Запланировано их было отнюдь не мало: еще в июне 1943 г. приказано выпускать по две машины в день. Но кто видел те истребители? Думается, руководство завода было не в восторге от этого задания и всячески «отбояривались» от него. В конце концов, оно получило план на 1944 г. на 55 Пе-3, благополучно его «завалило» его, выпустив 18 машин себестоимостью 280 тысяч рублей, и дождалось приказа о сворачивании этой программы (12049).</w:t>
      </w:r>
    </w:p>
    <w:p w14:paraId="02CCC491" w14:textId="77777777" w:rsidR="00665165" w:rsidRPr="00925F26" w:rsidRDefault="00665165" w:rsidP="00925F26">
      <w:pPr>
        <w:autoSpaceDE w:val="0"/>
        <w:autoSpaceDN w:val="0"/>
        <w:adjustRightInd w:val="0"/>
        <w:jc w:val="both"/>
        <w:rPr>
          <w:color w:val="000000" w:themeColor="text1"/>
          <w:sz w:val="16"/>
          <w:szCs w:val="16"/>
        </w:rPr>
      </w:pPr>
    </w:p>
    <w:p w14:paraId="049D97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и КБ А.Н.Т. Н.В.Кирсанов предложил модификацию 62 путем переделки в высотную скоростную пассажирскую машину на 15-20 чел. (2397,54).</w:t>
      </w:r>
    </w:p>
    <w:p w14:paraId="2CC49677" w14:textId="77777777" w:rsidR="00665165" w:rsidRPr="00925F26" w:rsidRDefault="00665165" w:rsidP="00925F26">
      <w:pPr>
        <w:autoSpaceDE w:val="0"/>
        <w:autoSpaceDN w:val="0"/>
        <w:adjustRightInd w:val="0"/>
        <w:jc w:val="both"/>
        <w:rPr>
          <w:color w:val="000000" w:themeColor="text1"/>
          <w:sz w:val="16"/>
          <w:szCs w:val="16"/>
        </w:rPr>
      </w:pPr>
    </w:p>
    <w:p w14:paraId="0CCD2F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построили первый ЛЛ-143 Г.М.Б. (3827,18).</w:t>
      </w:r>
    </w:p>
    <w:p w14:paraId="3699DD7D" w14:textId="77777777" w:rsidR="00665165" w:rsidRPr="00925F26" w:rsidRDefault="00665165" w:rsidP="00925F26">
      <w:pPr>
        <w:autoSpaceDE w:val="0"/>
        <w:autoSpaceDN w:val="0"/>
        <w:adjustRightInd w:val="0"/>
        <w:jc w:val="both"/>
        <w:rPr>
          <w:color w:val="000000" w:themeColor="text1"/>
          <w:sz w:val="16"/>
          <w:szCs w:val="16"/>
        </w:rPr>
      </w:pPr>
    </w:p>
    <w:p w14:paraId="47D2C795" w14:textId="77777777" w:rsidR="00BA2B8F" w:rsidRPr="00925F26" w:rsidRDefault="00BA2B8F" w:rsidP="00925F26">
      <w:pPr>
        <w:jc w:val="both"/>
        <w:rPr>
          <w:color w:val="000000" w:themeColor="text1"/>
          <w:sz w:val="16"/>
          <w:szCs w:val="16"/>
        </w:rPr>
      </w:pPr>
      <w:r w:rsidRPr="00925F26">
        <w:rPr>
          <w:color w:val="000000" w:themeColor="text1"/>
          <w:sz w:val="16"/>
          <w:szCs w:val="16"/>
        </w:rPr>
        <w:t>В марте 1945 г. в связи с началом проектных работ по ко</w:t>
      </w:r>
      <w:r w:rsidRPr="00925F26">
        <w:rPr>
          <w:color w:val="000000" w:themeColor="text1"/>
          <w:sz w:val="16"/>
          <w:szCs w:val="16"/>
        </w:rPr>
        <w:softHyphen/>
        <w:t>раблю было сформировано тактико-техническое задание для палубных самолетов ВМФ СССР, включающее следу</w:t>
      </w:r>
      <w:r w:rsidRPr="00925F26">
        <w:rPr>
          <w:color w:val="000000" w:themeColor="text1"/>
          <w:sz w:val="16"/>
          <w:szCs w:val="16"/>
        </w:rPr>
        <w:softHyphen/>
        <w:t>ющие типы:</w:t>
      </w:r>
    </w:p>
    <w:p w14:paraId="7C3F8614" w14:textId="77777777" w:rsidR="00BA2B8F" w:rsidRPr="00925F26" w:rsidRDefault="00BA2B8F" w:rsidP="00925F26">
      <w:pPr>
        <w:tabs>
          <w:tab w:val="left" w:pos="423"/>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Многоцелевой палубный самолет для авианосцев ПМ-1 (палубный многоцеле</w:t>
      </w:r>
      <w:r w:rsidRPr="00925F26">
        <w:rPr>
          <w:color w:val="000000" w:themeColor="text1"/>
          <w:sz w:val="16"/>
          <w:szCs w:val="16"/>
        </w:rPr>
        <w:softHyphen/>
        <w:t>вой-1) — многоцелевой торпедоносец-</w:t>
      </w:r>
      <w:proofErr w:type="gramStart"/>
      <w:r w:rsidRPr="00925F26">
        <w:rPr>
          <w:color w:val="000000" w:themeColor="text1"/>
          <w:sz w:val="16"/>
          <w:szCs w:val="16"/>
        </w:rPr>
        <w:t>бом- бардировщик</w:t>
      </w:r>
      <w:proofErr w:type="gramEnd"/>
      <w:r w:rsidRPr="00925F26">
        <w:rPr>
          <w:color w:val="000000" w:themeColor="text1"/>
          <w:sz w:val="16"/>
          <w:szCs w:val="16"/>
        </w:rPr>
        <w:t>-разведчик, экипаж 2 человека.</w:t>
      </w:r>
    </w:p>
    <w:p w14:paraId="2C079D23" w14:textId="77777777" w:rsidR="00BA2B8F" w:rsidRPr="00925F26" w:rsidRDefault="00BA2B8F" w:rsidP="00925F26">
      <w:pPr>
        <w:tabs>
          <w:tab w:val="left" w:pos="394"/>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Палубный истребитель сопровождения ПИС-145, одномоторный, одноместный, с низким расположением крыла.</w:t>
      </w:r>
    </w:p>
    <w:p w14:paraId="3B240289" w14:textId="77777777" w:rsidR="00BA2B8F" w:rsidRPr="00925F26" w:rsidRDefault="00BA2B8F" w:rsidP="00925F26">
      <w:pPr>
        <w:tabs>
          <w:tab w:val="left" w:pos="391"/>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Геликоптер для авианосцев и кораблей флота Г-145.</w:t>
      </w:r>
    </w:p>
    <w:p w14:paraId="6F820BCC" w14:textId="77777777" w:rsidR="00BA2B8F" w:rsidRPr="00925F26" w:rsidRDefault="00BA2B8F" w:rsidP="00925F26">
      <w:pPr>
        <w:tabs>
          <w:tab w:val="left" w:pos="376"/>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Корабельная летающая лодка для авиа</w:t>
      </w:r>
      <w:r w:rsidRPr="00925F26">
        <w:rPr>
          <w:color w:val="000000" w:themeColor="text1"/>
          <w:sz w:val="16"/>
          <w:szCs w:val="16"/>
        </w:rPr>
        <w:softHyphen/>
        <w:t>носцев и кораблей флота КЛ-145.</w:t>
      </w:r>
    </w:p>
    <w:p w14:paraId="6B0B7CA1" w14:textId="77777777" w:rsidR="00BA2B8F" w:rsidRPr="00925F26" w:rsidRDefault="00BA2B8F" w:rsidP="00925F26">
      <w:pPr>
        <w:jc w:val="both"/>
        <w:rPr>
          <w:color w:val="000000" w:themeColor="text1"/>
          <w:sz w:val="16"/>
          <w:szCs w:val="16"/>
        </w:rPr>
      </w:pPr>
      <w:r w:rsidRPr="00925F26">
        <w:rPr>
          <w:rStyle w:val="12pt"/>
          <w:color w:val="000000" w:themeColor="text1"/>
          <w:spacing w:val="0"/>
          <w:sz w:val="16"/>
          <w:szCs w:val="16"/>
        </w:rPr>
        <w:t>Известно,</w:t>
      </w:r>
      <w:r w:rsidRPr="00925F26">
        <w:rPr>
          <w:color w:val="000000" w:themeColor="text1"/>
          <w:sz w:val="16"/>
          <w:szCs w:val="16"/>
        </w:rPr>
        <w:t xml:space="preserve"> что проектирование самолетов в соответствии с указанным техническим зада</w:t>
      </w:r>
      <w:r w:rsidRPr="00925F26">
        <w:rPr>
          <w:color w:val="000000" w:themeColor="text1"/>
          <w:sz w:val="16"/>
          <w:szCs w:val="16"/>
        </w:rPr>
        <w:softHyphen/>
        <w:t>нием не было развернуто, т.к. строительство авианосцев опять отложили до лучших вре</w:t>
      </w:r>
      <w:r w:rsidRPr="00925F26">
        <w:rPr>
          <w:color w:val="000000" w:themeColor="text1"/>
          <w:sz w:val="16"/>
          <w:szCs w:val="16"/>
        </w:rPr>
        <w:softHyphen/>
        <w:t>мен. Однако некоторое продвижение в ука</w:t>
      </w:r>
      <w:r w:rsidRPr="00925F26">
        <w:rPr>
          <w:color w:val="000000" w:themeColor="text1"/>
          <w:sz w:val="16"/>
          <w:szCs w:val="16"/>
        </w:rPr>
        <w:softHyphen/>
        <w:t>занном направлении произошло. В частно</w:t>
      </w:r>
      <w:r w:rsidRPr="00925F26">
        <w:rPr>
          <w:color w:val="000000" w:themeColor="text1"/>
          <w:sz w:val="16"/>
          <w:szCs w:val="16"/>
        </w:rPr>
        <w:softHyphen/>
        <w:t>сти, предварительную проработку самолетов для авианосцев на заводе №458 провел кон</w:t>
      </w:r>
      <w:r w:rsidRPr="00925F26">
        <w:rPr>
          <w:color w:val="000000" w:themeColor="text1"/>
          <w:sz w:val="16"/>
          <w:szCs w:val="16"/>
        </w:rPr>
        <w:softHyphen/>
        <w:t>структор И.В.Четвериков. Начинал он с про</w:t>
      </w:r>
      <w:r w:rsidRPr="00925F26">
        <w:rPr>
          <w:color w:val="000000" w:themeColor="text1"/>
          <w:sz w:val="16"/>
          <w:szCs w:val="16"/>
        </w:rPr>
        <w:softHyphen/>
        <w:t>екта установки самолета Як-9ПД на ката</w:t>
      </w:r>
      <w:r w:rsidRPr="00925F26">
        <w:rPr>
          <w:color w:val="000000" w:themeColor="text1"/>
          <w:sz w:val="16"/>
          <w:szCs w:val="16"/>
        </w:rPr>
        <w:softHyphen/>
        <w:t>пульту, стоящую на действующих крейсерах. Затем были разработаны проекты одномо</w:t>
      </w:r>
      <w:r w:rsidRPr="00925F26">
        <w:rPr>
          <w:color w:val="000000" w:themeColor="text1"/>
          <w:sz w:val="16"/>
          <w:szCs w:val="16"/>
        </w:rPr>
        <w:softHyphen/>
        <w:t>торного палубного торпедоносца ПТ1-М82, далее ПТМ с двигателем М-71 (размах кры</w:t>
      </w:r>
      <w:r w:rsidRPr="00925F26">
        <w:rPr>
          <w:color w:val="000000" w:themeColor="text1"/>
          <w:sz w:val="16"/>
          <w:szCs w:val="16"/>
        </w:rPr>
        <w:softHyphen/>
        <w:t>ла 14,0 м, длина 12,3 м) и двухмоторного па</w:t>
      </w:r>
      <w:r w:rsidRPr="00925F26">
        <w:rPr>
          <w:color w:val="000000" w:themeColor="text1"/>
          <w:sz w:val="16"/>
          <w:szCs w:val="16"/>
        </w:rPr>
        <w:softHyphen/>
        <w:t>лубного торпедоносца ПТ-82 с двигателями АШ-82 (размах крыла 18,5 м, длина 14,9 м). Далее разработки самолетов для предполага</w:t>
      </w:r>
      <w:r w:rsidRPr="00925F26">
        <w:rPr>
          <w:color w:val="000000" w:themeColor="text1"/>
          <w:sz w:val="16"/>
          <w:szCs w:val="16"/>
        </w:rPr>
        <w:softHyphen/>
        <w:t>емых авианесущих кораблей на длительное время прекратились (12301).</w:t>
      </w:r>
    </w:p>
    <w:p w14:paraId="32B91F81" w14:textId="77777777" w:rsidR="00BA2B8F" w:rsidRPr="00925F26" w:rsidRDefault="00BA2B8F" w:rsidP="00925F26">
      <w:pPr>
        <w:jc w:val="both"/>
        <w:rPr>
          <w:color w:val="000000" w:themeColor="text1"/>
          <w:sz w:val="16"/>
          <w:szCs w:val="16"/>
        </w:rPr>
      </w:pPr>
    </w:p>
    <w:p w14:paraId="02FA6AD0" w14:textId="77777777" w:rsidR="00546AC2" w:rsidRPr="00925F26" w:rsidRDefault="00546AC2" w:rsidP="00925F26">
      <w:pPr>
        <w:jc w:val="both"/>
        <w:rPr>
          <w:color w:val="000000" w:themeColor="text1"/>
          <w:sz w:val="16"/>
          <w:szCs w:val="16"/>
        </w:rPr>
      </w:pPr>
      <w:r w:rsidRPr="00925F26">
        <w:rPr>
          <w:color w:val="000000" w:themeColor="text1"/>
          <w:sz w:val="16"/>
          <w:szCs w:val="16"/>
        </w:rPr>
        <w:t>В марте 1945 конструкто</w:t>
      </w:r>
      <w:r w:rsidRPr="00925F26">
        <w:rPr>
          <w:color w:val="000000" w:themeColor="text1"/>
          <w:sz w:val="16"/>
          <w:szCs w:val="16"/>
        </w:rPr>
        <w:softHyphen/>
        <w:t>ры ОКБ МИГ приступили к проектированию основ</w:t>
      </w:r>
      <w:r w:rsidRPr="00925F26">
        <w:rPr>
          <w:color w:val="000000" w:themeColor="text1"/>
          <w:sz w:val="16"/>
          <w:szCs w:val="16"/>
        </w:rPr>
        <w:softHyphen/>
        <w:t>ных агрегатов: фюзеля</w:t>
      </w:r>
      <w:r w:rsidRPr="00925F26">
        <w:rPr>
          <w:color w:val="000000" w:themeColor="text1"/>
          <w:sz w:val="16"/>
          <w:szCs w:val="16"/>
        </w:rPr>
        <w:softHyphen/>
        <w:t>жа, крыла, шасси и т.д. самолета Утка. Работу распределили между конструкторами, наметив и согласовав с каждым сроки. В свою очередь перед расчёт</w:t>
      </w:r>
      <w:r w:rsidRPr="00925F26">
        <w:rPr>
          <w:color w:val="000000" w:themeColor="text1"/>
          <w:sz w:val="16"/>
          <w:szCs w:val="16"/>
        </w:rPr>
        <w:softHyphen/>
        <w:t>ной бригадой постави</w:t>
      </w:r>
      <w:r w:rsidRPr="00925F26">
        <w:rPr>
          <w:color w:val="000000" w:themeColor="text1"/>
          <w:sz w:val="16"/>
          <w:szCs w:val="16"/>
        </w:rPr>
        <w:softHyphen/>
        <w:t>ли задачу обеспечить конструкторов консуль</w:t>
      </w:r>
      <w:r w:rsidRPr="00925F26">
        <w:rPr>
          <w:color w:val="000000" w:themeColor="text1"/>
          <w:sz w:val="16"/>
          <w:szCs w:val="16"/>
        </w:rPr>
        <w:softHyphen/>
        <w:t>тациями по вопросам прочности, чтобы не за</w:t>
      </w:r>
      <w:r w:rsidRPr="00925F26">
        <w:rPr>
          <w:color w:val="000000" w:themeColor="text1"/>
          <w:sz w:val="16"/>
          <w:szCs w:val="16"/>
        </w:rPr>
        <w:softHyphen/>
        <w:t>держивать выпуск чертежей. Окончание проектных работ запланировали на 31 мая, а на апрель наметили выпус рабочих чертежей фюзеляжа и крыла (15848).</w:t>
      </w:r>
    </w:p>
    <w:p w14:paraId="5BE063F6" w14:textId="77777777" w:rsidR="00546AC2" w:rsidRPr="00925F26" w:rsidRDefault="00546AC2" w:rsidP="00925F26">
      <w:pPr>
        <w:jc w:val="both"/>
        <w:rPr>
          <w:color w:val="000000" w:themeColor="text1"/>
          <w:sz w:val="16"/>
          <w:szCs w:val="16"/>
        </w:rPr>
      </w:pPr>
    </w:p>
    <w:p w14:paraId="42F7BED4" w14:textId="77777777" w:rsidR="00EE5230" w:rsidRPr="00925F26" w:rsidRDefault="00EE5230" w:rsidP="00925F26">
      <w:pPr>
        <w:jc w:val="both"/>
        <w:rPr>
          <w:color w:val="000000" w:themeColor="text1"/>
          <w:sz w:val="16"/>
          <w:szCs w:val="16"/>
        </w:rPr>
      </w:pPr>
      <w:r w:rsidRPr="00925F26">
        <w:rPr>
          <w:color w:val="000000" w:themeColor="text1"/>
          <w:sz w:val="16"/>
          <w:szCs w:val="16"/>
        </w:rPr>
        <w:t>В марте 1945 г. наши представи</w:t>
      </w:r>
      <w:r w:rsidRPr="00925F26">
        <w:rPr>
          <w:color w:val="000000" w:themeColor="text1"/>
          <w:sz w:val="16"/>
          <w:szCs w:val="16"/>
        </w:rPr>
        <w:softHyphen/>
        <w:t>тели в США запросили сразу 600 АТ-6. Американцы согласились дать 225. Теперь «Тексаны» отправляли в собранном виде через Аляску. Все они были модификацией AT-6F, на которой вернулись к исходному планеру полностью из легких сплавов.</w:t>
      </w:r>
    </w:p>
    <w:p w14:paraId="3560A9F3" w14:textId="77777777" w:rsidR="00EE5230" w:rsidRPr="00925F26" w:rsidRDefault="00EE5230" w:rsidP="00925F26">
      <w:pPr>
        <w:jc w:val="both"/>
        <w:rPr>
          <w:color w:val="000000" w:themeColor="text1"/>
          <w:sz w:val="16"/>
          <w:szCs w:val="16"/>
        </w:rPr>
      </w:pPr>
      <w:r w:rsidRPr="00925F26">
        <w:rPr>
          <w:color w:val="000000" w:themeColor="text1"/>
          <w:sz w:val="16"/>
          <w:szCs w:val="16"/>
        </w:rPr>
        <w:t>Первые AT-6F пошли по трассе в июне. Самолеты перегонялись партиями по во</w:t>
      </w:r>
      <w:r w:rsidRPr="00925F26">
        <w:rPr>
          <w:color w:val="000000" w:themeColor="text1"/>
          <w:sz w:val="16"/>
          <w:szCs w:val="16"/>
        </w:rPr>
        <w:softHyphen/>
        <w:t>семь — десять штук без обычного в таких случаях лидирования, поскольку по крей</w:t>
      </w:r>
      <w:r w:rsidRPr="00925F26">
        <w:rPr>
          <w:color w:val="000000" w:themeColor="text1"/>
          <w:sz w:val="16"/>
          <w:szCs w:val="16"/>
        </w:rPr>
        <w:softHyphen/>
        <w:t>серской скорости «Тексан» значительно уступал использовавшимся на АЛСИБе в качестве лидеров А-20, В-25 или С-47. Поскольку потолок у AT-6F был невелик, то по обычному маршруту через Верхоянский хребет их пустить не могли. Поэтому лете</w:t>
      </w:r>
      <w:r w:rsidRPr="00925F26">
        <w:rPr>
          <w:color w:val="000000" w:themeColor="text1"/>
          <w:sz w:val="16"/>
          <w:szCs w:val="16"/>
        </w:rPr>
        <w:softHyphen/>
        <w:t>ли этапами до Сеймчана (причем прихо</w:t>
      </w:r>
      <w:r w:rsidRPr="00925F26">
        <w:rPr>
          <w:color w:val="000000" w:themeColor="text1"/>
          <w:sz w:val="16"/>
          <w:szCs w:val="16"/>
        </w:rPr>
        <w:softHyphen/>
        <w:t>дилось садиться на дозаправку в Омолоне, поскольку запаса горючего не хватало), затем шли на Оймякон, а оттуда в Якутск. Последняя группа «Лексанов» вылетела из Фэрбенкса в середине июля и уже к началу августа 1945 г. достигла Красноярска.</w:t>
      </w:r>
    </w:p>
    <w:p w14:paraId="5864AE6F" w14:textId="77777777" w:rsidR="00EE5230" w:rsidRPr="00925F26" w:rsidRDefault="00EE5230" w:rsidP="00925F26">
      <w:pPr>
        <w:jc w:val="both"/>
        <w:rPr>
          <w:color w:val="000000" w:themeColor="text1"/>
          <w:sz w:val="16"/>
          <w:szCs w:val="16"/>
        </w:rPr>
      </w:pPr>
      <w:r w:rsidRPr="00925F26">
        <w:rPr>
          <w:color w:val="000000" w:themeColor="text1"/>
          <w:sz w:val="16"/>
          <w:szCs w:val="16"/>
        </w:rPr>
        <w:t>Всего до завершения поставок по ленд- лизу советской стороне сдали 54 AT-6F. Все они благополучно прошли по трассе. 20 августа «Тексаны» участвовали в воз</w:t>
      </w:r>
      <w:r w:rsidRPr="00925F26">
        <w:rPr>
          <w:color w:val="000000" w:themeColor="text1"/>
          <w:sz w:val="16"/>
          <w:szCs w:val="16"/>
        </w:rPr>
        <w:softHyphen/>
        <w:t>душном празднике в Якутске: пара машин демонстрировала высший пилотаж.</w:t>
      </w:r>
    </w:p>
    <w:p w14:paraId="2984CC64" w14:textId="77777777" w:rsidR="00EE5230" w:rsidRPr="00925F26" w:rsidRDefault="00EE5230" w:rsidP="00925F26">
      <w:pPr>
        <w:jc w:val="both"/>
        <w:rPr>
          <w:color w:val="000000" w:themeColor="text1"/>
          <w:sz w:val="16"/>
          <w:szCs w:val="16"/>
        </w:rPr>
      </w:pPr>
      <w:r w:rsidRPr="00925F26">
        <w:rPr>
          <w:color w:val="000000" w:themeColor="text1"/>
          <w:sz w:val="16"/>
          <w:szCs w:val="16"/>
        </w:rPr>
        <w:t>АТ-6 распределили в основном между запасными бригадами и полками, зани</w:t>
      </w:r>
      <w:r w:rsidRPr="00925F26">
        <w:rPr>
          <w:color w:val="000000" w:themeColor="text1"/>
          <w:sz w:val="16"/>
          <w:szCs w:val="16"/>
        </w:rPr>
        <w:softHyphen/>
        <w:t>мавшимися переучиванием на импорт</w:t>
      </w:r>
      <w:r w:rsidRPr="00925F26">
        <w:rPr>
          <w:color w:val="000000" w:themeColor="text1"/>
          <w:sz w:val="16"/>
          <w:szCs w:val="16"/>
        </w:rPr>
        <w:softHyphen/>
        <w:t>ную технику, а также отправляли в летные училища. Первыми их начали осваивать в 4-й заб, затем они поступили в 6-ю заб. Остальные самолеты попали в другие ме</w:t>
      </w:r>
      <w:r w:rsidRPr="00925F26">
        <w:rPr>
          <w:color w:val="000000" w:themeColor="text1"/>
          <w:sz w:val="16"/>
          <w:szCs w:val="16"/>
        </w:rPr>
        <w:softHyphen/>
        <w:t>ста, в том числе поединично — в строе</w:t>
      </w:r>
      <w:r w:rsidRPr="00925F26">
        <w:rPr>
          <w:color w:val="000000" w:themeColor="text1"/>
          <w:sz w:val="16"/>
          <w:szCs w:val="16"/>
        </w:rPr>
        <w:softHyphen/>
        <w:t>вые истребительные полки. Три АТ-6С значились с апреля 1944 г. за 396-м пол</w:t>
      </w:r>
      <w:r w:rsidRPr="00925F26">
        <w:rPr>
          <w:color w:val="000000" w:themeColor="text1"/>
          <w:sz w:val="16"/>
          <w:szCs w:val="16"/>
        </w:rPr>
        <w:softHyphen/>
        <w:t>ком особого назначения, к декабрю к ним добавился четвертый. В мае одна из этих машин демонстрировалась на выставке, организованной для работников военного отдела ЦК ВКП(б). В 1945 г. один АТ-6 из 4-й эскадрильи 396-го полка был разбит в аварии и списан (23513).</w:t>
      </w:r>
    </w:p>
    <w:p w14:paraId="66A1D9AA" w14:textId="77777777" w:rsidR="00EE5230" w:rsidRPr="00925F26" w:rsidRDefault="00EE5230" w:rsidP="00925F26">
      <w:pPr>
        <w:jc w:val="both"/>
        <w:rPr>
          <w:color w:val="000000" w:themeColor="text1"/>
          <w:sz w:val="16"/>
          <w:szCs w:val="16"/>
        </w:rPr>
      </w:pPr>
    </w:p>
    <w:p w14:paraId="7F17E36B" w14:textId="77777777" w:rsidR="0028571C" w:rsidRPr="001A0BAA" w:rsidRDefault="0028571C" w:rsidP="0028571C">
      <w:pPr>
        <w:jc w:val="both"/>
        <w:rPr>
          <w:color w:val="0070C0"/>
          <w:sz w:val="16"/>
          <w:szCs w:val="16"/>
        </w:rPr>
      </w:pPr>
      <w:r w:rsidRPr="001A0BAA">
        <w:rPr>
          <w:color w:val="0070C0"/>
          <w:sz w:val="16"/>
          <w:szCs w:val="16"/>
        </w:rPr>
        <w:t>В марте 1945-го Советский Союз запросил в Америке (а все «Тексаны» поступали только оттуда) еще 600 АТ-6 и, кроме того, 500 двухмоторных учебных AT-11. Планировалось, что последние пригодятся не только для обучения пилотов бомбардировщиков, но и для подготовки штурманов импортных самолетов. Ведь по результатам испытаний АТ-6С в НИИ ВВС штурман капитан Горбунов, отметив удобное размещение оборудования и хороший обзор, тем не менее в отчете написал: «Самолет «Тексан» не может быть использован для обучения и тренировки штурманов из-за отсутствия: а) бомбардировочного прицела и бомбосбрасывателя в кабине штурмана; б) необходимого оборудования для отработки навигационных элементов полета; в) радиополукомпаса, который нужен для обучения слепому самолетовождению».</w:t>
      </w:r>
    </w:p>
    <w:p w14:paraId="527C86AB" w14:textId="77777777" w:rsidR="0028571C" w:rsidRPr="001A0BAA" w:rsidRDefault="0028571C" w:rsidP="0028571C">
      <w:pPr>
        <w:jc w:val="both"/>
        <w:rPr>
          <w:color w:val="0070C0"/>
          <w:sz w:val="16"/>
          <w:szCs w:val="16"/>
        </w:rPr>
      </w:pPr>
      <w:r w:rsidRPr="001A0BAA">
        <w:rPr>
          <w:color w:val="0070C0"/>
          <w:sz w:val="16"/>
          <w:szCs w:val="16"/>
        </w:rPr>
        <w:t>Однако «мартовский» запрос советского правительства остался неудовлетворенным. Ни одного АТ-11 не поставили в нашу страну, а машин АТ-6 прибыло всего 55.</w:t>
      </w:r>
    </w:p>
    <w:p w14:paraId="0E471F46" w14:textId="77777777" w:rsidR="0028571C" w:rsidRPr="001A0BAA" w:rsidRDefault="0028571C" w:rsidP="0028571C">
      <w:pPr>
        <w:jc w:val="both"/>
        <w:rPr>
          <w:color w:val="0070C0"/>
          <w:sz w:val="16"/>
          <w:szCs w:val="16"/>
        </w:rPr>
      </w:pPr>
      <w:r w:rsidRPr="001A0BAA">
        <w:rPr>
          <w:color w:val="0070C0"/>
          <w:sz w:val="16"/>
          <w:szCs w:val="16"/>
        </w:rPr>
        <w:t>Последнюю партию «Тексанов» перегоняли по северной трассе через Аляску. Таким образом, самолеты этого типа поступали в Советский Союз тремя путями: через восточную, южную и северную трассы. Путь от Фэрбенса до Красноярска оказался достаточно трудным для учебно-тренировочного самолета.</w:t>
      </w:r>
    </w:p>
    <w:p w14:paraId="5987690A" w14:textId="77777777" w:rsidR="0028571C" w:rsidRPr="001A0BAA" w:rsidRDefault="0028571C" w:rsidP="0028571C">
      <w:pPr>
        <w:jc w:val="both"/>
        <w:rPr>
          <w:color w:val="0070C0"/>
          <w:sz w:val="16"/>
          <w:szCs w:val="16"/>
        </w:rPr>
      </w:pPr>
      <w:r w:rsidRPr="001A0BAA">
        <w:rPr>
          <w:color w:val="0070C0"/>
          <w:sz w:val="16"/>
          <w:szCs w:val="16"/>
        </w:rPr>
        <w:t>Ветераны 1-й перегоночной авиадивизии, в том числе бывший летчик П. Гамов, вспоминали, что «Тексаны» перегонялись партиями по 8—10 машин без лидирования со стороны «Бостонов» или «Митчеллов» из-за разницы в скоростях. До Марково самолеты летели по обычному маршруту и, делая промежуточную посадку в Омолоне, достигали Сеймчана. Из-за малой высотности моторов было трудно преодолеть даже такие небольшие возвышенности, как Верхоянский хребет. Поэтому путь по маршруту Сеймчан—Оймякон—Якутск проходил через водораздел хребтов Джугджур и Верхоянского (25354).</w:t>
      </w:r>
    </w:p>
    <w:p w14:paraId="3AD58FB5" w14:textId="77777777" w:rsidR="0028571C" w:rsidRPr="001A0BAA" w:rsidRDefault="0028571C" w:rsidP="0028571C">
      <w:pPr>
        <w:jc w:val="both"/>
        <w:rPr>
          <w:color w:val="0070C0"/>
          <w:sz w:val="16"/>
          <w:szCs w:val="16"/>
        </w:rPr>
      </w:pPr>
    </w:p>
    <w:p w14:paraId="2DF6DBE3" w14:textId="77777777" w:rsidR="0028571C" w:rsidRPr="001A0BAA" w:rsidRDefault="0028571C" w:rsidP="0028571C">
      <w:pPr>
        <w:jc w:val="both"/>
        <w:rPr>
          <w:color w:val="0070C0"/>
          <w:sz w:val="16"/>
          <w:szCs w:val="16"/>
        </w:rPr>
      </w:pPr>
      <w:r w:rsidRPr="001A0BAA">
        <w:rPr>
          <w:rStyle w:val="114"/>
          <w:rFonts w:ascii="Times New Roman" w:eastAsia="Trebuchet MS" w:hAnsi="Times New Roman"/>
          <w:color w:val="0070C0"/>
          <w:sz w:val="16"/>
          <w:szCs w:val="16"/>
        </w:rPr>
        <w:t xml:space="preserve">В марте </w:t>
      </w:r>
      <w:r w:rsidRPr="001A0BAA">
        <w:rPr>
          <w:rStyle w:val="114"/>
          <w:rFonts w:ascii="Times New Roman" w:eastAsia="Trebuchet MS" w:hAnsi="Times New Roman"/>
          <w:color w:val="0070C0"/>
          <w:sz w:val="16"/>
          <w:szCs w:val="16"/>
          <w:lang w:val="en-US"/>
        </w:rPr>
        <w:t>l</w:t>
      </w:r>
      <w:r w:rsidRPr="001A0BAA">
        <w:rPr>
          <w:rStyle w:val="114"/>
          <w:rFonts w:ascii="Times New Roman" w:eastAsia="Trebuchet MS" w:hAnsi="Times New Roman"/>
          <w:color w:val="0070C0"/>
          <w:sz w:val="16"/>
          <w:szCs w:val="16"/>
        </w:rPr>
        <w:t>945 года летчик люфтваффе Хель</w:t>
      </w:r>
      <w:r w:rsidRPr="001A0BAA">
        <w:rPr>
          <w:rStyle w:val="114"/>
          <w:rFonts w:ascii="Times New Roman" w:eastAsia="Trebuchet MS" w:hAnsi="Times New Roman"/>
          <w:color w:val="0070C0"/>
          <w:sz w:val="16"/>
          <w:szCs w:val="16"/>
        </w:rPr>
        <w:softHyphen/>
        <w:t xml:space="preserve">мут Леннартц из </w:t>
      </w:r>
      <w:r w:rsidRPr="001A0BAA">
        <w:rPr>
          <w:rStyle w:val="114"/>
          <w:rFonts w:ascii="Times New Roman" w:eastAsia="Trebuchet MS" w:hAnsi="Times New Roman"/>
          <w:color w:val="0070C0"/>
          <w:sz w:val="16"/>
          <w:szCs w:val="16"/>
          <w:lang w:val="en-US"/>
        </w:rPr>
        <w:t>JG</w:t>
      </w:r>
      <w:r w:rsidRPr="001A0BAA">
        <w:rPr>
          <w:rStyle w:val="114"/>
          <w:rFonts w:ascii="Times New Roman" w:eastAsia="Trebuchet MS" w:hAnsi="Times New Roman"/>
          <w:color w:val="0070C0"/>
          <w:sz w:val="16"/>
          <w:szCs w:val="16"/>
        </w:rPr>
        <w:t xml:space="preserve"> 7 совершил вынужден</w:t>
      </w:r>
      <w:r w:rsidRPr="001A0BAA">
        <w:rPr>
          <w:rStyle w:val="114"/>
          <w:rFonts w:ascii="Times New Roman" w:eastAsia="Trebuchet MS" w:hAnsi="Times New Roman"/>
          <w:color w:val="0070C0"/>
          <w:sz w:val="16"/>
          <w:szCs w:val="16"/>
        </w:rPr>
        <w:softHyphen/>
        <w:t>ную посадку на территории, контролируе</w:t>
      </w:r>
      <w:r w:rsidRPr="001A0BAA">
        <w:rPr>
          <w:rStyle w:val="114"/>
          <w:rFonts w:ascii="Times New Roman" w:eastAsia="Trebuchet MS" w:hAnsi="Times New Roman"/>
          <w:color w:val="0070C0"/>
          <w:sz w:val="16"/>
          <w:szCs w:val="16"/>
        </w:rPr>
        <w:softHyphen/>
        <w:t>мой советскими войсками. Это бы первый экземпляр самолета, попавший в руки на</w:t>
      </w:r>
      <w:r w:rsidRPr="001A0BAA">
        <w:rPr>
          <w:rStyle w:val="114"/>
          <w:rFonts w:ascii="Times New Roman" w:eastAsia="Trebuchet MS" w:hAnsi="Times New Roman"/>
          <w:color w:val="0070C0"/>
          <w:sz w:val="16"/>
          <w:szCs w:val="16"/>
        </w:rPr>
        <w:softHyphen/>
        <w:t>ших специалистов с незначительными по</w:t>
      </w:r>
      <w:r w:rsidRPr="001A0BAA">
        <w:rPr>
          <w:rStyle w:val="114"/>
          <w:rFonts w:ascii="Times New Roman" w:eastAsia="Trebuchet MS" w:hAnsi="Times New Roman"/>
          <w:color w:val="0070C0"/>
          <w:sz w:val="16"/>
          <w:szCs w:val="16"/>
        </w:rPr>
        <w:softHyphen/>
        <w:t>вреждениями. Вслед за этим на аэродромах Ораниенбург, Далгов и</w:t>
      </w:r>
      <w:r w:rsidRPr="001A0BAA">
        <w:rPr>
          <w:rStyle w:val="114"/>
          <w:rFonts w:ascii="Times New Roman" w:eastAsia="Trebuchet MS" w:hAnsi="Times New Roman"/>
          <w:b/>
          <w:bCs/>
          <w:color w:val="0070C0"/>
          <w:sz w:val="16"/>
          <w:szCs w:val="16"/>
        </w:rPr>
        <w:t xml:space="preserve"> </w:t>
      </w:r>
      <w:r w:rsidRPr="001A0BAA">
        <w:rPr>
          <w:rStyle w:val="114"/>
          <w:rFonts w:ascii="Times New Roman" w:eastAsia="Trebuchet MS" w:hAnsi="Times New Roman"/>
          <w:color w:val="0070C0"/>
          <w:sz w:val="16"/>
          <w:szCs w:val="16"/>
        </w:rPr>
        <w:t>Темпельхоф было об</w:t>
      </w:r>
      <w:r w:rsidRPr="001A0BAA">
        <w:rPr>
          <w:rStyle w:val="114"/>
          <w:rFonts w:ascii="Times New Roman" w:eastAsia="Trebuchet MS" w:hAnsi="Times New Roman"/>
          <w:color w:val="0070C0"/>
          <w:sz w:val="16"/>
          <w:szCs w:val="16"/>
        </w:rPr>
        <w:softHyphen/>
        <w:t xml:space="preserve">наружено большое количество реактивных истребителей Ме.262 и </w:t>
      </w:r>
      <w:r w:rsidRPr="001A0BAA">
        <w:rPr>
          <w:rStyle w:val="114"/>
          <w:rFonts w:ascii="Times New Roman" w:eastAsia="Trebuchet MS" w:hAnsi="Times New Roman"/>
          <w:color w:val="0070C0"/>
          <w:sz w:val="16"/>
          <w:szCs w:val="16"/>
          <w:lang w:val="en-US"/>
        </w:rPr>
        <w:t>Me</w:t>
      </w:r>
      <w:r w:rsidRPr="001A0BAA">
        <w:rPr>
          <w:rStyle w:val="114"/>
          <w:rFonts w:ascii="Times New Roman" w:eastAsia="Trebuchet MS" w:hAnsi="Times New Roman"/>
          <w:color w:val="0070C0"/>
          <w:sz w:val="16"/>
          <w:szCs w:val="16"/>
        </w:rPr>
        <w:t xml:space="preserve">. </w:t>
      </w:r>
      <w:r w:rsidRPr="001A0BAA">
        <w:rPr>
          <w:rStyle w:val="114"/>
          <w:rFonts w:ascii="Times New Roman" w:eastAsia="Trebuchet MS" w:hAnsi="Times New Roman"/>
          <w:color w:val="0070C0"/>
          <w:sz w:val="16"/>
          <w:szCs w:val="16"/>
          <w:lang w:val="en-US"/>
        </w:rPr>
        <w:t>l</w:t>
      </w:r>
      <w:r w:rsidRPr="001A0BAA">
        <w:rPr>
          <w:rStyle w:val="114"/>
          <w:rFonts w:ascii="Times New Roman" w:eastAsia="Trebuchet MS" w:hAnsi="Times New Roman"/>
          <w:color w:val="0070C0"/>
          <w:sz w:val="16"/>
          <w:szCs w:val="16"/>
        </w:rPr>
        <w:t>63 с ЖРД и дви</w:t>
      </w:r>
      <w:r w:rsidRPr="001A0BAA">
        <w:rPr>
          <w:rStyle w:val="114"/>
          <w:rFonts w:ascii="Times New Roman" w:eastAsia="Trebuchet MS" w:hAnsi="Times New Roman"/>
          <w:color w:val="0070C0"/>
          <w:sz w:val="16"/>
          <w:szCs w:val="16"/>
        </w:rPr>
        <w:softHyphen/>
        <w:t>гателей к ним (25113).</w:t>
      </w:r>
    </w:p>
    <w:p w14:paraId="725E51BA" w14:textId="77777777" w:rsidR="0028571C" w:rsidRPr="001A0BAA" w:rsidRDefault="0028571C" w:rsidP="0028571C">
      <w:pPr>
        <w:jc w:val="both"/>
        <w:rPr>
          <w:color w:val="0070C0"/>
          <w:sz w:val="16"/>
          <w:szCs w:val="16"/>
        </w:rPr>
      </w:pPr>
    </w:p>
    <w:p w14:paraId="302D32DC" w14:textId="77777777" w:rsidR="0028571C" w:rsidRPr="00925F26" w:rsidRDefault="0028571C" w:rsidP="0028571C">
      <w:pPr>
        <w:pStyle w:val="ae"/>
        <w:spacing w:before="0" w:after="0"/>
        <w:jc w:val="both"/>
        <w:textAlignment w:val="top"/>
        <w:rPr>
          <w:color w:val="000000" w:themeColor="text1"/>
          <w:sz w:val="16"/>
          <w:szCs w:val="16"/>
        </w:rPr>
      </w:pPr>
      <w:r w:rsidRPr="00925F26">
        <w:rPr>
          <w:color w:val="000000" w:themeColor="text1"/>
          <w:sz w:val="16"/>
          <w:szCs w:val="16"/>
        </w:rPr>
        <w:t>В марте месяце 1945 заместитель наркома авиационной промышленности П.В. Дементьев, получив первые результаты летных испытаний трофейного истребителя Ме-262, направил заместителю председателя СНК Г.М.Маленкову письмо где, в частности, говорилось:</w:t>
      </w:r>
    </w:p>
    <w:p w14:paraId="5104F637" w14:textId="77777777" w:rsidR="0028571C" w:rsidRPr="00925F26" w:rsidRDefault="0028571C" w:rsidP="0028571C">
      <w:pPr>
        <w:pStyle w:val="ri"/>
        <w:spacing w:before="0" w:beforeAutospacing="0" w:after="0" w:afterAutospacing="0"/>
        <w:jc w:val="both"/>
        <w:textAlignment w:val="top"/>
        <w:rPr>
          <w:color w:val="000000" w:themeColor="text1"/>
          <w:sz w:val="16"/>
          <w:szCs w:val="16"/>
        </w:rPr>
      </w:pPr>
      <w:r w:rsidRPr="00925F26">
        <w:rPr>
          <w:iCs/>
          <w:color w:val="000000" w:themeColor="text1"/>
          <w:sz w:val="16"/>
          <w:szCs w:val="16"/>
        </w:rPr>
        <w:lastRenderedPageBreak/>
        <w:t xml:space="preserve">"Для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реактивных самолетов Ме.262 с двумя газотурбинными воздушно-реактивными двигателями ЮМО-004. Максимальная скорость полета самолета на высоте 6000-8000 м - 850-875 км/ч, у земли-780-806 км/ч. Потолок-11500 м. Дальность полета на максимальной скорости и высоте 9000 м - 875 км... В НИИ ВВС КА на (...) Ме.262 сделано несколько испытательных полетов, при которых выявлено, что скорость самолета близка к указанным данным, и по отзывам летчиков, проводивших испытания, он несложен в управлении. Производство самолета может быть организовано на заводах №381 в Москве и №292 в Саратове. Изучение конструкции самолета Ме.262, выпуск чертежей и приспособлений самолета под наше вооружение и оборудование поручено главному конструктору Мясищеву, который приступил к этой работе. Изучение двигателей ЮМО-004 поручено главному конструктору Климову..." </w:t>
      </w:r>
      <w:r w:rsidRPr="00925F26">
        <w:rPr>
          <w:color w:val="000000" w:themeColor="text1"/>
          <w:sz w:val="16"/>
          <w:szCs w:val="16"/>
        </w:rPr>
        <w:t>(19689).</w:t>
      </w:r>
    </w:p>
    <w:p w14:paraId="46668315" w14:textId="77777777" w:rsidR="0028571C" w:rsidRPr="00925F26" w:rsidRDefault="0028571C" w:rsidP="0028571C">
      <w:pPr>
        <w:pStyle w:val="ae"/>
        <w:spacing w:before="0" w:after="0"/>
        <w:jc w:val="both"/>
        <w:textAlignment w:val="top"/>
        <w:rPr>
          <w:color w:val="000000" w:themeColor="text1"/>
          <w:sz w:val="16"/>
          <w:szCs w:val="16"/>
        </w:rPr>
      </w:pPr>
    </w:p>
    <w:p w14:paraId="65BF9411" w14:textId="77777777" w:rsidR="0028571C" w:rsidRPr="001A0BAA" w:rsidRDefault="0028571C" w:rsidP="0028571C">
      <w:pPr>
        <w:jc w:val="both"/>
        <w:rPr>
          <w:color w:val="0070C0"/>
          <w:sz w:val="16"/>
          <w:szCs w:val="16"/>
        </w:rPr>
      </w:pPr>
      <w:r w:rsidRPr="001A0BAA">
        <w:rPr>
          <w:rStyle w:val="aff0"/>
          <w:rFonts w:ascii="Times New Roman" w:hAnsi="Times New Roman" w:cs="Times New Roman"/>
          <w:color w:val="0070C0"/>
          <w:spacing w:val="0"/>
          <w:sz w:val="16"/>
          <w:szCs w:val="16"/>
        </w:rPr>
        <w:t xml:space="preserve">В марте 1945 г. в НИИ ВВС испытывался </w:t>
      </w:r>
      <w:r w:rsidRPr="001A0BAA">
        <w:rPr>
          <w:rStyle w:val="aff0"/>
          <w:rFonts w:ascii="Times New Roman" w:hAnsi="Times New Roman" w:cs="Times New Roman"/>
          <w:color w:val="0070C0"/>
          <w:spacing w:val="0"/>
          <w:sz w:val="16"/>
          <w:szCs w:val="16"/>
          <w:lang w:val="en-US"/>
        </w:rPr>
        <w:t>FW</w:t>
      </w:r>
      <w:r w:rsidRPr="001A0BAA">
        <w:rPr>
          <w:rStyle w:val="aff0"/>
          <w:rFonts w:ascii="Times New Roman" w:hAnsi="Times New Roman" w:cs="Times New Roman"/>
          <w:color w:val="0070C0"/>
          <w:spacing w:val="0"/>
          <w:sz w:val="16"/>
          <w:szCs w:val="16"/>
        </w:rPr>
        <w:t>-190</w:t>
      </w:r>
      <w:r w:rsidRPr="001A0BAA">
        <w:rPr>
          <w:rStyle w:val="aff0"/>
          <w:rFonts w:ascii="Times New Roman" w:hAnsi="Times New Roman" w:cs="Times New Roman"/>
          <w:color w:val="0070C0"/>
          <w:spacing w:val="0"/>
          <w:sz w:val="16"/>
          <w:szCs w:val="16"/>
          <w:lang w:val="en-US"/>
        </w:rPr>
        <w:t>A</w:t>
      </w:r>
      <w:r w:rsidRPr="001A0BAA">
        <w:rPr>
          <w:rStyle w:val="aff0"/>
          <w:rFonts w:ascii="Times New Roman" w:hAnsi="Times New Roman" w:cs="Times New Roman"/>
          <w:color w:val="0070C0"/>
          <w:spacing w:val="0"/>
          <w:sz w:val="16"/>
          <w:szCs w:val="16"/>
        </w:rPr>
        <w:t>-8 № 580967. Для снижения полетного веса на этом самолете сократили запас горючего до 393 кг. В НИИ ВВС его сравнива</w:t>
      </w:r>
      <w:r w:rsidRPr="001A0BAA">
        <w:rPr>
          <w:rStyle w:val="aff0"/>
          <w:rFonts w:ascii="Times New Roman" w:hAnsi="Times New Roman" w:cs="Times New Roman"/>
          <w:color w:val="0070C0"/>
          <w:spacing w:val="0"/>
          <w:sz w:val="16"/>
          <w:szCs w:val="16"/>
        </w:rPr>
        <w:softHyphen/>
        <w:t>ли уже не с Ла-5ФН, а с Ла-7. По оценкам летчиков-испы</w:t>
      </w:r>
      <w:r w:rsidRPr="001A0BAA">
        <w:rPr>
          <w:rStyle w:val="aff0"/>
          <w:rFonts w:ascii="Times New Roman" w:hAnsi="Times New Roman" w:cs="Times New Roman"/>
          <w:color w:val="0070C0"/>
          <w:spacing w:val="0"/>
          <w:sz w:val="16"/>
          <w:szCs w:val="16"/>
        </w:rPr>
        <w:softHyphen/>
        <w:t>тателей Ю. Антипова, И. Дзюбы, А. Кубышкина, Л. Кув</w:t>
      </w:r>
      <w:r w:rsidRPr="001A0BAA">
        <w:rPr>
          <w:rStyle w:val="aff0"/>
          <w:rFonts w:ascii="Times New Roman" w:hAnsi="Times New Roman" w:cs="Times New Roman"/>
          <w:color w:val="0070C0"/>
          <w:spacing w:val="0"/>
          <w:sz w:val="16"/>
          <w:szCs w:val="16"/>
        </w:rPr>
        <w:softHyphen/>
        <w:t>шинова, А. Прошакова и В. Хомякова, Ла-7, в воздуш</w:t>
      </w:r>
      <w:r w:rsidRPr="001A0BAA">
        <w:rPr>
          <w:rStyle w:val="aff0"/>
          <w:rFonts w:ascii="Times New Roman" w:hAnsi="Times New Roman" w:cs="Times New Roman"/>
          <w:color w:val="0070C0"/>
          <w:spacing w:val="0"/>
          <w:sz w:val="16"/>
          <w:szCs w:val="16"/>
        </w:rPr>
        <w:softHyphen/>
        <w:t xml:space="preserve">ном бою имел полное преимущество над облегченным </w:t>
      </w:r>
      <w:r w:rsidRPr="001A0BAA">
        <w:rPr>
          <w:rStyle w:val="aff0"/>
          <w:rFonts w:ascii="Times New Roman" w:hAnsi="Times New Roman" w:cs="Times New Roman"/>
          <w:color w:val="0070C0"/>
          <w:spacing w:val="0"/>
          <w:sz w:val="16"/>
          <w:szCs w:val="16"/>
          <w:lang w:val="en-US"/>
        </w:rPr>
        <w:t>FW</w:t>
      </w:r>
      <w:r w:rsidRPr="001A0BAA">
        <w:rPr>
          <w:rStyle w:val="aff0"/>
          <w:rFonts w:ascii="Times New Roman" w:hAnsi="Times New Roman" w:cs="Times New Roman"/>
          <w:color w:val="0070C0"/>
          <w:spacing w:val="0"/>
          <w:sz w:val="16"/>
          <w:szCs w:val="16"/>
        </w:rPr>
        <w:t>-190</w:t>
      </w:r>
      <w:r w:rsidRPr="001A0BAA">
        <w:rPr>
          <w:rStyle w:val="aff0"/>
          <w:rFonts w:ascii="Times New Roman" w:hAnsi="Times New Roman" w:cs="Times New Roman"/>
          <w:color w:val="0070C0"/>
          <w:spacing w:val="0"/>
          <w:sz w:val="16"/>
          <w:szCs w:val="16"/>
          <w:lang w:val="en-US"/>
        </w:rPr>
        <w:t>A</w:t>
      </w:r>
      <w:r w:rsidRPr="001A0BAA">
        <w:rPr>
          <w:rStyle w:val="aff0"/>
          <w:rFonts w:ascii="Times New Roman" w:hAnsi="Times New Roman" w:cs="Times New Roman"/>
          <w:color w:val="0070C0"/>
          <w:spacing w:val="0"/>
          <w:sz w:val="16"/>
          <w:szCs w:val="16"/>
        </w:rPr>
        <w:t>-8. По этой причине немецкие пилоты старались избегать воздушного боя с Ла-7 (25252).</w:t>
      </w:r>
    </w:p>
    <w:p w14:paraId="01A04F68" w14:textId="77777777" w:rsidR="0028571C" w:rsidRPr="001A0BAA" w:rsidRDefault="0028571C" w:rsidP="0028571C">
      <w:pPr>
        <w:jc w:val="both"/>
        <w:rPr>
          <w:color w:val="0070C0"/>
          <w:sz w:val="16"/>
          <w:szCs w:val="16"/>
        </w:rPr>
      </w:pPr>
    </w:p>
    <w:p w14:paraId="238172F9" w14:textId="77777777" w:rsidR="0028571C" w:rsidRPr="00925F26" w:rsidRDefault="0028571C" w:rsidP="0028571C">
      <w:pPr>
        <w:autoSpaceDE w:val="0"/>
        <w:autoSpaceDN w:val="0"/>
        <w:adjustRightInd w:val="0"/>
        <w:jc w:val="both"/>
        <w:rPr>
          <w:color w:val="000000" w:themeColor="text1"/>
          <w:sz w:val="16"/>
          <w:szCs w:val="16"/>
        </w:rPr>
      </w:pPr>
      <w:r w:rsidRPr="00925F26">
        <w:rPr>
          <w:color w:val="000000" w:themeColor="text1"/>
          <w:sz w:val="16"/>
          <w:szCs w:val="16"/>
        </w:rPr>
        <w:t>В марте 1945 г. форсированный дизель АЧ-30БФ зав. № Ж01-6 успешно прошел 100-часовые заводские испытания. Более того, в течение 20 часов он работал на "сверхфорсированных" режимах: при взлетной мощности 2000 л.с. и номинальной 1800 л.с.! Этот экземпляр двигателя заметно превзошел уровень требований, предъявленных к АЧ-31. Поэтому Чаромский "объявил в команде замену": с марта 1945 г. вместо АЧ-31 началась разработка так называемого АЧ-31Б, который на самом деле представлял собой АЧ-30БФ с иным передаточным отношением редуктора, усиленным верхним картером. Прежний же проект двигателя АЧ-31 "перекрестили" в АЧ-32. Так, относительно "малой кровью", было "выполнено" задание на разработку нового дизеля. Тогда же, в марте 1945 г. были в быстром темпе, всего за несколько дней проведены 50-часовые заводские испытания первого опытного АЧ-31Б в режиме взлетной мощности 2200 л.с. и земного "номинала" 2000 л.с. Успешное завершение испытаний позволило сделать следующий шаг: в апреле начать 100-часовую "гонку". Уверенный в успехе Чаромский сразу отправил авиаконструктору С.В. Ильюшину два двигателя АЧ-31Б для установки на самолет Ил-12! (8984).</w:t>
      </w:r>
    </w:p>
    <w:p w14:paraId="3824786C" w14:textId="77777777" w:rsidR="0028571C" w:rsidRPr="00925F26" w:rsidRDefault="0028571C" w:rsidP="0028571C">
      <w:pPr>
        <w:autoSpaceDE w:val="0"/>
        <w:autoSpaceDN w:val="0"/>
        <w:adjustRightInd w:val="0"/>
        <w:jc w:val="both"/>
        <w:rPr>
          <w:color w:val="000000" w:themeColor="text1"/>
          <w:sz w:val="16"/>
          <w:szCs w:val="16"/>
        </w:rPr>
      </w:pPr>
    </w:p>
    <w:p w14:paraId="64AFA1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завершились 100-часовые заводские испытания АЧ-30БФ. В том же месяце начали госиспытания, на которых двигатель был забракован из-за плохой приемистости и сложной процедуры запу</w:t>
      </w:r>
      <w:r w:rsidRPr="00925F26">
        <w:rPr>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40C05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27EF5A9" w14:textId="77777777" w:rsidR="0028571C" w:rsidRPr="001A0BAA" w:rsidRDefault="0028571C" w:rsidP="0028571C">
      <w:pPr>
        <w:jc w:val="both"/>
        <w:rPr>
          <w:color w:val="0070C0"/>
          <w:sz w:val="16"/>
          <w:szCs w:val="16"/>
        </w:rPr>
      </w:pPr>
      <w:r w:rsidRPr="001A0BAA">
        <w:rPr>
          <w:color w:val="0070C0"/>
          <w:sz w:val="16"/>
          <w:szCs w:val="16"/>
        </w:rPr>
        <w:t>В марте 1945 появился АЧ-31Б — вариант АМ-30БФ с усиленным картером и иным передаточным отношением редуктора. Достигнут 100 часов ресурс на заводских испытаниях в апреле. Взлетная мощность — 2200 л.с., номинальная на высоте 0 м — 2000 л.с. (25288).</w:t>
      </w:r>
    </w:p>
    <w:p w14:paraId="5BA2FF7A" w14:textId="77777777" w:rsidR="0028571C" w:rsidRPr="001A0BAA" w:rsidRDefault="0028571C" w:rsidP="0028571C">
      <w:pPr>
        <w:jc w:val="both"/>
        <w:rPr>
          <w:color w:val="0070C0"/>
          <w:sz w:val="16"/>
          <w:szCs w:val="16"/>
        </w:rPr>
      </w:pPr>
    </w:p>
    <w:p w14:paraId="2E3D82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марта 1945 г. проходили заводские испытания на стенде ВК-107Р (первоначально ВК-107-Э3020), модификация ВК-107А для привода мотокомпрессорного реактивного двигателя ВРДК конструк</w:t>
      </w:r>
      <w:r w:rsidRPr="00925F26">
        <w:rPr>
          <w:color w:val="000000" w:themeColor="text1"/>
          <w:sz w:val="16"/>
          <w:szCs w:val="16"/>
        </w:rPr>
        <w:softHyphen/>
        <w:t>ции Фадеева и Холщевникова, спроектированного в 1943-1945 гг. Привод осуществлялся от коробки отбора мощности через удлинен</w:t>
      </w:r>
      <w:r w:rsidRPr="00925F26">
        <w:rPr>
          <w:color w:val="000000" w:themeColor="text1"/>
          <w:sz w:val="16"/>
          <w:szCs w:val="16"/>
        </w:rPr>
        <w:softHyphen/>
        <w:t>ный вал. Мощность 1450/1650 л.с. без ВРДК, 2800 э.л.с. (по другим данным, 3000 э.л.с.) с включенным ВРДК. В июле 1946 г. двигатель продемон</w:t>
      </w:r>
      <w:r w:rsidRPr="00925F26">
        <w:rPr>
          <w:color w:val="000000" w:themeColor="text1"/>
          <w:sz w:val="16"/>
          <w:szCs w:val="16"/>
        </w:rPr>
        <w:softHyphen/>
        <w:t>стрировал ресурс 35 ч. Однако уже в марте — мае 1945 г. ВК-107Р летал на самолете И-250 («Н»), а в апреле — июле того же года — на И-107 (Су-5). ВК-107Р выпускался серийно на заводе № 466 (с по</w:t>
      </w:r>
      <w:r w:rsidRPr="00925F26">
        <w:rPr>
          <w:color w:val="000000" w:themeColor="text1"/>
          <w:sz w:val="16"/>
          <w:szCs w:val="16"/>
        </w:rPr>
        <w:softHyphen/>
        <w:t>ставкой моторов ВК-107А с завода № 26) со второй половины 1945 г. для истребителей И-250 (11852).</w:t>
      </w:r>
    </w:p>
    <w:p w14:paraId="08D22E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24FCD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на имя секретаря ЦК ВКП(б) Маленкова Г.М., Народного комиссара авиационной промышленности Шахурина А.И., заместителя наркома авиационной промышленности Завитаева А.А. и секретаря Татарского обкома ВКП(б) Муратова поступила памятная записка директора, парторга и профорга моторостроительного завода № 16:</w:t>
      </w:r>
    </w:p>
    <w:p w14:paraId="4A8BAD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исполняется 10 лет моторостроительному заводу № 16. В апреле 1945 г. заводом будет выпущен 15000 боевой мотор ВК-105, собранный лишь за годы Великой Отечественной войны. За три г. войны завод 22 раза завоевывал первые и вторые места в соревновании заводов авиационной промышленности.</w:t>
      </w:r>
    </w:p>
    <w:p w14:paraId="6B822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1935 г. завод взял обязательство и выпустил к 1.05.35 г. первые звездообразные моторы М-11 собственного производства. За 1935 и 1936 годы заводом выпущено уже 3010 моторов М-11.</w:t>
      </w:r>
    </w:p>
    <w:p w14:paraId="7BF1D0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Состоялось решение Правительства о строительстве на заводе № 16 рядных моторов «Рено». МВ-4 и МВ-6 стали выпускаться на заводе в малых сериях.</w:t>
      </w:r>
    </w:p>
    <w:p w14:paraId="06C9C9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1940 г. решением Правительства завод был переведен на выпуск боевых моторов ВК-105. К моменту перехода на ВК-105 завод выпустил 20651 мотор М-11, 85 моторов МВ-4 и 109 моторов МВ-6. 18 марта 1945 г. был снят с конвейера 15000 мотор ВК-105. 18-20 апреля с конвейера будет снят 15000 мотор ВК-105, собранный на заводе во время войны. Выпуск моторов ВК-105 по годам составил:</w:t>
      </w:r>
    </w:p>
    <w:p w14:paraId="0646A2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 г. – 41 штука, 1941 г. – 1337 штук, 1942 г. – 2916 штук, 1943 г. – 4421 штука, 1944 г. – 4975 штук.</w:t>
      </w:r>
    </w:p>
    <w:p w14:paraId="5EC99F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серийного производства завод участвовал в опытном моторостроении.</w:t>
      </w:r>
    </w:p>
    <w:p w14:paraId="77FD84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1935-36 гг. – производство нового мотора ЦИАМ ММ-1,</w:t>
      </w:r>
    </w:p>
    <w:p w14:paraId="53DDB2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1939-41 гг. – разработка и создание М-250,</w:t>
      </w:r>
    </w:p>
    <w:p w14:paraId="7B1D56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1942-43 гг. – создание реактивных двигателей РД-1 и РД-3,</w:t>
      </w:r>
    </w:p>
    <w:p w14:paraId="2F835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 – выпуск первой серии двигателей РД-1, проходящих в настоящее время испытания на самолетах «Як», «Ла» и «Су».</w:t>
      </w:r>
    </w:p>
    <w:p w14:paraId="5C6E5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 – изготовлены детали редуктора для двигателя М-250 завода № 36.</w:t>
      </w:r>
    </w:p>
    <w:p w14:paraId="103A9C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Впервые в СССР проведены испытания двигателей с рекуперацией энергии. Свыше 70% энергии, развиваемой авиамотором во время испытаний, преобразуется в электрическую и поступает в электросеть завода».</w:t>
      </w:r>
    </w:p>
    <w:p w14:paraId="3381A4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Необходимо пояснить, что, по-видимому, руководители завода считали днем рождения предприятия тот день, когда были изготовлены первые моторы М-11.</w:t>
      </w:r>
    </w:p>
    <w:p w14:paraId="0F9AF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апрель включительно завод № 16 выпустил за 4 месяца 1945 г. 1928 моторов ВК-105.</w:t>
      </w:r>
    </w:p>
    <w:p w14:paraId="463691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Вклад в победу казанских моторостроителей был по достоинству оценен страной. Указом Президиума Верховного Совета СССР от 26 июня 1945 г. за образцовое выполнение заданий правительства завод был награжден орденом Ленина. 269 заводчан за свой труд в годы войны были награждены орденами и медалями. Директор завода Макар Михайлович Лукин 16 сентября 1945 г. был удостоен высокого звания Героя Социалистического Труда (12049).</w:t>
      </w:r>
    </w:p>
    <w:p w14:paraId="3675EE0C" w14:textId="77777777" w:rsidR="00665165" w:rsidRPr="00925F26" w:rsidRDefault="00665165" w:rsidP="00925F26">
      <w:pPr>
        <w:autoSpaceDE w:val="0"/>
        <w:autoSpaceDN w:val="0"/>
        <w:adjustRightInd w:val="0"/>
        <w:jc w:val="both"/>
        <w:rPr>
          <w:color w:val="000000" w:themeColor="text1"/>
          <w:sz w:val="16"/>
          <w:szCs w:val="16"/>
        </w:rPr>
      </w:pPr>
    </w:p>
    <w:p w14:paraId="327B56D9" w14:textId="77777777" w:rsidR="0028571C" w:rsidRPr="001A0BAA" w:rsidRDefault="0028571C" w:rsidP="0028571C">
      <w:pPr>
        <w:jc w:val="both"/>
        <w:rPr>
          <w:color w:val="0070C0"/>
          <w:sz w:val="16"/>
          <w:szCs w:val="16"/>
        </w:rPr>
      </w:pPr>
      <w:r w:rsidRPr="001A0BAA">
        <w:rPr>
          <w:color w:val="0070C0"/>
          <w:sz w:val="16"/>
          <w:szCs w:val="16"/>
        </w:rPr>
        <w:t>В марте 1945 г. двигатель С</w:t>
      </w:r>
      <w:r w:rsidRPr="001A0BAA">
        <w:rPr>
          <w:color w:val="0070C0"/>
          <w:sz w:val="16"/>
          <w:szCs w:val="16"/>
        </w:rPr>
        <w:softHyphen/>
        <w:t>18 успешно прошел испытания, после чего было принято решение о создании летного варианта ТРД. Двигатель С-18, его проектирование, производство, испытания и доводка привели к организации первого в СССР опытно-конструкторского коллектива под руководством А.М. Люлька по созданию отечественных ТРД с самостоятельным опытным производством.</w:t>
      </w:r>
    </w:p>
    <w:p w14:paraId="40BF7FF9" w14:textId="77777777" w:rsidR="0028571C" w:rsidRPr="001A0BAA" w:rsidRDefault="0028571C" w:rsidP="0028571C">
      <w:pPr>
        <w:jc w:val="both"/>
        <w:rPr>
          <w:color w:val="0070C0"/>
          <w:sz w:val="16"/>
          <w:szCs w:val="16"/>
        </w:rPr>
      </w:pPr>
      <w:r w:rsidRPr="001A0BAA">
        <w:rPr>
          <w:color w:val="0070C0"/>
          <w:sz w:val="16"/>
          <w:szCs w:val="16"/>
        </w:rPr>
        <w:t>Двигатель С-18 [47] имел следующие проектные и конструктивные данные:</w:t>
      </w:r>
    </w:p>
    <w:p w14:paraId="0D9D55B1" w14:textId="77777777" w:rsidR="0028571C" w:rsidRPr="001A0BAA" w:rsidRDefault="0028571C" w:rsidP="0028571C">
      <w:pPr>
        <w:jc w:val="both"/>
        <w:rPr>
          <w:color w:val="0070C0"/>
          <w:sz w:val="16"/>
          <w:szCs w:val="16"/>
        </w:rPr>
      </w:pPr>
      <w:r w:rsidRPr="001A0BAA">
        <w:rPr>
          <w:color w:val="0070C0"/>
          <w:sz w:val="16"/>
          <w:szCs w:val="16"/>
        </w:rPr>
        <w:t>тягу 1250 кг;</w:t>
      </w:r>
    </w:p>
    <w:p w14:paraId="67ED1FCB" w14:textId="77777777" w:rsidR="0028571C" w:rsidRPr="001A0BAA" w:rsidRDefault="0028571C" w:rsidP="0028571C">
      <w:pPr>
        <w:jc w:val="both"/>
        <w:rPr>
          <w:color w:val="0070C0"/>
          <w:sz w:val="16"/>
          <w:szCs w:val="16"/>
        </w:rPr>
      </w:pPr>
      <w:r w:rsidRPr="001A0BAA">
        <w:rPr>
          <w:color w:val="0070C0"/>
          <w:sz w:val="16"/>
          <w:szCs w:val="16"/>
        </w:rPr>
        <w:t>степень повышения давления 3,16 в шестиступенчатом осевом компрессоре;</w:t>
      </w:r>
    </w:p>
    <w:p w14:paraId="0EE9AD4E" w14:textId="77777777" w:rsidR="0028571C" w:rsidRPr="001A0BAA" w:rsidRDefault="0028571C" w:rsidP="0028571C">
      <w:pPr>
        <w:jc w:val="both"/>
        <w:rPr>
          <w:color w:val="0070C0"/>
          <w:sz w:val="16"/>
          <w:szCs w:val="16"/>
        </w:rPr>
      </w:pPr>
      <w:r w:rsidRPr="001A0BAA">
        <w:rPr>
          <w:color w:val="0070C0"/>
          <w:sz w:val="16"/>
          <w:szCs w:val="16"/>
        </w:rPr>
        <w:t>среднюю температуру газа на выходе из кольцевой камеры сгорания 777°С;</w:t>
      </w:r>
    </w:p>
    <w:p w14:paraId="35AA34CC" w14:textId="77777777" w:rsidR="0028571C" w:rsidRPr="001A0BAA" w:rsidRDefault="0028571C" w:rsidP="0028571C">
      <w:pPr>
        <w:jc w:val="both"/>
        <w:rPr>
          <w:color w:val="0070C0"/>
          <w:sz w:val="16"/>
          <w:szCs w:val="16"/>
        </w:rPr>
      </w:pPr>
      <w:r w:rsidRPr="001A0BAA">
        <w:rPr>
          <w:color w:val="0070C0"/>
          <w:sz w:val="16"/>
          <w:szCs w:val="16"/>
        </w:rPr>
        <w:t>одноступенчатую газовую турбину и реактивное сопло.</w:t>
      </w:r>
    </w:p>
    <w:p w14:paraId="5DB83712" w14:textId="77777777" w:rsidR="0028571C" w:rsidRPr="001A0BAA" w:rsidRDefault="0028571C" w:rsidP="0028571C">
      <w:pPr>
        <w:jc w:val="both"/>
        <w:rPr>
          <w:color w:val="0070C0"/>
          <w:sz w:val="16"/>
          <w:szCs w:val="16"/>
        </w:rPr>
      </w:pPr>
      <w:r w:rsidRPr="001A0BAA">
        <w:rPr>
          <w:color w:val="0070C0"/>
          <w:sz w:val="16"/>
          <w:szCs w:val="16"/>
        </w:rPr>
        <w:t>Расчетный удельный расход топлива составил 1,4 кг топлива на кг тяги в час.</w:t>
      </w:r>
    </w:p>
    <w:p w14:paraId="7F2599E2" w14:textId="77777777" w:rsidR="0028571C" w:rsidRPr="001A0BAA" w:rsidRDefault="0028571C" w:rsidP="0028571C">
      <w:pPr>
        <w:jc w:val="both"/>
        <w:rPr>
          <w:color w:val="0070C0"/>
          <w:sz w:val="16"/>
          <w:szCs w:val="16"/>
        </w:rPr>
      </w:pPr>
      <w:r w:rsidRPr="001A0BAA">
        <w:rPr>
          <w:color w:val="0070C0"/>
          <w:sz w:val="16"/>
          <w:szCs w:val="16"/>
        </w:rPr>
        <w:t>Топливо - керосин.</w:t>
      </w:r>
    </w:p>
    <w:p w14:paraId="608D65F7" w14:textId="77777777" w:rsidR="0028571C" w:rsidRPr="001A0BAA" w:rsidRDefault="0028571C" w:rsidP="0028571C">
      <w:pPr>
        <w:jc w:val="both"/>
        <w:rPr>
          <w:color w:val="0070C0"/>
          <w:sz w:val="16"/>
          <w:szCs w:val="16"/>
        </w:rPr>
      </w:pPr>
      <w:r w:rsidRPr="001A0BAA">
        <w:rPr>
          <w:color w:val="0070C0"/>
          <w:sz w:val="16"/>
          <w:szCs w:val="16"/>
        </w:rPr>
        <w:t>Запуск - сжатым воздухом от баллона (25039).</w:t>
      </w:r>
    </w:p>
    <w:p w14:paraId="2B8DA01B" w14:textId="77777777" w:rsidR="0028571C" w:rsidRPr="001A0BAA" w:rsidRDefault="0028571C" w:rsidP="0028571C">
      <w:pPr>
        <w:jc w:val="both"/>
        <w:rPr>
          <w:color w:val="0070C0"/>
          <w:sz w:val="16"/>
          <w:szCs w:val="16"/>
        </w:rPr>
      </w:pPr>
    </w:p>
    <w:p w14:paraId="653A0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по распоряжению Зам. НКАП П.В.Дементьева была назначена комиссия в составе Исаева, Чертка и Фадеева в целях оказания помощи и выявления причин отказов и неполадок в работе РД-1 Глушко, выявленных при испытаниях Як-3, Ла-7 и Су-6 (2928,108).</w:t>
      </w:r>
    </w:p>
    <w:p w14:paraId="7E50851D" w14:textId="77777777" w:rsidR="00665165" w:rsidRPr="00925F26" w:rsidRDefault="00665165" w:rsidP="00925F26">
      <w:pPr>
        <w:autoSpaceDE w:val="0"/>
        <w:autoSpaceDN w:val="0"/>
        <w:adjustRightInd w:val="0"/>
        <w:jc w:val="both"/>
        <w:rPr>
          <w:color w:val="000000" w:themeColor="text1"/>
          <w:sz w:val="16"/>
          <w:szCs w:val="16"/>
        </w:rPr>
      </w:pPr>
    </w:p>
    <w:p w14:paraId="720FA9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были проведены заводские испытания двухкамерного ЖРД Л.С.Душкина РД-2М3Ц с насосной подачей топлива, построенного в феврале 1945 и его предъявили на гос. испытания (2928,98).</w:t>
      </w:r>
    </w:p>
    <w:p w14:paraId="5DE409EC" w14:textId="77777777" w:rsidR="00665165" w:rsidRPr="00925F26" w:rsidRDefault="00665165" w:rsidP="00925F26">
      <w:pPr>
        <w:autoSpaceDE w:val="0"/>
        <w:autoSpaceDN w:val="0"/>
        <w:adjustRightInd w:val="0"/>
        <w:jc w:val="both"/>
        <w:rPr>
          <w:color w:val="000000" w:themeColor="text1"/>
          <w:sz w:val="16"/>
          <w:szCs w:val="16"/>
        </w:rPr>
      </w:pPr>
    </w:p>
    <w:p w14:paraId="105D9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успешно прошел наземные испытания первый советский турбореактивный двигатель С-18 с тягой 1030 даН, созданный под руководством А.М.Люльки (5,55).</w:t>
      </w:r>
    </w:p>
    <w:p w14:paraId="70F63D3D" w14:textId="77777777" w:rsidR="00665165" w:rsidRPr="00925F26" w:rsidRDefault="00665165" w:rsidP="00925F26">
      <w:pPr>
        <w:autoSpaceDE w:val="0"/>
        <w:autoSpaceDN w:val="0"/>
        <w:adjustRightInd w:val="0"/>
        <w:jc w:val="both"/>
        <w:rPr>
          <w:color w:val="000000" w:themeColor="text1"/>
          <w:sz w:val="16"/>
          <w:szCs w:val="16"/>
        </w:rPr>
      </w:pPr>
    </w:p>
    <w:p w14:paraId="319849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марте 1945 г. прошел наземные испытания первый советский турбореактивный двигатель С-18 с тягой 1030 кгс, созданный иод руководством А.М.Люльки. С-18 являлся экспериментальным стендом, на котором проводились исследования по выявлению и решению основных вопросов, связанных с расчетом, конструированием и доводкой турбореактивного двигателя. Опыт, полученный при разработке и испытаниях С-18, был использован в проекте значительно более мощного </w:t>
      </w:r>
      <w:r w:rsidRPr="00925F26">
        <w:rPr>
          <w:color w:val="000000" w:themeColor="text1"/>
          <w:sz w:val="16"/>
          <w:szCs w:val="16"/>
        </w:rPr>
        <w:lastRenderedPageBreak/>
        <w:t>турбореактивного двигателя ТР-1 с осевым компрессором и расчетной взлетной тягой 1500 кгс, что значительно превышало характеристики трофейных немецких двигателей BMW 003 и Jumo 004, развивавших тягу 800-900 кгс (9528).</w:t>
      </w:r>
    </w:p>
    <w:p w14:paraId="3A4D0100" w14:textId="77777777" w:rsidR="00665165" w:rsidRPr="00925F26" w:rsidRDefault="00665165" w:rsidP="00925F26">
      <w:pPr>
        <w:autoSpaceDE w:val="0"/>
        <w:autoSpaceDN w:val="0"/>
        <w:adjustRightInd w:val="0"/>
        <w:jc w:val="both"/>
        <w:rPr>
          <w:color w:val="000000" w:themeColor="text1"/>
          <w:sz w:val="16"/>
          <w:szCs w:val="16"/>
        </w:rPr>
      </w:pPr>
    </w:p>
    <w:p w14:paraId="372C25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принимается очередное решение о серии РД-1 в 50 экземпляров, а заводу № 22 приказывается отштамповать дюралевые перегородки для этих двигателей применительно к самолетам Як-3-150 и Ла-7-150. В апреле Заместитель Главного конструктора ОКБ-РД, как себя тогда называл Королев, отослал в Москву отчет о работах и испытаниях самолета Пе-2 с реактивной установкой (12049).</w:t>
      </w:r>
    </w:p>
    <w:p w14:paraId="339D262C" w14:textId="77777777" w:rsidR="00665165" w:rsidRPr="00925F26" w:rsidRDefault="00665165" w:rsidP="00925F26">
      <w:pPr>
        <w:autoSpaceDE w:val="0"/>
        <w:autoSpaceDN w:val="0"/>
        <w:adjustRightInd w:val="0"/>
        <w:jc w:val="both"/>
        <w:rPr>
          <w:color w:val="000000" w:themeColor="text1"/>
          <w:sz w:val="16"/>
          <w:szCs w:val="16"/>
        </w:rPr>
      </w:pPr>
    </w:p>
    <w:p w14:paraId="2ECE22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по приказу директора и главного конструктора завода № 51 В.Н.Челомея все И-185 с моторами М-71, М-82А и М-90 разобрали на части (10667).</w:t>
      </w:r>
    </w:p>
    <w:p w14:paraId="3509A6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37E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наши Фау 10Х испытывали на Ер-2 и Пе-8 (ТБ-7) (1103,182).</w:t>
      </w:r>
    </w:p>
    <w:p w14:paraId="50D33309" w14:textId="77777777" w:rsidR="00665165" w:rsidRPr="00925F26" w:rsidRDefault="00665165" w:rsidP="00925F26">
      <w:pPr>
        <w:autoSpaceDE w:val="0"/>
        <w:autoSpaceDN w:val="0"/>
        <w:adjustRightInd w:val="0"/>
        <w:jc w:val="both"/>
        <w:rPr>
          <w:color w:val="000000" w:themeColor="text1"/>
          <w:sz w:val="16"/>
          <w:szCs w:val="16"/>
        </w:rPr>
      </w:pPr>
    </w:p>
    <w:p w14:paraId="752C5EB5" w14:textId="77777777" w:rsidR="00EE5230" w:rsidRPr="00925F26" w:rsidRDefault="00EE5230" w:rsidP="00925F26">
      <w:pPr>
        <w:jc w:val="both"/>
        <w:rPr>
          <w:color w:val="000000" w:themeColor="text1"/>
          <w:sz w:val="16"/>
          <w:szCs w:val="16"/>
        </w:rPr>
      </w:pPr>
      <w:r w:rsidRPr="00925F26">
        <w:rPr>
          <w:color w:val="000000" w:themeColor="text1"/>
          <w:sz w:val="16"/>
          <w:szCs w:val="16"/>
        </w:rPr>
        <w:t>В марте 1945 г. начали использовать самолет Пе—8 для испытаний крылатых ракет класса «воздух-поверхность» кон</w:t>
      </w:r>
      <w:r w:rsidRPr="00925F26">
        <w:rPr>
          <w:color w:val="000000" w:themeColor="text1"/>
          <w:sz w:val="16"/>
          <w:szCs w:val="16"/>
        </w:rPr>
        <w:softHyphen/>
        <w:t>струкции В.Н. Челомея — сначала «10Х», затем — «14Х» и «16Х».</w:t>
      </w:r>
    </w:p>
    <w:p w14:paraId="423A3399" w14:textId="77777777" w:rsidR="00EE5230" w:rsidRPr="00925F26" w:rsidRDefault="00EE5230" w:rsidP="00925F26">
      <w:pPr>
        <w:jc w:val="both"/>
        <w:rPr>
          <w:color w:val="000000" w:themeColor="text1"/>
          <w:sz w:val="16"/>
          <w:szCs w:val="16"/>
        </w:rPr>
      </w:pPr>
      <w:r w:rsidRPr="00925F26">
        <w:rPr>
          <w:color w:val="000000" w:themeColor="text1"/>
          <w:sz w:val="16"/>
          <w:szCs w:val="16"/>
        </w:rPr>
        <w:t>Пе—8 участвовал в проведении лет</w:t>
      </w:r>
      <w:r w:rsidRPr="00925F26">
        <w:rPr>
          <w:color w:val="000000" w:themeColor="text1"/>
          <w:sz w:val="16"/>
          <w:szCs w:val="16"/>
        </w:rPr>
        <w:softHyphen/>
        <w:t>ных испытаний:</w:t>
      </w:r>
    </w:p>
    <w:p w14:paraId="4DDA5983" w14:textId="77777777" w:rsidR="00EE5230" w:rsidRPr="00925F26" w:rsidRDefault="00EE5230" w:rsidP="00925F26">
      <w:pPr>
        <w:jc w:val="both"/>
        <w:rPr>
          <w:color w:val="000000" w:themeColor="text1"/>
          <w:sz w:val="16"/>
          <w:szCs w:val="16"/>
        </w:rPr>
      </w:pPr>
      <w:r w:rsidRPr="00925F26">
        <w:rPr>
          <w:color w:val="000000" w:themeColor="text1"/>
          <w:sz w:val="16"/>
          <w:szCs w:val="16"/>
        </w:rPr>
        <w:t>в 1948—1949 гг. ракетного самолета «Б—5» М.Р. Бисновата;</w:t>
      </w:r>
    </w:p>
    <w:p w14:paraId="4CA8C3C4" w14:textId="77777777" w:rsidR="00EE5230" w:rsidRPr="00925F26" w:rsidRDefault="00EE5230" w:rsidP="00925F26">
      <w:pPr>
        <w:jc w:val="both"/>
        <w:rPr>
          <w:color w:val="000000" w:themeColor="text1"/>
          <w:sz w:val="16"/>
          <w:szCs w:val="16"/>
        </w:rPr>
      </w:pPr>
      <w:r w:rsidRPr="00925F26">
        <w:rPr>
          <w:color w:val="000000" w:themeColor="text1"/>
          <w:sz w:val="16"/>
          <w:szCs w:val="16"/>
        </w:rPr>
        <w:t>самолета «346»;</w:t>
      </w:r>
    </w:p>
    <w:p w14:paraId="016B137E" w14:textId="77777777" w:rsidR="00EE5230" w:rsidRPr="00925F26" w:rsidRDefault="00EE5230" w:rsidP="00925F26">
      <w:pPr>
        <w:jc w:val="both"/>
        <w:rPr>
          <w:color w:val="000000" w:themeColor="text1"/>
          <w:sz w:val="16"/>
          <w:szCs w:val="16"/>
        </w:rPr>
      </w:pPr>
      <w:r w:rsidRPr="00925F26">
        <w:rPr>
          <w:color w:val="000000" w:themeColor="text1"/>
          <w:sz w:val="16"/>
          <w:szCs w:val="16"/>
        </w:rPr>
        <w:t>самолетов-снарядов Р—1 «Шторм» и ЛМ—15. В общей сложности было про</w:t>
      </w:r>
      <w:r w:rsidRPr="00925F26">
        <w:rPr>
          <w:color w:val="000000" w:themeColor="text1"/>
          <w:sz w:val="16"/>
          <w:szCs w:val="16"/>
        </w:rPr>
        <w:softHyphen/>
        <w:t>ведено 18 опытных пусков.</w:t>
      </w:r>
    </w:p>
    <w:p w14:paraId="03D781B9" w14:textId="77777777" w:rsidR="00EE5230" w:rsidRPr="00925F26" w:rsidRDefault="00EE5230" w:rsidP="00925F26">
      <w:pPr>
        <w:jc w:val="both"/>
        <w:rPr>
          <w:color w:val="000000" w:themeColor="text1"/>
          <w:sz w:val="16"/>
          <w:szCs w:val="16"/>
        </w:rPr>
      </w:pPr>
      <w:r w:rsidRPr="00925F26">
        <w:rPr>
          <w:color w:val="000000" w:themeColor="text1"/>
          <w:sz w:val="16"/>
          <w:szCs w:val="16"/>
        </w:rPr>
        <w:t>Для определения аэродинамичес</w:t>
      </w:r>
      <w:r w:rsidRPr="00925F26">
        <w:rPr>
          <w:color w:val="000000" w:themeColor="text1"/>
          <w:sz w:val="16"/>
          <w:szCs w:val="16"/>
        </w:rPr>
        <w:softHyphen/>
        <w:t>ких характеристик корпусов атомных бомб их сбрасывали с Пе—8. Это дало возможность определить наивыгодней</w:t>
      </w:r>
      <w:r w:rsidRPr="00925F26">
        <w:rPr>
          <w:color w:val="000000" w:themeColor="text1"/>
          <w:sz w:val="16"/>
          <w:szCs w:val="16"/>
        </w:rPr>
        <w:softHyphen/>
        <w:t>шую форму корпуса при высотном бом</w:t>
      </w:r>
      <w:r w:rsidRPr="00925F26">
        <w:rPr>
          <w:color w:val="000000" w:themeColor="text1"/>
          <w:sz w:val="16"/>
          <w:szCs w:val="16"/>
        </w:rPr>
        <w:softHyphen/>
        <w:t>бометании.</w:t>
      </w:r>
    </w:p>
    <w:p w14:paraId="7D984B7B" w14:textId="77777777" w:rsidR="00EE5230" w:rsidRPr="00925F26" w:rsidRDefault="00EE5230" w:rsidP="00925F26">
      <w:pPr>
        <w:jc w:val="both"/>
        <w:rPr>
          <w:color w:val="000000" w:themeColor="text1"/>
          <w:sz w:val="16"/>
          <w:szCs w:val="16"/>
        </w:rPr>
      </w:pPr>
      <w:r w:rsidRPr="00925F26">
        <w:rPr>
          <w:color w:val="000000" w:themeColor="text1"/>
          <w:sz w:val="16"/>
          <w:szCs w:val="16"/>
        </w:rPr>
        <w:t>Пе—8 4АМ—35А использовался в 1945—1947 гг. для летных испытаний дви</w:t>
      </w:r>
      <w:r w:rsidRPr="00925F26">
        <w:rPr>
          <w:color w:val="000000" w:themeColor="text1"/>
          <w:sz w:val="16"/>
          <w:szCs w:val="16"/>
        </w:rPr>
        <w:softHyphen/>
        <w:t>гателя АШ—82ФН. Опытный двигатель устанавливался в носовой части фюзеля</w:t>
      </w:r>
      <w:r w:rsidRPr="00925F26">
        <w:rPr>
          <w:color w:val="000000" w:themeColor="text1"/>
          <w:sz w:val="16"/>
          <w:szCs w:val="16"/>
        </w:rPr>
        <w:softHyphen/>
        <w:t>жа вместо кабины стрелка.</w:t>
      </w:r>
    </w:p>
    <w:p w14:paraId="569498A3" w14:textId="77777777" w:rsidR="00EE5230" w:rsidRPr="00925F26" w:rsidRDefault="00EE5230" w:rsidP="00925F26">
      <w:pPr>
        <w:jc w:val="both"/>
        <w:rPr>
          <w:color w:val="000000" w:themeColor="text1"/>
          <w:sz w:val="16"/>
          <w:szCs w:val="16"/>
        </w:rPr>
      </w:pPr>
      <w:r w:rsidRPr="00925F26">
        <w:rPr>
          <w:color w:val="000000" w:themeColor="text1"/>
          <w:sz w:val="16"/>
          <w:szCs w:val="16"/>
        </w:rPr>
        <w:t>На машине №42056 проходил ис</w:t>
      </w:r>
      <w:r w:rsidRPr="00925F26">
        <w:rPr>
          <w:color w:val="000000" w:themeColor="text1"/>
          <w:sz w:val="16"/>
          <w:szCs w:val="16"/>
        </w:rPr>
        <w:softHyphen/>
        <w:t>пытания реактивный двигатель АЛ—5 (23474).</w:t>
      </w:r>
    </w:p>
    <w:p w14:paraId="1DB095D6" w14:textId="77777777" w:rsidR="00EE5230" w:rsidRPr="00925F26" w:rsidRDefault="00EE5230" w:rsidP="00925F26">
      <w:pPr>
        <w:jc w:val="both"/>
        <w:rPr>
          <w:color w:val="000000" w:themeColor="text1"/>
          <w:sz w:val="16"/>
          <w:szCs w:val="16"/>
        </w:rPr>
      </w:pPr>
    </w:p>
    <w:p w14:paraId="5159AE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в Средней Азии начались испытательные работы со сбрасыванием и пусками самолетов-снарядов с Пе-8 4М-82 (7685).</w:t>
      </w:r>
    </w:p>
    <w:p w14:paraId="7899491C" w14:textId="77777777" w:rsidR="00665165" w:rsidRPr="00925F26" w:rsidRDefault="00665165" w:rsidP="00925F26">
      <w:pPr>
        <w:autoSpaceDE w:val="0"/>
        <w:autoSpaceDN w:val="0"/>
        <w:adjustRightInd w:val="0"/>
        <w:jc w:val="both"/>
        <w:rPr>
          <w:color w:val="000000" w:themeColor="text1"/>
          <w:sz w:val="16"/>
          <w:szCs w:val="16"/>
        </w:rPr>
      </w:pPr>
    </w:p>
    <w:p w14:paraId="2B96B7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при ГКО был организован Особый комитет под председательством Г.М.Маленкова с членами, представляющими Госплан, НКО, НКИД, НКВТ и т.п., а также Особое ГУ НКАП - координирующий орган по делам, связанным с демонтажем военно-промышленных предприятий в Советской зоне оккупации Германии, Румынии, Австрии, Венгрии и Чехословакии. Перечень авиазаводов для демонтажа был составлен в 1944 и включал 164 в Германии, 25 в Австрии, 9 в Венгрии, но было намного больше (1795,58).</w:t>
      </w:r>
    </w:p>
    <w:p w14:paraId="4FFD0FEF" w14:textId="77777777" w:rsidR="00665165" w:rsidRPr="00925F26" w:rsidRDefault="00665165" w:rsidP="00925F26">
      <w:pPr>
        <w:autoSpaceDE w:val="0"/>
        <w:autoSpaceDN w:val="0"/>
        <w:adjustRightInd w:val="0"/>
        <w:jc w:val="both"/>
        <w:rPr>
          <w:color w:val="000000" w:themeColor="text1"/>
          <w:sz w:val="16"/>
          <w:szCs w:val="16"/>
        </w:rPr>
      </w:pPr>
    </w:p>
    <w:p w14:paraId="3A5929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вышло постановление ГКО о вывозе с германских заводов документации и оборудования по радиолокаторам для организации производства в СССР (в ЦКБ-17) опытных образцов самолетной радиолокационной аппаратуры на основе трофеев (11765).</w:t>
      </w:r>
    </w:p>
    <w:p w14:paraId="099CDFDF" w14:textId="77777777" w:rsidR="00665165" w:rsidRPr="00925F26" w:rsidRDefault="00665165" w:rsidP="00925F26">
      <w:pPr>
        <w:autoSpaceDE w:val="0"/>
        <w:autoSpaceDN w:val="0"/>
        <w:adjustRightInd w:val="0"/>
        <w:jc w:val="both"/>
        <w:rPr>
          <w:color w:val="000000" w:themeColor="text1"/>
          <w:sz w:val="16"/>
          <w:szCs w:val="16"/>
        </w:rPr>
      </w:pPr>
    </w:p>
    <w:p w14:paraId="62451D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вышло:</w:t>
      </w:r>
    </w:p>
    <w:p w14:paraId="109B7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362AB0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Государственного Комитета Обороны о вывозе (демонтажу и отгрузке) немецкого оборудования в СССР (8994).</w:t>
      </w:r>
    </w:p>
    <w:p w14:paraId="1EB4D184" w14:textId="77777777" w:rsidR="00665165" w:rsidRPr="00925F26" w:rsidRDefault="00665165" w:rsidP="00925F26">
      <w:pPr>
        <w:autoSpaceDE w:val="0"/>
        <w:autoSpaceDN w:val="0"/>
        <w:adjustRightInd w:val="0"/>
        <w:jc w:val="both"/>
        <w:rPr>
          <w:color w:val="000000" w:themeColor="text1"/>
          <w:sz w:val="16"/>
          <w:szCs w:val="16"/>
        </w:rPr>
      </w:pPr>
    </w:p>
    <w:p w14:paraId="19D666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вышло:</w:t>
      </w:r>
    </w:p>
    <w:p w14:paraId="512379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58EA9631"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ПОСТАНОВЛЕНИЕ ГОСУДАРСТВЕННОГО КОМИТЕТА ОБОРОНЫ</w:t>
      </w:r>
    </w:p>
    <w:p w14:paraId="3A90C0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5E2D1B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Обязать Наркомавиапром - т. Шахурина вывезти на свои радиолокационные заводы оборудование и материалы со следующих немецких заводов, расположенных на территории Германии и Польши:</w:t>
      </w:r>
    </w:p>
    <w:p w14:paraId="03865C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с радиолокационного завода в Лейбусдорфе /в районе г. Мельча/ - 50 станков и материалы на опытный завод ЦКБ-17 НКАП в г. Москву, для производства опытных образцов самолетной радиолокационной аппаратуры;</w:t>
      </w:r>
    </w:p>
    <w:p w14:paraId="549256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 завода электрорадиооснащения мин фирмы "Шмидт" в г. Мариенвердер - 57 металлорежущих станков на завод N 287 НКАП в г. Ленинград для организации производства самолетной радиолокационной аппаратуры.</w:t>
      </w:r>
    </w:p>
    <w:p w14:paraId="0D197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Назначить руководителями демонтажа оборудования:</w:t>
      </w:r>
    </w:p>
    <w:p w14:paraId="247105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а)радиолокационного завода в Лейбусдорфе т. Федорова - Начальника производственного опытного завода ЦКБ-17 НКАП;</w:t>
      </w:r>
    </w:p>
    <w:p w14:paraId="1EDC1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завода электрорадиооснащения мин в г. Мариенвердер т. Иллювнева - главного инженера завода N 287. 3. Обязать Наркомавиапром - т. Шахурина командировать 20 человек инженерно-технических работников и квалифицированных рабочих для руководства демонтажем оборудования на немецких авиационных заводах в том числе в Лейбусдорф - 10 человек и в Мариенвердер - 10 человек.</w:t>
      </w:r>
    </w:p>
    <w:p w14:paraId="7B9A26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Обязать Начальника Главного Трофейного Управления Красной Армии - т. Вахитова:</w:t>
      </w:r>
    </w:p>
    <w:p w14:paraId="63CEE1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до 1 мая 1945 года произвести все работы по демонтажу и отгрузке на заводы N 287 /г. Ленинград/ и ЦКБ-17 НКАП /г. Москва/ оборудования и материалов с завода радиолокации в Лейбусдорфе /в районе Мальча/ и с завода "Шмидт" в Мариенвердере, начав работы с 1 апреля с.г.;</w:t>
      </w:r>
    </w:p>
    <w:p w14:paraId="12B4C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выделить для демонтажа и отгрузки указанного оборудования и материалов 100 человек /в том числе 50 человек в Лейбусдорф и 50 человек в Мариенвердер/.</w:t>
      </w:r>
    </w:p>
    <w:p w14:paraId="3C9E10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Обязать Командующего ВВС КА т. Новикова и Командующих 2 и 4 Воздушных Армий т.т. Красовского и Вершинина оказать Наркомавиапрому необходимую помощь людьми и транспортом в демонтаже и отгрузке оборудования с указанных заводов.</w:t>
      </w:r>
    </w:p>
    <w:p w14:paraId="16E590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Обязать НКПС т. Ковалева и Центральное Управление Военных Сообщений Красной Армии т. Дмитриева выделить по заявке Уполномоченных Особого Комитета при ГОКО т.т. Сабурова и Кучумова необходимое количество вагонов для отгрузки оборудования и материалов, перечисленных в пункте 1 настоящего постановления и установить контроль за их передвижением.</w:t>
      </w:r>
    </w:p>
    <w:p w14:paraId="7FE0AA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 (И. Сталин) (8987).</w:t>
      </w:r>
    </w:p>
    <w:p w14:paraId="68FE068D" w14:textId="77777777" w:rsidR="00665165" w:rsidRPr="00925F26" w:rsidRDefault="00665165" w:rsidP="00925F26">
      <w:pPr>
        <w:autoSpaceDE w:val="0"/>
        <w:autoSpaceDN w:val="0"/>
        <w:adjustRightInd w:val="0"/>
        <w:jc w:val="both"/>
        <w:rPr>
          <w:color w:val="000000" w:themeColor="text1"/>
          <w:sz w:val="16"/>
          <w:szCs w:val="16"/>
        </w:rPr>
      </w:pPr>
    </w:p>
    <w:p w14:paraId="744E2E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вышло:</w:t>
      </w:r>
    </w:p>
    <w:p w14:paraId="7647D3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3C9AE738"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ПОСТАНОВЛЕНИЕ ГОСУДАРСТВЕННОГО КОМИТЕТА ОБОРОНЫ</w:t>
      </w:r>
    </w:p>
    <w:p w14:paraId="1DA536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 посылке комиссии по вывозу оборудования и изучению работы немецкого Ракетного Института в Пеннемюнде</w:t>
      </w:r>
    </w:p>
    <w:p w14:paraId="6623AA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сохранения ценного оборудования и изучения на месте опыта работы немецкого Ракетного Института, расположенного в Пеннемюнде, Государственный Комитет Обороны ПОСТАНОВЛЯЕТ:</w:t>
      </w:r>
    </w:p>
    <w:p w14:paraId="016362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Обязать Наркомавиапром (т. Шахурина) командировать в г. Альтдам группу специалистов Наркомавиапрома по реактивным двигателям в количестве 6 человек.</w:t>
      </w:r>
    </w:p>
    <w:p w14:paraId="5CC7E5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Утвердить руководителем по изучению организации и опыта работ немецкого Ракетного Института в Пеннемюнде - Начальника филиала N 2 НИИ-1 Наркомавиапрома тов. ПОБЕДОНОСЦЕВА Ю.А.</w:t>
      </w:r>
    </w:p>
    <w:p w14:paraId="7BB0E8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После занятия войсками Красной Армии района Пеннемюнде, обязать Наркомавиапром (т.т. ШАХУРИНА и ПОБЕДОНОСЦЕВА):</w:t>
      </w:r>
    </w:p>
    <w:p w14:paraId="4CC1A4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организовать на месте охрану и изучение сохранившегося оборудования Ракетного Института;</w:t>
      </w:r>
    </w:p>
    <w:p w14:paraId="3BD125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обеспечить демонтаж и вывоз из Пеннемюнде сохранившегося имущества и оборудования Научно-исследовательских лабораторий и испытательных стендов Ракетного Института</w:t>
      </w:r>
    </w:p>
    <w:p w14:paraId="61911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Обязать Начальника Главного Трофейного Управления Красной Армии тов. ВАХТОВА, после занятия войсками Красной Армии района Пеннемюнде, немедленно приступить к демонтажу и отгрузке имущества немецкого Ракетного Института, обеспечив проведение этой работы в 10-ти дневный срок.</w:t>
      </w:r>
    </w:p>
    <w:p w14:paraId="16C0A8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 (И. Сталин) (8987).</w:t>
      </w:r>
    </w:p>
    <w:p w14:paraId="7805F3F4" w14:textId="77777777" w:rsidR="00665165" w:rsidRPr="00925F26" w:rsidRDefault="00665165" w:rsidP="00925F26">
      <w:pPr>
        <w:autoSpaceDE w:val="0"/>
        <w:autoSpaceDN w:val="0"/>
        <w:adjustRightInd w:val="0"/>
        <w:jc w:val="both"/>
        <w:rPr>
          <w:color w:val="000000" w:themeColor="text1"/>
          <w:sz w:val="16"/>
          <w:szCs w:val="16"/>
        </w:rPr>
      </w:pPr>
    </w:p>
    <w:p w14:paraId="176CD1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вышло:</w:t>
      </w:r>
    </w:p>
    <w:p w14:paraId="44A456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6F9AF6F5"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ПОСТАНОВЛЕНИЕ ГОСУДАРСТВЕННОГО КОМИТЕТА ОБОРОНЫ</w:t>
      </w:r>
    </w:p>
    <w:p w14:paraId="27010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 вывозе оборудования и материалов с завода N 1 фирмы "Асканиа-Верке" в г. Берлин Мариендорф, опытного приборного завода фирмы "Асканиа-Верке" в г. Берлин Фриденау и научно-исследовательских лабораторий и мастерских фирмы "Сименс" в Фалькензее (район Берлина)на предприятия Наркомавиапрома.</w:t>
      </w:r>
    </w:p>
    <w:p w14:paraId="6E0AB5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Государственный Комитет Обороны ПОСТАНОВЛЯЕТ:</w:t>
      </w:r>
    </w:p>
    <w:p w14:paraId="2BEF1F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Обязать Наркомавиапром (тов. Шахурина) вывезти оборудование и материалы:</w:t>
      </w:r>
    </w:p>
    <w:p w14:paraId="0F963B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с завода N 1 по производству авиационных приборов фирмы "Асканиа-Верке" в г. Берлин Мариендорф - 1000 единиц металлообрабатывающего оборудования на завод N 122 Наркомавиапрома в г. Москва для укомплектования московских авиаприборных заводов;</w:t>
      </w:r>
    </w:p>
    <w:p w14:paraId="117729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 опытного завода по производству приборов автоматического управления самолетом, оптических прецизионных приборов, дистанционных компасов и электрических приборов фирмы "Асканиа-Верке" в г. Берлин Фриденау - 250 металлообрабатывающих станков, а также аппаратуру и приборы на завод N 149 Наркомавиапрома в г. Раменское Московской области для производства авиаприборов.</w:t>
      </w:r>
    </w:p>
    <w:p w14:paraId="237649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оптического производства (30 станков для шлифовки линз) НКАП по прибытии передать НКВ;</w:t>
      </w:r>
    </w:p>
    <w:p w14:paraId="0BE8D8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научно-исследовательских лабораторий и мастерских по разработке новых типов радиолокационной аппаратуры "Сименс" в Фалькензее (район Берлина) - 200 станков и оборудование лабораторий в ЦКБ-17 Наркомавиапрома в г. Москва.</w:t>
      </w:r>
    </w:p>
    <w:p w14:paraId="7EB3CE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Утвердить руководителями работ по демонтажу и вывозу оборудования и материалов:</w:t>
      </w:r>
    </w:p>
    <w:p w14:paraId="53069F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с завода N 1 фирмы "Асканиа-Верке" в г. Берлин Мариендорф директора завода N 282 Наркомавиапром т. Романова Н.А. (8987).</w:t>
      </w:r>
    </w:p>
    <w:p w14:paraId="4024D3E5" w14:textId="77777777" w:rsidR="00665165" w:rsidRPr="00925F26" w:rsidRDefault="00665165" w:rsidP="00925F26">
      <w:pPr>
        <w:autoSpaceDE w:val="0"/>
        <w:autoSpaceDN w:val="0"/>
        <w:adjustRightInd w:val="0"/>
        <w:jc w:val="both"/>
        <w:rPr>
          <w:color w:val="000000" w:themeColor="text1"/>
          <w:sz w:val="16"/>
          <w:szCs w:val="16"/>
        </w:rPr>
      </w:pPr>
    </w:p>
    <w:p w14:paraId="5FE1DD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вышло постановление ГКО о вывозе с немецких заводов документации и оборудования по радиолокаторам для производства в СССР в ЦКБ-17 опытных образцов (1795,59).</w:t>
      </w:r>
    </w:p>
    <w:p w14:paraId="770C5A03" w14:textId="77777777" w:rsidR="00665165" w:rsidRPr="00925F26" w:rsidRDefault="00665165" w:rsidP="00925F26">
      <w:pPr>
        <w:autoSpaceDE w:val="0"/>
        <w:autoSpaceDN w:val="0"/>
        <w:adjustRightInd w:val="0"/>
        <w:jc w:val="both"/>
        <w:rPr>
          <w:color w:val="000000" w:themeColor="text1"/>
          <w:sz w:val="16"/>
          <w:szCs w:val="16"/>
        </w:rPr>
      </w:pPr>
    </w:p>
    <w:p w14:paraId="5F11B304" w14:textId="77777777" w:rsidR="0028571C" w:rsidRPr="001A0BAA" w:rsidRDefault="0028571C" w:rsidP="0028571C">
      <w:pPr>
        <w:jc w:val="both"/>
        <w:rPr>
          <w:color w:val="0070C0"/>
          <w:sz w:val="16"/>
          <w:szCs w:val="16"/>
        </w:rPr>
      </w:pPr>
      <w:r w:rsidRPr="001A0BAA">
        <w:rPr>
          <w:color w:val="0070C0"/>
          <w:sz w:val="16"/>
          <w:szCs w:val="16"/>
        </w:rPr>
        <w:t>В марте 1945 г. при ГКО был организован Особый комитет, председателем которого назначили Г. М. Маленкова. В состав комитета вошли представители Госплана, Наркоматов обороны, иностранных дел, внешней торговли и различных отраслей промышленности.</w:t>
      </w:r>
    </w:p>
    <w:p w14:paraId="450D8F92" w14:textId="77777777" w:rsidR="0028571C" w:rsidRPr="001A0BAA" w:rsidRDefault="0028571C" w:rsidP="0028571C">
      <w:pPr>
        <w:jc w:val="both"/>
        <w:rPr>
          <w:color w:val="0070C0"/>
          <w:sz w:val="16"/>
          <w:szCs w:val="16"/>
        </w:rPr>
      </w:pPr>
      <w:r w:rsidRPr="001A0BAA">
        <w:rPr>
          <w:color w:val="0070C0"/>
          <w:sz w:val="16"/>
          <w:szCs w:val="16"/>
        </w:rPr>
        <w:t>Комитет должен был координировать работы, связанные с демонтажем предприятий германской военной промышленности в зоне советской оккупации в Германии (включая Австрию), Румынии, Венгрии и Чехословакии.</w:t>
      </w:r>
    </w:p>
    <w:p w14:paraId="3449BC31" w14:textId="77777777" w:rsidR="0028571C" w:rsidRPr="001A0BAA" w:rsidRDefault="0028571C" w:rsidP="0028571C">
      <w:pPr>
        <w:jc w:val="both"/>
        <w:rPr>
          <w:color w:val="0070C0"/>
          <w:sz w:val="16"/>
          <w:szCs w:val="16"/>
        </w:rPr>
      </w:pPr>
      <w:r w:rsidRPr="001A0BAA">
        <w:rPr>
          <w:color w:val="0070C0"/>
          <w:sz w:val="16"/>
          <w:szCs w:val="16"/>
        </w:rPr>
        <w:t>В состав комитета включили и Особое главное управление НКАП, которому поручалось изучение немецкой авиационной промышленности и организация вывоза ценного оборудования на авиапредприятия в СССР.</w:t>
      </w:r>
    </w:p>
    <w:p w14:paraId="0BC569B6" w14:textId="77777777" w:rsidR="0028571C" w:rsidRPr="001A0BAA" w:rsidRDefault="0028571C" w:rsidP="0028571C">
      <w:pPr>
        <w:jc w:val="both"/>
        <w:rPr>
          <w:color w:val="0070C0"/>
          <w:sz w:val="16"/>
          <w:szCs w:val="16"/>
        </w:rPr>
      </w:pPr>
      <w:r w:rsidRPr="001A0BAA">
        <w:rPr>
          <w:color w:val="0070C0"/>
          <w:sz w:val="16"/>
          <w:szCs w:val="16"/>
        </w:rPr>
        <w:t>Вывоз оборудования и документации был проведен на 57 предприятиях фирмы «Юнкерс», 38 предприятиях фирмы «Арадо», 18 предприятиях фирмы «Хейнкель», 7 предприятиях фирмы «Фокке-Вульф», 6 предприятиях «Зибель», 5 предприятиях «Дорнье», 11 предприятиях «БМВ», 4 предприятиях «Даймлер-Бенц», 5 предприятиях «АЕГ», 7 предприятиях «Сименс», 3 предприятиях «Цейсс» и двух предприятиях «Аскания». А всего в советской зоне оккупации насчитывалось 600 авиапредприятий (25184).</w:t>
      </w:r>
    </w:p>
    <w:p w14:paraId="2F7530A7" w14:textId="77777777" w:rsidR="0028571C" w:rsidRPr="001A0BAA" w:rsidRDefault="0028571C" w:rsidP="0028571C">
      <w:pPr>
        <w:jc w:val="both"/>
        <w:rPr>
          <w:color w:val="0070C0"/>
          <w:sz w:val="16"/>
          <w:szCs w:val="16"/>
        </w:rPr>
      </w:pPr>
    </w:p>
    <w:p w14:paraId="3DD83FB9" w14:textId="77777777" w:rsidR="0028571C" w:rsidRPr="001A0BAA" w:rsidRDefault="0028571C" w:rsidP="0028571C">
      <w:pPr>
        <w:jc w:val="both"/>
        <w:rPr>
          <w:color w:val="0070C0"/>
          <w:sz w:val="16"/>
          <w:szCs w:val="16"/>
        </w:rPr>
      </w:pPr>
      <w:r w:rsidRPr="001A0BAA">
        <w:rPr>
          <w:color w:val="0070C0"/>
          <w:sz w:val="16"/>
          <w:szCs w:val="16"/>
        </w:rPr>
        <w:t>В марте 1945 г. при ГКО был организован особый коми</w:t>
      </w:r>
      <w:r w:rsidRPr="001A0BAA">
        <w:rPr>
          <w:color w:val="0070C0"/>
          <w:sz w:val="16"/>
          <w:szCs w:val="16"/>
        </w:rPr>
        <w:softHyphen/>
        <w:t>тет под председательством Г.М. Маленкова. В состав комите</w:t>
      </w:r>
      <w:r w:rsidRPr="001A0BAA">
        <w:rPr>
          <w:color w:val="0070C0"/>
          <w:sz w:val="16"/>
          <w:szCs w:val="16"/>
        </w:rPr>
        <w:softHyphen/>
        <w:t>та были введены представители Госплана, Наркомата оборо</w:t>
      </w:r>
      <w:r w:rsidRPr="001A0BAA">
        <w:rPr>
          <w:color w:val="0070C0"/>
          <w:sz w:val="16"/>
          <w:szCs w:val="16"/>
        </w:rPr>
        <w:softHyphen/>
        <w:t>ны, Наркомата иностранных дел, внешней торговли, различ</w:t>
      </w:r>
      <w:r w:rsidRPr="001A0BAA">
        <w:rPr>
          <w:color w:val="0070C0"/>
          <w:sz w:val="16"/>
          <w:szCs w:val="16"/>
        </w:rPr>
        <w:softHyphen/>
        <w:t>ных отраслей промышленности. Комитет обязан был осуществлять координацию работ, связанных с демонтажем предприятий военной промышленности в советской оккупационной зоне Германии, Румынии, Австрии, Венгрии, Чехос</w:t>
      </w:r>
      <w:r w:rsidRPr="001A0BAA">
        <w:rPr>
          <w:color w:val="0070C0"/>
          <w:sz w:val="16"/>
          <w:szCs w:val="16"/>
        </w:rPr>
        <w:softHyphen/>
        <w:t>ловакии.</w:t>
      </w:r>
    </w:p>
    <w:p w14:paraId="2C1179DE" w14:textId="77777777" w:rsidR="0028571C" w:rsidRPr="001A0BAA" w:rsidRDefault="0028571C" w:rsidP="0028571C">
      <w:pPr>
        <w:jc w:val="both"/>
        <w:rPr>
          <w:color w:val="0070C0"/>
          <w:sz w:val="16"/>
          <w:szCs w:val="16"/>
        </w:rPr>
      </w:pPr>
      <w:r w:rsidRPr="001A0BAA">
        <w:rPr>
          <w:color w:val="0070C0"/>
          <w:sz w:val="16"/>
          <w:szCs w:val="16"/>
        </w:rPr>
        <w:t>В составе комитета находилось и Особое главное управле</w:t>
      </w:r>
      <w:r w:rsidRPr="001A0BAA">
        <w:rPr>
          <w:color w:val="0070C0"/>
          <w:sz w:val="16"/>
          <w:szCs w:val="16"/>
        </w:rPr>
        <w:softHyphen/>
        <w:t>ние НКАП, которое должно было решать задачи по изучению немецкой авиапромышленности и организовать вывоз на со</w:t>
      </w:r>
      <w:r w:rsidRPr="001A0BAA">
        <w:rPr>
          <w:color w:val="0070C0"/>
          <w:sz w:val="16"/>
          <w:szCs w:val="16"/>
        </w:rPr>
        <w:softHyphen/>
        <w:t>ветские авиапредприятия ценного оборудования/</w:t>
      </w:r>
    </w:p>
    <w:p w14:paraId="357D1570" w14:textId="77777777" w:rsidR="0028571C" w:rsidRPr="001A0BAA" w:rsidRDefault="0028571C" w:rsidP="0028571C">
      <w:pPr>
        <w:jc w:val="both"/>
        <w:rPr>
          <w:color w:val="0070C0"/>
          <w:sz w:val="16"/>
          <w:szCs w:val="16"/>
        </w:rPr>
      </w:pPr>
      <w:r w:rsidRPr="001A0BAA">
        <w:rPr>
          <w:color w:val="0070C0"/>
          <w:sz w:val="16"/>
          <w:szCs w:val="16"/>
        </w:rPr>
        <w:t>Репарации коснулись многих предприятий, принадлежа</w:t>
      </w:r>
      <w:r w:rsidRPr="001A0BAA">
        <w:rPr>
          <w:color w:val="0070C0"/>
          <w:sz w:val="16"/>
          <w:szCs w:val="16"/>
        </w:rPr>
        <w:softHyphen/>
        <w:t>щих крупным консорциумам «Юнкере» (57 заводов), «Арадо» (38), «Хейнкель» (18), «Фокке-Вульф» (7), «Зибель» (6), «Дорнье»(5), «БМВ» (11), «Даймлер-Бенц» (4), «АЕГ» (5), «Сименс» (7), «Цейс» (3), «Аскания» (2) [63].</w:t>
      </w:r>
    </w:p>
    <w:p w14:paraId="1AAC30B9" w14:textId="77777777" w:rsidR="0028571C" w:rsidRPr="001A0BAA" w:rsidRDefault="0028571C" w:rsidP="0028571C">
      <w:pPr>
        <w:jc w:val="both"/>
        <w:rPr>
          <w:color w:val="0070C0"/>
          <w:sz w:val="16"/>
          <w:szCs w:val="16"/>
        </w:rPr>
      </w:pPr>
      <w:r w:rsidRPr="001A0BAA">
        <w:rPr>
          <w:color w:val="0070C0"/>
          <w:sz w:val="16"/>
          <w:szCs w:val="16"/>
        </w:rPr>
        <w:t>Всего в зоне оккупации советских войск оказалось 600 за</w:t>
      </w:r>
      <w:r w:rsidRPr="001A0BAA">
        <w:rPr>
          <w:color w:val="0070C0"/>
          <w:sz w:val="16"/>
          <w:szCs w:val="16"/>
        </w:rPr>
        <w:softHyphen/>
        <w:t>водов и фабрик. Большинство из авиазаводов и фабрик нахо</w:t>
      </w:r>
      <w:r w:rsidRPr="001A0BAA">
        <w:rPr>
          <w:color w:val="0070C0"/>
          <w:sz w:val="16"/>
          <w:szCs w:val="16"/>
        </w:rPr>
        <w:softHyphen/>
        <w:t>дилось в неработоспособном состоянии, а некоторые из них были почти полностью уничтожены сильными бомбардиров</w:t>
      </w:r>
      <w:r w:rsidRPr="001A0BAA">
        <w:rPr>
          <w:color w:val="0070C0"/>
          <w:sz w:val="16"/>
          <w:szCs w:val="16"/>
        </w:rPr>
        <w:softHyphen/>
        <w:t>ками (24920).</w:t>
      </w:r>
    </w:p>
    <w:p w14:paraId="5AD5E42D" w14:textId="77777777" w:rsidR="0028571C" w:rsidRPr="001A0BAA" w:rsidRDefault="0028571C" w:rsidP="0028571C">
      <w:pPr>
        <w:jc w:val="both"/>
        <w:rPr>
          <w:color w:val="0070C0"/>
          <w:sz w:val="16"/>
          <w:szCs w:val="16"/>
        </w:rPr>
      </w:pPr>
    </w:p>
    <w:p w14:paraId="2FE621C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AAA65FF" w14:textId="77777777" w:rsidR="00665165" w:rsidRPr="00925F26" w:rsidRDefault="00665165" w:rsidP="00925F26">
      <w:pPr>
        <w:autoSpaceDE w:val="0"/>
        <w:autoSpaceDN w:val="0"/>
        <w:adjustRightInd w:val="0"/>
        <w:jc w:val="both"/>
        <w:rPr>
          <w:iCs/>
          <w:color w:val="000000" w:themeColor="text1"/>
          <w:sz w:val="16"/>
          <w:szCs w:val="16"/>
        </w:rPr>
      </w:pPr>
    </w:p>
    <w:p w14:paraId="6617C2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Ленинградский филиал ЦАКБ преобразовывается в Морское артиллерийское центральное конструкторское бюро (МАЦКБ). Начальником и главным конструктором МАЦКБ назначают И. Иванова. В МАЦКБ (в последующем ЦКБ-34) разрабатывались проекты универсальных артиллерийских установок среднего калибра и качающихся частей орудий для различных башенных установок, башенных установок для орудий среднего и крупного калибра. Коллективом КБ было создано большое количество современных образцов отечественного артиллерийского вооружения для кораблей ВМФ различных классов и береговой обороны, а также пусковые установки для ракетного вооружения различных родов войск. Это прежде всего орудия главного калибра для крейсеров, универсальные полуавтоматические установки среднего калибра для крейсеров и эсминцев, корабельные дальномерные посты со сложными оптическими приборами, артиллерийские системы береговой обороны различного калибра на механической тяге, со специальной системой обнаружения целей и управления огнем, и многие другие машины иного назначения, по своим характеристикам не уступающие аналогичным иностранным образцам (11268).</w:t>
      </w:r>
    </w:p>
    <w:p w14:paraId="389CD489" w14:textId="77777777" w:rsidR="00665165" w:rsidRPr="00925F26" w:rsidRDefault="00665165" w:rsidP="00925F26">
      <w:pPr>
        <w:autoSpaceDE w:val="0"/>
        <w:autoSpaceDN w:val="0"/>
        <w:adjustRightInd w:val="0"/>
        <w:jc w:val="both"/>
        <w:rPr>
          <w:color w:val="000000" w:themeColor="text1"/>
          <w:sz w:val="16"/>
          <w:szCs w:val="16"/>
        </w:rPr>
      </w:pPr>
    </w:p>
    <w:p w14:paraId="72AECD89" w14:textId="77777777" w:rsidR="0085285E" w:rsidRPr="001A0BAA" w:rsidRDefault="0085285E" w:rsidP="0085285E">
      <w:pPr>
        <w:jc w:val="both"/>
        <w:rPr>
          <w:color w:val="0070C0"/>
          <w:sz w:val="16"/>
          <w:szCs w:val="16"/>
        </w:rPr>
      </w:pPr>
      <w:r w:rsidRPr="001A0BAA">
        <w:rPr>
          <w:rStyle w:val="aff0"/>
          <w:rFonts w:ascii="Times New Roman" w:hAnsi="Times New Roman" w:cs="Times New Roman"/>
          <w:color w:val="0070C0"/>
          <w:spacing w:val="0"/>
          <w:sz w:val="16"/>
          <w:szCs w:val="16"/>
        </w:rPr>
        <w:t>В марте 1945 г. постановлением ГКО Ленинградский филиал ЦАКБ преобразован в самостоятельное предприятие — Морское Артиллерийское Центральное конструкторское бюро (МАЦКБ). Оно работало по-прежнему под началом Иванова. В своих воспоминаниях о Грабине АП. Худяков утверждает, что Грабин благожелательно относился к разделу ЦАКБ (25440):</w:t>
      </w:r>
    </w:p>
    <w:p w14:paraId="371008B1" w14:textId="77777777" w:rsidR="0085285E" w:rsidRPr="001A0BAA" w:rsidRDefault="0085285E" w:rsidP="0085285E">
      <w:pPr>
        <w:jc w:val="both"/>
        <w:rPr>
          <w:color w:val="0070C0"/>
          <w:sz w:val="16"/>
          <w:szCs w:val="16"/>
        </w:rPr>
      </w:pPr>
    </w:p>
    <w:p w14:paraId="739263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Кировский завод возобновил выпуск тяжелых танков, выпустив первый тяжёлый танк (4018).</w:t>
      </w:r>
    </w:p>
    <w:p w14:paraId="520346D6" w14:textId="77777777" w:rsidR="00665165" w:rsidRPr="00925F26" w:rsidRDefault="00665165" w:rsidP="00925F26">
      <w:pPr>
        <w:autoSpaceDE w:val="0"/>
        <w:autoSpaceDN w:val="0"/>
        <w:adjustRightInd w:val="0"/>
        <w:jc w:val="both"/>
        <w:rPr>
          <w:color w:val="000000" w:themeColor="text1"/>
          <w:sz w:val="16"/>
          <w:szCs w:val="16"/>
        </w:rPr>
      </w:pPr>
    </w:p>
    <w:p w14:paraId="62C155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года проект новой установки, которой было присвоено наиме</w:t>
      </w:r>
      <w:r w:rsidRPr="00925F26">
        <w:rPr>
          <w:color w:val="000000" w:themeColor="text1"/>
          <w:sz w:val="16"/>
          <w:szCs w:val="16"/>
        </w:rPr>
        <w:softHyphen/>
        <w:t>нование "Уралмаш-1", был представлен в Технический совет НКТП и Военный совет БТ и МВ. Учитывая исключительно большую инициативу, проявленную заводом при создании новой установки, машине было присвоено наиме</w:t>
      </w:r>
      <w:r w:rsidRPr="00925F26">
        <w:rPr>
          <w:color w:val="000000" w:themeColor="text1"/>
          <w:sz w:val="16"/>
          <w:szCs w:val="16"/>
        </w:rPr>
        <w:softHyphen/>
        <w:t>нование "Уралмаш-1". В разработке машины активное участие приняли конструкторы А.М. Лехтцид, И.И. Эммануилов, А.Г. Гайворонских, Г.Ф. Ксюнин, И.Ф. Вахрушев, Л.А. Пинус, Е.К. Карлинский, Е.И. Линькова, Д.А. Гериев, В.Л. Лихоманов, Н.Н. Ефимов, А.Д. Нехлюдов и др. (10703).</w:t>
      </w:r>
    </w:p>
    <w:p w14:paraId="2DF582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E8AB9FC"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марте 1945 года сварили три корпуса «Уралмаша-1», а 27 апреля, то есть раньше заданного срока, в испытательный пробег отправился первый образец. Как и следовало из приказа НКТП №107с, первой изготовили СУ-101, вооружённую 100-мм пушкой Д-10С.</w:t>
      </w:r>
    </w:p>
    <w:p w14:paraId="6B0DD827"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сравнению с исходным проектом СУ-100М2 произошли существенные изменения, в том числе с точки зрения компоновки машины. От идеи размещения трансмиссии и ведущих колёс благоразумно отказались, поскольку это снижало объём боевого отделения и усложняло моторно-трансмиссионную группу. Теперь ведущие колёса и трансмиссия размещались в лобовой части корпуса. Разумеется, это усложняло обслуживание, вместе с тем ситуация выглядела не столь критично. Дело в том, что надмоторная плита состояла из двух секций, при этом для демонтажа коробки передач требовалось повернуть орудие максимально влево, поднять переднюю секцию плиты и снять радиатор, после чего можно было приступать к демонтажу КПП. Сложно, но по сравнению с чудесами эквилибристики, которые требовались для монтажа КПП у Jagdpanther, не так и проблемно. Сложнее обстояли дела с демонтажем и обслуживанием силовой установки. Там без демонтажа орудийной установки обойтись уже было невозможно.</w:t>
      </w:r>
    </w:p>
    <w:p w14:paraId="0D2A47AF" w14:textId="462E151E"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Существенным образом переработали и боевое отделение. В связи с обеспечением большей защиты бортов объём боевого отделения уменьшился, что привело к снижению боекомплекта. Вместо 40 патронов к Д-10С вместилось 36 штук. Вместе с тем за счёт исчезновения из боевого отделения элементов трансмиссии и кожуха вала его высота выросла. Кроме того, на уменьшение боекомплекта к Д-10С повлияла установка зенитного пулемёта ДШКМ. Боекомплект к зенитному пулемёту составил 7 коробок, не считая 16 дисков к пистолетам-пулемётам</w:t>
      </w:r>
      <w:r w:rsidR="00997EDF" w:rsidRPr="00925F26">
        <w:rPr>
          <w:color w:val="000000" w:themeColor="text1"/>
          <w:sz w:val="16"/>
          <w:szCs w:val="16"/>
        </w:rPr>
        <w:t xml:space="preserve">  </w:t>
      </w:r>
      <w:hyperlink r:id="rId83" w:history="1">
        <w:r w:rsidRPr="00925F26">
          <w:rPr>
            <w:rStyle w:val="a5"/>
            <w:rFonts w:eastAsiaTheme="majorEastAsia"/>
            <w:bCs/>
            <w:iCs/>
            <w:color w:val="000000" w:themeColor="text1"/>
            <w:sz w:val="16"/>
            <w:szCs w:val="16"/>
            <w:bdr w:val="none" w:sz="0" w:space="0" w:color="auto" w:frame="1"/>
          </w:rPr>
          <w:t>ППШ</w:t>
        </w:r>
      </w:hyperlink>
      <w:r w:rsidRPr="00925F26">
        <w:rPr>
          <w:color w:val="000000" w:themeColor="text1"/>
          <w:sz w:val="16"/>
          <w:szCs w:val="16"/>
        </w:rPr>
        <w:t>.</w:t>
      </w:r>
    </w:p>
    <w:p w14:paraId="2A0CAD43"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Перекомпоновка и увеличение броневой защиты сказались на боевой массе СУ-101. Она составила 34,09 т, то есть на 1,5 т больше проекта, подготовленного в марте 1945 года. С другой стороны, кормовое расположение боевого отделения позволило распределить эту нагрузку более равномерно. Кроме того, по результатам переработки проекта вылет ствола за пределы корпуса составил всего 600 мм. Вместе с тем срочность разработки машины не позволила реализовать некоторые из требований по доработке «Уралмаш-1». Например, тоннель из отделения управления в боевое отделение был предусмотрен, но отсутствовала изоляция моторно-трансмиссионного отделения. Имелись и другие недоработки, которые выявились уже в ходе заводских испытаний.</w:t>
      </w:r>
    </w:p>
    <w:p w14:paraId="435FAF04"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результатам первой обкатки СУ-100, проведённой 27 апреля 1945 года, были получены предварительные результаты. Отмечалось равномерное распределение нагрузки на опорные катки и хорошая работа торсионной подвески. Как показали первые испытания, подвижность СУ-101 не уступала СУ-100, поскольку на машине стоял более мощный двигатель В-44. Отмечался и хороший обзор с места механика-водителя. В отличие от Т-44, люк механика-водителя не вращался вокруг своей оси, но сохранился перископический прибор MK-IV, а также возможность ехать в походном положении, высунувшись из люка. Также похвалы удостоился люк-дверца в кормовом листе рубки, облегчавший попадание внутрь боевого отделения и упрощавший загрузку боекомплекта.</w:t>
      </w:r>
    </w:p>
    <w:p w14:paraId="48CA17D3" w14:textId="729CDDA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Впрочем, хватало и отрицательных моментов. Одним из главнейших стал перегрев отделения управления. Виной тому стало отсутствие подобающей изоляции моторно-трансмиссионного отделения. Конечно, можно вспомнить Т-60,</w:t>
      </w:r>
      <w:r w:rsidR="00997EDF" w:rsidRPr="00925F26">
        <w:rPr>
          <w:color w:val="000000" w:themeColor="text1"/>
          <w:sz w:val="16"/>
          <w:szCs w:val="16"/>
        </w:rPr>
        <w:t xml:space="preserve">  </w:t>
      </w:r>
      <w:hyperlink r:id="rId84" w:history="1">
        <w:r w:rsidRPr="00925F26">
          <w:rPr>
            <w:rStyle w:val="a5"/>
            <w:rFonts w:eastAsiaTheme="majorEastAsia"/>
            <w:bCs/>
            <w:iCs/>
            <w:color w:val="000000" w:themeColor="text1"/>
            <w:sz w:val="16"/>
            <w:szCs w:val="16"/>
            <w:bdr w:val="none" w:sz="0" w:space="0" w:color="auto" w:frame="1"/>
          </w:rPr>
          <w:t>Т-70</w:t>
        </w:r>
      </w:hyperlink>
      <w:r w:rsidR="00997EDF" w:rsidRPr="00925F26">
        <w:rPr>
          <w:color w:val="000000" w:themeColor="text1"/>
          <w:sz w:val="16"/>
          <w:szCs w:val="16"/>
        </w:rPr>
        <w:t xml:space="preserve">  </w:t>
      </w:r>
      <w:r w:rsidRPr="00925F26">
        <w:rPr>
          <w:color w:val="000000" w:themeColor="text1"/>
          <w:sz w:val="16"/>
          <w:szCs w:val="16"/>
        </w:rPr>
        <w:t xml:space="preserve">и СУ-76М, где также по большей части отсутствовала моторная перегородка, но сравнивать лёгкие машины со средней САУ, имеющей куда более крупный и мощный мотор, некорректно. К тому же перегрев шёл и от коробки передач, и от </w:t>
      </w:r>
      <w:r w:rsidRPr="00925F26">
        <w:rPr>
          <w:color w:val="000000" w:themeColor="text1"/>
          <w:sz w:val="16"/>
          <w:szCs w:val="16"/>
        </w:rPr>
        <w:lastRenderedPageBreak/>
        <w:t>тормозных лент. В результате уже весной ощущался серьёзный перегрев, от которого страдал прежде всего механик-водитель. Даже при открытом люке механик-водитель смог проехать по шоссе не более 7 км, после чего ему пришлось покинуть СУ-101. При этом температура воды и масла составляла 100-110 градусов. О марше длиной 10-15 км пришлось и вовсе забыть.</w:t>
      </w:r>
    </w:p>
    <w:p w14:paraId="0C00DEA9"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Проблемы выявились не только с перегревом. Работа рычагом КПП оказалась неудобной: он был слишком сильно смещён вправо, не говоря уже о том, что сильно нагревался. Неудачной признали и идею с монтажом рычагов управления на верхнем лобовом листе. При попадании снарядов в верхний лобовой лист существовал высокий риск вывода их из строя, да и само расположение оказывалось неудобным. По этой причине во время испытания корпуса СУ-101 обстрелом размещение рычагов управления не учитывали.</w:t>
      </w:r>
    </w:p>
    <w:p w14:paraId="186AA72E"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Проблемы, выявившиеся по результатам первых заводских испытаний, заставили существенно дорабатывать вторую опытную машину. В результате на испытания опытный образец СУ-102 вышел существенно позже графика — 24 июня 1945 года. Изначально от СУ-101 данная машина должна была отличаться орудийной установкой. В связи с тем, что система Д-25с отличалась большей массой, СУ-102 получилась тяжелее — 34,77 т. Боекомплект при этом снизился до 28 выстрелов. Впрочем, у СУ-122П боекомплект был ещё меньше (26 выстрелов), также не следует забывать о наличии в боекомплекте 4 коробов к ДШКМ.</w:t>
      </w:r>
    </w:p>
    <w:p w14:paraId="4E9C4283"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в конструкцию СУ-102 внесли 10 пунктов изменений. Для начала, система управления оказалась перекомпонованной. С верхнего лобового листа крепления большей части рычагов перенесли на пол. Сиденье механика-водителя перенесли на 250 мм назад, установили новые смотровые приборы в люке механика-водителя. Много работы было проведено и с точки зрения улучшения ситуации с температурным режимом. Ввели дополнительный вентилятор для обдува КПП и бортовых фрикционов, а также обдув коллектора мотора. Для снижения перегрева были установлены моторные перегородки, которые также прикрывали элементы трансмиссии; наконец, был увеличен водяной радиатор.</w:t>
      </w:r>
    </w:p>
    <w:p w14:paraId="5BB07B46"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второго обкаточного пробега выяснилось, что благодаря перекомпоновке системы управления управлять СУ-102 оказалось не менее удобно, чем СУ-100. Улучшилась ситуация и с температурным режимом. По крайней мере теперь машина могла безостановочно пройти 25-30 км. Впрочем, на низших передачах перегрев никуда не делся, что констатировали и представители УЗТМ. В результате обе машины отправились на доработку. Перед проведением основного этапа заводских испытаний обе машины прошли модернизацию. Теперь засос воздуха для двигателя осуществлялся не из моторного, а из боевого отделения. Для улучшения ситуации в отделении управления были сделаны двойные металлические стенки с асбестовой прокладкой, а секции перегородок герметизировали.</w:t>
      </w:r>
    </w:p>
    <w:p w14:paraId="1C76048C"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Перед пробеговыми испытаниями обе машины проверили на стрельбище. Расчёт СУ-101 смог произвести 10 выстрелов за 2 минуты 15 секунд, при этом были задействованы укладки как слева, так и справа. Отмечалось, что загазованность внутри боевого отделения оставалась в пределах нормы, нормально работал и электроспуск. Аналогичным образом прошли и огневые испытания СУ-102. При стрельбе была получена скорострельность 2 выстрела в минуту (19525).</w:t>
      </w:r>
    </w:p>
    <w:p w14:paraId="769939B6"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p>
    <w:p w14:paraId="6F47E690"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марте 1945 начались работы по реализации проекта Уралмаш-1. За этот месяц корпусной цех УЗТМ успел заложить и изготовить три корпуса, как и указывалось в приказе по НКТП №107с. Таким образом, уже в марте проектная документация по «Уралмаш-1», по крайней мере, касающаяся корпуса, уже была готова.</w:t>
      </w:r>
    </w:p>
    <w:p w14:paraId="34650E6F"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Финальный вариант корпуса «Уралмаш-1» имел немало отличий от СУ-100М2. Для начала толщина лобовой части рубки была увеличена до 120 мм, а бортовые листы рубки усилили до 90 мм. При этом существенно увеличился угол наклона бортов рубки — до 45 градусов. Это было сделано для большей стойкости бортов рубки к фланговому огню. Большое внимание к защите бортов оказалось неслучайным. Как показывали исследования поражаемости отечественной бронетанковой техники, процент попаданий, полученных от флангового огня, был высок. Поэтому, в отличие от немецких танков и САУ, советские боевые машины нового поколения предполагали высокий уровень защиты бортов. Правда, при этом создавались некоторые трудности с размещением расчёта боевого отделения. Например, для командирской башенки пришлось делать специальный прилив на левом борту рубки. Кроме того, по сравнению с СУ-100М2 снизилось число люков в крыше боевого отделения. Остались только командирская башенка и люк под панорамный прицел. Вентилятор также пришлось смещать — с центра крыши в задний правый угол (19525)</w:t>
      </w:r>
    </w:p>
    <w:p w14:paraId="23E7965C"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p>
    <w:p w14:paraId="06801FB1" w14:textId="77777777" w:rsidR="0091536A" w:rsidRPr="00925F26" w:rsidRDefault="0091536A" w:rsidP="00925F26">
      <w:pPr>
        <w:jc w:val="both"/>
        <w:rPr>
          <w:color w:val="000000" w:themeColor="text1"/>
          <w:sz w:val="16"/>
          <w:szCs w:val="16"/>
        </w:rPr>
      </w:pPr>
      <w:r w:rsidRPr="00925F26">
        <w:rPr>
          <w:color w:val="000000" w:themeColor="text1"/>
          <w:sz w:val="16"/>
          <w:szCs w:val="16"/>
        </w:rPr>
        <w:t>В марте 1945 было принято 250 танков ИС-2, при этом снова отмечалось улучшение их качества. С апреля объёмы производства стали постепенно снижаться, что было связано с запуском в серию долгожданного преемника — ИС-3. Хотя ни одной новой машины из 25 запланированных в апреле не приняли (хотя и собрали), для ИС-2 уже начался финальный отсчёт. В этом месяце было сдано 230 таких танков, в мае — ещё 155 ИС-2 и первые 100 ИС-3. Последние пять ИС-2 на ЧКЗ сдали в июне 1945 года.</w:t>
      </w:r>
    </w:p>
    <w:p w14:paraId="7C4C7BB9" w14:textId="77777777" w:rsidR="0091536A" w:rsidRPr="00925F26" w:rsidRDefault="0091536A" w:rsidP="00925F26">
      <w:pPr>
        <w:jc w:val="both"/>
        <w:rPr>
          <w:color w:val="000000" w:themeColor="text1"/>
          <w:sz w:val="16"/>
          <w:szCs w:val="16"/>
        </w:rPr>
      </w:pPr>
      <w:r w:rsidRPr="00925F26">
        <w:rPr>
          <w:color w:val="000000" w:themeColor="text1"/>
          <w:sz w:val="16"/>
          <w:szCs w:val="16"/>
        </w:rPr>
        <w:t>Кстати, машины в 1945 году подешевели: в начале января 1945 года цена на ИС-2 составляла 280 тысяч рублей, а машины, выпущенные во втором квартале 1945 года, обходились в 250 тысяч рублей за штуку.</w:t>
      </w:r>
    </w:p>
    <w:p w14:paraId="1D3371C7" w14:textId="77777777" w:rsidR="0091536A" w:rsidRPr="00925F26" w:rsidRDefault="0091536A" w:rsidP="00925F26">
      <w:pPr>
        <w:jc w:val="both"/>
        <w:rPr>
          <w:color w:val="000000" w:themeColor="text1"/>
          <w:sz w:val="16"/>
          <w:szCs w:val="16"/>
        </w:rPr>
      </w:pPr>
      <w:r w:rsidRPr="00925F26">
        <w:rPr>
          <w:color w:val="000000" w:themeColor="text1"/>
          <w:sz w:val="16"/>
          <w:szCs w:val="16"/>
        </w:rPr>
        <w:t>Всего с декабря 1943 по июнь 1945 года ЧКЗ сдал 3385 ИС-2. В июне отгрузили последние 63 машины, на заводе остался всего один ИС-2, который проходил длительные испытания. В октябре 1945 года вместо этой машины, которая требовала капитального ремонта, завод сдал лишний танк ИС-3 (18099).</w:t>
      </w:r>
    </w:p>
    <w:p w14:paraId="59A0A5A6" w14:textId="77777777" w:rsidR="0091536A" w:rsidRPr="00925F26" w:rsidRDefault="0091536A" w:rsidP="00925F26">
      <w:pPr>
        <w:jc w:val="both"/>
        <w:rPr>
          <w:color w:val="000000" w:themeColor="text1"/>
          <w:sz w:val="16"/>
          <w:szCs w:val="16"/>
        </w:rPr>
      </w:pPr>
    </w:p>
    <w:p w14:paraId="02FFC0A7" w14:textId="77777777" w:rsidR="0091536A" w:rsidRPr="00925F26" w:rsidRDefault="0091536A" w:rsidP="00925F26">
      <w:pPr>
        <w:jc w:val="both"/>
        <w:rPr>
          <w:color w:val="000000" w:themeColor="text1"/>
          <w:sz w:val="16"/>
          <w:szCs w:val="16"/>
        </w:rPr>
      </w:pPr>
      <w:r w:rsidRPr="00925F26">
        <w:rPr>
          <w:color w:val="000000" w:themeColor="text1"/>
          <w:sz w:val="16"/>
          <w:szCs w:val="16"/>
        </w:rPr>
        <w:t>В марте 1945 ЛКЗ наконец сдал первые пять ИС-2, причём в их числе оказалась и машина, собранная ещё в сентябре 1944 года. Как ни комично прозвучит, но в Ленинграде в 1945 году были сданы танки с конструкцией лета 1944 года. Это были машины со старой лобовой деталью корпуса, да и башни для них выпустили не позднее лета 1944 года. Поскольку корпусное производство на месте освоено не было, использовался задел завода №200. Причём машины получились очень дорогими: по 350 тысяч рублей за штуку. В документах за апрель 1945 года говорилось, что окончательно машины будут сданы только в июне. Похоже, на ЛКЗ к тому времени уже поняли: с производством ИС-2 дело у них явно не клеится. Гораздо лучше дела обстояли с ИСУ-152.</w:t>
      </w:r>
    </w:p>
    <w:p w14:paraId="288E7700" w14:textId="77777777" w:rsidR="0091536A" w:rsidRPr="00925F26" w:rsidRDefault="0091536A" w:rsidP="00925F26">
      <w:pPr>
        <w:jc w:val="both"/>
        <w:rPr>
          <w:color w:val="000000" w:themeColor="text1"/>
          <w:sz w:val="16"/>
          <w:szCs w:val="16"/>
        </w:rPr>
      </w:pPr>
      <w:r w:rsidRPr="00925F26">
        <w:rPr>
          <w:color w:val="000000" w:themeColor="text1"/>
          <w:sz w:val="16"/>
          <w:szCs w:val="16"/>
        </w:rPr>
        <w:t>Всего в Ленинграде построили десять ИС-2: пять машин сдали в мае, а мартовские окончательно приняли в июне. После этого выпуск тяжёлых танков здесь прекратили. Второй производственной площадки для ИС-2 не появилось (18099).</w:t>
      </w:r>
    </w:p>
    <w:p w14:paraId="7C77F48B" w14:textId="77777777" w:rsidR="0091536A" w:rsidRPr="00925F26" w:rsidRDefault="0091536A" w:rsidP="00925F26">
      <w:pPr>
        <w:jc w:val="both"/>
        <w:rPr>
          <w:color w:val="000000" w:themeColor="text1"/>
          <w:sz w:val="16"/>
          <w:szCs w:val="16"/>
        </w:rPr>
      </w:pPr>
    </w:p>
    <w:p w14:paraId="20ED7C86" w14:textId="77777777" w:rsidR="0091536A" w:rsidRPr="00925F26" w:rsidRDefault="0091536A" w:rsidP="00925F26">
      <w:pPr>
        <w:jc w:val="both"/>
        <w:rPr>
          <w:color w:val="000000" w:themeColor="text1"/>
          <w:sz w:val="16"/>
          <w:szCs w:val="16"/>
        </w:rPr>
      </w:pPr>
      <w:r w:rsidRPr="00925F26">
        <w:rPr>
          <w:color w:val="000000" w:themeColor="text1"/>
          <w:sz w:val="16"/>
          <w:szCs w:val="16"/>
        </w:rPr>
        <w:t>В марте 1945 с огромным трудом на заводе ЛКЗ сдали пять ИС-2, да и те с корпусами завода №200, причём произведёнными ещё в первой половине 1944 года.</w:t>
      </w:r>
    </w:p>
    <w:p w14:paraId="51CED641" w14:textId="77777777" w:rsidR="0091536A" w:rsidRPr="00925F26" w:rsidRDefault="0091536A" w:rsidP="00925F26">
      <w:pPr>
        <w:jc w:val="both"/>
        <w:rPr>
          <w:color w:val="000000" w:themeColor="text1"/>
          <w:sz w:val="16"/>
          <w:szCs w:val="16"/>
        </w:rPr>
      </w:pPr>
      <w:r w:rsidRPr="00925F26">
        <w:rPr>
          <w:color w:val="000000" w:themeColor="text1"/>
          <w:sz w:val="16"/>
          <w:szCs w:val="16"/>
        </w:rPr>
        <w:t>В случае с ИСУ-152 ни о каких корпусах из задела не было и речи, обеспечение ими полностью легло на Ижорский завод. Общая конструкция корпуса и рубки ИСУ-152 выпуска Ижорского завода повторяла конструкцию изделий головного производителя — УЗТМ. На Ижорском заводе обошлись без литой носовой детали корпуса, как и на УЗТМ, в Ленинграде стали строить корпуса с катаными носовыми деталями корпуса. Это существенно упростило задачу, поскольку с литьём на Ижорском заводе ситуация была далеко не идеальной (18171).</w:t>
      </w:r>
    </w:p>
    <w:p w14:paraId="06FE5096" w14:textId="77777777" w:rsidR="0091536A" w:rsidRPr="00925F26" w:rsidRDefault="0091536A" w:rsidP="00925F26">
      <w:pPr>
        <w:jc w:val="both"/>
        <w:rPr>
          <w:color w:val="000000" w:themeColor="text1"/>
          <w:sz w:val="16"/>
          <w:szCs w:val="16"/>
        </w:rPr>
      </w:pPr>
    </w:p>
    <w:p w14:paraId="65663D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окончательный вид САУ с задним распо</w:t>
      </w:r>
      <w:r w:rsidRPr="00925F26">
        <w:rPr>
          <w:color w:val="000000" w:themeColor="text1"/>
          <w:sz w:val="16"/>
          <w:szCs w:val="16"/>
        </w:rPr>
        <w:softHyphen/>
        <w:t>ложением боевого отделения был утвержден в Техсовете НКТП и ГБТУ. Опытный образец новой САУ предписыва</w:t>
      </w:r>
      <w:r w:rsidRPr="00925F26">
        <w:rPr>
          <w:color w:val="000000" w:themeColor="text1"/>
          <w:sz w:val="16"/>
          <w:szCs w:val="16"/>
        </w:rPr>
        <w:softHyphen/>
        <w:t>лось изготовить к 1 мая 1945 г. Но традиционная компоновка не желала сдавать свои позиции. Видимо, характеристики и внешний вид «ягдпантеры» подстегнули НКТП к выдаче тог</w:t>
      </w:r>
      <w:r w:rsidRPr="00925F26">
        <w:rPr>
          <w:color w:val="000000" w:themeColor="text1"/>
          <w:sz w:val="16"/>
          <w:szCs w:val="16"/>
        </w:rPr>
        <w:softHyphen/>
        <w:t>да же заказа на разработку САУ с передним расположением боевого отделения и вооружением и бронированием, анало</w:t>
      </w:r>
      <w:r w:rsidRPr="00925F26">
        <w:rPr>
          <w:color w:val="000000" w:themeColor="text1"/>
          <w:sz w:val="16"/>
          <w:szCs w:val="16"/>
        </w:rPr>
        <w:softHyphen/>
        <w:t>гичным САУ «Уралмаш-1» на шасси танка Т-44. САУ полу</w:t>
      </w:r>
      <w:r w:rsidRPr="00925F26">
        <w:rPr>
          <w:color w:val="000000" w:themeColor="text1"/>
          <w:sz w:val="16"/>
          <w:szCs w:val="16"/>
        </w:rPr>
        <w:softHyphen/>
        <w:t>чила рабочее название «Гром-1» (СУ-100-44) или «Гром-2» (СУ-122-44). Однако весной 1945 г. в Кубинке были проведе</w:t>
      </w:r>
      <w:r w:rsidRPr="00925F26">
        <w:rPr>
          <w:color w:val="000000" w:themeColor="text1"/>
          <w:sz w:val="16"/>
          <w:szCs w:val="16"/>
        </w:rPr>
        <w:softHyphen/>
        <w:t>ны совместные ипытания СУ-100 и «ягдпантеры», в ходе которых вновь подтвердился тезис о нецелесообразности фронтального размещения оружия в САУ классической ком</w:t>
      </w:r>
      <w:r w:rsidRPr="00925F26">
        <w:rPr>
          <w:color w:val="000000" w:themeColor="text1"/>
          <w:sz w:val="16"/>
          <w:szCs w:val="16"/>
        </w:rPr>
        <w:softHyphen/>
        <w:t>поновки. Проектирование САУ «Гром» было прекращено. Самоход же «Уралмаш-1» начали изготавливать в двух эк</w:t>
      </w:r>
      <w:r w:rsidRPr="00925F26">
        <w:rPr>
          <w:color w:val="000000" w:themeColor="text1"/>
          <w:sz w:val="16"/>
          <w:szCs w:val="16"/>
        </w:rPr>
        <w:softHyphen/>
        <w:t>земплярах с вооружением из 100-мм орудия Д-ЮС (СУ-101) и 122-мм Д-25-44С (СУ-102). Орудие Д-25-44С отличалось от Д-25С унитарным выстрелом (по типу Д-25-44 танка Т-44). Казалось, машину ждал путь, увитый лаврами, но при испы</w:t>
      </w:r>
      <w:r w:rsidRPr="00925F26">
        <w:rPr>
          <w:color w:val="000000" w:themeColor="text1"/>
          <w:sz w:val="16"/>
          <w:szCs w:val="16"/>
        </w:rPr>
        <w:softHyphen/>
        <w:t>тании корпуса первой САУ обстрелом военные сочли его не</w:t>
      </w:r>
      <w:r w:rsidRPr="00925F26">
        <w:rPr>
          <w:color w:val="000000" w:themeColor="text1"/>
          <w:sz w:val="16"/>
          <w:szCs w:val="16"/>
        </w:rPr>
        <w:softHyphen/>
        <w:t>достаточно прочным в кормовой части. Кормовая броня тол</w:t>
      </w:r>
      <w:r w:rsidRPr="00925F26">
        <w:rPr>
          <w:color w:val="000000" w:themeColor="text1"/>
          <w:sz w:val="16"/>
          <w:szCs w:val="16"/>
        </w:rPr>
        <w:softHyphen/>
        <w:t>щиной 30 мм была прорвана разрывом 122-мм фугасной гра</w:t>
      </w:r>
      <w:r w:rsidRPr="00925F26">
        <w:rPr>
          <w:color w:val="000000" w:themeColor="text1"/>
          <w:sz w:val="16"/>
          <w:szCs w:val="16"/>
        </w:rPr>
        <w:softHyphen/>
        <w:t>наты с расстояния 300 м, а эвакуационная дверь для экипажа была сорвана с петель. Однако Л.И. Горлицкий отказался увеличивать свыше 45 мм толщину кормовой брони, аргу</w:t>
      </w:r>
      <w:r w:rsidRPr="00925F26">
        <w:rPr>
          <w:color w:val="000000" w:themeColor="text1"/>
          <w:sz w:val="16"/>
          <w:szCs w:val="16"/>
        </w:rPr>
        <w:softHyphen/>
        <w:t>ментировав, что попадания в корму столь мощных фугасных гранат в реальном бою чрезвычайно редки, а утяжеление ни</w:t>
      </w:r>
      <w:r w:rsidRPr="00925F26">
        <w:rPr>
          <w:color w:val="000000" w:themeColor="text1"/>
          <w:sz w:val="16"/>
          <w:szCs w:val="16"/>
        </w:rPr>
        <w:softHyphen/>
        <w:t>когда не сказывалось на машине положительно. Представитель заказчика пытался настаивать на своем, но в результате некоторых уступок конструкторы победили (11417).</w:t>
      </w:r>
    </w:p>
    <w:p w14:paraId="1E4766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B706584" w14:textId="77777777" w:rsidR="0085285E" w:rsidRPr="001A0BAA" w:rsidRDefault="0085285E" w:rsidP="0085285E">
      <w:pPr>
        <w:jc w:val="both"/>
        <w:rPr>
          <w:color w:val="0070C0"/>
          <w:sz w:val="16"/>
          <w:szCs w:val="16"/>
        </w:rPr>
      </w:pPr>
      <w:r w:rsidRPr="001A0BAA">
        <w:rPr>
          <w:color w:val="0070C0"/>
          <w:sz w:val="16"/>
          <w:szCs w:val="16"/>
        </w:rPr>
        <w:t>В марте 1945 года в Технический совет Наркомтанкопрома и в Военный совет Бронетанковых и меха</w:t>
      </w:r>
      <w:r w:rsidRPr="001A0BAA">
        <w:rPr>
          <w:color w:val="0070C0"/>
          <w:sz w:val="16"/>
          <w:szCs w:val="16"/>
        </w:rPr>
        <w:softHyphen/>
        <w:t>низированных войск Красной Армии был представлен окончательный проект САУ с задним расположением боевого отделе</w:t>
      </w:r>
      <w:r w:rsidRPr="001A0BAA">
        <w:rPr>
          <w:color w:val="0070C0"/>
          <w:sz w:val="16"/>
          <w:szCs w:val="16"/>
        </w:rPr>
        <w:softHyphen/>
        <w:t>ния. По результатам обсуждения проекта Нарком танковой промышленности издал приказ №107 от 7 марта 1945 года, в соот</w:t>
      </w:r>
      <w:r w:rsidRPr="001A0BAA">
        <w:rPr>
          <w:color w:val="0070C0"/>
          <w:sz w:val="16"/>
          <w:szCs w:val="16"/>
        </w:rPr>
        <w:softHyphen/>
        <w:t>ветствии с которым для доработки был оставлен только проект САУ с задним рас</w:t>
      </w:r>
      <w:r w:rsidRPr="001A0BAA">
        <w:rPr>
          <w:color w:val="0070C0"/>
          <w:sz w:val="16"/>
          <w:szCs w:val="16"/>
        </w:rPr>
        <w:softHyphen/>
        <w:t>положением боевого отделения и назна</w:t>
      </w:r>
      <w:r w:rsidRPr="001A0BAA">
        <w:rPr>
          <w:color w:val="0070C0"/>
          <w:sz w:val="16"/>
          <w:szCs w:val="16"/>
        </w:rPr>
        <w:softHyphen/>
        <w:t>чен срок изготовления опытного образца — 1 мая 1945 года (25002).</w:t>
      </w:r>
    </w:p>
    <w:p w14:paraId="21F375B6" w14:textId="77777777" w:rsidR="0085285E" w:rsidRPr="001A0BAA" w:rsidRDefault="0085285E" w:rsidP="0085285E">
      <w:pPr>
        <w:jc w:val="both"/>
        <w:rPr>
          <w:color w:val="0070C0"/>
          <w:sz w:val="16"/>
          <w:szCs w:val="16"/>
        </w:rPr>
      </w:pPr>
    </w:p>
    <w:p w14:paraId="742CA591" w14:textId="77777777" w:rsidR="00095C37" w:rsidRPr="00925F26" w:rsidRDefault="00095C37" w:rsidP="00925F26">
      <w:pPr>
        <w:jc w:val="both"/>
        <w:rPr>
          <w:color w:val="000000" w:themeColor="text1"/>
          <w:sz w:val="16"/>
          <w:szCs w:val="16"/>
        </w:rPr>
      </w:pPr>
      <w:r w:rsidRPr="00925F26">
        <w:rPr>
          <w:color w:val="000000" w:themeColor="text1"/>
          <w:sz w:val="16"/>
          <w:szCs w:val="16"/>
        </w:rPr>
        <w:t>В марте 1945 года впервые упомянута разработка спарки 122-мм орудий Д-25с на шасси ИСУ. Проекты танков СТ-I и СТ-II прибыли в отдел изобретений ГБТУ КА в мае 1945 года, буквально спустя 2 месяца (23482).</w:t>
      </w:r>
    </w:p>
    <w:p w14:paraId="6FD8AF66" w14:textId="77777777" w:rsidR="00095C37" w:rsidRPr="00925F26" w:rsidRDefault="00095C37" w:rsidP="00925F26">
      <w:pPr>
        <w:jc w:val="both"/>
        <w:rPr>
          <w:color w:val="000000" w:themeColor="text1"/>
          <w:sz w:val="16"/>
          <w:szCs w:val="16"/>
        </w:rPr>
      </w:pPr>
    </w:p>
    <w:p w14:paraId="34232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w:t>
      </w:r>
      <w:r w:rsidRPr="00925F26">
        <w:rPr>
          <w:color w:val="000000" w:themeColor="text1"/>
          <w:sz w:val="16"/>
          <w:szCs w:val="16"/>
        </w:rPr>
        <w:softHyphen/>
        <w:t>те 1945 года пушка ЛБ-1 на Т-34-100 была заменена на пушку Д-10Т такого же калибра. В период с 6 по 27 апреля совместно с танком Т-34, оснащен</w:t>
      </w:r>
      <w:r w:rsidRPr="00925F26">
        <w:rPr>
          <w:color w:val="000000" w:themeColor="text1"/>
          <w:sz w:val="16"/>
          <w:szCs w:val="16"/>
        </w:rPr>
        <w:softHyphen/>
        <w:t>ным 100-мм пушкой ЛБ-1 (ОКБ завода № 92), машина успешно прошла сравнительные испытания на ГАНИОПс. В связи с тем, что 100-мм пушка рассматривалась в качестве основного оружия для среднего тан</w:t>
      </w:r>
      <w:r w:rsidRPr="00925F26">
        <w:rPr>
          <w:color w:val="000000" w:themeColor="text1"/>
          <w:sz w:val="16"/>
          <w:szCs w:val="16"/>
        </w:rPr>
        <w:softHyphen/>
        <w:t>ка Т-54, имевшего более мощное бронирование, чем танк Т-34, вопрос о ее постановке в средний танк Т-34 командованием БТ и МВ перед про</w:t>
      </w:r>
      <w:r w:rsidRPr="00925F26">
        <w:rPr>
          <w:color w:val="000000" w:themeColor="text1"/>
          <w:sz w:val="16"/>
          <w:szCs w:val="16"/>
        </w:rPr>
        <w:softHyphen/>
        <w:t>мышленностью не поднимался. Танк на вооружение не принимался и в серийном производстве не состоял (10703).</w:t>
      </w:r>
    </w:p>
    <w:p w14:paraId="44030F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47344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марте 1945 года Т-34-100 с орудием ЛБ-1 в штатной башне Т-34/85 был отправлен для проведения фронтовых испытаний Курляндию. В 1945 году при предпринимались попытки также установить на Т-34 100-мм пушки ЗИС-100 и 100-мм орудие Д-10-34. Существовало как минимум два прототипа: Т-34/100 со штатной башней Т-34/85 и Т-34/100 с большой башней, для установки которой пришлось даже немного переконструировать корпус. Танки на вооружение приняты не были и в боях не участвовали. (3862).</w:t>
      </w:r>
    </w:p>
    <w:p w14:paraId="1516D689" w14:textId="77777777" w:rsidR="00665165" w:rsidRPr="00925F26" w:rsidRDefault="00665165" w:rsidP="00925F26">
      <w:pPr>
        <w:autoSpaceDE w:val="0"/>
        <w:autoSpaceDN w:val="0"/>
        <w:adjustRightInd w:val="0"/>
        <w:jc w:val="both"/>
        <w:rPr>
          <w:color w:val="000000" w:themeColor="text1"/>
          <w:sz w:val="16"/>
          <w:szCs w:val="16"/>
        </w:rPr>
      </w:pPr>
    </w:p>
    <w:p w14:paraId="28311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100-мм нарезную пушку Д- 100Т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925F26">
        <w:rPr>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7DD60984" w14:textId="77777777" w:rsidR="00665165" w:rsidRPr="00925F26" w:rsidRDefault="00665165" w:rsidP="00925F26">
      <w:pPr>
        <w:autoSpaceDE w:val="0"/>
        <w:autoSpaceDN w:val="0"/>
        <w:adjustRightInd w:val="0"/>
        <w:jc w:val="both"/>
        <w:rPr>
          <w:color w:val="000000" w:themeColor="text1"/>
          <w:sz w:val="16"/>
          <w:szCs w:val="16"/>
        </w:rPr>
      </w:pPr>
    </w:p>
    <w:p w14:paraId="07DEDCF5" w14:textId="77777777" w:rsidR="00BD44E6" w:rsidRPr="00925F26" w:rsidRDefault="00BD44E6" w:rsidP="00925F26">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925F26">
        <w:rPr>
          <w:rFonts w:ascii="Times New Roman" w:hAnsi="Times New Roman" w:cs="Times New Roman"/>
          <w:color w:val="000000" w:themeColor="text1"/>
          <w:spacing w:val="0"/>
          <w:sz w:val="16"/>
          <w:szCs w:val="16"/>
        </w:rPr>
        <w:t>В марте 1945 года Нижнетагильский завод №183 начал выпускать ведущие колеса диаметром 650 мм вместо обычных 634 мм. Диаметр окружности осей роликов при этом не менялся и был равен тем же 492 мм, что и на ведущих колесах старого типа. Диаметр колеса увеличили для улучшения условий работы гусеницы и снижения износа гребней траков. Дело в том, что шаг трака равнялся 172 мм только на новых деталях, но в ходе эксплуатации отверстия под пальцы и они сами довольно быстро изнашивались и деформировались, увеличивая это значение. В результате ролики ведущего колеса начи</w:t>
      </w:r>
      <w:r w:rsidRPr="00925F26">
        <w:rPr>
          <w:rFonts w:ascii="Times New Roman" w:hAnsi="Times New Roman" w:cs="Times New Roman"/>
          <w:color w:val="000000" w:themeColor="text1"/>
          <w:spacing w:val="0"/>
          <w:sz w:val="16"/>
          <w:szCs w:val="16"/>
        </w:rPr>
        <w:softHyphen/>
        <w:t>нали зацеплять гребни ближе к основанию и с более резкими ударами. Омский завод №174 колеса диаметром 650 мм, видимо, не производил, но при ремонтах иногда само</w:t>
      </w:r>
      <w:r w:rsidRPr="00925F26">
        <w:rPr>
          <w:rFonts w:ascii="Times New Roman" w:hAnsi="Times New Roman" w:cs="Times New Roman"/>
          <w:color w:val="000000" w:themeColor="text1"/>
          <w:spacing w:val="0"/>
          <w:sz w:val="16"/>
          <w:szCs w:val="16"/>
        </w:rPr>
        <w:softHyphen/>
        <w:t>ходки получали такие колеса завода №183.</w:t>
      </w:r>
    </w:p>
    <w:p w14:paraId="0BCF5AFB" w14:textId="77777777" w:rsidR="00BD44E6" w:rsidRPr="00925F26" w:rsidRDefault="00BD44E6" w:rsidP="00925F26">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925F26">
        <w:rPr>
          <w:rFonts w:ascii="Times New Roman" w:hAnsi="Times New Roman" w:cs="Times New Roman"/>
          <w:color w:val="000000" w:themeColor="text1"/>
          <w:spacing w:val="0"/>
          <w:sz w:val="16"/>
          <w:szCs w:val="16"/>
        </w:rPr>
        <w:t>Колпаки ступиц опорных катков получили в центральной части болты-пробки с шайбами для упрощения смазки подшипников. Нижне</w:t>
      </w:r>
      <w:r w:rsidRPr="00925F26">
        <w:rPr>
          <w:rFonts w:ascii="Times New Roman" w:hAnsi="Times New Roman" w:cs="Times New Roman"/>
          <w:color w:val="000000" w:themeColor="text1"/>
          <w:spacing w:val="0"/>
          <w:sz w:val="16"/>
          <w:szCs w:val="16"/>
        </w:rPr>
        <w:softHyphen/>
        <w:t>тагильский завод №183 ввел это новшество на своих Т-34-85 еще с 3 октября 1945 года, последние машины завода №174, видимо, уже получали такие колпаки на сборочной линии, но массово на всех СУ-100 они появляются только в 1950-51 гг. при ремонтах (19931).</w:t>
      </w:r>
    </w:p>
    <w:p w14:paraId="2CE1F699" w14:textId="77777777" w:rsidR="00BD44E6" w:rsidRPr="00925F26" w:rsidRDefault="00BD44E6" w:rsidP="00925F26">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0F0CFAF6" w14:textId="77777777" w:rsidR="0085285E" w:rsidRPr="001A0BAA" w:rsidRDefault="0085285E" w:rsidP="0085285E">
      <w:pPr>
        <w:jc w:val="both"/>
        <w:rPr>
          <w:color w:val="0070C0"/>
          <w:sz w:val="16"/>
          <w:szCs w:val="16"/>
        </w:rPr>
      </w:pPr>
      <w:r w:rsidRPr="001A0BAA">
        <w:rPr>
          <w:color w:val="0070C0"/>
          <w:sz w:val="16"/>
          <w:szCs w:val="16"/>
        </w:rPr>
        <w:t>В марте 1945 ш. на заводе № 75 произошел резкий поворот в сторону установления серийной технологии и укрепления технологической дисциплины. К июлю 1945 года серийные техпроцессы были полностью внедрены во всех цехах и обеспечены необходимой оснасткой.</w:t>
      </w:r>
    </w:p>
    <w:p w14:paraId="0004634C" w14:textId="77777777" w:rsidR="0085285E" w:rsidRPr="001A0BAA" w:rsidRDefault="0085285E" w:rsidP="0085285E">
      <w:pPr>
        <w:jc w:val="both"/>
        <w:rPr>
          <w:color w:val="0070C0"/>
          <w:sz w:val="16"/>
          <w:szCs w:val="16"/>
        </w:rPr>
      </w:pPr>
      <w:r w:rsidRPr="001A0BAA">
        <w:rPr>
          <w:color w:val="0070C0"/>
          <w:sz w:val="16"/>
          <w:szCs w:val="16"/>
        </w:rPr>
        <w:t>Улучшению качества выпуска танков во многом способствовало создание в мар</w:t>
      </w:r>
      <w:r w:rsidRPr="001A0BAA">
        <w:rPr>
          <w:color w:val="0070C0"/>
          <w:sz w:val="16"/>
          <w:szCs w:val="16"/>
        </w:rPr>
        <w:softHyphen/>
        <w:t>те 1945 года бюро эксплуатации, организо</w:t>
      </w:r>
      <w:r w:rsidRPr="001A0BAA">
        <w:rPr>
          <w:color w:val="0070C0"/>
          <w:sz w:val="16"/>
          <w:szCs w:val="16"/>
        </w:rPr>
        <w:softHyphen/>
        <w:t>ванного при отделе технического контро</w:t>
      </w:r>
      <w:r w:rsidRPr="001A0BAA">
        <w:rPr>
          <w:color w:val="0070C0"/>
          <w:sz w:val="16"/>
          <w:szCs w:val="16"/>
        </w:rPr>
        <w:softHyphen/>
        <w:t>ля (ОТК) завода. Оно занималось изучением и обобщением опыта эксплуатации машин в частях, анализировало причины поломок и повторяющихся дефектов, выявляемых в процессе производства и испытания Т-44 на заводе.</w:t>
      </w:r>
    </w:p>
    <w:p w14:paraId="4362095D" w14:textId="77777777" w:rsidR="0085285E" w:rsidRPr="001A0BAA" w:rsidRDefault="0085285E" w:rsidP="0085285E">
      <w:pPr>
        <w:jc w:val="both"/>
        <w:rPr>
          <w:color w:val="0070C0"/>
          <w:sz w:val="16"/>
          <w:szCs w:val="16"/>
        </w:rPr>
      </w:pPr>
      <w:r w:rsidRPr="001A0BAA">
        <w:rPr>
          <w:color w:val="0070C0"/>
          <w:sz w:val="16"/>
          <w:szCs w:val="16"/>
        </w:rPr>
        <w:t>Кроме того, в марте 1945 года при главном инженере завода № 75 была образована по</w:t>
      </w:r>
      <w:r w:rsidRPr="001A0BAA">
        <w:rPr>
          <w:color w:val="0070C0"/>
          <w:sz w:val="16"/>
          <w:szCs w:val="16"/>
        </w:rPr>
        <w:softHyphen/>
        <w:t>стоянная аварийная комиссия. В ее состав вошли главный конструктор, главный ме</w:t>
      </w:r>
      <w:r w:rsidRPr="001A0BAA">
        <w:rPr>
          <w:color w:val="0070C0"/>
          <w:sz w:val="16"/>
          <w:szCs w:val="16"/>
        </w:rPr>
        <w:softHyphen/>
        <w:t>таллург, главный технолог, начальник ОТК, старший вонпред и ряд других лиц.</w:t>
      </w:r>
    </w:p>
    <w:p w14:paraId="230E1BD1" w14:textId="77777777" w:rsidR="0085285E" w:rsidRPr="001A0BAA" w:rsidRDefault="0085285E" w:rsidP="0085285E">
      <w:pPr>
        <w:jc w:val="both"/>
        <w:rPr>
          <w:color w:val="0070C0"/>
          <w:sz w:val="16"/>
          <w:szCs w:val="16"/>
        </w:rPr>
      </w:pPr>
      <w:r w:rsidRPr="001A0BAA">
        <w:rPr>
          <w:color w:val="0070C0"/>
          <w:sz w:val="16"/>
          <w:szCs w:val="16"/>
        </w:rPr>
        <w:t>В задачи комиссии входило расследование всех случаев поломки и аварии танков, воз</w:t>
      </w:r>
      <w:r w:rsidRPr="001A0BAA">
        <w:rPr>
          <w:color w:val="0070C0"/>
          <w:sz w:val="16"/>
          <w:szCs w:val="16"/>
        </w:rPr>
        <w:softHyphen/>
        <w:t>никающих в процессе испытаний, а также внедрение мероприятий по предупреждению повторения этих случаев в будущем (25012).</w:t>
      </w:r>
    </w:p>
    <w:p w14:paraId="6F4DD8E5" w14:textId="77777777" w:rsidR="0085285E" w:rsidRPr="001A0BAA" w:rsidRDefault="0085285E" w:rsidP="0085285E">
      <w:pPr>
        <w:jc w:val="both"/>
        <w:rPr>
          <w:color w:val="0070C0"/>
          <w:sz w:val="16"/>
          <w:szCs w:val="16"/>
        </w:rPr>
      </w:pPr>
    </w:p>
    <w:p w14:paraId="173803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после проведенной доработки опыт</w:t>
      </w:r>
      <w:r w:rsidRPr="00925F26">
        <w:rPr>
          <w:color w:val="000000" w:themeColor="text1"/>
          <w:sz w:val="16"/>
          <w:szCs w:val="16"/>
        </w:rPr>
        <w:softHyphen/>
        <w:t>ный образец танка Т-54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925F26">
        <w:rPr>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5AE7DA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BA6835E"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марте 1945 года была представлена Финальная версия проекта СУ-100М2. По итогам доработок и усиления бронирования боевая масса выросла до 32,4 т. Несмотря на это, руководство НКТП оценило новую разработку КБ УЗТМ. 7 марта 1945 года был подписан приказ по НКТП №107с, согласно которому проект утвердили, присвоив ему обозначение «Уралмаш-1». Согласно приказу, к 1 мая предполагалось получить первый образец, вооружённый 100-мм орудием Д-10С, он получал индекс СУ-101. К 15 мая изготовлялся второй образец, имевший индекс СУ-102, он получал 122-мм орудие Д-25с. Также изготовлялся корпус «Уралмаш-1», предназначавшийся для обстрела. В проект вносились последние изменения перед изготовлением. Перерабатывалась система охлаждения и вентиляция боевого отделения, изолировалось моторно-трансмиссионное отделение, боекомплект возрастал до 40 выстрелов, усиливалась подвеска и повышалась броневая защита орудия, а также нижнего лобового листа (19525).</w:t>
      </w:r>
    </w:p>
    <w:p w14:paraId="0E0A6CEA" w14:textId="77777777" w:rsidR="00BA1885" w:rsidRPr="00925F26" w:rsidRDefault="00BA1885" w:rsidP="00925F26">
      <w:pPr>
        <w:pStyle w:val="ae"/>
        <w:shd w:val="clear" w:color="auto" w:fill="FFFFFF"/>
        <w:spacing w:before="0" w:after="0"/>
        <w:jc w:val="both"/>
        <w:textAlignment w:val="baseline"/>
        <w:rPr>
          <w:color w:val="000000" w:themeColor="text1"/>
          <w:sz w:val="16"/>
          <w:szCs w:val="16"/>
        </w:rPr>
      </w:pPr>
    </w:p>
    <w:p w14:paraId="50AD4BE0" w14:textId="77777777" w:rsidR="0085285E" w:rsidRPr="001A0BAA" w:rsidRDefault="0085285E" w:rsidP="0085285E">
      <w:pPr>
        <w:jc w:val="both"/>
        <w:rPr>
          <w:color w:val="0070C0"/>
          <w:sz w:val="16"/>
          <w:szCs w:val="16"/>
        </w:rPr>
      </w:pPr>
      <w:r w:rsidRPr="001A0BAA">
        <w:rPr>
          <w:color w:val="0070C0"/>
          <w:sz w:val="16"/>
          <w:szCs w:val="16"/>
        </w:rPr>
        <w:t>В марте 1945 г. на заводе ГАЗ им. Молотова приступили к модернизации машины, работы закончились 28 марта. Одним только орудием дело не ограничилось. Рубку переработали, в частности, командир получил новый смотровой прибор (как указывалось, по типу M4A2, похожие призмы позже использовались на БТР-40). Доработали и кормовую часть рубки. За счет того, что заднюю стенку чуть выдвинули назад, удалось выкроить чуть больше места. Также появилась полноценная дверь, на которую вынесли часть снарядной укладки. Это позволило поднять боекомплект до 43 унитаров, а главное, более удобно его разместить.</w:t>
      </w:r>
    </w:p>
    <w:p w14:paraId="23449E9A" w14:textId="77777777" w:rsidR="0085285E" w:rsidRPr="001A0BAA" w:rsidRDefault="0085285E" w:rsidP="0085285E">
      <w:pPr>
        <w:jc w:val="both"/>
        <w:rPr>
          <w:color w:val="0070C0"/>
          <w:sz w:val="16"/>
          <w:szCs w:val="16"/>
        </w:rPr>
      </w:pPr>
      <w:r w:rsidRPr="001A0BAA">
        <w:rPr>
          <w:color w:val="0070C0"/>
          <w:sz w:val="16"/>
          <w:szCs w:val="16"/>
        </w:rPr>
        <w:t>Изменилась САУ и внутри. Для начала, в боевом отделении переделали сиденья наводчика и заряжающего. Переделали верхний бачок радиатора, а также чуть срезали защитный кожух радиатора. Это позволило увеличить углы горизонтальной наводки орудия. За счёт новых отводок бортовых фрикционов усилия на рычаги уменьшились с 27 до 15 килограмм. Наконец, двигатели закрыли съемными перегородками. Сами двигатели форсировали, мощность выросла до 160 лошадиных сил. Это было верным решением, поскольку масса САУ выросла до 12,4 тонн. За счет повышения мощности силовой установки (она именовалась ГАЗ-15Б) удельная мощность сохранилась на уровне серийной СУ-76М (24993).</w:t>
      </w:r>
    </w:p>
    <w:p w14:paraId="1A8545B3" w14:textId="77777777" w:rsidR="0085285E" w:rsidRPr="001A0BAA" w:rsidRDefault="0085285E" w:rsidP="0085285E">
      <w:pPr>
        <w:jc w:val="both"/>
        <w:rPr>
          <w:color w:val="0070C0"/>
          <w:sz w:val="16"/>
          <w:szCs w:val="16"/>
        </w:rPr>
      </w:pPr>
    </w:p>
    <w:p w14:paraId="41011696" w14:textId="77777777" w:rsidR="00483606" w:rsidRPr="00925F26" w:rsidRDefault="00483606"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В марте 1945 года первые M4A2E8 поступили в Советский Союз. Эти машины прибыли с конвоем JW-65 — в нём, к слову, шёл транспорт SS Thomas Donaldson, с которого не так давно </w:t>
      </w:r>
      <w:hyperlink r:id="rId85" w:history="1">
        <w:r w:rsidRPr="00925F26">
          <w:rPr>
            <w:rStyle w:val="a5"/>
            <w:color w:val="000000" w:themeColor="text1"/>
            <w:sz w:val="16"/>
            <w:szCs w:val="16"/>
            <w:u w:val="none"/>
          </w:rPr>
          <w:t>подняли несколько M4A2(76)W</w:t>
        </w:r>
      </w:hyperlink>
      <w:r w:rsidRPr="00925F26">
        <w:rPr>
          <w:color w:val="000000" w:themeColor="text1"/>
          <w:sz w:val="16"/>
          <w:szCs w:val="16"/>
        </w:rPr>
        <w:t xml:space="preserve">. Всего с конвоем JW-65 пришло 34 M4A2E8, почти все из них направили в Горьковский АБТ Центр. Танк с регистрационным номером U.S.A. 30122430, прибывший в Мурманск 21 марта </w:t>
      </w:r>
      <w:proofErr w:type="gramStart"/>
      <w:r w:rsidRPr="00925F26">
        <w:rPr>
          <w:color w:val="000000" w:themeColor="text1"/>
          <w:sz w:val="16"/>
          <w:szCs w:val="16"/>
        </w:rPr>
        <w:t>вместе с семью</w:t>
      </w:r>
      <w:proofErr w:type="gramEnd"/>
      <w:r w:rsidRPr="00925F26">
        <w:rPr>
          <w:color w:val="000000" w:themeColor="text1"/>
          <w:sz w:val="16"/>
          <w:szCs w:val="16"/>
        </w:rPr>
        <w:t xml:space="preserve"> M4A2E8 на борту транспорта SS Eleazar Lord (</w:t>
      </w:r>
      <w:hyperlink r:id="rId86" w:history="1">
        <w:r w:rsidRPr="00925F26">
          <w:rPr>
            <w:rStyle w:val="a5"/>
            <w:color w:val="000000" w:themeColor="text1"/>
            <w:sz w:val="16"/>
            <w:szCs w:val="16"/>
          </w:rPr>
          <w:t>типа Liberty</w:t>
        </w:r>
      </w:hyperlink>
      <w:r w:rsidRPr="00925F26">
        <w:rPr>
          <w:color w:val="000000" w:themeColor="text1"/>
          <w:sz w:val="16"/>
          <w:szCs w:val="16"/>
        </w:rPr>
        <w:t>), 25 марта был отправлен на НИБТ Полигон в Кубинку. 3 апреля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 (17725).</w:t>
      </w:r>
    </w:p>
    <w:p w14:paraId="61CC6091" w14:textId="77777777" w:rsidR="00483606" w:rsidRPr="00925F26" w:rsidRDefault="00483606" w:rsidP="00925F26">
      <w:pPr>
        <w:jc w:val="both"/>
        <w:rPr>
          <w:rStyle w:val="107"/>
          <w:rFonts w:eastAsiaTheme="minorHAnsi"/>
          <w:color w:val="000000" w:themeColor="text1"/>
          <w:sz w:val="16"/>
          <w:szCs w:val="16"/>
        </w:rPr>
      </w:pPr>
    </w:p>
    <w:p w14:paraId="78A17FFA" w14:textId="77777777" w:rsidR="00EE671E" w:rsidRPr="00925F26" w:rsidRDefault="00EE671E" w:rsidP="00925F26">
      <w:pPr>
        <w:jc w:val="both"/>
        <w:rPr>
          <w:color w:val="000000" w:themeColor="text1"/>
          <w:sz w:val="16"/>
          <w:szCs w:val="16"/>
        </w:rPr>
      </w:pPr>
      <w:r w:rsidRPr="00925F26">
        <w:rPr>
          <w:color w:val="000000" w:themeColor="text1"/>
          <w:sz w:val="16"/>
          <w:szCs w:val="16"/>
        </w:rPr>
        <w:t>В марте 1945 года из трёх прибывших образцов Armoured Snowmobile Mk.I один направился на НИБТ Полигон в подмосковную Кубинку. Снегоходу предстояло пройти 1500 км, из них 300 км по дорогам и 1200 км по снежному покрову. Условия испытаний больше напоминали тестирование не снегохода, а как минимум бронетранспортёра: машине предстояло пройти там, где обычно прогоняли гусеничную бронетехнику. Также предстояли совместные испытания с одноклассником — штабными аэросанями НКЛ-38 (18251).</w:t>
      </w:r>
    </w:p>
    <w:p w14:paraId="66B789D6" w14:textId="77777777" w:rsidR="00EE671E" w:rsidRPr="00925F26" w:rsidRDefault="00EE671E" w:rsidP="00925F26">
      <w:pPr>
        <w:jc w:val="both"/>
        <w:rPr>
          <w:color w:val="000000" w:themeColor="text1"/>
          <w:sz w:val="16"/>
          <w:szCs w:val="16"/>
        </w:rPr>
      </w:pPr>
    </w:p>
    <w:p w14:paraId="06A2DB6E" w14:textId="77777777" w:rsidR="0085285E" w:rsidRPr="001A0BAA" w:rsidRDefault="0085285E" w:rsidP="0085285E">
      <w:pPr>
        <w:jc w:val="both"/>
        <w:rPr>
          <w:color w:val="0070C0"/>
          <w:sz w:val="16"/>
          <w:szCs w:val="16"/>
        </w:rPr>
      </w:pPr>
      <w:r w:rsidRPr="001A0BAA">
        <w:rPr>
          <w:color w:val="0070C0"/>
          <w:sz w:val="16"/>
          <w:szCs w:val="16"/>
        </w:rPr>
        <w:t xml:space="preserve">В марте 1945 года </w:t>
      </w:r>
      <w:proofErr w:type="gramStart"/>
      <w:r w:rsidRPr="001A0BAA">
        <w:rPr>
          <w:color w:val="0070C0"/>
          <w:sz w:val="16"/>
          <w:szCs w:val="16"/>
        </w:rPr>
        <w:t>на новой ульяновского автозавода</w:t>
      </w:r>
      <w:proofErr w:type="gramEnd"/>
      <w:r w:rsidRPr="001A0BAA">
        <w:rPr>
          <w:color w:val="0070C0"/>
          <w:sz w:val="16"/>
          <w:szCs w:val="16"/>
        </w:rPr>
        <w:t xml:space="preserve"> территории был установлен первый цех, предназначенный для дизельных моторов. В нем было размещено около ста единиц нового оборудования, преимущественно импортного производства. Планировалось начать процесс освоения производства деталей для дизельных двигателей и организовать обучение рабочих на этих станках. В том же месяце начались работы по установке второго аналогичного цеха, завершение которых было запланировано на март. В связи с недостаточной развитостью инфраструктуры на новой площадке, было принято решение об организации механических цехов для дизелей и на старой территории.</w:t>
      </w:r>
    </w:p>
    <w:p w14:paraId="30C8D092" w14:textId="77777777" w:rsidR="0085285E" w:rsidRPr="001A0BAA" w:rsidRDefault="0085285E" w:rsidP="0085285E">
      <w:pPr>
        <w:jc w:val="both"/>
        <w:rPr>
          <w:color w:val="0070C0"/>
          <w:sz w:val="16"/>
          <w:szCs w:val="16"/>
        </w:rPr>
      </w:pPr>
      <w:r w:rsidRPr="001A0BAA">
        <w:rPr>
          <w:color w:val="0070C0"/>
          <w:sz w:val="16"/>
          <w:szCs w:val="16"/>
        </w:rPr>
        <w:t>Таким образом, в начале весны 1945 года руководство Ульяновского завода и партийные деятели города были полны оптимизма, полагая, что в ближайшем будущем, если не в текущем году, то уж в следующем, в Ульяновске начнет работу новый автомобильный гигант – предмет гордости советской автомобильной промышленности. Там планировалось развернуть масштабное производство первых советских дизельных автомобилей в количестве 30 000 единиц в год, а также запасных частей к ним.</w:t>
      </w:r>
    </w:p>
    <w:p w14:paraId="22F64111" w14:textId="77777777" w:rsidR="0085285E" w:rsidRPr="001A0BAA" w:rsidRDefault="0085285E" w:rsidP="0085285E">
      <w:pPr>
        <w:jc w:val="both"/>
        <w:rPr>
          <w:color w:val="0070C0"/>
          <w:sz w:val="16"/>
          <w:szCs w:val="16"/>
        </w:rPr>
      </w:pPr>
      <w:r w:rsidRPr="001A0BAA">
        <w:rPr>
          <w:color w:val="0070C0"/>
          <w:sz w:val="16"/>
          <w:szCs w:val="16"/>
        </w:rPr>
        <w:t>Казалось, что Ульяновский автозавод вскоре восстановит свои позиции и станет важной частью отечественной автоиндустрии, однако развитие проекта снова столкнулось с трудностями.</w:t>
      </w:r>
    </w:p>
    <w:p w14:paraId="5C2ADC5A" w14:textId="77777777" w:rsidR="0085285E" w:rsidRPr="001A0BAA" w:rsidRDefault="0085285E" w:rsidP="0085285E">
      <w:pPr>
        <w:jc w:val="both"/>
        <w:rPr>
          <w:color w:val="0070C0"/>
          <w:sz w:val="16"/>
          <w:szCs w:val="16"/>
        </w:rPr>
      </w:pPr>
      <w:r w:rsidRPr="001A0BAA">
        <w:rPr>
          <w:color w:val="0070C0"/>
          <w:sz w:val="16"/>
          <w:szCs w:val="16"/>
        </w:rPr>
        <w:t>На этот раз помехой стали действия США. Оборудование для производства дизельных двигателей было закуплено в Америке. Однако после окончания войны президент Трумэн резко изменил свое отношение к СССР и запретил американским компаниям продавать производственное оборудование Советскому Союзу. В результате строящийся второй Ульяновский автозавод не получил все необходимое оборудование для полноценного производства дизельных двигателей. Сроки получения, и сама возможность получения, оставались под вопросом. Как известно, отсутствие двигателя делает производство автомобиля невозможным.</w:t>
      </w:r>
    </w:p>
    <w:p w14:paraId="735444DB" w14:textId="77777777" w:rsidR="0085285E" w:rsidRPr="001A0BAA" w:rsidRDefault="0085285E" w:rsidP="0085285E">
      <w:pPr>
        <w:jc w:val="both"/>
        <w:rPr>
          <w:color w:val="0070C0"/>
          <w:sz w:val="16"/>
          <w:szCs w:val="16"/>
        </w:rPr>
      </w:pPr>
      <w:r w:rsidRPr="001A0BAA">
        <w:rPr>
          <w:color w:val="0070C0"/>
          <w:sz w:val="16"/>
          <w:szCs w:val="16"/>
        </w:rPr>
        <w:t>Поэтому было решено перенести проект по выпуску дизельного грузовика в Новосибирск, где планировалось строительство нового автозавода. Предполагалось, что двигатели будут поставляться из Ярославля. В результате часть сотрудников Ульяновского завода, включая главного конструктора Б. Л. Шапошника, была переведена в Сибирь для работы над новым проектом.</w:t>
      </w:r>
    </w:p>
    <w:p w14:paraId="02E26F70" w14:textId="77777777" w:rsidR="0085285E" w:rsidRPr="001A0BAA" w:rsidRDefault="0085285E" w:rsidP="0085285E">
      <w:pPr>
        <w:jc w:val="both"/>
        <w:rPr>
          <w:color w:val="0070C0"/>
          <w:sz w:val="16"/>
          <w:szCs w:val="16"/>
        </w:rPr>
      </w:pPr>
      <w:r w:rsidRPr="001A0BAA">
        <w:rPr>
          <w:color w:val="0070C0"/>
          <w:sz w:val="16"/>
          <w:szCs w:val="16"/>
        </w:rPr>
        <w:t>Но и в Новосибирске реализация проекта столкнулась с трудностями (25592).</w:t>
      </w:r>
    </w:p>
    <w:p w14:paraId="43D9C220" w14:textId="77777777" w:rsidR="0085285E" w:rsidRPr="001A0BAA" w:rsidRDefault="0085285E" w:rsidP="0085285E">
      <w:pPr>
        <w:jc w:val="both"/>
        <w:rPr>
          <w:color w:val="0070C0"/>
          <w:sz w:val="16"/>
          <w:szCs w:val="16"/>
        </w:rPr>
      </w:pPr>
    </w:p>
    <w:p w14:paraId="2A2FC5DD" w14:textId="77777777" w:rsidR="00400D43" w:rsidRPr="00925F26" w:rsidRDefault="00400D43" w:rsidP="00925F26">
      <w:pPr>
        <w:jc w:val="both"/>
        <w:rPr>
          <w:color w:val="000000" w:themeColor="text1"/>
          <w:sz w:val="16"/>
          <w:szCs w:val="16"/>
        </w:rPr>
      </w:pPr>
      <w:r w:rsidRPr="00925F26">
        <w:rPr>
          <w:color w:val="000000" w:themeColor="text1"/>
          <w:sz w:val="16"/>
          <w:szCs w:val="16"/>
        </w:rPr>
        <w:lastRenderedPageBreak/>
        <w:t>В марте 1945 г. вышел приказ 2-го ГУ НКЭП, который предусматривал проведение комплексно-типовых испытаний серийной продукции, выпускаемой радиотехническими предприятиями, на базе НИИ-20 НКЭП. Директора заводов обязывались ежеквартально высылать туда один экземпляр образца серийной радиоаппаратуры в стандартной упаковке и в комплекте со всею эксплуатационно-технической документацией (18297).</w:t>
      </w:r>
    </w:p>
    <w:p w14:paraId="05C67113" w14:textId="77777777" w:rsidR="00400D43" w:rsidRPr="00925F26" w:rsidRDefault="00400D43" w:rsidP="00925F26">
      <w:pPr>
        <w:jc w:val="both"/>
        <w:rPr>
          <w:color w:val="000000" w:themeColor="text1"/>
          <w:sz w:val="16"/>
          <w:szCs w:val="16"/>
        </w:rPr>
      </w:pPr>
    </w:p>
    <w:p w14:paraId="28ECABD0" w14:textId="77777777" w:rsidR="00483606" w:rsidRPr="00925F26" w:rsidRDefault="00483606" w:rsidP="00925F26">
      <w:pPr>
        <w:jc w:val="both"/>
        <w:rPr>
          <w:color w:val="000000" w:themeColor="text1"/>
          <w:sz w:val="16"/>
          <w:szCs w:val="16"/>
        </w:rPr>
      </w:pPr>
      <w:r w:rsidRPr="00925F26">
        <w:rPr>
          <w:color w:val="000000" w:themeColor="text1"/>
          <w:sz w:val="16"/>
          <w:szCs w:val="16"/>
        </w:rPr>
        <w:t>После марта 1945 года за один год высшие органы власти Советского Союза приняли около тысячи решений, относящихся к демонтажу 4389 предприятий из Германии, Австрии, Венгрии и других европейских стран. Также около тысячи заводов было перевезено в СССР из Маньчжурии и Кореи. Кроме того, в СССР было вывезено около 8000 германских специалистов в областях вооружений, физики, ракетной техники, химии и др. Немецкие предприятия демонтировались, составлялась точная опись имущества и оборудования, погружались в вагоны и отправлялись в Россию.</w:t>
      </w:r>
    </w:p>
    <w:p w14:paraId="1A881019" w14:textId="77777777" w:rsidR="00483606" w:rsidRPr="00925F26" w:rsidRDefault="00483606" w:rsidP="00925F26">
      <w:pPr>
        <w:jc w:val="both"/>
        <w:rPr>
          <w:color w:val="000000" w:themeColor="text1"/>
          <w:sz w:val="16"/>
          <w:szCs w:val="16"/>
        </w:rPr>
      </w:pPr>
      <w:r w:rsidRPr="00925F26">
        <w:rPr>
          <w:color w:val="000000" w:themeColor="text1"/>
          <w:sz w:val="16"/>
          <w:szCs w:val="16"/>
        </w:rPr>
        <w:t>На Ялтинской и Потсдамской конференциях 1945 года И.В. Сталин предложил установить для Германии общую сумму репараций в размере 20 миллиардов долларов, половину этой суммы должен был получить Советский Союз как государство, внесшее самый большой вклад в Победу и больше всех от войны пострадавшее (17749).</w:t>
      </w:r>
    </w:p>
    <w:p w14:paraId="70DE5822" w14:textId="77777777" w:rsidR="00483606" w:rsidRPr="00925F26" w:rsidRDefault="00483606" w:rsidP="00925F26">
      <w:pPr>
        <w:jc w:val="both"/>
        <w:rPr>
          <w:color w:val="000000" w:themeColor="text1"/>
          <w:sz w:val="16"/>
          <w:szCs w:val="16"/>
        </w:rPr>
      </w:pPr>
    </w:p>
    <w:p w14:paraId="1CE81461" w14:textId="77777777" w:rsidR="00400D43" w:rsidRPr="00925F26" w:rsidRDefault="00400D43" w:rsidP="00925F26">
      <w:pPr>
        <w:jc w:val="both"/>
        <w:rPr>
          <w:color w:val="000000" w:themeColor="text1"/>
          <w:sz w:val="16"/>
          <w:szCs w:val="16"/>
        </w:rPr>
      </w:pPr>
      <w:r w:rsidRPr="00925F26">
        <w:rPr>
          <w:color w:val="000000" w:themeColor="text1"/>
          <w:sz w:val="16"/>
          <w:szCs w:val="16"/>
        </w:rPr>
        <w:t>Март 1945. Московский металлургический завод "Серп и молот" приступил к изготовлению деталей для газовых кухонных плит, которые потребуются для москвичей по окончании строительства газопровода "Саратов - Москва" (18688).</w:t>
      </w:r>
    </w:p>
    <w:p w14:paraId="0E6282D1" w14:textId="77777777" w:rsidR="00400D43" w:rsidRPr="00925F26" w:rsidRDefault="00400D43" w:rsidP="00925F26">
      <w:pPr>
        <w:jc w:val="both"/>
        <w:rPr>
          <w:color w:val="000000" w:themeColor="text1"/>
          <w:sz w:val="16"/>
          <w:szCs w:val="16"/>
        </w:rPr>
      </w:pPr>
    </w:p>
    <w:p w14:paraId="74413A87" w14:textId="77777777" w:rsidR="00400D43" w:rsidRPr="00925F26" w:rsidRDefault="00400D43" w:rsidP="00925F26">
      <w:pPr>
        <w:pStyle w:val="rtejustify"/>
        <w:shd w:val="clear" w:color="auto" w:fill="FFFFFF"/>
        <w:spacing w:before="0" w:after="0"/>
        <w:rPr>
          <w:color w:val="000000" w:themeColor="text1"/>
          <w:sz w:val="16"/>
          <w:szCs w:val="16"/>
        </w:rPr>
      </w:pPr>
      <w:r w:rsidRPr="00925F26">
        <w:rPr>
          <w:color w:val="000000" w:themeColor="text1"/>
          <w:sz w:val="16"/>
          <w:szCs w:val="16"/>
          <w:shd w:val="clear" w:color="auto" w:fill="FFFFFF"/>
        </w:rPr>
        <w:t>После марта 1945 года за один год высшие органы власти Советского Союза приняли около тысячи решений, относящихся к демонтажу 4389 предприятий из Германии, Австрии, Венгрии и других европейских стран. Также около тысячи заводов было перевезено в СССР из Маньчжурии и Кореи. Однако все это не идет ни в какое сравнение с количеством уничтоженных заводов за время войны. Количество демонтированных СССР немецких предприятий составило меньше 14% от довоенного числа заводов. По данным Николая Вознесенского, тогдашнего председателя Госплана СССР, поставками трофейного оборудования из Германии было покрыто только 0,6% прямого ущерба СССР (19848).</w:t>
      </w:r>
    </w:p>
    <w:p w14:paraId="056F4C80" w14:textId="77777777" w:rsidR="00400D43" w:rsidRPr="00925F26" w:rsidRDefault="00400D43" w:rsidP="00925F26">
      <w:pPr>
        <w:pStyle w:val="rtejustify"/>
        <w:shd w:val="clear" w:color="auto" w:fill="FFFFFF"/>
        <w:spacing w:before="0" w:after="0"/>
        <w:rPr>
          <w:color w:val="000000" w:themeColor="text1"/>
          <w:sz w:val="16"/>
          <w:szCs w:val="16"/>
        </w:rPr>
      </w:pPr>
    </w:p>
    <w:p w14:paraId="19D67CEE" w14:textId="77777777" w:rsidR="00400D43" w:rsidRPr="00925F26" w:rsidRDefault="00400D43" w:rsidP="00925F26">
      <w:pPr>
        <w:pStyle w:val="rtejustify"/>
        <w:shd w:val="clear" w:color="auto" w:fill="FFFFFF"/>
        <w:spacing w:before="0" w:after="0"/>
        <w:rPr>
          <w:color w:val="000000" w:themeColor="text1"/>
          <w:sz w:val="16"/>
          <w:szCs w:val="16"/>
        </w:rPr>
      </w:pPr>
      <w:r w:rsidRPr="00925F26">
        <w:rPr>
          <w:color w:val="000000" w:themeColor="text1"/>
          <w:sz w:val="16"/>
          <w:szCs w:val="16"/>
          <w:shd w:val="clear" w:color="auto" w:fill="FFFFFF"/>
        </w:rPr>
        <w:t>С марта 1945 по март 1946 г. были приняты решения о демонтаже более 4000 промышленных предприятий: 2885 из Германии, 1137 — немецких предприятий Польши, 206 — Австрии, 11 — Венгрии, 54 — Чехословакии. Демонтаж основного оборудования был осуществлён на 3474 объектах, было изъято 1 118 000 единиц оборудования: металлорежущих станков 339 000 штук, прессов и молотов 44 000 штук и электромоторов 202 000 штук. Из чисто военных заводов в советской зоне демонтировали 67, уничтожили 170, переоборудовали для выпуска мирной продукции 8 (19849).</w:t>
      </w:r>
    </w:p>
    <w:p w14:paraId="5483734D" w14:textId="77777777" w:rsidR="00400D43" w:rsidRPr="00925F26" w:rsidRDefault="00400D43" w:rsidP="00925F26">
      <w:pPr>
        <w:pStyle w:val="rtejustify"/>
        <w:shd w:val="clear" w:color="auto" w:fill="FFFFFF"/>
        <w:spacing w:before="0" w:after="0"/>
        <w:rPr>
          <w:color w:val="000000" w:themeColor="text1"/>
          <w:sz w:val="16"/>
          <w:szCs w:val="16"/>
        </w:rPr>
      </w:pPr>
    </w:p>
    <w:p w14:paraId="51EB3D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И.В. Курчатов после рассмотрения новой информации об атомной программе США отметил, что атомная бомба может быть приведена в действие двумя способами:</w:t>
      </w:r>
    </w:p>
    <w:p w14:paraId="48AA9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быстрым сближением двух половин заряда урана-235 или плутония-239, находящихся первоначально на расстоянии 0,5-1 метра друг от друга;</w:t>
      </w:r>
    </w:p>
    <w:p w14:paraId="5494F6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уплотнением зарядов урана-235 или плутония-239 мощным взрывом тротила, окружающего эти вещества (10549).</w:t>
      </w:r>
    </w:p>
    <w:p w14:paraId="71C684C2" w14:textId="77777777" w:rsidR="00665165" w:rsidRPr="00925F26" w:rsidRDefault="00665165" w:rsidP="00925F26">
      <w:pPr>
        <w:autoSpaceDE w:val="0"/>
        <w:autoSpaceDN w:val="0"/>
        <w:adjustRightInd w:val="0"/>
        <w:jc w:val="both"/>
        <w:rPr>
          <w:color w:val="000000" w:themeColor="text1"/>
          <w:sz w:val="16"/>
          <w:szCs w:val="16"/>
        </w:rPr>
      </w:pPr>
    </w:p>
    <w:p w14:paraId="67DFF37F" w14:textId="77777777" w:rsidR="00546AC2" w:rsidRPr="00925F26" w:rsidRDefault="00546AC2" w:rsidP="00925F26">
      <w:pPr>
        <w:pStyle w:val="book"/>
        <w:ind w:firstLine="0"/>
        <w:jc w:val="both"/>
        <w:rPr>
          <w:color w:val="000000" w:themeColor="text1"/>
          <w:sz w:val="16"/>
          <w:szCs w:val="16"/>
        </w:rPr>
      </w:pPr>
      <w:r w:rsidRPr="00925F26">
        <w:rPr>
          <w:color w:val="000000" w:themeColor="text1"/>
          <w:sz w:val="16"/>
          <w:szCs w:val="16"/>
        </w:rPr>
        <w:t>В марте 1945 г. крейсер «Лютцов» находился в военно-морской базе Свинемюнде. «Лютцов, как и два аналогичных крейсера, имел шесть 280-мм орудий, за что его называли «карманным линкором» (pocket battleships). До 15 ноября 1939 г. он носил имя «Deutschland», а затем был переименован в «Лютцов», поскольку продажа его «тезки» была уже предрешена. 20 марта союзная англо-американская авиация подвергла город и базу очередной бомбардировке. Во время нее в корабль попало две авиабомбы крупного калибра, в результате чего он вышел из строя и в море уже больше не выходил. С корабля была частично демонтирована зенитная артиллерия, затем использовавшаяся на сухопутном фронте. Перед взятием города войсками 2-го Белорусского фронта немцы серьезно повредили корабль. При осмотре «Лютцова» советскими специалистами выяснилось, что обе башни главного калибра разрушены взрывом, артиллерия среднего калибра (15-см) была исправна, три отсека (V, VI и VII) оказались затопленными водой по ватерлинию и т.д. Водолазы обнаружили пять пробоин в корпусе ниже ватерлинии. Наши специалисты очень удивились, что корабль все же оставался на плаву, хотя и немного касался кормой грунта. Весной 1946 г. аварийно-спасательная служба Юго-Балтийского флота заделала пробоины и откачала воду из затопленных отсеков корабля. 26 сентября 1946 г. крейсер был зачислен в состав ВМФ СССР. 19 марта 1947 г. вышло Постановление Совмина № 601—209сс «об уничтожении в 1947 г. бывших немецких кораблей категории "С"» (15225).</w:t>
      </w:r>
    </w:p>
    <w:p w14:paraId="158D3411" w14:textId="77777777" w:rsidR="00546AC2" w:rsidRPr="00925F26" w:rsidRDefault="00546AC2" w:rsidP="00925F26">
      <w:pPr>
        <w:pStyle w:val="book"/>
        <w:ind w:firstLine="0"/>
        <w:jc w:val="both"/>
        <w:rPr>
          <w:color w:val="000000" w:themeColor="text1"/>
          <w:sz w:val="16"/>
          <w:szCs w:val="16"/>
        </w:rPr>
      </w:pPr>
    </w:p>
    <w:p w14:paraId="65133D5A" w14:textId="77777777" w:rsidR="00546AC2" w:rsidRPr="00925F26" w:rsidRDefault="00546AC2" w:rsidP="00925F26">
      <w:pPr>
        <w:pStyle w:val="book"/>
        <w:ind w:firstLine="0"/>
        <w:jc w:val="both"/>
        <w:rPr>
          <w:color w:val="000000" w:themeColor="text1"/>
          <w:sz w:val="16"/>
          <w:szCs w:val="16"/>
        </w:rPr>
      </w:pPr>
      <w:r w:rsidRPr="00925F26">
        <w:rPr>
          <w:color w:val="000000" w:themeColor="text1"/>
          <w:sz w:val="16"/>
          <w:szCs w:val="16"/>
        </w:rPr>
        <w:t>В марте 1945 г. плавбаза «Ганза» на переходе из Восточной Пруссии подорвалась на мине. Судно попыталось своим ходом дойти до Варнемюнде, но, не дойдя всего 9 миль, натолкнулось поврежденным носом на затонувшую баржу и село на мель. Позже лайнер опрокинулся и лег на дно левым бортом. Его заложили 24 августа 1921 г. на верфи «Блом и Фосс» в Гамбурге под названием «Альберт Балин». Длина лайнера составляла 205 м, вместимость 20 815 брт, две паровые турбины общей мощностью 12 500 л.с, допускавшие ход до 19 узлов. Лайнер мог принимать 250 пассажиров в 1-й класс, 340 пассажиров во 2-й класс и 960 пассажиров в 3-й класс. Судно было оснащено пассивными успокоителями качки (цистернами Фрама), оно было очень устойчивым на волнении, что, разумеется, понравилось пассажирам и давало лайнеру огромное преимущество. Такие лайнеры называли «судами без морской болезни». В 1935 г. лайнер получил новое название — «Ганза». Переименования потребовали деятели национал-социалистической партии, поскольку выяснилось, что основатель фирмы Альбер Балин, в честь которого назвали лайнер, был евреем. С началом Второй мировой войны, в 1939 г., «Ганза» был мобилизован и использовался как плавбаза в составе германского ВМФ. В 1947 г. аварийно-спасательная служба Балтийского флота обследовала затонувшую «Ганзу», после чего было принято решение о ее подъеме. Операция эта обещала быть сложной, поскольку судно оказалось сильно заиленным, а из-за малых глубин постановка его на ровный киль была проблематичной. Работы длились почти два года, и только 15 декабря 1949 г. судно, наконец, подняли и отвели в Варнемюнде, где на верфи «Warnow Werft» произвели восстановительный ремонт. Из-за отсутствия в Варнемюнде дока достаточной величины корпусные работы провели в Антверпене (Бельгия) на верфи «John Cockerill» с 11 августа 1950 г. по 8 июня 1951 г. Реконструкция машинного отделения, надстройки и восстановление помещений на «Warnow Werft» в Варнемюнде продолжались еще четыре года. Поскольку этот лайнер являлся самым крупным пассажирским судном в СССР, его решили назвать «Советский Союз». Официальное присвоение нового названия состоялось в 1953 г. В общем восстановительные работы длились пять лет. Но незадолго до ввода в эксплуатацию, в 1954 г., на судне по невыясненным причинам произошел взрыв и пожар, сильно повредивший помещения лайнера. Из-за этого восстановительные работы затянулись, и только в сентябре 1955 г. судно передали заказчику. В 1955 г. дальневосточное отделение «Совторгфлота» приняло лайнер «Советский Союз» в эксплуатацию. Но перед переходом на Дальний Восток судну необходимо было выполнить контрольное докование. В то время в западных портах СССР было только одно место, где могли продоковать такое крупное судно — сухой док Севморзавода в Севастополе. 13 октября 1955 г. турбоход «Советский Союз» прибыл в Одессу, откуда перешел в Севастополь. На Севморзаводе с судна сняли одну из турбин заднего хода и отправили на балансировку на Харьковский турбинный завод, а также провели докование в сухом доке завода. Во время стоянки в Севастополе на «Советском Союзе» побывали первый секретарь ЦК КПСС Н.С. Хрущев, министр обороны Г.К. Жуков и член Политбюро Л.И. Брежнев. В марте 1957 г. «Советский Союз» вышел из Севастополя на Дальний Восток. Лайнер обошел Африку и 29 мая того же года прибыл во Владивосток, откуда вышел в свой первый рейс на экспрессной линии Владивосток — Петропавловск-Камчатский. Организационно он вошел в состав дальневосточного отделения «Совторгфлота» с портом приписки Владивосток (позднее, после реорганизации — Дальневосточного морского пароходства). С 11 января по 29 марта 1971 г. «Советский Союз» проходил ремонт в Гонконге, во время которого в числе прочих работ были окончательно отцентрованы главные редукторы, и судно смогло развивать скорость до 19 узлов. Турбоход «Советский Союз» закончил работу на камчатской пассажирской линии 30 ноября 1980 г. и в соответствии с распоряжением начальника Дальневосточного морского пароходства № 1037 от 2 декабря 1980 г. был поставлен на прикол для демонтажа оборудования, снятия материалов, технического снабжения и подготовки судна к сдаче на металлолом. Приказом министра Морского флота СССР № 256 от 5 декабря 1980 г. лайнер «Советский Союз» был списан с баланса транспортного флота, после чего приказом начальника Дальневосточного морского пароходства переименован в «Тобольск», ведь с именем «Советский Союз» он просто не мог подлежать разделке на металлолом. Весь 1981 год «Тобольск» простоял на приколе во Владивостокском морском торговом порту. 5 марта 1982 г. «Тобольск» самостоятельно вышел в последний рейс на разделку с экипажем в 60 человек, а 17 марта того же года судно было официально передано для разделки на металл одной из компаний Гонконга (15225).</w:t>
      </w:r>
    </w:p>
    <w:p w14:paraId="2E2582FC" w14:textId="77777777" w:rsidR="00546AC2" w:rsidRPr="00925F26" w:rsidRDefault="00546AC2" w:rsidP="00925F26">
      <w:pPr>
        <w:pStyle w:val="book"/>
        <w:ind w:firstLine="0"/>
        <w:jc w:val="both"/>
        <w:rPr>
          <w:color w:val="000000" w:themeColor="text1"/>
          <w:sz w:val="16"/>
          <w:szCs w:val="16"/>
        </w:rPr>
      </w:pPr>
    </w:p>
    <w:p w14:paraId="701EB67D" w14:textId="77777777" w:rsidR="00546AC2" w:rsidRPr="00925F26" w:rsidRDefault="00546AC2" w:rsidP="00925F26">
      <w:pPr>
        <w:pStyle w:val="book"/>
        <w:ind w:firstLine="0"/>
        <w:jc w:val="both"/>
        <w:rPr>
          <w:color w:val="000000" w:themeColor="text1"/>
          <w:sz w:val="16"/>
          <w:szCs w:val="16"/>
        </w:rPr>
      </w:pPr>
      <w:r w:rsidRPr="00925F26">
        <w:rPr>
          <w:color w:val="000000" w:themeColor="text1"/>
          <w:sz w:val="16"/>
          <w:szCs w:val="16"/>
        </w:rPr>
        <w:t>В марте 1945 г. в порту Свинемюнде в ходе налета британской авиации было потоплено судно «Кордильера». Оно был однотипно «Карибии» и построено в 1933 г. на той же верфи «Блом и Фосс». Вторая мировая война застала лайнер в рейсе. Высадив пассажиров в нейтральном порту, он ушел в Мурманск, откуда в феврале 1940 г. перешел в Гамбург. В Кригсмарине «Кордильеру» использовали как плавказарму. В середине 1948 г. начались работы по подъему «Кордильеры». Поднять судно удалось только в январе 1949 г. В октябре того же года в Антверпене был проведен ремонт корпуса. Дальнейшие ремонтные работы и модернизация проводились специалистами немецкой фирмы «Варновверфт». Работы завершились в 1952 г. После ремонта и модернизации тоннаж лайнера составил 15 600 брт, а скорость хода — 14,7 уз. Пассажировместимость судна составляла: 20 пассажиров в каютах категории «Люкс», 86—1-го класса, 204 — 2-го и 730 — 3-го класса. Лайнер получил название «Русь» и вышел во Владивосток. При следовании Ирбенским проливом лайнер подорвался на мине и получил незначительные повреждения, которые быстро устранили на местном судоремонтном заводе. На «Русь» установили новую навигационную аппаратуру, и в августе 1952 г. лайнер прибыл в новый порт приписки — Владивосток. Лайнер «Русь» работал, как и «Ильич», на Камчатской линии до конца 1977 г., а в августе 1980 г. был уведен на разборку (15225).</w:t>
      </w:r>
    </w:p>
    <w:p w14:paraId="654BDB69" w14:textId="77777777" w:rsidR="00546AC2" w:rsidRPr="00925F26" w:rsidRDefault="00546AC2" w:rsidP="0085285E">
      <w:pPr>
        <w:pStyle w:val="book"/>
        <w:ind w:firstLine="0"/>
        <w:jc w:val="both"/>
        <w:rPr>
          <w:color w:val="000000" w:themeColor="text1"/>
          <w:sz w:val="16"/>
          <w:szCs w:val="16"/>
        </w:rPr>
      </w:pPr>
    </w:p>
    <w:p w14:paraId="491DD9F2" w14:textId="77B5BEB0" w:rsidR="0085285E" w:rsidRPr="001A0BAA" w:rsidRDefault="0085285E" w:rsidP="0085285E">
      <w:pPr>
        <w:pStyle w:val="59"/>
        <w:spacing w:line="240" w:lineRule="auto"/>
        <w:ind w:firstLine="0"/>
        <w:jc w:val="both"/>
        <w:rPr>
          <w:rFonts w:ascii="Times New Roman" w:hAnsi="Times New Roman"/>
          <w:color w:val="0070C0"/>
          <w:spacing w:val="0"/>
          <w:sz w:val="16"/>
          <w:szCs w:val="16"/>
        </w:rPr>
      </w:pPr>
      <w:r w:rsidRPr="001A0BAA">
        <w:rPr>
          <w:rStyle w:val="5e"/>
          <w:rFonts w:ascii="Times New Roman" w:hAnsi="Times New Roman"/>
          <w:color w:val="0070C0"/>
          <w:spacing w:val="0"/>
          <w:sz w:val="16"/>
          <w:szCs w:val="16"/>
        </w:rPr>
        <w:lastRenderedPageBreak/>
        <w:t xml:space="preserve">В </w:t>
      </w:r>
      <w:r>
        <w:rPr>
          <w:rStyle w:val="5e"/>
          <w:rFonts w:ascii="Times New Roman" w:hAnsi="Times New Roman"/>
          <w:color w:val="0070C0"/>
          <w:spacing w:val="0"/>
          <w:sz w:val="16"/>
          <w:szCs w:val="16"/>
        </w:rPr>
        <w:t xml:space="preserve">В марте </w:t>
      </w:r>
      <w:r w:rsidRPr="001A0BAA">
        <w:rPr>
          <w:rStyle w:val="5e"/>
          <w:rFonts w:ascii="Times New Roman" w:hAnsi="Times New Roman"/>
          <w:color w:val="0070C0"/>
          <w:spacing w:val="0"/>
          <w:sz w:val="16"/>
          <w:szCs w:val="16"/>
        </w:rPr>
        <w:t>1945 г. Р.Алексеев несколько дней находился в Моск</w:t>
      </w:r>
      <w:r w:rsidRPr="001A0BAA">
        <w:rPr>
          <w:rStyle w:val="5e"/>
          <w:rFonts w:ascii="Times New Roman" w:hAnsi="Times New Roman"/>
          <w:color w:val="0070C0"/>
          <w:spacing w:val="0"/>
          <w:sz w:val="16"/>
          <w:szCs w:val="16"/>
        </w:rPr>
        <w:softHyphen/>
        <w:t>ве, работая в ЦАГИ, где в опытовом бассейне «прокатывалась» тележка с его моделью А-5. На ней он отрабатывал оптимальный профиль крыла, пытался достичь стабилизации. Его работой интересовался А. Н. Туполев, который до войны принимал участие в создании глиссирующих торпедных катеров (25139).</w:t>
      </w:r>
    </w:p>
    <w:p w14:paraId="193EED96" w14:textId="77777777" w:rsidR="0085285E" w:rsidRPr="001A0BAA" w:rsidRDefault="0085285E" w:rsidP="0085285E">
      <w:pPr>
        <w:jc w:val="both"/>
        <w:rPr>
          <w:color w:val="0070C0"/>
          <w:sz w:val="16"/>
          <w:szCs w:val="16"/>
        </w:rPr>
      </w:pPr>
    </w:p>
    <w:p w14:paraId="2A2D2AA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1CB1F64" w14:textId="77777777" w:rsidR="00665165" w:rsidRPr="00925F26" w:rsidRDefault="00665165" w:rsidP="00925F26">
      <w:pPr>
        <w:autoSpaceDE w:val="0"/>
        <w:autoSpaceDN w:val="0"/>
        <w:adjustRightInd w:val="0"/>
        <w:jc w:val="both"/>
        <w:rPr>
          <w:iCs/>
          <w:color w:val="000000" w:themeColor="text1"/>
          <w:sz w:val="16"/>
          <w:szCs w:val="16"/>
        </w:rPr>
      </w:pPr>
    </w:p>
    <w:p w14:paraId="6BEAB8B0" w14:textId="77777777" w:rsidR="00BA5166" w:rsidRPr="00925F26" w:rsidRDefault="00BA5166" w:rsidP="00925F26">
      <w:pPr>
        <w:jc w:val="both"/>
        <w:rPr>
          <w:color w:val="000000" w:themeColor="text1"/>
          <w:sz w:val="16"/>
          <w:szCs w:val="16"/>
        </w:rPr>
      </w:pPr>
      <w:r w:rsidRPr="00925F26">
        <w:rPr>
          <w:color w:val="000000" w:themeColor="text1"/>
          <w:sz w:val="16"/>
          <w:szCs w:val="16"/>
        </w:rPr>
        <w:t xml:space="preserve">В марте 1945 г. маршал авиации Худяков был назначен </w:t>
      </w:r>
      <w:proofErr w:type="gramStart"/>
      <w:r w:rsidRPr="00925F26">
        <w:rPr>
          <w:color w:val="000000" w:themeColor="text1"/>
          <w:sz w:val="16"/>
          <w:szCs w:val="16"/>
        </w:rPr>
        <w:t>командующим  авиационной</w:t>
      </w:r>
      <w:proofErr w:type="gramEnd"/>
      <w:r w:rsidRPr="00925F26">
        <w:rPr>
          <w:color w:val="000000" w:themeColor="text1"/>
          <w:sz w:val="16"/>
          <w:szCs w:val="16"/>
        </w:rPr>
        <w:t xml:space="preserve"> группировкой советских ВВС на Дальнем Востоке. В состав авиагруппировки </w:t>
      </w:r>
      <w:proofErr w:type="gramStart"/>
      <w:r w:rsidRPr="00925F26">
        <w:rPr>
          <w:color w:val="000000" w:themeColor="text1"/>
          <w:sz w:val="16"/>
          <w:szCs w:val="16"/>
        </w:rPr>
        <w:t>входили  12</w:t>
      </w:r>
      <w:proofErr w:type="gramEnd"/>
      <w:r w:rsidRPr="00925F26">
        <w:rPr>
          <w:color w:val="000000" w:themeColor="text1"/>
          <w:sz w:val="16"/>
          <w:szCs w:val="16"/>
        </w:rPr>
        <w:t>-я Воздушная армия Забайкальского фронта, 9-я Воздушная армия 1-го Дальневосточного фронта и 10-я Воздушная армия 2-го Дальневосточного фронта (командующие С.А.Худяков, И.М.Соколов и П.Ф.Жигарев). Усилия авиационной группировки координировал командующий ВВС КА Главный маршал авиации А.А.Новиков...</w:t>
      </w:r>
    </w:p>
    <w:p w14:paraId="26BC39B7" w14:textId="77777777" w:rsidR="00BA5166" w:rsidRPr="00925F26" w:rsidRDefault="00BA5166" w:rsidP="00925F26">
      <w:pPr>
        <w:jc w:val="both"/>
        <w:rPr>
          <w:color w:val="000000" w:themeColor="text1"/>
          <w:sz w:val="16"/>
          <w:szCs w:val="16"/>
        </w:rPr>
      </w:pPr>
      <w:r w:rsidRPr="00925F26">
        <w:rPr>
          <w:color w:val="000000" w:themeColor="text1"/>
          <w:sz w:val="16"/>
          <w:szCs w:val="16"/>
        </w:rPr>
        <w:t>Боевые действия советских войск на Дальнем Востоке завершились разгромом Квантунской армии и полной Победой. Россия вернула себе исконно русские земли Южный Сахалин и Курильские острова. 23 августа 1945 г. Москва салютовала победителям</w:t>
      </w:r>
      <w:proofErr w:type="gramStart"/>
      <w:r w:rsidRPr="00925F26">
        <w:rPr>
          <w:color w:val="000000" w:themeColor="text1"/>
          <w:sz w:val="16"/>
          <w:szCs w:val="16"/>
        </w:rPr>
        <w:t>...(</w:t>
      </w:r>
      <w:proofErr w:type="gramEnd"/>
      <w:r w:rsidRPr="00925F26">
        <w:rPr>
          <w:color w:val="000000" w:themeColor="text1"/>
          <w:sz w:val="16"/>
          <w:szCs w:val="16"/>
        </w:rPr>
        <w:t>24108).</w:t>
      </w:r>
    </w:p>
    <w:p w14:paraId="1DFEEC09" w14:textId="77777777" w:rsidR="00BA5166" w:rsidRPr="00925F26" w:rsidRDefault="00BA5166" w:rsidP="00925F26">
      <w:pPr>
        <w:jc w:val="both"/>
        <w:rPr>
          <w:color w:val="000000" w:themeColor="text1"/>
          <w:sz w:val="16"/>
          <w:szCs w:val="16"/>
        </w:rPr>
      </w:pPr>
    </w:p>
    <w:p w14:paraId="088012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эскадрилью БФ на PBI-1 расформировали, зато создали три новых - 15-ю, 16-ю п 17-ю, вооруженные только PBN-1 (в общей сложности 11 машин) (3457,130).</w:t>
      </w:r>
    </w:p>
    <w:p w14:paraId="344FA3EF" w14:textId="77777777" w:rsidR="00665165" w:rsidRPr="00925F26" w:rsidRDefault="00665165" w:rsidP="00925F26">
      <w:pPr>
        <w:autoSpaceDE w:val="0"/>
        <w:autoSpaceDN w:val="0"/>
        <w:adjustRightInd w:val="0"/>
        <w:jc w:val="both"/>
        <w:rPr>
          <w:color w:val="000000" w:themeColor="text1"/>
          <w:sz w:val="16"/>
          <w:szCs w:val="16"/>
        </w:rPr>
      </w:pPr>
    </w:p>
    <w:p w14:paraId="6E50D4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польские соединения Ил-2 использовались в атаках Померанской линии и приняли участие в освобождении Kolobrzheg (241,37).</w:t>
      </w:r>
    </w:p>
    <w:p w14:paraId="2DF41F31" w14:textId="77777777" w:rsidR="00665165" w:rsidRPr="00925F26" w:rsidRDefault="00665165" w:rsidP="00925F26">
      <w:pPr>
        <w:autoSpaceDE w:val="0"/>
        <w:autoSpaceDN w:val="0"/>
        <w:adjustRightInd w:val="0"/>
        <w:jc w:val="both"/>
        <w:rPr>
          <w:color w:val="000000" w:themeColor="text1"/>
          <w:sz w:val="16"/>
          <w:szCs w:val="16"/>
        </w:rPr>
      </w:pPr>
    </w:p>
    <w:p w14:paraId="358A7E5F" w14:textId="77777777" w:rsidR="0085285E" w:rsidRPr="001A0BAA" w:rsidRDefault="0085285E" w:rsidP="0085285E">
      <w:pPr>
        <w:jc w:val="both"/>
        <w:rPr>
          <w:color w:val="0070C0"/>
          <w:sz w:val="16"/>
          <w:szCs w:val="16"/>
        </w:rPr>
      </w:pPr>
      <w:r w:rsidRPr="001A0BAA">
        <w:rPr>
          <w:rStyle w:val="aff0"/>
          <w:rFonts w:ascii="Times New Roman" w:hAnsi="Times New Roman" w:cs="Times New Roman"/>
          <w:color w:val="0070C0"/>
          <w:spacing w:val="0"/>
          <w:sz w:val="16"/>
          <w:szCs w:val="16"/>
        </w:rPr>
        <w:t>В марте 1945 года 108-м гвардейский шап подполковни</w:t>
      </w:r>
      <w:r w:rsidRPr="001A0BAA">
        <w:rPr>
          <w:rStyle w:val="aff0"/>
          <w:rFonts w:ascii="Times New Roman" w:hAnsi="Times New Roman" w:cs="Times New Roman"/>
          <w:color w:val="0070C0"/>
          <w:spacing w:val="0"/>
          <w:sz w:val="16"/>
          <w:szCs w:val="16"/>
        </w:rPr>
        <w:softHyphen/>
        <w:t>ка О.В. Топилина, который получил первые 45 серийных Ил-10 для вой</w:t>
      </w:r>
      <w:r w:rsidRPr="001A0BAA">
        <w:rPr>
          <w:rStyle w:val="aff0"/>
          <w:rFonts w:ascii="Times New Roman" w:hAnsi="Times New Roman" w:cs="Times New Roman"/>
          <w:color w:val="0070C0"/>
          <w:spacing w:val="0"/>
          <w:sz w:val="16"/>
          <w:szCs w:val="16"/>
        </w:rPr>
        <w:softHyphen/>
        <w:t>сковых испытаний, и освоил машину в 1-й запасной авиабригаде, перебазировался в Герма</w:t>
      </w:r>
      <w:r w:rsidRPr="001A0BAA">
        <w:rPr>
          <w:rStyle w:val="aff0"/>
          <w:rFonts w:ascii="Times New Roman" w:hAnsi="Times New Roman" w:cs="Times New Roman"/>
          <w:color w:val="0070C0"/>
          <w:spacing w:val="0"/>
          <w:sz w:val="16"/>
          <w:szCs w:val="16"/>
        </w:rPr>
        <w:softHyphen/>
        <w:t>нию на полевой аэродром Шпроттау. Прежде чем вступить в бой, экипажи «поработали» на полигоне по наземным мишеням. Боевые возможности нового штурмовика оказа</w:t>
      </w:r>
      <w:r w:rsidRPr="001A0BAA">
        <w:rPr>
          <w:rStyle w:val="aff0"/>
          <w:rFonts w:ascii="Times New Roman" w:hAnsi="Times New Roman" w:cs="Times New Roman"/>
          <w:color w:val="0070C0"/>
          <w:spacing w:val="0"/>
          <w:sz w:val="16"/>
          <w:szCs w:val="16"/>
        </w:rPr>
        <w:softHyphen/>
        <w:t>лись намного шире, чем у его предшественника. Подтвер</w:t>
      </w:r>
      <w:r w:rsidRPr="001A0BAA">
        <w:rPr>
          <w:rStyle w:val="aff0"/>
          <w:rFonts w:ascii="Times New Roman" w:hAnsi="Times New Roman" w:cs="Times New Roman"/>
          <w:color w:val="0070C0"/>
          <w:spacing w:val="0"/>
          <w:sz w:val="16"/>
          <w:szCs w:val="16"/>
        </w:rPr>
        <w:softHyphen/>
        <w:t>ждением этому стал учебный воздушный бой между Ил-10, пилотируемым капитаном А.Сироткиным, и истребителем Ла-5ФН, в кабине которого находился дважды Герой Со</w:t>
      </w:r>
      <w:r w:rsidRPr="001A0BAA">
        <w:rPr>
          <w:rStyle w:val="aff0"/>
          <w:rFonts w:ascii="Times New Roman" w:hAnsi="Times New Roman" w:cs="Times New Roman"/>
          <w:color w:val="0070C0"/>
          <w:spacing w:val="0"/>
          <w:sz w:val="16"/>
          <w:szCs w:val="16"/>
        </w:rPr>
        <w:softHyphen/>
        <w:t>ветского Союза капитан В. Попков.</w:t>
      </w:r>
    </w:p>
    <w:p w14:paraId="1D1EC174" w14:textId="77777777" w:rsidR="0085285E" w:rsidRPr="001A0BAA" w:rsidRDefault="0085285E" w:rsidP="0085285E">
      <w:pPr>
        <w:jc w:val="both"/>
        <w:rPr>
          <w:color w:val="0070C0"/>
          <w:sz w:val="16"/>
          <w:szCs w:val="16"/>
        </w:rPr>
      </w:pPr>
      <w:r w:rsidRPr="001A0BAA">
        <w:rPr>
          <w:rStyle w:val="aff0"/>
          <w:rFonts w:ascii="Times New Roman" w:hAnsi="Times New Roman" w:cs="Times New Roman"/>
          <w:color w:val="0070C0"/>
          <w:spacing w:val="0"/>
          <w:sz w:val="16"/>
          <w:szCs w:val="16"/>
        </w:rPr>
        <w:t>«Бой» прошел на равных. Неоднократно пленки фото</w:t>
      </w:r>
      <w:r w:rsidRPr="001A0BAA">
        <w:rPr>
          <w:rStyle w:val="aff0"/>
          <w:rFonts w:ascii="Times New Roman" w:hAnsi="Times New Roman" w:cs="Times New Roman"/>
          <w:color w:val="0070C0"/>
          <w:spacing w:val="0"/>
          <w:sz w:val="16"/>
          <w:szCs w:val="16"/>
        </w:rPr>
        <w:softHyphen/>
        <w:t>пулеметов фиксировали победы как штурмовика, так и ис</w:t>
      </w:r>
      <w:r w:rsidRPr="001A0BAA">
        <w:rPr>
          <w:rStyle w:val="aff0"/>
          <w:rFonts w:ascii="Times New Roman" w:hAnsi="Times New Roman" w:cs="Times New Roman"/>
          <w:color w:val="0070C0"/>
          <w:spacing w:val="0"/>
          <w:sz w:val="16"/>
          <w:szCs w:val="16"/>
        </w:rPr>
        <w:softHyphen/>
        <w:t>требителя. Показательный полет позволил сделать глав</w:t>
      </w:r>
      <w:r w:rsidRPr="001A0BAA">
        <w:rPr>
          <w:rStyle w:val="aff0"/>
          <w:rFonts w:ascii="Times New Roman" w:hAnsi="Times New Roman" w:cs="Times New Roman"/>
          <w:color w:val="0070C0"/>
          <w:spacing w:val="0"/>
          <w:sz w:val="16"/>
          <w:szCs w:val="16"/>
        </w:rPr>
        <w:softHyphen/>
        <w:t>ный вывод. Если в кабине штурмовика находится опытный инициативный летчик, то он имеет немало шансов олержать победу в поединке с истребителем (25091).</w:t>
      </w:r>
    </w:p>
    <w:p w14:paraId="3FF048CC" w14:textId="77777777" w:rsidR="0085285E" w:rsidRPr="001A0BAA" w:rsidRDefault="0085285E" w:rsidP="0085285E">
      <w:pPr>
        <w:jc w:val="both"/>
        <w:rPr>
          <w:color w:val="0070C0"/>
          <w:sz w:val="16"/>
          <w:szCs w:val="16"/>
        </w:rPr>
      </w:pPr>
    </w:p>
    <w:p w14:paraId="002582CB" w14:textId="77777777" w:rsidR="0085285E" w:rsidRPr="001A0BAA" w:rsidRDefault="0085285E" w:rsidP="0085285E">
      <w:pPr>
        <w:jc w:val="both"/>
        <w:rPr>
          <w:color w:val="0070C0"/>
          <w:sz w:val="16"/>
          <w:szCs w:val="16"/>
        </w:rPr>
      </w:pPr>
      <w:r w:rsidRPr="001A0BAA">
        <w:rPr>
          <w:rStyle w:val="aff0"/>
          <w:rFonts w:ascii="Times New Roman" w:hAnsi="Times New Roman" w:cs="Times New Roman"/>
          <w:color w:val="0070C0"/>
          <w:spacing w:val="0"/>
          <w:sz w:val="16"/>
          <w:szCs w:val="16"/>
        </w:rPr>
        <w:t>В марте 1945 года в районе Бреслау крупная группировка немецких войск попа</w:t>
      </w:r>
      <w:r w:rsidRPr="001A0BAA">
        <w:rPr>
          <w:rStyle w:val="aff0"/>
          <w:rFonts w:ascii="Times New Roman" w:hAnsi="Times New Roman" w:cs="Times New Roman"/>
          <w:color w:val="0070C0"/>
          <w:spacing w:val="0"/>
          <w:sz w:val="16"/>
          <w:szCs w:val="16"/>
        </w:rPr>
        <w:softHyphen/>
        <w:t>ла в окружение. Противник обеспечивал ее снабжение по воздуху. Самолеты люфтваф</w:t>
      </w:r>
      <w:r w:rsidRPr="001A0BAA">
        <w:rPr>
          <w:rStyle w:val="aff0"/>
          <w:rFonts w:ascii="Times New Roman" w:hAnsi="Times New Roman" w:cs="Times New Roman"/>
          <w:color w:val="0070C0"/>
          <w:spacing w:val="0"/>
          <w:sz w:val="16"/>
          <w:szCs w:val="16"/>
        </w:rPr>
        <w:softHyphen/>
        <w:t>фе по ночам доставляли грузовые планеры, сбрасывали снаряжение и боеприпасы. Для пресечения ночных транспортировок на аэро</w:t>
      </w:r>
      <w:r w:rsidRPr="001A0BAA">
        <w:rPr>
          <w:rStyle w:val="aff0"/>
          <w:rFonts w:ascii="Times New Roman" w:hAnsi="Times New Roman" w:cs="Times New Roman"/>
          <w:color w:val="0070C0"/>
          <w:spacing w:val="0"/>
          <w:sz w:val="16"/>
          <w:szCs w:val="16"/>
        </w:rPr>
        <w:softHyphen/>
        <w:t>дром Рудники перебросили 173-й АПОН, а для контроля воздушного пространства во</w:t>
      </w:r>
      <w:r w:rsidRPr="001A0BAA">
        <w:rPr>
          <w:rStyle w:val="aff0"/>
          <w:rFonts w:ascii="Times New Roman" w:hAnsi="Times New Roman" w:cs="Times New Roman"/>
          <w:color w:val="0070C0"/>
          <w:spacing w:val="0"/>
          <w:sz w:val="16"/>
          <w:szCs w:val="16"/>
        </w:rPr>
        <w:softHyphen/>
        <w:t>круг Бреслау развернули два радиолокаци</w:t>
      </w:r>
      <w:r w:rsidRPr="001A0BAA">
        <w:rPr>
          <w:rStyle w:val="aff0"/>
          <w:rFonts w:ascii="Times New Roman" w:hAnsi="Times New Roman" w:cs="Times New Roman"/>
          <w:color w:val="0070C0"/>
          <w:spacing w:val="0"/>
          <w:sz w:val="16"/>
          <w:szCs w:val="16"/>
        </w:rPr>
        <w:softHyphen/>
        <w:t>онных поста. За десять дней полк выполнил 65 патрульных полетов, в которых были сбиты два десантных планера. Их уничтожил экипаж старшего лейтенанта Лесняка. Для усиления воздушной блокады в район Брес</w:t>
      </w:r>
      <w:r w:rsidRPr="001A0BAA">
        <w:rPr>
          <w:rStyle w:val="aff0"/>
          <w:rFonts w:ascii="Times New Roman" w:hAnsi="Times New Roman" w:cs="Times New Roman"/>
          <w:color w:val="0070C0"/>
          <w:spacing w:val="0"/>
          <w:sz w:val="16"/>
          <w:szCs w:val="16"/>
        </w:rPr>
        <w:softHyphen/>
        <w:t>лау перебазировали и 45-й полк. За полтора месяца полки выполнили в общей сложности 246 боевых вылетов. В 68 из них летчикам удавалось обнаружить цель. Ночные ис</w:t>
      </w:r>
      <w:r w:rsidRPr="001A0BAA">
        <w:rPr>
          <w:rStyle w:val="aff0"/>
          <w:rFonts w:ascii="Times New Roman" w:hAnsi="Times New Roman" w:cs="Times New Roman"/>
          <w:color w:val="0070C0"/>
          <w:spacing w:val="0"/>
          <w:sz w:val="16"/>
          <w:szCs w:val="16"/>
        </w:rPr>
        <w:softHyphen/>
        <w:t xml:space="preserve">требители провели 13 воздушных боев, в которых экипаж капитана Казнова сбил </w:t>
      </w:r>
      <w:proofErr w:type="gramStart"/>
      <w:r w:rsidRPr="001A0BAA">
        <w:rPr>
          <w:rStyle w:val="aff0"/>
          <w:rFonts w:ascii="Times New Roman" w:hAnsi="Times New Roman" w:cs="Times New Roman"/>
          <w:color w:val="0070C0"/>
          <w:spacing w:val="0"/>
          <w:sz w:val="16"/>
          <w:szCs w:val="16"/>
        </w:rPr>
        <w:t>два</w:t>
      </w:r>
      <w:proofErr w:type="gramEnd"/>
      <w:r w:rsidRPr="001A0BAA">
        <w:rPr>
          <w:rStyle w:val="aff0"/>
          <w:rFonts w:ascii="Times New Roman" w:hAnsi="Times New Roman" w:cs="Times New Roman"/>
          <w:color w:val="0070C0"/>
          <w:spacing w:val="0"/>
          <w:sz w:val="16"/>
          <w:szCs w:val="16"/>
        </w:rPr>
        <w:t xml:space="preserve"> Не 111, а лейтенанта Шестерикова - десант</w:t>
      </w:r>
      <w:r w:rsidRPr="001A0BAA">
        <w:rPr>
          <w:rStyle w:val="aff0"/>
          <w:rFonts w:ascii="Times New Roman" w:hAnsi="Times New Roman" w:cs="Times New Roman"/>
          <w:color w:val="0070C0"/>
          <w:spacing w:val="0"/>
          <w:sz w:val="16"/>
          <w:szCs w:val="16"/>
        </w:rPr>
        <w:softHyphen/>
        <w:t>ный планер. За успешные боевые действия 16 летчиков, штурманов и операторов РЛС из 56-й дивизии получили ордена, а сама дивизия удостоена почетного наименования «Бреславльской» (25693).</w:t>
      </w:r>
    </w:p>
    <w:p w14:paraId="3A176091" w14:textId="77777777" w:rsidR="0085285E" w:rsidRPr="001A0BAA" w:rsidRDefault="0085285E" w:rsidP="0085285E">
      <w:pPr>
        <w:jc w:val="both"/>
        <w:rPr>
          <w:color w:val="0070C0"/>
          <w:sz w:val="16"/>
          <w:szCs w:val="16"/>
        </w:rPr>
      </w:pPr>
    </w:p>
    <w:p w14:paraId="095D70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против контрнаступающих у Балатона немцев сосредотачивалось от 80 до 92% всех сил ВА (518,202).</w:t>
      </w:r>
    </w:p>
    <w:p w14:paraId="60BB0FF9" w14:textId="77777777" w:rsidR="00665165" w:rsidRPr="00925F26" w:rsidRDefault="00665165" w:rsidP="00925F26">
      <w:pPr>
        <w:autoSpaceDE w:val="0"/>
        <w:autoSpaceDN w:val="0"/>
        <w:adjustRightInd w:val="0"/>
        <w:jc w:val="both"/>
        <w:rPr>
          <w:color w:val="000000" w:themeColor="text1"/>
          <w:sz w:val="16"/>
          <w:szCs w:val="16"/>
        </w:rPr>
      </w:pPr>
    </w:p>
    <w:p w14:paraId="0360B3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2-й бап укомплектовали французкими экипажами и советским инженерно-техническим составом. На аэродроме Клоково Московского военного округа полку передали 31 новенький бомбардировщик Пе-2, а также три учебных УПе-2. Инструкторам 9-го зап приходилось нелегко, поскольку практически никто из французов не знал русского языка, но к концу следующего месяца половина экипажей смогла самостоятельно выполнить первые вылеты на бомбардировщиках. Окончание боевых действий в Европе на позволило “Бретани” принять в них участие и наши союзники вернулись на родину (4476).</w:t>
      </w:r>
    </w:p>
    <w:p w14:paraId="2FCC5843" w14:textId="77777777" w:rsidR="00665165" w:rsidRPr="00925F26" w:rsidRDefault="00665165" w:rsidP="00925F26">
      <w:pPr>
        <w:autoSpaceDE w:val="0"/>
        <w:autoSpaceDN w:val="0"/>
        <w:adjustRightInd w:val="0"/>
        <w:jc w:val="both"/>
        <w:rPr>
          <w:color w:val="000000" w:themeColor="text1"/>
          <w:sz w:val="16"/>
          <w:szCs w:val="16"/>
        </w:rPr>
      </w:pPr>
    </w:p>
    <w:p w14:paraId="4D62C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Якобы в марте 1945 И.В.Сталин советовался с В.Челомеем, применять ли советские ФАУ 10Х (116,6).</w:t>
      </w:r>
    </w:p>
    <w:p w14:paraId="613BC9B2" w14:textId="77777777" w:rsidR="00665165" w:rsidRPr="00925F26" w:rsidRDefault="00665165" w:rsidP="00925F26">
      <w:pPr>
        <w:autoSpaceDE w:val="0"/>
        <w:autoSpaceDN w:val="0"/>
        <w:adjustRightInd w:val="0"/>
        <w:jc w:val="both"/>
        <w:rPr>
          <w:color w:val="000000" w:themeColor="text1"/>
          <w:sz w:val="16"/>
          <w:szCs w:val="16"/>
        </w:rPr>
      </w:pPr>
    </w:p>
    <w:p w14:paraId="4DB5A4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1945 г. основные задачи по борьбе с самолетами-снарядами на внешней полосе обороны были пере</w:t>
      </w:r>
      <w:r w:rsidRPr="00925F26">
        <w:rPr>
          <w:color w:val="000000" w:themeColor="text1"/>
          <w:sz w:val="16"/>
          <w:szCs w:val="16"/>
        </w:rPr>
        <w:softHyphen/>
        <w:t>даны командованию 14-го корпуса ПВО (командир - генерал-майор ар</w:t>
      </w:r>
      <w:r w:rsidRPr="00925F26">
        <w:rPr>
          <w:color w:val="000000" w:themeColor="text1"/>
          <w:sz w:val="16"/>
          <w:szCs w:val="16"/>
        </w:rPr>
        <w:softHyphen/>
        <w:t>тиллерии В.А.Мартынюк-Максимчук), а управление 90-й дивизии ПВО пере</w:t>
      </w:r>
      <w:r w:rsidRPr="00925F26">
        <w:rPr>
          <w:color w:val="000000" w:themeColor="text1"/>
          <w:sz w:val="16"/>
          <w:szCs w:val="16"/>
        </w:rPr>
        <w:softHyphen/>
        <w:t>дислоцировалось на запад для прикры</w:t>
      </w:r>
      <w:r w:rsidRPr="00925F26">
        <w:rPr>
          <w:color w:val="000000" w:themeColor="text1"/>
          <w:sz w:val="16"/>
          <w:szCs w:val="16"/>
        </w:rPr>
        <w:softHyphen/>
        <w:t>тия объектов в полосе 2-го Белорус</w:t>
      </w:r>
      <w:r w:rsidRPr="00925F26">
        <w:rPr>
          <w:color w:val="000000" w:themeColor="text1"/>
          <w:sz w:val="16"/>
          <w:szCs w:val="16"/>
        </w:rPr>
        <w:softHyphen/>
        <w:t>ского фронта.</w:t>
      </w:r>
    </w:p>
    <w:p w14:paraId="4C6A3A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отражения возможных налетов V-1 была привлечена 328-я истреби</w:t>
      </w:r>
      <w:r w:rsidRPr="00925F26">
        <w:rPr>
          <w:color w:val="000000" w:themeColor="text1"/>
          <w:sz w:val="16"/>
          <w:szCs w:val="16"/>
        </w:rPr>
        <w:softHyphen/>
        <w:t>тельная авиационная дивизия (над) (ко</w:t>
      </w:r>
      <w:r w:rsidRPr="00925F26">
        <w:rPr>
          <w:color w:val="000000" w:themeColor="text1"/>
          <w:sz w:val="16"/>
          <w:szCs w:val="16"/>
        </w:rPr>
        <w:softHyphen/>
        <w:t>мандир - полковник Г.Ф.Погребняк), имевшая в своем составе три истре</w:t>
      </w:r>
      <w:r w:rsidRPr="00925F26">
        <w:rPr>
          <w:color w:val="000000" w:themeColor="text1"/>
          <w:sz w:val="16"/>
          <w:szCs w:val="16"/>
        </w:rPr>
        <w:softHyphen/>
        <w:t xml:space="preserve">бительных авиаполка. В ноябре 1944 г. в дивизии был разработан и введен в действие План отражения самолетов-снарядов и их носителей </w:t>
      </w:r>
      <w:proofErr w:type="gramStart"/>
      <w:r w:rsidRPr="00925F26">
        <w:rPr>
          <w:color w:val="000000" w:themeColor="text1"/>
          <w:sz w:val="16"/>
          <w:szCs w:val="16"/>
        </w:rPr>
        <w:t>( в</w:t>
      </w:r>
      <w:proofErr w:type="gramEnd"/>
      <w:r w:rsidRPr="00925F26">
        <w:rPr>
          <w:color w:val="000000" w:themeColor="text1"/>
          <w:sz w:val="16"/>
          <w:szCs w:val="16"/>
        </w:rPr>
        <w:t xml:space="preserve"> докумен</w:t>
      </w:r>
      <w:r w:rsidRPr="00925F26">
        <w:rPr>
          <w:color w:val="000000" w:themeColor="text1"/>
          <w:sz w:val="16"/>
          <w:szCs w:val="16"/>
        </w:rPr>
        <w:softHyphen/>
        <w:t>тах из называли буксировщиками), где были определены действия 722-го, 959-го и 960-го истребительных авиапол</w:t>
      </w:r>
      <w:r w:rsidRPr="00925F26">
        <w:rPr>
          <w:color w:val="000000" w:themeColor="text1"/>
          <w:sz w:val="16"/>
          <w:szCs w:val="16"/>
        </w:rPr>
        <w:softHyphen/>
        <w:t>ков при выполнении этой задачи и орга</w:t>
      </w:r>
      <w:r w:rsidRPr="00925F26">
        <w:rPr>
          <w:color w:val="000000" w:themeColor="text1"/>
          <w:sz w:val="16"/>
          <w:szCs w:val="16"/>
        </w:rPr>
        <w:softHyphen/>
        <w:t>низация взаимодействия с наземными средствами ПВО.</w:t>
      </w:r>
    </w:p>
    <w:p w14:paraId="2260D2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случаях получения сведений о воз</w:t>
      </w:r>
      <w:r w:rsidRPr="00925F26">
        <w:rPr>
          <w:color w:val="000000" w:themeColor="text1"/>
          <w:sz w:val="16"/>
          <w:szCs w:val="16"/>
        </w:rPr>
        <w:softHyphen/>
        <w:t>можном применении самолетов-снаря</w:t>
      </w:r>
      <w:r w:rsidRPr="00925F26">
        <w:rPr>
          <w:color w:val="000000" w:themeColor="text1"/>
          <w:sz w:val="16"/>
          <w:szCs w:val="16"/>
        </w:rPr>
        <w:softHyphen/>
        <w:t>дов с буксировщиков на обороняемом участке по распоряжению командова</w:t>
      </w:r>
      <w:r w:rsidRPr="00925F26">
        <w:rPr>
          <w:color w:val="000000" w:themeColor="text1"/>
          <w:sz w:val="16"/>
          <w:szCs w:val="16"/>
        </w:rPr>
        <w:softHyphen/>
        <w:t>ния авиации Северного (с января 1945 г.</w:t>
      </w:r>
    </w:p>
    <w:p w14:paraId="776820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Западного) фронта ПВО в полосе прикрытия дополнительно привлекались истребительные авиационные полки 320 над (командир - полковник А.Г.</w:t>
      </w:r>
      <w:r w:rsidRPr="00925F26">
        <w:rPr>
          <w:color w:val="000000" w:themeColor="text1"/>
          <w:sz w:val="16"/>
          <w:szCs w:val="16"/>
        </w:rPr>
        <w:softHyphen/>
        <w:t>Панов) и 124 иад (командир - полков</w:t>
      </w:r>
      <w:r w:rsidRPr="00925F26">
        <w:rPr>
          <w:color w:val="000000" w:themeColor="text1"/>
          <w:sz w:val="16"/>
          <w:szCs w:val="16"/>
        </w:rPr>
        <w:softHyphen/>
        <w:t>ник С.О.Соколов (до декабря 1944 г., далее полковник М.Ф.Куреш) (10791).</w:t>
      </w:r>
    </w:p>
    <w:p w14:paraId="70A1B9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6116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при отражении немецкого контрнаступления под Балатоном в больших количествах применялись Су-100. На остальных участках фронта применение САУ этого типа носило ограниченный характер (3862).</w:t>
      </w:r>
    </w:p>
    <w:p w14:paraId="32AE0AC3" w14:textId="77777777" w:rsidR="00665165" w:rsidRPr="00925F26" w:rsidRDefault="00665165" w:rsidP="00925F26">
      <w:pPr>
        <w:autoSpaceDE w:val="0"/>
        <w:autoSpaceDN w:val="0"/>
        <w:adjustRightInd w:val="0"/>
        <w:jc w:val="both"/>
        <w:rPr>
          <w:color w:val="000000" w:themeColor="text1"/>
          <w:sz w:val="16"/>
          <w:szCs w:val="16"/>
        </w:rPr>
      </w:pPr>
    </w:p>
    <w:p w14:paraId="59DFA0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была сформирована 66-я гвардейская тяжелая самоходно-артиллерийская бригада трехполкового состава (1804 человека, 65 ИСУ-122, 3 СУ-76). (3862).</w:t>
      </w:r>
    </w:p>
    <w:p w14:paraId="73184BED" w14:textId="77777777" w:rsidR="00665165" w:rsidRPr="00925F26" w:rsidRDefault="00665165" w:rsidP="00925F26">
      <w:pPr>
        <w:autoSpaceDE w:val="0"/>
        <w:autoSpaceDN w:val="0"/>
        <w:adjustRightInd w:val="0"/>
        <w:jc w:val="both"/>
        <w:rPr>
          <w:color w:val="000000" w:themeColor="text1"/>
          <w:sz w:val="16"/>
          <w:szCs w:val="16"/>
        </w:rPr>
      </w:pPr>
    </w:p>
    <w:p w14:paraId="0625C7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решением ГКО в составе 1-го, 2-го Дальневосточных фронтов и Забайкальского фронта сформированы Приморская, Приамурская и Забайкальская армии ПВО. Все армии ПВО были усилены за счет объединений, действовавших на советско-германском фронте (10109).</w:t>
      </w:r>
    </w:p>
    <w:p w14:paraId="7254CC32" w14:textId="77777777" w:rsidR="00665165" w:rsidRPr="00925F26" w:rsidRDefault="00665165" w:rsidP="00925F26">
      <w:pPr>
        <w:autoSpaceDE w:val="0"/>
        <w:autoSpaceDN w:val="0"/>
        <w:adjustRightInd w:val="0"/>
        <w:jc w:val="both"/>
        <w:rPr>
          <w:color w:val="000000" w:themeColor="text1"/>
          <w:sz w:val="16"/>
          <w:szCs w:val="16"/>
        </w:rPr>
      </w:pPr>
    </w:p>
    <w:p w14:paraId="3A2A957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EB60261" w14:textId="77777777" w:rsidR="00665165" w:rsidRPr="00925F26" w:rsidRDefault="00665165" w:rsidP="00925F26">
      <w:pPr>
        <w:autoSpaceDE w:val="0"/>
        <w:autoSpaceDN w:val="0"/>
        <w:adjustRightInd w:val="0"/>
        <w:jc w:val="both"/>
        <w:rPr>
          <w:iCs/>
          <w:color w:val="000000" w:themeColor="text1"/>
          <w:sz w:val="16"/>
          <w:szCs w:val="16"/>
        </w:rPr>
      </w:pPr>
    </w:p>
    <w:p w14:paraId="778603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марте 1945 года наши представители в США запросили сразу 600 АТ-6 Тексан. Американцы согласились дать 225. Теперь машины отправляли в собранном виде через Аляску. Все они были модификации AT-6F, иа которой вернулись к исходному планеру полностью из легких сплавов (3457,141). Первые AT-6F пошли по трассе в июне. Самолеты перегонялись партиями по 8-10 машин без обычного в таких случаях лидирования - по крейсерской скорости "Тексан" значительно уступал использовавшимся иа АЛСИБе в качестве лидеров А-20, В-25 или С-47. Поскольку потолок у AT-6F был невелик, то но обычному маршруту через Верхоянский хребет их пустить не могли. Поэтому летели этапами до Сеймчана (причем приходилось садиться па дозаправку в Омолоне, поскольку запаса горючего не хватало), затем на Оймякон, а оттуда в Якутск. Последняя группа "Тексанов" вылетела из Фэрбенкса в середине июля и уже к началу августа 1945 года достигла Красноярска. Всего до завершения </w:t>
      </w:r>
      <w:proofErr w:type="gramStart"/>
      <w:r w:rsidRPr="00925F26">
        <w:rPr>
          <w:color w:val="000000" w:themeColor="text1"/>
          <w:sz w:val="16"/>
          <w:szCs w:val="16"/>
        </w:rPr>
        <w:t>поставок</w:t>
      </w:r>
      <w:proofErr w:type="gramEnd"/>
      <w:r w:rsidRPr="00925F26">
        <w:rPr>
          <w:color w:val="000000" w:themeColor="text1"/>
          <w:sz w:val="16"/>
          <w:szCs w:val="16"/>
        </w:rPr>
        <w:t xml:space="preserve"> но ленд-лизу советской стороне успели сдать 54 AT-6F. Все они благополучно </w:t>
      </w:r>
      <w:proofErr w:type="gramStart"/>
      <w:r w:rsidRPr="00925F26">
        <w:rPr>
          <w:color w:val="000000" w:themeColor="text1"/>
          <w:sz w:val="16"/>
          <w:szCs w:val="16"/>
        </w:rPr>
        <w:t>прошли</w:t>
      </w:r>
      <w:proofErr w:type="gramEnd"/>
      <w:r w:rsidRPr="00925F26">
        <w:rPr>
          <w:color w:val="000000" w:themeColor="text1"/>
          <w:sz w:val="16"/>
          <w:szCs w:val="16"/>
        </w:rPr>
        <w:t xml:space="preserve"> но трассе (3457,141).</w:t>
      </w:r>
    </w:p>
    <w:p w14:paraId="6B422609" w14:textId="77777777" w:rsidR="00665165" w:rsidRPr="00925F26" w:rsidRDefault="00665165" w:rsidP="00925F26">
      <w:pPr>
        <w:autoSpaceDE w:val="0"/>
        <w:autoSpaceDN w:val="0"/>
        <w:adjustRightInd w:val="0"/>
        <w:jc w:val="both"/>
        <w:rPr>
          <w:color w:val="000000" w:themeColor="text1"/>
          <w:sz w:val="16"/>
          <w:szCs w:val="16"/>
        </w:rPr>
      </w:pPr>
    </w:p>
    <w:p w14:paraId="63BA18E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C65946B" w14:textId="77777777" w:rsidR="00095C37" w:rsidRPr="00925F26" w:rsidRDefault="00095C37" w:rsidP="00925F26">
      <w:pPr>
        <w:jc w:val="both"/>
        <w:rPr>
          <w:color w:val="000000" w:themeColor="text1"/>
          <w:sz w:val="16"/>
          <w:szCs w:val="16"/>
        </w:rPr>
      </w:pPr>
    </w:p>
    <w:p w14:paraId="0FFBBB05" w14:textId="77777777" w:rsidR="00095C37" w:rsidRPr="00925F26" w:rsidRDefault="00095C37" w:rsidP="00925F26">
      <w:pPr>
        <w:jc w:val="both"/>
        <w:rPr>
          <w:color w:val="000000" w:themeColor="text1"/>
          <w:sz w:val="16"/>
          <w:szCs w:val="16"/>
        </w:rPr>
      </w:pPr>
      <w:r w:rsidRPr="00925F26">
        <w:rPr>
          <w:color w:val="000000" w:themeColor="text1"/>
          <w:sz w:val="16"/>
          <w:szCs w:val="16"/>
        </w:rPr>
        <w:t>В марте 1945 г. параллельно с «двадцать первыми» в Саус-Марстоне начали собирать «Спитфайр» 22. Они отличались понижен</w:t>
      </w:r>
      <w:r w:rsidRPr="00925F26">
        <w:rPr>
          <w:color w:val="000000" w:themeColor="text1"/>
          <w:sz w:val="16"/>
          <w:szCs w:val="16"/>
        </w:rPr>
        <w:softHyphen/>
        <w:t>ными гаргротом, фонарем кругового обзора и измененной электросистемой (ее переве</w:t>
      </w:r>
      <w:r w:rsidRPr="00925F26">
        <w:rPr>
          <w:color w:val="000000" w:themeColor="text1"/>
          <w:sz w:val="16"/>
          <w:szCs w:val="16"/>
        </w:rPr>
        <w:softHyphen/>
        <w:t>ли с напряжения 12 в на 24 в). Большая часть самолетов имела увеличенное вертикальное оперение с обшитым металлом рулем пово</w:t>
      </w:r>
      <w:r w:rsidRPr="00925F26">
        <w:rPr>
          <w:color w:val="000000" w:themeColor="text1"/>
          <w:sz w:val="16"/>
          <w:szCs w:val="16"/>
        </w:rPr>
        <w:softHyphen/>
        <w:t>рота. На вооружение модель 22 попала уже после войны, и не получила широкого рас</w:t>
      </w:r>
      <w:r w:rsidRPr="00925F26">
        <w:rPr>
          <w:color w:val="000000" w:themeColor="text1"/>
          <w:sz w:val="16"/>
          <w:szCs w:val="16"/>
        </w:rPr>
        <w:softHyphen/>
        <w:t>пространения.</w:t>
      </w:r>
    </w:p>
    <w:p w14:paraId="474262E4" w14:textId="77777777" w:rsidR="00095C37" w:rsidRPr="00925F26" w:rsidRDefault="00095C37" w:rsidP="00925F26">
      <w:pPr>
        <w:jc w:val="both"/>
        <w:rPr>
          <w:color w:val="000000" w:themeColor="text1"/>
          <w:sz w:val="16"/>
          <w:szCs w:val="16"/>
        </w:rPr>
      </w:pPr>
      <w:r w:rsidRPr="00925F26">
        <w:rPr>
          <w:color w:val="000000" w:themeColor="text1"/>
          <w:sz w:val="16"/>
          <w:szCs w:val="16"/>
        </w:rPr>
        <w:t>«Спитфайр» 23 являлся опытной машиной с ламинарным крылом. Такое крыло испыта</w:t>
      </w:r>
      <w:r w:rsidRPr="00925F26">
        <w:rPr>
          <w:color w:val="000000" w:themeColor="text1"/>
          <w:sz w:val="16"/>
          <w:szCs w:val="16"/>
        </w:rPr>
        <w:softHyphen/>
        <w:t>ли на специально выделенной «восьмерке». Когда выяснилось, что прирост скорости со</w:t>
      </w:r>
      <w:r w:rsidRPr="00925F26">
        <w:rPr>
          <w:color w:val="000000" w:themeColor="text1"/>
          <w:sz w:val="16"/>
          <w:szCs w:val="16"/>
        </w:rPr>
        <w:softHyphen/>
        <w:t>ставляет не более 5-7 км/ч, работу закрыли.</w:t>
      </w:r>
    </w:p>
    <w:p w14:paraId="58D8A7E2" w14:textId="77777777" w:rsidR="00095C37" w:rsidRPr="00925F26" w:rsidRDefault="00095C37" w:rsidP="00925F26">
      <w:pPr>
        <w:jc w:val="both"/>
        <w:rPr>
          <w:color w:val="000000" w:themeColor="text1"/>
          <w:sz w:val="16"/>
          <w:szCs w:val="16"/>
        </w:rPr>
      </w:pPr>
      <w:r w:rsidRPr="00925F26">
        <w:rPr>
          <w:color w:val="000000" w:themeColor="text1"/>
          <w:sz w:val="16"/>
          <w:szCs w:val="16"/>
        </w:rPr>
        <w:t>Последней модификацией «Спитфайра» стал F 24, соответствовавший поздним «двад</w:t>
      </w:r>
      <w:r w:rsidRPr="00925F26">
        <w:rPr>
          <w:color w:val="000000" w:themeColor="text1"/>
          <w:sz w:val="16"/>
          <w:szCs w:val="16"/>
        </w:rPr>
        <w:softHyphen/>
        <w:t>цать вторым» плюс два дополнительных бен</w:t>
      </w:r>
      <w:r w:rsidRPr="00925F26">
        <w:rPr>
          <w:color w:val="000000" w:themeColor="text1"/>
          <w:sz w:val="16"/>
          <w:szCs w:val="16"/>
        </w:rPr>
        <w:softHyphen/>
        <w:t>зобака в фюзеляже и короткоствольные пуш</w:t>
      </w:r>
      <w:r w:rsidRPr="00925F26">
        <w:rPr>
          <w:color w:val="000000" w:themeColor="text1"/>
          <w:sz w:val="16"/>
          <w:szCs w:val="16"/>
        </w:rPr>
        <w:softHyphen/>
        <w:t>ки Испано Mk.V. Их строили с апреля 1946 г. по февраль 1948 г.</w:t>
      </w:r>
    </w:p>
    <w:p w14:paraId="0AAD67E4" w14:textId="77777777" w:rsidR="00095C37" w:rsidRPr="00925F26" w:rsidRDefault="00095C37" w:rsidP="00925F26">
      <w:pPr>
        <w:jc w:val="both"/>
        <w:rPr>
          <w:color w:val="000000" w:themeColor="text1"/>
          <w:sz w:val="16"/>
          <w:szCs w:val="16"/>
        </w:rPr>
      </w:pPr>
      <w:r w:rsidRPr="00925F26">
        <w:rPr>
          <w:color w:val="000000" w:themeColor="text1"/>
          <w:sz w:val="16"/>
          <w:szCs w:val="16"/>
        </w:rPr>
        <w:t>Последний «двадцать четвертый» вышел из цеха завода «Супермарин» 24 февраля 1948 г. В августе следующего года он оказался в 80-й эскадрилье в Гонконге, где и был списан пос</w:t>
      </w:r>
      <w:r w:rsidRPr="00925F26">
        <w:rPr>
          <w:color w:val="000000" w:themeColor="text1"/>
          <w:sz w:val="16"/>
          <w:szCs w:val="16"/>
        </w:rPr>
        <w:softHyphen/>
        <w:t>ле аварии в декабре 1950 г (24505).</w:t>
      </w:r>
    </w:p>
    <w:p w14:paraId="397740B0" w14:textId="77777777" w:rsidR="00095C37" w:rsidRPr="00925F26" w:rsidRDefault="00095C37" w:rsidP="00925F26">
      <w:pPr>
        <w:jc w:val="both"/>
        <w:rPr>
          <w:color w:val="000000" w:themeColor="text1"/>
          <w:sz w:val="16"/>
          <w:szCs w:val="16"/>
        </w:rPr>
      </w:pPr>
    </w:p>
    <w:p w14:paraId="46A51BB6" w14:textId="1D51F660" w:rsidR="00BD44E6" w:rsidRPr="00925F26" w:rsidRDefault="00BD44E6" w:rsidP="00925F26">
      <w:pPr>
        <w:jc w:val="both"/>
        <w:rPr>
          <w:color w:val="000000" w:themeColor="text1"/>
          <w:sz w:val="16"/>
          <w:szCs w:val="16"/>
        </w:rPr>
      </w:pPr>
      <w:r w:rsidRPr="00925F26">
        <w:rPr>
          <w:color w:val="000000" w:themeColor="text1"/>
          <w:sz w:val="16"/>
          <w:szCs w:val="16"/>
        </w:rPr>
        <w:t>В марте 1945 Хайнеман н (Edvard Heinemann) - автор знаменитых машин А-26, А-20 и A-1 Skyraider, превративший имя Douglas в мировой брэнд, и его бессменный помощник Лео Дэвлин (Leo Devlin) передали NACA и ВМС проект самолета D-588 со смешанной силовой установкой из ТРД и ЖРД, пытаясь представить его не только как экспериментальный, но и как прототип истребителя. Естественно, что моряки одобрили задумку, а в NACA ее отклонили, как не соответствующую исследовательскому характеру программы.</w:t>
      </w:r>
    </w:p>
    <w:p w14:paraId="4724E777" w14:textId="77777777" w:rsidR="00BD44E6" w:rsidRPr="00925F26" w:rsidRDefault="00BD44E6" w:rsidP="00925F26">
      <w:pPr>
        <w:jc w:val="both"/>
        <w:rPr>
          <w:color w:val="000000" w:themeColor="text1"/>
          <w:sz w:val="16"/>
          <w:szCs w:val="16"/>
        </w:rPr>
      </w:pPr>
      <w:r w:rsidRPr="00925F26">
        <w:rPr>
          <w:color w:val="000000" w:themeColor="text1"/>
          <w:sz w:val="16"/>
          <w:szCs w:val="16"/>
        </w:rPr>
        <w:t>Тогда Хайнеман предложил разбить создание самолета на три этапа:</w:t>
      </w:r>
    </w:p>
    <w:p w14:paraId="6DD08B9B" w14:textId="77777777" w:rsidR="00BD44E6" w:rsidRPr="00925F26" w:rsidRDefault="00BD44E6" w:rsidP="00925F26">
      <w:pPr>
        <w:jc w:val="both"/>
        <w:rPr>
          <w:color w:val="000000" w:themeColor="text1"/>
          <w:sz w:val="16"/>
          <w:szCs w:val="16"/>
        </w:rPr>
      </w:pPr>
      <w:r w:rsidRPr="00925F26">
        <w:rPr>
          <w:color w:val="000000" w:themeColor="text1"/>
          <w:sz w:val="16"/>
          <w:szCs w:val="16"/>
        </w:rPr>
        <w:t>1. Строительство шести самолетов D-588 с турбореактивными двигателями TG-180, для исследования области от М=0,75 до М=0,85. Все самолеты должны были отличаться профилем крыла и типом воздухозаборников.</w:t>
      </w:r>
    </w:p>
    <w:p w14:paraId="7488AF2B" w14:textId="77777777" w:rsidR="00BD44E6" w:rsidRPr="00925F26" w:rsidRDefault="00BD44E6" w:rsidP="00925F26">
      <w:pPr>
        <w:jc w:val="both"/>
        <w:rPr>
          <w:color w:val="000000" w:themeColor="text1"/>
          <w:sz w:val="16"/>
          <w:szCs w:val="16"/>
        </w:rPr>
      </w:pPr>
      <w:r w:rsidRPr="00925F26">
        <w:rPr>
          <w:color w:val="000000" w:themeColor="text1"/>
          <w:sz w:val="16"/>
          <w:szCs w:val="16"/>
        </w:rPr>
        <w:t>2. Модернизация силовой установки двух самолетов, путем добавления ЖРД с целью выхода на М=1.</w:t>
      </w:r>
    </w:p>
    <w:p w14:paraId="3AB4FA2F" w14:textId="77777777" w:rsidR="00BD44E6" w:rsidRPr="00925F26" w:rsidRDefault="00BD44E6" w:rsidP="00925F26">
      <w:pPr>
        <w:jc w:val="both"/>
        <w:rPr>
          <w:color w:val="000000" w:themeColor="text1"/>
          <w:sz w:val="16"/>
          <w:szCs w:val="16"/>
        </w:rPr>
      </w:pPr>
      <w:r w:rsidRPr="00925F26">
        <w:rPr>
          <w:color w:val="000000" w:themeColor="text1"/>
          <w:sz w:val="16"/>
          <w:szCs w:val="16"/>
        </w:rPr>
        <w:t>3. Строительство на базе лучшего самолета палубного истребителя.</w:t>
      </w:r>
    </w:p>
    <w:p w14:paraId="4BEEB6C3" w14:textId="77777777" w:rsidR="00BD44E6" w:rsidRPr="00925F26" w:rsidRDefault="00BD44E6" w:rsidP="00925F26">
      <w:pPr>
        <w:jc w:val="both"/>
        <w:rPr>
          <w:color w:val="000000" w:themeColor="text1"/>
          <w:sz w:val="16"/>
          <w:szCs w:val="16"/>
        </w:rPr>
      </w:pPr>
      <w:r w:rsidRPr="00925F26">
        <w:rPr>
          <w:color w:val="000000" w:themeColor="text1"/>
          <w:sz w:val="16"/>
          <w:szCs w:val="16"/>
        </w:rPr>
        <w:t>Этот компромиссный вариант устроил всех (22835).</w:t>
      </w:r>
    </w:p>
    <w:p w14:paraId="1FE640F1" w14:textId="77777777" w:rsidR="00BD44E6" w:rsidRPr="00925F26" w:rsidRDefault="00BD44E6" w:rsidP="00925F26">
      <w:pPr>
        <w:jc w:val="both"/>
        <w:rPr>
          <w:color w:val="000000" w:themeColor="text1"/>
          <w:sz w:val="16"/>
          <w:szCs w:val="16"/>
        </w:rPr>
      </w:pPr>
    </w:p>
    <w:p w14:paraId="5F5618D1" w14:textId="77777777" w:rsidR="00BD44E6" w:rsidRPr="00925F26" w:rsidRDefault="00BD44E6" w:rsidP="00925F26">
      <w:pPr>
        <w:jc w:val="both"/>
        <w:rPr>
          <w:color w:val="000000" w:themeColor="text1"/>
          <w:sz w:val="16"/>
          <w:szCs w:val="16"/>
        </w:rPr>
      </w:pPr>
      <w:r w:rsidRPr="00925F26">
        <w:rPr>
          <w:color w:val="000000" w:themeColor="text1"/>
          <w:sz w:val="16"/>
          <w:szCs w:val="16"/>
        </w:rPr>
        <w:t>В марте 1945 года первые серийные самолеты P-80A поступили в 412 истребительное крыло с авиабазы Марш в Калифорнии. Появились и первые потери: так, 6 августа 1945 года при облете очередного серийного P-80A погиб майор Ричард Бонг.</w:t>
      </w:r>
    </w:p>
    <w:p w14:paraId="0502FDC5" w14:textId="77777777" w:rsidR="00BD44E6" w:rsidRPr="00925F26" w:rsidRDefault="00BD44E6" w:rsidP="00925F26">
      <w:pPr>
        <w:jc w:val="both"/>
        <w:rPr>
          <w:color w:val="000000" w:themeColor="text1"/>
          <w:sz w:val="16"/>
          <w:szCs w:val="16"/>
        </w:rPr>
      </w:pPr>
      <w:r w:rsidRPr="00925F26">
        <w:rPr>
          <w:color w:val="000000" w:themeColor="text1"/>
          <w:sz w:val="16"/>
          <w:szCs w:val="16"/>
        </w:rPr>
        <w:t>Первой модификацией Shooting Star стал самолет P-80A-1 с двигателем J33- GE-11, выпущенный в количестве 345 штук. Далее последовал P-80A-5 (двигатель J33-A-17) — 218 штук. Всего построили 677 истребителей P-80А. В январе 1946 года серийный P-80A установил национальный рекорд скорости, преодолев расстояние между Нью-Йорком и Лос-Анджелесом за 4 часа 13 минут 26 секунд. На базе Р-80А серийно выпускался самолет-разведчик FP-80A (RF-80A). (22848).</w:t>
      </w:r>
    </w:p>
    <w:p w14:paraId="5ECE1AFF" w14:textId="77777777" w:rsidR="00BD44E6" w:rsidRPr="00925F26" w:rsidRDefault="00BD44E6" w:rsidP="00925F26">
      <w:pPr>
        <w:jc w:val="both"/>
        <w:rPr>
          <w:color w:val="000000" w:themeColor="text1"/>
          <w:sz w:val="16"/>
          <w:szCs w:val="16"/>
        </w:rPr>
      </w:pPr>
    </w:p>
    <w:p w14:paraId="17D80AC2" w14:textId="77777777" w:rsidR="00BD44E6" w:rsidRPr="00925F26" w:rsidRDefault="00BD44E6" w:rsidP="00925F26">
      <w:pPr>
        <w:jc w:val="both"/>
        <w:rPr>
          <w:color w:val="000000" w:themeColor="text1"/>
          <w:sz w:val="16"/>
          <w:szCs w:val="16"/>
        </w:rPr>
      </w:pPr>
      <w:r w:rsidRPr="00925F26">
        <w:rPr>
          <w:color w:val="000000" w:themeColor="text1"/>
          <w:sz w:val="16"/>
          <w:szCs w:val="16"/>
        </w:rPr>
        <w:t>В марте 1945 Военно -воздушные силы США начинают оценку беспилотного самолета- мишени Radioplane OQ-17 (в настоящее время обозначенного как RP-18) (20371).</w:t>
      </w:r>
    </w:p>
    <w:p w14:paraId="562171FE" w14:textId="77777777" w:rsidR="00BD44E6" w:rsidRPr="00925F26" w:rsidRDefault="00BD44E6" w:rsidP="00925F26">
      <w:pPr>
        <w:jc w:val="both"/>
        <w:rPr>
          <w:color w:val="000000" w:themeColor="text1"/>
          <w:sz w:val="16"/>
          <w:szCs w:val="16"/>
        </w:rPr>
      </w:pPr>
    </w:p>
    <w:p w14:paraId="5C1EFBFB" w14:textId="77777777" w:rsidR="00BD44E6" w:rsidRPr="00925F26" w:rsidRDefault="00BD44E6" w:rsidP="00925F26">
      <w:pPr>
        <w:jc w:val="both"/>
        <w:rPr>
          <w:color w:val="000000" w:themeColor="text1"/>
          <w:sz w:val="16"/>
          <w:szCs w:val="16"/>
        </w:rPr>
      </w:pPr>
      <w:r w:rsidRPr="00925F26">
        <w:rPr>
          <w:color w:val="000000" w:themeColor="text1"/>
          <w:sz w:val="16"/>
          <w:szCs w:val="16"/>
        </w:rPr>
        <w:t>В марте 1945 г. было прекращено производство Bf-110 и всего было выпущено 6050 машин всех модификаций (22894).</w:t>
      </w:r>
    </w:p>
    <w:p w14:paraId="755B77CA" w14:textId="77777777" w:rsidR="00665165" w:rsidRPr="00925F26" w:rsidRDefault="00665165" w:rsidP="00925F26">
      <w:pPr>
        <w:autoSpaceDE w:val="0"/>
        <w:autoSpaceDN w:val="0"/>
        <w:adjustRightInd w:val="0"/>
        <w:jc w:val="both"/>
        <w:rPr>
          <w:color w:val="000000" w:themeColor="text1"/>
          <w:sz w:val="16"/>
          <w:szCs w:val="16"/>
        </w:rPr>
      </w:pPr>
    </w:p>
    <w:p w14:paraId="0CDF026F" w14:textId="77777777" w:rsidR="00095C37" w:rsidRPr="00925F26" w:rsidRDefault="00095C37" w:rsidP="00925F26">
      <w:pPr>
        <w:jc w:val="both"/>
        <w:rPr>
          <w:color w:val="000000" w:themeColor="text1"/>
          <w:sz w:val="16"/>
          <w:szCs w:val="16"/>
        </w:rPr>
      </w:pPr>
      <w:r w:rsidRPr="00925F26">
        <w:rPr>
          <w:color w:val="000000" w:themeColor="text1"/>
          <w:sz w:val="16"/>
          <w:szCs w:val="16"/>
        </w:rPr>
        <w:t>В марте 1945 года летчик Люфтваф</w:t>
      </w:r>
      <w:r w:rsidRPr="00925F26">
        <w:rPr>
          <w:color w:val="000000" w:themeColor="text1"/>
          <w:sz w:val="16"/>
          <w:szCs w:val="16"/>
        </w:rPr>
        <w:softHyphen/>
        <w:t>фе Хельмут Леннартц из JG 7 совершил вынужденную посадку на территории, контролируемой советскими войсками. Это был первый экземпляр самолета, по</w:t>
      </w:r>
      <w:r w:rsidRPr="00925F26">
        <w:rPr>
          <w:color w:val="000000" w:themeColor="text1"/>
          <w:sz w:val="16"/>
          <w:szCs w:val="16"/>
        </w:rPr>
        <w:softHyphen/>
        <w:t>павший в руки наших специалистов с не</w:t>
      </w:r>
      <w:r w:rsidRPr="00925F26">
        <w:rPr>
          <w:color w:val="000000" w:themeColor="text1"/>
          <w:sz w:val="16"/>
          <w:szCs w:val="16"/>
        </w:rPr>
        <w:softHyphen/>
        <w:t>значительными повреждениями. Вслед за этим на аэродромах Ораниенбурга, Далгов и Темпельхоф было обнаружено боль</w:t>
      </w:r>
      <w:r w:rsidRPr="00925F26">
        <w:rPr>
          <w:color w:val="000000" w:themeColor="text1"/>
          <w:sz w:val="16"/>
          <w:szCs w:val="16"/>
        </w:rPr>
        <w:softHyphen/>
        <w:t>шое количество Ме-262 и Ме-163 с ЖРД и двигателей к ним (23462).</w:t>
      </w:r>
    </w:p>
    <w:p w14:paraId="626D16EB" w14:textId="77777777" w:rsidR="00095C37" w:rsidRPr="00925F26" w:rsidRDefault="00095C37" w:rsidP="00925F26">
      <w:pPr>
        <w:jc w:val="both"/>
        <w:rPr>
          <w:color w:val="000000" w:themeColor="text1"/>
          <w:sz w:val="16"/>
          <w:szCs w:val="16"/>
        </w:rPr>
      </w:pPr>
    </w:p>
    <w:p w14:paraId="510F80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март 1945 года с сентября 1944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5AD32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23952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1C0F7F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199CD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311A5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A6CA18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147EB48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w:t>
      </w:r>
      <w:r w:rsidRPr="00925F26">
        <w:rPr>
          <w:color w:val="000000" w:themeColor="text1"/>
          <w:sz w:val="16"/>
          <w:szCs w:val="16"/>
          <w:lang w:val="en-AU"/>
        </w:rPr>
        <w:t>V</w:t>
      </w:r>
      <w:r w:rsidRPr="00925F26">
        <w:rPr>
          <w:color w:val="000000" w:themeColor="text1"/>
          <w:sz w:val="16"/>
          <w:szCs w:val="16"/>
        </w:rPr>
        <w:t>-2». По признанию Дорнбергера, ракетные части «могли производить ежедневно 28-30 запусков на фронте и 5-7 для испытаний».</w:t>
      </w:r>
    </w:p>
    <w:p w14:paraId="5BE087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целом все эти факторы приводили к тому, что сотни «V-2» оказывались непригодными к запуску; 25-30% из запущенных не долетали до цели. Так </w:t>
      </w:r>
      <w:proofErr w:type="gramStart"/>
      <w:r w:rsidRPr="00925F26">
        <w:rPr>
          <w:color w:val="000000" w:themeColor="text1"/>
          <w:sz w:val="16"/>
          <w:szCs w:val="16"/>
        </w:rPr>
        <w:t>же</w:t>
      </w:r>
      <w:proofErr w:type="gramEnd"/>
      <w:r w:rsidRPr="00925F26">
        <w:rPr>
          <w:color w:val="000000" w:themeColor="text1"/>
          <w:sz w:val="16"/>
          <w:szCs w:val="16"/>
        </w:rPr>
        <w:t xml:space="preserve"> как и «V-1», баллистические ракеты «V-2» оказались непригодными для решения той стратегической задачи, которую возлагал на них Гитлер.</w:t>
      </w:r>
    </w:p>
    <w:p w14:paraId="4FAC6F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2532E7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2CE9AE8B" w14:textId="77777777" w:rsidR="00665165" w:rsidRPr="00925F26" w:rsidRDefault="00665165" w:rsidP="00925F26">
      <w:pPr>
        <w:autoSpaceDE w:val="0"/>
        <w:autoSpaceDN w:val="0"/>
        <w:adjustRightInd w:val="0"/>
        <w:jc w:val="both"/>
        <w:rPr>
          <w:color w:val="000000" w:themeColor="text1"/>
          <w:sz w:val="16"/>
          <w:szCs w:val="16"/>
        </w:rPr>
      </w:pPr>
    </w:p>
    <w:p w14:paraId="1BD9C551" w14:textId="77777777" w:rsidR="00546AC2" w:rsidRPr="00925F26" w:rsidRDefault="00546AC2" w:rsidP="00925F26">
      <w:pPr>
        <w:jc w:val="both"/>
        <w:rPr>
          <w:color w:val="000000" w:themeColor="text1"/>
          <w:sz w:val="16"/>
          <w:szCs w:val="16"/>
        </w:rPr>
      </w:pPr>
      <w:r w:rsidRPr="00925F26">
        <w:rPr>
          <w:color w:val="000000" w:themeColor="text1"/>
          <w:sz w:val="16"/>
          <w:szCs w:val="16"/>
        </w:rPr>
        <w:t>В марте 1945 г. по итогам испытаний Фирма HASAG получила заказ на производство 10 000 пусковых устройств и четырех миллионов ракет к ним. Одновременно началась подготовка инструкторов, которые должны были организовать в частях вермахта массовое обучение военнослужащих обращению с этим новым видом оружия. До конца февраля фирма успела поставить в войска лишь 80 комплексов, которые уже не могли оказать какое-либо влияние на ход боевых действий. В то же время конструктивная схема Люфтфауста" была использована при создании американского ПЗРК "Ред Ай" и последующих комплексов этого типа.</w:t>
      </w:r>
    </w:p>
    <w:p w14:paraId="0C737E75" w14:textId="0CD2AF3F" w:rsidR="00546AC2" w:rsidRPr="00925F26" w:rsidRDefault="00546AC2" w:rsidP="00925F26">
      <w:pPr>
        <w:jc w:val="both"/>
        <w:rPr>
          <w:color w:val="000000" w:themeColor="text1"/>
          <w:sz w:val="16"/>
          <w:szCs w:val="16"/>
        </w:rPr>
      </w:pPr>
      <w:r w:rsidRPr="00925F26">
        <w:rPr>
          <w:color w:val="000000" w:themeColor="text1"/>
          <w:sz w:val="16"/>
          <w:szCs w:val="16"/>
        </w:rPr>
        <w:t>В 1944 г. Фирма HASAG разработала зенитную установку, которая в соответствии с современной технологией может быть квалифицированна как переносной зенитный ракетный комплекс (ПЗРК).</w:t>
      </w:r>
      <w:r w:rsidR="00997EDF" w:rsidRPr="00925F26">
        <w:rPr>
          <w:color w:val="000000" w:themeColor="text1"/>
          <w:sz w:val="16"/>
          <w:szCs w:val="16"/>
        </w:rPr>
        <w:t xml:space="preserve">  </w:t>
      </w:r>
      <w:r w:rsidRPr="00925F26">
        <w:rPr>
          <w:color w:val="000000" w:themeColor="text1"/>
          <w:sz w:val="16"/>
          <w:szCs w:val="16"/>
        </w:rPr>
        <w:t>В первоначальном варианте (Люфтфауст-А) он состоял из четырехствольного пускового устройства, механического прицела и 20-мм неуправляемой зенитной ракеты. Последняя имела твердотопливный двигатель с шашкой бездымного пороха весом 41г и пятью соплами: центральным и четырьмя наклонными, обеспечивающими вращение ракеты продольной оси для стабилизации ее в полете. Для воспламенения пороховой шашки в центральное сопло был ввинчен электрозапал. Двигатель соединялся с боевой частью, представлявшей собой 20-мм осколочно-зажигательный снаряд весом 90 г, содержащий 19 г мощного взрывчатого вещества. Боевая часть комплектовалась дистанционным взрывателем. Запуск ракет производился залпом с помощью индукционного электрогенератора. Стрельба велась с плеча с использованием простого механического прицела.</w:t>
      </w:r>
      <w:r w:rsidR="00997EDF" w:rsidRPr="00925F26">
        <w:rPr>
          <w:color w:val="000000" w:themeColor="text1"/>
          <w:sz w:val="16"/>
          <w:szCs w:val="16"/>
        </w:rPr>
        <w:t xml:space="preserve">  </w:t>
      </w:r>
      <w:r w:rsidRPr="00925F26">
        <w:rPr>
          <w:color w:val="000000" w:themeColor="text1"/>
          <w:sz w:val="16"/>
          <w:szCs w:val="16"/>
        </w:rPr>
        <w:t xml:space="preserve">Проведенные испытания комплекса </w:t>
      </w:r>
      <w:proofErr w:type="gramStart"/>
      <w:r w:rsidRPr="00925F26">
        <w:rPr>
          <w:color w:val="000000" w:themeColor="text1"/>
          <w:sz w:val="16"/>
          <w:szCs w:val="16"/>
        </w:rPr>
        <w:t>показали,что</w:t>
      </w:r>
      <w:proofErr w:type="gramEnd"/>
      <w:r w:rsidRPr="00925F26">
        <w:rPr>
          <w:color w:val="000000" w:themeColor="text1"/>
          <w:sz w:val="16"/>
          <w:szCs w:val="16"/>
        </w:rPr>
        <w:t xml:space="preserve"> рассеивание ракет слишком велико, а мощность залпа из четырех ракет- недостаточна. С учетом этих результатов был разработан усовершенствованный вариант "Люфтфауст-В", у которого число трубчатых направляющих было увеличено до девяти, а длина направляющих было увеличено до девяти, а длина направляющих доведена до 1500 мм. При этом залповый пуск ракет производился в два этапа: сначала срабатывали запальные устройства пяти, а через 0.1 секунды- остальных четырех ракет. Благодаря этому они двигались ч цели, не оказывая друг на друга воздействия раскаленными газами двигателей. Для ускоренного заряжания пусковой установки была разработана девятизарядная обойма, вставлявшаяся в казенную часть установки. Испытания комплекса "Люфтфауст-В" дали вполне приемлемый результат: на расстоянии 500 м ракеты укладывались" в круг диаметром 60 м. При условии массированного использования этих комплексов могла быть обеспечена ПВО пехотных подразделений от налетов штурмовой авиации (15139).</w:t>
      </w:r>
    </w:p>
    <w:p w14:paraId="45C713AA" w14:textId="77777777" w:rsidR="00546AC2" w:rsidRPr="00925F26" w:rsidRDefault="00546AC2" w:rsidP="00925F26">
      <w:pPr>
        <w:jc w:val="both"/>
        <w:rPr>
          <w:color w:val="000000" w:themeColor="text1"/>
          <w:sz w:val="16"/>
          <w:szCs w:val="16"/>
        </w:rPr>
      </w:pPr>
    </w:p>
    <w:p w14:paraId="014A2D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Цуруги совершил первый полет. Доводка самолета продолжалась до середины июня, после чего поступил заказ на постройку 104 штурмовиков. Дальнейшим развитием самолета Цу руги стали варианты Кi115 Оцу и Кi230. В боевых действиях самолеты участия не приняли (11686).</w:t>
      </w:r>
    </w:p>
    <w:p w14:paraId="15BA0826" w14:textId="77777777" w:rsidR="00665165" w:rsidRPr="00925F26" w:rsidRDefault="00665165" w:rsidP="00925F26">
      <w:pPr>
        <w:autoSpaceDE w:val="0"/>
        <w:autoSpaceDN w:val="0"/>
        <w:adjustRightInd w:val="0"/>
        <w:jc w:val="both"/>
        <w:rPr>
          <w:color w:val="000000" w:themeColor="text1"/>
          <w:sz w:val="16"/>
          <w:szCs w:val="16"/>
        </w:rPr>
      </w:pPr>
    </w:p>
    <w:p w14:paraId="1CD74D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года был собран первый прототип специального штурмовика Ки-115 и сразу же был подвергнут испытаниям, которые закончились полным фиаско. Главная проблема заключалась в шасси - отсутствие тормозов и амортизации делало руление по земле совершенно невозможным. Кроме того, маленькое крыло, без механизации, не позволило самолету оторваться от земли. Это не удивительно, ведь при взлетном весе порядка 2600 кг у Ки-115 нагрузка на крыло составляла 210 кг/м2 - явно много для плохо обученного пилота.</w:t>
      </w:r>
    </w:p>
    <w:p w14:paraId="0ABF80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Самолет начали дорабатывать, но как-то недостаточно радикально - особенно шасси. Сначала разработали новые основные стойки - с тормозами, но по-прежнему без амортизации. Существенного эффекта это не дало, поэтому шасси ещё раз переделали, установив на этот раз и тормоза, и амортизацию: колеса устанавливались на рычажную подвеску, которая имела простейшую резиновую амортизацию. Хвостовой костыль также был слегка подрессорен.</w:t>
      </w:r>
    </w:p>
    <w:p w14:paraId="6FA60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сокращения взлетной дистанции под задней кромкой крыла навесили небольшие закрылки. Для этого потребовалось провести местное усиление крыла и установить систему уборки и выпуска закрылков. Проведенные мероприятия позволили поднять машину в воздух и оценить её летные данные. Результаты были не очень хорошие. Хотя требования по скоростям и дальности были выполнены, отмечалась сложность в пилотировании (особенно на взлете) и неудовлетворительный обзор из кабины. Не смотря на это Ки-115 был передан в серийной производство, которое развернулось на заводах фирмы Накадзима в городах Явате и Ота.</w:t>
      </w:r>
    </w:p>
    <w:p w14:paraId="4F9ECC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Параллельно с производством шло усовершенствование конструкции. Два самолета, в экспериментальных целях снабдили ракетными ускорителями, которые предназначались для увеличения скорости во время атаки. Другие подробности этих работ не известны.</w:t>
      </w:r>
    </w:p>
    <w:p w14:paraId="1A154D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радикального улучшения летных данных разрабатывалась модификация самолета с крылом увеличенной площади. Новое крыло имело цельнодеревянную конструкцию:</w:t>
      </w:r>
    </w:p>
    <w:p w14:paraId="3E3B1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деревянный лонжерон, фанерные нервюры и стенку, а также фанерную обшивку. Только элерон имел дюоа-левый каркас с обшивкой из полотна. В качестве механизации применялись щитки классической схемы, сделанные из алюминиевых сплавов. Кабина у нового самолета для улучшения обзора чуть смещалась вперед. Этот вариант имел обозначение Ки-П5в (Ки-115 Отсу).</w:t>
      </w:r>
    </w:p>
    <w:p w14:paraId="7BDB91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Морское командование также заинтересовалось концепцией, воплощенной в Ки-115. Однако оно выдвигало несколько иные, специфические требования к самолету, что требовало дальнейших доработок конструкции. Новый самолет получил обозначение " Морской экспериментальный специальный штурмовой самолёт "Тока'' (Вишневое </w:t>
      </w:r>
      <w:proofErr w:type="gramStart"/>
      <w:r w:rsidRPr="00925F26">
        <w:rPr>
          <w:color w:val="000000" w:themeColor="text1"/>
          <w:sz w:val="16"/>
          <w:szCs w:val="16"/>
        </w:rPr>
        <w:t>цветение )</w:t>
      </w:r>
      <w:proofErr w:type="gramEnd"/>
      <w:r w:rsidRPr="00925F26">
        <w:rPr>
          <w:color w:val="000000" w:themeColor="text1"/>
          <w:sz w:val="16"/>
          <w:szCs w:val="16"/>
        </w:rPr>
        <w:t>". К его созданию была привлечена фирма Сева Хикоку К.К. из пригорода Сева около Токио. Для этого она получила от фирмы Накадзима комплект конструкторской документации. сборочную оснастку и два самолета в качестве эталонов. Однако до конца войны фирма Сева не успела переработать чертежи и не вы пустила ни одного морского варианта самолета Ки-115.</w:t>
      </w:r>
    </w:p>
    <w:p w14:paraId="316619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до окончания войны было построено 105 самолетов "ЦурюпГ\ з том числе 1 прототип. 22 штуки - на заводе в Явато и 82 - ча заводе з Ота. Несмотря на довольно большие объемы производства, ни один из этих самолетов не был применен в боевых условиях (4800).</w:t>
      </w:r>
    </w:p>
    <w:p w14:paraId="34E37767" w14:textId="77777777" w:rsidR="00665165" w:rsidRPr="00925F26" w:rsidRDefault="00665165" w:rsidP="00925F26">
      <w:pPr>
        <w:autoSpaceDE w:val="0"/>
        <w:autoSpaceDN w:val="0"/>
        <w:adjustRightInd w:val="0"/>
        <w:jc w:val="both"/>
        <w:rPr>
          <w:color w:val="000000" w:themeColor="text1"/>
          <w:sz w:val="16"/>
          <w:szCs w:val="16"/>
        </w:rPr>
      </w:pPr>
    </w:p>
    <w:p w14:paraId="15688B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капитану Мизуама удалось подключить к разработке самолета Та-Го (упрощенного штурмовика) фирму "Кокусай" в городе Киото. Это решение сильно отразилось на облике "Та-Го" (рабочее название самолета сохранилось). Фирма выпускала легкие и спортивные самолеты и поэтому для нового проекта была выбрана хорошо отработанная силовая установка. применявшаяся на самолете Ки-86 ''Сайприс", выпускавшегося на этой фирме. Но для ускорения производства её предельно упростили.</w:t>
      </w:r>
    </w:p>
    <w:p w14:paraId="66B7BD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Перевёрнутый рядный дзигатель Хитачи Ха-47. крепился на металлической мотораме и закрывался фанерным капотом, образованным из плоских листов. Бензобак располагался над капотом, обеспечивая тем самым подачу бензина самотеком. Между баком и козырьком кабины размешался простенький плоский маслорадиатор. На валу устанавливался деревянный винт постоянного шага. диаметром 2,18 м. такой же</w:t>
      </w:r>
      <w:proofErr w:type="gramStart"/>
      <w:r w:rsidRPr="00925F26">
        <w:rPr>
          <w:color w:val="000000" w:themeColor="text1"/>
          <w:sz w:val="16"/>
          <w:szCs w:val="16"/>
        </w:rPr>
        <w:t>.</w:t>
      </w:r>
      <w:proofErr w:type="gramEnd"/>
      <w:r w:rsidRPr="00925F26">
        <w:rPr>
          <w:color w:val="000000" w:themeColor="text1"/>
          <w:sz w:val="16"/>
          <w:szCs w:val="16"/>
        </w:rPr>
        <w:t xml:space="preserve"> как и на прототипе Ки-86.</w:t>
      </w:r>
    </w:p>
    <w:p w14:paraId="31E86A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аэродинамической схеме это был нязкоплан с крылом, состоящим из прямоугольного центроплана и грапеиевидных консолей, установленных с небольшим поперечным "V". Хвостовое оперение состояло из прямоугольного киля и прямоугольного подкосного стабилизатора. Фюзеляж имел деревянный набор и фанерную обшивку, причем все его поверхности были плоскими. Конечно. это не улучшало аэродинамику, но зато существенно упрощало производство. Крыло состояло из центроплана и складывающихся консолей. Их наличие. по началу, вызывает удивление (ведь самолет не палубный), но проанализировав аргументы японцев с их применением можно согласиться. Дело в том, что самолет предполагалось производить в маленьких мастерских, кинозалах, тоннелях, а прятать перед боевым вылетом в пещерах. тоннелях, под мостами и т.д., то есть в тех местах, где лишнего места не бывает. Так как больших скоростей достичь не надеялись, то шасси сделали не убирающимся, состоящим из ДВУХ основных стоек, выполненных из стальных труб, и хвостового костыля. Основные стойки имели простейшую резиновую амортизцию и были подкреплены двумя подкосами. Стойка. амортизатор и задний подкос прикрывались обтекателем, сделанным из алюминия. Хвостовой костыль выполнялся из стальных труб и также имел резиновый амортизатор.</w:t>
      </w:r>
    </w:p>
    <w:p w14:paraId="3C4324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Пилот сидел в открытой, весьма тесной кабине, прикрытой спереди плоским прозрачным козырьком. Приборное оборудование кабины было минимальным для выполнения единственного вылета: компас, указатель скорости, высотомер, а также несколько приборов контроля силовой установки.</w:t>
      </w:r>
    </w:p>
    <w:p w14:paraId="76CEC2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Единственное вооружение самолета - 100 кг бомба - подвешивалась под центроплан. Сбросить её в полете было невозможно (4800).</w:t>
      </w:r>
    </w:p>
    <w:p w14:paraId="750DB237" w14:textId="77777777" w:rsidR="00665165" w:rsidRPr="00925F26" w:rsidRDefault="00665165" w:rsidP="00925F26">
      <w:pPr>
        <w:autoSpaceDE w:val="0"/>
        <w:autoSpaceDN w:val="0"/>
        <w:adjustRightInd w:val="0"/>
        <w:jc w:val="both"/>
        <w:rPr>
          <w:color w:val="000000" w:themeColor="text1"/>
          <w:sz w:val="16"/>
          <w:szCs w:val="16"/>
        </w:rPr>
      </w:pPr>
    </w:p>
    <w:p w14:paraId="297AE1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1945 г. производство самолетов Ока модель 11 было прекращено из-за уязвимости самолета-носителя G4M2. Вместо «модели 11» была разработана «модель 22» с меньшим размахом крыла и боеголовкой в 600 кг. Для того чтобы Ока можно было сбрасывать с более дальней дистанции, на ней вместо ракетного двигателя установили компрессионный реактивный двигатель TSU-11, который был вариантом реактивного двигателя «Кампини». В конструкции этого двигателя использовался привод от 4-цилиндрового поршневого двигателя мощностью 75 кВт (100 л.с.).</w:t>
      </w:r>
    </w:p>
    <w:p w14:paraId="6A2770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Испытания показали, что мощности TSU-11 для получения заданных характеристик недостаточно. </w:t>
      </w:r>
    </w:p>
    <w:p w14:paraId="061232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доставки новых самолетов-снарядов планировался специально разработанный перспективный средний скоростной двухместный бомбардировщик Йокосука PIY Гинга («Млечный путь») «модель 33». Его бомбовая нагрузка составляла 1600 кг.</w:t>
      </w:r>
    </w:p>
    <w:p w14:paraId="0327B4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Модель носителя от прототипа отличалась увеличенным размахом крыльев и шириной фюзеляжа. На вооружении флота этот бомбардировщик появился только в октябре 1944 г. До капитуляции Япония успела построить 1098 таких самолетов. Союзники прозвали этот самолет Frances.</w:t>
      </w:r>
    </w:p>
    <w:p w14:paraId="25375F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качестве носителя самолета-снаряда Ока модель 22 планировалось также использовать четырехместный бомбардировщик G8N1 Рэндзан, который мог нести одновременно сразу два реактивных снаряда.</w:t>
      </w:r>
    </w:p>
    <w:p w14:paraId="5846BE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фирма «Аити» («Айчи») успела построить 50 самолетов Окамодель 22 (по данным некоторых работ (Иванов Ю.Г. Камикадзе: пилоты-смертники. Смоленск: Русич, 2001; Хорикоши Д., Окумия М., Кайдин М. Японская авиация во Второй мировой войне. М.: АСТ, 2001.). По другим данным (Широкорад А.Б. История авиационного вооружения. Минск: ХАРВЕСТ, 1999.), к 15 сентября 1945 г. было закончено изготовление 35 самолетов-снарядов Окамодель 22. Фирма планировала использовать для производства нового самолета-снаряда подземный завод, но к концу войны он так и не был построен.</w:t>
      </w:r>
    </w:p>
    <w:p w14:paraId="2CFFB0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Пеpвый полет «модели 22» состоялся в июле 1945 г., второй – 12 августа того же года. Вспомогательные pакеты, установленные под кpыльями, неожиданно отказали сpазу же после сбpоса Ока с носителя. Самолет-снаpяд попал в штопоp, из котоpого не вышел. Второй испытательный полет также закончился неудачей.</w:t>
      </w:r>
    </w:p>
    <w:p w14:paraId="683027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Проект был переработан и получил название «модель 33».</w:t>
      </w:r>
    </w:p>
    <w:p w14:paraId="1A6D51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Ока модель33 представляла собой увеличенный размер «модели 22» с боевым зарядом в 800 кг. «Модель 33» снабжалась турбореактивным двигателем Ne-20. История создания этого двигателя следующая. Императорская военная миссия в Берлине развернула активную деятельность с целью получения образцов германских ракетных и реактивных двигателей. Такие двигатели в Японию доставлялись на подводных лодках (Ненахов Ю.Ю. Чудо-оружие Третьего рейха. Минск: ХАРВЕСТ, 1999.). В 1944 г. таким образом немцы переправили японцам свой первый серийный турбореактивный двигатель BMW «Bramo 003». В Японии этот двигатель получил название Ne-20 («Нэнсё 20»).</w:t>
      </w:r>
    </w:p>
    <w:p w14:paraId="6EDDCC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Предполагалось, что носителем «модели 33» также станет бомбардировщик G8N1 Рэндзан. Но поскольку работы по его созданию велись медленно, то пришлось отказаться от строительства самолета Ока модель 33. Также было прекращено строительство и более крупного самолета-снаряда Окамодель Ко. Вес штатного боезаряда составлял 800 кг. Этот проект еще называют «модель 43А» (Шахурин А.И. Крылья Победы. М.: Политиздат, 1990.). Последнюю модель Ока предполагалось запускать с помощью катапульты с палубы подводных лодок класса «I». Самолет-снаряд Окамодель Ко должен был иметь складывающиеся крылья и двигатель Ne-20, а размещаться в ангаре подводной лодки. При этом вместо трех бомбардировщиков Сэйран подводные гиганты должны были нести по 10 самолетов-снарядов (11686).</w:t>
      </w:r>
    </w:p>
    <w:p w14:paraId="4E09EB51" w14:textId="77777777" w:rsidR="00665165" w:rsidRPr="00925F26" w:rsidRDefault="00665165" w:rsidP="00925F26">
      <w:pPr>
        <w:autoSpaceDE w:val="0"/>
        <w:autoSpaceDN w:val="0"/>
        <w:adjustRightInd w:val="0"/>
        <w:jc w:val="both"/>
        <w:rPr>
          <w:color w:val="000000" w:themeColor="text1"/>
          <w:sz w:val="16"/>
          <w:szCs w:val="16"/>
        </w:rPr>
      </w:pPr>
    </w:p>
    <w:p w14:paraId="6D956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марта 1945 г. больше половины японских летчиков были превращены в камикадзе (Хорикоши Д., Окумия М., Кайдин М. Японская авиация во Второй мировой войне. М.: АСТ, 2001.). В ряды камикадзе, в соответствии с секретным циркуляром, не зачисляли опытных пилотов, хотя многие из них настойчиво направляли командованию неоднократные просьбы о зачислении их в подразделения специальных атак. Однако такие просьбы оставались без ответа, и опытные летчики продолжали службу в строевых частях военновоздушных сил.</w:t>
      </w:r>
    </w:p>
    <w:p w14:paraId="18A7CF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Японские юноши-камикадзе не были фанатиками, зомби или человекоподобными роботами. Они, как и все, боялись смерти, радовались солнцу и хотели вести нормальную человеческую жизнь. Камикадзе происходили из разных социальных слоев, имели различное воспитание, образование, взгляды и темперамент. В какой-то степени их можно разделить на несколько групп. В одну из них входила молодежь, с детства воспитанная в японских военных традициях. Другую группу составляли молодые люди с сильно развитыми религиозными принципами. Была и группа трезвомыслящих юношей, воспринимавших самоубийственную атаку как единственную возможность нанести эффективный удар по противнику в сложившейся обстановке.</w:t>
      </w:r>
    </w:p>
    <w:p w14:paraId="78DDD0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Новобранцы из студентов университетов сознательно жертвовали собой, чтобы спасти «лицо» страны. Смертниками становились и бесшабашные «сорви-головы», и страдавшие манией самоубийства по самурайской традиции. Еще одна группа смертников называлась «скэбэй» (сладострастники) – за то, что они не отличались рвением уйти в последний полет. Их упрекали в том, что они продолжают жить в комфорте, в обществе гейш.</w:t>
      </w:r>
    </w:p>
    <w:p w14:paraId="7098D8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Военнослужащие подразделений специальных атак не были ни святыми, ни дьяволами. Это были люди – со своими эмоциями и чувствами, достоинствами и недостатками, силой и слабостью.</w:t>
      </w:r>
    </w:p>
    <w:p w14:paraId="32B75D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Они пели, смеялись, любили, пили, гуляли, плакали, писали стихи, философствовали, совершали хорошие и дурные поступки.</w:t>
      </w:r>
    </w:p>
    <w:p w14:paraId="3F805E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Словом, это были нормальные люди. Однако непоказная готовность к самопожертвованию ради своей родины в минуты смертельной опасности, несомненно, причисляет их к лику героев.</w:t>
      </w:r>
    </w:p>
    <w:p w14:paraId="3AA6D1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Статус летчика, вступившего в подразделение специальных атак, менялся. Он получал повышенное денежное содержание, отпуск для прощания с родными и улучшенное питание. Жены камикадзе автоматически становились вдовами офицеров с полагающейся компенсацией. Все камикадзе указом императора повышались в воинском звании на две ступени. Многие из них посмертно награждались орденами. Особое значение для камикадзе имело то, что в токийском храме Ясукуни устанавливалась медная табличка с его фамилией и именем. Выполнивший свою боевую задачу камикадзе становился военным божеством и подвиг его не забывался потомками.</w:t>
      </w:r>
    </w:p>
    <w:p w14:paraId="2CC8B4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 тем не менее командование, особенно в конце войны, жестко обращалось с летчиками-камикадзе. Зачастую летчикам обычных подразделений ВВС бесцеремонно объявляли, что их эскадрилья становится подразделением специальных атак. Тех из камикадзе, кто возвращался на свой аэродром по причине нелетной погоды, необнаружения цели или неисправности самолета, ругали, обвиняли в трусости и «непригодности умереть за императора». Техникам было приказано устанавливать взрыватели авиабомбы в таком положении, что летчики уже не могли посадить самолет, не взорвавшись. Малые запасы топлива заставили японских военачальников издать приказ о заправке самолетов камикадзе только для полета в район нахождения кораблей противника. Это приводило к тому, что падавшие на палубы самолеты порой даже не взрывались. Многие самолеты, выработав топливо, просто падали в океан (11686).</w:t>
      </w:r>
    </w:p>
    <w:p w14:paraId="2AD282BB" w14:textId="77777777" w:rsidR="00665165" w:rsidRPr="00925F26" w:rsidRDefault="00665165" w:rsidP="00925F26">
      <w:pPr>
        <w:autoSpaceDE w:val="0"/>
        <w:autoSpaceDN w:val="0"/>
        <w:adjustRightInd w:val="0"/>
        <w:jc w:val="both"/>
        <w:rPr>
          <w:color w:val="000000" w:themeColor="text1"/>
          <w:sz w:val="16"/>
          <w:szCs w:val="16"/>
        </w:rPr>
      </w:pPr>
    </w:p>
    <w:p w14:paraId="68EDF91A" w14:textId="77777777" w:rsidR="00E23C2F" w:rsidRPr="00925F26" w:rsidRDefault="00E23C2F" w:rsidP="00925F26">
      <w:pPr>
        <w:shd w:val="clear" w:color="auto" w:fill="FFFFFF"/>
        <w:jc w:val="both"/>
        <w:rPr>
          <w:color w:val="000000" w:themeColor="text1"/>
          <w:sz w:val="16"/>
          <w:szCs w:val="16"/>
        </w:rPr>
      </w:pPr>
      <w:r w:rsidRPr="00925F26">
        <w:rPr>
          <w:color w:val="000000" w:themeColor="text1"/>
          <w:sz w:val="16"/>
          <w:szCs w:val="16"/>
        </w:rPr>
        <w:t>В марте 1945 года Typ 205/II своим ходом доставили в Вюнсдорф в 2,5 километрах южнее Цоссена, где находилась ставка германского Генштаба. В советских документах, кстати говоря, это место нередко обозначалось как Штамлагер. Машину включили в состав сил, которые охраняли ставку, в районе Цоссена также проходило внешнее кольцо обороны Берлина.</w:t>
      </w:r>
    </w:p>
    <w:p w14:paraId="0C7A4AFE" w14:textId="77777777" w:rsidR="00E23C2F" w:rsidRPr="00925F26" w:rsidRDefault="00E23C2F" w:rsidP="00925F26">
      <w:pPr>
        <w:shd w:val="clear" w:color="auto" w:fill="FFFFFF"/>
        <w:jc w:val="both"/>
        <w:rPr>
          <w:color w:val="000000" w:themeColor="text1"/>
          <w:sz w:val="16"/>
          <w:szCs w:val="16"/>
        </w:rPr>
      </w:pPr>
      <w:r w:rsidRPr="00925F26">
        <w:rPr>
          <w:color w:val="000000" w:themeColor="text1"/>
          <w:sz w:val="16"/>
          <w:szCs w:val="16"/>
        </w:rPr>
        <w:t>О том, как использовался Typ 205/II в битве за Берлин, написано много, в спорах на эту тему сломано немало копий. С определённой долей уверенности можно говорить лишь о том, с кем сверхтяжёлый танк Порше потенциально мог воевать. С юго-востока на Берлин наступали части 3-й гвардейской танковой армии. 21 апреля 1945 года входивший в состав этого объединения 6-й гвардейский танковый корпус достиг рубежа Топхин, Целенсдорф. До Цоссена оставалось совсем немного, его захватили в ходе ночной атаки с 21 на 22 апреля. Благодаря неразберихе ставка германского Генштаба смогла уйти из Цоссена в момент занятия его 6-м гвардейским танковым корпусом. По воспоминаниям командира 53-й гвардейской танковой бригады В. С. Архипова, перед уходом эсэсовцы расстреляли часть штабистов, остальных эвакуировали (17676).</w:t>
      </w:r>
    </w:p>
    <w:p w14:paraId="4A9B9F01" w14:textId="77777777" w:rsidR="00E23C2F" w:rsidRPr="00925F26" w:rsidRDefault="00E23C2F" w:rsidP="00925F26">
      <w:pPr>
        <w:jc w:val="both"/>
        <w:rPr>
          <w:rStyle w:val="107"/>
          <w:rFonts w:eastAsiaTheme="minorHAnsi"/>
          <w:color w:val="000000" w:themeColor="text1"/>
          <w:sz w:val="16"/>
          <w:szCs w:val="16"/>
        </w:rPr>
      </w:pPr>
    </w:p>
    <w:p w14:paraId="4F2FD410" w14:textId="62F6AB66" w:rsidR="009B1228" w:rsidRPr="00925F26" w:rsidRDefault="009B1228" w:rsidP="00925F26">
      <w:pPr>
        <w:jc w:val="both"/>
        <w:rPr>
          <w:color w:val="000000" w:themeColor="text1"/>
          <w:sz w:val="16"/>
          <w:szCs w:val="16"/>
        </w:rPr>
      </w:pP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марте</w:t>
      </w:r>
      <w:proofErr w:type="gramEnd"/>
      <w:r w:rsidRPr="00925F26">
        <w:rPr>
          <w:color w:val="000000" w:themeColor="text1"/>
          <w:sz w:val="16"/>
          <w:szCs w:val="16"/>
        </w:rPr>
        <w:t xml:space="preserve"> 1945 года офицер люфтваффе Вольф Баумгарт попал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плен</w:t>
      </w:r>
      <w:proofErr w:type="gramEnd"/>
      <w:r w:rsidRPr="00925F26">
        <w:rPr>
          <w:color w:val="000000" w:themeColor="text1"/>
          <w:sz w:val="16"/>
          <w:szCs w:val="16"/>
        </w:rPr>
        <w:t xml:space="preserve"> американцам, </w:t>
      </w:r>
      <w:proofErr w:type="gramStart"/>
      <w:r w:rsidRPr="00925F26">
        <w:rPr>
          <w:color w:val="000000" w:themeColor="text1"/>
          <w:sz w:val="16"/>
          <w:szCs w:val="16"/>
        </w:rPr>
        <w:t>где</w:t>
      </w:r>
      <w:r w:rsidR="00997EDF" w:rsidRPr="00925F26">
        <w:rPr>
          <w:color w:val="000000" w:themeColor="text1"/>
          <w:sz w:val="16"/>
          <w:szCs w:val="16"/>
        </w:rPr>
        <w:t xml:space="preserve">  </w:t>
      </w:r>
      <w:r w:rsidRPr="00925F26">
        <w:rPr>
          <w:color w:val="000000" w:themeColor="text1"/>
          <w:sz w:val="16"/>
          <w:szCs w:val="16"/>
        </w:rPr>
        <w:t>на</w:t>
      </w:r>
      <w:proofErr w:type="gramEnd"/>
      <w:r w:rsidR="00997EDF" w:rsidRPr="00925F26">
        <w:rPr>
          <w:color w:val="000000" w:themeColor="text1"/>
          <w:sz w:val="16"/>
          <w:szCs w:val="16"/>
        </w:rPr>
        <w:t xml:space="preserve">  </w:t>
      </w:r>
      <w:r w:rsidRPr="00925F26">
        <w:rPr>
          <w:color w:val="000000" w:themeColor="text1"/>
          <w:sz w:val="16"/>
          <w:szCs w:val="16"/>
        </w:rPr>
        <w:t xml:space="preserve">допросе сообщил </w:t>
      </w:r>
      <w:proofErr w:type="gramStart"/>
      <w:r w:rsidRPr="00925F26">
        <w:rPr>
          <w:color w:val="000000" w:themeColor="text1"/>
          <w:sz w:val="16"/>
          <w:szCs w:val="16"/>
        </w:rPr>
        <w:t>о</w:t>
      </w:r>
      <w:r w:rsidR="00997EDF" w:rsidRPr="00925F26">
        <w:rPr>
          <w:color w:val="000000" w:themeColor="text1"/>
          <w:sz w:val="16"/>
          <w:szCs w:val="16"/>
        </w:rPr>
        <w:t xml:space="preserve">  </w:t>
      </w:r>
      <w:r w:rsidRPr="00925F26">
        <w:rPr>
          <w:color w:val="000000" w:themeColor="text1"/>
          <w:sz w:val="16"/>
          <w:szCs w:val="16"/>
        </w:rPr>
        <w:t>беспосадочных</w:t>
      </w:r>
      <w:proofErr w:type="gramEnd"/>
      <w:r w:rsidRPr="00925F26">
        <w:rPr>
          <w:color w:val="000000" w:themeColor="text1"/>
          <w:sz w:val="16"/>
          <w:szCs w:val="16"/>
        </w:rPr>
        <w:t xml:space="preserve"> полётах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Дальний</w:t>
      </w:r>
      <w:proofErr w:type="gramEnd"/>
      <w:r w:rsidRPr="00925F26">
        <w:rPr>
          <w:color w:val="000000" w:themeColor="text1"/>
          <w:sz w:val="16"/>
          <w:szCs w:val="16"/>
        </w:rPr>
        <w:t xml:space="preserve"> Восток,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которых</w:t>
      </w:r>
      <w:proofErr w:type="gramEnd"/>
      <w:r w:rsidRPr="00925F26">
        <w:rPr>
          <w:color w:val="000000" w:themeColor="text1"/>
          <w:sz w:val="16"/>
          <w:szCs w:val="16"/>
        </w:rPr>
        <w:t xml:space="preserve"> </w:t>
      </w:r>
      <w:proofErr w:type="gramStart"/>
      <w:r w:rsidRPr="00925F26">
        <w:rPr>
          <w:color w:val="000000" w:themeColor="text1"/>
          <w:sz w:val="16"/>
          <w:szCs w:val="16"/>
        </w:rPr>
        <w:t>он</w:t>
      </w:r>
      <w:r w:rsidR="00997EDF" w:rsidRPr="00925F26">
        <w:rPr>
          <w:color w:val="000000" w:themeColor="text1"/>
          <w:sz w:val="16"/>
          <w:szCs w:val="16"/>
        </w:rPr>
        <w:t xml:space="preserve">  </w:t>
      </w:r>
      <w:r w:rsidRPr="00925F26">
        <w:rPr>
          <w:color w:val="000000" w:themeColor="text1"/>
          <w:sz w:val="16"/>
          <w:szCs w:val="16"/>
        </w:rPr>
        <w:t>якобы</w:t>
      </w:r>
      <w:proofErr w:type="gramEnd"/>
      <w:r w:rsidRPr="00925F26">
        <w:rPr>
          <w:color w:val="000000" w:themeColor="text1"/>
          <w:sz w:val="16"/>
          <w:szCs w:val="16"/>
        </w:rPr>
        <w:t xml:space="preserve"> участвовал.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основе</w:t>
      </w:r>
      <w:proofErr w:type="gramEnd"/>
      <w:r w:rsidRPr="00925F26">
        <w:rPr>
          <w:color w:val="000000" w:themeColor="text1"/>
          <w:sz w:val="16"/>
          <w:szCs w:val="16"/>
        </w:rPr>
        <w:t xml:space="preserve"> </w:t>
      </w:r>
      <w:proofErr w:type="gramStart"/>
      <w:r w:rsidRPr="00925F26">
        <w:rPr>
          <w:color w:val="000000" w:themeColor="text1"/>
          <w:sz w:val="16"/>
          <w:szCs w:val="16"/>
        </w:rPr>
        <w:t>его</w:t>
      </w:r>
      <w:r w:rsidR="00997EDF" w:rsidRPr="00925F26">
        <w:rPr>
          <w:color w:val="000000" w:themeColor="text1"/>
          <w:sz w:val="16"/>
          <w:szCs w:val="16"/>
        </w:rPr>
        <w:t xml:space="preserve">  </w:t>
      </w:r>
      <w:r w:rsidRPr="00925F26">
        <w:rPr>
          <w:color w:val="000000" w:themeColor="text1"/>
          <w:sz w:val="16"/>
          <w:szCs w:val="16"/>
        </w:rPr>
        <w:t>показаний</w:t>
      </w:r>
      <w:proofErr w:type="gramEnd"/>
      <w:r w:rsidRPr="00925F26">
        <w:rPr>
          <w:color w:val="000000" w:themeColor="text1"/>
          <w:sz w:val="16"/>
          <w:szCs w:val="16"/>
        </w:rPr>
        <w:t xml:space="preserve"> специалисты допросного подразделения 9-</w:t>
      </w:r>
      <w:proofErr w:type="gramStart"/>
      <w:r w:rsidRPr="00925F26">
        <w:rPr>
          <w:color w:val="000000" w:themeColor="text1"/>
          <w:sz w:val="16"/>
          <w:szCs w:val="16"/>
        </w:rPr>
        <w:t>й</w:t>
      </w:r>
      <w:r w:rsidR="00997EDF" w:rsidRPr="00925F26">
        <w:rPr>
          <w:color w:val="000000" w:themeColor="text1"/>
          <w:sz w:val="16"/>
          <w:szCs w:val="16"/>
        </w:rPr>
        <w:t xml:space="preserve">  </w:t>
      </w:r>
      <w:r w:rsidRPr="00925F26">
        <w:rPr>
          <w:color w:val="000000" w:themeColor="text1"/>
          <w:sz w:val="16"/>
          <w:szCs w:val="16"/>
        </w:rPr>
        <w:t>воздушной</w:t>
      </w:r>
      <w:proofErr w:type="gramEnd"/>
      <w:r w:rsidRPr="00925F26">
        <w:rPr>
          <w:color w:val="000000" w:themeColor="text1"/>
          <w:sz w:val="16"/>
          <w:szCs w:val="16"/>
        </w:rPr>
        <w:t xml:space="preserve"> армии </w:t>
      </w:r>
      <w:proofErr w:type="gramStart"/>
      <w:r w:rsidRPr="00925F26">
        <w:rPr>
          <w:color w:val="000000" w:themeColor="text1"/>
          <w:sz w:val="16"/>
          <w:szCs w:val="16"/>
        </w:rPr>
        <w:t>США</w:t>
      </w:r>
      <w:r w:rsidR="00997EDF" w:rsidRPr="00925F26">
        <w:rPr>
          <w:color w:val="000000" w:themeColor="text1"/>
          <w:sz w:val="16"/>
          <w:szCs w:val="16"/>
        </w:rPr>
        <w:t xml:space="preserve">  </w:t>
      </w:r>
      <w:r w:rsidRPr="00925F26">
        <w:rPr>
          <w:color w:val="000000" w:themeColor="text1"/>
          <w:sz w:val="16"/>
          <w:szCs w:val="16"/>
        </w:rPr>
        <w:t>составили</w:t>
      </w:r>
      <w:proofErr w:type="gramEnd"/>
      <w:r w:rsidRPr="00925F26">
        <w:rPr>
          <w:color w:val="000000" w:themeColor="text1"/>
          <w:sz w:val="16"/>
          <w:szCs w:val="16"/>
        </w:rPr>
        <w:t xml:space="preserve"> доклад, озаглавленный «Самолёты FAGr.</w:t>
      </w:r>
      <w:proofErr w:type="gramStart"/>
      <w:r w:rsidRPr="00925F26">
        <w:rPr>
          <w:color w:val="000000" w:themeColor="text1"/>
          <w:sz w:val="16"/>
          <w:szCs w:val="16"/>
        </w:rPr>
        <w:t>5</w:t>
      </w:r>
      <w:r w:rsidR="00997EDF" w:rsidRPr="00925F26">
        <w:rPr>
          <w:color w:val="000000" w:themeColor="text1"/>
          <w:sz w:val="16"/>
          <w:szCs w:val="16"/>
        </w:rPr>
        <w:t xml:space="preserve">  </w:t>
      </w:r>
      <w:r w:rsidRPr="00925F26">
        <w:rPr>
          <w:color w:val="000000" w:themeColor="text1"/>
          <w:sz w:val="16"/>
          <w:szCs w:val="16"/>
        </w:rPr>
        <w:t>над</w:t>
      </w:r>
      <w:proofErr w:type="gramEnd"/>
      <w:r w:rsidR="00997EDF" w:rsidRPr="00925F26">
        <w:rPr>
          <w:color w:val="000000" w:themeColor="text1"/>
          <w:sz w:val="16"/>
          <w:szCs w:val="16"/>
        </w:rPr>
        <w:t xml:space="preserve">  </w:t>
      </w:r>
      <w:r w:rsidRPr="00925F26">
        <w:rPr>
          <w:color w:val="000000" w:themeColor="text1"/>
          <w:sz w:val="16"/>
          <w:szCs w:val="16"/>
        </w:rPr>
        <w:t>Маньчжурией». Согласно показаниям Баумгарта, весной 1944 года три</w:t>
      </w:r>
      <w:r w:rsidR="00997EDF" w:rsidRPr="00925F26">
        <w:rPr>
          <w:color w:val="000000" w:themeColor="text1"/>
          <w:sz w:val="16"/>
          <w:szCs w:val="16"/>
        </w:rPr>
        <w:t xml:space="preserve">  </w:t>
      </w:r>
      <w:r w:rsidRPr="00925F26">
        <w:rPr>
          <w:color w:val="000000" w:themeColor="text1"/>
          <w:sz w:val="16"/>
          <w:szCs w:val="16"/>
        </w:rPr>
        <w:t>Ju-290A-9, базировавшихся тогда на</w:t>
      </w:r>
      <w:r w:rsidR="00997EDF" w:rsidRPr="00925F26">
        <w:rPr>
          <w:color w:val="000000" w:themeColor="text1"/>
          <w:sz w:val="16"/>
          <w:szCs w:val="16"/>
        </w:rPr>
        <w:t xml:space="preserve">  </w:t>
      </w:r>
      <w:r w:rsidRPr="00925F26">
        <w:rPr>
          <w:color w:val="000000" w:themeColor="text1"/>
          <w:sz w:val="16"/>
          <w:szCs w:val="16"/>
        </w:rPr>
        <w:t>аэродроме Мон-де-Марсан на</w:t>
      </w:r>
      <w:r w:rsidR="00997EDF" w:rsidRPr="00925F26">
        <w:rPr>
          <w:color w:val="000000" w:themeColor="text1"/>
          <w:sz w:val="16"/>
          <w:szCs w:val="16"/>
        </w:rPr>
        <w:t xml:space="preserve">  </w:t>
      </w:r>
      <w:r w:rsidRPr="00925F26">
        <w:rPr>
          <w:color w:val="000000" w:themeColor="text1"/>
          <w:sz w:val="16"/>
          <w:szCs w:val="16"/>
        </w:rPr>
        <w:t>юге</w:t>
      </w:r>
      <w:r w:rsidR="00997EDF" w:rsidRPr="00925F26">
        <w:rPr>
          <w:color w:val="000000" w:themeColor="text1"/>
          <w:sz w:val="16"/>
          <w:szCs w:val="16"/>
        </w:rPr>
        <w:t xml:space="preserve">  </w:t>
      </w:r>
      <w:r w:rsidRPr="00925F26">
        <w:rPr>
          <w:color w:val="000000" w:themeColor="text1"/>
          <w:sz w:val="16"/>
          <w:szCs w:val="16"/>
        </w:rPr>
        <w:t>Франции, были отозваны в</w:t>
      </w:r>
      <w:r w:rsidR="00997EDF" w:rsidRPr="00925F26">
        <w:rPr>
          <w:color w:val="000000" w:themeColor="text1"/>
          <w:sz w:val="16"/>
          <w:szCs w:val="16"/>
        </w:rPr>
        <w:t xml:space="preserve">  </w:t>
      </w:r>
      <w:r w:rsidRPr="00925F26">
        <w:rPr>
          <w:color w:val="000000" w:themeColor="text1"/>
          <w:sz w:val="16"/>
          <w:szCs w:val="16"/>
        </w:rPr>
        <w:t>Германию на</w:t>
      </w:r>
      <w:r w:rsidR="00997EDF" w:rsidRPr="00925F26">
        <w:rPr>
          <w:color w:val="000000" w:themeColor="text1"/>
          <w:sz w:val="16"/>
          <w:szCs w:val="16"/>
        </w:rPr>
        <w:t xml:space="preserve">  </w:t>
      </w:r>
      <w:r w:rsidRPr="00925F26">
        <w:rPr>
          <w:color w:val="000000" w:themeColor="text1"/>
          <w:sz w:val="16"/>
          <w:szCs w:val="16"/>
        </w:rPr>
        <w:t>аэродром Фюрстенвальде, расположенный в</w:t>
      </w:r>
      <w:r w:rsidR="00997EDF" w:rsidRPr="00925F26">
        <w:rPr>
          <w:color w:val="000000" w:themeColor="text1"/>
          <w:sz w:val="16"/>
          <w:szCs w:val="16"/>
        </w:rPr>
        <w:t xml:space="preserve">  </w:t>
      </w:r>
      <w:r w:rsidRPr="00925F26">
        <w:rPr>
          <w:color w:val="000000" w:themeColor="text1"/>
          <w:sz w:val="16"/>
          <w:szCs w:val="16"/>
        </w:rPr>
        <w:t>50</w:t>
      </w:r>
      <w:r w:rsidR="00997EDF" w:rsidRPr="00925F26">
        <w:rPr>
          <w:color w:val="000000" w:themeColor="text1"/>
          <w:sz w:val="16"/>
          <w:szCs w:val="16"/>
        </w:rPr>
        <w:t xml:space="preserve">  </w:t>
      </w:r>
      <w:r w:rsidRPr="00925F26">
        <w:rPr>
          <w:color w:val="000000" w:themeColor="text1"/>
          <w:sz w:val="16"/>
          <w:szCs w:val="16"/>
        </w:rPr>
        <w:t xml:space="preserve">километрах юго-восточнее Берлина. </w:t>
      </w:r>
      <w:proofErr w:type="gramStart"/>
      <w:r w:rsidRPr="00925F26">
        <w:rPr>
          <w:color w:val="000000" w:themeColor="text1"/>
          <w:sz w:val="16"/>
          <w:szCs w:val="16"/>
        </w:rPr>
        <w:t>Там</w:t>
      </w:r>
      <w:r w:rsidR="00997EDF" w:rsidRPr="00925F26">
        <w:rPr>
          <w:color w:val="000000" w:themeColor="text1"/>
          <w:sz w:val="16"/>
          <w:szCs w:val="16"/>
        </w:rPr>
        <w:t xml:space="preserve">  </w:t>
      </w:r>
      <w:r w:rsidRPr="00925F26">
        <w:rPr>
          <w:color w:val="000000" w:themeColor="text1"/>
          <w:sz w:val="16"/>
          <w:szCs w:val="16"/>
        </w:rPr>
        <w:t>самолёты</w:t>
      </w:r>
      <w:proofErr w:type="gramEnd"/>
      <w:r w:rsidRPr="00925F26">
        <w:rPr>
          <w:color w:val="000000" w:themeColor="text1"/>
          <w:sz w:val="16"/>
          <w:szCs w:val="16"/>
        </w:rPr>
        <w:t xml:space="preserve"> прошли техническую подготовку </w:t>
      </w:r>
      <w:proofErr w:type="gramStart"/>
      <w:r w:rsidRPr="00925F26">
        <w:rPr>
          <w:color w:val="000000" w:themeColor="text1"/>
          <w:sz w:val="16"/>
          <w:szCs w:val="16"/>
        </w:rPr>
        <w:t>для</w:t>
      </w:r>
      <w:r w:rsidR="00997EDF" w:rsidRPr="00925F26">
        <w:rPr>
          <w:color w:val="000000" w:themeColor="text1"/>
          <w:sz w:val="16"/>
          <w:szCs w:val="16"/>
        </w:rPr>
        <w:t xml:space="preserve">  </w:t>
      </w:r>
      <w:r w:rsidRPr="00925F26">
        <w:rPr>
          <w:color w:val="000000" w:themeColor="text1"/>
          <w:sz w:val="16"/>
          <w:szCs w:val="16"/>
        </w:rPr>
        <w:t>участия</w:t>
      </w:r>
      <w:proofErr w:type="gramEnd"/>
      <w:r w:rsidRPr="00925F26">
        <w:rPr>
          <w:color w:val="000000" w:themeColor="text1"/>
          <w:sz w:val="16"/>
          <w:szCs w:val="16"/>
        </w:rPr>
        <w:t xml:space="preserve">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предстоящей</w:t>
      </w:r>
      <w:proofErr w:type="gramEnd"/>
      <w:r w:rsidRPr="00925F26">
        <w:rPr>
          <w:color w:val="000000" w:themeColor="text1"/>
          <w:sz w:val="16"/>
          <w:szCs w:val="16"/>
        </w:rPr>
        <w:t xml:space="preserve"> секретной операции. Далее Баумгарт сообщил, что</w:t>
      </w:r>
      <w:r w:rsidR="00997EDF" w:rsidRPr="00925F26">
        <w:rPr>
          <w:color w:val="000000" w:themeColor="text1"/>
          <w:sz w:val="16"/>
          <w:szCs w:val="16"/>
        </w:rPr>
        <w:t xml:space="preserve">  </w:t>
      </w:r>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своём «юнкерсе» перелетел на</w:t>
      </w:r>
      <w:r w:rsidR="00997EDF" w:rsidRPr="00925F26">
        <w:rPr>
          <w:color w:val="000000" w:themeColor="text1"/>
          <w:sz w:val="16"/>
          <w:szCs w:val="16"/>
        </w:rPr>
        <w:t xml:space="preserve">  </w:t>
      </w:r>
      <w:r w:rsidRPr="00925F26">
        <w:rPr>
          <w:color w:val="000000" w:themeColor="text1"/>
          <w:sz w:val="16"/>
          <w:szCs w:val="16"/>
        </w:rPr>
        <w:t>аэродром около Одессы, откуда затем выполнил первый рейс в</w:t>
      </w:r>
      <w:r w:rsidR="00997EDF" w:rsidRPr="00925F26">
        <w:rPr>
          <w:color w:val="000000" w:themeColor="text1"/>
          <w:sz w:val="16"/>
          <w:szCs w:val="16"/>
        </w:rPr>
        <w:t xml:space="preserve">  </w:t>
      </w:r>
      <w:r w:rsidRPr="00925F26">
        <w:rPr>
          <w:color w:val="000000" w:themeColor="text1"/>
          <w:sz w:val="16"/>
          <w:szCs w:val="16"/>
        </w:rPr>
        <w:t xml:space="preserve">Маньчжоу-Го. Экипаж самолёта состоял всего </w:t>
      </w:r>
      <w:proofErr w:type="gramStart"/>
      <w:r w:rsidRPr="00925F26">
        <w:rPr>
          <w:color w:val="000000" w:themeColor="text1"/>
          <w:sz w:val="16"/>
          <w:szCs w:val="16"/>
        </w:rPr>
        <w:t>из</w:t>
      </w:r>
      <w:r w:rsidR="00997EDF" w:rsidRPr="00925F26">
        <w:rPr>
          <w:color w:val="000000" w:themeColor="text1"/>
          <w:sz w:val="16"/>
          <w:szCs w:val="16"/>
        </w:rPr>
        <w:t xml:space="preserve">  </w:t>
      </w:r>
      <w:r w:rsidRPr="00925F26">
        <w:rPr>
          <w:color w:val="000000" w:themeColor="text1"/>
          <w:sz w:val="16"/>
          <w:szCs w:val="16"/>
        </w:rPr>
        <w:t>трёх</w:t>
      </w:r>
      <w:proofErr w:type="gramEnd"/>
      <w:r w:rsidRPr="00925F26">
        <w:rPr>
          <w:color w:val="000000" w:themeColor="text1"/>
          <w:sz w:val="16"/>
          <w:szCs w:val="16"/>
        </w:rPr>
        <w:t xml:space="preserve"> человек: </w:t>
      </w:r>
      <w:proofErr w:type="gramStart"/>
      <w:r w:rsidRPr="00925F26">
        <w:rPr>
          <w:color w:val="000000" w:themeColor="text1"/>
          <w:sz w:val="16"/>
          <w:szCs w:val="16"/>
        </w:rPr>
        <w:t>его</w:t>
      </w:r>
      <w:r w:rsidR="00997EDF" w:rsidRPr="00925F26">
        <w:rPr>
          <w:color w:val="000000" w:themeColor="text1"/>
          <w:sz w:val="16"/>
          <w:szCs w:val="16"/>
        </w:rPr>
        <w:t xml:space="preserve">  </w:t>
      </w:r>
      <w:r w:rsidRPr="00925F26">
        <w:rPr>
          <w:color w:val="000000" w:themeColor="text1"/>
          <w:sz w:val="16"/>
          <w:szCs w:val="16"/>
        </w:rPr>
        <w:t>самого</w:t>
      </w:r>
      <w:proofErr w:type="gramEnd"/>
      <w:r w:rsidRPr="00925F26">
        <w:rPr>
          <w:color w:val="000000" w:themeColor="text1"/>
          <w:sz w:val="16"/>
          <w:szCs w:val="16"/>
        </w:rPr>
        <w:t xml:space="preserve">, бортрадиста </w:t>
      </w:r>
      <w:proofErr w:type="gramStart"/>
      <w:r w:rsidRPr="00925F26">
        <w:rPr>
          <w:color w:val="000000" w:themeColor="text1"/>
          <w:sz w:val="16"/>
          <w:szCs w:val="16"/>
        </w:rPr>
        <w:t>из</w:t>
      </w:r>
      <w:r w:rsidR="00997EDF" w:rsidRPr="00925F26">
        <w:rPr>
          <w:color w:val="000000" w:themeColor="text1"/>
          <w:sz w:val="16"/>
          <w:szCs w:val="16"/>
        </w:rPr>
        <w:t xml:space="preserve">  </w:t>
      </w:r>
      <w:r w:rsidRPr="00925F26">
        <w:rPr>
          <w:color w:val="000000" w:themeColor="text1"/>
          <w:sz w:val="16"/>
          <w:szCs w:val="16"/>
        </w:rPr>
        <w:t>его</w:t>
      </w:r>
      <w:proofErr w:type="gramEnd"/>
      <w:r w:rsidR="00997EDF" w:rsidRPr="00925F26">
        <w:rPr>
          <w:color w:val="000000" w:themeColor="text1"/>
          <w:sz w:val="16"/>
          <w:szCs w:val="16"/>
        </w:rPr>
        <w:t xml:space="preserve">  </w:t>
      </w:r>
      <w:r w:rsidRPr="00925F26">
        <w:rPr>
          <w:color w:val="000000" w:themeColor="text1"/>
          <w:sz w:val="16"/>
          <w:szCs w:val="16"/>
        </w:rPr>
        <w:t xml:space="preserve">прежнего экипажа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незнакомого</w:t>
      </w:r>
      <w:proofErr w:type="gramEnd"/>
      <w:r w:rsidRPr="00925F26">
        <w:rPr>
          <w:color w:val="000000" w:themeColor="text1"/>
          <w:sz w:val="16"/>
          <w:szCs w:val="16"/>
        </w:rPr>
        <w:t xml:space="preserve"> </w:t>
      </w:r>
      <w:proofErr w:type="gramStart"/>
      <w:r w:rsidRPr="00925F26">
        <w:rPr>
          <w:color w:val="000000" w:themeColor="text1"/>
          <w:sz w:val="16"/>
          <w:szCs w:val="16"/>
        </w:rPr>
        <w:t>ему</w:t>
      </w:r>
      <w:r w:rsidR="00997EDF" w:rsidRPr="00925F26">
        <w:rPr>
          <w:color w:val="000000" w:themeColor="text1"/>
          <w:sz w:val="16"/>
          <w:szCs w:val="16"/>
        </w:rPr>
        <w:t xml:space="preserve">  </w:t>
      </w:r>
      <w:r w:rsidRPr="00925F26">
        <w:rPr>
          <w:color w:val="000000" w:themeColor="text1"/>
          <w:sz w:val="16"/>
          <w:szCs w:val="16"/>
        </w:rPr>
        <w:t>штурмана</w:t>
      </w:r>
      <w:proofErr w:type="gramEnd"/>
      <w:r w:rsidRPr="00925F26">
        <w:rPr>
          <w:color w:val="000000" w:themeColor="text1"/>
          <w:sz w:val="16"/>
          <w:szCs w:val="16"/>
        </w:rPr>
        <w:t xml:space="preserve">, который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воздухе</w:t>
      </w:r>
      <w:proofErr w:type="gramEnd"/>
      <w:r w:rsidRPr="00925F26">
        <w:rPr>
          <w:color w:val="000000" w:themeColor="text1"/>
          <w:sz w:val="16"/>
          <w:szCs w:val="16"/>
        </w:rPr>
        <w:t xml:space="preserve"> </w:t>
      </w:r>
      <w:proofErr w:type="gramStart"/>
      <w:r w:rsidRPr="00925F26">
        <w:rPr>
          <w:color w:val="000000" w:themeColor="text1"/>
          <w:sz w:val="16"/>
          <w:szCs w:val="16"/>
        </w:rPr>
        <w:t>по</w:t>
      </w:r>
      <w:r w:rsidR="00997EDF" w:rsidRPr="00925F26">
        <w:rPr>
          <w:color w:val="000000" w:themeColor="text1"/>
          <w:sz w:val="16"/>
          <w:szCs w:val="16"/>
        </w:rPr>
        <w:t xml:space="preserve">  </w:t>
      </w:r>
      <w:r w:rsidRPr="00925F26">
        <w:rPr>
          <w:color w:val="000000" w:themeColor="text1"/>
          <w:sz w:val="16"/>
          <w:szCs w:val="16"/>
        </w:rPr>
        <w:t>мере</w:t>
      </w:r>
      <w:proofErr w:type="gramEnd"/>
      <w:r w:rsidRPr="00925F26">
        <w:rPr>
          <w:color w:val="000000" w:themeColor="text1"/>
          <w:sz w:val="16"/>
          <w:szCs w:val="16"/>
        </w:rPr>
        <w:t xml:space="preserve"> необходимости сообщал </w:t>
      </w:r>
      <w:proofErr w:type="gramStart"/>
      <w:r w:rsidRPr="00925F26">
        <w:rPr>
          <w:color w:val="000000" w:themeColor="text1"/>
          <w:sz w:val="16"/>
          <w:szCs w:val="16"/>
        </w:rPr>
        <w:t>ему</w:t>
      </w:r>
      <w:r w:rsidR="00997EDF" w:rsidRPr="00925F26">
        <w:rPr>
          <w:color w:val="000000" w:themeColor="text1"/>
          <w:sz w:val="16"/>
          <w:szCs w:val="16"/>
        </w:rPr>
        <w:t xml:space="preserve">  </w:t>
      </w:r>
      <w:r w:rsidRPr="00925F26">
        <w:rPr>
          <w:color w:val="000000" w:themeColor="text1"/>
          <w:sz w:val="16"/>
          <w:szCs w:val="16"/>
        </w:rPr>
        <w:t>навигационные</w:t>
      </w:r>
      <w:proofErr w:type="gramEnd"/>
      <w:r w:rsidRPr="00925F26">
        <w:rPr>
          <w:color w:val="000000" w:themeColor="text1"/>
          <w:sz w:val="16"/>
          <w:szCs w:val="16"/>
        </w:rPr>
        <w:t xml:space="preserve"> </w:t>
      </w:r>
      <w:proofErr w:type="gramStart"/>
      <w:r w:rsidRPr="00925F26">
        <w:rPr>
          <w:color w:val="000000" w:themeColor="text1"/>
          <w:sz w:val="16"/>
          <w:szCs w:val="16"/>
        </w:rPr>
        <w:t>данные</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курс, высоту полёта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т.п.</w:t>
      </w:r>
      <w:proofErr w:type="gramEnd"/>
      <w:r w:rsidRPr="00925F26">
        <w:rPr>
          <w:color w:val="000000" w:themeColor="text1"/>
          <w:sz w:val="16"/>
          <w:szCs w:val="16"/>
        </w:rPr>
        <w:t xml:space="preserve"> Трасса полёта проходила </w:t>
      </w:r>
      <w:proofErr w:type="gramStart"/>
      <w:r w:rsidRPr="00925F26">
        <w:rPr>
          <w:color w:val="000000" w:themeColor="text1"/>
          <w:sz w:val="16"/>
          <w:szCs w:val="16"/>
        </w:rPr>
        <w:t>над</w:t>
      </w:r>
      <w:r w:rsidR="00997EDF" w:rsidRPr="00925F26">
        <w:rPr>
          <w:color w:val="000000" w:themeColor="text1"/>
          <w:sz w:val="16"/>
          <w:szCs w:val="16"/>
        </w:rPr>
        <w:t xml:space="preserve">  </w:t>
      </w:r>
      <w:r w:rsidRPr="00925F26">
        <w:rPr>
          <w:color w:val="000000" w:themeColor="text1"/>
          <w:sz w:val="16"/>
          <w:szCs w:val="16"/>
        </w:rPr>
        <w:t>югом</w:t>
      </w:r>
      <w:proofErr w:type="gramEnd"/>
      <w:r w:rsidRPr="00925F26">
        <w:rPr>
          <w:color w:val="000000" w:themeColor="text1"/>
          <w:sz w:val="16"/>
          <w:szCs w:val="16"/>
        </w:rPr>
        <w:t xml:space="preserve"> России, Казахстаном, Алтаем, озером Байкал, </w:t>
      </w:r>
      <w:proofErr w:type="gramStart"/>
      <w:r w:rsidRPr="00925F26">
        <w:rPr>
          <w:color w:val="000000" w:themeColor="text1"/>
          <w:sz w:val="16"/>
          <w:szCs w:val="16"/>
        </w:rPr>
        <w:t>а</w:t>
      </w:r>
      <w:r w:rsidR="00997EDF" w:rsidRPr="00925F26">
        <w:rPr>
          <w:color w:val="000000" w:themeColor="text1"/>
          <w:sz w:val="16"/>
          <w:szCs w:val="16"/>
        </w:rPr>
        <w:t xml:space="preserve">  </w:t>
      </w:r>
      <w:r w:rsidRPr="00925F26">
        <w:rPr>
          <w:color w:val="000000" w:themeColor="text1"/>
          <w:sz w:val="16"/>
          <w:szCs w:val="16"/>
        </w:rPr>
        <w:t>также</w:t>
      </w:r>
      <w:proofErr w:type="gramEnd"/>
      <w:r w:rsidRPr="00925F26">
        <w:rPr>
          <w:color w:val="000000" w:themeColor="text1"/>
          <w:sz w:val="16"/>
          <w:szCs w:val="16"/>
        </w:rPr>
        <w:t xml:space="preserve"> </w:t>
      </w:r>
      <w:proofErr w:type="gramStart"/>
      <w:r w:rsidRPr="00925F26">
        <w:rPr>
          <w:color w:val="000000" w:themeColor="text1"/>
          <w:sz w:val="16"/>
          <w:szCs w:val="16"/>
        </w:rPr>
        <w:t>над</w:t>
      </w:r>
      <w:r w:rsidR="00997EDF" w:rsidRPr="00925F26">
        <w:rPr>
          <w:color w:val="000000" w:themeColor="text1"/>
          <w:sz w:val="16"/>
          <w:szCs w:val="16"/>
        </w:rPr>
        <w:t xml:space="preserve">  </w:t>
      </w:r>
      <w:r w:rsidRPr="00925F26">
        <w:rPr>
          <w:color w:val="000000" w:themeColor="text1"/>
          <w:sz w:val="16"/>
          <w:szCs w:val="16"/>
        </w:rPr>
        <w:t>восточной</w:t>
      </w:r>
      <w:proofErr w:type="gramEnd"/>
      <w:r w:rsidRPr="00925F26">
        <w:rPr>
          <w:color w:val="000000" w:themeColor="text1"/>
          <w:sz w:val="16"/>
          <w:szCs w:val="16"/>
        </w:rPr>
        <w:t xml:space="preserve"> Монголией. При</w:t>
      </w:r>
      <w:r w:rsidR="00997EDF" w:rsidRPr="00925F26">
        <w:rPr>
          <w:color w:val="000000" w:themeColor="text1"/>
          <w:sz w:val="16"/>
          <w:szCs w:val="16"/>
        </w:rPr>
        <w:t xml:space="preserve">  </w:t>
      </w:r>
      <w:r w:rsidRPr="00925F26">
        <w:rPr>
          <w:color w:val="000000" w:themeColor="text1"/>
          <w:sz w:val="16"/>
          <w:szCs w:val="16"/>
        </w:rPr>
        <w:t>этом в</w:t>
      </w:r>
      <w:r w:rsidR="00997EDF" w:rsidRPr="00925F26">
        <w:rPr>
          <w:color w:val="000000" w:themeColor="text1"/>
          <w:sz w:val="16"/>
          <w:szCs w:val="16"/>
        </w:rPr>
        <w:t xml:space="preserve">  </w:t>
      </w:r>
      <w:r w:rsidRPr="00925F26">
        <w:rPr>
          <w:color w:val="000000" w:themeColor="text1"/>
          <w:sz w:val="16"/>
          <w:szCs w:val="16"/>
        </w:rPr>
        <w:t>течение последних двух часов перед посадкой в</w:t>
      </w:r>
      <w:r w:rsidR="00997EDF" w:rsidRPr="00925F26">
        <w:rPr>
          <w:color w:val="000000" w:themeColor="text1"/>
          <w:sz w:val="16"/>
          <w:szCs w:val="16"/>
        </w:rPr>
        <w:t xml:space="preserve">  </w:t>
      </w:r>
      <w:r w:rsidRPr="00925F26">
        <w:rPr>
          <w:color w:val="000000" w:themeColor="text1"/>
          <w:sz w:val="16"/>
          <w:szCs w:val="16"/>
        </w:rPr>
        <w:t>Маньчжоу-Го</w:t>
      </w:r>
      <w:r w:rsidR="00997EDF" w:rsidRPr="00925F26">
        <w:rPr>
          <w:color w:val="000000" w:themeColor="text1"/>
          <w:sz w:val="16"/>
          <w:szCs w:val="16"/>
        </w:rPr>
        <w:t xml:space="preserve">  </w:t>
      </w:r>
      <w:r w:rsidRPr="00925F26">
        <w:rPr>
          <w:color w:val="000000" w:themeColor="text1"/>
          <w:sz w:val="16"/>
          <w:szCs w:val="16"/>
        </w:rPr>
        <w:t>экипаж получал необходимую навигационную информацию из</w:t>
      </w:r>
      <w:r w:rsidR="00997EDF" w:rsidRPr="00925F26">
        <w:rPr>
          <w:color w:val="000000" w:themeColor="text1"/>
          <w:sz w:val="16"/>
          <w:szCs w:val="16"/>
        </w:rPr>
        <w:t xml:space="preserve">  </w:t>
      </w:r>
      <w:r w:rsidRPr="00925F26">
        <w:rPr>
          <w:color w:val="000000" w:themeColor="text1"/>
          <w:sz w:val="16"/>
          <w:szCs w:val="16"/>
        </w:rPr>
        <w:t>Токио. Обратно Баумгарт летел по</w:t>
      </w:r>
      <w:r w:rsidR="00997EDF" w:rsidRPr="00925F26">
        <w:rPr>
          <w:color w:val="000000" w:themeColor="text1"/>
          <w:sz w:val="16"/>
          <w:szCs w:val="16"/>
        </w:rPr>
        <w:t xml:space="preserve">  </w:t>
      </w:r>
      <w:r w:rsidRPr="00925F26">
        <w:rPr>
          <w:color w:val="000000" w:themeColor="text1"/>
          <w:sz w:val="16"/>
          <w:szCs w:val="16"/>
        </w:rPr>
        <w:t>тому же</w:t>
      </w:r>
      <w:r w:rsidR="00997EDF" w:rsidRPr="00925F26">
        <w:rPr>
          <w:color w:val="000000" w:themeColor="text1"/>
          <w:sz w:val="16"/>
          <w:szCs w:val="16"/>
        </w:rPr>
        <w:t xml:space="preserve">  </w:t>
      </w:r>
      <w:r w:rsidRPr="00925F26">
        <w:rPr>
          <w:color w:val="000000" w:themeColor="text1"/>
          <w:sz w:val="16"/>
          <w:szCs w:val="16"/>
        </w:rPr>
        <w:t>самому маршруту, но</w:t>
      </w:r>
      <w:r w:rsidR="00997EDF" w:rsidRPr="00925F26">
        <w:rPr>
          <w:color w:val="000000" w:themeColor="text1"/>
          <w:sz w:val="16"/>
          <w:szCs w:val="16"/>
        </w:rPr>
        <w:t xml:space="preserve">  </w:t>
      </w:r>
      <w:r w:rsidRPr="00925F26">
        <w:rPr>
          <w:color w:val="000000" w:themeColor="text1"/>
          <w:sz w:val="16"/>
          <w:szCs w:val="16"/>
        </w:rPr>
        <w:t>приземлился уже</w:t>
      </w:r>
      <w:r w:rsidR="00997EDF" w:rsidRPr="00925F26">
        <w:rPr>
          <w:color w:val="000000" w:themeColor="text1"/>
          <w:sz w:val="16"/>
          <w:szCs w:val="16"/>
        </w:rPr>
        <w:t xml:space="preserve">  </w:t>
      </w:r>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аэродроме Мелец, в</w:t>
      </w:r>
      <w:r w:rsidR="00997EDF" w:rsidRPr="00925F26">
        <w:rPr>
          <w:color w:val="000000" w:themeColor="text1"/>
          <w:sz w:val="16"/>
          <w:szCs w:val="16"/>
        </w:rPr>
        <w:t xml:space="preserve">  </w:t>
      </w:r>
      <w:r w:rsidRPr="00925F26">
        <w:rPr>
          <w:color w:val="000000" w:themeColor="text1"/>
          <w:sz w:val="16"/>
          <w:szCs w:val="16"/>
        </w:rPr>
        <w:t xml:space="preserve">Польше. </w:t>
      </w:r>
      <w:proofErr w:type="gramStart"/>
      <w:r w:rsidRPr="00925F26">
        <w:rPr>
          <w:color w:val="000000" w:themeColor="text1"/>
          <w:sz w:val="16"/>
          <w:szCs w:val="16"/>
        </w:rPr>
        <w:t>По</w:t>
      </w:r>
      <w:r w:rsidR="00997EDF" w:rsidRPr="00925F26">
        <w:rPr>
          <w:color w:val="000000" w:themeColor="text1"/>
          <w:sz w:val="16"/>
          <w:szCs w:val="16"/>
        </w:rPr>
        <w:t xml:space="preserve">  </w:t>
      </w:r>
      <w:r w:rsidRPr="00925F26">
        <w:rPr>
          <w:color w:val="000000" w:themeColor="text1"/>
          <w:sz w:val="16"/>
          <w:szCs w:val="16"/>
        </w:rPr>
        <w:t>его</w:t>
      </w:r>
      <w:proofErr w:type="gramEnd"/>
      <w:r w:rsidR="00997EDF" w:rsidRPr="00925F26">
        <w:rPr>
          <w:color w:val="000000" w:themeColor="text1"/>
          <w:sz w:val="16"/>
          <w:szCs w:val="16"/>
        </w:rPr>
        <w:t xml:space="preserve">  </w:t>
      </w:r>
      <w:r w:rsidRPr="00925F26">
        <w:rPr>
          <w:color w:val="000000" w:themeColor="text1"/>
          <w:sz w:val="16"/>
          <w:szCs w:val="16"/>
        </w:rPr>
        <w:t xml:space="preserve">словам, общее полётное время рейса туда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обратно</w:t>
      </w:r>
      <w:proofErr w:type="gramEnd"/>
      <w:r w:rsidRPr="00925F26">
        <w:rPr>
          <w:color w:val="000000" w:themeColor="text1"/>
          <w:sz w:val="16"/>
          <w:szCs w:val="16"/>
        </w:rPr>
        <w:t xml:space="preserve"> составило </w:t>
      </w:r>
      <w:proofErr w:type="gramStart"/>
      <w:r w:rsidRPr="00925F26">
        <w:rPr>
          <w:color w:val="000000" w:themeColor="text1"/>
          <w:sz w:val="16"/>
          <w:szCs w:val="16"/>
        </w:rPr>
        <w:t>33</w:t>
      </w:r>
      <w:r w:rsidR="00997EDF" w:rsidRPr="00925F26">
        <w:rPr>
          <w:color w:val="000000" w:themeColor="text1"/>
          <w:sz w:val="16"/>
          <w:szCs w:val="16"/>
        </w:rPr>
        <w:t xml:space="preserve">  </w:t>
      </w:r>
      <w:r w:rsidRPr="00925F26">
        <w:rPr>
          <w:color w:val="000000" w:themeColor="text1"/>
          <w:sz w:val="16"/>
          <w:szCs w:val="16"/>
        </w:rPr>
        <w:t>часа</w:t>
      </w:r>
      <w:proofErr w:type="gramEnd"/>
      <w:r w:rsidRPr="00925F26">
        <w:rPr>
          <w:color w:val="000000" w:themeColor="text1"/>
          <w:sz w:val="16"/>
          <w:szCs w:val="16"/>
        </w:rPr>
        <w:t>. Второй полёт на</w:t>
      </w:r>
      <w:r w:rsidR="00997EDF" w:rsidRPr="00925F26">
        <w:rPr>
          <w:color w:val="000000" w:themeColor="text1"/>
          <w:sz w:val="16"/>
          <w:szCs w:val="16"/>
        </w:rPr>
        <w:t xml:space="preserve">  </w:t>
      </w:r>
      <w:r w:rsidRPr="00925F26">
        <w:rPr>
          <w:color w:val="000000" w:themeColor="text1"/>
          <w:sz w:val="16"/>
          <w:szCs w:val="16"/>
        </w:rPr>
        <w:t>Дальний Восток он</w:t>
      </w:r>
      <w:r w:rsidR="00997EDF" w:rsidRPr="00925F26">
        <w:rPr>
          <w:color w:val="000000" w:themeColor="text1"/>
          <w:sz w:val="16"/>
          <w:szCs w:val="16"/>
        </w:rPr>
        <w:t xml:space="preserve">  </w:t>
      </w:r>
      <w:r w:rsidRPr="00925F26">
        <w:rPr>
          <w:color w:val="000000" w:themeColor="text1"/>
          <w:sz w:val="16"/>
          <w:szCs w:val="16"/>
        </w:rPr>
        <w:t>совершил из</w:t>
      </w:r>
      <w:r w:rsidR="00997EDF" w:rsidRPr="00925F26">
        <w:rPr>
          <w:color w:val="000000" w:themeColor="text1"/>
          <w:sz w:val="16"/>
          <w:szCs w:val="16"/>
        </w:rPr>
        <w:t xml:space="preserve">  </w:t>
      </w:r>
      <w:r w:rsidRPr="00925F26">
        <w:rPr>
          <w:color w:val="000000" w:themeColor="text1"/>
          <w:sz w:val="16"/>
          <w:szCs w:val="16"/>
        </w:rPr>
        <w:t>Мелеца и</w:t>
      </w:r>
      <w:r w:rsidR="00997EDF" w:rsidRPr="00925F26">
        <w:rPr>
          <w:color w:val="000000" w:themeColor="text1"/>
          <w:sz w:val="16"/>
          <w:szCs w:val="16"/>
        </w:rPr>
        <w:t xml:space="preserve">  </w:t>
      </w:r>
      <w:r w:rsidRPr="00925F26">
        <w:rPr>
          <w:color w:val="000000" w:themeColor="text1"/>
          <w:sz w:val="16"/>
          <w:szCs w:val="16"/>
        </w:rPr>
        <w:t>вернулся туда же. Два</w:t>
      </w:r>
      <w:r w:rsidR="00997EDF" w:rsidRPr="00925F26">
        <w:rPr>
          <w:color w:val="000000" w:themeColor="text1"/>
          <w:sz w:val="16"/>
          <w:szCs w:val="16"/>
        </w:rPr>
        <w:t xml:space="preserve">  </w:t>
      </w:r>
      <w:r w:rsidRPr="00925F26">
        <w:rPr>
          <w:color w:val="000000" w:themeColor="text1"/>
          <w:sz w:val="16"/>
          <w:szCs w:val="16"/>
        </w:rPr>
        <w:t>других Ju-290A-9, якобы выполнивших также по</w:t>
      </w:r>
      <w:r w:rsidR="00997EDF" w:rsidRPr="00925F26">
        <w:rPr>
          <w:color w:val="000000" w:themeColor="text1"/>
          <w:sz w:val="16"/>
          <w:szCs w:val="16"/>
        </w:rPr>
        <w:t xml:space="preserve">  </w:t>
      </w:r>
      <w:r w:rsidRPr="00925F26">
        <w:rPr>
          <w:color w:val="000000" w:themeColor="text1"/>
          <w:sz w:val="16"/>
          <w:szCs w:val="16"/>
        </w:rPr>
        <w:t>два</w:t>
      </w:r>
      <w:r w:rsidR="00997EDF" w:rsidRPr="00925F26">
        <w:rPr>
          <w:color w:val="000000" w:themeColor="text1"/>
          <w:sz w:val="16"/>
          <w:szCs w:val="16"/>
        </w:rPr>
        <w:t xml:space="preserve">  </w:t>
      </w:r>
      <w:r w:rsidRPr="00925F26">
        <w:rPr>
          <w:color w:val="000000" w:themeColor="text1"/>
          <w:sz w:val="16"/>
          <w:szCs w:val="16"/>
        </w:rPr>
        <w:t>рейса, вылетали и</w:t>
      </w:r>
      <w:r w:rsidR="00997EDF" w:rsidRPr="00925F26">
        <w:rPr>
          <w:color w:val="000000" w:themeColor="text1"/>
          <w:sz w:val="16"/>
          <w:szCs w:val="16"/>
        </w:rPr>
        <w:t xml:space="preserve">  </w:t>
      </w:r>
      <w:r w:rsidRPr="00925F26">
        <w:rPr>
          <w:color w:val="000000" w:themeColor="text1"/>
          <w:sz w:val="16"/>
          <w:szCs w:val="16"/>
        </w:rPr>
        <w:t>возвращались на</w:t>
      </w:r>
      <w:r w:rsidR="00997EDF" w:rsidRPr="00925F26">
        <w:rPr>
          <w:color w:val="000000" w:themeColor="text1"/>
          <w:sz w:val="16"/>
          <w:szCs w:val="16"/>
        </w:rPr>
        <w:t xml:space="preserve">  </w:t>
      </w:r>
      <w:r w:rsidRPr="00925F26">
        <w:rPr>
          <w:color w:val="000000" w:themeColor="text1"/>
          <w:sz w:val="16"/>
          <w:szCs w:val="16"/>
        </w:rPr>
        <w:t>аэродром Позен (ныне Познань). «Юнкерсы» доставляли японцам авиационные двигатели BMW</w:t>
      </w:r>
      <w:r w:rsidR="00997EDF" w:rsidRPr="00925F26">
        <w:rPr>
          <w:color w:val="000000" w:themeColor="text1"/>
          <w:sz w:val="16"/>
          <w:szCs w:val="16"/>
        </w:rPr>
        <w:t xml:space="preserve">  </w:t>
      </w:r>
      <w:r w:rsidRPr="00925F26">
        <w:rPr>
          <w:color w:val="000000" w:themeColor="text1"/>
          <w:sz w:val="16"/>
          <w:szCs w:val="16"/>
        </w:rPr>
        <w:t xml:space="preserve">801, </w:t>
      </w:r>
      <w:proofErr w:type="gramStart"/>
      <w:r w:rsidRPr="00925F26">
        <w:rPr>
          <w:color w:val="000000" w:themeColor="text1"/>
          <w:sz w:val="16"/>
          <w:szCs w:val="16"/>
        </w:rPr>
        <w:t>а</w:t>
      </w:r>
      <w:r w:rsidR="00997EDF" w:rsidRPr="00925F26">
        <w:rPr>
          <w:color w:val="000000" w:themeColor="text1"/>
          <w:sz w:val="16"/>
          <w:szCs w:val="16"/>
        </w:rPr>
        <w:t xml:space="preserve">  </w:t>
      </w:r>
      <w:r w:rsidRPr="00925F26">
        <w:rPr>
          <w:color w:val="000000" w:themeColor="text1"/>
          <w:sz w:val="16"/>
          <w:szCs w:val="16"/>
        </w:rPr>
        <w:t>обратно</w:t>
      </w:r>
      <w:proofErr w:type="gramEnd"/>
      <w:r w:rsidRPr="00925F26">
        <w:rPr>
          <w:color w:val="000000" w:themeColor="text1"/>
          <w:sz w:val="16"/>
          <w:szCs w:val="16"/>
        </w:rPr>
        <w:t xml:space="preserve"> перевозили некие металлические сплавы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натуральный</w:t>
      </w:r>
      <w:proofErr w:type="gramEnd"/>
      <w:r w:rsidRPr="00925F26">
        <w:rPr>
          <w:color w:val="000000" w:themeColor="text1"/>
          <w:sz w:val="16"/>
          <w:szCs w:val="16"/>
        </w:rPr>
        <w:t xml:space="preserve"> каучук (19672).</w:t>
      </w:r>
    </w:p>
    <w:p w14:paraId="78E73676" w14:textId="77777777" w:rsidR="009B1228" w:rsidRPr="00925F26" w:rsidRDefault="009B1228" w:rsidP="00925F26">
      <w:pPr>
        <w:jc w:val="both"/>
        <w:rPr>
          <w:color w:val="000000" w:themeColor="text1"/>
          <w:sz w:val="16"/>
          <w:szCs w:val="16"/>
        </w:rPr>
      </w:pPr>
    </w:p>
    <w:p w14:paraId="23FF676F" w14:textId="77777777" w:rsidR="00BD44E6" w:rsidRPr="00925F26" w:rsidRDefault="00BD44E6" w:rsidP="00925F26">
      <w:pPr>
        <w:jc w:val="both"/>
        <w:rPr>
          <w:color w:val="000000" w:themeColor="text1"/>
          <w:sz w:val="16"/>
          <w:szCs w:val="16"/>
        </w:rPr>
      </w:pPr>
      <w:r w:rsidRPr="00925F26">
        <w:rPr>
          <w:color w:val="000000" w:themeColor="text1"/>
          <w:sz w:val="16"/>
          <w:szCs w:val="16"/>
        </w:rPr>
        <w:t>В марте 1945 Мексиканская авиакомпания Aerovias Braniff начинает работу. Флот компании состоит из трех самолетов Douglas DC-3 и выполняет рейсы из Мехико и Монтеррея, Мексика, в Ларедо, штат Техас (20371).</w:t>
      </w:r>
    </w:p>
    <w:p w14:paraId="182FE3A5" w14:textId="77777777" w:rsidR="00BD44E6" w:rsidRPr="00925F26" w:rsidRDefault="00BD44E6" w:rsidP="00925F26">
      <w:pPr>
        <w:jc w:val="both"/>
        <w:rPr>
          <w:color w:val="000000" w:themeColor="text1"/>
          <w:sz w:val="16"/>
          <w:szCs w:val="16"/>
        </w:rPr>
      </w:pPr>
    </w:p>
    <w:p w14:paraId="5921461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C8B2963" w14:textId="77777777" w:rsidR="00665165" w:rsidRPr="00925F26" w:rsidRDefault="00665165" w:rsidP="00925F26">
      <w:pPr>
        <w:autoSpaceDE w:val="0"/>
        <w:autoSpaceDN w:val="0"/>
        <w:adjustRightInd w:val="0"/>
        <w:jc w:val="both"/>
        <w:rPr>
          <w:iCs/>
          <w:color w:val="000000" w:themeColor="text1"/>
          <w:sz w:val="16"/>
          <w:szCs w:val="16"/>
        </w:rPr>
      </w:pPr>
    </w:p>
    <w:p w14:paraId="31BFA1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период с марта по май 1945 г. налет на один отказ при экс</w:t>
      </w:r>
      <w:r w:rsidRPr="00925F26">
        <w:rPr>
          <w:color w:val="000000" w:themeColor="text1"/>
          <w:sz w:val="16"/>
          <w:szCs w:val="16"/>
        </w:rPr>
        <w:softHyphen/>
        <w:t>плуатации самолетов Ил-10 в строевых частях ВВС в среднем составил всего 6,5 ч. При этом на каждый самолет в среднем приходилось 1,65 выявленного дефекта. Для сравнения налет на один отказ самолета Ил-2 за этот же период времени достигал 417ч.</w:t>
      </w:r>
    </w:p>
    <w:p w14:paraId="1FB37E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дополнение к уже известным производственным дефек</w:t>
      </w:r>
      <w:r w:rsidRPr="00925F26">
        <w:rPr>
          <w:color w:val="000000" w:themeColor="text1"/>
          <w:sz w:val="16"/>
          <w:szCs w:val="16"/>
        </w:rPr>
        <w:softHyphen/>
        <w:t>там и конструктивным недостаткам «десятки» в ходе боевой работы выявлялись все новые и новые.</w:t>
      </w:r>
    </w:p>
    <w:p w14:paraId="43F69B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мнению строевых летчиков, аварийный выпуск шасси требовал чрезмерно больших физических усилий. В большин</w:t>
      </w:r>
      <w:r w:rsidRPr="00925F26">
        <w:rPr>
          <w:color w:val="000000" w:themeColor="text1"/>
          <w:sz w:val="16"/>
          <w:szCs w:val="16"/>
        </w:rPr>
        <w:softHyphen/>
        <w:t>стве случаев летчику «приходилось бросать управление и до</w:t>
      </w:r>
      <w:r w:rsidRPr="00925F26">
        <w:rPr>
          <w:color w:val="000000" w:themeColor="text1"/>
          <w:sz w:val="16"/>
          <w:szCs w:val="16"/>
        </w:rPr>
        <w:softHyphen/>
        <w:t>жимать шасси на выпуск обеими руками». В ряде случаев это приводило к трагическим последствиям. Например, 13 октяб</w:t>
      </w:r>
      <w:r w:rsidRPr="00925F26">
        <w:rPr>
          <w:color w:val="000000" w:themeColor="text1"/>
          <w:sz w:val="16"/>
          <w:szCs w:val="16"/>
        </w:rPr>
        <w:softHyphen/>
        <w:t>ря 1945 г. в 949-м шап произошла катастрофа на самолете Ил-10 зав. № 105098. По неустановленной причине «шасси воздухом не выпустились», о чем летчик доложил по радио. Получив команду с земли выпускать шасси аварийно, летчик наполовину их выпустил, но в этот момент самолет потерял скорость и потерпел катастрофу. В ходе расследования комис</w:t>
      </w:r>
      <w:r w:rsidRPr="00925F26">
        <w:rPr>
          <w:color w:val="000000" w:themeColor="text1"/>
          <w:sz w:val="16"/>
          <w:szCs w:val="16"/>
        </w:rPr>
        <w:softHyphen/>
        <w:t>сия в качестве наиболее вероятной причины падения самолета предположила, что в момент дожатая летчиком обеими руками ручки аварийного выпуска шасси самолет потерял скорость ниже минимально допустимой по сваливанию. При этом вни</w:t>
      </w:r>
      <w:r w:rsidRPr="00925F26">
        <w:rPr>
          <w:color w:val="000000" w:themeColor="text1"/>
          <w:sz w:val="16"/>
          <w:szCs w:val="16"/>
        </w:rPr>
        <w:softHyphen/>
        <w:t>мание вышестоящего командования обращалось на следующее обстоятельство. Согласно временному техническому описа</w:t>
      </w:r>
      <w:r w:rsidRPr="00925F26">
        <w:rPr>
          <w:color w:val="000000" w:themeColor="text1"/>
          <w:sz w:val="16"/>
          <w:szCs w:val="16"/>
        </w:rPr>
        <w:softHyphen/>
        <w:t>нию самолета Ил-10, выпущенного заводом № 18, «полагается выпускать шасси аварийно на скорости 230—250 км/ч, но лет</w:t>
      </w:r>
      <w:r w:rsidRPr="00925F26">
        <w:rPr>
          <w:color w:val="000000" w:themeColor="text1"/>
          <w:sz w:val="16"/>
          <w:szCs w:val="16"/>
        </w:rPr>
        <w:softHyphen/>
        <w:t>ный состав утверждает, что самолет на этой скорости теряет устойчивость в горизонтальном полете».</w:t>
      </w:r>
    </w:p>
    <w:p w14:paraId="66ADBA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сбрасывании бомб из бомбовых отсеков встречались многочисленные случаи обрыва тросов управления створками, а также деформации створок в местах крепления петель. На отдельных машинах были зарегистрированы случаи обрыва траверсы углового ролика, через который проходил трос от створки бомболюка к компенсатору. После сброса бомб бомболюки было очень трудно закрыть, так как предусмотренная на самолете механическая система для закрытия створок тре</w:t>
      </w:r>
      <w:r w:rsidRPr="00925F26">
        <w:rPr>
          <w:color w:val="000000" w:themeColor="text1"/>
          <w:sz w:val="16"/>
          <w:szCs w:val="16"/>
        </w:rPr>
        <w:softHyphen/>
        <w:t>бовала усилий до 20 кг. Все это приводило к тому, что над це</w:t>
      </w:r>
      <w:r w:rsidRPr="00925F26">
        <w:rPr>
          <w:color w:val="000000" w:themeColor="text1"/>
          <w:sz w:val="16"/>
          <w:szCs w:val="16"/>
        </w:rPr>
        <w:softHyphen/>
        <w:t>лью экипажи после сброса бомб зачастую продолжали выпол</w:t>
      </w:r>
      <w:r w:rsidRPr="00925F26">
        <w:rPr>
          <w:color w:val="000000" w:themeColor="text1"/>
          <w:sz w:val="16"/>
          <w:szCs w:val="16"/>
        </w:rPr>
        <w:softHyphen/>
        <w:t>нять атаки с открытыми бомболюками. В результате «самолет терял в маневренности», а створки бомболкжов деформирова</w:t>
      </w:r>
      <w:r w:rsidRPr="00925F26">
        <w:rPr>
          <w:color w:val="000000" w:themeColor="text1"/>
          <w:sz w:val="16"/>
          <w:szCs w:val="16"/>
        </w:rPr>
        <w:softHyphen/>
        <w:t>лись. Имелись случаи, когда створки бомбовых отсеков откры</w:t>
      </w:r>
      <w:r w:rsidRPr="00925F26">
        <w:rPr>
          <w:color w:val="000000" w:themeColor="text1"/>
          <w:sz w:val="16"/>
          <w:szCs w:val="16"/>
        </w:rPr>
        <w:softHyphen/>
        <w:t>вались не полностью и бомбы зависали.</w:t>
      </w:r>
    </w:p>
    <w:p w14:paraId="31E786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показывают документы, этими дефектами страдали почти 70% самолетов Ил-10, поступивших на вооружение час</w:t>
      </w:r>
      <w:r w:rsidRPr="00925F26">
        <w:rPr>
          <w:color w:val="000000" w:themeColor="text1"/>
          <w:sz w:val="16"/>
          <w:szCs w:val="16"/>
        </w:rPr>
        <w:softHyphen/>
        <w:t>тей 15-й, 2-й и 3-й воздушных армий.</w:t>
      </w:r>
    </w:p>
    <w:p w14:paraId="1A2D6B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устранения дефектов с 8-й серии (апрель 1945 г.) на за</w:t>
      </w:r>
      <w:r w:rsidRPr="00925F26">
        <w:rPr>
          <w:color w:val="000000" w:themeColor="text1"/>
          <w:sz w:val="16"/>
          <w:szCs w:val="16"/>
        </w:rPr>
        <w:softHyphen/>
        <w:t>водах стали ставить накладки под петли створок, а с 12-й — провели усиление и створок, и петель.</w:t>
      </w:r>
    </w:p>
    <w:p w14:paraId="5B71D1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и следовало ожидать, из строевых частей вскоре стали поступать сообщения о деформациях и даже срыве обшивки крыла. Листы обшивки шли волнами, заклепки срезались или вырывались по полкам переднего лонжерона. На некоторых ма</w:t>
      </w:r>
      <w:r w:rsidRPr="00925F26">
        <w:rPr>
          <w:color w:val="000000" w:themeColor="text1"/>
          <w:sz w:val="16"/>
          <w:szCs w:val="16"/>
        </w:rPr>
        <w:softHyphen/>
        <w:t>шинах наблюдался отрыв листов нижней обшивки центроплана по поперечным швам, а также деформации стенок переднего лонжерона консолей. Имелись случаи ослабления заклепочных швов обшивки фюзеляжа в области крепления костыльной уста</w:t>
      </w:r>
      <w:r w:rsidRPr="00925F26">
        <w:rPr>
          <w:color w:val="000000" w:themeColor="text1"/>
          <w:sz w:val="16"/>
          <w:szCs w:val="16"/>
        </w:rPr>
        <w:softHyphen/>
        <w:t>новки и по листу перехода килевой части фюзеляжа, а также де</w:t>
      </w:r>
      <w:r w:rsidRPr="00925F26">
        <w:rPr>
          <w:color w:val="000000" w:themeColor="text1"/>
          <w:sz w:val="16"/>
          <w:szCs w:val="16"/>
        </w:rPr>
        <w:softHyphen/>
        <w:t>формация рам хвостовой части фюзеляжа.</w:t>
      </w:r>
    </w:p>
    <w:p w14:paraId="3873AA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Например, в частях 15-й воздушной армии за три месяца эксплуатации Ил-10, с марта по май 1945 г., по этой причине вышли из строя все «десятки» из первой партии поставки — всего 45 самолетов производства завода № 1 с 3-й по 5-ю се</w:t>
      </w:r>
      <w:r w:rsidRPr="00925F26">
        <w:rPr>
          <w:color w:val="000000" w:themeColor="text1"/>
          <w:sz w:val="16"/>
          <w:szCs w:val="16"/>
        </w:rPr>
        <w:softHyphen/>
        <w:t>рию. Причем эти дефекты проявились уже после 15—18 ч налета самолетов. Как следует из доклада главного инженера армии генерал-майора Иоф</w:t>
      </w:r>
      <w:r w:rsidRPr="00925F26">
        <w:rPr>
          <w:color w:val="000000" w:themeColor="text1"/>
          <w:sz w:val="16"/>
          <w:szCs w:val="16"/>
        </w:rPr>
        <w:softHyphen/>
        <w:t>фе, «все эти машины были сняты с эксплуатации и пере</w:t>
      </w:r>
      <w:r w:rsidRPr="00925F26">
        <w:rPr>
          <w:color w:val="000000" w:themeColor="text1"/>
          <w:sz w:val="16"/>
          <w:szCs w:val="16"/>
        </w:rPr>
        <w:softHyphen/>
        <w:t>даны в школы ВВС».</w:t>
      </w:r>
    </w:p>
    <w:p w14:paraId="48539A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Летный состав особо ука</w:t>
      </w:r>
      <w:r w:rsidRPr="00925F26">
        <w:rPr>
          <w:color w:val="000000" w:themeColor="text1"/>
          <w:sz w:val="16"/>
          <w:szCs w:val="16"/>
        </w:rPr>
        <w:softHyphen/>
        <w:t>зывал, что «самолет Ил-10 на пикировании не терпит рез</w:t>
      </w:r>
      <w:r w:rsidRPr="00925F26">
        <w:rPr>
          <w:color w:val="000000" w:themeColor="text1"/>
          <w:sz w:val="16"/>
          <w:szCs w:val="16"/>
        </w:rPr>
        <w:softHyphen/>
        <w:t>костей в выводе, не допускает перегрузки 5,5 единицы» (11474,510).</w:t>
      </w:r>
    </w:p>
    <w:p w14:paraId="4A58E0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984E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г. на заводе 153 было изготовлено 77 с-тов Як-9М, предназначенных для переоборудования в учебно-тренировочные с-ты Як-9В с ВК105-ПФ в соответствии с решением ГОКО на заводе N 301 МАП и ВВС отправил их эшелонами на 301 завод в мае и июне 1945. Вся группа в 77 самолетов была запущена в производство и у всех машин была произведена переделка фюзеляжей (2074,123).</w:t>
      </w:r>
    </w:p>
    <w:p w14:paraId="4402C7A9" w14:textId="77777777" w:rsidR="00665165" w:rsidRPr="00925F26" w:rsidRDefault="00665165" w:rsidP="00925F26">
      <w:pPr>
        <w:autoSpaceDE w:val="0"/>
        <w:autoSpaceDN w:val="0"/>
        <w:adjustRightInd w:val="0"/>
        <w:jc w:val="both"/>
        <w:rPr>
          <w:color w:val="000000" w:themeColor="text1"/>
          <w:sz w:val="16"/>
          <w:szCs w:val="16"/>
        </w:rPr>
      </w:pPr>
    </w:p>
    <w:p w14:paraId="39B266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марте-апреле 1945 года новые противопылевые патрубки, необходимость которых стала ясна при войсковых испытаниях Ла-7, были внедрены в серийное производство. Новая конструкция была разработана еа заводе №21 с приводом от гид</w:t>
      </w:r>
      <w:r w:rsidRPr="00925F26">
        <w:rPr>
          <w:color w:val="000000" w:themeColor="text1"/>
          <w:sz w:val="16"/>
          <w:szCs w:val="16"/>
        </w:rPr>
        <w:softHyphen/>
        <w:t>росистемы уборки и выпуска шасси. Входные отверстия всасывающих пат</w:t>
      </w:r>
      <w:r w:rsidRPr="00925F26">
        <w:rPr>
          <w:color w:val="000000" w:themeColor="text1"/>
          <w:sz w:val="16"/>
          <w:szCs w:val="16"/>
        </w:rPr>
        <w:softHyphen/>
        <w:t>рубков на взлете и посадке по-пре</w:t>
      </w:r>
      <w:r w:rsidRPr="00925F26">
        <w:rPr>
          <w:color w:val="000000" w:themeColor="text1"/>
          <w:sz w:val="16"/>
          <w:szCs w:val="16"/>
        </w:rPr>
        <w:softHyphen/>
        <w:t>жнему закрывались заслонками, но забор воздуха при этом теперь осу</w:t>
      </w:r>
      <w:r w:rsidRPr="00925F26">
        <w:rPr>
          <w:color w:val="000000" w:themeColor="text1"/>
          <w:sz w:val="16"/>
          <w:szCs w:val="16"/>
        </w:rPr>
        <w:softHyphen/>
        <w:t>ществлялся через два закрытых сет</w:t>
      </w:r>
      <w:r w:rsidRPr="00925F26">
        <w:rPr>
          <w:color w:val="000000" w:themeColor="text1"/>
          <w:sz w:val="16"/>
          <w:szCs w:val="16"/>
        </w:rPr>
        <w:softHyphen/>
        <w:t>кой «Дельбах» отверстия в верхней части капота. При уборке шасси эти отверстия закрывались гидросистемой самолета, а штатные патрубки в нос</w:t>
      </w:r>
      <w:r w:rsidRPr="00925F26">
        <w:rPr>
          <w:color w:val="000000" w:themeColor="text1"/>
          <w:sz w:val="16"/>
          <w:szCs w:val="16"/>
        </w:rPr>
        <w:softHyphen/>
        <w:t>ке центроплана открывались. Конст</w:t>
      </w:r>
      <w:r w:rsidRPr="00925F26">
        <w:rPr>
          <w:color w:val="000000" w:themeColor="text1"/>
          <w:sz w:val="16"/>
          <w:szCs w:val="16"/>
        </w:rPr>
        <w:softHyphen/>
        <w:t>рукция эта была более сложной, но зато теперь уже никто не мог сказать, что патрубки с фильтрами располо</w:t>
      </w:r>
      <w:r w:rsidRPr="00925F26">
        <w:rPr>
          <w:color w:val="000000" w:themeColor="text1"/>
          <w:sz w:val="16"/>
          <w:szCs w:val="16"/>
        </w:rPr>
        <w:softHyphen/>
        <w:t>жены слишком низко и слабо защи</w:t>
      </w:r>
      <w:r w:rsidRPr="00925F26">
        <w:rPr>
          <w:color w:val="000000" w:themeColor="text1"/>
          <w:sz w:val="16"/>
          <w:szCs w:val="16"/>
        </w:rPr>
        <w:softHyphen/>
        <w:t>щены от пыли (10730).</w:t>
      </w:r>
    </w:p>
    <w:p w14:paraId="0C17E5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BDA0B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С марта до конца мая 1945 проходили государственные испытания второго Пе-8ОН в ГК НИИ ВВС. Самолет испытывал экипаж военных летчиков-испытателей во главе с ведущим летчиком-испытателем </w:t>
      </w:r>
      <w:proofErr w:type="gramStart"/>
      <w:r w:rsidRPr="00925F26">
        <w:rPr>
          <w:color w:val="000000" w:themeColor="text1"/>
          <w:sz w:val="16"/>
          <w:szCs w:val="16"/>
        </w:rPr>
        <w:t>В.И</w:t>
      </w:r>
      <w:proofErr w:type="gramEnd"/>
      <w:r w:rsidRPr="00925F26">
        <w:rPr>
          <w:color w:val="000000" w:themeColor="text1"/>
          <w:sz w:val="16"/>
          <w:szCs w:val="16"/>
        </w:rPr>
        <w:t xml:space="preserve"> 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0F5689" w:rsidRPr="00925F26" w14:paraId="56C9E989" w14:textId="77777777">
        <w:tc>
          <w:tcPr>
            <w:tcW w:w="4261" w:type="dxa"/>
          </w:tcPr>
          <w:p w14:paraId="46FED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Масса пустого самолета, кг</w:t>
            </w:r>
          </w:p>
        </w:tc>
        <w:tc>
          <w:tcPr>
            <w:tcW w:w="4261" w:type="dxa"/>
          </w:tcPr>
          <w:p w14:paraId="3942E7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r>
      <w:tr w:rsidR="000F5689" w:rsidRPr="00925F26" w14:paraId="00500FAC" w14:textId="77777777">
        <w:tc>
          <w:tcPr>
            <w:tcW w:w="4261" w:type="dxa"/>
          </w:tcPr>
          <w:p w14:paraId="1B1121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Нормальная полетная масса, кг</w:t>
            </w:r>
          </w:p>
        </w:tc>
        <w:tc>
          <w:tcPr>
            <w:tcW w:w="4261" w:type="dxa"/>
          </w:tcPr>
          <w:p w14:paraId="7B4AD1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r>
      <w:tr w:rsidR="000F5689" w:rsidRPr="00925F26" w14:paraId="300290D5" w14:textId="77777777">
        <w:tc>
          <w:tcPr>
            <w:tcW w:w="4261" w:type="dxa"/>
          </w:tcPr>
          <w:p w14:paraId="1A75F6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Перегрузочная масса, кг</w:t>
            </w:r>
          </w:p>
        </w:tc>
        <w:tc>
          <w:tcPr>
            <w:tcW w:w="4261" w:type="dxa"/>
          </w:tcPr>
          <w:p w14:paraId="3A74DB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r>
      <w:tr w:rsidR="000F5689" w:rsidRPr="00925F26" w14:paraId="01441281" w14:textId="77777777">
        <w:tc>
          <w:tcPr>
            <w:tcW w:w="4261" w:type="dxa"/>
          </w:tcPr>
          <w:p w14:paraId="6D7B14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топливных баков, л</w:t>
            </w:r>
          </w:p>
        </w:tc>
        <w:tc>
          <w:tcPr>
            <w:tcW w:w="4261" w:type="dxa"/>
          </w:tcPr>
          <w:p w14:paraId="25D897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r>
      <w:tr w:rsidR="000F5689" w:rsidRPr="00925F26" w14:paraId="0D8E33EA" w14:textId="77777777">
        <w:tc>
          <w:tcPr>
            <w:tcW w:w="4261" w:type="dxa"/>
          </w:tcPr>
          <w:p w14:paraId="2B8684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чел.</w:t>
            </w:r>
          </w:p>
        </w:tc>
        <w:tc>
          <w:tcPr>
            <w:tcW w:w="4261" w:type="dxa"/>
          </w:tcPr>
          <w:p w14:paraId="62951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r>
      <w:tr w:rsidR="000F5689" w:rsidRPr="00925F26" w14:paraId="3BC3DC09" w14:textId="77777777">
        <w:tc>
          <w:tcPr>
            <w:tcW w:w="4261" w:type="dxa"/>
          </w:tcPr>
          <w:p w14:paraId="236A55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км/ч у земли</w:t>
            </w:r>
          </w:p>
        </w:tc>
        <w:tc>
          <w:tcPr>
            <w:tcW w:w="4261" w:type="dxa"/>
          </w:tcPr>
          <w:p w14:paraId="416E33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r>
      <w:tr w:rsidR="000F5689" w:rsidRPr="00925F26" w14:paraId="50013ACC" w14:textId="77777777">
        <w:tc>
          <w:tcPr>
            <w:tcW w:w="4261" w:type="dxa"/>
          </w:tcPr>
          <w:p w14:paraId="63DD21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6000 м</w:t>
            </w:r>
          </w:p>
        </w:tc>
        <w:tc>
          <w:tcPr>
            <w:tcW w:w="4261" w:type="dxa"/>
          </w:tcPr>
          <w:p w14:paraId="354FC3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r>
      <w:tr w:rsidR="000F5689" w:rsidRPr="00925F26" w14:paraId="6021A34E" w14:textId="77777777">
        <w:tc>
          <w:tcPr>
            <w:tcW w:w="4261" w:type="dxa"/>
          </w:tcPr>
          <w:p w14:paraId="5A397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4261" w:type="dxa"/>
          </w:tcPr>
          <w:p w14:paraId="6A7686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r>
      <w:tr w:rsidR="000F5689" w:rsidRPr="00925F26" w14:paraId="2D401760" w14:textId="77777777">
        <w:tc>
          <w:tcPr>
            <w:tcW w:w="4261" w:type="dxa"/>
          </w:tcPr>
          <w:p w14:paraId="0582D6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Бремя подъема, мин на высоту 5000м</w:t>
            </w:r>
          </w:p>
        </w:tc>
        <w:tc>
          <w:tcPr>
            <w:tcW w:w="4261" w:type="dxa"/>
          </w:tcPr>
          <w:p w14:paraId="076448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w:t>
            </w:r>
          </w:p>
        </w:tc>
      </w:tr>
      <w:tr w:rsidR="000F5689" w:rsidRPr="00925F26" w14:paraId="77818B47" w14:textId="77777777">
        <w:tc>
          <w:tcPr>
            <w:tcW w:w="4261" w:type="dxa"/>
          </w:tcPr>
          <w:p w14:paraId="0ECD82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 км</w:t>
            </w:r>
          </w:p>
        </w:tc>
        <w:tc>
          <w:tcPr>
            <w:tcW w:w="4261" w:type="dxa"/>
          </w:tcPr>
          <w:p w14:paraId="7D1A5D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r>
      <w:tr w:rsidR="000F5689" w:rsidRPr="00925F26" w14:paraId="2A413C96" w14:textId="77777777">
        <w:tc>
          <w:tcPr>
            <w:tcW w:w="4261" w:type="dxa"/>
          </w:tcPr>
          <w:p w14:paraId="3FC921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м</w:t>
            </w:r>
          </w:p>
        </w:tc>
        <w:tc>
          <w:tcPr>
            <w:tcW w:w="4261" w:type="dxa"/>
          </w:tcPr>
          <w:p w14:paraId="220B6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r>
      <w:tr w:rsidR="000F5689" w:rsidRPr="00925F26" w14:paraId="65A130B1" w14:textId="77777777">
        <w:tc>
          <w:tcPr>
            <w:tcW w:w="4261" w:type="dxa"/>
          </w:tcPr>
          <w:p w14:paraId="23BE0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пробега, м</w:t>
            </w:r>
          </w:p>
        </w:tc>
        <w:tc>
          <w:tcPr>
            <w:tcW w:w="4261" w:type="dxa"/>
          </w:tcPr>
          <w:p w14:paraId="4C3699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r>
      <w:tr w:rsidR="000F5689" w:rsidRPr="00925F26" w14:paraId="4F1210A5" w14:textId="77777777">
        <w:tc>
          <w:tcPr>
            <w:tcW w:w="4261" w:type="dxa"/>
          </w:tcPr>
          <w:p w14:paraId="73D5E2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 км/ч</w:t>
            </w:r>
          </w:p>
        </w:tc>
        <w:tc>
          <w:tcPr>
            <w:tcW w:w="4261" w:type="dxa"/>
          </w:tcPr>
          <w:p w14:paraId="6F5947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r>
    </w:tbl>
    <w:p w14:paraId="03156D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 была получена по результатам контрольного полета для полетной массы 35500 кг, при массе топлива 9150 кг.</w:t>
      </w:r>
    </w:p>
    <w:p w14:paraId="681770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Получить на испытаниях максимальную дальность не удалось из-за выбрасывания масла в полете через дренаж.</w:t>
      </w:r>
    </w:p>
    <w:p w14:paraId="664452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66253F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 Что стало в дальнейшем с этими машинами, сейчас, по прошествии почти 60-ти лет, установить доподлинно трудно. Главный конструктор И.Ф.Незваль утверждает, что о дальнейшей судьбе машин ему ничего не известно. В то же время в годовом отчете ОКБ при заводе №22 за 1945 год в разделе "Модификация самолета Пе-8 с моторами АЧ-ЗОБ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 Н. Туполева по проекту Б-4 (Ту-4), хотя все остальные работы с Незваля во втором полугодии были сняты (7685).</w:t>
      </w:r>
    </w:p>
    <w:p w14:paraId="3E10133F" w14:textId="77777777" w:rsidR="00665165" w:rsidRPr="00925F26" w:rsidRDefault="00665165" w:rsidP="00925F26">
      <w:pPr>
        <w:autoSpaceDE w:val="0"/>
        <w:autoSpaceDN w:val="0"/>
        <w:adjustRightInd w:val="0"/>
        <w:jc w:val="both"/>
        <w:rPr>
          <w:color w:val="000000" w:themeColor="text1"/>
          <w:sz w:val="16"/>
          <w:szCs w:val="16"/>
        </w:rPr>
      </w:pPr>
    </w:p>
    <w:p w14:paraId="09BF2B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марта до конца мая 1945 проходили государственные испытания второго Пе-8ОН в ГК НИИ ВВС.</w:t>
      </w:r>
    </w:p>
    <w:p w14:paraId="05F209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31542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ВВС гма А.А.Новиков утвердил 5 июня 1945</w:t>
      </w:r>
    </w:p>
    <w:p w14:paraId="050633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59E712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10BFA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22B8F6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2CD2EA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326C93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A5EF4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77D909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5C5282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64687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5C257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5B99E9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3A9E9B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71CAEC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10DDB2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2410C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31F50B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20BDF2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321CD2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16B9BF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6EE266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7E72F4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1B23F1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4CE218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18C425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37EAAF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416E75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45A040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2FCE6A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1CDFB0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Шиманову</w:t>
      </w:r>
    </w:p>
    <w:p w14:paraId="4C8A26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6AE4AF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622600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66ED2A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338642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40A1F7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20AD05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28A9EA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а) плохая работа РПД (не обеспечивается поддержка наддува). Заменено 6 РПД по различным причинам</w:t>
      </w:r>
    </w:p>
    <w:p w14:paraId="1995F6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291DBF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754A49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3DE56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23DCD0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692509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4CDF3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B022F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0DD6A4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7E61A2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66343A39" w14:textId="77777777">
        <w:tc>
          <w:tcPr>
            <w:tcW w:w="4219" w:type="dxa"/>
            <w:tcBorders>
              <w:top w:val="single" w:sz="12" w:space="0" w:color="auto"/>
            </w:tcBorders>
          </w:tcPr>
          <w:p w14:paraId="0293BB0D" w14:textId="77777777" w:rsidR="00665165" w:rsidRPr="00925F26" w:rsidRDefault="00665165"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787B96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3856D4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761D89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1C231325" w14:textId="77777777">
        <w:tc>
          <w:tcPr>
            <w:tcW w:w="4219" w:type="dxa"/>
          </w:tcPr>
          <w:p w14:paraId="7CAA8A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35A087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6A757F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389DE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2069F232" w14:textId="77777777">
        <w:tc>
          <w:tcPr>
            <w:tcW w:w="4219" w:type="dxa"/>
          </w:tcPr>
          <w:p w14:paraId="08A23B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52D43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31F55B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2CCF1B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0B4935D2" w14:textId="77777777">
        <w:tc>
          <w:tcPr>
            <w:tcW w:w="4219" w:type="dxa"/>
          </w:tcPr>
          <w:p w14:paraId="1B7D2B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2BFB98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6E2305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509550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03AF889F" w14:textId="77777777">
        <w:tc>
          <w:tcPr>
            <w:tcW w:w="4219" w:type="dxa"/>
          </w:tcPr>
          <w:p w14:paraId="12A264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7AE31C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75B64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6BFDD3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090B9F7F" w14:textId="77777777">
        <w:tc>
          <w:tcPr>
            <w:tcW w:w="4219" w:type="dxa"/>
          </w:tcPr>
          <w:p w14:paraId="0018E2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55B05F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6A3C47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2592BA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3BCF578B" w14:textId="77777777">
        <w:tc>
          <w:tcPr>
            <w:tcW w:w="4219" w:type="dxa"/>
          </w:tcPr>
          <w:p w14:paraId="1DF290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7DA4D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39208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3112D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5C475E38" w14:textId="77777777">
        <w:tc>
          <w:tcPr>
            <w:tcW w:w="4219" w:type="dxa"/>
          </w:tcPr>
          <w:p w14:paraId="1C5E48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68137B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4E6A7C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6636B8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6A4F36E9" w14:textId="77777777">
        <w:tc>
          <w:tcPr>
            <w:tcW w:w="4219" w:type="dxa"/>
          </w:tcPr>
          <w:p w14:paraId="38F664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5F7C90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48B0F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487C79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4205F9C9" w14:textId="77777777">
        <w:tc>
          <w:tcPr>
            <w:tcW w:w="4219" w:type="dxa"/>
          </w:tcPr>
          <w:p w14:paraId="7BFA87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551BC1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24DF47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24B4AA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759196F5" w14:textId="77777777">
        <w:tc>
          <w:tcPr>
            <w:tcW w:w="4219" w:type="dxa"/>
          </w:tcPr>
          <w:p w14:paraId="7A4C5C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5E8760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0A8CA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51F9C1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3E1F2E18" w14:textId="77777777">
        <w:tc>
          <w:tcPr>
            <w:tcW w:w="4219" w:type="dxa"/>
          </w:tcPr>
          <w:p w14:paraId="6D592A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10BFF6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2F5D4E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298DC0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4B99FC3C" w14:textId="77777777">
        <w:tc>
          <w:tcPr>
            <w:tcW w:w="4219" w:type="dxa"/>
          </w:tcPr>
          <w:p w14:paraId="4D3813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7B56C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4BD190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41A755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1CA1B252" w14:textId="77777777">
        <w:tc>
          <w:tcPr>
            <w:tcW w:w="4219" w:type="dxa"/>
          </w:tcPr>
          <w:p w14:paraId="6D6E6E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408963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71BBD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4EDA02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6D992D08" w14:textId="77777777">
        <w:tc>
          <w:tcPr>
            <w:tcW w:w="4219" w:type="dxa"/>
          </w:tcPr>
          <w:p w14:paraId="0242C3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564D9C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7A8832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55FD32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5B267CCB" w14:textId="77777777">
        <w:tc>
          <w:tcPr>
            <w:tcW w:w="4219" w:type="dxa"/>
          </w:tcPr>
          <w:p w14:paraId="28617D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3F071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0E7CD6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6640B3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0CD7722C" w14:textId="77777777">
        <w:tc>
          <w:tcPr>
            <w:tcW w:w="4219" w:type="dxa"/>
          </w:tcPr>
          <w:p w14:paraId="6E8E61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673E1D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55080A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308C2E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0A29A94C" w14:textId="77777777">
        <w:tc>
          <w:tcPr>
            <w:tcW w:w="4219" w:type="dxa"/>
          </w:tcPr>
          <w:p w14:paraId="4043AD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7F61A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6191E2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34A071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66C908BB" w14:textId="77777777">
        <w:tc>
          <w:tcPr>
            <w:tcW w:w="4219" w:type="dxa"/>
            <w:tcBorders>
              <w:bottom w:val="single" w:sz="12" w:space="0" w:color="auto"/>
            </w:tcBorders>
          </w:tcPr>
          <w:p w14:paraId="7B507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5919F0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5331E2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3BB9ED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4960E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248E7E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0986AB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E68E5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692CD9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621C308C" w14:textId="77777777">
        <w:tc>
          <w:tcPr>
            <w:tcW w:w="675" w:type="dxa"/>
            <w:tcBorders>
              <w:top w:val="single" w:sz="12" w:space="0" w:color="auto"/>
            </w:tcBorders>
          </w:tcPr>
          <w:p w14:paraId="78AA4B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38205D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4CABE6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79B68B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6B060C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6B60FC52" w14:textId="77777777">
        <w:tc>
          <w:tcPr>
            <w:tcW w:w="675" w:type="dxa"/>
          </w:tcPr>
          <w:p w14:paraId="6E7F5508" w14:textId="77777777" w:rsidR="00665165" w:rsidRPr="00925F26" w:rsidRDefault="00665165" w:rsidP="00925F26">
            <w:pPr>
              <w:autoSpaceDE w:val="0"/>
              <w:autoSpaceDN w:val="0"/>
              <w:adjustRightInd w:val="0"/>
              <w:jc w:val="both"/>
              <w:rPr>
                <w:color w:val="000000" w:themeColor="text1"/>
                <w:sz w:val="16"/>
                <w:szCs w:val="16"/>
              </w:rPr>
            </w:pPr>
          </w:p>
        </w:tc>
        <w:tc>
          <w:tcPr>
            <w:tcW w:w="993" w:type="dxa"/>
          </w:tcPr>
          <w:p w14:paraId="25EDFC82"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35FCD095"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EDAB74D"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67B6D04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5E36D43" w14:textId="77777777">
        <w:tc>
          <w:tcPr>
            <w:tcW w:w="675" w:type="dxa"/>
          </w:tcPr>
          <w:p w14:paraId="02BCCF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206D4E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1C6590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F70C8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24CCF5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0769743D" w14:textId="77777777">
        <w:tc>
          <w:tcPr>
            <w:tcW w:w="675" w:type="dxa"/>
          </w:tcPr>
          <w:p w14:paraId="60E391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15511C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63B8E4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471D84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526F00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48EF0412" w14:textId="77777777">
        <w:tc>
          <w:tcPr>
            <w:tcW w:w="675" w:type="dxa"/>
          </w:tcPr>
          <w:p w14:paraId="739D0B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6AD2B2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301091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6B018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2CB8CF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5293898B" w14:textId="77777777">
        <w:tc>
          <w:tcPr>
            <w:tcW w:w="675" w:type="dxa"/>
          </w:tcPr>
          <w:p w14:paraId="147C13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770A19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5987C3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487489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39D59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145E65AB" w14:textId="77777777">
        <w:tc>
          <w:tcPr>
            <w:tcW w:w="675" w:type="dxa"/>
          </w:tcPr>
          <w:p w14:paraId="011069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6DB86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57211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AA0EE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7AD9E6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2C5EE943" w14:textId="77777777">
        <w:tc>
          <w:tcPr>
            <w:tcW w:w="675" w:type="dxa"/>
          </w:tcPr>
          <w:p w14:paraId="046F17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34DED2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634E86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56912D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1A82F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495631DB" w14:textId="77777777">
        <w:tc>
          <w:tcPr>
            <w:tcW w:w="675" w:type="dxa"/>
          </w:tcPr>
          <w:p w14:paraId="50277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1445A3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4EA72A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E071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718654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573B1912" w14:textId="77777777">
        <w:tc>
          <w:tcPr>
            <w:tcW w:w="675" w:type="dxa"/>
          </w:tcPr>
          <w:p w14:paraId="0AC37D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08B229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35FF83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266593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21D3D9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5DEB05AA" w14:textId="77777777">
        <w:tc>
          <w:tcPr>
            <w:tcW w:w="675" w:type="dxa"/>
            <w:tcBorders>
              <w:bottom w:val="single" w:sz="12" w:space="0" w:color="auto"/>
            </w:tcBorders>
          </w:tcPr>
          <w:p w14:paraId="113DB4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074A76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4EB296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3450FE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224C23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1C4542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5DBFEFC7" w14:textId="77777777">
        <w:tc>
          <w:tcPr>
            <w:tcW w:w="1868" w:type="dxa"/>
            <w:tcBorders>
              <w:top w:val="single" w:sz="12" w:space="0" w:color="auto"/>
            </w:tcBorders>
          </w:tcPr>
          <w:p w14:paraId="28179F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2D4FB2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6576CB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197142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2905BD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5C3928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17E596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026EFD83" w14:textId="77777777">
        <w:tc>
          <w:tcPr>
            <w:tcW w:w="1868" w:type="dxa"/>
          </w:tcPr>
          <w:p w14:paraId="275E8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70CF9B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677BF7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19CDD3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0835B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FD6F3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44476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28B146D8" w14:textId="77777777">
        <w:tc>
          <w:tcPr>
            <w:tcW w:w="1868" w:type="dxa"/>
          </w:tcPr>
          <w:p w14:paraId="77002E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5D0C9E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482420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2D04F8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32C457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315881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2B604E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77D3E7CC" w14:textId="77777777">
        <w:tc>
          <w:tcPr>
            <w:tcW w:w="1868" w:type="dxa"/>
          </w:tcPr>
          <w:p w14:paraId="33F78F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75" w:type="dxa"/>
          </w:tcPr>
          <w:p w14:paraId="3B5B5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3B0830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4438D6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53922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96B0E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0B05C7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7FAC63E4" w14:textId="77777777">
        <w:tc>
          <w:tcPr>
            <w:tcW w:w="1868" w:type="dxa"/>
          </w:tcPr>
          <w:p w14:paraId="177084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52926B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5638C2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5A820B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49F131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45142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303516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17E66FA1" w14:textId="77777777">
        <w:tc>
          <w:tcPr>
            <w:tcW w:w="1868" w:type="dxa"/>
          </w:tcPr>
          <w:p w14:paraId="138121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5BF4F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60F5DB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52F068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6BE6BA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D98B6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36A2A0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71EB34F7" w14:textId="77777777">
        <w:tc>
          <w:tcPr>
            <w:tcW w:w="1868" w:type="dxa"/>
          </w:tcPr>
          <w:p w14:paraId="7E5532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2573D0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66FF8B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7493F4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6B24B0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99B9F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624AFD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4897FE7E" w14:textId="77777777">
        <w:tc>
          <w:tcPr>
            <w:tcW w:w="1868" w:type="dxa"/>
          </w:tcPr>
          <w:p w14:paraId="675BED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4CAF64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7F9E4C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76EB5A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3DEB3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46325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6A9DF3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0EBA56DF" w14:textId="77777777">
        <w:tc>
          <w:tcPr>
            <w:tcW w:w="1868" w:type="dxa"/>
          </w:tcPr>
          <w:p w14:paraId="0A0AF8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61EDE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7E84AD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42FC0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5910FF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7C1EFF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4C3E57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323CB281" w14:textId="77777777">
        <w:tc>
          <w:tcPr>
            <w:tcW w:w="1868" w:type="dxa"/>
            <w:tcBorders>
              <w:bottom w:val="single" w:sz="12" w:space="0" w:color="auto"/>
            </w:tcBorders>
          </w:tcPr>
          <w:p w14:paraId="1DA359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1EBB5D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1502F9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2E37BA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2B0BA9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797F3B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21075B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5D98BB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Высотности - 1850 м, скор. 5,7, 2-я гр. Высотности - 5500, скор. 3,15</w:t>
      </w:r>
    </w:p>
    <w:p w14:paraId="476B9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053A56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2A0D7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61E9C096"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5F8E24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6B2176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7DC670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40E155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29 мая 1945 (1000,3).</w:t>
      </w:r>
    </w:p>
    <w:p w14:paraId="1F9B617B" w14:textId="77777777" w:rsidR="00665165" w:rsidRPr="00925F26" w:rsidRDefault="00665165" w:rsidP="00925F26">
      <w:pPr>
        <w:autoSpaceDE w:val="0"/>
        <w:autoSpaceDN w:val="0"/>
        <w:adjustRightInd w:val="0"/>
        <w:jc w:val="both"/>
        <w:rPr>
          <w:color w:val="000000" w:themeColor="text1"/>
          <w:sz w:val="16"/>
          <w:szCs w:val="16"/>
        </w:rPr>
      </w:pPr>
    </w:p>
    <w:p w14:paraId="26F777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проходили гос. испытания Ту-2 2 АШ-82ФН с винтами АВ-5В-37 N 16/7 производства 23 завода. Вед. ли М.А.Нюхтиков, М.П.Субботин. Увеличилась скорость, но и разбег и рекомендации ЦАГИ по замене винта не оправдались (807,5).</w:t>
      </w:r>
    </w:p>
    <w:p w14:paraId="7E9F704F" w14:textId="77777777" w:rsidR="00665165" w:rsidRPr="00925F26" w:rsidRDefault="00665165" w:rsidP="00925F26">
      <w:pPr>
        <w:autoSpaceDE w:val="0"/>
        <w:autoSpaceDN w:val="0"/>
        <w:adjustRightInd w:val="0"/>
        <w:jc w:val="both"/>
        <w:rPr>
          <w:color w:val="000000" w:themeColor="text1"/>
          <w:sz w:val="16"/>
          <w:szCs w:val="16"/>
        </w:rPr>
      </w:pPr>
    </w:p>
    <w:p w14:paraId="45A47C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проходили гос. испытания Ту-2 2 АШ-82ФН с винтами АВ-5В-37 N 16/7 производства 23 завода</w:t>
      </w:r>
    </w:p>
    <w:p w14:paraId="523D1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Лосюков и Сафронов подписали Отчет по гос. испытаниям Ту-2 2 АШ-82ФН с винтами АВ-5В-37 N 16/7 производства 23 завода, которые проходили в марте-апреле 1945</w:t>
      </w:r>
    </w:p>
    <w:p w14:paraId="0B9EDC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688C89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В.А.Шубранов</w:t>
      </w:r>
    </w:p>
    <w:p w14:paraId="727514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 М.А.Нюхтиков</w:t>
      </w:r>
    </w:p>
    <w:p w14:paraId="10A11D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м-р М.П.Субботин</w:t>
      </w:r>
    </w:p>
    <w:p w14:paraId="0FEB8E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5AD1C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госиспытаниях этих винтов в марте 1945 получено увеличение скорости от 11 до 15 км/ча, но разбег с-та увеличился на 120 м.</w:t>
      </w:r>
    </w:p>
    <w:p w14:paraId="3E0790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Ввиду этого этот винт не был рекомендован</w:t>
      </w:r>
    </w:p>
    <w:p w14:paraId="433F7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уменьшения длины разбега при сохранении макс. скорости ЦАГИ предложен для Ту-2 с 2АШ-82ФН новые винты АВ-5В-37 диаметром 3,6 м.</w:t>
      </w:r>
    </w:p>
    <w:p w14:paraId="74460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испытаний и эти винты не были рекомендованы, как значительно ухудшившие взлетные свойства с-та.</w:t>
      </w:r>
    </w:p>
    <w:p w14:paraId="3D171E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винтами серийными АВ-5В-167А в марте 1945 были получены:</w:t>
      </w:r>
    </w:p>
    <w:p w14:paraId="3AF147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- 477 км/час</w:t>
      </w:r>
    </w:p>
    <w:p w14:paraId="554F40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высотности 2600 м - 530 км/час</w:t>
      </w:r>
    </w:p>
    <w:p w14:paraId="5C5CDA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 высотности 5700 м - 544 км/час</w:t>
      </w:r>
    </w:p>
    <w:p w14:paraId="712AF1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- 9,3</w:t>
      </w:r>
    </w:p>
    <w:p w14:paraId="178081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9650 м, время набора - 38</w:t>
      </w:r>
    </w:p>
    <w:p w14:paraId="37E9E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- 690 м</w:t>
      </w:r>
    </w:p>
    <w:p w14:paraId="230C0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режим - обороты - 2500, Рк 1180.</w:t>
      </w:r>
    </w:p>
    <w:p w14:paraId="1FBCC6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12720 кг</w:t>
      </w:r>
    </w:p>
    <w:p w14:paraId="2817E9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отрыва 190 км/час (807,5).</w:t>
      </w:r>
    </w:p>
    <w:p w14:paraId="3866AF65" w14:textId="77777777" w:rsidR="00665165" w:rsidRPr="00925F26" w:rsidRDefault="00665165" w:rsidP="00925F26">
      <w:pPr>
        <w:autoSpaceDE w:val="0"/>
        <w:autoSpaceDN w:val="0"/>
        <w:adjustRightInd w:val="0"/>
        <w:jc w:val="both"/>
        <w:rPr>
          <w:color w:val="000000" w:themeColor="text1"/>
          <w:sz w:val="16"/>
          <w:szCs w:val="16"/>
        </w:rPr>
      </w:pPr>
    </w:p>
    <w:p w14:paraId="566376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проводились летные испытания в планерном варианте оставшихся Би (Би-5 и Би-6) за В-25J. Би-5 был на лыжном, а Би-6 - на колесном шасси. Проверяли, почему наблюдалась вибрация хвостового оперения Би-7, у которого на моторном капоте были обтекатели пусковых устройств (1107,80).</w:t>
      </w:r>
    </w:p>
    <w:p w14:paraId="40D470A0" w14:textId="77777777" w:rsidR="00665165" w:rsidRPr="00925F26" w:rsidRDefault="00665165" w:rsidP="00925F26">
      <w:pPr>
        <w:autoSpaceDE w:val="0"/>
        <w:autoSpaceDN w:val="0"/>
        <w:adjustRightInd w:val="0"/>
        <w:jc w:val="both"/>
        <w:rPr>
          <w:color w:val="000000" w:themeColor="text1"/>
          <w:sz w:val="16"/>
          <w:szCs w:val="16"/>
        </w:rPr>
      </w:pPr>
    </w:p>
    <w:p w14:paraId="30F190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 апреле 1945 на стенде испытывался АМ-45 вместе со специально спроектированным двухступенчатым четырехскоростным нагнетателем для АМ-45. М-45 (АМ-45) - дальнейшее развитие АМ-44 с двухступенчатым ПЦН, интеркулером и непосредственным впрыском. 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3E4636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Характеристики:</w:t>
      </w:r>
    </w:p>
    <w:p w14:paraId="26A76C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диаметр цилиндра/ход поршня 160/190 (в цилиндрах с прицепными шатунами 196,8) мм;</w:t>
      </w:r>
    </w:p>
    <w:p w14:paraId="7FF3B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объем 46,66 л;</w:t>
      </w:r>
    </w:p>
    <w:p w14:paraId="442799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мощность и вес в зависимости от модификации;</w:t>
      </w:r>
    </w:p>
    <w:p w14:paraId="3E40AF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запуск сжатым воздухом.</w:t>
      </w:r>
    </w:p>
    <w:p w14:paraId="52A775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Известны три модификации:</w:t>
      </w:r>
    </w:p>
    <w:p w14:paraId="7D5261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925F26">
        <w:rPr>
          <w:color w:val="000000" w:themeColor="text1"/>
          <w:sz w:val="16"/>
          <w:szCs w:val="16"/>
        </w:rPr>
        <w:softHyphen/>
        <w:t>ные испытания.</w:t>
      </w:r>
    </w:p>
    <w:p w14:paraId="5C79DE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4A5D68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АМ-45Ш, 2400/3000 л.с. Изготовлен в двух экземплярах в 1948 г., проходил заводские испытания.</w:t>
      </w:r>
    </w:p>
    <w:p w14:paraId="7C83A2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Существовал проект модификации Ил-10 с этим двигателем (11852).</w:t>
      </w:r>
    </w:p>
    <w:p w14:paraId="60F1B9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46CB1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г. на стенде в ЦИАМ испытывали специально проектированный двухступенчатый четырехскоростной нагнетатель Э-174, который предназначался для М-45. 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 (11934).</w:t>
      </w:r>
    </w:p>
    <w:p w14:paraId="48EE2020" w14:textId="77777777" w:rsidR="00665165" w:rsidRPr="00925F26" w:rsidRDefault="00665165" w:rsidP="00925F26">
      <w:pPr>
        <w:autoSpaceDE w:val="0"/>
        <w:autoSpaceDN w:val="0"/>
        <w:adjustRightInd w:val="0"/>
        <w:jc w:val="both"/>
        <w:rPr>
          <w:color w:val="000000" w:themeColor="text1"/>
          <w:sz w:val="16"/>
          <w:szCs w:val="16"/>
        </w:rPr>
      </w:pPr>
    </w:p>
    <w:p w14:paraId="725341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 мае 1945 г. ВК-107Р летал на самолете И-250 («Н»), а в апреле — июле того же года — на И-107 (Су-5). ВК-107Р выпускался серийно на заводе № 466 (с по</w:t>
      </w:r>
      <w:r w:rsidRPr="00925F26">
        <w:rPr>
          <w:color w:val="000000" w:themeColor="text1"/>
          <w:sz w:val="16"/>
          <w:szCs w:val="16"/>
        </w:rPr>
        <w:softHyphen/>
        <w:t>ставкой моторов ВК-107А с завода № 26) со второй половины 1945 г. для истребителей И-250 (11852).</w:t>
      </w:r>
    </w:p>
    <w:p w14:paraId="7F12BE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1417B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6DE4502" w14:textId="77777777" w:rsidR="00665165" w:rsidRPr="00925F26" w:rsidRDefault="00665165" w:rsidP="00925F26">
      <w:pPr>
        <w:autoSpaceDE w:val="0"/>
        <w:autoSpaceDN w:val="0"/>
        <w:adjustRightInd w:val="0"/>
        <w:jc w:val="both"/>
        <w:rPr>
          <w:iCs/>
          <w:color w:val="000000" w:themeColor="text1"/>
          <w:sz w:val="16"/>
          <w:szCs w:val="16"/>
        </w:rPr>
      </w:pPr>
    </w:p>
    <w:p w14:paraId="280A37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 апреле 1945 г. на НИБТ полигоне в Кубинке были проведены дополнительные ходовые испытания танка "Объект 701" в тяжелых дорожных условиях (10703).</w:t>
      </w:r>
    </w:p>
    <w:p w14:paraId="2B0B26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5E278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 апреле 1945 г. были проведены дополнительные полигон</w:t>
      </w:r>
      <w:r w:rsidRPr="00925F26">
        <w:rPr>
          <w:color w:val="000000" w:themeColor="text1"/>
          <w:sz w:val="16"/>
          <w:szCs w:val="16"/>
        </w:rPr>
        <w:softHyphen/>
        <w:t>ные испытания танка "Объект 701" № 6 в тяжелых дорожных условиях. По результатам испытаний комиссия повторно рекомендовала тяжелый танк "Объект 701" для принятия на вооружение Красной Армии. Вслед</w:t>
      </w:r>
      <w:r w:rsidRPr="00925F26">
        <w:rPr>
          <w:color w:val="000000" w:themeColor="text1"/>
          <w:sz w:val="16"/>
          <w:szCs w:val="16"/>
        </w:rPr>
        <w:softHyphen/>
        <w:t>ствие несвоевременной и неполной отработанности чертежей машины на ЧКЗ, а также отсутствия на заводе необходимой производственной и контрольно-мерительной оснастки, освоение серийного производства нового танка затянулось до конца 1946 г. (10703).</w:t>
      </w:r>
    </w:p>
    <w:p w14:paraId="3C318A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38989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марта - апреля 1945 г. завод усиленно работал над изготов</w:t>
      </w:r>
      <w:r w:rsidRPr="00925F26">
        <w:rPr>
          <w:color w:val="000000" w:themeColor="text1"/>
          <w:sz w:val="16"/>
          <w:szCs w:val="16"/>
        </w:rPr>
        <w:softHyphen/>
        <w:t>лением двух опытных образцов САУ "Уралмаш-1", причем на одном из них была установлена 100-мм пушка Д-10С (машина имела индекс СУ-101), на втором - 122-мм пушка Д-25 (машина имела индекс СУ-102). К моменту окончания войны были изготовлены оба опытных образ</w:t>
      </w:r>
      <w:r w:rsidRPr="00925F26">
        <w:rPr>
          <w:color w:val="000000" w:themeColor="text1"/>
          <w:sz w:val="16"/>
          <w:szCs w:val="16"/>
        </w:rPr>
        <w:softHyphen/>
        <w:t>ца и отдельно корпус САУ для определения его снарядостойкости. Все</w:t>
      </w:r>
      <w:r w:rsidRPr="00925F26">
        <w:rPr>
          <w:color w:val="000000" w:themeColor="text1"/>
          <w:sz w:val="16"/>
          <w:szCs w:val="16"/>
        </w:rPr>
        <w:softHyphen/>
        <w:t>сторонние испытания и доработка машин проводилась уже после окон</w:t>
      </w:r>
      <w:r w:rsidRPr="00925F26">
        <w:rPr>
          <w:color w:val="000000" w:themeColor="text1"/>
          <w:sz w:val="16"/>
          <w:szCs w:val="16"/>
        </w:rPr>
        <w:softHyphen/>
        <w:t>чания Великой Отечественной войны (10703).</w:t>
      </w:r>
    </w:p>
    <w:p w14:paraId="5E60AA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C9E2361" w14:textId="77777777" w:rsidR="0085285E" w:rsidRPr="001A0BAA" w:rsidRDefault="0085285E" w:rsidP="0085285E">
      <w:pPr>
        <w:jc w:val="both"/>
        <w:rPr>
          <w:color w:val="0070C0"/>
          <w:sz w:val="16"/>
          <w:szCs w:val="16"/>
        </w:rPr>
      </w:pPr>
      <w:r w:rsidRPr="001A0BAA">
        <w:rPr>
          <w:color w:val="0070C0"/>
          <w:sz w:val="16"/>
          <w:szCs w:val="16"/>
        </w:rPr>
        <w:t>В течение марта — апреля 1945 года ве</w:t>
      </w:r>
      <w:r w:rsidRPr="001A0BAA">
        <w:rPr>
          <w:color w:val="0070C0"/>
          <w:sz w:val="16"/>
          <w:szCs w:val="16"/>
        </w:rPr>
        <w:softHyphen/>
        <w:t>лось изготовление двух опытных образцов САУ «Уралмаш-1», причем на одном из них, получившем индекс СУ-101, устанав</w:t>
      </w:r>
      <w:r w:rsidRPr="001A0BAA">
        <w:rPr>
          <w:color w:val="0070C0"/>
          <w:sz w:val="16"/>
          <w:szCs w:val="16"/>
        </w:rPr>
        <w:softHyphen/>
        <w:t>ливалась 100-мм пушка Д-10С, а на дру</w:t>
      </w:r>
      <w:r w:rsidRPr="001A0BAA">
        <w:rPr>
          <w:color w:val="0070C0"/>
          <w:sz w:val="16"/>
          <w:szCs w:val="16"/>
        </w:rPr>
        <w:softHyphen/>
        <w:t>гом, под индексом СУ-102, — 122-мм пушка Д-25С. К моменту окончания Великой Отечественной войны были изготовлены оба опытных образца и отдельно корпус САУ, для определения обстрелом его бронестойкости.</w:t>
      </w:r>
    </w:p>
    <w:p w14:paraId="59C04695" w14:textId="77777777" w:rsidR="0085285E" w:rsidRPr="001A0BAA" w:rsidRDefault="0085285E" w:rsidP="0085285E">
      <w:pPr>
        <w:jc w:val="both"/>
        <w:rPr>
          <w:color w:val="0070C0"/>
          <w:sz w:val="16"/>
          <w:szCs w:val="16"/>
        </w:rPr>
      </w:pPr>
      <w:r w:rsidRPr="001A0BAA">
        <w:rPr>
          <w:color w:val="0070C0"/>
          <w:sz w:val="16"/>
          <w:szCs w:val="16"/>
        </w:rPr>
        <w:t>Самоходная установка СУ-102 отлича</w:t>
      </w:r>
      <w:r w:rsidRPr="001A0BAA">
        <w:rPr>
          <w:color w:val="0070C0"/>
          <w:sz w:val="16"/>
          <w:szCs w:val="16"/>
        </w:rPr>
        <w:softHyphen/>
        <w:t>лась от СУ-101 только основным вооруже</w:t>
      </w:r>
      <w:r w:rsidRPr="001A0BAA">
        <w:rPr>
          <w:color w:val="0070C0"/>
          <w:sz w:val="16"/>
          <w:szCs w:val="16"/>
        </w:rPr>
        <w:softHyphen/>
        <w:t>нием. На ней была установлена 122-мм пушка Д-25С. Угол возвышения +18,5</w:t>
      </w:r>
      <w:r w:rsidRPr="001A0BAA">
        <w:rPr>
          <w:color w:val="0070C0"/>
          <w:sz w:val="16"/>
          <w:szCs w:val="16"/>
          <w:vertAlign w:val="superscript"/>
        </w:rPr>
        <w:t>о</w:t>
      </w:r>
      <w:r w:rsidRPr="001A0BAA">
        <w:rPr>
          <w:color w:val="0070C0"/>
          <w:sz w:val="16"/>
          <w:szCs w:val="16"/>
        </w:rPr>
        <w:t>, склонения —0</w:t>
      </w:r>
      <w:r w:rsidRPr="001A0BAA">
        <w:rPr>
          <w:color w:val="0070C0"/>
          <w:sz w:val="16"/>
          <w:szCs w:val="16"/>
          <w:vertAlign w:val="superscript"/>
        </w:rPr>
        <w:t>о</w:t>
      </w:r>
      <w:r w:rsidRPr="001A0BAA">
        <w:rPr>
          <w:color w:val="0070C0"/>
          <w:sz w:val="16"/>
          <w:szCs w:val="16"/>
        </w:rPr>
        <w:t>24’, горизонтальный сектор наведения 19</w:t>
      </w:r>
      <w:r w:rsidRPr="001A0BAA">
        <w:rPr>
          <w:color w:val="0070C0"/>
          <w:sz w:val="16"/>
          <w:szCs w:val="16"/>
          <w:vertAlign w:val="superscript"/>
        </w:rPr>
        <w:t>о</w:t>
      </w:r>
      <w:r w:rsidRPr="001A0BAA">
        <w:rPr>
          <w:color w:val="0070C0"/>
          <w:sz w:val="16"/>
          <w:szCs w:val="16"/>
        </w:rPr>
        <w:t>. Боекомплект — 28 выстре</w:t>
      </w:r>
      <w:r w:rsidRPr="001A0BAA">
        <w:rPr>
          <w:color w:val="0070C0"/>
          <w:sz w:val="16"/>
          <w:szCs w:val="16"/>
        </w:rPr>
        <w:softHyphen/>
        <w:t>лов раздельного заряжания. Масса маши</w:t>
      </w:r>
      <w:r w:rsidRPr="001A0BAA">
        <w:rPr>
          <w:color w:val="0070C0"/>
          <w:sz w:val="16"/>
          <w:szCs w:val="16"/>
        </w:rPr>
        <w:softHyphen/>
        <w:t>ны возросла незначительно и составила 34,8 т. (25002).</w:t>
      </w:r>
    </w:p>
    <w:p w14:paraId="4060B631" w14:textId="77777777" w:rsidR="0085285E" w:rsidRPr="001A0BAA" w:rsidRDefault="0085285E" w:rsidP="0085285E">
      <w:pPr>
        <w:jc w:val="both"/>
        <w:rPr>
          <w:color w:val="0070C0"/>
          <w:sz w:val="16"/>
          <w:szCs w:val="16"/>
        </w:rPr>
      </w:pPr>
    </w:p>
    <w:p w14:paraId="3D8B85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марте — апреле 1945 года после пока</w:t>
      </w:r>
      <w:r w:rsidRPr="00925F26">
        <w:rPr>
          <w:color w:val="000000" w:themeColor="text1"/>
          <w:sz w:val="16"/>
          <w:szCs w:val="16"/>
        </w:rPr>
        <w:softHyphen/>
        <w:t>за членам Правительства, танк Т-54 (первый образец) прошел ис</w:t>
      </w:r>
      <w:r w:rsidRPr="00925F26">
        <w:rPr>
          <w:color w:val="000000" w:themeColor="text1"/>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925F26">
        <w:rPr>
          <w:color w:val="000000" w:themeColor="text1"/>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925F26">
        <w:rPr>
          <w:color w:val="000000" w:themeColor="text1"/>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2C9B82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4D9C002" w14:textId="77777777" w:rsidR="00E23C2F" w:rsidRPr="00925F26" w:rsidRDefault="00E23C2F" w:rsidP="00925F26">
      <w:pPr>
        <w:shd w:val="clear" w:color="auto" w:fill="FFFFFF"/>
        <w:jc w:val="both"/>
        <w:rPr>
          <w:color w:val="000000" w:themeColor="text1"/>
          <w:sz w:val="16"/>
          <w:szCs w:val="16"/>
        </w:rPr>
      </w:pPr>
      <w:r w:rsidRPr="00925F26">
        <w:rPr>
          <w:color w:val="000000" w:themeColor="text1"/>
          <w:sz w:val="16"/>
          <w:szCs w:val="16"/>
        </w:rPr>
        <w:lastRenderedPageBreak/>
        <w:t>В течение марта-мая 1945 года испытания В-16Ф показали низкую надёжность двигателя. До уровня В-12 мотор даже не стали форсировать, а при форсировании до 600 лошадиных сил отмечалась масса дефектов. При мощности 520 лошадиных сил дефекты также имели место, да и для нового тяжёлого танка в таком виде он уже не годился. Дело в том, что в таком случае по мощности он даже чуть уступал серийному мотору В-2ИС. Работы по В-16 продолжились, окончательно из программы ИС-7 он исчез только к началу 1946 года, хотя к этому времени его конфигурация несколько изменилась (16735).</w:t>
      </w:r>
    </w:p>
    <w:p w14:paraId="10A7F3E8" w14:textId="77777777" w:rsidR="00E23C2F" w:rsidRPr="00925F26" w:rsidRDefault="00E23C2F" w:rsidP="00925F26">
      <w:pPr>
        <w:jc w:val="both"/>
        <w:rPr>
          <w:rStyle w:val="107"/>
          <w:rFonts w:eastAsiaTheme="minorHAnsi"/>
          <w:color w:val="000000" w:themeColor="text1"/>
          <w:sz w:val="16"/>
          <w:szCs w:val="16"/>
        </w:rPr>
      </w:pPr>
    </w:p>
    <w:p w14:paraId="1644C35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7064242" w14:textId="77777777" w:rsidR="00665165" w:rsidRPr="00925F26" w:rsidRDefault="00665165" w:rsidP="00925F26">
      <w:pPr>
        <w:autoSpaceDE w:val="0"/>
        <w:autoSpaceDN w:val="0"/>
        <w:adjustRightInd w:val="0"/>
        <w:jc w:val="both"/>
        <w:rPr>
          <w:iCs/>
          <w:color w:val="000000" w:themeColor="text1"/>
          <w:sz w:val="16"/>
          <w:szCs w:val="16"/>
        </w:rPr>
      </w:pPr>
    </w:p>
    <w:p w14:paraId="7628C8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г. еще не до конца подготовленную польскую бомбардировочную дивизию, входившая в формирующийся в Харькове 1-й польский смешанный авиакорпус, имевшую в строю 99 Пе-2 и состоящую из трех полков - 3-го, 4-го и 5-го, перебросили в Польшу, где обучение продолжилось. Боеготовности соединение достигло лишь в конце мая, поэтому в боевых операциях оно не участвовало (4476).</w:t>
      </w:r>
    </w:p>
    <w:p w14:paraId="15A1A1C3" w14:textId="77777777" w:rsidR="00665165" w:rsidRPr="00925F26" w:rsidRDefault="00665165" w:rsidP="00925F26">
      <w:pPr>
        <w:autoSpaceDE w:val="0"/>
        <w:autoSpaceDN w:val="0"/>
        <w:adjustRightInd w:val="0"/>
        <w:jc w:val="both"/>
        <w:rPr>
          <w:color w:val="000000" w:themeColor="text1"/>
          <w:sz w:val="16"/>
          <w:szCs w:val="16"/>
        </w:rPr>
      </w:pPr>
    </w:p>
    <w:p w14:paraId="74C76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г. еще не до конца подготовленную польскую бомбардировочную дивизию, имевшую в строю 99 Пе-2, перебросили в Польшу, где продолжила обучение. Боеготовности она достигла лишь в конце мая, поэтому в боевых операциях не участвовала.</w:t>
      </w:r>
    </w:p>
    <w:p w14:paraId="2153D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1944 г., когда советская авиация завоевала стратегическое господство в воздухе, удалось выделить современные бомбардировщики для вооружения формировавшихся в СССР соединений ВВС стран Восточной Европы. Наиболее крупные поставки осуществлялись польским ВВС. В том же году в районе Харькова начал формироваться 1-й польский смешанный авиакорпус, в который входила бомбардировочная дивизия на Пе-2. Она состояла из трех полков 3-го, 4-го и 5-го. Правда, в польской армии, действовавшей на территории СССР, своих авиационных специалистов не хватало, и значительная часть летного состава и почти весь технический персонал пришлось "позаимствовать" из советских полков, на базе которых они формировались. </w:t>
      </w:r>
    </w:p>
    <w:p w14:paraId="28897C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I мая 1945 г. в строю польских ВВС числилось 107 Пе-2 и УПс-2. Из них 91 самолет принадлежал 1-й бомбардировочной дивизии, 12 - авиашколе в Деблине, два 15-му запасному полку; еше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w:t>
      </w:r>
    </w:p>
    <w:p w14:paraId="3D7A3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w:t>
      </w:r>
      <w:proofErr w:type="gramStart"/>
      <w:r w:rsidRPr="00925F26">
        <w:rPr>
          <w:color w:val="000000" w:themeColor="text1"/>
          <w:sz w:val="16"/>
          <w:szCs w:val="16"/>
        </w:rPr>
        <w:t>самолетов</w:t>
      </w:r>
      <w:proofErr w:type="gramEnd"/>
      <w:r w:rsidRPr="00925F26">
        <w:rPr>
          <w:color w:val="000000" w:themeColor="text1"/>
          <w:sz w:val="16"/>
          <w:szCs w:val="16"/>
        </w:rPr>
        <w:t xml:space="preserve"> в связи с этим законсервировали. На I июля 1947 г. эксплуатировались только 49 Пе-2 и 9 УПе-2. 28 октября 1948 г. воссоздали польскую морскую авиацию в виде отдельной эскадры авиации ВМФ. В нее входило разведывательно-бомбардировочное звено на Пе-2 (три самолета). Пе-2, переданные из состава ВВС, были уже порядком изношены, и пикировать на них не разрешали, поэтому использовали в основном в качестве разведчиков.</w:t>
      </w:r>
    </w:p>
    <w:p w14:paraId="147005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польских послевоенных ВВС на бомбардировщиках Пе-2 летала целая авиадивизия.</w:t>
      </w:r>
    </w:p>
    <w:p w14:paraId="288EA5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1950-1951 гг. в Польшу начали поступать Ту-2, частично вытеснившие устаревшие бомбардировщики Петлякова, однако Пе-2 фактически дослужили до появления первых Ил-28. В учебных подразделениях УПе-2 вместе с УТБ (на базе Ту-2) эксплуатировались и во второй половине 1950-х годов. Некоторые "пешки" в начале того десятилетия применялись для буксировки мишеней для воздушной стрельбы, аэрофотосъемки и других вспомогательных целей. Один разоруженный самолет превратили в летающий стенд для испытания реактивных двигателей. Двигатель монтировался над "спиной" самолета на громоздкой ферме из труб (12042).</w:t>
      </w:r>
    </w:p>
    <w:p w14:paraId="0368A3F1" w14:textId="77777777" w:rsidR="00665165" w:rsidRPr="00925F26" w:rsidRDefault="00665165" w:rsidP="00925F26">
      <w:pPr>
        <w:autoSpaceDE w:val="0"/>
        <w:autoSpaceDN w:val="0"/>
        <w:adjustRightInd w:val="0"/>
        <w:jc w:val="both"/>
        <w:rPr>
          <w:color w:val="000000" w:themeColor="text1"/>
          <w:sz w:val="16"/>
          <w:szCs w:val="16"/>
        </w:rPr>
      </w:pPr>
    </w:p>
    <w:p w14:paraId="6065F8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 - апреле 1945 г. Ла-7 начали поступать в действовавшую на советско-германском фронте 1-ю чехословацкую сад. Первые машины этого типа направили в новый 2-й иап. Он проходил интенсивную подготовку, но не успел принять участие в боевых действиях. В конце апреля Ла-7 прибыли и в 1-й иап, вооружённый Ла-5ФН, но также в бой не попали.</w:t>
      </w:r>
    </w:p>
    <w:p w14:paraId="430180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окончания войны все самолёты чехословацких частей были безвозмездно переданы Советским Союзом правительству Чехословакии. Истребители получили новые опознавательные знаки и новое обозначение - S-97. В июне 1945 г. 1-й иап имел 13 Ла-7, 2-й - 41.</w:t>
      </w:r>
    </w:p>
    <w:p w14:paraId="2BB439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реорганизации чехословацких ВВС осенью 1945 г. оба этих полка вошли в состав 4-й авиадивизии в Словакии. Там в 1947 г. некоторым S-97 довелось повоевать с бандеров- цами, укрывавшимися в горных районах страны. Тщательно ухоженные машины, хранившиеся в закрытых помещениях, прослужили в Чехословакии до начала 1950-х гг.</w:t>
      </w:r>
    </w:p>
    <w:p w14:paraId="3C19A2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зарубежных изданиях сообщается, что около 40 Ла-7 в 1948 г. передали Румынии. Никакой достоверной информации по этому поводу до сих пор обнаружить не удалось.</w:t>
      </w:r>
    </w:p>
    <w:p w14:paraId="3E6F36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 г. в Китай для учебных целей из Советского Союза поставили 12 "рулёжных" (уже не летающих, но ещё способных бегать по аэродрому) Ла-7. Дальнейшая судьба их неизвестна, скорее всего, эти самолёты передали в лётные и технические школы ВВС НОАК. Американские источники сообщают о применении Ла-7 в начальный период войны в Корее, но за этим стоят явные ошибки в идентификации машин, поскольку боевые Ла-7 не поставлялись ни северокорейским, ни китайским ВВС (11986).</w:t>
      </w:r>
    </w:p>
    <w:p w14:paraId="4B94F3AA" w14:textId="77777777" w:rsidR="00665165" w:rsidRPr="00925F26" w:rsidRDefault="00665165" w:rsidP="00925F26">
      <w:pPr>
        <w:autoSpaceDE w:val="0"/>
        <w:autoSpaceDN w:val="0"/>
        <w:adjustRightInd w:val="0"/>
        <w:jc w:val="both"/>
        <w:rPr>
          <w:color w:val="000000" w:themeColor="text1"/>
          <w:sz w:val="16"/>
          <w:szCs w:val="16"/>
        </w:rPr>
      </w:pPr>
    </w:p>
    <w:p w14:paraId="2C54A1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марте-апреле 1945 г. 12-й полк принимал участие в борьбе за военно-морскую базу Пиллау, а затем - во взятии Кенигсберга (4476).</w:t>
      </w:r>
    </w:p>
    <w:p w14:paraId="45BB85BE" w14:textId="77777777" w:rsidR="00665165" w:rsidRPr="00925F26" w:rsidRDefault="00665165" w:rsidP="00925F26">
      <w:pPr>
        <w:autoSpaceDE w:val="0"/>
        <w:autoSpaceDN w:val="0"/>
        <w:adjustRightInd w:val="0"/>
        <w:jc w:val="both"/>
        <w:rPr>
          <w:color w:val="000000" w:themeColor="text1"/>
          <w:sz w:val="16"/>
          <w:szCs w:val="16"/>
        </w:rPr>
      </w:pPr>
    </w:p>
    <w:p w14:paraId="4606B44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A3EAAA3" w14:textId="77777777" w:rsidR="00665165" w:rsidRPr="00925F26" w:rsidRDefault="00665165" w:rsidP="00925F26">
      <w:pPr>
        <w:autoSpaceDE w:val="0"/>
        <w:autoSpaceDN w:val="0"/>
        <w:adjustRightInd w:val="0"/>
        <w:jc w:val="both"/>
        <w:rPr>
          <w:iCs/>
          <w:color w:val="000000" w:themeColor="text1"/>
          <w:sz w:val="16"/>
          <w:szCs w:val="16"/>
        </w:rPr>
      </w:pPr>
    </w:p>
    <w:p w14:paraId="2124F4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первом квартале 1945 года два опытных образца нового танка, которому была присвоена марка Т-54, были изготовлены, в этом же году проведены их испытания (9154).</w:t>
      </w:r>
    </w:p>
    <w:p w14:paraId="21C2B353" w14:textId="77777777" w:rsidR="00665165" w:rsidRPr="00925F26" w:rsidRDefault="00665165" w:rsidP="00925F26">
      <w:pPr>
        <w:autoSpaceDE w:val="0"/>
        <w:autoSpaceDN w:val="0"/>
        <w:adjustRightInd w:val="0"/>
        <w:jc w:val="both"/>
        <w:rPr>
          <w:color w:val="000000" w:themeColor="text1"/>
          <w:sz w:val="16"/>
          <w:szCs w:val="16"/>
        </w:rPr>
      </w:pPr>
    </w:p>
    <w:p w14:paraId="7A8B6FAA" w14:textId="77777777" w:rsidR="00505829" w:rsidRPr="00925F26" w:rsidRDefault="00505829"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247D880" w14:textId="77777777" w:rsidR="00505829" w:rsidRPr="00925F26" w:rsidRDefault="00505829" w:rsidP="00925F26">
      <w:pPr>
        <w:autoSpaceDE w:val="0"/>
        <w:autoSpaceDN w:val="0"/>
        <w:adjustRightInd w:val="0"/>
        <w:jc w:val="both"/>
        <w:rPr>
          <w:iCs/>
          <w:color w:val="000000" w:themeColor="text1"/>
          <w:sz w:val="16"/>
          <w:szCs w:val="16"/>
        </w:rPr>
      </w:pPr>
    </w:p>
    <w:p w14:paraId="7C0F17B7" w14:textId="77777777" w:rsidR="00505829" w:rsidRPr="00925F26" w:rsidRDefault="00505829" w:rsidP="00925F26">
      <w:pPr>
        <w:jc w:val="both"/>
        <w:rPr>
          <w:color w:val="000000" w:themeColor="text1"/>
          <w:sz w:val="16"/>
          <w:szCs w:val="16"/>
        </w:rPr>
      </w:pPr>
      <w:r w:rsidRPr="00925F26">
        <w:rPr>
          <w:color w:val="000000" w:themeColor="text1"/>
          <w:sz w:val="16"/>
          <w:szCs w:val="16"/>
          <w:lang w:bidi="ru-RU"/>
        </w:rPr>
        <w:t>К середине весны 1945 г. все части 6-й бом</w:t>
      </w:r>
      <w:r w:rsidRPr="00925F26">
        <w:rPr>
          <w:color w:val="000000" w:themeColor="text1"/>
          <w:sz w:val="16"/>
          <w:szCs w:val="16"/>
          <w:lang w:bidi="ru-RU"/>
        </w:rPr>
        <w:softHyphen/>
        <w:t>бардировочного корпуса уже дислоцировались на аэро</w:t>
      </w:r>
      <w:r w:rsidRPr="00925F26">
        <w:rPr>
          <w:color w:val="000000" w:themeColor="text1"/>
          <w:sz w:val="16"/>
          <w:szCs w:val="16"/>
          <w:lang w:bidi="ru-RU"/>
        </w:rPr>
        <w:softHyphen/>
        <w:t>дромах Польши и Германии, само же сое</w:t>
      </w:r>
      <w:r w:rsidRPr="00925F26">
        <w:rPr>
          <w:color w:val="000000" w:themeColor="text1"/>
          <w:sz w:val="16"/>
          <w:szCs w:val="16"/>
          <w:lang w:bidi="ru-RU"/>
        </w:rPr>
        <w:softHyphen/>
        <w:t>динение переподчинили 16-й воздушной армии. В его составе тогда насчитывалось около 200 самолетов. Воздушная армия должна была поддерживать наступление войск 1-го Белорусского фронта на Бер</w:t>
      </w:r>
      <w:r w:rsidRPr="00925F26">
        <w:rPr>
          <w:color w:val="000000" w:themeColor="text1"/>
          <w:sz w:val="16"/>
          <w:szCs w:val="16"/>
          <w:lang w:bidi="ru-RU"/>
        </w:rPr>
        <w:softHyphen/>
        <w:t>лин. Дожди размягчили полевые аэро</w:t>
      </w:r>
      <w:r w:rsidRPr="00925F26">
        <w:rPr>
          <w:color w:val="000000" w:themeColor="text1"/>
          <w:sz w:val="16"/>
          <w:szCs w:val="16"/>
          <w:lang w:bidi="ru-RU"/>
        </w:rPr>
        <w:softHyphen/>
        <w:t>дромы. Поэтому в Германии под взлетные полосы приспособили отрезки автобанов. Берлинская операция началась 16 апреля. С первого дня бомбардировщики нано</w:t>
      </w:r>
      <w:r w:rsidRPr="00925F26">
        <w:rPr>
          <w:color w:val="000000" w:themeColor="text1"/>
          <w:sz w:val="16"/>
          <w:szCs w:val="16"/>
          <w:lang w:bidi="ru-RU"/>
        </w:rPr>
        <w:softHyphen/>
        <w:t>сили удары по обороне противника. Так, 20 апреля 18 Ту-2 6-го бап, вылетевшие с прикрытием из 24 истребителей, бом</w:t>
      </w:r>
      <w:r w:rsidRPr="00925F26">
        <w:rPr>
          <w:color w:val="000000" w:themeColor="text1"/>
          <w:sz w:val="16"/>
          <w:szCs w:val="16"/>
          <w:lang w:bidi="ru-RU"/>
        </w:rPr>
        <w:softHyphen/>
        <w:t>били внутренний обвод обороны герман</w:t>
      </w:r>
      <w:r w:rsidRPr="00925F26">
        <w:rPr>
          <w:color w:val="000000" w:themeColor="text1"/>
          <w:sz w:val="16"/>
          <w:szCs w:val="16"/>
          <w:lang w:bidi="ru-RU"/>
        </w:rPr>
        <w:softHyphen/>
        <w:t>ской столицы.</w:t>
      </w:r>
    </w:p>
    <w:p w14:paraId="6A0DC85B" w14:textId="77777777" w:rsidR="00505829" w:rsidRPr="00925F26" w:rsidRDefault="00505829" w:rsidP="00925F26">
      <w:pPr>
        <w:jc w:val="both"/>
        <w:rPr>
          <w:color w:val="000000" w:themeColor="text1"/>
          <w:sz w:val="16"/>
          <w:szCs w:val="16"/>
        </w:rPr>
      </w:pPr>
      <w:r w:rsidRPr="00925F26">
        <w:rPr>
          <w:color w:val="000000" w:themeColor="text1"/>
          <w:sz w:val="16"/>
          <w:szCs w:val="16"/>
          <w:lang w:bidi="ru-RU"/>
        </w:rPr>
        <w:t>В зависимости от характера цели ко</w:t>
      </w:r>
      <w:r w:rsidRPr="00925F26">
        <w:rPr>
          <w:color w:val="000000" w:themeColor="text1"/>
          <w:sz w:val="16"/>
          <w:szCs w:val="16"/>
          <w:lang w:bidi="ru-RU"/>
        </w:rPr>
        <w:softHyphen/>
        <w:t>личество самолетов варьировалось. Мо</w:t>
      </w:r>
      <w:r w:rsidRPr="00925F26">
        <w:rPr>
          <w:color w:val="000000" w:themeColor="text1"/>
          <w:sz w:val="16"/>
          <w:szCs w:val="16"/>
          <w:lang w:bidi="ru-RU"/>
        </w:rPr>
        <w:softHyphen/>
        <w:t>гли поднять в воздух целую дивизию. Так, 115-я бад неоднократно вылетала в со</w:t>
      </w:r>
      <w:r w:rsidRPr="00925F26">
        <w:rPr>
          <w:color w:val="000000" w:themeColor="text1"/>
          <w:sz w:val="16"/>
          <w:szCs w:val="16"/>
          <w:lang w:bidi="ru-RU"/>
        </w:rPr>
        <w:softHyphen/>
        <w:t>ставе 90-120 машин. Но могли отправить на задание полк, эскадрилью или звено, а иногда и один самолет. Ту-2 работали по целям на глубину 250-500 км от ли</w:t>
      </w:r>
      <w:r w:rsidRPr="00925F26">
        <w:rPr>
          <w:color w:val="000000" w:themeColor="text1"/>
          <w:sz w:val="16"/>
          <w:szCs w:val="16"/>
          <w:lang w:bidi="ru-RU"/>
        </w:rPr>
        <w:softHyphen/>
        <w:t>нии фронта. Использовались разнообраз</w:t>
      </w:r>
      <w:r w:rsidRPr="00925F26">
        <w:rPr>
          <w:color w:val="000000" w:themeColor="text1"/>
          <w:sz w:val="16"/>
          <w:szCs w:val="16"/>
          <w:lang w:bidi="ru-RU"/>
        </w:rPr>
        <w:softHyphen/>
        <w:t>ные типы бомб: фугасные, осколочные, зажигательные и противотанковые. Не</w:t>
      </w:r>
      <w:r w:rsidRPr="00925F26">
        <w:rPr>
          <w:color w:val="000000" w:themeColor="text1"/>
          <w:sz w:val="16"/>
          <w:szCs w:val="16"/>
          <w:lang w:bidi="ru-RU"/>
        </w:rPr>
        <w:softHyphen/>
        <w:t>редко брали по максимуму - до 5000 кг на самолет. Чаще всего бомбометание осуществлялось с высот 1000-5000 м, но при бомбежке мостов и опорных пун</w:t>
      </w:r>
      <w:r w:rsidRPr="00925F26">
        <w:rPr>
          <w:color w:val="000000" w:themeColor="text1"/>
          <w:sz w:val="16"/>
          <w:szCs w:val="16"/>
          <w:lang w:bidi="ru-RU"/>
        </w:rPr>
        <w:softHyphen/>
        <w:t>ктов обороны самолеты иногда снижа лись до 500-500 м. Практиковался сброс бомб залпом или серией по ведущему группы, а также с индивидуальным прице</w:t>
      </w:r>
      <w:r w:rsidRPr="00925F26">
        <w:rPr>
          <w:color w:val="000000" w:themeColor="text1"/>
          <w:sz w:val="16"/>
          <w:szCs w:val="16"/>
          <w:lang w:bidi="ru-RU"/>
        </w:rPr>
        <w:softHyphen/>
        <w:t>ливанием. Кроме бомб, сбрасывались ли</w:t>
      </w:r>
      <w:r w:rsidRPr="00925F26">
        <w:rPr>
          <w:color w:val="000000" w:themeColor="text1"/>
          <w:sz w:val="16"/>
          <w:szCs w:val="16"/>
          <w:lang w:bidi="ru-RU"/>
        </w:rPr>
        <w:softHyphen/>
        <w:t>стовки, предлагавшие немцам прекратить бессмысленное сопротивление. В сред</w:t>
      </w:r>
      <w:r w:rsidRPr="00925F26">
        <w:rPr>
          <w:color w:val="000000" w:themeColor="text1"/>
          <w:sz w:val="16"/>
          <w:szCs w:val="16"/>
          <w:lang w:bidi="ru-RU"/>
        </w:rPr>
        <w:softHyphen/>
        <w:t>нем каждый Ту-2 совершал 1,5 боевого вылета в день.</w:t>
      </w:r>
    </w:p>
    <w:p w14:paraId="2DCC3515" w14:textId="77777777" w:rsidR="00505829" w:rsidRPr="00925F26" w:rsidRDefault="00505829" w:rsidP="00925F26">
      <w:pPr>
        <w:jc w:val="both"/>
        <w:rPr>
          <w:color w:val="000000" w:themeColor="text1"/>
          <w:sz w:val="16"/>
          <w:szCs w:val="16"/>
        </w:rPr>
      </w:pPr>
      <w:r w:rsidRPr="00925F26">
        <w:rPr>
          <w:color w:val="000000" w:themeColor="text1"/>
          <w:sz w:val="16"/>
          <w:szCs w:val="16"/>
          <w:lang w:bidi="ru-RU"/>
        </w:rPr>
        <w:t>Группы Ту-2 сопровождались истре</w:t>
      </w:r>
      <w:r w:rsidRPr="00925F26">
        <w:rPr>
          <w:color w:val="000000" w:themeColor="text1"/>
          <w:sz w:val="16"/>
          <w:szCs w:val="16"/>
          <w:lang w:bidi="ru-RU"/>
        </w:rPr>
        <w:softHyphen/>
        <w:t>бителями - по одному на каждые два-три бомбардировщика. Но они и сами неплохо могли постоять за себя. При появлении не</w:t>
      </w:r>
      <w:r w:rsidRPr="00925F26">
        <w:rPr>
          <w:color w:val="000000" w:themeColor="text1"/>
          <w:sz w:val="16"/>
          <w:szCs w:val="16"/>
          <w:lang w:bidi="ru-RU"/>
        </w:rPr>
        <w:softHyphen/>
        <w:t>мецких истребителей бомбардировщики смыкались в плотный строй, поддерживая друг друга огнем. Чем больше группа, тем эффективнее была оборона.</w:t>
      </w:r>
    </w:p>
    <w:p w14:paraId="0E1D414C" w14:textId="77777777" w:rsidR="00505829" w:rsidRPr="00925F26" w:rsidRDefault="00505829" w:rsidP="00925F26">
      <w:pPr>
        <w:jc w:val="both"/>
        <w:rPr>
          <w:color w:val="000000" w:themeColor="text1"/>
          <w:sz w:val="16"/>
          <w:szCs w:val="16"/>
        </w:rPr>
      </w:pPr>
      <w:r w:rsidRPr="00925F26">
        <w:rPr>
          <w:color w:val="000000" w:themeColor="text1"/>
          <w:sz w:val="16"/>
          <w:szCs w:val="16"/>
          <w:lang w:bidi="ru-RU"/>
        </w:rPr>
        <w:t>С 22 апреля началось окружение Бер</w:t>
      </w:r>
      <w:r w:rsidRPr="00925F26">
        <w:rPr>
          <w:color w:val="000000" w:themeColor="text1"/>
          <w:sz w:val="16"/>
          <w:szCs w:val="16"/>
          <w:lang w:bidi="ru-RU"/>
        </w:rPr>
        <w:softHyphen/>
        <w:t>лина и завязались бои в городе. В тот же день шесть девяток Ту-2 сбросили 97 т бомб на центр столицы. Летчикам при</w:t>
      </w:r>
      <w:r w:rsidRPr="00925F26">
        <w:rPr>
          <w:color w:val="000000" w:themeColor="text1"/>
          <w:sz w:val="16"/>
          <w:szCs w:val="16"/>
          <w:lang w:bidi="ru-RU"/>
        </w:rPr>
        <w:softHyphen/>
        <w:t>шлось отыскивать цели в мешанине улиц. Зато на путь от базовых аэродромов 115-й дивизии до цели уходило не более 20 минут. Поэтому нередко делали до трех вылетов в день. 6-й бап летал из Польши, с аэродрома Заган. 25 апреля был запла</w:t>
      </w:r>
      <w:r w:rsidRPr="00925F26">
        <w:rPr>
          <w:color w:val="000000" w:themeColor="text1"/>
          <w:sz w:val="16"/>
          <w:szCs w:val="16"/>
          <w:lang w:bidi="ru-RU"/>
        </w:rPr>
        <w:softHyphen/>
        <w:t>нирован массированный налет на окрест</w:t>
      </w:r>
      <w:r w:rsidRPr="00925F26">
        <w:rPr>
          <w:color w:val="000000" w:themeColor="text1"/>
          <w:sz w:val="16"/>
          <w:szCs w:val="16"/>
          <w:lang w:bidi="ru-RU"/>
        </w:rPr>
        <w:softHyphen/>
        <w:t>ности Имперской канцелярии. Но из-за плохой погоды из шести полков на цель вышел лишь один - 6-й. 18 самолетов об</w:t>
      </w:r>
      <w:r w:rsidRPr="00925F26">
        <w:rPr>
          <w:color w:val="000000" w:themeColor="text1"/>
          <w:sz w:val="16"/>
          <w:szCs w:val="16"/>
          <w:lang w:bidi="ru-RU"/>
        </w:rPr>
        <w:softHyphen/>
        <w:t>рушили бомбы на последний оплот обо</w:t>
      </w:r>
      <w:r w:rsidRPr="00925F26">
        <w:rPr>
          <w:color w:val="000000" w:themeColor="text1"/>
          <w:sz w:val="16"/>
          <w:szCs w:val="16"/>
          <w:lang w:bidi="ru-RU"/>
        </w:rPr>
        <w:softHyphen/>
        <w:t>роны противника. Последний боевой вылет в Европе Ту-2 совершили 2 мая в окрестностях Берлина.</w:t>
      </w:r>
    </w:p>
    <w:p w14:paraId="135EABD9" w14:textId="77777777" w:rsidR="00505829" w:rsidRPr="00925F26" w:rsidRDefault="00505829" w:rsidP="00925F26">
      <w:pPr>
        <w:jc w:val="both"/>
        <w:rPr>
          <w:color w:val="000000" w:themeColor="text1"/>
          <w:sz w:val="16"/>
          <w:szCs w:val="16"/>
        </w:rPr>
      </w:pPr>
      <w:r w:rsidRPr="00925F26">
        <w:rPr>
          <w:color w:val="000000" w:themeColor="text1"/>
          <w:sz w:val="16"/>
          <w:szCs w:val="16"/>
          <w:lang w:bidi="ru-RU"/>
        </w:rPr>
        <w:t>152-й бап получил почетное наименова</w:t>
      </w:r>
      <w:r w:rsidRPr="00925F26">
        <w:rPr>
          <w:color w:val="000000" w:themeColor="text1"/>
          <w:sz w:val="16"/>
          <w:szCs w:val="16"/>
          <w:lang w:bidi="ru-RU"/>
        </w:rPr>
        <w:softHyphen/>
        <w:t>ние «Берлинский». Эту надпись сделали на всех машинах части, дополнив изобра</w:t>
      </w:r>
      <w:r w:rsidRPr="00925F26">
        <w:rPr>
          <w:color w:val="000000" w:themeColor="text1"/>
          <w:sz w:val="16"/>
          <w:szCs w:val="16"/>
          <w:lang w:bidi="ru-RU"/>
        </w:rPr>
        <w:softHyphen/>
        <w:t>жением двух орденов - Кутузова 5-й сте</w:t>
      </w:r>
      <w:r w:rsidRPr="00925F26">
        <w:rPr>
          <w:color w:val="000000" w:themeColor="text1"/>
          <w:sz w:val="16"/>
          <w:szCs w:val="16"/>
          <w:lang w:bidi="ru-RU"/>
        </w:rPr>
        <w:softHyphen/>
        <w:t>пени (за прорыв немецкой обороны на Западной Двине) и Александра Невского (за участие в разгроме группировки нем</w:t>
      </w:r>
      <w:r w:rsidRPr="00925F26">
        <w:rPr>
          <w:color w:val="000000" w:themeColor="text1"/>
          <w:sz w:val="16"/>
          <w:szCs w:val="16"/>
          <w:lang w:bidi="ru-RU"/>
        </w:rPr>
        <w:softHyphen/>
        <w:t>цев западнее Кенигсберга).</w:t>
      </w:r>
    </w:p>
    <w:p w14:paraId="31F34FE4" w14:textId="77777777" w:rsidR="00505829" w:rsidRPr="00925F26" w:rsidRDefault="00505829" w:rsidP="00925F26">
      <w:pPr>
        <w:jc w:val="both"/>
        <w:rPr>
          <w:color w:val="000000" w:themeColor="text1"/>
          <w:sz w:val="16"/>
          <w:szCs w:val="16"/>
          <w:lang w:bidi="ru-RU"/>
        </w:rPr>
      </w:pPr>
      <w:r w:rsidRPr="00925F26">
        <w:rPr>
          <w:color w:val="000000" w:themeColor="text1"/>
          <w:sz w:val="16"/>
          <w:szCs w:val="16"/>
          <w:lang w:bidi="ru-RU"/>
        </w:rPr>
        <w:t>Все это время Ту-2 использова</w:t>
      </w:r>
      <w:r w:rsidRPr="00925F26">
        <w:rPr>
          <w:color w:val="000000" w:themeColor="text1"/>
          <w:sz w:val="16"/>
          <w:szCs w:val="16"/>
          <w:lang w:bidi="ru-RU"/>
        </w:rPr>
        <w:softHyphen/>
        <w:t>лись и в качестве разведчиков. Их экс</w:t>
      </w:r>
      <w:r w:rsidRPr="00925F26">
        <w:rPr>
          <w:color w:val="000000" w:themeColor="text1"/>
          <w:sz w:val="16"/>
          <w:szCs w:val="16"/>
          <w:lang w:bidi="ru-RU"/>
        </w:rPr>
        <w:softHyphen/>
        <w:t>плуатировали в упоминавшемся ранее 47-м гв. орап. Поскольку приоритет в по</w:t>
      </w:r>
      <w:r w:rsidRPr="00925F26">
        <w:rPr>
          <w:color w:val="000000" w:themeColor="text1"/>
          <w:sz w:val="16"/>
          <w:szCs w:val="16"/>
          <w:lang w:bidi="ru-RU"/>
        </w:rPr>
        <w:softHyphen/>
        <w:t>ставке новой техники в 1944 г. отдали бомбардировочным полкам, у воздушных разведчиков их оставалось все меньше и меньше. Так, в июне 1944 г. самолет май</w:t>
      </w:r>
      <w:r w:rsidRPr="00925F26">
        <w:rPr>
          <w:color w:val="000000" w:themeColor="text1"/>
          <w:sz w:val="16"/>
          <w:szCs w:val="16"/>
          <w:lang w:bidi="ru-RU"/>
        </w:rPr>
        <w:softHyphen/>
        <w:t>ора А. Дрыгина, летавший на разведку Ба- рановичей, перед самым фотографирова</w:t>
      </w:r>
      <w:r w:rsidRPr="00925F26">
        <w:rPr>
          <w:color w:val="000000" w:themeColor="text1"/>
          <w:sz w:val="16"/>
          <w:szCs w:val="16"/>
          <w:lang w:bidi="ru-RU"/>
        </w:rPr>
        <w:softHyphen/>
        <w:t>нием был атакован парой... Як-9. Несмо</w:t>
      </w:r>
      <w:r w:rsidRPr="00925F26">
        <w:rPr>
          <w:color w:val="000000" w:themeColor="text1"/>
          <w:sz w:val="16"/>
          <w:szCs w:val="16"/>
          <w:lang w:bidi="ru-RU"/>
        </w:rPr>
        <w:softHyphen/>
        <w:t>тря на усилия стрелков, один из истреби</w:t>
      </w:r>
      <w:r w:rsidRPr="00925F26">
        <w:rPr>
          <w:color w:val="000000" w:themeColor="text1"/>
          <w:sz w:val="16"/>
          <w:szCs w:val="16"/>
          <w:lang w:bidi="ru-RU"/>
        </w:rPr>
        <w:softHyphen/>
        <w:t>телей поджег мотор разведчика. Дрыгин сумел скрыться от преследователей, а за</w:t>
      </w:r>
      <w:r w:rsidRPr="00925F26">
        <w:rPr>
          <w:color w:val="000000" w:themeColor="text1"/>
          <w:sz w:val="16"/>
          <w:szCs w:val="16"/>
          <w:lang w:bidi="ru-RU"/>
        </w:rPr>
        <w:softHyphen/>
        <w:t>тем совершил вынужденную посадку на «пузо» на своей территории. Приземлив</w:t>
      </w:r>
      <w:r w:rsidRPr="00925F26">
        <w:rPr>
          <w:color w:val="000000" w:themeColor="text1"/>
          <w:sz w:val="16"/>
          <w:szCs w:val="16"/>
          <w:lang w:bidi="ru-RU"/>
        </w:rPr>
        <w:softHyphen/>
        <w:t>шись в чистом поле, летчики забрали от</w:t>
      </w:r>
      <w:r w:rsidRPr="00925F26">
        <w:rPr>
          <w:color w:val="000000" w:themeColor="text1"/>
          <w:sz w:val="16"/>
          <w:szCs w:val="16"/>
          <w:lang w:bidi="ru-RU"/>
        </w:rPr>
        <w:softHyphen/>
        <w:t>снятые кассеты и пошли дальше пешком. Предполагают, что на трофейных Як-9 ле</w:t>
      </w:r>
      <w:r w:rsidRPr="00925F26">
        <w:rPr>
          <w:color w:val="000000" w:themeColor="text1"/>
          <w:sz w:val="16"/>
          <w:szCs w:val="16"/>
          <w:lang w:bidi="ru-RU"/>
        </w:rPr>
        <w:softHyphen/>
        <w:t>тали немецкие «охотники» (21060).</w:t>
      </w:r>
    </w:p>
    <w:p w14:paraId="5E4CB02C" w14:textId="77777777" w:rsidR="00505829" w:rsidRPr="00925F26" w:rsidRDefault="00505829" w:rsidP="00925F26">
      <w:pPr>
        <w:jc w:val="both"/>
        <w:rPr>
          <w:color w:val="000000" w:themeColor="text1"/>
          <w:sz w:val="16"/>
          <w:szCs w:val="16"/>
        </w:rPr>
      </w:pPr>
    </w:p>
    <w:p w14:paraId="45663EE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E89311C" w14:textId="77777777" w:rsidR="00665165" w:rsidRPr="00925F26" w:rsidRDefault="00665165" w:rsidP="00925F26">
      <w:pPr>
        <w:autoSpaceDE w:val="0"/>
        <w:autoSpaceDN w:val="0"/>
        <w:adjustRightInd w:val="0"/>
        <w:jc w:val="both"/>
        <w:rPr>
          <w:iCs/>
          <w:color w:val="000000" w:themeColor="text1"/>
          <w:sz w:val="16"/>
          <w:szCs w:val="16"/>
        </w:rPr>
      </w:pPr>
    </w:p>
    <w:p w14:paraId="702DFAA7"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lastRenderedPageBreak/>
        <w:t>К началу апреля 1945 ВВС и НКАП все же договорились. Решили, что на серийные самолеты Ил-10 заводами будут устанавливаться только узлы под РО-82 и УРО-132 и в таком виде сдаваться военной приемке, а сами орудия будут монтироваться уже в частях. Завод № 18 приступил к установке ракетных орудий, начиная с 11-й машины 6-й серии (17490).</w:t>
      </w:r>
    </w:p>
    <w:p w14:paraId="2EF5BFB2" w14:textId="77777777" w:rsidR="00117BE3" w:rsidRPr="00925F26" w:rsidRDefault="00117BE3" w:rsidP="00925F26">
      <w:pPr>
        <w:jc w:val="both"/>
        <w:rPr>
          <w:color w:val="000000" w:themeColor="text1"/>
          <w:sz w:val="16"/>
          <w:szCs w:val="16"/>
        </w:rPr>
      </w:pPr>
    </w:p>
    <w:p w14:paraId="24C7E037" w14:textId="77777777" w:rsidR="00EE671E" w:rsidRPr="00925F26" w:rsidRDefault="00EE671E"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2F15B93" w14:textId="77777777" w:rsidR="00EE671E" w:rsidRPr="00925F26" w:rsidRDefault="00EE671E" w:rsidP="00925F26">
      <w:pPr>
        <w:autoSpaceDE w:val="0"/>
        <w:autoSpaceDN w:val="0"/>
        <w:adjustRightInd w:val="0"/>
        <w:jc w:val="both"/>
        <w:rPr>
          <w:iCs/>
          <w:color w:val="000000" w:themeColor="text1"/>
          <w:sz w:val="16"/>
          <w:szCs w:val="16"/>
        </w:rPr>
      </w:pPr>
    </w:p>
    <w:p w14:paraId="2052D5B8" w14:textId="77777777" w:rsidR="00EE671E" w:rsidRPr="00925F26" w:rsidRDefault="00EE671E"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 апрелю 1945 года производство Ил-10 было доведено до 150 машин в месяц, а в июне завод полностью перешел на выпуск новых самолетов (19828).</w:t>
      </w:r>
    </w:p>
    <w:p w14:paraId="24DDB9FB" w14:textId="77777777" w:rsidR="00EE671E" w:rsidRPr="00925F26" w:rsidRDefault="00EE671E" w:rsidP="00925F26">
      <w:pPr>
        <w:pStyle w:val="ae"/>
        <w:shd w:val="clear" w:color="auto" w:fill="FFFFFF"/>
        <w:spacing w:before="0" w:after="0"/>
        <w:jc w:val="both"/>
        <w:rPr>
          <w:color w:val="000000" w:themeColor="text1"/>
          <w:sz w:val="16"/>
          <w:szCs w:val="16"/>
        </w:rPr>
      </w:pPr>
    </w:p>
    <w:p w14:paraId="69348642" w14:textId="77777777" w:rsidR="00EE671E" w:rsidRPr="00925F26" w:rsidRDefault="00EE671E" w:rsidP="00925F26">
      <w:pPr>
        <w:jc w:val="both"/>
        <w:rPr>
          <w:color w:val="000000" w:themeColor="text1"/>
          <w:sz w:val="16"/>
          <w:szCs w:val="16"/>
        </w:rPr>
      </w:pPr>
      <w:r w:rsidRPr="00925F26">
        <w:rPr>
          <w:color w:val="000000" w:themeColor="text1"/>
          <w:sz w:val="16"/>
          <w:szCs w:val="16"/>
        </w:rPr>
        <w:t>К апрелю 1945 за первые три месяца 1943 г. было произведено 7607 самолетов, из них 6620 боевых. Во втором квартале объемы выпуска авиатехники еще более возросли: заказчикам было передано 8637 самолетов, в том числе 7333 боевых. За первое полугодие 1943 г. собрали на 69,2% самолетов больше, чем за тот же период 1942 г.; по боевым машинам прирост составил 71,2%. Таких впечатляющих показателей удалось добиться в основном благодаря увеличению производительности труда, которая с мая 1942 г. взросла по отрасли на 30% (18305).</w:t>
      </w:r>
    </w:p>
    <w:p w14:paraId="1F0F7509" w14:textId="77777777" w:rsidR="00EE671E" w:rsidRPr="00925F26" w:rsidRDefault="00EE671E" w:rsidP="00925F26">
      <w:pPr>
        <w:jc w:val="both"/>
        <w:rPr>
          <w:color w:val="000000" w:themeColor="text1"/>
          <w:sz w:val="16"/>
          <w:szCs w:val="16"/>
        </w:rPr>
      </w:pPr>
    </w:p>
    <w:p w14:paraId="2F0992B1" w14:textId="77777777" w:rsidR="00546AC2" w:rsidRPr="00925F26" w:rsidRDefault="00546AC2" w:rsidP="00925F26">
      <w:pPr>
        <w:jc w:val="both"/>
        <w:rPr>
          <w:color w:val="000000" w:themeColor="text1"/>
          <w:sz w:val="16"/>
          <w:szCs w:val="16"/>
        </w:rPr>
      </w:pPr>
      <w:r w:rsidRPr="00925F26">
        <w:rPr>
          <w:color w:val="000000" w:themeColor="text1"/>
          <w:sz w:val="16"/>
          <w:szCs w:val="16"/>
        </w:rPr>
        <w:t>К апрелю 1945 Як-ЗУ с АШ-82ФН построили, но он опоздал — война закончилась, и самолёт остался не у дел (15829).</w:t>
      </w:r>
    </w:p>
    <w:p w14:paraId="1D4D6187" w14:textId="77777777" w:rsidR="00546AC2" w:rsidRPr="00925F26" w:rsidRDefault="00546AC2" w:rsidP="00925F26">
      <w:pPr>
        <w:jc w:val="both"/>
        <w:rPr>
          <w:color w:val="000000" w:themeColor="text1"/>
          <w:sz w:val="16"/>
          <w:szCs w:val="16"/>
        </w:rPr>
      </w:pPr>
    </w:p>
    <w:p w14:paraId="3CA327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апрелю 1945 г. изготовили 100 боевых машин Б-13-СН (СН - спиральные направляющие), сформированы первые подразделения, вооруженные ими. При стрельбе из БМ-13-СН кучность снарядов М-13 и М-13УК была практически одинакова. Испытания опытных образцов спиральных направляющих начались в середине 1944 г. Помимо вращения снарядов спиральные направляющие обладали большей живучестью по сравнению с прямолинейными направляющими, т. к. были менее подвержены действию пороховых газов (11919).</w:t>
      </w:r>
    </w:p>
    <w:p w14:paraId="5A33E5B6" w14:textId="77777777" w:rsidR="00665165" w:rsidRPr="00925F26" w:rsidRDefault="00665165" w:rsidP="00925F26">
      <w:pPr>
        <w:autoSpaceDE w:val="0"/>
        <w:autoSpaceDN w:val="0"/>
        <w:adjustRightInd w:val="0"/>
        <w:jc w:val="both"/>
        <w:rPr>
          <w:color w:val="000000" w:themeColor="text1"/>
          <w:sz w:val="16"/>
          <w:szCs w:val="16"/>
        </w:rPr>
      </w:pPr>
    </w:p>
    <w:p w14:paraId="0F558F89" w14:textId="77777777" w:rsidR="0085285E" w:rsidRPr="001A0BAA" w:rsidRDefault="0085285E" w:rsidP="0085285E">
      <w:pPr>
        <w:jc w:val="both"/>
        <w:rPr>
          <w:color w:val="0070C0"/>
          <w:sz w:val="16"/>
          <w:szCs w:val="16"/>
        </w:rPr>
      </w:pPr>
      <w:r w:rsidRPr="001A0BAA">
        <w:rPr>
          <w:color w:val="0070C0"/>
          <w:sz w:val="16"/>
          <w:szCs w:val="16"/>
        </w:rPr>
        <w:t>К апрелю 1945 г. было изготовлено 100 боевых машин Б-13СН (СН — спиральные направляющие) и сформированы первые подразделения, вооружённые ими. При стрельбе из БМ-13СН кучность снарядов М-13 и М-13УК была практически одинакова. Ракеты М-13 давали радиус сплошного поражения осколками 8–10 м (при установке взрывателя на «О» — осколочное) и действительного поражения — 25–30 м. В грунте средней твёрдости при установке взрывателя на «З» (замедление) создавалась воронка диаметром 2–2,5 м и глубиной 0,8–1 м (25435).</w:t>
      </w:r>
    </w:p>
    <w:p w14:paraId="60703F67" w14:textId="77777777" w:rsidR="0085285E" w:rsidRPr="001A0BAA" w:rsidRDefault="0085285E" w:rsidP="0085285E">
      <w:pPr>
        <w:jc w:val="both"/>
        <w:rPr>
          <w:color w:val="0070C0"/>
          <w:sz w:val="16"/>
          <w:szCs w:val="16"/>
        </w:rPr>
      </w:pPr>
    </w:p>
    <w:p w14:paraId="140066FD" w14:textId="77777777" w:rsidR="00546AC2"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E7BB2A7" w14:textId="77777777" w:rsidR="00546AC2" w:rsidRPr="00925F26" w:rsidRDefault="00546AC2" w:rsidP="00925F26">
      <w:pPr>
        <w:autoSpaceDE w:val="0"/>
        <w:autoSpaceDN w:val="0"/>
        <w:adjustRightInd w:val="0"/>
        <w:jc w:val="both"/>
        <w:rPr>
          <w:iCs/>
          <w:color w:val="000000" w:themeColor="text1"/>
          <w:sz w:val="16"/>
          <w:szCs w:val="16"/>
        </w:rPr>
      </w:pPr>
    </w:p>
    <w:p w14:paraId="1A819A18" w14:textId="0AEAEB7D" w:rsidR="00EE671E" w:rsidRPr="00925F26" w:rsidRDefault="00EE671E" w:rsidP="00925F26">
      <w:pPr>
        <w:jc w:val="both"/>
        <w:rPr>
          <w:color w:val="000000" w:themeColor="text1"/>
          <w:sz w:val="16"/>
          <w:szCs w:val="16"/>
        </w:rPr>
      </w:pPr>
      <w:r w:rsidRPr="00925F26">
        <w:rPr>
          <w:color w:val="000000" w:themeColor="text1"/>
          <w:sz w:val="16"/>
          <w:szCs w:val="16"/>
        </w:rPr>
        <w:t>К апрелю 1945 года за счёт того, что части, ранее вооружённые СУ-85 массово перевооружались на СУ-100, эти машины уже довольно активно мелькали в кадрах хроники. Существенным оказался и их вклад в боевые действия. СУ-100 сыграли важную роль боях в Германии, Австрии и Чехословакии, активно применялись в боях за Берлин и Вену. Несмотря на некоторые проблемы, эта машина стала лучшей союзной САУ среднего класса. Благодаря существенному усилению лобовой детали рубки СУ-100 оказалась куда более устойчивой к огню немецкой противотанковой артиллерии, особенно калибра 75 мм. Наиболее близким к СУ-100 был немецкий истребитель танков Panzer IV/70 (V), но он существенно уступал советской машине в подвижности. Более мощным у СУ-100 оказалось и вооружение, позволявшее поражать «Пантеры» на дистанции свыше километра. Единственным танком, который СУ-100 не могла поразить, был</w:t>
      </w:r>
      <w:r w:rsidR="00997EDF" w:rsidRPr="00925F26">
        <w:rPr>
          <w:color w:val="000000" w:themeColor="text1"/>
          <w:sz w:val="16"/>
          <w:szCs w:val="16"/>
        </w:rPr>
        <w:t xml:space="preserve">  </w:t>
      </w:r>
      <w:hyperlink r:id="rId87" w:history="1">
        <w:r w:rsidRPr="00925F26">
          <w:rPr>
            <w:rStyle w:val="a5"/>
            <w:color w:val="000000" w:themeColor="text1"/>
            <w:sz w:val="16"/>
            <w:szCs w:val="16"/>
          </w:rPr>
          <w:t>Pz.Kpfw.Tiger Ausf.B («Королевский тигр»)</w:t>
        </w:r>
      </w:hyperlink>
      <w:r w:rsidRPr="00925F26">
        <w:rPr>
          <w:color w:val="000000" w:themeColor="text1"/>
          <w:sz w:val="16"/>
          <w:szCs w:val="16"/>
        </w:rPr>
        <w:t>, но их было выпущено меньше 500 штук, и для борьбы с этим редким «зверем» имелись САУ помощнее.</w:t>
      </w:r>
    </w:p>
    <w:p w14:paraId="79015412" w14:textId="77777777" w:rsidR="00EE671E" w:rsidRPr="00925F26" w:rsidRDefault="00EE671E" w:rsidP="00925F26">
      <w:pPr>
        <w:jc w:val="both"/>
        <w:rPr>
          <w:color w:val="000000" w:themeColor="text1"/>
          <w:sz w:val="16"/>
          <w:szCs w:val="16"/>
        </w:rPr>
      </w:pPr>
      <w:r w:rsidRPr="00925F26">
        <w:rPr>
          <w:color w:val="000000" w:themeColor="text1"/>
          <w:sz w:val="16"/>
          <w:szCs w:val="16"/>
        </w:rPr>
        <w:t>Большой объём выпуска и высокие тактико-технические характеристики СУ-100 обеспечили ей долгую жизнь. Несмотря на то, что в ГБТУ КА ещё в 1945 году мечтали о сменщице СУ-100, данная машина стала последней советской средней САУ, выпускавшейся в столь значительных объёмах. СУ-101 (она же Уралмаш-1) так и не пошла в серию, а появившаяся в 50-е годы СУ-122-54 была выпущена скромным тиражом. К тому же выяснилось, что для большинства задач орудия Д-10С вполне хватает. В результате СУ-100 надолго задержалась в советской армии, пройдя несколько этапов модернизации. В более поздние годы СУ-100 использовалась в основном как учебная машина, официально её сняли с вооружения уже российской армии в 1997 году (вместе с Т-34-85).</w:t>
      </w:r>
    </w:p>
    <w:p w14:paraId="43033013" w14:textId="79A54F31" w:rsidR="00EE671E" w:rsidRPr="00925F26" w:rsidRDefault="00EE671E" w:rsidP="00925F26">
      <w:pPr>
        <w:jc w:val="both"/>
        <w:rPr>
          <w:color w:val="000000" w:themeColor="text1"/>
          <w:sz w:val="16"/>
          <w:szCs w:val="16"/>
        </w:rPr>
      </w:pPr>
      <w:r w:rsidRPr="00925F26">
        <w:rPr>
          <w:color w:val="000000" w:themeColor="text1"/>
          <w:sz w:val="16"/>
          <w:szCs w:val="16"/>
        </w:rPr>
        <w:t>В больших объёмах СУ-100 поставлялась за рубеж: в Польшу, Чехословакию (там она ещё и выпускалась по лицензии как</w:t>
      </w:r>
      <w:r w:rsidR="00997EDF" w:rsidRPr="00925F26">
        <w:rPr>
          <w:color w:val="000000" w:themeColor="text1"/>
          <w:sz w:val="16"/>
          <w:szCs w:val="16"/>
        </w:rPr>
        <w:t xml:space="preserve">  </w:t>
      </w:r>
      <w:hyperlink r:id="rId88" w:history="1">
        <w:r w:rsidRPr="00925F26">
          <w:rPr>
            <w:rStyle w:val="a5"/>
            <w:color w:val="000000" w:themeColor="text1"/>
            <w:sz w:val="16"/>
            <w:szCs w:val="16"/>
          </w:rPr>
          <w:t>SD-100</w:t>
        </w:r>
      </w:hyperlink>
      <w:r w:rsidRPr="00925F26">
        <w:rPr>
          <w:color w:val="000000" w:themeColor="text1"/>
          <w:sz w:val="16"/>
          <w:szCs w:val="16"/>
        </w:rPr>
        <w:t>), Болгарию, Югославию, ГДР, Румынию, Албанию, Кубу, Китай и ряд других стран. Эта машина неоднократно участвовала в локальных конфликтах, более того, некоторые СУ-100 воюют до сих пор (например, в Йемене). Таким образом, ставить точку в боевой карьере этой машины ещё рано (18252).</w:t>
      </w:r>
    </w:p>
    <w:p w14:paraId="6C58145A" w14:textId="77777777" w:rsidR="00EE671E" w:rsidRPr="00925F26" w:rsidRDefault="00EE671E" w:rsidP="00925F26">
      <w:pPr>
        <w:jc w:val="both"/>
        <w:rPr>
          <w:color w:val="000000" w:themeColor="text1"/>
          <w:sz w:val="16"/>
          <w:szCs w:val="16"/>
        </w:rPr>
      </w:pPr>
    </w:p>
    <w:p w14:paraId="0A11BD88" w14:textId="77777777" w:rsidR="00546AC2" w:rsidRPr="00925F26" w:rsidRDefault="00546AC2" w:rsidP="00925F26">
      <w:pPr>
        <w:pStyle w:val="book"/>
        <w:ind w:firstLine="0"/>
        <w:jc w:val="both"/>
        <w:rPr>
          <w:color w:val="000000" w:themeColor="text1"/>
          <w:sz w:val="16"/>
          <w:szCs w:val="16"/>
        </w:rPr>
      </w:pPr>
      <w:r w:rsidRPr="00925F26">
        <w:rPr>
          <w:color w:val="000000" w:themeColor="text1"/>
          <w:sz w:val="16"/>
          <w:szCs w:val="16"/>
        </w:rPr>
        <w:t>К апрелю 1945 г. «Граф Цеппелин» немцы так и не достроили. На корабле артвооружение отсутствовало, монтаж приборов и оборудования постов управления стрельбой не был закончен, электрооборудование смонтировано лишь частично, как и специальные авиационно-технические устройства. Самолетов на корабле не было. Однако «Граф Цеппелин» успел получить комплектную механическую установку, также функционировали бортовые генераторы электроэнергии. К моменту наступления на Штеттин советских войск «Граф Цеппелин» находился в протоке Монне реки Одер. В 18 часов 24 апреля 1945 г. старший морской начальник Штеттина капитан 1-го ранга В. Кахлер отдал по радио приказ специальной команде, находившейся на авианосце. Взрывы очень грамотно заложенных зарядов привели в полную негодность главные турбины, электрогенераторы и самолетоподъемники. Ко времени вступления в город советских войск через небольшие пробоины, трещины и неплотности наружной обшивки во внутренние отсеки корпуса корабля проникла забортная вода, и авианосец поэтому находился в притопленном состоянии. Летом 1945 г. силами аварийно-спасательной службы Балтийского флота «Граф Цеппелин» был поднят, а 19 августа его зачислили в состав ВМФ СССР. 19 марта 1947 г. вышло Постановление Совмина № 601—209сс «об уничтожении в 1947 г. бывших немецких кораблей категории "С"». 14 августа 1947 г. пять буксиров вывели авианосец на рейд Сименюнде</w:t>
      </w:r>
      <w:hyperlink r:id="rId89" w:anchor="n_2" w:tooltip="    Свинемюнде (Swinemünde, после 1945 г. — Świnoujście) — OCR   " w:history="1">
        <w:r w:rsidRPr="00925F26">
          <w:rPr>
            <w:rStyle w:val="a5"/>
            <w:color w:val="000000" w:themeColor="text1"/>
            <w:sz w:val="16"/>
            <w:szCs w:val="16"/>
            <w:vertAlign w:val="superscript"/>
          </w:rPr>
          <w:t>[2]</w:t>
        </w:r>
      </w:hyperlink>
      <w:r w:rsidRPr="00925F26">
        <w:rPr>
          <w:color w:val="000000" w:themeColor="text1"/>
          <w:sz w:val="16"/>
          <w:szCs w:val="16"/>
        </w:rPr>
        <w:t>, а затем в открытое море. К утру 16 августа «Цеппелин» был доставлен в намеченное место. Для начала авианосец подорвали заранее заложенными бомбами ФАБ-1000 (в дымовой трубе), тремя ФАБ-100 и двумя 180-мм артиллерийскими снарядами под полетной палубой. Во время второго подрыва взорвали еще одну ФАБ-1000 на полетной палубе. Третья серия одновременных подрывов заключалась в одновременной детонации ФАБ-250 и двух 180-мм снарядов. Бомба взорвалась на полетной палубе, снаряды — на верхней ангарной. Четвертая серия включала одновременный подрыв ФАБ-500 на высоте 2,7 м над полетной палубой (бомба вывешивалась на треноге), ФАБ-250 на палубе верхнего ангара, ФАБ-250 на полетной палубе и ФАБ-100 на палубе «С» (батарейной). Наконец, пятая серия заключалась в одновременном подрыве ФАБ-500 и ФАБ-100 на полетной палубе. Необходимо отметить, что часть бомб на полетной палубе в месте подрыва размещалась с заглублением — в настиле палубы вырезался колодец, в который бомба вывешивалась почти по стабилизатор. Это как бы имитировало проникающий эффект при кинетическом ударе. Несмотря на отсутствие экипажа, ведущего борьбу за живучесть, «Цеппелин» упорно не хотел тонуть. Тогда вице-адмирал Ю.Ф. Ралль, герой этой славной виктории нашего флота, приказал потопить его торпедами. В дело были введены торпедные катера ТК-248, ТК-425 и ТК-503 (типа «Элко», полученные по ленд-лизу), а также эсминцы «Славный», «Строгий» и «Стройный». Первыми к авианосцу подошли катера. Атака Т-248 оказалась безуспешной — торпеда, не взорвавшись, прошла под килем «Цеппелина». Через 15 минут ТК-503 попал торпедой в правый борт в районе 130 шпангоута. Взрывом разрушило конструкции буля, но находившийся за ним броневой пояс остался неповрежденным. Через час подошли эсминцы. «Славный» попал торпедой в правый борт в районе 180 шпангоута, то есть в район носового самолетоподъемника, где ниже ватерлинии не было ни булей, ни другой подводной конструктивной защиты. Только после этого авианосец начал медленно погружаться и через 25 минут затонул. Координаты гибели «Цеппелина» до сих пор скрываются нашими «любителями гласности» (15225).</w:t>
      </w:r>
    </w:p>
    <w:p w14:paraId="65A0AF32" w14:textId="77777777" w:rsidR="00546AC2" w:rsidRPr="00925F26" w:rsidRDefault="00546AC2" w:rsidP="00925F26">
      <w:pPr>
        <w:pStyle w:val="book"/>
        <w:ind w:firstLine="0"/>
        <w:jc w:val="both"/>
        <w:rPr>
          <w:color w:val="000000" w:themeColor="text1"/>
          <w:sz w:val="16"/>
          <w:szCs w:val="16"/>
        </w:rPr>
      </w:pPr>
    </w:p>
    <w:p w14:paraId="606DF21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4EE6ABF" w14:textId="77777777" w:rsidR="00665165" w:rsidRPr="00925F26" w:rsidRDefault="00665165" w:rsidP="00925F26">
      <w:pPr>
        <w:autoSpaceDE w:val="0"/>
        <w:autoSpaceDN w:val="0"/>
        <w:adjustRightInd w:val="0"/>
        <w:jc w:val="both"/>
        <w:rPr>
          <w:iCs/>
          <w:color w:val="000000" w:themeColor="text1"/>
          <w:sz w:val="16"/>
          <w:szCs w:val="16"/>
        </w:rPr>
      </w:pPr>
    </w:p>
    <w:p w14:paraId="798219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 1 апреля 1945 года головную серийную машину Як-3 М-107А №7003 завода №31 доставили по железной дороге на завод №115. Стыковка самолета и исправление производственных дефектов продолжались до 12 апреля, когда самолет выкатили на аэродром.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w:t>
      </w:r>
      <w:proofErr w:type="gramStart"/>
      <w:r w:rsidRPr="00925F26">
        <w:rPr>
          <w:color w:val="000000" w:themeColor="text1"/>
          <w:sz w:val="16"/>
          <w:szCs w:val="16"/>
        </w:rPr>
        <w:t>маслорадиа- тор</w:t>
      </w:r>
      <w:proofErr w:type="gramEnd"/>
      <w:r w:rsidRPr="00925F26">
        <w:rPr>
          <w:color w:val="000000" w:themeColor="text1"/>
          <w:sz w:val="16"/>
          <w:szCs w:val="16"/>
        </w:rPr>
        <w:t xml:space="preserve"> типа 555 на ОП-622 с большей охлаждающей поверхностью, а в качестве передатчика использовали РСИ-ЗМ-1 (12047).</w:t>
      </w:r>
    </w:p>
    <w:p w14:paraId="0F105DE3" w14:textId="77777777" w:rsidR="00665165" w:rsidRPr="00925F26" w:rsidRDefault="00665165" w:rsidP="00925F26">
      <w:pPr>
        <w:autoSpaceDE w:val="0"/>
        <w:autoSpaceDN w:val="0"/>
        <w:adjustRightInd w:val="0"/>
        <w:jc w:val="both"/>
        <w:rPr>
          <w:color w:val="000000" w:themeColor="text1"/>
          <w:sz w:val="16"/>
          <w:szCs w:val="16"/>
        </w:rPr>
      </w:pPr>
    </w:p>
    <w:p w14:paraId="01EE7D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 апреля 1945 года Директором завода № 794 МАП стал Петров А.П.</w:t>
      </w:r>
    </w:p>
    <w:p w14:paraId="3556F4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ОКБ:</w:t>
      </w:r>
    </w:p>
    <w:p w14:paraId="63FE8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Комедатов Ю.Г. – С 3 июня 1946 года по 3 сентября 1950 года</w:t>
      </w:r>
    </w:p>
    <w:p w14:paraId="36175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Котов А.А. – с 3 сентября 1950 года по 23 сентября 1954 года</w:t>
      </w:r>
    </w:p>
    <w:p w14:paraId="3859FE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Зазорин Е.А. – с 23 сентября 1954 года</w:t>
      </w:r>
    </w:p>
    <w:p w14:paraId="6F85C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w:t>
      </w:r>
    </w:p>
    <w:p w14:paraId="7B0997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Ленинград, Волковская ул., д. 27 (9866).</w:t>
      </w:r>
    </w:p>
    <w:p w14:paraId="39FBADD7" w14:textId="77777777" w:rsidR="00665165" w:rsidRPr="00925F26" w:rsidRDefault="00665165" w:rsidP="00925F26">
      <w:pPr>
        <w:autoSpaceDE w:val="0"/>
        <w:autoSpaceDN w:val="0"/>
        <w:adjustRightInd w:val="0"/>
        <w:jc w:val="both"/>
        <w:rPr>
          <w:color w:val="000000" w:themeColor="text1"/>
          <w:sz w:val="16"/>
          <w:szCs w:val="16"/>
        </w:rPr>
      </w:pPr>
    </w:p>
    <w:p w14:paraId="7EEB14BF" w14:textId="77777777" w:rsidR="00A45A36" w:rsidRPr="00925F26" w:rsidRDefault="00A45A36"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Другие оборонные отрасли:</w:t>
      </w:r>
    </w:p>
    <w:p w14:paraId="1B87D3DB" w14:textId="77777777" w:rsidR="00A45A36" w:rsidRPr="00925F26" w:rsidRDefault="00A45A36" w:rsidP="00925F26">
      <w:pPr>
        <w:autoSpaceDE w:val="0"/>
        <w:autoSpaceDN w:val="0"/>
        <w:adjustRightInd w:val="0"/>
        <w:jc w:val="both"/>
        <w:rPr>
          <w:iCs/>
          <w:color w:val="000000" w:themeColor="text1"/>
          <w:sz w:val="16"/>
          <w:szCs w:val="16"/>
        </w:rPr>
      </w:pPr>
    </w:p>
    <w:p w14:paraId="00D61EEA" w14:textId="77777777" w:rsidR="00A45A36" w:rsidRPr="00925F26" w:rsidRDefault="00A45A36" w:rsidP="00925F26">
      <w:pPr>
        <w:jc w:val="both"/>
        <w:rPr>
          <w:color w:val="000000" w:themeColor="text1"/>
          <w:sz w:val="16"/>
          <w:szCs w:val="16"/>
        </w:rPr>
      </w:pPr>
      <w:r w:rsidRPr="00925F26">
        <w:rPr>
          <w:color w:val="000000" w:themeColor="text1"/>
          <w:sz w:val="16"/>
          <w:szCs w:val="16"/>
        </w:rPr>
        <w:t>Начиная с 1 апреля СУ-100 согласно приказу-изменению №58 ОГК УЗТМ, сдаются заводом с буксирными тросами длиной 6,5 метров (письмо и.о. райинженера УСА ГВТУ КА инженер-подполковника Агрикова начальнику УСА ГВТУ КА генерал-майору инженерно-танковой службы Алымову. ЦАМО, фонд 38 опись 11369 дело 507). При</w:t>
      </w:r>
      <w:r w:rsidRPr="00925F26">
        <w:rPr>
          <w:color w:val="000000" w:themeColor="text1"/>
          <w:sz w:val="16"/>
          <w:szCs w:val="16"/>
        </w:rPr>
        <w:softHyphen/>
        <w:t>чина все та же - крайне неудобно буксиро</w:t>
      </w:r>
      <w:r w:rsidRPr="00925F26">
        <w:rPr>
          <w:color w:val="000000" w:themeColor="text1"/>
          <w:sz w:val="16"/>
          <w:szCs w:val="16"/>
        </w:rPr>
        <w:softHyphen/>
        <w:t>вать за передние крюки машину с длинным стволом без поворотной башни. Переписка по поводу необходимости удлинения тросов велась еще с января 1945 года.</w:t>
      </w:r>
    </w:p>
    <w:p w14:paraId="316CA624" w14:textId="77777777" w:rsidR="00A45A36" w:rsidRPr="00925F26" w:rsidRDefault="00A45A36" w:rsidP="00925F26">
      <w:pPr>
        <w:jc w:val="both"/>
        <w:rPr>
          <w:color w:val="000000" w:themeColor="text1"/>
          <w:sz w:val="16"/>
          <w:szCs w:val="16"/>
        </w:rPr>
      </w:pPr>
      <w:r w:rsidRPr="00925F26">
        <w:rPr>
          <w:color w:val="000000" w:themeColor="text1"/>
          <w:sz w:val="16"/>
          <w:szCs w:val="16"/>
        </w:rPr>
        <w:t>Новые тросы укладывались так: первый надевался коушем на левый передний бук</w:t>
      </w:r>
      <w:r w:rsidRPr="00925F26">
        <w:rPr>
          <w:color w:val="000000" w:themeColor="text1"/>
          <w:sz w:val="16"/>
          <w:szCs w:val="16"/>
        </w:rPr>
        <w:softHyphen/>
        <w:t>сирный крюк и тянулся к скобе на правом борту под задним дополнительным топлив</w:t>
      </w:r>
      <w:r w:rsidRPr="00925F26">
        <w:rPr>
          <w:color w:val="000000" w:themeColor="text1"/>
          <w:sz w:val="16"/>
          <w:szCs w:val="16"/>
        </w:rPr>
        <w:softHyphen/>
        <w:t>ным баком (ничто не мешало уложить его и зеркально - после войны обычно так и дела</w:t>
      </w:r>
      <w:r w:rsidRPr="00925F26">
        <w:rPr>
          <w:color w:val="000000" w:themeColor="text1"/>
          <w:sz w:val="16"/>
          <w:szCs w:val="16"/>
        </w:rPr>
        <w:softHyphen/>
        <w:t>ли). Второй надевался коушем на левый зад</w:t>
      </w:r>
      <w:r w:rsidRPr="00925F26">
        <w:rPr>
          <w:color w:val="000000" w:themeColor="text1"/>
          <w:sz w:val="16"/>
          <w:szCs w:val="16"/>
        </w:rPr>
        <w:softHyphen/>
        <w:t>ний буксирный крюк и тянулся к скобе на левом переднем грязевом щитке (ее сюда перенесли с правого щитка). По всей види</w:t>
      </w:r>
      <w:r w:rsidRPr="00925F26">
        <w:rPr>
          <w:color w:val="000000" w:themeColor="text1"/>
          <w:sz w:val="16"/>
          <w:szCs w:val="16"/>
        </w:rPr>
        <w:softHyphen/>
        <w:t>мости, в это же время для удобства укладки троса переносится в кормовую часть левой надгусеничной полки бонка для крепления скоб сращивания тросов (19927).</w:t>
      </w:r>
    </w:p>
    <w:p w14:paraId="302E7039" w14:textId="77777777" w:rsidR="00A45A36" w:rsidRPr="00925F26" w:rsidRDefault="00A45A36" w:rsidP="00925F26">
      <w:pPr>
        <w:jc w:val="both"/>
        <w:rPr>
          <w:color w:val="000000" w:themeColor="text1"/>
          <w:sz w:val="16"/>
          <w:szCs w:val="16"/>
        </w:rPr>
      </w:pPr>
    </w:p>
    <w:p w14:paraId="0748F13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45B8CBA" w14:textId="77777777" w:rsidR="00665165" w:rsidRPr="00925F26" w:rsidRDefault="00665165" w:rsidP="00925F26">
      <w:pPr>
        <w:autoSpaceDE w:val="0"/>
        <w:autoSpaceDN w:val="0"/>
        <w:adjustRightInd w:val="0"/>
        <w:jc w:val="both"/>
        <w:rPr>
          <w:iCs/>
          <w:color w:val="000000" w:themeColor="text1"/>
          <w:sz w:val="16"/>
          <w:szCs w:val="16"/>
        </w:rPr>
      </w:pPr>
    </w:p>
    <w:p w14:paraId="17326DB3" w14:textId="77777777" w:rsidR="00531F9E" w:rsidRPr="00925F26" w:rsidRDefault="00531F9E" w:rsidP="00925F26">
      <w:pPr>
        <w:jc w:val="both"/>
        <w:rPr>
          <w:color w:val="000000" w:themeColor="text1"/>
          <w:sz w:val="16"/>
          <w:szCs w:val="16"/>
        </w:rPr>
      </w:pPr>
      <w:r w:rsidRPr="00925F26">
        <w:rPr>
          <w:color w:val="000000" w:themeColor="text1"/>
          <w:sz w:val="16"/>
          <w:szCs w:val="16"/>
        </w:rPr>
        <w:t>1 апреля в 1945 году оперативная сводка Совинформбюро:</w:t>
      </w:r>
    </w:p>
    <w:p w14:paraId="04A7335D" w14:textId="77777777" w:rsidR="00531F9E" w:rsidRPr="00925F26" w:rsidRDefault="00531F9E" w:rsidP="00925F26">
      <w:pPr>
        <w:jc w:val="both"/>
        <w:rPr>
          <w:color w:val="000000" w:themeColor="text1"/>
          <w:sz w:val="16"/>
          <w:szCs w:val="16"/>
        </w:rPr>
      </w:pPr>
      <w:r w:rsidRPr="00925F26">
        <w:rPr>
          <w:color w:val="000000" w:themeColor="text1"/>
          <w:sz w:val="16"/>
          <w:szCs w:val="16"/>
        </w:rPr>
        <w:t>«Войска 1-го Украинского фронта, после длительной осады и упорных боёв, завершили ликвидацию окружённого гарнизона противника и 1 апреля овладели городом и крепостью Глогау (Глогув)— мощным узлом обороны немцев на левом берегу Одера.</w:t>
      </w:r>
    </w:p>
    <w:p w14:paraId="1D6A2744" w14:textId="77777777" w:rsidR="00531F9E" w:rsidRPr="00925F26" w:rsidRDefault="00531F9E" w:rsidP="00925F26">
      <w:pPr>
        <w:jc w:val="both"/>
        <w:rPr>
          <w:color w:val="000000" w:themeColor="text1"/>
          <w:sz w:val="16"/>
          <w:szCs w:val="16"/>
        </w:rPr>
      </w:pPr>
      <w:r w:rsidRPr="00925F26">
        <w:rPr>
          <w:color w:val="000000" w:themeColor="text1"/>
          <w:sz w:val="16"/>
          <w:szCs w:val="16"/>
        </w:rPr>
        <w:t>В ходе боёв за Глогау войска фронта взяли в плен более 8.000 немецких солдат и офицеров и захватили большое количество вооружения и другого военного имущества.</w:t>
      </w:r>
    </w:p>
    <w:p w14:paraId="0C712330" w14:textId="77777777" w:rsidR="00531F9E" w:rsidRPr="00925F26" w:rsidRDefault="00531F9E"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1 апреля овладели городами Трнава, Глоговец, Сенец — важными узлами дорог и опорными пунктами обороны немцев, прикрывающими подступы к Братиславе, а также с боями заняли на территории Чехословакии более 150 других населённых пунктов, в том числе крупные населённые пункты Вичапи-Опатовце, Ашакерть, Алекшинце, Уйлак, Баб, Шинтава, Великий Мачад, Великий и Малый Диосек, Великий Федимеш, Фаркашин, Цифер, Бахонь, Елка, Нарашд, Алишталь, Великий Медер, Паташ, Медве и железнодорожные станции Ловашовце, Збеги, Алекшинце, Великий Диосек, Горни-Шталь, Екечь, Великий Медер. Одновременна войска фронта, наступая по южному берегу Дуная, заняли на территории Венгрии населённые пункты Ашвань, Липот, Дунаремете, Ходервар, Хорваткимле, Лебени, Мошонсентпетер и железнодорожные станции Лебени, Хорваткимле, Ханшач, Мошонсентпетер. В боях за 31 марта и 1 апреля войска фронта взяли в плен 6.150 солдат и офицеров противника.</w:t>
      </w:r>
    </w:p>
    <w:p w14:paraId="6B5FA6DA" w14:textId="77777777" w:rsidR="00531F9E" w:rsidRPr="00925F26" w:rsidRDefault="00531F9E" w:rsidP="00925F26">
      <w:pPr>
        <w:jc w:val="both"/>
        <w:rPr>
          <w:color w:val="000000" w:themeColor="text1"/>
          <w:sz w:val="16"/>
          <w:szCs w:val="16"/>
        </w:rPr>
      </w:pPr>
      <w:r w:rsidRPr="00925F26">
        <w:rPr>
          <w:color w:val="000000" w:themeColor="text1"/>
          <w:sz w:val="16"/>
          <w:szCs w:val="16"/>
        </w:rPr>
        <w:t>Войска 3-го Украинского фронта, продолжая наступление, 1 апреля овладели городом Шопрон — крупным железнодорожным узлом и важным опорным пунктом обороны немцев на подступах к Вене, а также заняли на территории Венгрии более 100 других населённых пунктов и среди них Фортеракош, Агфальва, Бреннберг, Вашкерестеш, Парноапати, Сентпетерфа, Пинкоминосент. Одновременно на территории Австрии, восточнее и южнее города Винер Нойштадт, войска фронта заняли более 30 населённых пунктов, в том числе Руст, Трауерсдорф, Зигендорф, Драсбург, Матерсбург, Форхтенау, Бромберг, Кирхау. Юго-западнее озера Балатон войска фронта, действуя совместно с войсками болгарской армии, заняли более 60 населённых пунктов, среди которых крупные населённые пункты Кишкомаром, Галамбок, Ихарошберень, Ихарош, Егерарача, Уюдвар, Шанц, Багола Шанц, Лисо, Шурд, Дьекеньеш и железнодорожные станции Кимарварош, Сент-Яков. В боях за 31 марта войска фронта взяли в плен более 26.000 солдат и офицеров противника и захватили следующие трофеи: самолётов—127, танков— 17, полевых орудий — 291, пулеметов—1.547, автомашин — 1.390, паровозов — 27, железнодорожных вагонов—1.516. В городе Шопрон нашими войсками освобождён из тюрьмы арестованный немцами бывший командующий 2-й венгерской армией генерал-полковник Вереш Лайош, который направлен в распоряжение Временного Национального Правительства Венгрии.</w:t>
      </w:r>
    </w:p>
    <w:p w14:paraId="4F90DECC" w14:textId="77777777" w:rsidR="00531F9E" w:rsidRPr="00925F26" w:rsidRDefault="00531F9E"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w:t>
      </w:r>
    </w:p>
    <w:p w14:paraId="03C01DA4" w14:textId="77777777" w:rsidR="00531F9E" w:rsidRPr="00925F26" w:rsidRDefault="00531F9E" w:rsidP="00925F26">
      <w:pPr>
        <w:jc w:val="both"/>
        <w:rPr>
          <w:color w:val="000000" w:themeColor="text1"/>
          <w:sz w:val="16"/>
          <w:szCs w:val="16"/>
        </w:rPr>
      </w:pPr>
      <w:r w:rsidRPr="00925F26">
        <w:rPr>
          <w:color w:val="000000" w:themeColor="text1"/>
          <w:sz w:val="16"/>
          <w:szCs w:val="16"/>
        </w:rPr>
        <w:t>За 31 марта на всех фронтах подбито и уничтожено 46 немецких танков и самоходных орудий. В воздушных боях и огнём зенитной артиллерии сбито 26 самолётов противника.</w:t>
      </w:r>
    </w:p>
    <w:p w14:paraId="7C3DD4C5" w14:textId="77777777" w:rsidR="00531F9E" w:rsidRPr="00925F26" w:rsidRDefault="00531F9E" w:rsidP="00925F26">
      <w:pPr>
        <w:jc w:val="both"/>
        <w:rPr>
          <w:color w:val="000000" w:themeColor="text1"/>
          <w:sz w:val="16"/>
          <w:szCs w:val="16"/>
        </w:rPr>
      </w:pPr>
      <w:r w:rsidRPr="00925F26">
        <w:rPr>
          <w:color w:val="000000" w:themeColor="text1"/>
          <w:sz w:val="16"/>
          <w:szCs w:val="16"/>
        </w:rPr>
        <w:t>Войска 1-го Украинского фронта овладели городом и крепостью Глогау — мощным узлом обороны немцев на левом берегу реки Одер. Противник создал в городе четыре основных узла сопротивления — казармы Гинденбурга, казармы Людендорфа, район стадиона и район старой крепости. Все эти узлы сопротивления были связаны подземными ходами сообщения. Город обороняли отборные части немцев, специально подготовленные для уличных боёв. Наши войска, окружив Глогау, развернули планомерные действия по уничтожению вражеского гарнизона. Советские штурмовые группы настойчиво продвигались вперёд, выбивая немцев из укреплений. Особенно ожесточенные бои произошли за казармы Людендорфа. Наши подразделения обошли район казарм с севера, запада и юга. В это время артиллеристы и миномётчики открыли огонь по окнам нижних этажей и подвалам казарм, в которых были сосредоточены огневые средства противника. Под прикрытием огня советские пехотинцы и сапёры пошли на штурм. Вскоре пять казарм были заняты. Последняя, шестая казарма, гарнизон которой упорно сопротивлялся, была взорвана. Другие наши подразделения, наращивая удары, очистили от немцев район стадиона, казармы Гинденбурга и железнодорожный узел. Сегодня наши войска овладели крепостью старого города и тем самым завершили ликвидацию окружённого немецкого гарнизона.</w:t>
      </w:r>
    </w:p>
    <w:p w14:paraId="6B18929C" w14:textId="77777777" w:rsidR="00531F9E" w:rsidRPr="00925F26" w:rsidRDefault="00531F9E" w:rsidP="00925F26">
      <w:pPr>
        <w:jc w:val="both"/>
        <w:rPr>
          <w:color w:val="000000" w:themeColor="text1"/>
          <w:sz w:val="16"/>
          <w:szCs w:val="16"/>
        </w:rPr>
      </w:pPr>
      <w:r w:rsidRPr="00925F26">
        <w:rPr>
          <w:color w:val="000000" w:themeColor="text1"/>
          <w:sz w:val="16"/>
          <w:szCs w:val="16"/>
        </w:rPr>
        <w:t>Войска 2-го Украинского фронта развивали успешное наступление. Советские части, преодолевая на своём пути многочисленные речки, болота и каналы, с боями продвинулись вперёд на 25 километров. Сегодня наши войска заняли город Трнава — узел пяти железных дорог. В этом районе группа вражеских танков и пехоты пыталась нанести удар во фланг наших наступающих подразделений. После упорного боя, в ходе которого уничтожено 17 танков и два батальона немцев, противник был рассеян. Советские части, наступающие вдоль дороги Новы-Замки — Братислава, выбили гитлеровцев из города Сенеп, находящегося в 20 километрах от Братиславы. Войска фронта, совершив стремительный обходный манёвр, прижали к реке Малый Дунай группу противника и ведут бои по её уничтожению.</w:t>
      </w:r>
    </w:p>
    <w:p w14:paraId="28BD4D0E" w14:textId="77777777" w:rsidR="00531F9E" w:rsidRPr="00925F26" w:rsidRDefault="00531F9E" w:rsidP="00925F26">
      <w:pPr>
        <w:jc w:val="both"/>
        <w:rPr>
          <w:color w:val="000000" w:themeColor="text1"/>
          <w:sz w:val="16"/>
          <w:szCs w:val="16"/>
        </w:rPr>
      </w:pPr>
      <w:r w:rsidRPr="00925F26">
        <w:rPr>
          <w:color w:val="000000" w:themeColor="text1"/>
          <w:sz w:val="16"/>
          <w:szCs w:val="16"/>
        </w:rPr>
        <w:t>Население чехословацких городов и сёл с величайшей радостью встречает части Красной Армии. Стихийно возникают митинги и демонстрации в честь победоносных советских войск, освобождающих народы Чехословакии от фашистского ига.</w:t>
      </w:r>
    </w:p>
    <w:p w14:paraId="0141D899" w14:textId="77777777" w:rsidR="00531F9E" w:rsidRPr="00925F26" w:rsidRDefault="00531F9E" w:rsidP="00925F26">
      <w:pPr>
        <w:jc w:val="both"/>
        <w:rPr>
          <w:color w:val="000000" w:themeColor="text1"/>
          <w:sz w:val="16"/>
          <w:szCs w:val="16"/>
        </w:rPr>
      </w:pPr>
      <w:r w:rsidRPr="00925F26">
        <w:rPr>
          <w:color w:val="000000" w:themeColor="text1"/>
          <w:sz w:val="16"/>
          <w:szCs w:val="16"/>
        </w:rPr>
        <w:t>Войска 3-го Украинского фронта продолжали наступление. Советские части, продвигаясь между озером Ферта (Нойзидлер-Зее) и отрогами Восточных Альп, овладели городом Шопрон — крупным узлом путей сообщения и сильно укреплённым опорным пунктом на подступах к австрийской столице Вене. Противник, пытаясь задержать наступление советских частей, непрерывно вводит в бой свежие силы. Разгромлены подразделения венской офицерской школы и запасной немецкой дивизии. Отступая под ударами советских войск, немцы бросают много оружия и оставляют склады с боеприпасами и военным имуществом.</w:t>
      </w:r>
    </w:p>
    <w:p w14:paraId="561F1622" w14:textId="77777777" w:rsidR="00531F9E" w:rsidRPr="00925F26" w:rsidRDefault="00531F9E" w:rsidP="00925F26">
      <w:pPr>
        <w:jc w:val="both"/>
        <w:rPr>
          <w:color w:val="000000" w:themeColor="text1"/>
          <w:sz w:val="16"/>
          <w:szCs w:val="16"/>
        </w:rPr>
      </w:pPr>
      <w:r w:rsidRPr="00925F26">
        <w:rPr>
          <w:color w:val="000000" w:themeColor="text1"/>
          <w:sz w:val="16"/>
          <w:szCs w:val="16"/>
        </w:rPr>
        <w:t>Юго-западнее озера Балатон ожесточенные бои происходят на подступах к городу Надьканижа. Противник, опираясь на заранее подготовленную полосу обороны, прикрывающую надьканижский нефтяной район, оказывает упорное сопротивление. Наши войска прорвали несколько линий вражеских траншей и, продвигаясь вперёд, заняли опорные пункты: Уюдвар в 8 километрах севернее Надьканижа и Шанц — в 2 километрах восточнее Надьканижа. В ходе боев противник несёт тяжёлые потери в живой силе и технике. По дорогам конвоируются тысячи немецких солдат и офицеров, взятых в плен войсками фронта.» (15086).</w:t>
      </w:r>
    </w:p>
    <w:p w14:paraId="01A10B2C" w14:textId="77777777" w:rsidR="00531F9E" w:rsidRPr="00925F26" w:rsidRDefault="00531F9E" w:rsidP="00925F26">
      <w:pPr>
        <w:jc w:val="both"/>
        <w:rPr>
          <w:color w:val="000000" w:themeColor="text1"/>
          <w:sz w:val="16"/>
          <w:szCs w:val="16"/>
        </w:rPr>
      </w:pPr>
    </w:p>
    <w:p w14:paraId="1A3636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марта и 1 апреля 1945, наиболее опытными летчи</w:t>
      </w:r>
      <w:r w:rsidRPr="00925F26">
        <w:rPr>
          <w:color w:val="000000" w:themeColor="text1"/>
          <w:sz w:val="16"/>
          <w:szCs w:val="16"/>
        </w:rPr>
        <w:softHyphen/>
        <w:t>ками 108 гвардейского шткрмового полка были выполнены испыта</w:t>
      </w:r>
      <w:r w:rsidRPr="00925F26">
        <w:rPr>
          <w:color w:val="000000" w:themeColor="text1"/>
          <w:sz w:val="16"/>
          <w:szCs w:val="16"/>
        </w:rPr>
        <w:softHyphen/>
        <w:t>тельные полеты с целью определения надежности в работе стрелково-</w:t>
      </w:r>
      <w:proofErr w:type="gramStart"/>
      <w:r w:rsidRPr="00925F26">
        <w:rPr>
          <w:color w:val="000000" w:themeColor="text1"/>
          <w:sz w:val="16"/>
          <w:szCs w:val="16"/>
        </w:rPr>
        <w:t>пу-шечного</w:t>
      </w:r>
      <w:proofErr w:type="gramEnd"/>
      <w:r w:rsidRPr="00925F26">
        <w:rPr>
          <w:color w:val="000000" w:themeColor="text1"/>
          <w:sz w:val="16"/>
          <w:szCs w:val="16"/>
        </w:rPr>
        <w:t xml:space="preserve"> и бомбового вооружения «десятки». Всего было выполнено 8 испытательных полетов с налетом 5 часов 30 минут. Пушки и пулеметы ра</w:t>
      </w:r>
      <w:r w:rsidRPr="00925F26">
        <w:rPr>
          <w:color w:val="000000" w:themeColor="text1"/>
          <w:sz w:val="16"/>
          <w:szCs w:val="16"/>
        </w:rPr>
        <w:softHyphen/>
        <w:t>ботали как часы. Зависания бомб не наблюдалось. Только в одном случае произошел отказ ЭСБР-Зп (11157).</w:t>
      </w:r>
    </w:p>
    <w:p w14:paraId="2CD105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9C1525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1st, 1945: In the East, bitter fighting rages in the western suburbs of the fortress city of Breslau. In the Southeast, the Soviet 3rd Ukrainian Front (Tolbukhin) reaches Wiener Neustadt in its advance toward Vienna. In the West, the US Ninth Army (Simpson) reaches Lippstadt, thus trapping 300,000 German troops of Heeresgruppe B (Model) in the socalled Ruhr pocket (3819).</w:t>
      </w:r>
    </w:p>
    <w:p w14:paraId="388025B6" w14:textId="77777777" w:rsidR="00665165" w:rsidRPr="00925F26" w:rsidRDefault="00665165" w:rsidP="00925F26">
      <w:pPr>
        <w:autoSpaceDE w:val="0"/>
        <w:autoSpaceDN w:val="0"/>
        <w:adjustRightInd w:val="0"/>
        <w:jc w:val="both"/>
        <w:rPr>
          <w:color w:val="000000" w:themeColor="text1"/>
          <w:sz w:val="16"/>
          <w:szCs w:val="16"/>
          <w:lang w:val="en-US"/>
        </w:rPr>
      </w:pPr>
    </w:p>
    <w:p w14:paraId="27339A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шли ожесточенные бои в предместьях Бреслау. 3УФ (Толбухин) вышла к Винер Нейштадт в наступлении на Вену. 9А США (Симпсон) достигла Липштадта, окружив 300 тыс. немецких войск Группы Б (Модель) в Рурском котле (3819).</w:t>
      </w:r>
    </w:p>
    <w:p w14:paraId="01B42884" w14:textId="77777777" w:rsidR="00665165" w:rsidRPr="00925F26" w:rsidRDefault="00665165" w:rsidP="00925F26">
      <w:pPr>
        <w:autoSpaceDE w:val="0"/>
        <w:autoSpaceDN w:val="0"/>
        <w:adjustRightInd w:val="0"/>
        <w:jc w:val="both"/>
        <w:rPr>
          <w:color w:val="000000" w:themeColor="text1"/>
          <w:sz w:val="16"/>
          <w:szCs w:val="16"/>
        </w:rPr>
      </w:pPr>
    </w:p>
    <w:p w14:paraId="7782F29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5A0A1BB" w14:textId="77777777" w:rsidR="00665165" w:rsidRPr="00925F26" w:rsidRDefault="00665165" w:rsidP="00925F26">
      <w:pPr>
        <w:autoSpaceDE w:val="0"/>
        <w:autoSpaceDN w:val="0"/>
        <w:adjustRightInd w:val="0"/>
        <w:jc w:val="both"/>
        <w:rPr>
          <w:iCs/>
          <w:color w:val="000000" w:themeColor="text1"/>
          <w:sz w:val="16"/>
          <w:szCs w:val="16"/>
        </w:rPr>
      </w:pPr>
    </w:p>
    <w:p w14:paraId="2E6979D9" w14:textId="77777777" w:rsidR="00531F9E" w:rsidRPr="00925F26" w:rsidRDefault="00531F9E" w:rsidP="00925F26">
      <w:pPr>
        <w:jc w:val="both"/>
        <w:rPr>
          <w:color w:val="000000" w:themeColor="text1"/>
          <w:sz w:val="16"/>
          <w:szCs w:val="16"/>
        </w:rPr>
      </w:pPr>
      <w:r w:rsidRPr="00925F26">
        <w:rPr>
          <w:color w:val="000000" w:themeColor="text1"/>
          <w:sz w:val="16"/>
          <w:szCs w:val="16"/>
        </w:rPr>
        <w:t xml:space="preserve">1 апреля в 1945 году в воздушном бою с американскими "Мустангами" у города Линц венгры потеряли единственный летный экземпляр своего первого и единственного истребителя с ТРД </w:t>
      </w:r>
      <w:hyperlink r:id="rId90" w:tgtFrame="_blank" w:history="1">
        <w:r w:rsidRPr="00925F26">
          <w:rPr>
            <w:color w:val="000000" w:themeColor="text1"/>
            <w:sz w:val="16"/>
            <w:szCs w:val="16"/>
          </w:rPr>
          <w:t xml:space="preserve">«Weiss Manfred» «XNI-2» «Kameleon». </w:t>
        </w:r>
      </w:hyperlink>
      <w:r w:rsidRPr="00925F26">
        <w:rPr>
          <w:color w:val="000000" w:themeColor="text1"/>
          <w:sz w:val="16"/>
          <w:szCs w:val="16"/>
        </w:rPr>
        <w:t>Несколько ранее при налете советских истребителей был уничтожен так и не прошедший испытаний разведывательный вариант (15086).</w:t>
      </w:r>
    </w:p>
    <w:p w14:paraId="1F743780" w14:textId="77777777" w:rsidR="00531F9E" w:rsidRPr="00925F26" w:rsidRDefault="00531F9E" w:rsidP="00925F26">
      <w:pPr>
        <w:jc w:val="both"/>
        <w:rPr>
          <w:color w:val="000000" w:themeColor="text1"/>
          <w:sz w:val="16"/>
          <w:szCs w:val="16"/>
        </w:rPr>
      </w:pPr>
    </w:p>
    <w:p w14:paraId="4881EFC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апреля 1945 впервые после начала войны включена иллюминация Собора Парижской богоматери и Триумфальной арки в Париже (4962).</w:t>
      </w:r>
    </w:p>
    <w:p w14:paraId="3BD8B40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37F71B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апреля 1945 Гитлер перенес ставку в бункер рейхсканцелярии (4962).</w:t>
      </w:r>
    </w:p>
    <w:p w14:paraId="4B3A7F6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E35766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апреля 1945 союзники окружили группу немецких войск в Руре (4962).</w:t>
      </w:r>
    </w:p>
    <w:p w14:paraId="040CB9F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747236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 1945 U.S. troops encircle German troops in Ruhr (1050).</w:t>
      </w:r>
    </w:p>
    <w:p w14:paraId="7F26FF9C" w14:textId="77777777" w:rsidR="00665165" w:rsidRPr="00925F26" w:rsidRDefault="00665165" w:rsidP="00925F26">
      <w:pPr>
        <w:autoSpaceDE w:val="0"/>
        <w:autoSpaceDN w:val="0"/>
        <w:adjustRightInd w:val="0"/>
        <w:jc w:val="both"/>
        <w:rPr>
          <w:color w:val="000000" w:themeColor="text1"/>
          <w:sz w:val="16"/>
          <w:szCs w:val="16"/>
          <w:lang w:val="en-US"/>
        </w:rPr>
      </w:pPr>
    </w:p>
    <w:p w14:paraId="1628FC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американские войска окружили немецкие в районе Рура (1050).</w:t>
      </w:r>
    </w:p>
    <w:p w14:paraId="3D7E0605" w14:textId="77777777" w:rsidR="00665165" w:rsidRPr="00925F26" w:rsidRDefault="00665165" w:rsidP="00925F26">
      <w:pPr>
        <w:autoSpaceDE w:val="0"/>
        <w:autoSpaceDN w:val="0"/>
        <w:adjustRightInd w:val="0"/>
        <w:jc w:val="both"/>
        <w:rPr>
          <w:color w:val="000000" w:themeColor="text1"/>
          <w:sz w:val="16"/>
          <w:szCs w:val="16"/>
        </w:rPr>
      </w:pPr>
    </w:p>
    <w:p w14:paraId="26B9C9A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 1945 Allied offensive in North Italy (1050).</w:t>
      </w:r>
    </w:p>
    <w:p w14:paraId="407AE636" w14:textId="77777777" w:rsidR="00665165" w:rsidRPr="00925F26" w:rsidRDefault="00665165" w:rsidP="00925F26">
      <w:pPr>
        <w:autoSpaceDE w:val="0"/>
        <w:autoSpaceDN w:val="0"/>
        <w:adjustRightInd w:val="0"/>
        <w:jc w:val="both"/>
        <w:rPr>
          <w:color w:val="000000" w:themeColor="text1"/>
          <w:sz w:val="16"/>
          <w:szCs w:val="16"/>
          <w:lang w:val="en-US"/>
        </w:rPr>
      </w:pPr>
    </w:p>
    <w:p w14:paraId="45DE8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началось наступление союзников в Италии (1050).</w:t>
      </w:r>
    </w:p>
    <w:p w14:paraId="044DD75C" w14:textId="77777777" w:rsidR="00665165" w:rsidRPr="00925F26" w:rsidRDefault="00665165" w:rsidP="00925F26">
      <w:pPr>
        <w:autoSpaceDE w:val="0"/>
        <w:autoSpaceDN w:val="0"/>
        <w:adjustRightInd w:val="0"/>
        <w:jc w:val="both"/>
        <w:rPr>
          <w:color w:val="000000" w:themeColor="text1"/>
          <w:sz w:val="16"/>
          <w:szCs w:val="16"/>
        </w:rPr>
      </w:pPr>
    </w:p>
    <w:p w14:paraId="394B9DD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1 апреля 1945 10 ая американская </w:t>
      </w:r>
      <w:proofErr w:type="gramStart"/>
      <w:r w:rsidRPr="00925F26">
        <w:rPr>
          <w:color w:val="000000" w:themeColor="text1"/>
          <w:sz w:val="16"/>
          <w:szCs w:val="16"/>
        </w:rPr>
        <w:t>армия ,</w:t>
      </w:r>
      <w:proofErr w:type="gramEnd"/>
      <w:r w:rsidRPr="00925F26">
        <w:rPr>
          <w:color w:val="000000" w:themeColor="text1"/>
          <w:sz w:val="16"/>
          <w:szCs w:val="16"/>
        </w:rPr>
        <w:t xml:space="preserve"> под командованием генерал-лейтенанта </w:t>
      </w:r>
      <w:proofErr w:type="gramStart"/>
      <w:r w:rsidRPr="00925F26">
        <w:rPr>
          <w:color w:val="000000" w:themeColor="text1"/>
          <w:sz w:val="16"/>
          <w:szCs w:val="16"/>
        </w:rPr>
        <w:t>С.Б.Бакнера ,</w:t>
      </w:r>
      <w:proofErr w:type="gramEnd"/>
      <w:r w:rsidRPr="00925F26">
        <w:rPr>
          <w:color w:val="000000" w:themeColor="text1"/>
          <w:sz w:val="16"/>
          <w:szCs w:val="16"/>
        </w:rPr>
        <w:t xml:space="preserve"> начала операцию по овладению островом Окинава. Бои за остров закончились 22 июня 1945 (</w:t>
      </w:r>
      <w:proofErr w:type="gramStart"/>
      <w:r w:rsidRPr="00925F26">
        <w:rPr>
          <w:color w:val="000000" w:themeColor="text1"/>
          <w:sz w:val="16"/>
          <w:szCs w:val="16"/>
        </w:rPr>
        <w:t>4963 )</w:t>
      </w:r>
      <w:proofErr w:type="gramEnd"/>
      <w:r w:rsidRPr="00925F26">
        <w:rPr>
          <w:color w:val="000000" w:themeColor="text1"/>
          <w:sz w:val="16"/>
          <w:szCs w:val="16"/>
        </w:rPr>
        <w:t>.</w:t>
      </w:r>
    </w:p>
    <w:p w14:paraId="24F23A0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BA84B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April 1 1945. Battle of Okinawa begins (1287).</w:t>
      </w:r>
    </w:p>
    <w:p w14:paraId="0271A31D" w14:textId="77777777" w:rsidR="00665165" w:rsidRPr="00925F26" w:rsidRDefault="00665165" w:rsidP="00925F26">
      <w:pPr>
        <w:autoSpaceDE w:val="0"/>
        <w:autoSpaceDN w:val="0"/>
        <w:adjustRightInd w:val="0"/>
        <w:jc w:val="both"/>
        <w:rPr>
          <w:color w:val="000000" w:themeColor="text1"/>
          <w:sz w:val="16"/>
          <w:szCs w:val="16"/>
        </w:rPr>
      </w:pPr>
    </w:p>
    <w:p w14:paraId="5C8B51B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01 1945 US Army lands on Okinawa, Ryukyu Islands (1769).</w:t>
      </w:r>
    </w:p>
    <w:p w14:paraId="67CA026A" w14:textId="77777777" w:rsidR="00665165" w:rsidRPr="00925F26" w:rsidRDefault="00665165" w:rsidP="00925F26">
      <w:pPr>
        <w:autoSpaceDE w:val="0"/>
        <w:autoSpaceDN w:val="0"/>
        <w:adjustRightInd w:val="0"/>
        <w:jc w:val="both"/>
        <w:rPr>
          <w:color w:val="000000" w:themeColor="text1"/>
          <w:sz w:val="16"/>
          <w:szCs w:val="16"/>
          <w:lang w:val="en-US"/>
        </w:rPr>
      </w:pPr>
    </w:p>
    <w:p w14:paraId="4BCB8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армия США высадилась на Окинаве и началась битва за Окинаву (1287;1769), которая шла до 21 июня 1945 (2248,4).</w:t>
      </w:r>
    </w:p>
    <w:p w14:paraId="5A98C2B2" w14:textId="77777777" w:rsidR="00665165" w:rsidRPr="00925F26" w:rsidRDefault="00665165" w:rsidP="00925F26">
      <w:pPr>
        <w:autoSpaceDE w:val="0"/>
        <w:autoSpaceDN w:val="0"/>
        <w:adjustRightInd w:val="0"/>
        <w:jc w:val="both"/>
        <w:rPr>
          <w:color w:val="000000" w:themeColor="text1"/>
          <w:sz w:val="16"/>
          <w:szCs w:val="16"/>
        </w:rPr>
      </w:pPr>
    </w:p>
    <w:p w14:paraId="317219E8" w14:textId="77777777" w:rsidR="00531F9E" w:rsidRPr="00925F26" w:rsidRDefault="00531F9E" w:rsidP="00925F26">
      <w:pPr>
        <w:jc w:val="both"/>
        <w:rPr>
          <w:color w:val="000000" w:themeColor="text1"/>
          <w:sz w:val="16"/>
          <w:szCs w:val="16"/>
        </w:rPr>
      </w:pPr>
      <w:r w:rsidRPr="00925F26">
        <w:rPr>
          <w:color w:val="000000" w:themeColor="text1"/>
          <w:sz w:val="16"/>
          <w:szCs w:val="16"/>
        </w:rPr>
        <w:t>1 апреля в 1945 году 10-я американская армия, под командованием генерал-лейтенанта С.Б.Бакнера, начала операцию по овладению островом Окинава. Бои за остров закончились 22 июня 1945 (15086).</w:t>
      </w:r>
    </w:p>
    <w:p w14:paraId="01589AB3" w14:textId="77777777" w:rsidR="00531F9E" w:rsidRPr="00925F26" w:rsidRDefault="00531F9E" w:rsidP="00925F26">
      <w:pPr>
        <w:jc w:val="both"/>
        <w:rPr>
          <w:color w:val="000000" w:themeColor="text1"/>
          <w:sz w:val="16"/>
          <w:szCs w:val="16"/>
        </w:rPr>
      </w:pPr>
    </w:p>
    <w:p w14:paraId="3F3368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г. американские войска начали высадку на Окинаву. Это уже была японская метрополия, и японцы решили оказать максимально возможное сопротивление противнику. Вицеадмирал Угаки Матомэ, командующий 5-м коку кантай (воздушным флотом), разработал план обороны Окинавы, который получил название «Кикусуй» («Плывущая хризантема»). Как и вице-адмирал Ониси, вице-адмирал Угаки был соратником адмирала Ямамото. Он был начальником штаба Ямамото во время битвы при Мидуэее. Угаки летел вместе с Ямамото 18 апреля 1943 г., в день гибели Ямамото. План Угаки почти полностью опирался на действия летчиков-самоубийц и предусматривал массированные атаки камикадзе на американские корабли.</w:t>
      </w:r>
    </w:p>
    <w:p w14:paraId="322D3A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Впервые за всю историю войны флотская и армейская авиация действовали согласованно.</w:t>
      </w:r>
    </w:p>
    <w:p w14:paraId="0C37DC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боях за Окинаву японские летчики-смертники из 28 потопленных авиацией кораблей потопили 26, соответственно из 225 поврежденных повредили 164, в том числе 27 авианосцев и других линейных кораблей. Надо сказать, что при этом 90% камикадзе не попали в цель или были сбиты. Всего во время боев за Окинаву морские летчики совершили 1050 самоубийственных атак, а армейские – 850. Сбили цель или сумели поразить ее 960 самолетов (11686).</w:t>
      </w:r>
    </w:p>
    <w:p w14:paraId="56158DED" w14:textId="77777777" w:rsidR="00665165" w:rsidRPr="00925F26" w:rsidRDefault="00665165" w:rsidP="00925F26">
      <w:pPr>
        <w:autoSpaceDE w:val="0"/>
        <w:autoSpaceDN w:val="0"/>
        <w:adjustRightInd w:val="0"/>
        <w:jc w:val="both"/>
        <w:rPr>
          <w:color w:val="000000" w:themeColor="text1"/>
          <w:sz w:val="16"/>
          <w:szCs w:val="16"/>
        </w:rPr>
      </w:pPr>
    </w:p>
    <w:p w14:paraId="13F2A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г. в 8 часов 30 минут американцы начали высадку на Окинаву. 16 тысяч солдат при поддержке танков приступили к продвижению в глубь острова. В 14 часов 30 минут практически без боя были захвачены аэродромы Йонтан (Ионтан) и Кадэна. На аэродроме Йонтан (Хорикоши Д., Окумия М., Кайдин М. Японская авиация во Второй мировой войне. М.: АСТ, 2001.) (по другим данным (Иванов Ю.Г. Камикадзе: пилоты-смертники. Смоленск: Русич, 2001.) – на аэродроме Кадэна) в руки американцев попало четыре исправных самолета Ока.</w:t>
      </w:r>
    </w:p>
    <w:p w14:paraId="5E4FF2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Самолеты-снаряды были доставлены в США и тщательно обследованы. Американцы презрительно назвали самолет-снаряд Бака («Дурак», «Придурок»). Самолет-снаряд Ока действительно был примитивным оружием. Тем не менее думается, что в имя Бака американцы вложили больше пропаганды и испуга, чем истины. Во-первых, этот самолет летал с околозвуковой скоростью, во-вторых, от японского реактивного снаряда и не требовалось высоких аэродинамических и технологических качеств, в-третьих, Япония, несмотря на крах своей экономики и истощение ресурсов, умудрялась строить тысячи разных самолетов, в том числе и самолеты-снаряды, </w:t>
      </w:r>
      <w:proofErr w:type="gramStart"/>
      <w:r w:rsidRPr="00925F26">
        <w:rPr>
          <w:color w:val="000000" w:themeColor="text1"/>
          <w:sz w:val="16"/>
          <w:szCs w:val="16"/>
        </w:rPr>
        <w:t>в четвертых</w:t>
      </w:r>
      <w:proofErr w:type="gramEnd"/>
      <w:r w:rsidRPr="00925F26">
        <w:rPr>
          <w:color w:val="000000" w:themeColor="text1"/>
          <w:sz w:val="16"/>
          <w:szCs w:val="16"/>
        </w:rPr>
        <w:t>, Ока после войны стал прототипом американских самонаводящихся противокорабельных крылатых ракет.</w:t>
      </w:r>
    </w:p>
    <w:p w14:paraId="3C27F2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Итак, американцы начали высадку войск на Окинаву. Однако атаки камикадзе начались задолго до начала высадки американцев. В два часа ночи шесть «Богов грома» и 42 человека экипажей бомбардировщиков молча выслушали прощальную речь Окамуры. Церемония закончилась прощальной чашечкой сакэ.</w:t>
      </w:r>
    </w:p>
    <w:p w14:paraId="638DED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2 часа 21 минуту стартовал первый бомбардировщик. С интервалом в две минуты за ним последовали остальные. Группа самолетов устремилась к Окинаве. Однако и этот вылет для пилотов закончился провалом. Один бомбардировщик сбился с курса и вернулся на аэродром, другой совершил вынужденную посадку в море, третий разбился через несколько минут после взлета, четвертый был сбит зенитным огнем, а судьба двух остальных неизвестна до сих пор.</w:t>
      </w:r>
    </w:p>
    <w:p w14:paraId="56DDA7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самоубийственных атаках приняли участие и летчики «Эскадрильи Кэмму». Отдельным из них все-таки удавалось пробиться к американским кораблям.</w:t>
      </w:r>
    </w:p>
    <w:p w14:paraId="106E30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Адмирал Угаки, перед которым стояла невыполнимая задача организовать отпор высадке американцев, разработал операцию «Кикусуй» («Плывущая хризантема»). В соответствии с планом была изменена тактика камикадзе: вместо вылетов небольших групп Угаки провел массированные атаки пилотов-смертников, посылая их волна за волной. К проведению операции «Кикусуй» были привлечены все наличные самолеты – от современных до устаревших и тренировочных (125 армейских и 230 палубных) (Иванов Ю.Г. Камикадзе: пилоты-смертники. Смоленск: Русич, 2001.). Впервые сухопутная и палубная авиация были объединены для решения одной задачи – остановить захват противником Окинавы. Была проведена целая серия операций «Кикусуй», между которыми камикадзе группами и одиночно наносили беспокоящие удары по кораблям союзников.</w:t>
      </w:r>
    </w:p>
    <w:p w14:paraId="6E525D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было страшное побоище. От ударов камикадзе американские и английские корабли получали повреждения или тонули (некоторые из них разламывались пополам), гибли моряки. Но и силы японцев таяли на глазах. К 6 апреля из 230 морских самолетов на базы вернулось только 12 истребителей эскорта и единственный бомбардировщик Бетти, спасшийся в густых облаках. Вечером 6 апреля полеты камикадзе возобновились – и снова большие невозвратимые потери с обеих сторон. В результате двухдневной операции «Кикусуй» Япония потеряла 355 самолетов-камикадзе и 341 обычный самолет. Было потоплено 6 кораблей США, 7 кораблей вышло из строя на срок более месяца, а 10 поврежденных кораблей были разобраны и исключены из списков по причине сильных повреждений. На кораблях ВМФ США погибло 466 и получили ранение 568 человек (11686).</w:t>
      </w:r>
    </w:p>
    <w:p w14:paraId="68D8A540" w14:textId="77777777" w:rsidR="00665165" w:rsidRPr="00925F26" w:rsidRDefault="00665165" w:rsidP="00925F26">
      <w:pPr>
        <w:autoSpaceDE w:val="0"/>
        <w:autoSpaceDN w:val="0"/>
        <w:adjustRightInd w:val="0"/>
        <w:jc w:val="both"/>
        <w:rPr>
          <w:color w:val="000000" w:themeColor="text1"/>
          <w:sz w:val="16"/>
          <w:szCs w:val="16"/>
        </w:rPr>
      </w:pPr>
    </w:p>
    <w:p w14:paraId="514CAD9D" w14:textId="77777777" w:rsidR="00A45A36" w:rsidRPr="00925F26" w:rsidRDefault="00A45A36" w:rsidP="00925F26">
      <w:pPr>
        <w:jc w:val="both"/>
        <w:rPr>
          <w:color w:val="000000" w:themeColor="text1"/>
          <w:sz w:val="16"/>
          <w:szCs w:val="16"/>
        </w:rPr>
      </w:pPr>
      <w:r w:rsidRPr="00925F26">
        <w:rPr>
          <w:color w:val="000000" w:themeColor="text1"/>
          <w:sz w:val="16"/>
          <w:szCs w:val="16"/>
        </w:rPr>
        <w:t xml:space="preserve">1 апреля 1945 начинается Операция «Айсберг» - американское вторжение на Окинаву. Авиация поражае линкор USS West Virginia и три корабля его эскорта, а камикадзе попадает в авианосец HMS Indefatigable, первый британский авианосец, поврежденный </w:t>
      </w:r>
      <w:proofErr w:type="gramStart"/>
      <w:r w:rsidRPr="00925F26">
        <w:rPr>
          <w:color w:val="000000" w:themeColor="text1"/>
          <w:sz w:val="16"/>
          <w:szCs w:val="16"/>
        </w:rPr>
        <w:t>камикадзе .Неустанный</w:t>
      </w:r>
      <w:proofErr w:type="gramEnd"/>
      <w:r w:rsidRPr="00925F26">
        <w:rPr>
          <w:color w:val="000000" w:themeColor="text1"/>
          <w:sz w:val="16"/>
          <w:szCs w:val="16"/>
        </w:rPr>
        <w:t xml:space="preserve"> рапортует 14 убитых, но через час возобновляет полеты (20371).</w:t>
      </w:r>
    </w:p>
    <w:p w14:paraId="05AD39A7" w14:textId="77777777" w:rsidR="00A45A36" w:rsidRPr="00925F26" w:rsidRDefault="00A45A36" w:rsidP="00925F26">
      <w:pPr>
        <w:jc w:val="both"/>
        <w:rPr>
          <w:color w:val="000000" w:themeColor="text1"/>
          <w:sz w:val="16"/>
          <w:szCs w:val="16"/>
        </w:rPr>
      </w:pPr>
    </w:p>
    <w:p w14:paraId="5A486E6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01 1945 355 kamikaze airplane attacks sink 6 American ships (1769).</w:t>
      </w:r>
    </w:p>
    <w:p w14:paraId="27BF48D2" w14:textId="77777777" w:rsidR="00665165" w:rsidRPr="00925F26" w:rsidRDefault="00665165" w:rsidP="00925F26">
      <w:pPr>
        <w:autoSpaceDE w:val="0"/>
        <w:autoSpaceDN w:val="0"/>
        <w:adjustRightInd w:val="0"/>
        <w:jc w:val="both"/>
        <w:rPr>
          <w:color w:val="000000" w:themeColor="text1"/>
          <w:sz w:val="16"/>
          <w:szCs w:val="16"/>
          <w:lang w:val="en-US"/>
        </w:rPr>
      </w:pPr>
    </w:p>
    <w:p w14:paraId="705962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335 камикадзе атаковали и потопили 6 американских судов (1769) и погибло 5 тыс. морских пехотинцев (2248,4).</w:t>
      </w:r>
    </w:p>
    <w:p w14:paraId="30117F4E" w14:textId="77777777" w:rsidR="00665165" w:rsidRPr="00925F26" w:rsidRDefault="00665165" w:rsidP="00925F26">
      <w:pPr>
        <w:autoSpaceDE w:val="0"/>
        <w:autoSpaceDN w:val="0"/>
        <w:adjustRightInd w:val="0"/>
        <w:jc w:val="both"/>
        <w:rPr>
          <w:color w:val="000000" w:themeColor="text1"/>
          <w:sz w:val="16"/>
          <w:szCs w:val="16"/>
        </w:rPr>
      </w:pPr>
    </w:p>
    <w:p w14:paraId="2A4D9C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 состоялось второе боевое применение японцами ракетного снаряда Ока, управляемого камикадзе. С базы Каноуа вылетело 3 бомбардировщика с подвешенными Ока + 3 Зеро. Повредили линкор West Virginia (2969,21).</w:t>
      </w:r>
    </w:p>
    <w:p w14:paraId="7E8C84F3" w14:textId="77777777" w:rsidR="00665165" w:rsidRPr="00925F26" w:rsidRDefault="00665165" w:rsidP="00925F26">
      <w:pPr>
        <w:autoSpaceDE w:val="0"/>
        <w:autoSpaceDN w:val="0"/>
        <w:adjustRightInd w:val="0"/>
        <w:jc w:val="both"/>
        <w:rPr>
          <w:color w:val="000000" w:themeColor="text1"/>
          <w:sz w:val="16"/>
          <w:szCs w:val="16"/>
        </w:rPr>
      </w:pPr>
    </w:p>
    <w:p w14:paraId="47601DC9" w14:textId="77777777" w:rsidR="00A45A36" w:rsidRPr="00925F26" w:rsidRDefault="00A45A36" w:rsidP="00925F26">
      <w:pPr>
        <w:jc w:val="both"/>
        <w:rPr>
          <w:color w:val="000000" w:themeColor="text1"/>
          <w:sz w:val="16"/>
          <w:szCs w:val="16"/>
        </w:rPr>
      </w:pPr>
      <w:r w:rsidRPr="00925F26">
        <w:rPr>
          <w:color w:val="000000" w:themeColor="text1"/>
          <w:sz w:val="16"/>
          <w:szCs w:val="16"/>
        </w:rPr>
        <w:t>1 апреля 1945 Nakajima Aircraft Company попадает под контроль японского правительства и переименован в Первый Арсенал. Боеприпасов (20371).</w:t>
      </w:r>
    </w:p>
    <w:p w14:paraId="4D637B6A" w14:textId="77777777" w:rsidR="00A45A36" w:rsidRPr="00925F26" w:rsidRDefault="00A45A36" w:rsidP="00925F26">
      <w:pPr>
        <w:jc w:val="both"/>
        <w:rPr>
          <w:color w:val="000000" w:themeColor="text1"/>
          <w:sz w:val="16"/>
          <w:szCs w:val="16"/>
        </w:rPr>
      </w:pPr>
    </w:p>
    <w:p w14:paraId="6FD565D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8B019C1" w14:textId="77777777" w:rsidR="00665165" w:rsidRPr="00925F26" w:rsidRDefault="00665165" w:rsidP="00925F26">
      <w:pPr>
        <w:autoSpaceDE w:val="0"/>
        <w:autoSpaceDN w:val="0"/>
        <w:adjustRightInd w:val="0"/>
        <w:jc w:val="both"/>
        <w:rPr>
          <w:iCs/>
          <w:color w:val="000000" w:themeColor="text1"/>
          <w:sz w:val="16"/>
          <w:szCs w:val="16"/>
        </w:rPr>
      </w:pPr>
    </w:p>
    <w:p w14:paraId="46D8F3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апреля 1945 Нач. 1У ГК НИИ ВВС гмиас Сафроновым был утвержден акт по результатам гос. испытаний модифицированного Ла-7 с 3 пушками Б-20, которые проводились с 25 января по 23 марта 1945</w:t>
      </w:r>
    </w:p>
    <w:p w14:paraId="0C0929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С-ты № 38100358, 38105758 производства завода № 381</w:t>
      </w:r>
    </w:p>
    <w:p w14:paraId="568F1A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И-м Г.В.Чертявский</w:t>
      </w:r>
    </w:p>
    <w:p w14:paraId="4AF385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Л м Кубышкин</w:t>
      </w:r>
    </w:p>
    <w:p w14:paraId="7B4CD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С-ты производства з-да № 381 выпуска января-февраля 1945 г</w:t>
      </w:r>
    </w:p>
    <w:p w14:paraId="4E941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начались 25 января 1945 и прекращены 7 февраля 1945 из-за ненадежной работы вооружения.</w:t>
      </w:r>
    </w:p>
    <w:p w14:paraId="226A5D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случае с-та № 5758 испытания начаты 22 февраля и закончены 25 марта 1945 г.</w:t>
      </w:r>
    </w:p>
    <w:p w14:paraId="658058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полетов на с-те № 0358 налет составил 2:50</w:t>
      </w:r>
    </w:p>
    <w:p w14:paraId="07BE91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2675, полетный - 3312</w:t>
      </w:r>
    </w:p>
    <w:p w14:paraId="34D3B2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571, на 1 гр. (2900) - 632, на 5000 - 636, на 2 гр. (6100) - 662 км/час</w:t>
      </w:r>
    </w:p>
    <w:p w14:paraId="387B7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Время набора 5000 - 5,1</w:t>
      </w:r>
    </w:p>
    <w:p w14:paraId="72A8A7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10325, время набора 26 мин.</w:t>
      </w:r>
    </w:p>
    <w:p w14:paraId="4B2799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492A64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7A6130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работы 20мм пушек Б-20с и их синхронной установки не обеспечена.</w:t>
      </w:r>
    </w:p>
    <w:p w14:paraId="7D83C5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Материалы испытаний оставить для внутреннего пользованияч.</w:t>
      </w:r>
    </w:p>
    <w:p w14:paraId="434A69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18CF98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Кочетков, Л.. 2 апреля 1945 (743,1).</w:t>
      </w:r>
    </w:p>
    <w:p w14:paraId="6F0DA45A" w14:textId="77777777" w:rsidR="00665165" w:rsidRPr="00925F26" w:rsidRDefault="00665165" w:rsidP="00925F26">
      <w:pPr>
        <w:autoSpaceDE w:val="0"/>
        <w:autoSpaceDN w:val="0"/>
        <w:adjustRightInd w:val="0"/>
        <w:jc w:val="both"/>
        <w:rPr>
          <w:color w:val="000000" w:themeColor="text1"/>
          <w:sz w:val="16"/>
          <w:szCs w:val="16"/>
        </w:rPr>
      </w:pPr>
    </w:p>
    <w:p w14:paraId="7966FEC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 апреля 1945 врид нач. ОУСМ ГУ ИАС ВВС КА гв м Бусамов подготовил:</w:t>
      </w:r>
    </w:p>
    <w:p w14:paraId="7F48789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Ведомость о потерях с-тов за 1944 пол ВВС КА (без ПВО, ВДВ и ВВС фронтов (787,46):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47"/>
        <w:gridCol w:w="947"/>
        <w:gridCol w:w="947"/>
        <w:gridCol w:w="947"/>
        <w:gridCol w:w="947"/>
        <w:gridCol w:w="947"/>
        <w:gridCol w:w="947"/>
      </w:tblGrid>
      <w:tr w:rsidR="000F5689" w:rsidRPr="00925F26" w14:paraId="5C0BD409" w14:textId="77777777">
        <w:tc>
          <w:tcPr>
            <w:tcW w:w="1668" w:type="dxa"/>
          </w:tcPr>
          <w:p w14:paraId="1A4765D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947" w:type="dxa"/>
          </w:tcPr>
          <w:p w14:paraId="401BB8D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5682" w:type="dxa"/>
            <w:gridSpan w:val="6"/>
          </w:tcPr>
          <w:p w14:paraId="028FA72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том числе:</w:t>
            </w:r>
          </w:p>
        </w:tc>
      </w:tr>
      <w:tr w:rsidR="000F5689" w:rsidRPr="00925F26" w14:paraId="14C7673F" w14:textId="77777777">
        <w:tc>
          <w:tcPr>
            <w:tcW w:w="1668" w:type="dxa"/>
          </w:tcPr>
          <w:p w14:paraId="4CD253CF"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BE6045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47" w:type="dxa"/>
          </w:tcPr>
          <w:p w14:paraId="0240624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Не вернулось с боевого задания</w:t>
            </w:r>
          </w:p>
        </w:tc>
        <w:tc>
          <w:tcPr>
            <w:tcW w:w="947" w:type="dxa"/>
          </w:tcPr>
          <w:p w14:paraId="7B0729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Сбиты в воздушном бою</w:t>
            </w:r>
          </w:p>
        </w:tc>
        <w:tc>
          <w:tcPr>
            <w:tcW w:w="947" w:type="dxa"/>
          </w:tcPr>
          <w:p w14:paraId="5CC5F52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Сбито ЗА</w:t>
            </w:r>
          </w:p>
        </w:tc>
        <w:tc>
          <w:tcPr>
            <w:tcW w:w="947" w:type="dxa"/>
          </w:tcPr>
          <w:p w14:paraId="315A006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Уничтожено на аэродроме</w:t>
            </w:r>
          </w:p>
        </w:tc>
        <w:tc>
          <w:tcPr>
            <w:tcW w:w="947" w:type="dxa"/>
          </w:tcPr>
          <w:p w14:paraId="64CD59B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Аварии</w:t>
            </w:r>
          </w:p>
        </w:tc>
        <w:tc>
          <w:tcPr>
            <w:tcW w:w="947" w:type="dxa"/>
          </w:tcPr>
          <w:p w14:paraId="34F7781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Износ</w:t>
            </w:r>
          </w:p>
        </w:tc>
      </w:tr>
      <w:tr w:rsidR="000F5689" w:rsidRPr="00925F26" w14:paraId="7D0B6C94" w14:textId="77777777">
        <w:tc>
          <w:tcPr>
            <w:tcW w:w="1668" w:type="dxa"/>
          </w:tcPr>
          <w:p w14:paraId="40D0A1A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Як-1</w:t>
            </w:r>
          </w:p>
        </w:tc>
        <w:tc>
          <w:tcPr>
            <w:tcW w:w="947" w:type="dxa"/>
          </w:tcPr>
          <w:p w14:paraId="1ED614E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1639</w:t>
            </w:r>
          </w:p>
        </w:tc>
        <w:tc>
          <w:tcPr>
            <w:tcW w:w="947" w:type="dxa"/>
          </w:tcPr>
          <w:p w14:paraId="15ECB33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398</w:t>
            </w:r>
          </w:p>
        </w:tc>
        <w:tc>
          <w:tcPr>
            <w:tcW w:w="947" w:type="dxa"/>
          </w:tcPr>
          <w:p w14:paraId="34A421E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84</w:t>
            </w:r>
          </w:p>
        </w:tc>
        <w:tc>
          <w:tcPr>
            <w:tcW w:w="947" w:type="dxa"/>
          </w:tcPr>
          <w:p w14:paraId="17B50AA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49</w:t>
            </w:r>
          </w:p>
        </w:tc>
        <w:tc>
          <w:tcPr>
            <w:tcW w:w="947" w:type="dxa"/>
          </w:tcPr>
          <w:p w14:paraId="1766BF4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5BC4BE0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297</w:t>
            </w:r>
          </w:p>
        </w:tc>
        <w:tc>
          <w:tcPr>
            <w:tcW w:w="947" w:type="dxa"/>
          </w:tcPr>
          <w:p w14:paraId="25BA74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802</w:t>
            </w:r>
          </w:p>
        </w:tc>
      </w:tr>
      <w:tr w:rsidR="000F5689" w:rsidRPr="00925F26" w14:paraId="3ABEB413" w14:textId="77777777">
        <w:tc>
          <w:tcPr>
            <w:tcW w:w="1668" w:type="dxa"/>
          </w:tcPr>
          <w:p w14:paraId="3A51711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Як-3</w:t>
            </w:r>
          </w:p>
        </w:tc>
        <w:tc>
          <w:tcPr>
            <w:tcW w:w="947" w:type="dxa"/>
          </w:tcPr>
          <w:p w14:paraId="616C34A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90</w:t>
            </w:r>
          </w:p>
        </w:tc>
        <w:tc>
          <w:tcPr>
            <w:tcW w:w="947" w:type="dxa"/>
          </w:tcPr>
          <w:p w14:paraId="0F2BE3F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w:t>
            </w:r>
          </w:p>
        </w:tc>
        <w:tc>
          <w:tcPr>
            <w:tcW w:w="947" w:type="dxa"/>
          </w:tcPr>
          <w:p w14:paraId="21D4A47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w:t>
            </w:r>
          </w:p>
        </w:tc>
        <w:tc>
          <w:tcPr>
            <w:tcW w:w="947" w:type="dxa"/>
          </w:tcPr>
          <w:p w14:paraId="75B726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w:t>
            </w:r>
          </w:p>
        </w:tc>
        <w:tc>
          <w:tcPr>
            <w:tcW w:w="947" w:type="dxa"/>
          </w:tcPr>
          <w:p w14:paraId="0E51B27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F37B60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31</w:t>
            </w:r>
          </w:p>
        </w:tc>
        <w:tc>
          <w:tcPr>
            <w:tcW w:w="947" w:type="dxa"/>
          </w:tcPr>
          <w:p w14:paraId="474EF2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493706C4" w14:textId="77777777">
        <w:tc>
          <w:tcPr>
            <w:tcW w:w="1668" w:type="dxa"/>
          </w:tcPr>
          <w:p w14:paraId="410F0F7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Як-7Б</w:t>
            </w:r>
          </w:p>
        </w:tc>
        <w:tc>
          <w:tcPr>
            <w:tcW w:w="947" w:type="dxa"/>
          </w:tcPr>
          <w:p w14:paraId="79D175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981</w:t>
            </w:r>
          </w:p>
        </w:tc>
        <w:tc>
          <w:tcPr>
            <w:tcW w:w="947" w:type="dxa"/>
          </w:tcPr>
          <w:p w14:paraId="738B8EA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200</w:t>
            </w:r>
          </w:p>
        </w:tc>
        <w:tc>
          <w:tcPr>
            <w:tcW w:w="947" w:type="dxa"/>
          </w:tcPr>
          <w:p w14:paraId="4BECB9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w:t>
            </w:r>
          </w:p>
        </w:tc>
        <w:tc>
          <w:tcPr>
            <w:tcW w:w="947" w:type="dxa"/>
          </w:tcPr>
          <w:p w14:paraId="539AB71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30</w:t>
            </w:r>
          </w:p>
        </w:tc>
        <w:tc>
          <w:tcPr>
            <w:tcW w:w="947" w:type="dxa"/>
          </w:tcPr>
          <w:p w14:paraId="716F10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CE63BB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188</w:t>
            </w:r>
          </w:p>
        </w:tc>
        <w:tc>
          <w:tcPr>
            <w:tcW w:w="947" w:type="dxa"/>
          </w:tcPr>
          <w:p w14:paraId="378D77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546</w:t>
            </w:r>
          </w:p>
        </w:tc>
      </w:tr>
      <w:tr w:rsidR="000F5689" w:rsidRPr="00925F26" w14:paraId="13FC04A0" w14:textId="77777777">
        <w:tc>
          <w:tcPr>
            <w:tcW w:w="1668" w:type="dxa"/>
          </w:tcPr>
          <w:p w14:paraId="5F0B722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Як-9ПФ</w:t>
            </w:r>
          </w:p>
        </w:tc>
        <w:tc>
          <w:tcPr>
            <w:tcW w:w="947" w:type="dxa"/>
          </w:tcPr>
          <w:p w14:paraId="55264F8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1754</w:t>
            </w:r>
          </w:p>
        </w:tc>
        <w:tc>
          <w:tcPr>
            <w:tcW w:w="947" w:type="dxa"/>
          </w:tcPr>
          <w:p w14:paraId="39C5CB5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787</w:t>
            </w:r>
          </w:p>
        </w:tc>
        <w:tc>
          <w:tcPr>
            <w:tcW w:w="947" w:type="dxa"/>
          </w:tcPr>
          <w:p w14:paraId="741634D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141</w:t>
            </w:r>
          </w:p>
        </w:tc>
        <w:tc>
          <w:tcPr>
            <w:tcW w:w="947" w:type="dxa"/>
          </w:tcPr>
          <w:p w14:paraId="12F55E4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94</w:t>
            </w:r>
          </w:p>
        </w:tc>
        <w:tc>
          <w:tcPr>
            <w:tcW w:w="947" w:type="dxa"/>
          </w:tcPr>
          <w:p w14:paraId="6A2F1C6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12</w:t>
            </w:r>
          </w:p>
        </w:tc>
        <w:tc>
          <w:tcPr>
            <w:tcW w:w="947" w:type="dxa"/>
          </w:tcPr>
          <w:p w14:paraId="2C61FF0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454</w:t>
            </w:r>
          </w:p>
        </w:tc>
        <w:tc>
          <w:tcPr>
            <w:tcW w:w="947" w:type="dxa"/>
          </w:tcPr>
          <w:p w14:paraId="468268D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266</w:t>
            </w:r>
          </w:p>
        </w:tc>
      </w:tr>
      <w:tr w:rsidR="000F5689" w:rsidRPr="00925F26" w14:paraId="5A084647" w14:textId="77777777">
        <w:tc>
          <w:tcPr>
            <w:tcW w:w="1668" w:type="dxa"/>
          </w:tcPr>
          <w:p w14:paraId="464A3AC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Як-9 М-107</w:t>
            </w:r>
          </w:p>
        </w:tc>
        <w:tc>
          <w:tcPr>
            <w:tcW w:w="947" w:type="dxa"/>
          </w:tcPr>
          <w:p w14:paraId="28BDB72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11289C0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5DF777B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9B95F6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78DF92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C9BA45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79FC2AF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44F244FB" w14:textId="77777777">
        <w:tc>
          <w:tcPr>
            <w:tcW w:w="1668" w:type="dxa"/>
          </w:tcPr>
          <w:p w14:paraId="0A7CECD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Ла-5 М-82</w:t>
            </w:r>
          </w:p>
        </w:tc>
        <w:tc>
          <w:tcPr>
            <w:tcW w:w="947" w:type="dxa"/>
          </w:tcPr>
          <w:p w14:paraId="7596757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326</w:t>
            </w:r>
          </w:p>
        </w:tc>
        <w:tc>
          <w:tcPr>
            <w:tcW w:w="947" w:type="dxa"/>
          </w:tcPr>
          <w:p w14:paraId="2824C75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30</w:t>
            </w:r>
          </w:p>
        </w:tc>
        <w:tc>
          <w:tcPr>
            <w:tcW w:w="947" w:type="dxa"/>
          </w:tcPr>
          <w:p w14:paraId="25FF691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526F31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0ED3AA6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93BFDB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61</w:t>
            </w:r>
          </w:p>
        </w:tc>
        <w:tc>
          <w:tcPr>
            <w:tcW w:w="947" w:type="dxa"/>
          </w:tcPr>
          <w:p w14:paraId="3D8225D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217</w:t>
            </w:r>
          </w:p>
        </w:tc>
      </w:tr>
      <w:tr w:rsidR="000F5689" w:rsidRPr="00925F26" w14:paraId="372067AD" w14:textId="77777777">
        <w:tc>
          <w:tcPr>
            <w:tcW w:w="1668" w:type="dxa"/>
          </w:tcPr>
          <w:p w14:paraId="1D4D1A8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Ла-5Ф</w:t>
            </w:r>
          </w:p>
        </w:tc>
        <w:tc>
          <w:tcPr>
            <w:tcW w:w="947" w:type="dxa"/>
          </w:tcPr>
          <w:p w14:paraId="31FFF34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1420</w:t>
            </w:r>
          </w:p>
        </w:tc>
        <w:tc>
          <w:tcPr>
            <w:tcW w:w="947" w:type="dxa"/>
          </w:tcPr>
          <w:p w14:paraId="4325C2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420</w:t>
            </w:r>
          </w:p>
        </w:tc>
        <w:tc>
          <w:tcPr>
            <w:tcW w:w="947" w:type="dxa"/>
          </w:tcPr>
          <w:p w14:paraId="1AA8D61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112</w:t>
            </w:r>
          </w:p>
        </w:tc>
        <w:tc>
          <w:tcPr>
            <w:tcW w:w="947" w:type="dxa"/>
          </w:tcPr>
          <w:p w14:paraId="5A2AC36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69</w:t>
            </w:r>
          </w:p>
        </w:tc>
        <w:tc>
          <w:tcPr>
            <w:tcW w:w="947" w:type="dxa"/>
          </w:tcPr>
          <w:p w14:paraId="3597B22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w:t>
            </w:r>
          </w:p>
        </w:tc>
        <w:tc>
          <w:tcPr>
            <w:tcW w:w="947" w:type="dxa"/>
          </w:tcPr>
          <w:p w14:paraId="1799F9D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426</w:t>
            </w:r>
          </w:p>
        </w:tc>
        <w:tc>
          <w:tcPr>
            <w:tcW w:w="947" w:type="dxa"/>
          </w:tcPr>
          <w:p w14:paraId="0912F3D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373</w:t>
            </w:r>
          </w:p>
        </w:tc>
      </w:tr>
      <w:tr w:rsidR="000F5689" w:rsidRPr="00925F26" w14:paraId="45D59860" w14:textId="77777777">
        <w:tc>
          <w:tcPr>
            <w:tcW w:w="1668" w:type="dxa"/>
          </w:tcPr>
          <w:p w14:paraId="71362E0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Ла-5ФН</w:t>
            </w:r>
          </w:p>
        </w:tc>
        <w:tc>
          <w:tcPr>
            <w:tcW w:w="947" w:type="dxa"/>
          </w:tcPr>
          <w:p w14:paraId="469024F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700</w:t>
            </w:r>
          </w:p>
        </w:tc>
        <w:tc>
          <w:tcPr>
            <w:tcW w:w="947" w:type="dxa"/>
          </w:tcPr>
          <w:p w14:paraId="22E63B7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256</w:t>
            </w:r>
          </w:p>
        </w:tc>
        <w:tc>
          <w:tcPr>
            <w:tcW w:w="947" w:type="dxa"/>
          </w:tcPr>
          <w:p w14:paraId="758539F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w:t>
            </w:r>
          </w:p>
        </w:tc>
        <w:tc>
          <w:tcPr>
            <w:tcW w:w="947" w:type="dxa"/>
          </w:tcPr>
          <w:p w14:paraId="130DE03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33</w:t>
            </w:r>
          </w:p>
        </w:tc>
        <w:tc>
          <w:tcPr>
            <w:tcW w:w="947" w:type="dxa"/>
          </w:tcPr>
          <w:p w14:paraId="165EB6C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w:t>
            </w:r>
          </w:p>
        </w:tc>
        <w:tc>
          <w:tcPr>
            <w:tcW w:w="947" w:type="dxa"/>
          </w:tcPr>
          <w:p w14:paraId="4A97D21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249</w:t>
            </w:r>
          </w:p>
        </w:tc>
        <w:tc>
          <w:tcPr>
            <w:tcW w:w="947" w:type="dxa"/>
          </w:tcPr>
          <w:p w14:paraId="3D6424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113</w:t>
            </w:r>
          </w:p>
        </w:tc>
      </w:tr>
      <w:tr w:rsidR="000F5689" w:rsidRPr="00925F26" w14:paraId="571BEDF2" w14:textId="77777777">
        <w:tc>
          <w:tcPr>
            <w:tcW w:w="1668" w:type="dxa"/>
          </w:tcPr>
          <w:p w14:paraId="2E43789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w:t>
            </w:r>
          </w:p>
        </w:tc>
        <w:tc>
          <w:tcPr>
            <w:tcW w:w="947" w:type="dxa"/>
          </w:tcPr>
          <w:p w14:paraId="6D76DB6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62</w:t>
            </w:r>
          </w:p>
        </w:tc>
        <w:tc>
          <w:tcPr>
            <w:tcW w:w="947" w:type="dxa"/>
          </w:tcPr>
          <w:p w14:paraId="03CCCDE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w:t>
            </w:r>
          </w:p>
        </w:tc>
        <w:tc>
          <w:tcPr>
            <w:tcW w:w="947" w:type="dxa"/>
          </w:tcPr>
          <w:p w14:paraId="6302C5C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7C6AD82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29F3677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9D4766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w:t>
            </w:r>
          </w:p>
        </w:tc>
        <w:tc>
          <w:tcPr>
            <w:tcW w:w="947" w:type="dxa"/>
          </w:tcPr>
          <w:p w14:paraId="66D010A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6C91A9FD" w14:textId="77777777">
        <w:tc>
          <w:tcPr>
            <w:tcW w:w="1668" w:type="dxa"/>
          </w:tcPr>
          <w:p w14:paraId="658452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Киттихок</w:t>
            </w:r>
          </w:p>
        </w:tc>
        <w:tc>
          <w:tcPr>
            <w:tcW w:w="947" w:type="dxa"/>
          </w:tcPr>
          <w:p w14:paraId="206B4B4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88</w:t>
            </w:r>
          </w:p>
        </w:tc>
        <w:tc>
          <w:tcPr>
            <w:tcW w:w="947" w:type="dxa"/>
          </w:tcPr>
          <w:p w14:paraId="4F34246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c>
          <w:tcPr>
            <w:tcW w:w="947" w:type="dxa"/>
          </w:tcPr>
          <w:p w14:paraId="1E6591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398824A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36F2639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BE3AB0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3824886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57</w:t>
            </w:r>
          </w:p>
        </w:tc>
      </w:tr>
      <w:tr w:rsidR="000F5689" w:rsidRPr="00925F26" w14:paraId="289E44B6" w14:textId="77777777">
        <w:tc>
          <w:tcPr>
            <w:tcW w:w="1668" w:type="dxa"/>
          </w:tcPr>
          <w:p w14:paraId="2B332F3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Аэрокобра</w:t>
            </w:r>
          </w:p>
        </w:tc>
        <w:tc>
          <w:tcPr>
            <w:tcW w:w="947" w:type="dxa"/>
          </w:tcPr>
          <w:p w14:paraId="65A6545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887</w:t>
            </w:r>
          </w:p>
        </w:tc>
        <w:tc>
          <w:tcPr>
            <w:tcW w:w="947" w:type="dxa"/>
          </w:tcPr>
          <w:p w14:paraId="38FFBE1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378</w:t>
            </w:r>
          </w:p>
        </w:tc>
        <w:tc>
          <w:tcPr>
            <w:tcW w:w="947" w:type="dxa"/>
          </w:tcPr>
          <w:p w14:paraId="462C62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58</w:t>
            </w:r>
          </w:p>
        </w:tc>
        <w:tc>
          <w:tcPr>
            <w:tcW w:w="947" w:type="dxa"/>
          </w:tcPr>
          <w:p w14:paraId="2FD27D6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35</w:t>
            </w:r>
          </w:p>
        </w:tc>
        <w:tc>
          <w:tcPr>
            <w:tcW w:w="947" w:type="dxa"/>
          </w:tcPr>
          <w:p w14:paraId="3921001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420CD32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243</w:t>
            </w:r>
          </w:p>
        </w:tc>
        <w:tc>
          <w:tcPr>
            <w:tcW w:w="947" w:type="dxa"/>
          </w:tcPr>
          <w:p w14:paraId="010E9CB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169</w:t>
            </w:r>
          </w:p>
        </w:tc>
      </w:tr>
      <w:tr w:rsidR="000F5689" w:rsidRPr="00925F26" w14:paraId="0314793F" w14:textId="77777777">
        <w:tc>
          <w:tcPr>
            <w:tcW w:w="1668" w:type="dxa"/>
          </w:tcPr>
          <w:p w14:paraId="5ABED11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Томагаук</w:t>
            </w:r>
          </w:p>
        </w:tc>
        <w:tc>
          <w:tcPr>
            <w:tcW w:w="947" w:type="dxa"/>
          </w:tcPr>
          <w:p w14:paraId="6569001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c>
          <w:tcPr>
            <w:tcW w:w="947" w:type="dxa"/>
          </w:tcPr>
          <w:p w14:paraId="08355D8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250EDF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5C5D6D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1D1276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FE20EC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E5D0EF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r>
      <w:tr w:rsidR="000F5689" w:rsidRPr="00925F26" w14:paraId="4ADA0FAF" w14:textId="77777777">
        <w:tc>
          <w:tcPr>
            <w:tcW w:w="1668" w:type="dxa"/>
          </w:tcPr>
          <w:p w14:paraId="437C131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Спитфайр</w:t>
            </w:r>
          </w:p>
        </w:tc>
        <w:tc>
          <w:tcPr>
            <w:tcW w:w="947" w:type="dxa"/>
          </w:tcPr>
          <w:p w14:paraId="09F4615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7F46781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D7989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AA3C02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70ED61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F37B58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773BC3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36</w:t>
            </w:r>
          </w:p>
        </w:tc>
      </w:tr>
      <w:tr w:rsidR="000F5689" w:rsidRPr="00925F26" w14:paraId="1BD337BC" w14:textId="77777777">
        <w:tc>
          <w:tcPr>
            <w:tcW w:w="1668" w:type="dxa"/>
          </w:tcPr>
          <w:p w14:paraId="2A98798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Спитфайр</w:t>
            </w:r>
          </w:p>
        </w:tc>
        <w:tc>
          <w:tcPr>
            <w:tcW w:w="947" w:type="dxa"/>
          </w:tcPr>
          <w:p w14:paraId="367AF86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22</w:t>
            </w:r>
          </w:p>
        </w:tc>
        <w:tc>
          <w:tcPr>
            <w:tcW w:w="947" w:type="dxa"/>
          </w:tcPr>
          <w:p w14:paraId="269932E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E42C8C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31DFDC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09D493A"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D0F2E0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A65BB6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w:t>
            </w:r>
          </w:p>
        </w:tc>
      </w:tr>
      <w:tr w:rsidR="000F5689" w:rsidRPr="00925F26" w14:paraId="044D7599" w14:textId="77777777">
        <w:tc>
          <w:tcPr>
            <w:tcW w:w="1668" w:type="dxa"/>
          </w:tcPr>
          <w:p w14:paraId="110DEE8F"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E858D7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8030</w:t>
            </w:r>
          </w:p>
        </w:tc>
        <w:tc>
          <w:tcPr>
            <w:tcW w:w="947" w:type="dxa"/>
          </w:tcPr>
          <w:p w14:paraId="4490B37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2556</w:t>
            </w:r>
          </w:p>
        </w:tc>
        <w:tc>
          <w:tcPr>
            <w:tcW w:w="947" w:type="dxa"/>
          </w:tcPr>
          <w:p w14:paraId="7E41E6F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479</w:t>
            </w:r>
          </w:p>
        </w:tc>
        <w:tc>
          <w:tcPr>
            <w:tcW w:w="947" w:type="dxa"/>
          </w:tcPr>
          <w:p w14:paraId="4147ADC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345</w:t>
            </w:r>
          </w:p>
        </w:tc>
        <w:tc>
          <w:tcPr>
            <w:tcW w:w="947" w:type="dxa"/>
          </w:tcPr>
          <w:p w14:paraId="75E1E5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52</w:t>
            </w:r>
          </w:p>
        </w:tc>
        <w:tc>
          <w:tcPr>
            <w:tcW w:w="947" w:type="dxa"/>
          </w:tcPr>
          <w:p w14:paraId="76354E3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1979</w:t>
            </w:r>
          </w:p>
        </w:tc>
        <w:tc>
          <w:tcPr>
            <w:tcW w:w="947" w:type="dxa"/>
          </w:tcPr>
          <w:p w14:paraId="7606F76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2619</w:t>
            </w:r>
          </w:p>
        </w:tc>
      </w:tr>
      <w:tr w:rsidR="000F5689" w:rsidRPr="00925F26" w14:paraId="12AFB586" w14:textId="77777777">
        <w:tc>
          <w:tcPr>
            <w:tcW w:w="1668" w:type="dxa"/>
          </w:tcPr>
          <w:p w14:paraId="2AA51FF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BC7EEBF"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01EC8B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806D83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9A1979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7422F8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125876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7C7AFCB"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4C1B2786" w14:textId="77777777">
        <w:tc>
          <w:tcPr>
            <w:tcW w:w="1668" w:type="dxa"/>
          </w:tcPr>
          <w:p w14:paraId="79D380A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МиГ-3</w:t>
            </w:r>
          </w:p>
        </w:tc>
        <w:tc>
          <w:tcPr>
            <w:tcW w:w="947" w:type="dxa"/>
          </w:tcPr>
          <w:p w14:paraId="41FCC3D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18F107B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1C1A25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C7DB98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E4416E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52ED2F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05F1E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444851FA" w14:textId="77777777">
        <w:tc>
          <w:tcPr>
            <w:tcW w:w="1668" w:type="dxa"/>
          </w:tcPr>
          <w:p w14:paraId="48C823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ЛаГГ-3</w:t>
            </w:r>
          </w:p>
        </w:tc>
        <w:tc>
          <w:tcPr>
            <w:tcW w:w="947" w:type="dxa"/>
          </w:tcPr>
          <w:p w14:paraId="410903A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594</w:t>
            </w:r>
          </w:p>
        </w:tc>
        <w:tc>
          <w:tcPr>
            <w:tcW w:w="947" w:type="dxa"/>
          </w:tcPr>
          <w:p w14:paraId="11DE34A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59</w:t>
            </w:r>
          </w:p>
        </w:tc>
        <w:tc>
          <w:tcPr>
            <w:tcW w:w="947" w:type="dxa"/>
          </w:tcPr>
          <w:p w14:paraId="14969E5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w:t>
            </w:r>
          </w:p>
        </w:tc>
        <w:tc>
          <w:tcPr>
            <w:tcW w:w="947" w:type="dxa"/>
          </w:tcPr>
          <w:p w14:paraId="714662B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w:t>
            </w:r>
          </w:p>
        </w:tc>
        <w:tc>
          <w:tcPr>
            <w:tcW w:w="947" w:type="dxa"/>
          </w:tcPr>
          <w:p w14:paraId="3446469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070F2AE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w:t>
            </w:r>
          </w:p>
        </w:tc>
        <w:tc>
          <w:tcPr>
            <w:tcW w:w="947" w:type="dxa"/>
          </w:tcPr>
          <w:p w14:paraId="6BEED40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451</w:t>
            </w:r>
          </w:p>
        </w:tc>
      </w:tr>
      <w:tr w:rsidR="000F5689" w:rsidRPr="00925F26" w14:paraId="2E973D7E" w14:textId="77777777">
        <w:tc>
          <w:tcPr>
            <w:tcW w:w="1668" w:type="dxa"/>
          </w:tcPr>
          <w:p w14:paraId="257DCA6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И-16 М-25</w:t>
            </w:r>
          </w:p>
        </w:tc>
        <w:tc>
          <w:tcPr>
            <w:tcW w:w="947" w:type="dxa"/>
          </w:tcPr>
          <w:p w14:paraId="65CA781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538</w:t>
            </w:r>
          </w:p>
        </w:tc>
        <w:tc>
          <w:tcPr>
            <w:tcW w:w="947" w:type="dxa"/>
          </w:tcPr>
          <w:p w14:paraId="236D8CF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CC63A5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BBA296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FD3148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FC878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w:t>
            </w:r>
          </w:p>
        </w:tc>
        <w:tc>
          <w:tcPr>
            <w:tcW w:w="947" w:type="dxa"/>
          </w:tcPr>
          <w:p w14:paraId="78B0B83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493</w:t>
            </w:r>
          </w:p>
        </w:tc>
      </w:tr>
      <w:tr w:rsidR="000F5689" w:rsidRPr="00925F26" w14:paraId="414E88D8" w14:textId="77777777">
        <w:tc>
          <w:tcPr>
            <w:tcW w:w="1668" w:type="dxa"/>
          </w:tcPr>
          <w:p w14:paraId="7B1ED0D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И-16 М-62</w:t>
            </w:r>
          </w:p>
        </w:tc>
        <w:tc>
          <w:tcPr>
            <w:tcW w:w="947" w:type="dxa"/>
          </w:tcPr>
          <w:p w14:paraId="683E4E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65</w:t>
            </w:r>
          </w:p>
        </w:tc>
        <w:tc>
          <w:tcPr>
            <w:tcW w:w="947" w:type="dxa"/>
          </w:tcPr>
          <w:p w14:paraId="3963C22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31C64E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356D83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5B2877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D03718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1827936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55</w:t>
            </w:r>
          </w:p>
        </w:tc>
      </w:tr>
      <w:tr w:rsidR="000F5689" w:rsidRPr="00925F26" w14:paraId="566475E6" w14:textId="77777777">
        <w:tc>
          <w:tcPr>
            <w:tcW w:w="1668" w:type="dxa"/>
          </w:tcPr>
          <w:p w14:paraId="7CE4A9A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МиГ-1</w:t>
            </w:r>
          </w:p>
        </w:tc>
        <w:tc>
          <w:tcPr>
            <w:tcW w:w="947" w:type="dxa"/>
          </w:tcPr>
          <w:p w14:paraId="6B4E183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2E03724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5451E6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7AD6B1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2F1C78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080DAD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A583E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221A2DCC" w14:textId="77777777">
        <w:tc>
          <w:tcPr>
            <w:tcW w:w="1668" w:type="dxa"/>
          </w:tcPr>
          <w:p w14:paraId="670BD33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И-153</w:t>
            </w:r>
          </w:p>
        </w:tc>
        <w:tc>
          <w:tcPr>
            <w:tcW w:w="947" w:type="dxa"/>
          </w:tcPr>
          <w:p w14:paraId="4BB2DCF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263</w:t>
            </w:r>
          </w:p>
        </w:tc>
        <w:tc>
          <w:tcPr>
            <w:tcW w:w="947" w:type="dxa"/>
          </w:tcPr>
          <w:p w14:paraId="27D2DB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5F4DB1C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2AAF73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3DAC87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B49E5C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0D0208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255</w:t>
            </w:r>
          </w:p>
        </w:tc>
      </w:tr>
      <w:tr w:rsidR="000F5689" w:rsidRPr="00925F26" w14:paraId="443FDFD4" w14:textId="77777777">
        <w:tc>
          <w:tcPr>
            <w:tcW w:w="1668" w:type="dxa"/>
          </w:tcPr>
          <w:p w14:paraId="615BB11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И-15</w:t>
            </w:r>
          </w:p>
        </w:tc>
        <w:tc>
          <w:tcPr>
            <w:tcW w:w="947" w:type="dxa"/>
          </w:tcPr>
          <w:p w14:paraId="15A5B23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350</w:t>
            </w:r>
          </w:p>
        </w:tc>
        <w:tc>
          <w:tcPr>
            <w:tcW w:w="947" w:type="dxa"/>
          </w:tcPr>
          <w:p w14:paraId="10B2F9A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D1FE69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BDEED4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2427BC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B92CB0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w:t>
            </w:r>
          </w:p>
        </w:tc>
        <w:tc>
          <w:tcPr>
            <w:tcW w:w="947" w:type="dxa"/>
          </w:tcPr>
          <w:p w14:paraId="598451B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343</w:t>
            </w:r>
          </w:p>
        </w:tc>
      </w:tr>
      <w:tr w:rsidR="000F5689" w:rsidRPr="00925F26" w14:paraId="7BB8061B" w14:textId="77777777">
        <w:tc>
          <w:tcPr>
            <w:tcW w:w="1668" w:type="dxa"/>
          </w:tcPr>
          <w:p w14:paraId="617A95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МиГ-3</w:t>
            </w:r>
          </w:p>
        </w:tc>
        <w:tc>
          <w:tcPr>
            <w:tcW w:w="947" w:type="dxa"/>
          </w:tcPr>
          <w:p w14:paraId="36CB955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17</w:t>
            </w:r>
          </w:p>
        </w:tc>
        <w:tc>
          <w:tcPr>
            <w:tcW w:w="947" w:type="dxa"/>
          </w:tcPr>
          <w:p w14:paraId="3B2BE4A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DEF6BD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5086E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F7E07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0DF6D7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6676EEE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w:t>
            </w:r>
          </w:p>
        </w:tc>
      </w:tr>
      <w:tr w:rsidR="000F5689" w:rsidRPr="00925F26" w14:paraId="68D565A5" w14:textId="77777777">
        <w:tc>
          <w:tcPr>
            <w:tcW w:w="1668" w:type="dxa"/>
          </w:tcPr>
          <w:p w14:paraId="5DCF331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Харрикейн</w:t>
            </w:r>
          </w:p>
        </w:tc>
        <w:tc>
          <w:tcPr>
            <w:tcW w:w="947" w:type="dxa"/>
          </w:tcPr>
          <w:p w14:paraId="70E8E2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249</w:t>
            </w:r>
          </w:p>
        </w:tc>
        <w:tc>
          <w:tcPr>
            <w:tcW w:w="947" w:type="dxa"/>
          </w:tcPr>
          <w:p w14:paraId="314F222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c>
          <w:tcPr>
            <w:tcW w:w="947" w:type="dxa"/>
          </w:tcPr>
          <w:p w14:paraId="43DE4D0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23E8A2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74467D8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F4AF7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w:t>
            </w:r>
          </w:p>
        </w:tc>
        <w:tc>
          <w:tcPr>
            <w:tcW w:w="947" w:type="dxa"/>
          </w:tcPr>
          <w:p w14:paraId="0A0B269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215</w:t>
            </w:r>
          </w:p>
        </w:tc>
      </w:tr>
      <w:tr w:rsidR="000F5689" w:rsidRPr="00925F26" w14:paraId="4C1D79F7" w14:textId="77777777">
        <w:tc>
          <w:tcPr>
            <w:tcW w:w="1668" w:type="dxa"/>
          </w:tcPr>
          <w:p w14:paraId="5DA95A8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50218D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C7F2A3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582AE4F"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165E72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D610CC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F33C080"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F6CCDBC"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4D8513F6" w14:textId="77777777">
        <w:tc>
          <w:tcPr>
            <w:tcW w:w="1668" w:type="dxa"/>
          </w:tcPr>
          <w:p w14:paraId="21DCDC50"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0FCABE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2081</w:t>
            </w:r>
          </w:p>
        </w:tc>
        <w:tc>
          <w:tcPr>
            <w:tcW w:w="947" w:type="dxa"/>
          </w:tcPr>
          <w:p w14:paraId="685B714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76</w:t>
            </w:r>
          </w:p>
        </w:tc>
        <w:tc>
          <w:tcPr>
            <w:tcW w:w="947" w:type="dxa"/>
          </w:tcPr>
          <w:p w14:paraId="171622D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w:t>
            </w:r>
          </w:p>
        </w:tc>
        <w:tc>
          <w:tcPr>
            <w:tcW w:w="947" w:type="dxa"/>
          </w:tcPr>
          <w:p w14:paraId="474253D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31</w:t>
            </w:r>
          </w:p>
        </w:tc>
        <w:tc>
          <w:tcPr>
            <w:tcW w:w="947" w:type="dxa"/>
          </w:tcPr>
          <w:p w14:paraId="569818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23DDCC9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109</w:t>
            </w:r>
          </w:p>
        </w:tc>
        <w:tc>
          <w:tcPr>
            <w:tcW w:w="947" w:type="dxa"/>
          </w:tcPr>
          <w:p w14:paraId="0EFE516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1833</w:t>
            </w:r>
          </w:p>
        </w:tc>
      </w:tr>
      <w:tr w:rsidR="000F5689" w:rsidRPr="00925F26" w14:paraId="3F41752A" w14:textId="77777777">
        <w:tc>
          <w:tcPr>
            <w:tcW w:w="1668" w:type="dxa"/>
          </w:tcPr>
          <w:p w14:paraId="055BABC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8D9718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8E4C3B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B346F5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5A010C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8AFA62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585676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9DBC5D6"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0C3A6E3D" w14:textId="77777777">
        <w:tc>
          <w:tcPr>
            <w:tcW w:w="1668" w:type="dxa"/>
          </w:tcPr>
          <w:p w14:paraId="4D389E9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0296BB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10111</w:t>
            </w:r>
          </w:p>
        </w:tc>
        <w:tc>
          <w:tcPr>
            <w:tcW w:w="947" w:type="dxa"/>
          </w:tcPr>
          <w:p w14:paraId="20150E7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2632</w:t>
            </w:r>
          </w:p>
        </w:tc>
        <w:tc>
          <w:tcPr>
            <w:tcW w:w="947" w:type="dxa"/>
          </w:tcPr>
          <w:p w14:paraId="62D7ADC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508</w:t>
            </w:r>
          </w:p>
        </w:tc>
        <w:tc>
          <w:tcPr>
            <w:tcW w:w="947" w:type="dxa"/>
          </w:tcPr>
          <w:p w14:paraId="0733D73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376</w:t>
            </w:r>
          </w:p>
        </w:tc>
        <w:tc>
          <w:tcPr>
            <w:tcW w:w="947" w:type="dxa"/>
          </w:tcPr>
          <w:p w14:paraId="6AD3F38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55</w:t>
            </w:r>
          </w:p>
        </w:tc>
        <w:tc>
          <w:tcPr>
            <w:tcW w:w="947" w:type="dxa"/>
          </w:tcPr>
          <w:p w14:paraId="603181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2088</w:t>
            </w:r>
          </w:p>
        </w:tc>
        <w:tc>
          <w:tcPr>
            <w:tcW w:w="947" w:type="dxa"/>
          </w:tcPr>
          <w:p w14:paraId="6637F83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4452</w:t>
            </w:r>
          </w:p>
        </w:tc>
      </w:tr>
      <w:tr w:rsidR="000F5689" w:rsidRPr="00925F26" w14:paraId="570CF923" w14:textId="77777777">
        <w:tc>
          <w:tcPr>
            <w:tcW w:w="1668" w:type="dxa"/>
          </w:tcPr>
          <w:p w14:paraId="38A3D13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фронт</w:t>
            </w:r>
          </w:p>
        </w:tc>
        <w:tc>
          <w:tcPr>
            <w:tcW w:w="947" w:type="dxa"/>
          </w:tcPr>
          <w:p w14:paraId="7F9EB1A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6601</w:t>
            </w:r>
          </w:p>
        </w:tc>
        <w:tc>
          <w:tcPr>
            <w:tcW w:w="947" w:type="dxa"/>
          </w:tcPr>
          <w:p w14:paraId="0613339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2630</w:t>
            </w:r>
          </w:p>
        </w:tc>
        <w:tc>
          <w:tcPr>
            <w:tcW w:w="947" w:type="dxa"/>
          </w:tcPr>
          <w:p w14:paraId="29AFA19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491</w:t>
            </w:r>
          </w:p>
        </w:tc>
        <w:tc>
          <w:tcPr>
            <w:tcW w:w="947" w:type="dxa"/>
          </w:tcPr>
          <w:p w14:paraId="51D7075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361</w:t>
            </w:r>
          </w:p>
        </w:tc>
        <w:tc>
          <w:tcPr>
            <w:tcW w:w="947" w:type="dxa"/>
          </w:tcPr>
          <w:p w14:paraId="4141FE4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54</w:t>
            </w:r>
          </w:p>
        </w:tc>
        <w:tc>
          <w:tcPr>
            <w:tcW w:w="947" w:type="dxa"/>
          </w:tcPr>
          <w:p w14:paraId="1BC5E4C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1430</w:t>
            </w:r>
          </w:p>
        </w:tc>
        <w:tc>
          <w:tcPr>
            <w:tcW w:w="947" w:type="dxa"/>
          </w:tcPr>
          <w:p w14:paraId="11E69C7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1635</w:t>
            </w:r>
          </w:p>
        </w:tc>
      </w:tr>
      <w:tr w:rsidR="000F5689" w:rsidRPr="00925F26" w14:paraId="43CF8B1A" w14:textId="77777777">
        <w:tc>
          <w:tcPr>
            <w:tcW w:w="1668" w:type="dxa"/>
          </w:tcPr>
          <w:p w14:paraId="27BE9C3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947" w:type="dxa"/>
          </w:tcPr>
          <w:p w14:paraId="567CB8E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9CE99F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5F4571D"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9BEE5F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B88832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F1B596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74100FB"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3AF31217" w14:textId="77777777">
        <w:tc>
          <w:tcPr>
            <w:tcW w:w="1668" w:type="dxa"/>
          </w:tcPr>
          <w:p w14:paraId="0C18503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Пе-2Р</w:t>
            </w:r>
          </w:p>
        </w:tc>
        <w:tc>
          <w:tcPr>
            <w:tcW w:w="947" w:type="dxa"/>
          </w:tcPr>
          <w:p w14:paraId="1BC9494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654</w:t>
            </w:r>
          </w:p>
        </w:tc>
        <w:tc>
          <w:tcPr>
            <w:tcW w:w="947" w:type="dxa"/>
          </w:tcPr>
          <w:p w14:paraId="140D351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225</w:t>
            </w:r>
          </w:p>
        </w:tc>
        <w:tc>
          <w:tcPr>
            <w:tcW w:w="947" w:type="dxa"/>
          </w:tcPr>
          <w:p w14:paraId="59B95B7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36F7987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28</w:t>
            </w:r>
          </w:p>
        </w:tc>
        <w:tc>
          <w:tcPr>
            <w:tcW w:w="947" w:type="dxa"/>
          </w:tcPr>
          <w:p w14:paraId="53A1B13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7D18D24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181</w:t>
            </w:r>
          </w:p>
        </w:tc>
        <w:tc>
          <w:tcPr>
            <w:tcW w:w="947" w:type="dxa"/>
          </w:tcPr>
          <w:p w14:paraId="3C48410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213</w:t>
            </w:r>
          </w:p>
        </w:tc>
      </w:tr>
      <w:tr w:rsidR="000F5689" w:rsidRPr="00925F26" w14:paraId="438DFCB5" w14:textId="77777777">
        <w:tc>
          <w:tcPr>
            <w:tcW w:w="1668" w:type="dxa"/>
          </w:tcPr>
          <w:p w14:paraId="1A09DBD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Пе-2ПФ</w:t>
            </w:r>
          </w:p>
        </w:tc>
        <w:tc>
          <w:tcPr>
            <w:tcW w:w="947" w:type="dxa"/>
          </w:tcPr>
          <w:p w14:paraId="0742A42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486</w:t>
            </w:r>
          </w:p>
        </w:tc>
        <w:tc>
          <w:tcPr>
            <w:tcW w:w="947" w:type="dxa"/>
          </w:tcPr>
          <w:p w14:paraId="229FA9E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204</w:t>
            </w:r>
          </w:p>
        </w:tc>
        <w:tc>
          <w:tcPr>
            <w:tcW w:w="947" w:type="dxa"/>
          </w:tcPr>
          <w:p w14:paraId="6246F9C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w:t>
            </w:r>
          </w:p>
        </w:tc>
        <w:tc>
          <w:tcPr>
            <w:tcW w:w="947" w:type="dxa"/>
          </w:tcPr>
          <w:p w14:paraId="57E9643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2FB5934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3DFDEB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142</w:t>
            </w:r>
          </w:p>
        </w:tc>
        <w:tc>
          <w:tcPr>
            <w:tcW w:w="947" w:type="dxa"/>
          </w:tcPr>
          <w:p w14:paraId="1E6FD6B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87</w:t>
            </w:r>
          </w:p>
        </w:tc>
      </w:tr>
      <w:tr w:rsidR="000F5689" w:rsidRPr="00925F26" w14:paraId="780A9B6F" w14:textId="77777777">
        <w:tc>
          <w:tcPr>
            <w:tcW w:w="1668" w:type="dxa"/>
          </w:tcPr>
          <w:p w14:paraId="392482B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Пе-2М-82</w:t>
            </w:r>
          </w:p>
        </w:tc>
        <w:tc>
          <w:tcPr>
            <w:tcW w:w="947" w:type="dxa"/>
          </w:tcPr>
          <w:p w14:paraId="48B8AEC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7016F15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B36AFD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C058FE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C6F140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C5FE2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556E003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1EB1F267" w14:textId="77777777">
        <w:tc>
          <w:tcPr>
            <w:tcW w:w="1668" w:type="dxa"/>
          </w:tcPr>
          <w:p w14:paraId="49F9FB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Пе-3</w:t>
            </w:r>
          </w:p>
        </w:tc>
        <w:tc>
          <w:tcPr>
            <w:tcW w:w="947" w:type="dxa"/>
          </w:tcPr>
          <w:p w14:paraId="1637A8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704471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CD08A6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75A023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31389F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FA092F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7E33A79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r>
      <w:tr w:rsidR="000F5689" w:rsidRPr="00925F26" w14:paraId="2878C56A" w14:textId="77777777">
        <w:tc>
          <w:tcPr>
            <w:tcW w:w="1668" w:type="dxa"/>
          </w:tcPr>
          <w:p w14:paraId="2BAD0E1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Ил-4</w:t>
            </w:r>
          </w:p>
        </w:tc>
        <w:tc>
          <w:tcPr>
            <w:tcW w:w="947" w:type="dxa"/>
          </w:tcPr>
          <w:p w14:paraId="29027CC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27</w:t>
            </w:r>
          </w:p>
        </w:tc>
        <w:tc>
          <w:tcPr>
            <w:tcW w:w="947" w:type="dxa"/>
          </w:tcPr>
          <w:p w14:paraId="5F7A5BE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7425675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9F96E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1133F9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A7B3CF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14DE1FD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60F3646E" w14:textId="77777777">
        <w:tc>
          <w:tcPr>
            <w:tcW w:w="1668" w:type="dxa"/>
          </w:tcPr>
          <w:p w14:paraId="3C3A377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Ту-2Ф, ФН</w:t>
            </w:r>
          </w:p>
        </w:tc>
        <w:tc>
          <w:tcPr>
            <w:tcW w:w="947" w:type="dxa"/>
          </w:tcPr>
          <w:p w14:paraId="206EC6C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77</w:t>
            </w:r>
          </w:p>
        </w:tc>
        <w:tc>
          <w:tcPr>
            <w:tcW w:w="947" w:type="dxa"/>
          </w:tcPr>
          <w:p w14:paraId="54CC34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44</w:t>
            </w:r>
          </w:p>
        </w:tc>
        <w:tc>
          <w:tcPr>
            <w:tcW w:w="947" w:type="dxa"/>
          </w:tcPr>
          <w:p w14:paraId="390DCB2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1369B9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6FC9BB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3EEB8D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w:t>
            </w:r>
          </w:p>
        </w:tc>
        <w:tc>
          <w:tcPr>
            <w:tcW w:w="947" w:type="dxa"/>
          </w:tcPr>
          <w:p w14:paraId="1835BF2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r>
      <w:tr w:rsidR="000F5689" w:rsidRPr="00925F26" w14:paraId="690E2EBD" w14:textId="77777777">
        <w:tc>
          <w:tcPr>
            <w:tcW w:w="1668" w:type="dxa"/>
          </w:tcPr>
          <w:p w14:paraId="7460B64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Б-25</w:t>
            </w:r>
          </w:p>
        </w:tc>
        <w:tc>
          <w:tcPr>
            <w:tcW w:w="947" w:type="dxa"/>
          </w:tcPr>
          <w:p w14:paraId="3D3EF9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33F84BA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77AE65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0E3529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BE3A95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7E55E6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35646F4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1E96A45C" w14:textId="77777777">
        <w:tc>
          <w:tcPr>
            <w:tcW w:w="1668" w:type="dxa"/>
          </w:tcPr>
          <w:p w14:paraId="6024061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А-20В</w:t>
            </w:r>
          </w:p>
        </w:tc>
        <w:tc>
          <w:tcPr>
            <w:tcW w:w="947" w:type="dxa"/>
          </w:tcPr>
          <w:p w14:paraId="610A7CB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100</w:t>
            </w:r>
          </w:p>
        </w:tc>
        <w:tc>
          <w:tcPr>
            <w:tcW w:w="947" w:type="dxa"/>
          </w:tcPr>
          <w:p w14:paraId="6A605D7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w:t>
            </w:r>
          </w:p>
        </w:tc>
        <w:tc>
          <w:tcPr>
            <w:tcW w:w="947" w:type="dxa"/>
          </w:tcPr>
          <w:p w14:paraId="0DED786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A31557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01A8CA1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435CB01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w:t>
            </w:r>
          </w:p>
        </w:tc>
        <w:tc>
          <w:tcPr>
            <w:tcW w:w="947" w:type="dxa"/>
          </w:tcPr>
          <w:p w14:paraId="55DD1C6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w:t>
            </w:r>
          </w:p>
        </w:tc>
      </w:tr>
      <w:tr w:rsidR="000F5689" w:rsidRPr="00925F26" w14:paraId="3348E876" w14:textId="77777777">
        <w:tc>
          <w:tcPr>
            <w:tcW w:w="1668" w:type="dxa"/>
          </w:tcPr>
          <w:p w14:paraId="142C1F3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А-20С</w:t>
            </w:r>
          </w:p>
        </w:tc>
        <w:tc>
          <w:tcPr>
            <w:tcW w:w="947" w:type="dxa"/>
          </w:tcPr>
          <w:p w14:paraId="7BB6208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28</w:t>
            </w:r>
          </w:p>
        </w:tc>
        <w:tc>
          <w:tcPr>
            <w:tcW w:w="947" w:type="dxa"/>
          </w:tcPr>
          <w:p w14:paraId="150AA09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53BF16D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4DB53F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4D306D1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5D4EC3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64768E9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r>
      <w:tr w:rsidR="000F5689" w:rsidRPr="00925F26" w14:paraId="41CB404C" w14:textId="77777777">
        <w:tc>
          <w:tcPr>
            <w:tcW w:w="1668" w:type="dxa"/>
          </w:tcPr>
          <w:p w14:paraId="0F0AB3C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А-20Ж</w:t>
            </w:r>
          </w:p>
        </w:tc>
        <w:tc>
          <w:tcPr>
            <w:tcW w:w="947" w:type="dxa"/>
          </w:tcPr>
          <w:p w14:paraId="289FF3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167</w:t>
            </w:r>
          </w:p>
        </w:tc>
        <w:tc>
          <w:tcPr>
            <w:tcW w:w="947" w:type="dxa"/>
          </w:tcPr>
          <w:p w14:paraId="1B47623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73</w:t>
            </w:r>
          </w:p>
        </w:tc>
        <w:tc>
          <w:tcPr>
            <w:tcW w:w="947" w:type="dxa"/>
          </w:tcPr>
          <w:p w14:paraId="1C8EC8D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2CBCC90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c>
          <w:tcPr>
            <w:tcW w:w="947" w:type="dxa"/>
          </w:tcPr>
          <w:p w14:paraId="617936A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0233BE4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58</w:t>
            </w:r>
          </w:p>
        </w:tc>
        <w:tc>
          <w:tcPr>
            <w:tcW w:w="947" w:type="dxa"/>
          </w:tcPr>
          <w:p w14:paraId="16186AF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12</w:t>
            </w:r>
          </w:p>
        </w:tc>
      </w:tr>
      <w:tr w:rsidR="000F5689" w:rsidRPr="00925F26" w14:paraId="12E33276" w14:textId="77777777">
        <w:tc>
          <w:tcPr>
            <w:tcW w:w="1668" w:type="dxa"/>
          </w:tcPr>
          <w:p w14:paraId="2D6E7C8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АВ-7В</w:t>
            </w:r>
          </w:p>
        </w:tc>
        <w:tc>
          <w:tcPr>
            <w:tcW w:w="947" w:type="dxa"/>
          </w:tcPr>
          <w:p w14:paraId="02ACF8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w:t>
            </w:r>
          </w:p>
        </w:tc>
        <w:tc>
          <w:tcPr>
            <w:tcW w:w="947" w:type="dxa"/>
          </w:tcPr>
          <w:p w14:paraId="40B2FC7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2D8CC46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C57FD2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2697E1E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BC1B30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40FF080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5AB08C5B" w14:textId="77777777">
        <w:tc>
          <w:tcPr>
            <w:tcW w:w="1668" w:type="dxa"/>
          </w:tcPr>
          <w:p w14:paraId="3113846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А-20У</w:t>
            </w:r>
          </w:p>
        </w:tc>
        <w:tc>
          <w:tcPr>
            <w:tcW w:w="947" w:type="dxa"/>
          </w:tcPr>
          <w:p w14:paraId="54CB2B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114ADD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002283D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7281D6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8FDCE6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BE3BAD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A8425F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9EE7B97" w14:textId="77777777">
        <w:tc>
          <w:tcPr>
            <w:tcW w:w="1668" w:type="dxa"/>
          </w:tcPr>
          <w:p w14:paraId="420557E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20AE2E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6AFC6E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06D957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70B7CA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EBAC427"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E03D4C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4068A24"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772828B1" w14:textId="77777777">
        <w:tc>
          <w:tcPr>
            <w:tcW w:w="1668" w:type="dxa"/>
          </w:tcPr>
          <w:p w14:paraId="7D083B00"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FCC657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1569</w:t>
            </w:r>
          </w:p>
        </w:tc>
        <w:tc>
          <w:tcPr>
            <w:tcW w:w="947" w:type="dxa"/>
          </w:tcPr>
          <w:p w14:paraId="1F5D407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612</w:t>
            </w:r>
          </w:p>
        </w:tc>
        <w:tc>
          <w:tcPr>
            <w:tcW w:w="947" w:type="dxa"/>
          </w:tcPr>
          <w:p w14:paraId="577E5AC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30</w:t>
            </w:r>
          </w:p>
        </w:tc>
        <w:tc>
          <w:tcPr>
            <w:tcW w:w="947" w:type="dxa"/>
          </w:tcPr>
          <w:p w14:paraId="256DB72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90</w:t>
            </w:r>
          </w:p>
        </w:tc>
        <w:tc>
          <w:tcPr>
            <w:tcW w:w="947" w:type="dxa"/>
          </w:tcPr>
          <w:p w14:paraId="7D17F66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1B53F5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459</w:t>
            </w:r>
          </w:p>
        </w:tc>
        <w:tc>
          <w:tcPr>
            <w:tcW w:w="947" w:type="dxa"/>
          </w:tcPr>
          <w:p w14:paraId="7F04D33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374</w:t>
            </w:r>
          </w:p>
        </w:tc>
      </w:tr>
      <w:tr w:rsidR="000F5689" w:rsidRPr="00925F26" w14:paraId="430DD210" w14:textId="77777777">
        <w:tc>
          <w:tcPr>
            <w:tcW w:w="1668" w:type="dxa"/>
          </w:tcPr>
          <w:p w14:paraId="5AADF93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F3EE15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A57941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CD8BC6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1C1706D"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502BC5E"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50159E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FE22E10"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27630967" w14:textId="77777777">
        <w:tc>
          <w:tcPr>
            <w:tcW w:w="1668" w:type="dxa"/>
          </w:tcPr>
          <w:p w14:paraId="044076C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СБ</w:t>
            </w:r>
          </w:p>
        </w:tc>
        <w:tc>
          <w:tcPr>
            <w:tcW w:w="947" w:type="dxa"/>
          </w:tcPr>
          <w:p w14:paraId="38193DE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140</w:t>
            </w:r>
          </w:p>
        </w:tc>
        <w:tc>
          <w:tcPr>
            <w:tcW w:w="947" w:type="dxa"/>
          </w:tcPr>
          <w:p w14:paraId="3B69AF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08070C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A72E00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40A2C2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54E02A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35</w:t>
            </w:r>
          </w:p>
        </w:tc>
        <w:tc>
          <w:tcPr>
            <w:tcW w:w="947" w:type="dxa"/>
          </w:tcPr>
          <w:p w14:paraId="4CC7C87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105</w:t>
            </w:r>
          </w:p>
        </w:tc>
      </w:tr>
      <w:tr w:rsidR="000F5689" w:rsidRPr="00925F26" w14:paraId="398C83F1" w14:textId="77777777">
        <w:tc>
          <w:tcPr>
            <w:tcW w:w="1668" w:type="dxa"/>
          </w:tcPr>
          <w:p w14:paraId="1D6C6B6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ТБ-1</w:t>
            </w:r>
          </w:p>
        </w:tc>
        <w:tc>
          <w:tcPr>
            <w:tcW w:w="947" w:type="dxa"/>
          </w:tcPr>
          <w:p w14:paraId="6361A7C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346EA18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337E49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249CDF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470989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E9B84D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F451D9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F6BFC04" w14:textId="77777777">
        <w:tc>
          <w:tcPr>
            <w:tcW w:w="1668" w:type="dxa"/>
          </w:tcPr>
          <w:p w14:paraId="5EAE91D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ДБ-3</w:t>
            </w:r>
          </w:p>
        </w:tc>
        <w:tc>
          <w:tcPr>
            <w:tcW w:w="947" w:type="dxa"/>
          </w:tcPr>
          <w:p w14:paraId="6A1D9E0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0D4534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2F68CE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7877D5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3DF3D4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63EB71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w:t>
            </w:r>
          </w:p>
        </w:tc>
        <w:tc>
          <w:tcPr>
            <w:tcW w:w="947" w:type="dxa"/>
          </w:tcPr>
          <w:p w14:paraId="2F03CA1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22</w:t>
            </w:r>
          </w:p>
        </w:tc>
      </w:tr>
      <w:tr w:rsidR="000F5689" w:rsidRPr="00925F26" w14:paraId="589CA044" w14:textId="77777777">
        <w:tc>
          <w:tcPr>
            <w:tcW w:w="1668" w:type="dxa"/>
          </w:tcPr>
          <w:p w14:paraId="2CAFF96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Су-2</w:t>
            </w:r>
          </w:p>
        </w:tc>
        <w:tc>
          <w:tcPr>
            <w:tcW w:w="947" w:type="dxa"/>
          </w:tcPr>
          <w:p w14:paraId="75FE9C2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43B8B06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1F54103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6FE318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0BE8F9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9983AD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601675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33</w:t>
            </w:r>
          </w:p>
        </w:tc>
      </w:tr>
      <w:tr w:rsidR="000F5689" w:rsidRPr="00925F26" w14:paraId="4426FAC2" w14:textId="77777777">
        <w:tc>
          <w:tcPr>
            <w:tcW w:w="1668" w:type="dxa"/>
          </w:tcPr>
          <w:p w14:paraId="0BBD3B4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ТБ-3 М-17</w:t>
            </w:r>
          </w:p>
        </w:tc>
        <w:tc>
          <w:tcPr>
            <w:tcW w:w="947" w:type="dxa"/>
          </w:tcPr>
          <w:p w14:paraId="7596EB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w:t>
            </w:r>
          </w:p>
        </w:tc>
        <w:tc>
          <w:tcPr>
            <w:tcW w:w="947" w:type="dxa"/>
          </w:tcPr>
          <w:p w14:paraId="39CED0A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E26858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6DD927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D48B3D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927824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1BBD31A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r>
      <w:tr w:rsidR="000F5689" w:rsidRPr="00925F26" w14:paraId="513301A8" w14:textId="77777777">
        <w:tc>
          <w:tcPr>
            <w:tcW w:w="1668" w:type="dxa"/>
          </w:tcPr>
          <w:p w14:paraId="266EC09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ТБ-3 М-34</w:t>
            </w:r>
          </w:p>
        </w:tc>
        <w:tc>
          <w:tcPr>
            <w:tcW w:w="947" w:type="dxa"/>
          </w:tcPr>
          <w:p w14:paraId="01DE373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44F9303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6BAA14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0C999E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121F17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E39EF3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F9B3AF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73CC204" w14:textId="77777777">
        <w:tc>
          <w:tcPr>
            <w:tcW w:w="1668" w:type="dxa"/>
          </w:tcPr>
          <w:p w14:paraId="2CD36CA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ТБ-3 М-34РН</w:t>
            </w:r>
          </w:p>
        </w:tc>
        <w:tc>
          <w:tcPr>
            <w:tcW w:w="947" w:type="dxa"/>
          </w:tcPr>
          <w:p w14:paraId="45FB848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5D18FF2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3020E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0F9FEE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1B5C28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4F3CB1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7C337B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3817DDFE" w14:textId="77777777">
        <w:tc>
          <w:tcPr>
            <w:tcW w:w="1668" w:type="dxa"/>
          </w:tcPr>
          <w:p w14:paraId="50EBF42F"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7039C0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08549B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46948B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6179BE0"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2C3C2D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B1632C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DA6EE7B"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1B4ED215" w14:textId="77777777">
        <w:tc>
          <w:tcPr>
            <w:tcW w:w="1668" w:type="dxa"/>
          </w:tcPr>
          <w:p w14:paraId="06AC361D"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7A4AC0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237</w:t>
            </w:r>
          </w:p>
        </w:tc>
        <w:tc>
          <w:tcPr>
            <w:tcW w:w="947" w:type="dxa"/>
          </w:tcPr>
          <w:p w14:paraId="2368A3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004C6B4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EBC5B2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B01071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17AAA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62</w:t>
            </w:r>
          </w:p>
        </w:tc>
        <w:tc>
          <w:tcPr>
            <w:tcW w:w="947" w:type="dxa"/>
          </w:tcPr>
          <w:p w14:paraId="79F085E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173</w:t>
            </w:r>
          </w:p>
        </w:tc>
      </w:tr>
      <w:tr w:rsidR="000F5689" w:rsidRPr="00925F26" w14:paraId="1565DAD5" w14:textId="77777777">
        <w:tc>
          <w:tcPr>
            <w:tcW w:w="1668" w:type="dxa"/>
          </w:tcPr>
          <w:p w14:paraId="39DE223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9D3160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1806</w:t>
            </w:r>
          </w:p>
        </w:tc>
        <w:tc>
          <w:tcPr>
            <w:tcW w:w="947" w:type="dxa"/>
          </w:tcPr>
          <w:p w14:paraId="5201156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614</w:t>
            </w:r>
          </w:p>
        </w:tc>
        <w:tc>
          <w:tcPr>
            <w:tcW w:w="947" w:type="dxa"/>
          </w:tcPr>
          <w:p w14:paraId="0E9E40B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30</w:t>
            </w:r>
          </w:p>
        </w:tc>
        <w:tc>
          <w:tcPr>
            <w:tcW w:w="947" w:type="dxa"/>
          </w:tcPr>
          <w:p w14:paraId="6824BC5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90</w:t>
            </w:r>
          </w:p>
        </w:tc>
        <w:tc>
          <w:tcPr>
            <w:tcW w:w="947" w:type="dxa"/>
          </w:tcPr>
          <w:p w14:paraId="6459261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4B18640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521</w:t>
            </w:r>
          </w:p>
        </w:tc>
        <w:tc>
          <w:tcPr>
            <w:tcW w:w="947" w:type="dxa"/>
          </w:tcPr>
          <w:p w14:paraId="01C248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547</w:t>
            </w:r>
          </w:p>
        </w:tc>
      </w:tr>
      <w:tr w:rsidR="000F5689" w:rsidRPr="00925F26" w14:paraId="1F9D5896" w14:textId="77777777">
        <w:tc>
          <w:tcPr>
            <w:tcW w:w="1668" w:type="dxa"/>
          </w:tcPr>
          <w:p w14:paraId="7F88EB2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фронт</w:t>
            </w:r>
          </w:p>
        </w:tc>
        <w:tc>
          <w:tcPr>
            <w:tcW w:w="947" w:type="dxa"/>
          </w:tcPr>
          <w:p w14:paraId="42B23CD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1195</w:t>
            </w:r>
          </w:p>
        </w:tc>
        <w:tc>
          <w:tcPr>
            <w:tcW w:w="947" w:type="dxa"/>
          </w:tcPr>
          <w:p w14:paraId="4AD4DFB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594</w:t>
            </w:r>
          </w:p>
        </w:tc>
        <w:tc>
          <w:tcPr>
            <w:tcW w:w="947" w:type="dxa"/>
          </w:tcPr>
          <w:p w14:paraId="63985B7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30</w:t>
            </w:r>
          </w:p>
        </w:tc>
        <w:tc>
          <w:tcPr>
            <w:tcW w:w="947" w:type="dxa"/>
          </w:tcPr>
          <w:p w14:paraId="66FA674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88</w:t>
            </w:r>
          </w:p>
        </w:tc>
        <w:tc>
          <w:tcPr>
            <w:tcW w:w="947" w:type="dxa"/>
          </w:tcPr>
          <w:p w14:paraId="2F58263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63BE101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299</w:t>
            </w:r>
          </w:p>
        </w:tc>
        <w:tc>
          <w:tcPr>
            <w:tcW w:w="947" w:type="dxa"/>
          </w:tcPr>
          <w:p w14:paraId="0D7D6BC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181</w:t>
            </w:r>
          </w:p>
        </w:tc>
      </w:tr>
      <w:tr w:rsidR="000F5689" w:rsidRPr="00925F26" w14:paraId="05755403" w14:textId="77777777">
        <w:tc>
          <w:tcPr>
            <w:tcW w:w="1668" w:type="dxa"/>
          </w:tcPr>
          <w:p w14:paraId="725C46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947" w:type="dxa"/>
          </w:tcPr>
          <w:p w14:paraId="590614C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9578F5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F22411E"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028C6D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760B64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43E17B7"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D20915D"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1EA17CC2" w14:textId="77777777">
        <w:tc>
          <w:tcPr>
            <w:tcW w:w="1668" w:type="dxa"/>
          </w:tcPr>
          <w:p w14:paraId="0124A58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Ил-10</w:t>
            </w:r>
          </w:p>
        </w:tc>
        <w:tc>
          <w:tcPr>
            <w:tcW w:w="947" w:type="dxa"/>
          </w:tcPr>
          <w:p w14:paraId="75EFB70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84CCF0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5AFE66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826347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CB689A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1CC754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BBC374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7BFDD90" w14:textId="77777777">
        <w:tc>
          <w:tcPr>
            <w:tcW w:w="1668" w:type="dxa"/>
          </w:tcPr>
          <w:p w14:paraId="343BE06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Ил-2/1</w:t>
            </w:r>
          </w:p>
        </w:tc>
        <w:tc>
          <w:tcPr>
            <w:tcW w:w="947" w:type="dxa"/>
          </w:tcPr>
          <w:p w14:paraId="781D16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483</w:t>
            </w:r>
          </w:p>
        </w:tc>
        <w:tc>
          <w:tcPr>
            <w:tcW w:w="947" w:type="dxa"/>
          </w:tcPr>
          <w:p w14:paraId="0EEF5E5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0036CA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E6C00D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4069C89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542475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w:t>
            </w:r>
          </w:p>
        </w:tc>
        <w:tc>
          <w:tcPr>
            <w:tcW w:w="947" w:type="dxa"/>
          </w:tcPr>
          <w:p w14:paraId="4AB89F3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435</w:t>
            </w:r>
          </w:p>
        </w:tc>
      </w:tr>
      <w:tr w:rsidR="000F5689" w:rsidRPr="00925F26" w14:paraId="50E1D17A" w14:textId="77777777">
        <w:tc>
          <w:tcPr>
            <w:tcW w:w="1668" w:type="dxa"/>
          </w:tcPr>
          <w:p w14:paraId="06A3B11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Ил-2/2</w:t>
            </w:r>
          </w:p>
        </w:tc>
        <w:tc>
          <w:tcPr>
            <w:tcW w:w="947" w:type="dxa"/>
          </w:tcPr>
          <w:p w14:paraId="50CD4F5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6978</w:t>
            </w:r>
          </w:p>
        </w:tc>
        <w:tc>
          <w:tcPr>
            <w:tcW w:w="947" w:type="dxa"/>
          </w:tcPr>
          <w:p w14:paraId="6F68A4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2999</w:t>
            </w:r>
          </w:p>
        </w:tc>
        <w:tc>
          <w:tcPr>
            <w:tcW w:w="947" w:type="dxa"/>
          </w:tcPr>
          <w:p w14:paraId="1C75E6F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107</w:t>
            </w:r>
          </w:p>
        </w:tc>
        <w:tc>
          <w:tcPr>
            <w:tcW w:w="947" w:type="dxa"/>
          </w:tcPr>
          <w:p w14:paraId="722961B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580</w:t>
            </w:r>
          </w:p>
        </w:tc>
        <w:tc>
          <w:tcPr>
            <w:tcW w:w="947" w:type="dxa"/>
          </w:tcPr>
          <w:p w14:paraId="3896DC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0E98389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1095</w:t>
            </w:r>
          </w:p>
        </w:tc>
        <w:tc>
          <w:tcPr>
            <w:tcW w:w="947" w:type="dxa"/>
          </w:tcPr>
          <w:p w14:paraId="00BF95C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2159</w:t>
            </w:r>
          </w:p>
        </w:tc>
      </w:tr>
      <w:tr w:rsidR="000F5689" w:rsidRPr="00925F26" w14:paraId="48EE975D" w14:textId="77777777">
        <w:tc>
          <w:tcPr>
            <w:tcW w:w="1668" w:type="dxa"/>
          </w:tcPr>
          <w:p w14:paraId="022E1B87"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DE2BFB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EE0C53E"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FFBA12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361656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A7AED6A"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8F2D7A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748A4FF"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58309008" w14:textId="77777777">
        <w:tc>
          <w:tcPr>
            <w:tcW w:w="1668" w:type="dxa"/>
          </w:tcPr>
          <w:p w14:paraId="0431A4A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F855FC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7468</w:t>
            </w:r>
          </w:p>
        </w:tc>
        <w:tc>
          <w:tcPr>
            <w:tcW w:w="947" w:type="dxa"/>
          </w:tcPr>
          <w:p w14:paraId="3AB8EE8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2999</w:t>
            </w:r>
          </w:p>
        </w:tc>
        <w:tc>
          <w:tcPr>
            <w:tcW w:w="947" w:type="dxa"/>
          </w:tcPr>
          <w:p w14:paraId="63A272C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107</w:t>
            </w:r>
          </w:p>
        </w:tc>
        <w:tc>
          <w:tcPr>
            <w:tcW w:w="947" w:type="dxa"/>
          </w:tcPr>
          <w:p w14:paraId="6A1AF53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583</w:t>
            </w:r>
          </w:p>
        </w:tc>
        <w:tc>
          <w:tcPr>
            <w:tcW w:w="947" w:type="dxa"/>
          </w:tcPr>
          <w:p w14:paraId="273D470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74DA6C1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1141</w:t>
            </w:r>
          </w:p>
        </w:tc>
        <w:tc>
          <w:tcPr>
            <w:tcW w:w="947" w:type="dxa"/>
          </w:tcPr>
          <w:p w14:paraId="7A70E5E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2594</w:t>
            </w:r>
          </w:p>
        </w:tc>
      </w:tr>
      <w:tr w:rsidR="000F5689" w:rsidRPr="00925F26" w14:paraId="1232EB0E" w14:textId="77777777">
        <w:tc>
          <w:tcPr>
            <w:tcW w:w="1668" w:type="dxa"/>
          </w:tcPr>
          <w:p w14:paraId="5A1256E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фронт</w:t>
            </w:r>
          </w:p>
        </w:tc>
        <w:tc>
          <w:tcPr>
            <w:tcW w:w="947" w:type="dxa"/>
          </w:tcPr>
          <w:p w14:paraId="0C9CA72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5788</w:t>
            </w:r>
          </w:p>
        </w:tc>
        <w:tc>
          <w:tcPr>
            <w:tcW w:w="947" w:type="dxa"/>
          </w:tcPr>
          <w:p w14:paraId="70C51E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2999</w:t>
            </w:r>
          </w:p>
        </w:tc>
        <w:tc>
          <w:tcPr>
            <w:tcW w:w="947" w:type="dxa"/>
          </w:tcPr>
          <w:p w14:paraId="552AD38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107</w:t>
            </w:r>
          </w:p>
        </w:tc>
        <w:tc>
          <w:tcPr>
            <w:tcW w:w="947" w:type="dxa"/>
          </w:tcPr>
          <w:p w14:paraId="670140F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578</w:t>
            </w:r>
          </w:p>
        </w:tc>
        <w:tc>
          <w:tcPr>
            <w:tcW w:w="947" w:type="dxa"/>
          </w:tcPr>
          <w:p w14:paraId="362772D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226E8EA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733</w:t>
            </w:r>
          </w:p>
        </w:tc>
        <w:tc>
          <w:tcPr>
            <w:tcW w:w="947" w:type="dxa"/>
          </w:tcPr>
          <w:p w14:paraId="0662AA7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1333</w:t>
            </w:r>
          </w:p>
        </w:tc>
      </w:tr>
      <w:tr w:rsidR="000F5689" w:rsidRPr="00925F26" w14:paraId="38F0906F" w14:textId="77777777">
        <w:tc>
          <w:tcPr>
            <w:tcW w:w="1668" w:type="dxa"/>
          </w:tcPr>
          <w:p w14:paraId="46703EA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Прочие</w:t>
            </w:r>
          </w:p>
        </w:tc>
        <w:tc>
          <w:tcPr>
            <w:tcW w:w="947" w:type="dxa"/>
          </w:tcPr>
          <w:p w14:paraId="5B21040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CA38B0F"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91A791E"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7A5565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CEEAE7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BA7B0B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B326F9C"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27F65C55" w14:textId="77777777">
        <w:tc>
          <w:tcPr>
            <w:tcW w:w="1668" w:type="dxa"/>
          </w:tcPr>
          <w:p w14:paraId="7FE1C73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Ли-2</w:t>
            </w:r>
          </w:p>
        </w:tc>
        <w:tc>
          <w:tcPr>
            <w:tcW w:w="947" w:type="dxa"/>
          </w:tcPr>
          <w:p w14:paraId="13A4817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22</w:t>
            </w:r>
          </w:p>
        </w:tc>
        <w:tc>
          <w:tcPr>
            <w:tcW w:w="947" w:type="dxa"/>
          </w:tcPr>
          <w:p w14:paraId="29078F1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22085B0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5995CA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783901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6D3A8E2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w:t>
            </w:r>
          </w:p>
        </w:tc>
        <w:tc>
          <w:tcPr>
            <w:tcW w:w="947" w:type="dxa"/>
          </w:tcPr>
          <w:p w14:paraId="7A6C4DE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r>
      <w:tr w:rsidR="000F5689" w:rsidRPr="00925F26" w14:paraId="0383AFE5" w14:textId="77777777">
        <w:tc>
          <w:tcPr>
            <w:tcW w:w="1668" w:type="dxa"/>
          </w:tcPr>
          <w:p w14:paraId="3140FD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Як-6</w:t>
            </w:r>
          </w:p>
        </w:tc>
        <w:tc>
          <w:tcPr>
            <w:tcW w:w="947" w:type="dxa"/>
          </w:tcPr>
          <w:p w14:paraId="254EA75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137</w:t>
            </w:r>
          </w:p>
        </w:tc>
        <w:tc>
          <w:tcPr>
            <w:tcW w:w="947" w:type="dxa"/>
          </w:tcPr>
          <w:p w14:paraId="557566C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3F4BB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EC659D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A70D3B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576C1B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c>
          <w:tcPr>
            <w:tcW w:w="947" w:type="dxa"/>
          </w:tcPr>
          <w:p w14:paraId="57F23FB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122</w:t>
            </w:r>
          </w:p>
        </w:tc>
      </w:tr>
      <w:tr w:rsidR="000F5689" w:rsidRPr="00925F26" w14:paraId="4EF42F3D" w14:textId="77777777">
        <w:tc>
          <w:tcPr>
            <w:tcW w:w="1668" w:type="dxa"/>
          </w:tcPr>
          <w:p w14:paraId="6DFF983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С-47</w:t>
            </w:r>
          </w:p>
        </w:tc>
        <w:tc>
          <w:tcPr>
            <w:tcW w:w="947" w:type="dxa"/>
          </w:tcPr>
          <w:p w14:paraId="017E6BE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69FDC67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47B2DB3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391473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766E31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712229A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46A54FD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2F48BADD" w14:textId="77777777">
        <w:tc>
          <w:tcPr>
            <w:tcW w:w="1668" w:type="dxa"/>
          </w:tcPr>
          <w:p w14:paraId="08C50BF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ПР-5</w:t>
            </w:r>
          </w:p>
        </w:tc>
        <w:tc>
          <w:tcPr>
            <w:tcW w:w="947" w:type="dxa"/>
          </w:tcPr>
          <w:p w14:paraId="0A69675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8AE2F3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D55930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6F5D1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F852F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37366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D42306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054D045E" w14:textId="77777777">
        <w:tc>
          <w:tcPr>
            <w:tcW w:w="1668" w:type="dxa"/>
          </w:tcPr>
          <w:p w14:paraId="14356E0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Ще-2</w:t>
            </w:r>
          </w:p>
        </w:tc>
        <w:tc>
          <w:tcPr>
            <w:tcW w:w="947" w:type="dxa"/>
          </w:tcPr>
          <w:p w14:paraId="60CACFC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5F92830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2B8723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901777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85052B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C820B7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43FE13D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42134CA2" w14:textId="77777777">
        <w:tc>
          <w:tcPr>
            <w:tcW w:w="1668" w:type="dxa"/>
          </w:tcPr>
          <w:p w14:paraId="76AD400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F7DF0A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D864C26"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424360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C399DC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966E96E"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C1610D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5907632"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4E4FB8BD" w14:textId="77777777">
        <w:tc>
          <w:tcPr>
            <w:tcW w:w="1668" w:type="dxa"/>
          </w:tcPr>
          <w:p w14:paraId="796FAF0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Транспортные</w:t>
            </w:r>
          </w:p>
        </w:tc>
        <w:tc>
          <w:tcPr>
            <w:tcW w:w="947" w:type="dxa"/>
          </w:tcPr>
          <w:p w14:paraId="4C9B7B8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174</w:t>
            </w:r>
          </w:p>
        </w:tc>
        <w:tc>
          <w:tcPr>
            <w:tcW w:w="947" w:type="dxa"/>
          </w:tcPr>
          <w:p w14:paraId="03DE18C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7A682E2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9BF750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0FA0F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6443894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31</w:t>
            </w:r>
          </w:p>
        </w:tc>
        <w:tc>
          <w:tcPr>
            <w:tcW w:w="947" w:type="dxa"/>
          </w:tcPr>
          <w:p w14:paraId="0DF6C0D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133</w:t>
            </w:r>
          </w:p>
        </w:tc>
      </w:tr>
      <w:tr w:rsidR="000F5689" w:rsidRPr="00925F26" w14:paraId="13D9E3A1" w14:textId="77777777">
        <w:tc>
          <w:tcPr>
            <w:tcW w:w="1668" w:type="dxa"/>
          </w:tcPr>
          <w:p w14:paraId="636F07F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590AE3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A789C59"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012BB6D"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9AD2E2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3D1253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98CFFD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1401E5F"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646124B7" w14:textId="77777777">
        <w:tc>
          <w:tcPr>
            <w:tcW w:w="1668" w:type="dxa"/>
          </w:tcPr>
          <w:p w14:paraId="28FE450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т.ч. фронтовой авиации</w:t>
            </w:r>
          </w:p>
        </w:tc>
        <w:tc>
          <w:tcPr>
            <w:tcW w:w="947" w:type="dxa"/>
          </w:tcPr>
          <w:p w14:paraId="3DABAD1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38</w:t>
            </w:r>
          </w:p>
        </w:tc>
        <w:tc>
          <w:tcPr>
            <w:tcW w:w="947" w:type="dxa"/>
          </w:tcPr>
          <w:p w14:paraId="7E1D529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45F6689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917148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57BC8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8B487F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w:t>
            </w:r>
          </w:p>
        </w:tc>
        <w:tc>
          <w:tcPr>
            <w:tcW w:w="947" w:type="dxa"/>
          </w:tcPr>
          <w:p w14:paraId="60D19C2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w:t>
            </w:r>
          </w:p>
        </w:tc>
      </w:tr>
      <w:tr w:rsidR="000F5689" w:rsidRPr="00925F26" w14:paraId="5DEEB8CC" w14:textId="77777777">
        <w:tc>
          <w:tcPr>
            <w:tcW w:w="1668" w:type="dxa"/>
          </w:tcPr>
          <w:p w14:paraId="7DCA6D6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С-1</w:t>
            </w:r>
          </w:p>
        </w:tc>
        <w:tc>
          <w:tcPr>
            <w:tcW w:w="947" w:type="dxa"/>
          </w:tcPr>
          <w:p w14:paraId="59D4CC7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53B57B7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44DD2C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89BFA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2EAC05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2E198E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63B2D05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9753D4F" w14:textId="77777777">
        <w:tc>
          <w:tcPr>
            <w:tcW w:w="1668" w:type="dxa"/>
          </w:tcPr>
          <w:p w14:paraId="2A3450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С-2</w:t>
            </w:r>
          </w:p>
        </w:tc>
        <w:tc>
          <w:tcPr>
            <w:tcW w:w="947" w:type="dxa"/>
          </w:tcPr>
          <w:p w14:paraId="33F6FDB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98</w:t>
            </w:r>
          </w:p>
        </w:tc>
        <w:tc>
          <w:tcPr>
            <w:tcW w:w="947" w:type="dxa"/>
          </w:tcPr>
          <w:p w14:paraId="257123B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0074C89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1B40859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15522DA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0CAD3FD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37</w:t>
            </w:r>
          </w:p>
        </w:tc>
        <w:tc>
          <w:tcPr>
            <w:tcW w:w="947" w:type="dxa"/>
          </w:tcPr>
          <w:p w14:paraId="6D75C0E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46</w:t>
            </w:r>
          </w:p>
        </w:tc>
      </w:tr>
      <w:tr w:rsidR="000F5689" w:rsidRPr="00925F26" w14:paraId="71801AC3" w14:textId="77777777">
        <w:tc>
          <w:tcPr>
            <w:tcW w:w="1668" w:type="dxa"/>
          </w:tcPr>
          <w:p w14:paraId="01BDDF8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С-3</w:t>
            </w:r>
          </w:p>
        </w:tc>
        <w:tc>
          <w:tcPr>
            <w:tcW w:w="947" w:type="dxa"/>
          </w:tcPr>
          <w:p w14:paraId="6C354A7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5376537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D6D728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ACF342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A1196D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FD5612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37FC9F8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277747F0" w14:textId="77777777">
        <w:tc>
          <w:tcPr>
            <w:tcW w:w="1668" w:type="dxa"/>
          </w:tcPr>
          <w:p w14:paraId="5A8F913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С-4</w:t>
            </w:r>
          </w:p>
        </w:tc>
        <w:tc>
          <w:tcPr>
            <w:tcW w:w="947" w:type="dxa"/>
          </w:tcPr>
          <w:p w14:paraId="50C1E36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34</w:t>
            </w:r>
          </w:p>
        </w:tc>
        <w:tc>
          <w:tcPr>
            <w:tcW w:w="947" w:type="dxa"/>
          </w:tcPr>
          <w:p w14:paraId="393F02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4161E8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6426C1C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3DE4E63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1603C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340B102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w:t>
            </w:r>
          </w:p>
        </w:tc>
      </w:tr>
      <w:tr w:rsidR="000F5689" w:rsidRPr="00925F26" w14:paraId="63D7FB35" w14:textId="77777777">
        <w:tc>
          <w:tcPr>
            <w:tcW w:w="1668" w:type="dxa"/>
          </w:tcPr>
          <w:p w14:paraId="260F9CA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СПн</w:t>
            </w:r>
          </w:p>
        </w:tc>
        <w:tc>
          <w:tcPr>
            <w:tcW w:w="947" w:type="dxa"/>
          </w:tcPr>
          <w:p w14:paraId="3FF8892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3CB3887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4E88415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C403C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758A2B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E67F62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455B8A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37FE44D7" w14:textId="77777777">
        <w:tc>
          <w:tcPr>
            <w:tcW w:w="1668" w:type="dxa"/>
          </w:tcPr>
          <w:p w14:paraId="6FCD0FE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Санитарные</w:t>
            </w:r>
          </w:p>
        </w:tc>
        <w:tc>
          <w:tcPr>
            <w:tcW w:w="947" w:type="dxa"/>
          </w:tcPr>
          <w:p w14:paraId="28E7B6C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144</w:t>
            </w:r>
          </w:p>
        </w:tc>
        <w:tc>
          <w:tcPr>
            <w:tcW w:w="947" w:type="dxa"/>
          </w:tcPr>
          <w:p w14:paraId="5C5AFF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2A1AE8F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65675E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49A37B3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1FBA38E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53</w:t>
            </w:r>
          </w:p>
        </w:tc>
        <w:tc>
          <w:tcPr>
            <w:tcW w:w="947" w:type="dxa"/>
          </w:tcPr>
          <w:p w14:paraId="4625ECE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65</w:t>
            </w:r>
          </w:p>
        </w:tc>
      </w:tr>
      <w:tr w:rsidR="000F5689" w:rsidRPr="00925F26" w14:paraId="2090E6CC" w14:textId="77777777">
        <w:tc>
          <w:tcPr>
            <w:tcW w:w="1668" w:type="dxa"/>
          </w:tcPr>
          <w:p w14:paraId="30A3CDA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т.ч. фронтовой санитарной</w:t>
            </w:r>
          </w:p>
        </w:tc>
        <w:tc>
          <w:tcPr>
            <w:tcW w:w="947" w:type="dxa"/>
          </w:tcPr>
          <w:p w14:paraId="1715B94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120</w:t>
            </w:r>
          </w:p>
        </w:tc>
        <w:tc>
          <w:tcPr>
            <w:tcW w:w="947" w:type="dxa"/>
          </w:tcPr>
          <w:p w14:paraId="37713C9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0E2F6E3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4CA3EE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47F8D96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30B94CC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w:t>
            </w:r>
          </w:p>
        </w:tc>
        <w:tc>
          <w:tcPr>
            <w:tcW w:w="947" w:type="dxa"/>
          </w:tcPr>
          <w:p w14:paraId="4FC3AB5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53</w:t>
            </w:r>
          </w:p>
        </w:tc>
      </w:tr>
      <w:tr w:rsidR="000F5689" w:rsidRPr="00925F26" w14:paraId="50F47AEA" w14:textId="77777777">
        <w:tc>
          <w:tcPr>
            <w:tcW w:w="1668" w:type="dxa"/>
          </w:tcPr>
          <w:p w14:paraId="71F2F0C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УТ Ла-5 М-82</w:t>
            </w:r>
          </w:p>
        </w:tc>
        <w:tc>
          <w:tcPr>
            <w:tcW w:w="947" w:type="dxa"/>
          </w:tcPr>
          <w:p w14:paraId="100D00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5DE1BD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81CBC9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17C801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049EC6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EFE4E2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4D0842B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08030891" w14:textId="77777777">
        <w:tc>
          <w:tcPr>
            <w:tcW w:w="1668" w:type="dxa"/>
          </w:tcPr>
          <w:p w14:paraId="4E1C365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Як-7В</w:t>
            </w:r>
          </w:p>
        </w:tc>
        <w:tc>
          <w:tcPr>
            <w:tcW w:w="947" w:type="dxa"/>
          </w:tcPr>
          <w:p w14:paraId="2B5D0DC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183</w:t>
            </w:r>
          </w:p>
        </w:tc>
        <w:tc>
          <w:tcPr>
            <w:tcW w:w="947" w:type="dxa"/>
          </w:tcPr>
          <w:p w14:paraId="2BE58BC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202FB23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0D419C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3ECE90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2B4FBF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35</w:t>
            </w:r>
          </w:p>
        </w:tc>
        <w:tc>
          <w:tcPr>
            <w:tcW w:w="947" w:type="dxa"/>
          </w:tcPr>
          <w:p w14:paraId="24345DE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144</w:t>
            </w:r>
          </w:p>
        </w:tc>
      </w:tr>
      <w:tr w:rsidR="000F5689" w:rsidRPr="00925F26" w14:paraId="7F21D6FF" w14:textId="77777777">
        <w:tc>
          <w:tcPr>
            <w:tcW w:w="1668" w:type="dxa"/>
          </w:tcPr>
          <w:p w14:paraId="776C452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УТИ-4</w:t>
            </w:r>
          </w:p>
        </w:tc>
        <w:tc>
          <w:tcPr>
            <w:tcW w:w="947" w:type="dxa"/>
          </w:tcPr>
          <w:p w14:paraId="0FA5653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700</w:t>
            </w:r>
          </w:p>
        </w:tc>
        <w:tc>
          <w:tcPr>
            <w:tcW w:w="947" w:type="dxa"/>
          </w:tcPr>
          <w:p w14:paraId="5728176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816243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477C6A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420D578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4E496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68</w:t>
            </w:r>
          </w:p>
        </w:tc>
        <w:tc>
          <w:tcPr>
            <w:tcW w:w="947" w:type="dxa"/>
          </w:tcPr>
          <w:p w14:paraId="206934F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629</w:t>
            </w:r>
          </w:p>
        </w:tc>
      </w:tr>
      <w:tr w:rsidR="000F5689" w:rsidRPr="00925F26" w14:paraId="5CE2B8AC" w14:textId="77777777">
        <w:tc>
          <w:tcPr>
            <w:tcW w:w="1668" w:type="dxa"/>
          </w:tcPr>
          <w:p w14:paraId="5041EAB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УТ-2</w:t>
            </w:r>
          </w:p>
        </w:tc>
        <w:tc>
          <w:tcPr>
            <w:tcW w:w="947" w:type="dxa"/>
          </w:tcPr>
          <w:p w14:paraId="0BD69F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615</w:t>
            </w:r>
          </w:p>
        </w:tc>
        <w:tc>
          <w:tcPr>
            <w:tcW w:w="947" w:type="dxa"/>
          </w:tcPr>
          <w:p w14:paraId="43A7AD7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12B5B06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c>
          <w:tcPr>
            <w:tcW w:w="947" w:type="dxa"/>
          </w:tcPr>
          <w:p w14:paraId="5F3E20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D6E3BA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8F44C6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151</w:t>
            </w:r>
          </w:p>
        </w:tc>
        <w:tc>
          <w:tcPr>
            <w:tcW w:w="947" w:type="dxa"/>
          </w:tcPr>
          <w:p w14:paraId="0F236B9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452</w:t>
            </w:r>
          </w:p>
        </w:tc>
      </w:tr>
      <w:tr w:rsidR="000F5689" w:rsidRPr="00925F26" w14:paraId="098B539F" w14:textId="77777777">
        <w:tc>
          <w:tcPr>
            <w:tcW w:w="1668" w:type="dxa"/>
          </w:tcPr>
          <w:p w14:paraId="00D3894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По-2</w:t>
            </w:r>
          </w:p>
        </w:tc>
        <w:tc>
          <w:tcPr>
            <w:tcW w:w="947" w:type="dxa"/>
          </w:tcPr>
          <w:p w14:paraId="4E457C9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2053</w:t>
            </w:r>
          </w:p>
        </w:tc>
        <w:tc>
          <w:tcPr>
            <w:tcW w:w="947" w:type="dxa"/>
          </w:tcPr>
          <w:p w14:paraId="5AC9C85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409</w:t>
            </w:r>
          </w:p>
        </w:tc>
        <w:tc>
          <w:tcPr>
            <w:tcW w:w="947" w:type="dxa"/>
          </w:tcPr>
          <w:p w14:paraId="0A17468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73</w:t>
            </w:r>
          </w:p>
        </w:tc>
        <w:tc>
          <w:tcPr>
            <w:tcW w:w="947" w:type="dxa"/>
          </w:tcPr>
          <w:p w14:paraId="39F8DD1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93</w:t>
            </w:r>
          </w:p>
        </w:tc>
        <w:tc>
          <w:tcPr>
            <w:tcW w:w="947" w:type="dxa"/>
          </w:tcPr>
          <w:p w14:paraId="1B45A7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83</w:t>
            </w:r>
          </w:p>
        </w:tc>
        <w:tc>
          <w:tcPr>
            <w:tcW w:w="947" w:type="dxa"/>
          </w:tcPr>
          <w:p w14:paraId="5A49CA4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662</w:t>
            </w:r>
          </w:p>
        </w:tc>
        <w:tc>
          <w:tcPr>
            <w:tcW w:w="947" w:type="dxa"/>
          </w:tcPr>
          <w:p w14:paraId="5BE2094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733</w:t>
            </w:r>
          </w:p>
        </w:tc>
      </w:tr>
      <w:tr w:rsidR="000F5689" w:rsidRPr="00925F26" w14:paraId="2D4419B3" w14:textId="77777777">
        <w:tc>
          <w:tcPr>
            <w:tcW w:w="1668" w:type="dxa"/>
          </w:tcPr>
          <w:p w14:paraId="4113B84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УТ-1</w:t>
            </w:r>
          </w:p>
        </w:tc>
        <w:tc>
          <w:tcPr>
            <w:tcW w:w="947" w:type="dxa"/>
          </w:tcPr>
          <w:p w14:paraId="2C915A8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121</w:t>
            </w:r>
          </w:p>
        </w:tc>
        <w:tc>
          <w:tcPr>
            <w:tcW w:w="947" w:type="dxa"/>
          </w:tcPr>
          <w:p w14:paraId="5F49D11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DE845F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2D0D4F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08614F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2DE30E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7106CF1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117</w:t>
            </w:r>
          </w:p>
        </w:tc>
      </w:tr>
      <w:tr w:rsidR="000F5689" w:rsidRPr="00925F26" w14:paraId="4705022F" w14:textId="77777777">
        <w:tc>
          <w:tcPr>
            <w:tcW w:w="1668" w:type="dxa"/>
          </w:tcPr>
          <w:p w14:paraId="289AA83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УИл-2</w:t>
            </w:r>
          </w:p>
        </w:tc>
        <w:tc>
          <w:tcPr>
            <w:tcW w:w="947" w:type="dxa"/>
          </w:tcPr>
          <w:p w14:paraId="50351F8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282</w:t>
            </w:r>
          </w:p>
        </w:tc>
        <w:tc>
          <w:tcPr>
            <w:tcW w:w="947" w:type="dxa"/>
          </w:tcPr>
          <w:p w14:paraId="2108339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52AF4F9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2A8D2EB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547158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1311A21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46</w:t>
            </w:r>
          </w:p>
        </w:tc>
        <w:tc>
          <w:tcPr>
            <w:tcW w:w="947" w:type="dxa"/>
          </w:tcPr>
          <w:p w14:paraId="268492E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227</w:t>
            </w:r>
          </w:p>
        </w:tc>
      </w:tr>
      <w:tr w:rsidR="000F5689" w:rsidRPr="00925F26" w14:paraId="34D1E742" w14:textId="77777777">
        <w:tc>
          <w:tcPr>
            <w:tcW w:w="1668" w:type="dxa"/>
          </w:tcPr>
          <w:p w14:paraId="2631A37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УСБ</w:t>
            </w:r>
          </w:p>
        </w:tc>
        <w:tc>
          <w:tcPr>
            <w:tcW w:w="947" w:type="dxa"/>
          </w:tcPr>
          <w:p w14:paraId="5959A0C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192</w:t>
            </w:r>
          </w:p>
        </w:tc>
        <w:tc>
          <w:tcPr>
            <w:tcW w:w="947" w:type="dxa"/>
          </w:tcPr>
          <w:p w14:paraId="5E7A4FE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559428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C5A834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769DCE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34D768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33</w:t>
            </w:r>
          </w:p>
        </w:tc>
        <w:tc>
          <w:tcPr>
            <w:tcW w:w="947" w:type="dxa"/>
          </w:tcPr>
          <w:p w14:paraId="1DC8A0E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159</w:t>
            </w:r>
          </w:p>
        </w:tc>
      </w:tr>
      <w:tr w:rsidR="000F5689" w:rsidRPr="00925F26" w14:paraId="183ABA29" w14:textId="77777777">
        <w:tc>
          <w:tcPr>
            <w:tcW w:w="1668" w:type="dxa"/>
          </w:tcPr>
          <w:p w14:paraId="73A195E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УПе-2</w:t>
            </w:r>
          </w:p>
        </w:tc>
        <w:tc>
          <w:tcPr>
            <w:tcW w:w="947" w:type="dxa"/>
          </w:tcPr>
          <w:p w14:paraId="1901CC3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41</w:t>
            </w:r>
          </w:p>
        </w:tc>
        <w:tc>
          <w:tcPr>
            <w:tcW w:w="947" w:type="dxa"/>
          </w:tcPr>
          <w:p w14:paraId="750329A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5629C5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3140B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3013E3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1BCB04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23</w:t>
            </w:r>
          </w:p>
        </w:tc>
        <w:tc>
          <w:tcPr>
            <w:tcW w:w="947" w:type="dxa"/>
          </w:tcPr>
          <w:p w14:paraId="4EC28A2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2D1879A3" w14:textId="77777777">
        <w:tc>
          <w:tcPr>
            <w:tcW w:w="1668" w:type="dxa"/>
          </w:tcPr>
          <w:p w14:paraId="20046F0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УБ-3</w:t>
            </w:r>
          </w:p>
        </w:tc>
        <w:tc>
          <w:tcPr>
            <w:tcW w:w="947" w:type="dxa"/>
          </w:tcPr>
          <w:p w14:paraId="6523C82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28C2D9B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625F40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90F882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3E6672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910251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6B6C196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5C603EB3" w14:textId="77777777">
        <w:tc>
          <w:tcPr>
            <w:tcW w:w="1668" w:type="dxa"/>
          </w:tcPr>
          <w:p w14:paraId="1EFF329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АТ-6С</w:t>
            </w:r>
          </w:p>
        </w:tc>
        <w:tc>
          <w:tcPr>
            <w:tcW w:w="947" w:type="dxa"/>
          </w:tcPr>
          <w:p w14:paraId="3F45870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695AEBA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00EDE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573F7A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CEFE7C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A9AB22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BB150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0FC73D7E" w14:textId="77777777">
        <w:tc>
          <w:tcPr>
            <w:tcW w:w="1668" w:type="dxa"/>
          </w:tcPr>
          <w:p w14:paraId="735253A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УЛа-5Ф</w:t>
            </w:r>
          </w:p>
        </w:tc>
        <w:tc>
          <w:tcPr>
            <w:tcW w:w="947" w:type="dxa"/>
          </w:tcPr>
          <w:p w14:paraId="386147A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c>
          <w:tcPr>
            <w:tcW w:w="947" w:type="dxa"/>
          </w:tcPr>
          <w:p w14:paraId="07078F4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810E2B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AD7A3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DAA8D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305239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1732B7F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51D7F1A0" w14:textId="77777777">
        <w:tc>
          <w:tcPr>
            <w:tcW w:w="1668" w:type="dxa"/>
          </w:tcPr>
          <w:p w14:paraId="698ED34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УИл-2М38Ф</w:t>
            </w:r>
          </w:p>
        </w:tc>
        <w:tc>
          <w:tcPr>
            <w:tcW w:w="947" w:type="dxa"/>
          </w:tcPr>
          <w:p w14:paraId="274D2A9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22</w:t>
            </w:r>
          </w:p>
        </w:tc>
        <w:tc>
          <w:tcPr>
            <w:tcW w:w="947" w:type="dxa"/>
          </w:tcPr>
          <w:p w14:paraId="5667686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81CFBD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AF5C7A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1F886F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65E87F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539337F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21</w:t>
            </w:r>
          </w:p>
        </w:tc>
      </w:tr>
      <w:tr w:rsidR="000F5689" w:rsidRPr="00925F26" w14:paraId="078A9D29" w14:textId="77777777">
        <w:tc>
          <w:tcPr>
            <w:tcW w:w="1668" w:type="dxa"/>
          </w:tcPr>
          <w:p w14:paraId="645D659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E0FED62"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412AF07"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0BD1851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FEAE22B"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70F39BA1"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4CA67430"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8C4234A"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210B72FA" w14:textId="77777777">
        <w:tc>
          <w:tcPr>
            <w:tcW w:w="1668" w:type="dxa"/>
          </w:tcPr>
          <w:p w14:paraId="6BBBE81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Учебных</w:t>
            </w:r>
          </w:p>
        </w:tc>
        <w:tc>
          <w:tcPr>
            <w:tcW w:w="947" w:type="dxa"/>
          </w:tcPr>
          <w:p w14:paraId="22C47F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4225</w:t>
            </w:r>
          </w:p>
        </w:tc>
        <w:tc>
          <w:tcPr>
            <w:tcW w:w="947" w:type="dxa"/>
          </w:tcPr>
          <w:p w14:paraId="675DDD9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422</w:t>
            </w:r>
          </w:p>
        </w:tc>
        <w:tc>
          <w:tcPr>
            <w:tcW w:w="947" w:type="dxa"/>
          </w:tcPr>
          <w:p w14:paraId="170C0CB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83</w:t>
            </w:r>
          </w:p>
        </w:tc>
        <w:tc>
          <w:tcPr>
            <w:tcW w:w="947" w:type="dxa"/>
          </w:tcPr>
          <w:p w14:paraId="44503D7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96</w:t>
            </w:r>
          </w:p>
        </w:tc>
        <w:tc>
          <w:tcPr>
            <w:tcW w:w="947" w:type="dxa"/>
          </w:tcPr>
          <w:p w14:paraId="5552E38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86</w:t>
            </w:r>
          </w:p>
        </w:tc>
        <w:tc>
          <w:tcPr>
            <w:tcW w:w="947" w:type="dxa"/>
          </w:tcPr>
          <w:p w14:paraId="67EFC86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1032</w:t>
            </w:r>
          </w:p>
        </w:tc>
        <w:tc>
          <w:tcPr>
            <w:tcW w:w="947" w:type="dxa"/>
          </w:tcPr>
          <w:p w14:paraId="74E8C6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2506</w:t>
            </w:r>
          </w:p>
        </w:tc>
      </w:tr>
      <w:tr w:rsidR="000F5689" w:rsidRPr="00925F26" w14:paraId="56913F2A" w14:textId="77777777">
        <w:tc>
          <w:tcPr>
            <w:tcW w:w="1668" w:type="dxa"/>
          </w:tcPr>
          <w:p w14:paraId="4F46AAE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т.ч. на фронте</w:t>
            </w:r>
          </w:p>
        </w:tc>
        <w:tc>
          <w:tcPr>
            <w:tcW w:w="947" w:type="dxa"/>
          </w:tcPr>
          <w:p w14:paraId="6518123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2037</w:t>
            </w:r>
          </w:p>
        </w:tc>
        <w:tc>
          <w:tcPr>
            <w:tcW w:w="947" w:type="dxa"/>
          </w:tcPr>
          <w:p w14:paraId="6780038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423</w:t>
            </w:r>
          </w:p>
        </w:tc>
        <w:tc>
          <w:tcPr>
            <w:tcW w:w="947" w:type="dxa"/>
          </w:tcPr>
          <w:p w14:paraId="35141E5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29</w:t>
            </w:r>
          </w:p>
        </w:tc>
        <w:tc>
          <w:tcPr>
            <w:tcW w:w="947" w:type="dxa"/>
          </w:tcPr>
          <w:p w14:paraId="5FDC062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100</w:t>
            </w:r>
          </w:p>
        </w:tc>
        <w:tc>
          <w:tcPr>
            <w:tcW w:w="947" w:type="dxa"/>
          </w:tcPr>
          <w:p w14:paraId="16E5FD1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70</w:t>
            </w:r>
          </w:p>
        </w:tc>
        <w:tc>
          <w:tcPr>
            <w:tcW w:w="947" w:type="dxa"/>
          </w:tcPr>
          <w:p w14:paraId="102BF25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575</w:t>
            </w:r>
          </w:p>
        </w:tc>
        <w:tc>
          <w:tcPr>
            <w:tcW w:w="947" w:type="dxa"/>
          </w:tcPr>
          <w:p w14:paraId="00FBCA6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780</w:t>
            </w:r>
          </w:p>
        </w:tc>
      </w:tr>
      <w:tr w:rsidR="000F5689" w:rsidRPr="00925F26" w14:paraId="7D667280" w14:textId="77777777">
        <w:tc>
          <w:tcPr>
            <w:tcW w:w="1668" w:type="dxa"/>
          </w:tcPr>
          <w:p w14:paraId="1D3115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Р-5</w:t>
            </w:r>
          </w:p>
        </w:tc>
        <w:tc>
          <w:tcPr>
            <w:tcW w:w="947" w:type="dxa"/>
          </w:tcPr>
          <w:p w14:paraId="7F0D4D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363</w:t>
            </w:r>
          </w:p>
        </w:tc>
        <w:tc>
          <w:tcPr>
            <w:tcW w:w="947" w:type="dxa"/>
          </w:tcPr>
          <w:p w14:paraId="3C5C605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3EE9A9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511B15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32CC33F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EF14AE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32</w:t>
            </w:r>
          </w:p>
        </w:tc>
        <w:tc>
          <w:tcPr>
            <w:tcW w:w="947" w:type="dxa"/>
          </w:tcPr>
          <w:p w14:paraId="69D3CCD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324</w:t>
            </w:r>
          </w:p>
        </w:tc>
      </w:tr>
      <w:tr w:rsidR="000F5689" w:rsidRPr="00925F26" w14:paraId="492261A7" w14:textId="77777777">
        <w:tc>
          <w:tcPr>
            <w:tcW w:w="1668" w:type="dxa"/>
          </w:tcPr>
          <w:p w14:paraId="5E43984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Р-зет</w:t>
            </w:r>
          </w:p>
        </w:tc>
        <w:tc>
          <w:tcPr>
            <w:tcW w:w="947" w:type="dxa"/>
          </w:tcPr>
          <w:p w14:paraId="6234C3E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28</w:t>
            </w:r>
          </w:p>
        </w:tc>
        <w:tc>
          <w:tcPr>
            <w:tcW w:w="947" w:type="dxa"/>
          </w:tcPr>
          <w:p w14:paraId="1D4CBA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3A45FC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3FBA9A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8A7C99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7ECF3E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w:t>
            </w:r>
          </w:p>
        </w:tc>
        <w:tc>
          <w:tcPr>
            <w:tcW w:w="947" w:type="dxa"/>
          </w:tcPr>
          <w:p w14:paraId="5854D2A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25</w:t>
            </w:r>
          </w:p>
        </w:tc>
      </w:tr>
      <w:tr w:rsidR="000F5689" w:rsidRPr="00925F26" w14:paraId="6C0C240D" w14:textId="77777777">
        <w:tc>
          <w:tcPr>
            <w:tcW w:w="1668" w:type="dxa"/>
          </w:tcPr>
          <w:p w14:paraId="47092FB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ССС</w:t>
            </w:r>
          </w:p>
        </w:tc>
        <w:tc>
          <w:tcPr>
            <w:tcW w:w="947" w:type="dxa"/>
          </w:tcPr>
          <w:p w14:paraId="4678567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13</w:t>
            </w:r>
          </w:p>
        </w:tc>
        <w:tc>
          <w:tcPr>
            <w:tcW w:w="947" w:type="dxa"/>
          </w:tcPr>
          <w:p w14:paraId="119A356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3FE806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591227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BE540A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4ECEF7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0ABDB6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13</w:t>
            </w:r>
          </w:p>
        </w:tc>
      </w:tr>
      <w:tr w:rsidR="000F5689" w:rsidRPr="00925F26" w14:paraId="188F405B" w14:textId="77777777">
        <w:tc>
          <w:tcPr>
            <w:tcW w:w="1668" w:type="dxa"/>
          </w:tcPr>
          <w:p w14:paraId="28D004A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Кертис 52Р</w:t>
            </w:r>
          </w:p>
        </w:tc>
        <w:tc>
          <w:tcPr>
            <w:tcW w:w="947" w:type="dxa"/>
          </w:tcPr>
          <w:p w14:paraId="4F5047B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w:t>
            </w:r>
          </w:p>
        </w:tc>
        <w:tc>
          <w:tcPr>
            <w:tcW w:w="947" w:type="dxa"/>
          </w:tcPr>
          <w:p w14:paraId="55DC6D1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4528A0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D86645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7C36A9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EDD03B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w:t>
            </w:r>
          </w:p>
        </w:tc>
        <w:tc>
          <w:tcPr>
            <w:tcW w:w="947" w:type="dxa"/>
          </w:tcPr>
          <w:p w14:paraId="7FE53E2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412A00FA" w14:textId="77777777">
        <w:tc>
          <w:tcPr>
            <w:tcW w:w="1668" w:type="dxa"/>
          </w:tcPr>
          <w:p w14:paraId="4AA4AE3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Итого разные</w:t>
            </w:r>
          </w:p>
        </w:tc>
        <w:tc>
          <w:tcPr>
            <w:tcW w:w="947" w:type="dxa"/>
          </w:tcPr>
          <w:p w14:paraId="2ABC2E9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w:t>
            </w:r>
          </w:p>
        </w:tc>
        <w:tc>
          <w:tcPr>
            <w:tcW w:w="947" w:type="dxa"/>
          </w:tcPr>
          <w:p w14:paraId="105398E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21D34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56E2C2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EA0845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F021C4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F04AB3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w:t>
            </w:r>
          </w:p>
        </w:tc>
      </w:tr>
      <w:tr w:rsidR="000F5689" w:rsidRPr="00925F26" w14:paraId="1CC9CF60" w14:textId="77777777">
        <w:tc>
          <w:tcPr>
            <w:tcW w:w="1668" w:type="dxa"/>
          </w:tcPr>
          <w:p w14:paraId="03744B0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Итого разные на фронте</w:t>
            </w:r>
          </w:p>
        </w:tc>
        <w:tc>
          <w:tcPr>
            <w:tcW w:w="947" w:type="dxa"/>
          </w:tcPr>
          <w:p w14:paraId="1F6F9EC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50</w:t>
            </w:r>
          </w:p>
        </w:tc>
        <w:tc>
          <w:tcPr>
            <w:tcW w:w="947" w:type="dxa"/>
          </w:tcPr>
          <w:p w14:paraId="182AA0C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5</w:t>
            </w:r>
          </w:p>
        </w:tc>
        <w:tc>
          <w:tcPr>
            <w:tcW w:w="947" w:type="dxa"/>
          </w:tcPr>
          <w:p w14:paraId="366657B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F3F0F0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12F237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870ED2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w:t>
            </w:r>
          </w:p>
        </w:tc>
        <w:tc>
          <w:tcPr>
            <w:tcW w:w="947" w:type="dxa"/>
          </w:tcPr>
          <w:p w14:paraId="6F47490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33</w:t>
            </w:r>
          </w:p>
        </w:tc>
      </w:tr>
      <w:tr w:rsidR="000F5689" w:rsidRPr="00925F26" w14:paraId="0667CEDE" w14:textId="77777777">
        <w:tc>
          <w:tcPr>
            <w:tcW w:w="1668" w:type="dxa"/>
          </w:tcPr>
          <w:p w14:paraId="052563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Ме-109</w:t>
            </w:r>
          </w:p>
        </w:tc>
        <w:tc>
          <w:tcPr>
            <w:tcW w:w="947" w:type="dxa"/>
          </w:tcPr>
          <w:p w14:paraId="066FA5D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8</w:t>
            </w:r>
          </w:p>
        </w:tc>
        <w:tc>
          <w:tcPr>
            <w:tcW w:w="947" w:type="dxa"/>
          </w:tcPr>
          <w:p w14:paraId="043A300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75241B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9B0891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486F46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85A886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142FBCB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4454D6D9" w14:textId="77777777">
        <w:tc>
          <w:tcPr>
            <w:tcW w:w="1668" w:type="dxa"/>
          </w:tcPr>
          <w:p w14:paraId="5777BCF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ФВ-190</w:t>
            </w:r>
          </w:p>
        </w:tc>
        <w:tc>
          <w:tcPr>
            <w:tcW w:w="947" w:type="dxa"/>
          </w:tcPr>
          <w:p w14:paraId="279930E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3AF64B0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5A983C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331CF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8EB6F0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B10460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0A5A46A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334E46EC" w14:textId="77777777">
        <w:tc>
          <w:tcPr>
            <w:tcW w:w="1668" w:type="dxa"/>
          </w:tcPr>
          <w:p w14:paraId="05C3117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Хе-111</w:t>
            </w:r>
          </w:p>
        </w:tc>
        <w:tc>
          <w:tcPr>
            <w:tcW w:w="947" w:type="dxa"/>
          </w:tcPr>
          <w:p w14:paraId="2780978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0B43005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4702C8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7E69B9C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39089C4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1A5FFDE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6F9B490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75D16542" w14:textId="77777777">
        <w:tc>
          <w:tcPr>
            <w:tcW w:w="1668" w:type="dxa"/>
          </w:tcPr>
          <w:p w14:paraId="5D03A56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FEE0A55"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1A0F4083"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562AAF24"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3E8DD1D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1B8162C"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E37737E"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60569CFC" w14:textId="77777777" w:rsidR="00665165" w:rsidRPr="00925F26" w:rsidRDefault="00665165" w:rsidP="00925F26">
            <w:pPr>
              <w:widowControl w:val="0"/>
              <w:autoSpaceDE w:val="0"/>
              <w:autoSpaceDN w:val="0"/>
              <w:adjustRightInd w:val="0"/>
              <w:jc w:val="both"/>
              <w:rPr>
                <w:color w:val="000000" w:themeColor="text1"/>
                <w:sz w:val="16"/>
                <w:szCs w:val="16"/>
              </w:rPr>
            </w:pPr>
          </w:p>
        </w:tc>
      </w:tr>
      <w:tr w:rsidR="000F5689" w:rsidRPr="00925F26" w14:paraId="61FC2CDE" w14:textId="77777777">
        <w:tc>
          <w:tcPr>
            <w:tcW w:w="1668" w:type="dxa"/>
          </w:tcPr>
          <w:p w14:paraId="7D267C8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Итого трофейных</w:t>
            </w:r>
          </w:p>
        </w:tc>
        <w:tc>
          <w:tcPr>
            <w:tcW w:w="947" w:type="dxa"/>
          </w:tcPr>
          <w:p w14:paraId="4884221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w:t>
            </w:r>
          </w:p>
        </w:tc>
        <w:tc>
          <w:tcPr>
            <w:tcW w:w="947" w:type="dxa"/>
          </w:tcPr>
          <w:p w14:paraId="101C4DC8" w14:textId="77777777" w:rsidR="00665165" w:rsidRPr="00925F26" w:rsidRDefault="00665165" w:rsidP="00925F26">
            <w:pPr>
              <w:widowControl w:val="0"/>
              <w:autoSpaceDE w:val="0"/>
              <w:autoSpaceDN w:val="0"/>
              <w:adjustRightInd w:val="0"/>
              <w:jc w:val="both"/>
              <w:rPr>
                <w:color w:val="000000" w:themeColor="text1"/>
                <w:sz w:val="16"/>
                <w:szCs w:val="16"/>
              </w:rPr>
            </w:pPr>
          </w:p>
        </w:tc>
        <w:tc>
          <w:tcPr>
            <w:tcW w:w="947" w:type="dxa"/>
          </w:tcPr>
          <w:p w14:paraId="28E0B67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4FC3DD2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2807DB5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
        </w:tc>
        <w:tc>
          <w:tcPr>
            <w:tcW w:w="947" w:type="dxa"/>
          </w:tcPr>
          <w:p w14:paraId="5075641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w:t>
            </w:r>
          </w:p>
        </w:tc>
        <w:tc>
          <w:tcPr>
            <w:tcW w:w="947" w:type="dxa"/>
          </w:tcPr>
          <w:p w14:paraId="428E23B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9</w:t>
            </w:r>
          </w:p>
        </w:tc>
      </w:tr>
      <w:tr w:rsidR="000F5689" w:rsidRPr="00925F26" w14:paraId="307CA320" w14:textId="77777777">
        <w:tc>
          <w:tcPr>
            <w:tcW w:w="1668" w:type="dxa"/>
          </w:tcPr>
          <w:p w14:paraId="22522C3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47" w:type="dxa"/>
          </w:tcPr>
          <w:p w14:paraId="4578406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24353</w:t>
            </w:r>
          </w:p>
        </w:tc>
        <w:tc>
          <w:tcPr>
            <w:tcW w:w="947" w:type="dxa"/>
          </w:tcPr>
          <w:p w14:paraId="314CAA1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6689</w:t>
            </w:r>
          </w:p>
        </w:tc>
        <w:tc>
          <w:tcPr>
            <w:tcW w:w="947" w:type="dxa"/>
          </w:tcPr>
          <w:p w14:paraId="6526A81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733</w:t>
            </w:r>
          </w:p>
        </w:tc>
        <w:tc>
          <w:tcPr>
            <w:tcW w:w="947" w:type="dxa"/>
          </w:tcPr>
          <w:p w14:paraId="170B9C3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1154</w:t>
            </w:r>
          </w:p>
        </w:tc>
        <w:tc>
          <w:tcPr>
            <w:tcW w:w="947" w:type="dxa"/>
          </w:tcPr>
          <w:p w14:paraId="3374378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190</w:t>
            </w:r>
          </w:p>
        </w:tc>
        <w:tc>
          <w:tcPr>
            <w:tcW w:w="947" w:type="dxa"/>
          </w:tcPr>
          <w:p w14:paraId="0C84131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4904</w:t>
            </w:r>
          </w:p>
        </w:tc>
        <w:tc>
          <w:tcPr>
            <w:tcW w:w="947" w:type="dxa"/>
          </w:tcPr>
          <w:p w14:paraId="41DC036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10623</w:t>
            </w:r>
          </w:p>
        </w:tc>
      </w:tr>
      <w:tr w:rsidR="00561F31" w:rsidRPr="00925F26" w14:paraId="34852151" w14:textId="77777777">
        <w:tc>
          <w:tcPr>
            <w:tcW w:w="1668" w:type="dxa"/>
          </w:tcPr>
          <w:p w14:paraId="388AC86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фронт</w:t>
            </w:r>
          </w:p>
        </w:tc>
        <w:tc>
          <w:tcPr>
            <w:tcW w:w="947" w:type="dxa"/>
          </w:tcPr>
          <w:p w14:paraId="3F36359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15829</w:t>
            </w:r>
          </w:p>
        </w:tc>
        <w:tc>
          <w:tcPr>
            <w:tcW w:w="947" w:type="dxa"/>
          </w:tcPr>
          <w:p w14:paraId="1DB1A69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6663</w:t>
            </w:r>
          </w:p>
        </w:tc>
        <w:tc>
          <w:tcPr>
            <w:tcW w:w="947" w:type="dxa"/>
          </w:tcPr>
          <w:p w14:paraId="43518B9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722</w:t>
            </w:r>
          </w:p>
        </w:tc>
        <w:tc>
          <w:tcPr>
            <w:tcW w:w="947" w:type="dxa"/>
          </w:tcPr>
          <w:p w14:paraId="2A64B5F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1136</w:t>
            </w:r>
          </w:p>
        </w:tc>
        <w:tc>
          <w:tcPr>
            <w:tcW w:w="947" w:type="dxa"/>
          </w:tcPr>
          <w:p w14:paraId="74A5683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168</w:t>
            </w:r>
          </w:p>
        </w:tc>
        <w:tc>
          <w:tcPr>
            <w:tcW w:w="947" w:type="dxa"/>
          </w:tcPr>
          <w:p w14:paraId="089D167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3104 (783,46)</w:t>
            </w:r>
          </w:p>
        </w:tc>
        <w:tc>
          <w:tcPr>
            <w:tcW w:w="947" w:type="dxa"/>
          </w:tcPr>
          <w:p w14:paraId="0D73F4D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4036</w:t>
            </w:r>
          </w:p>
        </w:tc>
      </w:tr>
    </w:tbl>
    <w:p w14:paraId="725BFD42" w14:textId="77777777" w:rsidR="00665165" w:rsidRPr="00925F26" w:rsidRDefault="00665165" w:rsidP="00925F26">
      <w:pPr>
        <w:autoSpaceDE w:val="0"/>
        <w:autoSpaceDN w:val="0"/>
        <w:adjustRightInd w:val="0"/>
        <w:jc w:val="both"/>
        <w:rPr>
          <w:iCs/>
          <w:color w:val="000000" w:themeColor="text1"/>
          <w:sz w:val="16"/>
          <w:szCs w:val="16"/>
        </w:rPr>
      </w:pPr>
    </w:p>
    <w:p w14:paraId="4E0FCF3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F8CCC0A" w14:textId="77777777" w:rsidR="00665165" w:rsidRPr="00925F26" w:rsidRDefault="00665165" w:rsidP="00925F26">
      <w:pPr>
        <w:autoSpaceDE w:val="0"/>
        <w:autoSpaceDN w:val="0"/>
        <w:adjustRightInd w:val="0"/>
        <w:jc w:val="both"/>
        <w:rPr>
          <w:iCs/>
          <w:color w:val="000000" w:themeColor="text1"/>
          <w:sz w:val="16"/>
          <w:szCs w:val="16"/>
        </w:rPr>
      </w:pPr>
    </w:p>
    <w:p w14:paraId="677C86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апреля 1945 г. вышел отчет комиссии по испытаниям, согласно которому 85-мм пушка БЛ-25 полигонные испытания не выдержала и требует доработки. Вскоре работы по пушке были прекращены (3861).</w:t>
      </w:r>
    </w:p>
    <w:p w14:paraId="2F4B76C2" w14:textId="77777777" w:rsidR="00665165" w:rsidRPr="00925F26" w:rsidRDefault="00665165" w:rsidP="00925F26">
      <w:pPr>
        <w:autoSpaceDE w:val="0"/>
        <w:autoSpaceDN w:val="0"/>
        <w:adjustRightInd w:val="0"/>
        <w:jc w:val="both"/>
        <w:rPr>
          <w:color w:val="000000" w:themeColor="text1"/>
          <w:sz w:val="16"/>
          <w:szCs w:val="16"/>
        </w:rPr>
      </w:pPr>
    </w:p>
    <w:p w14:paraId="73B9697F" w14:textId="77777777" w:rsidR="0085285E" w:rsidRPr="001A0BAA" w:rsidRDefault="0085285E" w:rsidP="0085285E">
      <w:pPr>
        <w:jc w:val="both"/>
        <w:rPr>
          <w:color w:val="0070C0"/>
          <w:sz w:val="16"/>
          <w:szCs w:val="16"/>
        </w:rPr>
      </w:pPr>
      <w:r w:rsidRPr="001A0BAA">
        <w:rPr>
          <w:rStyle w:val="aff0"/>
          <w:rFonts w:ascii="Times New Roman" w:hAnsi="Times New Roman" w:cs="Times New Roman"/>
          <w:color w:val="0070C0"/>
          <w:spacing w:val="0"/>
          <w:sz w:val="16"/>
          <w:szCs w:val="16"/>
        </w:rPr>
        <w:t>2 апреля 1945 г. в отчете Главного артиллерийского полигона о полигонных испытаниях 85-мм дивизионной пушки БЛ-25, изготовленной заводом № 172, указано, что пушка сделала 293 выстрела и испытания были прекращены «из-за сдачи подъемного механизма» и ряда других поломок (25440).</w:t>
      </w:r>
    </w:p>
    <w:p w14:paraId="2B112459" w14:textId="77777777" w:rsidR="0085285E" w:rsidRPr="001A0BAA" w:rsidRDefault="0085285E" w:rsidP="0085285E">
      <w:pPr>
        <w:jc w:val="both"/>
        <w:rPr>
          <w:color w:val="0070C0"/>
          <w:sz w:val="16"/>
          <w:szCs w:val="16"/>
        </w:rPr>
      </w:pPr>
    </w:p>
    <w:p w14:paraId="7D17AA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апреля 1945 вышло Распоряжение ГКО № 7969. О поставках чугуна, труб и проката НКНП. РГАНИР, Фонд ГКО, д. 387, лл. 66 (11012).</w:t>
      </w:r>
    </w:p>
    <w:p w14:paraId="0FF96DCE" w14:textId="77777777" w:rsidR="00665165" w:rsidRPr="00925F26" w:rsidRDefault="00665165" w:rsidP="00925F26">
      <w:pPr>
        <w:autoSpaceDE w:val="0"/>
        <w:autoSpaceDN w:val="0"/>
        <w:adjustRightInd w:val="0"/>
        <w:jc w:val="both"/>
        <w:rPr>
          <w:color w:val="000000" w:themeColor="text1"/>
          <w:sz w:val="16"/>
          <w:szCs w:val="16"/>
        </w:rPr>
      </w:pPr>
    </w:p>
    <w:p w14:paraId="6EF63BC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760D148" w14:textId="77777777" w:rsidR="00665165" w:rsidRPr="00925F26" w:rsidRDefault="00665165" w:rsidP="00925F26">
      <w:pPr>
        <w:autoSpaceDE w:val="0"/>
        <w:autoSpaceDN w:val="0"/>
        <w:adjustRightInd w:val="0"/>
        <w:jc w:val="both"/>
        <w:rPr>
          <w:iCs/>
          <w:color w:val="000000" w:themeColor="text1"/>
          <w:sz w:val="16"/>
          <w:szCs w:val="16"/>
        </w:rPr>
      </w:pPr>
    </w:p>
    <w:p w14:paraId="58499EC8" w14:textId="77777777" w:rsidR="00462C72" w:rsidRPr="00925F26" w:rsidRDefault="00462C72" w:rsidP="00925F26">
      <w:pPr>
        <w:jc w:val="both"/>
        <w:rPr>
          <w:color w:val="000000" w:themeColor="text1"/>
          <w:sz w:val="16"/>
          <w:szCs w:val="16"/>
        </w:rPr>
      </w:pPr>
      <w:r w:rsidRPr="00925F26">
        <w:rPr>
          <w:color w:val="000000" w:themeColor="text1"/>
          <w:sz w:val="16"/>
          <w:szCs w:val="16"/>
        </w:rPr>
        <w:t>2 апреля в 1945 году оперативная сводка Совинформбюро:</w:t>
      </w:r>
    </w:p>
    <w:p w14:paraId="1B5D4097" w14:textId="77777777" w:rsidR="00462C72" w:rsidRPr="00925F26" w:rsidRDefault="00462C72" w:rsidP="00925F26">
      <w:pPr>
        <w:jc w:val="both"/>
        <w:rPr>
          <w:color w:val="000000" w:themeColor="text1"/>
          <w:sz w:val="16"/>
          <w:szCs w:val="16"/>
        </w:rPr>
      </w:pPr>
      <w:r w:rsidRPr="00925F26">
        <w:rPr>
          <w:color w:val="000000" w:themeColor="text1"/>
          <w:sz w:val="16"/>
          <w:szCs w:val="16"/>
        </w:rPr>
        <w:t>«В течение 2 апреля на Братиславском направлении войска 2-го Украинского фронта, продолжая наступление, овладели городом и железнодорожной станцией Топольчаны, а также заняли более 100 других населённых пунктов, в числе которых крупные населённые пункты Бошаны, Велки Рипняны, Силадице, Суха, Пудмерице, Модра, Пезинок, Вайнори, Фарна, Бишдорф (4 километра восточнее Братиславы), Гутор, Шаморин и железнодорожные станции Бошаны, Велки Рипняны, Силадице, Серед, Модра-Шенквице, Чеклис, Вайнори, Узор, Бишдорф.</w:t>
      </w:r>
    </w:p>
    <w:p w14:paraId="6383A3D7" w14:textId="77777777" w:rsidR="00462C72" w:rsidRPr="00925F26" w:rsidRDefault="00462C72" w:rsidP="00925F26">
      <w:pPr>
        <w:jc w:val="both"/>
        <w:rPr>
          <w:color w:val="000000" w:themeColor="text1"/>
          <w:sz w:val="16"/>
          <w:szCs w:val="16"/>
        </w:rPr>
      </w:pPr>
      <w:r w:rsidRPr="00925F26">
        <w:rPr>
          <w:color w:val="000000" w:themeColor="text1"/>
          <w:sz w:val="16"/>
          <w:szCs w:val="16"/>
        </w:rPr>
        <w:t>На Венском направлении наши войска продолжали вести наступательные бои по обеим сторонам озера Нойзидлер-Зее.</w:t>
      </w:r>
    </w:p>
    <w:p w14:paraId="4C3157C8" w14:textId="77777777" w:rsidR="00462C72" w:rsidRPr="00925F26" w:rsidRDefault="00462C72" w:rsidP="00925F26">
      <w:pPr>
        <w:jc w:val="both"/>
        <w:rPr>
          <w:color w:val="000000" w:themeColor="text1"/>
          <w:sz w:val="16"/>
          <w:szCs w:val="16"/>
        </w:rPr>
      </w:pPr>
      <w:r w:rsidRPr="00925F26">
        <w:rPr>
          <w:color w:val="000000" w:themeColor="text1"/>
          <w:sz w:val="16"/>
          <w:szCs w:val="16"/>
        </w:rPr>
        <w:t>Войска 3-го Украинского фронта, продолжая наступление юго-западнее озера Балатон, 2 апреля совместно с болгарскими войсками овладели центром нефтяной промышленности Венгрии городом Надьканижа — важным узлом дорог и сильным опорным пунктом обороны немцев, а также заняли более 40 других населённых пунктов, среди которых крупные населённые пункты Шейтер, Хахот, Бочка, Эстерегнье, Шомодьсентмиклош, Белезна, Сент Михай.</w:t>
      </w:r>
    </w:p>
    <w:p w14:paraId="1C0163FB" w14:textId="77777777" w:rsidR="00462C72" w:rsidRPr="00925F26" w:rsidRDefault="00462C72" w:rsidP="00925F26">
      <w:pPr>
        <w:jc w:val="both"/>
        <w:rPr>
          <w:color w:val="000000" w:themeColor="text1"/>
          <w:sz w:val="16"/>
          <w:szCs w:val="16"/>
        </w:rPr>
      </w:pPr>
      <w:r w:rsidRPr="00925F26">
        <w:rPr>
          <w:color w:val="000000" w:themeColor="text1"/>
          <w:sz w:val="16"/>
          <w:szCs w:val="16"/>
        </w:rPr>
        <w:t>В боях за 1 апреля войска фронта взяли в плен более 10.000 солдат и офицеров противника и захватили следующие трофеи: танков — 35, бронетранспортёров — 20, полевых орудий — 215, пулемётов — 170, автомашин — 420, радиостанций —100, паровозов — 20, железнодорожных вагонов — 780, складов с боеприпасами, вооружением и продовольствием — 59.</w:t>
      </w:r>
    </w:p>
    <w:p w14:paraId="7C65633B" w14:textId="77777777" w:rsidR="00462C72" w:rsidRPr="00925F26" w:rsidRDefault="00462C72"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произошло.</w:t>
      </w:r>
    </w:p>
    <w:p w14:paraId="589CC079" w14:textId="77777777" w:rsidR="00462C72" w:rsidRPr="00925F26" w:rsidRDefault="00462C72" w:rsidP="00925F26">
      <w:pPr>
        <w:jc w:val="both"/>
        <w:rPr>
          <w:color w:val="000000" w:themeColor="text1"/>
          <w:sz w:val="16"/>
          <w:szCs w:val="16"/>
        </w:rPr>
      </w:pPr>
      <w:r w:rsidRPr="00925F26">
        <w:rPr>
          <w:color w:val="000000" w:themeColor="text1"/>
          <w:sz w:val="16"/>
          <w:szCs w:val="16"/>
        </w:rPr>
        <w:t>За 1 апреля на всех фронтах подбито и уничтожено 50 немецких танков и самоходных орудий. В воздушных боях и огнём зенитной артиллерии сбито 40 самолётов противника.</w:t>
      </w:r>
    </w:p>
    <w:p w14:paraId="1090CD7B" w14:textId="77777777" w:rsidR="00462C72" w:rsidRPr="00925F26" w:rsidRDefault="00462C72" w:rsidP="00925F26">
      <w:pPr>
        <w:jc w:val="both"/>
        <w:rPr>
          <w:color w:val="000000" w:themeColor="text1"/>
          <w:sz w:val="16"/>
          <w:szCs w:val="16"/>
        </w:rPr>
      </w:pPr>
      <w:r w:rsidRPr="00925F26">
        <w:rPr>
          <w:color w:val="000000" w:themeColor="text1"/>
          <w:sz w:val="16"/>
          <w:szCs w:val="16"/>
        </w:rPr>
        <w:lastRenderedPageBreak/>
        <w:t>Войска 2-го Украинского фронта продолжали наступление. Советские части преодолели горы Врхи Трибецке и завязали бои на подступах к чехословацкому городу Топольчаны. Немцы спешно перебросили на этот участок пехотный полк, два запасных батальона, части сапёрной бригады и, опираясь на заранее подготовленные позиции, предприняли несколько контратак. Отразив вражеские контратаки, наши бойцы продвинулись вперёд и ночью заняли несколько опорных пунктов противника. Сегодня утром советские войска под прикрытием артиллерийского огня переправились через реку Нитру и ворвались в Топольчаны с севера. Тем временем другие наши подразделения форсировали реку южнее города. В полдень в результате одновременных ударов с севера, востока и юго-запада войска фронта овладели городом Топольчаны. Части противника, оборонявшие город, понесли тяжёлые потери и в беспорядке отступили, бросив много вооружения и военного имущества.</w:t>
      </w:r>
    </w:p>
    <w:p w14:paraId="1E27B443" w14:textId="77777777" w:rsidR="00462C72" w:rsidRPr="00925F26" w:rsidRDefault="00462C72" w:rsidP="00925F26">
      <w:pPr>
        <w:jc w:val="both"/>
        <w:rPr>
          <w:color w:val="000000" w:themeColor="text1"/>
          <w:sz w:val="16"/>
          <w:szCs w:val="16"/>
        </w:rPr>
      </w:pPr>
      <w:r w:rsidRPr="00925F26">
        <w:rPr>
          <w:color w:val="000000" w:themeColor="text1"/>
          <w:sz w:val="16"/>
          <w:szCs w:val="16"/>
        </w:rPr>
        <w:t>Наши пехотинцы, кавалеристы и танкисты, овладевшие вчера городами Трнава и Сенец, продвинулись вперёд и ведут бои за перевалы Малых Карпат. Заняты опорные пункты вражеской обороны Модра и Пезинок, расположенные у восточных склонов гор. Советские гвардейские части совершили стремительный бросок и овладели населённым пунктом Бишдорф, находящимся в 4 километрах восточнее Братиславы. Противник поспешно стягивает сюда подкрепления и оказывает упорное сопротивление. За день боёв подбито и сожжено 18 немецких танков. Взято значительное число пленных.</w:t>
      </w:r>
    </w:p>
    <w:p w14:paraId="743B3A3D" w14:textId="77777777" w:rsidR="00462C72" w:rsidRPr="00925F26" w:rsidRDefault="00462C72" w:rsidP="00925F26">
      <w:pPr>
        <w:jc w:val="both"/>
        <w:rPr>
          <w:color w:val="000000" w:themeColor="text1"/>
          <w:sz w:val="16"/>
          <w:szCs w:val="16"/>
        </w:rPr>
      </w:pPr>
      <w:r w:rsidRPr="00925F26">
        <w:rPr>
          <w:color w:val="000000" w:themeColor="text1"/>
          <w:sz w:val="16"/>
          <w:szCs w:val="16"/>
        </w:rPr>
        <w:t>Юго-западнее озера Балатон войска 3-го Украинского фронта развивали успешное наступление. Советские части, действующие совместно с болгарскими войсками, прорвали вражескую оборону на подступах к городу Надьканижа и ворвались на его восточные окраины. Немцы, укрепившись в каменных зданиях, оказывали упорное сопротивление. В результате ожесточённого боя наши войска заняли восточную часть города и переправились через канал. Противник ввёл в бой части, переброшенные из Югославии, и предпринял несколько контратак. Сильным ударом с трёх сторон наши войска нанесли немцам тяжёлый урон и вынудили их поспешно отступить. Город Надьканижа, центр нефтяной промышленности Венгрии, полностью очищен от противника. На подступах к городу и на его улицах осталось до 3 тысяч трупов немецких солдат и офицеров. Захвачены большие трофеи и много пленных. С падением Надьканижи немцы потеряли ещё один источник горючего, имевший для них очень важное значение.</w:t>
      </w:r>
    </w:p>
    <w:p w14:paraId="1F363671" w14:textId="77777777" w:rsidR="00462C72" w:rsidRPr="00925F26" w:rsidRDefault="00462C72" w:rsidP="00925F26">
      <w:pPr>
        <w:jc w:val="both"/>
        <w:rPr>
          <w:color w:val="000000" w:themeColor="text1"/>
          <w:sz w:val="16"/>
          <w:szCs w:val="16"/>
        </w:rPr>
      </w:pPr>
      <w:r w:rsidRPr="00925F26">
        <w:rPr>
          <w:color w:val="000000" w:themeColor="text1"/>
          <w:sz w:val="16"/>
          <w:szCs w:val="16"/>
        </w:rPr>
        <w:t>Советские воины в боях с противником проявляют образцы мужества и геройства. Стрелковый батальон гвардии капитана Кулишова ночью подошёл к реке. Гвардии младший лейтенант Старченко и красноармеец Титаренко переправились через реку. Разведав брод, Старченко отправил красноармейца с донесением, а сам отошёл в сторону от брода и, чтобы отвлечь внимание противника, начал стрелять из автомата. Двадцать минут младший лейтенант вёл огонь, перебегая с места на место. Встревоженные немцы открыли стрельбу из всех видов оружия. Тем временем бойцы батальона успешно форсировали реку вброд и стремительной атакой захватили выгодные позиции. Закрепившись на западном берегу реки, батальон отбил три вражеские контратаки, уничтожив при этом свыше 300 немцев. На другом участке немцы заминировали мост через реку. Гвардии старшина Ховриенко под огнём противника обезвредил вражеские мины и обеспечил быструю переправу наших танков через водную преграду. Танковый экипаж гвардии младшего лейтенанта Леонтьева ворвался в расположение противника и гусеницами раздавил 50 гитлеровцев.</w:t>
      </w:r>
    </w:p>
    <w:p w14:paraId="7DD33F53" w14:textId="77777777" w:rsidR="00462C72" w:rsidRPr="00925F26" w:rsidRDefault="00462C72"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атаковала немецкие суда в Данцигской бухте. Отмечено прямое попадание бомбы в крупный военный корабль противника.</w:t>
      </w:r>
    </w:p>
    <w:p w14:paraId="2C314EC9" w14:textId="77777777" w:rsidR="00462C72" w:rsidRPr="00925F26" w:rsidRDefault="00462C72" w:rsidP="00925F26">
      <w:pPr>
        <w:jc w:val="both"/>
        <w:rPr>
          <w:color w:val="000000" w:themeColor="text1"/>
          <w:sz w:val="16"/>
          <w:szCs w:val="16"/>
        </w:rPr>
      </w:pPr>
      <w:r w:rsidRPr="00925F26">
        <w:rPr>
          <w:color w:val="000000" w:themeColor="text1"/>
          <w:sz w:val="16"/>
          <w:szCs w:val="16"/>
        </w:rPr>
        <w:t>Взятый в плен на 1-м Белорусском фронте командир 402-й немецкой пехотной дивизии генерал-лейтенант Зигмунд фон Шлейниц рассказал: «Наступательные операции Красной Армии превзошли все наши предположения. Я не ошибусь, если скажу, что ни один немецкий генерал не предвидел такого быстрого крушения немецкого фронта на Висле. Ещё совсем недавно это казалось нам невозможным и невероятным. Когда создалась угроза для Померании, немецкое командование сформировало четыре дивизии на базе военных школ и запасных частей и, немедля, направило их на фронт. Кроме того, в Померанию было переброшено несколько дивизий с запада, из Норвегии, а также с других участков фронта. Однако все эти меры не спасли положения. Померанская группировка была разгромлена. Мои полки были разбиты один за другим, и дивизия прекратила своё существование. Остатки её разбрелись по лесам, а я попал в плен» (15087).</w:t>
      </w:r>
    </w:p>
    <w:p w14:paraId="7AA843C4" w14:textId="77777777" w:rsidR="00462C72" w:rsidRPr="00925F26" w:rsidRDefault="00462C72" w:rsidP="00925F26">
      <w:pPr>
        <w:jc w:val="both"/>
        <w:rPr>
          <w:color w:val="000000" w:themeColor="text1"/>
          <w:sz w:val="16"/>
          <w:szCs w:val="16"/>
        </w:rPr>
      </w:pPr>
    </w:p>
    <w:p w14:paraId="243CB2BC" w14:textId="77777777" w:rsidR="00462C72" w:rsidRPr="00925F26" w:rsidRDefault="00462C72" w:rsidP="00925F26">
      <w:pPr>
        <w:jc w:val="both"/>
        <w:rPr>
          <w:color w:val="000000" w:themeColor="text1"/>
          <w:sz w:val="16"/>
          <w:szCs w:val="16"/>
        </w:rPr>
      </w:pPr>
      <w:r w:rsidRPr="00925F26">
        <w:rPr>
          <w:color w:val="000000" w:themeColor="text1"/>
          <w:sz w:val="16"/>
          <w:szCs w:val="16"/>
        </w:rPr>
        <w:t>2 апреля в 1945 году войска 2-го Украинского фронта при поддержке Дунайской военной флотилии начали штурм Братиславы. 4 апреля столица Словакии была освобождена от фашистских захватчиков (15087).</w:t>
      </w:r>
    </w:p>
    <w:p w14:paraId="47A1ABF1" w14:textId="77777777" w:rsidR="00462C72" w:rsidRPr="00925F26" w:rsidRDefault="00462C72" w:rsidP="00925F26">
      <w:pPr>
        <w:jc w:val="both"/>
        <w:rPr>
          <w:color w:val="000000" w:themeColor="text1"/>
          <w:sz w:val="16"/>
          <w:szCs w:val="16"/>
        </w:rPr>
      </w:pPr>
    </w:p>
    <w:p w14:paraId="204E07A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апреля 1945 вышло Постановление ГКО № 7967 О порядке финансирования частей Красной Армии на территории Австрии. (7320, 62-64).</w:t>
      </w:r>
    </w:p>
    <w:p w14:paraId="6C87857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61878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апреля 1945 вышло Постановление ГКО № 7967 О порядке финансирования частей Красной Армии на территории Австрии. РГАНИР, Фонд ГКО, д. 387, лл. 62-64 (11012).</w:t>
      </w:r>
    </w:p>
    <w:p w14:paraId="13E4139C" w14:textId="77777777" w:rsidR="00665165" w:rsidRPr="00925F26" w:rsidRDefault="00665165" w:rsidP="00925F26">
      <w:pPr>
        <w:autoSpaceDE w:val="0"/>
        <w:autoSpaceDN w:val="0"/>
        <w:adjustRightInd w:val="0"/>
        <w:jc w:val="both"/>
        <w:rPr>
          <w:color w:val="000000" w:themeColor="text1"/>
          <w:sz w:val="16"/>
          <w:szCs w:val="16"/>
        </w:rPr>
      </w:pPr>
    </w:p>
    <w:p w14:paraId="2FD116A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апреля 1945 вышло Распоряжение ГКО № 7968 [Удостоверение Гамова К.С. - уполномоченного Особого комитета при ГКО на 2-м и 3-м УФ.] (7320, 65).</w:t>
      </w:r>
    </w:p>
    <w:p w14:paraId="035EA30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0A0999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апреля 1945 советские войска освободили от фашистов г. Трнаву (Чехословакия) (4962).</w:t>
      </w:r>
    </w:p>
    <w:p w14:paraId="0C30CDC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752632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EB249D9" w14:textId="77777777" w:rsidR="00665165" w:rsidRPr="00925F26" w:rsidRDefault="00665165" w:rsidP="00925F26">
      <w:pPr>
        <w:autoSpaceDE w:val="0"/>
        <w:autoSpaceDN w:val="0"/>
        <w:adjustRightInd w:val="0"/>
        <w:jc w:val="both"/>
        <w:rPr>
          <w:iCs/>
          <w:color w:val="000000" w:themeColor="text1"/>
          <w:sz w:val="16"/>
          <w:szCs w:val="16"/>
        </w:rPr>
      </w:pPr>
    </w:p>
    <w:p w14:paraId="58C7E7A4" w14:textId="77777777" w:rsidR="00462C72" w:rsidRPr="00925F26" w:rsidRDefault="00462C72"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240"/>
          <w:rFonts w:ascii="Times New Roman" w:eastAsia="Arial Unicode MS" w:hAnsi="Times New Roman" w:cs="Times New Roman"/>
          <w:i w:val="0"/>
          <w:iCs w:val="0"/>
          <w:color w:val="000000" w:themeColor="text1"/>
        </w:rPr>
        <w:t>2</w:t>
      </w:r>
      <w:r w:rsidRPr="00925F26">
        <w:rPr>
          <w:rFonts w:ascii="Times New Roman" w:hAnsi="Times New Roman" w:cs="Times New Roman"/>
          <w:i w:val="0"/>
          <w:color w:val="000000" w:themeColor="text1"/>
          <w:sz w:val="16"/>
          <w:szCs w:val="16"/>
        </w:rPr>
        <w:t xml:space="preserve"> апреля 1945 г. 48-я эскадрилья 14-й истребительной группы ВВС США вылетела на свободную охоту над Веной. Группа «Лайтнинго</w:t>
      </w:r>
      <w:r w:rsidRPr="00925F26">
        <w:rPr>
          <w:rStyle w:val="2240"/>
          <w:rFonts w:ascii="Times New Roman" w:eastAsia="Arial Unicode MS" w:hAnsi="Times New Roman" w:cs="Times New Roman"/>
          <w:i w:val="0"/>
          <w:iCs w:val="0"/>
          <w:color w:val="000000" w:themeColor="text1"/>
        </w:rPr>
        <w:t>в» во главе с</w:t>
      </w:r>
      <w:r w:rsidRPr="00925F26">
        <w:rPr>
          <w:rFonts w:ascii="Times New Roman" w:hAnsi="Times New Roman" w:cs="Times New Roman"/>
          <w:i w:val="0"/>
          <w:color w:val="000000" w:themeColor="text1"/>
          <w:sz w:val="16"/>
          <w:szCs w:val="16"/>
        </w:rPr>
        <w:t xml:space="preserve"> молодым американским асом </w:t>
      </w:r>
      <w:r w:rsidRPr="00925F26">
        <w:rPr>
          <w:rStyle w:val="2240"/>
          <w:rFonts w:ascii="Times New Roman" w:eastAsia="Arial Unicode MS" w:hAnsi="Times New Roman" w:cs="Times New Roman"/>
          <w:i w:val="0"/>
          <w:iCs w:val="0"/>
          <w:color w:val="000000" w:themeColor="text1"/>
        </w:rPr>
        <w:t>Майклом</w:t>
      </w:r>
      <w:r w:rsidRPr="00925F26">
        <w:rPr>
          <w:rFonts w:ascii="Times New Roman" w:hAnsi="Times New Roman" w:cs="Times New Roman"/>
          <w:i w:val="0"/>
          <w:color w:val="000000" w:themeColor="text1"/>
          <w:sz w:val="16"/>
          <w:szCs w:val="16"/>
        </w:rPr>
        <w:t xml:space="preserve"> Брежасом действовала с итальянского аэродрома Триоло. В том полете само</w:t>
      </w:r>
      <w:r w:rsidRPr="00925F26">
        <w:rPr>
          <w:rFonts w:ascii="Times New Roman" w:hAnsi="Times New Roman" w:cs="Times New Roman"/>
          <w:i w:val="0"/>
          <w:color w:val="000000" w:themeColor="text1"/>
          <w:sz w:val="16"/>
          <w:szCs w:val="16"/>
        </w:rPr>
        <w:softHyphen/>
        <w:t>лет Брежаса подбили немецкие зенитки, и летчику пришлось приземлиться на югославском аэродроме, находившемся в советской зоне ответственности. В результате возникла по</w:t>
      </w:r>
      <w:r w:rsidRPr="00925F26">
        <w:rPr>
          <w:rFonts w:ascii="Times New Roman" w:hAnsi="Times New Roman" w:cs="Times New Roman"/>
          <w:i w:val="0"/>
          <w:color w:val="000000" w:themeColor="text1"/>
          <w:sz w:val="16"/>
          <w:szCs w:val="16"/>
        </w:rPr>
        <w:softHyphen/>
        <w:t>лемика между союзниками: кому должен достаться самолёт - американцам, русским или югославам?</w:t>
      </w:r>
    </w:p>
    <w:p w14:paraId="080E684E" w14:textId="77777777" w:rsidR="00462C72" w:rsidRPr="00925F26" w:rsidRDefault="00462C72"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Около 13.00 на высоте 1200 м «Первый» (на носу фюзеляжа и на радиаторах мотора истребителя Брежаса была изображена стилизованная римская цифра «I») неожиданно обстреляли с земли. Вблизи австрийско-венгер</w:t>
      </w:r>
      <w:r w:rsidRPr="00925F26">
        <w:rPr>
          <w:rFonts w:ascii="Times New Roman" w:hAnsi="Times New Roman" w:cs="Times New Roman"/>
          <w:i w:val="0"/>
          <w:color w:val="000000" w:themeColor="text1"/>
          <w:sz w:val="16"/>
          <w:szCs w:val="16"/>
        </w:rPr>
        <w:softHyphen/>
        <w:t>ской границы, между населёнными пунктами Неберсдорф (</w:t>
      </w:r>
      <w:r w:rsidRPr="00925F26">
        <w:rPr>
          <w:rFonts w:ascii="Times New Roman" w:hAnsi="Times New Roman" w:cs="Times New Roman"/>
          <w:i w:val="0"/>
          <w:color w:val="000000" w:themeColor="text1"/>
          <w:sz w:val="16"/>
          <w:szCs w:val="16"/>
          <w:lang w:val="en-US"/>
        </w:rPr>
        <w:t>Nebersdorf</w:t>
      </w:r>
      <w:r w:rsidRPr="00925F26">
        <w:rPr>
          <w:rFonts w:ascii="Times New Roman" w:hAnsi="Times New Roman" w:cs="Times New Roman"/>
          <w:i w:val="0"/>
          <w:color w:val="000000" w:themeColor="text1"/>
          <w:sz w:val="16"/>
          <w:szCs w:val="16"/>
        </w:rPr>
        <w:t>) и Гериштоф (</w:t>
      </w:r>
      <w:r w:rsidRPr="00925F26">
        <w:rPr>
          <w:rFonts w:ascii="Times New Roman" w:hAnsi="Times New Roman" w:cs="Times New Roman"/>
          <w:i w:val="0"/>
          <w:color w:val="000000" w:themeColor="text1"/>
          <w:sz w:val="16"/>
          <w:szCs w:val="16"/>
          <w:lang w:val="en-US"/>
        </w:rPr>
        <w:t>KroatischGeresdorf</w:t>
      </w:r>
      <w:r w:rsidRPr="00925F26">
        <w:rPr>
          <w:rFonts w:ascii="Times New Roman" w:hAnsi="Times New Roman" w:cs="Times New Roman"/>
          <w:i w:val="0"/>
          <w:color w:val="000000" w:themeColor="text1"/>
          <w:sz w:val="16"/>
          <w:szCs w:val="16"/>
        </w:rPr>
        <w:t xml:space="preserve">) самолёт Бержаса подбили зенитки. Из системы охлаждения левого мотора </w:t>
      </w:r>
      <w:r w:rsidRPr="00925F26">
        <w:rPr>
          <w:rFonts w:ascii="Times New Roman" w:hAnsi="Times New Roman" w:cs="Times New Roman"/>
          <w:i w:val="0"/>
          <w:color w:val="000000" w:themeColor="text1"/>
          <w:sz w:val="16"/>
          <w:szCs w:val="16"/>
          <w:lang w:val="en-US"/>
        </w:rPr>
        <w:t>AllisonV</w:t>
      </w:r>
      <w:r w:rsidRPr="00925F26">
        <w:rPr>
          <w:rFonts w:ascii="Times New Roman" w:hAnsi="Times New Roman" w:cs="Times New Roman"/>
          <w:i w:val="0"/>
          <w:color w:val="000000" w:themeColor="text1"/>
          <w:sz w:val="16"/>
          <w:szCs w:val="16"/>
        </w:rPr>
        <w:t>-1710-1 13-111 стала вытекать рабочая жидкость, а левый руль направления перестал от</w:t>
      </w:r>
      <w:r w:rsidRPr="00925F26">
        <w:rPr>
          <w:rFonts w:ascii="Times New Roman" w:hAnsi="Times New Roman" w:cs="Times New Roman"/>
          <w:i w:val="0"/>
          <w:color w:val="000000" w:themeColor="text1"/>
          <w:sz w:val="16"/>
          <w:szCs w:val="16"/>
        </w:rPr>
        <w:softHyphen/>
        <w:t>вечать на отклонение педалей. В сопровождении младшего лейтенанта Кенета Сили Брежас пытался дотянуть до территории, контролируемой Красной Армией. После 20-минутного по</w:t>
      </w:r>
      <w:r w:rsidRPr="00925F26">
        <w:rPr>
          <w:rFonts w:ascii="Times New Roman" w:hAnsi="Times New Roman" w:cs="Times New Roman"/>
          <w:i w:val="0"/>
          <w:color w:val="000000" w:themeColor="text1"/>
          <w:sz w:val="16"/>
          <w:szCs w:val="16"/>
        </w:rPr>
        <w:softHyphen/>
        <w:t>лета над Южной Венгрией самолёты разделились. Радиосвязь между ними прекратилась. Сили выполнил посадку в Задаре, и после заправки топливом для танков вернулся в Италию.</w:t>
      </w:r>
    </w:p>
    <w:p w14:paraId="2BC43721" w14:textId="77777777" w:rsidR="00462C72" w:rsidRPr="00925F26" w:rsidRDefault="00462C72"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Брежас без проблем приземлился на бетонную ВПП аэродрома Сомбор, зарулил на грунтовую стоянку и, открыв кабину, заявил: «Я американский!» Американца пред</w:t>
      </w:r>
      <w:r w:rsidRPr="00925F26">
        <w:rPr>
          <w:rFonts w:ascii="Times New Roman" w:hAnsi="Times New Roman" w:cs="Times New Roman"/>
          <w:i w:val="0"/>
          <w:color w:val="000000" w:themeColor="text1"/>
          <w:sz w:val="16"/>
          <w:szCs w:val="16"/>
        </w:rPr>
        <w:softHyphen/>
        <w:t xml:space="preserve">ставили командиру базы, а затем переправили в американскую миссию. Истребитель Брежаса </w:t>
      </w:r>
      <w:r w:rsidRPr="00925F26">
        <w:rPr>
          <w:rFonts w:ascii="Times New Roman" w:hAnsi="Times New Roman" w:cs="Times New Roman"/>
          <w:i w:val="0"/>
          <w:color w:val="000000" w:themeColor="text1"/>
          <w:sz w:val="16"/>
          <w:szCs w:val="16"/>
          <w:lang w:val="en-US"/>
        </w:rPr>
        <w:t>P</w:t>
      </w:r>
      <w:r w:rsidRPr="00925F26">
        <w:rPr>
          <w:rFonts w:ascii="Times New Roman" w:hAnsi="Times New Roman" w:cs="Times New Roman"/>
          <w:i w:val="0"/>
          <w:color w:val="000000" w:themeColor="text1"/>
          <w:sz w:val="16"/>
          <w:szCs w:val="16"/>
        </w:rPr>
        <w:t>-38</w:t>
      </w:r>
      <w:r w:rsidRPr="00925F26">
        <w:rPr>
          <w:rFonts w:ascii="Times New Roman" w:hAnsi="Times New Roman" w:cs="Times New Roman"/>
          <w:i w:val="0"/>
          <w:color w:val="000000" w:themeColor="text1"/>
          <w:sz w:val="16"/>
          <w:szCs w:val="16"/>
          <w:lang w:val="en-US"/>
        </w:rPr>
        <w:t>L</w:t>
      </w:r>
      <w:r w:rsidRPr="00925F26">
        <w:rPr>
          <w:rFonts w:ascii="Times New Roman" w:hAnsi="Times New Roman" w:cs="Times New Roman"/>
          <w:i w:val="0"/>
          <w:color w:val="000000" w:themeColor="text1"/>
          <w:sz w:val="16"/>
          <w:szCs w:val="16"/>
        </w:rPr>
        <w:t>-5</w:t>
      </w:r>
      <w:r w:rsidRPr="00925F26">
        <w:rPr>
          <w:rFonts w:ascii="Times New Roman" w:hAnsi="Times New Roman" w:cs="Times New Roman"/>
          <w:i w:val="0"/>
          <w:color w:val="000000" w:themeColor="text1"/>
          <w:sz w:val="16"/>
          <w:szCs w:val="16"/>
          <w:lang w:val="en-US"/>
        </w:rPr>
        <w:t>LO</w:t>
      </w:r>
      <w:r w:rsidRPr="00925F26">
        <w:rPr>
          <w:rFonts w:ascii="Times New Roman" w:hAnsi="Times New Roman" w:cs="Times New Roman"/>
          <w:i w:val="0"/>
          <w:color w:val="000000" w:themeColor="text1"/>
          <w:sz w:val="16"/>
          <w:szCs w:val="16"/>
        </w:rPr>
        <w:t>, серийный № 44-25786, остался в Сомборе для ремонта (15977).</w:t>
      </w:r>
    </w:p>
    <w:p w14:paraId="2183A8B5" w14:textId="77777777" w:rsidR="00462C72" w:rsidRPr="00925F26" w:rsidRDefault="00462C72" w:rsidP="00925F26">
      <w:pPr>
        <w:pStyle w:val="212"/>
        <w:shd w:val="clear" w:color="auto" w:fill="auto"/>
        <w:spacing w:line="240" w:lineRule="auto"/>
        <w:jc w:val="both"/>
        <w:rPr>
          <w:rFonts w:ascii="Times New Roman" w:hAnsi="Times New Roman" w:cs="Times New Roman"/>
          <w:i w:val="0"/>
          <w:color w:val="000000" w:themeColor="text1"/>
          <w:sz w:val="16"/>
          <w:szCs w:val="16"/>
        </w:rPr>
      </w:pPr>
    </w:p>
    <w:p w14:paraId="52EBF8AD" w14:textId="77777777" w:rsidR="009104CE" w:rsidRPr="00925F26" w:rsidRDefault="009104CE" w:rsidP="00925F26">
      <w:pPr>
        <w:jc w:val="both"/>
        <w:rPr>
          <w:color w:val="000000" w:themeColor="text1"/>
          <w:sz w:val="16"/>
          <w:szCs w:val="16"/>
        </w:rPr>
      </w:pPr>
      <w:r w:rsidRPr="00925F26">
        <w:rPr>
          <w:color w:val="000000" w:themeColor="text1"/>
          <w:sz w:val="16"/>
          <w:szCs w:val="16"/>
        </w:rPr>
        <w:t>2 апреля 1945. По приглашению советского правительства в Москву прибыла председатель Британского комитета "Фонда помощи России" Клементина Черчилль, супруга премьер-министра Великобритании. На Центральном аэродроме ее встречали заместитель наркома иностранных дел Иван Майский и супруга В. М. Молотова - Жемчужина-Молотова (18688).</w:t>
      </w:r>
    </w:p>
    <w:p w14:paraId="41AFE548" w14:textId="77777777" w:rsidR="009104CE" w:rsidRPr="00925F26" w:rsidRDefault="009104CE" w:rsidP="00925F26">
      <w:pPr>
        <w:jc w:val="both"/>
        <w:rPr>
          <w:color w:val="000000" w:themeColor="text1"/>
          <w:sz w:val="16"/>
          <w:szCs w:val="16"/>
        </w:rPr>
      </w:pPr>
    </w:p>
    <w:p w14:paraId="13FBCC3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апреля 1945 вышло Постановление ГКО № 7970 [Об охране польско-чехословацкой границы силами НКВД.] (7320, 67-68).</w:t>
      </w:r>
    </w:p>
    <w:p w14:paraId="3DD6BB7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1E1A6E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апреля 1945 вышло Постановление ГКО № 7971 [Об охране президента и правительства Чехословакии силами НКВД.] (7320, 69).</w:t>
      </w:r>
    </w:p>
    <w:p w14:paraId="78CBF4D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37D5DC9" w14:textId="77777777" w:rsidR="004D5B9B" w:rsidRPr="00925F26" w:rsidRDefault="004D5B9B" w:rsidP="00925F26">
      <w:pPr>
        <w:jc w:val="both"/>
        <w:rPr>
          <w:color w:val="000000" w:themeColor="text1"/>
          <w:sz w:val="16"/>
          <w:szCs w:val="16"/>
        </w:rPr>
      </w:pPr>
      <w:r w:rsidRPr="00925F26">
        <w:rPr>
          <w:color w:val="000000" w:themeColor="text1"/>
          <w:sz w:val="16"/>
          <w:szCs w:val="16"/>
        </w:rPr>
        <w:t>2 апреля в 1945 году территории Западной Пруссии, Познани и Верхней Силезии, аннексированные Германией в 1939 году, возвращены Польше (15087).</w:t>
      </w:r>
    </w:p>
    <w:p w14:paraId="3B83B4F9" w14:textId="77777777" w:rsidR="004D5B9B" w:rsidRPr="00925F26" w:rsidRDefault="004D5B9B" w:rsidP="00925F26">
      <w:pPr>
        <w:jc w:val="both"/>
        <w:rPr>
          <w:color w:val="000000" w:themeColor="text1"/>
          <w:sz w:val="16"/>
          <w:szCs w:val="16"/>
        </w:rPr>
      </w:pPr>
    </w:p>
    <w:p w14:paraId="46C27CD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E3C096A" w14:textId="77777777" w:rsidR="00665165" w:rsidRPr="00925F26" w:rsidRDefault="00665165" w:rsidP="00925F26">
      <w:pPr>
        <w:autoSpaceDE w:val="0"/>
        <w:autoSpaceDN w:val="0"/>
        <w:adjustRightInd w:val="0"/>
        <w:jc w:val="both"/>
        <w:rPr>
          <w:iCs/>
          <w:color w:val="000000" w:themeColor="text1"/>
          <w:sz w:val="16"/>
          <w:szCs w:val="16"/>
        </w:rPr>
      </w:pPr>
    </w:p>
    <w:p w14:paraId="50420205" w14:textId="77777777" w:rsidR="004D5B9B" w:rsidRPr="00925F26" w:rsidRDefault="004D5B9B" w:rsidP="00925F26">
      <w:pPr>
        <w:jc w:val="both"/>
        <w:rPr>
          <w:color w:val="000000" w:themeColor="text1"/>
          <w:sz w:val="16"/>
          <w:szCs w:val="16"/>
        </w:rPr>
      </w:pPr>
      <w:r w:rsidRPr="00925F26">
        <w:rPr>
          <w:color w:val="000000" w:themeColor="text1"/>
          <w:sz w:val="16"/>
          <w:szCs w:val="16"/>
        </w:rPr>
        <w:t xml:space="preserve">2 апреля в 1945 году в воздух поднялся первый серийный английский истребитель </w:t>
      </w:r>
      <w:hyperlink r:id="rId91" w:tgtFrame="_blank" w:history="1">
        <w:r w:rsidRPr="00925F26">
          <w:rPr>
            <w:color w:val="000000" w:themeColor="text1"/>
            <w:sz w:val="16"/>
            <w:szCs w:val="16"/>
          </w:rPr>
          <w:t xml:space="preserve">"Спайтфул" 2RB515», </w:t>
        </w:r>
      </w:hyperlink>
      <w:r w:rsidRPr="00925F26">
        <w:rPr>
          <w:color w:val="000000" w:themeColor="text1"/>
          <w:sz w:val="16"/>
          <w:szCs w:val="16"/>
        </w:rPr>
        <w:t>поначалу, правда, как и его предшественники, с "неродным" хвостом. «RB515» оснастили хвостовой частью от «Spitfire 21», но уже в четвертом полете самолет щеголял хвостом по типу позднего NN664. В своем окончательном виде RB515, с двигателем «Griffon 69» и пятилопастным пропеллером, стал образцом для серийной модификации, получившей обозначение «Spiteful XIV» (15087).</w:t>
      </w:r>
    </w:p>
    <w:p w14:paraId="0F5463D8" w14:textId="77777777" w:rsidR="004D5B9B" w:rsidRPr="00925F26" w:rsidRDefault="004D5B9B" w:rsidP="00925F26">
      <w:pPr>
        <w:jc w:val="both"/>
        <w:rPr>
          <w:color w:val="000000" w:themeColor="text1"/>
          <w:sz w:val="16"/>
          <w:szCs w:val="16"/>
        </w:rPr>
      </w:pPr>
    </w:p>
    <w:p w14:paraId="338709C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апреля 1945 лидер нацистов Мартин Борман издал обращение “Победа или смерть” (4962).</w:t>
      </w:r>
    </w:p>
    <w:p w14:paraId="5E8E9C2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009C9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апреля 1945 в Италии союзные войска под командованием Александера начали наступление на север и продолжалось до конца апреля (3907,256).</w:t>
      </w:r>
    </w:p>
    <w:p w14:paraId="328AEA8F" w14:textId="77777777" w:rsidR="00665165" w:rsidRPr="00925F26" w:rsidRDefault="00665165" w:rsidP="00925F26">
      <w:pPr>
        <w:autoSpaceDE w:val="0"/>
        <w:autoSpaceDN w:val="0"/>
        <w:adjustRightInd w:val="0"/>
        <w:jc w:val="both"/>
        <w:rPr>
          <w:color w:val="000000" w:themeColor="text1"/>
          <w:sz w:val="16"/>
          <w:szCs w:val="16"/>
        </w:rPr>
      </w:pPr>
    </w:p>
    <w:p w14:paraId="16553B54" w14:textId="77777777" w:rsidR="00462C72" w:rsidRPr="00925F26" w:rsidRDefault="00462C72" w:rsidP="00925F26">
      <w:pPr>
        <w:jc w:val="both"/>
        <w:rPr>
          <w:color w:val="000000" w:themeColor="text1"/>
          <w:sz w:val="16"/>
          <w:szCs w:val="16"/>
        </w:rPr>
      </w:pPr>
      <w:r w:rsidRPr="00925F26">
        <w:rPr>
          <w:color w:val="000000" w:themeColor="text1"/>
          <w:sz w:val="16"/>
          <w:szCs w:val="16"/>
        </w:rPr>
        <w:t xml:space="preserve">2 апреля в 1945 году в конце 2-й мировой войны части 3-й американской армии прошли по Айзенахскому (Эйзенахскому проходу) к городу Хемниц. Этот горный проход на территории Германии между отрогами Везерских гор с севера и горами Тюрингенский лес с юга по долинам рек Херзель и Верра. Выводит из Тюрингии (города Эрфурт, Веймар) к Франкфуртскому промышленному району и далее в долину Верхнего Рейна. Начинается у города Айзенах и заканчивается у города </w:t>
      </w:r>
      <w:r w:rsidRPr="00925F26">
        <w:rPr>
          <w:color w:val="000000" w:themeColor="text1"/>
          <w:sz w:val="16"/>
          <w:szCs w:val="16"/>
        </w:rPr>
        <w:lastRenderedPageBreak/>
        <w:t>Боссероде. Во время Семилетней войны 1756-1763 по Айзенахскому проходу подошла к Лейпцигу франко-австрийская армия, но в Росбахском сражении 1757 г. была разбита прусской армией Фридриха II. В октябре 1813 по Айзенахскому проходу прошли союзные русско-прусские войска, преследуя остатки французской армии Наполеона, разбитой в Лейпцигском сражении 1813 г (15087).</w:t>
      </w:r>
    </w:p>
    <w:p w14:paraId="5ED1D503" w14:textId="77777777" w:rsidR="00462C72" w:rsidRPr="00925F26" w:rsidRDefault="00462C72" w:rsidP="00925F26">
      <w:pPr>
        <w:jc w:val="both"/>
        <w:rPr>
          <w:color w:val="000000" w:themeColor="text1"/>
          <w:sz w:val="16"/>
          <w:szCs w:val="16"/>
        </w:rPr>
      </w:pPr>
    </w:p>
    <w:p w14:paraId="32E5C994" w14:textId="77777777" w:rsidR="00462C72" w:rsidRPr="00925F26" w:rsidRDefault="00462C72" w:rsidP="00925F26">
      <w:pPr>
        <w:jc w:val="both"/>
        <w:rPr>
          <w:color w:val="000000" w:themeColor="text1"/>
          <w:sz w:val="16"/>
          <w:szCs w:val="16"/>
        </w:rPr>
      </w:pPr>
      <w:r w:rsidRPr="00925F26">
        <w:rPr>
          <w:color w:val="000000" w:themeColor="text1"/>
          <w:sz w:val="16"/>
          <w:szCs w:val="16"/>
        </w:rPr>
        <w:t>2 апреля в 1945 году лидер нацистов Мартин Борман издает обращение "Победа или смерть" (15087).</w:t>
      </w:r>
    </w:p>
    <w:p w14:paraId="3473056A" w14:textId="77777777" w:rsidR="00462C72" w:rsidRPr="00925F26" w:rsidRDefault="00462C72" w:rsidP="00925F26">
      <w:pPr>
        <w:jc w:val="both"/>
        <w:rPr>
          <w:color w:val="000000" w:themeColor="text1"/>
          <w:sz w:val="16"/>
          <w:szCs w:val="16"/>
        </w:rPr>
      </w:pPr>
    </w:p>
    <w:p w14:paraId="3BA3746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8B52C13" w14:textId="77777777" w:rsidR="00665165" w:rsidRPr="00925F26" w:rsidRDefault="00665165" w:rsidP="00925F26">
      <w:pPr>
        <w:autoSpaceDE w:val="0"/>
        <w:autoSpaceDN w:val="0"/>
        <w:adjustRightInd w:val="0"/>
        <w:jc w:val="both"/>
        <w:rPr>
          <w:iCs/>
          <w:color w:val="000000" w:themeColor="text1"/>
          <w:sz w:val="16"/>
          <w:szCs w:val="16"/>
        </w:rPr>
      </w:pPr>
    </w:p>
    <w:p w14:paraId="29687F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года вышел приказ № 124/199 НКАП и НК зерновых и животноводческих совхозов</w:t>
      </w:r>
    </w:p>
    <w:p w14:paraId="28E332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ГОКО от 21 февраля 1945 года № 7560/с:</w:t>
      </w:r>
    </w:p>
    <w:p w14:paraId="2F215D7C"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Передать НК зерновых и животноводческих совхозов здания и сооружения завода № 499 НКАП в с. Заводоуковка Тюменской области, а также часть оборудования (8963).</w:t>
      </w:r>
    </w:p>
    <w:p w14:paraId="2E0C248E"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22E332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вышло Распоряжение ГКО № 7977. О поставках водорода аэростатным частям КА. РГАНИР, Фонд ГКО, д. 387, лл. 75, 76-78 (11012).</w:t>
      </w:r>
    </w:p>
    <w:p w14:paraId="01154D51" w14:textId="77777777" w:rsidR="00665165" w:rsidRPr="00925F26" w:rsidRDefault="00665165" w:rsidP="00925F26">
      <w:pPr>
        <w:autoSpaceDE w:val="0"/>
        <w:autoSpaceDN w:val="0"/>
        <w:adjustRightInd w:val="0"/>
        <w:jc w:val="both"/>
        <w:rPr>
          <w:color w:val="000000" w:themeColor="text1"/>
          <w:sz w:val="16"/>
          <w:szCs w:val="16"/>
        </w:rPr>
      </w:pPr>
    </w:p>
    <w:p w14:paraId="2943D6B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A9136D3" w14:textId="77777777" w:rsidR="00665165" w:rsidRPr="00925F26" w:rsidRDefault="00665165" w:rsidP="00925F26">
      <w:pPr>
        <w:autoSpaceDE w:val="0"/>
        <w:autoSpaceDN w:val="0"/>
        <w:adjustRightInd w:val="0"/>
        <w:jc w:val="both"/>
        <w:rPr>
          <w:iCs/>
          <w:color w:val="000000" w:themeColor="text1"/>
          <w:sz w:val="16"/>
          <w:szCs w:val="16"/>
        </w:rPr>
      </w:pPr>
    </w:p>
    <w:p w14:paraId="1FF103CD"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3 апреля 1945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w:t>
      </w:r>
    </w:p>
    <w:p w14:paraId="7C2B81B5"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Прибывшая на НИБТ Полигон машина представляла собой типичный образец M4A2E8. Как и поздние M4A2(76)W, этот танк имел башню с новым люком заряжающего (меньшего размера и овальной формы). Ранее турель с зенитным пулемётом Browning M2HB ставилась на люке заряжающего, теперь появился вертлюг на корме башни, который, правда, не отличался особым удобством. Танк был вооружён орудием M1A2, которое отличалось от более раннего M1A1C наличием двухкамерного дульного тормоза. Из-за его установки пришлось увеличить массу противовеса, установленного на ограждении казённой части орудия. Изменилась система управления командира механизмом поворота башни.</w:t>
      </w:r>
    </w:p>
    <w:p w14:paraId="2C1C0816"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Наибольший интерес у испытателей вызвала новая ходовая часть. Её описание заняло пятую часть отчёта. За счёт того, что теперь использовалось по 6 сдвоенных опорных катков на борт, площадь контакта выросла, соответственно, снизилась нагрузка на опорные катки. Оценили советские испытатели и горизонтальное положение буферных пружин. Такое решение позволило уменьшить габариты тележки и помогло сделать подвеску более мягкой. Большим плюсом стало появление телескопических амортизаторов.</w:t>
      </w:r>
    </w:p>
    <w:p w14:paraId="4A6EF182"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Вместо 3 поддерживающих катков на борт М4 с новой подвеской имели их 5: 2 большого диаметра и 3 поменьше. Ленивцы стали похожими на увеличенные в диаметре опорные катки. Существенно изменился трак. Конструктивно он сильно отличался от тех, которые более 10 лет продвигались Гарри Ноксом. Кроме изменения конструкции, трак стал заметно шире. Это позволило уменьшить удельное давление на грунт с 0,98 до 0,714 кг/см2. Правда, траки предыдущей конструкции отличалась простотой соединения и разъединения. Новые траки с этой точки зрения были не такими удачными. Переделке подверглись и ведущие колёса: из-за более широких траков пришлось увеличить ширину ступицы.</w:t>
      </w:r>
    </w:p>
    <w:p w14:paraId="1D33E6F0"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Наибольший интерес у испытателей вызвало поведение ходовой части M4A2E8 на просёлочной дороге в условиях весенней распутицы. После переделки ходовой средняя скорость движения танка уменьшилась: если средняя скорость чистого движения у M4A2(76)W составила 19,8 км/ч, а техническая — 19,2 км/ч, у M4A2E8 те же показатели составили 18 и 17,4 км/ч соответственно. Неожиданностью это не стало: помимо немного увеличившейся боевой массы, снижение скорости объяснялось увеличением сопротивления перематыванию гусеницы. Ведь ширина трака M4A2(76)W составляла 420 мм, а у M4A2E8 он имел ширину 584 мм.</w:t>
      </w:r>
    </w:p>
    <w:p w14:paraId="6B2F4F70"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А вот с расходом топлива ситуация получилась противоположной. На 100 километров пути M4A2E8 расходовал 370 литров дизельного топлива, а M4A2(76)W — 410 литров. Расход уменьшился благодаря более высоким сцепным качествам новых гусеничных лент. Показатели расхода топлива превышали норму, указанную изготовителем, поскольку танки испытывались на сильно пересечённой местности. Но даже в таких условиях запас хода у танка с модернизированной ходовой частью увеличился со 135 до 150 километров.</w:t>
      </w:r>
    </w:p>
    <w:p w14:paraId="11077C1E"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Более широкие гусеницы, имевшие лучшие сцепные качества, улучшили и проходимость танка. Кроме того, за счёт более мягкой подвески механик-водитель мог не сбрасывать скорость там, где подвеска VVSS работала не так хорошо и пропускала удары. Это тоже хорошо повлияло на проходимость. А вот возможности буксировки техники у обоих танков оказались одинаковыми.</w:t>
      </w:r>
    </w:p>
    <w:p w14:paraId="67314B43"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Машина со старой ходовой частью вырывалась вперёд там, где дорожные условия оказывались менее тяжёлыми. У M4A2(76)W меньшими оказались минимальный радиус поворота и (на 3 метра) дистанция разгона с 0 до 30 км/ч.</w:t>
      </w:r>
    </w:p>
    <w:p w14:paraId="6921244D"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M4A2E8 выглядел увереннее на подъёмах и косогорах. Для M4A2(76)W предельный угол подъёма составлял 26 градусов, далее танку не хватало сцепления с грунтом. M4A2E8 смог пройти подъём крутизной 29,8 градусов, для преодоления более крутого склона уже не хватало мощности двигателя. При движении по косогорам для M4A2E8 предельный угол крена составил 30 градусов, у танка со старой ходовой частью этот показатель оказался на 2 градуса меньше.</w:t>
      </w:r>
    </w:p>
    <w:p w14:paraId="377A8B72"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ходе испытаний фиксировались поломки двигателей и коробок передач, которые являлись следствием некачественной сборки. А вот дефектов ходовой части, присущих M4A2(76)W, у M4A2E8 не наблюдалось. Надёжность элементов ходовой части, включая катки, заметно выросла, что и было главной задачей при разработке подвески HVSS. После пробега на 1064 километра износ ходовой части оказался незначительным, машина была пригодна к дальнейшей эксплуатации.</w:t>
      </w:r>
    </w:p>
    <w:p w14:paraId="73445659" w14:textId="77777777" w:rsidR="00117BE3" w:rsidRPr="00925F26" w:rsidRDefault="00117BE3"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Вердикт испытателей НИБТ Полигона в отношении M4A2E8 был положительным. Заметным недостатком было признано усложнение процесса соединения и разъединения гусениц. К слову, американцы тоже обратили внимание на эту особенность: именно сложность обслуживания стала основной причиной появления новых траков T80, которые позже сменили на T84 (17725).</w:t>
      </w:r>
    </w:p>
    <w:p w14:paraId="1FB18E8B" w14:textId="77777777" w:rsidR="00117BE3" w:rsidRPr="00925F26" w:rsidRDefault="00117BE3" w:rsidP="00925F26">
      <w:pPr>
        <w:jc w:val="both"/>
        <w:rPr>
          <w:rStyle w:val="107"/>
          <w:rFonts w:eastAsiaTheme="minorHAnsi"/>
          <w:color w:val="000000" w:themeColor="text1"/>
          <w:sz w:val="16"/>
          <w:szCs w:val="16"/>
        </w:rPr>
      </w:pPr>
    </w:p>
    <w:p w14:paraId="79B627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вышло Распоряжение ГКО № 7972. О возвращении заводу "Красный факел" НКМВ незавершенной надстройки дома №65 по Ленинградскому шоссе в Москве. РГАНИР, Фонд ГКО, д. 387, лл. 70 (11012).</w:t>
      </w:r>
    </w:p>
    <w:p w14:paraId="5C241A0E" w14:textId="77777777" w:rsidR="00665165" w:rsidRPr="00925F26" w:rsidRDefault="00665165" w:rsidP="00925F26">
      <w:pPr>
        <w:autoSpaceDE w:val="0"/>
        <w:autoSpaceDN w:val="0"/>
        <w:adjustRightInd w:val="0"/>
        <w:jc w:val="both"/>
        <w:rPr>
          <w:color w:val="000000" w:themeColor="text1"/>
          <w:sz w:val="16"/>
          <w:szCs w:val="16"/>
        </w:rPr>
      </w:pPr>
    </w:p>
    <w:p w14:paraId="7008841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апреля 1945 вышло Распоряжение ГКО № 7973 [О мерах по обеспечению углем речного флота и открытию навигации 1945 г.] (7320, 71).</w:t>
      </w:r>
    </w:p>
    <w:p w14:paraId="11C073F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2DD6A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апреля 1945 вышло Распоряжение ГКО № 7974 [О выделении бензина НКАТ РСФСР в апреле 1945 г. для обслуживания предприятий НКУП и НКстроя в Туле и Сталиногорске.] (7320, 72).</w:t>
      </w:r>
    </w:p>
    <w:p w14:paraId="3C8F705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5D4DC7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апреля 1945 вышло Распоряжение ГКО № 7975 [О зачете по фондам I кв. выделенного НКПС угля из госрезерва.] (7320, 73).</w:t>
      </w:r>
    </w:p>
    <w:p w14:paraId="321AC9E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C062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вышло Распоряжение ГКО № 7976. О зачете по фондам I кв. угля, выделенного НКЭС из госрезерва. РГАНИР, Фонд ГКО, д. 387, лл. 74 (11012).</w:t>
      </w:r>
    </w:p>
    <w:p w14:paraId="178B1DAD" w14:textId="77777777" w:rsidR="00665165" w:rsidRPr="00925F26" w:rsidRDefault="00665165" w:rsidP="00925F26">
      <w:pPr>
        <w:autoSpaceDE w:val="0"/>
        <w:autoSpaceDN w:val="0"/>
        <w:adjustRightInd w:val="0"/>
        <w:jc w:val="both"/>
        <w:rPr>
          <w:color w:val="000000" w:themeColor="text1"/>
          <w:sz w:val="16"/>
          <w:szCs w:val="16"/>
        </w:rPr>
      </w:pPr>
    </w:p>
    <w:p w14:paraId="4EFE21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вышло Постановление ГКО № 7978 Об изготовлении танковых противоминных тралов ПТ-3. РГАНИР, Фонд ГКО, д. 387, лл. 79-81, 82-83 (11012).</w:t>
      </w:r>
    </w:p>
    <w:p w14:paraId="065EF405" w14:textId="77777777" w:rsidR="00665165" w:rsidRPr="00925F26" w:rsidRDefault="00665165" w:rsidP="00925F26">
      <w:pPr>
        <w:autoSpaceDE w:val="0"/>
        <w:autoSpaceDN w:val="0"/>
        <w:adjustRightInd w:val="0"/>
        <w:jc w:val="both"/>
        <w:rPr>
          <w:color w:val="000000" w:themeColor="text1"/>
          <w:sz w:val="16"/>
          <w:szCs w:val="16"/>
        </w:rPr>
      </w:pPr>
    </w:p>
    <w:p w14:paraId="03C4153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апреля 1945 вышло Постановление ГКО № 7979 Об увеличении производства цемента на Грузинском цементном заводе Наркомстройматериалов СССР. (7320, 84-86,87).</w:t>
      </w:r>
    </w:p>
    <w:p w14:paraId="146DED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3EA0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вышло Постановление ГКО № 7988 О мерах по обеспечению КА шифровальной аппаратурой. РГАНИР, Фонд ГКО, д. 387, лл. 89-90 (11012).</w:t>
      </w:r>
    </w:p>
    <w:p w14:paraId="75AC8262" w14:textId="77777777" w:rsidR="00665165" w:rsidRPr="00925F26" w:rsidRDefault="00665165" w:rsidP="00925F26">
      <w:pPr>
        <w:autoSpaceDE w:val="0"/>
        <w:autoSpaceDN w:val="0"/>
        <w:adjustRightInd w:val="0"/>
        <w:jc w:val="both"/>
        <w:rPr>
          <w:color w:val="000000" w:themeColor="text1"/>
          <w:sz w:val="16"/>
          <w:szCs w:val="16"/>
        </w:rPr>
      </w:pPr>
    </w:p>
    <w:p w14:paraId="7612F19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апреля 1945 вышло № 7980 [Справка о выдаче мандатов № 7980-7987 уполномоченным Особого комитета при ГКО без указания фамилий.] (7320, 88).</w:t>
      </w:r>
    </w:p>
    <w:p w14:paraId="4FCB482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9B1A3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D489B7A" w14:textId="77777777" w:rsidR="00665165" w:rsidRPr="00925F26" w:rsidRDefault="00665165" w:rsidP="00925F26">
      <w:pPr>
        <w:autoSpaceDE w:val="0"/>
        <w:autoSpaceDN w:val="0"/>
        <w:adjustRightInd w:val="0"/>
        <w:jc w:val="both"/>
        <w:rPr>
          <w:iCs/>
          <w:color w:val="000000" w:themeColor="text1"/>
          <w:sz w:val="16"/>
          <w:szCs w:val="16"/>
        </w:rPr>
      </w:pPr>
    </w:p>
    <w:p w14:paraId="35814A59" w14:textId="77777777" w:rsidR="00A735C5" w:rsidRPr="00925F26" w:rsidRDefault="00A735C5" w:rsidP="00925F26">
      <w:pPr>
        <w:jc w:val="both"/>
        <w:rPr>
          <w:color w:val="000000" w:themeColor="text1"/>
          <w:sz w:val="16"/>
          <w:szCs w:val="16"/>
        </w:rPr>
      </w:pPr>
      <w:r w:rsidRPr="00925F26">
        <w:rPr>
          <w:bCs/>
          <w:color w:val="000000" w:themeColor="text1"/>
          <w:sz w:val="16"/>
          <w:szCs w:val="16"/>
        </w:rPr>
        <w:t>3 апреля</w:t>
      </w:r>
      <w:r w:rsidRPr="00925F26">
        <w:rPr>
          <w:color w:val="000000" w:themeColor="text1"/>
          <w:sz w:val="16"/>
          <w:szCs w:val="16"/>
        </w:rPr>
        <w:t xml:space="preserve"> в 1945 году оперативная сводка Совинформбюро:</w:t>
      </w:r>
    </w:p>
    <w:p w14:paraId="3C0E068F" w14:textId="77777777" w:rsidR="00A735C5" w:rsidRPr="00925F26" w:rsidRDefault="00A735C5" w:rsidP="00925F26">
      <w:pPr>
        <w:jc w:val="both"/>
        <w:rPr>
          <w:color w:val="000000" w:themeColor="text1"/>
          <w:sz w:val="16"/>
          <w:szCs w:val="16"/>
        </w:rPr>
      </w:pPr>
      <w:r w:rsidRPr="00925F26">
        <w:rPr>
          <w:color w:val="000000" w:themeColor="text1"/>
          <w:sz w:val="16"/>
          <w:szCs w:val="16"/>
        </w:rPr>
        <w:t>«В течение 3 апреля войска 2-го Белорусского фронта вели бои по уничтожению остатков окружённой группы немецких войск восточнее Гданьска и заняли населённые пункты Нойендорф, Клайнпленедорф, Зигескранц, Хойбуде, Кракауеркемпе, Кракау. За 1 и 2 апреля в этом районе взято в плен более 2.000 немецких солдат и офицеров.</w:t>
      </w:r>
    </w:p>
    <w:p w14:paraId="011E67B5" w14:textId="77777777" w:rsidR="00A735C5" w:rsidRPr="00925F26" w:rsidRDefault="00A735C5" w:rsidP="00925F26">
      <w:pPr>
        <w:jc w:val="both"/>
        <w:rPr>
          <w:color w:val="000000" w:themeColor="text1"/>
          <w:sz w:val="16"/>
          <w:szCs w:val="16"/>
        </w:rPr>
      </w:pPr>
      <w:r w:rsidRPr="00925F26">
        <w:rPr>
          <w:color w:val="000000" w:themeColor="text1"/>
          <w:sz w:val="16"/>
          <w:szCs w:val="16"/>
        </w:rPr>
        <w:t xml:space="preserve">Войска 2-го Украинского фронта, развивая наступление по южному берегу Дуная, к исходу 2 апреля овладели городом и важным узлом дорог Мадьяровар, а сегодня, 3 апреля, совместно с румынскими войсками с боями заняли город и железнодорожную станцию КРЕМНИЦА — сильный опорный пункт обороны немцев на южных </w:t>
      </w:r>
      <w:r w:rsidRPr="00925F26">
        <w:rPr>
          <w:color w:val="000000" w:themeColor="text1"/>
          <w:sz w:val="16"/>
          <w:szCs w:val="16"/>
        </w:rPr>
        <w:lastRenderedPageBreak/>
        <w:t>склонах хребта Велька Фатра. Также занято более 150 других населённых пунктов, среди которых крупные населённые пункты Шпаня Долина, Кунешов, Янова Легота, Великие Угерце, Жабокреки, Хинораны, Яцовце, Бойна, Драговце, Долны Крупо, Смоленице, Омпитал, Часта, Святой Юр, Прьевоз, Нарльбург, Киттзее, Лайтакертвельеш, Гаттендорф, Парндорф, Гольс, Подерсдорф и железнодорожные станции Хинораны, Радошина, Велки Костоланы, Болераз, Райка, Карльбург, Киттзее, Цурндорф, Гаттендорф. В боях за 2 апреля войска фронта взяли в плен свыше 11.000 солдат и офицеров противника.</w:t>
      </w:r>
    </w:p>
    <w:p w14:paraId="067D305F" w14:textId="77777777" w:rsidR="00A735C5" w:rsidRPr="00925F26" w:rsidRDefault="00A735C5" w:rsidP="00925F26">
      <w:pPr>
        <w:jc w:val="both"/>
        <w:rPr>
          <w:color w:val="000000" w:themeColor="text1"/>
          <w:sz w:val="16"/>
          <w:szCs w:val="16"/>
        </w:rPr>
      </w:pPr>
      <w:r w:rsidRPr="00925F26">
        <w:rPr>
          <w:color w:val="000000" w:themeColor="text1"/>
          <w:sz w:val="16"/>
          <w:szCs w:val="16"/>
        </w:rPr>
        <w:t>Войска 3-го Украинского фронта в результате наступления танковых соединений и пехоты овладели на территории Австрии промышленным городом и крупным железнодорожным узлом Винер Нойштадт и городами Эйзенштадт, Неункирхен, Глоггниц — важными опорными пунктами обороны немцев на подступах к Вене, а также заняли более 100 других населённых пунктов, в том числе крупные населённые пункты Оггау, Донерскирхен, Хоф, Поттендорф, Эбенфурт, Блюмау, Эбрейхсдорф, Миттерндорф, Фельм, Мюнхендорф, Трайскирхен, Мацендорф, Фишау, Вейкерсдорф. Одновременно западнее и юго-западнее озера Балатон войска фронта, наступая совместно с войсками болгарской армии, заняли более 80 населённых пунктов и среди них Себеборци, Мурска Собота, Баглад, Микефа, Варфельде, Баноксентдьердь, Бечехей, Коториба, Дольни Дубрава, В боях за 2 апреля войска фронта взяли в плен более 12.000 солдат</w:t>
      </w:r>
    </w:p>
    <w:p w14:paraId="0BB56709" w14:textId="77777777" w:rsidR="00A735C5" w:rsidRPr="00925F26" w:rsidRDefault="00A735C5" w:rsidP="00925F26">
      <w:pPr>
        <w:jc w:val="both"/>
        <w:rPr>
          <w:color w:val="000000" w:themeColor="text1"/>
          <w:sz w:val="16"/>
          <w:szCs w:val="16"/>
        </w:rPr>
      </w:pPr>
      <w:r w:rsidRPr="00925F26">
        <w:rPr>
          <w:color w:val="000000" w:themeColor="text1"/>
          <w:sz w:val="16"/>
          <w:szCs w:val="16"/>
        </w:rPr>
        <w:t>и офицеров противника и захватили следующие трофеи: самолётов — 30, танков и самоходных орудий — 71, бронетранспортёров — 27, полевых орудий — 124, пулемётов — 129, автомашин — 159, паровозов — 25, железнодорожных вагонов — 927, складов с боеприпасами, вооружением и продовольствием — 38.</w:t>
      </w:r>
    </w:p>
    <w:p w14:paraId="493E7DEC" w14:textId="77777777" w:rsidR="00A735C5" w:rsidRPr="00925F26" w:rsidRDefault="00A735C5"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произошло.</w:t>
      </w:r>
    </w:p>
    <w:p w14:paraId="7D71A366" w14:textId="77777777" w:rsidR="00A735C5" w:rsidRPr="00925F26" w:rsidRDefault="00A735C5" w:rsidP="00925F26">
      <w:pPr>
        <w:jc w:val="both"/>
        <w:rPr>
          <w:color w:val="000000" w:themeColor="text1"/>
          <w:sz w:val="16"/>
          <w:szCs w:val="16"/>
        </w:rPr>
      </w:pPr>
      <w:r w:rsidRPr="00925F26">
        <w:rPr>
          <w:color w:val="000000" w:themeColor="text1"/>
          <w:sz w:val="16"/>
          <w:szCs w:val="16"/>
        </w:rPr>
        <w:t>За 2 апреля на всех фронтах подбито и уничтожено 25 немецких танков и самоходных орудий. В воздушных боях и огнём зенитной артиллерии сбито 34 самолёта противника.</w:t>
      </w:r>
    </w:p>
    <w:p w14:paraId="0B967C37" w14:textId="77777777" w:rsidR="00A735C5" w:rsidRPr="00925F26" w:rsidRDefault="00A735C5" w:rsidP="00925F26">
      <w:pPr>
        <w:jc w:val="both"/>
        <w:rPr>
          <w:color w:val="000000" w:themeColor="text1"/>
          <w:sz w:val="16"/>
          <w:szCs w:val="16"/>
        </w:rPr>
      </w:pPr>
      <w:r w:rsidRPr="00925F26">
        <w:rPr>
          <w:color w:val="000000" w:themeColor="text1"/>
          <w:sz w:val="16"/>
          <w:szCs w:val="16"/>
        </w:rPr>
        <w:t>Войска 2-го Белорусского фронта восточнее Гданьска вели бои до ликвидации остатков окруженной группы немецких войск. Противник оказывает сильное огневое сопротивление и часто переходит в контратаки. Советские части, наступающие вдоль побережья Данцигской бухты, сломили вражеское сопротивление и овладели опорным пунктом Кракау. В результате ночной атаки гитлеровцы выбиты из сильно укреплённого посёлка Хойбуде. Пытаясь восстановить положение, немцы предприняли одну за другой девять контратак. Наши пехотинцы совместно с артиллеристами и танкистами отбили все вражеские контратаки и нанесши противнику тяжёлый урон. На поле боя осталось до 1.500 трупов немецких солдат и офицеров. Захвачено у немцев 20 танков и самоходных орудий, 12 бронетранспортёров, 90 полевых орудий, 12 складов с боеприпасами, продовольствием и военным имуществом.</w:t>
      </w:r>
    </w:p>
    <w:p w14:paraId="2727FCB5" w14:textId="77777777" w:rsidR="00A735C5" w:rsidRPr="00925F26" w:rsidRDefault="00A735C5" w:rsidP="00925F26">
      <w:pPr>
        <w:jc w:val="both"/>
        <w:rPr>
          <w:color w:val="000000" w:themeColor="text1"/>
          <w:sz w:val="16"/>
          <w:szCs w:val="16"/>
        </w:rPr>
      </w:pPr>
      <w:r w:rsidRPr="00925F26">
        <w:rPr>
          <w:color w:val="000000" w:themeColor="text1"/>
          <w:sz w:val="16"/>
          <w:szCs w:val="16"/>
        </w:rPr>
        <w:t>Наша авиация наносила бомбардировочно-штурмовые удары по скоплениям войск и техники противника. В Данцигской бухте потоплены два немецких транспорта.</w:t>
      </w:r>
    </w:p>
    <w:p w14:paraId="44168478" w14:textId="77777777" w:rsidR="00A735C5" w:rsidRPr="00925F26" w:rsidRDefault="00A735C5"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между Дунаем и озером Ферте (Нойзидлер-Зее). Противник, прикрывая подступы к Вене с юго-востока, сосредоточил на узком участке много танков, самоходных орудий и крупные силы пехоты. Наши танковые части и пехота стремительно продвинулись вперёд севернее и южнее города Мадьяровар и, соединившись, перерезали дороги Мадьяровар — Братислава и Медьяровар—Вена. Вражеская груша войск, действующая в районе Мадьяровара, оказалась в окружении. Ударами с востока, запада и севера наши войска овладели городом Мадьяровар — промышленным центром и важным узлом путей сообщения. Попавшая в «котёл» группа немецких войск разгромлена. Только в этом районе взято в плен более 4 тысяч солдат и офицеров противника. В Медьяроваре имеются машиностроительный, танковый заводы, крупный пороховой завод, завод стрелкового вооружения и другие предприятия. Развивая успех, наши войска продвинулись на 30 километров и вторглись на территорию Австрии. Занят крупный населённый пункт Киттзее, находящийся в 4 километрах южнее Братиславы.</w:t>
      </w:r>
    </w:p>
    <w:p w14:paraId="2EE4CBD5" w14:textId="77777777" w:rsidR="00A735C5" w:rsidRPr="00925F26" w:rsidRDefault="00A735C5" w:rsidP="00925F26">
      <w:pPr>
        <w:jc w:val="both"/>
        <w:rPr>
          <w:color w:val="000000" w:themeColor="text1"/>
          <w:sz w:val="16"/>
          <w:szCs w:val="16"/>
        </w:rPr>
      </w:pPr>
      <w:r w:rsidRPr="00925F26">
        <w:rPr>
          <w:color w:val="000000" w:themeColor="text1"/>
          <w:sz w:val="16"/>
          <w:szCs w:val="16"/>
        </w:rPr>
        <w:t>Войска фронта, действующие в полосе Карпат, продолжали с боями продвигаться вперед. Противник, используя выгодные рубежи, оказывал упорное сопротивление. Сегодня советские части, совместно с румынскими войсками, совершили обходный манёвр и ворвались в чехословацкий город Кремница. Разгромленный в уличных боях вражеский гарнизон в беспорядке отступил. Наши войска, овладевшие городом и железнодорожной станцией Кремница, захватили много трофеев и пленных.</w:t>
      </w:r>
    </w:p>
    <w:p w14:paraId="1A6C74DC" w14:textId="77777777" w:rsidR="00A735C5" w:rsidRPr="00925F26" w:rsidRDefault="00A735C5" w:rsidP="00925F26">
      <w:pPr>
        <w:jc w:val="both"/>
        <w:rPr>
          <w:color w:val="000000" w:themeColor="text1"/>
          <w:sz w:val="16"/>
          <w:szCs w:val="16"/>
        </w:rPr>
      </w:pPr>
      <w:r w:rsidRPr="00925F26">
        <w:rPr>
          <w:color w:val="000000" w:themeColor="text1"/>
          <w:sz w:val="16"/>
          <w:szCs w:val="16"/>
        </w:rPr>
        <w:t>На Братиславском направлении войска фронта, продвигаясь по восточным склонам гор Малые Карпаты, выбили немцев из селения Святой Юр, находящегося в 8 километрах к северо-востоку от Братиславы. Части, наступающие вдоль реки Малый Дунай, овладели населённым пунктом Прьевоз, расположенным в двух километрах восточнее Братиславы.</w:t>
      </w:r>
    </w:p>
    <w:p w14:paraId="4DCBE487" w14:textId="77777777" w:rsidR="00A735C5" w:rsidRPr="00925F26" w:rsidRDefault="00A735C5" w:rsidP="00925F26">
      <w:pPr>
        <w:jc w:val="both"/>
        <w:rPr>
          <w:color w:val="000000" w:themeColor="text1"/>
          <w:sz w:val="16"/>
          <w:szCs w:val="16"/>
        </w:rPr>
      </w:pPr>
      <w:r w:rsidRPr="00925F26">
        <w:rPr>
          <w:color w:val="000000" w:themeColor="text1"/>
          <w:sz w:val="16"/>
          <w:szCs w:val="16"/>
        </w:rPr>
        <w:t>Войска 3-го Украинского фронта продолжали успешное наступление. Советские пехотинцы и танкисты вышли к реке Лайта северо-восточнее города Винер Нойштадт. На рубеже этой реки противник построил сильно укреплённый оборонительный рубеж. Немцы отчаянию сопротивлялись, стремясь не допустить прорыва советских войск на ближние подступы к Вене. В результате ожесточённых боёв наши части переправились через реку Лайту, овладели узлом железных дорог Эбенфурт и, продвигаясь вперёд, перерезали железные и шоссейные дороги, идущие из Винер Нойштадта к Вене. Тем временем другие наши части, продвигаясь на запад, заняли города Глоггнитц и Неункирхен. Таким образом, немецкие войска, находившиеся в районе Винер Нойштадта, оказались в полуокружении. Не давая врагу опомниться и организовать оборону города, советские части стремительными ударами с трех сторон ворвались в Винер Нойштадт и овладели им. Захвачены огромные трофеи и много пленных. Винер Нойштадт — важнейший промышленный центр Австрии. В нём имеются крупные авиационные, автомобильные, паровозо-вагоностроительные заводы и много других предприятий. Преодолев на широком фронте оборонительную полосу немцев за рекой Лайта, наши войска с боями продвигаются к австрийской столице.</w:t>
      </w:r>
    </w:p>
    <w:p w14:paraId="220AE942" w14:textId="77777777" w:rsidR="00A735C5" w:rsidRPr="00925F26" w:rsidRDefault="00A735C5" w:rsidP="00925F26">
      <w:pPr>
        <w:jc w:val="both"/>
        <w:rPr>
          <w:color w:val="000000" w:themeColor="text1"/>
          <w:sz w:val="16"/>
          <w:szCs w:val="16"/>
        </w:rPr>
      </w:pPr>
      <w:r w:rsidRPr="00925F26">
        <w:rPr>
          <w:color w:val="000000" w:themeColor="text1"/>
          <w:sz w:val="16"/>
          <w:szCs w:val="16"/>
        </w:rPr>
        <w:t>Авиация Северного флота потопила в Баренцевом море подводную лодку противника.» (15088).</w:t>
      </w:r>
    </w:p>
    <w:p w14:paraId="17A35721" w14:textId="77777777" w:rsidR="00A735C5" w:rsidRPr="00925F26" w:rsidRDefault="00A735C5" w:rsidP="00925F26">
      <w:pPr>
        <w:jc w:val="both"/>
        <w:rPr>
          <w:color w:val="000000" w:themeColor="text1"/>
          <w:sz w:val="16"/>
          <w:szCs w:val="16"/>
        </w:rPr>
      </w:pPr>
    </w:p>
    <w:p w14:paraId="705251C5" w14:textId="77777777" w:rsidR="00A735C5" w:rsidRPr="00925F26" w:rsidRDefault="00A735C5" w:rsidP="00925F26">
      <w:pPr>
        <w:jc w:val="both"/>
        <w:rPr>
          <w:color w:val="000000" w:themeColor="text1"/>
          <w:sz w:val="16"/>
          <w:szCs w:val="16"/>
        </w:rPr>
      </w:pPr>
      <w:r w:rsidRPr="00925F26">
        <w:rPr>
          <w:bCs/>
          <w:color w:val="000000" w:themeColor="text1"/>
          <w:sz w:val="16"/>
          <w:szCs w:val="16"/>
        </w:rPr>
        <w:t>3 апреля</w:t>
      </w:r>
      <w:r w:rsidRPr="00925F26">
        <w:rPr>
          <w:color w:val="000000" w:themeColor="text1"/>
          <w:sz w:val="16"/>
          <w:szCs w:val="16"/>
        </w:rPr>
        <w:t xml:space="preserve"> в 1945 году войска 2-го Украинского фронта с участием 4-й румынской армии заняли Кремницу (15088).</w:t>
      </w:r>
    </w:p>
    <w:p w14:paraId="2117E908" w14:textId="77777777" w:rsidR="00A735C5" w:rsidRPr="00925F26" w:rsidRDefault="00A735C5" w:rsidP="00925F26">
      <w:pPr>
        <w:jc w:val="both"/>
        <w:rPr>
          <w:color w:val="000000" w:themeColor="text1"/>
          <w:sz w:val="16"/>
          <w:szCs w:val="16"/>
        </w:rPr>
      </w:pPr>
    </w:p>
    <w:p w14:paraId="2D53922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3rd, 1945: In the East, while the siege of Breslau in Silesia continues, the Red Army captures Bratislava, capital of Slovakia. In the West, units of the British Second Army (Dempsey) reach Munster; the US Ninth Army captures Recklinghausen in the Ruhr, while the US First Army (Hodges) takes Fulda and Kassel (3819).</w:t>
      </w:r>
    </w:p>
    <w:p w14:paraId="7A19B4A1" w14:textId="77777777" w:rsidR="00665165" w:rsidRPr="00925F26" w:rsidRDefault="00665165" w:rsidP="00925F26">
      <w:pPr>
        <w:autoSpaceDE w:val="0"/>
        <w:autoSpaceDN w:val="0"/>
        <w:adjustRightInd w:val="0"/>
        <w:jc w:val="both"/>
        <w:rPr>
          <w:color w:val="000000" w:themeColor="text1"/>
          <w:sz w:val="16"/>
          <w:szCs w:val="16"/>
          <w:lang w:val="en-US"/>
        </w:rPr>
      </w:pPr>
    </w:p>
    <w:p w14:paraId="473390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КА заняла Братиславу. Британская 2А (Демпсей) достигла Мюнстера, 9А США захватила Реклингхаузена в Руре, 1А США взяла Фульду и Кассель (3819).</w:t>
      </w:r>
    </w:p>
    <w:p w14:paraId="204DB6D7" w14:textId="77777777" w:rsidR="00665165" w:rsidRPr="00925F26" w:rsidRDefault="00665165" w:rsidP="00925F26">
      <w:pPr>
        <w:autoSpaceDE w:val="0"/>
        <w:autoSpaceDN w:val="0"/>
        <w:adjustRightInd w:val="0"/>
        <w:jc w:val="both"/>
        <w:rPr>
          <w:color w:val="000000" w:themeColor="text1"/>
          <w:sz w:val="16"/>
          <w:szCs w:val="16"/>
        </w:rPr>
      </w:pPr>
    </w:p>
    <w:p w14:paraId="606C1EC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EE5E634" w14:textId="77777777" w:rsidR="00665165" w:rsidRPr="00925F26" w:rsidRDefault="00665165" w:rsidP="00925F26">
      <w:pPr>
        <w:autoSpaceDE w:val="0"/>
        <w:autoSpaceDN w:val="0"/>
        <w:adjustRightInd w:val="0"/>
        <w:jc w:val="both"/>
        <w:rPr>
          <w:iCs/>
          <w:color w:val="000000" w:themeColor="text1"/>
          <w:sz w:val="16"/>
          <w:szCs w:val="16"/>
        </w:rPr>
      </w:pPr>
    </w:p>
    <w:p w14:paraId="44BD22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президент Чехословакии Э.Бенеш после возвращения из Лондона через Москву в Кошице образовал Временное правительство с социалистом З.Ферлингером во главе на посту премьер-министра и Я.Массарика в качестве МИД и коммунистом В.Носеком в должности МВД (3907,256).</w:t>
      </w:r>
    </w:p>
    <w:p w14:paraId="26F17CE5" w14:textId="77777777" w:rsidR="00665165" w:rsidRPr="00925F26" w:rsidRDefault="00665165" w:rsidP="00925F26">
      <w:pPr>
        <w:autoSpaceDE w:val="0"/>
        <w:autoSpaceDN w:val="0"/>
        <w:adjustRightInd w:val="0"/>
        <w:jc w:val="both"/>
        <w:rPr>
          <w:color w:val="000000" w:themeColor="text1"/>
          <w:sz w:val="16"/>
          <w:szCs w:val="16"/>
        </w:rPr>
      </w:pPr>
    </w:p>
    <w:p w14:paraId="195129C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апреля 1945 в Кошице (Словакия) сформировано просоветское правительство Чехословакии (4962).</w:t>
      </w:r>
    </w:p>
    <w:p w14:paraId="59BC367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482738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B961ADE" w14:textId="77777777" w:rsidR="00665165" w:rsidRPr="00925F26" w:rsidRDefault="00665165" w:rsidP="00925F26">
      <w:pPr>
        <w:autoSpaceDE w:val="0"/>
        <w:autoSpaceDN w:val="0"/>
        <w:adjustRightInd w:val="0"/>
        <w:jc w:val="both"/>
        <w:rPr>
          <w:iCs/>
          <w:color w:val="000000" w:themeColor="text1"/>
          <w:sz w:val="16"/>
          <w:szCs w:val="16"/>
        </w:rPr>
      </w:pPr>
    </w:p>
    <w:p w14:paraId="08918BEC" w14:textId="77777777" w:rsidR="00A735C5" w:rsidRPr="00925F26" w:rsidRDefault="00A735C5" w:rsidP="00925F26">
      <w:pPr>
        <w:jc w:val="both"/>
        <w:rPr>
          <w:color w:val="000000" w:themeColor="text1"/>
          <w:sz w:val="16"/>
          <w:szCs w:val="16"/>
        </w:rPr>
      </w:pPr>
      <w:r w:rsidRPr="00925F26">
        <w:rPr>
          <w:bCs/>
          <w:color w:val="000000" w:themeColor="text1"/>
          <w:sz w:val="16"/>
          <w:szCs w:val="16"/>
        </w:rPr>
        <w:t>3 апреля</w:t>
      </w:r>
      <w:r w:rsidRPr="00925F26">
        <w:rPr>
          <w:color w:val="000000" w:themeColor="text1"/>
          <w:sz w:val="16"/>
          <w:szCs w:val="16"/>
        </w:rPr>
        <w:t xml:space="preserve"> в 1945 году бортовым стрелком «Do.24» был сбит последний потерянный шведами во Второй Мировой войне самолет – </w:t>
      </w:r>
      <w:hyperlink r:id="rId92" w:tgtFrame="_blank" w:history="1">
        <w:r w:rsidRPr="00925F26">
          <w:rPr>
            <w:color w:val="000000" w:themeColor="text1"/>
            <w:sz w:val="16"/>
            <w:szCs w:val="16"/>
          </w:rPr>
          <w:t xml:space="preserve">«Re.2000» </w:t>
        </w:r>
      </w:hyperlink>
      <w:r w:rsidRPr="00925F26">
        <w:rPr>
          <w:color w:val="000000" w:themeColor="text1"/>
          <w:sz w:val="16"/>
          <w:szCs w:val="16"/>
        </w:rPr>
        <w:t>(№2331), когда перехватчик попытался эскортировать его к ближайшему аэродрому. Истребители «Re.2000</w:t>
      </w:r>
      <w:proofErr w:type="gramStart"/>
      <w:r w:rsidRPr="00925F26">
        <w:rPr>
          <w:color w:val="000000" w:themeColor="text1"/>
          <w:sz w:val="16"/>
          <w:szCs w:val="16"/>
        </w:rPr>
        <w:t>» ,</w:t>
      </w:r>
      <w:proofErr w:type="gramEnd"/>
      <w:r w:rsidRPr="00925F26">
        <w:rPr>
          <w:color w:val="000000" w:themeColor="text1"/>
          <w:sz w:val="16"/>
          <w:szCs w:val="16"/>
        </w:rPr>
        <w:t xml:space="preserve"> полученные Швецией, обозначались «J-20» (15088).</w:t>
      </w:r>
    </w:p>
    <w:p w14:paraId="52B184F8" w14:textId="77777777" w:rsidR="00A735C5" w:rsidRPr="00925F26" w:rsidRDefault="00A735C5" w:rsidP="00925F26">
      <w:pPr>
        <w:jc w:val="both"/>
        <w:rPr>
          <w:color w:val="000000" w:themeColor="text1"/>
          <w:sz w:val="16"/>
          <w:szCs w:val="16"/>
        </w:rPr>
      </w:pPr>
    </w:p>
    <w:p w14:paraId="7F470CAF" w14:textId="77777777" w:rsidR="00A735C5" w:rsidRPr="00925F26" w:rsidRDefault="00A735C5" w:rsidP="00925F26">
      <w:pPr>
        <w:jc w:val="both"/>
        <w:rPr>
          <w:color w:val="000000" w:themeColor="text1"/>
          <w:sz w:val="16"/>
          <w:szCs w:val="16"/>
        </w:rPr>
      </w:pPr>
      <w:r w:rsidRPr="00925F26">
        <w:rPr>
          <w:bCs/>
          <w:color w:val="000000" w:themeColor="text1"/>
          <w:sz w:val="16"/>
          <w:szCs w:val="16"/>
        </w:rPr>
        <w:t>3 апреля</w:t>
      </w:r>
      <w:r w:rsidRPr="00925F26">
        <w:rPr>
          <w:color w:val="000000" w:themeColor="text1"/>
          <w:sz w:val="16"/>
          <w:szCs w:val="16"/>
        </w:rPr>
        <w:t xml:space="preserve"> в 1945 году английские войска вступили в Мюнстер (15088).</w:t>
      </w:r>
    </w:p>
    <w:p w14:paraId="63BE99AC" w14:textId="77777777" w:rsidR="00A735C5" w:rsidRPr="00925F26" w:rsidRDefault="00A735C5" w:rsidP="00925F26">
      <w:pPr>
        <w:jc w:val="both"/>
        <w:rPr>
          <w:color w:val="000000" w:themeColor="text1"/>
          <w:sz w:val="16"/>
          <w:szCs w:val="16"/>
        </w:rPr>
      </w:pPr>
    </w:p>
    <w:p w14:paraId="221A3E51" w14:textId="77777777" w:rsidR="00A735C5" w:rsidRPr="00925F26" w:rsidRDefault="00A735C5" w:rsidP="00925F26">
      <w:pPr>
        <w:jc w:val="both"/>
        <w:rPr>
          <w:color w:val="000000" w:themeColor="text1"/>
          <w:sz w:val="16"/>
          <w:szCs w:val="16"/>
        </w:rPr>
      </w:pPr>
      <w:r w:rsidRPr="00925F26">
        <w:rPr>
          <w:bCs/>
          <w:color w:val="000000" w:themeColor="text1"/>
          <w:sz w:val="16"/>
          <w:szCs w:val="16"/>
        </w:rPr>
        <w:t>3 апреля</w:t>
      </w:r>
      <w:r w:rsidRPr="00925F26">
        <w:rPr>
          <w:color w:val="000000" w:themeColor="text1"/>
          <w:sz w:val="16"/>
          <w:szCs w:val="16"/>
        </w:rPr>
        <w:t xml:space="preserve"> в 1945 году французские войска овладели Карлсруэ (15088).</w:t>
      </w:r>
    </w:p>
    <w:p w14:paraId="63D5734E" w14:textId="77777777" w:rsidR="00A735C5" w:rsidRPr="00925F26" w:rsidRDefault="00A735C5" w:rsidP="00925F26">
      <w:pPr>
        <w:jc w:val="both"/>
        <w:rPr>
          <w:color w:val="000000" w:themeColor="text1"/>
          <w:sz w:val="16"/>
          <w:szCs w:val="16"/>
        </w:rPr>
      </w:pPr>
    </w:p>
    <w:p w14:paraId="0EB554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апреля 1945 группенфюрер СС Ганс Каммлер, который только что переправил из Гааги в Германию последние ракетные подразделения, прекратившие боевые действия, получил приказ Гиммлера немедленно эвакуировать руководящие кадры «оружия возмездия» в Альпийскую крепость.</w:t>
      </w:r>
    </w:p>
    <w:p w14:paraId="5D87B6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Перед эвакуацией эсэсовцы вывели из строя все оборудование завода, которое нельзя было вывезти, и уничтожили свыше 30 тысяч работавших там заключенных. Немецкие конструкторы и проектировщики эвакуировались в Баварию, в район стыка границ Австрии, Германии и Швейцарии, и провели там несколько тревожных недель. Наконец, когда стало ясно, что все окружающие районы заняты американскими войсками, Магнус фон Браун, младший брат Вернера, был послан отыскать кого-либо из американцев, кому персонал исследовательского ракетного центра мог сдаться официально (11688).</w:t>
      </w:r>
    </w:p>
    <w:p w14:paraId="3A7330BD" w14:textId="77777777" w:rsidR="00665165" w:rsidRPr="00925F26" w:rsidRDefault="00665165" w:rsidP="00925F26">
      <w:pPr>
        <w:autoSpaceDE w:val="0"/>
        <w:autoSpaceDN w:val="0"/>
        <w:adjustRightInd w:val="0"/>
        <w:jc w:val="both"/>
        <w:rPr>
          <w:color w:val="000000" w:themeColor="text1"/>
          <w:sz w:val="16"/>
          <w:szCs w:val="16"/>
        </w:rPr>
      </w:pPr>
    </w:p>
    <w:p w14:paraId="22C2CAC4" w14:textId="77777777" w:rsidR="00926977" w:rsidRPr="00925F26" w:rsidRDefault="00926977" w:rsidP="00925F26">
      <w:pPr>
        <w:jc w:val="both"/>
        <w:rPr>
          <w:color w:val="000000" w:themeColor="text1"/>
          <w:sz w:val="16"/>
          <w:szCs w:val="16"/>
        </w:rPr>
      </w:pPr>
      <w:r w:rsidRPr="00925F26">
        <w:rPr>
          <w:color w:val="000000" w:themeColor="text1"/>
          <w:sz w:val="16"/>
          <w:szCs w:val="16"/>
        </w:rPr>
        <w:t>3 апреля 1945 последовал новый приказ Каммлера: перебросить наиболее ценных сотрудников на юг Германии, в Баварию. Дорнбергер лично отобрал 500 человек и  отправил их поездом в  город Гармиш-Партенкирхен, расположенный неподалеку от границы с  Австрией (здесь проходили зимние Олимпийские игры 1936 года). Их расселили в окрестных деревнях и маленьких городках. А сам Дорнбергер вместе с  Брауном и  другими руководителями разработок поселились в  небольшой гостинице в  деревне Оберйох (Oberjoch), на стыке границ Германии, Австрии и Швейцарии. Здесь они 3 мая сдались американцам (23372).</w:t>
      </w:r>
    </w:p>
    <w:p w14:paraId="25E9792D" w14:textId="77777777" w:rsidR="00926977" w:rsidRPr="00925F26" w:rsidRDefault="00926977" w:rsidP="00925F26">
      <w:pPr>
        <w:jc w:val="both"/>
        <w:rPr>
          <w:color w:val="000000" w:themeColor="text1"/>
          <w:sz w:val="16"/>
          <w:szCs w:val="16"/>
        </w:rPr>
      </w:pPr>
    </w:p>
    <w:p w14:paraId="7021A39D" w14:textId="77777777" w:rsidR="00A735C5" w:rsidRPr="00925F26" w:rsidRDefault="00A735C5" w:rsidP="00925F26">
      <w:pPr>
        <w:jc w:val="both"/>
        <w:rPr>
          <w:color w:val="000000" w:themeColor="text1"/>
          <w:sz w:val="16"/>
          <w:szCs w:val="16"/>
        </w:rPr>
      </w:pPr>
      <w:r w:rsidRPr="00925F26">
        <w:rPr>
          <w:bCs/>
          <w:color w:val="000000" w:themeColor="text1"/>
          <w:sz w:val="16"/>
          <w:szCs w:val="16"/>
        </w:rPr>
        <w:t>3 апреля</w:t>
      </w:r>
      <w:r w:rsidRPr="00925F26">
        <w:rPr>
          <w:color w:val="000000" w:themeColor="text1"/>
          <w:sz w:val="16"/>
          <w:szCs w:val="16"/>
        </w:rPr>
        <w:t xml:space="preserve"> в 1945 году президент Чехославакии Эдуард Бенеш вернулся их эмиграции в Чехословакию (15088).</w:t>
      </w:r>
    </w:p>
    <w:p w14:paraId="558EBFE3" w14:textId="77777777" w:rsidR="00A735C5" w:rsidRPr="00925F26" w:rsidRDefault="00A735C5" w:rsidP="00925F26">
      <w:pPr>
        <w:jc w:val="both"/>
        <w:rPr>
          <w:color w:val="000000" w:themeColor="text1"/>
          <w:sz w:val="16"/>
          <w:szCs w:val="16"/>
        </w:rPr>
      </w:pPr>
    </w:p>
    <w:p w14:paraId="6064390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Авиапромышленность:</w:t>
      </w:r>
    </w:p>
    <w:p w14:paraId="7FEDED3B" w14:textId="77777777" w:rsidR="00665165" w:rsidRPr="00925F26" w:rsidRDefault="00665165" w:rsidP="00925F26">
      <w:pPr>
        <w:autoSpaceDE w:val="0"/>
        <w:autoSpaceDN w:val="0"/>
        <w:adjustRightInd w:val="0"/>
        <w:jc w:val="both"/>
        <w:rPr>
          <w:iCs/>
          <w:color w:val="000000" w:themeColor="text1"/>
          <w:sz w:val="16"/>
          <w:szCs w:val="16"/>
        </w:rPr>
      </w:pPr>
    </w:p>
    <w:p w14:paraId="65B2E9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года Шахурин писал письмо N Н-32/1651 командующему ВВС гл. маршалу авиации Новикову А.А.</w:t>
      </w:r>
    </w:p>
    <w:p w14:paraId="1BA6FB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переоборудования самолетов Пе-8 в пассажирский вариант, прошу Вашего приказания командующему 18 ВА о срочной передаче, вместо ранее выделенных 2-х самолетов Пе-8 с 4-мя дизель-моторами АЧ-30Б, двух исправных самолетов Пе-8 с четырьмя моторами АШ-82 (1879).</w:t>
      </w:r>
    </w:p>
    <w:p w14:paraId="701A56A8" w14:textId="77777777" w:rsidR="00665165" w:rsidRPr="00925F26" w:rsidRDefault="00665165" w:rsidP="00925F26">
      <w:pPr>
        <w:autoSpaceDE w:val="0"/>
        <w:autoSpaceDN w:val="0"/>
        <w:adjustRightInd w:val="0"/>
        <w:jc w:val="both"/>
        <w:rPr>
          <w:color w:val="000000" w:themeColor="text1"/>
          <w:sz w:val="16"/>
          <w:szCs w:val="16"/>
        </w:rPr>
      </w:pPr>
    </w:p>
    <w:p w14:paraId="3D7B5C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закончились совместно с НИИ ВВС доводочные испытания СДБ А.Н.Т. 63/2 - второго опытного с 2АМ-39Ф, которые шли с 29 ноября 1944. Он проектировался и строился на основе агрегатов серийной машины Ту-2, но был фактически новой машиной. Экипаж увеличили до 3 чел. (1835,57).</w:t>
      </w:r>
    </w:p>
    <w:p w14:paraId="40948827" w14:textId="77777777" w:rsidR="00665165" w:rsidRPr="00925F26" w:rsidRDefault="00665165" w:rsidP="00925F26">
      <w:pPr>
        <w:autoSpaceDE w:val="0"/>
        <w:autoSpaceDN w:val="0"/>
        <w:adjustRightInd w:val="0"/>
        <w:jc w:val="both"/>
        <w:rPr>
          <w:color w:val="000000" w:themeColor="text1"/>
          <w:sz w:val="16"/>
          <w:szCs w:val="16"/>
        </w:rPr>
      </w:pPr>
    </w:p>
    <w:p w14:paraId="1D3804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4 апреля 1945 из 169 Ер-2, которых перегоняли из Иркутска в Москву, 14 нуждались в замене моторов, 6 - их ремонте, 9 совершали вынужденную посадку на трассе (2965,10).</w:t>
      </w:r>
    </w:p>
    <w:p w14:paraId="09119585" w14:textId="77777777" w:rsidR="00665165" w:rsidRPr="00925F26" w:rsidRDefault="00665165" w:rsidP="00925F26">
      <w:pPr>
        <w:autoSpaceDE w:val="0"/>
        <w:autoSpaceDN w:val="0"/>
        <w:adjustRightInd w:val="0"/>
        <w:jc w:val="both"/>
        <w:rPr>
          <w:color w:val="000000" w:themeColor="text1"/>
          <w:sz w:val="16"/>
          <w:szCs w:val="16"/>
        </w:rPr>
      </w:pPr>
    </w:p>
    <w:p w14:paraId="02A1BB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ГИ ВВС гиас А.E.Репиным был утвержден акт по специальным испытаниям серийного Ла-7 N 381021158 производства завода № 21 с улучшенной герметизацией вентиляции кабины, которые проводились с 19 по 23 марта 1945</w:t>
      </w:r>
    </w:p>
    <w:p w14:paraId="11AF63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 В.М.Алексеенко</w:t>
      </w:r>
    </w:p>
    <w:p w14:paraId="1086E5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ик Д.Г.Пикуленко</w:t>
      </w:r>
    </w:p>
    <w:p w14:paraId="221C95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Высокая температура воздуха в кабине пилота имеет место на с-те Ла-7 начиная с первых серий. Этот существенный дефект с-та Ла-5 перешел к с-ту Ла-7.</w:t>
      </w:r>
    </w:p>
    <w:p w14:paraId="3DA83E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испытаниях Ла-5ФН № 39210104 первой серии производства завода № 21 выпуска мая 1943 была зарегистрирована температура 65-70 гр и отмечено попадание в кабину отработанных газов. В кабине было душно и жарко, что чрезвычайно утомляло л и понижало его боеспособность. На с-та № 3919121 была прорезана вентиляционная щель в нижней части окантовки переднего стекла козырька кабины в августе 1944.</w:t>
      </w:r>
    </w:p>
    <w:p w14:paraId="7A6F0D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с-те Ла-7 № 45210203 выпуска июля 1944 при испытании в НИИ ВВС в сентябре 1944 была зарегистрирована температу ра воздуха в кабине 55 гр. Л в своих донесениях писали, что высокая температура + с ней присутствие в нем гари и резины быстро вызывают усталость (в полете неисключена потеря сознания).</w:t>
      </w:r>
    </w:p>
    <w:p w14:paraId="11555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недостатки герметизации и вентиляции:</w:t>
      </w:r>
    </w:p>
    <w:p w14:paraId="130241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герметизирующие металлические перегородки являются теплопроницаемыми, вентиляция кабины неэффективна.</w:t>
      </w:r>
    </w:p>
    <w:p w14:paraId="589A2F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высокой температуры в кабине и проникновения в нее вредных газов на с-те Ла-5 и Ла-7 по сведениям из строевых частей, былти случаи угорания летчиков в полете. Так, например:</w:t>
      </w:r>
    </w:p>
    <w:p w14:paraId="2E0B8A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августа 1944 при перелете из р-на Качи в Чугуев после посадки потерял сознание к-р 863 ИАП м Колесников вследствие угара.</w:t>
      </w:r>
    </w:p>
    <w:p w14:paraId="0BDC3B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сентября 1944 инструктор-л ГУБП ФА м Полоз и п/п Сапрунов перелетев на с-тах Ла-7 из Москвы в Харьков после посадки почувствовали себя угоревшими.</w:t>
      </w:r>
    </w:p>
    <w:p w14:paraId="1AD4FC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февраля 1945 в 143 ЗАП (аэродром Клоково) на с-та Ла-5ФН пилотируемом мл Черновым после 45 минут полета произошла катастрофа в рез-те. В результате вскрыти л-ка и спекторскопического анализа в крови, взятой из трупа, была обнаружена окись углерода.</w:t>
      </w:r>
    </w:p>
    <w:p w14:paraId="77E714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приказам Командующего ВВС КА гма Новикова в ГК НИИ ВВС КА в октябре 1944 были проведены специальные исследования с-тов Ла-5 и ла-7 на определение степени загрязнения воздуха в кабине вреднями для дыхания л примесями и исследование температурного режима кабины.</w:t>
      </w:r>
    </w:p>
    <w:p w14:paraId="77021C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по результатам испытпаний было отмечено, что основным фактором, обуславлливающим ухудшение самочувствия л и понижающим его работоспособность при полете на с-тах Ла-5 и ла-7, является недопустимо высокая литература воздуха в кабине (средняя температура была около 50 гр.).</w:t>
      </w:r>
    </w:p>
    <w:p w14:paraId="270459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Внедрение на серийных с-тах Ла-7 вентиляции кабины с разветвленными в кабине отростками заборной трубы (3-х и 2-х рожковая вентиляция), разработанной заводом № 381 в середине 1944, к существенному сниженпию температуры и улучшению вентиляции кабины не привела.</w:t>
      </w:r>
    </w:p>
    <w:p w14:paraId="6CDB8E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 ГСТ С.А.Л. в феврале 1945 разработана и осуществлена на предъявленном с-те новая герметизация и система вентиляции кабины, направленная на снижение в ней температуры воздуха.</w:t>
      </w:r>
    </w:p>
    <w:p w14:paraId="3DFEF2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 испытаний:</w:t>
      </w:r>
    </w:p>
    <w:p w14:paraId="78B84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Предъявлен серийный Ла-7 № 38102158 производства завода № 381 имеет улучшенную герметизацию и вентиляцию.</w:t>
      </w:r>
    </w:p>
    <w:p w14:paraId="4F9094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серийного с-та Ла-7 на данном с-те выполнено следующее:</w:t>
      </w:r>
    </w:p>
    <w:p w14:paraId="7897E6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Теплоизолированы боковые оуцинкованные крышки капорта мотора, путем прокладки 6мм слоя перкалевой обшивки между сталтнымси оцинкованными кромками и дюралевой внутенней стенкой</w:t>
      </w:r>
    </w:p>
    <w:p w14:paraId="766E25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Теплоизолированы дюралевые листы 1-го шпангоута путем приклейки к ним 4мм слоя шинельного сукна.</w:t>
      </w:r>
    </w:p>
    <w:p w14:paraId="7A9FA3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Теплоизолирован маслобак специальным чехлом из шлаковой ткани.</w:t>
      </w:r>
    </w:p>
    <w:p w14:paraId="59577A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Изменена вентиляционная система кабины путем:</w:t>
      </w:r>
    </w:p>
    <w:p w14:paraId="0C1542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увеличения диаметра трубы с 38 мм до 48 мм, идущей из носка центроплана в кабину</w:t>
      </w:r>
    </w:p>
    <w:p w14:paraId="26A32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постановки дополнительного заборника воздуха через лючек слива бензина внизу под фюзеляжем</w:t>
      </w:r>
    </w:p>
    <w:p w14:paraId="5BD3EC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Введены герметизирующие чехлы внутри фюзеляжа на тяги элерона, щитков и тяги РВ</w:t>
      </w:r>
    </w:p>
    <w:p w14:paraId="6C362C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испытания</w:t>
      </w:r>
    </w:p>
    <w:p w14:paraId="7557E3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начаты с 19 марта и окончены 23 марта 1945. Во время испытаний выполнено 10 полетов с налетом 5:34</w:t>
      </w:r>
    </w:p>
    <w:p w14:paraId="47CE1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Выводы:</w:t>
      </w:r>
    </w:p>
    <w:p w14:paraId="47D55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Температура воздуха в кабине серийного с-та Ла-7 № 2158 с улучшеной герметизациейц и вентиляцией кабины по сравнению с обычным серийным с-том Ла-65 № 38105758, замеренная при одних и тех же условиях, уменьшилась на уровне груди на 11 гр., на полу на уровне ног - на 27 гр. И составила на уровне груди -21, а у ного - 20.</w:t>
      </w:r>
    </w:p>
    <w:p w14:paraId="5E12A4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 В кабтину с-та проникают выхлопные газы, в резулдьтате чего создается концентрация окиси углерода в зоне дыхания л до 0,128 </w:t>
      </w:r>
      <w:proofErr w:type="gramStart"/>
      <w:r w:rsidRPr="00925F26">
        <w:rPr>
          <w:color w:val="000000" w:themeColor="text1"/>
          <w:sz w:val="16"/>
          <w:szCs w:val="16"/>
        </w:rPr>
        <w:t>мгр,литр</w:t>
      </w:r>
      <w:proofErr w:type="gramEnd"/>
      <w:r w:rsidRPr="00925F26">
        <w:rPr>
          <w:color w:val="000000" w:themeColor="text1"/>
          <w:sz w:val="16"/>
          <w:szCs w:val="16"/>
        </w:rPr>
        <w:t>, что превышает гигиеническую норму в 4 раза.</w:t>
      </w:r>
    </w:p>
    <w:p w14:paraId="0C47CE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Наличие столь высоких концентраций окиси углерода в кабине, а также дополнительное загрязнение воздуха продуктами разложения масла, альдегидами, создают явную угрозу отравления л в продолжительных полетах, особенно, когда л не пользуется кислородом.</w:t>
      </w:r>
    </w:p>
    <w:p w14:paraId="39C5A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Местами проникгновения отработанных газов в замоторное пространство являются:</w:t>
      </w:r>
    </w:p>
    <w:p w14:paraId="6FBE1B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кольцевые щели между вертикальной тягой левой боковой створки и плавающей шайбой</w:t>
      </w:r>
    </w:p>
    <w:p w14:paraId="6B337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щели между боковыми крышками капота и продольными рейцками каркаса в углах </w:t>
      </w:r>
      <w:proofErr w:type="gramStart"/>
      <w:r w:rsidRPr="00925F26">
        <w:rPr>
          <w:color w:val="000000" w:themeColor="text1"/>
          <w:sz w:val="16"/>
          <w:szCs w:val="16"/>
        </w:rPr>
        <w:t>у верхних выхлопных патрубках</w:t>
      </w:r>
      <w:proofErr w:type="gramEnd"/>
    </w:p>
    <w:p w14:paraId="30A146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Вентиляция кабины через заборник воздуха, установленный снизу, дало снижение температуры на уровне груди на 10 гр.</w:t>
      </w:r>
    </w:p>
    <w:p w14:paraId="361950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исключения возможности попадания в кабину пыли и масла через заборник воздуха, расположенный в нижней части фюзеляжа, а также для регулировки температуры в кабине, целесообразно установить решулируемую л заслонку в щель заборника.</w:t>
      </w:r>
    </w:p>
    <w:p w14:paraId="042B34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Кубышки и Прошаков</w:t>
      </w:r>
    </w:p>
    <w:p w14:paraId="089397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211D27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 Рекомендовать к внедрению в серию, с учетом устранения отмеченных недостатков </w:t>
      </w:r>
    </w:p>
    <w:p w14:paraId="7686B8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Просить ШКАП А.И.Ш. обязать ГК и директора з-да № 381 в кратчайший срок провести мероприятия по устранению выявленных дефектов и предъявиить с-т на контрольные испытания</w:t>
      </w:r>
    </w:p>
    <w:p w14:paraId="296BDA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Подписан 29 марта 1945 (740,1).</w:t>
      </w:r>
    </w:p>
    <w:p w14:paraId="29B0E8CE" w14:textId="77777777" w:rsidR="00665165" w:rsidRPr="00925F26" w:rsidRDefault="00665165" w:rsidP="00925F26">
      <w:pPr>
        <w:autoSpaceDE w:val="0"/>
        <w:autoSpaceDN w:val="0"/>
        <w:adjustRightInd w:val="0"/>
        <w:jc w:val="both"/>
        <w:rPr>
          <w:color w:val="000000" w:themeColor="text1"/>
          <w:sz w:val="16"/>
          <w:szCs w:val="16"/>
        </w:rPr>
      </w:pPr>
    </w:p>
    <w:p w14:paraId="02DFE5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А.П.Деев выполнил первый вылет на И-250, спустя два дня - второй с уборкой шасси (6471, 7).</w:t>
      </w:r>
    </w:p>
    <w:p w14:paraId="62620E3D" w14:textId="77777777" w:rsidR="00665165" w:rsidRPr="00925F26" w:rsidRDefault="00665165" w:rsidP="00925F26">
      <w:pPr>
        <w:autoSpaceDE w:val="0"/>
        <w:autoSpaceDN w:val="0"/>
        <w:adjustRightInd w:val="0"/>
        <w:jc w:val="both"/>
        <w:rPr>
          <w:color w:val="000000" w:themeColor="text1"/>
          <w:sz w:val="16"/>
          <w:szCs w:val="16"/>
        </w:rPr>
      </w:pPr>
    </w:p>
    <w:p w14:paraId="66C92C0D" w14:textId="77777777" w:rsidR="00BA2B8F" w:rsidRPr="00925F26" w:rsidRDefault="00BA2B8F" w:rsidP="00925F26">
      <w:pPr>
        <w:jc w:val="both"/>
        <w:rPr>
          <w:color w:val="000000" w:themeColor="text1"/>
          <w:sz w:val="16"/>
          <w:szCs w:val="16"/>
        </w:rPr>
      </w:pPr>
      <w:r w:rsidRPr="00925F26">
        <w:rPr>
          <w:color w:val="000000" w:themeColor="text1"/>
          <w:sz w:val="16"/>
          <w:szCs w:val="16"/>
        </w:rPr>
        <w:t>4 апреля 1945 г. самолет И-250 впервые поднялся в воздух, пилотируемый летчиком А.П. Деевым. Спустя два дня выполнили второй полет, уже с уборкой шасси, а летчик-испытатель Г.Н. Комаров поднял в воздух «собрата» И-250 по силовой установке – истребитель Су-5 (И-107).</w:t>
      </w:r>
    </w:p>
    <w:p w14:paraId="4EABE329" w14:textId="77777777" w:rsidR="00BA2B8F" w:rsidRPr="00925F26" w:rsidRDefault="00BA2B8F" w:rsidP="00925F26">
      <w:pPr>
        <w:jc w:val="both"/>
        <w:rPr>
          <w:color w:val="000000" w:themeColor="text1"/>
          <w:sz w:val="16"/>
          <w:szCs w:val="16"/>
        </w:rPr>
      </w:pPr>
    </w:p>
    <w:p w14:paraId="33368013" w14:textId="77777777" w:rsidR="003028CD" w:rsidRPr="00925F26" w:rsidRDefault="003028CD" w:rsidP="00925F26">
      <w:pPr>
        <w:jc w:val="both"/>
        <w:rPr>
          <w:color w:val="000000" w:themeColor="text1"/>
          <w:sz w:val="16"/>
          <w:szCs w:val="16"/>
        </w:rPr>
      </w:pPr>
      <w:r w:rsidRPr="00925F26">
        <w:rPr>
          <w:bCs/>
          <w:color w:val="000000" w:themeColor="text1"/>
          <w:sz w:val="16"/>
          <w:szCs w:val="16"/>
        </w:rPr>
        <w:t>4 апреля</w:t>
      </w:r>
      <w:r w:rsidRPr="00925F26">
        <w:rPr>
          <w:color w:val="000000" w:themeColor="text1"/>
          <w:sz w:val="16"/>
          <w:szCs w:val="16"/>
        </w:rPr>
        <w:t xml:space="preserve"> в 1945 году первый полёт самолёта с мотокомпрессорной силовой установкой </w:t>
      </w:r>
      <w:hyperlink r:id="rId93" w:tgtFrame="_blank" w:history="1">
        <w:r w:rsidRPr="00925F26">
          <w:rPr>
            <w:color w:val="000000" w:themeColor="text1"/>
            <w:sz w:val="16"/>
            <w:szCs w:val="16"/>
          </w:rPr>
          <w:t xml:space="preserve">«И-250» </w:t>
        </w:r>
      </w:hyperlink>
      <w:r w:rsidRPr="00925F26">
        <w:rPr>
          <w:color w:val="000000" w:themeColor="text1"/>
          <w:sz w:val="16"/>
          <w:szCs w:val="16"/>
        </w:rPr>
        <w:t>(Н), А.П.Деев, ОКБ "МиГ" (15089).</w:t>
      </w:r>
    </w:p>
    <w:p w14:paraId="4CDC2D1F" w14:textId="77777777" w:rsidR="003028CD" w:rsidRPr="00925F26" w:rsidRDefault="003028CD" w:rsidP="00925F26">
      <w:pPr>
        <w:jc w:val="both"/>
        <w:rPr>
          <w:color w:val="000000" w:themeColor="text1"/>
          <w:sz w:val="16"/>
          <w:szCs w:val="16"/>
        </w:rPr>
      </w:pPr>
    </w:p>
    <w:p w14:paraId="35BBDE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г. истребитель И-250 №01 совершил первый полет. Самолет представлял собой одноместный скоростной истребитель цельнометаллической конструкции. По схеме - моноплан с низкорасположенным крылом и убирающимся шасси.</w:t>
      </w:r>
    </w:p>
    <w:p w14:paraId="034FA4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Фюзеляж конструктивно был выполнен из трех частей: передней фермы, средней и хвостовой частей. Передняя ферма фюзеляжа сварной конструкции из хромансилевых труб. Средняя часть фюзеляжа клепаной конструкции. Она состояла из набора штампованных шпангоутов, четырех лонжеронов, стрингеров, пола пилотской кабины и дюралевой обшивки. Непосредственно под полом проходил отсек воздушного канала, который входил в силовую конструкцию фюзеляжа. Хвостовая часть фюзеляжа по конструкции была выполнена как монокок</w:t>
      </w:r>
      <w:proofErr w:type="gramStart"/>
      <w:r w:rsidRPr="00925F26">
        <w:rPr>
          <w:color w:val="000000" w:themeColor="text1"/>
          <w:sz w:val="16"/>
          <w:szCs w:val="16"/>
        </w:rPr>
        <w:t>.</w:t>
      </w:r>
      <w:proofErr w:type="gramEnd"/>
      <w:r w:rsidRPr="00925F26">
        <w:rPr>
          <w:color w:val="000000" w:themeColor="text1"/>
          <w:sz w:val="16"/>
          <w:szCs w:val="16"/>
        </w:rPr>
        <w:t xml:space="preserve"> и состояла из набора штампованных шпангоутов, лонжеронов и стрингеров из нормальных </w:t>
      </w:r>
      <w:r w:rsidRPr="00925F26">
        <w:rPr>
          <w:color w:val="000000" w:themeColor="text1"/>
          <w:sz w:val="16"/>
          <w:szCs w:val="16"/>
        </w:rPr>
        <w:lastRenderedPageBreak/>
        <w:t>прессованных профилей и дюралевой обшивки. Хвостовая часть заканчивалась стальным сварным шпангоутом, на котором крепилась сопловая рама камеры сгорания ВРДК.</w:t>
      </w:r>
    </w:p>
    <w:p w14:paraId="215D2A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Крыло трапециевидной формы, </w:t>
      </w:r>
      <w:proofErr w:type="gramStart"/>
      <w:r w:rsidRPr="00925F26">
        <w:rPr>
          <w:color w:val="000000" w:themeColor="text1"/>
          <w:sz w:val="16"/>
          <w:szCs w:val="16"/>
        </w:rPr>
        <w:t>од-нолонжеронное</w:t>
      </w:r>
      <w:proofErr w:type="gramEnd"/>
      <w:r w:rsidRPr="00925F26">
        <w:rPr>
          <w:color w:val="000000" w:themeColor="text1"/>
          <w:sz w:val="16"/>
          <w:szCs w:val="16"/>
        </w:rPr>
        <w:t>. Имело местное расширение по хордам у бортов фюзеляжа для увеличения абсолютных высот профиля при малой относительной толщине. Профиль крыла был выбран из комбинации двух профилей ЦАГИ - 1А10 в корне и 1В 10 на конце, с плавным переходом от одного к другому. Угол поперечного V - +7°, угол установки крыла +1°. Конструктивно крыло состояло из главного лонжерона, переднего и заднего усиленных стрингеров. нервюр и стрингеров. Обшивка дюралевая. Крыло крепилось к специальной стальной раме, расположенной внизу средней части фюзеляжа. Механизация крыла состояла из элеронов типа "Фрайз" и щелевого закрылка типа ЦАГИ. Для увеличения подъемной силы при посадке к закрылкам у бортов фюзеляжа были присоединены небольшие щитки типа "Шренк". Элероны и закрылки цельнометаллической конструкции с каркасом из дюраля и с электронной обшивкой. Углы отклонения закрылков 15° и 55°.</w:t>
      </w:r>
    </w:p>
    <w:p w14:paraId="0E251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Хвостовое оперение крепилось к хвостовой части фюзеляжа. Профиль вертикального и горизонтального оперения, симметричный - NACA-0009. Рули высоты и направления имели 16% осевую аэродинамическую компенсацию и их снабдили триммерами. Набор дюралевый, обшивка электронная. Сопряжение между рулями направления и высоты было выполнено специальным съемным коком, нижняя поверхность которого также оформляла выходное сопло ВРДК.</w:t>
      </w:r>
    </w:p>
    <w:p w14:paraId="3FA8F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Комбинированная силовая установка Э-30-20</w:t>
      </w:r>
      <w:proofErr w:type="gramStart"/>
      <w:r w:rsidRPr="00925F26">
        <w:rPr>
          <w:color w:val="000000" w:themeColor="text1"/>
          <w:sz w:val="16"/>
          <w:szCs w:val="16"/>
        </w:rPr>
        <w:t>.</w:t>
      </w:r>
      <w:proofErr w:type="gramEnd"/>
      <w:r w:rsidRPr="00925F26">
        <w:rPr>
          <w:color w:val="000000" w:themeColor="text1"/>
          <w:sz w:val="16"/>
          <w:szCs w:val="16"/>
        </w:rPr>
        <w:t xml:space="preserve"> состоявшая из поршневого мотора ВК-107А и ВРДК, была разработана в ЦИАМ под руководством К.В.Холщевникова и А.А.Фадеева. Мощность, развиваемая поршневым двигателем, передавалась сразу ДВУМ потребителям: воздушному ВИНТУ АВ-10П-60 диаметром 3,1 м и компрессору ВРДК. При взлете и во время полета без применения ВРДК основным потребителем мощности являлся воздушный винт, а компрессор ВРДК вращался на низшей передаче. Для сокращения разбега при взлете и увеличения скорости полета до максимальной включалась вторая, высшая, передача привода компрессора, а в камеру сгорания подавалось топливо. Двухскоростной компрессор вращался от мотора с помощью специального привода, смонтированного на моторе, и длинного вала. Переключение скоростей обеспечивалось автоматом переключения Э-67ВП. Подвод воздуха к компрессору производился через входной канал, который был выведен в переднюю часть фюзеляжа. Камера сгорания ВРДК была выполнена в виде сварного кожуха из нержавеющей стали. В передней ее части монтировали блок из семи </w:t>
      </w:r>
      <w:proofErr w:type="gramStart"/>
      <w:r w:rsidRPr="00925F26">
        <w:rPr>
          <w:color w:val="000000" w:themeColor="text1"/>
          <w:sz w:val="16"/>
          <w:szCs w:val="16"/>
        </w:rPr>
        <w:t>форсуночных камер</w:t>
      </w:r>
      <w:proofErr w:type="gramEnd"/>
      <w:r w:rsidRPr="00925F26">
        <w:rPr>
          <w:color w:val="000000" w:themeColor="text1"/>
          <w:sz w:val="16"/>
          <w:szCs w:val="16"/>
        </w:rPr>
        <w:t xml:space="preserve"> расположенных по форме сечения канала. Выходное сопло камеры сгорания снабдили регулируемыми створками из нержавеющей жароупорной стали, дающими возможность получать разные площади выходного сечения на разных режимах полета. Управление створками осуществлялось пневматическим цилиндром, и было автоматически связано с сектором включения ВРДК. Топливо разместили в трех топливных баках мягкой конструкции общей емкостью 570 л. Два крыльевых бака вмещали по 90 л, а один фюзеляжный - 390 л. Капот мотора имел съемные и несъемные панели. Передняя часть капота вверху оканчивалась щелью для выхода воздуха из канала маслоради-атора, а по бокам - регулируемыми створками.</w:t>
      </w:r>
    </w:p>
    <w:p w14:paraId="4FA289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Приборное оборудование состояло из 16 приборов. Источниками электроэнергии служили генератор ГС-15-500 и аккумулятор 12А5. Самолет оборудовали приеме-передающей радиостанцией, в комплект которой входили приемник РСИ-3 и передатчик РСИ-4Д. Для полетов на больших высотах устанавливали кислородный прибор легочного типа КП-12 и </w:t>
      </w:r>
      <w:proofErr w:type="gramStart"/>
      <w:r w:rsidRPr="00925F26">
        <w:rPr>
          <w:color w:val="000000" w:themeColor="text1"/>
          <w:sz w:val="16"/>
          <w:szCs w:val="16"/>
        </w:rPr>
        <w:t>4 литровый</w:t>
      </w:r>
      <w:proofErr w:type="gramEnd"/>
      <w:r w:rsidRPr="00925F26">
        <w:rPr>
          <w:color w:val="000000" w:themeColor="text1"/>
          <w:sz w:val="16"/>
          <w:szCs w:val="16"/>
        </w:rPr>
        <w:t xml:space="preserve"> кислородный баллон.</w:t>
      </w:r>
    </w:p>
    <w:p w14:paraId="29824C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состояло из трех 20-мм пушек Б-20 с боезапасом по 100 патронов. Одна пушка стреляла через полый вал редуктора. Две синхронные по бокам фюзеляжа.</w:t>
      </w:r>
    </w:p>
    <w:p w14:paraId="06B1D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И-250 №01, полученная в процессе испытаний, составила 820 км/ч, превышая тем самым на 100-120 км/ч скорости истребителей того времени. Включение ВРДК на взлете сокращало дистанцию разбега до 400 м (6000).</w:t>
      </w:r>
    </w:p>
    <w:p w14:paraId="6FEB4A13" w14:textId="77777777" w:rsidR="00665165" w:rsidRPr="00925F26" w:rsidRDefault="00665165" w:rsidP="00925F26">
      <w:pPr>
        <w:autoSpaceDE w:val="0"/>
        <w:autoSpaceDN w:val="0"/>
        <w:adjustRightInd w:val="0"/>
        <w:jc w:val="both"/>
        <w:rPr>
          <w:color w:val="000000" w:themeColor="text1"/>
          <w:sz w:val="16"/>
          <w:szCs w:val="16"/>
        </w:rPr>
      </w:pPr>
    </w:p>
    <w:p w14:paraId="1BEC0B67" w14:textId="77777777" w:rsidR="00147D93" w:rsidRPr="00925F26" w:rsidRDefault="00147D93" w:rsidP="00925F26">
      <w:pPr>
        <w:jc w:val="both"/>
        <w:rPr>
          <w:color w:val="000000" w:themeColor="text1"/>
          <w:sz w:val="16"/>
          <w:szCs w:val="16"/>
        </w:rPr>
      </w:pPr>
      <w:r w:rsidRPr="00925F26">
        <w:rPr>
          <w:color w:val="000000" w:themeColor="text1"/>
          <w:sz w:val="16"/>
          <w:szCs w:val="16"/>
        </w:rPr>
        <w:t>4 апреля 1945 г., по</w:t>
      </w:r>
      <w:r w:rsidRPr="00925F26">
        <w:rPr>
          <w:color w:val="000000" w:themeColor="text1"/>
          <w:sz w:val="16"/>
          <w:szCs w:val="16"/>
        </w:rPr>
        <w:softHyphen/>
        <w:t>сле наземной отработки и устранения выявленных де</w:t>
      </w:r>
      <w:r w:rsidRPr="00925F26">
        <w:rPr>
          <w:color w:val="000000" w:themeColor="text1"/>
          <w:sz w:val="16"/>
          <w:szCs w:val="16"/>
        </w:rPr>
        <w:softHyphen/>
        <w:t>фектов, И-250, пилотируемый лётчиком-испы</w:t>
      </w:r>
      <w:r w:rsidRPr="00925F26">
        <w:rPr>
          <w:color w:val="000000" w:themeColor="text1"/>
          <w:sz w:val="16"/>
          <w:szCs w:val="16"/>
        </w:rPr>
        <w:softHyphen/>
        <w:t>тателем А.П. Деевым, впервые поднялся в воздух (23379).</w:t>
      </w:r>
    </w:p>
    <w:p w14:paraId="497E2FFB" w14:textId="77777777" w:rsidR="00147D93" w:rsidRPr="00925F26" w:rsidRDefault="00147D93" w:rsidP="00925F26">
      <w:pPr>
        <w:jc w:val="both"/>
        <w:rPr>
          <w:color w:val="000000" w:themeColor="text1"/>
          <w:sz w:val="16"/>
          <w:szCs w:val="16"/>
        </w:rPr>
      </w:pPr>
    </w:p>
    <w:p w14:paraId="6C379ED8" w14:textId="77777777" w:rsidR="00BB22F5" w:rsidRPr="001A0BAA" w:rsidRDefault="00BB22F5" w:rsidP="00BB22F5">
      <w:pPr>
        <w:jc w:val="both"/>
        <w:rPr>
          <w:color w:val="0070C0"/>
          <w:sz w:val="16"/>
          <w:szCs w:val="16"/>
        </w:rPr>
      </w:pPr>
      <w:r w:rsidRPr="001A0BAA">
        <w:rPr>
          <w:color w:val="0070C0"/>
          <w:sz w:val="16"/>
          <w:szCs w:val="16"/>
        </w:rPr>
        <w:t>4 апреля 1945 года истребитель И-250 №01 совершил первый полет (24925).</w:t>
      </w:r>
    </w:p>
    <w:p w14:paraId="2CD5C6D8" w14:textId="77777777" w:rsidR="00BB22F5" w:rsidRPr="001A0BAA" w:rsidRDefault="00BB22F5" w:rsidP="00BB22F5">
      <w:pPr>
        <w:jc w:val="both"/>
        <w:rPr>
          <w:color w:val="0070C0"/>
          <w:sz w:val="16"/>
          <w:szCs w:val="16"/>
        </w:rPr>
      </w:pPr>
    </w:p>
    <w:p w14:paraId="203A2868" w14:textId="77777777" w:rsidR="00BB22F5" w:rsidRPr="001A0BAA" w:rsidRDefault="00BB22F5" w:rsidP="00BB22F5">
      <w:pPr>
        <w:jc w:val="both"/>
        <w:rPr>
          <w:color w:val="0070C0"/>
          <w:sz w:val="16"/>
          <w:szCs w:val="16"/>
        </w:rPr>
      </w:pPr>
      <w:r w:rsidRPr="001A0BAA">
        <w:rPr>
          <w:color w:val="0070C0"/>
          <w:sz w:val="16"/>
          <w:szCs w:val="16"/>
        </w:rPr>
        <w:t>4 апреля 1945 года состоялся первый полет И-250 (са</w:t>
      </w:r>
      <w:r w:rsidRPr="001A0BAA">
        <w:rPr>
          <w:color w:val="0070C0"/>
          <w:sz w:val="16"/>
          <w:szCs w:val="16"/>
        </w:rPr>
        <w:softHyphen/>
        <w:t xml:space="preserve">молет «Н»), пилотируемого А.П. </w:t>
      </w:r>
      <w:proofErr w:type="gramStart"/>
      <w:r w:rsidRPr="001A0BAA">
        <w:rPr>
          <w:color w:val="0070C0"/>
          <w:sz w:val="16"/>
          <w:szCs w:val="16"/>
        </w:rPr>
        <w:t>Деевым,.</w:t>
      </w:r>
      <w:proofErr w:type="gramEnd"/>
      <w:r w:rsidRPr="001A0BAA">
        <w:rPr>
          <w:color w:val="0070C0"/>
          <w:sz w:val="16"/>
          <w:szCs w:val="16"/>
        </w:rPr>
        <w:t xml:space="preserve"> Спустя четыре дня в третьем полете на И-250 опробовали ВРДК, при этом летчик на пикировании довел скорость до 710 км/ч по прибору на высоте 5000 метров. Ежедневные сводки о ходе испытаний, поступавшие в НКАП, свидетельствуют о том, что испытания шли трудно и сопровождались всевоз</w:t>
      </w:r>
      <w:r w:rsidRPr="001A0BAA">
        <w:rPr>
          <w:color w:val="0070C0"/>
          <w:sz w:val="16"/>
          <w:szCs w:val="16"/>
        </w:rPr>
        <w:softHyphen/>
        <w:t>можными отказами. Отработка силовой установки и устра</w:t>
      </w:r>
      <w:r w:rsidRPr="001A0BAA">
        <w:rPr>
          <w:color w:val="0070C0"/>
          <w:sz w:val="16"/>
          <w:szCs w:val="16"/>
        </w:rPr>
        <w:softHyphen/>
        <w:t>нение дефектов отнимали очень много времени.</w:t>
      </w:r>
    </w:p>
    <w:p w14:paraId="722CF2BF" w14:textId="77777777" w:rsidR="00BB22F5" w:rsidRPr="001A0BAA" w:rsidRDefault="00BB22F5" w:rsidP="00BB22F5">
      <w:pPr>
        <w:jc w:val="both"/>
        <w:rPr>
          <w:color w:val="0070C0"/>
          <w:sz w:val="16"/>
          <w:szCs w:val="16"/>
        </w:rPr>
      </w:pPr>
      <w:r w:rsidRPr="001A0BAA">
        <w:rPr>
          <w:color w:val="0070C0"/>
          <w:sz w:val="16"/>
          <w:szCs w:val="16"/>
        </w:rPr>
        <w:t>В полете 13 мая на определение максимальной скоро</w:t>
      </w:r>
      <w:r w:rsidRPr="001A0BAA">
        <w:rPr>
          <w:color w:val="0070C0"/>
          <w:sz w:val="16"/>
          <w:szCs w:val="16"/>
        </w:rPr>
        <w:softHyphen/>
        <w:t>сти с работающим ВРДК на высоте 6700 м была достигнута истинная скорость 809 км/ч. Это, безусловно, стало боль</w:t>
      </w:r>
      <w:r w:rsidRPr="001A0BAA">
        <w:rPr>
          <w:color w:val="0070C0"/>
          <w:sz w:val="16"/>
          <w:szCs w:val="16"/>
        </w:rPr>
        <w:softHyphen/>
        <w:t>шим достижением, но радость создателей машины омрача</w:t>
      </w:r>
      <w:r w:rsidRPr="001A0BAA">
        <w:rPr>
          <w:color w:val="0070C0"/>
          <w:sz w:val="16"/>
          <w:szCs w:val="16"/>
        </w:rPr>
        <w:softHyphen/>
        <w:t>ли все новые и новые дефекты машины, особенно ее сило</w:t>
      </w:r>
      <w:r w:rsidRPr="001A0BAA">
        <w:rPr>
          <w:color w:val="0070C0"/>
          <w:sz w:val="16"/>
          <w:szCs w:val="16"/>
        </w:rPr>
        <w:softHyphen/>
        <w:t>вой установки (25030).</w:t>
      </w:r>
    </w:p>
    <w:p w14:paraId="416988D7" w14:textId="77777777" w:rsidR="00BB22F5" w:rsidRPr="001A0BAA" w:rsidRDefault="00BB22F5" w:rsidP="00BB22F5">
      <w:pPr>
        <w:jc w:val="both"/>
        <w:rPr>
          <w:color w:val="0070C0"/>
          <w:sz w:val="16"/>
          <w:szCs w:val="16"/>
        </w:rPr>
      </w:pPr>
    </w:p>
    <w:p w14:paraId="30859D9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0FB3F83" w14:textId="77777777" w:rsidR="00665165" w:rsidRPr="00925F26" w:rsidRDefault="00665165" w:rsidP="00925F26">
      <w:pPr>
        <w:autoSpaceDE w:val="0"/>
        <w:autoSpaceDN w:val="0"/>
        <w:adjustRightInd w:val="0"/>
        <w:jc w:val="both"/>
        <w:rPr>
          <w:iCs/>
          <w:color w:val="000000" w:themeColor="text1"/>
          <w:sz w:val="16"/>
          <w:szCs w:val="16"/>
        </w:rPr>
      </w:pPr>
    </w:p>
    <w:p w14:paraId="11C04B0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апреля 1945 вышло Распоряжение ГКО № 7989 [Об окончании работ по восстановлению механизированной горки на ст. Верховцево Сталинской железной дороги.] (7320, 91).</w:t>
      </w:r>
    </w:p>
    <w:p w14:paraId="190AF52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46AC5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вышло Распоряжение ГКО № 7990. О мерах по обеспечению деталями запаса ручных гранат РГ-42 и Ф-1. РГАНИР, Фонд ГКО, д. 387, лл. 92 (11012).</w:t>
      </w:r>
    </w:p>
    <w:p w14:paraId="1F29DF3C" w14:textId="77777777" w:rsidR="00665165" w:rsidRPr="00925F26" w:rsidRDefault="00665165" w:rsidP="00925F26">
      <w:pPr>
        <w:autoSpaceDE w:val="0"/>
        <w:autoSpaceDN w:val="0"/>
        <w:adjustRightInd w:val="0"/>
        <w:jc w:val="both"/>
        <w:rPr>
          <w:color w:val="000000" w:themeColor="text1"/>
          <w:sz w:val="16"/>
          <w:szCs w:val="16"/>
        </w:rPr>
      </w:pPr>
    </w:p>
    <w:p w14:paraId="2465C3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вышло Распоряжение ГКО № 7991. Об уменьшении плана производства нефтепродуктов в марте 1945 г. РГАНИР, Фонд ГКО, д. 387, лл. 93 (11012).</w:t>
      </w:r>
    </w:p>
    <w:p w14:paraId="6F1A7812" w14:textId="77777777" w:rsidR="00665165" w:rsidRPr="00925F26" w:rsidRDefault="00665165" w:rsidP="00925F26">
      <w:pPr>
        <w:autoSpaceDE w:val="0"/>
        <w:autoSpaceDN w:val="0"/>
        <w:adjustRightInd w:val="0"/>
        <w:jc w:val="both"/>
        <w:rPr>
          <w:color w:val="000000" w:themeColor="text1"/>
          <w:sz w:val="16"/>
          <w:szCs w:val="16"/>
        </w:rPr>
      </w:pPr>
    </w:p>
    <w:p w14:paraId="657D38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вышло Распоряжение ГКО № 7993. О порядке перевозки НКПС стройматериалов для строек треста №22 НКстроя. РГАНИР, Фонд ГКО, д. 387, лл. 96 (11012).</w:t>
      </w:r>
    </w:p>
    <w:p w14:paraId="0FFFEB80" w14:textId="77777777" w:rsidR="00665165" w:rsidRPr="00925F26" w:rsidRDefault="00665165" w:rsidP="00925F26">
      <w:pPr>
        <w:autoSpaceDE w:val="0"/>
        <w:autoSpaceDN w:val="0"/>
        <w:adjustRightInd w:val="0"/>
        <w:jc w:val="both"/>
        <w:rPr>
          <w:color w:val="000000" w:themeColor="text1"/>
          <w:sz w:val="16"/>
          <w:szCs w:val="16"/>
        </w:rPr>
      </w:pPr>
    </w:p>
    <w:p w14:paraId="67FA39B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апреля 1945 вышло Распоряжение ГКО № 7993 [О порядке перевозки НКПС стройматериалов для строек треста №22 НКстроя.] (7320, 96).</w:t>
      </w:r>
    </w:p>
    <w:p w14:paraId="0584B50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F2203C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6F76CD0" w14:textId="77777777" w:rsidR="00665165" w:rsidRPr="00925F26" w:rsidRDefault="00665165" w:rsidP="00925F26">
      <w:pPr>
        <w:autoSpaceDE w:val="0"/>
        <w:autoSpaceDN w:val="0"/>
        <w:adjustRightInd w:val="0"/>
        <w:jc w:val="both"/>
        <w:rPr>
          <w:iCs/>
          <w:color w:val="000000" w:themeColor="text1"/>
          <w:sz w:val="16"/>
          <w:szCs w:val="16"/>
        </w:rPr>
      </w:pPr>
    </w:p>
    <w:p w14:paraId="3D165602" w14:textId="77777777" w:rsidR="003028CD" w:rsidRPr="00925F26" w:rsidRDefault="003028CD" w:rsidP="00925F26">
      <w:pPr>
        <w:jc w:val="both"/>
        <w:rPr>
          <w:color w:val="000000" w:themeColor="text1"/>
          <w:sz w:val="16"/>
          <w:szCs w:val="16"/>
        </w:rPr>
      </w:pPr>
      <w:r w:rsidRPr="00925F26">
        <w:rPr>
          <w:bCs/>
          <w:color w:val="000000" w:themeColor="text1"/>
          <w:sz w:val="16"/>
          <w:szCs w:val="16"/>
        </w:rPr>
        <w:t>4 апреля</w:t>
      </w:r>
      <w:r w:rsidRPr="00925F26">
        <w:rPr>
          <w:color w:val="000000" w:themeColor="text1"/>
          <w:sz w:val="16"/>
          <w:szCs w:val="16"/>
        </w:rPr>
        <w:t xml:space="preserve"> в 1945 году оперативная сводка Совинформбюро:</w:t>
      </w:r>
    </w:p>
    <w:p w14:paraId="1CEE5A87" w14:textId="77777777" w:rsidR="003028CD" w:rsidRPr="00925F26" w:rsidRDefault="003028CD" w:rsidP="00925F26">
      <w:pPr>
        <w:jc w:val="both"/>
        <w:rPr>
          <w:color w:val="000000" w:themeColor="text1"/>
          <w:sz w:val="16"/>
          <w:szCs w:val="16"/>
        </w:rPr>
      </w:pPr>
      <w:r w:rsidRPr="00925F26">
        <w:rPr>
          <w:color w:val="000000" w:themeColor="text1"/>
          <w:sz w:val="16"/>
          <w:szCs w:val="16"/>
        </w:rPr>
        <w:t>«В течение 4 апреля в полосе Карпат, юго-западнее города Новы Тарг, войска 4-го Украинского фронта, наступая совместно с чехословацкими войсками, заняли более 60 населённых пунктов, в числе которых крупные населённые пункты Сланица, Наместово, Мутне, Бреза, Локча, Грустин, Прибиш, Великая Борове, Святой Микулаш, Селница, Палудза, Бодице и железнодорожные станции Подбель, Седляцка Дубова.</w:t>
      </w:r>
    </w:p>
    <w:p w14:paraId="7F13B1AC" w14:textId="77777777" w:rsidR="003028CD" w:rsidRPr="00925F26" w:rsidRDefault="003028CD" w:rsidP="00925F26">
      <w:pPr>
        <w:jc w:val="both"/>
        <w:rPr>
          <w:color w:val="000000" w:themeColor="text1"/>
          <w:sz w:val="16"/>
          <w:szCs w:val="16"/>
        </w:rPr>
      </w:pPr>
      <w:r w:rsidRPr="00925F26">
        <w:rPr>
          <w:color w:val="000000" w:themeColor="text1"/>
          <w:sz w:val="16"/>
          <w:szCs w:val="16"/>
        </w:rPr>
        <w:t>Войска 2-го Украинского фронта 4 апреля штурмом овладели важным промышленным центром и главным городом Словакии Братислава — крупным узлом путей сообщения и мощным опорным пунктом обороны немцев на Дунае, а также заняли на территории Чехословакии более 60 других населённых пунктов, в числе которых крупные населённые пункты Гандлова, Новая Легота, Осланы, Великие Остра-Тице, Пештяны, Требатыце, Дегтице, Надаш, Рачишторф и железнодорожные станции Гандлова, Рибаны, Пештяны. Одновременно войска фронта севернее Братиславы преодолели горы Малые Карпаты и заняли к западу от них населённые пункты Рарбок, Кухыня, Пернек, Марианна. В боях за 3 апреля войска фронта взяли в плен более 4.600 солдат и офицеров противника.</w:t>
      </w:r>
    </w:p>
    <w:p w14:paraId="31942260" w14:textId="77777777" w:rsidR="003028CD" w:rsidRPr="00925F26" w:rsidRDefault="003028CD" w:rsidP="00925F26">
      <w:pPr>
        <w:jc w:val="both"/>
        <w:rPr>
          <w:color w:val="000000" w:themeColor="text1"/>
          <w:sz w:val="16"/>
          <w:szCs w:val="16"/>
        </w:rPr>
      </w:pPr>
      <w:r w:rsidRPr="00925F26">
        <w:rPr>
          <w:color w:val="000000" w:themeColor="text1"/>
          <w:sz w:val="16"/>
          <w:szCs w:val="16"/>
        </w:rPr>
        <w:t>Юго-восточнее и южнее Вены войска 3-го Украинского фронта, продолжая наступление, с боем заняли город Баден и более 30 других населённых пунктов, в том числе крупные населённые пункты Пурбах, Брайтенбрунн, Маннерсдорф, Зоммерайн, Гетцендорф, Винерхерберг, Гимберг, ЦвелфаксинГ (8 километров юго-восточнее Вены), Гааден, Хайлигенкройц, Гроссау, Санкт Файт. Одновременно западнее и юго-западнее озера Балатон войска фронта, действуя совместно с войсками болгарской армии, завершили очищение от противника юго-западной части Венгрии и на территории Югославии заняли населённые пункты Рогачевцы, Домайинци, Скаковци, Липовци, Ганчани, Пинце, Ходошан, Горичан, Дольни Михалевец. В боях за 3 апреля войска фронта взяли в плен более 9.000 солдат и офицеров противника и захватили следующие трофеи: самолётов—142, танков—42, бронетранспортёров—25, полевых орудий—115, пулемётов—484, автомашин—300, паровозов—42, вагонов—680, складов с боеприпасами, вооружением и продовольствием —17.</w:t>
      </w:r>
    </w:p>
    <w:p w14:paraId="1AF77F57" w14:textId="77777777" w:rsidR="003028CD" w:rsidRPr="00925F26" w:rsidRDefault="003028CD" w:rsidP="00925F26">
      <w:pPr>
        <w:jc w:val="both"/>
        <w:rPr>
          <w:color w:val="000000" w:themeColor="text1"/>
          <w:sz w:val="16"/>
          <w:szCs w:val="16"/>
        </w:rPr>
      </w:pPr>
      <w:r w:rsidRPr="00925F26">
        <w:rPr>
          <w:color w:val="000000" w:themeColor="text1"/>
          <w:sz w:val="16"/>
          <w:szCs w:val="16"/>
        </w:rPr>
        <w:t>В результате наступления с 16 марта по 4 апреля войска 2-го и 3-го Украинских фронтов завершили освобождение от немецких захватчиков всей территории Венгрии.</w:t>
      </w:r>
    </w:p>
    <w:p w14:paraId="23DCE481" w14:textId="77777777" w:rsidR="003028CD" w:rsidRPr="00925F26" w:rsidRDefault="003028CD"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произошло.</w:t>
      </w:r>
    </w:p>
    <w:p w14:paraId="6C36EFAB" w14:textId="77777777" w:rsidR="003028CD" w:rsidRPr="00925F26" w:rsidRDefault="003028CD" w:rsidP="00925F26">
      <w:pPr>
        <w:jc w:val="both"/>
        <w:rPr>
          <w:color w:val="000000" w:themeColor="text1"/>
          <w:sz w:val="16"/>
          <w:szCs w:val="16"/>
        </w:rPr>
      </w:pPr>
      <w:r w:rsidRPr="00925F26">
        <w:rPr>
          <w:color w:val="000000" w:themeColor="text1"/>
          <w:sz w:val="16"/>
          <w:szCs w:val="16"/>
        </w:rPr>
        <w:t>За 3 апреля на всех фронтах подбито и уничтожено 26 немецких танков и самоходных орудий. В воздушных боях и огнём зенитной артиллерии сбито 29 самолётов противника.</w:t>
      </w:r>
    </w:p>
    <w:p w14:paraId="129565EA" w14:textId="77777777" w:rsidR="003028CD" w:rsidRPr="00925F26" w:rsidRDefault="003028CD" w:rsidP="00925F26">
      <w:pPr>
        <w:jc w:val="both"/>
        <w:rPr>
          <w:color w:val="000000" w:themeColor="text1"/>
          <w:sz w:val="16"/>
          <w:szCs w:val="16"/>
        </w:rPr>
      </w:pPr>
      <w:r w:rsidRPr="00925F26">
        <w:rPr>
          <w:color w:val="000000" w:themeColor="text1"/>
          <w:sz w:val="16"/>
          <w:szCs w:val="16"/>
        </w:rPr>
        <w:t>Юго-западнее города Новы Тарг войска 4-го Украинского фронта совместно с чехословацкими войсками вели наступательные бои. Действуя в трудных условиях, наши части переправились через реку Орава и, продвигаясь вперёд, выбили немцев из сильно укреплённого опорного пункта Наместово. На поле боя остались сотни вражеских трупов. Сожжено 3 немецких танка и 6 самоходных орудий. Захвачены пленные и трофеи. В бою за населённый пункт Святой Микулаш отличилась группа наших автоматчиков во главе с сержантом Евсеевым. Автоматчики стремительно атаковали вражеские огневые позиции, перебили немцев и захватили орудия двух батареи противника. Лётчик-истребитель младший лейтенант Губанов атаковал самолёты противника, пытавшегося приблизится к переправе через реку. В коротком воздушном бою тов. Губанов убил 3 немецких бомбардировщика. Зенитчики капитана Мезинцева в течение дня уничтожили 4 истребителя противника.</w:t>
      </w:r>
    </w:p>
    <w:p w14:paraId="08737FFA" w14:textId="77777777" w:rsidR="003028CD" w:rsidRPr="00925F26" w:rsidRDefault="003028CD" w:rsidP="00925F26">
      <w:pPr>
        <w:jc w:val="both"/>
        <w:rPr>
          <w:color w:val="000000" w:themeColor="text1"/>
          <w:sz w:val="16"/>
          <w:szCs w:val="16"/>
        </w:rPr>
      </w:pPr>
      <w:r w:rsidRPr="00925F26">
        <w:rPr>
          <w:color w:val="000000" w:themeColor="text1"/>
          <w:sz w:val="16"/>
          <w:szCs w:val="16"/>
        </w:rPr>
        <w:lastRenderedPageBreak/>
        <w:t>Войска 2-го Украинского фронта развивали успешное наступление. Гвардейские пехотные части и танки, выйдя вчера к Братиславе, развернули бои за этот мощный опорный пункт обороны немцев на Дунае. На подступах к городу противник построил артиллерийские и пулемётные доты и другие оборонительные сооружения. Немцы сосредоточили в районе города четыре пехотные дивизии, ряд специальных подразделений, бригаду штурмовых орудий и оказывали упорное сопротивление. Штурм города начался артиллерийской и авиационной подготовкой. Следуя за огневым валом артиллерии, наши бойцы ворвались на восточные окраины Братиславы и отвлекли на себя основные вражеские силы. Тем временам другие советские части продвинулись по восточным склонам Малых Карпат и нанести удар с севера. Завязались ожесточённые уличные бои. Вражеские танки, самоходные орудия и пехота неоднократно переходили в контратаки, но не смогли одержать стремительного натиска наших войск. Советские части прорвались в центр города и сломили сопротивление противника. Главный город Словакии очищен от немецких захватчиков.</w:t>
      </w:r>
    </w:p>
    <w:p w14:paraId="5201559D" w14:textId="77777777" w:rsidR="003028CD" w:rsidRPr="00925F26" w:rsidRDefault="003028CD" w:rsidP="00925F26">
      <w:pPr>
        <w:jc w:val="both"/>
        <w:rPr>
          <w:color w:val="000000" w:themeColor="text1"/>
          <w:sz w:val="16"/>
          <w:szCs w:val="16"/>
        </w:rPr>
      </w:pPr>
      <w:r w:rsidRPr="00925F26">
        <w:rPr>
          <w:color w:val="000000" w:themeColor="text1"/>
          <w:sz w:val="16"/>
          <w:szCs w:val="16"/>
        </w:rPr>
        <w:t>Братислава — важнейший промышленный центр и порт на Дунае. В городе сосредоточены электротехнические, машиностроительные, авиационные, химические и металлургические заводы. В Братиславе находится самая крупная электростанция Чехословакии.</w:t>
      </w:r>
    </w:p>
    <w:p w14:paraId="183E3FEE" w14:textId="77777777" w:rsidR="003028CD" w:rsidRPr="00925F26" w:rsidRDefault="003028CD" w:rsidP="00925F26">
      <w:pPr>
        <w:jc w:val="both"/>
        <w:rPr>
          <w:color w:val="000000" w:themeColor="text1"/>
          <w:sz w:val="16"/>
          <w:szCs w:val="16"/>
        </w:rPr>
      </w:pPr>
      <w:r w:rsidRPr="00925F26">
        <w:rPr>
          <w:color w:val="000000" w:themeColor="text1"/>
          <w:sz w:val="16"/>
          <w:szCs w:val="16"/>
        </w:rPr>
        <w:t>Севернее Братиславы наши войска преодолели горы Малые Карпаты. По Малым Карпатам проходил укреплённый оборонительный рубеж, строительство которого немцы начали в январе 1944 года. Этот рубеж состоял из железобетонных дотов, расположенных в два ряда в шахматном порядке. Немцы также построили много укреплений полевого типа: две—три линии траншей с ходами сообщения, противотанковые рвы и проволочные заграждения. После ожесточённых боёв на горных перевалах наши пехотные, кавалерийские и танковые части овладели этим рубежом обороны противника. Заняты узел железных дорог Рарбок и несколько населённых пунктов, расположенных на западных склонах Малых Карпат. В боях за день в этом районе уничтожено до 3 тысяч немецких солдат и офицеров. Захвачено много трофеев.</w:t>
      </w:r>
    </w:p>
    <w:p w14:paraId="27274369" w14:textId="77777777" w:rsidR="003028CD" w:rsidRPr="00925F26" w:rsidRDefault="003028CD" w:rsidP="00925F26">
      <w:pPr>
        <w:jc w:val="both"/>
        <w:rPr>
          <w:color w:val="000000" w:themeColor="text1"/>
          <w:sz w:val="16"/>
          <w:szCs w:val="16"/>
        </w:rPr>
      </w:pPr>
      <w:r w:rsidRPr="00925F26">
        <w:rPr>
          <w:color w:val="000000" w:themeColor="text1"/>
          <w:sz w:val="16"/>
          <w:szCs w:val="16"/>
        </w:rPr>
        <w:t>Юго-восточнее и южнее Вены наши войска продолжали наступление. Противник, опираясь на многочисленные речки и каналы, оказывает упорное сопротивление. Немцы всё время подводят свежие силы и бросают их в контратаки. Советские части переправились через Нойштадтский канал и штурмом овладели городом Баден. На другом участке наши войска заняли ряд опорных пунктов и ведут бои за переправы через реку Вербах в 8 километрах от Вены.</w:t>
      </w:r>
    </w:p>
    <w:p w14:paraId="2851E498" w14:textId="77777777" w:rsidR="003028CD" w:rsidRPr="00925F26" w:rsidRDefault="003028CD" w:rsidP="00925F26">
      <w:pPr>
        <w:jc w:val="both"/>
        <w:rPr>
          <w:color w:val="000000" w:themeColor="text1"/>
          <w:sz w:val="16"/>
          <w:szCs w:val="16"/>
        </w:rPr>
      </w:pPr>
      <w:r w:rsidRPr="00925F26">
        <w:rPr>
          <w:color w:val="000000" w:themeColor="text1"/>
          <w:sz w:val="16"/>
          <w:szCs w:val="16"/>
        </w:rPr>
        <w:t>Западнее и юго-западнее озера Балатон наши войска с боями продвинулись вперёд на 20 километров. Захвачено много вооружения и складов с различными военными материалами. Бойцы одной нашей части взяли в плен немецкого офицера и группу солдат. Пленный офицер сообщил, что его солдаты прикрывали отход батальона, который сейчас находится в соседнем селе. Советские подразделения быстро отрезали врагу пути отхода. Затем гвардии младший лейтенант Коростылёв, сержанты Дорошенко и Бардюков, захватив с собой пленного офицера, пробрались в село, пришли к командиру немецкого батальона и предложили ему капитулировать. Батальон сложил оружие и в полном составе сдался в плен.» (15089).</w:t>
      </w:r>
    </w:p>
    <w:p w14:paraId="68BB5FB3" w14:textId="77777777" w:rsidR="003028CD" w:rsidRPr="00925F26" w:rsidRDefault="003028CD" w:rsidP="00925F26">
      <w:pPr>
        <w:jc w:val="both"/>
        <w:rPr>
          <w:color w:val="000000" w:themeColor="text1"/>
          <w:sz w:val="16"/>
          <w:szCs w:val="16"/>
        </w:rPr>
      </w:pPr>
    </w:p>
    <w:p w14:paraId="775356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4 апреля 1945 г. из 169 самолетов Ер-2, отправленных с завода № 39, 14 нуждались в замене 20 моторов, на шести требовалась отладка двигателей и замена отдельных агрегатов. Девять машин совершили вынужденную посадку на трассе с убранным шасси (11994).</w:t>
      </w:r>
    </w:p>
    <w:p w14:paraId="533CA5D0" w14:textId="77777777" w:rsidR="00665165" w:rsidRPr="00925F26" w:rsidRDefault="00665165" w:rsidP="00925F26">
      <w:pPr>
        <w:autoSpaceDE w:val="0"/>
        <w:autoSpaceDN w:val="0"/>
        <w:adjustRightInd w:val="0"/>
        <w:jc w:val="both"/>
        <w:rPr>
          <w:color w:val="000000" w:themeColor="text1"/>
          <w:sz w:val="16"/>
          <w:szCs w:val="16"/>
        </w:rPr>
      </w:pPr>
    </w:p>
    <w:p w14:paraId="58B1F31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апреля 1945 советские войска полностью изгнали фашистов из Венгрии и освободили Братиславу (4962).</w:t>
      </w:r>
    </w:p>
    <w:p w14:paraId="3DC824C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237DB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КА освободила Братиславу (3186). Это были 7ГА (М.С.Шумилов), 1ГК-МГ (И.А.Плиев), дунайская флотилия (Г.Н.Холостяков) и 5ВА (С.К.Горюнов) (3398,137).</w:t>
      </w:r>
    </w:p>
    <w:p w14:paraId="73EEBAB0" w14:textId="77777777" w:rsidR="00665165" w:rsidRPr="00925F26" w:rsidRDefault="00665165" w:rsidP="00925F26">
      <w:pPr>
        <w:autoSpaceDE w:val="0"/>
        <w:autoSpaceDN w:val="0"/>
        <w:adjustRightInd w:val="0"/>
        <w:jc w:val="both"/>
        <w:rPr>
          <w:color w:val="000000" w:themeColor="text1"/>
          <w:sz w:val="16"/>
          <w:szCs w:val="16"/>
        </w:rPr>
      </w:pPr>
    </w:p>
    <w:p w14:paraId="287CE58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A7F368D" w14:textId="77777777" w:rsidR="00665165" w:rsidRPr="00925F26" w:rsidRDefault="00665165" w:rsidP="00925F26">
      <w:pPr>
        <w:autoSpaceDE w:val="0"/>
        <w:autoSpaceDN w:val="0"/>
        <w:adjustRightInd w:val="0"/>
        <w:jc w:val="both"/>
        <w:rPr>
          <w:iCs/>
          <w:color w:val="000000" w:themeColor="text1"/>
          <w:sz w:val="16"/>
          <w:szCs w:val="16"/>
        </w:rPr>
      </w:pPr>
    </w:p>
    <w:p w14:paraId="5D5CA1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апреля 1945 года Приказом НКВД СССР №066 была </w:t>
      </w:r>
      <w:proofErr w:type="gramStart"/>
      <w:r w:rsidRPr="00925F26">
        <w:rPr>
          <w:color w:val="000000" w:themeColor="text1"/>
          <w:sz w:val="16"/>
          <w:szCs w:val="16"/>
        </w:rPr>
        <w:t>объявлена</w:t>
      </w:r>
      <w:proofErr w:type="gramEnd"/>
      <w:r w:rsidRPr="00925F26">
        <w:rPr>
          <w:color w:val="000000" w:themeColor="text1"/>
          <w:sz w:val="16"/>
          <w:szCs w:val="16"/>
        </w:rPr>
        <w:t xml:space="preserve"> "Инструкция о порядке конвоирования военнопленных и интернированных частями конвойных войск НКВД СССР по железнодорожным путям" (8983).</w:t>
      </w:r>
    </w:p>
    <w:p w14:paraId="45A7DE21" w14:textId="77777777" w:rsidR="00665165" w:rsidRPr="00925F26" w:rsidRDefault="00665165" w:rsidP="00925F26">
      <w:pPr>
        <w:autoSpaceDE w:val="0"/>
        <w:autoSpaceDN w:val="0"/>
        <w:adjustRightInd w:val="0"/>
        <w:jc w:val="both"/>
        <w:rPr>
          <w:color w:val="000000" w:themeColor="text1"/>
          <w:sz w:val="16"/>
          <w:szCs w:val="16"/>
        </w:rPr>
      </w:pPr>
    </w:p>
    <w:p w14:paraId="5401744D"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56D77F6B" w14:textId="77777777" w:rsidR="00665165" w:rsidRPr="00925F26" w:rsidRDefault="00665165" w:rsidP="00925F26">
      <w:pPr>
        <w:autoSpaceDE w:val="0"/>
        <w:autoSpaceDN w:val="0"/>
        <w:adjustRightInd w:val="0"/>
        <w:jc w:val="both"/>
        <w:rPr>
          <w:iCs/>
          <w:color w:val="000000" w:themeColor="text1"/>
          <w:sz w:val="16"/>
          <w:szCs w:val="16"/>
          <w:lang w:val="en-US"/>
        </w:rPr>
      </w:pPr>
    </w:p>
    <w:p w14:paraId="244016B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4th, 1945: The British Second Army captures Osnabruck, while the US Third Army (Patton) advancing toward Leipzig takes Suhl and Gotha. The US 8th Air Force launches its heaviest raid to date (700 bombers) against Kiel on the Baltic (3819).</w:t>
      </w:r>
    </w:p>
    <w:p w14:paraId="49B46B6F" w14:textId="77777777" w:rsidR="00665165" w:rsidRPr="00925F26" w:rsidRDefault="00665165" w:rsidP="00925F26">
      <w:pPr>
        <w:autoSpaceDE w:val="0"/>
        <w:autoSpaceDN w:val="0"/>
        <w:adjustRightInd w:val="0"/>
        <w:jc w:val="both"/>
        <w:rPr>
          <w:color w:val="000000" w:themeColor="text1"/>
          <w:sz w:val="16"/>
          <w:szCs w:val="16"/>
          <w:lang w:val="en-US"/>
        </w:rPr>
      </w:pPr>
    </w:p>
    <w:p w14:paraId="298A4B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апреля 1945 британская 2А захватила Оснабрюк, 3А США продвинулась на Лейпциг и взяла Зуль и Готу. 8ВА совершила мощнейший налет (700 б) на Киль (3819).</w:t>
      </w:r>
    </w:p>
    <w:p w14:paraId="3990A62F" w14:textId="77777777" w:rsidR="00665165" w:rsidRPr="00925F26" w:rsidRDefault="00665165" w:rsidP="00925F26">
      <w:pPr>
        <w:autoSpaceDE w:val="0"/>
        <w:autoSpaceDN w:val="0"/>
        <w:adjustRightInd w:val="0"/>
        <w:jc w:val="both"/>
        <w:rPr>
          <w:color w:val="000000" w:themeColor="text1"/>
          <w:sz w:val="16"/>
          <w:szCs w:val="16"/>
        </w:rPr>
      </w:pPr>
    </w:p>
    <w:p w14:paraId="2665C01B" w14:textId="77777777" w:rsidR="00800D27" w:rsidRPr="00925F26" w:rsidRDefault="00800D27" w:rsidP="00925F26">
      <w:pPr>
        <w:jc w:val="both"/>
        <w:rPr>
          <w:color w:val="000000" w:themeColor="text1"/>
          <w:sz w:val="16"/>
          <w:szCs w:val="16"/>
        </w:rPr>
      </w:pPr>
      <w:r w:rsidRPr="00925F26">
        <w:rPr>
          <w:color w:val="000000" w:themeColor="text1"/>
          <w:sz w:val="16"/>
          <w:szCs w:val="16"/>
        </w:rPr>
        <w:t>4 апреля 1935 во время испытаний резиновых настилов, которые будут установлены на будущих авианосцах, пилот-испытатель Королевского флота капитан Эрик "Винкль" Браун объявляет свою Bell Airacobra AH574 на борт авианосца HMS Pretoria Castle . Это мир первая посадка на авианосец самолета с убирающимся трехколесным шасси (20371).</w:t>
      </w:r>
    </w:p>
    <w:p w14:paraId="2887A07B" w14:textId="77777777" w:rsidR="00800D27" w:rsidRPr="00925F26" w:rsidRDefault="00800D27" w:rsidP="00925F26">
      <w:pPr>
        <w:jc w:val="both"/>
        <w:rPr>
          <w:color w:val="000000" w:themeColor="text1"/>
          <w:sz w:val="16"/>
          <w:szCs w:val="16"/>
        </w:rPr>
      </w:pPr>
    </w:p>
    <w:p w14:paraId="7D442B0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B343A42" w14:textId="77777777" w:rsidR="00665165" w:rsidRPr="00925F26" w:rsidRDefault="00665165" w:rsidP="00925F26">
      <w:pPr>
        <w:autoSpaceDE w:val="0"/>
        <w:autoSpaceDN w:val="0"/>
        <w:adjustRightInd w:val="0"/>
        <w:jc w:val="both"/>
        <w:rPr>
          <w:iCs/>
          <w:color w:val="000000" w:themeColor="text1"/>
          <w:sz w:val="16"/>
          <w:szCs w:val="16"/>
        </w:rPr>
      </w:pPr>
    </w:p>
    <w:p w14:paraId="5DABDA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5 апреля по 16 мая 1945 проходили гос. испытания СДБ А.Н.Т. 63/2 (1835,57).</w:t>
      </w:r>
    </w:p>
    <w:p w14:paraId="24DD04C1" w14:textId="77777777" w:rsidR="00665165" w:rsidRPr="00925F26" w:rsidRDefault="00665165" w:rsidP="00925F26">
      <w:pPr>
        <w:autoSpaceDE w:val="0"/>
        <w:autoSpaceDN w:val="0"/>
        <w:adjustRightInd w:val="0"/>
        <w:jc w:val="both"/>
        <w:rPr>
          <w:color w:val="000000" w:themeColor="text1"/>
          <w:sz w:val="16"/>
          <w:szCs w:val="16"/>
        </w:rPr>
      </w:pPr>
    </w:p>
    <w:p w14:paraId="4E0C19E2" w14:textId="77777777" w:rsidR="003028CD" w:rsidRPr="00925F26" w:rsidRDefault="003028CD" w:rsidP="00925F26">
      <w:pPr>
        <w:jc w:val="both"/>
        <w:rPr>
          <w:color w:val="000000" w:themeColor="text1"/>
          <w:sz w:val="16"/>
          <w:szCs w:val="16"/>
        </w:rPr>
      </w:pPr>
      <w:r w:rsidRPr="00925F26">
        <w:rPr>
          <w:bCs/>
          <w:color w:val="000000" w:themeColor="text1"/>
          <w:sz w:val="16"/>
          <w:szCs w:val="16"/>
        </w:rPr>
        <w:t>5 апреля</w:t>
      </w:r>
      <w:r w:rsidRPr="00925F26">
        <w:rPr>
          <w:color w:val="000000" w:themeColor="text1"/>
          <w:sz w:val="16"/>
          <w:szCs w:val="16"/>
        </w:rPr>
        <w:t xml:space="preserve"> в 1945 году начались (по 16 мая) Государственные испытания скоростного дневного бомбардировщика </w:t>
      </w:r>
      <w:hyperlink r:id="rId94" w:tgtFrame="_blank" w:history="1">
        <w:r w:rsidRPr="00925F26">
          <w:rPr>
            <w:color w:val="000000" w:themeColor="text1"/>
            <w:sz w:val="16"/>
            <w:szCs w:val="16"/>
          </w:rPr>
          <w:t xml:space="preserve">«СДБ». </w:t>
        </w:r>
      </w:hyperlink>
      <w:r w:rsidRPr="00925F26">
        <w:rPr>
          <w:color w:val="000000" w:themeColor="text1"/>
          <w:sz w:val="16"/>
          <w:szCs w:val="16"/>
        </w:rPr>
        <w:t>ОКБ Туполева. В отчете отмечалось, что машина по своим лётным данным значительно превосходит однотипные отечественные и зарубежные самолёты, в том числе и «Москито». Был отмечен и ряд дефектов, наиболее серьезным из которых признали недостаточный обзор штурмана. Самолет не был рекомендован в серию, так как уже начинались испытания машины «68» («Ту-10»), от которой ждали еще более высоких характеристик (15090).</w:t>
      </w:r>
    </w:p>
    <w:p w14:paraId="4149CEAA" w14:textId="77777777" w:rsidR="003028CD" w:rsidRPr="00925F26" w:rsidRDefault="003028CD" w:rsidP="00925F26">
      <w:pPr>
        <w:jc w:val="both"/>
        <w:rPr>
          <w:color w:val="000000" w:themeColor="text1"/>
          <w:sz w:val="16"/>
          <w:szCs w:val="16"/>
        </w:rPr>
      </w:pPr>
    </w:p>
    <w:p w14:paraId="6360BE25" w14:textId="77777777" w:rsidR="00290C82" w:rsidRPr="001A0BAA" w:rsidRDefault="00290C82" w:rsidP="00290C82">
      <w:pPr>
        <w:jc w:val="both"/>
        <w:rPr>
          <w:color w:val="0070C0"/>
          <w:sz w:val="16"/>
          <w:szCs w:val="16"/>
        </w:rPr>
      </w:pPr>
      <w:r w:rsidRPr="001A0BAA">
        <w:rPr>
          <w:color w:val="0070C0"/>
          <w:sz w:val="16"/>
          <w:szCs w:val="16"/>
        </w:rPr>
        <w:t>С 5 апреля по 16 мая 1945 года длились государственные испытания второго СДБ - «63/2».</w:t>
      </w:r>
    </w:p>
    <w:p w14:paraId="116B86EF" w14:textId="77777777" w:rsidR="00290C82" w:rsidRPr="001A0BAA" w:rsidRDefault="00290C82" w:rsidP="00290C82">
      <w:pPr>
        <w:jc w:val="both"/>
        <w:rPr>
          <w:color w:val="0070C0"/>
          <w:sz w:val="16"/>
          <w:szCs w:val="16"/>
        </w:rPr>
      </w:pPr>
      <w:r w:rsidRPr="001A0BAA">
        <w:rPr>
          <w:color w:val="0070C0"/>
          <w:sz w:val="16"/>
          <w:szCs w:val="16"/>
        </w:rPr>
        <w:t>В отличие от своего предшественника, «63/2» создали на базе серийного Ту</w:t>
      </w:r>
      <w:r w:rsidRPr="001A0BAA">
        <w:rPr>
          <w:color w:val="0070C0"/>
          <w:sz w:val="16"/>
          <w:szCs w:val="16"/>
        </w:rPr>
        <w:noBreakHyphen/>
        <w:t>2. Он отличался следующими деталями:</w:t>
      </w:r>
    </w:p>
    <w:p w14:paraId="65242B1B" w14:textId="77777777" w:rsidR="00290C82" w:rsidRPr="001A0BAA" w:rsidRDefault="00290C82" w:rsidP="00290C82">
      <w:pPr>
        <w:jc w:val="both"/>
        <w:rPr>
          <w:color w:val="0070C0"/>
          <w:sz w:val="16"/>
          <w:szCs w:val="16"/>
        </w:rPr>
      </w:pPr>
      <w:r w:rsidRPr="001A0BAA">
        <w:rPr>
          <w:color w:val="0070C0"/>
          <w:sz w:val="16"/>
          <w:szCs w:val="16"/>
        </w:rPr>
        <w:t>Новое одностоечное шасси;</w:t>
      </w:r>
    </w:p>
    <w:p w14:paraId="37969210" w14:textId="77777777" w:rsidR="00290C82" w:rsidRPr="001A0BAA" w:rsidRDefault="00290C82" w:rsidP="00290C82">
      <w:pPr>
        <w:jc w:val="both"/>
        <w:rPr>
          <w:color w:val="0070C0"/>
          <w:sz w:val="16"/>
          <w:szCs w:val="16"/>
        </w:rPr>
      </w:pPr>
      <w:r w:rsidRPr="001A0BAA">
        <w:rPr>
          <w:color w:val="0070C0"/>
          <w:sz w:val="16"/>
          <w:szCs w:val="16"/>
        </w:rPr>
        <w:t>Улучшенный обзор из кабины пилота и стрелка;</w:t>
      </w:r>
    </w:p>
    <w:p w14:paraId="266E2ED4" w14:textId="77777777" w:rsidR="00290C82" w:rsidRPr="001A0BAA" w:rsidRDefault="00290C82" w:rsidP="00290C82">
      <w:pPr>
        <w:jc w:val="both"/>
        <w:rPr>
          <w:color w:val="0070C0"/>
          <w:sz w:val="16"/>
          <w:szCs w:val="16"/>
        </w:rPr>
      </w:pPr>
      <w:r w:rsidRPr="001A0BAA">
        <w:rPr>
          <w:color w:val="0070C0"/>
          <w:sz w:val="16"/>
          <w:szCs w:val="16"/>
        </w:rPr>
        <w:t>Увеличенная с 4,37 до 5,81 м² площадь хвостового оперения;</w:t>
      </w:r>
    </w:p>
    <w:p w14:paraId="6C074BA3" w14:textId="77777777" w:rsidR="00290C82" w:rsidRPr="001A0BAA" w:rsidRDefault="00290C82" w:rsidP="00290C82">
      <w:pPr>
        <w:jc w:val="both"/>
        <w:rPr>
          <w:color w:val="0070C0"/>
          <w:sz w:val="16"/>
          <w:szCs w:val="16"/>
        </w:rPr>
      </w:pPr>
      <w:r w:rsidRPr="001A0BAA">
        <w:rPr>
          <w:color w:val="0070C0"/>
          <w:sz w:val="16"/>
          <w:szCs w:val="16"/>
        </w:rPr>
        <w:t>Места экипажа оснащены бронезащитой, а численность экипажа увеличилась до трех человек;</w:t>
      </w:r>
    </w:p>
    <w:p w14:paraId="6EED9723" w14:textId="77777777" w:rsidR="00290C82" w:rsidRPr="001A0BAA" w:rsidRDefault="00290C82" w:rsidP="00290C82">
      <w:pPr>
        <w:jc w:val="both"/>
        <w:rPr>
          <w:color w:val="0070C0"/>
          <w:sz w:val="16"/>
          <w:szCs w:val="16"/>
        </w:rPr>
      </w:pPr>
      <w:r w:rsidRPr="001A0BAA">
        <w:rPr>
          <w:color w:val="0070C0"/>
          <w:sz w:val="16"/>
          <w:szCs w:val="16"/>
        </w:rPr>
        <w:t>На самолет поставили новые двигатели АМ</w:t>
      </w:r>
      <w:r w:rsidRPr="001A0BAA">
        <w:rPr>
          <w:color w:val="0070C0"/>
          <w:sz w:val="16"/>
          <w:szCs w:val="16"/>
        </w:rPr>
        <w:noBreakHyphen/>
        <w:t>39Ф;</w:t>
      </w:r>
    </w:p>
    <w:p w14:paraId="2BCBFB59" w14:textId="77777777" w:rsidR="00290C82" w:rsidRPr="001A0BAA" w:rsidRDefault="00290C82" w:rsidP="00290C82">
      <w:pPr>
        <w:jc w:val="both"/>
        <w:rPr>
          <w:color w:val="0070C0"/>
          <w:sz w:val="16"/>
          <w:szCs w:val="16"/>
        </w:rPr>
      </w:pPr>
      <w:r w:rsidRPr="001A0BAA">
        <w:rPr>
          <w:color w:val="0070C0"/>
          <w:sz w:val="16"/>
          <w:szCs w:val="16"/>
        </w:rPr>
        <w:t>Вооружение усилили двумя 12,7</w:t>
      </w:r>
      <w:r w:rsidRPr="001A0BAA">
        <w:rPr>
          <w:color w:val="0070C0"/>
          <w:sz w:val="16"/>
          <w:szCs w:val="16"/>
        </w:rPr>
        <w:noBreakHyphen/>
        <w:t>мм пулеметами.</w:t>
      </w:r>
    </w:p>
    <w:p w14:paraId="4B7652E2" w14:textId="77777777" w:rsidR="00290C82" w:rsidRPr="001A0BAA" w:rsidRDefault="00290C82" w:rsidP="00290C82">
      <w:pPr>
        <w:jc w:val="both"/>
        <w:rPr>
          <w:color w:val="0070C0"/>
          <w:sz w:val="16"/>
          <w:szCs w:val="16"/>
        </w:rPr>
      </w:pPr>
      <w:r w:rsidRPr="001A0BAA">
        <w:rPr>
          <w:color w:val="0070C0"/>
          <w:sz w:val="16"/>
          <w:szCs w:val="16"/>
        </w:rPr>
        <w:t>Самолет показал следующие характеристики:</w:t>
      </w:r>
    </w:p>
    <w:p w14:paraId="155681DE" w14:textId="77777777" w:rsidR="00290C82" w:rsidRPr="001A0BAA" w:rsidRDefault="00290C82" w:rsidP="00290C82">
      <w:pPr>
        <w:jc w:val="both"/>
        <w:rPr>
          <w:color w:val="0070C0"/>
          <w:sz w:val="16"/>
          <w:szCs w:val="16"/>
        </w:rPr>
      </w:pPr>
      <w:r w:rsidRPr="001A0BAA">
        <w:rPr>
          <w:color w:val="0070C0"/>
          <w:sz w:val="16"/>
          <w:szCs w:val="16"/>
        </w:rPr>
        <w:t>Взлетная масса: 10925 кг</w:t>
      </w:r>
    </w:p>
    <w:p w14:paraId="32C0EC5A" w14:textId="77777777" w:rsidR="00290C82" w:rsidRPr="001A0BAA" w:rsidRDefault="00290C82" w:rsidP="00290C82">
      <w:pPr>
        <w:jc w:val="both"/>
        <w:rPr>
          <w:color w:val="0070C0"/>
          <w:sz w:val="16"/>
          <w:szCs w:val="16"/>
        </w:rPr>
      </w:pPr>
      <w:r w:rsidRPr="001A0BAA">
        <w:rPr>
          <w:color w:val="0070C0"/>
          <w:sz w:val="16"/>
          <w:szCs w:val="16"/>
        </w:rPr>
        <w:t>Нормальная бомбовая нагрузка: 1000 кг</w:t>
      </w:r>
    </w:p>
    <w:p w14:paraId="2E381635" w14:textId="77777777" w:rsidR="00290C82" w:rsidRPr="001A0BAA" w:rsidRDefault="00290C82" w:rsidP="00290C82">
      <w:pPr>
        <w:jc w:val="both"/>
        <w:rPr>
          <w:color w:val="0070C0"/>
          <w:sz w:val="16"/>
          <w:szCs w:val="16"/>
        </w:rPr>
      </w:pPr>
      <w:r w:rsidRPr="001A0BAA">
        <w:rPr>
          <w:color w:val="0070C0"/>
          <w:sz w:val="16"/>
          <w:szCs w:val="16"/>
        </w:rPr>
        <w:t>Максимальная бомбовая нагрузка: 4000 кг</w:t>
      </w:r>
    </w:p>
    <w:p w14:paraId="38B8BD1B" w14:textId="77777777" w:rsidR="00290C82" w:rsidRPr="001A0BAA" w:rsidRDefault="00290C82" w:rsidP="00290C82">
      <w:pPr>
        <w:jc w:val="both"/>
        <w:rPr>
          <w:color w:val="0070C0"/>
          <w:sz w:val="16"/>
          <w:szCs w:val="16"/>
        </w:rPr>
      </w:pPr>
      <w:r w:rsidRPr="001A0BAA">
        <w:rPr>
          <w:color w:val="0070C0"/>
          <w:sz w:val="16"/>
          <w:szCs w:val="16"/>
        </w:rPr>
        <w:t>Максимальная скорость: 640 км/ч на высоте 6850 м</w:t>
      </w:r>
    </w:p>
    <w:p w14:paraId="223B8416" w14:textId="77777777" w:rsidR="00290C82" w:rsidRPr="001A0BAA" w:rsidRDefault="00290C82" w:rsidP="00290C82">
      <w:pPr>
        <w:jc w:val="both"/>
        <w:rPr>
          <w:color w:val="0070C0"/>
          <w:sz w:val="16"/>
          <w:szCs w:val="16"/>
        </w:rPr>
      </w:pPr>
      <w:r w:rsidRPr="001A0BAA">
        <w:rPr>
          <w:color w:val="0070C0"/>
          <w:sz w:val="16"/>
          <w:szCs w:val="16"/>
        </w:rPr>
        <w:t>Скороподъемность: 5000 м за 8,7 мин</w:t>
      </w:r>
    </w:p>
    <w:p w14:paraId="6046FA36" w14:textId="77777777" w:rsidR="00290C82" w:rsidRPr="001A0BAA" w:rsidRDefault="00290C82" w:rsidP="00290C82">
      <w:pPr>
        <w:jc w:val="both"/>
        <w:rPr>
          <w:color w:val="0070C0"/>
          <w:sz w:val="16"/>
          <w:szCs w:val="16"/>
        </w:rPr>
      </w:pPr>
      <w:r w:rsidRPr="001A0BAA">
        <w:rPr>
          <w:color w:val="0070C0"/>
          <w:sz w:val="16"/>
          <w:szCs w:val="16"/>
        </w:rPr>
        <w:t>Потолок: 10000 м</w:t>
      </w:r>
    </w:p>
    <w:p w14:paraId="1DF9C8A1" w14:textId="77777777" w:rsidR="00290C82" w:rsidRPr="001A0BAA" w:rsidRDefault="00290C82" w:rsidP="00290C82">
      <w:pPr>
        <w:jc w:val="both"/>
        <w:rPr>
          <w:color w:val="0070C0"/>
          <w:sz w:val="16"/>
          <w:szCs w:val="16"/>
        </w:rPr>
      </w:pPr>
      <w:r w:rsidRPr="001A0BAA">
        <w:rPr>
          <w:color w:val="0070C0"/>
          <w:sz w:val="16"/>
          <w:szCs w:val="16"/>
        </w:rPr>
        <w:t>Техническая дальность полета: 1530 км.</w:t>
      </w:r>
    </w:p>
    <w:p w14:paraId="12928841" w14:textId="77777777" w:rsidR="00290C82" w:rsidRPr="001A0BAA" w:rsidRDefault="00290C82" w:rsidP="00290C82">
      <w:pPr>
        <w:jc w:val="both"/>
        <w:rPr>
          <w:color w:val="0070C0"/>
          <w:sz w:val="16"/>
          <w:szCs w:val="16"/>
        </w:rPr>
      </w:pPr>
      <w:r w:rsidRPr="001A0BAA">
        <w:rPr>
          <w:color w:val="0070C0"/>
          <w:sz w:val="16"/>
          <w:szCs w:val="16"/>
        </w:rPr>
        <w:t>Самолет «63/2» по своим характеристикам значительно превосходил все советские и иностранные самолеты своего типа, в том числе и «Mosquito», но рекомендации в серию не получил из</w:t>
      </w:r>
      <w:r w:rsidRPr="001A0BAA">
        <w:rPr>
          <w:color w:val="0070C0"/>
          <w:sz w:val="16"/>
          <w:szCs w:val="16"/>
        </w:rPr>
        <w:noBreakHyphen/>
      </w:r>
      <w:proofErr w:type="gramStart"/>
      <w:r w:rsidRPr="001A0BAA">
        <w:rPr>
          <w:color w:val="0070C0"/>
          <w:sz w:val="16"/>
          <w:szCs w:val="16"/>
        </w:rPr>
        <w:t>за плохого обзора</w:t>
      </w:r>
      <w:proofErr w:type="gramEnd"/>
      <w:r w:rsidRPr="001A0BAA">
        <w:rPr>
          <w:color w:val="0070C0"/>
          <w:sz w:val="16"/>
          <w:szCs w:val="16"/>
        </w:rPr>
        <w:t xml:space="preserve"> из кабины штурмана. В 1946 году «63/2» переделали в двухмоторный истребитель</w:t>
      </w:r>
      <w:r w:rsidRPr="001A0BAA">
        <w:rPr>
          <w:color w:val="0070C0"/>
          <w:sz w:val="16"/>
          <w:szCs w:val="16"/>
        </w:rPr>
        <w:noBreakHyphen/>
        <w:t>перехватчик «63П» (25073).</w:t>
      </w:r>
    </w:p>
    <w:p w14:paraId="1A81EF32" w14:textId="77777777" w:rsidR="00290C82" w:rsidRPr="001A0BAA" w:rsidRDefault="00290C82" w:rsidP="00290C82">
      <w:pPr>
        <w:jc w:val="both"/>
        <w:rPr>
          <w:color w:val="0070C0"/>
          <w:sz w:val="16"/>
          <w:szCs w:val="16"/>
        </w:rPr>
      </w:pPr>
    </w:p>
    <w:p w14:paraId="478A28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закончились совместные испытания первого Ту-2Т, сделанного в конце 1944 на основе доработки одного из серийных Ту-2 N 9/14 23 завода. Испытания проходили с 13 февраля 1945 с одной или двумя торпедами 45-36АН или 45-36АНУ со стабилизаторами ЦАГИ, которые подвешивались у бортов фюзеляжа. испытывался в варианте тактического использования для низкого торпедометания. Взлетная масса 11423 кг с одной и 12389 кг с двумя торпедами и скорость была 505 км/час на 2400 с одной и 493 км/час с двумя на 2400 м. В заключении говорилось:</w:t>
      </w:r>
    </w:p>
    <w:p w14:paraId="1A36E6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Ту-2 с моторами АШ-82ФН в варианте низкого торпедоносца и подвешенными одной или двумя торпедами испытания выдержал.</w:t>
      </w:r>
    </w:p>
    <w:p w14:paraId="4738B8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Рекомендовать самолет ту-2 с моторами АШ-82ФН принять на вооружение ВВС ВМФ для целей низкого торпедометания". Ту-2Т делали на 23 заводе с 1946 по 1948 и шел под шифром изделие К (1835,64).</w:t>
      </w:r>
    </w:p>
    <w:p w14:paraId="661CEFF0" w14:textId="77777777" w:rsidR="00665165" w:rsidRPr="00925F26" w:rsidRDefault="00665165" w:rsidP="00925F26">
      <w:pPr>
        <w:autoSpaceDE w:val="0"/>
        <w:autoSpaceDN w:val="0"/>
        <w:adjustRightInd w:val="0"/>
        <w:jc w:val="both"/>
        <w:rPr>
          <w:color w:val="000000" w:themeColor="text1"/>
          <w:sz w:val="16"/>
          <w:szCs w:val="16"/>
        </w:rPr>
      </w:pPr>
    </w:p>
    <w:p w14:paraId="7F2DAE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5 апреля 1945 г. первый Ту-2Т прошел испытания с одной и двумя торпедами в варианте низкого торпедоносца, которые велись с 13 февраля. На испытаниях самолет показал следующие данные с 1 торпедой (с 2 торпедами):</w:t>
      </w:r>
    </w:p>
    <w:p w14:paraId="169E1F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взлетная масса, кг - 11 423 (12 389);</w:t>
      </w:r>
    </w:p>
    <w:p w14:paraId="4B24E5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максимальная скорость, км/ч: у земли - 466 (455); на высоте 1000 м - 482 (471), 2000 м - 498 (488), 2400 м - 505 (493), 3000 м - 489 (475);</w:t>
      </w:r>
    </w:p>
    <w:p w14:paraId="6181A5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дальность полета при взлетной массе 12 400 кг - 2075 км*;</w:t>
      </w:r>
    </w:p>
    <w:p w14:paraId="45B0DD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разбег, м - 540 (605);</w:t>
      </w:r>
    </w:p>
    <w:p w14:paraId="2D261B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пробег, м - 580 (660).</w:t>
      </w:r>
    </w:p>
    <w:p w14:paraId="2A0653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по испытаниям первого Ту-2Т говорилось:</w:t>
      </w:r>
    </w:p>
    <w:p w14:paraId="4FBD69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Ту-2 с моторами АШ-82ФН в варианте низкого торпедоносца и подвешенными одной и двумя торпедами испытания выдержал.</w:t>
      </w:r>
    </w:p>
    <w:p w14:paraId="308EE3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Рекомендовать самолет Ту-2 с моторами АШ-82ФН принять на вооружение Военно-Воздушных Сил ВМФ для целей низкого торпедометания".</w:t>
      </w:r>
    </w:p>
    <w:p w14:paraId="74B331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Эти рекомендации оказались услышанными, и приказом НК ВМФ №0252 от 15.5.1945 Ту-2Т был принят на вооружение. Увы, Великая Отечественная война закончилась неделей раньше, а в советско-японской Ту-2 в морской авиации приняли участие только в роли самолетов-разведчиков. Таким образом, минно- торпедная авиация ВМФ стала единственным родом отечественной сухопутной и морской авиации, который в течение всей Великой Отечественной не получил от родного авиапрома ни одного нового типа самолета (12002).</w:t>
      </w:r>
    </w:p>
    <w:p w14:paraId="197EF99B" w14:textId="77777777" w:rsidR="00665165" w:rsidRPr="00925F26" w:rsidRDefault="00665165" w:rsidP="00925F26">
      <w:pPr>
        <w:autoSpaceDE w:val="0"/>
        <w:autoSpaceDN w:val="0"/>
        <w:adjustRightInd w:val="0"/>
        <w:jc w:val="both"/>
        <w:rPr>
          <w:color w:val="000000" w:themeColor="text1"/>
          <w:sz w:val="16"/>
          <w:szCs w:val="16"/>
        </w:rPr>
      </w:pPr>
    </w:p>
    <w:p w14:paraId="373A7DC2" w14:textId="77777777" w:rsidR="003028CD" w:rsidRPr="00925F26" w:rsidRDefault="003028CD" w:rsidP="00925F26">
      <w:pPr>
        <w:jc w:val="both"/>
        <w:rPr>
          <w:color w:val="000000" w:themeColor="text1"/>
          <w:sz w:val="16"/>
          <w:szCs w:val="16"/>
        </w:rPr>
      </w:pPr>
      <w:r w:rsidRPr="00925F26">
        <w:rPr>
          <w:bCs/>
          <w:color w:val="000000" w:themeColor="text1"/>
          <w:sz w:val="16"/>
          <w:szCs w:val="16"/>
        </w:rPr>
        <w:t>5 апреля</w:t>
      </w:r>
      <w:r w:rsidRPr="00925F26">
        <w:rPr>
          <w:color w:val="000000" w:themeColor="text1"/>
          <w:sz w:val="16"/>
          <w:szCs w:val="16"/>
        </w:rPr>
        <w:t xml:space="preserve"> в 1945 году завершились совместные заводские и государственные испытания </w:t>
      </w:r>
      <w:hyperlink r:id="rId95" w:tgtFrame="_blank" w:history="1">
        <w:r w:rsidRPr="00925F26">
          <w:rPr>
            <w:color w:val="000000" w:themeColor="text1"/>
            <w:sz w:val="16"/>
            <w:szCs w:val="16"/>
          </w:rPr>
          <w:t xml:space="preserve">«Ту-2Т» </w:t>
        </w:r>
      </w:hyperlink>
      <w:r w:rsidRPr="00925F26">
        <w:rPr>
          <w:color w:val="000000" w:themeColor="text1"/>
          <w:sz w:val="16"/>
          <w:szCs w:val="16"/>
        </w:rPr>
        <w:t>№9/14 (начались 13 февраля). Машина испытывалась как с одной, так и с двумя торпедами. По результатам испытаний комиссия пришла к выводу: 1. Самолет «Ту-2Т» 2 АШ-82ФН №9/14 в варианте низкого торпедоносца с подвешенными одной и двумя торпедами испытания выдержал. 2. Рекомендовать самолет «Ту-2Т» принять на вооружение ВВС Военно-морского флота для целей низкого торпедометания" (15090).</w:t>
      </w:r>
    </w:p>
    <w:p w14:paraId="59F75C22" w14:textId="77777777" w:rsidR="003028CD" w:rsidRPr="00925F26" w:rsidRDefault="003028CD" w:rsidP="00925F26">
      <w:pPr>
        <w:jc w:val="both"/>
        <w:rPr>
          <w:color w:val="000000" w:themeColor="text1"/>
          <w:sz w:val="16"/>
          <w:szCs w:val="16"/>
        </w:rPr>
      </w:pPr>
    </w:p>
    <w:p w14:paraId="374EC8C7" w14:textId="77777777" w:rsidR="00147D93" w:rsidRPr="00925F26" w:rsidRDefault="00147D93" w:rsidP="00925F26">
      <w:pPr>
        <w:jc w:val="both"/>
        <w:rPr>
          <w:color w:val="000000" w:themeColor="text1"/>
          <w:sz w:val="16"/>
          <w:szCs w:val="16"/>
        </w:rPr>
      </w:pPr>
      <w:r w:rsidRPr="00925F26">
        <w:rPr>
          <w:color w:val="000000" w:themeColor="text1"/>
          <w:sz w:val="16"/>
          <w:szCs w:val="16"/>
        </w:rPr>
        <w:t>5 апреля 1945 г. первый Ту-2Т закончил испытания с одной и двумя торпедами в варианте низкого торпедоносца, которые шли с 13 февраля. На испытаниях самолет показал следую</w:t>
      </w:r>
      <w:r w:rsidRPr="00925F26">
        <w:rPr>
          <w:color w:val="000000" w:themeColor="text1"/>
          <w:sz w:val="16"/>
          <w:szCs w:val="16"/>
        </w:rPr>
        <w:softHyphen/>
        <w:t>щие данные с одной торпедой с (двумя торпедами).</w:t>
      </w:r>
    </w:p>
    <w:p w14:paraId="6479575A" w14:textId="77777777" w:rsidR="00147D93" w:rsidRPr="00925F26" w:rsidRDefault="00147D93" w:rsidP="00925F26">
      <w:pPr>
        <w:jc w:val="both"/>
        <w:rPr>
          <w:color w:val="000000" w:themeColor="text1"/>
          <w:sz w:val="16"/>
          <w:szCs w:val="16"/>
        </w:rPr>
      </w:pPr>
      <w:r w:rsidRPr="00925F26">
        <w:rPr>
          <w:color w:val="000000" w:themeColor="text1"/>
          <w:sz w:val="16"/>
          <w:szCs w:val="16"/>
        </w:rPr>
        <w:t>- взлетная масса, кг - 11423 (12389);</w:t>
      </w:r>
    </w:p>
    <w:p w14:paraId="1E190877" w14:textId="77777777" w:rsidR="00147D93" w:rsidRPr="00925F26" w:rsidRDefault="00147D93" w:rsidP="00925F26">
      <w:pPr>
        <w:jc w:val="both"/>
        <w:rPr>
          <w:color w:val="000000" w:themeColor="text1"/>
          <w:sz w:val="16"/>
          <w:szCs w:val="16"/>
        </w:rPr>
      </w:pPr>
      <w:r w:rsidRPr="00925F26">
        <w:rPr>
          <w:color w:val="000000" w:themeColor="text1"/>
          <w:sz w:val="16"/>
          <w:szCs w:val="16"/>
        </w:rPr>
        <w:t>- максимальная скорость, км/ч: у земли - 466 (455); на высоте 1000 м - 482 (471), 2000 м - 498 (488), 2400 м - 505 (493), 3000 м - 489 (475);</w:t>
      </w:r>
    </w:p>
    <w:p w14:paraId="41667EDE" w14:textId="77777777" w:rsidR="00147D93" w:rsidRPr="00925F26" w:rsidRDefault="00147D93" w:rsidP="00925F26">
      <w:pPr>
        <w:jc w:val="both"/>
        <w:rPr>
          <w:color w:val="000000" w:themeColor="text1"/>
          <w:sz w:val="16"/>
          <w:szCs w:val="16"/>
        </w:rPr>
      </w:pPr>
      <w:r w:rsidRPr="00925F26">
        <w:rPr>
          <w:color w:val="000000" w:themeColor="text1"/>
          <w:sz w:val="16"/>
          <w:szCs w:val="16"/>
        </w:rPr>
        <w:t>- дальность полета при взлетной массе 12400 кг - 2075 км;</w:t>
      </w:r>
    </w:p>
    <w:p w14:paraId="141DE8FC" w14:textId="77777777" w:rsidR="00147D93" w:rsidRPr="00925F26" w:rsidRDefault="00147D93" w:rsidP="00925F26">
      <w:pPr>
        <w:jc w:val="both"/>
        <w:rPr>
          <w:color w:val="000000" w:themeColor="text1"/>
          <w:sz w:val="16"/>
          <w:szCs w:val="16"/>
        </w:rPr>
      </w:pPr>
      <w:r w:rsidRPr="00925F26">
        <w:rPr>
          <w:color w:val="000000" w:themeColor="text1"/>
          <w:sz w:val="16"/>
          <w:szCs w:val="16"/>
        </w:rPr>
        <w:t>- разбег, м - 540 (605);</w:t>
      </w:r>
    </w:p>
    <w:p w14:paraId="5A7FD952" w14:textId="77777777" w:rsidR="00147D93" w:rsidRPr="00925F26" w:rsidRDefault="00147D93" w:rsidP="00925F26">
      <w:pPr>
        <w:jc w:val="both"/>
        <w:rPr>
          <w:color w:val="000000" w:themeColor="text1"/>
          <w:sz w:val="16"/>
          <w:szCs w:val="16"/>
        </w:rPr>
      </w:pPr>
      <w:r w:rsidRPr="00925F26">
        <w:rPr>
          <w:color w:val="000000" w:themeColor="text1"/>
          <w:sz w:val="16"/>
          <w:szCs w:val="16"/>
        </w:rPr>
        <w:t>- пробег, м - 580 (660).</w:t>
      </w:r>
    </w:p>
    <w:p w14:paraId="75C10D75" w14:textId="77777777" w:rsidR="00147D93" w:rsidRPr="00925F26" w:rsidRDefault="00147D93" w:rsidP="00925F26">
      <w:pPr>
        <w:jc w:val="both"/>
        <w:rPr>
          <w:color w:val="000000" w:themeColor="text1"/>
          <w:sz w:val="16"/>
          <w:szCs w:val="16"/>
        </w:rPr>
      </w:pPr>
      <w:r w:rsidRPr="00925F26">
        <w:rPr>
          <w:color w:val="000000" w:themeColor="text1"/>
          <w:sz w:val="16"/>
          <w:szCs w:val="16"/>
        </w:rPr>
        <w:t>В заключении по испытаниям первого Ту-2Т говорилось:</w:t>
      </w:r>
    </w:p>
    <w:p w14:paraId="0A2E2636" w14:textId="77777777" w:rsidR="00147D93" w:rsidRPr="00925F26" w:rsidRDefault="00147D93" w:rsidP="00925F26">
      <w:pPr>
        <w:jc w:val="both"/>
        <w:rPr>
          <w:color w:val="000000" w:themeColor="text1"/>
          <w:sz w:val="16"/>
          <w:szCs w:val="16"/>
        </w:rPr>
      </w:pPr>
      <w:r w:rsidRPr="00925F26">
        <w:rPr>
          <w:color w:val="000000" w:themeColor="text1"/>
          <w:sz w:val="16"/>
          <w:szCs w:val="16"/>
        </w:rPr>
        <w:t>1. Самолет Ту-2 с моторами АШ-82ФН в варианте низкого торпедоносца и подве</w:t>
      </w:r>
      <w:r w:rsidRPr="00925F26">
        <w:rPr>
          <w:color w:val="000000" w:themeColor="text1"/>
          <w:sz w:val="16"/>
          <w:szCs w:val="16"/>
        </w:rPr>
        <w:softHyphen/>
        <w:t>шенными одной и двумя торпедами испытания выдержал.</w:t>
      </w:r>
    </w:p>
    <w:p w14:paraId="277C9DE4" w14:textId="77777777" w:rsidR="00147D93" w:rsidRPr="00925F26" w:rsidRDefault="00147D93" w:rsidP="00925F26">
      <w:pPr>
        <w:jc w:val="both"/>
        <w:rPr>
          <w:color w:val="000000" w:themeColor="text1"/>
          <w:sz w:val="16"/>
          <w:szCs w:val="16"/>
        </w:rPr>
      </w:pPr>
      <w:r w:rsidRPr="00925F26">
        <w:rPr>
          <w:color w:val="000000" w:themeColor="text1"/>
          <w:sz w:val="16"/>
          <w:szCs w:val="16"/>
        </w:rPr>
        <w:t>2. Рекомендовать самолет Ту-2 с моторами АШ-82ФН принять на вооружении Военно-Воздушных Сил ВМФ для целей низкого торпедометания».</w:t>
      </w:r>
    </w:p>
    <w:p w14:paraId="72C1F71C" w14:textId="77777777" w:rsidR="00147D93" w:rsidRPr="00925F26" w:rsidRDefault="00147D93" w:rsidP="00925F26">
      <w:pPr>
        <w:jc w:val="both"/>
        <w:rPr>
          <w:color w:val="000000" w:themeColor="text1"/>
          <w:sz w:val="16"/>
          <w:szCs w:val="16"/>
        </w:rPr>
      </w:pPr>
      <w:r w:rsidRPr="00925F26">
        <w:rPr>
          <w:color w:val="000000" w:themeColor="text1"/>
          <w:sz w:val="16"/>
          <w:szCs w:val="16"/>
        </w:rPr>
        <w:t>Эти рекомендации оказались услышанными, и приказом НК ВМФ №0252 от 15.05.1945 Ту-2Т был принят на вооружение. (23464):</w:t>
      </w:r>
    </w:p>
    <w:p w14:paraId="1631F1B9" w14:textId="77777777" w:rsidR="00147D93" w:rsidRPr="00925F26" w:rsidRDefault="00147D93" w:rsidP="00925F26">
      <w:pPr>
        <w:jc w:val="both"/>
        <w:rPr>
          <w:color w:val="000000" w:themeColor="text1"/>
          <w:sz w:val="16"/>
          <w:szCs w:val="16"/>
        </w:rPr>
      </w:pPr>
    </w:p>
    <w:p w14:paraId="01966A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5 апреля по 16 мая 1945 в НИИ ВВС проходили гос. испытания 63/2 - скоростного бомбардировщика А.Н.Т. с АМ-39Ф. Не рекомендовали в серию из-за недостаточного обзора штурмана (2629,27).</w:t>
      </w:r>
    </w:p>
    <w:p w14:paraId="0279FA87" w14:textId="77777777" w:rsidR="00665165" w:rsidRPr="00925F26" w:rsidRDefault="00665165" w:rsidP="00925F26">
      <w:pPr>
        <w:autoSpaceDE w:val="0"/>
        <w:autoSpaceDN w:val="0"/>
        <w:adjustRightInd w:val="0"/>
        <w:jc w:val="both"/>
        <w:rPr>
          <w:color w:val="000000" w:themeColor="text1"/>
          <w:sz w:val="16"/>
          <w:szCs w:val="16"/>
        </w:rPr>
      </w:pPr>
    </w:p>
    <w:p w14:paraId="1C8CB0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 ходе испытаний ДБ-II-108 В.М.М. произошла катастрофа. В этот день у заводского летчика-испытателя А.Г.Васильченко на высоте 1500 м сорвало крышку капота левого двигателя и оттуда вырвалось пламя. Васильченко решил увеличить скорость захода на посадку и тем самым спасти машину. Но случилось непредвиденное: перед "ДБ" неожиданно появился заходящий на посадку Пе-2. Пытаясь уклониться от столкновения, "ДБ" задел правой консолью жилой дом и упал, не долетев до аэродрома. В результате катастрофы был потерян не только самолет, но и погибли ведущий инженер Л.Дьяконов и трое гражданских лиц, среди них - двоих детей (3337).</w:t>
      </w:r>
    </w:p>
    <w:p w14:paraId="5C6126E7" w14:textId="77777777" w:rsidR="00665165" w:rsidRPr="00925F26" w:rsidRDefault="00665165" w:rsidP="00925F26">
      <w:pPr>
        <w:autoSpaceDE w:val="0"/>
        <w:autoSpaceDN w:val="0"/>
        <w:adjustRightInd w:val="0"/>
        <w:jc w:val="both"/>
        <w:rPr>
          <w:color w:val="000000" w:themeColor="text1"/>
          <w:sz w:val="16"/>
          <w:szCs w:val="16"/>
        </w:rPr>
      </w:pPr>
    </w:p>
    <w:p w14:paraId="161E5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закончились войсковые испытания 40 Як-9ДД в 386иап 6бак 3ВА в Восточной Пруссии, которые проводились с 9 марта 1945. Оказался не очень-то, так как необходимого 25-30% превышения скорости для взаимодействия с Ту-2 не было, была неудовлетворительная аэродинамика и низкая живучесть (65,138).</w:t>
      </w:r>
    </w:p>
    <w:p w14:paraId="25878118" w14:textId="77777777" w:rsidR="00665165" w:rsidRPr="00925F26" w:rsidRDefault="00665165" w:rsidP="00925F26">
      <w:pPr>
        <w:autoSpaceDE w:val="0"/>
        <w:autoSpaceDN w:val="0"/>
        <w:adjustRightInd w:val="0"/>
        <w:jc w:val="both"/>
        <w:rPr>
          <w:color w:val="000000" w:themeColor="text1"/>
          <w:sz w:val="16"/>
          <w:szCs w:val="16"/>
        </w:rPr>
      </w:pPr>
    </w:p>
    <w:p w14:paraId="5A704E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5 апреля 1945 г. по приказу НКАП № 186с в ведение ВИАМ передан опытный завод № 225 НКАП. По приказу № 309с от 20.05.1946 г. в помещениях завода № 225 сформирована специальная лаборатория </w:t>
      </w:r>
      <w:proofErr w:type="gramStart"/>
      <w:r w:rsidRPr="00925F26">
        <w:rPr>
          <w:color w:val="000000" w:themeColor="text1"/>
          <w:sz w:val="16"/>
          <w:szCs w:val="16"/>
        </w:rPr>
        <w:t>кремний-органической</w:t>
      </w:r>
      <w:proofErr w:type="gramEnd"/>
      <w:r w:rsidRPr="00925F26">
        <w:rPr>
          <w:color w:val="000000" w:themeColor="text1"/>
          <w:sz w:val="16"/>
          <w:szCs w:val="16"/>
        </w:rPr>
        <w:t xml:space="preserve">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 (10776).</w:t>
      </w:r>
    </w:p>
    <w:p w14:paraId="218C33EB" w14:textId="77777777" w:rsidR="00665165" w:rsidRPr="00925F26" w:rsidRDefault="00665165" w:rsidP="00925F26">
      <w:pPr>
        <w:autoSpaceDE w:val="0"/>
        <w:autoSpaceDN w:val="0"/>
        <w:adjustRightInd w:val="0"/>
        <w:jc w:val="both"/>
        <w:rPr>
          <w:color w:val="000000" w:themeColor="text1"/>
          <w:sz w:val="16"/>
          <w:szCs w:val="16"/>
        </w:rPr>
      </w:pPr>
    </w:p>
    <w:p w14:paraId="1AB07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ГОКО N 8000с по отгрузке крыльев и пусковых устройств самолетов-снарядов с завода на ст. Шпек в г. Альтдам на завод 458 в Савелово (1874,11).</w:t>
      </w:r>
    </w:p>
    <w:p w14:paraId="7E685F5D" w14:textId="77777777" w:rsidR="00665165" w:rsidRPr="00925F26" w:rsidRDefault="00665165" w:rsidP="00925F26">
      <w:pPr>
        <w:autoSpaceDE w:val="0"/>
        <w:autoSpaceDN w:val="0"/>
        <w:adjustRightInd w:val="0"/>
        <w:jc w:val="both"/>
        <w:rPr>
          <w:color w:val="000000" w:themeColor="text1"/>
          <w:sz w:val="16"/>
          <w:szCs w:val="16"/>
        </w:rPr>
      </w:pPr>
    </w:p>
    <w:p w14:paraId="051F61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ГОКО N 8011с по вывозу оборудования завода Дейтше Машинен Верке в Познани в Рыбинск на 36 завод (1874,11).</w:t>
      </w:r>
    </w:p>
    <w:p w14:paraId="1FF60367" w14:textId="77777777" w:rsidR="00665165" w:rsidRPr="00925F26" w:rsidRDefault="00665165" w:rsidP="00925F26">
      <w:pPr>
        <w:autoSpaceDE w:val="0"/>
        <w:autoSpaceDN w:val="0"/>
        <w:adjustRightInd w:val="0"/>
        <w:jc w:val="both"/>
        <w:rPr>
          <w:color w:val="000000" w:themeColor="text1"/>
          <w:sz w:val="16"/>
          <w:szCs w:val="16"/>
        </w:rPr>
      </w:pPr>
    </w:p>
    <w:p w14:paraId="3BED5B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ГОКО N 8012с по вывозу оборудования заводов Фокке-Вульф в Зорау в Воронеж на 64, механического завода в г. Бриг, завода МАФ в Заган в Костино на 455 завод, завода авиамоторных деталей в Закрау г. Хунсвельд в Запорожье на 478 завод, механического завода в г. Бриг в ЦИАМ (1874,11).</w:t>
      </w:r>
    </w:p>
    <w:p w14:paraId="1BDD7DCC" w14:textId="77777777" w:rsidR="00665165" w:rsidRPr="00925F26" w:rsidRDefault="00665165" w:rsidP="00925F26">
      <w:pPr>
        <w:autoSpaceDE w:val="0"/>
        <w:autoSpaceDN w:val="0"/>
        <w:adjustRightInd w:val="0"/>
        <w:jc w:val="both"/>
        <w:rPr>
          <w:color w:val="000000" w:themeColor="text1"/>
          <w:sz w:val="16"/>
          <w:szCs w:val="16"/>
        </w:rPr>
      </w:pPr>
    </w:p>
    <w:p w14:paraId="1B2FCB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года вышел приказ № 125/90 НКАП и НК стройматериалов</w:t>
      </w:r>
    </w:p>
    <w:p w14:paraId="13A1F0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основании распоряжения СНК № 4445-р от 19 марта 1945 года:</w:t>
      </w:r>
    </w:p>
    <w:p w14:paraId="46857255"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Земельный участок и здания бывш. ОКБ № 31 НКАП в Воронеже (Коминтерновский район) передать НК стройматериалов под строительство Воронежского гипсового завода (8963).</w:t>
      </w:r>
    </w:p>
    <w:p w14:paraId="08801301"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3465C4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г. вышло Постановление ГКО № 8000 «О вывозе пусковых устройств самолетов-снарядов со станции Шпек в районе г. Альтдамм» (Д. 469. Л. 1, 3–8).</w:t>
      </w:r>
    </w:p>
    <w:p w14:paraId="3F41E2AA" w14:textId="77777777" w:rsidR="00665165" w:rsidRPr="00925F26" w:rsidRDefault="00665165" w:rsidP="00925F26">
      <w:pPr>
        <w:autoSpaceDE w:val="0"/>
        <w:autoSpaceDN w:val="0"/>
        <w:adjustRightInd w:val="0"/>
        <w:jc w:val="both"/>
        <w:rPr>
          <w:color w:val="000000" w:themeColor="text1"/>
          <w:sz w:val="16"/>
          <w:szCs w:val="16"/>
        </w:rPr>
      </w:pPr>
    </w:p>
    <w:p w14:paraId="5DA170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8010 О вывозе оборудования по производству двигателей внутреннего сгорания с заводов фирмы "Альберт Нирт" и "Фейнгер Фейнгератебау" в г. Нойдамм. РГАНИР, Фонд ГКО, д. 388, лл. 98-99 (11012).</w:t>
      </w:r>
    </w:p>
    <w:p w14:paraId="156C32F4" w14:textId="77777777" w:rsidR="00665165" w:rsidRPr="00925F26" w:rsidRDefault="00665165" w:rsidP="00925F26">
      <w:pPr>
        <w:autoSpaceDE w:val="0"/>
        <w:autoSpaceDN w:val="0"/>
        <w:adjustRightInd w:val="0"/>
        <w:jc w:val="both"/>
        <w:rPr>
          <w:color w:val="000000" w:themeColor="text1"/>
          <w:sz w:val="16"/>
          <w:szCs w:val="16"/>
        </w:rPr>
      </w:pPr>
    </w:p>
    <w:p w14:paraId="72EB84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8011 О вывозе станочного оборудования с авиационного завода "Дейче Машинен Верке" в г. Познань. РГАНИР, Фонд ГКО, д. 388, лл. 100-101 (11012).</w:t>
      </w:r>
    </w:p>
    <w:p w14:paraId="5047BFE7" w14:textId="77777777" w:rsidR="00665165" w:rsidRPr="00925F26" w:rsidRDefault="00665165" w:rsidP="00925F26">
      <w:pPr>
        <w:autoSpaceDE w:val="0"/>
        <w:autoSpaceDN w:val="0"/>
        <w:adjustRightInd w:val="0"/>
        <w:jc w:val="both"/>
        <w:rPr>
          <w:color w:val="000000" w:themeColor="text1"/>
          <w:sz w:val="16"/>
          <w:szCs w:val="16"/>
        </w:rPr>
      </w:pPr>
    </w:p>
    <w:p w14:paraId="6B99D5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8012 О вывозе оборудования и материалов с немецких заводов в районах Зорау и Закрау и в городах Заган и Бриг на предприятия Наркомавиапрома. РГАНИР, Фонд ГКО, д. 388, лл. 102-103 (11012).</w:t>
      </w:r>
    </w:p>
    <w:p w14:paraId="07AC5EB0" w14:textId="77777777" w:rsidR="00665165" w:rsidRPr="00925F26" w:rsidRDefault="00665165" w:rsidP="00925F26">
      <w:pPr>
        <w:autoSpaceDE w:val="0"/>
        <w:autoSpaceDN w:val="0"/>
        <w:adjustRightInd w:val="0"/>
        <w:jc w:val="both"/>
        <w:rPr>
          <w:color w:val="000000" w:themeColor="text1"/>
          <w:sz w:val="16"/>
          <w:szCs w:val="16"/>
        </w:rPr>
      </w:pPr>
    </w:p>
    <w:p w14:paraId="584B5848" w14:textId="77777777" w:rsidR="009A5781" w:rsidRPr="001A0BAA" w:rsidRDefault="009A5781" w:rsidP="009A5781">
      <w:pPr>
        <w:jc w:val="both"/>
        <w:rPr>
          <w:color w:val="0070C0"/>
          <w:sz w:val="16"/>
          <w:szCs w:val="16"/>
        </w:rPr>
      </w:pPr>
      <w:r w:rsidRPr="001A0BAA">
        <w:rPr>
          <w:color w:val="0070C0"/>
          <w:sz w:val="16"/>
          <w:szCs w:val="16"/>
        </w:rPr>
        <w:t>5 апреля 1945 г. стрелковый батальон майора Вавилова занял ракетный центр в поселке Пенемюнде, на островах Узедом и Грейфсвальдер-Ойе.</w:t>
      </w:r>
    </w:p>
    <w:p w14:paraId="5D869733" w14:textId="77777777" w:rsidR="009A5781" w:rsidRPr="001A0BAA" w:rsidRDefault="009A5781" w:rsidP="009A5781">
      <w:pPr>
        <w:jc w:val="both"/>
        <w:rPr>
          <w:color w:val="0070C0"/>
          <w:sz w:val="16"/>
          <w:szCs w:val="16"/>
        </w:rPr>
      </w:pPr>
      <w:r w:rsidRPr="001A0BAA">
        <w:rPr>
          <w:color w:val="0070C0"/>
          <w:sz w:val="16"/>
          <w:szCs w:val="16"/>
        </w:rPr>
        <w:t>Вскоре после этого ГКО приняло решение ГКО «О посылке комиссии по вывозу оборудования и изучению работы немецкого Ракетного института в Пенемюнде». Ее руководителем назначили начальника филиала НИИ-1 от Наркомата авиапромышленности Юрия Победоносцева. Эта группа приехала в Пенемюнде 24 мая.</w:t>
      </w:r>
    </w:p>
    <w:p w14:paraId="0F637697" w14:textId="77777777" w:rsidR="009A5781" w:rsidRPr="001A0BAA" w:rsidRDefault="009A5781" w:rsidP="009A5781">
      <w:pPr>
        <w:jc w:val="both"/>
        <w:rPr>
          <w:color w:val="0070C0"/>
          <w:sz w:val="16"/>
          <w:szCs w:val="16"/>
        </w:rPr>
      </w:pPr>
      <w:r w:rsidRPr="001A0BAA">
        <w:rPr>
          <w:color w:val="0070C0"/>
          <w:sz w:val="16"/>
          <w:szCs w:val="16"/>
        </w:rPr>
        <w:t>Среди её членов был зам. начальника НИИ-1 профессор Генрих Абрамович. Задачей комиссии был сбор информации о ракетопланах, реактивных самолетах, управляемых авиабомбах с ракетными ускорителями (24989).</w:t>
      </w:r>
    </w:p>
    <w:p w14:paraId="75C94A61" w14:textId="77777777" w:rsidR="009A5781" w:rsidRPr="001A0BAA" w:rsidRDefault="009A5781" w:rsidP="009A5781">
      <w:pPr>
        <w:jc w:val="both"/>
        <w:rPr>
          <w:color w:val="0070C0"/>
          <w:sz w:val="16"/>
          <w:szCs w:val="16"/>
        </w:rPr>
      </w:pPr>
    </w:p>
    <w:p w14:paraId="7AB93C6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F4F6402" w14:textId="77777777" w:rsidR="00665165" w:rsidRPr="00925F26" w:rsidRDefault="00665165" w:rsidP="00925F26">
      <w:pPr>
        <w:autoSpaceDE w:val="0"/>
        <w:autoSpaceDN w:val="0"/>
        <w:adjustRightInd w:val="0"/>
        <w:jc w:val="both"/>
        <w:rPr>
          <w:iCs/>
          <w:color w:val="000000" w:themeColor="text1"/>
          <w:sz w:val="16"/>
          <w:szCs w:val="16"/>
        </w:rPr>
      </w:pPr>
    </w:p>
    <w:p w14:paraId="13BC6E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7994 Об обеспечении толстостенными трубами строительства газопровода Саратов-Москва. РГАНИР, Фонд ГКО, д. 387, лл. 97 (11012).</w:t>
      </w:r>
    </w:p>
    <w:p w14:paraId="3EF67286" w14:textId="77777777" w:rsidR="00665165" w:rsidRPr="00925F26" w:rsidRDefault="00665165" w:rsidP="00925F26">
      <w:pPr>
        <w:autoSpaceDE w:val="0"/>
        <w:autoSpaceDN w:val="0"/>
        <w:adjustRightInd w:val="0"/>
        <w:jc w:val="both"/>
        <w:rPr>
          <w:color w:val="000000" w:themeColor="text1"/>
          <w:sz w:val="16"/>
          <w:szCs w:val="16"/>
        </w:rPr>
      </w:pPr>
    </w:p>
    <w:p w14:paraId="0F944E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Распоряжение ГКО № 7995. О разработке планов строительства Понышской ГЭС. РГАНИР, Фонд ГКО, д. 387, лл. 98 (11012).</w:t>
      </w:r>
    </w:p>
    <w:p w14:paraId="479F08CD" w14:textId="77777777" w:rsidR="00665165" w:rsidRPr="00925F26" w:rsidRDefault="00665165" w:rsidP="00925F26">
      <w:pPr>
        <w:autoSpaceDE w:val="0"/>
        <w:autoSpaceDN w:val="0"/>
        <w:adjustRightInd w:val="0"/>
        <w:jc w:val="both"/>
        <w:rPr>
          <w:color w:val="000000" w:themeColor="text1"/>
          <w:sz w:val="16"/>
          <w:szCs w:val="16"/>
        </w:rPr>
      </w:pPr>
    </w:p>
    <w:p w14:paraId="3B21788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апреля 1945 вышло Распоряжение ГКО № 7996 [О продлении до 15 мая 1945 г. действия решения о сокращении пассажирских перевозок и запрещении реэвакуации населения без разрешения ГКО.] (7320, 99).</w:t>
      </w:r>
    </w:p>
    <w:p w14:paraId="0E1923D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80B8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7997 О плане распределения угля и сланцев на II квартал 1945 года. РГАНИР, Фонд ГКО, д. 387, лл. 100-102, 103-194 (11012).</w:t>
      </w:r>
    </w:p>
    <w:p w14:paraId="662B9A4B" w14:textId="77777777" w:rsidR="00665165" w:rsidRPr="00925F26" w:rsidRDefault="00665165" w:rsidP="00925F26">
      <w:pPr>
        <w:autoSpaceDE w:val="0"/>
        <w:autoSpaceDN w:val="0"/>
        <w:adjustRightInd w:val="0"/>
        <w:jc w:val="both"/>
        <w:rPr>
          <w:color w:val="000000" w:themeColor="text1"/>
          <w:sz w:val="16"/>
          <w:szCs w:val="16"/>
        </w:rPr>
      </w:pPr>
    </w:p>
    <w:p w14:paraId="31CB29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7998 О балансе и плане распределения нефтепродуктов на II квартал 1945 года. РГАНИР, Фонд ГКО, д. 388, лл. 1-4, 5-74 (11012).</w:t>
      </w:r>
    </w:p>
    <w:p w14:paraId="59F6AB50" w14:textId="77777777" w:rsidR="00665165" w:rsidRPr="00925F26" w:rsidRDefault="00665165" w:rsidP="00925F26">
      <w:pPr>
        <w:autoSpaceDE w:val="0"/>
        <w:autoSpaceDN w:val="0"/>
        <w:adjustRightInd w:val="0"/>
        <w:jc w:val="both"/>
        <w:rPr>
          <w:color w:val="000000" w:themeColor="text1"/>
          <w:sz w:val="16"/>
          <w:szCs w:val="16"/>
        </w:rPr>
      </w:pPr>
    </w:p>
    <w:p w14:paraId="6716F65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апреля 1945 вышло Распоряжение ГКО № 7999 [О выделении Приморскому краю 10 автомашин "Виллис".] (7321, 75).</w:t>
      </w:r>
    </w:p>
    <w:p w14:paraId="76F5AFD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A66A59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8001 О дополнительной разборке железнодорожных линий на территории Германии. (7321, 78-80,81-82).</w:t>
      </w:r>
    </w:p>
    <w:p w14:paraId="5EEB626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72AED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8002 О вывозе оборудования со строительства венгерского магниевого завода фирма "Икарт" в г. Мишкольц. РГАНИР, Фонд ГКО, д. 388, лл. 83-84 (11012).</w:t>
      </w:r>
    </w:p>
    <w:p w14:paraId="14E13B31" w14:textId="77777777" w:rsidR="00665165" w:rsidRPr="00925F26" w:rsidRDefault="00665165" w:rsidP="00925F26">
      <w:pPr>
        <w:autoSpaceDE w:val="0"/>
        <w:autoSpaceDN w:val="0"/>
        <w:adjustRightInd w:val="0"/>
        <w:jc w:val="both"/>
        <w:rPr>
          <w:color w:val="000000" w:themeColor="text1"/>
          <w:sz w:val="16"/>
          <w:szCs w:val="16"/>
        </w:rPr>
      </w:pPr>
    </w:p>
    <w:p w14:paraId="1FA88C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8003 О вывозе оборудования немецкого завода по производству оболочек капсюлей в г. Грюнберг (Нижняя Силезия). РГАНИР, Фонд ГКО, д. 388, лл. 85-86 (11012).</w:t>
      </w:r>
    </w:p>
    <w:p w14:paraId="20338744" w14:textId="77777777" w:rsidR="00665165" w:rsidRPr="00925F26" w:rsidRDefault="00665165" w:rsidP="00925F26">
      <w:pPr>
        <w:autoSpaceDE w:val="0"/>
        <w:autoSpaceDN w:val="0"/>
        <w:adjustRightInd w:val="0"/>
        <w:jc w:val="both"/>
        <w:rPr>
          <w:color w:val="000000" w:themeColor="text1"/>
          <w:sz w:val="16"/>
          <w:szCs w:val="16"/>
        </w:rPr>
      </w:pPr>
    </w:p>
    <w:p w14:paraId="73D8F8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8004 О вывозе оборудования по производству оптико-механических приборов с немецких заводов фирмы "Эрик Пожарский" и цеха фирмы "Цейс" в г. Нойдамм (провинция Бранденбург). РГАНИР, Фонд ГКО, д. 388, лл. 87-88 (11012).</w:t>
      </w:r>
    </w:p>
    <w:p w14:paraId="65BE1979" w14:textId="77777777" w:rsidR="00665165" w:rsidRPr="00925F26" w:rsidRDefault="00665165" w:rsidP="00925F26">
      <w:pPr>
        <w:autoSpaceDE w:val="0"/>
        <w:autoSpaceDN w:val="0"/>
        <w:adjustRightInd w:val="0"/>
        <w:jc w:val="both"/>
        <w:rPr>
          <w:color w:val="000000" w:themeColor="text1"/>
          <w:sz w:val="16"/>
          <w:szCs w:val="16"/>
        </w:rPr>
      </w:pPr>
    </w:p>
    <w:p w14:paraId="48E42E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8005 О вывозе оборудования по производству артиллерийско-стрелкового вооружения немецкой фирмы ДВМ, размещенного на предприятиях в поселке Червонак, а также в форте №5 в г. Познань. РГАНИР, Фонд ГКО, д. 388, лл. 89-90 (11012).</w:t>
      </w:r>
    </w:p>
    <w:p w14:paraId="74DD404E" w14:textId="77777777" w:rsidR="00665165" w:rsidRPr="00925F26" w:rsidRDefault="00665165" w:rsidP="00925F26">
      <w:pPr>
        <w:autoSpaceDE w:val="0"/>
        <w:autoSpaceDN w:val="0"/>
        <w:adjustRightInd w:val="0"/>
        <w:jc w:val="both"/>
        <w:rPr>
          <w:color w:val="000000" w:themeColor="text1"/>
          <w:sz w:val="16"/>
          <w:szCs w:val="16"/>
        </w:rPr>
      </w:pPr>
    </w:p>
    <w:p w14:paraId="66F8F9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8006 О вывозе оборудования по производству боеприпасов немецкой фирмы ДВМ, размещенного в корпусах завода "Цигельский и К'" в г. Познань. РГАНИР, Фонд ГКО, д. 388, лл. 91-92 (11012).</w:t>
      </w:r>
    </w:p>
    <w:p w14:paraId="7889A05B" w14:textId="77777777" w:rsidR="00665165" w:rsidRPr="00925F26" w:rsidRDefault="00665165" w:rsidP="00925F26">
      <w:pPr>
        <w:autoSpaceDE w:val="0"/>
        <w:autoSpaceDN w:val="0"/>
        <w:adjustRightInd w:val="0"/>
        <w:jc w:val="both"/>
        <w:rPr>
          <w:color w:val="000000" w:themeColor="text1"/>
          <w:sz w:val="16"/>
          <w:szCs w:val="16"/>
        </w:rPr>
      </w:pPr>
    </w:p>
    <w:p w14:paraId="52D9C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8007 О вывозе оборудования по снаряжению артиллерийских снарядов и по производству пироксилина и гексогена с немецкого военно-химического завода в г. Христианштадт. РГАНИР, Фонд ГКО, д. 388, лл. 93-94 (11012).</w:t>
      </w:r>
    </w:p>
    <w:p w14:paraId="08BFC0AC" w14:textId="77777777" w:rsidR="00665165" w:rsidRPr="00925F26" w:rsidRDefault="00665165" w:rsidP="00925F26">
      <w:pPr>
        <w:autoSpaceDE w:val="0"/>
        <w:autoSpaceDN w:val="0"/>
        <w:adjustRightInd w:val="0"/>
        <w:jc w:val="both"/>
        <w:rPr>
          <w:color w:val="000000" w:themeColor="text1"/>
          <w:sz w:val="16"/>
          <w:szCs w:val="16"/>
        </w:rPr>
      </w:pPr>
    </w:p>
    <w:p w14:paraId="3F4F39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8008 О вывозе оборудования с немецкого торпедостроительной станции фирмы "Гертеверке Померан" (Померания). РГАНИР, Фонд ГКО, д. 388, лл. 95-96 (11012).</w:t>
      </w:r>
    </w:p>
    <w:p w14:paraId="5D6104AF" w14:textId="77777777" w:rsidR="00665165" w:rsidRPr="00925F26" w:rsidRDefault="00665165" w:rsidP="00925F26">
      <w:pPr>
        <w:autoSpaceDE w:val="0"/>
        <w:autoSpaceDN w:val="0"/>
        <w:adjustRightInd w:val="0"/>
        <w:jc w:val="both"/>
        <w:rPr>
          <w:color w:val="000000" w:themeColor="text1"/>
          <w:sz w:val="16"/>
          <w:szCs w:val="16"/>
        </w:rPr>
      </w:pPr>
    </w:p>
    <w:p w14:paraId="6DFD9B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8009 О вывозе патронной бумаги и картона с немецкого завода "Круппмюлле" в районе г. Пейскричам (Верхняя Силезия). РГАНИР, Фонд ГКО, д. 388, лл. 97 (11012).</w:t>
      </w:r>
    </w:p>
    <w:p w14:paraId="3545FC64" w14:textId="77777777" w:rsidR="00665165" w:rsidRPr="00925F26" w:rsidRDefault="00665165" w:rsidP="00925F26">
      <w:pPr>
        <w:autoSpaceDE w:val="0"/>
        <w:autoSpaceDN w:val="0"/>
        <w:adjustRightInd w:val="0"/>
        <w:jc w:val="both"/>
        <w:rPr>
          <w:color w:val="000000" w:themeColor="text1"/>
          <w:sz w:val="16"/>
          <w:szCs w:val="16"/>
        </w:rPr>
      </w:pPr>
    </w:p>
    <w:p w14:paraId="58F065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8013 О вывозе специальных материалов и электровакуумного оборудования с немецкого подземного склада в поселке Тарнок (Венгрия). РГАНИР, Фонд ГКО, д. 388, лл. 104-105 (11012).</w:t>
      </w:r>
    </w:p>
    <w:p w14:paraId="197CD717" w14:textId="77777777" w:rsidR="00665165" w:rsidRPr="00925F26" w:rsidRDefault="00665165" w:rsidP="00925F26">
      <w:pPr>
        <w:autoSpaceDE w:val="0"/>
        <w:autoSpaceDN w:val="0"/>
        <w:adjustRightInd w:val="0"/>
        <w:jc w:val="both"/>
        <w:rPr>
          <w:color w:val="000000" w:themeColor="text1"/>
          <w:sz w:val="16"/>
          <w:szCs w:val="16"/>
        </w:rPr>
      </w:pPr>
    </w:p>
    <w:p w14:paraId="65543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8014 О вывозе турбин мощностью 16 тысяч киловатт с электростанции "Гинденбург" в Верхней Силезии. РГАНИР, Фонд ГКО, д. 388, лл. 106 (11012).</w:t>
      </w:r>
    </w:p>
    <w:p w14:paraId="6B50C82C" w14:textId="77777777" w:rsidR="00665165" w:rsidRPr="00925F26" w:rsidRDefault="00665165" w:rsidP="00925F26">
      <w:pPr>
        <w:autoSpaceDE w:val="0"/>
        <w:autoSpaceDN w:val="0"/>
        <w:adjustRightInd w:val="0"/>
        <w:jc w:val="both"/>
        <w:rPr>
          <w:color w:val="000000" w:themeColor="text1"/>
          <w:sz w:val="16"/>
          <w:szCs w:val="16"/>
        </w:rPr>
      </w:pPr>
    </w:p>
    <w:p w14:paraId="151C22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8015 О вывозе оборудования с незаконченных строительством немецких электростанций "Вильгельм" в районе г. Явожно и "Вальтер" в районе г. Бендзин (Польша). РГАНИР, Фонд ГКО, д. 388, лл. 107-108 (11012).</w:t>
      </w:r>
    </w:p>
    <w:p w14:paraId="7364F665" w14:textId="77777777" w:rsidR="00665165" w:rsidRPr="00925F26" w:rsidRDefault="00665165" w:rsidP="00925F26">
      <w:pPr>
        <w:autoSpaceDE w:val="0"/>
        <w:autoSpaceDN w:val="0"/>
        <w:adjustRightInd w:val="0"/>
        <w:jc w:val="both"/>
        <w:rPr>
          <w:color w:val="000000" w:themeColor="text1"/>
          <w:sz w:val="16"/>
          <w:szCs w:val="16"/>
        </w:rPr>
      </w:pPr>
    </w:p>
    <w:p w14:paraId="034D75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8016 О вывозе оборудования с немецкого завода фирмы "Ейне Зон" в г. Ландсберг (Германия, Померания). РГАНИР, Фонд ГКО, д. 388, лл. 109 (11012).</w:t>
      </w:r>
    </w:p>
    <w:p w14:paraId="4DAA5648" w14:textId="77777777" w:rsidR="00665165" w:rsidRPr="00925F26" w:rsidRDefault="00665165" w:rsidP="00925F26">
      <w:pPr>
        <w:autoSpaceDE w:val="0"/>
        <w:autoSpaceDN w:val="0"/>
        <w:adjustRightInd w:val="0"/>
        <w:jc w:val="both"/>
        <w:rPr>
          <w:color w:val="000000" w:themeColor="text1"/>
          <w:sz w:val="16"/>
          <w:szCs w:val="16"/>
        </w:rPr>
      </w:pPr>
    </w:p>
    <w:p w14:paraId="1ABCEF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8017 О вывозе оборудования и материалов немецкой электрорадиотехнической фабрики "Кунц-Гартвиг" в г. Будапешт. РГАНИР, Фонд ГКО, д. 388, лл. 110-111 (11012).</w:t>
      </w:r>
    </w:p>
    <w:p w14:paraId="5D44E4A5" w14:textId="77777777" w:rsidR="00665165" w:rsidRPr="00925F26" w:rsidRDefault="00665165" w:rsidP="00925F26">
      <w:pPr>
        <w:autoSpaceDE w:val="0"/>
        <w:autoSpaceDN w:val="0"/>
        <w:adjustRightInd w:val="0"/>
        <w:jc w:val="both"/>
        <w:rPr>
          <w:color w:val="000000" w:themeColor="text1"/>
          <w:sz w:val="16"/>
          <w:szCs w:val="16"/>
        </w:rPr>
      </w:pPr>
    </w:p>
    <w:p w14:paraId="37046B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8018 О вывозе оборудования завода обрезинки танковых катков из г. Мариенбург в Восточной Пруссии. РГАНИР, Фонд ГКО, д. 388, лл. 112-113 (11012).</w:t>
      </w:r>
    </w:p>
    <w:p w14:paraId="3F982F1F" w14:textId="77777777" w:rsidR="00665165" w:rsidRPr="00925F26" w:rsidRDefault="00665165" w:rsidP="00925F26">
      <w:pPr>
        <w:autoSpaceDE w:val="0"/>
        <w:autoSpaceDN w:val="0"/>
        <w:adjustRightInd w:val="0"/>
        <w:jc w:val="both"/>
        <w:rPr>
          <w:color w:val="000000" w:themeColor="text1"/>
          <w:sz w:val="16"/>
          <w:szCs w:val="16"/>
        </w:rPr>
      </w:pPr>
    </w:p>
    <w:p w14:paraId="4C548B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8019 О вывозе прокатного оборудования с венгерского завода фирмы "Лампарт" в г. Будапешт на предприятия Наркомцветмета. РГАНИР, Фонд ГКО, д. 388, лл. 114-115 (11012).</w:t>
      </w:r>
    </w:p>
    <w:p w14:paraId="627E8C3D" w14:textId="77777777" w:rsidR="00665165" w:rsidRPr="00925F26" w:rsidRDefault="00665165" w:rsidP="00925F26">
      <w:pPr>
        <w:autoSpaceDE w:val="0"/>
        <w:autoSpaceDN w:val="0"/>
        <w:adjustRightInd w:val="0"/>
        <w:jc w:val="both"/>
        <w:rPr>
          <w:color w:val="000000" w:themeColor="text1"/>
          <w:sz w:val="16"/>
          <w:szCs w:val="16"/>
        </w:rPr>
      </w:pPr>
    </w:p>
    <w:p w14:paraId="2BD6E2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8020 О вывозе трофейного металлообрабатывающего оборудования со складов 2-го Украинского фронта (станции Монор, Венгрия). РГАНИР, Фонд ГКО, д. 388, лл. 116, 117-118 (11012).</w:t>
      </w:r>
    </w:p>
    <w:p w14:paraId="6DC374AB" w14:textId="77777777" w:rsidR="00665165" w:rsidRPr="00925F26" w:rsidRDefault="00665165" w:rsidP="00925F26">
      <w:pPr>
        <w:autoSpaceDE w:val="0"/>
        <w:autoSpaceDN w:val="0"/>
        <w:adjustRightInd w:val="0"/>
        <w:jc w:val="both"/>
        <w:rPr>
          <w:color w:val="000000" w:themeColor="text1"/>
          <w:sz w:val="16"/>
          <w:szCs w:val="16"/>
        </w:rPr>
      </w:pPr>
    </w:p>
    <w:p w14:paraId="7E5FB2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8021 О вывозе оборудования с немецкого электротехнического завода фирмы АЕГ и кабельного завода фирмы "Фельтен и Гильом" в г. Будапешт. РГАНИР, Фонд ГКО, д. 388, лл. 119-120 (11012).</w:t>
      </w:r>
    </w:p>
    <w:p w14:paraId="3843D532" w14:textId="77777777" w:rsidR="00665165" w:rsidRPr="00925F26" w:rsidRDefault="00665165" w:rsidP="00925F26">
      <w:pPr>
        <w:autoSpaceDE w:val="0"/>
        <w:autoSpaceDN w:val="0"/>
        <w:adjustRightInd w:val="0"/>
        <w:jc w:val="both"/>
        <w:rPr>
          <w:color w:val="000000" w:themeColor="text1"/>
          <w:sz w:val="16"/>
          <w:szCs w:val="16"/>
        </w:rPr>
      </w:pPr>
    </w:p>
    <w:p w14:paraId="1D56BF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8022 О вывозе цветных металлов с баз и предприятий, расположенных в г. г. Мальч и Олау в Верхней Силезии. РГАНИР, Фонд ГКО, д. 388, лл. 121, 122-123 (11012).</w:t>
      </w:r>
    </w:p>
    <w:p w14:paraId="23FB61EA" w14:textId="77777777" w:rsidR="00665165" w:rsidRPr="00925F26" w:rsidRDefault="00665165" w:rsidP="00925F26">
      <w:pPr>
        <w:autoSpaceDE w:val="0"/>
        <w:autoSpaceDN w:val="0"/>
        <w:adjustRightInd w:val="0"/>
        <w:jc w:val="both"/>
        <w:rPr>
          <w:color w:val="000000" w:themeColor="text1"/>
          <w:sz w:val="16"/>
          <w:szCs w:val="16"/>
        </w:rPr>
      </w:pPr>
    </w:p>
    <w:p w14:paraId="7DE81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8023 О вывозе оборудования по изготовлению инструмента и приспособлений с филиала немецкого завода фирмы ДВМ, расположенного в помещениях форта №9 Познаньской крепости (г. Познань). РГАНИР, Фонд ГКО, д. 388, лл. 124-125 (11012).</w:t>
      </w:r>
    </w:p>
    <w:p w14:paraId="4CDD920F" w14:textId="77777777" w:rsidR="00665165" w:rsidRPr="00925F26" w:rsidRDefault="00665165" w:rsidP="00925F26">
      <w:pPr>
        <w:autoSpaceDE w:val="0"/>
        <w:autoSpaceDN w:val="0"/>
        <w:adjustRightInd w:val="0"/>
        <w:jc w:val="both"/>
        <w:rPr>
          <w:color w:val="000000" w:themeColor="text1"/>
          <w:sz w:val="16"/>
          <w:szCs w:val="16"/>
        </w:rPr>
      </w:pPr>
    </w:p>
    <w:p w14:paraId="6B3919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8024 О вывозе оборудования с немецкого завода по производству сверл в г. Торн. РГАНИР, Фонд ГКО, д. 388, лл. 126 (11012).</w:t>
      </w:r>
    </w:p>
    <w:p w14:paraId="089030A1" w14:textId="77777777" w:rsidR="00665165" w:rsidRPr="00925F26" w:rsidRDefault="00665165" w:rsidP="00925F26">
      <w:pPr>
        <w:autoSpaceDE w:val="0"/>
        <w:autoSpaceDN w:val="0"/>
        <w:adjustRightInd w:val="0"/>
        <w:jc w:val="both"/>
        <w:rPr>
          <w:color w:val="000000" w:themeColor="text1"/>
          <w:sz w:val="16"/>
          <w:szCs w:val="16"/>
        </w:rPr>
      </w:pPr>
    </w:p>
    <w:p w14:paraId="1EA64A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8025 О вывозе материалов и оборудования из числа трофейного имущества, находящегося в Румынии. РГАНИР, Фонд ГКО, д. 388, лл. 127, 128 (11012).</w:t>
      </w:r>
    </w:p>
    <w:p w14:paraId="6C872105" w14:textId="77777777" w:rsidR="00665165" w:rsidRPr="00925F26" w:rsidRDefault="00665165" w:rsidP="00925F26">
      <w:pPr>
        <w:autoSpaceDE w:val="0"/>
        <w:autoSpaceDN w:val="0"/>
        <w:adjustRightInd w:val="0"/>
        <w:jc w:val="both"/>
        <w:rPr>
          <w:color w:val="000000" w:themeColor="text1"/>
          <w:sz w:val="16"/>
          <w:szCs w:val="16"/>
        </w:rPr>
      </w:pPr>
    </w:p>
    <w:p w14:paraId="170AAB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8026 О вывозе бумаги со складов 1-го Украинского фронта. РГАНИР, Фонд ГКО, д. 388, лл. 129 (11012).</w:t>
      </w:r>
    </w:p>
    <w:p w14:paraId="0F561959" w14:textId="77777777" w:rsidR="00665165" w:rsidRPr="00925F26" w:rsidRDefault="00665165" w:rsidP="00925F26">
      <w:pPr>
        <w:autoSpaceDE w:val="0"/>
        <w:autoSpaceDN w:val="0"/>
        <w:adjustRightInd w:val="0"/>
        <w:jc w:val="both"/>
        <w:rPr>
          <w:color w:val="000000" w:themeColor="text1"/>
          <w:sz w:val="16"/>
          <w:szCs w:val="16"/>
        </w:rPr>
      </w:pPr>
    </w:p>
    <w:p w14:paraId="751714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8027 О вывозе оборудования и материалов из Бактериологическо-сывороточного института в г. Ландсберг (Бранденбург). РГАНИР, Фонд ГКО, д. 388, лл. 130-131 (11012).</w:t>
      </w:r>
    </w:p>
    <w:p w14:paraId="1181AE55" w14:textId="77777777" w:rsidR="00665165" w:rsidRPr="00925F26" w:rsidRDefault="00665165" w:rsidP="00925F26">
      <w:pPr>
        <w:autoSpaceDE w:val="0"/>
        <w:autoSpaceDN w:val="0"/>
        <w:adjustRightInd w:val="0"/>
        <w:jc w:val="both"/>
        <w:rPr>
          <w:color w:val="000000" w:themeColor="text1"/>
          <w:sz w:val="16"/>
          <w:szCs w:val="16"/>
        </w:rPr>
      </w:pPr>
    </w:p>
    <w:p w14:paraId="3709B93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8028 О вывозе трофейного цианистого натрия со станции Мальч (Верхняя Силезия). (7321, 132).</w:t>
      </w:r>
    </w:p>
    <w:p w14:paraId="0B14222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E6E95C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5 апреля 1945 вышло Постановление ГКО № 8029 О перешивке 160 километров железнодорожных линий в Верхней Силезии с западноевропейской на советскую колею для обеспечения вывоза оборудования и материалов с демонтируемых немецкий заводов. (7321, 133-134).</w:t>
      </w:r>
    </w:p>
    <w:p w14:paraId="1374867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57B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8030 О перепрессовке 1500 немецких трофейных вагонов с западноевропейской на советскую колею. РГАНИР, Фонд ГКО, д. 388, лл. 135-136 (11012).</w:t>
      </w:r>
    </w:p>
    <w:p w14:paraId="58F9A7AC" w14:textId="77777777" w:rsidR="00665165" w:rsidRPr="00925F26" w:rsidRDefault="00665165" w:rsidP="00925F26">
      <w:pPr>
        <w:autoSpaceDE w:val="0"/>
        <w:autoSpaceDN w:val="0"/>
        <w:adjustRightInd w:val="0"/>
        <w:jc w:val="both"/>
        <w:rPr>
          <w:color w:val="000000" w:themeColor="text1"/>
          <w:sz w:val="16"/>
          <w:szCs w:val="16"/>
        </w:rPr>
      </w:pPr>
    </w:p>
    <w:p w14:paraId="7CA25E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8031 Об организации железнодорожных перевалочных баз для оборудования и материалов, вывозимых с демонтируемых немецких предприятий. РГАНИР, Фонд ГКО, д. 388, лл. 137 (11012).</w:t>
      </w:r>
    </w:p>
    <w:p w14:paraId="7C04E03B" w14:textId="77777777" w:rsidR="00665165" w:rsidRPr="00925F26" w:rsidRDefault="00665165" w:rsidP="00925F26">
      <w:pPr>
        <w:autoSpaceDE w:val="0"/>
        <w:autoSpaceDN w:val="0"/>
        <w:adjustRightInd w:val="0"/>
        <w:jc w:val="both"/>
        <w:rPr>
          <w:color w:val="000000" w:themeColor="text1"/>
          <w:sz w:val="16"/>
          <w:szCs w:val="16"/>
        </w:rPr>
      </w:pPr>
    </w:p>
    <w:p w14:paraId="621B3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8032 Об организации складов временного хранения оборудования и материалов, вывозимых с демонтируемых немецких предприятий. РГАНИР, Фонд ГКО, д. 388, лл. 138-140 (11012).</w:t>
      </w:r>
    </w:p>
    <w:p w14:paraId="48BF3F22" w14:textId="77777777" w:rsidR="00665165" w:rsidRPr="00925F26" w:rsidRDefault="00665165" w:rsidP="00925F26">
      <w:pPr>
        <w:autoSpaceDE w:val="0"/>
        <w:autoSpaceDN w:val="0"/>
        <w:adjustRightInd w:val="0"/>
        <w:jc w:val="both"/>
        <w:rPr>
          <w:color w:val="000000" w:themeColor="text1"/>
          <w:sz w:val="16"/>
          <w:szCs w:val="16"/>
        </w:rPr>
      </w:pPr>
    </w:p>
    <w:p w14:paraId="6BE5E7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8033 Об организации Особого монтажного управления Наркомата Электростанций по демонтажу энергетического оборудования немецких электростанций. РГАНИР, Фонд ГКО, д. 388, лл. 141-144 (11012).</w:t>
      </w:r>
    </w:p>
    <w:p w14:paraId="6DDF8B90" w14:textId="77777777" w:rsidR="00665165" w:rsidRPr="00925F26" w:rsidRDefault="00665165" w:rsidP="00925F26">
      <w:pPr>
        <w:autoSpaceDE w:val="0"/>
        <w:autoSpaceDN w:val="0"/>
        <w:adjustRightInd w:val="0"/>
        <w:jc w:val="both"/>
        <w:rPr>
          <w:color w:val="000000" w:themeColor="text1"/>
          <w:sz w:val="16"/>
          <w:szCs w:val="16"/>
        </w:rPr>
      </w:pPr>
    </w:p>
    <w:p w14:paraId="33F9F9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вышло Постановление ГКО № 8034 Об организации Наркомхимпрома по демонтажу химических предприятий в Силезии. РГАНИР, Фонд ГКО, д. 388, лл. 145-148 (11012).</w:t>
      </w:r>
    </w:p>
    <w:p w14:paraId="17DD6DF7" w14:textId="77777777" w:rsidR="00665165" w:rsidRPr="00925F26" w:rsidRDefault="00665165" w:rsidP="00925F26">
      <w:pPr>
        <w:autoSpaceDE w:val="0"/>
        <w:autoSpaceDN w:val="0"/>
        <w:adjustRightInd w:val="0"/>
        <w:jc w:val="both"/>
        <w:rPr>
          <w:color w:val="000000" w:themeColor="text1"/>
          <w:sz w:val="16"/>
          <w:szCs w:val="16"/>
        </w:rPr>
      </w:pPr>
    </w:p>
    <w:p w14:paraId="24D06DA8" w14:textId="77777777" w:rsidR="003028CD" w:rsidRPr="00925F26" w:rsidRDefault="003028CD" w:rsidP="00925F26">
      <w:pPr>
        <w:jc w:val="both"/>
        <w:rPr>
          <w:color w:val="000000" w:themeColor="text1"/>
          <w:sz w:val="16"/>
          <w:szCs w:val="16"/>
        </w:rPr>
      </w:pPr>
      <w:r w:rsidRPr="00925F26">
        <w:rPr>
          <w:bCs/>
          <w:color w:val="000000" w:themeColor="text1"/>
          <w:sz w:val="16"/>
          <w:szCs w:val="16"/>
        </w:rPr>
        <w:t>5 апреля</w:t>
      </w:r>
      <w:r w:rsidRPr="00925F26">
        <w:rPr>
          <w:color w:val="000000" w:themeColor="text1"/>
          <w:sz w:val="16"/>
          <w:szCs w:val="16"/>
        </w:rPr>
        <w:t xml:space="preserve"> в 1945 году СНК СССР принял постановление о строительстве в городе Кемерове химического комбината; ныне – АО «Азот» (15090).</w:t>
      </w:r>
    </w:p>
    <w:p w14:paraId="6B0B8019" w14:textId="77777777" w:rsidR="003028CD" w:rsidRPr="00925F26" w:rsidRDefault="003028CD" w:rsidP="00925F26">
      <w:pPr>
        <w:jc w:val="both"/>
        <w:rPr>
          <w:color w:val="000000" w:themeColor="text1"/>
          <w:sz w:val="16"/>
          <w:szCs w:val="16"/>
        </w:rPr>
      </w:pPr>
    </w:p>
    <w:p w14:paraId="333E368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4BE5478" w14:textId="77777777" w:rsidR="00665165" w:rsidRPr="00925F26" w:rsidRDefault="00665165" w:rsidP="00925F26">
      <w:pPr>
        <w:autoSpaceDE w:val="0"/>
        <w:autoSpaceDN w:val="0"/>
        <w:adjustRightInd w:val="0"/>
        <w:jc w:val="both"/>
        <w:rPr>
          <w:iCs/>
          <w:color w:val="000000" w:themeColor="text1"/>
          <w:sz w:val="16"/>
          <w:szCs w:val="16"/>
        </w:rPr>
      </w:pPr>
    </w:p>
    <w:p w14:paraId="44BB7CB9" w14:textId="77777777" w:rsidR="003028CD" w:rsidRPr="00925F26" w:rsidRDefault="003028CD" w:rsidP="00925F26">
      <w:pPr>
        <w:jc w:val="both"/>
        <w:rPr>
          <w:color w:val="000000" w:themeColor="text1"/>
          <w:sz w:val="16"/>
          <w:szCs w:val="16"/>
        </w:rPr>
      </w:pPr>
      <w:r w:rsidRPr="00925F26">
        <w:rPr>
          <w:bCs/>
          <w:color w:val="000000" w:themeColor="text1"/>
          <w:sz w:val="16"/>
          <w:szCs w:val="16"/>
        </w:rPr>
        <w:t>5 апреля</w:t>
      </w:r>
      <w:r w:rsidRPr="00925F26">
        <w:rPr>
          <w:color w:val="000000" w:themeColor="text1"/>
          <w:sz w:val="16"/>
          <w:szCs w:val="16"/>
        </w:rPr>
        <w:t xml:space="preserve"> в 1945 году оперативная сводка Совинформбюро:</w:t>
      </w:r>
    </w:p>
    <w:p w14:paraId="67ACAC3B" w14:textId="77777777" w:rsidR="003028CD" w:rsidRPr="00925F26" w:rsidRDefault="003028CD" w:rsidP="00925F26">
      <w:pPr>
        <w:jc w:val="both"/>
        <w:rPr>
          <w:color w:val="000000" w:themeColor="text1"/>
          <w:sz w:val="16"/>
          <w:szCs w:val="16"/>
        </w:rPr>
      </w:pPr>
      <w:r w:rsidRPr="00925F26">
        <w:rPr>
          <w:color w:val="000000" w:themeColor="text1"/>
          <w:sz w:val="16"/>
          <w:szCs w:val="16"/>
        </w:rPr>
        <w:t>«В течение 5 апреля севернее Гдыни войска 2-го БелорусскогО фронта завершили ликвидацию остатков группы немецких войск, прижатых к побережью залива Путцигер Вик, заняв при этом населённые пункты Оксхефт, Облуш, Альт-Облуш, Погорш, Ной-Облуш, Бабидул, Коссанау, Пирвошин, Брюкк, Мехлинкен, Рева.</w:t>
      </w:r>
    </w:p>
    <w:p w14:paraId="66584A45" w14:textId="77777777" w:rsidR="003028CD" w:rsidRPr="00925F26" w:rsidRDefault="003028CD" w:rsidP="00925F26">
      <w:pPr>
        <w:jc w:val="both"/>
        <w:rPr>
          <w:color w:val="000000" w:themeColor="text1"/>
          <w:sz w:val="16"/>
          <w:szCs w:val="16"/>
        </w:rPr>
      </w:pPr>
      <w:r w:rsidRPr="00925F26">
        <w:rPr>
          <w:color w:val="000000" w:themeColor="text1"/>
          <w:sz w:val="16"/>
          <w:szCs w:val="16"/>
        </w:rPr>
        <w:t>В районе Бреслау продолжались бои по уничтожению окружённой группы немецких войск.</w:t>
      </w:r>
    </w:p>
    <w:p w14:paraId="6426160D" w14:textId="77777777" w:rsidR="003028CD" w:rsidRPr="00925F26" w:rsidRDefault="003028CD" w:rsidP="00925F26">
      <w:pPr>
        <w:jc w:val="both"/>
        <w:rPr>
          <w:color w:val="000000" w:themeColor="text1"/>
          <w:sz w:val="16"/>
          <w:szCs w:val="16"/>
        </w:rPr>
      </w:pPr>
      <w:r w:rsidRPr="00925F26">
        <w:rPr>
          <w:color w:val="000000" w:themeColor="text1"/>
          <w:sz w:val="16"/>
          <w:szCs w:val="16"/>
        </w:rPr>
        <w:t>Войска 4-го Украинского фронта 5 апреля совместно с чехословацкими войсками овладели городом Ружомберок — важным узлом дорог и опорным пунктом обороны немцев на реке Ваг в Чехословакии, а также заняли город Живец и более 40 других населённых пунктов, в том числе крупные населённые пункты Ющына, Новоть, Ломна, Княжя, Дольны Кубин, Ясенова.</w:t>
      </w:r>
    </w:p>
    <w:p w14:paraId="2428DA86" w14:textId="77777777" w:rsidR="003028CD" w:rsidRPr="00925F26" w:rsidRDefault="003028CD"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5 апреля овладели городами и важными железнодорожными узлами Малацки и Брук. Одновременно войска фронта совместно с румынскими войсками с боем заняли города Превидза и Бановце — сильные опорные пункты обороны немцев в полосе Карпат, а также заняли более 50 других населённых пунктов, среди которых крупные населённые пункты Склене, Брезаны, Бойнице, Кош, Новаки, Скачаны, Завада, Биксард, Со-Лошница, Зогор, Ступава, Ламач, Видрица, Петржалка, Вольфсталь, Гайнбург, Рорау и железнодорожные станции Склене, Новаки, Землянске Костоланы, Солошница, Зогор, Ступава, Ламач. В боях за Братиславу 4 апреля войска фронта взяли в плен более 2.500 солдат и офицеров противника и захватили полевых орудий — 150, миномётов — 65, пулемётов — 361, паровозов — 82, железнодорожных вагонов —1.681, складов с боеприпасами, вооружением и продовольствием — 71.</w:t>
      </w:r>
    </w:p>
    <w:p w14:paraId="4E540C70" w14:textId="77777777" w:rsidR="003028CD" w:rsidRPr="00925F26" w:rsidRDefault="003028CD" w:rsidP="00925F26">
      <w:pPr>
        <w:jc w:val="both"/>
        <w:rPr>
          <w:color w:val="000000" w:themeColor="text1"/>
          <w:sz w:val="16"/>
          <w:szCs w:val="16"/>
        </w:rPr>
      </w:pPr>
      <w:r w:rsidRPr="00925F26">
        <w:rPr>
          <w:color w:val="000000" w:themeColor="text1"/>
          <w:sz w:val="16"/>
          <w:szCs w:val="16"/>
        </w:rPr>
        <w:t>На Венском направлении войска 3-го Украинского фронта, преодолевая сопротивление противника, заняли населённые пункты Раухенварт, Унтер Лаа, Обер Лаа (4 километра южнее Вены), Лаксенбург, Гунтрамсдорф, Гумпольдскирхен, Хохротэрдорф, Брайтенфурт и перерезали автостраду Вена—Линц. Одновременно юго-западнее озера Балатон войска фронта, наступая совместно с войсками болгарской армии, заняли на территории Югославии город Дольни Лентава и более 40 других населённых пунктов, в числе которых Гентаровци, Мостье, Петишовци, Подтурек, Малая Суботица. В боях за 4 апреля войска фронта взяли в плен свыше 6.500 солдат и офицеров противника и захватили следующие трофеи: самолётов— 43, танков и самоходных орудий — 31, бронетранспортёров — 26, полевых орудий — 148, пулемётов — 440, автомашин — 150, паровозов — 42, железнодорожных вагонов — 760, складов с боеприпасами, вооружением и продовольствием — 28.</w:t>
      </w:r>
    </w:p>
    <w:p w14:paraId="096E02A7" w14:textId="77777777" w:rsidR="003028CD" w:rsidRPr="00925F26" w:rsidRDefault="003028CD"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5C686B9A" w14:textId="77777777" w:rsidR="003028CD" w:rsidRPr="00925F26" w:rsidRDefault="003028CD" w:rsidP="00925F26">
      <w:pPr>
        <w:jc w:val="both"/>
        <w:rPr>
          <w:color w:val="000000" w:themeColor="text1"/>
          <w:sz w:val="16"/>
          <w:szCs w:val="16"/>
        </w:rPr>
      </w:pPr>
      <w:r w:rsidRPr="00925F26">
        <w:rPr>
          <w:color w:val="000000" w:themeColor="text1"/>
          <w:sz w:val="16"/>
          <w:szCs w:val="16"/>
        </w:rPr>
        <w:t>За 4 апреля подбито и уничтожено 22 немецких танка. В воздушных боях и огнём зенитной артиллерии сбито 15 самолётов противника.</w:t>
      </w:r>
    </w:p>
    <w:p w14:paraId="2CF4CFDC" w14:textId="77777777" w:rsidR="003028CD" w:rsidRPr="00925F26" w:rsidRDefault="003028CD" w:rsidP="00925F26">
      <w:pPr>
        <w:jc w:val="both"/>
        <w:rPr>
          <w:color w:val="000000" w:themeColor="text1"/>
          <w:sz w:val="16"/>
          <w:szCs w:val="16"/>
        </w:rPr>
      </w:pPr>
      <w:r w:rsidRPr="00925F26">
        <w:rPr>
          <w:color w:val="000000" w:themeColor="text1"/>
          <w:sz w:val="16"/>
          <w:szCs w:val="16"/>
        </w:rPr>
        <w:t>Войска 2-го Белорусского фронта ликвидировали остатки группы немецких войск, прижатых к заливу Путцигер Вик севернее города Гдыни. В конце марта немецкие дивизии, разгромленные в боях за Гдыню, закрепились на прибрежном участке севернее города. Противник располагал выгодными для обороны позициями. Подступы к ним прикрывает заболоченная полоса шириной в два—четыре километра. Развернув бои по уничтожению окруженного противника, наши части на ряде участков преодолели заболоченную полосу и очистили от гитлеровцев лесной массив. Отражая вражеские контратаки, советские пехотинцы, поддержанные артиллерией и авиацией, захватили ряд дотов и выбили немцев из населённых пунктов Погорш и Облуш. Тесня гитлеровцев с севера, запада и юга, наши войска загнали противника на узкий прибрежный участок. Сегодня советские части овладели поселками Оксхефт, Мехлинкен, Рева и завершили ликвидацию группы войск противника. На поле боя остались тысячи вражеских трупов. Нашими войсками захвачены трофеи и много пленных.</w:t>
      </w:r>
    </w:p>
    <w:p w14:paraId="46D6E764" w14:textId="77777777" w:rsidR="003028CD" w:rsidRPr="00925F26" w:rsidRDefault="003028CD" w:rsidP="00925F26">
      <w:pPr>
        <w:jc w:val="both"/>
        <w:rPr>
          <w:color w:val="000000" w:themeColor="text1"/>
          <w:sz w:val="16"/>
          <w:szCs w:val="16"/>
        </w:rPr>
      </w:pPr>
      <w:r w:rsidRPr="00925F26">
        <w:rPr>
          <w:color w:val="000000" w:themeColor="text1"/>
          <w:sz w:val="16"/>
          <w:szCs w:val="16"/>
        </w:rPr>
        <w:t>Сегодня немецкое радио передало следующее сообщение: «В районе Гдыни мы добились полнейшего успеха в ходе своих оборонительных операций». В то время как Берлин передавал это сообщение, в районе Гдыни все операции были уже закончены, а остатки группы немецких войск были полностью ликвидированы.</w:t>
      </w:r>
    </w:p>
    <w:p w14:paraId="3D77B135" w14:textId="77777777" w:rsidR="003028CD" w:rsidRPr="00925F26" w:rsidRDefault="003028CD" w:rsidP="00925F26">
      <w:pPr>
        <w:jc w:val="both"/>
        <w:rPr>
          <w:color w:val="000000" w:themeColor="text1"/>
          <w:sz w:val="16"/>
          <w:szCs w:val="16"/>
        </w:rPr>
      </w:pPr>
      <w:r w:rsidRPr="00925F26">
        <w:rPr>
          <w:color w:val="000000" w:themeColor="text1"/>
          <w:sz w:val="16"/>
          <w:szCs w:val="16"/>
        </w:rPr>
        <w:t>4 и 5 апреля наши тяжёлые бомбардировщики наносили удары по военным объектам противника в городе Бреслау. В результате бомбардировки возникло много пожаров, сопровождавшихся сильными взрывами.</w:t>
      </w:r>
    </w:p>
    <w:p w14:paraId="33D61BD7" w14:textId="77777777" w:rsidR="003028CD" w:rsidRPr="00925F26" w:rsidRDefault="003028CD" w:rsidP="00925F26">
      <w:pPr>
        <w:jc w:val="both"/>
        <w:rPr>
          <w:color w:val="000000" w:themeColor="text1"/>
          <w:sz w:val="16"/>
          <w:szCs w:val="16"/>
        </w:rPr>
      </w:pPr>
      <w:r w:rsidRPr="00925F26">
        <w:rPr>
          <w:color w:val="000000" w:themeColor="text1"/>
          <w:sz w:val="16"/>
          <w:szCs w:val="16"/>
        </w:rPr>
        <w:t>Войска 4-го Украинского фронта с боями продвигались вперёд в трудных условиях горно-лесистой местности. Противник, укрепившись на высотах у дорог и долин, оказывает сильное огневое сопротивление. Наши стрелковые подразделения, сопровождаемые артиллерией, обходят опорные пункты немцев и атакуют их с флангов и тыла. Продвигаясь вдоль реки Ваг, советские части с боем овладели чехословацким городом Ружомберок—важным узлом путей сообщения. На одном участке бойцы стрелкового батальона капитана Синькова разгромили гарнизон немецкого опорного пункта и захватили 4 орудия, 17 миномётов и 36 пулемётов. В другом районе отряд во главе со старшиной Хомяковым зашёл в тыл противника. Наши бойцы внезапно атаковали врага и уничтожили 6 немецких пулемётов вместе с их расчётами.</w:t>
      </w:r>
    </w:p>
    <w:p w14:paraId="37F6DBED" w14:textId="77777777" w:rsidR="003028CD" w:rsidRPr="00925F26" w:rsidRDefault="003028CD"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Советские и румынские части, овладев вчера опорным пунктом обороны немцев Гандлова, устремились по горной долине к чехословацкому городу Превидза. Продвинувшись вперёд на 15 километров, наши войска сломили вражеские сопротивление и ворвались на улицы города. Всю ночь шли уличные бои, в ходе которых противник понёс большие потери. К утру наши части полностью овладели городом Превнидза — узлом железных и шоссейных дорог. Немцы лишились своего последнего опорного пункта на реке Нитра. Занят также чехословацкий город Бановце.</w:t>
      </w:r>
    </w:p>
    <w:p w14:paraId="145FDE41" w14:textId="77777777" w:rsidR="003028CD" w:rsidRPr="00925F26" w:rsidRDefault="003028CD" w:rsidP="00925F26">
      <w:pPr>
        <w:jc w:val="both"/>
        <w:rPr>
          <w:color w:val="000000" w:themeColor="text1"/>
          <w:sz w:val="16"/>
          <w:szCs w:val="16"/>
        </w:rPr>
      </w:pPr>
      <w:r w:rsidRPr="00925F26">
        <w:rPr>
          <w:color w:val="000000" w:themeColor="text1"/>
          <w:sz w:val="16"/>
          <w:szCs w:val="16"/>
        </w:rPr>
        <w:t>Советские пехотинцы, кавалеристы и танкисты, преодолев горы Малые Карпаты, вышли на равнинную местность, покрытую лесом. Попытки гитлеровцев задержать в этом районе наши наступающие части окончились неудачей. Наши войска отбросили немцев и в результате стремительной атаки овладели железнодорожным узлом и городом Малацки. Противник понёс большие потери и под ударами наших войск отступает к реке Морава.</w:t>
      </w:r>
    </w:p>
    <w:p w14:paraId="3CDE1E35" w14:textId="77777777" w:rsidR="003028CD" w:rsidRPr="00925F26" w:rsidRDefault="003028CD" w:rsidP="00925F26">
      <w:pPr>
        <w:jc w:val="both"/>
        <w:rPr>
          <w:color w:val="000000" w:themeColor="text1"/>
          <w:sz w:val="16"/>
          <w:szCs w:val="16"/>
        </w:rPr>
      </w:pPr>
      <w:r w:rsidRPr="00925F26">
        <w:rPr>
          <w:color w:val="000000" w:themeColor="text1"/>
          <w:sz w:val="16"/>
          <w:szCs w:val="16"/>
        </w:rPr>
        <w:t>Между Дунаем и озером Ферте (Нойзидлер-Зее) немцы бросили в бой резервы, в том числе сапёрные, зенитные и различные хозяйственные подразделения. Форсировав реку Лайта, советские части заняли город Брук и ряд других населённых пунктов. В этом районе уничтожено два батальона пехоты и 10 танков противника. Советские лётчики потопили в Дунае 2 немецких парохода и 3 баржи с военными грузами.</w:t>
      </w:r>
    </w:p>
    <w:p w14:paraId="3039B2BE" w14:textId="77777777" w:rsidR="003028CD" w:rsidRPr="00925F26" w:rsidRDefault="003028CD" w:rsidP="00925F26">
      <w:pPr>
        <w:jc w:val="both"/>
        <w:rPr>
          <w:color w:val="000000" w:themeColor="text1"/>
          <w:sz w:val="16"/>
          <w:szCs w:val="16"/>
        </w:rPr>
      </w:pPr>
      <w:r w:rsidRPr="00925F26">
        <w:rPr>
          <w:color w:val="000000" w:themeColor="text1"/>
          <w:sz w:val="16"/>
          <w:szCs w:val="16"/>
        </w:rPr>
        <w:t>На Венском направлении наши войска в результате ожесточённых боёв за переправы форсировали реку Вербах и, продвигаясь вперёд, овладели населённым пунктом Обер Лаа. Идут бои в полосе оборонительных укреплений противника, построенных у железнодорожного обвода Вены. Немцы, располагая крупными танковыми и пехотными силами, оказывают упорное сопротивление. Они неоднократно бросались в контратаки. Все контратаки гитлеровцев отбиты с большими для них потерями. По неполным данным, за день боёв уничтожено свыше 5 тысяч немецких солдат и офицеров.» (15090).</w:t>
      </w:r>
    </w:p>
    <w:p w14:paraId="308AF48C" w14:textId="77777777" w:rsidR="003028CD" w:rsidRPr="00925F26" w:rsidRDefault="003028CD" w:rsidP="00925F26">
      <w:pPr>
        <w:jc w:val="both"/>
        <w:rPr>
          <w:color w:val="000000" w:themeColor="text1"/>
          <w:sz w:val="16"/>
          <w:szCs w:val="16"/>
        </w:rPr>
      </w:pPr>
    </w:p>
    <w:p w14:paraId="5DD46A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5 апреля 1945 108-й гшап приступил к усиленной отработке приемов ударов по наземным целям, а также к тренировкам в технике пилотирования. В течение одного дня в среднем выполнялось 20 - 30 полетов. Из 42 экипажей 108-го гшап, вылетевших к месту постоянного бази</w:t>
      </w:r>
      <w:r w:rsidRPr="00925F26">
        <w:rPr>
          <w:color w:val="000000" w:themeColor="text1"/>
          <w:sz w:val="16"/>
          <w:szCs w:val="16"/>
        </w:rPr>
        <w:softHyphen/>
        <w:t>рования, на аэродром Шпроттау в Силе-зии, сумели добраться только 25. При этом на посадке у Ил-10 старшего лей</w:t>
      </w:r>
      <w:r w:rsidRPr="00925F26">
        <w:rPr>
          <w:color w:val="000000" w:themeColor="text1"/>
          <w:sz w:val="16"/>
          <w:szCs w:val="16"/>
        </w:rPr>
        <w:softHyphen/>
        <w:t>тенанта Афанасьева сломался костыль. Самолет на пробеге развернуло влево, в результате снесло шасси, была по</w:t>
      </w:r>
      <w:r w:rsidRPr="00925F26">
        <w:rPr>
          <w:color w:val="000000" w:themeColor="text1"/>
          <w:sz w:val="16"/>
          <w:szCs w:val="16"/>
        </w:rPr>
        <w:softHyphen/>
        <w:t>вреждена правая плоскость, погнут винт, а в капюшоне вала редуктора об</w:t>
      </w:r>
      <w:r w:rsidRPr="00925F26">
        <w:rPr>
          <w:color w:val="000000" w:themeColor="text1"/>
          <w:sz w:val="16"/>
          <w:szCs w:val="16"/>
        </w:rPr>
        <w:softHyphen/>
        <w:t>разовалась трещина. Машину отправи</w:t>
      </w:r>
      <w:r w:rsidRPr="00925F26">
        <w:rPr>
          <w:color w:val="000000" w:themeColor="text1"/>
          <w:sz w:val="16"/>
          <w:szCs w:val="16"/>
        </w:rPr>
        <w:softHyphen/>
        <w:t>ли в ремонт. В тот же день в Шпроттау прибыл и наземный эшелон полка в со</w:t>
      </w:r>
      <w:r w:rsidRPr="00925F26">
        <w:rPr>
          <w:color w:val="000000" w:themeColor="text1"/>
          <w:sz w:val="16"/>
          <w:szCs w:val="16"/>
        </w:rPr>
        <w:softHyphen/>
        <w:t>ставе штаба, технического персонала и воздушных стрелков. Полк вошел в 6-ю гшад 2-й воздушной армии. Пока на фронте было затишье, реши</w:t>
      </w:r>
      <w:r w:rsidRPr="00925F26">
        <w:rPr>
          <w:color w:val="000000" w:themeColor="text1"/>
          <w:sz w:val="16"/>
          <w:szCs w:val="16"/>
        </w:rPr>
        <w:softHyphen/>
        <w:t>ли потренировать в боевом применении как «стариков», так и молодое пополне</w:t>
      </w:r>
      <w:r w:rsidRPr="00925F26">
        <w:rPr>
          <w:color w:val="000000" w:themeColor="text1"/>
          <w:sz w:val="16"/>
          <w:szCs w:val="16"/>
        </w:rPr>
        <w:softHyphen/>
        <w:t>ние (10681).</w:t>
      </w:r>
    </w:p>
    <w:p w14:paraId="38FF55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810D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Начиная с 5 апреля 1945 в 108 гшап началась уси</w:t>
      </w:r>
      <w:r w:rsidRPr="00925F26">
        <w:rPr>
          <w:color w:val="000000" w:themeColor="text1"/>
          <w:sz w:val="16"/>
          <w:szCs w:val="16"/>
        </w:rPr>
        <w:softHyphen/>
        <w:t>ленная отработка летным составом полка бомбоштурмовых ударов по на</w:t>
      </w:r>
      <w:r w:rsidRPr="00925F26">
        <w:rPr>
          <w:color w:val="000000" w:themeColor="text1"/>
          <w:sz w:val="16"/>
          <w:szCs w:val="16"/>
        </w:rPr>
        <w:softHyphen/>
        <w:t>земным целям, а также тренировка в технике пилотирования. В течение од</w:t>
      </w:r>
      <w:r w:rsidRPr="00925F26">
        <w:rPr>
          <w:color w:val="000000" w:themeColor="text1"/>
          <w:sz w:val="16"/>
          <w:szCs w:val="16"/>
        </w:rPr>
        <w:softHyphen/>
        <w:t>ного учебного дня в среднем выпол</w:t>
      </w:r>
      <w:r w:rsidRPr="00925F26">
        <w:rPr>
          <w:color w:val="000000" w:themeColor="text1"/>
          <w:sz w:val="16"/>
          <w:szCs w:val="16"/>
        </w:rPr>
        <w:softHyphen/>
        <w:t>нялось около 20-30 учебно-трениро</w:t>
      </w:r>
      <w:r w:rsidRPr="00925F26">
        <w:rPr>
          <w:color w:val="000000" w:themeColor="text1"/>
          <w:sz w:val="16"/>
          <w:szCs w:val="16"/>
        </w:rPr>
        <w:softHyphen/>
        <w:t>вочных полетов на Ил-10 (11157).</w:t>
      </w:r>
    </w:p>
    <w:p w14:paraId="0FEC48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69956F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lastRenderedPageBreak/>
        <w:t>April 5th, 1945: The Soviet 3rd Ukrainian Front reaches the outskirts of Vienna which has minimal German forces to defend it. In the West, the French First Army (de Tassigny) captures Karlsruhe on the upper Rine. The US 8th Air Force carries out another heavy attack (450 bombers) against Kiel which causes severe damage to the cruisers Hipper and Emden (3819).</w:t>
      </w:r>
    </w:p>
    <w:p w14:paraId="73AAF8AE" w14:textId="77777777" w:rsidR="00665165" w:rsidRPr="00925F26" w:rsidRDefault="00665165" w:rsidP="00925F26">
      <w:pPr>
        <w:autoSpaceDE w:val="0"/>
        <w:autoSpaceDN w:val="0"/>
        <w:adjustRightInd w:val="0"/>
        <w:jc w:val="both"/>
        <w:rPr>
          <w:color w:val="000000" w:themeColor="text1"/>
          <w:sz w:val="16"/>
          <w:szCs w:val="16"/>
          <w:lang w:val="en-US"/>
        </w:rPr>
      </w:pPr>
    </w:p>
    <w:p w14:paraId="01132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3УФ достиг окрестностей Вены, которую почти не обороняли. Французская 1А заняла Карлсруэ на Верхнем Рейне. 8ВА США выполнила повторный налет на Киль силами 450 б и повредила крейсера Хиппер и Эмден (3819).</w:t>
      </w:r>
    </w:p>
    <w:p w14:paraId="56615FAB" w14:textId="77777777" w:rsidR="00665165" w:rsidRPr="00925F26" w:rsidRDefault="00665165" w:rsidP="00925F26">
      <w:pPr>
        <w:autoSpaceDE w:val="0"/>
        <w:autoSpaceDN w:val="0"/>
        <w:adjustRightInd w:val="0"/>
        <w:jc w:val="both"/>
        <w:rPr>
          <w:color w:val="000000" w:themeColor="text1"/>
          <w:sz w:val="16"/>
          <w:szCs w:val="16"/>
        </w:rPr>
      </w:pPr>
    </w:p>
    <w:p w14:paraId="70A00F7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77E468F" w14:textId="77777777" w:rsidR="00665165" w:rsidRPr="00925F26" w:rsidRDefault="00665165" w:rsidP="00925F26">
      <w:pPr>
        <w:autoSpaceDE w:val="0"/>
        <w:autoSpaceDN w:val="0"/>
        <w:adjustRightInd w:val="0"/>
        <w:jc w:val="both"/>
        <w:rPr>
          <w:iCs/>
          <w:color w:val="000000" w:themeColor="text1"/>
          <w:sz w:val="16"/>
          <w:szCs w:val="16"/>
        </w:rPr>
      </w:pPr>
    </w:p>
    <w:p w14:paraId="5265BF6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апреля 1945 СССР денонсировал договор о ненападении с Японией (4962).</w:t>
      </w:r>
    </w:p>
    <w:p w14:paraId="246BC78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5D15C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СССР денонсировал договор с Японией (340,220).</w:t>
      </w:r>
    </w:p>
    <w:p w14:paraId="5BD5B280" w14:textId="77777777" w:rsidR="00665165" w:rsidRPr="00925F26" w:rsidRDefault="00665165" w:rsidP="00925F26">
      <w:pPr>
        <w:autoSpaceDE w:val="0"/>
        <w:autoSpaceDN w:val="0"/>
        <w:adjustRightInd w:val="0"/>
        <w:jc w:val="both"/>
        <w:rPr>
          <w:color w:val="000000" w:themeColor="text1"/>
          <w:sz w:val="16"/>
          <w:szCs w:val="16"/>
        </w:rPr>
      </w:pPr>
    </w:p>
    <w:p w14:paraId="302DAD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г. СССР направил японскому правительству ноту, в которой извещал его о денонсации договора 1940 г.</w:t>
      </w:r>
    </w:p>
    <w:p w14:paraId="63730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Аргументируя свою позицию, советская сторона ссылалась на нарушения Японией духа и отчасти буквы договора о нейтралитете, а </w:t>
      </w:r>
      <w:proofErr w:type="gramStart"/>
      <w:r w:rsidRPr="00925F26">
        <w:rPr>
          <w:color w:val="000000" w:themeColor="text1"/>
          <w:sz w:val="16"/>
          <w:szCs w:val="16"/>
        </w:rPr>
        <w:t>так же</w:t>
      </w:r>
      <w:proofErr w:type="gramEnd"/>
      <w:r w:rsidRPr="00925F26">
        <w:rPr>
          <w:color w:val="000000" w:themeColor="text1"/>
          <w:sz w:val="16"/>
          <w:szCs w:val="16"/>
        </w:rPr>
        <w:t xml:space="preserve"> на изменившиеся международные обстоятельства. В ноте отмечалось, что Япония помогала Германии, когда та вела войну с Советским Союзом. В то же время Япония находилась в состоянии войны с США и Великобританией, которые стали союзниками СССР. Кроме того, советская сторона указывала на случаи задержки и потопления японскими военными кораблями советских гражданских судов (доставлявших грузы для воевавшего с Японией Китая), инциденты на границе и т.п.</w:t>
      </w:r>
    </w:p>
    <w:p w14:paraId="4FC7F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Заявив об отказе от продления пакта о нейтралитете, советская сторона одновременно уклонилась от разъяснения вопроса о том, будет ли она его соблюдать до апреля 1946 г., как это должно было следовать из текста договора, или же станет считать себя свободной от соответствующих обязательств немедленно. С юридической точки зрения вступление СССР в войну против Японии до апреля 1946 г. было явным нарушением (3871).</w:t>
      </w:r>
    </w:p>
    <w:p w14:paraId="4637E322" w14:textId="77777777" w:rsidR="00665165" w:rsidRPr="00925F26" w:rsidRDefault="00665165" w:rsidP="00925F26">
      <w:pPr>
        <w:autoSpaceDE w:val="0"/>
        <w:autoSpaceDN w:val="0"/>
        <w:adjustRightInd w:val="0"/>
        <w:jc w:val="both"/>
        <w:rPr>
          <w:color w:val="000000" w:themeColor="text1"/>
          <w:sz w:val="16"/>
          <w:szCs w:val="16"/>
        </w:rPr>
      </w:pPr>
    </w:p>
    <w:p w14:paraId="69116E95" w14:textId="77777777" w:rsidR="003028CD" w:rsidRPr="00925F26" w:rsidRDefault="003028CD" w:rsidP="00925F26">
      <w:pPr>
        <w:jc w:val="both"/>
        <w:rPr>
          <w:color w:val="000000" w:themeColor="text1"/>
          <w:sz w:val="16"/>
          <w:szCs w:val="16"/>
        </w:rPr>
      </w:pPr>
      <w:r w:rsidRPr="00925F26">
        <w:rPr>
          <w:bCs/>
          <w:color w:val="000000" w:themeColor="text1"/>
          <w:sz w:val="16"/>
          <w:szCs w:val="16"/>
        </w:rPr>
        <w:t>5 апреля</w:t>
      </w:r>
      <w:r w:rsidRPr="00925F26">
        <w:rPr>
          <w:color w:val="000000" w:themeColor="text1"/>
          <w:sz w:val="16"/>
          <w:szCs w:val="16"/>
        </w:rPr>
        <w:t xml:space="preserve"> в 1945 году в соответствии с договоренностями, достигнутыми на Ялтинской конференции, Советский Союз денонсировал пакт о нейтралитете с Японией, заключенный 13 апреля 1941 года. И.В.Сталин обещал Ф.Д.Рузвельту и У.Черчиллю напасть на Японию через два-три месяца после завершения войны в Европе и свое обещание выполнил. Денонсировав пакт, советское правительство за четыре месяца до согласованного с союзниками срока вступления в войну фактически информировало японское правительство о возможности участия СССР в войне с Японией. После этого японский МИД стал настойчиво выступать за то, чтобы принять все требования, которые может выдвинуть СССР в качестве условия сохранения своего нейтралитета (15090).</w:t>
      </w:r>
    </w:p>
    <w:p w14:paraId="5CCC4529" w14:textId="77777777" w:rsidR="003028CD" w:rsidRPr="00925F26" w:rsidRDefault="003028CD" w:rsidP="00925F26">
      <w:pPr>
        <w:jc w:val="both"/>
        <w:rPr>
          <w:color w:val="000000" w:themeColor="text1"/>
          <w:sz w:val="16"/>
          <w:szCs w:val="16"/>
        </w:rPr>
      </w:pPr>
    </w:p>
    <w:p w14:paraId="2386197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A8C2027" w14:textId="77777777" w:rsidR="00665165" w:rsidRPr="00925F26" w:rsidRDefault="00665165" w:rsidP="00925F26">
      <w:pPr>
        <w:autoSpaceDE w:val="0"/>
        <w:autoSpaceDN w:val="0"/>
        <w:adjustRightInd w:val="0"/>
        <w:jc w:val="both"/>
        <w:rPr>
          <w:iCs/>
          <w:color w:val="000000" w:themeColor="text1"/>
          <w:sz w:val="16"/>
          <w:szCs w:val="16"/>
        </w:rPr>
      </w:pPr>
    </w:p>
    <w:p w14:paraId="1CBA7946" w14:textId="77777777" w:rsidR="003028CD" w:rsidRPr="00925F26" w:rsidRDefault="003028CD" w:rsidP="00925F26">
      <w:pPr>
        <w:jc w:val="both"/>
        <w:rPr>
          <w:color w:val="000000" w:themeColor="text1"/>
          <w:sz w:val="16"/>
          <w:szCs w:val="16"/>
        </w:rPr>
      </w:pPr>
      <w:r w:rsidRPr="00925F26">
        <w:rPr>
          <w:bCs/>
          <w:color w:val="000000" w:themeColor="text1"/>
          <w:sz w:val="16"/>
          <w:szCs w:val="16"/>
        </w:rPr>
        <w:t>5 апреля</w:t>
      </w:r>
      <w:r w:rsidRPr="00925F26">
        <w:rPr>
          <w:color w:val="000000" w:themeColor="text1"/>
          <w:sz w:val="16"/>
          <w:szCs w:val="16"/>
        </w:rPr>
        <w:t xml:space="preserve"> в 1945 году потерпел аварию третий прототип «XFR-1» американского палубного истребителя – бомбардировщика </w:t>
      </w:r>
      <w:hyperlink r:id="rId96" w:tgtFrame="_blank" w:history="1">
        <w:r w:rsidRPr="00925F26">
          <w:rPr>
            <w:color w:val="000000" w:themeColor="text1"/>
            <w:sz w:val="16"/>
            <w:szCs w:val="16"/>
          </w:rPr>
          <w:t xml:space="preserve">«FR» «Fireball» </w:t>
        </w:r>
      </w:hyperlink>
      <w:r w:rsidRPr="00925F26">
        <w:rPr>
          <w:color w:val="000000" w:themeColor="text1"/>
          <w:sz w:val="16"/>
          <w:szCs w:val="16"/>
        </w:rPr>
        <w:t>во время скоростного полета. В этом случае оторвалась часть носка крыла, и воздушный поток, прорвавшись в фюзеляж, сорвал фонарь кабины. Летчик Дин Лэйк немедленно перевернул самолет на спину и выпрыгнул с парашютом. После этого на всех серийных самолетах усилили конструкцию носка крыла, а эксплуатационная перегрузка была снижена с 7,5 до 5,0 (15090).</w:t>
      </w:r>
    </w:p>
    <w:p w14:paraId="38CB24A2" w14:textId="77777777" w:rsidR="003028CD" w:rsidRPr="00925F26" w:rsidRDefault="003028CD" w:rsidP="00925F26">
      <w:pPr>
        <w:jc w:val="both"/>
        <w:rPr>
          <w:color w:val="000000" w:themeColor="text1"/>
          <w:sz w:val="16"/>
          <w:szCs w:val="16"/>
        </w:rPr>
      </w:pPr>
    </w:p>
    <w:p w14:paraId="644929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 Кошице приступило к работе созданное 19 марта правительство Чехословакии (3186).</w:t>
      </w:r>
    </w:p>
    <w:p w14:paraId="65BC8FE3" w14:textId="77777777" w:rsidR="00665165" w:rsidRPr="00925F26" w:rsidRDefault="00665165" w:rsidP="00925F26">
      <w:pPr>
        <w:autoSpaceDE w:val="0"/>
        <w:autoSpaceDN w:val="0"/>
        <w:adjustRightInd w:val="0"/>
        <w:jc w:val="both"/>
        <w:rPr>
          <w:color w:val="000000" w:themeColor="text1"/>
          <w:sz w:val="16"/>
          <w:szCs w:val="16"/>
        </w:rPr>
      </w:pPr>
    </w:p>
    <w:p w14:paraId="0DE8E5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в результате правительственного кризиса в Японии премьер министром стал а Сузуки (2248,4).</w:t>
      </w:r>
    </w:p>
    <w:p w14:paraId="3AC04BD5" w14:textId="77777777" w:rsidR="00665165" w:rsidRPr="00925F26" w:rsidRDefault="00665165" w:rsidP="00925F26">
      <w:pPr>
        <w:autoSpaceDE w:val="0"/>
        <w:autoSpaceDN w:val="0"/>
        <w:adjustRightInd w:val="0"/>
        <w:jc w:val="both"/>
        <w:rPr>
          <w:color w:val="000000" w:themeColor="text1"/>
          <w:sz w:val="16"/>
          <w:szCs w:val="16"/>
        </w:rPr>
      </w:pPr>
    </w:p>
    <w:p w14:paraId="7E29FB5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B9D7947" w14:textId="77777777" w:rsidR="00665165" w:rsidRPr="00925F26" w:rsidRDefault="00665165" w:rsidP="00925F26">
      <w:pPr>
        <w:autoSpaceDE w:val="0"/>
        <w:autoSpaceDN w:val="0"/>
        <w:adjustRightInd w:val="0"/>
        <w:jc w:val="both"/>
        <w:rPr>
          <w:iCs/>
          <w:color w:val="000000" w:themeColor="text1"/>
          <w:sz w:val="16"/>
          <w:szCs w:val="16"/>
        </w:rPr>
      </w:pPr>
    </w:p>
    <w:p w14:paraId="534265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был совершен первый полет Су-5 (237,206) - И-105 П.О.С., который выполнил л-и Г.И.Комаров (197,31). Испытания проходили до 15 июля 1945 (656,319). Выполнили 42 полета, в т.ч. 11 с ВРД (3808,85).</w:t>
      </w:r>
    </w:p>
    <w:p w14:paraId="354618C5" w14:textId="77777777" w:rsidR="00665165" w:rsidRPr="00925F26" w:rsidRDefault="00665165" w:rsidP="00925F26">
      <w:pPr>
        <w:autoSpaceDE w:val="0"/>
        <w:autoSpaceDN w:val="0"/>
        <w:adjustRightInd w:val="0"/>
        <w:jc w:val="both"/>
        <w:rPr>
          <w:color w:val="000000" w:themeColor="text1"/>
          <w:sz w:val="16"/>
          <w:szCs w:val="16"/>
        </w:rPr>
      </w:pPr>
    </w:p>
    <w:p w14:paraId="5D3102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апреля 1945 г., после по</w:t>
      </w:r>
      <w:r w:rsidRPr="00925F26">
        <w:rPr>
          <w:color w:val="000000" w:themeColor="text1"/>
          <w:sz w:val="16"/>
          <w:szCs w:val="16"/>
        </w:rPr>
        <w:softHyphen/>
        <w:t>лучения разрешения, состоялся пер</w:t>
      </w:r>
      <w:r w:rsidRPr="00925F26">
        <w:rPr>
          <w:color w:val="000000" w:themeColor="text1"/>
          <w:sz w:val="16"/>
          <w:szCs w:val="16"/>
        </w:rPr>
        <w:softHyphen/>
        <w:t>вый полет экспериментального истре</w:t>
      </w:r>
      <w:r w:rsidRPr="00925F26">
        <w:rPr>
          <w:color w:val="000000" w:themeColor="text1"/>
          <w:sz w:val="16"/>
          <w:szCs w:val="16"/>
        </w:rPr>
        <w:softHyphen/>
        <w:t>бителя Су-5. Начались заводские лет</w:t>
      </w:r>
      <w:r w:rsidRPr="00925F26">
        <w:rPr>
          <w:color w:val="000000" w:themeColor="text1"/>
          <w:sz w:val="16"/>
          <w:szCs w:val="16"/>
        </w:rPr>
        <w:softHyphen/>
        <w:t>ные испытания (10669).</w:t>
      </w:r>
    </w:p>
    <w:p w14:paraId="3C4825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E25F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апреля 1945 г. первый полет на самолете, получив</w:t>
      </w:r>
      <w:r w:rsidRPr="00925F26">
        <w:rPr>
          <w:color w:val="000000" w:themeColor="text1"/>
          <w:sz w:val="16"/>
          <w:szCs w:val="16"/>
        </w:rPr>
        <w:softHyphen/>
        <w:t>шем обозначение Су-5, выполнил заводской лет</w:t>
      </w:r>
      <w:r w:rsidRPr="00925F26">
        <w:rPr>
          <w:color w:val="000000" w:themeColor="text1"/>
          <w:sz w:val="16"/>
          <w:szCs w:val="16"/>
        </w:rPr>
        <w:softHyphen/>
        <w:t>чик-испытатель Г.Н. Комаров. Заводские испытания с пе</w:t>
      </w:r>
      <w:r w:rsidRPr="00925F26">
        <w:rPr>
          <w:color w:val="000000" w:themeColor="text1"/>
          <w:sz w:val="16"/>
          <w:szCs w:val="16"/>
        </w:rPr>
        <w:softHyphen/>
        <w:t>рерывом продолжались до конца октяб</w:t>
      </w:r>
      <w:r w:rsidRPr="00925F26">
        <w:rPr>
          <w:color w:val="000000" w:themeColor="text1"/>
          <w:sz w:val="16"/>
          <w:szCs w:val="16"/>
        </w:rPr>
        <w:softHyphen/>
        <w:t>ря. За этот период было выполнено 42 полета, из них - одиннадцать с включе</w:t>
      </w:r>
      <w:r w:rsidRPr="00925F26">
        <w:rPr>
          <w:color w:val="000000" w:themeColor="text1"/>
          <w:sz w:val="16"/>
          <w:szCs w:val="16"/>
        </w:rPr>
        <w:softHyphen/>
        <w:t>нием ВРДК. Полученная максимальная скорость оказалась на 18-20% ниже расчетной. Поэтому второй летный экземпляр само</w:t>
      </w:r>
      <w:r w:rsidRPr="00925F26">
        <w:rPr>
          <w:color w:val="000000" w:themeColor="text1"/>
          <w:sz w:val="16"/>
          <w:szCs w:val="16"/>
        </w:rPr>
        <w:softHyphen/>
        <w:t>лета по завершению постройки передали в ЦАГИ для аэродинамических исследо</w:t>
      </w:r>
      <w:r w:rsidRPr="00925F26">
        <w:rPr>
          <w:color w:val="000000" w:themeColor="text1"/>
          <w:sz w:val="16"/>
          <w:szCs w:val="16"/>
        </w:rPr>
        <w:softHyphen/>
        <w:t>ваний в трубе Т-101 (10719).</w:t>
      </w:r>
    </w:p>
    <w:p w14:paraId="257619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EACBF80"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6 апреля 1945 первым полетом эксперимен тального истребителя Су-5 были начаты заводские летные испытания.</w:t>
      </w:r>
    </w:p>
    <w:p w14:paraId="043B63ED"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17 апреля 1945 г., с некоторым опозданием, была утверж дена бригада по обслуживанию летных испытаний, в которую от завода № 134 вошли: летчик-испытатель — Г.И. Комаров, ведущий инженер по самолету — С.Я. Горбунов, бортмеха ник — А.М.Зуев и моторист — И.Н. Осипенко, а ЦИАМ пред ставляли: ведущий инженер по ВРДК — А.И. Комиссаров и механик Мазанов.</w:t>
      </w:r>
    </w:p>
    <w:p w14:paraId="75752714"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Испытания самолета проводились на Тушинском аэродро ме. 15 июня из-за аварии двигателя ВК-107А испытания были прекращены. К этому моменту были выполнены 23 полета с общим налетом 8 ч. 50 мин.</w:t>
      </w:r>
    </w:p>
    <w:p w14:paraId="2A691C02"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По результатам испытаний был выпущен отчет:</w:t>
      </w:r>
    </w:p>
    <w:p w14:paraId="1D644861"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 1. Винтомоторная установка в части питания, смазки и охлаждения работает на всех режимах вполне удовлетво рительно.</w:t>
      </w:r>
    </w:p>
    <w:p w14:paraId="2B3967F0"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2. Управляемость и устойчивость самолета на различных скоростях и эволюциях — нормальная.</w:t>
      </w:r>
    </w:p>
    <w:p w14:paraId="54552C97"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3. При производстве полета на сверхмаксимальную ско рость никаких элементов срыва и вибраций не наблюдалось.</w:t>
      </w:r>
    </w:p>
    <w:p w14:paraId="629C84DB"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29A1A3E5"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391955F8" w14:textId="77777777" w:rsidR="009104CE" w:rsidRPr="00925F26" w:rsidRDefault="009104CE"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1C03D367" w14:textId="77777777" w:rsidR="009104CE" w:rsidRPr="00925F26" w:rsidRDefault="009104CE" w:rsidP="00925F26">
      <w:pPr>
        <w:pStyle w:val="ae"/>
        <w:shd w:val="clear" w:color="auto" w:fill="FFFFFF"/>
        <w:spacing w:before="0" w:after="0"/>
        <w:jc w:val="both"/>
        <w:rPr>
          <w:color w:val="000000" w:themeColor="text1"/>
          <w:sz w:val="16"/>
          <w:szCs w:val="16"/>
        </w:rPr>
      </w:pPr>
    </w:p>
    <w:p w14:paraId="59D1D4C2" w14:textId="77777777" w:rsidR="00A752EF" w:rsidRPr="00925F26" w:rsidRDefault="00A752EF" w:rsidP="00925F26">
      <w:pPr>
        <w:jc w:val="both"/>
        <w:rPr>
          <w:color w:val="000000" w:themeColor="text1"/>
          <w:sz w:val="16"/>
          <w:szCs w:val="16"/>
        </w:rPr>
      </w:pPr>
      <w:r w:rsidRPr="00925F26">
        <w:rPr>
          <w:bCs/>
          <w:color w:val="000000" w:themeColor="text1"/>
          <w:sz w:val="16"/>
          <w:szCs w:val="16"/>
        </w:rPr>
        <w:t>6 апреля</w:t>
      </w:r>
      <w:r w:rsidRPr="00925F26">
        <w:rPr>
          <w:color w:val="000000" w:themeColor="text1"/>
          <w:sz w:val="16"/>
          <w:szCs w:val="16"/>
        </w:rPr>
        <w:t xml:space="preserve"> в 1945 году заводской летчик-испытатель Г.Н.Комаров выполнил первый полет на самолете, получившем обозначение </w:t>
      </w:r>
      <w:hyperlink r:id="rId97" w:tgtFrame="_blank" w:history="1">
        <w:r w:rsidRPr="00925F26">
          <w:rPr>
            <w:color w:val="000000" w:themeColor="text1"/>
            <w:sz w:val="16"/>
            <w:szCs w:val="16"/>
          </w:rPr>
          <w:t xml:space="preserve">«Су-5». </w:t>
        </w:r>
      </w:hyperlink>
      <w:r w:rsidRPr="00925F26">
        <w:rPr>
          <w:color w:val="000000" w:themeColor="text1"/>
          <w:sz w:val="16"/>
          <w:szCs w:val="16"/>
        </w:rPr>
        <w:t xml:space="preserve">Заводские испытания с перерывом продолжались до конца октября. За этот период было выполнено 42 полета, из них - одиннадцать с включением ВРДК. Полученная максимальная скорость оказалась на 18-20% ниже расчетной. Поэтому второй летный экземпляр самолета по завершению постройки передали в ЦАГИ для аэродинамических исследований в трубе «Т-101». В ноябре 1946 года постановлением правительства были прекращены работы по ряду самолетов, потерявших актуальность, среди них оказался и </w:t>
      </w:r>
      <w:hyperlink r:id="rId98" w:tgtFrame="_blank" w:history="1">
        <w:r w:rsidRPr="00925F26">
          <w:rPr>
            <w:color w:val="000000" w:themeColor="text1"/>
            <w:sz w:val="16"/>
            <w:szCs w:val="16"/>
          </w:rPr>
          <w:t xml:space="preserve">«Су-5». </w:t>
        </w:r>
      </w:hyperlink>
    </w:p>
    <w:p w14:paraId="61DBF51C" w14:textId="77777777" w:rsidR="00A752EF" w:rsidRPr="00925F26" w:rsidRDefault="00A752EF" w:rsidP="00925F26">
      <w:pPr>
        <w:jc w:val="both"/>
        <w:rPr>
          <w:color w:val="000000" w:themeColor="text1"/>
          <w:sz w:val="16"/>
          <w:szCs w:val="16"/>
        </w:rPr>
      </w:pPr>
    </w:p>
    <w:p w14:paraId="23E5E28B" w14:textId="77777777" w:rsidR="003D79A1" w:rsidRPr="00925F26" w:rsidRDefault="003D79A1" w:rsidP="00925F26">
      <w:pPr>
        <w:jc w:val="both"/>
        <w:rPr>
          <w:color w:val="000000" w:themeColor="text1"/>
          <w:sz w:val="16"/>
          <w:szCs w:val="16"/>
        </w:rPr>
      </w:pPr>
      <w:r w:rsidRPr="00925F26">
        <w:rPr>
          <w:color w:val="000000" w:themeColor="text1"/>
          <w:sz w:val="16"/>
          <w:szCs w:val="16"/>
        </w:rPr>
        <w:t>6 апреля 1945 г., летчик-испытатель Г.И. Кома</w:t>
      </w:r>
      <w:r w:rsidRPr="00925F26">
        <w:rPr>
          <w:color w:val="000000" w:themeColor="text1"/>
          <w:sz w:val="16"/>
          <w:szCs w:val="16"/>
        </w:rPr>
        <w:softHyphen/>
        <w:t>ров выполнил на Су-5 первый полет. Заводские испытания самолета про</w:t>
      </w:r>
      <w:r w:rsidRPr="00925F26">
        <w:rPr>
          <w:color w:val="000000" w:themeColor="text1"/>
          <w:sz w:val="16"/>
          <w:szCs w:val="16"/>
        </w:rPr>
        <w:softHyphen/>
        <w:t>водились на аэродроме Тушино в Мо</w:t>
      </w:r>
      <w:r w:rsidRPr="00925F26">
        <w:rPr>
          <w:color w:val="000000" w:themeColor="text1"/>
          <w:sz w:val="16"/>
          <w:szCs w:val="16"/>
        </w:rPr>
        <w:softHyphen/>
        <w:t>скве. Вначале почти все шло по плану, но 15 июня в 23-м полете разрушился дви</w:t>
      </w:r>
      <w:r w:rsidRPr="00925F26">
        <w:rPr>
          <w:color w:val="000000" w:themeColor="text1"/>
          <w:sz w:val="16"/>
          <w:szCs w:val="16"/>
        </w:rPr>
        <w:softHyphen/>
        <w:t>гатель ВК-107А. К тому времени была достигнута скорость 793 км/ч на высоте 4350 метров.</w:t>
      </w:r>
    </w:p>
    <w:p w14:paraId="4530B7DA" w14:textId="77777777" w:rsidR="003D79A1" w:rsidRPr="00925F26" w:rsidRDefault="003D79A1" w:rsidP="00925F26">
      <w:pPr>
        <w:jc w:val="both"/>
        <w:rPr>
          <w:color w:val="000000" w:themeColor="text1"/>
          <w:sz w:val="16"/>
          <w:szCs w:val="16"/>
        </w:rPr>
      </w:pPr>
      <w:r w:rsidRPr="00925F26">
        <w:rPr>
          <w:color w:val="000000" w:themeColor="text1"/>
          <w:sz w:val="16"/>
          <w:szCs w:val="16"/>
        </w:rPr>
        <w:t>В период вынужденного простоя из-за отсутствия двигателя на самолете установи</w:t>
      </w:r>
      <w:r w:rsidRPr="00925F26">
        <w:rPr>
          <w:color w:val="000000" w:themeColor="text1"/>
          <w:sz w:val="16"/>
          <w:szCs w:val="16"/>
        </w:rPr>
        <w:softHyphen/>
        <w:t>ли новое крыло с ламинарным профилем.</w:t>
      </w:r>
    </w:p>
    <w:p w14:paraId="7909F95D" w14:textId="77777777" w:rsidR="003D79A1" w:rsidRPr="00925F26" w:rsidRDefault="003D79A1" w:rsidP="00925F26">
      <w:pPr>
        <w:jc w:val="both"/>
        <w:rPr>
          <w:color w:val="000000" w:themeColor="text1"/>
          <w:sz w:val="16"/>
          <w:szCs w:val="16"/>
        </w:rPr>
      </w:pPr>
      <w:r w:rsidRPr="00925F26">
        <w:rPr>
          <w:color w:val="000000" w:themeColor="text1"/>
          <w:sz w:val="16"/>
          <w:szCs w:val="16"/>
        </w:rPr>
        <w:t>В дальнейших полетах подтвердить полученную однажды скорость не удалось из-за недоведенности ВРДК (23462).</w:t>
      </w:r>
    </w:p>
    <w:p w14:paraId="0EB05674" w14:textId="77777777" w:rsidR="003D79A1" w:rsidRPr="00925F26" w:rsidRDefault="003D79A1" w:rsidP="00925F26">
      <w:pPr>
        <w:jc w:val="both"/>
        <w:rPr>
          <w:color w:val="000000" w:themeColor="text1"/>
          <w:sz w:val="16"/>
          <w:szCs w:val="16"/>
        </w:rPr>
      </w:pPr>
    </w:p>
    <w:p w14:paraId="4E571C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А.П.Деев выполнил второй полет на И-250 с уборкой шасси (6471, 7).</w:t>
      </w:r>
    </w:p>
    <w:p w14:paraId="7EF98278" w14:textId="77777777" w:rsidR="00665165" w:rsidRPr="00925F26" w:rsidRDefault="00665165" w:rsidP="00925F26">
      <w:pPr>
        <w:autoSpaceDE w:val="0"/>
        <w:autoSpaceDN w:val="0"/>
        <w:adjustRightInd w:val="0"/>
        <w:jc w:val="both"/>
        <w:rPr>
          <w:color w:val="000000" w:themeColor="text1"/>
          <w:sz w:val="16"/>
          <w:szCs w:val="16"/>
        </w:rPr>
      </w:pPr>
    </w:p>
    <w:p w14:paraId="3A2AB277" w14:textId="77777777" w:rsidR="002D4CA3" w:rsidRPr="001A0BAA" w:rsidRDefault="002D4CA3" w:rsidP="002D4CA3">
      <w:pPr>
        <w:jc w:val="both"/>
        <w:rPr>
          <w:color w:val="0070C0"/>
          <w:sz w:val="16"/>
          <w:szCs w:val="16"/>
        </w:rPr>
      </w:pPr>
      <w:r w:rsidRPr="001A0BAA">
        <w:rPr>
          <w:color w:val="0070C0"/>
          <w:sz w:val="16"/>
          <w:szCs w:val="16"/>
        </w:rPr>
        <w:t>6 апреля 1945 г. первым полетом эксперимен</w:t>
      </w:r>
      <w:r w:rsidRPr="001A0BAA">
        <w:rPr>
          <w:color w:val="0070C0"/>
          <w:sz w:val="16"/>
          <w:szCs w:val="16"/>
        </w:rPr>
        <w:softHyphen/>
        <w:t>тального истребителя Су-5 были начаты заводские летные испытания.</w:t>
      </w:r>
    </w:p>
    <w:p w14:paraId="130D413F" w14:textId="77777777" w:rsidR="002D4CA3" w:rsidRPr="001A0BAA" w:rsidRDefault="002D4CA3" w:rsidP="002D4CA3">
      <w:pPr>
        <w:jc w:val="both"/>
        <w:rPr>
          <w:color w:val="0070C0"/>
          <w:sz w:val="16"/>
          <w:szCs w:val="16"/>
        </w:rPr>
      </w:pPr>
      <w:r w:rsidRPr="001A0BAA">
        <w:rPr>
          <w:color w:val="0070C0"/>
          <w:sz w:val="16"/>
          <w:szCs w:val="16"/>
        </w:rPr>
        <w:t>Испытания самолета проводились на Тушинском аэродро</w:t>
      </w:r>
      <w:r w:rsidRPr="001A0BAA">
        <w:rPr>
          <w:color w:val="0070C0"/>
          <w:sz w:val="16"/>
          <w:szCs w:val="16"/>
        </w:rPr>
        <w:softHyphen/>
        <w:t>ме. 15 июня из-за аварии двигателя ВК-107А испытания были прекращены. К этому моменту были выполнены 23 полета с общим налетом 8 ч. 50 мин.</w:t>
      </w:r>
    </w:p>
    <w:p w14:paraId="7E8CC255" w14:textId="77777777" w:rsidR="002D4CA3" w:rsidRPr="001A0BAA" w:rsidRDefault="002D4CA3" w:rsidP="002D4CA3">
      <w:pPr>
        <w:jc w:val="both"/>
        <w:rPr>
          <w:color w:val="0070C0"/>
          <w:sz w:val="16"/>
          <w:szCs w:val="16"/>
        </w:rPr>
      </w:pPr>
      <w:r w:rsidRPr="001A0BAA">
        <w:rPr>
          <w:color w:val="0070C0"/>
          <w:sz w:val="16"/>
          <w:szCs w:val="16"/>
        </w:rPr>
        <w:t>По результатам испытаний был выпущен отчет:</w:t>
      </w:r>
    </w:p>
    <w:p w14:paraId="79083CC6" w14:textId="77777777" w:rsidR="002D4CA3" w:rsidRPr="001A0BAA" w:rsidRDefault="002D4CA3" w:rsidP="002D4CA3">
      <w:pPr>
        <w:jc w:val="both"/>
        <w:rPr>
          <w:color w:val="0070C0"/>
          <w:sz w:val="16"/>
          <w:szCs w:val="16"/>
        </w:rPr>
      </w:pPr>
      <w:r w:rsidRPr="001A0BAA">
        <w:rPr>
          <w:color w:val="0070C0"/>
          <w:sz w:val="16"/>
          <w:szCs w:val="16"/>
        </w:rPr>
        <w:lastRenderedPageBreak/>
        <w:t>«... 1. Винтомоторная установка в части питания, смазки и охлаждения работает на всех режимах вполне удовлетво</w:t>
      </w:r>
      <w:r w:rsidRPr="001A0BAA">
        <w:rPr>
          <w:color w:val="0070C0"/>
          <w:sz w:val="16"/>
          <w:szCs w:val="16"/>
        </w:rPr>
        <w:softHyphen/>
        <w:t>рительно.</w:t>
      </w:r>
    </w:p>
    <w:p w14:paraId="4C10688C" w14:textId="77777777" w:rsidR="002D4CA3" w:rsidRPr="001A0BAA" w:rsidRDefault="002D4CA3" w:rsidP="002D4CA3">
      <w:pPr>
        <w:widowControl w:val="0"/>
        <w:tabs>
          <w:tab w:val="left" w:pos="629"/>
        </w:tabs>
        <w:jc w:val="both"/>
        <w:rPr>
          <w:color w:val="0070C0"/>
          <w:sz w:val="16"/>
          <w:szCs w:val="16"/>
        </w:rPr>
      </w:pPr>
      <w:r w:rsidRPr="001A0BAA">
        <w:rPr>
          <w:color w:val="0070C0"/>
          <w:sz w:val="16"/>
          <w:szCs w:val="16"/>
        </w:rPr>
        <w:t>2. Управляемость и устойчивость самолета на различных скоростях и эволюциях — нормальная.</w:t>
      </w:r>
    </w:p>
    <w:p w14:paraId="2C879D00" w14:textId="77777777" w:rsidR="002D4CA3" w:rsidRPr="001A0BAA" w:rsidRDefault="002D4CA3" w:rsidP="002D4CA3">
      <w:pPr>
        <w:widowControl w:val="0"/>
        <w:tabs>
          <w:tab w:val="left" w:pos="630"/>
        </w:tabs>
        <w:jc w:val="both"/>
        <w:rPr>
          <w:color w:val="0070C0"/>
          <w:sz w:val="16"/>
          <w:szCs w:val="16"/>
        </w:rPr>
      </w:pPr>
      <w:r w:rsidRPr="001A0BAA">
        <w:rPr>
          <w:color w:val="0070C0"/>
          <w:sz w:val="16"/>
          <w:szCs w:val="16"/>
        </w:rPr>
        <w:t>3. При производстве полета на сверхмаксимальную ско</w:t>
      </w:r>
      <w:r w:rsidRPr="001A0BAA">
        <w:rPr>
          <w:color w:val="0070C0"/>
          <w:sz w:val="16"/>
          <w:szCs w:val="16"/>
        </w:rPr>
        <w:softHyphen/>
        <w:t>рость никаких элементов срыва и вибраций не наблюдалось.</w:t>
      </w:r>
    </w:p>
    <w:p w14:paraId="699ED02E" w14:textId="77777777" w:rsidR="002D4CA3" w:rsidRPr="001A0BAA" w:rsidRDefault="002D4CA3" w:rsidP="002D4CA3">
      <w:pPr>
        <w:widowControl w:val="0"/>
        <w:tabs>
          <w:tab w:val="left" w:pos="634"/>
        </w:tabs>
        <w:jc w:val="both"/>
        <w:rPr>
          <w:color w:val="0070C0"/>
          <w:sz w:val="16"/>
          <w:szCs w:val="16"/>
        </w:rPr>
      </w:pPr>
      <w:r w:rsidRPr="001A0BAA">
        <w:rPr>
          <w:color w:val="0070C0"/>
          <w:sz w:val="16"/>
          <w:szCs w:val="16"/>
        </w:rPr>
        <w:t>4. Полученная максимальная скорость на высоте 4 350 м равна 793 км/ч. При дальнейших полетах подтвердить полу</w:t>
      </w:r>
      <w:r w:rsidRPr="001A0BAA">
        <w:rPr>
          <w:color w:val="0070C0"/>
          <w:sz w:val="16"/>
          <w:szCs w:val="16"/>
        </w:rPr>
        <w:softHyphen/>
        <w:t>ченную однажды скорость не удалось...», что объяснялось недоведенностью ВРДК.</w:t>
      </w:r>
    </w:p>
    <w:p w14:paraId="0CA563FC" w14:textId="77777777" w:rsidR="002D4CA3" w:rsidRPr="001A0BAA" w:rsidRDefault="002D4CA3" w:rsidP="002D4CA3">
      <w:pPr>
        <w:jc w:val="both"/>
        <w:rPr>
          <w:color w:val="0070C0"/>
          <w:sz w:val="16"/>
          <w:szCs w:val="16"/>
        </w:rPr>
      </w:pPr>
      <w:r w:rsidRPr="001A0BAA">
        <w:rPr>
          <w:color w:val="0070C0"/>
          <w:sz w:val="16"/>
          <w:szCs w:val="16"/>
        </w:rPr>
        <w:t>За время вынужденного простоя из-за отсутствия двигате</w:t>
      </w:r>
      <w:r w:rsidRPr="001A0BAA">
        <w:rPr>
          <w:color w:val="0070C0"/>
          <w:sz w:val="16"/>
          <w:szCs w:val="16"/>
        </w:rPr>
        <w:softHyphen/>
        <w:t>ля на самолете было установлено новое крыло с ламинаризированным профилем ЦАГИ. Кроме этого, в связи с подготовкой к авиационному параду, по распоряжению НКАП, ЛИС завода № 134 была передислоцирована на Центральный аэро</w:t>
      </w:r>
      <w:r w:rsidRPr="001A0BAA">
        <w:rPr>
          <w:color w:val="0070C0"/>
          <w:sz w:val="16"/>
          <w:szCs w:val="16"/>
        </w:rPr>
        <w:softHyphen/>
        <w:t>дром [72] (24920).</w:t>
      </w:r>
    </w:p>
    <w:p w14:paraId="3FF963E8" w14:textId="77777777" w:rsidR="002D4CA3" w:rsidRPr="001A0BAA" w:rsidRDefault="002D4CA3" w:rsidP="002D4CA3">
      <w:pPr>
        <w:jc w:val="both"/>
        <w:rPr>
          <w:color w:val="0070C0"/>
          <w:sz w:val="16"/>
          <w:szCs w:val="16"/>
        </w:rPr>
      </w:pPr>
    </w:p>
    <w:p w14:paraId="5D7A9F4F" w14:textId="77777777" w:rsidR="002D4CA3" w:rsidRPr="001A0BAA" w:rsidRDefault="002D4CA3" w:rsidP="002D4CA3">
      <w:pPr>
        <w:jc w:val="both"/>
        <w:rPr>
          <w:color w:val="0070C0"/>
          <w:sz w:val="16"/>
          <w:szCs w:val="16"/>
        </w:rPr>
      </w:pPr>
      <w:r w:rsidRPr="001A0BAA">
        <w:rPr>
          <w:color w:val="0070C0"/>
          <w:sz w:val="16"/>
          <w:szCs w:val="16"/>
        </w:rPr>
        <w:t>6 апреля 1945 г. первый полет на самолете, получившем обозначение Су-5, выполнил заводской летчик-испытатель Г.Н. Комаров.Заводские испытания с перерывом продолжались до конца октября. За этот период было выполнено 42 полета, из них - одиннадцать с включением ВРДК. Полученная максимальная скорость оказалась на 18-20% ниже расчетной. Поэтому второй летный экземпляр самолета по завершению постройки передали в ЦАГИ для аэродинамических исследований в трубе Т- 101. В ноябре 1946 г. постановлением правительства были прекращены работы по ряду самолетов, потерявших актуальность, среди них оказался и Су-5 (24925).</w:t>
      </w:r>
    </w:p>
    <w:p w14:paraId="443E8658" w14:textId="77777777" w:rsidR="002D4CA3" w:rsidRPr="001A0BAA" w:rsidRDefault="002D4CA3" w:rsidP="002D4CA3">
      <w:pPr>
        <w:jc w:val="both"/>
        <w:rPr>
          <w:color w:val="0070C0"/>
          <w:sz w:val="16"/>
          <w:szCs w:val="16"/>
        </w:rPr>
      </w:pPr>
    </w:p>
    <w:p w14:paraId="450F42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закончились специальные летные испытания пушечного вооружения 2-х с-тов Ла-7 №№ 38102660 и 38108459 по три модифицированных пушки калибра 20мм (Б-20с) производства завода № 381, которые проходили с 26 марта.</w:t>
      </w:r>
    </w:p>
    <w:p w14:paraId="7569EF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Выполнили 30 полетов, настрел - 6635 выстрелов.</w:t>
      </w:r>
    </w:p>
    <w:p w14:paraId="7C13A6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Исполнитель ви 7 отд. 1У ГК НИИ ВВС и-м В.А.Березин</w:t>
      </w:r>
    </w:p>
    <w:p w14:paraId="18D45A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И 1 от-я 4 У ГК НИИ ВВС Г.В.Минеев</w:t>
      </w:r>
    </w:p>
    <w:p w14:paraId="2594D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5B1366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123FEC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3971FE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653933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5E7B46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3A5D7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2EBF1F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Летали Прошаков, Кубышкин (741,4).</w:t>
      </w:r>
    </w:p>
    <w:p w14:paraId="753015ED" w14:textId="77777777" w:rsidR="00665165" w:rsidRPr="00925F26" w:rsidRDefault="00665165" w:rsidP="00925F26">
      <w:pPr>
        <w:autoSpaceDE w:val="0"/>
        <w:autoSpaceDN w:val="0"/>
        <w:adjustRightInd w:val="0"/>
        <w:jc w:val="both"/>
        <w:rPr>
          <w:color w:val="000000" w:themeColor="text1"/>
          <w:sz w:val="16"/>
          <w:szCs w:val="16"/>
        </w:rPr>
      </w:pPr>
    </w:p>
    <w:p w14:paraId="50C627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8037. О досрочном освобождении 1500 заключенных и направлении их на завод № 153 НКАП. РГАНИР, Фонд ГКО, д. 388, лл. 151 (11012).</w:t>
      </w:r>
    </w:p>
    <w:p w14:paraId="5CEAE8C9" w14:textId="77777777" w:rsidR="00665165" w:rsidRPr="00925F26" w:rsidRDefault="00665165" w:rsidP="00925F26">
      <w:pPr>
        <w:autoSpaceDE w:val="0"/>
        <w:autoSpaceDN w:val="0"/>
        <w:adjustRightInd w:val="0"/>
        <w:jc w:val="both"/>
        <w:rPr>
          <w:color w:val="000000" w:themeColor="text1"/>
          <w:sz w:val="16"/>
          <w:szCs w:val="16"/>
        </w:rPr>
      </w:pPr>
    </w:p>
    <w:p w14:paraId="3AF141A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471A82C" w14:textId="77777777" w:rsidR="00665165" w:rsidRPr="00925F26" w:rsidRDefault="00665165" w:rsidP="00925F26">
      <w:pPr>
        <w:autoSpaceDE w:val="0"/>
        <w:autoSpaceDN w:val="0"/>
        <w:adjustRightInd w:val="0"/>
        <w:jc w:val="both"/>
        <w:rPr>
          <w:iCs/>
          <w:color w:val="000000" w:themeColor="text1"/>
          <w:sz w:val="16"/>
          <w:szCs w:val="16"/>
        </w:rPr>
      </w:pPr>
    </w:p>
    <w:p w14:paraId="274D72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период с 6 по 27 апреля 1945 Т-34 со 100мм пушкой Д-10Т совместно с танком Т-34, оснащен</w:t>
      </w:r>
      <w:r w:rsidRPr="00925F26">
        <w:rPr>
          <w:color w:val="000000" w:themeColor="text1"/>
          <w:sz w:val="16"/>
          <w:szCs w:val="16"/>
        </w:rPr>
        <w:softHyphen/>
        <w:t>ным 100-мм пушкой ЛБ-1 (ОКБ завода № 92) успешно прошел сравнительные испытания на ГАНИОПс. В связи с тем, что 100-мм пушка рассматривалась в качестве основного оружия для среднего тан</w:t>
      </w:r>
      <w:r w:rsidRPr="00925F26">
        <w:rPr>
          <w:color w:val="000000" w:themeColor="text1"/>
          <w:sz w:val="16"/>
          <w:szCs w:val="16"/>
        </w:rPr>
        <w:softHyphen/>
        <w:t>ка Т-54, имевшего более мощное бронирование, чем танк Т-34, вопрос о ее постановке в средний танк Т-34 командованием БТ и МВ перед про</w:t>
      </w:r>
      <w:r w:rsidRPr="00925F26">
        <w:rPr>
          <w:color w:val="000000" w:themeColor="text1"/>
          <w:sz w:val="16"/>
          <w:szCs w:val="16"/>
        </w:rPr>
        <w:softHyphen/>
        <w:t>мышленностью не поднимался. Танк на вооружение не принимался и в серийном производстве не состоял (10703).</w:t>
      </w:r>
    </w:p>
    <w:p w14:paraId="612AD2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2CC075E" w14:textId="77777777" w:rsidR="00BA2B8F" w:rsidRPr="00925F26" w:rsidRDefault="00BA2B8F" w:rsidP="00925F26">
      <w:pPr>
        <w:jc w:val="both"/>
        <w:rPr>
          <w:color w:val="000000" w:themeColor="text1"/>
          <w:sz w:val="16"/>
          <w:szCs w:val="16"/>
        </w:rPr>
      </w:pPr>
      <w:r w:rsidRPr="00925F26">
        <w:rPr>
          <w:color w:val="000000" w:themeColor="text1"/>
          <w:sz w:val="16"/>
          <w:szCs w:val="16"/>
        </w:rPr>
        <w:t>С 6 по 12 апреля 1945 в Т-34-100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284370A6" w14:textId="77777777" w:rsidR="00BA2B8F" w:rsidRPr="00925F26" w:rsidRDefault="00BA2B8F" w:rsidP="00925F26">
      <w:pPr>
        <w:jc w:val="both"/>
        <w:rPr>
          <w:color w:val="000000" w:themeColor="text1"/>
          <w:sz w:val="16"/>
          <w:szCs w:val="16"/>
        </w:rPr>
      </w:pPr>
      <w:r w:rsidRPr="00925F26">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3E455F6E" w14:textId="77777777" w:rsidR="00BA2B8F" w:rsidRPr="00925F26" w:rsidRDefault="00BA2B8F" w:rsidP="00925F26">
      <w:pPr>
        <w:jc w:val="both"/>
        <w:rPr>
          <w:color w:val="000000" w:themeColor="text1"/>
          <w:sz w:val="16"/>
          <w:szCs w:val="16"/>
        </w:rPr>
      </w:pPr>
      <w:r w:rsidRPr="00925F26">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066AD19C" w14:textId="77777777" w:rsidR="00BA2B8F" w:rsidRPr="00925F26" w:rsidRDefault="00BA2B8F" w:rsidP="00925F26">
      <w:pPr>
        <w:jc w:val="both"/>
        <w:rPr>
          <w:color w:val="000000" w:themeColor="text1"/>
          <w:sz w:val="16"/>
          <w:szCs w:val="16"/>
        </w:rPr>
      </w:pPr>
    </w:p>
    <w:p w14:paraId="05EACED4" w14:textId="77777777" w:rsidR="002D4CA3" w:rsidRPr="001A0BAA" w:rsidRDefault="002D4CA3" w:rsidP="002D4CA3">
      <w:pPr>
        <w:jc w:val="both"/>
        <w:rPr>
          <w:color w:val="0070C0"/>
          <w:sz w:val="16"/>
          <w:szCs w:val="16"/>
        </w:rPr>
      </w:pPr>
      <w:r w:rsidRPr="001A0BAA">
        <w:rPr>
          <w:color w:val="0070C0"/>
          <w:sz w:val="16"/>
          <w:szCs w:val="16"/>
        </w:rPr>
        <w:t>С 6 по 12 апреля 1945 г. в Т-34-100 испытали 100-мм пушку ЛБ-1, спроектированную в конструкторском бюро завода № 92 (1000 выстрелов и 501 километр пробе</w:t>
      </w:r>
      <w:r w:rsidRPr="001A0BAA">
        <w:rPr>
          <w:color w:val="0070C0"/>
          <w:sz w:val="16"/>
          <w:szCs w:val="16"/>
        </w:rPr>
        <w:softHyphen/>
        <w:t>га). Ору</w:t>
      </w:r>
      <w:r w:rsidRPr="001A0BAA">
        <w:rPr>
          <w:color w:val="0070C0"/>
          <w:sz w:val="16"/>
          <w:szCs w:val="16"/>
        </w:rPr>
        <w:softHyphen/>
        <w:t>дие испытание выдержало, при этом отмеча</w:t>
      </w:r>
      <w:r w:rsidRPr="001A0BAA">
        <w:rPr>
          <w:color w:val="0070C0"/>
          <w:sz w:val="16"/>
          <w:szCs w:val="16"/>
        </w:rPr>
        <w:softHyphen/>
        <w:t>лось, что «прочность и надежность в работе в целом удовлетворительны» (25012).</w:t>
      </w:r>
    </w:p>
    <w:p w14:paraId="1C0D43BE" w14:textId="77777777" w:rsidR="002D4CA3" w:rsidRPr="001A0BAA" w:rsidRDefault="002D4CA3" w:rsidP="002D4CA3">
      <w:pPr>
        <w:jc w:val="both"/>
        <w:rPr>
          <w:color w:val="0070C0"/>
          <w:sz w:val="16"/>
          <w:szCs w:val="16"/>
        </w:rPr>
      </w:pPr>
    </w:p>
    <w:p w14:paraId="43EC8C01" w14:textId="77777777" w:rsidR="002D4CA3" w:rsidRPr="001A0BAA" w:rsidRDefault="002D4CA3" w:rsidP="002D4CA3">
      <w:pPr>
        <w:jc w:val="both"/>
        <w:rPr>
          <w:color w:val="0070C0"/>
          <w:sz w:val="16"/>
          <w:szCs w:val="16"/>
        </w:rPr>
      </w:pPr>
      <w:r w:rsidRPr="001A0BAA">
        <w:rPr>
          <w:color w:val="0070C0"/>
          <w:sz w:val="16"/>
          <w:szCs w:val="16"/>
        </w:rPr>
        <w:t xml:space="preserve">С 6 по 14 апреля 1945 года на Гороховецком полигоне прошли испытания танка Т-34-100 с пушкой ЛБ-1. В ходе испытаний было произведено 1000 выстрелов и пройдено 501 км. Скорострельность ЛБ-1 составила 5,2 — 5,8 </w:t>
      </w:r>
      <w:proofErr w:type="gramStart"/>
      <w:r w:rsidRPr="001A0BAA">
        <w:rPr>
          <w:color w:val="0070C0"/>
          <w:sz w:val="16"/>
          <w:szCs w:val="16"/>
        </w:rPr>
        <w:t>выстр./</w:t>
      </w:r>
      <w:proofErr w:type="gramEnd"/>
      <w:r w:rsidRPr="001A0BAA">
        <w:rPr>
          <w:color w:val="0070C0"/>
          <w:sz w:val="16"/>
          <w:szCs w:val="16"/>
        </w:rPr>
        <w:t>мин. Кучность стрельбы у нового орудия оказалась выше, чем у предшественников, и нагрузка на ходовую часть и трансмиссию заметно ниже. Машина полностью превосходила предыдущие варианты танка Т-34-100.</w:t>
      </w:r>
    </w:p>
    <w:p w14:paraId="64C3D87E" w14:textId="77777777" w:rsidR="002D4CA3" w:rsidRPr="001A0BAA" w:rsidRDefault="002D4CA3" w:rsidP="002D4CA3">
      <w:pPr>
        <w:jc w:val="both"/>
        <w:rPr>
          <w:color w:val="0070C0"/>
          <w:sz w:val="16"/>
          <w:szCs w:val="16"/>
        </w:rPr>
      </w:pPr>
      <w:r w:rsidRPr="001A0BAA">
        <w:rPr>
          <w:color w:val="0070C0"/>
          <w:sz w:val="16"/>
          <w:szCs w:val="16"/>
        </w:rPr>
        <w:t>Приёмная комиссия сделала заключение, что «после устранения выявленных недостатков пушка может быть рекомендована к принятию на вооружение». Однако, несмотря на большой интерес военных к танку Т-34-100, серийное его производство так и не было начато. Война подходила к концу, да и Т-44, превосходивший Т-34-100, был на выходе. Смысл производства этой машины просто пропал (25500).</w:t>
      </w:r>
    </w:p>
    <w:p w14:paraId="48553EED" w14:textId="77777777" w:rsidR="002D4CA3" w:rsidRPr="001A0BAA" w:rsidRDefault="002D4CA3" w:rsidP="002D4CA3">
      <w:pPr>
        <w:jc w:val="both"/>
        <w:rPr>
          <w:color w:val="0070C0"/>
          <w:sz w:val="16"/>
          <w:szCs w:val="16"/>
        </w:rPr>
      </w:pPr>
    </w:p>
    <w:p w14:paraId="4AF80E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апреля 1945 г. была подготовлена ДОКЛАДНАЯ ЗАПИСКА ЗАМЕСТИТЕЛЯ НАЧАЛЬНИКА ГБТУ КА НАРКОМУ ТАНКОВОЙ ПРОМЫШЛЕННОСТИ СССР В.А. МАЛЫШЕВУ О МОДЕРНИЗАЦИИ ОПОРНЫХ КАТКОВ ТАНКА Т-34-85 № 837681</w:t>
      </w:r>
    </w:p>
    <w:p w14:paraId="295369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НИБТ полигоном ГБТУ КА проведены испытания опорных катков танка Тигр Б, установленных на танке Т-34-85.</w:t>
      </w:r>
    </w:p>
    <w:p w14:paraId="7FFC8C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Испытаниями выявлено более высокая надежность этих катков по сравнению с серийными кат</w:t>
      </w:r>
      <w:r w:rsidRPr="00925F26">
        <w:rPr>
          <w:color w:val="000000" w:themeColor="text1"/>
          <w:sz w:val="16"/>
          <w:szCs w:val="16"/>
        </w:rPr>
        <w:softHyphen/>
        <w:t>ками танка Т-34-85.</w:t>
      </w:r>
    </w:p>
    <w:p w14:paraId="169905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проведенных в объеме 1500 км (из них 567 км по шоссе со средней скоро</w:t>
      </w:r>
      <w:r w:rsidRPr="00925F26">
        <w:rPr>
          <w:color w:val="000000" w:themeColor="text1"/>
          <w:sz w:val="16"/>
          <w:szCs w:val="16"/>
        </w:rPr>
        <w:softHyphen/>
        <w:t>стью 42,3 км/ч), опорные катки дефектов не имели, за исключением одного случая утери конусов крепления дисков (на 1058 км) и четырех случаев разрушения сварных швов бандажей.</w:t>
      </w:r>
    </w:p>
    <w:p w14:paraId="077A1F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Разрушение сварных швов бандажей может быть устранено при изготовлении их цельноли-тыми.</w:t>
      </w:r>
    </w:p>
    <w:p w14:paraId="732495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Учитывая низкую работоспособность серийных катков танков Т-34-85, считаю целесообразным изготовить и проверить испытаниями опытную партию катков с внутренней амортизацией по типу танка Тигр Б.</w:t>
      </w:r>
    </w:p>
    <w:p w14:paraId="5D80CA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Конструктивная проработка таких катков заводом №183 проведена.</w:t>
      </w:r>
    </w:p>
    <w:p w14:paraId="30E539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окончательной отработке их конструкции считаю необходимым:</w:t>
      </w:r>
    </w:p>
    <w:p w14:paraId="64C9F2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Предусмотреть возможность регулировки затяжки резинок.</w:t>
      </w:r>
    </w:p>
    <w:p w14:paraId="32641A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Снизить вес катков.</w:t>
      </w:r>
    </w:p>
    <w:p w14:paraId="454B21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Прошу Ваших указаний заводу №183 об изготовлении в апреле с.г. 5 комплектов таких катков с тем, чтобы 2 комплекта испытать на заводе, а 3 — на полигоне.</w:t>
      </w:r>
    </w:p>
    <w:p w14:paraId="6E5F8F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Отчет НИБТ полигона по испытанию катков танка Тигр Б прилагаю. Ваше решение прошу сообщить.</w:t>
      </w:r>
    </w:p>
    <w:p w14:paraId="632153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ГБТУ КА генерал-лейтенант инженерно-танковой службы Лебедев</w:t>
      </w:r>
    </w:p>
    <w:p w14:paraId="107E35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танкового управления ГБТУ КА инженер-полковник Благонравов</w:t>
      </w:r>
    </w:p>
    <w:p w14:paraId="54C848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2715. Л. 79. Копия (11420).</w:t>
      </w:r>
    </w:p>
    <w:p w14:paraId="2284662C" w14:textId="77777777" w:rsidR="00665165" w:rsidRPr="00925F26" w:rsidRDefault="00665165" w:rsidP="00925F26">
      <w:pPr>
        <w:autoSpaceDE w:val="0"/>
        <w:autoSpaceDN w:val="0"/>
        <w:adjustRightInd w:val="0"/>
        <w:jc w:val="both"/>
        <w:rPr>
          <w:color w:val="000000" w:themeColor="text1"/>
          <w:sz w:val="16"/>
          <w:szCs w:val="16"/>
        </w:rPr>
      </w:pPr>
    </w:p>
    <w:p w14:paraId="4C5058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6 по 21 апреля 1945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4159B7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9E0B42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6 апреля 1945 вышло Постановление ГКО № 8035 О помощи НКПС рабочей силой для работы на западных железных дорогах. (7321, 149).</w:t>
      </w:r>
    </w:p>
    <w:p w14:paraId="2C6C77D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3F3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8036. О досрочном освобождении 1500 заключенных в Азербайджанской ССР и направлений их на предприятия нефтяной промышленности. РГАНИР, Фонд ГКО, д. 388, лл. 150 (11012).</w:t>
      </w:r>
    </w:p>
    <w:p w14:paraId="0BA783A7" w14:textId="77777777" w:rsidR="00665165" w:rsidRPr="00925F26" w:rsidRDefault="00665165" w:rsidP="00925F26">
      <w:pPr>
        <w:autoSpaceDE w:val="0"/>
        <w:autoSpaceDN w:val="0"/>
        <w:adjustRightInd w:val="0"/>
        <w:jc w:val="both"/>
        <w:rPr>
          <w:color w:val="000000" w:themeColor="text1"/>
          <w:sz w:val="16"/>
          <w:szCs w:val="16"/>
        </w:rPr>
      </w:pPr>
    </w:p>
    <w:p w14:paraId="347262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8038 О плане распределения природного газа на II кв.1945 г. РГАНИР, Фонд ГКО, д. 388, лл. 152, 153-159 (11012).</w:t>
      </w:r>
    </w:p>
    <w:p w14:paraId="2337CC3E" w14:textId="77777777" w:rsidR="00665165" w:rsidRPr="00925F26" w:rsidRDefault="00665165" w:rsidP="00925F26">
      <w:pPr>
        <w:autoSpaceDE w:val="0"/>
        <w:autoSpaceDN w:val="0"/>
        <w:adjustRightInd w:val="0"/>
        <w:jc w:val="both"/>
        <w:rPr>
          <w:color w:val="000000" w:themeColor="text1"/>
          <w:sz w:val="16"/>
          <w:szCs w:val="16"/>
        </w:rPr>
      </w:pPr>
    </w:p>
    <w:p w14:paraId="2EA320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8039 О плане снабжения горюче-смазочными материалами Красной Армии и Военно-Морского Флота на апрель 1945 года. РГАНИР, Фонд ГКО, д. 388, лл. 160-163, 164-190 (11012).</w:t>
      </w:r>
    </w:p>
    <w:p w14:paraId="43291829" w14:textId="77777777" w:rsidR="00665165" w:rsidRPr="00925F26" w:rsidRDefault="00665165" w:rsidP="00925F26">
      <w:pPr>
        <w:autoSpaceDE w:val="0"/>
        <w:autoSpaceDN w:val="0"/>
        <w:adjustRightInd w:val="0"/>
        <w:jc w:val="both"/>
        <w:rPr>
          <w:color w:val="000000" w:themeColor="text1"/>
          <w:sz w:val="16"/>
          <w:szCs w:val="16"/>
        </w:rPr>
      </w:pPr>
    </w:p>
    <w:p w14:paraId="1A90C7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8040. О мерах по обеспечению станками и инструментом производства детали №4 корпуса снаряда М-8 на заводе № 718 НКМВ. РГАНИР, Фонд ГКО, д. 388, лл. 191-192, 193-194 (11012).</w:t>
      </w:r>
    </w:p>
    <w:p w14:paraId="3F349FA6" w14:textId="77777777" w:rsidR="00665165" w:rsidRPr="00925F26" w:rsidRDefault="00665165" w:rsidP="00925F26">
      <w:pPr>
        <w:autoSpaceDE w:val="0"/>
        <w:autoSpaceDN w:val="0"/>
        <w:adjustRightInd w:val="0"/>
        <w:jc w:val="both"/>
        <w:rPr>
          <w:color w:val="000000" w:themeColor="text1"/>
          <w:sz w:val="16"/>
          <w:szCs w:val="16"/>
        </w:rPr>
      </w:pPr>
    </w:p>
    <w:p w14:paraId="60DD68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8041. О мерах по организации производства нового взрывателя к 57 мм и 76 мм снарядам. РГАНИР, Фонд ГКО, д. 388, лл. 195-196 (11012).</w:t>
      </w:r>
    </w:p>
    <w:p w14:paraId="290049AE" w14:textId="77777777" w:rsidR="00665165" w:rsidRPr="00925F26" w:rsidRDefault="00665165" w:rsidP="00925F26">
      <w:pPr>
        <w:autoSpaceDE w:val="0"/>
        <w:autoSpaceDN w:val="0"/>
        <w:adjustRightInd w:val="0"/>
        <w:jc w:val="both"/>
        <w:rPr>
          <w:color w:val="000000" w:themeColor="text1"/>
          <w:sz w:val="16"/>
          <w:szCs w:val="16"/>
        </w:rPr>
      </w:pPr>
    </w:p>
    <w:p w14:paraId="0B175F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8042 Об увеличении во II квартале 1945 г. плана производства ферросилиция на заводах Наркомчермета. РГАНИР, Фонд ГКО, д. 388, лл. 197 (11012).</w:t>
      </w:r>
    </w:p>
    <w:p w14:paraId="1ACA6D91" w14:textId="77777777" w:rsidR="00665165" w:rsidRPr="00925F26" w:rsidRDefault="00665165" w:rsidP="00925F26">
      <w:pPr>
        <w:autoSpaceDE w:val="0"/>
        <w:autoSpaceDN w:val="0"/>
        <w:adjustRightInd w:val="0"/>
        <w:jc w:val="both"/>
        <w:rPr>
          <w:color w:val="000000" w:themeColor="text1"/>
          <w:sz w:val="16"/>
          <w:szCs w:val="16"/>
        </w:rPr>
      </w:pPr>
    </w:p>
    <w:p w14:paraId="62DA02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8043 О передаче в систему Наркомата боеприпасов завода № 13 Наркомстроя. РГАНИР, Фонд ГКО, д. 388, лл. 198 (11012).</w:t>
      </w:r>
    </w:p>
    <w:p w14:paraId="609C1CFC" w14:textId="77777777" w:rsidR="00665165" w:rsidRPr="00925F26" w:rsidRDefault="00665165" w:rsidP="00925F26">
      <w:pPr>
        <w:autoSpaceDE w:val="0"/>
        <w:autoSpaceDN w:val="0"/>
        <w:adjustRightInd w:val="0"/>
        <w:jc w:val="both"/>
        <w:rPr>
          <w:color w:val="000000" w:themeColor="text1"/>
          <w:sz w:val="16"/>
          <w:szCs w:val="16"/>
        </w:rPr>
      </w:pPr>
    </w:p>
    <w:p w14:paraId="6010E66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8044 [О плане выпуска металлической посуды на ленинградском заводе "Красный выборжец".] (7321, 199-201).</w:t>
      </w:r>
    </w:p>
    <w:p w14:paraId="03631A9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BFFD6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8045. О допоставке оборудования НКЧМ по фондам I кв. 1945 г. РГАНИР, Фонд ГКО, д. 388, лл. 202 (11012).</w:t>
      </w:r>
    </w:p>
    <w:p w14:paraId="70CCC100" w14:textId="77777777" w:rsidR="00665165" w:rsidRPr="00925F26" w:rsidRDefault="00665165" w:rsidP="00925F26">
      <w:pPr>
        <w:autoSpaceDE w:val="0"/>
        <w:autoSpaceDN w:val="0"/>
        <w:adjustRightInd w:val="0"/>
        <w:jc w:val="both"/>
        <w:rPr>
          <w:color w:val="000000" w:themeColor="text1"/>
          <w:sz w:val="16"/>
          <w:szCs w:val="16"/>
        </w:rPr>
      </w:pPr>
    </w:p>
    <w:p w14:paraId="7A15215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8046 [О перевозке в Ленинград 465 вольнонаемных специалистов и членов семей профессорско-преподавательского состава Военной Краснознаменной электротехнической академии связи им. С.М. Буденного.] (7321, 203).</w:t>
      </w:r>
    </w:p>
    <w:p w14:paraId="17AC3E9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5EA5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8047. О допоставке оборудования НКНП по фондам I кв. 1945 г. РГАНИР, Фонд ГКО, д. 388, лл. 204 (11012).</w:t>
      </w:r>
    </w:p>
    <w:p w14:paraId="4B385C6B" w14:textId="77777777" w:rsidR="00665165" w:rsidRPr="00925F26" w:rsidRDefault="00665165" w:rsidP="00925F26">
      <w:pPr>
        <w:autoSpaceDE w:val="0"/>
        <w:autoSpaceDN w:val="0"/>
        <w:adjustRightInd w:val="0"/>
        <w:jc w:val="both"/>
        <w:rPr>
          <w:color w:val="000000" w:themeColor="text1"/>
          <w:sz w:val="16"/>
          <w:szCs w:val="16"/>
        </w:rPr>
      </w:pPr>
    </w:p>
    <w:p w14:paraId="4C3E61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8048 О плане распределения острого пара, отпускаемого электростанциями Наркомата электростанций и Наркомтанкопрома для технологических нужд промышленных предприятий на II квартале 1945 года. РГАНИР, Фонд ГКО, д. 389, лл. 1-2, 3-5 (11012).</w:t>
      </w:r>
    </w:p>
    <w:p w14:paraId="10388CF2" w14:textId="77777777" w:rsidR="00665165" w:rsidRPr="00925F26" w:rsidRDefault="00665165" w:rsidP="00925F26">
      <w:pPr>
        <w:autoSpaceDE w:val="0"/>
        <w:autoSpaceDN w:val="0"/>
        <w:adjustRightInd w:val="0"/>
        <w:jc w:val="both"/>
        <w:rPr>
          <w:color w:val="000000" w:themeColor="text1"/>
          <w:sz w:val="16"/>
          <w:szCs w:val="16"/>
        </w:rPr>
      </w:pPr>
    </w:p>
    <w:p w14:paraId="6483C80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8049 О перестройке мостов и ремонте автомобильных дорог в Приморском и Хабаровском краях в 1945 г. (7322, 6-7,8-10).</w:t>
      </w:r>
    </w:p>
    <w:p w14:paraId="2E9C88A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6337B0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8050 О реконструкции закавказских автомобильных дорог в 1945 г. (7322, 11-15,16-17).</w:t>
      </w:r>
    </w:p>
    <w:p w14:paraId="4002DDB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9013F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8051 О подготовке кадров для эксплуатации газопровода Саратов-Москва. РГАНИР, Фонд ГКО, д. 389, лл. 18-20, 21-22 (11012).</w:t>
      </w:r>
    </w:p>
    <w:p w14:paraId="4FE45ECE" w14:textId="77777777" w:rsidR="00665165" w:rsidRPr="00925F26" w:rsidRDefault="00665165" w:rsidP="00925F26">
      <w:pPr>
        <w:autoSpaceDE w:val="0"/>
        <w:autoSpaceDN w:val="0"/>
        <w:adjustRightInd w:val="0"/>
        <w:jc w:val="both"/>
        <w:rPr>
          <w:color w:val="000000" w:themeColor="text1"/>
          <w:sz w:val="16"/>
          <w:szCs w:val="16"/>
        </w:rPr>
      </w:pPr>
    </w:p>
    <w:p w14:paraId="0715D5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8052. О порядке использования труб и оборудования нефтепровода, демонтируемых в Румынии. РГАНИР, Фонд ГКО, д. 389, лл. 23-24 (11012).</w:t>
      </w:r>
    </w:p>
    <w:p w14:paraId="6BADB44B" w14:textId="77777777" w:rsidR="00665165" w:rsidRPr="00925F26" w:rsidRDefault="00665165" w:rsidP="00925F26">
      <w:pPr>
        <w:autoSpaceDE w:val="0"/>
        <w:autoSpaceDN w:val="0"/>
        <w:adjustRightInd w:val="0"/>
        <w:jc w:val="both"/>
        <w:rPr>
          <w:color w:val="000000" w:themeColor="text1"/>
          <w:sz w:val="16"/>
          <w:szCs w:val="16"/>
        </w:rPr>
      </w:pPr>
    </w:p>
    <w:p w14:paraId="01EAA5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8053 Об упорядочении электроснабжения Миасского промышленного узла. РГАНИР, Фонд ГКО, д. 389, лл. 25-26 (11012).</w:t>
      </w:r>
    </w:p>
    <w:p w14:paraId="21CA8452" w14:textId="77777777" w:rsidR="00665165" w:rsidRPr="00925F26" w:rsidRDefault="00665165" w:rsidP="00925F26">
      <w:pPr>
        <w:autoSpaceDE w:val="0"/>
        <w:autoSpaceDN w:val="0"/>
        <w:adjustRightInd w:val="0"/>
        <w:jc w:val="both"/>
        <w:rPr>
          <w:color w:val="000000" w:themeColor="text1"/>
          <w:sz w:val="16"/>
          <w:szCs w:val="16"/>
        </w:rPr>
      </w:pPr>
    </w:p>
    <w:p w14:paraId="7142F1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8054 Об организации лесозаготовительных предприятий Наркомбумпрома в Костромской и Ивановской областях. РГАНИР, Фонд ГКО, д. 389, лл. 27-31 (11012).</w:t>
      </w:r>
    </w:p>
    <w:p w14:paraId="3042C579" w14:textId="77777777" w:rsidR="00665165" w:rsidRPr="00925F26" w:rsidRDefault="00665165" w:rsidP="00925F26">
      <w:pPr>
        <w:autoSpaceDE w:val="0"/>
        <w:autoSpaceDN w:val="0"/>
        <w:adjustRightInd w:val="0"/>
        <w:jc w:val="both"/>
        <w:rPr>
          <w:color w:val="000000" w:themeColor="text1"/>
          <w:sz w:val="16"/>
          <w:szCs w:val="16"/>
        </w:rPr>
      </w:pPr>
    </w:p>
    <w:p w14:paraId="0C9E8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Распоряжение ГКО № 8055. Об утверждении плана распределения по электростанциям 22 импортных паровых котлов. РГАНИР, Фонд ГКО, д. 389, лл. 32, 33-34 (11012).</w:t>
      </w:r>
    </w:p>
    <w:p w14:paraId="398C3FC8" w14:textId="77777777" w:rsidR="00665165" w:rsidRPr="00925F26" w:rsidRDefault="00665165" w:rsidP="00925F26">
      <w:pPr>
        <w:autoSpaceDE w:val="0"/>
        <w:autoSpaceDN w:val="0"/>
        <w:adjustRightInd w:val="0"/>
        <w:jc w:val="both"/>
        <w:rPr>
          <w:color w:val="000000" w:themeColor="text1"/>
          <w:sz w:val="16"/>
          <w:szCs w:val="16"/>
        </w:rPr>
      </w:pPr>
    </w:p>
    <w:p w14:paraId="5477B5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вышло Постановление ГКО № 8056 О плане ремонта вооружения для Красной Армии на II квартал 1945 г. РГАНИР, Фонд ГКО, д. 389, лл. 35-47, 48-162 (11012).</w:t>
      </w:r>
    </w:p>
    <w:p w14:paraId="0F695B96" w14:textId="77777777" w:rsidR="00665165" w:rsidRPr="00925F26" w:rsidRDefault="00665165" w:rsidP="00925F26">
      <w:pPr>
        <w:autoSpaceDE w:val="0"/>
        <w:autoSpaceDN w:val="0"/>
        <w:adjustRightInd w:val="0"/>
        <w:jc w:val="both"/>
        <w:rPr>
          <w:color w:val="000000" w:themeColor="text1"/>
          <w:sz w:val="16"/>
          <w:szCs w:val="16"/>
        </w:rPr>
      </w:pPr>
    </w:p>
    <w:p w14:paraId="57EB553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A321DDC" w14:textId="77777777" w:rsidR="00665165" w:rsidRPr="00925F26" w:rsidRDefault="00665165" w:rsidP="00925F26">
      <w:pPr>
        <w:autoSpaceDE w:val="0"/>
        <w:autoSpaceDN w:val="0"/>
        <w:adjustRightInd w:val="0"/>
        <w:jc w:val="both"/>
        <w:rPr>
          <w:iCs/>
          <w:color w:val="000000" w:themeColor="text1"/>
          <w:sz w:val="16"/>
          <w:szCs w:val="16"/>
        </w:rPr>
      </w:pPr>
    </w:p>
    <w:p w14:paraId="6FB0882A" w14:textId="77777777" w:rsidR="00CB201D" w:rsidRPr="00925F26" w:rsidRDefault="00CB201D" w:rsidP="00925F26">
      <w:pPr>
        <w:jc w:val="both"/>
        <w:rPr>
          <w:color w:val="000000" w:themeColor="text1"/>
          <w:sz w:val="16"/>
          <w:szCs w:val="16"/>
        </w:rPr>
      </w:pPr>
      <w:r w:rsidRPr="00925F26">
        <w:rPr>
          <w:bCs/>
          <w:color w:val="000000" w:themeColor="text1"/>
          <w:sz w:val="16"/>
          <w:szCs w:val="16"/>
        </w:rPr>
        <w:t>6 апреля</w:t>
      </w:r>
      <w:r w:rsidRPr="00925F26">
        <w:rPr>
          <w:color w:val="000000" w:themeColor="text1"/>
          <w:sz w:val="16"/>
          <w:szCs w:val="16"/>
        </w:rPr>
        <w:t xml:space="preserve"> в 1945 году оперативная сводка Совинформбюро:</w:t>
      </w:r>
    </w:p>
    <w:p w14:paraId="6264AE37" w14:textId="77777777" w:rsidR="00CB201D" w:rsidRPr="00925F26" w:rsidRDefault="00CB201D" w:rsidP="00925F26">
      <w:pPr>
        <w:jc w:val="both"/>
        <w:rPr>
          <w:color w:val="000000" w:themeColor="text1"/>
          <w:sz w:val="16"/>
          <w:szCs w:val="16"/>
        </w:rPr>
      </w:pPr>
      <w:r w:rsidRPr="00925F26">
        <w:rPr>
          <w:color w:val="000000" w:themeColor="text1"/>
          <w:sz w:val="16"/>
          <w:szCs w:val="16"/>
        </w:rPr>
        <w:t>«В течение 6 апреля войска 2-го Белорусского фронта вели бои по уничтожению остатков окружённой группы немецких войск юго-восточнее и восточнее Гданьска и заняли населённые пункты Шперлингсдорф, Ландау, Хохцайт, Клайн и Гросс Шарфенберг, Квадендорф, Райхенберг, Гросс-Пленендорф, Ауссендайх, Вестлих Нойфэр. За 5 апреля в боях при ликвидации остатков группы войск противника севернее Гдыни войска фронта взяли в плен 3.340 немецких солдат и офицеров и захватили 239 полевых орудий.</w:t>
      </w:r>
    </w:p>
    <w:p w14:paraId="4B7C50AB" w14:textId="77777777" w:rsidR="00CB201D" w:rsidRPr="00925F26" w:rsidRDefault="00CB201D" w:rsidP="00925F26">
      <w:pPr>
        <w:jc w:val="both"/>
        <w:rPr>
          <w:color w:val="000000" w:themeColor="text1"/>
          <w:sz w:val="16"/>
          <w:szCs w:val="16"/>
        </w:rPr>
      </w:pPr>
      <w:r w:rsidRPr="00925F26">
        <w:rPr>
          <w:color w:val="000000" w:themeColor="text1"/>
          <w:sz w:val="16"/>
          <w:szCs w:val="16"/>
        </w:rPr>
        <w:t>В районе Бреслау наши войска вели бои по уничтожению окружённой группировки противника и заняли пригороды Клейн Мохберн, Клейн Гандау, Козель, судостроительный завод и западный аэродром, на котором захвачено 27 самолётов.</w:t>
      </w:r>
    </w:p>
    <w:p w14:paraId="7B2F7E0B" w14:textId="77777777" w:rsidR="00CB201D" w:rsidRPr="00925F26" w:rsidRDefault="00CB201D" w:rsidP="00925F26">
      <w:pPr>
        <w:jc w:val="both"/>
        <w:rPr>
          <w:color w:val="000000" w:themeColor="text1"/>
          <w:sz w:val="16"/>
          <w:szCs w:val="16"/>
        </w:rPr>
      </w:pPr>
      <w:r w:rsidRPr="00925F26">
        <w:rPr>
          <w:color w:val="000000" w:themeColor="text1"/>
          <w:sz w:val="16"/>
          <w:szCs w:val="16"/>
        </w:rPr>
        <w:t>В полосе Карпат, северо-западнее города Ружомберок, войска 4-го Украинского фронта, наступая совместно с чехословацкими войсками, заняли более 30 населённых пунктов, среди которых крупные населённые пункты Липова, Радзеховы, Бжусьник, Ердутка, Зазрива, Жашков, Комятна и железнодорожные станции Бистерец, Велична, Истебне, Грболтова.</w:t>
      </w:r>
    </w:p>
    <w:p w14:paraId="6803689A" w14:textId="77777777" w:rsidR="00CB201D" w:rsidRPr="00925F26" w:rsidRDefault="00CB201D" w:rsidP="00925F26">
      <w:pPr>
        <w:jc w:val="both"/>
        <w:rPr>
          <w:color w:val="000000" w:themeColor="text1"/>
          <w:sz w:val="16"/>
          <w:szCs w:val="16"/>
        </w:rPr>
      </w:pPr>
      <w:r w:rsidRPr="00925F26">
        <w:rPr>
          <w:color w:val="000000" w:themeColor="text1"/>
          <w:sz w:val="16"/>
          <w:szCs w:val="16"/>
        </w:rPr>
        <w:t>Северо-восточнее и севернее Братиславы войска 2-го Украинского фронта, продолжая наступление, заняли более 50 населённых пунктов, в том числе крупные населённые пункты Поруба, Шутовце, Сучаны, Дежерице, Подолье, Врбове, Добра Вода, Яблоница, Шаштин, Куклов, Куты и вышли на реку Морава на фронте в 60 километров—от устья до населённого пункта КутЫ. Одновременно войска фронта, наступая по южному берегу Дуная, заняли населённые пункты Дойч Альтенбург, Петронелль, Вильдунгсмауэр, Шарндорф, Регельсбрунн, Арбешталь, Траутмансдорф, Хаслау, Элленд, Фишамендмаркт, Фишаменддорф. В боях за 5 апреля войска фронта взяли в плен более 4.000 солдат и офицеров противника и захватили следующие трофеи: полевых орудий — 150, миномётов — 65, пулемётов— 361, винтовок — около 4.000, автомашин — 578.</w:t>
      </w:r>
    </w:p>
    <w:p w14:paraId="65D0B87B" w14:textId="77777777" w:rsidR="00CB201D" w:rsidRPr="00925F26" w:rsidRDefault="00CB201D" w:rsidP="00925F26">
      <w:pPr>
        <w:jc w:val="both"/>
        <w:rPr>
          <w:color w:val="000000" w:themeColor="text1"/>
          <w:sz w:val="16"/>
          <w:szCs w:val="16"/>
        </w:rPr>
      </w:pPr>
      <w:r w:rsidRPr="00925F26">
        <w:rPr>
          <w:color w:val="000000" w:themeColor="text1"/>
          <w:sz w:val="16"/>
          <w:szCs w:val="16"/>
        </w:rPr>
        <w:t>На Венском направлении войска 3-го Украинского фронта с боями заняли населённые пункты Швехат, Альткеттенхоф, Ротнойзидль (2 километра южнее Вены), Хеннерсдорф. Одновременно юго-западнее озера Балатон войска фронта, наступая совместно с войсками болгарской армии, заняли на территории Югославии более 50 населённых пунктов; среди них — Доклежовье, Одранци, Бистрица, Хотиза, Кралевец, Белица, Пущине, Тотовец. В боях за 5 апреля войска фронта взяли в плен свыше 9.000 солдат и офицеров противника и захватили следующие трофеи: самолётов — 11, танков — 24, бронетранспортёров — 14, полевых орудий — 99, пулемётов—194, автомашин — 340, паровозов — 9, железнодорожных вагонов — 245.</w:t>
      </w:r>
    </w:p>
    <w:p w14:paraId="13422D0A" w14:textId="77777777" w:rsidR="00CB201D" w:rsidRPr="00925F26" w:rsidRDefault="00CB201D"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6CC690C0" w14:textId="77777777" w:rsidR="00CB201D" w:rsidRPr="00925F26" w:rsidRDefault="00CB201D" w:rsidP="00925F26">
      <w:pPr>
        <w:jc w:val="both"/>
        <w:rPr>
          <w:color w:val="000000" w:themeColor="text1"/>
          <w:sz w:val="16"/>
          <w:szCs w:val="16"/>
        </w:rPr>
      </w:pPr>
      <w:r w:rsidRPr="00925F26">
        <w:rPr>
          <w:color w:val="000000" w:themeColor="text1"/>
          <w:sz w:val="16"/>
          <w:szCs w:val="16"/>
        </w:rPr>
        <w:t>За 5 апреля на всех фронтах подбито и уничтожено 40 немецких танков и самоходных орудий. В воздушных боях и огнём зенитной артиллерии сбито 39 самолётов противника.</w:t>
      </w:r>
    </w:p>
    <w:p w14:paraId="18AC17D4" w14:textId="77777777" w:rsidR="00CB201D" w:rsidRPr="00925F26" w:rsidRDefault="00CB201D" w:rsidP="00925F26">
      <w:pPr>
        <w:jc w:val="both"/>
        <w:rPr>
          <w:color w:val="000000" w:themeColor="text1"/>
          <w:sz w:val="16"/>
          <w:szCs w:val="16"/>
        </w:rPr>
      </w:pPr>
      <w:r w:rsidRPr="00925F26">
        <w:rPr>
          <w:color w:val="000000" w:themeColor="text1"/>
          <w:sz w:val="16"/>
          <w:szCs w:val="16"/>
        </w:rPr>
        <w:t xml:space="preserve">Юго-восточнее и восточнее Гданьска войска 2-го Белорусского фронта с боями придвигались вперёд по болотистой местности, изрезанной многочисленными каналами. Немцы, опираясь на населённые пункты, оказывают упорное сопротивление. Отступая, они взрывают мосты, минируют дороги и переправы. Наши войска, преодолевая различные преграды, выбили немцев из нескольких населённых пунктов. На одном участке гитлеровцы взорвали дамбу и затопили подступы к селению </w:t>
      </w:r>
      <w:r w:rsidRPr="00925F26">
        <w:rPr>
          <w:color w:val="000000" w:themeColor="text1"/>
          <w:sz w:val="16"/>
          <w:szCs w:val="16"/>
        </w:rPr>
        <w:lastRenderedPageBreak/>
        <w:t>Шперлингсдорф. Наши подразделения совершили обходный манёвр, атаковали противника и выбили его из населённого пункта. Восточнее Гданьска захвачено у немцев 6 речных пароходов, 12 барж и другие трофеи.</w:t>
      </w:r>
    </w:p>
    <w:p w14:paraId="1D1AE015" w14:textId="77777777" w:rsidR="00CB201D" w:rsidRPr="00925F26" w:rsidRDefault="00CB201D" w:rsidP="00925F26">
      <w:pPr>
        <w:jc w:val="both"/>
        <w:rPr>
          <w:color w:val="000000" w:themeColor="text1"/>
          <w:sz w:val="16"/>
          <w:szCs w:val="16"/>
        </w:rPr>
      </w:pPr>
      <w:r w:rsidRPr="00925F26">
        <w:rPr>
          <w:color w:val="000000" w:themeColor="text1"/>
          <w:sz w:val="16"/>
          <w:szCs w:val="16"/>
        </w:rPr>
        <w:t>В Бреслау наши подразделения отрезали группу немцев от основных сил гарнизона и прижали её к реке Одер. В непродолжительном бою вражеская группа была уничтожена. Истреблено свыше батальона гитлеровцев. Взято 170 пленных. Захвачено у немцев 52 орудия, до 100 автомашин, паровоз и 194 вагона.</w:t>
      </w:r>
    </w:p>
    <w:p w14:paraId="2B1344B8" w14:textId="77777777" w:rsidR="00CB201D" w:rsidRPr="00925F26" w:rsidRDefault="00CB201D" w:rsidP="00925F26">
      <w:pPr>
        <w:jc w:val="both"/>
        <w:rPr>
          <w:color w:val="000000" w:themeColor="text1"/>
          <w:sz w:val="16"/>
          <w:szCs w:val="16"/>
        </w:rPr>
      </w:pPr>
      <w:r w:rsidRPr="00925F26">
        <w:rPr>
          <w:color w:val="000000" w:themeColor="text1"/>
          <w:sz w:val="16"/>
          <w:szCs w:val="16"/>
        </w:rPr>
        <w:t>Наши тяжёлые бомбардировщики сегодня вновь нанесли удар по военным объектам противника в Бреслау. В результате бомбардировки возникло много пожаров, среди которых отмечено более 20 сильных взрывов.</w:t>
      </w:r>
    </w:p>
    <w:p w14:paraId="1D401E70" w14:textId="77777777" w:rsidR="00CB201D" w:rsidRPr="00925F26" w:rsidRDefault="00CB201D" w:rsidP="00925F26">
      <w:pPr>
        <w:jc w:val="both"/>
        <w:rPr>
          <w:color w:val="000000" w:themeColor="text1"/>
          <w:sz w:val="16"/>
          <w:szCs w:val="16"/>
        </w:rPr>
      </w:pPr>
      <w:r w:rsidRPr="00925F26">
        <w:rPr>
          <w:color w:val="000000" w:themeColor="text1"/>
          <w:sz w:val="16"/>
          <w:szCs w:val="16"/>
        </w:rPr>
        <w:t>Северо-западнее города Ружомберок войска 4-го Украинского фронта совместно с чехословацкими войсками продолжали наступление. Противник укрепился на склонах гор и сильным огнём пытался задержать продвижение наших частей. Советские подразделения, совершив обходный манёвр, перевалили через горный хребет и внезапно атаковали с тыла артиллерийские позиции немцев. В результате боя немецкие артиллеристы были уничтожены. Наши бойцы захватили 18 орудий и склад боеприпасов. На другом участке наши подразделения, спустившись с гор в долину, отрезали пути отхода колонне противника и разгромили её.</w:t>
      </w:r>
    </w:p>
    <w:p w14:paraId="3FDC6F20" w14:textId="77777777" w:rsidR="00CB201D" w:rsidRPr="00925F26" w:rsidRDefault="00CB201D" w:rsidP="00925F26">
      <w:pPr>
        <w:jc w:val="both"/>
        <w:rPr>
          <w:color w:val="000000" w:themeColor="text1"/>
          <w:sz w:val="16"/>
          <w:szCs w:val="16"/>
        </w:rPr>
      </w:pPr>
      <w:r w:rsidRPr="00925F26">
        <w:rPr>
          <w:color w:val="000000" w:themeColor="text1"/>
          <w:sz w:val="16"/>
          <w:szCs w:val="16"/>
        </w:rPr>
        <w:t>В занятом вчера городе Ружомберок наши войска захватили трофеи, в числе которых 7 паровозов и более 580 вагонов с различными военными грузами.</w:t>
      </w:r>
    </w:p>
    <w:p w14:paraId="06A0008F" w14:textId="77777777" w:rsidR="00CB201D" w:rsidRPr="00925F26" w:rsidRDefault="00CB201D" w:rsidP="00925F26">
      <w:pPr>
        <w:jc w:val="both"/>
        <w:rPr>
          <w:color w:val="000000" w:themeColor="text1"/>
          <w:sz w:val="16"/>
          <w:szCs w:val="16"/>
        </w:rPr>
      </w:pPr>
      <w:r w:rsidRPr="00925F26">
        <w:rPr>
          <w:color w:val="000000" w:themeColor="text1"/>
          <w:sz w:val="16"/>
          <w:szCs w:val="16"/>
        </w:rPr>
        <w:t>Северо-восточнее Братиславы наши войска, продвигаясь на север по долине реки Ваг, выбили немцев из нескольких населённых пунктов. Советские части преодолели горно-лесной массив и в результате стремительной атаки овладели крупной железнодорожной станцией Яблоница.</w:t>
      </w:r>
    </w:p>
    <w:p w14:paraId="434230EF" w14:textId="77777777" w:rsidR="00CB201D" w:rsidRPr="00925F26" w:rsidRDefault="00CB201D" w:rsidP="00925F26">
      <w:pPr>
        <w:jc w:val="both"/>
        <w:rPr>
          <w:color w:val="000000" w:themeColor="text1"/>
          <w:sz w:val="16"/>
          <w:szCs w:val="16"/>
        </w:rPr>
      </w:pPr>
      <w:r w:rsidRPr="00925F26">
        <w:rPr>
          <w:color w:val="000000" w:themeColor="text1"/>
          <w:sz w:val="16"/>
          <w:szCs w:val="16"/>
        </w:rPr>
        <w:t>Севернее Братиславы советские пехотинцы, танкисты и кавалеристы, стремительно продвинувшись вперёд, на широком фронте вышли к реке Морава. Отступавшие группы противника были прижаты к реке. Большая часть немцев была уничтожена, а остальные взяты в плен. Только в районе западнее населённого пункта Ступава одна наша гвардейская часть истребила более 700 гитлеровцев и сожгла 13 немецких танков и самоходных орудий. Кавалеристы офицера Гераськина, преследуя противника, истребили свыше роты вражеских солдат и офицеров, захватили танк «Королевский тигр» и 4 бронетранспортёра. Эскадрон гвардии старшего лейтенанта Мартынюка в конном строю атаковал противника и изрубил 50 гитлеровцев. В этом же районе нашими бойцами захвачено 7 исправных немецких танков.</w:t>
      </w:r>
    </w:p>
    <w:p w14:paraId="5D5C297F" w14:textId="77777777" w:rsidR="00CB201D" w:rsidRPr="00925F26" w:rsidRDefault="00CB201D" w:rsidP="00925F26">
      <w:pPr>
        <w:jc w:val="both"/>
        <w:rPr>
          <w:color w:val="000000" w:themeColor="text1"/>
          <w:sz w:val="16"/>
          <w:szCs w:val="16"/>
        </w:rPr>
      </w:pPr>
      <w:r w:rsidRPr="00925F26">
        <w:rPr>
          <w:color w:val="000000" w:themeColor="text1"/>
          <w:sz w:val="16"/>
          <w:szCs w:val="16"/>
        </w:rPr>
        <w:t>На Венском направлении войска 3-го Украинского фронта с боями продвигались вперёд. Противник спешно пополняет свои войска свежими подкреплениями. Немцы превратили населённые пункты, заводы и каменные здания в опорные пункты обороны и оказывают ожесточённое сопротивление. Отражая вражеские контратаки, наши войска шаг за шагом продвигаются вперёд и заняли несколько сильно укреплённых населённых пунктов. За день боёв уничтожено несколько тысяч солдат и офицеров противника.</w:t>
      </w:r>
    </w:p>
    <w:p w14:paraId="33B0E3D3" w14:textId="77777777" w:rsidR="00CB201D" w:rsidRPr="00925F26" w:rsidRDefault="00CB201D"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потопила в Данцигской бухте три быстроходные десантные баржи с войсками противника.» (15091).</w:t>
      </w:r>
    </w:p>
    <w:p w14:paraId="2420E4B4" w14:textId="77777777" w:rsidR="00CB201D" w:rsidRPr="00925F26" w:rsidRDefault="00CB201D" w:rsidP="00925F26">
      <w:pPr>
        <w:jc w:val="both"/>
        <w:rPr>
          <w:color w:val="000000" w:themeColor="text1"/>
          <w:sz w:val="16"/>
          <w:szCs w:val="16"/>
        </w:rPr>
      </w:pPr>
    </w:p>
    <w:p w14:paraId="1CF299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 апреля 1945 г. при проведении 3-м Белорусским фронтом Кенигсбергской операции была достигнута наивысшая за все время войны плотность Ил-2 на 1 км фронта.</w:t>
      </w:r>
    </w:p>
    <w:p w14:paraId="21E70C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470 Ил-2, привлеченных к штурму Кенигсберга (182-я, 211-я. 335-я из 3-й ВА и 1-я гвардейская, 277-я и 311-я из 1-й ВА штурмовые авиадивизии), для непосредственного сопровождения войск было выделено 358 машин. Это позволило обеспечить плотность Ил-2 на 1 км фронта участка прорыва 50-й армии шириной 3 км 29 машин, на участке прорыва 43-й армии шириной 2 км - 49 штурмовиков, а в полосе прорыва 11-й гвардейской армии шириной 2 км советское командование довело плотность штурмовиков на 1 км фронта прорыва до 85 ^!) Ил-2. Столь высокая плотность Ил-2 не имела места ни в одной операции ВВС КА по прорыву немецких УР...</w:t>
      </w:r>
    </w:p>
    <w:p w14:paraId="37D93B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Оценки показывают, что применительно к типовым УСЛОВИЯМ наступательных операции 1943-45 гг. штурмовики уже в течение первого дня наступления могли гарантированно УНИЧТОЖИТЬ или вывести из строя около 3-4 % от общего количества типовых целей противника на поле боя, приходящихся на 1 км фронта. То есть эффективность решения штурмовиками задач непосредственной авиационной поддержки войск по сравнению с 1941-42 гг. увеличилась примерно в 6-8 раз. Соответственно возросли и темпы наступления наземных войск.</w:t>
      </w:r>
    </w:p>
    <w:p w14:paraId="23DA6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Действительно, боевой опыт 1943-45 гг. показал, что темпы прорыва тактической зоны обороны противника увеличились в среднем в 4-7 раз по сравнению с 1941-42 гг. и составили 8-15 км в сутки. А такие темпы наступления уже не позволяли противнику парировать удары Красной Армии за счет маневра тактическими и оперативными резервами, а также перегруппировки войск (8687).</w:t>
      </w:r>
    </w:p>
    <w:p w14:paraId="0BD89221" w14:textId="77777777" w:rsidR="00665165" w:rsidRPr="00925F26" w:rsidRDefault="00665165" w:rsidP="00925F26">
      <w:pPr>
        <w:autoSpaceDE w:val="0"/>
        <w:autoSpaceDN w:val="0"/>
        <w:adjustRightInd w:val="0"/>
        <w:jc w:val="both"/>
        <w:rPr>
          <w:color w:val="000000" w:themeColor="text1"/>
          <w:sz w:val="16"/>
          <w:szCs w:val="16"/>
        </w:rPr>
      </w:pPr>
    </w:p>
    <w:p w14:paraId="0E6AB55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апреля 1945 советские войска начали Кенигсбергскую наступательную операцию (4962).</w:t>
      </w:r>
    </w:p>
    <w:p w14:paraId="2EBA6FD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1606F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началась Истенбургско-Кенигсбергская операция (340,202) и шла до 9 апреля 1945 - часть Восточно-Прусской. После 4 дней артподготовки 6 апреля ворвались в город и 8 отрезали гарнизон крепости от войск на Земландском полуострове (2438,305).</w:t>
      </w:r>
    </w:p>
    <w:p w14:paraId="2BAD10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ходе операции из-за плохих метеоусловий авиаподготовка ограничивалась действиями нба (518,135).</w:t>
      </w:r>
    </w:p>
    <w:p w14:paraId="29680E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подготовке Истенбургско-Кенигсбергской операции на воздушную разведку ВА затрачивалось до 25-30% всех самолетовылетов (518,121).</w:t>
      </w:r>
    </w:p>
    <w:p w14:paraId="18062C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ходе операции немцы привлекали транспортные самолеты для снабжения </w:t>
      </w:r>
      <w:proofErr w:type="gramStart"/>
      <w:r w:rsidRPr="00925F26">
        <w:rPr>
          <w:color w:val="000000" w:themeColor="text1"/>
          <w:sz w:val="16"/>
          <w:szCs w:val="16"/>
        </w:rPr>
        <w:t>войск</w:t>
      </w:r>
      <w:proofErr w:type="gramEnd"/>
      <w:r w:rsidRPr="00925F26">
        <w:rPr>
          <w:color w:val="000000" w:themeColor="text1"/>
          <w:sz w:val="16"/>
          <w:szCs w:val="16"/>
        </w:rPr>
        <w:t xml:space="preserve"> и они понесли тяжелые потери (518,179).</w:t>
      </w:r>
    </w:p>
    <w:p w14:paraId="3FF466EA"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В Кенигсбергской наступательной операции участвовали 1 и 3 ВА и часть соединений 4 и 15ВА, а также 18ВА и ВВС БФ. Поэтомутребоваласьорганизациявзаимодействия</w:t>
      </w:r>
      <w:r w:rsidRPr="00925F26">
        <w:rPr>
          <w:color w:val="000000" w:themeColor="text1"/>
          <w:sz w:val="16"/>
          <w:szCs w:val="16"/>
          <w:lang w:val="en-US"/>
        </w:rPr>
        <w:t xml:space="preserve"> (518,292).</w:t>
      </w:r>
    </w:p>
    <w:p w14:paraId="1E1CFB2C" w14:textId="77777777" w:rsidR="00665165" w:rsidRPr="00925F26" w:rsidRDefault="00665165" w:rsidP="00925F26">
      <w:pPr>
        <w:autoSpaceDE w:val="0"/>
        <w:autoSpaceDN w:val="0"/>
        <w:adjustRightInd w:val="0"/>
        <w:jc w:val="both"/>
        <w:rPr>
          <w:color w:val="000000" w:themeColor="text1"/>
          <w:sz w:val="16"/>
          <w:szCs w:val="16"/>
          <w:lang w:val="en-US"/>
        </w:rPr>
      </w:pPr>
    </w:p>
    <w:p w14:paraId="58DC8A7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6th, 1945: In the East, after eliminating the Heiligenbeil pocket, the Soviet 3rd Belorussian Front (Vassilevsky) reaches the Baltic coast in East Prussia, separating communications between </w:t>
      </w:r>
      <w:proofErr w:type="gramStart"/>
      <w:r w:rsidRPr="00925F26">
        <w:rPr>
          <w:color w:val="000000" w:themeColor="text1"/>
          <w:sz w:val="16"/>
          <w:szCs w:val="16"/>
          <w:lang w:val="en-US"/>
        </w:rPr>
        <w:t>2.Armee</w:t>
      </w:r>
      <w:proofErr w:type="gramEnd"/>
      <w:r w:rsidRPr="00925F26">
        <w:rPr>
          <w:color w:val="000000" w:themeColor="text1"/>
          <w:sz w:val="16"/>
          <w:szCs w:val="16"/>
          <w:lang w:val="en-US"/>
        </w:rPr>
        <w:t xml:space="preserve"> (von Tippelkirch) defending besieged Konigsberg and 4. Armee (Hossbach) holding the Vistula delta N of Marienbrg. In the Southeast, Tito partisans occupy Sarajevo in Bosnia (3819).</w:t>
      </w:r>
    </w:p>
    <w:p w14:paraId="1FB9F6DE" w14:textId="77777777" w:rsidR="00665165" w:rsidRPr="00925F26" w:rsidRDefault="00665165" w:rsidP="00925F26">
      <w:pPr>
        <w:autoSpaceDE w:val="0"/>
        <w:autoSpaceDN w:val="0"/>
        <w:adjustRightInd w:val="0"/>
        <w:jc w:val="both"/>
        <w:rPr>
          <w:color w:val="000000" w:themeColor="text1"/>
          <w:sz w:val="16"/>
          <w:szCs w:val="16"/>
          <w:lang w:val="en-US"/>
        </w:rPr>
      </w:pPr>
    </w:p>
    <w:p w14:paraId="3C405620" w14:textId="77777777" w:rsidR="00665165" w:rsidRPr="00925F26" w:rsidRDefault="00665165" w:rsidP="00925F26">
      <w:pPr>
        <w:autoSpaceDE w:val="0"/>
        <w:autoSpaceDN w:val="0"/>
        <w:adjustRightInd w:val="0"/>
        <w:jc w:val="both"/>
        <w:rPr>
          <w:color w:val="000000" w:themeColor="text1"/>
          <w:sz w:val="16"/>
          <w:szCs w:val="16"/>
        </w:rPr>
      </w:pPr>
      <w:r w:rsidRPr="00087C4A">
        <w:rPr>
          <w:color w:val="000000" w:themeColor="text1"/>
          <w:sz w:val="16"/>
          <w:szCs w:val="16"/>
          <w:lang w:val="en-US"/>
        </w:rPr>
        <w:t xml:space="preserve">6 </w:t>
      </w:r>
      <w:r w:rsidRPr="00925F26">
        <w:rPr>
          <w:color w:val="000000" w:themeColor="text1"/>
          <w:sz w:val="16"/>
          <w:szCs w:val="16"/>
        </w:rPr>
        <w:t>апреля</w:t>
      </w:r>
      <w:r w:rsidRPr="00087C4A">
        <w:rPr>
          <w:color w:val="000000" w:themeColor="text1"/>
          <w:sz w:val="16"/>
          <w:szCs w:val="16"/>
          <w:lang w:val="en-US"/>
        </w:rPr>
        <w:t xml:space="preserve"> 1941 </w:t>
      </w:r>
      <w:r w:rsidRPr="00925F26">
        <w:rPr>
          <w:color w:val="000000" w:themeColor="text1"/>
          <w:sz w:val="16"/>
          <w:szCs w:val="16"/>
        </w:rPr>
        <w:t>после</w:t>
      </w:r>
      <w:r w:rsidRPr="00087C4A">
        <w:rPr>
          <w:color w:val="000000" w:themeColor="text1"/>
          <w:sz w:val="16"/>
          <w:szCs w:val="16"/>
          <w:lang w:val="en-US"/>
        </w:rPr>
        <w:t xml:space="preserve"> </w:t>
      </w:r>
      <w:r w:rsidRPr="00925F26">
        <w:rPr>
          <w:color w:val="000000" w:themeColor="text1"/>
          <w:sz w:val="16"/>
          <w:szCs w:val="16"/>
        </w:rPr>
        <w:t>уничтожения</w:t>
      </w:r>
      <w:r w:rsidRPr="00087C4A">
        <w:rPr>
          <w:color w:val="000000" w:themeColor="text1"/>
          <w:sz w:val="16"/>
          <w:szCs w:val="16"/>
          <w:lang w:val="en-US"/>
        </w:rPr>
        <w:t xml:space="preserve"> </w:t>
      </w:r>
      <w:r w:rsidRPr="00925F26">
        <w:rPr>
          <w:color w:val="000000" w:themeColor="text1"/>
          <w:sz w:val="16"/>
          <w:szCs w:val="16"/>
        </w:rPr>
        <w:t>котла</w:t>
      </w:r>
      <w:r w:rsidRPr="00087C4A">
        <w:rPr>
          <w:color w:val="000000" w:themeColor="text1"/>
          <w:sz w:val="16"/>
          <w:szCs w:val="16"/>
          <w:lang w:val="en-US"/>
        </w:rPr>
        <w:t xml:space="preserve"> </w:t>
      </w:r>
      <w:r w:rsidRPr="00925F26">
        <w:rPr>
          <w:color w:val="000000" w:themeColor="text1"/>
          <w:sz w:val="16"/>
          <w:szCs w:val="16"/>
        </w:rPr>
        <w:t>в</w:t>
      </w:r>
      <w:r w:rsidRPr="00087C4A">
        <w:rPr>
          <w:color w:val="000000" w:themeColor="text1"/>
          <w:sz w:val="16"/>
          <w:szCs w:val="16"/>
          <w:lang w:val="en-US"/>
        </w:rPr>
        <w:t xml:space="preserve"> </w:t>
      </w:r>
      <w:r w:rsidRPr="00925F26">
        <w:rPr>
          <w:color w:val="000000" w:themeColor="text1"/>
          <w:sz w:val="16"/>
          <w:szCs w:val="16"/>
        </w:rPr>
        <w:t>Хейлегенбейле</w:t>
      </w:r>
      <w:r w:rsidRPr="00087C4A">
        <w:rPr>
          <w:color w:val="000000" w:themeColor="text1"/>
          <w:sz w:val="16"/>
          <w:szCs w:val="16"/>
          <w:lang w:val="en-US"/>
        </w:rPr>
        <w:t xml:space="preserve"> 3</w:t>
      </w:r>
      <w:r w:rsidRPr="00925F26">
        <w:rPr>
          <w:color w:val="000000" w:themeColor="text1"/>
          <w:sz w:val="16"/>
          <w:szCs w:val="16"/>
        </w:rPr>
        <w:t>БФ</w:t>
      </w:r>
      <w:r w:rsidRPr="00087C4A">
        <w:rPr>
          <w:color w:val="000000" w:themeColor="text1"/>
          <w:sz w:val="16"/>
          <w:szCs w:val="16"/>
          <w:lang w:val="en-US"/>
        </w:rPr>
        <w:t xml:space="preserve"> (</w:t>
      </w:r>
      <w:r w:rsidRPr="00925F26">
        <w:rPr>
          <w:color w:val="000000" w:themeColor="text1"/>
          <w:sz w:val="16"/>
          <w:szCs w:val="16"/>
        </w:rPr>
        <w:t>Василевский</w:t>
      </w:r>
      <w:r w:rsidRPr="00087C4A">
        <w:rPr>
          <w:color w:val="000000" w:themeColor="text1"/>
          <w:sz w:val="16"/>
          <w:szCs w:val="16"/>
          <w:lang w:val="en-US"/>
        </w:rPr>
        <w:t xml:space="preserve">) </w:t>
      </w:r>
      <w:r w:rsidRPr="00925F26">
        <w:rPr>
          <w:color w:val="000000" w:themeColor="text1"/>
          <w:sz w:val="16"/>
          <w:szCs w:val="16"/>
        </w:rPr>
        <w:t>вышел</w:t>
      </w:r>
      <w:r w:rsidRPr="00087C4A">
        <w:rPr>
          <w:color w:val="000000" w:themeColor="text1"/>
          <w:sz w:val="16"/>
          <w:szCs w:val="16"/>
          <w:lang w:val="en-US"/>
        </w:rPr>
        <w:t xml:space="preserve"> </w:t>
      </w:r>
      <w:r w:rsidRPr="00925F26">
        <w:rPr>
          <w:color w:val="000000" w:themeColor="text1"/>
          <w:sz w:val="16"/>
          <w:szCs w:val="16"/>
        </w:rPr>
        <w:t>к</w:t>
      </w:r>
      <w:r w:rsidRPr="00087C4A">
        <w:rPr>
          <w:color w:val="000000" w:themeColor="text1"/>
          <w:sz w:val="16"/>
          <w:szCs w:val="16"/>
          <w:lang w:val="en-US"/>
        </w:rPr>
        <w:t xml:space="preserve"> </w:t>
      </w:r>
      <w:r w:rsidRPr="00925F26">
        <w:rPr>
          <w:color w:val="000000" w:themeColor="text1"/>
          <w:sz w:val="16"/>
          <w:szCs w:val="16"/>
        </w:rPr>
        <w:t>побережью</w:t>
      </w:r>
      <w:r w:rsidRPr="00087C4A">
        <w:rPr>
          <w:color w:val="000000" w:themeColor="text1"/>
          <w:sz w:val="16"/>
          <w:szCs w:val="16"/>
          <w:lang w:val="en-US"/>
        </w:rPr>
        <w:t xml:space="preserve"> </w:t>
      </w:r>
      <w:r w:rsidRPr="00925F26">
        <w:rPr>
          <w:color w:val="000000" w:themeColor="text1"/>
          <w:sz w:val="16"/>
          <w:szCs w:val="16"/>
        </w:rPr>
        <w:t>Балтики, разорвав коммуникации между 2А (Типпелкирх), оборонявшей окруженный Кенигсберг, и 4А (Хоссбах), удерживающей дельту Вислы у Мариенбурга. Войска Тито заняли Сараево в Боснии (3819).</w:t>
      </w:r>
    </w:p>
    <w:p w14:paraId="0B34DB4D" w14:textId="77777777" w:rsidR="00665165" w:rsidRPr="00925F26" w:rsidRDefault="00665165" w:rsidP="00925F26">
      <w:pPr>
        <w:autoSpaceDE w:val="0"/>
        <w:autoSpaceDN w:val="0"/>
        <w:adjustRightInd w:val="0"/>
        <w:jc w:val="both"/>
        <w:rPr>
          <w:color w:val="000000" w:themeColor="text1"/>
          <w:sz w:val="16"/>
          <w:szCs w:val="16"/>
        </w:rPr>
      </w:pPr>
    </w:p>
    <w:p w14:paraId="05CDCC01" w14:textId="77777777" w:rsidR="00A752EF" w:rsidRPr="00925F26" w:rsidRDefault="00A752EF" w:rsidP="00925F26">
      <w:pPr>
        <w:jc w:val="both"/>
        <w:rPr>
          <w:color w:val="000000" w:themeColor="text1"/>
          <w:sz w:val="16"/>
          <w:szCs w:val="16"/>
        </w:rPr>
      </w:pPr>
      <w:r w:rsidRPr="00925F26">
        <w:rPr>
          <w:bCs/>
          <w:color w:val="000000" w:themeColor="text1"/>
          <w:sz w:val="16"/>
          <w:szCs w:val="16"/>
        </w:rPr>
        <w:t>6 апреля</w:t>
      </w:r>
      <w:r w:rsidRPr="00925F26">
        <w:rPr>
          <w:color w:val="000000" w:themeColor="text1"/>
          <w:sz w:val="16"/>
          <w:szCs w:val="16"/>
        </w:rPr>
        <w:t xml:space="preserve"> в 1945 году воззвание Военного Совета 3-го Украинского фронта к населению Австрии, которое призывало жителей Австрии оставаться на своих местах, продолжать мирный труд, а также обещало не применять никаких репрессий к бывшим членам НСДАП, при условии сохранения лояльности к советским войскам (15091).</w:t>
      </w:r>
    </w:p>
    <w:p w14:paraId="4317EA3A" w14:textId="77777777" w:rsidR="00A752EF" w:rsidRPr="00925F26" w:rsidRDefault="00A752EF" w:rsidP="00925F26">
      <w:pPr>
        <w:jc w:val="both"/>
        <w:rPr>
          <w:color w:val="000000" w:themeColor="text1"/>
          <w:sz w:val="16"/>
          <w:szCs w:val="16"/>
        </w:rPr>
      </w:pPr>
    </w:p>
    <w:p w14:paraId="07817ED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DEB30A2" w14:textId="77777777" w:rsidR="00665165" w:rsidRPr="00925F26" w:rsidRDefault="00665165" w:rsidP="00925F26">
      <w:pPr>
        <w:autoSpaceDE w:val="0"/>
        <w:autoSpaceDN w:val="0"/>
        <w:adjustRightInd w:val="0"/>
        <w:jc w:val="both"/>
        <w:rPr>
          <w:iCs/>
          <w:color w:val="000000" w:themeColor="text1"/>
          <w:sz w:val="16"/>
          <w:szCs w:val="16"/>
        </w:rPr>
      </w:pPr>
    </w:p>
    <w:p w14:paraId="12B57160" w14:textId="77777777" w:rsidR="00A752EF" w:rsidRPr="00925F26" w:rsidRDefault="00A752EF" w:rsidP="00925F26">
      <w:pPr>
        <w:jc w:val="both"/>
        <w:rPr>
          <w:color w:val="000000" w:themeColor="text1"/>
          <w:sz w:val="16"/>
          <w:szCs w:val="16"/>
        </w:rPr>
      </w:pPr>
      <w:r w:rsidRPr="00925F26">
        <w:rPr>
          <w:bCs/>
          <w:color w:val="000000" w:themeColor="text1"/>
          <w:sz w:val="16"/>
          <w:szCs w:val="16"/>
        </w:rPr>
        <w:t>6 апреля</w:t>
      </w:r>
      <w:r w:rsidRPr="00925F26">
        <w:rPr>
          <w:color w:val="000000" w:themeColor="text1"/>
          <w:sz w:val="16"/>
          <w:szCs w:val="16"/>
        </w:rPr>
        <w:t xml:space="preserve"> в 1945 году американо-английские войска вступили в Линген, Эйзенах и Вюрцбург (15091).</w:t>
      </w:r>
    </w:p>
    <w:p w14:paraId="55CB1E08" w14:textId="77777777" w:rsidR="00A752EF" w:rsidRPr="00925F26" w:rsidRDefault="00A752EF" w:rsidP="00925F26">
      <w:pPr>
        <w:jc w:val="both"/>
        <w:rPr>
          <w:color w:val="000000" w:themeColor="text1"/>
          <w:sz w:val="16"/>
          <w:szCs w:val="16"/>
        </w:rPr>
      </w:pPr>
    </w:p>
    <w:p w14:paraId="6C4BEE8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апреля 1945 американские войска высадились на о. Окинава (Япония) (4962).</w:t>
      </w:r>
    </w:p>
    <w:p w14:paraId="380B624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7C6FE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апреля 1945 самолеты США потопили линкор Ямато (2248,4).</w:t>
      </w:r>
    </w:p>
    <w:p w14:paraId="180F65B8" w14:textId="77777777" w:rsidR="00665165" w:rsidRPr="00925F26" w:rsidRDefault="00665165" w:rsidP="00925F26">
      <w:pPr>
        <w:autoSpaceDE w:val="0"/>
        <w:autoSpaceDN w:val="0"/>
        <w:adjustRightInd w:val="0"/>
        <w:jc w:val="both"/>
        <w:rPr>
          <w:color w:val="000000" w:themeColor="text1"/>
          <w:sz w:val="16"/>
          <w:szCs w:val="16"/>
        </w:rPr>
      </w:pPr>
    </w:p>
    <w:p w14:paraId="21BE0CC0" w14:textId="77777777" w:rsidR="00A752EF" w:rsidRPr="00925F26" w:rsidRDefault="00A752EF" w:rsidP="00925F26">
      <w:pPr>
        <w:jc w:val="both"/>
        <w:rPr>
          <w:color w:val="000000" w:themeColor="text1"/>
          <w:sz w:val="16"/>
          <w:szCs w:val="16"/>
        </w:rPr>
      </w:pPr>
      <w:r w:rsidRPr="00925F26">
        <w:rPr>
          <w:bCs/>
          <w:color w:val="000000" w:themeColor="text1"/>
          <w:sz w:val="16"/>
          <w:szCs w:val="16"/>
        </w:rPr>
        <w:t>6 апреля</w:t>
      </w:r>
      <w:r w:rsidRPr="00925F26">
        <w:rPr>
          <w:color w:val="000000" w:themeColor="text1"/>
          <w:sz w:val="16"/>
          <w:szCs w:val="16"/>
        </w:rPr>
        <w:t xml:space="preserve"> в 1945 году японское командование отдает приказ о самоубийственной атаке авиации и ВМС. Камикадзе с воздуха должны покончить с американским десантом, высадившимся на Окинаве, а добить его остатки призваны корабли, без малейшей поддержки с воздуха, с запасом топлива, достаточного только для того, чтобы добраться до Окинавы, зато доверху груженные боеприпасами (15091).</w:t>
      </w:r>
    </w:p>
    <w:p w14:paraId="12FBF17A" w14:textId="77777777" w:rsidR="00A752EF" w:rsidRPr="00925F26" w:rsidRDefault="00A752EF" w:rsidP="00925F26">
      <w:pPr>
        <w:jc w:val="both"/>
        <w:rPr>
          <w:color w:val="000000" w:themeColor="text1"/>
          <w:sz w:val="16"/>
          <w:szCs w:val="16"/>
        </w:rPr>
      </w:pPr>
    </w:p>
    <w:p w14:paraId="02BE466E" w14:textId="77777777" w:rsidR="007D191E" w:rsidRPr="00925F26" w:rsidRDefault="007D191E" w:rsidP="00925F26">
      <w:pPr>
        <w:jc w:val="both"/>
        <w:rPr>
          <w:color w:val="000000" w:themeColor="text1"/>
          <w:sz w:val="16"/>
          <w:szCs w:val="16"/>
        </w:rPr>
      </w:pPr>
      <w:r w:rsidRPr="00925F26">
        <w:rPr>
          <w:color w:val="000000" w:themeColor="text1"/>
          <w:sz w:val="16"/>
          <w:szCs w:val="16"/>
        </w:rPr>
        <w:t>6 апреля 1945 самолеты с USS Белло Вуд, USS Беннингтон и USS Hornet наносят удар по японским аэродромам и другим целям на Мияко Джима и Ишигаки Джима в Sakishima гунто (29371).</w:t>
      </w:r>
    </w:p>
    <w:p w14:paraId="58A09F29" w14:textId="77777777" w:rsidR="007D191E" w:rsidRPr="00925F26" w:rsidRDefault="007D191E" w:rsidP="00925F26">
      <w:pPr>
        <w:jc w:val="both"/>
        <w:rPr>
          <w:color w:val="000000" w:themeColor="text1"/>
          <w:sz w:val="16"/>
          <w:szCs w:val="16"/>
        </w:rPr>
      </w:pPr>
    </w:p>
    <w:p w14:paraId="2506C064" w14:textId="77777777" w:rsidR="007D191E" w:rsidRPr="00925F26" w:rsidRDefault="007D191E" w:rsidP="00925F26">
      <w:pPr>
        <w:jc w:val="both"/>
        <w:rPr>
          <w:color w:val="000000" w:themeColor="text1"/>
          <w:sz w:val="16"/>
          <w:szCs w:val="16"/>
        </w:rPr>
      </w:pPr>
      <w:r w:rsidRPr="00925F26">
        <w:rPr>
          <w:color w:val="000000" w:themeColor="text1"/>
          <w:sz w:val="16"/>
          <w:szCs w:val="16"/>
        </w:rPr>
        <w:t>6–7 апреля 1945 японцы начинают операцию «Тен-Го» - самую крупную из десяти крупных атак камикадзе Кикусуи («Плавающая хризантема») на военно-морские силы союзников у Окинавы, в результате чего было совершено 355 вылетов камикадзе и 341 вылетов бомбардировщиклв. В первый день они потопили два эсминца, минный заградитель, десантный корабль и два гражданских корабля с боеприпасами и сильно повредили восемь эсминцев, эсминец сопровождения и минный заградитель. Американцы утверждают, что уничтожено 357 японских самолетов. На второй день японцы повредили линкор USS Maryland, эсминец и эсминец сопровождения (20371).</w:t>
      </w:r>
    </w:p>
    <w:p w14:paraId="0F0F744E" w14:textId="77777777" w:rsidR="007D191E" w:rsidRPr="00925F26" w:rsidRDefault="007D191E" w:rsidP="00925F26">
      <w:pPr>
        <w:jc w:val="both"/>
        <w:rPr>
          <w:color w:val="000000" w:themeColor="text1"/>
          <w:sz w:val="16"/>
          <w:szCs w:val="16"/>
        </w:rPr>
      </w:pPr>
    </w:p>
    <w:p w14:paraId="666B92FC" w14:textId="77777777" w:rsidR="00DE25E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7F2BA31" w14:textId="77777777" w:rsidR="00DE25E5" w:rsidRPr="00925F26" w:rsidRDefault="00DE25E5" w:rsidP="00925F26">
      <w:pPr>
        <w:autoSpaceDE w:val="0"/>
        <w:autoSpaceDN w:val="0"/>
        <w:adjustRightInd w:val="0"/>
        <w:jc w:val="both"/>
        <w:rPr>
          <w:iCs/>
          <w:color w:val="000000" w:themeColor="text1"/>
          <w:sz w:val="16"/>
          <w:szCs w:val="16"/>
        </w:rPr>
      </w:pPr>
    </w:p>
    <w:p w14:paraId="45DDD22D" w14:textId="77777777" w:rsidR="00DE25E5" w:rsidRPr="00925F26" w:rsidRDefault="00DE25E5" w:rsidP="00925F26">
      <w:pPr>
        <w:shd w:val="clear" w:color="auto" w:fill="FFFFFF"/>
        <w:jc w:val="both"/>
        <w:rPr>
          <w:color w:val="000000" w:themeColor="text1"/>
          <w:sz w:val="16"/>
          <w:szCs w:val="16"/>
        </w:rPr>
      </w:pPr>
      <w:r w:rsidRPr="00925F26">
        <w:rPr>
          <w:color w:val="000000" w:themeColor="text1"/>
          <w:sz w:val="16"/>
          <w:szCs w:val="16"/>
        </w:rPr>
        <w:t>В начале апреля 1945 самолет Ер-2ОН приготовили к беспосадочному перелету Иркутск – Москва (аэродром Тушино). Разрешение на его выполнение В.Г. Ермолаевым было получено у Наркома А.И.Шахурина еще в конце ноября 1944 года (15223).</w:t>
      </w:r>
    </w:p>
    <w:p w14:paraId="69D4E329" w14:textId="77777777" w:rsidR="00DE25E5" w:rsidRPr="00925F26" w:rsidRDefault="00DE25E5" w:rsidP="00925F26">
      <w:pPr>
        <w:shd w:val="clear" w:color="auto" w:fill="FFFFFF"/>
        <w:jc w:val="both"/>
        <w:rPr>
          <w:color w:val="000000" w:themeColor="text1"/>
          <w:sz w:val="16"/>
          <w:szCs w:val="16"/>
        </w:rPr>
      </w:pPr>
    </w:p>
    <w:p w14:paraId="1B581899" w14:textId="77777777" w:rsidR="002D4CA3" w:rsidRPr="001A0BAA" w:rsidRDefault="002D4CA3" w:rsidP="002D4CA3">
      <w:pPr>
        <w:jc w:val="both"/>
        <w:rPr>
          <w:color w:val="0070C0"/>
          <w:sz w:val="16"/>
          <w:szCs w:val="16"/>
        </w:rPr>
      </w:pPr>
      <w:r w:rsidRPr="001A0BAA">
        <w:rPr>
          <w:color w:val="0070C0"/>
          <w:sz w:val="16"/>
          <w:szCs w:val="16"/>
        </w:rPr>
        <w:t>В начале апреля 1945 года второй- уже полноценный вариант СУ-5, совершил свой первый полет. Начались его заводские испытания.</w:t>
      </w:r>
    </w:p>
    <w:p w14:paraId="1DB4790E" w14:textId="77777777" w:rsidR="002D4CA3" w:rsidRPr="001A0BAA" w:rsidRDefault="002D4CA3" w:rsidP="002D4CA3">
      <w:pPr>
        <w:jc w:val="both"/>
        <w:rPr>
          <w:color w:val="0070C0"/>
          <w:sz w:val="16"/>
          <w:szCs w:val="16"/>
        </w:rPr>
      </w:pPr>
      <w:r w:rsidRPr="001A0BAA">
        <w:rPr>
          <w:color w:val="0070C0"/>
          <w:sz w:val="16"/>
          <w:szCs w:val="16"/>
        </w:rPr>
        <w:t>Заводские испытания истребителя Су-5 проводились на Тушинском аэродроме. 15 июня произошла поломка двигателя и их вынуждены были прекратить. К этому моменту было выполнено 23 полета с общим налетом в 9 часов. Пока велась подготовка нового двигателя, на истребитель установили другое крыло с измененным профилем. Новый двигатель ВК-107А получили 7 июля, а доработанный компрессор ВРДК — 2 августа. Заводские испытания возобновились 7 августа и продолжались до 18 октября (25240).</w:t>
      </w:r>
    </w:p>
    <w:p w14:paraId="2F94CEE6" w14:textId="77777777" w:rsidR="002D4CA3" w:rsidRPr="001A0BAA" w:rsidRDefault="002D4CA3" w:rsidP="002D4CA3">
      <w:pPr>
        <w:jc w:val="both"/>
        <w:rPr>
          <w:color w:val="0070C0"/>
          <w:sz w:val="16"/>
          <w:szCs w:val="16"/>
        </w:rPr>
      </w:pPr>
    </w:p>
    <w:p w14:paraId="271B7B6E" w14:textId="77777777" w:rsidR="009104CE" w:rsidRPr="00925F26" w:rsidRDefault="009104CE"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45AF523" w14:textId="77777777" w:rsidR="009104CE" w:rsidRPr="00925F26" w:rsidRDefault="009104CE" w:rsidP="00925F26">
      <w:pPr>
        <w:autoSpaceDE w:val="0"/>
        <w:autoSpaceDN w:val="0"/>
        <w:adjustRightInd w:val="0"/>
        <w:jc w:val="both"/>
        <w:rPr>
          <w:iCs/>
          <w:color w:val="000000" w:themeColor="text1"/>
          <w:sz w:val="16"/>
          <w:szCs w:val="16"/>
        </w:rPr>
      </w:pPr>
    </w:p>
    <w:p w14:paraId="107B392D" w14:textId="77777777" w:rsidR="009104CE" w:rsidRPr="00925F26" w:rsidRDefault="009104CE"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К началу апреля 1945 ситуация с производством ИС-3 выглядела далёкой от идеальной. Фактически все танки, построенные на ЧКЗ, являлись лишь условно принятыми. Их ещё требовалось доработать, причём список доработок был немаленьким. Такая ситуация не мешала корпусным заводам готовиться к полномасштабному выпуску танка. Например, УЗТМ за март 1945 года отлил 32 башни (при заказе 24) и сдал 7 штук. В апреле УЗТМ сдал 38 корпусов и 25 башен. Завод №200 в апреле сдал 25 комплектов корпусов и башен. Другой вопрос, что уже имелся нехороший звоночек. Как уже говорилось, при обстреле башни на НИБТ Полигоне, состоявшемся 12-16 апреля 1945 года, башня раскололась после 29 выстрелов. Броню, из которой отлили башню, признали хрупкой (19731).</w:t>
      </w:r>
    </w:p>
    <w:p w14:paraId="624D37AE" w14:textId="77777777" w:rsidR="009104CE" w:rsidRPr="00925F26" w:rsidRDefault="009104CE" w:rsidP="00925F26">
      <w:pPr>
        <w:pStyle w:val="ae"/>
        <w:shd w:val="clear" w:color="auto" w:fill="FFFFFF"/>
        <w:spacing w:before="0" w:after="0"/>
        <w:jc w:val="both"/>
        <w:textAlignment w:val="baseline"/>
        <w:rPr>
          <w:color w:val="000000" w:themeColor="text1"/>
          <w:sz w:val="16"/>
          <w:szCs w:val="16"/>
        </w:rPr>
      </w:pPr>
    </w:p>
    <w:p w14:paraId="475E013A" w14:textId="77777777" w:rsidR="009104CE" w:rsidRPr="00925F26" w:rsidRDefault="009104CE" w:rsidP="00925F26">
      <w:pPr>
        <w:jc w:val="both"/>
        <w:rPr>
          <w:color w:val="000000" w:themeColor="text1"/>
          <w:sz w:val="16"/>
          <w:szCs w:val="16"/>
        </w:rPr>
      </w:pPr>
      <w:r w:rsidRPr="00925F26">
        <w:rPr>
          <w:color w:val="000000" w:themeColor="text1"/>
          <w:sz w:val="16"/>
          <w:szCs w:val="16"/>
        </w:rPr>
        <w:t>В начале апреля 1945 началось обсуждение перспектив серийного производства новой САУ СУ-85 на ГАЗ им. Молотова. Заводское руководство считало, что на подготовку к выпуску потребуется 1,5–2 месяца. Таким образом, производство могло начаться где-то в июне. Но после 9 мая на ГАЗ им. Молотова начались процессы, которые можно назвать изгнанием «танкистов». Фактическая же смерть СУ-85Б наступила в начале лета. О происходивших в это время событиях красноречиво говорит доклад старшего военпреда Окунева за июнь 1945 года:</w:t>
      </w:r>
    </w:p>
    <w:p w14:paraId="7C61E0F0" w14:textId="77777777" w:rsidR="009104CE" w:rsidRPr="00925F26" w:rsidRDefault="009104CE" w:rsidP="00925F26">
      <w:pPr>
        <w:jc w:val="both"/>
        <w:rPr>
          <w:color w:val="000000" w:themeColor="text1"/>
          <w:sz w:val="16"/>
          <w:szCs w:val="16"/>
        </w:rPr>
      </w:pPr>
      <w:r w:rsidRPr="00925F26">
        <w:rPr>
          <w:color w:val="000000" w:themeColor="text1"/>
          <w:sz w:val="16"/>
          <w:szCs w:val="16"/>
        </w:rPr>
        <w:t>«В отчётном месяце продолжали происходить изменения в личном составе конструкторов-танкистов. Ушёл с ГАЗ-а заместитель главного конструктора товарищ Астров, перейдя на должность главного конструктора завода малолитражных автомобилей «КИМ». Из ОКБ ушли все основные кадры конструкторов-танкистов. Осталось несколько конструкторов для текущего производства. Настроение руководства завода таково, что все опытные работы с боевыми машинами — закончены. Так, например: прибывшая на ГАЗ группа работников завода №235 с опытным образцом 85 мм пушки, с целью установки её на СУ-76 для проверки, не была даже впущена на завод. Завод категорически отказался о продолжения каких-либо опытных работ по СУ».</w:t>
      </w:r>
    </w:p>
    <w:p w14:paraId="51FF5358" w14:textId="77777777" w:rsidR="009104CE" w:rsidRPr="00925F26" w:rsidRDefault="009104CE" w:rsidP="00925F26">
      <w:pPr>
        <w:jc w:val="both"/>
        <w:rPr>
          <w:color w:val="000000" w:themeColor="text1"/>
          <w:sz w:val="16"/>
          <w:szCs w:val="16"/>
        </w:rPr>
      </w:pPr>
      <w:r w:rsidRPr="00925F26">
        <w:rPr>
          <w:color w:val="000000" w:themeColor="text1"/>
          <w:sz w:val="16"/>
          <w:szCs w:val="16"/>
        </w:rPr>
        <w:t>Появление работников КБ завода №235 на проходной Горьковского автозавода было связано с тем, что именно в Воткинске планировалось производство орудийных систем для СУ-85Б. Правда, это были не ЛБ-2. Производственные возможности завода №235 не позволяли делать стволы-моноблоки. Проблему решили в третьем проекте установки 85-мм пушки в СУ-76М. К марту 1945 года КБ завода №235 разработало несколько систем для установки в САУ, включая 85-мм В-13. Разработанная под руководством К.Ф. Федоренко система имела схожие с ЛБ-2 характеристики, включая длину отката. Проект одобрили, но после успешных испытаний ЛБ-2 заморозили. И вот теперь он пригодился.</w:t>
      </w:r>
    </w:p>
    <w:p w14:paraId="4B2D300F" w14:textId="77777777" w:rsidR="009104CE" w:rsidRPr="00925F26" w:rsidRDefault="009104CE" w:rsidP="00925F26">
      <w:pPr>
        <w:jc w:val="both"/>
        <w:rPr>
          <w:color w:val="000000" w:themeColor="text1"/>
          <w:sz w:val="16"/>
          <w:szCs w:val="16"/>
        </w:rPr>
      </w:pPr>
      <w:r w:rsidRPr="00925F26">
        <w:rPr>
          <w:color w:val="000000" w:themeColor="text1"/>
          <w:sz w:val="16"/>
          <w:szCs w:val="16"/>
        </w:rPr>
        <w:t>Испытания СУ-85Б с составным стволом от системы В-13с начались 4 августа 1945 года и продолжались до 6 сентября. Всего было произведено 1195 выстрелов, из них 550 усиленным зарядом. 23 июля на Гороховецкий АНИОП, где проходили испытания, поступил ствол-моноблок. После его установки на СУ-85Б было произведено 424 выстрела. Оба ствола показали удовлетворительную живучесть.</w:t>
      </w:r>
    </w:p>
    <w:p w14:paraId="1F99882B" w14:textId="77777777" w:rsidR="009104CE" w:rsidRPr="00925F26" w:rsidRDefault="009104CE" w:rsidP="00925F26">
      <w:pPr>
        <w:jc w:val="both"/>
        <w:rPr>
          <w:color w:val="000000" w:themeColor="text1"/>
          <w:sz w:val="16"/>
          <w:szCs w:val="16"/>
        </w:rPr>
      </w:pPr>
      <w:r w:rsidRPr="00925F26">
        <w:rPr>
          <w:color w:val="000000" w:themeColor="text1"/>
          <w:sz w:val="16"/>
          <w:szCs w:val="16"/>
        </w:rPr>
        <w:t>Но время оказалось упущено. ГАЗ, разумеется, ни о каком производстве СУ-85Б и слушать не хотел, да и на заводе №40 производство СУ-76М постепенно подходило к концу. А в ГБТУ КА уже грезили о чём-то новом. 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60098F7E" w14:textId="77777777" w:rsidR="009104CE" w:rsidRPr="00925F26" w:rsidRDefault="009104CE" w:rsidP="00925F26">
      <w:pPr>
        <w:jc w:val="both"/>
        <w:rPr>
          <w:color w:val="000000" w:themeColor="text1"/>
          <w:sz w:val="16"/>
          <w:szCs w:val="16"/>
        </w:rPr>
      </w:pPr>
    </w:p>
    <w:p w14:paraId="69D2C59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5F40701" w14:textId="77777777" w:rsidR="00665165" w:rsidRPr="00925F26" w:rsidRDefault="00665165" w:rsidP="00925F26">
      <w:pPr>
        <w:autoSpaceDE w:val="0"/>
        <w:autoSpaceDN w:val="0"/>
        <w:adjustRightInd w:val="0"/>
        <w:jc w:val="both"/>
        <w:rPr>
          <w:iCs/>
          <w:color w:val="000000" w:themeColor="text1"/>
          <w:sz w:val="16"/>
          <w:szCs w:val="16"/>
        </w:rPr>
      </w:pPr>
    </w:p>
    <w:p w14:paraId="0DBD8B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апреля 1945 6, 7 и 8 польские шаб 2 АД были перебазированы с Украины в Польшу (241,37).</w:t>
      </w:r>
    </w:p>
    <w:p w14:paraId="3BA07AEB" w14:textId="77777777" w:rsidR="00665165" w:rsidRPr="00925F26" w:rsidRDefault="00665165" w:rsidP="00925F26">
      <w:pPr>
        <w:autoSpaceDE w:val="0"/>
        <w:autoSpaceDN w:val="0"/>
        <w:adjustRightInd w:val="0"/>
        <w:jc w:val="both"/>
        <w:rPr>
          <w:color w:val="000000" w:themeColor="text1"/>
          <w:sz w:val="16"/>
          <w:szCs w:val="16"/>
        </w:rPr>
      </w:pPr>
    </w:p>
    <w:p w14:paraId="16984E28" w14:textId="77777777" w:rsidR="009104CE" w:rsidRPr="00925F26" w:rsidRDefault="009104CE"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BFB24A1" w14:textId="77777777" w:rsidR="009104CE" w:rsidRPr="00925F26" w:rsidRDefault="009104CE" w:rsidP="00925F26">
      <w:pPr>
        <w:autoSpaceDE w:val="0"/>
        <w:autoSpaceDN w:val="0"/>
        <w:adjustRightInd w:val="0"/>
        <w:jc w:val="both"/>
        <w:rPr>
          <w:iCs/>
          <w:color w:val="000000" w:themeColor="text1"/>
          <w:sz w:val="16"/>
          <w:szCs w:val="16"/>
        </w:rPr>
      </w:pPr>
    </w:p>
    <w:p w14:paraId="1CB91500" w14:textId="77777777" w:rsidR="009104CE" w:rsidRPr="00925F26" w:rsidRDefault="009104CE" w:rsidP="00925F26">
      <w:pPr>
        <w:jc w:val="both"/>
        <w:rPr>
          <w:color w:val="000000" w:themeColor="text1"/>
          <w:sz w:val="16"/>
          <w:szCs w:val="16"/>
        </w:rPr>
      </w:pPr>
      <w:r w:rsidRPr="00925F26">
        <w:rPr>
          <w:color w:val="000000" w:themeColor="text1"/>
          <w:sz w:val="16"/>
          <w:szCs w:val="16"/>
        </w:rPr>
        <w:t>В начале апреля 1945 года был отдан приказ об эвакуации конструкторского бюро Вернера фон Брауна из Пенемюнде на юг Германии, в Баварию — советские войска были совсем близко. Инженеры разместились в Оберйохе, горнолыжном курорте, расположенном в горах. Ракетная элита Германии ожидала окончания войны.</w:t>
      </w:r>
    </w:p>
    <w:p w14:paraId="036752AE" w14:textId="77777777" w:rsidR="009104CE" w:rsidRPr="00925F26" w:rsidRDefault="009104CE" w:rsidP="00925F26">
      <w:pPr>
        <w:jc w:val="both"/>
        <w:rPr>
          <w:color w:val="000000" w:themeColor="text1"/>
          <w:sz w:val="16"/>
          <w:szCs w:val="16"/>
        </w:rPr>
      </w:pPr>
      <w:r w:rsidRPr="00925F26">
        <w:rPr>
          <w:color w:val="000000" w:themeColor="text1"/>
          <w:sz w:val="16"/>
          <w:szCs w:val="16"/>
        </w:rPr>
        <w:t>Как вспоминал доктор Конрад Даненберг: «У нас было несколько секретных совещаний с фон Брауном и его коллегами, чтобы обсудить вопрос: что мы будем делать по окончании войны. Мы обдумывали, стоит ли нам сдаться русским. У нас были сведения о том, что русские заинтересованы в ракетной технологии. Но мы слышали о русских так много плохого. Мы все понимали, что ракета Фау-2 является огромным вкладом в высокие технологии, и мы надеялись, что это поможет нам остаться в живых...».</w:t>
      </w:r>
    </w:p>
    <w:p w14:paraId="2DDBA119" w14:textId="77777777" w:rsidR="009104CE" w:rsidRPr="00925F26" w:rsidRDefault="009104CE" w:rsidP="00925F26">
      <w:pPr>
        <w:jc w:val="both"/>
        <w:rPr>
          <w:color w:val="000000" w:themeColor="text1"/>
          <w:sz w:val="16"/>
          <w:szCs w:val="16"/>
        </w:rPr>
      </w:pPr>
      <w:r w:rsidRPr="00925F26">
        <w:rPr>
          <w:color w:val="000000" w:themeColor="text1"/>
          <w:sz w:val="16"/>
          <w:szCs w:val="16"/>
        </w:rPr>
        <w:t>В ходе этих совещаний было принято решение сдаваться американцам, так как было наивно рассчитывать на теплый прием англичан после обстрелов Лондона немецкими ракетами.</w:t>
      </w:r>
    </w:p>
    <w:p w14:paraId="5DC00549" w14:textId="77777777" w:rsidR="009104CE" w:rsidRPr="00925F26" w:rsidRDefault="009104CE" w:rsidP="00925F26">
      <w:pPr>
        <w:jc w:val="both"/>
        <w:rPr>
          <w:color w:val="000000" w:themeColor="text1"/>
          <w:sz w:val="16"/>
          <w:szCs w:val="16"/>
        </w:rPr>
      </w:pPr>
      <w:r w:rsidRPr="00925F26">
        <w:rPr>
          <w:color w:val="000000" w:themeColor="text1"/>
          <w:sz w:val="16"/>
          <w:szCs w:val="16"/>
        </w:rPr>
        <w:t>«Ракетный барон» понимал, что уникальные знания его команды инженеров могут обеспечить почетный прием после войны, и 30 апреля 1945 года, после сообщения о смерти Гитлера, фон Браун сдался американским разведчикам (19627).</w:t>
      </w:r>
    </w:p>
    <w:p w14:paraId="2A97AD1E" w14:textId="77777777" w:rsidR="009104CE" w:rsidRPr="00925F26" w:rsidRDefault="009104CE" w:rsidP="00925F26">
      <w:pPr>
        <w:jc w:val="both"/>
        <w:rPr>
          <w:color w:val="000000" w:themeColor="text1"/>
          <w:sz w:val="16"/>
          <w:szCs w:val="16"/>
        </w:rPr>
      </w:pPr>
    </w:p>
    <w:p w14:paraId="1FB6FB3A" w14:textId="77777777" w:rsidR="002D4CA3" w:rsidRPr="001A0BAA" w:rsidRDefault="002D4CA3" w:rsidP="002D4CA3">
      <w:pPr>
        <w:jc w:val="both"/>
        <w:rPr>
          <w:color w:val="0070C0"/>
          <w:sz w:val="16"/>
          <w:szCs w:val="16"/>
        </w:rPr>
      </w:pPr>
      <w:r w:rsidRPr="001A0BAA">
        <w:rPr>
          <w:color w:val="0070C0"/>
          <w:sz w:val="16"/>
          <w:szCs w:val="16"/>
        </w:rPr>
        <w:t>В начале апреля 1945 г. ведущие специалисты-ракетчики во главе с генерал-майором Вальтером Дорнбергером и главным конструктором Вернером фон Брауном уехали из Тюрингии на юг Германии, в Баварию, в район города Гармиш-Партенкирхен. Но основная часть инженерно-технического персонала из Пенемюнде осталась в городах и деревнях Тюрингии (24989).</w:t>
      </w:r>
    </w:p>
    <w:p w14:paraId="49D0AA53" w14:textId="77777777" w:rsidR="002D4CA3" w:rsidRPr="001A0BAA" w:rsidRDefault="002D4CA3" w:rsidP="002D4CA3">
      <w:pPr>
        <w:jc w:val="both"/>
        <w:rPr>
          <w:color w:val="0070C0"/>
          <w:sz w:val="16"/>
          <w:szCs w:val="16"/>
        </w:rPr>
      </w:pPr>
    </w:p>
    <w:p w14:paraId="17D92B7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1647C33" w14:textId="77777777" w:rsidR="00665165" w:rsidRPr="00925F26" w:rsidRDefault="00665165" w:rsidP="00925F26">
      <w:pPr>
        <w:autoSpaceDE w:val="0"/>
        <w:autoSpaceDN w:val="0"/>
        <w:adjustRightInd w:val="0"/>
        <w:jc w:val="both"/>
        <w:rPr>
          <w:iCs/>
          <w:color w:val="000000" w:themeColor="text1"/>
          <w:sz w:val="16"/>
          <w:szCs w:val="16"/>
        </w:rPr>
      </w:pPr>
    </w:p>
    <w:p w14:paraId="06FD64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ВВС утвердили ТТТ к дальнему высотному бомбардировщику А.Н.Т. 64 - скорость 610 км/час и дальность 5000 км с 5000 кг бомб и АМ-43ТК-300Б или АМ-46ТК-300 (2397,56).</w:t>
      </w:r>
    </w:p>
    <w:p w14:paraId="42038B43" w14:textId="77777777" w:rsidR="00665165" w:rsidRPr="00925F26" w:rsidRDefault="00665165" w:rsidP="00925F26">
      <w:pPr>
        <w:autoSpaceDE w:val="0"/>
        <w:autoSpaceDN w:val="0"/>
        <w:adjustRightInd w:val="0"/>
        <w:jc w:val="both"/>
        <w:rPr>
          <w:color w:val="000000" w:themeColor="text1"/>
          <w:sz w:val="16"/>
          <w:szCs w:val="16"/>
        </w:rPr>
      </w:pPr>
    </w:p>
    <w:p w14:paraId="1D025582" w14:textId="77777777" w:rsidR="00AE29CF" w:rsidRPr="00925F26" w:rsidRDefault="00AE29CF" w:rsidP="00925F26">
      <w:pPr>
        <w:jc w:val="both"/>
        <w:rPr>
          <w:color w:val="000000" w:themeColor="text1"/>
          <w:sz w:val="16"/>
          <w:szCs w:val="16"/>
        </w:rPr>
      </w:pPr>
      <w:r w:rsidRPr="00925F26">
        <w:rPr>
          <w:color w:val="000000" w:themeColor="text1"/>
          <w:sz w:val="16"/>
          <w:szCs w:val="16"/>
        </w:rPr>
        <w:t>7 апреля 1945 г. ВВС наконец утвердили тактико-технические требования на новый бомбардировщик. 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 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(15568).</w:t>
      </w:r>
    </w:p>
    <w:p w14:paraId="7D971505" w14:textId="77777777" w:rsidR="00AE29CF" w:rsidRPr="00925F26" w:rsidRDefault="00AE29CF" w:rsidP="00925F26">
      <w:pPr>
        <w:jc w:val="both"/>
        <w:rPr>
          <w:color w:val="000000" w:themeColor="text1"/>
          <w:sz w:val="16"/>
          <w:szCs w:val="16"/>
        </w:rPr>
      </w:pPr>
    </w:p>
    <w:p w14:paraId="280E54E2" w14:textId="77777777" w:rsidR="00DE25E5" w:rsidRPr="00925F26" w:rsidRDefault="00DE25E5"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ВВС наконец утвердили тактико-технические требования на новый бомбардировщик </w:t>
      </w:r>
      <w:hyperlink r:id="rId99" w:tgtFrame="_blank" w:history="1">
        <w:r w:rsidRPr="00925F26">
          <w:rPr>
            <w:color w:val="000000" w:themeColor="text1"/>
            <w:sz w:val="16"/>
            <w:szCs w:val="16"/>
          </w:rPr>
          <w:t xml:space="preserve">«Ту-64» («Ту-10»). </w:t>
        </w:r>
      </w:hyperlink>
      <w:r w:rsidRPr="00925F26">
        <w:rPr>
          <w:color w:val="000000" w:themeColor="text1"/>
          <w:sz w:val="16"/>
          <w:szCs w:val="16"/>
        </w:rPr>
        <w:t>Согласно им самолет должен был иметь следующие летно-технические данные: 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 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27 апреля 1945 г. макетная комиссия наконец утвердила макет "самолета 64" с четырьмя двигателями «АМ-43ТК-300Б» (15092).</w:t>
      </w:r>
    </w:p>
    <w:p w14:paraId="48DB2384" w14:textId="77777777" w:rsidR="00DE25E5" w:rsidRPr="00925F26" w:rsidRDefault="00DE25E5" w:rsidP="00925F26">
      <w:pPr>
        <w:jc w:val="both"/>
        <w:rPr>
          <w:color w:val="000000" w:themeColor="text1"/>
          <w:sz w:val="16"/>
          <w:szCs w:val="16"/>
        </w:rPr>
      </w:pPr>
    </w:p>
    <w:p w14:paraId="68BD6D1A" w14:textId="727FDB0F" w:rsidR="007D191E" w:rsidRPr="00925F26" w:rsidRDefault="007D191E" w:rsidP="00925F26">
      <w:pPr>
        <w:jc w:val="both"/>
        <w:rPr>
          <w:color w:val="000000" w:themeColor="text1"/>
          <w:sz w:val="16"/>
          <w:szCs w:val="16"/>
        </w:rPr>
      </w:pPr>
      <w:r w:rsidRPr="00925F26">
        <w:rPr>
          <w:color w:val="000000" w:themeColor="text1"/>
          <w:sz w:val="16"/>
          <w:szCs w:val="16"/>
        </w:rPr>
        <w:t xml:space="preserve">7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ВВС наконец утвердили тактико-технические требования на новый бомбардировщик Ту-64 (Ту-10). Согласно им самолет должен был иметь следующие летно-технические данные:</w:t>
      </w:r>
    </w:p>
    <w:p w14:paraId="460F5CA1" w14:textId="77777777" w:rsidR="007D191E" w:rsidRPr="00925F26" w:rsidRDefault="007D191E" w:rsidP="00925F26">
      <w:pPr>
        <w:jc w:val="both"/>
        <w:rPr>
          <w:color w:val="000000" w:themeColor="text1"/>
          <w:sz w:val="16"/>
          <w:szCs w:val="16"/>
        </w:rPr>
      </w:pPr>
      <w:r w:rsidRPr="00925F26">
        <w:rPr>
          <w:color w:val="000000" w:themeColor="text1"/>
          <w:sz w:val="16"/>
          <w:szCs w:val="16"/>
        </w:rPr>
        <w:t>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w:t>
      </w:r>
    </w:p>
    <w:p w14:paraId="566172B0" w14:textId="77777777" w:rsidR="007D191E" w:rsidRPr="00925F26" w:rsidRDefault="007D191E" w:rsidP="00925F26">
      <w:pPr>
        <w:jc w:val="both"/>
        <w:rPr>
          <w:color w:val="000000" w:themeColor="text1"/>
          <w:sz w:val="16"/>
          <w:szCs w:val="16"/>
        </w:rPr>
      </w:pPr>
      <w:r w:rsidRPr="00925F26">
        <w:rPr>
          <w:color w:val="000000" w:themeColor="text1"/>
          <w:sz w:val="16"/>
          <w:szCs w:val="16"/>
          <w:shd w:val="clear" w:color="auto" w:fill="FFFFFF"/>
        </w:rPr>
        <w:t xml:space="preserve">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w:t>
      </w:r>
      <w:r w:rsidRPr="00925F26">
        <w:rPr>
          <w:color w:val="000000" w:themeColor="text1"/>
          <w:sz w:val="16"/>
          <w:szCs w:val="16"/>
          <w:shd w:val="clear" w:color="auto" w:fill="FFFFFF"/>
        </w:rPr>
        <w:lastRenderedPageBreak/>
        <w:t>аппаратуры радиоопознавания и системы оповещения об облучении хвостовой части. 27 апреля 1945 г. макетная комиссия наконец утвердила макет "самолета 64" с четырьмя двигателями АМ-43ТК-300Б</w:t>
      </w:r>
      <w:r w:rsidRPr="00925F26">
        <w:rPr>
          <w:color w:val="000000" w:themeColor="text1"/>
          <w:sz w:val="16"/>
          <w:szCs w:val="16"/>
        </w:rPr>
        <w:t xml:space="preserve"> (22543).</w:t>
      </w:r>
    </w:p>
    <w:p w14:paraId="7379C0D9" w14:textId="77777777" w:rsidR="007D191E" w:rsidRPr="00925F26" w:rsidRDefault="007D191E" w:rsidP="00925F26">
      <w:pPr>
        <w:jc w:val="both"/>
        <w:rPr>
          <w:color w:val="000000" w:themeColor="text1"/>
          <w:sz w:val="16"/>
          <w:szCs w:val="16"/>
        </w:rPr>
      </w:pPr>
    </w:p>
    <w:p w14:paraId="19EE48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7 апреля с 23 февраля 1945 года в госиспытаниях Як-3Т, которые проходили с 17 февраля по 25 апреля, имел место большой перерыв для доводки маслосистемы для ликвидации выброса масла, но устранить данное явление полностью не удалось, добились лишь снижения выброса масла до четырех- шести литров в час.</w:t>
      </w:r>
    </w:p>
    <w:p w14:paraId="655BB1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09BE8D35" w14:textId="77777777" w:rsidR="00665165" w:rsidRPr="00925F26" w:rsidRDefault="00665165" w:rsidP="00925F26">
      <w:pPr>
        <w:autoSpaceDE w:val="0"/>
        <w:autoSpaceDN w:val="0"/>
        <w:adjustRightInd w:val="0"/>
        <w:jc w:val="both"/>
        <w:rPr>
          <w:color w:val="000000" w:themeColor="text1"/>
          <w:sz w:val="16"/>
          <w:szCs w:val="16"/>
        </w:rPr>
      </w:pPr>
    </w:p>
    <w:p w14:paraId="6E3BF3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первый опытный экз. ЛЛ-143 Г.М.Б., построенный в марте 1945, отправили по ж/д из Красноярска в Таганрог для проведения испытаний (1641,10).</w:t>
      </w:r>
    </w:p>
    <w:p w14:paraId="0CEC3B9F" w14:textId="77777777" w:rsidR="00665165" w:rsidRPr="00925F26" w:rsidRDefault="00665165" w:rsidP="00925F26">
      <w:pPr>
        <w:autoSpaceDE w:val="0"/>
        <w:autoSpaceDN w:val="0"/>
        <w:adjustRightInd w:val="0"/>
        <w:jc w:val="both"/>
        <w:rPr>
          <w:color w:val="000000" w:themeColor="text1"/>
          <w:sz w:val="16"/>
          <w:szCs w:val="16"/>
        </w:rPr>
      </w:pPr>
    </w:p>
    <w:p w14:paraId="5DB800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года зам. наркома Авиапрома генерал-лейтенант ИАС Дементьев писал письмо зам. наркома ВМФ адмиралу Галлеру.</w:t>
      </w:r>
    </w:p>
    <w:p w14:paraId="76F542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распоряжению ГОКО от 17.03.45 г. N 7861сс НИИ-1 проводит срочную работу для ВМФ по торпеде РАТ.</w:t>
      </w:r>
    </w:p>
    <w:p w14:paraId="39FB2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Ввиду сжатости сроков и малому количеству специалистов-торпедистов в НИИ-1 выполнение задания в срок для НИИ-1 чрезвычайно затруднительно.</w:t>
      </w:r>
    </w:p>
    <w:p w14:paraId="73F64E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Вас оказать содействие в выполнении упомянутой работы срочно командировав в НИИ-1 на срок до 1.07.45 г. следующих конструкторов-торпедистов находящихся в рядах ВМФ (2595,36).</w:t>
      </w:r>
    </w:p>
    <w:p w14:paraId="4B2C2B8D" w14:textId="77777777" w:rsidR="00665165" w:rsidRPr="00925F26" w:rsidRDefault="00665165" w:rsidP="00925F26">
      <w:pPr>
        <w:autoSpaceDE w:val="0"/>
        <w:autoSpaceDN w:val="0"/>
        <w:adjustRightInd w:val="0"/>
        <w:jc w:val="both"/>
        <w:rPr>
          <w:color w:val="000000" w:themeColor="text1"/>
          <w:sz w:val="16"/>
          <w:szCs w:val="16"/>
        </w:rPr>
      </w:pPr>
    </w:p>
    <w:p w14:paraId="788FACA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ADF096A" w14:textId="77777777" w:rsidR="00665165" w:rsidRPr="00925F26" w:rsidRDefault="00665165" w:rsidP="00925F26">
      <w:pPr>
        <w:autoSpaceDE w:val="0"/>
        <w:autoSpaceDN w:val="0"/>
        <w:adjustRightInd w:val="0"/>
        <w:jc w:val="both"/>
        <w:rPr>
          <w:iCs/>
          <w:color w:val="000000" w:themeColor="text1"/>
          <w:sz w:val="16"/>
          <w:szCs w:val="16"/>
        </w:rPr>
      </w:pPr>
    </w:p>
    <w:p w14:paraId="1978E879" w14:textId="77777777" w:rsidR="00FA59CB" w:rsidRPr="00925F26" w:rsidRDefault="00FA59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По большому счету, эти ТТТ лишь возобновляли работу по 122-мм пушке БЛ-13, разработка которой была инициирована еще в декабре 1943 года. Пушка проектировалась ОКБ-172 на базе орудия Д-25Т с использованием ствола 122-мм самоходной пушки ОБМ-50 (БЛ-9) (17209).</w:t>
      </w:r>
    </w:p>
    <w:p w14:paraId="4E7B2FF1" w14:textId="77777777" w:rsidR="00FA59CB" w:rsidRPr="00925F26" w:rsidRDefault="00FA59CB" w:rsidP="00925F26">
      <w:pPr>
        <w:pStyle w:val="ae"/>
        <w:shd w:val="clear" w:color="auto" w:fill="FFFFFF"/>
        <w:spacing w:before="0" w:after="0"/>
        <w:jc w:val="both"/>
        <w:rPr>
          <w:color w:val="000000" w:themeColor="text1"/>
          <w:sz w:val="16"/>
          <w:szCs w:val="16"/>
        </w:rPr>
      </w:pPr>
    </w:p>
    <w:p w14:paraId="66EAFD0D"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Пушка, спаренная с пулемётом ДШК, должна была иметь скорострельность 4 выстрела в минуту и раздельное заряжание.</w:t>
      </w:r>
    </w:p>
    <w:p w14:paraId="5FFAC705"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По большому счёту, эти ТТТ лишь возобновляли работу по 122-мм пушке БЛ-13, разработка которой была инициирована ещё в декабре 1943 года. Пушка проектировалась ОКБ-172 на базе орудия Д-25Т с использованием ствола 122-мм самоходной пушки ОБМ-50 (БЛ-9). Технический проект БЛ-13 ОКБ-172 и завод №100 начали разрабатывать в феврале 1944 года, первые наработки по теме появились в июле. По ряду причин вместо БЛ-13 на ИС-6 установили пушку Д-30, которая оказалась ненамного лучше, чем Д-25Т. И вот теперь у БЛ-13 появился второй шанс (16735).</w:t>
      </w:r>
    </w:p>
    <w:p w14:paraId="32B1E8DA" w14:textId="77777777" w:rsidR="00117BE3" w:rsidRPr="00925F26" w:rsidRDefault="00117BE3" w:rsidP="00925F26">
      <w:pPr>
        <w:shd w:val="clear" w:color="auto" w:fill="FFFFFF"/>
        <w:jc w:val="both"/>
        <w:rPr>
          <w:color w:val="000000" w:themeColor="text1"/>
          <w:sz w:val="16"/>
          <w:szCs w:val="16"/>
        </w:rPr>
      </w:pPr>
    </w:p>
    <w:p w14:paraId="3EFCE2B7" w14:textId="77777777" w:rsidR="002D4CA3" w:rsidRPr="001A0BAA" w:rsidRDefault="002D4CA3" w:rsidP="002D4CA3">
      <w:pPr>
        <w:jc w:val="both"/>
        <w:rPr>
          <w:color w:val="0070C0"/>
          <w:sz w:val="16"/>
          <w:szCs w:val="16"/>
        </w:rPr>
      </w:pPr>
      <w:r w:rsidRPr="001A0BAA">
        <w:rPr>
          <w:color w:val="0070C0"/>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Данные требования возобновили работы по пушке БЛ-13, которая изначально предполагалась для установки в ИС-6. Теперь пушка, спаренная с пулеметом ДШКТ, лишалась дульного тормоза. Впрочем, этого так и не произошло, хотя в НКТП настаивали на такой конфигурации (25507).</w:t>
      </w:r>
    </w:p>
    <w:p w14:paraId="06924AE5" w14:textId="77777777" w:rsidR="002D4CA3" w:rsidRPr="001A0BAA" w:rsidRDefault="002D4CA3" w:rsidP="002D4CA3">
      <w:pPr>
        <w:jc w:val="both"/>
        <w:rPr>
          <w:color w:val="0070C0"/>
          <w:sz w:val="16"/>
          <w:szCs w:val="16"/>
        </w:rPr>
      </w:pPr>
    </w:p>
    <w:p w14:paraId="354FE073" w14:textId="77777777" w:rsidR="002D4CA3" w:rsidRPr="001A0BAA" w:rsidRDefault="002D4CA3" w:rsidP="002D4CA3">
      <w:pPr>
        <w:jc w:val="both"/>
        <w:rPr>
          <w:color w:val="0070C0"/>
          <w:sz w:val="16"/>
          <w:szCs w:val="16"/>
        </w:rPr>
      </w:pPr>
      <w:r w:rsidRPr="001A0BAA">
        <w:rPr>
          <w:color w:val="0070C0"/>
          <w:sz w:val="16"/>
          <w:szCs w:val="16"/>
        </w:rPr>
        <w:t>В период с 7 по 8 апреля 1945 г. на Гороховецком АНИОП с ГАЗ-15Б произвели еще 70 выстрелов. После этого САУ направили на завод №92 для доработки орудия. Вместо однокамерного дульного тормоза орудие получило двухкамерный дульный тормоз. В таком виде СУ-85Б снова направили на Гороховецкий АНИОП, где испытания проходили в период с 20 по 25 апреля. За это время САУ прошла еще 502 километра и произвела 604 выстрела (24993).</w:t>
      </w:r>
    </w:p>
    <w:p w14:paraId="54626A87" w14:textId="77777777" w:rsidR="002D4CA3" w:rsidRPr="001A0BAA" w:rsidRDefault="002D4CA3" w:rsidP="002D4CA3">
      <w:pPr>
        <w:jc w:val="both"/>
        <w:rPr>
          <w:color w:val="0070C0"/>
          <w:sz w:val="16"/>
          <w:szCs w:val="16"/>
        </w:rPr>
      </w:pPr>
    </w:p>
    <w:p w14:paraId="6E3ECB7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апреля 1945 вышло Распоряжение ГКО № 8057 [О доставке Главторфу НКЭС листового железа, тракторных запчастей и горючего по фондам I кв. 1945 г.] (7322, 163).</w:t>
      </w:r>
    </w:p>
    <w:p w14:paraId="7A1046A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D737E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года И.В. Курчатов составил заключение по новым поступившим разведданным, по характеристикам ядерных материалов, по особенностям атомной бомбы на принципе имплозии и по вопросам электромагнитного метода разделения изотопов урана. По характеристикам ядерных материалов он отмечает важность полученной таблицы точных сечений деления урана-235 и плутония-239 быстрыми нейтронами различных энергий, которая позволяет надежно определить критические размеры атомной бомбы. Благодаря этому, можно признать, что приведенные в материалах формулы для критического радиуса могут быть правильными с точностью до 2%, как это указано в тексте. В то же время осталось неясным, как могла быть достигнута столь высокая точность в определении сечений деления, и было бы важно получить сведения об опытах по размножению нейтронов, которые проводились с большими количествами урана-235 или плутония. (Можно предполагать, что эти данные внесли существенные коррективы в представления наших специалистов о величине критической массы делящихся материалов, в частности, урана-235) (10549).</w:t>
      </w:r>
    </w:p>
    <w:p w14:paraId="32C19077" w14:textId="77777777" w:rsidR="00665165" w:rsidRPr="00925F26" w:rsidRDefault="00665165" w:rsidP="00925F26">
      <w:pPr>
        <w:autoSpaceDE w:val="0"/>
        <w:autoSpaceDN w:val="0"/>
        <w:adjustRightInd w:val="0"/>
        <w:jc w:val="both"/>
        <w:rPr>
          <w:color w:val="000000" w:themeColor="text1"/>
          <w:sz w:val="16"/>
          <w:szCs w:val="16"/>
        </w:rPr>
      </w:pPr>
    </w:p>
    <w:p w14:paraId="46CFF10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25F9F65" w14:textId="77777777" w:rsidR="00665165" w:rsidRPr="00925F26" w:rsidRDefault="00665165" w:rsidP="00925F26">
      <w:pPr>
        <w:autoSpaceDE w:val="0"/>
        <w:autoSpaceDN w:val="0"/>
        <w:adjustRightInd w:val="0"/>
        <w:jc w:val="both"/>
        <w:rPr>
          <w:iCs/>
          <w:color w:val="000000" w:themeColor="text1"/>
          <w:sz w:val="16"/>
          <w:szCs w:val="16"/>
        </w:rPr>
      </w:pPr>
    </w:p>
    <w:p w14:paraId="1972C275" w14:textId="77777777" w:rsidR="00AE29CF" w:rsidRPr="00925F26" w:rsidRDefault="00AE29CF"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оперативная сводка Совинформбюро:</w:t>
      </w:r>
    </w:p>
    <w:p w14:paraId="629AB108" w14:textId="77777777" w:rsidR="00AE29CF" w:rsidRPr="00925F26" w:rsidRDefault="00AE29CF" w:rsidP="00925F26">
      <w:pPr>
        <w:jc w:val="both"/>
        <w:rPr>
          <w:color w:val="000000" w:themeColor="text1"/>
          <w:sz w:val="16"/>
          <w:szCs w:val="16"/>
        </w:rPr>
      </w:pPr>
      <w:r w:rsidRPr="00925F26">
        <w:rPr>
          <w:color w:val="000000" w:themeColor="text1"/>
          <w:sz w:val="16"/>
          <w:szCs w:val="16"/>
        </w:rPr>
        <w:t>«В течение 7 апреля в полосе Карпат, северо-западнее города Ружомберок, войска 4-го Украинского фронта с боями заняли более 30 населённых пунктов; среди них — Бренка, Малинка, Камешница, Уйсолы, Розтоки, Станковани, Гомбаш.</w:t>
      </w:r>
    </w:p>
    <w:p w14:paraId="63867864" w14:textId="77777777" w:rsidR="00AE29CF" w:rsidRPr="00925F26" w:rsidRDefault="00AE29CF" w:rsidP="00925F26">
      <w:pPr>
        <w:jc w:val="both"/>
        <w:rPr>
          <w:color w:val="000000" w:themeColor="text1"/>
          <w:sz w:val="16"/>
          <w:szCs w:val="16"/>
        </w:rPr>
      </w:pPr>
      <w:r w:rsidRPr="00925F26">
        <w:rPr>
          <w:color w:val="000000" w:themeColor="text1"/>
          <w:sz w:val="16"/>
          <w:szCs w:val="16"/>
        </w:rPr>
        <w:t>Северо-восточнее и севернее Братиславы войска 2-го Украинского фронта, продолжая наступление, заняли город Нове-Место и более 50 других населённых пунктов, в том числе крупные населённые пункты Кшинна, Угровец, Калныца, Чахтице, Костолне, Брезова, Глбоке, Сеница, Чачов, Штепанов, Смолинске. В этом районе на нашу сторону перешли с полным вооружением остатки 24-й венгерской пехотной дивизии во главе с командиром дивизии полковником Мужон и его штабом.</w:t>
      </w:r>
    </w:p>
    <w:p w14:paraId="38C5712A" w14:textId="77777777" w:rsidR="00AE29CF" w:rsidRPr="00925F26" w:rsidRDefault="00AE29CF" w:rsidP="00925F26">
      <w:pPr>
        <w:jc w:val="both"/>
        <w:rPr>
          <w:color w:val="000000" w:themeColor="text1"/>
          <w:sz w:val="16"/>
          <w:szCs w:val="16"/>
        </w:rPr>
      </w:pPr>
      <w:r w:rsidRPr="00925F26">
        <w:rPr>
          <w:color w:val="000000" w:themeColor="text1"/>
          <w:sz w:val="16"/>
          <w:szCs w:val="16"/>
        </w:rPr>
        <w:t>В районе Вены войска 3-го Украинского фронта, продолжая наступление, заняли города Медлинг, Прессбаум, Клостернойбург, вышли к Дунаю северо-западнее Вены и завязали уличные бои в южной части города Вены. Одновременно юго-западнее озера Балатон войска фронта, наступая совместно с войсками болгарской армии, заняли город и железнодорожный узел Чаковец, город и железнодорожную станцию Мурско-Средиште. В боях за 6 апреля войска фронта взяли в плен более 3.600 солдат и офицеров противника и захватили следующие трофеи: самолётов — 11, танков—22, полевых орудий—78, пулемётов—127.</w:t>
      </w:r>
    </w:p>
    <w:p w14:paraId="09933420" w14:textId="77777777" w:rsidR="00AE29CF" w:rsidRPr="00925F26" w:rsidRDefault="00AE29CF"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6F435742" w14:textId="77777777" w:rsidR="00AE29CF" w:rsidRPr="00925F26" w:rsidRDefault="00AE29CF" w:rsidP="00925F26">
      <w:pPr>
        <w:jc w:val="both"/>
        <w:rPr>
          <w:color w:val="000000" w:themeColor="text1"/>
          <w:sz w:val="16"/>
          <w:szCs w:val="16"/>
        </w:rPr>
      </w:pPr>
      <w:r w:rsidRPr="00925F26">
        <w:rPr>
          <w:color w:val="000000" w:themeColor="text1"/>
          <w:sz w:val="16"/>
          <w:szCs w:val="16"/>
        </w:rPr>
        <w:t>За 6 апреля на всех фронтах подбито и уничтожено 28 немецких танков и самоходных орудий. В воздушных боях и огнём зенитной артиллерии сбито 14 самолётов противника.</w:t>
      </w:r>
    </w:p>
    <w:p w14:paraId="0577828E" w14:textId="77777777" w:rsidR="00AE29CF" w:rsidRPr="00925F26" w:rsidRDefault="00AE29CF" w:rsidP="00925F26">
      <w:pPr>
        <w:jc w:val="both"/>
        <w:rPr>
          <w:color w:val="000000" w:themeColor="text1"/>
          <w:sz w:val="16"/>
          <w:szCs w:val="16"/>
        </w:rPr>
      </w:pPr>
      <w:r w:rsidRPr="00925F26">
        <w:rPr>
          <w:color w:val="000000" w:themeColor="text1"/>
          <w:sz w:val="16"/>
          <w:szCs w:val="16"/>
        </w:rPr>
        <w:t>В полосе Карпат войска 4-го Украинского фронта с боями продвигались вперёд. Наша пехота преодолела горный хребет Бескид Жывецки и атаковала немцев, сосредоточившихся в узкой горной долине. В результате стремительного удара вражеские подразделения были разгромлены. На поле боя осталось много трупов солдат и офицеров противника. Захвачено 5 орудий, 60 автомашин и взято в плен более 100 немцев. На другом участке противник укрепился на склонах гор и сильным огнём преграждал путь нашим войскам. Советские части совершили обходный манёвр и с фланга атаковали немцев. Гитлеровцы не выдержали удара и стали поспешно отступать. Развивая успех, наши войска овладели железнодорожной станцией Станковани и захватили 3 паровоза и 126 вагонов с грузами.</w:t>
      </w:r>
    </w:p>
    <w:p w14:paraId="54D83390" w14:textId="77777777" w:rsidR="00AE29CF" w:rsidRPr="00925F26" w:rsidRDefault="00AE29CF" w:rsidP="00925F26">
      <w:pPr>
        <w:jc w:val="both"/>
        <w:rPr>
          <w:color w:val="000000" w:themeColor="text1"/>
          <w:sz w:val="16"/>
          <w:szCs w:val="16"/>
        </w:rPr>
      </w:pPr>
      <w:r w:rsidRPr="00925F26">
        <w:rPr>
          <w:color w:val="000000" w:themeColor="text1"/>
          <w:sz w:val="16"/>
          <w:szCs w:val="16"/>
        </w:rPr>
        <w:t>Северо-восточнее Братиславы наши войска продолжали вести наступательные бои. Противник, опираясь на заранее подготовленные оборонительные рубежи, оказывает упорное сопротивление и часто переходит в контратаки. Советские части, продвигаясь на север вдоль реки Ваг, вышли на подступы к сильно укреплённому пункту обороны немцев городу Нове-Место. Гитлеровцы пытались любой ценой удержать этот город в своих руках. Они спешно подтянули резервы и бросили их в бой. Наши войска выбили врага с господствующих над местностью высот, а затем в результате боя овладели городом Нове-Место — важным узлом путей сообщения.</w:t>
      </w:r>
    </w:p>
    <w:p w14:paraId="053EFB13" w14:textId="77777777" w:rsidR="00AE29CF" w:rsidRPr="00925F26" w:rsidRDefault="00AE29CF" w:rsidP="00925F26">
      <w:pPr>
        <w:jc w:val="both"/>
        <w:rPr>
          <w:color w:val="000000" w:themeColor="text1"/>
          <w:sz w:val="16"/>
          <w:szCs w:val="16"/>
        </w:rPr>
      </w:pPr>
      <w:r w:rsidRPr="00925F26">
        <w:rPr>
          <w:color w:val="000000" w:themeColor="text1"/>
          <w:sz w:val="16"/>
          <w:szCs w:val="16"/>
        </w:rPr>
        <w:t>Севернее Братиславы советские пехотинцы с боями продвигались вперёд в трудных условиях горно-лесистой местности. Широко применяя обходные манёвры, наши подразделения окружают вражеские опорные пункты и ликвидируют их гарнизоны. Советские части переправились через реку Миява и заняли населённый пункт Сеница, находящийся в 25 километрах от чехословацкого города Годонин. Нанесены тяжёлые потери немецкой пехотной дивизии, всего лишь несколько дней назад введённой в бой на этом участке фронта.</w:t>
      </w:r>
    </w:p>
    <w:p w14:paraId="5C32C09F" w14:textId="77777777" w:rsidR="00AE29CF" w:rsidRPr="00925F26" w:rsidRDefault="00AE29CF" w:rsidP="00925F26">
      <w:pPr>
        <w:jc w:val="both"/>
        <w:rPr>
          <w:color w:val="000000" w:themeColor="text1"/>
          <w:sz w:val="16"/>
          <w:szCs w:val="16"/>
        </w:rPr>
      </w:pPr>
      <w:r w:rsidRPr="00925F26">
        <w:rPr>
          <w:color w:val="000000" w:themeColor="text1"/>
          <w:sz w:val="16"/>
          <w:szCs w:val="16"/>
        </w:rPr>
        <w:t>В районе Вены войска 3-го Украинского фронта продолжали наступление. Наши подвижные соединения и пехота после упорных боёв овладели городом Прессбаум, расположенным на железной дороге Вена— Линц. Развивая успех, советские части продвинулись вперёд на 20 километров и штурмом заняли город Клостернойбург на правом берегу Дуная, в 5 километрах северо-западнее Вены. Таким образом, наши войска обошли Вену не только с юго-востока и юга, но также с запада и северо-</w:t>
      </w:r>
      <w:r w:rsidRPr="00925F26">
        <w:rPr>
          <w:color w:val="000000" w:themeColor="text1"/>
          <w:sz w:val="16"/>
          <w:szCs w:val="16"/>
        </w:rPr>
        <w:lastRenderedPageBreak/>
        <w:t>запада. Противник упорно сопротивляется и цепляется за каждый рубеж, стремясь остановить наши наступающие части. Наряду с танковыми и пехотными дивизиями немцы бросают в бой запасные полки, части особого назначения, жандармские отряды, курсантов офицерских школ и другие подразделения. Наши войска, отбивая вражеские контратаки и отбрасывая противника, настойчиво продвигаются вперёд. Овладев пригородами, советские штурмовые группы ведут уличные бои в южной части города Вены. Заняты арсенал и другие опорные пункты немцев. В течение дня уничтожено до 3 тысяч солдат и офицеров противника. Советские лётчики уничтожили немецкий бронепоезд и эшелон с боеприпасами.</w:t>
      </w:r>
    </w:p>
    <w:p w14:paraId="221480DC" w14:textId="77777777" w:rsidR="00AE29CF" w:rsidRPr="00925F26" w:rsidRDefault="00AE29CF" w:rsidP="00925F26">
      <w:pPr>
        <w:jc w:val="both"/>
        <w:rPr>
          <w:color w:val="000000" w:themeColor="text1"/>
          <w:sz w:val="16"/>
          <w:szCs w:val="16"/>
        </w:rPr>
      </w:pPr>
      <w:r w:rsidRPr="00925F26">
        <w:rPr>
          <w:color w:val="000000" w:themeColor="text1"/>
          <w:sz w:val="16"/>
          <w:szCs w:val="16"/>
        </w:rPr>
        <w:t>Подразделение гвардии майора Ганзенко, обойдя сильно укреплённый опорный пункт немцев, с тыла атаковало вражеский гарнизон. В результате ожесточённого уличного боя советские гвардейцы разгромили противника и овладели опорным пунктом. В ходе боя уничтожено более роты гитлеровцев. Захвачено 17 зенитных орудий, 8 станковых пулемётов и склад с боеприпасами. Два наших танка с десантом автоматчиков под командой гвардии старшего сержанта Кузнецова переправились через реку и закрепились на её западном берегу. Отражая вражеские контратаки, советские бойцы уничтожили 2 немецких танка, самоходное орудие, бронетранспортёр и обеспечили переправу через реку своего батальона. Гвардейцы-автоматчики под командованием лейтенанта Данилова выбили немцев из одного населённого пункта. Автоматчики истребили большую группу гитлеровцев и взяли 70 пленных. Гвардии сержант Хорсов ночью подполз к вражескому бронетранспортёру, подорвал его гранатой, а затем уничтожил находившихся в бронетранспортёре немцев.</w:t>
      </w:r>
    </w:p>
    <w:p w14:paraId="07A03D62" w14:textId="77777777" w:rsidR="00AE29CF" w:rsidRPr="00925F26" w:rsidRDefault="00AE29CF"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потопила в Данцигской бухте немецкий эсминец и транспорт водоизмещением в 5 тысяч тонн. Кроме того, повреждены две быстроходные десантные баржи и один миноносец противника.» (15092).</w:t>
      </w:r>
    </w:p>
    <w:p w14:paraId="295F9AB1" w14:textId="77777777" w:rsidR="00AE29CF" w:rsidRPr="00925F26" w:rsidRDefault="00AE29CF" w:rsidP="00925F26">
      <w:pPr>
        <w:jc w:val="both"/>
        <w:rPr>
          <w:color w:val="000000" w:themeColor="text1"/>
          <w:sz w:val="16"/>
          <w:szCs w:val="16"/>
        </w:rPr>
      </w:pPr>
    </w:p>
    <w:p w14:paraId="53BE33B8" w14:textId="77777777" w:rsidR="00AE29CF" w:rsidRPr="00925F26" w:rsidRDefault="00AE29CF"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советские войска охватили Вену с востока, юга и запада (15092).</w:t>
      </w:r>
    </w:p>
    <w:p w14:paraId="42D2F542" w14:textId="77777777" w:rsidR="00AE29CF" w:rsidRPr="00925F26" w:rsidRDefault="00AE29CF" w:rsidP="00925F26">
      <w:pPr>
        <w:jc w:val="both"/>
        <w:rPr>
          <w:color w:val="000000" w:themeColor="text1"/>
          <w:sz w:val="16"/>
          <w:szCs w:val="16"/>
        </w:rPr>
      </w:pPr>
    </w:p>
    <w:p w14:paraId="3217AF8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7 1945 Russians enter Vienna (1037).</w:t>
      </w:r>
    </w:p>
    <w:p w14:paraId="51B5C3FB" w14:textId="77777777" w:rsidR="00665165" w:rsidRPr="00925F26" w:rsidRDefault="00665165" w:rsidP="00925F26">
      <w:pPr>
        <w:autoSpaceDE w:val="0"/>
        <w:autoSpaceDN w:val="0"/>
        <w:adjustRightInd w:val="0"/>
        <w:jc w:val="both"/>
        <w:rPr>
          <w:color w:val="000000" w:themeColor="text1"/>
          <w:sz w:val="16"/>
          <w:szCs w:val="16"/>
          <w:lang w:val="en-US"/>
        </w:rPr>
      </w:pPr>
    </w:p>
    <w:p w14:paraId="452C4A4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7 </w:t>
      </w:r>
      <w:r w:rsidRPr="00925F26">
        <w:rPr>
          <w:color w:val="000000" w:themeColor="text1"/>
          <w:sz w:val="16"/>
          <w:szCs w:val="16"/>
        </w:rPr>
        <w:t>апреля</w:t>
      </w:r>
      <w:r w:rsidRPr="00925F26">
        <w:rPr>
          <w:color w:val="000000" w:themeColor="text1"/>
          <w:sz w:val="16"/>
          <w:szCs w:val="16"/>
          <w:lang w:val="en-US"/>
        </w:rPr>
        <w:t xml:space="preserve"> 1945 </w:t>
      </w:r>
      <w:r w:rsidRPr="00925F26">
        <w:rPr>
          <w:color w:val="000000" w:themeColor="text1"/>
          <w:sz w:val="16"/>
          <w:szCs w:val="16"/>
        </w:rPr>
        <w:t>САвошлавВену</w:t>
      </w:r>
      <w:r w:rsidRPr="00925F26">
        <w:rPr>
          <w:color w:val="000000" w:themeColor="text1"/>
          <w:sz w:val="16"/>
          <w:szCs w:val="16"/>
          <w:lang w:val="en-US"/>
        </w:rPr>
        <w:t xml:space="preserve"> (1037).</w:t>
      </w:r>
    </w:p>
    <w:p w14:paraId="4F2A5451" w14:textId="77777777" w:rsidR="00665165" w:rsidRPr="00925F26" w:rsidRDefault="00665165" w:rsidP="00925F26">
      <w:pPr>
        <w:autoSpaceDE w:val="0"/>
        <w:autoSpaceDN w:val="0"/>
        <w:adjustRightInd w:val="0"/>
        <w:jc w:val="both"/>
        <w:rPr>
          <w:color w:val="000000" w:themeColor="text1"/>
          <w:sz w:val="16"/>
          <w:szCs w:val="16"/>
          <w:lang w:val="en-US"/>
        </w:rPr>
      </w:pPr>
    </w:p>
    <w:p w14:paraId="25F18F0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апреля 1945 советские войска окружили немцев в Вене (4962).</w:t>
      </w:r>
    </w:p>
    <w:p w14:paraId="3F09C79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3A5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года одна из батарей ИСУ 152 378-й гв. тсап в боях на Земландском полуострове в ходе Восточно-Прусской операции, построив свой боевой порядок веером (это обеспечивало полку обстрел в секторе 180° и более и облегчало борьбу с танками противника, атакующими с разных направлений) на фронте протяженностью 250 м, успешно отразила контратаку 30 танков противника, подбив 6 из них. Батарея потерь не понесла. Лишь две машины получили незначительные повреждения ходовой части. (3862).</w:t>
      </w:r>
    </w:p>
    <w:p w14:paraId="5AC7873C" w14:textId="77777777" w:rsidR="00665165" w:rsidRPr="00925F26" w:rsidRDefault="00665165" w:rsidP="00925F26">
      <w:pPr>
        <w:autoSpaceDE w:val="0"/>
        <w:autoSpaceDN w:val="0"/>
        <w:adjustRightInd w:val="0"/>
        <w:jc w:val="both"/>
        <w:rPr>
          <w:color w:val="000000" w:themeColor="text1"/>
          <w:sz w:val="16"/>
          <w:szCs w:val="16"/>
        </w:rPr>
      </w:pPr>
    </w:p>
    <w:p w14:paraId="339BFF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17 наиболее подготовленных экипажей приняли участие в дневном массированном налете на Кенигсберг (3322,49).</w:t>
      </w:r>
    </w:p>
    <w:p w14:paraId="0296A7BF" w14:textId="77777777" w:rsidR="00665165" w:rsidRPr="00925F26" w:rsidRDefault="00665165" w:rsidP="00925F26">
      <w:pPr>
        <w:autoSpaceDE w:val="0"/>
        <w:autoSpaceDN w:val="0"/>
        <w:adjustRightInd w:val="0"/>
        <w:jc w:val="both"/>
        <w:rPr>
          <w:color w:val="000000" w:themeColor="text1"/>
          <w:sz w:val="16"/>
          <w:szCs w:val="16"/>
        </w:rPr>
      </w:pPr>
    </w:p>
    <w:p w14:paraId="68AE04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самолеты 18ВА впервые за время войны действовали днем. Начало удара по Кенигсбергу наметили на 13:10. Привлекли для прикрытия 124 и фронтовой авиации, а 108 и патрулировали над городом. За 20 мин. до подхода 118 Ил-2 и Пе-2 подвергли ударам аэродромы противника. Шло 514 б в течение часа. Сбросили 3743 бомбы весом 550 т. Вернулись все. Потом опять пошли ш и фб. за этот день авиация выполнила 5000 вылетов и в ночь на 8 апреля - еще 2000 (340,203).</w:t>
      </w:r>
    </w:p>
    <w:p w14:paraId="76E80DD6" w14:textId="77777777" w:rsidR="00665165" w:rsidRPr="00925F26" w:rsidRDefault="00665165" w:rsidP="00925F26">
      <w:pPr>
        <w:autoSpaceDE w:val="0"/>
        <w:autoSpaceDN w:val="0"/>
        <w:adjustRightInd w:val="0"/>
        <w:jc w:val="both"/>
        <w:rPr>
          <w:color w:val="000000" w:themeColor="text1"/>
          <w:sz w:val="16"/>
          <w:szCs w:val="16"/>
        </w:rPr>
      </w:pPr>
    </w:p>
    <w:p w14:paraId="3F67B1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 апреля 1945 г. Ли-2 приняли участие в массированных налетах на Кенигсберг - единственной дневной операции АДД. Парадоксально, но тихоходный пассажирский самолет оказался неплохим бомбардировщиком. Этот успех был связан как с качествами самого Ли-2, так и с правильно выбранной тактикой его применения. Надежный, неприхотливый, устойчивый в полете самолет хорошо справлялся с задачей - доставить за 200-300 км от линии фронта тонну бомб (как правило, четыре ФАБ-250, реже две ФАБ-500) (3772).</w:t>
      </w:r>
    </w:p>
    <w:p w14:paraId="082442CE" w14:textId="77777777" w:rsidR="00665165" w:rsidRPr="00925F26" w:rsidRDefault="00665165" w:rsidP="00925F26">
      <w:pPr>
        <w:autoSpaceDE w:val="0"/>
        <w:autoSpaceDN w:val="0"/>
        <w:adjustRightInd w:val="0"/>
        <w:jc w:val="both"/>
        <w:rPr>
          <w:color w:val="000000" w:themeColor="text1"/>
          <w:sz w:val="16"/>
          <w:szCs w:val="16"/>
        </w:rPr>
      </w:pPr>
    </w:p>
    <w:p w14:paraId="6661EDC8" w14:textId="77777777" w:rsidR="003D79A1" w:rsidRPr="00925F26" w:rsidRDefault="003D79A1" w:rsidP="00925F26">
      <w:pPr>
        <w:jc w:val="both"/>
        <w:rPr>
          <w:color w:val="000000" w:themeColor="text1"/>
          <w:sz w:val="16"/>
          <w:szCs w:val="16"/>
        </w:rPr>
      </w:pPr>
      <w:r w:rsidRPr="00925F26">
        <w:rPr>
          <w:color w:val="000000" w:themeColor="text1"/>
          <w:sz w:val="16"/>
          <w:szCs w:val="16"/>
        </w:rPr>
        <w:t>7 апреля 1945 г. в 13.10 крепость Кенигсберг ата</w:t>
      </w:r>
      <w:r w:rsidRPr="00925F26">
        <w:rPr>
          <w:color w:val="000000" w:themeColor="text1"/>
          <w:sz w:val="16"/>
          <w:szCs w:val="16"/>
        </w:rPr>
        <w:softHyphen/>
        <w:t>ковали 514 дальних бомбардировщиков — и среди них Ил-4 19-го ГвБАП. Они без потерь сбросили 3743 бомбы общим ве</w:t>
      </w:r>
      <w:r w:rsidRPr="00925F26">
        <w:rPr>
          <w:color w:val="000000" w:themeColor="text1"/>
          <w:sz w:val="16"/>
          <w:szCs w:val="16"/>
        </w:rPr>
        <w:softHyphen/>
        <w:t>сом 550 т, на следующий день фронтовой и дальней авиацией было сброшено 1500 т бомб. Тяжелыми БетАБ-750, ФАБ-500 и ФАБ-1000 были проделаны проломы в стенах, пехота ворва</w:t>
      </w:r>
      <w:r w:rsidRPr="00925F26">
        <w:rPr>
          <w:color w:val="000000" w:themeColor="text1"/>
          <w:sz w:val="16"/>
          <w:szCs w:val="16"/>
        </w:rPr>
        <w:softHyphen/>
        <w:t>лась в город, и на следующий день Кенигсберг пал (24140).</w:t>
      </w:r>
    </w:p>
    <w:p w14:paraId="55EC04D2" w14:textId="77777777" w:rsidR="003D79A1" w:rsidRPr="00925F26" w:rsidRDefault="003D79A1" w:rsidP="00925F26">
      <w:pPr>
        <w:jc w:val="both"/>
        <w:rPr>
          <w:color w:val="000000" w:themeColor="text1"/>
          <w:sz w:val="16"/>
          <w:szCs w:val="16"/>
        </w:rPr>
      </w:pPr>
    </w:p>
    <w:p w14:paraId="61CA0B99" w14:textId="634C8C24" w:rsidR="007D191E" w:rsidRPr="00925F26" w:rsidRDefault="007D191E" w:rsidP="00925F26">
      <w:pPr>
        <w:jc w:val="both"/>
        <w:rPr>
          <w:color w:val="000000" w:themeColor="text1"/>
          <w:sz w:val="16"/>
          <w:szCs w:val="16"/>
          <w:lang w:val="en-US"/>
        </w:rPr>
      </w:pPr>
      <w:r w:rsidRPr="00925F26">
        <w:rPr>
          <w:color w:val="000000" w:themeColor="text1"/>
          <w:sz w:val="16"/>
          <w:szCs w:val="16"/>
        </w:rPr>
        <w:t xml:space="preserve">7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Самый мощный за годы войны бомбовой удар Советской авиации (по Кенигсбергу). Сброшено</w:t>
      </w:r>
      <w:r w:rsidRPr="00925F26">
        <w:rPr>
          <w:color w:val="000000" w:themeColor="text1"/>
          <w:sz w:val="16"/>
          <w:szCs w:val="16"/>
          <w:lang w:val="en-US"/>
        </w:rPr>
        <w:t xml:space="preserve"> 3743 </w:t>
      </w:r>
      <w:r w:rsidRPr="00925F26">
        <w:rPr>
          <w:color w:val="000000" w:themeColor="text1"/>
          <w:sz w:val="16"/>
          <w:szCs w:val="16"/>
        </w:rPr>
        <w:t>бомбы</w:t>
      </w:r>
      <w:r w:rsidRPr="00925F26">
        <w:rPr>
          <w:color w:val="000000" w:themeColor="text1"/>
          <w:sz w:val="16"/>
          <w:szCs w:val="16"/>
          <w:lang w:val="en-US"/>
        </w:rPr>
        <w:t xml:space="preserve"> </w:t>
      </w:r>
      <w:r w:rsidRPr="00925F26">
        <w:rPr>
          <w:color w:val="000000" w:themeColor="text1"/>
          <w:sz w:val="16"/>
          <w:szCs w:val="16"/>
        </w:rPr>
        <w:t>в</w:t>
      </w:r>
      <w:r w:rsidRPr="00925F26">
        <w:rPr>
          <w:color w:val="000000" w:themeColor="text1"/>
          <w:sz w:val="16"/>
          <w:szCs w:val="16"/>
          <w:lang w:val="en-US"/>
        </w:rPr>
        <w:t xml:space="preserve"> </w:t>
      </w:r>
      <w:r w:rsidRPr="00925F26">
        <w:rPr>
          <w:color w:val="000000" w:themeColor="text1"/>
          <w:sz w:val="16"/>
          <w:szCs w:val="16"/>
        </w:rPr>
        <w:t>том</w:t>
      </w:r>
      <w:r w:rsidRPr="00925F26">
        <w:rPr>
          <w:color w:val="000000" w:themeColor="text1"/>
          <w:sz w:val="16"/>
          <w:szCs w:val="16"/>
          <w:lang w:val="en-US"/>
        </w:rPr>
        <w:t xml:space="preserve"> </w:t>
      </w:r>
      <w:r w:rsidRPr="00925F26">
        <w:rPr>
          <w:color w:val="000000" w:themeColor="text1"/>
          <w:sz w:val="16"/>
          <w:szCs w:val="16"/>
        </w:rPr>
        <w:t>числе</w:t>
      </w:r>
      <w:r w:rsidRPr="00925F26">
        <w:rPr>
          <w:color w:val="000000" w:themeColor="text1"/>
          <w:sz w:val="16"/>
          <w:szCs w:val="16"/>
          <w:lang w:val="en-US"/>
        </w:rPr>
        <w:t xml:space="preserve"> </w:t>
      </w:r>
      <w:r w:rsidRPr="00925F26">
        <w:rPr>
          <w:color w:val="000000" w:themeColor="text1"/>
          <w:sz w:val="16"/>
          <w:szCs w:val="16"/>
        </w:rPr>
        <w:t>ФАБ</w:t>
      </w:r>
      <w:r w:rsidRPr="00925F26">
        <w:rPr>
          <w:color w:val="000000" w:themeColor="text1"/>
          <w:sz w:val="16"/>
          <w:szCs w:val="16"/>
          <w:lang w:val="en-US"/>
        </w:rPr>
        <w:t>-5000 (22543).</w:t>
      </w:r>
    </w:p>
    <w:p w14:paraId="1F2BC6A6" w14:textId="77777777" w:rsidR="007D191E" w:rsidRPr="00925F26" w:rsidRDefault="007D191E" w:rsidP="00925F26">
      <w:pPr>
        <w:jc w:val="both"/>
        <w:rPr>
          <w:color w:val="000000" w:themeColor="text1"/>
          <w:sz w:val="16"/>
          <w:szCs w:val="16"/>
          <w:lang w:val="en-US"/>
        </w:rPr>
      </w:pPr>
    </w:p>
    <w:p w14:paraId="7223910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7th, 1945: Preceded by a tremendous artillery and air bombardment, the 3rd Belorussian Front begins its final assault against Konigsberg. In the West, the US Ninth Army captures Hameln and Eisenach on the road to Leipzig (3819).</w:t>
      </w:r>
    </w:p>
    <w:p w14:paraId="597FC296" w14:textId="77777777" w:rsidR="00665165" w:rsidRPr="00925F26" w:rsidRDefault="00665165" w:rsidP="00925F26">
      <w:pPr>
        <w:autoSpaceDE w:val="0"/>
        <w:autoSpaceDN w:val="0"/>
        <w:adjustRightInd w:val="0"/>
        <w:jc w:val="both"/>
        <w:rPr>
          <w:color w:val="000000" w:themeColor="text1"/>
          <w:sz w:val="16"/>
          <w:szCs w:val="16"/>
          <w:lang w:val="en-US"/>
        </w:rPr>
      </w:pPr>
    </w:p>
    <w:p w14:paraId="1558D6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3БФ начал штурм Кенигсберга. 9А США заняла Хаммельн и Айзенах на пути к Лейпцигу (3819).</w:t>
      </w:r>
    </w:p>
    <w:p w14:paraId="0C3815D0" w14:textId="77777777" w:rsidR="00665165" w:rsidRPr="00925F26" w:rsidRDefault="00665165" w:rsidP="00925F26">
      <w:pPr>
        <w:autoSpaceDE w:val="0"/>
        <w:autoSpaceDN w:val="0"/>
        <w:adjustRightInd w:val="0"/>
        <w:jc w:val="both"/>
        <w:rPr>
          <w:color w:val="000000" w:themeColor="text1"/>
          <w:sz w:val="16"/>
          <w:szCs w:val="16"/>
        </w:rPr>
      </w:pPr>
    </w:p>
    <w:p w14:paraId="5EA976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7 по 11 апреля 1945 3 чехословацкий шап, оснащенный 33 Ил-2 и 2 Ил-2УТ перебазировался в Катовице в Польше. Оказалось, что поле слишком слабое для Ил-2 и шап перебазировался в Poremba в 20 км от линии фронта (241,39).</w:t>
      </w:r>
    </w:p>
    <w:p w14:paraId="26266261" w14:textId="77777777" w:rsidR="00665165" w:rsidRPr="00925F26" w:rsidRDefault="00665165" w:rsidP="00925F26">
      <w:pPr>
        <w:autoSpaceDE w:val="0"/>
        <w:autoSpaceDN w:val="0"/>
        <w:adjustRightInd w:val="0"/>
        <w:jc w:val="both"/>
        <w:rPr>
          <w:color w:val="000000" w:themeColor="text1"/>
          <w:sz w:val="16"/>
          <w:szCs w:val="16"/>
        </w:rPr>
      </w:pPr>
    </w:p>
    <w:p w14:paraId="2998DD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7 апреля 1945 г. первый боевой вылет совершили два полка из семи, вооруженных "Ерами" - 327-й и 329-й бапы. В этот день 17 наиболее подготовленных экипажей приняли участие в дневном массированном налете на Кенигсберг. Впоследствии бомбили Зееловские высоты и Берлин. Всего совершили 75 боевых </w:t>
      </w:r>
      <w:proofErr w:type="gramStart"/>
      <w:r w:rsidRPr="00925F26">
        <w:rPr>
          <w:color w:val="000000" w:themeColor="text1"/>
          <w:sz w:val="16"/>
          <w:szCs w:val="16"/>
        </w:rPr>
        <w:t>самолето-вылета</w:t>
      </w:r>
      <w:proofErr w:type="gramEnd"/>
      <w:r w:rsidRPr="00925F26">
        <w:rPr>
          <w:color w:val="000000" w:themeColor="text1"/>
          <w:sz w:val="16"/>
          <w:szCs w:val="16"/>
        </w:rPr>
        <w:t>. Боевые потери оказались небольшими: один самолет был подбит зенитками и совершил вынужденную посадку на своей территории, второй самолет (пилот Чернобой из 327-го бап) потерпел катастрофу при взлете из-за обстрела группой бандеровцев. От огня зенитной артиллерии получили повреждения еще 4 машины. Все остальные авиаполки Ер-2 в боевых действиях в годы Великой Отечественной войны участия не принимали. Нарком А.И. Шахурин в своей книге счел необходимым отметить факт участия дизельных Ер-2 в налетах на Берлин (8984).</w:t>
      </w:r>
    </w:p>
    <w:p w14:paraId="686931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отзывам летного и технического состава полков "материальная часть самолета Ер-2 показала себя надежной и простой в эксплуатации, однако она имела целый ряд конструктивных недоработок...". Важнейшим же недостатком машины специалисты ВВС считали низкую надежность моторов АЧ-30Б. Аварийность Ер-2 в строевых частях была довольно высокой. Немалая доля вины лежала на слабо подготовленных пилотах (8984).</w:t>
      </w:r>
    </w:p>
    <w:p w14:paraId="268AD028" w14:textId="77777777" w:rsidR="00665165" w:rsidRPr="00925F26" w:rsidRDefault="00665165" w:rsidP="00925F26">
      <w:pPr>
        <w:autoSpaceDE w:val="0"/>
        <w:autoSpaceDN w:val="0"/>
        <w:adjustRightInd w:val="0"/>
        <w:jc w:val="both"/>
        <w:rPr>
          <w:color w:val="000000" w:themeColor="text1"/>
          <w:sz w:val="16"/>
          <w:szCs w:val="16"/>
        </w:rPr>
      </w:pPr>
    </w:p>
    <w:p w14:paraId="366056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г. В.А. Теминым из 72-м орап со специального Пе-2, оборудованного 4-м местом и четырьмя дополнительными аппаратами для съемок Берлина, были сделаны снимки Берлина, которые потом обошли газеты всего мира (4476).</w:t>
      </w:r>
    </w:p>
    <w:p w14:paraId="28E794D6" w14:textId="77777777" w:rsidR="00665165" w:rsidRPr="00925F26" w:rsidRDefault="00665165" w:rsidP="00925F26">
      <w:pPr>
        <w:autoSpaceDE w:val="0"/>
        <w:autoSpaceDN w:val="0"/>
        <w:adjustRightInd w:val="0"/>
        <w:jc w:val="both"/>
        <w:rPr>
          <w:color w:val="000000" w:themeColor="text1"/>
          <w:sz w:val="16"/>
          <w:szCs w:val="16"/>
        </w:rPr>
      </w:pPr>
    </w:p>
    <w:p w14:paraId="57459A6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4403D67" w14:textId="77777777" w:rsidR="00665165" w:rsidRPr="00925F26" w:rsidRDefault="00665165" w:rsidP="00925F26">
      <w:pPr>
        <w:autoSpaceDE w:val="0"/>
        <w:autoSpaceDN w:val="0"/>
        <w:adjustRightInd w:val="0"/>
        <w:jc w:val="both"/>
        <w:rPr>
          <w:iCs/>
          <w:color w:val="000000" w:themeColor="text1"/>
          <w:sz w:val="16"/>
          <w:szCs w:val="16"/>
        </w:rPr>
      </w:pPr>
    </w:p>
    <w:p w14:paraId="4F805ACE" w14:textId="77777777" w:rsidR="00DE25E5" w:rsidRPr="00925F26" w:rsidRDefault="00DE25E5"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(7-8 апреля) нападение немецких быстроходных катеров на английский конвой у бельгийского побережья (15092).</w:t>
      </w:r>
    </w:p>
    <w:p w14:paraId="0A286822" w14:textId="77777777" w:rsidR="00DE25E5" w:rsidRPr="00925F26" w:rsidRDefault="00DE25E5" w:rsidP="00925F26">
      <w:pPr>
        <w:jc w:val="both"/>
        <w:rPr>
          <w:color w:val="000000" w:themeColor="text1"/>
          <w:sz w:val="16"/>
          <w:szCs w:val="16"/>
        </w:rPr>
      </w:pPr>
    </w:p>
    <w:p w14:paraId="4B2F84EB" w14:textId="77777777" w:rsidR="00DE25E5" w:rsidRPr="00925F26" w:rsidRDefault="00DE25E5"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впервые самолёты </w:t>
      </w:r>
      <w:hyperlink r:id="rId100" w:tgtFrame="_blank" w:history="1">
        <w:r w:rsidRPr="00925F26">
          <w:rPr>
            <w:color w:val="000000" w:themeColor="text1"/>
            <w:sz w:val="16"/>
            <w:szCs w:val="16"/>
          </w:rPr>
          <w:t xml:space="preserve">«P-51D» «Mustang» </w:t>
        </w:r>
      </w:hyperlink>
      <w:r w:rsidRPr="00925F26">
        <w:rPr>
          <w:color w:val="000000" w:themeColor="text1"/>
          <w:sz w:val="16"/>
          <w:szCs w:val="16"/>
        </w:rPr>
        <w:t>использовались в качестве эскортных истребителей при налетах на Японию. В этот раз они сопровождали «В-29» в ходе налёта на заводы «Nakajima Aircraft Engine Factory» в районе Токио. Подобные вылеты занимали от семи до восьми часов (15092).</w:t>
      </w:r>
    </w:p>
    <w:p w14:paraId="790AF76C" w14:textId="77777777" w:rsidR="00DE25E5" w:rsidRPr="00925F26" w:rsidRDefault="00DE25E5" w:rsidP="00925F26">
      <w:pPr>
        <w:jc w:val="both"/>
        <w:rPr>
          <w:color w:val="000000" w:themeColor="text1"/>
          <w:sz w:val="16"/>
          <w:szCs w:val="16"/>
        </w:rPr>
      </w:pPr>
    </w:p>
    <w:p w14:paraId="0134BFB6" w14:textId="77777777" w:rsidR="007D191E" w:rsidRPr="00925F26" w:rsidRDefault="007D191E" w:rsidP="00925F26">
      <w:pPr>
        <w:jc w:val="both"/>
        <w:rPr>
          <w:color w:val="000000" w:themeColor="text1"/>
          <w:sz w:val="16"/>
          <w:szCs w:val="16"/>
        </w:rPr>
      </w:pPr>
      <w:r w:rsidRPr="00925F26">
        <w:rPr>
          <w:color w:val="000000" w:themeColor="text1"/>
          <w:sz w:val="16"/>
          <w:szCs w:val="16"/>
        </w:rPr>
        <w:t>7 апреля 1945 сопровождающие B-29 Superfortress, P-51 Mustang 15 - й, 21-й и 506 - й истребительных групп ВВС США, базирующихся на Иводзиме, становятся первыми истребителями союзников, которые сопровождают бомбардировщики до Токио, Япония, и обратно. Полеты сопровождения длятся от семи до восьми часов. Пятьдесят четыре B-29 приземляются на Иводзиме в течение дня (20371).</w:t>
      </w:r>
    </w:p>
    <w:p w14:paraId="5FAB6941" w14:textId="77777777" w:rsidR="007D191E" w:rsidRPr="00925F26" w:rsidRDefault="007D191E" w:rsidP="00925F26">
      <w:pPr>
        <w:jc w:val="both"/>
        <w:rPr>
          <w:color w:val="000000" w:themeColor="text1"/>
          <w:sz w:val="16"/>
          <w:szCs w:val="16"/>
        </w:rPr>
      </w:pPr>
    </w:p>
    <w:p w14:paraId="4DF1CF09" w14:textId="77777777" w:rsidR="007D191E" w:rsidRPr="00925F26" w:rsidRDefault="007D191E" w:rsidP="00925F26">
      <w:pPr>
        <w:jc w:val="both"/>
        <w:rPr>
          <w:color w:val="000000" w:themeColor="text1"/>
          <w:sz w:val="16"/>
          <w:szCs w:val="16"/>
        </w:rPr>
      </w:pPr>
      <w:r w:rsidRPr="00925F26">
        <w:rPr>
          <w:color w:val="000000" w:themeColor="text1"/>
          <w:sz w:val="16"/>
          <w:szCs w:val="16"/>
        </w:rPr>
        <w:t>7 апреля 1945 386 самолетов авиапносцев оперативной группы 58 атакуют оперативную группу Императорского флота Японии, направляющуюся на Окинаву, пока она движется в Восточно-Китайском море, потопив линкор Yamato, легкий крейсер Yahagi и четыре из восьми эсминцев сопровождения. Этим завершается последний боевой выход японских надводных кораблей Второй мировой войны (20371).</w:t>
      </w:r>
    </w:p>
    <w:p w14:paraId="50A06B34" w14:textId="77777777" w:rsidR="007D191E" w:rsidRPr="00925F26" w:rsidRDefault="007D191E" w:rsidP="00925F26">
      <w:pPr>
        <w:jc w:val="both"/>
        <w:rPr>
          <w:color w:val="000000" w:themeColor="text1"/>
          <w:sz w:val="16"/>
          <w:szCs w:val="16"/>
        </w:rPr>
      </w:pPr>
    </w:p>
    <w:p w14:paraId="34C2D21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апреля 1945 у острова Окинава 280 американских самолетов затопили самый большой в мире линкор “Ямато” (Япония) (4962).</w:t>
      </w:r>
    </w:p>
    <w:p w14:paraId="310266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24A0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апреля 1945 крупнейший линкор Японии Ямато подвергся атаке 280 американских самолетов и после попадания 10 торпед и 23 бомб затонул у Окинавы.</w:t>
      </w:r>
    </w:p>
    <w:p w14:paraId="4C1E51AB" w14:textId="77777777" w:rsidR="00665165" w:rsidRPr="00925F26" w:rsidRDefault="00665165" w:rsidP="00925F26">
      <w:pPr>
        <w:autoSpaceDE w:val="0"/>
        <w:autoSpaceDN w:val="0"/>
        <w:adjustRightInd w:val="0"/>
        <w:jc w:val="both"/>
        <w:rPr>
          <w:iCs/>
          <w:color w:val="000000" w:themeColor="text1"/>
          <w:sz w:val="16"/>
          <w:szCs w:val="16"/>
        </w:rPr>
      </w:pPr>
    </w:p>
    <w:p w14:paraId="422FF99E" w14:textId="77777777" w:rsidR="00DE25E5" w:rsidRPr="00925F26" w:rsidRDefault="00DE25E5" w:rsidP="00925F26">
      <w:pPr>
        <w:jc w:val="both"/>
        <w:rPr>
          <w:color w:val="000000" w:themeColor="text1"/>
          <w:sz w:val="16"/>
          <w:szCs w:val="16"/>
        </w:rPr>
      </w:pPr>
      <w:r w:rsidRPr="00925F26">
        <w:rPr>
          <w:bCs/>
          <w:color w:val="000000" w:themeColor="text1"/>
          <w:sz w:val="16"/>
          <w:szCs w:val="16"/>
        </w:rPr>
        <w:lastRenderedPageBreak/>
        <w:t>7 апреля</w:t>
      </w:r>
      <w:r w:rsidRPr="00925F26">
        <w:rPr>
          <w:color w:val="000000" w:themeColor="text1"/>
          <w:sz w:val="16"/>
          <w:szCs w:val="16"/>
        </w:rPr>
        <w:t xml:space="preserve"> в 1945 году в 130 милях юго-западнее Кагосимы подвергся атаке американской палубной авиации и затонул крупнейший линкор Второй Мировой войны - японский "Ямато". В трех налетах на "Ямато" участвовали в общей сложности до 400 самолетов, в линкор попало 9 бомб и 10-13 торпед. При этом было потеряно 5 самолетов, потери "Ямато" - около 2500 из 2800 членов экипажа (15092).</w:t>
      </w:r>
    </w:p>
    <w:p w14:paraId="4587FCD6" w14:textId="77777777" w:rsidR="00DE25E5" w:rsidRPr="00925F26" w:rsidRDefault="00DE25E5" w:rsidP="00925F26">
      <w:pPr>
        <w:jc w:val="both"/>
        <w:rPr>
          <w:color w:val="000000" w:themeColor="text1"/>
          <w:sz w:val="16"/>
          <w:szCs w:val="16"/>
        </w:rPr>
      </w:pPr>
    </w:p>
    <w:p w14:paraId="0CFB80CD" w14:textId="77777777" w:rsidR="00DE25E5" w:rsidRPr="00925F26" w:rsidRDefault="00DE25E5"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торпедоносцы «TBM-3» «Avenger» и бомбардировщики «SB2C-4» «Helldiver» отправили на дно второй японский суперлинкор – </w:t>
      </w:r>
      <w:hyperlink r:id="rId101" w:tgtFrame="_blank" w:history="1">
        <w:r w:rsidRPr="00925F26">
          <w:rPr>
            <w:color w:val="000000" w:themeColor="text1"/>
            <w:sz w:val="16"/>
            <w:szCs w:val="16"/>
          </w:rPr>
          <w:t xml:space="preserve">«Ямато». </w:t>
        </w:r>
      </w:hyperlink>
      <w:r w:rsidRPr="00925F26">
        <w:rPr>
          <w:color w:val="000000" w:themeColor="text1"/>
          <w:sz w:val="16"/>
          <w:szCs w:val="16"/>
        </w:rPr>
        <w:t>В операции участвовали в общем счёте 386 самолётов, из них более 200 пикировщиков и торпедоносцев. Атаки продолжались около часа, причем самолётов на одну цель оказалось так много, что некоторым экипажам пришлось долго ждать своей очереди. За это время «Ямато» получил восемь торпед в левый борт, одну - в правый и четыре попадания 1000-фунтовыми бомбами. Японским зенитчикам удалось сбить четыре «Хеллдайвера», три "Эвенджера" и три истребителя «Хеллкэт». В 14.23 на линкоре взорвались боеприпасы, после чего он быстро перевернулся и затонул. Из 2500 человек команды спаслось только 270. Судьбу "короля" разделила его "свита": одновременно с "Ямато" американцы потопили три из шести сопровождавших его эсминцев и лёгкий крейсер «Яхаги» (15092).</w:t>
      </w:r>
    </w:p>
    <w:p w14:paraId="2788F0E5" w14:textId="77777777" w:rsidR="00DE25E5" w:rsidRPr="00925F26" w:rsidRDefault="00DE25E5" w:rsidP="00925F26">
      <w:pPr>
        <w:jc w:val="both"/>
        <w:rPr>
          <w:color w:val="000000" w:themeColor="text1"/>
          <w:sz w:val="16"/>
          <w:szCs w:val="16"/>
        </w:rPr>
      </w:pPr>
    </w:p>
    <w:p w14:paraId="4B8E526A" w14:textId="77777777" w:rsidR="00DE25E5" w:rsidRPr="00925F26" w:rsidRDefault="00DE25E5" w:rsidP="00925F26">
      <w:pPr>
        <w:jc w:val="both"/>
        <w:rPr>
          <w:color w:val="000000" w:themeColor="text1"/>
          <w:sz w:val="16"/>
          <w:szCs w:val="16"/>
        </w:rPr>
      </w:pPr>
      <w:r w:rsidRPr="00925F26">
        <w:rPr>
          <w:bCs/>
          <w:color w:val="000000" w:themeColor="text1"/>
          <w:sz w:val="16"/>
          <w:szCs w:val="16"/>
        </w:rPr>
        <w:t>7 апреля</w:t>
      </w:r>
      <w:r w:rsidRPr="00925F26">
        <w:rPr>
          <w:color w:val="000000" w:themeColor="text1"/>
          <w:sz w:val="16"/>
          <w:szCs w:val="16"/>
        </w:rPr>
        <w:t xml:space="preserve"> в 1945 году сопровождавшаяся самопожертвованием атака боевой группы японского флота на Окинаву отбита американским соединением «Task Force-38» (15092).</w:t>
      </w:r>
    </w:p>
    <w:p w14:paraId="2DFC8274" w14:textId="77777777" w:rsidR="00DE25E5" w:rsidRPr="00925F26" w:rsidRDefault="00DE25E5" w:rsidP="00925F26">
      <w:pPr>
        <w:jc w:val="both"/>
        <w:rPr>
          <w:color w:val="000000" w:themeColor="text1"/>
          <w:sz w:val="16"/>
          <w:szCs w:val="16"/>
        </w:rPr>
      </w:pPr>
    </w:p>
    <w:p w14:paraId="4B255CB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3633B6F" w14:textId="77777777" w:rsidR="00665165" w:rsidRPr="00925F26" w:rsidRDefault="00665165" w:rsidP="00925F26">
      <w:pPr>
        <w:autoSpaceDE w:val="0"/>
        <w:autoSpaceDN w:val="0"/>
        <w:adjustRightInd w:val="0"/>
        <w:jc w:val="both"/>
        <w:rPr>
          <w:iCs/>
          <w:color w:val="000000" w:themeColor="text1"/>
          <w:sz w:val="16"/>
          <w:szCs w:val="16"/>
        </w:rPr>
      </w:pPr>
    </w:p>
    <w:p w14:paraId="40EC18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закончились гос. испытания модифицированного (управление винтом и мотором) Ла-7 АШ-82ФН-ВГ N 38101356 производства 381 завода после, которые проводились с 2е февраля 1945 с перерывами (744,1).</w:t>
      </w:r>
    </w:p>
    <w:p w14:paraId="3C800D2C" w14:textId="77777777" w:rsidR="00665165" w:rsidRPr="00925F26" w:rsidRDefault="00665165" w:rsidP="00925F26">
      <w:pPr>
        <w:autoSpaceDE w:val="0"/>
        <w:autoSpaceDN w:val="0"/>
        <w:adjustRightInd w:val="0"/>
        <w:jc w:val="both"/>
        <w:rPr>
          <w:color w:val="000000" w:themeColor="text1"/>
          <w:sz w:val="16"/>
          <w:szCs w:val="16"/>
        </w:rPr>
      </w:pPr>
    </w:p>
    <w:p w14:paraId="17861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закончились возобновленные 20 марта 1945, прерванные с 25 февраля 1945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w:t>
      </w:r>
    </w:p>
    <w:p w14:paraId="0EAA6E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выполнено 24 полета с налетом 15:40</w:t>
      </w:r>
    </w:p>
    <w:p w14:paraId="3B6D89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Вед. Ии ли и Л.А.Радионов</w:t>
      </w:r>
    </w:p>
    <w:p w14:paraId="7448AC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и-м Д.Г.Пикуленко</w:t>
      </w:r>
    </w:p>
    <w:p w14:paraId="231E3D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5A26CC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1D7384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73AD59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надежности работы провести войсковые испытания (20 с-тов)</w:t>
      </w:r>
    </w:p>
    <w:p w14:paraId="5C4EF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5CE1A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июле 1944 испытавался во 2у ГК НИИ ВВС на с-та Ла-5 № 1618 вновь удовлетворительно</w:t>
      </w:r>
    </w:p>
    <w:p w14:paraId="5911D3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Отмечено, что значительно облегчает управление ВМГ</w:t>
      </w:r>
    </w:p>
    <w:p w14:paraId="1BF88A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8D47E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7B077D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АРТЦ-43 - был изготовлен в опытном экз. В 1943 заводом № 194 НКАП согласно плану опытных работ ВВС КА</w:t>
      </w:r>
    </w:p>
    <w:p w14:paraId="695FC9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1ABE0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06E309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4EEAAA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BADCD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75BD05EA" w14:textId="77777777" w:rsidR="00665165" w:rsidRPr="00925F26" w:rsidRDefault="00665165" w:rsidP="00925F26">
      <w:pPr>
        <w:autoSpaceDE w:val="0"/>
        <w:autoSpaceDN w:val="0"/>
        <w:adjustRightInd w:val="0"/>
        <w:jc w:val="both"/>
        <w:rPr>
          <w:color w:val="000000" w:themeColor="text1"/>
          <w:sz w:val="16"/>
          <w:szCs w:val="16"/>
        </w:rPr>
      </w:pPr>
    </w:p>
    <w:p w14:paraId="6F98D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в третьем полете И-250 включили ВРД и на пикировании довели скорость до 710 км/час. Течь радиатора и отправили на завод № 124 (6471, 7).</w:t>
      </w:r>
    </w:p>
    <w:p w14:paraId="557EB6B5" w14:textId="77777777" w:rsidR="00665165" w:rsidRPr="00925F26" w:rsidRDefault="00665165" w:rsidP="00925F26">
      <w:pPr>
        <w:autoSpaceDE w:val="0"/>
        <w:autoSpaceDN w:val="0"/>
        <w:adjustRightInd w:val="0"/>
        <w:jc w:val="both"/>
        <w:rPr>
          <w:color w:val="000000" w:themeColor="text1"/>
          <w:sz w:val="16"/>
          <w:szCs w:val="16"/>
        </w:rPr>
      </w:pPr>
    </w:p>
    <w:p w14:paraId="79342560" w14:textId="77777777" w:rsidR="00DE25E5" w:rsidRPr="00925F26" w:rsidRDefault="00DE25E5" w:rsidP="00925F26">
      <w:pPr>
        <w:jc w:val="both"/>
        <w:rPr>
          <w:color w:val="000000" w:themeColor="text1"/>
          <w:sz w:val="16"/>
          <w:szCs w:val="16"/>
        </w:rPr>
      </w:pPr>
      <w:r w:rsidRPr="00925F26">
        <w:rPr>
          <w:bCs/>
          <w:color w:val="000000" w:themeColor="text1"/>
          <w:sz w:val="16"/>
          <w:szCs w:val="16"/>
        </w:rPr>
        <w:t>8 апреля</w:t>
      </w:r>
      <w:r w:rsidRPr="00925F26">
        <w:rPr>
          <w:color w:val="000000" w:themeColor="text1"/>
          <w:sz w:val="16"/>
          <w:szCs w:val="16"/>
        </w:rPr>
        <w:t xml:space="preserve"> в 1945 году в третьем полете на «И-250» опробовали ВРДК (воздушно-реактивный с компрессором двигатель.). При этом на пикировании максимальную скорость довели до 710 км/ч по прибору на высоте 5000 м. Однако обнаруженная течь маслорадиатора вынудила снять его с самолета и отправить на завод №124 для устранения дефекта (15093).</w:t>
      </w:r>
    </w:p>
    <w:p w14:paraId="608ADC18" w14:textId="77777777" w:rsidR="00DE25E5" w:rsidRPr="00925F26" w:rsidRDefault="00DE25E5" w:rsidP="00925F26">
      <w:pPr>
        <w:jc w:val="both"/>
        <w:rPr>
          <w:color w:val="000000" w:themeColor="text1"/>
          <w:sz w:val="16"/>
          <w:szCs w:val="16"/>
        </w:rPr>
      </w:pPr>
    </w:p>
    <w:p w14:paraId="6370AF1D" w14:textId="77777777" w:rsidR="003D79A1" w:rsidRPr="00925F26" w:rsidRDefault="003D79A1" w:rsidP="00925F26">
      <w:pPr>
        <w:jc w:val="both"/>
        <w:rPr>
          <w:color w:val="000000" w:themeColor="text1"/>
          <w:sz w:val="16"/>
          <w:szCs w:val="16"/>
        </w:rPr>
      </w:pPr>
      <w:r w:rsidRPr="00925F26">
        <w:rPr>
          <w:color w:val="000000" w:themeColor="text1"/>
          <w:sz w:val="16"/>
          <w:szCs w:val="16"/>
        </w:rPr>
        <w:t>8 апреля 1945 г. в третьем полете на И-250 опробовали ВРДК, при этом летчик на пикировании довел скорость до 710 км/ч по прибору на высоте 5000 метров. Еже</w:t>
      </w:r>
      <w:r w:rsidRPr="00925F26">
        <w:rPr>
          <w:color w:val="000000" w:themeColor="text1"/>
          <w:sz w:val="16"/>
          <w:szCs w:val="16"/>
        </w:rPr>
        <w:softHyphen/>
        <w:t>дневные сводки о ходе испытаний, по</w:t>
      </w:r>
      <w:r w:rsidRPr="00925F26">
        <w:rPr>
          <w:color w:val="000000" w:themeColor="text1"/>
          <w:sz w:val="16"/>
          <w:szCs w:val="16"/>
        </w:rPr>
        <w:softHyphen/>
        <w:t>ступавшие в НКАП, свидетельствуют о том, что испытания шли трудно и сопро</w:t>
      </w:r>
      <w:r w:rsidRPr="00925F26">
        <w:rPr>
          <w:color w:val="000000" w:themeColor="text1"/>
          <w:sz w:val="16"/>
          <w:szCs w:val="16"/>
        </w:rPr>
        <w:softHyphen/>
        <w:t>вождались всевозможными отказами. От</w:t>
      </w:r>
      <w:r w:rsidRPr="00925F26">
        <w:rPr>
          <w:color w:val="000000" w:themeColor="text1"/>
          <w:sz w:val="16"/>
          <w:szCs w:val="16"/>
        </w:rPr>
        <w:softHyphen/>
        <w:t>работка силовой установки и устранение дефектов отнимали очень много времени (23462).</w:t>
      </w:r>
    </w:p>
    <w:p w14:paraId="74FAC85E" w14:textId="77777777" w:rsidR="003D79A1" w:rsidRPr="00925F26" w:rsidRDefault="003D79A1" w:rsidP="00925F26">
      <w:pPr>
        <w:jc w:val="both"/>
        <w:rPr>
          <w:color w:val="000000" w:themeColor="text1"/>
          <w:sz w:val="16"/>
          <w:szCs w:val="16"/>
        </w:rPr>
      </w:pPr>
    </w:p>
    <w:p w14:paraId="4AC93236" w14:textId="77777777" w:rsidR="002D4CA3" w:rsidRPr="001A0BAA" w:rsidRDefault="002D4CA3" w:rsidP="002D4CA3">
      <w:pPr>
        <w:widowControl w:val="0"/>
        <w:tabs>
          <w:tab w:val="left" w:pos="350"/>
        </w:tabs>
        <w:jc w:val="both"/>
        <w:rPr>
          <w:color w:val="0070C0"/>
          <w:sz w:val="16"/>
          <w:szCs w:val="16"/>
        </w:rPr>
      </w:pPr>
      <w:r w:rsidRPr="001A0BAA">
        <w:rPr>
          <w:color w:val="0070C0"/>
          <w:sz w:val="16"/>
          <w:szCs w:val="16"/>
        </w:rPr>
        <w:t>8 апреля 1945 г. в третьем полёте на И-250 запустили ВРДК: на пикировании самолёт развил максимальную скорость 710 км/ч по прибору на высоте 5000 м. Однако несмотря на периодические успехи в испытаниях, с ещё большей периодичностью происходили всякого рода поломки (24925).</w:t>
      </w:r>
    </w:p>
    <w:p w14:paraId="23982D11" w14:textId="77777777" w:rsidR="002D4CA3" w:rsidRPr="001A0BAA" w:rsidRDefault="002D4CA3" w:rsidP="002D4CA3">
      <w:pPr>
        <w:jc w:val="both"/>
        <w:rPr>
          <w:color w:val="0070C0"/>
          <w:sz w:val="16"/>
          <w:szCs w:val="16"/>
        </w:rPr>
      </w:pPr>
    </w:p>
    <w:p w14:paraId="4A2A674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7C7D69E" w14:textId="77777777" w:rsidR="00665165" w:rsidRPr="00925F26" w:rsidRDefault="00665165" w:rsidP="00925F26">
      <w:pPr>
        <w:autoSpaceDE w:val="0"/>
        <w:autoSpaceDN w:val="0"/>
        <w:adjustRightInd w:val="0"/>
        <w:jc w:val="both"/>
        <w:rPr>
          <w:iCs/>
          <w:color w:val="000000" w:themeColor="text1"/>
          <w:sz w:val="16"/>
          <w:szCs w:val="16"/>
        </w:rPr>
      </w:pPr>
    </w:p>
    <w:p w14:paraId="28815978" w14:textId="77777777" w:rsidR="00DE25E5" w:rsidRPr="00925F26" w:rsidRDefault="00DE25E5" w:rsidP="00925F26">
      <w:pPr>
        <w:jc w:val="both"/>
        <w:rPr>
          <w:color w:val="000000" w:themeColor="text1"/>
          <w:sz w:val="16"/>
          <w:szCs w:val="16"/>
        </w:rPr>
      </w:pPr>
      <w:r w:rsidRPr="00925F26">
        <w:rPr>
          <w:bCs/>
          <w:color w:val="000000" w:themeColor="text1"/>
          <w:sz w:val="16"/>
          <w:szCs w:val="16"/>
        </w:rPr>
        <w:t>8 апреля</w:t>
      </w:r>
      <w:r w:rsidRPr="00925F26">
        <w:rPr>
          <w:color w:val="000000" w:themeColor="text1"/>
          <w:sz w:val="16"/>
          <w:szCs w:val="16"/>
        </w:rPr>
        <w:t xml:space="preserve"> в 1945 году оперативная сводка Совинформбюро:</w:t>
      </w:r>
    </w:p>
    <w:p w14:paraId="055223EB" w14:textId="77777777" w:rsidR="00DE25E5" w:rsidRPr="00925F26" w:rsidRDefault="00DE25E5" w:rsidP="00925F26">
      <w:pPr>
        <w:jc w:val="both"/>
        <w:rPr>
          <w:color w:val="000000" w:themeColor="text1"/>
          <w:sz w:val="16"/>
          <w:szCs w:val="16"/>
        </w:rPr>
      </w:pPr>
      <w:r w:rsidRPr="00925F26">
        <w:rPr>
          <w:color w:val="000000" w:themeColor="text1"/>
          <w:sz w:val="16"/>
          <w:szCs w:val="16"/>
        </w:rPr>
        <w:t>«Сегодня наши войска начали штурм города и крепости Кенигсберг. За день ожесточённых боёв войска 3-го Белорусского фронта, наступающие на Кенигсберг с северо-запада, прорвали внешний обвод крепостных позиций и заняли городские районы Йудиттен, Лавскен, Ратсхоф, Амалиенау, Пальфе. Войска фронта, наступающие на город с юга, заняли городские районы Шенфлис, Шпайхерсдорф, Понарт, Нассер Гартен, Континен, Главный вокзал, Кенигсбергский порт и, форсировав реку Прегель, заняли городской район Коссе, где соединились с войсками, наступающими на Кенигсберг с северо-запада. Тем самым войска фронта завершили окружение значительной группы войск противника, обороняющего город и крепость Кенигсберг. За день боя войска фронта взяли в плен свыше 15.000 немецких солдат и офицеров.</w:t>
      </w:r>
    </w:p>
    <w:p w14:paraId="3B38A13F" w14:textId="77777777" w:rsidR="00DE25E5" w:rsidRPr="00925F26" w:rsidRDefault="00DE25E5" w:rsidP="00925F26">
      <w:pPr>
        <w:jc w:val="both"/>
        <w:rPr>
          <w:color w:val="000000" w:themeColor="text1"/>
          <w:sz w:val="16"/>
          <w:szCs w:val="16"/>
        </w:rPr>
      </w:pPr>
      <w:r w:rsidRPr="00925F26">
        <w:rPr>
          <w:color w:val="000000" w:themeColor="text1"/>
          <w:sz w:val="16"/>
          <w:szCs w:val="16"/>
        </w:rPr>
        <w:t>В районе Бреслау продолжались бои по уничтожению окружённой группировки противника.</w:t>
      </w:r>
    </w:p>
    <w:p w14:paraId="068ED48B" w14:textId="77777777" w:rsidR="00DE25E5" w:rsidRPr="00925F26" w:rsidRDefault="00DE25E5" w:rsidP="00925F26">
      <w:pPr>
        <w:jc w:val="both"/>
        <w:rPr>
          <w:color w:val="000000" w:themeColor="text1"/>
          <w:sz w:val="16"/>
          <w:szCs w:val="16"/>
        </w:rPr>
      </w:pPr>
      <w:r w:rsidRPr="00925F26">
        <w:rPr>
          <w:color w:val="000000" w:themeColor="text1"/>
          <w:sz w:val="16"/>
          <w:szCs w:val="16"/>
        </w:rPr>
        <w:t>Северо-восточнее и севернее Братиславы войска 2-го Украинского фронта, продолжая наступление, заняли на территории Чехословакии более 60 населённых пунктов, в числе которых крупные населённые пункты Правно, Гайдел, Тужина, Слатина, Ястребье, Долны Вихон, Миява, Кунов, Ковалев, Унин, Гбели, Бродске. Одновременно войска фронта, форсировав реки Морава и Дунай северо-западнее и западнее Братиславы, захватили плацдарм с населёнными пунктами Ангерн, Баумгартен, Мархегг, Марктхоф, Энгельхартштеттен, Лоймерсдорф, Копфштеттен, Пфрама, Экартзау и вели бои по расширению захваченного плацдарма. В боях за 7 апреля войска фронта взяли в плен более 2.300 солдат и офицеров противника.</w:t>
      </w:r>
    </w:p>
    <w:p w14:paraId="307C8621" w14:textId="77777777" w:rsidR="00DE25E5" w:rsidRPr="00925F26" w:rsidRDefault="00DE25E5" w:rsidP="00925F26">
      <w:pPr>
        <w:jc w:val="both"/>
        <w:rPr>
          <w:color w:val="000000" w:themeColor="text1"/>
          <w:sz w:val="16"/>
          <w:szCs w:val="16"/>
        </w:rPr>
      </w:pPr>
      <w:r w:rsidRPr="00925F26">
        <w:rPr>
          <w:color w:val="000000" w:themeColor="text1"/>
          <w:sz w:val="16"/>
          <w:szCs w:val="16"/>
        </w:rPr>
        <w:t>В районе Вены войска 3-го Украинского фронта, продолжая наступление, заняли города Тулльн, Ной-Ленгбах, крупные населённые пункты Юденау, Зигхартскирхен, Раппольтенкирхен, Алланд и вели успешные уличные бои в южной и западной частях города Вены, заняв при этом арсенал, восточный, южный и западный вокзалы. Одновременно южнее и юго-западнее города Винер Нойштадт войска фронта с боями заняли на территории Австрии более 80 населённых пунктов, среди которых крупные населённые пункты Кирхберг, Аспанг, Менихкирхен, Менихвальд, Фридберг, Пинкэфельд, Оберварт, Грофспетерсдорф, Мошендорф. В боях за 7 апреля войска фронта взяли в плен свыше 5.000 солдат и офицеров противника и захватили следующие трофеи: самолётов — 8, танков и самоходных орудий—32, полевых орудий—107, пулемётов—190, автомашин—свыше 300, паровозов–14, вагонов—1.058.</w:t>
      </w:r>
    </w:p>
    <w:p w14:paraId="34326B38" w14:textId="77777777" w:rsidR="00DE25E5" w:rsidRPr="00925F26" w:rsidRDefault="00DE25E5"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0D4804E9" w14:textId="77777777" w:rsidR="00DE25E5" w:rsidRPr="00925F26" w:rsidRDefault="00DE25E5" w:rsidP="00925F26">
      <w:pPr>
        <w:jc w:val="both"/>
        <w:rPr>
          <w:color w:val="000000" w:themeColor="text1"/>
          <w:sz w:val="16"/>
          <w:szCs w:val="16"/>
        </w:rPr>
      </w:pPr>
      <w:r w:rsidRPr="00925F26">
        <w:rPr>
          <w:color w:val="000000" w:themeColor="text1"/>
          <w:sz w:val="16"/>
          <w:szCs w:val="16"/>
        </w:rPr>
        <w:t>За 7 апреля на всех фронтах подбито и уничтожено 60 немецких танков и самоходных орудий. В воздушных боях и огнём зенитной артиллерии сбито 38 самолётов противника. Кроме того, 50 самолётов уничтожено на аэродромах в районах Кенигсберга и Пиллау.</w:t>
      </w:r>
    </w:p>
    <w:p w14:paraId="1EF10FA6" w14:textId="77777777" w:rsidR="00DE25E5" w:rsidRPr="00925F26" w:rsidRDefault="00DE25E5" w:rsidP="00925F26">
      <w:pPr>
        <w:jc w:val="both"/>
        <w:rPr>
          <w:color w:val="000000" w:themeColor="text1"/>
          <w:sz w:val="16"/>
          <w:szCs w:val="16"/>
        </w:rPr>
      </w:pPr>
      <w:r w:rsidRPr="00925F26">
        <w:rPr>
          <w:color w:val="000000" w:themeColor="text1"/>
          <w:sz w:val="16"/>
          <w:szCs w:val="16"/>
        </w:rPr>
        <w:lastRenderedPageBreak/>
        <w:t>Войска 3-го Белорусского фронта начали штурм города и крепости Кенигсберг. Перед началом штурма наши артиллеристы обрушили шквал огня на укрепления противника. После двух—трёхчасовой артиллерийской подготовки в атаку двинулась советская пехота. Ожесточённые бои завязались на внешнем оборонительном обводе, который охватывает город со всех сторон и упирается в залив Фриш-Тар к западу от Кенигсберга. Оборонительный обвод состоит из 13 основных и трёх вспомогательных фортов, соединённых между собой кольцевым шоссе. В каждом форту установлены крепостные орудия, батареи полевых орудий и много пулемётов. В промежутках между фортами расположены железобетонные доты. Перед укреплениями немцы выкопали глубокий противотанковый ров, который наполнили водой. Гарнизон города оказывает яростное сопротивление. Наши войска нанесли удар по Кенигсбергу с северо-запада и юга. В результате ожесточённых боёв советские части прорвали внешний обвод крепостных позиций и заняли ряд городских районов Кенигсберга. Занято семь фортов, большое число дотов, очищены от противника пехотные казармы, главная сортировочная станция, главный вокзал, главная товарная станция, машиностроительный завод, железнодорожные мастерские и Кенигсбергский порт. Развивая успех, наши войска, наступающие с юга, соединилась с войсками, наступающими на город с северо-запада, и тем самым зажали кенигсбергский гарнизон противника в железное кольцо. Советские штурмовые группы успешно преодолевают завалы и баррикады на улицах и выбивают немцев из укреплённых зданий. Места боёв завалены трупами гитлеровцев. Захвачены большие трофеи. Количество пленных непрерывно возрастает.</w:t>
      </w:r>
    </w:p>
    <w:p w14:paraId="20F22534" w14:textId="77777777" w:rsidR="00DE25E5" w:rsidRPr="00925F26" w:rsidRDefault="00DE25E5" w:rsidP="00925F26">
      <w:pPr>
        <w:jc w:val="both"/>
        <w:rPr>
          <w:color w:val="000000" w:themeColor="text1"/>
          <w:sz w:val="16"/>
          <w:szCs w:val="16"/>
        </w:rPr>
      </w:pPr>
      <w:r w:rsidRPr="00925F26">
        <w:rPr>
          <w:color w:val="000000" w:themeColor="text1"/>
          <w:sz w:val="16"/>
          <w:szCs w:val="16"/>
        </w:rPr>
        <w:t>Наша авиация активно поддерживает наземные войска, штурмующие город Кенигсберг. Советские лётчики наносят непрерывные удары по скоплениям войск противника и его укреплениям.</w:t>
      </w:r>
    </w:p>
    <w:p w14:paraId="048A03D3" w14:textId="77777777" w:rsidR="00DE25E5" w:rsidRPr="00925F26" w:rsidRDefault="00DE25E5" w:rsidP="00925F26">
      <w:pPr>
        <w:jc w:val="both"/>
        <w:rPr>
          <w:color w:val="000000" w:themeColor="text1"/>
          <w:sz w:val="16"/>
          <w:szCs w:val="16"/>
        </w:rPr>
      </w:pPr>
      <w:r w:rsidRPr="00925F26">
        <w:rPr>
          <w:color w:val="000000" w:themeColor="text1"/>
          <w:sz w:val="16"/>
          <w:szCs w:val="16"/>
        </w:rPr>
        <w:t>Северо-восточнее города Братислава наши войска теснят противника к реке Ваг. Идут бои за горные дороги, долины и перевалы. Советские части выбили противника из населённого пункта и железнодорожной станции Правно. Немецкая пехота, усиленная самоходными орудиями, безуспешно пыталась вернуть станцию. В этом бою уничтожено 200 немцев и 2 самоходных орудия. Нашими войсками занят также ряд других населённых пунктов.</w:t>
      </w:r>
    </w:p>
    <w:p w14:paraId="3DC17784" w14:textId="77777777" w:rsidR="00DE25E5" w:rsidRPr="00925F26" w:rsidRDefault="00DE25E5" w:rsidP="00925F26">
      <w:pPr>
        <w:jc w:val="both"/>
        <w:rPr>
          <w:color w:val="000000" w:themeColor="text1"/>
          <w:sz w:val="16"/>
          <w:szCs w:val="16"/>
        </w:rPr>
      </w:pPr>
      <w:r w:rsidRPr="00925F26">
        <w:rPr>
          <w:color w:val="000000" w:themeColor="text1"/>
          <w:sz w:val="16"/>
          <w:szCs w:val="16"/>
        </w:rPr>
        <w:t>Севернее Братиславы наши части, отражая контратаки пехоты и танков противника, продолжали продвигаться вперёд. С боями занят крупный населённый пункт Гбели, расположенный в 13 километрах от города Годонин. Захвачено у немцев 275 вагонов с обмундированием и различным военным имуществом.</w:t>
      </w:r>
    </w:p>
    <w:p w14:paraId="4212CFD4" w14:textId="77777777" w:rsidR="00DE25E5" w:rsidRPr="00925F26" w:rsidRDefault="00DE25E5" w:rsidP="00925F26">
      <w:pPr>
        <w:jc w:val="both"/>
        <w:rPr>
          <w:color w:val="000000" w:themeColor="text1"/>
          <w:sz w:val="16"/>
          <w:szCs w:val="16"/>
        </w:rPr>
      </w:pPr>
      <w:r w:rsidRPr="00925F26">
        <w:rPr>
          <w:color w:val="000000" w:themeColor="text1"/>
          <w:sz w:val="16"/>
          <w:szCs w:val="16"/>
        </w:rPr>
        <w:t>В районе Вены войска 3-го Украинского фронта продолжали наступление. Советские части прорвали сильно укреплённую оборону немцев на южной окраине Вены и после упорных боёв овладели восточным и южным вокзалами. Другие наши части стремительным ударом очистили от противника ряд городских кварталов и заняли западный вокзал. Ожесточённые контратаки немцев, пытавшихся восстановить положение, успеха не имели. Наши войска, действующие западнее Вены, овладели городом Тулльн, на южном берегу Дуная. В ходе боёв противник несёт огромные потери. За день, по неполным данным, уничтожено более 6 тысяч немецких солдат и офицеров.</w:t>
      </w:r>
    </w:p>
    <w:p w14:paraId="66BBDFCA" w14:textId="77777777" w:rsidR="00DE25E5" w:rsidRPr="00925F26" w:rsidRDefault="00DE25E5" w:rsidP="00925F26">
      <w:pPr>
        <w:jc w:val="both"/>
        <w:rPr>
          <w:color w:val="000000" w:themeColor="text1"/>
          <w:sz w:val="16"/>
          <w:szCs w:val="16"/>
        </w:rPr>
      </w:pPr>
      <w:r w:rsidRPr="00925F26">
        <w:rPr>
          <w:color w:val="000000" w:themeColor="text1"/>
          <w:sz w:val="16"/>
          <w:szCs w:val="16"/>
        </w:rPr>
        <w:t>Население Австрии радушно встречает бойцов Красной Армии и приветствует их как своих освободителей от немецко-фашистского ига. В городах жители вывешивают государственные флаги Советского Союза и Австрии. В населённом пункте Вейхерсдорф навстречу бойцам Красной Армии с флагами вышло более 200 студентов и другой молодёжи. На флагах были написаны лозунги: «Слава Красной Армии», «Да здравствует Красная Армия». В городе Эйзенштадт население отказалось от эвакуации, проводимой немцами. Жители спрятались в подвалах и погребах. Когда советские части овладели городом, взрослые и дети вышли из подвалов и с радостью приветствовали бойцов и офицеров Красной Армии.</w:t>
      </w:r>
    </w:p>
    <w:p w14:paraId="5085382D" w14:textId="77777777" w:rsidR="00DE25E5" w:rsidRPr="00925F26" w:rsidRDefault="00DE25E5"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нанесла бомбо-штурмовой удар по транспортам противника в порту Пиллау. В результате бомбардировки на одном немецком транспорте произошёл сильный взрыв, а на трёх транспортах возникли пожары. На территории порта и на его причалах также отмечены пожары, сопровождавшиеся взрывами.</w:t>
      </w:r>
    </w:p>
    <w:p w14:paraId="21C8F07D" w14:textId="77777777" w:rsidR="00DE25E5" w:rsidRPr="00925F26" w:rsidRDefault="00DE25E5" w:rsidP="00925F26">
      <w:pPr>
        <w:jc w:val="both"/>
        <w:rPr>
          <w:color w:val="000000" w:themeColor="text1"/>
          <w:sz w:val="16"/>
          <w:szCs w:val="16"/>
        </w:rPr>
      </w:pPr>
      <w:r w:rsidRPr="00925F26">
        <w:rPr>
          <w:color w:val="000000" w:themeColor="text1"/>
          <w:sz w:val="16"/>
          <w:szCs w:val="16"/>
        </w:rPr>
        <w:t>В Данцигской бухте потоплен танкер водоизмещением в 2 тысячи тонн и сторожевой корабль противника.» (15093).</w:t>
      </w:r>
    </w:p>
    <w:p w14:paraId="34BEB298" w14:textId="77777777" w:rsidR="00DE25E5" w:rsidRPr="00925F26" w:rsidRDefault="00DE25E5" w:rsidP="00925F26">
      <w:pPr>
        <w:jc w:val="both"/>
        <w:rPr>
          <w:color w:val="000000" w:themeColor="text1"/>
          <w:sz w:val="16"/>
          <w:szCs w:val="16"/>
        </w:rPr>
      </w:pPr>
    </w:p>
    <w:p w14:paraId="12D63A21" w14:textId="15691050" w:rsidR="009104CE" w:rsidRPr="00925F26" w:rsidRDefault="009104CE" w:rsidP="00925F26">
      <w:pPr>
        <w:pStyle w:val="ae"/>
        <w:spacing w:before="0" w:after="0"/>
        <w:jc w:val="both"/>
        <w:textAlignment w:val="baseline"/>
        <w:rPr>
          <w:color w:val="000000" w:themeColor="text1"/>
          <w:sz w:val="16"/>
          <w:szCs w:val="16"/>
        </w:rPr>
      </w:pPr>
      <w:r w:rsidRPr="00925F26">
        <w:rPr>
          <w:color w:val="000000" w:themeColor="text1"/>
          <w:sz w:val="16"/>
          <w:szCs w:val="16"/>
        </w:rPr>
        <w:t>Днем 8 апреля 1945</w:t>
      </w:r>
      <w:r w:rsidR="00997EDF" w:rsidRPr="00925F26">
        <w:rPr>
          <w:color w:val="000000" w:themeColor="text1"/>
          <w:sz w:val="16"/>
          <w:szCs w:val="16"/>
        </w:rPr>
        <w:t xml:space="preserve">  </w:t>
      </w:r>
      <w:r w:rsidRPr="00925F26">
        <w:rPr>
          <w:color w:val="000000" w:themeColor="text1"/>
          <w:sz w:val="16"/>
          <w:szCs w:val="16"/>
        </w:rPr>
        <w:t>г. восьмерка Ил-2 из 7-го гв. пшап атаковала немецкие корабли, замеченные в Данцигском (ныне Гданьском) заливе, юго-восточнее мыса Хель. При этом один из штурмовиков, принадлежавший старшему лейтенанту Анатолию Романову, был подбит зенитной артиллерией. Затем вернувшиеся экипажи доложили, что горящий самолет протаранил вражеский корабль, который они идентифицировали как миноносец.</w:t>
      </w:r>
    </w:p>
    <w:p w14:paraId="3F80AD59" w14:textId="77777777" w:rsidR="009104CE" w:rsidRPr="00925F26" w:rsidRDefault="009104CE" w:rsidP="00925F26">
      <w:pPr>
        <w:pStyle w:val="ae"/>
        <w:spacing w:before="0" w:after="0"/>
        <w:jc w:val="both"/>
        <w:textAlignment w:val="baseline"/>
        <w:rPr>
          <w:color w:val="000000" w:themeColor="text1"/>
          <w:sz w:val="16"/>
          <w:szCs w:val="16"/>
        </w:rPr>
      </w:pPr>
      <w:r w:rsidRPr="00925F26">
        <w:rPr>
          <w:color w:val="000000" w:themeColor="text1"/>
          <w:sz w:val="16"/>
          <w:szCs w:val="16"/>
        </w:rPr>
        <w:t>Согласно немецким источникам, в тот день в трех милях к юго-востоку от мыса Хель на балтийское дно ушло спасательное судно люфтваффе К-61 «Ханс Альбрехт Вед ель». По своим размерам и силуэту оно действительно напоминало миноносец. Это был второй случай на Балтике, когда экипаж Ил-2 ценой своей жизни действительно потопил вражеский корабль. Но опять командовие ВВС Балтийского флота не сочло нужным представить совершившего подвиг летчика к званию Героя (19522).</w:t>
      </w:r>
    </w:p>
    <w:p w14:paraId="4687135C" w14:textId="77777777" w:rsidR="009104CE" w:rsidRPr="00925F26" w:rsidRDefault="009104CE" w:rsidP="00925F26">
      <w:pPr>
        <w:pStyle w:val="ae"/>
        <w:spacing w:before="0" w:after="0"/>
        <w:jc w:val="both"/>
        <w:textAlignment w:val="baseline"/>
        <w:rPr>
          <w:color w:val="000000" w:themeColor="text1"/>
          <w:sz w:val="16"/>
          <w:szCs w:val="16"/>
        </w:rPr>
      </w:pPr>
    </w:p>
    <w:p w14:paraId="46FE9D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года балтийские летчики потопили большой транспорт "Франкен" водоизмещением 11115 тонн, а также два транспорта гидросамолетов: "Ганс Альбрехт Ведель" и "Бельке" (2691).</w:t>
      </w:r>
    </w:p>
    <w:p w14:paraId="30DC7D8D" w14:textId="77777777" w:rsidR="00665165" w:rsidRPr="00925F26" w:rsidRDefault="00665165" w:rsidP="00925F26">
      <w:pPr>
        <w:autoSpaceDE w:val="0"/>
        <w:autoSpaceDN w:val="0"/>
        <w:adjustRightInd w:val="0"/>
        <w:jc w:val="both"/>
        <w:rPr>
          <w:color w:val="000000" w:themeColor="text1"/>
          <w:sz w:val="16"/>
          <w:szCs w:val="16"/>
        </w:rPr>
      </w:pPr>
    </w:p>
    <w:p w14:paraId="15C9650A"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8th, 1945: Heavy fighting in the center of Vienna. The Red Air Force drops 1,500 tons of bombs on Konigsberg. In the West, the British Second Army reaches Hildesheim, while the US Seventh Army (Patch) captures Pforzheim near the upper Rhine (3819).</w:t>
      </w:r>
    </w:p>
    <w:p w14:paraId="6A35E9CD" w14:textId="77777777" w:rsidR="00665165" w:rsidRPr="00925F26" w:rsidRDefault="00665165" w:rsidP="00925F26">
      <w:pPr>
        <w:autoSpaceDE w:val="0"/>
        <w:autoSpaceDN w:val="0"/>
        <w:adjustRightInd w:val="0"/>
        <w:jc w:val="both"/>
        <w:rPr>
          <w:color w:val="000000" w:themeColor="text1"/>
          <w:sz w:val="16"/>
          <w:szCs w:val="16"/>
          <w:lang w:val="en-US"/>
        </w:rPr>
      </w:pPr>
    </w:p>
    <w:p w14:paraId="31574E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шли тяжелые бои в центре вены. КА сбросила 1500 т бомб на Кенигсберг. Британская 2А достигла Хильдесхайма, а 7А (Патч) заняла Пфорцейм (3819).</w:t>
      </w:r>
    </w:p>
    <w:p w14:paraId="7D58C28C" w14:textId="77777777" w:rsidR="00665165" w:rsidRPr="00925F26" w:rsidRDefault="00665165" w:rsidP="00925F26">
      <w:pPr>
        <w:autoSpaceDE w:val="0"/>
        <w:autoSpaceDN w:val="0"/>
        <w:adjustRightInd w:val="0"/>
        <w:jc w:val="both"/>
        <w:rPr>
          <w:color w:val="000000" w:themeColor="text1"/>
          <w:sz w:val="16"/>
          <w:szCs w:val="16"/>
        </w:rPr>
      </w:pPr>
    </w:p>
    <w:p w14:paraId="512C5F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г. в ходе налета восьмерки Ил-2 из 7-го ГШАП был совершен очередной морской таран. Штурмовик (пилолт старший лейтенант А.А.Романов, стрелок-радист сержант А.М.Дубенчук) был подбит и врезался во вражеский корабль, который наши летчики классифицировали как “миноносец”. Это'произошло в трех милях юго-восточнее косы Хела. И вновь командование не сочло нужным представлять экипаж к званию Героев Советского Союза. Послевоенное обследование морского дна показало в этом районе наличие корпуса большого военного корабля, идентифицированного как миноносец водоизмещением в 1800 т. Обследование показало, что средняя часть корабля разрушена мощным взрывом. По немецким данным, 8 апреля 1945 г. в 12.50 в указанном районе действительно был потоплен немецкий корабль. Немцы указывают, что причиной его гибели стало попадание авиаторпеды, хотя по нашим данным торпедоносцы в той атаке участия не принимали. Немецкие источники по-разному называют потопленное судно: спасательный корабль Люфтваффе, тендер гидроавиации или гидроавиатранспорт К-61 “Ганс Альбрехт Ведель”. Судно было относительно новым (спущено на воду в сентябре 1940 г.), довольно большим (водоизмещение в 1375 тонн), быстроходным (21,5 узла) и хорошо вооруженным зенитной артиллерией. Своим силуэтом и обводами корабль действительно напоминал миноносец (8942).</w:t>
      </w:r>
    </w:p>
    <w:p w14:paraId="2E5ABD9A" w14:textId="77777777" w:rsidR="00665165" w:rsidRPr="00925F26" w:rsidRDefault="00665165" w:rsidP="00925F26">
      <w:pPr>
        <w:autoSpaceDE w:val="0"/>
        <w:autoSpaceDN w:val="0"/>
        <w:adjustRightInd w:val="0"/>
        <w:jc w:val="both"/>
        <w:rPr>
          <w:color w:val="000000" w:themeColor="text1"/>
          <w:sz w:val="16"/>
          <w:szCs w:val="16"/>
        </w:rPr>
      </w:pPr>
    </w:p>
    <w:p w14:paraId="6A288F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апреля 1945 вышел приказ коман</w:t>
      </w:r>
      <w:r w:rsidRPr="00925F26">
        <w:rPr>
          <w:color w:val="000000" w:themeColor="text1"/>
          <w:sz w:val="16"/>
          <w:szCs w:val="16"/>
        </w:rPr>
        <w:softHyphen/>
        <w:t>дира 224-й шад генерал-майора Котельникова от «немедленно приступить к вводу полка в боевую работу согласно плана», который командир 571-го штурмового пол</w:t>
      </w:r>
      <w:r w:rsidRPr="00925F26">
        <w:rPr>
          <w:color w:val="000000" w:themeColor="text1"/>
          <w:sz w:val="16"/>
          <w:szCs w:val="16"/>
        </w:rPr>
        <w:softHyphen/>
        <w:t>ка п-п-к Безух получил сразу же по прилете (11157).</w:t>
      </w:r>
    </w:p>
    <w:p w14:paraId="31221A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2452283" w14:textId="77777777" w:rsidR="003D79A1" w:rsidRPr="00925F26" w:rsidRDefault="003D79A1" w:rsidP="00925F26">
      <w:pPr>
        <w:jc w:val="both"/>
        <w:rPr>
          <w:color w:val="000000" w:themeColor="text1"/>
          <w:sz w:val="16"/>
          <w:szCs w:val="16"/>
        </w:rPr>
      </w:pPr>
      <w:r w:rsidRPr="00925F26">
        <w:rPr>
          <w:color w:val="000000" w:themeColor="text1"/>
          <w:sz w:val="16"/>
          <w:szCs w:val="16"/>
        </w:rPr>
        <w:t>8 апреля 1945 г. пять "Мистелей" 3 были использованы для нанесения удара по мостам через Вислу в районе Варшавы. Из-за сильного противодействия зенит</w:t>
      </w:r>
      <w:r w:rsidRPr="00925F26">
        <w:rPr>
          <w:color w:val="000000" w:themeColor="text1"/>
          <w:sz w:val="16"/>
          <w:szCs w:val="16"/>
        </w:rPr>
        <w:softHyphen/>
        <w:t>ной артиллерии разделение элементов было произведено на максимальной даль</w:t>
      </w:r>
      <w:r w:rsidRPr="00925F26">
        <w:rPr>
          <w:color w:val="000000" w:themeColor="text1"/>
          <w:sz w:val="16"/>
          <w:szCs w:val="16"/>
        </w:rPr>
        <w:softHyphen/>
        <w:t>ности, поэтому ни один из "юнкерсов" в цель не попал, зато все пять FW I90A-8 вернулись на свой аэродром. Последняя попытка применения "Мистелей" датиру</w:t>
      </w:r>
      <w:r w:rsidRPr="00925F26">
        <w:rPr>
          <w:color w:val="000000" w:themeColor="text1"/>
          <w:sz w:val="16"/>
          <w:szCs w:val="16"/>
        </w:rPr>
        <w:softHyphen/>
        <w:t>ется 30 апреля 1945 г. В этот день объек</w:t>
      </w:r>
      <w:r w:rsidRPr="00925F26">
        <w:rPr>
          <w:color w:val="000000" w:themeColor="text1"/>
          <w:sz w:val="16"/>
          <w:szCs w:val="16"/>
        </w:rPr>
        <w:softHyphen/>
        <w:t>тами атаки для четырех составных само</w:t>
      </w:r>
      <w:r w:rsidRPr="00925F26">
        <w:rPr>
          <w:color w:val="000000" w:themeColor="text1"/>
          <w:sz w:val="16"/>
          <w:szCs w:val="16"/>
        </w:rPr>
        <w:softHyphen/>
        <w:t>летов стали мосты через Одер в районе Пренцлау. И вновь одна машина была по</w:t>
      </w:r>
      <w:r w:rsidRPr="00925F26">
        <w:rPr>
          <w:color w:val="000000" w:themeColor="text1"/>
          <w:sz w:val="16"/>
          <w:szCs w:val="16"/>
        </w:rPr>
        <w:softHyphen/>
        <w:t>теряна в результате аварии, а три осталь</w:t>
      </w:r>
      <w:r w:rsidRPr="00925F26">
        <w:rPr>
          <w:color w:val="000000" w:themeColor="text1"/>
          <w:sz w:val="16"/>
          <w:szCs w:val="16"/>
        </w:rPr>
        <w:softHyphen/>
        <w:t>ные промахнулись мимо цели (24193).</w:t>
      </w:r>
    </w:p>
    <w:p w14:paraId="7149E503" w14:textId="77777777" w:rsidR="003D79A1" w:rsidRPr="00925F26" w:rsidRDefault="003D79A1" w:rsidP="00925F26">
      <w:pPr>
        <w:jc w:val="both"/>
        <w:rPr>
          <w:color w:val="000000" w:themeColor="text1"/>
          <w:sz w:val="16"/>
          <w:szCs w:val="16"/>
        </w:rPr>
      </w:pPr>
    </w:p>
    <w:p w14:paraId="0467DDD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апреля 1945 советский летчик М. Девятаев, находясь в немецком плену, захватил самолет и перелетел к своим (4962).</w:t>
      </w:r>
    </w:p>
    <w:p w14:paraId="1FB712A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540A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 ст.л М.П.Девитаев находясь в лагере Свинемюнде с 9 товарищами захватил Хейнкель 111 и перелетел в наше расположение (3398,143).</w:t>
      </w:r>
    </w:p>
    <w:p w14:paraId="2C22DACA" w14:textId="77777777" w:rsidR="00665165" w:rsidRPr="00925F26" w:rsidRDefault="00665165" w:rsidP="00925F26">
      <w:pPr>
        <w:autoSpaceDE w:val="0"/>
        <w:autoSpaceDN w:val="0"/>
        <w:adjustRightInd w:val="0"/>
        <w:jc w:val="both"/>
        <w:rPr>
          <w:color w:val="000000" w:themeColor="text1"/>
          <w:sz w:val="16"/>
          <w:szCs w:val="16"/>
        </w:rPr>
      </w:pPr>
    </w:p>
    <w:p w14:paraId="5030438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69AC10B" w14:textId="77777777" w:rsidR="00665165" w:rsidRPr="00925F26" w:rsidRDefault="00665165" w:rsidP="00925F26">
      <w:pPr>
        <w:autoSpaceDE w:val="0"/>
        <w:autoSpaceDN w:val="0"/>
        <w:adjustRightInd w:val="0"/>
        <w:jc w:val="both"/>
        <w:rPr>
          <w:iCs/>
          <w:color w:val="000000" w:themeColor="text1"/>
          <w:sz w:val="16"/>
          <w:szCs w:val="16"/>
        </w:rPr>
      </w:pPr>
    </w:p>
    <w:p w14:paraId="231B49F2" w14:textId="6DF15B04" w:rsidR="007D191E" w:rsidRPr="00925F26" w:rsidRDefault="007D191E" w:rsidP="00925F26">
      <w:pPr>
        <w:jc w:val="both"/>
        <w:rPr>
          <w:color w:val="000000" w:themeColor="text1"/>
          <w:sz w:val="16"/>
          <w:szCs w:val="16"/>
        </w:rPr>
      </w:pPr>
      <w:r w:rsidRPr="00925F26">
        <w:rPr>
          <w:color w:val="000000" w:themeColor="text1"/>
          <w:sz w:val="16"/>
          <w:szCs w:val="16"/>
        </w:rPr>
        <w:t>8 апреля 1945 года — первый полёт тяжёлого истребителя/</w:t>
      </w:r>
      <w:proofErr w:type="gramStart"/>
      <w:r w:rsidRPr="00925F26">
        <w:rPr>
          <w:color w:val="000000" w:themeColor="text1"/>
          <w:sz w:val="16"/>
          <w:szCs w:val="16"/>
        </w:rPr>
        <w:t>штурмовика</w:t>
      </w:r>
      <w:r w:rsidR="00997EDF" w:rsidRPr="00925F26">
        <w:rPr>
          <w:color w:val="000000" w:themeColor="text1"/>
          <w:sz w:val="16"/>
          <w:szCs w:val="16"/>
        </w:rPr>
        <w:t xml:space="preserve">  </w:t>
      </w:r>
      <w:r w:rsidRPr="00925F26">
        <w:rPr>
          <w:color w:val="000000" w:themeColor="text1"/>
          <w:sz w:val="16"/>
          <w:szCs w:val="16"/>
        </w:rPr>
        <w:t>Rikugun</w:t>
      </w:r>
      <w:proofErr w:type="gramEnd"/>
      <w:r w:rsidRPr="00925F26">
        <w:rPr>
          <w:color w:val="000000" w:themeColor="text1"/>
          <w:sz w:val="16"/>
          <w:szCs w:val="16"/>
        </w:rPr>
        <w:t xml:space="preserve"> Ki-93. /Япония/</w:t>
      </w:r>
    </w:p>
    <w:p w14:paraId="68F08B86" w14:textId="409D02BA" w:rsidR="007D191E" w:rsidRPr="00925F26" w:rsidRDefault="007D191E" w:rsidP="00925F26">
      <w:pPr>
        <w:jc w:val="both"/>
        <w:rPr>
          <w:color w:val="000000" w:themeColor="text1"/>
          <w:sz w:val="16"/>
          <w:szCs w:val="16"/>
        </w:rPr>
      </w:pPr>
      <w:r w:rsidRPr="00925F26">
        <w:rPr>
          <w:color w:val="000000" w:themeColor="text1"/>
          <w:sz w:val="16"/>
          <w:szCs w:val="16"/>
        </w:rPr>
        <w:t xml:space="preserve">Работы над </w:t>
      </w:r>
      <w:proofErr w:type="gramStart"/>
      <w:r w:rsidRPr="00925F26">
        <w:rPr>
          <w:color w:val="000000" w:themeColor="text1"/>
          <w:sz w:val="16"/>
          <w:szCs w:val="16"/>
        </w:rPr>
        <w:t>проектом</w:t>
      </w:r>
      <w:r w:rsidR="00997EDF" w:rsidRPr="00925F26">
        <w:rPr>
          <w:color w:val="000000" w:themeColor="text1"/>
          <w:sz w:val="16"/>
          <w:szCs w:val="16"/>
        </w:rPr>
        <w:t xml:space="preserve">  </w:t>
      </w:r>
      <w:r w:rsidRPr="00925F26">
        <w:rPr>
          <w:color w:val="000000" w:themeColor="text1"/>
          <w:sz w:val="16"/>
          <w:szCs w:val="16"/>
        </w:rPr>
        <w:t>двухмоторного</w:t>
      </w:r>
      <w:proofErr w:type="gramEnd"/>
      <w:r w:rsidRPr="00925F26">
        <w:rPr>
          <w:color w:val="000000" w:themeColor="text1"/>
          <w:sz w:val="16"/>
          <w:szCs w:val="16"/>
        </w:rPr>
        <w:t xml:space="preserve"> </w:t>
      </w:r>
      <w:proofErr w:type="gramStart"/>
      <w:r w:rsidRPr="00925F26">
        <w:rPr>
          <w:color w:val="000000" w:themeColor="text1"/>
          <w:sz w:val="16"/>
          <w:szCs w:val="16"/>
        </w:rPr>
        <w:t>истребителя</w:t>
      </w:r>
      <w:r w:rsidR="00997EDF" w:rsidRPr="00925F26">
        <w:rPr>
          <w:color w:val="000000" w:themeColor="text1"/>
          <w:sz w:val="16"/>
          <w:szCs w:val="16"/>
        </w:rPr>
        <w:t xml:space="preserve">  </w:t>
      </w:r>
      <w:r w:rsidRPr="00925F26">
        <w:rPr>
          <w:color w:val="000000" w:themeColor="text1"/>
          <w:sz w:val="16"/>
          <w:szCs w:val="16"/>
        </w:rPr>
        <w:t>Ki</w:t>
      </w:r>
      <w:proofErr w:type="gramEnd"/>
      <w:r w:rsidRPr="00925F26">
        <w:rPr>
          <w:color w:val="000000" w:themeColor="text1"/>
          <w:sz w:val="16"/>
          <w:szCs w:val="16"/>
        </w:rPr>
        <w:t xml:space="preserve">-93 начались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Армейском</w:t>
      </w:r>
      <w:proofErr w:type="gramEnd"/>
      <w:r w:rsidRPr="00925F26">
        <w:rPr>
          <w:color w:val="000000" w:themeColor="text1"/>
          <w:sz w:val="16"/>
          <w:szCs w:val="16"/>
        </w:rPr>
        <w:t xml:space="preserve"> авиационно-исследовательском </w:t>
      </w:r>
      <w:proofErr w:type="gramStart"/>
      <w:r w:rsidRPr="00925F26">
        <w:rPr>
          <w:color w:val="000000" w:themeColor="text1"/>
          <w:sz w:val="16"/>
          <w:szCs w:val="16"/>
        </w:rPr>
        <w:t>институте</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Rikugun Kokugijutsu Kenkyujo) ещё в 1941 году. Самолёт предназначался для ВВС Императорской армии Японии. Но инженеров часто отзывали для решения более срочных задач, поэтому к строительству прототипа приступили лишь в 1943 году.</w:t>
      </w:r>
    </w:p>
    <w:p w14:paraId="6F257FE0" w14:textId="3F4E0F2D" w:rsidR="007D191E" w:rsidRPr="00925F26" w:rsidRDefault="007D191E" w:rsidP="00925F26">
      <w:pPr>
        <w:jc w:val="both"/>
        <w:rPr>
          <w:color w:val="000000" w:themeColor="text1"/>
          <w:sz w:val="16"/>
          <w:szCs w:val="16"/>
        </w:rPr>
      </w:pPr>
      <w:r w:rsidRPr="00925F26">
        <w:rPr>
          <w:color w:val="000000" w:themeColor="text1"/>
          <w:sz w:val="16"/>
          <w:szCs w:val="16"/>
        </w:rPr>
        <w:t xml:space="preserve">Цельнометаллический низкоплан оснащался 2 × </w:t>
      </w:r>
      <w:proofErr w:type="gramStart"/>
      <w:r w:rsidRPr="00925F26">
        <w:rPr>
          <w:color w:val="000000" w:themeColor="text1"/>
          <w:sz w:val="16"/>
          <w:szCs w:val="16"/>
        </w:rPr>
        <w:t>двигателями</w:t>
      </w:r>
      <w:r w:rsidR="00997EDF" w:rsidRPr="00925F26">
        <w:rPr>
          <w:color w:val="000000" w:themeColor="text1"/>
          <w:sz w:val="16"/>
          <w:szCs w:val="16"/>
        </w:rPr>
        <w:t xml:space="preserve">  </w:t>
      </w:r>
      <w:r w:rsidRPr="00925F26">
        <w:rPr>
          <w:color w:val="000000" w:themeColor="text1"/>
          <w:sz w:val="16"/>
          <w:szCs w:val="16"/>
        </w:rPr>
        <w:t>Mitsubishi</w:t>
      </w:r>
      <w:proofErr w:type="gramEnd"/>
      <w:r w:rsidRPr="00925F26">
        <w:rPr>
          <w:color w:val="000000" w:themeColor="text1"/>
          <w:sz w:val="16"/>
          <w:szCs w:val="16"/>
        </w:rPr>
        <w:t xml:space="preserve"> Ha-</w:t>
      </w:r>
      <w:proofErr w:type="gramStart"/>
      <w:r w:rsidRPr="00925F26">
        <w:rPr>
          <w:color w:val="000000" w:themeColor="text1"/>
          <w:sz w:val="16"/>
          <w:szCs w:val="16"/>
        </w:rPr>
        <w:t>214</w:t>
      </w:r>
      <w:r w:rsidR="00997EDF" w:rsidRPr="00925F26">
        <w:rPr>
          <w:color w:val="000000" w:themeColor="text1"/>
          <w:sz w:val="16"/>
          <w:szCs w:val="16"/>
        </w:rPr>
        <w:t xml:space="preserve">  </w:t>
      </w:r>
      <w:r w:rsidRPr="00925F26">
        <w:rPr>
          <w:color w:val="000000" w:themeColor="text1"/>
          <w:sz w:val="16"/>
          <w:szCs w:val="16"/>
        </w:rPr>
        <w:t>мощностью</w:t>
      </w:r>
      <w:proofErr w:type="gramEnd"/>
      <w:r w:rsidRPr="00925F26">
        <w:rPr>
          <w:color w:val="000000" w:themeColor="text1"/>
          <w:sz w:val="16"/>
          <w:szCs w:val="16"/>
        </w:rPr>
        <w:t xml:space="preserve"> 1970 л.с. каждый. Экипаж состоял из 2 человек. Расчётная максимальная скорость — 624 км/ч, дальность полёта — 3000 км. Вооружение — 1 × 57-мм пушка Ho-401, 2 × 20-мм пушка Ho-5 и 1 × 12,7-мм пулемёт Ho-103.</w:t>
      </w:r>
    </w:p>
    <w:p w14:paraId="0CA7994F" w14:textId="60C2DABC" w:rsidR="007D191E" w:rsidRPr="00925F26" w:rsidRDefault="007D191E" w:rsidP="00925F26">
      <w:pPr>
        <w:jc w:val="both"/>
        <w:rPr>
          <w:color w:val="000000" w:themeColor="text1"/>
          <w:sz w:val="16"/>
          <w:szCs w:val="16"/>
        </w:rPr>
      </w:pPr>
      <w:r w:rsidRPr="00925F26">
        <w:rPr>
          <w:color w:val="000000" w:themeColor="text1"/>
          <w:sz w:val="16"/>
          <w:szCs w:val="16"/>
        </w:rPr>
        <w:t xml:space="preserve">Во время первого </w:t>
      </w:r>
      <w:proofErr w:type="gramStart"/>
      <w:r w:rsidRPr="00925F26">
        <w:rPr>
          <w:color w:val="000000" w:themeColor="text1"/>
          <w:sz w:val="16"/>
          <w:szCs w:val="16"/>
        </w:rPr>
        <w:t>полёта</w:t>
      </w:r>
      <w:r w:rsidR="00997EDF" w:rsidRPr="00925F26">
        <w:rPr>
          <w:color w:val="000000" w:themeColor="text1"/>
          <w:sz w:val="16"/>
          <w:szCs w:val="16"/>
        </w:rPr>
        <w:t xml:space="preserve">  </w:t>
      </w:r>
      <w:r w:rsidRPr="00925F26">
        <w:rPr>
          <w:color w:val="000000" w:themeColor="text1"/>
          <w:sz w:val="16"/>
          <w:szCs w:val="16"/>
        </w:rPr>
        <w:t>выяснилось</w:t>
      </w:r>
      <w:proofErr w:type="gramEnd"/>
      <w:r w:rsidRPr="00925F26">
        <w:rPr>
          <w:color w:val="000000" w:themeColor="text1"/>
          <w:sz w:val="16"/>
          <w:szCs w:val="16"/>
        </w:rPr>
        <w:t>, что Ki-93 тяжелее ожидаемого и мощности двигателей не хватает. К тому же, он совершил аварийную посадку. Самолёт отправили на ремонт. Но перед вторым полётом ангар с Rikugun Ki-93 был уничтожен бомбардировщиками ВВС США (22300).</w:t>
      </w:r>
    </w:p>
    <w:p w14:paraId="14B11297" w14:textId="77777777" w:rsidR="007D191E" w:rsidRPr="00925F26" w:rsidRDefault="007D191E" w:rsidP="00925F26">
      <w:pPr>
        <w:jc w:val="both"/>
        <w:rPr>
          <w:color w:val="000000" w:themeColor="text1"/>
          <w:sz w:val="16"/>
          <w:szCs w:val="16"/>
        </w:rPr>
      </w:pPr>
    </w:p>
    <w:p w14:paraId="59ECB5A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апреля 1945 американскими войсками обнаружены склады похищенных нацистами картин и фашистского золота в соляных шахтах Мульхаузена (4962).</w:t>
      </w:r>
    </w:p>
    <w:p w14:paraId="6901049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71A98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8 апреля 1945 британская пехота захватила заводы Фокке-Вульф и недостроенный реактивный одноместный Та.183 в нем. Комплект крыльев захватили советские войска в Берлине в имперском министерстве авиации. </w:t>
      </w:r>
      <w:proofErr w:type="gramStart"/>
      <w:r w:rsidRPr="00925F26">
        <w:rPr>
          <w:color w:val="000000" w:themeColor="text1"/>
          <w:sz w:val="16"/>
          <w:szCs w:val="16"/>
        </w:rPr>
        <w:t>Возможно</w:t>
      </w:r>
      <w:proofErr w:type="gramEnd"/>
      <w:r w:rsidRPr="00925F26">
        <w:rPr>
          <w:color w:val="000000" w:themeColor="text1"/>
          <w:sz w:val="16"/>
          <w:szCs w:val="16"/>
        </w:rPr>
        <w:t xml:space="preserve"> это был предшественник МиГ-15 (3504).</w:t>
      </w:r>
    </w:p>
    <w:p w14:paraId="02612EE6" w14:textId="77777777" w:rsidR="00665165" w:rsidRPr="00925F26" w:rsidRDefault="00665165" w:rsidP="00925F26">
      <w:pPr>
        <w:autoSpaceDE w:val="0"/>
        <w:autoSpaceDN w:val="0"/>
        <w:adjustRightInd w:val="0"/>
        <w:jc w:val="both"/>
        <w:rPr>
          <w:color w:val="000000" w:themeColor="text1"/>
          <w:sz w:val="16"/>
          <w:szCs w:val="16"/>
        </w:rPr>
      </w:pPr>
    </w:p>
    <w:p w14:paraId="557BA649" w14:textId="77777777" w:rsidR="007D191E" w:rsidRPr="00925F26" w:rsidRDefault="007D191E" w:rsidP="00925F26">
      <w:pPr>
        <w:jc w:val="both"/>
        <w:rPr>
          <w:color w:val="000000" w:themeColor="text1"/>
          <w:sz w:val="16"/>
          <w:szCs w:val="16"/>
        </w:rPr>
      </w:pPr>
      <w:r w:rsidRPr="00925F26">
        <w:rPr>
          <w:color w:val="000000" w:themeColor="text1"/>
          <w:sz w:val="16"/>
          <w:szCs w:val="16"/>
        </w:rPr>
        <w:t>8 апреля 1945 немецкий летчик-испытатель Мелитта Шенк Грефин фон Штауффенберг сбит и погиб (20371).</w:t>
      </w:r>
    </w:p>
    <w:p w14:paraId="03A720C1" w14:textId="77777777" w:rsidR="007D191E" w:rsidRPr="00925F26" w:rsidRDefault="007D191E" w:rsidP="00925F26">
      <w:pPr>
        <w:jc w:val="both"/>
        <w:rPr>
          <w:color w:val="000000" w:themeColor="text1"/>
          <w:sz w:val="16"/>
          <w:szCs w:val="16"/>
        </w:rPr>
      </w:pPr>
    </w:p>
    <w:p w14:paraId="6550EA8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C42D127" w14:textId="77777777" w:rsidR="00665165" w:rsidRPr="00925F26" w:rsidRDefault="00665165" w:rsidP="00925F26">
      <w:pPr>
        <w:autoSpaceDE w:val="0"/>
        <w:autoSpaceDN w:val="0"/>
        <w:adjustRightInd w:val="0"/>
        <w:jc w:val="both"/>
        <w:rPr>
          <w:iCs/>
          <w:color w:val="000000" w:themeColor="text1"/>
          <w:sz w:val="16"/>
          <w:szCs w:val="16"/>
        </w:rPr>
      </w:pPr>
    </w:p>
    <w:p w14:paraId="5A5EC3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закончились гос. испытания Як-3П с ВК-105ПФ2 и 3хБ-20 (Б-20М и 2хБ-20С), которые проводились с 23 марта 1945. Испытания вели л В.Г.Иванов, ви И.А.Колосов и и по вооружению А.Г.Аронов. Выполнили 37 полетов продолжительностью 17:39. запустили в серию в Саратове на 292 и на 31 в Тбилиси и производили с апреля 1945 по середину 1946 (65,177).</w:t>
      </w:r>
    </w:p>
    <w:p w14:paraId="007622E2" w14:textId="77777777" w:rsidR="00665165" w:rsidRPr="00925F26" w:rsidRDefault="00665165" w:rsidP="00925F26">
      <w:pPr>
        <w:autoSpaceDE w:val="0"/>
        <w:autoSpaceDN w:val="0"/>
        <w:adjustRightInd w:val="0"/>
        <w:jc w:val="both"/>
        <w:rPr>
          <w:color w:val="000000" w:themeColor="text1"/>
          <w:sz w:val="16"/>
          <w:szCs w:val="16"/>
        </w:rPr>
      </w:pPr>
    </w:p>
    <w:p w14:paraId="4F24F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года закончились государственные испытания трехпушечного Як-3, на которые с 23 марта по предъявили самолет № 1630. Ведущими по машине были инженер И.А. Колосов и летчик В.Г. Иванов. За тот период выполнили 37 полетов общей продолжительностью 17 часов 39 минут.</w:t>
      </w:r>
    </w:p>
    <w:p w14:paraId="5773F2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на самолете сохранились крупные дефекты, ранее отмеченные в ходе контрольных проверок серийных машин, максимальные горизонтальные скорости были на 15-25 км/ч ниже заданных постановлением ГКО вследствие отсоса щитков шасси в полете и волнистой поверхности крыла. Мала была и дальность двухсторонней радиосвязи, не превышавшая 55-60 км при заданной 100 км. Кроме этого, выявили отставание обшивки киля, чрезмерные нагрузки на ручку управления самолетом, недостаточную прочность кронштейна крепления гидроцилиндра спуска пушки Б-20М и другие дефекты.</w:t>
      </w:r>
    </w:p>
    <w:p w14:paraId="163177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Возможности промышленности все же были ограничены. Не хватало оборудова- Истребитель ния, материалов и специалистов, чтобы Bf109G-6 оперативно устранять все недостатки. Да и политики давили со всех сторон, требуя выполнения плана, поэтому и приходилось что-то приносить в жертву. Поэтому воевать приходилось на том, что выпускали заводы, и Як-ЗП не стал исключением (12047).</w:t>
      </w:r>
    </w:p>
    <w:p w14:paraId="02C5C429" w14:textId="77777777" w:rsidR="00665165" w:rsidRPr="00925F26" w:rsidRDefault="00665165" w:rsidP="00925F26">
      <w:pPr>
        <w:autoSpaceDE w:val="0"/>
        <w:autoSpaceDN w:val="0"/>
        <w:adjustRightInd w:val="0"/>
        <w:jc w:val="both"/>
        <w:rPr>
          <w:color w:val="000000" w:themeColor="text1"/>
          <w:sz w:val="16"/>
          <w:szCs w:val="16"/>
        </w:rPr>
      </w:pPr>
    </w:p>
    <w:p w14:paraId="780306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9 апреля 1945 в НИИ ВВС закончились контрольные испытания Як-3 №2229 саратовского авиазавода, которые шли с 23 марта по. На крыле усилили средние части нервюр №8, 9, 10, 11, 14, 16 и 18, установили дополнительные замки на центропланные щитки, закрывавшие после уборки основные опоры шасси, сборник конденсата между компрессором АК-50 и прямоточным фильтром, </w:t>
      </w:r>
      <w:proofErr w:type="gramStart"/>
      <w:r w:rsidRPr="00925F26">
        <w:rPr>
          <w:color w:val="000000" w:themeColor="text1"/>
          <w:sz w:val="16"/>
          <w:szCs w:val="16"/>
        </w:rPr>
        <w:t>масло- радиатор</w:t>
      </w:r>
      <w:proofErr w:type="gramEnd"/>
      <w:r w:rsidRPr="00925F26">
        <w:rPr>
          <w:color w:val="000000" w:themeColor="text1"/>
          <w:sz w:val="16"/>
          <w:szCs w:val="16"/>
        </w:rPr>
        <w:t xml:space="preserve"> типа 555 заменили на 555У.</w:t>
      </w:r>
    </w:p>
    <w:p w14:paraId="271874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Выяснилось, что на самолете сохранились дефекты, выявленные в ходе контрольных испытаний машины №1112 (сентябрь 1944 г.), а трубка Вентури, питавшая гироскопические приборы и установленная в выходной части тоннеля водоради- атора, не обеспечивала необходимого перепада давления для нормальной работы указателя поворота.</w:t>
      </w:r>
    </w:p>
    <w:p w14:paraId="703B6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Максимальные горизонтальные скорости истребителя оказались заниженными по сравнению с установленными постановлением ГКО от 26 октября 1943 года на 10-11 км/ч при кране шасси, поставленном на уборку, и на 22-25 км/ч - в его нейтральном положении. Дальность радиопередачи не превышала 60 км, а емкость бензобаков сократилась на 12 литров.</w:t>
      </w:r>
    </w:p>
    <w:p w14:paraId="31CFF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Кроме этого, отмечалось, что сферический козырек фонаря искажал видимые через него предметы и на нем отсутствовало переднее бронестекло.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опыт Великой Отечественной показал, что немцы избегали лобовых атак и вероятность поражения летчика с передней полусферы была ничтожна, заказчик продолжал настаивать на переднем бронестекле, но на Як-3 его так и не установили, ограничившись задней прозрачной броней.</w:t>
      </w:r>
    </w:p>
    <w:p w14:paraId="129FBA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Усилия на ручке управления самолетом были чрезмерными, а эффективность руля высоты - мала. Были отмечены и другие недостатки. Хотя самолет испытания не выдержал, промышленность продолжала выпуск Як-3, а военпреды их принимали.</w:t>
      </w:r>
    </w:p>
    <w:p w14:paraId="14B1C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Вслед за машиной №2229 на контрольные испытания в НИИ ВВС поступил самолет №4145, выпущенный в мае тем же заводом.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028E7E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2FA3F789" w14:textId="77777777" w:rsidR="00665165" w:rsidRPr="00925F26" w:rsidRDefault="00665165" w:rsidP="00925F26">
      <w:pPr>
        <w:autoSpaceDE w:val="0"/>
        <w:autoSpaceDN w:val="0"/>
        <w:adjustRightInd w:val="0"/>
        <w:jc w:val="both"/>
        <w:rPr>
          <w:color w:val="000000" w:themeColor="text1"/>
          <w:sz w:val="16"/>
          <w:szCs w:val="16"/>
        </w:rPr>
      </w:pPr>
    </w:p>
    <w:p w14:paraId="405C13EB"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постановлением Государственного комитета обороны ОКБ-115 поручалось спроектировать, построить и передать на испытания одноместный истребитель с одним реактивным двигателем типа «ЮМО-004» тягой 900 кгс. Стремясь как можно быстрее выполнить поставленную задачу, конструкторы решили создать самолет на базе хорошо зарекомендовавшего себя «Як-3». Основное отличие новой машины заключалось в установке ТРД на месте поршневого мотора ВК-107А, что давало возможность сохранить почти без изменений конструкцию цельнометаллического «Як-3» последних серий. Реактивный первенец ОКБ-115 получил первоначальное обозначение «Як-ЮМО» (в ряде документов он фигурировал как «Як-3-ЮМО» или "экспериментальный истребитель конструкции А.С.Яковлева"). Его фюзеляж конструктивно состоял из сваренной из стальных труб фермы, к которой крепилась дюралюминиевая обшивка. В носовой части к ферме приваривались узлы для установки двигателя. Нижняя часть фюзеляжа в районе сопла прикрывалась теплозащитным экраном из жаропрочной стали. Двухлонжеронное неразъемное крыло имело передний лонжерон, центральная часть которого представляла собой арку, охватывающую двигатель. Крыло снабжалось посадочными щитками и элеронами с дюралевой обшивкой. Воздухозаборники маслорадиатора, находившиеся в передней кромке крыла «Як-3», убрали. Четыре топливных бака расположили в крыле, один - в передней части фюзеляжа и еще один (резервный) - над двигателем. Оперение в целом соответствовало «Як-3» (даже на рулях сохранилась полотняная обшивка), но площадь киля несколько увеличили. Без всяких переделок на новый самолет перенесли кабину вместе с приборной доской, электросистему и многое другое. В носовой части фюзеляжа над двигателем решили разместить вооружение, состоявшее из двух пушек «НС-23К» калибром 23 мм (15094).</w:t>
      </w:r>
    </w:p>
    <w:p w14:paraId="2775045A" w14:textId="77777777" w:rsidR="00DE25E5" w:rsidRPr="00925F26" w:rsidRDefault="00DE25E5" w:rsidP="00925F26">
      <w:pPr>
        <w:jc w:val="both"/>
        <w:rPr>
          <w:color w:val="000000" w:themeColor="text1"/>
          <w:sz w:val="16"/>
          <w:szCs w:val="16"/>
        </w:rPr>
      </w:pPr>
    </w:p>
    <w:p w14:paraId="4F34A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были закончены работы по вывозу оборудования немецкого завода авиавинтов в г. Хальбау в СССР на завод 150 в Ступино (1874,12).</w:t>
      </w:r>
    </w:p>
    <w:p w14:paraId="32C44F90" w14:textId="77777777" w:rsidR="00665165" w:rsidRPr="00925F26" w:rsidRDefault="00665165" w:rsidP="00925F26">
      <w:pPr>
        <w:autoSpaceDE w:val="0"/>
        <w:autoSpaceDN w:val="0"/>
        <w:adjustRightInd w:val="0"/>
        <w:jc w:val="both"/>
        <w:rPr>
          <w:color w:val="000000" w:themeColor="text1"/>
          <w:sz w:val="16"/>
          <w:szCs w:val="16"/>
        </w:rPr>
      </w:pPr>
    </w:p>
    <w:p w14:paraId="302D05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были закончены работы по вывозу оборудования немецкого завода Даймлер Бенц в г. Мезеритц в СССР на завод 265 в Воронеж (1874,12).</w:t>
      </w:r>
    </w:p>
    <w:p w14:paraId="4A38F690" w14:textId="77777777" w:rsidR="00665165" w:rsidRPr="00925F26" w:rsidRDefault="00665165" w:rsidP="00925F26">
      <w:pPr>
        <w:autoSpaceDE w:val="0"/>
        <w:autoSpaceDN w:val="0"/>
        <w:adjustRightInd w:val="0"/>
        <w:jc w:val="both"/>
        <w:rPr>
          <w:color w:val="000000" w:themeColor="text1"/>
          <w:sz w:val="16"/>
          <w:szCs w:val="16"/>
        </w:rPr>
      </w:pPr>
    </w:p>
    <w:p w14:paraId="0657BDD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F1ABE8A" w14:textId="77777777" w:rsidR="00665165" w:rsidRPr="00925F26" w:rsidRDefault="00665165" w:rsidP="00925F26">
      <w:pPr>
        <w:autoSpaceDE w:val="0"/>
        <w:autoSpaceDN w:val="0"/>
        <w:adjustRightInd w:val="0"/>
        <w:jc w:val="both"/>
        <w:rPr>
          <w:iCs/>
          <w:color w:val="000000" w:themeColor="text1"/>
          <w:sz w:val="16"/>
          <w:szCs w:val="16"/>
        </w:rPr>
      </w:pPr>
    </w:p>
    <w:p w14:paraId="700CA1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г. одной из первых станций управления стрельбой артиллерии главного калибра и зенитной артиллерии была станция «Марс-1», выполненная по тактико-техническим требованиям ВМФ.</w:t>
      </w:r>
    </w:p>
    <w:p w14:paraId="2F97D9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Станция разрабатывалась коллективом предприятия, где директором был В. Д. Калмыков. Руководил разработкой А. С. Гринштейн при активном участии Ф. В. Лукина, А. А. Шишова, А. К. Балояна и С. И. Ноздрина.</w:t>
      </w:r>
    </w:p>
    <w:p w14:paraId="6F8ABB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Станция дециметрового диапазона волн с мощностью излучения в импульсе около 60 кВт должна была обнаруживать и пеленговать эсминцы на </w:t>
      </w:r>
      <w:proofErr w:type="gramStart"/>
      <w:r w:rsidRPr="00925F26">
        <w:rPr>
          <w:color w:val="000000" w:themeColor="text1"/>
          <w:sz w:val="16"/>
          <w:szCs w:val="16"/>
        </w:rPr>
        <w:t>расстояниях &gt;не</w:t>
      </w:r>
      <w:proofErr w:type="gramEnd"/>
      <w:r w:rsidRPr="00925F26">
        <w:rPr>
          <w:color w:val="000000" w:themeColor="text1"/>
          <w:sz w:val="16"/>
          <w:szCs w:val="16"/>
        </w:rPr>
        <w:t xml:space="preserve"> менее 85 каб с срединными ошибками: по дальности – 0,25 каб, по курсовому углу – 4° (11026).</w:t>
      </w:r>
    </w:p>
    <w:p w14:paraId="385661A2" w14:textId="77777777" w:rsidR="00665165" w:rsidRPr="00925F26" w:rsidRDefault="00665165" w:rsidP="00925F26">
      <w:pPr>
        <w:autoSpaceDE w:val="0"/>
        <w:autoSpaceDN w:val="0"/>
        <w:adjustRightInd w:val="0"/>
        <w:jc w:val="both"/>
        <w:rPr>
          <w:color w:val="000000" w:themeColor="text1"/>
          <w:sz w:val="16"/>
          <w:szCs w:val="16"/>
        </w:rPr>
      </w:pPr>
    </w:p>
    <w:p w14:paraId="64EC54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апреля 1945 закончились испытания объекта 701 № 5 в тяжелых дорожных условиях, которые проходили с 30 1945. По ре</w:t>
      </w:r>
      <w:r w:rsidRPr="00925F26">
        <w:rPr>
          <w:color w:val="000000" w:themeColor="text1"/>
          <w:sz w:val="16"/>
          <w:szCs w:val="16"/>
        </w:rPr>
        <w:softHyphen/>
        <w:t>шению комиссии танк дополнительные испытания выдер</w:t>
      </w:r>
      <w:r w:rsidRPr="00925F26">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985AF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DE66242" w14:textId="77777777" w:rsidR="007D191E" w:rsidRPr="00925F26" w:rsidRDefault="007D191E" w:rsidP="00925F26">
      <w:pPr>
        <w:jc w:val="both"/>
        <w:rPr>
          <w:color w:val="000000" w:themeColor="text1"/>
          <w:sz w:val="16"/>
          <w:szCs w:val="16"/>
        </w:rPr>
      </w:pPr>
      <w:r w:rsidRPr="00925F26">
        <w:rPr>
          <w:color w:val="000000" w:themeColor="text1"/>
          <w:sz w:val="16"/>
          <w:szCs w:val="16"/>
        </w:rPr>
        <w:t>9 апреля 1945 г. в последнем из 24 донесений по полигонным испытаниям первого опытного образца танка Т-54, изготовленного заводом № 183 на НИБТ Полигоне Кульчицкий сообщил следующее:</w:t>
      </w:r>
    </w:p>
    <w:p w14:paraId="3A547E8E" w14:textId="77777777" w:rsidR="007D191E" w:rsidRPr="00925F26" w:rsidRDefault="007D191E" w:rsidP="00925F26">
      <w:pPr>
        <w:jc w:val="both"/>
        <w:rPr>
          <w:color w:val="000000" w:themeColor="text1"/>
          <w:sz w:val="16"/>
          <w:szCs w:val="16"/>
        </w:rPr>
      </w:pPr>
      <w:r w:rsidRPr="00925F26">
        <w:rPr>
          <w:color w:val="000000" w:themeColor="text1"/>
          <w:sz w:val="16"/>
          <w:szCs w:val="16"/>
        </w:rPr>
        <w:t>«9.4.45 г. проводились специспытания – валка деревьев.</w:t>
      </w:r>
    </w:p>
    <w:p w14:paraId="5687DBBC" w14:textId="77777777" w:rsidR="007D191E" w:rsidRPr="00925F26" w:rsidRDefault="007D191E" w:rsidP="00925F26">
      <w:pPr>
        <w:jc w:val="both"/>
        <w:rPr>
          <w:color w:val="000000" w:themeColor="text1"/>
          <w:sz w:val="16"/>
          <w:szCs w:val="16"/>
        </w:rPr>
      </w:pPr>
      <w:r w:rsidRPr="00925F26">
        <w:rPr>
          <w:color w:val="000000" w:themeColor="text1"/>
          <w:sz w:val="16"/>
          <w:szCs w:val="16"/>
        </w:rPr>
        <w:t>Пройдено за пробег – 17 км.</w:t>
      </w:r>
    </w:p>
    <w:p w14:paraId="3505A672" w14:textId="77777777" w:rsidR="007D191E" w:rsidRPr="00925F26" w:rsidRDefault="007D191E" w:rsidP="00925F26">
      <w:pPr>
        <w:jc w:val="both"/>
        <w:rPr>
          <w:color w:val="000000" w:themeColor="text1"/>
          <w:sz w:val="16"/>
          <w:szCs w:val="16"/>
        </w:rPr>
      </w:pPr>
      <w:r w:rsidRPr="00925F26">
        <w:rPr>
          <w:color w:val="000000" w:themeColor="text1"/>
          <w:sz w:val="16"/>
          <w:szCs w:val="16"/>
        </w:rPr>
        <w:t>Пройдено с начала испытаний – 1553 км.</w:t>
      </w:r>
    </w:p>
    <w:p w14:paraId="34CF3383" w14:textId="77777777" w:rsidR="007D191E" w:rsidRPr="00925F26" w:rsidRDefault="007D191E" w:rsidP="00925F26">
      <w:pPr>
        <w:jc w:val="both"/>
        <w:rPr>
          <w:color w:val="000000" w:themeColor="text1"/>
          <w:sz w:val="16"/>
          <w:szCs w:val="16"/>
        </w:rPr>
      </w:pPr>
      <w:r w:rsidRPr="00925F26">
        <w:rPr>
          <w:color w:val="000000" w:themeColor="text1"/>
          <w:sz w:val="16"/>
          <w:szCs w:val="16"/>
        </w:rPr>
        <w:t>Выявленные дефекты.</w:t>
      </w:r>
    </w:p>
    <w:p w14:paraId="0BF8091A" w14:textId="77777777" w:rsidR="007D191E" w:rsidRPr="00925F26" w:rsidRDefault="007D191E" w:rsidP="00925F26">
      <w:pPr>
        <w:jc w:val="both"/>
        <w:rPr>
          <w:color w:val="000000" w:themeColor="text1"/>
          <w:sz w:val="16"/>
          <w:szCs w:val="16"/>
        </w:rPr>
      </w:pPr>
      <w:r w:rsidRPr="00925F26">
        <w:rPr>
          <w:color w:val="000000" w:themeColor="text1"/>
          <w:sz w:val="16"/>
          <w:szCs w:val="16"/>
        </w:rPr>
        <w:t>Отказал в работе стартер.</w:t>
      </w:r>
    </w:p>
    <w:p w14:paraId="4581DC1F" w14:textId="0EC5CF19" w:rsidR="007D191E" w:rsidRPr="00925F26" w:rsidRDefault="007D191E" w:rsidP="00925F26">
      <w:pPr>
        <w:jc w:val="both"/>
        <w:rPr>
          <w:color w:val="000000" w:themeColor="text1"/>
          <w:sz w:val="16"/>
          <w:szCs w:val="16"/>
        </w:rPr>
      </w:pPr>
      <w:r w:rsidRPr="00925F26">
        <w:rPr>
          <w:color w:val="000000" w:themeColor="text1"/>
          <w:sz w:val="16"/>
          <w:szCs w:val="16"/>
        </w:rPr>
        <w:t>Состояние танка.</w:t>
      </w:r>
      <w:r w:rsidR="00997EDF" w:rsidRPr="00925F26">
        <w:rPr>
          <w:color w:val="000000" w:themeColor="text1"/>
          <w:sz w:val="16"/>
          <w:szCs w:val="16"/>
        </w:rPr>
        <w:t xml:space="preserve">  </w:t>
      </w:r>
      <w:r w:rsidRPr="00925F26">
        <w:rPr>
          <w:color w:val="000000" w:themeColor="text1"/>
          <w:sz w:val="16"/>
          <w:szCs w:val="16"/>
        </w:rPr>
        <w:t>Испытания танка закончены полностью. 10.4.45 г. машина будет поставлена на разборку трансмиссии и ходовой части для осмотра».</w:t>
      </w:r>
    </w:p>
    <w:p w14:paraId="21E67B83" w14:textId="77777777" w:rsidR="007D191E" w:rsidRPr="00925F26" w:rsidRDefault="007D191E" w:rsidP="00925F26">
      <w:pPr>
        <w:jc w:val="both"/>
        <w:rPr>
          <w:color w:val="000000" w:themeColor="text1"/>
          <w:sz w:val="16"/>
          <w:szCs w:val="16"/>
        </w:rPr>
      </w:pPr>
      <w:r w:rsidRPr="00925F26">
        <w:rPr>
          <w:color w:val="000000" w:themeColor="text1"/>
          <w:sz w:val="16"/>
          <w:szCs w:val="16"/>
        </w:rPr>
        <w:lastRenderedPageBreak/>
        <w:t>[ЦАМО. Ф. 38. Оп. 11355. Д. 3013. Л. 42] (21209).</w:t>
      </w:r>
    </w:p>
    <w:p w14:paraId="221D19CC" w14:textId="77777777" w:rsidR="007D191E" w:rsidRPr="00925F26" w:rsidRDefault="007D191E" w:rsidP="00925F26">
      <w:pPr>
        <w:jc w:val="both"/>
        <w:rPr>
          <w:color w:val="000000" w:themeColor="text1"/>
          <w:sz w:val="16"/>
          <w:szCs w:val="16"/>
        </w:rPr>
      </w:pPr>
    </w:p>
    <w:p w14:paraId="78BCCE8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апреля 1945 вышло Распоряжение ГКО № 8058 [О мерах по обеспечению строительными материалами строек и предприятий НКЧМ, НКЦМ, НКЭС, НКПС, НКУП и НКНП.] (7322, 164-165,166-173).</w:t>
      </w:r>
    </w:p>
    <w:p w14:paraId="7E4C008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BD6C6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апреля 1945 вышло Распоряжение ГКО № 8059 [О направлении 2000 интернированных немцев на строительство узкоколейной ветки для обеспечения торфом УЗТМ.] (7322, 174).</w:t>
      </w:r>
    </w:p>
    <w:p w14:paraId="31F45CC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698CC7D" w14:textId="77777777" w:rsidR="00DE25E5" w:rsidRPr="00925F26" w:rsidRDefault="00DE25E5" w:rsidP="00925F26">
      <w:pPr>
        <w:pStyle w:val="book"/>
        <w:ind w:firstLine="0"/>
        <w:jc w:val="both"/>
        <w:rPr>
          <w:color w:val="000000" w:themeColor="text1"/>
          <w:sz w:val="16"/>
          <w:szCs w:val="16"/>
        </w:rPr>
      </w:pPr>
      <w:r w:rsidRPr="00925F26">
        <w:rPr>
          <w:color w:val="000000" w:themeColor="text1"/>
          <w:sz w:val="16"/>
          <w:szCs w:val="16"/>
        </w:rPr>
        <w:t>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2EE98ABD" w14:textId="77777777" w:rsidR="00DE25E5" w:rsidRPr="00925F26" w:rsidRDefault="00DE25E5" w:rsidP="00925F26">
      <w:pPr>
        <w:pStyle w:val="book"/>
        <w:ind w:firstLine="0"/>
        <w:jc w:val="both"/>
        <w:rPr>
          <w:color w:val="000000" w:themeColor="text1"/>
          <w:sz w:val="16"/>
          <w:szCs w:val="16"/>
        </w:rPr>
      </w:pPr>
    </w:p>
    <w:p w14:paraId="507C386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88C5C53" w14:textId="77777777" w:rsidR="00665165" w:rsidRPr="00925F26" w:rsidRDefault="00665165" w:rsidP="00925F26">
      <w:pPr>
        <w:autoSpaceDE w:val="0"/>
        <w:autoSpaceDN w:val="0"/>
        <w:adjustRightInd w:val="0"/>
        <w:jc w:val="both"/>
        <w:rPr>
          <w:iCs/>
          <w:color w:val="000000" w:themeColor="text1"/>
          <w:sz w:val="16"/>
          <w:szCs w:val="16"/>
        </w:rPr>
      </w:pPr>
    </w:p>
    <w:p w14:paraId="4BBEA9A1"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оперативная сводка Совинформбюро:</w:t>
      </w:r>
    </w:p>
    <w:p w14:paraId="6C7E5848" w14:textId="77777777" w:rsidR="00DE25E5" w:rsidRPr="00925F26" w:rsidRDefault="00DE25E5" w:rsidP="00925F26">
      <w:pPr>
        <w:jc w:val="both"/>
        <w:rPr>
          <w:color w:val="000000" w:themeColor="text1"/>
          <w:sz w:val="16"/>
          <w:szCs w:val="16"/>
        </w:rPr>
      </w:pPr>
      <w:r w:rsidRPr="00925F26">
        <w:rPr>
          <w:color w:val="000000" w:themeColor="text1"/>
          <w:sz w:val="16"/>
          <w:szCs w:val="16"/>
        </w:rPr>
        <w:t>«Войска 3-го Белорусского фронта после упорных уличных боёв завершили разгром Кенигсбергской группы немецких войск и сегодня, 9 апреля, штурмом овладели крепостью и главным городом Восточной Пруссии Кенигсберг — стратегически важным узлом обороны немцев на Балтийском море.</w:t>
      </w:r>
    </w:p>
    <w:p w14:paraId="460DB758" w14:textId="77777777" w:rsidR="00DE25E5" w:rsidRPr="00925F26" w:rsidRDefault="00DE25E5" w:rsidP="00925F26">
      <w:pPr>
        <w:jc w:val="both"/>
        <w:rPr>
          <w:color w:val="000000" w:themeColor="text1"/>
          <w:sz w:val="16"/>
          <w:szCs w:val="16"/>
        </w:rPr>
      </w:pPr>
      <w:r w:rsidRPr="00925F26">
        <w:rPr>
          <w:color w:val="000000" w:themeColor="text1"/>
          <w:sz w:val="16"/>
          <w:szCs w:val="16"/>
        </w:rPr>
        <w:t>За день боёв к 20 часам войска фронта взяли в плен свыше 27.000 немецких солдат и офицеров, а также захватили большое количество вооружения и разного военного имущества.</w:t>
      </w:r>
    </w:p>
    <w:p w14:paraId="173F881C" w14:textId="77777777" w:rsidR="00DE25E5" w:rsidRPr="00925F26" w:rsidRDefault="00DE25E5" w:rsidP="00925F26">
      <w:pPr>
        <w:jc w:val="both"/>
        <w:rPr>
          <w:color w:val="000000" w:themeColor="text1"/>
          <w:sz w:val="16"/>
          <w:szCs w:val="16"/>
        </w:rPr>
      </w:pPr>
      <w:r w:rsidRPr="00925F26">
        <w:rPr>
          <w:color w:val="000000" w:themeColor="text1"/>
          <w:sz w:val="16"/>
          <w:szCs w:val="16"/>
        </w:rPr>
        <w:t>Остатки Кенигсбергского гарнизона во главе с комендантом крепости — генералом от инфантерии Ляш и его штабом сегодня, в 21 час 30 минут, прекратили сопротивление и сложили оружие.</w:t>
      </w:r>
    </w:p>
    <w:p w14:paraId="7B55452D" w14:textId="77777777" w:rsidR="00DE25E5" w:rsidRPr="00925F26" w:rsidRDefault="00DE25E5" w:rsidP="00925F26">
      <w:pPr>
        <w:jc w:val="both"/>
        <w:rPr>
          <w:color w:val="000000" w:themeColor="text1"/>
          <w:sz w:val="16"/>
          <w:szCs w:val="16"/>
        </w:rPr>
      </w:pPr>
      <w:r w:rsidRPr="00925F26">
        <w:rPr>
          <w:color w:val="000000" w:themeColor="text1"/>
          <w:sz w:val="16"/>
          <w:szCs w:val="16"/>
        </w:rPr>
        <w:t>Северо-восточнее и севернее Братиславы войска 2-го Украинского фронта, продолжая наступление, заняли на территории Чехословакии более 40 населённых пунктов, в числе которых крупные населённые пункты Соблагов, Бецков, Стара Тура, Соботиште, Лопашов, Радимов. Западнее Братиславы войска фронта наступали по северному берегу Дуная на Вену и заняли населённые пункты Цверндорф, Обер Вайден, Шенфельд, Ласзее, Харингзее, Фуксенбигль, Штраудорф, Орт, Мансдорф, Шенау. В боях за 8 апреля войска фронта взяли в плен более 2.000 солдат и офицеров противника.</w:t>
      </w:r>
    </w:p>
    <w:p w14:paraId="114BD998" w14:textId="77777777" w:rsidR="00DE25E5" w:rsidRPr="00925F26" w:rsidRDefault="00DE25E5" w:rsidP="00925F26">
      <w:pPr>
        <w:jc w:val="both"/>
        <w:rPr>
          <w:color w:val="000000" w:themeColor="text1"/>
          <w:sz w:val="16"/>
          <w:szCs w:val="16"/>
        </w:rPr>
      </w:pPr>
      <w:r w:rsidRPr="00925F26">
        <w:rPr>
          <w:color w:val="000000" w:themeColor="text1"/>
          <w:sz w:val="16"/>
          <w:szCs w:val="16"/>
        </w:rPr>
        <w:t>Войска 3-го Украинского фронта, продолжая уличные бои в Вене, заняли центр города, захватив при этом здания парламента, городской ратуши, главного полицейского управления, центрального городского телеграфа, центрального европейского банка, оперного театра. Южнее Вены войска фронта с боем заняли город Берндорф. В боях за 8 апреля войска фронта взяли в плен более 1.700 солдат и офицеров противника и захватили следующие трофеи: самолётов — 25, танков и самоходных орудий— 191, бронетранспортёров — 30, полевых орудий — 245, миномётов — 50, пулемётов — 106, паровозов — 30, вагонов — 1.665, складов с военным имуществом — 42.</w:t>
      </w:r>
    </w:p>
    <w:p w14:paraId="25E754A4" w14:textId="77777777" w:rsidR="00DE25E5" w:rsidRPr="00925F26" w:rsidRDefault="00DE25E5"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произошло.</w:t>
      </w:r>
    </w:p>
    <w:p w14:paraId="36A6E8CD" w14:textId="77777777" w:rsidR="00DE25E5" w:rsidRPr="00925F26" w:rsidRDefault="00DE25E5" w:rsidP="00925F26">
      <w:pPr>
        <w:jc w:val="both"/>
        <w:rPr>
          <w:color w:val="000000" w:themeColor="text1"/>
          <w:sz w:val="16"/>
          <w:szCs w:val="16"/>
        </w:rPr>
      </w:pPr>
      <w:r w:rsidRPr="00925F26">
        <w:rPr>
          <w:color w:val="000000" w:themeColor="text1"/>
          <w:sz w:val="16"/>
          <w:szCs w:val="16"/>
        </w:rPr>
        <w:t>За 8 апреля на всех фронтах подбито и уничтожено 50 немецких танков и самоходных орудий. В воздушных боях и огнём зенитной артиллерии сбито 42 самолёта противника.</w:t>
      </w:r>
    </w:p>
    <w:p w14:paraId="3C3DD66A" w14:textId="77777777" w:rsidR="00DE25E5" w:rsidRPr="00925F26" w:rsidRDefault="00DE25E5" w:rsidP="00925F26">
      <w:pPr>
        <w:jc w:val="both"/>
        <w:rPr>
          <w:color w:val="000000" w:themeColor="text1"/>
          <w:sz w:val="16"/>
          <w:szCs w:val="16"/>
        </w:rPr>
      </w:pPr>
      <w:r w:rsidRPr="00925F26">
        <w:rPr>
          <w:color w:val="000000" w:themeColor="text1"/>
          <w:sz w:val="16"/>
          <w:szCs w:val="16"/>
        </w:rPr>
        <w:t>Удары авиации Краснознамённого Балтийского флота по кораблям и транспортам противника</w:t>
      </w:r>
    </w:p>
    <w:p w14:paraId="2B578776" w14:textId="77777777" w:rsidR="00DE25E5" w:rsidRPr="00925F26" w:rsidRDefault="00DE25E5" w:rsidP="00925F26">
      <w:pPr>
        <w:jc w:val="both"/>
        <w:rPr>
          <w:color w:val="000000" w:themeColor="text1"/>
          <w:sz w:val="16"/>
          <w:szCs w:val="16"/>
        </w:rPr>
      </w:pPr>
      <w:r w:rsidRPr="00925F26">
        <w:rPr>
          <w:color w:val="000000" w:themeColor="text1"/>
          <w:sz w:val="16"/>
          <w:szCs w:val="16"/>
        </w:rPr>
        <w:t>В течение 7 и 8 апреля авиация Краснознаменного Балтийского флота наносила удары по кораблям и транспортам противника в порту Пиллау и в Данцигской бухте. В результате этих ударов потоплено: девять немецких транспортов общим водоизмещением в 36.000 тонн, один миноносец, два сторожевых корабля и две быстроходные десантные баржи. Прямым попаданием бомб повреждены: один крейсер, один миноносец, один тральщик и два транспорта противника водоизмещением в 6.000 и 4.000 тонн.</w:t>
      </w:r>
    </w:p>
    <w:p w14:paraId="57F4835F" w14:textId="77777777" w:rsidR="00DE25E5" w:rsidRPr="00925F26" w:rsidRDefault="00DE25E5" w:rsidP="00925F26">
      <w:pPr>
        <w:jc w:val="both"/>
        <w:rPr>
          <w:color w:val="000000" w:themeColor="text1"/>
          <w:sz w:val="16"/>
          <w:szCs w:val="16"/>
        </w:rPr>
      </w:pPr>
      <w:r w:rsidRPr="00925F26">
        <w:rPr>
          <w:color w:val="000000" w:themeColor="text1"/>
          <w:sz w:val="16"/>
          <w:szCs w:val="16"/>
        </w:rPr>
        <w:t>Войска 3-го Белорусского фронта сегодня после двухдневного штурма овладели крепостью и главным городом Восточной Пруссии Кенигсбергом. В боях за Кенигсберг советские воины вписали ещё одну славную страницу в историю героической борьбы Красной Армии против немецко-фашистских захватчиков. Кенигсберг — старинная первоклассная крепость. За последние годы противник модернизировал её и до предела оснастил мошной боевой техникой. Многочисленные форты с крепостной артиллерией, сотни железобетонных дотов, связанные подземными ходами сообщения, противотанковые рвы и широко развитая сеть укреплений полевого типа прикрывали город со всех сторон. Кенигсберг обороняла крупная группировка немецких войск, располагавшая большими запасами вооружения и боеприпасов. Гитлер отдал кенигсбергскому гарнизону строжайший приказ — удерживать крепость до последнего солдата. Специальные отряды эсэсовцев и гестаповцев расстреливали на месте каждого солдата или офицера, который пытался самовольно оставить позиции или сдаться в плен. В результате сокрушительных ударов артиллерии, массированных бомбардировок с воздуха и стремительных атак советской пехоты и танков внешний оборонительный обвод Кенигсберга был преодолён. Бои переместились на улицы города. Немцы подготовились к длительной обороне и превратили каменные дома в опорные пункты. Многие постройки они взорвали для того, чтобы расчистить сектор обстрела и устроить завалы на улицах. Продолжая штурм города, наши части, наступающие с северо-запада, заняли ряд городских кварталов. В боях в этом районе уничтожено несколько тысяч немецких солдат и офицеров и захвачено более 500 орудий. Другие наши части овладели северными и восточными фортами Кенигсберга и ворвались в город с востока. Советские гвардейские части стремительным ударом овладели южной частью Кенигсберга до реки Прегель, форсировали реку и атаковали немцев в центральных районах города. Только за первый день штурма гвардейцы захватили большое количество вооружения, 2 бронепоезда, более 100 паровозов и свыше 7 тысяч железнодорожных вагонов. Наши штурмовые отряды, усиленные танками и самоходными орудиями, очищали от врага квартал за кварталом, брали с боя каждое укреплённое здание. Не выдержав ударов наших войск, гарнизоны отдельных опорных пунктов стали сдаваться в плен. Капитулировал гарнизон форта № 5А. В другом форту вражеский гарнизон сдался после того, как половина его личного состава была ликвидирована. Вскоре пала городская цитадель. Наши войска к исходу дня подавили последние очаги сопротивления противника и полностью овладели городом и крепостью Кенигсберг.</w:t>
      </w:r>
    </w:p>
    <w:p w14:paraId="5A60B49E" w14:textId="77777777" w:rsidR="00DE25E5" w:rsidRPr="00925F26" w:rsidRDefault="00DE25E5" w:rsidP="00925F26">
      <w:pPr>
        <w:jc w:val="both"/>
        <w:rPr>
          <w:color w:val="000000" w:themeColor="text1"/>
          <w:sz w:val="16"/>
          <w:szCs w:val="16"/>
        </w:rPr>
      </w:pPr>
      <w:r w:rsidRPr="00925F26">
        <w:rPr>
          <w:color w:val="000000" w:themeColor="text1"/>
          <w:sz w:val="16"/>
          <w:szCs w:val="16"/>
        </w:rPr>
        <w:t>Северо-восточнее Братиславы наши части преодолели горы Глновецке и вышли на подступы к городу Тренчин — важному опорному пункту обороны немцев на левом берегу реки Ваг. В боях за день на этом участке уничтожено до батальона гитлеровцев. Захвачено 750 пленных, в том числе 61 офицер. В районе между реками Ваг и Морава противник ввёл в бой охранные батальоны. Преодолевая вражеское сопротивление, советские части продвинулись вперёд и заняли несколько населенных пунктов.</w:t>
      </w:r>
    </w:p>
    <w:p w14:paraId="4AFDFAD2" w14:textId="77777777" w:rsidR="00DE25E5" w:rsidRPr="00925F26" w:rsidRDefault="00DE25E5" w:rsidP="00925F26">
      <w:pPr>
        <w:jc w:val="both"/>
        <w:rPr>
          <w:color w:val="000000" w:themeColor="text1"/>
          <w:sz w:val="16"/>
          <w:szCs w:val="16"/>
        </w:rPr>
      </w:pPr>
      <w:r w:rsidRPr="00925F26">
        <w:rPr>
          <w:color w:val="000000" w:themeColor="text1"/>
          <w:sz w:val="16"/>
          <w:szCs w:val="16"/>
        </w:rPr>
        <w:t>Западнее Братиславы наши войска с боями продвигались по северному берегу Дуная в направлении Вены. Немцы, опираясь на заранее подготовленные позиции, неоднократно переходили в контратаки. Советские части отбросили врага и заняли несколько населённых пунктов, в том числе опорный пункт Мансдорф, находящийся в 15 километрах от Вены.</w:t>
      </w:r>
    </w:p>
    <w:p w14:paraId="0C8C39F0" w14:textId="77777777" w:rsidR="00DE25E5" w:rsidRPr="00925F26" w:rsidRDefault="00DE25E5" w:rsidP="00925F26">
      <w:pPr>
        <w:jc w:val="both"/>
        <w:rPr>
          <w:color w:val="000000" w:themeColor="text1"/>
          <w:sz w:val="16"/>
          <w:szCs w:val="16"/>
        </w:rPr>
      </w:pPr>
      <w:r w:rsidRPr="00925F26">
        <w:rPr>
          <w:color w:val="000000" w:themeColor="text1"/>
          <w:sz w:val="16"/>
          <w:szCs w:val="16"/>
        </w:rPr>
        <w:t>Войска 3-го Украинского фронта вели успешные бои на улицах Вены. Нанося удары с юго-востока, юга, запада и северо-запада, советские части, преодолевая упорное сопротивление противника, очищают от немцев квартал за кварталом. Наши войска, продвигающиеся вдоль Дунайского канала, овладели механическим заводом, тазовым заводом, городской радиостанцией, казармами и ведут бои в районе монетного двора. Гвардейские пехотные и танковые соединения, наступающие с запада, прорвались в центральные районы города и овладели центром австрийской столицы. За день боёв уничтожено несколько тысяч солдат и офицеров противника.</w:t>
      </w:r>
    </w:p>
    <w:p w14:paraId="7A975206" w14:textId="77777777" w:rsidR="00DE25E5" w:rsidRPr="00925F26" w:rsidRDefault="00DE25E5" w:rsidP="00925F26">
      <w:pPr>
        <w:jc w:val="both"/>
        <w:rPr>
          <w:color w:val="000000" w:themeColor="text1"/>
          <w:sz w:val="16"/>
          <w:szCs w:val="16"/>
        </w:rPr>
      </w:pPr>
      <w:r w:rsidRPr="00925F26">
        <w:rPr>
          <w:color w:val="000000" w:themeColor="text1"/>
          <w:sz w:val="16"/>
          <w:szCs w:val="16"/>
        </w:rPr>
        <w:t>Население освобождённых австрийских сёл и городов тепло и радушно встречает части Красной Армии. В селе Шаттендорф жители приветствовали советских бойцов возгласами: «Да здравствует Красная Армия!» Местный учитель Пауль Пинтер заявил: «Немецкие фашисты оккупировали нашу страну и ввергли австрийский народ в войну. Мы хотели поражения Германии в этой войне и восстановления свободной и независимой Австрии». Жители села указали советским бойцам, где находится оставленный немцами склад оружия и боеприпасов. В населённом пункте Баумгартен все жители остались на месте. Рабочий Томас Мершиц рассказал: «Немецкие военные власти издали строжайший приказ, в котором предложили всем жителям эвакуироваться. Несмотря на это, никто не покинул села. Мы приветствуем Красную Армию, как свою освободительницу от гитлеровского режима». Местный священник Мартин Мершиц заявил: «Мы с нетерпением ожидали прихода Красной Армии. Когда передовые советские части приблизились к селу, всё население вышло на улицы. С радостью мы приветствовали русских солдат и офицеров, освободивших нас от гитлеровского ярма». В населённом пункте Дойч-Кронц ещё за два дня да прихода советских войск над зданием местной управы неизвестными был вывешен австрийский национальный флаг.» (15094).</w:t>
      </w:r>
    </w:p>
    <w:p w14:paraId="1A32A5F8" w14:textId="77777777" w:rsidR="00DE25E5" w:rsidRPr="00925F26" w:rsidRDefault="00DE25E5" w:rsidP="00925F26">
      <w:pPr>
        <w:jc w:val="both"/>
        <w:rPr>
          <w:color w:val="000000" w:themeColor="text1"/>
          <w:sz w:val="16"/>
          <w:szCs w:val="16"/>
        </w:rPr>
      </w:pPr>
    </w:p>
    <w:p w14:paraId="2415E3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апреля 1945 г. перелет 571-го шап к месту постоян</w:t>
      </w:r>
      <w:r w:rsidRPr="00925F26">
        <w:rPr>
          <w:color w:val="000000" w:themeColor="text1"/>
          <w:sz w:val="16"/>
          <w:szCs w:val="16"/>
        </w:rPr>
        <w:softHyphen/>
        <w:t>ного базирования на аэродроме Щигловице (Польша) в целом успешно завер</w:t>
      </w:r>
      <w:r w:rsidRPr="00925F26">
        <w:rPr>
          <w:color w:val="000000" w:themeColor="text1"/>
          <w:sz w:val="16"/>
          <w:szCs w:val="16"/>
        </w:rPr>
        <w:softHyphen/>
        <w:t>шилсяю Из 42 самолетов до фронта долетели 35. Две «десятки» были разбиты и списаны, три вынужден</w:t>
      </w:r>
      <w:r w:rsidRPr="00925F26">
        <w:rPr>
          <w:color w:val="000000" w:themeColor="text1"/>
          <w:sz w:val="16"/>
          <w:szCs w:val="16"/>
        </w:rPr>
        <w:softHyphen/>
        <w:t>но сели в районе Юзефув (из них два требовали списания), одна - в Борисоглебске и одна - в Кракове. Сразу же по прилету командир полка подполковник Безух получил приказ ко</w:t>
      </w:r>
      <w:r w:rsidRPr="00925F26">
        <w:rPr>
          <w:color w:val="000000" w:themeColor="text1"/>
          <w:sz w:val="16"/>
          <w:szCs w:val="16"/>
        </w:rPr>
        <w:softHyphen/>
        <w:t xml:space="preserve">мандира 224-й шад генерал-майора </w:t>
      </w:r>
      <w:proofErr w:type="gramStart"/>
      <w:r w:rsidRPr="00925F26">
        <w:rPr>
          <w:color w:val="000000" w:themeColor="text1"/>
          <w:sz w:val="16"/>
          <w:szCs w:val="16"/>
        </w:rPr>
        <w:t>Ко-тельникова</w:t>
      </w:r>
      <w:proofErr w:type="gramEnd"/>
      <w:r w:rsidRPr="00925F26">
        <w:rPr>
          <w:color w:val="000000" w:themeColor="text1"/>
          <w:sz w:val="16"/>
          <w:szCs w:val="16"/>
        </w:rPr>
        <w:t xml:space="preserve"> «немедленно приступить к вводу полка в боевую работу согласно плана». До 14 апреля включительно лет</w:t>
      </w:r>
      <w:r w:rsidRPr="00925F26">
        <w:rPr>
          <w:color w:val="000000" w:themeColor="text1"/>
          <w:sz w:val="16"/>
          <w:szCs w:val="16"/>
        </w:rPr>
        <w:softHyphen/>
        <w:t>ный состав занимался наземной подго</w:t>
      </w:r>
      <w:r w:rsidRPr="00925F26">
        <w:rPr>
          <w:color w:val="000000" w:themeColor="text1"/>
          <w:sz w:val="16"/>
          <w:szCs w:val="16"/>
        </w:rPr>
        <w:softHyphen/>
        <w:t>товкой и учебно-тренировочными поле</w:t>
      </w:r>
      <w:r w:rsidRPr="00925F26">
        <w:rPr>
          <w:color w:val="000000" w:themeColor="text1"/>
          <w:sz w:val="16"/>
          <w:szCs w:val="16"/>
        </w:rPr>
        <w:softHyphen/>
        <w:t xml:space="preserve">тами. При </w:t>
      </w:r>
      <w:r w:rsidRPr="00925F26">
        <w:rPr>
          <w:color w:val="000000" w:themeColor="text1"/>
          <w:sz w:val="16"/>
          <w:szCs w:val="16"/>
        </w:rPr>
        <w:lastRenderedPageBreak/>
        <w:t>этом каждый летчик выполнил по одному полету на полигон на бомбо</w:t>
      </w:r>
      <w:r w:rsidRPr="00925F26">
        <w:rPr>
          <w:color w:val="000000" w:themeColor="text1"/>
          <w:sz w:val="16"/>
          <w:szCs w:val="16"/>
        </w:rPr>
        <w:softHyphen/>
        <w:t>метание и стрельбу по наземной цели. На этой стадии вышли из строя три штурмовика (в том числе два - после вынужденных посадок) (10681).</w:t>
      </w:r>
    </w:p>
    <w:p w14:paraId="76BBE5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14DB1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апреля 1945 г. успешно завершился перелет 571-го штурмового авиа</w:t>
      </w:r>
      <w:r w:rsidRPr="00925F26">
        <w:rPr>
          <w:color w:val="000000" w:themeColor="text1"/>
          <w:sz w:val="16"/>
          <w:szCs w:val="16"/>
        </w:rPr>
        <w:softHyphen/>
        <w:t>полка к месту постоянного базирова</w:t>
      </w:r>
      <w:r w:rsidRPr="00925F26">
        <w:rPr>
          <w:color w:val="000000" w:themeColor="text1"/>
          <w:sz w:val="16"/>
          <w:szCs w:val="16"/>
        </w:rPr>
        <w:softHyphen/>
        <w:t>ния на аэродром Щигловице 8 ВА в целом Из 42 самолетов Ил-10 до фронта долетело 35 машин. Две «де</w:t>
      </w:r>
      <w:r w:rsidRPr="00925F26">
        <w:rPr>
          <w:color w:val="000000" w:themeColor="text1"/>
          <w:sz w:val="16"/>
          <w:szCs w:val="16"/>
        </w:rPr>
        <w:softHyphen/>
        <w:t>сятки» были разбиты и списаны, три самолета находились на вынужденных посадках в районе Юзефув (из них два самолета требовали списания), один самолет - в Борисоглебске и один - в Кракове. Как следует из архивных докумен</w:t>
      </w:r>
      <w:r w:rsidRPr="00925F26">
        <w:rPr>
          <w:color w:val="000000" w:themeColor="text1"/>
          <w:sz w:val="16"/>
          <w:szCs w:val="16"/>
        </w:rPr>
        <w:softHyphen/>
        <w:t>тов, в боевых действиях на самолетах Ил-10 успели принять участие только три полка - 571-й шап п-п-ка Безух, 108-й гшап п-п-ка Топилина и 118-й гшап п-п-ка Верещинского. При этом больше всех и интенсивнее всех вое</w:t>
      </w:r>
      <w:r w:rsidRPr="00925F26">
        <w:rPr>
          <w:color w:val="000000" w:themeColor="text1"/>
          <w:sz w:val="16"/>
          <w:szCs w:val="16"/>
        </w:rPr>
        <w:softHyphen/>
        <w:t>вал 571-й штурмовой авиаполк. Да и бои у него были самые тяжелые (11157).</w:t>
      </w:r>
    </w:p>
    <w:p w14:paraId="3C98CC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CE9C39B"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9 апреля 1945 года завершился перелет 571 шап к месту постоянного базирования на аэродром Щигловице (8 км южнее Глейвиц). Полк вошел в состав 224 шад 8 шак 8 ВА. Из 42 самолетов Ил-10 до фронта долетело 35 машин. Две «десятки» были разбиты и списаны, три самолета находились на вынужденных посадках в районе Юзефув (из них два самолета требовали списания), один самолет - в Борисоглебске и один - в Кракове.</w:t>
      </w:r>
    </w:p>
    <w:p w14:paraId="3F01F63D"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Сразу же по прилете командир полка подполковник Безух получил приказ командира 224 шад генерал -майора Котельникова «немедленно приступить к вводу полка в боевую работу согласно плану».</w:t>
      </w:r>
    </w:p>
    <w:p w14:paraId="49504F56"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До 14 апреля включительно летный состав полка боевой работы не вел, занимался наземной и учебно-боевой подготовкой на Ил-10, отрабатывая упражнения по «Курсу боевой подготовки штурмовой авиации 1944 г.».</w:t>
      </w:r>
    </w:p>
    <w:p w14:paraId="29007388"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В общей сложности было выполнено 133 учебно-тренировочных полета с налетом 84 ч 23 мин, в том числе на боевое применение 57 полетов с налетом 25 ч 39 мин. На каждого летчика полка приходилось по одному полету на полигон на бомбометание и стрельбу по наземной цели. Средний балл выполнения задания составил 3,2.</w:t>
      </w:r>
    </w:p>
    <w:p w14:paraId="115CE15B"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За это время произошло три летных происшествия. На самолете Ил-10 (зав. № 1893303) младшего лейтенанта Волкова при выполнении посадки 11 апреля «лопнули» подкосы шасси. В результате погнут винт, снесено шасси, поломаны всасывающая труба и створки бомболюков, повреждена обшивка центроплана и правая консоль крыла.</w:t>
      </w:r>
    </w:p>
    <w:p w14:paraId="333E1555"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На Ил-10 (зав. № 1890304) младшего лейтенанта Абадзе 13 апреля в воздухе оборвался шатун мотора. Летчик сел на вынужденную посадку в районе дер. Грусс. В этот же день старший лейтенант Урайкин при полете по маршруту, выработав раньше срока горючее, произвел вынужденную посадку в районе дер. Нейездорф. «Десятка» была сдана в ПАРМ для ремонта и замены мотора (17490).</w:t>
      </w:r>
    </w:p>
    <w:p w14:paraId="6FC53D56" w14:textId="77777777" w:rsidR="00117BE3" w:rsidRPr="00925F26" w:rsidRDefault="00117BE3" w:rsidP="00925F26">
      <w:pPr>
        <w:jc w:val="both"/>
        <w:rPr>
          <w:color w:val="000000" w:themeColor="text1"/>
          <w:sz w:val="16"/>
          <w:szCs w:val="16"/>
        </w:rPr>
      </w:pPr>
    </w:p>
    <w:p w14:paraId="7CCEF5D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9 апреля 1945 войска 11-ой гвардейской </w:t>
      </w:r>
      <w:proofErr w:type="gramStart"/>
      <w:r w:rsidRPr="00925F26">
        <w:rPr>
          <w:color w:val="000000" w:themeColor="text1"/>
          <w:sz w:val="16"/>
          <w:szCs w:val="16"/>
        </w:rPr>
        <w:t>армии ,</w:t>
      </w:r>
      <w:proofErr w:type="gramEnd"/>
      <w:r w:rsidRPr="00925F26">
        <w:rPr>
          <w:color w:val="000000" w:themeColor="text1"/>
          <w:sz w:val="16"/>
          <w:szCs w:val="16"/>
        </w:rPr>
        <w:t xml:space="preserve"> 3-го Белорусского фронта овладели Кёнигсбергом (</w:t>
      </w:r>
      <w:proofErr w:type="gramStart"/>
      <w:r w:rsidRPr="00925F26">
        <w:rPr>
          <w:color w:val="000000" w:themeColor="text1"/>
          <w:sz w:val="16"/>
          <w:szCs w:val="16"/>
        </w:rPr>
        <w:t>4963 )</w:t>
      </w:r>
      <w:proofErr w:type="gramEnd"/>
      <w:r w:rsidRPr="00925F26">
        <w:rPr>
          <w:color w:val="000000" w:themeColor="text1"/>
          <w:sz w:val="16"/>
          <w:szCs w:val="16"/>
        </w:rPr>
        <w:t>.</w:t>
      </w:r>
    </w:p>
    <w:p w14:paraId="2AB92A3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C95715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9th, 1945: In the East, the fortress city of Konigsberg falls to the Red Army. In Italy, the US fifth Army (Clark) begins an offensive toward Bologna and the Po river valley (3819).</w:t>
      </w:r>
    </w:p>
    <w:p w14:paraId="2C2A365B" w14:textId="77777777" w:rsidR="00665165" w:rsidRPr="00925F26" w:rsidRDefault="00665165" w:rsidP="00925F26">
      <w:pPr>
        <w:autoSpaceDE w:val="0"/>
        <w:autoSpaceDN w:val="0"/>
        <w:adjustRightInd w:val="0"/>
        <w:jc w:val="both"/>
        <w:rPr>
          <w:color w:val="000000" w:themeColor="text1"/>
          <w:sz w:val="16"/>
          <w:szCs w:val="16"/>
          <w:lang w:val="en-US"/>
        </w:rPr>
      </w:pPr>
    </w:p>
    <w:p w14:paraId="6A73F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взяли Кенигсберг (1103,229) после массированного удара артиллерии и авиации (до 1500 самолетов) крепость капитулировала (2438,306).</w:t>
      </w:r>
    </w:p>
    <w:p w14:paraId="7EF46C5E" w14:textId="77777777" w:rsidR="00665165" w:rsidRPr="00925F26" w:rsidRDefault="00665165" w:rsidP="00925F26">
      <w:pPr>
        <w:autoSpaceDE w:val="0"/>
        <w:autoSpaceDN w:val="0"/>
        <w:adjustRightInd w:val="0"/>
        <w:jc w:val="both"/>
        <w:rPr>
          <w:color w:val="000000" w:themeColor="text1"/>
          <w:sz w:val="16"/>
          <w:szCs w:val="16"/>
        </w:rPr>
      </w:pPr>
    </w:p>
    <w:p w14:paraId="01EE4B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г. 27 Пе-2 из 12 гв. бап (гвардейского бомбардировочного авиационнного Таллинского Краснознаменного ордена Ушакова полка (бывший 73-й бап), которым командовал Дважды Герой Советского Союза полковник В.И. Раков, а позднее - Герой Советского Союза майор К.И. Усенк) обомбили вражеские корабли и суда в гавани Пиллау. Совместно с штурмовиками из 47-го шап им удалось потопить до 8 транспортов, танкер и два сторожевых корабля, еще большее число неприятельских судов получило повреждения. За период с 9 по 25 апреля по ВМБ Пиллау в ходе пяти массированных налетов было совершено до 900 боевых вылетов, из них 141 самолетами Пе-2. По данным штаба ВВС КБФ противник понес значительные потери: не менее 50 кораблей и судов были потоплены или получили повреждения (4476).</w:t>
      </w:r>
    </w:p>
    <w:p w14:paraId="2DC0651E" w14:textId="77777777" w:rsidR="00665165" w:rsidRPr="00925F26" w:rsidRDefault="00665165" w:rsidP="00925F26">
      <w:pPr>
        <w:autoSpaceDE w:val="0"/>
        <w:autoSpaceDN w:val="0"/>
        <w:adjustRightInd w:val="0"/>
        <w:jc w:val="both"/>
        <w:rPr>
          <w:color w:val="000000" w:themeColor="text1"/>
          <w:sz w:val="16"/>
          <w:szCs w:val="16"/>
        </w:rPr>
      </w:pPr>
    </w:p>
    <w:p w14:paraId="48F3FE2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368F461" w14:textId="77777777" w:rsidR="00665165" w:rsidRPr="00925F26" w:rsidRDefault="00665165" w:rsidP="00925F26">
      <w:pPr>
        <w:autoSpaceDE w:val="0"/>
        <w:autoSpaceDN w:val="0"/>
        <w:adjustRightInd w:val="0"/>
        <w:jc w:val="both"/>
        <w:rPr>
          <w:iCs/>
          <w:color w:val="000000" w:themeColor="text1"/>
          <w:sz w:val="16"/>
          <w:szCs w:val="16"/>
        </w:rPr>
      </w:pPr>
    </w:p>
    <w:p w14:paraId="7C74168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апреля 1945 советское правительство заявило, что не собирается приобретать часть территории Австрии или изменять там социальный строй (4962).</w:t>
      </w:r>
    </w:p>
    <w:p w14:paraId="0C90814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EBD1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Заявление Советского правительства о причинах вступления советских войск в Австрию (7444).</w:t>
      </w:r>
    </w:p>
    <w:p w14:paraId="56DD88C2" w14:textId="77777777" w:rsidR="00665165" w:rsidRPr="00925F26" w:rsidRDefault="00665165" w:rsidP="00925F26">
      <w:pPr>
        <w:autoSpaceDE w:val="0"/>
        <w:autoSpaceDN w:val="0"/>
        <w:adjustRightInd w:val="0"/>
        <w:jc w:val="both"/>
        <w:rPr>
          <w:color w:val="000000" w:themeColor="text1"/>
          <w:sz w:val="16"/>
          <w:szCs w:val="16"/>
        </w:rPr>
      </w:pPr>
    </w:p>
    <w:p w14:paraId="0BD4700B"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заявление Советского правительства о том, что СССР не стремится приобрести какую-либо часть территории Австрии, либо навязать ей какой-либо определенный общественный строй. Главная цель СССР – восстановление независимости Австрии (15094).</w:t>
      </w:r>
    </w:p>
    <w:p w14:paraId="6FDB093F" w14:textId="77777777" w:rsidR="00DE25E5" w:rsidRPr="00925F26" w:rsidRDefault="00DE25E5" w:rsidP="00925F26">
      <w:pPr>
        <w:jc w:val="both"/>
        <w:rPr>
          <w:color w:val="000000" w:themeColor="text1"/>
          <w:sz w:val="16"/>
          <w:szCs w:val="16"/>
        </w:rPr>
      </w:pPr>
    </w:p>
    <w:p w14:paraId="40FE990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2411449" w14:textId="77777777" w:rsidR="00665165" w:rsidRPr="00925F26" w:rsidRDefault="00665165" w:rsidP="00925F26">
      <w:pPr>
        <w:autoSpaceDE w:val="0"/>
        <w:autoSpaceDN w:val="0"/>
        <w:adjustRightInd w:val="0"/>
        <w:jc w:val="both"/>
        <w:rPr>
          <w:iCs/>
          <w:color w:val="000000" w:themeColor="text1"/>
          <w:sz w:val="16"/>
          <w:szCs w:val="16"/>
        </w:rPr>
      </w:pPr>
    </w:p>
    <w:p w14:paraId="15B3E23B" w14:textId="77777777" w:rsidR="00DE25E5" w:rsidRPr="00925F26" w:rsidRDefault="00DE25E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был выпущен последний В-17 (2255).</w:t>
      </w:r>
    </w:p>
    <w:p w14:paraId="30FA9D45" w14:textId="77777777" w:rsidR="00DE25E5" w:rsidRPr="00925F26" w:rsidRDefault="00DE25E5" w:rsidP="00925F26">
      <w:pPr>
        <w:autoSpaceDE w:val="0"/>
        <w:autoSpaceDN w:val="0"/>
        <w:adjustRightInd w:val="0"/>
        <w:jc w:val="both"/>
        <w:rPr>
          <w:color w:val="000000" w:themeColor="text1"/>
          <w:sz w:val="16"/>
          <w:szCs w:val="16"/>
        </w:rPr>
      </w:pPr>
    </w:p>
    <w:p w14:paraId="19703483"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самолеты 143-й и 235-й эскадрилий атаковали и потопили подлодку, применив реактивные снаряды. Затем тройка «Москито» «de Havilland» «Mosquito» «FB.XVIII» «Tse-Tse» из 248-й эскадрильи обнаружила еще одну субмарину в надводном положении. Несколько прямых попаданий реактивных снарядов, и на лодке произошел мощнейший взрыв. Третью лодку уже вечером атаковали самолеты 143-й и 235-й эскадрилий. Возник пожар и экипаж покинул гибнущую подлодку. Потери англичан составили один "Москито", севший на воду, а еще три из-за повреждений вынуждены были приземлиться на территории Швеции (15094).</w:t>
      </w:r>
    </w:p>
    <w:p w14:paraId="009B5445" w14:textId="77777777" w:rsidR="00DE25E5" w:rsidRPr="00925F26" w:rsidRDefault="00DE25E5" w:rsidP="00925F26">
      <w:pPr>
        <w:jc w:val="both"/>
        <w:rPr>
          <w:color w:val="000000" w:themeColor="text1"/>
          <w:sz w:val="16"/>
          <w:szCs w:val="16"/>
        </w:rPr>
      </w:pPr>
    </w:p>
    <w:p w14:paraId="7229D94F" w14:textId="7777761B" w:rsidR="007D191E" w:rsidRPr="00925F26" w:rsidRDefault="007D191E" w:rsidP="00925F26">
      <w:pPr>
        <w:jc w:val="both"/>
        <w:rPr>
          <w:color w:val="000000" w:themeColor="text1"/>
          <w:sz w:val="16"/>
          <w:szCs w:val="16"/>
        </w:rPr>
      </w:pPr>
      <w:r w:rsidRPr="00925F26">
        <w:rPr>
          <w:color w:val="000000" w:themeColor="text1"/>
          <w:sz w:val="16"/>
          <w:szCs w:val="16"/>
        </w:rPr>
        <w:t xml:space="preserve">9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Cамолеты 143-й и 235-й эскадрилий атаковали и потопили подлодку, применив реактивные снаряды. Затем тройка «Москито» de Havilland Mosquito FB.XVIII Tse-Tse из 248-й эскадрильи обнаружила еще одну субмарину в надводном положении. Несколько прямых попаданий реактивных снарядов, и на лодке произошел мощнейший взрыв. Третью лодку уже вечером атаковали самолеты 143-й и 235-й эскадрилий. Возник пожар и экипаж покинул гибнущую подлодку. Потери англичан составили один "Москито", севший на воду, а еще три из-за повреждений вынуждены были приземлиться на территории Швеции (22540).</w:t>
      </w:r>
    </w:p>
    <w:p w14:paraId="4A82AFA6" w14:textId="77777777" w:rsidR="007D191E" w:rsidRPr="00925F26" w:rsidRDefault="007D191E" w:rsidP="00925F26">
      <w:pPr>
        <w:jc w:val="both"/>
        <w:rPr>
          <w:color w:val="000000" w:themeColor="text1"/>
          <w:sz w:val="16"/>
          <w:szCs w:val="16"/>
        </w:rPr>
      </w:pPr>
    </w:p>
    <w:p w14:paraId="63D4A580" w14:textId="77777777" w:rsidR="007D191E" w:rsidRPr="00925F26" w:rsidRDefault="007D191E" w:rsidP="00925F26">
      <w:pPr>
        <w:jc w:val="both"/>
        <w:rPr>
          <w:color w:val="000000" w:themeColor="text1"/>
          <w:sz w:val="16"/>
          <w:szCs w:val="16"/>
        </w:rPr>
      </w:pPr>
      <w:r w:rsidRPr="00925F26">
        <w:rPr>
          <w:color w:val="000000" w:themeColor="text1"/>
          <w:sz w:val="16"/>
          <w:szCs w:val="16"/>
        </w:rPr>
        <w:t>9 апреля 1945 более 300 бомбардировщиков Королевских ВВС совершают налеты на верфь в Киле, Германия. Они опрокидывают немецкий "карманный линкор" Адмирал Шеер прямым попаданием (20371).</w:t>
      </w:r>
    </w:p>
    <w:p w14:paraId="6FDDFC7C" w14:textId="77777777" w:rsidR="007D191E" w:rsidRPr="00925F26" w:rsidRDefault="007D191E" w:rsidP="00925F26">
      <w:pPr>
        <w:jc w:val="both"/>
        <w:rPr>
          <w:color w:val="000000" w:themeColor="text1"/>
          <w:sz w:val="16"/>
          <w:szCs w:val="16"/>
        </w:rPr>
      </w:pPr>
    </w:p>
    <w:p w14:paraId="322C0AD9" w14:textId="710C28A1" w:rsidR="007D191E" w:rsidRPr="00925F26" w:rsidRDefault="007D191E" w:rsidP="00925F26">
      <w:pPr>
        <w:jc w:val="both"/>
        <w:rPr>
          <w:color w:val="000000" w:themeColor="text1"/>
          <w:sz w:val="16"/>
          <w:szCs w:val="16"/>
        </w:rPr>
      </w:pPr>
      <w:r w:rsidRPr="00925F26">
        <w:rPr>
          <w:color w:val="000000" w:themeColor="text1"/>
          <w:sz w:val="16"/>
          <w:szCs w:val="16"/>
        </w:rPr>
        <w:t>9 апреля 1945 Соединенное Королевство передает во Францию эскортный авианосец HMS Biter, который сразу же вводит в состав французского флота как Dixmude. Dixmude - первый авианосец Франции после демилитаризации Беарна в 1942 году (20371).</w:t>
      </w:r>
    </w:p>
    <w:p w14:paraId="5EA8EC97" w14:textId="77777777" w:rsidR="007D191E" w:rsidRPr="00925F26" w:rsidRDefault="007D191E" w:rsidP="00925F26">
      <w:pPr>
        <w:jc w:val="both"/>
        <w:rPr>
          <w:color w:val="000000" w:themeColor="text1"/>
          <w:sz w:val="16"/>
          <w:szCs w:val="16"/>
        </w:rPr>
      </w:pPr>
    </w:p>
    <w:p w14:paraId="61FC83E7"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за участие в заговоре против Адольфа Гитлера в концлагере Флоссенбюрг повешен глава немецкого абвера адмирал Канарис. Долгие годы адмирал Канарис являлся одним из самых влиятельных людей рейха, возглавляя с 1935 года абвер - управление разведки и контрразведки. В начале 1944 года, когда дела на фронтах начали складываться для Германии не лучшим образом, Канарис был отправлен в отставку. А потом арестован по обвинению в заговоре генералов против фюрера. Ему инкриминировалось участие в операции «Валькирия».</w:t>
      </w:r>
    </w:p>
    <w:p w14:paraId="2F5D0E89" w14:textId="77777777" w:rsidR="00DE25E5" w:rsidRPr="00925F26" w:rsidRDefault="00DE25E5" w:rsidP="00925F26">
      <w:pPr>
        <w:jc w:val="both"/>
        <w:rPr>
          <w:color w:val="000000" w:themeColor="text1"/>
          <w:sz w:val="16"/>
          <w:szCs w:val="16"/>
        </w:rPr>
      </w:pPr>
      <w:r w:rsidRPr="00925F26">
        <w:rPr>
          <w:color w:val="000000" w:themeColor="text1"/>
          <w:sz w:val="16"/>
          <w:szCs w:val="16"/>
        </w:rPr>
        <w:t>Бывшего разведчика Канариса арестовывал другой разведчик - Вальтер Шелленберг (начальник IV управления PCXА). Некогда они считались приятелями. Поэтому Канарис спокойно встретил его появление у себя дома, заметив: «Почему-то я всегда думал, что это будете вы». А Шелленберг, понимая, что ожидает адмирала, предложил ему застрелиться. Тот отказался. Канариса пытал один из самых жестоких нацистских палачей - Хупенкотен. Бывшего шефа абвера заковали в тяжелые кандалы и садистски избивали. А 9 апреля 1945 года казнили в концлагере Флоссенбюрг. К виселице адмирала гнали раздетым до нага. В воспоминаниях Шелленберга сказано, что казнь бывшего шефа абвера превратилась в пытку: его пять или шесть раз душили, доводя до беспамятства, после чего возвращали к жизни (15094).</w:t>
      </w:r>
    </w:p>
    <w:p w14:paraId="20036601" w14:textId="77777777" w:rsidR="00DE25E5" w:rsidRPr="00925F26" w:rsidRDefault="00DE25E5" w:rsidP="00925F26">
      <w:pPr>
        <w:jc w:val="both"/>
        <w:rPr>
          <w:color w:val="000000" w:themeColor="text1"/>
          <w:sz w:val="16"/>
          <w:szCs w:val="16"/>
        </w:rPr>
      </w:pPr>
    </w:p>
    <w:p w14:paraId="3D6CEBBC"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сильный воздушный налет английской авиации на Киль. Уничтожены немецкие крейсеры «Шеер» и «Хиппср» (15094).</w:t>
      </w:r>
    </w:p>
    <w:p w14:paraId="169C6E0E" w14:textId="77777777" w:rsidR="00DE25E5" w:rsidRPr="00925F26" w:rsidRDefault="00DE25E5" w:rsidP="00925F26">
      <w:pPr>
        <w:jc w:val="both"/>
        <w:rPr>
          <w:color w:val="000000" w:themeColor="text1"/>
          <w:sz w:val="16"/>
          <w:szCs w:val="16"/>
        </w:rPr>
      </w:pPr>
    </w:p>
    <w:p w14:paraId="0A36D200" w14:textId="77777777" w:rsidR="00DE25E5" w:rsidRPr="00925F26" w:rsidRDefault="00DE25E5" w:rsidP="00925F26">
      <w:pPr>
        <w:jc w:val="both"/>
        <w:rPr>
          <w:color w:val="000000" w:themeColor="text1"/>
          <w:sz w:val="16"/>
          <w:szCs w:val="16"/>
        </w:rPr>
      </w:pPr>
      <w:r w:rsidRPr="00925F26">
        <w:rPr>
          <w:color w:val="000000" w:themeColor="text1"/>
          <w:sz w:val="16"/>
          <w:szCs w:val="16"/>
        </w:rPr>
        <w:t>9 апреля в 1945 году американский корабль груженый авиационными бомбами взорвался в Бари, Италия. 360 жертв (15094).</w:t>
      </w:r>
    </w:p>
    <w:p w14:paraId="74230557" w14:textId="77777777" w:rsidR="00DE25E5" w:rsidRPr="00925F26" w:rsidRDefault="00DE25E5" w:rsidP="00925F26">
      <w:pPr>
        <w:jc w:val="both"/>
        <w:rPr>
          <w:color w:val="000000" w:themeColor="text1"/>
          <w:sz w:val="16"/>
          <w:szCs w:val="16"/>
        </w:rPr>
      </w:pPr>
    </w:p>
    <w:p w14:paraId="7E90D56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апреля 1945 англо-американские войска под командованием фельдмаршала Александера начали Северо-Итальянскую наступательную операцию. Операция закончилась 2 мая полной капитуляцией немецко-фашистских войск в Италии (</w:t>
      </w:r>
      <w:proofErr w:type="gramStart"/>
      <w:r w:rsidRPr="00925F26">
        <w:rPr>
          <w:color w:val="000000" w:themeColor="text1"/>
          <w:sz w:val="16"/>
          <w:szCs w:val="16"/>
        </w:rPr>
        <w:t>4963 )</w:t>
      </w:r>
      <w:proofErr w:type="gramEnd"/>
      <w:r w:rsidRPr="00925F26">
        <w:rPr>
          <w:color w:val="000000" w:themeColor="text1"/>
          <w:sz w:val="16"/>
          <w:szCs w:val="16"/>
        </w:rPr>
        <w:t>.</w:t>
      </w:r>
    </w:p>
    <w:p w14:paraId="1558124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C14437" w14:textId="77777777" w:rsidR="00DE25E5" w:rsidRPr="00925F26" w:rsidRDefault="00DE25E5" w:rsidP="00925F26">
      <w:pPr>
        <w:jc w:val="both"/>
        <w:rPr>
          <w:color w:val="000000" w:themeColor="text1"/>
          <w:sz w:val="16"/>
          <w:szCs w:val="16"/>
        </w:rPr>
      </w:pPr>
      <w:r w:rsidRPr="00925F26">
        <w:rPr>
          <w:color w:val="000000" w:themeColor="text1"/>
          <w:sz w:val="16"/>
          <w:szCs w:val="16"/>
        </w:rPr>
        <w:lastRenderedPageBreak/>
        <w:t>9 апреля в 1945 году англо-американские войска под командованием фельдмаршала Александера начали Северо-Итальянскую наступательную операцию. Операция закончилась 2 мая полной капитуляцией немецко-фашистских войск в Италии (15094).</w:t>
      </w:r>
    </w:p>
    <w:p w14:paraId="0762F4CF" w14:textId="77777777" w:rsidR="00DE25E5" w:rsidRPr="00925F26" w:rsidRDefault="00DE25E5" w:rsidP="00925F26">
      <w:pPr>
        <w:jc w:val="both"/>
        <w:rPr>
          <w:color w:val="000000" w:themeColor="text1"/>
          <w:sz w:val="16"/>
          <w:szCs w:val="16"/>
        </w:rPr>
      </w:pPr>
    </w:p>
    <w:p w14:paraId="7A566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5А США начала наступление на Болонью и р По (3819).</w:t>
      </w:r>
    </w:p>
    <w:p w14:paraId="5F08A0B0" w14:textId="77777777" w:rsidR="00665165" w:rsidRPr="00925F26" w:rsidRDefault="00665165" w:rsidP="00925F26">
      <w:pPr>
        <w:autoSpaceDE w:val="0"/>
        <w:autoSpaceDN w:val="0"/>
        <w:adjustRightInd w:val="0"/>
        <w:jc w:val="both"/>
        <w:rPr>
          <w:color w:val="000000" w:themeColor="text1"/>
          <w:sz w:val="16"/>
          <w:szCs w:val="16"/>
        </w:rPr>
      </w:pPr>
    </w:p>
    <w:p w14:paraId="690979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9 апреля по 2 мая 1945 была Северо-Итальянская операция. 17 апреля союзники прорвали оборону немцев (2443,116).</w:t>
      </w:r>
    </w:p>
    <w:p w14:paraId="2B88C222" w14:textId="77777777" w:rsidR="00665165" w:rsidRPr="00925F26" w:rsidRDefault="00665165" w:rsidP="00925F26">
      <w:pPr>
        <w:autoSpaceDE w:val="0"/>
        <w:autoSpaceDN w:val="0"/>
        <w:adjustRightInd w:val="0"/>
        <w:jc w:val="both"/>
        <w:rPr>
          <w:color w:val="000000" w:themeColor="text1"/>
          <w:sz w:val="16"/>
          <w:szCs w:val="16"/>
        </w:rPr>
      </w:pPr>
    </w:p>
    <w:p w14:paraId="388C56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апреля 1945 в концлагере Флоссенбург был казнен а Фридрих Вильгельм Канарис, начальник управления военной разведки и контрразведки за участи в заговоре и покушении на А.Г. (3186).</w:t>
      </w:r>
    </w:p>
    <w:p w14:paraId="7AE94A75" w14:textId="77777777" w:rsidR="00665165" w:rsidRPr="00925F26" w:rsidRDefault="00665165" w:rsidP="00925F26">
      <w:pPr>
        <w:autoSpaceDE w:val="0"/>
        <w:autoSpaceDN w:val="0"/>
        <w:adjustRightInd w:val="0"/>
        <w:jc w:val="both"/>
        <w:rPr>
          <w:color w:val="000000" w:themeColor="text1"/>
          <w:sz w:val="16"/>
          <w:szCs w:val="16"/>
        </w:rPr>
      </w:pPr>
    </w:p>
    <w:p w14:paraId="62DA5F9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апреля 1945 за участие в заговоре против Гитлера в концлагере Флоссенбюрг повешен глава немецкого абвера адмирал Канарис (4962).</w:t>
      </w:r>
    </w:p>
    <w:p w14:paraId="6E9306A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9729E0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D25C52A" w14:textId="77777777" w:rsidR="00665165" w:rsidRPr="00925F26" w:rsidRDefault="00665165" w:rsidP="00925F26">
      <w:pPr>
        <w:autoSpaceDE w:val="0"/>
        <w:autoSpaceDN w:val="0"/>
        <w:adjustRightInd w:val="0"/>
        <w:jc w:val="both"/>
        <w:rPr>
          <w:iCs/>
          <w:color w:val="000000" w:themeColor="text1"/>
          <w:sz w:val="16"/>
          <w:szCs w:val="16"/>
        </w:rPr>
      </w:pPr>
    </w:p>
    <w:p w14:paraId="0D09CCCE"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По состоянию на 10 апреля 1945 ни один серийный Ил-10 на контрольные испытания (как это прежусматривалось протоколом совещания 15 янвапя) не поступил, а опытный Ил-10 все еще находился на заводе № 240, и работа по его доводке была далека от завершения.</w:t>
      </w:r>
    </w:p>
    <w:p w14:paraId="4C02A791"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Несмотря на неоднократные обращения Подлесецкого «в УЗСиМ ГУЗ ВВС КА по вопросу срочной отправки самолетов Ил-10 и УИл-10 в ГК НИИ ВВС на контрольные испытания», этот вопрос не разрешается: «Начиная с февраля месяца 1945 г. УЗСиМ объясняет невозможность передачи самолетов Ил-10 на контрольные испытания в НИИ ВВС отсутствием летной погоды. На мои предложения отправить самолеты эшелоном заявляют, что им не дают вагонов».</w:t>
      </w:r>
    </w:p>
    <w:p w14:paraId="1CE35060"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Между тем «в серию внедрено большое количество изменений и доработок по устранению дефектов, выявленных при эксплуатации само летов в воинских частях», которые до сих пор «не испытаны и оценки ГК НИИ ВВС не имеют».</w:t>
      </w:r>
    </w:p>
    <w:p w14:paraId="578F3F87"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Из доклада Подлесецкого следовало, что из всех запланированных доработок самолета Ил -10 ОКБ-240 Ильюшина и заводами № 1 и № 18 к 11 апреля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925F26">
        <w:rPr>
          <w:rStyle w:val="107"/>
          <w:rFonts w:eastAsiaTheme="minorHAnsi"/>
          <w:color w:val="000000" w:themeColor="text1"/>
          <w:sz w:val="16"/>
          <w:szCs w:val="16"/>
          <w:vertAlign w:val="subscript"/>
        </w:rPr>
        <w:t>2</w:t>
      </w:r>
      <w:r w:rsidRPr="00925F26">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2D84F0EA"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601B16CD" w14:textId="77777777" w:rsidR="00117BE3" w:rsidRPr="00925F26" w:rsidRDefault="00117BE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0A468F7E" w14:textId="77777777" w:rsidR="00117BE3" w:rsidRPr="00925F26" w:rsidRDefault="00117BE3" w:rsidP="00925F26">
      <w:pPr>
        <w:jc w:val="both"/>
        <w:rPr>
          <w:color w:val="000000" w:themeColor="text1"/>
          <w:sz w:val="16"/>
          <w:szCs w:val="16"/>
        </w:rPr>
      </w:pPr>
    </w:p>
    <w:p w14:paraId="4FFB80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вышло постановление ГКО N 8061сс "Об увеличении выпуска самолетов Як-9 с ВК-105ПФ, вооруженных пушкой 37 мм и о выпуске самолетов Як-9 с ВК-105ПФ, вооруженных пушкой 45 мм" (1830,94).</w:t>
      </w:r>
    </w:p>
    <w:p w14:paraId="7E705EE3" w14:textId="77777777" w:rsidR="00665165" w:rsidRPr="00925F26" w:rsidRDefault="00665165" w:rsidP="00925F26">
      <w:pPr>
        <w:autoSpaceDE w:val="0"/>
        <w:autoSpaceDN w:val="0"/>
        <w:adjustRightInd w:val="0"/>
        <w:jc w:val="both"/>
        <w:rPr>
          <w:color w:val="000000" w:themeColor="text1"/>
          <w:sz w:val="16"/>
          <w:szCs w:val="16"/>
        </w:rPr>
      </w:pPr>
    </w:p>
    <w:p w14:paraId="37F51A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вышло Постановление ГКО № 8061 Об увеличении выпуска самолетов Як-9 с мотором ВК-105ПФ, вооруженных пушкой калибра 37 мм, и о выпуске самолетов Як-9 с мотором ВК-105ПФ, вооруженных пушкой калибра 45 мм. РГАНИР, Фонд ГКО, д. 390, лл. 117-118 (11012).</w:t>
      </w:r>
    </w:p>
    <w:p w14:paraId="51170F07" w14:textId="77777777" w:rsidR="00665165" w:rsidRPr="00925F26" w:rsidRDefault="00665165" w:rsidP="00925F26">
      <w:pPr>
        <w:autoSpaceDE w:val="0"/>
        <w:autoSpaceDN w:val="0"/>
        <w:adjustRightInd w:val="0"/>
        <w:jc w:val="both"/>
        <w:rPr>
          <w:color w:val="000000" w:themeColor="text1"/>
          <w:sz w:val="16"/>
          <w:szCs w:val="16"/>
        </w:rPr>
      </w:pPr>
    </w:p>
    <w:p w14:paraId="7CA84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 по 17 апреля 1945 в НИИ ВВС л В.Г.Иванов и ви Г.А.Седов испытывали головной Як-9В (вывозной) с ВК-105ПФ2, сделанный на основе Як-9Т или Як-9М. Строился серийно с августа 1945 два года по август 1947 и сделали 793 (65,143).</w:t>
      </w:r>
    </w:p>
    <w:p w14:paraId="5FEA4840" w14:textId="77777777" w:rsidR="00665165" w:rsidRPr="00925F26" w:rsidRDefault="00665165" w:rsidP="00925F26">
      <w:pPr>
        <w:autoSpaceDE w:val="0"/>
        <w:autoSpaceDN w:val="0"/>
        <w:adjustRightInd w:val="0"/>
        <w:jc w:val="both"/>
        <w:rPr>
          <w:color w:val="000000" w:themeColor="text1"/>
          <w:sz w:val="16"/>
          <w:szCs w:val="16"/>
        </w:rPr>
      </w:pPr>
    </w:p>
    <w:p w14:paraId="39E296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10 по 12 апреля, а затем с 19 по 27 апреля 1945 проходили гос. испытания серийного Як-3 ПФ-2 N 2229 292 завода, выпущенного в ноябре 1944. 20 полетов продолжительностью 12 час. 16 мин. Вед. инж. В.П.Баладеденко, вед. л. В.Б.Иванов. Опять результаты неудовлетворительные, так как не удалось устранить недостатки, отмеченные еще в августе и ноябре 1944 (805,5).</w:t>
      </w:r>
    </w:p>
    <w:p w14:paraId="44A4DE33" w14:textId="77777777" w:rsidR="00665165" w:rsidRPr="00925F26" w:rsidRDefault="00665165" w:rsidP="00925F26">
      <w:pPr>
        <w:autoSpaceDE w:val="0"/>
        <w:autoSpaceDN w:val="0"/>
        <w:adjustRightInd w:val="0"/>
        <w:jc w:val="both"/>
        <w:rPr>
          <w:color w:val="000000" w:themeColor="text1"/>
          <w:sz w:val="16"/>
          <w:szCs w:val="16"/>
        </w:rPr>
      </w:pPr>
    </w:p>
    <w:p w14:paraId="2207DC3A" w14:textId="77777777" w:rsidR="002D4CA3" w:rsidRPr="001A0BAA" w:rsidRDefault="002D4CA3" w:rsidP="002D4CA3">
      <w:pPr>
        <w:jc w:val="both"/>
        <w:rPr>
          <w:color w:val="0070C0"/>
          <w:sz w:val="16"/>
          <w:szCs w:val="16"/>
        </w:rPr>
      </w:pPr>
      <w:r w:rsidRPr="001A0BAA">
        <w:rPr>
          <w:color w:val="0070C0"/>
          <w:sz w:val="16"/>
          <w:szCs w:val="16"/>
        </w:rPr>
        <w:t>10 апреля 1945 г. Постановлением ГКО №8061сс завод №153 обязывался (начиная с апреля) выпускать по 150 самоле</w:t>
      </w:r>
      <w:r w:rsidRPr="001A0BAA">
        <w:rPr>
          <w:color w:val="0070C0"/>
          <w:sz w:val="16"/>
          <w:szCs w:val="16"/>
        </w:rPr>
        <w:softHyphen/>
        <w:t>тов Як-9Т с М-105ПФ2 с 37-мм пушкой МП-37 и по 50 Як-9К с М-105ПФ2 с 45-мм пушкой МП-45 ежемесячно (24971).</w:t>
      </w:r>
    </w:p>
    <w:p w14:paraId="22985259" w14:textId="77777777" w:rsidR="002D4CA3" w:rsidRPr="001A0BAA" w:rsidRDefault="002D4CA3" w:rsidP="002D4CA3">
      <w:pPr>
        <w:jc w:val="both"/>
        <w:rPr>
          <w:color w:val="0070C0"/>
          <w:sz w:val="16"/>
          <w:szCs w:val="16"/>
        </w:rPr>
      </w:pPr>
    </w:p>
    <w:p w14:paraId="489BF06E" w14:textId="77777777" w:rsidR="002D4CA3" w:rsidRPr="001A0BAA" w:rsidRDefault="002D4CA3" w:rsidP="002D4CA3">
      <w:pPr>
        <w:jc w:val="both"/>
        <w:rPr>
          <w:color w:val="0070C0"/>
          <w:sz w:val="16"/>
          <w:szCs w:val="16"/>
        </w:rPr>
      </w:pPr>
      <w:r w:rsidRPr="001A0BAA">
        <w:rPr>
          <w:color w:val="0070C0"/>
          <w:sz w:val="16"/>
          <w:szCs w:val="16"/>
        </w:rPr>
        <w:t>В период с 10 по 17 апреля 1945 года в НИИ ВВС проходил государственные испытания Як</w:t>
      </w:r>
      <w:r w:rsidRPr="001A0BAA">
        <w:rPr>
          <w:color w:val="0070C0"/>
          <w:sz w:val="16"/>
          <w:szCs w:val="16"/>
        </w:rPr>
        <w:noBreakHyphen/>
        <w:t>9В, служивший эталоном для серийного производства.</w:t>
      </w:r>
    </w:p>
    <w:p w14:paraId="21638C79" w14:textId="77777777" w:rsidR="002D4CA3" w:rsidRPr="001A0BAA" w:rsidRDefault="002D4CA3" w:rsidP="002D4CA3">
      <w:pPr>
        <w:jc w:val="both"/>
        <w:rPr>
          <w:color w:val="0070C0"/>
          <w:sz w:val="16"/>
          <w:szCs w:val="16"/>
        </w:rPr>
      </w:pPr>
      <w:r w:rsidRPr="001A0BAA">
        <w:rPr>
          <w:color w:val="0070C0"/>
          <w:sz w:val="16"/>
          <w:szCs w:val="16"/>
        </w:rPr>
        <w:t xml:space="preserve">Максимальная скорость была на 4 км/час </w:t>
      </w:r>
      <w:proofErr w:type="gramStart"/>
      <w:r w:rsidRPr="001A0BAA">
        <w:rPr>
          <w:color w:val="0070C0"/>
          <w:sz w:val="16"/>
          <w:szCs w:val="16"/>
        </w:rPr>
        <w:t>меньше</w:t>
      </w:r>
      <w:proofErr w:type="gramEnd"/>
      <w:r w:rsidRPr="001A0BAA">
        <w:rPr>
          <w:color w:val="0070C0"/>
          <w:sz w:val="16"/>
          <w:szCs w:val="16"/>
        </w:rPr>
        <w:t xml:space="preserve"> чем у Як</w:t>
      </w:r>
      <w:r w:rsidRPr="001A0BAA">
        <w:rPr>
          <w:color w:val="0070C0"/>
          <w:sz w:val="16"/>
          <w:szCs w:val="16"/>
        </w:rPr>
        <w:noBreakHyphen/>
        <w:t>9Т, а остальные характеристики оказались идентичными.</w:t>
      </w:r>
    </w:p>
    <w:p w14:paraId="0310AFA3" w14:textId="77777777" w:rsidR="002D4CA3" w:rsidRPr="001A0BAA" w:rsidRDefault="002D4CA3" w:rsidP="002D4CA3">
      <w:pPr>
        <w:jc w:val="both"/>
        <w:rPr>
          <w:color w:val="0070C0"/>
          <w:sz w:val="16"/>
          <w:szCs w:val="16"/>
        </w:rPr>
      </w:pPr>
      <w:r w:rsidRPr="001A0BAA">
        <w:rPr>
          <w:color w:val="0070C0"/>
          <w:sz w:val="16"/>
          <w:szCs w:val="16"/>
        </w:rPr>
        <w:t>Як</w:t>
      </w:r>
      <w:r w:rsidRPr="001A0BAA">
        <w:rPr>
          <w:color w:val="0070C0"/>
          <w:sz w:val="16"/>
          <w:szCs w:val="16"/>
        </w:rPr>
        <w:noBreakHyphen/>
        <w:t>9В, имел хорошо оборудованную заднюю кабину, полностью обеспечивавшую управление полетом с собственным сектором газа, компасом и т. д.</w:t>
      </w:r>
    </w:p>
    <w:p w14:paraId="322EC41A" w14:textId="77777777" w:rsidR="002D4CA3" w:rsidRPr="001A0BAA" w:rsidRDefault="002D4CA3" w:rsidP="002D4CA3">
      <w:pPr>
        <w:jc w:val="both"/>
        <w:rPr>
          <w:color w:val="0070C0"/>
          <w:sz w:val="16"/>
          <w:szCs w:val="16"/>
        </w:rPr>
      </w:pPr>
      <w:r w:rsidRPr="001A0BAA">
        <w:rPr>
          <w:color w:val="0070C0"/>
          <w:sz w:val="16"/>
          <w:szCs w:val="16"/>
        </w:rPr>
        <w:t>Практически все Яки имели тенденцию к сваливанию на нос во время торможения. А поскольку курсанты не грешили особой выучкой, то в кабине инструктора был установлен переключатель, который делал невозможным торможение из передней кабины. Сами кабины были, наконец, разделены прозрачной перегородкой, и теперь инструктор не обдувался ветром, когда передний фонарь был открыт.</w:t>
      </w:r>
    </w:p>
    <w:p w14:paraId="4725E2A7" w14:textId="77777777" w:rsidR="002D4CA3" w:rsidRPr="001A0BAA" w:rsidRDefault="002D4CA3" w:rsidP="002D4CA3">
      <w:pPr>
        <w:jc w:val="both"/>
        <w:rPr>
          <w:color w:val="0070C0"/>
          <w:sz w:val="16"/>
          <w:szCs w:val="16"/>
        </w:rPr>
      </w:pPr>
      <w:r w:rsidRPr="001A0BAA">
        <w:rPr>
          <w:color w:val="0070C0"/>
          <w:sz w:val="16"/>
          <w:szCs w:val="16"/>
        </w:rPr>
        <w:t>Была демонтирована бронеплита за сиденьем пилота, бронестекло, протекторы бензобаков и система их заполнения инертным газом. Вооружение ограничили пушкой ШВАК с боезапасом в 90 снарядов.</w:t>
      </w:r>
    </w:p>
    <w:p w14:paraId="1374FCE8" w14:textId="77777777" w:rsidR="002D4CA3" w:rsidRPr="001A0BAA" w:rsidRDefault="002D4CA3" w:rsidP="002D4CA3">
      <w:pPr>
        <w:jc w:val="both"/>
        <w:rPr>
          <w:color w:val="0070C0"/>
          <w:sz w:val="16"/>
          <w:szCs w:val="16"/>
        </w:rPr>
      </w:pPr>
      <w:r w:rsidRPr="001A0BAA">
        <w:rPr>
          <w:color w:val="0070C0"/>
          <w:sz w:val="16"/>
          <w:szCs w:val="16"/>
        </w:rPr>
        <w:t>Значительно расширилось, по сравнению с Як</w:t>
      </w:r>
      <w:r w:rsidRPr="001A0BAA">
        <w:rPr>
          <w:color w:val="0070C0"/>
          <w:sz w:val="16"/>
          <w:szCs w:val="16"/>
        </w:rPr>
        <w:noBreakHyphen/>
        <w:t>7В (не говоря уже об УТИ), приборное оборудование. Были установлена радиостанция РСИ</w:t>
      </w:r>
      <w:r w:rsidRPr="001A0BAA">
        <w:rPr>
          <w:color w:val="0070C0"/>
          <w:sz w:val="16"/>
          <w:szCs w:val="16"/>
        </w:rPr>
        <w:noBreakHyphen/>
        <w:t>6МУ, радиополукомпас РПК</w:t>
      </w:r>
      <w:r w:rsidRPr="001A0BAA">
        <w:rPr>
          <w:color w:val="0070C0"/>
          <w:sz w:val="16"/>
          <w:szCs w:val="16"/>
        </w:rPr>
        <w:noBreakHyphen/>
        <w:t>10М, авиагоризонт и фотопулемет РАУ</w:t>
      </w:r>
      <w:r w:rsidRPr="001A0BAA">
        <w:rPr>
          <w:color w:val="0070C0"/>
          <w:sz w:val="16"/>
          <w:szCs w:val="16"/>
        </w:rPr>
        <w:noBreakHyphen/>
        <w:t>22 (в правом крыле).</w:t>
      </w:r>
    </w:p>
    <w:p w14:paraId="0A171AC3" w14:textId="77777777" w:rsidR="002D4CA3" w:rsidRPr="001A0BAA" w:rsidRDefault="002D4CA3" w:rsidP="002D4CA3">
      <w:pPr>
        <w:jc w:val="both"/>
        <w:rPr>
          <w:color w:val="0070C0"/>
          <w:sz w:val="16"/>
          <w:szCs w:val="16"/>
        </w:rPr>
      </w:pPr>
      <w:r w:rsidRPr="001A0BAA">
        <w:rPr>
          <w:color w:val="0070C0"/>
          <w:sz w:val="16"/>
          <w:szCs w:val="16"/>
        </w:rPr>
        <w:t xml:space="preserve">Пилоты получили переговорное устройство СПУ, и инструктору уже не приходилось перекрикивать из задней кабины шум двигателя и свист ветра. Радиопередача была возможна из обеих кабин, так </w:t>
      </w:r>
      <w:proofErr w:type="gramStart"/>
      <w:r w:rsidRPr="001A0BAA">
        <w:rPr>
          <w:color w:val="0070C0"/>
          <w:sz w:val="16"/>
          <w:szCs w:val="16"/>
        </w:rPr>
        <w:t>же</w:t>
      </w:r>
      <w:proofErr w:type="gramEnd"/>
      <w:r w:rsidRPr="001A0BAA">
        <w:rPr>
          <w:color w:val="0070C0"/>
          <w:sz w:val="16"/>
          <w:szCs w:val="16"/>
        </w:rPr>
        <w:t xml:space="preserve"> как и радиоприем</w:t>
      </w:r>
    </w:p>
    <w:p w14:paraId="336A7372" w14:textId="77777777" w:rsidR="002D4CA3" w:rsidRPr="001A0BAA" w:rsidRDefault="002D4CA3" w:rsidP="002D4CA3">
      <w:pPr>
        <w:jc w:val="both"/>
        <w:rPr>
          <w:color w:val="0070C0"/>
          <w:sz w:val="16"/>
          <w:szCs w:val="16"/>
        </w:rPr>
      </w:pPr>
      <w:r w:rsidRPr="001A0BAA">
        <w:rPr>
          <w:color w:val="0070C0"/>
          <w:sz w:val="16"/>
          <w:szCs w:val="16"/>
        </w:rPr>
        <w:t>По завершению госиспытания, учебно</w:t>
      </w:r>
      <w:r w:rsidRPr="001A0BAA">
        <w:rPr>
          <w:color w:val="0070C0"/>
          <w:sz w:val="16"/>
          <w:szCs w:val="16"/>
        </w:rPr>
        <w:noBreakHyphen/>
        <w:t>тренировочный самолет был запущен в серийное производство и изготавливался с августа 1945 года по август 1947 года. Всего было выпущено 793 экземпляра; 456 Як</w:t>
      </w:r>
      <w:r w:rsidRPr="001A0BAA">
        <w:rPr>
          <w:color w:val="0070C0"/>
          <w:sz w:val="16"/>
          <w:szCs w:val="16"/>
        </w:rPr>
        <w:noBreakHyphen/>
        <w:t>9В изготовили заново, а 337 переоборудовали из модификации «М» (25077).</w:t>
      </w:r>
    </w:p>
    <w:p w14:paraId="15DBB6A1" w14:textId="77777777" w:rsidR="002D4CA3" w:rsidRPr="001A0BAA" w:rsidRDefault="002D4CA3" w:rsidP="002D4CA3">
      <w:pPr>
        <w:jc w:val="both"/>
        <w:rPr>
          <w:color w:val="0070C0"/>
          <w:sz w:val="16"/>
          <w:szCs w:val="16"/>
        </w:rPr>
      </w:pPr>
    </w:p>
    <w:p w14:paraId="28FA0CA4" w14:textId="77777777" w:rsidR="002D4CA3" w:rsidRPr="001A0BAA" w:rsidRDefault="002D4CA3" w:rsidP="002D4CA3">
      <w:pPr>
        <w:jc w:val="both"/>
        <w:rPr>
          <w:color w:val="0070C0"/>
          <w:sz w:val="16"/>
          <w:szCs w:val="16"/>
        </w:rPr>
      </w:pPr>
      <w:r w:rsidRPr="001A0BAA">
        <w:rPr>
          <w:color w:val="0070C0"/>
          <w:sz w:val="16"/>
          <w:szCs w:val="16"/>
        </w:rPr>
        <w:t>10 апреля 1945 г.</w:t>
      </w:r>
    </w:p>
    <w:p w14:paraId="1BC3B45D" w14:textId="77777777" w:rsidR="002D4CA3" w:rsidRPr="001A0BAA" w:rsidRDefault="002D4CA3" w:rsidP="002D4CA3">
      <w:pPr>
        <w:jc w:val="both"/>
        <w:rPr>
          <w:color w:val="0070C0"/>
          <w:sz w:val="16"/>
          <w:szCs w:val="16"/>
        </w:rPr>
      </w:pPr>
      <w:r w:rsidRPr="001A0BAA">
        <w:rPr>
          <w:color w:val="0070C0"/>
          <w:sz w:val="16"/>
          <w:szCs w:val="16"/>
        </w:rPr>
        <w:t>Сообщение директора завода № 153 В. Н. Лисицына первому секретарю Новосибирского обкома ВКП(б) М. В. Кулагину</w:t>
      </w:r>
    </w:p>
    <w:p w14:paraId="3DEB23E2" w14:textId="77777777" w:rsidR="002D4CA3" w:rsidRPr="001A0BAA" w:rsidRDefault="002D4CA3" w:rsidP="002D4CA3">
      <w:pPr>
        <w:jc w:val="both"/>
        <w:rPr>
          <w:color w:val="0070C0"/>
          <w:sz w:val="16"/>
          <w:szCs w:val="16"/>
        </w:rPr>
      </w:pPr>
      <w:r w:rsidRPr="001A0BAA">
        <w:rPr>
          <w:color w:val="0070C0"/>
          <w:sz w:val="16"/>
          <w:szCs w:val="16"/>
        </w:rPr>
        <w:t>[г. Новосибирск] 10 апреля 1945 г.</w:t>
      </w:r>
    </w:p>
    <w:p w14:paraId="00CC759D" w14:textId="77777777" w:rsidR="002D4CA3" w:rsidRPr="001A0BAA" w:rsidRDefault="002D4CA3" w:rsidP="002D4CA3">
      <w:pPr>
        <w:jc w:val="both"/>
        <w:rPr>
          <w:color w:val="0070C0"/>
          <w:sz w:val="16"/>
          <w:szCs w:val="16"/>
        </w:rPr>
      </w:pPr>
      <w:r w:rsidRPr="001A0BAA">
        <w:rPr>
          <w:color w:val="0070C0"/>
          <w:sz w:val="16"/>
          <w:szCs w:val="16"/>
        </w:rPr>
        <w:t>Вследствие невыполнения плана подачи платформ Томской дорогой, за 7 дней апреля среднесуточная погрузка самолетов составляет 13 шт. В результате этого на заводе скопилось свыше 300 готовых к отправке самолетов. Неоднократные обращения в [Томскую] дорогу с требованием принять меры остаются безрезультатными. Прошу вас оказать реальную помощь в отправке самолетов на фронт. Заводу необходимо получать ежесуточно как минимум 35 платформ в течение всего апреля месяца.</w:t>
      </w:r>
    </w:p>
    <w:p w14:paraId="3EC8B9B7" w14:textId="77777777" w:rsidR="002D4CA3" w:rsidRPr="001A0BAA" w:rsidRDefault="002D4CA3" w:rsidP="002D4CA3">
      <w:pPr>
        <w:jc w:val="both"/>
        <w:rPr>
          <w:color w:val="0070C0"/>
          <w:sz w:val="16"/>
          <w:szCs w:val="16"/>
        </w:rPr>
      </w:pPr>
      <w:r w:rsidRPr="001A0BAA">
        <w:rPr>
          <w:color w:val="0070C0"/>
          <w:sz w:val="16"/>
          <w:szCs w:val="16"/>
        </w:rPr>
        <w:t>Директор завода № 153 генерал-майор ИАС [подпись] Лисицын.</w:t>
      </w:r>
    </w:p>
    <w:p w14:paraId="3589655E" w14:textId="77777777" w:rsidR="002D4CA3" w:rsidRPr="001A0BAA" w:rsidRDefault="002D4CA3" w:rsidP="002D4CA3">
      <w:pPr>
        <w:jc w:val="both"/>
        <w:rPr>
          <w:color w:val="0070C0"/>
          <w:sz w:val="16"/>
          <w:szCs w:val="16"/>
        </w:rPr>
      </w:pPr>
      <w:r w:rsidRPr="001A0BAA">
        <w:rPr>
          <w:color w:val="0070C0"/>
          <w:sz w:val="16"/>
          <w:szCs w:val="16"/>
        </w:rPr>
        <w:t>ГАНО. Ф. П. 4. Оп. 9. Д. 353. Л. 44. Машинопись. Подлинник. Подпись-автограф В. Н. Лисицына (24921).</w:t>
      </w:r>
    </w:p>
    <w:p w14:paraId="73029BD1" w14:textId="77777777" w:rsidR="002D4CA3" w:rsidRPr="001A0BAA" w:rsidRDefault="002D4CA3" w:rsidP="002D4CA3">
      <w:pPr>
        <w:jc w:val="both"/>
        <w:rPr>
          <w:color w:val="0070C0"/>
          <w:sz w:val="16"/>
          <w:szCs w:val="16"/>
        </w:rPr>
      </w:pPr>
    </w:p>
    <w:p w14:paraId="03ED2F4F" w14:textId="77777777" w:rsidR="00BF3067" w:rsidRPr="00925F26" w:rsidRDefault="00BF3067" w:rsidP="00925F26">
      <w:pPr>
        <w:jc w:val="both"/>
        <w:rPr>
          <w:color w:val="000000" w:themeColor="text1"/>
          <w:sz w:val="16"/>
          <w:szCs w:val="16"/>
        </w:rPr>
      </w:pPr>
      <w:r w:rsidRPr="00925F26">
        <w:rPr>
          <w:color w:val="000000" w:themeColor="text1"/>
          <w:sz w:val="16"/>
          <w:szCs w:val="16"/>
        </w:rPr>
        <w:t>10 апреля в 1946 году в НИИ ВВС начались Госиспытания истребителя «Як-З» с двигателем «Як-З» винтом «ВИШ-107ЛО» и металлическим крылом. На испытания были представлены самолеты головной серии NN 01-01, 03-01 и 04-01, построенные саратовским заводом в марте 1946 года. На самолётах №№ 03-01 и 04-01 были установлены две синхронные пушки «Б-20С» и одна мотор-пушка «Б-20М» с боезапасом по 100 снарядов, а на №01-01 - две синхронные пушки с боезапасом по 120 снарядов; усилены спецфермы крепления оружия. Выявлено большое число дефектов, в связи с этим 20 мая 1946 года испытания были прекращены, и самолёты были отправлены в ЛИИ для доводки (15095).</w:t>
      </w:r>
    </w:p>
    <w:p w14:paraId="3D3CA8F0" w14:textId="77777777" w:rsidR="00BF3067" w:rsidRPr="00925F26" w:rsidRDefault="00BF3067" w:rsidP="00925F26">
      <w:pPr>
        <w:jc w:val="both"/>
        <w:rPr>
          <w:color w:val="000000" w:themeColor="text1"/>
          <w:sz w:val="16"/>
          <w:szCs w:val="16"/>
        </w:rPr>
      </w:pPr>
    </w:p>
    <w:p w14:paraId="5B29E4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10 по 12 апреля, а затем с 19 по 27 апреля 1945 проходили гос. испытания серийного Як-3 ПФ-2 N 2229 292 завода, выпущенного в ноябре 1944.</w:t>
      </w:r>
    </w:p>
    <w:p w14:paraId="71381F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19 апреля 1945 1943 (805,5).</w:t>
      </w:r>
    </w:p>
    <w:p w14:paraId="110BA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стт-л В.П.Белодеденко</w:t>
      </w:r>
    </w:p>
    <w:p w14:paraId="06D1D0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вли к Мванов</w:t>
      </w:r>
    </w:p>
    <w:p w14:paraId="3A366B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54D433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макс. скорость на 15-19 км/час меньше установленной постановлением ГОКО от 26 октября 1943</w:t>
      </w:r>
    </w:p>
    <w:p w14:paraId="6BD352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объем б/б был на 22 л меньше, чем у с-та Як-1 М “дублер”</w:t>
      </w:r>
    </w:p>
    <w:p w14:paraId="25065B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мала дальность р/передатчика (45 км)</w:t>
      </w:r>
    </w:p>
    <w:p w14:paraId="7FEB75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06FEAF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739747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Як-3 № 22-29 с ПФ-2 контрольные испытания прошел неудовлетворительно.</w:t>
      </w:r>
    </w:p>
    <w:p w14:paraId="0D9E09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нем не устранены следующие основаные дефекты, выявленные </w:t>
      </w:r>
      <w:proofErr w:type="gramStart"/>
      <w:r w:rsidRPr="00925F26">
        <w:rPr>
          <w:color w:val="000000" w:themeColor="text1"/>
          <w:sz w:val="16"/>
          <w:szCs w:val="16"/>
        </w:rPr>
        <w:t>при испытаниях</w:t>
      </w:r>
      <w:proofErr w:type="gramEnd"/>
      <w:r w:rsidRPr="00925F26">
        <w:rPr>
          <w:color w:val="000000" w:themeColor="text1"/>
          <w:sz w:val="16"/>
          <w:szCs w:val="16"/>
        </w:rPr>
        <w:t xml:space="preserve"> с-та № 11-12:</w:t>
      </w:r>
    </w:p>
    <w:p w14:paraId="02ECFE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58E032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максимальная дальность радиопередачи (60 км)</w:t>
      </w:r>
    </w:p>
    <w:p w14:paraId="2C0EB6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мала емкость б/б (360 л против 372 л у опытного Як-1М “дублер”</w:t>
      </w:r>
    </w:p>
    <w:p w14:paraId="4B8959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- 3 мая 1945, Лосюков - 4 мая 1945</w:t>
      </w:r>
    </w:p>
    <w:p w14:paraId="6F4AE0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925F26" w14:paraId="55E7E690" w14:textId="77777777">
        <w:tc>
          <w:tcPr>
            <w:tcW w:w="3369" w:type="dxa"/>
            <w:tcBorders>
              <w:top w:val="single" w:sz="12" w:space="0" w:color="auto"/>
            </w:tcBorders>
          </w:tcPr>
          <w:p w14:paraId="26867E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1961" w:type="dxa"/>
            <w:tcBorders>
              <w:top w:val="single" w:sz="12" w:space="0" w:color="auto"/>
            </w:tcBorders>
          </w:tcPr>
          <w:p w14:paraId="10B5AC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24B8CF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6107D5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0497FD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постановлению ГОКО от 26 октября 1943</w:t>
            </w:r>
          </w:p>
        </w:tc>
      </w:tr>
      <w:tr w:rsidR="000F5689" w:rsidRPr="00925F26" w14:paraId="1AA1E2B0" w14:textId="77777777">
        <w:tc>
          <w:tcPr>
            <w:tcW w:w="3369" w:type="dxa"/>
          </w:tcPr>
          <w:p w14:paraId="3C850D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1961" w:type="dxa"/>
          </w:tcPr>
          <w:p w14:paraId="575C78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961" w:type="dxa"/>
          </w:tcPr>
          <w:p w14:paraId="117D0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2675</w:t>
            </w:r>
          </w:p>
        </w:tc>
        <w:tc>
          <w:tcPr>
            <w:tcW w:w="1961" w:type="dxa"/>
          </w:tcPr>
          <w:p w14:paraId="052D5E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w:t>
            </w:r>
          </w:p>
        </w:tc>
        <w:tc>
          <w:tcPr>
            <w:tcW w:w="1961" w:type="dxa"/>
          </w:tcPr>
          <w:p w14:paraId="389A83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2670</w:t>
            </w:r>
          </w:p>
        </w:tc>
      </w:tr>
      <w:tr w:rsidR="000F5689" w:rsidRPr="00925F26" w14:paraId="3CF8B7A4" w14:textId="77777777">
        <w:tc>
          <w:tcPr>
            <w:tcW w:w="3369" w:type="dxa"/>
          </w:tcPr>
          <w:p w14:paraId="4F823B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w:t>
            </w:r>
          </w:p>
        </w:tc>
        <w:tc>
          <w:tcPr>
            <w:tcW w:w="1961" w:type="dxa"/>
          </w:tcPr>
          <w:p w14:paraId="522E9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961" w:type="dxa"/>
          </w:tcPr>
          <w:p w14:paraId="6016D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w:t>
            </w:r>
          </w:p>
        </w:tc>
        <w:tc>
          <w:tcPr>
            <w:tcW w:w="1961" w:type="dxa"/>
          </w:tcPr>
          <w:p w14:paraId="664F84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w:t>
            </w:r>
          </w:p>
        </w:tc>
        <w:tc>
          <w:tcPr>
            <w:tcW w:w="1961" w:type="dxa"/>
          </w:tcPr>
          <w:p w14:paraId="139E5A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r>
      <w:tr w:rsidR="000F5689" w:rsidRPr="00925F26" w14:paraId="2960C800" w14:textId="77777777">
        <w:tc>
          <w:tcPr>
            <w:tcW w:w="3369" w:type="dxa"/>
          </w:tcPr>
          <w:p w14:paraId="2CA9F4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1-й границе высотности</w:t>
            </w:r>
          </w:p>
        </w:tc>
        <w:tc>
          <w:tcPr>
            <w:tcW w:w="1961" w:type="dxa"/>
          </w:tcPr>
          <w:p w14:paraId="0F14ED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613/2100</w:t>
            </w:r>
          </w:p>
        </w:tc>
        <w:tc>
          <w:tcPr>
            <w:tcW w:w="1961" w:type="dxa"/>
          </w:tcPr>
          <w:p w14:paraId="30F0A0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610/2200</w:t>
            </w:r>
          </w:p>
        </w:tc>
        <w:tc>
          <w:tcPr>
            <w:tcW w:w="1961" w:type="dxa"/>
          </w:tcPr>
          <w:p w14:paraId="1A41C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610/1600</w:t>
            </w:r>
          </w:p>
        </w:tc>
        <w:tc>
          <w:tcPr>
            <w:tcW w:w="1961" w:type="dxa"/>
          </w:tcPr>
          <w:p w14:paraId="69958D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BDFA2ED" w14:textId="77777777">
        <w:tc>
          <w:tcPr>
            <w:tcW w:w="3369" w:type="dxa"/>
          </w:tcPr>
          <w:p w14:paraId="00E583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границе высотности</w:t>
            </w:r>
          </w:p>
        </w:tc>
        <w:tc>
          <w:tcPr>
            <w:tcW w:w="1961" w:type="dxa"/>
          </w:tcPr>
          <w:p w14:paraId="7FF503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639/4150</w:t>
            </w:r>
          </w:p>
        </w:tc>
        <w:tc>
          <w:tcPr>
            <w:tcW w:w="1961" w:type="dxa"/>
          </w:tcPr>
          <w:p w14:paraId="759FBD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631/4200</w:t>
            </w:r>
          </w:p>
        </w:tc>
        <w:tc>
          <w:tcPr>
            <w:tcW w:w="1961" w:type="dxa"/>
          </w:tcPr>
          <w:p w14:paraId="0C28FD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642/3750</w:t>
            </w:r>
          </w:p>
        </w:tc>
        <w:tc>
          <w:tcPr>
            <w:tcW w:w="1961" w:type="dxa"/>
          </w:tcPr>
          <w:p w14:paraId="1B7ED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r>
      <w:tr w:rsidR="000F5689" w:rsidRPr="00925F26" w14:paraId="17713C16" w14:textId="77777777">
        <w:tc>
          <w:tcPr>
            <w:tcW w:w="3369" w:type="dxa"/>
            <w:tcBorders>
              <w:bottom w:val="single" w:sz="12" w:space="0" w:color="auto"/>
            </w:tcBorders>
          </w:tcPr>
          <w:p w14:paraId="7D7A52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w:t>
            </w:r>
          </w:p>
        </w:tc>
        <w:tc>
          <w:tcPr>
            <w:tcW w:w="1961" w:type="dxa"/>
            <w:tcBorders>
              <w:bottom w:val="single" w:sz="12" w:space="0" w:color="auto"/>
            </w:tcBorders>
          </w:tcPr>
          <w:p w14:paraId="58CB9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961" w:type="dxa"/>
            <w:tcBorders>
              <w:bottom w:val="single" w:sz="12" w:space="0" w:color="auto"/>
            </w:tcBorders>
          </w:tcPr>
          <w:p w14:paraId="152E70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961" w:type="dxa"/>
            <w:tcBorders>
              <w:bottom w:val="single" w:sz="12" w:space="0" w:color="auto"/>
            </w:tcBorders>
          </w:tcPr>
          <w:p w14:paraId="31ADE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961" w:type="dxa"/>
            <w:tcBorders>
              <w:bottom w:val="single" w:sz="12" w:space="0" w:color="auto"/>
            </w:tcBorders>
          </w:tcPr>
          <w:p w14:paraId="775F20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bl>
    <w:p w14:paraId="6E1AD0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1хТМА-2- ШВАК и 2хБС синхр.</w:t>
      </w:r>
    </w:p>
    <w:p w14:paraId="15C00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серийного с-та № 11-12, проходившего КИ в сентябре 1944 имеет следующие основные отличия:</w:t>
      </w:r>
    </w:p>
    <w:p w14:paraId="02520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планеру</w:t>
      </w:r>
    </w:p>
    <w:p w14:paraId="1FDC02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проведены мероприятия по улучшению аэродинамики с-та</w:t>
      </w:r>
    </w:p>
    <w:p w14:paraId="5657B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уменьшены щели между крылом и элеронами, между килем и РП и между стабилизатором и РВ</w:t>
      </w:r>
    </w:p>
    <w:p w14:paraId="7EE8F0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уменьшены вырезы под кронштейны элеронов и рулей</w:t>
      </w:r>
    </w:p>
    <w:p w14:paraId="495198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улучшена герметичность с-та</w:t>
      </w:r>
    </w:p>
    <w:p w14:paraId="5A5457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поставлены замки на центральные щитки шасси</w:t>
      </w:r>
    </w:p>
    <w:p w14:paraId="70AA73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повышена прочность крыла:</w:t>
      </w:r>
    </w:p>
    <w:p w14:paraId="561BB2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увеличена вдвое площадь склейки средней части нервюр 8, 9, 10, 11, 14, 16, 18 с верхней обшивкой</w:t>
      </w:r>
    </w:p>
    <w:p w14:paraId="7F9BF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1CE5D4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средняя часть и шпон лобовой части обшивки приклеены клеем ВИАМ-Б-3</w:t>
      </w:r>
    </w:p>
    <w:p w14:paraId="380C52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 ВМГ - установлено приспособление для газового запуска мотора...</w:t>
      </w:r>
    </w:p>
    <w:p w14:paraId="4BCA80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 - вместо передатчика РСИ-3 установлен РСИ-3М-1...</w:t>
      </w:r>
    </w:p>
    <w:p w14:paraId="32B131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52BA5F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52F929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выполнено 20 полетов с общим налетом 12:16</w:t>
      </w:r>
    </w:p>
    <w:p w14:paraId="3BC306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2146 при нормальном полетном 2710. Ц/т 24,7%</w:t>
      </w:r>
    </w:p>
    <w:p w14:paraId="43D6E0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- 90</w:t>
      </w:r>
    </w:p>
    <w:p w14:paraId="256D2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- 360 л (уд. Вес 0,741) - 267 кг</w:t>
      </w:r>
    </w:p>
    <w:p w14:paraId="67BDE4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- 95,5</w:t>
      </w:r>
    </w:p>
    <w:p w14:paraId="7B02BE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боезапас - 77,5</w:t>
      </w:r>
    </w:p>
    <w:p w14:paraId="334837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- 14</w:t>
      </w:r>
    </w:p>
    <w:p w14:paraId="7483E6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564 кг</w:t>
      </w:r>
    </w:p>
    <w:p w14:paraId="033A57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70316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Перечень дефектов и конструктивных недостатков, выявленных при испытаниях:</w:t>
      </w:r>
    </w:p>
    <w:p w14:paraId="33A02D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отсос щитков шасси при полете на повышенной скорости</w:t>
      </w:r>
    </w:p>
    <w:p w14:paraId="230018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отставание обшивки в нижней части конца фюзеляжа, отставание обшивки киля</w:t>
      </w:r>
    </w:p>
    <w:p w14:paraId="55C6E1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искажения сферического козырька кабины фонаря, видемость через него неудовлетворительна</w:t>
      </w:r>
    </w:p>
    <w:p w14:paraId="49CB97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велики усилия на ручке элеронов и РВ, малая эффективность триммер РВ</w:t>
      </w:r>
    </w:p>
    <w:p w14:paraId="228BDF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6B12C2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Механические бензомеры непригодны для расхода горючего.</w:t>
      </w:r>
    </w:p>
    <w:p w14:paraId="49B30F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Радиосвязь на землю с высоты 1000 м - 60 км</w:t>
      </w:r>
    </w:p>
    <w:p w14:paraId="756F43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48886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Вентиляция кабины эффективна</w:t>
      </w:r>
    </w:p>
    <w:p w14:paraId="330FFE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огнем пушки и пулеметов - удачное</w:t>
      </w:r>
    </w:p>
    <w:p w14:paraId="079DA0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5291E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Иванов - подписал 30 апреля 1945</w:t>
      </w:r>
    </w:p>
    <w:p w14:paraId="557D59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Прошаков, Хомяков, Седов, Антипов, Кувшинов - подписали 30 апреля 1945 (805,5).</w:t>
      </w:r>
    </w:p>
    <w:p w14:paraId="44DC8D6E" w14:textId="77777777" w:rsidR="00665165" w:rsidRPr="00925F26" w:rsidRDefault="00665165" w:rsidP="00925F26">
      <w:pPr>
        <w:autoSpaceDE w:val="0"/>
        <w:autoSpaceDN w:val="0"/>
        <w:adjustRightInd w:val="0"/>
        <w:jc w:val="both"/>
        <w:rPr>
          <w:color w:val="000000" w:themeColor="text1"/>
          <w:sz w:val="16"/>
          <w:szCs w:val="16"/>
        </w:rPr>
      </w:pPr>
    </w:p>
    <w:p w14:paraId="5C2A7E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 СССР на завод 456 в Москве поступили крылья самолетов-снарядов из г. Китлицтребен (1874,15).</w:t>
      </w:r>
    </w:p>
    <w:p w14:paraId="6550DBB0" w14:textId="77777777" w:rsidR="00665165" w:rsidRPr="00925F26" w:rsidRDefault="00665165" w:rsidP="00925F26">
      <w:pPr>
        <w:autoSpaceDE w:val="0"/>
        <w:autoSpaceDN w:val="0"/>
        <w:adjustRightInd w:val="0"/>
        <w:jc w:val="both"/>
        <w:rPr>
          <w:color w:val="000000" w:themeColor="text1"/>
          <w:sz w:val="16"/>
          <w:szCs w:val="16"/>
        </w:rPr>
      </w:pPr>
    </w:p>
    <w:p w14:paraId="6A08EA1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30A7269" w14:textId="77777777" w:rsidR="00665165" w:rsidRPr="00925F26" w:rsidRDefault="00665165" w:rsidP="00925F26">
      <w:pPr>
        <w:autoSpaceDE w:val="0"/>
        <w:autoSpaceDN w:val="0"/>
        <w:adjustRightInd w:val="0"/>
        <w:jc w:val="both"/>
        <w:rPr>
          <w:iCs/>
          <w:color w:val="000000" w:themeColor="text1"/>
          <w:sz w:val="16"/>
          <w:szCs w:val="16"/>
        </w:rPr>
      </w:pPr>
    </w:p>
    <w:p w14:paraId="72D42D76" w14:textId="77777777" w:rsidR="00BA2B8F" w:rsidRPr="00925F26" w:rsidRDefault="00BA2B8F" w:rsidP="00925F26">
      <w:pPr>
        <w:jc w:val="both"/>
        <w:rPr>
          <w:color w:val="000000" w:themeColor="text1"/>
          <w:sz w:val="16"/>
          <w:szCs w:val="16"/>
        </w:rPr>
      </w:pPr>
      <w:r w:rsidRPr="00925F26">
        <w:rPr>
          <w:color w:val="000000" w:themeColor="text1"/>
          <w:sz w:val="16"/>
          <w:szCs w:val="16"/>
        </w:rPr>
        <w:t>10 апреля 1945 года на НИБТ полигоне в Кубинке закончились «Испытания катков танка Т-У на Т-34-85», которые шли с 23 марта по. Цель испытаний - возможность использования опорных катков Т-У на Т-34-85. Катки Т-У были приспособлены для Т-34-85 в конструкторском бюро НИБТ полигона (установлены вместе с серийными катками Т-34-85). После этого танк прошел 604 км плюс специальные испытания - преодоление косогоров, скатов и т.д.</w:t>
      </w:r>
    </w:p>
    <w:p w14:paraId="50E109DE" w14:textId="77777777" w:rsidR="00BA2B8F" w:rsidRPr="00925F26" w:rsidRDefault="00BA2B8F" w:rsidP="00925F26">
      <w:pPr>
        <w:jc w:val="both"/>
        <w:rPr>
          <w:color w:val="000000" w:themeColor="text1"/>
          <w:sz w:val="16"/>
          <w:szCs w:val="16"/>
        </w:rPr>
      </w:pPr>
      <w:r w:rsidRPr="00925F26">
        <w:rPr>
          <w:color w:val="000000" w:themeColor="text1"/>
          <w:sz w:val="16"/>
          <w:szCs w:val="16"/>
        </w:rPr>
        <w:t>Выводы. Опорные катки Т-У обладают более низкой надежностью, чем у Т-34-85 серийные. Произошедшие поломки катков являются следствием их большей нагруженности. Монтаж катков Т-У на Т-34-85 может быть осуществлен средствами войсковой ремонтной части».</w:t>
      </w:r>
    </w:p>
    <w:p w14:paraId="6444692E" w14:textId="77777777" w:rsidR="00BA2B8F" w:rsidRPr="00925F26" w:rsidRDefault="00BA2B8F" w:rsidP="00925F26">
      <w:pPr>
        <w:jc w:val="both"/>
        <w:rPr>
          <w:color w:val="000000" w:themeColor="text1"/>
          <w:sz w:val="16"/>
          <w:szCs w:val="16"/>
        </w:rPr>
      </w:pPr>
      <w:r w:rsidRPr="00925F26">
        <w:rPr>
          <w:color w:val="000000" w:themeColor="text1"/>
          <w:sz w:val="16"/>
          <w:szCs w:val="16"/>
        </w:rPr>
        <w:t>Вполне возможно, что испытания на НИБТ полигоне проводились с подачи командования 4-го ПТРЗ, которое могло обратиться в вышестоящие инстанции с таким рационализаторским предложением (12217).</w:t>
      </w:r>
    </w:p>
    <w:p w14:paraId="2F83FA41" w14:textId="77777777" w:rsidR="00BA2B8F" w:rsidRPr="00925F26" w:rsidRDefault="00BA2B8F" w:rsidP="00925F26">
      <w:pPr>
        <w:jc w:val="both"/>
        <w:rPr>
          <w:color w:val="000000" w:themeColor="text1"/>
          <w:sz w:val="16"/>
          <w:szCs w:val="16"/>
        </w:rPr>
      </w:pPr>
    </w:p>
    <w:p w14:paraId="752462B5"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К 10 апреля 1945 на НИБТ Полигон прибыли два танка М-24. Из них машина с регистрационным номером U.S.A. 30120376 была выделена для прохождения обширной программы испытаний. Помимо них, с 15 по 20 апреля проходило тщательное изучение нового американского танка. В целом мнение полигонных испытателей оказалось схожим с заключением, составленным гвардии майором Афониным в августе 1944 года. Согласно вердикту, М24 представлял собой сплав наиболее удачных идей, взятых от боевых машин, к которым фирма General Motors имела прямое отношение – легкого танка М5А1 и самоходной установки M18 (Т70).</w:t>
      </w:r>
    </w:p>
    <w:p w14:paraId="0FEBA474"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 xml:space="preserve">Изучение машины, как и в случае с GMC T70, значительно упрощалось в связи с наличием в комплекте с танком технической литературы. С литературой, кстати говоря, связана серьезная ошибка, допущенная в ходе оценки танка. Согласно руководству, мощность двигателя Cadillac Series 44T24 составляла 110 лошадиных сил. </w:t>
      </w:r>
      <w:r w:rsidRPr="00925F26">
        <w:rPr>
          <w:color w:val="000000" w:themeColor="text1"/>
          <w:sz w:val="16"/>
          <w:szCs w:val="16"/>
        </w:rPr>
        <w:lastRenderedPageBreak/>
        <w:t>Это правда, но с маленькой оговоркой – речь здесь шла про номинальную мощность. Максимальная же мощность составляла 148 лошадиных сил. То есть реальная максимальная мощность спарки моторов составляла 296 лошадиных сил. Здесь была повторена точно та же ошибка, что и в случае с Light Tank M5A1, оснащавшимся аналогичными моторами.</w:t>
      </w:r>
    </w:p>
    <w:p w14:paraId="5E10C2CA"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В отличие от M5A1, на М24 соединение двух моторов в один агрегат происходило при помощи демультипликатора в моторном отделении. Это сократило число карданных валов до одного. Кроме того, при необходимости можно было быстро отключить один из моторов. Еще одной особенностью стало появление педали нейтрали, а управление машиной стало сдвоенным. Впервые такое решение было использовано американскими инженерами на среднем танке T20. Таким образом, теперь помощник механика-водителя стал именоваться таковым вполне заслуженно.</w:t>
      </w:r>
    </w:p>
    <w:p w14:paraId="440DB89E"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Конструкция дифференциала не отличалось от того, который устанавливался на GMC T70. При этом соединение его с бортовыми передачами было выполнено при помощи карданных сочленений. Это упростило установку дифференциала и ее монтаж. Осуществлялся он, кстати, через через массивный люк в верхнем лобовом листе.</w:t>
      </w:r>
    </w:p>
    <w:p w14:paraId="5D705B31"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С точки зрения ходовой части новый американский легкий танк оказался очень близок к GMC T70, что и не удивительно. Впрочем, хватало и заметных изменений. Для начала, вместо горизонтальных амортизаторов двухстороннего действия, которые применялись на GMC T70, на легком танке M24 были установлены под наклоном телескопические амортизаторы. Еще одной особенностью, на которую обратил внимание еще Афонин (и зарисовал ее), стала конструкция крепления ленивца. Его связали с балансиром крайнего заднего опорного катка. Таким образом было обеспечено постоянное натяжение гусеничных лент.</w:t>
      </w:r>
    </w:p>
    <w:p w14:paraId="3A673FD1"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Что касается траков, то в целом они оказались очень похожими на те, что применялись на самоходной установке. Но при этом изменился размер проушин и устройство стопора пальцев. Последнее было признано неудачным, поскольку в ходе эксплуатации втулочные канавки и выступы втулок сминались, в результате чего демонтаж траков становился затруднительным.</w:t>
      </w:r>
    </w:p>
    <w:p w14:paraId="260806AD"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Высокой похвалы удостоились приборы наблюдения. Для начала, у командира имелась башенка с шестью смотровыми приборами, которая обеспечивала высокую обзорность. Также в люке башенки имелся перископический прибор наблюдения. Смотровые приборы с сектором обзора 60о по горизонтали и 50о по вертикали имели наводчик, механик-водитель и его помощник.</w:t>
      </w:r>
    </w:p>
    <w:p w14:paraId="1CF4D4D8"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Вполне неплохими оказались и прицелы, правда, их прицельная сетка рассчитывалась только для бронебойного снаряда M61. Отсутствие шкалы для стрельбы осколочно-фугасными снарядами было явным недочетом. Помимо прицелов для прямой наводки, в башне установили угломерный прибор, предназначенной для стрельбы с закрытых позиций.</w:t>
      </w:r>
    </w:p>
    <w:p w14:paraId="77962C92"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Достаточно высокой оценки были удостоены рабочие места экипажа. Больше всего претензий вызвало место заряжающего, у которого не было смотрового прибора, а сидение располагалось неудобно. Надо, правда, учитывать тот факт, что экипаж танка мог состоять из 4 человек, тогда функции заряжающего выполнял помощник механика-водителя. В остальном же танк получился вполне удобным, особенно с учетом его относительно небольших размеров.</w:t>
      </w:r>
    </w:p>
    <w:p w14:paraId="5738CF87" w14:textId="77777777" w:rsidR="00117BE3" w:rsidRPr="00925F26" w:rsidRDefault="00117BE3" w:rsidP="00925F26">
      <w:pPr>
        <w:shd w:val="clear" w:color="auto" w:fill="FFFFFF"/>
        <w:jc w:val="both"/>
        <w:rPr>
          <w:color w:val="000000" w:themeColor="text1"/>
          <w:sz w:val="16"/>
          <w:szCs w:val="16"/>
        </w:rPr>
      </w:pPr>
      <w:r w:rsidRPr="00925F26">
        <w:rPr>
          <w:color w:val="000000" w:themeColor="text1"/>
          <w:sz w:val="16"/>
          <w:szCs w:val="16"/>
        </w:rPr>
        <w:t>Стоит отметить, что М24 отличался не только удобством размещения экипажа, но и небольшими усилиями на рычагах – 9–12 кг. Отмечались очень небольшие усилия на маховиках наведения орудия – всего 1,5 килограмма. Большим плюсом было и наличие гидравлического привода поворота башни. Без него полный оборот башни осуществлялся за 95 секунд, а с ним – за 15 секунд (17684).</w:t>
      </w:r>
    </w:p>
    <w:p w14:paraId="397E5CDD" w14:textId="77777777" w:rsidR="00117BE3" w:rsidRPr="00925F26" w:rsidRDefault="00117BE3" w:rsidP="00925F26">
      <w:pPr>
        <w:jc w:val="both"/>
        <w:rPr>
          <w:color w:val="000000" w:themeColor="text1"/>
          <w:sz w:val="16"/>
          <w:szCs w:val="16"/>
        </w:rPr>
      </w:pPr>
    </w:p>
    <w:p w14:paraId="3FBD5690" w14:textId="77777777" w:rsidR="009104CE" w:rsidRPr="00925F26" w:rsidRDefault="009104CE" w:rsidP="00925F26">
      <w:pPr>
        <w:jc w:val="both"/>
        <w:rPr>
          <w:color w:val="000000" w:themeColor="text1"/>
          <w:sz w:val="16"/>
          <w:szCs w:val="16"/>
        </w:rPr>
      </w:pPr>
      <w:r w:rsidRPr="00925F26">
        <w:rPr>
          <w:color w:val="000000" w:themeColor="text1"/>
          <w:sz w:val="16"/>
          <w:szCs w:val="16"/>
        </w:rPr>
        <w:t>Ближе к 10 апреля 1945 года первые эшелоны СУ-76М с модернизированным боевым отделением стали покидать ГАЗ им. Молотова. Направлялись они для пополнения частей на советско-германском фронте, но как минимум один эшелон с 63 машинами ушёл в Читу. Направленные на пополнение самоходные артиллерийские установки повоевать не успели. Обычно между отправкой и началом боевого применения машины проходил минимум месяц. Части, получившие модернизированные СУ-76М, оказались боеготовыми не раньше середины мая.</w:t>
      </w:r>
    </w:p>
    <w:p w14:paraId="5DAEA8B4" w14:textId="77777777" w:rsidR="009104CE" w:rsidRPr="00925F26" w:rsidRDefault="009104CE" w:rsidP="00925F26">
      <w:pPr>
        <w:jc w:val="both"/>
        <w:rPr>
          <w:color w:val="000000" w:themeColor="text1"/>
          <w:sz w:val="16"/>
          <w:szCs w:val="16"/>
        </w:rPr>
      </w:pPr>
      <w:r w:rsidRPr="00925F26">
        <w:rPr>
          <w:color w:val="000000" w:themeColor="text1"/>
          <w:sz w:val="16"/>
          <w:szCs w:val="16"/>
        </w:rPr>
        <w:t>После окончания войны в Европе производство СУ-76М продолжалось, как и их поставки в войска. САУ получали как новые части, так и те, что пополнялись после боёв на советско-германском фронте. За период с 11 мая по 1 августа 1945 года заводы сдали ещё 1640 машин, часть из них попала в войска, принимавшие участие в советско-японской войне. Большинство частей на Дальнем Востоке использовало самоходные установки старого типа, но встречаются на фотографиях и модернизированные САУ.</w:t>
      </w:r>
    </w:p>
    <w:p w14:paraId="108AEBCB" w14:textId="77777777" w:rsidR="009104CE" w:rsidRPr="00925F26" w:rsidRDefault="009104CE" w:rsidP="00925F26">
      <w:pPr>
        <w:jc w:val="both"/>
        <w:rPr>
          <w:color w:val="000000" w:themeColor="text1"/>
          <w:sz w:val="16"/>
          <w:szCs w:val="16"/>
        </w:rPr>
      </w:pPr>
      <w:r w:rsidRPr="00925F26">
        <w:rPr>
          <w:color w:val="000000" w:themeColor="text1"/>
          <w:sz w:val="16"/>
          <w:szCs w:val="16"/>
        </w:rPr>
        <w:t>Машины поступали на вооружение самоходно-артиллерийских дивизионов (САД), придававшихся стрелковым дивизиям. Использовавшиеся на Дальнем Востоке САД были близки по структуре к штату № 04/434, появившемуся в начале 1944 года. Разница была в том, что помимо 12 машин (3 батареи по 4 орудия), в САД имелась ещё одна СУ-76М — командирская. Стрелковые дивизии получили подвижную самоходную дивизионную артиллерию. СУ-76М использовались в боях против японских войск очень активно. К 5 августа на театре боевых действий имелось 952 СУ-76М, из них 364 штуки в составе 1-го Дальневосточного фронта, 122 в составе 2-го Дальневосточного фронта и 466 в составе Забайкальского фронта. В составе последнего, помимо САД, имелось ещё и три самоходных артиллерийских полка. СУ-76М показали себя самыми надёжными боевыми машинами из числа применявшихся на фронте (18172).</w:t>
      </w:r>
    </w:p>
    <w:p w14:paraId="3C847B86" w14:textId="77777777" w:rsidR="009104CE" w:rsidRPr="00925F26" w:rsidRDefault="009104CE" w:rsidP="00925F26">
      <w:pPr>
        <w:jc w:val="both"/>
        <w:rPr>
          <w:color w:val="000000" w:themeColor="text1"/>
          <w:sz w:val="16"/>
          <w:szCs w:val="16"/>
        </w:rPr>
      </w:pPr>
    </w:p>
    <w:p w14:paraId="4183A7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вышло Постановление ГКО № 8060 О балансах и планах распределения проката черных металлов, металлокерамических твердых сплавов, труб, метизов, чугуна, ферросплавов и металлургического кокса на II квартал 1945 года. РГАНИР, Фонд ГКО, д. 390, лл. 1-2, 3-116 (11012).</w:t>
      </w:r>
    </w:p>
    <w:p w14:paraId="72ABD890" w14:textId="77777777" w:rsidR="00665165" w:rsidRPr="00925F26" w:rsidRDefault="00665165" w:rsidP="00925F26">
      <w:pPr>
        <w:autoSpaceDE w:val="0"/>
        <w:autoSpaceDN w:val="0"/>
        <w:adjustRightInd w:val="0"/>
        <w:jc w:val="both"/>
        <w:rPr>
          <w:color w:val="000000" w:themeColor="text1"/>
          <w:sz w:val="16"/>
          <w:szCs w:val="16"/>
        </w:rPr>
      </w:pPr>
    </w:p>
    <w:p w14:paraId="459FF3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вышло Постановление ГКО № 8062 О плане добычи угля и сланца на II квартал 1945 г. по Наркомуглю и мерах по материально-техническому обеспечению угольной промышленности. РГАНИР, Фонд ГКО, д. 390, лл. 119-156, 157-179 (11012).</w:t>
      </w:r>
    </w:p>
    <w:p w14:paraId="244A00F3" w14:textId="77777777" w:rsidR="00665165" w:rsidRPr="00925F26" w:rsidRDefault="00665165" w:rsidP="00925F26">
      <w:pPr>
        <w:autoSpaceDE w:val="0"/>
        <w:autoSpaceDN w:val="0"/>
        <w:adjustRightInd w:val="0"/>
        <w:jc w:val="both"/>
        <w:rPr>
          <w:color w:val="000000" w:themeColor="text1"/>
          <w:sz w:val="16"/>
          <w:szCs w:val="16"/>
        </w:rPr>
      </w:pPr>
    </w:p>
    <w:p w14:paraId="461343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вышло Постановление ГКО № 8063 О балансе и плане распределения масел, смазок и специальных нефтепродуктов на II квартал 1945 г. РГАНИР, Фонд ГКО, д. 391, лл. 1-2, 3-64 (11012).</w:t>
      </w:r>
    </w:p>
    <w:p w14:paraId="6C03A640" w14:textId="77777777" w:rsidR="00665165" w:rsidRPr="00925F26" w:rsidRDefault="00665165" w:rsidP="00925F26">
      <w:pPr>
        <w:autoSpaceDE w:val="0"/>
        <w:autoSpaceDN w:val="0"/>
        <w:adjustRightInd w:val="0"/>
        <w:jc w:val="both"/>
        <w:rPr>
          <w:color w:val="000000" w:themeColor="text1"/>
          <w:sz w:val="16"/>
          <w:szCs w:val="16"/>
        </w:rPr>
      </w:pPr>
    </w:p>
    <w:p w14:paraId="630DCD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Начаты швартовные испытания 10-го ТЩ на заводе им. А. А. Жданова; завершены 10 мая (10671).</w:t>
      </w:r>
    </w:p>
    <w:p w14:paraId="239EED8D" w14:textId="77777777" w:rsidR="00665165" w:rsidRPr="00925F26" w:rsidRDefault="00665165" w:rsidP="00925F26">
      <w:pPr>
        <w:autoSpaceDE w:val="0"/>
        <w:autoSpaceDN w:val="0"/>
        <w:adjustRightInd w:val="0"/>
        <w:jc w:val="both"/>
        <w:rPr>
          <w:color w:val="000000" w:themeColor="text1"/>
          <w:sz w:val="16"/>
          <w:szCs w:val="16"/>
        </w:rPr>
      </w:pPr>
    </w:p>
    <w:p w14:paraId="230C0D6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06AA6FF" w14:textId="77777777" w:rsidR="00665165" w:rsidRPr="00925F26" w:rsidRDefault="00665165" w:rsidP="00925F26">
      <w:pPr>
        <w:autoSpaceDE w:val="0"/>
        <w:autoSpaceDN w:val="0"/>
        <w:adjustRightInd w:val="0"/>
        <w:jc w:val="both"/>
        <w:rPr>
          <w:iCs/>
          <w:color w:val="000000" w:themeColor="text1"/>
          <w:sz w:val="16"/>
          <w:szCs w:val="16"/>
        </w:rPr>
      </w:pPr>
    </w:p>
    <w:p w14:paraId="36954D2B" w14:textId="77777777" w:rsidR="00BF3067" w:rsidRPr="00925F26" w:rsidRDefault="00BF3067" w:rsidP="00925F26">
      <w:pPr>
        <w:jc w:val="both"/>
        <w:rPr>
          <w:color w:val="000000" w:themeColor="text1"/>
          <w:sz w:val="16"/>
          <w:szCs w:val="16"/>
        </w:rPr>
      </w:pPr>
      <w:r w:rsidRPr="00925F26">
        <w:rPr>
          <w:color w:val="000000" w:themeColor="text1"/>
          <w:sz w:val="16"/>
          <w:szCs w:val="16"/>
        </w:rPr>
        <w:t>10 апреля в 1945 году оперативная сводка Совинформбюро:</w:t>
      </w:r>
    </w:p>
    <w:p w14:paraId="18BE3DDF" w14:textId="77777777" w:rsidR="00BF3067" w:rsidRPr="00925F26" w:rsidRDefault="00BF3067" w:rsidP="00925F26">
      <w:pPr>
        <w:jc w:val="both"/>
        <w:rPr>
          <w:color w:val="000000" w:themeColor="text1"/>
          <w:sz w:val="16"/>
          <w:szCs w:val="16"/>
        </w:rPr>
      </w:pPr>
      <w:r w:rsidRPr="00925F26">
        <w:rPr>
          <w:color w:val="000000" w:themeColor="text1"/>
          <w:sz w:val="16"/>
          <w:szCs w:val="16"/>
        </w:rPr>
        <w:t>«По данным 3-го Белорусского фронта, после 21 ч. 30 м. 9 апреля, т. е. после прекращения сопротивления немецких войск в Кенигсберге, в течение ночи с 9-го на 10-ое и днём 10-го апреля сдалось в плен около 50 тысяч немецких солдат и офицеров.</w:t>
      </w:r>
    </w:p>
    <w:p w14:paraId="55583FEB" w14:textId="77777777" w:rsidR="00BF3067" w:rsidRPr="00925F26" w:rsidRDefault="00BF3067" w:rsidP="00925F26">
      <w:pPr>
        <w:jc w:val="both"/>
        <w:rPr>
          <w:color w:val="000000" w:themeColor="text1"/>
          <w:sz w:val="16"/>
          <w:szCs w:val="16"/>
        </w:rPr>
      </w:pPr>
      <w:r w:rsidRPr="00925F26">
        <w:rPr>
          <w:color w:val="000000" w:themeColor="text1"/>
          <w:sz w:val="16"/>
          <w:szCs w:val="16"/>
        </w:rPr>
        <w:t>Таким образом, за время боёв по ликвидации Кенигсбергской группировки немцев, т. е. с 6-го по 10-ое апреля, взято в плен всего более 92 тысяч немецких солдат и офицеров.</w:t>
      </w:r>
    </w:p>
    <w:p w14:paraId="35990525" w14:textId="77777777" w:rsidR="00BF3067" w:rsidRPr="00925F26" w:rsidRDefault="00BF3067" w:rsidP="00925F26">
      <w:pPr>
        <w:jc w:val="both"/>
        <w:rPr>
          <w:color w:val="000000" w:themeColor="text1"/>
          <w:sz w:val="16"/>
          <w:szCs w:val="16"/>
        </w:rPr>
      </w:pPr>
      <w:r w:rsidRPr="00925F26">
        <w:rPr>
          <w:color w:val="000000" w:themeColor="text1"/>
          <w:sz w:val="16"/>
          <w:szCs w:val="16"/>
        </w:rPr>
        <w:t>За тот же период немцы потеряли убитыми до 42 тысяч солдат и офицеров.</w:t>
      </w:r>
    </w:p>
    <w:p w14:paraId="4A673010" w14:textId="77777777" w:rsidR="00BF3067" w:rsidRPr="00925F26" w:rsidRDefault="00BF3067" w:rsidP="00925F26">
      <w:pPr>
        <w:jc w:val="both"/>
        <w:rPr>
          <w:color w:val="000000" w:themeColor="text1"/>
          <w:sz w:val="16"/>
          <w:szCs w:val="16"/>
        </w:rPr>
      </w:pPr>
      <w:r w:rsidRPr="00925F26">
        <w:rPr>
          <w:color w:val="000000" w:themeColor="text1"/>
          <w:sz w:val="16"/>
          <w:szCs w:val="16"/>
        </w:rPr>
        <w:t>В числе пленных 1.819 офицеров и 4 генерала — комендант Кенигсбергского укреплённого района генерал от инфантерии Ляш, заместитель коменданта крепости генерал-лейтенант Микош, командир 61-й немецкой пехотной дивизии генерал-лейтенант Шперль, командир 367-й немецкой пехотной дивизии, генерал-майор Хенле.</w:t>
      </w:r>
    </w:p>
    <w:p w14:paraId="73ABA48F" w14:textId="77777777" w:rsidR="00BF3067" w:rsidRPr="00925F26" w:rsidRDefault="00BF3067" w:rsidP="00925F26">
      <w:pPr>
        <w:jc w:val="both"/>
        <w:rPr>
          <w:color w:val="000000" w:themeColor="text1"/>
          <w:sz w:val="16"/>
          <w:szCs w:val="16"/>
        </w:rPr>
      </w:pPr>
      <w:r w:rsidRPr="00925F26">
        <w:rPr>
          <w:color w:val="000000" w:themeColor="text1"/>
          <w:sz w:val="16"/>
          <w:szCs w:val="16"/>
        </w:rPr>
        <w:t>Войска фронта захватили следующие трофеи: полевых орудий — 2.023, танков и самоходных орудий — 89, миномётов — 1.652, пулемётов — 4.673, бронетранспортёров— 119, бронепоездов — 2, автомашин — 8.560, тракторов и тягачей — 137, паровозов — 774, вагонов — 8.544, катеров и барж— 146, складов с военным имуществом—441.</w:t>
      </w:r>
    </w:p>
    <w:p w14:paraId="1AD4FE7C" w14:textId="77777777" w:rsidR="00BF3067" w:rsidRPr="00925F26" w:rsidRDefault="00BF3067" w:rsidP="00925F26">
      <w:pPr>
        <w:jc w:val="both"/>
        <w:rPr>
          <w:color w:val="000000" w:themeColor="text1"/>
          <w:sz w:val="16"/>
          <w:szCs w:val="16"/>
        </w:rPr>
      </w:pPr>
      <w:r w:rsidRPr="00925F26">
        <w:rPr>
          <w:color w:val="000000" w:themeColor="text1"/>
          <w:sz w:val="16"/>
          <w:szCs w:val="16"/>
        </w:rPr>
        <w:t>Уничтожено: самолётов—120, полевых орудий— 1.193, миномётов — 568, танков и самоходных орудий — 104, бронетранспортёров — 82, автомашин — 1.719, паровозов — 23, вагонов — 215, складов с военным имуществом — 77.</w:t>
      </w:r>
    </w:p>
    <w:p w14:paraId="78338A53" w14:textId="77777777" w:rsidR="00BF3067" w:rsidRPr="00925F26" w:rsidRDefault="00BF3067" w:rsidP="00925F26">
      <w:pPr>
        <w:jc w:val="both"/>
        <w:rPr>
          <w:color w:val="000000" w:themeColor="text1"/>
          <w:sz w:val="16"/>
          <w:szCs w:val="16"/>
        </w:rPr>
      </w:pPr>
      <w:r w:rsidRPr="00925F26">
        <w:rPr>
          <w:color w:val="000000" w:themeColor="text1"/>
          <w:sz w:val="16"/>
          <w:szCs w:val="16"/>
        </w:rPr>
        <w:t>В течение 10-го апреля на Земландском полуострове западнее Кенигсберга войска 3-го Белорусского фронта с боями заняли населённые пункты Метгетен, Модиттен, Клайн Фридрихсберг, Гросс Хольштайн.</w:t>
      </w:r>
    </w:p>
    <w:p w14:paraId="6C4E8397" w14:textId="77777777" w:rsidR="00BF3067" w:rsidRPr="00925F26" w:rsidRDefault="00BF3067" w:rsidP="00925F26">
      <w:pPr>
        <w:jc w:val="both"/>
        <w:rPr>
          <w:color w:val="000000" w:themeColor="text1"/>
          <w:sz w:val="16"/>
          <w:szCs w:val="16"/>
        </w:rPr>
      </w:pPr>
      <w:r w:rsidRPr="00925F26">
        <w:rPr>
          <w:color w:val="000000" w:themeColor="text1"/>
          <w:sz w:val="16"/>
          <w:szCs w:val="16"/>
        </w:rPr>
        <w:t>Северо-восточнее и севернее Братиславы войска 2-го Украинского фронта, продолжая наступление, заняли на территории Чехословакии город Тренчин и более 30 других населённых пунктов, в том числе Велки Бьеровце, Миавци, Паныци, Кадлечицы, Миче, Хропов, Ковалевец, Попудини. Северо-западнее и западнее Братиславы войска фронта, наступая по северному берегу Дуная, заняли города Гензерндорф и Дойч-Ваграм и населённые пункты Вайкендорф, Штрассхоф. Маркграфнойзидль, Парбасдорф, Гроссхофен, Глинцендорф, Рутцендорф, Франценсдорф, Виттау, Оберхаузен, Мюльлайтен.</w:t>
      </w:r>
    </w:p>
    <w:p w14:paraId="1B1B385C" w14:textId="77777777" w:rsidR="00BF3067" w:rsidRPr="00925F26" w:rsidRDefault="00BF3067" w:rsidP="00925F26">
      <w:pPr>
        <w:jc w:val="both"/>
        <w:rPr>
          <w:color w:val="000000" w:themeColor="text1"/>
          <w:sz w:val="16"/>
          <w:szCs w:val="16"/>
        </w:rPr>
      </w:pPr>
      <w:r w:rsidRPr="00925F26">
        <w:rPr>
          <w:color w:val="000000" w:themeColor="text1"/>
          <w:sz w:val="16"/>
          <w:szCs w:val="16"/>
        </w:rPr>
        <w:t>Войска 3-го Украинского фронта, продолжая уличные бои в Вене, очистили от противника все городские районы, расположенные на западном берегу Дунайского канала. В боях за 9 апреля войска фронта взяли в плен более 2.000 солдат и офицеров противника и захватили следующие трофеи: танков — 72, бронетранспортёров— 85, полевых орудий — 75, пулемётов—174.</w:t>
      </w:r>
    </w:p>
    <w:p w14:paraId="7E4DE8AD" w14:textId="77777777" w:rsidR="00BF3067" w:rsidRPr="00925F26" w:rsidRDefault="00BF3067" w:rsidP="00925F26">
      <w:pPr>
        <w:jc w:val="both"/>
        <w:rPr>
          <w:color w:val="000000" w:themeColor="text1"/>
          <w:sz w:val="16"/>
          <w:szCs w:val="16"/>
        </w:rPr>
      </w:pPr>
      <w:r w:rsidRPr="00925F26">
        <w:rPr>
          <w:color w:val="000000" w:themeColor="text1"/>
          <w:sz w:val="16"/>
          <w:szCs w:val="16"/>
        </w:rPr>
        <w:t>На остальных участках фронта — существенных изменений не произошло.</w:t>
      </w:r>
    </w:p>
    <w:p w14:paraId="0DE42B17" w14:textId="77777777" w:rsidR="00BF3067" w:rsidRPr="00925F26" w:rsidRDefault="00BF3067" w:rsidP="00925F26">
      <w:pPr>
        <w:jc w:val="both"/>
        <w:rPr>
          <w:color w:val="000000" w:themeColor="text1"/>
          <w:sz w:val="16"/>
          <w:szCs w:val="16"/>
        </w:rPr>
      </w:pPr>
      <w:r w:rsidRPr="00925F26">
        <w:rPr>
          <w:color w:val="000000" w:themeColor="text1"/>
          <w:sz w:val="16"/>
          <w:szCs w:val="16"/>
        </w:rPr>
        <w:t>За 9 апреля на всех фронтах подбито и уничтожено 54 немецких танка. В воздушных боях и огнём зенитной артиллерии сбито 28 самолётов противника.</w:t>
      </w:r>
    </w:p>
    <w:p w14:paraId="0555B6C0" w14:textId="77777777" w:rsidR="00BF3067" w:rsidRPr="00925F26" w:rsidRDefault="00BF3067" w:rsidP="00925F26">
      <w:pPr>
        <w:jc w:val="both"/>
        <w:rPr>
          <w:color w:val="000000" w:themeColor="text1"/>
          <w:sz w:val="16"/>
          <w:szCs w:val="16"/>
        </w:rPr>
      </w:pPr>
      <w:r w:rsidRPr="00925F26">
        <w:rPr>
          <w:color w:val="000000" w:themeColor="text1"/>
          <w:sz w:val="16"/>
          <w:szCs w:val="16"/>
        </w:rPr>
        <w:t>Удары нашей авиации по портам Пиллау и Хель</w:t>
      </w:r>
    </w:p>
    <w:p w14:paraId="4450895D" w14:textId="77777777" w:rsidR="00BF3067" w:rsidRPr="00925F26" w:rsidRDefault="00BF3067" w:rsidP="00925F26">
      <w:pPr>
        <w:jc w:val="both"/>
        <w:rPr>
          <w:color w:val="000000" w:themeColor="text1"/>
          <w:sz w:val="16"/>
          <w:szCs w:val="16"/>
        </w:rPr>
      </w:pPr>
      <w:r w:rsidRPr="00925F26">
        <w:rPr>
          <w:color w:val="000000" w:themeColor="text1"/>
          <w:sz w:val="16"/>
          <w:szCs w:val="16"/>
        </w:rPr>
        <w:lastRenderedPageBreak/>
        <w:t>В ночь на 10 апреля наши тяжёлые бомбардировщики нанесли удары по портам Пиллау и Хель. В результате этих ударов на территории указанных портов возникли большие пожары, сопровождавшиеся сильными взрывами.</w:t>
      </w:r>
    </w:p>
    <w:p w14:paraId="60B295AA" w14:textId="77777777" w:rsidR="00BF3067" w:rsidRPr="00925F26" w:rsidRDefault="00BF3067" w:rsidP="00925F26">
      <w:pPr>
        <w:jc w:val="both"/>
        <w:rPr>
          <w:color w:val="000000" w:themeColor="text1"/>
          <w:sz w:val="16"/>
          <w:szCs w:val="16"/>
        </w:rPr>
      </w:pPr>
      <w:r w:rsidRPr="00925F26">
        <w:rPr>
          <w:color w:val="000000" w:themeColor="text1"/>
          <w:sz w:val="16"/>
          <w:szCs w:val="16"/>
        </w:rPr>
        <w:t>Северо-восточнее Братиславы советские части с боями вышли к реке Ваг севернее чехословацкого города Тренчин. Другие наши части пробились к реке южнее города. Немецкий гарнизон, оборонявший Тренчин, оказался прижатым к реке. Наши войска с двух сторон ворвались в город и к полудню очистили его от противника. Остатки разгромленного вражеского гарнизона бежали за реку Ваг. Захвачены оружейно-ремонтные мастерские, 20 подземных складов с боеприпасами и другие трофеи. В городе Тренчине имеются автотракторный и оружейный заводы, завод взрывчатых веществ и другие предприятия.</w:t>
      </w:r>
    </w:p>
    <w:p w14:paraId="3E2495A4" w14:textId="77777777" w:rsidR="00BF3067" w:rsidRPr="00925F26" w:rsidRDefault="00BF3067" w:rsidP="00925F26">
      <w:pPr>
        <w:jc w:val="both"/>
        <w:rPr>
          <w:color w:val="000000" w:themeColor="text1"/>
          <w:sz w:val="16"/>
          <w:szCs w:val="16"/>
        </w:rPr>
      </w:pPr>
      <w:r w:rsidRPr="00925F26">
        <w:rPr>
          <w:color w:val="000000" w:themeColor="text1"/>
          <w:sz w:val="16"/>
          <w:szCs w:val="16"/>
        </w:rPr>
        <w:t>В районе между реками Ваг и Морава советские пехотинцы, отражая контратаки противника, настойчиво продвигаются вперёд. В результате ожесточённого боя занят опорный пункт Попудини, находящийся в 9 километрах от города Годонин. В бою за этот пункт уничтожено до 400 гитлеровцев и сожжено 7 немецких танков.</w:t>
      </w:r>
    </w:p>
    <w:p w14:paraId="1C8D8A39" w14:textId="77777777" w:rsidR="00BF3067" w:rsidRPr="00925F26" w:rsidRDefault="00BF3067" w:rsidP="00925F26">
      <w:pPr>
        <w:jc w:val="both"/>
        <w:rPr>
          <w:color w:val="000000" w:themeColor="text1"/>
          <w:sz w:val="16"/>
          <w:szCs w:val="16"/>
        </w:rPr>
      </w:pPr>
      <w:r w:rsidRPr="00925F26">
        <w:rPr>
          <w:color w:val="000000" w:themeColor="text1"/>
          <w:sz w:val="16"/>
          <w:szCs w:val="16"/>
        </w:rPr>
        <w:t>Северо-западнее и западнее Братиславы наши войска, прорвав оборону противника, продвинулись вперёд на 20 километров. Занят город и железнодорожная станция Дойч-Ваграм, расположенные в 13 километрах северо-восточнее Вены. За два дня боёв в этом районе советские части захватили у немцев 108 орудий, 42 миномёта, 59 пулемётов, 7 паровозов и 300 железнодорожных вагонов с военным имуществом.</w:t>
      </w:r>
    </w:p>
    <w:p w14:paraId="7CFC77C8" w14:textId="77777777" w:rsidR="00BF3067" w:rsidRPr="00925F26" w:rsidRDefault="00BF3067" w:rsidP="00925F26">
      <w:pPr>
        <w:jc w:val="both"/>
        <w:rPr>
          <w:color w:val="000000" w:themeColor="text1"/>
          <w:sz w:val="16"/>
          <w:szCs w:val="16"/>
        </w:rPr>
      </w:pPr>
      <w:r w:rsidRPr="00925F26">
        <w:rPr>
          <w:color w:val="000000" w:themeColor="text1"/>
          <w:sz w:val="16"/>
          <w:szCs w:val="16"/>
        </w:rPr>
        <w:t>Войска 3-го Украинского фронта продолжали успешные уличные бои в Вене.</w:t>
      </w:r>
    </w:p>
    <w:p w14:paraId="7C8C3401" w14:textId="77777777" w:rsidR="00BF3067" w:rsidRPr="00925F26" w:rsidRDefault="00BF3067" w:rsidP="00925F26">
      <w:pPr>
        <w:jc w:val="both"/>
        <w:rPr>
          <w:color w:val="000000" w:themeColor="text1"/>
          <w:sz w:val="16"/>
          <w:szCs w:val="16"/>
        </w:rPr>
      </w:pPr>
      <w:r w:rsidRPr="00925F26">
        <w:rPr>
          <w:color w:val="000000" w:themeColor="text1"/>
          <w:sz w:val="16"/>
          <w:szCs w:val="16"/>
        </w:rPr>
        <w:t>Превратив австрийскую столицу в поле боя, немцы намеревались вести в городе затяжную борьбу. Они прилагали отчаянные усилия, чтобы создать на улицах города прочную и устойчивую оборону. Решительными действиями советских войск планы гитлеровцев были сорваны. Очищены от противника все городские районы, расположенные на западном берегу Дунайского канала. Наши войска, наступающие с северо-запада вдоль Дунайского канала, с боями вышли к центру города и соединились с войсками, наступающими с юга и запада. Заняты здания вокзала Франца Иосифа, гарнизонного госпиталя, кавалерийских казарм, академии наук и другие. Совершив успешный обходный манёвр, наши гвардейские соединения окружили группу противника в пригородах Адьтманнсдорф, Ацгерсдорф, Альтерлаа, и Нейерлаа. Попавшие в «котёл» подразделения двух немецких эсэсовских танковых дивизий, запасный полк и шесть отдельных батальонов сегодня утром были ликвидированы. Захвачено много трофеев. На улицах пригородов осталось свыше 3 тысяч вражеских трупов.</w:t>
      </w:r>
    </w:p>
    <w:p w14:paraId="29B41069" w14:textId="77777777" w:rsidR="00BF3067" w:rsidRPr="00925F26" w:rsidRDefault="00BF3067" w:rsidP="00925F26">
      <w:pPr>
        <w:jc w:val="both"/>
        <w:rPr>
          <w:color w:val="000000" w:themeColor="text1"/>
          <w:sz w:val="16"/>
          <w:szCs w:val="16"/>
        </w:rPr>
      </w:pPr>
      <w:r w:rsidRPr="00925F26">
        <w:rPr>
          <w:color w:val="000000" w:themeColor="text1"/>
          <w:sz w:val="16"/>
          <w:szCs w:val="16"/>
        </w:rPr>
        <w:t>В боях за освобождение Вены от немецко-фашистских захватчиков советские воины проявляют беззаветное мужество и геройство. Отделение гвардии старшего сержанта Медведева, продвигаясь вперёд, истребило большую группу гитлеровцев. Пулемётчик Андрюшенко, прикрывая наступление своего подразделения, уничтожил 20 немцев. Артиллеристы батареи капитана Кувшинова сожгли два танка противника. Гвардии красноармейцы Кремасов и Немцов вплавь переправились через водный рубеж, вступили в бой с немцами и обеспечили переправу своего подразделения. В этот день тт. Кремасов и Немцов уничтожили 37 гитлеровцев. На двух снайперов гвардии красноармейцев Макаренко и Хиденко напала группа немцев. В ожесточенной схватке отважные бойцы убили 6 гитлеровцев, а одного немецкого солдата взяли в плен. Гвардии старший сержант Черемисов, умело маскируясь, подполз к дому, в котором засели немецкие пулемётчики. Бросив в окно гранату, старший сержант уничтожил вражеских пулемётчиков. В тот же день т. Черемисов противотанковой гранатой подорвал немецкое самоходное орудие.</w:t>
      </w:r>
    </w:p>
    <w:p w14:paraId="7BE66455" w14:textId="77777777" w:rsidR="00BF3067" w:rsidRPr="00925F26" w:rsidRDefault="00BF3067" w:rsidP="00925F26">
      <w:pPr>
        <w:jc w:val="both"/>
        <w:rPr>
          <w:color w:val="000000" w:themeColor="text1"/>
          <w:sz w:val="16"/>
          <w:szCs w:val="16"/>
        </w:rPr>
      </w:pPr>
      <w:r w:rsidRPr="00925F26">
        <w:rPr>
          <w:color w:val="000000" w:themeColor="text1"/>
          <w:sz w:val="16"/>
          <w:szCs w:val="16"/>
        </w:rPr>
        <w:t>Пленный командир 6-й роты 2-го мотополка 1-й танковой дивизии СС «Адольф Гитлер» оберштурмфюрер Курт Штелльмахер рассказал: «В декабре прошлого года наша дивизия принимала участие в наступлении немецких войск на западном фронте. Вначале операция развивалась успешно, и нам удалось захватать значительную территорию. В январе русские перешли в наступление. Немецкое командование начало перебрасывать войска на советско-германский фронт. Нашу дивизию отправили в Венгрию, в город Дьер, куда мы прибыли в конце февраля. Многие солдаты выражали недовольство тем, что им приходится воевать в Венгрии. Они говорили между собой: «Англо-американские войска угрожают Рурской области, а мы гибнем здесь вместо того, чтобы защищать немецкую территорию». По приказу командира дивизии бригадефюрера Кумм офицеры должны были каждодневно разъяснять солдатам, почему нам необходимо оборонять Венгрию и отбросить русских за Дунай. Однако наступление, стоившее нам огромных потерь, быстро выдохлось. Затем русские войска сами перешли в наступление и разгромили наши лучшие дивизии» (15095).</w:t>
      </w:r>
    </w:p>
    <w:p w14:paraId="50A40910" w14:textId="77777777" w:rsidR="00BF3067" w:rsidRPr="00925F26" w:rsidRDefault="00BF3067" w:rsidP="00925F26">
      <w:pPr>
        <w:jc w:val="both"/>
        <w:rPr>
          <w:color w:val="000000" w:themeColor="text1"/>
          <w:sz w:val="16"/>
          <w:szCs w:val="16"/>
        </w:rPr>
      </w:pPr>
    </w:p>
    <w:p w14:paraId="3FFC922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апреля 1945 советские войска штурмом взяли Кенигсберг (4962).</w:t>
      </w:r>
    </w:p>
    <w:p w14:paraId="577F350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62373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10 апреля 1945 года появилась директива, обязывающая все части и подразделения сообщать о подобных находках штабу 18-й воздушной армии (наследницы АДД). Тяжелые бомбардировщики были остро необходимы советской авиации. Выпущенных Пе-8 не хватало на вооружение даже одной дивизии, попытки получить подобную технику от союзников не удавались. Решили собирать и восстанавливать брошенные В-17 и В-24, а затем доукомплектовать ими полки 45-й авиадивизии дальнего действия, тогда единственного в нашей стране соединения четырехмоторных бомбардировщиков. Красная армия уже вошла на территорию стран Восточной Европы. Все чаще стали попадаться совершившие вынужденные посадки и брошенные экипажами английские и американские самолеты, в том числе и В-17. Первоначально работы по поиску и восстановлению таких машин велись самодеятельно, отдельными частями пли соединениями. Например, в Венгрии и Австрии сбором и восстановлением американских тяжелых бомбардировщиков сначала занимался 449-й бомбардировочный полк. Старший инженер полка Н.А.Кузьмин самостоятельно, без инструкций, изучил эти машины. За несколько дней он разобрался </w:t>
      </w:r>
      <w:proofErr w:type="gramStart"/>
      <w:r w:rsidRPr="00925F26">
        <w:rPr>
          <w:color w:val="000000" w:themeColor="text1"/>
          <w:sz w:val="16"/>
          <w:szCs w:val="16"/>
        </w:rPr>
        <w:t>к устройстве</w:t>
      </w:r>
      <w:proofErr w:type="gramEnd"/>
      <w:r w:rsidRPr="00925F26">
        <w:rPr>
          <w:color w:val="000000" w:themeColor="text1"/>
          <w:sz w:val="16"/>
          <w:szCs w:val="16"/>
        </w:rPr>
        <w:t xml:space="preserve"> моторов, приборов, агрегатов и систем, определил порядок их обслуживания и эксплуатации. С группой специалистов Кузьмин привел в порядок несколько бомбардировщиков. Машины продемонстрировали командующему 3-м Украинским фронтом маршалу Ф.И.Толбухину и командующему 17-й воздушной армией генералу В.А.Судцу, причем один В-17-в полете (3457,112).</w:t>
      </w:r>
    </w:p>
    <w:p w14:paraId="590BAF5C" w14:textId="77777777" w:rsidR="00665165" w:rsidRPr="00925F26" w:rsidRDefault="00665165" w:rsidP="00925F26">
      <w:pPr>
        <w:autoSpaceDE w:val="0"/>
        <w:autoSpaceDN w:val="0"/>
        <w:adjustRightInd w:val="0"/>
        <w:jc w:val="both"/>
        <w:rPr>
          <w:color w:val="000000" w:themeColor="text1"/>
          <w:sz w:val="16"/>
          <w:szCs w:val="16"/>
        </w:rPr>
      </w:pPr>
    </w:p>
    <w:p w14:paraId="4AB87D88" w14:textId="77777777" w:rsidR="002D4CA3" w:rsidRPr="001A0BAA" w:rsidRDefault="002D4CA3" w:rsidP="002D4CA3">
      <w:pPr>
        <w:jc w:val="both"/>
        <w:rPr>
          <w:color w:val="0070C0"/>
          <w:sz w:val="16"/>
          <w:szCs w:val="16"/>
        </w:rPr>
      </w:pPr>
      <w:r w:rsidRPr="001A0BAA">
        <w:rPr>
          <w:color w:val="0070C0"/>
          <w:sz w:val="16"/>
          <w:szCs w:val="16"/>
        </w:rPr>
        <w:t>10 апреля 1945 г. появилась директива, обязывающая все части и подразделения сообщать о севших на вынужденную бомбардировщиков союзников штабу 18-й воздушной армии (наследницы АДД). Тяжёлые бомбардировщики были остро необходимы советской авиации. Выпущенных Пе-8 не хватало на вооружение даже одной дивизии, попытки получить подобную технику от союзников не удавались. Решили собирать и восстанавливать брошенные В-17 и В-24, а затем доукомплектовать ими полки 45-й авиадивизии дальнего действия, тогда единственного в нашей стране соединения четырёхмоторных бомбардировщиков.</w:t>
      </w:r>
    </w:p>
    <w:p w14:paraId="22B4AE70" w14:textId="77777777" w:rsidR="002D4CA3" w:rsidRPr="001A0BAA" w:rsidRDefault="002D4CA3" w:rsidP="002D4CA3">
      <w:pPr>
        <w:jc w:val="both"/>
        <w:rPr>
          <w:color w:val="0070C0"/>
          <w:sz w:val="16"/>
          <w:szCs w:val="16"/>
        </w:rPr>
      </w:pPr>
      <w:r w:rsidRPr="001A0BAA">
        <w:rPr>
          <w:color w:val="0070C0"/>
          <w:sz w:val="16"/>
          <w:szCs w:val="16"/>
        </w:rPr>
        <w:t>К середине мая по донесениям с мест в различных районах Польши, Румынии, Венгрии, Чехословакии и Югославии выявили 73 В-17 разных модификаций.</w:t>
      </w:r>
    </w:p>
    <w:p w14:paraId="0894C4F9" w14:textId="77777777" w:rsidR="002D4CA3" w:rsidRPr="001A0BAA" w:rsidRDefault="002D4CA3" w:rsidP="002D4CA3">
      <w:pPr>
        <w:jc w:val="both"/>
        <w:rPr>
          <w:color w:val="0070C0"/>
          <w:sz w:val="16"/>
          <w:szCs w:val="16"/>
        </w:rPr>
      </w:pPr>
      <w:r w:rsidRPr="001A0BAA">
        <w:rPr>
          <w:color w:val="0070C0"/>
          <w:sz w:val="16"/>
          <w:szCs w:val="16"/>
        </w:rPr>
        <w:t>Аппарат американского военного атташе в Москве знал о том, что наши собирают брошенную технику, но получил указание не вмешиваться. Интересно, что по оценкам американцев количество восстановленных советскими ВВС самолётов было более чем вдвое меньше, чем на самом деле. Один практически исправный B-17G, севший в Ясенках (Польша), вернули американцам. Четыре «крепости» на указанных местах обнаружить не удалось. Остальные имели повреждения различной тяжести. Самолёты бились при посадке, секретное оборудование подрывалось по инструкции экипажами, кое-что расхищалось местным населением и солдатами. Большинство В-17 находилось на территории Польши, где действовали отряды «Армии Крайовой», нападавшие на советские войска. 29 мая 1945 г. в Демблине ими был взорван В-17, восстанавливавшийся группой специалистов 45-й дивизии.</w:t>
      </w:r>
    </w:p>
    <w:p w14:paraId="4E554678" w14:textId="77777777" w:rsidR="002D4CA3" w:rsidRPr="001A0BAA" w:rsidRDefault="002D4CA3" w:rsidP="002D4CA3">
      <w:pPr>
        <w:jc w:val="both"/>
        <w:rPr>
          <w:color w:val="0070C0"/>
          <w:sz w:val="16"/>
          <w:szCs w:val="16"/>
        </w:rPr>
      </w:pPr>
      <w:r w:rsidRPr="001A0BAA">
        <w:rPr>
          <w:color w:val="0070C0"/>
          <w:sz w:val="16"/>
          <w:szCs w:val="16"/>
        </w:rPr>
        <w:t>Несмотря на все трудности, к 1 июля 890-й полк имел на вооружении девять Пе-8, 19 В-25 и 12 В-17. Они дислоцировались на аэродроме Балбасово под Оршей (25184).</w:t>
      </w:r>
    </w:p>
    <w:p w14:paraId="387D4468" w14:textId="77777777" w:rsidR="002D4CA3" w:rsidRPr="001A0BAA" w:rsidRDefault="002D4CA3" w:rsidP="002D4CA3">
      <w:pPr>
        <w:jc w:val="both"/>
        <w:rPr>
          <w:color w:val="0070C0"/>
          <w:sz w:val="16"/>
          <w:szCs w:val="16"/>
        </w:rPr>
      </w:pPr>
    </w:p>
    <w:p w14:paraId="6CEED0BB" w14:textId="77777777" w:rsidR="003D79A1" w:rsidRPr="00925F26" w:rsidRDefault="003D79A1" w:rsidP="00925F26">
      <w:pPr>
        <w:jc w:val="both"/>
        <w:rPr>
          <w:color w:val="000000" w:themeColor="text1"/>
          <w:sz w:val="16"/>
          <w:szCs w:val="16"/>
        </w:rPr>
      </w:pPr>
      <w:r w:rsidRPr="00925F26">
        <w:rPr>
          <w:color w:val="000000" w:themeColor="text1"/>
          <w:sz w:val="16"/>
          <w:szCs w:val="16"/>
        </w:rPr>
        <w:t>10 апреля 1945 г. появилась директи</w:t>
      </w:r>
      <w:r w:rsidRPr="00925F26">
        <w:rPr>
          <w:color w:val="000000" w:themeColor="text1"/>
          <w:sz w:val="16"/>
          <w:szCs w:val="16"/>
        </w:rPr>
        <w:softHyphen/>
        <w:t>ва, обязывающая все части и подразделе</w:t>
      </w:r>
      <w:r w:rsidRPr="00925F26">
        <w:rPr>
          <w:color w:val="000000" w:themeColor="text1"/>
          <w:sz w:val="16"/>
          <w:szCs w:val="16"/>
        </w:rPr>
        <w:softHyphen/>
        <w:t xml:space="preserve">ния сообщать </w:t>
      </w:r>
      <w:proofErr w:type="gramStart"/>
      <w:r w:rsidRPr="00925F26">
        <w:rPr>
          <w:color w:val="000000" w:themeColor="text1"/>
          <w:sz w:val="16"/>
          <w:szCs w:val="16"/>
        </w:rPr>
        <w:t>о находках</w:t>
      </w:r>
      <w:proofErr w:type="gramEnd"/>
      <w:r w:rsidRPr="00925F26">
        <w:rPr>
          <w:color w:val="000000" w:themeColor="text1"/>
          <w:sz w:val="16"/>
          <w:szCs w:val="16"/>
        </w:rPr>
        <w:t xml:space="preserve"> севших на вынужденную самолетов союзников шта</w:t>
      </w:r>
      <w:r w:rsidRPr="00925F26">
        <w:rPr>
          <w:color w:val="000000" w:themeColor="text1"/>
          <w:sz w:val="16"/>
          <w:szCs w:val="16"/>
        </w:rPr>
        <w:softHyphen/>
        <w:t>бу 18-й воздушной армии (наследницы АДД). Тяжелые бомбардировщики были остро необходимы советской авиации. Выпущенных Пе-8 не хватало на вооруже</w:t>
      </w:r>
      <w:r w:rsidRPr="00925F26">
        <w:rPr>
          <w:color w:val="000000" w:themeColor="text1"/>
          <w:sz w:val="16"/>
          <w:szCs w:val="16"/>
        </w:rPr>
        <w:softHyphen/>
        <w:t>ние даже одной дивизии, попытки полу</w:t>
      </w:r>
      <w:r w:rsidRPr="00925F26">
        <w:rPr>
          <w:color w:val="000000" w:themeColor="text1"/>
          <w:sz w:val="16"/>
          <w:szCs w:val="16"/>
        </w:rPr>
        <w:softHyphen/>
        <w:t>чить подобную технику от союзников не удавались. Решили собирать и восстанав</w:t>
      </w:r>
      <w:r w:rsidRPr="00925F26">
        <w:rPr>
          <w:color w:val="000000" w:themeColor="text1"/>
          <w:sz w:val="16"/>
          <w:szCs w:val="16"/>
        </w:rPr>
        <w:softHyphen/>
        <w:t>ливать брошенные В-17 и В-24, а затем до</w:t>
      </w:r>
      <w:r w:rsidRPr="00925F26">
        <w:rPr>
          <w:color w:val="000000" w:themeColor="text1"/>
          <w:sz w:val="16"/>
          <w:szCs w:val="16"/>
        </w:rPr>
        <w:softHyphen/>
        <w:t>укомплектовать ими полки 45-й дивизии дальнего действия, тогда единственного в нашей стране соединения четырехмо</w:t>
      </w:r>
      <w:r w:rsidRPr="00925F26">
        <w:rPr>
          <w:color w:val="000000" w:themeColor="text1"/>
          <w:sz w:val="16"/>
          <w:szCs w:val="16"/>
        </w:rPr>
        <w:softHyphen/>
        <w:t>торных бомбардировщиков (23513).</w:t>
      </w:r>
    </w:p>
    <w:p w14:paraId="20CA8907" w14:textId="77777777" w:rsidR="003D79A1" w:rsidRPr="00925F26" w:rsidRDefault="003D79A1" w:rsidP="00925F26">
      <w:pPr>
        <w:jc w:val="both"/>
        <w:rPr>
          <w:color w:val="000000" w:themeColor="text1"/>
          <w:sz w:val="16"/>
          <w:szCs w:val="16"/>
        </w:rPr>
      </w:pPr>
    </w:p>
    <w:p w14:paraId="14F78506" w14:textId="77777777" w:rsidR="003D79A1" w:rsidRPr="00925F26" w:rsidRDefault="003D79A1" w:rsidP="00925F26">
      <w:pPr>
        <w:jc w:val="both"/>
        <w:rPr>
          <w:color w:val="000000" w:themeColor="text1"/>
          <w:sz w:val="16"/>
          <w:szCs w:val="16"/>
        </w:rPr>
      </w:pPr>
      <w:r w:rsidRPr="00925F26">
        <w:rPr>
          <w:color w:val="000000" w:themeColor="text1"/>
          <w:sz w:val="16"/>
          <w:szCs w:val="16"/>
        </w:rPr>
        <w:t>С 10 апреля 1945 г. обязанность зани</w:t>
      </w:r>
      <w:r w:rsidRPr="00925F26">
        <w:rPr>
          <w:color w:val="000000" w:themeColor="text1"/>
          <w:sz w:val="16"/>
          <w:szCs w:val="16"/>
        </w:rPr>
        <w:softHyphen/>
        <w:t>маться брошенными бомбардировщика</w:t>
      </w:r>
      <w:r w:rsidRPr="00925F26">
        <w:rPr>
          <w:color w:val="000000" w:themeColor="text1"/>
          <w:sz w:val="16"/>
          <w:szCs w:val="16"/>
        </w:rPr>
        <w:softHyphen/>
        <w:t>ми союзников возложили на 18-ю воздушную армию. Но она начала искать такие машины для пополнения некомплекта в своих пол</w:t>
      </w:r>
      <w:r w:rsidRPr="00925F26">
        <w:rPr>
          <w:color w:val="000000" w:themeColor="text1"/>
          <w:sz w:val="16"/>
          <w:szCs w:val="16"/>
        </w:rPr>
        <w:softHyphen/>
        <w:t>ках еще раньше — 30 марта на аэродром Балбасово прибыли три B-24J из Венгрии. Бомбардировщики собирались на аэро</w:t>
      </w:r>
      <w:r w:rsidRPr="00925F26">
        <w:rPr>
          <w:color w:val="000000" w:themeColor="text1"/>
          <w:sz w:val="16"/>
          <w:szCs w:val="16"/>
        </w:rPr>
        <w:softHyphen/>
        <w:t>дромы Сомбор в Югославии, Кечкемет и Печ в Венгрии, а оттуда перегонялись под Оршу.</w:t>
      </w:r>
    </w:p>
    <w:p w14:paraId="76B6E27C" w14:textId="77777777" w:rsidR="003D79A1" w:rsidRPr="00925F26" w:rsidRDefault="003D79A1" w:rsidP="00925F26">
      <w:pPr>
        <w:jc w:val="both"/>
        <w:rPr>
          <w:color w:val="000000" w:themeColor="text1"/>
          <w:sz w:val="16"/>
          <w:szCs w:val="16"/>
        </w:rPr>
      </w:pPr>
      <w:r w:rsidRPr="00925F26">
        <w:rPr>
          <w:color w:val="000000" w:themeColor="text1"/>
          <w:sz w:val="16"/>
          <w:szCs w:val="16"/>
        </w:rPr>
        <w:t>Не все добрались до мест назначения. Например, 26 апреля 1945 г. поврежден</w:t>
      </w:r>
      <w:r w:rsidRPr="00925F26">
        <w:rPr>
          <w:color w:val="000000" w:themeColor="text1"/>
          <w:sz w:val="16"/>
          <w:szCs w:val="16"/>
        </w:rPr>
        <w:softHyphen/>
        <w:t>ный B-24D сел на аэродром Парндорф в Германии, где тогда базировался 22-й иап. Экипаж на земле расстрелял секретный радиолокационный бомбовый прицел. Затем американских летчиков отправили подальше от фронта, а наши специалисты из 25-го гв. тбап попробовали привести самолет в порядок. После небольшого ре</w:t>
      </w:r>
      <w:r w:rsidRPr="00925F26">
        <w:rPr>
          <w:color w:val="000000" w:themeColor="text1"/>
          <w:sz w:val="16"/>
          <w:szCs w:val="16"/>
        </w:rPr>
        <w:softHyphen/>
        <w:t>монта они попытались запустить двига</w:t>
      </w:r>
      <w:r w:rsidRPr="00925F26">
        <w:rPr>
          <w:color w:val="000000" w:themeColor="text1"/>
          <w:sz w:val="16"/>
          <w:szCs w:val="16"/>
        </w:rPr>
        <w:softHyphen/>
        <w:t>тели. Но два мотора с левой стороны во</w:t>
      </w:r>
      <w:r w:rsidRPr="00925F26">
        <w:rPr>
          <w:color w:val="000000" w:themeColor="text1"/>
          <w:sz w:val="16"/>
          <w:szCs w:val="16"/>
        </w:rPr>
        <w:softHyphen/>
        <w:t>обще не завелись, а при запуске третьего тот взорвался и начался пожар. Техник Дружинин, раненый в руку, выпрыгнул через открытый бомболюк. За ним после</w:t>
      </w:r>
      <w:r w:rsidRPr="00925F26">
        <w:rPr>
          <w:color w:val="000000" w:themeColor="text1"/>
          <w:sz w:val="16"/>
          <w:szCs w:val="16"/>
        </w:rPr>
        <w:softHyphen/>
        <w:t>довал лейтенант Кищенко, вывалившийся через форточку пилотской кабины. Он по</w:t>
      </w:r>
      <w:r w:rsidRPr="00925F26">
        <w:rPr>
          <w:color w:val="000000" w:themeColor="text1"/>
          <w:sz w:val="16"/>
          <w:szCs w:val="16"/>
        </w:rPr>
        <w:softHyphen/>
        <w:t>лучил небольшие ожоги. А вот бомбарди</w:t>
      </w:r>
      <w:r w:rsidRPr="00925F26">
        <w:rPr>
          <w:color w:val="000000" w:themeColor="text1"/>
          <w:sz w:val="16"/>
          <w:szCs w:val="16"/>
        </w:rPr>
        <w:softHyphen/>
        <w:t>ровщик сгорел полностью...</w:t>
      </w:r>
    </w:p>
    <w:p w14:paraId="611BAECC" w14:textId="77777777" w:rsidR="003D79A1" w:rsidRPr="00925F26" w:rsidRDefault="003D79A1" w:rsidP="00925F26">
      <w:pPr>
        <w:jc w:val="both"/>
        <w:rPr>
          <w:color w:val="000000" w:themeColor="text1"/>
          <w:sz w:val="16"/>
          <w:szCs w:val="16"/>
        </w:rPr>
      </w:pPr>
      <w:r w:rsidRPr="00925F26">
        <w:rPr>
          <w:color w:val="000000" w:themeColor="text1"/>
          <w:sz w:val="16"/>
          <w:szCs w:val="16"/>
        </w:rPr>
        <w:t>Экипаж капитана М.А. Котырева из 890-го тбап 25 мая должен был пе</w:t>
      </w:r>
      <w:r w:rsidRPr="00925F26">
        <w:rPr>
          <w:color w:val="000000" w:themeColor="text1"/>
          <w:sz w:val="16"/>
          <w:szCs w:val="16"/>
        </w:rPr>
        <w:softHyphen/>
        <w:t>регнать «Либерейтор» из Барановичей в Балбасово. До этого машину пригна</w:t>
      </w:r>
      <w:r w:rsidRPr="00925F26">
        <w:rPr>
          <w:color w:val="000000" w:themeColor="text1"/>
          <w:sz w:val="16"/>
          <w:szCs w:val="16"/>
        </w:rPr>
        <w:softHyphen/>
        <w:t>ли из Польши, предварительно заменив поврежденный мотор. Но при взлете в Барановичах отказал как раз тот двига</w:t>
      </w:r>
      <w:r w:rsidRPr="00925F26">
        <w:rPr>
          <w:color w:val="000000" w:themeColor="text1"/>
          <w:sz w:val="16"/>
          <w:szCs w:val="16"/>
        </w:rPr>
        <w:softHyphen/>
        <w:t>тель, который меняли. Капитан Котырев вынужден был садиться на заболоченный луг. Когда В-24 полз по грунту, створки бомболюка раскрылись и внутрь набились земля, трава и вода. Фюзеляж не выдержал и разломился. Из всего экипажа только ко</w:t>
      </w:r>
      <w:r w:rsidRPr="00925F26">
        <w:rPr>
          <w:color w:val="000000" w:themeColor="text1"/>
          <w:sz w:val="16"/>
          <w:szCs w:val="16"/>
        </w:rPr>
        <w:softHyphen/>
        <w:t>мандир ушиб левую ногу, все остальные не пострадали; самолет списали (23513).</w:t>
      </w:r>
    </w:p>
    <w:p w14:paraId="7E0DBCC5" w14:textId="77777777" w:rsidR="003D79A1" w:rsidRPr="00925F26" w:rsidRDefault="003D79A1" w:rsidP="00925F26">
      <w:pPr>
        <w:jc w:val="both"/>
        <w:rPr>
          <w:color w:val="000000" w:themeColor="text1"/>
          <w:sz w:val="16"/>
          <w:szCs w:val="16"/>
        </w:rPr>
      </w:pPr>
    </w:p>
    <w:p w14:paraId="30533A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 апреля 1945 года обязанность заниматься брошенными бомбардировщиками возложили па 18-ю воздушную армию. Но она начала искать такие машины для пополнения некомплекта в своих полках еще раньше (3457,117).</w:t>
      </w:r>
    </w:p>
    <w:p w14:paraId="03F672C6" w14:textId="77777777" w:rsidR="00665165" w:rsidRPr="00925F26" w:rsidRDefault="00665165" w:rsidP="00925F26">
      <w:pPr>
        <w:autoSpaceDE w:val="0"/>
        <w:autoSpaceDN w:val="0"/>
        <w:adjustRightInd w:val="0"/>
        <w:jc w:val="both"/>
        <w:rPr>
          <w:color w:val="000000" w:themeColor="text1"/>
          <w:sz w:val="16"/>
          <w:szCs w:val="16"/>
        </w:rPr>
      </w:pPr>
    </w:p>
    <w:p w14:paraId="209DC85C" w14:textId="77777777" w:rsidR="00665165" w:rsidRPr="00925F26" w:rsidRDefault="009104CE"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r w:rsidR="001561D1" w:rsidRPr="00925F26">
        <w:rPr>
          <w:i/>
          <w:iCs/>
          <w:color w:val="000000" w:themeColor="text1"/>
          <w:sz w:val="16"/>
          <w:szCs w:val="16"/>
        </w:rPr>
        <w:t>:</w:t>
      </w:r>
    </w:p>
    <w:p w14:paraId="601C2E43" w14:textId="77777777" w:rsidR="00665165" w:rsidRPr="00925F26" w:rsidRDefault="00665165" w:rsidP="00925F26">
      <w:pPr>
        <w:autoSpaceDE w:val="0"/>
        <w:autoSpaceDN w:val="0"/>
        <w:adjustRightInd w:val="0"/>
        <w:jc w:val="both"/>
        <w:rPr>
          <w:iCs/>
          <w:color w:val="000000" w:themeColor="text1"/>
          <w:sz w:val="16"/>
          <w:szCs w:val="16"/>
        </w:rPr>
      </w:pPr>
    </w:p>
    <w:p w14:paraId="3427AD10" w14:textId="77777777" w:rsidR="009104CE" w:rsidRPr="00925F26" w:rsidRDefault="009104CE" w:rsidP="00925F26">
      <w:pPr>
        <w:jc w:val="both"/>
        <w:rPr>
          <w:color w:val="000000" w:themeColor="text1"/>
          <w:sz w:val="16"/>
          <w:szCs w:val="16"/>
        </w:rPr>
      </w:pPr>
      <w:r w:rsidRPr="00925F26">
        <w:rPr>
          <w:color w:val="000000" w:themeColor="text1"/>
          <w:sz w:val="16"/>
          <w:szCs w:val="16"/>
        </w:rPr>
        <w:lastRenderedPageBreak/>
        <w:t>10 апреля 1945. Беседа Сталина с патриархом Алексием в присутствии митрополита Николая Крутицкого и протоиерея Иоанна Кол-чицкого. В беседе принимал участие также В. М. Молотов (18688).</w:t>
      </w:r>
    </w:p>
    <w:p w14:paraId="712707CA" w14:textId="77777777" w:rsidR="009104CE" w:rsidRPr="00925F26" w:rsidRDefault="009104CE" w:rsidP="00925F26">
      <w:pPr>
        <w:jc w:val="both"/>
        <w:rPr>
          <w:color w:val="000000" w:themeColor="text1"/>
          <w:sz w:val="16"/>
          <w:szCs w:val="16"/>
        </w:rPr>
      </w:pPr>
    </w:p>
    <w:p w14:paraId="0162CD71" w14:textId="77777777" w:rsidR="009104CE" w:rsidRPr="00925F26" w:rsidRDefault="009104CE"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67021AC" w14:textId="77777777" w:rsidR="009104CE" w:rsidRPr="00925F26" w:rsidRDefault="009104CE" w:rsidP="00925F26">
      <w:pPr>
        <w:autoSpaceDE w:val="0"/>
        <w:autoSpaceDN w:val="0"/>
        <w:adjustRightInd w:val="0"/>
        <w:jc w:val="both"/>
        <w:rPr>
          <w:iCs/>
          <w:color w:val="000000" w:themeColor="text1"/>
          <w:sz w:val="16"/>
          <w:szCs w:val="16"/>
        </w:rPr>
      </w:pPr>
    </w:p>
    <w:p w14:paraId="56C8911C" w14:textId="77777777" w:rsidR="00BF3067" w:rsidRPr="00925F26" w:rsidRDefault="00BF3067"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на Арадо Ar234В был выполнен последний боевой (разведывательный) вылет в Англию из Норвегии (2255).</w:t>
      </w:r>
    </w:p>
    <w:p w14:paraId="6773CB5E" w14:textId="77777777" w:rsidR="00BF3067" w:rsidRPr="00925F26" w:rsidRDefault="00BF3067" w:rsidP="00925F26">
      <w:pPr>
        <w:autoSpaceDE w:val="0"/>
        <w:autoSpaceDN w:val="0"/>
        <w:adjustRightInd w:val="0"/>
        <w:jc w:val="both"/>
        <w:rPr>
          <w:color w:val="000000" w:themeColor="text1"/>
          <w:sz w:val="16"/>
          <w:szCs w:val="16"/>
        </w:rPr>
      </w:pPr>
    </w:p>
    <w:p w14:paraId="7A7F92CF" w14:textId="77777777" w:rsidR="007D191E" w:rsidRPr="00925F26" w:rsidRDefault="007D191E" w:rsidP="00925F26">
      <w:pPr>
        <w:jc w:val="both"/>
        <w:rPr>
          <w:color w:val="000000" w:themeColor="text1"/>
          <w:sz w:val="16"/>
          <w:szCs w:val="16"/>
        </w:rPr>
      </w:pPr>
      <w:r w:rsidRPr="00925F26">
        <w:rPr>
          <w:color w:val="000000" w:themeColor="text1"/>
          <w:sz w:val="16"/>
          <w:szCs w:val="16"/>
        </w:rPr>
        <w:t>10 апреля 1945 Люфтваффе совершает последний вылет над Соединенным Королевством - разведывательную миссию из Норвегии на Arado Ar 234 (20371).</w:t>
      </w:r>
    </w:p>
    <w:p w14:paraId="0B3005D0" w14:textId="77777777" w:rsidR="007D191E" w:rsidRPr="00925F26" w:rsidRDefault="007D191E" w:rsidP="00925F26">
      <w:pPr>
        <w:jc w:val="both"/>
        <w:rPr>
          <w:color w:val="000000" w:themeColor="text1"/>
          <w:sz w:val="16"/>
          <w:szCs w:val="16"/>
        </w:rPr>
      </w:pPr>
    </w:p>
    <w:p w14:paraId="604DBA13" w14:textId="77777777" w:rsidR="00BF3067" w:rsidRPr="00925F26" w:rsidRDefault="00BF3067"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в ходе отражения атаки Ме-262 30 из 50 были сбиты (2255).</w:t>
      </w:r>
    </w:p>
    <w:p w14:paraId="20E85E72" w14:textId="77777777" w:rsidR="00BF3067" w:rsidRPr="00925F26" w:rsidRDefault="00BF3067" w:rsidP="00925F26">
      <w:pPr>
        <w:autoSpaceDE w:val="0"/>
        <w:autoSpaceDN w:val="0"/>
        <w:adjustRightInd w:val="0"/>
        <w:jc w:val="both"/>
        <w:rPr>
          <w:color w:val="000000" w:themeColor="text1"/>
          <w:sz w:val="16"/>
          <w:szCs w:val="16"/>
        </w:rPr>
      </w:pPr>
    </w:p>
    <w:p w14:paraId="0D7BF257" w14:textId="77777777" w:rsidR="00BF3067" w:rsidRPr="00925F26" w:rsidRDefault="00BF3067" w:rsidP="00925F26">
      <w:pPr>
        <w:jc w:val="both"/>
        <w:rPr>
          <w:color w:val="000000" w:themeColor="text1"/>
          <w:sz w:val="16"/>
          <w:szCs w:val="16"/>
        </w:rPr>
      </w:pPr>
      <w:r w:rsidRPr="00925F26">
        <w:rPr>
          <w:color w:val="000000" w:themeColor="text1"/>
          <w:sz w:val="16"/>
          <w:szCs w:val="16"/>
        </w:rPr>
        <w:t>10 апреля в 1945 году пилот «Me 163» лейтенант Келб объявил о победе, одержанной с помощью гранат «SG500» «Ягерфауст». В тот же день был сбит "Москито", летевший на высоте 14000 м. Его экипаж выпрыгнул на парашютах. После атаки пилот «Me 163» долго не мог найти свой аэродром, так далеко он улетел в горячке боя, но всё обошлось. К середине апреля боевая активность «Комет» снизилась, что объясняется отсутствием топлива. 22 апреля удалось заправить только три «Ме-163», которые сумели сбить один из 640 «Ланкастеров», шедших на задание. Из-за отсутствия топлива часть персонала была отправлена на сухопутный фронт, а всего к моменту капитуляции в подразделениях "Комет" числилось 80 «Ме-163» и 60 пилотов</w:t>
      </w:r>
    </w:p>
    <w:p w14:paraId="670CAC8D" w14:textId="77777777" w:rsidR="00BF3067" w:rsidRPr="00925F26" w:rsidRDefault="00BF3067" w:rsidP="00925F26">
      <w:pPr>
        <w:jc w:val="both"/>
        <w:rPr>
          <w:color w:val="000000" w:themeColor="text1"/>
          <w:sz w:val="16"/>
          <w:szCs w:val="16"/>
        </w:rPr>
      </w:pPr>
    </w:p>
    <w:p w14:paraId="6C4478DC" w14:textId="77777777" w:rsidR="00BF3067" w:rsidRPr="00925F26" w:rsidRDefault="00BF3067" w:rsidP="00925F26">
      <w:pPr>
        <w:jc w:val="both"/>
        <w:rPr>
          <w:color w:val="000000" w:themeColor="text1"/>
          <w:sz w:val="16"/>
          <w:szCs w:val="16"/>
        </w:rPr>
      </w:pPr>
      <w:r w:rsidRPr="00925F26">
        <w:rPr>
          <w:color w:val="000000" w:themeColor="text1"/>
          <w:sz w:val="16"/>
          <w:szCs w:val="16"/>
        </w:rPr>
        <w:t>10 апреля в 1945 году американские войска заняли Ганновер, однако дальнее наступление на Бремен было приостановлено по причине активной обороны немецких войск (15095).</w:t>
      </w:r>
    </w:p>
    <w:p w14:paraId="19DD6F62" w14:textId="77777777" w:rsidR="00BF3067" w:rsidRPr="00925F26" w:rsidRDefault="00BF3067" w:rsidP="00925F26">
      <w:pPr>
        <w:jc w:val="both"/>
        <w:rPr>
          <w:color w:val="000000" w:themeColor="text1"/>
          <w:sz w:val="16"/>
          <w:szCs w:val="16"/>
        </w:rPr>
      </w:pPr>
    </w:p>
    <w:p w14:paraId="5F06C5F6"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10 </w:t>
      </w:r>
      <w:r w:rsidRPr="00925F26">
        <w:rPr>
          <w:color w:val="000000" w:themeColor="text1"/>
          <w:sz w:val="16"/>
          <w:szCs w:val="16"/>
        </w:rPr>
        <w:t>апреля</w:t>
      </w:r>
      <w:r w:rsidRPr="00925F26">
        <w:rPr>
          <w:color w:val="000000" w:themeColor="text1"/>
          <w:sz w:val="16"/>
          <w:szCs w:val="16"/>
          <w:lang w:val="en-US"/>
        </w:rPr>
        <w:t xml:space="preserve"> 1945 </w:t>
      </w:r>
      <w:r w:rsidRPr="00925F26">
        <w:rPr>
          <w:color w:val="000000" w:themeColor="text1"/>
          <w:sz w:val="16"/>
          <w:szCs w:val="16"/>
        </w:rPr>
        <w:t>союзникиосвободилиБухенвальд</w:t>
      </w:r>
      <w:r w:rsidRPr="00925F26">
        <w:rPr>
          <w:color w:val="000000" w:themeColor="text1"/>
          <w:sz w:val="16"/>
          <w:szCs w:val="16"/>
          <w:lang w:val="en-US"/>
        </w:rPr>
        <w:t xml:space="preserve"> (2100).</w:t>
      </w:r>
    </w:p>
    <w:p w14:paraId="21E55386" w14:textId="77777777" w:rsidR="00665165" w:rsidRPr="00925F26" w:rsidRDefault="00665165" w:rsidP="00925F26">
      <w:pPr>
        <w:autoSpaceDE w:val="0"/>
        <w:autoSpaceDN w:val="0"/>
        <w:adjustRightInd w:val="0"/>
        <w:jc w:val="both"/>
        <w:rPr>
          <w:color w:val="000000" w:themeColor="text1"/>
          <w:sz w:val="16"/>
          <w:szCs w:val="16"/>
          <w:lang w:val="en-US"/>
        </w:rPr>
      </w:pPr>
    </w:p>
    <w:p w14:paraId="75C1F76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10th, 1945: The US Ninth Army (Simpson) captures Essen in the Ruhr. In another heavy attack against Kiel, the RAF sinks the heavy </w:t>
      </w:r>
      <w:proofErr w:type="gramStart"/>
      <w:r w:rsidRPr="00925F26">
        <w:rPr>
          <w:color w:val="000000" w:themeColor="text1"/>
          <w:sz w:val="16"/>
          <w:szCs w:val="16"/>
          <w:lang w:val="en-US"/>
        </w:rPr>
        <w:t>cruiser</w:t>
      </w:r>
      <w:proofErr w:type="gramEnd"/>
      <w:r w:rsidRPr="00925F26">
        <w:rPr>
          <w:color w:val="000000" w:themeColor="text1"/>
          <w:sz w:val="16"/>
          <w:szCs w:val="16"/>
          <w:lang w:val="en-US"/>
        </w:rPr>
        <w:t xml:space="preserve"> Admiral Scheer. The US 8th Air Force launches its heaviest raid to date (1,232 bombers) against Berlin (3819).</w:t>
      </w:r>
    </w:p>
    <w:p w14:paraId="2D3CD4FB" w14:textId="77777777" w:rsidR="00665165" w:rsidRPr="00925F26" w:rsidRDefault="00665165" w:rsidP="00925F26">
      <w:pPr>
        <w:autoSpaceDE w:val="0"/>
        <w:autoSpaceDN w:val="0"/>
        <w:adjustRightInd w:val="0"/>
        <w:jc w:val="both"/>
        <w:rPr>
          <w:color w:val="000000" w:themeColor="text1"/>
          <w:sz w:val="16"/>
          <w:szCs w:val="16"/>
          <w:lang w:val="en-US"/>
        </w:rPr>
      </w:pPr>
    </w:p>
    <w:p w14:paraId="11C35B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9А США (Симпсон) заняла Эссен в Руре. В ходе налета на Киль Королевские ВВС потопили тяжелый крейсер Адмирал Шеер. 8ВА США выполнила налет на Берлин силами 1232 б (3819).</w:t>
      </w:r>
    </w:p>
    <w:p w14:paraId="0E909DB0" w14:textId="77777777" w:rsidR="00665165" w:rsidRPr="00925F26" w:rsidRDefault="00665165" w:rsidP="00925F26">
      <w:pPr>
        <w:autoSpaceDE w:val="0"/>
        <w:autoSpaceDN w:val="0"/>
        <w:adjustRightInd w:val="0"/>
        <w:jc w:val="both"/>
        <w:rPr>
          <w:color w:val="000000" w:themeColor="text1"/>
          <w:sz w:val="16"/>
          <w:szCs w:val="16"/>
        </w:rPr>
      </w:pPr>
    </w:p>
    <w:p w14:paraId="5CFE3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 американцы освободили Ганновер, но немцы отбили наступление на Бремен (3807,256).</w:t>
      </w:r>
    </w:p>
    <w:p w14:paraId="1EA87CBF" w14:textId="77777777" w:rsidR="00665165" w:rsidRPr="00925F26" w:rsidRDefault="00665165" w:rsidP="00925F26">
      <w:pPr>
        <w:autoSpaceDE w:val="0"/>
        <w:autoSpaceDN w:val="0"/>
        <w:adjustRightInd w:val="0"/>
        <w:jc w:val="both"/>
        <w:rPr>
          <w:color w:val="000000" w:themeColor="text1"/>
          <w:sz w:val="16"/>
          <w:szCs w:val="16"/>
        </w:rPr>
      </w:pPr>
    </w:p>
    <w:p w14:paraId="40C6742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862713B" w14:textId="77777777" w:rsidR="00665165" w:rsidRPr="00925F26" w:rsidRDefault="00665165" w:rsidP="00925F26">
      <w:pPr>
        <w:autoSpaceDE w:val="0"/>
        <w:autoSpaceDN w:val="0"/>
        <w:adjustRightInd w:val="0"/>
        <w:jc w:val="both"/>
        <w:rPr>
          <w:iCs/>
          <w:color w:val="000000" w:themeColor="text1"/>
          <w:sz w:val="16"/>
          <w:szCs w:val="16"/>
        </w:rPr>
      </w:pPr>
    </w:p>
    <w:p w14:paraId="139EAA58"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К 11 апреля 1945, согласно доклада Подлесецкого, из всех запланированных доработок самолета Ил -10 ОКБ-240 Ильюшина и заводами № 1 и № 18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925F26">
        <w:rPr>
          <w:rStyle w:val="107"/>
          <w:rFonts w:eastAsiaTheme="minorHAnsi"/>
          <w:color w:val="000000" w:themeColor="text1"/>
          <w:sz w:val="16"/>
          <w:szCs w:val="16"/>
          <w:vertAlign w:val="subscript"/>
        </w:rPr>
        <w:t>2</w:t>
      </w:r>
      <w:r w:rsidRPr="00925F26">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48F9B781"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2F0198EB" w14:textId="77777777" w:rsidR="00117BE3" w:rsidRPr="00925F26" w:rsidRDefault="00117BE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6B544D07" w14:textId="77777777" w:rsidR="00117BE3" w:rsidRPr="00925F26" w:rsidRDefault="00117BE3" w:rsidP="00925F26">
      <w:pPr>
        <w:jc w:val="both"/>
        <w:rPr>
          <w:color w:val="000000" w:themeColor="text1"/>
          <w:sz w:val="16"/>
          <w:szCs w:val="16"/>
        </w:rPr>
      </w:pPr>
    </w:p>
    <w:p w14:paraId="1C1C07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был подготовлен Отчетный доклад 10 ГУ НКАП за 1945 (2482):</w:t>
      </w:r>
    </w:p>
    <w:p w14:paraId="7A5FFE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Совершенно оекретно</w:t>
      </w:r>
    </w:p>
    <w:p w14:paraId="4FBDB3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ОТЧЕТНЫЙ ДОКЛАД ДЕСЯТОГО ГЛАВНОГО УПРАВЛЕНИЯ НКАП за 1 9 4 4 год.</w:t>
      </w:r>
    </w:p>
    <w:p w14:paraId="3BAA1F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Состав заводов, охваченные годовым отчетом.</w:t>
      </w:r>
    </w:p>
    <w:p w14:paraId="088708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Сводным, годовым отчетом за 1944 год охвачена деятельность следующих заводов 10-го Главного Управления НКАП:</w:t>
      </w:r>
    </w:p>
    <w:p w14:paraId="3F5B2D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9-ти самолетостроительных заводов за №№ 1, 18, 22, 23, 30, 39, 34, 126, 477.</w:t>
      </w:r>
    </w:p>
    <w:p w14:paraId="27F78E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2-х заводов, изготавливающих бронезащиту для всех самолетостроительных заводов НКАП за да 125 и 207.</w:t>
      </w:r>
    </w:p>
    <w:p w14:paraId="5F2EE7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1-го агрегатного завода № 83.</w:t>
      </w:r>
    </w:p>
    <w:p w14:paraId="25698D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1-го сборочного завода № 456.</w:t>
      </w:r>
    </w:p>
    <w:p w14:paraId="5D5B35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2-х заводов по ремонту и сборке самолетов №№ 64 и 86</w:t>
      </w:r>
    </w:p>
    <w:p w14:paraId="0F10C9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1-го завода по производству изделий из аластмасс № 294.</w:t>
      </w:r>
    </w:p>
    <w:p w14:paraId="121B00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Таким образом, по сравнению о 1943 годом, количество произ</w:t>
      </w:r>
      <w:r w:rsidRPr="00925F26">
        <w:rPr>
          <w:color w:val="000000" w:themeColor="text1"/>
          <w:sz w:val="16"/>
          <w:szCs w:val="16"/>
        </w:rPr>
        <w:softHyphen/>
        <w:t xml:space="preserve">водственных единиц в составе 10-го Главного Управления з 1Э44 году увеличилось на 2 завода (№№ 64 и </w:t>
      </w:r>
      <w:proofErr w:type="gramStart"/>
      <w:r w:rsidRPr="00925F26">
        <w:rPr>
          <w:color w:val="000000" w:themeColor="text1"/>
          <w:sz w:val="16"/>
          <w:szCs w:val="16"/>
        </w:rPr>
        <w:t>86 )</w:t>
      </w:r>
      <w:proofErr w:type="gramEnd"/>
      <w:r w:rsidRPr="00925F26">
        <w:rPr>
          <w:color w:val="000000" w:themeColor="text1"/>
          <w:sz w:val="16"/>
          <w:szCs w:val="16"/>
        </w:rPr>
        <w:t>.</w:t>
      </w:r>
    </w:p>
    <w:p w14:paraId="30E3F4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Основные задачи 1944 года</w:t>
      </w:r>
    </w:p>
    <w:p w14:paraId="342E8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ГКО и НКАП перед заводами 10 ГУ на 1944 ставили задачи:</w:t>
      </w:r>
    </w:p>
    <w:p w14:paraId="772F4C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Обеспечение выпуска серийных самолетов улучшенного качества в необходимых количествах для нужд КА</w:t>
      </w:r>
    </w:p>
    <w:p w14:paraId="6C84D3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Внедрение в серийное производство новых улучшенных типов штурмовиков Ил-10 на заводах 1 и 18 и новых бомбардировщиков с повышенными ЛТД Ту-2 и Ер-2 на заводах 23 и 39.</w:t>
      </w:r>
    </w:p>
    <w:p w14:paraId="3EB6AF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3. Организация новых производственных баз на территории, занятой ранее противником (завода 64 и </w:t>
      </w:r>
      <w:proofErr w:type="gramStart"/>
      <w:r w:rsidRPr="00925F26">
        <w:rPr>
          <w:color w:val="000000" w:themeColor="text1"/>
          <w:sz w:val="16"/>
          <w:szCs w:val="16"/>
        </w:rPr>
        <w:t>86)...</w:t>
      </w:r>
      <w:proofErr w:type="gramEnd"/>
    </w:p>
    <w:p w14:paraId="016A87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4.Организация собственной машиностроительной базы по производству гильотинных ножниц и стружкодробилок </w:t>
      </w:r>
      <w:proofErr w:type="gramStart"/>
      <w:r w:rsidRPr="00925F26">
        <w:rPr>
          <w:color w:val="000000" w:themeColor="text1"/>
          <w:sz w:val="16"/>
          <w:szCs w:val="16"/>
        </w:rPr>
        <w:t>( завод</w:t>
      </w:r>
      <w:proofErr w:type="gramEnd"/>
      <w:r w:rsidRPr="00925F26">
        <w:rPr>
          <w:color w:val="000000" w:themeColor="text1"/>
          <w:sz w:val="16"/>
          <w:szCs w:val="16"/>
        </w:rPr>
        <w:t xml:space="preserve"> № </w:t>
      </w:r>
      <w:proofErr w:type="gramStart"/>
      <w:r w:rsidRPr="00925F26">
        <w:rPr>
          <w:color w:val="000000" w:themeColor="text1"/>
          <w:sz w:val="16"/>
          <w:szCs w:val="16"/>
        </w:rPr>
        <w:t>125 )</w:t>
      </w:r>
      <w:proofErr w:type="gramEnd"/>
      <w:r w:rsidRPr="00925F26">
        <w:rPr>
          <w:color w:val="000000" w:themeColor="text1"/>
          <w:sz w:val="16"/>
          <w:szCs w:val="16"/>
        </w:rPr>
        <w:t xml:space="preserve"> и ряд других работ.</w:t>
      </w:r>
    </w:p>
    <w:p w14:paraId="6ED33D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5.Дальнейшее увеличение производственных мощностей </w:t>
      </w:r>
      <w:proofErr w:type="gramStart"/>
      <w:r w:rsidRPr="00925F26">
        <w:rPr>
          <w:color w:val="000000" w:themeColor="text1"/>
          <w:sz w:val="16"/>
          <w:szCs w:val="16"/>
        </w:rPr>
        <w:t>заводов,как</w:t>
      </w:r>
      <w:proofErr w:type="gramEnd"/>
      <w:r w:rsidRPr="00925F26">
        <w:rPr>
          <w:color w:val="000000" w:themeColor="text1"/>
          <w:sz w:val="16"/>
          <w:szCs w:val="16"/>
        </w:rPr>
        <w:t xml:space="preserve"> путем непосредственного рассирения производ</w:t>
      </w:r>
      <w:r w:rsidRPr="00925F26">
        <w:rPr>
          <w:color w:val="000000" w:themeColor="text1"/>
          <w:sz w:val="16"/>
          <w:szCs w:val="16"/>
        </w:rPr>
        <w:softHyphen/>
        <w:t>ственной базы действующих заводов, так и внедрения в произ</w:t>
      </w:r>
      <w:r w:rsidRPr="00925F26">
        <w:rPr>
          <w:color w:val="000000" w:themeColor="text1"/>
          <w:sz w:val="16"/>
          <w:szCs w:val="16"/>
        </w:rPr>
        <w:softHyphen/>
        <w:t>водство более современных методов его организации и ра</w:t>
      </w:r>
      <w:r w:rsidRPr="00925F26">
        <w:rPr>
          <w:color w:val="000000" w:themeColor="text1"/>
          <w:sz w:val="16"/>
          <w:szCs w:val="16"/>
        </w:rPr>
        <w:softHyphen/>
        <w:t xml:space="preserve">ционализации существующих-технологических п </w:t>
      </w:r>
      <w:proofErr w:type="gramStart"/>
      <w:r w:rsidRPr="00925F26">
        <w:rPr>
          <w:color w:val="000000" w:themeColor="text1"/>
          <w:sz w:val="16"/>
          <w:szCs w:val="16"/>
        </w:rPr>
        <w:t>оцеосов,повы</w:t>
      </w:r>
      <w:r w:rsidRPr="00925F26">
        <w:rPr>
          <w:color w:val="000000" w:themeColor="text1"/>
          <w:sz w:val="16"/>
          <w:szCs w:val="16"/>
        </w:rPr>
        <w:softHyphen/>
        <w:t>шающих</w:t>
      </w:r>
      <w:proofErr w:type="gramEnd"/>
      <w:r w:rsidRPr="00925F26">
        <w:rPr>
          <w:color w:val="000000" w:themeColor="text1"/>
          <w:sz w:val="16"/>
          <w:szCs w:val="16"/>
        </w:rPr>
        <w:t xml:space="preserve"> производительность труда и снижающих себестоимость продукция.</w:t>
      </w:r>
    </w:p>
    <w:p w14:paraId="38DADC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Изыскание и мобилизация всех имеющихся на заводах резервов и включение их в производство.</w:t>
      </w:r>
    </w:p>
    <w:p w14:paraId="3F5523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 всеми этими задачами большинство заводов 10-го Главного Управления в 1944 году справилось успе-</w:t>
      </w:r>
      <w:proofErr w:type="gramStart"/>
      <w:r w:rsidRPr="00925F26">
        <w:rPr>
          <w:color w:val="000000" w:themeColor="text1"/>
          <w:sz w:val="16"/>
          <w:szCs w:val="16"/>
        </w:rPr>
        <w:t>яо,что</w:t>
      </w:r>
      <w:proofErr w:type="gramEnd"/>
      <w:r w:rsidRPr="00925F26">
        <w:rPr>
          <w:color w:val="000000" w:themeColor="text1"/>
          <w:sz w:val="16"/>
          <w:szCs w:val="16"/>
        </w:rPr>
        <w:t xml:space="preserve"> подтверждается следующими результатами ит работы за от</w:t>
      </w:r>
      <w:r w:rsidRPr="00925F26">
        <w:rPr>
          <w:color w:val="000000" w:themeColor="text1"/>
          <w:sz w:val="16"/>
          <w:szCs w:val="16"/>
        </w:rPr>
        <w:softHyphen/>
        <w:t>четный год.</w:t>
      </w:r>
    </w:p>
    <w:p w14:paraId="403FB1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Производство</w:t>
      </w:r>
    </w:p>
    <w:p w14:paraId="668876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Выполнение производственного плана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410"/>
        <w:gridCol w:w="3969"/>
      </w:tblGrid>
      <w:tr w:rsidR="000F5689" w:rsidRPr="00925F26" w14:paraId="7B1FA2DA" w14:textId="77777777">
        <w:tc>
          <w:tcPr>
            <w:tcW w:w="2093" w:type="dxa"/>
          </w:tcPr>
          <w:p w14:paraId="1C2B7D6A"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4B76FA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3969" w:type="dxa"/>
          </w:tcPr>
          <w:p w14:paraId="2E7FE2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Отчет</w:t>
            </w:r>
          </w:p>
        </w:tc>
      </w:tr>
      <w:tr w:rsidR="000F5689" w:rsidRPr="00925F26" w14:paraId="1600A635" w14:textId="77777777">
        <w:tc>
          <w:tcPr>
            <w:tcW w:w="2093" w:type="dxa"/>
          </w:tcPr>
          <w:p w14:paraId="07B78B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Самолеты</w:t>
            </w:r>
          </w:p>
        </w:tc>
        <w:tc>
          <w:tcPr>
            <w:tcW w:w="2410" w:type="dxa"/>
          </w:tcPr>
          <w:p w14:paraId="2762C1C5" w14:textId="77777777" w:rsidR="00665165" w:rsidRPr="00925F26" w:rsidRDefault="00665165" w:rsidP="00925F26">
            <w:pPr>
              <w:autoSpaceDE w:val="0"/>
              <w:autoSpaceDN w:val="0"/>
              <w:adjustRightInd w:val="0"/>
              <w:jc w:val="both"/>
              <w:rPr>
                <w:color w:val="000000" w:themeColor="text1"/>
                <w:sz w:val="16"/>
                <w:szCs w:val="16"/>
              </w:rPr>
            </w:pPr>
          </w:p>
        </w:tc>
        <w:tc>
          <w:tcPr>
            <w:tcW w:w="3969" w:type="dxa"/>
          </w:tcPr>
          <w:p w14:paraId="12B0718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ADF9BDA" w14:textId="77777777">
        <w:tc>
          <w:tcPr>
            <w:tcW w:w="2093" w:type="dxa"/>
          </w:tcPr>
          <w:p w14:paraId="31F508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 готовых к бою</w:t>
            </w:r>
          </w:p>
        </w:tc>
        <w:tc>
          <w:tcPr>
            <w:tcW w:w="2410" w:type="dxa"/>
          </w:tcPr>
          <w:p w14:paraId="204F7C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15995</w:t>
            </w:r>
          </w:p>
        </w:tc>
        <w:tc>
          <w:tcPr>
            <w:tcW w:w="3969" w:type="dxa"/>
          </w:tcPr>
          <w:p w14:paraId="245DBB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15814</w:t>
            </w:r>
          </w:p>
        </w:tc>
      </w:tr>
      <w:tr w:rsidR="000F5689" w:rsidRPr="00925F26" w14:paraId="17220286" w14:textId="77777777">
        <w:tc>
          <w:tcPr>
            <w:tcW w:w="2093" w:type="dxa"/>
          </w:tcPr>
          <w:p w14:paraId="2F6AD8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штурмовиков</w:t>
            </w:r>
          </w:p>
        </w:tc>
        <w:tc>
          <w:tcPr>
            <w:tcW w:w="2410" w:type="dxa"/>
          </w:tcPr>
          <w:p w14:paraId="30ED88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11002</w:t>
            </w:r>
          </w:p>
        </w:tc>
        <w:tc>
          <w:tcPr>
            <w:tcW w:w="3969" w:type="dxa"/>
          </w:tcPr>
          <w:p w14:paraId="238A99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11018</w:t>
            </w:r>
          </w:p>
        </w:tc>
      </w:tr>
      <w:tr w:rsidR="000F5689" w:rsidRPr="00925F26" w14:paraId="34E12612" w14:textId="77777777">
        <w:tc>
          <w:tcPr>
            <w:tcW w:w="2093" w:type="dxa"/>
          </w:tcPr>
          <w:p w14:paraId="0EC79F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учебных</w:t>
            </w:r>
          </w:p>
        </w:tc>
        <w:tc>
          <w:tcPr>
            <w:tcW w:w="2410" w:type="dxa"/>
          </w:tcPr>
          <w:p w14:paraId="1B42B7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370</w:t>
            </w:r>
          </w:p>
        </w:tc>
        <w:tc>
          <w:tcPr>
            <w:tcW w:w="3969" w:type="dxa"/>
          </w:tcPr>
          <w:p w14:paraId="6981D5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r>
      <w:tr w:rsidR="000F5689" w:rsidRPr="00925F26" w14:paraId="5888A977" w14:textId="77777777">
        <w:tc>
          <w:tcPr>
            <w:tcW w:w="2093" w:type="dxa"/>
          </w:tcPr>
          <w:p w14:paraId="3C7E49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корректировщиков</w:t>
            </w:r>
          </w:p>
        </w:tc>
        <w:tc>
          <w:tcPr>
            <w:tcW w:w="2410" w:type="dxa"/>
          </w:tcPr>
          <w:p w14:paraId="53D18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c>
          <w:tcPr>
            <w:tcW w:w="3969" w:type="dxa"/>
          </w:tcPr>
          <w:p w14:paraId="28B23A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r>
      <w:tr w:rsidR="000F5689" w:rsidRPr="00925F26" w14:paraId="78CB30D1" w14:textId="77777777">
        <w:tc>
          <w:tcPr>
            <w:tcW w:w="2093" w:type="dxa"/>
          </w:tcPr>
          <w:p w14:paraId="0DDA26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бомбардировщиков</w:t>
            </w:r>
          </w:p>
        </w:tc>
        <w:tc>
          <w:tcPr>
            <w:tcW w:w="2410" w:type="dxa"/>
          </w:tcPr>
          <w:p w14:paraId="04F58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4377</w:t>
            </w:r>
          </w:p>
        </w:tc>
        <w:tc>
          <w:tcPr>
            <w:tcW w:w="3969" w:type="dxa"/>
          </w:tcPr>
          <w:p w14:paraId="5A9748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4149</w:t>
            </w:r>
          </w:p>
        </w:tc>
      </w:tr>
      <w:tr w:rsidR="000F5689" w:rsidRPr="00925F26" w14:paraId="5DC72B59" w14:textId="77777777">
        <w:tc>
          <w:tcPr>
            <w:tcW w:w="2093" w:type="dxa"/>
          </w:tcPr>
          <w:p w14:paraId="261CAF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учебных</w:t>
            </w:r>
          </w:p>
        </w:tc>
        <w:tc>
          <w:tcPr>
            <w:tcW w:w="2410" w:type="dxa"/>
          </w:tcPr>
          <w:p w14:paraId="357EBE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c>
          <w:tcPr>
            <w:tcW w:w="3969" w:type="dxa"/>
          </w:tcPr>
          <w:p w14:paraId="5A5083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w:t>
            </w:r>
          </w:p>
        </w:tc>
      </w:tr>
      <w:tr w:rsidR="000F5689" w:rsidRPr="00925F26" w14:paraId="1B55BD6B" w14:textId="77777777">
        <w:tc>
          <w:tcPr>
            <w:tcW w:w="2093" w:type="dxa"/>
          </w:tcPr>
          <w:p w14:paraId="3CD6E9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боевых</w:t>
            </w:r>
          </w:p>
        </w:tc>
        <w:tc>
          <w:tcPr>
            <w:tcW w:w="2410" w:type="dxa"/>
          </w:tcPr>
          <w:p w14:paraId="1BB650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15379</w:t>
            </w:r>
          </w:p>
        </w:tc>
        <w:tc>
          <w:tcPr>
            <w:tcW w:w="3969" w:type="dxa"/>
          </w:tcPr>
          <w:p w14:paraId="3C2966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15167</w:t>
            </w:r>
          </w:p>
        </w:tc>
      </w:tr>
      <w:tr w:rsidR="000F5689" w:rsidRPr="00925F26" w14:paraId="6B9DCAA2" w14:textId="77777777">
        <w:tc>
          <w:tcPr>
            <w:tcW w:w="2093" w:type="dxa"/>
          </w:tcPr>
          <w:p w14:paraId="43506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транспортных и проч.</w:t>
            </w:r>
          </w:p>
        </w:tc>
        <w:tc>
          <w:tcPr>
            <w:tcW w:w="2410" w:type="dxa"/>
          </w:tcPr>
          <w:p w14:paraId="7E163B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3969" w:type="dxa"/>
          </w:tcPr>
          <w:p w14:paraId="35F3F8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647 (в т.ч. 20 Бе-4, сданных 477 сверх плана на 1944)</w:t>
            </w:r>
          </w:p>
        </w:tc>
      </w:tr>
      <w:tr w:rsidR="000F5689" w:rsidRPr="00925F26" w14:paraId="73F3A1AF" w14:textId="77777777">
        <w:tc>
          <w:tcPr>
            <w:tcW w:w="2093" w:type="dxa"/>
          </w:tcPr>
          <w:p w14:paraId="1F739F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 по оконч. сборке</w:t>
            </w:r>
          </w:p>
        </w:tc>
        <w:tc>
          <w:tcPr>
            <w:tcW w:w="2410" w:type="dxa"/>
          </w:tcPr>
          <w:p w14:paraId="31AB01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15995</w:t>
            </w:r>
          </w:p>
        </w:tc>
        <w:tc>
          <w:tcPr>
            <w:tcW w:w="3969" w:type="dxa"/>
          </w:tcPr>
          <w:p w14:paraId="08565B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15956</w:t>
            </w:r>
          </w:p>
        </w:tc>
      </w:tr>
      <w:tr w:rsidR="000F5689" w:rsidRPr="00925F26" w14:paraId="5B9D0717" w14:textId="77777777">
        <w:tc>
          <w:tcPr>
            <w:tcW w:w="2093" w:type="dxa"/>
          </w:tcPr>
          <w:p w14:paraId="648EB1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штурмовиков</w:t>
            </w:r>
          </w:p>
        </w:tc>
        <w:tc>
          <w:tcPr>
            <w:tcW w:w="2410" w:type="dxa"/>
          </w:tcPr>
          <w:p w14:paraId="513AA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11002</w:t>
            </w:r>
          </w:p>
        </w:tc>
        <w:tc>
          <w:tcPr>
            <w:tcW w:w="3969" w:type="dxa"/>
          </w:tcPr>
          <w:p w14:paraId="52C49B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11110</w:t>
            </w:r>
          </w:p>
        </w:tc>
      </w:tr>
      <w:tr w:rsidR="000F5689" w:rsidRPr="00925F26" w14:paraId="15339F58" w14:textId="77777777">
        <w:tc>
          <w:tcPr>
            <w:tcW w:w="2093" w:type="dxa"/>
          </w:tcPr>
          <w:p w14:paraId="3225DC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бомбардировщиков</w:t>
            </w:r>
          </w:p>
        </w:tc>
        <w:tc>
          <w:tcPr>
            <w:tcW w:w="2410" w:type="dxa"/>
          </w:tcPr>
          <w:p w14:paraId="719AC0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4377</w:t>
            </w:r>
          </w:p>
        </w:tc>
        <w:tc>
          <w:tcPr>
            <w:tcW w:w="3969" w:type="dxa"/>
          </w:tcPr>
          <w:p w14:paraId="58E646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4200</w:t>
            </w:r>
          </w:p>
        </w:tc>
      </w:tr>
      <w:tr w:rsidR="000F5689" w:rsidRPr="00925F26" w14:paraId="606ED432" w14:textId="77777777">
        <w:tc>
          <w:tcPr>
            <w:tcW w:w="2093" w:type="dxa"/>
          </w:tcPr>
          <w:p w14:paraId="7874A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Итого боевых</w:t>
            </w:r>
          </w:p>
        </w:tc>
        <w:tc>
          <w:tcPr>
            <w:tcW w:w="2410" w:type="dxa"/>
          </w:tcPr>
          <w:p w14:paraId="2DB7D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15379</w:t>
            </w:r>
          </w:p>
        </w:tc>
        <w:tc>
          <w:tcPr>
            <w:tcW w:w="3969" w:type="dxa"/>
          </w:tcPr>
          <w:p w14:paraId="012E18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15310</w:t>
            </w:r>
          </w:p>
        </w:tc>
      </w:tr>
      <w:tr w:rsidR="000F5689" w:rsidRPr="00925F26" w14:paraId="0D1690C9" w14:textId="77777777">
        <w:tc>
          <w:tcPr>
            <w:tcW w:w="2093" w:type="dxa"/>
          </w:tcPr>
          <w:p w14:paraId="16CF59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транспортных и проч.</w:t>
            </w:r>
          </w:p>
        </w:tc>
        <w:tc>
          <w:tcPr>
            <w:tcW w:w="2410" w:type="dxa"/>
          </w:tcPr>
          <w:p w14:paraId="2B9674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3969" w:type="dxa"/>
          </w:tcPr>
          <w:p w14:paraId="4606C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646 (в т.ч. 20 Бе-4, сданных 477 сверх плана на 1944)</w:t>
            </w:r>
          </w:p>
        </w:tc>
      </w:tr>
      <w:tr w:rsidR="000F5689" w:rsidRPr="00925F26" w14:paraId="34CADB32" w14:textId="77777777">
        <w:tc>
          <w:tcPr>
            <w:tcW w:w="2093" w:type="dxa"/>
          </w:tcPr>
          <w:p w14:paraId="35BD1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Бронеизделий</w:t>
            </w:r>
          </w:p>
        </w:tc>
        <w:tc>
          <w:tcPr>
            <w:tcW w:w="2410" w:type="dxa"/>
          </w:tcPr>
          <w:p w14:paraId="32B92121" w14:textId="77777777" w:rsidR="00665165" w:rsidRPr="00925F26" w:rsidRDefault="00665165" w:rsidP="00925F26">
            <w:pPr>
              <w:autoSpaceDE w:val="0"/>
              <w:autoSpaceDN w:val="0"/>
              <w:adjustRightInd w:val="0"/>
              <w:jc w:val="both"/>
              <w:rPr>
                <w:color w:val="000000" w:themeColor="text1"/>
                <w:sz w:val="16"/>
                <w:szCs w:val="16"/>
              </w:rPr>
            </w:pPr>
          </w:p>
        </w:tc>
        <w:tc>
          <w:tcPr>
            <w:tcW w:w="3969" w:type="dxa"/>
          </w:tcPr>
          <w:p w14:paraId="0338CAD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1BB9C2E" w14:textId="77777777">
        <w:tc>
          <w:tcPr>
            <w:tcW w:w="2093" w:type="dxa"/>
          </w:tcPr>
          <w:p w14:paraId="6547EA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Бронекорпусов Ил-2</w:t>
            </w:r>
          </w:p>
        </w:tc>
        <w:tc>
          <w:tcPr>
            <w:tcW w:w="2410" w:type="dxa"/>
          </w:tcPr>
          <w:p w14:paraId="12F75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10510</w:t>
            </w:r>
          </w:p>
        </w:tc>
        <w:tc>
          <w:tcPr>
            <w:tcW w:w="3969" w:type="dxa"/>
          </w:tcPr>
          <w:p w14:paraId="3566BF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10749</w:t>
            </w:r>
          </w:p>
        </w:tc>
      </w:tr>
      <w:tr w:rsidR="000F5689" w:rsidRPr="00925F26" w14:paraId="4E434472" w14:textId="77777777">
        <w:tc>
          <w:tcPr>
            <w:tcW w:w="2093" w:type="dxa"/>
          </w:tcPr>
          <w:p w14:paraId="556357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Бронезащиты</w:t>
            </w:r>
          </w:p>
        </w:tc>
        <w:tc>
          <w:tcPr>
            <w:tcW w:w="2410" w:type="dxa"/>
          </w:tcPr>
          <w:p w14:paraId="5F1B96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3085</w:t>
            </w:r>
          </w:p>
        </w:tc>
        <w:tc>
          <w:tcPr>
            <w:tcW w:w="3969" w:type="dxa"/>
          </w:tcPr>
          <w:p w14:paraId="40566A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3081</w:t>
            </w:r>
          </w:p>
        </w:tc>
      </w:tr>
      <w:tr w:rsidR="00561F31" w:rsidRPr="00925F26" w14:paraId="54CC81A8" w14:textId="77777777">
        <w:tc>
          <w:tcPr>
            <w:tcW w:w="2093" w:type="dxa"/>
          </w:tcPr>
          <w:p w14:paraId="05A5A8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Бронеспинок</w:t>
            </w:r>
          </w:p>
        </w:tc>
        <w:tc>
          <w:tcPr>
            <w:tcW w:w="2410" w:type="dxa"/>
          </w:tcPr>
          <w:p w14:paraId="3F383D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9460</w:t>
            </w:r>
          </w:p>
        </w:tc>
        <w:tc>
          <w:tcPr>
            <w:tcW w:w="3969" w:type="dxa"/>
          </w:tcPr>
          <w:p w14:paraId="6B9BD8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9597 (2482)</w:t>
            </w:r>
          </w:p>
        </w:tc>
      </w:tr>
    </w:tbl>
    <w:p w14:paraId="4496F2DB" w14:textId="77777777" w:rsidR="00665165" w:rsidRPr="00925F26" w:rsidRDefault="00665165" w:rsidP="00925F26">
      <w:pPr>
        <w:autoSpaceDE w:val="0"/>
        <w:autoSpaceDN w:val="0"/>
        <w:adjustRightInd w:val="0"/>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410"/>
        <w:gridCol w:w="945"/>
        <w:gridCol w:w="945"/>
        <w:gridCol w:w="945"/>
        <w:gridCol w:w="1135"/>
      </w:tblGrid>
      <w:tr w:rsidR="000F5689" w:rsidRPr="00925F26" w14:paraId="5C029FB0" w14:textId="77777777">
        <w:tc>
          <w:tcPr>
            <w:tcW w:w="2093" w:type="dxa"/>
          </w:tcPr>
          <w:p w14:paraId="6DEF99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N завода</w:t>
            </w:r>
          </w:p>
        </w:tc>
        <w:tc>
          <w:tcPr>
            <w:tcW w:w="2410" w:type="dxa"/>
          </w:tcPr>
          <w:p w14:paraId="1BECD4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945" w:type="dxa"/>
          </w:tcPr>
          <w:p w14:paraId="67918F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945" w:type="dxa"/>
          </w:tcPr>
          <w:p w14:paraId="563E32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Сборка</w:t>
            </w:r>
          </w:p>
        </w:tc>
        <w:tc>
          <w:tcPr>
            <w:tcW w:w="945" w:type="dxa"/>
          </w:tcPr>
          <w:p w14:paraId="2B215D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1943</w:t>
            </w:r>
          </w:p>
        </w:tc>
        <w:tc>
          <w:tcPr>
            <w:tcW w:w="1135" w:type="dxa"/>
          </w:tcPr>
          <w:p w14:paraId="3A11E81E"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Гот./</w:t>
            </w:r>
            <w:proofErr w:type="gramEnd"/>
            <w:r w:rsidRPr="00925F26">
              <w:rPr>
                <w:color w:val="000000" w:themeColor="text1"/>
                <w:sz w:val="16"/>
                <w:szCs w:val="16"/>
              </w:rPr>
              <w:t>бою</w:t>
            </w:r>
          </w:p>
        </w:tc>
      </w:tr>
      <w:tr w:rsidR="000F5689" w:rsidRPr="00925F26" w14:paraId="4507125B" w14:textId="77777777">
        <w:tc>
          <w:tcPr>
            <w:tcW w:w="2093" w:type="dxa"/>
          </w:tcPr>
          <w:p w14:paraId="6BB506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2410" w:type="dxa"/>
          </w:tcPr>
          <w:p w14:paraId="1AB97FCD"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5968A487"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1E7CACB5"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2FFA512E"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310918B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57DD0D8" w14:textId="77777777">
        <w:tc>
          <w:tcPr>
            <w:tcW w:w="2093" w:type="dxa"/>
          </w:tcPr>
          <w:p w14:paraId="3B5805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2410" w:type="dxa"/>
          </w:tcPr>
          <w:p w14:paraId="3AC59A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АМ-38Ф</w:t>
            </w:r>
          </w:p>
        </w:tc>
        <w:tc>
          <w:tcPr>
            <w:tcW w:w="945" w:type="dxa"/>
          </w:tcPr>
          <w:p w14:paraId="49C36E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3472</w:t>
            </w:r>
          </w:p>
        </w:tc>
        <w:tc>
          <w:tcPr>
            <w:tcW w:w="945" w:type="dxa"/>
          </w:tcPr>
          <w:p w14:paraId="69673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3570</w:t>
            </w:r>
          </w:p>
        </w:tc>
        <w:tc>
          <w:tcPr>
            <w:tcW w:w="945" w:type="dxa"/>
          </w:tcPr>
          <w:p w14:paraId="38037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5" w:type="dxa"/>
          </w:tcPr>
          <w:p w14:paraId="7742B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3592</w:t>
            </w:r>
          </w:p>
        </w:tc>
      </w:tr>
      <w:tr w:rsidR="000F5689" w:rsidRPr="00925F26" w14:paraId="4E7EC279" w14:textId="77777777">
        <w:tc>
          <w:tcPr>
            <w:tcW w:w="2093" w:type="dxa"/>
          </w:tcPr>
          <w:p w14:paraId="56C1D532"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651CBA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 АМ-42</w:t>
            </w:r>
          </w:p>
        </w:tc>
        <w:tc>
          <w:tcPr>
            <w:tcW w:w="945" w:type="dxa"/>
          </w:tcPr>
          <w:p w14:paraId="1A1D4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225</w:t>
            </w:r>
          </w:p>
        </w:tc>
        <w:tc>
          <w:tcPr>
            <w:tcW w:w="945" w:type="dxa"/>
          </w:tcPr>
          <w:p w14:paraId="70D6C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149</w:t>
            </w:r>
          </w:p>
        </w:tc>
        <w:tc>
          <w:tcPr>
            <w:tcW w:w="945" w:type="dxa"/>
          </w:tcPr>
          <w:p w14:paraId="799153A8"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57435E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r>
      <w:tr w:rsidR="000F5689" w:rsidRPr="00925F26" w14:paraId="0CEB3FA3" w14:textId="77777777">
        <w:tc>
          <w:tcPr>
            <w:tcW w:w="2093" w:type="dxa"/>
          </w:tcPr>
          <w:p w14:paraId="6FF775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2410" w:type="dxa"/>
          </w:tcPr>
          <w:p w14:paraId="0360856F"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28EB9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3697</w:t>
            </w:r>
          </w:p>
        </w:tc>
        <w:tc>
          <w:tcPr>
            <w:tcW w:w="945" w:type="dxa"/>
          </w:tcPr>
          <w:p w14:paraId="70B337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3710</w:t>
            </w:r>
          </w:p>
        </w:tc>
        <w:tc>
          <w:tcPr>
            <w:tcW w:w="945" w:type="dxa"/>
          </w:tcPr>
          <w:p w14:paraId="2662C3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87.4</w:t>
            </w:r>
          </w:p>
        </w:tc>
        <w:tc>
          <w:tcPr>
            <w:tcW w:w="1135" w:type="dxa"/>
          </w:tcPr>
          <w:p w14:paraId="35EAD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3648</w:t>
            </w:r>
          </w:p>
        </w:tc>
      </w:tr>
      <w:tr w:rsidR="000F5689" w:rsidRPr="00925F26" w14:paraId="23F1DD00" w14:textId="77777777">
        <w:tc>
          <w:tcPr>
            <w:tcW w:w="2093" w:type="dxa"/>
          </w:tcPr>
          <w:p w14:paraId="37F517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2410" w:type="dxa"/>
          </w:tcPr>
          <w:p w14:paraId="508C8D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АМ-38Ф</w:t>
            </w:r>
          </w:p>
        </w:tc>
        <w:tc>
          <w:tcPr>
            <w:tcW w:w="945" w:type="dxa"/>
          </w:tcPr>
          <w:p w14:paraId="3B0D7F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3789</w:t>
            </w:r>
          </w:p>
        </w:tc>
        <w:tc>
          <w:tcPr>
            <w:tcW w:w="945" w:type="dxa"/>
          </w:tcPr>
          <w:p w14:paraId="0FD5AB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3941</w:t>
            </w:r>
          </w:p>
        </w:tc>
        <w:tc>
          <w:tcPr>
            <w:tcW w:w="945" w:type="dxa"/>
          </w:tcPr>
          <w:p w14:paraId="1314F3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5" w:type="dxa"/>
          </w:tcPr>
          <w:p w14:paraId="25DCD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3971</w:t>
            </w:r>
          </w:p>
        </w:tc>
      </w:tr>
      <w:tr w:rsidR="000F5689" w:rsidRPr="00925F26" w14:paraId="4CDA3DC1" w14:textId="77777777">
        <w:tc>
          <w:tcPr>
            <w:tcW w:w="2093" w:type="dxa"/>
          </w:tcPr>
          <w:p w14:paraId="10B813C8"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00DB9D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 АМ-42</w:t>
            </w:r>
          </w:p>
        </w:tc>
        <w:tc>
          <w:tcPr>
            <w:tcW w:w="945" w:type="dxa"/>
          </w:tcPr>
          <w:p w14:paraId="04407E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225</w:t>
            </w:r>
          </w:p>
        </w:tc>
        <w:tc>
          <w:tcPr>
            <w:tcW w:w="945" w:type="dxa"/>
          </w:tcPr>
          <w:p w14:paraId="3947E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945" w:type="dxa"/>
          </w:tcPr>
          <w:p w14:paraId="16C4338F"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7FFAA0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r>
      <w:tr w:rsidR="000F5689" w:rsidRPr="00925F26" w14:paraId="04792E8A" w14:textId="77777777">
        <w:tc>
          <w:tcPr>
            <w:tcW w:w="2093" w:type="dxa"/>
          </w:tcPr>
          <w:p w14:paraId="6B7FEF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2410" w:type="dxa"/>
          </w:tcPr>
          <w:p w14:paraId="262156C3"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680A45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4014</w:t>
            </w:r>
          </w:p>
        </w:tc>
        <w:tc>
          <w:tcPr>
            <w:tcW w:w="945" w:type="dxa"/>
          </w:tcPr>
          <w:p w14:paraId="6D1108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4014</w:t>
            </w:r>
          </w:p>
        </w:tc>
        <w:tc>
          <w:tcPr>
            <w:tcW w:w="945" w:type="dxa"/>
          </w:tcPr>
          <w:p w14:paraId="41817C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85.4</w:t>
            </w:r>
          </w:p>
        </w:tc>
        <w:tc>
          <w:tcPr>
            <w:tcW w:w="1135" w:type="dxa"/>
          </w:tcPr>
          <w:p w14:paraId="1F8320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4014</w:t>
            </w:r>
          </w:p>
        </w:tc>
      </w:tr>
      <w:tr w:rsidR="000F5689" w:rsidRPr="00925F26" w14:paraId="09B53273" w14:textId="77777777">
        <w:tc>
          <w:tcPr>
            <w:tcW w:w="2093" w:type="dxa"/>
          </w:tcPr>
          <w:p w14:paraId="37FB1E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2410" w:type="dxa"/>
          </w:tcPr>
          <w:p w14:paraId="37C281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АМ-38Ф</w:t>
            </w:r>
          </w:p>
        </w:tc>
        <w:tc>
          <w:tcPr>
            <w:tcW w:w="945" w:type="dxa"/>
          </w:tcPr>
          <w:p w14:paraId="3C00A8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3291</w:t>
            </w:r>
          </w:p>
        </w:tc>
        <w:tc>
          <w:tcPr>
            <w:tcW w:w="945" w:type="dxa"/>
          </w:tcPr>
          <w:p w14:paraId="00562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3377</w:t>
            </w:r>
          </w:p>
        </w:tc>
        <w:tc>
          <w:tcPr>
            <w:tcW w:w="945" w:type="dxa"/>
          </w:tcPr>
          <w:p w14:paraId="039C61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151.2</w:t>
            </w:r>
          </w:p>
        </w:tc>
        <w:tc>
          <w:tcPr>
            <w:tcW w:w="1135" w:type="dxa"/>
          </w:tcPr>
          <w:p w14:paraId="215660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3356</w:t>
            </w:r>
          </w:p>
        </w:tc>
      </w:tr>
      <w:tr w:rsidR="000F5689" w:rsidRPr="00925F26" w14:paraId="2B49DBBF" w14:textId="77777777">
        <w:tc>
          <w:tcPr>
            <w:tcW w:w="2093" w:type="dxa"/>
          </w:tcPr>
          <w:p w14:paraId="075D0F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2410" w:type="dxa"/>
          </w:tcPr>
          <w:p w14:paraId="182D44E8"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1BB936F6"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2B7E3FD1"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2562F8DA"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60F17CB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E942967" w14:textId="77777777">
        <w:tc>
          <w:tcPr>
            <w:tcW w:w="2093" w:type="dxa"/>
          </w:tcPr>
          <w:p w14:paraId="4B8002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2410" w:type="dxa"/>
          </w:tcPr>
          <w:p w14:paraId="08DF95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2ВК-105ПФ</w:t>
            </w:r>
          </w:p>
        </w:tc>
        <w:tc>
          <w:tcPr>
            <w:tcW w:w="945" w:type="dxa"/>
          </w:tcPr>
          <w:p w14:paraId="046C5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2907</w:t>
            </w:r>
          </w:p>
        </w:tc>
        <w:tc>
          <w:tcPr>
            <w:tcW w:w="945" w:type="dxa"/>
          </w:tcPr>
          <w:p w14:paraId="4AC354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2945</w:t>
            </w:r>
          </w:p>
        </w:tc>
        <w:tc>
          <w:tcPr>
            <w:tcW w:w="945" w:type="dxa"/>
          </w:tcPr>
          <w:p w14:paraId="42863729"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31FEFF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2929</w:t>
            </w:r>
          </w:p>
        </w:tc>
      </w:tr>
      <w:tr w:rsidR="000F5689" w:rsidRPr="00925F26" w14:paraId="2352E0B3" w14:textId="77777777">
        <w:tc>
          <w:tcPr>
            <w:tcW w:w="2093" w:type="dxa"/>
          </w:tcPr>
          <w:p w14:paraId="35050965"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1D462B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Пе-3 2ВК-105ПФ</w:t>
            </w:r>
          </w:p>
        </w:tc>
        <w:tc>
          <w:tcPr>
            <w:tcW w:w="945" w:type="dxa"/>
          </w:tcPr>
          <w:p w14:paraId="27F716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c>
          <w:tcPr>
            <w:tcW w:w="945" w:type="dxa"/>
          </w:tcPr>
          <w:p w14:paraId="4D268F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945" w:type="dxa"/>
          </w:tcPr>
          <w:p w14:paraId="5B4DB709"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4F73AA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r>
      <w:tr w:rsidR="000F5689" w:rsidRPr="00925F26" w14:paraId="613350BF" w14:textId="77777777">
        <w:tc>
          <w:tcPr>
            <w:tcW w:w="2093" w:type="dxa"/>
          </w:tcPr>
          <w:p w14:paraId="3D8300A7"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65BCE7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4АШ-82ФН</w:t>
            </w:r>
          </w:p>
        </w:tc>
        <w:tc>
          <w:tcPr>
            <w:tcW w:w="945" w:type="dxa"/>
          </w:tcPr>
          <w:p w14:paraId="1B0621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945" w:type="dxa"/>
          </w:tcPr>
          <w:p w14:paraId="552CDA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945" w:type="dxa"/>
          </w:tcPr>
          <w:p w14:paraId="34D600CB"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10E94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6172445A" w14:textId="77777777">
        <w:tc>
          <w:tcPr>
            <w:tcW w:w="2093" w:type="dxa"/>
          </w:tcPr>
          <w:p w14:paraId="08ADA3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2410" w:type="dxa"/>
          </w:tcPr>
          <w:p w14:paraId="0858DB00"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53D63B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2968</w:t>
            </w:r>
          </w:p>
        </w:tc>
        <w:tc>
          <w:tcPr>
            <w:tcW w:w="945" w:type="dxa"/>
          </w:tcPr>
          <w:p w14:paraId="5CB89F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2968</w:t>
            </w:r>
          </w:p>
        </w:tc>
        <w:tc>
          <w:tcPr>
            <w:tcW w:w="945" w:type="dxa"/>
          </w:tcPr>
          <w:p w14:paraId="31DAC2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w:t>
            </w:r>
          </w:p>
        </w:tc>
        <w:tc>
          <w:tcPr>
            <w:tcW w:w="1135" w:type="dxa"/>
          </w:tcPr>
          <w:p w14:paraId="306D0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2954</w:t>
            </w:r>
          </w:p>
        </w:tc>
      </w:tr>
      <w:tr w:rsidR="000F5689" w:rsidRPr="00925F26" w14:paraId="1F5ACB5E" w14:textId="77777777">
        <w:tc>
          <w:tcPr>
            <w:tcW w:w="2093" w:type="dxa"/>
          </w:tcPr>
          <w:p w14:paraId="77B50C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2410" w:type="dxa"/>
          </w:tcPr>
          <w:p w14:paraId="77AF97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 2АШ-82ФН</w:t>
            </w:r>
          </w:p>
        </w:tc>
        <w:tc>
          <w:tcPr>
            <w:tcW w:w="945" w:type="dxa"/>
          </w:tcPr>
          <w:p w14:paraId="266522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453</w:t>
            </w:r>
          </w:p>
        </w:tc>
        <w:tc>
          <w:tcPr>
            <w:tcW w:w="945" w:type="dxa"/>
          </w:tcPr>
          <w:p w14:paraId="10EBCD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378</w:t>
            </w:r>
          </w:p>
        </w:tc>
        <w:tc>
          <w:tcPr>
            <w:tcW w:w="945" w:type="dxa"/>
          </w:tcPr>
          <w:p w14:paraId="413F0845"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2A2D1A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w:t>
            </w:r>
          </w:p>
        </w:tc>
      </w:tr>
      <w:tr w:rsidR="000F5689" w:rsidRPr="00925F26" w14:paraId="2955224A" w14:textId="77777777">
        <w:tc>
          <w:tcPr>
            <w:tcW w:w="2093" w:type="dxa"/>
          </w:tcPr>
          <w:p w14:paraId="7938A8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2410" w:type="dxa"/>
          </w:tcPr>
          <w:p w14:paraId="0DB23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 2АЧ-30Б</w:t>
            </w:r>
          </w:p>
        </w:tc>
        <w:tc>
          <w:tcPr>
            <w:tcW w:w="945" w:type="dxa"/>
          </w:tcPr>
          <w:p w14:paraId="09BBC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225</w:t>
            </w:r>
          </w:p>
        </w:tc>
        <w:tc>
          <w:tcPr>
            <w:tcW w:w="945" w:type="dxa"/>
          </w:tcPr>
          <w:p w14:paraId="05139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w:t>
            </w:r>
          </w:p>
        </w:tc>
        <w:tc>
          <w:tcPr>
            <w:tcW w:w="945" w:type="dxa"/>
          </w:tcPr>
          <w:p w14:paraId="5C9DF9FD"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338C52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w:t>
            </w:r>
          </w:p>
        </w:tc>
      </w:tr>
      <w:tr w:rsidR="000F5689" w:rsidRPr="00925F26" w14:paraId="5A81BC9D" w14:textId="77777777">
        <w:tc>
          <w:tcPr>
            <w:tcW w:w="2093" w:type="dxa"/>
          </w:tcPr>
          <w:p w14:paraId="42113777"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2989AE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 2М-88Б</w:t>
            </w:r>
          </w:p>
        </w:tc>
        <w:tc>
          <w:tcPr>
            <w:tcW w:w="945" w:type="dxa"/>
          </w:tcPr>
          <w:p w14:paraId="21E97F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945" w:type="dxa"/>
          </w:tcPr>
          <w:p w14:paraId="15C2B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945" w:type="dxa"/>
          </w:tcPr>
          <w:p w14:paraId="69AA88E6"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4E52D3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r>
      <w:tr w:rsidR="000F5689" w:rsidRPr="00925F26" w14:paraId="1C767B33" w14:textId="77777777">
        <w:tc>
          <w:tcPr>
            <w:tcW w:w="2093" w:type="dxa"/>
          </w:tcPr>
          <w:p w14:paraId="3E2DCC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w:t>
            </w:r>
          </w:p>
        </w:tc>
        <w:tc>
          <w:tcPr>
            <w:tcW w:w="2410" w:type="dxa"/>
          </w:tcPr>
          <w:p w14:paraId="7E0528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 2М-88Б</w:t>
            </w:r>
          </w:p>
        </w:tc>
        <w:tc>
          <w:tcPr>
            <w:tcW w:w="945" w:type="dxa"/>
          </w:tcPr>
          <w:p w14:paraId="26F86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945" w:type="dxa"/>
          </w:tcPr>
          <w:p w14:paraId="21F431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588</w:t>
            </w:r>
          </w:p>
        </w:tc>
        <w:tc>
          <w:tcPr>
            <w:tcW w:w="945" w:type="dxa"/>
          </w:tcPr>
          <w:p w14:paraId="3010C8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95.8</w:t>
            </w:r>
          </w:p>
        </w:tc>
        <w:tc>
          <w:tcPr>
            <w:tcW w:w="1135" w:type="dxa"/>
          </w:tcPr>
          <w:p w14:paraId="0EE5AE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597</w:t>
            </w:r>
          </w:p>
        </w:tc>
      </w:tr>
      <w:tr w:rsidR="000F5689" w:rsidRPr="00925F26" w14:paraId="28E5DAF8" w14:textId="77777777">
        <w:tc>
          <w:tcPr>
            <w:tcW w:w="2093" w:type="dxa"/>
          </w:tcPr>
          <w:p w14:paraId="08610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2410" w:type="dxa"/>
          </w:tcPr>
          <w:p w14:paraId="0D50C3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 2АШ-62ИР</w:t>
            </w:r>
          </w:p>
        </w:tc>
        <w:tc>
          <w:tcPr>
            <w:tcW w:w="945" w:type="dxa"/>
          </w:tcPr>
          <w:p w14:paraId="6E60F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945" w:type="dxa"/>
          </w:tcPr>
          <w:p w14:paraId="18C586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626</w:t>
            </w:r>
          </w:p>
        </w:tc>
        <w:tc>
          <w:tcPr>
            <w:tcW w:w="945" w:type="dxa"/>
          </w:tcPr>
          <w:p w14:paraId="6CBABE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101.8</w:t>
            </w:r>
          </w:p>
        </w:tc>
        <w:tc>
          <w:tcPr>
            <w:tcW w:w="1135" w:type="dxa"/>
          </w:tcPr>
          <w:p w14:paraId="533B66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627</w:t>
            </w:r>
          </w:p>
        </w:tc>
      </w:tr>
      <w:tr w:rsidR="000F5689" w:rsidRPr="00925F26" w14:paraId="6BB6C415" w14:textId="77777777">
        <w:tc>
          <w:tcPr>
            <w:tcW w:w="2093" w:type="dxa"/>
          </w:tcPr>
          <w:p w14:paraId="150E15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477</w:t>
            </w:r>
          </w:p>
        </w:tc>
        <w:tc>
          <w:tcPr>
            <w:tcW w:w="2410" w:type="dxa"/>
          </w:tcPr>
          <w:p w14:paraId="5866BA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Бе-4 М-62</w:t>
            </w:r>
          </w:p>
        </w:tc>
        <w:tc>
          <w:tcPr>
            <w:tcW w:w="945" w:type="dxa"/>
          </w:tcPr>
          <w:p w14:paraId="781FE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945" w:type="dxa"/>
          </w:tcPr>
          <w:p w14:paraId="7AB19A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945" w:type="dxa"/>
          </w:tcPr>
          <w:p w14:paraId="0A789699"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4F3628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r>
      <w:tr w:rsidR="000F5689" w:rsidRPr="00925F26" w14:paraId="1BE586B3" w14:textId="77777777">
        <w:tc>
          <w:tcPr>
            <w:tcW w:w="2093" w:type="dxa"/>
          </w:tcPr>
          <w:p w14:paraId="5D8D4D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2410" w:type="dxa"/>
          </w:tcPr>
          <w:p w14:paraId="10D368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Бронекорпус Ил-2</w:t>
            </w:r>
          </w:p>
        </w:tc>
        <w:tc>
          <w:tcPr>
            <w:tcW w:w="945" w:type="dxa"/>
          </w:tcPr>
          <w:p w14:paraId="194DE4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3050</w:t>
            </w:r>
          </w:p>
        </w:tc>
        <w:tc>
          <w:tcPr>
            <w:tcW w:w="945" w:type="dxa"/>
          </w:tcPr>
          <w:p w14:paraId="5C468C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3105</w:t>
            </w:r>
          </w:p>
        </w:tc>
        <w:tc>
          <w:tcPr>
            <w:tcW w:w="945" w:type="dxa"/>
          </w:tcPr>
          <w:p w14:paraId="197CA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97.2</w:t>
            </w:r>
          </w:p>
        </w:tc>
        <w:tc>
          <w:tcPr>
            <w:tcW w:w="1135" w:type="dxa"/>
          </w:tcPr>
          <w:p w14:paraId="5DAEF47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892F40D" w14:textId="77777777">
        <w:tc>
          <w:tcPr>
            <w:tcW w:w="2093" w:type="dxa"/>
          </w:tcPr>
          <w:p w14:paraId="4F6D321B"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2B280E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Бронезащита</w:t>
            </w:r>
          </w:p>
        </w:tc>
        <w:tc>
          <w:tcPr>
            <w:tcW w:w="945" w:type="dxa"/>
          </w:tcPr>
          <w:p w14:paraId="3AC7C6A9"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1D1D03A2"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7D212734"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7BE9EF6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312FF83" w14:textId="77777777">
        <w:tc>
          <w:tcPr>
            <w:tcW w:w="2093" w:type="dxa"/>
          </w:tcPr>
          <w:p w14:paraId="18A96D44"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36D19B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Бронеспинки</w:t>
            </w:r>
          </w:p>
        </w:tc>
        <w:tc>
          <w:tcPr>
            <w:tcW w:w="945" w:type="dxa"/>
          </w:tcPr>
          <w:p w14:paraId="224E0AC0"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26FF257E"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254E2007"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412F6A6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B4E8F5C" w14:textId="77777777">
        <w:tc>
          <w:tcPr>
            <w:tcW w:w="2093" w:type="dxa"/>
          </w:tcPr>
          <w:p w14:paraId="1AE120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w:t>
            </w:r>
          </w:p>
        </w:tc>
        <w:tc>
          <w:tcPr>
            <w:tcW w:w="2410" w:type="dxa"/>
          </w:tcPr>
          <w:p w14:paraId="49AC8F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Бронекорпус Ил-2</w:t>
            </w:r>
          </w:p>
        </w:tc>
        <w:tc>
          <w:tcPr>
            <w:tcW w:w="945" w:type="dxa"/>
          </w:tcPr>
          <w:p w14:paraId="7C18A6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6800</w:t>
            </w:r>
          </w:p>
        </w:tc>
        <w:tc>
          <w:tcPr>
            <w:tcW w:w="945" w:type="dxa"/>
          </w:tcPr>
          <w:p w14:paraId="58A7D9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7007</w:t>
            </w:r>
          </w:p>
        </w:tc>
        <w:tc>
          <w:tcPr>
            <w:tcW w:w="945" w:type="dxa"/>
          </w:tcPr>
          <w:p w14:paraId="3A54C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96.5</w:t>
            </w:r>
          </w:p>
        </w:tc>
        <w:tc>
          <w:tcPr>
            <w:tcW w:w="1135" w:type="dxa"/>
          </w:tcPr>
          <w:p w14:paraId="627A5CF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87EABEE" w14:textId="77777777">
        <w:tc>
          <w:tcPr>
            <w:tcW w:w="2093" w:type="dxa"/>
          </w:tcPr>
          <w:p w14:paraId="5FDE8567"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76B097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Бронекорпус Ил-10</w:t>
            </w:r>
          </w:p>
        </w:tc>
        <w:tc>
          <w:tcPr>
            <w:tcW w:w="945" w:type="dxa"/>
          </w:tcPr>
          <w:p w14:paraId="6FA1E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945" w:type="dxa"/>
          </w:tcPr>
          <w:p w14:paraId="321105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637</w:t>
            </w:r>
          </w:p>
        </w:tc>
        <w:tc>
          <w:tcPr>
            <w:tcW w:w="945" w:type="dxa"/>
          </w:tcPr>
          <w:p w14:paraId="5204A672"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177256F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4821141" w14:textId="77777777">
        <w:tc>
          <w:tcPr>
            <w:tcW w:w="2093" w:type="dxa"/>
          </w:tcPr>
          <w:p w14:paraId="4E968268"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7F15AB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Бронезащита</w:t>
            </w:r>
          </w:p>
        </w:tc>
        <w:tc>
          <w:tcPr>
            <w:tcW w:w="945" w:type="dxa"/>
          </w:tcPr>
          <w:p w14:paraId="7D5E0754"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1B4C0B3E"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4F580863"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7F46A70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EE5E5F7" w14:textId="77777777">
        <w:tc>
          <w:tcPr>
            <w:tcW w:w="2093" w:type="dxa"/>
          </w:tcPr>
          <w:p w14:paraId="1CDCCB7F"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5D779B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Бронеспинки</w:t>
            </w:r>
          </w:p>
        </w:tc>
        <w:tc>
          <w:tcPr>
            <w:tcW w:w="945" w:type="dxa"/>
          </w:tcPr>
          <w:p w14:paraId="509B51AC"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719924EC" w14:textId="77777777" w:rsidR="00665165" w:rsidRPr="00925F26" w:rsidRDefault="00665165" w:rsidP="00925F26">
            <w:pPr>
              <w:autoSpaceDE w:val="0"/>
              <w:autoSpaceDN w:val="0"/>
              <w:adjustRightInd w:val="0"/>
              <w:jc w:val="both"/>
              <w:rPr>
                <w:color w:val="000000" w:themeColor="text1"/>
                <w:sz w:val="16"/>
                <w:szCs w:val="16"/>
              </w:rPr>
            </w:pPr>
          </w:p>
        </w:tc>
        <w:tc>
          <w:tcPr>
            <w:tcW w:w="945" w:type="dxa"/>
          </w:tcPr>
          <w:p w14:paraId="1B2A7217" w14:textId="77777777" w:rsidR="00665165" w:rsidRPr="00925F26" w:rsidRDefault="00665165" w:rsidP="00925F26">
            <w:pPr>
              <w:autoSpaceDE w:val="0"/>
              <w:autoSpaceDN w:val="0"/>
              <w:adjustRightInd w:val="0"/>
              <w:jc w:val="both"/>
              <w:rPr>
                <w:color w:val="000000" w:themeColor="text1"/>
                <w:sz w:val="16"/>
                <w:szCs w:val="16"/>
              </w:rPr>
            </w:pPr>
          </w:p>
        </w:tc>
        <w:tc>
          <w:tcPr>
            <w:tcW w:w="1135" w:type="dxa"/>
          </w:tcPr>
          <w:p w14:paraId="466795AD" w14:textId="77777777" w:rsidR="00665165" w:rsidRPr="00925F26" w:rsidRDefault="00665165" w:rsidP="00925F26">
            <w:pPr>
              <w:autoSpaceDE w:val="0"/>
              <w:autoSpaceDN w:val="0"/>
              <w:adjustRightInd w:val="0"/>
              <w:jc w:val="both"/>
              <w:rPr>
                <w:color w:val="000000" w:themeColor="text1"/>
                <w:sz w:val="16"/>
                <w:szCs w:val="16"/>
              </w:rPr>
            </w:pPr>
          </w:p>
        </w:tc>
      </w:tr>
    </w:tbl>
    <w:p w14:paraId="24B3FF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перечисленной ооновной продукции - заводы 10-го Главного Управления в течение 1944 года выпустили значи</w:t>
      </w:r>
      <w:r w:rsidRPr="00925F26">
        <w:rPr>
          <w:color w:val="000000" w:themeColor="text1"/>
          <w:sz w:val="16"/>
          <w:szCs w:val="16"/>
        </w:rPr>
        <w:softHyphen/>
        <w:t>тельное количество:</w:t>
      </w:r>
    </w:p>
    <w:p w14:paraId="2860E2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боеприпасов (заводы № 39 и № 477),</w:t>
      </w:r>
    </w:p>
    <w:p w14:paraId="27E10D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запчастей к тракторам и электростанциям,</w:t>
      </w:r>
    </w:p>
    <w:p w14:paraId="7FCAEB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механизиро</w:t>
      </w:r>
      <w:r w:rsidRPr="00925F26">
        <w:rPr>
          <w:color w:val="000000" w:themeColor="text1"/>
          <w:sz w:val="16"/>
          <w:szCs w:val="16"/>
        </w:rPr>
        <w:softHyphen/>
        <w:t>ванных банзо и водомаслозаправщиков (завод № 125),</w:t>
      </w:r>
    </w:p>
    <w:p w14:paraId="26C8B0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также проделали большую работу по перевооружению-самолетов "Бостон" (завод N 456), ремонту самолетов, как на заводских, так и в полевых условиях, оказанию уолуг для опытного строительства и ряд других работ.</w:t>
      </w:r>
    </w:p>
    <w:p w14:paraId="7C1864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Выпуок продукции в ценностном выражении (в неизмен</w:t>
      </w:r>
      <w:r w:rsidRPr="00925F26">
        <w:rPr>
          <w:color w:val="000000" w:themeColor="text1"/>
          <w:sz w:val="16"/>
          <w:szCs w:val="16"/>
        </w:rPr>
        <w:softHyphen/>
        <w:t>ных ценах) за 1944 год, по сравнению о планок 1944 г. и отчетом 1943 г., составил:</w:t>
      </w:r>
    </w:p>
    <w:p w14:paraId="4EE5D5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ГЛАВНОМУ УПРАВЛЕНИЮ В ЦЕЛОМ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934"/>
        <w:gridCol w:w="1134"/>
        <w:gridCol w:w="1134"/>
        <w:gridCol w:w="2126"/>
        <w:gridCol w:w="2126"/>
      </w:tblGrid>
      <w:tr w:rsidR="000F5689" w:rsidRPr="00925F26" w14:paraId="2306A233" w14:textId="77777777">
        <w:tc>
          <w:tcPr>
            <w:tcW w:w="1868" w:type="dxa"/>
            <w:tcBorders>
              <w:top w:val="single" w:sz="12" w:space="0" w:color="auto"/>
            </w:tcBorders>
          </w:tcPr>
          <w:p w14:paraId="623BBECD"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Виды продукции</w:t>
            </w:r>
          </w:p>
        </w:tc>
        <w:tc>
          <w:tcPr>
            <w:tcW w:w="934" w:type="dxa"/>
            <w:tcBorders>
              <w:top w:val="single" w:sz="12" w:space="0" w:color="auto"/>
            </w:tcBorders>
          </w:tcPr>
          <w:p w14:paraId="2913A6A0"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ед. изм.</w:t>
            </w:r>
          </w:p>
        </w:tc>
        <w:tc>
          <w:tcPr>
            <w:tcW w:w="1134" w:type="dxa"/>
            <w:tcBorders>
              <w:top w:val="single" w:sz="12" w:space="0" w:color="auto"/>
            </w:tcBorders>
          </w:tcPr>
          <w:p w14:paraId="71EC0E08"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План на 1944</w:t>
            </w:r>
          </w:p>
        </w:tc>
        <w:tc>
          <w:tcPr>
            <w:tcW w:w="1134" w:type="dxa"/>
            <w:tcBorders>
              <w:top w:val="single" w:sz="12" w:space="0" w:color="auto"/>
            </w:tcBorders>
          </w:tcPr>
          <w:p w14:paraId="07E334CF"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Отчет за 1944</w:t>
            </w:r>
          </w:p>
        </w:tc>
        <w:tc>
          <w:tcPr>
            <w:tcW w:w="2126" w:type="dxa"/>
            <w:tcBorders>
              <w:top w:val="single" w:sz="12" w:space="0" w:color="auto"/>
            </w:tcBorders>
          </w:tcPr>
          <w:p w14:paraId="326D8BE4"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Отчет 1944 к пляну в %</w:t>
            </w:r>
          </w:p>
        </w:tc>
        <w:tc>
          <w:tcPr>
            <w:tcW w:w="2126" w:type="dxa"/>
            <w:tcBorders>
              <w:top w:val="single" w:sz="12" w:space="0" w:color="auto"/>
            </w:tcBorders>
          </w:tcPr>
          <w:p w14:paraId="2F9C877D"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Отчет 1944 к отчету 1943</w:t>
            </w:r>
          </w:p>
        </w:tc>
      </w:tr>
      <w:tr w:rsidR="000F5689" w:rsidRPr="00925F26" w14:paraId="4486A2A8" w14:textId="77777777">
        <w:tc>
          <w:tcPr>
            <w:tcW w:w="1868" w:type="dxa"/>
          </w:tcPr>
          <w:p w14:paraId="5089458F" w14:textId="77777777" w:rsidR="00665165" w:rsidRPr="00925F26" w:rsidRDefault="00665165" w:rsidP="00925F26">
            <w:pPr>
              <w:autoSpaceDE w:val="0"/>
              <w:autoSpaceDN w:val="0"/>
              <w:adjustRightInd w:val="0"/>
              <w:jc w:val="both"/>
              <w:rPr>
                <w:smallCaps/>
                <w:color w:val="000000" w:themeColor="text1"/>
                <w:sz w:val="16"/>
                <w:szCs w:val="16"/>
              </w:rPr>
            </w:pPr>
            <w:r w:rsidRPr="00925F26">
              <w:rPr>
                <w:color w:val="000000" w:themeColor="text1"/>
                <w:sz w:val="16"/>
                <w:szCs w:val="16"/>
              </w:rPr>
              <w:t>1. Валовая продукция</w:t>
            </w:r>
          </w:p>
        </w:tc>
        <w:tc>
          <w:tcPr>
            <w:tcW w:w="934" w:type="dxa"/>
          </w:tcPr>
          <w:p w14:paraId="3D3E6048"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тыс. руб.</w:t>
            </w:r>
          </w:p>
        </w:tc>
        <w:tc>
          <w:tcPr>
            <w:tcW w:w="1134" w:type="dxa"/>
          </w:tcPr>
          <w:p w14:paraId="1D008220"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5425000</w:t>
            </w:r>
          </w:p>
        </w:tc>
        <w:tc>
          <w:tcPr>
            <w:tcW w:w="1134" w:type="dxa"/>
          </w:tcPr>
          <w:p w14:paraId="378CC28B"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5458106</w:t>
            </w:r>
          </w:p>
        </w:tc>
        <w:tc>
          <w:tcPr>
            <w:tcW w:w="2126" w:type="dxa"/>
          </w:tcPr>
          <w:p w14:paraId="2E101BD3"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100</w:t>
            </w:r>
          </w:p>
        </w:tc>
        <w:tc>
          <w:tcPr>
            <w:tcW w:w="2126" w:type="dxa"/>
          </w:tcPr>
          <w:p w14:paraId="3B083283"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100,5</w:t>
            </w:r>
          </w:p>
        </w:tc>
      </w:tr>
      <w:tr w:rsidR="000F5689" w:rsidRPr="00925F26" w14:paraId="01C79326" w14:textId="77777777">
        <w:tc>
          <w:tcPr>
            <w:tcW w:w="1868" w:type="dxa"/>
          </w:tcPr>
          <w:p w14:paraId="7C1AE36A" w14:textId="77777777" w:rsidR="00665165" w:rsidRPr="00925F26" w:rsidRDefault="00665165" w:rsidP="00925F26">
            <w:pPr>
              <w:autoSpaceDE w:val="0"/>
              <w:autoSpaceDN w:val="0"/>
              <w:adjustRightInd w:val="0"/>
              <w:jc w:val="both"/>
              <w:rPr>
                <w:smallCaps/>
                <w:color w:val="000000" w:themeColor="text1"/>
                <w:sz w:val="16"/>
                <w:szCs w:val="16"/>
              </w:rPr>
            </w:pPr>
            <w:proofErr w:type="gramStart"/>
            <w:r w:rsidRPr="00925F26">
              <w:rPr>
                <w:color w:val="000000" w:themeColor="text1"/>
                <w:sz w:val="16"/>
                <w:szCs w:val="16"/>
              </w:rPr>
              <w:t>2 .Товарная</w:t>
            </w:r>
            <w:proofErr w:type="gramEnd"/>
            <w:r w:rsidRPr="00925F26">
              <w:rPr>
                <w:color w:val="000000" w:themeColor="text1"/>
                <w:sz w:val="16"/>
                <w:szCs w:val="16"/>
              </w:rPr>
              <w:t xml:space="preserve"> продукция</w:t>
            </w:r>
          </w:p>
        </w:tc>
        <w:tc>
          <w:tcPr>
            <w:tcW w:w="934" w:type="dxa"/>
          </w:tcPr>
          <w:p w14:paraId="2E93584A" w14:textId="77777777" w:rsidR="00665165" w:rsidRPr="00925F26" w:rsidRDefault="00665165" w:rsidP="00925F26">
            <w:pPr>
              <w:autoSpaceDE w:val="0"/>
              <w:autoSpaceDN w:val="0"/>
              <w:adjustRightInd w:val="0"/>
              <w:jc w:val="both"/>
              <w:rPr>
                <w:smallCaps/>
                <w:color w:val="000000" w:themeColor="text1"/>
                <w:sz w:val="16"/>
                <w:szCs w:val="16"/>
              </w:rPr>
            </w:pPr>
          </w:p>
        </w:tc>
        <w:tc>
          <w:tcPr>
            <w:tcW w:w="1134" w:type="dxa"/>
          </w:tcPr>
          <w:p w14:paraId="65AECF3F"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5367000</w:t>
            </w:r>
          </w:p>
        </w:tc>
        <w:tc>
          <w:tcPr>
            <w:tcW w:w="1134" w:type="dxa"/>
          </w:tcPr>
          <w:p w14:paraId="7E517ED9"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5342230</w:t>
            </w:r>
          </w:p>
        </w:tc>
        <w:tc>
          <w:tcPr>
            <w:tcW w:w="2126" w:type="dxa"/>
          </w:tcPr>
          <w:p w14:paraId="177C384E"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99,5</w:t>
            </w:r>
          </w:p>
        </w:tc>
        <w:tc>
          <w:tcPr>
            <w:tcW w:w="2126" w:type="dxa"/>
          </w:tcPr>
          <w:p w14:paraId="1388CA5A"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97</w:t>
            </w:r>
          </w:p>
        </w:tc>
      </w:tr>
      <w:tr w:rsidR="000F5689" w:rsidRPr="00925F26" w14:paraId="685F3730" w14:textId="77777777">
        <w:tc>
          <w:tcPr>
            <w:tcW w:w="1868" w:type="dxa"/>
            <w:tcBorders>
              <w:bottom w:val="single" w:sz="12" w:space="0" w:color="auto"/>
            </w:tcBorders>
          </w:tcPr>
          <w:p w14:paraId="6064D1F9" w14:textId="77777777" w:rsidR="00665165" w:rsidRPr="00925F26" w:rsidRDefault="00665165" w:rsidP="00925F26">
            <w:pPr>
              <w:autoSpaceDE w:val="0"/>
              <w:autoSpaceDN w:val="0"/>
              <w:adjustRightInd w:val="0"/>
              <w:jc w:val="both"/>
              <w:rPr>
                <w:smallCaps/>
                <w:color w:val="000000" w:themeColor="text1"/>
                <w:sz w:val="16"/>
                <w:szCs w:val="16"/>
              </w:rPr>
            </w:pPr>
            <w:r w:rsidRPr="00925F26">
              <w:rPr>
                <w:color w:val="000000" w:themeColor="text1"/>
                <w:sz w:val="16"/>
                <w:szCs w:val="16"/>
              </w:rPr>
              <w:t>3.Оборонная продукция</w:t>
            </w:r>
          </w:p>
        </w:tc>
        <w:tc>
          <w:tcPr>
            <w:tcW w:w="934" w:type="dxa"/>
            <w:tcBorders>
              <w:bottom w:val="single" w:sz="12" w:space="0" w:color="auto"/>
            </w:tcBorders>
          </w:tcPr>
          <w:p w14:paraId="16D82E01" w14:textId="77777777" w:rsidR="00665165" w:rsidRPr="00925F26" w:rsidRDefault="00665165" w:rsidP="00925F26">
            <w:pPr>
              <w:autoSpaceDE w:val="0"/>
              <w:autoSpaceDN w:val="0"/>
              <w:adjustRightInd w:val="0"/>
              <w:jc w:val="both"/>
              <w:rPr>
                <w:smallCaps/>
                <w:color w:val="000000" w:themeColor="text1"/>
                <w:sz w:val="16"/>
                <w:szCs w:val="16"/>
              </w:rPr>
            </w:pPr>
          </w:p>
        </w:tc>
        <w:tc>
          <w:tcPr>
            <w:tcW w:w="1134" w:type="dxa"/>
            <w:tcBorders>
              <w:bottom w:val="single" w:sz="12" w:space="0" w:color="auto"/>
            </w:tcBorders>
          </w:tcPr>
          <w:p w14:paraId="7E69A018"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5217880</w:t>
            </w:r>
          </w:p>
        </w:tc>
        <w:tc>
          <w:tcPr>
            <w:tcW w:w="1134" w:type="dxa"/>
            <w:tcBorders>
              <w:bottom w:val="single" w:sz="12" w:space="0" w:color="auto"/>
            </w:tcBorders>
          </w:tcPr>
          <w:p w14:paraId="352FC0B7"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5157364</w:t>
            </w:r>
          </w:p>
        </w:tc>
        <w:tc>
          <w:tcPr>
            <w:tcW w:w="2126" w:type="dxa"/>
            <w:tcBorders>
              <w:bottom w:val="single" w:sz="12" w:space="0" w:color="auto"/>
            </w:tcBorders>
          </w:tcPr>
          <w:p w14:paraId="0400FA09"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98,8</w:t>
            </w:r>
          </w:p>
        </w:tc>
        <w:tc>
          <w:tcPr>
            <w:tcW w:w="2126" w:type="dxa"/>
            <w:tcBorders>
              <w:bottom w:val="single" w:sz="12" w:space="0" w:color="auto"/>
            </w:tcBorders>
          </w:tcPr>
          <w:p w14:paraId="3484DEAC" w14:textId="77777777" w:rsidR="00665165" w:rsidRPr="00925F26" w:rsidRDefault="00665165" w:rsidP="00925F26">
            <w:pPr>
              <w:autoSpaceDE w:val="0"/>
              <w:autoSpaceDN w:val="0"/>
              <w:adjustRightInd w:val="0"/>
              <w:jc w:val="both"/>
              <w:rPr>
                <w:smallCaps/>
                <w:color w:val="000000" w:themeColor="text1"/>
                <w:sz w:val="16"/>
                <w:szCs w:val="16"/>
              </w:rPr>
            </w:pPr>
            <w:r w:rsidRPr="00925F26">
              <w:rPr>
                <w:smallCaps/>
                <w:color w:val="000000" w:themeColor="text1"/>
                <w:sz w:val="16"/>
                <w:szCs w:val="16"/>
              </w:rPr>
              <w:t>97</w:t>
            </w:r>
          </w:p>
        </w:tc>
      </w:tr>
    </w:tbl>
    <w:p w14:paraId="27D509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Лучших результатов выполнения плана за 1944 г., как это видно из приведенных данных, добились заводы за №№ 18, 22, 30, 84, 125 и 207.</w:t>
      </w:r>
    </w:p>
    <w:p w14:paraId="32EB7D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Эти успехи в работе за отчетный год были достигнута заводами в основной благодаря:</w:t>
      </w:r>
    </w:p>
    <w:p w14:paraId="0F2C2A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широкому внедрению ими в производство передовой техники и лучшей организации производства, обеспечивший ритмичный выпуск качественной продукции;</w:t>
      </w:r>
    </w:p>
    <w:p w14:paraId="2C5E2C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упорядочению всей производственно-хозяйственной деятельности на основе приказов Народного комиссара за 1944 г. за №№ 439, 464, 528, 500 и др.;</w:t>
      </w:r>
    </w:p>
    <w:p w14:paraId="33EE38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улучшению </w:t>
      </w:r>
      <w:proofErr w:type="gramStart"/>
      <w:r w:rsidRPr="00925F26">
        <w:rPr>
          <w:color w:val="000000" w:themeColor="text1"/>
          <w:sz w:val="16"/>
          <w:szCs w:val="16"/>
        </w:rPr>
        <w:t>жилищно-бытовых условий</w:t>
      </w:r>
      <w:proofErr w:type="gramEnd"/>
      <w:r w:rsidRPr="00925F26">
        <w:rPr>
          <w:color w:val="000000" w:themeColor="text1"/>
          <w:sz w:val="16"/>
          <w:szCs w:val="16"/>
        </w:rPr>
        <w:t xml:space="preserve"> работающих и</w:t>
      </w:r>
    </w:p>
    <w:p w14:paraId="5503B7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активному участию их всоциалистическом соревновании заводов авиационной промышленности.</w:t>
      </w:r>
    </w:p>
    <w:p w14:paraId="0A961C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Однако, хорошие результаты работы указанных заводов за 1944 г. были снижены значительный недовыполнением плана по выпуску продукции в натуральной выражении другими заво</w:t>
      </w:r>
      <w:r w:rsidRPr="00925F26">
        <w:rPr>
          <w:color w:val="000000" w:themeColor="text1"/>
          <w:sz w:val="16"/>
          <w:szCs w:val="16"/>
        </w:rPr>
        <w:softHyphen/>
        <w:t>дами Главного Управления и в особенности заводами №№ 23 и 39 (по причинам, изложенным ниже), вследствие чего, вцелом по Главному Управлению, был недовыполнен план по товарной продукции на 0,5% и по оборонной продукции на 1%.</w:t>
      </w:r>
    </w:p>
    <w:p w14:paraId="3BD9B3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ХАРАКТЕРИСТИКА ПРОИЗВОДЗТВЕКНОЙ ДЕЯТЕЛЬНОСТИ ЗАВОДОВ.</w:t>
      </w:r>
    </w:p>
    <w:p w14:paraId="29C69B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Производственная и техническая деятельность заводов Главного Управления в отчетном году протекала под знаком решительной борьбы за повышение боевых и летно-тантическях данных серийных самолетов, а также внедрение в серийное производство новых Ьодее современных типов самолетов.</w:t>
      </w:r>
    </w:p>
    <w:p w14:paraId="433BB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 старым типам самолетов</w:t>
      </w:r>
    </w:p>
    <w:p w14:paraId="63F44C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Ил-2</w:t>
      </w:r>
    </w:p>
    <w:p w14:paraId="2E1E6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На заводах 1 и 30 в течение 1 полугодия был осуществлен переход </w:t>
      </w:r>
      <w:proofErr w:type="gramStart"/>
      <w:r w:rsidRPr="00925F26">
        <w:rPr>
          <w:color w:val="000000" w:themeColor="text1"/>
          <w:sz w:val="16"/>
          <w:szCs w:val="16"/>
        </w:rPr>
        <w:t>на выпуск</w:t>
      </w:r>
      <w:proofErr w:type="gramEnd"/>
      <w:r w:rsidRPr="00925F26">
        <w:rPr>
          <w:color w:val="000000" w:themeColor="text1"/>
          <w:sz w:val="16"/>
          <w:szCs w:val="16"/>
        </w:rPr>
        <w:t xml:space="preserve"> Ил-2 с метал. крылом стрельчатой конструкции, взамен деревянного крыла, а по заводу 18 переход от простого металлического крыла к крылу стрельчатой конструкции.</w:t>
      </w:r>
    </w:p>
    <w:p w14:paraId="5E822B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Эта серьезная модификация значительно улучшила устойчивость самолета, его прочность и продолжительность в эксплуатации, а также взаимозаменяемость крыльев.</w:t>
      </w:r>
    </w:p>
    <w:p w14:paraId="42DBE8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Установлен коллиматорный прицел ПБП-1Б взамен механического визира</w:t>
      </w:r>
    </w:p>
    <w:p w14:paraId="0969F8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Отработана и внедрена установка под ПАУ-22</w:t>
      </w:r>
    </w:p>
    <w:p w14:paraId="41712B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Внедрена потайная клепка обшивки крыла и центроплана, а также стыковка листов обшивки в стык</w:t>
      </w:r>
    </w:p>
    <w:p w14:paraId="2D9E34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Внедрена в серию установка новой радиоаппаратуры</w:t>
      </w:r>
    </w:p>
    <w:p w14:paraId="294A2C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 Перенесено управление фиксатора взлетного угла щитков в кабину пилота</w:t>
      </w:r>
    </w:p>
    <w:p w14:paraId="1DA53D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 Внедрен съемный обтекатель крыла</w:t>
      </w:r>
    </w:p>
    <w:p w14:paraId="672291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 Внедрены стандартные штуцера бортовой зарядки воздуха и проведен ряд других работ по улучшению боевых и ЛТК самолета</w:t>
      </w:r>
    </w:p>
    <w:p w14:paraId="34238E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освоен и внедрен в серийное производство на заводе 30 Ил-2 в варианте корректировщика (2482).</w:t>
      </w:r>
    </w:p>
    <w:p w14:paraId="531797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p w14:paraId="4B0EE2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Установлены новые винты, улучшившие ЛК</w:t>
      </w:r>
    </w:p>
    <w:p w14:paraId="1519E3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Внедрены фибровые крыльевые бензобаки и подготовлено производство центропланных баков</w:t>
      </w:r>
    </w:p>
    <w:p w14:paraId="1D3C86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Установлена кассета для гранат АГ-2</w:t>
      </w:r>
    </w:p>
    <w:p w14:paraId="35FFA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Внедрены реактивные выхлопные патрубки</w:t>
      </w:r>
    </w:p>
    <w:p w14:paraId="2B52D2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Внедрен увеличенный астролюк для аварийного оставления машины стрелком-радистом</w:t>
      </w:r>
    </w:p>
    <w:p w14:paraId="2352B1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 Установлено новое кислородное оборудование КПА-12</w:t>
      </w:r>
    </w:p>
    <w:p w14:paraId="36805D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 Произведена замена деревянного хвостового кока на металлический</w:t>
      </w:r>
    </w:p>
    <w:p w14:paraId="75A26F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w:t>
      </w:r>
    </w:p>
    <w:p w14:paraId="73A325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а) Улучшен обзор из кабины штурмана</w:t>
      </w:r>
    </w:p>
    <w:p w14:paraId="54E652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Установлены винты АВ-513-167л прямой схемы</w:t>
      </w:r>
    </w:p>
    <w:p w14:paraId="22EC2C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Проведено конструктивное усиление агрегатов кока винта, заднего подкоса шасси, обшивки РН, фитингов и т.д.</w:t>
      </w:r>
    </w:p>
    <w:p w14:paraId="5973BF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Отработано и запущено в серию уширенное ВО</w:t>
      </w:r>
    </w:p>
    <w:p w14:paraId="4896E5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Внедрены новые всасывающие патрубки и новый выхлопной коллектор</w:t>
      </w:r>
    </w:p>
    <w:p w14:paraId="5FE98A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p w14:paraId="1D6040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Полностью освоено в серийном производстве новое крыло с увеличенной стрельчатостью</w:t>
      </w:r>
    </w:p>
    <w:p w14:paraId="108AC2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Внедрена в серийное производство новая кабина штурмана</w:t>
      </w:r>
    </w:p>
    <w:p w14:paraId="36613F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Внедрены пылефильтры на всасывающие патрубки карбюраторов</w:t>
      </w:r>
    </w:p>
    <w:p w14:paraId="4BDFD7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Внедрен плямягаситель на патрубки мотора</w:t>
      </w:r>
    </w:p>
    <w:p w14:paraId="6563A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Проведено усиление бензобаков</w:t>
      </w:r>
    </w:p>
    <w:p w14:paraId="3B9A59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 Внедрена новая система подвески бомб</w:t>
      </w:r>
    </w:p>
    <w:p w14:paraId="2B70DD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 Введен групповой пылефильтр в систему питания гироприборов (2482).</w:t>
      </w:r>
    </w:p>
    <w:p w14:paraId="23DF38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p w14:paraId="459736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Внедрена кабина штурмана</w:t>
      </w:r>
    </w:p>
    <w:p w14:paraId="550966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Термический антиобледенитель кромки крыла вписан в теоретический обвод</w:t>
      </w:r>
    </w:p>
    <w:p w14:paraId="64A3C0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отработаны опытные образцы для внедрения в серию:</w:t>
      </w:r>
    </w:p>
    <w:p w14:paraId="79216F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Машина с внутренней бомбовой подвеской</w:t>
      </w:r>
    </w:p>
    <w:p w14:paraId="12C9DA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Построена опытное крыло с дополнительными бензо и маслобаками</w:t>
      </w:r>
    </w:p>
    <w:p w14:paraId="64DE4B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Установка пылефильтров на всасывающие патрубки</w:t>
      </w:r>
    </w:p>
    <w:p w14:paraId="3F0AA5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Кроме этого</w:t>
      </w:r>
      <w:proofErr w:type="gramEnd"/>
      <w:r w:rsidRPr="00925F26">
        <w:rPr>
          <w:color w:val="000000" w:themeColor="text1"/>
          <w:sz w:val="16"/>
          <w:szCs w:val="16"/>
        </w:rPr>
        <w:t xml:space="preserve"> отработаны опытные образцы для внедре</w:t>
      </w:r>
      <w:r w:rsidRPr="00925F26">
        <w:rPr>
          <w:color w:val="000000" w:themeColor="text1"/>
          <w:sz w:val="16"/>
          <w:szCs w:val="16"/>
        </w:rPr>
        <w:softHyphen/>
        <w:t>ния в серию:</w:t>
      </w:r>
    </w:p>
    <w:p w14:paraId="16768F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машина с внутренней бомбовой подвеской;</w:t>
      </w:r>
    </w:p>
    <w:p w14:paraId="5D5969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построено опытное крыло с дополнительными бензо и маслобаками.</w:t>
      </w:r>
    </w:p>
    <w:p w14:paraId="4A2078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уставовка пылефильтров на всасывающие патрубки карбюраторов моторов.</w:t>
      </w:r>
    </w:p>
    <w:p w14:paraId="5AAD8A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Кроме конструктивных изменений, заводами в 1944 </w:t>
      </w:r>
      <w:proofErr w:type="gramStart"/>
      <w:r w:rsidRPr="00925F26">
        <w:rPr>
          <w:color w:val="000000" w:themeColor="text1"/>
          <w:sz w:val="16"/>
          <w:szCs w:val="16"/>
        </w:rPr>
        <w:t>г. .</w:t>
      </w:r>
      <w:proofErr w:type="gramEnd"/>
      <w:r w:rsidRPr="00925F26">
        <w:rPr>
          <w:color w:val="000000" w:themeColor="text1"/>
          <w:sz w:val="16"/>
          <w:szCs w:val="16"/>
        </w:rPr>
        <w:t xml:space="preserve"> была проделана большая работа по повышению качества паоизводственного выполнения, улучшению аэродинамики и качества отделки внешних поверхностей самолетов, в резуль</w:t>
      </w:r>
      <w:r w:rsidRPr="00925F26">
        <w:rPr>
          <w:color w:val="000000" w:themeColor="text1"/>
          <w:sz w:val="16"/>
          <w:szCs w:val="16"/>
        </w:rPr>
        <w:softHyphen/>
        <w:t>тате чего были значительно повышены их энсплоатацяонныо данные и скорости.</w:t>
      </w:r>
    </w:p>
    <w:p w14:paraId="4EAF6A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 например:</w:t>
      </w:r>
    </w:p>
    <w:p w14:paraId="3A981F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самолету Ил-2 прирост скоростей против 1943 составил 8-12 км/час</w:t>
      </w:r>
    </w:p>
    <w:p w14:paraId="790067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самолету Пе-2 прирост макс. скорости составил до 25 км/час</w:t>
      </w:r>
    </w:p>
    <w:p w14:paraId="1FA1BB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самолету Ту-2 прирост макс. скорости составил до 35 км/час</w:t>
      </w:r>
    </w:p>
    <w:p w14:paraId="1A9AB4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особо отметить также, что в 1944 г., в отли</w:t>
      </w:r>
      <w:r w:rsidRPr="00925F26">
        <w:rPr>
          <w:color w:val="000000" w:themeColor="text1"/>
          <w:sz w:val="16"/>
          <w:szCs w:val="16"/>
        </w:rPr>
        <w:softHyphen/>
        <w:t>чив от прошлого года, совершенно отсутствовали какие-либо дефекты в самолетах, грозившие безопасности полета и срыву боевых операций на фронте.</w:t>
      </w:r>
    </w:p>
    <w:p w14:paraId="3C1957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Имевшие же кео</w:t>
      </w:r>
      <w:proofErr w:type="gramStart"/>
      <w:r w:rsidRPr="00925F26">
        <w:rPr>
          <w:color w:val="000000" w:themeColor="text1"/>
          <w:sz w:val="16"/>
          <w:szCs w:val="16"/>
        </w:rPr>
        <w:t>.</w:t>
      </w:r>
      <w:proofErr w:type="gramEnd"/>
      <w:r w:rsidRPr="00925F26">
        <w:rPr>
          <w:color w:val="000000" w:themeColor="text1"/>
          <w:sz w:val="16"/>
          <w:szCs w:val="16"/>
        </w:rPr>
        <w:t xml:space="preserve">то. в течение года отдельные дефекты, связанные скорее </w:t>
      </w:r>
      <w:proofErr w:type="gramStart"/>
      <w:r w:rsidRPr="00925F26">
        <w:rPr>
          <w:color w:val="000000" w:themeColor="text1"/>
          <w:sz w:val="16"/>
          <w:szCs w:val="16"/>
        </w:rPr>
        <w:t>о недоработкой</w:t>
      </w:r>
      <w:proofErr w:type="gramEnd"/>
      <w:r w:rsidRPr="00925F26">
        <w:rPr>
          <w:color w:val="000000" w:themeColor="text1"/>
          <w:sz w:val="16"/>
          <w:szCs w:val="16"/>
        </w:rPr>
        <w:t xml:space="preserve"> конструкции, чем о ка</w:t>
      </w:r>
      <w:r w:rsidRPr="00925F26">
        <w:rPr>
          <w:color w:val="000000" w:themeColor="text1"/>
          <w:sz w:val="16"/>
          <w:szCs w:val="16"/>
        </w:rPr>
        <w:softHyphen/>
        <w:t>чеством производственного выполнения выпущенных самолетов-были быстро устранены и на выпуске самолетов не отрази</w:t>
      </w:r>
      <w:r w:rsidRPr="00925F26">
        <w:rPr>
          <w:color w:val="000000" w:themeColor="text1"/>
          <w:sz w:val="16"/>
          <w:szCs w:val="16"/>
        </w:rPr>
        <w:softHyphen/>
        <w:t>лись.</w:t>
      </w:r>
    </w:p>
    <w:p w14:paraId="334C30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числу таких дефектов следует отнести:</w:t>
      </w:r>
    </w:p>
    <w:p w14:paraId="0CF3EE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а)Трещины в мотораках самолетов Пе-2.</w:t>
      </w:r>
    </w:p>
    <w:p w14:paraId="05072C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б)Недоработанность замков бомболюков самолета, Ял-2.</w:t>
      </w:r>
    </w:p>
    <w:p w14:paraId="7F4970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в)трещины</w:t>
      </w:r>
      <w:proofErr w:type="gramEnd"/>
      <w:r w:rsidRPr="00925F26">
        <w:rPr>
          <w:color w:val="000000" w:themeColor="text1"/>
          <w:sz w:val="16"/>
          <w:szCs w:val="16"/>
        </w:rPr>
        <w:t xml:space="preserve"> колец ВУБ-2 иа самолета Ту-2.</w:t>
      </w:r>
    </w:p>
    <w:p w14:paraId="3F78D8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 новым типам самолетов</w:t>
      </w:r>
    </w:p>
    <w:p w14:paraId="1A283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Наряду с модернизацией и улучшением боевых и летно-тактических данных серийных самолетов, ряд заводов ГУ, в течение 1944 г., освоили и внедрили в серийное производство (завод № 39 с-т Ер-2, а заводы № 1 и 18 - с-т Ил-10)</w:t>
      </w:r>
    </w:p>
    <w:p w14:paraId="14F7F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w:t>
      </w:r>
    </w:p>
    <w:p w14:paraId="086FF3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Ер-2 - ТБ с двумя дизелями АЧ-30Б с увеличенной дальностью полета и бомбовой нагрузкой, против старых аналогичных типов отечественных бомбардировщиков, был запушен в производство на заводе 39 в конце 1943 и к началу 1944 завод построил первые две машины, изготовил оснастку нулевой очереди и подготовил всю тех. документацию для запуска самолета в серийное производство.</w:t>
      </w:r>
    </w:p>
    <w:p w14:paraId="49EF19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испытания первых двух головных машин выпуска 1944 и самолетов первых серий выпуска 1944 выявили ряд серьезнейших конструктивных недоработок в самолете и потребовали продолжительного времени для устранения их.</w:t>
      </w:r>
    </w:p>
    <w:p w14:paraId="74AE79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числу основных дефектов конструктивного порядка относились:</w:t>
      </w:r>
    </w:p>
    <w:p w14:paraId="648A6B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неудовлетворительная работа гидравлики шасси</w:t>
      </w:r>
    </w:p>
    <w:p w14:paraId="2D5654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плохой обзор из кабины л, вследствие неудовлетворительной конструкции фонаря и ряд других более мелких дефектов.</w:t>
      </w:r>
    </w:p>
    <w:p w14:paraId="63EA8D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Устранение этих дефектов потребовало от завода больших доп. затрат как трудового, так и материального порядка.</w:t>
      </w:r>
    </w:p>
    <w:p w14:paraId="385317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серьезных неполадок, выявленных в конструкции самолета, завод имел не менее серьезные затруднения из-за некондиционности части АЧ-30Б, а также весьма неудовлетворительную их поставку заводом 500, в силу чего вынужден был:</w:t>
      </w:r>
    </w:p>
    <w:p w14:paraId="66AA63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выпускать самолеты из цеха сборки с макетными моторами</w:t>
      </w:r>
    </w:p>
    <w:p w14:paraId="31B795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 несколько раз менять моторы на одной и той же машине</w:t>
      </w:r>
    </w:p>
    <w:p w14:paraId="6AFC34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проводить дополнительные облеты</w:t>
      </w:r>
    </w:p>
    <w:p w14:paraId="6871DD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увеличить продолжительность сдаточных полетов до 4 час. на машину.</w:t>
      </w:r>
    </w:p>
    <w:p w14:paraId="733D12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Эти обстоятельства также потребовали от завода дополнительных затрат времени и средств и вместе с тем послужили основной причиной невыполнения плана по выпуску самолетов за 1944, что в свою очередь, отразилось на общих итогах выполнения плана по ГУ.</w:t>
      </w:r>
    </w:p>
    <w:p w14:paraId="090A1E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Вместе с тем, следует отметить, что в силу этих неполадок, вызывавших задержку в выпуске готовой продукции, завод к концу 1944 создал значительный задел, который позволит ему в 1945, при условии получения кондиционных моторов, обеспечить нормальный ход производства.</w:t>
      </w:r>
    </w:p>
    <w:p w14:paraId="642FAA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w:t>
      </w:r>
    </w:p>
    <w:p w14:paraId="13A01E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Заводы 1 и 18 готовили производство и осваивали Ил-10 в условиях сохранения крупносерийного производства Ил-2.</w:t>
      </w:r>
    </w:p>
    <w:p w14:paraId="00BDBC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основу своей работы по подготовке производства по Ил-10 заводы положили эталонирование всех основных агрегатов машины, широкое применение плазово-шаблонного метода работ, разработку серийной технологии с макс. оснащением высокопроизводительной оснасткой, и с учетом переналадки существующих по Ил-2 конвейерных линий на поточное изготовление аналогичных агрегатов новой машины.</w:t>
      </w:r>
    </w:p>
    <w:p w14:paraId="09E921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Проведенное заводами резкое увеличение мощности цехов подготовки и широкое применение мастерских производственных цехов позволило заводам в короткий срок изготовить оснастку нулевой и первой очереди в количестве до 7000 наименований.</w:t>
      </w:r>
    </w:p>
    <w:p w14:paraId="4FBECC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Начав с августа 1944 основные работы по подготовке производства, оба завода уже к 1 октября выпустили по 5 серийных машин головной серии, причем в процессе изготовления этой серии произвели по основным агрегатам и цехам отработку техпроцессов, отладку и внедрение в производство изготовленной оснастки, а также отстыковали по эталонам первые комплекты крупных стапелей для сборки агрегатов.</w:t>
      </w:r>
    </w:p>
    <w:p w14:paraId="65C8CA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Наращивая заделы заводы в 4 кв. быстрыми темпами расширяли производство новой машины и обеспечили параллельно с изготовлением машины Ил-2 выпуск Ил-10 по сборке: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0F5689" w:rsidRPr="00925F26" w14:paraId="6FBBF9AA" w14:textId="77777777">
        <w:tc>
          <w:tcPr>
            <w:tcW w:w="1878" w:type="dxa"/>
          </w:tcPr>
          <w:p w14:paraId="6305A31E" w14:textId="77777777" w:rsidR="00665165" w:rsidRPr="00925F26" w:rsidRDefault="00665165" w:rsidP="00925F26">
            <w:pPr>
              <w:autoSpaceDE w:val="0"/>
              <w:autoSpaceDN w:val="0"/>
              <w:adjustRightInd w:val="0"/>
              <w:jc w:val="both"/>
              <w:rPr>
                <w:color w:val="000000" w:themeColor="text1"/>
                <w:sz w:val="16"/>
                <w:szCs w:val="16"/>
              </w:rPr>
            </w:pPr>
          </w:p>
        </w:tc>
        <w:tc>
          <w:tcPr>
            <w:tcW w:w="1878" w:type="dxa"/>
          </w:tcPr>
          <w:p w14:paraId="6A4FAA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Октябрь</w:t>
            </w:r>
          </w:p>
        </w:tc>
        <w:tc>
          <w:tcPr>
            <w:tcW w:w="1878" w:type="dxa"/>
          </w:tcPr>
          <w:p w14:paraId="0D3DE9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Ноябрь</w:t>
            </w:r>
          </w:p>
        </w:tc>
        <w:tc>
          <w:tcPr>
            <w:tcW w:w="1878" w:type="dxa"/>
          </w:tcPr>
          <w:p w14:paraId="1B3F8A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Декабрь</w:t>
            </w:r>
          </w:p>
        </w:tc>
      </w:tr>
      <w:tr w:rsidR="000F5689" w:rsidRPr="00925F26" w14:paraId="4A1EAB11" w14:textId="77777777">
        <w:tc>
          <w:tcPr>
            <w:tcW w:w="1878" w:type="dxa"/>
          </w:tcPr>
          <w:p w14:paraId="1965D4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878" w:type="dxa"/>
          </w:tcPr>
          <w:p w14:paraId="72A4D2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1878" w:type="dxa"/>
          </w:tcPr>
          <w:p w14:paraId="381DB7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1878" w:type="dxa"/>
          </w:tcPr>
          <w:p w14:paraId="672679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r>
      <w:tr w:rsidR="000F5689" w:rsidRPr="00925F26" w14:paraId="2D948375" w14:textId="77777777">
        <w:tc>
          <w:tcPr>
            <w:tcW w:w="1878" w:type="dxa"/>
          </w:tcPr>
          <w:p w14:paraId="15958E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878" w:type="dxa"/>
          </w:tcPr>
          <w:p w14:paraId="2586E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878" w:type="dxa"/>
          </w:tcPr>
          <w:p w14:paraId="44120F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878" w:type="dxa"/>
          </w:tcPr>
          <w:p w14:paraId="03DF6E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r>
    </w:tbl>
    <w:p w14:paraId="3583F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проведенные заводские испытания первых машин головной серии, как и последующие испытания машины и их эксплуатации, выявили целый ряд серьезных конструктивных недоработок, как по самолету, так и по мотору АМ-42, вследствие чего темпы развертывания производства Ил-10 несколько затормозились.</w:t>
      </w:r>
    </w:p>
    <w:p w14:paraId="22CAD9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основных дефектов новой машины необходимо отметить:</w:t>
      </w:r>
    </w:p>
    <w:p w14:paraId="5AF76F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недостаточную прочность болтов крепления башмака оси шасси, что потребовало замены их на всех выпущенных самолетах</w:t>
      </w:r>
    </w:p>
    <w:p w14:paraId="616BE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недостаточную прочность шпилек крепления рычага управления заслонкой водорадиатора</w:t>
      </w:r>
    </w:p>
    <w:p w14:paraId="03754B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неотработанность системы закрывания и открывания бомболюков</w:t>
      </w:r>
    </w:p>
    <w:p w14:paraId="45DF74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недостаточную устойчивость самолета на рулежке вследствие малого наклона костыля к горизонту</w:t>
      </w:r>
    </w:p>
    <w:p w14:paraId="287B9E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недостаточную огнестойкость выхлопных патрубков и ряд других дефектов.</w:t>
      </w:r>
    </w:p>
    <w:p w14:paraId="298BF4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Устранение этих дефектов в серии и на ранее выпущенных машинах вызвало большой объем дополнительных затрат, связанных с демонтажем ряда агрегатов и заменой узлов и деталей.</w:t>
      </w:r>
    </w:p>
    <w:p w14:paraId="791FC6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это заводы уже в 4 кв. 1944 выполнили часть доработок на выпущенных машинах и обеспечили выпуск серийных машин без отмеченных дефектов.</w:t>
      </w:r>
    </w:p>
    <w:p w14:paraId="53132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отмеченных дефектов по самолету, большое напряжение в работе заводов оказала недоработанность мотораАМ-42, вызвавшая большой объем работ по замене ряда узлов и агрегатов на всех ранее установленных на самолетах моторах, а также перерыв в поставке моторов обоим заводам.</w:t>
      </w:r>
    </w:p>
    <w:p w14:paraId="20E37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перечисленные недоработки в конструкции самолета и мотора естественно замедлили темп развертывания серийного производства Ил-10 и обусловили невыполнение плана по их выпуску в 1944, что отрицательно сказалось как на итогах работы заводов 1 и 18, так и ГУ в целом.</w:t>
      </w:r>
    </w:p>
    <w:p w14:paraId="523AFB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Броневое производство</w:t>
      </w:r>
    </w:p>
    <w:p w14:paraId="3BDF05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125 и 207, на которые возлоаено обеспе</w:t>
      </w:r>
      <w:r w:rsidRPr="00925F26">
        <w:rPr>
          <w:color w:val="000000" w:themeColor="text1"/>
          <w:sz w:val="16"/>
          <w:szCs w:val="16"/>
        </w:rPr>
        <w:softHyphen/>
        <w:t>чение бронезащитой всех заводов авиационной промышлен</w:t>
      </w:r>
      <w:r w:rsidRPr="00925F26">
        <w:rPr>
          <w:color w:val="000000" w:themeColor="text1"/>
          <w:sz w:val="16"/>
          <w:szCs w:val="16"/>
        </w:rPr>
        <w:softHyphen/>
        <w:t>ности, успешно справились в 1944 г. со всеми поставленными перед ними задачами.</w:t>
      </w:r>
    </w:p>
    <w:p w14:paraId="75E74E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Наряду </w:t>
      </w:r>
      <w:proofErr w:type="gramStart"/>
      <w:r w:rsidRPr="00925F26">
        <w:rPr>
          <w:color w:val="000000" w:themeColor="text1"/>
          <w:sz w:val="16"/>
          <w:szCs w:val="16"/>
        </w:rPr>
        <w:t>о выпуском</w:t>
      </w:r>
      <w:proofErr w:type="gramEnd"/>
      <w:r w:rsidRPr="00925F26">
        <w:rPr>
          <w:color w:val="000000" w:themeColor="text1"/>
          <w:sz w:val="16"/>
          <w:szCs w:val="16"/>
        </w:rPr>
        <w:t xml:space="preserve"> бронезащиты старых типов, заводы, в течение 1944 г., быстро и оперативно освоили производствоновых типов бронезащиты.</w:t>
      </w:r>
    </w:p>
    <w:p w14:paraId="45B85E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частнооти завод 207 в короткий срок освоил и наладил серийное производство нового бронекорпуса к Ил-10, а завод 125 производство удлиненного бронекорпуса к Ил-2.</w:t>
      </w:r>
    </w:p>
    <w:p w14:paraId="4D18AE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выпуска бронезащиты, заводы №№ 125 и 207, в течение отчетного года, проделали больной объем других работ.</w:t>
      </w:r>
    </w:p>
    <w:p w14:paraId="46DE72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125 - организовал машиностроительное производство по выпуску гильотинных ножниц и стружкодробилок и выполнил установленный ему план по этим изделиям. Изготовил и сдал Наркомбумпрому 14 крупно</w:t>
      </w:r>
      <w:r w:rsidRPr="00925F26">
        <w:rPr>
          <w:color w:val="000000" w:themeColor="text1"/>
          <w:sz w:val="16"/>
          <w:szCs w:val="16"/>
        </w:rPr>
        <w:softHyphen/>
        <w:t>габаритных пропиточных машин, а также выпустил ряд из</w:t>
      </w:r>
      <w:r w:rsidRPr="00925F26">
        <w:rPr>
          <w:color w:val="000000" w:themeColor="text1"/>
          <w:sz w:val="16"/>
          <w:szCs w:val="16"/>
        </w:rPr>
        <w:softHyphen/>
        <w:t>делий для нужд НКО и сельского хозяйства (подковы, лакеха к плугам, зубья для борон и др.)</w:t>
      </w:r>
    </w:p>
    <w:p w14:paraId="5ECC18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успешное выполнение установ</w:t>
      </w:r>
      <w:r w:rsidRPr="00925F26">
        <w:rPr>
          <w:color w:val="000000" w:themeColor="text1"/>
          <w:sz w:val="16"/>
          <w:szCs w:val="16"/>
        </w:rPr>
        <w:softHyphen/>
        <w:t>ленного задания по выпуску бронезащитн заводами №№ 125 и 207 было обеспечено благодаря переходу обоих заводов на более современные методы производства.</w:t>
      </w:r>
    </w:p>
    <w:p w14:paraId="56C384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Оба завода внедрили на производстве бэоиекорпуоов поточннв методы производства я конвейера принудительного действия, а такяа провали ряд </w:t>
      </w:r>
      <w:proofErr w:type="gramStart"/>
      <w:r w:rsidRPr="00925F26">
        <w:rPr>
          <w:color w:val="000000" w:themeColor="text1"/>
          <w:sz w:val="16"/>
          <w:szCs w:val="16"/>
        </w:rPr>
        <w:t>существенных мероприятий</w:t>
      </w:r>
      <w:proofErr w:type="gramEnd"/>
      <w:r w:rsidRPr="00925F26">
        <w:rPr>
          <w:color w:val="000000" w:themeColor="text1"/>
          <w:sz w:val="16"/>
          <w:szCs w:val="16"/>
        </w:rPr>
        <w:t xml:space="preserve"> улучшивших технологический процесс изготовления изде</w:t>
      </w:r>
      <w:r w:rsidRPr="00925F26">
        <w:rPr>
          <w:color w:val="000000" w:themeColor="text1"/>
          <w:sz w:val="16"/>
          <w:szCs w:val="16"/>
        </w:rPr>
        <w:softHyphen/>
        <w:t>лий.</w:t>
      </w:r>
    </w:p>
    <w:p w14:paraId="25CFB9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Прочие и внеплановые работы</w:t>
      </w:r>
    </w:p>
    <w:p w14:paraId="2D0603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выпуска основной продукции, заводы Главного Управления в течение 1944 г. выполнили ряд серьезных плановых и внеплановых работ, как по обслуживанию ВВС КА, так и удовлетворению нужд народного хозяйства.</w:t>
      </w:r>
    </w:p>
    <w:p w14:paraId="5ABCE3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числу основных и наиболее трудоемких работ этой категории следует отнести:</w:t>
      </w:r>
    </w:p>
    <w:p w14:paraId="1B6DAD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перевооружение импортных самолетов "Бостон" (завод № 456) и изготовление для этой цели аг</w:t>
      </w:r>
      <w:r w:rsidRPr="00925F26">
        <w:rPr>
          <w:color w:val="000000" w:themeColor="text1"/>
          <w:sz w:val="16"/>
          <w:szCs w:val="16"/>
        </w:rPr>
        <w:softHyphen/>
        <w:t>регатов и деталей заводами №№ 23, 30, 125 и 456,</w:t>
      </w:r>
    </w:p>
    <w:p w14:paraId="5996BC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Постройку на заводе № 477 для НКВМФ 20 морских разведчиков Бе-4.</w:t>
      </w:r>
    </w:p>
    <w:p w14:paraId="06D7BB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Сборку Ил-4 и Ер-2 на заводе 456, изготовленных заводами 126 и 39</w:t>
      </w:r>
    </w:p>
    <w:p w14:paraId="1D30DD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Перевооружение для ВВС ДВФ на заводе 83 150 И-16 и кап. ремонт 254 Ил-2</w:t>
      </w:r>
    </w:p>
    <w:p w14:paraId="76BB1F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Перевооружение 750 Ил-2 с РО-82 на РО-132</w:t>
      </w:r>
    </w:p>
    <w:p w14:paraId="03C68D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 Переоборудование заводом № 84 десяти десантно-транспортных самолетов С-47 в штабные и пасса</w:t>
      </w:r>
      <w:r w:rsidRPr="00925F26">
        <w:rPr>
          <w:color w:val="000000" w:themeColor="text1"/>
          <w:sz w:val="16"/>
          <w:szCs w:val="16"/>
        </w:rPr>
        <w:softHyphen/>
        <w:t>жирские и 5 самолетов в варианте бензовозов.</w:t>
      </w:r>
    </w:p>
    <w:p w14:paraId="732A1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ж) Отработку и оборудование самолетов </w:t>
      </w:r>
      <w:proofErr w:type="gramStart"/>
      <w:r w:rsidRPr="00925F26">
        <w:rPr>
          <w:color w:val="000000" w:themeColor="text1"/>
          <w:sz w:val="16"/>
          <w:szCs w:val="16"/>
        </w:rPr>
        <w:t>Ли-2</w:t>
      </w:r>
      <w:proofErr w:type="gramEnd"/>
      <w:r w:rsidRPr="00925F26">
        <w:rPr>
          <w:color w:val="000000" w:themeColor="text1"/>
          <w:sz w:val="16"/>
          <w:szCs w:val="16"/>
        </w:rPr>
        <w:t xml:space="preserve"> и Ил-4 плямягасителями...</w:t>
      </w:r>
    </w:p>
    <w:p w14:paraId="30C162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 Изгоговление запасных частей и деталей для ремонта тракторов, автомобилей и электростан</w:t>
      </w:r>
      <w:r w:rsidRPr="00925F26">
        <w:rPr>
          <w:color w:val="000000" w:themeColor="text1"/>
          <w:sz w:val="16"/>
          <w:szCs w:val="16"/>
        </w:rPr>
        <w:softHyphen/>
        <w:t>ций и ряд других работ более мелкого порядка.</w:t>
      </w:r>
    </w:p>
    <w:p w14:paraId="05F13E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Опытные работы</w:t>
      </w:r>
    </w:p>
    <w:p w14:paraId="13073F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Наряду с серийным производством, большинство основных заводов ГУ в течение 1944 провели значительное количество опытных работ, из которых, как основные, следует отметить следующие:</w:t>
      </w:r>
    </w:p>
    <w:p w14:paraId="18207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Постройка на заводе 22 по чертежам ГК В.М.М. и передача на гос. испытания двух е-2И с ВК-107А типа Москито с повышенными летно-тактическими и аэродинамическими данными от серийного Пе-2 (увеличение скорости на 126 км/час т бомбовой нагрузки на 1000 кг против Пе-2).</w:t>
      </w:r>
    </w:p>
    <w:p w14:paraId="312D9A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Параллельно с постройкой опытных экз. завод отработал серийную технологию по изготовлению Пе-2И, а также спроектировал и изготовил оснастку нулевой очереди.</w:t>
      </w:r>
    </w:p>
    <w:p w14:paraId="3D7D22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Постройка на этом же заводе опытного Пе02 с 2хВК-108 по чертежам ГК В.М.М.</w:t>
      </w:r>
    </w:p>
    <w:p w14:paraId="04A605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Проектирование, постройка и передача на гос. испытания заводом 84 нового пассажирского Ли-2 с АШ-82ФН с повышенной скоростью против старого типа Ли-2</w:t>
      </w:r>
    </w:p>
    <w:p w14:paraId="702B14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Постройка на заводе 477 по чертежам ГК Бериева ЛЛ-149 с 2хАШ-73. Постройка этой машины закончена, но сдача на гос. испытания сдерживается из-за непоставки моторов.</w:t>
      </w:r>
    </w:p>
    <w:p w14:paraId="3FB937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Отработка и постройка на заводе 22 по чертежам ГК Незваль двух пе-8 в пассажирском варианте</w:t>
      </w:r>
    </w:p>
    <w:p w14:paraId="3FA49B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 Отработка и постройка на заводе 39 по чертежам ГК Ермолаева двух Ер-2 в пассажирском варианте.</w:t>
      </w:r>
    </w:p>
    <w:p w14:paraId="28F713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Интересно, что ничего не говорится про Ил-12</w:t>
      </w:r>
    </w:p>
    <w:p w14:paraId="29BC82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перечисленных работ по постройка новых типов самолетов, заводв, в течение 1944 г., провели ряд других опытных работ, как-то:</w:t>
      </w:r>
    </w:p>
    <w:p w14:paraId="3FDF21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выпуск партии самолетов Пе-2 с установкой для локализации пожаров о помощью углекислот.</w:t>
      </w:r>
    </w:p>
    <w:p w14:paraId="6E20BC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отрабогка пылеефильтров на самолете Пе-2.</w:t>
      </w:r>
    </w:p>
    <w:p w14:paraId="78E374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выпуск 20 машин Ту-2 с установкой ГП-6 от наддува.</w:t>
      </w:r>
    </w:p>
    <w:p w14:paraId="48EB51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отработка и выпузк 3-х самолетов ТУ-2 в разведывательном варианте.</w:t>
      </w:r>
    </w:p>
    <w:p w14:paraId="069841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отработка на отдельных машинах ТУ-2 отепления кабин, оборудования для ночных полетов, раздельно</w:t>
      </w:r>
      <w:r w:rsidRPr="00925F26">
        <w:rPr>
          <w:color w:val="000000" w:themeColor="text1"/>
          <w:sz w:val="16"/>
          <w:szCs w:val="16"/>
        </w:rPr>
        <w:softHyphen/>
        <w:t>го бензопитания, нового расположения радиостанции, доски пилота и т.д.</w:t>
      </w:r>
    </w:p>
    <w:p w14:paraId="1A1AF8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Все опытные работн, давшие положительное результаты, как правило, использовались в серийной производства, но </w:t>
      </w:r>
      <w:proofErr w:type="gramStart"/>
      <w:r w:rsidRPr="00925F26">
        <w:rPr>
          <w:color w:val="000000" w:themeColor="text1"/>
          <w:sz w:val="16"/>
          <w:szCs w:val="16"/>
        </w:rPr>
        <w:t>в отрогом</w:t>
      </w:r>
      <w:proofErr w:type="gramEnd"/>
      <w:r w:rsidRPr="00925F26">
        <w:rPr>
          <w:color w:val="000000" w:themeColor="text1"/>
          <w:sz w:val="16"/>
          <w:szCs w:val="16"/>
        </w:rPr>
        <w:t xml:space="preserve"> соответствии с приказом Народного номиосара №518, т.н. вводились в производство только после утвержде</w:t>
      </w:r>
      <w:r w:rsidRPr="00925F26">
        <w:rPr>
          <w:color w:val="000000" w:themeColor="text1"/>
          <w:sz w:val="16"/>
          <w:szCs w:val="16"/>
        </w:rPr>
        <w:softHyphen/>
        <w:t>ния всех результатов испытаний опытных образцов Главный Управлением и руководством Наркомата.</w:t>
      </w:r>
    </w:p>
    <w:p w14:paraId="17AB3C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КАЧЕСТВО ПРОДУКЦИИ</w:t>
      </w:r>
    </w:p>
    <w:p w14:paraId="1F3262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Вопросам качества продукции Главное Управление и ааводн, на протяжении всего отчетного года, уделяли со ключительное внимание.</w:t>
      </w:r>
    </w:p>
    <w:p w14:paraId="6B0046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Главным Управлением были разработаны и доведены до заводов указания о строжайшей соблюдении технологической </w:t>
      </w:r>
      <w:proofErr w:type="gramStart"/>
      <w:r w:rsidRPr="00925F26">
        <w:rPr>
          <w:color w:val="000000" w:themeColor="text1"/>
          <w:sz w:val="16"/>
          <w:szCs w:val="16"/>
        </w:rPr>
        <w:t>дисциплины.Был</w:t>
      </w:r>
      <w:proofErr w:type="gramEnd"/>
      <w:r w:rsidRPr="00925F26">
        <w:rPr>
          <w:color w:val="000000" w:themeColor="text1"/>
          <w:sz w:val="16"/>
          <w:szCs w:val="16"/>
        </w:rPr>
        <w:t xml:space="preserve"> четко и ясно установлен об"ем я хаоактер технологических изменений, какие'завод имел право прохо</w:t>
      </w:r>
      <w:r w:rsidRPr="00925F26">
        <w:rPr>
          <w:color w:val="000000" w:themeColor="text1"/>
          <w:sz w:val="16"/>
          <w:szCs w:val="16"/>
        </w:rPr>
        <w:softHyphen/>
        <w:t>дить самостоятельно и какие подлежали утверждению Главным Управлением, причем заводам вменялась в обязанность и в том и другом случае, при внедренин какого-либо изме</w:t>
      </w:r>
      <w:r w:rsidRPr="00925F26">
        <w:rPr>
          <w:color w:val="000000" w:themeColor="text1"/>
          <w:sz w:val="16"/>
          <w:szCs w:val="16"/>
        </w:rPr>
        <w:softHyphen/>
        <w:t>нения, проводить необходимые проверочные испытания.</w:t>
      </w:r>
    </w:p>
    <w:p w14:paraId="048ABF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этого мероприятия количество дефектов, связанных с заменой материалов и изменением режимов об</w:t>
      </w:r>
      <w:r w:rsidRPr="00925F26">
        <w:rPr>
          <w:color w:val="000000" w:themeColor="text1"/>
          <w:sz w:val="16"/>
          <w:szCs w:val="16"/>
        </w:rPr>
        <w:softHyphen/>
        <w:t>работки, по сравнению с 1943 г., значительно снизилось.</w:t>
      </w:r>
    </w:p>
    <w:p w14:paraId="59E726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базе выставки Главным Управлением в ближайшее время быдутпроведены совещания заводских работников по новейшим видам технологии производства, направленных на трудоемкости изделий и увеличение производительности труда.</w:t>
      </w:r>
    </w:p>
    <w:p w14:paraId="13AED6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Задачи на 1945</w:t>
      </w:r>
    </w:p>
    <w:p w14:paraId="356B62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Основными задачами аппарата и заводов Главного управления на 1945 г. в области производства и технологии надо считать:</w:t>
      </w:r>
    </w:p>
    <w:p w14:paraId="73BA4D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Обеспечение увеличения выпуска новых типов Ил-10, Ер-2 и Ту-2</w:t>
      </w:r>
    </w:p>
    <w:p w14:paraId="4D41F1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Работу по дальнейшему совершенствованию всех серийных машин, макс. улучшению их ЛТД при повседневной работе над улучшением качества производственного выполнения их на базе глубокого наблюдения и изучения состояния машин в эксплуатации.</w:t>
      </w:r>
    </w:p>
    <w:p w14:paraId="75CE79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Разработку и постройку, совместно с заводами и ОКБ, новых перспективных и вполне современных типов машин, с подготовкой к быстрому внедрению их в серийное производство.</w:t>
      </w:r>
    </w:p>
    <w:p w14:paraId="0D08E3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Максимальное использование мощностей заготовитель</w:t>
      </w:r>
      <w:r w:rsidRPr="00925F26">
        <w:rPr>
          <w:color w:val="000000" w:themeColor="text1"/>
          <w:sz w:val="16"/>
          <w:szCs w:val="16"/>
        </w:rPr>
        <w:softHyphen/>
        <w:t>ного и механического оборудования, усовершенство</w:t>
      </w:r>
      <w:r w:rsidRPr="00925F26">
        <w:rPr>
          <w:color w:val="000000" w:themeColor="text1"/>
          <w:sz w:val="16"/>
          <w:szCs w:val="16"/>
        </w:rPr>
        <w:softHyphen/>
        <w:t>вание технологических процессов заготовительных оиераций о тем, чтобы обеспечить рост и комплектность заделов по заводам в целом и создание страхо</w:t>
      </w:r>
      <w:r w:rsidRPr="00925F26">
        <w:rPr>
          <w:color w:val="000000" w:themeColor="text1"/>
          <w:sz w:val="16"/>
          <w:szCs w:val="16"/>
        </w:rPr>
        <w:softHyphen/>
        <w:t>вых запасов деталей на основных неточных и конвей</w:t>
      </w:r>
      <w:r w:rsidRPr="00925F26">
        <w:rPr>
          <w:color w:val="000000" w:themeColor="text1"/>
          <w:sz w:val="16"/>
          <w:szCs w:val="16"/>
        </w:rPr>
        <w:softHyphen/>
        <w:t>ерных линиях.</w:t>
      </w:r>
    </w:p>
    <w:p w14:paraId="290375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Борьбу за резкое сокращение брака путем серьезного - анализа причин и ликвидации повторяющихся в произ</w:t>
      </w:r>
      <w:r w:rsidRPr="00925F26">
        <w:rPr>
          <w:color w:val="000000" w:themeColor="text1"/>
          <w:sz w:val="16"/>
          <w:szCs w:val="16"/>
        </w:rPr>
        <w:softHyphen/>
        <w:t>водстве дефектов, повышения производственной дис</w:t>
      </w:r>
      <w:r w:rsidRPr="00925F26">
        <w:rPr>
          <w:color w:val="000000" w:themeColor="text1"/>
          <w:sz w:val="16"/>
          <w:szCs w:val="16"/>
        </w:rPr>
        <w:softHyphen/>
        <w:t>циплины, улучшения работы контрольного аппарата и обеспечения его необходимыми контрольно-измери</w:t>
      </w:r>
      <w:r w:rsidRPr="00925F26">
        <w:rPr>
          <w:color w:val="000000" w:themeColor="text1"/>
          <w:sz w:val="16"/>
          <w:szCs w:val="16"/>
        </w:rPr>
        <w:softHyphen/>
        <w:t>тельными приборами и инструментам.</w:t>
      </w:r>
    </w:p>
    <w:p w14:paraId="04B618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Строжайшее наблюдение за комплектацией заводов готовыми изделиями с целью нормальной обеспеченнос</w:t>
      </w:r>
      <w:r w:rsidRPr="00925F26">
        <w:rPr>
          <w:color w:val="000000" w:themeColor="text1"/>
          <w:sz w:val="16"/>
          <w:szCs w:val="16"/>
        </w:rPr>
        <w:softHyphen/>
        <w:t>ти ими заводов и недопущения образования наликвид</w:t>
      </w:r>
      <w:r w:rsidRPr="00925F26">
        <w:rPr>
          <w:color w:val="000000" w:themeColor="text1"/>
          <w:sz w:val="16"/>
          <w:szCs w:val="16"/>
        </w:rPr>
        <w:softHyphen/>
        <w:t>ных остатков.</w:t>
      </w:r>
    </w:p>
    <w:p w14:paraId="58D20B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Организация новых поточных линий с охватом, в первую очередь, монтажно-сборочных работ по окон</w:t>
      </w:r>
      <w:r w:rsidRPr="00925F26">
        <w:rPr>
          <w:color w:val="000000" w:themeColor="text1"/>
          <w:sz w:val="16"/>
          <w:szCs w:val="16"/>
        </w:rPr>
        <w:softHyphen/>
        <w:t>чательной сборке ыаиины, внеотапельных и клепаль-но-оборочных работ в агрегатных цехах, узловой оборки и монтажно-сборочных работ в механосборочных цехах.</w:t>
      </w:r>
    </w:p>
    <w:p w14:paraId="0D20FA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Максимальная механизация межцехового и межкорпус</w:t>
      </w:r>
      <w:r w:rsidRPr="00925F26">
        <w:rPr>
          <w:color w:val="000000" w:themeColor="text1"/>
          <w:sz w:val="16"/>
          <w:szCs w:val="16"/>
        </w:rPr>
        <w:softHyphen/>
        <w:t xml:space="preserve">ного внутризаводского транспорта </w:t>
      </w:r>
      <w:proofErr w:type="gramStart"/>
      <w:r w:rsidRPr="00925F26">
        <w:rPr>
          <w:color w:val="000000" w:themeColor="text1"/>
          <w:sz w:val="16"/>
          <w:szCs w:val="16"/>
        </w:rPr>
        <w:t>о организацией</w:t>
      </w:r>
      <w:proofErr w:type="gramEnd"/>
      <w:r w:rsidRPr="00925F26">
        <w:rPr>
          <w:color w:val="000000" w:themeColor="text1"/>
          <w:sz w:val="16"/>
          <w:szCs w:val="16"/>
        </w:rPr>
        <w:t>' транспортной службы.</w:t>
      </w:r>
    </w:p>
    <w:p w14:paraId="452605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Создание транспортных устройств в существующих малярно-сушильных камерах.</w:t>
      </w:r>
    </w:p>
    <w:p w14:paraId="5EB41A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По механической обработке - создание предметных</w:t>
      </w:r>
    </w:p>
    <w:p w14:paraId="3E5785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 xml:space="preserve">технологически замкнутых механосборочных цехов </w:t>
      </w:r>
      <w:proofErr w:type="gramStart"/>
      <w:r w:rsidRPr="00925F26">
        <w:rPr>
          <w:color w:val="000000" w:themeColor="text1"/>
          <w:sz w:val="16"/>
          <w:szCs w:val="16"/>
        </w:rPr>
        <w:t>и )</w:t>
      </w:r>
      <w:proofErr w:type="gramEnd"/>
      <w:r w:rsidRPr="00925F26">
        <w:rPr>
          <w:color w:val="000000" w:themeColor="text1"/>
          <w:sz w:val="16"/>
          <w:szCs w:val="16"/>
        </w:rPr>
        <w:t xml:space="preserve"> организация заготовительно-сбдирочных цехов.</w:t>
      </w:r>
    </w:p>
    <w:p w14:paraId="3EA8EB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По заготовительно-яташювочным работам: дальнейшая механизация заготовительно-штампоЕОЧннх работ и приведение всей номенклатуры в заготовительно-раскроечных цехах н технологическим наборам.</w:t>
      </w:r>
    </w:p>
    <w:p w14:paraId="715C4D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12. Расширение литья в кокиль и под давлением, а также механизация литейных </w:t>
      </w:r>
      <w:proofErr w:type="gramStart"/>
      <w:r w:rsidRPr="00925F26">
        <w:rPr>
          <w:color w:val="000000" w:themeColor="text1"/>
          <w:sz w:val="16"/>
          <w:szCs w:val="16"/>
        </w:rPr>
        <w:t>цехов .</w:t>
      </w:r>
      <w:proofErr w:type="gramEnd"/>
    </w:p>
    <w:p w14:paraId="7D291F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13. Механизация </w:t>
      </w:r>
      <w:proofErr w:type="gramStart"/>
      <w:r w:rsidRPr="00925F26">
        <w:rPr>
          <w:color w:val="000000" w:themeColor="text1"/>
          <w:sz w:val="16"/>
          <w:szCs w:val="16"/>
        </w:rPr>
        <w:t>гальвано-покрытий</w:t>
      </w:r>
      <w:proofErr w:type="gramEnd"/>
      <w:r w:rsidRPr="00925F26">
        <w:rPr>
          <w:color w:val="000000" w:themeColor="text1"/>
          <w:sz w:val="16"/>
          <w:szCs w:val="16"/>
        </w:rPr>
        <w:t xml:space="preserve"> и анодирование пе</w:t>
      </w:r>
      <w:r w:rsidRPr="00925F26">
        <w:rPr>
          <w:color w:val="000000" w:themeColor="text1"/>
          <w:sz w:val="16"/>
          <w:szCs w:val="16"/>
        </w:rPr>
        <w:softHyphen/>
        <w:t>ременным током и</w:t>
      </w:r>
    </w:p>
    <w:p w14:paraId="2DAD58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По термическим цехам - применение кратковременного отпуска для дюралюминиевых заготовок перед штамповкой.</w:t>
      </w:r>
    </w:p>
    <w:p w14:paraId="6E3BD5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ОБОРУДОВАНИЕ И ЭНЕРГОСНАВЖЕНИЕ</w:t>
      </w:r>
    </w:p>
    <w:p w14:paraId="086FDA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1.НАЛИЧИЕ ОБОРУДОВАНЛЯ Н ЕГО ИСПОЛЬЗОВАНИЕ</w:t>
      </w:r>
    </w:p>
    <w:p w14:paraId="461C59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 января 1944 г. наличный парк ноах видов обору</w:t>
      </w:r>
      <w:r w:rsidRPr="00925F26">
        <w:rPr>
          <w:color w:val="000000" w:themeColor="text1"/>
          <w:sz w:val="16"/>
          <w:szCs w:val="16"/>
        </w:rPr>
        <w:softHyphen/>
        <w:t>дования (металлорежущего, кузнечно-презэового, депево-обрабатыващего и заготовительного), по всем заводам Главного Управления составлял 20.472 единицы.</w:t>
      </w:r>
    </w:p>
    <w:p w14:paraId="48A62B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отчетного года было введено в эксплоатацию еще 56З единицы и наличный парк оборудования, на 1 января 1944 г., был доведен до 51.035 единиц (2482).</w:t>
      </w:r>
    </w:p>
    <w:p w14:paraId="29CDB3B0" w14:textId="77777777" w:rsidR="00665165" w:rsidRPr="00925F26" w:rsidRDefault="00665165" w:rsidP="00925F26">
      <w:pPr>
        <w:autoSpaceDE w:val="0"/>
        <w:autoSpaceDN w:val="0"/>
        <w:adjustRightInd w:val="0"/>
        <w:jc w:val="both"/>
        <w:rPr>
          <w:color w:val="000000" w:themeColor="text1"/>
          <w:sz w:val="16"/>
          <w:szCs w:val="16"/>
        </w:rPr>
      </w:pPr>
    </w:p>
    <w:p w14:paraId="537342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года Дементьев писал письмо N Н-35/1710 зам. наркома ВМФ адмиралу Галлеру.</w:t>
      </w:r>
    </w:p>
    <w:p w14:paraId="07C541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распоряжению ГОКО от 17 марта 1945 года N 7861сс НИИ-1 НКАП проводит срочную работу для ВМФ по торпеде РАТ.</w:t>
      </w:r>
    </w:p>
    <w:p w14:paraId="35650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Ввиду сжатости сроков и малому количеству специалистов-торпедистов в НИИ-1 выполнение задания в срок для НИИ-1 чрезвычайно затруднительно.</w:t>
      </w:r>
    </w:p>
    <w:p w14:paraId="7F508B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Вас оказать содействие в выполнении упомянутой работы срочно командировав в НИИ-1 на срок до 1 июля 1945 года следующих конструкторов-торпедистов, находящихся в рядах ВМФ: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4ACCCEEC" w14:textId="77777777">
        <w:tc>
          <w:tcPr>
            <w:tcW w:w="5636" w:type="dxa"/>
          </w:tcPr>
          <w:p w14:paraId="500DE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Обрядин Иван Романович</w:t>
            </w:r>
          </w:p>
        </w:tc>
        <w:tc>
          <w:tcPr>
            <w:tcW w:w="5636" w:type="dxa"/>
          </w:tcPr>
          <w:p w14:paraId="41468E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мл. техник-лейтенант </w:t>
            </w:r>
          </w:p>
        </w:tc>
      </w:tr>
      <w:tr w:rsidR="000F5689" w:rsidRPr="00925F26" w14:paraId="79AFE3D3" w14:textId="77777777">
        <w:tc>
          <w:tcPr>
            <w:tcW w:w="5636" w:type="dxa"/>
          </w:tcPr>
          <w:p w14:paraId="2E2B161E" w14:textId="77777777" w:rsidR="00665165" w:rsidRPr="00925F26" w:rsidRDefault="00665165" w:rsidP="00925F26">
            <w:pPr>
              <w:autoSpaceDE w:val="0"/>
              <w:autoSpaceDN w:val="0"/>
              <w:adjustRightInd w:val="0"/>
              <w:jc w:val="both"/>
              <w:rPr>
                <w:color w:val="000000" w:themeColor="text1"/>
                <w:sz w:val="16"/>
                <w:szCs w:val="16"/>
              </w:rPr>
            </w:pPr>
          </w:p>
        </w:tc>
        <w:tc>
          <w:tcPr>
            <w:tcW w:w="5636" w:type="dxa"/>
          </w:tcPr>
          <w:p w14:paraId="45FC43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полевая почта N 22960</w:t>
            </w:r>
          </w:p>
        </w:tc>
      </w:tr>
      <w:tr w:rsidR="000F5689" w:rsidRPr="00925F26" w14:paraId="03A90540" w14:textId="77777777">
        <w:tc>
          <w:tcPr>
            <w:tcW w:w="5636" w:type="dxa"/>
          </w:tcPr>
          <w:p w14:paraId="6BC40E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Пашуков Юрий Владимирович</w:t>
            </w:r>
          </w:p>
        </w:tc>
        <w:tc>
          <w:tcPr>
            <w:tcW w:w="5636" w:type="dxa"/>
          </w:tcPr>
          <w:p w14:paraId="5B707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лейтенант, полевая</w:t>
            </w:r>
          </w:p>
        </w:tc>
      </w:tr>
      <w:tr w:rsidR="000F5689" w:rsidRPr="00925F26" w14:paraId="3999A9C4" w14:textId="77777777">
        <w:tc>
          <w:tcPr>
            <w:tcW w:w="5636" w:type="dxa"/>
          </w:tcPr>
          <w:p w14:paraId="063B10DD" w14:textId="77777777" w:rsidR="00665165" w:rsidRPr="00925F26" w:rsidRDefault="00665165" w:rsidP="00925F26">
            <w:pPr>
              <w:autoSpaceDE w:val="0"/>
              <w:autoSpaceDN w:val="0"/>
              <w:adjustRightInd w:val="0"/>
              <w:jc w:val="both"/>
              <w:rPr>
                <w:color w:val="000000" w:themeColor="text1"/>
                <w:sz w:val="16"/>
                <w:szCs w:val="16"/>
              </w:rPr>
            </w:pPr>
          </w:p>
        </w:tc>
        <w:tc>
          <w:tcPr>
            <w:tcW w:w="5636" w:type="dxa"/>
          </w:tcPr>
          <w:p w14:paraId="2302B2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почта N 59187</w:t>
            </w:r>
          </w:p>
        </w:tc>
      </w:tr>
      <w:tr w:rsidR="000F5689" w:rsidRPr="00925F26" w14:paraId="1AF152C5" w14:textId="77777777">
        <w:tc>
          <w:tcPr>
            <w:tcW w:w="5636" w:type="dxa"/>
          </w:tcPr>
          <w:p w14:paraId="5712A8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Гурьянов Василий Никитич</w:t>
            </w:r>
          </w:p>
        </w:tc>
        <w:tc>
          <w:tcPr>
            <w:tcW w:w="5636" w:type="dxa"/>
          </w:tcPr>
          <w:p w14:paraId="01E3C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лейтенант, полевая</w:t>
            </w:r>
          </w:p>
        </w:tc>
      </w:tr>
      <w:tr w:rsidR="000F5689" w:rsidRPr="00925F26" w14:paraId="191A7404" w14:textId="77777777">
        <w:tc>
          <w:tcPr>
            <w:tcW w:w="5636" w:type="dxa"/>
          </w:tcPr>
          <w:p w14:paraId="37010704" w14:textId="77777777" w:rsidR="00665165" w:rsidRPr="00925F26" w:rsidRDefault="00665165" w:rsidP="00925F26">
            <w:pPr>
              <w:autoSpaceDE w:val="0"/>
              <w:autoSpaceDN w:val="0"/>
              <w:adjustRightInd w:val="0"/>
              <w:jc w:val="both"/>
              <w:rPr>
                <w:color w:val="000000" w:themeColor="text1"/>
                <w:sz w:val="16"/>
                <w:szCs w:val="16"/>
              </w:rPr>
            </w:pPr>
          </w:p>
        </w:tc>
        <w:tc>
          <w:tcPr>
            <w:tcW w:w="5636" w:type="dxa"/>
          </w:tcPr>
          <w:p w14:paraId="3D76FE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почта N 59187</w:t>
            </w:r>
          </w:p>
        </w:tc>
      </w:tr>
      <w:tr w:rsidR="000F5689" w:rsidRPr="00925F26" w14:paraId="540FFA83" w14:textId="77777777">
        <w:tc>
          <w:tcPr>
            <w:tcW w:w="5636" w:type="dxa"/>
          </w:tcPr>
          <w:p w14:paraId="26E179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Топуридзе Мурман Варламович</w:t>
            </w:r>
          </w:p>
        </w:tc>
        <w:tc>
          <w:tcPr>
            <w:tcW w:w="5636" w:type="dxa"/>
          </w:tcPr>
          <w:p w14:paraId="3311FC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старшина 1-й статьи</w:t>
            </w:r>
          </w:p>
        </w:tc>
      </w:tr>
      <w:tr w:rsidR="000F5689" w:rsidRPr="00925F26" w14:paraId="5319E905" w14:textId="77777777">
        <w:tc>
          <w:tcPr>
            <w:tcW w:w="5636" w:type="dxa"/>
          </w:tcPr>
          <w:p w14:paraId="040A48CA" w14:textId="77777777" w:rsidR="00665165" w:rsidRPr="00925F26" w:rsidRDefault="00665165" w:rsidP="00925F26">
            <w:pPr>
              <w:autoSpaceDE w:val="0"/>
              <w:autoSpaceDN w:val="0"/>
              <w:adjustRightInd w:val="0"/>
              <w:jc w:val="both"/>
              <w:rPr>
                <w:color w:val="000000" w:themeColor="text1"/>
                <w:sz w:val="16"/>
                <w:szCs w:val="16"/>
              </w:rPr>
            </w:pPr>
          </w:p>
        </w:tc>
        <w:tc>
          <w:tcPr>
            <w:tcW w:w="5636" w:type="dxa"/>
          </w:tcPr>
          <w:p w14:paraId="19970E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полевая почта N 59187</w:t>
            </w:r>
          </w:p>
        </w:tc>
      </w:tr>
    </w:tbl>
    <w:p w14:paraId="240D42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Последние три товарища находятся в настоящее время в отпуске в Москве.</w:t>
      </w:r>
    </w:p>
    <w:p w14:paraId="2BB09E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 Вашем решении прошу меня уведомить (2595).</w:t>
      </w:r>
    </w:p>
    <w:p w14:paraId="31C237A4" w14:textId="77777777" w:rsidR="00665165" w:rsidRPr="00925F26" w:rsidRDefault="00665165" w:rsidP="00925F26">
      <w:pPr>
        <w:autoSpaceDE w:val="0"/>
        <w:autoSpaceDN w:val="0"/>
        <w:adjustRightInd w:val="0"/>
        <w:jc w:val="both"/>
        <w:rPr>
          <w:color w:val="000000" w:themeColor="text1"/>
          <w:sz w:val="16"/>
          <w:szCs w:val="16"/>
        </w:rPr>
      </w:pPr>
    </w:p>
    <w:p w14:paraId="02DD6E6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3E19833" w14:textId="77777777" w:rsidR="00665165" w:rsidRPr="00925F26" w:rsidRDefault="00665165" w:rsidP="00925F26">
      <w:pPr>
        <w:autoSpaceDE w:val="0"/>
        <w:autoSpaceDN w:val="0"/>
        <w:adjustRightInd w:val="0"/>
        <w:jc w:val="both"/>
        <w:rPr>
          <w:iCs/>
          <w:color w:val="000000" w:themeColor="text1"/>
          <w:sz w:val="16"/>
          <w:szCs w:val="16"/>
        </w:rPr>
      </w:pPr>
    </w:p>
    <w:p w14:paraId="00989F25"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период с 11 апреля по 8 мая 1945 года прошли испытания обстрелом корпусов завода №200 и УЗТМ. Эти испытания весьма противоречиво описываются в отечественной литературе — то ли они прошли с полным успехом, то ли провалились. На самом деле была целая масса нюансов. Во-первых, испытывались корпуса двух заводов, а это означает, что результаты получались разными. Во-вторых, корпуса и башни изготовлялись по техническим условиям, которые приняли для первых пяти корпусов и башен. Уже к марту ТУ изменились в сторону усиления.</w:t>
      </w:r>
    </w:p>
    <w:p w14:paraId="7A1E04E7"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Самым важным вопросом, который часто поднимается, является стойкость носовой детали корпуса. Обстреливали корпуса 122-мм остроголовыми бронебойными снарядами. При курсе 0 градусов снаряды не смогли пробить лоб корпуса на дистанции 200 м. Более того, специально одно попадание было сделано точно в соединение двух листов, и сварные швы выдержали. Пробитие же происходило при курсовых углах 320 и 40 градусов, на дистанции 900 м и ближе. 88-мм снаряд смог пробить нижний кормовой лист на дистанции 300 м. На дистанции 200 м немецкий снаряд не смог пробить верхний бортовой лист корпуса.</w:t>
      </w:r>
    </w:p>
    <w:p w14:paraId="6CAF04E3"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Откуда же появились фотографии разбитого корпуса ИС-3? Ответ прост — это корпус УЗТМ. Качество сварных соединений признали неудовлетворительным, именно этот корпус и разошёлся по швам. От УЗТМ потребовали улучшить ситуация со сварными швами. Заводу №200 также досталось с точки зрения качества сварных швов. Тем не менее, испытания показали главное — 88-мм снаряд пушки Pak 43 верхнюю лобовую деталь корпуса не пробивает на всех углах. Уязвимым местом являлся люк механика-водителя. Вместе с тем, на НИБТ Полигоне отмечали, что корпус ИС-3 по стойкости уступает корпусу Объекта 701. В этом и кроется причина такой настойчивости в предложении принять Объект 701 на вооружение.</w:t>
      </w:r>
    </w:p>
    <w:p w14:paraId="115B5767"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Гораздо хуже показала себя башня. Аналогично башне ИС-2, она изготовлялась из стали 70Л — другой вопрос, что башня ИС-3 имела дифференцированную толщину брони, а это повлияло на её свойство. Ещё до начала испытаний на башне УЗТМ обнаружились трещины, а итоги испытаний обстрелом уже указывались. От завода потребовали запретить практику запуска производства без участия НИИ-48, последнему дали указание срочно подобрать тип литой брони. Одним словом, столь часто обсуждаемый отчёт по бстрелу — это фактически обстрел опытных корпусов и башен. Он не соответствует тем корпусам и башням, что пошли в крупную серию. Самое же главное, что даже в марте была собрана первая машина, имевшая отличия от первых восьми танков. Девятый танк получил люк механика-водителя, который получился на 60 мм шире; изменили крепление КПП на постаменте; улучшили жалюзи надмоторной плиты; поставили новую моторную перегородку и т.д. И это еще не всё: с первой серийной машины толщина крыши отделения управления увеличилась до 30 мм; перенесли рацию; улучшили прибор наблюдения заряжающего и установку прицела; переделали люк командира; поставили защиту вентилятора башни; улучшили ситуацию с местом механика-водителя. Всего с первого серийного экземпляра в машину внесли более десятка различных улучшений.</w:t>
      </w:r>
    </w:p>
    <w:p w14:paraId="7834C349"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совместных работ с НИИ-48 была внедрена новая марка стали — 66ЛМ. Внедрили её на УЗТМ с мая 1945 года. Все 109 башен, сданные заводом в мае 1945 года, были из новой стали. Параллельно шли работы и на заводе №200. Особое внимание в Челябинске обратили на качество сварных швов. Стоит отметить, что в апреле 1945 года на заводе №200 отмечали трещины в лобовой части башни. Вместе с тем, ещё с апреля 1945 года на заводе №200 внедрили новую сталь — 73Л. Из 34 башен, изготовленных в апреле 1945 года, 24 было как раз из стали 73Л. С 26 апреля внедрили новую технологию обработки башен, по ней изготовили 11 башен. Вместе с тем, сталь 73Л продержалась совсем недолго: 26 апреля НКТП принял решение, что и завод №200 будет выпускать башни из стали 66ЛМ. В связи с требованиями о повышении качества деталей вместо 90 комплектов корпусов и башен ИС-3 завод №200 за май 1945 года сдал 56 штук. Как можно заметить по этим работам, уже к маю 1945 года ИС-3 имел корпуса и башни, обладавшие рядом отличий от тех, что обстреливали в апреле месяце.</w:t>
      </w:r>
    </w:p>
    <w:p w14:paraId="1B34C28E"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Пока корпусные заводы бились над повышением качества своей продукции, на ЧКЗ вовсю готовились к выпуску нового танка. Параллельно отрабатывались улучшения конструкции, для чего испытывался танк №9 (703-67009). Одним из проблемных мест оставался тепловой режим, выходивший за рамки допустимых значений. По этой причине максимальная скорость танка была ограничена. В результате апрельскую программу завод начал выполнять только 20 апреля (19731).</w:t>
      </w:r>
    </w:p>
    <w:p w14:paraId="52187EF4" w14:textId="77777777" w:rsidR="00C116C3" w:rsidRPr="00925F26" w:rsidRDefault="00C116C3" w:rsidP="00925F26">
      <w:pPr>
        <w:pStyle w:val="ae"/>
        <w:shd w:val="clear" w:color="auto" w:fill="FFFFFF"/>
        <w:spacing w:before="0" w:after="0"/>
        <w:jc w:val="both"/>
        <w:textAlignment w:val="baseline"/>
        <w:rPr>
          <w:color w:val="000000" w:themeColor="text1"/>
          <w:sz w:val="16"/>
          <w:szCs w:val="16"/>
        </w:rPr>
      </w:pPr>
    </w:p>
    <w:p w14:paraId="10CB276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вышло № 8064 [Удостоверение первого заместителя уполномоченного Особого комитета при ГКО на 1-м УФ Коваля К.И.] (7323, 65).</w:t>
      </w:r>
    </w:p>
    <w:p w14:paraId="5CB3E00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BA55FA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вышло Распоряжение ГКО № 8065 [О передаче здания школы в Уфе НКпросу РСФСР.] (7323, 66).</w:t>
      </w:r>
    </w:p>
    <w:p w14:paraId="12545D7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99294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года И.В. Курчатов представил анализ ряда материалов, полученных разведкой в конце 1944 года и содержащих разнообразную информацию об американском атомном проекте, относящуюся к различным моментам времени. Материалы были разделены им на следующие группы: технологические и химические вопросы; уран-графитовый котел; котел на уране и тяжелой воде; работы одной из лабораторий США в 1943-1944 годах; разные работы (10549).</w:t>
      </w:r>
    </w:p>
    <w:p w14:paraId="17596B12" w14:textId="77777777" w:rsidR="00665165" w:rsidRPr="00925F26" w:rsidRDefault="00665165" w:rsidP="00925F26">
      <w:pPr>
        <w:autoSpaceDE w:val="0"/>
        <w:autoSpaceDN w:val="0"/>
        <w:adjustRightInd w:val="0"/>
        <w:jc w:val="both"/>
        <w:rPr>
          <w:color w:val="000000" w:themeColor="text1"/>
          <w:sz w:val="16"/>
          <w:szCs w:val="16"/>
        </w:rPr>
      </w:pPr>
    </w:p>
    <w:p w14:paraId="5C6D4B7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7F4B100" w14:textId="77777777" w:rsidR="00665165" w:rsidRPr="00925F26" w:rsidRDefault="00665165" w:rsidP="00925F26">
      <w:pPr>
        <w:autoSpaceDE w:val="0"/>
        <w:autoSpaceDN w:val="0"/>
        <w:adjustRightInd w:val="0"/>
        <w:jc w:val="both"/>
        <w:rPr>
          <w:iCs/>
          <w:color w:val="000000" w:themeColor="text1"/>
          <w:sz w:val="16"/>
          <w:szCs w:val="16"/>
        </w:rPr>
      </w:pPr>
    </w:p>
    <w:p w14:paraId="3137439D" w14:textId="77777777" w:rsidR="00371372" w:rsidRPr="00925F26" w:rsidRDefault="00371372" w:rsidP="00925F26">
      <w:pPr>
        <w:jc w:val="both"/>
        <w:rPr>
          <w:color w:val="000000" w:themeColor="text1"/>
          <w:sz w:val="16"/>
          <w:szCs w:val="16"/>
        </w:rPr>
      </w:pPr>
      <w:r w:rsidRPr="00925F26">
        <w:rPr>
          <w:color w:val="000000" w:themeColor="text1"/>
          <w:sz w:val="16"/>
          <w:szCs w:val="16"/>
        </w:rPr>
        <w:t>11 апреля в 1945 году оперативная сводка Совинформбюро:</w:t>
      </w:r>
    </w:p>
    <w:p w14:paraId="3029A61E" w14:textId="77777777" w:rsidR="00371372" w:rsidRPr="00925F26" w:rsidRDefault="00371372" w:rsidP="00925F26">
      <w:pPr>
        <w:jc w:val="both"/>
        <w:rPr>
          <w:color w:val="000000" w:themeColor="text1"/>
          <w:sz w:val="16"/>
          <w:szCs w:val="16"/>
        </w:rPr>
      </w:pPr>
      <w:r w:rsidRPr="00925F26">
        <w:rPr>
          <w:color w:val="000000" w:themeColor="text1"/>
          <w:sz w:val="16"/>
          <w:szCs w:val="16"/>
        </w:rPr>
        <w:t>«В течение 11 апреля в полосе Карпат, западнее города Ружомберок, наши войска, наступая совместно с чехословацкими и румынскими войсками, с боями заняли город и железнодорожную станцию Святой Мартин, узловую железнодорожную станцию Врутки и более 40 других населённых пунктов, в том числе Шутозо, Ратково, Турани, Сучаны, Дражковце, Забарье, Жабокрени, Бистричка, Требостово, Прибовце, Валча, Лазаны, Врицко.</w:t>
      </w:r>
    </w:p>
    <w:p w14:paraId="48D69CB2" w14:textId="77777777" w:rsidR="00371372" w:rsidRPr="00925F26" w:rsidRDefault="00371372" w:rsidP="00925F26">
      <w:pPr>
        <w:jc w:val="both"/>
        <w:rPr>
          <w:color w:val="000000" w:themeColor="text1"/>
          <w:sz w:val="16"/>
          <w:szCs w:val="16"/>
        </w:rPr>
      </w:pPr>
      <w:r w:rsidRPr="00925F26">
        <w:rPr>
          <w:color w:val="000000" w:themeColor="text1"/>
          <w:sz w:val="16"/>
          <w:szCs w:val="16"/>
        </w:rPr>
        <w:t>Северо-западнее Братиславы войска 2-го Украинского фронта, продолжая наступление к западу от реки Моравы, заняли на территории Австрии населённые пункты Дюрнкрут, Штилльфрид, Оллерсдорф, Вейдендорф, Эбенталь, Проттес, Орельм, Шпаннберг, Мацен, Раггендорф, Рейерсдорф.</w:t>
      </w:r>
    </w:p>
    <w:p w14:paraId="6C4643A9" w14:textId="77777777" w:rsidR="00371372" w:rsidRPr="00925F26" w:rsidRDefault="00371372" w:rsidP="00925F26">
      <w:pPr>
        <w:jc w:val="both"/>
        <w:rPr>
          <w:color w:val="000000" w:themeColor="text1"/>
          <w:sz w:val="16"/>
          <w:szCs w:val="16"/>
        </w:rPr>
      </w:pPr>
      <w:r w:rsidRPr="00925F26">
        <w:rPr>
          <w:color w:val="000000" w:themeColor="text1"/>
          <w:sz w:val="16"/>
          <w:szCs w:val="16"/>
        </w:rPr>
        <w:t>В Вене войска 3-го Украинского фронта, форсировав Дунайский канал, овладели юго-восточной половиной городского района, расположенного между каналом и рекой Дунай. В боях за 10 апреля войска фронта взяли в плен более 2.400 солдат и офицеров противника и захватили следующие трофеи: самолётов — 25, танков и самоходных орудий — 39, бронетранспортёров — 21, полевых орудий — 38, пулемётов — 282.</w:t>
      </w:r>
    </w:p>
    <w:p w14:paraId="5E9E92EB" w14:textId="77777777" w:rsidR="00371372" w:rsidRPr="00925F26" w:rsidRDefault="00371372" w:rsidP="00925F26">
      <w:pPr>
        <w:jc w:val="both"/>
        <w:rPr>
          <w:color w:val="000000" w:themeColor="text1"/>
          <w:sz w:val="16"/>
          <w:szCs w:val="16"/>
        </w:rPr>
      </w:pPr>
      <w:r w:rsidRPr="00925F26">
        <w:rPr>
          <w:color w:val="000000" w:themeColor="text1"/>
          <w:sz w:val="16"/>
          <w:szCs w:val="16"/>
        </w:rPr>
        <w:t>На остальных участках фронта — существенных изменений не произошло.</w:t>
      </w:r>
    </w:p>
    <w:p w14:paraId="04772A33" w14:textId="77777777" w:rsidR="00371372" w:rsidRPr="00925F26" w:rsidRDefault="00371372" w:rsidP="00925F26">
      <w:pPr>
        <w:jc w:val="both"/>
        <w:rPr>
          <w:color w:val="000000" w:themeColor="text1"/>
          <w:sz w:val="16"/>
          <w:szCs w:val="16"/>
        </w:rPr>
      </w:pPr>
      <w:r w:rsidRPr="00925F26">
        <w:rPr>
          <w:color w:val="000000" w:themeColor="text1"/>
          <w:sz w:val="16"/>
          <w:szCs w:val="16"/>
        </w:rPr>
        <w:t>За 10 апреля подбито и уничтожено 13 немецких танков. В воздушных боях и огнём зенитной артиллерии сбито 16 самолётов противника.</w:t>
      </w:r>
    </w:p>
    <w:p w14:paraId="6A9A9E6C" w14:textId="77777777" w:rsidR="00371372" w:rsidRPr="00925F26" w:rsidRDefault="00371372" w:rsidP="00925F26">
      <w:pPr>
        <w:jc w:val="both"/>
        <w:rPr>
          <w:color w:val="000000" w:themeColor="text1"/>
          <w:sz w:val="16"/>
          <w:szCs w:val="16"/>
        </w:rPr>
      </w:pPr>
      <w:r w:rsidRPr="00925F26">
        <w:rPr>
          <w:color w:val="000000" w:themeColor="text1"/>
          <w:sz w:val="16"/>
          <w:szCs w:val="16"/>
        </w:rPr>
        <w:lastRenderedPageBreak/>
        <w:t>В ночь на 11-е и днём 11-го апреля наши тяжёлые бомбардировщики наносили удары по военно-промышленным объектам противника в городе Бреслау. В результате бомбардировки возникло большое число пожаров, сопровождавшихся взрывами.</w:t>
      </w:r>
    </w:p>
    <w:p w14:paraId="48BC8268" w14:textId="77777777" w:rsidR="00371372" w:rsidRPr="00925F26" w:rsidRDefault="00371372" w:rsidP="00925F26">
      <w:pPr>
        <w:jc w:val="both"/>
        <w:rPr>
          <w:color w:val="000000" w:themeColor="text1"/>
          <w:sz w:val="16"/>
          <w:szCs w:val="16"/>
        </w:rPr>
      </w:pPr>
      <w:r w:rsidRPr="00925F26">
        <w:rPr>
          <w:color w:val="000000" w:themeColor="text1"/>
          <w:sz w:val="16"/>
          <w:szCs w:val="16"/>
        </w:rPr>
        <w:t>Западнее города Ружомберок наши войска, совместно с чехословацкими и румынскими войсками, продолжали наступление.</w:t>
      </w:r>
    </w:p>
    <w:p w14:paraId="02E39C36" w14:textId="77777777" w:rsidR="00371372" w:rsidRPr="00925F26" w:rsidRDefault="00371372" w:rsidP="00925F26">
      <w:pPr>
        <w:jc w:val="both"/>
        <w:rPr>
          <w:color w:val="000000" w:themeColor="text1"/>
          <w:sz w:val="16"/>
          <w:szCs w:val="16"/>
        </w:rPr>
      </w:pPr>
      <w:r w:rsidRPr="00925F26">
        <w:rPr>
          <w:color w:val="000000" w:themeColor="text1"/>
          <w:sz w:val="16"/>
          <w:szCs w:val="16"/>
        </w:rPr>
        <w:t>Противник, прикрывая горные проходы, создал полосу обороны и превратил город Святой Мартин и железнодорожную станцию Врутки в сильно укреплённые узлы сопротивления. Наши наступающие части предприняли обходный манёвр. Лесами и горными ущельями они вышли с севера к железнодорожной станции Врутки и с юга к городу Святой Мартин. Ночью наши войска стремительно атаковали и штурмом заняли эти опорные пункты обороны немцев. В поселке Врутки находится крупный паровозостроительный завод. Развивая успех, наши подразделения в нескольких местах переправились через реку Турвец и продвинулись вперёд на 10 километров. Захвачены трофеи и пленные.</w:t>
      </w:r>
    </w:p>
    <w:p w14:paraId="70EC8195" w14:textId="77777777" w:rsidR="00371372" w:rsidRPr="00925F26" w:rsidRDefault="00371372" w:rsidP="00925F26">
      <w:pPr>
        <w:jc w:val="both"/>
        <w:rPr>
          <w:color w:val="000000" w:themeColor="text1"/>
          <w:sz w:val="16"/>
          <w:szCs w:val="16"/>
        </w:rPr>
      </w:pPr>
      <w:r w:rsidRPr="00925F26">
        <w:rPr>
          <w:color w:val="000000" w:themeColor="text1"/>
          <w:sz w:val="16"/>
          <w:szCs w:val="16"/>
        </w:rPr>
        <w:t>Северо-западнее Братиславы войска 2-го Украинского фронта с боями продвигались вперёд. Немцы спешно перебросили в этот район свежие силы пехоты и танков и контратаками пытаются задержать наступающие советские части. Отбрасывая противника, наши войска заняли ряд населённых пунктов и железнодорожных станций. Захвачено у немцев 44 паровоза, 1.050 вагонов, 5 складов с военным имуществом и другие трофеи. Взято в плен 450 солдат и офицеров противника.</w:t>
      </w:r>
    </w:p>
    <w:p w14:paraId="3C34134A" w14:textId="77777777" w:rsidR="00371372" w:rsidRPr="00925F26" w:rsidRDefault="00371372" w:rsidP="00925F26">
      <w:pPr>
        <w:jc w:val="both"/>
        <w:rPr>
          <w:color w:val="000000" w:themeColor="text1"/>
          <w:sz w:val="16"/>
          <w:szCs w:val="16"/>
        </w:rPr>
      </w:pPr>
      <w:r w:rsidRPr="00925F26">
        <w:rPr>
          <w:color w:val="000000" w:themeColor="text1"/>
          <w:sz w:val="16"/>
          <w:szCs w:val="16"/>
        </w:rPr>
        <w:t>В Вене войска 3-го Украинского фронта продолжали вести успешные уличные бои. Советские части под прикрытием артиллерийского огня переправились в нескольких местах через Дунайский канал. Сломив упорное сопротивление немцев, наши штурмовые отряды овладели городской электрической станцией. Очищен от противника парк Пратер. Захвачены нефтесклады. Советские подразделения обходят вражеские опорные пункты обороны, а затем уничтожают их гарнизоны. Противник неоднократно предпринимал контратаки, но был отброшен с большими для него потерями. За день боёв уничтожено свыше 4 тысяч немецких солдат и офицеров.</w:t>
      </w:r>
    </w:p>
    <w:p w14:paraId="34D4C67D" w14:textId="77777777" w:rsidR="00371372" w:rsidRPr="00925F26" w:rsidRDefault="00371372" w:rsidP="00925F26">
      <w:pPr>
        <w:jc w:val="both"/>
        <w:rPr>
          <w:color w:val="000000" w:themeColor="text1"/>
          <w:sz w:val="16"/>
          <w:szCs w:val="16"/>
        </w:rPr>
      </w:pPr>
      <w:r w:rsidRPr="00925F26">
        <w:rPr>
          <w:color w:val="000000" w:themeColor="text1"/>
          <w:sz w:val="16"/>
          <w:szCs w:val="16"/>
        </w:rPr>
        <w:t>Группа бойцов под командованием гвардии лейтенанта Мельникова окружила дом, превращенный немцами в опорный пункт обороны. Отважные воины ворвались в дом, перебили несколько десятков гитлеровцев, а 78 немецких солдат и офицеров захватили в плен. Гвардии младший лейтенант Панфилов, отражая вражескую контратаку, огнём из противотанкового ружья сжёг 3 немецких бронетранспортёра. Находясь в разведке, гвардии старший сержант Тафинцев и гвардии сержант Папаев встретились с группой гитлеровцев. Папаев завязал с противником перестрелку, а Тафинцев пробрался к немцам в тыл и огнём из автомата истребил 6 вражеских солдат. Остальные немцы разбежались. Экипаж самоходного орудия гвардии младшего лейтенанта Коробова в одном бою уничтожил немецкий танк и 2 станковых пулемёта. Группа штурмовиков, ведомая капитаном Никитиным, атаковала артиллерийские позиции противника и уничтожила 4 орудия и 15 автомашин с боеприпасами. Лётчик капитан Скотников поджёг на Дунае немецкое нефтеналивное судно.</w:t>
      </w:r>
    </w:p>
    <w:p w14:paraId="61CF839F" w14:textId="77777777" w:rsidR="00371372" w:rsidRPr="00925F26" w:rsidRDefault="00371372" w:rsidP="00925F26">
      <w:pPr>
        <w:jc w:val="both"/>
        <w:rPr>
          <w:color w:val="000000" w:themeColor="text1"/>
          <w:sz w:val="16"/>
          <w:szCs w:val="16"/>
        </w:rPr>
      </w:pPr>
      <w:r w:rsidRPr="00925F26">
        <w:rPr>
          <w:color w:val="000000" w:themeColor="text1"/>
          <w:sz w:val="16"/>
          <w:szCs w:val="16"/>
        </w:rPr>
        <w:t>Гитлеровцы всеми средствами пытались заставить жителей сёл и городов Австрии эвакуироваться вместе с отступающими немецкими войсками. Немцы распускали самые дикие небылицы о Красной Армии, стараясь запугать мирное население. Однако усилия немецких военных властей не увенчались успехом. Подавляющее большинство жителей городов и сёл Австрии осталось на своих местах. Из города Гайнбурга сбежали только руководители фашистских организаций и немцы, обосновавшиеся в Австрии после её оккупации германской армией. Немецкие военные власти мобилизовали всё мужское население Гайнбурга в фольксштурм. Когда советские части подошли к городу, австрийцы-фольксштурмовцы перешли на сторону Красной Армии.</w:t>
      </w:r>
    </w:p>
    <w:p w14:paraId="70F95F46" w14:textId="77777777" w:rsidR="00371372" w:rsidRPr="00925F26" w:rsidRDefault="00371372" w:rsidP="00925F26">
      <w:pPr>
        <w:jc w:val="both"/>
        <w:rPr>
          <w:color w:val="000000" w:themeColor="text1"/>
          <w:sz w:val="16"/>
          <w:szCs w:val="16"/>
        </w:rPr>
      </w:pPr>
      <w:r w:rsidRPr="00925F26">
        <w:rPr>
          <w:color w:val="000000" w:themeColor="text1"/>
          <w:sz w:val="16"/>
          <w:szCs w:val="16"/>
        </w:rPr>
        <w:t>В городе Брук все жители отказались от эвакуации, проводившейся немцами. Леопольд Хальтер, бывший до вторжения немецких войск в Австрию бургомистром города, рассказывает: «За несколько дней до занятия Брука Красной Армией в городе состоялась демонстрация. Свыше тысячи жителей собралось перед зданием городского управления и, размахивая белыми платками, потребовало, чтобы власти сдали город без боя. Только с помощью отрядов эсэсовцев и жандармов коменданту города подполковнику Мюллеру удалось рассеять демонстрантов». Железнодорожник Франц Краковер заявил: «Мы рады приходу Красной Армии и благодарим её за то, что она освободила нас от немецко-фашистского режима. Каждый австриец мечтает о возрождении независимой и демократической Австрии» (15096).</w:t>
      </w:r>
    </w:p>
    <w:p w14:paraId="29C8EB94" w14:textId="77777777" w:rsidR="00371372" w:rsidRPr="00925F26" w:rsidRDefault="00371372" w:rsidP="00925F26">
      <w:pPr>
        <w:jc w:val="both"/>
        <w:rPr>
          <w:color w:val="000000" w:themeColor="text1"/>
          <w:sz w:val="16"/>
          <w:szCs w:val="16"/>
        </w:rPr>
      </w:pPr>
    </w:p>
    <w:p w14:paraId="1C025D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11 апреля 1945 весь гшап на Ил-10 прибыл к месту назначения. Командованию воздушной ар</w:t>
      </w:r>
      <w:r w:rsidRPr="00925F26">
        <w:rPr>
          <w:color w:val="000000" w:themeColor="text1"/>
          <w:sz w:val="16"/>
          <w:szCs w:val="16"/>
        </w:rPr>
        <w:softHyphen/>
        <w:t>мии и 2-й гшад., выяснив реальную го</w:t>
      </w:r>
      <w:r w:rsidRPr="00925F26">
        <w:rPr>
          <w:color w:val="000000" w:themeColor="text1"/>
          <w:sz w:val="16"/>
          <w:szCs w:val="16"/>
        </w:rPr>
        <w:softHyphen/>
        <w:t>товность полка к боевым действиям, решило полк в бой пока не вво</w:t>
      </w:r>
      <w:r w:rsidRPr="00925F26">
        <w:rPr>
          <w:color w:val="000000" w:themeColor="text1"/>
          <w:sz w:val="16"/>
          <w:szCs w:val="16"/>
        </w:rPr>
        <w:softHyphen/>
        <w:t>дить, дабы не подорвать веру в новый штурмовик и не нести напрасные поте</w:t>
      </w:r>
      <w:r w:rsidRPr="00925F26">
        <w:rPr>
          <w:color w:val="000000" w:themeColor="text1"/>
          <w:sz w:val="16"/>
          <w:szCs w:val="16"/>
        </w:rPr>
        <w:softHyphen/>
        <w:t>ри, а дать летчикам полноценно подгото</w:t>
      </w:r>
      <w:r w:rsidRPr="00925F26">
        <w:rPr>
          <w:color w:val="000000" w:themeColor="text1"/>
          <w:sz w:val="16"/>
          <w:szCs w:val="16"/>
        </w:rPr>
        <w:softHyphen/>
        <w:t>виться, а также завершить перевооруже</w:t>
      </w:r>
      <w:r w:rsidRPr="00925F26">
        <w:rPr>
          <w:color w:val="000000" w:themeColor="text1"/>
          <w:sz w:val="16"/>
          <w:szCs w:val="16"/>
        </w:rPr>
        <w:softHyphen/>
        <w:t>ние части на Ил-10. В течение всего ап</w:t>
      </w:r>
      <w:r w:rsidRPr="00925F26">
        <w:rPr>
          <w:color w:val="000000" w:themeColor="text1"/>
          <w:sz w:val="16"/>
          <w:szCs w:val="16"/>
        </w:rPr>
        <w:softHyphen/>
        <w:t>реля в 78-м интенсивно занимались вво</w:t>
      </w:r>
      <w:r w:rsidRPr="00925F26">
        <w:rPr>
          <w:color w:val="000000" w:themeColor="text1"/>
          <w:sz w:val="16"/>
          <w:szCs w:val="16"/>
        </w:rPr>
        <w:softHyphen/>
        <w:t>дом в строй молодого летного состава, не прошедшего в Куйбышеве переучива</w:t>
      </w:r>
      <w:r w:rsidRPr="00925F26">
        <w:rPr>
          <w:color w:val="000000" w:themeColor="text1"/>
          <w:sz w:val="16"/>
          <w:szCs w:val="16"/>
        </w:rPr>
        <w:softHyphen/>
        <w:t>ния на новый штурмовик, и тренировкой «стариков». В это время во Львове при</w:t>
      </w:r>
      <w:r w:rsidRPr="00925F26">
        <w:rPr>
          <w:color w:val="000000" w:themeColor="text1"/>
          <w:sz w:val="16"/>
          <w:szCs w:val="16"/>
        </w:rPr>
        <w:softHyphen/>
        <w:t>нимали и собирали Ил-10. Машины за</w:t>
      </w:r>
      <w:r w:rsidRPr="00925F26">
        <w:rPr>
          <w:color w:val="000000" w:themeColor="text1"/>
          <w:sz w:val="16"/>
          <w:szCs w:val="16"/>
        </w:rPr>
        <w:softHyphen/>
        <w:t>тем перегонялись на базу наиболее под</w:t>
      </w:r>
      <w:r w:rsidRPr="00925F26">
        <w:rPr>
          <w:color w:val="000000" w:themeColor="text1"/>
          <w:sz w:val="16"/>
          <w:szCs w:val="16"/>
        </w:rPr>
        <w:softHyphen/>
        <w:t>готовленными летчиками полка. Имев</w:t>
      </w:r>
      <w:r w:rsidRPr="00925F26">
        <w:rPr>
          <w:color w:val="000000" w:themeColor="text1"/>
          <w:sz w:val="16"/>
          <w:szCs w:val="16"/>
        </w:rPr>
        <w:softHyphen/>
        <w:t>шиеся Ил-2 передавались в другие час</w:t>
      </w:r>
      <w:r w:rsidRPr="00925F26">
        <w:rPr>
          <w:color w:val="000000" w:themeColor="text1"/>
          <w:sz w:val="16"/>
          <w:szCs w:val="16"/>
        </w:rPr>
        <w:softHyphen/>
        <w:t>ти дивизии (10681).</w:t>
      </w:r>
    </w:p>
    <w:p w14:paraId="21B72A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E799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в 1,5 километрах юго-восточнее косы Хела во время массированного налета (62 Ил-2 из всех четырех штурмовых авиаполков ВВС КБФ - 7-го.8-го ,35-го и 47-го), один из самолетов (летчик - младший лейтенант И.А.Комозов, стрелок - младший сержант И.Ф.Кирконенко) был подбит и тараном потопил большой сторожевик (по другим данным -тральщик). Установить объект атаки в данном случае достаточно сложно, так как 11 апреля 1945 г. оказался очень успешным для балтийских летчиков. Только в районе косы Хела на дно пошли военные транспорты “Мольткефельс” и “Дойчланд”, госпитальное судно “Позен”, миноносец NS-10, охотники за подводными лодками Uj-1101 nUj-1102, самоходная баржа В-9 “Хелфрид” и сторожевой катер “Pil-64”. Тяжелые повреждения получили транспорты “Претория” и “Аскари”, большой тральщик М-387 и корпус недостроенного миноносца Т-40. Помогли данные водолазного обследования. С большой долей уверенности можно утверждать, что Ил-2 таранил и потопил новейший миноносец - NS-10 постройки 1944 года. Этот довольно крупный корабль водоизмещением в 775 тонн строился как тральщик М-376, но еще на стапеле был вооружен торпедными аппаратами и достроен уже как миноносец. А всего через несколько месяцев он пошел на дно вместе со всем экипажем. Водолазное обследование показало, что корабль быстро затонул в результате сильного разрушения кормовой части, которое вызвало попадание самолета, пробившего палубу и взорвавшегося в подпалубном пространстве. Но вновь летчики за свой подвиг не получили звание Героев Советского Союза (8942).</w:t>
      </w:r>
    </w:p>
    <w:p w14:paraId="71FB3AAC" w14:textId="77777777" w:rsidR="00665165" w:rsidRPr="00925F26" w:rsidRDefault="00665165" w:rsidP="00925F26">
      <w:pPr>
        <w:autoSpaceDE w:val="0"/>
        <w:autoSpaceDN w:val="0"/>
        <w:adjustRightInd w:val="0"/>
        <w:jc w:val="both"/>
        <w:rPr>
          <w:color w:val="000000" w:themeColor="text1"/>
          <w:sz w:val="16"/>
          <w:szCs w:val="16"/>
        </w:rPr>
      </w:pPr>
    </w:p>
    <w:p w14:paraId="4E06C10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вышло Постановление ГКО № 8066 О порядке финансирования кораблей и частей Военно-Морского Флота на территории Австрии. (7323, 67).</w:t>
      </w:r>
    </w:p>
    <w:p w14:paraId="7427528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396C97C" w14:textId="77777777" w:rsidR="00C116C3" w:rsidRPr="00925F26" w:rsidRDefault="00C116C3" w:rsidP="00925F26">
      <w:pPr>
        <w:pStyle w:val="ae"/>
        <w:spacing w:before="0" w:after="0"/>
        <w:jc w:val="both"/>
        <w:textAlignment w:val="baseline"/>
        <w:rPr>
          <w:color w:val="000000" w:themeColor="text1"/>
          <w:sz w:val="16"/>
          <w:szCs w:val="16"/>
        </w:rPr>
      </w:pPr>
      <w:r w:rsidRPr="00925F26">
        <w:rPr>
          <w:color w:val="000000" w:themeColor="text1"/>
          <w:sz w:val="16"/>
          <w:szCs w:val="16"/>
        </w:rPr>
        <w:t>11 апреля 1945 штурмовики снова нанесли удар по немецким кораблям, находившимся все там же, в паре километров юго-восточнее мыса Хель. На этот раз атака была массированной, в ней участвовали 62 Ил-2 из 7-го пшап, 8-го гв. шап, 35-го и 47-го шап. Этот день в самом конце войны стал по-настоящему звездным часом для ВВС Балтийского флота. Флотские летчики потопили в Данцигском заливе, в районе косы Хель, военные транспорты «Мольткефельс» и «Дойчланд», госпитальное судно «Позен», миноносец NS-10, два охотника за подлодками, самоходную баржу и сторожевой катер. Тяжелые повреждения получили еще два транспорта и тральщик.</w:t>
      </w:r>
    </w:p>
    <w:p w14:paraId="6ABC6100" w14:textId="77777777" w:rsidR="00C116C3" w:rsidRPr="00925F26" w:rsidRDefault="00C116C3" w:rsidP="00925F26">
      <w:pPr>
        <w:pStyle w:val="ae"/>
        <w:spacing w:before="0" w:after="0"/>
        <w:jc w:val="both"/>
        <w:textAlignment w:val="baseline"/>
        <w:rPr>
          <w:color w:val="000000" w:themeColor="text1"/>
          <w:sz w:val="16"/>
          <w:szCs w:val="16"/>
        </w:rPr>
      </w:pPr>
      <w:r w:rsidRPr="00925F26">
        <w:rPr>
          <w:color w:val="000000" w:themeColor="text1"/>
          <w:sz w:val="16"/>
          <w:szCs w:val="16"/>
        </w:rPr>
        <w:t>При этом можно утверждать, что миноносец NS-10 водоизмещением 775 тонн затонул после того, как в его корму врезался и взорвался подбитый штурмовик младшего лейтенанта Ивана Комозова из 7-го гв. пшап.</w:t>
      </w:r>
    </w:p>
    <w:p w14:paraId="57E23DBA" w14:textId="77777777" w:rsidR="00C116C3" w:rsidRPr="00925F26" w:rsidRDefault="00C116C3" w:rsidP="00925F26">
      <w:pPr>
        <w:pStyle w:val="ae"/>
        <w:spacing w:before="0" w:after="0"/>
        <w:jc w:val="both"/>
        <w:textAlignment w:val="baseline"/>
        <w:rPr>
          <w:color w:val="000000" w:themeColor="text1"/>
          <w:sz w:val="16"/>
          <w:szCs w:val="16"/>
        </w:rPr>
      </w:pPr>
      <w:r w:rsidRPr="00925F26">
        <w:rPr>
          <w:color w:val="000000" w:themeColor="text1"/>
          <w:sz w:val="16"/>
          <w:szCs w:val="16"/>
        </w:rPr>
        <w:t>И уже в который раз флотское начальство, временами буквально раздававшее высокие награды направо и налево, не удосужилось представить летчика к званию Героя (19522).</w:t>
      </w:r>
    </w:p>
    <w:p w14:paraId="1D66E4A9" w14:textId="77777777" w:rsidR="00C116C3" w:rsidRPr="00925F26" w:rsidRDefault="00C116C3" w:rsidP="00925F26">
      <w:pPr>
        <w:pStyle w:val="ae"/>
        <w:spacing w:before="0" w:after="0"/>
        <w:jc w:val="both"/>
        <w:textAlignment w:val="baseline"/>
        <w:rPr>
          <w:color w:val="000000" w:themeColor="text1"/>
          <w:sz w:val="16"/>
          <w:szCs w:val="16"/>
        </w:rPr>
      </w:pPr>
    </w:p>
    <w:p w14:paraId="0F5EE3F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65B3F09" w14:textId="77777777" w:rsidR="00665165" w:rsidRPr="00925F26" w:rsidRDefault="00665165" w:rsidP="00925F26">
      <w:pPr>
        <w:autoSpaceDE w:val="0"/>
        <w:autoSpaceDN w:val="0"/>
        <w:adjustRightInd w:val="0"/>
        <w:jc w:val="both"/>
        <w:rPr>
          <w:iCs/>
          <w:color w:val="000000" w:themeColor="text1"/>
          <w:sz w:val="16"/>
          <w:szCs w:val="16"/>
        </w:rPr>
      </w:pPr>
    </w:p>
    <w:p w14:paraId="358E15B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подписан советско-югославский договор о послевоенном сотрудничестве (4962).</w:t>
      </w:r>
    </w:p>
    <w:p w14:paraId="26E4A27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C3A83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был подписан договор о дружбе, взаимопомощи и послевоенном сотрудничестве с Югославией (1348,247).</w:t>
      </w:r>
    </w:p>
    <w:p w14:paraId="5BCFF922" w14:textId="77777777" w:rsidR="00665165" w:rsidRPr="00925F26" w:rsidRDefault="00665165" w:rsidP="00925F26">
      <w:pPr>
        <w:autoSpaceDE w:val="0"/>
        <w:autoSpaceDN w:val="0"/>
        <w:adjustRightInd w:val="0"/>
        <w:jc w:val="both"/>
        <w:rPr>
          <w:color w:val="000000" w:themeColor="text1"/>
          <w:sz w:val="16"/>
          <w:szCs w:val="16"/>
        </w:rPr>
      </w:pPr>
    </w:p>
    <w:p w14:paraId="54956AB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32BAE66" w14:textId="77777777" w:rsidR="00665165" w:rsidRPr="00925F26" w:rsidRDefault="00665165" w:rsidP="00925F26">
      <w:pPr>
        <w:autoSpaceDE w:val="0"/>
        <w:autoSpaceDN w:val="0"/>
        <w:adjustRightInd w:val="0"/>
        <w:jc w:val="both"/>
        <w:rPr>
          <w:iCs/>
          <w:color w:val="000000" w:themeColor="text1"/>
          <w:sz w:val="16"/>
          <w:szCs w:val="16"/>
        </w:rPr>
      </w:pPr>
    </w:p>
    <w:p w14:paraId="3DCE3035" w14:textId="77777777" w:rsidR="00E2487F" w:rsidRPr="00925F26" w:rsidRDefault="00E2487F"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американские войска захватили завод по производству ракет ФАУ в Нордхаузене и срочно эвакуировали все оборудование, чтобы оно не досталось русским (4962).</w:t>
      </w:r>
    </w:p>
    <w:p w14:paraId="2A1C4117" w14:textId="77777777" w:rsidR="00E2487F" w:rsidRPr="00925F26" w:rsidRDefault="00E2487F" w:rsidP="00925F26">
      <w:pPr>
        <w:tabs>
          <w:tab w:val="left" w:pos="11199"/>
        </w:tabs>
        <w:autoSpaceDE w:val="0"/>
        <w:autoSpaceDN w:val="0"/>
        <w:adjustRightInd w:val="0"/>
        <w:jc w:val="both"/>
        <w:rPr>
          <w:color w:val="000000" w:themeColor="text1"/>
          <w:sz w:val="16"/>
          <w:szCs w:val="16"/>
        </w:rPr>
      </w:pPr>
    </w:p>
    <w:p w14:paraId="18F9E60D" w14:textId="77777777" w:rsidR="00371372" w:rsidRPr="00925F26" w:rsidRDefault="00371372" w:rsidP="00925F26">
      <w:pPr>
        <w:jc w:val="both"/>
        <w:rPr>
          <w:color w:val="000000" w:themeColor="text1"/>
          <w:sz w:val="16"/>
          <w:szCs w:val="16"/>
        </w:rPr>
      </w:pPr>
      <w:r w:rsidRPr="00925F26">
        <w:rPr>
          <w:color w:val="000000" w:themeColor="text1"/>
          <w:sz w:val="16"/>
          <w:szCs w:val="16"/>
        </w:rPr>
        <w:t>11 апреля в 1945 году американские войска захватили подземный завод "Миттельверк" в Нордхаузене где были обнаружены 54 готовых к отправке ракет «А-4» («Фау-2») и в цехах еще 35 – «Фау-2» в той или иной степени готовности. Все это богатство было вывезено в США, где стало настоящим открытием для американских инженеров-ракетчиков. Позднее эти ракеты были использованы для вертикальных пусков с целью изучения условий в ближнем околоземном космическом пространстве (15096).</w:t>
      </w:r>
    </w:p>
    <w:p w14:paraId="45FB3A44" w14:textId="77777777" w:rsidR="00371372" w:rsidRPr="00925F26" w:rsidRDefault="00371372" w:rsidP="00925F26">
      <w:pPr>
        <w:jc w:val="both"/>
        <w:rPr>
          <w:color w:val="000000" w:themeColor="text1"/>
          <w:sz w:val="16"/>
          <w:szCs w:val="16"/>
        </w:rPr>
      </w:pPr>
    </w:p>
    <w:p w14:paraId="51F72F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американцы освободили концлагерь Бухенвальд (2248,4).</w:t>
      </w:r>
    </w:p>
    <w:p w14:paraId="12EEB110" w14:textId="77777777" w:rsidR="00665165" w:rsidRPr="00925F26" w:rsidRDefault="00665165" w:rsidP="00925F26">
      <w:pPr>
        <w:autoSpaceDE w:val="0"/>
        <w:autoSpaceDN w:val="0"/>
        <w:adjustRightInd w:val="0"/>
        <w:jc w:val="both"/>
        <w:rPr>
          <w:color w:val="000000" w:themeColor="text1"/>
          <w:sz w:val="16"/>
          <w:szCs w:val="16"/>
        </w:rPr>
      </w:pPr>
    </w:p>
    <w:p w14:paraId="6A0B7905" w14:textId="77777777" w:rsidR="00E2487F" w:rsidRPr="00925F26" w:rsidRDefault="00E2487F"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войска союзников освободили узников Бухенвальда (4962), советские военнопленные подняли восстание в концлагере Бухенвальд предотвратив тем самым полное уничтожение его узников фашистами. На следующий день в лагерь вошли передовые части Красной армии (</w:t>
      </w:r>
      <w:proofErr w:type="gramStart"/>
      <w:r w:rsidRPr="00925F26">
        <w:rPr>
          <w:color w:val="000000" w:themeColor="text1"/>
          <w:sz w:val="16"/>
          <w:szCs w:val="16"/>
        </w:rPr>
        <w:t>4963 )</w:t>
      </w:r>
      <w:proofErr w:type="gramEnd"/>
      <w:r w:rsidRPr="00925F26">
        <w:rPr>
          <w:color w:val="000000" w:themeColor="text1"/>
          <w:sz w:val="16"/>
          <w:szCs w:val="16"/>
        </w:rPr>
        <w:t>.</w:t>
      </w:r>
    </w:p>
    <w:p w14:paraId="552E9639" w14:textId="77777777" w:rsidR="00E2487F" w:rsidRPr="00925F26" w:rsidRDefault="00E2487F" w:rsidP="00925F26">
      <w:pPr>
        <w:tabs>
          <w:tab w:val="left" w:pos="11199"/>
        </w:tabs>
        <w:autoSpaceDE w:val="0"/>
        <w:autoSpaceDN w:val="0"/>
        <w:adjustRightInd w:val="0"/>
        <w:jc w:val="both"/>
        <w:rPr>
          <w:color w:val="000000" w:themeColor="text1"/>
          <w:sz w:val="16"/>
          <w:szCs w:val="16"/>
        </w:rPr>
      </w:pPr>
    </w:p>
    <w:p w14:paraId="7745E7A3" w14:textId="77777777" w:rsidR="00371372" w:rsidRPr="00925F26" w:rsidRDefault="00371372" w:rsidP="00925F26">
      <w:pPr>
        <w:jc w:val="both"/>
        <w:rPr>
          <w:color w:val="000000" w:themeColor="text1"/>
          <w:sz w:val="16"/>
          <w:szCs w:val="16"/>
        </w:rPr>
      </w:pPr>
      <w:r w:rsidRPr="00925F26">
        <w:rPr>
          <w:color w:val="000000" w:themeColor="text1"/>
          <w:sz w:val="16"/>
          <w:szCs w:val="16"/>
        </w:rPr>
        <w:t>11 апреля в 1945 году войска союзников освободили узников Бухенвальда. Бухенвальд - немецко-фашистский концентрационный лагерь. Создан в 1937 в окрестностях Веймара. Первоначально назывался Эттерсберг. За 8 лет около 239 тысяч человек были его узниками. Вначале это были немецкие антифашисты, позднее, в годы 2-й мировой войны, представители многих других национальностей. Много заключённых погибло уже в период строительства лагеря, которое велось без использования механизмов. Заключённых беспощадно эксплуатировали также владельцы крупных промышленных фирм, чьи предприятия были расположены в районе Бухенвальда (Сименс, Юнкерс и др.). Особенно много заключённых погибло в филиале Бухенвальда - "Дора", где в подземных помещениях изготовлялись самолёты-снаряды "Фау" (15096).</w:t>
      </w:r>
    </w:p>
    <w:p w14:paraId="4FD45DBD" w14:textId="77777777" w:rsidR="00371372" w:rsidRPr="00925F26" w:rsidRDefault="00371372" w:rsidP="00925F26">
      <w:pPr>
        <w:jc w:val="both"/>
        <w:rPr>
          <w:color w:val="000000" w:themeColor="text1"/>
          <w:sz w:val="16"/>
          <w:szCs w:val="16"/>
        </w:rPr>
      </w:pPr>
    </w:p>
    <w:p w14:paraId="211CE983" w14:textId="77777777" w:rsidR="00371372" w:rsidRPr="00925F26" w:rsidRDefault="00371372" w:rsidP="00925F26">
      <w:pPr>
        <w:jc w:val="both"/>
        <w:rPr>
          <w:color w:val="000000" w:themeColor="text1"/>
          <w:sz w:val="16"/>
          <w:szCs w:val="16"/>
        </w:rPr>
      </w:pPr>
      <w:r w:rsidRPr="00925F26">
        <w:rPr>
          <w:color w:val="000000" w:themeColor="text1"/>
          <w:sz w:val="16"/>
          <w:szCs w:val="16"/>
        </w:rPr>
        <w:t xml:space="preserve">11 апреля 1945 года подпольный комитет концлагеря Бухенвальд организовал вооруженное восстание, и узники этого лагеря получили свободу при помощи войск союзников. Видную роль в подготовке восстания сыграл сержант-пограничник из Новосибирска Н.С.Симаков, возглавивший руководящий центр подполья. Армия США вошла в Бухенвальд. Было освобождено более 20 тысяч человек, в том числе 900 детей. Эту памятную дату во всем мире </w:t>
      </w:r>
      <w:proofErr w:type="gramStart"/>
      <w:r w:rsidRPr="00925F26">
        <w:rPr>
          <w:color w:val="000000" w:themeColor="text1"/>
          <w:sz w:val="16"/>
          <w:szCs w:val="16"/>
        </w:rPr>
        <w:t>отмечают</w:t>
      </w:r>
      <w:proofErr w:type="gramEnd"/>
      <w:r w:rsidRPr="00925F26">
        <w:rPr>
          <w:color w:val="000000" w:themeColor="text1"/>
          <w:sz w:val="16"/>
          <w:szCs w:val="16"/>
        </w:rPr>
        <w:t xml:space="preserve"> как Международный День освобождения узников фашистских лагерей. Она учреждена по решению Организации Объединённых Наций. В 1958 году в Бухенвальде открыт величественный комплекс сооружений, посвященный героям и жертвам этого концлагеря (15096).</w:t>
      </w:r>
    </w:p>
    <w:p w14:paraId="6D3715DD" w14:textId="77777777" w:rsidR="00371372" w:rsidRPr="00925F26" w:rsidRDefault="00371372" w:rsidP="00925F26">
      <w:pPr>
        <w:jc w:val="both"/>
        <w:rPr>
          <w:color w:val="000000" w:themeColor="text1"/>
          <w:sz w:val="16"/>
          <w:szCs w:val="16"/>
        </w:rPr>
      </w:pPr>
    </w:p>
    <w:p w14:paraId="754E9FD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11 1945 2nd Armored Division, US 9th Army reaches the </w:t>
      </w:r>
      <w:proofErr w:type="gramStart"/>
      <w:r w:rsidRPr="00925F26">
        <w:rPr>
          <w:color w:val="000000" w:themeColor="text1"/>
          <w:sz w:val="16"/>
          <w:szCs w:val="16"/>
          <w:lang w:val="en-US"/>
        </w:rPr>
        <w:t>Elbe river</w:t>
      </w:r>
      <w:proofErr w:type="gramEnd"/>
      <w:r w:rsidRPr="00925F26">
        <w:rPr>
          <w:color w:val="000000" w:themeColor="text1"/>
          <w:sz w:val="16"/>
          <w:szCs w:val="16"/>
          <w:lang w:val="en-US"/>
        </w:rPr>
        <w:t xml:space="preserve"> (1242).</w:t>
      </w:r>
    </w:p>
    <w:p w14:paraId="6457E6BB" w14:textId="77777777" w:rsidR="00665165" w:rsidRPr="00925F26" w:rsidRDefault="00665165" w:rsidP="00925F26">
      <w:pPr>
        <w:autoSpaceDE w:val="0"/>
        <w:autoSpaceDN w:val="0"/>
        <w:adjustRightInd w:val="0"/>
        <w:jc w:val="both"/>
        <w:rPr>
          <w:color w:val="000000" w:themeColor="text1"/>
          <w:sz w:val="16"/>
          <w:szCs w:val="16"/>
          <w:lang w:val="en-US"/>
        </w:rPr>
      </w:pPr>
    </w:p>
    <w:p w14:paraId="1B3B81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американская армия вышла к Эльбе (1242) в 120 км от Берлина (3907,256).</w:t>
      </w:r>
    </w:p>
    <w:p w14:paraId="54D4B53C" w14:textId="77777777" w:rsidR="00665165" w:rsidRPr="00925F26" w:rsidRDefault="00665165" w:rsidP="00925F26">
      <w:pPr>
        <w:autoSpaceDE w:val="0"/>
        <w:autoSpaceDN w:val="0"/>
        <w:adjustRightInd w:val="0"/>
        <w:jc w:val="both"/>
        <w:rPr>
          <w:color w:val="000000" w:themeColor="text1"/>
          <w:sz w:val="16"/>
          <w:szCs w:val="16"/>
        </w:rPr>
      </w:pPr>
    </w:p>
    <w:p w14:paraId="7F39A31F" w14:textId="77777777" w:rsidR="00371372" w:rsidRPr="00925F26" w:rsidRDefault="00371372" w:rsidP="00925F26">
      <w:pPr>
        <w:jc w:val="both"/>
        <w:rPr>
          <w:color w:val="000000" w:themeColor="text1"/>
          <w:sz w:val="16"/>
          <w:szCs w:val="16"/>
        </w:rPr>
      </w:pPr>
      <w:r w:rsidRPr="00925F26">
        <w:rPr>
          <w:color w:val="000000" w:themeColor="text1"/>
          <w:sz w:val="16"/>
          <w:szCs w:val="16"/>
        </w:rPr>
        <w:t>11 апреля в 1945 году американские войска вышли к Эльбе в районе Виттенберре, в 120 километрах к северо-западу от Берлина (15096).</w:t>
      </w:r>
    </w:p>
    <w:p w14:paraId="6133E4C8" w14:textId="77777777" w:rsidR="00371372" w:rsidRPr="00925F26" w:rsidRDefault="00371372" w:rsidP="00925F26">
      <w:pPr>
        <w:jc w:val="both"/>
        <w:rPr>
          <w:color w:val="000000" w:themeColor="text1"/>
          <w:sz w:val="16"/>
          <w:szCs w:val="16"/>
        </w:rPr>
      </w:pPr>
    </w:p>
    <w:p w14:paraId="1EDCA4B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11th, 1945: Continuing bitter fighting in the center of Vienna, as well as in Breslau. In the West, the US Ninth Army captures Bochum in the Ruhr and Goslar in the Harz Mountains (3819).</w:t>
      </w:r>
    </w:p>
    <w:p w14:paraId="11A72AEA" w14:textId="77777777" w:rsidR="00665165" w:rsidRPr="00925F26" w:rsidRDefault="00665165" w:rsidP="00925F26">
      <w:pPr>
        <w:autoSpaceDE w:val="0"/>
        <w:autoSpaceDN w:val="0"/>
        <w:adjustRightInd w:val="0"/>
        <w:jc w:val="both"/>
        <w:rPr>
          <w:color w:val="000000" w:themeColor="text1"/>
          <w:sz w:val="16"/>
          <w:szCs w:val="16"/>
          <w:lang w:val="en-US"/>
        </w:rPr>
      </w:pPr>
    </w:p>
    <w:p w14:paraId="55261C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9А США заняла Бохум в Руре и Гослар в Гарце (3819).</w:t>
      </w:r>
    </w:p>
    <w:p w14:paraId="32152F37" w14:textId="77777777" w:rsidR="00665165" w:rsidRPr="00925F26" w:rsidRDefault="00665165" w:rsidP="00925F26">
      <w:pPr>
        <w:autoSpaceDE w:val="0"/>
        <w:autoSpaceDN w:val="0"/>
        <w:adjustRightInd w:val="0"/>
        <w:jc w:val="both"/>
        <w:rPr>
          <w:color w:val="000000" w:themeColor="text1"/>
          <w:sz w:val="16"/>
          <w:szCs w:val="16"/>
        </w:rPr>
      </w:pPr>
    </w:p>
    <w:p w14:paraId="76AE1E93" w14:textId="77777777" w:rsidR="007D191E" w:rsidRPr="00925F26" w:rsidRDefault="007D191E" w:rsidP="00925F26">
      <w:pPr>
        <w:jc w:val="both"/>
        <w:rPr>
          <w:color w:val="000000" w:themeColor="text1"/>
          <w:sz w:val="16"/>
          <w:szCs w:val="16"/>
        </w:rPr>
      </w:pPr>
      <w:r w:rsidRPr="00925F26">
        <w:rPr>
          <w:color w:val="000000" w:themeColor="text1"/>
          <w:sz w:val="16"/>
          <w:szCs w:val="16"/>
        </w:rPr>
        <w:t>11 апреля 1945 авианосцы Британского Тихоокеанского флота наносят удары по Формозе (20371).</w:t>
      </w:r>
    </w:p>
    <w:p w14:paraId="10D7D255" w14:textId="77777777" w:rsidR="007D191E" w:rsidRPr="00925F26" w:rsidRDefault="007D191E" w:rsidP="00925F26">
      <w:pPr>
        <w:jc w:val="both"/>
        <w:rPr>
          <w:color w:val="000000" w:themeColor="text1"/>
          <w:sz w:val="16"/>
          <w:szCs w:val="16"/>
        </w:rPr>
      </w:pPr>
    </w:p>
    <w:p w14:paraId="42ACD421" w14:textId="36DAA5FF" w:rsidR="007D191E" w:rsidRPr="00925F26" w:rsidRDefault="007D191E" w:rsidP="00925F26">
      <w:pPr>
        <w:jc w:val="both"/>
        <w:rPr>
          <w:color w:val="000000" w:themeColor="text1"/>
          <w:sz w:val="16"/>
          <w:szCs w:val="16"/>
        </w:rPr>
      </w:pPr>
      <w:r w:rsidRPr="00925F26">
        <w:rPr>
          <w:color w:val="000000" w:themeColor="text1"/>
          <w:sz w:val="16"/>
          <w:szCs w:val="16"/>
        </w:rPr>
        <w:t xml:space="preserve">11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Атакой японского летчика-камикадзе на «Zero» повреждается американский линкор "Миссури" - самый большой американский военный корабль. Самолет ударил корабль ниже главной палубы, нанеся минимальный урон и не вызвав никаких катастрофических последствий (22538).</w:t>
      </w:r>
    </w:p>
    <w:p w14:paraId="7B52DA3D" w14:textId="77777777" w:rsidR="007D191E" w:rsidRPr="00925F26" w:rsidRDefault="007D191E" w:rsidP="00925F26">
      <w:pPr>
        <w:jc w:val="both"/>
        <w:rPr>
          <w:color w:val="000000" w:themeColor="text1"/>
          <w:sz w:val="16"/>
          <w:szCs w:val="16"/>
        </w:rPr>
      </w:pPr>
    </w:p>
    <w:p w14:paraId="71C1248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апреля 1945 атакой японского летчика-камикадзе серьезно поврежден американский линкор “Миссури” (4962).</w:t>
      </w:r>
    </w:p>
    <w:p w14:paraId="19A316D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0AF771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11 1945 Japanese begin furious air offensive, using Kamikaze aircraft, against United States shipping off Okinawa (1037).</w:t>
      </w:r>
    </w:p>
    <w:p w14:paraId="0678906A" w14:textId="77777777" w:rsidR="00665165" w:rsidRPr="00925F26" w:rsidRDefault="00665165" w:rsidP="00925F26">
      <w:pPr>
        <w:autoSpaceDE w:val="0"/>
        <w:autoSpaceDN w:val="0"/>
        <w:adjustRightInd w:val="0"/>
        <w:jc w:val="both"/>
        <w:rPr>
          <w:color w:val="000000" w:themeColor="text1"/>
          <w:sz w:val="16"/>
          <w:szCs w:val="16"/>
          <w:lang w:val="en-US"/>
        </w:rPr>
      </w:pPr>
    </w:p>
    <w:p w14:paraId="5A48EAED" w14:textId="77777777" w:rsidR="00371372" w:rsidRPr="00925F26" w:rsidRDefault="00371372" w:rsidP="00925F26">
      <w:pPr>
        <w:jc w:val="both"/>
        <w:rPr>
          <w:color w:val="000000" w:themeColor="text1"/>
          <w:sz w:val="16"/>
          <w:szCs w:val="16"/>
        </w:rPr>
      </w:pPr>
      <w:r w:rsidRPr="00925F26">
        <w:rPr>
          <w:color w:val="000000" w:themeColor="text1"/>
          <w:sz w:val="16"/>
          <w:szCs w:val="16"/>
        </w:rPr>
        <w:t>11 апреля в 1945 году атакой японского летчика-камикадзе серьезно повреждается американский линкор "Миссури" (15096).</w:t>
      </w:r>
    </w:p>
    <w:p w14:paraId="3A697DAF" w14:textId="77777777" w:rsidR="00371372" w:rsidRPr="00925F26" w:rsidRDefault="00371372" w:rsidP="00925F26">
      <w:pPr>
        <w:jc w:val="both"/>
        <w:rPr>
          <w:color w:val="000000" w:themeColor="text1"/>
          <w:sz w:val="16"/>
          <w:szCs w:val="16"/>
        </w:rPr>
      </w:pPr>
    </w:p>
    <w:p w14:paraId="7C0778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японцы начали воздушное наступление против американских судов с использованием камикадзе в районе Окинавы (1037).</w:t>
      </w:r>
    </w:p>
    <w:p w14:paraId="45A746E8" w14:textId="77777777" w:rsidR="00665165" w:rsidRPr="00925F26" w:rsidRDefault="00665165" w:rsidP="00925F26">
      <w:pPr>
        <w:autoSpaceDE w:val="0"/>
        <w:autoSpaceDN w:val="0"/>
        <w:adjustRightInd w:val="0"/>
        <w:jc w:val="both"/>
        <w:rPr>
          <w:color w:val="000000" w:themeColor="text1"/>
          <w:sz w:val="16"/>
          <w:szCs w:val="16"/>
        </w:rPr>
      </w:pPr>
    </w:p>
    <w:p w14:paraId="3D57FB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апреля 1945 адмирал Угаки приступил к проведению операции «Кикусуй-2». 12 апреля операция продолжалась. Угаки собрал, где только мог, 380 самолетов. В самоубийственные атаки отправилось 185 самолетов (125 морских и 60 армейских) и 10 бомбардировщиков с самолетами Ока. Группа прикрытия состояла из 150 истребителей (Иванов Ю.Г. Камикадзе: пилоты-смертники. Смоленск: Русич, 2001.). В 13 часов летчики-смертники были уже над Окинавой. Начался кровавый бой.</w:t>
      </w:r>
    </w:p>
    <w:p w14:paraId="7368EE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Через облака к американским кораблям пробился один из бомбардировщиков-носителей. 22-летний лейтенант Дохи Сабуро снял летный шлем и спасательный жилет, повязал хатимаки, попросил пилота бомбардировщика Миуру передать пистолет другу на память. Прощальный взмах рукой – и Дохи шагнул в люк самолета-снаряда. Люк закрылся, и через несколько секунд лейтенант Дохи просигналил о готовности к атаке. Бомбардировщик находился в это время на высоте 6 тыс. м и в 18 км от цели.</w:t>
      </w:r>
    </w:p>
    <w:p w14:paraId="1BA09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Поблизости начали рваться зенитные снаряды. Миура нажал кнопку сброса, Бетти вздрогнул – самолет Ока отделился и с резким снижением устремился вперед.</w:t>
      </w:r>
    </w:p>
    <w:p w14:paraId="7B8704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самолет-носитель попал снаряд, но летчику удалось погасить пламя в моторе, и он благополучно приземлился на своем аэродроме. Эта машина оказалась единственной уцелевшей, остальные самолеты стали жертвой американских истребителей.</w:t>
      </w:r>
    </w:p>
    <w:p w14:paraId="05C3D5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Вернемся к описанию самоубийственной атаки. После отделения Ока бой продолжался. В 14 часов 45 минут самоубийственной атаке трех истребителей Зеро подвергся эсминец «Маннерт Л. Абель», находившийся в радиолокационном дозоре к северозападу от Окинавы. Один из самолетов врезался в кормовое машинное отделение. Взрыв его бомбы переломил вал и киль. Корабль потерял ход. Через минуту к эсминцу мчался на огромной скорости самолет-снаряд. Он врезался в правый борт корабля под передней трубой. Гигантский взрыв разнес всю среднюю часть корабля. Нос и корма сами по себе затонули через пять минут. Среди обломков плавали уцелевшие американские моряки.</w:t>
      </w:r>
    </w:p>
    <w:p w14:paraId="44D5E7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Японские летчики обстреливали их из пулеметов. Погибло 114 американцев.</w:t>
      </w:r>
    </w:p>
    <w:p w14:paraId="5D2A96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этот день еще три самолета Ока поразили американские суда.</w:t>
      </w:r>
    </w:p>
    <w:p w14:paraId="45CDAC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Одним из них был эскадренный миноносец «Джефферс», спешивший спасать команду «Абеля». Пилот Ока промахнулся, и самолет упал в 50 м от правого борта миноносца. Мощный взрыв вызвал гигантскую волну, которая искорежила верхнюю палубу корабля.</w:t>
      </w:r>
    </w:p>
    <w:p w14:paraId="7E6FEA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Два других самолета Ока нанесли удар по эсминцу «Стэнли». Зенитным огнем корабля одному из самолетов-снарядов оторвало крыло, и он упал в 1800 м от цели. Другой самолет-снаряд поразил правый борт, прошел корабль насквозь и взорвался над водой у левого борта. Эсминец удивительным образом избежал гибели, так как боевая часть Ока не взорвалась сразу при ударе.</w:t>
      </w:r>
    </w:p>
    <w:p w14:paraId="2683E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корабле зияла большая дыра. Есть данные, что в этих боях самолеты-снаряды Ока также повредили линкоp «Вест Виpджи ния» и тpи тpанспоpтных судна.</w:t>
      </w:r>
    </w:p>
    <w:p w14:paraId="2C664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операция «Кикусуй-2» закончилась. Ее результатом явилось потопление двух и тяжелое повреждение трех кораблей, которые впоследствии были разобраны и исключены из списков ВМС США. Шесть кораблей вышли из строя на срок более 30 дней. 124 американских моряка погибли и 130 пропали без вести. Американцы со всей ответственностью оценили опасность японских самоубийственных атак и начали разрабатывать меры по противодействию им (11686).</w:t>
      </w:r>
    </w:p>
    <w:p w14:paraId="6A5419F8" w14:textId="77777777" w:rsidR="00665165" w:rsidRPr="00925F26" w:rsidRDefault="00665165" w:rsidP="00925F26">
      <w:pPr>
        <w:autoSpaceDE w:val="0"/>
        <w:autoSpaceDN w:val="0"/>
        <w:adjustRightInd w:val="0"/>
        <w:jc w:val="both"/>
        <w:rPr>
          <w:color w:val="000000" w:themeColor="text1"/>
          <w:sz w:val="16"/>
          <w:szCs w:val="16"/>
        </w:rPr>
      </w:pPr>
    </w:p>
    <w:p w14:paraId="3775221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3A90AB8" w14:textId="77777777" w:rsidR="00665165" w:rsidRPr="00925F26" w:rsidRDefault="00665165" w:rsidP="00925F26">
      <w:pPr>
        <w:autoSpaceDE w:val="0"/>
        <w:autoSpaceDN w:val="0"/>
        <w:adjustRightInd w:val="0"/>
        <w:jc w:val="both"/>
        <w:rPr>
          <w:iCs/>
          <w:color w:val="000000" w:themeColor="text1"/>
          <w:sz w:val="16"/>
          <w:szCs w:val="16"/>
        </w:rPr>
      </w:pPr>
    </w:p>
    <w:p w14:paraId="270D0A30"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12 апреля 1945 постановлением ГКО устанавливался выпуск И-10 на 2-й квартал. В течение трех месяцев, до июля 1945 года, планировалось собрать и передать ВВС в общей сложности 960 самолетов Ил-10 и 1634 самолета Ил-2.</w:t>
      </w:r>
    </w:p>
    <w:p w14:paraId="3A4CA902"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То есть общий выпуск «десяток» в первом полугодии должен был составить 1435 самолетов Ил-10. Однако реалии оказались далеки от планового уровня. На 1 июня 1945 года заводы № 1 и № 18 сдали ВВС по боевой готовности 1035 самолетов Ил-10.</w:t>
      </w:r>
    </w:p>
    <w:p w14:paraId="29FC75D7"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554170DA" w14:textId="77777777" w:rsidR="00117BE3" w:rsidRPr="00925F26" w:rsidRDefault="00117BE3" w:rsidP="00925F26">
      <w:pPr>
        <w:jc w:val="both"/>
        <w:rPr>
          <w:rStyle w:val="107"/>
          <w:rFonts w:eastAsiaTheme="minorHAnsi"/>
          <w:color w:val="000000" w:themeColor="text1"/>
          <w:sz w:val="16"/>
          <w:szCs w:val="16"/>
        </w:rPr>
      </w:pPr>
    </w:p>
    <w:p w14:paraId="4A933A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постановлением ГКО был установлен План на II квартал. В тече</w:t>
      </w:r>
      <w:r w:rsidRPr="00925F26">
        <w:rPr>
          <w:color w:val="000000" w:themeColor="text1"/>
          <w:sz w:val="16"/>
          <w:szCs w:val="16"/>
        </w:rPr>
        <w:softHyphen/>
        <w:t>ние трех месяцев, до июля 1945 г. тре</w:t>
      </w:r>
      <w:r w:rsidRPr="00925F26">
        <w:rPr>
          <w:color w:val="000000" w:themeColor="text1"/>
          <w:sz w:val="16"/>
          <w:szCs w:val="16"/>
        </w:rPr>
        <w:softHyphen/>
        <w:t>бовалось сдать в общей сложности 960 Ил-10. Общий выпуск «десяток» в пер</w:t>
      </w:r>
      <w:r w:rsidRPr="00925F26">
        <w:rPr>
          <w:color w:val="000000" w:themeColor="text1"/>
          <w:sz w:val="16"/>
          <w:szCs w:val="16"/>
        </w:rPr>
        <w:softHyphen/>
        <w:t>вом полугодии должен был составить 1435 машин (10680).</w:t>
      </w:r>
    </w:p>
    <w:p w14:paraId="0D3562A2" w14:textId="77777777" w:rsidR="00665165" w:rsidRPr="00925F26" w:rsidRDefault="00665165" w:rsidP="00925F26">
      <w:pPr>
        <w:autoSpaceDE w:val="0"/>
        <w:autoSpaceDN w:val="0"/>
        <w:adjustRightInd w:val="0"/>
        <w:jc w:val="both"/>
        <w:rPr>
          <w:color w:val="000000" w:themeColor="text1"/>
          <w:sz w:val="16"/>
          <w:szCs w:val="16"/>
        </w:rPr>
      </w:pPr>
    </w:p>
    <w:p w14:paraId="54159E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апреля 1945 Постановлением ГОКО устанавливался выпуск самолетов на П-й квартал. В течение трех месяцев, до июля 1945 г. планировалось со</w:t>
      </w:r>
      <w:r w:rsidRPr="00925F26">
        <w:rPr>
          <w:color w:val="000000" w:themeColor="text1"/>
          <w:sz w:val="16"/>
          <w:szCs w:val="16"/>
        </w:rPr>
        <w:softHyphen/>
        <w:t>брать и передать ВВС в общей слож</w:t>
      </w:r>
      <w:r w:rsidRPr="00925F26">
        <w:rPr>
          <w:color w:val="000000" w:themeColor="text1"/>
          <w:sz w:val="16"/>
          <w:szCs w:val="16"/>
        </w:rPr>
        <w:softHyphen/>
        <w:t>ности 960 самолетов Ил-10 и 1634 са</w:t>
      </w:r>
      <w:r w:rsidRPr="00925F26">
        <w:rPr>
          <w:color w:val="000000" w:themeColor="text1"/>
          <w:sz w:val="16"/>
          <w:szCs w:val="16"/>
        </w:rPr>
        <w:softHyphen/>
        <w:t>молетов Ил-2. То есть, общий выпуск «десяток» в первом полугодии должен был соста</w:t>
      </w:r>
      <w:r w:rsidRPr="00925F26">
        <w:rPr>
          <w:color w:val="000000" w:themeColor="text1"/>
          <w:sz w:val="16"/>
          <w:szCs w:val="16"/>
        </w:rPr>
        <w:softHyphen/>
        <w:t>вить 1435 самолетов Ил-10, однако реалии оказались далеки от планово</w:t>
      </w:r>
      <w:r w:rsidRPr="00925F26">
        <w:rPr>
          <w:color w:val="000000" w:themeColor="text1"/>
          <w:sz w:val="16"/>
          <w:szCs w:val="16"/>
        </w:rPr>
        <w:softHyphen/>
        <w:t>го уровня, и кондиционных «десяток» в 1-й заб постоянно не хватало для обеспечения бесперебойного процес</w:t>
      </w:r>
      <w:r w:rsidRPr="00925F26">
        <w:rPr>
          <w:color w:val="000000" w:themeColor="text1"/>
          <w:sz w:val="16"/>
          <w:szCs w:val="16"/>
        </w:rPr>
        <w:softHyphen/>
        <w:t>са переучивания маршевых полков (11131).</w:t>
      </w:r>
    </w:p>
    <w:p w14:paraId="5C5DDB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7B5CC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на 31 заводе сделали Як-3 с ВК107А цельнометаллический на основе серийного N 70-03, выпущенного на 31 заводе в марте 1945, и начались заводские испытания, которые продолжались по 10 мая 1945 (65,192).</w:t>
      </w:r>
    </w:p>
    <w:p w14:paraId="34777B9A" w14:textId="77777777" w:rsidR="00665165" w:rsidRPr="00925F26" w:rsidRDefault="00665165" w:rsidP="00925F26">
      <w:pPr>
        <w:autoSpaceDE w:val="0"/>
        <w:autoSpaceDN w:val="0"/>
        <w:adjustRightInd w:val="0"/>
        <w:jc w:val="both"/>
        <w:rPr>
          <w:color w:val="000000" w:themeColor="text1"/>
          <w:sz w:val="16"/>
          <w:szCs w:val="16"/>
        </w:rPr>
      </w:pPr>
    </w:p>
    <w:p w14:paraId="66CD9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12 апреля 1945 самолет Як-3 М-107А №7003 завода №31 выкатили на аэродром. К 1 апреля 1945 года головную серийную машину Як-3 М-107А №7003 завода № 31 доставили по железной дороге на завод №115. Стыковка самолета и исправление производственных дефектов продолжались 11 дней.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w:t>
      </w:r>
      <w:proofErr w:type="gramStart"/>
      <w:r w:rsidRPr="00925F26">
        <w:rPr>
          <w:color w:val="000000" w:themeColor="text1"/>
          <w:sz w:val="16"/>
          <w:szCs w:val="16"/>
        </w:rPr>
        <w:t>маслорадиа- тор</w:t>
      </w:r>
      <w:proofErr w:type="gramEnd"/>
      <w:r w:rsidRPr="00925F26">
        <w:rPr>
          <w:color w:val="000000" w:themeColor="text1"/>
          <w:sz w:val="16"/>
          <w:szCs w:val="16"/>
        </w:rPr>
        <w:t xml:space="preserve"> типа 555 на ОП-622 с большей охлаждающей поверхностью, а в качестве передатчика использовали РСИ-ЗМ-1 (12047).</w:t>
      </w:r>
    </w:p>
    <w:p w14:paraId="7749F09B" w14:textId="77777777" w:rsidR="00665165" w:rsidRPr="00925F26" w:rsidRDefault="00665165" w:rsidP="00925F26">
      <w:pPr>
        <w:autoSpaceDE w:val="0"/>
        <w:autoSpaceDN w:val="0"/>
        <w:adjustRightInd w:val="0"/>
        <w:jc w:val="both"/>
        <w:rPr>
          <w:color w:val="000000" w:themeColor="text1"/>
          <w:sz w:val="16"/>
          <w:szCs w:val="16"/>
        </w:rPr>
      </w:pPr>
    </w:p>
    <w:p w14:paraId="6AA058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12 апреля по 10 мая 1945 года машина №7003 завода №31 проходила заводские испытания. На серийном Як-3 ВК-107А с мотор-пушкой Б-20М и одной синхронной Б-20С применили увеличенный маслорадиатор ОП- 622, стальные тяги управления заменили дюралюминиевыми, обшивка элеронов стала металлической. Успешно пройдя заводские испытания, самолет предъявили в НИИ ВВС.</w:t>
      </w:r>
    </w:p>
    <w:p w14:paraId="247114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Государственные испытания Як-3 ВК- Ю7А с металлическим крылом проходили с 21 мая по 9 июня 1945 года, и акт по их результатам утвердили 27 июня 1945 года.</w:t>
      </w:r>
    </w:p>
    <w:p w14:paraId="21277E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0339E164" w14:textId="77777777" w:rsidR="00665165" w:rsidRPr="00925F26" w:rsidRDefault="00665165" w:rsidP="00925F26">
      <w:pPr>
        <w:autoSpaceDE w:val="0"/>
        <w:autoSpaceDN w:val="0"/>
        <w:adjustRightInd w:val="0"/>
        <w:jc w:val="both"/>
        <w:rPr>
          <w:color w:val="000000" w:themeColor="text1"/>
          <w:sz w:val="16"/>
          <w:szCs w:val="16"/>
        </w:rPr>
      </w:pPr>
    </w:p>
    <w:p w14:paraId="5E8860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прервались до 19 и продолжились по 27 апреля 1945 гос. испытания серийного Як-3 ПФ-2 N 2229 292 завода, выпущенного в ноябре 1944, которые начались с 10 апреля 1945 (805,5).</w:t>
      </w:r>
    </w:p>
    <w:p w14:paraId="30E2E2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0B0913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стт-л В.П.Белодеденко</w:t>
      </w:r>
    </w:p>
    <w:p w14:paraId="764C72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вли к Мванов</w:t>
      </w:r>
    </w:p>
    <w:p w14:paraId="6DC082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0D6280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макс. скорость на 15-19 км/час меньше установленной постановлением ГОКО от 26 октября 1943</w:t>
      </w:r>
    </w:p>
    <w:p w14:paraId="16EED4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объем б/б был на 22 л меньше, чем у с-та Як-1 М “дублер”</w:t>
      </w:r>
    </w:p>
    <w:p w14:paraId="636664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мала дальность р/передатчика (45 км)</w:t>
      </w:r>
    </w:p>
    <w:p w14:paraId="6A1E43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2606E8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721F1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Як-3 № 22-29 с ПФ-2 контрольные испытания прошел неудовлетворительно.</w:t>
      </w:r>
    </w:p>
    <w:p w14:paraId="2D3C64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нем не устранены следующие основаные дефекты, выявленные </w:t>
      </w:r>
      <w:proofErr w:type="gramStart"/>
      <w:r w:rsidRPr="00925F26">
        <w:rPr>
          <w:color w:val="000000" w:themeColor="text1"/>
          <w:sz w:val="16"/>
          <w:szCs w:val="16"/>
        </w:rPr>
        <w:t>при испытаниях</w:t>
      </w:r>
      <w:proofErr w:type="gramEnd"/>
      <w:r w:rsidRPr="00925F26">
        <w:rPr>
          <w:color w:val="000000" w:themeColor="text1"/>
          <w:sz w:val="16"/>
          <w:szCs w:val="16"/>
        </w:rPr>
        <w:t xml:space="preserve"> с-та № 11-12:</w:t>
      </w:r>
    </w:p>
    <w:p w14:paraId="00DB04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6D544E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максимальная дальность радиопередачи (60 км)</w:t>
      </w:r>
    </w:p>
    <w:p w14:paraId="565320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мала емкость б/б (360 л против 372 л у опытного Як-1М “дублер”</w:t>
      </w:r>
    </w:p>
    <w:p w14:paraId="4E06F2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- 3 мая 1945, Лосюков - 4 мая 1945</w:t>
      </w:r>
    </w:p>
    <w:p w14:paraId="7B7F1A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925F26" w14:paraId="2245A203" w14:textId="77777777">
        <w:tc>
          <w:tcPr>
            <w:tcW w:w="3369" w:type="dxa"/>
            <w:tcBorders>
              <w:top w:val="single" w:sz="12" w:space="0" w:color="auto"/>
            </w:tcBorders>
          </w:tcPr>
          <w:p w14:paraId="5623EB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1961" w:type="dxa"/>
            <w:tcBorders>
              <w:top w:val="single" w:sz="12" w:space="0" w:color="auto"/>
            </w:tcBorders>
          </w:tcPr>
          <w:p w14:paraId="3B0AC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282CC0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57EFC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255754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постановлению ГОКО от 26 октября 1943</w:t>
            </w:r>
          </w:p>
        </w:tc>
      </w:tr>
      <w:tr w:rsidR="000F5689" w:rsidRPr="00925F26" w14:paraId="3F313CAA" w14:textId="77777777">
        <w:tc>
          <w:tcPr>
            <w:tcW w:w="3369" w:type="dxa"/>
          </w:tcPr>
          <w:p w14:paraId="646508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1961" w:type="dxa"/>
          </w:tcPr>
          <w:p w14:paraId="12F5DF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961" w:type="dxa"/>
          </w:tcPr>
          <w:p w14:paraId="7D83D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2675</w:t>
            </w:r>
          </w:p>
        </w:tc>
        <w:tc>
          <w:tcPr>
            <w:tcW w:w="1961" w:type="dxa"/>
          </w:tcPr>
          <w:p w14:paraId="45362A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w:t>
            </w:r>
          </w:p>
        </w:tc>
        <w:tc>
          <w:tcPr>
            <w:tcW w:w="1961" w:type="dxa"/>
          </w:tcPr>
          <w:p w14:paraId="4A191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2670</w:t>
            </w:r>
          </w:p>
        </w:tc>
      </w:tr>
      <w:tr w:rsidR="000F5689" w:rsidRPr="00925F26" w14:paraId="4A619D46" w14:textId="77777777">
        <w:tc>
          <w:tcPr>
            <w:tcW w:w="3369" w:type="dxa"/>
          </w:tcPr>
          <w:p w14:paraId="5EF11F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w:t>
            </w:r>
          </w:p>
        </w:tc>
        <w:tc>
          <w:tcPr>
            <w:tcW w:w="1961" w:type="dxa"/>
          </w:tcPr>
          <w:p w14:paraId="636181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961" w:type="dxa"/>
          </w:tcPr>
          <w:p w14:paraId="2EBAF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w:t>
            </w:r>
          </w:p>
        </w:tc>
        <w:tc>
          <w:tcPr>
            <w:tcW w:w="1961" w:type="dxa"/>
          </w:tcPr>
          <w:p w14:paraId="55DEA2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w:t>
            </w:r>
          </w:p>
        </w:tc>
        <w:tc>
          <w:tcPr>
            <w:tcW w:w="1961" w:type="dxa"/>
          </w:tcPr>
          <w:p w14:paraId="590907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r>
      <w:tr w:rsidR="000F5689" w:rsidRPr="00925F26" w14:paraId="6D913479" w14:textId="77777777">
        <w:tc>
          <w:tcPr>
            <w:tcW w:w="3369" w:type="dxa"/>
          </w:tcPr>
          <w:p w14:paraId="1DDB6E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1-й границе высотности</w:t>
            </w:r>
          </w:p>
        </w:tc>
        <w:tc>
          <w:tcPr>
            <w:tcW w:w="1961" w:type="dxa"/>
          </w:tcPr>
          <w:p w14:paraId="0636AF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613/2100</w:t>
            </w:r>
          </w:p>
        </w:tc>
        <w:tc>
          <w:tcPr>
            <w:tcW w:w="1961" w:type="dxa"/>
          </w:tcPr>
          <w:p w14:paraId="7AFD52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610/2200</w:t>
            </w:r>
          </w:p>
        </w:tc>
        <w:tc>
          <w:tcPr>
            <w:tcW w:w="1961" w:type="dxa"/>
          </w:tcPr>
          <w:p w14:paraId="635FCC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610/1600</w:t>
            </w:r>
          </w:p>
        </w:tc>
        <w:tc>
          <w:tcPr>
            <w:tcW w:w="1961" w:type="dxa"/>
          </w:tcPr>
          <w:p w14:paraId="6D2CDF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10BBE91" w14:textId="77777777">
        <w:tc>
          <w:tcPr>
            <w:tcW w:w="3369" w:type="dxa"/>
          </w:tcPr>
          <w:p w14:paraId="7696F0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границе высотности</w:t>
            </w:r>
          </w:p>
        </w:tc>
        <w:tc>
          <w:tcPr>
            <w:tcW w:w="1961" w:type="dxa"/>
          </w:tcPr>
          <w:p w14:paraId="17A3C9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639/4150</w:t>
            </w:r>
          </w:p>
        </w:tc>
        <w:tc>
          <w:tcPr>
            <w:tcW w:w="1961" w:type="dxa"/>
          </w:tcPr>
          <w:p w14:paraId="01710F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631/4200</w:t>
            </w:r>
          </w:p>
        </w:tc>
        <w:tc>
          <w:tcPr>
            <w:tcW w:w="1961" w:type="dxa"/>
          </w:tcPr>
          <w:p w14:paraId="695BB2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642/3750</w:t>
            </w:r>
          </w:p>
        </w:tc>
        <w:tc>
          <w:tcPr>
            <w:tcW w:w="1961" w:type="dxa"/>
          </w:tcPr>
          <w:p w14:paraId="7DDEA2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r>
      <w:tr w:rsidR="000F5689" w:rsidRPr="00925F26" w14:paraId="23F23C32" w14:textId="77777777">
        <w:tc>
          <w:tcPr>
            <w:tcW w:w="3369" w:type="dxa"/>
            <w:tcBorders>
              <w:bottom w:val="single" w:sz="12" w:space="0" w:color="auto"/>
            </w:tcBorders>
          </w:tcPr>
          <w:p w14:paraId="1A9AAC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w:t>
            </w:r>
          </w:p>
        </w:tc>
        <w:tc>
          <w:tcPr>
            <w:tcW w:w="1961" w:type="dxa"/>
            <w:tcBorders>
              <w:bottom w:val="single" w:sz="12" w:space="0" w:color="auto"/>
            </w:tcBorders>
          </w:tcPr>
          <w:p w14:paraId="3AE9AB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961" w:type="dxa"/>
            <w:tcBorders>
              <w:bottom w:val="single" w:sz="12" w:space="0" w:color="auto"/>
            </w:tcBorders>
          </w:tcPr>
          <w:p w14:paraId="317113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961" w:type="dxa"/>
            <w:tcBorders>
              <w:bottom w:val="single" w:sz="12" w:space="0" w:color="auto"/>
            </w:tcBorders>
          </w:tcPr>
          <w:p w14:paraId="5A0A72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961" w:type="dxa"/>
            <w:tcBorders>
              <w:bottom w:val="single" w:sz="12" w:space="0" w:color="auto"/>
            </w:tcBorders>
          </w:tcPr>
          <w:p w14:paraId="5DC68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bl>
    <w:p w14:paraId="1EFC05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1хТМА-2- ШВАК и 2хБС синхр.</w:t>
      </w:r>
    </w:p>
    <w:p w14:paraId="455DC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серийного с-та № 11-12, проходившего КИ в сентябре 1944 имеет следующие основные отличия:</w:t>
      </w:r>
    </w:p>
    <w:p w14:paraId="38CE23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планеру</w:t>
      </w:r>
    </w:p>
    <w:p w14:paraId="573CA4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проведены мероприятия по улучшению аэродинамики с-та</w:t>
      </w:r>
    </w:p>
    <w:p w14:paraId="4C6F7E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уменьшены щели между крылом и элеронами, между килем и РП и между стабилизатором и РВ</w:t>
      </w:r>
    </w:p>
    <w:p w14:paraId="6C5458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уменьшены вырезы под кронштейны элеронов и рулей</w:t>
      </w:r>
    </w:p>
    <w:p w14:paraId="7AD31C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улучшена герметичность с-та</w:t>
      </w:r>
    </w:p>
    <w:p w14:paraId="10012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поставлены замки на центральные щитки шасси</w:t>
      </w:r>
    </w:p>
    <w:p w14:paraId="16D84C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повышена прочность крыла:</w:t>
      </w:r>
    </w:p>
    <w:p w14:paraId="02F3B7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увеличена вдвое площадь склейки средней части нервюр 8, 9, 10, 11, 14, 16, 18 с верхней обшивкой</w:t>
      </w:r>
    </w:p>
    <w:p w14:paraId="5AC27D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726153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средняя часть и шпон лобовой части обшивки приклеены клеем ВИАМ-Б-3</w:t>
      </w:r>
    </w:p>
    <w:p w14:paraId="1AC79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 ВМГ - установлено приспособление для газового запуска мотора...</w:t>
      </w:r>
    </w:p>
    <w:p w14:paraId="76D66C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 - вместо передатчика РСИ-3 установлен РСИ-3М-1...</w:t>
      </w:r>
    </w:p>
    <w:p w14:paraId="1B0DBE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795F5B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5A587B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выполнено 20 полетов с общим налетом 12:16</w:t>
      </w:r>
    </w:p>
    <w:p w14:paraId="0F7998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2146 при нормальном полетном 2710. Ц/т 24,7%</w:t>
      </w:r>
    </w:p>
    <w:p w14:paraId="46E5FB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- 90</w:t>
      </w:r>
    </w:p>
    <w:p w14:paraId="7FE1F0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- 360 л (уд. Вес 0,741) - 267 кг</w:t>
      </w:r>
    </w:p>
    <w:p w14:paraId="19C4C7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- 95,5</w:t>
      </w:r>
    </w:p>
    <w:p w14:paraId="2D2639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боезапас - 77,5</w:t>
      </w:r>
    </w:p>
    <w:p w14:paraId="2E86AE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- 14</w:t>
      </w:r>
    </w:p>
    <w:p w14:paraId="7FD794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564 кг</w:t>
      </w:r>
    </w:p>
    <w:p w14:paraId="0C634F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58E850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Перечень дефектов и конструктивных недостатков, выявленных при испытаниях:</w:t>
      </w:r>
    </w:p>
    <w:p w14:paraId="635C24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отсос щитков шасси при полете на повышенной скорости</w:t>
      </w:r>
    </w:p>
    <w:p w14:paraId="60EBA7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отставание обшивки в нижней части конца фюзеляжа, отставание обшивки киля</w:t>
      </w:r>
    </w:p>
    <w:p w14:paraId="4B7B32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искажения сферического козырька кабины фонаря, видемость через него неудовлетворительна</w:t>
      </w:r>
    </w:p>
    <w:p w14:paraId="505462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велики усилия на ручке элеронов и РВ, малая эффективность триммер РВ</w:t>
      </w:r>
    </w:p>
    <w:p w14:paraId="50621C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5EECD8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Механические бензомеры непригодны для расхода горючего.</w:t>
      </w:r>
    </w:p>
    <w:p w14:paraId="3F37E4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Радиосвязь на землю с высоты 1000 м - 60 км</w:t>
      </w:r>
    </w:p>
    <w:p w14:paraId="5E34B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283955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Вентиляция кабины эффективна</w:t>
      </w:r>
    </w:p>
    <w:p w14:paraId="3A8C74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огнем пушки и пулеметов - удачное</w:t>
      </w:r>
    </w:p>
    <w:p w14:paraId="396AAA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C21A7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Иванов - подписал 30 апреля 1945</w:t>
      </w:r>
    </w:p>
    <w:p w14:paraId="42109F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Прошаков, Хомяков, Седов, Антипов, Кувшинов - подписали 30 апреля 1945 (805,5).</w:t>
      </w:r>
    </w:p>
    <w:p w14:paraId="12B5F063" w14:textId="77777777" w:rsidR="00665165" w:rsidRPr="00925F26" w:rsidRDefault="00665165" w:rsidP="00925F26">
      <w:pPr>
        <w:autoSpaceDE w:val="0"/>
        <w:autoSpaceDN w:val="0"/>
        <w:adjustRightInd w:val="0"/>
        <w:jc w:val="both"/>
        <w:rPr>
          <w:color w:val="000000" w:themeColor="text1"/>
          <w:sz w:val="16"/>
          <w:szCs w:val="16"/>
        </w:rPr>
      </w:pPr>
    </w:p>
    <w:p w14:paraId="49BD7925" w14:textId="77777777" w:rsidR="002F4C31" w:rsidRPr="001A0BAA" w:rsidRDefault="002F4C31" w:rsidP="002F4C31">
      <w:pPr>
        <w:jc w:val="both"/>
        <w:rPr>
          <w:color w:val="0070C0"/>
          <w:sz w:val="16"/>
          <w:szCs w:val="16"/>
        </w:rPr>
      </w:pPr>
      <w:r w:rsidRPr="001A0BAA">
        <w:rPr>
          <w:color w:val="0070C0"/>
          <w:sz w:val="16"/>
          <w:szCs w:val="16"/>
        </w:rPr>
        <w:t>С 12 апреля по 10 мая 1945 года продолжались заводские испытания прототипа цельнометаллического самолета Як-3 с ВК-107А, изготовленного на заводе № 31 в Тбилиси 31 марта. Состоялось 13 полетов общей продолжительностью 4 часа 36 минут. Скорость на высотах 3200, 5000 и 5900 метров составляла 673, 688 и 706 км/ч соответственно. Порядка 20 км/ч скорости терялось из</w:t>
      </w:r>
      <w:r w:rsidRPr="001A0BAA">
        <w:rPr>
          <w:color w:val="0070C0"/>
          <w:sz w:val="16"/>
          <w:szCs w:val="16"/>
        </w:rPr>
        <w:noBreakHyphen/>
        <w:t>за необходимости держать воздухозаборник водяного радиатора максимально распахнутым и недостаточно плотного прилегания створок ниши главного шасси. В ходе боевого разворота у земли Як</w:t>
      </w:r>
      <w:r w:rsidRPr="001A0BAA">
        <w:rPr>
          <w:color w:val="0070C0"/>
          <w:sz w:val="16"/>
          <w:szCs w:val="16"/>
        </w:rPr>
        <w:noBreakHyphen/>
        <w:t xml:space="preserve">3 набирал 1400–1450 метров, а на высоте 5000 метров </w:t>
      </w:r>
      <w:r w:rsidRPr="001A0BAA">
        <w:rPr>
          <w:color w:val="0070C0"/>
          <w:sz w:val="16"/>
          <w:szCs w:val="16"/>
        </w:rPr>
        <w:noBreakHyphen/>
        <w:t>1300 метров. Уменьшение емкости баков сократило дальность полета до 780 км. Самолет легко слушался рулей, причем усилие на органах управления требовалось меньшее, чем Яка</w:t>
      </w:r>
      <w:r w:rsidRPr="001A0BAA">
        <w:rPr>
          <w:color w:val="0070C0"/>
          <w:sz w:val="16"/>
          <w:szCs w:val="16"/>
        </w:rPr>
        <w:noBreakHyphen/>
        <w:t>3 со смешанной конструкцией.</w:t>
      </w:r>
    </w:p>
    <w:p w14:paraId="04DD6AC5" w14:textId="77777777" w:rsidR="002F4C31" w:rsidRPr="001A0BAA" w:rsidRDefault="002F4C31" w:rsidP="002F4C31">
      <w:pPr>
        <w:jc w:val="both"/>
        <w:rPr>
          <w:color w:val="0070C0"/>
          <w:sz w:val="16"/>
          <w:szCs w:val="16"/>
        </w:rPr>
      </w:pPr>
      <w:r w:rsidRPr="001A0BAA">
        <w:rPr>
          <w:color w:val="0070C0"/>
          <w:sz w:val="16"/>
          <w:szCs w:val="16"/>
        </w:rPr>
        <w:t>Самолет направили на государственные испытания, которые продолжались с 25 мая по 9 июня 1945 года. Самолет совершил 44 полета и получил рекомендацию к серийному производству. Завод № 31 в Тбилиси в 1945 году выпустил 40 цельнометаллических Яка</w:t>
      </w:r>
      <w:r w:rsidRPr="001A0BAA">
        <w:rPr>
          <w:color w:val="0070C0"/>
          <w:sz w:val="16"/>
          <w:szCs w:val="16"/>
        </w:rPr>
        <w:noBreakHyphen/>
        <w:t>3, еще восемь машин собрали в 1946 году. Потом было решено прекратить выпуск Як</w:t>
      </w:r>
      <w:r w:rsidRPr="001A0BAA">
        <w:rPr>
          <w:color w:val="0070C0"/>
          <w:sz w:val="16"/>
          <w:szCs w:val="16"/>
        </w:rPr>
        <w:noBreakHyphen/>
        <w:t>3 с двигателем ВК</w:t>
      </w:r>
      <w:r w:rsidRPr="001A0BAA">
        <w:rPr>
          <w:color w:val="0070C0"/>
          <w:sz w:val="16"/>
          <w:szCs w:val="16"/>
        </w:rPr>
        <w:noBreakHyphen/>
        <w:t>107А, переключившись на выпуск Як</w:t>
      </w:r>
      <w:r w:rsidRPr="001A0BAA">
        <w:rPr>
          <w:color w:val="0070C0"/>
          <w:sz w:val="16"/>
          <w:szCs w:val="16"/>
        </w:rPr>
        <w:noBreakHyphen/>
        <w:t>9У, которые лучше соответствовали новому мотору (25076).</w:t>
      </w:r>
    </w:p>
    <w:p w14:paraId="3D55B160" w14:textId="77777777" w:rsidR="002F4C31" w:rsidRPr="001A0BAA" w:rsidRDefault="002F4C31" w:rsidP="002F4C31">
      <w:pPr>
        <w:jc w:val="both"/>
        <w:rPr>
          <w:color w:val="0070C0"/>
          <w:sz w:val="16"/>
          <w:szCs w:val="16"/>
        </w:rPr>
      </w:pPr>
    </w:p>
    <w:p w14:paraId="68D3C4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ГОКО N 8068с о демонтаже и вывозу оборудования с заводов: картеров Мерседес-Бенц на 265 в Воронеж, распределительных валов в Голлнов на 265 завод в Воронеже, блоков двигателей в м. Хохенкругг в Альтдамм на 478 в Запорожье, сборочного цеха фирмы Мерседес-Бенц в г. Альтдамм на 478 завод в Запорожье, завода ФАМО в Бреслау на завод 274 в Ленинграде, завода 30 в Будафок на завод 478 в Будапеште, фирмы Шмидт в г. Мариенверде на 287 в Ленинграде, станции Дейтч Айлау на завод 287 в Ленинграде, алюминиевого проката фирмы Дюренер Металверке в Шверине на 150 в Ступино, фирмы Гесснер в г. Реднитц на 451 в Москве, агрегатного завода в г. Реппен на 126 в Подольске, фирмы Опто-Радио в г. Грюнберг на 382 в Москве и 555 в Вильнюсе, винтового завода Нуго-Гейне в г. Рауша на 283 в Москве, фирмы Телефункен в Фрейштадте в ЦКБ-17 в Москве, приборного завода в г. Кюстрин на 87 во Львов, фирмы Сименс в г. Заган на 483 в Киеве, радиодеталей в г. Мальцмитц на 555 в Вильнюс (1874,11).</w:t>
      </w:r>
    </w:p>
    <w:p w14:paraId="1F1EC2F9" w14:textId="77777777" w:rsidR="00665165" w:rsidRPr="00925F26" w:rsidRDefault="00665165" w:rsidP="00925F26">
      <w:pPr>
        <w:autoSpaceDE w:val="0"/>
        <w:autoSpaceDN w:val="0"/>
        <w:adjustRightInd w:val="0"/>
        <w:jc w:val="both"/>
        <w:rPr>
          <w:color w:val="000000" w:themeColor="text1"/>
          <w:sz w:val="16"/>
          <w:szCs w:val="16"/>
        </w:rPr>
      </w:pPr>
    </w:p>
    <w:p w14:paraId="7A2A8D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ГОКО N 8068с о демонтаже и вывозу оборудования с завода фирмы Шмидт в г. Мариенвердер (1874,11).</w:t>
      </w:r>
    </w:p>
    <w:p w14:paraId="4D8C9035" w14:textId="77777777" w:rsidR="00665165" w:rsidRPr="00925F26" w:rsidRDefault="00665165" w:rsidP="00925F26">
      <w:pPr>
        <w:autoSpaceDE w:val="0"/>
        <w:autoSpaceDN w:val="0"/>
        <w:adjustRightInd w:val="0"/>
        <w:jc w:val="both"/>
        <w:rPr>
          <w:color w:val="000000" w:themeColor="text1"/>
          <w:sz w:val="16"/>
          <w:szCs w:val="16"/>
        </w:rPr>
      </w:pPr>
    </w:p>
    <w:p w14:paraId="24852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было вывезено на склад НКО N 511 в Москве оборудование и приборы со станции Дейч Айлау (1874,14).</w:t>
      </w:r>
    </w:p>
    <w:p w14:paraId="234A63ED" w14:textId="77777777" w:rsidR="00665165" w:rsidRPr="00925F26" w:rsidRDefault="00665165" w:rsidP="00925F26">
      <w:pPr>
        <w:autoSpaceDE w:val="0"/>
        <w:autoSpaceDN w:val="0"/>
        <w:adjustRightInd w:val="0"/>
        <w:jc w:val="both"/>
        <w:rPr>
          <w:color w:val="000000" w:themeColor="text1"/>
          <w:sz w:val="16"/>
          <w:szCs w:val="16"/>
        </w:rPr>
      </w:pPr>
    </w:p>
    <w:p w14:paraId="77E834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ГОКО N 8069с о демонтаже и вывозу оборудования с завода Пресс-Верк АО Обертхютте в м. Лобанд, район г. Глейвиц на 65 завод в Сетуни (1874,11).</w:t>
      </w:r>
    </w:p>
    <w:p w14:paraId="223584BB" w14:textId="77777777" w:rsidR="00665165" w:rsidRPr="00925F26" w:rsidRDefault="00665165" w:rsidP="00925F26">
      <w:pPr>
        <w:autoSpaceDE w:val="0"/>
        <w:autoSpaceDN w:val="0"/>
        <w:adjustRightInd w:val="0"/>
        <w:jc w:val="both"/>
        <w:rPr>
          <w:color w:val="000000" w:themeColor="text1"/>
          <w:sz w:val="16"/>
          <w:szCs w:val="16"/>
        </w:rPr>
      </w:pPr>
    </w:p>
    <w:p w14:paraId="7A31BC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ГОКО N 8083с о демонтаже и вывозу оборудования фабрики Вильгельм Беккер в г. Штольп в Ленинград на 162 завод (1874,11).</w:t>
      </w:r>
    </w:p>
    <w:p w14:paraId="6120CC6F" w14:textId="77777777" w:rsidR="00665165" w:rsidRPr="00925F26" w:rsidRDefault="00665165" w:rsidP="00925F26">
      <w:pPr>
        <w:autoSpaceDE w:val="0"/>
        <w:autoSpaceDN w:val="0"/>
        <w:adjustRightInd w:val="0"/>
        <w:jc w:val="both"/>
        <w:rPr>
          <w:color w:val="000000" w:themeColor="text1"/>
          <w:sz w:val="16"/>
          <w:szCs w:val="16"/>
        </w:rPr>
      </w:pPr>
    </w:p>
    <w:p w14:paraId="424F9B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г. вышло Постановление ГКО № 8068 «О вывозе оборудования и материалов с немецких заводов на предприятия Наркомавиапрома» (Д. 471. Л. 134–144).</w:t>
      </w:r>
    </w:p>
    <w:p w14:paraId="03004FC3" w14:textId="77777777" w:rsidR="00665165" w:rsidRPr="00925F26" w:rsidRDefault="00665165" w:rsidP="00925F26">
      <w:pPr>
        <w:autoSpaceDE w:val="0"/>
        <w:autoSpaceDN w:val="0"/>
        <w:adjustRightInd w:val="0"/>
        <w:jc w:val="both"/>
        <w:rPr>
          <w:color w:val="000000" w:themeColor="text1"/>
          <w:sz w:val="16"/>
          <w:szCs w:val="16"/>
        </w:rPr>
      </w:pPr>
    </w:p>
    <w:p w14:paraId="3E0093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8068 О вывозе оборудования и материалов с немецких заводов на предприятия Наркомавиапрома. РГАНИР, Фонд ГКО, д. 391, лл. 73-77 (11012).</w:t>
      </w:r>
    </w:p>
    <w:p w14:paraId="37268C89" w14:textId="77777777" w:rsidR="00665165" w:rsidRPr="00925F26" w:rsidRDefault="00665165" w:rsidP="00925F26">
      <w:pPr>
        <w:autoSpaceDE w:val="0"/>
        <w:autoSpaceDN w:val="0"/>
        <w:adjustRightInd w:val="0"/>
        <w:jc w:val="both"/>
        <w:rPr>
          <w:color w:val="000000" w:themeColor="text1"/>
          <w:sz w:val="16"/>
          <w:szCs w:val="16"/>
        </w:rPr>
      </w:pPr>
    </w:p>
    <w:p w14:paraId="5CEA2C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года Постановлением ГОКО № 8068 НКАП было передано оборудование завода авиамоторных деталей в Закрау.</w:t>
      </w:r>
    </w:p>
    <w:p w14:paraId="1EC39872" w14:textId="77777777" w:rsidR="00665165" w:rsidRPr="00925F26" w:rsidRDefault="00665165" w:rsidP="00925F26">
      <w:pPr>
        <w:autoSpaceDE w:val="0"/>
        <w:autoSpaceDN w:val="0"/>
        <w:adjustRightInd w:val="0"/>
        <w:jc w:val="both"/>
        <w:rPr>
          <w:color w:val="000000" w:themeColor="text1"/>
          <w:sz w:val="16"/>
          <w:szCs w:val="16"/>
        </w:rPr>
      </w:pPr>
    </w:p>
    <w:p w14:paraId="50BC06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г. вышло Постановление ГКО № 8083 «О вывозе оборудования цеха по производству лопастей авиационных винтов с немецкой мебельной фабрики фирмы “Вильгельм Беккер” в г. Штольц» (Д. 471. Л. 167).</w:t>
      </w:r>
    </w:p>
    <w:p w14:paraId="5863D206" w14:textId="77777777" w:rsidR="00665165" w:rsidRPr="00925F26" w:rsidRDefault="00665165" w:rsidP="00925F26">
      <w:pPr>
        <w:autoSpaceDE w:val="0"/>
        <w:autoSpaceDN w:val="0"/>
        <w:adjustRightInd w:val="0"/>
        <w:jc w:val="both"/>
        <w:rPr>
          <w:color w:val="000000" w:themeColor="text1"/>
          <w:sz w:val="16"/>
          <w:szCs w:val="16"/>
        </w:rPr>
      </w:pPr>
    </w:p>
    <w:p w14:paraId="087D15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года вышло решение ГОКО № 8103 о создании в системе НКАП трех Особых монтажных управления для демонтажа германских авиационных заводов (8971).</w:t>
      </w:r>
    </w:p>
    <w:p w14:paraId="419CC07A" w14:textId="77777777" w:rsidR="00665165" w:rsidRPr="00925F26" w:rsidRDefault="00665165" w:rsidP="00925F26">
      <w:pPr>
        <w:autoSpaceDE w:val="0"/>
        <w:autoSpaceDN w:val="0"/>
        <w:adjustRightInd w:val="0"/>
        <w:jc w:val="both"/>
        <w:rPr>
          <w:color w:val="000000" w:themeColor="text1"/>
          <w:sz w:val="16"/>
          <w:szCs w:val="16"/>
        </w:rPr>
      </w:pPr>
    </w:p>
    <w:p w14:paraId="3590E9B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3636382" w14:textId="77777777" w:rsidR="00665165" w:rsidRPr="00925F26" w:rsidRDefault="00665165" w:rsidP="00925F26">
      <w:pPr>
        <w:autoSpaceDE w:val="0"/>
        <w:autoSpaceDN w:val="0"/>
        <w:adjustRightInd w:val="0"/>
        <w:jc w:val="both"/>
        <w:rPr>
          <w:iCs/>
          <w:color w:val="000000" w:themeColor="text1"/>
          <w:sz w:val="16"/>
          <w:szCs w:val="16"/>
        </w:rPr>
      </w:pPr>
    </w:p>
    <w:p w14:paraId="66ED2B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ап</w:t>
      </w:r>
      <w:r w:rsidRPr="00925F26">
        <w:rPr>
          <w:color w:val="000000" w:themeColor="text1"/>
          <w:sz w:val="16"/>
          <w:szCs w:val="16"/>
        </w:rPr>
        <w:softHyphen/>
        <w:t>реля 1945 г. хакончились государственные испытания танка ИС-3 на НИБТ полигоне, которые проходили с 23 марта.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925F26">
        <w:rPr>
          <w:color w:val="000000" w:themeColor="text1"/>
          <w:sz w:val="16"/>
          <w:szCs w:val="16"/>
        </w:rPr>
        <w:t>...(</w:t>
      </w:r>
      <w:proofErr w:type="gramEnd"/>
      <w:r w:rsidRPr="00925F26">
        <w:rPr>
          <w:color w:val="000000" w:themeColor="text1"/>
          <w:sz w:val="16"/>
          <w:szCs w:val="16"/>
        </w:rPr>
        <w:t>11135).</w:t>
      </w:r>
    </w:p>
    <w:p w14:paraId="339852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5B069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8069 О вывозе оборудования с немецкого завода "Прессверк" акционерного общества "Оберхютте" (местечко Лабанд, Верхняя Силезия). РГАНИР, Фонд ГКО, д. 391, лл. 78-80 (11012).</w:t>
      </w:r>
    </w:p>
    <w:p w14:paraId="0BC9D684" w14:textId="77777777" w:rsidR="00665165" w:rsidRPr="00925F26" w:rsidRDefault="00665165" w:rsidP="00925F26">
      <w:pPr>
        <w:autoSpaceDE w:val="0"/>
        <w:autoSpaceDN w:val="0"/>
        <w:adjustRightInd w:val="0"/>
        <w:jc w:val="both"/>
        <w:rPr>
          <w:color w:val="000000" w:themeColor="text1"/>
          <w:sz w:val="16"/>
          <w:szCs w:val="16"/>
        </w:rPr>
      </w:pPr>
    </w:p>
    <w:p w14:paraId="59373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8070 О вывозе оборудования по производству артиллерии с венгерских железо-сталеделательных и машиностроительных заводов в г. г. Мишкольц, Асод и Дьёндьёш. РГАНИР, Фонд ГКО, д. 391, лл. 81-82 (11012).</w:t>
      </w:r>
    </w:p>
    <w:p w14:paraId="374F7AE0" w14:textId="77777777" w:rsidR="00665165" w:rsidRPr="00925F26" w:rsidRDefault="00665165" w:rsidP="00925F26">
      <w:pPr>
        <w:autoSpaceDE w:val="0"/>
        <w:autoSpaceDN w:val="0"/>
        <w:adjustRightInd w:val="0"/>
        <w:jc w:val="both"/>
        <w:rPr>
          <w:color w:val="000000" w:themeColor="text1"/>
          <w:sz w:val="16"/>
          <w:szCs w:val="16"/>
        </w:rPr>
      </w:pPr>
    </w:p>
    <w:p w14:paraId="7F29AB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8071 О вывозе оборудования снарядного и снаряжательного цехов Имперского артиллерийского завода в г. Диош-Дьере (Венгрия). РГАНИР, Фонд ГКО, д. 391, лл. 83-84 (11012).</w:t>
      </w:r>
    </w:p>
    <w:p w14:paraId="7CAC16E9" w14:textId="77777777" w:rsidR="00665165" w:rsidRPr="00925F26" w:rsidRDefault="00665165" w:rsidP="00925F26">
      <w:pPr>
        <w:autoSpaceDE w:val="0"/>
        <w:autoSpaceDN w:val="0"/>
        <w:adjustRightInd w:val="0"/>
        <w:jc w:val="both"/>
        <w:rPr>
          <w:color w:val="000000" w:themeColor="text1"/>
          <w:sz w:val="16"/>
          <w:szCs w:val="16"/>
        </w:rPr>
      </w:pPr>
    </w:p>
    <w:p w14:paraId="70F7E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8072 О вывозе оборудования с оружейного завода "Лампарт" в г. Будапешт. РГАНИР, Фонд ГКО, д. 391, лл. 85-86 (11012).</w:t>
      </w:r>
    </w:p>
    <w:p w14:paraId="7264964D" w14:textId="77777777" w:rsidR="00665165" w:rsidRPr="00925F26" w:rsidRDefault="00665165" w:rsidP="00925F26">
      <w:pPr>
        <w:autoSpaceDE w:val="0"/>
        <w:autoSpaceDN w:val="0"/>
        <w:adjustRightInd w:val="0"/>
        <w:jc w:val="both"/>
        <w:rPr>
          <w:color w:val="000000" w:themeColor="text1"/>
          <w:sz w:val="16"/>
          <w:szCs w:val="16"/>
        </w:rPr>
      </w:pPr>
    </w:p>
    <w:p w14:paraId="17E6E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8073 О вывозе оборудования по производству 105 мм стальных свертных гильз с немецкого завода фирмы "Ундер и Зонн" г. Браунсберг (Восточная Пруссия). РГАНИР, Фонд ГКО, д. 391, лл. 87-88 (11012).</w:t>
      </w:r>
    </w:p>
    <w:p w14:paraId="1126A6A8" w14:textId="77777777" w:rsidR="00665165" w:rsidRPr="00925F26" w:rsidRDefault="00665165" w:rsidP="00925F26">
      <w:pPr>
        <w:autoSpaceDE w:val="0"/>
        <w:autoSpaceDN w:val="0"/>
        <w:adjustRightInd w:val="0"/>
        <w:jc w:val="both"/>
        <w:rPr>
          <w:color w:val="000000" w:themeColor="text1"/>
          <w:sz w:val="16"/>
          <w:szCs w:val="16"/>
        </w:rPr>
      </w:pPr>
    </w:p>
    <w:p w14:paraId="12D42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8074 О вывозе оборудования по производству стрелкового вооружения и патронов с оружейного завода фирмы "Данувиа", оружейного завода "объект № 172" и подземного патронного завода, расположенных в районе г. Будапешт. РГАНИР, Фонд ГКО, д. 391, лл. 89-90 (11012).</w:t>
      </w:r>
    </w:p>
    <w:p w14:paraId="70202D5F" w14:textId="77777777" w:rsidR="00665165" w:rsidRPr="00925F26" w:rsidRDefault="00665165" w:rsidP="00925F26">
      <w:pPr>
        <w:autoSpaceDE w:val="0"/>
        <w:autoSpaceDN w:val="0"/>
        <w:adjustRightInd w:val="0"/>
        <w:jc w:val="both"/>
        <w:rPr>
          <w:color w:val="000000" w:themeColor="text1"/>
          <w:sz w:val="16"/>
          <w:szCs w:val="16"/>
        </w:rPr>
      </w:pPr>
    </w:p>
    <w:p w14:paraId="1D7989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8075 О вывозе металлообрабатывающего оборудования с немецкого механического завода Циммермана в г. Бромберг. РГАНИР, Фонд ГКО, д. 391, лл. 91-92 (11012).</w:t>
      </w:r>
    </w:p>
    <w:p w14:paraId="5AA853B7" w14:textId="77777777" w:rsidR="00665165" w:rsidRPr="00925F26" w:rsidRDefault="00665165" w:rsidP="00925F26">
      <w:pPr>
        <w:autoSpaceDE w:val="0"/>
        <w:autoSpaceDN w:val="0"/>
        <w:adjustRightInd w:val="0"/>
        <w:jc w:val="both"/>
        <w:rPr>
          <w:color w:val="000000" w:themeColor="text1"/>
          <w:sz w:val="16"/>
          <w:szCs w:val="16"/>
        </w:rPr>
      </w:pPr>
    </w:p>
    <w:p w14:paraId="06A06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г. вышло Постановление ГКО № 8076 «О вывозе оборудования по производству танковых моторов с филиалов немецкого завода фирмы “Поммерше моторенверке Штеттин Альдамс” в городах Альтдам, Хохенкруг, Голлнов и местечке Анимсванде (Померания)» (Д. 471. Л. 158–159).</w:t>
      </w:r>
    </w:p>
    <w:p w14:paraId="53F34FEF" w14:textId="77777777" w:rsidR="00665165" w:rsidRPr="00925F26" w:rsidRDefault="00665165" w:rsidP="00925F26">
      <w:pPr>
        <w:autoSpaceDE w:val="0"/>
        <w:autoSpaceDN w:val="0"/>
        <w:adjustRightInd w:val="0"/>
        <w:jc w:val="both"/>
        <w:rPr>
          <w:color w:val="000000" w:themeColor="text1"/>
          <w:sz w:val="16"/>
          <w:szCs w:val="16"/>
        </w:rPr>
      </w:pPr>
    </w:p>
    <w:p w14:paraId="384E66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8077 О вывозе оборудования и материалов с электротехнического и радиотехнического заводов и складов в гг. Будапешт, Костен и Дейч-Кроне. РГАНИР, Фонд ГКО, д. 391, лл. 96-98 (11012).</w:t>
      </w:r>
    </w:p>
    <w:p w14:paraId="32BC654D" w14:textId="77777777" w:rsidR="00665165" w:rsidRPr="00925F26" w:rsidRDefault="00665165" w:rsidP="00925F26">
      <w:pPr>
        <w:autoSpaceDE w:val="0"/>
        <w:autoSpaceDN w:val="0"/>
        <w:adjustRightInd w:val="0"/>
        <w:jc w:val="both"/>
        <w:rPr>
          <w:color w:val="000000" w:themeColor="text1"/>
          <w:sz w:val="16"/>
          <w:szCs w:val="16"/>
        </w:rPr>
      </w:pPr>
    </w:p>
    <w:p w14:paraId="0086FE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8078 О вывозе оборудования и материалов с немецкой фабрики типографских красок концерна "И.Г.Фарбен-Индустри" в г. Торунь (Торн). РГАНИР, Фонд ГКО, д. 391, лл. 99-100 (11012).</w:t>
      </w:r>
    </w:p>
    <w:p w14:paraId="55E087A5" w14:textId="77777777" w:rsidR="00665165" w:rsidRPr="00925F26" w:rsidRDefault="00665165" w:rsidP="00925F26">
      <w:pPr>
        <w:autoSpaceDE w:val="0"/>
        <w:autoSpaceDN w:val="0"/>
        <w:adjustRightInd w:val="0"/>
        <w:jc w:val="both"/>
        <w:rPr>
          <w:color w:val="000000" w:themeColor="text1"/>
          <w:sz w:val="16"/>
          <w:szCs w:val="16"/>
        </w:rPr>
      </w:pPr>
    </w:p>
    <w:p w14:paraId="21C09A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8079 О вывозе оборудования, готовых изделий и полуфабрикатов с немецкого завода шлифовальных кругов фирмы "Август Рюгеберг" в г. Хойнице. РГАНИР, Фонд ГКО, д. 391, лл. 101-102 (11012).</w:t>
      </w:r>
    </w:p>
    <w:p w14:paraId="74FA22E7" w14:textId="77777777" w:rsidR="00665165" w:rsidRPr="00925F26" w:rsidRDefault="00665165" w:rsidP="00925F26">
      <w:pPr>
        <w:autoSpaceDE w:val="0"/>
        <w:autoSpaceDN w:val="0"/>
        <w:adjustRightInd w:val="0"/>
        <w:jc w:val="both"/>
        <w:rPr>
          <w:color w:val="000000" w:themeColor="text1"/>
          <w:sz w:val="16"/>
          <w:szCs w:val="16"/>
        </w:rPr>
      </w:pPr>
    </w:p>
    <w:p w14:paraId="3B19EC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8080 О вывозе оборудования двух автоматических телефонных станций из г. г. Бирнбаум и Швибус. РГАНИР, Фонд ГКО, д. 391, лл. 103 (11012).</w:t>
      </w:r>
    </w:p>
    <w:p w14:paraId="6C84A3B3" w14:textId="77777777" w:rsidR="00665165" w:rsidRPr="00925F26" w:rsidRDefault="00665165" w:rsidP="00925F26">
      <w:pPr>
        <w:autoSpaceDE w:val="0"/>
        <w:autoSpaceDN w:val="0"/>
        <w:adjustRightInd w:val="0"/>
        <w:jc w:val="both"/>
        <w:rPr>
          <w:color w:val="000000" w:themeColor="text1"/>
          <w:sz w:val="16"/>
          <w:szCs w:val="16"/>
        </w:rPr>
      </w:pPr>
    </w:p>
    <w:p w14:paraId="3788F1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8081 О вывозе оборудования и труб газопровода фирмы "Фернгаз Шлезиен А.Г." в г. Блехгаммер. РГАНИР, Фонд ГКО, д. 391, лл. 104-105 (11012).</w:t>
      </w:r>
    </w:p>
    <w:p w14:paraId="1BA895CE" w14:textId="77777777" w:rsidR="00665165" w:rsidRPr="00925F26" w:rsidRDefault="00665165" w:rsidP="00925F26">
      <w:pPr>
        <w:autoSpaceDE w:val="0"/>
        <w:autoSpaceDN w:val="0"/>
        <w:adjustRightInd w:val="0"/>
        <w:jc w:val="both"/>
        <w:rPr>
          <w:color w:val="000000" w:themeColor="text1"/>
          <w:sz w:val="16"/>
          <w:szCs w:val="16"/>
        </w:rPr>
      </w:pPr>
    </w:p>
    <w:p w14:paraId="2D87CD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8082 О вывозе оборудования с двух немецких сетевязальных фабрик в г. Ландсберг (Бранденбург). РГАНИР, Фонд ГКО, д. 391, лл. 106 (11012).</w:t>
      </w:r>
    </w:p>
    <w:p w14:paraId="4DF347D3" w14:textId="77777777" w:rsidR="00665165" w:rsidRPr="00925F26" w:rsidRDefault="00665165" w:rsidP="00925F26">
      <w:pPr>
        <w:autoSpaceDE w:val="0"/>
        <w:autoSpaceDN w:val="0"/>
        <w:adjustRightInd w:val="0"/>
        <w:jc w:val="both"/>
        <w:rPr>
          <w:color w:val="000000" w:themeColor="text1"/>
          <w:sz w:val="16"/>
          <w:szCs w:val="16"/>
        </w:rPr>
      </w:pPr>
    </w:p>
    <w:p w14:paraId="09173D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8084 О вывозе оборудования и материалов с немецких текстильных предприятий в г. г. Нойдамм и Швибус на фабрики Наркомтекстильпрома СССР. РГАНИР, Фонд ГКО, д. 391, лл. 108-109 (11012).</w:t>
      </w:r>
    </w:p>
    <w:p w14:paraId="5BAD7425" w14:textId="77777777" w:rsidR="00665165" w:rsidRPr="00925F26" w:rsidRDefault="00665165" w:rsidP="00925F26">
      <w:pPr>
        <w:autoSpaceDE w:val="0"/>
        <w:autoSpaceDN w:val="0"/>
        <w:adjustRightInd w:val="0"/>
        <w:jc w:val="both"/>
        <w:rPr>
          <w:color w:val="000000" w:themeColor="text1"/>
          <w:sz w:val="16"/>
          <w:szCs w:val="16"/>
        </w:rPr>
      </w:pPr>
    </w:p>
    <w:p w14:paraId="284D8B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8085 О вывозе оборудования по ремонту шоссейных дорог с базы немецкой фирмы "Эмлер" и склада, принадлежащего дорожным частям немецкой армии в г. Бромберг (Польша). РГАНИР, Фонд ГКО, д. 391, лл. 110 (11012).</w:t>
      </w:r>
    </w:p>
    <w:p w14:paraId="41DA7DDB" w14:textId="77777777" w:rsidR="00665165" w:rsidRPr="00925F26" w:rsidRDefault="00665165" w:rsidP="00925F26">
      <w:pPr>
        <w:autoSpaceDE w:val="0"/>
        <w:autoSpaceDN w:val="0"/>
        <w:adjustRightInd w:val="0"/>
        <w:jc w:val="both"/>
        <w:rPr>
          <w:color w:val="000000" w:themeColor="text1"/>
          <w:sz w:val="16"/>
          <w:szCs w:val="16"/>
        </w:rPr>
      </w:pPr>
    </w:p>
    <w:p w14:paraId="761B01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8086 О вывозе оборудования с немецкой судостроительной верфи концерна "Герман Геринг" в г. Будапешт. РГАНИР, Фонд ГКО, д. 391, лл. 111-112 (11012).</w:t>
      </w:r>
    </w:p>
    <w:p w14:paraId="05245EAD" w14:textId="77777777" w:rsidR="00665165" w:rsidRPr="00925F26" w:rsidRDefault="00665165" w:rsidP="00925F26">
      <w:pPr>
        <w:autoSpaceDE w:val="0"/>
        <w:autoSpaceDN w:val="0"/>
        <w:adjustRightInd w:val="0"/>
        <w:jc w:val="both"/>
        <w:rPr>
          <w:color w:val="000000" w:themeColor="text1"/>
          <w:sz w:val="16"/>
          <w:szCs w:val="16"/>
        </w:rPr>
      </w:pPr>
    </w:p>
    <w:p w14:paraId="5F50B4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8087 О вывозе проката черных металлов и цветных материалов с 1-го Белорусского фронта. РГАНИР, Фонд ГКО, д. 391, лл. 113 (11012).</w:t>
      </w:r>
    </w:p>
    <w:p w14:paraId="3617CF61" w14:textId="77777777" w:rsidR="00665165" w:rsidRPr="00925F26" w:rsidRDefault="00665165" w:rsidP="00925F26">
      <w:pPr>
        <w:autoSpaceDE w:val="0"/>
        <w:autoSpaceDN w:val="0"/>
        <w:adjustRightInd w:val="0"/>
        <w:jc w:val="both"/>
        <w:rPr>
          <w:color w:val="000000" w:themeColor="text1"/>
          <w:sz w:val="16"/>
          <w:szCs w:val="16"/>
        </w:rPr>
      </w:pPr>
    </w:p>
    <w:p w14:paraId="4A7B9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8088 О вывозе оборудования с коксохимических заводов фирмы "Шафготч" в г. Одерталь, "Скалляйн" в г. Гинденбург, завода при шахте "Гедвигсвунш" фирмы "Борзиг" в г. Гинденбург, углеобогатительных фабрик "Глейвиц-Груббе " в г. Глейвиц и "Дельбрюк. РГАНИР, Фонд ГКО, д. 391, лл. 114-116 (11012).</w:t>
      </w:r>
    </w:p>
    <w:p w14:paraId="035E81C0" w14:textId="77777777" w:rsidR="00665165" w:rsidRPr="00925F26" w:rsidRDefault="00665165" w:rsidP="00925F26">
      <w:pPr>
        <w:autoSpaceDE w:val="0"/>
        <w:autoSpaceDN w:val="0"/>
        <w:adjustRightInd w:val="0"/>
        <w:jc w:val="both"/>
        <w:rPr>
          <w:color w:val="000000" w:themeColor="text1"/>
          <w:sz w:val="16"/>
          <w:szCs w:val="16"/>
        </w:rPr>
      </w:pPr>
    </w:p>
    <w:p w14:paraId="5BA457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8089 О демонтаже оборудования и строительстве в СССР вывозимых из г. Одерталь завода синтетического бензина и из г. Блехгаммер завода гидрирования угля. РГАНИР, Фонд ГКО, д. 391, лл. 117 (11012).</w:t>
      </w:r>
    </w:p>
    <w:p w14:paraId="4ABABEAC" w14:textId="77777777" w:rsidR="00665165" w:rsidRPr="00925F26" w:rsidRDefault="00665165" w:rsidP="00925F26">
      <w:pPr>
        <w:autoSpaceDE w:val="0"/>
        <w:autoSpaceDN w:val="0"/>
        <w:adjustRightInd w:val="0"/>
        <w:jc w:val="both"/>
        <w:rPr>
          <w:color w:val="000000" w:themeColor="text1"/>
          <w:sz w:val="16"/>
          <w:szCs w:val="16"/>
        </w:rPr>
      </w:pPr>
    </w:p>
    <w:p w14:paraId="7931B0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8090 О вывозе запасных частей к мотоциклам с немецкого склада в г. Лигниц. РГАНИР, Фонд ГКО, д. 391, лл. 118 (11012).</w:t>
      </w:r>
    </w:p>
    <w:p w14:paraId="02533DFB" w14:textId="77777777" w:rsidR="00665165" w:rsidRPr="00925F26" w:rsidRDefault="00665165" w:rsidP="00925F26">
      <w:pPr>
        <w:autoSpaceDE w:val="0"/>
        <w:autoSpaceDN w:val="0"/>
        <w:adjustRightInd w:val="0"/>
        <w:jc w:val="both"/>
        <w:rPr>
          <w:color w:val="000000" w:themeColor="text1"/>
          <w:sz w:val="16"/>
          <w:szCs w:val="16"/>
        </w:rPr>
      </w:pPr>
    </w:p>
    <w:p w14:paraId="4E7D7F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8091 О мероприятиях по вывозу в Советский Союз оборудования с промышленных предприятий Вены. РГАНИР, Фонд ГКО, д. 391, лл. 119 (11012).</w:t>
      </w:r>
    </w:p>
    <w:p w14:paraId="3FA28F35" w14:textId="77777777" w:rsidR="00665165" w:rsidRPr="00925F26" w:rsidRDefault="00665165" w:rsidP="00925F26">
      <w:pPr>
        <w:autoSpaceDE w:val="0"/>
        <w:autoSpaceDN w:val="0"/>
        <w:adjustRightInd w:val="0"/>
        <w:jc w:val="both"/>
        <w:rPr>
          <w:color w:val="000000" w:themeColor="text1"/>
          <w:sz w:val="16"/>
          <w:szCs w:val="16"/>
        </w:rPr>
      </w:pPr>
    </w:p>
    <w:p w14:paraId="5A5CAD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8092 О вывозе оборудования по изготовлению устройств железнодорожной сигнализации и станционной механической блокировки с немецкого завода фирмы "Фибрант" акционерного общества "Сименс-Шукерт" в г. Бромберт (Быдгощ). РГАНИР, Фонд ГКО, д. 391, лл. 120-121 (11012).</w:t>
      </w:r>
    </w:p>
    <w:p w14:paraId="30746D3B" w14:textId="77777777" w:rsidR="00665165" w:rsidRPr="00925F26" w:rsidRDefault="00665165" w:rsidP="00925F26">
      <w:pPr>
        <w:autoSpaceDE w:val="0"/>
        <w:autoSpaceDN w:val="0"/>
        <w:adjustRightInd w:val="0"/>
        <w:jc w:val="both"/>
        <w:rPr>
          <w:color w:val="000000" w:themeColor="text1"/>
          <w:sz w:val="16"/>
          <w:szCs w:val="16"/>
        </w:rPr>
      </w:pPr>
    </w:p>
    <w:p w14:paraId="7D8F4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8093 О вывозе оборудования завода нитроглицериновых порохов, расположенного в районе г. Варпалата (Венгрия). РГАНИР, Фонд ГКО, д. 391, лл. 122-123 (11012).</w:t>
      </w:r>
    </w:p>
    <w:p w14:paraId="7CCDD4D9" w14:textId="77777777" w:rsidR="00665165" w:rsidRPr="00925F26" w:rsidRDefault="00665165" w:rsidP="00925F26">
      <w:pPr>
        <w:autoSpaceDE w:val="0"/>
        <w:autoSpaceDN w:val="0"/>
        <w:adjustRightInd w:val="0"/>
        <w:jc w:val="both"/>
        <w:rPr>
          <w:color w:val="000000" w:themeColor="text1"/>
          <w:sz w:val="16"/>
          <w:szCs w:val="16"/>
        </w:rPr>
      </w:pPr>
    </w:p>
    <w:p w14:paraId="7F6B8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8094 О вывозе оборудования с немецкого паровозовагоноремонтного завода в г. ШтаргарРГАНИР, Фонд ГКО, д. РГАНИР, Фонд ГКО, д. 391, лл. 124 (11012).</w:t>
      </w:r>
    </w:p>
    <w:p w14:paraId="5C102908" w14:textId="77777777" w:rsidR="00665165" w:rsidRPr="00925F26" w:rsidRDefault="00665165" w:rsidP="00925F26">
      <w:pPr>
        <w:autoSpaceDE w:val="0"/>
        <w:autoSpaceDN w:val="0"/>
        <w:adjustRightInd w:val="0"/>
        <w:jc w:val="both"/>
        <w:rPr>
          <w:color w:val="000000" w:themeColor="text1"/>
          <w:sz w:val="16"/>
          <w:szCs w:val="16"/>
        </w:rPr>
      </w:pPr>
    </w:p>
    <w:p w14:paraId="7302FF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8095 О вывозе прокатного оборудования немецкого завода "Никель-Верке" в местечке Лабанд (Верхняя Силезия). РГАНИР, Фонд ГКО, д. 391, лл. 125-126 (11012).</w:t>
      </w:r>
    </w:p>
    <w:p w14:paraId="5523257C" w14:textId="77777777" w:rsidR="00665165" w:rsidRPr="00925F26" w:rsidRDefault="00665165" w:rsidP="00925F26">
      <w:pPr>
        <w:autoSpaceDE w:val="0"/>
        <w:autoSpaceDN w:val="0"/>
        <w:adjustRightInd w:val="0"/>
        <w:jc w:val="both"/>
        <w:rPr>
          <w:color w:val="000000" w:themeColor="text1"/>
          <w:sz w:val="16"/>
          <w:szCs w:val="16"/>
        </w:rPr>
      </w:pPr>
    </w:p>
    <w:p w14:paraId="4061F6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12 апреля 1945 вышло Постановление ГКО № 8096 О вывозе сельскохозяйственных машин и </w:t>
      </w:r>
      <w:proofErr w:type="gramStart"/>
      <w:r w:rsidRPr="00925F26">
        <w:rPr>
          <w:color w:val="000000" w:themeColor="text1"/>
          <w:sz w:val="16"/>
          <w:szCs w:val="16"/>
        </w:rPr>
        <w:t>инвентаря</w:t>
      </w:r>
      <w:proofErr w:type="gramEnd"/>
      <w:r w:rsidRPr="00925F26">
        <w:rPr>
          <w:color w:val="000000" w:themeColor="text1"/>
          <w:sz w:val="16"/>
          <w:szCs w:val="16"/>
        </w:rPr>
        <w:t xml:space="preserve"> и строительных материалов со складов 2-го Украинского и 3-го Белорусского фронтов. РГАНИР, Фонд ГКО, д. 391, лл. 127-128, 129-132 (11012).</w:t>
      </w:r>
    </w:p>
    <w:p w14:paraId="0929B2DC" w14:textId="77777777" w:rsidR="00665165" w:rsidRPr="00925F26" w:rsidRDefault="00665165" w:rsidP="00925F26">
      <w:pPr>
        <w:autoSpaceDE w:val="0"/>
        <w:autoSpaceDN w:val="0"/>
        <w:adjustRightInd w:val="0"/>
        <w:jc w:val="both"/>
        <w:rPr>
          <w:color w:val="000000" w:themeColor="text1"/>
          <w:sz w:val="16"/>
          <w:szCs w:val="16"/>
        </w:rPr>
      </w:pPr>
    </w:p>
    <w:p w14:paraId="1FBF5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8097 О частичных изменениях в постановлениях ГОКО по вопросу о вывозе немецкого оборудования с территории Польши. РГАНИР, Фонд ГКО, д. 391, лл. 133-134 (11012).</w:t>
      </w:r>
    </w:p>
    <w:p w14:paraId="0B55AF0E" w14:textId="77777777" w:rsidR="00665165" w:rsidRPr="00925F26" w:rsidRDefault="00665165" w:rsidP="00925F26">
      <w:pPr>
        <w:autoSpaceDE w:val="0"/>
        <w:autoSpaceDN w:val="0"/>
        <w:adjustRightInd w:val="0"/>
        <w:jc w:val="both"/>
        <w:rPr>
          <w:color w:val="000000" w:themeColor="text1"/>
          <w:sz w:val="16"/>
          <w:szCs w:val="16"/>
        </w:rPr>
      </w:pPr>
    </w:p>
    <w:p w14:paraId="71297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8098 О вывозе оборудования с немецких обувных фабрик фирм "Колленд-Норис" и "Эва Лукус" в г. Ландсберг (Германия, Бранденбург). РГАНИР, Фонд ГКО, д. 391, лл. 135-136 (11012).</w:t>
      </w:r>
    </w:p>
    <w:p w14:paraId="5DEA4A76" w14:textId="77777777" w:rsidR="00665165" w:rsidRPr="00925F26" w:rsidRDefault="00665165" w:rsidP="00925F26">
      <w:pPr>
        <w:autoSpaceDE w:val="0"/>
        <w:autoSpaceDN w:val="0"/>
        <w:adjustRightInd w:val="0"/>
        <w:jc w:val="both"/>
        <w:rPr>
          <w:color w:val="000000" w:themeColor="text1"/>
          <w:sz w:val="16"/>
          <w:szCs w:val="16"/>
        </w:rPr>
      </w:pPr>
    </w:p>
    <w:p w14:paraId="003783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8099 О вывозе оборудования по производству автотракторных и велосипедных деталей и узлов с немецких предприятий, расположенных на территории Польши в г. г. Торно, Семяновице, Быдгощ и Ходзеж, на заводы Наркомсредмаша. РГАНИР, Фонд ГКО, д. 391, лл. 137-13 (11012).</w:t>
      </w:r>
    </w:p>
    <w:p w14:paraId="6CB44901" w14:textId="77777777" w:rsidR="00665165" w:rsidRPr="00925F26" w:rsidRDefault="00665165" w:rsidP="00925F26">
      <w:pPr>
        <w:autoSpaceDE w:val="0"/>
        <w:autoSpaceDN w:val="0"/>
        <w:adjustRightInd w:val="0"/>
        <w:jc w:val="both"/>
        <w:rPr>
          <w:color w:val="000000" w:themeColor="text1"/>
          <w:sz w:val="16"/>
          <w:szCs w:val="16"/>
        </w:rPr>
      </w:pPr>
    </w:p>
    <w:p w14:paraId="5B61A2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8100 О вывозе оборудования по производству велосипедных, автотракторных и вагонных деталей и узлов с немецких заводов в г. г. Мезеритц, Шульц, Грюнберг, Зольдин, Пилюхау и Эльбинг на заводы Наркомсредмаша. РГАНИР, Фонд ГКО, д. 391, лл. 140-141, 142 (11012).</w:t>
      </w:r>
    </w:p>
    <w:p w14:paraId="4B958A1A" w14:textId="77777777" w:rsidR="00665165" w:rsidRPr="00925F26" w:rsidRDefault="00665165" w:rsidP="00925F26">
      <w:pPr>
        <w:autoSpaceDE w:val="0"/>
        <w:autoSpaceDN w:val="0"/>
        <w:adjustRightInd w:val="0"/>
        <w:jc w:val="both"/>
        <w:rPr>
          <w:color w:val="000000" w:themeColor="text1"/>
          <w:sz w:val="16"/>
          <w:szCs w:val="16"/>
        </w:rPr>
      </w:pPr>
    </w:p>
    <w:p w14:paraId="42DFF7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8101 Об организации Особых монтажных управлений Наркомата боеприпасов по демонтажу оборудования немецких предприятий. РГАНИР, Фонд ГКО, д. 391, лл. 143-146 (11012).</w:t>
      </w:r>
    </w:p>
    <w:p w14:paraId="252838C9" w14:textId="77777777" w:rsidR="00665165" w:rsidRPr="00925F26" w:rsidRDefault="00665165" w:rsidP="00925F26">
      <w:pPr>
        <w:autoSpaceDE w:val="0"/>
        <w:autoSpaceDN w:val="0"/>
        <w:adjustRightInd w:val="0"/>
        <w:jc w:val="both"/>
        <w:rPr>
          <w:color w:val="000000" w:themeColor="text1"/>
          <w:sz w:val="16"/>
          <w:szCs w:val="16"/>
        </w:rPr>
      </w:pPr>
    </w:p>
    <w:p w14:paraId="13172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8102 О вывозе 6 турбогенераторов на мощность 185 тысяч киловатт, 14 котлов и другого трофейного энергетического оборудования с немецких электростанций и подстанций в г. г. Лациск, Кенигсхютте, Швибус и Познань. РГАНИР, Фонд ГКО, д. 391, лл. 147-149 (11012).</w:t>
      </w:r>
    </w:p>
    <w:p w14:paraId="7B41B63F" w14:textId="77777777" w:rsidR="00665165" w:rsidRPr="00925F26" w:rsidRDefault="00665165" w:rsidP="00925F26">
      <w:pPr>
        <w:autoSpaceDE w:val="0"/>
        <w:autoSpaceDN w:val="0"/>
        <w:adjustRightInd w:val="0"/>
        <w:jc w:val="both"/>
        <w:rPr>
          <w:color w:val="000000" w:themeColor="text1"/>
          <w:sz w:val="16"/>
          <w:szCs w:val="16"/>
        </w:rPr>
      </w:pPr>
    </w:p>
    <w:p w14:paraId="22F976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8103 Об организации особых монтажных управлений Наркомавиапрома по демонтажу оборудования немецких предприятий. РГАНИР, Фонд ГКО, д. 391, лл. 150-153 (11012).</w:t>
      </w:r>
    </w:p>
    <w:p w14:paraId="5752C0CC" w14:textId="77777777" w:rsidR="00665165" w:rsidRPr="00925F26" w:rsidRDefault="00665165" w:rsidP="00925F26">
      <w:pPr>
        <w:autoSpaceDE w:val="0"/>
        <w:autoSpaceDN w:val="0"/>
        <w:adjustRightInd w:val="0"/>
        <w:jc w:val="both"/>
        <w:rPr>
          <w:color w:val="000000" w:themeColor="text1"/>
          <w:sz w:val="16"/>
          <w:szCs w:val="16"/>
        </w:rPr>
      </w:pPr>
    </w:p>
    <w:p w14:paraId="1CBB46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вышло Постановление ГКО № 8104 О вывозе полиграфического оборудования с немецких типографий в Восточной Пруссии, Померании, Бранденбурге и Верхней Силезии. РГАНИР, Фонд ГКО, д. 391, лл. 154-158 (11012).</w:t>
      </w:r>
    </w:p>
    <w:p w14:paraId="5782CD8E" w14:textId="77777777" w:rsidR="00665165" w:rsidRPr="00925F26" w:rsidRDefault="00665165" w:rsidP="00925F26">
      <w:pPr>
        <w:autoSpaceDE w:val="0"/>
        <w:autoSpaceDN w:val="0"/>
        <w:adjustRightInd w:val="0"/>
        <w:jc w:val="both"/>
        <w:rPr>
          <w:color w:val="000000" w:themeColor="text1"/>
          <w:sz w:val="16"/>
          <w:szCs w:val="16"/>
        </w:rPr>
      </w:pPr>
    </w:p>
    <w:p w14:paraId="5014A54A" w14:textId="77777777" w:rsidR="003D47C5" w:rsidRPr="00925F26" w:rsidRDefault="003D47C5" w:rsidP="00925F26">
      <w:pPr>
        <w:pStyle w:val="book"/>
        <w:ind w:firstLine="0"/>
        <w:jc w:val="both"/>
        <w:rPr>
          <w:color w:val="000000" w:themeColor="text1"/>
          <w:sz w:val="16"/>
          <w:szCs w:val="16"/>
        </w:rPr>
      </w:pPr>
      <w:r w:rsidRPr="00925F26">
        <w:rPr>
          <w:color w:val="000000" w:themeColor="text1"/>
          <w:sz w:val="16"/>
          <w:szCs w:val="16"/>
        </w:rPr>
        <w:t>12 апреля 1945 г. лодку U-250 VII серии, потопленную 30 июля 1944 г. советским катером МО-103, поставили в док для ремонта и зачислили в списки Балтийского флота под названием ТС-14. 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(15225).</w:t>
      </w:r>
    </w:p>
    <w:p w14:paraId="4315E684" w14:textId="77777777" w:rsidR="003D47C5" w:rsidRPr="00925F26" w:rsidRDefault="003D47C5" w:rsidP="00925F26">
      <w:pPr>
        <w:pStyle w:val="book"/>
        <w:ind w:firstLine="0"/>
        <w:jc w:val="both"/>
        <w:rPr>
          <w:color w:val="000000" w:themeColor="text1"/>
          <w:sz w:val="16"/>
          <w:szCs w:val="16"/>
        </w:rPr>
      </w:pPr>
    </w:p>
    <w:p w14:paraId="3A393F9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149D521" w14:textId="77777777" w:rsidR="00665165" w:rsidRPr="00925F26" w:rsidRDefault="00665165" w:rsidP="00925F26">
      <w:pPr>
        <w:autoSpaceDE w:val="0"/>
        <w:autoSpaceDN w:val="0"/>
        <w:adjustRightInd w:val="0"/>
        <w:jc w:val="both"/>
        <w:rPr>
          <w:iCs/>
          <w:color w:val="000000" w:themeColor="text1"/>
          <w:sz w:val="16"/>
          <w:szCs w:val="16"/>
        </w:rPr>
      </w:pPr>
    </w:p>
    <w:p w14:paraId="48823931" w14:textId="77777777" w:rsidR="003D47C5" w:rsidRPr="00925F26" w:rsidRDefault="003D47C5" w:rsidP="00925F26">
      <w:pPr>
        <w:jc w:val="both"/>
        <w:rPr>
          <w:color w:val="000000" w:themeColor="text1"/>
          <w:sz w:val="16"/>
          <w:szCs w:val="16"/>
        </w:rPr>
      </w:pPr>
      <w:r w:rsidRPr="00925F26">
        <w:rPr>
          <w:color w:val="000000" w:themeColor="text1"/>
          <w:sz w:val="16"/>
          <w:szCs w:val="16"/>
        </w:rPr>
        <w:lastRenderedPageBreak/>
        <w:t>12 апреля в 1945 году оперативная сводка Совинформбюро:</w:t>
      </w:r>
    </w:p>
    <w:p w14:paraId="46D8DD59" w14:textId="77777777" w:rsidR="003D47C5" w:rsidRPr="00925F26" w:rsidRDefault="003D47C5" w:rsidP="00925F26">
      <w:pPr>
        <w:jc w:val="both"/>
        <w:rPr>
          <w:color w:val="000000" w:themeColor="text1"/>
          <w:sz w:val="16"/>
          <w:szCs w:val="16"/>
        </w:rPr>
      </w:pPr>
      <w:r w:rsidRPr="00925F26">
        <w:rPr>
          <w:color w:val="000000" w:themeColor="text1"/>
          <w:sz w:val="16"/>
          <w:szCs w:val="16"/>
        </w:rPr>
        <w:t>«В течение 12 апреля на территории Чехословакии северо-восточнее и севернее Братиславы войска 2-го Украинского фронта с боями заняли город и железнодорожную станцию Скалица и более 30 других населённых пунктов, в том числе Тренч Тепла, Опатова, Кохановце, Галузице, Горны-Бзинце, Врбовце, Радейов, Катов, Голич, Копчани. Северо-восточнее Вены войска фронта заняли на территории Австрии населённые пункты Дрезинг, Еденшпайген, Лойдесталь, Эрдпрес, Хохенрупперсдорф, Ауэршталь, Боккфлис, Адерклаа, Раасдорф, Эсслинг, Гросс Энцерсдорф и железнодорожную станцию Эйбесбрунн, перерезав железную дорогу и шоссе Вена — Брно.</w:t>
      </w:r>
    </w:p>
    <w:p w14:paraId="08B0834A" w14:textId="77777777" w:rsidR="003D47C5" w:rsidRPr="00925F26" w:rsidRDefault="003D47C5" w:rsidP="00925F26">
      <w:pPr>
        <w:jc w:val="both"/>
        <w:rPr>
          <w:color w:val="000000" w:themeColor="text1"/>
          <w:sz w:val="16"/>
          <w:szCs w:val="16"/>
        </w:rPr>
      </w:pPr>
      <w:r w:rsidRPr="00925F26">
        <w:rPr>
          <w:color w:val="000000" w:themeColor="text1"/>
          <w:sz w:val="16"/>
          <w:szCs w:val="16"/>
        </w:rPr>
        <w:t>В Вене войска 3-го Украинского фронта веди уличные бои в городском районе, расположенном между Дунайским каналом и рекой Дунай, где заняли более 60 кварталов. Западнее и юго-западнее города Сомбатель войска фронта, продолжая наступление, заняли на территории Австрии город Гюссинг (Неметуйвар) и более 40 других населённых пунктов, в том числе Маркт Аллау, Олбендорф, Обер-Нейберг, Михель, Чаншендорф, Штейнграбен, Ельтендорф. В боях за 11 апреля войска фронта взяли в плен более 5.000 солдат и офицеров противника и захватили следующие трофеи: танков и самоходных орудий—34, бронетранспортёров—38, полевых орудий — 208, пулемётов — 270, автомашин — 498, тракторов и тягачей — 187, паровозов — 34, железнодорожных вагонов —1.535, складов с военным имуществом —17.</w:t>
      </w:r>
    </w:p>
    <w:p w14:paraId="76A96D32" w14:textId="77777777" w:rsidR="003D47C5" w:rsidRPr="00925F26" w:rsidRDefault="003D47C5" w:rsidP="00925F26">
      <w:pPr>
        <w:jc w:val="both"/>
        <w:rPr>
          <w:color w:val="000000" w:themeColor="text1"/>
          <w:sz w:val="16"/>
          <w:szCs w:val="16"/>
        </w:rPr>
      </w:pPr>
      <w:r w:rsidRPr="00925F26">
        <w:rPr>
          <w:color w:val="000000" w:themeColor="text1"/>
          <w:sz w:val="16"/>
          <w:szCs w:val="16"/>
        </w:rPr>
        <w:t>На остальных участках фронта — существенных изменений не произошло.</w:t>
      </w:r>
    </w:p>
    <w:p w14:paraId="5CCF03A9" w14:textId="77777777" w:rsidR="003D47C5" w:rsidRPr="00925F26" w:rsidRDefault="003D47C5" w:rsidP="00925F26">
      <w:pPr>
        <w:jc w:val="both"/>
        <w:rPr>
          <w:color w:val="000000" w:themeColor="text1"/>
          <w:sz w:val="16"/>
          <w:szCs w:val="16"/>
        </w:rPr>
      </w:pPr>
      <w:r w:rsidRPr="00925F26">
        <w:rPr>
          <w:color w:val="000000" w:themeColor="text1"/>
          <w:sz w:val="16"/>
          <w:szCs w:val="16"/>
        </w:rPr>
        <w:t>За 11 апреля на всех фронтах подбито и уничтожено 50 немецких танков и самоходных орудий. В воздушных боях и огнём зенитной артиллерии сбито 22 самолёта противника.</w:t>
      </w:r>
    </w:p>
    <w:p w14:paraId="0CCC44D6" w14:textId="77777777" w:rsidR="003D47C5" w:rsidRPr="00925F26" w:rsidRDefault="003D47C5" w:rsidP="00925F26">
      <w:pPr>
        <w:jc w:val="both"/>
        <w:rPr>
          <w:color w:val="000000" w:themeColor="text1"/>
          <w:sz w:val="16"/>
          <w:szCs w:val="16"/>
        </w:rPr>
      </w:pPr>
      <w:r w:rsidRPr="00925F26">
        <w:rPr>
          <w:color w:val="000000" w:themeColor="text1"/>
          <w:sz w:val="16"/>
          <w:szCs w:val="16"/>
        </w:rPr>
        <w:t>Удары авиации Краснознамённого Балтийского флота по кораблям и транспортам противника</w:t>
      </w:r>
    </w:p>
    <w:p w14:paraId="13798270" w14:textId="77777777" w:rsidR="003D47C5" w:rsidRPr="00925F26" w:rsidRDefault="003D47C5" w:rsidP="00925F26">
      <w:pPr>
        <w:jc w:val="both"/>
        <w:rPr>
          <w:color w:val="000000" w:themeColor="text1"/>
          <w:sz w:val="16"/>
          <w:szCs w:val="16"/>
        </w:rPr>
      </w:pPr>
      <w:r w:rsidRPr="00925F26">
        <w:rPr>
          <w:color w:val="000000" w:themeColor="text1"/>
          <w:sz w:val="16"/>
          <w:szCs w:val="16"/>
        </w:rPr>
        <w:t>9 и 10 апреля авиация Краснознаменного Балтийского флота наносила удары по военным кораблям и транспортам немцев в порту Пиллау и в открытом море северо-западнее Пиллау. В результате этих ударов потоплены: два немецких миноносца, два сторожевых корабля, десять транспортов общим водоизмещением в 60.000 тонн и один танкер водоизмещением в 2.000 тонн. Кроме того, прямым попаданием бомб повреждены: один миноносец, один сторожевой корабль и семь транспортов противника.</w:t>
      </w:r>
    </w:p>
    <w:p w14:paraId="378DBB1C" w14:textId="77777777" w:rsidR="003D47C5" w:rsidRPr="00925F26" w:rsidRDefault="003D47C5" w:rsidP="00925F26">
      <w:pPr>
        <w:jc w:val="both"/>
        <w:rPr>
          <w:color w:val="000000" w:themeColor="text1"/>
          <w:sz w:val="16"/>
          <w:szCs w:val="16"/>
        </w:rPr>
      </w:pPr>
      <w:r w:rsidRPr="00925F26">
        <w:rPr>
          <w:color w:val="000000" w:themeColor="text1"/>
          <w:sz w:val="16"/>
          <w:szCs w:val="16"/>
        </w:rPr>
        <w:t>Северо-восточнее и севернее Братиславы наши войска продолжали наступление. Противник построил в полосе гор Биле Карпаты инженерные заграждения, много дзотов и оказывает упорное сопротивление. Советские части, действующие в трудных условиях горно-лесистой местности, настойчиво продвигаются вперёд. Наши подразделения прорываются в тылы немцев и внезапными ударами дезорганизуют их оборону. Занято несколько горных селений, превращенных гитлеровцами в опорные пункты. Советские пехотинцы, наступающие вдоль восточного берега реки Морава, стремительной атакой заняли крупный населённый пункт Голич. Развивая успех, наши бойцы продвинулись вперёд на 5 километров и выбили немцев из чехословацкого города Скалица. Захвачены пленные и трофеи.</w:t>
      </w:r>
    </w:p>
    <w:p w14:paraId="534FF265" w14:textId="77777777" w:rsidR="003D47C5" w:rsidRPr="00925F26" w:rsidRDefault="003D47C5" w:rsidP="00925F26">
      <w:pPr>
        <w:jc w:val="both"/>
        <w:rPr>
          <w:color w:val="000000" w:themeColor="text1"/>
          <w:sz w:val="16"/>
          <w:szCs w:val="16"/>
        </w:rPr>
      </w:pPr>
      <w:r w:rsidRPr="00925F26">
        <w:rPr>
          <w:color w:val="000000" w:themeColor="text1"/>
          <w:sz w:val="16"/>
          <w:szCs w:val="16"/>
        </w:rPr>
        <w:t>Северо-восточнее Вены войска 2-го Украинского фронта с боями продвигались вперёд. Немцы ввели в бой ещё одну танковую дивизию, крупные силы пехоты и неоднократными контратаками пытаются не допустить выхода наших частей в тылы своей венской группировки. Преодолевая упорное сопротивление противника, наши войска овладели железнодорожной станцией Эйбесбрунн и перерезали железную и шоссейную дорогу Вена — Брно. Таким образом, в расположении немецких войск, действующих в районе Вены, осталась одна железная дорога, идущая вдоль северного берега Дуная на северо-запад. Дорога обстреливается советскими артиллеристами, вышедшими на южный берег Дуная северо-западнее австрийской столицы. Отбивая вражеские контратаки, войска фронта сожгли и подбили 40 танков и самоходных орудий и 18 бронетранспортеров противника. Взято в плен более 500 немецких солдат и офицеров. Захвачены трофеи, в числе которых 4 самолёта и 250 железнодорожных вагонов с военными грузами.</w:t>
      </w:r>
    </w:p>
    <w:p w14:paraId="3D12E2A2" w14:textId="77777777" w:rsidR="003D47C5" w:rsidRPr="00925F26" w:rsidRDefault="003D47C5" w:rsidP="00925F26">
      <w:pPr>
        <w:jc w:val="both"/>
        <w:rPr>
          <w:color w:val="000000" w:themeColor="text1"/>
          <w:sz w:val="16"/>
          <w:szCs w:val="16"/>
        </w:rPr>
      </w:pPr>
      <w:r w:rsidRPr="00925F26">
        <w:rPr>
          <w:color w:val="000000" w:themeColor="text1"/>
          <w:sz w:val="16"/>
          <w:szCs w:val="16"/>
        </w:rPr>
        <w:t>Войска 3-го Украинского фронта продолжали вести бои на улицах Вены. Советские части ещё в нескольких местах переправились через Дунайский канал и, отражая контратаки немцев, шаг за шагом продвигаются вперед. Особенно ожесточённые бои идут в районе северо-западного вокзала. Штурмовые отряды, действуя совместно с артиллеристами, блокируют узлы сопротивления немцев и ликвидируют их. Противник несёт тяжелые потери. За день боёв уничтожено более 4.000 немецких солдат и офицеров.</w:t>
      </w:r>
    </w:p>
    <w:p w14:paraId="188D47CE" w14:textId="77777777" w:rsidR="003D47C5" w:rsidRPr="00925F26" w:rsidRDefault="003D47C5" w:rsidP="00925F26">
      <w:pPr>
        <w:jc w:val="both"/>
        <w:rPr>
          <w:color w:val="000000" w:themeColor="text1"/>
          <w:sz w:val="16"/>
          <w:szCs w:val="16"/>
        </w:rPr>
      </w:pPr>
      <w:r w:rsidRPr="00925F26">
        <w:rPr>
          <w:color w:val="000000" w:themeColor="text1"/>
          <w:sz w:val="16"/>
          <w:szCs w:val="16"/>
        </w:rPr>
        <w:t>В боях за освобождение Вены советские бойцы проявляют высшую воинскую выучку, смелость и отвагу. На одной улице немецкий танк сильным огнём препятствовал продвижению нашей пехоты. Гвардии старший сержант Бурлаков подполз к вражескому танку и бросил бутылку с горючей смесью. Танк загорелся. Немецких танкистов, пытавшийся спастись бегством, сержант уничтожил огнем из автомата. Отделение сержанта Плоходова атаковало дом, в котором укрепились гитлеровцы. Наши бойцы ворвались в дом, уничтожили группу немцев и взяли в плен 9 солдат противника. Гвардии красноармеец Валетов в течение дня уничтожил семь немецких солдат и одного офицера.</w:t>
      </w:r>
    </w:p>
    <w:p w14:paraId="7F087356" w14:textId="77777777" w:rsidR="003D47C5" w:rsidRPr="00925F26" w:rsidRDefault="003D47C5" w:rsidP="00925F26">
      <w:pPr>
        <w:jc w:val="both"/>
        <w:rPr>
          <w:color w:val="000000" w:themeColor="text1"/>
          <w:sz w:val="16"/>
          <w:szCs w:val="16"/>
        </w:rPr>
      </w:pPr>
      <w:r w:rsidRPr="00925F26">
        <w:rPr>
          <w:color w:val="000000" w:themeColor="text1"/>
          <w:sz w:val="16"/>
          <w:szCs w:val="16"/>
        </w:rPr>
        <w:t>Взятый в плен немецкий полковник Ганс Янус рассказал: «В течение долгих месяцев воинские части и гражданское население строили оборонительные сооружения на территории Померании. Мы считали, что у этих мощных укреплений русские войска будут остановлены. Однако наши расчёты не оправдались. Красная Армия сорвала и опрокинула планы немецкого командования. В Померании советские войска окружили и уничтожили ряд немецких соединений. Дивизия «Меркиш-Фридланд» была сформирована в конце января 1945 года. Новая дивизия просуществовала очень недолго и была разбита. Оставшиеся в живых солдаты разбрелись по лесам и были взяты в плен» (15097).</w:t>
      </w:r>
    </w:p>
    <w:p w14:paraId="023DB1B7" w14:textId="77777777" w:rsidR="003D47C5" w:rsidRPr="00925F26" w:rsidRDefault="003D47C5" w:rsidP="00925F26">
      <w:pPr>
        <w:jc w:val="both"/>
        <w:rPr>
          <w:color w:val="000000" w:themeColor="text1"/>
          <w:sz w:val="16"/>
          <w:szCs w:val="16"/>
        </w:rPr>
      </w:pPr>
    </w:p>
    <w:p w14:paraId="13D77C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апреля 1945 двумя экипажами 108 гшап было выполнено два экспериментальных вы</w:t>
      </w:r>
      <w:r w:rsidRPr="00925F26">
        <w:rPr>
          <w:color w:val="000000" w:themeColor="text1"/>
          <w:sz w:val="16"/>
          <w:szCs w:val="16"/>
        </w:rPr>
        <w:softHyphen/>
        <w:t>лета на отработку методики бомбомета</w:t>
      </w:r>
      <w:r w:rsidRPr="00925F26">
        <w:rPr>
          <w:color w:val="000000" w:themeColor="text1"/>
          <w:sz w:val="16"/>
          <w:szCs w:val="16"/>
        </w:rPr>
        <w:softHyphen/>
        <w:t>ния с постоянным углом упреждения 7° (11157).</w:t>
      </w:r>
    </w:p>
    <w:p w14:paraId="4CD1A9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6B1A80"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12 апреля 1945 двумя экипажами 108 полка было выполнено два экспериментальных полета на отработку методики бомбометания с постоянным углом упреждения 7°.</w:t>
      </w:r>
    </w:p>
    <w:p w14:paraId="01E466DD"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324ACEE7"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7AF04A9C"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6F6B3995"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7F8CED28"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5C730440"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4376FAAB"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467B4FC8"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К выполнению боевых заданий полк был подготовлен с общей оценкой по бомбометанию 4,3 балла и по стрельбе - 3,9.</w:t>
      </w:r>
    </w:p>
    <w:p w14:paraId="03B08773"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2648E773"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55E3E1BF"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2258345B"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2CDD43FA"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3F859B26"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039DC5AB"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lastRenderedPageBreak/>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56B4E1D3"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74483809"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119AB00D"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7660A315"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745D5DF4"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3CEA4743" w14:textId="77777777" w:rsidR="00117BE3" w:rsidRPr="00925F26" w:rsidRDefault="00117BE3" w:rsidP="00925F26">
      <w:pPr>
        <w:jc w:val="both"/>
        <w:rPr>
          <w:color w:val="000000" w:themeColor="text1"/>
          <w:sz w:val="16"/>
          <w:szCs w:val="16"/>
        </w:rPr>
      </w:pPr>
      <w:r w:rsidRPr="00925F26">
        <w:rPr>
          <w:rStyle w:val="107"/>
          <w:rFonts w:eastAsiaTheme="minorHAnsi"/>
          <w:color w:val="000000" w:themeColor="text1"/>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02BCA54B" w14:textId="77777777" w:rsidR="00117BE3" w:rsidRPr="00925F26" w:rsidRDefault="00117BE3" w:rsidP="00925F26">
      <w:pPr>
        <w:jc w:val="both"/>
        <w:rPr>
          <w:color w:val="000000" w:themeColor="text1"/>
          <w:sz w:val="16"/>
          <w:szCs w:val="16"/>
        </w:rPr>
      </w:pPr>
    </w:p>
    <w:p w14:paraId="1A1DDA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для удара по судам в порту Пиллау дважды вылетали топмачтовики. Первый раз группу вел ГСС к М.С.Попов, а во второй м Ф.И.Тургенев. В пораженном транспорте Vale потом обнаружили 500 обгорелых трупов (4365).</w:t>
      </w:r>
    </w:p>
    <w:p w14:paraId="0652746E" w14:textId="77777777" w:rsidR="00665165" w:rsidRPr="00925F26" w:rsidRDefault="00665165" w:rsidP="00925F26">
      <w:pPr>
        <w:autoSpaceDE w:val="0"/>
        <w:autoSpaceDN w:val="0"/>
        <w:adjustRightInd w:val="0"/>
        <w:jc w:val="both"/>
        <w:rPr>
          <w:color w:val="000000" w:themeColor="text1"/>
          <w:sz w:val="16"/>
          <w:szCs w:val="16"/>
        </w:rPr>
      </w:pPr>
    </w:p>
    <w:p w14:paraId="244953B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C1E40D8" w14:textId="77777777" w:rsidR="00665165" w:rsidRPr="00925F26" w:rsidRDefault="00665165" w:rsidP="00925F26">
      <w:pPr>
        <w:autoSpaceDE w:val="0"/>
        <w:autoSpaceDN w:val="0"/>
        <w:adjustRightInd w:val="0"/>
        <w:jc w:val="both"/>
        <w:rPr>
          <w:iCs/>
          <w:color w:val="000000" w:themeColor="text1"/>
          <w:sz w:val="16"/>
          <w:szCs w:val="16"/>
        </w:rPr>
      </w:pPr>
    </w:p>
    <w:p w14:paraId="1FAA6760" w14:textId="77777777" w:rsidR="003D47C5" w:rsidRPr="00925F26" w:rsidRDefault="003D47C5" w:rsidP="00925F26">
      <w:pPr>
        <w:jc w:val="both"/>
        <w:rPr>
          <w:color w:val="000000" w:themeColor="text1"/>
          <w:sz w:val="16"/>
          <w:szCs w:val="16"/>
          <w:lang w:val="en-US"/>
        </w:rPr>
      </w:pPr>
      <w:r w:rsidRPr="00925F26">
        <w:rPr>
          <w:color w:val="000000" w:themeColor="text1"/>
          <w:sz w:val="16"/>
          <w:szCs w:val="16"/>
        </w:rPr>
        <w:t>12 апреля в 1945 году поднялся в воздух единственный восстановленный после освобождения Франции учебно-тренировочный самолет «Caudron» «C.690М». Следыэтоймашинывпоследствиизатерялись</w:t>
      </w:r>
      <w:r w:rsidRPr="00925F26">
        <w:rPr>
          <w:color w:val="000000" w:themeColor="text1"/>
          <w:sz w:val="16"/>
          <w:szCs w:val="16"/>
          <w:lang w:val="en-US"/>
        </w:rPr>
        <w:t xml:space="preserve"> (15097).</w:t>
      </w:r>
    </w:p>
    <w:p w14:paraId="674C9D99" w14:textId="77777777" w:rsidR="003D47C5" w:rsidRPr="00925F26" w:rsidRDefault="003D47C5" w:rsidP="00925F26">
      <w:pPr>
        <w:jc w:val="both"/>
        <w:rPr>
          <w:color w:val="000000" w:themeColor="text1"/>
          <w:sz w:val="16"/>
          <w:szCs w:val="16"/>
          <w:lang w:val="en-US"/>
        </w:rPr>
      </w:pPr>
    </w:p>
    <w:p w14:paraId="0146DA9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12 1945 83rd Infantry Division, US 9th Army reaches the </w:t>
      </w:r>
      <w:proofErr w:type="gramStart"/>
      <w:r w:rsidRPr="00925F26">
        <w:rPr>
          <w:color w:val="000000" w:themeColor="text1"/>
          <w:sz w:val="16"/>
          <w:szCs w:val="16"/>
          <w:lang w:val="en-US"/>
        </w:rPr>
        <w:t>Elbe river</w:t>
      </w:r>
      <w:proofErr w:type="gramEnd"/>
      <w:r w:rsidRPr="00925F26">
        <w:rPr>
          <w:color w:val="000000" w:themeColor="text1"/>
          <w:sz w:val="16"/>
          <w:szCs w:val="16"/>
          <w:lang w:val="en-US"/>
        </w:rPr>
        <w:t xml:space="preserve"> (1242).</w:t>
      </w:r>
    </w:p>
    <w:p w14:paraId="163D7F52" w14:textId="77777777" w:rsidR="00665165" w:rsidRPr="00925F26" w:rsidRDefault="00665165" w:rsidP="00925F26">
      <w:pPr>
        <w:autoSpaceDE w:val="0"/>
        <w:autoSpaceDN w:val="0"/>
        <w:adjustRightInd w:val="0"/>
        <w:jc w:val="both"/>
        <w:rPr>
          <w:color w:val="000000" w:themeColor="text1"/>
          <w:sz w:val="16"/>
          <w:szCs w:val="16"/>
          <w:lang w:val="en-US"/>
        </w:rPr>
      </w:pPr>
    </w:p>
    <w:p w14:paraId="504A2E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американцы вышли к Эльбе (1242).</w:t>
      </w:r>
    </w:p>
    <w:p w14:paraId="48F254C9" w14:textId="77777777" w:rsidR="00665165" w:rsidRPr="00925F26" w:rsidRDefault="00665165" w:rsidP="00925F26">
      <w:pPr>
        <w:autoSpaceDE w:val="0"/>
        <w:autoSpaceDN w:val="0"/>
        <w:adjustRightInd w:val="0"/>
        <w:jc w:val="both"/>
        <w:rPr>
          <w:color w:val="000000" w:themeColor="text1"/>
          <w:sz w:val="16"/>
          <w:szCs w:val="16"/>
        </w:rPr>
      </w:pPr>
    </w:p>
    <w:p w14:paraId="13AB912B" w14:textId="77777777" w:rsidR="003D47C5" w:rsidRPr="00925F26" w:rsidRDefault="003D47C5" w:rsidP="00925F26">
      <w:pPr>
        <w:jc w:val="both"/>
        <w:rPr>
          <w:color w:val="000000" w:themeColor="text1"/>
          <w:sz w:val="16"/>
          <w:szCs w:val="16"/>
        </w:rPr>
      </w:pPr>
      <w:r w:rsidRPr="00925F26">
        <w:rPr>
          <w:color w:val="000000" w:themeColor="text1"/>
          <w:sz w:val="16"/>
          <w:szCs w:val="16"/>
        </w:rPr>
        <w:t>12 апреля в 1945 году американские войска вступили в Эрфурт и Веймар (15097).</w:t>
      </w:r>
    </w:p>
    <w:p w14:paraId="37ECD28C" w14:textId="77777777" w:rsidR="003D47C5" w:rsidRPr="00925F26" w:rsidRDefault="003D47C5" w:rsidP="00925F26">
      <w:pPr>
        <w:jc w:val="both"/>
        <w:rPr>
          <w:color w:val="000000" w:themeColor="text1"/>
          <w:sz w:val="16"/>
          <w:szCs w:val="16"/>
        </w:rPr>
      </w:pPr>
    </w:p>
    <w:p w14:paraId="135619F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12 1945 Allies liberate Buchenwald and Belsen concentration camps (1050).</w:t>
      </w:r>
    </w:p>
    <w:p w14:paraId="692F72D8" w14:textId="77777777" w:rsidR="00665165" w:rsidRPr="00925F26" w:rsidRDefault="00665165" w:rsidP="00925F26">
      <w:pPr>
        <w:autoSpaceDE w:val="0"/>
        <w:autoSpaceDN w:val="0"/>
        <w:adjustRightInd w:val="0"/>
        <w:jc w:val="both"/>
        <w:rPr>
          <w:color w:val="000000" w:themeColor="text1"/>
          <w:sz w:val="16"/>
          <w:szCs w:val="16"/>
          <w:lang w:val="en-US"/>
        </w:rPr>
      </w:pPr>
    </w:p>
    <w:p w14:paraId="5C55BF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союзники освободили концлагеря Бухенвальд и Бельзен (1050).</w:t>
      </w:r>
    </w:p>
    <w:p w14:paraId="6098F052" w14:textId="77777777" w:rsidR="00665165" w:rsidRPr="00925F26" w:rsidRDefault="00665165" w:rsidP="00925F26">
      <w:pPr>
        <w:autoSpaceDE w:val="0"/>
        <w:autoSpaceDN w:val="0"/>
        <w:adjustRightInd w:val="0"/>
        <w:jc w:val="both"/>
        <w:rPr>
          <w:color w:val="000000" w:themeColor="text1"/>
          <w:sz w:val="16"/>
          <w:szCs w:val="16"/>
        </w:rPr>
      </w:pPr>
    </w:p>
    <w:p w14:paraId="6648639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апреля 1945 во время посещения Джорджии умер президент США Франклин Д. Рузвельт (4962).</w:t>
      </w:r>
    </w:p>
    <w:p w14:paraId="02215D9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5112DFF" w14:textId="77777777" w:rsidR="003D47C5" w:rsidRPr="00925F26" w:rsidRDefault="003D47C5" w:rsidP="00925F26">
      <w:pPr>
        <w:jc w:val="both"/>
        <w:rPr>
          <w:color w:val="000000" w:themeColor="text1"/>
          <w:sz w:val="16"/>
          <w:szCs w:val="16"/>
        </w:rPr>
      </w:pPr>
      <w:r w:rsidRPr="00925F26">
        <w:rPr>
          <w:color w:val="000000" w:themeColor="text1"/>
          <w:sz w:val="16"/>
          <w:szCs w:val="16"/>
        </w:rPr>
        <w:t>12 апреля в 1945 году кончина президента США Ф.Д.Рузвельта. Президент скончался, когда художник рисовал его портрет. ВступлениенапостпрезидентаГ.Трумэна (15097).</w:t>
      </w:r>
    </w:p>
    <w:p w14:paraId="0F1E60F1" w14:textId="77777777" w:rsidR="003D47C5" w:rsidRPr="00925F26" w:rsidRDefault="003D47C5" w:rsidP="00925F26">
      <w:pPr>
        <w:jc w:val="both"/>
        <w:rPr>
          <w:color w:val="000000" w:themeColor="text1"/>
          <w:sz w:val="16"/>
          <w:szCs w:val="16"/>
        </w:rPr>
      </w:pPr>
    </w:p>
    <w:p w14:paraId="1B79A4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April</w:t>
      </w:r>
      <w:r w:rsidRPr="00925F26">
        <w:rPr>
          <w:color w:val="000000" w:themeColor="text1"/>
          <w:sz w:val="16"/>
          <w:szCs w:val="16"/>
        </w:rPr>
        <w:t xml:space="preserve"> 12 1945 </w:t>
      </w:r>
      <w:r w:rsidRPr="00925F26">
        <w:rPr>
          <w:color w:val="000000" w:themeColor="text1"/>
          <w:sz w:val="16"/>
          <w:szCs w:val="16"/>
          <w:lang w:val="en-US"/>
        </w:rPr>
        <w:t>President</w:t>
      </w:r>
      <w:r w:rsidRPr="00925F26">
        <w:rPr>
          <w:color w:val="000000" w:themeColor="text1"/>
          <w:sz w:val="16"/>
          <w:szCs w:val="16"/>
        </w:rPr>
        <w:t xml:space="preserve"> </w:t>
      </w:r>
      <w:r w:rsidRPr="00925F26">
        <w:rPr>
          <w:color w:val="000000" w:themeColor="text1"/>
          <w:sz w:val="16"/>
          <w:szCs w:val="16"/>
          <w:lang w:val="en-US"/>
        </w:rPr>
        <w:t>Roosevelt</w:t>
      </w:r>
      <w:r w:rsidRPr="00925F26">
        <w:rPr>
          <w:color w:val="000000" w:themeColor="text1"/>
          <w:sz w:val="16"/>
          <w:szCs w:val="16"/>
        </w:rPr>
        <w:t xml:space="preserve"> </w:t>
      </w:r>
      <w:r w:rsidRPr="00925F26">
        <w:rPr>
          <w:color w:val="000000" w:themeColor="text1"/>
          <w:sz w:val="16"/>
          <w:szCs w:val="16"/>
          <w:lang w:val="en-US"/>
        </w:rPr>
        <w:t>dies</w:t>
      </w:r>
      <w:r w:rsidRPr="00925F26">
        <w:rPr>
          <w:color w:val="000000" w:themeColor="text1"/>
          <w:sz w:val="16"/>
          <w:szCs w:val="16"/>
        </w:rPr>
        <w:t xml:space="preserve"> (1037) </w:t>
      </w:r>
      <w:r w:rsidRPr="00925F26">
        <w:rPr>
          <w:color w:val="000000" w:themeColor="text1"/>
          <w:sz w:val="16"/>
          <w:szCs w:val="16"/>
          <w:lang w:val="en-US"/>
        </w:rPr>
        <w:t>Truman</w:t>
      </w:r>
      <w:r w:rsidRPr="00925F26">
        <w:rPr>
          <w:color w:val="000000" w:themeColor="text1"/>
          <w:sz w:val="16"/>
          <w:szCs w:val="16"/>
        </w:rPr>
        <w:t xml:space="preserve"> </w:t>
      </w:r>
      <w:r w:rsidRPr="00925F26">
        <w:rPr>
          <w:color w:val="000000" w:themeColor="text1"/>
          <w:sz w:val="16"/>
          <w:szCs w:val="16"/>
          <w:lang w:val="en-US"/>
        </w:rPr>
        <w:t>becomes</w:t>
      </w:r>
      <w:r w:rsidRPr="00925F26">
        <w:rPr>
          <w:color w:val="000000" w:themeColor="text1"/>
          <w:sz w:val="16"/>
          <w:szCs w:val="16"/>
        </w:rPr>
        <w:t xml:space="preserve"> </w:t>
      </w:r>
      <w:r w:rsidRPr="00925F26">
        <w:rPr>
          <w:color w:val="000000" w:themeColor="text1"/>
          <w:sz w:val="16"/>
          <w:szCs w:val="16"/>
          <w:lang w:val="en-US"/>
        </w:rPr>
        <w:t>President</w:t>
      </w:r>
      <w:r w:rsidRPr="00925F26">
        <w:rPr>
          <w:color w:val="000000" w:themeColor="text1"/>
          <w:sz w:val="16"/>
          <w:szCs w:val="16"/>
        </w:rPr>
        <w:t xml:space="preserve"> (1287).</w:t>
      </w:r>
    </w:p>
    <w:p w14:paraId="24B1C06D" w14:textId="77777777" w:rsidR="00665165" w:rsidRPr="00925F26" w:rsidRDefault="00665165" w:rsidP="00925F26">
      <w:pPr>
        <w:autoSpaceDE w:val="0"/>
        <w:autoSpaceDN w:val="0"/>
        <w:adjustRightInd w:val="0"/>
        <w:jc w:val="both"/>
        <w:rPr>
          <w:color w:val="000000" w:themeColor="text1"/>
          <w:sz w:val="16"/>
          <w:szCs w:val="16"/>
        </w:rPr>
      </w:pPr>
    </w:p>
    <w:p w14:paraId="522FE0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Ф.Д.Р. умер и президентом стал Г.Трумен (1287).</w:t>
      </w:r>
    </w:p>
    <w:p w14:paraId="11BCC77C" w14:textId="77777777" w:rsidR="00665165" w:rsidRPr="00925F26" w:rsidRDefault="00665165" w:rsidP="00925F26">
      <w:pPr>
        <w:autoSpaceDE w:val="0"/>
        <w:autoSpaceDN w:val="0"/>
        <w:adjustRightInd w:val="0"/>
        <w:jc w:val="both"/>
        <w:rPr>
          <w:color w:val="000000" w:themeColor="text1"/>
          <w:sz w:val="16"/>
          <w:szCs w:val="16"/>
        </w:rPr>
      </w:pPr>
    </w:p>
    <w:p w14:paraId="123DAD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апреля 1945 состоялось третье боевое применение японцами ракетного снаряда Ока, управляемого камикадзе. 9 носителей + 80 истребителей-камикадзе и 100 истребителей прикрытия атаковали американские корабли. Японцы объявили о потоплении 3-х линкоров, но Ока потопил эсминец (2969,21).</w:t>
      </w:r>
    </w:p>
    <w:p w14:paraId="63451FD4" w14:textId="77777777" w:rsidR="00665165" w:rsidRPr="00925F26" w:rsidRDefault="00665165" w:rsidP="00925F26">
      <w:pPr>
        <w:autoSpaceDE w:val="0"/>
        <w:autoSpaceDN w:val="0"/>
        <w:adjustRightInd w:val="0"/>
        <w:jc w:val="both"/>
        <w:rPr>
          <w:color w:val="000000" w:themeColor="text1"/>
          <w:sz w:val="16"/>
          <w:szCs w:val="16"/>
        </w:rPr>
      </w:pPr>
    </w:p>
    <w:p w14:paraId="17EF0FA1" w14:textId="77777777" w:rsidR="007D191E" w:rsidRPr="00925F26" w:rsidRDefault="007D191E" w:rsidP="00925F26">
      <w:pPr>
        <w:jc w:val="both"/>
        <w:rPr>
          <w:color w:val="000000" w:themeColor="text1"/>
          <w:sz w:val="16"/>
          <w:szCs w:val="16"/>
        </w:rPr>
      </w:pPr>
      <w:r w:rsidRPr="00925F26">
        <w:rPr>
          <w:color w:val="000000" w:themeColor="text1"/>
          <w:sz w:val="16"/>
          <w:szCs w:val="16"/>
        </w:rPr>
        <w:t>12–13 апреля 1945 состоялась вторая атака японских кикусуи на корабли союзников у Окинавы в составе 145 камикадзе, которые атакуют вместе со 150 истребителями и 45 бомбардировщиками-торпедоносцами. Корабли и самолеты ВМС США утверждают, что уничтожено 298 японских самолетов (20371).</w:t>
      </w:r>
    </w:p>
    <w:p w14:paraId="49376396" w14:textId="77777777" w:rsidR="007D191E" w:rsidRPr="00925F26" w:rsidRDefault="007D191E" w:rsidP="00925F26">
      <w:pPr>
        <w:jc w:val="both"/>
        <w:rPr>
          <w:color w:val="000000" w:themeColor="text1"/>
          <w:sz w:val="16"/>
          <w:szCs w:val="16"/>
        </w:rPr>
      </w:pPr>
    </w:p>
    <w:p w14:paraId="6DE2E899" w14:textId="77777777" w:rsidR="003D47C5" w:rsidRPr="00925F26" w:rsidRDefault="003D47C5" w:rsidP="00925F26">
      <w:pPr>
        <w:jc w:val="both"/>
        <w:rPr>
          <w:color w:val="000000" w:themeColor="text1"/>
          <w:sz w:val="16"/>
          <w:szCs w:val="16"/>
        </w:rPr>
      </w:pPr>
      <w:r w:rsidRPr="00925F26">
        <w:rPr>
          <w:color w:val="000000" w:themeColor="text1"/>
          <w:sz w:val="16"/>
          <w:szCs w:val="16"/>
        </w:rPr>
        <w:t>12 апреля в 1945 году первый корабль (эсминец "Маннеpт Л.Абель") потоплен японским МХY7 ("моpской специальный штуpмовой самолет "Ока" модель 11") - планер-бомба с ракетными ускорителями, 1200 кг взрывчатки, пилот-камикадзе Дохи Сабуро. Погибли 114 моряков (15097).</w:t>
      </w:r>
    </w:p>
    <w:p w14:paraId="35021498" w14:textId="77777777" w:rsidR="003D47C5" w:rsidRPr="00925F26" w:rsidRDefault="003D47C5" w:rsidP="00925F26">
      <w:pPr>
        <w:jc w:val="both"/>
        <w:rPr>
          <w:color w:val="000000" w:themeColor="text1"/>
          <w:sz w:val="16"/>
          <w:szCs w:val="16"/>
        </w:rPr>
      </w:pPr>
    </w:p>
    <w:p w14:paraId="5C1016C6" w14:textId="77777777" w:rsidR="007D191E" w:rsidRPr="00925F26" w:rsidRDefault="007D191E" w:rsidP="00925F26">
      <w:pPr>
        <w:jc w:val="both"/>
        <w:rPr>
          <w:color w:val="000000" w:themeColor="text1"/>
          <w:sz w:val="16"/>
          <w:szCs w:val="16"/>
        </w:rPr>
      </w:pPr>
      <w:r w:rsidRPr="00925F26">
        <w:rPr>
          <w:color w:val="000000" w:themeColor="text1"/>
          <w:sz w:val="16"/>
          <w:szCs w:val="16"/>
        </w:rPr>
        <w:t>12 апреля 1945 эсминец USS Mannert L. Abele станет первым кораблем, потопленным Ohka. Камикадзе также поразили линкор USS Tennessee, четыре эсминца, четыре эсминца сопровождения, минный заградитель, тральщик и несколько малых судов (20371).</w:t>
      </w:r>
    </w:p>
    <w:p w14:paraId="704698E5" w14:textId="77777777" w:rsidR="007D191E" w:rsidRPr="00925F26" w:rsidRDefault="007D191E" w:rsidP="00925F26">
      <w:pPr>
        <w:jc w:val="both"/>
        <w:rPr>
          <w:color w:val="000000" w:themeColor="text1"/>
          <w:sz w:val="16"/>
          <w:szCs w:val="16"/>
        </w:rPr>
      </w:pPr>
    </w:p>
    <w:p w14:paraId="2BDCCAF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063EF20" w14:textId="77777777" w:rsidR="00665165" w:rsidRPr="00925F26" w:rsidRDefault="00665165" w:rsidP="00925F26">
      <w:pPr>
        <w:autoSpaceDE w:val="0"/>
        <w:autoSpaceDN w:val="0"/>
        <w:adjustRightInd w:val="0"/>
        <w:jc w:val="both"/>
        <w:rPr>
          <w:iCs/>
          <w:color w:val="000000" w:themeColor="text1"/>
          <w:sz w:val="16"/>
          <w:szCs w:val="16"/>
        </w:rPr>
      </w:pPr>
    </w:p>
    <w:p w14:paraId="24D986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года зам. начальника ВВС ВМФ по тылу генерал-лейтенант интендантской службы Купреев писал письмо N 5/99888с зам. наркома Авиапрома генерал-лейтенанту инженерно-авиационной службы Дементьеву П.В.</w:t>
      </w:r>
    </w:p>
    <w:p w14:paraId="481166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ВВС Краснознаменного Балтийского флота создалось чрезвычайно тяжелое положение с моторным ресурсом ВК-105ПФ и АШ-82ФН на самолетах Як-9, Як-3, ЛАГГ-3, Пе-2, Ла-5 и Ла-7. Из 281 самолета Як-9, 55 самолетов Пе-2 и 191 самолета Ла-5, Ла-7 значительная часть не может быть использована в боевых действиях из-за неисправности и выработки моторного ресурса. Восстановить боевые самолеты не представляется возможным6 так как ВВС ВМФ совершенно не располагают резервными моторами.</w:t>
      </w:r>
    </w:p>
    <w:p w14:paraId="5E8F94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Убедительно прошу Вас об оказании помощи моторами ВК-105ПФ и АШ-82ФН. Для переброски моторов в район боевых действий будут выделены Ли-2.</w:t>
      </w:r>
    </w:p>
    <w:p w14:paraId="454214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Ваше решение прошу сообщить (2595,41).</w:t>
      </w:r>
    </w:p>
    <w:p w14:paraId="131760F6" w14:textId="77777777" w:rsidR="00665165" w:rsidRPr="00925F26" w:rsidRDefault="00665165" w:rsidP="00925F26">
      <w:pPr>
        <w:autoSpaceDE w:val="0"/>
        <w:autoSpaceDN w:val="0"/>
        <w:adjustRightInd w:val="0"/>
        <w:jc w:val="both"/>
        <w:rPr>
          <w:color w:val="000000" w:themeColor="text1"/>
          <w:sz w:val="16"/>
          <w:szCs w:val="16"/>
        </w:rPr>
      </w:pPr>
    </w:p>
    <w:p w14:paraId="02EF87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года зам. начальника ВВС ВМФ по тылу генерал-лейтенант интендантской службы Купреев писал письмо N 5/99887с зам. наркома Авиапрома генерал-лейтенанту инженерно-авиационной службы Дементьеву П.В.</w:t>
      </w:r>
    </w:p>
    <w:p w14:paraId="3A2A19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ВВС КБФ принимают участие в боевых действиях </w:t>
      </w:r>
      <w:proofErr w:type="gramStart"/>
      <w:r w:rsidRPr="00925F26">
        <w:rPr>
          <w:color w:val="000000" w:themeColor="text1"/>
          <w:sz w:val="16"/>
          <w:szCs w:val="16"/>
        </w:rPr>
        <w:t>два авиационных полка</w:t>
      </w:r>
      <w:proofErr w:type="gramEnd"/>
      <w:r w:rsidRPr="00925F26">
        <w:rPr>
          <w:color w:val="000000" w:themeColor="text1"/>
          <w:sz w:val="16"/>
          <w:szCs w:val="16"/>
        </w:rPr>
        <w:t xml:space="preserve"> вооруженных самолетами Ил-10 и Як-9У, совершенно необеспеченных резервными моторами. До сих пор от Авиапромышленности ВВС ВМФ не получили моторы АМ-42 и ВК-107А. Отсутствие резервных моторов исключает возможность восстановления самолетов с неисправными моторами.</w:t>
      </w:r>
    </w:p>
    <w:p w14:paraId="7C161F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о выделении ВВС ВМФ в апреле авиамоторов:</w:t>
      </w:r>
    </w:p>
    <w:p w14:paraId="77C593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АМ-42 - 10</w:t>
      </w:r>
    </w:p>
    <w:p w14:paraId="71C60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 - 10</w:t>
      </w:r>
    </w:p>
    <w:p w14:paraId="5563B4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Ваше решение прошу сообщить (2595,42).</w:t>
      </w:r>
    </w:p>
    <w:p w14:paraId="6D098A06" w14:textId="77777777" w:rsidR="00665165" w:rsidRPr="00925F26" w:rsidRDefault="00665165" w:rsidP="00925F26">
      <w:pPr>
        <w:autoSpaceDE w:val="0"/>
        <w:autoSpaceDN w:val="0"/>
        <w:adjustRightInd w:val="0"/>
        <w:jc w:val="both"/>
        <w:rPr>
          <w:color w:val="000000" w:themeColor="text1"/>
          <w:sz w:val="16"/>
          <w:szCs w:val="16"/>
        </w:rPr>
      </w:pPr>
    </w:p>
    <w:p w14:paraId="2200F9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13 апреля 1945 начались гос. испытания опытного самолета 63 с 2хАМ-39Ф и винтами АВ-5В-22А конструкции А.Н.Т. (1829,114).</w:t>
      </w:r>
    </w:p>
    <w:p w14:paraId="1A5E23F0" w14:textId="77777777" w:rsidR="00665165" w:rsidRPr="00925F26" w:rsidRDefault="00665165" w:rsidP="00925F26">
      <w:pPr>
        <w:autoSpaceDE w:val="0"/>
        <w:autoSpaceDN w:val="0"/>
        <w:adjustRightInd w:val="0"/>
        <w:jc w:val="both"/>
        <w:rPr>
          <w:color w:val="000000" w:themeColor="text1"/>
          <w:sz w:val="16"/>
          <w:szCs w:val="16"/>
        </w:rPr>
      </w:pPr>
    </w:p>
    <w:p w14:paraId="28956F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вышел приказ НКАП N 140сс "Об увеличении выпуска самолетов Як-9 с ВК-105ПФ, вооруженных пушкой 37 мм и о выпуске самолетов Як-9 с ВК-105ПФ, вооруженных пушкой 45 мм" в исполнение постановления ГКО N 8061сс от 10 апреля 1945:</w:t>
      </w:r>
    </w:p>
    <w:p w14:paraId="07F58F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Нач. ПГУ, зам. наркома П.А.Воронину и директору завода 153 В.Н.Лисицину обеспечить выпуск на заводе 153:</w:t>
      </w:r>
    </w:p>
    <w:p w14:paraId="7297BE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начиная с апреля 1945 ежемесячно по 150 самолетов Як-9 с ВК-105ПФ, вооруженных пушкой 37 мм и пулеметом 12.7 мм</w:t>
      </w:r>
    </w:p>
    <w:p w14:paraId="4272CA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начиная с июня 1945 ежемесячно по 5 самолетов Як-9 с ВК-105ПФ, вооруженных пушкой 45 мм и пулеметом 12.7 мм.</w:t>
      </w:r>
    </w:p>
    <w:p w14:paraId="48D520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Увеличение выпуска самолетов Як-9, вооруженных пушкой 37 мм и выпуск самолетов Як-9, вооруженных пушкой 45 мм, произвести без снижения достигнутого общего уровня выпуска самолетов на заводе 153." (1830,94).</w:t>
      </w:r>
    </w:p>
    <w:p w14:paraId="333B0264" w14:textId="77777777" w:rsidR="00665165" w:rsidRPr="00925F26" w:rsidRDefault="00665165" w:rsidP="00925F26">
      <w:pPr>
        <w:autoSpaceDE w:val="0"/>
        <w:autoSpaceDN w:val="0"/>
        <w:adjustRightInd w:val="0"/>
        <w:jc w:val="both"/>
        <w:rPr>
          <w:color w:val="000000" w:themeColor="text1"/>
          <w:sz w:val="16"/>
          <w:szCs w:val="16"/>
        </w:rPr>
      </w:pPr>
    </w:p>
    <w:p w14:paraId="6C116BAE" w14:textId="77777777" w:rsidR="003D79A1" w:rsidRPr="00925F26" w:rsidRDefault="003D79A1" w:rsidP="00925F26">
      <w:pPr>
        <w:jc w:val="both"/>
        <w:rPr>
          <w:color w:val="000000" w:themeColor="text1"/>
          <w:sz w:val="16"/>
          <w:szCs w:val="16"/>
        </w:rPr>
      </w:pPr>
      <w:r w:rsidRPr="00925F26">
        <w:rPr>
          <w:color w:val="000000" w:themeColor="text1"/>
          <w:sz w:val="16"/>
          <w:szCs w:val="16"/>
        </w:rPr>
        <w:t>13 апреля 1945 B-17G (№ 43-38902) совершил вынужденную посадку в Польше, севернее Жешува, близ аэродрома 341-го полка. 22 апреля после ремонта его перегнали в Полтаву. Это была первая «Крепость», поступившая в 45-ю дивизию.</w:t>
      </w:r>
    </w:p>
    <w:p w14:paraId="735CEC44" w14:textId="77777777" w:rsidR="003D79A1" w:rsidRPr="00925F26" w:rsidRDefault="003D79A1" w:rsidP="00925F26">
      <w:pPr>
        <w:jc w:val="both"/>
        <w:rPr>
          <w:color w:val="000000" w:themeColor="text1"/>
          <w:sz w:val="16"/>
          <w:szCs w:val="16"/>
        </w:rPr>
      </w:pPr>
      <w:r w:rsidRPr="00925F26">
        <w:rPr>
          <w:color w:val="000000" w:themeColor="text1"/>
          <w:sz w:val="16"/>
          <w:szCs w:val="16"/>
        </w:rPr>
        <w:t>К середине мая по донесениям с мест в различных районах Польши, Румынии, Венгрии, Чехословакии и Югославии выявили 73 В-17 разных модификаций. Аппарат американского военного атташе в Москве знал о том, что наши собирают брошенную технику, но получил указание не вмешиваться. Интересно, что по оцен</w:t>
      </w:r>
      <w:r w:rsidRPr="00925F26">
        <w:rPr>
          <w:color w:val="000000" w:themeColor="text1"/>
          <w:sz w:val="16"/>
          <w:szCs w:val="16"/>
        </w:rPr>
        <w:softHyphen/>
        <w:t>кам американцев количество восстанов</w:t>
      </w:r>
      <w:r w:rsidRPr="00925F26">
        <w:rPr>
          <w:color w:val="000000" w:themeColor="text1"/>
          <w:sz w:val="16"/>
          <w:szCs w:val="16"/>
        </w:rPr>
        <w:softHyphen/>
        <w:t>ленных советскими ВВС самолетов было в два с лишним раза меньше, чем на самом деле.</w:t>
      </w:r>
    </w:p>
    <w:p w14:paraId="4EE0E8DC" w14:textId="77777777" w:rsidR="003D79A1" w:rsidRPr="00925F26" w:rsidRDefault="003D79A1" w:rsidP="00925F26">
      <w:pPr>
        <w:jc w:val="both"/>
        <w:rPr>
          <w:color w:val="000000" w:themeColor="text1"/>
          <w:sz w:val="16"/>
          <w:szCs w:val="16"/>
        </w:rPr>
      </w:pPr>
      <w:r w:rsidRPr="00925F26">
        <w:rPr>
          <w:color w:val="000000" w:themeColor="text1"/>
          <w:sz w:val="16"/>
          <w:szCs w:val="16"/>
        </w:rPr>
        <w:t>Один практически исправный B-17G, севший в Ясенках (Польша), вернули американцам. Четыре «Крепости» на указанных местах обнаружить не уда</w:t>
      </w:r>
      <w:r w:rsidRPr="00925F26">
        <w:rPr>
          <w:color w:val="000000" w:themeColor="text1"/>
          <w:sz w:val="16"/>
          <w:szCs w:val="16"/>
        </w:rPr>
        <w:softHyphen/>
        <w:t>лось. Остальные имели повреждения различной тяжести. Самолеты бились при посадке, секретное оборудование подрывалось по инструкции экипажа</w:t>
      </w:r>
      <w:r w:rsidRPr="00925F26">
        <w:rPr>
          <w:color w:val="000000" w:themeColor="text1"/>
          <w:sz w:val="16"/>
          <w:szCs w:val="16"/>
        </w:rPr>
        <w:softHyphen/>
        <w:t>ми, кое-что расхищалось местным насе</w:t>
      </w:r>
      <w:r w:rsidRPr="00925F26">
        <w:rPr>
          <w:color w:val="000000" w:themeColor="text1"/>
          <w:sz w:val="16"/>
          <w:szCs w:val="16"/>
        </w:rPr>
        <w:softHyphen/>
        <w:t>лением и солдатами. Большинство В-17 находилось на территории Польши, где действовали отряды «Армии Крайовой», нападавшие на советские войска. 29 мая 1945 г. в Демблине ими был взорван В-17, восстанавливавшийся группой специали</w:t>
      </w:r>
      <w:r w:rsidRPr="00925F26">
        <w:rPr>
          <w:color w:val="000000" w:themeColor="text1"/>
          <w:sz w:val="16"/>
          <w:szCs w:val="16"/>
        </w:rPr>
        <w:softHyphen/>
        <w:t>стов 45-й дивизии (23513).</w:t>
      </w:r>
    </w:p>
    <w:p w14:paraId="25521903" w14:textId="77777777" w:rsidR="003D79A1" w:rsidRPr="00925F26" w:rsidRDefault="003D79A1" w:rsidP="00925F26">
      <w:pPr>
        <w:jc w:val="both"/>
        <w:rPr>
          <w:color w:val="000000" w:themeColor="text1"/>
          <w:sz w:val="16"/>
          <w:szCs w:val="16"/>
        </w:rPr>
      </w:pPr>
    </w:p>
    <w:p w14:paraId="79D779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8124 Об обеспечении Наркомавиапрома радиаторными трубками для производства авиационных радиаторов. РГАНИР, Фонд ГКО, д. 398, лл. 23-24 (11012).</w:t>
      </w:r>
    </w:p>
    <w:p w14:paraId="5A52FADE" w14:textId="77777777" w:rsidR="00665165" w:rsidRPr="00925F26" w:rsidRDefault="00665165" w:rsidP="00925F26">
      <w:pPr>
        <w:autoSpaceDE w:val="0"/>
        <w:autoSpaceDN w:val="0"/>
        <w:adjustRightInd w:val="0"/>
        <w:jc w:val="both"/>
        <w:rPr>
          <w:color w:val="000000" w:themeColor="text1"/>
          <w:sz w:val="16"/>
          <w:szCs w:val="16"/>
        </w:rPr>
      </w:pPr>
    </w:p>
    <w:p w14:paraId="3C6EE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Распоряжение ГКО № 8127. О реэвакуации в Ленинград ОКБ № 172 НКВ и № 340 НКСП. РГАНИР, Фонд ГКО, д. 398, лл. 27 (11012).</w:t>
      </w:r>
    </w:p>
    <w:p w14:paraId="063DC666" w14:textId="77777777" w:rsidR="00665165" w:rsidRPr="00925F26" w:rsidRDefault="00665165" w:rsidP="00925F26">
      <w:pPr>
        <w:autoSpaceDE w:val="0"/>
        <w:autoSpaceDN w:val="0"/>
        <w:adjustRightInd w:val="0"/>
        <w:jc w:val="both"/>
        <w:rPr>
          <w:color w:val="000000" w:themeColor="text1"/>
          <w:sz w:val="16"/>
          <w:szCs w:val="16"/>
        </w:rPr>
      </w:pPr>
    </w:p>
    <w:p w14:paraId="0AF0DFE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5CA0771" w14:textId="77777777" w:rsidR="00665165" w:rsidRPr="00925F26" w:rsidRDefault="00665165" w:rsidP="00925F26">
      <w:pPr>
        <w:autoSpaceDE w:val="0"/>
        <w:autoSpaceDN w:val="0"/>
        <w:adjustRightInd w:val="0"/>
        <w:jc w:val="both"/>
        <w:rPr>
          <w:iCs/>
          <w:color w:val="000000" w:themeColor="text1"/>
          <w:sz w:val="16"/>
          <w:szCs w:val="16"/>
        </w:rPr>
      </w:pPr>
    </w:p>
    <w:p w14:paraId="428C5D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апреля 1945 г. была подготовлена ДОКЛАДНАЯ ЗАПИСКА РАЙОННОГО ИНЖЕНЕРА УПРАВЛЕНИЯ САМОХОДНОЙ АРТИЛЛЕРИИ НАЧАЛЬНИКУ УСА ГБТУ КА ОБ УСТРАНЕНИИ КОНСТРУКТИВНЫХ ДЕФЕКТОВ СУ-100 № 0495</w:t>
      </w:r>
    </w:p>
    <w:p w14:paraId="1DDF93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о мероприятиях по устранению конструктивных недостатков СУ-100:</w:t>
      </w:r>
    </w:p>
    <w:p w14:paraId="252909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 целях устранения поражения экипажа СУ-100 кусками крепежных болтов, отскакивающими при ударе снарядов в броню самохода, изменена конструкция крепления кожуха рамки к лобовому листу: вместо крепления болтами с гайками изнутри машины введено крепление путем привинчивания кожуха снаружи к лобовому листу без выступания концов болтов внутрь машины, кроме двух, располо</w:t>
      </w:r>
      <w:r w:rsidRPr="00925F26">
        <w:rPr>
          <w:color w:val="000000" w:themeColor="text1"/>
          <w:sz w:val="16"/>
          <w:szCs w:val="16"/>
        </w:rPr>
        <w:softHyphen/>
        <w:t>женных около люка водителя. Это изменение введено в производство с №100 программы января 1945 г.</w:t>
      </w:r>
    </w:p>
    <w:p w14:paraId="3257D8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Заводское испытание обстрелом корпуса СУ-100 на полигоне в марте с.г. показало хорошие результаты: приварка бонок надежна, при срезании болтов прямым попаданием снаряда головки болтов остаются снаружи машины.</w:t>
      </w:r>
    </w:p>
    <w:p w14:paraId="6F0DD9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Одной из причин отскакивания мелких осколков от брони являются плены и закаты на броневом листе.</w:t>
      </w:r>
    </w:p>
    <w:p w14:paraId="016177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избежания этого явления прошу дать указание военпредам на Кузнецком и Магнитогорском заводах об ужесточении контроля и недопущении плен и закатов на броневых листах, в особенности на одной из сторон (внутренней).</w:t>
      </w:r>
    </w:p>
    <w:p w14:paraId="13318C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Для улучшения обзорности из командирской башенки поднять МК-4 на 7-8 см нельзя: требу</w:t>
      </w:r>
      <w:r w:rsidRPr="00925F26">
        <w:rPr>
          <w:color w:val="000000" w:themeColor="text1"/>
          <w:sz w:val="16"/>
          <w:szCs w:val="16"/>
        </w:rPr>
        <w:softHyphen/>
        <w:t>ется новая конструкция смотрового прибора с большей перископичностью и увеличением видимо</w:t>
      </w:r>
      <w:r w:rsidRPr="00925F26">
        <w:rPr>
          <w:color w:val="000000" w:themeColor="text1"/>
          <w:sz w:val="16"/>
          <w:szCs w:val="16"/>
        </w:rPr>
        <w:softHyphen/>
        <w:t>го изображения. Имеющийся на УМЗ один экземпляр нового бинокулярного смотрового прибора после незначительных изменений может быть установлен в СУ-100.</w:t>
      </w:r>
    </w:p>
    <w:p w14:paraId="6EF3ED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Крыша командирской башенки нового типа разрабатывается конструкторским бюро.</w:t>
      </w:r>
    </w:p>
    <w:p w14:paraId="1EE415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В целях упрочнения приварки кронштейна, на котором монтируется подъемный и поворотный механизмы, завод №9 ввел в производство с февраля 1945 года чертежи №2020 и №2021 с исправле</w:t>
      </w:r>
      <w:r w:rsidRPr="00925F26">
        <w:rPr>
          <w:color w:val="000000" w:themeColor="text1"/>
          <w:sz w:val="16"/>
          <w:szCs w:val="16"/>
        </w:rPr>
        <w:softHyphen/>
        <w:t>ниями:</w:t>
      </w:r>
    </w:p>
    <w:p w14:paraId="2F0792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Увеличена ширина площади для сварочного шва.</w:t>
      </w:r>
    </w:p>
    <w:p w14:paraId="5090B8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Увеличена длина сварочного шва.</w:t>
      </w:r>
    </w:p>
    <w:p w14:paraId="5B113E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Увеличено сечение рамки детали 17-1 и щеки детали 17-43.</w:t>
      </w:r>
    </w:p>
    <w:p w14:paraId="3F946E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Чертежи прилагаются.</w:t>
      </w:r>
    </w:p>
    <w:p w14:paraId="3C707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Для облегчения работы подъемным механизмом самоходных пушек согласно протоколу технического совещания директора Уралмашзавода, директора завода №9 и директора завода №8 от 31.03.1945 г. по докладу председателя государственной комиссии по испытанию 100-мм самоходных пушек измененной конструкции принято решение: в апреле 1945 г. изготовить 25 штук 100-мм самоходных пушек Д10-С-К с естественным уравновешиванием качающийся части, плава</w:t>
      </w:r>
      <w:r w:rsidRPr="00925F26">
        <w:rPr>
          <w:color w:val="000000" w:themeColor="text1"/>
          <w:sz w:val="16"/>
          <w:szCs w:val="16"/>
        </w:rPr>
        <w:softHyphen/>
        <w:t>ющими втулками на горизонтальных цапфах люльки, выдвижным (утяжеленным) ограждением, компенсирующим механизмом по типу Д5-С85А, электроспуском РТ-9, упрощенным контактным устройством на маховике подъемного механизма и предохранителем от выстрела при задвинутом ограждении.</w:t>
      </w:r>
    </w:p>
    <w:p w14:paraId="414776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Серийный выпуск самоходных пушек Д10-С-К артиллерийские заводы НКВ №9 и №8 предпола</w:t>
      </w:r>
      <w:r w:rsidRPr="00925F26">
        <w:rPr>
          <w:color w:val="000000" w:themeColor="text1"/>
          <w:sz w:val="16"/>
          <w:szCs w:val="16"/>
        </w:rPr>
        <w:softHyphen/>
        <w:t>гают начать с 1.05.1945 г.</w:t>
      </w:r>
    </w:p>
    <w:p w14:paraId="6DA177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Отчет Госкомиссии по этому вопросу Вам выслан 11.04.1945 г. за №522/40с через завод №9 НКВ.</w:t>
      </w:r>
    </w:p>
    <w:p w14:paraId="6684D8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Для обеспечения требуемой чертежом чистоты обработки отверстия для прицела ТШ-19 в щите мною введена проверка при монтаже артсистем в самоходы в сборочном цехе.</w:t>
      </w:r>
    </w:p>
    <w:p w14:paraId="11823E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Усиленная конструкция передних опорных катков: из 16 мм диска вместо 10 мм, и на трех шарикоподшипниках вместо двух, заводское испытание пробегом на 450 км выдержала. Мною дано согласие о введении в серийное производство передних усиленных катков с параллельной провер</w:t>
      </w:r>
      <w:r w:rsidRPr="00925F26">
        <w:rPr>
          <w:color w:val="000000" w:themeColor="text1"/>
          <w:sz w:val="16"/>
          <w:szCs w:val="16"/>
        </w:rPr>
        <w:softHyphen/>
        <w:t>кой на первых 100 машинах и на 2 машинах опытного цеха и после гарантийного пробега в Кубинке на 1000 км во второй половине апреля 1945 г.</w:t>
      </w:r>
    </w:p>
    <w:p w14:paraId="4CB32E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Изготовленная заводом №50 опытная партия 50 штук установлена на машинах и дала удовлетво</w:t>
      </w:r>
      <w:r w:rsidRPr="00925F26">
        <w:rPr>
          <w:color w:val="000000" w:themeColor="text1"/>
          <w:sz w:val="16"/>
          <w:szCs w:val="16"/>
        </w:rPr>
        <w:softHyphen/>
        <w:t>рительные результаты. Серийное производство завод №50 предполагает начать со второй половины апреля 1945 г. С этого же времени предполагается начать выпуск остальных катков с усиленными стяжными болтами диаметром 20 мм вместо 16 мм.</w:t>
      </w:r>
    </w:p>
    <w:p w14:paraId="110ED2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Чертежи усиленных катков прилагаются (см. приказ ОГК УМЗ №123).</w:t>
      </w:r>
    </w:p>
    <w:p w14:paraId="00B750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Опытная усиленная подвеска передних катков из пружины диаметром 36 мм изготовлена и будет испытываться на 1000 км на заводской опытной машине.</w:t>
      </w:r>
    </w:p>
    <w:p w14:paraId="13987F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Произведенными заводскими испытаниями по буксировке машин установлено, что длина буксирного троса должна быть равна 6500 мм вместо 5000 мм. С №1 апрельской программы СУ-100 принимаются мною с 6,5 м буксирными тросами.</w:t>
      </w:r>
    </w:p>
    <w:p w14:paraId="5C6960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В целях устранения разрывов маслопровода (деталь 03-16сб), идущего от маслофильтра к мас-лоперепускному крану, завод ввел в серийное производство с 23.03.1945 г. комбинированную трубку (деталь 03-16сб): нижний конец стальной, а верхняя половина медная.</w:t>
      </w:r>
    </w:p>
    <w:p w14:paraId="51B3C0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Результаты заводских испытаний хорошие.</w:t>
      </w:r>
    </w:p>
    <w:p w14:paraId="77F841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Для разгрузки роликовых подшипников каретки первой и задней передач в КПП раздвига</w:t>
      </w:r>
      <w:r w:rsidRPr="00925F26">
        <w:rPr>
          <w:color w:val="000000" w:themeColor="text1"/>
          <w:sz w:val="16"/>
          <w:szCs w:val="16"/>
        </w:rPr>
        <w:softHyphen/>
        <w:t>ются опоры их на 11 мм, согласно чертежам завода №174, введшего это изменение в серийное про</w:t>
      </w:r>
      <w:r w:rsidRPr="00925F26">
        <w:rPr>
          <w:color w:val="000000" w:themeColor="text1"/>
          <w:sz w:val="16"/>
          <w:szCs w:val="16"/>
        </w:rPr>
        <w:softHyphen/>
        <w:t>изводство.</w:t>
      </w:r>
    </w:p>
    <w:p w14:paraId="09EE16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приказу, изменения чертежей за №9/278/141, Уралмашзавод с 5.05.1945 г. будет подавать заводу №50 поковки, деталь 08-24, по измененному чертежу.</w:t>
      </w:r>
    </w:p>
    <w:p w14:paraId="0DD258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w:t>
      </w:r>
    </w:p>
    <w:p w14:paraId="599D19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Чертеж №2020 на 1 листе.</w:t>
      </w:r>
    </w:p>
    <w:p w14:paraId="7AD523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Чертеж №2021 на 1 листе.</w:t>
      </w:r>
    </w:p>
    <w:p w14:paraId="5DB1E5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Приказ №123 с чертежами на 28 листах.</w:t>
      </w:r>
    </w:p>
    <w:p w14:paraId="0CBE86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И.о. райинженера УСА ГБТУ КА инженер-подполковник Агриков</w:t>
      </w:r>
    </w:p>
    <w:p w14:paraId="04358B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11369. Д. 507. Л. 132-133. Подлинник (11420).</w:t>
      </w:r>
    </w:p>
    <w:p w14:paraId="152F04C9" w14:textId="77777777" w:rsidR="00665165" w:rsidRPr="00925F26" w:rsidRDefault="00665165" w:rsidP="00925F26">
      <w:pPr>
        <w:autoSpaceDE w:val="0"/>
        <w:autoSpaceDN w:val="0"/>
        <w:adjustRightInd w:val="0"/>
        <w:jc w:val="both"/>
        <w:rPr>
          <w:color w:val="000000" w:themeColor="text1"/>
          <w:sz w:val="16"/>
          <w:szCs w:val="16"/>
        </w:rPr>
      </w:pPr>
    </w:p>
    <w:p w14:paraId="53160A9E" w14:textId="7AD4C792" w:rsidR="00AF251F" w:rsidRPr="001A0BAA" w:rsidRDefault="00AF251F" w:rsidP="00AF251F">
      <w:pPr>
        <w:jc w:val="both"/>
        <w:rPr>
          <w:color w:val="0070C0"/>
          <w:sz w:val="16"/>
          <w:szCs w:val="16"/>
        </w:rPr>
      </w:pPr>
      <w:r w:rsidRPr="001A0BAA">
        <w:rPr>
          <w:color w:val="0070C0"/>
          <w:sz w:val="16"/>
          <w:szCs w:val="16"/>
        </w:rPr>
        <w:t>С 13 по 24 апреля 1945 года в серийном танке Т-34-85 испытывалась 1</w:t>
      </w:r>
      <w:r>
        <w:rPr>
          <w:color w:val="0070C0"/>
          <w:sz w:val="16"/>
          <w:szCs w:val="16"/>
        </w:rPr>
        <w:t>00</w:t>
      </w:r>
      <w:r w:rsidRPr="001A0BAA">
        <w:rPr>
          <w:color w:val="0070C0"/>
          <w:sz w:val="16"/>
          <w:szCs w:val="16"/>
        </w:rPr>
        <w:t xml:space="preserve"> мм пушка ЛБ-1. Пушка показала себя непло</w:t>
      </w:r>
      <w:r w:rsidRPr="001A0BAA">
        <w:rPr>
          <w:color w:val="0070C0"/>
          <w:sz w:val="16"/>
          <w:szCs w:val="16"/>
        </w:rPr>
        <w:softHyphen/>
        <w:t>хо, но для серийной башни тридцатьчетвер</w:t>
      </w:r>
      <w:r w:rsidRPr="001A0BAA">
        <w:rPr>
          <w:color w:val="0070C0"/>
          <w:sz w:val="16"/>
          <w:szCs w:val="16"/>
        </w:rPr>
        <w:softHyphen/>
        <w:t>ки она была великовата.</w:t>
      </w:r>
    </w:p>
    <w:p w14:paraId="0FA23AD9" w14:textId="77777777" w:rsidR="00AF251F" w:rsidRPr="001A0BAA" w:rsidRDefault="00AF251F" w:rsidP="00AF251F">
      <w:pPr>
        <w:jc w:val="both"/>
        <w:rPr>
          <w:color w:val="0070C0"/>
          <w:sz w:val="16"/>
          <w:szCs w:val="16"/>
        </w:rPr>
      </w:pPr>
      <w:r w:rsidRPr="001A0BAA">
        <w:rPr>
          <w:color w:val="0070C0"/>
          <w:sz w:val="16"/>
          <w:szCs w:val="16"/>
        </w:rPr>
        <w:lastRenderedPageBreak/>
        <w:t>В целом испытания Т-34-85 со 100-мм пуш</w:t>
      </w:r>
      <w:r w:rsidRPr="001A0BAA">
        <w:rPr>
          <w:color w:val="0070C0"/>
          <w:sz w:val="16"/>
          <w:szCs w:val="16"/>
        </w:rPr>
        <w:softHyphen/>
        <w:t>ками (как в серийной башне, так и в баш</w:t>
      </w:r>
      <w:r w:rsidRPr="001A0BAA">
        <w:rPr>
          <w:color w:val="0070C0"/>
          <w:sz w:val="16"/>
          <w:szCs w:val="16"/>
        </w:rPr>
        <w:softHyphen/>
        <w:t>не Т-34-100)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артсистемы для новых типов сред</w:t>
      </w:r>
      <w:r w:rsidRPr="001A0BAA">
        <w:rPr>
          <w:color w:val="0070C0"/>
          <w:sz w:val="16"/>
          <w:szCs w:val="16"/>
        </w:rPr>
        <w:softHyphen/>
        <w:t>них танков, а Т-34-100 - как стенд для испы</w:t>
      </w:r>
      <w:r w:rsidRPr="001A0BAA">
        <w:rPr>
          <w:color w:val="0070C0"/>
          <w:sz w:val="16"/>
          <w:szCs w:val="16"/>
        </w:rPr>
        <w:softHyphen/>
        <w:t>тания 100-мм орудий (25012).</w:t>
      </w:r>
    </w:p>
    <w:p w14:paraId="5DB85C70" w14:textId="77777777" w:rsidR="00AF251F" w:rsidRPr="001A0BAA" w:rsidRDefault="00AF251F" w:rsidP="00AF251F">
      <w:pPr>
        <w:jc w:val="both"/>
        <w:rPr>
          <w:color w:val="0070C0"/>
          <w:sz w:val="16"/>
          <w:szCs w:val="16"/>
        </w:rPr>
      </w:pPr>
    </w:p>
    <w:p w14:paraId="47D762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8105 О плане производства и ремонта танков, самоходных артиллерийских установок, дизелей и поставки танковых запасных частей Красной Армии на II квартал 1945 г. РГАНИР, Фонд ГКО, д. 392, лл. 1-6, 7-172 (11012).</w:t>
      </w:r>
    </w:p>
    <w:p w14:paraId="2CF3F70E" w14:textId="77777777" w:rsidR="00665165" w:rsidRPr="00925F26" w:rsidRDefault="00665165" w:rsidP="00925F26">
      <w:pPr>
        <w:autoSpaceDE w:val="0"/>
        <w:autoSpaceDN w:val="0"/>
        <w:adjustRightInd w:val="0"/>
        <w:jc w:val="both"/>
        <w:rPr>
          <w:color w:val="000000" w:themeColor="text1"/>
          <w:sz w:val="16"/>
          <w:szCs w:val="16"/>
        </w:rPr>
      </w:pPr>
    </w:p>
    <w:p w14:paraId="26599A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8106 О плане производства важнейших химикатов для боеприпасов и народного хозяйства на II квартал 1945 года. РГАНИР, Фонд ГКО, д. 392, лл. 173-198, 199-224 (11012).</w:t>
      </w:r>
    </w:p>
    <w:p w14:paraId="5683F086" w14:textId="77777777" w:rsidR="00665165" w:rsidRPr="00925F26" w:rsidRDefault="00665165" w:rsidP="00925F26">
      <w:pPr>
        <w:autoSpaceDE w:val="0"/>
        <w:autoSpaceDN w:val="0"/>
        <w:adjustRightInd w:val="0"/>
        <w:jc w:val="both"/>
        <w:rPr>
          <w:color w:val="000000" w:themeColor="text1"/>
          <w:sz w:val="16"/>
          <w:szCs w:val="16"/>
        </w:rPr>
      </w:pPr>
    </w:p>
    <w:p w14:paraId="1EAF1F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8107 О плане производства боеприпасов во II квартале 1945 года. РГАНИР, Фонд ГКО, д. 393, лл. 1-19, 20-491 (11012).</w:t>
      </w:r>
    </w:p>
    <w:p w14:paraId="3F58044F" w14:textId="77777777" w:rsidR="00665165" w:rsidRPr="00925F26" w:rsidRDefault="00665165" w:rsidP="00925F26">
      <w:pPr>
        <w:autoSpaceDE w:val="0"/>
        <w:autoSpaceDN w:val="0"/>
        <w:adjustRightInd w:val="0"/>
        <w:jc w:val="both"/>
        <w:rPr>
          <w:color w:val="000000" w:themeColor="text1"/>
          <w:sz w:val="16"/>
          <w:szCs w:val="16"/>
        </w:rPr>
      </w:pPr>
    </w:p>
    <w:p w14:paraId="2EAA14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8108 О плане производства и поставок НКО и НКВМФ артиллерийского, минометного и стрелкового вооружения и военных приборов на II квартал 1945 года. РГАНИР, Фонд ГКО, д. 395, лл. 1-54, 55-155 (11012).</w:t>
      </w:r>
    </w:p>
    <w:p w14:paraId="4DEFCED5" w14:textId="77777777" w:rsidR="00665165" w:rsidRPr="00925F26" w:rsidRDefault="00665165" w:rsidP="00925F26">
      <w:pPr>
        <w:autoSpaceDE w:val="0"/>
        <w:autoSpaceDN w:val="0"/>
        <w:adjustRightInd w:val="0"/>
        <w:jc w:val="both"/>
        <w:rPr>
          <w:color w:val="000000" w:themeColor="text1"/>
          <w:sz w:val="16"/>
          <w:szCs w:val="16"/>
        </w:rPr>
      </w:pPr>
    </w:p>
    <w:p w14:paraId="03DEAC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8109 О плане производства и поставок пистолетов-пулеметов Шпагина и ПП-43 во II квартале 1945 г. РГАНИР, Фонд ГКО, д. 395, лл. 156-166, 167-178 (11012).</w:t>
      </w:r>
    </w:p>
    <w:p w14:paraId="107C47EC" w14:textId="77777777" w:rsidR="00665165" w:rsidRPr="00925F26" w:rsidRDefault="00665165" w:rsidP="00925F26">
      <w:pPr>
        <w:autoSpaceDE w:val="0"/>
        <w:autoSpaceDN w:val="0"/>
        <w:adjustRightInd w:val="0"/>
        <w:jc w:val="both"/>
        <w:rPr>
          <w:color w:val="000000" w:themeColor="text1"/>
          <w:sz w:val="16"/>
          <w:szCs w:val="16"/>
        </w:rPr>
      </w:pPr>
    </w:p>
    <w:p w14:paraId="0ADFD5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8110 О плане производства и поставок патронов Наркоматом вооружения во II квартале 1945 г. РГАНИР, Фонд ГКО, д. 395, лл. 179-192, 193-202 (11012).</w:t>
      </w:r>
    </w:p>
    <w:p w14:paraId="48048151" w14:textId="77777777" w:rsidR="00665165" w:rsidRPr="00925F26" w:rsidRDefault="00665165" w:rsidP="00925F26">
      <w:pPr>
        <w:autoSpaceDE w:val="0"/>
        <w:autoSpaceDN w:val="0"/>
        <w:adjustRightInd w:val="0"/>
        <w:jc w:val="both"/>
        <w:rPr>
          <w:color w:val="000000" w:themeColor="text1"/>
          <w:sz w:val="16"/>
          <w:szCs w:val="16"/>
        </w:rPr>
      </w:pPr>
    </w:p>
    <w:p w14:paraId="6FE1D9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8111 О плане добычи нефти, выработки нефтепродуктов и материально-технического снабжения нефтяной промышленности во II квартале 1945 г. РГАНИР, Фонд ГКО, д. 395, лл. 203-232, 233-267 (11012).</w:t>
      </w:r>
    </w:p>
    <w:p w14:paraId="465F95CC" w14:textId="77777777" w:rsidR="00665165" w:rsidRPr="00925F26" w:rsidRDefault="00665165" w:rsidP="00925F26">
      <w:pPr>
        <w:autoSpaceDE w:val="0"/>
        <w:autoSpaceDN w:val="0"/>
        <w:adjustRightInd w:val="0"/>
        <w:jc w:val="both"/>
        <w:rPr>
          <w:color w:val="000000" w:themeColor="text1"/>
          <w:sz w:val="16"/>
          <w:szCs w:val="16"/>
        </w:rPr>
      </w:pPr>
    </w:p>
    <w:p w14:paraId="5C0293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8112 О плане производства синтетического каучука, автомобильных, авиационных и артиллерийских шин, инженерного имущества, резинотехнических и асбестовых изделий на II квартал 1945 года и мерах по обеспечению производства этих изделий. (11012).</w:t>
      </w:r>
    </w:p>
    <w:p w14:paraId="69E30C91" w14:textId="77777777" w:rsidR="00665165" w:rsidRPr="00925F26" w:rsidRDefault="00665165" w:rsidP="00925F26">
      <w:pPr>
        <w:autoSpaceDE w:val="0"/>
        <w:autoSpaceDN w:val="0"/>
        <w:adjustRightInd w:val="0"/>
        <w:jc w:val="both"/>
        <w:rPr>
          <w:color w:val="000000" w:themeColor="text1"/>
          <w:sz w:val="16"/>
          <w:szCs w:val="16"/>
        </w:rPr>
      </w:pPr>
    </w:p>
    <w:p w14:paraId="466605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8113 О плане производства целлюлозы, бумаги и картона по Наркомбумпрому на II квартал 1945 г. РГАНИР, Фонд ГКО, д. 396, лл. 41-43, 44-99 (11012).</w:t>
      </w:r>
    </w:p>
    <w:p w14:paraId="52DC6630" w14:textId="77777777" w:rsidR="00665165" w:rsidRPr="00925F26" w:rsidRDefault="00665165" w:rsidP="00925F26">
      <w:pPr>
        <w:autoSpaceDE w:val="0"/>
        <w:autoSpaceDN w:val="0"/>
        <w:adjustRightInd w:val="0"/>
        <w:jc w:val="both"/>
        <w:rPr>
          <w:color w:val="000000" w:themeColor="text1"/>
          <w:sz w:val="16"/>
          <w:szCs w:val="16"/>
        </w:rPr>
      </w:pPr>
    </w:p>
    <w:p w14:paraId="6C492E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8115 О мероприятиях по развитию добычи природного газа и производстве искусственного жидкого топлива во II квартале 1945 года. РГАНИР, Фонд ГКО, д. 396, лл. 166-173, 174-187 (11012).</w:t>
      </w:r>
    </w:p>
    <w:p w14:paraId="4E8BE5BC" w14:textId="77777777" w:rsidR="00665165" w:rsidRPr="00925F26" w:rsidRDefault="00665165" w:rsidP="00925F26">
      <w:pPr>
        <w:autoSpaceDE w:val="0"/>
        <w:autoSpaceDN w:val="0"/>
        <w:adjustRightInd w:val="0"/>
        <w:jc w:val="both"/>
        <w:rPr>
          <w:color w:val="000000" w:themeColor="text1"/>
          <w:sz w:val="16"/>
          <w:szCs w:val="16"/>
        </w:rPr>
      </w:pPr>
    </w:p>
    <w:p w14:paraId="67F949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Распоряжение ГКО № 8116. О передаче импортной паротурбинной электростанции из объединения "Грознефть" объединению "Краснодарнефть". РГАНИР, Фонд ГКО, д. 396, лл. 188 (11012).</w:t>
      </w:r>
    </w:p>
    <w:p w14:paraId="618DEB50" w14:textId="77777777" w:rsidR="00665165" w:rsidRPr="00925F26" w:rsidRDefault="00665165" w:rsidP="00925F26">
      <w:pPr>
        <w:autoSpaceDE w:val="0"/>
        <w:autoSpaceDN w:val="0"/>
        <w:adjustRightInd w:val="0"/>
        <w:jc w:val="both"/>
        <w:rPr>
          <w:color w:val="000000" w:themeColor="text1"/>
          <w:sz w:val="16"/>
          <w:szCs w:val="16"/>
        </w:rPr>
      </w:pPr>
    </w:p>
    <w:p w14:paraId="1C8943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Распоряжение ГКО № 8117. Об увеличении отпуска электроэнергии предприятиям НКХП Горьковской обл. РГАНИР, Фонд ГКО, д. 396, лл. 189 (11012).</w:t>
      </w:r>
    </w:p>
    <w:p w14:paraId="58E55992" w14:textId="77777777" w:rsidR="00665165" w:rsidRPr="00925F26" w:rsidRDefault="00665165" w:rsidP="00925F26">
      <w:pPr>
        <w:autoSpaceDE w:val="0"/>
        <w:autoSpaceDN w:val="0"/>
        <w:adjustRightInd w:val="0"/>
        <w:jc w:val="both"/>
        <w:rPr>
          <w:color w:val="000000" w:themeColor="text1"/>
          <w:sz w:val="16"/>
          <w:szCs w:val="16"/>
        </w:rPr>
      </w:pPr>
    </w:p>
    <w:p w14:paraId="71AA0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8118 О материально-техническом обеспечении предприятий цветной металлургии во II квартале 1945 г. РГАНИР, Фонд ГКО, д. 397, лл. 1-12, 13-38 (11012).</w:t>
      </w:r>
    </w:p>
    <w:p w14:paraId="236C8535" w14:textId="77777777" w:rsidR="00665165" w:rsidRPr="00925F26" w:rsidRDefault="00665165" w:rsidP="00925F26">
      <w:pPr>
        <w:autoSpaceDE w:val="0"/>
        <w:autoSpaceDN w:val="0"/>
        <w:adjustRightInd w:val="0"/>
        <w:jc w:val="both"/>
        <w:rPr>
          <w:color w:val="000000" w:themeColor="text1"/>
          <w:sz w:val="16"/>
          <w:szCs w:val="16"/>
        </w:rPr>
      </w:pPr>
    </w:p>
    <w:p w14:paraId="153F01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8119 О мероприятиях по восстановлению угольной промышленности Донбасса во II квартале 1945 года. РГАНИР, Фонд ГКО, д. 397, лл. 39-78, 79-139 (11012).</w:t>
      </w:r>
    </w:p>
    <w:p w14:paraId="2D1AC4F3" w14:textId="77777777" w:rsidR="00665165" w:rsidRPr="00925F26" w:rsidRDefault="00665165" w:rsidP="00925F26">
      <w:pPr>
        <w:autoSpaceDE w:val="0"/>
        <w:autoSpaceDN w:val="0"/>
        <w:adjustRightInd w:val="0"/>
        <w:jc w:val="both"/>
        <w:rPr>
          <w:color w:val="000000" w:themeColor="text1"/>
          <w:sz w:val="16"/>
          <w:szCs w:val="16"/>
        </w:rPr>
      </w:pPr>
    </w:p>
    <w:p w14:paraId="77026B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8120 Об организации правительственной ВЧ связи НКВД на территории Польши. РГАНИР, Фонд ГКО, д. 397, лл. 140-142, 143-145 (11012).</w:t>
      </w:r>
    </w:p>
    <w:p w14:paraId="32D2BF13" w14:textId="77777777" w:rsidR="00665165" w:rsidRPr="00925F26" w:rsidRDefault="00665165" w:rsidP="00925F26">
      <w:pPr>
        <w:autoSpaceDE w:val="0"/>
        <w:autoSpaceDN w:val="0"/>
        <w:adjustRightInd w:val="0"/>
        <w:jc w:val="both"/>
        <w:rPr>
          <w:color w:val="000000" w:themeColor="text1"/>
          <w:sz w:val="16"/>
          <w:szCs w:val="16"/>
        </w:rPr>
      </w:pPr>
    </w:p>
    <w:p w14:paraId="59F9097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8121 О мероприятиях по улучшению работы дорог Дальнего Востока (Красноярской, Восточно-Сибирской, Забайкальской, Амурской, Дальневосточной и Приморской). (7324, 146-156,157-178).</w:t>
      </w:r>
    </w:p>
    <w:p w14:paraId="41EC80E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91A0E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8122 О поставках военной техники, автотранспорта, материалов и вооружения Чехословацкому правительству. РГАНИР, Фонд ГКО, д. 398, лл. 1-3, 4-20 (11012).</w:t>
      </w:r>
    </w:p>
    <w:p w14:paraId="67BDB70E" w14:textId="77777777" w:rsidR="00665165" w:rsidRPr="00925F26" w:rsidRDefault="00665165" w:rsidP="00925F26">
      <w:pPr>
        <w:autoSpaceDE w:val="0"/>
        <w:autoSpaceDN w:val="0"/>
        <w:adjustRightInd w:val="0"/>
        <w:jc w:val="both"/>
        <w:rPr>
          <w:color w:val="000000" w:themeColor="text1"/>
          <w:sz w:val="16"/>
          <w:szCs w:val="16"/>
        </w:rPr>
      </w:pPr>
    </w:p>
    <w:p w14:paraId="742488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Распоряжение ГКО № 8123. О мерах по обеспечению ВМФ средствами борьбы с неконтактными минами. РГАНИР, Фонд ГКО, д. 398, лл. 21-22 (11012).</w:t>
      </w:r>
    </w:p>
    <w:p w14:paraId="388DC13F" w14:textId="77777777" w:rsidR="00665165" w:rsidRPr="00925F26" w:rsidRDefault="00665165" w:rsidP="00925F26">
      <w:pPr>
        <w:autoSpaceDE w:val="0"/>
        <w:autoSpaceDN w:val="0"/>
        <w:adjustRightInd w:val="0"/>
        <w:jc w:val="both"/>
        <w:rPr>
          <w:color w:val="000000" w:themeColor="text1"/>
          <w:sz w:val="16"/>
          <w:szCs w:val="16"/>
        </w:rPr>
      </w:pPr>
    </w:p>
    <w:p w14:paraId="313B6E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Распоряжение ГКО № 8125. О расходе высокооктановых компонентов нефтеперерабатывающими заводами Азербайджана. РГАНИР, Фонд ГКО, д. 398, лл. 25 (11012).</w:t>
      </w:r>
    </w:p>
    <w:p w14:paraId="500F9058" w14:textId="77777777" w:rsidR="00665165" w:rsidRPr="00925F26" w:rsidRDefault="00665165" w:rsidP="00925F26">
      <w:pPr>
        <w:autoSpaceDE w:val="0"/>
        <w:autoSpaceDN w:val="0"/>
        <w:adjustRightInd w:val="0"/>
        <w:jc w:val="both"/>
        <w:rPr>
          <w:color w:val="000000" w:themeColor="text1"/>
          <w:sz w:val="16"/>
          <w:szCs w:val="16"/>
        </w:rPr>
      </w:pPr>
    </w:p>
    <w:p w14:paraId="00215DD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вышло Распоряжение ГКО № 8126 [О поставках леса на строительство железной дороги Кировабад - Дашкесан.] (7325, 26).</w:t>
      </w:r>
    </w:p>
    <w:p w14:paraId="1B1A64E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E9D39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г. вышло распоряжение ГКО № 8127 о реэвакуации ОКБ-340 (ОКБ НКВД завода № 340, КБ-340, ЦКБ-340, ФГУП, ОАО «Зеленодольское Проектно-конструкторское бюро (ЗПКБ)» /Татарстан 422520  г. Зеленодольск ул. Ленина, 41(4А) тел. (84371) 26-978, 53-066/)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50B3A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18263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0E43A5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6.11.1958 г. вышло постановление СМ СССР № 1233-595 о постройке головного корабля ПЛО пр. 35; пост. № 1099-369 от 22.12.1965 г. корабль пр. 35 пнв.</w:t>
      </w:r>
    </w:p>
    <w:p w14:paraId="5434A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1963 г. в составе ЦКБ создано СКБ по созданию малогабаритных и легких устройств для отрасли- СКБМ.</w:t>
      </w:r>
    </w:p>
    <w:p w14:paraId="03D36D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Имелся филиал КБ на ФПО им. Двадцать шестого съезда КПСС.</w:t>
      </w:r>
    </w:p>
    <w:p w14:paraId="610C8E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ЦКБ «Вымпел» сюда переданы работы по проекту десантного корабля на ВП со скегами пр. 1263, затем работы свернуты.</w:t>
      </w:r>
    </w:p>
    <w:p w14:paraId="39CC56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345-116 от 30.04.1965 г. охотник пр. 201Т пнв.</w:t>
      </w:r>
    </w:p>
    <w:p w14:paraId="6F0F15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30B13B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1970-</w:t>
      </w:r>
      <w:proofErr w:type="gramStart"/>
      <w:r w:rsidRPr="00925F26">
        <w:rPr>
          <w:color w:val="000000" w:themeColor="text1"/>
          <w:sz w:val="16"/>
          <w:szCs w:val="16"/>
        </w:rPr>
        <w:t>е  г.</w:t>
      </w:r>
      <w:proofErr w:type="gramEnd"/>
      <w:r w:rsidRPr="00925F26">
        <w:rPr>
          <w:color w:val="000000" w:themeColor="text1"/>
          <w:sz w:val="16"/>
          <w:szCs w:val="16"/>
        </w:rPr>
        <w:t xml:space="preserve"> из ЦМКБ «Алмаз» переданы работы по речному артиллерийскому кораблю пр. 1208.</w:t>
      </w:r>
    </w:p>
    <w:p w14:paraId="1A47B2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ПКБ был построен головной экземпляр катера пр. 14170 «Терьер».</w:t>
      </w:r>
    </w:p>
    <w:p w14:paraId="4BA502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144AA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2006 г. по 30 проектам КБ построено около 900 кораблей.</w:t>
      </w:r>
    </w:p>
    <w:p w14:paraId="0FA887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4F68E4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(1949-67 г.-&gt; А.В. Кунахович, В.И. Цюпак, Ю.А. Никольский, С.И. Нахамкин, А.П. Мышакин, (1995-2005 г.-)- А.В. Романов.</w:t>
      </w:r>
      <w:r w:rsidRPr="00925F26">
        <w:rPr>
          <w:color w:val="000000" w:themeColor="text1"/>
          <w:sz w:val="16"/>
          <w:szCs w:val="16"/>
          <w:vertAlign w:val="superscript"/>
        </w:rPr>
        <w:t>17</w:t>
      </w:r>
      <w:r w:rsidRPr="00925F26">
        <w:rPr>
          <w:color w:val="000000" w:themeColor="text1"/>
          <w:sz w:val="16"/>
          <w:szCs w:val="16"/>
        </w:rPr>
        <w:t xml:space="preserve"> И.О. Гендиректора (2006 г.)- Л.Е. Шарапов. Гендиректор (2006 г.)- Л.Е. Шарапов.</w:t>
      </w:r>
    </w:p>
    <w:p w14:paraId="0622B7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w:t>
      </w:r>
      <w:r w:rsidRPr="00925F26">
        <w:rPr>
          <w:color w:val="000000" w:themeColor="text1"/>
          <w:sz w:val="16"/>
          <w:szCs w:val="16"/>
          <w:lang w:val="en-US"/>
        </w:rPr>
        <w:t>TP</w:t>
      </w:r>
      <w:r w:rsidRPr="00925F26">
        <w:rPr>
          <w:color w:val="000000" w:themeColor="text1"/>
          <w:sz w:val="16"/>
          <w:szCs w:val="16"/>
        </w:rPr>
        <w:t>, 18061), (1980-е)- В.А. Пипа (пр. 18061), (1980-е)- Е.И. Овсиенко (пр. 1141, 11451), (1980- е)- В.И. Юдин (пр. 1248, 12130), Я. Кушнир (пр. 21630).</w:t>
      </w:r>
    </w:p>
    <w:p w14:paraId="7CDE0990"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 катера:</w:t>
      </w:r>
      <w:r w:rsidRPr="00925F26">
        <w:rPr>
          <w:color w:val="000000" w:themeColor="text1"/>
          <w:sz w:val="16"/>
          <w:szCs w:val="16"/>
        </w:rPr>
        <w:t xml:space="preserve">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w:t>
      </w:r>
      <w:r w:rsidRPr="00925F26">
        <w:rPr>
          <w:color w:val="000000" w:themeColor="text1"/>
          <w:sz w:val="16"/>
          <w:szCs w:val="16"/>
          <w:vertAlign w:val="superscript"/>
        </w:rPr>
        <w:t>61</w:t>
      </w:r>
      <w:r w:rsidRPr="00925F26">
        <w:rPr>
          <w:color w:val="000000" w:themeColor="text1"/>
          <w:sz w:val="16"/>
          <w:szCs w:val="16"/>
        </w:rPr>
        <w:t xml:space="preserve"> большой охотник пр. 1226 (1949), пр. 122бис (1951);</w:t>
      </w:r>
      <w:r w:rsidRPr="00925F26">
        <w:rPr>
          <w:iCs/>
          <w:color w:val="000000" w:themeColor="text1"/>
          <w:sz w:val="16"/>
          <w:szCs w:val="16"/>
        </w:rPr>
        <w:t xml:space="preserve"> ПЛК:</w:t>
      </w:r>
      <w:r w:rsidRPr="00925F26">
        <w:rPr>
          <w:color w:val="000000" w:themeColor="text1"/>
          <w:sz w:val="16"/>
          <w:szCs w:val="16"/>
        </w:rPr>
        <w:t xml:space="preserve">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w:t>
      </w:r>
      <w:r w:rsidRPr="00925F26">
        <w:rPr>
          <w:iCs/>
          <w:color w:val="000000" w:themeColor="text1"/>
          <w:sz w:val="16"/>
          <w:szCs w:val="16"/>
        </w:rPr>
        <w:t xml:space="preserve"> СКР (фрегаты):</w:t>
      </w:r>
      <w:r w:rsidRPr="00925F26">
        <w:rPr>
          <w:color w:val="000000" w:themeColor="text1"/>
          <w:sz w:val="16"/>
          <w:szCs w:val="16"/>
        </w:rPr>
        <w:t xml:space="preserve"> пр. 11540 «Ястреб» (1983), пр. 11541 «Корсар» (2000-е); скеговый на воздушной подушке пр. 10230 «Тур» (1980-е, не реализован);</w:t>
      </w:r>
      <w:r w:rsidRPr="00925F26">
        <w:rPr>
          <w:iCs/>
          <w:color w:val="000000" w:themeColor="text1"/>
          <w:sz w:val="16"/>
          <w:szCs w:val="16"/>
        </w:rPr>
        <w:t xml:space="preserve"> экспортные:</w:t>
      </w:r>
      <w:r w:rsidRPr="00925F26">
        <w:rPr>
          <w:color w:val="000000" w:themeColor="text1"/>
          <w:sz w:val="16"/>
          <w:szCs w:val="16"/>
        </w:rPr>
        <w:t xml:space="preserve"> пр. 1159 «Ягуар» (1970), тропический пр. 1159Т (1976), ракетный пр. 1159ТР (1984); пр. 11660 «Гепард» (начало 1980-х), ракетный пр. 11661 «Гепард-1» (1983-), экспортный пр. 11661К «Гепард-3.9»;</w:t>
      </w:r>
      <w:r w:rsidRPr="00925F26">
        <w:rPr>
          <w:iCs/>
          <w:color w:val="000000" w:themeColor="text1"/>
          <w:sz w:val="16"/>
          <w:szCs w:val="16"/>
        </w:rPr>
        <w:t xml:space="preserve"> малые противолодочные корабли (МПК):</w:t>
      </w:r>
      <w:r w:rsidRPr="00925F26">
        <w:rPr>
          <w:color w:val="000000" w:themeColor="text1"/>
          <w:sz w:val="16"/>
          <w:szCs w:val="16"/>
        </w:rPr>
        <w:t xml:space="preserve">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w:t>
      </w:r>
      <w:r w:rsidRPr="00925F26">
        <w:rPr>
          <w:iCs/>
          <w:color w:val="000000" w:themeColor="text1"/>
          <w:sz w:val="16"/>
          <w:szCs w:val="16"/>
        </w:rPr>
        <w:t>речные корабли:</w:t>
      </w:r>
      <w:r w:rsidRPr="00925F26">
        <w:rPr>
          <w:color w:val="000000" w:themeColor="text1"/>
          <w:sz w:val="16"/>
          <w:szCs w:val="16"/>
        </w:rPr>
        <w:t xml:space="preserve">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6D21D34B" w14:textId="77777777" w:rsidR="00665165" w:rsidRPr="00925F26" w:rsidRDefault="00665165" w:rsidP="00925F26">
      <w:pPr>
        <w:autoSpaceDE w:val="0"/>
        <w:autoSpaceDN w:val="0"/>
        <w:adjustRightInd w:val="0"/>
        <w:jc w:val="both"/>
        <w:rPr>
          <w:color w:val="000000" w:themeColor="text1"/>
          <w:sz w:val="16"/>
          <w:szCs w:val="16"/>
        </w:rPr>
      </w:pPr>
    </w:p>
    <w:p w14:paraId="45B3D95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8128 О развитии добычи марганцевой руды на рудниках треста "Чиатурмарганец" Наркомчермета. (7325, 28-34,35-46).</w:t>
      </w:r>
    </w:p>
    <w:p w14:paraId="1FA674A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FD67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8129 О плане материально-технического обеспечения авиационной промышленности во втором квартале 1945 г. РГАНИР, Фонд ГКО, д. 398, лл. 47-51, 52-217 (11012).</w:t>
      </w:r>
    </w:p>
    <w:p w14:paraId="721B95BA" w14:textId="77777777" w:rsidR="00665165" w:rsidRPr="00925F26" w:rsidRDefault="00665165" w:rsidP="00925F26">
      <w:pPr>
        <w:autoSpaceDE w:val="0"/>
        <w:autoSpaceDN w:val="0"/>
        <w:adjustRightInd w:val="0"/>
        <w:jc w:val="both"/>
        <w:rPr>
          <w:color w:val="000000" w:themeColor="text1"/>
          <w:sz w:val="16"/>
          <w:szCs w:val="16"/>
        </w:rPr>
      </w:pPr>
    </w:p>
    <w:p w14:paraId="274BE32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8130 О плане снабжения продовольствием и фуражом Красной Армии, Военно-Морского Флота, войск НКВД СССР и военнопленных на II квартал 1945 г. (7326, 1-2,3-18).</w:t>
      </w:r>
    </w:p>
    <w:p w14:paraId="255710B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827F3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8131 О плане поставок вещевого имущества и снаряжения для НКО, НКВМФ и войск НКВД СССР на II квартал 1945 г. РГАНИР, Фонд ГКО, д. 399, лл. 19-23, 24-68 (11012).</w:t>
      </w:r>
    </w:p>
    <w:p w14:paraId="4FB62F60" w14:textId="77777777" w:rsidR="00665165" w:rsidRPr="00925F26" w:rsidRDefault="00665165" w:rsidP="00925F26">
      <w:pPr>
        <w:autoSpaceDE w:val="0"/>
        <w:autoSpaceDN w:val="0"/>
        <w:adjustRightInd w:val="0"/>
        <w:jc w:val="both"/>
        <w:rPr>
          <w:color w:val="000000" w:themeColor="text1"/>
          <w:sz w:val="16"/>
          <w:szCs w:val="16"/>
        </w:rPr>
      </w:pPr>
    </w:p>
    <w:p w14:paraId="1B444B9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8132 Об увеличении производства электрооборудования для угольной промышленности на заводах Наркомэлектропрома в 1945 г. (7326, 69-84,85-94).</w:t>
      </w:r>
    </w:p>
    <w:p w14:paraId="2614D84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8B97E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8133 О материально-техническом обеспечении выполнения плана добычи золота и платины предприятиями Главзолото Наркомцветмета в 1945 году. РГАНИР, Фонд ГКО, д. 399, лл. 95-103, 104-124 (11012).</w:t>
      </w:r>
    </w:p>
    <w:p w14:paraId="4F398706" w14:textId="77777777" w:rsidR="00665165" w:rsidRPr="00925F26" w:rsidRDefault="00665165" w:rsidP="00925F26">
      <w:pPr>
        <w:autoSpaceDE w:val="0"/>
        <w:autoSpaceDN w:val="0"/>
        <w:adjustRightInd w:val="0"/>
        <w:jc w:val="both"/>
        <w:rPr>
          <w:color w:val="000000" w:themeColor="text1"/>
          <w:sz w:val="16"/>
          <w:szCs w:val="16"/>
        </w:rPr>
      </w:pPr>
    </w:p>
    <w:p w14:paraId="6CFDBE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8134 О восстановлении первой очереди электростанций и электросетей Белорусэнерго Наркомата электростанций. РГАНИР, Фонд ГКО, д. 399, лл. 125-127, 128-142 (11012).</w:t>
      </w:r>
    </w:p>
    <w:p w14:paraId="5D8DC591" w14:textId="77777777" w:rsidR="00665165" w:rsidRPr="00925F26" w:rsidRDefault="00665165" w:rsidP="00925F26">
      <w:pPr>
        <w:autoSpaceDE w:val="0"/>
        <w:autoSpaceDN w:val="0"/>
        <w:adjustRightInd w:val="0"/>
        <w:jc w:val="both"/>
        <w:rPr>
          <w:color w:val="000000" w:themeColor="text1"/>
          <w:sz w:val="16"/>
          <w:szCs w:val="16"/>
        </w:rPr>
      </w:pPr>
    </w:p>
    <w:p w14:paraId="22E138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8135 О первоочередных мерах по восстановлению энергетических объектов Литовской ССР. РГАНИР, Фонд ГКО, д. 400, лл. 1-3, 4-18 (11012).</w:t>
      </w:r>
    </w:p>
    <w:p w14:paraId="3548E985" w14:textId="77777777" w:rsidR="00665165" w:rsidRPr="00925F26" w:rsidRDefault="00665165" w:rsidP="00925F26">
      <w:pPr>
        <w:autoSpaceDE w:val="0"/>
        <w:autoSpaceDN w:val="0"/>
        <w:adjustRightInd w:val="0"/>
        <w:jc w:val="both"/>
        <w:rPr>
          <w:color w:val="000000" w:themeColor="text1"/>
          <w:sz w:val="16"/>
          <w:szCs w:val="16"/>
        </w:rPr>
      </w:pPr>
    </w:p>
    <w:p w14:paraId="493359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8136 О строительстве Волчанского угольного разреза № 2 Наркомугля. РГАНИР, Фонд ГКО, д. 400, лл. 19-27, 28-46 (11012).</w:t>
      </w:r>
    </w:p>
    <w:p w14:paraId="51FE4B16" w14:textId="77777777" w:rsidR="00665165" w:rsidRPr="00925F26" w:rsidRDefault="00665165" w:rsidP="00925F26">
      <w:pPr>
        <w:autoSpaceDE w:val="0"/>
        <w:autoSpaceDN w:val="0"/>
        <w:adjustRightInd w:val="0"/>
        <w:jc w:val="both"/>
        <w:rPr>
          <w:color w:val="000000" w:themeColor="text1"/>
          <w:sz w:val="16"/>
          <w:szCs w:val="16"/>
        </w:rPr>
      </w:pPr>
    </w:p>
    <w:p w14:paraId="239369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8137 О материально-техническом обеспечении восстановительных и монтажных работ на Лисичанской станции "Подземгаз" Главгазтоппрома при Совнаркоме СССР. РГАНИР, Фонд ГКО, д. 400, лл. 47-49, 50 (11012).</w:t>
      </w:r>
    </w:p>
    <w:p w14:paraId="69538841" w14:textId="77777777" w:rsidR="00665165" w:rsidRPr="00925F26" w:rsidRDefault="00665165" w:rsidP="00925F26">
      <w:pPr>
        <w:autoSpaceDE w:val="0"/>
        <w:autoSpaceDN w:val="0"/>
        <w:adjustRightInd w:val="0"/>
        <w:jc w:val="both"/>
        <w:rPr>
          <w:color w:val="000000" w:themeColor="text1"/>
          <w:sz w:val="16"/>
          <w:szCs w:val="16"/>
        </w:rPr>
      </w:pPr>
    </w:p>
    <w:p w14:paraId="449F1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8138 О мерах по обеспечению строительства речного несамоходного флота. РГАНИР, Фонд ГКО, д. 400, лл. 51-57, 58-66 (11012).</w:t>
      </w:r>
    </w:p>
    <w:p w14:paraId="26A8E98D" w14:textId="77777777" w:rsidR="00665165" w:rsidRPr="00925F26" w:rsidRDefault="00665165" w:rsidP="00925F26">
      <w:pPr>
        <w:autoSpaceDE w:val="0"/>
        <w:autoSpaceDN w:val="0"/>
        <w:adjustRightInd w:val="0"/>
        <w:jc w:val="both"/>
        <w:rPr>
          <w:color w:val="000000" w:themeColor="text1"/>
          <w:sz w:val="16"/>
          <w:szCs w:val="16"/>
        </w:rPr>
      </w:pPr>
    </w:p>
    <w:p w14:paraId="391488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вышло Постановление ГКО № 8139 О производстве и поставке Наркомату обороны СССР и Наркомвоенморфлоту во II квартале 1945 г. воздухоплавательного имущества. РГАНИР, Фонд ГКО, д. 400, лл. 67-70, 71-79 (11012).</w:t>
      </w:r>
    </w:p>
    <w:p w14:paraId="63CC7FD5" w14:textId="77777777" w:rsidR="00665165" w:rsidRPr="00925F26" w:rsidRDefault="00665165" w:rsidP="00925F26">
      <w:pPr>
        <w:autoSpaceDE w:val="0"/>
        <w:autoSpaceDN w:val="0"/>
        <w:adjustRightInd w:val="0"/>
        <w:jc w:val="both"/>
        <w:rPr>
          <w:color w:val="000000" w:themeColor="text1"/>
          <w:sz w:val="16"/>
          <w:szCs w:val="16"/>
        </w:rPr>
      </w:pPr>
    </w:p>
    <w:p w14:paraId="3750FB8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8CF1CA6" w14:textId="77777777" w:rsidR="00665165" w:rsidRPr="00925F26" w:rsidRDefault="00665165" w:rsidP="00925F26">
      <w:pPr>
        <w:autoSpaceDE w:val="0"/>
        <w:autoSpaceDN w:val="0"/>
        <w:adjustRightInd w:val="0"/>
        <w:jc w:val="both"/>
        <w:rPr>
          <w:iCs/>
          <w:color w:val="000000" w:themeColor="text1"/>
          <w:sz w:val="16"/>
          <w:szCs w:val="16"/>
        </w:rPr>
      </w:pPr>
    </w:p>
    <w:p w14:paraId="7C8AF0A1" w14:textId="77777777" w:rsidR="003D47C5" w:rsidRPr="00925F26" w:rsidRDefault="003D47C5" w:rsidP="00925F26">
      <w:pPr>
        <w:jc w:val="both"/>
        <w:rPr>
          <w:color w:val="000000" w:themeColor="text1"/>
          <w:sz w:val="16"/>
          <w:szCs w:val="16"/>
        </w:rPr>
      </w:pPr>
      <w:r w:rsidRPr="00925F26">
        <w:rPr>
          <w:color w:val="000000" w:themeColor="text1"/>
          <w:sz w:val="16"/>
          <w:szCs w:val="16"/>
        </w:rPr>
        <w:t>13 апреля в 1945 году оперативная сводка Совинформбюро:</w:t>
      </w:r>
    </w:p>
    <w:p w14:paraId="793E5901" w14:textId="77777777" w:rsidR="003D47C5" w:rsidRPr="00925F26" w:rsidRDefault="003D47C5"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13 апреля овладели на территории Чехословакии городом Годонин — важным узлом дорог и сильным опорным пунктом обороны немцев на западном берегу реки Моравы, а также заняли населённые пункты Тварожна Лгота, Петров, Судомержице, Рогатец, Тврдонице, Костице, Ланжгот. Северо-восточнее и севернее Вены войска фронта с боями заняли на территории Австрии населённые пункты Рингельсдорф, Нидер-Абсдорф, Нидер-Зульц, Грос Швайнбарт, Волькерсдорф, Мюникшталь, Грос Эберс-Дорф и железнодорожные станции Мартинсдорф, Грос Эберсдорф, Хагенбрунн.</w:t>
      </w:r>
    </w:p>
    <w:p w14:paraId="67E979C4" w14:textId="77777777" w:rsidR="003D47C5" w:rsidRPr="00925F26" w:rsidRDefault="003D47C5" w:rsidP="00925F26">
      <w:pPr>
        <w:jc w:val="both"/>
        <w:rPr>
          <w:color w:val="000000" w:themeColor="text1"/>
          <w:sz w:val="16"/>
          <w:szCs w:val="16"/>
        </w:rPr>
      </w:pPr>
      <w:r w:rsidRPr="00925F26">
        <w:rPr>
          <w:color w:val="000000" w:themeColor="text1"/>
          <w:sz w:val="16"/>
          <w:szCs w:val="16"/>
        </w:rPr>
        <w:t>Войска 3-го Украинского фронта при содействии войск 2-го Украинском фронта, после упорных уличных боёв, 13 апреля овладели столицей Австрии городом Вена — стратегически важным узлом обороны немцев, прикрывающим пути к южным районам Германии.</w:t>
      </w:r>
    </w:p>
    <w:p w14:paraId="02F13E88" w14:textId="77777777" w:rsidR="003D47C5" w:rsidRPr="00925F26" w:rsidRDefault="003D47C5" w:rsidP="00925F26">
      <w:pPr>
        <w:jc w:val="both"/>
        <w:rPr>
          <w:color w:val="000000" w:themeColor="text1"/>
          <w:sz w:val="16"/>
          <w:szCs w:val="16"/>
        </w:rPr>
      </w:pPr>
      <w:r w:rsidRPr="00925F26">
        <w:rPr>
          <w:color w:val="000000" w:themeColor="text1"/>
          <w:sz w:val="16"/>
          <w:szCs w:val="16"/>
        </w:rPr>
        <w:t>В ходе боёв за подступы к Вене и за город Вену с 16 марта по 13 апреля войска фронта разгромили одиннадцать танковых дивизий немцев, в том числе 6-ую танковую армию СС, взяли в плен более 130.000 солдат и офицеров противника, уничтожили и захватили 1.345 танков и самоходных орудий, 2.250 полевых орудий и много другого военного имущества.</w:t>
      </w:r>
    </w:p>
    <w:p w14:paraId="7BF89137" w14:textId="77777777" w:rsidR="003D47C5" w:rsidRPr="00925F26" w:rsidRDefault="003D47C5" w:rsidP="00925F26">
      <w:pPr>
        <w:jc w:val="both"/>
        <w:rPr>
          <w:color w:val="000000" w:themeColor="text1"/>
          <w:sz w:val="16"/>
          <w:szCs w:val="16"/>
        </w:rPr>
      </w:pPr>
      <w:r w:rsidRPr="00925F26">
        <w:rPr>
          <w:color w:val="000000" w:themeColor="text1"/>
          <w:sz w:val="16"/>
          <w:szCs w:val="16"/>
        </w:rPr>
        <w:t>На других участках фронта — поиски разведчиков и в ряде пунктов бои местного значения.</w:t>
      </w:r>
    </w:p>
    <w:p w14:paraId="09E7D276" w14:textId="77777777" w:rsidR="003D47C5" w:rsidRPr="00925F26" w:rsidRDefault="003D47C5" w:rsidP="00925F26">
      <w:pPr>
        <w:jc w:val="both"/>
        <w:rPr>
          <w:color w:val="000000" w:themeColor="text1"/>
          <w:sz w:val="16"/>
          <w:szCs w:val="16"/>
        </w:rPr>
      </w:pPr>
      <w:r w:rsidRPr="00925F26">
        <w:rPr>
          <w:color w:val="000000" w:themeColor="text1"/>
          <w:sz w:val="16"/>
          <w:szCs w:val="16"/>
        </w:rPr>
        <w:t>За 12 апреля на всех фронтах подбито и уничтожено 40 немецких танков и самоходных орудий. В воздушных боях и огнём зенитной артиллерии сбито 37 самолётов противника.</w:t>
      </w:r>
    </w:p>
    <w:p w14:paraId="1D81BD6E" w14:textId="77777777" w:rsidR="003D47C5" w:rsidRPr="00925F26" w:rsidRDefault="003D47C5" w:rsidP="00925F26">
      <w:pPr>
        <w:jc w:val="both"/>
        <w:rPr>
          <w:color w:val="000000" w:themeColor="text1"/>
          <w:sz w:val="16"/>
          <w:szCs w:val="16"/>
        </w:rPr>
      </w:pPr>
      <w:r w:rsidRPr="00925F26">
        <w:rPr>
          <w:color w:val="000000" w:themeColor="text1"/>
          <w:sz w:val="16"/>
          <w:szCs w:val="16"/>
        </w:rPr>
        <w:t>Удар авиации Краснознамённого Балтийского флота по кораблям и транспортам противника</w:t>
      </w:r>
    </w:p>
    <w:p w14:paraId="154CE028" w14:textId="77777777" w:rsidR="003D47C5" w:rsidRPr="00925F26" w:rsidRDefault="003D47C5" w:rsidP="00925F26">
      <w:pPr>
        <w:jc w:val="both"/>
        <w:rPr>
          <w:color w:val="000000" w:themeColor="text1"/>
          <w:sz w:val="16"/>
          <w:szCs w:val="16"/>
        </w:rPr>
      </w:pPr>
      <w:r w:rsidRPr="00925F26">
        <w:rPr>
          <w:color w:val="000000" w:themeColor="text1"/>
          <w:sz w:val="16"/>
          <w:szCs w:val="16"/>
        </w:rPr>
        <w:t>11 апреля авиация Краснознамённого Балтийского флота нанесла удар по кораблям и военным транспортам немцев в порту Пиллау и в открытом море северо-западнее Пиллау. В результате этого удара потоплены: один миноносец и три транспорта противника общим водоизмещением в 23.000 тонн. Кроме того, прямым попаданием бомб подожжён один транспорт водоизмещением в 7.000 тонн и повреждён транспорт водоизмещением в 8.000 тонн.</w:t>
      </w:r>
    </w:p>
    <w:p w14:paraId="4140250A" w14:textId="77777777" w:rsidR="003D47C5" w:rsidRPr="00925F26" w:rsidRDefault="003D47C5"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Советские части, продвигаясь по заболоченной и труднопроходимой местности, заняли населённый пункт Мала Буда и под прикрытием артиллерийского огня форсировали реку Мораву. Преодолевая сопротивление противника, наши подразделения перерезали железную дорогу, идущую из города Годонин на северо-восток. Другие наши части сегодня на рассвете переправились через Мораву южнее города Годонин и стремительным ударом перерезали железную и шоссейную дороги, идущие от города на юго-запад. Пытаясь удержать Годонин в своих руках, немцы предприняли ряд контратак. Они подготовили город к круговой обороне и построили на его окраинах артиллерийские и пулемётные доты. Стремительной атакой советские части ворвались в город с северо-востока и юго-запада. В ожесточённом уличном бою наши войска разгромили гарнизон противника и к полудню овладели городом Годонин — районным центром Чехословакии и важным узлом путей сообщения. В бою за город разгромлен немецкий пехотный полк. Захвачено 350 пленных и много трофеев.</w:t>
      </w:r>
    </w:p>
    <w:p w14:paraId="54D9C78C" w14:textId="77777777" w:rsidR="003D47C5" w:rsidRPr="00925F26" w:rsidRDefault="003D47C5" w:rsidP="00925F26">
      <w:pPr>
        <w:jc w:val="both"/>
        <w:rPr>
          <w:color w:val="000000" w:themeColor="text1"/>
          <w:sz w:val="16"/>
          <w:szCs w:val="16"/>
        </w:rPr>
      </w:pPr>
      <w:r w:rsidRPr="00925F26">
        <w:rPr>
          <w:color w:val="000000" w:themeColor="text1"/>
          <w:sz w:val="16"/>
          <w:szCs w:val="16"/>
        </w:rPr>
        <w:t>Северо-восточнее и восточнее Вены войска 2-го Украинского фронта с боями продвигались вперёд и заняли несколько населённых пунктов. Пехота противника, усиленная танками и самоходными орудиями, оказывает упорное сопротивление. На одном участке полк немецкой пехоты, при поддержке танков, вклинился в боевые порядки наших войск. Немцы были зажаты в тиски и разгромлены. На поле боя осталось много трупов гитлеровцев и до 30 сгоревших и подбитых немецких танков. Сломив сопротивление противника, наши войска овладели железнодорожной станцией Хагенбрунн, находящейся в 8 километрах севернее Вены.</w:t>
      </w:r>
    </w:p>
    <w:p w14:paraId="41C93AAC" w14:textId="77777777" w:rsidR="003D47C5" w:rsidRPr="00925F26" w:rsidRDefault="003D47C5" w:rsidP="00925F26">
      <w:pPr>
        <w:jc w:val="both"/>
        <w:rPr>
          <w:color w:val="000000" w:themeColor="text1"/>
          <w:sz w:val="16"/>
          <w:szCs w:val="16"/>
        </w:rPr>
      </w:pPr>
      <w:r w:rsidRPr="00925F26">
        <w:rPr>
          <w:color w:val="000000" w:themeColor="text1"/>
          <w:sz w:val="16"/>
          <w:szCs w:val="16"/>
        </w:rPr>
        <w:t xml:space="preserve">Войска 3-го Украинского фронта при содействии войск 2-го Украинского фронта сегодня овладели городом Вена. В боях за освобождение столицы Австрии от немецко-фашистских захватчиков советские части покрыли свои знамёна неувядаемой славой. По замыслам немецкого командования город должен был стать ареной затяжных боёв. Ещё в 1944 году противник развернул строительство оборонительных сооружений вокруг Вены. Природные условия местности благоприятствовали </w:t>
      </w:r>
      <w:r w:rsidRPr="00925F26">
        <w:rPr>
          <w:color w:val="000000" w:themeColor="text1"/>
          <w:sz w:val="16"/>
          <w:szCs w:val="16"/>
        </w:rPr>
        <w:lastRenderedPageBreak/>
        <w:t>обороняющейся стороне. С запада город прикрывает гряда гор, а с севера и востока — широкий и многоводный Дунай. На южных подступах к городу немцы построили мощный укреплённый район, состоящий из противотанковых рвов, широко развитой системы окопов и траншей и большого количества догов и дзотов. Каждый населённый пункт в предместьях Вены был приспособлен для длительной круговой обороны. В ходе ожесточённых боёв войска 3-го Украинского фронта прорвали внешний оборонительный обвод и 7 апреля завязали уличные бои в южной части города. Одновременно советские подвижные соединения и пехота, совершив по горам стремительный обходный манёвр, вышли к Дунаю северо-западнее Вены и начали штурм города с запада и северо-запада. К 10 апреля наши войска очистили от противника большую часть города, расположенную на западном берегу Дунайского канала. Бои переместились в район города, расположенный между каналом и рекой Дунай. Здесь немцы оказали особенно упорное сопротивление. Подтянув крупные силы танков и пехоты, они цеплялись буквально за каждый дом и часто переходили в яростные контратаки. Советские отряды, усиленные артиллерией, штурмом брали каждое здание. Вчера наши части прорвались к северному вокзалу и, завязав бои на территории крупнейшего в Вене железнодорожного узла, прижали гитлеровцев к Дунаю. Один наш боец случайно обнаружил подземный ход, ведущий к Дунаю. Через этот ход советские подразделения проникли в тыл противника и внезапно атаковали немцев. Всю ночь, не утихая ни на одну минуту, шли упорные уличные бои. Сегодня наши войска подавили последние очаги сопротивления немцев и очистили австрийскую столицу от противника.</w:t>
      </w:r>
    </w:p>
    <w:p w14:paraId="5FDCB924" w14:textId="77777777" w:rsidR="003D47C5" w:rsidRPr="00925F26" w:rsidRDefault="003D47C5" w:rsidP="00925F26">
      <w:pPr>
        <w:jc w:val="both"/>
        <w:rPr>
          <w:color w:val="000000" w:themeColor="text1"/>
          <w:sz w:val="16"/>
          <w:szCs w:val="16"/>
        </w:rPr>
      </w:pPr>
      <w:r w:rsidRPr="00925F26">
        <w:rPr>
          <w:color w:val="000000" w:themeColor="text1"/>
          <w:sz w:val="16"/>
          <w:szCs w:val="16"/>
        </w:rPr>
        <w:t>Гитлеровцы намеревались превратить Вену в груду развалин. Они хотели подвергнуть жителей города ужасам длительной осады и затяжных уличных боёв. Умелыми и решительными действиями наши войска сорвали преступные планы немецкого командования. Столица Австрии — Вена за несколько дней освобождена от немецко-фашистских захватчиков.</w:t>
      </w:r>
    </w:p>
    <w:p w14:paraId="31B7800F" w14:textId="77777777" w:rsidR="003D47C5" w:rsidRPr="00925F26" w:rsidRDefault="003D47C5" w:rsidP="00925F26">
      <w:pPr>
        <w:jc w:val="both"/>
        <w:rPr>
          <w:color w:val="000000" w:themeColor="text1"/>
          <w:sz w:val="16"/>
          <w:szCs w:val="16"/>
        </w:rPr>
      </w:pPr>
      <w:r w:rsidRPr="00925F26">
        <w:rPr>
          <w:color w:val="000000" w:themeColor="text1"/>
          <w:sz w:val="16"/>
          <w:szCs w:val="16"/>
        </w:rPr>
        <w:t>Вена — один из крупнейших в Европе промышленных центров. В городе сосредоточена большая часть австрийской промышленности. Кроме того, за время войны немцы перевели в район Вены ряд военных заводов из Германии. В городе имеются крупные авиационные, танковые, автомобильные паровозо- и вагоностроительные заводы и другие предприятия.» (15098).</w:t>
      </w:r>
    </w:p>
    <w:p w14:paraId="67B87B17" w14:textId="77777777" w:rsidR="003D47C5" w:rsidRPr="00925F26" w:rsidRDefault="003D47C5" w:rsidP="00925F26">
      <w:pPr>
        <w:jc w:val="both"/>
        <w:rPr>
          <w:color w:val="000000" w:themeColor="text1"/>
          <w:sz w:val="16"/>
          <w:szCs w:val="16"/>
        </w:rPr>
      </w:pPr>
    </w:p>
    <w:p w14:paraId="2B5711A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войска 3-го Белорусского фронта во взаимодействии с Балтийским флотом начали Земландскую наступательную операцию , с целью уничтожить немецко-фашистскую групировку на Земландском полуострове в Восточной Пруссии (4963 ).</w:t>
      </w:r>
    </w:p>
    <w:p w14:paraId="464DD80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65C8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советские войска заняли Вену (4962).</w:t>
      </w:r>
    </w:p>
    <w:p w14:paraId="62C3306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24E3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КА взяла Вену (1348,225) - 3УФ и 2УФ (3398,146).</w:t>
      </w:r>
    </w:p>
    <w:p w14:paraId="232DA23A" w14:textId="77777777" w:rsidR="00665165" w:rsidRPr="00925F26" w:rsidRDefault="00665165" w:rsidP="00925F26">
      <w:pPr>
        <w:autoSpaceDE w:val="0"/>
        <w:autoSpaceDN w:val="0"/>
        <w:adjustRightInd w:val="0"/>
        <w:jc w:val="both"/>
        <w:rPr>
          <w:color w:val="000000" w:themeColor="text1"/>
          <w:sz w:val="16"/>
          <w:szCs w:val="16"/>
        </w:rPr>
      </w:pPr>
    </w:p>
    <w:p w14:paraId="28B55E9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13th, 1945: Vienna falls to the Red Army. In the West, the US Third Army (Patton) captures Erfurt and Weimar (3819).</w:t>
      </w:r>
    </w:p>
    <w:p w14:paraId="50FB9B2E" w14:textId="77777777" w:rsidR="00665165" w:rsidRPr="00925F26" w:rsidRDefault="00665165" w:rsidP="00925F26">
      <w:pPr>
        <w:autoSpaceDE w:val="0"/>
        <w:autoSpaceDN w:val="0"/>
        <w:adjustRightInd w:val="0"/>
        <w:jc w:val="both"/>
        <w:rPr>
          <w:color w:val="000000" w:themeColor="text1"/>
          <w:sz w:val="16"/>
          <w:szCs w:val="16"/>
          <w:lang w:val="en-US"/>
        </w:rPr>
      </w:pPr>
    </w:p>
    <w:p w14:paraId="5F7D0D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B-17G (№ 43-38902) совершил вынужденную посадку в Польше, севернее Жешува, близ аэродрома 341-го полка (3457,112).</w:t>
      </w:r>
    </w:p>
    <w:p w14:paraId="5B8EEB1E" w14:textId="77777777" w:rsidR="00665165" w:rsidRPr="00925F26" w:rsidRDefault="00665165" w:rsidP="00925F26">
      <w:pPr>
        <w:autoSpaceDE w:val="0"/>
        <w:autoSpaceDN w:val="0"/>
        <w:adjustRightInd w:val="0"/>
        <w:jc w:val="both"/>
        <w:rPr>
          <w:color w:val="000000" w:themeColor="text1"/>
          <w:sz w:val="16"/>
          <w:szCs w:val="16"/>
        </w:rPr>
      </w:pPr>
    </w:p>
    <w:p w14:paraId="14DEC4E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1358892" w14:textId="77777777" w:rsidR="00665165" w:rsidRPr="00925F26" w:rsidRDefault="00665165" w:rsidP="00925F26">
      <w:pPr>
        <w:autoSpaceDE w:val="0"/>
        <w:autoSpaceDN w:val="0"/>
        <w:adjustRightInd w:val="0"/>
        <w:jc w:val="both"/>
        <w:rPr>
          <w:iCs/>
          <w:color w:val="000000" w:themeColor="text1"/>
          <w:sz w:val="16"/>
          <w:szCs w:val="16"/>
        </w:rPr>
      </w:pPr>
    </w:p>
    <w:p w14:paraId="3DC5260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Д. Эйзенхауэр отверг предложение начать наступление на Берлин раньше русских (4962).</w:t>
      </w:r>
    </w:p>
    <w:p w14:paraId="4F509DF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C96BF1" w14:textId="77777777" w:rsidR="003D47C5" w:rsidRPr="00925F26" w:rsidRDefault="003D47C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3А США захватила Эрфурт и Веймар (3819).</w:t>
      </w:r>
    </w:p>
    <w:p w14:paraId="643EDA82" w14:textId="77777777" w:rsidR="003D47C5" w:rsidRPr="00925F26" w:rsidRDefault="003D47C5" w:rsidP="00925F26">
      <w:pPr>
        <w:autoSpaceDE w:val="0"/>
        <w:autoSpaceDN w:val="0"/>
        <w:adjustRightInd w:val="0"/>
        <w:jc w:val="both"/>
        <w:rPr>
          <w:color w:val="000000" w:themeColor="text1"/>
          <w:sz w:val="16"/>
          <w:szCs w:val="16"/>
        </w:rPr>
      </w:pPr>
    </w:p>
    <w:p w14:paraId="5A51A4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апреля 1945 327 В-29 ушли на Токио и сбросили 2100 т бомб на арсенал спалив 28 кв. км (1051,28).</w:t>
      </w:r>
    </w:p>
    <w:p w14:paraId="092F7561" w14:textId="77777777" w:rsidR="00665165" w:rsidRPr="00925F26" w:rsidRDefault="00665165" w:rsidP="00925F26">
      <w:pPr>
        <w:autoSpaceDE w:val="0"/>
        <w:autoSpaceDN w:val="0"/>
        <w:adjustRightInd w:val="0"/>
        <w:jc w:val="both"/>
        <w:rPr>
          <w:color w:val="000000" w:themeColor="text1"/>
          <w:sz w:val="16"/>
          <w:szCs w:val="16"/>
        </w:rPr>
      </w:pPr>
    </w:p>
    <w:p w14:paraId="08C0FB56" w14:textId="77777777" w:rsidR="007D191E" w:rsidRPr="00925F26" w:rsidRDefault="007D191E" w:rsidP="00925F26">
      <w:pPr>
        <w:jc w:val="both"/>
        <w:rPr>
          <w:color w:val="000000" w:themeColor="text1"/>
          <w:sz w:val="16"/>
          <w:szCs w:val="16"/>
        </w:rPr>
      </w:pPr>
      <w:r w:rsidRPr="00925F26">
        <w:rPr>
          <w:color w:val="000000" w:themeColor="text1"/>
          <w:sz w:val="16"/>
          <w:szCs w:val="16"/>
        </w:rPr>
        <w:t>13 апреля 1945 авианосцы Британского Тихоокеанского флота наносят второй удар по Формозе. Во время ударов 11 и 13 апреля их самолеты сбили не менее 16 японских самолетов, уничтожили дополнительные японские самолеты на земле и нанесли удары по аэродромам, автомобильным и железнодорожным целям, в результате чего было потеряно три британских самолета (20371).</w:t>
      </w:r>
    </w:p>
    <w:p w14:paraId="6E76D2C1" w14:textId="77777777" w:rsidR="007D191E" w:rsidRPr="00925F26" w:rsidRDefault="007D191E" w:rsidP="00925F26">
      <w:pPr>
        <w:jc w:val="both"/>
        <w:rPr>
          <w:color w:val="000000" w:themeColor="text1"/>
          <w:sz w:val="16"/>
          <w:szCs w:val="16"/>
        </w:rPr>
      </w:pPr>
    </w:p>
    <w:p w14:paraId="5F801F03" w14:textId="77777777" w:rsidR="007D191E" w:rsidRPr="00925F26" w:rsidRDefault="007D191E" w:rsidP="00925F26">
      <w:pPr>
        <w:shd w:val="clear" w:color="auto" w:fill="FFFFFF"/>
        <w:jc w:val="both"/>
        <w:rPr>
          <w:color w:val="000000" w:themeColor="text1"/>
          <w:sz w:val="16"/>
          <w:szCs w:val="16"/>
        </w:rPr>
      </w:pPr>
      <w:r w:rsidRPr="00925F26">
        <w:rPr>
          <w:color w:val="000000" w:themeColor="text1"/>
          <w:sz w:val="16"/>
          <w:szCs w:val="16"/>
        </w:rPr>
        <w:t>13 апреля 1945 года завод Боинга Сиэтл сдал последний 4035-й B-17G, получив заказ на 5000 новых В-29С «Суперфортресс». Вскоре остановились сборочные линии B-17G завода «Дуглас», который сдал 2395 «крепостей» этой модификации. Наконец, 29 июля 1945 года последний B-17 выкатил завод «Локхид — Вега». Это предприятие построило 2250 штук B-17G из общего числа 8680 самолетов этой самой массовой модификации «летающей крепости». Часть их были транспортными или специальными самолетами, но абсолютное большинство — именно тяжелыми бомбардировщиками.</w:t>
      </w:r>
    </w:p>
    <w:p w14:paraId="51329B51" w14:textId="77777777" w:rsidR="007D191E" w:rsidRPr="00925F26" w:rsidRDefault="007D191E" w:rsidP="00925F26">
      <w:pPr>
        <w:jc w:val="both"/>
        <w:rPr>
          <w:color w:val="000000" w:themeColor="text1"/>
          <w:sz w:val="16"/>
          <w:szCs w:val="16"/>
        </w:rPr>
      </w:pPr>
      <w:r w:rsidRPr="00925F26">
        <w:rPr>
          <w:color w:val="000000" w:themeColor="text1"/>
          <w:sz w:val="16"/>
          <w:szCs w:val="16"/>
        </w:rPr>
        <w:t>За десять лет был построен 12731 самолет В-17 всех вариантов, полный цикл сборки которого был развернут на трех заводах трех фирм (22893).</w:t>
      </w:r>
    </w:p>
    <w:p w14:paraId="1D7D5B7A" w14:textId="77777777" w:rsidR="007D191E" w:rsidRPr="00925F26" w:rsidRDefault="007D191E" w:rsidP="00925F26">
      <w:pPr>
        <w:jc w:val="both"/>
        <w:rPr>
          <w:color w:val="000000" w:themeColor="text1"/>
          <w:sz w:val="16"/>
          <w:szCs w:val="16"/>
        </w:rPr>
      </w:pPr>
    </w:p>
    <w:p w14:paraId="7CB6C6B4" w14:textId="77777777" w:rsidR="003D47C5" w:rsidRPr="00925F26" w:rsidRDefault="003D47C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апреля 1945 Чили объявила войну Германии (4962).</w:t>
      </w:r>
    </w:p>
    <w:p w14:paraId="0AF1D7A3" w14:textId="77777777" w:rsidR="003D47C5" w:rsidRPr="00925F26" w:rsidRDefault="003D47C5" w:rsidP="00925F26">
      <w:pPr>
        <w:tabs>
          <w:tab w:val="left" w:pos="11199"/>
        </w:tabs>
        <w:autoSpaceDE w:val="0"/>
        <w:autoSpaceDN w:val="0"/>
        <w:adjustRightInd w:val="0"/>
        <w:jc w:val="both"/>
        <w:rPr>
          <w:color w:val="000000" w:themeColor="text1"/>
          <w:sz w:val="16"/>
          <w:szCs w:val="16"/>
        </w:rPr>
      </w:pPr>
    </w:p>
    <w:p w14:paraId="7AEA3F9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7964040" w14:textId="77777777" w:rsidR="00665165" w:rsidRPr="00925F26" w:rsidRDefault="00665165" w:rsidP="00925F26">
      <w:pPr>
        <w:autoSpaceDE w:val="0"/>
        <w:autoSpaceDN w:val="0"/>
        <w:adjustRightInd w:val="0"/>
        <w:jc w:val="both"/>
        <w:rPr>
          <w:iCs/>
          <w:color w:val="000000" w:themeColor="text1"/>
          <w:sz w:val="16"/>
          <w:szCs w:val="16"/>
        </w:rPr>
      </w:pPr>
    </w:p>
    <w:p w14:paraId="2A2B9A50" w14:textId="77777777" w:rsidR="005D0C39" w:rsidRPr="00925F26" w:rsidRDefault="005D0C39" w:rsidP="00925F26">
      <w:pPr>
        <w:jc w:val="both"/>
        <w:rPr>
          <w:color w:val="000000" w:themeColor="text1"/>
          <w:sz w:val="16"/>
          <w:szCs w:val="16"/>
        </w:rPr>
      </w:pPr>
      <w:r w:rsidRPr="00925F26">
        <w:rPr>
          <w:rStyle w:val="107"/>
          <w:rFonts w:eastAsiaTheme="minorHAnsi"/>
          <w:color w:val="000000" w:themeColor="text1"/>
          <w:sz w:val="16"/>
          <w:szCs w:val="16"/>
        </w:rPr>
        <w:t>14 апреля 1945 начальнику ГУЗ ВВС КА генерал-лейтенанту Селезневу и заместителю наркома авиапромышленности Кузнецову были направлены письма о том, что из всех запланированных доработок самолета Ил -10 ОКБ-240 Ильюшина и заводами № 1 и № 18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925F26">
        <w:rPr>
          <w:rStyle w:val="107"/>
          <w:rFonts w:eastAsiaTheme="minorHAnsi"/>
          <w:color w:val="000000" w:themeColor="text1"/>
          <w:sz w:val="16"/>
          <w:szCs w:val="16"/>
          <w:vertAlign w:val="subscript"/>
        </w:rPr>
        <w:t>2</w:t>
      </w:r>
      <w:r w:rsidRPr="00925F26">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65CBB857" w14:textId="77777777" w:rsidR="005D0C39" w:rsidRPr="00925F26" w:rsidRDefault="005D0C3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w:t>
      </w:r>
    </w:p>
    <w:p w14:paraId="536BD42C" w14:textId="77777777" w:rsidR="005D0C39" w:rsidRPr="00925F26" w:rsidRDefault="005D0C3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На этом же заводе отработан один серийный Ил-10 с улучшенным вариантом пылефильтра. Самолет удовлетворительно прошел заводские испытания. Принято решение о запуске пылефильтра в производство на заводах № 1 и № 18.</w:t>
      </w:r>
    </w:p>
    <w:p w14:paraId="6AB76B68" w14:textId="77777777" w:rsidR="005D0C39" w:rsidRPr="00925F26" w:rsidRDefault="005D0C39" w:rsidP="00925F26">
      <w:pPr>
        <w:jc w:val="both"/>
        <w:rPr>
          <w:color w:val="000000" w:themeColor="text1"/>
          <w:sz w:val="16"/>
          <w:szCs w:val="16"/>
        </w:rPr>
      </w:pPr>
      <w:r w:rsidRPr="00925F26">
        <w:rPr>
          <w:rStyle w:val="107"/>
          <w:rFonts w:eastAsiaTheme="minorHAnsi"/>
          <w:color w:val="000000" w:themeColor="text1"/>
          <w:sz w:val="16"/>
          <w:szCs w:val="16"/>
        </w:rPr>
        <w:t>Система заполнения бензобаков нейтральным газом отлажена на заводе № 1 на одном серийном Ил-10 и «в настоящий момент проходит заводские испытания».</w:t>
      </w:r>
    </w:p>
    <w:p w14:paraId="19A0634E" w14:textId="77777777" w:rsidR="005D0C39" w:rsidRPr="00925F26" w:rsidRDefault="005D0C39" w:rsidP="00925F26">
      <w:pPr>
        <w:jc w:val="both"/>
        <w:rPr>
          <w:color w:val="000000" w:themeColor="text1"/>
          <w:sz w:val="16"/>
          <w:szCs w:val="16"/>
        </w:rPr>
      </w:pPr>
      <w:r w:rsidRPr="00925F26">
        <w:rPr>
          <w:rStyle w:val="107"/>
          <w:rFonts w:eastAsiaTheme="minorHAnsi"/>
          <w:color w:val="000000" w:themeColor="text1"/>
          <w:sz w:val="16"/>
          <w:szCs w:val="16"/>
        </w:rPr>
        <w:t>На заводе № 18 на одном серийном Ил-10 проведены испытания, имеющие целью определение времени, необходимого для разжижения масла бензином в нужной пропорции. Испытания показали неудовлетворительные результаты. В итоге «завод предлагает производить разжижение мерной тарой».</w:t>
      </w:r>
    </w:p>
    <w:p w14:paraId="390E57BE" w14:textId="77777777" w:rsidR="005D0C39" w:rsidRPr="00925F26" w:rsidRDefault="005D0C3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Одновременно Кувенев сообщал, что 24 апреля заводы № 1 и № 18 отправили в ГК НИИ ВВС по одному серийному самолету для прохождения контрольных испытаний (17490).</w:t>
      </w:r>
    </w:p>
    <w:p w14:paraId="7648D489" w14:textId="77777777" w:rsidR="005D0C39" w:rsidRPr="00925F26" w:rsidRDefault="005D0C39" w:rsidP="00925F26">
      <w:pPr>
        <w:jc w:val="both"/>
        <w:rPr>
          <w:color w:val="000000" w:themeColor="text1"/>
          <w:sz w:val="16"/>
          <w:szCs w:val="16"/>
        </w:rPr>
      </w:pPr>
    </w:p>
    <w:p w14:paraId="630E7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закончился ремонт Ла-7Р-2 с РД-1ХЗ В.П.Г., на котором 27 марта 1945 при попытке повторно осуществить запуск взорвался ЖРД и Г.М.Шиянов с трудом посадил машину (2234,9).</w:t>
      </w:r>
    </w:p>
    <w:p w14:paraId="3C9EA95A" w14:textId="77777777" w:rsidR="00665165" w:rsidRPr="00925F26" w:rsidRDefault="00665165" w:rsidP="00925F26">
      <w:pPr>
        <w:autoSpaceDE w:val="0"/>
        <w:autoSpaceDN w:val="0"/>
        <w:adjustRightInd w:val="0"/>
        <w:jc w:val="both"/>
        <w:rPr>
          <w:color w:val="000000" w:themeColor="text1"/>
          <w:sz w:val="16"/>
          <w:szCs w:val="16"/>
        </w:rPr>
      </w:pPr>
    </w:p>
    <w:p w14:paraId="6ADF583A" w14:textId="77777777" w:rsidR="00C43F02" w:rsidRPr="001A0BAA" w:rsidRDefault="00C43F02" w:rsidP="00C43F02">
      <w:pPr>
        <w:jc w:val="both"/>
        <w:rPr>
          <w:color w:val="0070C0"/>
          <w:sz w:val="16"/>
          <w:szCs w:val="16"/>
        </w:rPr>
      </w:pPr>
      <w:r w:rsidRPr="001A0BAA">
        <w:rPr>
          <w:color w:val="0070C0"/>
          <w:sz w:val="16"/>
          <w:szCs w:val="16"/>
        </w:rPr>
        <w:t>До 14 апреля 1945 г. Ла-7Р-2 подвергся ремонту. Заменили поврежденные оперение и камеру сгорания, а также устранили мелкие дефекты, появив</w:t>
      </w:r>
      <w:r w:rsidRPr="001A0BAA">
        <w:rPr>
          <w:color w:val="0070C0"/>
          <w:sz w:val="16"/>
          <w:szCs w:val="16"/>
        </w:rPr>
        <w:softHyphen/>
        <w:t>шиеся в результате взрыва. На самолете Ла-7Р-2 установили РД-1, имеющий диафрагмы с отверстиями диаметром до 20 мм для обеспечения давления от факела эфирно-воздушного зажи</w:t>
      </w:r>
      <w:r w:rsidRPr="001A0BAA">
        <w:rPr>
          <w:color w:val="0070C0"/>
          <w:sz w:val="16"/>
          <w:szCs w:val="16"/>
        </w:rPr>
        <w:softHyphen/>
        <w:t>гания на земле до 0,5 атм. Попытки запустить новый РД-1 на высотах 5000...6000 м ни к чему не привели. Далее, в связи с этим РД-1 был усовершенствован, как уже говорилось выше, и как РД-1ХЗ стал устанавливаться на всех экспериментальных самолетах вместо РД-1. Установка РД-1ХЗ началась 29 апреля 1945 г. Двигатель РД-1ХЗ оказался не надежнее своего пред</w:t>
      </w:r>
      <w:r w:rsidRPr="001A0BAA">
        <w:rPr>
          <w:color w:val="0070C0"/>
          <w:sz w:val="16"/>
          <w:szCs w:val="16"/>
        </w:rPr>
        <w:softHyphen/>
        <w:t>шественника. 12 мая 1945 г. при наземных огневых испытани</w:t>
      </w:r>
      <w:r w:rsidRPr="001A0BAA">
        <w:rPr>
          <w:color w:val="0070C0"/>
          <w:sz w:val="16"/>
          <w:szCs w:val="16"/>
        </w:rPr>
        <w:softHyphen/>
        <w:t>ях на Ла-7Р-2 разорвалась камера сгорания РД-1ХЗ [27] (24920).</w:t>
      </w:r>
    </w:p>
    <w:p w14:paraId="15489E1C" w14:textId="77777777" w:rsidR="00C43F02" w:rsidRPr="001A0BAA" w:rsidRDefault="00C43F02" w:rsidP="00C43F02">
      <w:pPr>
        <w:jc w:val="both"/>
        <w:rPr>
          <w:color w:val="0070C0"/>
          <w:sz w:val="16"/>
          <w:szCs w:val="16"/>
        </w:rPr>
      </w:pPr>
    </w:p>
    <w:p w14:paraId="2DD3A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М.И.Иванов выполнил первый полет на Як-3 с ВК107А цельнометаллическом, построенном на базе серийного 31 завода (65,192).</w:t>
      </w:r>
    </w:p>
    <w:p w14:paraId="2B561068" w14:textId="77777777" w:rsidR="00665165" w:rsidRPr="00925F26" w:rsidRDefault="00665165" w:rsidP="00925F26">
      <w:pPr>
        <w:autoSpaceDE w:val="0"/>
        <w:autoSpaceDN w:val="0"/>
        <w:adjustRightInd w:val="0"/>
        <w:jc w:val="both"/>
        <w:rPr>
          <w:color w:val="000000" w:themeColor="text1"/>
          <w:sz w:val="16"/>
          <w:szCs w:val="16"/>
        </w:rPr>
      </w:pPr>
    </w:p>
    <w:p w14:paraId="1FC020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цельнометаллический "Як-3", пилотируемый М.И. Ивановым, оторвалась от взлетно-посадочной полосы Центрального аэродрома.</w:t>
      </w:r>
    </w:p>
    <w:p w14:paraId="28A11E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482093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0F5689" w:rsidRPr="00925F26" w14:paraId="253EA27B" w14:textId="77777777">
        <w:tc>
          <w:tcPr>
            <w:tcW w:w="1121" w:type="dxa"/>
            <w:tcBorders>
              <w:top w:val="single" w:sz="12" w:space="0" w:color="auto"/>
            </w:tcBorders>
          </w:tcPr>
          <w:p w14:paraId="24C86CC0"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Borders>
              <w:top w:val="single" w:sz="12" w:space="0" w:color="auto"/>
            </w:tcBorders>
          </w:tcPr>
          <w:p w14:paraId="3800B8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Як-1М 3) 1943 г.</w:t>
            </w:r>
          </w:p>
        </w:tc>
        <w:tc>
          <w:tcPr>
            <w:tcW w:w="1121" w:type="dxa"/>
            <w:tcBorders>
              <w:top w:val="single" w:sz="12" w:space="0" w:color="auto"/>
            </w:tcBorders>
          </w:tcPr>
          <w:p w14:paraId="0EC21D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1)</w:t>
            </w:r>
          </w:p>
        </w:tc>
        <w:tc>
          <w:tcPr>
            <w:tcW w:w="1121" w:type="dxa"/>
            <w:tcBorders>
              <w:top w:val="single" w:sz="12" w:space="0" w:color="auto"/>
            </w:tcBorders>
          </w:tcPr>
          <w:p w14:paraId="47EEEE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№01-01 Завод №292 ГИ</w:t>
            </w:r>
          </w:p>
        </w:tc>
        <w:tc>
          <w:tcPr>
            <w:tcW w:w="1121" w:type="dxa"/>
            <w:tcBorders>
              <w:top w:val="single" w:sz="12" w:space="0" w:color="auto"/>
            </w:tcBorders>
          </w:tcPr>
          <w:p w14:paraId="342F6F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№03-01 Завод №292 Контрольные ЗИ</w:t>
            </w:r>
          </w:p>
        </w:tc>
        <w:tc>
          <w:tcPr>
            <w:tcW w:w="1121" w:type="dxa"/>
            <w:tcBorders>
              <w:top w:val="single" w:sz="12" w:space="0" w:color="auto"/>
            </w:tcBorders>
          </w:tcPr>
          <w:p w14:paraId="1ADBD2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Як-32) №70-03, завод №31</w:t>
            </w:r>
          </w:p>
        </w:tc>
        <w:tc>
          <w:tcPr>
            <w:tcW w:w="1121" w:type="dxa"/>
            <w:tcBorders>
              <w:top w:val="single" w:sz="12" w:space="0" w:color="auto"/>
            </w:tcBorders>
          </w:tcPr>
          <w:p w14:paraId="7E1922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Як-ЗУ</w:t>
            </w:r>
          </w:p>
        </w:tc>
      </w:tr>
      <w:tr w:rsidR="000F5689" w:rsidRPr="00925F26" w14:paraId="4ECB9230" w14:textId="77777777">
        <w:tc>
          <w:tcPr>
            <w:tcW w:w="1121" w:type="dxa"/>
          </w:tcPr>
          <w:p w14:paraId="6EEC0A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w:t>
            </w:r>
          </w:p>
        </w:tc>
        <w:tc>
          <w:tcPr>
            <w:tcW w:w="1121" w:type="dxa"/>
          </w:tcPr>
          <w:p w14:paraId="705D69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М-107А</w:t>
            </w:r>
          </w:p>
        </w:tc>
        <w:tc>
          <w:tcPr>
            <w:tcW w:w="1121" w:type="dxa"/>
          </w:tcPr>
          <w:p w14:paraId="4AAE39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1121" w:type="dxa"/>
          </w:tcPr>
          <w:p w14:paraId="18D617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 ВИШ-Ю7ЛО</w:t>
            </w:r>
          </w:p>
        </w:tc>
        <w:tc>
          <w:tcPr>
            <w:tcW w:w="1121" w:type="dxa"/>
          </w:tcPr>
          <w:p w14:paraId="6842E5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 ВИШ-107ЛО</w:t>
            </w:r>
          </w:p>
        </w:tc>
        <w:tc>
          <w:tcPr>
            <w:tcW w:w="1121" w:type="dxa"/>
          </w:tcPr>
          <w:p w14:paraId="6971BB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1121" w:type="dxa"/>
          </w:tcPr>
          <w:p w14:paraId="4B2B14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АШ-82ФН</w:t>
            </w:r>
          </w:p>
        </w:tc>
      </w:tr>
      <w:tr w:rsidR="000F5689" w:rsidRPr="00925F26" w14:paraId="63C25383" w14:textId="77777777">
        <w:tc>
          <w:tcPr>
            <w:tcW w:w="1121" w:type="dxa"/>
          </w:tcPr>
          <w:p w14:paraId="72B40E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л.е.: взлетная номинальная/на высоте, м</w:t>
            </w:r>
          </w:p>
        </w:tc>
        <w:tc>
          <w:tcPr>
            <w:tcW w:w="1121" w:type="dxa"/>
          </w:tcPr>
          <w:p w14:paraId="00A141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1650 1500/5800</w:t>
            </w:r>
          </w:p>
        </w:tc>
        <w:tc>
          <w:tcPr>
            <w:tcW w:w="1121" w:type="dxa"/>
          </w:tcPr>
          <w:p w14:paraId="456CDC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7C511B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4EA4D4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246CA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77151F12" w14:textId="77777777" w:rsidR="00665165" w:rsidRPr="00925F26" w:rsidRDefault="00665165" w:rsidP="00925F26">
            <w:pPr>
              <w:autoSpaceDE w:val="0"/>
              <w:autoSpaceDN w:val="0"/>
              <w:adjustRightInd w:val="0"/>
              <w:jc w:val="both"/>
              <w:rPr>
                <w:color w:val="000000" w:themeColor="text1"/>
                <w:sz w:val="16"/>
                <w:szCs w:val="16"/>
              </w:rPr>
            </w:pPr>
          </w:p>
          <w:p w14:paraId="0055E902" w14:textId="77777777" w:rsidR="00665165" w:rsidRPr="00925F26" w:rsidRDefault="00665165" w:rsidP="00925F26">
            <w:pPr>
              <w:autoSpaceDE w:val="0"/>
              <w:autoSpaceDN w:val="0"/>
              <w:adjustRightInd w:val="0"/>
              <w:jc w:val="both"/>
              <w:rPr>
                <w:color w:val="000000" w:themeColor="text1"/>
                <w:sz w:val="16"/>
                <w:szCs w:val="16"/>
              </w:rPr>
            </w:pPr>
          </w:p>
          <w:p w14:paraId="7AD8A1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1850</w:t>
            </w:r>
          </w:p>
        </w:tc>
      </w:tr>
      <w:tr w:rsidR="000F5689" w:rsidRPr="00925F26" w14:paraId="2F0100AF" w14:textId="77777777">
        <w:tc>
          <w:tcPr>
            <w:tcW w:w="1121" w:type="dxa"/>
          </w:tcPr>
          <w:p w14:paraId="310AAE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1121" w:type="dxa"/>
          </w:tcPr>
          <w:p w14:paraId="01C69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3A13D2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257337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502081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0A045A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64125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w:t>
            </w:r>
          </w:p>
        </w:tc>
      </w:tr>
      <w:tr w:rsidR="000F5689" w:rsidRPr="00925F26" w14:paraId="3F5ABF68" w14:textId="77777777">
        <w:tc>
          <w:tcPr>
            <w:tcW w:w="1121" w:type="dxa"/>
          </w:tcPr>
          <w:p w14:paraId="54840A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1121" w:type="dxa"/>
          </w:tcPr>
          <w:p w14:paraId="688DCA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121" w:type="dxa"/>
          </w:tcPr>
          <w:p w14:paraId="22AB00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8,5385</w:t>
            </w:r>
          </w:p>
        </w:tc>
        <w:tc>
          <w:tcPr>
            <w:tcW w:w="1121" w:type="dxa"/>
          </w:tcPr>
          <w:p w14:paraId="15388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121" w:type="dxa"/>
          </w:tcPr>
          <w:p w14:paraId="34320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121" w:type="dxa"/>
          </w:tcPr>
          <w:p w14:paraId="7D9A26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8,5385</w:t>
            </w:r>
          </w:p>
        </w:tc>
        <w:tc>
          <w:tcPr>
            <w:tcW w:w="1121" w:type="dxa"/>
          </w:tcPr>
          <w:p w14:paraId="1DC23A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8,36</w:t>
            </w:r>
          </w:p>
        </w:tc>
      </w:tr>
      <w:tr w:rsidR="000F5689" w:rsidRPr="00925F26" w14:paraId="307BCEAE" w14:textId="77777777">
        <w:tc>
          <w:tcPr>
            <w:tcW w:w="1121" w:type="dxa"/>
          </w:tcPr>
          <w:p w14:paraId="176DCC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м2</w:t>
            </w:r>
          </w:p>
        </w:tc>
        <w:tc>
          <w:tcPr>
            <w:tcW w:w="1121" w:type="dxa"/>
          </w:tcPr>
          <w:p w14:paraId="6A4D19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2AE7CD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19C630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633716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536B8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5FB7FD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15,35</w:t>
            </w:r>
          </w:p>
        </w:tc>
      </w:tr>
      <w:tr w:rsidR="000F5689" w:rsidRPr="00925F26" w14:paraId="2F48722F" w14:textId="77777777">
        <w:tc>
          <w:tcPr>
            <w:tcW w:w="1121" w:type="dxa"/>
          </w:tcPr>
          <w:p w14:paraId="18B4A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121" w:type="dxa"/>
          </w:tcPr>
          <w:p w14:paraId="6655E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2985</w:t>
            </w:r>
          </w:p>
        </w:tc>
        <w:tc>
          <w:tcPr>
            <w:tcW w:w="1121" w:type="dxa"/>
          </w:tcPr>
          <w:p w14:paraId="07C471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2984</w:t>
            </w:r>
          </w:p>
        </w:tc>
        <w:tc>
          <w:tcPr>
            <w:tcW w:w="1121" w:type="dxa"/>
          </w:tcPr>
          <w:p w14:paraId="164526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3059</w:t>
            </w:r>
          </w:p>
        </w:tc>
        <w:tc>
          <w:tcPr>
            <w:tcW w:w="1121" w:type="dxa"/>
          </w:tcPr>
          <w:p w14:paraId="75E7EA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3057</w:t>
            </w:r>
          </w:p>
        </w:tc>
        <w:tc>
          <w:tcPr>
            <w:tcW w:w="1121" w:type="dxa"/>
          </w:tcPr>
          <w:p w14:paraId="5D2474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2935</w:t>
            </w:r>
          </w:p>
        </w:tc>
        <w:tc>
          <w:tcPr>
            <w:tcW w:w="1121" w:type="dxa"/>
          </w:tcPr>
          <w:p w14:paraId="5AA2B6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2792</w:t>
            </w:r>
          </w:p>
        </w:tc>
      </w:tr>
      <w:tr w:rsidR="000F5689" w:rsidRPr="00925F26" w14:paraId="28DB1C98" w14:textId="77777777">
        <w:tc>
          <w:tcPr>
            <w:tcW w:w="1121" w:type="dxa"/>
          </w:tcPr>
          <w:p w14:paraId="095137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121" w:type="dxa"/>
          </w:tcPr>
          <w:p w14:paraId="0BCC6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2438</w:t>
            </w:r>
          </w:p>
        </w:tc>
        <w:tc>
          <w:tcPr>
            <w:tcW w:w="1121" w:type="dxa"/>
          </w:tcPr>
          <w:p w14:paraId="3AB336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2346</w:t>
            </w:r>
          </w:p>
        </w:tc>
        <w:tc>
          <w:tcPr>
            <w:tcW w:w="1121" w:type="dxa"/>
          </w:tcPr>
          <w:p w14:paraId="0846D6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2411</w:t>
            </w:r>
          </w:p>
        </w:tc>
        <w:tc>
          <w:tcPr>
            <w:tcW w:w="1121" w:type="dxa"/>
          </w:tcPr>
          <w:p w14:paraId="20AF66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04005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2342</w:t>
            </w:r>
          </w:p>
        </w:tc>
        <w:tc>
          <w:tcPr>
            <w:tcW w:w="1121" w:type="dxa"/>
          </w:tcPr>
          <w:p w14:paraId="1B29A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2273</w:t>
            </w:r>
          </w:p>
        </w:tc>
      </w:tr>
      <w:tr w:rsidR="000F5689" w:rsidRPr="00925F26" w14:paraId="0F0E566F" w14:textId="77777777">
        <w:tc>
          <w:tcPr>
            <w:tcW w:w="1121" w:type="dxa"/>
          </w:tcPr>
          <w:p w14:paraId="78E4C4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Запас топлива, л</w:t>
            </w:r>
          </w:p>
        </w:tc>
        <w:tc>
          <w:tcPr>
            <w:tcW w:w="1121" w:type="dxa"/>
          </w:tcPr>
          <w:p w14:paraId="7B599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21" w:type="dxa"/>
          </w:tcPr>
          <w:p w14:paraId="37404D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21" w:type="dxa"/>
          </w:tcPr>
          <w:p w14:paraId="38D89E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w:t>
            </w:r>
          </w:p>
        </w:tc>
        <w:tc>
          <w:tcPr>
            <w:tcW w:w="1121" w:type="dxa"/>
          </w:tcPr>
          <w:p w14:paraId="69323B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w:t>
            </w:r>
          </w:p>
        </w:tc>
        <w:tc>
          <w:tcPr>
            <w:tcW w:w="1121" w:type="dxa"/>
          </w:tcPr>
          <w:p w14:paraId="47189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352</w:t>
            </w:r>
          </w:p>
        </w:tc>
        <w:tc>
          <w:tcPr>
            <w:tcW w:w="1121" w:type="dxa"/>
          </w:tcPr>
          <w:p w14:paraId="150C2C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340</w:t>
            </w:r>
          </w:p>
        </w:tc>
      </w:tr>
      <w:tr w:rsidR="000F5689" w:rsidRPr="00925F26" w14:paraId="28C2AC2B" w14:textId="77777777">
        <w:tc>
          <w:tcPr>
            <w:tcW w:w="1121" w:type="dxa"/>
          </w:tcPr>
          <w:p w14:paraId="34169C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 у земли на высоте, км посадочная</w:t>
            </w:r>
          </w:p>
        </w:tc>
        <w:tc>
          <w:tcPr>
            <w:tcW w:w="1121" w:type="dxa"/>
          </w:tcPr>
          <w:p w14:paraId="628701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05B2A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611</w:t>
            </w:r>
          </w:p>
        </w:tc>
        <w:tc>
          <w:tcPr>
            <w:tcW w:w="1121" w:type="dxa"/>
          </w:tcPr>
          <w:p w14:paraId="74868E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602</w:t>
            </w:r>
          </w:p>
        </w:tc>
        <w:tc>
          <w:tcPr>
            <w:tcW w:w="1121" w:type="dxa"/>
          </w:tcPr>
          <w:p w14:paraId="691E910B"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54AF4F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604</w:t>
            </w:r>
          </w:p>
        </w:tc>
        <w:tc>
          <w:tcPr>
            <w:tcW w:w="1121" w:type="dxa"/>
          </w:tcPr>
          <w:p w14:paraId="648DA36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3570ADD" w14:textId="77777777">
        <w:tc>
          <w:tcPr>
            <w:tcW w:w="1121" w:type="dxa"/>
          </w:tcPr>
          <w:p w14:paraId="4F53A9DD"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57A85E9F"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7142E3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720/5,75</w:t>
            </w:r>
          </w:p>
        </w:tc>
        <w:tc>
          <w:tcPr>
            <w:tcW w:w="1121" w:type="dxa"/>
          </w:tcPr>
          <w:p w14:paraId="2E2690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695/5,95</w:t>
            </w:r>
          </w:p>
          <w:p w14:paraId="188E51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21" w:type="dxa"/>
          </w:tcPr>
          <w:p w14:paraId="26D3E9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707/5900</w:t>
            </w:r>
          </w:p>
        </w:tc>
        <w:tc>
          <w:tcPr>
            <w:tcW w:w="1121" w:type="dxa"/>
          </w:tcPr>
          <w:p w14:paraId="2AA14F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706/5,9</w:t>
            </w:r>
          </w:p>
        </w:tc>
        <w:tc>
          <w:tcPr>
            <w:tcW w:w="1121" w:type="dxa"/>
          </w:tcPr>
          <w:p w14:paraId="09797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705/6,1</w:t>
            </w:r>
          </w:p>
        </w:tc>
      </w:tr>
      <w:tr w:rsidR="000F5689" w:rsidRPr="00925F26" w14:paraId="6040151A" w14:textId="77777777">
        <w:tc>
          <w:tcPr>
            <w:tcW w:w="1121" w:type="dxa"/>
          </w:tcPr>
          <w:p w14:paraId="0D488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121" w:type="dxa"/>
          </w:tcPr>
          <w:p w14:paraId="333F86F7"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27297E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121" w:type="dxa"/>
          </w:tcPr>
          <w:p w14:paraId="7DD3E9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1121" w:type="dxa"/>
          </w:tcPr>
          <w:p w14:paraId="45A30E4C"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1B6850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w:t>
            </w:r>
          </w:p>
        </w:tc>
        <w:tc>
          <w:tcPr>
            <w:tcW w:w="1121" w:type="dxa"/>
          </w:tcPr>
          <w:p w14:paraId="0BEEB9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6CF4D885" w14:textId="77777777">
        <w:tc>
          <w:tcPr>
            <w:tcW w:w="1121" w:type="dxa"/>
          </w:tcPr>
          <w:p w14:paraId="15766D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121" w:type="dxa"/>
          </w:tcPr>
          <w:p w14:paraId="7B556B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170241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11 800</w:t>
            </w:r>
          </w:p>
        </w:tc>
        <w:tc>
          <w:tcPr>
            <w:tcW w:w="1121" w:type="dxa"/>
          </w:tcPr>
          <w:p w14:paraId="4CA499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11 350</w:t>
            </w:r>
          </w:p>
        </w:tc>
        <w:tc>
          <w:tcPr>
            <w:tcW w:w="1121" w:type="dxa"/>
          </w:tcPr>
          <w:p w14:paraId="6190F1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1087CA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11 050</w:t>
            </w:r>
          </w:p>
        </w:tc>
        <w:tc>
          <w:tcPr>
            <w:tcW w:w="1121" w:type="dxa"/>
          </w:tcPr>
          <w:p w14:paraId="447C3B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7AB6D50" w14:textId="77777777">
        <w:tc>
          <w:tcPr>
            <w:tcW w:w="1121" w:type="dxa"/>
          </w:tcPr>
          <w:p w14:paraId="08235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высоте 1000 м, с</w:t>
            </w:r>
          </w:p>
        </w:tc>
        <w:tc>
          <w:tcPr>
            <w:tcW w:w="1121" w:type="dxa"/>
          </w:tcPr>
          <w:p w14:paraId="4E1B90ED"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1293B7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17-18</w:t>
            </w:r>
          </w:p>
        </w:tc>
        <w:tc>
          <w:tcPr>
            <w:tcW w:w="1121" w:type="dxa"/>
          </w:tcPr>
          <w:p w14:paraId="47F1B16F"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1E30D66E"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529EEB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121" w:type="dxa"/>
          </w:tcPr>
          <w:p w14:paraId="35ABB7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F4BBD73" w14:textId="77777777">
        <w:tc>
          <w:tcPr>
            <w:tcW w:w="1121" w:type="dxa"/>
          </w:tcPr>
          <w:p w14:paraId="268D5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1121" w:type="dxa"/>
          </w:tcPr>
          <w:p w14:paraId="17814B55"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5633A8AF"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16DB33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c>
          <w:tcPr>
            <w:tcW w:w="1121" w:type="dxa"/>
          </w:tcPr>
          <w:p w14:paraId="72499A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1041 5)</w:t>
            </w:r>
          </w:p>
        </w:tc>
        <w:tc>
          <w:tcPr>
            <w:tcW w:w="1121" w:type="dxa"/>
          </w:tcPr>
          <w:p w14:paraId="0CA7DE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_</w:t>
            </w:r>
          </w:p>
        </w:tc>
        <w:tc>
          <w:tcPr>
            <w:tcW w:w="1121" w:type="dxa"/>
          </w:tcPr>
          <w:p w14:paraId="1F0935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777 4)</w:t>
            </w:r>
          </w:p>
        </w:tc>
      </w:tr>
      <w:tr w:rsidR="000F5689" w:rsidRPr="00925F26" w14:paraId="6DBA5AFA" w14:textId="77777777">
        <w:tc>
          <w:tcPr>
            <w:tcW w:w="1121" w:type="dxa"/>
          </w:tcPr>
          <w:p w14:paraId="57AFB4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Разбег/пробег, м</w:t>
            </w:r>
          </w:p>
        </w:tc>
        <w:tc>
          <w:tcPr>
            <w:tcW w:w="1121" w:type="dxa"/>
          </w:tcPr>
          <w:p w14:paraId="0AA3D6EC"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4A78C8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345/590</w:t>
            </w:r>
          </w:p>
        </w:tc>
        <w:tc>
          <w:tcPr>
            <w:tcW w:w="1121" w:type="dxa"/>
          </w:tcPr>
          <w:p w14:paraId="169E28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375/540</w:t>
            </w:r>
          </w:p>
        </w:tc>
        <w:tc>
          <w:tcPr>
            <w:tcW w:w="1121" w:type="dxa"/>
          </w:tcPr>
          <w:p w14:paraId="4C8C66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414F64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-350/440</w:t>
            </w:r>
          </w:p>
        </w:tc>
        <w:tc>
          <w:tcPr>
            <w:tcW w:w="1121" w:type="dxa"/>
          </w:tcPr>
          <w:p w14:paraId="1DC370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E39DEE3" w14:textId="77777777">
        <w:tc>
          <w:tcPr>
            <w:tcW w:w="1121" w:type="dxa"/>
            <w:tcBorders>
              <w:bottom w:val="single" w:sz="12" w:space="0" w:color="auto"/>
            </w:tcBorders>
          </w:tcPr>
          <w:p w14:paraId="214115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58E9FE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1x20/120 1x12,7/200</w:t>
            </w:r>
          </w:p>
        </w:tc>
        <w:tc>
          <w:tcPr>
            <w:tcW w:w="1121" w:type="dxa"/>
            <w:tcBorders>
              <w:bottom w:val="single" w:sz="12" w:space="0" w:color="auto"/>
            </w:tcBorders>
          </w:tcPr>
          <w:p w14:paraId="23CD5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Borders>
              <w:bottom w:val="single" w:sz="12" w:space="0" w:color="auto"/>
            </w:tcBorders>
          </w:tcPr>
          <w:p w14:paraId="17CF4E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3x20</w:t>
            </w:r>
          </w:p>
        </w:tc>
        <w:tc>
          <w:tcPr>
            <w:tcW w:w="1121" w:type="dxa"/>
            <w:tcBorders>
              <w:bottom w:val="single" w:sz="12" w:space="0" w:color="auto"/>
            </w:tcBorders>
          </w:tcPr>
          <w:p w14:paraId="06FB79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3x20/300</w:t>
            </w:r>
          </w:p>
        </w:tc>
        <w:tc>
          <w:tcPr>
            <w:tcW w:w="1121" w:type="dxa"/>
            <w:tcBorders>
              <w:bottom w:val="single" w:sz="12" w:space="0" w:color="auto"/>
            </w:tcBorders>
          </w:tcPr>
          <w:p w14:paraId="7874C1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w:t>
            </w:r>
          </w:p>
        </w:tc>
        <w:tc>
          <w:tcPr>
            <w:tcW w:w="1121" w:type="dxa"/>
            <w:tcBorders>
              <w:bottom w:val="single" w:sz="12" w:space="0" w:color="auto"/>
            </w:tcBorders>
          </w:tcPr>
          <w:p w14:paraId="321F84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2x20/240</w:t>
            </w:r>
          </w:p>
        </w:tc>
      </w:tr>
    </w:tbl>
    <w:p w14:paraId="0D28B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6DE5BFE5" w14:textId="77777777" w:rsidR="00665165" w:rsidRPr="00925F26" w:rsidRDefault="00665165" w:rsidP="00925F26">
      <w:pPr>
        <w:autoSpaceDE w:val="0"/>
        <w:autoSpaceDN w:val="0"/>
        <w:adjustRightInd w:val="0"/>
        <w:jc w:val="both"/>
        <w:rPr>
          <w:color w:val="000000" w:themeColor="text1"/>
          <w:sz w:val="16"/>
          <w:szCs w:val="16"/>
        </w:rPr>
      </w:pPr>
    </w:p>
    <w:p w14:paraId="21FFA8EF"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w:t>
      </w:r>
      <w:r w:rsidRPr="00925F26">
        <w:rPr>
          <w:color w:val="000000" w:themeColor="text1"/>
          <w:sz w:val="16"/>
          <w:szCs w:val="16"/>
        </w:rPr>
        <w:softHyphen/>
        <w:t>ля 1945 г. на втором экземпляре МиГа с ТК-300Б достигли высоты 12300 м, 11 мая — 13000 м, а в день катастрофы высотно</w:t>
      </w:r>
      <w:r w:rsidRPr="00925F26">
        <w:rPr>
          <w:color w:val="000000" w:themeColor="text1"/>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925F26">
        <w:rPr>
          <w:color w:val="000000" w:themeColor="text1"/>
          <w:sz w:val="16"/>
          <w:szCs w:val="16"/>
        </w:rPr>
        <w:softHyphen/>
        <w:t>ния расчётного потолка 14000 м. Первый экземпляр МиГа, хотя и летал, но значитель</w:t>
      </w:r>
      <w:r w:rsidRPr="00925F26">
        <w:rPr>
          <w:color w:val="000000" w:themeColor="text1"/>
          <w:sz w:val="16"/>
          <w:szCs w:val="16"/>
        </w:rPr>
        <w:softHyphen/>
        <w:t>ных результатов на нём не получили (15830).</w:t>
      </w:r>
    </w:p>
    <w:p w14:paraId="68008C4C" w14:textId="77777777" w:rsidR="003D47C5" w:rsidRPr="00925F26" w:rsidRDefault="003D47C5" w:rsidP="00925F26">
      <w:pPr>
        <w:jc w:val="both"/>
        <w:rPr>
          <w:color w:val="000000" w:themeColor="text1"/>
          <w:sz w:val="16"/>
          <w:szCs w:val="16"/>
        </w:rPr>
      </w:pPr>
    </w:p>
    <w:p w14:paraId="781337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на И-250 был выполнен полет на 6700 с ВРД для определения максимальной скорости, но полет был прекращен из-за падения давления масла в компрессоре. До этого летали 10 (два полета без ВРД) и 11 апреля, когда лопнуло шасси (6471, 71).</w:t>
      </w:r>
    </w:p>
    <w:p w14:paraId="144A8E55" w14:textId="77777777" w:rsidR="00665165" w:rsidRPr="00925F26" w:rsidRDefault="00665165" w:rsidP="00925F26">
      <w:pPr>
        <w:autoSpaceDE w:val="0"/>
        <w:autoSpaceDN w:val="0"/>
        <w:adjustRightInd w:val="0"/>
        <w:jc w:val="both"/>
        <w:rPr>
          <w:color w:val="000000" w:themeColor="text1"/>
          <w:sz w:val="16"/>
          <w:szCs w:val="16"/>
        </w:rPr>
      </w:pPr>
    </w:p>
    <w:p w14:paraId="0B4321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и закончилась 7 мая 1945 г. программа испытаний Me 410 Б-2, (Me 410 В-2), состоящая из 23 полётов общей продолжительностью 14 часов 25 минут.</w:t>
      </w:r>
    </w:p>
    <w:p w14:paraId="295CB4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w:t>
      </w:r>
    </w:p>
    <w:p w14:paraId="6482C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Модификация “мессершмитта” с 50мм пушкой ВК 5 получила в Люфтваффе обозначение Me 410 A-2/U-4. На ней для стрельбы вперёд устанавливались также две 20-мм пушки MG 151 и пара пулемётов MG 17 калибра 7,9 мм. Самолёт,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 151 и один MG 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092C9B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бы логично и правильно данный конкретный самолёт называть Me 410 A-2/U-4, как и все “четыреста десятые” с 50-мм пушкой, однако, во всех выдержках их отчета использовался индекс Ме-410 Б-2.</w:t>
      </w:r>
    </w:p>
    <w:p w14:paraId="0F684A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Ведущим лётчиком-испытателем назначили майора И.П.Пискунова, ведущим инженером инженер-подполковника В.Я.Магона.</w:t>
      </w:r>
    </w:p>
    <w:p w14:paraId="2EEF3B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американских и английских лётчиков-испытателей, советские пилоты отзывались об управляемости немецкого самолета скорее положительно. Так, в разделе “Лётная оценка самолёта” Акта по испытаниям, помимо нескольких недостатков, отмечалось легкое пилотирование и хорошая манёвренность истребителя. Есть смысл привести ряд выдержек из этого раздела:</w:t>
      </w:r>
    </w:p>
    <w:p w14:paraId="2AD44E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и навигационных приборов удобное.</w:t>
      </w:r>
    </w:p>
    <w:p w14:paraId="2DD19A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Особенно облегчает эксплуатацию самолёта наличие автомата переключения скоростей нагнетателя, автомата, регулирующего температуру масла и объединенного управления винтом и газом...</w:t>
      </w:r>
    </w:p>
    <w:p w14:paraId="5D1AE7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торможении приходиться прикладывать большие усилия...</w:t>
      </w:r>
    </w:p>
    <w:p w14:paraId="6C2769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3EFFBF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 наборе высоты самолёт устойчив и хорошо управляем...</w:t>
      </w:r>
    </w:p>
    <w:p w14:paraId="745D07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гооизонтальном полёте самолёт допускает полёт с освобождённым управлением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2FE88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06C7E5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 виражах с креном 65-70 градусов (Vnp=380 км/ч), самолёт устойчив, нагрузки на рулях управления нормальные. На виражах с креном 70 градусов (Vnp=390-400 км/ч) при незначительном перетягивании ручки создаётся быстрое уменьшение нагрузки на рулях, и самолёт старается выйти из виража. Управляемость и устойчивость самолёта при выполнении боевого разворота хорошая...</w:t>
      </w:r>
    </w:p>
    <w:p w14:paraId="3DB535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Н=б000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Vnp=280 км/ч до максимально возможных. В длительном горизонтальном полёте на режиме номинальной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6BC24C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Выводы. По технике пилотирования сравним с самолётом Пе-2 и практически одинаков с самолётом Ту-2. По управляемости и манёвренности самолёт Me 410 Б-2 превосходит серийные отечественные бомбардировщики...”.</w:t>
      </w:r>
    </w:p>
    <w:p w14:paraId="1801B8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отзывам лётчика добавляется мнение штурмана-испытателя старшего лейтенанта Попцова, летавшего на месте стрелка-радиста. И он, наряду с недостатками, отмечает ряд положительных сторон “мессершмитта”:</w:t>
      </w:r>
    </w:p>
    <w:p w14:paraId="1508C5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0C88FE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Размеры кабины стрелка-радиста. размещение и объём оборудования, размещение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7EA38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другими.</w:t>
      </w:r>
    </w:p>
    <w:p w14:paraId="61D01A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“Пушка ВК 5 калибра 50 мм, являясь танковой пушкой, приспособленной для установка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 сек, пушка имеет вес вместе с агрегатами автоматической перезарядки 592 кг, тогда как отечественная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 но-фугасных снарядов пушки ВК 5 при действии по самолетным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07A66C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управлением наши серийные самолёты не имели.</w:t>
      </w:r>
    </w:p>
    <w:p w14:paraId="16AFEC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Пулеметная установка FDSL-B131/1B не сложна и обеспечивает безотказную работу привода и удобную эксплуатацию... Электромеханический привод установки представляет интерес для изучения и возможного использования отдельных конструктивных элементов...".</w:t>
      </w:r>
    </w:p>
    <w:p w14:paraId="761BFB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отзывам специалистов НИИ ВВС, ещё некоторые агрегаты могли быть рекомендованы промышленности для использования при проектировании отечественного оборудования. Интерес представляли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A7E74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ультракоротковолновая командная FuG 16 для обмена информацией между самолётами в строю.</w:t>
      </w:r>
    </w:p>
    <w:p w14:paraId="503FF7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Советские лётчики отметили очень надёжную работу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целесообразности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 G-S с двигателем DB 605.</w:t>
      </w:r>
    </w:p>
    <w:p w14:paraId="40F582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Двигатели DB 603A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258C9A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 не менее, после 19-ти часов работы на левом двигателе произошёл прогар поршня в переднем цилиндре левого блока. Возможно, это случилось из-за применения бензина с повышенным октановым числом. В Германии моторы DB 603A эксплуатировались на бензине В4 с октановым числом “87”по немецкой шкале (или “91 ” по шкале, принятой в СССР). А горючее 4Б-78, которым в НИИ ВВС заправляли самолет Me 410, имел октановое число “94,5”.</w:t>
      </w:r>
    </w:p>
    <w:p w14:paraId="1E0D1A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Хорошо зарекомендовал себя в эксплуатации немецкий антифриз, состоящий на 50% из гликоля и на 50% из воды. На нём система охлаждения двигателей удовлетворительно работала вплоть до потолка самолёта. Но при опробовании моторов на земле и рулении температура охлаждающей жидкости достигала верхнего предела уже через 3-5 минут. Причиной тому являлось расположение радиаторов под крылом и их недостаточный обдув винтами.</w:t>
      </w:r>
    </w:p>
    <w:p w14:paraId="77CE82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Естественно, что наибольшее внимание военные специалисты уделили боевым возможностям немецкого перехватчика. В НИИ ВВС были проведены учебные сражения Me 410 с бомбардировщиком Ту-2, истребителями Як-3 и Ла-7. Не сомневаюсь, что читателям будет интересно узнать мнение лётчиков, пилотировавших в этих боях советские машины (6407).</w:t>
      </w:r>
    </w:p>
    <w:p w14:paraId="48758153" w14:textId="77777777" w:rsidR="00665165" w:rsidRPr="00925F26" w:rsidRDefault="00665165" w:rsidP="00925F26">
      <w:pPr>
        <w:autoSpaceDE w:val="0"/>
        <w:autoSpaceDN w:val="0"/>
        <w:adjustRightInd w:val="0"/>
        <w:jc w:val="both"/>
        <w:rPr>
          <w:color w:val="000000" w:themeColor="text1"/>
          <w:sz w:val="16"/>
          <w:szCs w:val="16"/>
        </w:rPr>
      </w:pPr>
    </w:p>
    <w:p w14:paraId="5EEF214C" w14:textId="77777777" w:rsidR="00986CD1" w:rsidRPr="00925F26" w:rsidRDefault="00986CD1" w:rsidP="00925F26">
      <w:pPr>
        <w:jc w:val="both"/>
        <w:rPr>
          <w:color w:val="000000" w:themeColor="text1"/>
          <w:sz w:val="16"/>
          <w:szCs w:val="16"/>
        </w:rPr>
      </w:pPr>
      <w:r w:rsidRPr="00925F26">
        <w:rPr>
          <w:color w:val="000000" w:themeColor="text1"/>
          <w:sz w:val="16"/>
          <w:szCs w:val="16"/>
        </w:rPr>
        <w:t>14 апреля в 1945 году в НИИ ВВС начались (до 7 мая) испытания тяжёлого истребителя «Me.410» «Hornisse» (в Акте по испытаниям указан индекс – «Me-410» «Б-2») с 50-мм пушкой «ВК 5», захваченный на одном из аэродромов противника. Программа испытаний состояла из 23 полётов общей продолжительностью 14 часов 25 минут. Ведущим лётчиком-испытателем назначили майора И.П.Пискунова, ведущим инженером инженер-подполковника В.Я.Магона. Для начала стоит сразу разобраться с обозначением данного самолёта. Варианты «Me-410A» и «Me-410B» отличались двигателями: на первом ставился «DB-603A», а на втором - более мощный «DB-603G». В отчёте НИИ ВВС указано, что на самолёте стоят двигатели «DB-603А</w:t>
      </w:r>
      <w:proofErr w:type="gramStart"/>
      <w:r w:rsidRPr="00925F26">
        <w:rPr>
          <w:color w:val="000000" w:themeColor="text1"/>
          <w:sz w:val="16"/>
          <w:szCs w:val="16"/>
        </w:rPr>
        <w:t>»,значит</w:t>
      </w:r>
      <w:proofErr w:type="gramEnd"/>
      <w:r w:rsidRPr="00925F26">
        <w:rPr>
          <w:color w:val="000000" w:themeColor="text1"/>
          <w:sz w:val="16"/>
          <w:szCs w:val="16"/>
        </w:rPr>
        <w:t>, правильное его обозначение – «Me-410» «А-2». Теперь уточним индекс этого самолёта в соответствии с вооружением. Модификация "мессершмитта" с 50-мм пушкой ВК 5 получила в Люфтваффе обозначение «Me-410» «A-2/U-4». На ней для стрельбы вперёд устанавливались также две 20-мм пушки «MG-151» и пара пулемётов «MG-17» калибра 7,9 мм. Самолет,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MG-151 и один MG-131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 Было бы логично и правильно данный конкретный самолёт называть «Ме-410» «A-2/U-4», как и все "четыреста десятые" с 50-мм пушкой. В отличие от американских и английских летчиков-испытателей, советские пилоты отзывались об управляемости немецкого самолета скорее положительно. Варианты Me.410: «A-1/U1», «A-3/Ul» и «B-3/U1» без пулеметов «MG-17» с фотокамерами в задней части фюзеляжа; «A-1/U2», «B-1/U2» и «B-2/U2» с дополнительной парой пушек «MG-151/20» в бомбоотсеке; «B-2/U2/R2» с двумя пушками «МК-108» или B-2/U2/R3 с двумя «МК-108»; «B-2/U2/R5» с четырьмя 20 мм пушками «MG-151» в отсеке; «B-2/U2/R4» - две пушки «MG-151» в бомбоотсеке и две «MG-151» в Waffentropfen; «А-2/U4» и «В-2/U4» с 50 мм пушкой «ВК-5»; револьверная пусковая установка для 21 см ракет; «А-3» и «В-3» с установкой фотокамер в носу и без пулеметов; «В-5» с внешней подвеской торпеды; «В-6» с двумя «МК-103» в отсеке и пулеметами «MG-131» вместо «MG-17» (15099).</w:t>
      </w:r>
    </w:p>
    <w:p w14:paraId="16DD39C7" w14:textId="77777777" w:rsidR="00986CD1" w:rsidRPr="00925F26" w:rsidRDefault="00986CD1" w:rsidP="00925F26">
      <w:pPr>
        <w:jc w:val="both"/>
        <w:rPr>
          <w:color w:val="000000" w:themeColor="text1"/>
          <w:sz w:val="16"/>
          <w:szCs w:val="16"/>
        </w:rPr>
      </w:pPr>
    </w:p>
    <w:p w14:paraId="57BB5E27" w14:textId="37F7404B" w:rsidR="007D191E" w:rsidRPr="00925F26" w:rsidRDefault="007D191E" w:rsidP="00925F26">
      <w:pPr>
        <w:jc w:val="both"/>
        <w:rPr>
          <w:color w:val="000000" w:themeColor="text1"/>
          <w:sz w:val="16"/>
          <w:szCs w:val="16"/>
        </w:rPr>
      </w:pPr>
      <w:r w:rsidRPr="00925F26">
        <w:rPr>
          <w:color w:val="000000" w:themeColor="text1"/>
          <w:sz w:val="16"/>
          <w:szCs w:val="16"/>
        </w:rPr>
        <w:t xml:space="preserve">14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00997EDF" w:rsidRPr="00925F26">
        <w:rPr>
          <w:color w:val="000000" w:themeColor="text1"/>
          <w:sz w:val="16"/>
          <w:szCs w:val="16"/>
        </w:rPr>
        <w:t xml:space="preserve">  </w:t>
      </w:r>
      <w:r w:rsidRPr="00925F26">
        <w:rPr>
          <w:color w:val="000000" w:themeColor="text1"/>
          <w:sz w:val="16"/>
          <w:szCs w:val="16"/>
        </w:rPr>
        <w:t>В НИИ ВВС начались (до 7 мая) испытания тяжёлого истребителя Me.410 Hornisse (в Акте по испытаниям указан индекс - Me-410 Б-2) с 50-мм пушкой ВК 5, захваченный на одном из аэродромов противника. Программа испытаний состояла из 23 полётов общей продолжительностью 14 часов 25 минут. Ведущим лётчиком-испытателем назначили майора И.П.Пискунова, ведущим инженером инженер-подполковника В.Я.Магона.</w:t>
      </w:r>
    </w:p>
    <w:p w14:paraId="4A17F48E" w14:textId="77777777" w:rsidR="007D191E" w:rsidRPr="00925F26" w:rsidRDefault="007D191E" w:rsidP="00925F26">
      <w:pPr>
        <w:jc w:val="both"/>
        <w:rPr>
          <w:color w:val="000000" w:themeColor="text1"/>
          <w:sz w:val="16"/>
          <w:szCs w:val="16"/>
        </w:rPr>
      </w:pPr>
      <w:r w:rsidRPr="00925F26">
        <w:rPr>
          <w:color w:val="000000" w:themeColor="text1"/>
          <w:sz w:val="16"/>
          <w:szCs w:val="16"/>
        </w:rPr>
        <w:t>Для начала стоит сразу разобраться с обозначением данного самолёта. Варианты Me-410A и Me-410B отличались двигателями: на первом ставился DB-603A, а на втором - более мощный DB-603G. В отчёте НИИ ВВС указано, что на самолёте стоят двигатели DB-603А, значит, правильное его обозначение – Me-410 А-2.</w:t>
      </w:r>
    </w:p>
    <w:p w14:paraId="140DC521" w14:textId="77777777" w:rsidR="007D191E" w:rsidRPr="00925F26" w:rsidRDefault="007D191E" w:rsidP="00925F26">
      <w:pPr>
        <w:jc w:val="both"/>
        <w:rPr>
          <w:color w:val="000000" w:themeColor="text1"/>
          <w:sz w:val="16"/>
          <w:szCs w:val="16"/>
        </w:rPr>
      </w:pPr>
      <w:r w:rsidRPr="00925F26">
        <w:rPr>
          <w:color w:val="000000" w:themeColor="text1"/>
          <w:sz w:val="16"/>
          <w:szCs w:val="16"/>
        </w:rPr>
        <w:t>Теперь уточним индекс этого самолёта в соответствии с вооружением. Модификация "мессершмитта" с 50-мм пушкой ВК 5 получила в Люфтваффе обозначение Me-410 A-2/U-4. На ней для стрельбы вперёд устанавливались также две 20-мм пушки MG-151 и пара пулемётов MG-17 калибра 7,9 мм. Самолет,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MG-151 и один MG-131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6F5038C9" w14:textId="77777777" w:rsidR="007D191E" w:rsidRPr="00925F26" w:rsidRDefault="007D191E" w:rsidP="00925F26">
      <w:pPr>
        <w:jc w:val="both"/>
        <w:rPr>
          <w:color w:val="000000" w:themeColor="text1"/>
          <w:sz w:val="16"/>
          <w:szCs w:val="16"/>
        </w:rPr>
      </w:pPr>
      <w:r w:rsidRPr="00925F26">
        <w:rPr>
          <w:color w:val="000000" w:themeColor="text1"/>
          <w:sz w:val="16"/>
          <w:szCs w:val="16"/>
        </w:rPr>
        <w:t>Было бы логично и правильно данный конкретный самолёт называть Ме-410 A-2/U-4, как и все "четыреста десятые" с 50-мм пушкой.</w:t>
      </w:r>
    </w:p>
    <w:p w14:paraId="739F60E4" w14:textId="77777777" w:rsidR="007D191E" w:rsidRPr="00925F26" w:rsidRDefault="007D191E" w:rsidP="00925F26">
      <w:pPr>
        <w:jc w:val="both"/>
        <w:rPr>
          <w:color w:val="000000" w:themeColor="text1"/>
          <w:sz w:val="16"/>
          <w:szCs w:val="16"/>
        </w:rPr>
      </w:pPr>
      <w:r w:rsidRPr="00925F26">
        <w:rPr>
          <w:color w:val="000000" w:themeColor="text1"/>
          <w:sz w:val="16"/>
          <w:szCs w:val="16"/>
        </w:rPr>
        <w:t>В отличие от американских и английских летчиков-испытателей, советские пилоты отзывались об управляемости немецкого самолета скорее положительно (22535).</w:t>
      </w:r>
    </w:p>
    <w:p w14:paraId="4454FDFE" w14:textId="77777777" w:rsidR="007D191E" w:rsidRPr="00925F26" w:rsidRDefault="007D191E" w:rsidP="00925F26">
      <w:pPr>
        <w:jc w:val="both"/>
        <w:rPr>
          <w:color w:val="000000" w:themeColor="text1"/>
          <w:sz w:val="16"/>
          <w:szCs w:val="16"/>
        </w:rPr>
      </w:pPr>
    </w:p>
    <w:p w14:paraId="66FE13C0" w14:textId="77777777" w:rsidR="00C43F02" w:rsidRPr="001A0BAA" w:rsidRDefault="00C43F02" w:rsidP="00C43F02">
      <w:pPr>
        <w:jc w:val="both"/>
        <w:rPr>
          <w:color w:val="0070C0"/>
          <w:sz w:val="16"/>
          <w:szCs w:val="16"/>
        </w:rPr>
      </w:pPr>
      <w:r w:rsidRPr="001A0BAA">
        <w:rPr>
          <w:color w:val="0070C0"/>
          <w:sz w:val="16"/>
          <w:szCs w:val="16"/>
        </w:rPr>
        <w:t>14 апреля началась и закончилась 7 мая 1945 г. программа испытаний Ме-410, состоящая из 23 полётов общей продолжительностью 14 часов 25 минут Ведущим лётчиком-испытателем назначили майора И. П. Пискунова, ведущим инженером – инженер-подполковника В. Я. Магона.</w:t>
      </w:r>
    </w:p>
    <w:p w14:paraId="3C48A89B" w14:textId="77777777" w:rsidR="00C43F02" w:rsidRPr="001A0BAA" w:rsidRDefault="00C43F02" w:rsidP="00C43F02">
      <w:pPr>
        <w:jc w:val="both"/>
        <w:rPr>
          <w:color w:val="0070C0"/>
          <w:sz w:val="16"/>
          <w:szCs w:val="16"/>
        </w:rPr>
      </w:pPr>
      <w:r w:rsidRPr="001A0BAA">
        <w:rPr>
          <w:color w:val="0070C0"/>
          <w:sz w:val="16"/>
          <w:szCs w:val="16"/>
        </w:rPr>
        <w:lastRenderedPageBreak/>
        <w:t>Было бы логично и правильно данный конкретный самолёт называть Me 410A-2/U-4, как и все «четыреста десятые» с 50-мм пушкой. Однако во всех выдержках из отчёта НИИ ВВС указан индекс — Me 410Б-2, (Me 410В-2).</w:t>
      </w:r>
    </w:p>
    <w:p w14:paraId="4A7925D0" w14:textId="77777777" w:rsidR="00C43F02" w:rsidRPr="001A0BAA" w:rsidRDefault="00C43F02" w:rsidP="00C43F02">
      <w:pPr>
        <w:jc w:val="both"/>
        <w:rPr>
          <w:color w:val="0070C0"/>
          <w:sz w:val="16"/>
          <w:szCs w:val="16"/>
        </w:rPr>
      </w:pPr>
      <w:r w:rsidRPr="001A0BAA">
        <w:rPr>
          <w:color w:val="0070C0"/>
          <w:sz w:val="16"/>
          <w:szCs w:val="16"/>
        </w:rPr>
        <w:t>В разделе «Лётная оценка самолёта» Акта по испытаниям, помимо нескольких недостатков, отмечалось лёгкое пилотирование и хорошая маневренность истребителя. Есть смысл привести ряд выдержек из этого раздела:</w:t>
      </w:r>
    </w:p>
    <w:p w14:paraId="24AC7ECC" w14:textId="77777777" w:rsidR="00C43F02" w:rsidRPr="001A0BAA" w:rsidRDefault="00C43F02" w:rsidP="00C43F02">
      <w:pPr>
        <w:jc w:val="both"/>
        <w:rPr>
          <w:color w:val="0070C0"/>
          <w:sz w:val="16"/>
          <w:szCs w:val="16"/>
        </w:rPr>
      </w:pPr>
      <w:r w:rsidRPr="001A0BAA">
        <w:rPr>
          <w:color w:val="0070C0"/>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w:t>
      </w:r>
      <w:proofErr w:type="gramStart"/>
      <w:r w:rsidRPr="001A0BAA">
        <w:rPr>
          <w:color w:val="0070C0"/>
          <w:sz w:val="16"/>
          <w:szCs w:val="16"/>
        </w:rPr>
        <w:t>винто-моторной</w:t>
      </w:r>
      <w:proofErr w:type="gramEnd"/>
      <w:r w:rsidRPr="001A0BAA">
        <w:rPr>
          <w:color w:val="0070C0"/>
          <w:sz w:val="16"/>
          <w:szCs w:val="16"/>
        </w:rPr>
        <w:t xml:space="preserve"> группы.) и навигационных приборов удобное.</w:t>
      </w:r>
    </w:p>
    <w:p w14:paraId="0889109C" w14:textId="77777777" w:rsidR="00C43F02" w:rsidRPr="001A0BAA" w:rsidRDefault="00C43F02" w:rsidP="00C43F02">
      <w:pPr>
        <w:jc w:val="both"/>
        <w:rPr>
          <w:color w:val="0070C0"/>
          <w:sz w:val="16"/>
          <w:szCs w:val="16"/>
        </w:rPr>
      </w:pPr>
      <w:r w:rsidRPr="001A0BAA">
        <w:rPr>
          <w:color w:val="0070C0"/>
          <w:sz w:val="16"/>
          <w:szCs w:val="16"/>
        </w:rPr>
        <w:t>Особенно облегчает эксплуатацию самолёта наличие автомата пере</w:t>
      </w:r>
      <w:r w:rsidRPr="001A0BAA">
        <w:rPr>
          <w:color w:val="0070C0"/>
          <w:sz w:val="16"/>
          <w:szCs w:val="16"/>
        </w:rPr>
        <w:softHyphen/>
        <w:t>клю</w:t>
      </w:r>
      <w:r w:rsidRPr="001A0BAA">
        <w:rPr>
          <w:color w:val="0070C0"/>
          <w:sz w:val="16"/>
          <w:szCs w:val="16"/>
        </w:rPr>
        <w:softHyphen/>
        <w:t>чения скоростей нагнетателя, автомата, регулирующего температуру масла и объеди</w:t>
      </w:r>
      <w:r w:rsidRPr="001A0BAA">
        <w:rPr>
          <w:color w:val="0070C0"/>
          <w:sz w:val="16"/>
          <w:szCs w:val="16"/>
        </w:rPr>
        <w:softHyphen/>
        <w:t>ненного управления винтом и газом…</w:t>
      </w:r>
    </w:p>
    <w:p w14:paraId="0D4EE281" w14:textId="77777777" w:rsidR="00C43F02" w:rsidRPr="001A0BAA" w:rsidRDefault="00C43F02" w:rsidP="00C43F02">
      <w:pPr>
        <w:jc w:val="both"/>
        <w:rPr>
          <w:color w:val="0070C0"/>
          <w:sz w:val="16"/>
          <w:szCs w:val="16"/>
        </w:rPr>
      </w:pPr>
      <w:r w:rsidRPr="001A0BAA">
        <w:rPr>
          <w:color w:val="0070C0"/>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w:t>
      </w:r>
      <w:r w:rsidRPr="001A0BAA">
        <w:rPr>
          <w:color w:val="0070C0"/>
          <w:sz w:val="16"/>
          <w:szCs w:val="16"/>
        </w:rPr>
        <w:softHyphen/>
        <w:t>жении приходиться прикладывать большие усилия…</w:t>
      </w:r>
    </w:p>
    <w:p w14:paraId="26541A53" w14:textId="77777777" w:rsidR="00C43F02" w:rsidRPr="001A0BAA" w:rsidRDefault="00C43F02" w:rsidP="00C43F02">
      <w:pPr>
        <w:jc w:val="both"/>
        <w:rPr>
          <w:color w:val="0070C0"/>
          <w:sz w:val="16"/>
          <w:szCs w:val="16"/>
        </w:rPr>
      </w:pPr>
      <w:r w:rsidRPr="001A0BAA">
        <w:rPr>
          <w:color w:val="0070C0"/>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0382A31F" w14:textId="77777777" w:rsidR="00C43F02" w:rsidRPr="001A0BAA" w:rsidRDefault="00C43F02" w:rsidP="00C43F02">
      <w:pPr>
        <w:jc w:val="both"/>
        <w:rPr>
          <w:color w:val="0070C0"/>
          <w:sz w:val="16"/>
          <w:szCs w:val="16"/>
        </w:rPr>
      </w:pPr>
      <w:r w:rsidRPr="001A0BAA">
        <w:rPr>
          <w:color w:val="0070C0"/>
          <w:sz w:val="16"/>
          <w:szCs w:val="16"/>
        </w:rPr>
        <w:t>… На наборе высоты самолёт устойчив и хорошо управляем…</w:t>
      </w:r>
    </w:p>
    <w:p w14:paraId="45B87BE2" w14:textId="77777777" w:rsidR="00C43F02" w:rsidRPr="001A0BAA" w:rsidRDefault="00C43F02" w:rsidP="00C43F02">
      <w:pPr>
        <w:jc w:val="both"/>
        <w:rPr>
          <w:color w:val="0070C0"/>
          <w:sz w:val="16"/>
          <w:szCs w:val="16"/>
        </w:rPr>
      </w:pPr>
      <w:r w:rsidRPr="001A0BAA">
        <w:rPr>
          <w:color w:val="0070C0"/>
          <w:sz w:val="16"/>
          <w:szCs w:val="16"/>
        </w:rPr>
        <w:t>…При горизонтальном полёте самолёт допускает полёт с освобождённым управ</w:t>
      </w:r>
      <w:r w:rsidRPr="001A0BAA">
        <w:rPr>
          <w:color w:val="0070C0"/>
          <w:sz w:val="16"/>
          <w:szCs w:val="16"/>
        </w:rPr>
        <w:softHyphen/>
        <w:t>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5175599A" w14:textId="77777777" w:rsidR="00C43F02" w:rsidRPr="001A0BAA" w:rsidRDefault="00C43F02" w:rsidP="00C43F02">
      <w:pPr>
        <w:jc w:val="both"/>
        <w:rPr>
          <w:color w:val="0070C0"/>
          <w:sz w:val="16"/>
          <w:szCs w:val="16"/>
        </w:rPr>
      </w:pPr>
      <w:r w:rsidRPr="001A0BAA">
        <w:rPr>
          <w:color w:val="0070C0"/>
          <w:sz w:val="16"/>
          <w:szCs w:val="16"/>
        </w:rPr>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1DFB543F" w14:textId="77777777" w:rsidR="00C43F02" w:rsidRPr="001A0BAA" w:rsidRDefault="00C43F02" w:rsidP="00C43F02">
      <w:pPr>
        <w:jc w:val="both"/>
        <w:rPr>
          <w:color w:val="0070C0"/>
          <w:sz w:val="16"/>
          <w:szCs w:val="16"/>
        </w:rPr>
      </w:pPr>
      <w:r w:rsidRPr="001A0BAA">
        <w:rPr>
          <w:color w:val="0070C0"/>
          <w:sz w:val="16"/>
          <w:szCs w:val="16"/>
        </w:rPr>
        <w:t>… На виражах с креном 65-70 градусов (V</w:t>
      </w:r>
      <w:r w:rsidRPr="001A0BAA">
        <w:rPr>
          <w:color w:val="0070C0"/>
          <w:sz w:val="16"/>
          <w:szCs w:val="16"/>
          <w:vertAlign w:val="subscript"/>
        </w:rPr>
        <w:t>пр</w:t>
      </w:r>
      <w:r w:rsidRPr="001A0BAA">
        <w:rPr>
          <w:color w:val="0070C0"/>
          <w:sz w:val="16"/>
          <w:szCs w:val="16"/>
        </w:rPr>
        <w:t>=380 км/ч), самолёт устойчив, нагрузки на рулях управления нормальные. На виражах с креном 70 градусов (V</w:t>
      </w:r>
      <w:r w:rsidRPr="001A0BAA">
        <w:rPr>
          <w:color w:val="0070C0"/>
          <w:sz w:val="16"/>
          <w:szCs w:val="16"/>
          <w:vertAlign w:val="subscript"/>
        </w:rPr>
        <w:t>пр</w:t>
      </w:r>
      <w:r w:rsidRPr="001A0BAA">
        <w:rPr>
          <w:color w:val="0070C0"/>
          <w:sz w:val="16"/>
          <w:szCs w:val="16"/>
        </w:rPr>
        <w:t>=390-400 км/ч) при незначительном перетягивании ручки создаётся быстрое уменьшение нагрузки на рулях, и самолёт старается выйти из виража. Управ</w:t>
      </w:r>
      <w:r w:rsidRPr="001A0BAA">
        <w:rPr>
          <w:color w:val="0070C0"/>
          <w:sz w:val="16"/>
          <w:szCs w:val="16"/>
        </w:rPr>
        <w:softHyphen/>
        <w:t>ля</w:t>
      </w:r>
      <w:r w:rsidRPr="001A0BAA">
        <w:rPr>
          <w:color w:val="0070C0"/>
          <w:sz w:val="16"/>
          <w:szCs w:val="16"/>
        </w:rPr>
        <w:softHyphen/>
        <w:t>емость и устойчивость самолёта при выполнении боевого разворота хорошая…</w:t>
      </w:r>
    </w:p>
    <w:p w14:paraId="4DDBAC8F" w14:textId="77777777" w:rsidR="00C43F02" w:rsidRPr="001A0BAA" w:rsidRDefault="00C43F02" w:rsidP="00C43F02">
      <w:pPr>
        <w:jc w:val="both"/>
        <w:rPr>
          <w:color w:val="0070C0"/>
          <w:sz w:val="16"/>
          <w:szCs w:val="16"/>
        </w:rPr>
      </w:pPr>
      <w:r w:rsidRPr="001A0BAA">
        <w:rPr>
          <w:color w:val="0070C0"/>
          <w:sz w:val="16"/>
          <w:szCs w:val="16"/>
        </w:rPr>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Н=6000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w:t>
      </w:r>
      <w:r w:rsidRPr="001A0BAA">
        <w:rPr>
          <w:color w:val="0070C0"/>
          <w:sz w:val="16"/>
          <w:szCs w:val="16"/>
          <w:vertAlign w:val="subscript"/>
        </w:rPr>
        <w:t>пр</w:t>
      </w:r>
      <w:r w:rsidRPr="001A0BAA">
        <w:rPr>
          <w:color w:val="0070C0"/>
          <w:sz w:val="16"/>
          <w:szCs w:val="16"/>
        </w:rPr>
        <w:t>=280 км/ч до максимально возможных. В длительном горизонтальном полёте на режиме номи</w:t>
      </w:r>
      <w:r w:rsidRPr="001A0BAA">
        <w:rPr>
          <w:color w:val="0070C0"/>
          <w:sz w:val="16"/>
          <w:szCs w:val="16"/>
        </w:rPr>
        <w:softHyphen/>
        <w:t>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7F77C236" w14:textId="77777777" w:rsidR="00C43F02" w:rsidRPr="001A0BAA" w:rsidRDefault="00C43F02" w:rsidP="00C43F02">
      <w:pPr>
        <w:jc w:val="both"/>
        <w:rPr>
          <w:color w:val="0070C0"/>
          <w:sz w:val="16"/>
          <w:szCs w:val="16"/>
        </w:rPr>
      </w:pPr>
      <w:r w:rsidRPr="001A0BAA">
        <w:rPr>
          <w:color w:val="0070C0"/>
          <w:sz w:val="16"/>
          <w:szCs w:val="16"/>
        </w:rPr>
        <w:t>Выводы. По технике пилотирования трофейный самолёт Me 410 Б-2 проще серийного самолёта Пе-2 и практически одинаков с самолётом Ту-2. По управ</w:t>
      </w:r>
      <w:r w:rsidRPr="001A0BAA">
        <w:rPr>
          <w:color w:val="0070C0"/>
          <w:sz w:val="16"/>
          <w:szCs w:val="16"/>
        </w:rPr>
        <w:softHyphen/>
        <w:t>ляемости и манёвренности самолёт Me 410 Б-2 превосходит серийные отече</w:t>
      </w:r>
      <w:r w:rsidRPr="001A0BAA">
        <w:rPr>
          <w:color w:val="0070C0"/>
          <w:sz w:val="16"/>
          <w:szCs w:val="16"/>
        </w:rPr>
        <w:softHyphen/>
        <w:t>ст</w:t>
      </w:r>
      <w:r w:rsidRPr="001A0BAA">
        <w:rPr>
          <w:color w:val="0070C0"/>
          <w:sz w:val="16"/>
          <w:szCs w:val="16"/>
        </w:rPr>
        <w:softHyphen/>
        <w:t>венные бомбардировщики…».</w:t>
      </w:r>
    </w:p>
    <w:p w14:paraId="306290C6" w14:textId="77777777" w:rsidR="00C43F02" w:rsidRPr="001A0BAA" w:rsidRDefault="00C43F02" w:rsidP="00C43F02">
      <w:pPr>
        <w:jc w:val="both"/>
        <w:rPr>
          <w:color w:val="0070C0"/>
          <w:sz w:val="16"/>
          <w:szCs w:val="16"/>
        </w:rPr>
      </w:pPr>
      <w:r w:rsidRPr="001A0BAA">
        <w:rPr>
          <w:color w:val="0070C0"/>
          <w:sz w:val="16"/>
          <w:szCs w:val="16"/>
        </w:rPr>
        <w:t>Штурман-испытатель старший лейтенант Попцов, летавшийо на месте стрелка-радиста, наряду с недостатками, отмечает ряд положительных сторон «мессершмитта»:</w:t>
      </w:r>
    </w:p>
    <w:p w14:paraId="5058B8D9" w14:textId="77777777" w:rsidR="00C43F02" w:rsidRPr="001A0BAA" w:rsidRDefault="00C43F02" w:rsidP="00C43F02">
      <w:pPr>
        <w:jc w:val="both"/>
        <w:rPr>
          <w:color w:val="0070C0"/>
          <w:sz w:val="16"/>
          <w:szCs w:val="16"/>
        </w:rPr>
      </w:pPr>
      <w:r w:rsidRPr="001A0BAA">
        <w:rPr>
          <w:color w:val="0070C0"/>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76B82A28" w14:textId="77777777" w:rsidR="00C43F02" w:rsidRPr="001A0BAA" w:rsidRDefault="00C43F02" w:rsidP="00C43F02">
      <w:pPr>
        <w:jc w:val="both"/>
        <w:rPr>
          <w:color w:val="0070C0"/>
          <w:sz w:val="16"/>
          <w:szCs w:val="16"/>
        </w:rPr>
      </w:pPr>
      <w:r w:rsidRPr="001A0BAA">
        <w:rPr>
          <w:color w:val="0070C0"/>
          <w:sz w:val="16"/>
          <w:szCs w:val="16"/>
        </w:rPr>
        <w:t>Размеры кабины стрелка-радиста, размещение и объём оборудования, разме</w:t>
      </w:r>
      <w:r w:rsidRPr="001A0BAA">
        <w:rPr>
          <w:color w:val="0070C0"/>
          <w:sz w:val="16"/>
          <w:szCs w:val="16"/>
        </w:rPr>
        <w:softHyphen/>
        <w:t>ще</w:t>
      </w:r>
      <w:r w:rsidRPr="001A0BAA">
        <w:rPr>
          <w:color w:val="0070C0"/>
          <w:sz w:val="16"/>
          <w:szCs w:val="16"/>
        </w:rPr>
        <w:softHyphen/>
        <w:t>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12362BC2" w14:textId="77777777" w:rsidR="00C43F02" w:rsidRPr="001A0BAA" w:rsidRDefault="00C43F02" w:rsidP="00C43F02">
      <w:pPr>
        <w:jc w:val="both"/>
        <w:rPr>
          <w:color w:val="0070C0"/>
          <w:sz w:val="16"/>
          <w:szCs w:val="16"/>
        </w:rPr>
      </w:pPr>
      <w:r w:rsidRPr="001A0BAA">
        <w:rPr>
          <w:color w:val="0070C0"/>
          <w:sz w:val="16"/>
          <w:szCs w:val="16"/>
        </w:rPr>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аналогичными отечест</w:t>
      </w:r>
      <w:r w:rsidRPr="001A0BAA">
        <w:rPr>
          <w:color w:val="0070C0"/>
          <w:sz w:val="16"/>
          <w:szCs w:val="16"/>
        </w:rPr>
        <w:softHyphen/>
        <w:t>вен</w:t>
      </w:r>
      <w:r w:rsidRPr="001A0BAA">
        <w:rPr>
          <w:color w:val="0070C0"/>
          <w:sz w:val="16"/>
          <w:szCs w:val="16"/>
        </w:rPr>
        <w:softHyphen/>
        <w:t>ными образцами:</w:t>
      </w:r>
    </w:p>
    <w:p w14:paraId="43396241" w14:textId="77777777" w:rsidR="00C43F02" w:rsidRPr="001A0BAA" w:rsidRDefault="00C43F02" w:rsidP="00C43F02">
      <w:pPr>
        <w:jc w:val="both"/>
        <w:rPr>
          <w:color w:val="0070C0"/>
          <w:sz w:val="16"/>
          <w:szCs w:val="16"/>
        </w:rPr>
      </w:pPr>
      <w:r w:rsidRPr="001A0BAA">
        <w:rPr>
          <w:color w:val="0070C0"/>
          <w:sz w:val="16"/>
          <w:szCs w:val="16"/>
        </w:rPr>
        <w:t>«Пушка ВК 5 калибра 50 мм, являясь танковой пушкой, приспособленной для установки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м/сек, пушка имеет вес вместе с агрегатами автоматической перезарядки 592 кг, тогда как отече</w:t>
      </w:r>
      <w:r w:rsidRPr="001A0BAA">
        <w:rPr>
          <w:color w:val="0070C0"/>
          <w:sz w:val="16"/>
          <w:szCs w:val="16"/>
        </w:rPr>
        <w:softHyphen/>
        <w:t>ст</w:t>
      </w:r>
      <w:r w:rsidRPr="001A0BAA">
        <w:rPr>
          <w:color w:val="0070C0"/>
          <w:sz w:val="16"/>
          <w:szCs w:val="16"/>
        </w:rPr>
        <w:softHyphen/>
        <w:t>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осколочно-фугасных снарядов пушки ВК 5 при действии по самолётным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0B7B3AF9" w14:textId="77777777" w:rsidR="00C43F02" w:rsidRPr="001A0BAA" w:rsidRDefault="00C43F02" w:rsidP="00C43F02">
      <w:pPr>
        <w:jc w:val="both"/>
        <w:rPr>
          <w:color w:val="0070C0"/>
          <w:sz w:val="16"/>
          <w:szCs w:val="16"/>
        </w:rPr>
      </w:pPr>
      <w:r w:rsidRPr="001A0BAA">
        <w:rPr>
          <w:color w:val="0070C0"/>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w:t>
      </w:r>
      <w:r w:rsidRPr="001A0BAA">
        <w:rPr>
          <w:color w:val="0070C0"/>
          <w:sz w:val="16"/>
          <w:szCs w:val="16"/>
        </w:rPr>
        <w:softHyphen/>
        <w:t>лением наши серийные самолёты не имели:</w:t>
      </w:r>
    </w:p>
    <w:p w14:paraId="11921064" w14:textId="77777777" w:rsidR="00C43F02" w:rsidRPr="001A0BAA" w:rsidRDefault="00C43F02" w:rsidP="00C43F02">
      <w:pPr>
        <w:jc w:val="both"/>
        <w:rPr>
          <w:color w:val="0070C0"/>
          <w:sz w:val="16"/>
          <w:szCs w:val="16"/>
        </w:rPr>
      </w:pPr>
      <w:r w:rsidRPr="001A0BAA">
        <w:rPr>
          <w:color w:val="0070C0"/>
          <w:sz w:val="16"/>
          <w:szCs w:val="16"/>
        </w:rPr>
        <w:t>«Конструкция дистанционной пулемётной установки FDSL-B131/1B не сложна и обеспечивает безотказную работу привода и удобную эксплуатацию… Электро</w:t>
      </w:r>
      <w:r w:rsidRPr="001A0BAA">
        <w:rPr>
          <w:color w:val="0070C0"/>
          <w:sz w:val="16"/>
          <w:szCs w:val="16"/>
        </w:rPr>
        <w:softHyphen/>
        <w:t>механический привод установки представляет интерес для изучения и возмож</w:t>
      </w:r>
      <w:r w:rsidRPr="001A0BAA">
        <w:rPr>
          <w:color w:val="0070C0"/>
          <w:sz w:val="16"/>
          <w:szCs w:val="16"/>
        </w:rPr>
        <w:softHyphen/>
        <w:t>ного использования отдельных конструктивных элементов…»</w:t>
      </w:r>
    </w:p>
    <w:p w14:paraId="2B8B8D11" w14:textId="77777777" w:rsidR="00C43F02" w:rsidRPr="001A0BAA" w:rsidRDefault="00C43F02" w:rsidP="00C43F02">
      <w:pPr>
        <w:jc w:val="both"/>
        <w:rPr>
          <w:color w:val="0070C0"/>
          <w:sz w:val="16"/>
          <w:szCs w:val="16"/>
        </w:rPr>
      </w:pPr>
      <w:r w:rsidRPr="001A0BAA">
        <w:rPr>
          <w:color w:val="0070C0"/>
          <w:sz w:val="16"/>
          <w:szCs w:val="16"/>
        </w:rPr>
        <w:t>По отзывам специалистов НИИ ВВС, ещё некоторые агрегаты могли быть рекомендованы промыш</w:t>
      </w:r>
      <w:r w:rsidRPr="001A0BAA">
        <w:rPr>
          <w:color w:val="0070C0"/>
          <w:sz w:val="16"/>
          <w:szCs w:val="16"/>
        </w:rPr>
        <w:softHyphen/>
        <w:t>лен</w:t>
      </w:r>
      <w:r w:rsidRPr="001A0BAA">
        <w:rPr>
          <w:color w:val="0070C0"/>
          <w:sz w:val="16"/>
          <w:szCs w:val="16"/>
        </w:rPr>
        <w:softHyphen/>
        <w:t>ности для использования при проектировании отечественного оборудования. Интерес пред</w:t>
      </w:r>
      <w:r w:rsidRPr="001A0BAA">
        <w:rPr>
          <w:color w:val="0070C0"/>
          <w:sz w:val="16"/>
          <w:szCs w:val="16"/>
        </w:rPr>
        <w:softHyphen/>
        <w:t>став</w:t>
      </w:r>
      <w:r w:rsidRPr="001A0BAA">
        <w:rPr>
          <w:color w:val="0070C0"/>
          <w:sz w:val="16"/>
          <w:szCs w:val="16"/>
        </w:rPr>
        <w:softHyphen/>
        <w:t>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3AF9C9F" w14:textId="77777777" w:rsidR="00C43F02" w:rsidRPr="001A0BAA" w:rsidRDefault="00C43F02" w:rsidP="00C43F02">
      <w:pPr>
        <w:jc w:val="both"/>
        <w:rPr>
          <w:color w:val="0070C0"/>
          <w:sz w:val="16"/>
          <w:szCs w:val="16"/>
        </w:rPr>
      </w:pPr>
      <w:r w:rsidRPr="001A0BAA">
        <w:rPr>
          <w:color w:val="0070C0"/>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w:t>
      </w:r>
      <w:r w:rsidRPr="001A0BAA">
        <w:rPr>
          <w:color w:val="0070C0"/>
          <w:sz w:val="16"/>
          <w:szCs w:val="16"/>
        </w:rPr>
        <w:softHyphen/>
        <w:t>коротковолновая командная FuG 16 для обмена информацией между самолётами в строю.</w:t>
      </w:r>
    </w:p>
    <w:p w14:paraId="23183244" w14:textId="77777777" w:rsidR="00C43F02" w:rsidRPr="001A0BAA" w:rsidRDefault="00C43F02" w:rsidP="00C43F02">
      <w:pPr>
        <w:jc w:val="both"/>
        <w:rPr>
          <w:color w:val="0070C0"/>
          <w:sz w:val="16"/>
          <w:szCs w:val="16"/>
        </w:rPr>
      </w:pPr>
      <w:r w:rsidRPr="001A0BAA">
        <w:rPr>
          <w:color w:val="0070C0"/>
          <w:sz w:val="16"/>
          <w:szCs w:val="16"/>
        </w:rPr>
        <w:t>Советские лётчики отметили очень надёжную работу винтомоторной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w:t>
      </w:r>
      <w:r w:rsidRPr="001A0BAA">
        <w:rPr>
          <w:color w:val="0070C0"/>
          <w:sz w:val="16"/>
          <w:szCs w:val="16"/>
        </w:rPr>
        <w:softHyphen/>
        <w:t>со</w:t>
      </w:r>
      <w:r w:rsidRPr="001A0BAA">
        <w:rPr>
          <w:color w:val="0070C0"/>
          <w:sz w:val="16"/>
          <w:szCs w:val="16"/>
        </w:rPr>
        <w:softHyphen/>
        <w:t>образ</w:t>
      </w:r>
      <w:r w:rsidRPr="001A0BAA">
        <w:rPr>
          <w:color w:val="0070C0"/>
          <w:sz w:val="16"/>
          <w:szCs w:val="16"/>
        </w:rPr>
        <w:softHyphen/>
        <w:t>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109G-6 с двигателем DB 605.</w:t>
      </w:r>
    </w:p>
    <w:p w14:paraId="724D1E83" w14:textId="77777777" w:rsidR="00C43F02" w:rsidRPr="001A0BAA" w:rsidRDefault="00C43F02" w:rsidP="00C43F02">
      <w:pPr>
        <w:jc w:val="both"/>
        <w:rPr>
          <w:color w:val="0070C0"/>
          <w:sz w:val="16"/>
          <w:szCs w:val="16"/>
        </w:rPr>
      </w:pPr>
      <w:r w:rsidRPr="001A0BAA">
        <w:rPr>
          <w:color w:val="0070C0"/>
          <w:sz w:val="16"/>
          <w:szCs w:val="16"/>
        </w:rPr>
        <w:t>Двигатели DB 603А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13987031" w14:textId="77777777" w:rsidR="00C43F02" w:rsidRPr="001A0BAA" w:rsidRDefault="00C43F02" w:rsidP="00C43F02">
      <w:pPr>
        <w:jc w:val="both"/>
        <w:rPr>
          <w:color w:val="0070C0"/>
          <w:sz w:val="16"/>
          <w:szCs w:val="16"/>
        </w:rPr>
      </w:pPr>
      <w:r w:rsidRPr="001A0BAA">
        <w:rPr>
          <w:color w:val="0070C0"/>
          <w:sz w:val="16"/>
          <w:szCs w:val="16"/>
        </w:rPr>
        <w:t>В НИИ ВВС были проведены учебные сражения Me 410 с бомбар</w:t>
      </w:r>
      <w:r w:rsidRPr="001A0BAA">
        <w:rPr>
          <w:color w:val="0070C0"/>
          <w:sz w:val="16"/>
          <w:szCs w:val="16"/>
        </w:rPr>
        <w:softHyphen/>
        <w:t>ди</w:t>
      </w:r>
      <w:r w:rsidRPr="001A0BAA">
        <w:rPr>
          <w:color w:val="0070C0"/>
          <w:sz w:val="16"/>
          <w:szCs w:val="16"/>
        </w:rPr>
        <w:softHyphen/>
        <w:t>ров</w:t>
      </w:r>
      <w:r w:rsidRPr="001A0BAA">
        <w:rPr>
          <w:color w:val="0070C0"/>
          <w:sz w:val="16"/>
          <w:szCs w:val="16"/>
        </w:rPr>
        <w:softHyphen/>
        <w:t>щиком Ту-2, истребителями Як-3 и Ла-7. Не сомневаюсь, что читателям будет интересно узнать мнение лётчиков, пилотировавших в этих боях советские машины.</w:t>
      </w:r>
    </w:p>
    <w:p w14:paraId="5A14D128" w14:textId="77777777" w:rsidR="00C43F02" w:rsidRPr="001A0BAA" w:rsidRDefault="00C43F02" w:rsidP="00C43F02">
      <w:pPr>
        <w:jc w:val="both"/>
        <w:rPr>
          <w:color w:val="0070C0"/>
          <w:sz w:val="16"/>
          <w:szCs w:val="16"/>
        </w:rPr>
      </w:pPr>
      <w:r w:rsidRPr="001A0BAA">
        <w:rPr>
          <w:color w:val="0070C0"/>
          <w:sz w:val="16"/>
          <w:szCs w:val="16"/>
        </w:rPr>
        <w:t>Донесение летчика-испытателя майора Антипова (14 мая 1945 г.):</w:t>
      </w:r>
    </w:p>
    <w:p w14:paraId="6BA8BEB3" w14:textId="77777777" w:rsidR="00C43F02" w:rsidRPr="001A0BAA" w:rsidRDefault="00C43F02" w:rsidP="00C43F02">
      <w:pPr>
        <w:jc w:val="both"/>
        <w:rPr>
          <w:color w:val="0070C0"/>
          <w:sz w:val="16"/>
          <w:szCs w:val="16"/>
        </w:rPr>
      </w:pPr>
      <w:r w:rsidRPr="001A0BAA">
        <w:rPr>
          <w:color w:val="0070C0"/>
          <w:sz w:val="16"/>
          <w:szCs w:val="16"/>
        </w:rPr>
        <w:t>«Самолет Як-3 легко догоняет и атакует Ме 410 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w:t>
      </w:r>
    </w:p>
    <w:p w14:paraId="43A8CAB2" w14:textId="77777777" w:rsidR="00C43F02" w:rsidRPr="001A0BAA" w:rsidRDefault="00C43F02" w:rsidP="00C43F02">
      <w:pPr>
        <w:jc w:val="both"/>
        <w:rPr>
          <w:color w:val="0070C0"/>
          <w:sz w:val="16"/>
          <w:szCs w:val="16"/>
        </w:rPr>
      </w:pPr>
      <w:r w:rsidRPr="001A0BAA">
        <w:rPr>
          <w:color w:val="0070C0"/>
          <w:sz w:val="16"/>
          <w:szCs w:val="16"/>
        </w:rPr>
        <w:t>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w:t>
      </w:r>
      <w:r w:rsidRPr="001A0BAA">
        <w:rPr>
          <w:color w:val="0070C0"/>
          <w:sz w:val="16"/>
          <w:szCs w:val="16"/>
        </w:rPr>
        <w:softHyphen/>
        <w:t>меченным стрелком.</w:t>
      </w:r>
    </w:p>
    <w:p w14:paraId="3D74D745" w14:textId="77777777" w:rsidR="00C43F02" w:rsidRPr="001A0BAA" w:rsidRDefault="00C43F02" w:rsidP="00C43F02">
      <w:pPr>
        <w:jc w:val="both"/>
        <w:rPr>
          <w:color w:val="0070C0"/>
          <w:sz w:val="16"/>
          <w:szCs w:val="16"/>
        </w:rPr>
      </w:pPr>
      <w:r w:rsidRPr="001A0BAA">
        <w:rPr>
          <w:color w:val="0070C0"/>
          <w:sz w:val="16"/>
          <w:szCs w:val="16"/>
        </w:rPr>
        <w:t>Выход из атаки, как правило, я делал с резким набором высоты над самолетом Me 410 с таким расчетом, чтобы не дать стрелку и летчику вести огонь.</w:t>
      </w:r>
    </w:p>
    <w:p w14:paraId="46734C48" w14:textId="77777777" w:rsidR="00C43F02" w:rsidRPr="001A0BAA" w:rsidRDefault="00C43F02" w:rsidP="00C43F02">
      <w:pPr>
        <w:jc w:val="both"/>
        <w:rPr>
          <w:color w:val="0070C0"/>
          <w:sz w:val="16"/>
          <w:szCs w:val="16"/>
        </w:rPr>
      </w:pPr>
      <w:r w:rsidRPr="001A0BAA">
        <w:rPr>
          <w:color w:val="0070C0"/>
          <w:sz w:val="16"/>
          <w:szCs w:val="16"/>
        </w:rPr>
        <w:t>В процессе боя Як-3 сохранял преимущество в высоте и скорости.</w:t>
      </w:r>
    </w:p>
    <w:p w14:paraId="5042344E" w14:textId="77777777" w:rsidR="00C43F02" w:rsidRPr="001A0BAA" w:rsidRDefault="00C43F02" w:rsidP="00C43F02">
      <w:pPr>
        <w:jc w:val="both"/>
        <w:rPr>
          <w:color w:val="0070C0"/>
          <w:sz w:val="16"/>
          <w:szCs w:val="16"/>
        </w:rPr>
      </w:pPr>
      <w:r w:rsidRPr="001A0BAA">
        <w:rPr>
          <w:color w:val="0070C0"/>
          <w:sz w:val="16"/>
          <w:szCs w:val="16"/>
        </w:rPr>
        <w:t>При полете Me 410 с максимальной скоростью на высоте 200-300 м самолет Як-3, имея превышение в высоте, легко его догоняет. Но атаки в этом случае возможно провести только сзади сбоку под ракурсом не более 2/4, почти все время находясь в поле зрения стрелка. Атаковать сзади снизу трудно, можно врезаться в землю.</w:t>
      </w:r>
    </w:p>
    <w:p w14:paraId="16DD7F7C" w14:textId="77777777" w:rsidR="00C43F02" w:rsidRPr="001A0BAA" w:rsidRDefault="00C43F02" w:rsidP="00C43F02">
      <w:pPr>
        <w:jc w:val="both"/>
        <w:rPr>
          <w:color w:val="0070C0"/>
          <w:sz w:val="16"/>
          <w:szCs w:val="16"/>
        </w:rPr>
      </w:pPr>
      <w:r w:rsidRPr="001A0BAA">
        <w:rPr>
          <w:color w:val="0070C0"/>
          <w:sz w:val="16"/>
          <w:szCs w:val="16"/>
        </w:rPr>
        <w:t>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w:t>
      </w:r>
    </w:p>
    <w:p w14:paraId="4A708825" w14:textId="77777777" w:rsidR="00C43F02" w:rsidRPr="001A0BAA" w:rsidRDefault="00C43F02" w:rsidP="00C43F02">
      <w:pPr>
        <w:jc w:val="both"/>
        <w:rPr>
          <w:color w:val="0070C0"/>
          <w:sz w:val="16"/>
          <w:szCs w:val="16"/>
        </w:rPr>
      </w:pPr>
      <w:r w:rsidRPr="001A0BAA">
        <w:rPr>
          <w:color w:val="0070C0"/>
          <w:sz w:val="16"/>
          <w:szCs w:val="16"/>
        </w:rPr>
        <w:t>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w:t>
      </w:r>
    </w:p>
    <w:p w14:paraId="5A23D3F3" w14:textId="77777777" w:rsidR="00C43F02" w:rsidRPr="001A0BAA" w:rsidRDefault="00C43F02" w:rsidP="00C43F02">
      <w:pPr>
        <w:jc w:val="both"/>
        <w:rPr>
          <w:color w:val="0070C0"/>
          <w:sz w:val="16"/>
          <w:szCs w:val="16"/>
        </w:rPr>
      </w:pPr>
      <w:r w:rsidRPr="001A0BAA">
        <w:rPr>
          <w:color w:val="0070C0"/>
          <w:sz w:val="16"/>
          <w:szCs w:val="16"/>
        </w:rPr>
        <w:t>Летчику самолета Me 410 не удалось ни разу прицелиться по самолету Як-3.</w:t>
      </w:r>
    </w:p>
    <w:p w14:paraId="2B86E952" w14:textId="77777777" w:rsidR="00C43F02" w:rsidRPr="001A0BAA" w:rsidRDefault="00C43F02" w:rsidP="00C43F02">
      <w:pPr>
        <w:jc w:val="both"/>
        <w:rPr>
          <w:color w:val="0070C0"/>
          <w:sz w:val="16"/>
          <w:szCs w:val="16"/>
        </w:rPr>
      </w:pPr>
      <w:r w:rsidRPr="001A0BAA">
        <w:rPr>
          <w:color w:val="0070C0"/>
          <w:sz w:val="16"/>
          <w:szCs w:val="16"/>
        </w:rPr>
        <w:t>Выгоднее всего вести воздушный бой с Ме-410 на средних высотах 1000-1400 метров. Легче всего Me 410 уйти от атак истребителя на низкой высоте».</w:t>
      </w:r>
    </w:p>
    <w:p w14:paraId="71B1B2AC" w14:textId="77777777" w:rsidR="00C43F02" w:rsidRPr="001A0BAA" w:rsidRDefault="00C43F02" w:rsidP="00C43F02">
      <w:pPr>
        <w:jc w:val="both"/>
        <w:rPr>
          <w:color w:val="0070C0"/>
          <w:sz w:val="16"/>
          <w:szCs w:val="16"/>
        </w:rPr>
      </w:pPr>
      <w:r w:rsidRPr="001A0BAA">
        <w:rPr>
          <w:color w:val="0070C0"/>
          <w:sz w:val="16"/>
          <w:szCs w:val="16"/>
        </w:rPr>
        <w:t>Донесение летчика-испытателя капитана Пикуленко (15 мая 1945 г.):</w:t>
      </w:r>
    </w:p>
    <w:p w14:paraId="4920600D" w14:textId="77777777" w:rsidR="00C43F02" w:rsidRPr="001A0BAA" w:rsidRDefault="00C43F02" w:rsidP="00C43F02">
      <w:pPr>
        <w:jc w:val="both"/>
        <w:rPr>
          <w:color w:val="0070C0"/>
          <w:sz w:val="16"/>
          <w:szCs w:val="16"/>
        </w:rPr>
      </w:pPr>
      <w:r w:rsidRPr="001A0BAA">
        <w:rPr>
          <w:color w:val="0070C0"/>
          <w:sz w:val="16"/>
          <w:szCs w:val="16"/>
        </w:rPr>
        <w:t>«На всех режимах полета, то есть на наборе высоты, при полете по горизонту на максимальной скорости и на снижении самолет Ла-7 догоняет Me 410, свободно атакует его.</w:t>
      </w:r>
    </w:p>
    <w:p w14:paraId="7A11BE64" w14:textId="77777777" w:rsidR="00C43F02" w:rsidRPr="001A0BAA" w:rsidRDefault="00C43F02" w:rsidP="00C43F02">
      <w:pPr>
        <w:jc w:val="both"/>
        <w:rPr>
          <w:color w:val="0070C0"/>
          <w:sz w:val="16"/>
          <w:szCs w:val="16"/>
        </w:rPr>
      </w:pPr>
      <w:r w:rsidRPr="001A0BAA">
        <w:rPr>
          <w:color w:val="0070C0"/>
          <w:sz w:val="16"/>
          <w:szCs w:val="16"/>
        </w:rPr>
        <w:t>Безопасно атаковать Me 410 сзади снизу под углами 60-70 градусов и выходить из атак ранверсманом. В этом случае стрелок не видит самолет противника.</w:t>
      </w:r>
    </w:p>
    <w:p w14:paraId="15C20335" w14:textId="77777777" w:rsidR="00C43F02" w:rsidRPr="001A0BAA" w:rsidRDefault="00C43F02" w:rsidP="00C43F02">
      <w:pPr>
        <w:jc w:val="both"/>
        <w:rPr>
          <w:color w:val="0070C0"/>
          <w:sz w:val="16"/>
          <w:szCs w:val="16"/>
        </w:rPr>
      </w:pPr>
      <w:r w:rsidRPr="001A0BAA">
        <w:rPr>
          <w:color w:val="0070C0"/>
          <w:sz w:val="16"/>
          <w:szCs w:val="16"/>
        </w:rPr>
        <w:t>Атака сверху сзади под большими углами также безопасна.</w:t>
      </w:r>
    </w:p>
    <w:p w14:paraId="4F01CBEA" w14:textId="77777777" w:rsidR="00C43F02" w:rsidRPr="001A0BAA" w:rsidRDefault="00C43F02" w:rsidP="00C43F02">
      <w:pPr>
        <w:jc w:val="both"/>
        <w:rPr>
          <w:color w:val="0070C0"/>
          <w:sz w:val="16"/>
          <w:szCs w:val="16"/>
        </w:rPr>
      </w:pPr>
      <w:r w:rsidRPr="001A0BAA">
        <w:rPr>
          <w:color w:val="0070C0"/>
          <w:sz w:val="16"/>
          <w:szCs w:val="16"/>
        </w:rPr>
        <w:t>Удобно атаковать самолет Me 410 в том случае, если он делает разворот. Необходимо быть внутри разворота и атаку производить под ракурсом 4/4, с заходом из атаки вверх с разворотом в сторону Me 410. Это даст возможность занять исходное положение для новой атаки и не отстать от Me 410.</w:t>
      </w:r>
    </w:p>
    <w:p w14:paraId="12F8AAAD" w14:textId="77777777" w:rsidR="00C43F02" w:rsidRPr="001A0BAA" w:rsidRDefault="00C43F02" w:rsidP="00C43F02">
      <w:pPr>
        <w:jc w:val="both"/>
        <w:rPr>
          <w:color w:val="0070C0"/>
          <w:sz w:val="16"/>
          <w:szCs w:val="16"/>
        </w:rPr>
      </w:pPr>
      <w:r w:rsidRPr="001A0BAA">
        <w:rPr>
          <w:color w:val="0070C0"/>
          <w:sz w:val="16"/>
          <w:szCs w:val="16"/>
        </w:rPr>
        <w:lastRenderedPageBreak/>
        <w:t>В случае, если истребитель Ла-7 после атаки проскочил вперед самолета Me 410, необходимо резко набрать высоту с разворотом в сторону — чтобы не попасть под огонь передних точек Me 410. Самолет резкой «горки» сделать не может. Истребитель после разворота на 90 градусов имеет возможность встать на параллельный с Me 410 курс и атаковать его сверху под углом 60 градусов и сбоку — под углом более 45 градусов.</w:t>
      </w:r>
    </w:p>
    <w:p w14:paraId="68B85A14" w14:textId="77777777" w:rsidR="00C43F02" w:rsidRPr="001A0BAA" w:rsidRDefault="00C43F02" w:rsidP="00C43F02">
      <w:pPr>
        <w:jc w:val="both"/>
        <w:rPr>
          <w:color w:val="0070C0"/>
          <w:sz w:val="16"/>
          <w:szCs w:val="16"/>
        </w:rPr>
      </w:pPr>
      <w:r w:rsidRPr="001A0BAA">
        <w:rPr>
          <w:color w:val="0070C0"/>
          <w:sz w:val="16"/>
          <w:szCs w:val="16"/>
        </w:rPr>
        <w:t xml:space="preserve">Считаю, </w:t>
      </w:r>
      <w:proofErr w:type="gramStart"/>
      <w:r w:rsidRPr="001A0BAA">
        <w:rPr>
          <w:color w:val="0070C0"/>
          <w:sz w:val="16"/>
          <w:szCs w:val="16"/>
        </w:rPr>
        <w:t>что</w:t>
      </w:r>
      <w:proofErr w:type="gramEnd"/>
      <w:r w:rsidRPr="001A0BAA">
        <w:rPr>
          <w:color w:val="0070C0"/>
          <w:sz w:val="16"/>
          <w:szCs w:val="16"/>
        </w:rPr>
        <w:t xml:space="preserve"> если атака будет под углом менее 45 или даже 30 градусов, особенной опасности попасть под огонь стрелка нет, так как ему неудобно вести прицельный огонь под большими углами».</w:t>
      </w:r>
    </w:p>
    <w:p w14:paraId="0364AA0E" w14:textId="77777777" w:rsidR="00C43F02" w:rsidRPr="001A0BAA" w:rsidRDefault="00C43F02" w:rsidP="00C43F02">
      <w:pPr>
        <w:jc w:val="both"/>
        <w:rPr>
          <w:color w:val="0070C0"/>
          <w:sz w:val="16"/>
          <w:szCs w:val="16"/>
        </w:rPr>
      </w:pPr>
      <w:r w:rsidRPr="001A0BAA">
        <w:rPr>
          <w:color w:val="0070C0"/>
          <w:sz w:val="16"/>
          <w:szCs w:val="16"/>
        </w:rPr>
        <w:t>Будет правильным далее привести без всяких сокращений текст раздела «Тактическая оценка самолёта Me 410 Б-2» отчёта об испытаниях.</w:t>
      </w:r>
    </w:p>
    <w:p w14:paraId="47DC8712" w14:textId="77777777" w:rsidR="00C43F02" w:rsidRPr="001A0BAA" w:rsidRDefault="00C43F02" w:rsidP="00C43F02">
      <w:pPr>
        <w:jc w:val="both"/>
        <w:rPr>
          <w:color w:val="0070C0"/>
          <w:sz w:val="16"/>
          <w:szCs w:val="16"/>
        </w:rPr>
      </w:pPr>
      <w:r w:rsidRPr="001A0BAA">
        <w:rPr>
          <w:color w:val="0070C0"/>
          <w:sz w:val="16"/>
          <w:szCs w:val="16"/>
        </w:rPr>
        <w:t>«В результате анализа вооружения, лётных свойств самолёта Me 410 Б-2 и проведённых в процессе испытаний воздушных боёв с самолётами Ту-2, Як-3 и Ла-7 установлено следующее:</w:t>
      </w:r>
    </w:p>
    <w:p w14:paraId="723688EA" w14:textId="77777777" w:rsidR="00C43F02" w:rsidRPr="001A0BAA" w:rsidRDefault="00C43F02" w:rsidP="00C43F02">
      <w:pPr>
        <w:jc w:val="both"/>
        <w:rPr>
          <w:color w:val="0070C0"/>
          <w:sz w:val="16"/>
          <w:szCs w:val="16"/>
        </w:rPr>
      </w:pPr>
      <w:r w:rsidRPr="001A0BAA">
        <w:rPr>
          <w:color w:val="0070C0"/>
          <w:sz w:val="16"/>
          <w:szCs w:val="16"/>
        </w:rPr>
        <w:t>1. Самолёт Me 410 Б-2, имея преимущество в скорости над серийными бом</w:t>
      </w:r>
      <w:r w:rsidRPr="001A0BAA">
        <w:rPr>
          <w:color w:val="0070C0"/>
          <w:sz w:val="16"/>
          <w:szCs w:val="16"/>
        </w:rPr>
        <w:softHyphen/>
        <w:t>бар</w:t>
      </w:r>
      <w:r w:rsidRPr="001A0BAA">
        <w:rPr>
          <w:color w:val="0070C0"/>
          <w:sz w:val="16"/>
          <w:szCs w:val="16"/>
        </w:rPr>
        <w:softHyphen/>
        <w:t>дировщиками Пе-2 и Ту-2, может вести с ними активный воздушный бой.</w:t>
      </w:r>
    </w:p>
    <w:p w14:paraId="312F6EDF" w14:textId="77777777" w:rsidR="00C43F02" w:rsidRPr="001A0BAA" w:rsidRDefault="00C43F02" w:rsidP="00C43F02">
      <w:pPr>
        <w:jc w:val="both"/>
        <w:rPr>
          <w:color w:val="0070C0"/>
          <w:sz w:val="16"/>
          <w:szCs w:val="16"/>
        </w:rPr>
      </w:pPr>
      <w:r w:rsidRPr="001A0BAA">
        <w:rPr>
          <w:color w:val="0070C0"/>
          <w:sz w:val="16"/>
          <w:szCs w:val="16"/>
        </w:rPr>
        <w:t>На высоте 1500 метров в воздушном бою с Ту-2 самолёт Me 410 Б-2 успешно выполнял атаки с задней полусферы под ракурсами от 0/4 до 3/4. На высотах более 2500 м преимущество Me 410 Б-2 над самолётом Ту-2 возрастает в связи с увеличением превосходства в скорости полёта до 65 км/ч.</w:t>
      </w:r>
    </w:p>
    <w:p w14:paraId="03BD3037" w14:textId="77777777" w:rsidR="00C43F02" w:rsidRPr="001A0BAA" w:rsidRDefault="00C43F02" w:rsidP="00C43F02">
      <w:pPr>
        <w:jc w:val="both"/>
        <w:rPr>
          <w:color w:val="0070C0"/>
          <w:sz w:val="16"/>
          <w:szCs w:val="16"/>
        </w:rPr>
      </w:pPr>
      <w:r w:rsidRPr="001A0BAA">
        <w:rPr>
          <w:color w:val="0070C0"/>
          <w:sz w:val="16"/>
          <w:szCs w:val="16"/>
        </w:rPr>
        <w:t>2. С истребителями Як-3 и Ла-7 самолёт Me 410 может вести только оборо</w:t>
      </w:r>
      <w:r w:rsidRPr="001A0BAA">
        <w:rPr>
          <w:color w:val="0070C0"/>
          <w:sz w:val="16"/>
          <w:szCs w:val="16"/>
        </w:rPr>
        <w:softHyphen/>
        <w:t>ни</w:t>
      </w:r>
      <w:r w:rsidRPr="001A0BAA">
        <w:rPr>
          <w:color w:val="0070C0"/>
          <w:sz w:val="16"/>
          <w:szCs w:val="16"/>
        </w:rPr>
        <w:softHyphen/>
        <w:t>тельный воздушный бой с использованием манёвренных качеств огневых точек стрелка.</w:t>
      </w:r>
    </w:p>
    <w:p w14:paraId="0BEF613C" w14:textId="77777777" w:rsidR="00C43F02" w:rsidRPr="001A0BAA" w:rsidRDefault="00C43F02" w:rsidP="00C43F02">
      <w:pPr>
        <w:jc w:val="both"/>
        <w:rPr>
          <w:color w:val="0070C0"/>
          <w:sz w:val="16"/>
          <w:szCs w:val="16"/>
        </w:rPr>
      </w:pPr>
      <w:r w:rsidRPr="001A0BAA">
        <w:rPr>
          <w:color w:val="0070C0"/>
          <w:sz w:val="16"/>
          <w:szCs w:val="16"/>
        </w:rPr>
        <w:t>Уступая в скорости полёта и манёвренности истребителям Як-3 и Ла-7, самолёт Me 410 Б-2 не может использовать огонь переднего оружия, кроме случаев лобовой атаки, или когда атакующий истребитель порле атаки окажется впереди на одной высоте с Me 410 Б-2.</w:t>
      </w:r>
    </w:p>
    <w:p w14:paraId="7971F78F" w14:textId="77777777" w:rsidR="00C43F02" w:rsidRPr="001A0BAA" w:rsidRDefault="00C43F02" w:rsidP="00C43F02">
      <w:pPr>
        <w:jc w:val="both"/>
        <w:rPr>
          <w:color w:val="0070C0"/>
          <w:sz w:val="16"/>
          <w:szCs w:val="16"/>
        </w:rPr>
      </w:pPr>
      <w:r w:rsidRPr="001A0BAA">
        <w:rPr>
          <w:color w:val="0070C0"/>
          <w:sz w:val="16"/>
          <w:szCs w:val="16"/>
        </w:rPr>
        <w:t>3. На всех высотах до 5000 метров, при полёте Me 410 Б-2 на режиме макси</w:t>
      </w:r>
      <w:r w:rsidRPr="001A0BAA">
        <w:rPr>
          <w:color w:val="0070C0"/>
          <w:sz w:val="16"/>
          <w:szCs w:val="16"/>
        </w:rPr>
        <w:softHyphen/>
        <w:t>мальной скорости, на наборе высоты и при уходе со снижением самолёты Як-3 и Ла-7 догоняют Me 410 Б-2 и свободно атакуют его.</w:t>
      </w:r>
    </w:p>
    <w:p w14:paraId="24333511" w14:textId="77777777" w:rsidR="00C43F02" w:rsidRPr="001A0BAA" w:rsidRDefault="00C43F02" w:rsidP="00C43F02">
      <w:pPr>
        <w:jc w:val="both"/>
        <w:rPr>
          <w:color w:val="0070C0"/>
          <w:sz w:val="16"/>
          <w:szCs w:val="16"/>
        </w:rPr>
      </w:pPr>
      <w:r w:rsidRPr="001A0BAA">
        <w:rPr>
          <w:color w:val="0070C0"/>
          <w:sz w:val="16"/>
          <w:szCs w:val="16"/>
        </w:rPr>
        <w:t>На маршруте длиною 25 км на высоте 1000-1500 метров при полёте Me 410 Б-2 на максимальной скорости, Як-3 смог произвести семь атак, Ла-7 произвёл пять атак. Атаки были произведены из задней полусферы под ракурсами от 0/4 до 4/4.</w:t>
      </w:r>
    </w:p>
    <w:p w14:paraId="5B879A6D" w14:textId="77777777" w:rsidR="00C43F02" w:rsidRPr="001A0BAA" w:rsidRDefault="00C43F02" w:rsidP="00C43F02">
      <w:pPr>
        <w:jc w:val="both"/>
        <w:rPr>
          <w:color w:val="0070C0"/>
          <w:sz w:val="16"/>
          <w:szCs w:val="16"/>
        </w:rPr>
      </w:pPr>
      <w:r w:rsidRPr="001A0BAA">
        <w:rPr>
          <w:color w:val="0070C0"/>
          <w:sz w:val="16"/>
          <w:szCs w:val="16"/>
        </w:rPr>
        <w:t>4. Атаки самолёта Me 410 Б-2, выполняемые истребителями из задней полу</w:t>
      </w:r>
      <w:r w:rsidRPr="001A0BAA">
        <w:rPr>
          <w:color w:val="0070C0"/>
          <w:sz w:val="16"/>
          <w:szCs w:val="16"/>
        </w:rPr>
        <w:softHyphen/>
        <w:t>сферы — снизу и с боков под углами до 50 градусов и сверху до 60 градусов — отражаются стрелком Me 410 Б-2 из дистанционных бортовых пулемётов. При этом для отражения атак под углами в конусе более 40 градусов Me 410 Б-2 вынужден применять довороты самолётом по команде стрелка.</w:t>
      </w:r>
    </w:p>
    <w:p w14:paraId="7C3C2BD9" w14:textId="77777777" w:rsidR="00C43F02" w:rsidRPr="001A0BAA" w:rsidRDefault="00C43F02" w:rsidP="00C43F02">
      <w:pPr>
        <w:jc w:val="both"/>
        <w:rPr>
          <w:color w:val="0070C0"/>
          <w:sz w:val="16"/>
          <w:szCs w:val="16"/>
        </w:rPr>
      </w:pPr>
      <w:r w:rsidRPr="001A0BAA">
        <w:rPr>
          <w:color w:val="0070C0"/>
          <w:sz w:val="16"/>
          <w:szCs w:val="16"/>
        </w:rPr>
        <w:t>Отражение атак истребителей сзади под углами в конусе меньше 40 градусов обеспечивается углами обстрела задних бортовых пулемётов Me 410 Б-2 без его маневра по курсу.</w:t>
      </w:r>
    </w:p>
    <w:p w14:paraId="2B6B2562" w14:textId="77777777" w:rsidR="00C43F02" w:rsidRPr="001A0BAA" w:rsidRDefault="00C43F02" w:rsidP="00C43F02">
      <w:pPr>
        <w:jc w:val="both"/>
        <w:rPr>
          <w:color w:val="0070C0"/>
          <w:sz w:val="16"/>
          <w:szCs w:val="16"/>
        </w:rPr>
      </w:pPr>
      <w:r w:rsidRPr="001A0BAA">
        <w:rPr>
          <w:color w:val="0070C0"/>
          <w:sz w:val="16"/>
          <w:szCs w:val="16"/>
        </w:rPr>
        <w:t>В проведённых воздушных боях все атаки Як-3 и Ла-7, произведённые сзади под углами в конусе до 40 градусов к линии полёта, были зафиксированы кино</w:t>
      </w:r>
      <w:r w:rsidRPr="001A0BAA">
        <w:rPr>
          <w:color w:val="0070C0"/>
          <w:sz w:val="16"/>
          <w:szCs w:val="16"/>
        </w:rPr>
        <w:softHyphen/>
        <w:t>пуле</w:t>
      </w:r>
      <w:r w:rsidRPr="001A0BAA">
        <w:rPr>
          <w:color w:val="0070C0"/>
          <w:sz w:val="16"/>
          <w:szCs w:val="16"/>
        </w:rPr>
        <w:softHyphen/>
        <w:t>мётом, установленным на оружии стрелка Me 410 Б-2.</w:t>
      </w:r>
    </w:p>
    <w:p w14:paraId="4885FCB0" w14:textId="77777777" w:rsidR="00C43F02" w:rsidRPr="001A0BAA" w:rsidRDefault="00C43F02" w:rsidP="00C43F02">
      <w:pPr>
        <w:jc w:val="both"/>
        <w:rPr>
          <w:color w:val="0070C0"/>
          <w:sz w:val="16"/>
          <w:szCs w:val="16"/>
        </w:rPr>
      </w:pPr>
      <w:r w:rsidRPr="001A0BAA">
        <w:rPr>
          <w:color w:val="0070C0"/>
          <w:sz w:val="16"/>
          <w:szCs w:val="16"/>
        </w:rPr>
        <w:t>Атаки истребителей снизу сзади, особенно строго в хвост, стрелку самолёта Me 410 Б-2 отражать затруднительно, и огонь в этих случаях чаще всего ведётся не прицельный.</w:t>
      </w:r>
    </w:p>
    <w:p w14:paraId="573BCED7" w14:textId="77777777" w:rsidR="00C43F02" w:rsidRPr="001A0BAA" w:rsidRDefault="00C43F02" w:rsidP="00C43F02">
      <w:pPr>
        <w:jc w:val="both"/>
        <w:rPr>
          <w:color w:val="0070C0"/>
          <w:sz w:val="16"/>
          <w:szCs w:val="16"/>
        </w:rPr>
      </w:pPr>
      <w:r w:rsidRPr="001A0BAA">
        <w:rPr>
          <w:color w:val="0070C0"/>
          <w:sz w:val="16"/>
          <w:szCs w:val="16"/>
        </w:rPr>
        <w:t>Атаки истребителей под углами в конусе более 60 градусов самолёту Me 410 Б-2 практически невозможно отражать подвижным оружием — в силу недоста</w:t>
      </w:r>
      <w:r w:rsidRPr="001A0BAA">
        <w:rPr>
          <w:color w:val="0070C0"/>
          <w:sz w:val="16"/>
          <w:szCs w:val="16"/>
        </w:rPr>
        <w:softHyphen/>
        <w:t>точ</w:t>
      </w:r>
      <w:r w:rsidRPr="001A0BAA">
        <w:rPr>
          <w:color w:val="0070C0"/>
          <w:sz w:val="16"/>
          <w:szCs w:val="16"/>
        </w:rPr>
        <w:softHyphen/>
        <w:t>ности углов обстрела задних пулемётов и сравнительно недостаточной манёвренности самолёта Me 410 Б-2 по сравнению с истребителями Як-3 и Ла-7.</w:t>
      </w:r>
    </w:p>
    <w:p w14:paraId="2C7B0551" w14:textId="77777777" w:rsidR="00C43F02" w:rsidRPr="001A0BAA" w:rsidRDefault="00C43F02" w:rsidP="00C43F02">
      <w:pPr>
        <w:jc w:val="both"/>
        <w:rPr>
          <w:color w:val="0070C0"/>
          <w:sz w:val="16"/>
          <w:szCs w:val="16"/>
        </w:rPr>
      </w:pPr>
      <w:r w:rsidRPr="001A0BAA">
        <w:rPr>
          <w:color w:val="0070C0"/>
          <w:sz w:val="16"/>
          <w:szCs w:val="16"/>
        </w:rPr>
        <w:t>5. Наиболее безопасными и сравнительно несложными в выполнении являются атаки самолёта Me 410 Б- 2 под углами более 40 градусов снизу сзади. В этом случае стрелок Me 410 Б-2 чаще всего не замечает атакующего истребителя. При проскакивании атакующего истребителя после атаки Me 410 Б-2 вперёд выгоднее уходить с резким набором высоты и с разворотом в сторону, чтобы не попасть под огонь переднего оружия Me 410 Б-2.</w:t>
      </w:r>
    </w:p>
    <w:p w14:paraId="0687CDE5" w14:textId="77777777" w:rsidR="00C43F02" w:rsidRPr="001A0BAA" w:rsidRDefault="00C43F02" w:rsidP="00C43F02">
      <w:pPr>
        <w:jc w:val="both"/>
        <w:rPr>
          <w:color w:val="0070C0"/>
          <w:sz w:val="16"/>
          <w:szCs w:val="16"/>
        </w:rPr>
      </w:pPr>
      <w:r w:rsidRPr="001A0BAA">
        <w:rPr>
          <w:color w:val="0070C0"/>
          <w:sz w:val="16"/>
          <w:szCs w:val="16"/>
        </w:rPr>
        <w:t>После выхода из атаки целесообразно встать на параллельный курс и атаковать Me 410 вновь сверху сбоку, под углом 50-60 градусов.</w:t>
      </w:r>
    </w:p>
    <w:p w14:paraId="22F27906" w14:textId="77777777" w:rsidR="00C43F02" w:rsidRPr="001A0BAA" w:rsidRDefault="00C43F02" w:rsidP="00C43F02">
      <w:pPr>
        <w:jc w:val="both"/>
        <w:rPr>
          <w:color w:val="0070C0"/>
          <w:sz w:val="16"/>
          <w:szCs w:val="16"/>
        </w:rPr>
      </w:pPr>
      <w:r w:rsidRPr="001A0BAA">
        <w:rPr>
          <w:color w:val="0070C0"/>
          <w:sz w:val="16"/>
          <w:szCs w:val="16"/>
        </w:rPr>
        <w:t>6. Воздушный наступательный бой против истребителей Як-3 и Ла-7 самолёт Me 410 Б-2 практически вести не может. Горизонтальная и вертикальная манёв</w:t>
      </w:r>
      <w:r w:rsidRPr="001A0BAA">
        <w:rPr>
          <w:color w:val="0070C0"/>
          <w:sz w:val="16"/>
          <w:szCs w:val="16"/>
        </w:rPr>
        <w:softHyphen/>
        <w:t>рен</w:t>
      </w:r>
      <w:r w:rsidRPr="001A0BAA">
        <w:rPr>
          <w:color w:val="0070C0"/>
          <w:sz w:val="16"/>
          <w:szCs w:val="16"/>
        </w:rPr>
        <w:softHyphen/>
        <w:t>ность Як-3 и Ла-7 значительно лучше. Это обеспечивает возмож</w:t>
      </w:r>
      <w:r w:rsidRPr="001A0BAA">
        <w:rPr>
          <w:color w:val="0070C0"/>
          <w:sz w:val="16"/>
          <w:szCs w:val="16"/>
        </w:rPr>
        <w:softHyphen/>
        <w:t>ность всегда иметь необходимое превосходство в высоте, удерживать иници</w:t>
      </w:r>
      <w:r w:rsidRPr="001A0BAA">
        <w:rPr>
          <w:color w:val="0070C0"/>
          <w:sz w:val="16"/>
          <w:szCs w:val="16"/>
        </w:rPr>
        <w:softHyphen/>
        <w:t>ативу и производить атаки в мёртвых конусах оборонительного оружия Me 410 Б-2. Этот факт подтверждается проведёнными воздушными боями Як-3 и Ла-7 с Me 410, когда последний ни разу не смог осуществить атаку истре</w:t>
      </w:r>
      <w:r w:rsidRPr="001A0BAA">
        <w:rPr>
          <w:color w:val="0070C0"/>
          <w:sz w:val="16"/>
          <w:szCs w:val="16"/>
        </w:rPr>
        <w:softHyphen/>
        <w:t>би</w:t>
      </w:r>
      <w:r w:rsidRPr="001A0BAA">
        <w:rPr>
          <w:color w:val="0070C0"/>
          <w:sz w:val="16"/>
          <w:szCs w:val="16"/>
        </w:rPr>
        <w:softHyphen/>
        <w:t>телей.</w:t>
      </w:r>
    </w:p>
    <w:p w14:paraId="4B19A2D0" w14:textId="77777777" w:rsidR="00C43F02" w:rsidRPr="001A0BAA" w:rsidRDefault="00C43F02" w:rsidP="00C43F02">
      <w:pPr>
        <w:jc w:val="both"/>
        <w:rPr>
          <w:color w:val="0070C0"/>
          <w:sz w:val="16"/>
          <w:szCs w:val="16"/>
        </w:rPr>
      </w:pPr>
      <w:r w:rsidRPr="001A0BAA">
        <w:rPr>
          <w:color w:val="0070C0"/>
          <w:sz w:val="16"/>
          <w:szCs w:val="16"/>
        </w:rPr>
        <w:t>Выводы:</w:t>
      </w:r>
    </w:p>
    <w:p w14:paraId="3187D1EA" w14:textId="77777777" w:rsidR="00C43F02" w:rsidRPr="001A0BAA" w:rsidRDefault="00C43F02" w:rsidP="00C43F02">
      <w:pPr>
        <w:jc w:val="both"/>
        <w:rPr>
          <w:color w:val="0070C0"/>
          <w:sz w:val="16"/>
          <w:szCs w:val="16"/>
        </w:rPr>
      </w:pPr>
      <w:r w:rsidRPr="001A0BAA">
        <w:rPr>
          <w:color w:val="0070C0"/>
          <w:sz w:val="16"/>
          <w:szCs w:val="16"/>
        </w:rPr>
        <w:t>1. Самолёт Me 410 Б-2, имея мощное переднее вооружение, включающее 50-мм пушку с фугасно-осколочным снарядом, и превосходство над серийными бомбар</w:t>
      </w:r>
      <w:r w:rsidRPr="001A0BAA">
        <w:rPr>
          <w:color w:val="0070C0"/>
          <w:sz w:val="16"/>
          <w:szCs w:val="16"/>
        </w:rPr>
        <w:softHyphen/>
        <w:t>дировщиками типа Пе-2 и Ту-2 в лётно-тактических данных, может успешно вести с ними воздушный бой, а также осуществлять атаки наземных целей.</w:t>
      </w:r>
    </w:p>
    <w:p w14:paraId="428CDB5E" w14:textId="77777777" w:rsidR="00C43F02" w:rsidRPr="001A0BAA" w:rsidRDefault="00C43F02" w:rsidP="00C43F02">
      <w:pPr>
        <w:jc w:val="both"/>
        <w:rPr>
          <w:color w:val="0070C0"/>
          <w:sz w:val="16"/>
          <w:szCs w:val="16"/>
        </w:rPr>
      </w:pPr>
      <w:r w:rsidRPr="001A0BAA">
        <w:rPr>
          <w:color w:val="0070C0"/>
          <w:sz w:val="16"/>
          <w:szCs w:val="16"/>
        </w:rPr>
        <w:t>2. Самолёт Me 410 Б-2 против истребителей Як-3 и Ла-7 может вести только воздушный оборонительный бой. Вертикальная и горизонтальная манёв</w:t>
      </w:r>
      <w:r w:rsidRPr="001A0BAA">
        <w:rPr>
          <w:color w:val="0070C0"/>
          <w:sz w:val="16"/>
          <w:szCs w:val="16"/>
        </w:rPr>
        <w:softHyphen/>
        <w:t>рен</w:t>
      </w:r>
      <w:r w:rsidRPr="001A0BAA">
        <w:rPr>
          <w:color w:val="0070C0"/>
          <w:sz w:val="16"/>
          <w:szCs w:val="16"/>
        </w:rPr>
        <w:softHyphen/>
        <w:t>ность истребителей Як-3 и Ла-7 обеспечивают им возможность иметь необходимое преимущество в высоте, удерживать инициативу боя и догонять Me 410 Б-2 на всех режимах его полёта».</w:t>
      </w:r>
    </w:p>
    <w:p w14:paraId="30C88B6D" w14:textId="77777777" w:rsidR="00C43F02" w:rsidRPr="001A0BAA" w:rsidRDefault="00C43F02" w:rsidP="00C43F02">
      <w:pPr>
        <w:jc w:val="both"/>
        <w:rPr>
          <w:color w:val="0070C0"/>
          <w:sz w:val="16"/>
          <w:szCs w:val="16"/>
        </w:rPr>
      </w:pPr>
      <w:r w:rsidRPr="001A0BAA">
        <w:rPr>
          <w:color w:val="0070C0"/>
          <w:sz w:val="16"/>
          <w:szCs w:val="16"/>
        </w:rPr>
        <w:t>Под этими выводами в отчёте стоит дата — 15 мая 1945 г. (25359).</w:t>
      </w:r>
    </w:p>
    <w:p w14:paraId="1899AC1E" w14:textId="77777777" w:rsidR="00C43F02" w:rsidRPr="001A0BAA" w:rsidRDefault="00C43F02" w:rsidP="00C43F02">
      <w:pPr>
        <w:jc w:val="both"/>
        <w:rPr>
          <w:color w:val="0070C0"/>
          <w:sz w:val="16"/>
          <w:szCs w:val="16"/>
        </w:rPr>
      </w:pPr>
    </w:p>
    <w:p w14:paraId="3FFE40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были закончены работы по вывозу оборудования немецкого завода Фокке Вульф в Познани в СССР на завод 272 в Ленинград (1874,12).</w:t>
      </w:r>
    </w:p>
    <w:p w14:paraId="18019F27" w14:textId="77777777" w:rsidR="00665165" w:rsidRPr="00925F26" w:rsidRDefault="00665165" w:rsidP="00925F26">
      <w:pPr>
        <w:autoSpaceDE w:val="0"/>
        <w:autoSpaceDN w:val="0"/>
        <w:adjustRightInd w:val="0"/>
        <w:jc w:val="both"/>
        <w:rPr>
          <w:color w:val="000000" w:themeColor="text1"/>
          <w:sz w:val="16"/>
          <w:szCs w:val="16"/>
        </w:rPr>
      </w:pPr>
    </w:p>
    <w:p w14:paraId="1143660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1ADB943" w14:textId="77777777" w:rsidR="00665165" w:rsidRPr="00925F26" w:rsidRDefault="00665165" w:rsidP="00925F26">
      <w:pPr>
        <w:autoSpaceDE w:val="0"/>
        <w:autoSpaceDN w:val="0"/>
        <w:adjustRightInd w:val="0"/>
        <w:jc w:val="both"/>
        <w:rPr>
          <w:iCs/>
          <w:color w:val="000000" w:themeColor="text1"/>
          <w:sz w:val="16"/>
          <w:szCs w:val="16"/>
        </w:rPr>
      </w:pPr>
    </w:p>
    <w:p w14:paraId="60A92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закончились испытания Т-54 на Кубинке под председательством Кульчицкого Е. А С., которые проходили с 11 марта 1945 (приказ № 092/021 от 28.02.45) (11075).</w:t>
      </w:r>
    </w:p>
    <w:p w14:paraId="54EF6C16" w14:textId="77777777" w:rsidR="00665165" w:rsidRPr="00925F26" w:rsidRDefault="00665165" w:rsidP="00925F26">
      <w:pPr>
        <w:autoSpaceDE w:val="0"/>
        <w:autoSpaceDN w:val="0"/>
        <w:adjustRightInd w:val="0"/>
        <w:jc w:val="both"/>
        <w:rPr>
          <w:color w:val="000000" w:themeColor="text1"/>
          <w:sz w:val="16"/>
          <w:szCs w:val="16"/>
        </w:rPr>
      </w:pPr>
    </w:p>
    <w:p w14:paraId="001261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апреля 1945 г. в Кубинке были проведены испытания макетного образца Т-54 (бывш. Т-44В), которые шли с 11 мартао. Вот краткое описание танка:</w:t>
      </w:r>
    </w:p>
    <w:p w14:paraId="5C347A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«Корпус танка Т-54 сохранен от проекта Т-44-В, но тол</w:t>
      </w:r>
      <w:r w:rsidRPr="00925F26">
        <w:rPr>
          <w:color w:val="000000" w:themeColor="text1"/>
          <w:sz w:val="16"/>
          <w:szCs w:val="16"/>
        </w:rPr>
        <w:softHyphen/>
        <w:t>щина лоб брони увеличена со 110-мм до 120-мм... Лобовая, бортовая и днищевая броня корпуса применена средней твер</w:t>
      </w:r>
      <w:r w:rsidRPr="00925F26">
        <w:rPr>
          <w:color w:val="000000" w:themeColor="text1"/>
          <w:sz w:val="16"/>
          <w:szCs w:val="16"/>
        </w:rPr>
        <w:softHyphen/>
        <w:t>дости, остальная - высокой. Общая длина корпуса танка от</w:t>
      </w:r>
      <w:r w:rsidRPr="00925F26">
        <w:rPr>
          <w:color w:val="000000" w:themeColor="text1"/>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925F26">
        <w:rPr>
          <w:color w:val="000000" w:themeColor="text1"/>
          <w:sz w:val="16"/>
          <w:szCs w:val="16"/>
        </w:rPr>
        <w:softHyphen/>
        <w:t>ной на 12-30 мм толщиной брони, но с погоном диаметром 1800мм и более эффективной системой вентиляции...</w:t>
      </w:r>
    </w:p>
    <w:p w14:paraId="644EF6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танк установлена 100-мм пушка Д-10ТК обр. 1944 г. изготовления завода № 8, которая в отличие от 100-мм пуш</w:t>
      </w:r>
      <w:r w:rsidRPr="00925F26">
        <w:rPr>
          <w:color w:val="000000" w:themeColor="text1"/>
          <w:sz w:val="16"/>
          <w:szCs w:val="16"/>
        </w:rPr>
        <w:softHyphen/>
        <w:t>ки Д-10Т не имеет пружинн</w:t>
      </w:r>
      <w:proofErr w:type="gramStart"/>
      <w:r w:rsidRPr="00925F26">
        <w:rPr>
          <w:color w:val="000000" w:themeColor="text1"/>
          <w:sz w:val="16"/>
          <w:szCs w:val="16"/>
        </w:rPr>
        <w:t>.</w:t>
      </w:r>
      <w:proofErr w:type="gramEnd"/>
      <w:r w:rsidRPr="00925F26">
        <w:rPr>
          <w:color w:val="000000" w:themeColor="text1"/>
          <w:sz w:val="16"/>
          <w:szCs w:val="16"/>
        </w:rPr>
        <w:t xml:space="preserve"> уравновешивающий механизм. Труба ствола имеет более тонкие стенки, ствол уравновешен дополнительными грузами...»</w:t>
      </w:r>
    </w:p>
    <w:p w14:paraId="445559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ходе испытаний танк показал неплохую подвижность, но его максимальная скорость составила 43,5-44 км/ч про</w:t>
      </w:r>
      <w:r w:rsidRPr="00925F26">
        <w:rPr>
          <w:color w:val="000000" w:themeColor="text1"/>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195AAB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925F26">
        <w:rPr>
          <w:color w:val="000000" w:themeColor="text1"/>
          <w:sz w:val="16"/>
          <w:szCs w:val="16"/>
        </w:rPr>
        <w:softHyphen/>
        <w:t>тование танковых и механизированных соединений...»</w:t>
      </w:r>
    </w:p>
    <w:p w14:paraId="46752F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18B2AA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3D58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апреля 1945 г. Т-54, изготовленный 30 января 1945, г. прошел испы</w:t>
      </w:r>
      <w:r w:rsidRPr="00925F26">
        <w:rPr>
          <w:color w:val="000000" w:themeColor="text1"/>
          <w:sz w:val="16"/>
          <w:szCs w:val="16"/>
        </w:rPr>
        <w:softHyphen/>
        <w:t>тания на НИБТ полигоне в Кубинке под руководством комиссии, воз</w:t>
      </w:r>
      <w:r w:rsidRPr="00925F26">
        <w:rPr>
          <w:color w:val="000000" w:themeColor="text1"/>
          <w:sz w:val="16"/>
          <w:szCs w:val="16"/>
        </w:rPr>
        <w:softHyphen/>
        <w:t>главляемой заместителем начальника Технического управления ГЕГГУ КАгв. полковником Е.А. Кульчицким, которые шли с 11 марта 1945.</w:t>
      </w:r>
    </w:p>
    <w:p w14:paraId="6172FD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испытаний нарком танковой промыш</w:t>
      </w:r>
      <w:r w:rsidRPr="00925F26">
        <w:rPr>
          <w:color w:val="000000" w:themeColor="text1"/>
          <w:sz w:val="16"/>
          <w:szCs w:val="16"/>
        </w:rPr>
        <w:softHyphen/>
        <w:t>ленности В.А. Малышев дал указания директору завода №183 гене</w:t>
      </w:r>
      <w:r w:rsidRPr="00925F26">
        <w:rPr>
          <w:color w:val="000000" w:themeColor="text1"/>
          <w:sz w:val="16"/>
          <w:szCs w:val="16"/>
        </w:rPr>
        <w:softHyphen/>
        <w:t>рал-майору ИТС Ю.Е. Максареву об изготовлении двух опытных об</w:t>
      </w:r>
      <w:r w:rsidRPr="00925F26">
        <w:rPr>
          <w:color w:val="000000" w:themeColor="text1"/>
          <w:sz w:val="16"/>
          <w:szCs w:val="16"/>
        </w:rPr>
        <w:softHyphen/>
        <w:t>разцов танка Т-54 к июню 1945 г. На одном из них должна была быть установлена планетарная трансмиссия, на другом - ПМП.</w:t>
      </w:r>
    </w:p>
    <w:p w14:paraId="1366FB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требовалось внести 68 изме</w:t>
      </w:r>
      <w:r w:rsidRPr="00925F26">
        <w:rPr>
          <w:color w:val="000000" w:themeColor="text1"/>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925F26">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925F26">
        <w:rPr>
          <w:color w:val="000000" w:themeColor="text1"/>
          <w:sz w:val="16"/>
          <w:szCs w:val="16"/>
        </w:rPr>
        <w:softHyphen/>
        <w:t>чием стальных бортовых экранов, а на одном из них на крыше баш</w:t>
      </w:r>
      <w:r w:rsidRPr="00925F26">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925F26">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70DA26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925F26">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7BF790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время испытаний выявилось большое количество дефек</w:t>
      </w:r>
      <w:r w:rsidRPr="00925F26">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925F26">
        <w:rPr>
          <w:color w:val="000000" w:themeColor="text1"/>
          <w:sz w:val="16"/>
          <w:szCs w:val="16"/>
        </w:rPr>
        <w:softHyphen/>
        <w:t>ботали без дефектов. Синхронизаторы коробки передач ожидае</w:t>
      </w:r>
      <w:r w:rsidRPr="00925F26">
        <w:rPr>
          <w:color w:val="000000" w:themeColor="text1"/>
          <w:sz w:val="16"/>
          <w:szCs w:val="16"/>
        </w:rPr>
        <w:softHyphen/>
        <w:t>мого эффекта не дали, так как время переключения передач со</w:t>
      </w:r>
      <w:r w:rsidRPr="00925F26">
        <w:rPr>
          <w:color w:val="000000" w:themeColor="text1"/>
          <w:sz w:val="16"/>
          <w:szCs w:val="16"/>
        </w:rPr>
        <w:softHyphen/>
        <w:t>ставляло 5 с. По результатам ходовых испытаний в конструкцию танка внесли еще 98 изменений (11770).</w:t>
      </w:r>
    </w:p>
    <w:p w14:paraId="635EE8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1C31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14 апреля 1945 г. по результатам полигонных испытаний, прошедших в период с 11 марта по 14апре</w:t>
      </w:r>
      <w:r w:rsidRPr="00925F26">
        <w:rPr>
          <w:color w:val="000000" w:themeColor="text1"/>
          <w:sz w:val="16"/>
          <w:szCs w:val="16"/>
        </w:rPr>
        <w:softHyphen/>
        <w:t>ля 1945 г., комиссией был представлен отчет, в выводах которого го</w:t>
      </w:r>
      <w:r w:rsidRPr="00925F26">
        <w:rPr>
          <w:color w:val="000000" w:themeColor="text1"/>
          <w:sz w:val="16"/>
          <w:szCs w:val="16"/>
        </w:rPr>
        <w:softHyphen/>
        <w:t>ворилось:</w:t>
      </w:r>
    </w:p>
    <w:p w14:paraId="139A8F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r w:rsidRPr="00925F26">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925F26">
        <w:rPr>
          <w:iCs/>
          <w:color w:val="000000" w:themeColor="text1"/>
          <w:sz w:val="16"/>
          <w:szCs w:val="16"/>
        </w:rPr>
        <w:softHyphen/>
        <w:t>ходит по боевым качествам все современ</w:t>
      </w:r>
      <w:r w:rsidRPr="00925F26">
        <w:rPr>
          <w:iCs/>
          <w:color w:val="000000" w:themeColor="text1"/>
          <w:sz w:val="16"/>
          <w:szCs w:val="16"/>
        </w:rPr>
        <w:softHyphen/>
        <w:t>ные средние танки.</w:t>
      </w:r>
    </w:p>
    <w:p w14:paraId="2B815D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2. Опытный образец танка Т-54 испыта</w:t>
      </w:r>
      <w:r w:rsidRPr="00925F26">
        <w:rPr>
          <w:iCs/>
          <w:color w:val="000000" w:themeColor="text1"/>
          <w:sz w:val="16"/>
          <w:szCs w:val="16"/>
        </w:rPr>
        <w:softHyphen/>
        <w:t>ния по прочности основных агрегатов в объе</w:t>
      </w:r>
      <w:r w:rsidRPr="00925F26">
        <w:rPr>
          <w:iCs/>
          <w:color w:val="000000" w:themeColor="text1"/>
          <w:sz w:val="16"/>
          <w:szCs w:val="16"/>
        </w:rPr>
        <w:softHyphen/>
        <w:t>ме 1553 км пробега в зимних и весенних ус</w:t>
      </w:r>
      <w:r w:rsidRPr="00925F26">
        <w:rPr>
          <w:iCs/>
          <w:color w:val="000000" w:themeColor="text1"/>
          <w:sz w:val="16"/>
          <w:szCs w:val="16"/>
        </w:rPr>
        <w:softHyphen/>
        <w:t>ловиях выдержал.</w:t>
      </w:r>
    </w:p>
    <w:p w14:paraId="1CEAE7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3. Танк имеет дефекты, обусловленные конструктивной недоработкой отдельных уз</w:t>
      </w:r>
      <w:r w:rsidRPr="00925F26">
        <w:rPr>
          <w:iCs/>
          <w:color w:val="000000" w:themeColor="text1"/>
          <w:sz w:val="16"/>
          <w:szCs w:val="16"/>
        </w:rPr>
        <w:softHyphen/>
        <w:t>лов, устранение которых значительно повы</w:t>
      </w:r>
      <w:r w:rsidRPr="00925F26">
        <w:rPr>
          <w:iCs/>
          <w:color w:val="000000" w:themeColor="text1"/>
          <w:sz w:val="16"/>
          <w:szCs w:val="16"/>
        </w:rPr>
        <w:softHyphen/>
        <w:t xml:space="preserve">сит тактико-технические качества танка». </w:t>
      </w:r>
      <w:r w:rsidRPr="00925F26">
        <w:rPr>
          <w:color w:val="000000" w:themeColor="text1"/>
          <w:sz w:val="16"/>
          <w:szCs w:val="16"/>
        </w:rPr>
        <w:t xml:space="preserve">В заключении комиссия отметила: «...3. </w:t>
      </w:r>
      <w:r w:rsidRPr="00925F26">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925F26">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925F26">
        <w:rPr>
          <w:iCs/>
          <w:color w:val="000000" w:themeColor="text1"/>
          <w:sz w:val="16"/>
          <w:szCs w:val="16"/>
        </w:rPr>
        <w:softHyphen/>
        <w:t>танциях, а трансмиссия и ходовая часть сни</w:t>
      </w:r>
      <w:r w:rsidRPr="00925F26">
        <w:rPr>
          <w:iCs/>
          <w:color w:val="000000" w:themeColor="text1"/>
          <w:sz w:val="16"/>
          <w:szCs w:val="16"/>
        </w:rPr>
        <w:softHyphen/>
        <w:t>жают динамические качества танка.</w:t>
      </w:r>
    </w:p>
    <w:p w14:paraId="7AAFF6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925F26">
        <w:rPr>
          <w:iCs/>
          <w:color w:val="000000" w:themeColor="text1"/>
          <w:sz w:val="16"/>
          <w:szCs w:val="16"/>
        </w:rPr>
        <w:softHyphen/>
        <w:t>довать танк Т-54 на вооружение Красной Ар</w:t>
      </w:r>
      <w:r w:rsidRPr="00925F26">
        <w:rPr>
          <w:iCs/>
          <w:color w:val="000000" w:themeColor="text1"/>
          <w:sz w:val="16"/>
          <w:szCs w:val="16"/>
        </w:rPr>
        <w:softHyphen/>
        <w:t>мии с обязательным устранением отмечен</w:t>
      </w:r>
      <w:r w:rsidRPr="00925F26">
        <w:rPr>
          <w:iCs/>
          <w:color w:val="000000" w:themeColor="text1"/>
          <w:sz w:val="16"/>
          <w:szCs w:val="16"/>
        </w:rPr>
        <w:softHyphen/>
        <w:t>ных в отчете недостатков.</w:t>
      </w:r>
    </w:p>
    <w:p w14:paraId="4B8EBA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5. В связи с тем, что отработка ряда новых узлов может задержать ввод в се</w:t>
      </w:r>
      <w:r w:rsidRPr="00925F26">
        <w:rPr>
          <w:iCs/>
          <w:color w:val="000000" w:themeColor="text1"/>
          <w:sz w:val="16"/>
          <w:szCs w:val="16"/>
        </w:rPr>
        <w:softHyphen/>
        <w:t>рийное производство танка Т-54, необхо</w:t>
      </w:r>
      <w:r w:rsidRPr="00925F26">
        <w:rPr>
          <w:iCs/>
          <w:color w:val="000000" w:themeColor="text1"/>
          <w:sz w:val="16"/>
          <w:szCs w:val="16"/>
        </w:rPr>
        <w:softHyphen/>
        <w:t>димость в котором в армии весьма вели</w:t>
      </w:r>
      <w:r w:rsidRPr="00925F26">
        <w:rPr>
          <w:iCs/>
          <w:color w:val="000000" w:themeColor="text1"/>
          <w:sz w:val="16"/>
          <w:szCs w:val="16"/>
        </w:rPr>
        <w:softHyphen/>
        <w:t>ка, комиссия считает возможным начать производство танков Т-54, не ожидая вве</w:t>
      </w:r>
      <w:r w:rsidRPr="00925F26">
        <w:rPr>
          <w:iCs/>
          <w:color w:val="000000" w:themeColor="text1"/>
          <w:sz w:val="16"/>
          <w:szCs w:val="16"/>
        </w:rPr>
        <w:softHyphen/>
        <w:t>дения следующих узлов и механизмов, срочную отработку которых поручить заво</w:t>
      </w:r>
      <w:r w:rsidRPr="00925F26">
        <w:rPr>
          <w:iCs/>
          <w:color w:val="000000" w:themeColor="text1"/>
          <w:sz w:val="16"/>
          <w:szCs w:val="16"/>
        </w:rPr>
        <w:softHyphen/>
        <w:t>ду №183 в очередности, устанавливаемой НКГПиГБТУКА:</w:t>
      </w:r>
    </w:p>
    <w:p w14:paraId="3D986B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а) башни по типу танка ИС-3;</w:t>
      </w:r>
    </w:p>
    <w:p w14:paraId="1B6A70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б) КПП с синхронизаторами и 2-х ступен</w:t>
      </w:r>
      <w:r w:rsidRPr="00925F26">
        <w:rPr>
          <w:iCs/>
          <w:color w:val="000000" w:themeColor="text1"/>
          <w:sz w:val="16"/>
          <w:szCs w:val="16"/>
        </w:rPr>
        <w:softHyphen/>
        <w:t>чатого планетарного механизма поворота танка;</w:t>
      </w:r>
    </w:p>
    <w:p w14:paraId="5D5C71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экрана от гранат типа «Фауст»;</w:t>
      </w:r>
    </w:p>
    <w:p w14:paraId="3E7A97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г) изменение углов наклона кормовых листов корпуса;</w:t>
      </w:r>
    </w:p>
    <w:p w14:paraId="0014356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iCs/>
          <w:color w:val="000000" w:themeColor="text1"/>
          <w:sz w:val="16"/>
          <w:szCs w:val="16"/>
        </w:rPr>
        <w:t>д) вращающегося пола боевого отделе</w:t>
      </w:r>
      <w:r w:rsidRPr="00925F26">
        <w:rPr>
          <w:iCs/>
          <w:color w:val="000000" w:themeColor="text1"/>
          <w:sz w:val="16"/>
          <w:szCs w:val="16"/>
        </w:rPr>
        <w:softHyphen/>
        <w:t>ния;</w:t>
      </w:r>
    </w:p>
    <w:p w14:paraId="22520A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е) смотровых приборов по типу М4А2 в командирской башенке;</w:t>
      </w:r>
    </w:p>
    <w:p w14:paraId="407399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ж) гусениц с цевочным зацеплением;</w:t>
      </w:r>
    </w:p>
    <w:p w14:paraId="2DE244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з) амортизаторов ходовой части (на всех катках).</w:t>
      </w:r>
    </w:p>
    <w:p w14:paraId="5C76F3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По мере отработки, эти механизмы вво</w:t>
      </w:r>
      <w:r w:rsidRPr="00925F26">
        <w:rPr>
          <w:iCs/>
          <w:color w:val="000000" w:themeColor="text1"/>
          <w:sz w:val="16"/>
          <w:szCs w:val="16"/>
        </w:rPr>
        <w:softHyphen/>
        <w:t>дить в серийное производство».</w:t>
      </w:r>
    </w:p>
    <w:p w14:paraId="5A58D2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1945 г. начальник ТУ ГЕТУ КА инженер-полковникА.И. Благонравов подпи</w:t>
      </w:r>
      <w:r w:rsidRPr="00925F26">
        <w:rPr>
          <w:color w:val="000000" w:themeColor="text1"/>
          <w:sz w:val="16"/>
          <w:szCs w:val="16"/>
        </w:rPr>
        <w:softHyphen/>
        <w:t>сал заключение по отчету об испытаниях опытного образца модернизированного тан</w:t>
      </w:r>
      <w:r w:rsidRPr="00925F26">
        <w:rPr>
          <w:color w:val="000000" w:themeColor="text1"/>
          <w:sz w:val="16"/>
          <w:szCs w:val="16"/>
        </w:rPr>
        <w:softHyphen/>
        <w:t>ка Т-44(Т-54).</w:t>
      </w:r>
    </w:p>
    <w:p w14:paraId="1C90A9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925F26">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925F26">
        <w:rPr>
          <w:iCs/>
          <w:color w:val="000000" w:themeColor="text1"/>
          <w:sz w:val="16"/>
          <w:szCs w:val="16"/>
        </w:rPr>
        <w:softHyphen/>
        <w:t>ный образец, наиболее полно отвечающий упомянутым требованиям.</w:t>
      </w:r>
    </w:p>
    <w:p w14:paraId="74C58E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Отчет комиссии по испытаниям опытно</w:t>
      </w:r>
      <w:r w:rsidRPr="00925F26">
        <w:rPr>
          <w:iCs/>
          <w:color w:val="000000" w:themeColor="text1"/>
          <w:sz w:val="16"/>
          <w:szCs w:val="16"/>
        </w:rPr>
        <w:softHyphen/>
        <w:t>го образца модернизированного танка Т-44-100 с замечаниями и предложениями, изло</w:t>
      </w:r>
      <w:r w:rsidRPr="00925F26">
        <w:rPr>
          <w:iCs/>
          <w:color w:val="000000" w:themeColor="text1"/>
          <w:sz w:val="16"/>
          <w:szCs w:val="16"/>
        </w:rPr>
        <w:softHyphen/>
        <w:t>женными выше, считаю возможным доло</w:t>
      </w:r>
      <w:r w:rsidRPr="00925F26">
        <w:rPr>
          <w:iCs/>
          <w:color w:val="000000" w:themeColor="text1"/>
          <w:sz w:val="16"/>
          <w:szCs w:val="16"/>
        </w:rPr>
        <w:softHyphen/>
        <w:t>жить для утверждения. Благонравов».</w:t>
      </w:r>
    </w:p>
    <w:p w14:paraId="5A01E6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проведенных испытаний нарком танковой промышленно</w:t>
      </w:r>
      <w:r w:rsidRPr="00925F26">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925F26">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925F26">
        <w:rPr>
          <w:color w:val="000000" w:themeColor="text1"/>
          <w:sz w:val="16"/>
          <w:szCs w:val="16"/>
        </w:rPr>
        <w:softHyphen/>
        <w:t>миссией, на другом — планетарные механиз</w:t>
      </w:r>
      <w:r w:rsidRPr="00925F26">
        <w:rPr>
          <w:color w:val="000000" w:themeColor="text1"/>
          <w:sz w:val="16"/>
          <w:szCs w:val="16"/>
        </w:rPr>
        <w:softHyphen/>
        <w:t>мы поворота (ПМП).</w:t>
      </w:r>
    </w:p>
    <w:p w14:paraId="16047B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w:t>
      </w:r>
      <w:r w:rsidRPr="00925F26">
        <w:rPr>
          <w:color w:val="000000" w:themeColor="text1"/>
          <w:sz w:val="16"/>
          <w:szCs w:val="16"/>
        </w:rPr>
        <w:softHyphen/>
        <w:t>бовалось внести 68 изменений. Однако от</w:t>
      </w:r>
      <w:r w:rsidRPr="00925F26">
        <w:rPr>
          <w:color w:val="000000" w:themeColor="text1"/>
          <w:sz w:val="16"/>
          <w:szCs w:val="16"/>
        </w:rPr>
        <w:softHyphen/>
        <w:t>работка чертежей и опытного образца по данным предложениям на заводе № 183 дли</w:t>
      </w:r>
      <w:r w:rsidRPr="00925F26">
        <w:rPr>
          <w:color w:val="000000" w:themeColor="text1"/>
          <w:sz w:val="16"/>
          <w:szCs w:val="16"/>
        </w:rPr>
        <w:softHyphen/>
        <w:t>тельное время не производилась (11468).</w:t>
      </w:r>
    </w:p>
    <w:p w14:paraId="44FEAA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CC0690F" w14:textId="77777777" w:rsidR="007D191E" w:rsidRPr="00925F26" w:rsidRDefault="007D191E" w:rsidP="00925F26">
      <w:pPr>
        <w:jc w:val="both"/>
        <w:rPr>
          <w:color w:val="000000" w:themeColor="text1"/>
          <w:sz w:val="16"/>
          <w:szCs w:val="16"/>
        </w:rPr>
      </w:pPr>
      <w:r w:rsidRPr="00925F26">
        <w:rPr>
          <w:color w:val="000000" w:themeColor="text1"/>
          <w:sz w:val="16"/>
          <w:szCs w:val="16"/>
        </w:rPr>
        <w:t>14 апреля 1945 г. был готов отчет по полигонным испытаниям первого опытного образца танка Т-54, подписанны председателем комиссии Е.А. Кульчицким, в котором было отмечено:</w:t>
      </w:r>
    </w:p>
    <w:p w14:paraId="2C8B440F" w14:textId="77777777" w:rsidR="007D191E" w:rsidRPr="00925F26" w:rsidRDefault="007D191E" w:rsidP="00925F26">
      <w:pPr>
        <w:jc w:val="both"/>
        <w:rPr>
          <w:color w:val="000000" w:themeColor="text1"/>
          <w:sz w:val="16"/>
          <w:szCs w:val="16"/>
        </w:rPr>
      </w:pPr>
      <w:r w:rsidRPr="00925F26">
        <w:rPr>
          <w:color w:val="000000" w:themeColor="text1"/>
          <w:sz w:val="16"/>
          <w:szCs w:val="16"/>
        </w:rPr>
        <w:t>«Учитывая резкое повышение боевых качеств среднего танка, достигнутое в танке Т-54, комиссия считает целесообразным рекомендовать танк Т-54 на вооружение Красной Армии с обязательным устранением отмеченных в отчете недостатков».</w:t>
      </w:r>
    </w:p>
    <w:p w14:paraId="75BEC498" w14:textId="77777777" w:rsidR="007D191E" w:rsidRPr="00925F26" w:rsidRDefault="007D191E" w:rsidP="00925F26">
      <w:pPr>
        <w:jc w:val="both"/>
        <w:rPr>
          <w:color w:val="000000" w:themeColor="text1"/>
          <w:sz w:val="16"/>
          <w:szCs w:val="16"/>
        </w:rPr>
      </w:pPr>
      <w:r w:rsidRPr="00925F26">
        <w:rPr>
          <w:color w:val="000000" w:themeColor="text1"/>
          <w:sz w:val="16"/>
          <w:szCs w:val="16"/>
        </w:rPr>
        <w:t>[РГАЭ. Ф. 8752. Оп. 4. д. 736. л. 193] (21209).</w:t>
      </w:r>
    </w:p>
    <w:p w14:paraId="3288F08F" w14:textId="77777777" w:rsidR="007D191E" w:rsidRPr="00925F26" w:rsidRDefault="007D191E" w:rsidP="00925F26">
      <w:pPr>
        <w:jc w:val="both"/>
        <w:rPr>
          <w:color w:val="000000" w:themeColor="text1"/>
          <w:sz w:val="16"/>
          <w:szCs w:val="16"/>
        </w:rPr>
      </w:pPr>
    </w:p>
    <w:p w14:paraId="78D0B4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апреля 1945 г. комиссия представила отчет по испытаниям танка, в котором рекомендовала танк ИС-3 ("Объект 703") для приня</w:t>
      </w:r>
      <w:r w:rsidRPr="00925F26">
        <w:rPr>
          <w:color w:val="000000" w:themeColor="text1"/>
          <w:sz w:val="16"/>
          <w:szCs w:val="16"/>
        </w:rPr>
        <w:softHyphen/>
        <w:t>тия в серийное производство, с устранением недостатков, отмеченных в отчете (10703).</w:t>
      </w:r>
    </w:p>
    <w:p w14:paraId="79AAC6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90F85AE" w14:textId="77777777" w:rsidR="00C43F02" w:rsidRPr="001A0BAA" w:rsidRDefault="00C43F02" w:rsidP="00C43F02">
      <w:pPr>
        <w:jc w:val="both"/>
        <w:rPr>
          <w:color w:val="0070C0"/>
          <w:sz w:val="16"/>
          <w:szCs w:val="16"/>
        </w:rPr>
      </w:pPr>
      <w:r w:rsidRPr="001A0BAA">
        <w:rPr>
          <w:color w:val="0070C0"/>
          <w:sz w:val="16"/>
          <w:szCs w:val="16"/>
        </w:rPr>
        <w:t>14 апреля 1945 года, после завершения испытаний ИС-3, комиссия представила отчет, в заключении которого отметила:</w:t>
      </w:r>
    </w:p>
    <w:p w14:paraId="33882639" w14:textId="77777777" w:rsidR="00C43F02" w:rsidRPr="001A0BAA" w:rsidRDefault="00C43F02" w:rsidP="00C43F02">
      <w:pPr>
        <w:jc w:val="both"/>
        <w:rPr>
          <w:color w:val="0070C0"/>
          <w:sz w:val="16"/>
          <w:szCs w:val="16"/>
        </w:rPr>
      </w:pPr>
      <w:r w:rsidRPr="001A0BAA">
        <w:rPr>
          <w:color w:val="0070C0"/>
          <w:sz w:val="16"/>
          <w:szCs w:val="16"/>
        </w:rPr>
        <w:t>«1. Предъявленный Кировским заводом на полигонные испытания танк ИС-3, по эксплуа</w:t>
      </w:r>
      <w:r w:rsidRPr="001A0BAA">
        <w:rPr>
          <w:color w:val="0070C0"/>
          <w:sz w:val="16"/>
          <w:szCs w:val="16"/>
        </w:rPr>
        <w:softHyphen/>
        <w:t>тационным показателям и надежности работы механизмов и агрегатов, равноценен серийному танку ИС-2.</w:t>
      </w:r>
    </w:p>
    <w:p w14:paraId="092F3386" w14:textId="77777777" w:rsidR="00C43F02" w:rsidRPr="001A0BAA" w:rsidRDefault="00C43F02" w:rsidP="00C43F02">
      <w:pPr>
        <w:jc w:val="both"/>
        <w:rPr>
          <w:color w:val="0070C0"/>
          <w:sz w:val="16"/>
          <w:szCs w:val="16"/>
        </w:rPr>
      </w:pPr>
      <w:r w:rsidRPr="001A0BAA">
        <w:rPr>
          <w:color w:val="0070C0"/>
          <w:sz w:val="16"/>
          <w:szCs w:val="16"/>
        </w:rPr>
        <w:t>Произведенный обстрел корпуса танка ИС-3 показал явные преимущества его по бронестой- кости в сравнении с корпусом танка ИС-2.</w:t>
      </w:r>
    </w:p>
    <w:p w14:paraId="72D854D9" w14:textId="77777777" w:rsidR="00C43F02" w:rsidRPr="001A0BAA" w:rsidRDefault="00C43F02" w:rsidP="00C43F02">
      <w:pPr>
        <w:jc w:val="both"/>
        <w:rPr>
          <w:color w:val="0070C0"/>
          <w:sz w:val="16"/>
          <w:szCs w:val="16"/>
        </w:rPr>
      </w:pPr>
      <w:r w:rsidRPr="001A0BAA">
        <w:rPr>
          <w:color w:val="0070C0"/>
          <w:sz w:val="16"/>
          <w:szCs w:val="16"/>
        </w:rPr>
        <w:t>Танк ИС-3 рекомендовать на серийное произ</w:t>
      </w:r>
      <w:r w:rsidRPr="001A0BAA">
        <w:rPr>
          <w:color w:val="0070C0"/>
          <w:sz w:val="16"/>
          <w:szCs w:val="16"/>
        </w:rPr>
        <w:softHyphen/>
        <w:t>водство с устранением недостатков, отмеченных в настоящем отчете».</w:t>
      </w:r>
    </w:p>
    <w:p w14:paraId="703BF95F" w14:textId="77777777" w:rsidR="00C43F02" w:rsidRPr="001A0BAA" w:rsidRDefault="00C43F02" w:rsidP="00C43F02">
      <w:pPr>
        <w:jc w:val="both"/>
        <w:rPr>
          <w:color w:val="0070C0"/>
          <w:sz w:val="16"/>
          <w:szCs w:val="16"/>
        </w:rPr>
      </w:pPr>
      <w:r w:rsidRPr="001A0BAA">
        <w:rPr>
          <w:color w:val="0070C0"/>
          <w:sz w:val="16"/>
          <w:szCs w:val="16"/>
        </w:rPr>
        <w:t>Что касается недостатков, то их было немало, причем некоторые из них при всем желании труд</w:t>
      </w:r>
      <w:r w:rsidRPr="001A0BAA">
        <w:rPr>
          <w:color w:val="0070C0"/>
          <w:sz w:val="16"/>
          <w:szCs w:val="16"/>
        </w:rPr>
        <w:softHyphen/>
        <w:t>но объяснить спешкой. Вот, например, замечания комиссии касательно удобства использования вооружения танка.</w:t>
      </w:r>
    </w:p>
    <w:p w14:paraId="47DAAB1F" w14:textId="77777777" w:rsidR="00C43F02" w:rsidRPr="001A0BAA" w:rsidRDefault="00C43F02" w:rsidP="00C43F02">
      <w:pPr>
        <w:jc w:val="both"/>
        <w:rPr>
          <w:color w:val="0070C0"/>
          <w:sz w:val="16"/>
          <w:szCs w:val="16"/>
        </w:rPr>
      </w:pPr>
      <w:r w:rsidRPr="001A0BAA">
        <w:rPr>
          <w:color w:val="0070C0"/>
          <w:sz w:val="16"/>
          <w:szCs w:val="16"/>
        </w:rPr>
        <w:t>«1. Сиденье командира танка, выполненное съемным, требует много времени на его сня</w:t>
      </w:r>
      <w:r w:rsidRPr="001A0BAA">
        <w:rPr>
          <w:color w:val="0070C0"/>
          <w:sz w:val="16"/>
          <w:szCs w:val="16"/>
        </w:rPr>
        <w:softHyphen/>
        <w:t>тие и установку и затрудняет посадку и выход экипажа.</w:t>
      </w:r>
    </w:p>
    <w:p w14:paraId="2AE3969C" w14:textId="77777777" w:rsidR="00C43F02" w:rsidRPr="001A0BAA" w:rsidRDefault="00C43F02" w:rsidP="00C43F02">
      <w:pPr>
        <w:jc w:val="both"/>
        <w:rPr>
          <w:color w:val="0070C0"/>
          <w:sz w:val="16"/>
          <w:szCs w:val="16"/>
        </w:rPr>
      </w:pPr>
      <w:r w:rsidRPr="001A0BAA">
        <w:rPr>
          <w:color w:val="0070C0"/>
          <w:sz w:val="16"/>
          <w:szCs w:val="16"/>
        </w:rPr>
        <w:t>2. Сидение командира орудия (наводчика) установлено недостаточно удобно</w:t>
      </w:r>
    </w:p>
    <w:p w14:paraId="7815AA0C" w14:textId="77777777" w:rsidR="00C43F02" w:rsidRPr="001A0BAA" w:rsidRDefault="00C43F02" w:rsidP="00C43F02">
      <w:pPr>
        <w:widowControl w:val="0"/>
        <w:tabs>
          <w:tab w:val="left" w:pos="544"/>
        </w:tabs>
        <w:jc w:val="both"/>
        <w:rPr>
          <w:color w:val="0070C0"/>
          <w:sz w:val="16"/>
          <w:szCs w:val="16"/>
        </w:rPr>
      </w:pPr>
      <w:r w:rsidRPr="001A0BAA">
        <w:rPr>
          <w:color w:val="0070C0"/>
          <w:sz w:val="16"/>
          <w:szCs w:val="16"/>
        </w:rPr>
        <w:t>3. Сидение заряжающего, выполненное съемным — неудобно, требует много времени на снятие и установку его.</w:t>
      </w:r>
    </w:p>
    <w:p w14:paraId="72298438" w14:textId="77777777" w:rsidR="00C43F02" w:rsidRPr="001A0BAA" w:rsidRDefault="00C43F02" w:rsidP="00C43F02">
      <w:pPr>
        <w:widowControl w:val="0"/>
        <w:tabs>
          <w:tab w:val="left" w:pos="546"/>
        </w:tabs>
        <w:jc w:val="both"/>
        <w:rPr>
          <w:color w:val="0070C0"/>
          <w:sz w:val="16"/>
          <w:szCs w:val="16"/>
        </w:rPr>
      </w:pPr>
      <w:r w:rsidRPr="001A0BAA">
        <w:rPr>
          <w:color w:val="0070C0"/>
          <w:sz w:val="16"/>
          <w:szCs w:val="16"/>
        </w:rPr>
        <w:t>4. Смотровые приборы командира танка — два перископа МК-4 на крышке</w:t>
      </w:r>
    </w:p>
    <w:p w14:paraId="3DC24DE8" w14:textId="77777777" w:rsidR="00C43F02" w:rsidRPr="001A0BAA" w:rsidRDefault="00C43F02" w:rsidP="00C43F02">
      <w:pPr>
        <w:jc w:val="both"/>
        <w:rPr>
          <w:color w:val="0070C0"/>
          <w:sz w:val="16"/>
          <w:szCs w:val="16"/>
        </w:rPr>
      </w:pPr>
      <w:r w:rsidRPr="001A0BAA">
        <w:rPr>
          <w:color w:val="0070C0"/>
          <w:sz w:val="16"/>
          <w:szCs w:val="16"/>
        </w:rPr>
        <w:t>люка не обеспечивают обзорности на дис</w:t>
      </w:r>
      <w:r w:rsidRPr="001A0BAA">
        <w:rPr>
          <w:color w:val="0070C0"/>
          <w:sz w:val="16"/>
          <w:szCs w:val="16"/>
        </w:rPr>
        <w:softHyphen/>
        <w:t>танции более 1000 м и исключают возможность корректировании артогня.</w:t>
      </w:r>
    </w:p>
    <w:p w14:paraId="623396F8" w14:textId="77777777" w:rsidR="00C43F02" w:rsidRPr="001A0BAA" w:rsidRDefault="00C43F02" w:rsidP="00C43F02">
      <w:pPr>
        <w:widowControl w:val="0"/>
        <w:tabs>
          <w:tab w:val="left" w:pos="554"/>
        </w:tabs>
        <w:jc w:val="both"/>
        <w:rPr>
          <w:color w:val="0070C0"/>
          <w:sz w:val="16"/>
          <w:szCs w:val="16"/>
        </w:rPr>
      </w:pPr>
      <w:r w:rsidRPr="001A0BAA">
        <w:rPr>
          <w:color w:val="0070C0"/>
          <w:sz w:val="16"/>
          <w:szCs w:val="16"/>
        </w:rPr>
        <w:t>5. Смотровой прибор командира орудия (на</w:t>
      </w:r>
      <w:r w:rsidRPr="001A0BAA">
        <w:rPr>
          <w:color w:val="0070C0"/>
          <w:sz w:val="16"/>
          <w:szCs w:val="16"/>
        </w:rPr>
        <w:softHyphen/>
        <w:t>водчика) перископ МК-4 не имеет вращения по горизонту и поэтому обзорность командира ору</w:t>
      </w:r>
      <w:r w:rsidRPr="001A0BAA">
        <w:rPr>
          <w:color w:val="0070C0"/>
          <w:sz w:val="16"/>
          <w:szCs w:val="16"/>
        </w:rPr>
        <w:softHyphen/>
        <w:t>дия ограничена. Расположение его в башне танка недостаточно удобно для пользования.</w:t>
      </w:r>
    </w:p>
    <w:p w14:paraId="70339231" w14:textId="77777777" w:rsidR="00C43F02" w:rsidRPr="001A0BAA" w:rsidRDefault="00C43F02" w:rsidP="00C43F02">
      <w:pPr>
        <w:widowControl w:val="0"/>
        <w:tabs>
          <w:tab w:val="left" w:pos="536"/>
        </w:tabs>
        <w:jc w:val="both"/>
        <w:rPr>
          <w:color w:val="0070C0"/>
          <w:sz w:val="16"/>
          <w:szCs w:val="16"/>
        </w:rPr>
      </w:pPr>
      <w:r w:rsidRPr="001A0BAA">
        <w:rPr>
          <w:color w:val="0070C0"/>
          <w:sz w:val="16"/>
          <w:szCs w:val="16"/>
        </w:rPr>
        <w:t>6. Смотровой прибор заряжающего — пери</w:t>
      </w:r>
      <w:r w:rsidRPr="001A0BAA">
        <w:rPr>
          <w:color w:val="0070C0"/>
          <w:sz w:val="16"/>
          <w:szCs w:val="16"/>
        </w:rPr>
        <w:softHyphen/>
        <w:t>скоп МК-4 расположен неудобно и не обеспечивает наблюдение вперед, в на</w:t>
      </w:r>
      <w:r w:rsidRPr="001A0BAA">
        <w:rPr>
          <w:color w:val="0070C0"/>
          <w:sz w:val="16"/>
          <w:szCs w:val="16"/>
        </w:rPr>
        <w:softHyphen/>
        <w:t>правлении ствола пушки, и подвержен повреждению при открывании крышки люка,</w:t>
      </w:r>
    </w:p>
    <w:p w14:paraId="057C4370" w14:textId="77777777" w:rsidR="00C43F02" w:rsidRPr="001A0BAA" w:rsidRDefault="00C43F02" w:rsidP="00C43F02">
      <w:pPr>
        <w:widowControl w:val="0"/>
        <w:tabs>
          <w:tab w:val="left" w:pos="551"/>
        </w:tabs>
        <w:jc w:val="both"/>
        <w:rPr>
          <w:color w:val="0070C0"/>
          <w:sz w:val="16"/>
          <w:szCs w:val="16"/>
        </w:rPr>
      </w:pPr>
      <w:r w:rsidRPr="001A0BAA">
        <w:rPr>
          <w:color w:val="0070C0"/>
          <w:sz w:val="16"/>
          <w:szCs w:val="16"/>
        </w:rPr>
        <w:t>7. Укладки снарядов расположены удобно для заряжания пушки.</w:t>
      </w:r>
    </w:p>
    <w:p w14:paraId="0B33C6E1" w14:textId="77777777" w:rsidR="00C43F02" w:rsidRPr="001A0BAA" w:rsidRDefault="00C43F02" w:rsidP="00C43F02">
      <w:pPr>
        <w:widowControl w:val="0"/>
        <w:tabs>
          <w:tab w:val="left" w:pos="536"/>
        </w:tabs>
        <w:jc w:val="both"/>
        <w:rPr>
          <w:color w:val="0070C0"/>
          <w:sz w:val="16"/>
          <w:szCs w:val="16"/>
        </w:rPr>
      </w:pPr>
      <w:r w:rsidRPr="001A0BAA">
        <w:rPr>
          <w:color w:val="0070C0"/>
          <w:sz w:val="16"/>
          <w:szCs w:val="16"/>
        </w:rPr>
        <w:t>8. Укладки гильз выстрелов пушки выполнены со следующими недостатками:</w:t>
      </w:r>
    </w:p>
    <w:p w14:paraId="5C615923" w14:textId="77777777" w:rsidR="00C43F02" w:rsidRPr="001A0BAA" w:rsidRDefault="00C43F02" w:rsidP="00C43F02">
      <w:pPr>
        <w:tabs>
          <w:tab w:val="left" w:pos="556"/>
        </w:tabs>
        <w:jc w:val="both"/>
        <w:rPr>
          <w:color w:val="0070C0"/>
          <w:sz w:val="16"/>
          <w:szCs w:val="16"/>
        </w:rPr>
      </w:pPr>
      <w:r w:rsidRPr="001A0BAA">
        <w:rPr>
          <w:color w:val="0070C0"/>
          <w:sz w:val="16"/>
          <w:szCs w:val="16"/>
        </w:rPr>
        <w:t>а) укладка пяти гильз (кассета) справа от пушки выполнена непрочно (изогнулась под пушку при пробеге танка), при вращении башни задевает за коробки с патронами пулемета ДШК и затрудняет механику- водителю доступ и выход с рабочего места;</w:t>
      </w:r>
    </w:p>
    <w:p w14:paraId="1DA584C9" w14:textId="77777777" w:rsidR="00C43F02" w:rsidRPr="001A0BAA" w:rsidRDefault="00C43F02" w:rsidP="00C43F02">
      <w:pPr>
        <w:tabs>
          <w:tab w:val="left" w:pos="563"/>
        </w:tabs>
        <w:jc w:val="both"/>
        <w:rPr>
          <w:color w:val="0070C0"/>
          <w:sz w:val="16"/>
          <w:szCs w:val="16"/>
        </w:rPr>
      </w:pPr>
      <w:r w:rsidRPr="001A0BAA">
        <w:rPr>
          <w:color w:val="0070C0"/>
          <w:sz w:val="16"/>
          <w:szCs w:val="16"/>
        </w:rPr>
        <w:t>б) открывать замки крепления гильз в нише подбашенной коробки неудобно;</w:t>
      </w:r>
    </w:p>
    <w:p w14:paraId="71E3CA2A" w14:textId="77777777" w:rsidR="00C43F02" w:rsidRPr="001A0BAA" w:rsidRDefault="00C43F02" w:rsidP="00C43F02">
      <w:pPr>
        <w:jc w:val="both"/>
        <w:rPr>
          <w:color w:val="0070C0"/>
          <w:sz w:val="16"/>
          <w:szCs w:val="16"/>
        </w:rPr>
      </w:pPr>
      <w:r w:rsidRPr="001A0BAA">
        <w:rPr>
          <w:color w:val="0070C0"/>
          <w:sz w:val="16"/>
          <w:szCs w:val="16"/>
        </w:rPr>
        <w:t>в) две гильзы на моторной перегородке боевого отделения расположены неудачно, т. к. деформируются механизмом поворота башни при ее вращении.</w:t>
      </w:r>
    </w:p>
    <w:p w14:paraId="4ACFA179" w14:textId="77777777" w:rsidR="00C43F02" w:rsidRPr="001A0BAA" w:rsidRDefault="00C43F02" w:rsidP="00C43F02">
      <w:pPr>
        <w:widowControl w:val="0"/>
        <w:tabs>
          <w:tab w:val="left" w:pos="546"/>
        </w:tabs>
        <w:jc w:val="both"/>
        <w:rPr>
          <w:color w:val="0070C0"/>
          <w:sz w:val="16"/>
          <w:szCs w:val="16"/>
        </w:rPr>
      </w:pPr>
      <w:r w:rsidRPr="001A0BAA">
        <w:rPr>
          <w:color w:val="0070C0"/>
          <w:sz w:val="16"/>
          <w:szCs w:val="16"/>
        </w:rPr>
        <w:t>9 Вентилятор боевого отделения, установ</w:t>
      </w:r>
      <w:r w:rsidRPr="001A0BAA">
        <w:rPr>
          <w:color w:val="0070C0"/>
          <w:sz w:val="16"/>
          <w:szCs w:val="16"/>
        </w:rPr>
        <w:softHyphen/>
        <w:t>ленный в нише башни против казенной части пушки, подвергается разрушению экстрактирую- щимися гильзами. Предохранительная решетка не защищает вентилятор от порчи.</w:t>
      </w:r>
    </w:p>
    <w:p w14:paraId="1A726E4F" w14:textId="77777777" w:rsidR="00C43F02" w:rsidRPr="001A0BAA" w:rsidRDefault="00C43F02" w:rsidP="00C43F02">
      <w:pPr>
        <w:jc w:val="both"/>
        <w:rPr>
          <w:color w:val="0070C0"/>
          <w:sz w:val="16"/>
          <w:szCs w:val="16"/>
        </w:rPr>
      </w:pPr>
      <w:bookmarkStart w:id="14" w:name="bookmark39"/>
      <w:bookmarkEnd w:id="14"/>
      <w:r w:rsidRPr="001A0BAA">
        <w:rPr>
          <w:color w:val="0070C0"/>
          <w:sz w:val="16"/>
          <w:szCs w:val="16"/>
        </w:rPr>
        <w:t>10. Стрельба из пушки при закрытом люке башни и работающем вентиляторе затруднена вследствие большой концентрации пороховых газов» (25001).</w:t>
      </w:r>
    </w:p>
    <w:p w14:paraId="32FE8DE3" w14:textId="77777777" w:rsidR="00C43F02" w:rsidRPr="001A0BAA" w:rsidRDefault="00C43F02" w:rsidP="00C43F02">
      <w:pPr>
        <w:jc w:val="both"/>
        <w:rPr>
          <w:color w:val="0070C0"/>
          <w:sz w:val="16"/>
          <w:szCs w:val="16"/>
        </w:rPr>
      </w:pPr>
    </w:p>
    <w:p w14:paraId="2796E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вышло Распоряжение ГКО № 8143. Об увеличении плана погрузки угля в Донбассе. РГАНИР, Фонд ГКО, д. 400, лл. 88 (11012).</w:t>
      </w:r>
    </w:p>
    <w:p w14:paraId="6257D488" w14:textId="77777777" w:rsidR="00665165" w:rsidRPr="00925F26" w:rsidRDefault="00665165" w:rsidP="00925F26">
      <w:pPr>
        <w:autoSpaceDE w:val="0"/>
        <w:autoSpaceDN w:val="0"/>
        <w:adjustRightInd w:val="0"/>
        <w:jc w:val="both"/>
        <w:rPr>
          <w:color w:val="000000" w:themeColor="text1"/>
          <w:sz w:val="16"/>
          <w:szCs w:val="16"/>
        </w:rPr>
      </w:pPr>
    </w:p>
    <w:p w14:paraId="5E815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Ждановцы спустили на воду 13-й ТЩ (10671).</w:t>
      </w:r>
    </w:p>
    <w:p w14:paraId="240D0FE4" w14:textId="77777777" w:rsidR="00665165" w:rsidRPr="00925F26" w:rsidRDefault="00665165" w:rsidP="00925F26">
      <w:pPr>
        <w:autoSpaceDE w:val="0"/>
        <w:autoSpaceDN w:val="0"/>
        <w:adjustRightInd w:val="0"/>
        <w:jc w:val="both"/>
        <w:rPr>
          <w:color w:val="000000" w:themeColor="text1"/>
          <w:sz w:val="16"/>
          <w:szCs w:val="16"/>
        </w:rPr>
      </w:pPr>
    </w:p>
    <w:p w14:paraId="242760F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5BFB3FB" w14:textId="77777777" w:rsidR="00665165" w:rsidRPr="00925F26" w:rsidRDefault="00665165" w:rsidP="00925F26">
      <w:pPr>
        <w:autoSpaceDE w:val="0"/>
        <w:autoSpaceDN w:val="0"/>
        <w:adjustRightInd w:val="0"/>
        <w:jc w:val="both"/>
        <w:rPr>
          <w:iCs/>
          <w:color w:val="000000" w:themeColor="text1"/>
          <w:sz w:val="16"/>
          <w:szCs w:val="16"/>
        </w:rPr>
      </w:pPr>
    </w:p>
    <w:p w14:paraId="76686C43"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апреля в 1945 году оперативная сводка Совинформбюро:</w:t>
      </w:r>
    </w:p>
    <w:p w14:paraId="1F0E3C81" w14:textId="77777777" w:rsidR="003D47C5" w:rsidRPr="00925F26" w:rsidRDefault="003D47C5" w:rsidP="00925F26">
      <w:pPr>
        <w:jc w:val="both"/>
        <w:rPr>
          <w:color w:val="000000" w:themeColor="text1"/>
          <w:sz w:val="16"/>
          <w:szCs w:val="16"/>
        </w:rPr>
      </w:pPr>
      <w:r w:rsidRPr="00925F26">
        <w:rPr>
          <w:color w:val="000000" w:themeColor="text1"/>
          <w:sz w:val="16"/>
          <w:szCs w:val="16"/>
        </w:rPr>
        <w:t>«В течение 14 апреля на Земландском полуострове северо-западнее и западнее Кенигсберга войска 3-го Белорусского фронта с боями заняли более 60 населённых пунктов и среди них Алькникен, Рантау, Нойкурен, Лоппенен, Зассау, Баттау, Тикренен, Санкт Лоренц, Моссикен, Котцляукен, Ауерхоф, Койенен, Поерштитен, Косненен, Зеераппен, Шоршенен, Бэрвальде, До-Ротенхоф, Гросс Хайдекруг и железнодорожные станции Нойкурен, Зеераппен. В боях за 14 апреля в этом районе войска фронта взяли в плен более 7.000 немецких солдат и офицеров.</w:t>
      </w:r>
    </w:p>
    <w:p w14:paraId="0033E594" w14:textId="77777777" w:rsidR="003D47C5" w:rsidRPr="00925F26" w:rsidRDefault="003D47C5" w:rsidP="00925F26">
      <w:pPr>
        <w:jc w:val="both"/>
        <w:rPr>
          <w:color w:val="000000" w:themeColor="text1"/>
          <w:sz w:val="16"/>
          <w:szCs w:val="16"/>
        </w:rPr>
      </w:pPr>
      <w:r w:rsidRPr="00925F26">
        <w:rPr>
          <w:color w:val="000000" w:themeColor="text1"/>
          <w:sz w:val="16"/>
          <w:szCs w:val="16"/>
        </w:rPr>
        <w:t xml:space="preserve">На территории Чехословакии восточнее и юго-западнее города Годонин войска 2-го Украинского фронта, продолжая наступление, заняли населённые пункты Мазур, Кужелов, Малая Врбка, Кнеждуб, Стражнице, Лужице, Микульчице, Моравска Новая Весь, Грушки, Новый Жижков, Старый Бржеслав. Севернее и северо-восточнее </w:t>
      </w:r>
      <w:r w:rsidRPr="00925F26">
        <w:rPr>
          <w:color w:val="000000" w:themeColor="text1"/>
          <w:sz w:val="16"/>
          <w:szCs w:val="16"/>
        </w:rPr>
        <w:lastRenderedPageBreak/>
        <w:t>Вены войска фронта с боями заняли на территории Австрии населённые пункты Хохенау, Гросс Инцерсдорф, Обер Зульц, Нексинг, Бад-Пираварт, Кронберг, Риденталь, Ульрихскирхен, Презинг, Путцинг, Энцеральд.</w:t>
      </w:r>
    </w:p>
    <w:p w14:paraId="61FB0188" w14:textId="77777777" w:rsidR="003D47C5" w:rsidRPr="00925F26" w:rsidRDefault="003D47C5" w:rsidP="00925F26">
      <w:pPr>
        <w:jc w:val="both"/>
        <w:rPr>
          <w:color w:val="000000" w:themeColor="text1"/>
          <w:sz w:val="16"/>
          <w:szCs w:val="16"/>
        </w:rPr>
      </w:pPr>
      <w:r w:rsidRPr="00925F26">
        <w:rPr>
          <w:color w:val="000000" w:themeColor="text1"/>
          <w:sz w:val="16"/>
          <w:szCs w:val="16"/>
        </w:rPr>
        <w:t>Западнее Вены войска 3-го Украинского фронта, продолжая наступление, форсировали реку Трайзен и заняли город Герцогенбург, а также более 60 других населённых пунктов, в том числе крупные населённые пункты Михельхаузен, Пишельсдорф, Цвентендорф, Понзее, Трасдорф, Зитценберг, Гетцерсдорф, Инцердорф, Крейц, Оссарн, Капелльн, Ейтендорф, Мурштетен, Бохайм-Кирхен, Христофен и железнодорожные станции Михельхаузен, Трасдорф, Гемейнлебарн. В боях за 13 апреля войска фронта взяли в плен более 2.200 солдат и офицеров противника и захватили следующие трофеи: танков и самоходных орудий — 107, бронетранспортёров — 19, полевых орудий — 135, миномётов — 44, пулемётов — 294, автомашин — 615, паровозов — 69, железнодорожных вагонов — 2.367, складов с военным имуществом — 37.</w:t>
      </w:r>
    </w:p>
    <w:p w14:paraId="7576A309" w14:textId="77777777" w:rsidR="003D47C5" w:rsidRPr="00925F26" w:rsidRDefault="003D47C5" w:rsidP="00925F26">
      <w:pPr>
        <w:jc w:val="both"/>
        <w:rPr>
          <w:color w:val="000000" w:themeColor="text1"/>
          <w:sz w:val="16"/>
          <w:szCs w:val="16"/>
        </w:rPr>
      </w:pPr>
      <w:r w:rsidRPr="00925F26">
        <w:rPr>
          <w:color w:val="000000" w:themeColor="text1"/>
          <w:sz w:val="16"/>
          <w:szCs w:val="16"/>
        </w:rPr>
        <w:t>На остальных участках фронта — существенных изменений не было.</w:t>
      </w:r>
    </w:p>
    <w:p w14:paraId="63597652" w14:textId="77777777" w:rsidR="003D47C5" w:rsidRPr="00925F26" w:rsidRDefault="003D47C5" w:rsidP="00925F26">
      <w:pPr>
        <w:jc w:val="both"/>
        <w:rPr>
          <w:color w:val="000000" w:themeColor="text1"/>
          <w:sz w:val="16"/>
          <w:szCs w:val="16"/>
        </w:rPr>
      </w:pPr>
      <w:r w:rsidRPr="00925F26">
        <w:rPr>
          <w:color w:val="000000" w:themeColor="text1"/>
          <w:sz w:val="16"/>
          <w:szCs w:val="16"/>
        </w:rPr>
        <w:t>За 13 апреля на всех фронтах подбито и уничтожено 70 немецких танков и самоходных орудий. В воздушных боях и огнём зенитной артиллерии сбито 40 самолётов противника.</w:t>
      </w:r>
    </w:p>
    <w:p w14:paraId="7A1D10E9" w14:textId="77777777" w:rsidR="003D47C5" w:rsidRPr="00925F26" w:rsidRDefault="003D47C5" w:rsidP="00925F26">
      <w:pPr>
        <w:jc w:val="both"/>
        <w:rPr>
          <w:color w:val="000000" w:themeColor="text1"/>
          <w:sz w:val="16"/>
          <w:szCs w:val="16"/>
        </w:rPr>
      </w:pPr>
      <w:r w:rsidRPr="00925F26">
        <w:rPr>
          <w:color w:val="000000" w:themeColor="text1"/>
          <w:sz w:val="16"/>
          <w:szCs w:val="16"/>
        </w:rPr>
        <w:t>Удары авиации Краснознамённого Балтийского флота по кораблям и транспортам противника</w:t>
      </w:r>
    </w:p>
    <w:p w14:paraId="481EB4C7" w14:textId="77777777" w:rsidR="003D47C5" w:rsidRPr="00925F26" w:rsidRDefault="003D47C5" w:rsidP="00925F26">
      <w:pPr>
        <w:jc w:val="both"/>
        <w:rPr>
          <w:color w:val="000000" w:themeColor="text1"/>
          <w:sz w:val="16"/>
          <w:szCs w:val="16"/>
        </w:rPr>
      </w:pPr>
      <w:r w:rsidRPr="00925F26">
        <w:rPr>
          <w:color w:val="000000" w:themeColor="text1"/>
          <w:sz w:val="16"/>
          <w:szCs w:val="16"/>
        </w:rPr>
        <w:t>12 и 13 апреля авиация Краснознамённого Балтийского флота продолжала наносить удары по военным кораблям и транспортам противника в порту Пиллау и в открытом море северо-западнее Пиллау. В результате бомбо-торпедных ударов потоплены: один миноносец, девять сторожевых кораблей, два тральщика, один танкер водоизмещением в 10.000 тонн и восемнадцать транспортов противника общим водоизмещением в 92.000 тонн.</w:t>
      </w:r>
    </w:p>
    <w:p w14:paraId="5D0A1321" w14:textId="77777777" w:rsidR="003D47C5" w:rsidRPr="00925F26" w:rsidRDefault="003D47C5" w:rsidP="00925F26">
      <w:pPr>
        <w:jc w:val="both"/>
        <w:rPr>
          <w:color w:val="000000" w:themeColor="text1"/>
          <w:sz w:val="16"/>
          <w:szCs w:val="16"/>
        </w:rPr>
      </w:pPr>
      <w:r w:rsidRPr="00925F26">
        <w:rPr>
          <w:color w:val="000000" w:themeColor="text1"/>
          <w:sz w:val="16"/>
          <w:szCs w:val="16"/>
        </w:rPr>
        <w:t>На Земландском полуострове северо-западнее и западнее города Кенигсберга наши войска с боями продвигались вперёд. Стремясь удержать в своих руках западную часть полуострова и порт Пиллау, противник построил сильно укреплённые рубежи. Он приспособил для обороны местность, изобилующую речками, каналами и болотами. Эти естественные препятствия немцы усилили и дополнили инженерными сооружениями — сплошными траншеями полного профиля, противотанковыми рвами, надолбами, широкими минными полями и проволочными награждениями. Наступательные действия наших войск начались артиллерийской и авиационной обработкой позиций противника и его тылов. Затем в атаку пошли советские пехотинцы. Сломив сопротивление гитлеровцев, наши части, продвигающиеся вдоль побережья Балтийского моря, заняли опорный пункт Рантау. Войска, наступающие в лесистой местности вдоль северного побережья залива Фриш Гаф, преодолевают сильное огневое сопротивление немцев, а также многочисленные минированные лесные завалы. Советские части ворвались на улицы крупного населенного пункта Гросс Хайдекрут и после ожесточённого боя овладели им. За день боёв наши войска истребили свыше 6 тысяч немецких солдат и офицеров. Уничтожено 36 немецких танков и самоходных орудий, 180 толевых орудий и около 600 автомашин.</w:t>
      </w:r>
    </w:p>
    <w:p w14:paraId="668CB4D9" w14:textId="77777777" w:rsidR="003D47C5" w:rsidRPr="00925F26" w:rsidRDefault="003D47C5" w:rsidP="00925F26">
      <w:pPr>
        <w:jc w:val="both"/>
        <w:rPr>
          <w:color w:val="000000" w:themeColor="text1"/>
          <w:sz w:val="16"/>
          <w:szCs w:val="16"/>
        </w:rPr>
      </w:pPr>
      <w:r w:rsidRPr="00925F26">
        <w:rPr>
          <w:color w:val="000000" w:themeColor="text1"/>
          <w:sz w:val="16"/>
          <w:szCs w:val="16"/>
        </w:rPr>
        <w:t>Наша авиация наносила массированные удары по войскам противника, уничтожая его живую силу и технику. В воздушных боях за день сбито 32 немецких истребителя. Кроме того, на аэродромах на Земландском полуострове уничтожен 31 самолёт противника.</w:t>
      </w:r>
    </w:p>
    <w:p w14:paraId="3F02DD32" w14:textId="77777777" w:rsidR="003D47C5" w:rsidRPr="00925F26" w:rsidRDefault="003D47C5" w:rsidP="00925F26">
      <w:pPr>
        <w:jc w:val="both"/>
        <w:rPr>
          <w:color w:val="000000" w:themeColor="text1"/>
          <w:sz w:val="16"/>
          <w:szCs w:val="16"/>
        </w:rPr>
      </w:pPr>
      <w:r w:rsidRPr="00925F26">
        <w:rPr>
          <w:color w:val="000000" w:themeColor="text1"/>
          <w:sz w:val="16"/>
          <w:szCs w:val="16"/>
        </w:rPr>
        <w:t>Севернее и северо-восточнее Вены войска 2-го Украинского фронта продолжали наступление. В последних боях в этом районе противник понёс тяжёлые потери и спешно подтягивает свежие силы. Немцы бросили в бой три танковых дивизии и пытаются всеми средствами не допустить дальнейшего продвижения наших войск. Советские части отбили свыше десяти вражеских контратак. На одном участке окружён и разгромлен полк пехоты противника. В течение дня подбито и сожжено более 30 немецких танков и самоходных орудий. Продвигаясь вперёд, наши войска подошли к Цистерсдорфу—нефтяному району Австрии. Гитлеровцы выбиты из посёлка Энцеральд, находящегося в шести километрах восточнее города Корнейбург. Захвачены большие трофеи и взято в плен до 300 немецких солдат и офицеров.</w:t>
      </w:r>
    </w:p>
    <w:p w14:paraId="6BECA45F" w14:textId="77777777" w:rsidR="003D47C5" w:rsidRPr="00925F26" w:rsidRDefault="003D47C5" w:rsidP="00925F26">
      <w:pPr>
        <w:jc w:val="both"/>
        <w:rPr>
          <w:color w:val="000000" w:themeColor="text1"/>
          <w:sz w:val="16"/>
          <w:szCs w:val="16"/>
        </w:rPr>
      </w:pPr>
      <w:r w:rsidRPr="00925F26">
        <w:rPr>
          <w:color w:val="000000" w:themeColor="text1"/>
          <w:sz w:val="16"/>
          <w:szCs w:val="16"/>
        </w:rPr>
        <w:t>Западнее Вены войска 3-го Украинского фронта, действующие в горно-лесистой местности, продолжали наступление. Сломив сопротивление противника, советские части продвинулись вперёд на 20 километров и с хода переправились через реку Трайзен. В результате упорных боёв занят город Герцогенбург, расположенный на западном берегу реки. Немцы также выбиты из сильно укреплённого опорного пункта Бохаймкирхен, находящегося в 10 километрах от города Санкт-Пельтен.</w:t>
      </w:r>
    </w:p>
    <w:p w14:paraId="706ACF36" w14:textId="77777777" w:rsidR="003D47C5" w:rsidRPr="00925F26" w:rsidRDefault="003D47C5" w:rsidP="00925F26">
      <w:pPr>
        <w:jc w:val="both"/>
        <w:rPr>
          <w:color w:val="000000" w:themeColor="text1"/>
          <w:sz w:val="16"/>
          <w:szCs w:val="16"/>
        </w:rPr>
      </w:pPr>
      <w:r w:rsidRPr="00925F26">
        <w:rPr>
          <w:color w:val="000000" w:themeColor="text1"/>
          <w:sz w:val="16"/>
          <w:szCs w:val="16"/>
        </w:rPr>
        <w:t>Советские воины, участвовавшие в боях за освобождение Вены от немецко-фашистских захватчиков, сражались героически. Орудийный расчёт сержанта Моклякова в одном бою уничтожил немецкий танк, бронетранспортёр, зенитную пушку, пулемёт и большую группу гитлеровцев. Гвардии рядовой Шарев гранатой подорвал танк и уничтожил выскочивших из него немецких танкистов. В тот же день т. Шарев в уличной схватке истребил ещё пять немцев. Гвардии младший лейтенант Осиковский с группой бойцов дворами проник к гостинице, в которой находились немецкие офицеры. Наши бойцы гранатами и огнём из автоматов уничтожили 10 офицеров противника. Шесть лётчиков-истребителей под командованием Героя Советского Союза капитана Меренкова вступили в бой с 8 немецкими истребителями. Первой же очередью т. Меренков сбил один вражеский самолёт. Капитан Лозовский, старший лейтенант Михайлов и старший лейтенант Миронов также уничтожили по одному самолёту противника. Наши лётчики без потерь вернулись на свой аэродром.» (15099).</w:t>
      </w:r>
    </w:p>
    <w:p w14:paraId="4C9C50D0" w14:textId="77777777" w:rsidR="003D47C5" w:rsidRPr="00925F26" w:rsidRDefault="003D47C5" w:rsidP="00925F26">
      <w:pPr>
        <w:jc w:val="both"/>
        <w:rPr>
          <w:color w:val="000000" w:themeColor="text1"/>
          <w:sz w:val="16"/>
          <w:szCs w:val="16"/>
        </w:rPr>
      </w:pPr>
    </w:p>
    <w:p w14:paraId="23D521B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14 апреля 1945 108 полк перелетел на полевой аэродром Охельхермсдорф (район Грюнберг, д. Кульпинау), где находился до 22 апреля. Аэродром представлял собой укатанную пашню с песчаной почвой (1000^300 м). Аэродром пыльный, что затрудняло работу и приводило к отказам материальной части моторов. На аэродроме одновременно базировался 109 гшап на самолетах Ил-2 с АМ-38 ф.</w:t>
      </w:r>
    </w:p>
    <w:p w14:paraId="427A4CE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период с 23 апреля по 20 мая 108 гшап базировался на полевом аэродроме Коло (район Губен, Форст). Аэродром с суглинистой почвой, засеянный клевером, имел укатанную полосу размерами 1000^250 м. При выпадении осадков «аэродром размокал до такой степени, что руление и взлет самолетов были невозможны».</w:t>
      </w:r>
    </w:p>
    <w:p w14:paraId="68E43BD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Пока на фронте было затишье, материальную часть подготовили к летней эксплуатации и войсковым испытаниям, а также выполнили ряд доработок по устранению выявленных в ходе перелета новых конструктивных и производственных дефектов как на самолете, так и на моторе. Все работы выполнялись бригадами заводов № 1, 18 и 24 непосредственно на аэродроме Шпроттау.</w:t>
      </w:r>
    </w:p>
    <w:p w14:paraId="16D77FD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 итогам перелета летчики отметили «плохой обзор вперед при рулежке и в полете в сложных метеоусловиях (снег, дождь)</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так как наклон переднего стекла неудачен, вода остается на стекле и видимость через него совершенно исчезает, а открытие фонаря в воздухе для улучшения обзора не предусмотрено».</w:t>
      </w:r>
    </w:p>
    <w:p w14:paraId="6451314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Ручка управления закрывает компас, пионер и другие приборы - «невозможно считать показания в полете». Предлагалось «выполнить ручку по типу самолета Ме-109».</w:t>
      </w:r>
    </w:p>
    <w:p w14:paraId="19DD4605"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Летчики жаловались на трудное открывание и закрывание фонаря кабины. Ограничительные тросы открытия фонаря быстро изнашивались и рвались. При полном капоте экипаж покинуть самолет без посторонней помощи не мог. Вентиляция кабин летчика и стрелка оценивалась как неэффективная, управление заслонкой вентиляции неудобное (примитивное). В кабине было душно и, главное, жарко. Когда температура наружного воздуха поднялась выше +10-12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температура в кабинах летчика и стрелка достигала +40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xml:space="preserve"> и выше.</w:t>
      </w:r>
    </w:p>
    <w:p w14:paraId="58D3E8A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ряду массовых дефектов значилась негерметичность воздушной системы самолета, а ее емкости оказалось недостаточно для нормальной работы. За один полет в атмосферу стравливалось столько воздуха, что к моменту посадки давления в системе уже не хватало для уверенного выпуска шасси.</w:t>
      </w:r>
    </w:p>
    <w:p w14:paraId="54907F3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Конструкция механических указателей шасси «в эксплуатации ненадежная (ломаются, массовое явление)». Отмечалось низкое качество пластинчатых пружин в замках смотровых лючков. Пружины быстро теряли упругость и ломались. Ряд замков пришлось заменить новыми и даже ставить трофейные замки, которые удалось найти на аэродроме Шпроттау.</w:t>
      </w:r>
    </w:p>
    <w:p w14:paraId="466E590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Совершенно неудовлетворительной оказалась конструкция системы уборки и выпуска шасси. Выпуск шасси был возможен только на минимальных скоростях полета 250-270 км/ч и «сопровождается большой потерей высоты до 100-150 м». При этом в случае неисправной воздушной системы (низкое давление воздуха) выпустить шасси при помощи аварийной лебедки было невозможно, «так как тросы лебедки недостаточно прочны и обрываются». К тому же «для работы с аварийной лебедкой требуются очень большие усилия». Как отмечалось в отчете по войсковым испытаниям, «во всех случаях невыхода шасси аварийный выпуск шасси результатов не дал или из-за обрыва тросов, или из-за недостатка физических сил летчика».</w:t>
      </w:r>
    </w:p>
    <w:p w14:paraId="125AEDF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Именно по причине «ненормальной работы агрегатов шасси» в ходе перелета на фронт «было разбито 3 самолета и повреждено 3 самолета».</w:t>
      </w:r>
    </w:p>
    <w:p w14:paraId="4566DC1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Обтекатели (лопухи) колес шасси при рулежке, взлете и пробеге по мягкому грунту и снежному покрову «зарываются, деформируются и тормозят движение самолета». При уборке шасси на повышенных скоростях 300-320 км/ч «обтекатели колес шасси проскакивают в купола центроплана, что приводит к их заеданию и посадке самолета с убранным шасси». В то же время «ремонт и подгонка обтекателей по месту требует затраты 15-20 ч/часов рабочими ПАРМ-3».</w:t>
      </w:r>
    </w:p>
    <w:p w14:paraId="1616384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ряде самолетов имела место несинхронная уборка и выпуск шасси, «достигающая 20-30 сек даже при повышенном давлении воздуха в системе до 38 атм».</w:t>
      </w:r>
    </w:p>
    <w:p w14:paraId="6D7987B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Буксировочный трос с хомутами оказался неудобен, поэтому им не пользовались. «Вместо прилагаемого к самолету троса с хомутами» предлагалось установить на шасси постоянные крюки или кольца.</w:t>
      </w:r>
    </w:p>
    <w:p w14:paraId="6A580005"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Отмечались массовые случаи течи бензина в дюритовых соединениях бензофильтра с бензопомпой и из-под штуцеров подвода бензина к карбюраторам, воды из дюритовых соединений и фланцев трубок раздельного подвода воды к цилиндрам мотора, а также выбивание смазки из штауфера водопомпы через манжетное уплотнение поршня.</w:t>
      </w:r>
    </w:p>
    <w:p w14:paraId="4D05B4E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Система запуска моторов не обеспечивала повышенного до 0,4-0,5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давления бензина перед карбюратором, что сильно затрудняло запуск мотора.</w:t>
      </w:r>
    </w:p>
    <w:p w14:paraId="6EFAE4A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При посадке самолета с убранным шасси, как оказалось, нельзя слить воду из системы («при отрицательных температурах зимой обязательно приведет к разрыву сот водорадиатора»).</w:t>
      </w:r>
    </w:p>
    <w:p w14:paraId="2A21C9F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большинстве самолетов при перемещении сектора нормального газа синхронно с ним сдвигался и сектор высотного корректора («в следствие наличия люфта упорного кронштейна в месте посадки его на оси секторов»).</w:t>
      </w:r>
    </w:p>
    <w:p w14:paraId="6D4E85C3"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Во время перелетов самолетов на фронт наблюдалось падение мощности мотора. Так, например, «первые отрезки маршрута при соблюдении скорости 340-350 км/ч режим работы мотора был 800-750 мм рт. ст. и 1850 об/мин, а последние отрезки маршрута на этом же режиме работы мотора скорость была 320-330 км/ч».</w:t>
      </w:r>
    </w:p>
    <w:p w14:paraId="786E730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lastRenderedPageBreak/>
        <w:t>Одновременно с работами по доводке самолетов решили дать дополнительную тренировку в боевом применении на Ил -10 как «старикам», так и молодому пополнению полка. Отработку упражнений предполагалось проводить на ближайшем полигоне. Но сначала, 30 марта и 1 апреля, наиболее опытными летчиками полка были выполнены испытательные полеты с целью определения надежности в работе стрелково -пушечного и бомбового вооружения «десятки». Всего было выполнено 8 испытательных полетов с налетом 5 ч 26 мин. Пушки и пулеметы работали без замечаний. Зависания бомб не наблюдалось. Только в одном случае произошел отказ электросбрасывателя ЭСБР -3п.</w:t>
      </w:r>
    </w:p>
    <w:p w14:paraId="4040215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Начиная с 5 апреля началась усиленная отработка летным составом полка бомбоштурмовых ударов по наземным целям, а также тренировка в технике пилотирования. В течение одного учебного дня в среднем выполнялось около 20-30 учебно-тренировочных полетов на Ил-10.</w:t>
      </w:r>
    </w:p>
    <w:p w14:paraId="774D122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8 апреля из-за отказа в работе мотора младший лейтенант А. И. Дорох на Ил-10 зав. № 1892602 произвел вынужденную посадку с убранным шасси недалеко от аэродрома. При осмотре маслофильтра обнаружили большое количество стружки свинцовистой бронзы. Оказалось, что разрушились вкладыши подшипников коленчатого вала. К моменту аварии мотор АМ-42 зав. № 45232 наработал 29 часов. Самолет восстановили в ПАРМ-3, а мотор списали.</w:t>
      </w:r>
    </w:p>
    <w:p w14:paraId="62BE376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12 апреля двумя экипажами было выполнено два экспериментальных полета на отработку методики бомбометания с постоянным углом упреждения 7°.</w:t>
      </w:r>
    </w:p>
    <w:p w14:paraId="3661927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583BA8D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03C9AF0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6B4D693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13CAB84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630D40E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0E7FE37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5B4533C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 выполнению боевых заданий полк был подготовлен с общей оценкой по бомбометанию 4,3 балла и по стрельбе - 3,9.</w:t>
      </w:r>
    </w:p>
    <w:p w14:paraId="08DF347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75EC089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7B12DA3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1D49EA3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37AAF40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3461A02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204963D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3A88E68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30FFDF2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63215B9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11C2DFE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7C14A863"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3F8CC76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16CA10B0" w14:textId="77777777" w:rsidR="00356648" w:rsidRPr="00925F26" w:rsidRDefault="00356648" w:rsidP="00925F26">
      <w:pPr>
        <w:jc w:val="both"/>
        <w:rPr>
          <w:color w:val="000000" w:themeColor="text1"/>
          <w:sz w:val="16"/>
          <w:szCs w:val="16"/>
        </w:rPr>
      </w:pPr>
    </w:p>
    <w:p w14:paraId="60EED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группа из 8 Ил-2 3 чехословацкого шап приняла участие в первой боевой операции и в сопровождении 9 Ла-5ФН атаковала позиции артиллерии и скопления танков у деревни Olza. Эта операция была в рамках операции по наступлению на промышленный район Остравы. Во второй половине дня атаку повторили, но 2 машины были повреждены на старте и по целям работало только 7 Ил-2 (241,39).</w:t>
      </w:r>
    </w:p>
    <w:p w14:paraId="469756B1" w14:textId="77777777" w:rsidR="00665165" w:rsidRPr="00925F26" w:rsidRDefault="00665165" w:rsidP="00925F26">
      <w:pPr>
        <w:autoSpaceDE w:val="0"/>
        <w:autoSpaceDN w:val="0"/>
        <w:adjustRightInd w:val="0"/>
        <w:jc w:val="both"/>
        <w:rPr>
          <w:color w:val="000000" w:themeColor="text1"/>
          <w:sz w:val="16"/>
          <w:szCs w:val="16"/>
        </w:rPr>
      </w:pPr>
    </w:p>
    <w:p w14:paraId="36E58C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14 апреля 1945 включительно лет</w:t>
      </w:r>
      <w:r w:rsidRPr="00925F26">
        <w:rPr>
          <w:color w:val="000000" w:themeColor="text1"/>
          <w:sz w:val="16"/>
          <w:szCs w:val="16"/>
        </w:rPr>
        <w:softHyphen/>
        <w:t>ный состав571-го гшап занимался наземной подго</w:t>
      </w:r>
      <w:r w:rsidRPr="00925F26">
        <w:rPr>
          <w:color w:val="000000" w:themeColor="text1"/>
          <w:sz w:val="16"/>
          <w:szCs w:val="16"/>
        </w:rPr>
        <w:softHyphen/>
        <w:t>товкой и учебно-тренировочными поле</w:t>
      </w:r>
      <w:r w:rsidRPr="00925F26">
        <w:rPr>
          <w:color w:val="000000" w:themeColor="text1"/>
          <w:sz w:val="16"/>
          <w:szCs w:val="16"/>
        </w:rPr>
        <w:softHyphen/>
        <w:t>тами. При этом каждый летчик выполнил по одному полету на полигон на бомбо</w:t>
      </w:r>
      <w:r w:rsidRPr="00925F26">
        <w:rPr>
          <w:color w:val="000000" w:themeColor="text1"/>
          <w:sz w:val="16"/>
          <w:szCs w:val="16"/>
        </w:rPr>
        <w:softHyphen/>
        <w:t>метание и стрельбу по наземной цели. На этой стадии вышли из строя три штурмовика (в том числе два - после вынужденных посадок) (10681).</w:t>
      </w:r>
    </w:p>
    <w:p w14:paraId="1F589A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530BE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апреля 1945 включительно летный состав 571-го штурмового полка боевой работы не вел и занимался наземной подготовкой и учебно-тренировочными полетами на самолете Ил-10 по отработке упраж</w:t>
      </w:r>
      <w:r w:rsidRPr="00925F26">
        <w:rPr>
          <w:color w:val="000000" w:themeColor="text1"/>
          <w:sz w:val="16"/>
          <w:szCs w:val="16"/>
        </w:rPr>
        <w:softHyphen/>
        <w:t>нений согласно КБПША-44. В общей сложности было выполнено 133 учеб</w:t>
      </w:r>
      <w:r w:rsidRPr="00925F26">
        <w:rPr>
          <w:color w:val="000000" w:themeColor="text1"/>
          <w:sz w:val="16"/>
          <w:szCs w:val="16"/>
        </w:rPr>
        <w:softHyphen/>
        <w:t>но-тренировочных полета с налетом 84 часа 23 минуты, в том числе на бое</w:t>
      </w:r>
      <w:r w:rsidRPr="00925F26">
        <w:rPr>
          <w:color w:val="000000" w:themeColor="text1"/>
          <w:sz w:val="16"/>
          <w:szCs w:val="16"/>
        </w:rPr>
        <w:softHyphen/>
        <w:t>вое применение 57 полетов с налетом 25 часов 39 минут. При этом каждый летчик полка выполнил по одному по</w:t>
      </w:r>
      <w:r w:rsidRPr="00925F26">
        <w:rPr>
          <w:color w:val="000000" w:themeColor="text1"/>
          <w:sz w:val="16"/>
          <w:szCs w:val="16"/>
        </w:rPr>
        <w:softHyphen/>
        <w:t>лету на полигон на бомбометание и стрельбу по^наземной цели. Средний балл выполнения задания составил 3,2. За это время произошло три лет</w:t>
      </w:r>
      <w:r w:rsidRPr="00925F26">
        <w:rPr>
          <w:color w:val="000000" w:themeColor="text1"/>
          <w:sz w:val="16"/>
          <w:szCs w:val="16"/>
        </w:rPr>
        <w:softHyphen/>
        <w:t>ных происшествия. На самолете Ил-10 (зав. № 1893303) мл. л-та Волкова при выполнении посадки 11 апреля «лоп</w:t>
      </w:r>
      <w:r w:rsidRPr="00925F26">
        <w:rPr>
          <w:color w:val="000000" w:themeColor="text1"/>
          <w:sz w:val="16"/>
          <w:szCs w:val="16"/>
        </w:rPr>
        <w:softHyphen/>
        <w:t>нули» подкосы шасси. В результате погнут винт, снесены шасси, полома</w:t>
      </w:r>
      <w:r w:rsidRPr="00925F26">
        <w:rPr>
          <w:color w:val="000000" w:themeColor="text1"/>
          <w:sz w:val="16"/>
          <w:szCs w:val="16"/>
        </w:rPr>
        <w:softHyphen/>
        <w:t xml:space="preserve">ны всасывающая труба и створки </w:t>
      </w:r>
      <w:proofErr w:type="gramStart"/>
      <w:r w:rsidRPr="00925F26">
        <w:rPr>
          <w:color w:val="000000" w:themeColor="text1"/>
          <w:sz w:val="16"/>
          <w:szCs w:val="16"/>
        </w:rPr>
        <w:t>бом-болюков</w:t>
      </w:r>
      <w:proofErr w:type="gramEnd"/>
      <w:r w:rsidRPr="00925F26">
        <w:rPr>
          <w:color w:val="000000" w:themeColor="text1"/>
          <w:sz w:val="16"/>
          <w:szCs w:val="16"/>
        </w:rPr>
        <w:t>, повреждена обшивка цент</w:t>
      </w:r>
      <w:r w:rsidRPr="00925F26">
        <w:rPr>
          <w:color w:val="000000" w:themeColor="text1"/>
          <w:sz w:val="16"/>
          <w:szCs w:val="16"/>
        </w:rPr>
        <w:softHyphen/>
        <w:t>роплана и правая консоль крыла. На Ил-10 (зав. № 1890304) мл. л-та Абадзе 13 апреля в воздухе оборвался шатун мотора. Летчик сел на вынужденную посадку в районе дер. Грусс. В этот же день ст. л-т Урайкин при полете по маршруту, выработав раньше срока горючее, произвел вы</w:t>
      </w:r>
      <w:r w:rsidRPr="00925F26">
        <w:rPr>
          <w:color w:val="000000" w:themeColor="text1"/>
          <w:sz w:val="16"/>
          <w:szCs w:val="16"/>
        </w:rPr>
        <w:softHyphen/>
        <w:t>нужденную посадку в районе дер. Нейездорф. «Десятка» была сдана в ПАРМ для ремонта и замены мотора (11157).</w:t>
      </w:r>
    </w:p>
    <w:p w14:paraId="5A0513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FC88F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14 апреля 1945 вышло Постановление ГКО № 8140 Вопросы ВВС КА. РГАНИР, Фонд ГКО, д. 400, лл. 80 (11012).</w:t>
      </w:r>
    </w:p>
    <w:p w14:paraId="1C436CF3" w14:textId="77777777" w:rsidR="00665165" w:rsidRPr="00925F26" w:rsidRDefault="00665165" w:rsidP="00925F26">
      <w:pPr>
        <w:autoSpaceDE w:val="0"/>
        <w:autoSpaceDN w:val="0"/>
        <w:adjustRightInd w:val="0"/>
        <w:jc w:val="both"/>
        <w:rPr>
          <w:color w:val="000000" w:themeColor="text1"/>
          <w:sz w:val="16"/>
          <w:szCs w:val="16"/>
        </w:rPr>
      </w:pPr>
    </w:p>
    <w:p w14:paraId="1F9DEB18" w14:textId="77777777" w:rsidR="007D191E" w:rsidRPr="00925F26" w:rsidRDefault="007D191E" w:rsidP="00925F26">
      <w:pPr>
        <w:jc w:val="both"/>
        <w:rPr>
          <w:color w:val="000000" w:themeColor="text1"/>
          <w:sz w:val="16"/>
          <w:szCs w:val="16"/>
        </w:rPr>
      </w:pPr>
      <w:r w:rsidRPr="00925F26">
        <w:rPr>
          <w:color w:val="000000" w:themeColor="text1"/>
          <w:sz w:val="16"/>
          <w:szCs w:val="16"/>
        </w:rPr>
        <w:t>14 апреля 1945 началась разведка боем, через два дня переросшая в наступление по всему фронту. В этот период 3-му отряду 6-го ОВДААН отводи</w:t>
      </w:r>
      <w:r w:rsidRPr="00925F26">
        <w:rPr>
          <w:color w:val="000000" w:themeColor="text1"/>
          <w:sz w:val="16"/>
          <w:szCs w:val="16"/>
        </w:rPr>
        <w:softHyphen/>
        <w:t>лась роль одного из основных средств воздушной разведки, тогда как 1-й и 2-й воздухоплаватель</w:t>
      </w:r>
      <w:r w:rsidRPr="00925F26">
        <w:rPr>
          <w:color w:val="000000" w:themeColor="text1"/>
          <w:sz w:val="16"/>
          <w:szCs w:val="16"/>
        </w:rPr>
        <w:softHyphen/>
        <w:t>ные отряды не должны были себя обнаруживать. Вместе с войсками 8-й гвардейской армии диви</w:t>
      </w:r>
      <w:r w:rsidRPr="00925F26">
        <w:rPr>
          <w:color w:val="000000" w:themeColor="text1"/>
          <w:sz w:val="16"/>
          <w:szCs w:val="16"/>
        </w:rPr>
        <w:softHyphen/>
        <w:t>зион вошёл в южные пригороды Берлина. Пер</w:t>
      </w:r>
      <w:r w:rsidRPr="00925F26">
        <w:rPr>
          <w:color w:val="000000" w:themeColor="text1"/>
          <w:sz w:val="16"/>
          <w:szCs w:val="16"/>
        </w:rPr>
        <w:softHyphen/>
        <w:t>вым вступил в предместье Берлина Фридрихсха- ген 2-й отряд 6-го ОВДААН. Под руководством старшего лейтенанта Аглиуллина расчёт быстро оборудовал постоянный бивак в расположенном в низине парке Карнер, бетонные стены которо</w:t>
      </w:r>
      <w:r w:rsidRPr="00925F26">
        <w:rPr>
          <w:color w:val="000000" w:themeColor="text1"/>
          <w:sz w:val="16"/>
          <w:szCs w:val="16"/>
        </w:rPr>
        <w:softHyphen/>
        <w:t xml:space="preserve">го прикрывали аэростат от осколков (20120). </w:t>
      </w:r>
    </w:p>
    <w:p w14:paraId="0850A9C6" w14:textId="77777777" w:rsidR="007D191E" w:rsidRPr="00925F26" w:rsidRDefault="007D191E" w:rsidP="00925F26">
      <w:pPr>
        <w:jc w:val="both"/>
        <w:rPr>
          <w:color w:val="000000" w:themeColor="text1"/>
          <w:sz w:val="16"/>
          <w:szCs w:val="16"/>
        </w:rPr>
      </w:pPr>
    </w:p>
    <w:p w14:paraId="61B7561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16E391F" w14:textId="77777777" w:rsidR="00665165" w:rsidRPr="00925F26" w:rsidRDefault="00665165" w:rsidP="00925F26">
      <w:pPr>
        <w:autoSpaceDE w:val="0"/>
        <w:autoSpaceDN w:val="0"/>
        <w:adjustRightInd w:val="0"/>
        <w:jc w:val="both"/>
        <w:rPr>
          <w:iCs/>
          <w:color w:val="000000" w:themeColor="text1"/>
          <w:sz w:val="16"/>
          <w:szCs w:val="16"/>
        </w:rPr>
      </w:pPr>
    </w:p>
    <w:p w14:paraId="0C923DC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апреля 1945 основан Московский ботанический сад (4962).</w:t>
      </w:r>
    </w:p>
    <w:p w14:paraId="61586A6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7F803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в Правде появилась статья Александрова о том, что Эренбург упрощает (2070,233).</w:t>
      </w:r>
    </w:p>
    <w:p w14:paraId="209EFA44" w14:textId="77777777" w:rsidR="00665165" w:rsidRPr="00925F26" w:rsidRDefault="00665165" w:rsidP="00925F26">
      <w:pPr>
        <w:autoSpaceDE w:val="0"/>
        <w:autoSpaceDN w:val="0"/>
        <w:adjustRightInd w:val="0"/>
        <w:jc w:val="both"/>
        <w:rPr>
          <w:color w:val="000000" w:themeColor="text1"/>
          <w:sz w:val="16"/>
          <w:szCs w:val="16"/>
        </w:rPr>
      </w:pPr>
    </w:p>
    <w:p w14:paraId="0DF3D48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E2D0001" w14:textId="77777777" w:rsidR="00665165" w:rsidRPr="00925F26" w:rsidRDefault="00665165" w:rsidP="00925F26">
      <w:pPr>
        <w:autoSpaceDE w:val="0"/>
        <w:autoSpaceDN w:val="0"/>
        <w:adjustRightInd w:val="0"/>
        <w:jc w:val="both"/>
        <w:rPr>
          <w:iCs/>
          <w:color w:val="000000" w:themeColor="text1"/>
          <w:sz w:val="16"/>
          <w:szCs w:val="16"/>
        </w:rPr>
      </w:pPr>
    </w:p>
    <w:p w14:paraId="7F6612B5"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апреля в 1945 году в Москве объявлен траур по случаю смерти президента США Ф.Д.Рузвельта (15099).</w:t>
      </w:r>
    </w:p>
    <w:p w14:paraId="09E89C9F" w14:textId="77777777" w:rsidR="003D47C5" w:rsidRPr="00925F26" w:rsidRDefault="003D47C5" w:rsidP="00925F26">
      <w:pPr>
        <w:jc w:val="both"/>
        <w:rPr>
          <w:color w:val="000000" w:themeColor="text1"/>
          <w:sz w:val="16"/>
          <w:szCs w:val="16"/>
        </w:rPr>
      </w:pPr>
    </w:p>
    <w:p w14:paraId="3BCD44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Трумэн подготовил проект письма Сталину со списком польских участников политических консультаций. Черчиль, внеся небольшие коррективы, немедленно одобрил его. В это время Москва заявила о своем намерении подписать договор с варшавским правительством (3871).</w:t>
      </w:r>
    </w:p>
    <w:p w14:paraId="4CD41E92" w14:textId="77777777" w:rsidR="00665165" w:rsidRPr="00925F26" w:rsidRDefault="00665165" w:rsidP="00925F26">
      <w:pPr>
        <w:autoSpaceDE w:val="0"/>
        <w:autoSpaceDN w:val="0"/>
        <w:adjustRightInd w:val="0"/>
        <w:jc w:val="both"/>
        <w:rPr>
          <w:color w:val="000000" w:themeColor="text1"/>
          <w:sz w:val="16"/>
          <w:szCs w:val="16"/>
        </w:rPr>
      </w:pPr>
    </w:p>
    <w:p w14:paraId="00A59B3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14th, 1945: In the West, the US First and Ninth Armies continue to break up the forces of Heeresgruppe B (Model) trapped in the Ruhr pocket. The British Second Army reaches the outskirts of Bremen, while the US Third Army captures Gera and Bayreuth. The Canadian First Army (Crerar) assumes military control of the Netherlands where German forces of Festung Holland (von Blaskowitz) are now trapped in the Atlantikwall fortifications along the coastline (3819).</w:t>
      </w:r>
    </w:p>
    <w:p w14:paraId="6C3F333D" w14:textId="77777777" w:rsidR="00665165" w:rsidRPr="00925F26" w:rsidRDefault="00665165" w:rsidP="00925F26">
      <w:pPr>
        <w:autoSpaceDE w:val="0"/>
        <w:autoSpaceDN w:val="0"/>
        <w:adjustRightInd w:val="0"/>
        <w:jc w:val="both"/>
        <w:rPr>
          <w:color w:val="000000" w:themeColor="text1"/>
          <w:sz w:val="16"/>
          <w:szCs w:val="16"/>
          <w:lang w:val="en-US"/>
        </w:rPr>
      </w:pPr>
    </w:p>
    <w:p w14:paraId="4F9D8AD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9E46432" w14:textId="77777777" w:rsidR="00665165" w:rsidRPr="00925F26" w:rsidRDefault="00665165" w:rsidP="00925F26">
      <w:pPr>
        <w:autoSpaceDE w:val="0"/>
        <w:autoSpaceDN w:val="0"/>
        <w:adjustRightInd w:val="0"/>
        <w:jc w:val="both"/>
        <w:rPr>
          <w:iCs/>
          <w:color w:val="000000" w:themeColor="text1"/>
          <w:sz w:val="16"/>
          <w:szCs w:val="16"/>
        </w:rPr>
      </w:pPr>
    </w:p>
    <w:p w14:paraId="79E4C94C"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апреля в 1945 году последний плановый рейс совершил пассажирский лайнер «Fw.200b-2» «Condor» («D-ASHH») «Люфтганзы» по маршруту Барселона-Берлин (15099).</w:t>
      </w:r>
    </w:p>
    <w:p w14:paraId="590B6178" w14:textId="77777777" w:rsidR="003D47C5" w:rsidRPr="00925F26" w:rsidRDefault="003D47C5" w:rsidP="00925F26">
      <w:pPr>
        <w:jc w:val="both"/>
        <w:rPr>
          <w:color w:val="000000" w:themeColor="text1"/>
          <w:sz w:val="16"/>
          <w:szCs w:val="16"/>
        </w:rPr>
      </w:pPr>
    </w:p>
    <w:p w14:paraId="7985213E" w14:textId="3F349457" w:rsidR="007D191E" w:rsidRPr="00925F26" w:rsidRDefault="007D191E" w:rsidP="00925F26">
      <w:pPr>
        <w:jc w:val="both"/>
        <w:rPr>
          <w:color w:val="000000" w:themeColor="text1"/>
          <w:sz w:val="16"/>
          <w:szCs w:val="16"/>
        </w:rPr>
      </w:pPr>
      <w:r w:rsidRPr="00925F26">
        <w:rPr>
          <w:color w:val="000000" w:themeColor="text1"/>
          <w:sz w:val="16"/>
          <w:szCs w:val="16"/>
        </w:rPr>
        <w:t>14 апреля 1945</w:t>
      </w:r>
      <w:r w:rsidR="00997EDF" w:rsidRPr="00925F26">
        <w:rPr>
          <w:color w:val="000000" w:themeColor="text1"/>
          <w:sz w:val="16"/>
          <w:szCs w:val="16"/>
        </w:rPr>
        <w:t xml:space="preserve">  </w:t>
      </w:r>
      <w:r w:rsidRPr="00925F26">
        <w:rPr>
          <w:color w:val="000000" w:themeColor="text1"/>
          <w:sz w:val="16"/>
          <w:szCs w:val="16"/>
        </w:rPr>
        <w:t>- Последний плановый рейс совершил пассажирский лайнер Fw.200b-2 Condor (D-ASHH) Люфтганзы по маршруту Барселона-Берлин (22535).</w:t>
      </w:r>
    </w:p>
    <w:p w14:paraId="035947F4" w14:textId="77777777" w:rsidR="007D191E" w:rsidRPr="00925F26" w:rsidRDefault="007D191E" w:rsidP="00925F26">
      <w:pPr>
        <w:jc w:val="both"/>
        <w:rPr>
          <w:color w:val="000000" w:themeColor="text1"/>
          <w:sz w:val="16"/>
          <w:szCs w:val="16"/>
        </w:rPr>
      </w:pPr>
    </w:p>
    <w:p w14:paraId="71F17A45" w14:textId="77777777" w:rsidR="000C481E" w:rsidRPr="001A0BAA" w:rsidRDefault="000C481E" w:rsidP="000C481E">
      <w:pPr>
        <w:jc w:val="both"/>
        <w:rPr>
          <w:color w:val="0070C0"/>
          <w:sz w:val="16"/>
          <w:szCs w:val="16"/>
        </w:rPr>
      </w:pPr>
      <w:r w:rsidRPr="001A0BAA">
        <w:rPr>
          <w:color w:val="0070C0"/>
          <w:sz w:val="16"/>
          <w:szCs w:val="16"/>
        </w:rPr>
        <w:t>14 апреля 1945 г. состоялся последний плановый рейс граж</w:t>
      </w:r>
      <w:r w:rsidRPr="001A0BAA">
        <w:rPr>
          <w:color w:val="0070C0"/>
          <w:sz w:val="16"/>
          <w:szCs w:val="16"/>
        </w:rPr>
        <w:softHyphen/>
        <w:t>данского «Кондора» по маршруту Барселона - Бер</w:t>
      </w:r>
      <w:r w:rsidRPr="001A0BAA">
        <w:rPr>
          <w:color w:val="0070C0"/>
          <w:sz w:val="16"/>
          <w:szCs w:val="16"/>
        </w:rPr>
        <w:softHyphen/>
        <w:t>лин. А 21 апреля из Берлина вылетел FW 200В-2. увозивший удиравших от советской армии офицеров Генерально</w:t>
      </w:r>
      <w:r w:rsidRPr="001A0BAA">
        <w:rPr>
          <w:color w:val="0070C0"/>
          <w:sz w:val="16"/>
          <w:szCs w:val="16"/>
        </w:rPr>
        <w:softHyphen/>
        <w:t>го штаба с какой-то поклажей Конечной точкой маршрута являлась Барселона в Испании Машина совершила проме</w:t>
      </w:r>
      <w:r w:rsidRPr="001A0BAA">
        <w:rPr>
          <w:color w:val="0070C0"/>
          <w:sz w:val="16"/>
          <w:szCs w:val="16"/>
        </w:rPr>
        <w:softHyphen/>
        <w:t>жуточную посадку в Мюнхене, полетела дальше - и пропала. Командир самолета рассчитывал ускользнуть от истребите</w:t>
      </w:r>
      <w:r w:rsidRPr="001A0BAA">
        <w:rPr>
          <w:color w:val="0070C0"/>
          <w:sz w:val="16"/>
          <w:szCs w:val="16"/>
        </w:rPr>
        <w:softHyphen/>
        <w:t>лей союзников, пользуясь плохой пого</w:t>
      </w:r>
      <w:r w:rsidRPr="001A0BAA">
        <w:rPr>
          <w:color w:val="0070C0"/>
          <w:sz w:val="16"/>
          <w:szCs w:val="16"/>
        </w:rPr>
        <w:softHyphen/>
        <w:t>дой. Это его и подвело. Обломки машины и останки людей нашли лишь в 1954 г. близ Мюльберга в горах Баварии. Лайнер врезался в землю и сгорел (24935).</w:t>
      </w:r>
    </w:p>
    <w:p w14:paraId="57EC95C9" w14:textId="77777777" w:rsidR="000C481E" w:rsidRPr="001A0BAA" w:rsidRDefault="000C481E" w:rsidP="000C481E">
      <w:pPr>
        <w:jc w:val="both"/>
        <w:rPr>
          <w:color w:val="0070C0"/>
          <w:sz w:val="16"/>
          <w:szCs w:val="16"/>
        </w:rPr>
      </w:pPr>
    </w:p>
    <w:p w14:paraId="63B4B69F" w14:textId="77777777" w:rsidR="007D191E" w:rsidRPr="00925F26" w:rsidRDefault="007D191E" w:rsidP="00925F26">
      <w:pPr>
        <w:jc w:val="both"/>
        <w:rPr>
          <w:color w:val="000000" w:themeColor="text1"/>
          <w:sz w:val="16"/>
          <w:szCs w:val="16"/>
        </w:rPr>
      </w:pPr>
      <w:r w:rsidRPr="00925F26">
        <w:rPr>
          <w:color w:val="000000" w:themeColor="text1"/>
          <w:sz w:val="16"/>
          <w:szCs w:val="16"/>
        </w:rPr>
        <w:t>14–15 апреля (ночь) 1945 Авро Ланкастер во время ночного полета против Потсдама становится последним британским бомбардировщиком, сбитым немецким ночным истребителем во время Второй мировой войны (20371).</w:t>
      </w:r>
    </w:p>
    <w:p w14:paraId="26CEDA10" w14:textId="77777777" w:rsidR="007D191E" w:rsidRPr="00925F26" w:rsidRDefault="007D191E" w:rsidP="00925F26">
      <w:pPr>
        <w:jc w:val="both"/>
        <w:rPr>
          <w:color w:val="000000" w:themeColor="text1"/>
          <w:sz w:val="16"/>
          <w:szCs w:val="16"/>
        </w:rPr>
      </w:pPr>
    </w:p>
    <w:p w14:paraId="24A711FC"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апреля в 1945 году (14-15 апреля 1945 г.) авиация союзников подвергла разрушительной бомбардировке город Потсдам на территории фашистской Германии (15099).</w:t>
      </w:r>
    </w:p>
    <w:p w14:paraId="3869BEC6" w14:textId="77777777" w:rsidR="003D47C5" w:rsidRPr="00925F26" w:rsidRDefault="003D47C5" w:rsidP="00925F26">
      <w:pPr>
        <w:jc w:val="both"/>
        <w:rPr>
          <w:color w:val="000000" w:themeColor="text1"/>
          <w:sz w:val="16"/>
          <w:szCs w:val="16"/>
        </w:rPr>
      </w:pPr>
    </w:p>
    <w:p w14:paraId="4BC87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британские части освободили концлагерь Бельзен. Груды трупов пришлось хоронить бульдозерами (2248,5).</w:t>
      </w:r>
    </w:p>
    <w:p w14:paraId="658A6E8D" w14:textId="77777777" w:rsidR="00665165" w:rsidRPr="00925F26" w:rsidRDefault="00665165" w:rsidP="00925F26">
      <w:pPr>
        <w:autoSpaceDE w:val="0"/>
        <w:autoSpaceDN w:val="0"/>
        <w:adjustRightInd w:val="0"/>
        <w:jc w:val="both"/>
        <w:rPr>
          <w:color w:val="000000" w:themeColor="text1"/>
          <w:sz w:val="16"/>
          <w:szCs w:val="16"/>
        </w:rPr>
      </w:pPr>
    </w:p>
    <w:p w14:paraId="0ABFF8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1 и 9А США продолжили уничтожение сил Группы В (Модель), окруженных в Рурском котле. 3А США заняла Геру и Байрот. Канадская 1А установила военный контроль над Голландией, а немецкие войска были изолированы сооружениях Атлантического вала на побережье (3819).</w:t>
      </w:r>
    </w:p>
    <w:p w14:paraId="019DF855" w14:textId="77777777" w:rsidR="00665165" w:rsidRPr="00925F26" w:rsidRDefault="00665165" w:rsidP="00925F26">
      <w:pPr>
        <w:autoSpaceDE w:val="0"/>
        <w:autoSpaceDN w:val="0"/>
        <w:adjustRightInd w:val="0"/>
        <w:jc w:val="both"/>
        <w:rPr>
          <w:color w:val="000000" w:themeColor="text1"/>
          <w:sz w:val="16"/>
          <w:szCs w:val="16"/>
        </w:rPr>
      </w:pPr>
    </w:p>
    <w:p w14:paraId="244C842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апреля 1945 5-я американская армия начала наступление на итальянский город Болонью, обороняемый 10-й немецкой армией</w:t>
      </w:r>
    </w:p>
    <w:p w14:paraId="2676E3F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A14ACF3"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апреля в 1945 году 5-я американская армия начала наступление на итальянский город Болонью, обороняемый 10-й немецкой армией (15099).</w:t>
      </w:r>
    </w:p>
    <w:p w14:paraId="463BAE2C" w14:textId="77777777" w:rsidR="003D47C5" w:rsidRPr="00925F26" w:rsidRDefault="003D47C5" w:rsidP="00925F26">
      <w:pPr>
        <w:jc w:val="both"/>
        <w:rPr>
          <w:color w:val="000000" w:themeColor="text1"/>
          <w:sz w:val="16"/>
          <w:szCs w:val="16"/>
        </w:rPr>
      </w:pPr>
    </w:p>
    <w:p w14:paraId="7A959F8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14 1945 The 8th Infantry Division from the north and 79th Infantry Division from the south link up on the Ruhr, closing the pocket around Model's Army Group B (1242).</w:t>
      </w:r>
    </w:p>
    <w:p w14:paraId="591509AE" w14:textId="77777777" w:rsidR="00665165" w:rsidRPr="00925F26" w:rsidRDefault="00665165" w:rsidP="00925F26">
      <w:pPr>
        <w:autoSpaceDE w:val="0"/>
        <w:autoSpaceDN w:val="0"/>
        <w:adjustRightInd w:val="0"/>
        <w:jc w:val="both"/>
        <w:rPr>
          <w:color w:val="000000" w:themeColor="text1"/>
          <w:sz w:val="16"/>
          <w:szCs w:val="16"/>
          <w:lang w:val="en-US"/>
        </w:rPr>
      </w:pPr>
    </w:p>
    <w:p w14:paraId="17212EC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14 1945 Model dissolves Army Group B, commits suicide in the woods (1242).</w:t>
      </w:r>
    </w:p>
    <w:p w14:paraId="6F0B7415" w14:textId="77777777" w:rsidR="00665165" w:rsidRPr="00925F26" w:rsidRDefault="00665165" w:rsidP="00925F26">
      <w:pPr>
        <w:autoSpaceDE w:val="0"/>
        <w:autoSpaceDN w:val="0"/>
        <w:adjustRightInd w:val="0"/>
        <w:jc w:val="both"/>
        <w:rPr>
          <w:color w:val="000000" w:themeColor="text1"/>
          <w:sz w:val="16"/>
          <w:szCs w:val="16"/>
          <w:lang w:val="en-US"/>
        </w:rPr>
      </w:pPr>
    </w:p>
    <w:p w14:paraId="25713E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после соединения двух американских дивизий и окружения группы армий Б Модель застрелился (1242).</w:t>
      </w:r>
    </w:p>
    <w:p w14:paraId="04869503" w14:textId="77777777" w:rsidR="00665165" w:rsidRPr="00925F26" w:rsidRDefault="00665165" w:rsidP="00925F26">
      <w:pPr>
        <w:autoSpaceDE w:val="0"/>
        <w:autoSpaceDN w:val="0"/>
        <w:adjustRightInd w:val="0"/>
        <w:jc w:val="both"/>
        <w:rPr>
          <w:color w:val="000000" w:themeColor="text1"/>
          <w:sz w:val="16"/>
          <w:szCs w:val="16"/>
        </w:rPr>
      </w:pPr>
    </w:p>
    <w:p w14:paraId="3A0F41F2" w14:textId="77777777" w:rsidR="003D47C5" w:rsidRPr="00925F26" w:rsidRDefault="003D47C5" w:rsidP="00925F26">
      <w:pPr>
        <w:jc w:val="both"/>
        <w:rPr>
          <w:color w:val="000000" w:themeColor="text1"/>
          <w:sz w:val="16"/>
          <w:szCs w:val="16"/>
        </w:rPr>
      </w:pPr>
      <w:r w:rsidRPr="00925F26">
        <w:rPr>
          <w:color w:val="000000" w:themeColor="text1"/>
          <w:sz w:val="16"/>
          <w:szCs w:val="16"/>
        </w:rPr>
        <w:t>14 апреля в 1945 году самая, пожалуй, дурацкая гибель немецкой подводной лодки прославленной серии VII – «U-235» погибла в проливе Каттегат следующим образом: следуя в подводном положении под РДП за «U-1272», обнаружила немецкий же конвой, идущий из Осло в Киль, навстречу, в составе 2-х транспортов в охранении ЭМ "Фридрих Инн", ММ «Т-17» м канлодки «К-1». Головка "шнорхеля" (РДП) головной лодки была принята надводными немцами за след торпеды, со всеми вытекающими: объявлением тревоги и началом противолодочного поиска, что, впрочем, было лишним - видимо, желая облегчить опознавание себя силами охранения, «U-235» всплыла на поверхность. Но оказалась прямо перед носом «Т-17», и уклоняясь от тарана, не нашла ничего лучше, чем снова нырнуть. Естественно, командир «Т-17» капитан-лейтенант Лирман посчитал лодку вражеской и произвел атаку ГБ, которой оказалось достаточно - после сильного взрыва на поверхность повсплывали тела в серой форме немецких подводников. Весь экипаж погиб. Учитывая тот факт, что лодка, не сделавшая с момента постройки (1942) ни одного боевого похода, однажды уже утонула в гавани Киля после бомбежки американцев в 1943, но была поднята, можно сказать, что это был самый несчастный корабль Кригсмарине (15099).</w:t>
      </w:r>
    </w:p>
    <w:p w14:paraId="7661C10B" w14:textId="77777777" w:rsidR="003D47C5" w:rsidRPr="00925F26" w:rsidRDefault="003D47C5" w:rsidP="00925F26">
      <w:pPr>
        <w:jc w:val="both"/>
        <w:rPr>
          <w:color w:val="000000" w:themeColor="text1"/>
          <w:sz w:val="16"/>
          <w:szCs w:val="16"/>
        </w:rPr>
      </w:pPr>
    </w:p>
    <w:p w14:paraId="1F37C4E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апреля 1945 американские бомбардировщики бомбили императорский дворец в Токио (4962).</w:t>
      </w:r>
    </w:p>
    <w:p w14:paraId="398A6A6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E1FBA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во время бомбардировки Токио В-29 был поврежден императорский дворец (2100).</w:t>
      </w:r>
    </w:p>
    <w:p w14:paraId="7234EC0A" w14:textId="77777777" w:rsidR="00665165" w:rsidRPr="00925F26" w:rsidRDefault="00665165" w:rsidP="00925F26">
      <w:pPr>
        <w:autoSpaceDE w:val="0"/>
        <w:autoSpaceDN w:val="0"/>
        <w:adjustRightInd w:val="0"/>
        <w:jc w:val="both"/>
        <w:rPr>
          <w:color w:val="000000" w:themeColor="text1"/>
          <w:sz w:val="16"/>
          <w:szCs w:val="16"/>
        </w:rPr>
      </w:pPr>
    </w:p>
    <w:p w14:paraId="73502A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апреля 1945 состоялось четвертое боевое применение японцами ракетного снаряда Ока, управляемого камикадзе. Было 7 носителей, повредили эсминец, но не ясно, Ока ли (2969,21).</w:t>
      </w:r>
    </w:p>
    <w:p w14:paraId="6570D0CE" w14:textId="77777777" w:rsidR="00665165" w:rsidRPr="00925F26" w:rsidRDefault="00665165" w:rsidP="00925F26">
      <w:pPr>
        <w:autoSpaceDE w:val="0"/>
        <w:autoSpaceDN w:val="0"/>
        <w:adjustRightInd w:val="0"/>
        <w:jc w:val="both"/>
        <w:rPr>
          <w:color w:val="000000" w:themeColor="text1"/>
          <w:sz w:val="16"/>
          <w:szCs w:val="16"/>
        </w:rPr>
      </w:pPr>
    </w:p>
    <w:p w14:paraId="340751A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7D4D701" w14:textId="77777777" w:rsidR="00665165" w:rsidRPr="00925F26" w:rsidRDefault="00665165" w:rsidP="00925F26">
      <w:pPr>
        <w:autoSpaceDE w:val="0"/>
        <w:autoSpaceDN w:val="0"/>
        <w:adjustRightInd w:val="0"/>
        <w:jc w:val="both"/>
        <w:rPr>
          <w:iCs/>
          <w:color w:val="000000" w:themeColor="text1"/>
          <w:sz w:val="16"/>
          <w:szCs w:val="16"/>
        </w:rPr>
      </w:pPr>
    </w:p>
    <w:p w14:paraId="5B48F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года зам. начальника ВВС ВМФ по тылу генерал-лейтенант интендантской службы Купреев писал письмо N 5/99887с зам. наркома Авиапрома Дементьеву.</w:t>
      </w:r>
    </w:p>
    <w:p w14:paraId="197567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ВВС КБФ принимают участие в боевых действиях </w:t>
      </w:r>
      <w:proofErr w:type="gramStart"/>
      <w:r w:rsidRPr="00925F26">
        <w:rPr>
          <w:color w:val="000000" w:themeColor="text1"/>
          <w:sz w:val="16"/>
          <w:szCs w:val="16"/>
        </w:rPr>
        <w:t>два авиационных полка</w:t>
      </w:r>
      <w:proofErr w:type="gramEnd"/>
      <w:r w:rsidRPr="00925F26">
        <w:rPr>
          <w:color w:val="000000" w:themeColor="text1"/>
          <w:sz w:val="16"/>
          <w:szCs w:val="16"/>
        </w:rPr>
        <w:t xml:space="preserve"> вооруженных самолетами Ил-10 и Як-9У, совершенно необеспеченных резервными моторами. До сих пор от авиапромышленности ВВС ВМФ не получали моторы АМ-42 и ВК-107А. Отсутствие резервных моторов исключает возможность восстановления самолетов с неисправными моторами.</w:t>
      </w:r>
    </w:p>
    <w:p w14:paraId="480933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Вашего распоряжения о выделении ВВС ВМФ в апреле авиамоторов:</w:t>
      </w:r>
    </w:p>
    <w:p w14:paraId="23FEA5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АМ-42 - 10</w:t>
      </w:r>
    </w:p>
    <w:p w14:paraId="7B30C3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ВК-107А - 10</w:t>
      </w:r>
    </w:p>
    <w:p w14:paraId="18CF9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Ваше решение прошу сообщить (2595).</w:t>
      </w:r>
    </w:p>
    <w:p w14:paraId="6EA228F6" w14:textId="77777777" w:rsidR="00665165" w:rsidRPr="00925F26" w:rsidRDefault="00665165" w:rsidP="00925F26">
      <w:pPr>
        <w:autoSpaceDE w:val="0"/>
        <w:autoSpaceDN w:val="0"/>
        <w:adjustRightInd w:val="0"/>
        <w:jc w:val="both"/>
        <w:rPr>
          <w:color w:val="000000" w:themeColor="text1"/>
          <w:sz w:val="16"/>
          <w:szCs w:val="16"/>
        </w:rPr>
      </w:pPr>
    </w:p>
    <w:p w14:paraId="5E0A62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период с 15 апреля по 8 мая в 571-м шап 8-й воздушной армии «по причине производ</w:t>
      </w:r>
      <w:r w:rsidRPr="00925F26">
        <w:rPr>
          <w:color w:val="000000" w:themeColor="text1"/>
          <w:sz w:val="16"/>
          <w:szCs w:val="16"/>
        </w:rPr>
        <w:softHyphen/>
        <w:t>ственно-конструктивных дефектов нагнетателя» из строя вышли 17 моторов АМ-42. Причем восемь отказов моторов произошло в один день, 8 мая: пять — на земле, три — в воздухе. В результате лейтенант Китайгород</w:t>
      </w:r>
      <w:r w:rsidRPr="00925F26">
        <w:rPr>
          <w:color w:val="000000" w:themeColor="text1"/>
          <w:sz w:val="16"/>
          <w:szCs w:val="16"/>
        </w:rPr>
        <w:softHyphen/>
        <w:t>ский и младшие лейтенанты Прищепа и Титов совершили вы</w:t>
      </w:r>
      <w:r w:rsidRPr="00925F26">
        <w:rPr>
          <w:color w:val="000000" w:themeColor="text1"/>
          <w:sz w:val="16"/>
          <w:szCs w:val="16"/>
        </w:rPr>
        <w:softHyphen/>
        <w:t>нужденные посадки вне аэродрома. Впоследствии их «десят</w:t>
      </w:r>
      <w:r w:rsidRPr="00925F26">
        <w:rPr>
          <w:color w:val="000000" w:themeColor="text1"/>
          <w:sz w:val="16"/>
          <w:szCs w:val="16"/>
        </w:rPr>
        <w:softHyphen/>
        <w:t>ки» (зав. №№ 1893203, 1890604 и 1892604) были списаны.</w:t>
      </w:r>
    </w:p>
    <w:p w14:paraId="4F6609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Осмотр моторов, отказавших на земле (зав. №№ 45317, 45541, 45506, 45405, 45663), показал, что основной причиной выхода их из строя является разрушение крыльчатки нагнета</w:t>
      </w:r>
      <w:r w:rsidRPr="00925F26">
        <w:rPr>
          <w:color w:val="000000" w:themeColor="text1"/>
          <w:sz w:val="16"/>
          <w:szCs w:val="16"/>
        </w:rPr>
        <w:softHyphen/>
        <w:t>теля мотора. Аналогичный дефект был обнаружен и на мото</w:t>
      </w:r>
      <w:r w:rsidRPr="00925F26">
        <w:rPr>
          <w:color w:val="000000" w:themeColor="text1"/>
          <w:sz w:val="16"/>
          <w:szCs w:val="16"/>
        </w:rPr>
        <w:softHyphen/>
        <w:t>рах всех Ил-10, совершивших вынужденные посадки (11474,512).</w:t>
      </w:r>
    </w:p>
    <w:p w14:paraId="188E39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334021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апреля 1945 вышло Постановление ГКО № 8146 О перевооружении шести истребительных авиадивизий на самолеты Як-9 с 37 мм пушкой и одной авиадивизии на Як-9 с 45 мм пушкой. (7327, 92-93).</w:t>
      </w:r>
    </w:p>
    <w:p w14:paraId="1D41BDB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17211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85E525D" w14:textId="77777777" w:rsidR="00665165" w:rsidRPr="00925F26" w:rsidRDefault="00665165" w:rsidP="00925F26">
      <w:pPr>
        <w:autoSpaceDE w:val="0"/>
        <w:autoSpaceDN w:val="0"/>
        <w:adjustRightInd w:val="0"/>
        <w:jc w:val="both"/>
        <w:rPr>
          <w:iCs/>
          <w:color w:val="000000" w:themeColor="text1"/>
          <w:sz w:val="16"/>
          <w:szCs w:val="16"/>
        </w:rPr>
      </w:pPr>
    </w:p>
    <w:p w14:paraId="358AAB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вышло Постановление ГКО № 8141 О мероприятиях по обеспечению мазутом, автобензином и индустриальными маслами важнейших заводов Наркомбоеприпасов в апреле 1945 года. РГАНИР, Фонд ГКО, д. 400, лл. 81-83, 84 (11012).</w:t>
      </w:r>
    </w:p>
    <w:p w14:paraId="23DA89EF" w14:textId="77777777" w:rsidR="00665165" w:rsidRPr="00925F26" w:rsidRDefault="00665165" w:rsidP="00925F26">
      <w:pPr>
        <w:autoSpaceDE w:val="0"/>
        <w:autoSpaceDN w:val="0"/>
        <w:adjustRightInd w:val="0"/>
        <w:jc w:val="both"/>
        <w:rPr>
          <w:color w:val="000000" w:themeColor="text1"/>
          <w:sz w:val="16"/>
          <w:szCs w:val="16"/>
        </w:rPr>
      </w:pPr>
    </w:p>
    <w:p w14:paraId="11EA4AF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апреля 1945 вышло Распоряжение ГКО № 8142 [О мерах по обеспечению перевозок торфа для Ивановской и Ярославской ТЭЦ во II квартале 1945 г.] (7327, 85-87).</w:t>
      </w:r>
    </w:p>
    <w:p w14:paraId="644A1DC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A660C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вышло Распоряжение ГКО № 8144. Об улучшении питания и премировании рабочих и ИТР завода "Динамо" НКЭП, участвующих в проектировании, изготовлении и испытаниях опытных образцов электротрансмиссии тяжелых танков. РГАНИР, Фонд ГКО, д. 400, лл. 89-90 (11012).</w:t>
      </w:r>
    </w:p>
    <w:p w14:paraId="080AB692" w14:textId="77777777" w:rsidR="00665165" w:rsidRPr="00925F26" w:rsidRDefault="00665165" w:rsidP="00925F26">
      <w:pPr>
        <w:autoSpaceDE w:val="0"/>
        <w:autoSpaceDN w:val="0"/>
        <w:adjustRightInd w:val="0"/>
        <w:jc w:val="both"/>
        <w:rPr>
          <w:color w:val="000000" w:themeColor="text1"/>
          <w:sz w:val="16"/>
          <w:szCs w:val="16"/>
        </w:rPr>
      </w:pPr>
    </w:p>
    <w:p w14:paraId="1E0AA3A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9361D3C" w14:textId="77777777" w:rsidR="00665165" w:rsidRPr="00925F26" w:rsidRDefault="00665165" w:rsidP="00925F26">
      <w:pPr>
        <w:autoSpaceDE w:val="0"/>
        <w:autoSpaceDN w:val="0"/>
        <w:adjustRightInd w:val="0"/>
        <w:jc w:val="both"/>
        <w:rPr>
          <w:iCs/>
          <w:color w:val="000000" w:themeColor="text1"/>
          <w:sz w:val="16"/>
          <w:szCs w:val="16"/>
        </w:rPr>
      </w:pPr>
    </w:p>
    <w:p w14:paraId="4C0C442A" w14:textId="77777777" w:rsidR="00827BBE" w:rsidRPr="00925F26" w:rsidRDefault="00827BBE" w:rsidP="00925F26">
      <w:pPr>
        <w:jc w:val="both"/>
        <w:rPr>
          <w:color w:val="000000" w:themeColor="text1"/>
          <w:sz w:val="16"/>
          <w:szCs w:val="16"/>
        </w:rPr>
      </w:pPr>
      <w:r w:rsidRPr="00925F26">
        <w:rPr>
          <w:color w:val="000000" w:themeColor="text1"/>
          <w:sz w:val="16"/>
          <w:szCs w:val="16"/>
        </w:rPr>
        <w:t>15 апреля в 1945 году оперативная сводка Совинформбюро:</w:t>
      </w:r>
    </w:p>
    <w:p w14:paraId="0D9FD009" w14:textId="77777777" w:rsidR="00827BBE" w:rsidRPr="00925F26" w:rsidRDefault="00827BBE" w:rsidP="00925F26">
      <w:pPr>
        <w:jc w:val="both"/>
        <w:rPr>
          <w:color w:val="000000" w:themeColor="text1"/>
          <w:sz w:val="16"/>
          <w:szCs w:val="16"/>
        </w:rPr>
      </w:pPr>
      <w:r w:rsidRPr="00925F26">
        <w:rPr>
          <w:color w:val="000000" w:themeColor="text1"/>
          <w:sz w:val="16"/>
          <w:szCs w:val="16"/>
        </w:rPr>
        <w:t>«В течение 15 апреля на Земландском полуострове северо-западнее и западнее Кенигсберга войска 3-го Белорусского фронта, продолжая наступление, с боями заняли более 60 населённых пунктов, в том числе Раушен, Георгенсвальде, Варникен, Гросс Курен, Клайн Курен, Брюстерорт, Гросс Диршкайм, Крайслякен, Гросс Хубникен, Клайн-Хубникен, Дорбникен, Кракстепеллен, Палм-Никен, Зоргенау, Виллкау, Тиренберг, Норгау, Клайн Меденау, Меденау, Адлих Повайен, Шудиттен, Конденен, Видиттен. В боях за 15 апреля в этом районе войска фронта взяли в плен более 3.000 немецких солдат и офицеров.</w:t>
      </w:r>
    </w:p>
    <w:p w14:paraId="46FC9567" w14:textId="77777777" w:rsidR="00827BBE" w:rsidRPr="00925F26" w:rsidRDefault="00827BBE" w:rsidP="00925F26">
      <w:pPr>
        <w:jc w:val="both"/>
        <w:rPr>
          <w:color w:val="000000" w:themeColor="text1"/>
          <w:sz w:val="16"/>
          <w:szCs w:val="16"/>
        </w:rPr>
      </w:pPr>
      <w:r w:rsidRPr="00925F26">
        <w:rPr>
          <w:color w:val="000000" w:themeColor="text1"/>
          <w:sz w:val="16"/>
          <w:szCs w:val="16"/>
        </w:rPr>
        <w:t>Войска 2-го Украинского фронта при содействии войск 3-го Украинского фронта окружили и разгромили группу немецких войск, пытавшихся отступить от Вены на север, и овладели при этом городами Корнейбург и Флоридсдорф — мощными опорными пунктами обороны немцев на левом берегу Дуная, а также заняли населённые пункты Хагенбрунн, Бизамберг, Лангенцерсдорф, Штаммерсдорф, Леопольдау, Кагран, Штадлау.</w:t>
      </w:r>
    </w:p>
    <w:p w14:paraId="62FC69BB" w14:textId="77777777" w:rsidR="00827BBE" w:rsidRPr="00925F26" w:rsidRDefault="00827BBE" w:rsidP="00925F26">
      <w:pPr>
        <w:jc w:val="both"/>
        <w:rPr>
          <w:color w:val="000000" w:themeColor="text1"/>
          <w:sz w:val="16"/>
          <w:szCs w:val="16"/>
        </w:rPr>
      </w:pPr>
      <w:r w:rsidRPr="00925F26">
        <w:rPr>
          <w:color w:val="000000" w:themeColor="text1"/>
          <w:sz w:val="16"/>
          <w:szCs w:val="16"/>
        </w:rPr>
        <w:t>В ходе боёв войска фронта взяли в плен свыше 3.000 немецких солдат и офицеров и захватили следующие трофеи: самолётов — 32, танков и самоходных орудий — 49, полевых орудий — 170, миномётов — 220, пулемётов — 215, автомашин — 750, паровозов — 175, вагонов — 4.500, складов с военным имуществом — 39.</w:t>
      </w:r>
    </w:p>
    <w:p w14:paraId="0871188F" w14:textId="77777777" w:rsidR="00827BBE" w:rsidRPr="00925F26" w:rsidRDefault="00827BBE" w:rsidP="00925F26">
      <w:pPr>
        <w:jc w:val="both"/>
        <w:rPr>
          <w:color w:val="000000" w:themeColor="text1"/>
          <w:sz w:val="16"/>
          <w:szCs w:val="16"/>
        </w:rPr>
      </w:pPr>
      <w:r w:rsidRPr="00925F26">
        <w:rPr>
          <w:color w:val="000000" w:themeColor="text1"/>
          <w:sz w:val="16"/>
          <w:szCs w:val="16"/>
        </w:rPr>
        <w:t>Войска 3-го Украинского фронта, продолжая наступление, 15 апреля овладели на территории Австрии городом Санкт-Пельтен — важным узлом дорог и сильным опорным пунктом обороны немцев на реке Трайзен, а также заняли населённые пункты Прейвиц, Трайсманэр, Поттенбрунн, Ратцерсдорф, Штаттерсдорф, Альтмансдорф. В боях за 14 апреля войска фронта взяли в плен 1.140 немецких солдат и офицеров.</w:t>
      </w:r>
    </w:p>
    <w:p w14:paraId="75C7CF75" w14:textId="77777777" w:rsidR="00827BBE" w:rsidRPr="00925F26" w:rsidRDefault="00827BBE"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0D6EAD79" w14:textId="77777777" w:rsidR="00827BBE" w:rsidRPr="00925F26" w:rsidRDefault="00827BBE" w:rsidP="00925F26">
      <w:pPr>
        <w:jc w:val="both"/>
        <w:rPr>
          <w:color w:val="000000" w:themeColor="text1"/>
          <w:sz w:val="16"/>
          <w:szCs w:val="16"/>
        </w:rPr>
      </w:pPr>
      <w:r w:rsidRPr="00925F26">
        <w:rPr>
          <w:color w:val="000000" w:themeColor="text1"/>
          <w:sz w:val="16"/>
          <w:szCs w:val="16"/>
        </w:rPr>
        <w:t>За 14 апреля наши войска подбили и уничтожили 67 немецких танков и самоходных орудий. В воздушных боях и огнём зенитной артиллерии сбито 57 самолётов противника.</w:t>
      </w:r>
    </w:p>
    <w:p w14:paraId="6A01B912" w14:textId="77777777" w:rsidR="00827BBE" w:rsidRPr="00925F26" w:rsidRDefault="00827BBE" w:rsidP="00925F26">
      <w:pPr>
        <w:jc w:val="both"/>
        <w:rPr>
          <w:color w:val="000000" w:themeColor="text1"/>
          <w:sz w:val="16"/>
          <w:szCs w:val="16"/>
        </w:rPr>
      </w:pPr>
      <w:r w:rsidRPr="00925F26">
        <w:rPr>
          <w:color w:val="000000" w:themeColor="text1"/>
          <w:sz w:val="16"/>
          <w:szCs w:val="16"/>
        </w:rPr>
        <w:t>На Земландском полуострове северо-западнее и западнее города, Кенигсберга наши войска продолжали наступление. Советские танкисты и пехотинцы, сломив сопротивление противника, стремительным рывком вышли к лесу западнее населенного пункта Санкт Лоренц. Немцы сосредоточили в этом районе много артиллерии. Кроме того, по железной дороге, идущей вдоль побережья, курсировал немецкий бронепоезд. Удар наших войск был настолько внезапным, что тщательно подготовленная оборона противника оказалась дезорганизованной. Советские танки атаковали вражеский бронепоезд и вывели его из строя. Одновременно были разгромлены артиллерийские позиции противника. Развивая успех, наши войска продвинулись вперёд на 15 километров и очистили от немцев северо-западную часть Земландского полуострова. Ожесточённые бои происходят в лесах, у побережья залива Фриш-Гаф. Наши войска в этом районе отбили двенадцать вражеских контратак, захватили ряд железобетонных дотов и сильно укрепленных опорных пунктов. Гитлеровцы выбиты из селения Адлих Повайен, расположенного в 12 километрах от города Фишхаузен. В течение дня уничтожено более 5 тысяч немецких солдат и офицеров. Нашими войсками захвачены большие трофеи, в числе которых 8 самолётов, 137 полевых орудий, 46 миномётов, 490 пулемётов, 10 паровозов, 405 железнодорожных платформ и вагонов, а также 22 склада с боеприпасами и различным военным имуществом.</w:t>
      </w:r>
    </w:p>
    <w:p w14:paraId="5F25D7A1" w14:textId="77777777" w:rsidR="00827BBE" w:rsidRPr="00925F26" w:rsidRDefault="00827BBE" w:rsidP="00925F26">
      <w:pPr>
        <w:jc w:val="both"/>
        <w:rPr>
          <w:color w:val="000000" w:themeColor="text1"/>
          <w:sz w:val="16"/>
          <w:szCs w:val="16"/>
        </w:rPr>
      </w:pPr>
      <w:r w:rsidRPr="00925F26">
        <w:rPr>
          <w:color w:val="000000" w:themeColor="text1"/>
          <w:sz w:val="16"/>
          <w:szCs w:val="16"/>
        </w:rPr>
        <w:t>Войска 2-го Украинского фронта, сломив упорное сопротивление противника, ворвались с востока в город Корнейбург, находящийся в 10 километрах к северу от Вены. Одновременно части 3-го Украинского фронта переправились через Дунай и вступили в Корнейбург с юга. В результате уличного боя гарнизон противника понёс большие потери и в беспорядке отступил. Таким образом, наши войска отрезали все пути отхода группе немецких войск, пытавшейся отступить от Вены на север. Советские части со всех сторон атаковали окружённого противника. Немцы оказывали яростное сопротивление, но не выдержали натиска советских войск. Наши пехотинцы и танкисты при поддержке артиллерии вначале расчленили противника, а во второй половине дня разгромили окружённую группу немецких войск. В ходе боёв занят крупный промышленный город Флоридсдорф — мощный опорный пункт обороны немцев на левом берегу Дуная. На поле боя остались тысячи трупов солдат и офицеров противника.</w:t>
      </w:r>
    </w:p>
    <w:p w14:paraId="49CE3180" w14:textId="77777777" w:rsidR="00827BBE" w:rsidRPr="00925F26" w:rsidRDefault="00827BBE" w:rsidP="00925F26">
      <w:pPr>
        <w:jc w:val="both"/>
        <w:rPr>
          <w:color w:val="000000" w:themeColor="text1"/>
          <w:sz w:val="16"/>
          <w:szCs w:val="16"/>
        </w:rPr>
      </w:pPr>
      <w:r w:rsidRPr="00925F26">
        <w:rPr>
          <w:color w:val="000000" w:themeColor="text1"/>
          <w:sz w:val="16"/>
          <w:szCs w:val="16"/>
        </w:rPr>
        <w:t>На подступах к одному опорному пункту немцы оказывали сильное сопротивление. 23 советских артиллериста под командованием старшего лейтенанта Тимошенко на трёх автомашинах с прицепленными к ним орудиями на полном ходу ворвались в расположение противника. Отважные бойцы в упор били по врагу из автоматов и винтовок. Как только водители развернули машины и остановились, расчёты мгновенно стали у орудий. Наводчики младший сержант Жилкин, красноармейцы Веселков и Гордичук открыли огонь и уничтожили вражеские пулемёты, прикрывавшие подступы к пункту. Перешедшей в контратаку немецкой пехоте удалось приблизиться к орудиям. Советские артиллеристы вступили в рукопашную схватку с гитлеровцами и отбили контратаку. Преследуя противника, наши бойцы захватили в плен 20 немцев.</w:t>
      </w:r>
    </w:p>
    <w:p w14:paraId="064DD891" w14:textId="77777777" w:rsidR="00827BBE" w:rsidRPr="00925F26" w:rsidRDefault="00827BBE" w:rsidP="00925F26">
      <w:pPr>
        <w:jc w:val="both"/>
        <w:rPr>
          <w:color w:val="000000" w:themeColor="text1"/>
          <w:sz w:val="16"/>
          <w:szCs w:val="16"/>
        </w:rPr>
      </w:pPr>
      <w:r w:rsidRPr="00925F26">
        <w:rPr>
          <w:color w:val="000000" w:themeColor="text1"/>
          <w:sz w:val="16"/>
          <w:szCs w:val="16"/>
        </w:rPr>
        <w:t>Западнее Вены войска 3-го Украинского фронта, продвигаясь вперёд, на широком фронте вышли к реке Трайзен. Многочисленные группы немцев были прижаты к реке и уничтожены. Советские войска на плечах отступающего противника переправились через Трайзен севернее и южнее города Санкт-Пельтен и штурмом овладели этим сильным опорным пунктом обороны немцев. Санкт-Пельтен является крупным узлом путей сообщения. К нему сходятся пять железных и несколько шоссейных дорог. В городе имеются машиностроительные, металлообрабатывающие и другие заводы. Противник, отступая под ударами наших войск, несёт тяжёлые потери.</w:t>
      </w:r>
    </w:p>
    <w:p w14:paraId="7379D6B7" w14:textId="77777777" w:rsidR="00827BBE" w:rsidRPr="00925F26" w:rsidRDefault="00827BBE" w:rsidP="00925F26">
      <w:pPr>
        <w:jc w:val="both"/>
        <w:rPr>
          <w:color w:val="000000" w:themeColor="text1"/>
          <w:sz w:val="16"/>
          <w:szCs w:val="16"/>
        </w:rPr>
      </w:pPr>
      <w:r w:rsidRPr="00925F26">
        <w:rPr>
          <w:color w:val="000000" w:themeColor="text1"/>
          <w:sz w:val="16"/>
          <w:szCs w:val="16"/>
        </w:rPr>
        <w:t>Наши корабли в Балтийском море потопили немецкий транспорт водоизмещением в 7.000 тонн.» (15100).</w:t>
      </w:r>
    </w:p>
    <w:p w14:paraId="242F127C" w14:textId="77777777" w:rsidR="00827BBE" w:rsidRPr="00925F26" w:rsidRDefault="00827BBE" w:rsidP="00925F26">
      <w:pPr>
        <w:jc w:val="both"/>
        <w:rPr>
          <w:color w:val="000000" w:themeColor="text1"/>
          <w:sz w:val="16"/>
          <w:szCs w:val="16"/>
        </w:rPr>
      </w:pPr>
    </w:p>
    <w:p w14:paraId="3CE4D705" w14:textId="646E8EAA" w:rsidR="00201A26" w:rsidRPr="00925F26" w:rsidRDefault="00201A26" w:rsidP="00925F26">
      <w:pPr>
        <w:pStyle w:val="ae"/>
        <w:spacing w:before="0" w:after="0"/>
        <w:jc w:val="both"/>
        <w:textAlignment w:val="baseline"/>
        <w:rPr>
          <w:color w:val="000000" w:themeColor="text1"/>
          <w:sz w:val="16"/>
          <w:szCs w:val="16"/>
        </w:rPr>
      </w:pPr>
      <w:r w:rsidRPr="00925F26">
        <w:rPr>
          <w:color w:val="000000" w:themeColor="text1"/>
          <w:sz w:val="16"/>
          <w:szCs w:val="16"/>
        </w:rPr>
        <w:t>15 апреля 1945 Ил-10 108-й гв. шап отправились на первое задание новые самолеты. Боевые вылеты в основном осуществлялись группами по шесть — восемь машин под прикрытием четырех истребителей Лa-5 из 6-й гв. иад, иногда группами по четыре штурмовика в сопровождении двух «Лавочкиных». Ил-10 имели гораздо большую скорость, чем предшественники, что намного упрощало задачу эскорта. Дело в том, что крейсерская скорость Ил-2 составляла около 300–</w:t>
      </w:r>
      <w:proofErr w:type="gramStart"/>
      <w:r w:rsidRPr="00925F26">
        <w:rPr>
          <w:color w:val="000000" w:themeColor="text1"/>
          <w:sz w:val="16"/>
          <w:szCs w:val="16"/>
        </w:rPr>
        <w:t>330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/ч, то есть примерно на </w:t>
      </w:r>
      <w:proofErr w:type="gramStart"/>
      <w:r w:rsidRPr="00925F26">
        <w:rPr>
          <w:color w:val="000000" w:themeColor="text1"/>
          <w:sz w:val="16"/>
          <w:szCs w:val="16"/>
        </w:rPr>
        <w:t>40</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меньше, чем у Ла-5 и Ла-5ФН. Из-за этого истребители не могли сопровождать штурмовиков по прямой, а описывали над ними круги и делали всевозможные маневры. Именно из-за этого в течение всей войны часто имели место случаи, когда истребители эскорта теряли подопечных из виду либо оказывались в стороне в момент атаки немецких самолетов. «Десятка» же за счет более мощного мотора могла лететь к цели со скоростью до </w:t>
      </w:r>
      <w:proofErr w:type="gramStart"/>
      <w:r w:rsidRPr="00925F26">
        <w:rPr>
          <w:color w:val="000000" w:themeColor="text1"/>
          <w:sz w:val="16"/>
          <w:szCs w:val="16"/>
        </w:rPr>
        <w:t>450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/ч и выше, что позволяло «Лавочкиным» и Якам двигаться над ними без маневров и постоянно держать в поле зрения.</w:t>
      </w:r>
    </w:p>
    <w:p w14:paraId="3219A898" w14:textId="77777777" w:rsidR="00201A26" w:rsidRPr="00925F26" w:rsidRDefault="00201A26" w:rsidP="00925F26">
      <w:pPr>
        <w:pStyle w:val="ae"/>
        <w:spacing w:before="0" w:after="0"/>
        <w:jc w:val="both"/>
        <w:textAlignment w:val="baseline"/>
        <w:rPr>
          <w:color w:val="000000" w:themeColor="text1"/>
          <w:sz w:val="16"/>
          <w:szCs w:val="16"/>
        </w:rPr>
      </w:pPr>
      <w:r w:rsidRPr="00925F26">
        <w:rPr>
          <w:color w:val="000000" w:themeColor="text1"/>
          <w:sz w:val="16"/>
          <w:szCs w:val="16"/>
        </w:rPr>
        <w:t>Во время боевых вылетов на новых машинах летчики 108-го гв. шап пять раз сталкивались с немецкой авиацией. Так, в районе северо-западнее Форет восемь Ил-10 действовали в кругу над целью под прикрытием четырех Ла-5. Неожиданно из облаков вывалились четыре FW-190. Пилоты штурмовиков приготовились к бою, однако «Фокке-Вульфы» по какой-то причине уклонились от боя и с резким набором высоты ушли обратно в облака (19522).</w:t>
      </w:r>
    </w:p>
    <w:p w14:paraId="1D659787" w14:textId="77777777" w:rsidR="00201A26" w:rsidRPr="00925F26" w:rsidRDefault="00201A26" w:rsidP="00925F26">
      <w:pPr>
        <w:pStyle w:val="ae"/>
        <w:spacing w:before="0" w:after="0"/>
        <w:jc w:val="both"/>
        <w:textAlignment w:val="baseline"/>
        <w:rPr>
          <w:color w:val="000000" w:themeColor="text1"/>
          <w:sz w:val="16"/>
          <w:szCs w:val="16"/>
        </w:rPr>
      </w:pPr>
    </w:p>
    <w:p w14:paraId="5D72D4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апре</w:t>
      </w:r>
      <w:r w:rsidRPr="00925F26">
        <w:rPr>
          <w:color w:val="000000" w:themeColor="text1"/>
          <w:sz w:val="16"/>
          <w:szCs w:val="16"/>
        </w:rPr>
        <w:softHyphen/>
        <w:t>ля 1945 571-й полк начал боевые действия с нанесения ударов по войскам и тех</w:t>
      </w:r>
      <w:r w:rsidRPr="00925F26">
        <w:rPr>
          <w:color w:val="000000" w:themeColor="text1"/>
          <w:sz w:val="16"/>
          <w:szCs w:val="16"/>
        </w:rPr>
        <w:softHyphen/>
        <w:t>нике противника в районе Свобода, Путс, Янарице, Штепанковице, Радунь, Подви-сов, Хваликовице, Ольда, Сухе Лазце. Действовали группами по 8 - 15 штурмо</w:t>
      </w:r>
      <w:r w:rsidRPr="00925F26">
        <w:rPr>
          <w:color w:val="000000" w:themeColor="text1"/>
          <w:sz w:val="16"/>
          <w:szCs w:val="16"/>
        </w:rPr>
        <w:softHyphen/>
        <w:t>виков под прикрытием 4-8 истребите</w:t>
      </w:r>
      <w:r w:rsidRPr="00925F26">
        <w:rPr>
          <w:color w:val="000000" w:themeColor="text1"/>
          <w:sz w:val="16"/>
          <w:szCs w:val="16"/>
        </w:rPr>
        <w:softHyphen/>
        <w:t>лей Як-3 и Як-9 из 112-го гиап. Всего в те</w:t>
      </w:r>
      <w:r w:rsidRPr="00925F26">
        <w:rPr>
          <w:color w:val="000000" w:themeColor="text1"/>
          <w:sz w:val="16"/>
          <w:szCs w:val="16"/>
        </w:rPr>
        <w:softHyphen/>
        <w:t>чение дня полк выполнил 73 самолето</w:t>
      </w:r>
      <w:r w:rsidRPr="00925F26">
        <w:rPr>
          <w:color w:val="000000" w:themeColor="text1"/>
          <w:sz w:val="16"/>
          <w:szCs w:val="16"/>
        </w:rPr>
        <w:softHyphen/>
        <w:t>вылета. Главным образом использова</w:t>
      </w:r>
      <w:r w:rsidRPr="00925F26">
        <w:rPr>
          <w:color w:val="000000" w:themeColor="text1"/>
          <w:sz w:val="16"/>
          <w:szCs w:val="16"/>
        </w:rPr>
        <w:softHyphen/>
        <w:t>лись небольшие - 50-кг фугасные и 25-кг осколочные бомбы, поэтому средняя бомбовая нагрузка на один самолето-вы</w:t>
      </w:r>
      <w:r w:rsidRPr="00925F26">
        <w:rPr>
          <w:color w:val="000000" w:themeColor="text1"/>
          <w:sz w:val="16"/>
          <w:szCs w:val="16"/>
        </w:rPr>
        <w:softHyphen/>
        <w:t>лет составила всего 224 кг. По наблюдениям экипажей были унич</w:t>
      </w:r>
      <w:r w:rsidRPr="00925F26">
        <w:rPr>
          <w:color w:val="000000" w:themeColor="text1"/>
          <w:sz w:val="16"/>
          <w:szCs w:val="16"/>
        </w:rPr>
        <w:softHyphen/>
        <w:t>тожены или повреждены 21 автомаши</w:t>
      </w:r>
      <w:r w:rsidRPr="00925F26">
        <w:rPr>
          <w:color w:val="000000" w:themeColor="text1"/>
          <w:sz w:val="16"/>
          <w:szCs w:val="16"/>
        </w:rPr>
        <w:softHyphen/>
        <w:t xml:space="preserve">на, 2 орудия полевой артиллерии, </w:t>
      </w:r>
      <w:r w:rsidRPr="00925F26">
        <w:rPr>
          <w:color w:val="000000" w:themeColor="text1"/>
          <w:sz w:val="16"/>
          <w:szCs w:val="16"/>
        </w:rPr>
        <w:lastRenderedPageBreak/>
        <w:t>1 ми</w:t>
      </w:r>
      <w:r w:rsidRPr="00925F26">
        <w:rPr>
          <w:color w:val="000000" w:themeColor="text1"/>
          <w:sz w:val="16"/>
          <w:szCs w:val="16"/>
        </w:rPr>
        <w:softHyphen/>
        <w:t>нометная батарея, создано 7 очагов по</w:t>
      </w:r>
      <w:r w:rsidRPr="00925F26">
        <w:rPr>
          <w:color w:val="000000" w:themeColor="text1"/>
          <w:sz w:val="16"/>
          <w:szCs w:val="16"/>
        </w:rPr>
        <w:softHyphen/>
        <w:t>жаров и подавлена 1 зенитная батарея противника. У целей самолеты встретились с сильным огнем малокалиберной зенитной артиллерии, в результате кото</w:t>
      </w:r>
      <w:r w:rsidRPr="00925F26">
        <w:rPr>
          <w:color w:val="000000" w:themeColor="text1"/>
          <w:sz w:val="16"/>
          <w:szCs w:val="16"/>
        </w:rPr>
        <w:softHyphen/>
        <w:t>рого был подбит Ил-10 младшего лейте</w:t>
      </w:r>
      <w:r w:rsidRPr="00925F26">
        <w:rPr>
          <w:color w:val="000000" w:themeColor="text1"/>
          <w:sz w:val="16"/>
          <w:szCs w:val="16"/>
        </w:rPr>
        <w:softHyphen/>
        <w:t>нанта В.И. Кудрявцева. На самолете бы</w:t>
      </w:r>
      <w:r w:rsidRPr="00925F26">
        <w:rPr>
          <w:color w:val="000000" w:themeColor="text1"/>
          <w:sz w:val="16"/>
          <w:szCs w:val="16"/>
        </w:rPr>
        <w:softHyphen/>
        <w:t>ла повреждена пневмосистема шасси и перебиты тяги управления элеронами. Воздушный стрелок сержант Н.П. Сум-ряков был убит. Несмотря на серьезные повреждения машины, летчик сумел до</w:t>
      </w:r>
      <w:r w:rsidRPr="00925F26">
        <w:rPr>
          <w:color w:val="000000" w:themeColor="text1"/>
          <w:sz w:val="16"/>
          <w:szCs w:val="16"/>
        </w:rPr>
        <w:softHyphen/>
        <w:t>тянуть до своего аэродрома. Однако на посадке шасси вышло не полностью и при касании о землю самопроизвольно сложилось. Штурмовик развернуло вле</w:t>
      </w:r>
      <w:r w:rsidRPr="00925F26">
        <w:rPr>
          <w:color w:val="000000" w:themeColor="text1"/>
          <w:sz w:val="16"/>
          <w:szCs w:val="16"/>
        </w:rPr>
        <w:softHyphen/>
        <w:t>во и понесло на стоянку самолетов. Скользя на фюзеляже, Ил-10 врезался в бензозаправщик. От удара отлетела кон</w:t>
      </w:r>
      <w:r w:rsidRPr="00925F26">
        <w:rPr>
          <w:color w:val="000000" w:themeColor="text1"/>
          <w:sz w:val="16"/>
          <w:szCs w:val="16"/>
        </w:rPr>
        <w:softHyphen/>
        <w:t>соль крыла вместе с центропланом. Шо</w:t>
      </w:r>
      <w:r w:rsidRPr="00925F26">
        <w:rPr>
          <w:color w:val="000000" w:themeColor="text1"/>
          <w:sz w:val="16"/>
          <w:szCs w:val="16"/>
        </w:rPr>
        <w:softHyphen/>
        <w:t>фер погиб, а летчик и стоявший рядом с автомобилем солдат получили ранения. Самолет списали. В течение дня четыре группы штурмо</w:t>
      </w:r>
      <w:r w:rsidRPr="00925F26">
        <w:rPr>
          <w:color w:val="000000" w:themeColor="text1"/>
          <w:sz w:val="16"/>
          <w:szCs w:val="16"/>
        </w:rPr>
        <w:softHyphen/>
        <w:t>виков встречались с немецкими истре</w:t>
      </w:r>
      <w:r w:rsidRPr="00925F26">
        <w:rPr>
          <w:color w:val="000000" w:themeColor="text1"/>
          <w:sz w:val="16"/>
          <w:szCs w:val="16"/>
        </w:rPr>
        <w:softHyphen/>
        <w:t>бителями и вели с ними воздушные бои. Так, группа в составе 13 Ил-10 (ведущий майор Зацепа) в сопровождении шести Як-3 наносила удар по позициям артил</w:t>
      </w:r>
      <w:r w:rsidRPr="00925F26">
        <w:rPr>
          <w:color w:val="000000" w:themeColor="text1"/>
          <w:sz w:val="16"/>
          <w:szCs w:val="16"/>
        </w:rPr>
        <w:softHyphen/>
        <w:t>лерии в районе Свобода. Когда наши делали второй заход, выше их появи</w:t>
      </w:r>
      <w:r w:rsidRPr="00925F26">
        <w:rPr>
          <w:color w:val="000000" w:themeColor="text1"/>
          <w:sz w:val="16"/>
          <w:szCs w:val="16"/>
        </w:rPr>
        <w:softHyphen/>
        <w:t>лись 9 истребителей Р\Л/ 190, которые, разделившись на пары, атаковали штур</w:t>
      </w:r>
      <w:r w:rsidRPr="00925F26">
        <w:rPr>
          <w:color w:val="000000" w:themeColor="text1"/>
          <w:sz w:val="16"/>
          <w:szCs w:val="16"/>
        </w:rPr>
        <w:softHyphen/>
        <w:t>мовики. «Яки» сопровождения вовремя заметили опасность и сорвали первую атаку «фоккеров». Экипажи Ил-10, осво</w:t>
      </w:r>
      <w:r w:rsidRPr="00925F26">
        <w:rPr>
          <w:color w:val="000000" w:themeColor="text1"/>
          <w:sz w:val="16"/>
          <w:szCs w:val="16"/>
        </w:rPr>
        <w:softHyphen/>
        <w:t>бодившись от бомб, прекратили обстрел наземных целей и теснее сомкнули круг. Немцы попробовали повторить нападе</w:t>
      </w:r>
      <w:r w:rsidRPr="00925F26">
        <w:rPr>
          <w:color w:val="000000" w:themeColor="text1"/>
          <w:sz w:val="16"/>
          <w:szCs w:val="16"/>
        </w:rPr>
        <w:softHyphen/>
        <w:t>ние, но дружный огонь стрелков и актив</w:t>
      </w:r>
      <w:r w:rsidRPr="00925F26">
        <w:rPr>
          <w:color w:val="000000" w:themeColor="text1"/>
          <w:sz w:val="16"/>
          <w:szCs w:val="16"/>
        </w:rPr>
        <w:softHyphen/>
        <w:t>ные действия истребителей прикрытия сорвали их планы. При этом в ходе боя «якам» удалось свалить один ФВ 190. Два часа спустя три «мессершмитта» попытались атаковать дюжину Ил-10 (ведущий майор Бочкарев), которые под прикрытием шести Як-3 бомбили авто</w:t>
      </w:r>
      <w:r w:rsidRPr="00925F26">
        <w:rPr>
          <w:color w:val="000000" w:themeColor="text1"/>
          <w:sz w:val="16"/>
          <w:szCs w:val="16"/>
        </w:rPr>
        <w:softHyphen/>
        <w:t>машины противника в районе Пусте, Якартице. Штурмовики находились в бое</w:t>
      </w:r>
      <w:r w:rsidRPr="00925F26">
        <w:rPr>
          <w:color w:val="000000" w:themeColor="text1"/>
          <w:sz w:val="16"/>
          <w:szCs w:val="16"/>
        </w:rPr>
        <w:softHyphen/>
        <w:t>вом порядке «круг». Однако атака была сорвана нашими истребителями при</w:t>
      </w:r>
      <w:r w:rsidRPr="00925F26">
        <w:rPr>
          <w:color w:val="000000" w:themeColor="text1"/>
          <w:sz w:val="16"/>
          <w:szCs w:val="16"/>
        </w:rPr>
        <w:softHyphen/>
        <w:t>крытия. Немцы вышли из боя с правым разворотом и больше не показывались. Во второй половине дня произошли еще два боя. В обоих случаях штурмовики потерь не имели (10681).</w:t>
      </w:r>
    </w:p>
    <w:p w14:paraId="194A92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D8F1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15 апреля по 8 мая 1945 г. в об</w:t>
      </w:r>
      <w:r w:rsidRPr="00925F26">
        <w:rPr>
          <w:color w:val="000000" w:themeColor="text1"/>
          <w:sz w:val="16"/>
          <w:szCs w:val="16"/>
        </w:rPr>
        <w:softHyphen/>
        <w:t xml:space="preserve">щей сложности экипажи 571-го шап, 108-го и 118-го гшап выполнили 1019 боевых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Из этого чис</w:t>
      </w:r>
      <w:r w:rsidRPr="00925F26">
        <w:rPr>
          <w:color w:val="000000" w:themeColor="text1"/>
          <w:sz w:val="16"/>
          <w:szCs w:val="16"/>
        </w:rPr>
        <w:softHyphen/>
        <w:t xml:space="preserve">ла 735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приходится на 571-й шап и 224 - на 108-й гшап. Все боевые вылеты выполнялись только в простых метеоусловиях. В сред</w:t>
      </w:r>
      <w:r w:rsidRPr="00925F26">
        <w:rPr>
          <w:color w:val="000000" w:themeColor="text1"/>
          <w:sz w:val="16"/>
          <w:szCs w:val="16"/>
        </w:rPr>
        <w:softHyphen/>
        <w:t xml:space="preserve">нем в течение дня полки выполняли 30 -32 </w:t>
      </w:r>
      <w:proofErr w:type="gramStart"/>
      <w:r w:rsidRPr="00925F26">
        <w:rPr>
          <w:color w:val="000000" w:themeColor="text1"/>
          <w:sz w:val="16"/>
          <w:szCs w:val="16"/>
        </w:rPr>
        <w:t>самолето-вылета</w:t>
      </w:r>
      <w:proofErr w:type="gramEnd"/>
      <w:r w:rsidRPr="00925F26">
        <w:rPr>
          <w:color w:val="000000" w:themeColor="text1"/>
          <w:sz w:val="16"/>
          <w:szCs w:val="16"/>
        </w:rPr>
        <w:t xml:space="preserve"> группами от 6 - 8 до 12-24 машин. Атаковали в основном точечные цели на переднем крае и в ближайшем тылу. Подавляющее количество вылетов (свыше 98%) было выполнено для атаки танков, автомашин, артиллерии на огне</w:t>
      </w:r>
      <w:r w:rsidRPr="00925F26">
        <w:rPr>
          <w:color w:val="000000" w:themeColor="text1"/>
          <w:sz w:val="16"/>
          <w:szCs w:val="16"/>
        </w:rPr>
        <w:softHyphen/>
        <w:t>вых позициях и живой силы противника на поле боя, в местах сосредоточения и на дорогах. Как правило, на боевые задания груп</w:t>
      </w:r>
      <w:r w:rsidRPr="00925F26">
        <w:rPr>
          <w:color w:val="000000" w:themeColor="text1"/>
          <w:sz w:val="16"/>
          <w:szCs w:val="16"/>
        </w:rPr>
        <w:softHyphen/>
        <w:t>пы Ил-10 ходили в пеленге пар, считав</w:t>
      </w:r>
      <w:r w:rsidRPr="00925F26">
        <w:rPr>
          <w:color w:val="000000" w:themeColor="text1"/>
          <w:sz w:val="16"/>
          <w:szCs w:val="16"/>
        </w:rPr>
        <w:softHyphen/>
        <w:t>шемся наилучшим боевым порядком. На подходе к цели ведущий оставлял цель слева от себя, «визируя» ее с до-воротом на 90° и последующим пикиро</w:t>
      </w:r>
      <w:r w:rsidRPr="00925F26">
        <w:rPr>
          <w:color w:val="000000" w:themeColor="text1"/>
          <w:sz w:val="16"/>
          <w:szCs w:val="16"/>
        </w:rPr>
        <w:softHyphen/>
        <w:t>ванием под углом 15° - 40°. Выход из атаки осуществлялся с правым или ле</w:t>
      </w:r>
      <w:r w:rsidRPr="00925F26">
        <w:rPr>
          <w:color w:val="000000" w:themeColor="text1"/>
          <w:sz w:val="16"/>
          <w:szCs w:val="16"/>
        </w:rPr>
        <w:softHyphen/>
        <w:t>вым разворотом. В первом заходе обыч</w:t>
      </w:r>
      <w:r w:rsidRPr="00925F26">
        <w:rPr>
          <w:color w:val="000000" w:themeColor="text1"/>
          <w:sz w:val="16"/>
          <w:szCs w:val="16"/>
        </w:rPr>
        <w:softHyphen/>
        <w:t>но выполнялось бомбометание на выхо</w:t>
      </w:r>
      <w:r w:rsidRPr="00925F26">
        <w:rPr>
          <w:color w:val="000000" w:themeColor="text1"/>
          <w:sz w:val="16"/>
          <w:szCs w:val="16"/>
        </w:rPr>
        <w:softHyphen/>
        <w:t>де из пикирования с высоты 300 - 400 м. В последующих - велся огонь из пушек и пулеметов со снижением вплоть до бреющего полета. Огонь открывался с дистанции 400 - 500 м. Одновременно подавлялись зенитные средства с отво</w:t>
      </w:r>
      <w:r w:rsidRPr="00925F26">
        <w:rPr>
          <w:color w:val="000000" w:themeColor="text1"/>
          <w:sz w:val="16"/>
          <w:szCs w:val="16"/>
        </w:rPr>
        <w:softHyphen/>
        <w:t>ротом из круга в сторону огневой точки. Благодаря повышенной скорости и ма</w:t>
      </w:r>
      <w:r w:rsidRPr="00925F26">
        <w:rPr>
          <w:color w:val="000000" w:themeColor="text1"/>
          <w:sz w:val="16"/>
          <w:szCs w:val="16"/>
        </w:rPr>
        <w:softHyphen/>
        <w:t>невренности Ил-10 экипаж затем легко возвращался на свое место в строю. Летчики отмечали, что «вследствие легкости управления и повышенной ско</w:t>
      </w:r>
      <w:r w:rsidRPr="00925F26">
        <w:rPr>
          <w:color w:val="000000" w:themeColor="text1"/>
          <w:sz w:val="16"/>
          <w:szCs w:val="16"/>
        </w:rPr>
        <w:softHyphen/>
        <w:t>рости легко замыкается «круг», эффек</w:t>
      </w:r>
      <w:r w:rsidRPr="00925F26">
        <w:rPr>
          <w:color w:val="000000" w:themeColor="text1"/>
          <w:sz w:val="16"/>
          <w:szCs w:val="16"/>
        </w:rPr>
        <w:softHyphen/>
        <w:t>тивно выполняется противозенитный маневр». Самолеты при этом летели пе</w:t>
      </w:r>
      <w:r w:rsidRPr="00925F26">
        <w:rPr>
          <w:color w:val="000000" w:themeColor="text1"/>
          <w:sz w:val="16"/>
          <w:szCs w:val="16"/>
        </w:rPr>
        <w:softHyphen/>
        <w:t>ленгом с минимальной глубиной строя и увеличенными интервалами. Одиноч</w:t>
      </w:r>
      <w:r w:rsidRPr="00925F26">
        <w:rPr>
          <w:color w:val="000000" w:themeColor="text1"/>
          <w:sz w:val="16"/>
          <w:szCs w:val="16"/>
        </w:rPr>
        <w:softHyphen/>
        <w:t>ные машины маневрировали как по вы</w:t>
      </w:r>
      <w:r w:rsidRPr="00925F26">
        <w:rPr>
          <w:color w:val="000000" w:themeColor="text1"/>
          <w:sz w:val="16"/>
          <w:szCs w:val="16"/>
        </w:rPr>
        <w:softHyphen/>
        <w:t>соте, так и по курсу. Применялись бое</w:t>
      </w:r>
      <w:r w:rsidRPr="00925F26">
        <w:rPr>
          <w:color w:val="000000" w:themeColor="text1"/>
          <w:sz w:val="16"/>
          <w:szCs w:val="16"/>
        </w:rPr>
        <w:softHyphen/>
        <w:t>вые развороты, «змейка», уход от цели на бреющем полете и т.д. Особенно был выгоден маневр по высоте, ввиду высо</w:t>
      </w:r>
      <w:r w:rsidRPr="00925F26">
        <w:rPr>
          <w:color w:val="000000" w:themeColor="text1"/>
          <w:sz w:val="16"/>
          <w:szCs w:val="16"/>
        </w:rPr>
        <w:softHyphen/>
        <w:t>кой скороподъемности Ил-10, в сравне</w:t>
      </w:r>
      <w:r w:rsidRPr="00925F26">
        <w:rPr>
          <w:color w:val="000000" w:themeColor="text1"/>
          <w:sz w:val="16"/>
          <w:szCs w:val="16"/>
        </w:rPr>
        <w:softHyphen/>
        <w:t>нии с Ил-2. В большинстве случаев зенитный огонь по Ил-10 противник вел прицель</w:t>
      </w:r>
      <w:r w:rsidRPr="00925F26">
        <w:rPr>
          <w:color w:val="000000" w:themeColor="text1"/>
          <w:sz w:val="16"/>
          <w:szCs w:val="16"/>
        </w:rPr>
        <w:softHyphen/>
        <w:t>но, сосредоточивая его на ведущем са</w:t>
      </w:r>
      <w:r w:rsidRPr="00925F26">
        <w:rPr>
          <w:color w:val="000000" w:themeColor="text1"/>
          <w:sz w:val="16"/>
          <w:szCs w:val="16"/>
        </w:rPr>
        <w:softHyphen/>
        <w:t>молете обычно еще до подхода к цели. При применении нашими летчиками противозенитного маневра разрывы ча</w:t>
      </w:r>
      <w:r w:rsidRPr="00925F26">
        <w:rPr>
          <w:color w:val="000000" w:themeColor="text1"/>
          <w:sz w:val="16"/>
          <w:szCs w:val="16"/>
        </w:rPr>
        <w:softHyphen/>
        <w:t>сто наблюдались позади группы, так как немецкие расчеты по привычке ориен</w:t>
      </w:r>
      <w:r w:rsidRPr="00925F26">
        <w:rPr>
          <w:color w:val="000000" w:themeColor="text1"/>
          <w:sz w:val="16"/>
          <w:szCs w:val="16"/>
        </w:rPr>
        <w:softHyphen/>
        <w:t>тировались на летные данные Ил-2, скорость которого была меньше. Истребители Люфтваффе атаковали, как правило, сзади-сверху, снизу и сбоку, открывая огонь с больших дистанций -400 - 500 м. Его вели длинными очере</w:t>
      </w:r>
      <w:r w:rsidRPr="00925F26">
        <w:rPr>
          <w:color w:val="000000" w:themeColor="text1"/>
          <w:sz w:val="16"/>
          <w:szCs w:val="16"/>
        </w:rPr>
        <w:softHyphen/>
        <w:t>дями до дистанции 200 м, а затем пере</w:t>
      </w:r>
      <w:r w:rsidRPr="00925F26">
        <w:rPr>
          <w:color w:val="000000" w:themeColor="text1"/>
          <w:sz w:val="16"/>
          <w:szCs w:val="16"/>
        </w:rPr>
        <w:softHyphen/>
        <w:t>ходили на средние очереди. Отмеча</w:t>
      </w:r>
      <w:r w:rsidRPr="00925F26">
        <w:rPr>
          <w:color w:val="000000" w:themeColor="text1"/>
          <w:sz w:val="16"/>
          <w:szCs w:val="16"/>
        </w:rPr>
        <w:softHyphen/>
        <w:t>лись случаи встречи с новейшими не</w:t>
      </w:r>
      <w:r w:rsidRPr="00925F26">
        <w:rPr>
          <w:color w:val="000000" w:themeColor="text1"/>
          <w:sz w:val="16"/>
          <w:szCs w:val="16"/>
        </w:rPr>
        <w:softHyphen/>
        <w:t>мецкими истребителями ФВ1900-9. Летчики указывали, что они «обладают большим диапазоном скоростей - атака производится на небольшой скорости, но подход и уход на больших, и наши ис</w:t>
      </w:r>
      <w:r w:rsidRPr="00925F26">
        <w:rPr>
          <w:color w:val="000000" w:themeColor="text1"/>
          <w:sz w:val="16"/>
          <w:szCs w:val="16"/>
        </w:rPr>
        <w:softHyphen/>
        <w:t>требители не успевают реагировать». По общему мнению, для прикрытия группы из шести — восьми самолетов Ил-10 в воздушной обстановке конца войны было достаточно выделять две пары истребителей, а на четверку - од</w:t>
      </w:r>
      <w:r w:rsidRPr="00925F26">
        <w:rPr>
          <w:color w:val="000000" w:themeColor="text1"/>
          <w:sz w:val="16"/>
          <w:szCs w:val="16"/>
        </w:rPr>
        <w:softHyphen/>
        <w:t>ну пару (10681).</w:t>
      </w:r>
    </w:p>
    <w:p w14:paraId="09B380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5953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апреля 1945 571-й шап начал боевые действия с нанесения бомбоштурмо-вых ударов по войскам и технике про</w:t>
      </w:r>
      <w:r w:rsidRPr="00925F26">
        <w:rPr>
          <w:color w:val="000000" w:themeColor="text1"/>
          <w:sz w:val="16"/>
          <w:szCs w:val="16"/>
        </w:rPr>
        <w:softHyphen/>
        <w:t>тивника в районе Свобода, Путс, Яна-рице, Штепанковице, Радунь, Подви-сов,Хваликовице, Ольда, Сухе,Лазце. Удары наносились группами по 8-15 Ил-10 под прикрытием 4-8 истре</w:t>
      </w:r>
      <w:r w:rsidRPr="00925F26">
        <w:rPr>
          <w:color w:val="000000" w:themeColor="text1"/>
          <w:sz w:val="16"/>
          <w:szCs w:val="16"/>
        </w:rPr>
        <w:softHyphen/>
        <w:t>бителей Як-3 и Як-9 от 112-го гиап. Первую группу в составе 15 Ил-10 повел в бой командир полка п-п-к Бе</w:t>
      </w:r>
      <w:r w:rsidRPr="00925F26">
        <w:rPr>
          <w:color w:val="000000" w:themeColor="text1"/>
          <w:sz w:val="16"/>
          <w:szCs w:val="16"/>
        </w:rPr>
        <w:softHyphen/>
        <w:t>зух. Взлет экипажи выполнили образ</w:t>
      </w:r>
      <w:r w:rsidRPr="00925F26">
        <w:rPr>
          <w:color w:val="000000" w:themeColor="text1"/>
          <w:sz w:val="16"/>
          <w:szCs w:val="16"/>
        </w:rPr>
        <w:softHyphen/>
        <w:t>цово и в 10.10 встали на курс. Штур</w:t>
      </w:r>
      <w:r w:rsidRPr="00925F26">
        <w:rPr>
          <w:color w:val="000000" w:themeColor="text1"/>
          <w:sz w:val="16"/>
          <w:szCs w:val="16"/>
        </w:rPr>
        <w:softHyphen/>
        <w:t>мовики нанесли удар по артминбата-реям и скоплению живой силы про</w:t>
      </w:r>
      <w:r w:rsidRPr="00925F26">
        <w:rPr>
          <w:color w:val="000000" w:themeColor="text1"/>
          <w:sz w:val="16"/>
          <w:szCs w:val="16"/>
        </w:rPr>
        <w:softHyphen/>
        <w:t>тивника в районе Врбха, Свобода. Это было первое боевое применение са</w:t>
      </w:r>
      <w:r w:rsidRPr="00925F26">
        <w:rPr>
          <w:color w:val="000000" w:themeColor="text1"/>
          <w:sz w:val="16"/>
          <w:szCs w:val="16"/>
        </w:rPr>
        <w:softHyphen/>
        <w:t>молета Ил-10 в войне.</w:t>
      </w:r>
    </w:p>
    <w:p w14:paraId="6BF016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районе целей немцами велся сильный огонь малокалиберной зе</w:t>
      </w:r>
      <w:r w:rsidRPr="00925F26">
        <w:rPr>
          <w:color w:val="000000" w:themeColor="text1"/>
          <w:sz w:val="16"/>
          <w:szCs w:val="16"/>
        </w:rPr>
        <w:softHyphen/>
        <w:t>нитной артиллерии, в результате ко</w:t>
      </w:r>
      <w:r w:rsidRPr="00925F26">
        <w:rPr>
          <w:color w:val="000000" w:themeColor="text1"/>
          <w:sz w:val="16"/>
          <w:szCs w:val="16"/>
        </w:rPr>
        <w:softHyphen/>
        <w:t>торого примерно в 10.45-10.55 был подбит Ил-10 (зав. № 1893703) мл. л-та В. И. Кудрявцева. На самолете была повреждена воздушная система управ</w:t>
      </w:r>
      <w:r w:rsidRPr="00925F26">
        <w:rPr>
          <w:color w:val="000000" w:themeColor="text1"/>
          <w:sz w:val="16"/>
          <w:szCs w:val="16"/>
        </w:rPr>
        <w:softHyphen/>
        <w:t>ления шасси и перебиты тяги управ</w:t>
      </w:r>
      <w:r w:rsidRPr="00925F26">
        <w:rPr>
          <w:color w:val="000000" w:themeColor="text1"/>
          <w:sz w:val="16"/>
          <w:szCs w:val="16"/>
        </w:rPr>
        <w:softHyphen/>
        <w:t>ления элеронами. Воздушный стрелок сержант Н. П. Сумряков убит. Несмот</w:t>
      </w:r>
      <w:r w:rsidRPr="00925F26">
        <w:rPr>
          <w:color w:val="000000" w:themeColor="text1"/>
          <w:sz w:val="16"/>
          <w:szCs w:val="16"/>
        </w:rPr>
        <w:softHyphen/>
        <w:t>ря на столь серьезные повреждения самолета, летчик сумел дотянуть до своего аэродрома. Однако на посадке шасси вышло не полностью и при ка</w:t>
      </w:r>
      <w:r w:rsidRPr="00925F26">
        <w:rPr>
          <w:color w:val="000000" w:themeColor="text1"/>
          <w:sz w:val="16"/>
          <w:szCs w:val="16"/>
        </w:rPr>
        <w:softHyphen/>
        <w:t>сании о землю самопроизвольно сло</w:t>
      </w:r>
      <w:r w:rsidRPr="00925F26">
        <w:rPr>
          <w:color w:val="000000" w:themeColor="text1"/>
          <w:sz w:val="16"/>
          <w:szCs w:val="16"/>
        </w:rPr>
        <w:softHyphen/>
        <w:t>жилось. Штурмовик развернуло вле</w:t>
      </w:r>
      <w:r w:rsidRPr="00925F26">
        <w:rPr>
          <w:color w:val="000000" w:themeColor="text1"/>
          <w:sz w:val="16"/>
          <w:szCs w:val="16"/>
        </w:rPr>
        <w:softHyphen/>
        <w:t>во и понесло на стоянки самолетов Ил-10. Скользя фюзеляжем, штурмовик врезался в автобензозаправщик. От удара отлетела консоль крыла вместе с центропланом. Шофер бензовоза убит, а летчик и стоявший рядом с ма</w:t>
      </w:r>
      <w:r w:rsidRPr="00925F26">
        <w:rPr>
          <w:color w:val="000000" w:themeColor="text1"/>
          <w:sz w:val="16"/>
          <w:szCs w:val="16"/>
        </w:rPr>
        <w:softHyphen/>
        <w:t>шиной солдат получили ранения. Са</w:t>
      </w:r>
      <w:r w:rsidRPr="00925F26">
        <w:rPr>
          <w:color w:val="000000" w:themeColor="text1"/>
          <w:sz w:val="16"/>
          <w:szCs w:val="16"/>
        </w:rPr>
        <w:softHyphen/>
        <w:t>молет был списан и затем отправлен в 16 РАБ для разделки.</w:t>
      </w:r>
    </w:p>
    <w:p w14:paraId="749E9C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Третьей по счету на боевое зада</w:t>
      </w:r>
      <w:r w:rsidRPr="00925F26">
        <w:rPr>
          <w:color w:val="000000" w:themeColor="text1"/>
          <w:sz w:val="16"/>
          <w:szCs w:val="16"/>
        </w:rPr>
        <w:softHyphen/>
        <w:t>ние в 12.45 вылетела группа из 12 Ил-10, которую возглавлял м-р Бочкарев. Экипажи штурмовали и бомбили ар</w:t>
      </w:r>
      <w:r w:rsidRPr="00925F26">
        <w:rPr>
          <w:color w:val="000000" w:themeColor="text1"/>
          <w:sz w:val="16"/>
          <w:szCs w:val="16"/>
        </w:rPr>
        <w:softHyphen/>
        <w:t>тиллерию на позициях и пехоту про</w:t>
      </w:r>
      <w:r w:rsidRPr="00925F26">
        <w:rPr>
          <w:color w:val="000000" w:themeColor="text1"/>
          <w:sz w:val="16"/>
          <w:szCs w:val="16"/>
        </w:rPr>
        <w:softHyphen/>
        <w:t>тивника в районе Путс, Янарице.</w:t>
      </w:r>
    </w:p>
    <w:p w14:paraId="03EBB2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Через 28 минут взлетела девятка капитана Быкова, которая нанесла удар по позициям артиллерии в районе Штепанковице, Свобода.</w:t>
      </w:r>
    </w:p>
    <w:p w14:paraId="0424A1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второй половине дня на боевое задание вылетали три группы по 8 са</w:t>
      </w:r>
      <w:r w:rsidRPr="00925F26">
        <w:rPr>
          <w:color w:val="000000" w:themeColor="text1"/>
          <w:sz w:val="16"/>
          <w:szCs w:val="16"/>
        </w:rPr>
        <w:softHyphen/>
        <w:t>молетов, которые с интервалом 35-45 минут работали по целям в районе Ра</w:t>
      </w:r>
      <w:r w:rsidRPr="00925F26">
        <w:rPr>
          <w:color w:val="000000" w:themeColor="text1"/>
          <w:sz w:val="16"/>
          <w:szCs w:val="16"/>
        </w:rPr>
        <w:softHyphen/>
        <w:t>дунь, Подвисов, Хваликовице, Ольда, Сухе, Лазце.</w:t>
      </w:r>
    </w:p>
    <w:p w14:paraId="0C5737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Всего в течение дня полк выполнил 73 </w:t>
      </w:r>
      <w:proofErr w:type="gramStart"/>
      <w:r w:rsidRPr="00925F26">
        <w:rPr>
          <w:color w:val="000000" w:themeColor="text1"/>
          <w:sz w:val="16"/>
          <w:szCs w:val="16"/>
        </w:rPr>
        <w:t>самолето-вылета</w:t>
      </w:r>
      <w:proofErr w:type="gramEnd"/>
      <w:r w:rsidRPr="00925F26">
        <w:rPr>
          <w:color w:val="000000" w:themeColor="text1"/>
          <w:sz w:val="16"/>
          <w:szCs w:val="16"/>
        </w:rPr>
        <w:t>. Главным образом использовались 50-кг фугасные и 25-кг осколочные авиабомбы. Поэтому средняя бомбовая нагрузка Ил-10, приходящаяся на один самолето-вы</w:t>
      </w:r>
      <w:r w:rsidRPr="00925F26">
        <w:rPr>
          <w:color w:val="000000" w:themeColor="text1"/>
          <w:sz w:val="16"/>
          <w:szCs w:val="16"/>
        </w:rPr>
        <w:softHyphen/>
        <w:t>лет, составила всего 224 кг.</w:t>
      </w:r>
    </w:p>
    <w:p w14:paraId="08EDA5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ударов по наблюде</w:t>
      </w:r>
      <w:r w:rsidRPr="00925F26">
        <w:rPr>
          <w:color w:val="000000" w:themeColor="text1"/>
          <w:sz w:val="16"/>
          <w:szCs w:val="16"/>
        </w:rPr>
        <w:softHyphen/>
        <w:t>ниям экипажей были уничтожены или повреждены 21 автомашина, 2 орудия полевой артиллерии, одна миномет</w:t>
      </w:r>
      <w:r w:rsidRPr="00925F26">
        <w:rPr>
          <w:color w:val="000000" w:themeColor="text1"/>
          <w:sz w:val="16"/>
          <w:szCs w:val="16"/>
        </w:rPr>
        <w:softHyphen/>
        <w:t>ная батарея, создано 7 очагов пожа</w:t>
      </w:r>
      <w:r w:rsidRPr="00925F26">
        <w:rPr>
          <w:color w:val="000000" w:themeColor="text1"/>
          <w:sz w:val="16"/>
          <w:szCs w:val="16"/>
        </w:rPr>
        <w:softHyphen/>
        <w:t>ров и подавлен огонь одной батареи МЗА противника.</w:t>
      </w:r>
    </w:p>
    <w:p w14:paraId="1FF5D0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дня четыре группы штур</w:t>
      </w:r>
      <w:r w:rsidRPr="00925F26">
        <w:rPr>
          <w:color w:val="000000" w:themeColor="text1"/>
          <w:sz w:val="16"/>
          <w:szCs w:val="16"/>
        </w:rPr>
        <w:softHyphen/>
        <w:t>мовиков имели встречи с немецкими истребителями и вели с ними воздуш</w:t>
      </w:r>
      <w:r w:rsidRPr="00925F26">
        <w:rPr>
          <w:color w:val="000000" w:themeColor="text1"/>
          <w:sz w:val="16"/>
          <w:szCs w:val="16"/>
        </w:rPr>
        <w:softHyphen/>
        <w:t>ные бои.</w:t>
      </w:r>
    </w:p>
    <w:p w14:paraId="344D49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 в 11.35 в районе Штепанковице на высоте 1000 м группа в составе 13 Ил-10 (ведущий м-р Зацепа) в сопро</w:t>
      </w:r>
      <w:r w:rsidRPr="00925F26">
        <w:rPr>
          <w:color w:val="000000" w:themeColor="text1"/>
          <w:sz w:val="16"/>
          <w:szCs w:val="16"/>
        </w:rPr>
        <w:softHyphen/>
        <w:t>вождении б Як-3 наносила бомбоштур-мовой удар по артиллерийским позици</w:t>
      </w:r>
      <w:r w:rsidRPr="00925F26">
        <w:rPr>
          <w:color w:val="000000" w:themeColor="text1"/>
          <w:sz w:val="16"/>
          <w:szCs w:val="16"/>
        </w:rPr>
        <w:softHyphen/>
        <w:t>ям в районе Свобода. При выполнении 2-го захода на высоте 1400 м появились 9 истребителей Р</w:t>
      </w:r>
      <w:proofErr w:type="gramStart"/>
      <w:r w:rsidRPr="00925F26">
        <w:rPr>
          <w:color w:val="000000" w:themeColor="text1"/>
          <w:sz w:val="16"/>
          <w:szCs w:val="16"/>
        </w:rPr>
        <w:t>\« 190</w:t>
      </w:r>
      <w:proofErr w:type="gramEnd"/>
      <w:r w:rsidRPr="00925F26">
        <w:rPr>
          <w:color w:val="000000" w:themeColor="text1"/>
          <w:sz w:val="16"/>
          <w:szCs w:val="16"/>
        </w:rPr>
        <w:t>, которые, разде</w:t>
      </w:r>
      <w:r w:rsidRPr="00925F26">
        <w:rPr>
          <w:color w:val="000000" w:themeColor="text1"/>
          <w:sz w:val="16"/>
          <w:szCs w:val="16"/>
        </w:rPr>
        <w:softHyphen/>
        <w:t>лившись на пары, атаковали группу штурмовиков. «Яки» сопровождения вовремя заметили опасность и сорвали первую атаку «фоккеров». Экипажи Ил-10, освободившись от бомб, прекрати</w:t>
      </w:r>
      <w:r w:rsidRPr="00925F26">
        <w:rPr>
          <w:color w:val="000000" w:themeColor="text1"/>
          <w:sz w:val="16"/>
          <w:szCs w:val="16"/>
        </w:rPr>
        <w:softHyphen/>
        <w:t>ли атаку наземных целей и теснее сомк</w:t>
      </w:r>
      <w:r w:rsidRPr="00925F26">
        <w:rPr>
          <w:color w:val="000000" w:themeColor="text1"/>
          <w:sz w:val="16"/>
          <w:szCs w:val="16"/>
        </w:rPr>
        <w:softHyphen/>
        <w:t>нули круг. Повторные атаки немецких пилотов производились сверху спере</w:t>
      </w:r>
      <w:r w:rsidRPr="00925F26">
        <w:rPr>
          <w:color w:val="000000" w:themeColor="text1"/>
          <w:sz w:val="16"/>
          <w:szCs w:val="16"/>
        </w:rPr>
        <w:softHyphen/>
        <w:t>ди и сверху сзади. Дружным огнем воз</w:t>
      </w:r>
      <w:r w:rsidRPr="00925F26">
        <w:rPr>
          <w:color w:val="000000" w:themeColor="text1"/>
          <w:sz w:val="16"/>
          <w:szCs w:val="16"/>
        </w:rPr>
        <w:softHyphen/>
        <w:t>душных стрелков и активными действи</w:t>
      </w:r>
      <w:r w:rsidRPr="00925F26">
        <w:rPr>
          <w:color w:val="000000" w:themeColor="text1"/>
          <w:sz w:val="16"/>
          <w:szCs w:val="16"/>
        </w:rPr>
        <w:softHyphen/>
        <w:t>ями истребителей прикрытия все атаки противника были отражены. При этом в ходе воздушноп^боя «Якам» удалось завалить один ФВ190.</w:t>
      </w:r>
    </w:p>
    <w:p w14:paraId="13FCE2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Примерно в 13.00 три «мессерш-митта»-109 с высоты около 700 м пы</w:t>
      </w:r>
      <w:r w:rsidRPr="00925F26">
        <w:rPr>
          <w:color w:val="000000" w:themeColor="text1"/>
          <w:sz w:val="16"/>
          <w:szCs w:val="16"/>
        </w:rPr>
        <w:softHyphen/>
        <w:t>тались атаковать 12 Ил-10 (ведущий м-р Бочкарев), которые под прикры</w:t>
      </w:r>
      <w:r w:rsidRPr="00925F26">
        <w:rPr>
          <w:color w:val="000000" w:themeColor="text1"/>
          <w:sz w:val="16"/>
          <w:szCs w:val="16"/>
        </w:rPr>
        <w:softHyphen/>
        <w:t>тием б Як-3 наносили бомбоштурмо-вой удар по автомашинам противника в районе Пусте, Якартице. Штурмови</w:t>
      </w:r>
      <w:r w:rsidRPr="00925F26">
        <w:rPr>
          <w:color w:val="000000" w:themeColor="text1"/>
          <w:sz w:val="16"/>
          <w:szCs w:val="16"/>
        </w:rPr>
        <w:softHyphen/>
        <w:t>ки находились в боевом порядке «круг» (левый) одиночных самолетов. Одна</w:t>
      </w:r>
      <w:r w:rsidRPr="00925F26">
        <w:rPr>
          <w:color w:val="000000" w:themeColor="text1"/>
          <w:sz w:val="16"/>
          <w:szCs w:val="16"/>
        </w:rPr>
        <w:softHyphen/>
        <w:t>ко попытка атаки была сорвана уме</w:t>
      </w:r>
      <w:r w:rsidRPr="00925F26">
        <w:rPr>
          <w:color w:val="000000" w:themeColor="text1"/>
          <w:sz w:val="16"/>
          <w:szCs w:val="16"/>
        </w:rPr>
        <w:softHyphen/>
        <w:t>лыми действиями истребителей прикрытия. Немецкие истребители вышли из боя с правым разворотом и больше не показывались.</w:t>
      </w:r>
    </w:p>
    <w:p w14:paraId="677992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13.35 девятка Ил-10 капитана Быкова в сопровождении 8 Як-3 на высоте 1500 м провела скоротечный воздушный бой с парой Ме109. Совме</w:t>
      </w:r>
      <w:r w:rsidRPr="00925F26">
        <w:rPr>
          <w:color w:val="000000" w:themeColor="text1"/>
          <w:sz w:val="16"/>
          <w:szCs w:val="16"/>
        </w:rPr>
        <w:softHyphen/>
        <w:t>стными действиями воздушных стрел</w:t>
      </w:r>
      <w:r w:rsidRPr="00925F26">
        <w:rPr>
          <w:color w:val="000000" w:themeColor="text1"/>
          <w:sz w:val="16"/>
          <w:szCs w:val="16"/>
        </w:rPr>
        <w:softHyphen/>
        <w:t>ков и истребителей прикрытия атака была отбита.</w:t>
      </w:r>
    </w:p>
    <w:p w14:paraId="3DE88B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Первый Ил-10 пострадал от немец</w:t>
      </w:r>
      <w:r w:rsidRPr="00925F26">
        <w:rPr>
          <w:color w:val="000000" w:themeColor="text1"/>
          <w:sz w:val="16"/>
          <w:szCs w:val="16"/>
        </w:rPr>
        <w:softHyphen/>
        <w:t>ких истребителей 17 апреля. Пилоты «Яков» слишком поздно заметили пару 8^109, заходивших снизу сзади на веду</w:t>
      </w:r>
      <w:r w:rsidRPr="00925F26">
        <w:rPr>
          <w:color w:val="000000" w:themeColor="text1"/>
          <w:sz w:val="16"/>
          <w:szCs w:val="16"/>
        </w:rPr>
        <w:softHyphen/>
        <w:t>щего группы штурмовиков и его ведо</w:t>
      </w:r>
      <w:r w:rsidRPr="00925F26">
        <w:rPr>
          <w:color w:val="000000" w:themeColor="text1"/>
          <w:sz w:val="16"/>
          <w:szCs w:val="16"/>
        </w:rPr>
        <w:softHyphen/>
        <w:t>мого. Для воздушных стрелков эта атака также оказалась неожиданной. В резуль</w:t>
      </w:r>
      <w:r w:rsidRPr="00925F26">
        <w:rPr>
          <w:color w:val="000000" w:themeColor="text1"/>
          <w:sz w:val="16"/>
          <w:szCs w:val="16"/>
        </w:rPr>
        <w:softHyphen/>
        <w:t>тате на Ил-10 ведомого мл. л-та Корота-ева пулеметно-пушечным огнем были разбиты киль и руль поворота, в не</w:t>
      </w:r>
      <w:r w:rsidRPr="00925F26">
        <w:rPr>
          <w:color w:val="000000" w:themeColor="text1"/>
          <w:sz w:val="16"/>
          <w:szCs w:val="16"/>
        </w:rPr>
        <w:softHyphen/>
        <w:t xml:space="preserve">скольких местах пробиты левая консоль крыла и кабина стрелка. Воздушный стрелок мл. сержант Бабиков получил ранения. Выполнив одну-единственную </w:t>
      </w:r>
      <w:proofErr w:type="gramStart"/>
      <w:r w:rsidRPr="00925F26">
        <w:rPr>
          <w:color w:val="000000" w:themeColor="text1"/>
          <w:sz w:val="16"/>
          <w:szCs w:val="16"/>
        </w:rPr>
        <w:t>атаку,«</w:t>
      </w:r>
      <w:proofErr w:type="gramEnd"/>
      <w:r w:rsidRPr="00925F26">
        <w:rPr>
          <w:color w:val="000000" w:themeColor="text1"/>
          <w:sz w:val="16"/>
          <w:szCs w:val="16"/>
        </w:rPr>
        <w:t>мессеры» вышли из боя.</w:t>
      </w:r>
    </w:p>
    <w:p w14:paraId="1D491D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Воздушные бои велись также 20 и 21 апреля. Во всех случаях встреча</w:t>
      </w:r>
      <w:r w:rsidRPr="00925F26">
        <w:rPr>
          <w:color w:val="000000" w:themeColor="text1"/>
          <w:sz w:val="16"/>
          <w:szCs w:val="16"/>
        </w:rPr>
        <w:softHyphen/>
        <w:t>лись группы истребителей люфтваф</w:t>
      </w:r>
      <w:r w:rsidRPr="00925F26">
        <w:rPr>
          <w:color w:val="000000" w:themeColor="text1"/>
          <w:sz w:val="16"/>
          <w:szCs w:val="16"/>
        </w:rPr>
        <w:softHyphen/>
        <w:t>фе обычно в составе одной-двух пар или 6-9 самолетов, которые пытались провести одну неожиданную и резуль</w:t>
      </w:r>
      <w:r w:rsidRPr="00925F26">
        <w:rPr>
          <w:color w:val="000000" w:themeColor="text1"/>
          <w:sz w:val="16"/>
          <w:szCs w:val="16"/>
        </w:rPr>
        <w:softHyphen/>
        <w:t>тативную атаку, используя для этого солнце и облачность. В затяжные воз</w:t>
      </w:r>
      <w:r w:rsidRPr="00925F26">
        <w:rPr>
          <w:color w:val="000000" w:themeColor="text1"/>
          <w:sz w:val="16"/>
          <w:szCs w:val="16"/>
        </w:rPr>
        <w:softHyphen/>
        <w:t>душные бои немецкие пилоты стара</w:t>
      </w:r>
      <w:r w:rsidRPr="00925F26">
        <w:rPr>
          <w:color w:val="000000" w:themeColor="text1"/>
          <w:sz w:val="16"/>
          <w:szCs w:val="16"/>
        </w:rPr>
        <w:softHyphen/>
        <w:t>лись не ввязываться.</w:t>
      </w:r>
    </w:p>
    <w:p w14:paraId="18FFAC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Стоявшие на вооружении Ил-10 авиационные гранаты АГ-2 ни в одном из воздушных боев экипажами не при</w:t>
      </w:r>
      <w:r w:rsidRPr="00925F26">
        <w:rPr>
          <w:color w:val="000000" w:themeColor="text1"/>
          <w:sz w:val="16"/>
          <w:szCs w:val="16"/>
        </w:rPr>
        <w:softHyphen/>
        <w:t>менялись.</w:t>
      </w:r>
    </w:p>
    <w:p w14:paraId="239305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54-х групп штурмовиков, выле</w:t>
      </w:r>
      <w:r w:rsidRPr="00925F26">
        <w:rPr>
          <w:color w:val="000000" w:themeColor="text1"/>
          <w:sz w:val="16"/>
          <w:szCs w:val="16"/>
        </w:rPr>
        <w:softHyphen/>
        <w:t>тавших на выполнение боевых задач в течение апреля месяца, 31 группа была обстреляна огнем МЗА и ЗА (силами от 1-й до 3-х батарей), а 13 групп имели встречи с истребителями противника, из которых б вели с ними воздушные бои. При этом, как и прежде, пилоты люфт</w:t>
      </w:r>
      <w:r w:rsidRPr="00925F26">
        <w:rPr>
          <w:color w:val="000000" w:themeColor="text1"/>
          <w:sz w:val="16"/>
          <w:szCs w:val="16"/>
        </w:rPr>
        <w:softHyphen/>
        <w:t>ваффе весьма искусно взаимодейство</w:t>
      </w:r>
      <w:r w:rsidRPr="00925F26">
        <w:rPr>
          <w:color w:val="000000" w:themeColor="text1"/>
          <w:sz w:val="16"/>
          <w:szCs w:val="16"/>
        </w:rPr>
        <w:softHyphen/>
        <w:t>вали со своими зенитчиками. Как пра</w:t>
      </w:r>
      <w:r w:rsidRPr="00925F26">
        <w:rPr>
          <w:color w:val="000000" w:themeColor="text1"/>
          <w:sz w:val="16"/>
          <w:szCs w:val="16"/>
        </w:rPr>
        <w:softHyphen/>
        <w:t>вило, противник огнем ЗА и МЗА пытался «разбить» строй группы штурмовиков с тем, чтобы истребители имели возмож</w:t>
      </w:r>
      <w:r w:rsidRPr="00925F26">
        <w:rPr>
          <w:color w:val="000000" w:themeColor="text1"/>
          <w:sz w:val="16"/>
          <w:szCs w:val="16"/>
        </w:rPr>
        <w:softHyphen/>
        <w:t>ность атаковать отдельные самолеты. И наоборот, истребители имитировали атаки на штурмовиков, заставляя после</w:t>
      </w:r>
      <w:r w:rsidRPr="00925F26">
        <w:rPr>
          <w:color w:val="000000" w:themeColor="text1"/>
          <w:sz w:val="16"/>
          <w:szCs w:val="16"/>
        </w:rPr>
        <w:softHyphen/>
        <w:t>дних принимать более компактные строи, что в свою очередь облегчало зенитным расчетам ведение огня.</w:t>
      </w:r>
    </w:p>
    <w:p w14:paraId="5A3DA8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Активность истребителей люфтваф</w:t>
      </w:r>
      <w:r w:rsidRPr="00925F26">
        <w:rPr>
          <w:color w:val="000000" w:themeColor="text1"/>
          <w:sz w:val="16"/>
          <w:szCs w:val="16"/>
        </w:rPr>
        <w:softHyphen/>
        <w:t>фе и зенитной артиллерии объясняет</w:t>
      </w:r>
      <w:r w:rsidRPr="00925F26">
        <w:rPr>
          <w:color w:val="000000" w:themeColor="text1"/>
          <w:sz w:val="16"/>
          <w:szCs w:val="16"/>
        </w:rPr>
        <w:softHyphen/>
        <w:t>ся важностью для немецкого командования района Моравска-Острава (11157).</w:t>
      </w:r>
    </w:p>
    <w:p w14:paraId="0A656E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03A611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15 апреля 1945 571 шап начал боевые действия с нанесения бомбоштурмовых ударов по войскам и технике противника в районе Свобода, Путс, Янарице, Штепанковице, Радунь, Подвисов, Хваликовице, Ольда, Сухе, Лазце. Удары наносились группами по 8-15 Ил-10 под прикрытием 4-8 истребителей Як-3 и Як-9 от 112 гиап.</w:t>
      </w:r>
    </w:p>
    <w:p w14:paraId="0AACE205"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lastRenderedPageBreak/>
        <w:t>Ведущим первой группы в составе 15 Ил-10 был командир полка подполковник Безух. Взлет экипажи выполнили образцово и в 10.10 встали на курс. Штурмовики нанесли удар по артминбатареям и скоплению живой силы противника в районе Врбха, Свобода. Это было первое боевое применение самолета Ил-10 в войне.</w:t>
      </w:r>
    </w:p>
    <w:p w14:paraId="256781C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районе целей немцами велся сильный огонь малокалиберной зенитной артиллерии, в результате которого примерно в 10.45-10.55 был подбит Ил-10 (зав. № 1893703) младшего лейтенанта В. И. Кудрявцева. На самолете была повреждена воздушная система управления шасси и перебиты тяги управления элеронами. Воздушный стрелок сержант Н. П. Сумряков убит. Несмотря на столь серьезные повреждения самолета, летчик сумел дотянуть до своего аэродрома. Однако на посадке шасси вышло не полностью и при касании о землю самопроизвольно сложилось. Штурмовик развернуло влево и понесло на стоянки самолетов Ил-10. Скользя фюзеляжем, штурмовик врезался в автобензозаправщик. От удара отлетела консоль крыла вместе с центропланом. Шофер бензовоза убит, а летчик и стоявший рядом с машиной солдат получили ранения. Самол ет был списан и затем отправлен в 16 РАБ для разделки.</w:t>
      </w:r>
    </w:p>
    <w:p w14:paraId="0EE99BD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Сразу же после посадки первой группы в этот же район в 11.14 вылетела группа майора Зацепы в составе 12 экипажей. К сожалению, на взлете лейтенант Г. А. Веселов не справился с управлением. Самолет развернуло вправо, на стоянки истребителей. Летчик выключил мотор, но затормозить не смог. На большой скорости Ил-10 наехал на стоявший на стоянке истребитель. В результате «десятка» зав. № 1892503 была разбита и затем списана. Истребитель отправлен в ремонт. Лейтенант Веселов получил легкое ранение, а воздушный стрелок ефрейтор Борисов - ушибы.</w:t>
      </w:r>
    </w:p>
    <w:p w14:paraId="330C289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Третьей по счету на боевое задание в 12.45 вылетела группа из 12 Ил-10, которую возглавлял майор Бочкарев. Экипажи штурмовали и бомбили артиллерию на позициях и пехоту противника в районе Путс, Янарице.</w:t>
      </w:r>
    </w:p>
    <w:p w14:paraId="747E56D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Через 28 минут взлетела девятка капитана Быкова, которая нанесла удар по позициям артиллерии в районе Штепанковице, Свобода.</w:t>
      </w:r>
    </w:p>
    <w:p w14:paraId="2DD6471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Во второй половине дня на боевое задание вылетали три группы по 8 самолетов, которые с интервалом 35-45 минут работали по целям в районе Радунь, Подвисов, Хваликовице, Ольда, Сухе, Лазце.</w:t>
      </w:r>
    </w:p>
    <w:p w14:paraId="107297E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Всего в течение дня полк выполнил 73 </w:t>
      </w:r>
      <w:proofErr w:type="gramStart"/>
      <w:r w:rsidRPr="00925F26">
        <w:rPr>
          <w:rStyle w:val="107"/>
          <w:rFonts w:eastAsiaTheme="minorHAnsi"/>
          <w:color w:val="000000" w:themeColor="text1"/>
          <w:sz w:val="16"/>
          <w:szCs w:val="16"/>
        </w:rPr>
        <w:t>самолето-вылета</w:t>
      </w:r>
      <w:proofErr w:type="gramEnd"/>
      <w:r w:rsidRPr="00925F26">
        <w:rPr>
          <w:rStyle w:val="107"/>
          <w:rFonts w:eastAsiaTheme="minorHAnsi"/>
          <w:color w:val="000000" w:themeColor="text1"/>
          <w:sz w:val="16"/>
          <w:szCs w:val="16"/>
        </w:rPr>
        <w:t xml:space="preserve">. Главным образом использовались 50-кг фугасные и 25-кг осколочные авиабомбы. Поэтому средняя бомбовая нагрузка Ил-10, приходящаяся на один </w:t>
      </w:r>
      <w:proofErr w:type="gramStart"/>
      <w:r w:rsidRPr="00925F26">
        <w:rPr>
          <w:rStyle w:val="107"/>
          <w:rFonts w:eastAsiaTheme="minorHAnsi"/>
          <w:color w:val="000000" w:themeColor="text1"/>
          <w:sz w:val="16"/>
          <w:szCs w:val="16"/>
        </w:rPr>
        <w:t>самолето-вылет</w:t>
      </w:r>
      <w:proofErr w:type="gramEnd"/>
      <w:r w:rsidRPr="00925F26">
        <w:rPr>
          <w:rStyle w:val="107"/>
          <w:rFonts w:eastAsiaTheme="minorHAnsi"/>
          <w:color w:val="000000" w:themeColor="text1"/>
          <w:sz w:val="16"/>
          <w:szCs w:val="16"/>
        </w:rPr>
        <w:t>, составила всего 224 кг.</w:t>
      </w:r>
    </w:p>
    <w:p w14:paraId="173B0CA8" w14:textId="77777777" w:rsidR="00356648" w:rsidRPr="00925F26" w:rsidRDefault="00356648"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результате ударов, по наблюдениям экипажей, были уничтожены или повреждены 21 автомашина, 2 орудия полевой артиллерии, одна минометная батарея, создано 7 очагов пожаров и подавлен огонь одной батареи МЗА противника.</w:t>
      </w:r>
    </w:p>
    <w:p w14:paraId="4F614D4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течение дня четыре группы штурмовиков имели встречи с немецкими истребителями и вели с ними воздушные бои.</w:t>
      </w:r>
    </w:p>
    <w:p w14:paraId="62DEFBE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Так, в 11.35 в районе Штепанковице на высоте 1000 м группа в составе 13 Ил-10 (ведущий майор Зацепа) в сопровождении 6 Як-3 наносила бомбоштурмовой удар по артиллерийским позициям в районе Свобода. При выполнении второго захода на высоте 1400 м появились 9 истребителей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 xml:space="preserve">190, которые, разделившись на пары, атаковали штурмовиков. Истребители сопровождения вовремя заметили опасность и сорвали первую атаку «фоккеров». Экипажи Ил-10, освободившись от бомб, прекратили атаку наземных целей и теснее сомкнули круг. Повторные атаки немецких пилотов производились сверху спереди и сверху сзади. Сосредоточенным огнем воздушных стрелков и активными действиями истребителей прикрытия все атаки противника были отбиты. При этом в ходе воздушного боя истребителям удалось завалить один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w:t>
      </w:r>
    </w:p>
    <w:p w14:paraId="1F73B07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Примерно в 13.00 три </w:t>
      </w:r>
      <w:r w:rsidRPr="00925F26">
        <w:rPr>
          <w:rStyle w:val="107"/>
          <w:rFonts w:eastAsiaTheme="minorHAnsi"/>
          <w:color w:val="000000" w:themeColor="text1"/>
          <w:sz w:val="16"/>
          <w:szCs w:val="16"/>
          <w:lang w:val="en-US"/>
        </w:rPr>
        <w:t>Bf</w:t>
      </w:r>
      <w:r w:rsidRPr="00925F26">
        <w:rPr>
          <w:rStyle w:val="107"/>
          <w:rFonts w:eastAsiaTheme="minorHAnsi"/>
          <w:color w:val="000000" w:themeColor="text1"/>
          <w:sz w:val="16"/>
          <w:szCs w:val="16"/>
        </w:rPr>
        <w:t>109 с высоты около 700 м пытались атаковать 12 Ил-10 (ведущий майор Бочкарев), которые под прикрытием 6 Як-3 наносили бомбоштурмовой удар по автомашинам противника в районе Пусте, Якартице. Штурмовики находились в боевом порядке круг (левый) одиночных самолетов. Однако попытка атаки была сорвана умелыми действиями истребителей прикрытия. Немецкие истребители вышли из боя с правым разворотом и больше не показывались.</w:t>
      </w:r>
    </w:p>
    <w:p w14:paraId="3445278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В 13.35 девятка Ил-10 капитана Быкова в сопровождении 8 Як-3 на высоте 1500 м провела скоротечный воздушный бой с парой </w:t>
      </w:r>
      <w:r w:rsidRPr="00925F26">
        <w:rPr>
          <w:rStyle w:val="107"/>
          <w:rFonts w:eastAsiaTheme="minorHAnsi"/>
          <w:color w:val="000000" w:themeColor="text1"/>
          <w:sz w:val="16"/>
          <w:szCs w:val="16"/>
          <w:lang w:val="en-US"/>
        </w:rPr>
        <w:t>Bf</w:t>
      </w:r>
      <w:r w:rsidRPr="00925F26">
        <w:rPr>
          <w:rStyle w:val="107"/>
          <w:rFonts w:eastAsiaTheme="minorHAnsi"/>
          <w:color w:val="000000" w:themeColor="text1"/>
          <w:sz w:val="16"/>
          <w:szCs w:val="16"/>
        </w:rPr>
        <w:t>109. Совместными действиями воздушных стрелков и истребителей прикрытия атака была отбита.</w:t>
      </w:r>
    </w:p>
    <w:p w14:paraId="5C0B757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Первый Ил-10 пострадал от истребителей 17 апреля. Сопровождавшие штурмовиков Як-3 слишком поздно заметили пару </w:t>
      </w:r>
      <w:r w:rsidRPr="00925F26">
        <w:rPr>
          <w:rStyle w:val="107"/>
          <w:rFonts w:eastAsiaTheme="minorHAnsi"/>
          <w:color w:val="000000" w:themeColor="text1"/>
          <w:sz w:val="16"/>
          <w:szCs w:val="16"/>
          <w:lang w:val="en-US"/>
        </w:rPr>
        <w:t>Bf</w:t>
      </w:r>
      <w:r w:rsidRPr="00925F26">
        <w:rPr>
          <w:rStyle w:val="107"/>
          <w:rFonts w:eastAsiaTheme="minorHAnsi"/>
          <w:color w:val="000000" w:themeColor="text1"/>
          <w:sz w:val="16"/>
          <w:szCs w:val="16"/>
        </w:rPr>
        <w:t>109, заходивших снизу-сзади на ведущего группы Ил-10 и его ведомого. Для воздушных стрелков эта атака также оказалась неожиданной. В результате на «десятке» ведомого младшего лейтенанта Коротаева пулеметно -пушечным огнем были разбиты киль и руль поворота, в нескольких местах пробиты левая консоль крыла и кабина стрелка. Воздушный стрелок младший сержант Бабиков получил ранения. Выполнив одну-единственную атаку, «мессеры» вышли из боя.</w:t>
      </w:r>
    </w:p>
    <w:p w14:paraId="3EA6FC6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Воздушные бои велись также 20 и 21 апреля. Во всех случаях встречались группы истребителей люфтваффе обычно в составе одной -двух пар или 6-9 самолетов, которые пытались провести одну неожиданную, но результативную атаку, используя для этого солнце и облачность. В затяжные воздушные бои немецкие пилоты старались не ввязываться.</w:t>
      </w:r>
    </w:p>
    <w:p w14:paraId="272DB38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Стоявшие на вооружении Ил-10 авиационные гранаты АГ-2 ни в одном из воздушных боев экипажами не применялись.</w:t>
      </w:r>
    </w:p>
    <w:p w14:paraId="1F4D90D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Из 54 групп штурмовиков, вылетавших на выполнение боевых задач в течение апреля, 31 группа была обстреляна огнем малокалиберной и среднекалиберной зенитной артиллерии (от 1 до 3 батарей), а 13 групп имели встречи с истребителями противника, из которых 6 вели с ними воздушные бои. При этом, как и прежде, пилоты люфтваффе весьма искусно взаимодействовали со своими зенитчиками. Как правило, противник зенитным огнем пытался «разбить» строй группы штурмовиков с тем, чтобы истребители имели возможность атаковать отдельные самолеты. И наоборот, истребители имитировали атаки на штурмовиков, заставляя последних принимать более компактные строи, что в свою очер едь облегчало зенитным расчетам ведение огня.</w:t>
      </w:r>
    </w:p>
    <w:p w14:paraId="7DBA94E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Активность истребителей люфтваффе и зенитной артиллерии объясняется важностью для немецкого командования района Моравска-Острава.</w:t>
      </w:r>
    </w:p>
    <w:p w14:paraId="79EEFAA4" w14:textId="77777777" w:rsidR="00356648" w:rsidRPr="00925F26" w:rsidRDefault="00356648"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27 апреля за отличную работу на поле боя в районе Тржебовице, Поруба 571 шап получил благодарность от командующего 60 А генерала П. А. Курочкина (17490).</w:t>
      </w:r>
    </w:p>
    <w:p w14:paraId="601263AE" w14:textId="77777777" w:rsidR="00356648" w:rsidRPr="00925F26" w:rsidRDefault="00356648" w:rsidP="00925F26">
      <w:pPr>
        <w:jc w:val="both"/>
        <w:rPr>
          <w:color w:val="000000" w:themeColor="text1"/>
          <w:sz w:val="16"/>
          <w:szCs w:val="16"/>
        </w:rPr>
      </w:pPr>
    </w:p>
    <w:p w14:paraId="3C86FF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15 апреля по 8 мая экипажи 571-го, 108-го гвар</w:t>
      </w:r>
      <w:r w:rsidRPr="00925F26">
        <w:rPr>
          <w:color w:val="000000" w:themeColor="text1"/>
          <w:sz w:val="16"/>
          <w:szCs w:val="16"/>
        </w:rPr>
        <w:softHyphen/>
        <w:t>дейского и 118-го гвардейского штур</w:t>
      </w:r>
      <w:r w:rsidRPr="00925F26">
        <w:rPr>
          <w:color w:val="000000" w:themeColor="text1"/>
          <w:sz w:val="16"/>
          <w:szCs w:val="16"/>
        </w:rPr>
        <w:softHyphen/>
        <w:t>мовых авиаполков выполнили на Ил-10 1019 бо</w:t>
      </w:r>
      <w:r w:rsidRPr="00925F26">
        <w:rPr>
          <w:color w:val="000000" w:themeColor="text1"/>
          <w:sz w:val="16"/>
          <w:szCs w:val="16"/>
        </w:rPr>
        <w:softHyphen/>
        <w:t xml:space="preserve">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в основном на атаку артиллерии, танков, автомашин и живой силы противника. Из этого чис</w:t>
      </w:r>
      <w:r w:rsidRPr="00925F26">
        <w:rPr>
          <w:color w:val="000000" w:themeColor="text1"/>
          <w:sz w:val="16"/>
          <w:szCs w:val="16"/>
        </w:rPr>
        <w:softHyphen/>
        <w:t xml:space="preserve">ла 735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приходится на 571-й ШАП и 224 - на 108-й ГШАП.</w:t>
      </w:r>
    </w:p>
    <w:p w14:paraId="21F269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Все боевые вылеты выполнялись только в простых метеоусловиях. В среднем в течение одного дня полки выполняли около 30-32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группами от 6-8 до 12-24 Ил-10.</w:t>
      </w:r>
    </w:p>
    <w:p w14:paraId="6BD31C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Боевая работа велась в основном по точечным целям на переднем крае и в ближайшем тылу. Подавляющее количе</w:t>
      </w:r>
      <w:r w:rsidRPr="00925F26">
        <w:rPr>
          <w:color w:val="000000" w:themeColor="text1"/>
          <w:sz w:val="16"/>
          <w:szCs w:val="16"/>
        </w:rPr>
        <w:softHyphen/>
        <w:t>ство боевых вылетов (свыше 98%) было выполнено на атаку танков, автомашин, артиллерии на огневых позициях и жи</w:t>
      </w:r>
      <w:r w:rsidRPr="00925F26">
        <w:rPr>
          <w:color w:val="000000" w:themeColor="text1"/>
          <w:sz w:val="16"/>
          <w:szCs w:val="16"/>
        </w:rPr>
        <w:softHyphen/>
        <w:t>вой силы противника на поле боя, в ме</w:t>
      </w:r>
      <w:r w:rsidRPr="00925F26">
        <w:rPr>
          <w:color w:val="000000" w:themeColor="text1"/>
          <w:sz w:val="16"/>
          <w:szCs w:val="16"/>
        </w:rPr>
        <w:softHyphen/>
        <w:t>стах сосредоточения и на дорогах.</w:t>
      </w:r>
    </w:p>
    <w:p w14:paraId="1D01A0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правило, на боевые задания группы Ил-10 «ходили» в «пеленге» пар, который считался лучшим боевым по</w:t>
      </w:r>
      <w:r w:rsidRPr="00925F26">
        <w:rPr>
          <w:color w:val="000000" w:themeColor="text1"/>
          <w:sz w:val="16"/>
          <w:szCs w:val="16"/>
        </w:rPr>
        <w:softHyphen/>
        <w:t>рядком. На подходе к цели ведущий группы оставлял цель слева от себя, «визируя» ее с доворотом на 90° и пос</w:t>
      </w:r>
      <w:r w:rsidRPr="00925F26">
        <w:rPr>
          <w:color w:val="000000" w:themeColor="text1"/>
          <w:sz w:val="16"/>
          <w:szCs w:val="16"/>
        </w:rPr>
        <w:softHyphen/>
        <w:t>ледующим пикированием подуглом 15-40°. Выход из атаки с правым или ле</w:t>
      </w:r>
      <w:r w:rsidRPr="00925F26">
        <w:rPr>
          <w:color w:val="000000" w:themeColor="text1"/>
          <w:sz w:val="16"/>
          <w:szCs w:val="16"/>
        </w:rPr>
        <w:softHyphen/>
        <w:t>вым разворотом. В первом заходе обыч</w:t>
      </w:r>
      <w:r w:rsidRPr="00925F26">
        <w:rPr>
          <w:color w:val="000000" w:themeColor="text1"/>
          <w:sz w:val="16"/>
          <w:szCs w:val="16"/>
        </w:rPr>
        <w:softHyphen/>
        <w:t>но выполнялось бомбометание на вы</w:t>
      </w:r>
      <w:r w:rsidRPr="00925F26">
        <w:rPr>
          <w:color w:val="000000" w:themeColor="text1"/>
          <w:sz w:val="16"/>
          <w:szCs w:val="16"/>
        </w:rPr>
        <w:softHyphen/>
        <w:t>ходе из пикирования с высоты 300-400 м. В последующих заходах велся огонь из пушек и пулеметов со снижением вплоть до бреющего. Огонь открывал</w:t>
      </w:r>
      <w:r w:rsidRPr="00925F26">
        <w:rPr>
          <w:color w:val="000000" w:themeColor="text1"/>
          <w:sz w:val="16"/>
          <w:szCs w:val="16"/>
        </w:rPr>
        <w:softHyphen/>
        <w:t>ся с дистанции 400-500 м. Одновремен</w:t>
      </w:r>
      <w:r w:rsidRPr="00925F26">
        <w:rPr>
          <w:color w:val="000000" w:themeColor="text1"/>
          <w:sz w:val="16"/>
          <w:szCs w:val="16"/>
        </w:rPr>
        <w:softHyphen/>
        <w:t>но подавлялись зенитные средства с отворотом из круга в сторону огневой точки. Благодаря повышенной скорос</w:t>
      </w:r>
      <w:r w:rsidRPr="00925F26">
        <w:rPr>
          <w:color w:val="000000" w:themeColor="text1"/>
          <w:sz w:val="16"/>
          <w:szCs w:val="16"/>
        </w:rPr>
        <w:softHyphen/>
        <w:t>ти и маневренности Ил-10 экипаж, ата</w:t>
      </w:r>
      <w:r w:rsidRPr="00925F26">
        <w:rPr>
          <w:color w:val="000000" w:themeColor="text1"/>
          <w:sz w:val="16"/>
          <w:szCs w:val="16"/>
        </w:rPr>
        <w:softHyphen/>
        <w:t>ковавший зенитную точку, затем легко возвращался на свое место в строю.</w:t>
      </w:r>
    </w:p>
    <w:p w14:paraId="628495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Ввод в пикирование выполнялось на скорости 340-350 км/ч. Самолет Ил-10 пикирует устойчиво, легко набирает ско</w:t>
      </w:r>
      <w:r w:rsidRPr="00925F26">
        <w:rPr>
          <w:color w:val="000000" w:themeColor="text1"/>
          <w:sz w:val="16"/>
          <w:szCs w:val="16"/>
        </w:rPr>
        <w:softHyphen/>
        <w:t>рость 550-600 км/ч, после чего «с от</w:t>
      </w:r>
      <w:r w:rsidRPr="00925F26">
        <w:rPr>
          <w:color w:val="000000" w:themeColor="text1"/>
          <w:sz w:val="16"/>
          <w:szCs w:val="16"/>
        </w:rPr>
        <w:softHyphen/>
        <w:t>личной координацией и наивыгоднейшим углом набирает высоту за боевой разво</w:t>
      </w:r>
      <w:r w:rsidRPr="00925F26">
        <w:rPr>
          <w:color w:val="000000" w:themeColor="text1"/>
          <w:sz w:val="16"/>
          <w:szCs w:val="16"/>
        </w:rPr>
        <w:softHyphen/>
        <w:t>рот в среднем до 800-1000 м».</w:t>
      </w:r>
    </w:p>
    <w:p w14:paraId="135AB7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Летчики отмечали, что «вследствие легкости управления и повышенной скорости легко замыкается «круг», эффективно выполняется противозе</w:t>
      </w:r>
      <w:r w:rsidRPr="00925F26">
        <w:rPr>
          <w:color w:val="000000" w:themeColor="text1"/>
          <w:sz w:val="16"/>
          <w:szCs w:val="16"/>
        </w:rPr>
        <w:softHyphen/>
        <w:t>нитный маневр». Противозенитный маневр выполнялся в «пеленге» с ми</w:t>
      </w:r>
      <w:r w:rsidRPr="00925F26">
        <w:rPr>
          <w:color w:val="000000" w:themeColor="text1"/>
          <w:sz w:val="16"/>
          <w:szCs w:val="16"/>
        </w:rPr>
        <w:softHyphen/>
        <w:t>нимальной глубиной строя и с увели</w:t>
      </w:r>
      <w:r w:rsidRPr="00925F26">
        <w:rPr>
          <w:color w:val="000000" w:themeColor="text1"/>
          <w:sz w:val="16"/>
          <w:szCs w:val="16"/>
        </w:rPr>
        <w:softHyphen/>
        <w:t>ченными интервалами. Маневрирова</w:t>
      </w:r>
      <w:r w:rsidRPr="00925F26">
        <w:rPr>
          <w:color w:val="000000" w:themeColor="text1"/>
          <w:sz w:val="16"/>
          <w:szCs w:val="16"/>
        </w:rPr>
        <w:softHyphen/>
        <w:t>ние выполнялось одиночными самоле</w:t>
      </w:r>
      <w:r w:rsidRPr="00925F26">
        <w:rPr>
          <w:color w:val="000000" w:themeColor="text1"/>
          <w:sz w:val="16"/>
          <w:szCs w:val="16"/>
        </w:rPr>
        <w:softHyphen/>
        <w:t>тами, как по высоте, так и по курсу: применялись боевые развороты, «змейка», уход от цели на бреющем полете и т.д. Особенно выгоден маневр по высоте, ввиду высокой вертикаль</w:t>
      </w:r>
      <w:r w:rsidRPr="00925F26">
        <w:rPr>
          <w:color w:val="000000" w:themeColor="text1"/>
          <w:sz w:val="16"/>
          <w:szCs w:val="16"/>
        </w:rPr>
        <w:softHyphen/>
        <w:t>ной маневренности Ил-10.</w:t>
      </w:r>
    </w:p>
    <w:p w14:paraId="1A3915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большинстве случаев, зенитный огонь по самолетам Ил-10 велся при</w:t>
      </w:r>
      <w:r w:rsidRPr="00925F26">
        <w:rPr>
          <w:color w:val="000000" w:themeColor="text1"/>
          <w:sz w:val="16"/>
          <w:szCs w:val="16"/>
        </w:rPr>
        <w:softHyphen/>
        <w:t>цельно и сосредоточивался на веду</w:t>
      </w:r>
      <w:r w:rsidRPr="00925F26">
        <w:rPr>
          <w:color w:val="000000" w:themeColor="text1"/>
          <w:sz w:val="16"/>
          <w:szCs w:val="16"/>
        </w:rPr>
        <w:softHyphen/>
        <w:t>щем самолете обычно еще до подхода к цели. При применении экипажами Ил-10 противозенитного маневра раз</w:t>
      </w:r>
      <w:r w:rsidRPr="00925F26">
        <w:rPr>
          <w:color w:val="000000" w:themeColor="text1"/>
          <w:sz w:val="16"/>
          <w:szCs w:val="16"/>
        </w:rPr>
        <w:softHyphen/>
        <w:t>рывы наблюдались сзади группы, так как немецкие зенитные расчеты ори</w:t>
      </w:r>
      <w:r w:rsidRPr="00925F26">
        <w:rPr>
          <w:color w:val="000000" w:themeColor="text1"/>
          <w:sz w:val="16"/>
          <w:szCs w:val="16"/>
        </w:rPr>
        <w:softHyphen/>
        <w:t>ентировались на летные данные Ил-2, скорость которого меньше.</w:t>
      </w:r>
    </w:p>
    <w:p w14:paraId="1AEC11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 же время ввиду повышенной скорости полета Ил-10 поиск целей на поле боя стал более сложным, чем на самолете Ил-2. При атаке цели на Ил-10 прицеливаться легче, чем на Ил-2.</w:t>
      </w:r>
    </w:p>
    <w:p w14:paraId="6D734F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появлении истребителей про</w:t>
      </w:r>
      <w:r w:rsidRPr="00925F26">
        <w:rPr>
          <w:color w:val="000000" w:themeColor="text1"/>
          <w:sz w:val="16"/>
          <w:szCs w:val="16"/>
        </w:rPr>
        <w:softHyphen/>
        <w:t>тивника Ил-10 становились в оборо</w:t>
      </w:r>
      <w:r w:rsidRPr="00925F26">
        <w:rPr>
          <w:color w:val="000000" w:themeColor="text1"/>
          <w:sz w:val="16"/>
          <w:szCs w:val="16"/>
        </w:rPr>
        <w:softHyphen/>
        <w:t>нительный «круг». Дистанция между самолетами в круге из 6-8 Ил-10 со</w:t>
      </w:r>
      <w:r w:rsidRPr="00925F26">
        <w:rPr>
          <w:color w:val="000000" w:themeColor="text1"/>
          <w:sz w:val="16"/>
          <w:szCs w:val="16"/>
        </w:rPr>
        <w:softHyphen/>
        <w:t>ставляла 200-300 м. Пилотирование в круге выполнялось на скоростях 350-380 км/ч. При попытке пилотов люфт</w:t>
      </w:r>
      <w:r w:rsidRPr="00925F26">
        <w:rPr>
          <w:color w:val="000000" w:themeColor="text1"/>
          <w:sz w:val="16"/>
          <w:szCs w:val="16"/>
        </w:rPr>
        <w:softHyphen/>
        <w:t>ваффе атаковать штурмовиков, ведо</w:t>
      </w:r>
      <w:r w:rsidRPr="00925F26">
        <w:rPr>
          <w:color w:val="000000" w:themeColor="text1"/>
          <w:sz w:val="16"/>
          <w:szCs w:val="16"/>
        </w:rPr>
        <w:softHyphen/>
        <w:t>мые энергичным отворотом на 30-45° в сторону истребителей отражали их атаки, а затем легко занимали свое ме</w:t>
      </w:r>
      <w:r w:rsidRPr="00925F26">
        <w:rPr>
          <w:color w:val="000000" w:themeColor="text1"/>
          <w:sz w:val="16"/>
          <w:szCs w:val="16"/>
        </w:rPr>
        <w:softHyphen/>
        <w:t>сто в круге за счет «запаса скорости, маневренности и легкости в управле</w:t>
      </w:r>
      <w:r w:rsidRPr="00925F26">
        <w:rPr>
          <w:color w:val="000000" w:themeColor="text1"/>
          <w:sz w:val="16"/>
          <w:szCs w:val="16"/>
        </w:rPr>
        <w:softHyphen/>
        <w:t>нии».</w:t>
      </w:r>
    </w:p>
    <w:p w14:paraId="7BC9F2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отчетных документах особенно отмечалось, что самолет Ил-10 более скоростной и маневренный, чем Ил-2, поэтому борьбу с истребителями про</w:t>
      </w:r>
      <w:r w:rsidRPr="00925F26">
        <w:rPr>
          <w:color w:val="000000" w:themeColor="text1"/>
          <w:sz w:val="16"/>
          <w:szCs w:val="16"/>
        </w:rPr>
        <w:softHyphen/>
        <w:t>тивника вести легче.</w:t>
      </w:r>
    </w:p>
    <w:p w14:paraId="0D5C55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Атаки немецкие пилоты выполняли сзади сверху, снизу и сбоку под раккур-сами 0/4,1/4 и 2/4. Огонь открывался с больших дистанций - 400-500 м, и до дистанции 200 м велся длинными оче</w:t>
      </w:r>
      <w:r w:rsidRPr="00925F26">
        <w:rPr>
          <w:color w:val="000000" w:themeColor="text1"/>
          <w:sz w:val="16"/>
          <w:szCs w:val="16"/>
        </w:rPr>
        <w:softHyphen/>
        <w:t>редями, а затем - средними очередями.</w:t>
      </w:r>
    </w:p>
    <w:p w14:paraId="2A4A0A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Отмечались случаи встречи с новей-шими истребителями люфтваффе Ри 1900-9. Летчики указывали, что они «обладают большим диапазоном скоро</w:t>
      </w:r>
      <w:r w:rsidRPr="00925F26">
        <w:rPr>
          <w:color w:val="000000" w:themeColor="text1"/>
          <w:sz w:val="16"/>
          <w:szCs w:val="16"/>
        </w:rPr>
        <w:softHyphen/>
        <w:t>стей - атака производится на неболь</w:t>
      </w:r>
      <w:r w:rsidRPr="00925F26">
        <w:rPr>
          <w:color w:val="000000" w:themeColor="text1"/>
          <w:sz w:val="16"/>
          <w:szCs w:val="16"/>
        </w:rPr>
        <w:softHyphen/>
        <w:t>шой скорости, но подход и уход на боль</w:t>
      </w:r>
      <w:r w:rsidRPr="00925F26">
        <w:rPr>
          <w:color w:val="000000" w:themeColor="text1"/>
          <w:sz w:val="16"/>
          <w:szCs w:val="16"/>
        </w:rPr>
        <w:softHyphen/>
        <w:t>ших, и наши истребители не успевают реагировать».</w:t>
      </w:r>
    </w:p>
    <w:p w14:paraId="75788D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 xml:space="preserve">По общему мнению </w:t>
      </w:r>
      <w:proofErr w:type="gramEnd"/>
      <w:r w:rsidRPr="00925F26">
        <w:rPr>
          <w:color w:val="000000" w:themeColor="text1"/>
          <w:sz w:val="16"/>
          <w:szCs w:val="16"/>
        </w:rPr>
        <w:t>летного соста</w:t>
      </w:r>
      <w:r w:rsidRPr="00925F26">
        <w:rPr>
          <w:color w:val="000000" w:themeColor="text1"/>
          <w:sz w:val="16"/>
          <w:szCs w:val="16"/>
        </w:rPr>
        <w:softHyphen/>
        <w:t>ва для прикрытия группы из 6-8 само</w:t>
      </w:r>
      <w:r w:rsidRPr="00925F26">
        <w:rPr>
          <w:color w:val="000000" w:themeColor="text1"/>
          <w:sz w:val="16"/>
          <w:szCs w:val="16"/>
        </w:rPr>
        <w:softHyphen/>
        <w:t>летов Ил-10 применительно к услови</w:t>
      </w:r>
      <w:r w:rsidRPr="00925F26">
        <w:rPr>
          <w:color w:val="000000" w:themeColor="text1"/>
          <w:sz w:val="16"/>
          <w:szCs w:val="16"/>
        </w:rPr>
        <w:softHyphen/>
        <w:t>ям воздушной обстановки конца вой</w:t>
      </w:r>
      <w:r w:rsidRPr="00925F26">
        <w:rPr>
          <w:color w:val="000000" w:themeColor="text1"/>
          <w:sz w:val="16"/>
          <w:szCs w:val="16"/>
        </w:rPr>
        <w:softHyphen/>
        <w:t>ны достаточно выделять две пары ис</w:t>
      </w:r>
      <w:r w:rsidRPr="00925F26">
        <w:rPr>
          <w:color w:val="000000" w:themeColor="text1"/>
          <w:sz w:val="16"/>
          <w:szCs w:val="16"/>
        </w:rPr>
        <w:softHyphen/>
        <w:t>требителей, на группу из 4 Ил-10 - до</w:t>
      </w:r>
      <w:r w:rsidRPr="00925F26">
        <w:rPr>
          <w:color w:val="000000" w:themeColor="text1"/>
          <w:sz w:val="16"/>
          <w:szCs w:val="16"/>
        </w:rPr>
        <w:softHyphen/>
        <w:t>статочно одной пары.</w:t>
      </w:r>
    </w:p>
    <w:p w14:paraId="2CDCF7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штурмовик сравнивали в первую очередь с его предшественни</w:t>
      </w:r>
      <w:r w:rsidRPr="00925F26">
        <w:rPr>
          <w:color w:val="000000" w:themeColor="text1"/>
          <w:sz w:val="16"/>
          <w:szCs w:val="16"/>
        </w:rPr>
        <w:softHyphen/>
        <w:t>ком, знаменитым Ил-2. Ил-10 имел мно</w:t>
      </w:r>
      <w:r w:rsidRPr="00925F26">
        <w:rPr>
          <w:color w:val="000000" w:themeColor="text1"/>
          <w:sz w:val="16"/>
          <w:szCs w:val="16"/>
        </w:rPr>
        <w:softHyphen/>
        <w:t>го преимуществ по сравнению с ним. Цельнометаллическая конструкция уп</w:t>
      </w:r>
      <w:r w:rsidRPr="00925F26">
        <w:rPr>
          <w:color w:val="000000" w:themeColor="text1"/>
          <w:sz w:val="16"/>
          <w:szCs w:val="16"/>
        </w:rPr>
        <w:softHyphen/>
        <w:t>рощала уход за самолетом и увеличи</w:t>
      </w:r>
      <w:r w:rsidRPr="00925F26">
        <w:rPr>
          <w:color w:val="000000" w:themeColor="text1"/>
          <w:sz w:val="16"/>
          <w:szCs w:val="16"/>
        </w:rPr>
        <w:softHyphen/>
        <w:t>вала срок его службы. Этому способ</w:t>
      </w:r>
      <w:r w:rsidRPr="00925F26">
        <w:rPr>
          <w:color w:val="000000" w:themeColor="text1"/>
          <w:sz w:val="16"/>
          <w:szCs w:val="16"/>
        </w:rPr>
        <w:softHyphen/>
        <w:t>ствовали также применение потайной клепки и качественная окраска маши</w:t>
      </w:r>
      <w:r w:rsidRPr="00925F26">
        <w:rPr>
          <w:color w:val="000000" w:themeColor="text1"/>
          <w:sz w:val="16"/>
          <w:szCs w:val="16"/>
        </w:rPr>
        <w:softHyphen/>
        <w:t>ны. Удобные эксплуатационные люки обеспечивали хороший подход к тру</w:t>
      </w:r>
      <w:r w:rsidRPr="00925F26">
        <w:rPr>
          <w:color w:val="000000" w:themeColor="text1"/>
          <w:sz w:val="16"/>
          <w:szCs w:val="16"/>
        </w:rPr>
        <w:softHyphen/>
        <w:t>бопроводам, агрегатам и деталям уп</w:t>
      </w:r>
      <w:r w:rsidRPr="00925F26">
        <w:rPr>
          <w:color w:val="000000" w:themeColor="text1"/>
          <w:sz w:val="16"/>
          <w:szCs w:val="16"/>
        </w:rPr>
        <w:softHyphen/>
        <w:t>равления.</w:t>
      </w:r>
    </w:p>
    <w:p w14:paraId="3412D0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документах особо отмечалось, что Ил-10 более скоростной, чем старый Ил-2. Максимальная скорость у земли «десяток» первых серий фиксирова</w:t>
      </w:r>
      <w:r w:rsidRPr="00925F26">
        <w:rPr>
          <w:color w:val="000000" w:themeColor="text1"/>
          <w:sz w:val="16"/>
          <w:szCs w:val="16"/>
        </w:rPr>
        <w:softHyphen/>
        <w:t>лась на уровне 500-505 км/ч, что по</w:t>
      </w:r>
      <w:r w:rsidRPr="00925F26">
        <w:rPr>
          <w:color w:val="000000" w:themeColor="text1"/>
          <w:sz w:val="16"/>
          <w:szCs w:val="16"/>
        </w:rPr>
        <w:softHyphen/>
        <w:t>зволяло эффективнее бороться с ис</w:t>
      </w:r>
      <w:r w:rsidRPr="00925F26">
        <w:rPr>
          <w:color w:val="000000" w:themeColor="text1"/>
          <w:sz w:val="16"/>
          <w:szCs w:val="16"/>
        </w:rPr>
        <w:softHyphen/>
        <w:t>требителями противника и уклонять</w:t>
      </w:r>
      <w:r w:rsidRPr="00925F26">
        <w:rPr>
          <w:color w:val="000000" w:themeColor="text1"/>
          <w:sz w:val="16"/>
          <w:szCs w:val="16"/>
        </w:rPr>
        <w:softHyphen/>
        <w:t>ся от огня зенитной артиллерии.</w:t>
      </w:r>
    </w:p>
    <w:p w14:paraId="50CBAE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Нормальная скорость на маршруте составляла около 350 км/ч. Оптималь</w:t>
      </w:r>
      <w:r w:rsidRPr="00925F26">
        <w:rPr>
          <w:color w:val="000000" w:themeColor="text1"/>
          <w:sz w:val="16"/>
          <w:szCs w:val="16"/>
        </w:rPr>
        <w:softHyphen/>
        <w:t>ным режимом полета на Ил-10 на вы</w:t>
      </w:r>
      <w:r w:rsidRPr="00925F26">
        <w:rPr>
          <w:color w:val="000000" w:themeColor="text1"/>
          <w:sz w:val="16"/>
          <w:szCs w:val="16"/>
        </w:rPr>
        <w:softHyphen/>
        <w:t>соте 500-800 м считался режим: 1500 об/мин и давление на всасывании 725 мм.рт.ст. Однако оказалось, что при длительном полете на этом режиме заб</w:t>
      </w:r>
      <w:r w:rsidRPr="00925F26">
        <w:rPr>
          <w:color w:val="000000" w:themeColor="text1"/>
          <w:sz w:val="16"/>
          <w:szCs w:val="16"/>
        </w:rPr>
        <w:softHyphen/>
        <w:t>рызгивались свечи, мотор трясло. По</w:t>
      </w:r>
      <w:r w:rsidRPr="00925F26">
        <w:rPr>
          <w:color w:val="000000" w:themeColor="text1"/>
          <w:sz w:val="16"/>
          <w:szCs w:val="16"/>
        </w:rPr>
        <w:softHyphen/>
        <w:t>этому в частях реально летали на ре</w:t>
      </w:r>
      <w:r w:rsidRPr="00925F26">
        <w:rPr>
          <w:color w:val="000000" w:themeColor="text1"/>
          <w:sz w:val="16"/>
          <w:szCs w:val="16"/>
        </w:rPr>
        <w:softHyphen/>
        <w:t>жиме: 1700 об/мин и 750 мм.рт.ст. По этой причине не добирали по дально</w:t>
      </w:r>
      <w:r w:rsidRPr="00925F26">
        <w:rPr>
          <w:color w:val="000000" w:themeColor="text1"/>
          <w:sz w:val="16"/>
          <w:szCs w:val="16"/>
        </w:rPr>
        <w:softHyphen/>
        <w:t>сти примерно 5 минут полета, что со</w:t>
      </w:r>
      <w:r w:rsidRPr="00925F26">
        <w:rPr>
          <w:color w:val="000000" w:themeColor="text1"/>
          <w:sz w:val="16"/>
          <w:szCs w:val="16"/>
        </w:rPr>
        <w:softHyphen/>
        <w:t>вершенно не отражалось на выполне</w:t>
      </w:r>
      <w:r w:rsidRPr="00925F26">
        <w:rPr>
          <w:color w:val="000000" w:themeColor="text1"/>
          <w:sz w:val="16"/>
          <w:szCs w:val="16"/>
        </w:rPr>
        <w:softHyphen/>
        <w:t>нии боевых заданий, так как летать на предельный радиус не приходилось. Посадочная скорость со щитками была в пределах 148-150 км/ч, а без щитков - 168 км/ч.</w:t>
      </w:r>
    </w:p>
    <w:p w14:paraId="30F00F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сравнении с Ил-2 самолет Ил-10 при выполнении фигур высшего пи</w:t>
      </w:r>
      <w:r w:rsidRPr="00925F26">
        <w:rPr>
          <w:color w:val="000000" w:themeColor="text1"/>
          <w:sz w:val="16"/>
          <w:szCs w:val="16"/>
        </w:rPr>
        <w:softHyphen/>
        <w:t>лотажа оказался более устойчив, осо</w:t>
      </w:r>
      <w:r w:rsidRPr="00925F26">
        <w:rPr>
          <w:color w:val="000000" w:themeColor="text1"/>
          <w:sz w:val="16"/>
          <w:szCs w:val="16"/>
        </w:rPr>
        <w:softHyphen/>
        <w:t>бенно на виражах.</w:t>
      </w:r>
    </w:p>
    <w:p w14:paraId="049625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общему мнению, для успешного боевого применения и эксплуатации Ил-10 требуется только хорошая и от</w:t>
      </w:r>
      <w:r w:rsidRPr="00925F26">
        <w:rPr>
          <w:color w:val="000000" w:themeColor="text1"/>
          <w:sz w:val="16"/>
          <w:szCs w:val="16"/>
        </w:rPr>
        <w:softHyphen/>
        <w:t>личная подготовка летного состава в технике пилотирования самолетом, а также отличные знания материальной части. При этом летчики особо отме</w:t>
      </w:r>
      <w:r w:rsidRPr="00925F26">
        <w:rPr>
          <w:color w:val="000000" w:themeColor="text1"/>
          <w:sz w:val="16"/>
          <w:szCs w:val="16"/>
        </w:rPr>
        <w:softHyphen/>
        <w:t>чали, что «десятка» «совершенно не терпит летного состава, недостаточно оттренированного во взлете и посад</w:t>
      </w:r>
      <w:r w:rsidRPr="00925F26">
        <w:rPr>
          <w:color w:val="000000" w:themeColor="text1"/>
          <w:sz w:val="16"/>
          <w:szCs w:val="16"/>
        </w:rPr>
        <w:softHyphen/>
        <w:t>ке»: «Самолет требует исключитель</w:t>
      </w:r>
      <w:r w:rsidRPr="00925F26">
        <w:rPr>
          <w:color w:val="000000" w:themeColor="text1"/>
          <w:sz w:val="16"/>
          <w:szCs w:val="16"/>
        </w:rPr>
        <w:softHyphen/>
        <w:t>но низкого истребительного подхода, а на взлете в первой половине разбега имеет тенденцию к рысканию, в боль</w:t>
      </w:r>
      <w:r w:rsidRPr="00925F26">
        <w:rPr>
          <w:color w:val="000000" w:themeColor="text1"/>
          <w:sz w:val="16"/>
          <w:szCs w:val="16"/>
        </w:rPr>
        <w:softHyphen/>
        <w:t>шинстве случаев с отклонением впра</w:t>
      </w:r>
      <w:r w:rsidRPr="00925F26">
        <w:rPr>
          <w:color w:val="000000" w:themeColor="text1"/>
          <w:sz w:val="16"/>
          <w:szCs w:val="16"/>
        </w:rPr>
        <w:softHyphen/>
        <w:t>во. ...Самолет требует исключитель</w:t>
      </w:r>
      <w:r w:rsidRPr="00925F26">
        <w:rPr>
          <w:color w:val="000000" w:themeColor="text1"/>
          <w:sz w:val="16"/>
          <w:szCs w:val="16"/>
        </w:rPr>
        <w:softHyphen/>
        <w:t>ного внимания, так как рулит неустой</w:t>
      </w:r>
      <w:r w:rsidRPr="00925F26">
        <w:rPr>
          <w:color w:val="000000" w:themeColor="text1"/>
          <w:sz w:val="16"/>
          <w:szCs w:val="16"/>
        </w:rPr>
        <w:softHyphen/>
        <w:t>чиво. При невнимательном или негра</w:t>
      </w:r>
      <w:r w:rsidRPr="00925F26">
        <w:rPr>
          <w:color w:val="000000" w:themeColor="text1"/>
          <w:sz w:val="16"/>
          <w:szCs w:val="16"/>
        </w:rPr>
        <w:softHyphen/>
        <w:t>мотном действии можно вращение на 360° и неоднократно».</w:t>
      </w:r>
    </w:p>
    <w:p w14:paraId="0F2AA9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Тенденция к развороту вправо обуславливалась сильным реактивным моментом вращающегося винта и уз</w:t>
      </w:r>
      <w:r w:rsidRPr="00925F26">
        <w:rPr>
          <w:color w:val="000000" w:themeColor="text1"/>
          <w:sz w:val="16"/>
          <w:szCs w:val="16"/>
        </w:rPr>
        <w:softHyphen/>
        <w:t>кой колеей шасси. Последнее в сово</w:t>
      </w:r>
      <w:r w:rsidRPr="00925F26">
        <w:rPr>
          <w:color w:val="000000" w:themeColor="text1"/>
          <w:sz w:val="16"/>
          <w:szCs w:val="16"/>
        </w:rPr>
        <w:softHyphen/>
        <w:t>купности с недостаточным обзором вперед приводило к тому, что даже лет</w:t>
      </w:r>
      <w:r w:rsidRPr="00925F26">
        <w:rPr>
          <w:color w:val="000000" w:themeColor="text1"/>
          <w:sz w:val="16"/>
          <w:szCs w:val="16"/>
        </w:rPr>
        <w:softHyphen/>
        <w:t>чик с хорошей техникой пилотирова</w:t>
      </w:r>
      <w:r w:rsidRPr="00925F26">
        <w:rPr>
          <w:color w:val="000000" w:themeColor="text1"/>
          <w:sz w:val="16"/>
          <w:szCs w:val="16"/>
        </w:rPr>
        <w:softHyphen/>
        <w:t>ния не всегда мог выдержать направ</w:t>
      </w:r>
      <w:r w:rsidRPr="00925F26">
        <w:rPr>
          <w:color w:val="000000" w:themeColor="text1"/>
          <w:sz w:val="16"/>
          <w:szCs w:val="16"/>
        </w:rPr>
        <w:softHyphen/>
        <w:t>ление взлета, особенно с сильным бо</w:t>
      </w:r>
      <w:r w:rsidRPr="00925F26">
        <w:rPr>
          <w:color w:val="000000" w:themeColor="text1"/>
          <w:sz w:val="16"/>
          <w:szCs w:val="16"/>
        </w:rPr>
        <w:softHyphen/>
        <w:t>ковым ветром. Чтобы взлететь при сильном боковом ветре опытные лет</w:t>
      </w:r>
      <w:r w:rsidRPr="00925F26">
        <w:rPr>
          <w:color w:val="000000" w:themeColor="text1"/>
          <w:sz w:val="16"/>
          <w:szCs w:val="16"/>
        </w:rPr>
        <w:softHyphen/>
        <w:t>чики зачастую сознательно шли на на</w:t>
      </w:r>
      <w:r w:rsidRPr="00925F26">
        <w:rPr>
          <w:color w:val="000000" w:themeColor="text1"/>
          <w:sz w:val="16"/>
          <w:szCs w:val="16"/>
        </w:rPr>
        <w:softHyphen/>
        <w:t>рушение инструкции: для парирования разворота самолета вследствие сильного ветра кратковременно нажи</w:t>
      </w:r>
      <w:r w:rsidRPr="00925F26">
        <w:rPr>
          <w:color w:val="000000" w:themeColor="text1"/>
          <w:sz w:val="16"/>
          <w:szCs w:val="16"/>
        </w:rPr>
        <w:softHyphen/>
        <w:t>мали на тормоз. «Молодые» же подоб</w:t>
      </w:r>
      <w:r w:rsidRPr="00925F26">
        <w:rPr>
          <w:color w:val="000000" w:themeColor="text1"/>
          <w:sz w:val="16"/>
          <w:szCs w:val="16"/>
        </w:rPr>
        <w:softHyphen/>
        <w:t>ных вольностей позволить себе не мог</w:t>
      </w:r>
      <w:r w:rsidRPr="00925F26">
        <w:rPr>
          <w:color w:val="000000" w:themeColor="text1"/>
          <w:sz w:val="16"/>
          <w:szCs w:val="16"/>
        </w:rPr>
        <w:softHyphen/>
        <w:t>ли - в результате их разворачивало по</w:t>
      </w:r>
      <w:r w:rsidRPr="00925F26">
        <w:rPr>
          <w:color w:val="000000" w:themeColor="text1"/>
          <w:sz w:val="16"/>
          <w:szCs w:val="16"/>
        </w:rPr>
        <w:softHyphen/>
        <w:t>перек полосы, и они прекращали взлет. С подобной особенностью Ил-10 стол</w:t>
      </w:r>
      <w:r w:rsidRPr="00925F26">
        <w:rPr>
          <w:color w:val="000000" w:themeColor="text1"/>
          <w:sz w:val="16"/>
          <w:szCs w:val="16"/>
        </w:rPr>
        <w:softHyphen/>
        <w:t>кнулись абсолютно во всех штурмовых авиаполках.</w:t>
      </w:r>
    </w:p>
    <w:p w14:paraId="72B183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Именно по этой причине л-т Г. А. Веселов из 571-го шап 15 апреля раз</w:t>
      </w:r>
      <w:r w:rsidRPr="00925F26">
        <w:rPr>
          <w:color w:val="000000" w:themeColor="text1"/>
          <w:sz w:val="16"/>
          <w:szCs w:val="16"/>
        </w:rPr>
        <w:softHyphen/>
        <w:t>бил свой самолет при взлете на боевое задание.</w:t>
      </w:r>
    </w:p>
    <w:p w14:paraId="1F0D95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на взлете потерпел ава</w:t>
      </w:r>
      <w:r w:rsidRPr="00925F26">
        <w:rPr>
          <w:color w:val="000000" w:themeColor="text1"/>
          <w:sz w:val="16"/>
          <w:szCs w:val="16"/>
        </w:rPr>
        <w:softHyphen/>
        <w:t>рию командир звена 108-го ГШАП л-т Е. А. Молтаков. В начале разбега само</w:t>
      </w:r>
      <w:r w:rsidRPr="00925F26">
        <w:rPr>
          <w:color w:val="000000" w:themeColor="text1"/>
          <w:sz w:val="16"/>
          <w:szCs w:val="16"/>
        </w:rPr>
        <w:softHyphen/>
        <w:t>лет развернулся вправо на 7-8°, сво</w:t>
      </w:r>
      <w:r w:rsidRPr="00925F26">
        <w:rPr>
          <w:color w:val="000000" w:themeColor="text1"/>
          <w:sz w:val="16"/>
          <w:szCs w:val="16"/>
        </w:rPr>
        <w:softHyphen/>
        <w:t>евременно парировать разворот лет</w:t>
      </w:r>
      <w:r w:rsidRPr="00925F26">
        <w:rPr>
          <w:color w:val="000000" w:themeColor="text1"/>
          <w:sz w:val="16"/>
          <w:szCs w:val="16"/>
        </w:rPr>
        <w:softHyphen/>
        <w:t>чик не смог. Самолет, выйдя с укатан</w:t>
      </w:r>
      <w:r w:rsidRPr="00925F26">
        <w:rPr>
          <w:color w:val="000000" w:themeColor="text1"/>
          <w:sz w:val="16"/>
          <w:szCs w:val="16"/>
        </w:rPr>
        <w:softHyphen/>
        <w:t>ной полосы правым колесом, развер</w:t>
      </w:r>
      <w:r w:rsidRPr="00925F26">
        <w:rPr>
          <w:color w:val="000000" w:themeColor="text1"/>
          <w:sz w:val="16"/>
          <w:szCs w:val="16"/>
        </w:rPr>
        <w:softHyphen/>
        <w:t>нулся вправо еще больше. Однако Мол</w:t>
      </w:r>
      <w:r w:rsidRPr="00925F26">
        <w:rPr>
          <w:color w:val="000000" w:themeColor="text1"/>
          <w:sz w:val="16"/>
          <w:szCs w:val="16"/>
        </w:rPr>
        <w:softHyphen/>
        <w:t>таков взлет не прекратил, «дал форсаж и подорвал машину». Самолет свалил</w:t>
      </w:r>
      <w:r w:rsidRPr="00925F26">
        <w:rPr>
          <w:color w:val="000000" w:themeColor="text1"/>
          <w:sz w:val="16"/>
          <w:szCs w:val="16"/>
        </w:rPr>
        <w:softHyphen/>
        <w:t>ся на правое крыло и скапотировал. Экипаж получил ранения и отправлен в госпиталь, а Ил-10 зав. № 103051 -списан.</w:t>
      </w:r>
    </w:p>
    <w:p w14:paraId="672CE9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вылете на боевое задание 12 экипажей 118-го гшап 8 мая из-за сильного бокового ветра взлететь смогли только шестерка Верещинско-го и пара из состава шестерки к-на Свищева - сам Свищев и помощник ко</w:t>
      </w:r>
      <w:r w:rsidRPr="00925F26">
        <w:rPr>
          <w:color w:val="000000" w:themeColor="text1"/>
          <w:sz w:val="16"/>
          <w:szCs w:val="16"/>
        </w:rPr>
        <w:softHyphen/>
        <w:t>мандира полка по воздушно-стрелко</w:t>
      </w:r>
      <w:r w:rsidRPr="00925F26">
        <w:rPr>
          <w:color w:val="000000" w:themeColor="text1"/>
          <w:sz w:val="16"/>
          <w:szCs w:val="16"/>
        </w:rPr>
        <w:softHyphen/>
        <w:t>вой службе м-р Шагинов.</w:t>
      </w:r>
    </w:p>
    <w:p w14:paraId="40FB2E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отношении стрелково-пушечного вооружения нового штурмовика летный состав указывал, что оно не отличается от Ил-2, но </w:t>
      </w:r>
      <w:proofErr w:type="gramStart"/>
      <w:r w:rsidRPr="00925F26">
        <w:rPr>
          <w:color w:val="000000" w:themeColor="text1"/>
          <w:sz w:val="16"/>
          <w:szCs w:val="16"/>
        </w:rPr>
        <w:t>пневмо-электрическое</w:t>
      </w:r>
      <w:proofErr w:type="gramEnd"/>
      <w:r w:rsidRPr="00925F26">
        <w:rPr>
          <w:color w:val="000000" w:themeColor="text1"/>
          <w:sz w:val="16"/>
          <w:szCs w:val="16"/>
        </w:rPr>
        <w:t xml:space="preserve"> уп</w:t>
      </w:r>
      <w:r w:rsidRPr="00925F26">
        <w:rPr>
          <w:color w:val="000000" w:themeColor="text1"/>
          <w:sz w:val="16"/>
          <w:szCs w:val="16"/>
        </w:rPr>
        <w:softHyphen/>
        <w:t>равление огнем из пушек и пулеметов «исключительноудобное, облегчает ра</w:t>
      </w:r>
      <w:r w:rsidRPr="00925F26">
        <w:rPr>
          <w:color w:val="000000" w:themeColor="text1"/>
          <w:sz w:val="16"/>
          <w:szCs w:val="16"/>
        </w:rPr>
        <w:softHyphen/>
        <w:t>боту летчика и сделано удачно».</w:t>
      </w:r>
    </w:p>
    <w:p w14:paraId="7F462A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бомбовому вооружению были претензии, поскольку после сброса бомб бомболюки было очень трудно закрыть, так как предусмотренная на самолете механическая система для зак</w:t>
      </w:r>
      <w:r w:rsidRPr="00925F26">
        <w:rPr>
          <w:color w:val="000000" w:themeColor="text1"/>
          <w:sz w:val="16"/>
          <w:szCs w:val="16"/>
        </w:rPr>
        <w:softHyphen/>
        <w:t>рытия створок требовала усилий до 20 кг и к тому же была крайне несовер</w:t>
      </w:r>
      <w:r w:rsidRPr="00925F26">
        <w:rPr>
          <w:color w:val="000000" w:themeColor="text1"/>
          <w:sz w:val="16"/>
          <w:szCs w:val="16"/>
        </w:rPr>
        <w:softHyphen/>
        <w:t>шенной -тросы часто обрывались и за</w:t>
      </w:r>
      <w:r w:rsidRPr="00925F26">
        <w:rPr>
          <w:color w:val="000000" w:themeColor="text1"/>
          <w:sz w:val="16"/>
          <w:szCs w:val="16"/>
        </w:rPr>
        <w:softHyphen/>
        <w:t>едали. Все это приводило ктому, что над целью экипажи после сброса бомб за</w:t>
      </w:r>
      <w:r w:rsidRPr="00925F26">
        <w:rPr>
          <w:color w:val="000000" w:themeColor="text1"/>
          <w:sz w:val="16"/>
          <w:szCs w:val="16"/>
        </w:rPr>
        <w:softHyphen/>
        <w:t>частую продолжали выполнять атаки с открытыми бомболюками. В результате «самолет терял в маневренности'», а створки бомболюков деформирова</w:t>
      </w:r>
      <w:r w:rsidRPr="00925F26">
        <w:rPr>
          <w:color w:val="000000" w:themeColor="text1"/>
          <w:sz w:val="16"/>
          <w:szCs w:val="16"/>
        </w:rPr>
        <w:softHyphen/>
        <w:t>лись. Кроме этого, имелись случаи, ког</w:t>
      </w:r>
      <w:r w:rsidRPr="00925F26">
        <w:rPr>
          <w:color w:val="000000" w:themeColor="text1"/>
          <w:sz w:val="16"/>
          <w:szCs w:val="16"/>
        </w:rPr>
        <w:softHyphen/>
        <w:t>да створки бомбовых отсеков открыва</w:t>
      </w:r>
      <w:r w:rsidRPr="00925F26">
        <w:rPr>
          <w:color w:val="000000" w:themeColor="text1"/>
          <w:sz w:val="16"/>
          <w:szCs w:val="16"/>
        </w:rPr>
        <w:softHyphen/>
        <w:t>лись не полностью и бомбы зависали.</w:t>
      </w:r>
    </w:p>
    <w:p w14:paraId="41E3D4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Отметили летчики и более низкие возможности Ил-10 в сравнении с Ил-2 по загрузке самолета авиабомбами наиболее ходовых калибров - АО-25, АО-2,5, ПТАБ-2,5-1,5 и ФАБ-50.</w:t>
      </w:r>
    </w:p>
    <w:p w14:paraId="5C64EB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Что касается вопросов эксплуатации самолета Ил-10, то, помимо недостатков винтомоторной группы, выявилось весь</w:t>
      </w:r>
      <w:r w:rsidRPr="00925F26">
        <w:rPr>
          <w:color w:val="000000" w:themeColor="text1"/>
          <w:sz w:val="16"/>
          <w:szCs w:val="16"/>
        </w:rPr>
        <w:softHyphen/>
        <w:t>ма много конструктивных дефектов ма</w:t>
      </w:r>
      <w:r w:rsidRPr="00925F26">
        <w:rPr>
          <w:color w:val="000000" w:themeColor="text1"/>
          <w:sz w:val="16"/>
          <w:szCs w:val="16"/>
        </w:rPr>
        <w:softHyphen/>
        <w:t>шины и различных систем. При этом ряд из них были очень и очень серьезными.</w:t>
      </w:r>
    </w:p>
    <w:p w14:paraId="26B966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полках, эксплуатирующих Ил-10, имели место случаи деформа</w:t>
      </w:r>
      <w:r w:rsidRPr="00925F26">
        <w:rPr>
          <w:color w:val="000000" w:themeColor="text1"/>
          <w:sz w:val="16"/>
          <w:szCs w:val="16"/>
        </w:rPr>
        <w:softHyphen/>
        <w:t>ции верхней и нижней обшивки кон</w:t>
      </w:r>
      <w:r w:rsidRPr="00925F26">
        <w:rPr>
          <w:color w:val="000000" w:themeColor="text1"/>
          <w:sz w:val="16"/>
          <w:szCs w:val="16"/>
        </w:rPr>
        <w:softHyphen/>
        <w:t>сольной части крыла, срез и отрыв зак</w:t>
      </w:r>
      <w:r w:rsidRPr="00925F26">
        <w:rPr>
          <w:color w:val="000000" w:themeColor="text1"/>
          <w:sz w:val="16"/>
          <w:szCs w:val="16"/>
        </w:rPr>
        <w:softHyphen/>
        <w:t>лепок. На некоторых машинах наблю</w:t>
      </w:r>
      <w:r w:rsidRPr="00925F26">
        <w:rPr>
          <w:color w:val="000000" w:themeColor="text1"/>
          <w:sz w:val="16"/>
          <w:szCs w:val="16"/>
        </w:rPr>
        <w:softHyphen/>
        <w:t>далось отставание листов нижней об</w:t>
      </w:r>
      <w:r w:rsidRPr="00925F26">
        <w:rPr>
          <w:color w:val="000000" w:themeColor="text1"/>
          <w:sz w:val="16"/>
          <w:szCs w:val="16"/>
        </w:rPr>
        <w:softHyphen/>
        <w:t>шивки центроплана, сопровождавше</w:t>
      </w:r>
      <w:r w:rsidRPr="00925F26">
        <w:rPr>
          <w:color w:val="000000" w:themeColor="text1"/>
          <w:sz w:val="16"/>
          <w:szCs w:val="16"/>
        </w:rPr>
        <w:softHyphen/>
        <w:t>еся срезом заклепок по шву крепления листов к угольнику на бронекорпусе. Имелись случаи ослабления заклепоч</w:t>
      </w:r>
      <w:r w:rsidRPr="00925F26">
        <w:rPr>
          <w:color w:val="000000" w:themeColor="text1"/>
          <w:sz w:val="16"/>
          <w:szCs w:val="16"/>
        </w:rPr>
        <w:softHyphen/>
        <w:t>ных швов обшивки фюзеляжа в облас</w:t>
      </w:r>
      <w:r w:rsidRPr="00925F26">
        <w:rPr>
          <w:color w:val="000000" w:themeColor="text1"/>
          <w:sz w:val="16"/>
          <w:szCs w:val="16"/>
        </w:rPr>
        <w:softHyphen/>
        <w:t>ти крепления костыльной установки, а также по листу перехода килевой час</w:t>
      </w:r>
      <w:r w:rsidRPr="00925F26">
        <w:rPr>
          <w:color w:val="000000" w:themeColor="text1"/>
          <w:sz w:val="16"/>
          <w:szCs w:val="16"/>
        </w:rPr>
        <w:softHyphen/>
        <w:t>ти фюзеляжа. Система шасси оказалась довольно слабой в прочностном отно</w:t>
      </w:r>
      <w:r w:rsidRPr="00925F26">
        <w:rPr>
          <w:color w:val="000000" w:themeColor="text1"/>
          <w:sz w:val="16"/>
          <w:szCs w:val="16"/>
        </w:rPr>
        <w:softHyphen/>
        <w:t>шении и ненадежной: ломались скла</w:t>
      </w:r>
      <w:r w:rsidRPr="00925F26">
        <w:rPr>
          <w:color w:val="000000" w:themeColor="text1"/>
          <w:sz w:val="16"/>
          <w:szCs w:val="16"/>
        </w:rPr>
        <w:softHyphen/>
        <w:t>дывающиеся подкосы шасси и обтека</w:t>
      </w:r>
      <w:r w:rsidRPr="00925F26">
        <w:rPr>
          <w:color w:val="000000" w:themeColor="text1"/>
          <w:sz w:val="16"/>
          <w:szCs w:val="16"/>
        </w:rPr>
        <w:softHyphen/>
        <w:t>тели хвостового колеса, наблюдались многочисленные случаи поломок и срывов обтекателя колеса шасси (так называемый «лопух») и т.д.</w:t>
      </w:r>
    </w:p>
    <w:p w14:paraId="31A33D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Летный состав особо указывал, что «самолет Ил-10 на пикировании не терпит резкостей в выводе, не допус</w:t>
      </w:r>
      <w:r w:rsidRPr="00925F26">
        <w:rPr>
          <w:color w:val="000000" w:themeColor="text1"/>
          <w:sz w:val="16"/>
          <w:szCs w:val="16"/>
        </w:rPr>
        <w:softHyphen/>
        <w:t>кает перегрузки 5,5 единиц».</w:t>
      </w:r>
    </w:p>
    <w:p w14:paraId="5E7C34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Официально результаты и особен</w:t>
      </w:r>
      <w:r w:rsidRPr="00925F26">
        <w:rPr>
          <w:color w:val="000000" w:themeColor="text1"/>
          <w:sz w:val="16"/>
          <w:szCs w:val="16"/>
        </w:rPr>
        <w:softHyphen/>
        <w:t>ности боевого применения и эксплу</w:t>
      </w:r>
      <w:r w:rsidRPr="00925F26">
        <w:rPr>
          <w:color w:val="000000" w:themeColor="text1"/>
          <w:sz w:val="16"/>
          <w:szCs w:val="16"/>
        </w:rPr>
        <w:softHyphen/>
        <w:t>атации нового штурмовика Ил-10 фик</w:t>
      </w:r>
      <w:r w:rsidRPr="00925F26">
        <w:rPr>
          <w:color w:val="000000" w:themeColor="text1"/>
          <w:sz w:val="16"/>
          <w:szCs w:val="16"/>
        </w:rPr>
        <w:softHyphen/>
        <w:t>сировала бригада ГК НИИ ВВС, кото</w:t>
      </w:r>
      <w:r w:rsidRPr="00925F26">
        <w:rPr>
          <w:color w:val="000000" w:themeColor="text1"/>
          <w:sz w:val="16"/>
          <w:szCs w:val="16"/>
        </w:rPr>
        <w:softHyphen/>
        <w:t>рая все время находилась в 108-м ГШАП, на базе которого проходили войсковые испытания Ил-10.</w:t>
      </w:r>
    </w:p>
    <w:p w14:paraId="5DF1C9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состав бригады входили: веду</w:t>
      </w:r>
      <w:r w:rsidRPr="00925F26">
        <w:rPr>
          <w:color w:val="000000" w:themeColor="text1"/>
          <w:sz w:val="16"/>
          <w:szCs w:val="16"/>
        </w:rPr>
        <w:softHyphen/>
        <w:t>щий инженер-испытатель П. Т. Абро-щенко, ведущий летчик-испытатель А. К. Долгов, инженеры С. Г. Фролов, В. Н. Ковынев, В. Д. Кабанов, С. Т. Глу-щенко. Представителем от Управления ВВС КА был А. И. Алексеев.</w:t>
      </w:r>
    </w:p>
    <w:p w14:paraId="1FC075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обеспечения войсковых испы</w:t>
      </w:r>
      <w:r w:rsidRPr="00925F26">
        <w:rPr>
          <w:color w:val="000000" w:themeColor="text1"/>
          <w:sz w:val="16"/>
          <w:szCs w:val="16"/>
        </w:rPr>
        <w:softHyphen/>
        <w:t>таний к 108-му полку были прикоман</w:t>
      </w:r>
      <w:r w:rsidRPr="00925F26">
        <w:rPr>
          <w:color w:val="000000" w:themeColor="text1"/>
          <w:sz w:val="16"/>
          <w:szCs w:val="16"/>
        </w:rPr>
        <w:softHyphen/>
        <w:t>дированы также и несколько бригад от предприятий наркомата авиапро</w:t>
      </w:r>
      <w:r w:rsidRPr="00925F26">
        <w:rPr>
          <w:color w:val="000000" w:themeColor="text1"/>
          <w:sz w:val="16"/>
          <w:szCs w:val="16"/>
        </w:rPr>
        <w:softHyphen/>
        <w:t>мышленности. Бригаду специалистов 18-го авиазавода возглавлял старший инженер А. С. Руденко, 24-й моторос</w:t>
      </w:r>
      <w:r w:rsidRPr="00925F26">
        <w:rPr>
          <w:color w:val="000000" w:themeColor="text1"/>
          <w:sz w:val="16"/>
          <w:szCs w:val="16"/>
        </w:rPr>
        <w:softHyphen/>
        <w:t>троительный завод представлял инже</w:t>
      </w:r>
      <w:r w:rsidRPr="00925F26">
        <w:rPr>
          <w:color w:val="000000" w:themeColor="text1"/>
          <w:sz w:val="16"/>
          <w:szCs w:val="16"/>
        </w:rPr>
        <w:softHyphen/>
        <w:t>нер П. С. Захаров, а ОКБ Ильюшина на</w:t>
      </w:r>
      <w:r w:rsidRPr="00925F26">
        <w:rPr>
          <w:color w:val="000000" w:themeColor="text1"/>
          <w:sz w:val="16"/>
          <w:szCs w:val="16"/>
        </w:rPr>
        <w:softHyphen/>
        <w:t>правило двух ведущих конструкторов -Д. Л. Коклина (по вооружению) и В. А. Ерофеева (по моторной установке).</w:t>
      </w:r>
    </w:p>
    <w:p w14:paraId="355D37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выводах отчета по результатам войсковых испытаний самолета Ил-10 указывалось, что:</w:t>
      </w:r>
    </w:p>
    <w:p w14:paraId="541DEA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Бомбовая нагрузка самолета по весу, назначению и калибру подвеши</w:t>
      </w:r>
      <w:r w:rsidRPr="00925F26">
        <w:rPr>
          <w:color w:val="000000" w:themeColor="text1"/>
          <w:sz w:val="16"/>
          <w:szCs w:val="16"/>
        </w:rPr>
        <w:softHyphen/>
        <w:t>ваемых авиабомб обеспечивает выпол</w:t>
      </w:r>
      <w:r w:rsidRPr="00925F26">
        <w:rPr>
          <w:color w:val="000000" w:themeColor="text1"/>
          <w:sz w:val="16"/>
          <w:szCs w:val="16"/>
        </w:rPr>
        <w:softHyphen/>
        <w:t>нение возлагаемых на самолет-штур</w:t>
      </w:r>
      <w:r w:rsidRPr="00925F26">
        <w:rPr>
          <w:color w:val="000000" w:themeColor="text1"/>
          <w:sz w:val="16"/>
          <w:szCs w:val="16"/>
        </w:rPr>
        <w:softHyphen/>
        <w:t>мовик задач.</w:t>
      </w:r>
    </w:p>
    <w:p w14:paraId="1AB406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...Вооружение самолета Ил-10 по количеству боевых точек, калибру и боезапасу к ним отличия от вооруже</w:t>
      </w:r>
      <w:r w:rsidRPr="00925F26">
        <w:rPr>
          <w:color w:val="000000" w:themeColor="text1"/>
          <w:sz w:val="16"/>
          <w:szCs w:val="16"/>
        </w:rPr>
        <w:softHyphen/>
        <w:t>ния Ил-2 не имеет.</w:t>
      </w:r>
    </w:p>
    <w:p w14:paraId="075B5F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При действии по целям, прикры</w:t>
      </w:r>
      <w:r w:rsidRPr="00925F26">
        <w:rPr>
          <w:color w:val="000000" w:themeColor="text1"/>
          <w:sz w:val="16"/>
          <w:szCs w:val="16"/>
        </w:rPr>
        <w:softHyphen/>
        <w:t>тым истребителями противника, само</w:t>
      </w:r>
      <w:r w:rsidRPr="00925F26">
        <w:rPr>
          <w:color w:val="000000" w:themeColor="text1"/>
          <w:sz w:val="16"/>
          <w:szCs w:val="16"/>
        </w:rPr>
        <w:softHyphen/>
        <w:t>лет Ил-10 требует сопровождения в такой же степени, как и самолет Ил-2... Наличие большего диапазона скоро</w:t>
      </w:r>
      <w:r w:rsidRPr="00925F26">
        <w:rPr>
          <w:color w:val="000000" w:themeColor="text1"/>
          <w:sz w:val="16"/>
          <w:szCs w:val="16"/>
        </w:rPr>
        <w:softHyphen/>
        <w:t>стей и лучшей маневренности облегча</w:t>
      </w:r>
      <w:r w:rsidRPr="00925F26">
        <w:rPr>
          <w:color w:val="000000" w:themeColor="text1"/>
          <w:sz w:val="16"/>
          <w:szCs w:val="16"/>
        </w:rPr>
        <w:softHyphen/>
        <w:t>ет задачу истребителей сопровождения и позволяет Ил-10 вступать в актив</w:t>
      </w:r>
      <w:r w:rsidRPr="00925F26">
        <w:rPr>
          <w:color w:val="000000" w:themeColor="text1"/>
          <w:sz w:val="16"/>
          <w:szCs w:val="16"/>
        </w:rPr>
        <w:softHyphen/>
        <w:t>ный воздушный бой с противником.</w:t>
      </w:r>
    </w:p>
    <w:p w14:paraId="577335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.Живучесть</w:t>
      </w:r>
      <w:proofErr w:type="gramEnd"/>
      <w:r w:rsidRPr="00925F26">
        <w:rPr>
          <w:color w:val="000000" w:themeColor="text1"/>
          <w:sz w:val="16"/>
          <w:szCs w:val="16"/>
        </w:rPr>
        <w:t xml:space="preserve"> конструкции (брони</w:t>
      </w:r>
      <w:r w:rsidRPr="00925F26">
        <w:rPr>
          <w:color w:val="000000" w:themeColor="text1"/>
          <w:sz w:val="16"/>
          <w:szCs w:val="16"/>
        </w:rPr>
        <w:softHyphen/>
        <w:t>рование экипажа и винтомоторной груп</w:t>
      </w:r>
      <w:r w:rsidRPr="00925F26">
        <w:rPr>
          <w:color w:val="000000" w:themeColor="text1"/>
          <w:sz w:val="16"/>
          <w:szCs w:val="16"/>
        </w:rPr>
        <w:softHyphen/>
        <w:t>пы) лучше, чем на самолете Ил-2, и в целом является достаточной. Уязвимы</w:t>
      </w:r>
      <w:r w:rsidRPr="00925F26">
        <w:rPr>
          <w:color w:val="000000" w:themeColor="text1"/>
          <w:sz w:val="16"/>
          <w:szCs w:val="16"/>
        </w:rPr>
        <w:softHyphen/>
        <w:t>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w:t>
      </w:r>
      <w:r w:rsidRPr="00925F26">
        <w:rPr>
          <w:color w:val="000000" w:themeColor="text1"/>
          <w:sz w:val="16"/>
          <w:szCs w:val="16"/>
        </w:rPr>
        <w:softHyphen/>
        <w:t>ковых испытаний в достаточной сте</w:t>
      </w:r>
      <w:r w:rsidRPr="00925F26">
        <w:rPr>
          <w:color w:val="000000" w:themeColor="text1"/>
          <w:sz w:val="16"/>
          <w:szCs w:val="16"/>
        </w:rPr>
        <w:softHyphen/>
        <w:t>пени не выявлены и требуют дополни</w:t>
      </w:r>
      <w:r w:rsidRPr="00925F26">
        <w:rPr>
          <w:color w:val="000000" w:themeColor="text1"/>
          <w:sz w:val="16"/>
          <w:szCs w:val="16"/>
        </w:rPr>
        <w:softHyphen/>
        <w:t>тельной проверки путем анализа по</w:t>
      </w:r>
      <w:r w:rsidRPr="00925F26">
        <w:rPr>
          <w:color w:val="000000" w:themeColor="text1"/>
          <w:sz w:val="16"/>
          <w:szCs w:val="16"/>
        </w:rPr>
        <w:softHyphen/>
        <w:t>вреждений на самолетах, находящихся в других действующих частях ВВС.</w:t>
      </w:r>
    </w:p>
    <w:p w14:paraId="79E05F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Обзор из кабины летчика, вслед</w:t>
      </w:r>
      <w:r w:rsidRPr="00925F26">
        <w:rPr>
          <w:color w:val="000000" w:themeColor="text1"/>
          <w:sz w:val="16"/>
          <w:szCs w:val="16"/>
        </w:rPr>
        <w:softHyphen/>
        <w:t>ствие отсутствия обзора назад и зате</w:t>
      </w:r>
      <w:r w:rsidRPr="00925F26">
        <w:rPr>
          <w:color w:val="000000" w:themeColor="text1"/>
          <w:sz w:val="16"/>
          <w:szCs w:val="16"/>
        </w:rPr>
        <w:softHyphen/>
        <w:t>нения переднего стекла в плохих метео</w:t>
      </w:r>
      <w:r w:rsidRPr="00925F26">
        <w:rPr>
          <w:color w:val="000000" w:themeColor="text1"/>
          <w:sz w:val="16"/>
          <w:szCs w:val="16"/>
        </w:rPr>
        <w:softHyphen/>
        <w:t>условиях (дождь, снег), в сравнении с обзором на самолете Ил-2-хуже.</w:t>
      </w:r>
    </w:p>
    <w:p w14:paraId="2FB24B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...Временной механизм ВМШ-10, также как и ВМШ-2 в боевых условиях при противодействии МЗА и ЗА против</w:t>
      </w:r>
      <w:r w:rsidRPr="00925F26">
        <w:rPr>
          <w:color w:val="000000" w:themeColor="text1"/>
          <w:sz w:val="16"/>
          <w:szCs w:val="16"/>
        </w:rPr>
        <w:softHyphen/>
        <w:t>ника использовать невозможно, так как ВМШ-10 требует длительного нахож</w:t>
      </w:r>
      <w:r w:rsidRPr="00925F26">
        <w:rPr>
          <w:color w:val="000000" w:themeColor="text1"/>
          <w:sz w:val="16"/>
          <w:szCs w:val="16"/>
        </w:rPr>
        <w:softHyphen/>
        <w:t>дения над целью без ПЗМ.</w:t>
      </w:r>
    </w:p>
    <w:p w14:paraId="660D0A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Основным методом бомбомета</w:t>
      </w:r>
      <w:r w:rsidRPr="00925F26">
        <w:rPr>
          <w:color w:val="000000" w:themeColor="text1"/>
          <w:sz w:val="16"/>
          <w:szCs w:val="16"/>
        </w:rPr>
        <w:softHyphen/>
        <w:t>ния в боевых условиях на самолете Ил-10 принят" тот же, что и для Ил-2, с той лишь разницей, что:</w:t>
      </w:r>
    </w:p>
    <w:p w14:paraId="1D6533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возросли углы планирования с 30° до 50°,</w:t>
      </w:r>
    </w:p>
    <w:p w14:paraId="4E791A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возросла скорость ввода в пики</w:t>
      </w:r>
      <w:r w:rsidRPr="00925F26">
        <w:rPr>
          <w:color w:val="000000" w:themeColor="text1"/>
          <w:sz w:val="16"/>
          <w:szCs w:val="16"/>
        </w:rPr>
        <w:softHyphen/>
        <w:t>рование от 320 до 350 км/ч,</w:t>
      </w:r>
    </w:p>
    <w:p w14:paraId="16EBF1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скорость вывода из пикирования выросла до 500-600 км/ч,</w:t>
      </w:r>
    </w:p>
    <w:p w14:paraId="749023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улучшилась маневренность само</w:t>
      </w:r>
      <w:r w:rsidRPr="00925F26">
        <w:rPr>
          <w:color w:val="000000" w:themeColor="text1"/>
          <w:sz w:val="16"/>
          <w:szCs w:val="16"/>
        </w:rPr>
        <w:softHyphen/>
        <w:t>лета.</w:t>
      </w:r>
    </w:p>
    <w:p w14:paraId="58C176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В обслуживании и эксплуатации Ил-10 проще и удобнее, чем Ил-2, одна</w:t>
      </w:r>
      <w:r w:rsidRPr="00925F26">
        <w:rPr>
          <w:color w:val="000000" w:themeColor="text1"/>
          <w:sz w:val="16"/>
          <w:szCs w:val="16"/>
        </w:rPr>
        <w:softHyphen/>
        <w:t>ко ряд производственных и конструк</w:t>
      </w:r>
      <w:r w:rsidRPr="00925F26">
        <w:rPr>
          <w:color w:val="000000" w:themeColor="text1"/>
          <w:sz w:val="16"/>
          <w:szCs w:val="16"/>
        </w:rPr>
        <w:softHyphen/>
        <w:t>тивных дефектов усложняет эксплуа-</w:t>
      </w:r>
    </w:p>
    <w:p w14:paraId="10DF91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тацию.</w:t>
      </w:r>
    </w:p>
    <w:p w14:paraId="6BDC32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...Время подготовки Ил-10 к бое</w:t>
      </w:r>
      <w:r w:rsidRPr="00925F26">
        <w:rPr>
          <w:color w:val="000000" w:themeColor="text1"/>
          <w:sz w:val="16"/>
          <w:szCs w:val="16"/>
        </w:rPr>
        <w:softHyphen/>
        <w:t>вым вылетам, механиком и мотористом практически такое же, что и время, по</w:t>
      </w:r>
      <w:r w:rsidRPr="00925F26">
        <w:rPr>
          <w:color w:val="000000" w:themeColor="text1"/>
          <w:sz w:val="16"/>
          <w:szCs w:val="16"/>
        </w:rPr>
        <w:softHyphen/>
        <w:t>требное для Ил-2...</w:t>
      </w:r>
    </w:p>
    <w:p w14:paraId="797858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
    <w:p w14:paraId="18F214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.Цельнометаллическая</w:t>
      </w:r>
      <w:proofErr w:type="gramEnd"/>
      <w:r w:rsidRPr="00925F26">
        <w:rPr>
          <w:color w:val="000000" w:themeColor="text1"/>
          <w:sz w:val="16"/>
          <w:szCs w:val="16"/>
        </w:rPr>
        <w:t xml:space="preserve"> конструк</w:t>
      </w:r>
      <w:r w:rsidRPr="00925F26">
        <w:rPr>
          <w:color w:val="000000" w:themeColor="text1"/>
          <w:sz w:val="16"/>
          <w:szCs w:val="16"/>
        </w:rPr>
        <w:softHyphen/>
        <w:t>ция Ил-10,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w:t>
      </w:r>
      <w:r w:rsidRPr="00925F26">
        <w:rPr>
          <w:color w:val="000000" w:themeColor="text1"/>
          <w:sz w:val="16"/>
          <w:szCs w:val="16"/>
        </w:rPr>
        <w:softHyphen/>
        <w:t>онным люком в фюзеляже, обеспечива</w:t>
      </w:r>
      <w:r w:rsidRPr="00925F26">
        <w:rPr>
          <w:color w:val="000000" w:themeColor="text1"/>
          <w:sz w:val="16"/>
          <w:szCs w:val="16"/>
        </w:rPr>
        <w:softHyphen/>
        <w:t>ющим хороший подход к трубопроводам, агрегатам и управлению...»</w:t>
      </w:r>
    </w:p>
    <w:p w14:paraId="1A0636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того, отмечалось, что по тех</w:t>
      </w:r>
      <w:r w:rsidRPr="00925F26">
        <w:rPr>
          <w:color w:val="000000" w:themeColor="text1"/>
          <w:sz w:val="16"/>
          <w:szCs w:val="16"/>
        </w:rPr>
        <w:softHyphen/>
        <w:t>нике пилотирования самолет прост. Имея лучшую устойчивость, хорошую управляемость и более высокую манев</w:t>
      </w:r>
      <w:r w:rsidRPr="00925F26">
        <w:rPr>
          <w:color w:val="000000" w:themeColor="text1"/>
          <w:sz w:val="16"/>
          <w:szCs w:val="16"/>
        </w:rPr>
        <w:softHyphen/>
        <w:t>ренность, Ил-10, в сравнении с Ил-2, охотно прощает летному составу ошиб</w:t>
      </w:r>
      <w:r w:rsidRPr="00925F26">
        <w:rPr>
          <w:color w:val="000000" w:themeColor="text1"/>
          <w:sz w:val="16"/>
          <w:szCs w:val="16"/>
        </w:rPr>
        <w:softHyphen/>
        <w:t>ки и не утомляет летчика при полете в болтанку. Переучивание летного и инженерно-технического составов, работавших на самолете Ил-2 АМ-38ф, при переходе на Ил-10 АМ-42 трудно</w:t>
      </w:r>
      <w:r w:rsidRPr="00925F26">
        <w:rPr>
          <w:color w:val="000000" w:themeColor="text1"/>
          <w:sz w:val="16"/>
          <w:szCs w:val="16"/>
        </w:rPr>
        <w:softHyphen/>
        <w:t>сти не представляет. Летному составу достаточно 10-15 учебно-тренировоч</w:t>
      </w:r>
      <w:r w:rsidRPr="00925F26">
        <w:rPr>
          <w:color w:val="000000" w:themeColor="text1"/>
          <w:sz w:val="16"/>
          <w:szCs w:val="16"/>
        </w:rPr>
        <w:softHyphen/>
        <w:t>ных полетов общим налетом 3-4 часа. Инженерно-технический состав легко осваивает матчасть самолета и мотора непосредственно в ходе эксплуатации.</w:t>
      </w:r>
    </w:p>
    <w:p w14:paraId="7B580B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Простота в технике пилотирова</w:t>
      </w:r>
      <w:r w:rsidRPr="00925F26">
        <w:rPr>
          <w:color w:val="000000" w:themeColor="text1"/>
          <w:sz w:val="16"/>
          <w:szCs w:val="16"/>
        </w:rPr>
        <w:softHyphen/>
        <w:t>ния и сравнительно легкий переход к экс</w:t>
      </w:r>
      <w:r w:rsidRPr="00925F26">
        <w:rPr>
          <w:color w:val="000000" w:themeColor="text1"/>
          <w:sz w:val="16"/>
          <w:szCs w:val="16"/>
        </w:rPr>
        <w:softHyphen/>
        <w:t>плуатации Ил-10 как летным, так и тех</w:t>
      </w:r>
      <w:r w:rsidRPr="00925F26">
        <w:rPr>
          <w:color w:val="000000" w:themeColor="text1"/>
          <w:sz w:val="16"/>
          <w:szCs w:val="16"/>
        </w:rPr>
        <w:softHyphen/>
        <w:t xml:space="preserve">ническим составом дают возможность перевооружить штурмовые авиачасти на этот самолет в самые кратчайшие </w:t>
      </w:r>
      <w:proofErr w:type="gramStart"/>
      <w:r w:rsidRPr="00925F26">
        <w:rPr>
          <w:color w:val="000000" w:themeColor="text1"/>
          <w:sz w:val="16"/>
          <w:szCs w:val="16"/>
        </w:rPr>
        <w:t>сро</w:t>
      </w:r>
      <w:r w:rsidRPr="00925F26">
        <w:rPr>
          <w:color w:val="000000" w:themeColor="text1"/>
          <w:sz w:val="16"/>
          <w:szCs w:val="16"/>
        </w:rPr>
        <w:softHyphen/>
        <w:t>ки. ..</w:t>
      </w:r>
      <w:proofErr w:type="gramEnd"/>
      <w:r w:rsidRPr="00925F26">
        <w:rPr>
          <w:color w:val="000000" w:themeColor="text1"/>
          <w:sz w:val="16"/>
          <w:szCs w:val="16"/>
        </w:rPr>
        <w:t>», - указывалось в выводах отчета.</w:t>
      </w:r>
    </w:p>
    <w:p w14:paraId="7BB085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качестве основных дефектов Ил-10-го Госкомиссия отметила следующие:</w:t>
      </w:r>
    </w:p>
    <w:p w14:paraId="3DF4B7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Неудовлетворительная конст</w:t>
      </w:r>
      <w:r w:rsidRPr="00925F26">
        <w:rPr>
          <w:color w:val="000000" w:themeColor="text1"/>
          <w:sz w:val="16"/>
          <w:szCs w:val="16"/>
        </w:rPr>
        <w:softHyphen/>
        <w:t>рукция фонаря кабины (трудно откры</w:t>
      </w:r>
      <w:r w:rsidRPr="00925F26">
        <w:rPr>
          <w:color w:val="000000" w:themeColor="text1"/>
          <w:sz w:val="16"/>
          <w:szCs w:val="16"/>
        </w:rPr>
        <w:softHyphen/>
        <w:t>вается на земле, рулежка и полет в сложных метеоусловиях с открытым фонарем невозможны).</w:t>
      </w:r>
    </w:p>
    <w:p w14:paraId="701D51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Отсутствует обзор назад из ка</w:t>
      </w:r>
      <w:r w:rsidRPr="00925F26">
        <w:rPr>
          <w:color w:val="000000" w:themeColor="text1"/>
          <w:sz w:val="16"/>
          <w:szCs w:val="16"/>
        </w:rPr>
        <w:softHyphen/>
        <w:t>бины летчика (необходимо сделать в бронеспинке вставку из прозрачного бронестекла по типу самолета Ил-2).</w:t>
      </w:r>
    </w:p>
    <w:p w14:paraId="2FC293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Велики усилия на ручку управле</w:t>
      </w:r>
      <w:r w:rsidRPr="00925F26">
        <w:rPr>
          <w:color w:val="000000" w:themeColor="text1"/>
          <w:sz w:val="16"/>
          <w:szCs w:val="16"/>
        </w:rPr>
        <w:softHyphen/>
        <w:t>ния от элеронов на скорости выше 400 км/час.</w:t>
      </w:r>
    </w:p>
    <w:p w14:paraId="56B40A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Обтекатели (лопухи) колес шасси</w:t>
      </w:r>
    </w:p>
    <w:p w14:paraId="53F391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рулежке и посадке на мягком грунте и зимой в снег зарываются, деформиру</w:t>
      </w:r>
      <w:r w:rsidRPr="00925F26">
        <w:rPr>
          <w:color w:val="000000" w:themeColor="text1"/>
          <w:sz w:val="16"/>
          <w:szCs w:val="16"/>
        </w:rPr>
        <w:softHyphen/>
        <w:t>ются и тормозят движение самолета.</w:t>
      </w:r>
    </w:p>
    <w:p w14:paraId="422D85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Тросы везде рвутся: и ограничи</w:t>
      </w:r>
      <w:r w:rsidRPr="00925F26">
        <w:rPr>
          <w:color w:val="000000" w:themeColor="text1"/>
          <w:sz w:val="16"/>
          <w:szCs w:val="16"/>
        </w:rPr>
        <w:softHyphen/>
        <w:t>тельные тросы фонаря кабины и аварий</w:t>
      </w:r>
      <w:r w:rsidRPr="00925F26">
        <w:rPr>
          <w:color w:val="000000" w:themeColor="text1"/>
          <w:sz w:val="16"/>
          <w:szCs w:val="16"/>
        </w:rPr>
        <w:softHyphen/>
        <w:t>ного выпуска шасси, и системы управле</w:t>
      </w:r>
      <w:r w:rsidRPr="00925F26">
        <w:rPr>
          <w:color w:val="000000" w:themeColor="text1"/>
          <w:sz w:val="16"/>
          <w:szCs w:val="16"/>
        </w:rPr>
        <w:softHyphen/>
        <w:t>ния, а также тросы стопора костыля.</w:t>
      </w:r>
    </w:p>
    <w:p w14:paraId="675F78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...Прочность покрышек колес 800x260 мм, как и эффективность тор</w:t>
      </w:r>
      <w:r w:rsidRPr="00925F26">
        <w:rPr>
          <w:color w:val="000000" w:themeColor="text1"/>
          <w:sz w:val="16"/>
          <w:szCs w:val="16"/>
        </w:rPr>
        <w:softHyphen/>
        <w:t>мозов недостаточна.</w:t>
      </w:r>
    </w:p>
    <w:p w14:paraId="54AFA8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При аварийных посадках ломает</w:t>
      </w:r>
      <w:r w:rsidRPr="00925F26">
        <w:rPr>
          <w:color w:val="000000" w:themeColor="text1"/>
          <w:sz w:val="16"/>
          <w:szCs w:val="16"/>
        </w:rPr>
        <w:softHyphen/>
        <w:t>ся силовая рама крепления узлов шасси и разрушаются упоры хвостового ко</w:t>
      </w:r>
      <w:r w:rsidRPr="00925F26">
        <w:rPr>
          <w:color w:val="000000" w:themeColor="text1"/>
          <w:sz w:val="16"/>
          <w:szCs w:val="16"/>
        </w:rPr>
        <w:softHyphen/>
        <w:t>леса при посадке с убранным костылем, а также ломается рама №14 фюзеля</w:t>
      </w:r>
      <w:r w:rsidRPr="00925F26">
        <w:rPr>
          <w:color w:val="000000" w:themeColor="text1"/>
          <w:sz w:val="16"/>
          <w:szCs w:val="16"/>
        </w:rPr>
        <w:softHyphen/>
        <w:t>жа.</w:t>
      </w:r>
    </w:p>
    <w:p w14:paraId="71E295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Шасси самолета при давлении воз</w:t>
      </w:r>
      <w:r w:rsidRPr="00925F26">
        <w:rPr>
          <w:color w:val="000000" w:themeColor="text1"/>
          <w:sz w:val="16"/>
          <w:szCs w:val="16"/>
        </w:rPr>
        <w:softHyphen/>
        <w:t>духа в системе 38 атм. на скоростях свы</w:t>
      </w:r>
      <w:r w:rsidRPr="00925F26">
        <w:rPr>
          <w:color w:val="000000" w:themeColor="text1"/>
          <w:sz w:val="16"/>
          <w:szCs w:val="16"/>
        </w:rPr>
        <w:softHyphen/>
        <w:t>ше 260 км/час не выпускаются».</w:t>
      </w:r>
    </w:p>
    <w:p w14:paraId="1C8FF1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заключении отчета по войсковым испытаниям Государственная комиссия сделала вывод, что Ил-10 АМ-42 войско</w:t>
      </w:r>
      <w:r w:rsidRPr="00925F26">
        <w:rPr>
          <w:color w:val="000000" w:themeColor="text1"/>
          <w:sz w:val="16"/>
          <w:szCs w:val="16"/>
        </w:rPr>
        <w:softHyphen/>
        <w:t>вые испытания выдержал удовлетвори</w:t>
      </w:r>
      <w:r w:rsidRPr="00925F26">
        <w:rPr>
          <w:color w:val="000000" w:themeColor="text1"/>
          <w:sz w:val="16"/>
          <w:szCs w:val="16"/>
        </w:rPr>
        <w:softHyphen/>
        <w:t>тельно и является вполне современным бронированным штурмовиком ВВС КА.</w:t>
      </w:r>
    </w:p>
    <w:p w14:paraId="59366C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сожалению, ряд вопросов боево</w:t>
      </w:r>
      <w:r w:rsidRPr="00925F26">
        <w:rPr>
          <w:color w:val="000000" w:themeColor="text1"/>
          <w:sz w:val="16"/>
          <w:szCs w:val="16"/>
        </w:rPr>
        <w:softHyphen/>
        <w:t>го применения самолета Ил-10 в мате</w:t>
      </w:r>
      <w:r w:rsidRPr="00925F26">
        <w:rPr>
          <w:color w:val="000000" w:themeColor="text1"/>
          <w:sz w:val="16"/>
          <w:szCs w:val="16"/>
        </w:rPr>
        <w:softHyphen/>
        <w:t>риалах отчета по войсковым испыта</w:t>
      </w:r>
      <w:r w:rsidRPr="00925F26">
        <w:rPr>
          <w:color w:val="000000" w:themeColor="text1"/>
          <w:sz w:val="16"/>
          <w:szCs w:val="16"/>
        </w:rPr>
        <w:softHyphen/>
        <w:t>ниям отражены не были. В частности, не была дана оценка реальной боевой эффективности Ил-10 в сравнении с самолетом Ил-2.</w:t>
      </w:r>
    </w:p>
    <w:p w14:paraId="17F727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 же время анализ расхода бое</w:t>
      </w:r>
      <w:r w:rsidRPr="00925F26">
        <w:rPr>
          <w:color w:val="000000" w:themeColor="text1"/>
          <w:sz w:val="16"/>
          <w:szCs w:val="16"/>
        </w:rPr>
        <w:softHyphen/>
        <w:t>комплекта в ходе боевых действий по</w:t>
      </w:r>
      <w:r w:rsidRPr="00925F26">
        <w:rPr>
          <w:color w:val="000000" w:themeColor="text1"/>
          <w:sz w:val="16"/>
          <w:szCs w:val="16"/>
        </w:rPr>
        <w:softHyphen/>
        <w:t>казывает, что средняя бомбовая нагруз</w:t>
      </w:r>
      <w:r w:rsidRPr="00925F26">
        <w:rPr>
          <w:color w:val="000000" w:themeColor="text1"/>
          <w:sz w:val="16"/>
          <w:szCs w:val="16"/>
        </w:rPr>
        <w:softHyphen/>
        <w:t xml:space="preserve">ка Ил-10 на один </w:t>
      </w:r>
      <w:proofErr w:type="gramStart"/>
      <w:r w:rsidRPr="00925F26">
        <w:rPr>
          <w:color w:val="000000" w:themeColor="text1"/>
          <w:sz w:val="16"/>
          <w:szCs w:val="16"/>
        </w:rPr>
        <w:t>самолето-вылет</w:t>
      </w:r>
      <w:proofErr w:type="gramEnd"/>
      <w:r w:rsidRPr="00925F26">
        <w:rPr>
          <w:color w:val="000000" w:themeColor="text1"/>
          <w:sz w:val="16"/>
          <w:szCs w:val="16"/>
        </w:rPr>
        <w:t xml:space="preserve"> соста</w:t>
      </w:r>
      <w:r w:rsidRPr="00925F26">
        <w:rPr>
          <w:color w:val="000000" w:themeColor="text1"/>
          <w:sz w:val="16"/>
          <w:szCs w:val="16"/>
        </w:rPr>
        <w:softHyphen/>
        <w:t>вила 304 кг (разброс от 400 кг до 200 кг) или 76% нормальной бомбовой заг</w:t>
      </w:r>
      <w:r w:rsidRPr="00925F26">
        <w:rPr>
          <w:color w:val="000000" w:themeColor="text1"/>
          <w:sz w:val="16"/>
          <w:szCs w:val="16"/>
        </w:rPr>
        <w:softHyphen/>
        <w:t>рузки самолета. Расход боекомплекта к стрелково-пушечному вооружению в одном боевом вылете в среднем равнял</w:t>
      </w:r>
      <w:r w:rsidRPr="00925F26">
        <w:rPr>
          <w:color w:val="000000" w:themeColor="text1"/>
          <w:sz w:val="16"/>
          <w:szCs w:val="16"/>
        </w:rPr>
        <w:softHyphen/>
        <w:t>ся: 26 % - к пушкам ВЯ, 15% - к пулеме</w:t>
      </w:r>
      <w:r w:rsidRPr="00925F26">
        <w:rPr>
          <w:color w:val="000000" w:themeColor="text1"/>
          <w:sz w:val="16"/>
          <w:szCs w:val="16"/>
        </w:rPr>
        <w:softHyphen/>
        <w:t>там ШКАС и 3,6% - к пулемету УБТ.</w:t>
      </w:r>
    </w:p>
    <w:p w14:paraId="7FA75F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Безвозвратные боевые потери пол</w:t>
      </w:r>
      <w:r w:rsidRPr="00925F26">
        <w:rPr>
          <w:color w:val="000000" w:themeColor="text1"/>
          <w:sz w:val="16"/>
          <w:szCs w:val="16"/>
        </w:rPr>
        <w:softHyphen/>
        <w:t>ков по официальным данным составили 12 самолетов Ил-10, погибли 5 летчиков и 8 воздушных стрелков. Небоевые по</w:t>
      </w:r>
      <w:r w:rsidRPr="00925F26">
        <w:rPr>
          <w:color w:val="000000" w:themeColor="text1"/>
          <w:sz w:val="16"/>
          <w:szCs w:val="16"/>
        </w:rPr>
        <w:softHyphen/>
        <w:t>тери составили 11 самолетов. Налет на одну боевую потерю «десятки» соста</w:t>
      </w:r>
      <w:r w:rsidRPr="00925F26">
        <w:rPr>
          <w:color w:val="000000" w:themeColor="text1"/>
          <w:sz w:val="16"/>
          <w:szCs w:val="16"/>
        </w:rPr>
        <w:softHyphen/>
        <w:t xml:space="preserve">вил примерно 85 </w:t>
      </w:r>
      <w:proofErr w:type="gramStart"/>
      <w:r w:rsidRPr="00925F26">
        <w:rPr>
          <w:color w:val="000000" w:themeColor="text1"/>
          <w:sz w:val="16"/>
          <w:szCs w:val="16"/>
        </w:rPr>
        <w:t>самолето-вылетов</w:t>
      </w:r>
      <w:proofErr w:type="gramEnd"/>
      <w:r w:rsidRPr="00925F26">
        <w:rPr>
          <w:color w:val="000000" w:themeColor="text1"/>
          <w:sz w:val="16"/>
          <w:szCs w:val="16"/>
        </w:rPr>
        <w:t>.</w:t>
      </w:r>
    </w:p>
    <w:p w14:paraId="52F5CD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Оказывается, что по всем этим по</w:t>
      </w:r>
      <w:r w:rsidRPr="00925F26">
        <w:rPr>
          <w:color w:val="000000" w:themeColor="text1"/>
          <w:sz w:val="16"/>
          <w:szCs w:val="16"/>
        </w:rPr>
        <w:softHyphen/>
        <w:t>казателям самолет Ил-2 в апреле-мае 1945 г. оказался даже несколько луч</w:t>
      </w:r>
      <w:r w:rsidRPr="00925F26">
        <w:rPr>
          <w:color w:val="000000" w:themeColor="text1"/>
          <w:sz w:val="16"/>
          <w:szCs w:val="16"/>
        </w:rPr>
        <w:softHyphen/>
        <w:t>ше самолета Ил-10.</w:t>
      </w:r>
    </w:p>
    <w:p w14:paraId="3ACA9A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Так, боевая живучесть Ил-2 в этот период времени составляла в среднем около 90 боевых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на одну безвозвратную потерю самолета.</w:t>
      </w:r>
    </w:p>
    <w:p w14:paraId="098DF1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Инженеры полков отмечали, что, несмотря на цельнометаллическую конструкцию, новый штурмовик «держал удар» хуже, чем Ил-2. Виной тому примененный на Ил-10 скоростной профиль крыла МАСА-230. Даже при небольших повреждениях крыла «де</w:t>
      </w:r>
      <w:r w:rsidRPr="00925F26">
        <w:rPr>
          <w:color w:val="000000" w:themeColor="text1"/>
          <w:sz w:val="16"/>
          <w:szCs w:val="16"/>
        </w:rPr>
        <w:softHyphen/>
        <w:t>сятка» теряла управляемость, и на вы</w:t>
      </w:r>
      <w:r w:rsidRPr="00925F26">
        <w:rPr>
          <w:color w:val="000000" w:themeColor="text1"/>
          <w:sz w:val="16"/>
          <w:szCs w:val="16"/>
        </w:rPr>
        <w:softHyphen/>
        <w:t>нужденных посадках самолеты би</w:t>
      </w:r>
      <w:r w:rsidRPr="00925F26">
        <w:rPr>
          <w:color w:val="000000" w:themeColor="text1"/>
          <w:sz w:val="16"/>
          <w:szCs w:val="16"/>
        </w:rPr>
        <w:softHyphen/>
        <w:t>лись. В то же время крыло Ил-2, где использовался профиль С1агк-УН, не теряло несущих свойств даже при зна</w:t>
      </w:r>
      <w:r w:rsidRPr="00925F26">
        <w:rPr>
          <w:color w:val="000000" w:themeColor="text1"/>
          <w:sz w:val="16"/>
          <w:szCs w:val="16"/>
        </w:rPr>
        <w:softHyphen/>
        <w:t>чительном разрушении обшивки. Как следствие, процент списанных штур</w:t>
      </w:r>
      <w:r w:rsidRPr="00925F26">
        <w:rPr>
          <w:color w:val="000000" w:themeColor="text1"/>
          <w:sz w:val="16"/>
          <w:szCs w:val="16"/>
        </w:rPr>
        <w:softHyphen/>
        <w:t>мовиков Ил-10, поврежденных в бою и выполнивших вынужденные посад</w:t>
      </w:r>
      <w:r w:rsidRPr="00925F26">
        <w:rPr>
          <w:color w:val="000000" w:themeColor="text1"/>
          <w:sz w:val="16"/>
          <w:szCs w:val="16"/>
        </w:rPr>
        <w:softHyphen/>
        <w:t>ки, был в 2,5-2 раза выше, чем у Ил-2.</w:t>
      </w:r>
    </w:p>
    <w:p w14:paraId="2564AC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Отметим, что именно по этим при</w:t>
      </w:r>
      <w:r w:rsidRPr="00925F26">
        <w:rPr>
          <w:color w:val="000000" w:themeColor="text1"/>
          <w:sz w:val="16"/>
          <w:szCs w:val="16"/>
        </w:rPr>
        <w:softHyphen/>
        <w:t>чинам при создании штурмовика Ил-10М, который представлял собой глубокую модернизацию «десятки», было разработано новое крыло, на котором вновь перешли к менее ско</w:t>
      </w:r>
      <w:r w:rsidRPr="00925F26">
        <w:rPr>
          <w:color w:val="000000" w:themeColor="text1"/>
          <w:sz w:val="16"/>
          <w:szCs w:val="16"/>
        </w:rPr>
        <w:softHyphen/>
        <w:t>ростному профилю крыла, применен</w:t>
      </w:r>
      <w:r w:rsidRPr="00925F26">
        <w:rPr>
          <w:color w:val="000000" w:themeColor="text1"/>
          <w:sz w:val="16"/>
          <w:szCs w:val="16"/>
        </w:rPr>
        <w:softHyphen/>
        <w:t>ному на самолете Ил-2. Живучесть ока</w:t>
      </w:r>
      <w:r w:rsidRPr="00925F26">
        <w:rPr>
          <w:color w:val="000000" w:themeColor="text1"/>
          <w:sz w:val="16"/>
          <w:szCs w:val="16"/>
        </w:rPr>
        <w:softHyphen/>
        <w:t>залась превыше скорости.</w:t>
      </w:r>
    </w:p>
    <w:p w14:paraId="222E26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оценке боевой живучести не</w:t>
      </w:r>
      <w:r w:rsidRPr="00925F26">
        <w:rPr>
          <w:color w:val="000000" w:themeColor="text1"/>
          <w:sz w:val="16"/>
          <w:szCs w:val="16"/>
        </w:rPr>
        <w:softHyphen/>
        <w:t>обходимо также учитывать и ограни</w:t>
      </w:r>
      <w:r w:rsidRPr="00925F26">
        <w:rPr>
          <w:color w:val="000000" w:themeColor="text1"/>
          <w:sz w:val="16"/>
          <w:szCs w:val="16"/>
        </w:rPr>
        <w:softHyphen/>
        <w:t>ченность статистики боевых действий «десятки» в сравнении с Ил-2. Напри</w:t>
      </w:r>
      <w:r w:rsidRPr="00925F26">
        <w:rPr>
          <w:color w:val="000000" w:themeColor="text1"/>
          <w:sz w:val="16"/>
          <w:szCs w:val="16"/>
        </w:rPr>
        <w:softHyphen/>
        <w:t>мер, 8-й ШАК, в апреле в среднем имел 113 самолето-вылетов на одну боевую потерю Ил-2, тогда как 571-й ШАП, который входил в состав корпуса в этот период времени, -183 самолето-вылетов на одну боевую потерю Ил-10. Это гово</w:t>
      </w:r>
      <w:r w:rsidRPr="00925F26">
        <w:rPr>
          <w:color w:val="000000" w:themeColor="text1"/>
          <w:sz w:val="16"/>
          <w:szCs w:val="16"/>
        </w:rPr>
        <w:softHyphen/>
        <w:t>рит о том, что-летный состав 571-го ШАП сумел белее полно использовать высо</w:t>
      </w:r>
      <w:r w:rsidRPr="00925F26">
        <w:rPr>
          <w:color w:val="000000" w:themeColor="text1"/>
          <w:sz w:val="16"/>
          <w:szCs w:val="16"/>
        </w:rPr>
        <w:softHyphen/>
        <w:t>кую маневренность Ил-10, в сравнении с экипажами 108-го и 118-го ГШАП.</w:t>
      </w:r>
    </w:p>
    <w:p w14:paraId="5F7E07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Средний расход боекомплекта са</w:t>
      </w:r>
      <w:r w:rsidRPr="00925F26">
        <w:rPr>
          <w:color w:val="000000" w:themeColor="text1"/>
          <w:sz w:val="16"/>
          <w:szCs w:val="16"/>
        </w:rPr>
        <w:softHyphen/>
        <w:t>молетов Ил-2 за последний месяц вой</w:t>
      </w:r>
      <w:r w:rsidRPr="00925F26">
        <w:rPr>
          <w:color w:val="000000" w:themeColor="text1"/>
          <w:sz w:val="16"/>
          <w:szCs w:val="16"/>
        </w:rPr>
        <w:softHyphen/>
        <w:t>ны (по опыту 17-й и 8-й ВА) составил: 70% - к пушкам ВЯ, 25% - к пулеметам ШКАС и около 11,5% - к пулемету УБТ.</w:t>
      </w:r>
    </w:p>
    <w:p w14:paraId="010386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Этот результат можно объяснить значительно меньшей скоростью на пикировании Ил-2 в сравнении с Ил-10. Это позволяло летчику «двойки» в одном заходе совершенно сво</w:t>
      </w:r>
      <w:r w:rsidRPr="00925F26">
        <w:rPr>
          <w:color w:val="000000" w:themeColor="text1"/>
          <w:sz w:val="16"/>
          <w:szCs w:val="16"/>
        </w:rPr>
        <w:softHyphen/>
        <w:t>бодно отстрелять из пушек и пулеме</w:t>
      </w:r>
      <w:r w:rsidRPr="00925F26">
        <w:rPr>
          <w:color w:val="000000" w:themeColor="text1"/>
          <w:sz w:val="16"/>
          <w:szCs w:val="16"/>
        </w:rPr>
        <w:softHyphen/>
        <w:t>тов одну-две прицельные очереди продолжительностью 1-2 секунды (20-40 снарядов и 60-120 патронов). Тог</w:t>
      </w:r>
      <w:r w:rsidRPr="00925F26">
        <w:rPr>
          <w:color w:val="000000" w:themeColor="text1"/>
          <w:sz w:val="16"/>
          <w:szCs w:val="16"/>
        </w:rPr>
        <w:softHyphen/>
        <w:t>да как летчик «десятки» за один заход прицельно не успевал отстрелять даже одной очереди.</w:t>
      </w:r>
    </w:p>
    <w:p w14:paraId="7F40A1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тому же на Ил-2 стояли четыре ракетных орудия, а это серьезно повы</w:t>
      </w:r>
      <w:r w:rsidRPr="00925F26">
        <w:rPr>
          <w:color w:val="000000" w:themeColor="text1"/>
          <w:sz w:val="16"/>
          <w:szCs w:val="16"/>
        </w:rPr>
        <w:softHyphen/>
        <w:t>шало боевые возможности самолета.</w:t>
      </w:r>
    </w:p>
    <w:p w14:paraId="6D7CD9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Ил-2 уступал Ил-10 только в подвижности над полем боя - в эффек</w:t>
      </w:r>
      <w:r w:rsidRPr="00925F26">
        <w:rPr>
          <w:color w:val="000000" w:themeColor="text1"/>
          <w:sz w:val="16"/>
          <w:szCs w:val="16"/>
        </w:rPr>
        <w:softHyphen/>
        <w:t>тивности выполнения противозенитно</w:t>
      </w:r>
      <w:r w:rsidRPr="00925F26">
        <w:rPr>
          <w:color w:val="000000" w:themeColor="text1"/>
          <w:sz w:val="16"/>
          <w:szCs w:val="16"/>
        </w:rPr>
        <w:softHyphen/>
        <w:t>го и противоистребительного маневров.</w:t>
      </w:r>
    </w:p>
    <w:p w14:paraId="69BCED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Разумеется, при обработке статис</w:t>
      </w:r>
      <w:r w:rsidRPr="00925F26">
        <w:rPr>
          <w:color w:val="000000" w:themeColor="text1"/>
          <w:sz w:val="16"/>
          <w:szCs w:val="16"/>
        </w:rPr>
        <w:softHyphen/>
        <w:t>тики военного времени необходимо де</w:t>
      </w:r>
      <w:r w:rsidRPr="00925F26">
        <w:rPr>
          <w:color w:val="000000" w:themeColor="text1"/>
          <w:sz w:val="16"/>
          <w:szCs w:val="16"/>
        </w:rPr>
        <w:softHyphen/>
        <w:t>лать скидку на недостаточное освоение новой техники экипажами, конструктив</w:t>
      </w:r>
      <w:r w:rsidRPr="00925F26">
        <w:rPr>
          <w:color w:val="000000" w:themeColor="text1"/>
          <w:sz w:val="16"/>
          <w:szCs w:val="16"/>
        </w:rPr>
        <w:softHyphen/>
        <w:t>ные и технологические дефекты, вызван</w:t>
      </w:r>
      <w:r w:rsidRPr="00925F26">
        <w:rPr>
          <w:color w:val="000000" w:themeColor="text1"/>
          <w:sz w:val="16"/>
          <w:szCs w:val="16"/>
        </w:rPr>
        <w:softHyphen/>
        <w:t>ные поспешностью проектирования и внедрения в серийное производство.</w:t>
      </w:r>
    </w:p>
    <w:p w14:paraId="0FED92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Например, инструкторский состав запасных авиаполков 1-й ЗАБ в ходе летно-тактическихучений в конце ап</w:t>
      </w:r>
      <w:r w:rsidRPr="00925F26">
        <w:rPr>
          <w:color w:val="000000" w:themeColor="text1"/>
          <w:sz w:val="16"/>
          <w:szCs w:val="16"/>
        </w:rPr>
        <w:softHyphen/>
        <w:t>реля 1945 г. смог выполнить упраж</w:t>
      </w:r>
      <w:r w:rsidRPr="00925F26">
        <w:rPr>
          <w:color w:val="000000" w:themeColor="text1"/>
          <w:sz w:val="16"/>
          <w:szCs w:val="16"/>
        </w:rPr>
        <w:softHyphen/>
        <w:t>нения по бомбометанию и стрельбе по наземной цели на полигоне только с оценкой удовлетворительно - средний бал вылетавших групп составил 3,5. При этом из 10 групп (всего 57 экипа</w:t>
      </w:r>
      <w:r w:rsidRPr="00925F26">
        <w:rPr>
          <w:color w:val="000000" w:themeColor="text1"/>
          <w:sz w:val="16"/>
          <w:szCs w:val="16"/>
        </w:rPr>
        <w:softHyphen/>
        <w:t>жей) задание по стрельбе с оценкой «отлично» выполнили только 3 груп</w:t>
      </w:r>
      <w:r w:rsidRPr="00925F26">
        <w:rPr>
          <w:color w:val="000000" w:themeColor="text1"/>
          <w:sz w:val="16"/>
          <w:szCs w:val="16"/>
        </w:rPr>
        <w:softHyphen/>
        <w:t>пы, с оценкой «хорошо» - одна груп</w:t>
      </w:r>
      <w:r w:rsidRPr="00925F26">
        <w:rPr>
          <w:color w:val="000000" w:themeColor="text1"/>
          <w:sz w:val="16"/>
          <w:szCs w:val="16"/>
        </w:rPr>
        <w:softHyphen/>
        <w:t>па, «посредственно»-три группы и три группы задания не выполнили вовсе. Бомбометание с отличными результа</w:t>
      </w:r>
      <w:r w:rsidRPr="00925F26">
        <w:rPr>
          <w:color w:val="000000" w:themeColor="text1"/>
          <w:sz w:val="16"/>
          <w:szCs w:val="16"/>
        </w:rPr>
        <w:softHyphen/>
        <w:t>тами отработали всего шесть экипа</w:t>
      </w:r>
      <w:r w:rsidRPr="00925F26">
        <w:rPr>
          <w:color w:val="000000" w:themeColor="text1"/>
          <w:sz w:val="16"/>
          <w:szCs w:val="16"/>
        </w:rPr>
        <w:softHyphen/>
        <w:t>жей, с оценкой «хорошо» - 21 экипаж, и «удовлетворительно» - 30 экипажей.</w:t>
      </w:r>
    </w:p>
    <w:p w14:paraId="281302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Оказалось, что инструкторский со</w:t>
      </w:r>
      <w:r w:rsidRPr="00925F26">
        <w:rPr>
          <w:color w:val="000000" w:themeColor="text1"/>
          <w:sz w:val="16"/>
          <w:szCs w:val="16"/>
        </w:rPr>
        <w:softHyphen/>
        <w:t>став не умеет удерживать Ил-10 в ус</w:t>
      </w:r>
      <w:r w:rsidRPr="00925F26">
        <w:rPr>
          <w:color w:val="000000" w:themeColor="text1"/>
          <w:sz w:val="16"/>
          <w:szCs w:val="16"/>
        </w:rPr>
        <w:softHyphen/>
        <w:t xml:space="preserve">тойчивом </w:t>
      </w:r>
      <w:proofErr w:type="gramStart"/>
      <w:r w:rsidRPr="00925F26">
        <w:rPr>
          <w:color w:val="000000" w:themeColor="text1"/>
          <w:sz w:val="16"/>
          <w:szCs w:val="16"/>
        </w:rPr>
        <w:t>пикировании.Атака</w:t>
      </w:r>
      <w:proofErr w:type="gramEnd"/>
      <w:r w:rsidRPr="00925F26">
        <w:rPr>
          <w:color w:val="000000" w:themeColor="text1"/>
          <w:sz w:val="16"/>
          <w:szCs w:val="16"/>
        </w:rPr>
        <w:t xml:space="preserve"> выпол</w:t>
      </w:r>
      <w:r w:rsidRPr="00925F26">
        <w:rPr>
          <w:color w:val="000000" w:themeColor="text1"/>
          <w:sz w:val="16"/>
          <w:szCs w:val="16"/>
        </w:rPr>
        <w:softHyphen/>
        <w:t>няется с небольшими углами пикиро</w:t>
      </w:r>
      <w:r w:rsidRPr="00925F26">
        <w:rPr>
          <w:color w:val="000000" w:themeColor="text1"/>
          <w:sz w:val="16"/>
          <w:szCs w:val="16"/>
        </w:rPr>
        <w:softHyphen/>
        <w:t>вания, что существенно снижает точ</w:t>
      </w:r>
      <w:r w:rsidRPr="00925F26">
        <w:rPr>
          <w:color w:val="000000" w:themeColor="text1"/>
          <w:sz w:val="16"/>
          <w:szCs w:val="16"/>
        </w:rPr>
        <w:softHyphen/>
        <w:t>ность стрельбы. Маневр по вертика-</w:t>
      </w:r>
    </w:p>
    <w:p w14:paraId="7C60F5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ли выполняется не энергичный. Лет</w:t>
      </w:r>
      <w:r w:rsidRPr="00925F26">
        <w:rPr>
          <w:color w:val="000000" w:themeColor="text1"/>
          <w:sz w:val="16"/>
          <w:szCs w:val="16"/>
        </w:rPr>
        <w:softHyphen/>
        <w:t>чики плохо соблюдают боевой поря</w:t>
      </w:r>
      <w:r w:rsidRPr="00925F26">
        <w:rPr>
          <w:color w:val="000000" w:themeColor="text1"/>
          <w:sz w:val="16"/>
          <w:szCs w:val="16"/>
        </w:rPr>
        <w:softHyphen/>
        <w:t>док во время атаки и на выходе из ата</w:t>
      </w:r>
      <w:r w:rsidRPr="00925F26">
        <w:rPr>
          <w:color w:val="000000" w:themeColor="text1"/>
          <w:sz w:val="16"/>
          <w:szCs w:val="16"/>
        </w:rPr>
        <w:softHyphen/>
        <w:t>ки. Не имеют устойчивых навыков в определении дистанции действитель</w:t>
      </w:r>
      <w:r w:rsidRPr="00925F26">
        <w:rPr>
          <w:color w:val="000000" w:themeColor="text1"/>
          <w:sz w:val="16"/>
          <w:szCs w:val="16"/>
        </w:rPr>
        <w:softHyphen/>
        <w:t>ного огня, а также учета поправок на ветер при маневре, при выходе на цель и при прицеливании.</w:t>
      </w:r>
    </w:p>
    <w:p w14:paraId="2EA40D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Летчики маршевых полков и вовсе показывали далеко не лучшие резуль</w:t>
      </w:r>
      <w:r w:rsidRPr="00925F26">
        <w:rPr>
          <w:color w:val="000000" w:themeColor="text1"/>
          <w:sz w:val="16"/>
          <w:szCs w:val="16"/>
        </w:rPr>
        <w:softHyphen/>
        <w:t>таты. Так, при проведении проверки летно-боевой готовности полков 7-го ШАК в мае 45-го выяснилось, что эки</w:t>
      </w:r>
      <w:r w:rsidRPr="00925F26">
        <w:rPr>
          <w:color w:val="000000" w:themeColor="text1"/>
          <w:sz w:val="16"/>
          <w:szCs w:val="16"/>
        </w:rPr>
        <w:softHyphen/>
        <w:t>пажи 807-го, 686-го, 503-го и 806-го ШАП «абсолютно не имеют представ</w:t>
      </w:r>
      <w:r w:rsidRPr="00925F26">
        <w:rPr>
          <w:color w:val="000000" w:themeColor="text1"/>
          <w:sz w:val="16"/>
          <w:szCs w:val="16"/>
        </w:rPr>
        <w:softHyphen/>
        <w:t>ления о бомбометании с пикирования, высоту сбрасывания не выдерживают, маневрирование не выполняют, боль</w:t>
      </w:r>
      <w:r w:rsidRPr="00925F26">
        <w:rPr>
          <w:color w:val="000000" w:themeColor="text1"/>
          <w:sz w:val="16"/>
          <w:szCs w:val="16"/>
        </w:rPr>
        <w:softHyphen/>
        <w:t>шинство сбрасывают бомбы не при</w:t>
      </w:r>
      <w:r w:rsidRPr="00925F26">
        <w:rPr>
          <w:color w:val="000000" w:themeColor="text1"/>
          <w:sz w:val="16"/>
          <w:szCs w:val="16"/>
        </w:rPr>
        <w:softHyphen/>
        <w:t>цельно». Из 17 летчиков 686-го ШАП и 34 сброшенных бомб, на полигоне было найдено только 9 бомб, из них 3 бомбы попали в цель, 3 бомбы «разма</w:t>
      </w:r>
      <w:r w:rsidRPr="00925F26">
        <w:rPr>
          <w:color w:val="000000" w:themeColor="text1"/>
          <w:sz w:val="16"/>
          <w:szCs w:val="16"/>
        </w:rPr>
        <w:softHyphen/>
        <w:t>заны» по полигону, и 3 бомбы группы м-ра Белова сброшены на КП полиго</w:t>
      </w:r>
      <w:r w:rsidRPr="00925F26">
        <w:rPr>
          <w:color w:val="000000" w:themeColor="text1"/>
          <w:sz w:val="16"/>
          <w:szCs w:val="16"/>
        </w:rPr>
        <w:softHyphen/>
        <w:t>на. Примерно также отработал и 807-й штурмовой авиаполк, который «раз</w:t>
      </w:r>
      <w:r w:rsidRPr="00925F26">
        <w:rPr>
          <w:color w:val="000000" w:themeColor="text1"/>
          <w:sz w:val="16"/>
          <w:szCs w:val="16"/>
        </w:rPr>
        <w:softHyphen/>
        <w:t>бросал все бомбы по полигону». В 503-м ШАП упражнение № 30 по КБП ША-44 г. с оценкой «отлично» выполнило только два экипажа, с оценкой «хоро</w:t>
      </w:r>
      <w:r w:rsidRPr="00925F26">
        <w:rPr>
          <w:color w:val="000000" w:themeColor="text1"/>
          <w:sz w:val="16"/>
          <w:szCs w:val="16"/>
        </w:rPr>
        <w:softHyphen/>
        <w:t>шо» - четыре экипажа, с оценкой «по</w:t>
      </w:r>
      <w:r w:rsidRPr="00925F26">
        <w:rPr>
          <w:color w:val="000000" w:themeColor="text1"/>
          <w:sz w:val="16"/>
          <w:szCs w:val="16"/>
        </w:rPr>
        <w:softHyphen/>
        <w:t>средственно» - четыре экипажа и 16 экипажей задание не выполнили...</w:t>
      </w:r>
    </w:p>
    <w:p w14:paraId="66AF04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в целом можно сделать вывод, что при переходе от Ил-2 к Ил-10 отечественная авиапромышленность опять выбрала «количество за счет ка</w:t>
      </w:r>
      <w:r w:rsidRPr="00925F26">
        <w:rPr>
          <w:color w:val="000000" w:themeColor="text1"/>
          <w:sz w:val="16"/>
          <w:szCs w:val="16"/>
        </w:rPr>
        <w:softHyphen/>
        <w:t>чества». Хотя в целом направление раз</w:t>
      </w:r>
      <w:r w:rsidRPr="00925F26">
        <w:rPr>
          <w:color w:val="000000" w:themeColor="text1"/>
          <w:sz w:val="16"/>
          <w:szCs w:val="16"/>
        </w:rPr>
        <w:softHyphen/>
        <w:t>вития в сторону повышения подвиж</w:t>
      </w:r>
      <w:r w:rsidRPr="00925F26">
        <w:rPr>
          <w:color w:val="000000" w:themeColor="text1"/>
          <w:sz w:val="16"/>
          <w:szCs w:val="16"/>
        </w:rPr>
        <w:softHyphen/>
        <w:t>ности, а не пассивного наращивания брони было правильным, в серию за</w:t>
      </w:r>
      <w:r w:rsidRPr="00925F26">
        <w:rPr>
          <w:color w:val="000000" w:themeColor="text1"/>
          <w:sz w:val="16"/>
          <w:szCs w:val="16"/>
        </w:rPr>
        <w:softHyphen/>
        <w:t>пустили не самый хороший самолет, а самый удобный с точки зрения быстро</w:t>
      </w:r>
      <w:r w:rsidRPr="00925F26">
        <w:rPr>
          <w:color w:val="000000" w:themeColor="text1"/>
          <w:sz w:val="16"/>
          <w:szCs w:val="16"/>
        </w:rPr>
        <w:softHyphen/>
        <w:t>ты налаживания массового выпуска.</w:t>
      </w:r>
    </w:p>
    <w:p w14:paraId="633DB6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Грубые оценки показывают, что применительно кусловиям воздушных и наземных боев завершающего пери</w:t>
      </w:r>
      <w:r w:rsidRPr="00925F26">
        <w:rPr>
          <w:color w:val="000000" w:themeColor="text1"/>
          <w:sz w:val="16"/>
          <w:szCs w:val="16"/>
        </w:rPr>
        <w:softHyphen/>
        <w:t>ода войны самолет Ил-10 первых се</w:t>
      </w:r>
      <w:r w:rsidRPr="00925F26">
        <w:rPr>
          <w:color w:val="000000" w:themeColor="text1"/>
          <w:sz w:val="16"/>
          <w:szCs w:val="16"/>
        </w:rPr>
        <w:softHyphen/>
        <w:t>рий (вариант без РС) при решении за</w:t>
      </w:r>
      <w:r w:rsidRPr="00925F26">
        <w:rPr>
          <w:color w:val="000000" w:themeColor="text1"/>
          <w:sz w:val="16"/>
          <w:szCs w:val="16"/>
        </w:rPr>
        <w:softHyphen/>
        <w:t>дач непосредственной авиационной поддержки войск в наступлении по боевой эффективности был лучше Ил-2 примерно на 3-4%. В то же время для двухместного Су-б АМ-42 с пушка</w:t>
      </w:r>
      <w:r w:rsidRPr="00925F26">
        <w:rPr>
          <w:color w:val="000000" w:themeColor="text1"/>
          <w:sz w:val="16"/>
          <w:szCs w:val="16"/>
        </w:rPr>
        <w:softHyphen/>
        <w:t>ми НС-37 прирост эффективности мог составить свыше 30%. То есть, для вы</w:t>
      </w:r>
      <w:r w:rsidRPr="00925F26">
        <w:rPr>
          <w:color w:val="000000" w:themeColor="text1"/>
          <w:sz w:val="16"/>
          <w:szCs w:val="16"/>
        </w:rPr>
        <w:softHyphen/>
        <w:t>полнения тех же задач потребовалось бы меньше самолетов, меньше летчи</w:t>
      </w:r>
      <w:r w:rsidRPr="00925F26">
        <w:rPr>
          <w:color w:val="000000" w:themeColor="text1"/>
          <w:sz w:val="16"/>
          <w:szCs w:val="16"/>
        </w:rPr>
        <w:softHyphen/>
        <w:t>ков. Но выбор был сделан</w:t>
      </w:r>
      <w:proofErr w:type="gramStart"/>
      <w:r w:rsidRPr="00925F26">
        <w:rPr>
          <w:color w:val="000000" w:themeColor="text1"/>
          <w:sz w:val="16"/>
          <w:szCs w:val="16"/>
        </w:rPr>
        <w:t>...(</w:t>
      </w:r>
      <w:proofErr w:type="gramEnd"/>
      <w:r w:rsidRPr="00925F26">
        <w:rPr>
          <w:color w:val="000000" w:themeColor="text1"/>
          <w:sz w:val="16"/>
          <w:szCs w:val="16"/>
        </w:rPr>
        <w:t>11161)</w:t>
      </w:r>
    </w:p>
    <w:p w14:paraId="518307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ABA55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15 апреля 1945 был вылет 3 чехословацкого шап по скоплению войск и </w:t>
      </w:r>
      <w:proofErr w:type="gramStart"/>
      <w:r w:rsidRPr="00925F26">
        <w:rPr>
          <w:color w:val="000000" w:themeColor="text1"/>
          <w:sz w:val="16"/>
          <w:szCs w:val="16"/>
        </w:rPr>
        <w:t xml:space="preserve">Dolni Beneshov </w:t>
      </w:r>
      <w:proofErr w:type="gramEnd"/>
      <w:r w:rsidRPr="00925F26">
        <w:rPr>
          <w:color w:val="000000" w:themeColor="text1"/>
          <w:sz w:val="16"/>
          <w:szCs w:val="16"/>
        </w:rPr>
        <w:t>и Bela (241,39).</w:t>
      </w:r>
    </w:p>
    <w:p w14:paraId="49629642" w14:textId="77777777" w:rsidR="00665165" w:rsidRPr="00925F26" w:rsidRDefault="00665165" w:rsidP="00925F26">
      <w:pPr>
        <w:autoSpaceDE w:val="0"/>
        <w:autoSpaceDN w:val="0"/>
        <w:adjustRightInd w:val="0"/>
        <w:jc w:val="both"/>
        <w:rPr>
          <w:color w:val="000000" w:themeColor="text1"/>
          <w:sz w:val="16"/>
          <w:szCs w:val="16"/>
        </w:rPr>
      </w:pPr>
    </w:p>
    <w:p w14:paraId="662B45E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15th, 1945: The Soviet 3rd Ukrainian Front (Tolbuhkin) begins an offensive against the industrial area of Muhrisch-Ostrau in Moravia defended by Heeresgruppe Mitte (Schorner). In the West, the US First Army (Hodges) captures Leuna and Merseburg in Saxony, while the French First Army (de Tassigny) captures Kehl and Offenburg on the upper Rhine (3819).</w:t>
      </w:r>
    </w:p>
    <w:p w14:paraId="2526A124" w14:textId="77777777" w:rsidR="00665165" w:rsidRPr="00925F26" w:rsidRDefault="00665165" w:rsidP="00925F26">
      <w:pPr>
        <w:autoSpaceDE w:val="0"/>
        <w:autoSpaceDN w:val="0"/>
        <w:adjustRightInd w:val="0"/>
        <w:jc w:val="both"/>
        <w:rPr>
          <w:color w:val="000000" w:themeColor="text1"/>
          <w:sz w:val="16"/>
          <w:szCs w:val="16"/>
          <w:lang w:val="en-US"/>
        </w:rPr>
      </w:pPr>
    </w:p>
    <w:p w14:paraId="5600A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3УФ (Толбухин) начал наступление против промышленного района Мушриш-острава в Моравии, который обороняла Группа Центр (Шорнер). 1А США (Ходжес) заняла Леуну и Мерсебург в Саксонии, а французская 1А заняла Кел и Оффенбург в верхнем Рейне (3819).</w:t>
      </w:r>
    </w:p>
    <w:p w14:paraId="7241FA0E" w14:textId="77777777" w:rsidR="00665165" w:rsidRPr="00925F26" w:rsidRDefault="00665165" w:rsidP="00925F26">
      <w:pPr>
        <w:autoSpaceDE w:val="0"/>
        <w:autoSpaceDN w:val="0"/>
        <w:adjustRightInd w:val="0"/>
        <w:jc w:val="both"/>
        <w:rPr>
          <w:color w:val="000000" w:themeColor="text1"/>
          <w:sz w:val="16"/>
          <w:szCs w:val="16"/>
        </w:rPr>
      </w:pPr>
    </w:p>
    <w:p w14:paraId="6822CE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вышло Постановление ГКО № 8145 О перевооружении 128-й смешанной авиационной дивизии ДВФ на современные самолеты. РГАНИР, Фонд ГКО, д. 400, лл. 91 (11012).</w:t>
      </w:r>
    </w:p>
    <w:p w14:paraId="1A4B1A04" w14:textId="77777777" w:rsidR="00665165" w:rsidRPr="00925F26" w:rsidRDefault="00665165" w:rsidP="00925F26">
      <w:pPr>
        <w:autoSpaceDE w:val="0"/>
        <w:autoSpaceDN w:val="0"/>
        <w:adjustRightInd w:val="0"/>
        <w:jc w:val="both"/>
        <w:rPr>
          <w:color w:val="000000" w:themeColor="text1"/>
          <w:sz w:val="16"/>
          <w:szCs w:val="16"/>
        </w:rPr>
      </w:pPr>
    </w:p>
    <w:p w14:paraId="4E31C44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64298F3" w14:textId="77777777" w:rsidR="00665165" w:rsidRPr="00925F26" w:rsidRDefault="00665165" w:rsidP="00925F26">
      <w:pPr>
        <w:autoSpaceDE w:val="0"/>
        <w:autoSpaceDN w:val="0"/>
        <w:adjustRightInd w:val="0"/>
        <w:jc w:val="both"/>
        <w:rPr>
          <w:iCs/>
          <w:color w:val="000000" w:themeColor="text1"/>
          <w:sz w:val="16"/>
          <w:szCs w:val="16"/>
        </w:rPr>
      </w:pPr>
    </w:p>
    <w:p w14:paraId="23F289FB" w14:textId="77777777" w:rsidR="00827BBE" w:rsidRPr="00925F26" w:rsidRDefault="00827BBE" w:rsidP="00925F26">
      <w:pPr>
        <w:jc w:val="both"/>
        <w:rPr>
          <w:color w:val="000000" w:themeColor="text1"/>
          <w:sz w:val="16"/>
          <w:szCs w:val="16"/>
        </w:rPr>
      </w:pPr>
      <w:r w:rsidRPr="00925F26">
        <w:rPr>
          <w:color w:val="000000" w:themeColor="text1"/>
          <w:sz w:val="16"/>
          <w:szCs w:val="16"/>
        </w:rPr>
        <w:t>15 апреля в 1945 году испытателем Дж.Бэртоном поднял в воздух опытный «ХР-82» «Twin Mustang №44-83887». В разработке опытного самолета «North American ХР-82» объединились два истребителя «Р-51», у которых были сняты левая и правая консоли крыла и оба стабилизатора. Оставшееся от двух самолетов было соединено крылом с постоянной хордой и новым стабилизатором с рулем высоты. Измененное шасси состояло из одной стойки на каждом фюзеляже (15100).</w:t>
      </w:r>
    </w:p>
    <w:p w14:paraId="2AA424A6" w14:textId="77777777" w:rsidR="00827BBE" w:rsidRPr="00925F26" w:rsidRDefault="00827BBE" w:rsidP="00925F26">
      <w:pPr>
        <w:jc w:val="both"/>
        <w:rPr>
          <w:color w:val="000000" w:themeColor="text1"/>
          <w:sz w:val="16"/>
          <w:szCs w:val="16"/>
        </w:rPr>
      </w:pPr>
    </w:p>
    <w:p w14:paraId="5B0B09F8" w14:textId="77777777" w:rsidR="00DE5890" w:rsidRPr="00925F26" w:rsidRDefault="00DE5890" w:rsidP="00925F26">
      <w:pPr>
        <w:jc w:val="both"/>
        <w:rPr>
          <w:color w:val="000000" w:themeColor="text1"/>
          <w:sz w:val="16"/>
          <w:szCs w:val="16"/>
        </w:rPr>
      </w:pPr>
      <w:r w:rsidRPr="00925F26">
        <w:rPr>
          <w:color w:val="000000" w:themeColor="text1"/>
          <w:sz w:val="16"/>
          <w:szCs w:val="16"/>
        </w:rPr>
        <w:t>15 апреля 1945 первый полет XP-82, прототипа P-82 Twin Mustang (20371).</w:t>
      </w:r>
    </w:p>
    <w:p w14:paraId="518A567F" w14:textId="77777777" w:rsidR="00DE5890" w:rsidRPr="00925F26" w:rsidRDefault="00DE5890" w:rsidP="00925F26">
      <w:pPr>
        <w:jc w:val="both"/>
        <w:rPr>
          <w:color w:val="000000" w:themeColor="text1"/>
          <w:sz w:val="16"/>
          <w:szCs w:val="16"/>
        </w:rPr>
      </w:pPr>
    </w:p>
    <w:p w14:paraId="761EAC3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апреля 1945 войсками союзников освобождены узники нацистского концлагеря Берген-Бельзен (4962).</w:t>
      </w:r>
    </w:p>
    <w:p w14:paraId="11C10DB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6375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 был похоронен Ф.Д.Р. (2100).</w:t>
      </w:r>
    </w:p>
    <w:p w14:paraId="044C1E58" w14:textId="77777777" w:rsidR="00665165" w:rsidRPr="00925F26" w:rsidRDefault="00665165" w:rsidP="00925F26">
      <w:pPr>
        <w:autoSpaceDE w:val="0"/>
        <w:autoSpaceDN w:val="0"/>
        <w:adjustRightInd w:val="0"/>
        <w:jc w:val="both"/>
        <w:rPr>
          <w:color w:val="000000" w:themeColor="text1"/>
          <w:sz w:val="16"/>
          <w:szCs w:val="16"/>
        </w:rPr>
      </w:pPr>
    </w:p>
    <w:p w14:paraId="7734C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15–16 апреля 1945 была проведена операция «Кикусуй-3». На этот раз Угаки удалось для самоубийственных атак собрать только 120 морских и 45 армейских самолетов-камикадзе. Прикрытие обеспечивали 150 истребителей. В воздухе и на море развернулось кровавое сражение на взаимное истребление противников, примера которому в истории войн не было. Камикадзе потопили один корабль, четыре корабля США были повреждены до такой степени, что их исключили из списков флота. Два корабля вышли из строя на срок более месяца. Около 400 моряков были убиты или ранены.</w:t>
      </w:r>
    </w:p>
    <w:p w14:paraId="3FC1E4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Но понесли потери и японцы. Американцам удалось еще в первый день операции блокировать японские аэродромы в южной части острова Кюсю. В тот день было уничтожено 29 японских самолетов в воздухе и 51 – на земле. Это значительно снизило боевые возможности японцев при проведении операции.</w:t>
      </w:r>
    </w:p>
    <w:p w14:paraId="0C750B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Интересный факт: японское командование получило только одно подтверждение, что 16 апреля пилотируемая бомба попала в американский корабль, хотя летчики сопровождения докладывали о множестве успешных атак самолетом-снарядом на американские корабли (Хорикоши Д., Окумия М., Кайдин М. Японская авиация во Второй мировой войне. М.: АСТ, 2001.) (11686).</w:t>
      </w:r>
    </w:p>
    <w:p w14:paraId="014385ED" w14:textId="77777777" w:rsidR="00665165" w:rsidRPr="00925F26" w:rsidRDefault="00665165" w:rsidP="00925F26">
      <w:pPr>
        <w:autoSpaceDE w:val="0"/>
        <w:autoSpaceDN w:val="0"/>
        <w:adjustRightInd w:val="0"/>
        <w:jc w:val="both"/>
        <w:rPr>
          <w:color w:val="000000" w:themeColor="text1"/>
          <w:sz w:val="16"/>
          <w:szCs w:val="16"/>
        </w:rPr>
      </w:pPr>
    </w:p>
    <w:p w14:paraId="45F30625" w14:textId="77777777" w:rsidR="00DE5890" w:rsidRPr="00925F26" w:rsidRDefault="00DE5890" w:rsidP="00925F26">
      <w:pPr>
        <w:jc w:val="both"/>
        <w:rPr>
          <w:color w:val="000000" w:themeColor="text1"/>
          <w:sz w:val="16"/>
          <w:szCs w:val="16"/>
        </w:rPr>
      </w:pPr>
      <w:r w:rsidRPr="00925F26">
        <w:rPr>
          <w:color w:val="000000" w:themeColor="text1"/>
          <w:sz w:val="16"/>
          <w:szCs w:val="16"/>
        </w:rPr>
        <w:t>15–16 апреля 1945 целевая группа 58 совершает облет истребителей над Кюсю, заявив, что в первый же день было сбито 29 японских самолетов и 51 уничтожен на земле (20371).</w:t>
      </w:r>
    </w:p>
    <w:p w14:paraId="173F8738" w14:textId="77777777" w:rsidR="00DE5890" w:rsidRPr="00925F26" w:rsidRDefault="00DE5890" w:rsidP="00925F26">
      <w:pPr>
        <w:jc w:val="both"/>
        <w:rPr>
          <w:color w:val="000000" w:themeColor="text1"/>
          <w:sz w:val="16"/>
          <w:szCs w:val="16"/>
        </w:rPr>
      </w:pPr>
    </w:p>
    <w:p w14:paraId="7B3337A5" w14:textId="77777777" w:rsidR="00DE5890" w:rsidRPr="00925F26" w:rsidRDefault="00DE5890" w:rsidP="00925F26">
      <w:pPr>
        <w:jc w:val="both"/>
        <w:rPr>
          <w:color w:val="000000" w:themeColor="text1"/>
          <w:sz w:val="16"/>
          <w:szCs w:val="16"/>
        </w:rPr>
      </w:pPr>
      <w:r w:rsidRPr="00925F26">
        <w:rPr>
          <w:color w:val="000000" w:themeColor="text1"/>
          <w:sz w:val="16"/>
          <w:szCs w:val="16"/>
        </w:rPr>
        <w:t>15–16 апреля 1945 третья атака японских кикусуи на корабли у Окинавы включает 165 камикадзе. Они потопили эсминец USS Pringle и тральщик и повредили авианосец USS Intrepid, три эсминца, эсминец сопровождения, тральщик и десантный корабль (20371).</w:t>
      </w:r>
    </w:p>
    <w:p w14:paraId="76EAC001" w14:textId="77777777" w:rsidR="00DE5890" w:rsidRPr="00925F26" w:rsidRDefault="00DE5890" w:rsidP="00925F26">
      <w:pPr>
        <w:jc w:val="both"/>
        <w:rPr>
          <w:color w:val="000000" w:themeColor="text1"/>
          <w:sz w:val="16"/>
          <w:szCs w:val="16"/>
        </w:rPr>
      </w:pPr>
    </w:p>
    <w:p w14:paraId="1675933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79D6EB6" w14:textId="77777777" w:rsidR="00665165" w:rsidRPr="00925F26" w:rsidRDefault="00665165" w:rsidP="00925F26">
      <w:pPr>
        <w:autoSpaceDE w:val="0"/>
        <w:autoSpaceDN w:val="0"/>
        <w:adjustRightInd w:val="0"/>
        <w:jc w:val="both"/>
        <w:rPr>
          <w:iCs/>
          <w:color w:val="000000" w:themeColor="text1"/>
          <w:sz w:val="16"/>
          <w:szCs w:val="16"/>
        </w:rPr>
      </w:pPr>
    </w:p>
    <w:p w14:paraId="2DAD17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первой половине апреля 1945 г. закончились полигонные испытания Т-54, по результатам ко</w:t>
      </w:r>
      <w:r w:rsidRPr="00925F26">
        <w:rPr>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646277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3214FA3" w14:textId="77777777" w:rsidR="000C481E" w:rsidRPr="00925F26" w:rsidRDefault="000C481E" w:rsidP="000C481E">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FF901A0" w14:textId="77777777" w:rsidR="000C481E" w:rsidRPr="00925F26" w:rsidRDefault="000C481E" w:rsidP="000C481E">
      <w:pPr>
        <w:autoSpaceDE w:val="0"/>
        <w:autoSpaceDN w:val="0"/>
        <w:adjustRightInd w:val="0"/>
        <w:jc w:val="both"/>
        <w:rPr>
          <w:iCs/>
          <w:color w:val="000000" w:themeColor="text1"/>
          <w:sz w:val="16"/>
          <w:szCs w:val="16"/>
        </w:rPr>
      </w:pPr>
    </w:p>
    <w:p w14:paraId="736FCA64" w14:textId="77777777" w:rsidR="000C481E" w:rsidRPr="001A0BAA" w:rsidRDefault="000C481E" w:rsidP="000C481E">
      <w:pPr>
        <w:jc w:val="both"/>
        <w:rPr>
          <w:color w:val="0070C0"/>
          <w:sz w:val="16"/>
          <w:szCs w:val="16"/>
        </w:rPr>
      </w:pPr>
      <w:r w:rsidRPr="001A0BAA">
        <w:rPr>
          <w:color w:val="0070C0"/>
          <w:sz w:val="16"/>
          <w:szCs w:val="16"/>
        </w:rPr>
        <w:t>До середины апреля 1945 г. на испытательную станцию ракетных двигателей при фабрике пиротехники «Feuerwerk mitte» вблизи города Леэстен, на юге Тюрингии привозили с завода «Mittelwerke» ракетные двигатели для огневых испытаний. Американцы почему-то ничего здесь не взяли. В подземном складе лежали около 50 новых камер сгорания ракет А-4. На подъездных путях стояли в полной сохранности 15 вагонов с двигателями для ракет, платформы с наземным оборудованием, в том числе с колесными прицепами, установщиками ракет и другим имуществом (24989).</w:t>
      </w:r>
    </w:p>
    <w:p w14:paraId="22B45C96" w14:textId="77777777" w:rsidR="000C481E" w:rsidRPr="001A0BAA" w:rsidRDefault="000C481E" w:rsidP="000C481E">
      <w:pPr>
        <w:jc w:val="both"/>
        <w:rPr>
          <w:color w:val="0070C0"/>
          <w:sz w:val="16"/>
          <w:szCs w:val="16"/>
        </w:rPr>
      </w:pPr>
    </w:p>
    <w:p w14:paraId="308D584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97FC1E1" w14:textId="77777777" w:rsidR="00665165" w:rsidRPr="00925F26" w:rsidRDefault="00665165" w:rsidP="00925F26">
      <w:pPr>
        <w:autoSpaceDE w:val="0"/>
        <w:autoSpaceDN w:val="0"/>
        <w:adjustRightInd w:val="0"/>
        <w:jc w:val="both"/>
        <w:rPr>
          <w:iCs/>
          <w:color w:val="000000" w:themeColor="text1"/>
          <w:sz w:val="16"/>
          <w:szCs w:val="16"/>
        </w:rPr>
      </w:pPr>
    </w:p>
    <w:p w14:paraId="753DAF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г. начались войсковые испытания Ил-10. Они продолжались до конца апреля, за это время летчики 108-го гшап выполнили 450 боевых вылетов. При этом, в самом конце войсковых испытаний, 30 апреля, был потерян один самолет: в Ил-10 летчика Городецкого попал крупнокалиберный зенитный снаряд. От машины отделился винт, носовая часть раскрылась железным “цветком”. Экипаж погиб (9528).</w:t>
      </w:r>
    </w:p>
    <w:p w14:paraId="5A8D335E" w14:textId="77777777" w:rsidR="00665165" w:rsidRPr="00925F26" w:rsidRDefault="00665165" w:rsidP="00925F26">
      <w:pPr>
        <w:autoSpaceDE w:val="0"/>
        <w:autoSpaceDN w:val="0"/>
        <w:adjustRightInd w:val="0"/>
        <w:jc w:val="both"/>
        <w:rPr>
          <w:color w:val="000000" w:themeColor="text1"/>
          <w:sz w:val="16"/>
          <w:szCs w:val="16"/>
        </w:rPr>
      </w:pPr>
    </w:p>
    <w:p w14:paraId="75F881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апреля 1945 завершились заводские летные испытания серийного самолета Ил-10 (зав. № 1892105) с полевым вариан</w:t>
      </w:r>
      <w:r w:rsidRPr="00925F26">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598C07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стандартный всасывающий патрубок «вживили» две дю</w:t>
      </w:r>
      <w:r w:rsidRPr="00925F26">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925F26">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925F26">
        <w:rPr>
          <w:color w:val="000000" w:themeColor="text1"/>
          <w:sz w:val="16"/>
          <w:szCs w:val="16"/>
        </w:rPr>
        <w:softHyphen/>
        <w:t>рекрывала входной канал патрубка, а внутренняя — перекры</w:t>
      </w:r>
      <w:r w:rsidRPr="00925F26">
        <w:rPr>
          <w:color w:val="000000" w:themeColor="text1"/>
          <w:sz w:val="16"/>
          <w:szCs w:val="16"/>
        </w:rPr>
        <w:softHyphen/>
        <w:t>вала канал патрубка неплотно, с зазором 20 мм между заслон</w:t>
      </w:r>
      <w:r w:rsidRPr="00925F26">
        <w:rPr>
          <w:color w:val="000000" w:themeColor="text1"/>
          <w:sz w:val="16"/>
          <w:szCs w:val="16"/>
        </w:rPr>
        <w:softHyphen/>
        <w:t>кой и задней внутренней стенкой патрубка. В этом случае воз</w:t>
      </w:r>
      <w:r w:rsidRPr="00925F26">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925F26">
        <w:rPr>
          <w:color w:val="000000" w:themeColor="text1"/>
          <w:sz w:val="16"/>
          <w:szCs w:val="16"/>
        </w:rPr>
        <w:softHyphen/>
        <w:t>лению полета. Воздух через входное отверстие патрубка начи</w:t>
      </w:r>
      <w:r w:rsidRPr="00925F26">
        <w:rPr>
          <w:color w:val="000000" w:themeColor="text1"/>
          <w:sz w:val="16"/>
          <w:szCs w:val="16"/>
        </w:rPr>
        <w:softHyphen/>
        <w:t>нал поступать в нагнетатель, минуя фильтрующую сетку.</w:t>
      </w:r>
    </w:p>
    <w:p w14:paraId="6C07AB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модифицированного всасывающего патрубка, на са</w:t>
      </w:r>
      <w:r w:rsidRPr="00925F26">
        <w:rPr>
          <w:color w:val="000000" w:themeColor="text1"/>
          <w:sz w:val="16"/>
          <w:szCs w:val="16"/>
        </w:rPr>
        <w:softHyphen/>
        <w:t>молете в тоннелях продувки водорадиатора со стороны капота сделаны вырезы общей площадью 560 см</w:t>
      </w:r>
      <w:r w:rsidRPr="00925F26">
        <w:rPr>
          <w:color w:val="000000" w:themeColor="text1"/>
          <w:sz w:val="16"/>
          <w:szCs w:val="16"/>
          <w:vertAlign w:val="superscript"/>
        </w:rPr>
        <w:t>2</w:t>
      </w:r>
      <w:r w:rsidRPr="00925F26">
        <w:rPr>
          <w:color w:val="000000" w:themeColor="text1"/>
          <w:sz w:val="16"/>
          <w:szCs w:val="16"/>
        </w:rPr>
        <w:t>, которые закрыва</w:t>
      </w:r>
      <w:r w:rsidRPr="00925F26">
        <w:rPr>
          <w:color w:val="000000" w:themeColor="text1"/>
          <w:sz w:val="16"/>
          <w:szCs w:val="16"/>
        </w:rPr>
        <w:softHyphen/>
        <w:t>лись сеткой «Дельбак» в один слой.</w:t>
      </w:r>
    </w:p>
    <w:p w14:paraId="7D45D2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925F26">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925F26">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925F26">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7AAFD9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20 апреля на серийный самолет Ил-10.(зав. № 1890404) был смонтирован всасывающий патрубок с воздухоочиститель</w:t>
      </w:r>
      <w:r w:rsidRPr="00925F26">
        <w:rPr>
          <w:color w:val="000000" w:themeColor="text1"/>
          <w:sz w:val="16"/>
          <w:szCs w:val="16"/>
        </w:rPr>
        <w:softHyphen/>
        <w:t>ным фильтром кассетной конструкции с сеткой типа «Дельбак» заводского варианта установки.</w:t>
      </w:r>
    </w:p>
    <w:p w14:paraId="4744E0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Всасывающий патрубок с пылефильтром состоял из собст</w:t>
      </w:r>
      <w:r w:rsidRPr="00925F26">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925F26">
        <w:rPr>
          <w:color w:val="000000" w:themeColor="text1"/>
          <w:sz w:val="16"/>
          <w:szCs w:val="16"/>
        </w:rPr>
        <w:softHyphen/>
        <w:t>татель. При выпуске шасси заслонка поворачивается, перекры</w:t>
      </w:r>
      <w:r w:rsidRPr="00925F26">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925F26">
        <w:rPr>
          <w:color w:val="000000" w:themeColor="text1"/>
          <w:sz w:val="16"/>
          <w:szCs w:val="16"/>
        </w:rPr>
        <w:softHyphen/>
        <w:t>вающий патрубок снизу.</w:t>
      </w:r>
    </w:p>
    <w:p w14:paraId="385FAF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завершились к началу мая. Мотор на всех ре</w:t>
      </w:r>
      <w:r w:rsidRPr="00925F26">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925F26">
        <w:rPr>
          <w:color w:val="000000" w:themeColor="text1"/>
          <w:sz w:val="16"/>
          <w:szCs w:val="16"/>
        </w:rPr>
        <w:softHyphen/>
        <w:t>ла 525 км/ч, а на высоте 2500 м — 475 км/ч (11474,514).</w:t>
      </w:r>
    </w:p>
    <w:p w14:paraId="49CB04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C73A6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г. 108-й гшап начал боевые действия на Берлинском направлении. За 15 дней боев (с 16 по 30 апреля) летчики 108-го гшап совершили 450 боевых вылетов, ежедневно выявляя те или иные качества и особенности штурмовика. Их тут же фиксировала бригада ГК НИИ ВВС КА во главе с ведущим инженером-испытателем самолета Ил-10 полковником 77. Т. Л брощенко (7489).</w:t>
      </w:r>
    </w:p>
    <w:p w14:paraId="4BC28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П.Т.Аброщенко, в состав бригады входили: ведущий летчик-испытатель А.К.Долгов, инженеры С.Г.Фролов, В.Н.Ковынев, В.Д.Кабанов, С.Т.Глушенко. Представителем Управления ВВС был А.И.Алексеев (7489).</w:t>
      </w:r>
    </w:p>
    <w:p w14:paraId="7FB552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них для обеспечения войсковых испытаний к 108-му полку были прикомандированы также и несколько бригад от предприятий наркомата авиапромышленности. Бригаду специалистов 18-го авиазавода возглавлял старший инженер А.С.Руденко, 24-й моторостроительный завод представлял инженер П.С.Захаров, а ОКБ Ильюшина командировало двух ведущих конструкторов - Д.Л.Коклина (по вооружению) и В.А.Ерофеева (по моторной установке) (7489).</w:t>
      </w:r>
    </w:p>
    <w:p w14:paraId="6A306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Работа этих мужественных людей проходила в необычайно жестких условиях: их работу контролировал Государственный Комитет обороны СССР, а отчет по результатам государственных войсковых испытаний самолета Ил-10 утверждал лично И.В. Сталин - Председатель ГКО (7489).</w:t>
      </w:r>
    </w:p>
    <w:p w14:paraId="5E8D1C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выводах отчета по результатам войсковых испытаний самолета Ил-10 указывалось, что:</w:t>
      </w:r>
    </w:p>
    <w:p w14:paraId="6684A1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самолета по весу, назначению и калибру подвешиваемых авиабомб обеспечивает выполнение возлагаемых на самолет-штурмовик задач (7489).</w:t>
      </w:r>
    </w:p>
    <w:p w14:paraId="09243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Вооружение самолета Ил-10 по количеству боевых точек, калибру и боезапасу к ним отличия от вооружения Ил-2 не </w:t>
      </w:r>
      <w:proofErr w:type="gramStart"/>
      <w:r w:rsidRPr="00925F26">
        <w:rPr>
          <w:color w:val="000000" w:themeColor="text1"/>
          <w:sz w:val="16"/>
          <w:szCs w:val="16"/>
        </w:rPr>
        <w:t>имеет</w:t>
      </w:r>
      <w:proofErr w:type="gramEnd"/>
      <w:r w:rsidRPr="00925F26">
        <w:rPr>
          <w:color w:val="000000" w:themeColor="text1"/>
          <w:sz w:val="16"/>
          <w:szCs w:val="16"/>
        </w:rPr>
        <w:t xml:space="preserve"> При действии по целям, прикрытым истребителями противника, самолет Ил-10 требует сопровождения в такой же степени, как и самолет Ил-2. Наличие большего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 (7489).</w:t>
      </w:r>
    </w:p>
    <w:p w14:paraId="4D9B8E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Живучесть конструкции (бронирование экипажа и винтомоторной группы) лучше, чем на самолете Ил-2, и в целом является достаточной. Уязвимыми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войсковых испытаний в достаточной степени не выявлены и требуют дополнительной проверки путем анализа повреждений на самолетах, находящихся в других действующих частях ВВС (7489).</w:t>
      </w:r>
    </w:p>
    <w:p w14:paraId="63B41E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Обзор из кабины летчика, вследствие отсутствия обзора назад и затенения переднего стекла в плохих метеоусловиях (дождь, снег), в сравнении с обзором на самолете Ил-2 -хуже (7489).</w:t>
      </w:r>
    </w:p>
    <w:p w14:paraId="0FF592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Временной механизм ВМШ-10, так </w:t>
      </w:r>
      <w:proofErr w:type="gramStart"/>
      <w:r w:rsidRPr="00925F26">
        <w:rPr>
          <w:color w:val="000000" w:themeColor="text1"/>
          <w:sz w:val="16"/>
          <w:szCs w:val="16"/>
        </w:rPr>
        <w:t>же</w:t>
      </w:r>
      <w:proofErr w:type="gramEnd"/>
      <w:r w:rsidRPr="00925F26">
        <w:rPr>
          <w:color w:val="000000" w:themeColor="text1"/>
          <w:sz w:val="16"/>
          <w:szCs w:val="16"/>
        </w:rPr>
        <w:t xml:space="preserve">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ПЗМ (7489).</w:t>
      </w:r>
    </w:p>
    <w:p w14:paraId="5AF800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Основным методом бомбометания в боевых условиях на самолете Ил-10 принят тот же, что и для Ил-2, с той лишь разницей, что:</w:t>
      </w:r>
    </w:p>
    <w:p w14:paraId="773286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возросли углы планирования с 30° до 50°,</w:t>
      </w:r>
    </w:p>
    <w:p w14:paraId="686CA4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возросла скорость ввода в пикирование от 320 до 350 км/ч,</w:t>
      </w:r>
    </w:p>
    <w:p w14:paraId="2ADD6E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скорость вывода из пикирования выросла до 500-600 км/ч,</w:t>
      </w:r>
    </w:p>
    <w:p w14:paraId="0BF7E6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улучшилась маневренность самолета (7489).</w:t>
      </w:r>
    </w:p>
    <w:p w14:paraId="40631E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Время подготовки Ил-10 к боевым вылетам механиком и мотористом практически такое же, что и время, потребное для Ил-2 (7489).</w:t>
      </w:r>
    </w:p>
    <w:p w14:paraId="359390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 (7489).</w:t>
      </w:r>
    </w:p>
    <w:p w14:paraId="7922C6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Цельнометаллическая конструкция Ил-] 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эксплуатационным люком в фюзеляже, обеспечивающем хороший подход к трубопроводам, агрегатам и управлению. "</w:t>
      </w:r>
    </w:p>
    <w:p w14:paraId="462A7F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отмечалось, что по технике пилотирования самолет прост. Имея лучшую устойчивость, хорошую управляемость и более высокую маневренность, Ил-10, в сравнении с Ил-2, охотно прощает летному составу ошибки и не утомляет летчика при полете в болтанку. Переучивание летного и инженерно-технического состава, работавших на Ил-2 с АМ-38ф, при переходе на Ил-10 с АМ-42 трудности не представляет. Летному составу достаточно 10-15 учебно-тренировочных полетов общим налетом 3-4 часа. Инженерно-технический состав легко может освоить и изучить матчасть самолета и мотора непосредственно в процессе эксплуатации (7489).</w:t>
      </w:r>
    </w:p>
    <w:p w14:paraId="677B84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 " - указывалось в выводах отчета (7489).</w:t>
      </w:r>
    </w:p>
    <w:p w14:paraId="089688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качестве основных дефектов Ил-10-го Госкомиссия отметила следующие:</w:t>
      </w:r>
    </w:p>
    <w:p w14:paraId="120DCE92"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&lt;&lt; Неудовлетворительная</w:t>
      </w:r>
      <w:proofErr w:type="gramEnd"/>
      <w:r w:rsidRPr="00925F26">
        <w:rPr>
          <w:color w:val="000000" w:themeColor="text1"/>
          <w:sz w:val="16"/>
          <w:szCs w:val="16"/>
        </w:rPr>
        <w:t xml:space="preserve"> конструкция фонаря кабины (трудно открывается на земле, рулежка и полет в сложных метеоусловиях с открытым фонарем невозможны) (7489).</w:t>
      </w:r>
    </w:p>
    <w:p w14:paraId="36BA7E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Отсутствует обзор назад из кабины летчика (необходимо сделать в бронеспинке вставку из прозрачного бронестекла по типу самолета Ил-2) (7489).</w:t>
      </w:r>
    </w:p>
    <w:p w14:paraId="2B9A58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Усилия на ручку колес шасси при рулежке и посадке на мягком грунте и зимой в снег зарываются, деформируются и тормозят движение самолета (7489).</w:t>
      </w:r>
    </w:p>
    <w:p w14:paraId="5B4EE7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Тросы везде рвутся: и ограничительные тросы фонаря кабины и аварийного выпуска шасси, и системы управления, а также тросы стопора костыля (7489).</w:t>
      </w:r>
    </w:p>
    <w:p w14:paraId="7D04B6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Прочность покрышек колес 800х260 мм, как и эффективность тормозов, недостаточна (7489).</w:t>
      </w:r>
    </w:p>
    <w:p w14:paraId="38E2AE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аварийных посадках ломается силовая рама крепления узлов шасси и разрушаются упоры хвостового колеса при посадке с убранным костылем, а также ломается рама №14 фюзеляжа (7489).</w:t>
      </w:r>
    </w:p>
    <w:p w14:paraId="6B55CF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Шасси самолета при давлении воздуха в системе 38 атм. на скоростях свыше 260 км/час не выпускаются" (7489).</w:t>
      </w:r>
    </w:p>
    <w:p w14:paraId="55F498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нормальное боевое использование штурмовика затрудняли недостаточная надежность мотора АМ-42 и малые сроки его службы (7489).</w:t>
      </w:r>
    </w:p>
    <w:p w14:paraId="23925A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все время войсковых испытаний 76% моторов вышли из строя по причине сильного износа поршневых колец, приводившего к потере компрессии. В 16% случаях АМ-42 выходили из строя по причине появления бронзовой, стальной и алюминиевой стружек, попадания воды в картер и выбрасывания масла (7489).</w:t>
      </w:r>
    </w:p>
    <w:p w14:paraId="40AE58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Частому выходу моторов из строя способствовало и отсутствие на самолетах в системе забора воздуха в мотор противопыльного фильтра (7489).</w:t>
      </w:r>
    </w:p>
    <w:p w14:paraId="7B916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заключение отчета по войсковым испытаниям Государственная комиссия сделала вывод, что Ил-10 АМ-42 войсковые испытания выдержал удовлетворительно и является вполне современным бронированным штурмовиком ВВС КА (7489).</w:t>
      </w:r>
    </w:p>
    <w:p w14:paraId="14216E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войсковых испытаний летчики 108-го гшап уничтожили и повредили 6 единиц бронетехники, 60 автомобилей, 100 повозок противника с грузами (7489).</w:t>
      </w:r>
    </w:p>
    <w:p w14:paraId="61872583" w14:textId="77777777" w:rsidR="00665165" w:rsidRPr="00925F26" w:rsidRDefault="00665165" w:rsidP="00925F26">
      <w:pPr>
        <w:autoSpaceDE w:val="0"/>
        <w:autoSpaceDN w:val="0"/>
        <w:adjustRightInd w:val="0"/>
        <w:jc w:val="both"/>
        <w:rPr>
          <w:color w:val="000000" w:themeColor="text1"/>
          <w:sz w:val="16"/>
          <w:szCs w:val="16"/>
        </w:rPr>
      </w:pPr>
    </w:p>
    <w:p w14:paraId="18B6EF0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16 апреля 1945 года 108 гшап начал боевые действия. Командованием 6-й гвардейской штурмовой авиадивизии была поставлена задача в течение дня «работать» полным составом полка в районе Эйло, Тосда, Роггозен и по дорогам от Койне на запад. Боевые вылеты выполнялись в составе групп по 8-9 самолетов Ил-10 под прикрытием истребителей от 5 гиап в соотношении 2:1.</w:t>
      </w:r>
    </w:p>
    <w:p w14:paraId="3CFDA51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Начало войне на самолете Ил-10 было положено вылетом в 11.00 группы капитана Новикова в составе 9 экипажей. Следом за ней вылетела группа капитана Железнякова из 8 Ил-10. Завершила первый боевой день полка восьмерка штурмана полка майора Жигарина, которая вылетела на боевое задание в 11.26.</w:t>
      </w:r>
    </w:p>
    <w:p w14:paraId="69B3DF6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Все группы выполняли полет к цели на высоте 1200-800 м, атаку целей с пикирования под углом 25-30° со сбросом бомб с высоты 600-400 м. Затем цель обстреливалась из пушек и пулеметов. Детальных результатов бомбоштурмовых ударов экипажи не наблюдали ввиду плохой видимости и пожаров. При этом один экипаж боевой задачи не выполнил по причине отказа матчасти.</w:t>
      </w:r>
    </w:p>
    <w:p w14:paraId="348EC0D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противника было сброшено 47 стокилограммовых «фугасок», 47 ФАБ-50, выпущено 940 снарядов к пушкам ВЯ и 3000 патронов к пулеметам ШКАС.</w:t>
      </w:r>
    </w:p>
    <w:p w14:paraId="6389086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Встреч с истребителями противника не было. Отмечался лишь слабый огонь МЗА противника в районе Роггозен, Эйло, в результате которого один самолет получил осколочные повреждения плоскости крыла.</w:t>
      </w:r>
    </w:p>
    <w:p w14:paraId="1B14C49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Второй боевой день без потерь не обошелся. В этот день полк выполнял боевую задачу двумя группами - 8 Ил-10 (ведущий комполка подполковник Топилин) и 4 Ил-10 (ведущий капитан Железняков). Группы нанесли удары по войскам и технике противника в районе Греч, Хайнесбрюк, Вейсач в 20.00 и 20.18 соответственно. Экипажи отмечали сильный огонь малокалиберной зенитной артиллерии.</w:t>
      </w:r>
    </w:p>
    <w:p w14:paraId="06C5C46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Из первой группы не вернулся экипаж в составе лейтенанта Михайлова и воздушного стрелка сержанта Малых. Во второй - младший лейтенант Маклаков (воздушный стрелок сержант Кривошей) совершил вынужденную посадку из-за отказа мотора. В ходе атаки цели Маклаков попал под плотный огонь малокалиберной зенитной артиллерии. Самолет получил повреждения. На обратном маршруте примерно в 20 км от аэродрома Охельхермсдорф мотор начал давать перебои. Маклаков всеми силами пытался дотянуть до своего аэродрома, но на подлете к нему мотор остановился. Не имея запаса высоты, Маклакову пришлось вынужденно садиться прямо перед собой - на лес. В результате Ил-10 (зав. № 1890402) был разбит и восстановлению не подлежал («развалился на отдельные части»). Раненых летчика и стрелка отправили в госпиталь.</w:t>
      </w:r>
    </w:p>
    <w:p w14:paraId="6C0C28B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Позже установили, что причиной отказа мотора зав. № 45229 на самолете Маклакова стали повышенный износ (полное отсутствие конусности) и усадка поршневых колец (зазор в стыке в свободном состоянии от 15 до 7 мм), вследствие чего произошло забрызгивание свечей маслом и затем остановка мотора. Кроме того, при осмотре самолета обнаружили 42 пробоины в хвостовой части фюзеляжа.</w:t>
      </w:r>
    </w:p>
    <w:p w14:paraId="2983B08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18 апреля после нанесения тремя группами по 7, 8 и 6 самолетов Ил-10 весьма эффективных бомбоштурмовых ударов по живой силе и технике противника в районе Мадлов, Гросс-Оссинг, Шеферберг, Клейн-Деберн полк заслужил оценку «отлично» от станции наведения. По докладам экипажей, в районе целей наблюдалось около 12 взрывов большой силы и очагов пожаров, а также до 13 горящих автомашин. Удары наносились в период с 12.51 до 13.50. Прикрытие штурмовиков осуществлялось 12 Ла-5 от 5 гиап. Каждая группа Ил-10 выполнила до 7 заходов на цель. Все атаки выполнялись с пикирования под углом 30°. Бомбометание производилось с высоты 450-300 м. Две группы имели встречи с двумя четверками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которые от боя уклонились и ушли в облачность.</w:t>
      </w:r>
    </w:p>
    <w:p w14:paraId="3C180B2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следующий день 108 гшап «отметился» ударом по своим войскам. В период 10.10-10.15 группа в составе 8 Ил-10 (ведущий капитан Железняков) атаковала войска в движении на дороге в районе Шорбус. В ответ полетели сигнальные ракеты. Железняков снизился до бреющего. Оказалось, что войска свои. По счастью, пять экипажей из состава группы бомб не сбросили, а ведущее звено слегка промазало. Обошлось без жертв. Станция наведения на запросы ведущего группы не отвечала.</w:t>
      </w:r>
    </w:p>
    <w:p w14:paraId="017198E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Установив, что атакованные войска свои, группа прошла на запад в район Кошендорф, но противника не обнаружила и возвратилась на свой аэродром.</w:t>
      </w:r>
    </w:p>
    <w:p w14:paraId="7E03FB2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Весьма драматичным оказался шестой боевой день полка. 20 апреля от огня немецких зенитчиков из района Ширизов был сбит экипаж младшего лейтенанта Кутьева (воздушный стрелок старший сержант Мартынов). В Ил-10 (зав. № 103904) Кутьева попал зенитный снаряд среднего калибра. По докладам экипажей, у самолета была отбита правая плоскость, самолет перешел в штопор и взорвался при ударе о землю в 500 м к востоку от Ширизов.</w:t>
      </w:r>
    </w:p>
    <w:p w14:paraId="79C6350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Группа в составе 7 Ил-10 (ведущий капитан Сироткин) провела первый и единственный воздушный бой с немецкими истребителями. На маршруте к цели крайний в строю штурмовик неожиданно был атакован парой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Атака производилась одновременно снизу и сверху. В результате Ил-10 (зав. № 1890603) получил 6 пробоин в правой плоскости (5 пулевых и одну от снаряда калибра 20 мм). Был поврежден бронешланг пневмоперезарядки пушки ВЯ. Организованным огнем воздушных стрелков истребители противника были отогнаны и больше атак не производили. Авиационные гранаты АГ-2 экипажами не применялись.</w:t>
      </w:r>
    </w:p>
    <w:p w14:paraId="43EDEFB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этот же день не вернулся из боевого задания младший лейтенант Древаль (воздушный стрелок младший сержант Прянишников), который в период 15.55-16.55 вылетал в составе группы из 10 Ил-10 (ведущий капитан Новиков) для нанесения бомбоштурмового удара по артиллерийским позициям на северо -восточной окраине Коттбус. По докладам экипажей, из состава группы самолет Древаля загорелся над целью в результате прямого попадания малокалиберного зенитного снаряда. Летчик стал тянуть на свою территорию. После того как самолет достиг шос се Кляйн - Лисков, из самолета выбросился один парашютист. Самолет зав. № 1893802 врезался в землю в 500 м к юго-востоку от шоссе и взорвался.</w:t>
      </w:r>
    </w:p>
    <w:p w14:paraId="1A13128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Вернувшийся через несколько дней младший лейтенант Древаль уточнил, как развивались события в тот злополучный день. На маршруте к цели мотор его самолета стал перегреваться. Принимая все меры для охлаждения мотора, Древаль вышел вместе с группой в район Коттбус. На выходе из атаки мотор стал давать сильные перебои, из патрубков показался белый дым, который стал проникать в кабину. Древаль развернул самолет на юго-восток и с высоты 800 м начал планировать на свою территорию. Когда в кабине появилось пламя, летчик дал команду воздушному стрелку прыгать с парашютом. Примерно на высоте 200 м Древаль оставил самолет. Спускаясь на парашюте, наблюдал взрыв самолета при ударе о землю. После приземления потерял сознание. Пришел в себя, когда немецкие солдаты снимали с него парашют. Затем были плен, побег из плена в ночь на 29 апреля, встреча с пехотинцами из 77-й стрелковой дивизии и возвращение в родной полк 1 мая.</w:t>
      </w:r>
    </w:p>
    <w:p w14:paraId="68BAC25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Последние боевые потери полк понес 30 апреля. Во второй половине дня три четверки наносили бомбоштурмовой удар по окруженному противнику в районе высот в 8-10 км восточнее населенного пункта Барут. Группы атаковали цели с высоты 800-700 м с пикирования. Каждая группа выполнила от 2 до 6 заходов.</w:t>
      </w:r>
    </w:p>
    <w:p w14:paraId="5FBDB89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Истребителей противника в районе боя не наблюдалось, но с земли велся интенсивный огонь крупнокалиберных зенитных пулеметов и малокалиберной зенитной артиллерии. «Десятка» (зав. № 1892802) младшего лейтенанта Городецкого (воздушный стрелок сержант Яковлев) из первой группы уже в первом заходе на цель примерно в 15.50 получила повреждения. По докладам ведущего группы капитана Миронова и экипажей, Городецкий «отвалил» от цели со снижением и ушел в </w:t>
      </w:r>
      <w:r w:rsidRPr="00925F26">
        <w:rPr>
          <w:rStyle w:val="107"/>
          <w:rFonts w:eastAsiaTheme="minorHAnsi"/>
          <w:color w:val="000000" w:themeColor="text1"/>
          <w:sz w:val="16"/>
          <w:szCs w:val="16"/>
        </w:rPr>
        <w:lastRenderedPageBreak/>
        <w:t>западном направлении. Мотор давал белые выхлопы, а за самолетом тянулся шлейф белого дыма. Места посадки никто из экипажей не наблюдал, так как выполняли второй заход на цель. На свой аэродром экипаж подбитого штурмовика не вернулся. В живых остался только воздушный стрелок, который с тяжелым ранением долгое время находился в госпитале.</w:t>
      </w:r>
    </w:p>
    <w:p w14:paraId="0C5FCC9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Во время атаки третьей группы в период 17.25-17.40 зенитным огнем был подбит Ил-10 (зав. № 102021) младшего лейтенанта Кузьмина (воздушный стрелок старший сержант Никитин). Мотор стал давать перебои. Из патрубков пошел белый дым, упало давление масла, мотор потерял мощность. Ведущий группы капитан Мазуров доложил, что Кузьмин вышел из боевого порядка группы только после выполнения боевого задания и затем вынужденно сел у населенного пункта Приров в 1 км к востоку от Гольки. Экипаж целым и невредимым 2 мая возвратился в полк. Самолет разбит при посадке.</w:t>
      </w:r>
    </w:p>
    <w:p w14:paraId="523915E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Надо сказать, нормальное боевое использование штурмовика затрудняли низкая надежность мотора АМ-42 и малые сроки его службы.</w:t>
      </w:r>
    </w:p>
    <w:p w14:paraId="730AE0B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Уже при выполнении учебно-тренировочных полетов 14 и 15 апреля летный и технический состав наблюдал беловатый дым из выхлопных патрубков на некоторых самолетах.</w:t>
      </w:r>
    </w:p>
    <w:p w14:paraId="035CA2F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 исходу 20 апреля на 12 Ил-10 из строя вышли моторы. При запуске моторов была обнаружена потеря компрессии и прорыв воздуха в картер. Отмечались выхлопы белого дыма и замасливание свечей. При дальнейших полетах моторы на всех режимах давали перебои в работе, из отдельных цилиндров наблюдался выброс масла.</w:t>
      </w:r>
    </w:p>
    <w:p w14:paraId="13E5357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При разборке моторов оказалось, что у всех имели место сильный износ поршневых колец, отсутствие конусности, большая усадка колец (зазор в стыке достигал 7-15 мм). Все это приводило к потере компрессии. Летать на самолетах было нельзя.</w:t>
      </w:r>
    </w:p>
    <w:p w14:paraId="5B40547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Еще на трех моторах появилась стальная, алюминиевая и бронзовая стружка, выбрасывало масло. Моторы немедленно сняли с эксплуатации.</w:t>
      </w:r>
    </w:p>
    <w:p w14:paraId="4DF460D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 учетом боевых и небоевых потерь в строю осталось только 13 Ил-10, остальные 15 «десяток» требовали замены и ремонта моторов.</w:t>
      </w:r>
    </w:p>
    <w:p w14:paraId="3333361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Проверка состояния моторов на всех исправных Ил-10 показала, что боеготовыми они могут считаться лишь с большой натяжкой. Моторы имели все признаки преждевременного износа поршневых колец, но вылетать на боевые задания при надлежащем уходе было еще можно.</w:t>
      </w:r>
    </w:p>
    <w:p w14:paraId="4EAF46C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Главной причиной случившегося считалось отсутствие в системе забора воздуха в мотор противопыльного фильтра. Между тем полевая площадка аэродрома Охельхермсдорф была с песчаным грунтом и очень пыльной.</w:t>
      </w:r>
    </w:p>
    <w:p w14:paraId="353C31F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Уже 23 апреля полк всеми исправными самолетами перелетел на аэродром Коло, площадка которого была не такой </w:t>
      </w:r>
      <w:proofErr w:type="gramStart"/>
      <w:r w:rsidRPr="00925F26">
        <w:rPr>
          <w:rStyle w:val="107"/>
          <w:rFonts w:eastAsiaTheme="minorHAnsi"/>
          <w:color w:val="000000" w:themeColor="text1"/>
          <w:sz w:val="16"/>
          <w:szCs w:val="16"/>
        </w:rPr>
        <w:t>пыльной</w:t>
      </w:r>
      <w:proofErr w:type="gramEnd"/>
      <w:r w:rsidRPr="00925F26">
        <w:rPr>
          <w:rStyle w:val="107"/>
          <w:rFonts w:eastAsiaTheme="minorHAnsi"/>
          <w:color w:val="000000" w:themeColor="text1"/>
          <w:sz w:val="16"/>
          <w:szCs w:val="16"/>
        </w:rPr>
        <w:t xml:space="preserve"> и полоса и мела открытые подходы. С него полк продолжил боевую работу. С целью защиты моторов от пыли и грязи технический состав смазывал тавотом всасывающий патрубок, закрывал патрубки промасленными салфетками до прогрева мотора перед взлетом на старте. Но это помогало мало. Моторы постепенно теряли мощность. Вскоре из строя вышли еще три Ил-10 и все по причине износа поршневых колец мотора. Летать на остальных самолетах становилось опасным.</w:t>
      </w:r>
    </w:p>
    <w:p w14:paraId="615698F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 состоянию на 30 апреля из строя вышли 18 (!) Ил-10. К этому времени моторы неисправных «десяток» наработали от 29 до 51 ч (из них в воздухе от 16 до 36 ч) при средней наработке 37 ч (в том числе 24 ч в воздухе). При этом наработка моторов на земле на пыльном аэродроме в среднем составила всего 1 ч 20 мин.</w:t>
      </w:r>
    </w:p>
    <w:p w14:paraId="5238193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оставшихся в боевом строю условно исправных самолетах Ил-10 также отмечалась потеря компрессии, износ и усадка поршневых колец («периодические хлопки белого дыма и прорыв воздуха в картер при проворачивании винта воздухом на холостом моторе»). Эти самолеты к боевым полетам оказались непригодными, «полеты на них могут быть разрешены только в районе аэродрома». Причем по заключению комиссии «моторы годны не более чем на 5 полетов».</w:t>
      </w:r>
    </w:p>
    <w:p w14:paraId="4D2B739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Итоговые выводы комиссии были неутешительны: «Дальнейшие полеты на этих самолетах из -за потери мощности моторов производить </w:t>
      </w:r>
      <w:proofErr w:type="gramStart"/>
      <w:r w:rsidRPr="00925F26">
        <w:rPr>
          <w:rStyle w:val="107"/>
          <w:rFonts w:eastAsiaTheme="minorHAnsi"/>
          <w:color w:val="000000" w:themeColor="text1"/>
          <w:sz w:val="16"/>
          <w:szCs w:val="16"/>
        </w:rPr>
        <w:t>невозможно./..</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После восстановления моторов и доукомплектования самолетами полк может на самолетах Ил-10 выполнять боевую работу».</w:t>
      </w:r>
    </w:p>
    <w:p w14:paraId="16FE85A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Кроме массового выхода моторов из строя по потере компрессии, износу и усадке поршневых колец, за этот же период вр емени вышли из строя по другим причинам еще 6 моторов.</w:t>
      </w:r>
    </w:p>
    <w:p w14:paraId="3D5A460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Так, на Ил-10 зав. № 1890804 (мотор зав. № 45419) было обнаружено большое количество бронзовой стружки. Причиной появления стружки является разрушение бронзовой втулки прицепного шатуна мотора.</w:t>
      </w:r>
    </w:p>
    <w:p w14:paraId="4B3DB67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Самолет зав. № 1892602 (мотор зав. № 45232) произвел вынужденную посадку с убранным шасси в районе своего аэродрома. При осмотре маслофильтра оказалось большое количество стружки свинцовистой бронзы как результат разрушения вкладышей коренных подшипников.</w:t>
      </w:r>
    </w:p>
    <w:p w14:paraId="198DBBF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Ил-10 зав. № 1893502 (мотор зав. № 45387) в полете на эксплуатационном режиме неоднократно появлялся выброс масла из суфлера мотора. При этом температура входящего масла доходила до 115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Причиной дефекта предположительно является повышенная теплоотдача в масло («нарушение нормальной работы поддона»).</w:t>
      </w:r>
    </w:p>
    <w:p w14:paraId="6D719AB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маслофильтре мотора зав. № 45384 (Ил-10 зав. № 104071) появилась мелкая алюминиевая стружка. С мотора был «снят водо - маслоагрегат, на сетке которого обнаружено большое количество мелких частиц алюминия». Причина осталась невыясненной, так как мотор полностью разобрать не удалось. Наработка мотора составила 40 ч, из них в воздухе 25 ч.</w:t>
      </w:r>
    </w:p>
    <w:p w14:paraId="3A488AF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После наработки 43 ч, из них в воздухе 32 ч, на маслофильтре мотора зав. № 45508 (Ил-10 зав. № 104062) обнаружена стальная стружка и два фрагмента разрушенной гайки. Мотор подлежит съемке с самолета и переборке.</w:t>
      </w:r>
    </w:p>
    <w:p w14:paraId="0C06DECD"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«десятке» инспектора Главного управления боевой подготовки фронтовой авиации ВВС КА мотор вышел из строя в результате течи воды в картер мотора.</w:t>
      </w:r>
    </w:p>
    <w:p w14:paraId="7E9E082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Тем временем 25 апреля из Куйбышева срочным бортом с завода № 24 прибыли три мотора АМ-42 под замену и 28 комплектов поршневых колец. Начиная со следующего дня часть технического состава полка под руководством инженера ЭРО завода № 24 П. С. Захарова занялась восстановлением неисправных моторов, доводя самолеты до боевой готовности. Моторы снимали с самолета, разбирали, заменяли поршневые кольца. Затем моторы собирались и устанавливались на самолет. Это очень трудоемкая и сложная процедура, особенно в полевых условиях.</w:t>
      </w:r>
    </w:p>
    <w:p w14:paraId="0FAAD9E5"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Таким образом, за все время боевых действий в 108 гшап вышли из строя 92 % моторов, из них 76 % - по причине износа поршневых колец и 16 % - по причине появления бронзовой, стальной и алюминиевой стружек, попадания воды в картер и выбрасывания масла.</w:t>
      </w:r>
    </w:p>
    <w:p w14:paraId="2875DC1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Помимо этого, к числу серьезных дефектов АМ-42 относили трудный запуск «холодных моторов при наружной температуре воздуха ниже +18 °С».</w:t>
      </w:r>
    </w:p>
    <w:p w14:paraId="4C8842A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Оказалось, что «существующая схема работы карбюратора К -42БП-А на малом газе не обеспечивает хорошего распыления топливной смеси и требует повышенного давления бензина в момент запуска (0,4-0,5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В то же время «установленная одна пусковая катушка КП-4716 в момент запуска мотора не обеспечивает достаточной мощности искры».</w:t>
      </w:r>
    </w:p>
    <w:p w14:paraId="2271EFA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Полковые умельцы предложили «для облегчения пуска мотора» к правому магнето подключать вторую пусковую катушку.</w:t>
      </w:r>
    </w:p>
    <w:p w14:paraId="08031A6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ходе эксплуатации карбюраторов К-42БП-А имели место три случая произвольного забеднения и два случая забогащения смеси. При разборке и осмотре карбюраторов причину дефекта установить не удалось.</w:t>
      </w:r>
    </w:p>
    <w:p w14:paraId="7A19BC1C"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Один карбюратор был заменен по причине отказа в работе на режиме ниже 1600 об/мин. Причина отказа также не установлена.</w:t>
      </w:r>
    </w:p>
    <w:p w14:paraId="4852695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Авиационные свечи типа АС-132 производства завода № 161 установленный ресурс 30 ч не вырабатывали. Свечи выходили из строя в среднем через 11 ч режимной работы при максимальной наработке отдельных свечей в 22-25 ч. При использовании в топливе американских присадок тетроэтилового свинца свечи работали еще хуже. Наработка на отказ уменьшалась в среднем до 6 ч. Основной причиной отказов в работе свечей считался «перегрев центрального электрода и отложение свинца на электродах».</w:t>
      </w:r>
    </w:p>
    <w:p w14:paraId="1C9F3F0A"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Как отмечалось в отчете по результатам войсковых испытаний, «после 224 боевых самолето-вылетов/.../108 Гвардейский штурмовой Рава-Русский ордена Суворова полк на самолетах Ил-10 с мотором АМ-42 по вине моторов вышел из строя боевых частей».</w:t>
      </w:r>
    </w:p>
    <w:p w14:paraId="24422AB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Командир 6-й гвардейской штурмовой авиадивизии генерал-майор А. Ф. Курочкин доложил командиру 2-го гвардейского штурмового авиакорпуса генерал-майору С. В. Слюсареву, что «1. Задача, поставленная приказом командующего 2 ВА № 044 от 24.3.45 г. по боевому испытанию самолета Ил-10 с мотором АМ-42 108 Гв.</w:t>
      </w:r>
    </w:p>
    <w:p w14:paraId="196D7E4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ШАРРОСП - выполнена. 2. Самолет Ил-10 с мотором АМ-42 к дальнейшей эксплуатации в боевых условиях и в условиях пыльных аэродромов не пригоден. Может быть принят на эксплуатацию при устранении отмеченных недочетов в материале».</w:t>
      </w:r>
    </w:p>
    <w:p w14:paraId="189254CB"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 течение мая полк ни боевой, ни учебно -боевой работы на самолетах Ил-10 не вел, а занимался ремонтом неисправной матчасти и получением новой на авиабазе в г. Львове.</w:t>
      </w:r>
    </w:p>
    <w:p w14:paraId="40CBB1E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Всего в период с 16 по 30 апреля летчиками 108 гшап было выполнено 224 боевых самолетовылета с общим налетом 242 ч 15 мин, в том числе 4 </w:t>
      </w:r>
      <w:proofErr w:type="gramStart"/>
      <w:r w:rsidRPr="00925F26">
        <w:rPr>
          <w:rStyle w:val="107"/>
          <w:rFonts w:eastAsiaTheme="minorHAnsi"/>
          <w:color w:val="000000" w:themeColor="text1"/>
          <w:sz w:val="16"/>
          <w:szCs w:val="16"/>
        </w:rPr>
        <w:t>самолето-вылета</w:t>
      </w:r>
      <w:proofErr w:type="gramEnd"/>
      <w:r w:rsidRPr="00925F26">
        <w:rPr>
          <w:rStyle w:val="107"/>
          <w:rFonts w:eastAsiaTheme="minorHAnsi"/>
          <w:color w:val="000000" w:themeColor="text1"/>
          <w:sz w:val="16"/>
          <w:szCs w:val="16"/>
        </w:rPr>
        <w:t xml:space="preserve"> (4 ч 45 мин) на разведку войск противника и 220 (237 ч 30 мин) - на уничтожение живой силы и техники противника.</w:t>
      </w:r>
    </w:p>
    <w:p w14:paraId="6174FA0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5FA8DC3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6C145B7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6405638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3DC92683"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68D746F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lastRenderedPageBreak/>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25C9F6E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5011C3D9"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493440E"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30A6C05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082D17E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44FBCEE4"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0B3CDAF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За все время испытаний только в пяти случаях имели место встречи с истребителями противника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 xml:space="preserve">190 и </w:t>
      </w:r>
      <w:r w:rsidRPr="00925F26">
        <w:rPr>
          <w:rStyle w:val="107"/>
          <w:rFonts w:eastAsiaTheme="minorHAnsi"/>
          <w:color w:val="000000" w:themeColor="text1"/>
          <w:sz w:val="16"/>
          <w:szCs w:val="16"/>
          <w:lang w:val="en-US"/>
        </w:rPr>
        <w:t>Bf</w:t>
      </w:r>
      <w:r w:rsidRPr="00925F26">
        <w:rPr>
          <w:rStyle w:val="107"/>
          <w:rFonts w:eastAsiaTheme="minorHAnsi"/>
          <w:color w:val="000000" w:themeColor="text1"/>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38A92347"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 xml:space="preserve">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w:t>
      </w:r>
      <w:proofErr w:type="gramStart"/>
      <w:r w:rsidRPr="00925F26">
        <w:rPr>
          <w:rStyle w:val="107"/>
          <w:rFonts w:eastAsiaTheme="minorHAnsi"/>
          <w:color w:val="000000" w:themeColor="text1"/>
          <w:sz w:val="16"/>
          <w:szCs w:val="16"/>
        </w:rPr>
        <w:t>самолето-вылетов</w:t>
      </w:r>
      <w:proofErr w:type="gramEnd"/>
      <w:r w:rsidRPr="00925F26">
        <w:rPr>
          <w:rStyle w:val="107"/>
          <w:rFonts w:eastAsiaTheme="minorHAnsi"/>
          <w:color w:val="000000" w:themeColor="text1"/>
          <w:sz w:val="16"/>
          <w:szCs w:val="16"/>
        </w:rPr>
        <w:t xml:space="preserve"> (80 ч 45 мин).</w:t>
      </w:r>
    </w:p>
    <w:p w14:paraId="4BBB23B3"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655559C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1660FEC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221B04F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01995391"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7227961F"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73B72928"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54B2DFB0"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6D3C3C0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Отмечалась недостаточная эффективность тормозов. В четырех случаях при посадке разрушились покрышки колес шасси (800x260 мм).</w:t>
      </w:r>
    </w:p>
    <w:p w14:paraId="3AD7B142"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7FB80D36"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52DFC175" w14:textId="77777777" w:rsidR="00356648" w:rsidRPr="00925F26" w:rsidRDefault="00356648" w:rsidP="00925F26">
      <w:pPr>
        <w:jc w:val="both"/>
        <w:rPr>
          <w:color w:val="000000" w:themeColor="text1"/>
          <w:sz w:val="16"/>
          <w:szCs w:val="16"/>
        </w:rPr>
      </w:pPr>
      <w:r w:rsidRPr="00925F26">
        <w:rPr>
          <w:rStyle w:val="107"/>
          <w:rFonts w:eastAsiaTheme="minorHAnsi"/>
          <w:color w:val="000000" w:themeColor="text1"/>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6D0D949F" w14:textId="77777777" w:rsidR="00356648" w:rsidRPr="00925F26" w:rsidRDefault="00356648" w:rsidP="00925F26">
      <w:pPr>
        <w:jc w:val="both"/>
        <w:rPr>
          <w:rStyle w:val="107"/>
          <w:rFonts w:eastAsiaTheme="minorHAnsi"/>
          <w:color w:val="000000" w:themeColor="text1"/>
          <w:sz w:val="16"/>
          <w:szCs w:val="16"/>
        </w:rPr>
      </w:pPr>
    </w:p>
    <w:p w14:paraId="3D0B7FEA" w14:textId="199CE3DA"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16 апреля — 2 мая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проходила Берлинская операция, которая стала пиком массированного применения Ил-2. Штурмовая авиация 2-й воздушной армии была представлена тремя авиакорпусами:</w:t>
      </w:r>
    </w:p>
    <w:p w14:paraId="7D36FA10" w14:textId="062F66F0"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1-й гвардейский штурмовой Кировоградский краснознаменный ордена Суворова авиационный корпус генерал-лейтенанта Рязанова;</w:t>
      </w:r>
    </w:p>
    <w:p w14:paraId="412431A5" w14:textId="28924390"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2-й гвардейский штурмовой авиационный Владимир-Волынский краснознаменный корпус генерал-майора Слюсарева;</w:t>
      </w:r>
    </w:p>
    <w:p w14:paraId="24916E45"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3-й штурмовой авиационный Ленинский корпус генерал-майора Рубанова.</w:t>
      </w:r>
    </w:p>
    <w:p w14:paraId="7A40130C" w14:textId="610356B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Каждый из них в апреле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имел в своем составе две штурмовые дивизии трехполкового состава и одну истребительную авиадивизию (самолеты Як-1, Як-3, Як-9 и Ла-5).</w:t>
      </w:r>
    </w:p>
    <w:p w14:paraId="0727A63A"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На завершающем этапе войны штурмовая авиация 2-й В А использовалась для содействия наземным войскам при форсировании водных преград, ударов по окруженным группировкам противника, отражения его контрударов и непосредственной поддержки сухопутных войск в ходе наступления.</w:t>
      </w:r>
    </w:p>
    <w:p w14:paraId="1720C415" w14:textId="43657F7B"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Штурмовая авиация использовалась массированно на направлениях главных ударов. При прорыве немецкой обороны </w:t>
      </w:r>
      <w:proofErr w:type="gramStart"/>
      <w:r w:rsidRPr="00925F26">
        <w:rPr>
          <w:color w:val="000000" w:themeColor="text1"/>
          <w:sz w:val="16"/>
          <w:szCs w:val="16"/>
        </w:rPr>
        <w:t>70</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Ил-2 совершали вылеты на поддержку своих войск. В ходе боевых действий, когда борьба развернулась на подступах к Берлину, штурмовики наносили массированные удары по 9-й и 12-й немецким армиям. В течение нескольких дней Илы бомбили и обстреливали войска и технику, а также оказывали поддержку 4-й гвардейской танковой армии, отражавшей контрудар генерала Венка на Берлин.</w:t>
      </w:r>
    </w:p>
    <w:p w14:paraId="5F0F1844" w14:textId="4DABAF2F" w:rsidR="00040634" w:rsidRPr="00925F26" w:rsidRDefault="00040634" w:rsidP="00925F26">
      <w:pPr>
        <w:pStyle w:val="ae"/>
        <w:spacing w:before="0" w:after="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 xml:space="preserve">«Значительную лепту внесли штурмовики 2 ВА в дело срыва этого замысла командования немецких </w:t>
      </w:r>
      <w:proofErr w:type="gramStart"/>
      <w:r w:rsidRPr="00925F26">
        <w:rPr>
          <w:iCs/>
          <w:color w:val="000000" w:themeColor="text1"/>
          <w:sz w:val="16"/>
          <w:szCs w:val="16"/>
          <w:bdr w:val="none" w:sz="0" w:space="0" w:color="auto" w:frame="1"/>
        </w:rPr>
        <w:t>армий,</w:t>
      </w:r>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w:t>
      </w:r>
      <w:proofErr w:type="gramEnd"/>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 xml:space="preserve">сообщалось в отчете о боевых действиях 2-й воздушной армии в Берлинской </w:t>
      </w:r>
      <w:proofErr w:type="gramStart"/>
      <w:r w:rsidRPr="00925F26">
        <w:rPr>
          <w:iCs/>
          <w:color w:val="000000" w:themeColor="text1"/>
          <w:sz w:val="16"/>
          <w:szCs w:val="16"/>
          <w:bdr w:val="none" w:sz="0" w:space="0" w:color="auto" w:frame="1"/>
        </w:rPr>
        <w:t>операции</w:t>
      </w:r>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w:t>
      </w:r>
      <w:proofErr w:type="gramEnd"/>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 Своими ударами они уничтожали большое количество живой силы и техники врага, оказали большое влияние на деморализацию его солдат и офицеров и нарушение управления войсками. После ударов штурмовиков часто пехота противника бросала оружие и разбегалась по окружающим лесам».</w:t>
      </w:r>
    </w:p>
    <w:p w14:paraId="6122E336"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Способы действий штурмовиков в ходе операции изменялись в зависимости от обстановки. Так, при прорыве обороны, когда требовалось нанести в ограниченное время мощный удар с воздуха, Илы действовали большими группами по 100–110 машин. В промежутках между массированными ударами производились беспокоящие атаки мелкими группами. Сопровождение танковых армий во время наступления производилось, как правило, более привычными мелкими группами по 6–12 штурмовиков, а в период преследования отходящего противника на задания вылетали группы по 8–12–18 Ил-2. В сложных метеоусловиях и при плохой видимости штурмовики действовали парами и четверками.</w:t>
      </w:r>
    </w:p>
    <w:p w14:paraId="127367C9" w14:textId="35299C2F"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Во время массированных авиаударов применялся хорошо отработанный за годы войны боевой порядок в виде колонны из групп по 4–5–6 Ил-2. Сбрасывание бомб, пуск реактивных снарядов и пулеметно-пушечный обстрел производился с одного-двух заходов, что было обусловлено уже не сильной вражеской ПВО, как, скажем, в 1942–</w:t>
      </w:r>
      <w:proofErr w:type="gramStart"/>
      <w:r w:rsidRPr="00925F26">
        <w:rPr>
          <w:color w:val="000000" w:themeColor="text1"/>
          <w:sz w:val="16"/>
          <w:szCs w:val="16"/>
        </w:rPr>
        <w:t>1943</w:t>
      </w:r>
      <w:r w:rsidR="00997EDF" w:rsidRPr="00925F26">
        <w:rPr>
          <w:color w:val="000000" w:themeColor="text1"/>
          <w:sz w:val="16"/>
          <w:szCs w:val="16"/>
        </w:rPr>
        <w:t xml:space="preserve">  </w:t>
      </w:r>
      <w:r w:rsidRPr="00925F26">
        <w:rPr>
          <w:color w:val="000000" w:themeColor="text1"/>
          <w:sz w:val="16"/>
          <w:szCs w:val="16"/>
        </w:rPr>
        <w:t>гг.</w:t>
      </w:r>
      <w:proofErr w:type="gramEnd"/>
      <w:r w:rsidRPr="00925F26">
        <w:rPr>
          <w:color w:val="000000" w:themeColor="text1"/>
          <w:sz w:val="16"/>
          <w:szCs w:val="16"/>
        </w:rPr>
        <w:t>, а весьма ограниченным запасом боеприпасов. Применялись и другие тактически приемы, к примеру, в одном районе одновременно большим количеством групп поражалось большое количество целей. В этих случаях каждая группа имела свою цель и «обрабатывала» ее в пяти-шести заходах.</w:t>
      </w:r>
    </w:p>
    <w:p w14:paraId="70614356"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Большое количество боеготовых самолетов позволяло также во время непрерывных массированных налетов группам Ил-2 сменять друг друга над полем боя через каждые десять — двадцать пять минут. При этом обычно применялся боевой порядок «круг», а по вытянутым целям — боевой порядок «змейка» и «восьмерка». Обычно группа производила над целью по пять-шесть заходов.</w:t>
      </w:r>
    </w:p>
    <w:p w14:paraId="5E6138B8"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Кроме того, во время Берлинской операции широко практиковались действия штурмовиков-охотников. Как правило, при этом формировались группы из двух-четырех Ил-2 и четырех-шести истребителей. Выбранные цели они атаковали внезапно и с первого захода, после чего быстро уходили на свою территорию. Для выполнения этих задач привлекались лучшие экипажи-снайперы, хорошо зарекомендовавшие себя. В основном штурмовики-охотники использовались против транспортных перевозок в тылу противника и переправ (19522).</w:t>
      </w:r>
    </w:p>
    <w:p w14:paraId="52C9DC0F" w14:textId="77777777" w:rsidR="00040634" w:rsidRPr="00925F26" w:rsidRDefault="00040634" w:rsidP="00925F26">
      <w:pPr>
        <w:pStyle w:val="ae"/>
        <w:spacing w:before="0" w:after="0"/>
        <w:jc w:val="both"/>
        <w:textAlignment w:val="baseline"/>
        <w:rPr>
          <w:color w:val="000000" w:themeColor="text1"/>
          <w:sz w:val="16"/>
          <w:szCs w:val="16"/>
        </w:rPr>
      </w:pPr>
    </w:p>
    <w:p w14:paraId="250C16E6"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lastRenderedPageBreak/>
        <w:t>16–18 апреля 1945 в первые дни Берлинской операции войска 1-го Украинского фронта в упорных боях формировали водные преграды Шпрее и Нейсе. Штурмовики 2-й воздушной армии оказывали разноплановую поддержку наземным войскам: ставили дымовые завесы, атаковали артиллерийские батареи, наносили удары по подходящим резервам и содействовали войскам в отражении контратак.</w:t>
      </w:r>
    </w:p>
    <w:p w14:paraId="5BD73B29"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При форсировании Нейсе частями 3-й гвардейской, 13-й и 15-й гвардейской армиями утром 16 апреля самолеты 1-го гв. шак ставили дымовую завесу на фронте 5-й и частично 13-й армий. В 6.55 взлетели две группы по шесть Ил-2 командира 144-го гв. шап майора Степанова и командира эскадрильи 140-го гв. шап капитана Яковлева. Поскольку на аэродроме еще было темно, а метеорологические условия неблагоприятными (туман), требовалось освещение, которое было выполнено весьма кустарным способом. В трех местах разжигались костры, которые обозначали линию взлета. Взлет и сбор групп в воздухе проходил с выключенными навигационными огнями, а командиры давали необходимые указания экипажам сигнальными ракетами. Кроме того, как указано в отчете, «для сбора групп ведомые экипажи наводились на ведущего с земли по радио».</w:t>
      </w:r>
    </w:p>
    <w:p w14:paraId="6B058A47"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Полет к цели проходил на высоте 400–600 метров, самолеты шли звеньями на дистанции 200–300 метров. При подходе к цели штурмовики перестроились в «правый пеленг» по одному на дистанции между машинами 100–150 метров. Оказавшись по графику над районом переправ, Илы с интервалом в три-четыре секунды вскрывали приборы. В результате цель была за короткое время окутана плотным слоем дыма. Выполнив задачу, штурмовики один за другим сделали левый разворот с одновременным набором высоты.</w:t>
      </w:r>
    </w:p>
    <w:p w14:paraId="4E96C5B2"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В </w:t>
      </w:r>
      <w:r w:rsidRPr="00925F26">
        <w:rPr>
          <w:iCs/>
          <w:color w:val="000000" w:themeColor="text1"/>
          <w:sz w:val="16"/>
          <w:szCs w:val="16"/>
          <w:bdr w:val="none" w:sz="0" w:space="0" w:color="auto" w:frame="1"/>
        </w:rPr>
        <w:t>в отчете о боевых действиях 2-й воздушной армии в Берлинской операции</w:t>
      </w:r>
      <w:r w:rsidRPr="00925F26">
        <w:rPr>
          <w:color w:val="000000" w:themeColor="text1"/>
          <w:sz w:val="16"/>
          <w:szCs w:val="16"/>
        </w:rPr>
        <w:t xml:space="preserve"> по этому поводу говорилось:</w:t>
      </w:r>
    </w:p>
    <w:p w14:paraId="092B19E8" w14:textId="77777777" w:rsidR="00040634" w:rsidRPr="00925F26" w:rsidRDefault="00040634" w:rsidP="00925F26">
      <w:pPr>
        <w:pStyle w:val="ae"/>
        <w:spacing w:before="0" w:after="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«Наблюдающий за постановкой дымовой завесы командующий 5 гв. А генерал-полковник Жадов и его командующий артиллерией генерал-майор артиллерии Полузитов отметили хорошие действия этих групп штурмовиков. Дымы замаскировали действия передовых отрядов по форсированию р. Нейсе и способствовали войскам в овладении переправами на участке сев. Мускау».</w:t>
      </w:r>
    </w:p>
    <w:p w14:paraId="558D7D65"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Поутру небо над линией фронта наполнилось угрожающим гулом десятков моторов. Это большие группы штурмовиков летели для нанесения ударов по немецким войскам. В 8.45–9.10 группа из 100 Ил-2 нанесла авиаудар по узлам обороны и позициям артиллерии в районе Пузак — Невельн — Емлиц — Мускау — Берг. Штурмовики шли длинной растянутой колонной группами по шесть машин на высоте 900–1000 метров. После преодоления линии фронта самолеты снизились и направились к своим целям. Согласно плану, специально выделенные группы Илов должны были нанести удар по позициям зенитной артиллерии. Однако реальная обстановка внесла свои коррективы. Немецкие зенитки действительно открыли мощный огонь из всех стволов, но из-за сильной дымки сами позиции были почти не видны.</w:t>
      </w:r>
    </w:p>
    <w:p w14:paraId="30107AA9"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Тогда командир 155-го гв. шап подполковник Чернецов решил вначале атаковать зенитки всей группой. Снизившись до бреющего, штурмовики открыли огонь из пушек и пулеметов, попутно пуская реактивные снаряды. Только после этого Илы снова собрались в боевой порядок и приступили к бомбардировке немецких позиций. В общей сложности штурмовики находились над целью в течение двадцати пяти минут, сделав при этом по шесть заходов. Несмотря на сильный зенитный огонь, все Ил-2 вернулись на свои базы.</w:t>
      </w:r>
    </w:p>
    <w:p w14:paraId="033E7F9D"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Тем временем советские войска успешно форсировали Нейсе и начали бои на западном берегу реки. 17 и 18 апреля из-за плохой видимости (менее километра), дополнявшейся дымом от горящих лесов, штурмовикам пришлось перейти на действия мелкими группами.</w:t>
      </w:r>
    </w:p>
    <w:p w14:paraId="0FB251D3"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Так, в 12.45–13.00 17 апреля группа из четырех Ил-2 из 140-го гв. шап нанесла авиаудар по переправе через Шпрее в районе населенного пункта Зеллессен. Встав над целью в круг, штурмовики сделали по шесть заходов, обстреливая на обоих берегах автомашины, повозки. Как говорилось в донесении:</w:t>
      </w:r>
    </w:p>
    <w:p w14:paraId="46F9D070" w14:textId="77777777" w:rsidR="00040634" w:rsidRPr="00925F26" w:rsidRDefault="00040634" w:rsidP="00925F26">
      <w:pPr>
        <w:pStyle w:val="ae"/>
        <w:spacing w:before="0" w:after="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«Группа Жигунова в этот налет уничтожила и повредила до 10 автомашин, 5 повозок с войсками и грузами и в пункте Зеллессен был создан мощный очаг пожара».</w:t>
      </w:r>
    </w:p>
    <w:p w14:paraId="78BE3FC9"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Истребители сопровождения ввиду отсутствия в воздухе люфтваффе также занимались штурмовкой наземных целей.</w:t>
      </w:r>
    </w:p>
    <w:p w14:paraId="35A1FFD3" w14:textId="4A588168"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Что характерно, в боевых донесениях о действиях штурмовиков в конце войны наблюдается все та же схематичность, присущая рапортам осени </w:t>
      </w:r>
      <w:proofErr w:type="gramStart"/>
      <w:r w:rsidRPr="00925F26">
        <w:rPr>
          <w:color w:val="000000" w:themeColor="text1"/>
          <w:sz w:val="16"/>
          <w:szCs w:val="16"/>
        </w:rPr>
        <w:t>1941</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Термины по-прежнему не отличались разнообразием: «повозки с грузами и войсками», «автомашины», «создан пожар» и т.</w:t>
      </w:r>
      <w:r w:rsidR="00997EDF" w:rsidRPr="00925F26">
        <w:rPr>
          <w:color w:val="000000" w:themeColor="text1"/>
          <w:sz w:val="16"/>
          <w:szCs w:val="16"/>
        </w:rPr>
        <w:t xml:space="preserve">  </w:t>
      </w:r>
      <w:r w:rsidRPr="00925F26">
        <w:rPr>
          <w:color w:val="000000" w:themeColor="text1"/>
          <w:sz w:val="16"/>
          <w:szCs w:val="16"/>
        </w:rPr>
        <w:t>п.</w:t>
      </w:r>
    </w:p>
    <w:p w14:paraId="22E01A98"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В тот же день в 13.05–13.20 другая четверка Ил-2 из 140-го полка получила приказ атаковать отходящего противника на переправе через Шпрее в районе Шпремберга. Достигнув района цели в условиях низкой облачности и тумана, группа встала в круг и в течение пятнадцати минут наносила удары по немецким войскам. По донесениям летчиков, в районе переправы было создано «несколько очагов пожара», уничтожено и повреждено до восьми автомашин с войсками и грузами. Движение через саму переправу было остановлено.</w:t>
      </w:r>
    </w:p>
    <w:p w14:paraId="0A690400" w14:textId="77777777"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В 15.00 18 апреля 24 Ил-2 из 155-го гв. шап тремя группами по шесть машин повторно атаковала немецкие войска на переправе у Шпремберга. Тактика была прежней: подход к цели, построение кругом и последовательные авиаудары в течение двадцати пяти минут.</w:t>
      </w:r>
    </w:p>
    <w:p w14:paraId="79CB321D" w14:textId="68B11357" w:rsidR="00040634" w:rsidRPr="00925F26" w:rsidRDefault="00040634" w:rsidP="00925F26">
      <w:pPr>
        <w:pStyle w:val="ae"/>
        <w:spacing w:before="0" w:after="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 xml:space="preserve">«В районе переправы было создано много очагов пожаров и взрывов, застопорилось движение на восточном берегу </w:t>
      </w:r>
      <w:proofErr w:type="gramStart"/>
      <w:r w:rsidRPr="00925F26">
        <w:rPr>
          <w:iCs/>
          <w:color w:val="000000" w:themeColor="text1"/>
          <w:sz w:val="16"/>
          <w:szCs w:val="16"/>
          <w:bdr w:val="none" w:sz="0" w:space="0" w:color="auto" w:frame="1"/>
        </w:rPr>
        <w:t>реки,</w:t>
      </w:r>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w:t>
      </w:r>
      <w:proofErr w:type="gramEnd"/>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 xml:space="preserve">сообщалось в </w:t>
      </w:r>
      <w:proofErr w:type="gramStart"/>
      <w:r w:rsidRPr="00925F26">
        <w:rPr>
          <w:iCs/>
          <w:color w:val="000000" w:themeColor="text1"/>
          <w:sz w:val="16"/>
          <w:szCs w:val="16"/>
          <w:bdr w:val="none" w:sz="0" w:space="0" w:color="auto" w:frame="1"/>
        </w:rPr>
        <w:t>отчете</w:t>
      </w:r>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w:t>
      </w:r>
      <w:proofErr w:type="gramEnd"/>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 С западного берега реки огневое сопротивление противника было прекращено на 30–40 минут».</w:t>
      </w:r>
    </w:p>
    <w:p w14:paraId="034E72A2" w14:textId="66EA0DA6" w:rsidR="00040634" w:rsidRPr="00925F26" w:rsidRDefault="0004063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Вечером того же дня советские танки переправились на восточный берег Шпрее и в течение ночи полностью овладели указанной переправой. В общей сложности в течение 16–18 апреля штурмовики 1-го гв. шак выполнили свыше тысячи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против переправ на Шпрее и узлов обороны немцев на западном берегу, сбросив 5843 бомбы. Средняя бомбовая нагрузка на каждый самолет составила </w:t>
      </w:r>
      <w:proofErr w:type="gramStart"/>
      <w:r w:rsidRPr="00925F26">
        <w:rPr>
          <w:color w:val="000000" w:themeColor="text1"/>
          <w:sz w:val="16"/>
          <w:szCs w:val="16"/>
        </w:rPr>
        <w:t>455</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За указанный период летчики корпуса генерала Рязанова отчитались о восьми уничтоженных танках, семи самоходках, пяти бронетранспортерах, 148 автомашинах, 36 повозках и т.</w:t>
      </w:r>
      <w:r w:rsidR="00997EDF" w:rsidRPr="00925F26">
        <w:rPr>
          <w:color w:val="000000" w:themeColor="text1"/>
          <w:sz w:val="16"/>
          <w:szCs w:val="16"/>
        </w:rPr>
        <w:t xml:space="preserve">  </w:t>
      </w:r>
      <w:proofErr w:type="gramStart"/>
      <w:r w:rsidRPr="00925F26">
        <w:rPr>
          <w:color w:val="000000" w:themeColor="text1"/>
          <w:sz w:val="16"/>
          <w:szCs w:val="16"/>
        </w:rPr>
        <w:t>д.</w:t>
      </w:r>
      <w:proofErr w:type="gramEnd"/>
      <w:r w:rsidRPr="00925F26">
        <w:rPr>
          <w:color w:val="000000" w:themeColor="text1"/>
          <w:sz w:val="16"/>
          <w:szCs w:val="16"/>
        </w:rPr>
        <w:t xml:space="preserve"> Даже учитывая, что эти данные были преувеличены, ясно, что массированное применение на узком участке большого количества штурмовиков наносило существенный урон противнику (19522).</w:t>
      </w:r>
    </w:p>
    <w:p w14:paraId="73905A22" w14:textId="77777777" w:rsidR="00040634" w:rsidRPr="00925F26" w:rsidRDefault="00040634" w:rsidP="00925F26">
      <w:pPr>
        <w:pStyle w:val="ae"/>
        <w:spacing w:before="0" w:after="0"/>
        <w:jc w:val="both"/>
        <w:textAlignment w:val="baseline"/>
        <w:rPr>
          <w:color w:val="000000" w:themeColor="text1"/>
          <w:sz w:val="16"/>
          <w:szCs w:val="16"/>
        </w:rPr>
      </w:pPr>
    </w:p>
    <w:p w14:paraId="03DECD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началась Берлинская операция, в которой на самолетах Ил-10 приняли участие 108-й гвардейский и 571-й штурмовые полки. В этот день с аэродрома Охельхер-мсдорф в 8:30 взлетели все 25 Ил-10 108-го “Рава-Русского” ГШАП на первое боевое задание в район города Франкфурта для штурмовки автострады. Группа вернулась без потерь. Но боевой вылет выявил ряд дефектов в моторах, в результате чего пришлось менять фильтры и поршневые кольца. На первых порах немало хлопот доставили щитки шасси, которые порой заклинивали в нише и держали стойку в момент выпуска. Выполняя боевые задания на штурмовиках Ил-10, летчики ежедневно открывали те или иные положительные качества и особенности новой машины. Их тут же фиксировала государственная комиссия во главе с инженер-полковником П.Т.Аброщенко (8683,37).</w:t>
      </w:r>
    </w:p>
    <w:p w14:paraId="15892CC7" w14:textId="77777777" w:rsidR="00665165" w:rsidRPr="00925F26" w:rsidRDefault="00665165" w:rsidP="00925F26">
      <w:pPr>
        <w:autoSpaceDE w:val="0"/>
        <w:autoSpaceDN w:val="0"/>
        <w:adjustRightInd w:val="0"/>
        <w:jc w:val="both"/>
        <w:rPr>
          <w:color w:val="000000" w:themeColor="text1"/>
          <w:sz w:val="16"/>
          <w:szCs w:val="16"/>
        </w:rPr>
      </w:pPr>
    </w:p>
    <w:p w14:paraId="4A878D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вышел приказ Командующего ВВС и НКАП N 079/147с "О проведении гос. испытаний опытного самолета 63 с 2хАМ-39Ф и винтами АВ-5В-22А конструкции А.Н.Т.":</w:t>
      </w:r>
    </w:p>
    <w:p w14:paraId="4D58FF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Испытания, начатые 13 апреля, закончить в течение 17 летных дней (1829,114).</w:t>
      </w:r>
    </w:p>
    <w:p w14:paraId="6A4B79F2" w14:textId="77777777" w:rsidR="00665165" w:rsidRPr="00925F26" w:rsidRDefault="00665165" w:rsidP="00925F26">
      <w:pPr>
        <w:autoSpaceDE w:val="0"/>
        <w:autoSpaceDN w:val="0"/>
        <w:adjustRightInd w:val="0"/>
        <w:jc w:val="both"/>
        <w:rPr>
          <w:color w:val="000000" w:themeColor="text1"/>
          <w:sz w:val="16"/>
          <w:szCs w:val="16"/>
        </w:rPr>
      </w:pPr>
    </w:p>
    <w:p w14:paraId="6C921D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г. первый Ер-20Н под управлением Алексеева совершил успешный беспосадочный перелет из Иркутска в Москву, затратив 15 ч. 30 мин. (3322,44).</w:t>
      </w:r>
    </w:p>
    <w:p w14:paraId="3C72F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второй половине апреля 1945 Командир самолета Герой Советского Союза гвардии-полковник Алексеев писал Шахурину Донесение о выполнении беспосадочного перелета самолета ЕР-2 "ОН" по маршруту Иркутск-Москва.</w:t>
      </w:r>
    </w:p>
    <w:p w14:paraId="2151D8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Вашему указанию 17 апреля 1945 года самолет ЕР-2 "ОН" переоборудованный в пассажирский вариант из серийного бомбардировщика ЕР-2 2АЧ-30Б, совершил беспосадочный перелет по маршруту: Иркутск - Красноярск - Новосибирск - Омск - Свердловск - Казань - Москва, общей протяженностью 4540 ем.</w:t>
      </w:r>
    </w:p>
    <w:p w14:paraId="5BE49D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стартовал с аэродрома завода N 39 в 1 час 15 мин. (по Московскому времени), ведя перелет по маршруту согласно утвержденному профилю и режимов работы мотора, отклоняясь от них лишь в случае необходимости.</w:t>
      </w:r>
    </w:p>
    <w:p w14:paraId="6C755E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15 час. 45 мин. самолет достиг г. Москвы, но благодаря неблагоприятных метеорологических условий вынужден был в течение 45 мин. ожидать разрешения на посадку на Центральном аэродроме, продолжая полет над Москвой. В 16 час. 30 мин. самолет совершил посадку на Центральном аэродроме.</w:t>
      </w:r>
    </w:p>
    <w:p w14:paraId="6DAB1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маршрут Иркутск - Москва пройден за 14 час. 30 мин. со средней путевой скоростью - 312 км/час (при встречном ветре со скоростью 40 км/час), удельный километровый расход при этом получен 0,955 кг/км.</w:t>
      </w:r>
    </w:p>
    <w:p w14:paraId="58C842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время перелета материальная часть самолета работала удовлетворительно и </w:t>
      </w:r>
      <w:proofErr w:type="gramStart"/>
      <w:r w:rsidRPr="00925F26">
        <w:rPr>
          <w:color w:val="000000" w:themeColor="text1"/>
          <w:sz w:val="16"/>
          <w:szCs w:val="16"/>
        </w:rPr>
        <w:t>ни каких</w:t>
      </w:r>
      <w:proofErr w:type="gramEnd"/>
      <w:r w:rsidRPr="00925F26">
        <w:rPr>
          <w:color w:val="000000" w:themeColor="text1"/>
          <w:sz w:val="16"/>
          <w:szCs w:val="16"/>
        </w:rPr>
        <w:t xml:space="preserve"> технических дефектов не обнаружено, самолет готов к дальнейшей его эксплуатации.</w:t>
      </w:r>
    </w:p>
    <w:p w14:paraId="15A87D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Далее привожу подробные сведения о подготовке, перелете и работе материальной части самолета ЕР-2 "ОН".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4AEC7A1F" w14:textId="77777777">
        <w:tc>
          <w:tcPr>
            <w:tcW w:w="5636" w:type="dxa"/>
          </w:tcPr>
          <w:p w14:paraId="7BEB27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w:t>
            </w:r>
          </w:p>
        </w:tc>
        <w:tc>
          <w:tcPr>
            <w:tcW w:w="5636" w:type="dxa"/>
          </w:tcPr>
          <w:p w14:paraId="0761B86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FB70273" w14:textId="77777777">
        <w:tc>
          <w:tcPr>
            <w:tcW w:w="5636" w:type="dxa"/>
          </w:tcPr>
          <w:p w14:paraId="6D15D9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самолета по взвешиванию на</w:t>
            </w:r>
          </w:p>
        </w:tc>
        <w:tc>
          <w:tcPr>
            <w:tcW w:w="5636" w:type="dxa"/>
          </w:tcPr>
          <w:p w14:paraId="7A3CF60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EE6D91E" w14:textId="77777777">
        <w:tc>
          <w:tcPr>
            <w:tcW w:w="5636" w:type="dxa"/>
          </w:tcPr>
          <w:p w14:paraId="7AE5A7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заводе N 39 (включая все оборудование,</w:t>
            </w:r>
          </w:p>
        </w:tc>
        <w:tc>
          <w:tcPr>
            <w:tcW w:w="5636" w:type="dxa"/>
          </w:tcPr>
          <w:p w14:paraId="574A77E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2DCB134" w14:textId="77777777">
        <w:tc>
          <w:tcPr>
            <w:tcW w:w="5636" w:type="dxa"/>
          </w:tcPr>
          <w:p w14:paraId="59244B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в системе питания моторов, полностью</w:t>
            </w:r>
          </w:p>
        </w:tc>
        <w:tc>
          <w:tcPr>
            <w:tcW w:w="5636" w:type="dxa"/>
          </w:tcPr>
          <w:p w14:paraId="6081E93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1E54C26" w14:textId="77777777">
        <w:tc>
          <w:tcPr>
            <w:tcW w:w="5636" w:type="dxa"/>
          </w:tcPr>
          <w:p w14:paraId="17870A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заполненные антиобледенительные баки,</w:t>
            </w:r>
          </w:p>
        </w:tc>
        <w:tc>
          <w:tcPr>
            <w:tcW w:w="5636" w:type="dxa"/>
          </w:tcPr>
          <w:p w14:paraId="3297BAC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EF6AF30" w14:textId="77777777">
        <w:tc>
          <w:tcPr>
            <w:tcW w:w="5636" w:type="dxa"/>
          </w:tcPr>
          <w:p w14:paraId="54A6F7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запасный бак для подкачки воды в водяную</w:t>
            </w:r>
          </w:p>
        </w:tc>
        <w:tc>
          <w:tcPr>
            <w:tcW w:w="5636" w:type="dxa"/>
          </w:tcPr>
          <w:p w14:paraId="247EC92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A0844B3" w14:textId="77777777">
        <w:tc>
          <w:tcPr>
            <w:tcW w:w="5636" w:type="dxa"/>
          </w:tcPr>
          <w:p w14:paraId="48AB80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систему моторов, воду в водяном бачке в</w:t>
            </w:r>
          </w:p>
        </w:tc>
        <w:tc>
          <w:tcPr>
            <w:tcW w:w="5636" w:type="dxa"/>
          </w:tcPr>
          <w:p w14:paraId="76774E6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89F117D" w14:textId="77777777">
        <w:tc>
          <w:tcPr>
            <w:tcW w:w="5636" w:type="dxa"/>
          </w:tcPr>
          <w:p w14:paraId="0A405B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туалетной комнате, и исключая вес установки</w:t>
            </w:r>
          </w:p>
        </w:tc>
        <w:tc>
          <w:tcPr>
            <w:tcW w:w="5636" w:type="dxa"/>
          </w:tcPr>
          <w:p w14:paraId="61F6802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8A0CDA3" w14:textId="77777777">
        <w:tc>
          <w:tcPr>
            <w:tcW w:w="5636" w:type="dxa"/>
          </w:tcPr>
          <w:p w14:paraId="196EC0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дополнительного топливного бака</w:t>
            </w:r>
          </w:p>
        </w:tc>
        <w:tc>
          <w:tcPr>
            <w:tcW w:w="5636" w:type="dxa"/>
          </w:tcPr>
          <w:p w14:paraId="48DCC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10962 кг</w:t>
            </w:r>
          </w:p>
        </w:tc>
      </w:tr>
      <w:tr w:rsidR="000F5689" w:rsidRPr="00925F26" w14:paraId="05DCC769" w14:textId="77777777">
        <w:tc>
          <w:tcPr>
            <w:tcW w:w="5636" w:type="dxa"/>
          </w:tcPr>
          <w:p w14:paraId="2BFDD2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(предусмотрен техническими условиями)</w:t>
            </w:r>
          </w:p>
        </w:tc>
        <w:tc>
          <w:tcPr>
            <w:tcW w:w="5636" w:type="dxa"/>
          </w:tcPr>
          <w:p w14:paraId="43754B7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8804953" w14:textId="77777777">
        <w:tc>
          <w:tcPr>
            <w:tcW w:w="5636" w:type="dxa"/>
          </w:tcPr>
          <w:p w14:paraId="01DABC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4 человека: пилот, бортмеханик - он же второй</w:t>
            </w:r>
          </w:p>
        </w:tc>
        <w:tc>
          <w:tcPr>
            <w:tcW w:w="5636" w:type="dxa"/>
          </w:tcPr>
          <w:p w14:paraId="3F8F536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FD2548D" w14:textId="77777777">
        <w:tc>
          <w:tcPr>
            <w:tcW w:w="5636" w:type="dxa"/>
          </w:tcPr>
          <w:p w14:paraId="6C89E5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пилот, штурман и бортрадист</w:t>
            </w:r>
          </w:p>
        </w:tc>
        <w:tc>
          <w:tcPr>
            <w:tcW w:w="5636" w:type="dxa"/>
          </w:tcPr>
          <w:p w14:paraId="014930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 кг</w:t>
            </w:r>
          </w:p>
        </w:tc>
      </w:tr>
      <w:tr w:rsidR="000F5689" w:rsidRPr="00925F26" w14:paraId="20820588" w14:textId="77777777">
        <w:tc>
          <w:tcPr>
            <w:tcW w:w="5636" w:type="dxa"/>
          </w:tcPr>
          <w:p w14:paraId="73029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 в баках (максимально допустимая в</w:t>
            </w:r>
          </w:p>
        </w:tc>
        <w:tc>
          <w:tcPr>
            <w:tcW w:w="5636" w:type="dxa"/>
          </w:tcPr>
          <w:p w14:paraId="459FDA2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853CF20" w14:textId="77777777">
        <w:tc>
          <w:tcPr>
            <w:tcW w:w="5636" w:type="dxa"/>
          </w:tcPr>
          <w:p w14:paraId="371AFE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эксплуатации)</w:t>
            </w:r>
          </w:p>
        </w:tc>
        <w:tc>
          <w:tcPr>
            <w:tcW w:w="5636" w:type="dxa"/>
          </w:tcPr>
          <w:p w14:paraId="21A955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 кг</w:t>
            </w:r>
          </w:p>
        </w:tc>
      </w:tr>
      <w:tr w:rsidR="000F5689" w:rsidRPr="00925F26" w14:paraId="5FEC2122" w14:textId="77777777">
        <w:tc>
          <w:tcPr>
            <w:tcW w:w="5636" w:type="dxa"/>
          </w:tcPr>
          <w:p w14:paraId="423DFC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Бортинструмент, лестница для пассажиров и</w:t>
            </w:r>
          </w:p>
        </w:tc>
        <w:tc>
          <w:tcPr>
            <w:tcW w:w="5636" w:type="dxa"/>
          </w:tcPr>
          <w:p w14:paraId="5EFE616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83BFE03" w14:textId="77777777">
        <w:tc>
          <w:tcPr>
            <w:tcW w:w="5636" w:type="dxa"/>
          </w:tcPr>
          <w:p w14:paraId="00BFF8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складная лестница для штурмана</w:t>
            </w:r>
          </w:p>
        </w:tc>
        <w:tc>
          <w:tcPr>
            <w:tcW w:w="5636" w:type="dxa"/>
          </w:tcPr>
          <w:p w14:paraId="5FA6AC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 кг</w:t>
            </w:r>
          </w:p>
        </w:tc>
      </w:tr>
      <w:tr w:rsidR="000F5689" w:rsidRPr="00925F26" w14:paraId="6FD38D39" w14:textId="77777777">
        <w:tc>
          <w:tcPr>
            <w:tcW w:w="5636" w:type="dxa"/>
          </w:tcPr>
          <w:p w14:paraId="508C73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(максимально возможная заправка</w:t>
            </w:r>
          </w:p>
        </w:tc>
        <w:tc>
          <w:tcPr>
            <w:tcW w:w="5636" w:type="dxa"/>
          </w:tcPr>
          <w:p w14:paraId="3741BBE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0FE0A43" w14:textId="77777777">
        <w:tc>
          <w:tcPr>
            <w:tcW w:w="5636" w:type="dxa"/>
          </w:tcPr>
          <w:p w14:paraId="21DDB5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самолета в трехточечном положении)</w:t>
            </w:r>
          </w:p>
        </w:tc>
        <w:tc>
          <w:tcPr>
            <w:tcW w:w="5636" w:type="dxa"/>
          </w:tcPr>
          <w:p w14:paraId="51980B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5030 кг</w:t>
            </w:r>
          </w:p>
        </w:tc>
      </w:tr>
      <w:tr w:rsidR="000F5689" w:rsidRPr="00925F26" w14:paraId="02349036" w14:textId="77777777">
        <w:tc>
          <w:tcPr>
            <w:tcW w:w="5636" w:type="dxa"/>
          </w:tcPr>
          <w:p w14:paraId="3CDC81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5636" w:type="dxa"/>
          </w:tcPr>
          <w:p w14:paraId="7256A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16852 кг</w:t>
            </w:r>
          </w:p>
        </w:tc>
      </w:tr>
      <w:tr w:rsidR="000F5689" w:rsidRPr="00925F26" w14:paraId="4D3B36A9" w14:textId="77777777">
        <w:tc>
          <w:tcPr>
            <w:tcW w:w="5636" w:type="dxa"/>
          </w:tcPr>
          <w:p w14:paraId="358D1D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Дополнительная нагрузка в данном</w:t>
            </w:r>
          </w:p>
        </w:tc>
        <w:tc>
          <w:tcPr>
            <w:tcW w:w="5636" w:type="dxa"/>
          </w:tcPr>
          <w:p w14:paraId="01A5B5C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49EF623" w14:textId="77777777">
        <w:tc>
          <w:tcPr>
            <w:tcW w:w="5636" w:type="dxa"/>
          </w:tcPr>
          <w:p w14:paraId="73ACC1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полете, рассматриваемая как</w:t>
            </w:r>
          </w:p>
        </w:tc>
        <w:tc>
          <w:tcPr>
            <w:tcW w:w="5636" w:type="dxa"/>
          </w:tcPr>
          <w:p w14:paraId="4576AB8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B7B67AD" w14:textId="77777777">
        <w:tc>
          <w:tcPr>
            <w:tcW w:w="5636" w:type="dxa"/>
          </w:tcPr>
          <w:p w14:paraId="1155A1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коммерческая.</w:t>
            </w:r>
          </w:p>
        </w:tc>
        <w:tc>
          <w:tcPr>
            <w:tcW w:w="5636" w:type="dxa"/>
          </w:tcPr>
          <w:p w14:paraId="1D1B4D9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867E8C8" w14:textId="77777777">
        <w:tc>
          <w:tcPr>
            <w:tcW w:w="5636" w:type="dxa"/>
          </w:tcPr>
          <w:p w14:paraId="084533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Дополнительный топливный бак (270 кг) и вес</w:t>
            </w:r>
          </w:p>
        </w:tc>
        <w:tc>
          <w:tcPr>
            <w:tcW w:w="5636" w:type="dxa"/>
          </w:tcPr>
          <w:p w14:paraId="61E63AB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7840C23" w14:textId="77777777">
        <w:tc>
          <w:tcPr>
            <w:tcW w:w="5636" w:type="dxa"/>
          </w:tcPr>
          <w:p w14:paraId="255A1A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установки (40 кг), нерасходуемый в течение</w:t>
            </w:r>
          </w:p>
        </w:tc>
        <w:tc>
          <w:tcPr>
            <w:tcW w:w="5636" w:type="dxa"/>
          </w:tcPr>
          <w:p w14:paraId="0CA8EC7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48E720B" w14:textId="77777777">
        <w:tc>
          <w:tcPr>
            <w:tcW w:w="5636" w:type="dxa"/>
          </w:tcPr>
          <w:p w14:paraId="2FD267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перелета</w:t>
            </w:r>
          </w:p>
        </w:tc>
        <w:tc>
          <w:tcPr>
            <w:tcW w:w="5636" w:type="dxa"/>
          </w:tcPr>
          <w:p w14:paraId="35C8D4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 кг</w:t>
            </w:r>
          </w:p>
        </w:tc>
      </w:tr>
      <w:tr w:rsidR="000F5689" w:rsidRPr="00925F26" w14:paraId="0F67194F" w14:textId="77777777">
        <w:tc>
          <w:tcPr>
            <w:tcW w:w="5636" w:type="dxa"/>
          </w:tcPr>
          <w:p w14:paraId="17BA0D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всех дальнейших расчетах расхода горючего</w:t>
            </w:r>
          </w:p>
        </w:tc>
        <w:tc>
          <w:tcPr>
            <w:tcW w:w="5636" w:type="dxa"/>
          </w:tcPr>
          <w:p w14:paraId="57B32A3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9CA4E1F" w14:textId="77777777">
        <w:tc>
          <w:tcPr>
            <w:tcW w:w="5636" w:type="dxa"/>
          </w:tcPr>
          <w:p w14:paraId="0142AE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 дальности самолета это горючее не учитывается)</w:t>
            </w:r>
          </w:p>
        </w:tc>
        <w:tc>
          <w:tcPr>
            <w:tcW w:w="5636" w:type="dxa"/>
          </w:tcPr>
          <w:p w14:paraId="7625F8E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7D745D1" w14:textId="77777777">
        <w:tc>
          <w:tcPr>
            <w:tcW w:w="5636" w:type="dxa"/>
          </w:tcPr>
          <w:p w14:paraId="5123D4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Второй пилот (техническими условиями не</w:t>
            </w:r>
          </w:p>
        </w:tc>
        <w:tc>
          <w:tcPr>
            <w:tcW w:w="5636" w:type="dxa"/>
          </w:tcPr>
          <w:p w14:paraId="668AD9E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8216D20" w14:textId="77777777">
        <w:tc>
          <w:tcPr>
            <w:tcW w:w="5636" w:type="dxa"/>
          </w:tcPr>
          <w:p w14:paraId="189E52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предусмотренный)</w:t>
            </w:r>
          </w:p>
        </w:tc>
        <w:tc>
          <w:tcPr>
            <w:tcW w:w="5636" w:type="dxa"/>
          </w:tcPr>
          <w:p w14:paraId="0CC6F7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 кг</w:t>
            </w:r>
          </w:p>
        </w:tc>
      </w:tr>
      <w:tr w:rsidR="000F5689" w:rsidRPr="00925F26" w14:paraId="2598D759" w14:textId="77777777">
        <w:tc>
          <w:tcPr>
            <w:tcW w:w="5636" w:type="dxa"/>
          </w:tcPr>
          <w:p w14:paraId="45644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Парашюты (не положенные для экипажа пассажирского</w:t>
            </w:r>
          </w:p>
        </w:tc>
        <w:tc>
          <w:tcPr>
            <w:tcW w:w="5636" w:type="dxa"/>
          </w:tcPr>
          <w:p w14:paraId="3360DA0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F3D5597" w14:textId="77777777">
        <w:tc>
          <w:tcPr>
            <w:tcW w:w="5636" w:type="dxa"/>
          </w:tcPr>
          <w:p w14:paraId="738A29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самолета)</w:t>
            </w:r>
          </w:p>
        </w:tc>
        <w:tc>
          <w:tcPr>
            <w:tcW w:w="5636" w:type="dxa"/>
          </w:tcPr>
          <w:p w14:paraId="16680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 кг</w:t>
            </w:r>
          </w:p>
        </w:tc>
      </w:tr>
      <w:tr w:rsidR="000F5689" w:rsidRPr="00925F26" w14:paraId="2F70D3F4" w14:textId="77777777">
        <w:tc>
          <w:tcPr>
            <w:tcW w:w="5636" w:type="dxa"/>
          </w:tcPr>
          <w:p w14:paraId="5F094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Личные вещи, продовольствия и др. имущество</w:t>
            </w:r>
          </w:p>
        </w:tc>
        <w:tc>
          <w:tcPr>
            <w:tcW w:w="5636" w:type="dxa"/>
          </w:tcPr>
          <w:p w14:paraId="02270E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 кг</w:t>
            </w:r>
          </w:p>
        </w:tc>
      </w:tr>
      <w:tr w:rsidR="000F5689" w:rsidRPr="00925F26" w14:paraId="01555854" w14:textId="77777777">
        <w:tc>
          <w:tcPr>
            <w:tcW w:w="5636" w:type="dxa"/>
          </w:tcPr>
          <w:p w14:paraId="167FF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Дополнительно в банках: масло - 60 кг, вода - 20 кг</w:t>
            </w:r>
          </w:p>
        </w:tc>
        <w:tc>
          <w:tcPr>
            <w:tcW w:w="5636" w:type="dxa"/>
          </w:tcPr>
          <w:p w14:paraId="4562FB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 кг</w:t>
            </w:r>
          </w:p>
        </w:tc>
      </w:tr>
      <w:tr w:rsidR="000F5689" w:rsidRPr="00925F26" w14:paraId="5413737A" w14:textId="77777777">
        <w:tc>
          <w:tcPr>
            <w:tcW w:w="5636" w:type="dxa"/>
          </w:tcPr>
          <w:p w14:paraId="422A31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5636" w:type="dxa"/>
          </w:tcPr>
          <w:p w14:paraId="67A8DC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 кг</w:t>
            </w:r>
          </w:p>
        </w:tc>
      </w:tr>
      <w:tr w:rsidR="000F5689" w:rsidRPr="00925F26" w14:paraId="0DEA7353" w14:textId="77777777">
        <w:tc>
          <w:tcPr>
            <w:tcW w:w="5636" w:type="dxa"/>
          </w:tcPr>
          <w:p w14:paraId="0941F3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полетный вес:</w:t>
            </w:r>
          </w:p>
        </w:tc>
        <w:tc>
          <w:tcPr>
            <w:tcW w:w="5636" w:type="dxa"/>
          </w:tcPr>
          <w:p w14:paraId="423888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17437 кг</w:t>
            </w:r>
          </w:p>
        </w:tc>
      </w:tr>
    </w:tbl>
    <w:p w14:paraId="7656EE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Старт.</w:t>
      </w:r>
    </w:p>
    <w:p w14:paraId="000C4D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Старт производился с бетонной дорожки длиной - 1174 м аэродрома завода N 39. Аэродром допускает взлет с большими полетными весами только в одну сторону. Замер разбега самолета не производился, но по моему глазомерному определению был около 1000 м. Условия старта: ветер - 5-6 м в секунду, Т воз. +5, давления - 730 мм.</w:t>
      </w:r>
    </w:p>
    <w:p w14:paraId="72FE8E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w:t>
      </w:r>
    </w:p>
    <w:p w14:paraId="2AB013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Имевшийся на борту запас горючего распределяется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F5689" w:rsidRPr="00925F26" w14:paraId="4F207D68" w14:textId="77777777">
        <w:tc>
          <w:tcPr>
            <w:tcW w:w="5636" w:type="dxa"/>
          </w:tcPr>
          <w:p w14:paraId="3FE3B1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плоскостные баки (включая центроплан)</w:t>
            </w:r>
          </w:p>
        </w:tc>
        <w:tc>
          <w:tcPr>
            <w:tcW w:w="5636" w:type="dxa"/>
          </w:tcPr>
          <w:p w14:paraId="1D187A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3690 кг</w:t>
            </w:r>
          </w:p>
        </w:tc>
      </w:tr>
      <w:tr w:rsidR="000F5689" w:rsidRPr="00925F26" w14:paraId="399A9632" w14:textId="77777777">
        <w:tc>
          <w:tcPr>
            <w:tcW w:w="5636" w:type="dxa"/>
          </w:tcPr>
          <w:p w14:paraId="2C77D0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мотогондольные баки (так наз. 6-е баки)</w:t>
            </w:r>
          </w:p>
        </w:tc>
        <w:tc>
          <w:tcPr>
            <w:tcW w:w="5636" w:type="dxa"/>
          </w:tcPr>
          <w:p w14:paraId="0B904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 кг</w:t>
            </w:r>
          </w:p>
        </w:tc>
      </w:tr>
      <w:tr w:rsidR="000F5689" w:rsidRPr="00925F26" w14:paraId="7484D32D" w14:textId="77777777">
        <w:tc>
          <w:tcPr>
            <w:tcW w:w="5636" w:type="dxa"/>
          </w:tcPr>
          <w:p w14:paraId="7A80C9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верхний гаргротный бак (Первый бак)</w:t>
            </w:r>
          </w:p>
        </w:tc>
        <w:tc>
          <w:tcPr>
            <w:tcW w:w="5636" w:type="dxa"/>
          </w:tcPr>
          <w:p w14:paraId="39BBCB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 кг</w:t>
            </w:r>
          </w:p>
        </w:tc>
      </w:tr>
      <w:tr w:rsidR="000F5689" w:rsidRPr="00925F26" w14:paraId="1CFB47CC" w14:textId="77777777">
        <w:tc>
          <w:tcPr>
            <w:tcW w:w="5636" w:type="dxa"/>
          </w:tcPr>
          <w:p w14:paraId="26A64F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5636" w:type="dxa"/>
          </w:tcPr>
          <w:p w14:paraId="553CEA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5030 кг</w:t>
            </w:r>
          </w:p>
        </w:tc>
      </w:tr>
    </w:tbl>
    <w:p w14:paraId="6EFE26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Порядок расходования горючего предусматривает предварительную в течение 5-6 часов выработку плоскостных и центропланных баков, которые затем дополняются путем перекачки туда горючего из мотогондольных баков. И только после их израсходования почти на сухую включается верхний гаргротный бак. Расходование в таком порядке топлива всегда с достаточной точностью ориентирует пилота, на какое время пребывания в воздухе он должен рассчитывать.</w:t>
      </w:r>
    </w:p>
    <w:p w14:paraId="2727B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данном полете в течение 13 часов расходовались плоскостные и мотогондольные баки. Через 13 часов полета самолет находился в районе Арзамаса, то есть на расстоянии около 400 км от Москвы и было совершено ясно, что горючего </w:t>
      </w:r>
      <w:proofErr w:type="gramStart"/>
      <w:r w:rsidRPr="00925F26">
        <w:rPr>
          <w:color w:val="000000" w:themeColor="text1"/>
          <w:sz w:val="16"/>
          <w:szCs w:val="16"/>
        </w:rPr>
        <w:t>больше</w:t>
      </w:r>
      <w:proofErr w:type="gramEnd"/>
      <w:r w:rsidRPr="00925F26">
        <w:rPr>
          <w:color w:val="000000" w:themeColor="text1"/>
          <w:sz w:val="16"/>
          <w:szCs w:val="16"/>
        </w:rPr>
        <w:t xml:space="preserve"> чем достаточно. И </w:t>
      </w:r>
      <w:proofErr w:type="gramStart"/>
      <w:r w:rsidRPr="00925F26">
        <w:rPr>
          <w:color w:val="000000" w:themeColor="text1"/>
          <w:sz w:val="16"/>
          <w:szCs w:val="16"/>
        </w:rPr>
        <w:t>по этому</w:t>
      </w:r>
      <w:proofErr w:type="gramEnd"/>
      <w:r w:rsidRPr="00925F26">
        <w:rPr>
          <w:color w:val="000000" w:themeColor="text1"/>
          <w:sz w:val="16"/>
          <w:szCs w:val="16"/>
        </w:rPr>
        <w:t xml:space="preserve"> так и не дождавшись полной выработки плоскостных и мотогондольных баков включил верхний гаргротный бак. В Москве было слито горючего 475 кг.</w:t>
      </w:r>
    </w:p>
    <w:p w14:paraId="396F94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Таким путем общий расход горючего за полет равен 4556 кг. В эту цифру входят прогрев моторов, выруливание, старт и 45 - минутное ожидание в воздухе разрешения произвести посадку на Центральном аэродроме ВВС в Москве.</w:t>
      </w:r>
    </w:p>
    <w:p w14:paraId="08901A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Общее время пребывания самолета в воздухе - 15 час. 15 мин. из них на курсе 14 час. 30 мин.</w:t>
      </w:r>
    </w:p>
    <w:p w14:paraId="1B66E7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Среднечасовой расход топлива - 298 кг на оба мотора в час.</w:t>
      </w:r>
    </w:p>
    <w:p w14:paraId="55BD5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Исключая случайное и не характерное ожидание в течение 45 минут разрешения на посадку, стоявшая 220 кг горючего следует считать общий расход на совершение перелета - 4336 кг.</w:t>
      </w:r>
    </w:p>
    <w:p w14:paraId="5C3234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Протяженность маршрута 4540 км, следовательно расход на один км пути - 0955 кг/км.</w:t>
      </w:r>
    </w:p>
    <w:p w14:paraId="0D251E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Всегда господствующий при полете с востока на запад встречные ветры в данном полете, составлявшие в среднем не менее 40 км </w:t>
      </w:r>
      <w:proofErr w:type="gramStart"/>
      <w:r w:rsidRPr="00925F26">
        <w:rPr>
          <w:color w:val="000000" w:themeColor="text1"/>
          <w:sz w:val="16"/>
          <w:szCs w:val="16"/>
        </w:rPr>
        <w:t>в час</w:t>
      </w:r>
      <w:proofErr w:type="gramEnd"/>
      <w:r w:rsidRPr="00925F26">
        <w:rPr>
          <w:color w:val="000000" w:themeColor="text1"/>
          <w:sz w:val="16"/>
          <w:szCs w:val="16"/>
        </w:rPr>
        <w:t xml:space="preserve"> повысили удельный расход горючего на 11,5%.</w:t>
      </w:r>
    </w:p>
    <w:p w14:paraId="641B4283"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Следовательно</w:t>
      </w:r>
      <w:proofErr w:type="gramEnd"/>
      <w:r w:rsidRPr="00925F26">
        <w:rPr>
          <w:color w:val="000000" w:themeColor="text1"/>
          <w:sz w:val="16"/>
          <w:szCs w:val="16"/>
        </w:rPr>
        <w:t xml:space="preserve"> приведенный к безветрию расход горючего будет равен 0,850 кг/км.</w:t>
      </w:r>
    </w:p>
    <w:p w14:paraId="04D383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p w14:paraId="416C16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запасе горючего на борту - 5030 кг, вычитая не сливаемый остаток в баках и отстойниках в 150 кг имеем расходное количество - 4880 кг.</w:t>
      </w:r>
    </w:p>
    <w:p w14:paraId="6A9C2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Следовательно техническая дальность самолета при штиле равна - 5750 км, отсюда эксплуатационная дальность, включая 20% навигационный запас горючего будет - 4800 км.</w:t>
      </w:r>
    </w:p>
    <w:p w14:paraId="030DAD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Заправка горючим произведена заводом N 39 тракторным керосином из последней полученной партии, обладающий какими-то примесями, по-видимому остатками земли фильтров нефтеперегонных заводов. Даже 5-ти кратная фильтрация через шелковые фильтры не избавило горючее от этой примеси. Представитель завода 500 т ТАТКО с моего согласия счел нужным для этого сорта топлива, а другого более чистого на заводе не было, снять шелковую ткань с топливных фильтров, оставив только металлическую репсовую сетку, полагая, что остатки </w:t>
      </w:r>
      <w:proofErr w:type="gramStart"/>
      <w:r w:rsidRPr="00925F26">
        <w:rPr>
          <w:color w:val="000000" w:themeColor="text1"/>
          <w:sz w:val="16"/>
          <w:szCs w:val="16"/>
        </w:rPr>
        <w:t>земли</w:t>
      </w:r>
      <w:proofErr w:type="gramEnd"/>
      <w:r w:rsidRPr="00925F26">
        <w:rPr>
          <w:color w:val="000000" w:themeColor="text1"/>
          <w:sz w:val="16"/>
          <w:szCs w:val="16"/>
        </w:rPr>
        <w:t xml:space="preserve"> прошедшие через пять шелковых фильтров не могут повлиять на работу топливной системы. Дальнейшее показало правильность его суждения.</w:t>
      </w:r>
    </w:p>
    <w:p w14:paraId="3EB570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Масло.</w:t>
      </w:r>
    </w:p>
    <w:p w14:paraId="519FD9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контрольных полетах на заводе было установлено, что без выброса масла </w:t>
      </w:r>
      <w:proofErr w:type="gramStart"/>
      <w:r w:rsidRPr="00925F26">
        <w:rPr>
          <w:color w:val="000000" w:themeColor="text1"/>
          <w:sz w:val="16"/>
          <w:szCs w:val="16"/>
        </w:rPr>
        <w:t>через суфлеры</w:t>
      </w:r>
      <w:proofErr w:type="gramEnd"/>
      <w:r w:rsidRPr="00925F26">
        <w:rPr>
          <w:color w:val="000000" w:themeColor="text1"/>
          <w:sz w:val="16"/>
          <w:szCs w:val="16"/>
        </w:rPr>
        <w:t xml:space="preserve"> маслобаков можно заливать не более чем по 210 кг в каждый бак. Результаты контрольного полета продолжительностью 3 час. 15 мин. показали расход масла 7,5 кг в час на каждый мотор, тем не менее для большей гарантии было решено взять в полет 60 кг масла в 3-х бидонах. Маслосистема моторов предусматривает возможность подкачки масла в полете. Бортмехаником Заболуевым было занято в полете по 10 кг масла в мотор, не столько для увеличения количества масла в баках, так как показание приборов были совершенно нормальными, сколько для проверки удобства пользования этим приспособлением в воздухе. После полета с левого мотора было слито 40 кг масла, а из правого 58 кг масла.</w:t>
      </w:r>
    </w:p>
    <w:p w14:paraId="7C5AD4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Таким путем часовой расход масла на левый мотор равен 11,8 кг в час и для правого мотора - 10,6 кг в час.</w:t>
      </w:r>
    </w:p>
    <w:p w14:paraId="438AE4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Этот несколько повышенный расход </w:t>
      </w:r>
      <w:proofErr w:type="gramStart"/>
      <w:r w:rsidRPr="00925F26">
        <w:rPr>
          <w:color w:val="000000" w:themeColor="text1"/>
          <w:sz w:val="16"/>
          <w:szCs w:val="16"/>
        </w:rPr>
        <w:t>масла по-видимому</w:t>
      </w:r>
      <w:proofErr w:type="gramEnd"/>
      <w:r w:rsidRPr="00925F26">
        <w:rPr>
          <w:color w:val="000000" w:themeColor="text1"/>
          <w:sz w:val="16"/>
          <w:szCs w:val="16"/>
        </w:rPr>
        <w:t xml:space="preserve"> вызван применением масла МЗС - регенирированного (лучшее что можно было найти в Иркутске в то время) ТАТКО считал уже своевременным по причине теплой погоды переходить на масло МС.</w:t>
      </w:r>
    </w:p>
    <w:p w14:paraId="42611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Перед моим отъездом в г. Иркутск нарком Шахурин дал указание заводу установить непредусмотренные в чертежах, по моей просьбе, дополнительный топливный бак и ручной насос для подкачки масла в полете, что заводом и было выполнено. 1 и 15 апреля произвел контрольные полеты, после чего машина была окрашена и 7 апреля подготовлена к перелету и оформлена передача самолета экипажу. Ожидания разрешения на вылет потребовало 9-ти дней, что не соответствовало ни действительным условиям погода, ни техническим возможностям самолета ЕР-2. Поддержания самолета с состоянии почти полной готовности в течение 9-ти дней изматывало экипаж и конечно, вредно отражалось на матчасти (самолет стоял все время под полной загрузкой и моторы бесконечное число раз запускались и прогревались на земле). поэтому счел нужным сделать еще раз контрольный полет для поверки материальной части в воздухе, что и выполнил 16 апреля. Поверка показала полную исправность работы агрегатов. С руководством завода и директором завода Абрамовым работал совершенно согласовано и получал от него удовлетворение всех моих пожеланий. 17 апреля получил долгожданное получение на вылет и в 1 час 15 мин. по Московскому времени вылетел в Москву. профиль полета рассчитанный и действительно выполненный прилагаю. Набор высоты до 5700 м в районе Свердловска вызван пересечением мощного фронта с обледенением. В течение всего времени полета был включен автопилот, работа которого была совершенно безупречная.</w:t>
      </w:r>
    </w:p>
    <w:p w14:paraId="211C1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Расходомеры "РСТ" были также включены в течение всего полета: правый работал хорошо, левый давал преуменьшенные колеблющие показания.</w:t>
      </w:r>
    </w:p>
    <w:p w14:paraId="4EF0DB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Весь полет моторы эксплуатировались на мощности 75% номинальной на 1720 оборотах.</w:t>
      </w:r>
    </w:p>
    <w:p w14:paraId="091D9B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Самолет ЕР-2 "ОН" по сравнению с серийным самолетом отличается лучшей продольной устойчивостью (</w:t>
      </w:r>
      <w:proofErr w:type="gramStart"/>
      <w:r w:rsidRPr="00925F26">
        <w:rPr>
          <w:color w:val="000000" w:themeColor="text1"/>
          <w:sz w:val="16"/>
          <w:szCs w:val="16"/>
        </w:rPr>
        <w:t>по-видимому</w:t>
      </w:r>
      <w:proofErr w:type="gramEnd"/>
      <w:r w:rsidRPr="00925F26">
        <w:rPr>
          <w:color w:val="000000" w:themeColor="text1"/>
          <w:sz w:val="16"/>
          <w:szCs w:val="16"/>
        </w:rPr>
        <w:t xml:space="preserve"> за счет более передней центровки). одновременно эта же передняя центровка при пустой пассажирской кабине и не значительном количестве горючего затрудняет трехточечную посадку. Необходимо штурмана и радиста перед посадкой отправлять в пассажирскую кабину, возможно ближе к хвосту. точного определения скорости самолета в Иркутск установить не представляется возможным, но ориентировочно на основании контрольных полетов, полагаю увеличение скорости на 15-20 км в час. если в перелете при встречном ветре средняя крейсерская скорость на маршруте была равной 312 км/час при встречном ветре силы 40 км/час. Следовательно крейсерская скорость в обычных условиях будет не менее 355 км/час при 75% номинальной мощности моторов.</w:t>
      </w:r>
    </w:p>
    <w:p w14:paraId="4FE2F6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Самолет очень прост, хорош и приятен в управлении, как для </w:t>
      </w:r>
      <w:proofErr w:type="gramStart"/>
      <w:r w:rsidRPr="00925F26">
        <w:rPr>
          <w:color w:val="000000" w:themeColor="text1"/>
          <w:sz w:val="16"/>
          <w:szCs w:val="16"/>
        </w:rPr>
        <w:t>дневных</w:t>
      </w:r>
      <w:proofErr w:type="gramEnd"/>
      <w:r w:rsidRPr="00925F26">
        <w:rPr>
          <w:color w:val="000000" w:themeColor="text1"/>
          <w:sz w:val="16"/>
          <w:szCs w:val="16"/>
        </w:rPr>
        <w:t xml:space="preserve"> так и ночных полетов. после установки на нем моторов АЧ-30БФ (форсированных) считаю возможным производить ночные взлеты на обычных аэродромах с полетным весом 18 тонн.</w:t>
      </w:r>
    </w:p>
    <w:p w14:paraId="51189D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Перелет Иркутск - Москва был совершен экипажем в составе 5-ти человек: меня - как командира и 1-го пилота, 2-го пилота капитана Трифонова, штурмана майора Колесниченко, бортмеханика (от завода N 134) Заболуева и старшины бортрадиста Передня.</w:t>
      </w:r>
    </w:p>
    <w:p w14:paraId="3859F0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Отмечаю всемерную помощь со стороны директора завода Абрамова и особенно длительное участие в подготовке представителя завода N 500 ТАТКО, в то время находившегося в Иркутске. Обслуживание самолета на заводе N 39 проводила бригада механика Токарева. Синоптическое обслуживание проводила синоптик Нестерова (1310,198).</w:t>
      </w:r>
    </w:p>
    <w:p w14:paraId="6D6A2253" w14:textId="77777777" w:rsidR="00665165" w:rsidRPr="00925F26" w:rsidRDefault="00665165" w:rsidP="00925F26">
      <w:pPr>
        <w:autoSpaceDE w:val="0"/>
        <w:autoSpaceDN w:val="0"/>
        <w:adjustRightInd w:val="0"/>
        <w:jc w:val="both"/>
        <w:rPr>
          <w:color w:val="000000" w:themeColor="text1"/>
          <w:sz w:val="16"/>
          <w:szCs w:val="16"/>
        </w:rPr>
      </w:pPr>
    </w:p>
    <w:p w14:paraId="1BB3AC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г. Ер-2ОН с доработанными дизелями АЧ-30Б под управлением л А.Д.Алексеева совершил успешный перелет из Иркутска в Москву протяженностью 5350 км, затратив на это 15 ч. 30 мин. (8984).</w:t>
      </w:r>
    </w:p>
    <w:p w14:paraId="57000980" w14:textId="77777777" w:rsidR="00665165" w:rsidRPr="00925F26" w:rsidRDefault="00665165" w:rsidP="00925F26">
      <w:pPr>
        <w:autoSpaceDE w:val="0"/>
        <w:autoSpaceDN w:val="0"/>
        <w:adjustRightInd w:val="0"/>
        <w:jc w:val="both"/>
        <w:rPr>
          <w:color w:val="000000" w:themeColor="text1"/>
          <w:sz w:val="16"/>
          <w:szCs w:val="16"/>
        </w:rPr>
      </w:pPr>
    </w:p>
    <w:p w14:paraId="3779580E" w14:textId="77777777" w:rsidR="001438DF" w:rsidRPr="00925F26" w:rsidRDefault="001438DF" w:rsidP="00925F26">
      <w:pPr>
        <w:jc w:val="both"/>
        <w:rPr>
          <w:color w:val="000000" w:themeColor="text1"/>
          <w:sz w:val="16"/>
          <w:szCs w:val="16"/>
        </w:rPr>
      </w:pPr>
      <w:r w:rsidRPr="00925F26">
        <w:rPr>
          <w:color w:val="000000" w:themeColor="text1"/>
          <w:sz w:val="16"/>
          <w:szCs w:val="16"/>
        </w:rPr>
        <w:t>16 апреля в 1945 году первый «Ер-20Н» под управлением пилота А.И.Алексеева совершил успешный беспосадочный перелет из Иркутска в Москву, затратив 15 ч. 30 мин. Вторая такая машина в конце апреля проходила летные испытания. Летными испытаниями было установлено, что самолет мог лететь со скоростью 435 километров в час, покрывая без посадки расстояние в 5200 километров. Высота полета составляла 6000 метров. Самолет малой серией должен был строиться в Иркутске (15101).</w:t>
      </w:r>
    </w:p>
    <w:p w14:paraId="4533E1C9" w14:textId="77777777" w:rsidR="001438DF" w:rsidRPr="00925F26" w:rsidRDefault="001438DF" w:rsidP="00925F26">
      <w:pPr>
        <w:jc w:val="both"/>
        <w:rPr>
          <w:color w:val="000000" w:themeColor="text1"/>
          <w:sz w:val="16"/>
          <w:szCs w:val="16"/>
        </w:rPr>
      </w:pPr>
    </w:p>
    <w:p w14:paraId="7269A78B" w14:textId="77777777" w:rsidR="001438DF" w:rsidRPr="00925F26" w:rsidRDefault="001438DF" w:rsidP="00925F26">
      <w:pPr>
        <w:pStyle w:val="a3"/>
        <w:rPr>
          <w:color w:val="000000" w:themeColor="text1"/>
          <w:lang w:val="ru-RU"/>
        </w:rPr>
      </w:pPr>
      <w:r w:rsidRPr="00925F26">
        <w:rPr>
          <w:color w:val="000000" w:themeColor="text1"/>
          <w:lang w:val="ru-RU"/>
        </w:rPr>
        <w:t>16 апреля 1945 г. после завершения заводских испытаний, лётчик-испытатель А.Д. Алексеев осуществил беспосадочный перелёт по маршруту Иркутск-Москва, затратив 15 час 30 мин. (15810).</w:t>
      </w:r>
    </w:p>
    <w:p w14:paraId="5A4D834B" w14:textId="77777777" w:rsidR="001438DF" w:rsidRPr="00925F26" w:rsidRDefault="001438DF" w:rsidP="00925F26">
      <w:pPr>
        <w:pStyle w:val="a3"/>
        <w:rPr>
          <w:color w:val="000000" w:themeColor="text1"/>
          <w:lang w:val="ru-RU"/>
        </w:rPr>
      </w:pPr>
    </w:p>
    <w:p w14:paraId="6AB2C1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закончились работы по вывозу оборудования с немецкого завода самолетных агрегатов в г. Торн СССР на завод 485 в Киеве (1874,13).</w:t>
      </w:r>
    </w:p>
    <w:p w14:paraId="66B8B20A" w14:textId="77777777" w:rsidR="00665165" w:rsidRPr="00925F26" w:rsidRDefault="00665165" w:rsidP="00925F26">
      <w:pPr>
        <w:autoSpaceDE w:val="0"/>
        <w:autoSpaceDN w:val="0"/>
        <w:adjustRightInd w:val="0"/>
        <w:jc w:val="both"/>
        <w:rPr>
          <w:color w:val="000000" w:themeColor="text1"/>
          <w:sz w:val="16"/>
          <w:szCs w:val="16"/>
        </w:rPr>
      </w:pPr>
    </w:p>
    <w:p w14:paraId="569305B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14F46BF" w14:textId="77777777" w:rsidR="00665165" w:rsidRPr="00925F26" w:rsidRDefault="00665165" w:rsidP="00925F26">
      <w:pPr>
        <w:autoSpaceDE w:val="0"/>
        <w:autoSpaceDN w:val="0"/>
        <w:adjustRightInd w:val="0"/>
        <w:jc w:val="both"/>
        <w:rPr>
          <w:iCs/>
          <w:color w:val="000000" w:themeColor="text1"/>
          <w:sz w:val="16"/>
          <w:szCs w:val="16"/>
        </w:rPr>
      </w:pPr>
    </w:p>
    <w:p w14:paraId="395A04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апреля 1945 г. была подготовлена ДОКЛАДНАЯ ЗАПИСКА НАЧАЛЬНИКА НИБТ ПОЛИГОНА ЗАМЕСТИТЕЛЮ НАЧАЛЬНИКА ГБТУ КА О ПОДГОТОВКЕ СРАВНИТЕЛЬНЫХ ИСПЫТАНИЙ БРОНЕБОЙНЫХ СНАРЯДОВ № 0664</w:t>
      </w:r>
    </w:p>
    <w:p w14:paraId="4D6F3B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Доношу, что для обеспечения программы сравнительных испытаний бронебойных снарядов НИБТ полигон имеет все артиллерийские системы и выстрелы к ним, за исключением: 1. 100-мм бронебойно-трассирующих снарядов (чертеж 3165) — 30шт.</w:t>
      </w:r>
    </w:p>
    <w:p w14:paraId="3F3910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122-мм бронебойно-трассирующих снарядов (чертеж №3067) — 200 шт.</w:t>
      </w:r>
    </w:p>
    <w:p w14:paraId="0B3CDF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122-мм бронебойно-трассирующих снарядов (чертеж №3164) — 30 шт. Недостающие выстрелы должны быть доставлены Софринским полигоном АКБ СССР. Из требуемых для проведения испытаний бронекорпусов трофейных танков полигону недостает следующее количество:</w:t>
      </w:r>
    </w:p>
    <w:p w14:paraId="394C33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Танк Тигр — Н — 3 корпуса.</w:t>
      </w:r>
    </w:p>
    <w:p w14:paraId="3B6811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Танк Тигр — В — 1 корпус.</w:t>
      </w:r>
    </w:p>
    <w:p w14:paraId="2261F9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Представителями полигона в период февраля-марта месяцев были подготовлены к отправке со станции Золочев и Сборов: танков Пантера — 10 шт. и один танк «Тигр Н». Однако отправка указан</w:t>
      </w:r>
      <w:r w:rsidRPr="00925F26">
        <w:rPr>
          <w:color w:val="000000" w:themeColor="text1"/>
          <w:sz w:val="16"/>
          <w:szCs w:val="16"/>
        </w:rPr>
        <w:softHyphen/>
        <w:t>ных танков в адрес полигона не произведена из-за неподачи подвижного состава.</w:t>
      </w:r>
    </w:p>
    <w:p w14:paraId="23ABD5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Прошу Ваших указаний по вопросу обеспечения программы испытаний недостающими </w:t>
      </w:r>
      <w:proofErr w:type="gramStart"/>
      <w:r w:rsidRPr="00925F26">
        <w:rPr>
          <w:color w:val="000000" w:themeColor="text1"/>
          <w:sz w:val="16"/>
          <w:szCs w:val="16"/>
        </w:rPr>
        <w:t>броне-корпусами</w:t>
      </w:r>
      <w:proofErr w:type="gramEnd"/>
      <w:r w:rsidRPr="00925F26">
        <w:rPr>
          <w:color w:val="000000" w:themeColor="text1"/>
          <w:sz w:val="16"/>
          <w:szCs w:val="16"/>
        </w:rPr>
        <w:t xml:space="preserve"> трофейных танков Тигр Н и Пантера.</w:t>
      </w:r>
    </w:p>
    <w:p w14:paraId="121800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НИБТ полигона генерал-майор танковых войск Романов</w:t>
      </w:r>
    </w:p>
    <w:p w14:paraId="3DDDC6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11369. Д. 510. Л. 4. Подлинник (11420).</w:t>
      </w:r>
    </w:p>
    <w:p w14:paraId="000F7A0A" w14:textId="77777777" w:rsidR="00665165" w:rsidRPr="00925F26" w:rsidRDefault="00665165" w:rsidP="00925F26">
      <w:pPr>
        <w:autoSpaceDE w:val="0"/>
        <w:autoSpaceDN w:val="0"/>
        <w:adjustRightInd w:val="0"/>
        <w:jc w:val="both"/>
        <w:rPr>
          <w:color w:val="000000" w:themeColor="text1"/>
          <w:sz w:val="16"/>
          <w:szCs w:val="16"/>
        </w:rPr>
      </w:pPr>
    </w:p>
    <w:p w14:paraId="6CC9711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апреля 1945 вышло Распоряжение ГКО № 8557 [О выделении нефти Орскому горисполкому для проведения противомалярийных мероприятий в городе и прилегающих районах.] (7339, 68).</w:t>
      </w:r>
    </w:p>
    <w:p w14:paraId="0704D76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C758C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DA51757" w14:textId="77777777" w:rsidR="00665165" w:rsidRPr="00925F26" w:rsidRDefault="00665165" w:rsidP="00925F26">
      <w:pPr>
        <w:autoSpaceDE w:val="0"/>
        <w:autoSpaceDN w:val="0"/>
        <w:adjustRightInd w:val="0"/>
        <w:jc w:val="both"/>
        <w:rPr>
          <w:iCs/>
          <w:color w:val="000000" w:themeColor="text1"/>
          <w:sz w:val="16"/>
          <w:szCs w:val="16"/>
        </w:rPr>
      </w:pPr>
    </w:p>
    <w:p w14:paraId="417D5107" w14:textId="77777777" w:rsidR="00DF2E46" w:rsidRPr="00925F26" w:rsidRDefault="00DF2E46" w:rsidP="00925F26">
      <w:pPr>
        <w:jc w:val="both"/>
        <w:rPr>
          <w:color w:val="000000" w:themeColor="text1"/>
          <w:sz w:val="16"/>
          <w:szCs w:val="16"/>
        </w:rPr>
      </w:pPr>
      <w:r w:rsidRPr="00925F26">
        <w:rPr>
          <w:color w:val="000000" w:themeColor="text1"/>
          <w:sz w:val="16"/>
          <w:szCs w:val="16"/>
        </w:rPr>
        <w:t>16 апреля в 1945 году оперативная сводка Совинформбюро:</w:t>
      </w:r>
    </w:p>
    <w:p w14:paraId="7F9A4D16" w14:textId="77777777" w:rsidR="00DF2E46" w:rsidRPr="00925F26" w:rsidRDefault="00DF2E46" w:rsidP="00925F26">
      <w:pPr>
        <w:jc w:val="both"/>
        <w:rPr>
          <w:color w:val="000000" w:themeColor="text1"/>
          <w:sz w:val="16"/>
          <w:szCs w:val="16"/>
        </w:rPr>
      </w:pPr>
      <w:r w:rsidRPr="00925F26">
        <w:rPr>
          <w:color w:val="000000" w:themeColor="text1"/>
          <w:sz w:val="16"/>
          <w:szCs w:val="16"/>
        </w:rPr>
        <w:t>«В течение 16 апреля на Земландском полуострове северо-западнее и западнее Кенигсберга войска 3-го Белорусского фронта, продолжая наступление, с боями заняли более 40 населённых пунктов, в том числе Гермау, Повайен, Ротенен, Зальтникен, Годникен, Бонду, Каллен, Гайдау, Гросс-Блюменау, Форкен, Коббельбуде. По уточнённым данным, за 15 апреля войска фронта взяли в плен не 3.000, а более 6.600 немецких солдат и офицеров и захватили следующие трофеи: самолётов — 50, полевых орудий — 110, пулемётов — 295.</w:t>
      </w:r>
    </w:p>
    <w:p w14:paraId="5D8C3323" w14:textId="77777777" w:rsidR="00DF2E46" w:rsidRPr="00925F26" w:rsidRDefault="00DF2E46" w:rsidP="00925F26">
      <w:pPr>
        <w:jc w:val="both"/>
        <w:rPr>
          <w:color w:val="000000" w:themeColor="text1"/>
          <w:sz w:val="16"/>
          <w:szCs w:val="16"/>
        </w:rPr>
      </w:pPr>
      <w:r w:rsidRPr="00925F26">
        <w:rPr>
          <w:color w:val="000000" w:themeColor="text1"/>
          <w:sz w:val="16"/>
          <w:szCs w:val="16"/>
        </w:rPr>
        <w:t>На территории Чехословакии войска 2-го Украинского фронта, преодолевая сопротивление противника, с боем овладели городом Бржеслав; заняты также населённые пункты Новая Лгота, Велка, Липов, Шардице, Товораны, Чейч, Брумовице, Горные Бояновице, Старовичкы, Заечи, Раквице. Севернее Вены войска фронта с боями заняли на территории Австрии населённые пункты Гавайнсталь, Траунфельд, Шлейнбах, Манхартсбрун, Штеттен, Цеобендорф.</w:t>
      </w:r>
    </w:p>
    <w:p w14:paraId="6692A027" w14:textId="77777777" w:rsidR="00DF2E46" w:rsidRPr="00925F26" w:rsidRDefault="00DF2E46" w:rsidP="00925F26">
      <w:pPr>
        <w:jc w:val="both"/>
        <w:rPr>
          <w:color w:val="000000" w:themeColor="text1"/>
          <w:sz w:val="16"/>
          <w:szCs w:val="16"/>
        </w:rPr>
      </w:pPr>
      <w:r w:rsidRPr="00925F26">
        <w:rPr>
          <w:color w:val="000000" w:themeColor="text1"/>
          <w:sz w:val="16"/>
          <w:szCs w:val="16"/>
        </w:rPr>
        <w:t>Западнее Вены войска 3-го Украинского фронта, наступая по южному берегу Дуная, заняли на территории Австрии более 30 населённых пунктов и среди них Ваграм, Нуфсдорф, Клейн-Руст, Обер-Мамау, Витцендорф, Шзадорф. Одновременно восточнее города Грац войска фронта с боем заняли город Фюрстенфельд. В боях за 15 апреля войска фронта взяли в плен более 2.000 немецких солдат и офицеров и захватили следующие трофеи: танков и самоходных орудий — 98, полевых орудий — 93, миномётов — 183, пулемётов — 337, автомашин — 826, железнодорожных вагонов со снарядами — 600, складов с военным имуществом — 10.</w:t>
      </w:r>
    </w:p>
    <w:p w14:paraId="2216DB3A" w14:textId="77777777" w:rsidR="00DF2E46" w:rsidRPr="00925F26" w:rsidRDefault="00DF2E46" w:rsidP="00925F26">
      <w:pPr>
        <w:jc w:val="both"/>
        <w:rPr>
          <w:color w:val="000000" w:themeColor="text1"/>
          <w:sz w:val="16"/>
          <w:szCs w:val="16"/>
        </w:rPr>
      </w:pPr>
      <w:r w:rsidRPr="00925F26">
        <w:rPr>
          <w:color w:val="000000" w:themeColor="text1"/>
          <w:sz w:val="16"/>
          <w:szCs w:val="16"/>
        </w:rPr>
        <w:t>На остальных участках фронта — бои местного значения и поиски разведчиков.</w:t>
      </w:r>
    </w:p>
    <w:p w14:paraId="61E4F87D" w14:textId="77777777" w:rsidR="00DF2E46" w:rsidRPr="00925F26" w:rsidRDefault="00DF2E46" w:rsidP="00925F26">
      <w:pPr>
        <w:jc w:val="both"/>
        <w:rPr>
          <w:color w:val="000000" w:themeColor="text1"/>
          <w:sz w:val="16"/>
          <w:szCs w:val="16"/>
        </w:rPr>
      </w:pPr>
      <w:r w:rsidRPr="00925F26">
        <w:rPr>
          <w:color w:val="000000" w:themeColor="text1"/>
          <w:sz w:val="16"/>
          <w:szCs w:val="16"/>
        </w:rPr>
        <w:t>За 15 апреля на всех фронтах подбито и уничтожено 110 немецких танков и самоходных орудий. В воздушных боях и огнём зенитной артиллерии сбито 80 самолётов противника.</w:t>
      </w:r>
    </w:p>
    <w:p w14:paraId="281DCAFF" w14:textId="77777777" w:rsidR="00DF2E46" w:rsidRPr="00925F26" w:rsidRDefault="00DF2E46" w:rsidP="00925F26">
      <w:pPr>
        <w:jc w:val="both"/>
        <w:rPr>
          <w:color w:val="000000" w:themeColor="text1"/>
          <w:sz w:val="16"/>
          <w:szCs w:val="16"/>
        </w:rPr>
      </w:pPr>
      <w:r w:rsidRPr="00925F26">
        <w:rPr>
          <w:color w:val="000000" w:themeColor="text1"/>
          <w:sz w:val="16"/>
          <w:szCs w:val="16"/>
        </w:rPr>
        <w:t>На Земландском полуострове северо-западнее и западнее города Кенигсберга войска 3-го Белорусского фронта продолжали успешное наступление. Противник, прикрывая город Фишхаузен и порт Пиллау, оказывает упорное сопротивление. Советские пехотинцы и танкисты при мощной поддержке артиллерии прорвали оборону немцев, построенную вдоль линии железной дороги Фишхаузен — Пальмникен. Занят сильно укреплённый населённый пункт Годникен, находящийся в 7 километрах севернее Фиш-хаузена. Другие наши части ворвались в укрепления внешнего оборонительного обвода Фишхаузена и ведут бои северо-восточнее этого города. Войска фронта, наступающие вдоль северного побережья залива Фриш-Гаф, преодолев лесные завалы, инженерные и минные заграждения противника, очистили от гитлеровцев северо-восточную часть лесного массива. Наши танки, самоходные орудия и пехота, продвигаясь по трудно проходимой местности вдоль северного берега Кенигсбергского отводного канала, достигли восточного берега бухты Фишхаузенер Вик. Группа немецких войск, обороняющая мыс юго-восточнее города Фишхаузен, отрезана от своих основных сил и ликвидируется. На этом участке нашими войсками захвачено у немцев 7 танков, бронепоезд и 300 автомашин с различными военными грузами. За день боёв уничтожено до 6 тысяч немецких солдат и офицеров, сожжено и подбито 48 танков и самоходных орудий. Пленные сообщают, что в 83-м немецком пехотном полку осталось всего лишь 80 солдат. 123-й батальон морской пехоты полностью уничтожен, 62-й артиллерийский дивизион потерял всю свою материальную часть. Остатки разгромленной 561-й пехотной дивизии противника сведены в полк неполного состава.</w:t>
      </w:r>
    </w:p>
    <w:p w14:paraId="1A016E95" w14:textId="77777777" w:rsidR="00DF2E46" w:rsidRPr="00925F26" w:rsidRDefault="00DF2E46" w:rsidP="00925F26">
      <w:pPr>
        <w:jc w:val="both"/>
        <w:rPr>
          <w:color w:val="000000" w:themeColor="text1"/>
          <w:sz w:val="16"/>
          <w:szCs w:val="16"/>
        </w:rPr>
      </w:pPr>
      <w:r w:rsidRPr="00925F26">
        <w:rPr>
          <w:color w:val="000000" w:themeColor="text1"/>
          <w:sz w:val="16"/>
          <w:szCs w:val="16"/>
        </w:rPr>
        <w:t>Наша авиация непрерывно атакует боевые порядки и тылы немецких войск на Земландском полуострове. Дорога Фишхаузен — Пиллау, забитая тысячами автомашин и повозок, подвергается массированным ударам советских штурмовиков и бомбардировщиков. В воздушных боях сбито 4 и уничтожено на аэродромах 25 немецких самолётов.</w:t>
      </w:r>
    </w:p>
    <w:p w14:paraId="43FC0AB8" w14:textId="77777777" w:rsidR="00DF2E46" w:rsidRPr="00925F26" w:rsidRDefault="00DF2E46" w:rsidP="00925F26">
      <w:pPr>
        <w:jc w:val="both"/>
        <w:rPr>
          <w:color w:val="000000" w:themeColor="text1"/>
          <w:sz w:val="16"/>
          <w:szCs w:val="16"/>
        </w:rPr>
      </w:pPr>
      <w:r w:rsidRPr="00925F26">
        <w:rPr>
          <w:color w:val="000000" w:themeColor="text1"/>
          <w:sz w:val="16"/>
          <w:szCs w:val="16"/>
        </w:rPr>
        <w:t>На территории Чехословакии войска 2-го Украинского фронта продолжали наступле-ние. Ожесточённые бои произошли за город Бржеслав — важный опорный пункт обороны немцев на реке Дыйе. Противник усовершенствовал старые крепостные укрепления города и построил на подступах к нему большое число дотов и дзотов. Немцы подготовились к уличным боям, проделав в стенах домов бойницы для орудий и пулемётов. Преодолевая сопротивление противника, советские войска ворвались на северо-восточные окраины Бржеслава и завязали уличные бои. В это время другие наши части, продвигаясь вдоль заболоченного берега реки Дыйе, вышли к южным окраинам города. Немцы неоднократно переходили в контратаки, пытаясь оттеснить наши войска от города. Всю ночь шли упорные бои. Наши подразделения очистили от врага восточную часть города, а затем под прикрытием артиллерийского огня переправились через реку и штурмом овладели западной частью города.</w:t>
      </w:r>
    </w:p>
    <w:p w14:paraId="3733FE59" w14:textId="77777777" w:rsidR="00DF2E46" w:rsidRPr="00925F26" w:rsidRDefault="00DF2E46" w:rsidP="00925F26">
      <w:pPr>
        <w:jc w:val="both"/>
        <w:rPr>
          <w:color w:val="000000" w:themeColor="text1"/>
          <w:sz w:val="16"/>
          <w:szCs w:val="16"/>
        </w:rPr>
      </w:pPr>
      <w:r w:rsidRPr="00925F26">
        <w:rPr>
          <w:color w:val="000000" w:themeColor="text1"/>
          <w:sz w:val="16"/>
          <w:szCs w:val="16"/>
        </w:rPr>
        <w:lastRenderedPageBreak/>
        <w:t>Севернее Вены войска фронта с боями продвигались вперёд. Пытаясь остановить наши наступающие части, противник бросает в бой крупные силы танков. За день подбито и сожжено 39 немецких танков и самоходных орудий.</w:t>
      </w:r>
    </w:p>
    <w:p w14:paraId="60B17D70" w14:textId="77777777" w:rsidR="00DF2E46" w:rsidRPr="00925F26" w:rsidRDefault="00DF2E46" w:rsidP="00925F26">
      <w:pPr>
        <w:jc w:val="both"/>
        <w:rPr>
          <w:color w:val="000000" w:themeColor="text1"/>
          <w:sz w:val="16"/>
          <w:szCs w:val="16"/>
        </w:rPr>
      </w:pPr>
      <w:r w:rsidRPr="00925F26">
        <w:rPr>
          <w:color w:val="000000" w:themeColor="text1"/>
          <w:sz w:val="16"/>
          <w:szCs w:val="16"/>
        </w:rPr>
        <w:t>Советские воины в боях с врагом показывают примеры доблести и геройства.</w:t>
      </w:r>
    </w:p>
    <w:p w14:paraId="14261B1D" w14:textId="77777777" w:rsidR="00DF2E46" w:rsidRPr="00925F26" w:rsidRDefault="00DF2E46" w:rsidP="00925F26">
      <w:pPr>
        <w:jc w:val="both"/>
        <w:rPr>
          <w:color w:val="000000" w:themeColor="text1"/>
          <w:sz w:val="16"/>
          <w:szCs w:val="16"/>
        </w:rPr>
      </w:pPr>
      <w:r w:rsidRPr="00925F26">
        <w:rPr>
          <w:color w:val="000000" w:themeColor="text1"/>
          <w:sz w:val="16"/>
          <w:szCs w:val="16"/>
        </w:rPr>
        <w:t>Красноармеец Ладейщик первым ворвался в траншею противника и огнём из автомата уничтожил четырёх гитлеровцев. Остальные немецкие солдаты, оставив пулемёт, убежали. Командир отделения сержант Колякин гранатами уничтожил немецкий пулемёт вместе с расчётом. Бойцы отделения сержанта Колякина за день истребили 30 немецких солдат и офицеров. Пулемётчик красноармеец Кочмуратов, отражая вражескую контратаку, метким огнём уничтожил более 40 автоматчиков противника.</w:t>
      </w:r>
    </w:p>
    <w:p w14:paraId="14EAF0D1" w14:textId="77777777" w:rsidR="00DF2E46" w:rsidRPr="00925F26" w:rsidRDefault="00DF2E46" w:rsidP="00925F26">
      <w:pPr>
        <w:jc w:val="both"/>
        <w:rPr>
          <w:color w:val="000000" w:themeColor="text1"/>
          <w:sz w:val="16"/>
          <w:szCs w:val="16"/>
        </w:rPr>
      </w:pPr>
      <w:r w:rsidRPr="00925F26">
        <w:rPr>
          <w:color w:val="000000" w:themeColor="text1"/>
          <w:sz w:val="16"/>
          <w:szCs w:val="16"/>
        </w:rPr>
        <w:t>Западнее Вены войска 3-го Украинского фронта с боями продвигались по южному берегу Дуная. Советские части, овладевшие вчера породам Санкт-Пельтен, заняли ряд населённых пунктов. Восточнее города Грац наши войска, действующие в трудных условиях горно-лесистой местности, переправились через реку Лафнитц. Противник, опираясь на заранее подготовленный оборонительный рубеж на западном берегу реки, оказывал упорное сопротивление. Советские части прорвали оборону немцев и овладели городом Фюрстенфельд, находящимся в 45 километрах восточнее Граца.</w:t>
      </w:r>
    </w:p>
    <w:p w14:paraId="14254E21" w14:textId="77777777" w:rsidR="00DF2E46" w:rsidRPr="00925F26" w:rsidRDefault="00DF2E46" w:rsidP="00925F26">
      <w:pPr>
        <w:jc w:val="both"/>
        <w:rPr>
          <w:color w:val="000000" w:themeColor="text1"/>
          <w:sz w:val="16"/>
          <w:szCs w:val="16"/>
        </w:rPr>
      </w:pPr>
      <w:r w:rsidRPr="00925F26">
        <w:rPr>
          <w:color w:val="000000" w:themeColor="text1"/>
          <w:sz w:val="16"/>
          <w:szCs w:val="16"/>
        </w:rPr>
        <w:t>Берлинское радио сегодня передавало следующее сообщение: «В районе Фюрстенфельда германские войска снова добились полного успеха в обороне». В то время, когда передавалось это сообщение, немцы уже были выбиты из города Фюрстенфельда и под ударами советских войск отступали на запад.» (15101).</w:t>
      </w:r>
    </w:p>
    <w:p w14:paraId="76331769" w14:textId="77777777" w:rsidR="00DF2E46" w:rsidRPr="00925F26" w:rsidRDefault="00DF2E46" w:rsidP="00925F26">
      <w:pPr>
        <w:jc w:val="both"/>
        <w:rPr>
          <w:color w:val="000000" w:themeColor="text1"/>
          <w:sz w:val="16"/>
          <w:szCs w:val="16"/>
        </w:rPr>
      </w:pPr>
    </w:p>
    <w:p w14:paraId="211605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16 по 30 апреля 1945 лет</w:t>
      </w:r>
      <w:r w:rsidRPr="00925F26">
        <w:rPr>
          <w:color w:val="000000" w:themeColor="text1"/>
          <w:sz w:val="16"/>
          <w:szCs w:val="16"/>
        </w:rPr>
        <w:softHyphen/>
        <w:t>чиками 108-го гшап было уничтожено два и повреждено четыре немецких тан</w:t>
      </w:r>
      <w:r w:rsidRPr="00925F26">
        <w:rPr>
          <w:color w:val="000000" w:themeColor="text1"/>
          <w:sz w:val="16"/>
          <w:szCs w:val="16"/>
        </w:rPr>
        <w:softHyphen/>
        <w:t>ка, уничтожено четыре бронетранспор</w:t>
      </w:r>
      <w:r w:rsidRPr="00925F26">
        <w:rPr>
          <w:color w:val="000000" w:themeColor="text1"/>
          <w:sz w:val="16"/>
          <w:szCs w:val="16"/>
        </w:rPr>
        <w:softHyphen/>
        <w:t>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 Соглас</w:t>
      </w:r>
      <w:r w:rsidRPr="00925F26">
        <w:rPr>
          <w:color w:val="000000" w:themeColor="text1"/>
          <w:sz w:val="16"/>
          <w:szCs w:val="16"/>
        </w:rPr>
        <w:softHyphen/>
        <w:t>но официальным данным, безвозврат</w:t>
      </w:r>
      <w:r w:rsidRPr="00925F26">
        <w:rPr>
          <w:color w:val="000000" w:themeColor="text1"/>
          <w:sz w:val="16"/>
          <w:szCs w:val="16"/>
        </w:rPr>
        <w:softHyphen/>
        <w:t>ные боевые потери полка составили три самолета, из которых один был сбит ог</w:t>
      </w:r>
      <w:r w:rsidRPr="00925F26">
        <w:rPr>
          <w:color w:val="000000" w:themeColor="text1"/>
          <w:sz w:val="16"/>
          <w:szCs w:val="16"/>
        </w:rPr>
        <w:softHyphen/>
        <w:t>нем зенитной артиллерии противника и два - не вернулись с боевого задания. Погибли два летчика и четыре воздуш</w:t>
      </w:r>
      <w:r w:rsidRPr="00925F26">
        <w:rPr>
          <w:color w:val="000000" w:themeColor="text1"/>
          <w:sz w:val="16"/>
          <w:szCs w:val="16"/>
        </w:rPr>
        <w:softHyphen/>
        <w:t>ных стрелка. Кроме этого, от огня зенит</w:t>
      </w:r>
      <w:r w:rsidRPr="00925F26">
        <w:rPr>
          <w:color w:val="000000" w:themeColor="text1"/>
          <w:sz w:val="16"/>
          <w:szCs w:val="16"/>
        </w:rPr>
        <w:softHyphen/>
        <w:t>ной артиллерии получили повреждения семь машин. Небоевые потери - четыре штурмовика, из них три - из-за отказа мотора. Боевое использование штурмовика затруднялось низкой надежностью мо</w:t>
      </w:r>
      <w:r w:rsidRPr="00925F26">
        <w:rPr>
          <w:color w:val="000000" w:themeColor="text1"/>
          <w:sz w:val="16"/>
          <w:szCs w:val="16"/>
        </w:rPr>
        <w:softHyphen/>
        <w:t>тора АМ-42. Частый выход двигателей из строя вызывало отсутствие в системе забора воздуха противопыльного филь</w:t>
      </w:r>
      <w:r w:rsidRPr="00925F26">
        <w:rPr>
          <w:color w:val="000000" w:themeColor="text1"/>
          <w:sz w:val="16"/>
          <w:szCs w:val="16"/>
        </w:rPr>
        <w:softHyphen/>
        <w:t>тра. После подсыхания летного поля моторы, которые к этому времени нара</w:t>
      </w:r>
      <w:r w:rsidRPr="00925F26">
        <w:rPr>
          <w:color w:val="000000" w:themeColor="text1"/>
          <w:sz w:val="16"/>
          <w:szCs w:val="16"/>
        </w:rPr>
        <w:softHyphen/>
        <w:t>ботали от 30 до 50 часов (так сказать, первый «критический» рубеж), начали буквально сыпаться. В итоге, к вечеру 30 апреля в полку насчитывалось всего 11 боеспособных самолетов. Осталь</w:t>
      </w:r>
      <w:r w:rsidRPr="00925F26">
        <w:rPr>
          <w:color w:val="000000" w:themeColor="text1"/>
          <w:sz w:val="16"/>
          <w:szCs w:val="16"/>
        </w:rPr>
        <w:softHyphen/>
        <w:t>ные 18 «десяток» требовали ремонта. Еще одна неделя боев, и летать было бы не на чем. Собственно, так и получи</w:t>
      </w:r>
      <w:r w:rsidRPr="00925F26">
        <w:rPr>
          <w:color w:val="000000" w:themeColor="text1"/>
          <w:sz w:val="16"/>
          <w:szCs w:val="16"/>
        </w:rPr>
        <w:softHyphen/>
        <w:t>лось. В мае полк ни боевой, ни учебно-боевой работы уже не вел, а занимался ремонтом неисправной материальной части и получал новые машины (10681).</w:t>
      </w:r>
    </w:p>
    <w:p w14:paraId="64E421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EE9D86E" w14:textId="77777777" w:rsidR="001438DF" w:rsidRPr="00925F26" w:rsidRDefault="001438DF" w:rsidP="00925F26">
      <w:pPr>
        <w:jc w:val="both"/>
        <w:rPr>
          <w:color w:val="000000" w:themeColor="text1"/>
          <w:sz w:val="16"/>
          <w:szCs w:val="16"/>
        </w:rPr>
      </w:pPr>
      <w:r w:rsidRPr="00925F26">
        <w:rPr>
          <w:color w:val="000000" w:themeColor="text1"/>
          <w:sz w:val="16"/>
          <w:szCs w:val="16"/>
        </w:rPr>
        <w:t>16 апреля в 1945 году начало боевого применения штурмовика «Ил-10». Боевые действия 108-й гвардейский штурмовой авиационный полк начал 16 апреля 1945 г. на Берлинском направлении. За 15 дней боев (с 16 по 30 апреля) летчики 108-го гвардейского штурмового авиационного полка совершили 450 боевых вылетов, ежедневно выявляя те или иные качества и особенности штурмовика. Их тут же фиксировала бригада ГК НИИ ВВС КА во главе с ведущим инженером-испытателем самолета «Ил-10» полковником П.Т.Аброщенко (15101).</w:t>
      </w:r>
    </w:p>
    <w:p w14:paraId="0C20B261" w14:textId="77777777" w:rsidR="001438DF" w:rsidRPr="00925F26" w:rsidRDefault="001438DF" w:rsidP="00925F26">
      <w:pPr>
        <w:jc w:val="both"/>
        <w:rPr>
          <w:color w:val="000000" w:themeColor="text1"/>
          <w:sz w:val="16"/>
          <w:szCs w:val="16"/>
        </w:rPr>
      </w:pPr>
    </w:p>
    <w:p w14:paraId="5D67F2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апреля 1945 г. на Берлинском на</w:t>
      </w:r>
      <w:r w:rsidRPr="00925F26">
        <w:rPr>
          <w:color w:val="000000" w:themeColor="text1"/>
          <w:sz w:val="16"/>
          <w:szCs w:val="16"/>
        </w:rPr>
        <w:softHyphen/>
        <w:t>правлении боевые действия начал 108-й гшап. В этот же день прибыли от</w:t>
      </w:r>
      <w:r w:rsidRPr="00925F26">
        <w:rPr>
          <w:color w:val="000000" w:themeColor="text1"/>
          <w:sz w:val="16"/>
          <w:szCs w:val="16"/>
        </w:rPr>
        <w:softHyphen/>
        <w:t>ставшие восемь экипажей. В войсковых испытаниях приняли участие 34 Ил-10. Командование дивизии поставило за</w:t>
      </w:r>
      <w:r w:rsidRPr="00925F26">
        <w:rPr>
          <w:color w:val="000000" w:themeColor="text1"/>
          <w:sz w:val="16"/>
          <w:szCs w:val="16"/>
        </w:rPr>
        <w:softHyphen/>
        <w:t>дачу работать полным составом полка в районе населенных пунктов Эйло, Тосда, Роггозен и по дорогам от Койне на за</w:t>
      </w:r>
      <w:r w:rsidRPr="00925F26">
        <w:rPr>
          <w:color w:val="000000" w:themeColor="text1"/>
          <w:sz w:val="16"/>
          <w:szCs w:val="16"/>
        </w:rPr>
        <w:softHyphen/>
        <w:t>пад. День открыла восьмерка штурмови</w:t>
      </w:r>
      <w:r w:rsidRPr="00925F26">
        <w:rPr>
          <w:color w:val="000000" w:themeColor="text1"/>
          <w:sz w:val="16"/>
          <w:szCs w:val="16"/>
        </w:rPr>
        <w:softHyphen/>
        <w:t>ков старшего лейтенанта Смирнова. Их бомбоштурмового удара по отступаю</w:t>
      </w:r>
      <w:r w:rsidRPr="00925F26">
        <w:rPr>
          <w:color w:val="000000" w:themeColor="text1"/>
          <w:sz w:val="16"/>
          <w:szCs w:val="16"/>
        </w:rPr>
        <w:softHyphen/>
        <w:t>щему противнику по дорогам в районе Синице». Через 15 минут группа стар</w:t>
      </w:r>
      <w:r w:rsidRPr="00925F26">
        <w:rPr>
          <w:color w:val="000000" w:themeColor="text1"/>
          <w:sz w:val="16"/>
          <w:szCs w:val="16"/>
        </w:rPr>
        <w:softHyphen/>
        <w:t>шего лейтенанта Белова поднялась в воздух. Еще через три минуты к штурмо</w:t>
      </w:r>
      <w:r w:rsidRPr="00925F26">
        <w:rPr>
          <w:color w:val="000000" w:themeColor="text1"/>
          <w:sz w:val="16"/>
          <w:szCs w:val="16"/>
        </w:rPr>
        <w:softHyphen/>
        <w:t>викам пристроились истребители со</w:t>
      </w:r>
      <w:r w:rsidRPr="00925F26">
        <w:rPr>
          <w:color w:val="000000" w:themeColor="text1"/>
          <w:sz w:val="16"/>
          <w:szCs w:val="16"/>
        </w:rPr>
        <w:softHyphen/>
        <w:t>провождения. Лететь пришлось в густой дымке. Но на цель вышли точно и произвели атаку «с хода». Под самолетами была «длин</w:t>
      </w:r>
      <w:r w:rsidRPr="00925F26">
        <w:rPr>
          <w:color w:val="000000" w:themeColor="text1"/>
          <w:sz w:val="16"/>
          <w:szCs w:val="16"/>
        </w:rPr>
        <w:softHyphen/>
        <w:t>ная, с небольшими интервалами цепоч</w:t>
      </w:r>
      <w:r w:rsidRPr="00925F26">
        <w:rPr>
          <w:color w:val="000000" w:themeColor="text1"/>
          <w:sz w:val="16"/>
          <w:szCs w:val="16"/>
        </w:rPr>
        <w:softHyphen/>
        <w:t>ка движения автомашин, повозок, артил</w:t>
      </w:r>
      <w:r w:rsidRPr="00925F26">
        <w:rPr>
          <w:color w:val="000000" w:themeColor="text1"/>
          <w:sz w:val="16"/>
          <w:szCs w:val="16"/>
        </w:rPr>
        <w:softHyphen/>
        <w:t>лерии» - не промахнешься. Так поздно немцы не ожидали налета советских штурмовиков, зенитного огня не было. Самолеты прочесали дорогу несколько раз. По докладам экипажей было унич</w:t>
      </w:r>
      <w:r w:rsidRPr="00925F26">
        <w:rPr>
          <w:color w:val="000000" w:themeColor="text1"/>
          <w:sz w:val="16"/>
          <w:szCs w:val="16"/>
        </w:rPr>
        <w:softHyphen/>
        <w:t>тожено и повреждено до 20 машин и соз</w:t>
      </w:r>
      <w:r w:rsidRPr="00925F26">
        <w:rPr>
          <w:color w:val="000000" w:themeColor="text1"/>
          <w:sz w:val="16"/>
          <w:szCs w:val="16"/>
        </w:rPr>
        <w:softHyphen/>
        <w:t>дан большой очаг пожара. На свой аэродром возвращались уже в сумерках. На подходе Белов подал ко</w:t>
      </w:r>
      <w:r w:rsidRPr="00925F26">
        <w:rPr>
          <w:color w:val="000000" w:themeColor="text1"/>
          <w:sz w:val="16"/>
          <w:szCs w:val="16"/>
        </w:rPr>
        <w:softHyphen/>
        <w:t>манду ведомым: «Посадка с зажженны</w:t>
      </w:r>
      <w:r w:rsidRPr="00925F26">
        <w:rPr>
          <w:color w:val="000000" w:themeColor="text1"/>
          <w:sz w:val="16"/>
          <w:szCs w:val="16"/>
        </w:rPr>
        <w:softHyphen/>
        <w:t>ми фарами». К этому времени на поле зажгли факелы и ракеты. Летчики, не имевшие до этого опыта боевой работы ночью, благополучно произвели посадку. Боевые вылеты выполнялись груп</w:t>
      </w:r>
      <w:r w:rsidRPr="00925F26">
        <w:rPr>
          <w:color w:val="000000" w:themeColor="text1"/>
          <w:sz w:val="16"/>
          <w:szCs w:val="16"/>
        </w:rPr>
        <w:softHyphen/>
        <w:t>пами по восемь-девять самолетов под прикрытием истребителей. Первой под</w:t>
      </w:r>
      <w:r w:rsidRPr="00925F26">
        <w:rPr>
          <w:color w:val="000000" w:themeColor="text1"/>
          <w:sz w:val="16"/>
          <w:szCs w:val="16"/>
        </w:rPr>
        <w:softHyphen/>
        <w:t>нялась в небо группа капитана Новикова в составе девяти экипажей. За ней по</w:t>
      </w:r>
      <w:r w:rsidRPr="00925F26">
        <w:rPr>
          <w:color w:val="000000" w:themeColor="text1"/>
          <w:sz w:val="16"/>
          <w:szCs w:val="16"/>
        </w:rPr>
        <w:softHyphen/>
        <w:t>следовали восьмерки капитана Железнякова и майора Жигарина. Ввиду плохой видимости в районе це</w:t>
      </w:r>
      <w:r w:rsidRPr="00925F26">
        <w:rPr>
          <w:color w:val="000000" w:themeColor="text1"/>
          <w:sz w:val="16"/>
          <w:szCs w:val="16"/>
        </w:rPr>
        <w:softHyphen/>
        <w:t>лей все группы выполняли полет на вы</w:t>
      </w:r>
      <w:r w:rsidRPr="00925F26">
        <w:rPr>
          <w:color w:val="000000" w:themeColor="text1"/>
          <w:sz w:val="16"/>
          <w:szCs w:val="16"/>
        </w:rPr>
        <w:softHyphen/>
        <w:t>соте 1200 - 800 м, а затем атаковали с пикирования под углом 25° - 30° со сбросом бомб с высоты 600 - 400 м. За</w:t>
      </w:r>
      <w:r w:rsidRPr="00925F26">
        <w:rPr>
          <w:color w:val="000000" w:themeColor="text1"/>
          <w:sz w:val="16"/>
          <w:szCs w:val="16"/>
        </w:rPr>
        <w:softHyphen/>
        <w:t>тем врага обстреливали из пушек и пу</w:t>
      </w:r>
      <w:r w:rsidRPr="00925F26">
        <w:rPr>
          <w:color w:val="000000" w:themeColor="text1"/>
          <w:sz w:val="16"/>
          <w:szCs w:val="16"/>
        </w:rPr>
        <w:softHyphen/>
        <w:t>леметов. Израсходовали 47 стокило</w:t>
      </w:r>
      <w:r w:rsidRPr="00925F26">
        <w:rPr>
          <w:color w:val="000000" w:themeColor="text1"/>
          <w:sz w:val="16"/>
          <w:szCs w:val="16"/>
        </w:rPr>
        <w:softHyphen/>
        <w:t>граммовых «фугасок», 47 ФАБ-50, 940 снарядов к пушкам ВЯ-23 и 3000 патро</w:t>
      </w:r>
      <w:r w:rsidRPr="00925F26">
        <w:rPr>
          <w:color w:val="000000" w:themeColor="text1"/>
          <w:sz w:val="16"/>
          <w:szCs w:val="16"/>
        </w:rPr>
        <w:softHyphen/>
        <w:t>нов к пулеметам ШКАС. Результатов на</w:t>
      </w:r>
      <w:r w:rsidRPr="00925F26">
        <w:rPr>
          <w:color w:val="000000" w:themeColor="text1"/>
          <w:sz w:val="16"/>
          <w:szCs w:val="16"/>
        </w:rPr>
        <w:softHyphen/>
        <w:t>летов экипажи не наблюдали из-за дым</w:t>
      </w:r>
      <w:r w:rsidRPr="00925F26">
        <w:rPr>
          <w:color w:val="000000" w:themeColor="text1"/>
          <w:sz w:val="16"/>
          <w:szCs w:val="16"/>
        </w:rPr>
        <w:softHyphen/>
        <w:t>ки и пожаров. Встреч с истребителями противника не было. Отмечался лишь слабый огонь МЗА близ Роггозена и Эй</w:t>
      </w:r>
      <w:r w:rsidRPr="00925F26">
        <w:rPr>
          <w:color w:val="000000" w:themeColor="text1"/>
          <w:sz w:val="16"/>
          <w:szCs w:val="16"/>
        </w:rPr>
        <w:softHyphen/>
        <w:t>ло, в результате которого один самолет получил пробоины в плоскости.</w:t>
      </w:r>
    </w:p>
    <w:p w14:paraId="77CE17D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875BE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апреля 1945 г. на берлинском на</w:t>
      </w:r>
      <w:r w:rsidRPr="00925F26">
        <w:rPr>
          <w:color w:val="000000" w:themeColor="text1"/>
          <w:sz w:val="16"/>
          <w:szCs w:val="16"/>
        </w:rPr>
        <w:softHyphen/>
        <w:t>правлении начались боевые действия 108-й ГШАП. В этот же день в 18.15 при</w:t>
      </w:r>
      <w:r w:rsidRPr="00925F26">
        <w:rPr>
          <w:color w:val="000000" w:themeColor="text1"/>
          <w:sz w:val="16"/>
          <w:szCs w:val="16"/>
        </w:rPr>
        <w:softHyphen/>
        <w:t>была отставшая группа в составе 8 Ил-10. Поэтому в войсковых испытани</w:t>
      </w:r>
      <w:r w:rsidRPr="00925F26">
        <w:rPr>
          <w:color w:val="000000" w:themeColor="text1"/>
          <w:sz w:val="16"/>
          <w:szCs w:val="16"/>
        </w:rPr>
        <w:softHyphen/>
        <w:t>ях приняли участие 34 самолета Ил-10.</w:t>
      </w:r>
    </w:p>
    <w:p w14:paraId="1815E5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Командованием дивизии была по</w:t>
      </w:r>
      <w:r w:rsidRPr="00925F26">
        <w:rPr>
          <w:color w:val="000000" w:themeColor="text1"/>
          <w:sz w:val="16"/>
          <w:szCs w:val="16"/>
        </w:rPr>
        <w:softHyphen/>
        <w:t>ставлена задача в течение дня 16 ап</w:t>
      </w:r>
      <w:r w:rsidRPr="00925F26">
        <w:rPr>
          <w:color w:val="000000" w:themeColor="text1"/>
          <w:sz w:val="16"/>
          <w:szCs w:val="16"/>
        </w:rPr>
        <w:softHyphen/>
        <w:t>реля «работать» полным составом пол</w:t>
      </w:r>
      <w:r w:rsidRPr="00925F26">
        <w:rPr>
          <w:color w:val="000000" w:themeColor="text1"/>
          <w:sz w:val="16"/>
          <w:szCs w:val="16"/>
        </w:rPr>
        <w:softHyphen/>
        <w:t>ка в районе Эйло, Тосда, Роггозен и по дорогам от Койне на запад. Боевые вылеты выполнялись в составе групп по 8-9 самолетов Ил-10 под прикры</w:t>
      </w:r>
      <w:r w:rsidRPr="00925F26">
        <w:rPr>
          <w:color w:val="000000" w:themeColor="text1"/>
          <w:sz w:val="16"/>
          <w:szCs w:val="16"/>
        </w:rPr>
        <w:softHyphen/>
        <w:t>тием истребителей от 5-го гиап в со</w:t>
      </w:r>
      <w:r w:rsidRPr="00925F26">
        <w:rPr>
          <w:color w:val="000000" w:themeColor="text1"/>
          <w:sz w:val="16"/>
          <w:szCs w:val="16"/>
        </w:rPr>
        <w:softHyphen/>
        <w:t>отношении 2:1.</w:t>
      </w:r>
    </w:p>
    <w:p w14:paraId="1B051F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Начало войне на самолете Ил-10 было положено вылетом в 11.00 груп</w:t>
      </w:r>
      <w:r w:rsidRPr="00925F26">
        <w:rPr>
          <w:color w:val="000000" w:themeColor="text1"/>
          <w:sz w:val="16"/>
          <w:szCs w:val="16"/>
        </w:rPr>
        <w:softHyphen/>
        <w:t>пы к-на Новикова в составе 9 экипа</w:t>
      </w:r>
      <w:r w:rsidRPr="00925F26">
        <w:rPr>
          <w:color w:val="000000" w:themeColor="text1"/>
          <w:sz w:val="16"/>
          <w:szCs w:val="16"/>
        </w:rPr>
        <w:softHyphen/>
        <w:t>жей. Следом за ней вылетела группа к-на Железнякова из 8 Ил-10. Завершила первый боевой день полка восьмерка штурмана полка м-ра Жигарина, кото</w:t>
      </w:r>
      <w:r w:rsidRPr="00925F26">
        <w:rPr>
          <w:color w:val="000000" w:themeColor="text1"/>
          <w:sz w:val="16"/>
          <w:szCs w:val="16"/>
        </w:rPr>
        <w:softHyphen/>
        <w:t>рая вылетела на боевое задание в 11.26.</w:t>
      </w:r>
    </w:p>
    <w:p w14:paraId="2EA0CC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группы выполняли полет к цели на высоте 1200-800 м, атаку целей с пикирования под углом 25-30° со сбросом бомб с высоты 600-400 м. Затем цель обстреливалась из пушек и пулеметов. Детальных результатов бомбоштурмовых ударов экипажи не наблюдали ввиду плохой видимости и пожаров. При этом один экипаж бое</w:t>
      </w:r>
      <w:r w:rsidRPr="00925F26">
        <w:rPr>
          <w:color w:val="000000" w:themeColor="text1"/>
          <w:sz w:val="16"/>
          <w:szCs w:val="16"/>
        </w:rPr>
        <w:softHyphen/>
        <w:t>вой задачи не выполнил по причине отказа матчасти.</w:t>
      </w:r>
    </w:p>
    <w:p w14:paraId="69D2B8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противника было сброшено 47 стокилограммовых «фугасок», 47 ФАБ-50, выпущено 940 снарядов к пушкам ВЯ-23 и 3000 патронов к пулеметам ШКАС.</w:t>
      </w:r>
    </w:p>
    <w:p w14:paraId="54074F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Встреч с истребителями противни</w:t>
      </w:r>
      <w:r w:rsidRPr="00925F26">
        <w:rPr>
          <w:color w:val="000000" w:themeColor="text1"/>
          <w:sz w:val="16"/>
          <w:szCs w:val="16"/>
        </w:rPr>
        <w:softHyphen/>
        <w:t>ка не было. Отмечался лишь слабый огонь МЗА противника в районе Рог</w:t>
      </w:r>
      <w:r w:rsidRPr="00925F26">
        <w:rPr>
          <w:color w:val="000000" w:themeColor="text1"/>
          <w:sz w:val="16"/>
          <w:szCs w:val="16"/>
        </w:rPr>
        <w:softHyphen/>
        <w:t>гозен, Эйло, в результате которого один самолет получил осколочные повреж</w:t>
      </w:r>
      <w:r w:rsidRPr="00925F26">
        <w:rPr>
          <w:color w:val="000000" w:themeColor="text1"/>
          <w:sz w:val="16"/>
          <w:szCs w:val="16"/>
        </w:rPr>
        <w:softHyphen/>
        <w:t>дения плоскости крыла.</w:t>
      </w:r>
    </w:p>
    <w:p w14:paraId="3771B9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Второй боевой день без потерь не обошелся. В этот день полк выполнял боевую задачу двумя группами по 8 (комполка п/п-к Топилин) и 4 (к-н Железняков) самолетов Ил-10. Груп</w:t>
      </w:r>
      <w:r w:rsidRPr="00925F26">
        <w:rPr>
          <w:color w:val="000000" w:themeColor="text1"/>
          <w:sz w:val="16"/>
          <w:szCs w:val="16"/>
        </w:rPr>
        <w:softHyphen/>
        <w:t>пы нанесли бомбоштурмовыеудары по войскам и технике противника в рай</w:t>
      </w:r>
      <w:r w:rsidRPr="00925F26">
        <w:rPr>
          <w:color w:val="000000" w:themeColor="text1"/>
          <w:sz w:val="16"/>
          <w:szCs w:val="16"/>
        </w:rPr>
        <w:softHyphen/>
        <w:t>оне Греч, Хайнесбрюк, Вейсач в 20.00 и 20.18, соответственно. Экипажи от</w:t>
      </w:r>
      <w:r w:rsidRPr="00925F26">
        <w:rPr>
          <w:color w:val="000000" w:themeColor="text1"/>
          <w:sz w:val="16"/>
          <w:szCs w:val="16"/>
        </w:rPr>
        <w:softHyphen/>
        <w:t>мечали сильный огонь МЗА.</w:t>
      </w:r>
    </w:p>
    <w:p w14:paraId="20E98A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первой группы не вернулся эки</w:t>
      </w:r>
      <w:r w:rsidRPr="00925F26">
        <w:rPr>
          <w:color w:val="000000" w:themeColor="text1"/>
          <w:sz w:val="16"/>
          <w:szCs w:val="16"/>
        </w:rPr>
        <w:softHyphen/>
        <w:t>паж в составе л-та Михайлова и воз</w:t>
      </w:r>
      <w:r w:rsidRPr="00925F26">
        <w:rPr>
          <w:color w:val="000000" w:themeColor="text1"/>
          <w:sz w:val="16"/>
          <w:szCs w:val="16"/>
        </w:rPr>
        <w:softHyphen/>
        <w:t>душного стрелка сержанта Малых. Во второй мл. л-т Маклаков (воздушный стрелок сержант Кривошей) совершил вынужденную посадку из-за отказа мотора. Примерно в 20 км от аэродро</w:t>
      </w:r>
      <w:r w:rsidRPr="00925F26">
        <w:rPr>
          <w:color w:val="000000" w:themeColor="text1"/>
          <w:sz w:val="16"/>
          <w:szCs w:val="16"/>
        </w:rPr>
        <w:softHyphen/>
        <w:t>ма Охельхермсдорф на самолете Мак-лакова мотор начал давать перебои. Летчик продолжил полет, пытаясь до</w:t>
      </w:r>
      <w:r w:rsidRPr="00925F26">
        <w:rPr>
          <w:color w:val="000000" w:themeColor="text1"/>
          <w:sz w:val="16"/>
          <w:szCs w:val="16"/>
        </w:rPr>
        <w:softHyphen/>
        <w:t>тянуть до своего аэродрома. В районе аэродрома мотор остановился. Не имея запаса высоты, Маклакову пришлось садиться на вынужденную прямо перед собой - на лес. В результате Ил-10 (зав. № 1890402) был разбит и восстанов</w:t>
      </w:r>
      <w:r w:rsidRPr="00925F26">
        <w:rPr>
          <w:color w:val="000000" w:themeColor="text1"/>
          <w:sz w:val="16"/>
          <w:szCs w:val="16"/>
        </w:rPr>
        <w:softHyphen/>
        <w:t>лению не подлежал. Раненыхлетчика и стрелка отправили в госпиталь.</w:t>
      </w:r>
    </w:p>
    <w:p w14:paraId="3A8590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Позже установили, что причиной отказа мотора на самолете Маклакова стали износ и усадка поршневых ко</w:t>
      </w:r>
      <w:r w:rsidRPr="00925F26">
        <w:rPr>
          <w:color w:val="000000" w:themeColor="text1"/>
          <w:sz w:val="16"/>
          <w:szCs w:val="16"/>
        </w:rPr>
        <w:softHyphen/>
        <w:t>лец, вследствие чего произошло забрызгивание свечей маслом и затем ос</w:t>
      </w:r>
      <w:r w:rsidRPr="00925F26">
        <w:rPr>
          <w:color w:val="000000" w:themeColor="text1"/>
          <w:sz w:val="16"/>
          <w:szCs w:val="16"/>
        </w:rPr>
        <w:softHyphen/>
        <w:t>тановка мотора (11161).</w:t>
      </w:r>
    </w:p>
    <w:p w14:paraId="310D3B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3A536B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16 апреля 1945 войска 1-го </w:t>
      </w:r>
      <w:proofErr w:type="gramStart"/>
      <w:r w:rsidRPr="00925F26">
        <w:rPr>
          <w:color w:val="000000" w:themeColor="text1"/>
          <w:sz w:val="16"/>
          <w:szCs w:val="16"/>
        </w:rPr>
        <w:t>Украинского ,</w:t>
      </w:r>
      <w:proofErr w:type="gramEnd"/>
      <w:r w:rsidRPr="00925F26">
        <w:rPr>
          <w:color w:val="000000" w:themeColor="text1"/>
          <w:sz w:val="16"/>
          <w:szCs w:val="16"/>
        </w:rPr>
        <w:t xml:space="preserve"> 1-го и 2-го Белорусских </w:t>
      </w:r>
      <w:proofErr w:type="gramStart"/>
      <w:r w:rsidRPr="00925F26">
        <w:rPr>
          <w:color w:val="000000" w:themeColor="text1"/>
          <w:sz w:val="16"/>
          <w:szCs w:val="16"/>
        </w:rPr>
        <w:t>фронтов ,</w:t>
      </w:r>
      <w:proofErr w:type="gramEnd"/>
      <w:r w:rsidRPr="00925F26">
        <w:rPr>
          <w:color w:val="000000" w:themeColor="text1"/>
          <w:sz w:val="16"/>
          <w:szCs w:val="16"/>
        </w:rPr>
        <w:t xml:space="preserve"> при участии сил Балтийского флота и Днепровской военной </w:t>
      </w:r>
      <w:proofErr w:type="gramStart"/>
      <w:r w:rsidRPr="00925F26">
        <w:rPr>
          <w:color w:val="000000" w:themeColor="text1"/>
          <w:sz w:val="16"/>
          <w:szCs w:val="16"/>
        </w:rPr>
        <w:t>флотилии ,</w:t>
      </w:r>
      <w:proofErr w:type="gramEnd"/>
      <w:r w:rsidRPr="00925F26">
        <w:rPr>
          <w:color w:val="000000" w:themeColor="text1"/>
          <w:sz w:val="16"/>
          <w:szCs w:val="16"/>
        </w:rPr>
        <w:t xml:space="preserve"> а также 1-й и 2-й армий войска Польского начали Берлинскую наступательную операцию. Цель операции - разгромить групировку противника на берлинском направленийи (3-я и 4-я </w:t>
      </w:r>
      <w:proofErr w:type="gramStart"/>
      <w:r w:rsidRPr="00925F26">
        <w:rPr>
          <w:color w:val="000000" w:themeColor="text1"/>
          <w:sz w:val="16"/>
          <w:szCs w:val="16"/>
        </w:rPr>
        <w:t>ТА ,</w:t>
      </w:r>
      <w:proofErr w:type="gramEnd"/>
      <w:r w:rsidRPr="00925F26">
        <w:rPr>
          <w:color w:val="000000" w:themeColor="text1"/>
          <w:sz w:val="16"/>
          <w:szCs w:val="16"/>
        </w:rPr>
        <w:t xml:space="preserve"> 9-я и 17-я А), овладеть Берлином и выйти к Эльбе на соединение с союзниками (</w:t>
      </w:r>
      <w:proofErr w:type="gramStart"/>
      <w:r w:rsidRPr="00925F26">
        <w:rPr>
          <w:color w:val="000000" w:themeColor="text1"/>
          <w:sz w:val="16"/>
          <w:szCs w:val="16"/>
        </w:rPr>
        <w:t>4963 )</w:t>
      </w:r>
      <w:proofErr w:type="gramEnd"/>
      <w:r w:rsidRPr="00925F26">
        <w:rPr>
          <w:color w:val="000000" w:themeColor="text1"/>
          <w:sz w:val="16"/>
          <w:szCs w:val="16"/>
        </w:rPr>
        <w:t>.</w:t>
      </w:r>
    </w:p>
    <w:p w14:paraId="5431223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89DDE5E" w14:textId="77777777" w:rsidR="001D37F4" w:rsidRPr="00925F26" w:rsidRDefault="001D37F4" w:rsidP="00925F26">
      <w:pPr>
        <w:jc w:val="both"/>
        <w:rPr>
          <w:color w:val="000000" w:themeColor="text1"/>
          <w:sz w:val="16"/>
          <w:szCs w:val="16"/>
        </w:rPr>
      </w:pPr>
      <w:r w:rsidRPr="00925F26">
        <w:rPr>
          <w:color w:val="000000" w:themeColor="text1"/>
          <w:sz w:val="16"/>
          <w:szCs w:val="16"/>
        </w:rPr>
        <w:t>16 апреля 1945 год перед рассветом на Зееловских высотах а артилле</w:t>
      </w:r>
      <w:r w:rsidRPr="00925F26">
        <w:rPr>
          <w:color w:val="000000" w:themeColor="text1"/>
          <w:sz w:val="16"/>
          <w:szCs w:val="16"/>
        </w:rPr>
        <w:softHyphen/>
        <w:t>рия 1-го Белорусского фронта начала массированную артпод</w:t>
      </w:r>
      <w:r w:rsidRPr="00925F26">
        <w:rPr>
          <w:color w:val="000000" w:themeColor="text1"/>
          <w:sz w:val="16"/>
          <w:szCs w:val="16"/>
        </w:rPr>
        <w:softHyphen/>
        <w:t>готовку, одновременно нанесли удар с малых высот штурмови</w:t>
      </w:r>
      <w:r w:rsidRPr="00925F26">
        <w:rPr>
          <w:color w:val="000000" w:themeColor="text1"/>
          <w:sz w:val="16"/>
          <w:szCs w:val="16"/>
        </w:rPr>
        <w:softHyphen/>
        <w:t>ки и пикировщики 16-й Воздушной Армии, а с большой высоты на врага обрушились 750 дальних бомбардировщиков Ил-4, В-25 и Ер-2 из дивизий 18-й ВА. Бомбардировка выполнялась методом «звездного налета», сомкнутые боевые порядки пол</w:t>
      </w:r>
      <w:r w:rsidRPr="00925F26">
        <w:rPr>
          <w:color w:val="000000" w:themeColor="text1"/>
          <w:sz w:val="16"/>
          <w:szCs w:val="16"/>
        </w:rPr>
        <w:softHyphen/>
        <w:t>ков сходились над Зееловскими высотами со всех восточных направлений с минимальным интервалом времени, целеука</w:t>
      </w:r>
      <w:r w:rsidRPr="00925F26">
        <w:rPr>
          <w:color w:val="000000" w:themeColor="text1"/>
          <w:sz w:val="16"/>
          <w:szCs w:val="16"/>
        </w:rPr>
        <w:softHyphen/>
        <w:t>занием служил огонь тяжелой артиллерии калибра 122, 152 и 203 мм. Экипажи последних Ил-4 из 2-го Гвардейского бомбар</w:t>
      </w:r>
      <w:r w:rsidRPr="00925F26">
        <w:rPr>
          <w:color w:val="000000" w:themeColor="text1"/>
          <w:sz w:val="16"/>
          <w:szCs w:val="16"/>
        </w:rPr>
        <w:softHyphen/>
        <w:t>дировочного авиакорпуса генерала Логинова, разворачиваясь после сброса бомб, увидели множество ярких лучей — это 140 зенитных прожекторов ослепили противника, на которого под рев сирен шли сотни танков. Девятнадцатого апреля Зееловский укрепрайон был взят и дорога на столицу «рейха» была открыта.</w:t>
      </w:r>
    </w:p>
    <w:p w14:paraId="0B68B550" w14:textId="77777777" w:rsidR="001D37F4" w:rsidRPr="00925F26" w:rsidRDefault="001D37F4" w:rsidP="00925F26">
      <w:pPr>
        <w:jc w:val="both"/>
        <w:rPr>
          <w:color w:val="000000" w:themeColor="text1"/>
          <w:sz w:val="16"/>
          <w:szCs w:val="16"/>
        </w:rPr>
      </w:pPr>
      <w:r w:rsidRPr="00925F26">
        <w:rPr>
          <w:color w:val="000000" w:themeColor="text1"/>
          <w:sz w:val="16"/>
          <w:szCs w:val="16"/>
        </w:rPr>
        <w:t>С 1945 года на Ил-4 появились радиолокационные ответчики свой-чужой и дополнительные коман</w:t>
      </w:r>
      <w:r w:rsidRPr="00925F26">
        <w:rPr>
          <w:color w:val="000000" w:themeColor="text1"/>
          <w:sz w:val="16"/>
          <w:szCs w:val="16"/>
        </w:rPr>
        <w:softHyphen/>
        <w:t>дные радиостанции для связи между самолетами в группе и с руководителем полетов в районе аэродрома, появился радиополукомпас РПКО-2, оборудован</w:t>
      </w:r>
      <w:r w:rsidRPr="00925F26">
        <w:rPr>
          <w:color w:val="000000" w:themeColor="text1"/>
          <w:sz w:val="16"/>
          <w:szCs w:val="16"/>
        </w:rPr>
        <w:softHyphen/>
        <w:t>ный отметчиком пеленга. Но в целом по оборудованию Ил-4 уступали и ленд-лизовским бомбардировщикам, и нашим Ли-2 (24140).</w:t>
      </w:r>
    </w:p>
    <w:p w14:paraId="4B006686" w14:textId="77777777" w:rsidR="001D37F4" w:rsidRPr="00925F26" w:rsidRDefault="001D37F4" w:rsidP="00925F26">
      <w:pPr>
        <w:jc w:val="both"/>
        <w:rPr>
          <w:color w:val="000000" w:themeColor="text1"/>
          <w:sz w:val="16"/>
          <w:szCs w:val="16"/>
        </w:rPr>
      </w:pPr>
    </w:p>
    <w:p w14:paraId="7BFA44A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апреля 1945 советские войска начали наступление на Берлин (4962).</w:t>
      </w:r>
    </w:p>
    <w:p w14:paraId="4B2804F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B574C8" w14:textId="77777777" w:rsidR="00DE5890" w:rsidRPr="00925F26" w:rsidRDefault="00DE5890" w:rsidP="00925F26">
      <w:pPr>
        <w:jc w:val="both"/>
        <w:rPr>
          <w:color w:val="000000" w:themeColor="text1"/>
          <w:sz w:val="16"/>
          <w:szCs w:val="16"/>
        </w:rPr>
      </w:pPr>
      <w:r w:rsidRPr="00925F26">
        <w:rPr>
          <w:color w:val="000000" w:themeColor="text1"/>
          <w:sz w:val="16"/>
          <w:szCs w:val="16"/>
        </w:rPr>
        <w:lastRenderedPageBreak/>
        <w:t>16 апреля 1945 советский штурм Берлина начинается ранними утренними ударами 150 ночных бомбардировщиков советских ВВС 4- й и 16 - й воздушных армий по немецким позициям, согласованных с минометными и артиллерийскими ударами. К 15:00 в воздухе находится 647 советских боевых самолетов. День заканчивается тем, что советские ВВС совершили 5300 боевых вылетов, заявив, что 131 немецкий самолет был сбит в обмен на 87 советских самолетов (20371).</w:t>
      </w:r>
    </w:p>
    <w:p w14:paraId="6F4E13DD" w14:textId="77777777" w:rsidR="00DE5890" w:rsidRPr="00925F26" w:rsidRDefault="00DE5890" w:rsidP="00925F26">
      <w:pPr>
        <w:jc w:val="both"/>
        <w:rPr>
          <w:color w:val="000000" w:themeColor="text1"/>
          <w:sz w:val="16"/>
          <w:szCs w:val="16"/>
        </w:rPr>
      </w:pPr>
    </w:p>
    <w:p w14:paraId="595288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началась Берлинская операция (340,209) и формально шла до 8 мая 1945. 16-19 прорвали одерско-нейсенский рубеж (2438,95).</w:t>
      </w:r>
    </w:p>
    <w:p w14:paraId="4E557A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Берлинской наступательной операции задействовали 47.7% всей фронтовой авиации (518,112).</w:t>
      </w:r>
    </w:p>
    <w:p w14:paraId="4041D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81.1% вылетов было затрачено на поддержку прорыва обороны, окружения противника, отражение контрударов на внешнем и внутреннем фронтах и на воздушную блокаду (518,181).</w:t>
      </w:r>
    </w:p>
    <w:p w14:paraId="38F644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ходе операции на уничтожение окруженной группировки противника было затрачено 18-19%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(518,181).</w:t>
      </w:r>
    </w:p>
    <w:p w14:paraId="5A9CFF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Ставили дымовую завесу с самолетов (518,143).</w:t>
      </w:r>
    </w:p>
    <w:p w14:paraId="54154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Штаб 16 армии (П.И.Брайко) при наступлении 16 мая в ходе Берлинской операции спланировал авиаподдержку наземных войск 1БФ при прорыве тактической обороны по 3-м вариантам, сообразуясь с темпами прорыва обороны (518,117).</w:t>
      </w:r>
    </w:p>
    <w:p w14:paraId="4EDB01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Из-за того, что операция началась ночью ходе операции авиаподготовка ограничивалась действиями нба (518,135).</w:t>
      </w:r>
    </w:p>
    <w:p w14:paraId="42D7A2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2ВА провела авиаподготовку 3 ударами б с участием 668 машин (518,136).</w:t>
      </w:r>
    </w:p>
    <w:p w14:paraId="65808F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подготовке Берлинской операции на воздушную разведку ВА затрачивалось до 42% от 2600 самолетовылетов (518,121).</w:t>
      </w:r>
    </w:p>
    <w:p w14:paraId="0FFD3E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16ВА в период подготовки Берлинской операции сфотографировала 155.2 тыс. кв. км. тактическую зону обороны фотографировали 8 раз, а всю территорию от переднего края до Берлина - 2 раза (518,127).</w:t>
      </w:r>
    </w:p>
    <w:p w14:paraId="01618D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Штаб 2ВА спланировал усилия авиасоединений и распределил матсредства на 10 дней, включая напряжение на самолет, коэффициент боевых потерь, средний расход горючего и боеприпасов на вылет (518,116).</w:t>
      </w:r>
    </w:p>
    <w:p w14:paraId="167509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Сумели массировать для операции 1БФ 3168 самолетов (518,107).</w:t>
      </w:r>
    </w:p>
    <w:p w14:paraId="22EDC1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Берлинской операции были созданы армейские РЛС узлы и РЛС только в 1945 обнаружили 19963 самолета, выполнили 1367 наведений и сбили 841 самолет (518,70).</w:t>
      </w:r>
    </w:p>
    <w:p w14:paraId="163506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0B4E53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143 прожектора в сочетании с сильным огнем артиллерии за 2 часа до рассвета ошеломили немцев, однако, пройдя 1.5-2 км советские войска встретили сильное сопротивление. 18ВА нанесла массированный удар по опорным пунктам и войскам на 3-й линии. Длился 42 минуты и вовлек 743 самолета, сбросивших 884 т бомб. В среднем в минуту проходило 18 машин и сбрасывалось 22 т бомб - самая высокая плотность в ВОВ. Однако, сухопутные войска не смогли полностью воспользоваться результатами, т.к. подошли ко 2-й полосе обороны только </w:t>
      </w:r>
      <w:proofErr w:type="gramStart"/>
      <w:r w:rsidRPr="00925F26">
        <w:rPr>
          <w:color w:val="000000" w:themeColor="text1"/>
          <w:sz w:val="16"/>
          <w:szCs w:val="16"/>
        </w:rPr>
        <w:t>через 10 часов</w:t>
      </w:r>
      <w:proofErr w:type="gramEnd"/>
      <w:r w:rsidRPr="00925F26">
        <w:rPr>
          <w:color w:val="000000" w:themeColor="text1"/>
          <w:sz w:val="16"/>
          <w:szCs w:val="16"/>
        </w:rPr>
        <w:t xml:space="preserve"> и противник восстановил систему обороны и пополнил потери (518,150).</w:t>
      </w:r>
    </w:p>
    <w:p w14:paraId="56E681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Берлинской операции ввод в сражение 3 и 4ГТА обеспечивали 75% всех сил 2ВА (518,157).</w:t>
      </w:r>
    </w:p>
    <w:p w14:paraId="64140F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Берлинской операции часть авиации - ш - выделялись для непрерывных действий в тактическом взаимодействии с ТА, а б и и - периодически (518,157).</w:t>
      </w:r>
    </w:p>
    <w:p w14:paraId="70AAFB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Берлинской операции 1ГАТ поддерживали и прикрывали 9шак и 6 бак, а также 188 и 221 бад и 283 иад (518,158).</w:t>
      </w:r>
    </w:p>
    <w:p w14:paraId="6A85F7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5 дней в 599 воздушных боях сбили 564 самолета противника (518,160).</w:t>
      </w:r>
    </w:p>
    <w:p w14:paraId="307FAF10" w14:textId="77777777" w:rsidR="00665165" w:rsidRPr="00925F26" w:rsidRDefault="00665165" w:rsidP="00925F26">
      <w:pPr>
        <w:autoSpaceDE w:val="0"/>
        <w:autoSpaceDN w:val="0"/>
        <w:adjustRightInd w:val="0"/>
        <w:jc w:val="both"/>
        <w:rPr>
          <w:color w:val="000000" w:themeColor="text1"/>
          <w:sz w:val="16"/>
          <w:szCs w:val="16"/>
        </w:rPr>
      </w:pPr>
    </w:p>
    <w:p w14:paraId="2D6BD8DF" w14:textId="77777777" w:rsidR="00DF2E46" w:rsidRPr="00925F26" w:rsidRDefault="00DF2E46" w:rsidP="00925F26">
      <w:pPr>
        <w:jc w:val="both"/>
        <w:rPr>
          <w:color w:val="000000" w:themeColor="text1"/>
          <w:sz w:val="16"/>
          <w:szCs w:val="16"/>
        </w:rPr>
      </w:pPr>
      <w:r w:rsidRPr="00925F26">
        <w:rPr>
          <w:color w:val="000000" w:themeColor="text1"/>
          <w:sz w:val="16"/>
          <w:szCs w:val="16"/>
        </w:rPr>
        <w:t>16 апреля в 1945 году в ходе Великой Отечественной войны началась Берлинская наступательная операция. С 16 апреля по 8 мая 1945 года войска 1-го Белорусского (Георгий Жуков), 2-го Белорусского (Константин Рокоссовский) и 1-го Украинского (Иван Конев) фронтов провели Берлинскую наступательную операцию. К операции привлекались часть сил Балтийского флота (В.Ф.Трибуц), авиация дальнего действия, Войска противовоздушной обороны, Днепровская военная флотилия, 1-я и 2-я армии Войска Польского. Группировка советских войск насчитывала 2,5 миллиона человек, 42 тысячи орудий и минометов, 6250 танков и самоходно-артиллерийских орудий, 7500 боевых самолетов. Берлинское направление обороняли немецкая группа армий «Висла» (3-я танковая армия и 9-я полевая армия), 4-я танковая армия и 17-я полевая армия группы армий «Центр», насчитывавшие в общей сложности около 1 миллиона человек, 10400 орудий и минометов, 1500 танков и штурмовых орудий и 3300 боевых самолетов. Советские войска должны были нанести несколько мощных ударов на широком фронте, окружить и одновременно расчленить берлинскую группировку на части и уничтожить каждую из них в отдельности. С 16 по 19 апреля советские войска прорвали одерско-нейсенский рубеж обороны противника. 20 апреля начался штурм столицы Германии. 24 апреля было завершено окружение франкфуртско-губенской группировки противника, а 25 апреля - всей берлинской группировки. В этот же день в районе Торгау советские войска встретились с подходившими с запада частями американской армии. Франкфуртско-губенская группировка была уничтожена в период с 26 апреля по 1 мая. Уничтожение берлинской группировки непосредственно в городе продолжалось до 2 мая. Бои за рейхстаг начались 29 апреля, а 30 апреля над рейхстагом было водружено Знамя Победы. 2 мая сопротивление противника в Берлине полностью прекратилось. Борьба с отдельными группами, пытавшимися прорваться на запад, закончилась 5 мая. 8 мая 1945 представители германского верховного командования подписали в Карлсхорсте Акт о капитуляции вооруженных сил Германии. По завершении Берлинской операции более 600 ее участников были удостоены звания Героя Советского Союза, а 13 человек награждены второй Золотой Звездой Героя Советского Союза (15101).</w:t>
      </w:r>
    </w:p>
    <w:p w14:paraId="1D6BB79C" w14:textId="77777777" w:rsidR="00DF2E46" w:rsidRPr="00925F26" w:rsidRDefault="00DF2E46" w:rsidP="00925F26">
      <w:pPr>
        <w:jc w:val="both"/>
        <w:rPr>
          <w:color w:val="000000" w:themeColor="text1"/>
          <w:sz w:val="16"/>
          <w:szCs w:val="16"/>
        </w:rPr>
      </w:pPr>
    </w:p>
    <w:p w14:paraId="486F91EB" w14:textId="77777777" w:rsidR="00BA2B8F" w:rsidRPr="00925F26" w:rsidRDefault="00BA2B8F" w:rsidP="00925F26">
      <w:pPr>
        <w:jc w:val="both"/>
        <w:rPr>
          <w:color w:val="000000" w:themeColor="text1"/>
          <w:sz w:val="16"/>
          <w:szCs w:val="16"/>
        </w:rPr>
      </w:pPr>
      <w:r w:rsidRPr="00925F26">
        <w:rPr>
          <w:color w:val="000000" w:themeColor="text1"/>
          <w:sz w:val="16"/>
          <w:szCs w:val="16"/>
        </w:rPr>
        <w:t>16 апреля 1945 года в 5.50 утра мощной артиллерийской подготовкой началось Советское наступление на Берлин.</w:t>
      </w:r>
    </w:p>
    <w:p w14:paraId="7B3DD1B0" w14:textId="77777777" w:rsidR="00BA2B8F" w:rsidRPr="00925F26" w:rsidRDefault="00BA2B8F" w:rsidP="00925F26">
      <w:pPr>
        <w:jc w:val="both"/>
        <w:rPr>
          <w:color w:val="000000" w:themeColor="text1"/>
          <w:sz w:val="16"/>
          <w:szCs w:val="16"/>
        </w:rPr>
      </w:pPr>
      <w:r w:rsidRPr="00925F26">
        <w:rPr>
          <w:color w:val="000000" w:themeColor="text1"/>
          <w:sz w:val="16"/>
          <w:szCs w:val="16"/>
        </w:rPr>
        <w:t>К началу наступления на Берлин в составе 3-й гвардейской танковой армии имелись 6-й гвардейский (51-я гвардейская, 52-я гвардейская, 53-я гвардейская танковые и 22-я гвардейская мотострелковая бригады) и 7-й гвардейский (54-я гвардейская, 55-я гвардейская, 56-я гвардейская танковые и 23-я гвардейская мотострелковая бригады) танковый, 9-й механизированный (69,70,71-я механизированные и 91-я танковая бригады), а также друге части, в том числе 90-й отдельный инженерно-танковый полк.</w:t>
      </w:r>
    </w:p>
    <w:p w14:paraId="0DA24DAB" w14:textId="77777777" w:rsidR="00BA2B8F" w:rsidRPr="00925F26" w:rsidRDefault="00BA2B8F" w:rsidP="00925F26">
      <w:pPr>
        <w:jc w:val="both"/>
        <w:rPr>
          <w:color w:val="000000" w:themeColor="text1"/>
          <w:sz w:val="16"/>
          <w:szCs w:val="16"/>
        </w:rPr>
      </w:pPr>
      <w:r w:rsidRPr="00925F26">
        <w:rPr>
          <w:color w:val="000000" w:themeColor="text1"/>
          <w:sz w:val="16"/>
          <w:szCs w:val="16"/>
        </w:rPr>
        <w:t>По первоначальному плану операции, разработанному штабом 1-го Украинского фронта, предполагалось 3-ю танковую армию ввести в прорыв лишь после того, как пехота общевойсковых армий выйдет на западный берег реки Шпрее и обеспечит переправы для танков. Но 14 апреля 1945 года, за два дня до начала наступления, план изменили, и теперь танковая армия должна была наступать непосредственно за боевыми порядками пехоты, а затем обогнать ее и к исходу первого дня операции захватить плацдарм на реке Шпрее.</w:t>
      </w:r>
    </w:p>
    <w:p w14:paraId="268A4EFF" w14:textId="77777777" w:rsidR="00BA2B8F" w:rsidRPr="00925F26" w:rsidRDefault="00BA2B8F" w:rsidP="00925F26">
      <w:pPr>
        <w:jc w:val="both"/>
        <w:rPr>
          <w:color w:val="000000" w:themeColor="text1"/>
          <w:sz w:val="16"/>
          <w:szCs w:val="16"/>
        </w:rPr>
      </w:pPr>
      <w:r w:rsidRPr="00925F26">
        <w:rPr>
          <w:color w:val="000000" w:themeColor="text1"/>
          <w:sz w:val="16"/>
          <w:szCs w:val="16"/>
        </w:rPr>
        <w:t>На участке 1 -го Украинского фронта под прикрытием артогня началась переправа через реку Нейсе пехоты, а после захвата первой линии немецких траншей постройка моста для танков, в результате, к 19.00 на западный берег Нейсе переправились части 6 и 7-го гвардейских танковых корпусов, которые тут же ввели в бой. Но, оправившись от неожиданности, немецкие части оказали ожесточенное сопротивление. Так, 17 апреля части 21-й танковой дивизии вермахта контратаковали наши наступающие войска. Особенно жаркий бой разгорелся в районе населенного пункта Гари, где 54-я гвардейская танковая бригада отбивала контратаку немецких танков:</w:t>
      </w:r>
    </w:p>
    <w:p w14:paraId="2305571E" w14:textId="77777777" w:rsidR="00BA2B8F" w:rsidRPr="00925F26" w:rsidRDefault="00BA2B8F" w:rsidP="00925F26">
      <w:pPr>
        <w:jc w:val="both"/>
        <w:rPr>
          <w:color w:val="000000" w:themeColor="text1"/>
          <w:sz w:val="16"/>
          <w:szCs w:val="16"/>
        </w:rPr>
      </w:pPr>
      <w:r w:rsidRPr="00925F26">
        <w:rPr>
          <w:color w:val="000000" w:themeColor="text1"/>
          <w:sz w:val="16"/>
          <w:szCs w:val="16"/>
        </w:rPr>
        <w:t>«В эту контратаку противник ввел до 30 танков, часть из них типа «Тигр». В результате ожесточенного танкового боя бригада уничтожила 15 танков противника, не считая подбитых. В то же время и бригада понесла значительные потери - подбитыми и сгоревшими 12 танков».</w:t>
      </w:r>
    </w:p>
    <w:p w14:paraId="1EEBE282" w14:textId="77777777" w:rsidR="00BA2B8F" w:rsidRPr="00925F26" w:rsidRDefault="00BA2B8F" w:rsidP="00925F26">
      <w:pPr>
        <w:jc w:val="both"/>
        <w:rPr>
          <w:color w:val="000000" w:themeColor="text1"/>
          <w:sz w:val="16"/>
          <w:szCs w:val="16"/>
        </w:rPr>
      </w:pPr>
      <w:r w:rsidRPr="00925F26">
        <w:rPr>
          <w:color w:val="000000" w:themeColor="text1"/>
          <w:sz w:val="16"/>
          <w:szCs w:val="16"/>
        </w:rPr>
        <w:t>Отбросив немецкие части, войска 3-й гвардейской танковой армии перешли к преследованию противника, отходившего к реке Шпрее.</w:t>
      </w:r>
    </w:p>
    <w:p w14:paraId="5A5D4913" w14:textId="77777777" w:rsidR="00BA2B8F" w:rsidRPr="00925F26" w:rsidRDefault="00BA2B8F" w:rsidP="00925F26">
      <w:pPr>
        <w:jc w:val="both"/>
        <w:rPr>
          <w:color w:val="000000" w:themeColor="text1"/>
          <w:sz w:val="16"/>
          <w:szCs w:val="16"/>
        </w:rPr>
      </w:pPr>
      <w:r w:rsidRPr="00925F26">
        <w:rPr>
          <w:color w:val="000000" w:themeColor="text1"/>
          <w:sz w:val="16"/>
          <w:szCs w:val="16"/>
        </w:rPr>
        <w:t>К полудню 18 апреля следующего дня шедшая головной 56-я гвардейская танковая бригада обнаружила брод на Шпрее, правда при этом его глубина была более метра, поэтому «люк механика-водителя заливался водой. Переправа производилась по методу слепого вождения».</w:t>
      </w:r>
    </w:p>
    <w:p w14:paraId="47C9526A" w14:textId="77777777" w:rsidR="00BA2B8F" w:rsidRPr="00925F26" w:rsidRDefault="00BA2B8F" w:rsidP="00925F26">
      <w:pPr>
        <w:jc w:val="both"/>
        <w:rPr>
          <w:color w:val="000000" w:themeColor="text1"/>
          <w:sz w:val="16"/>
          <w:szCs w:val="16"/>
        </w:rPr>
      </w:pPr>
      <w:r w:rsidRPr="00925F26">
        <w:rPr>
          <w:color w:val="000000" w:themeColor="text1"/>
          <w:sz w:val="16"/>
          <w:szCs w:val="16"/>
        </w:rPr>
        <w:t>Вслед за форсировавшими Шпрее частями 7-го гвардейского танкового корпуса, командование армии направило в район брода части 6-го гвардейского и 9-го механизированного корпусов, которые тут же приступили к переправе:</w:t>
      </w:r>
    </w:p>
    <w:p w14:paraId="116B97A9" w14:textId="77777777" w:rsidR="00BA2B8F" w:rsidRPr="00925F26" w:rsidRDefault="00BA2B8F" w:rsidP="00925F26">
      <w:pPr>
        <w:jc w:val="both"/>
        <w:rPr>
          <w:color w:val="000000" w:themeColor="text1"/>
          <w:sz w:val="16"/>
          <w:szCs w:val="16"/>
        </w:rPr>
      </w:pPr>
      <w:r w:rsidRPr="00925F26">
        <w:rPr>
          <w:color w:val="000000" w:themeColor="text1"/>
          <w:sz w:val="16"/>
          <w:szCs w:val="16"/>
        </w:rPr>
        <w:t>«Действуя по глухим лесным дорогам, войска армии вышли к р. Шпрее на участке, где меньше всего ожидал противник. Слабое место обороны противника определилось в ходе боя. Когда это место было нащупано, в образовавшийся коридор была повернута вся армия. Между тем, противник отводил своим потрепанные части в основном в район Коттбус и Шпремберг. где, усилившись местными гарнизонными командами и отрядами фольксштурма, занял оборону. Занять оборону по всему течению р. Шпрее противник не смог, не имея достаточных сил».</w:t>
      </w:r>
    </w:p>
    <w:p w14:paraId="67A5D821" w14:textId="77777777" w:rsidR="00BA2B8F" w:rsidRPr="00925F26" w:rsidRDefault="00BA2B8F" w:rsidP="00925F26">
      <w:pPr>
        <w:jc w:val="both"/>
        <w:rPr>
          <w:color w:val="000000" w:themeColor="text1"/>
          <w:sz w:val="16"/>
          <w:szCs w:val="16"/>
        </w:rPr>
      </w:pPr>
      <w:r w:rsidRPr="00925F26">
        <w:rPr>
          <w:color w:val="000000" w:themeColor="text1"/>
          <w:sz w:val="16"/>
          <w:szCs w:val="16"/>
        </w:rPr>
        <w:t>Переправившись через Шпрее, 19 апреля войска 3-й гвардейской танковой армии продолжали наступление, и, пройдя за сутки 40 километров перерезали автостраду Берлин-Бреслау к западу от Коттбус, выйдя в тыл коттбусовской группировки немцев. Продолжая наступление 6-й гвардейский танковый корпус к 13.30 20 апреля достиг Барут, выйдя к предполью внешнего кольца обороны Берлина. Три головных тридцатьчетверки 53-й гвардейской танковой бригады внезапно ворвались на железнодорожную станцию Барут, разогнали до тысячи немецких солдат, выгружавшихся из прибывшего из Берлина эшелона, и захватила на железнодорожных платформах 8 исправных танков.</w:t>
      </w:r>
    </w:p>
    <w:p w14:paraId="60614A7F" w14:textId="77777777" w:rsidR="00BA2B8F" w:rsidRPr="00925F26" w:rsidRDefault="00BA2B8F" w:rsidP="00925F26">
      <w:pPr>
        <w:jc w:val="both"/>
        <w:rPr>
          <w:color w:val="000000" w:themeColor="text1"/>
          <w:sz w:val="16"/>
          <w:szCs w:val="16"/>
        </w:rPr>
      </w:pPr>
      <w:r w:rsidRPr="00925F26">
        <w:rPr>
          <w:color w:val="000000" w:themeColor="text1"/>
          <w:sz w:val="16"/>
          <w:szCs w:val="16"/>
        </w:rPr>
        <w:t>За период боев от Нейсе и до выхода к Барут 3-я гвардейская танковая армия уничтожила блее 3000 солдат и офицеров, 25 танков, 52 орудия, захватили около 600 пленных, 31 танк, 23 орудия, 4 паровоза и 80 вагонов с различными грузами. К 20 апреля в строю имелось 335 исправных Т-34-85, еще 40 машин требовали ремонта.</w:t>
      </w:r>
    </w:p>
    <w:p w14:paraId="0F73C22E" w14:textId="77777777" w:rsidR="00BA2B8F" w:rsidRPr="00925F26" w:rsidRDefault="00BA2B8F" w:rsidP="00925F26">
      <w:pPr>
        <w:jc w:val="both"/>
        <w:rPr>
          <w:color w:val="000000" w:themeColor="text1"/>
          <w:sz w:val="16"/>
          <w:szCs w:val="16"/>
        </w:rPr>
      </w:pPr>
      <w:r w:rsidRPr="00925F26">
        <w:rPr>
          <w:color w:val="000000" w:themeColor="text1"/>
          <w:sz w:val="16"/>
          <w:szCs w:val="16"/>
        </w:rPr>
        <w:t>Получив от командующего 1-м Украинским фронтом указание: «Войска маршала Жукова в 10 км от восточной окраины Берлина. Приказываю обязательно сегодня ночью ворваться в Берлин первыми.</w:t>
      </w:r>
    </w:p>
    <w:p w14:paraId="66ED2298" w14:textId="77777777" w:rsidR="00BA2B8F" w:rsidRPr="00925F26" w:rsidRDefault="00BA2B8F" w:rsidP="00925F26">
      <w:pPr>
        <w:jc w:val="both"/>
        <w:rPr>
          <w:color w:val="000000" w:themeColor="text1"/>
          <w:sz w:val="16"/>
          <w:szCs w:val="16"/>
        </w:rPr>
      </w:pPr>
      <w:r w:rsidRPr="00925F26">
        <w:rPr>
          <w:color w:val="000000" w:themeColor="text1"/>
          <w:sz w:val="16"/>
          <w:szCs w:val="16"/>
        </w:rPr>
        <w:t>Исполнение донести», командующий 3-й гвардейской танковой армией П. Рыбалко приказал продолжить наступление с часа ночи 21-го апреля, но выполнить поставленную задачу не удалось:</w:t>
      </w:r>
    </w:p>
    <w:p w14:paraId="325510CA" w14:textId="77777777" w:rsidR="00BA2B8F" w:rsidRPr="00925F26" w:rsidRDefault="00BA2B8F" w:rsidP="00925F26">
      <w:pPr>
        <w:jc w:val="both"/>
        <w:rPr>
          <w:color w:val="000000" w:themeColor="text1"/>
          <w:sz w:val="16"/>
          <w:szCs w:val="16"/>
        </w:rPr>
      </w:pPr>
      <w:r w:rsidRPr="00925F26">
        <w:rPr>
          <w:color w:val="000000" w:themeColor="text1"/>
          <w:sz w:val="16"/>
          <w:szCs w:val="16"/>
        </w:rPr>
        <w:t>«В лесисто-озерной полосе между Барут и Цоссен войска армии встретили внешнее кольцо обороны Берлина, прикрываемое многочисленными заграждениями - завалами, рвами, минами, ДОТами, упорно обороняемые противником. Преодоление заграждении задержало армию на сутки».</w:t>
      </w:r>
    </w:p>
    <w:p w14:paraId="0471DA9F" w14:textId="77777777" w:rsidR="00BA2B8F" w:rsidRPr="00925F26" w:rsidRDefault="00BA2B8F" w:rsidP="00925F26">
      <w:pPr>
        <w:jc w:val="both"/>
        <w:rPr>
          <w:color w:val="000000" w:themeColor="text1"/>
          <w:sz w:val="16"/>
          <w:szCs w:val="16"/>
        </w:rPr>
      </w:pPr>
      <w:r w:rsidRPr="00925F26">
        <w:rPr>
          <w:color w:val="000000" w:themeColor="text1"/>
          <w:sz w:val="16"/>
          <w:szCs w:val="16"/>
        </w:rPr>
        <w:lastRenderedPageBreak/>
        <w:t>Продолжая наступление в ночь с 21 на 22 апреля, части армии заняли Цоссен и вышли к каналу Нотте - внешнему оборонительному обводу Берлина.</w:t>
      </w:r>
    </w:p>
    <w:p w14:paraId="1EDCB2F2" w14:textId="77777777" w:rsidR="00BA2B8F" w:rsidRPr="00925F26" w:rsidRDefault="00BA2B8F" w:rsidP="00925F26">
      <w:pPr>
        <w:jc w:val="both"/>
        <w:rPr>
          <w:color w:val="000000" w:themeColor="text1"/>
          <w:sz w:val="16"/>
          <w:szCs w:val="16"/>
        </w:rPr>
      </w:pPr>
      <w:r w:rsidRPr="00925F26">
        <w:rPr>
          <w:color w:val="000000" w:themeColor="text1"/>
          <w:sz w:val="16"/>
          <w:szCs w:val="16"/>
        </w:rPr>
        <w:t>Переправившись через канал Нотте, 22 апреля соединения 3-й гвардейской танковой армии вышли к круговой Берлинской автостраде, к вечеру тридцатьчетверки 6-го гвардейского танкового корпуса ворвались в пригород Берлина Тельтов, а к исходу дня войска армии вышли к каналу Тельтов и попытались форсировать его с хода. Однако сделать это не удалось:</w:t>
      </w:r>
    </w:p>
    <w:p w14:paraId="13C9B5B3" w14:textId="77777777" w:rsidR="00BA2B8F" w:rsidRPr="00925F26" w:rsidRDefault="00BA2B8F" w:rsidP="00925F26">
      <w:pPr>
        <w:jc w:val="both"/>
        <w:rPr>
          <w:color w:val="000000" w:themeColor="text1"/>
          <w:sz w:val="16"/>
          <w:szCs w:val="16"/>
        </w:rPr>
      </w:pPr>
      <w:r w:rsidRPr="00925F26">
        <w:rPr>
          <w:color w:val="000000" w:themeColor="text1"/>
          <w:sz w:val="16"/>
          <w:szCs w:val="16"/>
        </w:rPr>
        <w:t>«Передний край обороны проходит непосредственно по северному берегу канала Тельтов и представляет собой 1-2 линии прерывчатых траншей с выносными пулеметными площадками и окопами для снайперов и фаустпатронщиков, а также отдельные укрепленные здания, выходящие на берег.</w:t>
      </w:r>
    </w:p>
    <w:p w14:paraId="3C4C47F4" w14:textId="77777777" w:rsidR="00BA2B8F" w:rsidRPr="00925F26" w:rsidRDefault="00BA2B8F" w:rsidP="00925F26">
      <w:pPr>
        <w:jc w:val="both"/>
        <w:rPr>
          <w:color w:val="000000" w:themeColor="text1"/>
          <w:sz w:val="16"/>
          <w:szCs w:val="16"/>
        </w:rPr>
      </w:pPr>
      <w:r w:rsidRPr="00925F26">
        <w:rPr>
          <w:color w:val="000000" w:themeColor="text1"/>
          <w:sz w:val="16"/>
          <w:szCs w:val="16"/>
        </w:rPr>
        <w:t>Канал Тельтов в полосе наступления армии имел ширину 30—35 м. глубину до 4,5 м. Так как противником были взорваны все мосты на этом участке, то последний являлся серьезным препятствием на пути движения армии.</w:t>
      </w:r>
    </w:p>
    <w:p w14:paraId="557130C2" w14:textId="77777777" w:rsidR="00BA2B8F" w:rsidRPr="00925F26" w:rsidRDefault="00BA2B8F" w:rsidP="00925F26">
      <w:pPr>
        <w:jc w:val="both"/>
        <w:rPr>
          <w:color w:val="000000" w:themeColor="text1"/>
          <w:sz w:val="16"/>
          <w:szCs w:val="16"/>
        </w:rPr>
      </w:pPr>
      <w:r w:rsidRPr="00925F26">
        <w:rPr>
          <w:color w:val="000000" w:themeColor="text1"/>
          <w:sz w:val="16"/>
          <w:szCs w:val="16"/>
        </w:rPr>
        <w:t>Впереди первой линии траншей на отдельных участках были возведены проволочные препятствия - проволочный забор в 1-2 кола, а в районе озера Штансдорф - электризованный проволочный забор протяженностью до 200 метров.</w:t>
      </w:r>
    </w:p>
    <w:p w14:paraId="72686980" w14:textId="77777777" w:rsidR="00BA2B8F" w:rsidRPr="00925F26" w:rsidRDefault="00BA2B8F" w:rsidP="00925F26">
      <w:pPr>
        <w:jc w:val="both"/>
        <w:rPr>
          <w:color w:val="000000" w:themeColor="text1"/>
          <w:sz w:val="16"/>
          <w:szCs w:val="16"/>
        </w:rPr>
      </w:pPr>
      <w:r w:rsidRPr="00925F26">
        <w:rPr>
          <w:color w:val="000000" w:themeColor="text1"/>
          <w:sz w:val="16"/>
          <w:szCs w:val="16"/>
        </w:rPr>
        <w:t>Подступы к взорванным мостам были, как правило, минированы или охранялись фаустпатронщиками. Непосредственно на переднем крае были сооружены ДЗОТы для станковых пулеметов и артиллерии.</w:t>
      </w:r>
    </w:p>
    <w:p w14:paraId="2AA44A57" w14:textId="77777777" w:rsidR="00BA2B8F" w:rsidRPr="00925F26" w:rsidRDefault="00BA2B8F" w:rsidP="00925F26">
      <w:pPr>
        <w:jc w:val="both"/>
        <w:rPr>
          <w:color w:val="000000" w:themeColor="text1"/>
          <w:sz w:val="16"/>
          <w:szCs w:val="16"/>
        </w:rPr>
      </w:pPr>
      <w:r w:rsidRPr="00925F26">
        <w:rPr>
          <w:color w:val="000000" w:themeColor="text1"/>
          <w:sz w:val="16"/>
          <w:szCs w:val="16"/>
        </w:rPr>
        <w:t>Разрушенные здания приспособлены для минометов и артиллерийских позиций. Все улицы, ведущие от канала в предместья Берлина (пригород Темпельхоф, Лихтерфельде, Целендорф) забаррикадированы, завалены подручными материалами и всевозможными остатками разбитой техники. Отдельные улицы минированы небольшими очагами - 10-25 мин.</w:t>
      </w:r>
    </w:p>
    <w:p w14:paraId="7BC4A260" w14:textId="77777777" w:rsidR="00BA2B8F" w:rsidRPr="00925F26" w:rsidRDefault="00BA2B8F" w:rsidP="00925F26">
      <w:pPr>
        <w:jc w:val="both"/>
        <w:rPr>
          <w:color w:val="000000" w:themeColor="text1"/>
          <w:sz w:val="16"/>
          <w:szCs w:val="16"/>
        </w:rPr>
      </w:pPr>
      <w:r w:rsidRPr="00925F26">
        <w:rPr>
          <w:color w:val="000000" w:themeColor="text1"/>
          <w:sz w:val="16"/>
          <w:szCs w:val="16"/>
        </w:rPr>
        <w:t>В глубине обороны (до рубежа железнодорожного кольца, опоясывающего центральные районы Берлина) отдельные сохранившиеся кварталы превращены в опорные пункты. Причем каждый опорный пункт имел между собой огневую связь и скрытые пути сообщения через проломы в зданиях, изгородях, по садам и т.д. Такие опорные пункты были созданы на главных улицах: Унтер ден Эйхен, Хаупр-штрас- се, Альбрехт-штрасее.</w:t>
      </w:r>
    </w:p>
    <w:p w14:paraId="4196349C" w14:textId="77777777" w:rsidR="00BA2B8F" w:rsidRPr="00925F26" w:rsidRDefault="00BA2B8F" w:rsidP="00925F26">
      <w:pPr>
        <w:jc w:val="both"/>
        <w:rPr>
          <w:color w:val="000000" w:themeColor="text1"/>
          <w:sz w:val="16"/>
          <w:szCs w:val="16"/>
        </w:rPr>
      </w:pPr>
      <w:r w:rsidRPr="00925F26">
        <w:rPr>
          <w:color w:val="000000" w:themeColor="text1"/>
          <w:sz w:val="16"/>
          <w:szCs w:val="16"/>
        </w:rPr>
        <w:t>Станции метро (надземная часть) превращены в сильные блокгаузы с круговым обстрелом (в стенах проделаны бойницы и амбразуры), а туннели метрополитена использовались как скрытые хода сообщения для всевозможных перегруппировок гарнизонов опорных пунктов и захода нашим наступающим частям в тыл.</w:t>
      </w:r>
    </w:p>
    <w:p w14:paraId="3A6D28B4" w14:textId="77777777" w:rsidR="00BA2B8F" w:rsidRPr="00925F26" w:rsidRDefault="00BA2B8F" w:rsidP="00925F26">
      <w:pPr>
        <w:jc w:val="both"/>
        <w:rPr>
          <w:color w:val="000000" w:themeColor="text1"/>
          <w:sz w:val="16"/>
          <w:szCs w:val="16"/>
        </w:rPr>
      </w:pPr>
      <w:r w:rsidRPr="00925F26">
        <w:rPr>
          <w:color w:val="000000" w:themeColor="text1"/>
          <w:sz w:val="16"/>
          <w:szCs w:val="16"/>
        </w:rPr>
        <w:t>На левом фланге наступления армии на лесистой местности противником на основных дорогах устроены лесные завалы, барьеры, перекрестки дорог минированы. Вдоль дорог отрыты открытые площадки, окопы для фаустпатронщиков, артиллерийских позиций» (12217).</w:t>
      </w:r>
    </w:p>
    <w:p w14:paraId="08BF47AD" w14:textId="77777777" w:rsidR="00BA2B8F" w:rsidRPr="00925F26" w:rsidRDefault="00BA2B8F" w:rsidP="00925F26">
      <w:pPr>
        <w:jc w:val="both"/>
        <w:rPr>
          <w:color w:val="000000" w:themeColor="text1"/>
          <w:sz w:val="16"/>
          <w:szCs w:val="16"/>
        </w:rPr>
      </w:pPr>
    </w:p>
    <w:p w14:paraId="2D2D79DC" w14:textId="77777777" w:rsidR="004A3537" w:rsidRPr="00925F26" w:rsidRDefault="004A3537" w:rsidP="00925F26">
      <w:pPr>
        <w:jc w:val="both"/>
        <w:rPr>
          <w:color w:val="000000" w:themeColor="text1"/>
          <w:sz w:val="16"/>
          <w:szCs w:val="16"/>
        </w:rPr>
      </w:pPr>
      <w:r w:rsidRPr="00925F26">
        <w:rPr>
          <w:color w:val="000000" w:themeColor="text1"/>
          <w:sz w:val="16"/>
          <w:szCs w:val="16"/>
        </w:rPr>
        <w:t>16 апреля 1945 г. началось наступление на Берлин и на всех участках фронта шли ожесточенные сражения. Во вторник 17 апреля 1945 г. стало ясно, что советские войска не продвигаются вперед. Сталин потребовал усилить натиск любой ценой. Прорыв Зееловских высот неожиданным маневром осуществили танкисты 1-й Гв. ТА генерала Катукова (17459).</w:t>
      </w:r>
    </w:p>
    <w:p w14:paraId="44A8C7BC" w14:textId="77777777" w:rsidR="004A3537" w:rsidRPr="00925F26" w:rsidRDefault="004A3537" w:rsidP="00925F26">
      <w:pPr>
        <w:jc w:val="both"/>
        <w:rPr>
          <w:color w:val="000000" w:themeColor="text1"/>
          <w:sz w:val="16"/>
          <w:szCs w:val="16"/>
        </w:rPr>
      </w:pPr>
    </w:p>
    <w:p w14:paraId="1A0356D5" w14:textId="77777777" w:rsidR="00BA2B8F" w:rsidRPr="00925F26" w:rsidRDefault="00BA2B8F" w:rsidP="00925F26">
      <w:pPr>
        <w:jc w:val="both"/>
        <w:rPr>
          <w:color w:val="000000" w:themeColor="text1"/>
          <w:sz w:val="16"/>
          <w:szCs w:val="16"/>
        </w:rPr>
      </w:pPr>
      <w:r w:rsidRPr="00925F26">
        <w:rPr>
          <w:color w:val="000000" w:themeColor="text1"/>
          <w:sz w:val="16"/>
          <w:szCs w:val="16"/>
        </w:rPr>
        <w:t xml:space="preserve">С 16 по 19 апреля 1945 года в боях за Берлин экипаж командира танкового взвода лейтенанта Ивана </w:t>
      </w:r>
      <w:proofErr w:type="gramStart"/>
      <w:r w:rsidRPr="00925F26">
        <w:rPr>
          <w:color w:val="000000" w:themeColor="text1"/>
          <w:sz w:val="16"/>
          <w:szCs w:val="16"/>
        </w:rPr>
        <w:t>Гни- ломедова</w:t>
      </w:r>
      <w:proofErr w:type="gramEnd"/>
      <w:r w:rsidRPr="00925F26">
        <w:rPr>
          <w:color w:val="000000" w:themeColor="text1"/>
          <w:sz w:val="16"/>
          <w:szCs w:val="16"/>
        </w:rPr>
        <w:t xml:space="preserve"> из 65-й танковой бригады 11-го танкового корпуса 1-й гвардейской танковой армии уничтожил 8 танков, 3 штурмовых орудия, 3 ПТО противника. 31 мая 1945года лейтенанту ИА Гниломедову присвоили звание Героя Советского Союза (12217).</w:t>
      </w:r>
    </w:p>
    <w:p w14:paraId="0D26F390" w14:textId="77777777" w:rsidR="00BA2B8F" w:rsidRPr="00925F26" w:rsidRDefault="00BA2B8F" w:rsidP="00925F26">
      <w:pPr>
        <w:jc w:val="both"/>
        <w:rPr>
          <w:color w:val="000000" w:themeColor="text1"/>
          <w:sz w:val="16"/>
          <w:szCs w:val="16"/>
        </w:rPr>
      </w:pPr>
    </w:p>
    <w:p w14:paraId="2A5A880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16 1945 Russians under Zhukov open Battle of Berlin with massive rocket and artillery barrage on the city (1769).</w:t>
      </w:r>
    </w:p>
    <w:p w14:paraId="6E21F8B1" w14:textId="77777777" w:rsidR="00665165" w:rsidRPr="00925F26" w:rsidRDefault="00665165" w:rsidP="00925F26">
      <w:pPr>
        <w:autoSpaceDE w:val="0"/>
        <w:autoSpaceDN w:val="0"/>
        <w:adjustRightInd w:val="0"/>
        <w:jc w:val="both"/>
        <w:rPr>
          <w:color w:val="000000" w:themeColor="text1"/>
          <w:sz w:val="16"/>
          <w:szCs w:val="16"/>
          <w:lang w:val="en-US"/>
        </w:rPr>
      </w:pPr>
    </w:p>
    <w:p w14:paraId="284E9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Г.К.Ж. начал битву за Берлин с артиллерийского и ракетного обстрела города (1769).</w:t>
      </w:r>
    </w:p>
    <w:p w14:paraId="6929A35F" w14:textId="77777777" w:rsidR="00665165" w:rsidRPr="00925F26" w:rsidRDefault="00665165" w:rsidP="00925F26">
      <w:pPr>
        <w:autoSpaceDE w:val="0"/>
        <w:autoSpaceDN w:val="0"/>
        <w:adjustRightInd w:val="0"/>
        <w:jc w:val="both"/>
        <w:rPr>
          <w:color w:val="000000" w:themeColor="text1"/>
          <w:sz w:val="16"/>
          <w:szCs w:val="16"/>
        </w:rPr>
      </w:pPr>
    </w:p>
    <w:p w14:paraId="7D6D50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состоялся налет 3 чехословацкого шап на станцию Smolkov и часть понесла тяжелые потери от зенитного огня и более 20 машин было повреждено. Вечером того же дня атаковали два моста через Одер. В ходе штурмовки мостов стрелок серж. Richard Husman, бывший сбил FW-190 вблизи Olza, но штурмовик был поврежден и с трудом вернулся на аэродром (241,39).</w:t>
      </w:r>
    </w:p>
    <w:p w14:paraId="65AD6252" w14:textId="77777777" w:rsidR="00665165" w:rsidRPr="00925F26" w:rsidRDefault="00665165" w:rsidP="00925F26">
      <w:pPr>
        <w:autoSpaceDE w:val="0"/>
        <w:autoSpaceDN w:val="0"/>
        <w:adjustRightInd w:val="0"/>
        <w:jc w:val="both"/>
        <w:rPr>
          <w:color w:val="000000" w:themeColor="text1"/>
          <w:sz w:val="16"/>
          <w:szCs w:val="16"/>
        </w:rPr>
      </w:pPr>
    </w:p>
    <w:p w14:paraId="47A1DC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16 апреля 1945 3 польский шап принял участие в наступлении на Одере в ходе битвы за Берлин (241,37).</w:t>
      </w:r>
    </w:p>
    <w:p w14:paraId="278F2623" w14:textId="77777777" w:rsidR="00665165" w:rsidRPr="00925F26" w:rsidRDefault="00665165" w:rsidP="00925F26">
      <w:pPr>
        <w:autoSpaceDE w:val="0"/>
        <w:autoSpaceDN w:val="0"/>
        <w:adjustRightInd w:val="0"/>
        <w:jc w:val="both"/>
        <w:rPr>
          <w:color w:val="000000" w:themeColor="text1"/>
          <w:sz w:val="16"/>
          <w:szCs w:val="16"/>
        </w:rPr>
      </w:pPr>
    </w:p>
    <w:p w14:paraId="39B6E4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16-20 апреля 1945 группа С-47 10-й гтд ГВФ под командой г В.Г.Грачева совершила первый групповой перелет из СССР в США, доставив туда персонал советской делегации на Генеральную ассамблею ООН в Сан-Франциско. Перелет был по маршруту Москва - Якутск - Уэлькаль - Фэрнбенкс - Сан-Франциско 16000 км. В мае вернулись тем же маршрутом (438,988).</w:t>
      </w:r>
    </w:p>
    <w:p w14:paraId="38672AE1" w14:textId="77777777" w:rsidR="00665165" w:rsidRPr="00925F26" w:rsidRDefault="00665165" w:rsidP="00925F26">
      <w:pPr>
        <w:autoSpaceDE w:val="0"/>
        <w:autoSpaceDN w:val="0"/>
        <w:adjustRightInd w:val="0"/>
        <w:jc w:val="both"/>
        <w:rPr>
          <w:color w:val="000000" w:themeColor="text1"/>
          <w:sz w:val="16"/>
          <w:szCs w:val="16"/>
        </w:rPr>
      </w:pPr>
    </w:p>
    <w:p w14:paraId="68E4D3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г. переправу через Одру в районе г. Ольза, истребители Ла-5, ведомые надпоручником Франтишеком Хаберой, сбили два Bf 109 (4707).</w:t>
      </w:r>
    </w:p>
    <w:p w14:paraId="2D8FE6B3" w14:textId="77777777" w:rsidR="00665165" w:rsidRPr="00925F26" w:rsidRDefault="00665165" w:rsidP="00925F26">
      <w:pPr>
        <w:autoSpaceDE w:val="0"/>
        <w:autoSpaceDN w:val="0"/>
        <w:adjustRightInd w:val="0"/>
        <w:jc w:val="both"/>
        <w:rPr>
          <w:iCs/>
          <w:color w:val="000000" w:themeColor="text1"/>
          <w:sz w:val="16"/>
          <w:szCs w:val="16"/>
        </w:rPr>
      </w:pPr>
    </w:p>
    <w:p w14:paraId="04921C4D" w14:textId="77777777" w:rsidR="001438DF" w:rsidRPr="00925F26" w:rsidRDefault="001438DF" w:rsidP="00925F26">
      <w:pPr>
        <w:jc w:val="both"/>
        <w:rPr>
          <w:color w:val="000000" w:themeColor="text1"/>
          <w:sz w:val="16"/>
          <w:szCs w:val="16"/>
        </w:rPr>
      </w:pPr>
      <w:r w:rsidRPr="00925F26">
        <w:rPr>
          <w:color w:val="000000" w:themeColor="text1"/>
          <w:sz w:val="16"/>
          <w:szCs w:val="16"/>
        </w:rPr>
        <w:t>16 апреля в 1945 году германский пароход «Goya» затонул в Балтийском море после торпедной атаки советской подводной лодки «Л-3». 6200 жертв. Грузовое судно, построенное на верфи «Akers Mekanika Verksted» в Осло, Норвегия. Спущено на воду 4 апреля 1940 года. Судно было конфисковано немцами после занятия Норвегии Германией. Сначала использовалось в качестве корабля-цели для подготовки экипажей немецких подводных лодок. Позже судно участвовало в эвакуации людей морем от наступающей Красной Армии. «Гойя» успел совершить четыре похода, в которых было эвакуировано 19785 человек. В ночь на 16 апреля 1945 года совершавшее пятый поход судно было торпедировано советской подводной лодкой «Л-3» (2 торпеды), после чего затонуло в Балтийском море. В катастрофе погибло от 6000 до 7000 человек (точное количество находившихся на борту неизвестно). Кроме гражданских и раненых военнослужащих на борту находились 200 солдат 25-го танкового полка вермахта. Спасено 185 человек (15101).</w:t>
      </w:r>
    </w:p>
    <w:p w14:paraId="74545D15" w14:textId="77777777" w:rsidR="001438DF" w:rsidRPr="00925F26" w:rsidRDefault="001438DF" w:rsidP="00925F26">
      <w:pPr>
        <w:jc w:val="both"/>
        <w:rPr>
          <w:color w:val="000000" w:themeColor="text1"/>
          <w:sz w:val="16"/>
          <w:szCs w:val="16"/>
        </w:rPr>
      </w:pPr>
    </w:p>
    <w:p w14:paraId="6383E7C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65FFF48" w14:textId="77777777" w:rsidR="00665165" w:rsidRPr="00925F26" w:rsidRDefault="00665165" w:rsidP="00925F26">
      <w:pPr>
        <w:autoSpaceDE w:val="0"/>
        <w:autoSpaceDN w:val="0"/>
        <w:adjustRightInd w:val="0"/>
        <w:jc w:val="both"/>
        <w:rPr>
          <w:iCs/>
          <w:color w:val="000000" w:themeColor="text1"/>
          <w:sz w:val="16"/>
          <w:szCs w:val="16"/>
        </w:rPr>
      </w:pPr>
    </w:p>
    <w:p w14:paraId="3BD1514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апреля 1945 в Киеве открыт филиал Центрального музея В. Ленина (4962).</w:t>
      </w:r>
    </w:p>
    <w:p w14:paraId="6827449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57F391C"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3CBEC25C" w14:textId="77777777" w:rsidR="00665165" w:rsidRPr="00925F26" w:rsidRDefault="00665165" w:rsidP="00925F26">
      <w:pPr>
        <w:autoSpaceDE w:val="0"/>
        <w:autoSpaceDN w:val="0"/>
        <w:adjustRightInd w:val="0"/>
        <w:jc w:val="both"/>
        <w:rPr>
          <w:iCs/>
          <w:color w:val="000000" w:themeColor="text1"/>
          <w:sz w:val="16"/>
          <w:szCs w:val="16"/>
          <w:lang w:val="en-US"/>
        </w:rPr>
      </w:pPr>
    </w:p>
    <w:p w14:paraId="7D331F6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16 1945 Americans enter Nuremberg (1050).</w:t>
      </w:r>
    </w:p>
    <w:p w14:paraId="2D49C143" w14:textId="77777777" w:rsidR="00665165" w:rsidRPr="00925F26" w:rsidRDefault="00665165" w:rsidP="00925F26">
      <w:pPr>
        <w:autoSpaceDE w:val="0"/>
        <w:autoSpaceDN w:val="0"/>
        <w:adjustRightInd w:val="0"/>
        <w:jc w:val="both"/>
        <w:rPr>
          <w:color w:val="000000" w:themeColor="text1"/>
          <w:sz w:val="16"/>
          <w:szCs w:val="16"/>
          <w:lang w:val="en-US"/>
        </w:rPr>
      </w:pPr>
    </w:p>
    <w:p w14:paraId="0187FC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(17 - 2248,5) 1945 американцы вошли в Нюрнберг (1050).</w:t>
      </w:r>
    </w:p>
    <w:p w14:paraId="58EA1BA9" w14:textId="77777777" w:rsidR="00665165" w:rsidRPr="00925F26" w:rsidRDefault="00665165" w:rsidP="00925F26">
      <w:pPr>
        <w:autoSpaceDE w:val="0"/>
        <w:autoSpaceDN w:val="0"/>
        <w:adjustRightInd w:val="0"/>
        <w:jc w:val="both"/>
        <w:rPr>
          <w:color w:val="000000" w:themeColor="text1"/>
          <w:sz w:val="16"/>
          <w:szCs w:val="16"/>
        </w:rPr>
      </w:pPr>
    </w:p>
    <w:p w14:paraId="2833F6FE" w14:textId="77777777" w:rsidR="001438DF" w:rsidRPr="00925F26" w:rsidRDefault="001438DF"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апреля 1945 американский войска взяли Нюрнберг (4962).</w:t>
      </w:r>
    </w:p>
    <w:p w14:paraId="6C972FFC" w14:textId="77777777" w:rsidR="001438DF" w:rsidRPr="00925F26" w:rsidRDefault="001438DF" w:rsidP="00925F26">
      <w:pPr>
        <w:tabs>
          <w:tab w:val="left" w:pos="11199"/>
        </w:tabs>
        <w:autoSpaceDE w:val="0"/>
        <w:autoSpaceDN w:val="0"/>
        <w:adjustRightInd w:val="0"/>
        <w:jc w:val="both"/>
        <w:rPr>
          <w:color w:val="000000" w:themeColor="text1"/>
          <w:sz w:val="16"/>
          <w:szCs w:val="16"/>
        </w:rPr>
      </w:pPr>
    </w:p>
    <w:p w14:paraId="7F18BBD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16th, 1945: In the West, the Canadian First Army occupies Leeuwarden and Groningen in northern Holland. The US First Army captures Solingen and Wuppertal. In the East, the 1st Belorussian Front (Zhukov) and the 1st Ukrainian Front (Konev), from their Oder bridgeheads N and S of Frankfurt, launch their final great offensive against Berlin. In the Baltic off Hela, the German liner Goya is torpedoed by a Soviet submarine, killing 6,500 wounded soldiers and refugees (3819).</w:t>
      </w:r>
    </w:p>
    <w:p w14:paraId="72EB63D9" w14:textId="77777777" w:rsidR="00665165" w:rsidRPr="00925F26" w:rsidRDefault="00665165" w:rsidP="00925F26">
      <w:pPr>
        <w:autoSpaceDE w:val="0"/>
        <w:autoSpaceDN w:val="0"/>
        <w:adjustRightInd w:val="0"/>
        <w:jc w:val="both"/>
        <w:rPr>
          <w:color w:val="000000" w:themeColor="text1"/>
          <w:sz w:val="16"/>
          <w:szCs w:val="16"/>
          <w:lang w:val="en-US"/>
        </w:rPr>
      </w:pPr>
    </w:p>
    <w:p w14:paraId="4B626A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апреля 1945 канадская 1А заняла Лееуварден и Гронинген в северной Голландии. 1А США заняла Золлинген и Вуппертал. 1БФ (Жуков) и 1УФ (Конев) начали наступление. Советская п/л потопила лайнер Гойя, который перевозил 6500 раненых и беженцев (3819).</w:t>
      </w:r>
    </w:p>
    <w:p w14:paraId="19ADD481" w14:textId="77777777" w:rsidR="00665165" w:rsidRPr="00925F26" w:rsidRDefault="00665165" w:rsidP="00925F26">
      <w:pPr>
        <w:autoSpaceDE w:val="0"/>
        <w:autoSpaceDN w:val="0"/>
        <w:adjustRightInd w:val="0"/>
        <w:jc w:val="both"/>
        <w:rPr>
          <w:color w:val="000000" w:themeColor="text1"/>
          <w:sz w:val="16"/>
          <w:szCs w:val="16"/>
        </w:rPr>
      </w:pPr>
    </w:p>
    <w:p w14:paraId="3CBE25B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апреля 1945 Ева Браун прибыла в Берлин к Гитлеру (4962).</w:t>
      </w:r>
    </w:p>
    <w:p w14:paraId="65BAAB6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54FB11E" w14:textId="77777777" w:rsidR="001438DF" w:rsidRPr="00925F26" w:rsidRDefault="001438DF"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16 апреля 1945 г. Союзники вступили в Брандис и лишь через 2,5 месяца — 2 июля — туда вошли советские войска. Примерно такой же срок хозяйничали американцы и в других местностях района Дессау-Лейпциг, который они первоначально заняли (15791).</w:t>
      </w:r>
    </w:p>
    <w:p w14:paraId="1D4AA60A" w14:textId="77777777" w:rsidR="001438DF" w:rsidRPr="00925F26" w:rsidRDefault="001438DF" w:rsidP="00925F26">
      <w:pPr>
        <w:pStyle w:val="36"/>
        <w:shd w:val="clear" w:color="auto" w:fill="auto"/>
        <w:spacing w:after="0" w:line="240" w:lineRule="auto"/>
        <w:jc w:val="both"/>
        <w:rPr>
          <w:rFonts w:ascii="Times New Roman" w:cs="Times New Roman"/>
          <w:color w:val="000000" w:themeColor="text1"/>
          <w:spacing w:val="0"/>
          <w:sz w:val="16"/>
          <w:szCs w:val="16"/>
        </w:rPr>
      </w:pPr>
    </w:p>
    <w:p w14:paraId="53D094D0" w14:textId="77777777" w:rsidR="001438DF" w:rsidRPr="00925F26" w:rsidRDefault="001438DF" w:rsidP="00925F26">
      <w:pPr>
        <w:jc w:val="both"/>
        <w:rPr>
          <w:color w:val="000000" w:themeColor="text1"/>
          <w:sz w:val="16"/>
          <w:szCs w:val="16"/>
        </w:rPr>
      </w:pPr>
      <w:r w:rsidRPr="00925F26">
        <w:rPr>
          <w:color w:val="000000" w:themeColor="text1"/>
          <w:sz w:val="16"/>
          <w:szCs w:val="16"/>
        </w:rPr>
        <w:t>16 апреля в 1945 году Конгресс США принял поправку к закону о ленд-лизе, согласно которой Великобритании запрещалось использовать фонды ленд-лиза для послевоенного восстановления экономики (15101).</w:t>
      </w:r>
    </w:p>
    <w:p w14:paraId="03E9DED6" w14:textId="77777777" w:rsidR="001438DF" w:rsidRPr="00925F26" w:rsidRDefault="001438DF" w:rsidP="00925F26">
      <w:pPr>
        <w:jc w:val="both"/>
        <w:rPr>
          <w:color w:val="000000" w:themeColor="text1"/>
          <w:sz w:val="16"/>
          <w:szCs w:val="16"/>
        </w:rPr>
      </w:pPr>
    </w:p>
    <w:p w14:paraId="3E16611A" w14:textId="77777777" w:rsidR="001438DF" w:rsidRPr="00925F26" w:rsidRDefault="001438DF" w:rsidP="00925F26">
      <w:pPr>
        <w:jc w:val="both"/>
        <w:rPr>
          <w:color w:val="000000" w:themeColor="text1"/>
          <w:sz w:val="16"/>
          <w:szCs w:val="16"/>
        </w:rPr>
      </w:pPr>
      <w:r w:rsidRPr="00925F26">
        <w:rPr>
          <w:color w:val="000000" w:themeColor="text1"/>
          <w:sz w:val="16"/>
          <w:szCs w:val="16"/>
        </w:rPr>
        <w:t>16 апреля в 1945 году сильный налет английской авиации уничтожает у Свинемюнде германский крейсер «Лютцов» (15101).</w:t>
      </w:r>
    </w:p>
    <w:p w14:paraId="7B980679" w14:textId="77777777" w:rsidR="001438DF" w:rsidRPr="00925F26" w:rsidRDefault="001438DF" w:rsidP="00925F26">
      <w:pPr>
        <w:jc w:val="both"/>
        <w:rPr>
          <w:color w:val="000000" w:themeColor="text1"/>
          <w:sz w:val="16"/>
          <w:szCs w:val="16"/>
        </w:rPr>
      </w:pPr>
    </w:p>
    <w:p w14:paraId="123D3C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16 апреля 1945 состоялось пятое боевое применение японцами ракетного снаряда Ока, управляемого камикадзе. Было 6 носителей, японцы объявили, что был уничтожен линкор. Потом в атаках 28 апреля, 4 мая, 11 мая и 22 июня 4, 7, 4 и 6 снарядов по японским данным потопили авианосец, линкор и крейсер (2969,21).</w:t>
      </w:r>
    </w:p>
    <w:p w14:paraId="524AC878" w14:textId="77777777" w:rsidR="00665165" w:rsidRPr="00925F26" w:rsidRDefault="00665165" w:rsidP="00925F26">
      <w:pPr>
        <w:autoSpaceDE w:val="0"/>
        <w:autoSpaceDN w:val="0"/>
        <w:adjustRightInd w:val="0"/>
        <w:jc w:val="both"/>
        <w:rPr>
          <w:color w:val="000000" w:themeColor="text1"/>
          <w:sz w:val="16"/>
          <w:szCs w:val="16"/>
        </w:rPr>
      </w:pPr>
    </w:p>
    <w:p w14:paraId="19F98C5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589E343" w14:textId="77777777" w:rsidR="00665165" w:rsidRPr="00925F26" w:rsidRDefault="00665165" w:rsidP="00925F26">
      <w:pPr>
        <w:autoSpaceDE w:val="0"/>
        <w:autoSpaceDN w:val="0"/>
        <w:adjustRightInd w:val="0"/>
        <w:jc w:val="both"/>
        <w:rPr>
          <w:iCs/>
          <w:color w:val="000000" w:themeColor="text1"/>
          <w:sz w:val="16"/>
          <w:szCs w:val="16"/>
        </w:rPr>
      </w:pPr>
    </w:p>
    <w:p w14:paraId="65E04C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в НИИ ВВС закончились испытания головного Як-9В ВК-105ПФ2, которые проводились с 10 апреля 1945 (65,143).</w:t>
      </w:r>
    </w:p>
    <w:p w14:paraId="68DABF1E" w14:textId="77777777" w:rsidR="00665165" w:rsidRPr="00925F26" w:rsidRDefault="00665165" w:rsidP="00925F26">
      <w:pPr>
        <w:autoSpaceDE w:val="0"/>
        <w:autoSpaceDN w:val="0"/>
        <w:adjustRightInd w:val="0"/>
        <w:jc w:val="both"/>
        <w:rPr>
          <w:color w:val="000000" w:themeColor="text1"/>
          <w:sz w:val="16"/>
          <w:szCs w:val="16"/>
        </w:rPr>
      </w:pPr>
    </w:p>
    <w:p w14:paraId="2AE2C9C0" w14:textId="77777777" w:rsidR="0053208B" w:rsidRPr="00925F26" w:rsidRDefault="0053208B" w:rsidP="00925F26">
      <w:pPr>
        <w:jc w:val="both"/>
        <w:rPr>
          <w:color w:val="000000" w:themeColor="text1"/>
          <w:sz w:val="16"/>
          <w:szCs w:val="16"/>
        </w:rPr>
      </w:pPr>
      <w:r w:rsidRPr="00925F26">
        <w:rPr>
          <w:color w:val="000000" w:themeColor="text1"/>
          <w:sz w:val="16"/>
          <w:szCs w:val="16"/>
        </w:rPr>
        <w:t>17 апреля в 1945 году в HИИ ВВС завершились госиспытания (начались 10 апреля) головного «Як-9В» «ВК-105ПФ2» (летчик-испытатель В.Г.Иванов, ведущий инженер Г.А.Седов). «Як-9В» (вывозной) с двигателем «ВК-105ПФ2» представлял собой двухместный с двойным управлением вывозной самолет и предназначался для вывозки и тренировки летного состава школ и строевых частей ВВС (15102).</w:t>
      </w:r>
    </w:p>
    <w:p w14:paraId="59629B26" w14:textId="77777777" w:rsidR="0053208B" w:rsidRPr="00925F26" w:rsidRDefault="0053208B" w:rsidP="00925F26">
      <w:pPr>
        <w:jc w:val="both"/>
        <w:rPr>
          <w:color w:val="000000" w:themeColor="text1"/>
          <w:sz w:val="16"/>
          <w:szCs w:val="16"/>
        </w:rPr>
      </w:pPr>
    </w:p>
    <w:p w14:paraId="36E6D6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г. для проведения заводских летных испытаний второго экземпляра И-225 в соответствии с приказом НКАП №157 утвердили ведущего инженера А.Г.Брунова и летчика-испытателя А.П.Деева (5852,40).</w:t>
      </w:r>
    </w:p>
    <w:p w14:paraId="50CC2435" w14:textId="77777777" w:rsidR="00665165" w:rsidRPr="00925F26" w:rsidRDefault="00665165" w:rsidP="00925F26">
      <w:pPr>
        <w:autoSpaceDE w:val="0"/>
        <w:autoSpaceDN w:val="0"/>
        <w:adjustRightInd w:val="0"/>
        <w:jc w:val="both"/>
        <w:rPr>
          <w:color w:val="000000" w:themeColor="text1"/>
          <w:sz w:val="16"/>
          <w:szCs w:val="16"/>
        </w:rPr>
      </w:pPr>
    </w:p>
    <w:p w14:paraId="4295F1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апреля 1945 г. Приказом НКАП СССР № 156, с некоторым опоз</w:t>
      </w:r>
      <w:r w:rsidRPr="00925F26">
        <w:rPr>
          <w:color w:val="000000" w:themeColor="text1"/>
          <w:sz w:val="16"/>
          <w:szCs w:val="16"/>
        </w:rPr>
        <w:softHyphen/>
        <w:t>данием, была утверждена бригада по обслуживанию летных испытаний Су-5, в которую от завода № 134 вошли: лет</w:t>
      </w:r>
      <w:r w:rsidRPr="00925F26">
        <w:rPr>
          <w:color w:val="000000" w:themeColor="text1"/>
          <w:sz w:val="16"/>
          <w:szCs w:val="16"/>
        </w:rPr>
        <w:softHyphen/>
        <w:t>чик испытатель - Г.И. Комаров, веду</w:t>
      </w:r>
      <w:r w:rsidRPr="00925F26">
        <w:rPr>
          <w:color w:val="000000" w:themeColor="text1"/>
          <w:sz w:val="16"/>
          <w:szCs w:val="16"/>
        </w:rPr>
        <w:softHyphen/>
        <w:t>щий инженер по самолету — С.Я. Гор</w:t>
      </w:r>
      <w:r w:rsidRPr="00925F26">
        <w:rPr>
          <w:color w:val="000000" w:themeColor="text1"/>
          <w:sz w:val="16"/>
          <w:szCs w:val="16"/>
        </w:rPr>
        <w:softHyphen/>
        <w:t>бунов, бортмеханик - А.М.Зуев и моторист - И.Н. Осипенко, а ЦИАМ представляли: ведущий инженер по ВРДК — А.И. Комиссаров и механик Мазанов. Испытания самолета проводились на Тушинском аэродроме, но 15 июня они прекратились из-за аварии дви</w:t>
      </w:r>
      <w:r w:rsidRPr="00925F26">
        <w:rPr>
          <w:color w:val="000000" w:themeColor="text1"/>
          <w:sz w:val="16"/>
          <w:szCs w:val="16"/>
        </w:rPr>
        <w:softHyphen/>
        <w:t>гателя ВК-107А. К этому моменту были выполнены 23 полета с общим нале</w:t>
      </w:r>
      <w:r w:rsidRPr="00925F26">
        <w:rPr>
          <w:color w:val="000000" w:themeColor="text1"/>
          <w:sz w:val="16"/>
          <w:szCs w:val="16"/>
        </w:rPr>
        <w:softHyphen/>
        <w:t>том 8 ч. 50 мин. По их результатам составили отчет, в котором указыва</w:t>
      </w:r>
      <w:r w:rsidRPr="00925F26">
        <w:rPr>
          <w:color w:val="000000" w:themeColor="text1"/>
          <w:sz w:val="16"/>
          <w:szCs w:val="16"/>
        </w:rPr>
        <w:softHyphen/>
        <w:t>лось:</w:t>
      </w:r>
    </w:p>
    <w:p w14:paraId="0D4B6E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 Винтомоторная установка в части питания, смазки и охлаждения работает на всех режимах вполне удов</w:t>
      </w:r>
      <w:r w:rsidRPr="00925F26">
        <w:rPr>
          <w:color w:val="000000" w:themeColor="text1"/>
          <w:sz w:val="16"/>
          <w:szCs w:val="16"/>
        </w:rPr>
        <w:softHyphen/>
        <w:t>летворительно.</w:t>
      </w:r>
    </w:p>
    <w:p w14:paraId="21DA4A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Управляемость и устойчивость самолета на различных скоростях и эволюциях - нормальная.</w:t>
      </w:r>
    </w:p>
    <w:p w14:paraId="4E6C37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При производстве полета на сверхмаксимальную скорость никаких элементов срыва и вибраций не на</w:t>
      </w:r>
      <w:r w:rsidRPr="00925F26">
        <w:rPr>
          <w:color w:val="000000" w:themeColor="text1"/>
          <w:sz w:val="16"/>
          <w:szCs w:val="16"/>
        </w:rPr>
        <w:softHyphen/>
        <w:t>блюдалось.</w:t>
      </w:r>
    </w:p>
    <w:p w14:paraId="289B2A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Полученная максимальная ско</w:t>
      </w:r>
      <w:r w:rsidRPr="00925F26">
        <w:rPr>
          <w:color w:val="000000" w:themeColor="text1"/>
          <w:sz w:val="16"/>
          <w:szCs w:val="16"/>
        </w:rPr>
        <w:softHyphen/>
        <w:t>рость на высоте Н=4350 м равна 793 км/ч. При дальнейших полетах подтвердить полученную однажды ско</w:t>
      </w:r>
      <w:r w:rsidRPr="00925F26">
        <w:rPr>
          <w:color w:val="000000" w:themeColor="text1"/>
          <w:sz w:val="16"/>
          <w:szCs w:val="16"/>
        </w:rPr>
        <w:softHyphen/>
        <w:t>рость не удалось, что объяснялось не-доведенностью ВРДК (10669).</w:t>
      </w:r>
    </w:p>
    <w:p w14:paraId="63B994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Су-5, созданный для пере</w:t>
      </w:r>
      <w:r w:rsidRPr="00925F26">
        <w:rPr>
          <w:color w:val="000000" w:themeColor="text1"/>
          <w:sz w:val="16"/>
          <w:szCs w:val="16"/>
        </w:rPr>
        <w:softHyphen/>
        <w:t>хвата и уничтожения самолетов против</w:t>
      </w:r>
      <w:r w:rsidRPr="00925F26">
        <w:rPr>
          <w:color w:val="000000" w:themeColor="text1"/>
          <w:sz w:val="16"/>
          <w:szCs w:val="16"/>
        </w:rPr>
        <w:softHyphen/>
        <w:t>ника и ведения активного воздушного боя, главным образом, на больших высо</w:t>
      </w:r>
      <w:r w:rsidRPr="00925F26">
        <w:rPr>
          <w:color w:val="000000" w:themeColor="text1"/>
          <w:sz w:val="16"/>
          <w:szCs w:val="16"/>
        </w:rPr>
        <w:softHyphen/>
        <w:t>тах, представлял собою свободнонесу-щий цельнометаллический моноплан с нормальным однокилевым оперением и убирающимся в полете шасси. Крыло однолонжеронной конструк</w:t>
      </w:r>
      <w:r w:rsidRPr="00925F26">
        <w:rPr>
          <w:color w:val="000000" w:themeColor="text1"/>
          <w:sz w:val="16"/>
          <w:szCs w:val="16"/>
        </w:rPr>
        <w:softHyphen/>
        <w:t>ции с дюралевой обшивкой состояло из двух отъемных частей, стыкующихся с фюзеляжем по бортовым нервюрам. В крыле размещались два бензобака общей емкостью около 180 л. и мас-лорадиатор. Предусматривалась воз</w:t>
      </w:r>
      <w:r w:rsidRPr="00925F26">
        <w:rPr>
          <w:color w:val="000000" w:themeColor="text1"/>
          <w:sz w:val="16"/>
          <w:szCs w:val="16"/>
        </w:rPr>
        <w:softHyphen/>
        <w:t>можность установки дополнительного бензобака емкостью 130 л. Щитки и элероны цельнометаллические. Элеро</w:t>
      </w:r>
      <w:r w:rsidRPr="00925F26">
        <w:rPr>
          <w:color w:val="000000" w:themeColor="text1"/>
          <w:sz w:val="16"/>
          <w:szCs w:val="16"/>
        </w:rPr>
        <w:softHyphen/>
        <w:t>ны имели весовую и аэродинамичес</w:t>
      </w:r>
      <w:r w:rsidRPr="00925F26">
        <w:rPr>
          <w:color w:val="000000" w:themeColor="text1"/>
          <w:sz w:val="16"/>
          <w:szCs w:val="16"/>
        </w:rPr>
        <w:softHyphen/>
        <w:t>кую компенсацию, на левом элероне размещался триммер. Фюзеляж - цельнометаллический монокок овального сечения. Внутри фюзеляжа, под полом кабины пилота располагались компрессор ВРДК и радиатор системы охлаждения двига</w:t>
      </w:r>
      <w:r w:rsidRPr="00925F26">
        <w:rPr>
          <w:color w:val="000000" w:themeColor="text1"/>
          <w:sz w:val="16"/>
          <w:szCs w:val="16"/>
        </w:rPr>
        <w:softHyphen/>
        <w:t>теля ВК-107А, а в хвостовой части фюзеляжа - камера сгорания ВРДК. За кабиной пилота, над радиатором размещался бензиновый бак емкос</w:t>
      </w:r>
      <w:r w:rsidRPr="00925F26">
        <w:rPr>
          <w:color w:val="000000" w:themeColor="text1"/>
          <w:sz w:val="16"/>
          <w:szCs w:val="16"/>
        </w:rPr>
        <w:softHyphen/>
        <w:t xml:space="preserve">тью 500 л. Оперение, включающее </w:t>
      </w:r>
      <w:proofErr w:type="gramStart"/>
      <w:r w:rsidRPr="00925F26">
        <w:rPr>
          <w:color w:val="000000" w:themeColor="text1"/>
          <w:sz w:val="16"/>
          <w:szCs w:val="16"/>
        </w:rPr>
        <w:t>свободно-несущий</w:t>
      </w:r>
      <w:proofErr w:type="gramEnd"/>
      <w:r w:rsidRPr="00925F26">
        <w:rPr>
          <w:color w:val="000000" w:themeColor="text1"/>
          <w:sz w:val="16"/>
          <w:szCs w:val="16"/>
        </w:rPr>
        <w:t xml:space="preserve"> цельнометаллический нере</w:t>
      </w:r>
      <w:r w:rsidRPr="00925F26">
        <w:rPr>
          <w:color w:val="000000" w:themeColor="text1"/>
          <w:sz w:val="16"/>
          <w:szCs w:val="16"/>
        </w:rPr>
        <w:softHyphen/>
        <w:t>гулируемый стабилизатор и цельноме</w:t>
      </w:r>
      <w:r w:rsidRPr="00925F26">
        <w:rPr>
          <w:color w:val="000000" w:themeColor="text1"/>
          <w:sz w:val="16"/>
          <w:szCs w:val="16"/>
        </w:rPr>
        <w:softHyphen/>
        <w:t>таллический киль, крепилось к хвосто</w:t>
      </w:r>
      <w:r w:rsidRPr="00925F26">
        <w:rPr>
          <w:color w:val="000000" w:themeColor="text1"/>
          <w:sz w:val="16"/>
          <w:szCs w:val="16"/>
        </w:rPr>
        <w:softHyphen/>
        <w:t>вой части фюзеляжа. Рули имели ве</w:t>
      </w:r>
      <w:r w:rsidRPr="00925F26">
        <w:rPr>
          <w:color w:val="000000" w:themeColor="text1"/>
          <w:sz w:val="16"/>
          <w:szCs w:val="16"/>
        </w:rPr>
        <w:softHyphen/>
        <w:t>совую и аэродинамическую компен</w:t>
      </w:r>
      <w:r w:rsidRPr="00925F26">
        <w:rPr>
          <w:color w:val="000000" w:themeColor="text1"/>
          <w:sz w:val="16"/>
          <w:szCs w:val="16"/>
        </w:rPr>
        <w:softHyphen/>
        <w:t>сацию и были снабжены триммерами. Шасси — трехопорное с хвосто</w:t>
      </w:r>
      <w:r w:rsidRPr="00925F26">
        <w:rPr>
          <w:color w:val="000000" w:themeColor="text1"/>
          <w:sz w:val="16"/>
          <w:szCs w:val="16"/>
        </w:rPr>
        <w:softHyphen/>
        <w:t>вым колесом. Основные опоры уби</w:t>
      </w:r>
      <w:r w:rsidRPr="00925F26">
        <w:rPr>
          <w:color w:val="000000" w:themeColor="text1"/>
          <w:sz w:val="16"/>
          <w:szCs w:val="16"/>
        </w:rPr>
        <w:softHyphen/>
        <w:t>рались вдоль размаха в носок крыла, а хвостовое колесо - в небольшой обтекатель. Винтомоторная группа (ВМГ) состоя</w:t>
      </w:r>
      <w:r w:rsidRPr="00925F26">
        <w:rPr>
          <w:color w:val="000000" w:themeColor="text1"/>
          <w:sz w:val="16"/>
          <w:szCs w:val="16"/>
        </w:rPr>
        <w:softHyphen/>
        <w:t>ла из поршневого двигателя жидкостно</w:t>
      </w:r>
      <w:r w:rsidRPr="00925F26">
        <w:rPr>
          <w:color w:val="000000" w:themeColor="text1"/>
          <w:sz w:val="16"/>
          <w:szCs w:val="16"/>
        </w:rPr>
        <w:softHyphen/>
        <w:t>го охлаждения ВК-107А, мощностью в 1650 л.с. с коробкой привода комп</w:t>
      </w:r>
      <w:r w:rsidRPr="00925F26">
        <w:rPr>
          <w:color w:val="000000" w:themeColor="text1"/>
          <w:sz w:val="16"/>
          <w:szCs w:val="16"/>
        </w:rPr>
        <w:softHyphen/>
        <w:t>рессора и четырехлопастного цельно</w:t>
      </w:r>
      <w:r w:rsidRPr="00925F26">
        <w:rPr>
          <w:color w:val="000000" w:themeColor="text1"/>
          <w:sz w:val="16"/>
          <w:szCs w:val="16"/>
        </w:rPr>
        <w:softHyphen/>
        <w:t>металлического винта изменяемого шага, диаметром 2,9 м. Двигатель кре</w:t>
      </w:r>
      <w:r w:rsidRPr="00925F26">
        <w:rPr>
          <w:color w:val="000000" w:themeColor="text1"/>
          <w:sz w:val="16"/>
          <w:szCs w:val="16"/>
        </w:rPr>
        <w:softHyphen/>
        <w:t>пился на мотораме ферменной кон</w:t>
      </w:r>
      <w:r w:rsidRPr="00925F26">
        <w:rPr>
          <w:color w:val="000000" w:themeColor="text1"/>
          <w:sz w:val="16"/>
          <w:szCs w:val="16"/>
        </w:rPr>
        <w:softHyphen/>
        <w:t>струкции, сваренной из стальных труб. Воздух в приводной центробежный на</w:t>
      </w:r>
      <w:r w:rsidRPr="00925F26">
        <w:rPr>
          <w:color w:val="000000" w:themeColor="text1"/>
          <w:sz w:val="16"/>
          <w:szCs w:val="16"/>
        </w:rPr>
        <w:softHyphen/>
        <w:t>гнетатель (ПЦН) мотора поступал из-за компрессора ВРДК. Радиатор системы охлаждения двигателя размещался в воздушном канале, между компрессо</w:t>
      </w:r>
      <w:r w:rsidRPr="00925F26">
        <w:rPr>
          <w:color w:val="000000" w:themeColor="text1"/>
          <w:sz w:val="16"/>
          <w:szCs w:val="16"/>
        </w:rPr>
        <w:softHyphen/>
        <w:t>ром и камерой сгорания. Регулиров</w:t>
      </w:r>
      <w:r w:rsidRPr="00925F26">
        <w:rPr>
          <w:color w:val="000000" w:themeColor="text1"/>
          <w:sz w:val="16"/>
          <w:szCs w:val="16"/>
        </w:rPr>
        <w:softHyphen/>
        <w:t>ка охлаждения двигателя осуществля</w:t>
      </w:r>
      <w:r w:rsidRPr="00925F26">
        <w:rPr>
          <w:color w:val="000000" w:themeColor="text1"/>
          <w:sz w:val="16"/>
          <w:szCs w:val="16"/>
        </w:rPr>
        <w:softHyphen/>
        <w:t>лась с помощью шунта. Маспорадиа-тор располагался в тоннеле левой кон</w:t>
      </w:r>
      <w:r w:rsidRPr="00925F26">
        <w:rPr>
          <w:color w:val="000000" w:themeColor="text1"/>
          <w:sz w:val="16"/>
          <w:szCs w:val="16"/>
        </w:rPr>
        <w:softHyphen/>
        <w:t>соли, воздух для охлаждения подводил</w:t>
      </w:r>
      <w:r w:rsidRPr="00925F26">
        <w:rPr>
          <w:color w:val="000000" w:themeColor="text1"/>
          <w:sz w:val="16"/>
          <w:szCs w:val="16"/>
        </w:rPr>
        <w:softHyphen/>
        <w:t>ся через заборник в носке крыла, с выходом на его нижней поверхности. Маслобак крепился на противопожар</w:t>
      </w:r>
      <w:r w:rsidRPr="00925F26">
        <w:rPr>
          <w:color w:val="000000" w:themeColor="text1"/>
          <w:sz w:val="16"/>
          <w:szCs w:val="16"/>
        </w:rPr>
        <w:softHyphen/>
        <w:t>ной перегородке. ВРДК состоял из осевого компрес</w:t>
      </w:r>
      <w:r w:rsidRPr="00925F26">
        <w:rPr>
          <w:color w:val="000000" w:themeColor="text1"/>
          <w:sz w:val="16"/>
          <w:szCs w:val="16"/>
        </w:rPr>
        <w:softHyphen/>
        <w:t>сора Э-3020, длинного вала привода компрессора, камеры сгорания с сис</w:t>
      </w:r>
      <w:r w:rsidRPr="00925F26">
        <w:rPr>
          <w:color w:val="000000" w:themeColor="text1"/>
          <w:sz w:val="16"/>
          <w:szCs w:val="16"/>
        </w:rPr>
        <w:softHyphen/>
        <w:t>темой форкамер и форсунок. Воздух для ВРДК поступал из носового возду</w:t>
      </w:r>
      <w:r w:rsidRPr="00925F26">
        <w:rPr>
          <w:color w:val="000000" w:themeColor="text1"/>
          <w:sz w:val="16"/>
          <w:szCs w:val="16"/>
        </w:rPr>
        <w:softHyphen/>
        <w:t>хозаборника, расположенного под ко</w:t>
      </w:r>
      <w:r w:rsidRPr="00925F26">
        <w:rPr>
          <w:color w:val="000000" w:themeColor="text1"/>
          <w:sz w:val="16"/>
          <w:szCs w:val="16"/>
        </w:rPr>
        <w:softHyphen/>
        <w:t>ком воздушного винта. Воздушный ка</w:t>
      </w:r>
      <w:r w:rsidRPr="00925F26">
        <w:rPr>
          <w:color w:val="000000" w:themeColor="text1"/>
          <w:sz w:val="16"/>
          <w:szCs w:val="16"/>
        </w:rPr>
        <w:softHyphen/>
        <w:t>нал пролегал под ВК-107А и через вырез в лонжероне крыла подходил к осевому компрессору, и далее следо</w:t>
      </w:r>
      <w:r w:rsidRPr="00925F26">
        <w:rPr>
          <w:color w:val="000000" w:themeColor="text1"/>
          <w:sz w:val="16"/>
          <w:szCs w:val="16"/>
        </w:rPr>
        <w:softHyphen/>
        <w:t>вал к передней части камеры сгора</w:t>
      </w:r>
      <w:r w:rsidRPr="00925F26">
        <w:rPr>
          <w:color w:val="000000" w:themeColor="text1"/>
          <w:sz w:val="16"/>
          <w:szCs w:val="16"/>
        </w:rPr>
        <w:softHyphen/>
        <w:t>ния с установленными в ней форка-мерами и форсунками. Задняя часть камеры сгорания была оборудована створками для регулирования проход</w:t>
      </w:r>
      <w:r w:rsidRPr="00925F26">
        <w:rPr>
          <w:color w:val="000000" w:themeColor="text1"/>
          <w:sz w:val="16"/>
          <w:szCs w:val="16"/>
        </w:rPr>
        <w:softHyphen/>
        <w:t>ного сечения реактивного сопла. Ка</w:t>
      </w:r>
      <w:r w:rsidRPr="00925F26">
        <w:rPr>
          <w:color w:val="000000" w:themeColor="text1"/>
          <w:sz w:val="16"/>
          <w:szCs w:val="16"/>
        </w:rPr>
        <w:softHyphen/>
        <w:t>мера сгорания охлаждалась воздухом, забираемым за компрессором и по</w:t>
      </w:r>
      <w:r w:rsidRPr="00925F26">
        <w:rPr>
          <w:color w:val="000000" w:themeColor="text1"/>
          <w:sz w:val="16"/>
          <w:szCs w:val="16"/>
        </w:rPr>
        <w:softHyphen/>
        <w:t>ступавшим в промежуток между коль</w:t>
      </w:r>
      <w:r w:rsidRPr="00925F26">
        <w:rPr>
          <w:color w:val="000000" w:themeColor="text1"/>
          <w:sz w:val="16"/>
          <w:szCs w:val="16"/>
        </w:rPr>
        <w:softHyphen/>
        <w:t>цевым экраном и наружной стенкой камеры сгорания. Питание ВРДК осу</w:t>
      </w:r>
      <w:r w:rsidRPr="00925F26">
        <w:rPr>
          <w:color w:val="000000" w:themeColor="text1"/>
          <w:sz w:val="16"/>
          <w:szCs w:val="16"/>
        </w:rPr>
        <w:softHyphen/>
        <w:t>ществлялось из фюзеляжного и пра</w:t>
      </w:r>
      <w:r w:rsidRPr="00925F26">
        <w:rPr>
          <w:color w:val="000000" w:themeColor="text1"/>
          <w:sz w:val="16"/>
          <w:szCs w:val="16"/>
        </w:rPr>
        <w:softHyphen/>
        <w:t>вого крыльевого баков. На самолете предусматривалась установка пушки Н-23 с боезапасом в 100 патронов и двух синхронных пу</w:t>
      </w:r>
      <w:r w:rsidRPr="00925F26">
        <w:rPr>
          <w:color w:val="000000" w:themeColor="text1"/>
          <w:sz w:val="16"/>
          <w:szCs w:val="16"/>
        </w:rPr>
        <w:softHyphen/>
        <w:t>леметов УБС-12,7 с суммарным запа</w:t>
      </w:r>
      <w:r w:rsidRPr="00925F26">
        <w:rPr>
          <w:color w:val="000000" w:themeColor="text1"/>
          <w:sz w:val="16"/>
          <w:szCs w:val="16"/>
        </w:rPr>
        <w:softHyphen/>
        <w:t xml:space="preserve">сом в 400 патронов. Бронирование включало </w:t>
      </w:r>
      <w:proofErr w:type="gramStart"/>
      <w:r w:rsidRPr="00925F26">
        <w:rPr>
          <w:color w:val="000000" w:themeColor="text1"/>
          <w:sz w:val="16"/>
          <w:szCs w:val="16"/>
        </w:rPr>
        <w:t>бронеспин-ку</w:t>
      </w:r>
      <w:proofErr w:type="gramEnd"/>
      <w:r w:rsidRPr="00925F26">
        <w:rPr>
          <w:color w:val="000000" w:themeColor="text1"/>
          <w:sz w:val="16"/>
          <w:szCs w:val="16"/>
        </w:rPr>
        <w:t xml:space="preserve"> толщиной 10 мм, козырек и заго</w:t>
      </w:r>
      <w:r w:rsidRPr="00925F26">
        <w:rPr>
          <w:color w:val="000000" w:themeColor="text1"/>
          <w:sz w:val="16"/>
          <w:szCs w:val="16"/>
        </w:rPr>
        <w:softHyphen/>
        <w:t>ловник из прозрачной брони толщи</w:t>
      </w:r>
      <w:r w:rsidRPr="00925F26">
        <w:rPr>
          <w:color w:val="000000" w:themeColor="text1"/>
          <w:sz w:val="16"/>
          <w:szCs w:val="16"/>
        </w:rPr>
        <w:softHyphen/>
        <w:t>ной 65 мм. Предусматривалась воз</w:t>
      </w:r>
      <w:r w:rsidRPr="00925F26">
        <w:rPr>
          <w:color w:val="000000" w:themeColor="text1"/>
          <w:sz w:val="16"/>
          <w:szCs w:val="16"/>
        </w:rPr>
        <w:softHyphen/>
        <w:t>можность установки дополнительной брони для защиты левой руки, головы пилота и двигателя. (10669).</w:t>
      </w:r>
    </w:p>
    <w:p w14:paraId="6190B6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35100B2" w14:textId="77777777" w:rsidR="00403B6B" w:rsidRPr="001A0BAA" w:rsidRDefault="00403B6B" w:rsidP="00403B6B">
      <w:pPr>
        <w:jc w:val="both"/>
        <w:rPr>
          <w:color w:val="0070C0"/>
          <w:sz w:val="16"/>
          <w:szCs w:val="16"/>
        </w:rPr>
      </w:pPr>
      <w:r w:rsidRPr="001A0BAA">
        <w:rPr>
          <w:color w:val="0070C0"/>
          <w:sz w:val="16"/>
          <w:szCs w:val="16"/>
        </w:rPr>
        <w:t>17 апреля 1945 г., с некоторым опозданием, была утверж</w:t>
      </w:r>
      <w:r w:rsidRPr="001A0BAA">
        <w:rPr>
          <w:color w:val="0070C0"/>
          <w:sz w:val="16"/>
          <w:szCs w:val="16"/>
        </w:rPr>
        <w:softHyphen/>
        <w:t>дена бригада по обслуживанию летных испытаний Су-5, в которую от завода № 134 вошли: летчик-испытатель — Г.И. Комаров, ведущий инженер по самолету — С.Я. Горбунов, бортмеха</w:t>
      </w:r>
      <w:r w:rsidRPr="001A0BAA">
        <w:rPr>
          <w:color w:val="0070C0"/>
          <w:sz w:val="16"/>
          <w:szCs w:val="16"/>
        </w:rPr>
        <w:softHyphen/>
        <w:t>ник — А.М.Зуев и моторист — И.Н. Осипенко, а ЦИАМ пред</w:t>
      </w:r>
      <w:r w:rsidRPr="001A0BAA">
        <w:rPr>
          <w:color w:val="0070C0"/>
          <w:sz w:val="16"/>
          <w:szCs w:val="16"/>
        </w:rPr>
        <w:softHyphen/>
        <w:t>ставляли: ведущий инженер по ВРДК — А.И. Комиссаров и механик Мазанов.</w:t>
      </w:r>
    </w:p>
    <w:p w14:paraId="15947F03" w14:textId="77777777" w:rsidR="00403B6B" w:rsidRPr="001A0BAA" w:rsidRDefault="00403B6B" w:rsidP="00403B6B">
      <w:pPr>
        <w:jc w:val="both"/>
        <w:rPr>
          <w:color w:val="0070C0"/>
          <w:sz w:val="16"/>
          <w:szCs w:val="16"/>
        </w:rPr>
      </w:pPr>
      <w:r w:rsidRPr="001A0BAA">
        <w:rPr>
          <w:color w:val="0070C0"/>
          <w:sz w:val="16"/>
          <w:szCs w:val="16"/>
        </w:rPr>
        <w:t>Испытания самолета проводились на Тушинском аэродро</w:t>
      </w:r>
      <w:r w:rsidRPr="001A0BAA">
        <w:rPr>
          <w:color w:val="0070C0"/>
          <w:sz w:val="16"/>
          <w:szCs w:val="16"/>
        </w:rPr>
        <w:softHyphen/>
        <w:t>ме с 6 апреля. 15 июня из-за аварии двигателя ВК-107А испытания были прекращены. К этому моменту были выполнены 23 полета с общим налетом 8 ч. 50 мин.</w:t>
      </w:r>
    </w:p>
    <w:p w14:paraId="7CD96177" w14:textId="77777777" w:rsidR="00403B6B" w:rsidRPr="001A0BAA" w:rsidRDefault="00403B6B" w:rsidP="00403B6B">
      <w:pPr>
        <w:jc w:val="both"/>
        <w:rPr>
          <w:color w:val="0070C0"/>
          <w:sz w:val="16"/>
          <w:szCs w:val="16"/>
        </w:rPr>
      </w:pPr>
      <w:r w:rsidRPr="001A0BAA">
        <w:rPr>
          <w:color w:val="0070C0"/>
          <w:sz w:val="16"/>
          <w:szCs w:val="16"/>
        </w:rPr>
        <w:t>По результатам испытаний был выпущен отчет:</w:t>
      </w:r>
    </w:p>
    <w:p w14:paraId="3A7D0818" w14:textId="77777777" w:rsidR="00403B6B" w:rsidRPr="001A0BAA" w:rsidRDefault="00403B6B" w:rsidP="00403B6B">
      <w:pPr>
        <w:jc w:val="both"/>
        <w:rPr>
          <w:color w:val="0070C0"/>
          <w:sz w:val="16"/>
          <w:szCs w:val="16"/>
        </w:rPr>
      </w:pPr>
      <w:r w:rsidRPr="001A0BAA">
        <w:rPr>
          <w:color w:val="0070C0"/>
          <w:sz w:val="16"/>
          <w:szCs w:val="16"/>
        </w:rPr>
        <w:t>«... 1. Винтомоторная установка в части питания, смазки и охлаждения работает на всех режимах вполне удовлетво</w:t>
      </w:r>
      <w:r w:rsidRPr="001A0BAA">
        <w:rPr>
          <w:color w:val="0070C0"/>
          <w:sz w:val="16"/>
          <w:szCs w:val="16"/>
        </w:rPr>
        <w:softHyphen/>
        <w:t>рительно.</w:t>
      </w:r>
    </w:p>
    <w:p w14:paraId="69AC4FEA" w14:textId="77777777" w:rsidR="00403B6B" w:rsidRPr="001A0BAA" w:rsidRDefault="00403B6B" w:rsidP="00403B6B">
      <w:pPr>
        <w:widowControl w:val="0"/>
        <w:tabs>
          <w:tab w:val="left" w:pos="629"/>
        </w:tabs>
        <w:jc w:val="both"/>
        <w:rPr>
          <w:color w:val="0070C0"/>
          <w:sz w:val="16"/>
          <w:szCs w:val="16"/>
        </w:rPr>
      </w:pPr>
      <w:bookmarkStart w:id="15" w:name="bookmark280"/>
      <w:bookmarkEnd w:id="15"/>
      <w:r w:rsidRPr="001A0BAA">
        <w:rPr>
          <w:color w:val="0070C0"/>
          <w:sz w:val="16"/>
          <w:szCs w:val="16"/>
        </w:rPr>
        <w:t>2. Управляемость и устойчивость самолета на различных скоростях и эволюциях — нормальная.</w:t>
      </w:r>
    </w:p>
    <w:p w14:paraId="1282C3FD" w14:textId="77777777" w:rsidR="00403B6B" w:rsidRPr="001A0BAA" w:rsidRDefault="00403B6B" w:rsidP="00403B6B">
      <w:pPr>
        <w:widowControl w:val="0"/>
        <w:tabs>
          <w:tab w:val="left" w:pos="630"/>
        </w:tabs>
        <w:jc w:val="both"/>
        <w:rPr>
          <w:color w:val="0070C0"/>
          <w:sz w:val="16"/>
          <w:szCs w:val="16"/>
        </w:rPr>
      </w:pPr>
      <w:bookmarkStart w:id="16" w:name="bookmark281"/>
      <w:bookmarkEnd w:id="16"/>
      <w:r w:rsidRPr="001A0BAA">
        <w:rPr>
          <w:color w:val="0070C0"/>
          <w:sz w:val="16"/>
          <w:szCs w:val="16"/>
        </w:rPr>
        <w:t>3. При производстве полета на сверхмаксимальную ско</w:t>
      </w:r>
      <w:r w:rsidRPr="001A0BAA">
        <w:rPr>
          <w:color w:val="0070C0"/>
          <w:sz w:val="16"/>
          <w:szCs w:val="16"/>
        </w:rPr>
        <w:softHyphen/>
        <w:t>рость никаких элементов срыва и вибраций не наблюдалось.</w:t>
      </w:r>
    </w:p>
    <w:p w14:paraId="3DA57DAD" w14:textId="77777777" w:rsidR="00403B6B" w:rsidRPr="001A0BAA" w:rsidRDefault="00403B6B" w:rsidP="00403B6B">
      <w:pPr>
        <w:widowControl w:val="0"/>
        <w:tabs>
          <w:tab w:val="left" w:pos="634"/>
        </w:tabs>
        <w:jc w:val="both"/>
        <w:rPr>
          <w:color w:val="0070C0"/>
          <w:sz w:val="16"/>
          <w:szCs w:val="16"/>
        </w:rPr>
      </w:pPr>
      <w:bookmarkStart w:id="17" w:name="bookmark282"/>
      <w:bookmarkEnd w:id="17"/>
      <w:r w:rsidRPr="001A0BAA">
        <w:rPr>
          <w:color w:val="0070C0"/>
          <w:sz w:val="16"/>
          <w:szCs w:val="16"/>
        </w:rPr>
        <w:t>4. Полученная максимальная скорость на высоте 4 350 м равна 793 км/ч. При дальнейших полетах подтвердить полу</w:t>
      </w:r>
      <w:r w:rsidRPr="001A0BAA">
        <w:rPr>
          <w:color w:val="0070C0"/>
          <w:sz w:val="16"/>
          <w:szCs w:val="16"/>
        </w:rPr>
        <w:softHyphen/>
        <w:t>ченную однажды скорость не удалось...», что объяснялось недоведенностью ВРДК.</w:t>
      </w:r>
    </w:p>
    <w:p w14:paraId="10D33B9A" w14:textId="77777777" w:rsidR="00403B6B" w:rsidRPr="001A0BAA" w:rsidRDefault="00403B6B" w:rsidP="00403B6B">
      <w:pPr>
        <w:jc w:val="both"/>
        <w:rPr>
          <w:color w:val="0070C0"/>
          <w:sz w:val="16"/>
          <w:szCs w:val="16"/>
        </w:rPr>
      </w:pPr>
      <w:r w:rsidRPr="001A0BAA">
        <w:rPr>
          <w:color w:val="0070C0"/>
          <w:sz w:val="16"/>
          <w:szCs w:val="16"/>
        </w:rPr>
        <w:t>За время вынужденного простоя из-за отсутствия двигате</w:t>
      </w:r>
      <w:r w:rsidRPr="001A0BAA">
        <w:rPr>
          <w:color w:val="0070C0"/>
          <w:sz w:val="16"/>
          <w:szCs w:val="16"/>
        </w:rPr>
        <w:softHyphen/>
        <w:t>ля на самолете было установлено новое крыло с ламинаризированным профилем ЦАГИ. Кроме этого, в связи с подготовкой к авиационному параду, по распоряжению НКАП, ЛИС завода № 134 была передислоцирована на Центральный аэро</w:t>
      </w:r>
      <w:r w:rsidRPr="001A0BAA">
        <w:rPr>
          <w:color w:val="0070C0"/>
          <w:sz w:val="16"/>
          <w:szCs w:val="16"/>
        </w:rPr>
        <w:softHyphen/>
        <w:t>дром [72] (24920).</w:t>
      </w:r>
    </w:p>
    <w:p w14:paraId="12A2500D" w14:textId="77777777" w:rsidR="00403B6B" w:rsidRPr="001A0BAA" w:rsidRDefault="00403B6B" w:rsidP="00403B6B">
      <w:pPr>
        <w:jc w:val="both"/>
        <w:rPr>
          <w:color w:val="0070C0"/>
          <w:sz w:val="16"/>
          <w:szCs w:val="16"/>
        </w:rPr>
      </w:pPr>
    </w:p>
    <w:p w14:paraId="77E5B2AC" w14:textId="77777777" w:rsidR="00403B6B" w:rsidRPr="001A0BAA" w:rsidRDefault="00403B6B" w:rsidP="00403B6B">
      <w:pPr>
        <w:jc w:val="both"/>
        <w:rPr>
          <w:color w:val="0070C0"/>
          <w:sz w:val="16"/>
          <w:szCs w:val="16"/>
        </w:rPr>
      </w:pPr>
      <w:r w:rsidRPr="001A0BAA">
        <w:rPr>
          <w:color w:val="0070C0"/>
          <w:sz w:val="16"/>
          <w:szCs w:val="16"/>
        </w:rPr>
        <w:t>17 апреля 1945 г. для проведения заводских летных испытаний второго экземпляра И-225 в соответствии с приказом НКАП №157 утвердили ведущего инженера А.Г.Брунова и летчика-испытателя А.П.Деева (25230).</w:t>
      </w:r>
    </w:p>
    <w:p w14:paraId="42047A47" w14:textId="77777777" w:rsidR="00403B6B" w:rsidRPr="001A0BAA" w:rsidRDefault="00403B6B" w:rsidP="00403B6B">
      <w:pPr>
        <w:jc w:val="both"/>
        <w:rPr>
          <w:color w:val="0070C0"/>
          <w:sz w:val="16"/>
          <w:szCs w:val="16"/>
        </w:rPr>
      </w:pPr>
    </w:p>
    <w:p w14:paraId="07B653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17 апреля 1945 л А.Д.Алексеев и И.Г.Трифонов и ш И.И.Колесниченко и радист Ю.А.Передня совершили беспосадочный перелет Иркутск - Москва без пассажиров, но с грузом 500 кг на ЕР-2ОН. ЦА Москвы </w:t>
      </w:r>
      <w:proofErr w:type="gramStart"/>
      <w:r w:rsidRPr="00925F26">
        <w:rPr>
          <w:color w:val="000000" w:themeColor="text1"/>
          <w:sz w:val="16"/>
          <w:szCs w:val="16"/>
        </w:rPr>
        <w:t>не принимал</w:t>
      </w:r>
      <w:proofErr w:type="gramEnd"/>
      <w:r w:rsidRPr="00925F26">
        <w:rPr>
          <w:color w:val="000000" w:themeColor="text1"/>
          <w:sz w:val="16"/>
          <w:szCs w:val="16"/>
        </w:rPr>
        <w:t xml:space="preserve"> и машина 45 минут кружилась. Всего пробыл в воздухе 15:15 и за 14:30 прошли 4540 км со средней скоростью 312 км/час при встречном ветре до 40 км/час. Осталось 500 кг горючего. Потом пытались заказать антиобледенители фирме Гудьир, но получили отказ (2865,11).</w:t>
      </w:r>
    </w:p>
    <w:p w14:paraId="789ADC32" w14:textId="77777777" w:rsidR="00665165" w:rsidRPr="00925F26" w:rsidRDefault="00665165" w:rsidP="00925F26">
      <w:pPr>
        <w:autoSpaceDE w:val="0"/>
        <w:autoSpaceDN w:val="0"/>
        <w:adjustRightInd w:val="0"/>
        <w:jc w:val="both"/>
        <w:rPr>
          <w:color w:val="000000" w:themeColor="text1"/>
          <w:sz w:val="16"/>
          <w:szCs w:val="16"/>
        </w:rPr>
      </w:pPr>
    </w:p>
    <w:p w14:paraId="67FE69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г. экипаж в составе летчиков А.Д. Алексеева и И.Г. Трифонова, штурмана И.И. Колесниченко, бортмеханика Л.А. Забалуева и бортрадиста Ю.А. Передни выполнил на Ер-2ОН беспосадочный перелет по маршруту Иркутск - Москва. Вместо пассажиров на его борту находился 500-кг груз. При подлете к Москве пришло сообщение, что Центральный аэродром закрыт из-за снегопада. Пришлось кружить в воздухе 45 минут, дожидаясь улучшения погоды. Всего самолет пробыл в воздухе 15 ч 15 мин. За 14,5ч самолет прошел расстояние 4540 км со средней скоростью 312 км/ч при встречном ветре 40 км/ч, при этом осталось 500 кг горючего. Во время полета материальная часть Ер-20Н работала безотказно (11994).</w:t>
      </w:r>
    </w:p>
    <w:p w14:paraId="260FAC3A" w14:textId="77777777" w:rsidR="00665165" w:rsidRPr="00925F26" w:rsidRDefault="00665165" w:rsidP="00925F26">
      <w:pPr>
        <w:autoSpaceDE w:val="0"/>
        <w:autoSpaceDN w:val="0"/>
        <w:adjustRightInd w:val="0"/>
        <w:jc w:val="both"/>
        <w:rPr>
          <w:color w:val="000000" w:themeColor="text1"/>
          <w:sz w:val="16"/>
          <w:szCs w:val="16"/>
        </w:rPr>
      </w:pPr>
    </w:p>
    <w:p w14:paraId="424EE484" w14:textId="77777777" w:rsidR="001438DF" w:rsidRPr="00925F26" w:rsidRDefault="001438DF" w:rsidP="00925F26">
      <w:pPr>
        <w:shd w:val="clear" w:color="auto" w:fill="FFFFFF"/>
        <w:jc w:val="both"/>
        <w:rPr>
          <w:color w:val="000000" w:themeColor="text1"/>
          <w:sz w:val="16"/>
          <w:szCs w:val="16"/>
        </w:rPr>
      </w:pPr>
      <w:r w:rsidRPr="00925F26">
        <w:rPr>
          <w:color w:val="000000" w:themeColor="text1"/>
          <w:sz w:val="16"/>
          <w:szCs w:val="16"/>
        </w:rPr>
        <w:t xml:space="preserve">17-го апреля 1945 экипаж, возглавляемый Героем Советского Союза </w:t>
      </w:r>
      <w:proofErr w:type="gramStart"/>
      <w:r w:rsidRPr="00925F26">
        <w:rPr>
          <w:color w:val="000000" w:themeColor="text1"/>
          <w:sz w:val="16"/>
          <w:szCs w:val="16"/>
        </w:rPr>
        <w:t>А.Д</w:t>
      </w:r>
      <w:proofErr w:type="gramEnd"/>
      <w:r w:rsidRPr="00925F26">
        <w:rPr>
          <w:color w:val="000000" w:themeColor="text1"/>
          <w:sz w:val="16"/>
          <w:szCs w:val="16"/>
        </w:rPr>
        <w:t xml:space="preserve"> Алексеевым, вылетел на Ер-2ОН из Иркутска и за 14,5 часов прошел расстояние 4540 км со средней скоростью 312 км/ч при встречном ветре. Во время полета двигатели и все системы самолета работали безотказно. Приказом Наркома авиапромышленности А.И. Шахурина и заместителя командующего ВВС Красной Армии от 29 апреля 1945 года была объявлены благодарности личному составу 18-й Воздушной Армии, руководителям и работникам завода № 39 НКАП, а также экипажу А.Д. Алексеева за успешное проведение заводских испытаний и организацию отлично выполненного дальнего беспосадочного перелета самолета Ер-2ОН. Соответствующим приказом директора завода В.И. Абрамова была поощрена большая группа летчиков-испытателей, штурманов, бортмехаников, бортрадистов, мотористов, инженеров (15223).</w:t>
      </w:r>
    </w:p>
    <w:p w14:paraId="67A185AD" w14:textId="77777777" w:rsidR="001438DF" w:rsidRPr="00925F26" w:rsidRDefault="001438DF" w:rsidP="00925F26">
      <w:pPr>
        <w:shd w:val="clear" w:color="auto" w:fill="FFFFFF"/>
        <w:jc w:val="both"/>
        <w:rPr>
          <w:color w:val="000000" w:themeColor="text1"/>
          <w:sz w:val="16"/>
          <w:szCs w:val="16"/>
        </w:rPr>
      </w:pPr>
    </w:p>
    <w:p w14:paraId="3A9223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г. Совнаркомом были установлены итоговые отпускные цены на типы и моде</w:t>
      </w:r>
      <w:r w:rsidRPr="00925F26">
        <w:rPr>
          <w:color w:val="000000" w:themeColor="text1"/>
          <w:sz w:val="16"/>
          <w:szCs w:val="16"/>
        </w:rPr>
        <w:softHyphen/>
        <w:t>ли, по которым НКАП и ВВС не пришли к соглашению.</w:t>
      </w:r>
    </w:p>
    <w:p w14:paraId="135599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Отпускные цены на типы и модели, вызвавшие разногласия между НКАП и ВВС и урегулированные постановлением СНК (тыс. руб.) (РГАЭ. Ф. 8044. </w:t>
      </w:r>
      <w:r w:rsidRPr="00925F26">
        <w:rPr>
          <w:color w:val="000000" w:themeColor="text1"/>
          <w:sz w:val="16"/>
          <w:szCs w:val="16"/>
          <w:lang w:val="en-US"/>
        </w:rPr>
        <w:t xml:space="preserve">On. </w:t>
      </w:r>
      <w:r w:rsidRPr="00925F26">
        <w:rPr>
          <w:color w:val="000000" w:themeColor="text1"/>
          <w:sz w:val="16"/>
          <w:szCs w:val="16"/>
        </w:rPr>
        <w:t>1. Д. 2973. Л. 22,29—30)</w:t>
      </w:r>
    </w:p>
    <w:tbl>
      <w:tblPr>
        <w:tblW w:w="0" w:type="auto"/>
        <w:tblInd w:w="8" w:type="dxa"/>
        <w:tblLayout w:type="fixed"/>
        <w:tblCellMar>
          <w:left w:w="0" w:type="dxa"/>
          <w:right w:w="0" w:type="dxa"/>
        </w:tblCellMar>
        <w:tblLook w:val="0000" w:firstRow="0" w:lastRow="0" w:firstColumn="0" w:lastColumn="0" w:noHBand="0" w:noVBand="0"/>
      </w:tblPr>
      <w:tblGrid>
        <w:gridCol w:w="696"/>
        <w:gridCol w:w="1838"/>
        <w:gridCol w:w="1027"/>
        <w:gridCol w:w="1099"/>
        <w:gridCol w:w="1262"/>
      </w:tblGrid>
      <w:tr w:rsidR="000F5689" w:rsidRPr="00925F26" w14:paraId="0B7D4E1B" w14:textId="77777777">
        <w:trPr>
          <w:trHeight w:val="427"/>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55DE8B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завода</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559C80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Модель</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0007E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Предложили </w:t>
            </w:r>
            <w:r w:rsidRPr="00925F26">
              <w:rPr>
                <w:smallCaps/>
                <w:color w:val="000000" w:themeColor="text1"/>
                <w:sz w:val="16"/>
                <w:szCs w:val="16"/>
              </w:rPr>
              <w:t>ввс</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DF299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Предложена </w:t>
            </w:r>
            <w:r w:rsidRPr="00925F26">
              <w:rPr>
                <w:smallCaps/>
                <w:color w:val="000000" w:themeColor="text1"/>
                <w:sz w:val="16"/>
                <w:szCs w:val="16"/>
              </w:rPr>
              <w:t>нкап</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F03AF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СНК</w:t>
            </w:r>
          </w:p>
        </w:tc>
      </w:tr>
      <w:tr w:rsidR="000F5689" w:rsidRPr="00925F26" w14:paraId="2FE4D0DD" w14:textId="77777777">
        <w:trPr>
          <w:trHeight w:val="22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612A1F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280651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 (АШ-82ФН)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57569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45649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D5278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r>
      <w:tr w:rsidR="000F5689" w:rsidRPr="00925F26" w14:paraId="4146F50D"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782D81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04C95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 (ВК-107А)</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3A32D3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AF5B1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4EB999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r>
      <w:tr w:rsidR="000F5689" w:rsidRPr="00925F26" w14:paraId="2702C96C"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5A33C5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0F2B6C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Яс-9 (ВК-107А)</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0FFF96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B46E9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4A7935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w:t>
            </w:r>
          </w:p>
        </w:tc>
      </w:tr>
      <w:tr w:rsidR="000F5689" w:rsidRPr="00925F26" w14:paraId="450CAAB7"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30F60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A0286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(ВК-105ПФ)</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DEF99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BECF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BD8B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r>
      <w:tr w:rsidR="000F5689" w:rsidRPr="00925F26" w14:paraId="7A355568"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11FE0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590809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 (АШ-82ФН)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2467C4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BEA6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B29B5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w:t>
            </w:r>
          </w:p>
        </w:tc>
      </w:tr>
      <w:tr w:rsidR="000F5689" w:rsidRPr="00925F26" w14:paraId="16F74F70" w14:textId="77777777">
        <w:trPr>
          <w:trHeight w:val="22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6B1A70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067BD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 (2АШ-82ФН)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56ECF9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C320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65F74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r>
      <w:tr w:rsidR="000F5689" w:rsidRPr="00925F26" w14:paraId="115E790A" w14:textId="77777777">
        <w:trPr>
          <w:trHeight w:val="21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28AF4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6EA2A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По-2(М-11Д|</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40794D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89DE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BE528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Нл</w:t>
            </w:r>
          </w:p>
        </w:tc>
      </w:tr>
      <w:tr w:rsidR="000F5689" w:rsidRPr="00925F26" w14:paraId="15405CAF" w14:textId="77777777">
        <w:trPr>
          <w:trHeight w:val="245"/>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70562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56FDE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 (АМ-38Ф)</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FC27D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36468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E09B3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w:t>
            </w:r>
          </w:p>
        </w:tc>
      </w:tr>
    </w:tbl>
    <w:p w14:paraId="613059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видим, Совнарком принял равноудалённую позицию, в ряде случаев прислушиваясь к аргументам военных, а ино</w:t>
      </w:r>
      <w:r w:rsidRPr="00925F26">
        <w:rPr>
          <w:color w:val="000000" w:themeColor="text1"/>
          <w:sz w:val="16"/>
          <w:szCs w:val="16"/>
        </w:rPr>
        <w:softHyphen/>
        <w:t>гда — принимая сторону авиастроителей.</w:t>
      </w:r>
    </w:p>
    <w:p w14:paraId="16F797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целом, динамика рентабельности авиапромышленности в годы Великой Отечественной войны имела следующий вид (%):</w:t>
      </w:r>
    </w:p>
    <w:tbl>
      <w:tblPr>
        <w:tblW w:w="0" w:type="auto"/>
        <w:tblInd w:w="8" w:type="dxa"/>
        <w:tblLayout w:type="fixed"/>
        <w:tblCellMar>
          <w:left w:w="0" w:type="dxa"/>
          <w:right w:w="0" w:type="dxa"/>
        </w:tblCellMar>
        <w:tblLook w:val="0000" w:firstRow="0" w:lastRow="0" w:firstColumn="0" w:lastColumn="0" w:noHBand="0" w:noVBand="0"/>
      </w:tblPr>
      <w:tblGrid>
        <w:gridCol w:w="994"/>
        <w:gridCol w:w="984"/>
        <w:gridCol w:w="984"/>
        <w:gridCol w:w="979"/>
        <w:gridCol w:w="979"/>
        <w:gridCol w:w="994"/>
      </w:tblGrid>
      <w:tr w:rsidR="000F5689" w:rsidRPr="00925F26" w14:paraId="0575832E" w14:textId="77777777">
        <w:trPr>
          <w:trHeight w:val="245"/>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338907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AFBE3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C4B55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112514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56A04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5E9E99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w:t>
            </w:r>
          </w:p>
        </w:tc>
      </w:tr>
      <w:tr w:rsidR="000F5689" w:rsidRPr="00925F26" w14:paraId="3D877FB0" w14:textId="77777777">
        <w:trPr>
          <w:trHeight w:val="240"/>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08361D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+7,32</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F1F5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FEFA9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-0,98</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7834A8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17291F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+5,52</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FB9FF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+5Д</w:t>
            </w:r>
          </w:p>
        </w:tc>
      </w:tr>
    </w:tbl>
    <w:p w14:paraId="123A4D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 есть, за исключением 1942 г., авиаиндустрия СССР оставалась рентабельной и в финансовом плане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в годы войны не следует упускать из вида (12011).</w:t>
      </w:r>
    </w:p>
    <w:p w14:paraId="61AA6B1F" w14:textId="77777777" w:rsidR="00665165" w:rsidRPr="00925F26" w:rsidRDefault="00665165" w:rsidP="00925F26">
      <w:pPr>
        <w:autoSpaceDE w:val="0"/>
        <w:autoSpaceDN w:val="0"/>
        <w:adjustRightInd w:val="0"/>
        <w:jc w:val="both"/>
        <w:rPr>
          <w:color w:val="000000" w:themeColor="text1"/>
          <w:sz w:val="16"/>
          <w:szCs w:val="16"/>
        </w:rPr>
      </w:pPr>
    </w:p>
    <w:p w14:paraId="39BECFE2" w14:textId="77777777" w:rsidR="00DE5890" w:rsidRPr="00925F26" w:rsidRDefault="00DE5890" w:rsidP="00925F26">
      <w:pPr>
        <w:jc w:val="both"/>
        <w:rPr>
          <w:color w:val="000000" w:themeColor="text1"/>
          <w:sz w:val="16"/>
          <w:szCs w:val="16"/>
        </w:rPr>
      </w:pPr>
      <w:r w:rsidRPr="00925F26">
        <w:rPr>
          <w:color w:val="000000" w:themeColor="text1"/>
          <w:sz w:val="16"/>
          <w:szCs w:val="16"/>
          <w:lang w:bidi="ru-RU"/>
        </w:rPr>
        <w:t>17 апреля 1945 г. итоговые отпускные цены на самолеты и моторы на 2 кв. 1945 установил СНК СССР, заняв равноудалённую позицию, в одних случаях приняв аргументы военных, в дру</w:t>
      </w:r>
      <w:r w:rsidRPr="00925F26">
        <w:rPr>
          <w:color w:val="000000" w:themeColor="text1"/>
          <w:sz w:val="16"/>
          <w:szCs w:val="16"/>
          <w:lang w:bidi="ru-RU"/>
        </w:rPr>
        <w:softHyphen/>
        <w:t>гих - авиастроителей (см. табл.).</w:t>
      </w:r>
    </w:p>
    <w:p w14:paraId="6839EF22" w14:textId="77777777" w:rsidR="00DE5890" w:rsidRPr="00925F26" w:rsidRDefault="00DE5890" w:rsidP="00925F26">
      <w:pPr>
        <w:pStyle w:val="28"/>
        <w:spacing w:before="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Отпускные цены на типы и модели, вызвавшие разногласия НКАП - ВВС, урегулированные постановлением СНК СССР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88"/>
        <w:gridCol w:w="1704"/>
        <w:gridCol w:w="1627"/>
        <w:gridCol w:w="1637"/>
        <w:gridCol w:w="1608"/>
      </w:tblGrid>
      <w:tr w:rsidR="000F5689" w:rsidRPr="00925F26" w14:paraId="701DD26D" w14:textId="77777777" w:rsidTr="00076D96">
        <w:trPr>
          <w:trHeight w:val="283"/>
        </w:trPr>
        <w:tc>
          <w:tcPr>
            <w:tcW w:w="888" w:type="dxa"/>
          </w:tcPr>
          <w:p w14:paraId="1197E9FC"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 завода</w:t>
            </w:r>
          </w:p>
        </w:tc>
        <w:tc>
          <w:tcPr>
            <w:tcW w:w="1704" w:type="dxa"/>
          </w:tcPr>
          <w:p w14:paraId="0BF81AF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Модель</w:t>
            </w:r>
          </w:p>
        </w:tc>
        <w:tc>
          <w:tcPr>
            <w:tcW w:w="1627" w:type="dxa"/>
          </w:tcPr>
          <w:p w14:paraId="482FA5A9"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Предложения ВВС</w:t>
            </w:r>
          </w:p>
        </w:tc>
        <w:tc>
          <w:tcPr>
            <w:tcW w:w="1637" w:type="dxa"/>
          </w:tcPr>
          <w:p w14:paraId="66F3311D"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Предложения НКАП</w:t>
            </w:r>
          </w:p>
        </w:tc>
        <w:tc>
          <w:tcPr>
            <w:tcW w:w="1608" w:type="dxa"/>
          </w:tcPr>
          <w:p w14:paraId="1AB014E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Постановление СНК</w:t>
            </w:r>
          </w:p>
        </w:tc>
      </w:tr>
      <w:tr w:rsidR="000F5689" w:rsidRPr="00925F26" w14:paraId="10C19D37" w14:textId="77777777" w:rsidTr="00076D96">
        <w:trPr>
          <w:trHeight w:val="278"/>
        </w:trPr>
        <w:tc>
          <w:tcPr>
            <w:tcW w:w="888" w:type="dxa"/>
            <w:vAlign w:val="bottom"/>
          </w:tcPr>
          <w:p w14:paraId="431EA5DF"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21</w:t>
            </w:r>
          </w:p>
        </w:tc>
        <w:tc>
          <w:tcPr>
            <w:tcW w:w="1704" w:type="dxa"/>
            <w:vAlign w:val="bottom"/>
          </w:tcPr>
          <w:p w14:paraId="09CE22AC"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Ла-7</w:t>
            </w:r>
          </w:p>
        </w:tc>
        <w:tc>
          <w:tcPr>
            <w:tcW w:w="1627" w:type="dxa"/>
            <w:vAlign w:val="bottom"/>
          </w:tcPr>
          <w:p w14:paraId="4414DEF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118</w:t>
            </w:r>
          </w:p>
        </w:tc>
        <w:tc>
          <w:tcPr>
            <w:tcW w:w="1637" w:type="dxa"/>
            <w:vAlign w:val="bottom"/>
          </w:tcPr>
          <w:p w14:paraId="6FBAE307"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125</w:t>
            </w:r>
          </w:p>
        </w:tc>
        <w:tc>
          <w:tcPr>
            <w:tcW w:w="1608" w:type="dxa"/>
            <w:vAlign w:val="bottom"/>
          </w:tcPr>
          <w:p w14:paraId="6FA464F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120</w:t>
            </w:r>
          </w:p>
        </w:tc>
      </w:tr>
      <w:tr w:rsidR="000F5689" w:rsidRPr="00925F26" w14:paraId="4F4E6FFE" w14:textId="77777777" w:rsidTr="00076D96">
        <w:trPr>
          <w:trHeight w:val="379"/>
        </w:trPr>
        <w:tc>
          <w:tcPr>
            <w:tcW w:w="888" w:type="dxa"/>
            <w:vAlign w:val="bottom"/>
          </w:tcPr>
          <w:p w14:paraId="6EB8FFD9"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82</w:t>
            </w:r>
          </w:p>
        </w:tc>
        <w:tc>
          <w:tcPr>
            <w:tcW w:w="1704" w:type="dxa"/>
          </w:tcPr>
          <w:p w14:paraId="4A3C22DD"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(АШ-82ФН)</w:t>
            </w:r>
          </w:p>
          <w:p w14:paraId="00125C05"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Як-9</w:t>
            </w:r>
          </w:p>
        </w:tc>
        <w:tc>
          <w:tcPr>
            <w:tcW w:w="1627" w:type="dxa"/>
            <w:vAlign w:val="bottom"/>
          </w:tcPr>
          <w:p w14:paraId="5B60D639"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171</w:t>
            </w:r>
          </w:p>
        </w:tc>
        <w:tc>
          <w:tcPr>
            <w:tcW w:w="1637" w:type="dxa"/>
            <w:vAlign w:val="bottom"/>
          </w:tcPr>
          <w:p w14:paraId="2D07419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200</w:t>
            </w:r>
          </w:p>
        </w:tc>
        <w:tc>
          <w:tcPr>
            <w:tcW w:w="1608" w:type="dxa"/>
            <w:vAlign w:val="bottom"/>
          </w:tcPr>
          <w:p w14:paraId="0A6B3EA1"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185</w:t>
            </w:r>
          </w:p>
        </w:tc>
      </w:tr>
      <w:tr w:rsidR="000F5689" w:rsidRPr="00925F26" w14:paraId="47A15F0F" w14:textId="77777777" w:rsidTr="00076D96">
        <w:trPr>
          <w:trHeight w:val="379"/>
        </w:trPr>
        <w:tc>
          <w:tcPr>
            <w:tcW w:w="888" w:type="dxa"/>
            <w:vAlign w:val="bottom"/>
          </w:tcPr>
          <w:p w14:paraId="0F2B446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166</w:t>
            </w:r>
          </w:p>
        </w:tc>
        <w:tc>
          <w:tcPr>
            <w:tcW w:w="1704" w:type="dxa"/>
          </w:tcPr>
          <w:p w14:paraId="09EB26A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en-US" w:bidi="en-US"/>
              </w:rPr>
              <w:t>(BK-107A)</w:t>
            </w:r>
          </w:p>
          <w:p w14:paraId="1D37110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Як-9</w:t>
            </w:r>
          </w:p>
        </w:tc>
        <w:tc>
          <w:tcPr>
            <w:tcW w:w="1627" w:type="dxa"/>
            <w:vAlign w:val="bottom"/>
          </w:tcPr>
          <w:p w14:paraId="649578D5"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138</w:t>
            </w:r>
          </w:p>
        </w:tc>
        <w:tc>
          <w:tcPr>
            <w:tcW w:w="1637" w:type="dxa"/>
            <w:vAlign w:val="bottom"/>
          </w:tcPr>
          <w:p w14:paraId="5549792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142</w:t>
            </w:r>
          </w:p>
        </w:tc>
        <w:tc>
          <w:tcPr>
            <w:tcW w:w="1608" w:type="dxa"/>
            <w:vAlign w:val="bottom"/>
          </w:tcPr>
          <w:p w14:paraId="7EBA2EC6"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138</w:t>
            </w:r>
          </w:p>
        </w:tc>
      </w:tr>
      <w:tr w:rsidR="000F5689" w:rsidRPr="00925F26" w14:paraId="7E68D6EE" w14:textId="77777777" w:rsidTr="00076D96">
        <w:trPr>
          <w:trHeight w:val="379"/>
        </w:trPr>
        <w:tc>
          <w:tcPr>
            <w:tcW w:w="888" w:type="dxa"/>
            <w:vAlign w:val="bottom"/>
          </w:tcPr>
          <w:p w14:paraId="14C8A97B"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292</w:t>
            </w:r>
          </w:p>
        </w:tc>
        <w:tc>
          <w:tcPr>
            <w:tcW w:w="1704" w:type="dxa"/>
            <w:vAlign w:val="bottom"/>
          </w:tcPr>
          <w:p w14:paraId="711A7DC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val="en-US" w:bidi="en-US"/>
              </w:rPr>
              <w:t>(BK-J07A)</w:t>
            </w:r>
          </w:p>
          <w:p w14:paraId="2058B1BC"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Як-3</w:t>
            </w:r>
          </w:p>
        </w:tc>
        <w:tc>
          <w:tcPr>
            <w:tcW w:w="1627" w:type="dxa"/>
            <w:vAlign w:val="bottom"/>
          </w:tcPr>
          <w:p w14:paraId="05A73CD0"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122</w:t>
            </w:r>
          </w:p>
        </w:tc>
        <w:tc>
          <w:tcPr>
            <w:tcW w:w="1637" w:type="dxa"/>
            <w:vAlign w:val="bottom"/>
          </w:tcPr>
          <w:p w14:paraId="7BD49DEC"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130</w:t>
            </w:r>
          </w:p>
        </w:tc>
        <w:tc>
          <w:tcPr>
            <w:tcW w:w="1608" w:type="dxa"/>
            <w:vAlign w:val="bottom"/>
          </w:tcPr>
          <w:p w14:paraId="26BB66F0"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127</w:t>
            </w:r>
          </w:p>
        </w:tc>
      </w:tr>
      <w:tr w:rsidR="000F5689" w:rsidRPr="00925F26" w14:paraId="0C539DFE" w14:textId="77777777" w:rsidTr="00076D96">
        <w:trPr>
          <w:trHeight w:val="379"/>
        </w:trPr>
        <w:tc>
          <w:tcPr>
            <w:tcW w:w="888" w:type="dxa"/>
            <w:vAlign w:val="bottom"/>
          </w:tcPr>
          <w:p w14:paraId="170A6F2F"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381</w:t>
            </w:r>
          </w:p>
        </w:tc>
        <w:tc>
          <w:tcPr>
            <w:tcW w:w="1704" w:type="dxa"/>
            <w:vAlign w:val="bottom"/>
          </w:tcPr>
          <w:p w14:paraId="06582855"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(ВК-105ПФ)</w:t>
            </w:r>
          </w:p>
          <w:p w14:paraId="7F0FF893"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Ла-7</w:t>
            </w:r>
          </w:p>
        </w:tc>
        <w:tc>
          <w:tcPr>
            <w:tcW w:w="1627" w:type="dxa"/>
            <w:vAlign w:val="bottom"/>
          </w:tcPr>
          <w:p w14:paraId="22C02C58"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180</w:t>
            </w:r>
          </w:p>
        </w:tc>
        <w:tc>
          <w:tcPr>
            <w:tcW w:w="1637" w:type="dxa"/>
            <w:vAlign w:val="bottom"/>
          </w:tcPr>
          <w:p w14:paraId="4171F91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195</w:t>
            </w:r>
          </w:p>
        </w:tc>
        <w:tc>
          <w:tcPr>
            <w:tcW w:w="1608" w:type="dxa"/>
            <w:vAlign w:val="bottom"/>
          </w:tcPr>
          <w:p w14:paraId="4C6CFDDB"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180</w:t>
            </w:r>
          </w:p>
        </w:tc>
      </w:tr>
      <w:tr w:rsidR="000F5689" w:rsidRPr="00925F26" w14:paraId="3739CA41" w14:textId="77777777" w:rsidTr="00076D96">
        <w:trPr>
          <w:trHeight w:val="384"/>
        </w:trPr>
        <w:tc>
          <w:tcPr>
            <w:tcW w:w="888" w:type="dxa"/>
            <w:vAlign w:val="bottom"/>
          </w:tcPr>
          <w:p w14:paraId="7EE0CE2B"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23</w:t>
            </w:r>
          </w:p>
        </w:tc>
        <w:tc>
          <w:tcPr>
            <w:tcW w:w="1704" w:type="dxa"/>
            <w:vAlign w:val="bottom"/>
          </w:tcPr>
          <w:p w14:paraId="115250F8"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(АШ-82ФН) Ту-2</w:t>
            </w:r>
          </w:p>
        </w:tc>
        <w:tc>
          <w:tcPr>
            <w:tcW w:w="1627" w:type="dxa"/>
            <w:vAlign w:val="bottom"/>
          </w:tcPr>
          <w:p w14:paraId="1DF8EBA0"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570</w:t>
            </w:r>
          </w:p>
        </w:tc>
        <w:tc>
          <w:tcPr>
            <w:tcW w:w="1637" w:type="dxa"/>
            <w:vAlign w:val="bottom"/>
          </w:tcPr>
          <w:p w14:paraId="71740F1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590</w:t>
            </w:r>
          </w:p>
        </w:tc>
        <w:tc>
          <w:tcPr>
            <w:tcW w:w="1608" w:type="dxa"/>
            <w:vAlign w:val="bottom"/>
          </w:tcPr>
          <w:p w14:paraId="0C731D5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570</w:t>
            </w:r>
          </w:p>
        </w:tc>
      </w:tr>
      <w:tr w:rsidR="000F5689" w:rsidRPr="00925F26" w14:paraId="2DC6F47C" w14:textId="77777777" w:rsidTr="00076D96">
        <w:trPr>
          <w:trHeight w:val="389"/>
        </w:trPr>
        <w:tc>
          <w:tcPr>
            <w:tcW w:w="888" w:type="dxa"/>
            <w:vAlign w:val="bottom"/>
          </w:tcPr>
          <w:p w14:paraId="3F11012C"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471</w:t>
            </w:r>
          </w:p>
        </w:tc>
        <w:tc>
          <w:tcPr>
            <w:tcW w:w="1704" w:type="dxa"/>
          </w:tcPr>
          <w:p w14:paraId="0A66BB7F"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(2АЩ-82ФН)</w:t>
            </w:r>
          </w:p>
          <w:p w14:paraId="2233A7B1"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По-2 (М-11Д)</w:t>
            </w:r>
          </w:p>
        </w:tc>
        <w:tc>
          <w:tcPr>
            <w:tcW w:w="1627" w:type="dxa"/>
            <w:vAlign w:val="bottom"/>
          </w:tcPr>
          <w:p w14:paraId="32B4FFC0"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42</w:t>
            </w:r>
          </w:p>
        </w:tc>
        <w:tc>
          <w:tcPr>
            <w:tcW w:w="1637" w:type="dxa"/>
            <w:vAlign w:val="bottom"/>
          </w:tcPr>
          <w:p w14:paraId="64C44968"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44</w:t>
            </w:r>
          </w:p>
        </w:tc>
        <w:tc>
          <w:tcPr>
            <w:tcW w:w="1608" w:type="dxa"/>
            <w:vAlign w:val="bottom"/>
          </w:tcPr>
          <w:p w14:paraId="594100C2"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w:t>
            </w:r>
          </w:p>
        </w:tc>
      </w:tr>
      <w:tr w:rsidR="000F5689" w:rsidRPr="00925F26" w14:paraId="18A77FE0" w14:textId="77777777" w:rsidTr="00076D96">
        <w:trPr>
          <w:trHeight w:val="408"/>
        </w:trPr>
        <w:tc>
          <w:tcPr>
            <w:tcW w:w="888" w:type="dxa"/>
          </w:tcPr>
          <w:p w14:paraId="449E0300"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 18</w:t>
            </w:r>
          </w:p>
        </w:tc>
        <w:tc>
          <w:tcPr>
            <w:tcW w:w="1704" w:type="dxa"/>
            <w:vAlign w:val="bottom"/>
          </w:tcPr>
          <w:p w14:paraId="7CE5FB8D"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Ил-10</w:t>
            </w:r>
          </w:p>
          <w:p w14:paraId="1DF04749"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(АМ-38Ф)</w:t>
            </w:r>
          </w:p>
        </w:tc>
        <w:tc>
          <w:tcPr>
            <w:tcW w:w="1627" w:type="dxa"/>
          </w:tcPr>
          <w:p w14:paraId="25EB8720"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250</w:t>
            </w:r>
          </w:p>
        </w:tc>
        <w:tc>
          <w:tcPr>
            <w:tcW w:w="1637" w:type="dxa"/>
          </w:tcPr>
          <w:p w14:paraId="57AB94AA"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275</w:t>
            </w:r>
          </w:p>
        </w:tc>
        <w:tc>
          <w:tcPr>
            <w:tcW w:w="1608" w:type="dxa"/>
          </w:tcPr>
          <w:p w14:paraId="6C7326E1"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271</w:t>
            </w:r>
          </w:p>
        </w:tc>
      </w:tr>
    </w:tbl>
    <w:p w14:paraId="6CE16AD8" w14:textId="77777777" w:rsidR="00DE5890" w:rsidRPr="00925F26" w:rsidRDefault="00DE5890" w:rsidP="00925F26">
      <w:pPr>
        <w:pStyle w:val="aff1"/>
        <w:spacing w:line="240" w:lineRule="auto"/>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bidi="ru-RU"/>
        </w:rPr>
        <w:t>Составлено по: РГАЭ ф. 8044, оп. 1, д. 2973, л. 22, 29-30.</w:t>
      </w:r>
    </w:p>
    <w:p w14:paraId="1ECCE2B2" w14:textId="77777777" w:rsidR="00DE5890" w:rsidRPr="00925F26" w:rsidRDefault="00DE5890" w:rsidP="00925F26">
      <w:pPr>
        <w:jc w:val="both"/>
        <w:rPr>
          <w:color w:val="000000" w:themeColor="text1"/>
          <w:sz w:val="16"/>
          <w:szCs w:val="16"/>
        </w:rPr>
      </w:pPr>
      <w:r w:rsidRPr="00925F26">
        <w:rPr>
          <w:color w:val="000000" w:themeColor="text1"/>
          <w:sz w:val="16"/>
          <w:szCs w:val="16"/>
          <w:lang w:bidi="ru-RU"/>
        </w:rPr>
        <w:t>Согласно данным таблицы 4, советская авиационная индустрия в течение всей войны (за исключением 1942 г.)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сле</w:t>
      </w:r>
      <w:r w:rsidRPr="00925F26">
        <w:rPr>
          <w:color w:val="000000" w:themeColor="text1"/>
          <w:sz w:val="16"/>
          <w:szCs w:val="16"/>
          <w:lang w:bidi="ru-RU"/>
        </w:rPr>
        <w:softHyphen/>
        <w:t>дует учитывать (22646).</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78"/>
        <w:gridCol w:w="3907"/>
        <w:gridCol w:w="1267"/>
        <w:gridCol w:w="1214"/>
      </w:tblGrid>
      <w:tr w:rsidR="000F5689" w:rsidRPr="00925F26" w14:paraId="790C467C" w14:textId="77777777" w:rsidTr="00076D96">
        <w:trPr>
          <w:trHeight w:val="547"/>
        </w:trPr>
        <w:tc>
          <w:tcPr>
            <w:tcW w:w="878" w:type="dxa"/>
          </w:tcPr>
          <w:p w14:paraId="352194D1" w14:textId="77777777" w:rsidR="00DE5890" w:rsidRPr="00925F26" w:rsidRDefault="00DE5890" w:rsidP="00925F26">
            <w:pPr>
              <w:jc w:val="both"/>
              <w:rPr>
                <w:color w:val="000000" w:themeColor="text1"/>
                <w:sz w:val="16"/>
                <w:szCs w:val="16"/>
              </w:rPr>
            </w:pPr>
          </w:p>
        </w:tc>
        <w:tc>
          <w:tcPr>
            <w:tcW w:w="5174" w:type="dxa"/>
            <w:gridSpan w:val="2"/>
            <w:vAlign w:val="center"/>
          </w:tcPr>
          <w:p w14:paraId="6456DAB5"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Динамика рентабельности авиапромышленности в 1941-1945 гг. (%)</w:t>
            </w:r>
          </w:p>
        </w:tc>
        <w:tc>
          <w:tcPr>
            <w:tcW w:w="1214" w:type="dxa"/>
          </w:tcPr>
          <w:p w14:paraId="73114836" w14:textId="77777777" w:rsidR="00DE5890" w:rsidRPr="00925F26" w:rsidRDefault="00DE5890" w:rsidP="00925F26">
            <w:pPr>
              <w:jc w:val="both"/>
              <w:rPr>
                <w:color w:val="000000" w:themeColor="text1"/>
                <w:sz w:val="16"/>
                <w:szCs w:val="16"/>
              </w:rPr>
            </w:pPr>
          </w:p>
        </w:tc>
      </w:tr>
      <w:tr w:rsidR="000F5689" w:rsidRPr="00925F26" w14:paraId="4E2C9509" w14:textId="77777777" w:rsidTr="00076D96">
        <w:trPr>
          <w:trHeight w:val="370"/>
        </w:trPr>
        <w:tc>
          <w:tcPr>
            <w:tcW w:w="878" w:type="dxa"/>
            <w:vAlign w:val="center"/>
          </w:tcPr>
          <w:p w14:paraId="66F90173"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1940 г.</w:t>
            </w:r>
          </w:p>
        </w:tc>
        <w:tc>
          <w:tcPr>
            <w:tcW w:w="3907" w:type="dxa"/>
            <w:vAlign w:val="center"/>
          </w:tcPr>
          <w:p w14:paraId="79B98319" w14:textId="77777777" w:rsidR="00DE5890" w:rsidRPr="00925F26" w:rsidRDefault="00DE5890" w:rsidP="00925F26">
            <w:pPr>
              <w:pStyle w:val="afff8"/>
              <w:tabs>
                <w:tab w:val="left" w:pos="1296"/>
                <w:tab w:val="left" w:pos="2597"/>
              </w:tabs>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1941 г.</w:t>
            </w:r>
            <w:r w:rsidRPr="00925F26">
              <w:rPr>
                <w:rFonts w:ascii="Times New Roman" w:hAnsi="Times New Roman" w:cs="Times New Roman"/>
                <w:color w:val="000000" w:themeColor="text1"/>
                <w:sz w:val="16"/>
                <w:szCs w:val="16"/>
                <w:lang w:bidi="ru-RU"/>
              </w:rPr>
              <w:tab/>
              <w:t>1942 г.</w:t>
            </w:r>
            <w:r w:rsidRPr="00925F26">
              <w:rPr>
                <w:rFonts w:ascii="Times New Roman" w:hAnsi="Times New Roman" w:cs="Times New Roman"/>
                <w:color w:val="000000" w:themeColor="text1"/>
                <w:sz w:val="16"/>
                <w:szCs w:val="16"/>
                <w:lang w:bidi="ru-RU"/>
              </w:rPr>
              <w:tab/>
              <w:t>1943 г.</w:t>
            </w:r>
          </w:p>
        </w:tc>
        <w:tc>
          <w:tcPr>
            <w:tcW w:w="1267" w:type="dxa"/>
            <w:vAlign w:val="center"/>
          </w:tcPr>
          <w:p w14:paraId="5CE74C9E"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1944 г.</w:t>
            </w:r>
          </w:p>
        </w:tc>
        <w:tc>
          <w:tcPr>
            <w:tcW w:w="1214" w:type="dxa"/>
            <w:vAlign w:val="center"/>
          </w:tcPr>
          <w:p w14:paraId="30733107"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1945 г.</w:t>
            </w:r>
          </w:p>
        </w:tc>
      </w:tr>
      <w:tr w:rsidR="000F5689" w:rsidRPr="00925F26" w14:paraId="554E3C9F" w14:textId="77777777" w:rsidTr="00076D96">
        <w:trPr>
          <w:trHeight w:val="389"/>
        </w:trPr>
        <w:tc>
          <w:tcPr>
            <w:tcW w:w="878" w:type="dxa"/>
            <w:vAlign w:val="center"/>
          </w:tcPr>
          <w:p w14:paraId="1F5E5CA7"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+7.32</w:t>
            </w:r>
          </w:p>
        </w:tc>
        <w:tc>
          <w:tcPr>
            <w:tcW w:w="3907" w:type="dxa"/>
          </w:tcPr>
          <w:p w14:paraId="0215391B" w14:textId="77777777" w:rsidR="00DE5890" w:rsidRPr="00925F26" w:rsidRDefault="00DE5890" w:rsidP="00925F26">
            <w:pPr>
              <w:pStyle w:val="afff8"/>
              <w:tabs>
                <w:tab w:val="left" w:pos="432"/>
                <w:tab w:val="left" w:pos="1291"/>
                <w:tab w:val="left" w:pos="1771"/>
                <w:tab w:val="left" w:pos="2592"/>
                <w:tab w:val="left" w:pos="3110"/>
              </w:tabs>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w:t>
            </w:r>
            <w:r w:rsidRPr="00925F26">
              <w:rPr>
                <w:rFonts w:ascii="Times New Roman" w:hAnsi="Times New Roman" w:cs="Times New Roman"/>
                <w:color w:val="000000" w:themeColor="text1"/>
                <w:sz w:val="16"/>
                <w:szCs w:val="16"/>
                <w:lang w:bidi="ru-RU"/>
              </w:rPr>
              <w:tab/>
              <w:t>+13.53</w:t>
            </w:r>
            <w:r w:rsidRPr="00925F26">
              <w:rPr>
                <w:rFonts w:ascii="Times New Roman" w:hAnsi="Times New Roman" w:cs="Times New Roman"/>
                <w:color w:val="000000" w:themeColor="text1"/>
                <w:sz w:val="16"/>
                <w:szCs w:val="16"/>
                <w:lang w:bidi="ru-RU"/>
              </w:rPr>
              <w:tab/>
              <w:t>|</w:t>
            </w:r>
            <w:r w:rsidRPr="00925F26">
              <w:rPr>
                <w:rFonts w:ascii="Times New Roman" w:hAnsi="Times New Roman" w:cs="Times New Roman"/>
                <w:color w:val="000000" w:themeColor="text1"/>
                <w:sz w:val="16"/>
                <w:szCs w:val="16"/>
                <w:lang w:bidi="ru-RU"/>
              </w:rPr>
              <w:tab/>
              <w:t>-0.98</w:t>
            </w:r>
            <w:r w:rsidRPr="00925F26">
              <w:rPr>
                <w:rFonts w:ascii="Times New Roman" w:hAnsi="Times New Roman" w:cs="Times New Roman"/>
                <w:color w:val="000000" w:themeColor="text1"/>
                <w:sz w:val="16"/>
                <w:szCs w:val="16"/>
                <w:lang w:bidi="ru-RU"/>
              </w:rPr>
              <w:tab/>
              <w:t>|</w:t>
            </w:r>
            <w:r w:rsidRPr="00925F26">
              <w:rPr>
                <w:rFonts w:ascii="Times New Roman" w:hAnsi="Times New Roman" w:cs="Times New Roman"/>
                <w:color w:val="000000" w:themeColor="text1"/>
                <w:sz w:val="16"/>
                <w:szCs w:val="16"/>
                <w:lang w:bidi="ru-RU"/>
              </w:rPr>
              <w:tab/>
              <w:t>+7.7</w:t>
            </w:r>
          </w:p>
        </w:tc>
        <w:tc>
          <w:tcPr>
            <w:tcW w:w="1267" w:type="dxa"/>
            <w:vAlign w:val="center"/>
          </w:tcPr>
          <w:p w14:paraId="033C6A66" w14:textId="77777777" w:rsidR="00DE5890" w:rsidRPr="00925F26" w:rsidRDefault="00DE5890" w:rsidP="00925F26">
            <w:pPr>
              <w:pStyle w:val="afff8"/>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+5.52</w:t>
            </w:r>
          </w:p>
        </w:tc>
        <w:tc>
          <w:tcPr>
            <w:tcW w:w="1214" w:type="dxa"/>
          </w:tcPr>
          <w:p w14:paraId="3FCA7744" w14:textId="77777777" w:rsidR="00DE5890" w:rsidRPr="00925F26" w:rsidRDefault="00DE5890" w:rsidP="00925F26">
            <w:pPr>
              <w:pStyle w:val="afff8"/>
              <w:tabs>
                <w:tab w:val="left" w:pos="466"/>
              </w:tabs>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lang w:bidi="ru-RU"/>
              </w:rPr>
              <w:t>|</w:t>
            </w:r>
            <w:r w:rsidRPr="00925F26">
              <w:rPr>
                <w:rFonts w:ascii="Times New Roman" w:hAnsi="Times New Roman" w:cs="Times New Roman"/>
                <w:color w:val="000000" w:themeColor="text1"/>
                <w:sz w:val="16"/>
                <w:szCs w:val="16"/>
                <w:lang w:bidi="ru-RU"/>
              </w:rPr>
              <w:tab/>
              <w:t>+5.2</w:t>
            </w:r>
          </w:p>
        </w:tc>
      </w:tr>
    </w:tbl>
    <w:p w14:paraId="3578788D" w14:textId="77777777" w:rsidR="00DE5890" w:rsidRPr="00925F26" w:rsidRDefault="00DE5890" w:rsidP="00925F26">
      <w:pPr>
        <w:pStyle w:val="aff1"/>
        <w:spacing w:line="240" w:lineRule="auto"/>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bidi="ru-RU"/>
        </w:rPr>
        <w:t>Составлено по: Симонов Н.С. Указ. соч. С. 177 (22646).</w:t>
      </w:r>
    </w:p>
    <w:p w14:paraId="69B59C6D" w14:textId="77777777" w:rsidR="00DE5890" w:rsidRPr="00925F26" w:rsidRDefault="00DE5890" w:rsidP="00925F26">
      <w:pPr>
        <w:jc w:val="both"/>
        <w:rPr>
          <w:color w:val="000000" w:themeColor="text1"/>
          <w:sz w:val="16"/>
          <w:szCs w:val="16"/>
        </w:rPr>
      </w:pPr>
      <w:r w:rsidRPr="00925F26">
        <w:rPr>
          <w:color w:val="000000" w:themeColor="text1"/>
          <w:sz w:val="16"/>
          <w:szCs w:val="16"/>
          <w:lang w:bidi="ru-RU"/>
        </w:rPr>
        <w:t>Таким образом, в советской экономике военных лет монетарные инстру</w:t>
      </w:r>
      <w:r w:rsidRPr="00925F26">
        <w:rPr>
          <w:color w:val="000000" w:themeColor="text1"/>
          <w:sz w:val="16"/>
          <w:szCs w:val="16"/>
          <w:lang w:bidi="ru-RU"/>
        </w:rPr>
        <w:softHyphen/>
        <w:t>менты регулирования, действительно, существенно редуцировались, но только на уровне внутриведомственных взаимоотношений. Однако рассмотренный пример согласования цен на авиационную продукцию между руководством НКАП и ВВС позволяет сделать вывод о существенном значении межведом</w:t>
      </w:r>
      <w:r w:rsidRPr="00925F26">
        <w:rPr>
          <w:color w:val="000000" w:themeColor="text1"/>
          <w:sz w:val="16"/>
          <w:szCs w:val="16"/>
          <w:lang w:bidi="ru-RU"/>
        </w:rPr>
        <w:softHyphen/>
        <w:t>ственных финансовых взаиморасчётов для успешного функционирования авиационной промышленности. Её руководство всемерно старалось снизить себестоимость и поднять отпускные цены на производимую для фронта про</w:t>
      </w:r>
      <w:r w:rsidRPr="00925F26">
        <w:rPr>
          <w:color w:val="000000" w:themeColor="text1"/>
          <w:sz w:val="16"/>
          <w:szCs w:val="16"/>
          <w:lang w:bidi="ru-RU"/>
        </w:rPr>
        <w:softHyphen/>
        <w:t>дукцию, а НКО пытался их снизить. В подобных спорах советское правитель</w:t>
      </w:r>
      <w:r w:rsidRPr="00925F26">
        <w:rPr>
          <w:color w:val="000000" w:themeColor="text1"/>
          <w:sz w:val="16"/>
          <w:szCs w:val="16"/>
          <w:lang w:bidi="ru-RU"/>
        </w:rPr>
        <w:softHyphen/>
        <w:t>ство выступало в роли арбитра и всегда стремилось обуздать ведомственные амбиции, проводя взвешенную ценовую политику (22646).</w:t>
      </w:r>
    </w:p>
    <w:p w14:paraId="773EEE51" w14:textId="77777777" w:rsidR="00DE5890" w:rsidRPr="00925F26" w:rsidRDefault="00DE5890" w:rsidP="00925F26">
      <w:pPr>
        <w:jc w:val="both"/>
        <w:rPr>
          <w:color w:val="000000" w:themeColor="text1"/>
          <w:sz w:val="16"/>
          <w:szCs w:val="16"/>
        </w:rPr>
      </w:pPr>
    </w:p>
    <w:p w14:paraId="61DC731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137B8E7" w14:textId="77777777" w:rsidR="00665165" w:rsidRPr="00925F26" w:rsidRDefault="00665165" w:rsidP="00925F26">
      <w:pPr>
        <w:autoSpaceDE w:val="0"/>
        <w:autoSpaceDN w:val="0"/>
        <w:adjustRightInd w:val="0"/>
        <w:jc w:val="both"/>
        <w:rPr>
          <w:iCs/>
          <w:color w:val="000000" w:themeColor="text1"/>
          <w:sz w:val="16"/>
          <w:szCs w:val="16"/>
        </w:rPr>
      </w:pPr>
    </w:p>
    <w:p w14:paraId="31BD72AD" w14:textId="77777777" w:rsidR="006979C2" w:rsidRPr="00925F26" w:rsidRDefault="006979C2" w:rsidP="00925F26">
      <w:pPr>
        <w:jc w:val="both"/>
        <w:rPr>
          <w:color w:val="000000" w:themeColor="text1"/>
          <w:sz w:val="16"/>
          <w:szCs w:val="16"/>
        </w:rPr>
      </w:pPr>
      <w:r w:rsidRPr="00925F26">
        <w:rPr>
          <w:color w:val="000000" w:themeColor="text1"/>
          <w:sz w:val="16"/>
          <w:szCs w:val="16"/>
        </w:rPr>
        <w:t>17 апреля 1945 г.</w:t>
      </w:r>
    </w:p>
    <w:p w14:paraId="4BE51AE2" w14:textId="77777777" w:rsidR="006979C2" w:rsidRPr="00925F26" w:rsidRDefault="006979C2" w:rsidP="00925F26">
      <w:pPr>
        <w:jc w:val="both"/>
        <w:rPr>
          <w:color w:val="000000" w:themeColor="text1"/>
          <w:sz w:val="16"/>
          <w:szCs w:val="16"/>
        </w:rPr>
      </w:pPr>
      <w:r w:rsidRPr="00925F26">
        <w:rPr>
          <w:color w:val="000000" w:themeColor="text1"/>
          <w:sz w:val="16"/>
          <w:szCs w:val="16"/>
        </w:rPr>
        <w:t>Действующая армия</w:t>
      </w:r>
    </w:p>
    <w:p w14:paraId="2F45273F" w14:textId="77777777" w:rsidR="006979C2" w:rsidRPr="00925F26" w:rsidRDefault="006979C2" w:rsidP="00925F26">
      <w:pPr>
        <w:jc w:val="both"/>
        <w:rPr>
          <w:color w:val="000000" w:themeColor="text1"/>
          <w:sz w:val="16"/>
          <w:szCs w:val="16"/>
        </w:rPr>
      </w:pPr>
      <w:r w:rsidRPr="00925F26">
        <w:rPr>
          <w:color w:val="000000" w:themeColor="text1"/>
          <w:sz w:val="16"/>
          <w:szCs w:val="16"/>
        </w:rPr>
        <w:t xml:space="preserve">Германия </w:t>
      </w:r>
    </w:p>
    <w:p w14:paraId="0AFF58E2" w14:textId="77777777" w:rsidR="006979C2" w:rsidRPr="00925F26" w:rsidRDefault="006979C2" w:rsidP="00925F26">
      <w:pPr>
        <w:jc w:val="both"/>
        <w:rPr>
          <w:color w:val="000000" w:themeColor="text1"/>
          <w:sz w:val="16"/>
          <w:szCs w:val="16"/>
        </w:rPr>
      </w:pPr>
      <w:r w:rsidRPr="00925F26">
        <w:rPr>
          <w:color w:val="000000" w:themeColor="text1"/>
          <w:sz w:val="16"/>
          <w:szCs w:val="16"/>
        </w:rPr>
        <w:t>Коллективу завода № 208.</w:t>
      </w:r>
    </w:p>
    <w:p w14:paraId="01018409" w14:textId="77777777" w:rsidR="006979C2" w:rsidRPr="00925F26" w:rsidRDefault="006979C2" w:rsidP="00925F26">
      <w:pPr>
        <w:jc w:val="both"/>
        <w:rPr>
          <w:color w:val="000000" w:themeColor="text1"/>
          <w:sz w:val="16"/>
          <w:szCs w:val="16"/>
        </w:rPr>
      </w:pPr>
      <w:r w:rsidRPr="00925F26">
        <w:rPr>
          <w:color w:val="000000" w:themeColor="text1"/>
          <w:sz w:val="16"/>
          <w:szCs w:val="16"/>
        </w:rPr>
        <w:t>Дорогие товарищи! Военный расчет установки «Редут» № 163 от всей души благодарит Вас за вверенную Вами нам прекрасную технику. Путь, пройденный установкой от Харькова и до Берлина, усеян обломками сотен гитлеровских стервятников, пытавшихся нарушить спокойствие нашей страны и сбитых гордыми соколами по данным «Редута». Всего на боевом счету числится за установкой свыше 400 различных типов самолетов противника. Сейчас мы находимся в считанных километрах от логова фашистского зверя - Берлина. Зорким оком мы охраняем рубежи, выполняя приказы командования. Ни один стервятник не пролетает не замеченный нами! Вчера на нашем участке фронта началось последнее решительное наступление. Впереди - Берлин. Все силы мы приложили к тому, чтобы облегчить выполнение боевых задач нашей авиации, дать вовремя точные сведения о самолетах противника, навести их на противника. Только за первый день наступления 16 апреля 1945 г. поданным нашего «Редута» сбито 63 самолета противника. Дорогие товарищи! Кто же иной, как не Вы должны гордиться боевыми заслугами нашей могучей авиации. Труд Ваш неоценимый в деле усиления нашей авиации, вооружения ее новыми видами передовой техники и в деле разгрома коварного врага. Желаем Вам дальнейших успехов в Вашей плодотворной работе на пользу фронта, на пользу нашего общего дела, полного разгрома врага, полного разгрома фашизма. Разрешите от всего расчета поблагодарить Вас и пожелать наилучших успехов в Вашей работе и жизни. Особо благодарим старшего инженера завода Рамм Г.Я., старшего инженера завода Рыбкина В.П. и ст. инженера НИИ-20 Годсданкер Э.С. за оказанную нам помощь в обновлении установки.</w:t>
      </w:r>
    </w:p>
    <w:p w14:paraId="32330E02" w14:textId="77777777" w:rsidR="006979C2" w:rsidRPr="00925F26" w:rsidRDefault="006979C2" w:rsidP="00925F26">
      <w:pPr>
        <w:jc w:val="both"/>
        <w:rPr>
          <w:color w:val="000000" w:themeColor="text1"/>
          <w:sz w:val="16"/>
          <w:szCs w:val="16"/>
        </w:rPr>
      </w:pPr>
      <w:r w:rsidRPr="00925F26">
        <w:rPr>
          <w:color w:val="000000" w:themeColor="text1"/>
          <w:sz w:val="16"/>
          <w:szCs w:val="16"/>
        </w:rPr>
        <w:t>Начальник установки лейтенант Сизов</w:t>
      </w:r>
    </w:p>
    <w:p w14:paraId="6BAD3A2B" w14:textId="77777777" w:rsidR="006979C2" w:rsidRPr="00925F26" w:rsidRDefault="006979C2" w:rsidP="00925F26">
      <w:pPr>
        <w:jc w:val="both"/>
        <w:rPr>
          <w:color w:val="000000" w:themeColor="text1"/>
          <w:sz w:val="16"/>
          <w:szCs w:val="16"/>
        </w:rPr>
      </w:pPr>
      <w:r w:rsidRPr="00925F26">
        <w:rPr>
          <w:color w:val="000000" w:themeColor="text1"/>
          <w:sz w:val="16"/>
          <w:szCs w:val="16"/>
        </w:rPr>
        <w:t>Помощник начальника установки мл. лейтенант Лапин</w:t>
      </w:r>
    </w:p>
    <w:p w14:paraId="6F9D67FC" w14:textId="77777777" w:rsidR="006979C2" w:rsidRPr="00925F26" w:rsidRDefault="006979C2" w:rsidP="00925F26">
      <w:pPr>
        <w:jc w:val="both"/>
        <w:rPr>
          <w:color w:val="000000" w:themeColor="text1"/>
          <w:sz w:val="16"/>
          <w:szCs w:val="16"/>
        </w:rPr>
      </w:pPr>
      <w:r w:rsidRPr="00925F26">
        <w:rPr>
          <w:color w:val="000000" w:themeColor="text1"/>
          <w:sz w:val="16"/>
          <w:szCs w:val="16"/>
        </w:rPr>
        <w:t>Ст. оператор ст. лейтенант Альбшуллер</w:t>
      </w:r>
    </w:p>
    <w:p w14:paraId="04AB2769" w14:textId="77777777" w:rsidR="006979C2" w:rsidRPr="00925F26" w:rsidRDefault="006979C2" w:rsidP="00925F26">
      <w:pPr>
        <w:jc w:val="both"/>
        <w:rPr>
          <w:color w:val="000000" w:themeColor="text1"/>
          <w:sz w:val="16"/>
          <w:szCs w:val="16"/>
        </w:rPr>
      </w:pPr>
      <w:r w:rsidRPr="00925F26">
        <w:rPr>
          <w:color w:val="000000" w:themeColor="text1"/>
          <w:sz w:val="16"/>
          <w:szCs w:val="16"/>
        </w:rPr>
        <w:t>Полевая почта 23271-Б (12160).</w:t>
      </w:r>
    </w:p>
    <w:p w14:paraId="35139A2C" w14:textId="77777777" w:rsidR="006979C2" w:rsidRPr="00925F26" w:rsidRDefault="006979C2" w:rsidP="00925F26">
      <w:pPr>
        <w:jc w:val="both"/>
        <w:rPr>
          <w:color w:val="000000" w:themeColor="text1"/>
          <w:sz w:val="16"/>
          <w:szCs w:val="16"/>
        </w:rPr>
      </w:pPr>
    </w:p>
    <w:p w14:paraId="4C0E583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апреля 1945 года вышел приказ № 136с НКБ Москва</w:t>
      </w:r>
    </w:p>
    <w:p w14:paraId="5D5ADB5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В соответствии с Постановлением Правительства № 8101с от 12 апреля 1945 года “Об организации особых монтажных управлений НКБ по демонтажу оборудования немецких предприятий” – организовать в НКБ Особое Гл. управление № 10 (5761, 141-143).</w:t>
      </w:r>
    </w:p>
    <w:p w14:paraId="019E977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C26774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апреля 1945 вышло Распоряжение ГКО № 8147 [О дополнительном выделении бензина НКГБ в апреле 1945 г.] (7327, 94).</w:t>
      </w:r>
    </w:p>
    <w:p w14:paraId="2ABB4CC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7CDC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вышло Постановление ГКО № 8148 О прекращении мобилизации немцев на территориях 1, 2, 3 БФ и 1 УФ. РГАНИР, Фонд ГКО, д. 400, лл. 95, 96 (11012).</w:t>
      </w:r>
    </w:p>
    <w:p w14:paraId="471CAC20" w14:textId="77777777" w:rsidR="00665165" w:rsidRPr="00925F26" w:rsidRDefault="00665165" w:rsidP="00925F26">
      <w:pPr>
        <w:autoSpaceDE w:val="0"/>
        <w:autoSpaceDN w:val="0"/>
        <w:adjustRightInd w:val="0"/>
        <w:jc w:val="both"/>
        <w:rPr>
          <w:color w:val="000000" w:themeColor="text1"/>
          <w:sz w:val="16"/>
          <w:szCs w:val="16"/>
        </w:rPr>
      </w:pPr>
    </w:p>
    <w:p w14:paraId="320410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вышло Постановление ГКО № 8149 О передаче немецкого типографского оборудования Военно-топографическому управлению ГШ КА. РГАНИР, Фонд ГКО, д. 400, лл. 97 (11012).</w:t>
      </w:r>
    </w:p>
    <w:p w14:paraId="610C405A" w14:textId="77777777" w:rsidR="00665165" w:rsidRPr="00925F26" w:rsidRDefault="00665165" w:rsidP="00925F26">
      <w:pPr>
        <w:autoSpaceDE w:val="0"/>
        <w:autoSpaceDN w:val="0"/>
        <w:adjustRightInd w:val="0"/>
        <w:jc w:val="both"/>
        <w:rPr>
          <w:color w:val="000000" w:themeColor="text1"/>
          <w:sz w:val="16"/>
          <w:szCs w:val="16"/>
        </w:rPr>
      </w:pPr>
    </w:p>
    <w:p w14:paraId="2E0DAE5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DE6EE50" w14:textId="77777777" w:rsidR="00665165" w:rsidRPr="00925F26" w:rsidRDefault="00665165" w:rsidP="00925F26">
      <w:pPr>
        <w:autoSpaceDE w:val="0"/>
        <w:autoSpaceDN w:val="0"/>
        <w:adjustRightInd w:val="0"/>
        <w:jc w:val="both"/>
        <w:rPr>
          <w:iCs/>
          <w:color w:val="000000" w:themeColor="text1"/>
          <w:sz w:val="16"/>
          <w:szCs w:val="16"/>
        </w:rPr>
      </w:pPr>
    </w:p>
    <w:p w14:paraId="7F516CAB" w14:textId="77777777" w:rsidR="001438DF" w:rsidRPr="00925F26" w:rsidRDefault="001438DF" w:rsidP="00925F26">
      <w:pPr>
        <w:jc w:val="both"/>
        <w:rPr>
          <w:color w:val="000000" w:themeColor="text1"/>
          <w:sz w:val="16"/>
          <w:szCs w:val="16"/>
        </w:rPr>
      </w:pPr>
      <w:r w:rsidRPr="00925F26">
        <w:rPr>
          <w:color w:val="000000" w:themeColor="text1"/>
          <w:sz w:val="16"/>
          <w:szCs w:val="16"/>
        </w:rPr>
        <w:t>17 апреля в 1945 году оперативная сводка Совинформбюро:</w:t>
      </w:r>
    </w:p>
    <w:p w14:paraId="71C2D4C1" w14:textId="77777777" w:rsidR="001438DF" w:rsidRPr="00925F26" w:rsidRDefault="001438DF" w:rsidP="00925F26">
      <w:pPr>
        <w:jc w:val="both"/>
        <w:rPr>
          <w:color w:val="000000" w:themeColor="text1"/>
          <w:sz w:val="16"/>
          <w:szCs w:val="16"/>
        </w:rPr>
      </w:pPr>
      <w:r w:rsidRPr="00925F26">
        <w:rPr>
          <w:color w:val="000000" w:themeColor="text1"/>
          <w:sz w:val="16"/>
          <w:szCs w:val="16"/>
        </w:rPr>
        <w:t>«В течение 17 апреля на Земландском полуострове западнее Кенигсберга войска 3-го Белорусского фронта, продолжая наступление, с боями заняли город и порт Фишхаузен и населённые пункты Литтаусдорф, Гаффкен, Занглинен, Нойендорф, Дарген, Тенкиттен, Кальнштайн, Легинен, Розенталь, Нарльсхоф, Вишродт, Блюдау, Неплекен, Циммербуде, Пайзе. Остатки разгромленной группы немецких войск отброшены в район порта Пиллау, где и уничтожаются нашими войсками. В боях за 16 апреля войска фронта взяли в плен 5.650 немецких солдат и офицеров и захватили следующие трофеи: самолётов — 47, танков и самоходных орудий — 47, бронетранспортёров — 78, полевых орудий — 385, миномётов — 210, пулемётов — 730, автомашин — 2.512, тракторов и тягачей — 64, железнодорожных вагонов — 350, складов с военным имуществом — 36.</w:t>
      </w:r>
    </w:p>
    <w:p w14:paraId="5A68DB09" w14:textId="77777777" w:rsidR="001438DF" w:rsidRPr="00925F26" w:rsidRDefault="001438DF"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17 апреля овладели центром нефтеносного района Австрии — городом Цистерсдорф, а также заняли более 30 других населённых пунктов и среди них Пальтерндорф, Маустренк, Кеттласбрун, Паасдорф, Хеберсбрун, Вольфпассинг, Хаутцендорф и железнодорожные станции Доберманнсдорф, Гестинг, Паасдорф. На территории Чехословакии северо-западнее города Годонин войска фронта заняли населённые пункты Крумвир, Щитборице, Кржепице, Густопече, Старовице, Попице, Врановице.</w:t>
      </w:r>
    </w:p>
    <w:p w14:paraId="03A7C9E8" w14:textId="77777777" w:rsidR="001438DF" w:rsidRPr="00925F26" w:rsidRDefault="001438DF" w:rsidP="00925F26">
      <w:pPr>
        <w:jc w:val="both"/>
        <w:rPr>
          <w:color w:val="000000" w:themeColor="text1"/>
          <w:sz w:val="16"/>
          <w:szCs w:val="16"/>
        </w:rPr>
      </w:pPr>
      <w:r w:rsidRPr="00925F26">
        <w:rPr>
          <w:color w:val="000000" w:themeColor="text1"/>
          <w:sz w:val="16"/>
          <w:szCs w:val="16"/>
        </w:rPr>
        <w:t>Войска 3-го Украинского фронта на территории Австрии севернее и западнее города Санкт-Пельтен с боями заняли населённые пункты Обер-Вельблинг, Ам-Бах, Хаузгейм, Обрицберг, Вайтцендорф, Герерсдорф, Хафинг.</w:t>
      </w:r>
    </w:p>
    <w:p w14:paraId="56F97065" w14:textId="77777777" w:rsidR="001438DF" w:rsidRPr="00925F26" w:rsidRDefault="001438DF" w:rsidP="00925F26">
      <w:pPr>
        <w:jc w:val="both"/>
        <w:rPr>
          <w:color w:val="000000" w:themeColor="text1"/>
          <w:sz w:val="16"/>
          <w:szCs w:val="16"/>
        </w:rPr>
      </w:pPr>
      <w:r w:rsidRPr="00925F26">
        <w:rPr>
          <w:color w:val="000000" w:themeColor="text1"/>
          <w:sz w:val="16"/>
          <w:szCs w:val="16"/>
        </w:rPr>
        <w:t>На остальных участках фронта — бои местного значения и поиски разведчиков.</w:t>
      </w:r>
    </w:p>
    <w:p w14:paraId="3A59A57D" w14:textId="77777777" w:rsidR="001438DF" w:rsidRPr="00925F26" w:rsidRDefault="001438DF" w:rsidP="00925F26">
      <w:pPr>
        <w:jc w:val="both"/>
        <w:rPr>
          <w:color w:val="000000" w:themeColor="text1"/>
          <w:sz w:val="16"/>
          <w:szCs w:val="16"/>
        </w:rPr>
      </w:pPr>
      <w:r w:rsidRPr="00925F26">
        <w:rPr>
          <w:color w:val="000000" w:themeColor="text1"/>
          <w:sz w:val="16"/>
          <w:szCs w:val="16"/>
        </w:rPr>
        <w:t>За 16 апреля на всех фронтах подбито и уничтожено 86 немецких танков и самоходных орудий. В воздушных боях и огнём зенитной артиллерии сбито 50 самолётов противника.</w:t>
      </w:r>
    </w:p>
    <w:p w14:paraId="1C2E7B3D" w14:textId="77777777" w:rsidR="001438DF" w:rsidRPr="00925F26" w:rsidRDefault="001438DF" w:rsidP="00925F26">
      <w:pPr>
        <w:jc w:val="both"/>
        <w:rPr>
          <w:color w:val="000000" w:themeColor="text1"/>
          <w:sz w:val="16"/>
          <w:szCs w:val="16"/>
        </w:rPr>
      </w:pPr>
      <w:r w:rsidRPr="00925F26">
        <w:rPr>
          <w:color w:val="000000" w:themeColor="text1"/>
          <w:sz w:val="16"/>
          <w:szCs w:val="16"/>
        </w:rPr>
        <w:t>На Земландском полуострове западнее города Кенигсберга наши войска продолжали наступление. Ожесточённые бои произошли за город Фишхаузен—важный опорный пункт обороны немцев, прикрывающий подступы к порту Пиллау. Советские танки и пехота с севера прорвали укрепления внешнего оборонительного обвода Фишхаузена. Оборонительный обвод проходил в двух— пяти километрах от города и состоял из нескольких линий траншей, большого числа дотов и дзотов, прикрытых проволочными заграждениями и минными полями. Мощными ударами нашей авиации и артиллерийским огнём вражеская оборона была дезорганизована. Ночью советские танковые и пехотные подразделения ворвались на улицы Фишхаузена. Стремительными ударами наши войска, сломили сопротивление многочисленного гарнизона противника и полностью овладели городом Фишхаузен, расположенным в 13 километрах от порта Пиллау. Таким образом, в руках немцев осталась лишь юго-западная оконечность Земландского полуострова. Территория, занимаемая противником, обстреливается советской артиллерией. На мысе юго-восточнее города Фишхаузена наши части продолжали вести бои по ликвидации окружённой группы немецких войск. Советские танкисты и пехотинцы заняли опорные пункты Циммербуде, Неплекен, Пайзе и расчленили вражескую группу на две изолированные друг от друга части. Противник несёт огромные потери. Места боёв завалены тысячами трупов гитлеровцев. Количество пленных всё время увеличивается.</w:t>
      </w:r>
    </w:p>
    <w:p w14:paraId="3E3A89EF" w14:textId="77777777" w:rsidR="001438DF" w:rsidRPr="00925F26" w:rsidRDefault="001438DF" w:rsidP="00925F26">
      <w:pPr>
        <w:jc w:val="both"/>
        <w:rPr>
          <w:color w:val="000000" w:themeColor="text1"/>
          <w:sz w:val="16"/>
          <w:szCs w:val="16"/>
        </w:rPr>
      </w:pPr>
      <w:r w:rsidRPr="00925F26">
        <w:rPr>
          <w:color w:val="000000" w:themeColor="text1"/>
          <w:sz w:val="16"/>
          <w:szCs w:val="16"/>
        </w:rPr>
        <w:t>В Кенигсберге наши бойцы обнаружили в подвале одного дома и взяли в плен генерал-майора войск СС Фрица Зигеля.</w:t>
      </w:r>
    </w:p>
    <w:p w14:paraId="66CA6732" w14:textId="77777777" w:rsidR="001438DF" w:rsidRPr="00925F26" w:rsidRDefault="001438DF" w:rsidP="00925F26">
      <w:pPr>
        <w:jc w:val="both"/>
        <w:rPr>
          <w:color w:val="000000" w:themeColor="text1"/>
          <w:sz w:val="16"/>
          <w:szCs w:val="16"/>
        </w:rPr>
      </w:pPr>
      <w:r w:rsidRPr="00925F26">
        <w:rPr>
          <w:color w:val="000000" w:themeColor="text1"/>
          <w:sz w:val="16"/>
          <w:szCs w:val="16"/>
        </w:rPr>
        <w:t>В боях по ликвидации остатков Восточно-Прусской группировки противника советские бойцы и офицеры проявляют отвагу и высокое воинское мастерство. Танковый экипаж лейтенанта Девина уничтожил тяжёлый немецкий танк, ворвался в населенный пункт и разгромил несколько огневых точек противника. Пулемётчики Коваленко и Лиманский в одном бою истребили 27 гитлеровцев. Отражая вражескую контратаку, старший сержант Давыдов огнём из противотанкового орудия подбил два немецких танка.</w:t>
      </w:r>
    </w:p>
    <w:p w14:paraId="7DE5CD0A" w14:textId="77777777" w:rsidR="001438DF" w:rsidRPr="00925F26" w:rsidRDefault="001438DF" w:rsidP="00925F26">
      <w:pPr>
        <w:jc w:val="both"/>
        <w:rPr>
          <w:color w:val="000000" w:themeColor="text1"/>
          <w:sz w:val="16"/>
          <w:szCs w:val="16"/>
        </w:rPr>
      </w:pPr>
      <w:r w:rsidRPr="00925F26">
        <w:rPr>
          <w:color w:val="000000" w:themeColor="text1"/>
          <w:sz w:val="16"/>
          <w:szCs w:val="16"/>
        </w:rPr>
        <w:t>Войска 2-го Украинского фронта овладели центром нефтеносного района Австрии городом Цистеродорф. Стремясь удержать в своих руках этот район, немцы сосредоточили крупные силы танков и пехоты и оказывали упорное сопротивление. На отдельных участках бои переходили в рукопашные схватки. Тесня противника, наши войска постепенно обтекали город с трёх сторон. Затем советские части предприняли стремительную атаку и овладели городом Цистерсдорф. В бою за город уничтожено свыше двух тысяч солдат и офицеров противника. Сожжено и подбито 15 немецких танков и самоходных орудий.</w:t>
      </w:r>
    </w:p>
    <w:p w14:paraId="73F7FDB4" w14:textId="77777777" w:rsidR="001438DF" w:rsidRPr="00925F26" w:rsidRDefault="001438DF" w:rsidP="00925F26">
      <w:pPr>
        <w:jc w:val="both"/>
        <w:rPr>
          <w:color w:val="000000" w:themeColor="text1"/>
          <w:sz w:val="16"/>
          <w:szCs w:val="16"/>
        </w:rPr>
      </w:pPr>
      <w:r w:rsidRPr="00925F26">
        <w:rPr>
          <w:color w:val="000000" w:themeColor="text1"/>
          <w:sz w:val="16"/>
          <w:szCs w:val="16"/>
        </w:rPr>
        <w:t>Наши лётчики в воздушных боях сбили 14 вражеских самолётов. Огнём зенитной артиллерии уничтожено 6 самолётов противника.</w:t>
      </w:r>
    </w:p>
    <w:p w14:paraId="0BCCD303" w14:textId="77777777" w:rsidR="001438DF" w:rsidRPr="00925F26" w:rsidRDefault="001438DF" w:rsidP="00925F26">
      <w:pPr>
        <w:jc w:val="both"/>
        <w:rPr>
          <w:color w:val="000000" w:themeColor="text1"/>
          <w:sz w:val="16"/>
          <w:szCs w:val="16"/>
        </w:rPr>
      </w:pPr>
      <w:r w:rsidRPr="00925F26">
        <w:rPr>
          <w:color w:val="000000" w:themeColor="text1"/>
          <w:sz w:val="16"/>
          <w:szCs w:val="16"/>
        </w:rPr>
        <w:t>На территории Чехословакии северо-западнее города Годонин войска фронта с боями продвигались вперёд. Занят населённый пункт Кржепице, расположенный в 20 километрах южнее города Брно. На одном участке группа гвардейцев-пулемётчиков во главе со старшим лейтенантом Лобазиным скрытно зашла немцам в тыл и устроила засаду у дороги. Вскоре показалась вражеская колонна. Подпустив противника на близкое расстояние, советские пулеметчики внезапно открыли огонь. Немцы в панике начали разбегаться, бросая вооружение. В это время подоспели бойцы подразделения старшего лейтенанта Сорокина. Они с хода атаковали бегущих гитлеровцев, уничтожая их штыками, прикладами и гранатами. 180 немецких солдат и офицеров прекратили сопротивление и сложили оружие. Гвардейцы захватили 200 повозок, 600 лошадей, 2 бронетранспортёра, 38 пулемётов и другие трофеи.</w:t>
      </w:r>
    </w:p>
    <w:p w14:paraId="4BC7CDDD" w14:textId="77777777" w:rsidR="001438DF" w:rsidRPr="00925F26" w:rsidRDefault="001438DF" w:rsidP="00925F26">
      <w:pPr>
        <w:jc w:val="both"/>
        <w:rPr>
          <w:color w:val="000000" w:themeColor="text1"/>
          <w:sz w:val="16"/>
          <w:szCs w:val="16"/>
        </w:rPr>
      </w:pPr>
      <w:r w:rsidRPr="00925F26">
        <w:rPr>
          <w:color w:val="000000" w:themeColor="text1"/>
          <w:sz w:val="16"/>
          <w:szCs w:val="16"/>
        </w:rPr>
        <w:t>В Австрии севернее и западнее города Санкт-Пельтен наши войска с боями продвигались вперёд. Сломив сопротивление немцев, советские части заняли населенный пункт Обер-Вельблинг и вступили в горно-лесистый район. Противник предпринял несколько контратак, но с большими потерями был отброшен. Другие наши части выбили гитлеровцев из ряда населённых пунктов и вышли к реке Пилах. За день боёв нашими войсками захвачено у немцев 32 танка и самоходных орудия, 62 полевых орудия, 32 бронетранспортёра, 188 пулеметов, 210 железнодорожных вагонов с грузами и 42 склада с боеприпасами и разным военным имуществом.» (15102).</w:t>
      </w:r>
    </w:p>
    <w:p w14:paraId="4B3184D4" w14:textId="77777777" w:rsidR="001438DF" w:rsidRPr="00925F26" w:rsidRDefault="001438DF" w:rsidP="00925F26">
      <w:pPr>
        <w:jc w:val="both"/>
        <w:rPr>
          <w:color w:val="000000" w:themeColor="text1"/>
          <w:sz w:val="16"/>
          <w:szCs w:val="16"/>
        </w:rPr>
      </w:pPr>
    </w:p>
    <w:p w14:paraId="45C1A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не обошелся без потерь для 108 гшап. Самолеты пошли на штурмовку немецких войск близ Гре</w:t>
      </w:r>
      <w:r w:rsidRPr="00925F26">
        <w:rPr>
          <w:color w:val="000000" w:themeColor="text1"/>
          <w:sz w:val="16"/>
          <w:szCs w:val="16"/>
        </w:rPr>
        <w:softHyphen/>
        <w:t>ча, Хайнесбрюка и Вейсача. Их встре</w:t>
      </w:r>
      <w:r w:rsidRPr="00925F26">
        <w:rPr>
          <w:color w:val="000000" w:themeColor="text1"/>
          <w:sz w:val="16"/>
          <w:szCs w:val="16"/>
        </w:rPr>
        <w:softHyphen/>
        <w:t>тил сильный зенитный огонь. Из первой группы не вернулся экипаж лейтенанта Михайлова. Во второй младший лейте</w:t>
      </w:r>
      <w:r w:rsidRPr="00925F26">
        <w:rPr>
          <w:color w:val="000000" w:themeColor="text1"/>
          <w:sz w:val="16"/>
          <w:szCs w:val="16"/>
        </w:rPr>
        <w:softHyphen/>
        <w:t>нант Маклаков совершил вынужденную посадку: примерно в 20 км от аэродрома Охельхермсдорф на его самолете мо</w:t>
      </w:r>
      <w:r w:rsidRPr="00925F26">
        <w:rPr>
          <w:color w:val="000000" w:themeColor="text1"/>
          <w:sz w:val="16"/>
          <w:szCs w:val="16"/>
        </w:rPr>
        <w:softHyphen/>
        <w:t>тор начал давать перебои. Летчик про</w:t>
      </w:r>
      <w:r w:rsidRPr="00925F26">
        <w:rPr>
          <w:color w:val="000000" w:themeColor="text1"/>
          <w:sz w:val="16"/>
          <w:szCs w:val="16"/>
        </w:rPr>
        <w:softHyphen/>
        <w:t>должил полет, пытаясь дотянуть до по</w:t>
      </w:r>
      <w:r w:rsidRPr="00925F26">
        <w:rPr>
          <w:color w:val="000000" w:themeColor="text1"/>
          <w:sz w:val="16"/>
          <w:szCs w:val="16"/>
        </w:rPr>
        <w:softHyphen/>
        <w:t>лосы, но двигатель остановился. Макла</w:t>
      </w:r>
      <w:r w:rsidRPr="00925F26">
        <w:rPr>
          <w:color w:val="000000" w:themeColor="text1"/>
          <w:sz w:val="16"/>
          <w:szCs w:val="16"/>
        </w:rPr>
        <w:softHyphen/>
        <w:t>ков сел прямо на лес. Ил-10 был разбит и восстановлению не подлежал. Ране</w:t>
      </w:r>
      <w:r w:rsidRPr="00925F26">
        <w:rPr>
          <w:color w:val="000000" w:themeColor="text1"/>
          <w:sz w:val="16"/>
          <w:szCs w:val="16"/>
        </w:rPr>
        <w:softHyphen/>
        <w:t>ных летчика и стрелка отправили в гос</w:t>
      </w:r>
      <w:r w:rsidRPr="00925F26">
        <w:rPr>
          <w:color w:val="000000" w:themeColor="text1"/>
          <w:sz w:val="16"/>
          <w:szCs w:val="16"/>
        </w:rPr>
        <w:softHyphen/>
        <w:t>питаль (10681).</w:t>
      </w:r>
    </w:p>
    <w:p w14:paraId="3161C83F" w14:textId="77777777" w:rsidR="00665165" w:rsidRPr="00925F26" w:rsidRDefault="00665165" w:rsidP="00925F26">
      <w:pPr>
        <w:autoSpaceDE w:val="0"/>
        <w:autoSpaceDN w:val="0"/>
        <w:adjustRightInd w:val="0"/>
        <w:jc w:val="both"/>
        <w:rPr>
          <w:color w:val="000000" w:themeColor="text1"/>
          <w:sz w:val="16"/>
          <w:szCs w:val="16"/>
        </w:rPr>
      </w:pPr>
    </w:p>
    <w:p w14:paraId="0F4BD6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апреля 1945 первый Ил-10 571-го гшап пострадал от немецких истребителей. Пилоты «яков» слишком поздно заметили пару ФВ 109, заходящих снизу-сзади на ведущего группы штурмовиков и его ведомого. Для воздушных стрелков атака также оказалась неожиданной. В результате на Ил-10 ведомого, младшего лейтенан</w:t>
      </w:r>
      <w:r w:rsidRPr="00925F26">
        <w:rPr>
          <w:color w:val="000000" w:themeColor="text1"/>
          <w:sz w:val="16"/>
          <w:szCs w:val="16"/>
        </w:rPr>
        <w:softHyphen/>
        <w:t>та Коротаева, пулеметно-пушечным ог</w:t>
      </w:r>
      <w:r w:rsidRPr="00925F26">
        <w:rPr>
          <w:color w:val="000000" w:themeColor="text1"/>
          <w:sz w:val="16"/>
          <w:szCs w:val="16"/>
        </w:rPr>
        <w:softHyphen/>
        <w:t>нем были разбиты киль и руль поворота, в нескольких местах пробиты левая кон</w:t>
      </w:r>
      <w:r w:rsidRPr="00925F26">
        <w:rPr>
          <w:color w:val="000000" w:themeColor="text1"/>
          <w:sz w:val="16"/>
          <w:szCs w:val="16"/>
        </w:rPr>
        <w:softHyphen/>
        <w:t>соль крыла и кабина стрелка. Стрелок младший сержант Бабиков получил ра</w:t>
      </w:r>
      <w:r w:rsidRPr="00925F26">
        <w:rPr>
          <w:color w:val="000000" w:themeColor="text1"/>
          <w:sz w:val="16"/>
          <w:szCs w:val="16"/>
        </w:rPr>
        <w:softHyphen/>
        <w:t>нения. Выполнив одну-единственную атаку, «мессеры» вышли из боя (10681).</w:t>
      </w:r>
    </w:p>
    <w:p w14:paraId="6B72CB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E03EC06" w14:textId="77777777" w:rsidR="0053208B" w:rsidRPr="00925F26" w:rsidRDefault="0053208B" w:rsidP="00925F26">
      <w:pPr>
        <w:jc w:val="both"/>
        <w:rPr>
          <w:color w:val="000000" w:themeColor="text1"/>
          <w:sz w:val="16"/>
          <w:szCs w:val="16"/>
        </w:rPr>
      </w:pPr>
      <w:r w:rsidRPr="00925F26">
        <w:rPr>
          <w:color w:val="000000" w:themeColor="text1"/>
          <w:sz w:val="16"/>
          <w:szCs w:val="16"/>
        </w:rPr>
        <w:t>17 апреля в 1945 году немецкий ас Эрик Хартман в воздушном бою одержал свою 350-ю победу, сбив советский истребитель «Як-9» (15102).</w:t>
      </w:r>
    </w:p>
    <w:p w14:paraId="67827D11" w14:textId="77777777" w:rsidR="0053208B" w:rsidRPr="00925F26" w:rsidRDefault="0053208B" w:rsidP="00925F26">
      <w:pPr>
        <w:jc w:val="both"/>
        <w:rPr>
          <w:color w:val="000000" w:themeColor="text1"/>
          <w:sz w:val="16"/>
          <w:szCs w:val="16"/>
        </w:rPr>
      </w:pPr>
    </w:p>
    <w:p w14:paraId="02BBA842" w14:textId="77777777" w:rsidR="00DE5890" w:rsidRPr="00925F26" w:rsidRDefault="00DE5890" w:rsidP="00925F26">
      <w:pPr>
        <w:jc w:val="both"/>
        <w:rPr>
          <w:color w:val="000000" w:themeColor="text1"/>
          <w:sz w:val="16"/>
          <w:szCs w:val="16"/>
        </w:rPr>
      </w:pPr>
      <w:r w:rsidRPr="00925F26">
        <w:rPr>
          <w:color w:val="000000" w:themeColor="text1"/>
          <w:sz w:val="16"/>
          <w:szCs w:val="16"/>
        </w:rPr>
        <w:t>17 апреля 1945 пара «свободных охотников» Кожедуб и Титаренко из 176-го ГИАП увидела большую группу FW 190, — по их оценке, в ней было 40 машин. Невзирая на подавляющее превосходство противника, они вызвали подкрепление и, не дожидаясь его подхода, вдвоем атаковали штурмовиков. Одна пара Ла-7 заставила всю вражескую группу сбросить бомбы, не долетев до линии фронта, а Титаренко сбил еще одного «Фоккера». Они вышли из боя только после подхода своих сил, которые окончательно «растерзали» врага. Его боевой порядок сразу распался, и на отходе Кожедуб сбил еще один FW 190 — это был его последний 62-й самолет на личном счету (22772).</w:t>
      </w:r>
    </w:p>
    <w:p w14:paraId="7432927D" w14:textId="77777777" w:rsidR="00DE5890" w:rsidRPr="00925F26" w:rsidRDefault="00DE5890" w:rsidP="00925F26">
      <w:pPr>
        <w:jc w:val="both"/>
        <w:rPr>
          <w:color w:val="000000" w:themeColor="text1"/>
          <w:sz w:val="16"/>
          <w:szCs w:val="16"/>
        </w:rPr>
      </w:pPr>
    </w:p>
    <w:p w14:paraId="532AAD30" w14:textId="77777777" w:rsidR="00DE5890" w:rsidRPr="00925F26" w:rsidRDefault="00DE5890" w:rsidP="00925F26">
      <w:pPr>
        <w:jc w:val="both"/>
        <w:rPr>
          <w:color w:val="000000" w:themeColor="text1"/>
          <w:sz w:val="16"/>
          <w:szCs w:val="16"/>
        </w:rPr>
      </w:pPr>
      <w:r w:rsidRPr="00925F26">
        <w:rPr>
          <w:color w:val="000000" w:themeColor="text1"/>
          <w:sz w:val="16"/>
          <w:szCs w:val="16"/>
        </w:rPr>
        <w:t>17 апреля 1945 года Третий рейх постигла очередная, самая крупная и оттого самая ужасная катастрофа, и опять на Балтике.</w:t>
      </w:r>
    </w:p>
    <w:p w14:paraId="2742EADF" w14:textId="62D92966" w:rsidR="00DE5890" w:rsidRPr="00925F26" w:rsidRDefault="00DE5890" w:rsidP="00925F26">
      <w:pPr>
        <w:jc w:val="both"/>
        <w:rPr>
          <w:color w:val="000000" w:themeColor="text1"/>
          <w:sz w:val="16"/>
          <w:szCs w:val="16"/>
        </w:rPr>
      </w:pPr>
      <w:r w:rsidRPr="00925F26">
        <w:rPr>
          <w:color w:val="000000" w:themeColor="text1"/>
          <w:sz w:val="16"/>
          <w:szCs w:val="16"/>
        </w:rPr>
        <w:t xml:space="preserve">Советская подводная лодка </w:t>
      </w:r>
      <w:proofErr w:type="gramStart"/>
      <w:r w:rsidRPr="00925F26">
        <w:rPr>
          <w:color w:val="000000" w:themeColor="text1"/>
          <w:sz w:val="16"/>
          <w:szCs w:val="16"/>
        </w:rPr>
        <w:t>« Л</w:t>
      </w:r>
      <w:proofErr w:type="gramEnd"/>
      <w:r w:rsidRPr="00925F26">
        <w:rPr>
          <w:color w:val="000000" w:themeColor="text1"/>
          <w:sz w:val="16"/>
          <w:szCs w:val="16"/>
        </w:rPr>
        <w:t>-3 — под командованием капитана 3-го ранга В. К. Коновалова 17 апреля 1945 г. атаковала вражеский конвой и потопила транспорт "Гойя" водоизмещением 5230 т. Судно было конфисковано немцами после занятия Норвегии Германией. На борту «Гойя», по оценке Ф. Руге, находились более 7 тысяч человек (по данным М. Морозова, 1500 солдат 4-й танковой</w:t>
      </w:r>
      <w:r w:rsidR="00997EDF" w:rsidRPr="00925F26">
        <w:rPr>
          <w:color w:val="000000" w:themeColor="text1"/>
          <w:sz w:val="16"/>
          <w:szCs w:val="16"/>
        </w:rPr>
        <w:t xml:space="preserve">  </w:t>
      </w:r>
      <w:r w:rsidRPr="00925F26">
        <w:rPr>
          <w:color w:val="000000" w:themeColor="text1"/>
          <w:sz w:val="16"/>
          <w:szCs w:val="16"/>
        </w:rPr>
        <w:t>дивизии вермахта, 385 раненых военнослужащих, а также не менее 3500 беженцев — гражданских лиц).</w:t>
      </w:r>
    </w:p>
    <w:p w14:paraId="4D393E15" w14:textId="77777777" w:rsidR="00DE5890" w:rsidRPr="00925F26" w:rsidRDefault="00DE5890" w:rsidP="00925F26">
      <w:pPr>
        <w:jc w:val="both"/>
        <w:rPr>
          <w:color w:val="000000" w:themeColor="text1"/>
          <w:sz w:val="16"/>
          <w:szCs w:val="16"/>
        </w:rPr>
      </w:pPr>
      <w:r w:rsidRPr="00925F26">
        <w:rPr>
          <w:color w:val="000000" w:themeColor="text1"/>
          <w:sz w:val="16"/>
          <w:szCs w:val="16"/>
        </w:rPr>
        <w:t>По другим данным, на борту «Гойя» всего находилось 5385 человек, в том числе около 1300 подводников — офицеров, курсантов и матросов (около 30 экипажей ПЛ).</w:t>
      </w:r>
    </w:p>
    <w:p w14:paraId="280F9A00" w14:textId="77777777" w:rsidR="00DE5890" w:rsidRPr="00925F26" w:rsidRDefault="00DE5890" w:rsidP="00925F26">
      <w:pPr>
        <w:jc w:val="both"/>
        <w:rPr>
          <w:color w:val="000000" w:themeColor="text1"/>
          <w:sz w:val="16"/>
          <w:szCs w:val="16"/>
        </w:rPr>
      </w:pPr>
      <w:r w:rsidRPr="00925F26">
        <w:rPr>
          <w:color w:val="000000" w:themeColor="text1"/>
          <w:sz w:val="16"/>
          <w:szCs w:val="16"/>
        </w:rPr>
        <w:lastRenderedPageBreak/>
        <w:t>Судно затонуло, унося с собой, по различным оценкам, 6-7 тысяч человек. Удалось спасти от 128 до 134 терпящих бедствие.</w:t>
      </w:r>
    </w:p>
    <w:p w14:paraId="7993BAD4" w14:textId="77777777" w:rsidR="00DE5890" w:rsidRPr="00925F26" w:rsidRDefault="00DE5890" w:rsidP="00925F26">
      <w:pPr>
        <w:jc w:val="both"/>
        <w:rPr>
          <w:color w:val="000000" w:themeColor="text1"/>
          <w:sz w:val="16"/>
          <w:szCs w:val="16"/>
        </w:rPr>
      </w:pPr>
      <w:r w:rsidRPr="00925F26">
        <w:rPr>
          <w:color w:val="000000" w:themeColor="text1"/>
          <w:sz w:val="16"/>
          <w:szCs w:val="16"/>
        </w:rPr>
        <w:t>Корабль затонул очень быстро - всего за семь минут, так как судно было грузовое и, в отличие от пассажирского, не имело водонепроницаемых переборок. (20190).</w:t>
      </w:r>
    </w:p>
    <w:p w14:paraId="33734623" w14:textId="77777777" w:rsidR="00DE5890" w:rsidRPr="00925F26" w:rsidRDefault="00DE5890" w:rsidP="00925F26">
      <w:pPr>
        <w:jc w:val="both"/>
        <w:rPr>
          <w:color w:val="000000" w:themeColor="text1"/>
          <w:sz w:val="16"/>
          <w:szCs w:val="16"/>
        </w:rPr>
      </w:pPr>
    </w:p>
    <w:p w14:paraId="1404DBAE" w14:textId="77777777" w:rsidR="004A3537" w:rsidRPr="00925F26" w:rsidRDefault="004A3537" w:rsidP="00925F26">
      <w:pPr>
        <w:jc w:val="both"/>
        <w:rPr>
          <w:color w:val="000000" w:themeColor="text1"/>
          <w:sz w:val="16"/>
          <w:szCs w:val="16"/>
        </w:rPr>
      </w:pPr>
      <w:r w:rsidRPr="00925F26">
        <w:rPr>
          <w:color w:val="000000" w:themeColor="text1"/>
          <w:sz w:val="16"/>
          <w:szCs w:val="16"/>
        </w:rPr>
        <w:t>Во вторник 17 апреля 1945 г. стало ясно, что советские войска не продвигаются вперед на Берлин. Сталин потребовал усилить натиск любой ценой. Прорыв Зееловских высот неожиданным маневром осуществили танкисты 1-й Гв. ТА генерала Катукова (17459).</w:t>
      </w:r>
    </w:p>
    <w:p w14:paraId="196C6846" w14:textId="77777777" w:rsidR="004A3537" w:rsidRPr="00925F26" w:rsidRDefault="004A3537" w:rsidP="00925F26">
      <w:pPr>
        <w:jc w:val="both"/>
        <w:rPr>
          <w:color w:val="000000" w:themeColor="text1"/>
          <w:sz w:val="16"/>
          <w:szCs w:val="16"/>
        </w:rPr>
      </w:pPr>
    </w:p>
    <w:p w14:paraId="6EE8F289" w14:textId="77777777" w:rsidR="00E34C33" w:rsidRPr="00925F26" w:rsidRDefault="00E34C33" w:rsidP="00925F26">
      <w:pPr>
        <w:jc w:val="both"/>
        <w:rPr>
          <w:color w:val="000000" w:themeColor="text1"/>
          <w:sz w:val="16"/>
          <w:szCs w:val="16"/>
        </w:rPr>
      </w:pPr>
      <w:r w:rsidRPr="00925F26">
        <w:rPr>
          <w:bCs/>
          <w:color w:val="000000" w:themeColor="text1"/>
          <w:sz w:val="16"/>
          <w:szCs w:val="16"/>
        </w:rPr>
        <w:t xml:space="preserve">17 апреля 1945 Сталин прореагировал в свойственном ему духе, жестко, бескомпромиссно телеграммой Жукову: «Командующему войсками 1-го Белорусского фронта. Получил Вашу шифровку с изложением показания немецкого пленного насчет того, чтобы не уступать русским и биться до последнего человека, если даже американские войска подойдут к ним в тыл. Не обращайте внимания на показания пленного немца. Гитлер плетет паутину в районе Берлина, чтобы вызвать разногласия между русскими и союзниками. Эту паутину нужно разрубить путем взятия Берлина советскими войсками. Рубите немцев без пощады и скоро будете в Берлине. И. Сталин </w:t>
      </w:r>
      <w:r w:rsidRPr="00925F26">
        <w:rPr>
          <w:color w:val="000000" w:themeColor="text1"/>
          <w:sz w:val="16"/>
          <w:szCs w:val="16"/>
        </w:rPr>
        <w:t>17 апр. 1945 г.</w:t>
      </w:r>
      <w:r w:rsidRPr="00925F26">
        <w:rPr>
          <w:bCs/>
          <w:color w:val="000000" w:themeColor="text1"/>
          <w:sz w:val="16"/>
          <w:szCs w:val="16"/>
        </w:rPr>
        <w:t xml:space="preserve"> 17 часов 50 мин. (17459).</w:t>
      </w:r>
    </w:p>
    <w:p w14:paraId="79AD58F1" w14:textId="77777777" w:rsidR="00E34C33" w:rsidRPr="00925F26" w:rsidRDefault="00E34C33" w:rsidP="00925F26">
      <w:pPr>
        <w:jc w:val="both"/>
        <w:rPr>
          <w:color w:val="000000" w:themeColor="text1"/>
          <w:sz w:val="16"/>
          <w:szCs w:val="16"/>
        </w:rPr>
      </w:pPr>
    </w:p>
    <w:p w14:paraId="0A3A1A67" w14:textId="77777777" w:rsidR="004A3537" w:rsidRPr="00925F26" w:rsidRDefault="004A3537" w:rsidP="00925F26">
      <w:pPr>
        <w:jc w:val="both"/>
        <w:rPr>
          <w:color w:val="000000" w:themeColor="text1"/>
          <w:sz w:val="16"/>
          <w:szCs w:val="16"/>
        </w:rPr>
      </w:pPr>
      <w:r w:rsidRPr="00925F26">
        <w:rPr>
          <w:bCs/>
          <w:color w:val="000000" w:themeColor="text1"/>
          <w:sz w:val="16"/>
          <w:szCs w:val="16"/>
        </w:rPr>
        <w:t xml:space="preserve">Ночью с </w:t>
      </w:r>
      <w:r w:rsidRPr="00925F26">
        <w:rPr>
          <w:color w:val="000000" w:themeColor="text1"/>
          <w:sz w:val="16"/>
          <w:szCs w:val="16"/>
        </w:rPr>
        <w:t>16 на 17 апреля</w:t>
      </w:r>
      <w:r w:rsidRPr="00925F26">
        <w:rPr>
          <w:bCs/>
          <w:color w:val="000000" w:themeColor="text1"/>
          <w:sz w:val="16"/>
          <w:szCs w:val="16"/>
        </w:rPr>
        <w:t xml:space="preserve"> 1945 по железной дороге на Высоты прорвался 11-й танковый корпус, за ним пошла пехота, а потом были введены 8-й мехкорпус и все остальные части армии. В 1941 году у Катукова было всего 45 танков, а теперь эта громада: танк к танку, пушка к пушке — занимала пространство в 150 километров. И в эту узкую горловину вошла вся армия Катукова. В течение </w:t>
      </w:r>
      <w:r w:rsidRPr="00925F26">
        <w:rPr>
          <w:color w:val="000000" w:themeColor="text1"/>
          <w:sz w:val="16"/>
          <w:szCs w:val="16"/>
        </w:rPr>
        <w:t>17 и 18 апреля</w:t>
      </w:r>
      <w:r w:rsidRPr="00925F26">
        <w:rPr>
          <w:bCs/>
          <w:color w:val="000000" w:themeColor="text1"/>
          <w:sz w:val="16"/>
          <w:szCs w:val="16"/>
        </w:rPr>
        <w:t xml:space="preserve"> армия продвинулась на 7–8 километров. Местность была очень трудная: лес, болота, междуозерные пространства, минные поля, сильная противотанковая оборона. К исходу </w:t>
      </w:r>
      <w:r w:rsidRPr="00925F26">
        <w:rPr>
          <w:color w:val="000000" w:themeColor="text1"/>
          <w:sz w:val="16"/>
          <w:szCs w:val="16"/>
        </w:rPr>
        <w:t>19 апреля</w:t>
      </w:r>
      <w:r w:rsidRPr="00925F26">
        <w:rPr>
          <w:bCs/>
          <w:color w:val="000000" w:themeColor="text1"/>
          <w:sz w:val="16"/>
          <w:szCs w:val="16"/>
        </w:rPr>
        <w:t xml:space="preserve"> войска продвинулись еще на 10–12 километров и прорвали третью оборонительную полосу противника (17459).</w:t>
      </w:r>
    </w:p>
    <w:p w14:paraId="721396D7" w14:textId="77777777" w:rsidR="004A3537" w:rsidRPr="00925F26" w:rsidRDefault="004A3537" w:rsidP="00925F26">
      <w:pPr>
        <w:jc w:val="both"/>
        <w:rPr>
          <w:color w:val="000000" w:themeColor="text1"/>
          <w:sz w:val="16"/>
          <w:szCs w:val="16"/>
        </w:rPr>
      </w:pPr>
    </w:p>
    <w:p w14:paraId="748EA37F" w14:textId="77777777" w:rsidR="004A3537" w:rsidRPr="00925F26" w:rsidRDefault="004A3537" w:rsidP="00925F26">
      <w:pPr>
        <w:jc w:val="both"/>
        <w:rPr>
          <w:color w:val="000000" w:themeColor="text1"/>
          <w:sz w:val="16"/>
          <w:szCs w:val="16"/>
        </w:rPr>
      </w:pPr>
      <w:r w:rsidRPr="00925F26">
        <w:rPr>
          <w:color w:val="000000" w:themeColor="text1"/>
          <w:sz w:val="16"/>
          <w:szCs w:val="16"/>
        </w:rPr>
        <w:t>17 апреля 1945 г. подавлены последние очаги сопротивления, разрозненные отряды фольксштурма отошли по дорогам на запад. В тот же день 17 апреля 1945 г. Народная партия и коммунисты Австрии объявили о начале политической деятельности (17459).</w:t>
      </w:r>
    </w:p>
    <w:p w14:paraId="1F2346D6" w14:textId="77777777" w:rsidR="004A3537" w:rsidRPr="00925F26" w:rsidRDefault="004A3537" w:rsidP="00925F26">
      <w:pPr>
        <w:jc w:val="both"/>
        <w:rPr>
          <w:color w:val="000000" w:themeColor="text1"/>
          <w:sz w:val="16"/>
          <w:szCs w:val="16"/>
        </w:rPr>
      </w:pPr>
    </w:p>
    <w:p w14:paraId="2761316C" w14:textId="77777777" w:rsidR="004A3537"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6B1C01E" w14:textId="77777777" w:rsidR="004A3537" w:rsidRPr="00925F26" w:rsidRDefault="004A3537" w:rsidP="00925F26">
      <w:pPr>
        <w:autoSpaceDE w:val="0"/>
        <w:autoSpaceDN w:val="0"/>
        <w:adjustRightInd w:val="0"/>
        <w:jc w:val="both"/>
        <w:rPr>
          <w:iCs/>
          <w:color w:val="000000" w:themeColor="text1"/>
          <w:sz w:val="16"/>
          <w:szCs w:val="16"/>
        </w:rPr>
      </w:pPr>
    </w:p>
    <w:p w14:paraId="7C242E77" w14:textId="77777777" w:rsidR="004A3537" w:rsidRPr="00925F26" w:rsidRDefault="004A3537" w:rsidP="00925F26">
      <w:pPr>
        <w:autoSpaceDE w:val="0"/>
        <w:autoSpaceDN w:val="0"/>
        <w:adjustRightInd w:val="0"/>
        <w:jc w:val="both"/>
        <w:rPr>
          <w:iCs/>
          <w:color w:val="000000" w:themeColor="text1"/>
          <w:sz w:val="16"/>
          <w:szCs w:val="16"/>
        </w:rPr>
      </w:pPr>
      <w:r w:rsidRPr="00925F26">
        <w:rPr>
          <w:color w:val="000000" w:themeColor="text1"/>
          <w:sz w:val="16"/>
          <w:szCs w:val="16"/>
        </w:rPr>
        <w:t xml:space="preserve">17 апреля 1945 г. в Оттаве подписано Соглашение (известное как Четвертый </w:t>
      </w:r>
      <w:proofErr w:type="gramStart"/>
      <w:r w:rsidRPr="00925F26">
        <w:rPr>
          <w:color w:val="000000" w:themeColor="text1"/>
          <w:sz w:val="16"/>
          <w:szCs w:val="16"/>
        </w:rPr>
        <w:t>протокол)Британии</w:t>
      </w:r>
      <w:proofErr w:type="gramEnd"/>
      <w:r w:rsidRPr="00925F26">
        <w:rPr>
          <w:color w:val="000000" w:themeColor="text1"/>
          <w:sz w:val="16"/>
          <w:szCs w:val="16"/>
        </w:rPr>
        <w:t>, США, Канады и СССР о снабжении СССР в целях оказания помощи в ведении войны (17459).</w:t>
      </w:r>
    </w:p>
    <w:p w14:paraId="131776D5" w14:textId="77777777" w:rsidR="004A3537" w:rsidRPr="00925F26" w:rsidRDefault="004A3537" w:rsidP="00925F26">
      <w:pPr>
        <w:autoSpaceDE w:val="0"/>
        <w:autoSpaceDN w:val="0"/>
        <w:adjustRightInd w:val="0"/>
        <w:jc w:val="both"/>
        <w:rPr>
          <w:iCs/>
          <w:color w:val="000000" w:themeColor="text1"/>
          <w:sz w:val="16"/>
          <w:szCs w:val="16"/>
        </w:rPr>
      </w:pPr>
    </w:p>
    <w:p w14:paraId="3D50CB5A" w14:textId="77777777" w:rsidR="001D37F4" w:rsidRPr="00925F26" w:rsidRDefault="001D37F4" w:rsidP="00925F26">
      <w:pPr>
        <w:jc w:val="both"/>
        <w:rPr>
          <w:color w:val="000000" w:themeColor="text1"/>
          <w:sz w:val="16"/>
          <w:szCs w:val="16"/>
        </w:rPr>
      </w:pPr>
      <w:r w:rsidRPr="00925F26">
        <w:rPr>
          <w:color w:val="000000" w:themeColor="text1"/>
          <w:sz w:val="16"/>
          <w:szCs w:val="16"/>
        </w:rPr>
        <w:t>17 апреля 1945 г. был подписан IV протокол (Оттавский). Причиной задержки стали требования СССР о комплектной поставке большого количества промыш</w:t>
      </w:r>
      <w:r w:rsidRPr="00925F26">
        <w:rPr>
          <w:color w:val="000000" w:themeColor="text1"/>
          <w:sz w:val="16"/>
          <w:szCs w:val="16"/>
        </w:rPr>
        <w:softHyphen/>
        <w:t>ленного оборудования, в том числе че</w:t>
      </w:r>
      <w:r w:rsidRPr="00925F26">
        <w:rPr>
          <w:color w:val="000000" w:themeColor="text1"/>
          <w:sz w:val="16"/>
          <w:szCs w:val="16"/>
        </w:rPr>
        <w:softHyphen/>
        <w:t>тырех нефтеперегонных заводов. Амери</w:t>
      </w:r>
      <w:r w:rsidRPr="00925F26">
        <w:rPr>
          <w:color w:val="000000" w:themeColor="text1"/>
          <w:sz w:val="16"/>
          <w:szCs w:val="16"/>
        </w:rPr>
        <w:softHyphen/>
        <w:t>канцы считали, что для войны это уже не понадобится. Но компромисса все-таки достигли. Поставки, кстати, благополучно шли и без формального документа. Осо</w:t>
      </w:r>
      <w:r w:rsidRPr="00925F26">
        <w:rPr>
          <w:color w:val="000000" w:themeColor="text1"/>
          <w:sz w:val="16"/>
          <w:szCs w:val="16"/>
        </w:rPr>
        <w:softHyphen/>
        <w:t>бенностью этого периода стала возмож</w:t>
      </w:r>
      <w:r w:rsidRPr="00925F26">
        <w:rPr>
          <w:color w:val="000000" w:themeColor="text1"/>
          <w:sz w:val="16"/>
          <w:szCs w:val="16"/>
        </w:rPr>
        <w:softHyphen/>
        <w:t>ность осенью 1944 г. задействовать порты на Черном море, куда тоже пошли суда союзников, частично разгрузив «Персид</w:t>
      </w:r>
      <w:r w:rsidRPr="00925F26">
        <w:rPr>
          <w:color w:val="000000" w:themeColor="text1"/>
          <w:sz w:val="16"/>
          <w:szCs w:val="16"/>
        </w:rPr>
        <w:softHyphen/>
        <w:t>ский коридор». Но самолеты по этому пути не поставлялись. Действие IV протокола было приостановлено 8 мая 1945 г. после капитуляции Германии. 12 мая Рузвельт заявил, что необходимо далее оказывать только ту помощь, которая понадобится для боевых действий на Дальнем Востоке. До 12 мая в СССР отправили 2983 самоле</w:t>
      </w:r>
      <w:r w:rsidRPr="00925F26">
        <w:rPr>
          <w:color w:val="000000" w:themeColor="text1"/>
          <w:sz w:val="16"/>
          <w:szCs w:val="16"/>
        </w:rPr>
        <w:softHyphen/>
        <w:t>та, включая 178 — от имени англичан (23513).</w:t>
      </w:r>
    </w:p>
    <w:p w14:paraId="5F96098B" w14:textId="77777777" w:rsidR="001D37F4" w:rsidRPr="00925F26" w:rsidRDefault="001D37F4" w:rsidP="00925F26">
      <w:pPr>
        <w:jc w:val="both"/>
        <w:rPr>
          <w:color w:val="000000" w:themeColor="text1"/>
          <w:sz w:val="16"/>
          <w:szCs w:val="16"/>
        </w:rPr>
      </w:pPr>
    </w:p>
    <w:p w14:paraId="06367691"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726F3A17" w14:textId="77777777" w:rsidR="00665165" w:rsidRPr="00925F26" w:rsidRDefault="00665165" w:rsidP="00925F26">
      <w:pPr>
        <w:autoSpaceDE w:val="0"/>
        <w:autoSpaceDN w:val="0"/>
        <w:adjustRightInd w:val="0"/>
        <w:jc w:val="both"/>
        <w:rPr>
          <w:iCs/>
          <w:color w:val="000000" w:themeColor="text1"/>
          <w:sz w:val="16"/>
          <w:szCs w:val="16"/>
          <w:lang w:val="en-US"/>
        </w:rPr>
      </w:pPr>
    </w:p>
    <w:p w14:paraId="3014850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17th, 1945: German troops of Heeresgruppe B (329,000 men) surrounded in the Ruhr pocket surrender (their commander, FM Model, commits suicide on April 21). The US Ninth Army captures Magdeburg on the Elbe. In the East, the offensive by the Soviet 1st Belorussian Front against Berlin is stalled at the Seelow Heights 2 miles W of the Oder, with great losses in troops and tanks (3819).</w:t>
      </w:r>
    </w:p>
    <w:p w14:paraId="1E3F72EC" w14:textId="77777777" w:rsidR="00665165" w:rsidRPr="00925F26" w:rsidRDefault="00665165" w:rsidP="00925F26">
      <w:pPr>
        <w:autoSpaceDE w:val="0"/>
        <w:autoSpaceDN w:val="0"/>
        <w:adjustRightInd w:val="0"/>
        <w:jc w:val="both"/>
        <w:rPr>
          <w:color w:val="000000" w:themeColor="text1"/>
          <w:sz w:val="16"/>
          <w:szCs w:val="16"/>
          <w:lang w:val="en-US"/>
        </w:rPr>
      </w:pPr>
    </w:p>
    <w:p w14:paraId="03288F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войска Группы В (329 тыс. чел.), окруженные в Руре, сдались. Модель 21 апреля совершил самоубийство. 9А США заняла Магдебург на Эльбе. Наступление 1БФ на Берлин было остановлено у Зееловских высот (3819).</w:t>
      </w:r>
    </w:p>
    <w:p w14:paraId="4610D580" w14:textId="77777777" w:rsidR="00665165" w:rsidRPr="00925F26" w:rsidRDefault="00665165" w:rsidP="00925F26">
      <w:pPr>
        <w:autoSpaceDE w:val="0"/>
        <w:autoSpaceDN w:val="0"/>
        <w:adjustRightInd w:val="0"/>
        <w:jc w:val="both"/>
        <w:rPr>
          <w:color w:val="000000" w:themeColor="text1"/>
          <w:sz w:val="16"/>
          <w:szCs w:val="16"/>
        </w:rPr>
      </w:pPr>
    </w:p>
    <w:p w14:paraId="0EDB6CDE"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17 апреля 1945 г.</w:t>
      </w:r>
      <w:r w:rsidRPr="00925F26">
        <w:rPr>
          <w:iCs/>
          <w:color w:val="000000" w:themeColor="text1"/>
          <w:sz w:val="16"/>
          <w:szCs w:val="16"/>
        </w:rPr>
        <w:t xml:space="preserve"> завершающая</w:t>
      </w:r>
      <w:r w:rsidRPr="00925F26">
        <w:rPr>
          <w:color w:val="000000" w:themeColor="text1"/>
          <w:sz w:val="16"/>
          <w:szCs w:val="16"/>
        </w:rPr>
        <w:t xml:space="preserve"> пятая бомбежка Дрездена</w:t>
      </w:r>
    </w:p>
    <w:p w14:paraId="12EC3134"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Англичане начинают, а затем американцы завершают разрушение Дрездена.</w:t>
      </w:r>
    </w:p>
    <w:p w14:paraId="0A286658"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Бомбежки города следовали в таком порядке:</w:t>
      </w:r>
    </w:p>
    <w:p w14:paraId="4AEAF843"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Ночь с 13 на 14 февраля 800 английских самолетов</w:t>
      </w:r>
    </w:p>
    <w:p w14:paraId="33430851"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День 14 февраля 400 американских самолетов</w:t>
      </w:r>
    </w:p>
    <w:p w14:paraId="2DA2ED6F"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День 15 февраля 200 американских самолетов</w:t>
      </w:r>
    </w:p>
    <w:p w14:paraId="5E7B8547"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День 2 марта 400 американских самолетов</w:t>
      </w:r>
    </w:p>
    <w:p w14:paraId="43B4D959"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День 17 апреля – финал – 572 американских самолета.</w:t>
      </w:r>
    </w:p>
    <w:p w14:paraId="0C02FC09" w14:textId="77777777" w:rsidR="00A2476C" w:rsidRPr="00925F26" w:rsidRDefault="00A2476C" w:rsidP="00925F26">
      <w:pPr>
        <w:shd w:val="clear" w:color="auto" w:fill="FFFFFF"/>
        <w:jc w:val="both"/>
        <w:rPr>
          <w:color w:val="000000" w:themeColor="text1"/>
          <w:sz w:val="16"/>
          <w:szCs w:val="16"/>
        </w:rPr>
      </w:pPr>
      <w:r w:rsidRPr="00925F26">
        <w:rPr>
          <w:color w:val="000000" w:themeColor="text1"/>
          <w:sz w:val="16"/>
          <w:szCs w:val="16"/>
        </w:rPr>
        <w:t>Последний авианалет был особо жесток – бомбили то, что жители города за полтора месяца восстановили (17459).</w:t>
      </w:r>
    </w:p>
    <w:p w14:paraId="698B8A6F" w14:textId="77777777" w:rsidR="00A2476C" w:rsidRPr="00925F26" w:rsidRDefault="00A2476C" w:rsidP="00925F26">
      <w:pPr>
        <w:jc w:val="both"/>
        <w:rPr>
          <w:color w:val="000000" w:themeColor="text1"/>
          <w:sz w:val="16"/>
          <w:szCs w:val="16"/>
        </w:rPr>
      </w:pPr>
    </w:p>
    <w:p w14:paraId="294AA1C3" w14:textId="77777777" w:rsidR="00DD6117" w:rsidRPr="00925F26" w:rsidRDefault="00DD6117" w:rsidP="00925F26">
      <w:pPr>
        <w:shd w:val="clear" w:color="auto" w:fill="FFFFFF"/>
        <w:jc w:val="both"/>
        <w:rPr>
          <w:color w:val="000000" w:themeColor="text1"/>
          <w:sz w:val="16"/>
          <w:szCs w:val="16"/>
        </w:rPr>
      </w:pPr>
      <w:r w:rsidRPr="00925F26">
        <w:rPr>
          <w:color w:val="000000" w:themeColor="text1"/>
          <w:sz w:val="16"/>
          <w:szCs w:val="16"/>
        </w:rPr>
        <w:t xml:space="preserve">17 – 18 — 19 апреля 1945 г. битва за партийную </w:t>
      </w:r>
      <w:r w:rsidRPr="00925F26">
        <w:rPr>
          <w:iCs/>
          <w:color w:val="000000" w:themeColor="text1"/>
          <w:sz w:val="16"/>
          <w:szCs w:val="16"/>
        </w:rPr>
        <w:t>столицу</w:t>
      </w:r>
      <w:r w:rsidRPr="00925F26">
        <w:rPr>
          <w:color w:val="000000" w:themeColor="text1"/>
          <w:sz w:val="16"/>
          <w:szCs w:val="16"/>
        </w:rPr>
        <w:t xml:space="preserve"> Нюрнберг — городское ополчение и «вервольф» СС сражаются в городе с американцами (</w:t>
      </w:r>
      <w:r w:rsidRPr="00925F26">
        <w:rPr>
          <w:bCs/>
          <w:iCs/>
          <w:color w:val="000000" w:themeColor="text1"/>
          <w:sz w:val="16"/>
          <w:szCs w:val="16"/>
        </w:rPr>
        <w:t>Ф.Рут «Вервольф. Осколки коричневой империи», М., Яуза-пресс, 2007</w:t>
      </w:r>
      <w:r w:rsidR="00A350B4" w:rsidRPr="00925F26">
        <w:rPr>
          <w:bCs/>
          <w:iCs/>
          <w:color w:val="000000" w:themeColor="text1"/>
          <w:sz w:val="16"/>
          <w:szCs w:val="16"/>
        </w:rPr>
        <w:t>»:</w:t>
      </w:r>
    </w:p>
    <w:p w14:paraId="2F2C7CB9" w14:textId="77777777" w:rsidR="00DD6117" w:rsidRPr="00925F26" w:rsidRDefault="00DD6117" w:rsidP="00925F26">
      <w:pPr>
        <w:shd w:val="clear" w:color="auto" w:fill="FFFFFF"/>
        <w:jc w:val="both"/>
        <w:rPr>
          <w:color w:val="000000" w:themeColor="text1"/>
          <w:sz w:val="16"/>
          <w:szCs w:val="16"/>
        </w:rPr>
      </w:pPr>
      <w:r w:rsidRPr="00925F26">
        <w:rPr>
          <w:bCs/>
          <w:color w:val="000000" w:themeColor="text1"/>
          <w:sz w:val="16"/>
          <w:szCs w:val="16"/>
        </w:rPr>
        <w:t xml:space="preserve">«Гауляйтер Нюрнберга пошел еще дальше. В народное ополчение он приказал призывать женщин. Когда ему заметили, что на всех не хватит стрелкового оружия, он парировал: «Тогда они будут терзать зубами американские глотки». Расчеты партийного руководства оправдались — бои за Нюрнберг были очень ожесточенными. Гражданские сражались наравне с военными. Американцам удалось прорваться к центру города лишь </w:t>
      </w:r>
      <w:r w:rsidRPr="00925F26">
        <w:rPr>
          <w:color w:val="000000" w:themeColor="text1"/>
          <w:sz w:val="16"/>
          <w:szCs w:val="16"/>
        </w:rPr>
        <w:t>19 апреля</w:t>
      </w:r>
      <w:r w:rsidRPr="00925F26">
        <w:rPr>
          <w:bCs/>
          <w:color w:val="000000" w:themeColor="text1"/>
          <w:sz w:val="16"/>
          <w:szCs w:val="16"/>
        </w:rPr>
        <w:t xml:space="preserve">. Там их ждали остатки эсэсовских частей и остатки гражданского населения, не намеренные сдаваться. Мальчишки лет четырнадцати подрывали танки. Неизвестные снайперы открывали огонь в оперативном тылу американских частей, в результате чего все дома приходилось прочесывать вновь и вновь. Но, несмотря на все усилия, после четырехдневного сражения Нюрнберг пал. </w:t>
      </w:r>
      <w:r w:rsidRPr="00925F26">
        <w:rPr>
          <w:bCs/>
          <w:iCs/>
          <w:color w:val="000000" w:themeColor="text1"/>
          <w:sz w:val="16"/>
          <w:szCs w:val="16"/>
        </w:rPr>
        <w:t>Словно в насмешку</w:t>
      </w:r>
      <w:r w:rsidRPr="00925F26">
        <w:rPr>
          <w:bCs/>
          <w:color w:val="000000" w:themeColor="text1"/>
          <w:sz w:val="16"/>
          <w:szCs w:val="16"/>
        </w:rPr>
        <w:t xml:space="preserve">, это произошло 20 апреля — на 56-ю годовщину Адольфа Гитлера. Но, прежде чем сдать город, </w:t>
      </w:r>
      <w:r w:rsidRPr="00925F26">
        <w:rPr>
          <w:bCs/>
          <w:iCs/>
          <w:color w:val="000000" w:themeColor="text1"/>
          <w:sz w:val="16"/>
          <w:szCs w:val="16"/>
        </w:rPr>
        <w:t>почти все видные члены партии, оставшиеся в Нюрнберге, покончили с собой.</w:t>
      </w:r>
      <w:r w:rsidRPr="00925F26">
        <w:rPr>
          <w:bCs/>
          <w:color w:val="000000" w:themeColor="text1"/>
          <w:sz w:val="16"/>
          <w:szCs w:val="16"/>
        </w:rPr>
        <w:t>» (17459).</w:t>
      </w:r>
    </w:p>
    <w:p w14:paraId="58B9989A" w14:textId="77777777" w:rsidR="00DD6117" w:rsidRPr="00925F26" w:rsidRDefault="00DD6117" w:rsidP="00925F26">
      <w:pPr>
        <w:jc w:val="both"/>
        <w:rPr>
          <w:color w:val="000000" w:themeColor="text1"/>
          <w:sz w:val="16"/>
          <w:szCs w:val="16"/>
        </w:rPr>
      </w:pPr>
    </w:p>
    <w:p w14:paraId="63202C27" w14:textId="77777777" w:rsidR="001D1E05" w:rsidRPr="00925F26" w:rsidRDefault="001D1E05"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17 и 19 апреля 1945 г. состоялись массированные бомбежки города Усти-над-Лабем - крупного транспортного узла между Прагой, Дрезденом и Берлином. Интенсивные бомбардировки военных заводов Чехословакии продолжались и 1-го, и 3-го, и даже 9 мая 1945 г. Причем, в связи с приближением аэродромов союзников, в налетах наряду с «летающими крепостями» участвовали и двухмоторные бомбардировщики В-26 (19083).</w:t>
      </w:r>
    </w:p>
    <w:p w14:paraId="644AB6B2" w14:textId="77777777" w:rsidR="001D1E05" w:rsidRPr="00925F26" w:rsidRDefault="001D1E05" w:rsidP="00925F26">
      <w:pPr>
        <w:jc w:val="both"/>
        <w:rPr>
          <w:color w:val="000000" w:themeColor="text1"/>
          <w:sz w:val="16"/>
          <w:szCs w:val="16"/>
        </w:rPr>
      </w:pPr>
    </w:p>
    <w:p w14:paraId="214FC566" w14:textId="77777777" w:rsidR="0053208B" w:rsidRPr="00925F26" w:rsidRDefault="0053208B" w:rsidP="00925F26">
      <w:pPr>
        <w:jc w:val="both"/>
        <w:rPr>
          <w:color w:val="000000" w:themeColor="text1"/>
          <w:sz w:val="16"/>
          <w:szCs w:val="16"/>
        </w:rPr>
      </w:pPr>
      <w:r w:rsidRPr="00925F26">
        <w:rPr>
          <w:color w:val="000000" w:themeColor="text1"/>
          <w:sz w:val="16"/>
          <w:szCs w:val="16"/>
        </w:rPr>
        <w:t>17 апреля в 1945 году британские войска освободили заключенных немецкого Бельзенского концентрационного лагеря (15102).</w:t>
      </w:r>
    </w:p>
    <w:p w14:paraId="0C54A1C4" w14:textId="77777777" w:rsidR="0053208B" w:rsidRPr="00925F26" w:rsidRDefault="0053208B" w:rsidP="00925F26">
      <w:pPr>
        <w:jc w:val="both"/>
        <w:rPr>
          <w:color w:val="000000" w:themeColor="text1"/>
          <w:sz w:val="16"/>
          <w:szCs w:val="16"/>
        </w:rPr>
      </w:pPr>
    </w:p>
    <w:p w14:paraId="25CE8929" w14:textId="77777777" w:rsidR="00A350B4" w:rsidRPr="00925F26" w:rsidRDefault="00A350B4" w:rsidP="00925F26">
      <w:pPr>
        <w:shd w:val="clear" w:color="auto" w:fill="FFFFFF"/>
        <w:jc w:val="both"/>
        <w:rPr>
          <w:color w:val="000000" w:themeColor="text1"/>
          <w:sz w:val="16"/>
          <w:szCs w:val="16"/>
        </w:rPr>
      </w:pPr>
      <w:r w:rsidRPr="00925F26">
        <w:rPr>
          <w:bCs/>
          <w:color w:val="000000" w:themeColor="text1"/>
          <w:sz w:val="16"/>
          <w:szCs w:val="16"/>
        </w:rPr>
        <w:t xml:space="preserve">В ночь с </w:t>
      </w:r>
      <w:r w:rsidRPr="00925F26">
        <w:rPr>
          <w:color w:val="000000" w:themeColor="text1"/>
          <w:sz w:val="16"/>
          <w:szCs w:val="16"/>
        </w:rPr>
        <w:t>17 на 18 апреля</w:t>
      </w:r>
      <w:r w:rsidRPr="00925F26">
        <w:rPr>
          <w:bCs/>
          <w:color w:val="000000" w:themeColor="text1"/>
          <w:sz w:val="16"/>
          <w:szCs w:val="16"/>
        </w:rPr>
        <w:t xml:space="preserve"> 1945 Кальтенбруннер и Вольф прибыли в Берлин. Присутствие шофера мешало продолжить разговор в пути. Автомобиль остановился у здания рейхсканцелярии, где находился бункер Гитлера. Перед входом Вольф, воспользовавшись тем, что они были одни, припугнул Кальтенбруннера, сказав, что, если тот снова начнет обвинять его в тайных переговорах и показывать фюреру донесения своих агентов, он заявит, что уже сообщал о контактах с Даллесом Гиммлеру и Кальтенбруннеру во время предыдущего приезда в Берлин, но они настояли скрыть это от Гитлера. Рано утром </w:t>
      </w:r>
      <w:r w:rsidRPr="00925F26">
        <w:rPr>
          <w:color w:val="000000" w:themeColor="text1"/>
          <w:sz w:val="16"/>
          <w:szCs w:val="16"/>
        </w:rPr>
        <w:t>18 апреля</w:t>
      </w:r>
      <w:r w:rsidRPr="00925F26">
        <w:rPr>
          <w:bCs/>
          <w:color w:val="000000" w:themeColor="text1"/>
          <w:sz w:val="16"/>
          <w:szCs w:val="16"/>
        </w:rPr>
        <w:t xml:space="preserve"> они появились в бункере и стали ждать в приемной перед личными апартаментами фюрера. Вскоре появился Гитлер. Он направлялся в конференц-зал, где военные руководители обычно собирались на традиционные «обсуждения положения». Он был удивлен, заметив Вольфа, однако предложил ему подождать. Около пяти часов утра пригласили Вольфа. Во время разговора Гитлера с Вольфом Фегеляйн и Кальтенбруннер хранили молчание. Подробности этой беседы были восстановлены Вольфом позднее, когда всех остальных участников этой встречи уже не было в живых. Трудно судить о достоверности сведений, сообщенных Вольфом, особенно если учесть, что беседа протекала в атмосфере подозрительности и соперничества, когда каждый из нацистских лидеров заботился прежде всего о том, как спасти себя, и больше всего боялся быть обойденным другим. Согласно этим сведениям, Гитлер внешне держался по отношению к Вольфу дружелюбно, хотя был настроен критически. Он расценил близость генерала к союзникам, о которой ему доложил Кальтенбруннер, как «колоссальное игнорирование власти», но не стал обвинять Вольфа в самовольных действиях. Фюреру, по словам Вольфа, не понравилось, что тот «замешан в жизненно важном для всего рейха политическом деле, будучи осведомленным о положении лишь на одном южном участке фронта и поэтому лишенным возможности понять, как его односторонние действия могут повлиять на тотальный план Гитлера».</w:t>
      </w:r>
    </w:p>
    <w:p w14:paraId="7F70C321" w14:textId="77777777" w:rsidR="00A350B4" w:rsidRPr="00925F26" w:rsidRDefault="00A350B4" w:rsidP="00925F26">
      <w:pPr>
        <w:shd w:val="clear" w:color="auto" w:fill="FFFFFF"/>
        <w:jc w:val="both"/>
        <w:rPr>
          <w:color w:val="000000" w:themeColor="text1"/>
          <w:sz w:val="16"/>
          <w:szCs w:val="16"/>
        </w:rPr>
      </w:pPr>
      <w:r w:rsidRPr="00925F26">
        <w:rPr>
          <w:bCs/>
          <w:color w:val="000000" w:themeColor="text1"/>
          <w:sz w:val="16"/>
          <w:szCs w:val="16"/>
        </w:rPr>
        <w:t xml:space="preserve">Вольф пустился в подробные объяснения ситуации. Он напомнил Гитлеру, что, когда он был у него в прошлый раз и доложил, что к нему засылают своих посланцев Ватикан, англичане и американцы, фюрер не запретил контактов. Вольф использовал это как «активное их узаконение», что таким же образом истолковал реакцию Гитлера и имперский министр иностранных дел. Вольф объяснил, что причиной, по которой он не информировал о встрече с Даллесом 8 марта, послужило то, что, установив этот контакт по собственной инициативе без официального одобрения Гитлера, он тем самым хотел дать фюреру возможность при неблагоприятном исходе </w:t>
      </w:r>
      <w:r w:rsidRPr="00925F26">
        <w:rPr>
          <w:bCs/>
          <w:color w:val="000000" w:themeColor="text1"/>
          <w:sz w:val="16"/>
          <w:szCs w:val="16"/>
        </w:rPr>
        <w:lastRenderedPageBreak/>
        <w:t xml:space="preserve">остаться в стороне. «Мне было ясно, заявил </w:t>
      </w:r>
      <w:proofErr w:type="gramStart"/>
      <w:r w:rsidRPr="00925F26">
        <w:rPr>
          <w:bCs/>
          <w:color w:val="000000" w:themeColor="text1"/>
          <w:sz w:val="16"/>
          <w:szCs w:val="16"/>
        </w:rPr>
        <w:t>Вольф,—</w:t>
      </w:r>
      <w:proofErr w:type="gramEnd"/>
      <w:r w:rsidRPr="00925F26">
        <w:rPr>
          <w:bCs/>
          <w:color w:val="000000" w:themeColor="text1"/>
          <w:sz w:val="16"/>
          <w:szCs w:val="16"/>
        </w:rPr>
        <w:t xml:space="preserve"> что если я провалюсь, то вы от меня в интересах рейха должны будете отказаться». В заключение Вольф сообщил, что его затея увенчалась успехом. Он счастлив поведать Гитлеру, что с помощью Даллеса ему удалось проложить канал связи, ведущий прямо к американскому президенту и премьер-министру Великобритании, если, конечно, фюрер найдет нужным воспользоваться им. Вольф умолчал, разумеется, о своих встречах с «военными советниками» в Асконе. Из беседы с Гиммлером и Кальтенбруннером он вынес твердое убеждение, что они, а следовательно, и Гитлер знают лишь о встрече в Цюрихе 8 марта. Гитлер очень внимательно наблюдал за Вольфом, ожидая, что тот опустит глаза под его пристальным взором. Но Вольф внешне держался спокойно, прямо глядя в глаза фюреру, по крайней мере, так он обрисовал беседу некоторое время спустя. — </w:t>
      </w:r>
      <w:proofErr w:type="gramStart"/>
      <w:r w:rsidRPr="00925F26">
        <w:rPr>
          <w:bCs/>
          <w:color w:val="000000" w:themeColor="text1"/>
          <w:sz w:val="16"/>
          <w:szCs w:val="16"/>
        </w:rPr>
        <w:t>Хорошо,—</w:t>
      </w:r>
      <w:proofErr w:type="gramEnd"/>
      <w:r w:rsidRPr="00925F26">
        <w:rPr>
          <w:bCs/>
          <w:color w:val="000000" w:themeColor="text1"/>
          <w:sz w:val="16"/>
          <w:szCs w:val="16"/>
        </w:rPr>
        <w:t xml:space="preserve"> отвечал </w:t>
      </w:r>
      <w:proofErr w:type="gramStart"/>
      <w:r w:rsidRPr="00925F26">
        <w:rPr>
          <w:bCs/>
          <w:color w:val="000000" w:themeColor="text1"/>
          <w:sz w:val="16"/>
          <w:szCs w:val="16"/>
        </w:rPr>
        <w:t>Гитлер,—</w:t>
      </w:r>
      <w:proofErr w:type="gramEnd"/>
      <w:r w:rsidRPr="00925F26">
        <w:rPr>
          <w:bCs/>
          <w:color w:val="000000" w:themeColor="text1"/>
          <w:sz w:val="16"/>
          <w:szCs w:val="16"/>
        </w:rPr>
        <w:t xml:space="preserve"> я согласен с вами и принимаю ваши объяснения. Вам фантастически повезло: если бы ваша затея провалилась, я бы действительно отказался от вас так же, как отказался от Гесса. От вас я ожидаю одного: вы должны держать в своих руках ситуацию на итальянском театре военных действий со всеми тамошними интригами и предательством. Вы это делали безупречно. Я рад, что вы добились успеха.</w:t>
      </w:r>
    </w:p>
    <w:p w14:paraId="23FAD601" w14:textId="77777777" w:rsidR="00A350B4" w:rsidRPr="00925F26" w:rsidRDefault="00A350B4" w:rsidP="00925F26">
      <w:pPr>
        <w:shd w:val="clear" w:color="auto" w:fill="FFFFFF"/>
        <w:jc w:val="both"/>
        <w:rPr>
          <w:color w:val="000000" w:themeColor="text1"/>
          <w:sz w:val="16"/>
          <w:szCs w:val="16"/>
        </w:rPr>
      </w:pPr>
      <w:r w:rsidRPr="00925F26">
        <w:rPr>
          <w:bCs/>
          <w:color w:val="000000" w:themeColor="text1"/>
          <w:sz w:val="16"/>
          <w:szCs w:val="16"/>
        </w:rPr>
        <w:t>Затем фюрер спросил, как Вольф представляет себе условия капитуляции. Тот, если верить его более поздним заявлениям, будто бы ответил, что безоговорочная капитуляция неизбежна. Но, вероятно, существует возможность некоторого смягчения условий. Внезапно Гитлер прервал беседу, сказав, что хочет отдохнуть, и предложил Вольфу явиться в 17 часов. Судя по всему, он хотел обдумать ситуацию. Итак, как считал Вольф, он первый круг испытаний прошел. Его «обаяние и искренность» сработали и на этот раз, однако главное впереди. Вольф видел, что Гитлер пребывает в состоянии умственного и физического истощения, и понял, что ему просто повезло, так как в тот момент его объяснения как нельзя более отвечали бродившим в голове Гитлера навязчивым идеям. Кальтенбруннер отмалчивался.</w:t>
      </w:r>
    </w:p>
    <w:p w14:paraId="68F0B881" w14:textId="77777777" w:rsidR="00A350B4" w:rsidRPr="00925F26" w:rsidRDefault="00A350B4" w:rsidP="00925F26">
      <w:pPr>
        <w:shd w:val="clear" w:color="auto" w:fill="FFFFFF"/>
        <w:jc w:val="both"/>
        <w:rPr>
          <w:color w:val="000000" w:themeColor="text1"/>
          <w:sz w:val="16"/>
          <w:szCs w:val="16"/>
        </w:rPr>
      </w:pPr>
      <w:r w:rsidRPr="00925F26">
        <w:rPr>
          <w:bCs/>
          <w:color w:val="000000" w:themeColor="text1"/>
          <w:sz w:val="16"/>
          <w:szCs w:val="16"/>
        </w:rPr>
        <w:t xml:space="preserve">Ожидая на следующий день приема, Вольф обратил внимание на то, что в бункере царила крайне напряженная атмосфера. Для всех, кроме Гитлера, было ясно, что чуда не произойдет и что советские войска будут в Берлине через несколько дней. Начался воздушный налет. После отбоя появился Гитлер и предложил Вольфу прогуляться с ним по площадке, под которой располагался бункер. Здание рейхсканцелярии сильно пострадало, почти весь парк был разбомблен, но на площадке еще оставалась одна пригодная для прогулок дорожка. К ним присоединились Фегеляйн и Кальтенбруннер. Гитлер сказал, что обдумал предложение Вольфа в свете своего тотального плана. Основу его военно-политической стратегии, подчеркнул он, составляет расчет на неизбежность столкновения советских и англо-американских войск, на возможность объединения с западными союзниками для совместного продолжения войны против СССР. — Отправляйтесь в </w:t>
      </w:r>
      <w:proofErr w:type="gramStart"/>
      <w:r w:rsidRPr="00925F26">
        <w:rPr>
          <w:bCs/>
          <w:color w:val="000000" w:themeColor="text1"/>
          <w:sz w:val="16"/>
          <w:szCs w:val="16"/>
        </w:rPr>
        <w:t>Италию,—</w:t>
      </w:r>
      <w:proofErr w:type="gramEnd"/>
      <w:r w:rsidRPr="00925F26">
        <w:rPr>
          <w:bCs/>
          <w:color w:val="000000" w:themeColor="text1"/>
          <w:sz w:val="16"/>
          <w:szCs w:val="16"/>
        </w:rPr>
        <w:t xml:space="preserve"> заключил </w:t>
      </w:r>
      <w:proofErr w:type="gramStart"/>
      <w:r w:rsidRPr="00925F26">
        <w:rPr>
          <w:bCs/>
          <w:color w:val="000000" w:themeColor="text1"/>
          <w:sz w:val="16"/>
          <w:szCs w:val="16"/>
        </w:rPr>
        <w:t>Гитлер,—</w:t>
      </w:r>
      <w:proofErr w:type="gramEnd"/>
      <w:r w:rsidRPr="00925F26">
        <w:rPr>
          <w:bCs/>
          <w:color w:val="000000" w:themeColor="text1"/>
          <w:sz w:val="16"/>
          <w:szCs w:val="16"/>
        </w:rPr>
        <w:t xml:space="preserve"> поддерживайте контакт с американцами и попытайтесь сторговаться c ними на наилучших условиях.</w:t>
      </w:r>
    </w:p>
    <w:p w14:paraId="75E32C63" w14:textId="77777777" w:rsidR="00A350B4" w:rsidRPr="00925F26" w:rsidRDefault="00A350B4" w:rsidP="00925F26">
      <w:pPr>
        <w:shd w:val="clear" w:color="auto" w:fill="FFFFFF"/>
        <w:jc w:val="both"/>
        <w:rPr>
          <w:color w:val="000000" w:themeColor="text1"/>
          <w:sz w:val="16"/>
          <w:szCs w:val="16"/>
        </w:rPr>
      </w:pPr>
      <w:r w:rsidRPr="00925F26">
        <w:rPr>
          <w:color w:val="000000" w:themeColor="text1"/>
          <w:sz w:val="16"/>
          <w:szCs w:val="16"/>
        </w:rPr>
        <w:t>Вольф 19 апреля 1945 г. вернулся в Мюнхен, в этот же день он улетел в штаб в Фазано в Северную Италию, но переговоры продолжить не сумел, т.к. американцы дали команду своим разведчикам немедленно прервать все контакты. Причина была очевидна – 12 апреля 1945 г. умер президент США Рузвельт, а вице-президент Трумен занимал значительно более жесткую позицию в войне – вскоре он это продемонстрировал, когда 8 мая 1945 г. прекратил ленд-лиз для СССР (кстати, в свой 59-й день рождения, этот же день – 8 мая западные союзники считают Днем победы над Германией), а затем сбросил 2 атомные бомбы — 6 августа 1945 г. на Хиросиму и 8 августа 1945 г. на Нагасаки (17459).</w:t>
      </w:r>
    </w:p>
    <w:p w14:paraId="272AD803" w14:textId="77777777" w:rsidR="00A350B4" w:rsidRPr="00925F26" w:rsidRDefault="00A350B4" w:rsidP="00925F26">
      <w:pPr>
        <w:jc w:val="both"/>
        <w:rPr>
          <w:color w:val="000000" w:themeColor="text1"/>
          <w:sz w:val="16"/>
          <w:szCs w:val="16"/>
        </w:rPr>
      </w:pPr>
    </w:p>
    <w:p w14:paraId="31ADC348" w14:textId="77777777" w:rsidR="00A350B4" w:rsidRPr="00925F26" w:rsidRDefault="00A350B4" w:rsidP="00925F26">
      <w:pPr>
        <w:jc w:val="both"/>
        <w:rPr>
          <w:color w:val="000000" w:themeColor="text1"/>
          <w:sz w:val="16"/>
          <w:szCs w:val="16"/>
        </w:rPr>
      </w:pPr>
      <w:r w:rsidRPr="00925F26">
        <w:rPr>
          <w:color w:val="000000" w:themeColor="text1"/>
          <w:sz w:val="16"/>
          <w:szCs w:val="16"/>
        </w:rPr>
        <w:t>17 апреля 1945 г. Народная партия и коммунисты Австрии объявили о начале политической деятельности (17459).</w:t>
      </w:r>
    </w:p>
    <w:p w14:paraId="722972FA" w14:textId="77777777" w:rsidR="00A350B4" w:rsidRPr="00925F26" w:rsidRDefault="00A350B4" w:rsidP="00925F26">
      <w:pPr>
        <w:jc w:val="both"/>
        <w:rPr>
          <w:color w:val="000000" w:themeColor="text1"/>
          <w:sz w:val="16"/>
          <w:szCs w:val="16"/>
        </w:rPr>
      </w:pPr>
    </w:p>
    <w:p w14:paraId="3B2CC826" w14:textId="77777777" w:rsidR="00A350B4" w:rsidRPr="00925F26" w:rsidRDefault="00A350B4" w:rsidP="00925F26">
      <w:pPr>
        <w:jc w:val="both"/>
        <w:rPr>
          <w:bCs/>
          <w:color w:val="000000" w:themeColor="text1"/>
          <w:sz w:val="16"/>
          <w:szCs w:val="16"/>
        </w:rPr>
      </w:pPr>
      <w:r w:rsidRPr="00925F26">
        <w:rPr>
          <w:color w:val="000000" w:themeColor="text1"/>
          <w:sz w:val="16"/>
          <w:szCs w:val="16"/>
        </w:rPr>
        <w:t>17 апреля (1945)</w:t>
      </w:r>
      <w:r w:rsidRPr="00925F26">
        <w:rPr>
          <w:bCs/>
          <w:color w:val="000000" w:themeColor="text1"/>
          <w:sz w:val="16"/>
          <w:szCs w:val="16"/>
        </w:rPr>
        <w:t>, восстановился буржуазный лагерь. «Социальные христиане» и Ландбунд (прежде имевший немецко-национальный характер) образовали Австрийскую народную партию (АНП). В тот же день была вновь организована Коммунистическая партия Австрии (КПА), приверженцы которой составляли главную силу Сопротивления (17459).</w:t>
      </w:r>
    </w:p>
    <w:p w14:paraId="40071FDD" w14:textId="77777777" w:rsidR="00A350B4" w:rsidRPr="00925F26" w:rsidRDefault="00A350B4" w:rsidP="00925F26">
      <w:pPr>
        <w:jc w:val="both"/>
        <w:rPr>
          <w:color w:val="000000" w:themeColor="text1"/>
          <w:sz w:val="16"/>
          <w:szCs w:val="16"/>
        </w:rPr>
      </w:pPr>
    </w:p>
    <w:p w14:paraId="6C5E3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April 17 1945 Alsos group under Gen. Pash seize 1100 tons uranium at Stassfurt, pile at Haigerloch. </w:t>
      </w:r>
      <w:r w:rsidRPr="00925F26">
        <w:rPr>
          <w:color w:val="000000" w:themeColor="text1"/>
          <w:sz w:val="16"/>
          <w:szCs w:val="16"/>
        </w:rPr>
        <w:t>This will prevent Russians from getting a-bomb (1052).</w:t>
      </w:r>
    </w:p>
    <w:p w14:paraId="751AB749" w14:textId="77777777" w:rsidR="00665165" w:rsidRPr="00925F26" w:rsidRDefault="00665165" w:rsidP="00925F26">
      <w:pPr>
        <w:autoSpaceDE w:val="0"/>
        <w:autoSpaceDN w:val="0"/>
        <w:adjustRightInd w:val="0"/>
        <w:jc w:val="both"/>
        <w:rPr>
          <w:color w:val="000000" w:themeColor="text1"/>
          <w:sz w:val="16"/>
          <w:szCs w:val="16"/>
        </w:rPr>
      </w:pPr>
    </w:p>
    <w:p w14:paraId="1CF670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апреля 1945 американцы захватили в Германии 1100 т урана и это задержало разработку советской атомной бомбы (1052).</w:t>
      </w:r>
    </w:p>
    <w:p w14:paraId="3541A1F0" w14:textId="77777777" w:rsidR="00665165" w:rsidRPr="00925F26" w:rsidRDefault="00665165" w:rsidP="00925F26">
      <w:pPr>
        <w:autoSpaceDE w:val="0"/>
        <w:autoSpaceDN w:val="0"/>
        <w:adjustRightInd w:val="0"/>
        <w:jc w:val="both"/>
        <w:rPr>
          <w:color w:val="000000" w:themeColor="text1"/>
          <w:sz w:val="16"/>
          <w:szCs w:val="16"/>
        </w:rPr>
      </w:pPr>
    </w:p>
    <w:p w14:paraId="31EE3B39" w14:textId="77777777" w:rsidR="0053208B" w:rsidRPr="00925F26" w:rsidRDefault="0053208B" w:rsidP="00925F26">
      <w:pPr>
        <w:jc w:val="both"/>
        <w:rPr>
          <w:color w:val="000000" w:themeColor="text1"/>
          <w:sz w:val="16"/>
          <w:szCs w:val="16"/>
        </w:rPr>
      </w:pPr>
      <w:r w:rsidRPr="00925F26">
        <w:rPr>
          <w:color w:val="000000" w:themeColor="text1"/>
          <w:sz w:val="16"/>
          <w:szCs w:val="16"/>
        </w:rPr>
        <w:t>17 апреля в 1945 году впервые японцами были применены бомбардировщики - камикадзе «Ki.167», когда в район Окинавы стартовали три бомбардировщика с «Сакурадан». Боевая часть «Сакурадан» имела диаметр 1,6 м. Hа самолет она ставилась так, чтобы ударное ядро взрыва направлялось под небольшим углом вниз. Для этого бомбу пришлось установить у центра тяжести самолета так, чтобы она на 0,5 м возвышалась над фюзеляжем. Бомбардировщик при этом приобрел большой обтекатель за кабиной пилота, закрывающий «Сакурадан» (15102).</w:t>
      </w:r>
    </w:p>
    <w:p w14:paraId="1B62B4AE" w14:textId="77777777" w:rsidR="0053208B" w:rsidRPr="00925F26" w:rsidRDefault="0053208B" w:rsidP="00925F26">
      <w:pPr>
        <w:jc w:val="both"/>
        <w:rPr>
          <w:color w:val="000000" w:themeColor="text1"/>
          <w:sz w:val="16"/>
          <w:szCs w:val="16"/>
        </w:rPr>
      </w:pPr>
    </w:p>
    <w:p w14:paraId="34BA28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4BC96D7" w14:textId="77777777" w:rsidR="00665165" w:rsidRPr="00925F26" w:rsidRDefault="00665165" w:rsidP="00925F26">
      <w:pPr>
        <w:autoSpaceDE w:val="0"/>
        <w:autoSpaceDN w:val="0"/>
        <w:adjustRightInd w:val="0"/>
        <w:jc w:val="both"/>
        <w:rPr>
          <w:iCs/>
          <w:color w:val="000000" w:themeColor="text1"/>
          <w:sz w:val="16"/>
          <w:szCs w:val="16"/>
        </w:rPr>
      </w:pPr>
    </w:p>
    <w:p w14:paraId="31F3A9CC"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К 18 апреля 1945 полевой вариант заслонки был испытан на серийном самолете Ил-10 зав. № 1892105 и рекомендован для массового применения в войсках.</w:t>
      </w:r>
    </w:p>
    <w:p w14:paraId="6BC5BBF7"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1BC8F02A" w14:textId="77777777" w:rsidR="006E65ED" w:rsidRPr="00925F26" w:rsidRDefault="006E65ED" w:rsidP="00925F26">
      <w:pPr>
        <w:jc w:val="both"/>
        <w:rPr>
          <w:rStyle w:val="107"/>
          <w:rFonts w:eastAsiaTheme="minorHAnsi"/>
          <w:color w:val="000000" w:themeColor="text1"/>
          <w:sz w:val="16"/>
          <w:szCs w:val="16"/>
        </w:rPr>
      </w:pPr>
    </w:p>
    <w:p w14:paraId="06B23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А.E.Репиным был утвержден отчет о специальных летных испытаниях пушечного вооружения 2-х с-тов Ла-7 №№ 38102660 и 38108459 по три модифицированных пушки калибра 20мм (Б-20с) производства завода № 381, которые проводились с 26 марта по 6 апреля 1945</w:t>
      </w:r>
    </w:p>
    <w:p w14:paraId="7D1F2F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Выполнили 30 полетов, настрел - 6635 выстрелов.</w:t>
      </w:r>
    </w:p>
    <w:p w14:paraId="3066EE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Исполнитель ви 7 отд. 1У ГК НИИ ВВС и-м В.А.Березин</w:t>
      </w:r>
    </w:p>
    <w:p w14:paraId="77DA4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 И 1 от-я 4 У ГК НИИ ВВС Г.В.Минеев</w:t>
      </w:r>
    </w:p>
    <w:p w14:paraId="0CBB43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07131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0315A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71CF2F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345B5C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2FF05E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337273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48BC84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Летали Прошаков, Кубышкин (741,4).</w:t>
      </w:r>
    </w:p>
    <w:p w14:paraId="032358E5" w14:textId="77777777" w:rsidR="00665165" w:rsidRPr="00925F26" w:rsidRDefault="00665165" w:rsidP="00925F26">
      <w:pPr>
        <w:autoSpaceDE w:val="0"/>
        <w:autoSpaceDN w:val="0"/>
        <w:adjustRightInd w:val="0"/>
        <w:jc w:val="both"/>
        <w:rPr>
          <w:color w:val="000000" w:themeColor="text1"/>
          <w:sz w:val="16"/>
          <w:szCs w:val="16"/>
        </w:rPr>
      </w:pPr>
    </w:p>
    <w:p w14:paraId="7E15FF10" w14:textId="77777777" w:rsidR="006979C2" w:rsidRPr="00925F26" w:rsidRDefault="006979C2" w:rsidP="00925F26">
      <w:pPr>
        <w:jc w:val="both"/>
        <w:rPr>
          <w:color w:val="000000" w:themeColor="text1"/>
          <w:sz w:val="16"/>
          <w:szCs w:val="16"/>
        </w:rPr>
      </w:pPr>
      <w:r w:rsidRPr="00925F26">
        <w:rPr>
          <w:color w:val="000000" w:themeColor="text1"/>
          <w:sz w:val="16"/>
          <w:szCs w:val="16"/>
        </w:rPr>
        <w:t>18 апреля 1945 г. из ПРИКАЗА НАРОДНОГО КОМИССАРА АВИАЦИОННОЙ ПРОМЫШЛЕННОСТИ СССР «О НАПРАВЛЕНИИ НА ЗАВОД № 153 НКАП 1 500 РАБОЧИХ ИЗ ЧИСЛА ДОСРОЧНО ОСВОБОЖДЕННЫХ ОТ ОТБЫВАНИЯ НАКАЗАНИЯ»</w:t>
      </w:r>
    </w:p>
    <w:p w14:paraId="2CE6F9A9" w14:textId="77777777" w:rsidR="006979C2" w:rsidRPr="00925F26" w:rsidRDefault="006979C2" w:rsidP="00925F26">
      <w:pPr>
        <w:jc w:val="both"/>
        <w:rPr>
          <w:color w:val="000000" w:themeColor="text1"/>
          <w:sz w:val="16"/>
          <w:szCs w:val="16"/>
        </w:rPr>
      </w:pPr>
      <w:r w:rsidRPr="00925F26">
        <w:rPr>
          <w:color w:val="000000" w:themeColor="text1"/>
          <w:sz w:val="16"/>
          <w:szCs w:val="16"/>
        </w:rPr>
        <w:t>Государственный Комитет Обороны распоряжением № 8 037сс от 6 апреля 1945 года обязал:</w:t>
      </w:r>
    </w:p>
    <w:p w14:paraId="340481B7" w14:textId="77777777" w:rsidR="006979C2" w:rsidRPr="00925F26" w:rsidRDefault="006979C2" w:rsidP="00925F26">
      <w:pPr>
        <w:jc w:val="both"/>
        <w:rPr>
          <w:color w:val="000000" w:themeColor="text1"/>
          <w:sz w:val="16"/>
          <w:szCs w:val="16"/>
        </w:rPr>
      </w:pPr>
      <w:r w:rsidRPr="00925F26">
        <w:rPr>
          <w:color w:val="000000" w:themeColor="text1"/>
          <w:sz w:val="16"/>
          <w:szCs w:val="16"/>
        </w:rPr>
        <w:t>1. Прокурора Союза ССР (т. Горшенина) и НКВД СССР (т. Чернышева) отобрать в апреле - мае 1945 г. 1 500 человек из числа лиц, привлеченных к ответственности за самовольный уход с предприятий и бытовые преступления, для работы на заводе № 153 НКАП. Указанные лица должны быть освобождены от дальнейшего отбывания наказания и переданы по месту освобождения представителям НКАП для организованной отправки их к месту работы.</w:t>
      </w:r>
    </w:p>
    <w:p w14:paraId="2BF12199" w14:textId="77777777" w:rsidR="006979C2" w:rsidRPr="00925F26" w:rsidRDefault="006979C2" w:rsidP="00925F26">
      <w:pPr>
        <w:jc w:val="both"/>
        <w:rPr>
          <w:color w:val="000000" w:themeColor="text1"/>
          <w:sz w:val="16"/>
          <w:szCs w:val="16"/>
        </w:rPr>
      </w:pPr>
      <w:r w:rsidRPr="00925F26">
        <w:rPr>
          <w:color w:val="000000" w:themeColor="text1"/>
          <w:sz w:val="16"/>
          <w:szCs w:val="16"/>
        </w:rPr>
        <w:t>2. НКО (т. Смородинова) освободить этих лиц от призыва в Красную Армию.</w:t>
      </w:r>
    </w:p>
    <w:p w14:paraId="5CA2B56F" w14:textId="77777777" w:rsidR="006979C2" w:rsidRPr="00925F26" w:rsidRDefault="006979C2" w:rsidP="00925F26">
      <w:pPr>
        <w:jc w:val="both"/>
        <w:rPr>
          <w:color w:val="000000" w:themeColor="text1"/>
          <w:sz w:val="16"/>
          <w:szCs w:val="16"/>
        </w:rPr>
      </w:pPr>
      <w:r w:rsidRPr="00925F26">
        <w:rPr>
          <w:color w:val="000000" w:themeColor="text1"/>
          <w:sz w:val="16"/>
          <w:szCs w:val="16"/>
        </w:rPr>
        <w:t>В соответствии с этим распоряжением ПРИКАЗЫВАЮ:</w:t>
      </w:r>
    </w:p>
    <w:p w14:paraId="69174EC5" w14:textId="77777777" w:rsidR="006979C2" w:rsidRPr="00925F26" w:rsidRDefault="006979C2" w:rsidP="00925F26">
      <w:pPr>
        <w:jc w:val="both"/>
        <w:rPr>
          <w:color w:val="000000" w:themeColor="text1"/>
          <w:sz w:val="16"/>
          <w:szCs w:val="16"/>
        </w:rPr>
      </w:pPr>
      <w:r w:rsidRPr="00925F26">
        <w:rPr>
          <w:color w:val="000000" w:themeColor="text1"/>
          <w:sz w:val="16"/>
          <w:szCs w:val="16"/>
        </w:rPr>
        <w:t>1. Директору завода № 153 т. Лисицыну В.Н.: подготовить общежития, оснащенные необходимым инвентарем (кровати, матрацы, постельные принадлежности, столы, тумбочки, табуретки, бачки для воды, чайники), а также другие необходимые бытовые условия для размещения 1 500 рабочих; командировать руководящих работников завода в соответствующие областные управления НКВД, где выделяются указанные рабочие, в качестве уполномоченных для отбора, приема и сопровождения их к месту работы. Обеспечить командируемых работников завода денежными средствами на расходы, связанные с перевозкой рабочих. Оплатить проезд направляемых рабочих и выдать им на руки при выезде на место работы за время нахождения в пути суточные из расчета 10 рублей в сутки. Выдать этим рабочим, по прибытии на место работы, аванс в размере 500 рублей каждому с последующим удержанием его из заработной платы в течение шести месяцев. Обеспечить продажу верхней одежды, белья и обуви нуждающимся рабочим, прибывающим на завод, за счет фондов на промтовары, выделяемых Главурсом НКАП.</w:t>
      </w:r>
    </w:p>
    <w:p w14:paraId="3E35C78A" w14:textId="77777777" w:rsidR="006979C2" w:rsidRPr="00925F26" w:rsidRDefault="006979C2" w:rsidP="00925F26">
      <w:pPr>
        <w:jc w:val="both"/>
        <w:rPr>
          <w:color w:val="000000" w:themeColor="text1"/>
          <w:sz w:val="16"/>
          <w:szCs w:val="16"/>
        </w:rPr>
      </w:pPr>
      <w:r w:rsidRPr="00925F26">
        <w:rPr>
          <w:color w:val="000000" w:themeColor="text1"/>
          <w:sz w:val="16"/>
          <w:szCs w:val="16"/>
        </w:rPr>
        <w:lastRenderedPageBreak/>
        <w:t>2. Заместителю народного комиссара - тов. Шорину Г.Ф.: обеспечить выделение фондов на снабжение продовольствием и горячим питанием в пути следования рабочих до места работы; выделить во II квартале дополнительно заводу № 153 фонды на продовольственные товары для вновь поступающих рабочих на 1 500 человек; выделить также дополнительно во II квартале текущего года заводу № 153 фонды на промтовары и пошивку постельных принадлежностей для вновь поступающих рабочих.</w:t>
      </w:r>
    </w:p>
    <w:p w14:paraId="3034C928" w14:textId="77777777" w:rsidR="006979C2" w:rsidRPr="00925F26" w:rsidRDefault="006979C2" w:rsidP="00925F26">
      <w:pPr>
        <w:jc w:val="both"/>
        <w:rPr>
          <w:color w:val="000000" w:themeColor="text1"/>
          <w:sz w:val="16"/>
          <w:szCs w:val="16"/>
        </w:rPr>
      </w:pPr>
      <w:r w:rsidRPr="00925F26">
        <w:rPr>
          <w:color w:val="000000" w:themeColor="text1"/>
          <w:sz w:val="16"/>
          <w:szCs w:val="16"/>
        </w:rPr>
        <w:t>3. Заместителю народного комиссара - тов. Сандлеру СМ. выделить дополнительно заводу № 153 во II квартале: хлопчатобумажных костюмов — 500 штук, обуви - 1 000 пар, хлопчатобумажных тканей для постельных принадлежностей — 20 000 метров.</w:t>
      </w:r>
    </w:p>
    <w:p w14:paraId="7415DD11" w14:textId="77777777" w:rsidR="006979C2" w:rsidRPr="00925F26" w:rsidRDefault="006979C2" w:rsidP="00925F26">
      <w:pPr>
        <w:jc w:val="both"/>
        <w:rPr>
          <w:color w:val="000000" w:themeColor="text1"/>
          <w:sz w:val="16"/>
          <w:szCs w:val="16"/>
        </w:rPr>
      </w:pPr>
      <w:r w:rsidRPr="00925F26">
        <w:rPr>
          <w:color w:val="000000" w:themeColor="text1"/>
          <w:sz w:val="16"/>
          <w:szCs w:val="16"/>
        </w:rPr>
        <w:t>4. Начальнику Транспортного управления — тов. Супруну СИ. обеспечить в апреле и мае 1945 года перевозку выделенных заводу № 153 1 500 человек рабочих до места работы.</w:t>
      </w:r>
    </w:p>
    <w:p w14:paraId="05CED7B4" w14:textId="77777777" w:rsidR="006979C2" w:rsidRPr="00925F26" w:rsidRDefault="006979C2" w:rsidP="00925F26">
      <w:pPr>
        <w:jc w:val="both"/>
        <w:rPr>
          <w:color w:val="000000" w:themeColor="text1"/>
          <w:sz w:val="16"/>
          <w:szCs w:val="16"/>
        </w:rPr>
      </w:pPr>
      <w:r w:rsidRPr="00925F26">
        <w:rPr>
          <w:color w:val="000000" w:themeColor="text1"/>
          <w:sz w:val="16"/>
          <w:szCs w:val="16"/>
        </w:rPr>
        <w:t>п.п. Народный комиссар</w:t>
      </w:r>
    </w:p>
    <w:p w14:paraId="6B35D80C" w14:textId="77777777" w:rsidR="006979C2" w:rsidRPr="00925F26" w:rsidRDefault="006979C2" w:rsidP="00925F26">
      <w:pPr>
        <w:jc w:val="both"/>
        <w:rPr>
          <w:color w:val="000000" w:themeColor="text1"/>
          <w:sz w:val="16"/>
          <w:szCs w:val="16"/>
        </w:rPr>
      </w:pPr>
      <w:r w:rsidRPr="00925F26">
        <w:rPr>
          <w:color w:val="000000" w:themeColor="text1"/>
          <w:sz w:val="16"/>
          <w:szCs w:val="16"/>
        </w:rPr>
        <w:t>авиационной промышленности А. Шахурин</w:t>
      </w:r>
    </w:p>
    <w:p w14:paraId="0BAE4564" w14:textId="77777777" w:rsidR="006979C2" w:rsidRPr="00925F26" w:rsidRDefault="006979C2" w:rsidP="00925F26">
      <w:pPr>
        <w:jc w:val="both"/>
        <w:rPr>
          <w:color w:val="000000" w:themeColor="text1"/>
          <w:sz w:val="16"/>
          <w:szCs w:val="16"/>
        </w:rPr>
      </w:pPr>
      <w:r w:rsidRPr="00925F26">
        <w:rPr>
          <w:color w:val="000000" w:themeColor="text1"/>
          <w:sz w:val="16"/>
          <w:szCs w:val="16"/>
        </w:rPr>
        <w:t>ГАНО. Ф. П-4. Оп. 9. Д. 353. Л. 45-46. Заверенная копия.</w:t>
      </w:r>
    </w:p>
    <w:p w14:paraId="37A8B8B6" w14:textId="77777777" w:rsidR="006979C2" w:rsidRPr="00925F26" w:rsidRDefault="006979C2" w:rsidP="00925F26">
      <w:pPr>
        <w:jc w:val="both"/>
        <w:rPr>
          <w:color w:val="000000" w:themeColor="text1"/>
          <w:sz w:val="16"/>
          <w:szCs w:val="16"/>
        </w:rPr>
      </w:pPr>
      <w:r w:rsidRPr="00925F26">
        <w:rPr>
          <w:color w:val="000000" w:themeColor="text1"/>
          <w:sz w:val="16"/>
          <w:szCs w:val="16"/>
        </w:rPr>
        <w:t>Дата заверения: «18.1V.(19]45 г.» Один из 19 экз. машинописной закладки поступил в обком ВКП(б) 26 апреля 1945 г. В левом верхнем углу резолюция черным карандашом: «т. Зам-чевскому. Прошу проверить выполнение (приказа]». Подпись-росчерк и дата: «27.04.(19J45 г.* (12194).</w:t>
      </w:r>
    </w:p>
    <w:p w14:paraId="5EC2FE79" w14:textId="77777777" w:rsidR="006979C2" w:rsidRPr="00925F26" w:rsidRDefault="006979C2" w:rsidP="00925F26">
      <w:pPr>
        <w:jc w:val="both"/>
        <w:rPr>
          <w:color w:val="000000" w:themeColor="text1"/>
          <w:sz w:val="16"/>
          <w:szCs w:val="16"/>
        </w:rPr>
      </w:pPr>
    </w:p>
    <w:p w14:paraId="79A9586C" w14:textId="77777777" w:rsidR="006979C2" w:rsidRPr="00925F26" w:rsidRDefault="006979C2" w:rsidP="00925F26">
      <w:pPr>
        <w:jc w:val="both"/>
        <w:rPr>
          <w:color w:val="000000" w:themeColor="text1"/>
          <w:sz w:val="16"/>
          <w:szCs w:val="16"/>
        </w:rPr>
      </w:pPr>
      <w:r w:rsidRPr="00925F26">
        <w:rPr>
          <w:color w:val="000000" w:themeColor="text1"/>
          <w:sz w:val="16"/>
          <w:szCs w:val="16"/>
        </w:rPr>
        <w:t>18 апреля 1945 г. из ПРИКАЗА НАРКОМА АВИАЦИОННОЙ ПРОМЫШЛЕННОСТИ СССР А.И. ШАХУРИНА • О МЕРОПРИЯТИЯХ ПО УЛУЧШЕНИЮ ЖИЛИЩНО-КОММУНАЛЬНОГО ХОЗЯЙСТВА г. НОВОСИБИРСКА»</w:t>
      </w:r>
    </w:p>
    <w:p w14:paraId="70B219B9" w14:textId="77777777" w:rsidR="006979C2" w:rsidRPr="00925F26" w:rsidRDefault="006979C2" w:rsidP="00925F26">
      <w:pPr>
        <w:jc w:val="both"/>
        <w:rPr>
          <w:color w:val="000000" w:themeColor="text1"/>
          <w:sz w:val="16"/>
          <w:szCs w:val="16"/>
        </w:rPr>
      </w:pPr>
      <w:r w:rsidRPr="00925F26">
        <w:rPr>
          <w:color w:val="000000" w:themeColor="text1"/>
          <w:sz w:val="16"/>
          <w:szCs w:val="16"/>
        </w:rPr>
        <w:t>Во исполнение постановления Совета Народных Комиссаров СССР за № 684 от 5 апреля 1945 года «О мероприятиях по улучшению жилищно-коммунального хозяйства г. Новосибирска</w:t>
      </w:r>
      <w:proofErr w:type="gramStart"/>
      <w:r w:rsidRPr="00925F26">
        <w:rPr>
          <w:color w:val="000000" w:themeColor="text1"/>
          <w:sz w:val="16"/>
          <w:szCs w:val="16"/>
        </w:rPr>
        <w:t>»,—</w:t>
      </w:r>
      <w:proofErr w:type="gramEnd"/>
      <w:r w:rsidRPr="00925F26">
        <w:rPr>
          <w:color w:val="000000" w:themeColor="text1"/>
          <w:sz w:val="16"/>
          <w:szCs w:val="16"/>
        </w:rPr>
        <w:t xml:space="preserve"> ПРИКАЗЫВАЮ:</w:t>
      </w:r>
    </w:p>
    <w:p w14:paraId="7B91BD06" w14:textId="77777777" w:rsidR="006979C2" w:rsidRPr="00925F26" w:rsidRDefault="006979C2" w:rsidP="00925F26">
      <w:pPr>
        <w:jc w:val="both"/>
        <w:rPr>
          <w:color w:val="000000" w:themeColor="text1"/>
          <w:sz w:val="16"/>
          <w:szCs w:val="16"/>
        </w:rPr>
      </w:pPr>
      <w:r w:rsidRPr="00925F26">
        <w:rPr>
          <w:color w:val="000000" w:themeColor="text1"/>
          <w:sz w:val="16"/>
          <w:szCs w:val="16"/>
        </w:rPr>
        <w:t>1. Заместителю народного комиссара — тов. Визиряну предусмотреть в плане капитальных работ Наркомавиапрома на 1945 год 4 000 тыс. рублей на окончание расширения городского водопровода в г. Новосибирске.</w:t>
      </w:r>
    </w:p>
    <w:p w14:paraId="210D81E6" w14:textId="77777777" w:rsidR="006979C2" w:rsidRPr="00925F26" w:rsidRDefault="006979C2" w:rsidP="00925F26">
      <w:pPr>
        <w:jc w:val="both"/>
        <w:rPr>
          <w:color w:val="000000" w:themeColor="text1"/>
          <w:sz w:val="16"/>
          <w:szCs w:val="16"/>
        </w:rPr>
      </w:pPr>
      <w:r w:rsidRPr="00925F26">
        <w:rPr>
          <w:color w:val="000000" w:themeColor="text1"/>
          <w:sz w:val="16"/>
          <w:szCs w:val="16"/>
        </w:rPr>
        <w:t>2. Управляющему стройтрестом № 7 т. Капустину: закончить в 1945 году расширение городского водопровода; закончить к 1 августа 1945 года асфальтирование 9-километровой троллейбусной дороги к троллейбусному парку за счет средств Новосибирского горисполкома; построить в 1945 году для завода № 153 и сдать в эксплуатацию 8 000 м2 жилой площади.</w:t>
      </w:r>
    </w:p>
    <w:p w14:paraId="1E3D0BA1" w14:textId="77777777" w:rsidR="006979C2" w:rsidRPr="00925F26" w:rsidRDefault="006979C2" w:rsidP="00925F26">
      <w:pPr>
        <w:jc w:val="both"/>
        <w:rPr>
          <w:color w:val="000000" w:themeColor="text1"/>
          <w:sz w:val="16"/>
          <w:szCs w:val="16"/>
        </w:rPr>
      </w:pPr>
      <w:r w:rsidRPr="00925F26">
        <w:rPr>
          <w:color w:val="000000" w:themeColor="text1"/>
          <w:sz w:val="16"/>
          <w:szCs w:val="16"/>
        </w:rPr>
        <w:t>3. Директору завода № 153 - т. Лисицыну произвести капитальный ремонт трех троллейбусов за счет средств Новосибирского горисполкома.</w:t>
      </w:r>
    </w:p>
    <w:p w14:paraId="26F3E65F" w14:textId="77777777" w:rsidR="006979C2" w:rsidRPr="00925F26" w:rsidRDefault="006979C2" w:rsidP="00925F26">
      <w:pPr>
        <w:jc w:val="both"/>
        <w:rPr>
          <w:color w:val="000000" w:themeColor="text1"/>
          <w:sz w:val="16"/>
          <w:szCs w:val="16"/>
        </w:rPr>
      </w:pPr>
      <w:r w:rsidRPr="00925F26">
        <w:rPr>
          <w:color w:val="000000" w:themeColor="text1"/>
          <w:sz w:val="16"/>
          <w:szCs w:val="16"/>
        </w:rPr>
        <w:t>4. Этим же постановлением СНК СССР обязал наркоматы-поставщики поставить Новосибирскому горисполкому во II квартале 1945 года материалы, согласно приложению.</w:t>
      </w:r>
    </w:p>
    <w:p w14:paraId="75D99DE7" w14:textId="77777777" w:rsidR="006979C2" w:rsidRPr="00925F26" w:rsidRDefault="006979C2" w:rsidP="00925F26">
      <w:pPr>
        <w:jc w:val="both"/>
        <w:rPr>
          <w:color w:val="000000" w:themeColor="text1"/>
          <w:sz w:val="16"/>
          <w:szCs w:val="16"/>
        </w:rPr>
      </w:pPr>
      <w:r w:rsidRPr="00925F26">
        <w:rPr>
          <w:color w:val="000000" w:themeColor="text1"/>
          <w:sz w:val="16"/>
          <w:szCs w:val="16"/>
        </w:rPr>
        <w:t>п.п. Народный комиссар авиационной промышленности А. Шахурин</w:t>
      </w:r>
    </w:p>
    <w:p w14:paraId="388BAD7D" w14:textId="77777777" w:rsidR="006979C2" w:rsidRPr="00925F26" w:rsidRDefault="006979C2" w:rsidP="00925F26">
      <w:pPr>
        <w:jc w:val="both"/>
        <w:rPr>
          <w:color w:val="000000" w:themeColor="text1"/>
          <w:sz w:val="16"/>
          <w:szCs w:val="16"/>
        </w:rPr>
      </w:pPr>
      <w:r w:rsidRPr="00925F26">
        <w:rPr>
          <w:color w:val="000000" w:themeColor="text1"/>
          <w:sz w:val="16"/>
          <w:szCs w:val="16"/>
        </w:rPr>
        <w:t>ГАНО. Ф. П-4. Оп. 34. Д. 188. Л. 319. Заверенная копия.</w:t>
      </w:r>
    </w:p>
    <w:p w14:paraId="618B76F0" w14:textId="77777777" w:rsidR="006979C2" w:rsidRPr="00925F26" w:rsidRDefault="006979C2" w:rsidP="00925F26">
      <w:pPr>
        <w:jc w:val="both"/>
        <w:rPr>
          <w:color w:val="000000" w:themeColor="text1"/>
          <w:sz w:val="16"/>
          <w:szCs w:val="16"/>
        </w:rPr>
      </w:pPr>
      <w:r w:rsidRPr="00925F26">
        <w:rPr>
          <w:color w:val="000000" w:themeColor="text1"/>
          <w:sz w:val="16"/>
          <w:szCs w:val="16"/>
        </w:rPr>
        <w:t>Документ составлен в 19 экз. 18 апреля 1945 г., на копии резолюция карандашом: «Благиреву». Дата поступления в обком «26.IV.1945 г.» (12194).</w:t>
      </w:r>
    </w:p>
    <w:p w14:paraId="3E5ECFEC" w14:textId="77777777" w:rsidR="006979C2" w:rsidRPr="00925F26" w:rsidRDefault="006979C2" w:rsidP="00925F26">
      <w:pPr>
        <w:jc w:val="both"/>
        <w:rPr>
          <w:color w:val="000000" w:themeColor="text1"/>
          <w:sz w:val="16"/>
          <w:szCs w:val="16"/>
        </w:rPr>
      </w:pPr>
    </w:p>
    <w:p w14:paraId="5CFE9B34" w14:textId="77777777" w:rsidR="001D37F4" w:rsidRPr="00925F26" w:rsidRDefault="001D37F4" w:rsidP="00925F26">
      <w:pPr>
        <w:jc w:val="both"/>
        <w:rPr>
          <w:color w:val="000000" w:themeColor="text1"/>
          <w:sz w:val="16"/>
          <w:szCs w:val="16"/>
        </w:rPr>
      </w:pPr>
      <w:r w:rsidRPr="00925F26">
        <w:rPr>
          <w:color w:val="000000" w:themeColor="text1"/>
          <w:sz w:val="16"/>
          <w:szCs w:val="16"/>
        </w:rPr>
        <w:t>18 апреля 1945 г. ИЗ ПРИКАЗА НАРОДНОГО КОМИССАРА АВИАЦИОННОЙ ПРОМЫШЛЕННОСТИ СССР «О НАПРАВЛЕНИИ НА ЗАВОД № 153 НК АП 1 500 РАБОЧИХ ИЗ ЧИСЛА ДОСРОЧНО ОСВОБОЖДЕННЫХ ОТ ОТБЫВАНИЯ НАКАЗАНИЯ»</w:t>
      </w:r>
    </w:p>
    <w:p w14:paraId="2E94F23C" w14:textId="77777777" w:rsidR="001D37F4" w:rsidRPr="00925F26" w:rsidRDefault="001D37F4" w:rsidP="00925F26">
      <w:pPr>
        <w:jc w:val="both"/>
        <w:rPr>
          <w:color w:val="000000" w:themeColor="text1"/>
          <w:sz w:val="16"/>
          <w:szCs w:val="16"/>
        </w:rPr>
      </w:pPr>
      <w:r w:rsidRPr="00925F26">
        <w:rPr>
          <w:color w:val="000000" w:themeColor="text1"/>
          <w:sz w:val="16"/>
          <w:szCs w:val="16"/>
        </w:rPr>
        <w:t>Государственный Комитет Обороны распоряжением № 8 037сс от 6 апреля 1945 года обязал:</w:t>
      </w:r>
    </w:p>
    <w:p w14:paraId="231DA132" w14:textId="77777777" w:rsidR="001D37F4" w:rsidRPr="00925F26" w:rsidRDefault="001D37F4" w:rsidP="00925F26">
      <w:pPr>
        <w:jc w:val="both"/>
        <w:rPr>
          <w:color w:val="000000" w:themeColor="text1"/>
          <w:sz w:val="16"/>
          <w:szCs w:val="16"/>
        </w:rPr>
      </w:pPr>
      <w:r w:rsidRPr="00925F26">
        <w:rPr>
          <w:color w:val="000000" w:themeColor="text1"/>
          <w:sz w:val="16"/>
          <w:szCs w:val="16"/>
        </w:rPr>
        <w:t>1. Прокурора Союза ССР (т. Горшенина) и НКВД СССР (т. Чернышева) отобрать в апреле — мае 1945 г. 1 500 человек из числа лиц, привлеченных к ответственности за самовольный уход с предприятий и бытовые преступления, для работы на заводе № 153 НКАП. Указанные лица должны быть освобождены от дальнейшего отбывания наказания и переданы по месту освобождения представителям НКАП для организованной отправки их к месту работы.</w:t>
      </w:r>
    </w:p>
    <w:p w14:paraId="42BDB3E3" w14:textId="77777777" w:rsidR="001D37F4" w:rsidRPr="00925F26" w:rsidRDefault="001D37F4" w:rsidP="00925F26">
      <w:pPr>
        <w:jc w:val="both"/>
        <w:rPr>
          <w:color w:val="000000" w:themeColor="text1"/>
          <w:sz w:val="16"/>
          <w:szCs w:val="16"/>
        </w:rPr>
      </w:pPr>
      <w:r w:rsidRPr="00925F26">
        <w:rPr>
          <w:color w:val="000000" w:themeColor="text1"/>
          <w:sz w:val="16"/>
          <w:szCs w:val="16"/>
        </w:rPr>
        <w:t>2. НКО (т. Смородинова) освободить этих лиц от призыва в Красную Армию.</w:t>
      </w:r>
    </w:p>
    <w:p w14:paraId="02AAD234" w14:textId="77777777" w:rsidR="001D37F4" w:rsidRPr="00925F26" w:rsidRDefault="001D37F4" w:rsidP="00925F26">
      <w:pPr>
        <w:jc w:val="both"/>
        <w:rPr>
          <w:color w:val="000000" w:themeColor="text1"/>
          <w:sz w:val="16"/>
          <w:szCs w:val="16"/>
        </w:rPr>
      </w:pPr>
      <w:r w:rsidRPr="00925F26">
        <w:rPr>
          <w:color w:val="000000" w:themeColor="text1"/>
          <w:sz w:val="16"/>
          <w:szCs w:val="16"/>
        </w:rPr>
        <w:t>В соответствии с этим распоряжением ПРИКАЗЫВАЮ:</w:t>
      </w:r>
    </w:p>
    <w:p w14:paraId="6E4EB3FC" w14:textId="77777777" w:rsidR="001D37F4" w:rsidRPr="00925F26" w:rsidRDefault="001D37F4" w:rsidP="00925F26">
      <w:pPr>
        <w:jc w:val="both"/>
        <w:rPr>
          <w:color w:val="000000" w:themeColor="text1"/>
          <w:sz w:val="16"/>
          <w:szCs w:val="16"/>
        </w:rPr>
      </w:pPr>
      <w:r w:rsidRPr="00925F26">
        <w:rPr>
          <w:color w:val="000000" w:themeColor="text1"/>
          <w:sz w:val="16"/>
          <w:szCs w:val="16"/>
        </w:rPr>
        <w:t>1. Директору завода № 153 т. Лисицыну В.Н.: подготовить общежития, оснащенные необходимым инвентарем (кровати, матрацы, постельные принадлежности, столы, тумбочки, табуретки, бачки для воды, чайники), а также другие необходимые бытовые условия для размещения 1 500 рабочих; командировать руководящих работников завода в соответствующие областные управления НКВД, где выделяются указанные рабочие, в качестве уполномоченных для отбора, приема и сопровождения их к месту работы.</w:t>
      </w:r>
    </w:p>
    <w:p w14:paraId="5C5BB2FF" w14:textId="77777777" w:rsidR="001D37F4" w:rsidRPr="00925F26" w:rsidRDefault="001D37F4" w:rsidP="00925F26">
      <w:pPr>
        <w:jc w:val="both"/>
        <w:rPr>
          <w:color w:val="000000" w:themeColor="text1"/>
          <w:sz w:val="16"/>
          <w:szCs w:val="16"/>
        </w:rPr>
      </w:pPr>
      <w:r w:rsidRPr="00925F26">
        <w:rPr>
          <w:color w:val="000000" w:themeColor="text1"/>
          <w:sz w:val="16"/>
          <w:szCs w:val="16"/>
        </w:rPr>
        <w:t>Обеспечить командируемых работников завода денежными средствами на расходы, связанные с перевозкой рабочих. Оплатить проезд направляемых рабочих и выдать им на руки при выезде на место работы за время нахождения в пути суточные из расчета 10 рублей в сутки.</w:t>
      </w:r>
    </w:p>
    <w:p w14:paraId="44EED97F" w14:textId="77777777" w:rsidR="001D37F4" w:rsidRPr="00925F26" w:rsidRDefault="001D37F4" w:rsidP="00925F26">
      <w:pPr>
        <w:jc w:val="both"/>
        <w:rPr>
          <w:color w:val="000000" w:themeColor="text1"/>
          <w:sz w:val="16"/>
          <w:szCs w:val="16"/>
        </w:rPr>
      </w:pPr>
      <w:r w:rsidRPr="00925F26">
        <w:rPr>
          <w:color w:val="000000" w:themeColor="text1"/>
          <w:sz w:val="16"/>
          <w:szCs w:val="16"/>
        </w:rPr>
        <w:t>Выдать этим рабочим, по прибытии на место работы, аванс в размере 500 рублей каждому с последующим удержанием его из заработной платы в течение шести месяцев. Обеспечить продажу верхней одежды, белья и обуви нуждающимся рабочим, прибывающим на завод, за счет фондов на промтовары, выделяемых Главурсом НКАП.</w:t>
      </w:r>
    </w:p>
    <w:p w14:paraId="1A1AB674" w14:textId="77777777" w:rsidR="001D37F4" w:rsidRPr="00925F26" w:rsidRDefault="001D37F4" w:rsidP="00925F26">
      <w:pPr>
        <w:jc w:val="both"/>
        <w:rPr>
          <w:color w:val="000000" w:themeColor="text1"/>
          <w:sz w:val="16"/>
          <w:szCs w:val="16"/>
        </w:rPr>
      </w:pPr>
      <w:r w:rsidRPr="00925F26">
        <w:rPr>
          <w:color w:val="000000" w:themeColor="text1"/>
          <w:sz w:val="16"/>
          <w:szCs w:val="16"/>
        </w:rPr>
        <w:t>2. Заместителю народного комиссара — тов. Шорину Г.Ф.: обеспечить выделение фондов на снабжение продовольствием и горячим питанием в пути следования рабочих до места работы; выделить во II квартале дополнительно заводу № 153 фонды на продовольственные товары для вновь поступающих рабочих на 1 500 человек; выделить также дополнительно во II квартале текущего года заводу № 153 фонды на промтовары и пошивку постельных принадлежностей для вновь поступающих рабочих.</w:t>
      </w:r>
    </w:p>
    <w:p w14:paraId="0DD64767" w14:textId="77777777" w:rsidR="001D37F4" w:rsidRPr="00925F26" w:rsidRDefault="001D37F4" w:rsidP="00925F26">
      <w:pPr>
        <w:jc w:val="both"/>
        <w:rPr>
          <w:color w:val="000000" w:themeColor="text1"/>
          <w:sz w:val="16"/>
          <w:szCs w:val="16"/>
        </w:rPr>
      </w:pPr>
      <w:r w:rsidRPr="00925F26">
        <w:rPr>
          <w:color w:val="000000" w:themeColor="text1"/>
          <w:sz w:val="16"/>
          <w:szCs w:val="16"/>
        </w:rPr>
        <w:t>3. Заместителю народного комиссара - тов. Сандлеру С.М. выделить дополнительно заводу № 153 во II квартале: хлопчатобумажных костюмов - 500 штук, обуви - 1 000 пар, хлопчатобумажных тканей для постельных принадлежностей — 20 000 метров.</w:t>
      </w:r>
    </w:p>
    <w:p w14:paraId="707DE3ED" w14:textId="77777777" w:rsidR="001D37F4" w:rsidRPr="00925F26" w:rsidRDefault="001D37F4" w:rsidP="00925F26">
      <w:pPr>
        <w:jc w:val="both"/>
        <w:rPr>
          <w:color w:val="000000" w:themeColor="text1"/>
          <w:sz w:val="16"/>
          <w:szCs w:val="16"/>
        </w:rPr>
      </w:pPr>
      <w:r w:rsidRPr="00925F26">
        <w:rPr>
          <w:color w:val="000000" w:themeColor="text1"/>
          <w:sz w:val="16"/>
          <w:szCs w:val="16"/>
        </w:rPr>
        <w:t>4. Начальнику Транспортного управления - тов. Супруну С.И. обеспечить в апреле и мае 1945 года перевозку выделенных заводу № 153 1 500 человек рабочих до места работы.</w:t>
      </w:r>
    </w:p>
    <w:p w14:paraId="289DED11" w14:textId="77777777" w:rsidR="001D37F4" w:rsidRPr="00925F26" w:rsidRDefault="001D37F4" w:rsidP="00925F26">
      <w:pPr>
        <w:jc w:val="both"/>
        <w:rPr>
          <w:color w:val="000000" w:themeColor="text1"/>
          <w:sz w:val="16"/>
          <w:szCs w:val="16"/>
        </w:rPr>
      </w:pPr>
      <w:r w:rsidRPr="00925F26">
        <w:rPr>
          <w:color w:val="000000" w:themeColor="text1"/>
          <w:sz w:val="16"/>
          <w:szCs w:val="16"/>
        </w:rPr>
        <w:t>п.п. Народный комиссар авиационной промышленности</w:t>
      </w:r>
      <w:r w:rsidRPr="00925F26">
        <w:rPr>
          <w:color w:val="000000" w:themeColor="text1"/>
          <w:sz w:val="16"/>
          <w:szCs w:val="16"/>
        </w:rPr>
        <w:tab/>
        <w:t>А. Шахурин</w:t>
      </w:r>
    </w:p>
    <w:p w14:paraId="4D9C634A" w14:textId="77777777" w:rsidR="001D37F4" w:rsidRPr="00925F26" w:rsidRDefault="001D37F4" w:rsidP="00925F26">
      <w:pPr>
        <w:jc w:val="both"/>
        <w:rPr>
          <w:color w:val="000000" w:themeColor="text1"/>
          <w:sz w:val="16"/>
          <w:szCs w:val="16"/>
        </w:rPr>
      </w:pPr>
      <w:r w:rsidRPr="00925F26">
        <w:rPr>
          <w:color w:val="000000" w:themeColor="text1"/>
          <w:sz w:val="16"/>
          <w:szCs w:val="16"/>
        </w:rPr>
        <w:t xml:space="preserve">Дата заверения: «18.IV.[19]45 г.» Один из 19 экз. машинописной закладки поступил в обком </w:t>
      </w:r>
    </w:p>
    <w:p w14:paraId="0399FDFB" w14:textId="77777777" w:rsidR="001D37F4" w:rsidRPr="00925F26" w:rsidRDefault="001D37F4" w:rsidP="00925F26">
      <w:pPr>
        <w:jc w:val="both"/>
        <w:rPr>
          <w:color w:val="000000" w:themeColor="text1"/>
          <w:sz w:val="16"/>
          <w:szCs w:val="16"/>
        </w:rPr>
      </w:pPr>
      <w:r w:rsidRPr="00925F26">
        <w:rPr>
          <w:color w:val="000000" w:themeColor="text1"/>
          <w:sz w:val="16"/>
          <w:szCs w:val="16"/>
        </w:rPr>
        <w:t xml:space="preserve">ВКП(б) 26 апреля 1945 г. В левом верхнем углу резолюция черным карандашом: «т. Замчевскому. </w:t>
      </w:r>
    </w:p>
    <w:p w14:paraId="45B12F78" w14:textId="77777777" w:rsidR="001D37F4" w:rsidRPr="00925F26" w:rsidRDefault="001D37F4" w:rsidP="00925F26">
      <w:pPr>
        <w:jc w:val="both"/>
        <w:rPr>
          <w:color w:val="000000" w:themeColor="text1"/>
          <w:sz w:val="16"/>
          <w:szCs w:val="16"/>
        </w:rPr>
      </w:pPr>
      <w:r w:rsidRPr="00925F26">
        <w:rPr>
          <w:color w:val="000000" w:themeColor="text1"/>
          <w:sz w:val="16"/>
          <w:szCs w:val="16"/>
        </w:rPr>
        <w:t>Прошу проверить выполнение [приказа]». Подпись-росчерк и дата: «27.04.[19]45 г.».</w:t>
      </w:r>
    </w:p>
    <w:p w14:paraId="3976EBA8" w14:textId="77777777" w:rsidR="001D37F4" w:rsidRPr="00925F26" w:rsidRDefault="001D37F4" w:rsidP="00925F26">
      <w:pPr>
        <w:jc w:val="both"/>
        <w:rPr>
          <w:color w:val="000000" w:themeColor="text1"/>
          <w:sz w:val="16"/>
          <w:szCs w:val="16"/>
        </w:rPr>
      </w:pPr>
      <w:r w:rsidRPr="00925F26">
        <w:rPr>
          <w:color w:val="000000" w:themeColor="text1"/>
          <w:sz w:val="16"/>
          <w:szCs w:val="16"/>
        </w:rPr>
        <w:t>ГАНО. Ф. П-4. Оп. 9. Д. 353. Л. 45-46. Заверенная копия (83827).</w:t>
      </w:r>
    </w:p>
    <w:p w14:paraId="223B5670" w14:textId="77777777" w:rsidR="001D37F4" w:rsidRPr="00925F26" w:rsidRDefault="001D37F4" w:rsidP="00925F26">
      <w:pPr>
        <w:jc w:val="both"/>
        <w:rPr>
          <w:color w:val="000000" w:themeColor="text1"/>
          <w:sz w:val="16"/>
          <w:szCs w:val="16"/>
        </w:rPr>
      </w:pPr>
    </w:p>
    <w:p w14:paraId="596FC853" w14:textId="77777777" w:rsidR="001D37F4" w:rsidRPr="00925F26" w:rsidRDefault="001D37F4" w:rsidP="00925F26">
      <w:pPr>
        <w:jc w:val="both"/>
        <w:rPr>
          <w:color w:val="000000" w:themeColor="text1"/>
          <w:sz w:val="16"/>
          <w:szCs w:val="16"/>
        </w:rPr>
      </w:pPr>
      <w:r w:rsidRPr="00925F26">
        <w:rPr>
          <w:color w:val="000000" w:themeColor="text1"/>
          <w:sz w:val="16"/>
          <w:szCs w:val="16"/>
        </w:rPr>
        <w:t>18 апреля 1945 г. ИЗ ПРИКАЗА НАРКОМА АВИАЦИОННОЙ ПРОМЫШЛЕННОСТИ СССР А.И. ШАХУРИНА «О МЕРОПРИЯТИЯХ ПО УЛУЧШЕНИЮ ЖИЛИЩНО-КОММУНАЛЬНОГО ХОЗЯЙСТВА г. НОВОСИБИРСКА»</w:t>
      </w:r>
    </w:p>
    <w:p w14:paraId="3064F67D" w14:textId="77777777" w:rsidR="001D37F4" w:rsidRPr="00925F26" w:rsidRDefault="001D37F4" w:rsidP="00925F26">
      <w:pPr>
        <w:jc w:val="both"/>
        <w:rPr>
          <w:color w:val="000000" w:themeColor="text1"/>
          <w:sz w:val="16"/>
          <w:szCs w:val="16"/>
        </w:rPr>
      </w:pPr>
      <w:r w:rsidRPr="00925F26">
        <w:rPr>
          <w:color w:val="000000" w:themeColor="text1"/>
          <w:sz w:val="16"/>
          <w:szCs w:val="16"/>
        </w:rPr>
        <w:t>Во исполнение постановления Совета Народных Комиссаров СССР за № 684 от 5 апреля 1945 года «О мероприятиях по улучшению жилищно-коммунального хозяйства г. Новосибирска</w:t>
      </w:r>
      <w:proofErr w:type="gramStart"/>
      <w:r w:rsidRPr="00925F26">
        <w:rPr>
          <w:color w:val="000000" w:themeColor="text1"/>
          <w:sz w:val="16"/>
          <w:szCs w:val="16"/>
        </w:rPr>
        <w:t>»,—</w:t>
      </w:r>
      <w:proofErr w:type="gramEnd"/>
      <w:r w:rsidRPr="00925F26">
        <w:rPr>
          <w:color w:val="000000" w:themeColor="text1"/>
          <w:sz w:val="16"/>
          <w:szCs w:val="16"/>
        </w:rPr>
        <w:t xml:space="preserve"> ПРИКАЗЫВАЮ:</w:t>
      </w:r>
    </w:p>
    <w:p w14:paraId="2C50E730" w14:textId="77777777" w:rsidR="001D37F4" w:rsidRPr="00925F26" w:rsidRDefault="001D37F4" w:rsidP="00925F26">
      <w:pPr>
        <w:jc w:val="both"/>
        <w:rPr>
          <w:color w:val="000000" w:themeColor="text1"/>
          <w:sz w:val="16"/>
          <w:szCs w:val="16"/>
        </w:rPr>
      </w:pPr>
      <w:r w:rsidRPr="00925F26">
        <w:rPr>
          <w:color w:val="000000" w:themeColor="text1"/>
          <w:sz w:val="16"/>
          <w:szCs w:val="16"/>
        </w:rPr>
        <w:t>1. Заместителю народного комиссара — тов. Визиряну предусмотреть в плане капитальных работ Наркомавиапрома на 1945 год 4 000 тыс. рублей на окончание расширения городского водопровода в г. Новосибирске.</w:t>
      </w:r>
    </w:p>
    <w:p w14:paraId="36C1E4BF" w14:textId="77777777" w:rsidR="001D37F4" w:rsidRPr="00925F26" w:rsidRDefault="001D37F4" w:rsidP="00925F26">
      <w:pPr>
        <w:jc w:val="both"/>
        <w:rPr>
          <w:color w:val="000000" w:themeColor="text1"/>
          <w:sz w:val="16"/>
          <w:szCs w:val="16"/>
        </w:rPr>
      </w:pPr>
      <w:r w:rsidRPr="00925F26">
        <w:rPr>
          <w:color w:val="000000" w:themeColor="text1"/>
          <w:sz w:val="16"/>
          <w:szCs w:val="16"/>
        </w:rPr>
        <w:t>2. Управляющему стройтрестом № 7 т. Капустину: закончить в 1945 году расширение городского водопровода; закончить к 1 августа 1945 года асфальтирование 9-километровой троллейбусной дороги к троллейбусному парку за счет средств Новосибирского горисполкома; построить в 1945 году для завода № 153 и сдать в эксплуатацию 8 000 м2 жилой площади.</w:t>
      </w:r>
    </w:p>
    <w:p w14:paraId="477131BA" w14:textId="77777777" w:rsidR="001D37F4" w:rsidRPr="00925F26" w:rsidRDefault="001D37F4" w:rsidP="00925F26">
      <w:pPr>
        <w:jc w:val="both"/>
        <w:rPr>
          <w:color w:val="000000" w:themeColor="text1"/>
          <w:sz w:val="16"/>
          <w:szCs w:val="16"/>
        </w:rPr>
      </w:pPr>
      <w:r w:rsidRPr="00925F26">
        <w:rPr>
          <w:color w:val="000000" w:themeColor="text1"/>
          <w:sz w:val="16"/>
          <w:szCs w:val="16"/>
        </w:rPr>
        <w:t>3. Директору завода № 153 — т. Лисицыну произвести капитальный ремонт трех троллейбусов за счет средств Новосибирского горисполкома.</w:t>
      </w:r>
    </w:p>
    <w:p w14:paraId="5C8D8B34" w14:textId="77777777" w:rsidR="001D37F4" w:rsidRPr="00925F26" w:rsidRDefault="001D37F4" w:rsidP="00925F26">
      <w:pPr>
        <w:jc w:val="both"/>
        <w:rPr>
          <w:color w:val="000000" w:themeColor="text1"/>
          <w:sz w:val="16"/>
          <w:szCs w:val="16"/>
        </w:rPr>
      </w:pPr>
      <w:r w:rsidRPr="00925F26">
        <w:rPr>
          <w:color w:val="000000" w:themeColor="text1"/>
          <w:sz w:val="16"/>
          <w:szCs w:val="16"/>
        </w:rPr>
        <w:t>4. Этим же постановлением СНК СССР обязал наркоматы-поставщики поставить Новосибирскому горисполкому во II квартале 1945 года материалы, согласно приложению.</w:t>
      </w:r>
    </w:p>
    <w:p w14:paraId="3D22338A" w14:textId="77777777" w:rsidR="001D37F4" w:rsidRPr="00925F26" w:rsidRDefault="001D37F4" w:rsidP="00925F26">
      <w:pPr>
        <w:jc w:val="both"/>
        <w:rPr>
          <w:color w:val="000000" w:themeColor="text1"/>
          <w:sz w:val="16"/>
          <w:szCs w:val="16"/>
        </w:rPr>
      </w:pPr>
      <w:r w:rsidRPr="00925F26">
        <w:rPr>
          <w:color w:val="000000" w:themeColor="text1"/>
          <w:sz w:val="16"/>
          <w:szCs w:val="16"/>
        </w:rPr>
        <w:t>п.п. Народный комиссар авиационной промышленности</w:t>
      </w:r>
      <w:r w:rsidRPr="00925F26">
        <w:rPr>
          <w:color w:val="000000" w:themeColor="text1"/>
          <w:sz w:val="16"/>
          <w:szCs w:val="16"/>
        </w:rPr>
        <w:tab/>
        <w:t>А. Шахурин</w:t>
      </w:r>
    </w:p>
    <w:p w14:paraId="64201351" w14:textId="77777777" w:rsidR="001D37F4" w:rsidRPr="00925F26" w:rsidRDefault="001D37F4" w:rsidP="00925F26">
      <w:pPr>
        <w:jc w:val="both"/>
        <w:rPr>
          <w:color w:val="000000" w:themeColor="text1"/>
          <w:sz w:val="16"/>
          <w:szCs w:val="16"/>
        </w:rPr>
      </w:pPr>
      <w:r w:rsidRPr="00925F26">
        <w:rPr>
          <w:color w:val="000000" w:themeColor="text1"/>
          <w:sz w:val="16"/>
          <w:szCs w:val="16"/>
        </w:rPr>
        <w:t>ГАНО. Ф. П—4. Оп. 34. Д. 188. Л. 319. Заверенная копия (23827).</w:t>
      </w:r>
    </w:p>
    <w:p w14:paraId="3D91F0A1" w14:textId="77777777" w:rsidR="001D37F4" w:rsidRPr="00925F26" w:rsidRDefault="001D37F4" w:rsidP="00925F26">
      <w:pPr>
        <w:jc w:val="both"/>
        <w:rPr>
          <w:color w:val="000000" w:themeColor="text1"/>
          <w:sz w:val="16"/>
          <w:szCs w:val="16"/>
        </w:rPr>
      </w:pPr>
    </w:p>
    <w:p w14:paraId="565B5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18 апреля 1945 в ходе испытаний самолета-снаряда, которые шли с 20 марта, с Пе-8 было совершено 15 сбросов. Бросали с одного Пе-8, так как Ер-2 был оборудован на заводе 51 и прилетел на испытания только 14 апреля 1945. Для ускорения испытаний Залесскому только еще хотели направить второй самолет, а третий Пе-8 в это время оборудовался на 84 заводе в Ташкенте (1873,291).</w:t>
      </w:r>
    </w:p>
    <w:p w14:paraId="095CBA60" w14:textId="77777777" w:rsidR="00665165" w:rsidRPr="00925F26" w:rsidRDefault="00665165" w:rsidP="00925F26">
      <w:pPr>
        <w:autoSpaceDE w:val="0"/>
        <w:autoSpaceDN w:val="0"/>
        <w:adjustRightInd w:val="0"/>
        <w:jc w:val="both"/>
        <w:rPr>
          <w:color w:val="000000" w:themeColor="text1"/>
          <w:sz w:val="16"/>
          <w:szCs w:val="16"/>
        </w:rPr>
      </w:pPr>
    </w:p>
    <w:p w14:paraId="4566A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вышел приказ НКАП N 152с:</w:t>
      </w:r>
    </w:p>
    <w:p w14:paraId="0E3E57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внедрения в эксплуатацию радиолокационного прибора Сч-3, прошедшего испытания и принятого на вооружение ВВС:</w:t>
      </w:r>
    </w:p>
    <w:p w14:paraId="08ABDE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Нач. 10 ГУ - зам. наркома Кузнецову и ГК С.В.И.... до 15 мая 1945 отработать установку радиолокационного прибора Сч-3 на самолетах Ил-4, Ил-10..."(1827,17).</w:t>
      </w:r>
    </w:p>
    <w:p w14:paraId="448053BC" w14:textId="77777777" w:rsidR="00665165" w:rsidRPr="00925F26" w:rsidRDefault="00665165" w:rsidP="00925F26">
      <w:pPr>
        <w:autoSpaceDE w:val="0"/>
        <w:autoSpaceDN w:val="0"/>
        <w:adjustRightInd w:val="0"/>
        <w:jc w:val="both"/>
        <w:rPr>
          <w:color w:val="000000" w:themeColor="text1"/>
          <w:sz w:val="16"/>
          <w:szCs w:val="16"/>
        </w:rPr>
      </w:pPr>
    </w:p>
    <w:p w14:paraId="0A193B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года А. Шахурин писал письмо уполномоченному Особого комитета при ГОКО Сабурову М.З.</w:t>
      </w:r>
    </w:p>
    <w:p w14:paraId="0501D1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Постановлением ГОКО № 8068 от 12 апреля 1945 года НКАП передано оборудование завода авиамоторных деталей в Закрау.</w:t>
      </w:r>
    </w:p>
    <w:p w14:paraId="31BE97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Оборудованием этого завода НКАП рассчитывает в значительной мере укомплектовать завод по производству авиамоторов № 478 в Запорожье и завод № 274 в Ленинграде (8974).</w:t>
      </w:r>
    </w:p>
    <w:p w14:paraId="77D25B67" w14:textId="77777777" w:rsidR="00665165" w:rsidRPr="00925F26" w:rsidRDefault="00665165" w:rsidP="00925F26">
      <w:pPr>
        <w:autoSpaceDE w:val="0"/>
        <w:autoSpaceDN w:val="0"/>
        <w:adjustRightInd w:val="0"/>
        <w:jc w:val="both"/>
        <w:rPr>
          <w:color w:val="000000" w:themeColor="text1"/>
          <w:sz w:val="16"/>
          <w:szCs w:val="16"/>
        </w:rPr>
      </w:pPr>
    </w:p>
    <w:p w14:paraId="5C0966A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FB394E4" w14:textId="77777777" w:rsidR="00665165" w:rsidRPr="00925F26" w:rsidRDefault="00665165" w:rsidP="00925F26">
      <w:pPr>
        <w:autoSpaceDE w:val="0"/>
        <w:autoSpaceDN w:val="0"/>
        <w:adjustRightInd w:val="0"/>
        <w:jc w:val="both"/>
        <w:rPr>
          <w:iCs/>
          <w:color w:val="000000" w:themeColor="text1"/>
          <w:sz w:val="16"/>
          <w:szCs w:val="16"/>
        </w:rPr>
      </w:pPr>
    </w:p>
    <w:p w14:paraId="5763DD9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апреля 1945 года вышел приказ № 153 НКВ</w:t>
      </w:r>
    </w:p>
    <w:p w14:paraId="2D3815D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ГОКО от 13 апреля 1945 года за № 8127с</w:t>
      </w:r>
    </w:p>
    <w:p w14:paraId="5BAB815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Начальнику ОКБ-172 Иванову Н.А. реэвакуировать </w:t>
      </w:r>
      <w:proofErr w:type="gramStart"/>
      <w:r w:rsidRPr="00925F26">
        <w:rPr>
          <w:color w:val="000000" w:themeColor="text1"/>
          <w:sz w:val="16"/>
          <w:szCs w:val="16"/>
        </w:rPr>
        <w:t>с мае</w:t>
      </w:r>
      <w:proofErr w:type="gramEnd"/>
      <w:r w:rsidRPr="00925F26">
        <w:rPr>
          <w:color w:val="000000" w:themeColor="text1"/>
          <w:sz w:val="16"/>
          <w:szCs w:val="16"/>
        </w:rPr>
        <w:t xml:space="preserve"> 1945 года из Молотова в Ленинград ОКБ № 172 (6448, 59).</w:t>
      </w:r>
    </w:p>
    <w:p w14:paraId="5D8EFB4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4B47A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008E8F3" w14:textId="77777777" w:rsidR="00665165" w:rsidRPr="00925F26" w:rsidRDefault="00665165" w:rsidP="00925F26">
      <w:pPr>
        <w:autoSpaceDE w:val="0"/>
        <w:autoSpaceDN w:val="0"/>
        <w:adjustRightInd w:val="0"/>
        <w:jc w:val="both"/>
        <w:rPr>
          <w:iCs/>
          <w:color w:val="000000" w:themeColor="text1"/>
          <w:sz w:val="16"/>
          <w:szCs w:val="16"/>
        </w:rPr>
      </w:pPr>
    </w:p>
    <w:p w14:paraId="00DD81DB" w14:textId="77777777" w:rsidR="0053208B" w:rsidRPr="00925F26" w:rsidRDefault="0053208B" w:rsidP="00925F26">
      <w:pPr>
        <w:jc w:val="both"/>
        <w:rPr>
          <w:color w:val="000000" w:themeColor="text1"/>
          <w:sz w:val="16"/>
          <w:szCs w:val="16"/>
        </w:rPr>
      </w:pPr>
      <w:r w:rsidRPr="00925F26">
        <w:rPr>
          <w:color w:val="000000" w:themeColor="text1"/>
          <w:sz w:val="16"/>
          <w:szCs w:val="16"/>
        </w:rPr>
        <w:t>18 апреля в 1945 году оперативная сводка Совинформбюро:</w:t>
      </w:r>
    </w:p>
    <w:p w14:paraId="4CCB5E4A" w14:textId="77777777" w:rsidR="0053208B" w:rsidRPr="00925F26" w:rsidRDefault="0053208B" w:rsidP="00925F26">
      <w:pPr>
        <w:jc w:val="both"/>
        <w:rPr>
          <w:color w:val="000000" w:themeColor="text1"/>
          <w:sz w:val="16"/>
          <w:szCs w:val="16"/>
        </w:rPr>
      </w:pPr>
      <w:r w:rsidRPr="00925F26">
        <w:rPr>
          <w:color w:val="000000" w:themeColor="text1"/>
          <w:sz w:val="16"/>
          <w:szCs w:val="16"/>
        </w:rPr>
        <w:t>«В течение 18 апреля войска 3-го Белорусского фронта продолжали бои по уничтожению остатков немецких войск, отброшенных в район порта Пиллау. В боях за 17 апреля войска фронта взяли в плен 8.730 немецких солдат и офицеров и захватили следующие трофеи: танков и самоходных орудий — 80, бронетранспортёров — 69, полевых орудий — 544, миномётов — 416, пулемётов — 888, автомашин — 4.000. В числе пленных командир 28-й немецкой пехотной дивизии полковник Темпельхоф.</w:t>
      </w:r>
    </w:p>
    <w:p w14:paraId="30ED0B69" w14:textId="77777777" w:rsidR="0053208B" w:rsidRPr="00925F26" w:rsidRDefault="0053208B" w:rsidP="00925F26">
      <w:pPr>
        <w:jc w:val="both"/>
        <w:rPr>
          <w:color w:val="000000" w:themeColor="text1"/>
          <w:sz w:val="16"/>
          <w:szCs w:val="16"/>
        </w:rPr>
      </w:pPr>
      <w:r w:rsidRPr="00925F26">
        <w:rPr>
          <w:color w:val="000000" w:themeColor="text1"/>
          <w:sz w:val="16"/>
          <w:szCs w:val="16"/>
        </w:rPr>
        <w:t>Юго-западнее и южнее города Ратибор войска 4-го Украинского фронта с боями заняли более 30 населённых пунктов, в том числе крупные населённые пункты Бургфельд, Пилтш, Олдржихов, Краварже, Забржег, Дольный Бенешов, Богуславице, Рогув, Гожыце.</w:t>
      </w:r>
    </w:p>
    <w:p w14:paraId="10DB87E0" w14:textId="77777777" w:rsidR="0053208B" w:rsidRPr="00925F26" w:rsidRDefault="0053208B" w:rsidP="00925F26">
      <w:pPr>
        <w:jc w:val="both"/>
        <w:rPr>
          <w:color w:val="000000" w:themeColor="text1"/>
          <w:sz w:val="16"/>
          <w:szCs w:val="16"/>
        </w:rPr>
      </w:pPr>
      <w:r w:rsidRPr="00925F26">
        <w:rPr>
          <w:color w:val="000000" w:themeColor="text1"/>
          <w:sz w:val="16"/>
          <w:szCs w:val="16"/>
        </w:rPr>
        <w:t>На территории Чехословакии войска 2-го Украинского фронта овладели Городом Иванчице, а также с боями заняли населённые пункты Врацов, Милотице, Клобоуки, Жидлоховице, Райград, Сировице, Мелчаны, Немчицки, Медлов, Смолин. Севернее Вены войска фронта заняли на территории Австрии город Мистельбах, населённые пункты Рабенсбург, Хаусбрунн, Кроицштетен, Гросс Руссбах, Вайнштайг, Гетцманнсдорф, Мольмансдорф, Рюкерсдорф и железнодорожную станцию Ульрих.</w:t>
      </w:r>
    </w:p>
    <w:p w14:paraId="50F84FDA" w14:textId="77777777" w:rsidR="0053208B" w:rsidRPr="00925F26" w:rsidRDefault="0053208B"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611C2FDE" w14:textId="77777777" w:rsidR="0053208B" w:rsidRPr="00925F26" w:rsidRDefault="0053208B" w:rsidP="00925F26">
      <w:pPr>
        <w:jc w:val="both"/>
        <w:rPr>
          <w:color w:val="000000" w:themeColor="text1"/>
          <w:sz w:val="16"/>
          <w:szCs w:val="16"/>
        </w:rPr>
      </w:pPr>
      <w:r w:rsidRPr="00925F26">
        <w:rPr>
          <w:color w:val="000000" w:themeColor="text1"/>
          <w:sz w:val="16"/>
          <w:szCs w:val="16"/>
        </w:rPr>
        <w:t>За 17 апреля на всех фронтах подбито и уничтожено 98 немецких танков и самоходных орудий. В воздушных боях и огнём зенитной артиллерии сбито 90 самолётов противника.</w:t>
      </w:r>
    </w:p>
    <w:p w14:paraId="1165310B" w14:textId="77777777" w:rsidR="0053208B" w:rsidRPr="00925F26" w:rsidRDefault="0053208B" w:rsidP="00925F26">
      <w:pPr>
        <w:jc w:val="both"/>
        <w:rPr>
          <w:color w:val="000000" w:themeColor="text1"/>
          <w:sz w:val="16"/>
          <w:szCs w:val="16"/>
        </w:rPr>
      </w:pPr>
      <w:r w:rsidRPr="00925F26">
        <w:rPr>
          <w:color w:val="000000" w:themeColor="text1"/>
          <w:sz w:val="16"/>
          <w:szCs w:val="16"/>
        </w:rPr>
        <w:t>Действия авиации и кораблей Краснознамённого Балтийского флота</w:t>
      </w:r>
    </w:p>
    <w:p w14:paraId="72171ADB" w14:textId="77777777" w:rsidR="0053208B" w:rsidRPr="00925F26" w:rsidRDefault="0053208B" w:rsidP="00925F26">
      <w:pPr>
        <w:jc w:val="both"/>
        <w:rPr>
          <w:color w:val="000000" w:themeColor="text1"/>
          <w:sz w:val="16"/>
          <w:szCs w:val="16"/>
        </w:rPr>
      </w:pPr>
      <w:r w:rsidRPr="00925F26">
        <w:rPr>
          <w:color w:val="000000" w:themeColor="text1"/>
          <w:sz w:val="16"/>
          <w:szCs w:val="16"/>
        </w:rPr>
        <w:t>15 и 16 апреля авиация Краснознаменного Балтийского флота наносила удары по кораблям и транспортам противника в порту Пиллау и в открытом море северо-западнее Пиллау. В результате этих ударов потоплены; восемь транспортов общим водоизмещением в 46.000 тонн, тральщик и четырнадцать сторожевых катеров противника.</w:t>
      </w:r>
    </w:p>
    <w:p w14:paraId="7B6E35AC" w14:textId="77777777" w:rsidR="0053208B" w:rsidRPr="00925F26" w:rsidRDefault="0053208B" w:rsidP="00925F26">
      <w:pPr>
        <w:jc w:val="both"/>
        <w:rPr>
          <w:color w:val="000000" w:themeColor="text1"/>
          <w:sz w:val="16"/>
          <w:szCs w:val="16"/>
        </w:rPr>
      </w:pPr>
      <w:r w:rsidRPr="00925F26">
        <w:rPr>
          <w:color w:val="000000" w:themeColor="text1"/>
          <w:sz w:val="16"/>
          <w:szCs w:val="16"/>
        </w:rPr>
        <w:t>Кораблями флота потоплены два немецких эсминца.</w:t>
      </w:r>
    </w:p>
    <w:p w14:paraId="4E0DF9E6" w14:textId="77777777" w:rsidR="0053208B" w:rsidRPr="00925F26" w:rsidRDefault="0053208B" w:rsidP="00925F26">
      <w:pPr>
        <w:jc w:val="both"/>
        <w:rPr>
          <w:color w:val="000000" w:themeColor="text1"/>
          <w:sz w:val="16"/>
          <w:szCs w:val="16"/>
        </w:rPr>
      </w:pPr>
      <w:r w:rsidRPr="00925F26">
        <w:rPr>
          <w:color w:val="000000" w:themeColor="text1"/>
          <w:sz w:val="16"/>
          <w:szCs w:val="16"/>
        </w:rPr>
        <w:t>Войска 3-го Белорусского фронта продолжали бои по ликвидации войск противника, отброшенных на юго-западную оконечность Земландского полуострова в район порта Пиллау. На подступах к Пиллау немцы оказывают упорное сопротивление, опираясь на заранее подготовленные укрепленные позиции. Наши пехотные и танковые подразделения преодолели несколько линий траншей, а также глубокий противотанковый ров. Гитлеровцы, пытаясь задержать советские войска, устроили в лесу много завалов и заминировали их. Наши артиллеристы и штурмовые группы уничтожают огневые точки противника и расчищают путь советской пехоте. В результате ожесточенного боя гвардейские подразделения выбили немцев из северной части лесного массива и настойчиво продвигаются к Пиллау. На мысе юго-восточнее города Фишхаузена советские танкисты и пехотинцы завершили ликвидацию окруженной группы немецких войск. Захвачено много пленных и трофеев. За день боёв войска фронта уничтожили свыше 5 тысяч вражеских солдат и офицеров. Уничтожено много танков, полевых орудий, миномётов, пулемётов и другого вооружения противника.</w:t>
      </w:r>
    </w:p>
    <w:p w14:paraId="0938D47C" w14:textId="77777777" w:rsidR="0053208B" w:rsidRPr="00925F26" w:rsidRDefault="0053208B" w:rsidP="00925F26">
      <w:pPr>
        <w:jc w:val="both"/>
        <w:rPr>
          <w:color w:val="000000" w:themeColor="text1"/>
          <w:sz w:val="16"/>
          <w:szCs w:val="16"/>
        </w:rPr>
      </w:pPr>
      <w:r w:rsidRPr="00925F26">
        <w:rPr>
          <w:color w:val="000000" w:themeColor="text1"/>
          <w:sz w:val="16"/>
          <w:szCs w:val="16"/>
        </w:rPr>
        <w:t>Юго-западнее и южнее города Ратибор наши войска вели наступательные бои. Стремясь во что бы то ни стало удержать в своих руках крупный промышленный центр город Моравска Острава, противник оказывает яростное сопротивление. Немцы создали в этом районе сильно укреплённую и глубоко эшелонированную оборону. Они построили большое число дотов и траншей, прикрытых проволочными ограждениями, минными полями и противотанковыми рвами. Наши войска артиллерийским огнём и ударами авиации с воздуха разрушили укрепления первой линии вражеской обороны. Вслед за огневым валом двинулись в атаку пехотинцы и танкисты. Сапёры, следовавшие в боевых порядках наступающих частей, проделали проходы в минных полях и проволочных заграждениях. Очистив от немцев окопы и траншеи первой линии, наши войска проникли в глубь обороны противника. Юго-западнее Ратибора советские пехотинцы заняли опорный пункт Пилтш, находящийся в пяти километрах севернее порода Опава. К югу от Ратибора немцы подтянули резервы и неоднократно переходили в контратаки. Отбив контратаки танков и пехоты противника, наши части ворвались в селение Болатице, где скрещиваются две шоссейные дороги. Гранатами и огнем из автоматов советские бойцы выбили немцев из каменных зданий и овладели селением. Развивая успех, наши войска овладели населенным пунктом Дольный Бенешов, вышли к реке Опава и ведут бои за переправы. В этом районе захвачено у немцев 4 самолёта, 6 планёров, 12 орудий и другие трофеи. Населенный пункт Дольный Бенешов расположен в 12 километрах от города Моравска Острава. За два дня боёв нашими войсками подбито и сожжено 35 немецких танков и самоходных орудий. Взято в плен более 700 солдат и офицеров противника.</w:t>
      </w:r>
    </w:p>
    <w:p w14:paraId="643C4A0C" w14:textId="77777777" w:rsidR="0053208B" w:rsidRPr="00925F26" w:rsidRDefault="0053208B" w:rsidP="00925F26">
      <w:pPr>
        <w:jc w:val="both"/>
        <w:rPr>
          <w:color w:val="000000" w:themeColor="text1"/>
          <w:sz w:val="16"/>
          <w:szCs w:val="16"/>
        </w:rPr>
      </w:pPr>
      <w:r w:rsidRPr="00925F26">
        <w:rPr>
          <w:color w:val="000000" w:themeColor="text1"/>
          <w:sz w:val="16"/>
          <w:szCs w:val="16"/>
        </w:rPr>
        <w:t>На территории Чехословакии наши войска продолжали наступление. Советские подвижные соединения и пехота, продвигаясь вдоль реки Йилгава, сегодня заняли город Иванчице, находящийся в 17 километрах к юго-западу от Брно.</w:t>
      </w:r>
    </w:p>
    <w:p w14:paraId="77F1A69E" w14:textId="77777777" w:rsidR="0053208B" w:rsidRPr="00925F26" w:rsidRDefault="0053208B" w:rsidP="00925F26">
      <w:pPr>
        <w:jc w:val="both"/>
        <w:rPr>
          <w:color w:val="000000" w:themeColor="text1"/>
          <w:sz w:val="16"/>
          <w:szCs w:val="16"/>
        </w:rPr>
      </w:pPr>
      <w:r w:rsidRPr="00925F26">
        <w:rPr>
          <w:color w:val="000000" w:themeColor="text1"/>
          <w:sz w:val="16"/>
          <w:szCs w:val="16"/>
        </w:rPr>
        <w:t>На территории Австрии севернее Вены советские части с боями продвигались вперёд. Особенно ожесточенные бои произошли в лесу у населённого пункта Хаусбрунн. Полк вражеской пехоты при поддержке танков контратаковал наши подразделения. Советские бойцы истребили до батальона гитлеровцев и вынудили противника поспешно отступить. Другие наши части на широком фронте переправились через реку Цая, вдоль которой проходил промежуточный рубеж обороны немцев, и завязали бои на подступах к городу Мистельбах. Советские бойцы с юго-востока и юго-запада ворвались на улицы города и овладели им. Противник, отступая под ударами наших войск, несёт большие потери. В течение дня сожжено и подбито 30 немецких танков и 35 бронетранспортёров. Захвачены пленные и трофеи.» (15103).</w:t>
      </w:r>
    </w:p>
    <w:p w14:paraId="0C91E9B2" w14:textId="77777777" w:rsidR="0053208B" w:rsidRPr="00925F26" w:rsidRDefault="0053208B" w:rsidP="00925F26">
      <w:pPr>
        <w:jc w:val="both"/>
        <w:rPr>
          <w:color w:val="000000" w:themeColor="text1"/>
          <w:sz w:val="16"/>
          <w:szCs w:val="16"/>
        </w:rPr>
      </w:pPr>
    </w:p>
    <w:p w14:paraId="6E6AFF8B" w14:textId="77777777" w:rsidR="00DE5890" w:rsidRPr="00925F26" w:rsidRDefault="00DE5890" w:rsidP="00925F26">
      <w:pPr>
        <w:jc w:val="both"/>
        <w:rPr>
          <w:color w:val="000000" w:themeColor="text1"/>
          <w:sz w:val="16"/>
          <w:szCs w:val="16"/>
        </w:rPr>
      </w:pPr>
      <w:r w:rsidRPr="00925F26">
        <w:rPr>
          <w:color w:val="000000" w:themeColor="text1"/>
          <w:sz w:val="16"/>
          <w:szCs w:val="16"/>
        </w:rPr>
        <w:t>18-20 апреля 1945 г. в ходе Берлинской наступательной операции корабли Днепровской военной флотилии при отраже</w:t>
      </w:r>
      <w:r w:rsidRPr="00925F26">
        <w:rPr>
          <w:color w:val="000000" w:themeColor="text1"/>
          <w:sz w:val="16"/>
          <w:szCs w:val="16"/>
        </w:rPr>
        <w:softHyphen/>
        <w:t>нии ударов германской авиации по переправам через Одер уничтожили три управляемые планирующие бом</w:t>
      </w:r>
      <w:r w:rsidRPr="00925F26">
        <w:rPr>
          <w:color w:val="000000" w:themeColor="text1"/>
          <w:sz w:val="16"/>
          <w:szCs w:val="16"/>
        </w:rPr>
        <w:softHyphen/>
        <w:t>бы Хеншель Hs-293 (20120).</w:t>
      </w:r>
    </w:p>
    <w:p w14:paraId="19DA789A" w14:textId="77777777" w:rsidR="00DE5890" w:rsidRPr="00925F26" w:rsidRDefault="00DE5890" w:rsidP="00925F26">
      <w:pPr>
        <w:jc w:val="both"/>
        <w:rPr>
          <w:color w:val="000000" w:themeColor="text1"/>
          <w:sz w:val="16"/>
          <w:szCs w:val="16"/>
        </w:rPr>
      </w:pPr>
    </w:p>
    <w:p w14:paraId="54BF1386" w14:textId="77777777" w:rsidR="00DD6117" w:rsidRPr="00925F26" w:rsidRDefault="00DD6117" w:rsidP="00925F26">
      <w:pPr>
        <w:jc w:val="both"/>
        <w:rPr>
          <w:color w:val="000000" w:themeColor="text1"/>
          <w:sz w:val="16"/>
          <w:szCs w:val="16"/>
        </w:rPr>
      </w:pPr>
      <w:r w:rsidRPr="00925F26">
        <w:rPr>
          <w:color w:val="000000" w:themeColor="text1"/>
          <w:sz w:val="16"/>
          <w:szCs w:val="16"/>
        </w:rPr>
        <w:t>К утру 18 апреля 1945 г. высоты были взяты. Форсирована Шпрее – последний рубеж обороны фашистов. 19 апреля 1945 г. немцы стали отходить к Берлину (17459).</w:t>
      </w:r>
    </w:p>
    <w:p w14:paraId="415CEEEB" w14:textId="77777777" w:rsidR="00DD6117" w:rsidRPr="00925F26" w:rsidRDefault="00DD6117" w:rsidP="00925F26">
      <w:pPr>
        <w:jc w:val="both"/>
        <w:rPr>
          <w:color w:val="000000" w:themeColor="text1"/>
          <w:sz w:val="16"/>
          <w:szCs w:val="16"/>
        </w:rPr>
      </w:pPr>
    </w:p>
    <w:p w14:paraId="25469526" w14:textId="77777777" w:rsidR="001D1E05" w:rsidRPr="00925F26" w:rsidRDefault="001D1E05" w:rsidP="00925F26">
      <w:pPr>
        <w:pStyle w:val="ae"/>
        <w:spacing w:before="0" w:after="0"/>
        <w:jc w:val="both"/>
        <w:textAlignment w:val="baseline"/>
        <w:rPr>
          <w:color w:val="000000" w:themeColor="text1"/>
          <w:sz w:val="16"/>
          <w:szCs w:val="16"/>
        </w:rPr>
      </w:pPr>
      <w:r w:rsidRPr="00925F26">
        <w:rPr>
          <w:color w:val="000000" w:themeColor="text1"/>
          <w:sz w:val="16"/>
          <w:szCs w:val="16"/>
        </w:rPr>
        <w:t>18 апреля 1945 группа Ил-10 в районе Коттбуса встретилась с парой FW-190, летевших параллельным курсом справа и выше. Увидев «Ильюшиных», немецкие самолеты развернулись и атаковали одиночный штурмовик, отставший от строя. Один «Фокке-Вульф» вел огонь сверху сзади, второй — снизу сзади. Бортстрелок стрелял по ним из заднего пулемета. Немцы не стали усердствовать и после одного захода удалились. В итоге Ил-10 получил повреждения, но все же смог вернуться на базу (19522).</w:t>
      </w:r>
    </w:p>
    <w:p w14:paraId="1FD49C3D" w14:textId="77777777" w:rsidR="001D1E05" w:rsidRPr="00925F26" w:rsidRDefault="001D1E05" w:rsidP="00925F26">
      <w:pPr>
        <w:pStyle w:val="ae"/>
        <w:spacing w:before="0" w:after="0"/>
        <w:jc w:val="both"/>
        <w:textAlignment w:val="baseline"/>
        <w:rPr>
          <w:color w:val="000000" w:themeColor="text1"/>
          <w:sz w:val="16"/>
          <w:szCs w:val="16"/>
        </w:rPr>
      </w:pPr>
    </w:p>
    <w:p w14:paraId="3A7A83F0" w14:textId="77777777" w:rsidR="0053208B" w:rsidRPr="00925F26" w:rsidRDefault="0053208B" w:rsidP="00925F26">
      <w:pPr>
        <w:jc w:val="both"/>
        <w:rPr>
          <w:color w:val="000000" w:themeColor="text1"/>
          <w:sz w:val="16"/>
          <w:szCs w:val="16"/>
        </w:rPr>
      </w:pPr>
      <w:r w:rsidRPr="00925F26">
        <w:rPr>
          <w:color w:val="000000" w:themeColor="text1"/>
          <w:sz w:val="16"/>
          <w:szCs w:val="16"/>
        </w:rPr>
        <w:t>18 апреля в 1945 году в ходе Берлинской операции севернее Берлина перешли в наступление войска 2-го Белорусского фронта. Их действия имели большое значение для взятия столицы Германии, но непосредственного участия в овладении городом они не принимали (15103).</w:t>
      </w:r>
    </w:p>
    <w:p w14:paraId="09245560" w14:textId="77777777" w:rsidR="0053208B" w:rsidRPr="00925F26" w:rsidRDefault="0053208B" w:rsidP="00925F26">
      <w:pPr>
        <w:jc w:val="both"/>
        <w:rPr>
          <w:color w:val="000000" w:themeColor="text1"/>
          <w:sz w:val="16"/>
          <w:szCs w:val="16"/>
        </w:rPr>
      </w:pPr>
    </w:p>
    <w:p w14:paraId="51EBE66B" w14:textId="77777777" w:rsidR="0053208B" w:rsidRPr="00925F26" w:rsidRDefault="0053208B" w:rsidP="00925F26">
      <w:pPr>
        <w:jc w:val="both"/>
        <w:rPr>
          <w:color w:val="000000" w:themeColor="text1"/>
          <w:sz w:val="16"/>
          <w:szCs w:val="16"/>
        </w:rPr>
      </w:pPr>
      <w:r w:rsidRPr="00925F26">
        <w:rPr>
          <w:color w:val="000000" w:themeColor="text1"/>
          <w:sz w:val="16"/>
          <w:szCs w:val="16"/>
        </w:rPr>
        <w:t>18 апреля в 1945 году к исходу дня 18 апреля 1945 соединения 1-го Украинского фронта завершили прорыв Нейссенского рубежа обороны немецких войск и обеспечили условия для окружения Берлина с юга</w:t>
      </w:r>
    </w:p>
    <w:p w14:paraId="61F36698" w14:textId="77777777" w:rsidR="0053208B" w:rsidRPr="00925F26" w:rsidRDefault="0053208B" w:rsidP="00925F26">
      <w:pPr>
        <w:jc w:val="both"/>
        <w:rPr>
          <w:color w:val="000000" w:themeColor="text1"/>
          <w:sz w:val="16"/>
          <w:szCs w:val="16"/>
        </w:rPr>
      </w:pPr>
    </w:p>
    <w:p w14:paraId="51B3B93F" w14:textId="77777777" w:rsidR="0053208B" w:rsidRPr="00925F26" w:rsidRDefault="0053208B" w:rsidP="00925F26">
      <w:pPr>
        <w:jc w:val="both"/>
        <w:rPr>
          <w:color w:val="000000" w:themeColor="text1"/>
          <w:sz w:val="16"/>
          <w:szCs w:val="16"/>
        </w:rPr>
      </w:pPr>
      <w:r w:rsidRPr="00925F26">
        <w:rPr>
          <w:color w:val="000000" w:themeColor="text1"/>
          <w:sz w:val="16"/>
          <w:szCs w:val="16"/>
        </w:rPr>
        <w:t>18 апреля в 1945 году при бомбардировке пригорода Берлина Альт Ансбер, зенитным огнем был подбит и загорелся бомбардировщик «Ил-4» Героя Советского Союза Петра Ивановича Романова. Никто из членов экипажа не спасся. Именем Романова была названа бывшая 8-я Кожуховская улица Москвы (15103).</w:t>
      </w:r>
    </w:p>
    <w:p w14:paraId="76D69288" w14:textId="77777777" w:rsidR="0053208B" w:rsidRPr="00925F26" w:rsidRDefault="0053208B" w:rsidP="00925F26">
      <w:pPr>
        <w:jc w:val="both"/>
        <w:rPr>
          <w:color w:val="000000" w:themeColor="text1"/>
          <w:sz w:val="16"/>
          <w:szCs w:val="16"/>
        </w:rPr>
      </w:pPr>
    </w:p>
    <w:p w14:paraId="20C053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апреля 1945, после нанесения тремя группами по 7, 8 и 6 самолетов Ил-10 весьма эффективных бомбоштурмовых ударов по живой силе и технике про</w:t>
      </w:r>
      <w:r w:rsidRPr="00925F26">
        <w:rPr>
          <w:color w:val="000000" w:themeColor="text1"/>
          <w:sz w:val="16"/>
          <w:szCs w:val="16"/>
        </w:rPr>
        <w:softHyphen/>
        <w:t>тивника в районе Мадлов, Гросс-Оссинг, Шеферберг, Клейн-Деберн полк заслу</w:t>
      </w:r>
      <w:r w:rsidRPr="00925F26">
        <w:rPr>
          <w:color w:val="000000" w:themeColor="text1"/>
          <w:sz w:val="16"/>
          <w:szCs w:val="16"/>
        </w:rPr>
        <w:softHyphen/>
        <w:t>жил оценку отлично от станции наве</w:t>
      </w:r>
      <w:r w:rsidRPr="00925F26">
        <w:rPr>
          <w:color w:val="000000" w:themeColor="text1"/>
          <w:sz w:val="16"/>
          <w:szCs w:val="16"/>
        </w:rPr>
        <w:softHyphen/>
        <w:t>дения. По докладам экипажей в районе целей наблюдались около 12 взрывов большой силы и очагов пожаров, а так</w:t>
      </w:r>
      <w:r w:rsidRPr="00925F26">
        <w:rPr>
          <w:color w:val="000000" w:themeColor="text1"/>
          <w:sz w:val="16"/>
          <w:szCs w:val="16"/>
        </w:rPr>
        <w:softHyphen/>
        <w:t>же до 13 горящих автомашин. Удары наносились в период с 12.51 до 13.50. Прикрытие штурмовиков осуществля</w:t>
      </w:r>
      <w:r w:rsidRPr="00925F26">
        <w:rPr>
          <w:color w:val="000000" w:themeColor="text1"/>
          <w:sz w:val="16"/>
          <w:szCs w:val="16"/>
        </w:rPr>
        <w:softHyphen/>
        <w:t>лось 12 Ла-5 от 5-го ГИАП. Каждая груп</w:t>
      </w:r>
      <w:r w:rsidRPr="00925F26">
        <w:rPr>
          <w:color w:val="000000" w:themeColor="text1"/>
          <w:sz w:val="16"/>
          <w:szCs w:val="16"/>
        </w:rPr>
        <w:softHyphen/>
        <w:t>па Ил-10 выполнила до 7 заходов на цель. Все атаки выполнялись с пикиро</w:t>
      </w:r>
      <w:r w:rsidRPr="00925F26">
        <w:rPr>
          <w:color w:val="000000" w:themeColor="text1"/>
          <w:sz w:val="16"/>
          <w:szCs w:val="16"/>
        </w:rPr>
        <w:softHyphen/>
        <w:t>вания под углом 30°. Бомбометание производилось с высот 450-300 м. Две группы имели встречи с 4 истребителя</w:t>
      </w:r>
      <w:r w:rsidRPr="00925F26">
        <w:rPr>
          <w:color w:val="000000" w:themeColor="text1"/>
          <w:sz w:val="16"/>
          <w:szCs w:val="16"/>
        </w:rPr>
        <w:softHyphen/>
        <w:t xml:space="preserve">ми </w:t>
      </w:r>
      <w:r w:rsidRPr="00925F26">
        <w:rPr>
          <w:smallCaps/>
          <w:color w:val="000000" w:themeColor="text1"/>
          <w:sz w:val="16"/>
          <w:szCs w:val="16"/>
        </w:rPr>
        <w:t xml:space="preserve">руу </w:t>
      </w:r>
      <w:r w:rsidRPr="00925F26">
        <w:rPr>
          <w:color w:val="000000" w:themeColor="text1"/>
          <w:sz w:val="16"/>
          <w:szCs w:val="16"/>
        </w:rPr>
        <w:t>190, которые атак не производи-</w:t>
      </w:r>
    </w:p>
    <w:p w14:paraId="0D5AFA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ли и ушли в облачность (11161).</w:t>
      </w:r>
    </w:p>
    <w:p w14:paraId="764A8C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50FFF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18 апреля 1945 12 Ил-10 (ведущий комэск к-н Пилипец) в сопровождении 4 Ла-5 нанесли бомбоштурмовой удар по автомашинам и танкам противника в районе пункта Гросс-Оснинг, дорога Коттбус-Шпремберг. В пяти заходах группа уничтожила и повредила до 14 автомашин, одно орудие и танк (7489).</w:t>
      </w:r>
    </w:p>
    <w:p w14:paraId="71B8B5FE" w14:textId="77777777" w:rsidR="00665165" w:rsidRPr="00925F26" w:rsidRDefault="00665165" w:rsidP="00925F26">
      <w:pPr>
        <w:autoSpaceDE w:val="0"/>
        <w:autoSpaceDN w:val="0"/>
        <w:adjustRightInd w:val="0"/>
        <w:jc w:val="both"/>
        <w:rPr>
          <w:color w:val="000000" w:themeColor="text1"/>
          <w:sz w:val="16"/>
          <w:szCs w:val="16"/>
        </w:rPr>
      </w:pPr>
    </w:p>
    <w:p w14:paraId="562ABF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апреля 1945 четверка Ла-5 сопровождала 12 Ил-10, которые на шоссе Коттбус-Шпремберг в районе городка Гросс-Оснинг уничтожили и повредили 14 грузовиков, танк и артил</w:t>
      </w:r>
      <w:r w:rsidRPr="00925F26">
        <w:rPr>
          <w:color w:val="000000" w:themeColor="text1"/>
          <w:sz w:val="16"/>
          <w:szCs w:val="16"/>
        </w:rPr>
        <w:softHyphen/>
        <w:t>лерийское орудие (11123).</w:t>
      </w:r>
    </w:p>
    <w:p w14:paraId="40FE46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5DC27C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апреля 1945 советские войска прорвали немецкий одерско-нейсенский рубеж обороны (</w:t>
      </w:r>
      <w:proofErr w:type="gramStart"/>
      <w:r w:rsidRPr="00925F26">
        <w:rPr>
          <w:color w:val="000000" w:themeColor="text1"/>
          <w:sz w:val="16"/>
          <w:szCs w:val="16"/>
        </w:rPr>
        <w:t>4963 )</w:t>
      </w:r>
      <w:proofErr w:type="gramEnd"/>
      <w:r w:rsidRPr="00925F26">
        <w:rPr>
          <w:color w:val="000000" w:themeColor="text1"/>
          <w:sz w:val="16"/>
          <w:szCs w:val="16"/>
        </w:rPr>
        <w:t>.</w:t>
      </w:r>
    </w:p>
    <w:p w14:paraId="19EDF5E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FF49D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апреля 1945 советские войска форсировали немецкую реку Шпрее</w:t>
      </w:r>
    </w:p>
    <w:p w14:paraId="54C10D1B" w14:textId="77777777" w:rsidR="00665165" w:rsidRPr="00925F26" w:rsidRDefault="00665165" w:rsidP="00925F26">
      <w:pPr>
        <w:autoSpaceDE w:val="0"/>
        <w:autoSpaceDN w:val="0"/>
        <w:adjustRightInd w:val="0"/>
        <w:jc w:val="both"/>
        <w:rPr>
          <w:color w:val="000000" w:themeColor="text1"/>
          <w:sz w:val="16"/>
          <w:szCs w:val="16"/>
        </w:rPr>
      </w:pPr>
    </w:p>
    <w:p w14:paraId="0D20A7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апреля 1945 108-й полк наносил удары по жи</w:t>
      </w:r>
      <w:r w:rsidRPr="00925F26">
        <w:rPr>
          <w:color w:val="000000" w:themeColor="text1"/>
          <w:sz w:val="16"/>
          <w:szCs w:val="16"/>
        </w:rPr>
        <w:softHyphen/>
        <w:t>вой силе и технике противника в районе Мадлов, Гросс-Оссинг, Шеферберг и Клейн-Деберн. Экипажи насчитали 12 взрывов большой силы и очагов пожа</w:t>
      </w:r>
      <w:r w:rsidRPr="00925F26">
        <w:rPr>
          <w:color w:val="000000" w:themeColor="text1"/>
          <w:sz w:val="16"/>
          <w:szCs w:val="16"/>
        </w:rPr>
        <w:softHyphen/>
        <w:t>ров, а также до 13 горящих автомашин. Две группы имели встречи с истребите</w:t>
      </w:r>
      <w:r w:rsidRPr="00925F26">
        <w:rPr>
          <w:color w:val="000000" w:themeColor="text1"/>
          <w:sz w:val="16"/>
          <w:szCs w:val="16"/>
        </w:rPr>
        <w:softHyphen/>
        <w:t>лями РУУ 190, которые, однако, ушли в облачность (10681).</w:t>
      </w:r>
    </w:p>
    <w:p w14:paraId="38CC08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66D4E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на дно пошла канонерка "Драхе", которая в 1939 году начала польскую кампанию обстрелом Хеля (2691).</w:t>
      </w:r>
    </w:p>
    <w:p w14:paraId="2A599D2D" w14:textId="77777777" w:rsidR="00665165" w:rsidRPr="00925F26" w:rsidRDefault="00665165" w:rsidP="00925F26">
      <w:pPr>
        <w:autoSpaceDE w:val="0"/>
        <w:autoSpaceDN w:val="0"/>
        <w:adjustRightInd w:val="0"/>
        <w:jc w:val="both"/>
        <w:rPr>
          <w:color w:val="000000" w:themeColor="text1"/>
          <w:sz w:val="16"/>
          <w:szCs w:val="16"/>
        </w:rPr>
      </w:pPr>
    </w:p>
    <w:p w14:paraId="4AEF928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3D41975" w14:textId="77777777" w:rsidR="00665165" w:rsidRPr="00925F26" w:rsidRDefault="00665165" w:rsidP="00925F26">
      <w:pPr>
        <w:autoSpaceDE w:val="0"/>
        <w:autoSpaceDN w:val="0"/>
        <w:adjustRightInd w:val="0"/>
        <w:jc w:val="both"/>
        <w:rPr>
          <w:iCs/>
          <w:color w:val="000000" w:themeColor="text1"/>
          <w:sz w:val="16"/>
          <w:szCs w:val="16"/>
        </w:rPr>
      </w:pPr>
    </w:p>
    <w:p w14:paraId="5AE178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приказом № 00315 для содержания арестованных немцев и пересылаемых в СССР советских граждан был организован Отдел спецлагерей НКВД СССР в Германии с подчинением ему спецлагерей: № 1 - в Мюльберге, № 2 - в Бухенвальде, № 3 - в Берлине, № 4 - в Баутцене, № 5 - в Фюрстенвальде, № 6 - в Либе-Розе, № 7 - в Ораниенбурге (Заксенхаузен), № 8 - в Торгау, № 9 - в Нойе-Бранденбурге, а также пересыльной тюрьмы № 10 в Торгау и тюрьмой для осужденных немцев № 5 в Штрелице (7560).</w:t>
      </w:r>
    </w:p>
    <w:p w14:paraId="16EB79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спецлагерей уменьшалось по мере сокращения их контингента, и к 1948 году осталось всего три спецлагеря, которым была присвоена новая нумерация: спецлагерь № 1 - Заксенхаузен, № 2 - Бухенвальд, № 3 - Баутцен (на 1 марта 1950-го штат Отдела спецлагерей в Германии составлял 58 человек, в каждом из спецлагерей содержалось по 242 человека) (7560).</w:t>
      </w:r>
    </w:p>
    <w:p w14:paraId="62AC52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15 мая 1945-го по 1 марта 1950-го в спецлагеря и тюрьмы МВД в Германии поступило: немцев - 122 671 человек, граждан СССР - 34 706, иноподданных - 460 (всего 157 837 человек). Их них в СССР было отправлено: осужденных - 29 804 человека (из них немцев - 1661 человек, граждан СССР - 28 051 человек), спецконтингентов - 10 404 человека (из них немцев - 5037 человек, граждан СССР - 5403 человека). В дисциплинарные батальоны было передано 89 граждан СССР, в лагеря репатриации - 34 гражданина СССР, в военные трибуналы и оперсекторы (так назывались территориальные органы НКГБ-МГБ в Германии) - 6917 человек (из них немцев - 6072, граждан СССР - 811, иноподданных - 34). Расстреляно было 786 человек (немцев - 756, граждан СССР - 28, иноподданных - 2), умерло - 43 035 человек (немцев - 42 889, граждан СССР - 67, иноподданных - 79), бежало 128 человек (112 немцев и 16 советских граждан) (7560).</w:t>
      </w:r>
    </w:p>
    <w:p w14:paraId="07E834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Отдел спецлагерей НКВД-МВД в Германии последовательно возглавляли: в 1945-1947 годах - полковник М. Е. Свиридов (ранее сотрудник Политуправления погранвойск НКВД), в 1947-1949 годах - полковник Н. Т. Цикляев (ранее зам. начальника УМВД Ставропольского края), с 1949-го - полковник В. П. Соколов (ранее начальник ОИТК УМВД Смоленской области) (7560).</w:t>
      </w:r>
    </w:p>
    <w:p w14:paraId="723DA7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основании постановления Совмина СССР № 6021-2251сс от 30 декабря 1949-го и приказа МВД № 0022 от 6 января 1950-го Отдел спецлагерей и сами спецлагеря в Германии будут ликвидированы (7560).</w:t>
      </w:r>
    </w:p>
    <w:p w14:paraId="4255D16A" w14:textId="77777777" w:rsidR="00665165" w:rsidRPr="00925F26" w:rsidRDefault="00665165" w:rsidP="00925F26">
      <w:pPr>
        <w:autoSpaceDE w:val="0"/>
        <w:autoSpaceDN w:val="0"/>
        <w:adjustRightInd w:val="0"/>
        <w:jc w:val="both"/>
        <w:rPr>
          <w:color w:val="000000" w:themeColor="text1"/>
          <w:sz w:val="16"/>
          <w:szCs w:val="16"/>
        </w:rPr>
      </w:pPr>
    </w:p>
    <w:p w14:paraId="714FB33C" w14:textId="77777777" w:rsidR="00A350B4" w:rsidRPr="00925F26" w:rsidRDefault="00A350B4" w:rsidP="00925F26">
      <w:pPr>
        <w:autoSpaceDE w:val="0"/>
        <w:autoSpaceDN w:val="0"/>
        <w:adjustRightInd w:val="0"/>
        <w:jc w:val="both"/>
        <w:rPr>
          <w:color w:val="000000" w:themeColor="text1"/>
          <w:sz w:val="16"/>
          <w:szCs w:val="16"/>
        </w:rPr>
      </w:pPr>
      <w:r w:rsidRPr="00925F26">
        <w:rPr>
          <w:color w:val="000000" w:themeColor="text1"/>
          <w:sz w:val="16"/>
          <w:szCs w:val="16"/>
        </w:rPr>
        <w:t xml:space="preserve">18 апреля 1945 г. в Одессе англичане на </w:t>
      </w:r>
      <w:r w:rsidRPr="00925F26">
        <w:rPr>
          <w:bCs/>
          <w:color w:val="000000" w:themeColor="text1"/>
          <w:sz w:val="16"/>
          <w:szCs w:val="16"/>
        </w:rPr>
        <w:t>"Альманзоре"</w:t>
      </w:r>
      <w:r w:rsidRPr="00925F26">
        <w:rPr>
          <w:color w:val="000000" w:themeColor="text1"/>
          <w:sz w:val="16"/>
          <w:szCs w:val="16"/>
        </w:rPr>
        <w:t xml:space="preserve"> привозят русских пленных, расстрелы в порту (17459).</w:t>
      </w:r>
    </w:p>
    <w:p w14:paraId="199BFBEF" w14:textId="77777777" w:rsidR="00A350B4" w:rsidRPr="00925F26" w:rsidRDefault="00A350B4" w:rsidP="00925F26">
      <w:pPr>
        <w:autoSpaceDE w:val="0"/>
        <w:autoSpaceDN w:val="0"/>
        <w:adjustRightInd w:val="0"/>
        <w:jc w:val="both"/>
        <w:rPr>
          <w:color w:val="000000" w:themeColor="text1"/>
          <w:sz w:val="16"/>
          <w:szCs w:val="16"/>
        </w:rPr>
      </w:pPr>
    </w:p>
    <w:p w14:paraId="101CD27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CC32CD8" w14:textId="77777777" w:rsidR="00665165" w:rsidRPr="00925F26" w:rsidRDefault="00665165" w:rsidP="00925F26">
      <w:pPr>
        <w:autoSpaceDE w:val="0"/>
        <w:autoSpaceDN w:val="0"/>
        <w:adjustRightInd w:val="0"/>
        <w:jc w:val="both"/>
        <w:rPr>
          <w:iCs/>
          <w:color w:val="000000" w:themeColor="text1"/>
          <w:sz w:val="16"/>
          <w:szCs w:val="16"/>
        </w:rPr>
      </w:pPr>
    </w:p>
    <w:p w14:paraId="735BC2F0" w14:textId="77777777" w:rsidR="00DE5890" w:rsidRPr="00925F26" w:rsidRDefault="00DE5890" w:rsidP="00925F26">
      <w:pPr>
        <w:jc w:val="both"/>
        <w:rPr>
          <w:color w:val="000000" w:themeColor="text1"/>
          <w:sz w:val="16"/>
          <w:szCs w:val="16"/>
        </w:rPr>
      </w:pPr>
      <w:r w:rsidRPr="00925F26">
        <w:rPr>
          <w:color w:val="000000" w:themeColor="text1"/>
          <w:sz w:val="16"/>
          <w:szCs w:val="16"/>
        </w:rPr>
        <w:t>18 апреля 1945 немецкий истребитель Messerschmitt Bf 109 перехватил самолет связи Stinson L-5 Sentinel ВВС США, который перевозил генерал-лейтенанта армии США Александра М. Патча из Китцингена в Эринген, Германия. Пилот L-5, технический сержант Роберт Ф. Stretton, маневрируя сумел уклониться от Bf 109 и благополучно достиг земли в Орингене. Позже Стреттон получил за свой полет Знак отличия за полет (20371).</w:t>
      </w:r>
    </w:p>
    <w:p w14:paraId="22526CD2" w14:textId="77777777" w:rsidR="00DE5890" w:rsidRPr="00925F26" w:rsidRDefault="00DE5890" w:rsidP="00925F26">
      <w:pPr>
        <w:jc w:val="both"/>
        <w:rPr>
          <w:color w:val="000000" w:themeColor="text1"/>
          <w:sz w:val="16"/>
          <w:szCs w:val="16"/>
        </w:rPr>
      </w:pPr>
    </w:p>
    <w:p w14:paraId="4F25830A" w14:textId="77777777" w:rsidR="00DE5890" w:rsidRPr="00925F26" w:rsidRDefault="00DE5890" w:rsidP="00925F26">
      <w:pPr>
        <w:jc w:val="both"/>
        <w:rPr>
          <w:color w:val="000000" w:themeColor="text1"/>
          <w:sz w:val="16"/>
          <w:szCs w:val="16"/>
        </w:rPr>
      </w:pPr>
      <w:r w:rsidRPr="00925F26">
        <w:rPr>
          <w:color w:val="000000" w:themeColor="text1"/>
          <w:sz w:val="16"/>
          <w:szCs w:val="16"/>
        </w:rPr>
        <w:t>18 апреля 1945 немецкий ас Йоханнес Штайнхофф, летавший в составе специализированной истребительной эскадрильи Люфтваффе JV 44, получил серьезные ожоги и почти смертельные травмы, когда его Messerschmitt Me 262 разбился при взлете и взорвался. Он выживает и возобновляет полеты после войны (20371).</w:t>
      </w:r>
    </w:p>
    <w:p w14:paraId="6D20ECCC" w14:textId="77777777" w:rsidR="00DE5890" w:rsidRPr="00925F26" w:rsidRDefault="00DE5890" w:rsidP="00925F26">
      <w:pPr>
        <w:jc w:val="both"/>
        <w:rPr>
          <w:color w:val="000000" w:themeColor="text1"/>
          <w:sz w:val="16"/>
          <w:szCs w:val="16"/>
        </w:rPr>
      </w:pPr>
    </w:p>
    <w:p w14:paraId="269C3FD9" w14:textId="77777777" w:rsidR="0053208B" w:rsidRPr="00925F26" w:rsidRDefault="0053208B" w:rsidP="00925F26">
      <w:pPr>
        <w:jc w:val="both"/>
        <w:rPr>
          <w:color w:val="000000" w:themeColor="text1"/>
          <w:sz w:val="16"/>
          <w:szCs w:val="16"/>
        </w:rPr>
      </w:pPr>
      <w:r w:rsidRPr="00925F26">
        <w:rPr>
          <w:color w:val="000000" w:themeColor="text1"/>
          <w:sz w:val="16"/>
          <w:szCs w:val="16"/>
        </w:rPr>
        <w:t>18 апреля в 1945 году во время Второй мировой войны английские и американские войска освободили от фашистов города Магдебург, Дюссельдорф и Рур (15103).</w:t>
      </w:r>
    </w:p>
    <w:p w14:paraId="534A3874" w14:textId="77777777" w:rsidR="0053208B" w:rsidRPr="00925F26" w:rsidRDefault="0053208B" w:rsidP="00925F26">
      <w:pPr>
        <w:jc w:val="both"/>
        <w:rPr>
          <w:color w:val="000000" w:themeColor="text1"/>
          <w:sz w:val="16"/>
          <w:szCs w:val="16"/>
        </w:rPr>
      </w:pPr>
    </w:p>
    <w:p w14:paraId="6164A51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апреля 1945 американские войска пересекли чешскую границу (4962).</w:t>
      </w:r>
    </w:p>
    <w:p w14:paraId="6D1D385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085B0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18 апреля 1945 германские войска в Рурском бассейне капитулировали союзникам (4962), остатки 5ТА и 15А группы армий </w:t>
      </w:r>
      <w:proofErr w:type="gramStart"/>
      <w:r w:rsidRPr="00925F26">
        <w:rPr>
          <w:color w:val="000000" w:themeColor="text1"/>
          <w:sz w:val="16"/>
          <w:szCs w:val="16"/>
        </w:rPr>
        <w:t>B,окружённые</w:t>
      </w:r>
      <w:proofErr w:type="gramEnd"/>
      <w:r w:rsidRPr="00925F26">
        <w:rPr>
          <w:color w:val="000000" w:themeColor="text1"/>
          <w:sz w:val="16"/>
          <w:szCs w:val="16"/>
        </w:rPr>
        <w:t xml:space="preserve"> в Рурском промышленном районе (</w:t>
      </w:r>
      <w:proofErr w:type="gramStart"/>
      <w:r w:rsidRPr="00925F26">
        <w:rPr>
          <w:color w:val="000000" w:themeColor="text1"/>
          <w:sz w:val="16"/>
          <w:szCs w:val="16"/>
        </w:rPr>
        <w:t>4963 )</w:t>
      </w:r>
      <w:proofErr w:type="gramEnd"/>
      <w:r w:rsidRPr="00925F26">
        <w:rPr>
          <w:color w:val="000000" w:themeColor="text1"/>
          <w:sz w:val="16"/>
          <w:szCs w:val="16"/>
        </w:rPr>
        <w:t>.</w:t>
      </w:r>
    </w:p>
    <w:p w14:paraId="7C98A5C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71DCB9F" w14:textId="77777777" w:rsidR="00EE4B80" w:rsidRPr="00925F26" w:rsidRDefault="00EE4B80"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апреля 1945</w:t>
      </w:r>
      <w:r w:rsidRPr="00925F26">
        <w:rPr>
          <w:bCs/>
          <w:color w:val="000000" w:themeColor="text1"/>
          <w:sz w:val="16"/>
          <w:szCs w:val="16"/>
        </w:rPr>
        <w:t xml:space="preserve"> около 317.000 солдат, в т. ч. 30 генералов, сложили оружие, что было крупнейшей капитуляцией за период войны. Модель покончил с собой.» </w:t>
      </w:r>
      <w:r w:rsidRPr="00925F26">
        <w:rPr>
          <w:color w:val="000000" w:themeColor="text1"/>
          <w:sz w:val="16"/>
          <w:szCs w:val="16"/>
        </w:rPr>
        <w:t>21 апреля Модель застрелился (54 года) (17459).</w:t>
      </w:r>
    </w:p>
    <w:p w14:paraId="1D1948F0" w14:textId="77777777" w:rsidR="00EE4B80" w:rsidRPr="00925F26" w:rsidRDefault="00EE4B80" w:rsidP="00925F26">
      <w:pPr>
        <w:tabs>
          <w:tab w:val="left" w:pos="11199"/>
        </w:tabs>
        <w:autoSpaceDE w:val="0"/>
        <w:autoSpaceDN w:val="0"/>
        <w:adjustRightInd w:val="0"/>
        <w:jc w:val="both"/>
        <w:rPr>
          <w:color w:val="000000" w:themeColor="text1"/>
          <w:sz w:val="16"/>
          <w:szCs w:val="16"/>
        </w:rPr>
      </w:pPr>
    </w:p>
    <w:p w14:paraId="6E0FDF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April</w:t>
      </w:r>
      <w:r w:rsidRPr="00925F26">
        <w:rPr>
          <w:color w:val="000000" w:themeColor="text1"/>
          <w:sz w:val="16"/>
          <w:szCs w:val="16"/>
        </w:rPr>
        <w:t xml:space="preserve"> 18 1945 </w:t>
      </w:r>
      <w:r w:rsidRPr="00925F26">
        <w:rPr>
          <w:color w:val="000000" w:themeColor="text1"/>
          <w:sz w:val="16"/>
          <w:szCs w:val="16"/>
          <w:lang w:val="en-US"/>
        </w:rPr>
        <w:t>GermanforcesinRuhrpocketsurrender</w:t>
      </w:r>
      <w:r w:rsidRPr="00925F26">
        <w:rPr>
          <w:color w:val="000000" w:themeColor="text1"/>
          <w:sz w:val="16"/>
          <w:szCs w:val="16"/>
        </w:rPr>
        <w:t xml:space="preserve"> (1050).</w:t>
      </w:r>
    </w:p>
    <w:p w14:paraId="71F19FD4" w14:textId="77777777" w:rsidR="00665165" w:rsidRPr="00925F26" w:rsidRDefault="00665165" w:rsidP="00925F26">
      <w:pPr>
        <w:autoSpaceDE w:val="0"/>
        <w:autoSpaceDN w:val="0"/>
        <w:adjustRightInd w:val="0"/>
        <w:jc w:val="both"/>
        <w:rPr>
          <w:color w:val="000000" w:themeColor="text1"/>
          <w:sz w:val="16"/>
          <w:szCs w:val="16"/>
        </w:rPr>
      </w:pPr>
    </w:p>
    <w:p w14:paraId="5D8D8A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немцы сдались в окруженном Руре (1050).</w:t>
      </w:r>
    </w:p>
    <w:p w14:paraId="19FA5ABB" w14:textId="77777777" w:rsidR="00665165" w:rsidRPr="00925F26" w:rsidRDefault="00665165" w:rsidP="00925F26">
      <w:pPr>
        <w:autoSpaceDE w:val="0"/>
        <w:autoSpaceDN w:val="0"/>
        <w:adjustRightInd w:val="0"/>
        <w:jc w:val="both"/>
        <w:rPr>
          <w:color w:val="000000" w:themeColor="text1"/>
          <w:sz w:val="16"/>
          <w:szCs w:val="16"/>
        </w:rPr>
      </w:pPr>
    </w:p>
    <w:p w14:paraId="347779DF" w14:textId="77777777" w:rsidR="0053208B" w:rsidRPr="00925F26" w:rsidRDefault="0053208B" w:rsidP="00925F26">
      <w:pPr>
        <w:jc w:val="both"/>
        <w:rPr>
          <w:color w:val="000000" w:themeColor="text1"/>
          <w:sz w:val="16"/>
          <w:szCs w:val="16"/>
        </w:rPr>
      </w:pPr>
      <w:r w:rsidRPr="00925F26">
        <w:rPr>
          <w:color w:val="000000" w:themeColor="text1"/>
          <w:sz w:val="16"/>
          <w:szCs w:val="16"/>
        </w:rPr>
        <w:t>18 апреля в 1945 году остатки 5-й танковой армии и 15-й армии группы армий B, окружённые в Рурском промышленном районе, сдались союзникам (15103).</w:t>
      </w:r>
    </w:p>
    <w:p w14:paraId="668B33DB" w14:textId="77777777" w:rsidR="0053208B" w:rsidRPr="00925F26" w:rsidRDefault="0053208B" w:rsidP="00925F26">
      <w:pPr>
        <w:jc w:val="both"/>
        <w:rPr>
          <w:color w:val="000000" w:themeColor="text1"/>
          <w:sz w:val="16"/>
          <w:szCs w:val="16"/>
        </w:rPr>
      </w:pPr>
    </w:p>
    <w:p w14:paraId="05513C3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18th, 1945: The British Second Army captures Ulzen and Luneburg. The US Third Army captures Nurnberg and advances into Bohemia. In the East, the Soviet 1st Ukrainian Front captures Forst on the </w:t>
      </w:r>
      <w:proofErr w:type="gramStart"/>
      <w:r w:rsidRPr="00925F26">
        <w:rPr>
          <w:color w:val="000000" w:themeColor="text1"/>
          <w:sz w:val="16"/>
          <w:szCs w:val="16"/>
          <w:lang w:val="en-US"/>
        </w:rPr>
        <w:t>Neisse river</w:t>
      </w:r>
      <w:proofErr w:type="gramEnd"/>
      <w:r w:rsidRPr="00925F26">
        <w:rPr>
          <w:color w:val="000000" w:themeColor="text1"/>
          <w:sz w:val="16"/>
          <w:szCs w:val="16"/>
          <w:lang w:val="en-US"/>
        </w:rPr>
        <w:t>. North of Frankfurt, the Soviet 1st Belorussian Front continues its attack to take the Seelow Heights, gradually wearing down the outnumbered German defenders (3819).</w:t>
      </w:r>
    </w:p>
    <w:p w14:paraId="187FD3CA" w14:textId="77777777" w:rsidR="00665165" w:rsidRPr="00925F26" w:rsidRDefault="00665165" w:rsidP="00925F26">
      <w:pPr>
        <w:autoSpaceDE w:val="0"/>
        <w:autoSpaceDN w:val="0"/>
        <w:adjustRightInd w:val="0"/>
        <w:jc w:val="both"/>
        <w:rPr>
          <w:color w:val="000000" w:themeColor="text1"/>
          <w:sz w:val="16"/>
          <w:szCs w:val="16"/>
          <w:lang w:val="en-US"/>
        </w:rPr>
      </w:pPr>
    </w:p>
    <w:p w14:paraId="7AEC9C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апреля 1945 британская 2А заняла Улцен и Люнебург. 3А США захватила Нюрнберг и продвинулась к Богемии. 1УФ занял Форст на Нейсе. На север от Франкфурта 1БФ продолжил атаки на Зееловских высотах (3819).</w:t>
      </w:r>
    </w:p>
    <w:p w14:paraId="6241F227" w14:textId="77777777" w:rsidR="00665165" w:rsidRPr="00925F26" w:rsidRDefault="00665165" w:rsidP="00925F26">
      <w:pPr>
        <w:autoSpaceDE w:val="0"/>
        <w:autoSpaceDN w:val="0"/>
        <w:adjustRightInd w:val="0"/>
        <w:jc w:val="both"/>
        <w:rPr>
          <w:color w:val="000000" w:themeColor="text1"/>
          <w:sz w:val="16"/>
          <w:szCs w:val="16"/>
        </w:rPr>
      </w:pPr>
    </w:p>
    <w:p w14:paraId="16F3B36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апреля 1945 Геббельс сжег все документы своей канцелярии (4962).</w:t>
      </w:r>
    </w:p>
    <w:p w14:paraId="1E35A20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A96925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D7896E7" w14:textId="77777777" w:rsidR="00665165" w:rsidRPr="00925F26" w:rsidRDefault="00665165" w:rsidP="00925F26">
      <w:pPr>
        <w:autoSpaceDE w:val="0"/>
        <w:autoSpaceDN w:val="0"/>
        <w:adjustRightInd w:val="0"/>
        <w:jc w:val="both"/>
        <w:rPr>
          <w:iCs/>
          <w:color w:val="000000" w:themeColor="text1"/>
          <w:sz w:val="16"/>
          <w:szCs w:val="16"/>
        </w:rPr>
      </w:pPr>
    </w:p>
    <w:p w14:paraId="2641F576" w14:textId="77777777" w:rsidR="0032140A" w:rsidRPr="00925F26" w:rsidRDefault="0032140A" w:rsidP="00925F26">
      <w:pPr>
        <w:jc w:val="both"/>
        <w:rPr>
          <w:color w:val="000000" w:themeColor="text1"/>
          <w:sz w:val="16"/>
          <w:szCs w:val="16"/>
        </w:rPr>
      </w:pPr>
      <w:r w:rsidRPr="00925F26">
        <w:rPr>
          <w:color w:val="000000" w:themeColor="text1"/>
          <w:sz w:val="16"/>
          <w:szCs w:val="16"/>
        </w:rPr>
        <w:t>19 апреля 1945 г. состоялось техническое совещание по вопросу примене</w:t>
      </w:r>
      <w:r w:rsidRPr="00925F26">
        <w:rPr>
          <w:color w:val="000000" w:themeColor="text1"/>
          <w:sz w:val="16"/>
          <w:szCs w:val="16"/>
        </w:rPr>
        <w:softHyphen/>
        <w:t>ния стали ХД-693 толщиной 8 мм в гомогенном варианте.</w:t>
      </w:r>
    </w:p>
    <w:p w14:paraId="4B7265AA" w14:textId="77777777" w:rsidR="0032140A" w:rsidRPr="00925F26" w:rsidRDefault="0032140A"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eastAsia="Calibri" w:hAnsi="Times New Roman" w:cs="Times New Roman"/>
          <w:i w:val="0"/>
          <w:color w:val="000000" w:themeColor="text1"/>
          <w:sz w:val="16"/>
          <w:szCs w:val="16"/>
        </w:rPr>
        <w:t>Констатировалось, что сталь КП-2,</w:t>
      </w:r>
      <w:r w:rsidRPr="00925F26">
        <w:rPr>
          <w:rFonts w:ascii="Times New Roman" w:cs="Times New Roman"/>
          <w:color w:val="000000" w:themeColor="text1"/>
          <w:sz w:val="16"/>
          <w:szCs w:val="16"/>
        </w:rPr>
        <w:t xml:space="preserve"> «специ</w:t>
      </w:r>
      <w:r w:rsidRPr="00925F26">
        <w:rPr>
          <w:rFonts w:ascii="Times New Roman" w:cs="Times New Roman"/>
          <w:color w:val="000000" w:themeColor="text1"/>
          <w:sz w:val="16"/>
          <w:szCs w:val="16"/>
        </w:rPr>
        <w:softHyphen/>
        <w:t>ально рассчитанная на противодействие пуль калибра 7,62-7,92 мм»,</w:t>
      </w:r>
      <w:r w:rsidRPr="00925F26">
        <w:rPr>
          <w:rStyle w:val="4e"/>
          <w:rFonts w:ascii="Times New Roman" w:eastAsia="Calibri" w:hAnsi="Times New Roman" w:cs="Times New Roman"/>
          <w:i w:val="0"/>
          <w:color w:val="000000" w:themeColor="text1"/>
          <w:sz w:val="16"/>
          <w:szCs w:val="16"/>
        </w:rPr>
        <w:t xml:space="preserve"> не удовлетворяет по стойкости против пуль крупного калибра и ма</w:t>
      </w:r>
      <w:r w:rsidRPr="00925F26">
        <w:rPr>
          <w:rStyle w:val="4e"/>
          <w:rFonts w:ascii="Times New Roman" w:eastAsia="Calibri" w:hAnsi="Times New Roman" w:cs="Times New Roman"/>
          <w:i w:val="0"/>
          <w:color w:val="000000" w:themeColor="text1"/>
          <w:sz w:val="16"/>
          <w:szCs w:val="16"/>
        </w:rPr>
        <w:softHyphen/>
        <w:t>локалиберных снарядов авиационных пушек и зенитных автоматов. Поэтому считалось необ</w:t>
      </w:r>
      <w:r w:rsidRPr="00925F26">
        <w:rPr>
          <w:rStyle w:val="4e"/>
          <w:rFonts w:ascii="Times New Roman" w:eastAsia="Calibri" w:hAnsi="Times New Roman" w:cs="Times New Roman"/>
          <w:i w:val="0"/>
          <w:color w:val="000000" w:themeColor="text1"/>
          <w:sz w:val="16"/>
          <w:szCs w:val="16"/>
        </w:rPr>
        <w:softHyphen/>
        <w:t>ходимым незамедлительно начать</w:t>
      </w:r>
      <w:r w:rsidRPr="00925F26">
        <w:rPr>
          <w:rFonts w:ascii="Times New Roman" w:cs="Times New Roman"/>
          <w:color w:val="000000" w:themeColor="text1"/>
          <w:sz w:val="16"/>
          <w:szCs w:val="16"/>
        </w:rPr>
        <w:t xml:space="preserve"> «разработку оптимального химсостава броневой стали и технологии термической обработки бронеде</w:t>
      </w:r>
      <w:r w:rsidRPr="00925F26">
        <w:rPr>
          <w:rFonts w:ascii="Times New Roman" w:cs="Times New Roman"/>
          <w:color w:val="000000" w:themeColor="text1"/>
          <w:sz w:val="16"/>
          <w:szCs w:val="16"/>
        </w:rPr>
        <w:softHyphen/>
        <w:t>талей, специально рассчитанных на противо</w:t>
      </w:r>
      <w:r w:rsidRPr="00925F26">
        <w:rPr>
          <w:rFonts w:ascii="Times New Roman" w:cs="Times New Roman"/>
          <w:color w:val="000000" w:themeColor="text1"/>
          <w:sz w:val="16"/>
          <w:szCs w:val="16"/>
        </w:rPr>
        <w:softHyphen/>
        <w:t>действие калибрам 12,7 мм и более, с предъ</w:t>
      </w:r>
      <w:r w:rsidRPr="00925F26">
        <w:rPr>
          <w:rFonts w:ascii="Times New Roman" w:cs="Times New Roman"/>
          <w:color w:val="000000" w:themeColor="text1"/>
          <w:sz w:val="16"/>
          <w:szCs w:val="16"/>
        </w:rPr>
        <w:softHyphen/>
        <w:t>явлением ее на госиспытания в 3-м кв. с.г.» (17479).</w:t>
      </w:r>
    </w:p>
    <w:p w14:paraId="7EB314A1" w14:textId="77777777" w:rsidR="0032140A" w:rsidRPr="00925F26" w:rsidRDefault="0032140A" w:rsidP="00925F26">
      <w:pPr>
        <w:pStyle w:val="45"/>
        <w:shd w:val="clear" w:color="auto" w:fill="auto"/>
        <w:spacing w:before="0" w:line="240" w:lineRule="auto"/>
        <w:jc w:val="both"/>
        <w:rPr>
          <w:rFonts w:ascii="Times New Roman" w:cs="Times New Roman"/>
          <w:color w:val="000000" w:themeColor="text1"/>
          <w:sz w:val="16"/>
          <w:szCs w:val="16"/>
        </w:rPr>
      </w:pPr>
    </w:p>
    <w:p w14:paraId="372B57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продолжились и проходили до 27 апреля 1945 гос. испытания серийного Як-3 ПФ-2 N 2229 292 завода, выпущенного в ноябре 1944, которые начались с 10 апреля 1945 (805,5).</w:t>
      </w:r>
    </w:p>
    <w:p w14:paraId="14CBA2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6329E5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Ви стт-л В.П.Белодеденко</w:t>
      </w:r>
    </w:p>
    <w:p w14:paraId="5968A7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вли к Мванов</w:t>
      </w:r>
    </w:p>
    <w:p w14:paraId="1EF180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31E06C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макс. скорость на 15-19 км/час меньше установленной постановлением ГОКО от 26 октября 1943</w:t>
      </w:r>
    </w:p>
    <w:p w14:paraId="09A552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объем б/б был на 22 л меньше, чем у с-та Як-1 М “дублер”</w:t>
      </w:r>
    </w:p>
    <w:p w14:paraId="265AD9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мала дальность р/передатчика (45 км)</w:t>
      </w:r>
    </w:p>
    <w:p w14:paraId="065259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2031C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3201C2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Як-3 № 22-29 с ПФ-2 контрольные испытания прошел неудовлетворительно.</w:t>
      </w:r>
    </w:p>
    <w:p w14:paraId="088A1D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нем не устранены следующие основаные дефекты, выявленные </w:t>
      </w:r>
      <w:proofErr w:type="gramStart"/>
      <w:r w:rsidRPr="00925F26">
        <w:rPr>
          <w:color w:val="000000" w:themeColor="text1"/>
          <w:sz w:val="16"/>
          <w:szCs w:val="16"/>
        </w:rPr>
        <w:t>при испытаниях</w:t>
      </w:r>
      <w:proofErr w:type="gramEnd"/>
      <w:r w:rsidRPr="00925F26">
        <w:rPr>
          <w:color w:val="000000" w:themeColor="text1"/>
          <w:sz w:val="16"/>
          <w:szCs w:val="16"/>
        </w:rPr>
        <w:t xml:space="preserve"> с-та № 11-12:</w:t>
      </w:r>
    </w:p>
    <w:p w14:paraId="35972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0269D1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максимальная дальность радиопередачи (60 км)</w:t>
      </w:r>
    </w:p>
    <w:p w14:paraId="308DC6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мала емкость б/б (360 л против 372 л у опытного Як-1М “дублер”</w:t>
      </w:r>
    </w:p>
    <w:p w14:paraId="49FDD6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- 3 мая 1945, Лосюков - 4 мая 1945</w:t>
      </w:r>
    </w:p>
    <w:p w14:paraId="2A0CDC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925F26" w14:paraId="37FC6917" w14:textId="77777777">
        <w:tc>
          <w:tcPr>
            <w:tcW w:w="3369" w:type="dxa"/>
            <w:tcBorders>
              <w:top w:val="single" w:sz="12" w:space="0" w:color="auto"/>
            </w:tcBorders>
          </w:tcPr>
          <w:p w14:paraId="4A814C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1961" w:type="dxa"/>
            <w:tcBorders>
              <w:top w:val="single" w:sz="12" w:space="0" w:color="auto"/>
            </w:tcBorders>
          </w:tcPr>
          <w:p w14:paraId="5D5C97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4420A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34A94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5CE0D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постановлению ГОКО от 26 октября 1943</w:t>
            </w:r>
          </w:p>
        </w:tc>
      </w:tr>
      <w:tr w:rsidR="000F5689" w:rsidRPr="00925F26" w14:paraId="70178449" w14:textId="77777777">
        <w:tc>
          <w:tcPr>
            <w:tcW w:w="3369" w:type="dxa"/>
          </w:tcPr>
          <w:p w14:paraId="695856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1961" w:type="dxa"/>
          </w:tcPr>
          <w:p w14:paraId="7CFEEA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961" w:type="dxa"/>
          </w:tcPr>
          <w:p w14:paraId="5A807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2675</w:t>
            </w:r>
          </w:p>
        </w:tc>
        <w:tc>
          <w:tcPr>
            <w:tcW w:w="1961" w:type="dxa"/>
          </w:tcPr>
          <w:p w14:paraId="0EB94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w:t>
            </w:r>
          </w:p>
        </w:tc>
        <w:tc>
          <w:tcPr>
            <w:tcW w:w="1961" w:type="dxa"/>
          </w:tcPr>
          <w:p w14:paraId="754EEE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2670</w:t>
            </w:r>
          </w:p>
        </w:tc>
      </w:tr>
      <w:tr w:rsidR="000F5689" w:rsidRPr="00925F26" w14:paraId="1BDE07B1" w14:textId="77777777">
        <w:tc>
          <w:tcPr>
            <w:tcW w:w="3369" w:type="dxa"/>
          </w:tcPr>
          <w:p w14:paraId="513ADF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w:t>
            </w:r>
          </w:p>
        </w:tc>
        <w:tc>
          <w:tcPr>
            <w:tcW w:w="1961" w:type="dxa"/>
          </w:tcPr>
          <w:p w14:paraId="5AA7A7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961" w:type="dxa"/>
          </w:tcPr>
          <w:p w14:paraId="6CD14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w:t>
            </w:r>
          </w:p>
        </w:tc>
        <w:tc>
          <w:tcPr>
            <w:tcW w:w="1961" w:type="dxa"/>
          </w:tcPr>
          <w:p w14:paraId="3418F7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w:t>
            </w:r>
          </w:p>
        </w:tc>
        <w:tc>
          <w:tcPr>
            <w:tcW w:w="1961" w:type="dxa"/>
          </w:tcPr>
          <w:p w14:paraId="3CE442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r>
      <w:tr w:rsidR="000F5689" w:rsidRPr="00925F26" w14:paraId="2D719C15" w14:textId="77777777">
        <w:tc>
          <w:tcPr>
            <w:tcW w:w="3369" w:type="dxa"/>
          </w:tcPr>
          <w:p w14:paraId="2FD9D0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1-й границе высотности</w:t>
            </w:r>
          </w:p>
        </w:tc>
        <w:tc>
          <w:tcPr>
            <w:tcW w:w="1961" w:type="dxa"/>
          </w:tcPr>
          <w:p w14:paraId="52308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613/2100</w:t>
            </w:r>
          </w:p>
        </w:tc>
        <w:tc>
          <w:tcPr>
            <w:tcW w:w="1961" w:type="dxa"/>
          </w:tcPr>
          <w:p w14:paraId="2A1EF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610/2200</w:t>
            </w:r>
          </w:p>
        </w:tc>
        <w:tc>
          <w:tcPr>
            <w:tcW w:w="1961" w:type="dxa"/>
          </w:tcPr>
          <w:p w14:paraId="01794C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610/1600</w:t>
            </w:r>
          </w:p>
        </w:tc>
        <w:tc>
          <w:tcPr>
            <w:tcW w:w="1961" w:type="dxa"/>
          </w:tcPr>
          <w:p w14:paraId="25724F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2CDD4C1" w14:textId="77777777">
        <w:tc>
          <w:tcPr>
            <w:tcW w:w="3369" w:type="dxa"/>
          </w:tcPr>
          <w:p w14:paraId="7A7D9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границе высотности</w:t>
            </w:r>
          </w:p>
        </w:tc>
        <w:tc>
          <w:tcPr>
            <w:tcW w:w="1961" w:type="dxa"/>
          </w:tcPr>
          <w:p w14:paraId="3EAB6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639/4150</w:t>
            </w:r>
          </w:p>
        </w:tc>
        <w:tc>
          <w:tcPr>
            <w:tcW w:w="1961" w:type="dxa"/>
          </w:tcPr>
          <w:p w14:paraId="503857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631/4200</w:t>
            </w:r>
          </w:p>
        </w:tc>
        <w:tc>
          <w:tcPr>
            <w:tcW w:w="1961" w:type="dxa"/>
          </w:tcPr>
          <w:p w14:paraId="1C717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642/3750</w:t>
            </w:r>
          </w:p>
        </w:tc>
        <w:tc>
          <w:tcPr>
            <w:tcW w:w="1961" w:type="dxa"/>
          </w:tcPr>
          <w:p w14:paraId="48F890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r>
      <w:tr w:rsidR="000F5689" w:rsidRPr="00925F26" w14:paraId="19CC5752" w14:textId="77777777">
        <w:tc>
          <w:tcPr>
            <w:tcW w:w="3369" w:type="dxa"/>
            <w:tcBorders>
              <w:bottom w:val="single" w:sz="12" w:space="0" w:color="auto"/>
            </w:tcBorders>
          </w:tcPr>
          <w:p w14:paraId="2D67A2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w:t>
            </w:r>
          </w:p>
        </w:tc>
        <w:tc>
          <w:tcPr>
            <w:tcW w:w="1961" w:type="dxa"/>
            <w:tcBorders>
              <w:bottom w:val="single" w:sz="12" w:space="0" w:color="auto"/>
            </w:tcBorders>
          </w:tcPr>
          <w:p w14:paraId="7BD92B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961" w:type="dxa"/>
            <w:tcBorders>
              <w:bottom w:val="single" w:sz="12" w:space="0" w:color="auto"/>
            </w:tcBorders>
          </w:tcPr>
          <w:p w14:paraId="55569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961" w:type="dxa"/>
            <w:tcBorders>
              <w:bottom w:val="single" w:sz="12" w:space="0" w:color="auto"/>
            </w:tcBorders>
          </w:tcPr>
          <w:p w14:paraId="76551B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961" w:type="dxa"/>
            <w:tcBorders>
              <w:bottom w:val="single" w:sz="12" w:space="0" w:color="auto"/>
            </w:tcBorders>
          </w:tcPr>
          <w:p w14:paraId="3A0981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bl>
    <w:p w14:paraId="4F3EB6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1хТМА-2- ШВАК и 2хБС синхр.</w:t>
      </w:r>
    </w:p>
    <w:p w14:paraId="33DF26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серийного с-та № 11-12, проходившего КИ в сентябре 1944 имеет следующие основные отличия:</w:t>
      </w:r>
    </w:p>
    <w:p w14:paraId="12DF58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планеру</w:t>
      </w:r>
    </w:p>
    <w:p w14:paraId="1D5855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проведены мероприятия по улучшению аэродинамики с-та</w:t>
      </w:r>
    </w:p>
    <w:p w14:paraId="60E1A6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уменьшены щели между крылом и элеронами, между килем и РП и между стабилизатором и РВ</w:t>
      </w:r>
    </w:p>
    <w:p w14:paraId="4BBB23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уменьшены вырезы под кронштейны элеронов и рулей</w:t>
      </w:r>
    </w:p>
    <w:p w14:paraId="6552A4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улучшена герметичность с-та</w:t>
      </w:r>
    </w:p>
    <w:p w14:paraId="2E7E2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поставлены замки на центральные щитки шасси</w:t>
      </w:r>
    </w:p>
    <w:p w14:paraId="395010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повышена прочность крыла:</w:t>
      </w:r>
    </w:p>
    <w:p w14:paraId="4F96BF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увеличена вдвое площадь склейки средней части нервюр 8, 9, 10, 11, 14, 16, 18 с верхней обшивкой</w:t>
      </w:r>
    </w:p>
    <w:p w14:paraId="654004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63ED1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средняя часть и шпон лобовой части обшивки приклеены клеем ВИАМ-Б-3</w:t>
      </w:r>
    </w:p>
    <w:p w14:paraId="1AC23F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 ВМГ - установлено приспособление для газового запуска мотора...</w:t>
      </w:r>
    </w:p>
    <w:p w14:paraId="28F923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 - вместо передатчика РСИ-3 установлен РСИ-3М-1...</w:t>
      </w:r>
    </w:p>
    <w:p w14:paraId="78D1AA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1E933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10744E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выполнено 20 полетов с общим налетом 12:16</w:t>
      </w:r>
    </w:p>
    <w:p w14:paraId="58ED3F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2146 при нормальном полетном 2710. Ц/т 24,7%</w:t>
      </w:r>
    </w:p>
    <w:p w14:paraId="209AE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- 90</w:t>
      </w:r>
    </w:p>
    <w:p w14:paraId="7262DC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- 360 л (уд. Вес 0,741) - 267 кг</w:t>
      </w:r>
    </w:p>
    <w:p w14:paraId="55B8B5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- 95,5</w:t>
      </w:r>
    </w:p>
    <w:p w14:paraId="2A1357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боезапас - 77,5</w:t>
      </w:r>
    </w:p>
    <w:p w14:paraId="42FE8C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- 14</w:t>
      </w:r>
    </w:p>
    <w:p w14:paraId="3A73E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564 кг</w:t>
      </w:r>
    </w:p>
    <w:p w14:paraId="0BED99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3534E1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Перечень дефектов и конструктивных недостатков, выявленных при испытаниях:</w:t>
      </w:r>
    </w:p>
    <w:p w14:paraId="48CCC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отсос щитков шасси при полете на повышенной скорости</w:t>
      </w:r>
    </w:p>
    <w:p w14:paraId="728437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отставание обшивки в нижней части конца фюзеляжа, отставание обшивки киля</w:t>
      </w:r>
    </w:p>
    <w:p w14:paraId="5547A2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искажения сферического козырька кабины фонаря, видемость через него неудовлетворительна</w:t>
      </w:r>
    </w:p>
    <w:p w14:paraId="383BBB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велики усилия на ручке элеронов и РВ, малая эффективность триммер РВ</w:t>
      </w:r>
    </w:p>
    <w:p w14:paraId="6695F5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22007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Механические бензомеры непригодны для расхода горючего.</w:t>
      </w:r>
    </w:p>
    <w:p w14:paraId="081D45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Радиосвязь на землю с высоты 1000 м - 60 км</w:t>
      </w:r>
    </w:p>
    <w:p w14:paraId="6612A8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74DE67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Вентиляция кабины эффективна</w:t>
      </w:r>
    </w:p>
    <w:p w14:paraId="13341F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огнем пушки и пулеметов - удачное</w:t>
      </w:r>
    </w:p>
    <w:p w14:paraId="51B92C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7E172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Иванов - подписал 30 апреля 1945</w:t>
      </w:r>
    </w:p>
    <w:p w14:paraId="2EECA7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Прошаков, Хомяков, Седов, Антипов, Кувшинов - подписали 30 апреля 1945 (805,5).</w:t>
      </w:r>
    </w:p>
    <w:p w14:paraId="47E8C461" w14:textId="77777777" w:rsidR="00665165" w:rsidRPr="00925F26" w:rsidRDefault="00665165" w:rsidP="00925F26">
      <w:pPr>
        <w:autoSpaceDE w:val="0"/>
        <w:autoSpaceDN w:val="0"/>
        <w:adjustRightInd w:val="0"/>
        <w:jc w:val="both"/>
        <w:rPr>
          <w:color w:val="000000" w:themeColor="text1"/>
          <w:sz w:val="16"/>
          <w:szCs w:val="16"/>
        </w:rPr>
      </w:pPr>
    </w:p>
    <w:p w14:paraId="47C289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ГОКО № 8206 “Об организации в системе НКБ КБ и опытного завода по РС (8633,10).</w:t>
      </w:r>
    </w:p>
    <w:p w14:paraId="0D2B02F6" w14:textId="77777777" w:rsidR="00665165" w:rsidRPr="00925F26" w:rsidRDefault="00665165" w:rsidP="00925F26">
      <w:pPr>
        <w:autoSpaceDE w:val="0"/>
        <w:autoSpaceDN w:val="0"/>
        <w:adjustRightInd w:val="0"/>
        <w:jc w:val="both"/>
        <w:rPr>
          <w:color w:val="000000" w:themeColor="text1"/>
          <w:sz w:val="16"/>
          <w:szCs w:val="16"/>
        </w:rPr>
      </w:pPr>
    </w:p>
    <w:p w14:paraId="461D4F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апреля 1945 г. Верховный Главнокомандующий И.В. Сталин под</w:t>
      </w:r>
      <w:r w:rsidRPr="00925F26">
        <w:rPr>
          <w:color w:val="000000" w:themeColor="text1"/>
          <w:sz w:val="16"/>
          <w:szCs w:val="16"/>
        </w:rPr>
        <w:softHyphen/>
        <w:t>писал Постановление ГКО №8206 «О создании в системе Нар</w:t>
      </w:r>
      <w:r w:rsidRPr="00925F26">
        <w:rPr>
          <w:color w:val="000000" w:themeColor="text1"/>
          <w:sz w:val="16"/>
          <w:szCs w:val="16"/>
        </w:rPr>
        <w:softHyphen/>
        <w:t>комата боеприпасов Государственного центрального конструкторского бюро по ракетным снарядам (ГЦКБ №1)». За ГЦКБ-1 с опытным заводом, созданным по приказу НКБ СССР от 21 апреля 1945 г. за №158, закреплялась тематика по боеприпасам: специальным реактив</w:t>
      </w:r>
      <w:r w:rsidRPr="00925F26">
        <w:rPr>
          <w:color w:val="000000" w:themeColor="text1"/>
          <w:sz w:val="16"/>
          <w:szCs w:val="16"/>
        </w:rPr>
        <w:softHyphen/>
        <w:t>ным снарядам, осколочно-реактивным, бронебойным, зенитным, авиационным снарядам. Предписывалось организо</w:t>
      </w:r>
      <w:r w:rsidRPr="00925F26">
        <w:rPr>
          <w:color w:val="000000" w:themeColor="text1"/>
          <w:sz w:val="16"/>
          <w:szCs w:val="16"/>
        </w:rPr>
        <w:softHyphen/>
        <w:t>вать КБ в нереально короткие сроки — всего за две недели! Уже 29 апреля Б.Л. Ванников своим приказом № 169 раз</w:t>
      </w:r>
      <w:r w:rsidRPr="00925F26">
        <w:rPr>
          <w:color w:val="000000" w:themeColor="text1"/>
          <w:sz w:val="16"/>
          <w:szCs w:val="16"/>
        </w:rPr>
        <w:softHyphen/>
        <w:t>местил новую организацию в корпусе №5 на территории завода №67. Возгла</w:t>
      </w:r>
      <w:r w:rsidRPr="00925F26">
        <w:rPr>
          <w:color w:val="000000" w:themeColor="text1"/>
          <w:sz w:val="16"/>
          <w:szCs w:val="16"/>
        </w:rPr>
        <w:softHyphen/>
        <w:t>вил ГЦКБ-1 Н.И. Крупное, бывший до этого главным технологом ГСКБ-47 НКБ. В задачи ГЦКБ-1, определенные в его уставе,утвержденном Юмая 1945 г.,вхо</w:t>
      </w:r>
      <w:r w:rsidRPr="00925F26">
        <w:rPr>
          <w:color w:val="000000" w:themeColor="text1"/>
          <w:sz w:val="16"/>
          <w:szCs w:val="16"/>
        </w:rPr>
        <w:softHyphen/>
        <w:t>дили проведение исследовательских ра</w:t>
      </w:r>
      <w:r w:rsidRPr="00925F26">
        <w:rPr>
          <w:color w:val="000000" w:themeColor="text1"/>
          <w:sz w:val="16"/>
          <w:szCs w:val="16"/>
        </w:rPr>
        <w:softHyphen/>
        <w:t>бот и разработка новых с улучшенными боевыми свойствами находящихся на вооружении «специальных боеприпасов согласно утвержденной НКБ номенкла</w:t>
      </w:r>
      <w:r w:rsidRPr="00925F26">
        <w:rPr>
          <w:color w:val="000000" w:themeColor="text1"/>
          <w:sz w:val="16"/>
          <w:szCs w:val="16"/>
        </w:rPr>
        <w:softHyphen/>
        <w:t>туре» и оказание технической помощи «заводам СССР в освоении и отработке технологических процессов выпускае</w:t>
      </w:r>
      <w:r w:rsidRPr="00925F26">
        <w:rPr>
          <w:color w:val="000000" w:themeColor="text1"/>
          <w:sz w:val="16"/>
          <w:szCs w:val="16"/>
        </w:rPr>
        <w:softHyphen/>
        <w:t>мой заводами продукции данного вида» (11089).</w:t>
      </w:r>
    </w:p>
    <w:p w14:paraId="6D6E0A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ГЦКБ-1, не имея определенной пла</w:t>
      </w:r>
      <w:r w:rsidRPr="00925F26">
        <w:rPr>
          <w:color w:val="000000" w:themeColor="text1"/>
          <w:sz w:val="16"/>
          <w:szCs w:val="16"/>
        </w:rPr>
        <w:softHyphen/>
        <w:t>новой тематики, выполняло работы ис</w:t>
      </w:r>
      <w:r w:rsidRPr="00925F26">
        <w:rPr>
          <w:color w:val="000000" w:themeColor="text1"/>
          <w:sz w:val="16"/>
          <w:szCs w:val="16"/>
        </w:rPr>
        <w:softHyphen/>
        <w:t>ключительно по собственной инициати</w:t>
      </w:r>
      <w:r w:rsidRPr="00925F26">
        <w:rPr>
          <w:color w:val="000000" w:themeColor="text1"/>
          <w:sz w:val="16"/>
          <w:szCs w:val="16"/>
        </w:rPr>
        <w:softHyphen/>
        <w:t>ве. В частности, в 1945 г. по проекту ТТТ ГАУ началось создание дальнобойного порохового реактивного снаряда даль</w:t>
      </w:r>
      <w:r w:rsidRPr="00925F26">
        <w:rPr>
          <w:color w:val="000000" w:themeColor="text1"/>
          <w:sz w:val="16"/>
          <w:szCs w:val="16"/>
        </w:rPr>
        <w:softHyphen/>
        <w:t>ностью 20—25 км. Предполагалось раз</w:t>
      </w:r>
      <w:r w:rsidRPr="00925F26">
        <w:rPr>
          <w:color w:val="000000" w:themeColor="text1"/>
          <w:sz w:val="16"/>
          <w:szCs w:val="16"/>
        </w:rPr>
        <w:softHyphen/>
        <w:t>работать простую, технологичную кон</w:t>
      </w:r>
      <w:r w:rsidRPr="00925F26">
        <w:rPr>
          <w:color w:val="000000" w:themeColor="text1"/>
          <w:sz w:val="16"/>
          <w:szCs w:val="16"/>
        </w:rPr>
        <w:softHyphen/>
        <w:t>струкцию, технологию изготовления порохового заряда необходимых разме</w:t>
      </w:r>
      <w:r w:rsidRPr="00925F26">
        <w:rPr>
          <w:color w:val="000000" w:themeColor="text1"/>
          <w:sz w:val="16"/>
          <w:szCs w:val="16"/>
        </w:rPr>
        <w:softHyphen/>
        <w:t>ров, провести теоретические исследова</w:t>
      </w:r>
      <w:r w:rsidRPr="00925F26">
        <w:rPr>
          <w:color w:val="000000" w:themeColor="text1"/>
          <w:sz w:val="16"/>
          <w:szCs w:val="16"/>
        </w:rPr>
        <w:softHyphen/>
        <w:t>ния внешнебаллистических параметров и пр. Однако собственного опыта в ре</w:t>
      </w:r>
      <w:r w:rsidRPr="00925F26">
        <w:rPr>
          <w:color w:val="000000" w:themeColor="text1"/>
          <w:sz w:val="16"/>
          <w:szCs w:val="16"/>
        </w:rPr>
        <w:softHyphen/>
        <w:t>шении этих проблем не имелось. В этой связи возникла потребность в изучении имевшегося мирового опыта (11089).</w:t>
      </w:r>
    </w:p>
    <w:p w14:paraId="31A4F2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FF1FD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19 апреля 1945 вышло постановление ГОКО N 8155с о демонтаже и вывозе оборудования с моторно-сборочного завода Флюг-Моторен Верке Остмарк в г. Вене на завод 36 в Рыбинске, авиамоторных деталей Штейер Даймлер Пух Швейхотте в Вене на 36 в Рыбинске, авиаприборов фирмы Норма в Вене на 122 в Москве, остатков самолетно-сборочного завода Винер Нойштадт на 135 в Харьков, двух подземных заводов фирмы Хейнкель в районе Вены на 456 в Москве (1874,11).</w:t>
      </w:r>
    </w:p>
    <w:p w14:paraId="218D4D94" w14:textId="77777777" w:rsidR="00665165" w:rsidRPr="00925F26" w:rsidRDefault="00665165" w:rsidP="00925F26">
      <w:pPr>
        <w:autoSpaceDE w:val="0"/>
        <w:autoSpaceDN w:val="0"/>
        <w:adjustRightInd w:val="0"/>
        <w:jc w:val="both"/>
        <w:rPr>
          <w:color w:val="000000" w:themeColor="text1"/>
          <w:sz w:val="16"/>
          <w:szCs w:val="16"/>
        </w:rPr>
      </w:pPr>
    </w:p>
    <w:p w14:paraId="44E5EB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ГОКО N 8158с о демонтаже и вывозе оборудования с моторно-сборочного завода Радио Верке в г. Вена на 287 в Ленинграде (1874,11).</w:t>
      </w:r>
    </w:p>
    <w:p w14:paraId="438D3031" w14:textId="77777777" w:rsidR="00665165" w:rsidRPr="00925F26" w:rsidRDefault="00665165" w:rsidP="00925F26">
      <w:pPr>
        <w:autoSpaceDE w:val="0"/>
        <w:autoSpaceDN w:val="0"/>
        <w:adjustRightInd w:val="0"/>
        <w:jc w:val="both"/>
        <w:rPr>
          <w:color w:val="000000" w:themeColor="text1"/>
          <w:sz w:val="16"/>
          <w:szCs w:val="16"/>
        </w:rPr>
      </w:pPr>
    </w:p>
    <w:p w14:paraId="1A7EA4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8158 О вывозе оборудования и материалов с завода "Радио-Верк" в г. Вена (Австрия) на завод № 287 на завод № 287 Наркомавиапрома. РГАНИР, Фонд ГКО, д. 401, лл. 67-68 (11012).</w:t>
      </w:r>
    </w:p>
    <w:p w14:paraId="076D9DDB" w14:textId="77777777" w:rsidR="00665165" w:rsidRPr="00925F26" w:rsidRDefault="00665165" w:rsidP="00925F26">
      <w:pPr>
        <w:autoSpaceDE w:val="0"/>
        <w:autoSpaceDN w:val="0"/>
        <w:adjustRightInd w:val="0"/>
        <w:jc w:val="both"/>
        <w:rPr>
          <w:color w:val="000000" w:themeColor="text1"/>
          <w:sz w:val="16"/>
          <w:szCs w:val="16"/>
        </w:rPr>
      </w:pPr>
    </w:p>
    <w:p w14:paraId="134D9A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ГОКО N 8162с о демонтаже и вывозе оборудования с завода фирмы Петер Пельцер в г. Зоммерфельд в ЦАГИ-Раменское, фирмы Эльтрон Теодор Штибель в г. Зоммерфельд на 489 в Днепропетровске, Пластмасс фирмы АЕГ м. Ное-Мюллер в районе г. Зоммерфельд на 218 в Ленинград, Пластмасс в м. Решен, Зоммерфельд на 218 в Ленинграде, остатки завода по производству реактивных самолетов в г. Шнейдемюль в ЦАГИ-Раменское, авиасборочного завода в г. Хейлигенбейль на завод 36 в Рыбинске (1874,11).</w:t>
      </w:r>
    </w:p>
    <w:p w14:paraId="233D2AB3" w14:textId="77777777" w:rsidR="00665165" w:rsidRPr="00925F26" w:rsidRDefault="00665165" w:rsidP="00925F26">
      <w:pPr>
        <w:autoSpaceDE w:val="0"/>
        <w:autoSpaceDN w:val="0"/>
        <w:adjustRightInd w:val="0"/>
        <w:jc w:val="both"/>
        <w:rPr>
          <w:color w:val="000000" w:themeColor="text1"/>
          <w:sz w:val="16"/>
          <w:szCs w:val="16"/>
        </w:rPr>
      </w:pPr>
    </w:p>
    <w:p w14:paraId="7C9BDC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О№ 8196 вывозе немецких самолетов-истребителей и моторов с авиазавода "Мессершмидт" в г. Винер-Нойштадт в Австрии. РГАНИР, Фонд ГКО, д. 402, лл. 16 (11012).</w:t>
      </w:r>
    </w:p>
    <w:p w14:paraId="0258ECA8" w14:textId="77777777" w:rsidR="00665165" w:rsidRPr="00925F26" w:rsidRDefault="00665165" w:rsidP="00925F26">
      <w:pPr>
        <w:autoSpaceDE w:val="0"/>
        <w:autoSpaceDN w:val="0"/>
        <w:adjustRightInd w:val="0"/>
        <w:jc w:val="both"/>
        <w:rPr>
          <w:color w:val="000000" w:themeColor="text1"/>
          <w:sz w:val="16"/>
          <w:szCs w:val="16"/>
        </w:rPr>
      </w:pPr>
    </w:p>
    <w:p w14:paraId="287B9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8206 Об организации в системе Наркомата боеприпасов конструкторского бюро и опытного завода по реактивным снарядам. РГАНИР, Фонд ГКО, д. 402, лл. 52-53 (11012).</w:t>
      </w:r>
    </w:p>
    <w:p w14:paraId="284A0340" w14:textId="77777777" w:rsidR="00665165" w:rsidRPr="00925F26" w:rsidRDefault="00665165" w:rsidP="00925F26">
      <w:pPr>
        <w:autoSpaceDE w:val="0"/>
        <w:autoSpaceDN w:val="0"/>
        <w:adjustRightInd w:val="0"/>
        <w:jc w:val="both"/>
        <w:rPr>
          <w:color w:val="000000" w:themeColor="text1"/>
          <w:sz w:val="16"/>
          <w:szCs w:val="16"/>
        </w:rPr>
      </w:pPr>
    </w:p>
    <w:p w14:paraId="3A6B68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19 апреля 1945 г. в соответствии с пост. ГКО № 8206 и пр. НКБ от 29.04.1945 г. создано ГЦКБ-1 по созданию пороховых </w:t>
      </w:r>
      <w:r w:rsidRPr="00925F26">
        <w:rPr>
          <w:color w:val="000000" w:themeColor="text1"/>
          <w:sz w:val="16"/>
          <w:szCs w:val="16"/>
          <w:lang w:val="en-US"/>
        </w:rPr>
        <w:t>PC</w:t>
      </w:r>
      <w:r w:rsidRPr="00925F26">
        <w:rPr>
          <w:color w:val="000000" w:themeColor="text1"/>
          <w:sz w:val="16"/>
          <w:szCs w:val="16"/>
        </w:rPr>
        <w:t xml:space="preserve"> с опытным заводом. С 1946 г. - в ведении МСХМ. В соответствии с ПСМ № 1017-419сс/оп от 13.05.1946 г.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459C4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16A511BF" w14:textId="77777777" w:rsidR="00DE38A8" w:rsidRPr="00925F26" w:rsidRDefault="00DE38A8" w:rsidP="00925F26">
      <w:pPr>
        <w:autoSpaceDE w:val="0"/>
        <w:autoSpaceDN w:val="0"/>
        <w:adjustRightInd w:val="0"/>
        <w:jc w:val="both"/>
        <w:rPr>
          <w:color w:val="000000" w:themeColor="text1"/>
          <w:sz w:val="16"/>
          <w:szCs w:val="16"/>
        </w:rPr>
      </w:pPr>
      <w:r w:rsidRPr="00925F26">
        <w:rPr>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925F26">
        <w:rPr>
          <w:color w:val="000000" w:themeColor="text1"/>
          <w:sz w:val="16"/>
          <w:szCs w:val="16"/>
          <w:lang w:val="en-US"/>
        </w:rPr>
        <w:t>MOM</w:t>
      </w:r>
      <w:r w:rsidRPr="00925F26">
        <w:rPr>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55A697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925F26">
        <w:rPr>
          <w:color w:val="000000" w:themeColor="text1"/>
          <w:sz w:val="16"/>
          <w:szCs w:val="16"/>
          <w:lang w:val="en-US"/>
        </w:rPr>
        <w:t>ri</w:t>
      </w:r>
      <w:r w:rsidRPr="00925F26">
        <w:rPr>
          <w:color w:val="000000" w:themeColor="text1"/>
          <w:sz w:val="16"/>
          <w:szCs w:val="16"/>
        </w:rPr>
        <w:t>/я А-1923» (01.1967 г.-).</w:t>
      </w:r>
    </w:p>
    <w:p w14:paraId="72FF2A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421C54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925F26">
        <w:rPr>
          <w:color w:val="000000" w:themeColor="text1"/>
          <w:sz w:val="16"/>
          <w:szCs w:val="16"/>
          <w:lang w:val="en-US"/>
        </w:rPr>
        <w:t>PC</w:t>
      </w:r>
      <w:r w:rsidRPr="00925F26">
        <w:rPr>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53E281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w:t>
      </w:r>
      <w:proofErr w:type="gramStart"/>
      <w:r w:rsidRPr="00925F26">
        <w:rPr>
          <w:color w:val="000000" w:themeColor="text1"/>
          <w:sz w:val="16"/>
          <w:szCs w:val="16"/>
        </w:rPr>
        <w:t>В соответствии с пост</w:t>
      </w:r>
      <w:proofErr w:type="gramEnd"/>
      <w:r w:rsidRPr="00925F26">
        <w:rPr>
          <w:color w:val="000000" w:themeColor="text1"/>
          <w:sz w:val="16"/>
          <w:szCs w:val="16"/>
        </w:rPr>
        <w:t>,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339C49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0DB80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69371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12A1B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475D2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1949-50 г. образован НТС института.</w:t>
      </w:r>
    </w:p>
    <w:p w14:paraId="5CD357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Кашляев, В.А. Солоноуц, П.А. Быстрое, М.С. Фетисов).</w:t>
      </w:r>
    </w:p>
    <w:p w14:paraId="32C203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925F26">
        <w:rPr>
          <w:color w:val="000000" w:themeColor="text1"/>
          <w:sz w:val="16"/>
          <w:szCs w:val="16"/>
          <w:lang w:val="en-US"/>
        </w:rPr>
        <w:t>PC</w:t>
      </w:r>
      <w:r w:rsidRPr="00925F26">
        <w:rPr>
          <w:color w:val="000000" w:themeColor="text1"/>
          <w:sz w:val="16"/>
          <w:szCs w:val="16"/>
        </w:rPr>
        <w:t xml:space="preserve">, на ее базе создан отдел № 10. Проведена НИР по возможности создания управляемого авиационного </w:t>
      </w:r>
      <w:r w:rsidRPr="00925F26">
        <w:rPr>
          <w:color w:val="000000" w:themeColor="text1"/>
          <w:sz w:val="16"/>
          <w:szCs w:val="16"/>
          <w:lang w:val="en-US"/>
        </w:rPr>
        <w:t>PC</w:t>
      </w:r>
      <w:r w:rsidRPr="00925F26">
        <w:rPr>
          <w:color w:val="000000" w:themeColor="text1"/>
          <w:sz w:val="16"/>
          <w:szCs w:val="16"/>
        </w:rPr>
        <w:t xml:space="preserve"> (А.А. Красовский).</w:t>
      </w:r>
    </w:p>
    <w:p w14:paraId="58178F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12.1951 г. КБ-3 МСХМ передано институту в качестве филиала (1.05.1958 г. преобразован в самостоятельный НИИ-4).</w:t>
      </w:r>
    </w:p>
    <w:p w14:paraId="1AEEF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5CF4B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925F26">
        <w:rPr>
          <w:color w:val="000000" w:themeColor="text1"/>
          <w:sz w:val="16"/>
          <w:szCs w:val="16"/>
          <w:vertAlign w:val="superscript"/>
        </w:rPr>
        <w:t>2</w:t>
      </w:r>
      <w:r w:rsidRPr="00925F26">
        <w:rPr>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32515F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76DB5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w:t>
      </w:r>
      <w:r w:rsidRPr="00925F26">
        <w:rPr>
          <w:color w:val="000000" w:themeColor="text1"/>
          <w:sz w:val="16"/>
          <w:szCs w:val="16"/>
        </w:rPr>
        <w:lastRenderedPageBreak/>
        <w:t>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925F26">
        <w:rPr>
          <w:color w:val="000000" w:themeColor="text1"/>
          <w:sz w:val="16"/>
          <w:szCs w:val="16"/>
          <w:vertAlign w:val="superscript"/>
        </w:rPr>
        <w:t>2</w:t>
      </w:r>
      <w:r w:rsidRPr="00925F26">
        <w:rPr>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57570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40AB0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925F26">
        <w:rPr>
          <w:color w:val="000000" w:themeColor="text1"/>
          <w:sz w:val="16"/>
          <w:szCs w:val="16"/>
          <w:lang w:val="en-US"/>
        </w:rPr>
        <w:t>Mi</w:t>
      </w:r>
      <w:r w:rsidRPr="00925F26">
        <w:rPr>
          <w:color w:val="000000" w:themeColor="text1"/>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7D0C7E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636CE7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РГБ-25 и ориентирной бомбой «Свеча-25»; «Смерч-П» с ПУ РБУ-6000 и бомбой РГБ-60 с взрьшателем УДВ-60; «Смерч-</w:t>
      </w:r>
      <w:r w:rsidRPr="00925F26">
        <w:rPr>
          <w:color w:val="000000" w:themeColor="text1"/>
          <w:sz w:val="16"/>
          <w:szCs w:val="16"/>
          <w:lang w:val="en-US"/>
        </w:rPr>
        <w:t>Ill</w:t>
      </w:r>
      <w:r w:rsidRPr="00925F26">
        <w:rPr>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63FD61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925F26">
        <w:rPr>
          <w:color w:val="000000" w:themeColor="text1"/>
          <w:sz w:val="16"/>
          <w:szCs w:val="16"/>
          <w:lang w:val="en-US"/>
        </w:rPr>
        <w:t>PC</w:t>
      </w:r>
      <w:r w:rsidRPr="00925F26">
        <w:rPr>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0AA375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исследования воздушных ударных волн в 1958 г. был создан пороховой реактивный генератор ГУТ-46.</w:t>
      </w:r>
    </w:p>
    <w:p w14:paraId="3BEB21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46619D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B</w:t>
      </w:r>
      <w:r w:rsidRPr="00925F26">
        <w:rPr>
          <w:color w:val="000000" w:themeColor="text1"/>
          <w:sz w:val="16"/>
          <w:szCs w:val="16"/>
        </w:rPr>
        <w:t>. Крюков, Е.А. Ланг).</w:t>
      </w:r>
    </w:p>
    <w:p w14:paraId="29F4E2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ПСМ № 829-379 от 21.07.1959 г. начались работы по первой отечественной управляемой </w:t>
      </w:r>
      <w:r w:rsidRPr="00925F26">
        <w:rPr>
          <w:color w:val="000000" w:themeColor="text1"/>
          <w:sz w:val="16"/>
          <w:szCs w:val="16"/>
          <w:lang w:val="en-US"/>
        </w:rPr>
        <w:t>OTP</w:t>
      </w:r>
      <w:r w:rsidRPr="00925F26">
        <w:rPr>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32A4C1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w:t>
      </w:r>
      <w:proofErr w:type="gramStart"/>
      <w:r w:rsidRPr="00925F26">
        <w:rPr>
          <w:color w:val="000000" w:themeColor="text1"/>
          <w:sz w:val="16"/>
          <w:szCs w:val="16"/>
        </w:rPr>
        <w:t>3)г.</w:t>
      </w:r>
      <w:proofErr w:type="gramEnd"/>
      <w:r w:rsidRPr="00925F26">
        <w:rPr>
          <w:color w:val="000000" w:themeColor="text1"/>
          <w:sz w:val="16"/>
          <w:szCs w:val="16"/>
        </w:rPr>
        <w:t xml:space="preserve">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759F0E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720BAC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44F307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1967 г. МИТ был определен головным по разработке и производству подвижных РК и МБР на твердом топливе.</w:t>
      </w:r>
    </w:p>
    <w:p w14:paraId="3A787C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3B5248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EA844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78591E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организовано постоянное представительство института на Боткинском заводе.</w:t>
      </w:r>
    </w:p>
    <w:p w14:paraId="0DFC5D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259AC2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3D2C1B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925F26">
        <w:rPr>
          <w:color w:val="000000" w:themeColor="text1"/>
          <w:sz w:val="16"/>
          <w:szCs w:val="16"/>
          <w:lang w:val="en-US"/>
        </w:rPr>
        <w:t>JI</w:t>
      </w:r>
      <w:r w:rsidRPr="00925F26">
        <w:rPr>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602418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63BDAD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1992 г. - ОКР «Зарядье 2-58» по продлению сроков эксплуатации МБР «Тополь».</w:t>
      </w:r>
    </w:p>
    <w:p w14:paraId="7EC57E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79A2A4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6F8CFB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w:t>
      </w:r>
      <w:proofErr w:type="gramStart"/>
      <w:r w:rsidRPr="00925F26">
        <w:rPr>
          <w:color w:val="000000" w:themeColor="text1"/>
          <w:sz w:val="16"/>
          <w:szCs w:val="16"/>
        </w:rPr>
        <w:t>В соответствии с пост</w:t>
      </w:r>
      <w:proofErr w:type="gramEnd"/>
      <w:r w:rsidRPr="00925F26">
        <w:rPr>
          <w:color w:val="000000" w:themeColor="text1"/>
          <w:sz w:val="16"/>
          <w:szCs w:val="16"/>
        </w:rPr>
        <w:t xml:space="preserve">,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925F26">
        <w:rPr>
          <w:color w:val="000000" w:themeColor="text1"/>
          <w:sz w:val="16"/>
          <w:szCs w:val="16"/>
          <w:lang w:val="en-US"/>
        </w:rPr>
        <w:t>Mill</w:t>
      </w:r>
      <w:r w:rsidRPr="00925F26">
        <w:rPr>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0EAC1C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7BBF3A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722519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144253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925F26">
        <w:rPr>
          <w:color w:val="000000" w:themeColor="text1"/>
          <w:sz w:val="16"/>
          <w:szCs w:val="16"/>
          <w:vertAlign w:val="superscript"/>
        </w:rPr>
        <w:t xml:space="preserve">101 </w:t>
      </w:r>
      <w:r w:rsidRPr="00925F26">
        <w:rPr>
          <w:color w:val="000000" w:themeColor="text1"/>
          <w:sz w:val="16"/>
          <w:szCs w:val="16"/>
        </w:rPr>
        <w:t>В 2006 г. построен новый производственный корпус площадью 2000 м</w:t>
      </w:r>
      <w:r w:rsidRPr="00925F26">
        <w:rPr>
          <w:color w:val="000000" w:themeColor="text1"/>
          <w:sz w:val="16"/>
          <w:szCs w:val="16"/>
          <w:vertAlign w:val="superscript"/>
        </w:rPr>
        <w:t>2</w:t>
      </w:r>
      <w:r w:rsidRPr="00925F26">
        <w:rPr>
          <w:color w:val="000000" w:themeColor="text1"/>
          <w:sz w:val="16"/>
          <w:szCs w:val="16"/>
        </w:rPr>
        <w:t xml:space="preserve"> для экспериментального производства.</w:t>
      </w:r>
    </w:p>
    <w:p w14:paraId="4F8331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базе института организован НТЦ «Комплекс-МИТ». Имел дочернее предприятие (2006 г.)- ЗАО «Пусковые услуги».</w:t>
      </w:r>
    </w:p>
    <w:p w14:paraId="77018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07.2009 г. после очередного неудачного пуска «Булавы» Ю.С. Соломонов подал в отставку.</w:t>
      </w:r>
    </w:p>
    <w:p w14:paraId="0F9D5F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производственная (1946 г.)- 900 м</w:t>
      </w:r>
      <w:r w:rsidRPr="00925F26">
        <w:rPr>
          <w:color w:val="000000" w:themeColor="text1"/>
          <w:sz w:val="16"/>
          <w:szCs w:val="16"/>
          <w:vertAlign w:val="superscript"/>
        </w:rPr>
        <w:t>2</w:t>
      </w:r>
      <w:r w:rsidRPr="00925F26">
        <w:rPr>
          <w:color w:val="000000" w:themeColor="text1"/>
          <w:sz w:val="16"/>
          <w:szCs w:val="16"/>
        </w:rPr>
        <w:t>; общая (1946 г.)- 7330 м</w:t>
      </w:r>
      <w:r w:rsidRPr="00925F26">
        <w:rPr>
          <w:color w:val="000000" w:themeColor="text1"/>
          <w:sz w:val="16"/>
          <w:szCs w:val="16"/>
          <w:vertAlign w:val="superscript"/>
        </w:rPr>
        <w:t>2</w:t>
      </w:r>
      <w:r w:rsidRPr="00925F26">
        <w:rPr>
          <w:color w:val="000000" w:themeColor="text1"/>
          <w:sz w:val="16"/>
          <w:szCs w:val="16"/>
        </w:rPr>
        <w:t>.</w:t>
      </w:r>
    </w:p>
    <w:p w14:paraId="2363F3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(1946 г.)- 545 чел., (1954 г.)- 1384 чел., (1.01.1957 г.)- 1689 чел., (1958 г.)- 1844 чел., (1966 г.)- 4030 чел., (1967 г.)- 4451 чел., (1976 г.)- 7035 чел.</w:t>
      </w:r>
    </w:p>
    <w:p w14:paraId="4C8FD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4599D5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39AA3DA8" w14:textId="77777777" w:rsidR="00665165" w:rsidRPr="00925F26" w:rsidRDefault="00665165" w:rsidP="00925F26">
      <w:pPr>
        <w:tabs>
          <w:tab w:val="left" w:pos="1366"/>
        </w:tabs>
        <w:autoSpaceDE w:val="0"/>
        <w:autoSpaceDN w:val="0"/>
        <w:adjustRightInd w:val="0"/>
        <w:jc w:val="both"/>
        <w:rPr>
          <w:color w:val="000000" w:themeColor="text1"/>
          <w:sz w:val="16"/>
          <w:szCs w:val="16"/>
        </w:rPr>
      </w:pPr>
      <w:r w:rsidRPr="00925F26">
        <w:rPr>
          <w:color w:val="000000" w:themeColor="text1"/>
          <w:sz w:val="16"/>
          <w:szCs w:val="16"/>
        </w:rPr>
        <w:t>A.А.Богатов, (1963 г.-)- В.А. Колычев, (1970-е)- Г.Е. Алпаидзе.</w:t>
      </w:r>
    </w:p>
    <w:p w14:paraId="530C29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14929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925F26">
        <w:rPr>
          <w:color w:val="000000" w:themeColor="text1"/>
          <w:sz w:val="16"/>
          <w:szCs w:val="16"/>
          <w:vertAlign w:val="superscript"/>
        </w:rPr>
        <w:t>63</w:t>
      </w:r>
      <w:r w:rsidRPr="00925F26">
        <w:rPr>
          <w:color w:val="000000" w:themeColor="text1"/>
          <w:sz w:val="16"/>
          <w:szCs w:val="16"/>
        </w:rPr>
        <w:t xml:space="preserve"> (2005 г.)- Л.С. Соломонов, А.К. Виноградов, А.П. Сухадольский, (2000-е)- В.П. Ефимов.</w:t>
      </w:r>
    </w:p>
    <w:p w14:paraId="575D8B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(05.1946 г.-)- Б.М. Сапрыкин, (05.1947-06.1951 г.)- Н.И. Крупнов, (1959 г.)- А.А. Богатов, (1963 г.-)-</w:t>
      </w:r>
    </w:p>
    <w:p w14:paraId="3AC930B5" w14:textId="77777777" w:rsidR="00665165" w:rsidRPr="00925F26" w:rsidRDefault="00665165" w:rsidP="00925F26">
      <w:pPr>
        <w:tabs>
          <w:tab w:val="left" w:pos="1352"/>
        </w:tabs>
        <w:autoSpaceDE w:val="0"/>
        <w:autoSpaceDN w:val="0"/>
        <w:adjustRightInd w:val="0"/>
        <w:jc w:val="both"/>
        <w:rPr>
          <w:color w:val="000000" w:themeColor="text1"/>
          <w:sz w:val="16"/>
          <w:szCs w:val="16"/>
        </w:rPr>
      </w:pPr>
      <w:r w:rsidRPr="00925F26">
        <w:rPr>
          <w:color w:val="000000" w:themeColor="text1"/>
          <w:sz w:val="16"/>
          <w:szCs w:val="16"/>
        </w:rPr>
        <w:t>B.А.Колычев, С.И. Елагин, А.Л. Юрьев, (2005 г.)- В.Д. Полунин.</w:t>
      </w:r>
    </w:p>
    <w:p w14:paraId="535E65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(1970-е)- Ю.А. Моисеев. Гл. металлург (-1951-74 г.-)- Г.И. Громов. Гл. сварщик (1960 г.)- М.И. Кунис.</w:t>
      </w:r>
    </w:p>
    <w:p w14:paraId="676A84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7C7857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отделения: О.М. Егоров, Ю.Н. Жирухин.</w:t>
      </w:r>
    </w:p>
    <w:p w14:paraId="2FB320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05F73E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отдела: № 2 (1947 г.-)- Г.П. Герасимов, (1949 г.)- Н.А. Жуков; № 11 (1947 г.-)- К.П. Доррендорф; Ю.М. Николаев, С.А. Кошкин.</w:t>
      </w:r>
    </w:p>
    <w:p w14:paraId="7912F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67FB23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 1 (1946 г.-)- К.П. Доррендорф. Начальник Центра информации- А.И. Лобанов, А.В. Тумаков.</w:t>
      </w:r>
    </w:p>
    <w:p w14:paraId="288EE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0D07828C" w14:textId="77777777" w:rsidR="00665165" w:rsidRPr="00925F26" w:rsidRDefault="00665165" w:rsidP="00925F26">
      <w:pPr>
        <w:tabs>
          <w:tab w:val="left" w:pos="1357"/>
        </w:tabs>
        <w:autoSpaceDE w:val="0"/>
        <w:autoSpaceDN w:val="0"/>
        <w:adjustRightInd w:val="0"/>
        <w:jc w:val="both"/>
        <w:rPr>
          <w:color w:val="000000" w:themeColor="text1"/>
          <w:sz w:val="16"/>
          <w:szCs w:val="16"/>
        </w:rPr>
      </w:pPr>
      <w:r w:rsidRPr="00925F26">
        <w:rPr>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7427F1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3B78EC5C" w14:textId="77777777" w:rsidR="00665165" w:rsidRPr="00925F26" w:rsidRDefault="00665165" w:rsidP="00925F26">
      <w:pPr>
        <w:tabs>
          <w:tab w:val="left" w:pos="433"/>
        </w:tabs>
        <w:autoSpaceDE w:val="0"/>
        <w:autoSpaceDN w:val="0"/>
        <w:adjustRightInd w:val="0"/>
        <w:jc w:val="both"/>
        <w:rPr>
          <w:color w:val="000000" w:themeColor="text1"/>
          <w:sz w:val="16"/>
          <w:szCs w:val="16"/>
        </w:rPr>
      </w:pPr>
      <w:r w:rsidRPr="00925F26">
        <w:rPr>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291068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Начальники бюро: отдела № 2 (1947 г.-)- Н.П. Мазуров, расчетного (1947 г.-)- А.А. Голицын; теоретического отдела № 10 (1950-е)-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Перфильев; КБ отдела № 11 (1947 г.-)- Н.Я. Лопухин; (1949 г.)- И.В. Ярополов, (1949 г.)- Г.П. Герасимов.</w:t>
      </w:r>
    </w:p>
    <w:p w14:paraId="7587CE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макетной мастерской (1947 г.-)- А.С. Кононенко, С.С. Смирнов.</w:t>
      </w:r>
    </w:p>
    <w:p w14:paraId="761C1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2F1B49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Ведущие конструкторы: (1940-е)- В.П. Герасимов, (1940-е)- А.А. Голицын.</w:t>
      </w:r>
    </w:p>
    <w:p w14:paraId="44D13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Ведущие инженеры: (1947 г.-)- Н.П. Мазуров (ДРСП-1), (1947 г.-)- Н.И. Александров (ДРСП-1), (01.1952 г.-)-</w:t>
      </w:r>
    </w:p>
    <w:p w14:paraId="29D50C32" w14:textId="77777777" w:rsidR="00665165" w:rsidRPr="00925F26" w:rsidRDefault="00665165" w:rsidP="00925F26">
      <w:pPr>
        <w:tabs>
          <w:tab w:val="left" w:pos="438"/>
        </w:tabs>
        <w:autoSpaceDE w:val="0"/>
        <w:autoSpaceDN w:val="0"/>
        <w:adjustRightInd w:val="0"/>
        <w:jc w:val="both"/>
        <w:rPr>
          <w:color w:val="000000" w:themeColor="text1"/>
          <w:sz w:val="16"/>
          <w:szCs w:val="16"/>
        </w:rPr>
      </w:pPr>
      <w:r w:rsidRPr="00925F26">
        <w:rPr>
          <w:color w:val="000000" w:themeColor="text1"/>
          <w:sz w:val="16"/>
          <w:szCs w:val="16"/>
        </w:rPr>
        <w:t>B.С.Бабочкин (М-24-ФУД), (1952 г.)- Е.Н. Сухов (АРС-212).</w:t>
      </w:r>
    </w:p>
    <w:p w14:paraId="6D4193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925F26">
        <w:rPr>
          <w:color w:val="000000" w:themeColor="text1"/>
          <w:sz w:val="16"/>
          <w:szCs w:val="16"/>
          <w:lang w:val="en-US"/>
        </w:rPr>
        <w:t>Ill</w:t>
      </w:r>
      <w:r w:rsidRPr="00925F26">
        <w:rPr>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925F26">
        <w:rPr>
          <w:color w:val="000000" w:themeColor="text1"/>
          <w:sz w:val="16"/>
          <w:szCs w:val="16"/>
          <w:lang w:val="en-US"/>
        </w:rPr>
        <w:t>PC</w:t>
      </w:r>
      <w:r w:rsidRPr="00925F26">
        <w:rPr>
          <w:color w:val="000000" w:themeColor="text1"/>
          <w:sz w:val="16"/>
          <w:szCs w:val="16"/>
        </w:rPr>
        <w:t xml:space="preserve">-14, пнв 30.12.1975 г.), «Тополь» РТ-2ПМ (15Ж58, РС-12М, пнв 1.12.1988 г.), РТ-2ПМ «Тополь-2» (8К98П), «Тополь-М» </w:t>
      </w:r>
      <w:r w:rsidRPr="00925F26">
        <w:rPr>
          <w:color w:val="000000" w:themeColor="text1"/>
          <w:sz w:val="16"/>
          <w:szCs w:val="16"/>
          <w:lang w:val="en-US"/>
        </w:rPr>
        <w:t>PT</w:t>
      </w:r>
      <w:r w:rsidRPr="00925F26">
        <w:rPr>
          <w:color w:val="000000" w:themeColor="text1"/>
          <w:sz w:val="16"/>
          <w:szCs w:val="16"/>
        </w:rPr>
        <w:t>-2</w:t>
      </w:r>
      <w:r w:rsidRPr="00925F26">
        <w:rPr>
          <w:color w:val="000000" w:themeColor="text1"/>
          <w:sz w:val="16"/>
          <w:szCs w:val="16"/>
          <w:lang w:val="en-US"/>
        </w:rPr>
        <w:t>IIM</w:t>
      </w:r>
      <w:r w:rsidRPr="00925F26">
        <w:rPr>
          <w:color w:val="000000" w:themeColor="text1"/>
          <w:sz w:val="16"/>
          <w:szCs w:val="16"/>
        </w:rPr>
        <w:t>2 (8Ж65, 15Ж66, РС-12М2, 20.12.1994 г., пнв 13.07.2000 г.); «Курьер» (15Ж59, опытная, 1990 г.); БРПЛ: РСМ-56 «Булава» на базе «Тополь-М» (3</w:t>
      </w:r>
      <w:r w:rsidRPr="00925F26">
        <w:rPr>
          <w:color w:val="000000" w:themeColor="text1"/>
          <w:sz w:val="16"/>
          <w:szCs w:val="16"/>
          <w:lang w:val="en-US"/>
        </w:rPr>
        <w:t>M</w:t>
      </w:r>
      <w:r w:rsidRPr="00925F26">
        <w:rPr>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925F26">
        <w:rPr>
          <w:color w:val="000000" w:themeColor="text1"/>
          <w:sz w:val="16"/>
          <w:szCs w:val="16"/>
          <w:vertAlign w:val="superscript"/>
        </w:rPr>
        <w:t>58</w:t>
      </w:r>
      <w:r w:rsidRPr="00925F26">
        <w:rPr>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925F26">
        <w:rPr>
          <w:color w:val="000000" w:themeColor="text1"/>
          <w:sz w:val="16"/>
          <w:szCs w:val="16"/>
          <w:vertAlign w:val="superscript"/>
        </w:rPr>
        <w:t xml:space="preserve">126 </w:t>
      </w:r>
      <w:r w:rsidRPr="00925F26">
        <w:rPr>
          <w:color w:val="000000" w:themeColor="text1"/>
          <w:sz w:val="16"/>
          <w:szCs w:val="16"/>
        </w:rPr>
        <w:t>(11982).</w:t>
      </w:r>
    </w:p>
    <w:p w14:paraId="07B294F1" w14:textId="77777777" w:rsidR="00DE38A8" w:rsidRPr="00925F26" w:rsidRDefault="00DE38A8" w:rsidP="00925F26">
      <w:pPr>
        <w:autoSpaceDE w:val="0"/>
        <w:autoSpaceDN w:val="0"/>
        <w:adjustRightInd w:val="0"/>
        <w:jc w:val="both"/>
        <w:rPr>
          <w:color w:val="000000" w:themeColor="text1"/>
          <w:sz w:val="16"/>
          <w:szCs w:val="16"/>
        </w:rPr>
      </w:pPr>
    </w:p>
    <w:p w14:paraId="14974D0C" w14:textId="77777777" w:rsidR="00403B6B" w:rsidRPr="001A0BAA" w:rsidRDefault="00403B6B" w:rsidP="00403B6B">
      <w:pPr>
        <w:jc w:val="both"/>
        <w:rPr>
          <w:color w:val="0070C0"/>
          <w:sz w:val="16"/>
          <w:szCs w:val="16"/>
        </w:rPr>
      </w:pPr>
      <w:r w:rsidRPr="001A0BAA">
        <w:rPr>
          <w:color w:val="0070C0"/>
          <w:sz w:val="16"/>
          <w:szCs w:val="16"/>
        </w:rPr>
        <w:t>19 апреля 1945 г. появилось Постановление ГКО № 8206сс «Об организации в системе Наркомата боеприпасов конструкторского бюро и опытного завода по реактивным снарядам» появилось. Исполняя это постановление, Б. Ванников учредил в Москве Центральное КБ реактивных снарядов (ЦКБ-1) с опытным производством на базе завода № 67 своего наркомата.</w:t>
      </w:r>
    </w:p>
    <w:p w14:paraId="0B737E15" w14:textId="77777777" w:rsidR="00403B6B" w:rsidRPr="001A0BAA" w:rsidRDefault="00403B6B" w:rsidP="00403B6B">
      <w:pPr>
        <w:jc w:val="both"/>
        <w:rPr>
          <w:color w:val="0070C0"/>
          <w:sz w:val="16"/>
          <w:szCs w:val="16"/>
        </w:rPr>
      </w:pPr>
      <w:r w:rsidRPr="001A0BAA">
        <w:rPr>
          <w:color w:val="0070C0"/>
          <w:sz w:val="16"/>
          <w:szCs w:val="16"/>
        </w:rPr>
        <w:t>А станцию для испытаний трофейной ракетной техники руководство НКБ планировало разместить на полигоне в восточной части Крыма, предназначенном для бомбометания с самолетов (24989).</w:t>
      </w:r>
    </w:p>
    <w:p w14:paraId="68B8B25C" w14:textId="77777777" w:rsidR="00403B6B" w:rsidRPr="001A0BAA" w:rsidRDefault="00403B6B" w:rsidP="00403B6B">
      <w:pPr>
        <w:jc w:val="both"/>
        <w:rPr>
          <w:color w:val="0070C0"/>
          <w:sz w:val="16"/>
          <w:szCs w:val="16"/>
        </w:rPr>
      </w:pPr>
    </w:p>
    <w:p w14:paraId="69089E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 приказе о принятии на вооружение РЛС "Гнейс-5м" (НК ВМФ №0069)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0AC56E26" w14:textId="77777777" w:rsidR="00665165" w:rsidRPr="00925F26" w:rsidRDefault="00665165" w:rsidP="00925F26">
      <w:pPr>
        <w:autoSpaceDE w:val="0"/>
        <w:autoSpaceDN w:val="0"/>
        <w:adjustRightInd w:val="0"/>
        <w:jc w:val="both"/>
        <w:rPr>
          <w:color w:val="000000" w:themeColor="text1"/>
          <w:sz w:val="16"/>
          <w:szCs w:val="16"/>
        </w:rPr>
      </w:pPr>
    </w:p>
    <w:p w14:paraId="686B09D0" w14:textId="77777777" w:rsidR="00DE5890" w:rsidRPr="00925F26" w:rsidRDefault="00DE5890" w:rsidP="00925F26">
      <w:pPr>
        <w:jc w:val="both"/>
        <w:rPr>
          <w:color w:val="000000" w:themeColor="text1"/>
          <w:sz w:val="16"/>
          <w:szCs w:val="16"/>
        </w:rPr>
      </w:pPr>
      <w:r w:rsidRPr="00925F26">
        <w:rPr>
          <w:color w:val="000000" w:themeColor="text1"/>
          <w:sz w:val="16"/>
          <w:szCs w:val="16"/>
        </w:rPr>
        <w:t>19 апреля 1945 г. ГКО распорядился вывезти с завода «Мессершмитт» в Винер-Нойштадте 13 новых истребителей, записанных как «109Г-10-Р». Из них три требовалось доставить в НИИ ВВС, а остальные десять - в школу в Люберцах для последующего распределения по летным школам страны (23186).</w:t>
      </w:r>
    </w:p>
    <w:p w14:paraId="6D645C28" w14:textId="77777777" w:rsidR="00DE5890" w:rsidRPr="00925F26" w:rsidRDefault="00DE5890" w:rsidP="00925F26">
      <w:pPr>
        <w:jc w:val="both"/>
        <w:rPr>
          <w:color w:val="000000" w:themeColor="text1"/>
          <w:sz w:val="16"/>
          <w:szCs w:val="16"/>
        </w:rPr>
      </w:pPr>
    </w:p>
    <w:p w14:paraId="3E306471" w14:textId="77777777" w:rsidR="00DE5890" w:rsidRPr="00925F26" w:rsidRDefault="00DE5890" w:rsidP="00925F26">
      <w:pPr>
        <w:jc w:val="both"/>
        <w:rPr>
          <w:color w:val="000000" w:themeColor="text1"/>
          <w:sz w:val="16"/>
          <w:szCs w:val="16"/>
          <w:shd w:val="clear" w:color="auto" w:fill="FFFFFF"/>
        </w:rPr>
      </w:pPr>
      <w:r w:rsidRPr="00925F26">
        <w:rPr>
          <w:color w:val="000000" w:themeColor="text1"/>
          <w:sz w:val="16"/>
          <w:szCs w:val="16"/>
          <w:shd w:val="clear" w:color="auto" w:fill="FFFFFF"/>
        </w:rPr>
        <w:t>19 апреля 1945 появилось постановление ГКО №8206сс «Об организации в системе Наркомата боеприпасов конструкторского бюро и опытного завода по реактивным снарядам», а 31 мая — постановление ГКО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И, наконец, 3 августа 1945 года было подписано постановление ГКО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(20875).</w:t>
      </w:r>
    </w:p>
    <w:p w14:paraId="618A0AE8" w14:textId="77777777" w:rsidR="00DE5890" w:rsidRPr="00925F26" w:rsidRDefault="00DE5890" w:rsidP="00925F26">
      <w:pPr>
        <w:jc w:val="both"/>
        <w:rPr>
          <w:color w:val="000000" w:themeColor="text1"/>
          <w:sz w:val="16"/>
          <w:szCs w:val="16"/>
          <w:shd w:val="clear" w:color="auto" w:fill="FFFFFF"/>
        </w:rPr>
      </w:pPr>
    </w:p>
    <w:p w14:paraId="531F53F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3E3F780" w14:textId="77777777" w:rsidR="00665165" w:rsidRPr="00925F26" w:rsidRDefault="00665165" w:rsidP="00925F26">
      <w:pPr>
        <w:autoSpaceDE w:val="0"/>
        <w:autoSpaceDN w:val="0"/>
        <w:adjustRightInd w:val="0"/>
        <w:jc w:val="both"/>
        <w:rPr>
          <w:iCs/>
          <w:color w:val="000000" w:themeColor="text1"/>
          <w:sz w:val="16"/>
          <w:szCs w:val="16"/>
        </w:rPr>
      </w:pPr>
    </w:p>
    <w:p w14:paraId="0B9AD720" w14:textId="77777777" w:rsidR="006979C2" w:rsidRPr="00925F26" w:rsidRDefault="006979C2" w:rsidP="00925F26">
      <w:pPr>
        <w:jc w:val="both"/>
        <w:rPr>
          <w:color w:val="000000" w:themeColor="text1"/>
          <w:sz w:val="16"/>
          <w:szCs w:val="16"/>
        </w:rPr>
      </w:pPr>
      <w:r w:rsidRPr="00925F26">
        <w:rPr>
          <w:color w:val="000000" w:themeColor="text1"/>
          <w:sz w:val="16"/>
          <w:szCs w:val="16"/>
        </w:rPr>
        <w:t>19 апреля 1945 г. Верховный Главнокомандующий И.В. Сталин подписал Постановление ГКО №8206 «О создании в системе Наркомата боеприпасов Государственного центрального конструкторского бюро по ракетным снарядам (ГЦКБ №1)». За ГЦКБ-1 с опытным заводом, созданным по приказу НКБ СССР от 21 апреля 1945 г. за №158, закреплялась тематика по боеприпасам: специальным реактивным снарядам, осколочно-реактивным, бронебойным, зенитным, авиационным снарядам. Предписывалось организовать КБ в нереально короткие сроки — всего за две недели! Уже 29 апреля Б.Л. Ванников своим приказом № 169 разместил новую организацию в корпусе №5 на территории завода №67. Возглавил ГЦКБ-1 Н.И. Крупнов, бывший до этого главным технологом ГСКБ-47 НКБ.</w:t>
      </w:r>
    </w:p>
    <w:p w14:paraId="4E3B9036" w14:textId="77777777" w:rsidR="006979C2" w:rsidRPr="00925F26" w:rsidRDefault="006979C2" w:rsidP="00925F26">
      <w:pPr>
        <w:jc w:val="both"/>
        <w:rPr>
          <w:color w:val="000000" w:themeColor="text1"/>
          <w:sz w:val="16"/>
          <w:szCs w:val="16"/>
        </w:rPr>
      </w:pPr>
      <w:r w:rsidRPr="00925F26">
        <w:rPr>
          <w:color w:val="000000" w:themeColor="text1"/>
          <w:sz w:val="16"/>
          <w:szCs w:val="16"/>
        </w:rPr>
        <w:t>В задачи ГЦКБ-1, определенные в его уставе, утвержденном 10 мая 1945 г., входили проведение исследовательских работ и разработка новых с улучшенными боевыми свойствами находящихся на вооружении «специальных боеприпасов согласно утвержденной НКБ номенклатуре» и оказание технической помощи «заводам СССР в освоении и отработке технологических процессов выпускаемой заводами продукции данного вида».</w:t>
      </w:r>
    </w:p>
    <w:p w14:paraId="5E183A30" w14:textId="77777777" w:rsidR="006979C2" w:rsidRPr="00925F26" w:rsidRDefault="006979C2" w:rsidP="00925F26">
      <w:pPr>
        <w:jc w:val="both"/>
        <w:rPr>
          <w:color w:val="000000" w:themeColor="text1"/>
          <w:sz w:val="16"/>
          <w:szCs w:val="16"/>
        </w:rPr>
      </w:pPr>
      <w:r w:rsidRPr="00925F26">
        <w:rPr>
          <w:color w:val="000000" w:themeColor="text1"/>
          <w:sz w:val="16"/>
          <w:szCs w:val="16"/>
        </w:rPr>
        <w:t>ГЦКБ-1, не имея определенной плановой тематики, выполняло работы исключительно по собственной инициативе. В частности, в 1945 г. по проекту ТТТ ГАУ началось создание дальнобойного порохового реактивного снаряда дальностью 20—25 км. Предполагалось разработать простую, технологичную конструкцию, технологию изготовления порохового заряда необходимых размеров, провести теоретические исследования внешнебаллистических параметров и пр. Однако собственного опыта в решении этих проблем не имелось. В этой связи возникла потребность в изучении имевшегося мирового опыта (12205).</w:t>
      </w:r>
    </w:p>
    <w:p w14:paraId="627D23B8" w14:textId="77777777" w:rsidR="006979C2" w:rsidRPr="00925F26" w:rsidRDefault="006979C2" w:rsidP="00925F26">
      <w:pPr>
        <w:jc w:val="both"/>
        <w:rPr>
          <w:color w:val="000000" w:themeColor="text1"/>
          <w:sz w:val="16"/>
          <w:szCs w:val="16"/>
        </w:rPr>
      </w:pPr>
    </w:p>
    <w:p w14:paraId="75D03357" w14:textId="77777777" w:rsidR="00F652D0" w:rsidRPr="00925F26" w:rsidRDefault="00F652D0" w:rsidP="00925F26">
      <w:pPr>
        <w:jc w:val="both"/>
        <w:rPr>
          <w:color w:val="000000" w:themeColor="text1"/>
          <w:sz w:val="16"/>
          <w:szCs w:val="16"/>
        </w:rPr>
      </w:pPr>
      <w:r w:rsidRPr="00925F26">
        <w:rPr>
          <w:color w:val="000000" w:themeColor="text1"/>
          <w:sz w:val="16"/>
          <w:szCs w:val="16"/>
        </w:rPr>
        <w:t>19 апреля 1945 г. ГОКО принял постановление № 8206, которым создавал КБ по ракетам дальнего действия в системе НКБ. Меньше чем через месяц Б. Л. Ванников и заместитель председателя Госплана СССР Н. А. Борисов обратились к Г. М. Маленкову с просьбой о вывозе именно в НКБ узлов «Фау-2» из Германии. Соответствующее постановление было подписано 31 мая 1945 г. Одновременно оно обязывало НКБ подобрать место для ракетного полигона. 20 июля 1945 г. ГОКО, учитывая, что разработка столь сложных изделий выходит за рамки одного ведомства, образовал межведомственную комиссию по реактивной технике под председательством наркома авиастроения А. И.Шахурина. 25 июля на заседании комиссии был поставлен вопрос о создании промышленной кооперации для производства реактивного вооружения. Предложения наркоматов обобщались в НКАПпод руководством А.И. Шахурина. Итогом работы комиссии стал проект соответствующего постановления ГОКО от 7 августа. 14 августа появляется проект постановления ГОКО «О создании в НКБ научно-исследовательской и опытной базы по реактивной боевой технике». Затем проект дорабатывался в НКБ и 13 сентября Б. Л. Ванниковым доложен Л. П. Берии. Между тем в сентябре 1945 г. Народный комиссариат вооружений начинает проявлять явный интерес к ракетной тематике. Всю осень в правительство поступали предложения и проекты от НКБ по реактивной технике, что свидетельствует о главенствующем положении этого наркомата в складывающейся кооперации. 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4F4E8737" w14:textId="77777777" w:rsidR="00F652D0" w:rsidRPr="00925F26" w:rsidRDefault="00F652D0" w:rsidP="00925F26">
      <w:pPr>
        <w:jc w:val="both"/>
        <w:rPr>
          <w:color w:val="000000" w:themeColor="text1"/>
          <w:sz w:val="16"/>
          <w:szCs w:val="16"/>
        </w:rPr>
      </w:pPr>
    </w:p>
    <w:p w14:paraId="7E157DE5" w14:textId="77777777" w:rsidR="001D37F4" w:rsidRPr="00925F26" w:rsidRDefault="001D37F4" w:rsidP="00925F26">
      <w:pPr>
        <w:jc w:val="both"/>
        <w:rPr>
          <w:color w:val="000000" w:themeColor="text1"/>
          <w:sz w:val="16"/>
          <w:szCs w:val="16"/>
        </w:rPr>
      </w:pPr>
      <w:r w:rsidRPr="00925F26">
        <w:rPr>
          <w:color w:val="000000" w:themeColor="text1"/>
          <w:sz w:val="16"/>
          <w:szCs w:val="16"/>
        </w:rPr>
        <w:t>19 апреля 1945 г. вышло Постановление ГКО № 8206 «Об организации в системе Наркомата боеприпасов СССР конструкторского бюро и опытного завода по реактивным снарядам»</w:t>
      </w:r>
    </w:p>
    <w:p w14:paraId="198BA51E" w14:textId="77777777" w:rsidR="001D37F4" w:rsidRPr="00925F26" w:rsidRDefault="001D37F4" w:rsidP="00925F26">
      <w:pPr>
        <w:jc w:val="both"/>
        <w:rPr>
          <w:color w:val="000000" w:themeColor="text1"/>
          <w:sz w:val="16"/>
          <w:szCs w:val="16"/>
        </w:rPr>
      </w:pPr>
      <w:r w:rsidRPr="00925F26">
        <w:rPr>
          <w:color w:val="000000" w:themeColor="text1"/>
          <w:sz w:val="16"/>
          <w:szCs w:val="16"/>
        </w:rPr>
        <w:t>РГАСПИ</w:t>
      </w:r>
      <w:r w:rsidRPr="00925F26">
        <w:rPr>
          <w:color w:val="000000" w:themeColor="text1"/>
          <w:sz w:val="16"/>
          <w:szCs w:val="16"/>
          <w:lang w:val="en-US"/>
        </w:rPr>
        <w:t xml:space="preserve">. </w:t>
      </w:r>
      <w:r w:rsidRPr="00925F26">
        <w:rPr>
          <w:color w:val="000000" w:themeColor="text1"/>
          <w:sz w:val="16"/>
          <w:szCs w:val="16"/>
        </w:rPr>
        <w:t>Ф</w:t>
      </w:r>
      <w:r w:rsidRPr="00925F26">
        <w:rPr>
          <w:color w:val="000000" w:themeColor="text1"/>
          <w:sz w:val="16"/>
          <w:szCs w:val="16"/>
          <w:lang w:val="en-US"/>
        </w:rPr>
        <w:t xml:space="preserve">. 644* On# 2# </w:t>
      </w:r>
      <w:r w:rsidRPr="00925F26">
        <w:rPr>
          <w:color w:val="000000" w:themeColor="text1"/>
          <w:sz w:val="16"/>
          <w:szCs w:val="16"/>
        </w:rPr>
        <w:t>Д</w:t>
      </w:r>
      <w:r w:rsidRPr="00925F26">
        <w:rPr>
          <w:color w:val="000000" w:themeColor="text1"/>
          <w:sz w:val="16"/>
          <w:szCs w:val="16"/>
          <w:lang w:val="en-US"/>
        </w:rPr>
        <w:t xml:space="preserve">. 481# </w:t>
      </w:r>
      <w:r w:rsidRPr="00925F26">
        <w:rPr>
          <w:color w:val="000000" w:themeColor="text1"/>
          <w:sz w:val="16"/>
          <w:szCs w:val="16"/>
        </w:rPr>
        <w:t>Л</w:t>
      </w:r>
      <w:r w:rsidRPr="00925F26">
        <w:rPr>
          <w:color w:val="000000" w:themeColor="text1"/>
          <w:sz w:val="16"/>
          <w:szCs w:val="16"/>
          <w:lang w:val="en-US"/>
        </w:rPr>
        <w:t xml:space="preserve">. I9I-I92. </w:t>
      </w:r>
      <w:r w:rsidRPr="00925F26">
        <w:rPr>
          <w:color w:val="000000" w:themeColor="text1"/>
          <w:sz w:val="16"/>
          <w:szCs w:val="16"/>
        </w:rPr>
        <w:t>Копия* Машинописный текст</w:t>
      </w:r>
    </w:p>
    <w:p w14:paraId="1D4A2B2B" w14:textId="77777777" w:rsidR="001D37F4" w:rsidRPr="00925F26" w:rsidRDefault="001D37F4" w:rsidP="00925F26">
      <w:pPr>
        <w:jc w:val="both"/>
        <w:rPr>
          <w:color w:val="000000" w:themeColor="text1"/>
          <w:sz w:val="16"/>
          <w:szCs w:val="16"/>
        </w:rPr>
      </w:pPr>
      <w:r w:rsidRPr="00925F26">
        <w:rPr>
          <w:color w:val="000000" w:themeColor="text1"/>
          <w:sz w:val="16"/>
          <w:szCs w:val="16"/>
        </w:rPr>
        <w:t>Сов. секретно</w:t>
      </w:r>
    </w:p>
    <w:p w14:paraId="4166DE19" w14:textId="77777777" w:rsidR="001D37F4" w:rsidRPr="00925F26" w:rsidRDefault="001D37F4" w:rsidP="00925F26">
      <w:pPr>
        <w:jc w:val="both"/>
        <w:rPr>
          <w:color w:val="000000" w:themeColor="text1"/>
          <w:sz w:val="16"/>
          <w:szCs w:val="16"/>
        </w:rPr>
      </w:pPr>
      <w:r w:rsidRPr="00925F26">
        <w:rPr>
          <w:color w:val="000000" w:themeColor="text1"/>
          <w:sz w:val="16"/>
          <w:szCs w:val="16"/>
        </w:rPr>
        <w:t>В целях развития реактивного вооружения и улучшения боевых свойств, находящихся на вооружении реактивных снарядов, Государственный Комитет Обороны ПОСТАНОВЛЯЕТ:</w:t>
      </w:r>
    </w:p>
    <w:p w14:paraId="226337E1" w14:textId="77777777" w:rsidR="001D37F4" w:rsidRPr="00925F26" w:rsidRDefault="001D37F4" w:rsidP="00925F26">
      <w:pPr>
        <w:jc w:val="both"/>
        <w:rPr>
          <w:color w:val="000000" w:themeColor="text1"/>
          <w:sz w:val="16"/>
          <w:szCs w:val="16"/>
        </w:rPr>
      </w:pPr>
      <w:r w:rsidRPr="00925F26">
        <w:rPr>
          <w:color w:val="000000" w:themeColor="text1"/>
          <w:sz w:val="16"/>
          <w:szCs w:val="16"/>
        </w:rPr>
        <w:lastRenderedPageBreak/>
        <w:t>I. Обязать Наркомбоеприпасов (т. Ванникова) организовать Государственное Центральное конструкторское бюро по реактивным снарядам (ГЦКБ № I НКБ) с опытным заводом для изготовления новых образцов и опытных партий реактивных снарядов с непосредственным подчинением Наркомату боеприпасов.</w:t>
      </w:r>
    </w:p>
    <w:p w14:paraId="53638190" w14:textId="77777777" w:rsidR="001D37F4" w:rsidRPr="00925F26" w:rsidRDefault="001D37F4" w:rsidP="00925F26">
      <w:pPr>
        <w:jc w:val="both"/>
        <w:rPr>
          <w:color w:val="000000" w:themeColor="text1"/>
          <w:sz w:val="16"/>
          <w:szCs w:val="16"/>
        </w:rPr>
      </w:pPr>
      <w:r w:rsidRPr="00925F26">
        <w:rPr>
          <w:color w:val="000000" w:themeColor="text1"/>
          <w:sz w:val="16"/>
          <w:szCs w:val="16"/>
        </w:rPr>
        <w:t>2. Возложить на Государственное центральное конструкторское бюро № I Наркомата боеприпасов задачу усовершенствования существующих и разработку новых конструкций реактивных снарядов.</w:t>
      </w:r>
    </w:p>
    <w:p w14:paraId="2B6E4E73" w14:textId="77777777" w:rsidR="001D37F4" w:rsidRPr="00925F26" w:rsidRDefault="001D37F4" w:rsidP="00925F26">
      <w:pPr>
        <w:jc w:val="both"/>
        <w:rPr>
          <w:color w:val="000000" w:themeColor="text1"/>
          <w:sz w:val="16"/>
          <w:szCs w:val="16"/>
        </w:rPr>
      </w:pPr>
      <w:r w:rsidRPr="00925F26">
        <w:rPr>
          <w:color w:val="000000" w:themeColor="text1"/>
          <w:sz w:val="16"/>
          <w:szCs w:val="16"/>
        </w:rPr>
        <w:t>3. Обязать Наркомбоеприпасов (т. Ванникова) разместить ГЦКБ № I и опытное производство для реактивных снарядов на заводе № 67 НКБ (г. Москва) в свободных помещениях этого завода.</w:t>
      </w:r>
    </w:p>
    <w:p w14:paraId="41C46326" w14:textId="77777777" w:rsidR="001D37F4" w:rsidRPr="00925F26" w:rsidRDefault="001D37F4" w:rsidP="00925F26">
      <w:pPr>
        <w:jc w:val="both"/>
        <w:rPr>
          <w:color w:val="000000" w:themeColor="text1"/>
          <w:sz w:val="16"/>
          <w:szCs w:val="16"/>
        </w:rPr>
      </w:pPr>
      <w:r w:rsidRPr="00925F26">
        <w:rPr>
          <w:color w:val="000000" w:themeColor="text1"/>
          <w:sz w:val="16"/>
          <w:szCs w:val="16"/>
        </w:rPr>
        <w:t>4. Обязать Наркомбоеприпасов (т. Ванникова) представить, а Государственную штатную комиссию при Совнаркоме СССР в 2—недельный срок рассмотреть и утвердить штатное расписание Государственного центрального конструкторского бюро № I Наркомата боеприпасов.</w:t>
      </w:r>
    </w:p>
    <w:p w14:paraId="261C8CB0" w14:textId="77777777" w:rsidR="001D37F4" w:rsidRPr="00925F26" w:rsidRDefault="001D37F4" w:rsidP="00925F26">
      <w:pPr>
        <w:jc w:val="both"/>
        <w:rPr>
          <w:color w:val="000000" w:themeColor="text1"/>
          <w:sz w:val="16"/>
          <w:szCs w:val="16"/>
        </w:rPr>
      </w:pPr>
      <w:r w:rsidRPr="00925F26">
        <w:rPr>
          <w:color w:val="000000" w:themeColor="text1"/>
          <w:sz w:val="16"/>
          <w:szCs w:val="16"/>
        </w:rPr>
        <w:t>5. Обязать НКО СССР (т. Хрулева) передать Государственному центральному конструкторскому бюро № I Наркомбоеприпасов три легковых автомашины из числа трофейных.</w:t>
      </w:r>
    </w:p>
    <w:p w14:paraId="304DF449" w14:textId="77777777" w:rsidR="001D37F4" w:rsidRPr="00925F26" w:rsidRDefault="001D37F4" w:rsidP="00925F26">
      <w:pPr>
        <w:jc w:val="both"/>
        <w:rPr>
          <w:color w:val="000000" w:themeColor="text1"/>
          <w:sz w:val="16"/>
          <w:szCs w:val="16"/>
        </w:rPr>
      </w:pPr>
      <w:r w:rsidRPr="00925F26">
        <w:rPr>
          <w:color w:val="000000" w:themeColor="text1"/>
          <w:sz w:val="16"/>
          <w:szCs w:val="16"/>
        </w:rPr>
        <w:t>6. Обязать Наркомсредмаш (т. Акопова) поставить до 15 центральному конструкторскому бюро № I Наркомбоеприпасов две трёхтонные и одну полуторатонную грузовые автомашины.</w:t>
      </w:r>
    </w:p>
    <w:p w14:paraId="39A15EC6" w14:textId="77777777" w:rsidR="001D37F4" w:rsidRPr="00925F26" w:rsidRDefault="001D37F4" w:rsidP="00925F26">
      <w:pPr>
        <w:jc w:val="both"/>
        <w:rPr>
          <w:color w:val="000000" w:themeColor="text1"/>
          <w:sz w:val="16"/>
          <w:szCs w:val="16"/>
        </w:rPr>
      </w:pPr>
      <w:r w:rsidRPr="00925F26">
        <w:rPr>
          <w:color w:val="000000" w:themeColor="text1"/>
          <w:sz w:val="16"/>
          <w:szCs w:val="16"/>
        </w:rPr>
        <w:t>7. Обязать Наркомторг СССР (т. Любимова) обеспечить выделение со II квартала 1945 г. Государственному центральному конструкторскому бюро № I Наркомбоеприпасов следующих видов питания:</w:t>
      </w:r>
    </w:p>
    <w:p w14:paraId="7EBDABFD" w14:textId="77777777" w:rsidR="001D37F4" w:rsidRPr="00925F26" w:rsidRDefault="001D37F4" w:rsidP="00925F26">
      <w:pPr>
        <w:jc w:val="both"/>
        <w:rPr>
          <w:color w:val="000000" w:themeColor="text1"/>
          <w:sz w:val="16"/>
          <w:szCs w:val="16"/>
        </w:rPr>
      </w:pPr>
      <w:r w:rsidRPr="00925F26">
        <w:rPr>
          <w:color w:val="000000" w:themeColor="text1"/>
          <w:sz w:val="16"/>
          <w:szCs w:val="16"/>
        </w:rPr>
        <w:t>а) обеды для руководящего состава в соответствии с постановлением Совнаркома СССР от 17 сентября 1942 г. Ш 1518-742 на 20 человек;</w:t>
      </w:r>
    </w:p>
    <w:p w14:paraId="4D7C15DA" w14:textId="77777777" w:rsidR="001D37F4" w:rsidRPr="00925F26" w:rsidRDefault="001D37F4" w:rsidP="00925F26">
      <w:pPr>
        <w:jc w:val="both"/>
        <w:rPr>
          <w:color w:val="000000" w:themeColor="text1"/>
          <w:sz w:val="16"/>
          <w:szCs w:val="16"/>
        </w:rPr>
      </w:pPr>
      <w:r w:rsidRPr="00925F26">
        <w:rPr>
          <w:color w:val="000000" w:themeColor="text1"/>
          <w:sz w:val="16"/>
          <w:szCs w:val="16"/>
        </w:rPr>
        <w:t>б) обеды литер «Б» с выдачей сухих пайков, установленные постановлением Совнаркома СССР от 27 февраля 1943 г. NS 216 на 20 человек;</w:t>
      </w:r>
    </w:p>
    <w:p w14:paraId="2C5F194C" w14:textId="77777777" w:rsidR="001D37F4" w:rsidRPr="00925F26" w:rsidRDefault="001D37F4" w:rsidP="00925F26">
      <w:pPr>
        <w:jc w:val="both"/>
        <w:rPr>
          <w:color w:val="000000" w:themeColor="text1"/>
          <w:sz w:val="16"/>
          <w:szCs w:val="16"/>
        </w:rPr>
      </w:pPr>
      <w:r w:rsidRPr="00925F26">
        <w:rPr>
          <w:color w:val="000000" w:themeColor="text1"/>
          <w:sz w:val="16"/>
          <w:szCs w:val="16"/>
        </w:rPr>
        <w:t>в) второе горячее питание с хлебом на 80 человек.</w:t>
      </w:r>
    </w:p>
    <w:p w14:paraId="575A4EED" w14:textId="77777777" w:rsidR="001D37F4" w:rsidRPr="00925F26" w:rsidRDefault="001D37F4" w:rsidP="00925F26">
      <w:pPr>
        <w:jc w:val="both"/>
        <w:rPr>
          <w:color w:val="000000" w:themeColor="text1"/>
          <w:sz w:val="16"/>
          <w:szCs w:val="16"/>
        </w:rPr>
      </w:pPr>
      <w:r w:rsidRPr="00925F26">
        <w:rPr>
          <w:color w:val="000000" w:themeColor="text1"/>
          <w:sz w:val="16"/>
          <w:szCs w:val="16"/>
        </w:rPr>
        <w:t>8. Установить лимит на расходование бензина в размере 600 литров в месяц для одной легковой машины опытного завода и одной легковой машины Государственного центрального конструкторского бюро № I Наркомбоеприпасов.</w:t>
      </w:r>
    </w:p>
    <w:p w14:paraId="3E92BD87" w14:textId="77777777" w:rsidR="001D37F4" w:rsidRPr="00925F26" w:rsidRDefault="001D37F4" w:rsidP="00925F26">
      <w:pPr>
        <w:jc w:val="both"/>
        <w:rPr>
          <w:color w:val="000000" w:themeColor="text1"/>
          <w:sz w:val="16"/>
          <w:szCs w:val="16"/>
        </w:rPr>
      </w:pPr>
      <w:r w:rsidRPr="00925F26">
        <w:rPr>
          <w:color w:val="000000" w:themeColor="text1"/>
          <w:sz w:val="16"/>
          <w:szCs w:val="16"/>
        </w:rPr>
        <w:t>9. Распространить на работников Государственного центрального конструкторского бюро № I Наркомата боеприпасов льготы, установленные постановлением ГОКО от 18 февраля 1944 г. № 5201 для научно-исследовательского реактивного института Наркомавиапрома в части дополнительной оплаты за учёные степени и знание языков.</w:t>
      </w:r>
    </w:p>
    <w:p w14:paraId="1E7DBF4F" w14:textId="77777777" w:rsidR="001D37F4" w:rsidRPr="00925F26" w:rsidRDefault="001D37F4" w:rsidP="00925F26">
      <w:pPr>
        <w:jc w:val="both"/>
        <w:rPr>
          <w:color w:val="000000" w:themeColor="text1"/>
          <w:sz w:val="16"/>
          <w:szCs w:val="16"/>
        </w:rPr>
      </w:pPr>
      <w:r w:rsidRPr="00925F26">
        <w:rPr>
          <w:color w:val="000000" w:themeColor="text1"/>
          <w:sz w:val="16"/>
          <w:szCs w:val="16"/>
        </w:rPr>
        <w:t>Председатель Государственного Комитета Обороны И. Сталин</w:t>
      </w:r>
    </w:p>
    <w:p w14:paraId="5920F651" w14:textId="77777777" w:rsidR="001D37F4" w:rsidRPr="00925F26" w:rsidRDefault="001D37F4" w:rsidP="00925F26">
      <w:pPr>
        <w:jc w:val="both"/>
        <w:rPr>
          <w:color w:val="000000" w:themeColor="text1"/>
          <w:sz w:val="16"/>
          <w:szCs w:val="16"/>
        </w:rPr>
      </w:pPr>
      <w:r w:rsidRPr="00925F26">
        <w:rPr>
          <w:color w:val="000000" w:themeColor="text1"/>
          <w:sz w:val="16"/>
          <w:szCs w:val="16"/>
        </w:rPr>
        <w:t>Помета: «Подпись т. Сталина см. Г0К0-8204 (список)» (23969).</w:t>
      </w:r>
    </w:p>
    <w:p w14:paraId="6096593D" w14:textId="77777777" w:rsidR="001D37F4" w:rsidRPr="00925F26" w:rsidRDefault="001D37F4" w:rsidP="00925F26">
      <w:pPr>
        <w:jc w:val="both"/>
        <w:rPr>
          <w:color w:val="000000" w:themeColor="text1"/>
          <w:sz w:val="16"/>
          <w:szCs w:val="16"/>
        </w:rPr>
      </w:pPr>
    </w:p>
    <w:p w14:paraId="12A63781" w14:textId="77777777" w:rsidR="006979C2" w:rsidRPr="00925F26" w:rsidRDefault="006979C2" w:rsidP="00925F26">
      <w:pPr>
        <w:jc w:val="both"/>
        <w:rPr>
          <w:color w:val="000000" w:themeColor="text1"/>
          <w:sz w:val="16"/>
          <w:szCs w:val="16"/>
        </w:rPr>
      </w:pPr>
      <w:r w:rsidRPr="00925F26">
        <w:rPr>
          <w:color w:val="000000" w:themeColor="text1"/>
          <w:sz w:val="16"/>
          <w:szCs w:val="16"/>
        </w:rPr>
        <w:t>19 апреля 1945 г. ПИСЬМО НАРКОМА БОЕПРИПАСОВ Б.Л. ВАННИКОВА, НАЧАЛЬНИКА ГЛАВНОГО АРТИЛЛЕРИЙСКОГО УПРАВЛЕНИЯ КРАСНОЙ АРМИИ МАРШАЛА АРТИЛЛЕРИИ Н. ЯКОВЛЕВА, СЕКРЕТАРЯ НОВОСИБИРСКОГО ОБКОМА ВКП(б) М.В. КУЛАГИНА</w:t>
      </w:r>
    </w:p>
    <w:p w14:paraId="0DAC0045" w14:textId="77777777" w:rsidR="006979C2" w:rsidRPr="00925F26" w:rsidRDefault="006979C2" w:rsidP="00925F26">
      <w:pPr>
        <w:jc w:val="both"/>
        <w:rPr>
          <w:color w:val="000000" w:themeColor="text1"/>
          <w:sz w:val="16"/>
          <w:szCs w:val="16"/>
        </w:rPr>
      </w:pPr>
      <w:r w:rsidRPr="00925F26">
        <w:rPr>
          <w:color w:val="000000" w:themeColor="text1"/>
          <w:sz w:val="16"/>
          <w:szCs w:val="16"/>
        </w:rPr>
        <w:t>Заместителю Председателя Совета Народных Комиссаров Союза ССР</w:t>
      </w:r>
    </w:p>
    <w:p w14:paraId="1A931795" w14:textId="77777777" w:rsidR="006979C2" w:rsidRPr="00925F26" w:rsidRDefault="006979C2" w:rsidP="00925F26">
      <w:pPr>
        <w:jc w:val="both"/>
        <w:rPr>
          <w:color w:val="000000" w:themeColor="text1"/>
          <w:sz w:val="16"/>
          <w:szCs w:val="16"/>
        </w:rPr>
      </w:pPr>
      <w:r w:rsidRPr="00925F26">
        <w:rPr>
          <w:color w:val="000000" w:themeColor="text1"/>
          <w:sz w:val="16"/>
          <w:szCs w:val="16"/>
        </w:rPr>
        <w:t>тов. Берия Л.П.</w:t>
      </w:r>
    </w:p>
    <w:p w14:paraId="17FC71AB" w14:textId="77777777" w:rsidR="006979C2" w:rsidRPr="00925F26" w:rsidRDefault="006979C2" w:rsidP="00925F26">
      <w:pPr>
        <w:jc w:val="both"/>
        <w:rPr>
          <w:color w:val="000000" w:themeColor="text1"/>
          <w:sz w:val="16"/>
          <w:szCs w:val="16"/>
        </w:rPr>
      </w:pPr>
      <w:r w:rsidRPr="00925F26">
        <w:rPr>
          <w:color w:val="000000" w:themeColor="text1"/>
          <w:sz w:val="16"/>
          <w:szCs w:val="16"/>
        </w:rPr>
        <w:t>Комбинат № 179 НКБ является крупнейшим предприятием по производству наиболее важных корпусов снарядов. Систематически совершенствуя технологический процесс, механизируя трудоемкие работы, комбинат успешно справляется с выполнением государственного плана. В начале 1944 года коллектив комбината взял обязательство без дополнительного оборудования и рабочей силы выпуск корпусов к 1 июня 1944 года довести по 76 мм до 1 000 000 штук и 122, 152 мм снарядам до 200,0 тыс. штук в месяц. В мае 1944 года комбинат выполнил это обязательство, дав прирост по сравнению с январем 1944 г. почти на 400,0 тыс. корпусов. В июне 1944 года директор комбината т. Саханицкий, будучи у Вас на приеме, взял обязательство за счет дальнейшего совершенствования технологии производства, без дополнительного оборудования, увеличить выпуск корпусов снарядов на 20—25%. И это обязательство комбинат выполнил, несмотря на особые трудности зимнего времени, достигнув выпуска по 76 мм корпусам — 1 300,0 тыс. штук и 100, 122, 152 мм - до 225,0 тыс. штук. В конце февраля с.г. комбинату было поручено срочно организовать производство 100 мм осколочно-фугасных корпусов. В предельно короткий срок комбинат освоил производство 100 мм корпусов, наладил их массовый выпуск, перевыполняя установленный план ГКО. В текущем году комбинатом разработана новая конструкция 76 мм корпусов снарядов, которая дает только по комбинату экономии металла 1 000 тонн в месяц. Комбинат № 179 в течение 18 месяцев держит переходящее Красное знамя ЦК ВКП(б), в том числе 13 месяцев непрерывно. В настоящее время коллектив комбината работает по дальнейшему наращиванию мощностей, ставя своей целью в ближайшие 2-3 месяца довести выпуск 76 мм корпусов до 1,5—1,6 млн. штук и крупных калибров до 240-250 тыс. штук в месяц, главным образом за счет дальнейшего улучшения технологии и механизации производства. Учитывая особые заслуги комбината в деле обеспечения Красной Армии важнейшими калибрами боеприпасов, считаем возможным просить Вас ходатайствовать о награждении комбината № 179 орденом Красного Знамени, а наиболее отличившихся рабочих, ИТР и служащих представить к награждению орденами и медалями.</w:t>
      </w:r>
    </w:p>
    <w:p w14:paraId="4AA16BFC" w14:textId="77777777" w:rsidR="006979C2" w:rsidRPr="00925F26" w:rsidRDefault="006979C2" w:rsidP="00925F26">
      <w:pPr>
        <w:jc w:val="both"/>
        <w:rPr>
          <w:color w:val="000000" w:themeColor="text1"/>
          <w:sz w:val="16"/>
          <w:szCs w:val="16"/>
        </w:rPr>
      </w:pPr>
      <w:r w:rsidRPr="00925F26">
        <w:rPr>
          <w:color w:val="000000" w:themeColor="text1"/>
          <w:sz w:val="16"/>
          <w:szCs w:val="16"/>
        </w:rPr>
        <w:t>Приложение: Список представленных к правительственным наградам.</w:t>
      </w:r>
    </w:p>
    <w:p w14:paraId="2DB88B99" w14:textId="77777777" w:rsidR="006979C2" w:rsidRPr="00925F26" w:rsidRDefault="006979C2" w:rsidP="00925F26">
      <w:pPr>
        <w:jc w:val="both"/>
        <w:rPr>
          <w:color w:val="000000" w:themeColor="text1"/>
          <w:sz w:val="16"/>
          <w:szCs w:val="16"/>
        </w:rPr>
      </w:pPr>
      <w:r w:rsidRPr="00925F26">
        <w:rPr>
          <w:color w:val="000000" w:themeColor="text1"/>
          <w:sz w:val="16"/>
          <w:szCs w:val="16"/>
        </w:rPr>
        <w:t>Народный комиссар боеприпасов СССР Б. Ванников</w:t>
      </w:r>
    </w:p>
    <w:p w14:paraId="1BD03963" w14:textId="77777777" w:rsidR="006979C2" w:rsidRPr="00925F26" w:rsidRDefault="006979C2" w:rsidP="00925F26">
      <w:pPr>
        <w:jc w:val="both"/>
        <w:rPr>
          <w:color w:val="000000" w:themeColor="text1"/>
          <w:sz w:val="16"/>
          <w:szCs w:val="16"/>
        </w:rPr>
      </w:pPr>
      <w:r w:rsidRPr="00925F26">
        <w:rPr>
          <w:color w:val="000000" w:themeColor="text1"/>
          <w:sz w:val="16"/>
          <w:szCs w:val="16"/>
        </w:rPr>
        <w:t>Начальник Главного артиллерийского управления, маршал артиллерии Н. Яковлев</w:t>
      </w:r>
    </w:p>
    <w:p w14:paraId="1E364569" w14:textId="77777777" w:rsidR="006979C2" w:rsidRPr="00925F26" w:rsidRDefault="006979C2" w:rsidP="00925F26">
      <w:pPr>
        <w:jc w:val="both"/>
        <w:rPr>
          <w:color w:val="000000" w:themeColor="text1"/>
          <w:sz w:val="16"/>
          <w:szCs w:val="16"/>
        </w:rPr>
      </w:pPr>
      <w:r w:rsidRPr="00925F26">
        <w:rPr>
          <w:color w:val="000000" w:themeColor="text1"/>
          <w:sz w:val="16"/>
          <w:szCs w:val="16"/>
        </w:rPr>
        <w:t>Секретарь Новосибирского обкома ВКП(б) М. Кулагин</w:t>
      </w:r>
    </w:p>
    <w:p w14:paraId="23119AB3" w14:textId="77777777" w:rsidR="006979C2" w:rsidRPr="00925F26" w:rsidRDefault="006979C2" w:rsidP="00925F26">
      <w:pPr>
        <w:jc w:val="both"/>
        <w:rPr>
          <w:color w:val="000000" w:themeColor="text1"/>
          <w:sz w:val="16"/>
          <w:szCs w:val="16"/>
        </w:rPr>
      </w:pPr>
      <w:r w:rsidRPr="00925F26">
        <w:rPr>
          <w:color w:val="000000" w:themeColor="text1"/>
          <w:sz w:val="16"/>
          <w:szCs w:val="16"/>
        </w:rPr>
        <w:t>ГАНО. Ф. П-4. О». 9. Д. 348. Л. 77-78. Заверенная копия (12194).</w:t>
      </w:r>
    </w:p>
    <w:p w14:paraId="7568786D" w14:textId="77777777" w:rsidR="006979C2" w:rsidRPr="00925F26" w:rsidRDefault="006979C2" w:rsidP="00925F26">
      <w:pPr>
        <w:jc w:val="both"/>
        <w:rPr>
          <w:color w:val="000000" w:themeColor="text1"/>
          <w:sz w:val="16"/>
          <w:szCs w:val="16"/>
        </w:rPr>
      </w:pPr>
    </w:p>
    <w:p w14:paraId="43E0DE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8150 О снятии взысканий с Хрулева А.В., Драчева П.И., Сусайкова И.З. и Петрова И.Ф. РГАНИР, Фонд ГКО, д. 400, лл. 98 (11012).</w:t>
      </w:r>
    </w:p>
    <w:p w14:paraId="24CAFD58" w14:textId="77777777" w:rsidR="00665165" w:rsidRPr="00925F26" w:rsidRDefault="00665165" w:rsidP="00925F26">
      <w:pPr>
        <w:autoSpaceDE w:val="0"/>
        <w:autoSpaceDN w:val="0"/>
        <w:adjustRightInd w:val="0"/>
        <w:jc w:val="both"/>
        <w:rPr>
          <w:color w:val="000000" w:themeColor="text1"/>
          <w:sz w:val="16"/>
          <w:szCs w:val="16"/>
        </w:rPr>
      </w:pPr>
    </w:p>
    <w:p w14:paraId="1A65ED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8151 Об увеличении производства и улучшении качества карманных и наручных часов, выпускаемых заводами Наркомминвооружения. РГАНИР, Фонд ГКО, д. 400, лл. 99-103, 104-130 (11012).</w:t>
      </w:r>
    </w:p>
    <w:p w14:paraId="53602989" w14:textId="77777777" w:rsidR="00665165" w:rsidRPr="00925F26" w:rsidRDefault="00665165" w:rsidP="00925F26">
      <w:pPr>
        <w:autoSpaceDE w:val="0"/>
        <w:autoSpaceDN w:val="0"/>
        <w:adjustRightInd w:val="0"/>
        <w:jc w:val="both"/>
        <w:rPr>
          <w:color w:val="000000" w:themeColor="text1"/>
          <w:sz w:val="16"/>
          <w:szCs w:val="16"/>
        </w:rPr>
      </w:pPr>
    </w:p>
    <w:p w14:paraId="2B264DB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8152 О распределении металла, труб и метизов на капитальное строительство на II квартал 1945 г. (7327, 131,132-145).</w:t>
      </w:r>
    </w:p>
    <w:p w14:paraId="7780B40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8874F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8153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II квартал 1945 г. (7328, 1-2,3-27).</w:t>
      </w:r>
    </w:p>
    <w:p w14:paraId="50FC3FE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2CA4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8154 О мероприятиях по материально-техническому обеспечению предприятий Наркомата электропромышленности во II квартале 1945 года. РГАНИР, Фонд ГКО, д. 401, лл. 28-31, 32-59 (11012).</w:t>
      </w:r>
    </w:p>
    <w:p w14:paraId="63A0B789" w14:textId="77777777" w:rsidR="00665165" w:rsidRPr="00925F26" w:rsidRDefault="00665165" w:rsidP="00925F26">
      <w:pPr>
        <w:autoSpaceDE w:val="0"/>
        <w:autoSpaceDN w:val="0"/>
        <w:adjustRightInd w:val="0"/>
        <w:jc w:val="both"/>
        <w:rPr>
          <w:color w:val="000000" w:themeColor="text1"/>
          <w:sz w:val="16"/>
          <w:szCs w:val="16"/>
        </w:rPr>
      </w:pPr>
    </w:p>
    <w:p w14:paraId="27ADFC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8156 О вывозе оборудования с артиллерийского завода "Венский арсенал" в г. Вена. РГАНИР, Фонд ГКО, д. 401, лл. 63-64 (11012).</w:t>
      </w:r>
    </w:p>
    <w:p w14:paraId="58B227C4" w14:textId="77777777" w:rsidR="00665165" w:rsidRPr="00925F26" w:rsidRDefault="00665165" w:rsidP="00925F26">
      <w:pPr>
        <w:autoSpaceDE w:val="0"/>
        <w:autoSpaceDN w:val="0"/>
        <w:adjustRightInd w:val="0"/>
        <w:jc w:val="both"/>
        <w:rPr>
          <w:color w:val="000000" w:themeColor="text1"/>
          <w:sz w:val="16"/>
          <w:szCs w:val="16"/>
        </w:rPr>
      </w:pPr>
    </w:p>
    <w:p w14:paraId="45AC7D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8157 О вывозе оборудования и материалов с машиностроительного завода фирмы "Маннесман Трауцерверк" в г. Вена. РГАНИР, Фонд ГКО, д. 401, лл. 65-66 (11012).</w:t>
      </w:r>
    </w:p>
    <w:p w14:paraId="054CA038" w14:textId="77777777" w:rsidR="00665165" w:rsidRPr="00925F26" w:rsidRDefault="00665165" w:rsidP="00925F26">
      <w:pPr>
        <w:autoSpaceDE w:val="0"/>
        <w:autoSpaceDN w:val="0"/>
        <w:adjustRightInd w:val="0"/>
        <w:jc w:val="both"/>
        <w:rPr>
          <w:color w:val="000000" w:themeColor="text1"/>
          <w:sz w:val="16"/>
          <w:szCs w:val="16"/>
        </w:rPr>
      </w:pPr>
    </w:p>
    <w:p w14:paraId="67AB33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8159 О вывозе оборудования с радиотехнического, радиолампового и аккумуляторного заводов в г. Вена на заводы Наркомэлектропрома. РГАНИР, Фонд ГКО, д. 401, лл. 69-70 (11012).</w:t>
      </w:r>
    </w:p>
    <w:p w14:paraId="2DEE0BF2" w14:textId="77777777" w:rsidR="00665165" w:rsidRPr="00925F26" w:rsidRDefault="00665165" w:rsidP="00925F26">
      <w:pPr>
        <w:autoSpaceDE w:val="0"/>
        <w:autoSpaceDN w:val="0"/>
        <w:adjustRightInd w:val="0"/>
        <w:jc w:val="both"/>
        <w:rPr>
          <w:color w:val="000000" w:themeColor="text1"/>
          <w:sz w:val="16"/>
          <w:szCs w:val="16"/>
        </w:rPr>
      </w:pPr>
    </w:p>
    <w:p w14:paraId="204D14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8160 О вывозе оборудования фирмы "Карл-Энглинг" в г. Вормдитт (Восточная Пруссия). РГАНИР, Фонд ГКО, д. 401, лл. 71-72 (11012).</w:t>
      </w:r>
    </w:p>
    <w:p w14:paraId="481E77C1" w14:textId="77777777" w:rsidR="00665165" w:rsidRPr="00925F26" w:rsidRDefault="00665165" w:rsidP="00925F26">
      <w:pPr>
        <w:autoSpaceDE w:val="0"/>
        <w:autoSpaceDN w:val="0"/>
        <w:adjustRightInd w:val="0"/>
        <w:jc w:val="both"/>
        <w:rPr>
          <w:color w:val="000000" w:themeColor="text1"/>
          <w:sz w:val="16"/>
          <w:szCs w:val="16"/>
        </w:rPr>
      </w:pPr>
    </w:p>
    <w:p w14:paraId="53E4F1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8161 О вывозе турбогенератора мощностью 20 тысяч киловатт и одного котла с электростанции в г. Эльбинг, оборудования высоковольтных сетей из района г. Ландсберга и другого оборудования на предприятия Наркомэлектростанций. РГАНИР, Фонд ГКО, д. 401, лл. 73-75 (11012).</w:t>
      </w:r>
    </w:p>
    <w:p w14:paraId="1106BD79" w14:textId="77777777" w:rsidR="00665165" w:rsidRPr="00925F26" w:rsidRDefault="00665165" w:rsidP="00925F26">
      <w:pPr>
        <w:autoSpaceDE w:val="0"/>
        <w:autoSpaceDN w:val="0"/>
        <w:adjustRightInd w:val="0"/>
        <w:jc w:val="both"/>
        <w:rPr>
          <w:color w:val="000000" w:themeColor="text1"/>
          <w:sz w:val="16"/>
          <w:szCs w:val="16"/>
        </w:rPr>
      </w:pPr>
    </w:p>
    <w:p w14:paraId="4A9F93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8163 О вывозе оборудования сернокислотных цехов с завода нитроглицериновых порохов фирмы "Альфред Нобель и К'" в г. Бромберг. РГАНИР, Фонд ГКО, д. 401, лл. 79-80 (11012).</w:t>
      </w:r>
    </w:p>
    <w:p w14:paraId="66E715C8" w14:textId="77777777" w:rsidR="00665165" w:rsidRPr="00925F26" w:rsidRDefault="00665165" w:rsidP="00925F26">
      <w:pPr>
        <w:autoSpaceDE w:val="0"/>
        <w:autoSpaceDN w:val="0"/>
        <w:adjustRightInd w:val="0"/>
        <w:jc w:val="both"/>
        <w:rPr>
          <w:color w:val="000000" w:themeColor="text1"/>
          <w:sz w:val="16"/>
          <w:szCs w:val="16"/>
        </w:rPr>
      </w:pPr>
    </w:p>
    <w:p w14:paraId="4A3B96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8164 О вывозе металлообрабатывающего и металлургического оборудования с немецкого завода "Вайс-Манфред" в г. Будапешт. РГАНИР, Фонд ГКО, д. 401, лл. 81-82 (11012).</w:t>
      </w:r>
    </w:p>
    <w:p w14:paraId="6B06248A" w14:textId="77777777" w:rsidR="00665165" w:rsidRPr="00925F26" w:rsidRDefault="00665165" w:rsidP="00925F26">
      <w:pPr>
        <w:autoSpaceDE w:val="0"/>
        <w:autoSpaceDN w:val="0"/>
        <w:adjustRightInd w:val="0"/>
        <w:jc w:val="both"/>
        <w:rPr>
          <w:color w:val="000000" w:themeColor="text1"/>
          <w:sz w:val="16"/>
          <w:szCs w:val="16"/>
        </w:rPr>
      </w:pPr>
    </w:p>
    <w:p w14:paraId="65B4BF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8165 О вывозе оборудования немецкого цинкопрокатного завода в г. Олау на предприятия Наркомцветмета. РГАНИР, Фонд ГКО, д. 401, лл. 83-84 (11012).</w:t>
      </w:r>
    </w:p>
    <w:p w14:paraId="6228B3A5" w14:textId="77777777" w:rsidR="00665165" w:rsidRPr="00925F26" w:rsidRDefault="00665165" w:rsidP="00925F26">
      <w:pPr>
        <w:autoSpaceDE w:val="0"/>
        <w:autoSpaceDN w:val="0"/>
        <w:adjustRightInd w:val="0"/>
        <w:jc w:val="both"/>
        <w:rPr>
          <w:color w:val="000000" w:themeColor="text1"/>
          <w:sz w:val="16"/>
          <w:szCs w:val="16"/>
        </w:rPr>
      </w:pPr>
    </w:p>
    <w:p w14:paraId="4E809C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8166 О вывозе химических производств с комбината фирмы "Динамит Акциенгезельшафт" в г. Христианштадт. РГАНИР, Фонд ГКО, д. 401, лл. 85-86 (11012).</w:t>
      </w:r>
    </w:p>
    <w:p w14:paraId="36F559DF" w14:textId="77777777" w:rsidR="00665165" w:rsidRPr="00925F26" w:rsidRDefault="00665165" w:rsidP="00925F26">
      <w:pPr>
        <w:autoSpaceDE w:val="0"/>
        <w:autoSpaceDN w:val="0"/>
        <w:adjustRightInd w:val="0"/>
        <w:jc w:val="both"/>
        <w:rPr>
          <w:color w:val="000000" w:themeColor="text1"/>
          <w:sz w:val="16"/>
          <w:szCs w:val="16"/>
        </w:rPr>
      </w:pPr>
    </w:p>
    <w:p w14:paraId="7D8597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8167 О вывозе оборудования с немецкого электродного завода фирмы "Сименс Планиа Верке" в г. Ратибор. РГАНИР, Фонд ГКО, д. 401, лл. 87-88, 89 (11012).</w:t>
      </w:r>
    </w:p>
    <w:p w14:paraId="091E755D" w14:textId="77777777" w:rsidR="00665165" w:rsidRPr="00925F26" w:rsidRDefault="00665165" w:rsidP="00925F26">
      <w:pPr>
        <w:autoSpaceDE w:val="0"/>
        <w:autoSpaceDN w:val="0"/>
        <w:adjustRightInd w:val="0"/>
        <w:jc w:val="both"/>
        <w:rPr>
          <w:color w:val="000000" w:themeColor="text1"/>
          <w:sz w:val="16"/>
          <w:szCs w:val="16"/>
        </w:rPr>
      </w:pPr>
    </w:p>
    <w:p w14:paraId="708920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8168 О вывозе оборудования с немецких электромеханических и радиотехнических предприятий в г. г. Бреславль, Бриг, Грюнберг, Фрейштадт, Зорау и Кюстрин на заводы Наркомэлектропрома. РГАНИР, Фонд ГКО, д. 401, лл. 90-92 (11012).</w:t>
      </w:r>
    </w:p>
    <w:p w14:paraId="579FF741" w14:textId="77777777" w:rsidR="00665165" w:rsidRPr="00925F26" w:rsidRDefault="00665165" w:rsidP="00925F26">
      <w:pPr>
        <w:autoSpaceDE w:val="0"/>
        <w:autoSpaceDN w:val="0"/>
        <w:adjustRightInd w:val="0"/>
        <w:jc w:val="both"/>
        <w:rPr>
          <w:color w:val="000000" w:themeColor="text1"/>
          <w:sz w:val="16"/>
          <w:szCs w:val="16"/>
        </w:rPr>
      </w:pPr>
    </w:p>
    <w:p w14:paraId="2EDD52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8169 О вывозе оборудования и материалов с комбината "И.Г. Фарбениндустри" в г. Ландсберг. РГАНИР, Фонд ГКО, д. 401, лл. 93-94 (11012).</w:t>
      </w:r>
    </w:p>
    <w:p w14:paraId="7BBC7D4B" w14:textId="77777777" w:rsidR="00665165" w:rsidRPr="00925F26" w:rsidRDefault="00665165" w:rsidP="00925F26">
      <w:pPr>
        <w:autoSpaceDE w:val="0"/>
        <w:autoSpaceDN w:val="0"/>
        <w:adjustRightInd w:val="0"/>
        <w:jc w:val="both"/>
        <w:rPr>
          <w:color w:val="000000" w:themeColor="text1"/>
          <w:sz w:val="16"/>
          <w:szCs w:val="16"/>
        </w:rPr>
      </w:pPr>
    </w:p>
    <w:p w14:paraId="091F95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8170 О вывозе оборудования с немецких целлюлозно-бумажных предприятий в г. г. Франфурт-на-Одере, Альтдамм, Реппен, Хокенкруг, Кезлин, Заган, Барге, Крапитц, Бунцлау, Альтэльс, Гайнау, Оберлешен, Ма льтш , Козель и Закрау. РГАНИР, Фонд ГКО, д. 401, лл. 95-99 (11012).</w:t>
      </w:r>
    </w:p>
    <w:p w14:paraId="1BB7B8C1" w14:textId="77777777" w:rsidR="00665165" w:rsidRPr="00925F26" w:rsidRDefault="00665165" w:rsidP="00925F26">
      <w:pPr>
        <w:autoSpaceDE w:val="0"/>
        <w:autoSpaceDN w:val="0"/>
        <w:adjustRightInd w:val="0"/>
        <w:jc w:val="both"/>
        <w:rPr>
          <w:color w:val="000000" w:themeColor="text1"/>
          <w:sz w:val="16"/>
          <w:szCs w:val="16"/>
        </w:rPr>
      </w:pPr>
    </w:p>
    <w:p w14:paraId="723788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8171 О вывозе оборудования с электростанции в г. Бельгард на металлургический завод Наркомчермета. РГАНИР, Фонд ГКО, д. 401, лл. 100 (11012).</w:t>
      </w:r>
    </w:p>
    <w:p w14:paraId="5785EFE9" w14:textId="77777777" w:rsidR="00665165" w:rsidRPr="00925F26" w:rsidRDefault="00665165" w:rsidP="00925F26">
      <w:pPr>
        <w:autoSpaceDE w:val="0"/>
        <w:autoSpaceDN w:val="0"/>
        <w:adjustRightInd w:val="0"/>
        <w:jc w:val="both"/>
        <w:rPr>
          <w:color w:val="000000" w:themeColor="text1"/>
          <w:sz w:val="16"/>
          <w:szCs w:val="16"/>
        </w:rPr>
      </w:pPr>
    </w:p>
    <w:p w14:paraId="4851A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8172 О вывозе оборудования с немецких заводов и шахт на предприятия Наркомугля и Наркомстанкостроения. РГАНИР, Фонд ГКО, д. 401, лл. 101-103 (11012).</w:t>
      </w:r>
    </w:p>
    <w:p w14:paraId="7F6C27DA" w14:textId="77777777" w:rsidR="00665165" w:rsidRPr="00925F26" w:rsidRDefault="00665165" w:rsidP="00925F26">
      <w:pPr>
        <w:autoSpaceDE w:val="0"/>
        <w:autoSpaceDN w:val="0"/>
        <w:adjustRightInd w:val="0"/>
        <w:jc w:val="both"/>
        <w:rPr>
          <w:color w:val="000000" w:themeColor="text1"/>
          <w:sz w:val="16"/>
          <w:szCs w:val="16"/>
        </w:rPr>
      </w:pPr>
    </w:p>
    <w:p w14:paraId="7341C3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8173 О вывозе оборудования по производству деревообрабатывающих станков и лесопильных рам с немецких заводов фирмы "Тайхерт" и "Губиш" в г. Лигниц. РГАНИР, Фонд ГКО, д. 401, лл. 104-105 (11012).</w:t>
      </w:r>
    </w:p>
    <w:p w14:paraId="3CF0B9A7" w14:textId="77777777" w:rsidR="00665165" w:rsidRPr="00925F26" w:rsidRDefault="00665165" w:rsidP="00925F26">
      <w:pPr>
        <w:autoSpaceDE w:val="0"/>
        <w:autoSpaceDN w:val="0"/>
        <w:adjustRightInd w:val="0"/>
        <w:jc w:val="both"/>
        <w:rPr>
          <w:color w:val="000000" w:themeColor="text1"/>
          <w:sz w:val="16"/>
          <w:szCs w:val="16"/>
        </w:rPr>
      </w:pPr>
    </w:p>
    <w:p w14:paraId="7A0F00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8175 О вывозе транспортных средств, судового и портового оборудования из немецких морских и речных портов. РГАНИР, Фонд ГКО, д. 401, лл. 108-111, 112-127 (11012).</w:t>
      </w:r>
    </w:p>
    <w:p w14:paraId="2C99D1DA" w14:textId="77777777" w:rsidR="00665165" w:rsidRPr="00925F26" w:rsidRDefault="00665165" w:rsidP="00925F26">
      <w:pPr>
        <w:autoSpaceDE w:val="0"/>
        <w:autoSpaceDN w:val="0"/>
        <w:adjustRightInd w:val="0"/>
        <w:jc w:val="both"/>
        <w:rPr>
          <w:color w:val="000000" w:themeColor="text1"/>
          <w:sz w:val="16"/>
          <w:szCs w:val="16"/>
        </w:rPr>
      </w:pPr>
    </w:p>
    <w:p w14:paraId="24146C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8176 О вывозе оборудования с немецкого паровозостроительного завода фирмы "Шихау" в г. Эльбинг. РГАНИР, Фонд ГКО, д. 401, лл. 128-129, 130-131 (11012).</w:t>
      </w:r>
    </w:p>
    <w:p w14:paraId="3E8D1EC5" w14:textId="77777777" w:rsidR="00665165" w:rsidRPr="00925F26" w:rsidRDefault="00665165" w:rsidP="00925F26">
      <w:pPr>
        <w:autoSpaceDE w:val="0"/>
        <w:autoSpaceDN w:val="0"/>
        <w:adjustRightInd w:val="0"/>
        <w:jc w:val="both"/>
        <w:rPr>
          <w:color w:val="000000" w:themeColor="text1"/>
          <w:sz w:val="16"/>
          <w:szCs w:val="16"/>
        </w:rPr>
      </w:pPr>
    </w:p>
    <w:p w14:paraId="46E24B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8177 О вывозе оборудования с машиностроительного завода фирмы "Карл Коенш и К`" в г. Алленштайн. РГАНИР, Фонд ГКО, д. 401, лл. 132-133 (11012).</w:t>
      </w:r>
    </w:p>
    <w:p w14:paraId="726DAE5D" w14:textId="77777777" w:rsidR="00665165" w:rsidRPr="00925F26" w:rsidRDefault="00665165" w:rsidP="00925F26">
      <w:pPr>
        <w:autoSpaceDE w:val="0"/>
        <w:autoSpaceDN w:val="0"/>
        <w:adjustRightInd w:val="0"/>
        <w:jc w:val="both"/>
        <w:rPr>
          <w:color w:val="000000" w:themeColor="text1"/>
          <w:sz w:val="16"/>
          <w:szCs w:val="16"/>
        </w:rPr>
      </w:pPr>
    </w:p>
    <w:p w14:paraId="74C71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8178 О вывозе оборудования с немецких вагоноремонтных заводов в г. г. Оппельн и Глейвиц. РГАНИР, Фонд ГКО, д. 401, лл. 134-135 (11012).</w:t>
      </w:r>
    </w:p>
    <w:p w14:paraId="14CA4686" w14:textId="77777777" w:rsidR="00665165" w:rsidRPr="00925F26" w:rsidRDefault="00665165" w:rsidP="00925F26">
      <w:pPr>
        <w:autoSpaceDE w:val="0"/>
        <w:autoSpaceDN w:val="0"/>
        <w:adjustRightInd w:val="0"/>
        <w:jc w:val="both"/>
        <w:rPr>
          <w:color w:val="000000" w:themeColor="text1"/>
          <w:sz w:val="16"/>
          <w:szCs w:val="16"/>
        </w:rPr>
      </w:pPr>
    </w:p>
    <w:p w14:paraId="2F004F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8179 О вывозе оборудования с немецких заводов в г. г. Быдгощ и Крафтборн на заводы Наркомтяжмаша. РГАНИР, Фонд ГКО, д. 401, лл. 136-137 (11012).</w:t>
      </w:r>
    </w:p>
    <w:p w14:paraId="39F042C0" w14:textId="77777777" w:rsidR="00665165" w:rsidRPr="00925F26" w:rsidRDefault="00665165" w:rsidP="00925F26">
      <w:pPr>
        <w:autoSpaceDE w:val="0"/>
        <w:autoSpaceDN w:val="0"/>
        <w:adjustRightInd w:val="0"/>
        <w:jc w:val="both"/>
        <w:rPr>
          <w:color w:val="000000" w:themeColor="text1"/>
          <w:sz w:val="16"/>
          <w:szCs w:val="16"/>
        </w:rPr>
      </w:pPr>
    </w:p>
    <w:p w14:paraId="513D9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8180 О вывозе металлообрабатывающего оборудования с немецких механических заводов и мастерских в г. г. Парадис, Витце, Арнсвальде, Альт-Варбе (Германия). РГАНИР, Фонд ГКО, д. 401, лл. 138-139 (11012).</w:t>
      </w:r>
    </w:p>
    <w:p w14:paraId="429ECE83" w14:textId="77777777" w:rsidR="00665165" w:rsidRPr="00925F26" w:rsidRDefault="00665165" w:rsidP="00925F26">
      <w:pPr>
        <w:autoSpaceDE w:val="0"/>
        <w:autoSpaceDN w:val="0"/>
        <w:adjustRightInd w:val="0"/>
        <w:jc w:val="both"/>
        <w:rPr>
          <w:color w:val="000000" w:themeColor="text1"/>
          <w:sz w:val="16"/>
          <w:szCs w:val="16"/>
        </w:rPr>
      </w:pPr>
    </w:p>
    <w:p w14:paraId="61654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8181 О вывозе металлообрабатывающих и деревообрабатывающих станков, электромоторов и материалов со станции Кебанья-Олшу (район г. Будапешт). РГАНИР, Фонд ГКО, д. 401, лл. 140 (11012).</w:t>
      </w:r>
    </w:p>
    <w:p w14:paraId="05BB489B" w14:textId="77777777" w:rsidR="00665165" w:rsidRPr="00925F26" w:rsidRDefault="00665165" w:rsidP="00925F26">
      <w:pPr>
        <w:autoSpaceDE w:val="0"/>
        <w:autoSpaceDN w:val="0"/>
        <w:adjustRightInd w:val="0"/>
        <w:jc w:val="both"/>
        <w:rPr>
          <w:color w:val="000000" w:themeColor="text1"/>
          <w:sz w:val="16"/>
          <w:szCs w:val="16"/>
        </w:rPr>
      </w:pPr>
    </w:p>
    <w:p w14:paraId="7CDD0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8182 О вывозе станочного оборудования с немецкой модельно-механической фабрики фирмы "Отто Цинке" в г. Ландсберг. РГАНИР, Фонд ГКО, д. 401, лл. 141-142 (11012).</w:t>
      </w:r>
    </w:p>
    <w:p w14:paraId="463DECDA" w14:textId="77777777" w:rsidR="00665165" w:rsidRPr="00925F26" w:rsidRDefault="00665165" w:rsidP="00925F26">
      <w:pPr>
        <w:autoSpaceDE w:val="0"/>
        <w:autoSpaceDN w:val="0"/>
        <w:adjustRightInd w:val="0"/>
        <w:jc w:val="both"/>
        <w:rPr>
          <w:color w:val="000000" w:themeColor="text1"/>
          <w:sz w:val="16"/>
          <w:szCs w:val="16"/>
        </w:rPr>
      </w:pPr>
    </w:p>
    <w:p w14:paraId="50B42F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8183 О вывозе механизмов, узлов и деталей радиолокационной аппаратуры с немецких складов г. г. Бомст и Швибус. РГАНИР, Фонд ГКО, д. 401, лл. 143 (11012).</w:t>
      </w:r>
    </w:p>
    <w:p w14:paraId="2B94E5F2" w14:textId="77777777" w:rsidR="00665165" w:rsidRPr="00925F26" w:rsidRDefault="00665165" w:rsidP="00925F26">
      <w:pPr>
        <w:autoSpaceDE w:val="0"/>
        <w:autoSpaceDN w:val="0"/>
        <w:adjustRightInd w:val="0"/>
        <w:jc w:val="both"/>
        <w:rPr>
          <w:color w:val="000000" w:themeColor="text1"/>
          <w:sz w:val="16"/>
          <w:szCs w:val="16"/>
        </w:rPr>
      </w:pPr>
    </w:p>
    <w:p w14:paraId="0A464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8184 О вывозе трофейного оборудования связи. РГАНИР, Фонд ГКО, д. 401, лл. 144-146 (11012).</w:t>
      </w:r>
    </w:p>
    <w:p w14:paraId="45C3D9BC" w14:textId="77777777" w:rsidR="00665165" w:rsidRPr="00925F26" w:rsidRDefault="00665165" w:rsidP="00925F26">
      <w:pPr>
        <w:autoSpaceDE w:val="0"/>
        <w:autoSpaceDN w:val="0"/>
        <w:adjustRightInd w:val="0"/>
        <w:jc w:val="both"/>
        <w:rPr>
          <w:color w:val="000000" w:themeColor="text1"/>
          <w:sz w:val="16"/>
          <w:szCs w:val="16"/>
        </w:rPr>
      </w:pPr>
    </w:p>
    <w:p w14:paraId="0584D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8185 О вывозе оборудования немецких автоматических телефонных станций в г. г. Нойштеттин и Шлохау и трофейных материалов связи из г. Глейвиц. РГАНИР, Фонд ГКО, д. 401, лл. 147-148 (11012).</w:t>
      </w:r>
    </w:p>
    <w:p w14:paraId="5470240B" w14:textId="77777777" w:rsidR="00665165" w:rsidRPr="00925F26" w:rsidRDefault="00665165" w:rsidP="00925F26">
      <w:pPr>
        <w:autoSpaceDE w:val="0"/>
        <w:autoSpaceDN w:val="0"/>
        <w:adjustRightInd w:val="0"/>
        <w:jc w:val="both"/>
        <w:rPr>
          <w:color w:val="000000" w:themeColor="text1"/>
          <w:sz w:val="16"/>
          <w:szCs w:val="16"/>
        </w:rPr>
      </w:pPr>
    </w:p>
    <w:p w14:paraId="6D238E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8187 О вывозе метеорологических приборов и оборудования с немецкого склада и механической мастерской в г. Пфертен и из метеорологической обсерватории в г. Бреславль. РГАНИР, Фонд ГКО, д. 401, лл. 151-152 (11012).</w:t>
      </w:r>
    </w:p>
    <w:p w14:paraId="081693FD" w14:textId="77777777" w:rsidR="00665165" w:rsidRPr="00925F26" w:rsidRDefault="00665165" w:rsidP="00925F26">
      <w:pPr>
        <w:autoSpaceDE w:val="0"/>
        <w:autoSpaceDN w:val="0"/>
        <w:adjustRightInd w:val="0"/>
        <w:jc w:val="both"/>
        <w:rPr>
          <w:color w:val="000000" w:themeColor="text1"/>
          <w:sz w:val="16"/>
          <w:szCs w:val="16"/>
        </w:rPr>
      </w:pPr>
    </w:p>
    <w:p w14:paraId="653801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8188 О вывозе со склада 11-го авторемонтного завода в г. Грейвиц металлорежущих станков для авторемонтных заводов Наркомата автомобильного транспорта РСФСР. РГАНИР, Фонд ГКО, д. 401, лл. 153-154 (11012).</w:t>
      </w:r>
    </w:p>
    <w:p w14:paraId="30B11FC7" w14:textId="77777777" w:rsidR="00665165" w:rsidRPr="00925F26" w:rsidRDefault="00665165" w:rsidP="00925F26">
      <w:pPr>
        <w:autoSpaceDE w:val="0"/>
        <w:autoSpaceDN w:val="0"/>
        <w:adjustRightInd w:val="0"/>
        <w:jc w:val="both"/>
        <w:rPr>
          <w:color w:val="000000" w:themeColor="text1"/>
          <w:sz w:val="16"/>
          <w:szCs w:val="16"/>
        </w:rPr>
      </w:pPr>
    </w:p>
    <w:p w14:paraId="161CD9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8189 О вывозе оборудования и материалов немецких текстильных предприятий в г. Ландсберг и Гогентаннен (вблизи г. Кенигсвальде) на заводы Наркомтекстиля СССР и склады ГУГМР. РГАНИР, Фонд ГКО, д. 401, лл. 155-156 (11012).</w:t>
      </w:r>
    </w:p>
    <w:p w14:paraId="6BC1A30B" w14:textId="77777777" w:rsidR="00665165" w:rsidRPr="00925F26" w:rsidRDefault="00665165" w:rsidP="00925F26">
      <w:pPr>
        <w:autoSpaceDE w:val="0"/>
        <w:autoSpaceDN w:val="0"/>
        <w:adjustRightInd w:val="0"/>
        <w:jc w:val="both"/>
        <w:rPr>
          <w:color w:val="000000" w:themeColor="text1"/>
          <w:sz w:val="16"/>
          <w:szCs w:val="16"/>
        </w:rPr>
      </w:pPr>
    </w:p>
    <w:p w14:paraId="7E98C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8190 О вывозе оборудования с немецких мельниц и элеваторов, находящихся в Восточной Пруссии, Бранденбурге и Померании. РГАНИР, Фонд ГКО, д. 401, лл. 157-158, 159-161 (11012).</w:t>
      </w:r>
    </w:p>
    <w:p w14:paraId="46F25BBA" w14:textId="77777777" w:rsidR="00665165" w:rsidRPr="00925F26" w:rsidRDefault="00665165" w:rsidP="00925F26">
      <w:pPr>
        <w:autoSpaceDE w:val="0"/>
        <w:autoSpaceDN w:val="0"/>
        <w:adjustRightInd w:val="0"/>
        <w:jc w:val="both"/>
        <w:rPr>
          <w:color w:val="000000" w:themeColor="text1"/>
          <w:sz w:val="16"/>
          <w:szCs w:val="16"/>
        </w:rPr>
      </w:pPr>
    </w:p>
    <w:p w14:paraId="5AB5C0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8191 О вывозе оборудования с немецких молоко- и мясоперерабатывающих заводов в Восточной Пруссии, Померании, Брандебурге и Немецкой Силезии. РГАНИР, Фонд ГКО, д. 401, лл. 162-163, 164-169 (11012).</w:t>
      </w:r>
    </w:p>
    <w:p w14:paraId="09B6C2C1" w14:textId="77777777" w:rsidR="00665165" w:rsidRPr="00925F26" w:rsidRDefault="00665165" w:rsidP="00925F26">
      <w:pPr>
        <w:autoSpaceDE w:val="0"/>
        <w:autoSpaceDN w:val="0"/>
        <w:adjustRightInd w:val="0"/>
        <w:jc w:val="both"/>
        <w:rPr>
          <w:color w:val="000000" w:themeColor="text1"/>
          <w:sz w:val="16"/>
          <w:szCs w:val="16"/>
        </w:rPr>
      </w:pPr>
    </w:p>
    <w:p w14:paraId="435A0F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8192 О вывозе оборудования с немецких сахарных и крахмалопаточных заводов в г. г. Розенбург, Арнсвальде, Грейнфенберг, Андсберг, Лукатц, Кройц, Швибус, Нойдамм и районах г. г. Штаргард и Пириц. РГАНИР, Фонд ГКО, д. 402, лл. 1-2, 3 (11012).</w:t>
      </w:r>
    </w:p>
    <w:p w14:paraId="7107D95F" w14:textId="77777777" w:rsidR="00665165" w:rsidRPr="00925F26" w:rsidRDefault="00665165" w:rsidP="00925F26">
      <w:pPr>
        <w:autoSpaceDE w:val="0"/>
        <w:autoSpaceDN w:val="0"/>
        <w:adjustRightInd w:val="0"/>
        <w:jc w:val="both"/>
        <w:rPr>
          <w:color w:val="000000" w:themeColor="text1"/>
          <w:sz w:val="16"/>
          <w:szCs w:val="16"/>
        </w:rPr>
      </w:pPr>
    </w:p>
    <w:p w14:paraId="552B0A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8193 О вывозе оборудования с немецких спиртовых и пивоваренных заводов в г. г. Унруштадт, Бомст, Геритц, Швибус, Ландсберг, Шнайдемюль, Кюстрин, Шмарзе, Цюлихау, Реппен, Зольдин, Фридеберг и их районах на заводы Наркомпищепрома СССР. РГАНИР, Фонд ГКО, д. 402, лл. 4-8, 9 (11012).</w:t>
      </w:r>
    </w:p>
    <w:p w14:paraId="6F3F77A4" w14:textId="77777777" w:rsidR="00665165" w:rsidRPr="00925F26" w:rsidRDefault="00665165" w:rsidP="00925F26">
      <w:pPr>
        <w:autoSpaceDE w:val="0"/>
        <w:autoSpaceDN w:val="0"/>
        <w:adjustRightInd w:val="0"/>
        <w:jc w:val="both"/>
        <w:rPr>
          <w:color w:val="000000" w:themeColor="text1"/>
          <w:sz w:val="16"/>
          <w:szCs w:val="16"/>
        </w:rPr>
      </w:pPr>
    </w:p>
    <w:p w14:paraId="70DDBA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8194 О вывозе электрооборудования, кабельных изделий и электротехнических материалов с немецких складов. РГАНИР, Фонд ГКО, д. 402, лл. 10-11, 12 (11012).</w:t>
      </w:r>
    </w:p>
    <w:p w14:paraId="0558E2C1" w14:textId="77777777" w:rsidR="00665165" w:rsidRPr="00925F26" w:rsidRDefault="00665165" w:rsidP="00925F26">
      <w:pPr>
        <w:autoSpaceDE w:val="0"/>
        <w:autoSpaceDN w:val="0"/>
        <w:adjustRightInd w:val="0"/>
        <w:jc w:val="both"/>
        <w:rPr>
          <w:color w:val="000000" w:themeColor="text1"/>
          <w:sz w:val="16"/>
          <w:szCs w:val="16"/>
        </w:rPr>
      </w:pPr>
    </w:p>
    <w:p w14:paraId="3DFFB2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19 апреля 1945 вышло Постановление ГКО № 8195 О вывозе сельскохозяйственных машин со склада завода фирмы "Гофер-Шранс" в г. Кшипешт (Венгрия). РГАНИР, Фонд ГКО, д. 402, лл. 13, 14-15 (11012).</w:t>
      </w:r>
    </w:p>
    <w:p w14:paraId="1577336E" w14:textId="77777777" w:rsidR="00665165" w:rsidRPr="00925F26" w:rsidRDefault="00665165" w:rsidP="00925F26">
      <w:pPr>
        <w:autoSpaceDE w:val="0"/>
        <w:autoSpaceDN w:val="0"/>
        <w:adjustRightInd w:val="0"/>
        <w:jc w:val="both"/>
        <w:rPr>
          <w:color w:val="000000" w:themeColor="text1"/>
          <w:sz w:val="16"/>
          <w:szCs w:val="16"/>
        </w:rPr>
      </w:pPr>
    </w:p>
    <w:p w14:paraId="18FCB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8197 О передаче Совнаркому РСФСР колесных тракторов ХТЗ. РГАНИР, Фонд ГКО, д. 402, лл. 17 (11012).</w:t>
      </w:r>
    </w:p>
    <w:p w14:paraId="313200E5" w14:textId="77777777" w:rsidR="00665165" w:rsidRPr="00925F26" w:rsidRDefault="00665165" w:rsidP="00925F26">
      <w:pPr>
        <w:autoSpaceDE w:val="0"/>
        <w:autoSpaceDN w:val="0"/>
        <w:adjustRightInd w:val="0"/>
        <w:jc w:val="both"/>
        <w:rPr>
          <w:color w:val="000000" w:themeColor="text1"/>
          <w:sz w:val="16"/>
          <w:szCs w:val="16"/>
        </w:rPr>
      </w:pPr>
    </w:p>
    <w:p w14:paraId="66592E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8198 Об организации Особого монтажного управления Наркомтяжмаша по демонтажу немецких заводов тяжелого машиностроения. РГАНИР, Фонд ГКО, д. 402, лл. 18-21 (11012).</w:t>
      </w:r>
    </w:p>
    <w:p w14:paraId="06479E69" w14:textId="77777777" w:rsidR="00665165" w:rsidRPr="00925F26" w:rsidRDefault="00665165" w:rsidP="00925F26">
      <w:pPr>
        <w:autoSpaceDE w:val="0"/>
        <w:autoSpaceDN w:val="0"/>
        <w:adjustRightInd w:val="0"/>
        <w:jc w:val="both"/>
        <w:rPr>
          <w:color w:val="000000" w:themeColor="text1"/>
          <w:sz w:val="16"/>
          <w:szCs w:val="16"/>
        </w:rPr>
      </w:pPr>
    </w:p>
    <w:p w14:paraId="0494C9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8199 О вывозе оборудования с завода органической химии и из химической лаборатории Берлинского политехникума в городе Пархвиц. РГАНИР, Фонд ГКО, д. 402, лл. 22 (11012).</w:t>
      </w:r>
    </w:p>
    <w:p w14:paraId="5B0DDADE" w14:textId="77777777" w:rsidR="00665165" w:rsidRPr="00925F26" w:rsidRDefault="00665165" w:rsidP="00925F26">
      <w:pPr>
        <w:autoSpaceDE w:val="0"/>
        <w:autoSpaceDN w:val="0"/>
        <w:adjustRightInd w:val="0"/>
        <w:jc w:val="both"/>
        <w:rPr>
          <w:color w:val="000000" w:themeColor="text1"/>
          <w:sz w:val="16"/>
          <w:szCs w:val="16"/>
        </w:rPr>
      </w:pPr>
    </w:p>
    <w:p w14:paraId="3D924E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8200 Об организации особых монтажных управлений Наркомцветмета по демонтажу оборудования немецких предприятий цветной металлургии. РГАНИР, Фонд ГКО, д. 402, лл. 23-26 (11012).</w:t>
      </w:r>
    </w:p>
    <w:p w14:paraId="30ED1FAB" w14:textId="77777777" w:rsidR="00665165" w:rsidRPr="00925F26" w:rsidRDefault="00665165" w:rsidP="00925F26">
      <w:pPr>
        <w:autoSpaceDE w:val="0"/>
        <w:autoSpaceDN w:val="0"/>
        <w:adjustRightInd w:val="0"/>
        <w:jc w:val="both"/>
        <w:rPr>
          <w:color w:val="000000" w:themeColor="text1"/>
          <w:sz w:val="16"/>
          <w:szCs w:val="16"/>
        </w:rPr>
      </w:pPr>
    </w:p>
    <w:p w14:paraId="13E4C2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8201 Об организации Особого монтажного управления Наркомчермета по демонтажу оборудования немецких предприятий черной металлургии. РГАНИР, Фонд ГКО, д. 402, лл. 27-31 (11012).</w:t>
      </w:r>
    </w:p>
    <w:p w14:paraId="49FB31FC" w14:textId="77777777" w:rsidR="00665165" w:rsidRPr="00925F26" w:rsidRDefault="00665165" w:rsidP="00925F26">
      <w:pPr>
        <w:autoSpaceDE w:val="0"/>
        <w:autoSpaceDN w:val="0"/>
        <w:adjustRightInd w:val="0"/>
        <w:jc w:val="both"/>
        <w:rPr>
          <w:color w:val="000000" w:themeColor="text1"/>
          <w:sz w:val="16"/>
          <w:szCs w:val="16"/>
        </w:rPr>
      </w:pPr>
    </w:p>
    <w:p w14:paraId="44B97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8202 О частичных изменениях в постановлениях ГОКО о вывозе оборудования немецких заводов с территории Польши. РГАНИР, Фонд ГКО, д. 402, лл. 32-33 (11012).</w:t>
      </w:r>
    </w:p>
    <w:p w14:paraId="1AE50A9A" w14:textId="77777777" w:rsidR="00665165" w:rsidRPr="00925F26" w:rsidRDefault="00665165" w:rsidP="00925F26">
      <w:pPr>
        <w:autoSpaceDE w:val="0"/>
        <w:autoSpaceDN w:val="0"/>
        <w:adjustRightInd w:val="0"/>
        <w:jc w:val="both"/>
        <w:rPr>
          <w:color w:val="000000" w:themeColor="text1"/>
          <w:sz w:val="16"/>
          <w:szCs w:val="16"/>
        </w:rPr>
      </w:pPr>
    </w:p>
    <w:p w14:paraId="5FD471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8203 Об организации перевозок воинских, трофейных, репарационных и экспортно-импортных грузов по реке Дунай в навигацию 1945 года. РГАНИР, Фонд ГКО, д. 402, лл. 34-37, 38-41 (11012).</w:t>
      </w:r>
    </w:p>
    <w:p w14:paraId="740DD832" w14:textId="77777777" w:rsidR="00665165" w:rsidRPr="00925F26" w:rsidRDefault="00665165" w:rsidP="00925F26">
      <w:pPr>
        <w:autoSpaceDE w:val="0"/>
        <w:autoSpaceDN w:val="0"/>
        <w:adjustRightInd w:val="0"/>
        <w:jc w:val="both"/>
        <w:rPr>
          <w:color w:val="000000" w:themeColor="text1"/>
          <w:sz w:val="16"/>
          <w:szCs w:val="16"/>
        </w:rPr>
      </w:pPr>
    </w:p>
    <w:p w14:paraId="522BE7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8204 О неотложных мерах помощи Красногорской ТЭЦ НКЭС. РГАНИР, Фонд ГКО, д. 402, лл. 42-43, 44-47 (11012).</w:t>
      </w:r>
    </w:p>
    <w:p w14:paraId="794CE046" w14:textId="77777777" w:rsidR="00665165" w:rsidRPr="00925F26" w:rsidRDefault="00665165" w:rsidP="00925F26">
      <w:pPr>
        <w:autoSpaceDE w:val="0"/>
        <w:autoSpaceDN w:val="0"/>
        <w:adjustRightInd w:val="0"/>
        <w:jc w:val="both"/>
        <w:rPr>
          <w:color w:val="000000" w:themeColor="text1"/>
          <w:sz w:val="16"/>
          <w:szCs w:val="16"/>
        </w:rPr>
      </w:pPr>
    </w:p>
    <w:p w14:paraId="1544E0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8205 О мерах по обеспечению Кизеловского угольного бассейна крепежным лесом. РГАНИР, Фонд ГКО, д. 402, лл. 48-51 (11012).</w:t>
      </w:r>
    </w:p>
    <w:p w14:paraId="0E72FC1E" w14:textId="77777777" w:rsidR="00665165" w:rsidRPr="00925F26" w:rsidRDefault="00665165" w:rsidP="00925F26">
      <w:pPr>
        <w:autoSpaceDE w:val="0"/>
        <w:autoSpaceDN w:val="0"/>
        <w:adjustRightInd w:val="0"/>
        <w:jc w:val="both"/>
        <w:rPr>
          <w:color w:val="000000" w:themeColor="text1"/>
          <w:sz w:val="16"/>
          <w:szCs w:val="16"/>
        </w:rPr>
      </w:pPr>
    </w:p>
    <w:p w14:paraId="6C3EB4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8207 О плане ремонта бронеавтомобилей, бронетранспортеров, мотоциклов и велосипедов для Красной Армии на второй квартал 1945 года. РГАНИР, Фонд ГКО, д. 402, лл. 54-56, 57-74 (11012).</w:t>
      </w:r>
    </w:p>
    <w:p w14:paraId="3C906C44" w14:textId="77777777" w:rsidR="00665165" w:rsidRPr="00925F26" w:rsidRDefault="00665165" w:rsidP="00925F26">
      <w:pPr>
        <w:autoSpaceDE w:val="0"/>
        <w:autoSpaceDN w:val="0"/>
        <w:adjustRightInd w:val="0"/>
        <w:jc w:val="both"/>
        <w:rPr>
          <w:color w:val="000000" w:themeColor="text1"/>
          <w:sz w:val="16"/>
          <w:szCs w:val="16"/>
        </w:rPr>
      </w:pPr>
    </w:p>
    <w:p w14:paraId="0B963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8208 О плане ремонта тракторов (арттягачей) для Красной Армии и Военно-Морского Флота на II квартал 1945 г. РГАНИР, Фонд ГКО, д. 402, лл. 75-77, 78-108 (11012).</w:t>
      </w:r>
    </w:p>
    <w:p w14:paraId="1D6DE792" w14:textId="77777777" w:rsidR="00665165" w:rsidRPr="00925F26" w:rsidRDefault="00665165" w:rsidP="00925F26">
      <w:pPr>
        <w:autoSpaceDE w:val="0"/>
        <w:autoSpaceDN w:val="0"/>
        <w:adjustRightInd w:val="0"/>
        <w:jc w:val="both"/>
        <w:rPr>
          <w:color w:val="000000" w:themeColor="text1"/>
          <w:sz w:val="16"/>
          <w:szCs w:val="16"/>
        </w:rPr>
      </w:pPr>
    </w:p>
    <w:p w14:paraId="1C5983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8209 О плане производства подвижных ремонтных мастерских, бензотары, средств заправки и других специальных машин для Красной Армии и Военно-Морского Флота на II квартал 1945 года. РГАНИР, Фонд ГКО, д. 402, лл. 109-112, 113-132 (11012).</w:t>
      </w:r>
    </w:p>
    <w:p w14:paraId="311335E7" w14:textId="77777777" w:rsidR="00665165" w:rsidRPr="00925F26" w:rsidRDefault="00665165" w:rsidP="00925F26">
      <w:pPr>
        <w:autoSpaceDE w:val="0"/>
        <w:autoSpaceDN w:val="0"/>
        <w:adjustRightInd w:val="0"/>
        <w:jc w:val="both"/>
        <w:rPr>
          <w:color w:val="000000" w:themeColor="text1"/>
          <w:sz w:val="16"/>
          <w:szCs w:val="16"/>
        </w:rPr>
      </w:pPr>
    </w:p>
    <w:p w14:paraId="4907A1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8210 О производстве и поставке инженерного вооружения и специального оборудования во II квартале 1945 г. Наркомобороны СССР, Наркомвоенморфлоту и войскам НКВД СССР. РГАНИР, Фонд ГКО, д. 402, лл. 133-138, 139-185 (11012).</w:t>
      </w:r>
    </w:p>
    <w:p w14:paraId="44D823B9" w14:textId="77777777" w:rsidR="00665165" w:rsidRPr="00925F26" w:rsidRDefault="00665165" w:rsidP="00925F26">
      <w:pPr>
        <w:autoSpaceDE w:val="0"/>
        <w:autoSpaceDN w:val="0"/>
        <w:adjustRightInd w:val="0"/>
        <w:jc w:val="both"/>
        <w:rPr>
          <w:color w:val="000000" w:themeColor="text1"/>
          <w:sz w:val="16"/>
          <w:szCs w:val="16"/>
        </w:rPr>
      </w:pPr>
    </w:p>
    <w:p w14:paraId="32DF44A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8211 О плане ремонта автомобилей для Красной Армии, Военно-Морского Флота и централизованного резерва на II квартал 1945 г. (7329, 1-9,10-90).</w:t>
      </w:r>
    </w:p>
    <w:p w14:paraId="3A59895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7F6C4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8212 О плане ремонта боевых кораблей, вспомогательных судов и береговых установок Военно-Морского Флота на 1945 год и II квартал 1945 года. РГАНИР, Фонд ГКО, д. 403, лл. 91-96, 97-157 (11012).</w:t>
      </w:r>
    </w:p>
    <w:p w14:paraId="70D07F3C" w14:textId="77777777" w:rsidR="00665165" w:rsidRPr="00925F26" w:rsidRDefault="00665165" w:rsidP="00925F26">
      <w:pPr>
        <w:autoSpaceDE w:val="0"/>
        <w:autoSpaceDN w:val="0"/>
        <w:adjustRightInd w:val="0"/>
        <w:jc w:val="both"/>
        <w:rPr>
          <w:color w:val="000000" w:themeColor="text1"/>
          <w:sz w:val="16"/>
          <w:szCs w:val="16"/>
        </w:rPr>
      </w:pPr>
    </w:p>
    <w:p w14:paraId="09AE0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8213 О плане производства и ремонта боевых установок М-31, М-13 и М-8 во II квартале 1945 года. РГАНИР, Фонд ГКО, д. 403, лл. 158-162, 163-177 (11012).</w:t>
      </w:r>
    </w:p>
    <w:p w14:paraId="73D980EC" w14:textId="77777777" w:rsidR="00665165" w:rsidRPr="00925F26" w:rsidRDefault="00665165" w:rsidP="00925F26">
      <w:pPr>
        <w:autoSpaceDE w:val="0"/>
        <w:autoSpaceDN w:val="0"/>
        <w:adjustRightInd w:val="0"/>
        <w:jc w:val="both"/>
        <w:rPr>
          <w:color w:val="000000" w:themeColor="text1"/>
          <w:sz w:val="16"/>
          <w:szCs w:val="16"/>
        </w:rPr>
      </w:pPr>
    </w:p>
    <w:p w14:paraId="7A33D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Постановление ГКО № 8214 Об окончании прокладки трассы ведущих кораблей в Татарском и 1-м Курильском проливах и прокладки трассы ведущего кабеля для подхода к Одесскому порту. РГАНИР, Фонд ГКО, д. 403, лл. 178-181, 182-183 (11012).</w:t>
      </w:r>
    </w:p>
    <w:p w14:paraId="31F8BBF8" w14:textId="77777777" w:rsidR="00665165" w:rsidRPr="00925F26" w:rsidRDefault="00665165" w:rsidP="00925F26">
      <w:pPr>
        <w:autoSpaceDE w:val="0"/>
        <w:autoSpaceDN w:val="0"/>
        <w:adjustRightInd w:val="0"/>
        <w:jc w:val="both"/>
        <w:rPr>
          <w:color w:val="000000" w:themeColor="text1"/>
          <w:sz w:val="16"/>
          <w:szCs w:val="16"/>
        </w:rPr>
      </w:pPr>
    </w:p>
    <w:p w14:paraId="2E4FE4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вышло Распоряжение ГКО № 8219. О выделении из гослесфонда торфяного массива в Калининской обл. для НКЭС и Главгазтоппрома при СНК СССР. РГАНИР, Фонд ГКО, д. 404, лл. 12 (11012).</w:t>
      </w:r>
    </w:p>
    <w:p w14:paraId="49FFA554" w14:textId="77777777" w:rsidR="00665165" w:rsidRPr="00925F26" w:rsidRDefault="00665165" w:rsidP="00925F26">
      <w:pPr>
        <w:autoSpaceDE w:val="0"/>
        <w:autoSpaceDN w:val="0"/>
        <w:adjustRightInd w:val="0"/>
        <w:jc w:val="both"/>
        <w:rPr>
          <w:color w:val="000000" w:themeColor="text1"/>
          <w:sz w:val="16"/>
          <w:szCs w:val="16"/>
        </w:rPr>
      </w:pPr>
    </w:p>
    <w:p w14:paraId="6F7652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г. Приказом Народного комиссара ВМФ Н. Г. Кузнецова от РЛС «Гнейс-5М» была принята на вооружение (11026).</w:t>
      </w:r>
    </w:p>
    <w:p w14:paraId="29488B57" w14:textId="77777777" w:rsidR="00665165" w:rsidRPr="00925F26" w:rsidRDefault="00665165" w:rsidP="00925F26">
      <w:pPr>
        <w:autoSpaceDE w:val="0"/>
        <w:autoSpaceDN w:val="0"/>
        <w:adjustRightInd w:val="0"/>
        <w:jc w:val="both"/>
        <w:rPr>
          <w:color w:val="000000" w:themeColor="text1"/>
          <w:sz w:val="16"/>
          <w:szCs w:val="16"/>
        </w:rPr>
      </w:pPr>
    </w:p>
    <w:p w14:paraId="5F1645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апреля 1945 г. ГКО принял постановление о создании при Наркомате боеприпасов СССР Государственного центрального конструкторского бюро по реактивным снарядам (ГЦКБ № 1) с опытным заводом (на базе московского завода № 671 НКБ) (11254).</w:t>
      </w:r>
    </w:p>
    <w:p w14:paraId="748732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19ED3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На Балтийском заводе спущен на воду 33-й ТЩ (10671).</w:t>
      </w:r>
    </w:p>
    <w:p w14:paraId="45352ADA" w14:textId="77777777" w:rsidR="00665165" w:rsidRPr="00925F26" w:rsidRDefault="00665165" w:rsidP="00925F26">
      <w:pPr>
        <w:autoSpaceDE w:val="0"/>
        <w:autoSpaceDN w:val="0"/>
        <w:adjustRightInd w:val="0"/>
        <w:jc w:val="both"/>
        <w:rPr>
          <w:color w:val="000000" w:themeColor="text1"/>
          <w:sz w:val="16"/>
          <w:szCs w:val="16"/>
        </w:rPr>
      </w:pPr>
    </w:p>
    <w:p w14:paraId="23B9BB6C" w14:textId="77777777" w:rsidR="001D1E05" w:rsidRPr="00925F26" w:rsidRDefault="001D1E05"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757F574" w14:textId="77777777" w:rsidR="001D1E05" w:rsidRPr="00925F26" w:rsidRDefault="001D1E05" w:rsidP="00925F26">
      <w:pPr>
        <w:autoSpaceDE w:val="0"/>
        <w:autoSpaceDN w:val="0"/>
        <w:adjustRightInd w:val="0"/>
        <w:jc w:val="both"/>
        <w:rPr>
          <w:iCs/>
          <w:color w:val="000000" w:themeColor="text1"/>
          <w:sz w:val="16"/>
          <w:szCs w:val="16"/>
        </w:rPr>
      </w:pPr>
    </w:p>
    <w:p w14:paraId="74702719" w14:textId="77777777" w:rsidR="001D1E05" w:rsidRPr="00925F26" w:rsidRDefault="001D1E05" w:rsidP="00925F26">
      <w:pPr>
        <w:jc w:val="both"/>
        <w:rPr>
          <w:color w:val="000000" w:themeColor="text1"/>
          <w:sz w:val="16"/>
          <w:szCs w:val="16"/>
        </w:rPr>
      </w:pPr>
      <w:r w:rsidRPr="00925F26">
        <w:rPr>
          <w:color w:val="000000" w:themeColor="text1"/>
          <w:sz w:val="16"/>
          <w:szCs w:val="16"/>
        </w:rPr>
        <w:t>19 апреля в 1945 году оперативная сводка Совинформбюро:</w:t>
      </w:r>
    </w:p>
    <w:p w14:paraId="0D98E09F" w14:textId="77777777" w:rsidR="001D1E05" w:rsidRPr="00925F26" w:rsidRDefault="001D1E05" w:rsidP="00925F26">
      <w:pPr>
        <w:jc w:val="both"/>
        <w:rPr>
          <w:color w:val="000000" w:themeColor="text1"/>
          <w:sz w:val="16"/>
          <w:szCs w:val="16"/>
        </w:rPr>
      </w:pPr>
      <w:r w:rsidRPr="00925F26">
        <w:rPr>
          <w:color w:val="000000" w:themeColor="text1"/>
          <w:sz w:val="16"/>
          <w:szCs w:val="16"/>
        </w:rPr>
        <w:t>«За последние три дня в районе Центральной группы наших войск велась силовая разведка, которая переросла в бои по захвату и расширению плацдармов на реке Одер и реке Нейсе.</w:t>
      </w:r>
    </w:p>
    <w:p w14:paraId="3CEDF506" w14:textId="77777777" w:rsidR="001D1E05" w:rsidRPr="00925F26" w:rsidRDefault="001D1E05" w:rsidP="00925F26">
      <w:pPr>
        <w:jc w:val="both"/>
        <w:rPr>
          <w:color w:val="000000" w:themeColor="text1"/>
          <w:sz w:val="16"/>
          <w:szCs w:val="16"/>
        </w:rPr>
      </w:pPr>
      <w:r w:rsidRPr="00925F26">
        <w:rPr>
          <w:color w:val="000000" w:themeColor="text1"/>
          <w:sz w:val="16"/>
          <w:szCs w:val="16"/>
        </w:rPr>
        <w:t>В результате этих боёв наши войска на Дрезденском направлении форсировали реку Нейсе и овладели городами Форст, Мускау, Вейсвассер. Войска 2-й Польской армии заняли город Ротенбург.</w:t>
      </w:r>
    </w:p>
    <w:p w14:paraId="0FDDC90A" w14:textId="77777777" w:rsidR="001D1E05" w:rsidRPr="00925F26" w:rsidRDefault="001D1E05" w:rsidP="00925F26">
      <w:pPr>
        <w:jc w:val="both"/>
        <w:rPr>
          <w:color w:val="000000" w:themeColor="text1"/>
          <w:sz w:val="16"/>
          <w:szCs w:val="16"/>
        </w:rPr>
      </w:pPr>
      <w:r w:rsidRPr="00925F26">
        <w:rPr>
          <w:color w:val="000000" w:themeColor="text1"/>
          <w:sz w:val="16"/>
          <w:szCs w:val="16"/>
        </w:rPr>
        <w:t>На Одере наши войска захватили и расширили плацдарм западнее Кюстрина.</w:t>
      </w:r>
    </w:p>
    <w:p w14:paraId="4A7640A6" w14:textId="77777777" w:rsidR="001D1E05" w:rsidRPr="00925F26" w:rsidRDefault="001D1E05" w:rsidP="00925F26">
      <w:pPr>
        <w:jc w:val="both"/>
        <w:rPr>
          <w:color w:val="000000" w:themeColor="text1"/>
          <w:sz w:val="16"/>
          <w:szCs w:val="16"/>
        </w:rPr>
      </w:pPr>
      <w:r w:rsidRPr="00925F26">
        <w:rPr>
          <w:color w:val="000000" w:themeColor="text1"/>
          <w:sz w:val="16"/>
          <w:szCs w:val="16"/>
        </w:rPr>
        <w:t>В течение 19 апреля на территории Чехословакии северо-восточнее и севернее города Годонин войска 2-го УкраинскогО фронта вели наступательные бои и заняли населённые пункты Козойидки, Лидэровице, Заразице, Бзенец, Скоронице, Ставьешице, Наседловице и железнодорожные станции Лидэровице, Сватоборжице. Севернее Вены войска фронта с боями заняли на территории Австрии населённые пункты Бернгардсталь, Альт Лихтенварт, Вильферсдорф. Зибениртен, Аспарн, Ладендорф и железнодорожные станции Альт Лихтенварт, Аспарн.</w:t>
      </w:r>
    </w:p>
    <w:p w14:paraId="359B0D1A" w14:textId="77777777" w:rsidR="001D1E05" w:rsidRPr="00925F26" w:rsidRDefault="001D1E05"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18526E66" w14:textId="77777777" w:rsidR="001D1E05" w:rsidRPr="00925F26" w:rsidRDefault="001D1E05" w:rsidP="00925F26">
      <w:pPr>
        <w:jc w:val="both"/>
        <w:rPr>
          <w:color w:val="000000" w:themeColor="text1"/>
          <w:sz w:val="16"/>
          <w:szCs w:val="16"/>
        </w:rPr>
      </w:pPr>
      <w:r w:rsidRPr="00925F26">
        <w:rPr>
          <w:color w:val="000000" w:themeColor="text1"/>
          <w:sz w:val="16"/>
          <w:szCs w:val="16"/>
        </w:rPr>
        <w:t>За 18 апреля наши войска подбили и уничтожили 96 немецких танков и самоходных орудий. В воздушных боях и огнём зенитной артиллерии сбито 115 самолётов противника.</w:t>
      </w:r>
    </w:p>
    <w:p w14:paraId="2D61EB44" w14:textId="77777777" w:rsidR="001D1E05" w:rsidRPr="00925F26" w:rsidRDefault="001D1E05" w:rsidP="00925F26">
      <w:pPr>
        <w:jc w:val="both"/>
        <w:rPr>
          <w:color w:val="000000" w:themeColor="text1"/>
          <w:sz w:val="16"/>
          <w:szCs w:val="16"/>
        </w:rPr>
      </w:pPr>
      <w:r w:rsidRPr="00925F26">
        <w:rPr>
          <w:color w:val="000000" w:themeColor="text1"/>
          <w:sz w:val="16"/>
          <w:szCs w:val="16"/>
        </w:rPr>
        <w:t>На территории Чехословакии северо-восточнее города Годонина наши войска вели наступательные бои. Советские части, продвигаясь вдоль восточного берега реки Моравы, заняли несколько сильно укреплённых опорных пунктов обороны немцев. Противник выбит из населённого пункта Заразице, находящегося в 5 километрах от города Угерски Острог. Севернее Годонин немецкая пехота и танки, пытаясь задержать наши войска, предприняли несколько контратак, но были отброшены с большими для них потерями. Разгромлен батальон вражеской пехоты. Захвачено всё вооружение батальона и более 200 пленных. Севернее Вены противник пополнил свои потрёпанные войска свежими силами и оказывает упорное сопротивление. Стремительным ударом наши части выбили немцев из населённого пункта и железнодорожной станции Альт Лихтенварт. Захвачены склады с вооружением и военным имуществом. Советские войска, овладевшие вчера городом Мистельбах, отбили ряд вражеских контратак и продвинулись в северном направлении на 6 километров. На поле боя осталось свыше 700 вражеских трупов. Сожжено и подбито 20 немецких танков и самоходных орудий.</w:t>
      </w:r>
    </w:p>
    <w:p w14:paraId="208B49A0" w14:textId="77777777" w:rsidR="001D1E05" w:rsidRPr="00925F26" w:rsidRDefault="001D1E05" w:rsidP="00925F26">
      <w:pPr>
        <w:jc w:val="both"/>
        <w:rPr>
          <w:color w:val="000000" w:themeColor="text1"/>
          <w:sz w:val="16"/>
          <w:szCs w:val="16"/>
        </w:rPr>
      </w:pPr>
      <w:r w:rsidRPr="00925F26">
        <w:rPr>
          <w:color w:val="000000" w:themeColor="text1"/>
          <w:sz w:val="16"/>
          <w:szCs w:val="16"/>
        </w:rPr>
        <w:lastRenderedPageBreak/>
        <w:t>На территории Австрии, западнее города Санкт-Пельтен и восточнее города Грац советские воины в боях с немецко-фашистскими захватчиками проявляют образцы мужества и героизма. Стрелковая рота гвардии лейтенанта Макарова, скрытно пробравшись лесом, зашла противнику во фланг и стремительным ударом овладела высотой, прикрывающей горную дорогу. В короткой схватке советские бойцы уничтожили 24 гитлеровца. Остальные немецкие солдаты разбежались, бросив оружие и радиостанцию. Старший сержант Ширяев, ехавший на повозке с имуществом связи, был обстрелян немцами. Заметив вражеский пулемет, Ширяев незаметно подкрался к нему и очередью из автомата уничтожил немецких пулемётчиков. Гвардии старший сержант Баграмян и гвардии рядовой Фокин в одном бою огнём из пулемёта истребили 30 гитлеровцев. Расчет самоходного орудия младшего лейтенанта Умена за один день сжёг 2 немецких танка и один бронетранспортер. Батарея самоходных орудий младшего лейтенанта Холодцова, вступив в бой с численно превосходящими силами противника, уничтожила 4 немецких танка, 2 бронетранспортёра и 2 полевых орудия.</w:t>
      </w:r>
    </w:p>
    <w:p w14:paraId="1A944243" w14:textId="77777777" w:rsidR="001D1E05" w:rsidRPr="00925F26" w:rsidRDefault="001D1E05" w:rsidP="00925F26">
      <w:pPr>
        <w:jc w:val="both"/>
        <w:rPr>
          <w:color w:val="000000" w:themeColor="text1"/>
          <w:sz w:val="16"/>
          <w:szCs w:val="16"/>
        </w:rPr>
      </w:pPr>
      <w:r w:rsidRPr="00925F26">
        <w:rPr>
          <w:color w:val="000000" w:themeColor="text1"/>
          <w:sz w:val="16"/>
          <w:szCs w:val="16"/>
        </w:rPr>
        <w:t>Разведка Краснознамённого Балтийского флота обнаружила в заливе Фриш-Гаф самоходные десантные баржи, а также большое количество плотов и шлюпок с войсками противника. Советские бронекатеры атаковали немцев и потопили две быстроходные десантные баржи, две баржи и более 100 плотов и шлюпок. Уничтожено и потоплено несколько тысяч немецких солдат и офицеров.</w:t>
      </w:r>
    </w:p>
    <w:p w14:paraId="44BED497" w14:textId="77777777" w:rsidR="001D1E05" w:rsidRPr="00925F26" w:rsidRDefault="001D1E05"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южной части Балтийского моря транспорт противника водоизмещением в 5 тысяч тонн.</w:t>
      </w:r>
    </w:p>
    <w:p w14:paraId="67EE6CEF" w14:textId="77777777" w:rsidR="001D1E05" w:rsidRPr="00925F26" w:rsidRDefault="001D1E05" w:rsidP="00925F26">
      <w:pPr>
        <w:jc w:val="both"/>
        <w:rPr>
          <w:color w:val="000000" w:themeColor="text1"/>
          <w:sz w:val="16"/>
          <w:szCs w:val="16"/>
        </w:rPr>
      </w:pPr>
      <w:r w:rsidRPr="00925F26">
        <w:rPr>
          <w:color w:val="000000" w:themeColor="text1"/>
          <w:sz w:val="16"/>
          <w:szCs w:val="16"/>
        </w:rPr>
        <w:t>Население австрийских сёл и городов радушно встречает Красную Армию. Житель города Эйзенштадта профессор Франц Элек рассказывает: «Немецкие военные власти приказали населению в течение трех часов покинуть город, но почти все жители остались на месте. С немцами убежали только бургомистр Брюнер, руководители фашистских организаций и нацистские чиновники. Основная масса жителей не хотела уходить. Мы ждали Красную Армию, мы знали, что она освободит нас от гитлеризма. В 1938 году после оккупации Австрии немцами фашисты арестовали более 400 жителей Эйзенштадта. Многие из них погибли в гестаповских застенках». Рабочий Георг Бабтис сообщил: «Мне 58 лет. Нацисты принуждали меня вступить в фольксштурм, но я отказался. За это меня посадили в тюрьму. Многим старикам пришлось, однако, вступить в фолльксштурм. Как только Красная Армия приблизилась к городу, все они разбежались по домам».</w:t>
      </w:r>
    </w:p>
    <w:p w14:paraId="40D602FD" w14:textId="77777777" w:rsidR="001D1E05" w:rsidRPr="00925F26" w:rsidRDefault="001D1E05" w:rsidP="00925F26">
      <w:pPr>
        <w:jc w:val="both"/>
        <w:rPr>
          <w:color w:val="000000" w:themeColor="text1"/>
          <w:sz w:val="16"/>
          <w:szCs w:val="16"/>
        </w:rPr>
      </w:pPr>
      <w:r w:rsidRPr="00925F26">
        <w:rPr>
          <w:color w:val="000000" w:themeColor="text1"/>
          <w:sz w:val="16"/>
          <w:szCs w:val="16"/>
        </w:rPr>
        <w:t>Священник села Лоймерсдорф Шерлис заявил: «Я часто слушал радиопередачи для Австрии из Москвы и Лондона. Вместе со мной слушали радио и некоторые прихожане. Мы не боялись прихода Красной Армии и не верили гитлеровской пропаганде. Население знало, что Красная Армия несёт нам свободу и независимость» (15104).</w:t>
      </w:r>
    </w:p>
    <w:p w14:paraId="6D3D688B" w14:textId="77777777" w:rsidR="001D1E05" w:rsidRPr="00925F26" w:rsidRDefault="001D1E05" w:rsidP="00925F26">
      <w:pPr>
        <w:jc w:val="both"/>
        <w:rPr>
          <w:color w:val="000000" w:themeColor="text1"/>
          <w:sz w:val="16"/>
          <w:szCs w:val="16"/>
        </w:rPr>
      </w:pPr>
    </w:p>
    <w:p w14:paraId="67E08505" w14:textId="77777777" w:rsidR="001D1E05" w:rsidRPr="00925F26" w:rsidRDefault="001D1E05" w:rsidP="00925F26">
      <w:pPr>
        <w:pStyle w:val="ae"/>
        <w:spacing w:before="0" w:after="0"/>
        <w:jc w:val="both"/>
        <w:textAlignment w:val="baseline"/>
        <w:rPr>
          <w:color w:val="000000" w:themeColor="text1"/>
          <w:sz w:val="16"/>
          <w:szCs w:val="16"/>
        </w:rPr>
      </w:pPr>
      <w:r w:rsidRPr="00925F26">
        <w:rPr>
          <w:color w:val="000000" w:themeColor="text1"/>
          <w:sz w:val="16"/>
          <w:szCs w:val="16"/>
        </w:rPr>
        <w:t>19 апреля 1945 командир группы из 21 Ил-2 173-го гв. шап 16 ВА подполковник Лысенко, выйдя в район цели (Альт-Малиш — Дебберин), заметил на северном берегу озера Гроссен позиции двух батарей противотанковой артиллерии, а также две батареи орудий, пехоту в окопах и танки на восточной окраине города Дебберин. На месте оценив обстановку, командир приказал второй подгруппе атаковать артиллерию, третьей подгруппе — непосредственно опорный пункт Дебберин, четвертой — лес в полутора километрах юго-восточнее населенного пункта. Сам Лысенко с первой подгруппой решил заняться пехотой и танками на берегу озера.</w:t>
      </w:r>
    </w:p>
    <w:p w14:paraId="2B5BF9A5" w14:textId="77777777" w:rsidR="001D1E05" w:rsidRPr="00925F26" w:rsidRDefault="001D1E05"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Бомбометание производилось с первых двух заходов одиночными бомбами и кассетами. При этом каждый летчик самостоятельно выбирал себе цель. В последующих трех заходах штурмовики, встав в круг, снижаясь до бреющего полета, обстреливали пехоту, засевшую в окопах. На пятом заходе экипажи наблюдали, как советская пехота пошла в атаку, почти не встречая организованного сопротивления. Опорный пункт Альт-Марин был взят с </w:t>
      </w:r>
      <w:proofErr w:type="gramStart"/>
      <w:r w:rsidRPr="00925F26">
        <w:rPr>
          <w:color w:val="000000" w:themeColor="text1"/>
          <w:sz w:val="16"/>
          <w:szCs w:val="16"/>
        </w:rPr>
        <w:t>ходу[</w:t>
      </w:r>
      <w:proofErr w:type="gramEnd"/>
      <w:r w:rsidRPr="00925F26">
        <w:rPr>
          <w:color w:val="000000" w:themeColor="text1"/>
          <w:sz w:val="16"/>
          <w:szCs w:val="16"/>
        </w:rPr>
        <w:t>122].</w:t>
      </w:r>
    </w:p>
    <w:p w14:paraId="0284E6D8" w14:textId="77777777" w:rsidR="001D1E05" w:rsidRPr="00925F26" w:rsidRDefault="001D1E05" w:rsidP="00925F26">
      <w:pPr>
        <w:pStyle w:val="ae"/>
        <w:spacing w:before="0" w:after="0"/>
        <w:jc w:val="both"/>
        <w:textAlignment w:val="baseline"/>
        <w:rPr>
          <w:color w:val="000000" w:themeColor="text1"/>
          <w:sz w:val="16"/>
          <w:szCs w:val="16"/>
        </w:rPr>
      </w:pPr>
      <w:r w:rsidRPr="00925F26">
        <w:rPr>
          <w:color w:val="000000" w:themeColor="text1"/>
          <w:sz w:val="16"/>
          <w:szCs w:val="16"/>
        </w:rPr>
        <w:t>Столь же деморализующий удар по немецким войскам в том же районе был нанесен на следующий день штурмовиками 175-го гв. шап. Когда 14 Ил-2 прибыли в район опорного пункта Дебберин, командир группы старший лейтенант Фатеев увидел внизу траншеи, занятые пехотой, а на одной из высот артиллерию, которая вела огонь по советским войскам. На окраине указанного населенного пункта группами по пять — семь единиц стояли свои танки, которые вели огонь по немецким окопам и пускали сигнальные ракеты в их направлении. Чтобы точно определить расположение своих войск, Фатеев сделал ложный заход.</w:t>
      </w:r>
    </w:p>
    <w:p w14:paraId="3F988CEA" w14:textId="77777777" w:rsidR="001D1E05" w:rsidRPr="00925F26" w:rsidRDefault="001D1E05" w:rsidP="00925F26">
      <w:pPr>
        <w:pStyle w:val="ae"/>
        <w:spacing w:before="0" w:after="0"/>
        <w:jc w:val="both"/>
        <w:textAlignment w:val="baseline"/>
        <w:rPr>
          <w:color w:val="000000" w:themeColor="text1"/>
          <w:sz w:val="16"/>
          <w:szCs w:val="16"/>
        </w:rPr>
      </w:pPr>
      <w:r w:rsidRPr="00925F26">
        <w:rPr>
          <w:color w:val="000000" w:themeColor="text1"/>
          <w:sz w:val="16"/>
          <w:szCs w:val="16"/>
        </w:rPr>
        <w:t>После этого в 11.35 с планирования, с высоты 300–500 метров первая группа Ил-2 перешла в атаку на позиции артиллерии. Вся высота, на которой они располагались, вскоре была охвачена дымом от разрывов. Затем появились следующие штурмовики, которые уже вели с бреющего полета огонь по траншеям. В результате большая группа немецких солдат оставила позиции и начала разбегаться в разных направлениях. Вскоре населенный пункт Дебберин был занят советскими войсками. Всего же в течение 20 апреля штурмовики 16-й воздушной армии выполнили 872 самолето-</w:t>
      </w:r>
      <w:proofErr w:type="gramStart"/>
      <w:r w:rsidRPr="00925F26">
        <w:rPr>
          <w:color w:val="000000" w:themeColor="text1"/>
          <w:sz w:val="16"/>
          <w:szCs w:val="16"/>
        </w:rPr>
        <w:t>вылета[</w:t>
      </w:r>
      <w:proofErr w:type="gramEnd"/>
      <w:r w:rsidRPr="00925F26">
        <w:rPr>
          <w:color w:val="000000" w:themeColor="text1"/>
          <w:sz w:val="16"/>
          <w:szCs w:val="16"/>
        </w:rPr>
        <w:t>123].</w:t>
      </w:r>
    </w:p>
    <w:p w14:paraId="5A62B970" w14:textId="77777777" w:rsidR="001D1E05" w:rsidRPr="00925F26" w:rsidRDefault="001D1E05" w:rsidP="00925F26">
      <w:pPr>
        <w:pStyle w:val="ae"/>
        <w:spacing w:before="0" w:after="0"/>
        <w:jc w:val="both"/>
        <w:textAlignment w:val="baseline"/>
        <w:rPr>
          <w:color w:val="000000" w:themeColor="text1"/>
          <w:sz w:val="16"/>
          <w:szCs w:val="16"/>
        </w:rPr>
      </w:pPr>
      <w:r w:rsidRPr="00925F26">
        <w:rPr>
          <w:color w:val="000000" w:themeColor="text1"/>
          <w:sz w:val="16"/>
          <w:szCs w:val="16"/>
        </w:rPr>
        <w:t>На волне успехов штурмовикам порой ставились и задачи, не связанные с военными объектами. Так, в приказе по 16-й ВА на 22 апреля говорилось:</w:t>
      </w:r>
    </w:p>
    <w:p w14:paraId="1870D2A9" w14:textId="77777777" w:rsidR="001D1E05" w:rsidRPr="00925F26" w:rsidRDefault="001D1E05" w:rsidP="00925F26">
      <w:pPr>
        <w:pStyle w:val="ae"/>
        <w:spacing w:before="0" w:after="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«2, 9 и 6 шак, 2 и 11 гв. шад — небольшими группами или парами, бомбардировочно-штурмовыми ударами уничтожать живую силу и технику противника на северо-восточной и восточной окраинах г. Берлин, обстреливая улицы, дома, создавать панику… Кроме того, 11 гв. шад нанести бомбардировочно-штурмовой удар по Франкфурту н/О» (19522).</w:t>
      </w:r>
    </w:p>
    <w:p w14:paraId="3B4E501F" w14:textId="77777777" w:rsidR="001D1E05" w:rsidRPr="00925F26" w:rsidRDefault="001D1E05" w:rsidP="00925F26">
      <w:pPr>
        <w:pStyle w:val="ae"/>
        <w:spacing w:before="0" w:after="0"/>
        <w:jc w:val="both"/>
        <w:textAlignment w:val="baseline"/>
        <w:rPr>
          <w:iCs/>
          <w:color w:val="000000" w:themeColor="text1"/>
          <w:sz w:val="16"/>
          <w:szCs w:val="16"/>
          <w:bdr w:val="none" w:sz="0" w:space="0" w:color="auto" w:frame="1"/>
        </w:rPr>
      </w:pPr>
    </w:p>
    <w:p w14:paraId="46648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г. на месте назначения, в Шауляе собрался 118-й полк. Имея 40 самолетов Ил-10, он вошел в 225-ю шад 15-й воздушной армии (10681).</w:t>
      </w:r>
    </w:p>
    <w:p w14:paraId="1AA78C0F" w14:textId="77777777" w:rsidR="00665165" w:rsidRPr="00925F26" w:rsidRDefault="00665165" w:rsidP="00925F26">
      <w:pPr>
        <w:autoSpaceDE w:val="0"/>
        <w:autoSpaceDN w:val="0"/>
        <w:adjustRightInd w:val="0"/>
        <w:jc w:val="both"/>
        <w:rPr>
          <w:color w:val="000000" w:themeColor="text1"/>
          <w:sz w:val="16"/>
          <w:szCs w:val="16"/>
        </w:rPr>
      </w:pPr>
    </w:p>
    <w:p w14:paraId="28B4E5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апреля 1945 108-й гшап «от</w:t>
      </w:r>
      <w:r w:rsidRPr="00925F26">
        <w:rPr>
          <w:color w:val="000000" w:themeColor="text1"/>
          <w:sz w:val="16"/>
          <w:szCs w:val="16"/>
        </w:rPr>
        <w:softHyphen/>
        <w:t>метился» ударом по своим. Восьмерка Ил-10 атаковала войска, двигавшиеся по дороге в районе Шорбуса. В ответ по</w:t>
      </w:r>
      <w:r w:rsidRPr="00925F26">
        <w:rPr>
          <w:color w:val="000000" w:themeColor="text1"/>
          <w:sz w:val="16"/>
          <w:szCs w:val="16"/>
        </w:rPr>
        <w:softHyphen/>
        <w:t>летели сигнальные ракеты. Ведущий снизился до бреющего. Оказалось, что войска свои. По счастью, пять экипажей бомб не сбросили, а ведущее звено слегка промазало. Обошлось без жертв.</w:t>
      </w:r>
    </w:p>
    <w:p w14:paraId="3EE5A41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AD3FA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апреля 1945 108-й ГШАП «</w:t>
      </w:r>
      <w:proofErr w:type="gramStart"/>
      <w:r w:rsidRPr="00925F26">
        <w:rPr>
          <w:color w:val="000000" w:themeColor="text1"/>
          <w:sz w:val="16"/>
          <w:szCs w:val="16"/>
        </w:rPr>
        <w:t>отметился»ударом</w:t>
      </w:r>
      <w:proofErr w:type="gramEnd"/>
      <w:r w:rsidRPr="00925F26">
        <w:rPr>
          <w:color w:val="000000" w:themeColor="text1"/>
          <w:sz w:val="16"/>
          <w:szCs w:val="16"/>
        </w:rPr>
        <w:t xml:space="preserve"> по своим войскам. В период 10.10 -10.15 группа в соста</w:t>
      </w:r>
      <w:r w:rsidRPr="00925F26">
        <w:rPr>
          <w:color w:val="000000" w:themeColor="text1"/>
          <w:sz w:val="16"/>
          <w:szCs w:val="16"/>
        </w:rPr>
        <w:softHyphen/>
        <w:t>ве 8 Ил-10 (ведущий к-н Железняков) атаковала войска в движении на доро</w:t>
      </w:r>
      <w:r w:rsidRPr="00925F26">
        <w:rPr>
          <w:color w:val="000000" w:themeColor="text1"/>
          <w:sz w:val="16"/>
          <w:szCs w:val="16"/>
        </w:rPr>
        <w:softHyphen/>
        <w:t>ге в районе Шорбус. В ответ полетели сигнальные ракеты. Железняков сни</w:t>
      </w:r>
      <w:r w:rsidRPr="00925F26">
        <w:rPr>
          <w:color w:val="000000" w:themeColor="text1"/>
          <w:sz w:val="16"/>
          <w:szCs w:val="16"/>
        </w:rPr>
        <w:softHyphen/>
        <w:t>зился до бреющего. Оказалось, что вой</w:t>
      </w:r>
      <w:r w:rsidRPr="00925F26">
        <w:rPr>
          <w:color w:val="000000" w:themeColor="text1"/>
          <w:sz w:val="16"/>
          <w:szCs w:val="16"/>
        </w:rPr>
        <w:softHyphen/>
        <w:t>ска свои. По счастью, пять экипажей из состава группы бомб не сбросили, а ведущее звено слегка промазало. Обо</w:t>
      </w:r>
      <w:r w:rsidRPr="00925F26">
        <w:rPr>
          <w:color w:val="000000" w:themeColor="text1"/>
          <w:sz w:val="16"/>
          <w:szCs w:val="16"/>
        </w:rPr>
        <w:softHyphen/>
        <w:t>шлось без жертв. Станция наведения на запросы ведущего группы не отвечала.</w:t>
      </w:r>
    </w:p>
    <w:p w14:paraId="01399C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Установив, что атакованные войска свои, группа прошла на запад в район Кошендорф, но противника не обнару</w:t>
      </w:r>
      <w:r w:rsidRPr="00925F26">
        <w:rPr>
          <w:color w:val="000000" w:themeColor="text1"/>
          <w:sz w:val="16"/>
          <w:szCs w:val="16"/>
        </w:rPr>
        <w:softHyphen/>
        <w:t>жила и возвратилась на свой аэродром...(11161).</w:t>
      </w:r>
    </w:p>
    <w:p w14:paraId="1A34DF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96DCE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19 апреля 1945 г. после окончания переучивания в 1-й ЗАБ летный и технический состав 118 гвардейского штурмового полка су</w:t>
      </w:r>
      <w:r w:rsidRPr="00925F26">
        <w:rPr>
          <w:color w:val="000000" w:themeColor="text1"/>
          <w:sz w:val="16"/>
          <w:szCs w:val="16"/>
        </w:rPr>
        <w:softHyphen/>
        <w:t>мел собраться на аэродроме г. Шауляй. Полк в составе 40 экипажей и 40 самолетов Ил-10 вошел в состав 225-й ШАД 15 ВА. Сразу же по прибы</w:t>
      </w:r>
      <w:r w:rsidRPr="00925F26">
        <w:rPr>
          <w:color w:val="000000" w:themeColor="text1"/>
          <w:sz w:val="16"/>
          <w:szCs w:val="16"/>
        </w:rPr>
        <w:softHyphen/>
        <w:t>тию полка на аэродром г. Шауляй лет</w:t>
      </w:r>
      <w:r w:rsidRPr="00925F26">
        <w:rPr>
          <w:color w:val="000000" w:themeColor="text1"/>
          <w:sz w:val="16"/>
          <w:szCs w:val="16"/>
        </w:rPr>
        <w:softHyphen/>
        <w:t>ный состав приступил к интенсивной учебно-боевой подготовке по програм</w:t>
      </w:r>
      <w:r w:rsidRPr="00925F26">
        <w:rPr>
          <w:color w:val="000000" w:themeColor="text1"/>
          <w:sz w:val="16"/>
          <w:szCs w:val="16"/>
        </w:rPr>
        <w:softHyphen/>
        <w:t>ме, утвержденной лично командиром 225-й ШАД полковником Корнуковым. К началу боевых действий из общего числа имевшихся ъ наличии экипажей только 4 экипажа не закончили про</w:t>
      </w:r>
      <w:r w:rsidRPr="00925F26">
        <w:rPr>
          <w:color w:val="000000" w:themeColor="text1"/>
          <w:sz w:val="16"/>
          <w:szCs w:val="16"/>
        </w:rPr>
        <w:softHyphen/>
        <w:t>грамму по вводу в бой. Остальные эки</w:t>
      </w:r>
      <w:r w:rsidRPr="00925F26">
        <w:rPr>
          <w:color w:val="000000" w:themeColor="text1"/>
          <w:sz w:val="16"/>
          <w:szCs w:val="16"/>
        </w:rPr>
        <w:softHyphen/>
        <w:t>пажи могли выполнять боевые задания днем в простых метеоусловиях (11161).</w:t>
      </w:r>
    </w:p>
    <w:p w14:paraId="049F48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DA5E56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апреля 1945 советские войска прорвали 1-ю полосу немецкого одерско-нейсенского рубежа обороны в Германии, форсировали Ост-Одер и вышли к Вест-Одеру (</w:t>
      </w:r>
      <w:proofErr w:type="gramStart"/>
      <w:r w:rsidRPr="00925F26">
        <w:rPr>
          <w:color w:val="000000" w:themeColor="text1"/>
          <w:sz w:val="16"/>
          <w:szCs w:val="16"/>
        </w:rPr>
        <w:t>4963 )</w:t>
      </w:r>
      <w:proofErr w:type="gramEnd"/>
      <w:r w:rsidRPr="00925F26">
        <w:rPr>
          <w:color w:val="000000" w:themeColor="text1"/>
          <w:sz w:val="16"/>
          <w:szCs w:val="16"/>
        </w:rPr>
        <w:t>.</w:t>
      </w:r>
    </w:p>
    <w:p w14:paraId="105F619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62E98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апреля 1945 г. с 20.10 до 20.50 авиация противника произ</w:t>
      </w:r>
      <w:r w:rsidRPr="00925F26">
        <w:rPr>
          <w:color w:val="000000" w:themeColor="text1"/>
          <w:sz w:val="16"/>
          <w:szCs w:val="16"/>
        </w:rPr>
        <w:softHyphen/>
        <w:t>вела налет на переправы и железно</w:t>
      </w:r>
      <w:r w:rsidRPr="00925F26">
        <w:rPr>
          <w:color w:val="000000" w:themeColor="text1"/>
          <w:sz w:val="16"/>
          <w:szCs w:val="16"/>
        </w:rPr>
        <w:softHyphen/>
        <w:t>дорожный мост через р. Одер у насе</w:t>
      </w:r>
      <w:r w:rsidRPr="00925F26">
        <w:rPr>
          <w:color w:val="000000" w:themeColor="text1"/>
          <w:sz w:val="16"/>
          <w:szCs w:val="16"/>
        </w:rPr>
        <w:softHyphen/>
        <w:t>ленного пункта Штейнау. В налете уча</w:t>
      </w:r>
      <w:r w:rsidRPr="00925F26">
        <w:rPr>
          <w:color w:val="000000" w:themeColor="text1"/>
          <w:sz w:val="16"/>
          <w:szCs w:val="16"/>
        </w:rPr>
        <w:softHyphen/>
        <w:t>ствовало 4 Ю-88 и 3 ФВ-190, причем лишь один Ю-88 действовал самосто</w:t>
      </w:r>
      <w:r w:rsidRPr="00925F26">
        <w:rPr>
          <w:color w:val="000000" w:themeColor="text1"/>
          <w:sz w:val="16"/>
          <w:szCs w:val="16"/>
        </w:rPr>
        <w:softHyphen/>
        <w:t>ятельно как бомбардировщик, а три шли «спаренными» с ФВ-190. Встречен</w:t>
      </w:r>
      <w:r w:rsidRPr="00925F26">
        <w:rPr>
          <w:color w:val="000000" w:themeColor="text1"/>
          <w:sz w:val="16"/>
          <w:szCs w:val="16"/>
        </w:rPr>
        <w:softHyphen/>
        <w:t>ные сильным зенитным огнем «спарки» расчленялись, истребители ФВ-190 «снимались» с Ю-88 и с разворотом уходили от зоны огня. Ю-88 входили в пикирование, падали и взрывались. Как оказалось, они применялись без эки</w:t>
      </w:r>
      <w:r w:rsidRPr="00925F26">
        <w:rPr>
          <w:color w:val="000000" w:themeColor="text1"/>
          <w:sz w:val="16"/>
          <w:szCs w:val="16"/>
        </w:rPr>
        <w:softHyphen/>
        <w:t>пажей как бомбы, их фюзеляжи были наполнены взрывчатым веществом. На месте падения на берегу обнаружена воронка диаметром 10 м, глубиной 4 м, разбитые части моторов, фюзеля</w:t>
      </w:r>
      <w:r w:rsidRPr="00925F26">
        <w:rPr>
          <w:color w:val="000000" w:themeColor="text1"/>
          <w:sz w:val="16"/>
          <w:szCs w:val="16"/>
        </w:rPr>
        <w:softHyphen/>
        <w:t>жа и шасси. Зенитчиками сбиты три Ю-88 и один ФВ-190. Объекты не по</w:t>
      </w:r>
      <w:r w:rsidRPr="00925F26">
        <w:rPr>
          <w:color w:val="000000" w:themeColor="text1"/>
          <w:sz w:val="16"/>
          <w:szCs w:val="16"/>
        </w:rPr>
        <w:softHyphen/>
        <w:t>страдали, жертв не было. Всего в апреле 1945 г. было отмече</w:t>
      </w:r>
      <w:r w:rsidRPr="00925F26">
        <w:rPr>
          <w:color w:val="000000" w:themeColor="text1"/>
          <w:sz w:val="16"/>
          <w:szCs w:val="16"/>
        </w:rPr>
        <w:softHyphen/>
        <w:t>но 14 случаев сбрасывания «самоле</w:t>
      </w:r>
      <w:r w:rsidRPr="00925F26">
        <w:rPr>
          <w:color w:val="000000" w:themeColor="text1"/>
          <w:sz w:val="16"/>
          <w:szCs w:val="16"/>
        </w:rPr>
        <w:softHyphen/>
        <w:t>тов-бомб» Ю-88 на наши переправы (10791).</w:t>
      </w:r>
    </w:p>
    <w:p w14:paraId="349FE8EA" w14:textId="77777777" w:rsidR="00665165" w:rsidRPr="00925F26" w:rsidRDefault="00665165" w:rsidP="00925F26">
      <w:pPr>
        <w:autoSpaceDE w:val="0"/>
        <w:autoSpaceDN w:val="0"/>
        <w:adjustRightInd w:val="0"/>
        <w:jc w:val="both"/>
        <w:rPr>
          <w:color w:val="000000" w:themeColor="text1"/>
          <w:sz w:val="16"/>
          <w:szCs w:val="16"/>
        </w:rPr>
      </w:pPr>
    </w:p>
    <w:p w14:paraId="1B295DBF" w14:textId="77777777" w:rsidR="00403B6B" w:rsidRPr="001A0BAA" w:rsidRDefault="00403B6B" w:rsidP="00403B6B">
      <w:pPr>
        <w:jc w:val="both"/>
        <w:rPr>
          <w:color w:val="0070C0"/>
          <w:sz w:val="16"/>
          <w:szCs w:val="16"/>
        </w:rPr>
      </w:pPr>
      <w:r w:rsidRPr="001A0BAA">
        <w:rPr>
          <w:color w:val="0070C0"/>
          <w:sz w:val="16"/>
          <w:szCs w:val="16"/>
        </w:rPr>
        <w:t>19 апреля 1945 г. с 20.10 до 20.50 авиация противника произвела налет на переправы и железнодорожный мост через р. Одер у населенного пункта Штейнау. В налете участвовало 4 Ju-88 и 3 Fw-190, причем лишь один Ju-88 действовал самостоятельно как бомбардировщик, а три шли «спаренными» с Fw-190. Встреченные сильным зенитным огнем «спарки» расчленялись, истребители Fw-190 «снимались» с Ju-88 и с разворотом уходили от зоны огня. Ju-88 входили в пикирование, падали и взрывались. Как оказалось, они применялись без экипажей как бомбы, их фюзеляжи были наполнены взрывчатым веществом. На месте падения на берегу обнаружена воронка диаметром 10 м, глубиной 4 м, разбитые части моторов, фюзеляжа и шасси. Зенитчиками сбиты три Ju-88 и один Fw-190. Объекты не пострадали, жертв не было.</w:t>
      </w:r>
    </w:p>
    <w:p w14:paraId="1CFE2874" w14:textId="77777777" w:rsidR="00403B6B" w:rsidRPr="001A0BAA" w:rsidRDefault="00403B6B" w:rsidP="00403B6B">
      <w:pPr>
        <w:jc w:val="both"/>
        <w:rPr>
          <w:color w:val="0070C0"/>
          <w:sz w:val="16"/>
          <w:szCs w:val="16"/>
        </w:rPr>
      </w:pPr>
      <w:r w:rsidRPr="001A0BAA">
        <w:rPr>
          <w:color w:val="0070C0"/>
          <w:sz w:val="16"/>
          <w:szCs w:val="16"/>
        </w:rPr>
        <w:t>Всего в апреле 1945 г. было отмечено 14 случаев сбрасывания «самолетов-бомб» Ju-88 на наши переправы (25232).</w:t>
      </w:r>
    </w:p>
    <w:p w14:paraId="5D62A93B" w14:textId="77777777" w:rsidR="00403B6B" w:rsidRPr="001A0BAA" w:rsidRDefault="00403B6B" w:rsidP="00403B6B">
      <w:pPr>
        <w:jc w:val="both"/>
        <w:rPr>
          <w:color w:val="0070C0"/>
          <w:sz w:val="16"/>
          <w:szCs w:val="16"/>
        </w:rPr>
      </w:pPr>
    </w:p>
    <w:p w14:paraId="75B72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19 апреля 1945 360-й Гв. ТСАП в Берлинской операции поддерживал наступление 388-й стрелковой дивизии. Части дивизии овладели одной из рощ восточнее </w:t>
      </w:r>
      <w:proofErr w:type="gramStart"/>
      <w:r w:rsidRPr="00925F26">
        <w:rPr>
          <w:color w:val="000000" w:themeColor="text1"/>
          <w:sz w:val="16"/>
          <w:szCs w:val="16"/>
        </w:rPr>
        <w:t>Лихтенберга</w:t>
      </w:r>
      <w:proofErr w:type="gramEnd"/>
      <w:r w:rsidRPr="00925F26">
        <w:rPr>
          <w:color w:val="000000" w:themeColor="text1"/>
          <w:sz w:val="16"/>
          <w:szCs w:val="16"/>
        </w:rPr>
        <w:t xml:space="preserve"> где и закрепились. На другой день противник, силою до полка пехоты при поддержке 15 танков начал контратаковать. При отражении атак в течение дня огнем тяжелых САУ было уничтожено 10 немецких танков и до 300 солдат и офицеров. (3862).</w:t>
      </w:r>
    </w:p>
    <w:p w14:paraId="0E045914" w14:textId="77777777" w:rsidR="00665165" w:rsidRPr="00925F26" w:rsidRDefault="00665165" w:rsidP="00925F26">
      <w:pPr>
        <w:autoSpaceDE w:val="0"/>
        <w:autoSpaceDN w:val="0"/>
        <w:adjustRightInd w:val="0"/>
        <w:jc w:val="both"/>
        <w:rPr>
          <w:color w:val="000000" w:themeColor="text1"/>
          <w:sz w:val="16"/>
          <w:szCs w:val="16"/>
        </w:rPr>
      </w:pPr>
    </w:p>
    <w:p w14:paraId="57DA17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3 чехословацкий шап выполнил 7 заданий по скоплениям войск в районе Zabrlkov, Kopytov, Novy Bihumin. В одном из боев один Ил-2 был сбит (241,39).</w:t>
      </w:r>
    </w:p>
    <w:p w14:paraId="64B23B50" w14:textId="77777777" w:rsidR="00665165" w:rsidRPr="00925F26" w:rsidRDefault="00665165" w:rsidP="00925F26">
      <w:pPr>
        <w:autoSpaceDE w:val="0"/>
        <w:autoSpaceDN w:val="0"/>
        <w:adjustRightInd w:val="0"/>
        <w:jc w:val="both"/>
        <w:rPr>
          <w:color w:val="000000" w:themeColor="text1"/>
          <w:sz w:val="16"/>
          <w:szCs w:val="16"/>
        </w:rPr>
      </w:pPr>
    </w:p>
    <w:p w14:paraId="249A48C0" w14:textId="77777777" w:rsidR="00EB192F"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DE5BBAD" w14:textId="77777777" w:rsidR="00EB192F" w:rsidRPr="00925F26" w:rsidRDefault="00EB192F" w:rsidP="00925F26">
      <w:pPr>
        <w:autoSpaceDE w:val="0"/>
        <w:autoSpaceDN w:val="0"/>
        <w:adjustRightInd w:val="0"/>
        <w:jc w:val="both"/>
        <w:rPr>
          <w:iCs/>
          <w:color w:val="000000" w:themeColor="text1"/>
          <w:sz w:val="16"/>
          <w:szCs w:val="16"/>
        </w:rPr>
      </w:pPr>
    </w:p>
    <w:p w14:paraId="015DB218" w14:textId="77777777" w:rsidR="00EB192F" w:rsidRPr="00925F26" w:rsidRDefault="00EB192F" w:rsidP="00925F26">
      <w:pPr>
        <w:jc w:val="both"/>
        <w:rPr>
          <w:color w:val="000000" w:themeColor="text1"/>
          <w:sz w:val="16"/>
          <w:szCs w:val="16"/>
        </w:rPr>
      </w:pPr>
      <w:r w:rsidRPr="00925F26">
        <w:rPr>
          <w:color w:val="000000" w:themeColor="text1"/>
          <w:sz w:val="16"/>
          <w:szCs w:val="16"/>
        </w:rPr>
        <w:t>19 апреля в 1945 году архиепископ Армянской Апостольской Церкви Геворк Чорекчьян встретился со Сталиным и представил главе СССР список просьб, среди которых: открыть новые армянские церкви, обеспечить их валютными счетами, расширить связи с армянской диаспорой и т.д (15104).</w:t>
      </w:r>
    </w:p>
    <w:p w14:paraId="0285F8D2" w14:textId="77777777" w:rsidR="00EB192F" w:rsidRPr="00925F26" w:rsidRDefault="00EB192F" w:rsidP="00925F26">
      <w:pPr>
        <w:jc w:val="both"/>
        <w:rPr>
          <w:color w:val="000000" w:themeColor="text1"/>
          <w:sz w:val="16"/>
          <w:szCs w:val="16"/>
        </w:rPr>
      </w:pPr>
    </w:p>
    <w:p w14:paraId="68A7494F" w14:textId="77777777" w:rsidR="00A350B4" w:rsidRPr="00925F26" w:rsidRDefault="00A350B4" w:rsidP="00925F26">
      <w:pPr>
        <w:jc w:val="both"/>
        <w:rPr>
          <w:color w:val="000000" w:themeColor="text1"/>
          <w:sz w:val="16"/>
          <w:szCs w:val="16"/>
        </w:rPr>
      </w:pPr>
      <w:r w:rsidRPr="00925F26">
        <w:rPr>
          <w:color w:val="000000" w:themeColor="text1"/>
          <w:sz w:val="16"/>
          <w:szCs w:val="16"/>
        </w:rPr>
        <w:t>19 апреля 1945 года.</w:t>
      </w:r>
      <w:r w:rsidRPr="00925F26">
        <w:rPr>
          <w:bCs/>
          <w:color w:val="000000" w:themeColor="text1"/>
          <w:sz w:val="16"/>
          <w:szCs w:val="16"/>
        </w:rPr>
        <w:t xml:space="preserve"> Москва. СССР. Армянский архиепископ Геворк Чорекчьян, используя связи в высших коридорах власти Советского Союза члена армянской террористической организации “Дашнакцутюн” Анастаса Микояна, встретился со Сталиным. Армянский священник представил главе коммунистического режима список просьб, среди которых: открыть новые армянские церкви, обеспечить их валютными счетами, расширить связи с армянской диаспорой и т.д. Просьба по тем временам, когда главенствовал воинствующий атеизм, не укладывалась в рамки официальной политики, проводимой государством в отношении религий: христианской православной, христианской католической, мусульманской, иудаизма и других конфессий. По необъяснимым причинам А. Микояну удалось заставить Сталина пойти против собственной же линии и пообещать выполнить все просьбы архиепископа (17459).</w:t>
      </w:r>
    </w:p>
    <w:p w14:paraId="74B449CD" w14:textId="77777777" w:rsidR="00A350B4" w:rsidRPr="00925F26" w:rsidRDefault="00A350B4" w:rsidP="00925F26">
      <w:pPr>
        <w:jc w:val="both"/>
        <w:rPr>
          <w:color w:val="000000" w:themeColor="text1"/>
          <w:sz w:val="16"/>
          <w:szCs w:val="16"/>
        </w:rPr>
      </w:pPr>
    </w:p>
    <w:p w14:paraId="438036D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8C5534A" w14:textId="77777777" w:rsidR="00665165" w:rsidRPr="00925F26" w:rsidRDefault="00665165" w:rsidP="00925F26">
      <w:pPr>
        <w:autoSpaceDE w:val="0"/>
        <w:autoSpaceDN w:val="0"/>
        <w:adjustRightInd w:val="0"/>
        <w:jc w:val="both"/>
        <w:rPr>
          <w:iCs/>
          <w:color w:val="000000" w:themeColor="text1"/>
          <w:sz w:val="16"/>
          <w:szCs w:val="16"/>
        </w:rPr>
      </w:pPr>
    </w:p>
    <w:p w14:paraId="35190EA8" w14:textId="77777777" w:rsidR="00EB192F" w:rsidRPr="00925F26" w:rsidRDefault="00EB192F" w:rsidP="00925F26">
      <w:pPr>
        <w:jc w:val="both"/>
        <w:rPr>
          <w:color w:val="000000" w:themeColor="text1"/>
          <w:sz w:val="16"/>
          <w:szCs w:val="16"/>
        </w:rPr>
      </w:pPr>
      <w:r w:rsidRPr="00925F26">
        <w:rPr>
          <w:color w:val="000000" w:themeColor="text1"/>
          <w:sz w:val="16"/>
          <w:szCs w:val="16"/>
        </w:rPr>
        <w:t>19 апреля в 1945 году впервые полетел переоборудованный в палубный многоцелевой истребитель "Хорнет" «D.H.103» - «Hornet» «F.Мк.I.» 2 октября его показали прессе в числе новых самолетов, поступавших на вооружение английского флота. Рядом стоял "Хорнет" со сложенными крыльями, а третий прототип к тому времени уже летал с палубы авианосца "Океан". В конце 1944-го четыре "Хорнета" «F.Мк.I» переоборудовали фирмой Гестон Эйркрафт в морские истребители-бомбардировщики. Самолеты, как и положено палубным, получили складывающееся крыло, тормозной гак под задней частью фюзеляжа, усиленные стойки шасси, специальную систему ремней на кресле пилота и "морское" радиооборудование (15104).</w:t>
      </w:r>
    </w:p>
    <w:p w14:paraId="1D541588" w14:textId="77777777" w:rsidR="00EB192F" w:rsidRPr="00925F26" w:rsidRDefault="00EB192F" w:rsidP="00925F26">
      <w:pPr>
        <w:jc w:val="both"/>
        <w:rPr>
          <w:color w:val="000000" w:themeColor="text1"/>
          <w:sz w:val="16"/>
          <w:szCs w:val="16"/>
        </w:rPr>
      </w:pPr>
    </w:p>
    <w:p w14:paraId="45BFF6D9" w14:textId="77777777" w:rsidR="00DE5890" w:rsidRPr="00925F26" w:rsidRDefault="00DE5890" w:rsidP="00925F26">
      <w:pPr>
        <w:jc w:val="both"/>
        <w:rPr>
          <w:color w:val="000000" w:themeColor="text1"/>
          <w:sz w:val="16"/>
          <w:szCs w:val="16"/>
        </w:rPr>
      </w:pPr>
      <w:r w:rsidRPr="00925F26">
        <w:rPr>
          <w:color w:val="000000" w:themeColor="text1"/>
          <w:sz w:val="16"/>
          <w:szCs w:val="16"/>
        </w:rPr>
        <w:t>19 апреля 1945 первый полет прототипа PX212 компании de Havilland Sea Hornet (20371).</w:t>
      </w:r>
    </w:p>
    <w:p w14:paraId="706DC7FC" w14:textId="77777777" w:rsidR="00DE5890" w:rsidRPr="00925F26" w:rsidRDefault="00DE5890" w:rsidP="00925F26">
      <w:pPr>
        <w:jc w:val="both"/>
        <w:rPr>
          <w:color w:val="000000" w:themeColor="text1"/>
          <w:sz w:val="16"/>
          <w:szCs w:val="16"/>
        </w:rPr>
      </w:pPr>
    </w:p>
    <w:p w14:paraId="4124F9C5" w14:textId="77777777" w:rsidR="00DE5890" w:rsidRPr="00925F26" w:rsidRDefault="00DE5890" w:rsidP="00925F26">
      <w:pPr>
        <w:jc w:val="both"/>
        <w:rPr>
          <w:color w:val="000000" w:themeColor="text1"/>
          <w:sz w:val="16"/>
          <w:szCs w:val="16"/>
          <w:shd w:val="clear" w:color="auto" w:fill="FFFFFF"/>
        </w:rPr>
      </w:pPr>
      <w:r w:rsidRPr="00925F26">
        <w:rPr>
          <w:color w:val="000000" w:themeColor="text1"/>
          <w:sz w:val="16"/>
          <w:szCs w:val="16"/>
        </w:rPr>
        <w:t>До 19 апреля 1945 г. продолжался выпуск Ме-262, завершившись постройкой 1 433 самолетов различных модификаций (22776).</w:t>
      </w:r>
    </w:p>
    <w:p w14:paraId="428EE08B" w14:textId="77777777" w:rsidR="00DE5890" w:rsidRPr="00925F26" w:rsidRDefault="00DE5890" w:rsidP="00925F26">
      <w:pPr>
        <w:jc w:val="both"/>
        <w:rPr>
          <w:color w:val="000000" w:themeColor="text1"/>
          <w:sz w:val="16"/>
          <w:szCs w:val="16"/>
          <w:shd w:val="clear" w:color="auto" w:fill="FFFFFF"/>
        </w:rPr>
      </w:pPr>
    </w:p>
    <w:p w14:paraId="3DCAB55C" w14:textId="77777777" w:rsidR="00EB192F" w:rsidRPr="00925F26" w:rsidRDefault="00EB192F" w:rsidP="00925F26">
      <w:pPr>
        <w:jc w:val="both"/>
        <w:rPr>
          <w:color w:val="000000" w:themeColor="text1"/>
          <w:sz w:val="16"/>
          <w:szCs w:val="16"/>
        </w:rPr>
      </w:pPr>
      <w:r w:rsidRPr="00925F26">
        <w:rPr>
          <w:color w:val="000000" w:themeColor="text1"/>
          <w:sz w:val="16"/>
          <w:szCs w:val="16"/>
        </w:rPr>
        <w:t>19 апреля в 1945 году несколько «Не-162А-2» из I/JG1 поднялись с аэродрома Лекк, чтобы перехватить истребители-бомбардировщики союзников, появившиеся над Шлезвиг-Гольштейном. Вероятно, именно во время этого вылета была одержана первая победа на «Не-162», когда фельдфебель Гюнтер Кирхнер (Gunter Kirchner) сообщил по радио, что сбил английский истребитель. Во всяком случае, один из английских пилотов, сбитых и попавших в плен в тот день, утверждал, что был сбит небольшим реактивным истребителем. Сам Кирхнер уточнить обстоятельства своей победы не смог, поскольку уже через несколько минут сам был сбит американским «Р-47» и погиб. Он стал единственным пилотом JG1, погибшим в бою на «Не-162». Как дельфин напоминаю, что серийная модификация «Не-162А-2» вооружалась 20-мм пушками «MG-151», а в конце войны появилась модификация «Не-162А-3», с усиленной носовой частью, на которой вновь, как на «Не-162А-1», были установлены 30-мм пушки «МК-108» (15104).</w:t>
      </w:r>
    </w:p>
    <w:p w14:paraId="249C51AE" w14:textId="77777777" w:rsidR="00EB192F" w:rsidRPr="00925F26" w:rsidRDefault="00EB192F" w:rsidP="00925F26">
      <w:pPr>
        <w:jc w:val="both"/>
        <w:rPr>
          <w:color w:val="000000" w:themeColor="text1"/>
          <w:sz w:val="16"/>
          <w:szCs w:val="16"/>
        </w:rPr>
      </w:pPr>
    </w:p>
    <w:p w14:paraId="1BF6501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апреля 1945 американские войска освободили от фашистов Лейпциг (4962).</w:t>
      </w:r>
    </w:p>
    <w:p w14:paraId="536B279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0DAD6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союзниками был освобожден концлагерь Бухенвальд (2248,5).</w:t>
      </w:r>
    </w:p>
    <w:p w14:paraId="76687AE2" w14:textId="77777777" w:rsidR="00665165" w:rsidRPr="00925F26" w:rsidRDefault="00665165" w:rsidP="00925F26">
      <w:pPr>
        <w:autoSpaceDE w:val="0"/>
        <w:autoSpaceDN w:val="0"/>
        <w:adjustRightInd w:val="0"/>
        <w:jc w:val="both"/>
        <w:rPr>
          <w:color w:val="000000" w:themeColor="text1"/>
          <w:sz w:val="16"/>
          <w:szCs w:val="16"/>
        </w:rPr>
      </w:pPr>
    </w:p>
    <w:p w14:paraId="213F2A3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19th, 1945: The US Ninth Army captures Leipzig. In the East, the Red Army breaks through the German defenses both N and S of Frankfurt, and despite heavy losses in men and tanks (over 400 in two days), continues to advance toward Berlin. On the eve of Hitler's 56th birthday, Dr. Goebbels exhorts the nation and predicts that in spite of all misfortunes Germany will yet prevail, that the "perverse coalition between Bolshevism and Plutocracy" is about to break up, and that it is Adolf Hitler ("Our Hitler!") who will still turn back the tide and save Europe, as he has thus far, from falling into the clutches of the Kremlin (3819).</w:t>
      </w:r>
    </w:p>
    <w:p w14:paraId="0F441CA3" w14:textId="77777777" w:rsidR="00665165" w:rsidRPr="00925F26" w:rsidRDefault="00665165" w:rsidP="00925F26">
      <w:pPr>
        <w:autoSpaceDE w:val="0"/>
        <w:autoSpaceDN w:val="0"/>
        <w:adjustRightInd w:val="0"/>
        <w:jc w:val="both"/>
        <w:rPr>
          <w:color w:val="000000" w:themeColor="text1"/>
          <w:sz w:val="16"/>
          <w:szCs w:val="16"/>
          <w:lang w:val="en-US"/>
        </w:rPr>
      </w:pPr>
    </w:p>
    <w:p w14:paraId="430B4E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апреля 1945 9А США заняла Лейпциг. КА прорвалась через немецкую оборону с юга и севера от Франкфурта и несмотря на тяжелые потери в живой силе и технике (400 т) продолжили наступление на Берлин (3819).</w:t>
      </w:r>
    </w:p>
    <w:p w14:paraId="23D7907C" w14:textId="77777777" w:rsidR="00665165" w:rsidRPr="00925F26" w:rsidRDefault="00665165" w:rsidP="00925F26">
      <w:pPr>
        <w:autoSpaceDE w:val="0"/>
        <w:autoSpaceDN w:val="0"/>
        <w:adjustRightInd w:val="0"/>
        <w:jc w:val="both"/>
        <w:rPr>
          <w:color w:val="000000" w:themeColor="text1"/>
          <w:sz w:val="16"/>
          <w:szCs w:val="16"/>
        </w:rPr>
      </w:pPr>
    </w:p>
    <w:p w14:paraId="1FCE9BE6" w14:textId="77777777" w:rsidR="00902F85" w:rsidRPr="00925F26" w:rsidRDefault="00902F85" w:rsidP="00925F26">
      <w:pPr>
        <w:jc w:val="both"/>
        <w:rPr>
          <w:bCs/>
          <w:color w:val="000000" w:themeColor="text1"/>
          <w:sz w:val="16"/>
          <w:szCs w:val="16"/>
        </w:rPr>
      </w:pPr>
      <w:r w:rsidRPr="00925F26">
        <w:rPr>
          <w:color w:val="000000" w:themeColor="text1"/>
          <w:sz w:val="16"/>
          <w:szCs w:val="16"/>
        </w:rPr>
        <w:t>19 и 21 апреля 1945 г.</w:t>
      </w:r>
      <w:r w:rsidRPr="00925F26">
        <w:rPr>
          <w:bCs/>
          <w:color w:val="000000" w:themeColor="text1"/>
          <w:sz w:val="16"/>
          <w:szCs w:val="16"/>
        </w:rPr>
        <w:t xml:space="preserve"> Гиммлер обратился к Англии и США с предложением о капитуляции немецко-фашистских войск на западе. Предложение было сделано в Стокгольме устно графу Бернадотту, который являлся заместителем председателя шведского общества Красного Креста. Союзники не отвергли предложений, но дали понять, что примут такую капитуляцию лишь совместно с СССР. В тот же день, 21 апреля, британская и американская военные миссии сообщили советскому Генеральному штабу, что в ближайшем будущем возможна безоговорочная капитуляция крупных сил противника на любом из участков главных фронтов. Они писали: «Начальники объединенного штаба считают, что каждая из главных союзных держав, если она этого пожелает, должна получить возможность послать своих представителей для присутствия на переговорах по поводу любой из подобных капитуляций. Однако никакому предложению о сдаче не может быть дано отказа только потому, что будут отсутствовать представители одного из трех союзников…</w:t>
      </w:r>
    </w:p>
    <w:p w14:paraId="543F7888" w14:textId="77777777" w:rsidR="00902F85" w:rsidRPr="00925F26" w:rsidRDefault="00902F85" w:rsidP="00925F26">
      <w:pPr>
        <w:jc w:val="both"/>
        <w:rPr>
          <w:color w:val="000000" w:themeColor="text1"/>
          <w:sz w:val="16"/>
          <w:szCs w:val="16"/>
        </w:rPr>
      </w:pPr>
      <w:r w:rsidRPr="00925F26">
        <w:rPr>
          <w:color w:val="000000" w:themeColor="text1"/>
          <w:sz w:val="16"/>
          <w:szCs w:val="16"/>
        </w:rPr>
        <w:t>Сотрудничество с немцами, пусть и в рамках Красного Креста, привело через 3 года к гибели самого посредника – графа Фолька Бернадотта – он будет убит евреями в Палестине при очередном посредничестве 17 сентября 1948 г.</w:t>
      </w:r>
      <w:r w:rsidRPr="00925F26">
        <w:rPr>
          <w:bCs/>
          <w:color w:val="000000" w:themeColor="text1"/>
          <w:sz w:val="16"/>
          <w:szCs w:val="16"/>
        </w:rPr>
        <w:t xml:space="preserve"> (17459).</w:t>
      </w:r>
    </w:p>
    <w:p w14:paraId="21FFD92B" w14:textId="77777777" w:rsidR="00902F85" w:rsidRPr="00925F26" w:rsidRDefault="00902F85" w:rsidP="00925F26">
      <w:pPr>
        <w:jc w:val="both"/>
        <w:rPr>
          <w:color w:val="000000" w:themeColor="text1"/>
          <w:sz w:val="16"/>
          <w:szCs w:val="16"/>
        </w:rPr>
      </w:pPr>
    </w:p>
    <w:p w14:paraId="6F3AFF57" w14:textId="77777777" w:rsidR="00902F85" w:rsidRPr="00925F26" w:rsidRDefault="00902F85" w:rsidP="00925F26">
      <w:pPr>
        <w:jc w:val="both"/>
        <w:rPr>
          <w:color w:val="000000" w:themeColor="text1"/>
          <w:sz w:val="16"/>
          <w:szCs w:val="16"/>
        </w:rPr>
      </w:pPr>
      <w:r w:rsidRPr="00925F26">
        <w:rPr>
          <w:color w:val="000000" w:themeColor="text1"/>
          <w:sz w:val="16"/>
          <w:szCs w:val="16"/>
        </w:rPr>
        <w:t>Около полуночи с 19 на 20 апреля</w:t>
      </w:r>
      <w:r w:rsidRPr="00925F26">
        <w:rPr>
          <w:bCs/>
          <w:color w:val="000000" w:themeColor="text1"/>
          <w:sz w:val="16"/>
          <w:szCs w:val="16"/>
        </w:rPr>
        <w:t xml:space="preserve"> 1945 личный штаб Гитлера приходил к нему с поздравлениями. На этот раз Гитлер заранее предупредил, что не будет принимать поздравлений, </w:t>
      </w:r>
      <w:proofErr w:type="gramStart"/>
      <w:r w:rsidRPr="00925F26">
        <w:rPr>
          <w:bCs/>
          <w:color w:val="000000" w:themeColor="text1"/>
          <w:sz w:val="16"/>
          <w:szCs w:val="16"/>
        </w:rPr>
        <w:t>А</w:t>
      </w:r>
      <w:proofErr w:type="gramEnd"/>
      <w:r w:rsidRPr="00925F26">
        <w:rPr>
          <w:bCs/>
          <w:color w:val="000000" w:themeColor="text1"/>
          <w:sz w:val="16"/>
          <w:szCs w:val="16"/>
        </w:rPr>
        <w:t xml:space="preserve"> с теми, кто все же пришел, он провел короткое совещание. Во время этого совещания Гитлер внезапно выпрямился, бросил цветные карандаши, его лицо налилось кровью, глаза были широко раскрыты. Отступив на один шаг от стола, он закричал срывающимся голосом: – Ни на что не похоже! В этих условиях я больше не в состоянии командовать! Война проиграна! Но если вы, господа, думаете, что я покину Берлин, то вы глубоко ошибаетесь! Я лучше пущу себе пулю в лоб! (17459).</w:t>
      </w:r>
    </w:p>
    <w:p w14:paraId="456299B3" w14:textId="77777777" w:rsidR="00902F85" w:rsidRPr="00925F26" w:rsidRDefault="00902F85" w:rsidP="00925F26">
      <w:pPr>
        <w:jc w:val="both"/>
        <w:rPr>
          <w:color w:val="000000" w:themeColor="text1"/>
          <w:sz w:val="16"/>
          <w:szCs w:val="16"/>
        </w:rPr>
      </w:pPr>
    </w:p>
    <w:p w14:paraId="72AF53D9" w14:textId="77777777" w:rsidR="00EB192F" w:rsidRPr="00925F26" w:rsidRDefault="00EB192F" w:rsidP="00925F26">
      <w:pPr>
        <w:jc w:val="both"/>
        <w:rPr>
          <w:color w:val="000000" w:themeColor="text1"/>
          <w:sz w:val="16"/>
          <w:szCs w:val="16"/>
        </w:rPr>
      </w:pPr>
      <w:r w:rsidRPr="00925F26">
        <w:rPr>
          <w:color w:val="000000" w:themeColor="text1"/>
          <w:sz w:val="16"/>
          <w:szCs w:val="16"/>
        </w:rPr>
        <w:t>19 апреля в 1945 году основана Международная ассоциация воздушного транспорта (ИАТА) (15104).</w:t>
      </w:r>
    </w:p>
    <w:p w14:paraId="4B309448" w14:textId="77777777" w:rsidR="00EB192F" w:rsidRPr="00925F26" w:rsidRDefault="00EB192F" w:rsidP="00925F26">
      <w:pPr>
        <w:jc w:val="both"/>
        <w:rPr>
          <w:color w:val="000000" w:themeColor="text1"/>
          <w:sz w:val="16"/>
          <w:szCs w:val="16"/>
        </w:rPr>
      </w:pPr>
    </w:p>
    <w:p w14:paraId="4090E46F" w14:textId="77777777" w:rsidR="0021629B" w:rsidRPr="00925F26" w:rsidRDefault="0021629B" w:rsidP="00925F26">
      <w:pPr>
        <w:jc w:val="both"/>
        <w:rPr>
          <w:color w:val="000000" w:themeColor="text1"/>
          <w:sz w:val="16"/>
          <w:szCs w:val="16"/>
        </w:rPr>
      </w:pPr>
      <w:r w:rsidRPr="00925F26">
        <w:rPr>
          <w:color w:val="000000" w:themeColor="text1"/>
          <w:sz w:val="16"/>
          <w:szCs w:val="16"/>
        </w:rPr>
        <w:t>19 апреля 1945 в Гаване, Куба, основана Международная ассоциация воздушного транспорта, в которую входят 57 авиакомпаний из 31 страны (20371).</w:t>
      </w:r>
    </w:p>
    <w:p w14:paraId="119846F3" w14:textId="77777777" w:rsidR="0021629B" w:rsidRPr="00925F26" w:rsidRDefault="0021629B" w:rsidP="00925F26">
      <w:pPr>
        <w:jc w:val="both"/>
        <w:rPr>
          <w:color w:val="000000" w:themeColor="text1"/>
          <w:sz w:val="16"/>
          <w:szCs w:val="16"/>
        </w:rPr>
      </w:pPr>
    </w:p>
    <w:p w14:paraId="21B5701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899E557" w14:textId="77777777" w:rsidR="00665165" w:rsidRPr="00925F26" w:rsidRDefault="00665165" w:rsidP="00925F26">
      <w:pPr>
        <w:autoSpaceDE w:val="0"/>
        <w:autoSpaceDN w:val="0"/>
        <w:adjustRightInd w:val="0"/>
        <w:jc w:val="both"/>
        <w:rPr>
          <w:iCs/>
          <w:color w:val="000000" w:themeColor="text1"/>
          <w:sz w:val="16"/>
          <w:szCs w:val="16"/>
        </w:rPr>
      </w:pPr>
    </w:p>
    <w:p w14:paraId="53002348"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По состоянию на 20 апреля 1945 серийный самолет Ил-10 зав. № 1892002, который в течение февраля - апреля 1945 на заводе № 18 проходил испытания на выносливость, налетал 47 ч 43 мин в воздухе и наработал 11 ч 47 мин, передвигаясь по аэродрому. Мотор АМ-42 № 451065, «установленный на самолет вместо снятого и отправленного на завод № 24 для установки причин появления стружки в маслофильтре мотора АМ № 45515», наработал 19 ч 02 мин в воздухе и 8 ч 02 мин - на земле.</w:t>
      </w:r>
    </w:p>
    <w:p w14:paraId="4756517B"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В общей сложности было произведено 157 посадок с нормальным полетным весом, в том числе 87 - нормальных посадок, 25 - на две точки с выпущенными щитками, 25 - «с плюхом» (высоким выравниванием) и 20 - на одну стойку шасси (правую и левую).</w:t>
      </w:r>
    </w:p>
    <w:p w14:paraId="5580AABB"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Выполнено 400 виражей, 200 пикирований и 200 боевых разворотов. При виражах скорость составляла 340-350 км/ч, крен - 60-70°, перегрузка - 2,0-3,5 единицы. Ввод в пикирование осуществлялся на высоте 2500 м, вывод на высоте - 1000 м, скорость при вводе - 270-280 км/ч, на выводе - 540-560 км/ч. Перегрузка на выводе ограничивалась 2,8-3,0 единицы. Набор высоты за один боевой разворот при скорости ввода в маневр 470-490 км/ч и вывода в горизонтальный полет 270 км/ч достигал 800-1000 м. Перегрузка при выполнении маневра не превышала 2,0-2,6 единицы.</w:t>
      </w:r>
    </w:p>
    <w:p w14:paraId="4422B9F9"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Закончен отстрел всего оружия в воздухе: пулеметы ШКАС - левый - 6300, правый - 4705, пушки ВЯ - правая - 1460, левая - 1600, пулемет УБК - 2350 выстрелов.</w:t>
      </w:r>
    </w:p>
    <w:p w14:paraId="034570D5"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20 апреля при посадке на одну стойку на пробеге «срезался болт, соединяющий рычаги, предохраняющие колесо от поворачивания левой ноги». Болт найти не удалось. Причина дефекта осталась невыясненной.</w:t>
      </w:r>
    </w:p>
    <w:p w14:paraId="1A065A06"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В ряду основных дефектов самолета зав. № 1892002 отмечалось появление течи масла и бензина из всех соединений моторных агрегатов и масла из-под штуцера левого маслобака. В полете произошло отсоединение тяги нормального газа. Самолет сел на вынужденную посадку без поломок.</w:t>
      </w:r>
    </w:p>
    <w:p w14:paraId="00B845F8"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По итогам испытаний был усилен контроль при монтажах бензо - и маслопроводки. Контровку керном болта четырехзвенника тяги нормального газа заменили шплинтом (17490).</w:t>
      </w:r>
    </w:p>
    <w:p w14:paraId="3860DE89" w14:textId="77777777" w:rsidR="006E65ED" w:rsidRPr="00925F26" w:rsidRDefault="006E65ED" w:rsidP="00925F26">
      <w:pPr>
        <w:jc w:val="both"/>
        <w:rPr>
          <w:color w:val="000000" w:themeColor="text1"/>
          <w:sz w:val="16"/>
          <w:szCs w:val="16"/>
        </w:rPr>
      </w:pPr>
    </w:p>
    <w:p w14:paraId="77460462"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К 20 апреля 1945 новый вариант всасывающего патрубка был смонтирован на Ил-10 зав. № 1890404 и с положительным результатом испытан на земле и в воздухе.</w:t>
      </w:r>
    </w:p>
    <w:p w14:paraId="54232E5E"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lastRenderedPageBreak/>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64B6B545"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 xml:space="preserve">Кроме этого, в стенках тоннелей водорадиатора с обеих сторон были сделаны вырезы общей площадью 560 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закрытые сеткой «Дельбак» в один слой.</w:t>
      </w:r>
    </w:p>
    <w:p w14:paraId="50551233"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6AA80B36" w14:textId="77777777" w:rsidR="006E65ED" w:rsidRPr="00925F26" w:rsidRDefault="006E65ED"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4BC30AE8" w14:textId="77777777" w:rsidR="006E65ED" w:rsidRPr="00925F26" w:rsidRDefault="006E65ED" w:rsidP="00925F26">
      <w:pPr>
        <w:jc w:val="both"/>
        <w:rPr>
          <w:rStyle w:val="107"/>
          <w:rFonts w:eastAsiaTheme="minorHAnsi"/>
          <w:color w:val="000000" w:themeColor="text1"/>
          <w:sz w:val="16"/>
          <w:szCs w:val="16"/>
        </w:rPr>
      </w:pPr>
    </w:p>
    <w:p w14:paraId="14863C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20 апреля 1945 на серийный самолет Ил-10.(зав. № 1890404) был смонтирован всасывающий патрубок с воздухоочиститель</w:t>
      </w:r>
      <w:r w:rsidRPr="00925F26">
        <w:rPr>
          <w:color w:val="000000" w:themeColor="text1"/>
          <w:sz w:val="16"/>
          <w:szCs w:val="16"/>
        </w:rPr>
        <w:softHyphen/>
        <w:t>ным фильтром кассетной конструкции с сеткой типа «Дельбак» заводского варианта установки.</w:t>
      </w:r>
    </w:p>
    <w:p w14:paraId="7CCCBD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Всасывающий патрубок с пылефильтром состоял из собст</w:t>
      </w:r>
      <w:r w:rsidRPr="00925F26">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925F26">
        <w:rPr>
          <w:color w:val="000000" w:themeColor="text1"/>
          <w:sz w:val="16"/>
          <w:szCs w:val="16"/>
        </w:rPr>
        <w:softHyphen/>
        <w:t>татель. При выпуске шасси заслонка поворачивается, перекры</w:t>
      </w:r>
      <w:r w:rsidRPr="00925F26">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925F26">
        <w:rPr>
          <w:color w:val="000000" w:themeColor="text1"/>
          <w:sz w:val="16"/>
          <w:szCs w:val="16"/>
        </w:rPr>
        <w:softHyphen/>
        <w:t>вающий патрубок снизу.</w:t>
      </w:r>
    </w:p>
    <w:p w14:paraId="5580ED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завершились к началу мая. Мотор на всех ре</w:t>
      </w:r>
      <w:r w:rsidRPr="00925F26">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925F26">
        <w:rPr>
          <w:color w:val="000000" w:themeColor="text1"/>
          <w:sz w:val="16"/>
          <w:szCs w:val="16"/>
        </w:rPr>
        <w:softHyphen/>
        <w:t>ла 525 км/ч, а на высоте 2500 м — 475 км/ч (11474,514).</w:t>
      </w:r>
    </w:p>
    <w:p w14:paraId="4E22AA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F59F2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20 апреля 1945 состояние опытного строительства на заводе № 81 было следующим:</w:t>
      </w:r>
    </w:p>
    <w:p w14:paraId="43E7F41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АШ-82ФН с 2 пушками НС-23 - летные испытания закончены. После устранения мелких дефектов с-т будет направлен в ГК НИИ ВВС (738,36).</w:t>
      </w:r>
    </w:p>
    <w:p w14:paraId="348BC410" w14:textId="77777777" w:rsidR="00665165" w:rsidRPr="00925F26" w:rsidRDefault="00665165" w:rsidP="00925F26">
      <w:pPr>
        <w:widowControl w:val="0"/>
        <w:autoSpaceDE w:val="0"/>
        <w:autoSpaceDN w:val="0"/>
        <w:adjustRightInd w:val="0"/>
        <w:jc w:val="both"/>
        <w:rPr>
          <w:color w:val="000000" w:themeColor="text1"/>
          <w:sz w:val="16"/>
          <w:szCs w:val="16"/>
        </w:rPr>
      </w:pPr>
    </w:p>
    <w:p w14:paraId="70ED6C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года приказом НКАП за № 151сс завод № 25 был реорганизован в ОКБ завода № 150.</w:t>
      </w:r>
    </w:p>
    <w:p w14:paraId="5F556C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конструктором ОКБ завода № 150 был назначен Жданов К.И.</w:t>
      </w:r>
    </w:p>
    <w:p w14:paraId="6B317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636801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28021B8D"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Согласно приказа</w:t>
      </w:r>
      <w:proofErr w:type="gramEnd"/>
      <w:r w:rsidRPr="00925F26">
        <w:rPr>
          <w:color w:val="000000" w:themeColor="text1"/>
          <w:sz w:val="16"/>
          <w:szCs w:val="16"/>
        </w:rPr>
        <w:t xml:space="preserve">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73E7C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1D064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0F5689" w:rsidRPr="00925F26" w14:paraId="79F79937" w14:textId="77777777">
        <w:tc>
          <w:tcPr>
            <w:tcW w:w="3868" w:type="dxa"/>
          </w:tcPr>
          <w:p w14:paraId="14F4E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самолета</w:t>
            </w:r>
          </w:p>
        </w:tc>
        <w:tc>
          <w:tcPr>
            <w:tcW w:w="3868" w:type="dxa"/>
          </w:tcPr>
          <w:p w14:paraId="134567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Шифр винта</w:t>
            </w:r>
          </w:p>
        </w:tc>
        <w:tc>
          <w:tcPr>
            <w:tcW w:w="3868" w:type="dxa"/>
          </w:tcPr>
          <w:p w14:paraId="68A76C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Год передачи в серийное производство</w:t>
            </w:r>
          </w:p>
        </w:tc>
      </w:tr>
      <w:tr w:rsidR="000F5689" w:rsidRPr="00925F26" w14:paraId="25B5857C" w14:textId="77777777">
        <w:tc>
          <w:tcPr>
            <w:tcW w:w="3868" w:type="dxa"/>
          </w:tcPr>
          <w:p w14:paraId="2ABDCA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И-15</w:t>
            </w:r>
          </w:p>
        </w:tc>
        <w:tc>
          <w:tcPr>
            <w:tcW w:w="3868" w:type="dxa"/>
          </w:tcPr>
          <w:p w14:paraId="4E085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АВ-1</w:t>
            </w:r>
          </w:p>
        </w:tc>
        <w:tc>
          <w:tcPr>
            <w:tcW w:w="3868" w:type="dxa"/>
          </w:tcPr>
          <w:p w14:paraId="306820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1939</w:t>
            </w:r>
          </w:p>
        </w:tc>
      </w:tr>
      <w:tr w:rsidR="000F5689" w:rsidRPr="00925F26" w14:paraId="70090C7D" w14:textId="77777777">
        <w:tc>
          <w:tcPr>
            <w:tcW w:w="3868" w:type="dxa"/>
          </w:tcPr>
          <w:p w14:paraId="3FCEAB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И-16</w:t>
            </w:r>
          </w:p>
        </w:tc>
        <w:tc>
          <w:tcPr>
            <w:tcW w:w="3868" w:type="dxa"/>
          </w:tcPr>
          <w:p w14:paraId="769EFB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АВ-1</w:t>
            </w:r>
          </w:p>
        </w:tc>
        <w:tc>
          <w:tcPr>
            <w:tcW w:w="3868" w:type="dxa"/>
          </w:tcPr>
          <w:p w14:paraId="4C3388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1939</w:t>
            </w:r>
          </w:p>
        </w:tc>
      </w:tr>
      <w:tr w:rsidR="000F5689" w:rsidRPr="00925F26" w14:paraId="2CB1177F" w14:textId="77777777">
        <w:tc>
          <w:tcPr>
            <w:tcW w:w="3868" w:type="dxa"/>
          </w:tcPr>
          <w:p w14:paraId="2630FD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3868" w:type="dxa"/>
          </w:tcPr>
          <w:p w14:paraId="408400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ВИШ-23</w:t>
            </w:r>
          </w:p>
        </w:tc>
        <w:tc>
          <w:tcPr>
            <w:tcW w:w="3868" w:type="dxa"/>
          </w:tcPr>
          <w:p w14:paraId="23130B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1939</w:t>
            </w:r>
          </w:p>
        </w:tc>
      </w:tr>
      <w:tr w:rsidR="000F5689" w:rsidRPr="00925F26" w14:paraId="63CA061F" w14:textId="77777777">
        <w:tc>
          <w:tcPr>
            <w:tcW w:w="3868" w:type="dxa"/>
          </w:tcPr>
          <w:p w14:paraId="20DF22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3868" w:type="dxa"/>
          </w:tcPr>
          <w:p w14:paraId="2B4DA1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ВИШ-21</w:t>
            </w:r>
          </w:p>
        </w:tc>
        <w:tc>
          <w:tcPr>
            <w:tcW w:w="3868" w:type="dxa"/>
          </w:tcPr>
          <w:p w14:paraId="5C3477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1939</w:t>
            </w:r>
          </w:p>
        </w:tc>
      </w:tr>
      <w:tr w:rsidR="000F5689" w:rsidRPr="00925F26" w14:paraId="38D1EF99" w14:textId="77777777">
        <w:tc>
          <w:tcPr>
            <w:tcW w:w="3868" w:type="dxa"/>
          </w:tcPr>
          <w:p w14:paraId="5859B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Миг-3</w:t>
            </w:r>
          </w:p>
        </w:tc>
        <w:tc>
          <w:tcPr>
            <w:tcW w:w="3868" w:type="dxa"/>
          </w:tcPr>
          <w:p w14:paraId="061E4F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АВ-5Л-123</w:t>
            </w:r>
          </w:p>
        </w:tc>
        <w:tc>
          <w:tcPr>
            <w:tcW w:w="3868" w:type="dxa"/>
          </w:tcPr>
          <w:p w14:paraId="53ECA7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r>
      <w:tr w:rsidR="000F5689" w:rsidRPr="00925F26" w14:paraId="7EF59863" w14:textId="77777777">
        <w:tc>
          <w:tcPr>
            <w:tcW w:w="3868" w:type="dxa"/>
          </w:tcPr>
          <w:p w14:paraId="68E19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3868" w:type="dxa"/>
          </w:tcPr>
          <w:p w14:paraId="30A361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АВ-5Л-139</w:t>
            </w:r>
          </w:p>
        </w:tc>
        <w:tc>
          <w:tcPr>
            <w:tcW w:w="3868" w:type="dxa"/>
          </w:tcPr>
          <w:p w14:paraId="06EAF6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r>
      <w:tr w:rsidR="000F5689" w:rsidRPr="00925F26" w14:paraId="5D0E7E42" w14:textId="77777777">
        <w:tc>
          <w:tcPr>
            <w:tcW w:w="3868" w:type="dxa"/>
          </w:tcPr>
          <w:p w14:paraId="2EE415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3868" w:type="dxa"/>
          </w:tcPr>
          <w:p w14:paraId="7F172C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АВ-5Л-116</w:t>
            </w:r>
          </w:p>
        </w:tc>
        <w:tc>
          <w:tcPr>
            <w:tcW w:w="3868" w:type="dxa"/>
          </w:tcPr>
          <w:p w14:paraId="371C8B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r>
      <w:tr w:rsidR="000F5689" w:rsidRPr="00925F26" w14:paraId="09B6D037" w14:textId="77777777">
        <w:tc>
          <w:tcPr>
            <w:tcW w:w="3868" w:type="dxa"/>
          </w:tcPr>
          <w:p w14:paraId="100E87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3868" w:type="dxa"/>
          </w:tcPr>
          <w:p w14:paraId="186AD4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ВИШ-22Т</w:t>
            </w:r>
          </w:p>
        </w:tc>
        <w:tc>
          <w:tcPr>
            <w:tcW w:w="3868" w:type="dxa"/>
          </w:tcPr>
          <w:p w14:paraId="5567C9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r>
      <w:tr w:rsidR="000F5689" w:rsidRPr="00925F26" w14:paraId="4F2F3BF0" w14:textId="77777777">
        <w:tc>
          <w:tcPr>
            <w:tcW w:w="3868" w:type="dxa"/>
          </w:tcPr>
          <w:p w14:paraId="455E8D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w:t>
            </w:r>
          </w:p>
        </w:tc>
        <w:tc>
          <w:tcPr>
            <w:tcW w:w="3868" w:type="dxa"/>
          </w:tcPr>
          <w:p w14:paraId="576DC2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АВ-5В-167</w:t>
            </w:r>
          </w:p>
        </w:tc>
        <w:tc>
          <w:tcPr>
            <w:tcW w:w="3868" w:type="dxa"/>
          </w:tcPr>
          <w:p w14:paraId="28BBFE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r>
      <w:tr w:rsidR="000F5689" w:rsidRPr="00925F26" w14:paraId="771F0177" w14:textId="77777777">
        <w:tc>
          <w:tcPr>
            <w:tcW w:w="3868" w:type="dxa"/>
          </w:tcPr>
          <w:p w14:paraId="621B33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3868" w:type="dxa"/>
          </w:tcPr>
          <w:p w14:paraId="488E5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АВ-5Л-158</w:t>
            </w:r>
          </w:p>
        </w:tc>
        <w:tc>
          <w:tcPr>
            <w:tcW w:w="3868" w:type="dxa"/>
          </w:tcPr>
          <w:p w14:paraId="173C15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r>
      <w:tr w:rsidR="000F5689" w:rsidRPr="00925F26" w14:paraId="40A522A1" w14:textId="77777777">
        <w:tc>
          <w:tcPr>
            <w:tcW w:w="3868" w:type="dxa"/>
          </w:tcPr>
          <w:p w14:paraId="7B8838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3868" w:type="dxa"/>
          </w:tcPr>
          <w:p w14:paraId="33DB34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АВ-7НЕ-161</w:t>
            </w:r>
          </w:p>
        </w:tc>
        <w:tc>
          <w:tcPr>
            <w:tcW w:w="3868" w:type="dxa"/>
          </w:tcPr>
          <w:p w14:paraId="7B77DE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1947</w:t>
            </w:r>
          </w:p>
        </w:tc>
      </w:tr>
      <w:tr w:rsidR="000F5689" w:rsidRPr="00925F26" w14:paraId="44EC9E71" w14:textId="77777777">
        <w:tc>
          <w:tcPr>
            <w:tcW w:w="3868" w:type="dxa"/>
          </w:tcPr>
          <w:p w14:paraId="1A2E47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w:t>
            </w:r>
          </w:p>
        </w:tc>
        <w:tc>
          <w:tcPr>
            <w:tcW w:w="3868" w:type="dxa"/>
          </w:tcPr>
          <w:p w14:paraId="7C7782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АВ-9ВФ-21К</w:t>
            </w:r>
          </w:p>
        </w:tc>
        <w:tc>
          <w:tcPr>
            <w:tcW w:w="3868" w:type="dxa"/>
          </w:tcPr>
          <w:p w14:paraId="0FD3A1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1947</w:t>
            </w:r>
          </w:p>
        </w:tc>
      </w:tr>
      <w:tr w:rsidR="000F5689" w:rsidRPr="00925F26" w14:paraId="01DBACE5" w14:textId="77777777">
        <w:tc>
          <w:tcPr>
            <w:tcW w:w="3868" w:type="dxa"/>
          </w:tcPr>
          <w:p w14:paraId="44871F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3868" w:type="dxa"/>
          </w:tcPr>
          <w:p w14:paraId="0ED72C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АВ-7Н-161</w:t>
            </w:r>
          </w:p>
        </w:tc>
        <w:tc>
          <w:tcPr>
            <w:tcW w:w="3868" w:type="dxa"/>
          </w:tcPr>
          <w:p w14:paraId="6FDCBA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1948</w:t>
            </w:r>
          </w:p>
        </w:tc>
      </w:tr>
      <w:tr w:rsidR="000F5689" w:rsidRPr="00925F26" w14:paraId="27D00B5F" w14:textId="77777777">
        <w:tc>
          <w:tcPr>
            <w:tcW w:w="3868" w:type="dxa"/>
          </w:tcPr>
          <w:p w14:paraId="63848B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Ил-12</w:t>
            </w:r>
          </w:p>
        </w:tc>
        <w:tc>
          <w:tcPr>
            <w:tcW w:w="3868" w:type="dxa"/>
          </w:tcPr>
          <w:p w14:paraId="6ED59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АВ-9В-91</w:t>
            </w:r>
          </w:p>
        </w:tc>
        <w:tc>
          <w:tcPr>
            <w:tcW w:w="3868" w:type="dxa"/>
          </w:tcPr>
          <w:p w14:paraId="1465FE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1949</w:t>
            </w:r>
          </w:p>
        </w:tc>
      </w:tr>
      <w:tr w:rsidR="000F5689" w:rsidRPr="00925F26" w14:paraId="765D82B4" w14:textId="77777777">
        <w:tc>
          <w:tcPr>
            <w:tcW w:w="3868" w:type="dxa"/>
          </w:tcPr>
          <w:p w14:paraId="7350FC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Ил-12</w:t>
            </w:r>
          </w:p>
        </w:tc>
        <w:tc>
          <w:tcPr>
            <w:tcW w:w="3868" w:type="dxa"/>
          </w:tcPr>
          <w:p w14:paraId="04EFBA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АВ-9Е-91</w:t>
            </w:r>
          </w:p>
        </w:tc>
        <w:tc>
          <w:tcPr>
            <w:tcW w:w="3868" w:type="dxa"/>
          </w:tcPr>
          <w:p w14:paraId="7BD00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1949</w:t>
            </w:r>
          </w:p>
        </w:tc>
      </w:tr>
      <w:tr w:rsidR="000F5689" w:rsidRPr="00925F26" w14:paraId="7F79510F" w14:textId="77777777">
        <w:tc>
          <w:tcPr>
            <w:tcW w:w="3868" w:type="dxa"/>
          </w:tcPr>
          <w:p w14:paraId="7C6C37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Ил-12</w:t>
            </w:r>
          </w:p>
        </w:tc>
        <w:tc>
          <w:tcPr>
            <w:tcW w:w="3868" w:type="dxa"/>
          </w:tcPr>
          <w:p w14:paraId="5E8E19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АВ-9-91</w:t>
            </w:r>
          </w:p>
        </w:tc>
        <w:tc>
          <w:tcPr>
            <w:tcW w:w="3868" w:type="dxa"/>
          </w:tcPr>
          <w:p w14:paraId="0C7F01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1949</w:t>
            </w:r>
          </w:p>
        </w:tc>
      </w:tr>
      <w:tr w:rsidR="000F5689" w:rsidRPr="00925F26" w14:paraId="5B710A01" w14:textId="77777777">
        <w:tc>
          <w:tcPr>
            <w:tcW w:w="3868" w:type="dxa"/>
          </w:tcPr>
          <w:p w14:paraId="6C27B1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Ил-14</w:t>
            </w:r>
          </w:p>
        </w:tc>
        <w:tc>
          <w:tcPr>
            <w:tcW w:w="3868" w:type="dxa"/>
          </w:tcPr>
          <w:p w14:paraId="49D50B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АВ-50</w:t>
            </w:r>
          </w:p>
        </w:tc>
        <w:tc>
          <w:tcPr>
            <w:tcW w:w="3868" w:type="dxa"/>
          </w:tcPr>
          <w:p w14:paraId="0D3593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1952</w:t>
            </w:r>
          </w:p>
        </w:tc>
      </w:tr>
      <w:tr w:rsidR="000F5689" w:rsidRPr="00925F26" w14:paraId="277E7818" w14:textId="77777777">
        <w:tc>
          <w:tcPr>
            <w:tcW w:w="3868" w:type="dxa"/>
          </w:tcPr>
          <w:p w14:paraId="1A99B4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Ту-95</w:t>
            </w:r>
          </w:p>
        </w:tc>
        <w:tc>
          <w:tcPr>
            <w:tcW w:w="3868" w:type="dxa"/>
          </w:tcPr>
          <w:p w14:paraId="15ADD7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АВ-60</w:t>
            </w:r>
          </w:p>
        </w:tc>
        <w:tc>
          <w:tcPr>
            <w:tcW w:w="3868" w:type="dxa"/>
          </w:tcPr>
          <w:p w14:paraId="491E39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1954</w:t>
            </w:r>
          </w:p>
        </w:tc>
      </w:tr>
      <w:tr w:rsidR="000F5689" w:rsidRPr="00925F26" w14:paraId="6A8958E8" w14:textId="77777777">
        <w:tc>
          <w:tcPr>
            <w:tcW w:w="3868" w:type="dxa"/>
          </w:tcPr>
          <w:p w14:paraId="39D1ED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Ан-10</w:t>
            </w:r>
          </w:p>
        </w:tc>
        <w:tc>
          <w:tcPr>
            <w:tcW w:w="3868" w:type="dxa"/>
          </w:tcPr>
          <w:p w14:paraId="45851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АВ-68</w:t>
            </w:r>
          </w:p>
        </w:tc>
        <w:tc>
          <w:tcPr>
            <w:tcW w:w="3868" w:type="dxa"/>
          </w:tcPr>
          <w:p w14:paraId="1D6945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1956</w:t>
            </w:r>
          </w:p>
        </w:tc>
      </w:tr>
      <w:tr w:rsidR="000F5689" w:rsidRPr="00925F26" w14:paraId="27EC6248" w14:textId="77777777">
        <w:tc>
          <w:tcPr>
            <w:tcW w:w="3868" w:type="dxa"/>
          </w:tcPr>
          <w:p w14:paraId="3224AD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Ан-12</w:t>
            </w:r>
          </w:p>
        </w:tc>
        <w:tc>
          <w:tcPr>
            <w:tcW w:w="3868" w:type="dxa"/>
          </w:tcPr>
          <w:p w14:paraId="442C4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АВ-68И сер. 02</w:t>
            </w:r>
          </w:p>
        </w:tc>
        <w:tc>
          <w:tcPr>
            <w:tcW w:w="3868" w:type="dxa"/>
          </w:tcPr>
          <w:p w14:paraId="726F03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1958</w:t>
            </w:r>
          </w:p>
        </w:tc>
      </w:tr>
      <w:tr w:rsidR="000F5689" w:rsidRPr="00925F26" w14:paraId="6F1D82B9" w14:textId="77777777">
        <w:tc>
          <w:tcPr>
            <w:tcW w:w="3868" w:type="dxa"/>
          </w:tcPr>
          <w:p w14:paraId="32832F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Ту-114</w:t>
            </w:r>
          </w:p>
        </w:tc>
        <w:tc>
          <w:tcPr>
            <w:tcW w:w="3868" w:type="dxa"/>
          </w:tcPr>
          <w:p w14:paraId="6DC64A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АВ-60Н сер. 03</w:t>
            </w:r>
          </w:p>
        </w:tc>
        <w:tc>
          <w:tcPr>
            <w:tcW w:w="3868" w:type="dxa"/>
          </w:tcPr>
          <w:p w14:paraId="6B1712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1958</w:t>
            </w:r>
          </w:p>
        </w:tc>
      </w:tr>
      <w:tr w:rsidR="000F5689" w:rsidRPr="00925F26" w14:paraId="01C7D48E" w14:textId="77777777">
        <w:tc>
          <w:tcPr>
            <w:tcW w:w="3868" w:type="dxa"/>
          </w:tcPr>
          <w:p w14:paraId="5A2CD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Ил-18</w:t>
            </w:r>
          </w:p>
        </w:tc>
        <w:tc>
          <w:tcPr>
            <w:tcW w:w="3868" w:type="dxa"/>
          </w:tcPr>
          <w:p w14:paraId="064CB9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АВ-68 сер. 02</w:t>
            </w:r>
          </w:p>
        </w:tc>
        <w:tc>
          <w:tcPr>
            <w:tcW w:w="3868" w:type="dxa"/>
          </w:tcPr>
          <w:p w14:paraId="4883C2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1958</w:t>
            </w:r>
          </w:p>
        </w:tc>
      </w:tr>
    </w:tbl>
    <w:p w14:paraId="6A31FB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(9381)</w:t>
      </w:r>
    </w:p>
    <w:p w14:paraId="1A7A8158" w14:textId="77777777" w:rsidR="00665165" w:rsidRPr="00925F26" w:rsidRDefault="00665165" w:rsidP="00925F26">
      <w:pPr>
        <w:autoSpaceDE w:val="0"/>
        <w:autoSpaceDN w:val="0"/>
        <w:adjustRightInd w:val="0"/>
        <w:jc w:val="both"/>
        <w:rPr>
          <w:color w:val="000000" w:themeColor="text1"/>
          <w:sz w:val="16"/>
          <w:szCs w:val="16"/>
        </w:rPr>
      </w:pPr>
    </w:p>
    <w:p w14:paraId="68C0CB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года по приказу НКАП № 161с на заводе №150 вновь была начата организация винтового производства на основе трофейного оборудования, прибывшего из Германии. Однако, в 1946 году это производство было выделено в самостоятельный завод № 120 МАП и вошло в состав завода № 150 (приказ МАП № 155с от 25 марта 1946 года) (9504).</w:t>
      </w:r>
    </w:p>
    <w:p w14:paraId="47419476" w14:textId="77777777" w:rsidR="00665165" w:rsidRPr="00925F26" w:rsidRDefault="00665165" w:rsidP="00925F26">
      <w:pPr>
        <w:autoSpaceDE w:val="0"/>
        <w:autoSpaceDN w:val="0"/>
        <w:adjustRightInd w:val="0"/>
        <w:jc w:val="both"/>
        <w:rPr>
          <w:color w:val="000000" w:themeColor="text1"/>
          <w:sz w:val="16"/>
          <w:szCs w:val="16"/>
        </w:rPr>
      </w:pPr>
    </w:p>
    <w:p w14:paraId="39E960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года Приказом НКАП за № 151 опытный завод № 25 был реорганизован в ОКБ завода № 150.</w:t>
      </w:r>
    </w:p>
    <w:p w14:paraId="492D2B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4D86E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E237912" w14:textId="77777777" w:rsidR="00665165" w:rsidRPr="00925F26" w:rsidRDefault="00665165" w:rsidP="00925F26">
      <w:pPr>
        <w:autoSpaceDE w:val="0"/>
        <w:autoSpaceDN w:val="0"/>
        <w:adjustRightInd w:val="0"/>
        <w:jc w:val="both"/>
        <w:rPr>
          <w:color w:val="000000" w:themeColor="text1"/>
          <w:sz w:val="16"/>
          <w:szCs w:val="16"/>
        </w:rPr>
      </w:pPr>
    </w:p>
    <w:p w14:paraId="11E889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г. по приказу НКАП № 161с завод № 25 объединен с заводом № 150 НКАП 9ГУ. Основной состав коллектива влился в ОКБ завода № 150 НКАП.</w:t>
      </w:r>
    </w:p>
    <w:p w14:paraId="20F469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(1944 г.-)- М.С. Бондалетов.</w:t>
      </w:r>
    </w:p>
    <w:p w14:paraId="5B873F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(1944 г.-)- Д.М. Дубровский.</w:t>
      </w:r>
    </w:p>
    <w:p w14:paraId="6E8900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(1944 г.-)- К.И. Жданов.</w:t>
      </w:r>
    </w:p>
    <w:p w14:paraId="18F080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по НИР (1944 г.-)-  Г.И. Кузьмин; по винтам (1944 г.-)- Н.Н. Петров; по регуляторам (1944 г.-)- А.Н. Петелин (11982).</w:t>
      </w:r>
    </w:p>
    <w:p w14:paraId="5D7DB796" w14:textId="77777777" w:rsidR="00DE38A8" w:rsidRPr="00925F26" w:rsidRDefault="00DE38A8" w:rsidP="00925F26">
      <w:pPr>
        <w:autoSpaceDE w:val="0"/>
        <w:autoSpaceDN w:val="0"/>
        <w:adjustRightInd w:val="0"/>
        <w:jc w:val="both"/>
        <w:rPr>
          <w:color w:val="000000" w:themeColor="text1"/>
          <w:sz w:val="16"/>
          <w:szCs w:val="16"/>
        </w:rPr>
      </w:pPr>
    </w:p>
    <w:p w14:paraId="3AF8E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20 апреля 1945 г. по приказу № 161с в состав завода № 150 влит опытный завод № 25 НКАП </w:t>
      </w:r>
      <w:proofErr w:type="gramStart"/>
      <w:r w:rsidRPr="00925F26">
        <w:rPr>
          <w:color w:val="000000" w:themeColor="text1"/>
          <w:sz w:val="16"/>
          <w:szCs w:val="16"/>
        </w:rPr>
        <w:t>( г.</w:t>
      </w:r>
      <w:proofErr w:type="gramEnd"/>
      <w:r w:rsidRPr="00925F26">
        <w:rPr>
          <w:color w:val="000000" w:themeColor="text1"/>
          <w:sz w:val="16"/>
          <w:szCs w:val="16"/>
        </w:rPr>
        <w:t xml:space="preserve">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7A7270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1946 г. заводу поставлено 764 трофейных металлорежущих станка.</w:t>
      </w:r>
    </w:p>
    <w:p w14:paraId="135E08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1974CC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Производство (1990-е-2000-</w:t>
      </w:r>
      <w:proofErr w:type="gramStart"/>
      <w:r w:rsidRPr="00925F26">
        <w:rPr>
          <w:color w:val="000000" w:themeColor="text1"/>
          <w:sz w:val="16"/>
          <w:szCs w:val="16"/>
        </w:rPr>
        <w:t>е  г.</w:t>
      </w:r>
      <w:proofErr w:type="gramEnd"/>
      <w:r w:rsidRPr="00925F26">
        <w:rPr>
          <w:color w:val="000000" w:themeColor="text1"/>
          <w:sz w:val="16"/>
          <w:szCs w:val="16"/>
        </w:rPr>
        <w:t>):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925F26">
        <w:rPr>
          <w:color w:val="000000" w:themeColor="text1"/>
          <w:sz w:val="16"/>
          <w:szCs w:val="16"/>
          <w:vertAlign w:val="superscript"/>
        </w:rPr>
        <w:t>69</w:t>
      </w:r>
    </w:p>
    <w:p w14:paraId="30E3A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29E1AE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925F26">
        <w:rPr>
          <w:color w:val="000000" w:themeColor="text1"/>
          <w:sz w:val="16"/>
          <w:szCs w:val="16"/>
          <w:vertAlign w:val="superscript"/>
        </w:rPr>
        <w:t>49</w:t>
      </w:r>
      <w:r w:rsidRPr="00925F26">
        <w:rPr>
          <w:color w:val="000000" w:themeColor="text1"/>
          <w:sz w:val="16"/>
          <w:szCs w:val="16"/>
        </w:rPr>
        <w:t xml:space="preserve"> Гендиректор (2003 г.)- В. Дмитрии, А. Черников.</w:t>
      </w:r>
    </w:p>
    <w:p w14:paraId="51E4F2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(06.1937 г.)- В.В. Алле; по ПВО и охране (17.12.1938 г.-)- А.В. Волков.</w:t>
      </w:r>
    </w:p>
    <w:p w14:paraId="572BC1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исполнительный (2004 г.)- М. Корнеев; технический (2005 г.)- С. Кононов.</w:t>
      </w:r>
    </w:p>
    <w:p w14:paraId="449CD0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4EF6A8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К.И. Жданов.</w:t>
      </w:r>
    </w:p>
    <w:p w14:paraId="67B37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(1936 г.)- Н.П. Фирюбин, А.С. Штейнбер г. Начальник управления продаж (2005 г.)- А.А. Костин.</w:t>
      </w:r>
    </w:p>
    <w:p w14:paraId="69FD95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прокатного завода (11.1938 г.)- Ю. Г. Музалевский.</w:t>
      </w:r>
    </w:p>
    <w:p w14:paraId="406A4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комбината № 150 НКАП, ОКБ-150 НКАП гл. конструктора К.И. Жданова</w:t>
      </w:r>
    </w:p>
    <w:p w14:paraId="47E040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 авиакомбината № 150 образовано 22.03.1939 г. по приказу НКАП № 80/к от 21.03.1939 г. на базе его опытного производства.</w:t>
      </w:r>
    </w:p>
    <w:p w14:paraId="011E12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Его гл. конструктор в 1938-1972</w:t>
      </w:r>
      <w:proofErr w:type="gramStart"/>
      <w:r w:rsidRPr="00925F26">
        <w:rPr>
          <w:color w:val="000000" w:themeColor="text1"/>
          <w:sz w:val="16"/>
          <w:szCs w:val="16"/>
        </w:rPr>
        <w:t>г,-</w:t>
      </w:r>
      <w:proofErr w:type="gramEnd"/>
      <w:r w:rsidRPr="00925F26">
        <w:rPr>
          <w:color w:val="000000" w:themeColor="text1"/>
          <w:sz w:val="16"/>
          <w:szCs w:val="16"/>
        </w:rPr>
        <w:t xml:space="preserve">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9C22A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28F055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ОКБ-150 МАП гл. конструктора К.И. Жданова</w:t>
      </w:r>
    </w:p>
    <w:p w14:paraId="270B59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796AB2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161с от 20.04.1945 г. завод № 25 реорганизуется в ОКБ комбината № 150.</w:t>
      </w:r>
    </w:p>
    <w:p w14:paraId="0D5D2D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4A95C7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6F173928" w14:textId="77777777" w:rsidR="00DE38A8" w:rsidRPr="00925F26" w:rsidRDefault="00DE38A8" w:rsidP="00925F26">
      <w:pPr>
        <w:autoSpaceDE w:val="0"/>
        <w:autoSpaceDN w:val="0"/>
        <w:adjustRightInd w:val="0"/>
        <w:jc w:val="both"/>
        <w:rPr>
          <w:iCs/>
          <w:color w:val="000000" w:themeColor="text1"/>
          <w:sz w:val="16"/>
          <w:szCs w:val="16"/>
        </w:rPr>
      </w:pPr>
    </w:p>
    <w:p w14:paraId="68F8A80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6539938" w14:textId="77777777" w:rsidR="00665165" w:rsidRPr="00925F26" w:rsidRDefault="00665165" w:rsidP="00925F26">
      <w:pPr>
        <w:autoSpaceDE w:val="0"/>
        <w:autoSpaceDN w:val="0"/>
        <w:adjustRightInd w:val="0"/>
        <w:jc w:val="both"/>
        <w:rPr>
          <w:iCs/>
          <w:color w:val="000000" w:themeColor="text1"/>
          <w:sz w:val="16"/>
          <w:szCs w:val="16"/>
        </w:rPr>
      </w:pPr>
    </w:p>
    <w:p w14:paraId="7029D068" w14:textId="297B9F61"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20 апреля 1945 ЧКЗ начал выполнять апрельскую программу по ИС-2. Вместе с тем, даже эти танки поначалу не значились окончательно принятыми. Как указывалось в отчёте ЧКЗ, их подвергли стационарным испытанием в цехе СБ-2 и лишь потом (в мае 1945 года) приняли. К тому же при приёмке первой серийной машины выявилось 35 различных дефектов. При такой ситуации становится понятным, почему Малышев настоял на том, чтобы принять на вооружение ИС-3, а не Объект 701. Только на освоение производства пришлось бы потратить несколько месяцев, а первые танки дались бы ещё более мучительно. В связи с выявленными проблемами системы охлаждения танки продолжали оставаться на заводе, параллельно проводились изыскания по улучшению ситуации. В этих работах задействовали и опытный образец Объекта 704. На испытаниях выяснилось, что температура воды в системе ИС-3 превышает ИС-2 на 15-20 градусов. Что же касается Объекта 704, то там температурный режим был на уровне ИС-2 и</w:t>
      </w:r>
      <w:r w:rsidR="00997EDF" w:rsidRPr="00925F26">
        <w:rPr>
          <w:color w:val="000000" w:themeColor="text1"/>
          <w:sz w:val="16"/>
          <w:szCs w:val="16"/>
        </w:rPr>
        <w:t xml:space="preserve">  </w:t>
      </w:r>
      <w:hyperlink r:id="rId102" w:history="1">
        <w:r w:rsidRPr="00925F26">
          <w:rPr>
            <w:rStyle w:val="a5"/>
            <w:rFonts w:eastAsiaTheme="majorEastAsia"/>
            <w:bCs/>
            <w:i/>
            <w:iCs/>
            <w:color w:val="000000" w:themeColor="text1"/>
            <w:sz w:val="16"/>
            <w:szCs w:val="16"/>
            <w:bdr w:val="none" w:sz="0" w:space="0" w:color="auto" w:frame="1"/>
          </w:rPr>
          <w:t>ИСУ-152</w:t>
        </w:r>
      </w:hyperlink>
      <w:r w:rsidRPr="00925F26">
        <w:rPr>
          <w:color w:val="000000" w:themeColor="text1"/>
          <w:sz w:val="16"/>
          <w:szCs w:val="16"/>
        </w:rPr>
        <w:t>. Одним словом, работы продолжались.</w:t>
      </w:r>
    </w:p>
    <w:p w14:paraId="0F2D2889"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Из-за сложности новых танков их стоимость оказалась выше ИС-2: ИС-3 выпуска второго квартала 1945 года обходился в 310 000 рублей за штуку, в то время как его предшественник стоил 250 000. Впрочем, высокая цена на тот момент являлась наименьшей проблемой: как это часто бывало на ЧКЗ, новые танки начинали сдавать ближе к концу месяца. На 21 мая ни одной машины не сдали. 100 штук, положенных по плану, удалось сдать к 1 июня, из них один танк (серийный номер 703-18073) направили на НИБТ Полигон. Главной причиной задержки стала лихорадочная работа завода по устранению конструктивных недостатков. Главной проблемой оставалась система охлаждения, доработанную конструкцию планировали внедрить с 10 июня.</w:t>
      </w:r>
    </w:p>
    <w:p w14:paraId="5278C1E5"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Проблемным оставался и башенный вентилятор. Параллельно вводились дополнительные улучшения, за май ввели 7 пунктов. В их числе были новая укладка лент дымовых шашек, переделка вентилятора, а также планка для облегчения демонтажа верхних топливных баков. Общий же список изменений, который планировался внести в ИС-3, просто огромен — 177 пунктов. Ещё более проблемным стал июнь. К 1 июля из 250 машин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7DB35BE2"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64D8EA4E"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70A1A041"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038DC95D"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7172B00D"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57D8D690" w14:textId="77777777" w:rsidR="007060B9" w:rsidRPr="00925F26" w:rsidRDefault="007060B9" w:rsidP="00925F26">
      <w:pPr>
        <w:pStyle w:val="ae"/>
        <w:shd w:val="clear" w:color="auto" w:fill="FFFFFF"/>
        <w:spacing w:before="0" w:after="0"/>
        <w:jc w:val="both"/>
        <w:textAlignment w:val="baseline"/>
        <w:rPr>
          <w:i/>
          <w:iCs/>
          <w:color w:val="000000" w:themeColor="text1"/>
          <w:sz w:val="16"/>
          <w:szCs w:val="16"/>
        </w:rPr>
      </w:pPr>
      <w:r w:rsidRPr="00925F26">
        <w:rPr>
          <w:i/>
          <w:iCs/>
          <w:color w:val="000000" w:themeColor="text1"/>
          <w:sz w:val="16"/>
          <w:szCs w:val="16"/>
          <w:bdr w:val="none" w:sz="0" w:space="0" w:color="auto" w:frame="1"/>
        </w:rPr>
        <w:lastRenderedPageBreak/>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34AC2542"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B1E31BD" w14:textId="77777777" w:rsidR="007060B9" w:rsidRPr="00925F26" w:rsidRDefault="007060B9" w:rsidP="00925F26">
      <w:pPr>
        <w:pStyle w:val="ae"/>
        <w:shd w:val="clear" w:color="auto" w:fill="FFFFFF"/>
        <w:spacing w:before="0" w:after="0"/>
        <w:jc w:val="both"/>
        <w:textAlignment w:val="baseline"/>
        <w:rPr>
          <w:color w:val="000000" w:themeColor="text1"/>
          <w:sz w:val="16"/>
          <w:szCs w:val="16"/>
        </w:rPr>
      </w:pPr>
    </w:p>
    <w:p w14:paraId="6066F48D" w14:textId="77777777" w:rsidR="007060B9" w:rsidRPr="00925F26" w:rsidRDefault="007060B9" w:rsidP="00925F26">
      <w:pPr>
        <w:jc w:val="both"/>
        <w:rPr>
          <w:color w:val="000000" w:themeColor="text1"/>
          <w:sz w:val="16"/>
          <w:szCs w:val="16"/>
        </w:rPr>
      </w:pPr>
      <w:r w:rsidRPr="00925F26">
        <w:rPr>
          <w:color w:val="000000" w:themeColor="text1"/>
          <w:sz w:val="16"/>
          <w:szCs w:val="16"/>
        </w:rPr>
        <w:t>20–25 апреля 1945 года на Гороховецком АНИОП также проходил следующий этап испытаний СУ-85Б.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68C0BDB5" w14:textId="77777777" w:rsidR="007060B9" w:rsidRPr="00925F26" w:rsidRDefault="007060B9" w:rsidP="00925F26">
      <w:pPr>
        <w:jc w:val="both"/>
        <w:rPr>
          <w:color w:val="000000" w:themeColor="text1"/>
          <w:sz w:val="16"/>
          <w:szCs w:val="16"/>
        </w:rPr>
      </w:pPr>
      <w:r w:rsidRPr="00925F26">
        <w:rPr>
          <w:color w:val="000000" w:themeColor="text1"/>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453AA597" w14:textId="77777777" w:rsidR="007060B9" w:rsidRPr="00925F26" w:rsidRDefault="007060B9" w:rsidP="00925F26">
      <w:pPr>
        <w:jc w:val="both"/>
        <w:rPr>
          <w:color w:val="000000" w:themeColor="text1"/>
          <w:sz w:val="16"/>
          <w:szCs w:val="16"/>
        </w:rPr>
      </w:pPr>
      <w:r w:rsidRPr="00925F26">
        <w:rPr>
          <w:color w:val="000000" w:themeColor="text1"/>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75EF6DB7" w14:textId="77777777" w:rsidR="007060B9" w:rsidRPr="00925F26" w:rsidRDefault="007060B9" w:rsidP="00925F26">
      <w:pPr>
        <w:jc w:val="both"/>
        <w:rPr>
          <w:color w:val="000000" w:themeColor="text1"/>
          <w:sz w:val="16"/>
          <w:szCs w:val="16"/>
        </w:rPr>
      </w:pPr>
    </w:p>
    <w:p w14:paraId="7D50F9D7" w14:textId="7BE861C8" w:rsidR="007060B9" w:rsidRPr="00925F26" w:rsidRDefault="007060B9" w:rsidP="00925F26">
      <w:pPr>
        <w:jc w:val="both"/>
        <w:rPr>
          <w:color w:val="000000" w:themeColor="text1"/>
          <w:sz w:val="16"/>
          <w:szCs w:val="16"/>
        </w:rPr>
      </w:pPr>
      <w:r w:rsidRPr="00925F26">
        <w:rPr>
          <w:color w:val="000000" w:themeColor="text1"/>
          <w:sz w:val="16"/>
          <w:szCs w:val="16"/>
        </w:rPr>
        <w:t xml:space="preserve">20 апреля 1945 </w:t>
      </w:r>
      <w:proofErr w:type="gramStart"/>
      <w:r w:rsidRPr="00925F26">
        <w:rPr>
          <w:color w:val="000000" w:themeColor="text1"/>
          <w:sz w:val="16"/>
          <w:szCs w:val="16"/>
        </w:rPr>
        <w:t>года</w:t>
      </w:r>
      <w:proofErr w:type="gramEnd"/>
      <w:r w:rsidRPr="00925F26">
        <w:rPr>
          <w:color w:val="000000" w:themeColor="text1"/>
          <w:sz w:val="16"/>
          <w:szCs w:val="16"/>
        </w:rPr>
        <w:t xml:space="preserve"> Согласно указанию заместителя начальника ГБТУ И.А. Лебедева на срок до 15 мая были назначены дополнительные испытания канадского снегохода по различным грунтам и дорогам в условиях весенней распутицы. Второй этап испытаний правильнее называть весенне-летним, поскольку температура окружающего воздуха к его началу держалась на уровне +15 градусов и выше. Как и в случае с зимне-весенними испытаниями, у канадского снегохода имелись соперники: американский полугусеничный тягач M2 и лёгкий танк</w:t>
      </w:r>
      <w:r w:rsidR="00997EDF" w:rsidRPr="00925F26">
        <w:rPr>
          <w:color w:val="000000" w:themeColor="text1"/>
          <w:sz w:val="16"/>
          <w:szCs w:val="16"/>
        </w:rPr>
        <w:t xml:space="preserve">  </w:t>
      </w:r>
      <w:hyperlink r:id="rId103" w:history="1">
        <w:r w:rsidRPr="00925F26">
          <w:rPr>
            <w:rStyle w:val="a5"/>
            <w:color w:val="000000" w:themeColor="text1"/>
            <w:sz w:val="16"/>
            <w:szCs w:val="16"/>
          </w:rPr>
          <w:t>М5А1</w:t>
        </w:r>
      </w:hyperlink>
      <w:r w:rsidRPr="00925F26">
        <w:rPr>
          <w:color w:val="000000" w:themeColor="text1"/>
          <w:sz w:val="16"/>
          <w:szCs w:val="16"/>
        </w:rPr>
        <w:t>.</w:t>
      </w:r>
    </w:p>
    <w:p w14:paraId="268DB0C2" w14:textId="77777777" w:rsidR="007060B9" w:rsidRPr="00925F26" w:rsidRDefault="007060B9" w:rsidP="00925F26">
      <w:pPr>
        <w:jc w:val="both"/>
        <w:rPr>
          <w:color w:val="000000" w:themeColor="text1"/>
          <w:sz w:val="16"/>
          <w:szCs w:val="16"/>
        </w:rPr>
      </w:pPr>
      <w:r w:rsidRPr="00925F26">
        <w:rPr>
          <w:color w:val="000000" w:themeColor="text1"/>
          <w:sz w:val="16"/>
          <w:szCs w:val="16"/>
        </w:rPr>
        <w:t>В отличие от Weasel, получившего более универсальную ходовую часть, канадский снегоход имел ряд ограничений с точки зрения езды по обычной поверхности. Тем не менее канадская машина выдержала 228 км форменного издевательства, из них 40 км по шоссе Москва-Минск, 108 км по просёлочным дорогам, 59 км по целине и 21 км по болотам.</w:t>
      </w:r>
    </w:p>
    <w:p w14:paraId="24C2BB80" w14:textId="77777777" w:rsidR="007060B9" w:rsidRPr="00925F26" w:rsidRDefault="007060B9" w:rsidP="00925F26">
      <w:pPr>
        <w:jc w:val="both"/>
        <w:rPr>
          <w:color w:val="000000" w:themeColor="text1"/>
          <w:sz w:val="16"/>
          <w:szCs w:val="16"/>
        </w:rPr>
      </w:pPr>
      <w:r w:rsidRPr="00925F26">
        <w:rPr>
          <w:color w:val="000000" w:themeColor="text1"/>
          <w:sz w:val="16"/>
          <w:szCs w:val="16"/>
        </w:rPr>
        <w:t>Первым делом машины испытали на болоте глубиной 20–40 см. Из борьбы тут же выбыл тягач М2, застрявший на 24-м метре испытаний. Что касается канадского снегохода, то он легко прошёл участок, кроме того, ему пришлось вытаскивать 9-тонную американскую машину. Лёгкий танк М5А1 первый этап испытаний прошёл, но болото глубиной 50–75 см оказалось для него непреодолимым препятствием — машина застряла уже через 43 м после начала движения. Armoured Snowmobile Mk.I уверенно прошёл и второй участок болота, не проблемой для него оказалось и болото глубиной 1,5 м.</w:t>
      </w:r>
    </w:p>
    <w:p w14:paraId="5D9FD9BE" w14:textId="77777777" w:rsidR="007060B9" w:rsidRPr="00925F26" w:rsidRDefault="007060B9" w:rsidP="00925F26">
      <w:pPr>
        <w:jc w:val="both"/>
        <w:rPr>
          <w:color w:val="000000" w:themeColor="text1"/>
          <w:sz w:val="16"/>
          <w:szCs w:val="16"/>
        </w:rPr>
      </w:pPr>
      <w:r w:rsidRPr="00925F26">
        <w:rPr>
          <w:color w:val="000000" w:themeColor="text1"/>
          <w:sz w:val="16"/>
          <w:szCs w:val="16"/>
        </w:rPr>
        <w:t>Следующим этапом испытаний стал пробег по целине, плавно переходивший в езду по разбитым грунтовым дорогам. Канадская машина выдержала и эти испытания, но уже на целине двигатель, система охлаждения которого была рассчитана на зимние условия эксплуатации, начал перегреваться. Отмечалось снижение скорости, что, учитывая специфику творения Бомбардье, неудивительно. В последнюю очередь машину ждал пробег по шоссе, где машина развила скорость 30–32 км/ч. На этом этапе за пределы возможностей начала выходить ходовая часть, рассчитанная на мягкую поверхность: стали отмечаться поломки металлических планок, соединяющих гусеницы.</w:t>
      </w:r>
    </w:p>
    <w:p w14:paraId="5871295C" w14:textId="77777777" w:rsidR="007060B9" w:rsidRPr="00925F26" w:rsidRDefault="007060B9" w:rsidP="00925F26">
      <w:pPr>
        <w:jc w:val="both"/>
        <w:rPr>
          <w:color w:val="000000" w:themeColor="text1"/>
          <w:sz w:val="16"/>
          <w:szCs w:val="16"/>
        </w:rPr>
      </w:pPr>
      <w:r w:rsidRPr="00925F26">
        <w:rPr>
          <w:color w:val="000000" w:themeColor="text1"/>
          <w:sz w:val="16"/>
          <w:szCs w:val="16"/>
        </w:rPr>
        <w:t>Заключение по итогам испытаний было очевидным: машина не приспособлена для продолжительной эксплуатации в весенне-летних условиях. Вместе с тем отмечалась высокая проходимость канадского снегохода по болотам и целине. Несмотря на кажущуюся нелепость данных испытаний, назвать их бесполезными никак нельзя: было доказано, что ходовая часть снегохода прекрасно себя показала в условиях тяжёлого бездорожья. При некоторых переделках подобную ходовую часть можно было использовать при создании снегоболотохода отечественной конструкции, что и отмечалось в отчёте.</w:t>
      </w:r>
    </w:p>
    <w:p w14:paraId="084C9860" w14:textId="77777777" w:rsidR="007060B9" w:rsidRPr="00925F26" w:rsidRDefault="007060B9" w:rsidP="00925F26">
      <w:pPr>
        <w:jc w:val="both"/>
        <w:rPr>
          <w:color w:val="000000" w:themeColor="text1"/>
          <w:sz w:val="16"/>
          <w:szCs w:val="16"/>
        </w:rPr>
      </w:pPr>
      <w:r w:rsidRPr="00925F26">
        <w:rPr>
          <w:color w:val="000000" w:themeColor="text1"/>
          <w:sz w:val="16"/>
          <w:szCs w:val="16"/>
        </w:rPr>
        <w:t>После испытаний Armoured Snowmobile Mk.I вместе с полугусеничным собратом занял место на музейной площадке НИБТ Полигона. Ныне эту машину можно видеть в парке «Патриот», недавно она прошла косметическую реставрацию. Ещё один диверсионный снегоход находится в итальянском Триесте, данный экземпляр является одним из десяти снегоходов, которые использовались канадскими войсками зимой 1945 года. Что же касается компании Bombarider, то она продолжала выпускать модель B12, продав к 1951 году 2817 машин данного типа. База B12 стала основной для создания целого ряда других машин, в том числе и чисто гусеничных. Bombardier строила на этой же базе транспортный трактор Muskeg и лесовоз J5, ходовая часть снегохода оказалась вполне уместной и для машин, ездящих совсем не по снегу (18251).</w:t>
      </w:r>
    </w:p>
    <w:p w14:paraId="7D7E4834" w14:textId="77777777" w:rsidR="007060B9" w:rsidRPr="00925F26" w:rsidRDefault="007060B9" w:rsidP="00925F26">
      <w:pPr>
        <w:jc w:val="both"/>
        <w:rPr>
          <w:color w:val="000000" w:themeColor="text1"/>
          <w:sz w:val="16"/>
          <w:szCs w:val="16"/>
        </w:rPr>
      </w:pPr>
    </w:p>
    <w:p w14:paraId="075A4E3E" w14:textId="77777777" w:rsidR="00403B6B" w:rsidRPr="001A0BAA" w:rsidRDefault="00403B6B" w:rsidP="00403B6B">
      <w:pPr>
        <w:jc w:val="both"/>
        <w:rPr>
          <w:color w:val="0070C0"/>
          <w:sz w:val="16"/>
          <w:szCs w:val="16"/>
        </w:rPr>
      </w:pPr>
      <w:r w:rsidRPr="001A0BAA">
        <w:rPr>
          <w:color w:val="0070C0"/>
          <w:sz w:val="16"/>
          <w:szCs w:val="16"/>
        </w:rPr>
        <w:t>В период с 20 по 25 апреля 1945 г. на Гороховецком АНИОП проходили испытания доработанной СУ-85Б. За это время САУ прошла еще 502 километра и произвела 604 выстрела.</w:t>
      </w:r>
    </w:p>
    <w:p w14:paraId="2E785C05" w14:textId="77777777" w:rsidR="00403B6B" w:rsidRPr="001A0BAA" w:rsidRDefault="00403B6B" w:rsidP="00403B6B">
      <w:pPr>
        <w:jc w:val="both"/>
        <w:rPr>
          <w:color w:val="0070C0"/>
          <w:sz w:val="16"/>
          <w:szCs w:val="16"/>
        </w:rPr>
      </w:pPr>
      <w:r w:rsidRPr="001A0BAA">
        <w:rPr>
          <w:color w:val="0070C0"/>
          <w:sz w:val="16"/>
          <w:szCs w:val="16"/>
        </w:rPr>
        <w:t>Испытания стрельбой показали, что отбрасывало САУ назад в 2 раза меньше, чем СУ-85А. По этому параметру СУ-85Б оказалась равнозначной СУ-76М. Максимальная скорострельность достигала 12 выстрелов в минуту, а практическая - 9-11. Орудие неплохо показало себя при стрельбе по движущимся целям на дистанции 900 метров. Не менее важным моментом стало то, что на Гороховецком АНИОП отметили - замечания по удобству работы расчета ГАЗ устранил полностью. Испытания САУ выдержала (24993).</w:t>
      </w:r>
    </w:p>
    <w:p w14:paraId="5A6EE7D5" w14:textId="77777777" w:rsidR="00403B6B" w:rsidRPr="001A0BAA" w:rsidRDefault="00403B6B" w:rsidP="00403B6B">
      <w:pPr>
        <w:jc w:val="both"/>
        <w:rPr>
          <w:color w:val="0070C0"/>
          <w:sz w:val="16"/>
          <w:szCs w:val="16"/>
        </w:rPr>
      </w:pPr>
    </w:p>
    <w:p w14:paraId="70A4EE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8215 Об отгрузке калиброванных сталей и смазочных масел заводам Наркомбоеприпасов, изготовляющим корпуса авиационных снарядов. РГАНИР, Фонд ГКО, д. 404, лл. 1-3, 4-6 (11012).</w:t>
      </w:r>
    </w:p>
    <w:p w14:paraId="02709882" w14:textId="77777777" w:rsidR="00665165" w:rsidRPr="00925F26" w:rsidRDefault="00665165" w:rsidP="00925F26">
      <w:pPr>
        <w:autoSpaceDE w:val="0"/>
        <w:autoSpaceDN w:val="0"/>
        <w:adjustRightInd w:val="0"/>
        <w:jc w:val="both"/>
        <w:rPr>
          <w:color w:val="000000" w:themeColor="text1"/>
          <w:sz w:val="16"/>
          <w:szCs w:val="16"/>
        </w:rPr>
      </w:pPr>
    </w:p>
    <w:p w14:paraId="349762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8216 О мерах по обеспечению мазутом Наркомтанкопрома в апреле 1945 года. РГАНИР, Фонд ГКО, д. 404, лл. 7-9 (11012).</w:t>
      </w:r>
    </w:p>
    <w:p w14:paraId="2EB65FCB" w14:textId="77777777" w:rsidR="00665165" w:rsidRPr="00925F26" w:rsidRDefault="00665165" w:rsidP="00925F26">
      <w:pPr>
        <w:autoSpaceDE w:val="0"/>
        <w:autoSpaceDN w:val="0"/>
        <w:adjustRightInd w:val="0"/>
        <w:jc w:val="both"/>
        <w:rPr>
          <w:color w:val="000000" w:themeColor="text1"/>
          <w:sz w:val="16"/>
          <w:szCs w:val="16"/>
        </w:rPr>
      </w:pPr>
    </w:p>
    <w:p w14:paraId="2585A8E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8217 О продлении срока работы мобилизованных рабочих на железнодорожном строительстве дорог Урала и Сибири. (7330, 10).</w:t>
      </w:r>
    </w:p>
    <w:p w14:paraId="13AD0AD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086D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Распоряжение ГКО № 8218. О дополнительной поставке угля заводу № 15 НКБ. РГАНИР, Фонд ГКО, д. 404, лл. 11 (11012).</w:t>
      </w:r>
    </w:p>
    <w:p w14:paraId="7F08D0C2" w14:textId="77777777" w:rsidR="00665165" w:rsidRPr="00925F26" w:rsidRDefault="00665165" w:rsidP="00925F26">
      <w:pPr>
        <w:autoSpaceDE w:val="0"/>
        <w:autoSpaceDN w:val="0"/>
        <w:adjustRightInd w:val="0"/>
        <w:jc w:val="both"/>
        <w:rPr>
          <w:color w:val="000000" w:themeColor="text1"/>
          <w:sz w:val="16"/>
          <w:szCs w:val="16"/>
        </w:rPr>
      </w:pPr>
    </w:p>
    <w:p w14:paraId="103D8E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Распоряжение ГКО № 8220 [Об изменении плана перевозок лесных грузов на апрель 1945 г.] (7330, 13,14-16).</w:t>
      </w:r>
    </w:p>
    <w:p w14:paraId="2483226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5CB47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Распоряжение ГКО № 8221. О выделении Центральной военной базе № 36 ГАУ КА импортного железнодорожного крана. РГАНИР, Фонд ГКО, д. 404, лл. 17 (11012).</w:t>
      </w:r>
    </w:p>
    <w:p w14:paraId="727BEB54" w14:textId="77777777" w:rsidR="00665165" w:rsidRPr="00925F26" w:rsidRDefault="00665165" w:rsidP="00925F26">
      <w:pPr>
        <w:autoSpaceDE w:val="0"/>
        <w:autoSpaceDN w:val="0"/>
        <w:adjustRightInd w:val="0"/>
        <w:jc w:val="both"/>
        <w:rPr>
          <w:color w:val="000000" w:themeColor="text1"/>
          <w:sz w:val="16"/>
          <w:szCs w:val="16"/>
        </w:rPr>
      </w:pPr>
    </w:p>
    <w:p w14:paraId="16FFEDD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Распоряжение ГКО № 8222 [О мерах по усилению геофизической службы в нефтяной промышленности.] (7330, 18-20,21-23).</w:t>
      </w:r>
    </w:p>
    <w:p w14:paraId="7354933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EA1A39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Распоряжение ГКО № 8223 [О мерах по изысканию и подготовке к разработке нефтяных и газовых месторождений в Удмуртской АССР.] (7330, 24-26).</w:t>
      </w:r>
    </w:p>
    <w:p w14:paraId="6A0CB6D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4CEFC5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8225 Об организации на Одесском заводе имени Январского восстания Наркомтяжмаша производства станков-качалок для нефтяной промышленности. (7330, 28-31).</w:t>
      </w:r>
    </w:p>
    <w:p w14:paraId="13B2A1B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6F1DD3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8226 О замене дефектных рельсов на грузонапряженных участках железных дорог Урало-Сибирского направления. (7330, 32-33).</w:t>
      </w:r>
    </w:p>
    <w:p w14:paraId="47C05F9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A212C0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8227 О мероприятиях по использованию автомобильных колонн централизованного резерва. (7330, 34-37).</w:t>
      </w:r>
    </w:p>
    <w:p w14:paraId="25A2FD8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E42C7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8228 Об изготовлении хлебных щитов для перевозки по железным дорогам зерна урожая 1945 г. (7330, 38-42,43-46).</w:t>
      </w:r>
    </w:p>
    <w:p w14:paraId="648A623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BE7A0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8229 О развитии добычи гумбрина и магнетитовых песков для нефтяной промышленности. РГАНИР, Фонд ГКО, д. 404, лл. 47-51, 52-53 (11012).</w:t>
      </w:r>
    </w:p>
    <w:p w14:paraId="7017FA26" w14:textId="77777777" w:rsidR="00665165" w:rsidRPr="00925F26" w:rsidRDefault="00665165" w:rsidP="00925F26">
      <w:pPr>
        <w:autoSpaceDE w:val="0"/>
        <w:autoSpaceDN w:val="0"/>
        <w:adjustRightInd w:val="0"/>
        <w:jc w:val="both"/>
        <w:rPr>
          <w:color w:val="000000" w:themeColor="text1"/>
          <w:sz w:val="16"/>
          <w:szCs w:val="16"/>
        </w:rPr>
      </w:pPr>
    </w:p>
    <w:p w14:paraId="62E48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8230 Об увеличении производства фталевого ангидрида и дибутилфталата. РГАНИР, Фонд ГКО, д. 404, лл. 54-58, 59-65 (11012).</w:t>
      </w:r>
    </w:p>
    <w:p w14:paraId="7438CC01" w14:textId="77777777" w:rsidR="00665165" w:rsidRPr="00925F26" w:rsidRDefault="00665165" w:rsidP="00925F26">
      <w:pPr>
        <w:autoSpaceDE w:val="0"/>
        <w:autoSpaceDN w:val="0"/>
        <w:adjustRightInd w:val="0"/>
        <w:jc w:val="both"/>
        <w:rPr>
          <w:color w:val="000000" w:themeColor="text1"/>
          <w:sz w:val="16"/>
          <w:szCs w:val="16"/>
        </w:rPr>
      </w:pPr>
    </w:p>
    <w:p w14:paraId="41F73A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8231 О восстановлении и капитальном ремонте оборудования Грозненских нефтеперерабатывающих заводов. РГАНИР, Фонд ГКО, д. 404, лл. 66-70, 71-76 (11012).</w:t>
      </w:r>
    </w:p>
    <w:p w14:paraId="449973AB" w14:textId="77777777" w:rsidR="00665165" w:rsidRPr="00925F26" w:rsidRDefault="00665165" w:rsidP="00925F26">
      <w:pPr>
        <w:autoSpaceDE w:val="0"/>
        <w:autoSpaceDN w:val="0"/>
        <w:adjustRightInd w:val="0"/>
        <w:jc w:val="both"/>
        <w:rPr>
          <w:color w:val="000000" w:themeColor="text1"/>
          <w:sz w:val="16"/>
          <w:szCs w:val="16"/>
        </w:rPr>
      </w:pPr>
    </w:p>
    <w:p w14:paraId="4DF742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Распоряжение ГКО № 8232. О мерах по переносу производства радиостанций А-7 с завода № 564 НКБ. РГАНИР, Фонд ГКО, д. 404, лл. 77-78 (11012).</w:t>
      </w:r>
    </w:p>
    <w:p w14:paraId="21D18B8D" w14:textId="77777777" w:rsidR="00665165" w:rsidRPr="00925F26" w:rsidRDefault="00665165" w:rsidP="00925F26">
      <w:pPr>
        <w:autoSpaceDE w:val="0"/>
        <w:autoSpaceDN w:val="0"/>
        <w:adjustRightInd w:val="0"/>
        <w:jc w:val="both"/>
        <w:rPr>
          <w:color w:val="000000" w:themeColor="text1"/>
          <w:sz w:val="16"/>
          <w:szCs w:val="16"/>
        </w:rPr>
      </w:pPr>
    </w:p>
    <w:p w14:paraId="7EE357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8233 Об изготовлении опытной партии электронных микроскопов в Государственном оптическом институте НКВ. РГАНИР, Фонд ГКО, д. 404, лл. 79-80, 81-83 (11012).</w:t>
      </w:r>
    </w:p>
    <w:p w14:paraId="729025E0" w14:textId="77777777" w:rsidR="00665165" w:rsidRPr="00925F26" w:rsidRDefault="00665165" w:rsidP="00925F26">
      <w:pPr>
        <w:autoSpaceDE w:val="0"/>
        <w:autoSpaceDN w:val="0"/>
        <w:adjustRightInd w:val="0"/>
        <w:jc w:val="both"/>
        <w:rPr>
          <w:color w:val="000000" w:themeColor="text1"/>
          <w:sz w:val="16"/>
          <w:szCs w:val="16"/>
        </w:rPr>
      </w:pPr>
    </w:p>
    <w:p w14:paraId="1F0A08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8234 Об обеспечении средствами проводной связи военно-морских баз и объектов береговой обороны Прибалтики. РГАНИР, Фонд ГКО, д. 404, лл. 84-86, 87-88 (11012).</w:t>
      </w:r>
    </w:p>
    <w:p w14:paraId="5EF7AF2A" w14:textId="77777777" w:rsidR="00665165" w:rsidRPr="00925F26" w:rsidRDefault="00665165" w:rsidP="00925F26">
      <w:pPr>
        <w:autoSpaceDE w:val="0"/>
        <w:autoSpaceDN w:val="0"/>
        <w:adjustRightInd w:val="0"/>
        <w:jc w:val="both"/>
        <w:rPr>
          <w:color w:val="000000" w:themeColor="text1"/>
          <w:sz w:val="16"/>
          <w:szCs w:val="16"/>
        </w:rPr>
      </w:pPr>
    </w:p>
    <w:p w14:paraId="5F07CE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8235 О вводе в эксплуатацию первой очереди Сызранской ТЭЦ НКЭС. РГАНИР, Фонд ГКО, д. 404, лл. 89-91 (11012).</w:t>
      </w:r>
    </w:p>
    <w:p w14:paraId="497E629A" w14:textId="77777777" w:rsidR="00665165" w:rsidRPr="00925F26" w:rsidRDefault="00665165" w:rsidP="00925F26">
      <w:pPr>
        <w:autoSpaceDE w:val="0"/>
        <w:autoSpaceDN w:val="0"/>
        <w:adjustRightInd w:val="0"/>
        <w:jc w:val="both"/>
        <w:rPr>
          <w:color w:val="000000" w:themeColor="text1"/>
          <w:sz w:val="16"/>
          <w:szCs w:val="16"/>
        </w:rPr>
      </w:pPr>
    </w:p>
    <w:p w14:paraId="1099934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8236 О мероприятиях по восстановлению хозяйства Наркомречфлота в Западно-Двинском бассейне. (7330, 92-95,96-100).</w:t>
      </w:r>
    </w:p>
    <w:p w14:paraId="6EB2C7E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BABD7F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8237 О строительстве электрифицированной железнодорожной линии Сураханы - Бузовны. (7330, 101-102).</w:t>
      </w:r>
    </w:p>
    <w:p w14:paraId="6A88D9B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147FF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8238 О мерах по восстановлению Рижского морского порта и Рижского судоремонтного завода Наркомморфлота. (7330, 103-110,111-115).</w:t>
      </w:r>
    </w:p>
    <w:p w14:paraId="707F168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69112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8239 О частичном восстановлении Рижской городской электростанции. РГАНИР, Фонд ГКО, д. 404, лл. 116-118, 119-122 (11012).</w:t>
      </w:r>
    </w:p>
    <w:p w14:paraId="168F5FDF" w14:textId="77777777" w:rsidR="00665165" w:rsidRPr="00925F26" w:rsidRDefault="00665165" w:rsidP="00925F26">
      <w:pPr>
        <w:autoSpaceDE w:val="0"/>
        <w:autoSpaceDN w:val="0"/>
        <w:adjustRightInd w:val="0"/>
        <w:jc w:val="both"/>
        <w:rPr>
          <w:color w:val="000000" w:themeColor="text1"/>
          <w:sz w:val="16"/>
          <w:szCs w:val="16"/>
        </w:rPr>
      </w:pPr>
    </w:p>
    <w:p w14:paraId="155D9EB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39EAEDE" w14:textId="77777777" w:rsidR="00665165" w:rsidRPr="00925F26" w:rsidRDefault="00665165" w:rsidP="00925F26">
      <w:pPr>
        <w:autoSpaceDE w:val="0"/>
        <w:autoSpaceDN w:val="0"/>
        <w:adjustRightInd w:val="0"/>
        <w:jc w:val="both"/>
        <w:rPr>
          <w:iCs/>
          <w:color w:val="000000" w:themeColor="text1"/>
          <w:sz w:val="16"/>
          <w:szCs w:val="16"/>
        </w:rPr>
      </w:pPr>
    </w:p>
    <w:p w14:paraId="39A75311" w14:textId="77777777" w:rsidR="00DE38A8" w:rsidRPr="00925F26" w:rsidRDefault="00DE38A8" w:rsidP="00925F26">
      <w:pPr>
        <w:jc w:val="both"/>
        <w:rPr>
          <w:color w:val="000000" w:themeColor="text1"/>
          <w:sz w:val="16"/>
          <w:szCs w:val="16"/>
        </w:rPr>
      </w:pPr>
      <w:r w:rsidRPr="00925F26">
        <w:rPr>
          <w:color w:val="000000" w:themeColor="text1"/>
          <w:sz w:val="16"/>
          <w:szCs w:val="16"/>
        </w:rPr>
        <w:t>20 апреля в 1945 году оперативная сводка Совинформбюро:</w:t>
      </w:r>
    </w:p>
    <w:p w14:paraId="632A738A" w14:textId="77777777" w:rsidR="00DE38A8" w:rsidRPr="00925F26" w:rsidRDefault="00DE38A8" w:rsidP="00925F26">
      <w:pPr>
        <w:jc w:val="both"/>
        <w:rPr>
          <w:color w:val="000000" w:themeColor="text1"/>
          <w:sz w:val="16"/>
          <w:szCs w:val="16"/>
        </w:rPr>
      </w:pPr>
      <w:r w:rsidRPr="00925F26">
        <w:rPr>
          <w:color w:val="000000" w:themeColor="text1"/>
          <w:sz w:val="16"/>
          <w:szCs w:val="16"/>
        </w:rPr>
        <w:t>«Центральная группа наших войск вела наступательные бои западнее реки Одер и реки Нейсе. В результате этих боёв наши войска заняли города Бад-Фрайен-Вальде, Врицен, Зеелов, Лебус, Клиттен, Ниски, Шпремберг, Гойерсверда и подошли к городам Каменц и Бауцен (на Дрезденском направлении).</w:t>
      </w:r>
    </w:p>
    <w:p w14:paraId="6E9F5018" w14:textId="77777777" w:rsidR="00DE38A8" w:rsidRPr="00925F26" w:rsidRDefault="00DE38A8" w:rsidP="00925F26">
      <w:pPr>
        <w:jc w:val="both"/>
        <w:rPr>
          <w:color w:val="000000" w:themeColor="text1"/>
          <w:sz w:val="16"/>
          <w:szCs w:val="16"/>
        </w:rPr>
      </w:pPr>
      <w:r w:rsidRPr="00925F26">
        <w:rPr>
          <w:color w:val="000000" w:themeColor="text1"/>
          <w:sz w:val="16"/>
          <w:szCs w:val="16"/>
        </w:rPr>
        <w:t>Юго-западнее и южнее Ратибора войска 4-го Украинского фронта, преодолевая сопротивление противника, заняли населённые пункты Комаров, Мокре Лазце, Хабичов, Пишт, Крейценорт, Нойдэрфель, Ольза.</w:t>
      </w:r>
    </w:p>
    <w:p w14:paraId="70D09630" w14:textId="77777777" w:rsidR="00DE38A8" w:rsidRPr="00925F26" w:rsidRDefault="00DE38A8" w:rsidP="00925F26">
      <w:pPr>
        <w:jc w:val="both"/>
        <w:rPr>
          <w:color w:val="000000" w:themeColor="text1"/>
          <w:sz w:val="16"/>
          <w:szCs w:val="16"/>
        </w:rPr>
      </w:pPr>
      <w:r w:rsidRPr="00925F26">
        <w:rPr>
          <w:color w:val="000000" w:themeColor="text1"/>
          <w:sz w:val="16"/>
          <w:szCs w:val="16"/>
        </w:rPr>
        <w:t>На территории Австрии севернее Вены войска 2-го Украинского фронта, продолжая наступление, с боями заняли населённые пункты Альт Хефлайн, Гинцерсдорф, Эрдберг, Ветцельсдорф, Амеис, Штаатц, Вультендорф, Фраттингсдорф, Поосдорф, Нидерляйс, Штейнбах и железнодорожные станции Шлетц, Нидерляйс.</w:t>
      </w:r>
    </w:p>
    <w:p w14:paraId="0D1E97D1" w14:textId="77777777" w:rsidR="00DE38A8" w:rsidRPr="00925F26" w:rsidRDefault="00DE38A8" w:rsidP="00925F26">
      <w:pPr>
        <w:jc w:val="both"/>
        <w:rPr>
          <w:color w:val="000000" w:themeColor="text1"/>
          <w:sz w:val="16"/>
          <w:szCs w:val="16"/>
        </w:rPr>
      </w:pPr>
      <w:r w:rsidRPr="00925F26">
        <w:rPr>
          <w:color w:val="000000" w:themeColor="text1"/>
          <w:sz w:val="16"/>
          <w:szCs w:val="16"/>
        </w:rPr>
        <w:t>На остальных участках фронта — бои местного значения и поиски разведчиков.</w:t>
      </w:r>
    </w:p>
    <w:p w14:paraId="69B2E173" w14:textId="77777777" w:rsidR="00DE38A8" w:rsidRPr="00925F26" w:rsidRDefault="00DE38A8" w:rsidP="00925F26">
      <w:pPr>
        <w:jc w:val="both"/>
        <w:rPr>
          <w:color w:val="000000" w:themeColor="text1"/>
          <w:sz w:val="16"/>
          <w:szCs w:val="16"/>
        </w:rPr>
      </w:pPr>
      <w:r w:rsidRPr="00925F26">
        <w:rPr>
          <w:color w:val="000000" w:themeColor="text1"/>
          <w:sz w:val="16"/>
          <w:szCs w:val="16"/>
        </w:rPr>
        <w:t>За 19 апреля на всех фронтах подбито и уничтожено 129 немецких танков. В воздушных боях и огнём зенитной артиллерии сбито 140 самолётов противника.</w:t>
      </w:r>
    </w:p>
    <w:p w14:paraId="0E7FDF48" w14:textId="77777777" w:rsidR="00DE38A8" w:rsidRPr="00925F26" w:rsidRDefault="00DE38A8" w:rsidP="00925F26">
      <w:pPr>
        <w:jc w:val="both"/>
        <w:rPr>
          <w:color w:val="000000" w:themeColor="text1"/>
          <w:sz w:val="16"/>
          <w:szCs w:val="16"/>
        </w:rPr>
      </w:pPr>
      <w:r w:rsidRPr="00925F26">
        <w:rPr>
          <w:color w:val="000000" w:themeColor="text1"/>
          <w:sz w:val="16"/>
          <w:szCs w:val="16"/>
        </w:rPr>
        <w:t>Центральная группа наших войск вела наступательные бои западнее реки Одер и реки Нейсе. На Дрезденском направлении наши войска, переправившись через реку Нейсе, прорвали укреплённые позиции противника. В образовавшиеся бреши двинулись подвижные соединения. Несмотря на трудные условия лесистой местности, изобилующей озёрами и реками, наши войска продвинулись вперёд на 15 километров и вышли к реке Шпрее. На подступах к Шпрее противник сопротивлялся с необычайной яростью. Усилив свои войска тремя танковыми и одной моторизованной дивизиями, гитлеровцы неоднократно переходили в контратаки. Отбрасывая врага, советские пехотинцы, артиллеристы и танкисты уничтожили 56 немецких танков и самоходных орудий. Противник оставил на поле боя тысячи трупов своих солдат и офицеров. Наши войска переправились через реку Шпрее южнее города Шпремберг и, совершив обходный маневр, зажали вражеский гарнизон города в клещи. Немцы понесли тяжёлые потери и в беспорядке отступили. В этом районе захвачено 15 немецких самолетов, 60 орудий и другие трофеи. Развивая успех, наши пехотинцы штурмом овладели городом Гойерсверда. Одновременно советские части подошли к городам Каменц и Бауцен и завязали бои на окраинах этих сильных опорных пунктов обороны противника. Город Каменц находится в 32 километрах северо-восточнее Дрездена.</w:t>
      </w:r>
    </w:p>
    <w:p w14:paraId="5AA59337" w14:textId="77777777" w:rsidR="00DE38A8" w:rsidRPr="00925F26" w:rsidRDefault="00DE38A8" w:rsidP="00925F26">
      <w:pPr>
        <w:jc w:val="both"/>
        <w:rPr>
          <w:color w:val="000000" w:themeColor="text1"/>
          <w:sz w:val="16"/>
          <w:szCs w:val="16"/>
        </w:rPr>
      </w:pPr>
      <w:r w:rsidRPr="00925F26">
        <w:rPr>
          <w:color w:val="000000" w:themeColor="text1"/>
          <w:sz w:val="16"/>
          <w:szCs w:val="16"/>
        </w:rPr>
        <w:t>Западнее раки Одер наши войска, преодолевая мощные укрепления немцев, овладели городом Бад-Фрайенвальде. Другие наши части, продвигаясь вперёд, завязали бои за крупный узел путей сообщения — город Врицен. Советские пехотинцы ворвались в город с юга и в ожесточенном бою разгромили вражеский гарнизон. В боях за Врицен уничтожено свыше 2 тысяч немецких солдат и офицеров.</w:t>
      </w:r>
    </w:p>
    <w:p w14:paraId="1D0D7874" w14:textId="77777777" w:rsidR="00DE38A8" w:rsidRPr="00925F26" w:rsidRDefault="00DE38A8" w:rsidP="00925F26">
      <w:pPr>
        <w:jc w:val="both"/>
        <w:rPr>
          <w:color w:val="000000" w:themeColor="text1"/>
          <w:sz w:val="16"/>
          <w:szCs w:val="16"/>
        </w:rPr>
      </w:pPr>
      <w:r w:rsidRPr="00925F26">
        <w:rPr>
          <w:color w:val="000000" w:themeColor="text1"/>
          <w:sz w:val="16"/>
          <w:szCs w:val="16"/>
        </w:rPr>
        <w:t>Наша авиация оказывала мощную поддержку наземным войскам. Советские летчики бомбардировочными и штурмовыми ударами разрушают оборонительные сооружения противника и уничтожают его живую силу и технику. В воздушных боях за день сбито 90 немецких самолётов. Кроме того, 34 самолёта противника сбиты огнём нашей зенитной артиллерии.</w:t>
      </w:r>
    </w:p>
    <w:p w14:paraId="28D2BAF5" w14:textId="77777777" w:rsidR="00DE38A8" w:rsidRPr="00925F26" w:rsidRDefault="00DE38A8" w:rsidP="00925F26">
      <w:pPr>
        <w:jc w:val="both"/>
        <w:rPr>
          <w:color w:val="000000" w:themeColor="text1"/>
          <w:sz w:val="16"/>
          <w:szCs w:val="16"/>
        </w:rPr>
      </w:pPr>
      <w:r w:rsidRPr="00925F26">
        <w:rPr>
          <w:color w:val="000000" w:themeColor="text1"/>
          <w:sz w:val="16"/>
          <w:szCs w:val="16"/>
        </w:rPr>
        <w:t>Юго-западнее и южнее города Ратибор войска 4-го Украинского фронта с боями продвигались вперёд. Сломив сопротивление противника, наши подразделения переправились через реку Опава и захватили несколько высот. Вся прибрежная местность в этом районе изрезана линиями окопов и траншей, прикрытых несколькими рядами колючей проволоки и минными полями. Опираясь на этот рубеж, немцы предприняли несколько контратак. Советские пехотинцы отбили вражеские контратаки, а затем стремительным ударом овладели населённым пунктом Хабичов. Железная дорога, связывающая города Опава и Моравска Острава, перерезана. Продолжая бои по расширению плацдарма, наши войска натолкнулись на сеть долговременных бетонированных сооружений. Советские штурмовые группы к исходу дня овладели несколькими дотами противника. После упорного боя занят опорный пункт Комаров, расположенный в 4 километрах юго-восточнее города Опава.</w:t>
      </w:r>
    </w:p>
    <w:p w14:paraId="375B010D" w14:textId="77777777" w:rsidR="00DE38A8" w:rsidRPr="00925F26" w:rsidRDefault="00DE38A8" w:rsidP="00925F26">
      <w:pPr>
        <w:jc w:val="both"/>
        <w:rPr>
          <w:color w:val="000000" w:themeColor="text1"/>
          <w:sz w:val="16"/>
          <w:szCs w:val="16"/>
        </w:rPr>
      </w:pPr>
      <w:r w:rsidRPr="00925F26">
        <w:rPr>
          <w:color w:val="000000" w:themeColor="text1"/>
          <w:sz w:val="16"/>
          <w:szCs w:val="16"/>
        </w:rPr>
        <w:t>Севернее Вены войска 2-го Украинского фронта продолжали наступление. Противник, укрепившись на промежуточных рубежах обороны, оказывает упорное сопротивление и часто переходит в контратаки. В ожесточённом бою советские гвардейские части выбили немцев из нескольких населенных пунктов. Другие наши части, наступающие вдоль автострады на север, продвинулись вперёд на 10 километров. В одном районе танкисты гвардии капитана Новосёлова лощинами скрытно обошли сильно укреплённый узел сопротивления противника и атаковали его с тыла. В непродолжительном бою немецкий гарнизон был разгромлен. Советские танкисты уничтожили более 200 гитлеровцев. Взяты пленные, в числе которых командир отдельного артиллерийского дивизиона противника.</w:t>
      </w:r>
    </w:p>
    <w:p w14:paraId="39442478" w14:textId="77777777" w:rsidR="00DE38A8" w:rsidRPr="00925F26" w:rsidRDefault="00DE38A8" w:rsidP="00925F26">
      <w:pPr>
        <w:jc w:val="both"/>
        <w:rPr>
          <w:color w:val="000000" w:themeColor="text1"/>
          <w:sz w:val="16"/>
          <w:szCs w:val="16"/>
        </w:rPr>
      </w:pPr>
      <w:r w:rsidRPr="00925F26">
        <w:rPr>
          <w:color w:val="000000" w:themeColor="text1"/>
          <w:sz w:val="16"/>
          <w:szCs w:val="16"/>
        </w:rPr>
        <w:t>За день боёв на разных участках захвачено у немцев 15 танков, 30 орущий, 8 бронетранспортеров, 40 паровозов, 457 железнодорожных вагонов и 126 цистерн, а также 17 складов с боеприпасами и разным военным имуществом. Взято в плен 960 немецких солдат и офицеров.</w:t>
      </w:r>
    </w:p>
    <w:p w14:paraId="0637D3C8" w14:textId="77777777" w:rsidR="00DE38A8" w:rsidRPr="00925F26" w:rsidRDefault="00DE38A8" w:rsidP="00925F26">
      <w:pPr>
        <w:jc w:val="both"/>
        <w:rPr>
          <w:color w:val="000000" w:themeColor="text1"/>
          <w:sz w:val="16"/>
          <w:szCs w:val="16"/>
        </w:rPr>
      </w:pPr>
      <w:r w:rsidRPr="00925F26">
        <w:rPr>
          <w:color w:val="000000" w:themeColor="text1"/>
          <w:sz w:val="16"/>
          <w:szCs w:val="16"/>
        </w:rPr>
        <w:t>Авиацией Краснознаменого Балтийского флота в порту Пиллау и северо-западнее Пиллау потоплены четыре немецких транспорта общим водоизмещением в 15 тысяч тонн и четыре танкера водоизмещением в 14 тысяч танн.</w:t>
      </w:r>
    </w:p>
    <w:p w14:paraId="26C45E60" w14:textId="77777777" w:rsidR="00DE38A8" w:rsidRPr="00925F26" w:rsidRDefault="00DE38A8" w:rsidP="00925F26">
      <w:pPr>
        <w:jc w:val="both"/>
        <w:rPr>
          <w:color w:val="000000" w:themeColor="text1"/>
          <w:sz w:val="16"/>
          <w:szCs w:val="16"/>
        </w:rPr>
      </w:pPr>
      <w:r w:rsidRPr="00925F26">
        <w:rPr>
          <w:color w:val="000000" w:themeColor="text1"/>
          <w:sz w:val="16"/>
          <w:szCs w:val="16"/>
        </w:rPr>
        <w:t>Кораблями флота в Балтийском маре потоплен транспорт противника водоизмещением в 8 тысяч тонн.» (15105).</w:t>
      </w:r>
    </w:p>
    <w:p w14:paraId="56653DA0" w14:textId="77777777" w:rsidR="00DE38A8" w:rsidRPr="00925F26" w:rsidRDefault="00DE38A8" w:rsidP="00925F26">
      <w:pPr>
        <w:jc w:val="both"/>
        <w:rPr>
          <w:color w:val="000000" w:themeColor="text1"/>
          <w:sz w:val="16"/>
          <w:szCs w:val="16"/>
        </w:rPr>
      </w:pPr>
    </w:p>
    <w:p w14:paraId="04F9F82C" w14:textId="77777777" w:rsidR="00DE38A8" w:rsidRPr="00925F26" w:rsidRDefault="00DE38A8" w:rsidP="00925F26">
      <w:pPr>
        <w:jc w:val="both"/>
        <w:rPr>
          <w:color w:val="000000" w:themeColor="text1"/>
          <w:sz w:val="16"/>
          <w:szCs w:val="16"/>
        </w:rPr>
      </w:pPr>
      <w:r w:rsidRPr="00925F26">
        <w:rPr>
          <w:color w:val="000000" w:themeColor="text1"/>
          <w:sz w:val="16"/>
          <w:szCs w:val="16"/>
        </w:rPr>
        <w:t>20 апреля в 1945 году директива Ставки ВГК о доведении до войск знаков и сигналов для опознавания при встрече советских и американо-английских войск (15105).</w:t>
      </w:r>
    </w:p>
    <w:p w14:paraId="04B269AF" w14:textId="77777777" w:rsidR="00DE38A8" w:rsidRPr="00925F26" w:rsidRDefault="00DE38A8" w:rsidP="00925F26">
      <w:pPr>
        <w:jc w:val="both"/>
        <w:rPr>
          <w:color w:val="000000" w:themeColor="text1"/>
          <w:sz w:val="16"/>
          <w:szCs w:val="16"/>
        </w:rPr>
      </w:pPr>
    </w:p>
    <w:p w14:paraId="4B8D0C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когда во время штурмовки войск в районе деревни Дарвец был сбит экипаж младшего лейтенанта Кутьева со стрелком сержантом Мартыновым. Это были первые потери в 108 шап В этот же день, выполняя третий вылет в район Берлина, был сбит зенитками экипаж младшего лейтенанта Древаля со стрелком сержантом Прянишниковым. Летчик успел выпрыгнуть с парашютом, а стрелок погиб еще в воздухе (8683,37).</w:t>
      </w:r>
    </w:p>
    <w:p w14:paraId="7D311772" w14:textId="77777777" w:rsidR="00665165" w:rsidRPr="00925F26" w:rsidRDefault="00665165" w:rsidP="00925F26">
      <w:pPr>
        <w:autoSpaceDE w:val="0"/>
        <w:autoSpaceDN w:val="0"/>
        <w:adjustRightInd w:val="0"/>
        <w:jc w:val="both"/>
        <w:rPr>
          <w:color w:val="000000" w:themeColor="text1"/>
          <w:sz w:val="16"/>
          <w:szCs w:val="16"/>
        </w:rPr>
      </w:pPr>
    </w:p>
    <w:p w14:paraId="5F5D5D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на шестой день участия 108 гшап в боевых действиях был сбит самолет младшего лейтенанта Кутьева. В него попал зе</w:t>
      </w:r>
      <w:r w:rsidRPr="00925F26">
        <w:rPr>
          <w:color w:val="000000" w:themeColor="text1"/>
          <w:sz w:val="16"/>
          <w:szCs w:val="16"/>
        </w:rPr>
        <w:softHyphen/>
        <w:t>нитный снаряд среднего калибра. По докладам экипажей, у штурмовика ото</w:t>
      </w:r>
      <w:r w:rsidRPr="00925F26">
        <w:rPr>
          <w:color w:val="000000" w:themeColor="text1"/>
          <w:sz w:val="16"/>
          <w:szCs w:val="16"/>
        </w:rPr>
        <w:softHyphen/>
        <w:t>рвало плоскость, он перешел в штопор и взорвался при ударе о землю. В этот же день имел место первый и единственный воздушный бой. На пути следо</w:t>
      </w:r>
      <w:r w:rsidRPr="00925F26">
        <w:rPr>
          <w:color w:val="000000" w:themeColor="text1"/>
          <w:sz w:val="16"/>
          <w:szCs w:val="16"/>
        </w:rPr>
        <w:softHyphen/>
        <w:t>вания к цели семерки капитана Сироткина крайний в строю штурмовик неожи</w:t>
      </w:r>
      <w:r w:rsidRPr="00925F26">
        <w:rPr>
          <w:color w:val="000000" w:themeColor="text1"/>
          <w:sz w:val="16"/>
          <w:szCs w:val="16"/>
        </w:rPr>
        <w:softHyphen/>
        <w:t>данно был атакован парой ФВ190. Ата</w:t>
      </w:r>
      <w:r w:rsidRPr="00925F26">
        <w:rPr>
          <w:color w:val="000000" w:themeColor="text1"/>
          <w:sz w:val="16"/>
          <w:szCs w:val="16"/>
        </w:rPr>
        <w:softHyphen/>
        <w:t>ка производилась одновременно снизу и сверху. Ил-10 получил шесть пробоин в крыле. Стрелки отогнали немцев. Больше истребители противника летчи</w:t>
      </w:r>
      <w:r w:rsidRPr="00925F26">
        <w:rPr>
          <w:color w:val="000000" w:themeColor="text1"/>
          <w:sz w:val="16"/>
          <w:szCs w:val="16"/>
        </w:rPr>
        <w:softHyphen/>
        <w:t>кам полка вообще не попадались. 20 апреля, не вернул</w:t>
      </w:r>
      <w:r w:rsidRPr="00925F26">
        <w:rPr>
          <w:color w:val="000000" w:themeColor="text1"/>
          <w:sz w:val="16"/>
          <w:szCs w:val="16"/>
        </w:rPr>
        <w:softHyphen/>
        <w:t>ся с боевого задания экипаж младшего лейтенанта Древаля, вылетевший в со</w:t>
      </w:r>
      <w:r w:rsidRPr="00925F26">
        <w:rPr>
          <w:color w:val="000000" w:themeColor="text1"/>
          <w:sz w:val="16"/>
          <w:szCs w:val="16"/>
        </w:rPr>
        <w:softHyphen/>
        <w:t>ставе десятки Ил-10 для нанесения уда</w:t>
      </w:r>
      <w:r w:rsidRPr="00925F26">
        <w:rPr>
          <w:color w:val="000000" w:themeColor="text1"/>
          <w:sz w:val="16"/>
          <w:szCs w:val="16"/>
        </w:rPr>
        <w:softHyphen/>
        <w:t>ра по артиллерийским позициям на се</w:t>
      </w:r>
      <w:r w:rsidRPr="00925F26">
        <w:rPr>
          <w:color w:val="000000" w:themeColor="text1"/>
          <w:sz w:val="16"/>
          <w:szCs w:val="16"/>
        </w:rPr>
        <w:softHyphen/>
        <w:t>веро-восточной окраине Коттбуса. По докладам экипажей, самолет Древаля загорелся над целью в результате пря</w:t>
      </w:r>
      <w:r w:rsidRPr="00925F26">
        <w:rPr>
          <w:color w:val="000000" w:themeColor="text1"/>
          <w:sz w:val="16"/>
          <w:szCs w:val="16"/>
        </w:rPr>
        <w:softHyphen/>
        <w:t>мого попадания малокалиберного зенит</w:t>
      </w:r>
      <w:r w:rsidRPr="00925F26">
        <w:rPr>
          <w:color w:val="000000" w:themeColor="text1"/>
          <w:sz w:val="16"/>
          <w:szCs w:val="16"/>
        </w:rPr>
        <w:softHyphen/>
        <w:t>ного снаряда. Летчик стал тянуть на свою территорию. У шоссе Кляйн-Лисков из самолета выбросился один пара</w:t>
      </w:r>
      <w:r w:rsidRPr="00925F26">
        <w:rPr>
          <w:color w:val="000000" w:themeColor="text1"/>
          <w:sz w:val="16"/>
          <w:szCs w:val="16"/>
        </w:rPr>
        <w:softHyphen/>
        <w:t xml:space="preserve">шютист. Штурмовик врезался </w:t>
      </w:r>
      <w:r w:rsidRPr="00925F26">
        <w:rPr>
          <w:color w:val="000000" w:themeColor="text1"/>
          <w:sz w:val="16"/>
          <w:szCs w:val="16"/>
        </w:rPr>
        <w:lastRenderedPageBreak/>
        <w:t>в землю в полукилометре от шоссе и взорвался. Вернувшийся через несколько дней в часть Древаль рассказал, как развива</w:t>
      </w:r>
      <w:r w:rsidRPr="00925F26">
        <w:rPr>
          <w:color w:val="000000" w:themeColor="text1"/>
          <w:sz w:val="16"/>
          <w:szCs w:val="16"/>
        </w:rPr>
        <w:softHyphen/>
        <w:t>лись события. На маршруте к цели мо</w:t>
      </w:r>
      <w:r w:rsidRPr="00925F26">
        <w:rPr>
          <w:color w:val="000000" w:themeColor="text1"/>
          <w:sz w:val="16"/>
          <w:szCs w:val="16"/>
        </w:rPr>
        <w:softHyphen/>
        <w:t>тор стал перегреваться. Принимая ме</w:t>
      </w:r>
      <w:r w:rsidRPr="00925F26">
        <w:rPr>
          <w:color w:val="000000" w:themeColor="text1"/>
          <w:sz w:val="16"/>
          <w:szCs w:val="16"/>
        </w:rPr>
        <w:softHyphen/>
        <w:t>ры для его охлаждения, Древаль вместе с группой долетел до Коттбуса. На выхо</w:t>
      </w:r>
      <w:r w:rsidRPr="00925F26">
        <w:rPr>
          <w:color w:val="000000" w:themeColor="text1"/>
          <w:sz w:val="16"/>
          <w:szCs w:val="16"/>
        </w:rPr>
        <w:softHyphen/>
        <w:t>де из атаки мотор стал давать сильные перебои, из патрубков показался белый дым, который начал проникать в кабину. Древаль развернул самолет на юго-вос</w:t>
      </w:r>
      <w:r w:rsidRPr="00925F26">
        <w:rPr>
          <w:color w:val="000000" w:themeColor="text1"/>
          <w:sz w:val="16"/>
          <w:szCs w:val="16"/>
        </w:rPr>
        <w:softHyphen/>
        <w:t>ток и предпринял попытку планировать на свою территорию. Когда в кабине по</w:t>
      </w:r>
      <w:r w:rsidRPr="00925F26">
        <w:rPr>
          <w:color w:val="000000" w:themeColor="text1"/>
          <w:sz w:val="16"/>
          <w:szCs w:val="16"/>
        </w:rPr>
        <w:softHyphen/>
        <w:t>явилось пламя, летчик дал команду стрелку прыгать и сам оставил самолет. Спускаясь на парашюте, он наблюдал взрыв, а после приземления потерял со</w:t>
      </w:r>
      <w:r w:rsidRPr="00925F26">
        <w:rPr>
          <w:color w:val="000000" w:themeColor="text1"/>
          <w:sz w:val="16"/>
          <w:szCs w:val="16"/>
        </w:rPr>
        <w:softHyphen/>
        <w:t>знание. Пришел в себя, когда немецкие солдаты снимали с него парашют. Затем были плен, побег в ночь с 28 на 29 апре</w:t>
      </w:r>
      <w:r w:rsidRPr="00925F26">
        <w:rPr>
          <w:color w:val="000000" w:themeColor="text1"/>
          <w:sz w:val="16"/>
          <w:szCs w:val="16"/>
        </w:rPr>
        <w:softHyphen/>
        <w:t>ля, счастливая встреча с пехотинцами из 77-й стрелковой дивизии и радостное возвращение в родной полк 1 мая (10681).</w:t>
      </w:r>
    </w:p>
    <w:p w14:paraId="1BE1CFBD" w14:textId="77777777" w:rsidR="00665165" w:rsidRPr="00925F26" w:rsidRDefault="00665165" w:rsidP="00925F26">
      <w:pPr>
        <w:autoSpaceDE w:val="0"/>
        <w:autoSpaceDN w:val="0"/>
        <w:adjustRightInd w:val="0"/>
        <w:jc w:val="both"/>
        <w:rPr>
          <w:color w:val="000000" w:themeColor="text1"/>
          <w:sz w:val="16"/>
          <w:szCs w:val="16"/>
        </w:rPr>
      </w:pPr>
    </w:p>
    <w:p w14:paraId="40EB42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апреля 1945 от огня немецких зенитчиков из района Ширизов был сбит экипаж мл. л-та Кутьева (воздушный стрелок ст. сер</w:t>
      </w:r>
      <w:r w:rsidRPr="00925F26">
        <w:rPr>
          <w:color w:val="000000" w:themeColor="text1"/>
          <w:sz w:val="16"/>
          <w:szCs w:val="16"/>
        </w:rPr>
        <w:softHyphen/>
        <w:t>жант Мартынов). В Ил-10 (зав. № 103904) Кутьева попал зенитный снаряд среднего калибра. По докла</w:t>
      </w:r>
      <w:r w:rsidRPr="00925F26">
        <w:rPr>
          <w:color w:val="000000" w:themeColor="text1"/>
          <w:sz w:val="16"/>
          <w:szCs w:val="16"/>
        </w:rPr>
        <w:softHyphen/>
        <w:t>дам экипажей у самолета была отбита плоскость, самолет перешел в штопор и взорвался при ударе о землю в 500 м к востоку от Ширизов.</w:t>
      </w:r>
    </w:p>
    <w:p w14:paraId="1C5D55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Группа в составе 7 Ил-10 (ведущий к-н Сироткин) провела первый и един</w:t>
      </w:r>
      <w:r w:rsidRPr="00925F26">
        <w:rPr>
          <w:color w:val="000000" w:themeColor="text1"/>
          <w:sz w:val="16"/>
          <w:szCs w:val="16"/>
        </w:rPr>
        <w:softHyphen/>
        <w:t>ственный, воздушный бой с немецки</w:t>
      </w:r>
      <w:r w:rsidRPr="00925F26">
        <w:rPr>
          <w:color w:val="000000" w:themeColor="text1"/>
          <w:sz w:val="16"/>
          <w:szCs w:val="16"/>
        </w:rPr>
        <w:softHyphen/>
        <w:t>ми истребителями. На пути следования к цели крайний в строю штурмовик неожиданно был атакован парой ФВ190. Атака производилась одновре</w:t>
      </w:r>
      <w:r w:rsidRPr="00925F26">
        <w:rPr>
          <w:color w:val="000000" w:themeColor="text1"/>
          <w:sz w:val="16"/>
          <w:szCs w:val="16"/>
        </w:rPr>
        <w:softHyphen/>
        <w:t>менно снизу и сверху. В результате Ил-10 (зав. № 1890603) получил 6 про</w:t>
      </w:r>
      <w:r w:rsidRPr="00925F26">
        <w:rPr>
          <w:color w:val="000000" w:themeColor="text1"/>
          <w:sz w:val="16"/>
          <w:szCs w:val="16"/>
        </w:rPr>
        <w:softHyphen/>
        <w:t>боин в плоскости. Организованным ог</w:t>
      </w:r>
      <w:r w:rsidRPr="00925F26">
        <w:rPr>
          <w:color w:val="000000" w:themeColor="text1"/>
          <w:sz w:val="16"/>
          <w:szCs w:val="16"/>
        </w:rPr>
        <w:softHyphen/>
        <w:t>нем воздушных стрелков истребители противника были отогнаны и больше атак не производили. В дальнейшем, ни встреч с истребителями люфтваффе, ни воздушных боев не отмечалось. Авиа</w:t>
      </w:r>
      <w:r w:rsidRPr="00925F26">
        <w:rPr>
          <w:color w:val="000000" w:themeColor="text1"/>
          <w:sz w:val="16"/>
          <w:szCs w:val="16"/>
        </w:rPr>
        <w:softHyphen/>
        <w:t>ционные гранаты АГ-2 экипажами в воздушных боях не применялись.</w:t>
      </w:r>
    </w:p>
    <w:p w14:paraId="43A520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этот день не вернулся из боевого задания экипаж мл. л-та Древаль (воз</w:t>
      </w:r>
      <w:r w:rsidRPr="00925F26">
        <w:rPr>
          <w:color w:val="000000" w:themeColor="text1"/>
          <w:sz w:val="16"/>
          <w:szCs w:val="16"/>
        </w:rPr>
        <w:softHyphen/>
        <w:t>душный стрелок мл. сержант Прянич</w:t>
      </w:r>
      <w:r w:rsidRPr="00925F26">
        <w:rPr>
          <w:color w:val="000000" w:themeColor="text1"/>
          <w:sz w:val="16"/>
          <w:szCs w:val="16"/>
        </w:rPr>
        <w:softHyphen/>
        <w:t>ников), который в период 15.55-16.55 вылетал в составе группы из 10 Ил-10 (ведущий к-н Новиков) для нанесения бомбоштурмового удара по артилле</w:t>
      </w:r>
      <w:r w:rsidRPr="00925F26">
        <w:rPr>
          <w:color w:val="000000" w:themeColor="text1"/>
          <w:sz w:val="16"/>
          <w:szCs w:val="16"/>
        </w:rPr>
        <w:softHyphen/>
        <w:t>рийским позициям на северо-восточ</w:t>
      </w:r>
      <w:r w:rsidRPr="00925F26">
        <w:rPr>
          <w:color w:val="000000" w:themeColor="text1"/>
          <w:sz w:val="16"/>
          <w:szCs w:val="16"/>
        </w:rPr>
        <w:softHyphen/>
        <w:t>ной окраине Коттбуса. По докладам эки</w:t>
      </w:r>
      <w:r w:rsidRPr="00925F26">
        <w:rPr>
          <w:color w:val="000000" w:themeColor="text1"/>
          <w:sz w:val="16"/>
          <w:szCs w:val="16"/>
        </w:rPr>
        <w:softHyphen/>
        <w:t>пажей из состава группы самолет Древаля загорелся над целью в результате прямого попадания малокалиберного зенитного снаряда. Летчик стал тянуть на свою территорию. После того, как самолет достиг шоссе Кляйн Лисков, из самолета выбросился один парашю</w:t>
      </w:r>
      <w:r w:rsidRPr="00925F26">
        <w:rPr>
          <w:color w:val="000000" w:themeColor="text1"/>
          <w:sz w:val="16"/>
          <w:szCs w:val="16"/>
        </w:rPr>
        <w:softHyphen/>
        <w:t>тист. Самолет врезался в землю в 500 м к юго-востоку от шоссе и взорвался.</w:t>
      </w:r>
    </w:p>
    <w:p w14:paraId="30EC3A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Вернувшийся через несколько дней мл. л-т Древаль уточнил как развива</w:t>
      </w:r>
      <w:r w:rsidRPr="00925F26">
        <w:rPr>
          <w:color w:val="000000" w:themeColor="text1"/>
          <w:sz w:val="16"/>
          <w:szCs w:val="16"/>
        </w:rPr>
        <w:softHyphen/>
        <w:t>лись события в тот злополучный день. На маршруте к цели мотор его самоле</w:t>
      </w:r>
      <w:r w:rsidRPr="00925F26">
        <w:rPr>
          <w:color w:val="000000" w:themeColor="text1"/>
          <w:sz w:val="16"/>
          <w:szCs w:val="16"/>
        </w:rPr>
        <w:softHyphen/>
        <w:t>та стал перегреваться. Принимая все меры для охлаждения мотора, Древаль вышел вместе с группой в район Кот-тбус. На выходе из атаки мотор стал давать сильные перебои, из патрубков показался белый дым, который стал проникать в кабину. Древаль развер</w:t>
      </w:r>
      <w:r w:rsidRPr="00925F26">
        <w:rPr>
          <w:color w:val="000000" w:themeColor="text1"/>
          <w:sz w:val="16"/>
          <w:szCs w:val="16"/>
        </w:rPr>
        <w:softHyphen/>
        <w:t>нул самолет на юго-восток и с высоты 800 м начал планировать на свою тер</w:t>
      </w:r>
      <w:r w:rsidRPr="00925F26">
        <w:rPr>
          <w:color w:val="000000" w:themeColor="text1"/>
          <w:sz w:val="16"/>
          <w:szCs w:val="16"/>
        </w:rPr>
        <w:softHyphen/>
        <w:t>риторию. Когда в кабине появилось пламя, летчик дал команду воздушно</w:t>
      </w:r>
      <w:r w:rsidRPr="00925F26">
        <w:rPr>
          <w:color w:val="000000" w:themeColor="text1"/>
          <w:sz w:val="16"/>
          <w:szCs w:val="16"/>
        </w:rPr>
        <w:softHyphen/>
        <w:t>му стрелку прыгать с парашютом. При</w:t>
      </w:r>
      <w:r w:rsidRPr="00925F26">
        <w:rPr>
          <w:color w:val="000000" w:themeColor="text1"/>
          <w:sz w:val="16"/>
          <w:szCs w:val="16"/>
        </w:rPr>
        <w:softHyphen/>
        <w:t>мерно на высоте 200 м Древаль оста</w:t>
      </w:r>
      <w:r w:rsidRPr="00925F26">
        <w:rPr>
          <w:color w:val="000000" w:themeColor="text1"/>
          <w:sz w:val="16"/>
          <w:szCs w:val="16"/>
        </w:rPr>
        <w:softHyphen/>
        <w:t>вил самолет. Спускаясь на парашюте, наблюдал взрыв самолета при ударе о землю. После приземления потерял сознание. Пришел в себя, когда немец</w:t>
      </w:r>
      <w:r w:rsidRPr="00925F26">
        <w:rPr>
          <w:color w:val="000000" w:themeColor="text1"/>
          <w:sz w:val="16"/>
          <w:szCs w:val="16"/>
        </w:rPr>
        <w:softHyphen/>
        <w:t>кие солдаты-Снимали с него парашют. Затем были плен, побег из плена в ночь с 28 на 29 апреля, счастливая встреча с пехотинцами из 77-й стрелковой дивизии и радостное возвращение в родной полк 1 мая.</w:t>
      </w:r>
    </w:p>
    <w:p w14:paraId="718283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701B3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и 21 апреля 1941 571-м гшап велись воздушные бои велись. Высокая активность вражеских истребителей и зенитной артиллерии объясняется важностью для немецкого командования района Моравска-Остра-ва. Во всех случаях нападение осуще</w:t>
      </w:r>
      <w:r w:rsidRPr="00925F26">
        <w:rPr>
          <w:color w:val="000000" w:themeColor="text1"/>
          <w:sz w:val="16"/>
          <w:szCs w:val="16"/>
        </w:rPr>
        <w:softHyphen/>
        <w:t>ствляли одна-две пары или шесть - де</w:t>
      </w:r>
      <w:r w:rsidRPr="00925F26">
        <w:rPr>
          <w:color w:val="000000" w:themeColor="text1"/>
          <w:sz w:val="16"/>
          <w:szCs w:val="16"/>
        </w:rPr>
        <w:softHyphen/>
        <w:t>вять самолетов, которые пытались про</w:t>
      </w:r>
      <w:r w:rsidRPr="00925F26">
        <w:rPr>
          <w:color w:val="000000" w:themeColor="text1"/>
          <w:sz w:val="16"/>
          <w:szCs w:val="16"/>
        </w:rPr>
        <w:softHyphen/>
        <w:t>вести одну неожиданную, но результа</w:t>
      </w:r>
      <w:r w:rsidRPr="00925F26">
        <w:rPr>
          <w:color w:val="000000" w:themeColor="text1"/>
          <w:sz w:val="16"/>
          <w:szCs w:val="16"/>
        </w:rPr>
        <w:softHyphen/>
        <w:t>тивную атаку, используя для маскировки солнце и облачность. В затяжные бои немецкие пилоты старались не ввязы</w:t>
      </w:r>
      <w:r w:rsidRPr="00925F26">
        <w:rPr>
          <w:color w:val="000000" w:themeColor="text1"/>
          <w:sz w:val="16"/>
          <w:szCs w:val="16"/>
        </w:rPr>
        <w:softHyphen/>
        <w:t>ваться. Авиационные гранаты АГ-2 ни в одном из воздушных боев экипажами штурмовиков не применялись. При появлении истребителей против</w:t>
      </w:r>
      <w:r w:rsidRPr="00925F26">
        <w:rPr>
          <w:color w:val="000000" w:themeColor="text1"/>
          <w:sz w:val="16"/>
          <w:szCs w:val="16"/>
        </w:rPr>
        <w:softHyphen/>
        <w:t>ника Ил-10 становились в оборонитель</w:t>
      </w:r>
      <w:r w:rsidRPr="00925F26">
        <w:rPr>
          <w:color w:val="000000" w:themeColor="text1"/>
          <w:sz w:val="16"/>
          <w:szCs w:val="16"/>
        </w:rPr>
        <w:softHyphen/>
        <w:t>ный круг. Дистанция между самолетами в круге из шести - восьми машин со</w:t>
      </w:r>
      <w:r w:rsidRPr="00925F26">
        <w:rPr>
          <w:color w:val="000000" w:themeColor="text1"/>
          <w:sz w:val="16"/>
          <w:szCs w:val="16"/>
        </w:rPr>
        <w:softHyphen/>
        <w:t>ставляла 200 - 300 м. При попытке ата</w:t>
      </w:r>
      <w:r w:rsidRPr="00925F26">
        <w:rPr>
          <w:color w:val="000000" w:themeColor="text1"/>
          <w:sz w:val="16"/>
          <w:szCs w:val="16"/>
        </w:rPr>
        <w:softHyphen/>
        <w:t>ковать штурмовики, ведомые энергич</w:t>
      </w:r>
      <w:r w:rsidRPr="00925F26">
        <w:rPr>
          <w:color w:val="000000" w:themeColor="text1"/>
          <w:sz w:val="16"/>
          <w:szCs w:val="16"/>
        </w:rPr>
        <w:softHyphen/>
        <w:t>ным отворотом на 30 - 45° в сторону ис</w:t>
      </w:r>
      <w:r w:rsidRPr="00925F26">
        <w:rPr>
          <w:color w:val="000000" w:themeColor="text1"/>
          <w:sz w:val="16"/>
          <w:szCs w:val="16"/>
        </w:rPr>
        <w:softHyphen/>
        <w:t>требителей, отражали атаки и затем легко возвращались на свое место в строю за счет «запаса скорости, манев</w:t>
      </w:r>
      <w:r w:rsidRPr="00925F26">
        <w:rPr>
          <w:color w:val="000000" w:themeColor="text1"/>
          <w:sz w:val="16"/>
          <w:szCs w:val="16"/>
        </w:rPr>
        <w:softHyphen/>
        <w:t>ренности и легкости в управлении». Пилоты Люфтваффе искусно взаимо</w:t>
      </w:r>
      <w:r w:rsidRPr="00925F26">
        <w:rPr>
          <w:color w:val="000000" w:themeColor="text1"/>
          <w:sz w:val="16"/>
          <w:szCs w:val="16"/>
        </w:rPr>
        <w:softHyphen/>
        <w:t>действовали со своими зенитчиками. Как правило, противник огнем зенитной ар</w:t>
      </w:r>
      <w:r w:rsidRPr="00925F26">
        <w:rPr>
          <w:color w:val="000000" w:themeColor="text1"/>
          <w:sz w:val="16"/>
          <w:szCs w:val="16"/>
        </w:rPr>
        <w:softHyphen/>
        <w:t>тиллерии пытался разбить строй группы штурмовиков, чтобы истребители имели возможность атаковать отдельные само</w:t>
      </w:r>
      <w:r w:rsidRPr="00925F26">
        <w:rPr>
          <w:color w:val="000000" w:themeColor="text1"/>
          <w:sz w:val="16"/>
          <w:szCs w:val="16"/>
        </w:rPr>
        <w:softHyphen/>
        <w:t>леты. И наоборот, истребители имитиро</w:t>
      </w:r>
      <w:r w:rsidRPr="00925F26">
        <w:rPr>
          <w:color w:val="000000" w:themeColor="text1"/>
          <w:sz w:val="16"/>
          <w:szCs w:val="16"/>
        </w:rPr>
        <w:softHyphen/>
        <w:t xml:space="preserve">вали атаки </w:t>
      </w:r>
      <w:proofErr w:type="gramStart"/>
      <w:r w:rsidRPr="00925F26">
        <w:rPr>
          <w:color w:val="000000" w:themeColor="text1"/>
          <w:sz w:val="16"/>
          <w:szCs w:val="16"/>
        </w:rPr>
        <w:t>на штурмовики</w:t>
      </w:r>
      <w:proofErr w:type="gramEnd"/>
      <w:r w:rsidRPr="00925F26">
        <w:rPr>
          <w:color w:val="000000" w:themeColor="text1"/>
          <w:sz w:val="16"/>
          <w:szCs w:val="16"/>
        </w:rPr>
        <w:t>, заставляя по</w:t>
      </w:r>
      <w:r w:rsidRPr="00925F26">
        <w:rPr>
          <w:color w:val="000000" w:themeColor="text1"/>
          <w:sz w:val="16"/>
          <w:szCs w:val="16"/>
        </w:rPr>
        <w:softHyphen/>
        <w:t>следних сближаться, что облегчало рас</w:t>
      </w:r>
      <w:r w:rsidRPr="00925F26">
        <w:rPr>
          <w:color w:val="000000" w:themeColor="text1"/>
          <w:sz w:val="16"/>
          <w:szCs w:val="16"/>
        </w:rPr>
        <w:softHyphen/>
        <w:t>четам на земле ведение огня. Фронтовой дебют Ил-10 был доста</w:t>
      </w:r>
      <w:r w:rsidRPr="00925F26">
        <w:rPr>
          <w:color w:val="000000" w:themeColor="text1"/>
          <w:sz w:val="16"/>
          <w:szCs w:val="16"/>
        </w:rPr>
        <w:softHyphen/>
        <w:t>точно успешным. 27 апреля за отличную работу на поле боя в районе Тржебовице и Поруба 571-й шап получил благо</w:t>
      </w:r>
      <w:r w:rsidRPr="00925F26">
        <w:rPr>
          <w:color w:val="000000" w:themeColor="text1"/>
          <w:sz w:val="16"/>
          <w:szCs w:val="16"/>
        </w:rPr>
        <w:softHyphen/>
        <w:t>дарность от командующего 60-й армией генерала П.А. Курочкина (10681).</w:t>
      </w:r>
    </w:p>
    <w:p w14:paraId="575F5F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E89FB2" w14:textId="77777777" w:rsidR="00173F5C" w:rsidRPr="00925F26" w:rsidRDefault="00173F5C" w:rsidP="00925F26">
      <w:pPr>
        <w:jc w:val="both"/>
        <w:rPr>
          <w:color w:val="000000" w:themeColor="text1"/>
          <w:sz w:val="16"/>
          <w:szCs w:val="16"/>
        </w:rPr>
      </w:pPr>
      <w:r w:rsidRPr="00925F26">
        <w:rPr>
          <w:rStyle w:val="107"/>
          <w:rFonts w:eastAsiaTheme="minorHAnsi"/>
          <w:color w:val="000000" w:themeColor="text1"/>
          <w:sz w:val="16"/>
          <w:szCs w:val="16"/>
        </w:rPr>
        <w:t>20 и 21 апреля 1945 Ил-10 571 шап велись велись воздушные бои также. Во всех случаях встречались группы истребителей люфтваффе обычно в составе одной -двух пар или 6-9 самолетов, которые пытались провести одну неожиданную, но результативную атаку, используя для этого солнце и облачность. В затяжные воздушные бои немецкие пилоты старались не ввязываться.</w:t>
      </w:r>
    </w:p>
    <w:p w14:paraId="77430E75" w14:textId="77777777" w:rsidR="00173F5C" w:rsidRPr="00925F26" w:rsidRDefault="00173F5C" w:rsidP="00925F26">
      <w:pPr>
        <w:jc w:val="both"/>
        <w:rPr>
          <w:color w:val="000000" w:themeColor="text1"/>
          <w:sz w:val="16"/>
          <w:szCs w:val="16"/>
        </w:rPr>
      </w:pPr>
      <w:r w:rsidRPr="00925F26">
        <w:rPr>
          <w:rStyle w:val="107"/>
          <w:rFonts w:eastAsiaTheme="minorHAnsi"/>
          <w:color w:val="000000" w:themeColor="text1"/>
          <w:sz w:val="16"/>
          <w:szCs w:val="16"/>
        </w:rPr>
        <w:t>Стоявшие на вооружении Ил-10 авиационные гранаты АГ-2 ни в одном из воздушных боев экипажами не применялись.</w:t>
      </w:r>
    </w:p>
    <w:p w14:paraId="628E9171" w14:textId="77777777" w:rsidR="00173F5C" w:rsidRPr="00925F26" w:rsidRDefault="00173F5C" w:rsidP="00925F26">
      <w:pPr>
        <w:jc w:val="both"/>
        <w:rPr>
          <w:color w:val="000000" w:themeColor="text1"/>
          <w:sz w:val="16"/>
          <w:szCs w:val="16"/>
        </w:rPr>
      </w:pPr>
      <w:r w:rsidRPr="00925F26">
        <w:rPr>
          <w:rStyle w:val="107"/>
          <w:rFonts w:eastAsiaTheme="minorHAnsi"/>
          <w:color w:val="000000" w:themeColor="text1"/>
          <w:sz w:val="16"/>
          <w:szCs w:val="16"/>
        </w:rPr>
        <w:t>Из 54 групп штурмовиков, вылетавших на выполнение боевых задач в течение апреля, 31 группа была обстреляна огнем малокалиберной и среднекалиберной зенитной артиллерии (от 1 до 3 батарей), а 13 групп имели встречи с истребителями противника, из которых 6 вели с ними воздушные бои. При этом, как и прежде, пилоты люфтваффе весьма искусно взаимодействовали со своими зенитчиками. Как правило, противник зенитным огнем пытался «разбить» строй группы штурмовиков с тем, чтобы истребители имели возможность атаковать отдельные самолеты. И наоборот, истребители имитировали атаки на штурмовиков, заставляя последних принимать более компактные строи, что в свою очер едь облегчало зенитным расчетам ведение огня.</w:t>
      </w:r>
    </w:p>
    <w:p w14:paraId="126E99DC" w14:textId="77777777" w:rsidR="00173F5C" w:rsidRPr="00925F26" w:rsidRDefault="00173F5C" w:rsidP="00925F26">
      <w:pPr>
        <w:jc w:val="both"/>
        <w:rPr>
          <w:color w:val="000000" w:themeColor="text1"/>
          <w:sz w:val="16"/>
          <w:szCs w:val="16"/>
        </w:rPr>
      </w:pPr>
      <w:r w:rsidRPr="00925F26">
        <w:rPr>
          <w:rStyle w:val="107"/>
          <w:rFonts w:eastAsiaTheme="minorHAnsi"/>
          <w:color w:val="000000" w:themeColor="text1"/>
          <w:sz w:val="16"/>
          <w:szCs w:val="16"/>
        </w:rPr>
        <w:t>Активность истребителей люфтваффе и зенитной артиллерии объясняется важностью для немецкого командования района Моравска-Острава.</w:t>
      </w:r>
    </w:p>
    <w:p w14:paraId="38113F6D" w14:textId="77777777" w:rsidR="00173F5C" w:rsidRPr="00925F26" w:rsidRDefault="00173F5C"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27 апреля за отличную работу на поле боя в районе Тржебовице, Поруба 571 шап получил благодарность от командующего 60 А генерала П. А. Курочкина (17490).</w:t>
      </w:r>
    </w:p>
    <w:p w14:paraId="08BAFC69" w14:textId="77777777" w:rsidR="00173F5C" w:rsidRPr="00925F26" w:rsidRDefault="00173F5C" w:rsidP="00925F26">
      <w:pPr>
        <w:jc w:val="both"/>
        <w:rPr>
          <w:color w:val="000000" w:themeColor="text1"/>
          <w:sz w:val="16"/>
          <w:szCs w:val="16"/>
        </w:rPr>
      </w:pPr>
    </w:p>
    <w:p w14:paraId="08720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семерка Ил-10 (ведущий - штурман полка м-р Жигарин) нанесла бомбоштурмовой удар по подходящим резервам противника на дорогах Гросскерис-Тройнитц, Эродорф-Топ-хин. Обнаружив большую колонну немецких танков и автомашин, прикрытых зенитной артиллерией, группа стремительной атакой подавила огонь зениток, а затем в 12 заходах подожгла 15 автомашин и один танк (7489).</w:t>
      </w:r>
    </w:p>
    <w:p w14:paraId="1A051AF6" w14:textId="77777777" w:rsidR="00665165" w:rsidRPr="00925F26" w:rsidRDefault="00665165" w:rsidP="00925F26">
      <w:pPr>
        <w:autoSpaceDE w:val="0"/>
        <w:autoSpaceDN w:val="0"/>
        <w:adjustRightInd w:val="0"/>
        <w:jc w:val="both"/>
        <w:rPr>
          <w:color w:val="000000" w:themeColor="text1"/>
          <w:sz w:val="16"/>
          <w:szCs w:val="16"/>
        </w:rPr>
      </w:pPr>
    </w:p>
    <w:p w14:paraId="50E7FC2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впервые за всю войну дальнобойная артиллерия 79-го советского стрелкового корпуса 3-й Ударной армии открыла огонь по столице Германии Берлину (</w:t>
      </w:r>
      <w:proofErr w:type="gramStart"/>
      <w:r w:rsidRPr="00925F26">
        <w:rPr>
          <w:color w:val="000000" w:themeColor="text1"/>
          <w:sz w:val="16"/>
          <w:szCs w:val="16"/>
        </w:rPr>
        <w:t>4963 )</w:t>
      </w:r>
      <w:proofErr w:type="gramEnd"/>
      <w:r w:rsidRPr="00925F26">
        <w:rPr>
          <w:color w:val="000000" w:themeColor="text1"/>
          <w:sz w:val="16"/>
          <w:szCs w:val="16"/>
        </w:rPr>
        <w:t>.</w:t>
      </w:r>
    </w:p>
    <w:p w14:paraId="6EC215A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6C570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3 чехословацкий шап опять действовал в районе Zabrlkov, Kopytov, Novy Bihumin, а также выполнил два разведывательных полета. В одном из этих боев была вынужденная посадка на нейтральной полосе машины N 38, которая теперь демонстрируется в Пражском музее авиации и космонавтики в Кбелы (241,39).</w:t>
      </w:r>
    </w:p>
    <w:p w14:paraId="7F6E27C5" w14:textId="77777777" w:rsidR="00665165" w:rsidRPr="00925F26" w:rsidRDefault="00665165" w:rsidP="00925F26">
      <w:pPr>
        <w:autoSpaceDE w:val="0"/>
        <w:autoSpaceDN w:val="0"/>
        <w:adjustRightInd w:val="0"/>
        <w:jc w:val="both"/>
        <w:rPr>
          <w:color w:val="000000" w:themeColor="text1"/>
          <w:sz w:val="16"/>
          <w:szCs w:val="16"/>
        </w:rPr>
      </w:pPr>
    </w:p>
    <w:p w14:paraId="3FF8A934" w14:textId="77777777" w:rsidR="00DD6117" w:rsidRPr="00925F26" w:rsidRDefault="00DD6117" w:rsidP="00925F26">
      <w:pPr>
        <w:autoSpaceDE w:val="0"/>
        <w:autoSpaceDN w:val="0"/>
        <w:adjustRightInd w:val="0"/>
        <w:jc w:val="both"/>
        <w:rPr>
          <w:color w:val="000000" w:themeColor="text1"/>
          <w:sz w:val="16"/>
          <w:szCs w:val="16"/>
        </w:rPr>
      </w:pPr>
      <w:r w:rsidRPr="00925F26">
        <w:rPr>
          <w:bCs/>
          <w:color w:val="000000" w:themeColor="text1"/>
          <w:sz w:val="16"/>
          <w:szCs w:val="16"/>
        </w:rPr>
        <w:t>20 апреля 1941 наша дальнобойная артиллерия открыла огонь по Берлину, а 21 апреля войска.1-го Белорусского фронта ворвались на окраины Берлина. Сталин распорядился повернуть танковые армии 1-го Украинского фронта также на Берлин. 25 апреля оба фронта сомкнули кольцо окружения вокруг Берлина (17459).</w:t>
      </w:r>
    </w:p>
    <w:p w14:paraId="417FF473" w14:textId="77777777" w:rsidR="00DD6117" w:rsidRPr="00925F26" w:rsidRDefault="00DD6117" w:rsidP="00925F26">
      <w:pPr>
        <w:autoSpaceDE w:val="0"/>
        <w:autoSpaceDN w:val="0"/>
        <w:adjustRightInd w:val="0"/>
        <w:jc w:val="both"/>
        <w:rPr>
          <w:color w:val="000000" w:themeColor="text1"/>
          <w:sz w:val="16"/>
          <w:szCs w:val="16"/>
        </w:rPr>
      </w:pPr>
    </w:p>
    <w:p w14:paraId="64D1C1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20-21 апреля 1945 войска Конева и Жукова вышли на окраины Берлина (2070,234).</w:t>
      </w:r>
    </w:p>
    <w:p w14:paraId="5DF2C6C0" w14:textId="77777777" w:rsidR="00665165" w:rsidRPr="00925F26" w:rsidRDefault="00665165" w:rsidP="00925F26">
      <w:pPr>
        <w:autoSpaceDE w:val="0"/>
        <w:autoSpaceDN w:val="0"/>
        <w:adjustRightInd w:val="0"/>
        <w:jc w:val="both"/>
        <w:rPr>
          <w:color w:val="000000" w:themeColor="text1"/>
          <w:sz w:val="16"/>
          <w:szCs w:val="16"/>
        </w:rPr>
      </w:pPr>
    </w:p>
    <w:p w14:paraId="45BF8A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20-21 апреля 1945 30% сил 2ВА участвовало в отражении контрудара Герлицкой группировки из Форст, Гроссе-Цшаксдорф, Кебельн, Мускау. Выполнили 4400 вылетов и уничтожили 50 танков, подавили 10 батарей оказав помощь 1УФ (518,145).</w:t>
      </w:r>
    </w:p>
    <w:p w14:paraId="60379092" w14:textId="77777777" w:rsidR="00665165" w:rsidRPr="00925F26" w:rsidRDefault="00665165" w:rsidP="00925F26">
      <w:pPr>
        <w:autoSpaceDE w:val="0"/>
        <w:autoSpaceDN w:val="0"/>
        <w:adjustRightInd w:val="0"/>
        <w:jc w:val="both"/>
        <w:rPr>
          <w:color w:val="000000" w:themeColor="text1"/>
          <w:sz w:val="16"/>
          <w:szCs w:val="16"/>
        </w:rPr>
      </w:pPr>
    </w:p>
    <w:p w14:paraId="4EB21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20-х числах апреля 1945 л штурмовику Ил-2 1ВА М.Г.Гарееву в один день вручили 2 золотых звезды ГСС и ОЛ. Его стрелок А.Кирьянов имел 3 Ославы и был полным кавалером. Вместе участвовали в Параде победы (455,168).</w:t>
      </w:r>
    </w:p>
    <w:p w14:paraId="205DBFA5" w14:textId="77777777" w:rsidR="00665165" w:rsidRPr="00925F26" w:rsidRDefault="00665165" w:rsidP="00925F26">
      <w:pPr>
        <w:autoSpaceDE w:val="0"/>
        <w:autoSpaceDN w:val="0"/>
        <w:adjustRightInd w:val="0"/>
        <w:jc w:val="both"/>
        <w:rPr>
          <w:color w:val="000000" w:themeColor="text1"/>
          <w:sz w:val="16"/>
          <w:szCs w:val="16"/>
        </w:rPr>
      </w:pPr>
    </w:p>
    <w:p w14:paraId="478DD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April 21 1945 Soviets reach Berlin (1050).</w:t>
      </w:r>
    </w:p>
    <w:p w14:paraId="27BABC73" w14:textId="77777777" w:rsidR="00665165" w:rsidRPr="00925F26" w:rsidRDefault="00665165" w:rsidP="00925F26">
      <w:pPr>
        <w:autoSpaceDE w:val="0"/>
        <w:autoSpaceDN w:val="0"/>
        <w:adjustRightInd w:val="0"/>
        <w:jc w:val="both"/>
        <w:rPr>
          <w:color w:val="000000" w:themeColor="text1"/>
          <w:sz w:val="16"/>
          <w:szCs w:val="16"/>
        </w:rPr>
      </w:pPr>
    </w:p>
    <w:p w14:paraId="41DC45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в ночь на 21 апреля 1945 по сообщению Совинформбюро АДД бомбила Берлин, вызвав 50 пожаров (438,989).</w:t>
      </w:r>
    </w:p>
    <w:p w14:paraId="3A750BCB" w14:textId="77777777" w:rsidR="00665165" w:rsidRPr="00925F26" w:rsidRDefault="00665165" w:rsidP="00925F26">
      <w:pPr>
        <w:autoSpaceDE w:val="0"/>
        <w:autoSpaceDN w:val="0"/>
        <w:adjustRightInd w:val="0"/>
        <w:jc w:val="both"/>
        <w:rPr>
          <w:color w:val="000000" w:themeColor="text1"/>
          <w:sz w:val="16"/>
          <w:szCs w:val="16"/>
        </w:rPr>
      </w:pPr>
    </w:p>
    <w:p w14:paraId="37523646"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20th, 1945: From its Oder bridgeheads S of Stettin, the Soviet 2nd Belorussian Front (Rokossovsky) launches an offensive toward Neubrandenburg, Stralsund and Rostock, while Soviet heavy artillery begins a continuous bombardment of Berlin. But the cost of victory is high: In the battle for Berlin, Soviet tank losses between April 1 and 19 amount to 2,807. During the same period, the Allies in the West lose 1,079 tanks (3819).</w:t>
      </w:r>
    </w:p>
    <w:p w14:paraId="67F8F8DD" w14:textId="77777777" w:rsidR="00665165" w:rsidRPr="00925F26" w:rsidRDefault="00665165" w:rsidP="00925F26">
      <w:pPr>
        <w:autoSpaceDE w:val="0"/>
        <w:autoSpaceDN w:val="0"/>
        <w:adjustRightInd w:val="0"/>
        <w:jc w:val="both"/>
        <w:rPr>
          <w:color w:val="000000" w:themeColor="text1"/>
          <w:sz w:val="16"/>
          <w:szCs w:val="16"/>
          <w:lang w:val="en-US"/>
        </w:rPr>
      </w:pPr>
    </w:p>
    <w:p w14:paraId="557023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2БФ (Рокосовский) с плацдарма на Одере на юг от Штецина начал наступление на Нойбранденбург, Штральзунд и Росток. Артиллерия КА начала обстрел Берлина. С 1 по 19 апреля 1945 в битве за Берлин КА потеряла 2807 т, а союзнике на западе - 1079 (3918).</w:t>
      </w:r>
    </w:p>
    <w:p w14:paraId="4A0FEBCD" w14:textId="77777777" w:rsidR="00665165" w:rsidRPr="00925F26" w:rsidRDefault="00665165" w:rsidP="00925F26">
      <w:pPr>
        <w:autoSpaceDE w:val="0"/>
        <w:autoSpaceDN w:val="0"/>
        <w:adjustRightInd w:val="0"/>
        <w:jc w:val="both"/>
        <w:rPr>
          <w:color w:val="000000" w:themeColor="text1"/>
          <w:sz w:val="16"/>
          <w:szCs w:val="16"/>
        </w:rPr>
      </w:pPr>
    </w:p>
    <w:p w14:paraId="5FD5F7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вышло Постановление ГКО № 8224 О переводе личного состава ТОФ и Амурской флотилии на довольствие по норме № 2. РГАНИР, Фонд ГКО, д. 404, лл. 27 (11012).</w:t>
      </w:r>
    </w:p>
    <w:p w14:paraId="2E8BB0BE" w14:textId="77777777" w:rsidR="00665165" w:rsidRPr="00925F26" w:rsidRDefault="00665165" w:rsidP="00925F26">
      <w:pPr>
        <w:autoSpaceDE w:val="0"/>
        <w:autoSpaceDN w:val="0"/>
        <w:adjustRightInd w:val="0"/>
        <w:jc w:val="both"/>
        <w:rPr>
          <w:color w:val="000000" w:themeColor="text1"/>
          <w:sz w:val="16"/>
          <w:szCs w:val="16"/>
        </w:rPr>
      </w:pPr>
    </w:p>
    <w:p w14:paraId="4CDB3B0B" w14:textId="0A2F0EC5" w:rsidR="00BA20E6" w:rsidRPr="00925F26" w:rsidRDefault="00BA20E6" w:rsidP="00925F26">
      <w:pPr>
        <w:autoSpaceDE w:val="0"/>
        <w:autoSpaceDN w:val="0"/>
        <w:adjustRightInd w:val="0"/>
        <w:jc w:val="both"/>
        <w:rPr>
          <w:i/>
          <w:iCs/>
          <w:color w:val="000000" w:themeColor="text1"/>
          <w:sz w:val="16"/>
          <w:szCs w:val="16"/>
        </w:rPr>
      </w:pPr>
      <w:r w:rsidRPr="00925F26">
        <w:rPr>
          <w:i/>
          <w:iCs/>
          <w:color w:val="000000" w:themeColor="text1"/>
          <w:sz w:val="16"/>
          <w:szCs w:val="16"/>
        </w:rPr>
        <w:lastRenderedPageBreak/>
        <w:t>Внешняя политика:</w:t>
      </w:r>
    </w:p>
    <w:p w14:paraId="4F292BD6" w14:textId="77777777" w:rsidR="00BA20E6" w:rsidRPr="00925F26" w:rsidRDefault="00BA20E6" w:rsidP="00925F26">
      <w:pPr>
        <w:autoSpaceDE w:val="0"/>
        <w:autoSpaceDN w:val="0"/>
        <w:adjustRightInd w:val="0"/>
        <w:jc w:val="both"/>
        <w:rPr>
          <w:i/>
          <w:iCs/>
          <w:color w:val="000000" w:themeColor="text1"/>
          <w:sz w:val="16"/>
          <w:szCs w:val="16"/>
        </w:rPr>
      </w:pPr>
    </w:p>
    <w:p w14:paraId="4A565CC1" w14:textId="77777777" w:rsidR="00BA20E6" w:rsidRPr="00925F26" w:rsidRDefault="00BA20E6" w:rsidP="00925F26">
      <w:pPr>
        <w:jc w:val="both"/>
        <w:rPr>
          <w:color w:val="000000" w:themeColor="text1"/>
          <w:sz w:val="16"/>
          <w:szCs w:val="16"/>
        </w:rPr>
      </w:pPr>
      <w:r w:rsidRPr="00925F26">
        <w:rPr>
          <w:color w:val="000000" w:themeColor="text1"/>
          <w:sz w:val="16"/>
          <w:szCs w:val="16"/>
        </w:rPr>
        <w:t>20 апреля 1945 г.</w:t>
      </w:r>
    </w:p>
    <w:p w14:paraId="6E313300" w14:textId="77777777" w:rsidR="00BA20E6" w:rsidRPr="00925F26" w:rsidRDefault="00BA20E6" w:rsidP="00925F26">
      <w:pPr>
        <w:jc w:val="both"/>
        <w:rPr>
          <w:color w:val="000000" w:themeColor="text1"/>
          <w:sz w:val="16"/>
          <w:szCs w:val="16"/>
        </w:rPr>
      </w:pPr>
      <w:r w:rsidRPr="00925F26">
        <w:rPr>
          <w:color w:val="000000" w:themeColor="text1"/>
          <w:sz w:val="16"/>
          <w:szCs w:val="16"/>
        </w:rPr>
        <w:t>ДОКЛАДНАЯ ЗАПИСКА НАЧАЛЬНИКА ГЕНЕРАЛЬНОГО ШТАБА КРАСНОЙ АРМИИ НАРОДНОМУ КОМИССАРУ ОБОРОНЫ СССР ОБ ОТПРАВКЕ САМОЛЕТОВ ДЛЯ ВВС БОЛГАРСКОЙ АРМИИ</w:t>
      </w:r>
    </w:p>
    <w:p w14:paraId="707E6D80" w14:textId="77777777" w:rsidR="00BA20E6" w:rsidRPr="00925F26" w:rsidRDefault="00BA20E6" w:rsidP="00925F26">
      <w:pPr>
        <w:jc w:val="both"/>
        <w:rPr>
          <w:color w:val="000000" w:themeColor="text1"/>
          <w:sz w:val="16"/>
          <w:szCs w:val="16"/>
        </w:rPr>
      </w:pPr>
      <w:proofErr w:type="gramStart"/>
      <w:r w:rsidRPr="00925F26">
        <w:rPr>
          <w:color w:val="000000" w:themeColor="text1"/>
          <w:sz w:val="16"/>
          <w:szCs w:val="16"/>
        </w:rPr>
        <w:t>Москва</w:t>
      </w:r>
      <w:proofErr w:type="gramEnd"/>
      <w:r w:rsidRPr="00925F26">
        <w:rPr>
          <w:color w:val="000000" w:themeColor="text1"/>
          <w:sz w:val="16"/>
          <w:szCs w:val="16"/>
        </w:rPr>
        <w:tab/>
        <w:t>Не позднее 20 апреля 1945 г.</w:t>
      </w:r>
    </w:p>
    <w:p w14:paraId="3D3BB3EC" w14:textId="77777777" w:rsidR="00BA20E6" w:rsidRPr="00925F26" w:rsidRDefault="00BA20E6" w:rsidP="00925F26">
      <w:pPr>
        <w:jc w:val="both"/>
        <w:rPr>
          <w:color w:val="000000" w:themeColor="text1"/>
          <w:sz w:val="16"/>
          <w:szCs w:val="16"/>
        </w:rPr>
      </w:pPr>
      <w:r w:rsidRPr="00925F26">
        <w:rPr>
          <w:color w:val="000000" w:themeColor="text1"/>
          <w:sz w:val="16"/>
          <w:szCs w:val="16"/>
        </w:rPr>
        <w:t>Докладываю:</w:t>
      </w:r>
    </w:p>
    <w:p w14:paraId="36723848" w14:textId="77777777" w:rsidR="00BA20E6" w:rsidRPr="00925F26" w:rsidRDefault="00BA20E6" w:rsidP="00925F26">
      <w:pPr>
        <w:jc w:val="both"/>
        <w:rPr>
          <w:color w:val="000000" w:themeColor="text1"/>
          <w:sz w:val="16"/>
          <w:szCs w:val="16"/>
        </w:rPr>
      </w:pPr>
      <w:r w:rsidRPr="00925F26">
        <w:rPr>
          <w:color w:val="000000" w:themeColor="text1"/>
          <w:sz w:val="16"/>
          <w:szCs w:val="16"/>
        </w:rPr>
        <w:t>На основании постановления ГОКО от 13.3.45 г. для ВВС болгарской армии отпускается самолетов:</w:t>
      </w:r>
    </w:p>
    <w:p w14:paraId="56E5E9F0" w14:textId="77777777" w:rsidR="00BA20E6" w:rsidRPr="00925F26" w:rsidRDefault="00BA20E6" w:rsidP="00925F26">
      <w:pPr>
        <w:jc w:val="both"/>
        <w:rPr>
          <w:color w:val="000000" w:themeColor="text1"/>
          <w:sz w:val="16"/>
          <w:szCs w:val="16"/>
        </w:rPr>
      </w:pPr>
      <w:r w:rsidRPr="00925F26">
        <w:rPr>
          <w:color w:val="000000" w:themeColor="text1"/>
          <w:sz w:val="16"/>
          <w:szCs w:val="16"/>
        </w:rPr>
        <w:t>Як-9 с</w:t>
      </w:r>
      <w:r w:rsidRPr="00925F26">
        <w:rPr>
          <w:color w:val="000000" w:themeColor="text1"/>
          <w:sz w:val="16"/>
          <w:szCs w:val="16"/>
        </w:rPr>
        <w:tab/>
        <w:t>мотором</w:t>
      </w:r>
      <w:r w:rsidRPr="00925F26">
        <w:rPr>
          <w:color w:val="000000" w:themeColor="text1"/>
          <w:sz w:val="16"/>
          <w:szCs w:val="16"/>
        </w:rPr>
        <w:tab/>
        <w:t>М-105</w:t>
      </w:r>
      <w:proofErr w:type="gramStart"/>
      <w:r w:rsidRPr="00925F26">
        <w:rPr>
          <w:color w:val="000000" w:themeColor="text1"/>
          <w:sz w:val="16"/>
          <w:szCs w:val="16"/>
        </w:rPr>
        <w:tab/>
        <w:t xml:space="preserve">  120</w:t>
      </w:r>
      <w:proofErr w:type="gramEnd"/>
      <w:r w:rsidRPr="00925F26">
        <w:rPr>
          <w:color w:val="000000" w:themeColor="text1"/>
          <w:sz w:val="16"/>
          <w:szCs w:val="16"/>
        </w:rPr>
        <w:tab/>
        <w:t>штук</w:t>
      </w:r>
    </w:p>
    <w:p w14:paraId="4D4C767A" w14:textId="77777777" w:rsidR="00BA20E6" w:rsidRPr="00925F26" w:rsidRDefault="00BA20E6" w:rsidP="00925F26">
      <w:pPr>
        <w:jc w:val="both"/>
        <w:rPr>
          <w:color w:val="000000" w:themeColor="text1"/>
          <w:sz w:val="16"/>
          <w:szCs w:val="16"/>
        </w:rPr>
      </w:pPr>
      <w:r w:rsidRPr="00925F26">
        <w:rPr>
          <w:color w:val="000000" w:themeColor="text1"/>
          <w:sz w:val="16"/>
          <w:szCs w:val="16"/>
        </w:rPr>
        <w:t>Ил-2..............................120</w:t>
      </w:r>
      <w:r w:rsidRPr="00925F26">
        <w:rPr>
          <w:color w:val="000000" w:themeColor="text1"/>
          <w:sz w:val="16"/>
          <w:szCs w:val="16"/>
        </w:rPr>
        <w:tab/>
        <w:t>»</w:t>
      </w:r>
    </w:p>
    <w:p w14:paraId="0969FB71" w14:textId="77777777" w:rsidR="00BA20E6" w:rsidRPr="00925F26" w:rsidRDefault="00BA20E6" w:rsidP="00925F26">
      <w:pPr>
        <w:jc w:val="both"/>
        <w:rPr>
          <w:color w:val="000000" w:themeColor="text1"/>
          <w:sz w:val="16"/>
          <w:szCs w:val="16"/>
        </w:rPr>
      </w:pPr>
      <w:r w:rsidRPr="00925F26">
        <w:rPr>
          <w:color w:val="000000" w:themeColor="text1"/>
          <w:sz w:val="16"/>
          <w:szCs w:val="16"/>
        </w:rPr>
        <w:t>Пе-2.............................. 96</w:t>
      </w:r>
      <w:r w:rsidRPr="00925F26">
        <w:rPr>
          <w:color w:val="000000" w:themeColor="text1"/>
          <w:sz w:val="16"/>
          <w:szCs w:val="16"/>
        </w:rPr>
        <w:tab/>
        <w:t>»</w:t>
      </w:r>
    </w:p>
    <w:p w14:paraId="41DFDEB7" w14:textId="77777777" w:rsidR="00BA20E6" w:rsidRPr="00925F26" w:rsidRDefault="00BA20E6" w:rsidP="00925F26">
      <w:pPr>
        <w:jc w:val="both"/>
        <w:rPr>
          <w:color w:val="000000" w:themeColor="text1"/>
          <w:sz w:val="16"/>
          <w:szCs w:val="16"/>
        </w:rPr>
      </w:pPr>
      <w:r w:rsidRPr="00925F26">
        <w:rPr>
          <w:color w:val="000000" w:themeColor="text1"/>
          <w:sz w:val="16"/>
          <w:szCs w:val="16"/>
        </w:rPr>
        <w:t>Як-7............................... 3</w:t>
      </w:r>
      <w:r w:rsidRPr="00925F26">
        <w:rPr>
          <w:color w:val="000000" w:themeColor="text1"/>
          <w:sz w:val="16"/>
          <w:szCs w:val="16"/>
        </w:rPr>
        <w:tab/>
        <w:t>»</w:t>
      </w:r>
    </w:p>
    <w:p w14:paraId="446FE2F4" w14:textId="77777777" w:rsidR="00BA20E6" w:rsidRPr="00925F26" w:rsidRDefault="00BA20E6" w:rsidP="00925F26">
      <w:pPr>
        <w:jc w:val="both"/>
        <w:rPr>
          <w:color w:val="000000" w:themeColor="text1"/>
          <w:sz w:val="16"/>
          <w:szCs w:val="16"/>
        </w:rPr>
      </w:pPr>
      <w:r w:rsidRPr="00925F26">
        <w:rPr>
          <w:color w:val="000000" w:themeColor="text1"/>
          <w:sz w:val="16"/>
          <w:szCs w:val="16"/>
        </w:rPr>
        <w:t>Ил-2 с</w:t>
      </w:r>
      <w:r w:rsidRPr="00925F26">
        <w:rPr>
          <w:color w:val="000000" w:themeColor="text1"/>
          <w:sz w:val="16"/>
          <w:szCs w:val="16"/>
        </w:rPr>
        <w:tab/>
        <w:t>двойным</w:t>
      </w:r>
      <w:r w:rsidRPr="00925F26">
        <w:rPr>
          <w:color w:val="000000" w:themeColor="text1"/>
          <w:sz w:val="16"/>
          <w:szCs w:val="16"/>
        </w:rPr>
        <w:tab/>
        <w:t>управлением</w:t>
      </w:r>
      <w:r w:rsidRPr="00925F26">
        <w:rPr>
          <w:color w:val="000000" w:themeColor="text1"/>
          <w:sz w:val="16"/>
          <w:szCs w:val="16"/>
        </w:rPr>
        <w:tab/>
        <w:t>....</w:t>
      </w:r>
      <w:r w:rsidRPr="00925F26">
        <w:rPr>
          <w:color w:val="000000" w:themeColor="text1"/>
          <w:sz w:val="16"/>
          <w:szCs w:val="16"/>
        </w:rPr>
        <w:tab/>
        <w:t>3</w:t>
      </w:r>
      <w:r w:rsidRPr="00925F26">
        <w:rPr>
          <w:color w:val="000000" w:themeColor="text1"/>
          <w:sz w:val="16"/>
          <w:szCs w:val="16"/>
        </w:rPr>
        <w:tab/>
        <w:t>»</w:t>
      </w:r>
    </w:p>
    <w:p w14:paraId="136287A1" w14:textId="77777777" w:rsidR="00BA20E6" w:rsidRPr="00925F26" w:rsidRDefault="00BA20E6" w:rsidP="00925F26">
      <w:pPr>
        <w:jc w:val="both"/>
        <w:rPr>
          <w:color w:val="000000" w:themeColor="text1"/>
          <w:sz w:val="16"/>
          <w:szCs w:val="16"/>
        </w:rPr>
      </w:pPr>
      <w:r w:rsidRPr="00925F26">
        <w:rPr>
          <w:color w:val="000000" w:themeColor="text1"/>
          <w:sz w:val="16"/>
          <w:szCs w:val="16"/>
        </w:rPr>
        <w:t>Пе-4 с</w:t>
      </w:r>
      <w:r w:rsidRPr="00925F26">
        <w:rPr>
          <w:color w:val="000000" w:themeColor="text1"/>
          <w:sz w:val="16"/>
          <w:szCs w:val="16"/>
        </w:rPr>
        <w:tab/>
        <w:t>двойным</w:t>
      </w:r>
      <w:r w:rsidRPr="00925F26">
        <w:rPr>
          <w:color w:val="000000" w:themeColor="text1"/>
          <w:sz w:val="16"/>
          <w:szCs w:val="16"/>
        </w:rPr>
        <w:tab/>
        <w:t>управлением</w:t>
      </w:r>
      <w:r w:rsidRPr="00925F26">
        <w:rPr>
          <w:color w:val="000000" w:themeColor="text1"/>
          <w:sz w:val="16"/>
          <w:szCs w:val="16"/>
        </w:rPr>
        <w:tab/>
        <w:t>....</w:t>
      </w:r>
      <w:r w:rsidRPr="00925F26">
        <w:rPr>
          <w:color w:val="000000" w:themeColor="text1"/>
          <w:sz w:val="16"/>
          <w:szCs w:val="16"/>
        </w:rPr>
        <w:tab/>
        <w:t>2</w:t>
      </w:r>
      <w:r w:rsidRPr="00925F26">
        <w:rPr>
          <w:color w:val="000000" w:themeColor="text1"/>
          <w:sz w:val="16"/>
          <w:szCs w:val="16"/>
        </w:rPr>
        <w:tab/>
        <w:t>»</w:t>
      </w:r>
    </w:p>
    <w:p w14:paraId="45F9EEEC" w14:textId="77777777" w:rsidR="00BA20E6" w:rsidRPr="00925F26" w:rsidRDefault="00BA20E6" w:rsidP="00925F26">
      <w:pPr>
        <w:jc w:val="both"/>
        <w:rPr>
          <w:color w:val="000000" w:themeColor="text1"/>
          <w:sz w:val="16"/>
          <w:szCs w:val="16"/>
        </w:rPr>
      </w:pPr>
      <w:r w:rsidRPr="00925F26">
        <w:rPr>
          <w:color w:val="000000" w:themeColor="text1"/>
          <w:sz w:val="16"/>
          <w:szCs w:val="16"/>
        </w:rPr>
        <w:t>Всего....................... 344 самолета1</w:t>
      </w:r>
    </w:p>
    <w:p w14:paraId="204FBFDC" w14:textId="77777777" w:rsidR="00BA20E6" w:rsidRPr="00925F26" w:rsidRDefault="00BA20E6" w:rsidP="00925F26">
      <w:pPr>
        <w:jc w:val="both"/>
        <w:rPr>
          <w:color w:val="000000" w:themeColor="text1"/>
          <w:sz w:val="16"/>
          <w:szCs w:val="16"/>
        </w:rPr>
      </w:pPr>
      <w:r w:rsidRPr="00925F26">
        <w:rPr>
          <w:color w:val="000000" w:themeColor="text1"/>
          <w:sz w:val="16"/>
          <w:szCs w:val="16"/>
        </w:rPr>
        <w:t>В связи с предстоящей перегонкой этих самолетов в Болгарию болгарское правительство просит отпустить нижепоименованное авиационно-техническое имущество, не оговоренное постановлением ГОКО.</w:t>
      </w:r>
    </w:p>
    <w:p w14:paraId="2E801285" w14:textId="77777777" w:rsidR="00BA20E6" w:rsidRPr="00925F26" w:rsidRDefault="00BA20E6" w:rsidP="00925F26">
      <w:pPr>
        <w:jc w:val="both"/>
        <w:rPr>
          <w:color w:val="000000" w:themeColor="text1"/>
          <w:sz w:val="16"/>
          <w:szCs w:val="16"/>
        </w:rPr>
      </w:pPr>
      <w:r w:rsidRPr="00925F26">
        <w:rPr>
          <w:color w:val="000000" w:themeColor="text1"/>
          <w:sz w:val="16"/>
          <w:szCs w:val="16"/>
        </w:rPr>
        <w:t>1. Авиагорючего Б-78 — 7000 тонн, за счет сокращения на 5000 тонн отпускаемого им горючего Б-70, Б-73, так как это горючее не подходит к моторам, установленным на Як-9, Ил-2 и Пе-2.</w:t>
      </w:r>
    </w:p>
    <w:p w14:paraId="0253499E" w14:textId="77777777" w:rsidR="00BA20E6" w:rsidRPr="00925F26" w:rsidRDefault="00BA20E6" w:rsidP="00925F26">
      <w:pPr>
        <w:jc w:val="both"/>
        <w:rPr>
          <w:color w:val="000000" w:themeColor="text1"/>
          <w:sz w:val="16"/>
          <w:szCs w:val="16"/>
        </w:rPr>
      </w:pPr>
      <w:r w:rsidRPr="00925F26">
        <w:rPr>
          <w:color w:val="000000" w:themeColor="text1"/>
          <w:sz w:val="16"/>
          <w:szCs w:val="16"/>
        </w:rPr>
        <w:t>2. Продукт Р-9 (титро-этиловая жидкость) — 45 тонн для добавления к горючему Б-78.</w:t>
      </w:r>
    </w:p>
    <w:p w14:paraId="503BE8F2" w14:textId="77777777" w:rsidR="00BA20E6" w:rsidRPr="00925F26" w:rsidRDefault="00BA20E6" w:rsidP="00925F26">
      <w:pPr>
        <w:jc w:val="both"/>
        <w:rPr>
          <w:color w:val="000000" w:themeColor="text1"/>
          <w:sz w:val="16"/>
          <w:szCs w:val="16"/>
        </w:rPr>
      </w:pPr>
      <w:r w:rsidRPr="00925F26">
        <w:rPr>
          <w:color w:val="000000" w:themeColor="text1"/>
          <w:sz w:val="16"/>
          <w:szCs w:val="16"/>
        </w:rPr>
        <w:t>3. 4 аэрофотоаппарата на самолеты Пе-2 с установками и два проявительных прибора.</w:t>
      </w:r>
    </w:p>
    <w:p w14:paraId="25646EC0" w14:textId="77777777" w:rsidR="00BA20E6" w:rsidRPr="00925F26" w:rsidRDefault="00BA20E6" w:rsidP="00925F26">
      <w:pPr>
        <w:jc w:val="both"/>
        <w:rPr>
          <w:color w:val="000000" w:themeColor="text1"/>
          <w:sz w:val="16"/>
          <w:szCs w:val="16"/>
        </w:rPr>
      </w:pPr>
      <w:r w:rsidRPr="00925F26">
        <w:rPr>
          <w:color w:val="000000" w:themeColor="text1"/>
          <w:sz w:val="16"/>
          <w:szCs w:val="16"/>
        </w:rPr>
        <w:t>4. Боеприпасов (бомбы, патроны, снаряды) к отпускаемым самолетам Пе-2, Як-9, Ил-2 — 50 боекомплектов.</w:t>
      </w:r>
    </w:p>
    <w:p w14:paraId="18F97646" w14:textId="77777777" w:rsidR="00BA20E6" w:rsidRPr="00925F26" w:rsidRDefault="00BA20E6" w:rsidP="00925F26">
      <w:pPr>
        <w:jc w:val="both"/>
        <w:rPr>
          <w:color w:val="000000" w:themeColor="text1"/>
          <w:sz w:val="16"/>
          <w:szCs w:val="16"/>
        </w:rPr>
      </w:pPr>
      <w:r w:rsidRPr="00925F26">
        <w:rPr>
          <w:color w:val="000000" w:themeColor="text1"/>
          <w:sz w:val="16"/>
          <w:szCs w:val="16"/>
        </w:rPr>
        <w:t>5. Парашютов — 648 штук.</w:t>
      </w:r>
    </w:p>
    <w:p w14:paraId="353B0996" w14:textId="77777777" w:rsidR="00BA20E6" w:rsidRPr="00925F26" w:rsidRDefault="00BA20E6" w:rsidP="00925F26">
      <w:pPr>
        <w:jc w:val="both"/>
        <w:rPr>
          <w:color w:val="000000" w:themeColor="text1"/>
          <w:sz w:val="16"/>
          <w:szCs w:val="16"/>
        </w:rPr>
      </w:pPr>
      <w:r w:rsidRPr="00925F26">
        <w:rPr>
          <w:color w:val="000000" w:themeColor="text1"/>
          <w:sz w:val="16"/>
          <w:szCs w:val="16"/>
        </w:rPr>
        <w:t>6. Шлемофонов — 648 штук.</w:t>
      </w:r>
    </w:p>
    <w:p w14:paraId="34EB9523" w14:textId="77777777" w:rsidR="00BA20E6" w:rsidRPr="00925F26" w:rsidRDefault="00BA20E6" w:rsidP="00925F26">
      <w:pPr>
        <w:jc w:val="both"/>
        <w:rPr>
          <w:color w:val="000000" w:themeColor="text1"/>
          <w:sz w:val="16"/>
          <w:szCs w:val="16"/>
        </w:rPr>
      </w:pPr>
      <w:r w:rsidRPr="00925F26">
        <w:rPr>
          <w:color w:val="000000" w:themeColor="text1"/>
          <w:sz w:val="16"/>
          <w:szCs w:val="16"/>
        </w:rPr>
        <w:t>7. Для помощи в освоении передаваемых самолетов болгары просят направить к ним:</w:t>
      </w:r>
    </w:p>
    <w:p w14:paraId="4CC52ACB" w14:textId="77777777" w:rsidR="00BA20E6" w:rsidRPr="00925F26" w:rsidRDefault="00BA20E6" w:rsidP="00925F26">
      <w:pPr>
        <w:jc w:val="both"/>
        <w:rPr>
          <w:color w:val="000000" w:themeColor="text1"/>
          <w:sz w:val="16"/>
          <w:szCs w:val="16"/>
        </w:rPr>
      </w:pPr>
      <w:r w:rsidRPr="00925F26">
        <w:rPr>
          <w:color w:val="000000" w:themeColor="text1"/>
          <w:sz w:val="16"/>
          <w:szCs w:val="16"/>
        </w:rPr>
        <w:t xml:space="preserve">инструкторов-летчиков (по типам </w:t>
      </w:r>
      <w:proofErr w:type="gramStart"/>
      <w:r w:rsidRPr="00925F26">
        <w:rPr>
          <w:color w:val="000000" w:themeColor="text1"/>
          <w:sz w:val="16"/>
          <w:szCs w:val="16"/>
        </w:rPr>
        <w:t>самолетов).................</w:t>
      </w:r>
      <w:proofErr w:type="gramEnd"/>
      <w:r w:rsidRPr="00925F26">
        <w:rPr>
          <w:color w:val="000000" w:themeColor="text1"/>
          <w:sz w:val="16"/>
          <w:szCs w:val="16"/>
        </w:rPr>
        <w:t>3</w:t>
      </w:r>
    </w:p>
    <w:p w14:paraId="430787BC" w14:textId="77777777" w:rsidR="00BA20E6" w:rsidRPr="00925F26" w:rsidRDefault="00BA20E6" w:rsidP="00925F26">
      <w:pPr>
        <w:jc w:val="both"/>
        <w:rPr>
          <w:color w:val="000000" w:themeColor="text1"/>
          <w:sz w:val="16"/>
          <w:szCs w:val="16"/>
        </w:rPr>
      </w:pPr>
      <w:r w:rsidRPr="00925F26">
        <w:rPr>
          <w:color w:val="000000" w:themeColor="text1"/>
          <w:sz w:val="16"/>
          <w:szCs w:val="16"/>
        </w:rPr>
        <w:t>инструкторов-штурманов................ 1</w:t>
      </w:r>
    </w:p>
    <w:p w14:paraId="12EF16E9" w14:textId="77777777" w:rsidR="00BA20E6" w:rsidRPr="00925F26" w:rsidRDefault="00BA20E6" w:rsidP="00925F26">
      <w:pPr>
        <w:jc w:val="both"/>
        <w:rPr>
          <w:color w:val="000000" w:themeColor="text1"/>
          <w:sz w:val="16"/>
          <w:szCs w:val="16"/>
        </w:rPr>
      </w:pPr>
      <w:r w:rsidRPr="00925F26">
        <w:rPr>
          <w:color w:val="000000" w:themeColor="text1"/>
          <w:sz w:val="16"/>
          <w:szCs w:val="16"/>
        </w:rPr>
        <w:t>инженеров..............................3</w:t>
      </w:r>
    </w:p>
    <w:p w14:paraId="794E936D" w14:textId="77777777" w:rsidR="00BA20E6" w:rsidRPr="00925F26" w:rsidRDefault="00BA20E6" w:rsidP="00925F26">
      <w:pPr>
        <w:jc w:val="both"/>
        <w:rPr>
          <w:color w:val="000000" w:themeColor="text1"/>
          <w:sz w:val="16"/>
          <w:szCs w:val="16"/>
        </w:rPr>
      </w:pPr>
      <w:r w:rsidRPr="00925F26">
        <w:rPr>
          <w:color w:val="000000" w:themeColor="text1"/>
          <w:sz w:val="16"/>
          <w:szCs w:val="16"/>
        </w:rPr>
        <w:t>авиатехников ......................... 9</w:t>
      </w:r>
    </w:p>
    <w:p w14:paraId="567AB1EF" w14:textId="77777777" w:rsidR="00BA20E6" w:rsidRPr="00925F26" w:rsidRDefault="00BA20E6" w:rsidP="00925F26">
      <w:pPr>
        <w:jc w:val="both"/>
        <w:rPr>
          <w:color w:val="000000" w:themeColor="text1"/>
          <w:sz w:val="16"/>
          <w:szCs w:val="16"/>
        </w:rPr>
      </w:pPr>
      <w:r w:rsidRPr="00925F26">
        <w:rPr>
          <w:color w:val="000000" w:themeColor="text1"/>
          <w:sz w:val="16"/>
          <w:szCs w:val="16"/>
        </w:rPr>
        <w:t>инженеров по спецоборудованию . . .</w:t>
      </w:r>
      <w:r w:rsidRPr="00925F26">
        <w:rPr>
          <w:color w:val="000000" w:themeColor="text1"/>
          <w:sz w:val="16"/>
          <w:szCs w:val="16"/>
        </w:rPr>
        <w:tab/>
        <w:t>1</w:t>
      </w:r>
    </w:p>
    <w:p w14:paraId="3C09090C" w14:textId="77777777" w:rsidR="00BA20E6" w:rsidRPr="00925F26" w:rsidRDefault="00BA20E6" w:rsidP="00925F26">
      <w:pPr>
        <w:jc w:val="both"/>
        <w:rPr>
          <w:color w:val="000000" w:themeColor="text1"/>
          <w:sz w:val="16"/>
          <w:szCs w:val="16"/>
        </w:rPr>
      </w:pPr>
      <w:r w:rsidRPr="00925F26">
        <w:rPr>
          <w:color w:val="000000" w:themeColor="text1"/>
          <w:sz w:val="16"/>
          <w:szCs w:val="16"/>
        </w:rPr>
        <w:t>инженеров по вооружению................3</w:t>
      </w:r>
    </w:p>
    <w:p w14:paraId="41ACE86D" w14:textId="77777777" w:rsidR="00BA20E6" w:rsidRPr="00925F26" w:rsidRDefault="00BA20E6" w:rsidP="00925F26">
      <w:pPr>
        <w:jc w:val="both"/>
        <w:rPr>
          <w:color w:val="000000" w:themeColor="text1"/>
          <w:sz w:val="16"/>
          <w:szCs w:val="16"/>
        </w:rPr>
      </w:pPr>
      <w:r w:rsidRPr="00925F26">
        <w:rPr>
          <w:color w:val="000000" w:themeColor="text1"/>
          <w:sz w:val="16"/>
          <w:szCs w:val="16"/>
        </w:rPr>
        <w:t>техников по приборам ................. 3</w:t>
      </w:r>
    </w:p>
    <w:p w14:paraId="215D79FD" w14:textId="77777777" w:rsidR="00BA20E6" w:rsidRPr="00925F26" w:rsidRDefault="00BA20E6" w:rsidP="00925F26">
      <w:pPr>
        <w:jc w:val="both"/>
        <w:rPr>
          <w:color w:val="000000" w:themeColor="text1"/>
          <w:sz w:val="16"/>
          <w:szCs w:val="16"/>
        </w:rPr>
      </w:pPr>
      <w:r w:rsidRPr="00925F26">
        <w:rPr>
          <w:color w:val="000000" w:themeColor="text1"/>
          <w:sz w:val="16"/>
          <w:szCs w:val="16"/>
        </w:rPr>
        <w:t>Всего.23 человека, а также несекретную литературу по тактике ВВС, наставления по штурмовой, бомбардировочной и истребительной авиации и журнал «Вестник Воздушного Флота» за 1943—1944 гг.</w:t>
      </w:r>
    </w:p>
    <w:p w14:paraId="1A1D90F7" w14:textId="77777777" w:rsidR="00BA20E6" w:rsidRPr="00925F26" w:rsidRDefault="00BA20E6" w:rsidP="00925F26">
      <w:pPr>
        <w:jc w:val="both"/>
        <w:rPr>
          <w:color w:val="000000" w:themeColor="text1"/>
          <w:sz w:val="16"/>
          <w:szCs w:val="16"/>
        </w:rPr>
      </w:pPr>
      <w:r w:rsidRPr="00925F26">
        <w:rPr>
          <w:color w:val="000000" w:themeColor="text1"/>
          <w:sz w:val="16"/>
          <w:szCs w:val="16"/>
        </w:rPr>
        <w:t>Прошу Ваших указаний.</w:t>
      </w:r>
    </w:p>
    <w:p w14:paraId="7B4F1417" w14:textId="77777777" w:rsidR="00BA20E6" w:rsidRPr="00925F26" w:rsidRDefault="00BA20E6" w:rsidP="00925F26">
      <w:pPr>
        <w:jc w:val="both"/>
        <w:rPr>
          <w:color w:val="000000" w:themeColor="text1"/>
          <w:sz w:val="16"/>
          <w:szCs w:val="16"/>
        </w:rPr>
      </w:pPr>
      <w:r w:rsidRPr="00925F26">
        <w:rPr>
          <w:color w:val="000000" w:themeColor="text1"/>
          <w:sz w:val="16"/>
          <w:szCs w:val="16"/>
        </w:rPr>
        <w:t>Начальник Генерального штаба Красной Армии генерал армии Антонов</w:t>
      </w:r>
    </w:p>
    <w:p w14:paraId="23C2B7AF" w14:textId="77777777" w:rsidR="00BA20E6" w:rsidRPr="00925F26" w:rsidRDefault="00BA20E6" w:rsidP="00925F26">
      <w:pPr>
        <w:jc w:val="both"/>
        <w:rPr>
          <w:color w:val="000000" w:themeColor="text1"/>
          <w:sz w:val="16"/>
          <w:szCs w:val="16"/>
        </w:rPr>
      </w:pPr>
      <w:r w:rsidRPr="00925F26">
        <w:rPr>
          <w:color w:val="000000" w:themeColor="text1"/>
          <w:sz w:val="16"/>
          <w:szCs w:val="16"/>
        </w:rPr>
        <w:t>Печ. по архиву.</w:t>
      </w:r>
    </w:p>
    <w:p w14:paraId="000D7BD6" w14:textId="77777777" w:rsidR="00BA20E6" w:rsidRPr="00925F26" w:rsidRDefault="00BA20E6" w:rsidP="00925F26">
      <w:pPr>
        <w:jc w:val="both"/>
        <w:rPr>
          <w:color w:val="000000" w:themeColor="text1"/>
          <w:sz w:val="16"/>
          <w:szCs w:val="16"/>
        </w:rPr>
      </w:pPr>
      <w:r w:rsidRPr="00925F26">
        <w:rPr>
          <w:color w:val="000000" w:themeColor="text1"/>
          <w:sz w:val="16"/>
          <w:szCs w:val="16"/>
        </w:rPr>
        <w:t>На документе имеется пометка: «Самолеты с комплектами запасных</w:t>
      </w:r>
    </w:p>
    <w:p w14:paraId="20546A41" w14:textId="77777777" w:rsidR="00BA20E6" w:rsidRPr="00925F26" w:rsidRDefault="00BA20E6" w:rsidP="00925F26">
      <w:pPr>
        <w:jc w:val="both"/>
        <w:rPr>
          <w:color w:val="000000" w:themeColor="text1"/>
          <w:sz w:val="16"/>
          <w:szCs w:val="16"/>
        </w:rPr>
      </w:pPr>
      <w:r w:rsidRPr="00925F26">
        <w:rPr>
          <w:color w:val="000000" w:themeColor="text1"/>
          <w:sz w:val="16"/>
          <w:szCs w:val="16"/>
        </w:rPr>
        <w:t>частей переданы Болгарии 19.11.45 г.».</w:t>
      </w:r>
    </w:p>
    <w:p w14:paraId="617D0B37" w14:textId="77777777" w:rsidR="00BA20E6" w:rsidRPr="00925F26" w:rsidRDefault="00BA20E6" w:rsidP="00925F26">
      <w:pPr>
        <w:jc w:val="both"/>
        <w:rPr>
          <w:color w:val="000000" w:themeColor="text1"/>
          <w:sz w:val="16"/>
          <w:szCs w:val="16"/>
        </w:rPr>
      </w:pPr>
      <w:r w:rsidRPr="00925F26">
        <w:rPr>
          <w:color w:val="000000" w:themeColor="text1"/>
          <w:sz w:val="16"/>
          <w:szCs w:val="16"/>
        </w:rPr>
        <w:t>Решением Советского правительства в болгарскую Народную армию было направлено 23 авиаспециалиста сроком на два месяца (20593).</w:t>
      </w:r>
    </w:p>
    <w:p w14:paraId="15242F06" w14:textId="77777777" w:rsidR="00BA20E6" w:rsidRPr="00925F26" w:rsidRDefault="00BA20E6" w:rsidP="00925F26">
      <w:pPr>
        <w:jc w:val="both"/>
        <w:rPr>
          <w:color w:val="000000" w:themeColor="text1"/>
          <w:sz w:val="16"/>
          <w:szCs w:val="16"/>
        </w:rPr>
      </w:pPr>
    </w:p>
    <w:p w14:paraId="40083D65" w14:textId="1174F6B5"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7281367" w14:textId="77777777" w:rsidR="00665165" w:rsidRPr="00925F26" w:rsidRDefault="00665165" w:rsidP="00925F26">
      <w:pPr>
        <w:autoSpaceDE w:val="0"/>
        <w:autoSpaceDN w:val="0"/>
        <w:adjustRightInd w:val="0"/>
        <w:jc w:val="both"/>
        <w:rPr>
          <w:iCs/>
          <w:color w:val="000000" w:themeColor="text1"/>
          <w:sz w:val="16"/>
          <w:szCs w:val="16"/>
        </w:rPr>
      </w:pPr>
    </w:p>
    <w:p w14:paraId="777D035F" w14:textId="77777777" w:rsidR="00DE38A8" w:rsidRPr="00925F26" w:rsidRDefault="00DE38A8" w:rsidP="00925F26">
      <w:pPr>
        <w:jc w:val="both"/>
        <w:rPr>
          <w:color w:val="000000" w:themeColor="text1"/>
          <w:sz w:val="16"/>
          <w:szCs w:val="16"/>
        </w:rPr>
      </w:pPr>
      <w:r w:rsidRPr="00925F26">
        <w:rPr>
          <w:color w:val="000000" w:themeColor="text1"/>
          <w:sz w:val="16"/>
          <w:szCs w:val="16"/>
        </w:rPr>
        <w:t>20 апреля в 1945 году поднялся в воздух первый серийный истребитель «D.H.100» «Vampire» (разработчик: «de Havilland», Великобритания) (15105).</w:t>
      </w:r>
    </w:p>
    <w:p w14:paraId="11F7531E" w14:textId="77777777" w:rsidR="00DE38A8" w:rsidRPr="00925F26" w:rsidRDefault="00DE38A8" w:rsidP="00925F26">
      <w:pPr>
        <w:jc w:val="both"/>
        <w:rPr>
          <w:color w:val="000000" w:themeColor="text1"/>
          <w:sz w:val="16"/>
          <w:szCs w:val="16"/>
        </w:rPr>
      </w:pPr>
    </w:p>
    <w:p w14:paraId="432A708C" w14:textId="4CD08F78" w:rsidR="00BA20E6" w:rsidRPr="00925F26" w:rsidRDefault="00BA20E6" w:rsidP="00925F26">
      <w:pPr>
        <w:jc w:val="both"/>
        <w:rPr>
          <w:color w:val="000000" w:themeColor="text1"/>
          <w:sz w:val="16"/>
          <w:szCs w:val="16"/>
        </w:rPr>
      </w:pPr>
      <w:r w:rsidRPr="00925F26">
        <w:rPr>
          <w:color w:val="000000" w:themeColor="text1"/>
          <w:sz w:val="16"/>
          <w:szCs w:val="16"/>
        </w:rPr>
        <w:t xml:space="preserve">20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Поднялся в воздух первый серийный истребитель D.H.100 Vampire F.1 (TG274/</w:t>
      </w:r>
      <w:proofErr w:type="gramStart"/>
      <w:r w:rsidRPr="00925F26">
        <w:rPr>
          <w:color w:val="000000" w:themeColor="text1"/>
          <w:sz w:val="16"/>
          <w:szCs w:val="16"/>
        </w:rPr>
        <w:t>G)</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de Havilland, Великобритания) (22529).</w:t>
      </w:r>
    </w:p>
    <w:p w14:paraId="4E2C878C" w14:textId="77777777" w:rsidR="00BA20E6" w:rsidRPr="00925F26" w:rsidRDefault="00BA20E6" w:rsidP="00925F26">
      <w:pPr>
        <w:jc w:val="both"/>
        <w:rPr>
          <w:color w:val="000000" w:themeColor="text1"/>
          <w:sz w:val="16"/>
          <w:szCs w:val="16"/>
        </w:rPr>
      </w:pPr>
    </w:p>
    <w:p w14:paraId="583C664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американские войска взяли Нюрнберг (4962).</w:t>
      </w:r>
    </w:p>
    <w:p w14:paraId="202BF34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21BE7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апреля 1945 французские войска взяли Штутгарт (4962).</w:t>
      </w:r>
    </w:p>
    <w:p w14:paraId="1693DD5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19F9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американцы в день рождения А.Гитлера последний раз бомбили Берлин (3445).</w:t>
      </w:r>
    </w:p>
    <w:p w14:paraId="22D226CA" w14:textId="77777777" w:rsidR="00665165" w:rsidRPr="00925F26" w:rsidRDefault="00665165" w:rsidP="00925F26">
      <w:pPr>
        <w:autoSpaceDE w:val="0"/>
        <w:autoSpaceDN w:val="0"/>
        <w:adjustRightInd w:val="0"/>
        <w:jc w:val="both"/>
        <w:rPr>
          <w:color w:val="000000" w:themeColor="text1"/>
          <w:sz w:val="16"/>
          <w:szCs w:val="16"/>
        </w:rPr>
      </w:pPr>
    </w:p>
    <w:p w14:paraId="7326DD2F" w14:textId="77777777" w:rsidR="00DE38A8" w:rsidRPr="00925F26" w:rsidRDefault="00DE38A8" w:rsidP="00925F26">
      <w:pPr>
        <w:jc w:val="both"/>
        <w:rPr>
          <w:color w:val="000000" w:themeColor="text1"/>
          <w:sz w:val="16"/>
          <w:szCs w:val="16"/>
        </w:rPr>
      </w:pPr>
      <w:r w:rsidRPr="00925F26">
        <w:rPr>
          <w:color w:val="000000" w:themeColor="text1"/>
          <w:sz w:val="16"/>
          <w:szCs w:val="16"/>
        </w:rPr>
        <w:t>20 апреля в 1945 году Генрих Гиммлер и Герман Геринг покинули Берлин. Герман Геринг обосновался в Оберзальцберге (15105).</w:t>
      </w:r>
    </w:p>
    <w:p w14:paraId="3500510E" w14:textId="77777777" w:rsidR="00DE38A8" w:rsidRPr="00925F26" w:rsidRDefault="00DE38A8" w:rsidP="00925F26">
      <w:pPr>
        <w:jc w:val="both"/>
        <w:rPr>
          <w:color w:val="000000" w:themeColor="text1"/>
          <w:sz w:val="16"/>
          <w:szCs w:val="16"/>
        </w:rPr>
      </w:pPr>
    </w:p>
    <w:p w14:paraId="68325F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 состоялась последняя операция англо-итальянских человекоуправляемых торпед и потопили недостроеннный авианосец Аквилла (3961, 66).</w:t>
      </w:r>
    </w:p>
    <w:p w14:paraId="6F745A52" w14:textId="77777777" w:rsidR="00665165" w:rsidRPr="00925F26" w:rsidRDefault="00665165" w:rsidP="00925F26">
      <w:pPr>
        <w:autoSpaceDE w:val="0"/>
        <w:autoSpaceDN w:val="0"/>
        <w:adjustRightInd w:val="0"/>
        <w:jc w:val="both"/>
        <w:rPr>
          <w:color w:val="000000" w:themeColor="text1"/>
          <w:sz w:val="16"/>
          <w:szCs w:val="16"/>
        </w:rPr>
      </w:pPr>
    </w:p>
    <w:p w14:paraId="51E3F0E8" w14:textId="77777777" w:rsidR="00BA20E6" w:rsidRPr="00925F26" w:rsidRDefault="00BA20E6" w:rsidP="00925F26">
      <w:pPr>
        <w:jc w:val="both"/>
        <w:rPr>
          <w:color w:val="000000" w:themeColor="text1"/>
          <w:sz w:val="16"/>
          <w:szCs w:val="16"/>
        </w:rPr>
      </w:pPr>
      <w:r w:rsidRPr="00925F26">
        <w:rPr>
          <w:color w:val="000000" w:themeColor="text1"/>
          <w:sz w:val="16"/>
          <w:szCs w:val="16"/>
        </w:rPr>
        <w:t>20 апреля 1945 авианосцы Британского Тихоокеанского флота наносят удары по Сакисима Гунто (20371).</w:t>
      </w:r>
    </w:p>
    <w:p w14:paraId="309DC761" w14:textId="77777777" w:rsidR="00BA20E6" w:rsidRPr="00925F26" w:rsidRDefault="00BA20E6" w:rsidP="00925F26">
      <w:pPr>
        <w:jc w:val="both"/>
        <w:rPr>
          <w:color w:val="000000" w:themeColor="text1"/>
          <w:sz w:val="16"/>
          <w:szCs w:val="16"/>
        </w:rPr>
      </w:pPr>
    </w:p>
    <w:p w14:paraId="2FF69893" w14:textId="77777777" w:rsidR="00BA20E6" w:rsidRPr="00925F26" w:rsidRDefault="00BA20E6" w:rsidP="00925F26">
      <w:pPr>
        <w:jc w:val="both"/>
        <w:rPr>
          <w:color w:val="000000" w:themeColor="text1"/>
          <w:sz w:val="16"/>
          <w:szCs w:val="16"/>
        </w:rPr>
      </w:pPr>
      <w:r w:rsidRPr="00925F26">
        <w:rPr>
          <w:color w:val="000000" w:themeColor="text1"/>
          <w:sz w:val="16"/>
          <w:szCs w:val="16"/>
        </w:rPr>
        <w:t>20 апреля 1945 Swordfish с торгового авианосца (или «MAC-корабль») MV Empire MacAndrew сбросил две глубинные бомбы на п/л на перископной глубине в последней атаке на подводнцю лодку. Во время Второй мировой войны ни одна подводная лодка не совершила успешной атаки на конвой с кораблем MAC в составе. Самолеты корабля MAC атаковали 12 немецких подводных лодок; хотя они никогда не топили ни одной, их действия оказались очень эффективными при защите конвоев (20371).</w:t>
      </w:r>
    </w:p>
    <w:p w14:paraId="22480C0E" w14:textId="77777777" w:rsidR="00BA20E6" w:rsidRPr="00925F26" w:rsidRDefault="00BA20E6" w:rsidP="00925F26">
      <w:pPr>
        <w:jc w:val="both"/>
        <w:rPr>
          <w:color w:val="000000" w:themeColor="text1"/>
          <w:sz w:val="16"/>
          <w:szCs w:val="16"/>
        </w:rPr>
      </w:pPr>
    </w:p>
    <w:p w14:paraId="5DB9E044" w14:textId="77777777" w:rsidR="00DE38A8" w:rsidRPr="00925F26" w:rsidRDefault="00DE38A8" w:rsidP="00925F26">
      <w:pPr>
        <w:jc w:val="both"/>
        <w:rPr>
          <w:color w:val="000000" w:themeColor="text1"/>
          <w:sz w:val="16"/>
          <w:szCs w:val="16"/>
        </w:rPr>
      </w:pPr>
      <w:r w:rsidRPr="00925F26">
        <w:rPr>
          <w:color w:val="000000" w:themeColor="text1"/>
          <w:sz w:val="16"/>
          <w:szCs w:val="16"/>
        </w:rPr>
        <w:t>20 апреля в 1945 году в Японии Высший совет по руководству войной принял «Общие принципы мероприятий в случае капитуляции Германии» (15105).</w:t>
      </w:r>
    </w:p>
    <w:p w14:paraId="3EDD80DF" w14:textId="77777777" w:rsidR="00DE38A8" w:rsidRPr="00925F26" w:rsidRDefault="00DE38A8" w:rsidP="00925F26">
      <w:pPr>
        <w:jc w:val="both"/>
        <w:rPr>
          <w:color w:val="000000" w:themeColor="text1"/>
          <w:sz w:val="16"/>
          <w:szCs w:val="16"/>
        </w:rPr>
      </w:pPr>
    </w:p>
    <w:p w14:paraId="52A5C1A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C02166E" w14:textId="77777777" w:rsidR="00665165" w:rsidRPr="00925F26" w:rsidRDefault="00665165" w:rsidP="00925F26">
      <w:pPr>
        <w:autoSpaceDE w:val="0"/>
        <w:autoSpaceDN w:val="0"/>
        <w:adjustRightInd w:val="0"/>
        <w:jc w:val="both"/>
        <w:rPr>
          <w:iCs/>
          <w:color w:val="000000" w:themeColor="text1"/>
          <w:sz w:val="16"/>
          <w:szCs w:val="16"/>
        </w:rPr>
      </w:pPr>
    </w:p>
    <w:p w14:paraId="372344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21 апреля 1945 г заместителем командующего ВВС КА маршалом Ф.Я.Фалалеевым были утверждены Технические требования к </w:t>
      </w:r>
      <w:proofErr w:type="gramStart"/>
      <w:r w:rsidRPr="00925F26">
        <w:rPr>
          <w:color w:val="000000" w:themeColor="text1"/>
          <w:sz w:val="16"/>
          <w:szCs w:val="16"/>
        </w:rPr>
        <w:t>самолету</w:t>
      </w:r>
      <w:proofErr w:type="gramEnd"/>
      <w:r w:rsidRPr="00925F26">
        <w:rPr>
          <w:color w:val="000000" w:themeColor="text1"/>
          <w:sz w:val="16"/>
          <w:szCs w:val="16"/>
        </w:rPr>
        <w:t xml:space="preserve"> У Ил-10 (Ил-10УТ) (7489).</w:t>
      </w:r>
    </w:p>
    <w:p w14:paraId="5F10EB23" w14:textId="77777777" w:rsidR="00665165" w:rsidRPr="00925F26" w:rsidRDefault="00665165" w:rsidP="00925F26">
      <w:pPr>
        <w:autoSpaceDE w:val="0"/>
        <w:autoSpaceDN w:val="0"/>
        <w:adjustRightInd w:val="0"/>
        <w:jc w:val="both"/>
        <w:rPr>
          <w:color w:val="000000" w:themeColor="text1"/>
          <w:sz w:val="16"/>
          <w:szCs w:val="16"/>
        </w:rPr>
      </w:pPr>
    </w:p>
    <w:p w14:paraId="27198DCF"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заместителем командующего ВВС КА маршалом Ф.Я.Фалалеевым утверждены технические требования к самолету «УИл-10» («Ил-10У»). В соответствии с постановлением ГОКО № 7560 от 21 февраля 1945 г. и приказом НКАП № 76 от 26 февраля 1945 года учебно-тренировочный вариант штурмовика «Ил-10» строился на авиазаводе № 1</w:t>
      </w:r>
    </w:p>
    <w:p w14:paraId="1A620DDA" w14:textId="77777777" w:rsidR="00DE38A8" w:rsidRPr="00925F26" w:rsidRDefault="00DE38A8" w:rsidP="00925F26">
      <w:pPr>
        <w:jc w:val="both"/>
        <w:rPr>
          <w:color w:val="000000" w:themeColor="text1"/>
          <w:sz w:val="16"/>
          <w:szCs w:val="16"/>
        </w:rPr>
      </w:pPr>
    </w:p>
    <w:p w14:paraId="3EBA1A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апреля 1945 года вышел приказ НКАП:</w:t>
      </w:r>
    </w:p>
    <w:p w14:paraId="04A68D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Утвердить Семенова М.А. директором завода № 469 (8958)</w:t>
      </w:r>
    </w:p>
    <w:p w14:paraId="0492E8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апреля 1945 заместитель ко</w:t>
      </w:r>
      <w:r w:rsidRPr="00925F26">
        <w:rPr>
          <w:color w:val="000000" w:themeColor="text1"/>
          <w:sz w:val="16"/>
          <w:szCs w:val="16"/>
        </w:rPr>
        <w:softHyphen/>
        <w:t>мандующего ВВС маршал Ф.Я. Фалалеев утвердил Техничес</w:t>
      </w:r>
      <w:r w:rsidRPr="00925F26">
        <w:rPr>
          <w:color w:val="000000" w:themeColor="text1"/>
          <w:sz w:val="16"/>
          <w:szCs w:val="16"/>
        </w:rPr>
        <w:softHyphen/>
        <w:t>кие требования к УИл-10. Опытного образца, по-видимому, не было. Сразу начали с небольшой серии, выпущенной на заводе №1. Кабину стрелка переоборудовали для размеще</w:t>
      </w:r>
      <w:r w:rsidRPr="00925F26">
        <w:rPr>
          <w:color w:val="000000" w:themeColor="text1"/>
          <w:sz w:val="16"/>
          <w:szCs w:val="16"/>
        </w:rPr>
        <w:softHyphen/>
        <w:t>ния летчика-инструктора; там смонтиро</w:t>
      </w:r>
      <w:r w:rsidRPr="00925F26">
        <w:rPr>
          <w:color w:val="000000" w:themeColor="text1"/>
          <w:sz w:val="16"/>
          <w:szCs w:val="16"/>
        </w:rPr>
        <w:softHyphen/>
        <w:t>вали второе управление самолетом, установили приборную доску с указате</w:t>
      </w:r>
      <w:r w:rsidRPr="00925F26">
        <w:rPr>
          <w:color w:val="000000" w:themeColor="text1"/>
          <w:sz w:val="16"/>
          <w:szCs w:val="16"/>
        </w:rPr>
        <w:softHyphen/>
        <w:t>лями скорости и поворота, авиагоризон</w:t>
      </w:r>
      <w:r w:rsidRPr="00925F26">
        <w:rPr>
          <w:color w:val="000000" w:themeColor="text1"/>
          <w:sz w:val="16"/>
          <w:szCs w:val="16"/>
        </w:rPr>
        <w:softHyphen/>
        <w:t>том, высотомером, компасом. Сняли броневую перегородку между местами пилота и стрелка. Из вооружения оста</w:t>
      </w:r>
      <w:r w:rsidRPr="00925F26">
        <w:rPr>
          <w:color w:val="000000" w:themeColor="text1"/>
          <w:sz w:val="16"/>
          <w:szCs w:val="16"/>
        </w:rPr>
        <w:softHyphen/>
        <w:t>вили пулеметы ШКАС, две балки РО, внутреннюю и наружную подвеску бомб. При этом был изменен механизм закры</w:t>
      </w:r>
      <w:r w:rsidRPr="00925F26">
        <w:rPr>
          <w:color w:val="000000" w:themeColor="text1"/>
          <w:sz w:val="16"/>
          <w:szCs w:val="16"/>
        </w:rPr>
        <w:softHyphen/>
        <w:t>вания бомболюков (10681).</w:t>
      </w:r>
    </w:p>
    <w:p w14:paraId="12E38A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E4C02FD" w14:textId="77777777" w:rsidR="00173F5C" w:rsidRPr="00925F26" w:rsidRDefault="00173F5C" w:rsidP="00925F26">
      <w:pPr>
        <w:jc w:val="both"/>
        <w:rPr>
          <w:color w:val="000000" w:themeColor="text1"/>
          <w:sz w:val="16"/>
          <w:szCs w:val="16"/>
        </w:rPr>
      </w:pPr>
      <w:r w:rsidRPr="00925F26">
        <w:rPr>
          <w:rStyle w:val="107"/>
          <w:rFonts w:eastAsiaTheme="minorHAnsi"/>
          <w:color w:val="000000" w:themeColor="text1"/>
          <w:sz w:val="16"/>
          <w:szCs w:val="16"/>
        </w:rPr>
        <w:t>21 апреля 1945 заместитель командующего ВВС маршал Ф. Я. Фалалеев утвердил Технические требования к учебно-тренировочному варианту штурмовика Ил-10 - УИл-10.</w:t>
      </w:r>
    </w:p>
    <w:p w14:paraId="051B6C38" w14:textId="77777777" w:rsidR="00173F5C" w:rsidRPr="00925F26" w:rsidRDefault="00173F5C" w:rsidP="00925F26">
      <w:pPr>
        <w:jc w:val="both"/>
        <w:rPr>
          <w:color w:val="000000" w:themeColor="text1"/>
          <w:sz w:val="16"/>
          <w:szCs w:val="16"/>
        </w:rPr>
      </w:pPr>
      <w:r w:rsidRPr="00925F26">
        <w:rPr>
          <w:rStyle w:val="107"/>
          <w:rFonts w:eastAsiaTheme="minorHAnsi"/>
          <w:color w:val="000000" w:themeColor="text1"/>
          <w:sz w:val="16"/>
          <w:szCs w:val="16"/>
        </w:rPr>
        <w:lastRenderedPageBreak/>
        <w:t>Опытного образца, по -видимому, не было. Сразу начали с небольшой серии, выпущенной на заводе № 1. Кабину стрелка переоборудовали для размещения летчика-инструктора. Там смонтировали второе управление самолетом, установили приборную доску с указателями скорости и поворота, авиагоризонтом, высотомером, компасом. Сняли броневую перегородку между местами пилота и стрелка. Из вооружения оставили пулеметы ШКАС, две балки РО, внутреннюю и наружную подвески бомб. При этом был изменен механизм закрывания бомболюков (17490).</w:t>
      </w:r>
    </w:p>
    <w:p w14:paraId="08135EB0" w14:textId="77777777" w:rsidR="00173F5C" w:rsidRPr="00925F26" w:rsidRDefault="00173F5C" w:rsidP="00925F26">
      <w:pPr>
        <w:jc w:val="both"/>
        <w:rPr>
          <w:color w:val="000000" w:themeColor="text1"/>
          <w:sz w:val="16"/>
          <w:szCs w:val="16"/>
        </w:rPr>
      </w:pPr>
    </w:p>
    <w:p w14:paraId="6A243E3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B7360E8" w14:textId="77777777" w:rsidR="00665165" w:rsidRPr="00925F26" w:rsidRDefault="00665165" w:rsidP="00925F26">
      <w:pPr>
        <w:autoSpaceDE w:val="0"/>
        <w:autoSpaceDN w:val="0"/>
        <w:adjustRightInd w:val="0"/>
        <w:jc w:val="both"/>
        <w:rPr>
          <w:iCs/>
          <w:color w:val="000000" w:themeColor="text1"/>
          <w:sz w:val="16"/>
          <w:szCs w:val="16"/>
        </w:rPr>
      </w:pPr>
    </w:p>
    <w:p w14:paraId="64595C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апреля 1945 в Челябинске комиссия под председательством инженер-подполковника П. Ворошилова закончила испытытания вновь изготовленного «Объекта 701» № 6, которые проходили с 6 апреля.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32F37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576ABDA"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С 21 апреля по 24 мая 1945 года происходили ходовые испытания американского легкого танка М-24 на НИИБТ Полигон. Всего машина прошла 859 километров, из них 145 по асфальтированному шоссе. В качестве машин, которые сравнивали с М24, выступали легкий танк М5А1 и советская САУ СУ-76М. Неверная информация о реальной мощности моторов ввела испытателей в заблуждение. По ней получалось, что СУ-76М имела чуть более высокую удельную мощность – 12,38 л.с. на тонну. Удельную мощность М5А1 оценили в 15,7 л.с на тонну, а М24 – 12,2 л.с. на тонну. В реальности удельная мощность М5А1 составляла 19,5 л.с. на тонну, а у М24 – 16,08 л.с. на тонну.</w:t>
      </w:r>
    </w:p>
    <w:p w14:paraId="44ABAE26"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Максимальная скорость М24 оказалась меньше скорости предшественника – 55 км/ч. Правда, у СУ-76М она оказалась куда ниже – 41 км/ч. Более высокую скорость американской бронетехники советские специалисты объяснили иным подбором передаточных чисел трансмиссии, упустив по упомянутой выше причине тот факт, что силовая установка М24 была мощнее мотора ГАЗ-203 в 2 с лишним раза. Весьма высокой оказалась и средняя скорость по шоссе – 30,05 км/ч, при этом средний расход топлива составил 203 литра на 100 километров, то есть в полтора раза больше, чем у М5А1 (135 литров). Движение по шоссе осуществлялось на 4-й передаче.</w:t>
      </w:r>
    </w:p>
    <w:p w14:paraId="0944CD7C"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Во время ходовых испытаний, проводившихся на проселочной дороге, средняя скорость танка составила лишь 17,45 км/ч. Связано это было с тем, что проселок был покрыт глубоким слоем грязи. Двигаться приходилось в основном на 3-й передаче, расход топлива при этом составил 300 литров на 100 километров. СУ-76М в тех же условиях потребляла 215 литров на 100 километров и имела среднюю скорость 16,2 км/ч. Справедливости ради следует помнить, что М24 был тяжелее советской САУ более чем в полтора раза, так что более высокий расход топлива вполне объясним. Еще одной причиной увеличения расхода топлива было названо использование демультипликатора с механическим переключением. Для сравнения, имевший боевую массу 15 тонн легкий танк М5А1 расходовал на 100 километров 197 литров, но и ехал он по сухому проселку.</w:t>
      </w:r>
    </w:p>
    <w:p w14:paraId="2F8BD42E"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Еще одним фактором, повлиявшим на расход, стали проблемы с двигателями М24. Вследствие ослабления затяжки силовых шпилек головки блока происходило постепенное прогорание прокладки левого двигателя. Кроме того, засорился фильтр топливоприемника и нарушилась регулировка тяг переключения демультипликатора. Имелись проблемы и с ходовой частью: на 396-м километре испытаний отслоился бандаж опорного катка с правой стороны. В общей сложности на ремонт различных неисправностей ушло больше недели.</w:t>
      </w:r>
    </w:p>
    <w:p w14:paraId="2257C327"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Испытания по преодолению препятствий показали, что на грунте без дерна максимальным преодолеваемым углом подъема для М24 стал угол в 30о. Более крутой подъем с 1-й передачи не давала преодолеть пробуксовывающая гидромуфта. Предельным углом крена стал угол в 32о, далее танк сползал. Испытания показали, что минимальный радиус разворота танка составляет от 5 до 5,35 метров.</w:t>
      </w:r>
    </w:p>
    <w:p w14:paraId="1BE66BDD"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Крайне любопытными оказались и испытания на разгон. Сравнивались динамические характеристики М24 и GMC T70. Выяснилось, что для достижения скорости 16 км/ч легкому танку требуется 23 метра, а 32 км/ч – 80 метров. Те же самые показатели для легкой самоходной установки составляли 180 и 360 метров соответственно. И это при значительно более мощном двигателе!</w:t>
      </w:r>
    </w:p>
    <w:p w14:paraId="71C4B5B4"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Испытания вооружения показали, что при стрельбе из орудия у танка наблюдается хорошая устойчивость. Это предопределило и довольно высокую кучность. Прицельная скорострельность составила 9–10 выстрелов в минуту, снижавшаяся до 7,2–7,7 выстрелов в минуту при использовании укладки под сиденьем командира. В ходе испытания при движении на скорости 11–13 км/ч меткость стрельбы без стабилизатора составила 30–40%, а на скорости 24–26 км/ч – 10–20%. При включении стабилизатора меткость вырастала до 70–80%.</w:t>
      </w:r>
    </w:p>
    <w:p w14:paraId="227BB1FA"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Что касается конструкции 75-мм орудия M5, то в нем специалистов заинтересовало, прежде всего, устройство противооткатных механизмов. А вот характеристики бронепробития показались испытателям недостаточными. Борт тяжелого немецкого танка Pz.Kpfw. Tiger Ausf.E снаряд M61 пробивал на дистанции 500 метров, а борт среднего танка Pz.Kpfw. Panther – с 1500 метров. Довольно любопытными оказались результаты испытаний на загазованность боевого отделения при стрельбе. Как выяснилось, вентилятор не способствует уменьшению загазованности, а действует скорее даже во вред в виду создаваемых завихрений воздушного потока. Самым лучшим «вентилятором» оказались работающие двигатели танка.</w:t>
      </w:r>
    </w:p>
    <w:p w14:paraId="7E6799C2" w14:textId="77777777" w:rsidR="00063378" w:rsidRPr="00925F26" w:rsidRDefault="00063378" w:rsidP="00925F26">
      <w:pPr>
        <w:shd w:val="clear" w:color="auto" w:fill="FFFFFF"/>
        <w:jc w:val="both"/>
        <w:rPr>
          <w:color w:val="000000" w:themeColor="text1"/>
          <w:sz w:val="16"/>
          <w:szCs w:val="16"/>
        </w:rPr>
      </w:pPr>
      <w:r w:rsidRPr="00925F26">
        <w:rPr>
          <w:color w:val="000000" w:themeColor="text1"/>
          <w:sz w:val="16"/>
          <w:szCs w:val="16"/>
        </w:rPr>
        <w:t xml:space="preserve">Финальный вердикт по итогу испытаний американского танка отказался весьма неожиданным. Испытатели НИБТ Полигона признали Light Tank M24 не отвечающим современным требованиям. Прежде всего, это касалось мощности вооружения и толщины брони, составлявшей всего 25–38 мм. Заключение получилось, мягко говоря, весьма спорным. Оно, впрочем, легко объясняется крайне специфическим взглядом советских военных на то, каким должен быть современный легкий танк. Достаточно сказать, что еще в марте 1944 года они требовали легкий танк с лобовой броней, достигающей толщины 90 мм, а также вооружение в виде 85-мм пушки. Получившийся </w:t>
      </w:r>
      <w:hyperlink r:id="rId104" w:history="1">
        <w:r w:rsidRPr="00925F26">
          <w:rPr>
            <w:color w:val="000000" w:themeColor="text1"/>
            <w:sz w:val="16"/>
            <w:szCs w:val="16"/>
          </w:rPr>
          <w:t>«легкий танк тяжелого бронирования»</w:t>
        </w:r>
      </w:hyperlink>
      <w:r w:rsidRPr="00925F26">
        <w:rPr>
          <w:color w:val="000000" w:themeColor="text1"/>
          <w:sz w:val="16"/>
          <w:szCs w:val="16"/>
        </w:rPr>
        <w:t xml:space="preserve"> к лету 1945 года выглядел еще более жутко, особенно с точки зрения брони. Простая истина, что легкий танк предназначен слегка для других целей, чем средний или тяжелый, пришла в голову далеко не сразу – к концу 40-х годов (17684).</w:t>
      </w:r>
    </w:p>
    <w:p w14:paraId="6782B4CA" w14:textId="77777777" w:rsidR="00063378" w:rsidRPr="00925F26" w:rsidRDefault="00063378" w:rsidP="00925F26">
      <w:pPr>
        <w:jc w:val="both"/>
        <w:rPr>
          <w:rStyle w:val="107"/>
          <w:rFonts w:eastAsiaTheme="minorHAnsi"/>
          <w:color w:val="000000" w:themeColor="text1"/>
          <w:sz w:val="16"/>
          <w:szCs w:val="16"/>
        </w:rPr>
      </w:pPr>
    </w:p>
    <w:p w14:paraId="072326ED" w14:textId="77777777" w:rsidR="00143828" w:rsidRPr="00925F26" w:rsidRDefault="00143828" w:rsidP="00925F26">
      <w:pPr>
        <w:jc w:val="both"/>
        <w:rPr>
          <w:color w:val="000000" w:themeColor="text1"/>
          <w:sz w:val="16"/>
          <w:szCs w:val="16"/>
        </w:rPr>
      </w:pPr>
      <w:r w:rsidRPr="00925F26">
        <w:rPr>
          <w:color w:val="000000" w:themeColor="text1"/>
          <w:sz w:val="16"/>
          <w:szCs w:val="16"/>
        </w:rPr>
        <w:t>C 21 апреля по июнь 1945 года ГАВТУКА были организованы сравнительные ис</w:t>
      </w:r>
      <w:r w:rsidRPr="00925F26">
        <w:rPr>
          <w:color w:val="000000" w:themeColor="text1"/>
          <w:sz w:val="16"/>
          <w:szCs w:val="16"/>
        </w:rPr>
        <w:softHyphen/>
        <w:t xml:space="preserve">пытания четырех типов бензоцистерн всех четырех заводов (№ 29 ГУШОСДОР, ВМЗ-1, № 709 и Сантехоборудования). При этом машины взяли не новые, а полученные из 26-го автополка Московского военного округа (п/п 26464) и выпущенные в 1944 году. Правда, к финалу испытаний (отчет о них был составлен в августе) </w:t>
      </w:r>
      <w:proofErr w:type="gramStart"/>
      <w:r w:rsidRPr="00925F26">
        <w:rPr>
          <w:color w:val="000000" w:themeColor="text1"/>
          <w:sz w:val="16"/>
          <w:szCs w:val="16"/>
        </w:rPr>
        <w:t>уже</w:t>
      </w:r>
      <w:proofErr w:type="gramEnd"/>
      <w:r w:rsidRPr="00925F26">
        <w:rPr>
          <w:color w:val="000000" w:themeColor="text1"/>
          <w:sz w:val="16"/>
          <w:szCs w:val="16"/>
        </w:rPr>
        <w:t xml:space="preserve"> и война за кончилась, а послевоенное обновление ав</w:t>
      </w:r>
      <w:r w:rsidRPr="00925F26">
        <w:rPr>
          <w:color w:val="000000" w:themeColor="text1"/>
          <w:sz w:val="16"/>
          <w:szCs w:val="16"/>
        </w:rPr>
        <w:softHyphen/>
        <w:t>топарка страны с разработкой принципиаль</w:t>
      </w:r>
      <w:r w:rsidRPr="00925F26">
        <w:rPr>
          <w:color w:val="000000" w:themeColor="text1"/>
          <w:sz w:val="16"/>
          <w:szCs w:val="16"/>
        </w:rPr>
        <w:softHyphen/>
        <w:t>но новых моделей грузовых автомобилей сделало выбор лучшей конструкции среди заведомо упрощенных машин не слишком актуальным (21626).</w:t>
      </w:r>
    </w:p>
    <w:p w14:paraId="6A9909B1" w14:textId="77777777" w:rsidR="00143828" w:rsidRPr="00925F26" w:rsidRDefault="00143828" w:rsidP="00925F26">
      <w:pPr>
        <w:jc w:val="both"/>
        <w:rPr>
          <w:color w:val="000000" w:themeColor="text1"/>
          <w:sz w:val="16"/>
          <w:szCs w:val="16"/>
        </w:rPr>
      </w:pPr>
    </w:p>
    <w:p w14:paraId="0C15C2F7" w14:textId="77777777" w:rsidR="00143828" w:rsidRPr="00925F26" w:rsidRDefault="00143828" w:rsidP="00925F26">
      <w:pPr>
        <w:jc w:val="both"/>
        <w:rPr>
          <w:color w:val="000000" w:themeColor="text1"/>
          <w:sz w:val="16"/>
          <w:szCs w:val="16"/>
          <w:lang w:bidi="ru-RU"/>
        </w:rPr>
      </w:pPr>
      <w:r w:rsidRPr="00925F26">
        <w:rPr>
          <w:color w:val="000000" w:themeColor="text1"/>
          <w:sz w:val="16"/>
          <w:szCs w:val="16"/>
          <w:lang w:bidi="ru-RU"/>
        </w:rPr>
        <w:t>С 21 апреля по июнь 1945 года прошли сравнительные ис</w:t>
      </w:r>
      <w:r w:rsidRPr="00925F26">
        <w:rPr>
          <w:color w:val="000000" w:themeColor="text1"/>
          <w:sz w:val="16"/>
          <w:szCs w:val="16"/>
          <w:lang w:bidi="ru-RU"/>
        </w:rPr>
        <w:softHyphen/>
        <w:t>пытания бензовозов Главного автотранспортного управ</w:t>
      </w:r>
      <w:r w:rsidRPr="00925F26">
        <w:rPr>
          <w:color w:val="000000" w:themeColor="text1"/>
          <w:sz w:val="16"/>
          <w:szCs w:val="16"/>
          <w:lang w:bidi="ru-RU"/>
        </w:rPr>
        <w:softHyphen/>
        <w:t>ления Красной Армии (ГАВТУКА) (22296).</w:t>
      </w:r>
    </w:p>
    <w:p w14:paraId="39E53447" w14:textId="77777777" w:rsidR="00143828" w:rsidRPr="00925F26" w:rsidRDefault="00143828" w:rsidP="00925F26">
      <w:pPr>
        <w:jc w:val="both"/>
        <w:rPr>
          <w:color w:val="000000" w:themeColor="text1"/>
          <w:sz w:val="16"/>
          <w:szCs w:val="16"/>
          <w:lang w:bidi="ru-RU"/>
        </w:rPr>
      </w:pPr>
    </w:p>
    <w:p w14:paraId="1C5E9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апреля 1945 спущен на воду 27-й ТЩ (10671).</w:t>
      </w:r>
    </w:p>
    <w:p w14:paraId="742FCD18" w14:textId="77777777" w:rsidR="00665165" w:rsidRPr="00925F26" w:rsidRDefault="00665165" w:rsidP="00925F26">
      <w:pPr>
        <w:autoSpaceDE w:val="0"/>
        <w:autoSpaceDN w:val="0"/>
        <w:adjustRightInd w:val="0"/>
        <w:jc w:val="both"/>
        <w:rPr>
          <w:color w:val="000000" w:themeColor="text1"/>
          <w:sz w:val="16"/>
          <w:szCs w:val="16"/>
        </w:rPr>
      </w:pPr>
    </w:p>
    <w:p w14:paraId="68DC194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EC20FCE" w14:textId="77777777" w:rsidR="00665165" w:rsidRPr="00925F26" w:rsidRDefault="00665165" w:rsidP="00925F26">
      <w:pPr>
        <w:autoSpaceDE w:val="0"/>
        <w:autoSpaceDN w:val="0"/>
        <w:adjustRightInd w:val="0"/>
        <w:jc w:val="both"/>
        <w:rPr>
          <w:iCs/>
          <w:color w:val="000000" w:themeColor="text1"/>
          <w:sz w:val="16"/>
          <w:szCs w:val="16"/>
        </w:rPr>
      </w:pPr>
    </w:p>
    <w:p w14:paraId="55E54453"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оперативная сводка Совинформбюро:</w:t>
      </w:r>
    </w:p>
    <w:p w14:paraId="577B12F8" w14:textId="77777777" w:rsidR="00DE38A8" w:rsidRPr="00925F26" w:rsidRDefault="00DE38A8" w:rsidP="00925F26">
      <w:pPr>
        <w:jc w:val="both"/>
        <w:rPr>
          <w:color w:val="000000" w:themeColor="text1"/>
          <w:sz w:val="16"/>
          <w:szCs w:val="16"/>
        </w:rPr>
      </w:pPr>
      <w:r w:rsidRPr="00925F26">
        <w:rPr>
          <w:color w:val="000000" w:themeColor="text1"/>
          <w:sz w:val="16"/>
          <w:szCs w:val="16"/>
        </w:rPr>
        <w:t>«В течение 21 апреля Центральная группа наших войск продолжала вести наступательные бои западнее реки Одер и реки Нейсе.</w:t>
      </w:r>
    </w:p>
    <w:p w14:paraId="2793A6BC" w14:textId="77777777" w:rsidR="00DE38A8" w:rsidRPr="00925F26" w:rsidRDefault="00DE38A8" w:rsidP="00925F26">
      <w:pPr>
        <w:jc w:val="both"/>
        <w:rPr>
          <w:color w:val="000000" w:themeColor="text1"/>
          <w:sz w:val="16"/>
          <w:szCs w:val="16"/>
        </w:rPr>
      </w:pPr>
      <w:r w:rsidRPr="00925F26">
        <w:rPr>
          <w:color w:val="000000" w:themeColor="text1"/>
          <w:sz w:val="16"/>
          <w:szCs w:val="16"/>
        </w:rPr>
        <w:t>В результате этих боёв наши войска на Дрезденском направлении заняли города Калау, Лнжкау, Ной.Вельцов, Зенфтенберг, Лаутаверк, Каменц, Бауцен и вели бой за Кенигсбрюк.</w:t>
      </w:r>
    </w:p>
    <w:p w14:paraId="667050B0" w14:textId="77777777" w:rsidR="00DE38A8" w:rsidRPr="00925F26" w:rsidRDefault="00DE38A8" w:rsidP="00925F26">
      <w:pPr>
        <w:jc w:val="both"/>
        <w:rPr>
          <w:color w:val="000000" w:themeColor="text1"/>
          <w:sz w:val="16"/>
          <w:szCs w:val="16"/>
        </w:rPr>
      </w:pPr>
      <w:r w:rsidRPr="00925F26">
        <w:rPr>
          <w:color w:val="000000" w:themeColor="text1"/>
          <w:sz w:val="16"/>
          <w:szCs w:val="16"/>
        </w:rPr>
        <w:t>Западнее Одера наши войска заняли города Бернау, Вернойхен, Штраусберг, Альт-Ландсберг, Буков, Мюнхеберг, Херцфельде, Зркнер и завязали бои в пригородах Берлина.</w:t>
      </w:r>
    </w:p>
    <w:p w14:paraId="7DD45A55" w14:textId="77777777" w:rsidR="00DE38A8" w:rsidRPr="00925F26" w:rsidRDefault="00DE38A8" w:rsidP="00925F26">
      <w:pPr>
        <w:jc w:val="both"/>
        <w:rPr>
          <w:color w:val="000000" w:themeColor="text1"/>
          <w:sz w:val="16"/>
          <w:szCs w:val="16"/>
        </w:rPr>
      </w:pPr>
      <w:r w:rsidRPr="00925F26">
        <w:rPr>
          <w:color w:val="000000" w:themeColor="text1"/>
          <w:sz w:val="16"/>
          <w:szCs w:val="16"/>
        </w:rPr>
        <w:t>На территории Австрии севернее Вены войска 2-го Украинского фронта, продолжая наступление, с боями заняли населённые пункты Райнталь, Катцельсдорф, Шраттенберг, Херрнбаумгартэн, Вильгелыуюдорф, Фальбах, Михльштеттен, Клемент, Эрнстбрунн, Обер Гензерндорф и железнодорожные станции Грофскрут, Вельтерскирхен Наглерн. Одновременно на территории Чехословакии юго-западнее Годонина войска фронта заняли город Валтице.</w:t>
      </w:r>
    </w:p>
    <w:p w14:paraId="569A6C62" w14:textId="77777777" w:rsidR="00DE38A8" w:rsidRPr="00925F26" w:rsidRDefault="00DE38A8"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7D3CCF07" w14:textId="77777777" w:rsidR="00DE38A8" w:rsidRPr="00925F26" w:rsidRDefault="00DE38A8" w:rsidP="00925F26">
      <w:pPr>
        <w:jc w:val="both"/>
        <w:rPr>
          <w:color w:val="000000" w:themeColor="text1"/>
          <w:sz w:val="16"/>
          <w:szCs w:val="16"/>
        </w:rPr>
      </w:pPr>
      <w:r w:rsidRPr="00925F26">
        <w:rPr>
          <w:color w:val="000000" w:themeColor="text1"/>
          <w:sz w:val="16"/>
          <w:szCs w:val="16"/>
        </w:rPr>
        <w:t>За 20 апреля на всех фронтах подбито и уничтожено 120 немецких танков и самоходных орудий. В воздушных боях и огнём зенитной артиллерии сбито 103 самолёта противника.</w:t>
      </w:r>
    </w:p>
    <w:p w14:paraId="20DF412C" w14:textId="77777777" w:rsidR="00DE38A8" w:rsidRPr="00925F26" w:rsidRDefault="00DE38A8" w:rsidP="00925F26">
      <w:pPr>
        <w:jc w:val="both"/>
        <w:rPr>
          <w:color w:val="000000" w:themeColor="text1"/>
          <w:sz w:val="16"/>
          <w:szCs w:val="16"/>
        </w:rPr>
      </w:pPr>
      <w:r w:rsidRPr="00925F26">
        <w:rPr>
          <w:color w:val="000000" w:themeColor="text1"/>
          <w:sz w:val="16"/>
          <w:szCs w:val="16"/>
        </w:rPr>
        <w:t>Массированный удар нашей авиации по Берлину</w:t>
      </w:r>
    </w:p>
    <w:p w14:paraId="2FD3F1C1" w14:textId="77777777" w:rsidR="00DE38A8" w:rsidRPr="00925F26" w:rsidRDefault="00DE38A8" w:rsidP="00925F26">
      <w:pPr>
        <w:jc w:val="both"/>
        <w:rPr>
          <w:color w:val="000000" w:themeColor="text1"/>
          <w:sz w:val="16"/>
          <w:szCs w:val="16"/>
        </w:rPr>
      </w:pPr>
      <w:r w:rsidRPr="00925F26">
        <w:rPr>
          <w:color w:val="000000" w:themeColor="text1"/>
          <w:sz w:val="16"/>
          <w:szCs w:val="16"/>
        </w:rPr>
        <w:t>В ночь на 21 апреля наши тяжелые бомбардировщики нанесли массированный удар по военным объектам Берлина. В результате этого удара возникло более 50 больших пожаров, сопровождавшихся сильными взрывами.</w:t>
      </w:r>
    </w:p>
    <w:p w14:paraId="70EE3880" w14:textId="77777777" w:rsidR="00DE38A8" w:rsidRPr="00925F26" w:rsidRDefault="00DE38A8" w:rsidP="00925F26">
      <w:pPr>
        <w:jc w:val="both"/>
        <w:rPr>
          <w:color w:val="000000" w:themeColor="text1"/>
          <w:sz w:val="16"/>
          <w:szCs w:val="16"/>
        </w:rPr>
      </w:pPr>
      <w:r w:rsidRPr="00925F26">
        <w:rPr>
          <w:color w:val="000000" w:themeColor="text1"/>
          <w:sz w:val="16"/>
          <w:szCs w:val="16"/>
        </w:rPr>
        <w:t>Центральная группа наших войск продолжала вести наступательные бои.</w:t>
      </w:r>
    </w:p>
    <w:p w14:paraId="7DFA79F6" w14:textId="77777777" w:rsidR="00DE38A8" w:rsidRPr="00925F26" w:rsidRDefault="00DE38A8" w:rsidP="00925F26">
      <w:pPr>
        <w:jc w:val="both"/>
        <w:rPr>
          <w:color w:val="000000" w:themeColor="text1"/>
          <w:sz w:val="16"/>
          <w:szCs w:val="16"/>
        </w:rPr>
      </w:pPr>
      <w:r w:rsidRPr="00925F26">
        <w:rPr>
          <w:color w:val="000000" w:themeColor="text1"/>
          <w:sz w:val="16"/>
          <w:szCs w:val="16"/>
        </w:rPr>
        <w:t xml:space="preserve">На Дрезденском направлении советские части, форсировав реку Шпрее, стремительно продвигаются вперед. Немцы спешно подтянули в этот район крупные подкрепления и с хода бросают их в бой. Однако все попытки гитлеровцев контратаками остановить наши наступающие части успеха не имели. Под ударами наших войск противник оставляет одну позицию за другой. Советские пехотинцы и танкисты, действующие в сложных условиях лесисто-болотистой местности, с боями продвинулись вперед на 30-40 километров и штурмом овладели городом Люккау. Другие наши части в результате ожесточенных уличных боев заняли города Ной-Вельцов и Зенфтенберг. В этом районе советские летчики подвергли бомбардировке и пушечно-пулеметному обстрелу колонны немецких войск. Гитлеровцы, бросив более 500 автомашин и много вооружения, разбежались по лесам. Советские и польские части окружили город Каменц и ворвались на его улицы. Вражеский гарнизон </w:t>
      </w:r>
      <w:r w:rsidRPr="00925F26">
        <w:rPr>
          <w:color w:val="000000" w:themeColor="text1"/>
          <w:sz w:val="16"/>
          <w:szCs w:val="16"/>
        </w:rPr>
        <w:lastRenderedPageBreak/>
        <w:t>оказывал упорное сопротивление, но был разгромлен. Ожесточенные бои произошли и в районе города Бауцен. Сосредоточив здесь много танков и пехоты, немцы предприняли ряд контратак. Наши подвижные подразделения и пехота измотали противника, а затем нанесли ему мощный удар. Бои переместились на улицы города. Сегодня советские бойцы подавили сопротивление немецкого гарнизона и полностью овладели городом Бауцен – узлом четырех железных и многих шоссейных дорог.</w:t>
      </w:r>
    </w:p>
    <w:p w14:paraId="0D25CF20" w14:textId="77777777" w:rsidR="00DE38A8" w:rsidRPr="00925F26" w:rsidRDefault="00DE38A8" w:rsidP="00925F26">
      <w:pPr>
        <w:jc w:val="both"/>
        <w:rPr>
          <w:color w:val="000000" w:themeColor="text1"/>
          <w:sz w:val="16"/>
          <w:szCs w:val="16"/>
        </w:rPr>
      </w:pPr>
      <w:r w:rsidRPr="00925F26">
        <w:rPr>
          <w:color w:val="000000" w:themeColor="text1"/>
          <w:sz w:val="16"/>
          <w:szCs w:val="16"/>
        </w:rPr>
        <w:t>К исходу дня наши войска вели бои за город Кенигсбрюк, находящийся в 24 километрах от Дрездена.</w:t>
      </w:r>
    </w:p>
    <w:p w14:paraId="7E87C2BB" w14:textId="77777777" w:rsidR="00DE38A8" w:rsidRPr="00925F26" w:rsidRDefault="00DE38A8" w:rsidP="00925F26">
      <w:pPr>
        <w:jc w:val="both"/>
        <w:rPr>
          <w:color w:val="000000" w:themeColor="text1"/>
          <w:sz w:val="16"/>
          <w:szCs w:val="16"/>
        </w:rPr>
      </w:pPr>
      <w:r w:rsidRPr="00925F26">
        <w:rPr>
          <w:color w:val="000000" w:themeColor="text1"/>
          <w:sz w:val="16"/>
          <w:szCs w:val="16"/>
        </w:rPr>
        <w:t>Западнее Одера наши войска, преодолевая упорное сопротивление противника, с боями продвигались вперед. Немцы пытались любой ценой не допустить выхода наших войск к Берлину. Они сняли с других участков фронта ряд дивизий и ввели в бой все запасные части. Гитлеровцы построили огромное количество долговременных сооружений, а также широко разветвленные полевые укрепления. Наши войска мощными ударами сломили ожесточенное сопротивление противника. Западнее города Врицен советские пехотинцы и танкисты, поддержанные авиацией и артиллерией, преодолели лесной массив и, громя на своем пути узлы вражеского сопротивления, в полдень ворвались в город Бернау. Завязались уличные бои. Советские бойцы штурмом брали баррикады и дома, превращенные немцами в доты. К исходу дня наши войска овладели гордом Бернау. Другие наши части, сломив вражеское сопротивление заняли города Штраусберг, Альт-Ландсберг, Мнюхеберг, Херцфельде, Эркнер и завязали бои в пригородах Берлина. Противник несет огромные потери. Места боев завалены тысячами трупов немецких солдат и офицеров. Захвачено много трофеев и пленных.</w:t>
      </w:r>
    </w:p>
    <w:p w14:paraId="39468468" w14:textId="77777777" w:rsidR="00DE38A8" w:rsidRPr="00925F26" w:rsidRDefault="00DE38A8" w:rsidP="00925F26">
      <w:pPr>
        <w:jc w:val="both"/>
        <w:rPr>
          <w:color w:val="000000" w:themeColor="text1"/>
          <w:sz w:val="16"/>
          <w:szCs w:val="16"/>
        </w:rPr>
      </w:pPr>
      <w:r w:rsidRPr="00925F26">
        <w:rPr>
          <w:color w:val="000000" w:themeColor="text1"/>
          <w:sz w:val="16"/>
          <w:szCs w:val="16"/>
        </w:rPr>
        <w:t>Советские летчики активно поддерживали боевые действия центральной группы наших войск. Наши бомбардировщики и штурмовики массированными ударами подавляли узлы сопротивления и огневые средства противника, уничтожали его живую силу и технику. В воздушных боях за день наши летчики сбили 62 немецких самолета. Летчик-истребитель гвардии капитан Найденов в одном воздушном бою уничтожил три немецких истребителя «Фокке-Вульф-190». Группа штурмовиков гвардии майора Смирнова атаковала артиллерийские позиции противника, уничтожила 4 полевых и 3 зенитных орудия. Четыре наших истребителя во главе со старшим лейтенантом Марииным встретили в воздухе шесть немецких истребителей. Советские летчики атаковали врага и в ожесточенном бою сбили три немецких самолета. Четрые истребителя во главе с майором Ренцем заметили 80 вражеских самолетов, направляющихся к расположению наших войск. Отважные летчики врезались в строй самолетов противника. Майор Ренц сбил два немецких истребителя, лейтенант Виноградов и младшие лейтенанты Петренко и Герасимов – по одному. Остальные самолеты противника потеряли строй и были рассеяны.</w:t>
      </w:r>
    </w:p>
    <w:p w14:paraId="61526903" w14:textId="77777777" w:rsidR="00DE38A8" w:rsidRPr="00925F26" w:rsidRDefault="00DE38A8" w:rsidP="00925F26">
      <w:pPr>
        <w:jc w:val="both"/>
        <w:rPr>
          <w:color w:val="000000" w:themeColor="text1"/>
          <w:sz w:val="16"/>
          <w:szCs w:val="16"/>
        </w:rPr>
      </w:pPr>
      <w:r w:rsidRPr="00925F26">
        <w:rPr>
          <w:color w:val="000000" w:themeColor="text1"/>
          <w:sz w:val="16"/>
          <w:szCs w:val="16"/>
        </w:rPr>
        <w:t>На териритории Австрии севернее Вены войска 2-го Украинского фронта с боями продвигались вперед и заняли несколько населенных пунктов. Советские артиллеристы и танкисты, отражая вражеские атаки, подбили и сожгли 18 немецких танков и уничтожили до батальона гитлеровцев.</w:t>
      </w:r>
    </w:p>
    <w:p w14:paraId="31939320" w14:textId="77777777" w:rsidR="00DE38A8" w:rsidRPr="00925F26" w:rsidRDefault="00DE38A8" w:rsidP="00925F26">
      <w:pPr>
        <w:jc w:val="both"/>
        <w:rPr>
          <w:color w:val="000000" w:themeColor="text1"/>
          <w:sz w:val="16"/>
          <w:szCs w:val="16"/>
        </w:rPr>
      </w:pPr>
      <w:r w:rsidRPr="00925F26">
        <w:rPr>
          <w:color w:val="000000" w:themeColor="text1"/>
          <w:sz w:val="16"/>
          <w:szCs w:val="16"/>
        </w:rPr>
        <w:t>В Чехословакии юго-западнее города Годонин немцы, пытаясь вернуть потерянные накануне позиции, несколько раз переходили в контратаки. Советские части успешно отбилди вражеские контратаки. Затем наши подразделения стремительно атаковали противника и, продвинувшись вперед на 5 километров, заняли город Валтице. Валтице – важный узел дорог и сильно укрепленный опорный пункт обороны немцев. В боях в этом районе уничтожено свыше 800 вражеских солдат и офицеров.</w:t>
      </w:r>
    </w:p>
    <w:p w14:paraId="057FEFD8" w14:textId="77777777" w:rsidR="00DE38A8" w:rsidRPr="00925F26" w:rsidRDefault="00DE38A8" w:rsidP="00925F26">
      <w:pPr>
        <w:jc w:val="both"/>
        <w:rPr>
          <w:color w:val="000000" w:themeColor="text1"/>
          <w:sz w:val="16"/>
          <w:szCs w:val="16"/>
        </w:rPr>
      </w:pPr>
      <w:r w:rsidRPr="00925F26">
        <w:rPr>
          <w:color w:val="000000" w:themeColor="text1"/>
          <w:sz w:val="16"/>
          <w:szCs w:val="16"/>
        </w:rPr>
        <w:t>Наша авиация наносила удары по боевым порядкам и подходящим резервам немецких войск. Уничтожено до 100 автомашин, разбито 15 вагонов и взорван склад противника с боеприпасами.» (15106).</w:t>
      </w:r>
    </w:p>
    <w:p w14:paraId="1820F44F" w14:textId="77777777" w:rsidR="00DE38A8" w:rsidRPr="00925F26" w:rsidRDefault="00DE38A8" w:rsidP="00925F26">
      <w:pPr>
        <w:jc w:val="both"/>
        <w:rPr>
          <w:color w:val="000000" w:themeColor="text1"/>
          <w:sz w:val="16"/>
          <w:szCs w:val="16"/>
        </w:rPr>
      </w:pPr>
    </w:p>
    <w:p w14:paraId="43492F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апреля 1947 Ла-7 32-го гв. иап впервые появились над столицей рейха. А Ла-7 9-го гв. иап 25 апреля блокировали аэродром Темпельгоф, препятствуя бегству германского руководства. На земле они сожгли большую четырёхмоторную машину. Позже таким же образом попытались парализовать временную взлётную площадку, сооружённую немцами в парке Тиргартен, недалеко от рейхсканцелярии. Над этим местом велись ожесточённые воздушные бои, в ходе которых наши лётчики сбили семь и повредили два вражеских истребителя. Несколько раз там встречались с немецкими реактивными истребителями, но ни один из них уничтожить не удалось (11986).</w:t>
      </w:r>
    </w:p>
    <w:p w14:paraId="699FC477" w14:textId="77777777" w:rsidR="00665165" w:rsidRPr="00925F26" w:rsidRDefault="00665165" w:rsidP="00925F26">
      <w:pPr>
        <w:autoSpaceDE w:val="0"/>
        <w:autoSpaceDN w:val="0"/>
        <w:adjustRightInd w:val="0"/>
        <w:jc w:val="both"/>
        <w:rPr>
          <w:color w:val="000000" w:themeColor="text1"/>
          <w:sz w:val="16"/>
          <w:szCs w:val="16"/>
        </w:rPr>
      </w:pPr>
    </w:p>
    <w:p w14:paraId="3140FDE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апреля 1945 советские войска ворвались на южную окраину Берлина (4962), советские танки ворвались на северные окраины Берлина; 3-я советская гвардейская танковая армия вышла к южным окраинам Берлина; 4-я советская гвардейская танковая армия вышла на южные подступы к Потсдаму под Берлином. 63-я советская гвардейская танковая бригада заняла немецкий город Бабельсберг в районе Берлина и освободила около 7000 узников концентрационных лагерей, в том числе бывшего премьер-министра Франции Эдуарда Эррио с супругой. 5-я советская гвардейская армия закончила разгром немецкой группировки (10-я, 21-я и ''Охрана Фюрера'' танковые дивизии, 344-я пехотная дивизия, 125-й моторизованный полк, 785-й пехотный полк и части усиления) под Шпрембергом на востоке Германии. Части 5-й американской армии вступили в освобожденную силами итальянского Сопротивления Болонью (</w:t>
      </w:r>
      <w:proofErr w:type="gramStart"/>
      <w:r w:rsidRPr="00925F26">
        <w:rPr>
          <w:color w:val="000000" w:themeColor="text1"/>
          <w:sz w:val="16"/>
          <w:szCs w:val="16"/>
        </w:rPr>
        <w:t>4963 )</w:t>
      </w:r>
      <w:proofErr w:type="gramEnd"/>
      <w:r w:rsidRPr="00925F26">
        <w:rPr>
          <w:color w:val="000000" w:themeColor="text1"/>
          <w:sz w:val="16"/>
          <w:szCs w:val="16"/>
        </w:rPr>
        <w:t>.</w:t>
      </w:r>
    </w:p>
    <w:p w14:paraId="25590CE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5134DD"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в 6 часов 21 апреля 1945 года передовые части 171-й стрелковой дивизии, под командованием полковника А.И.Негоды, первыми ворвались на северо-восточную окраину Берлина (15106).</w:t>
      </w:r>
    </w:p>
    <w:p w14:paraId="1A65E38B" w14:textId="77777777" w:rsidR="00DE38A8" w:rsidRPr="00925F26" w:rsidRDefault="00DE38A8" w:rsidP="00925F26">
      <w:pPr>
        <w:jc w:val="both"/>
        <w:rPr>
          <w:color w:val="000000" w:themeColor="text1"/>
          <w:sz w:val="16"/>
          <w:szCs w:val="16"/>
        </w:rPr>
      </w:pPr>
    </w:p>
    <w:p w14:paraId="51D71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апреля 1945 СА вышла к Берлину (1050). Это были войска 47А, 3УА, 9ГТА, 1МК и 2ГТА, которые перерезали берлинскую окружную дорогу и вошли в город с севера (3263,192).</w:t>
      </w:r>
    </w:p>
    <w:p w14:paraId="446CF52D" w14:textId="77777777" w:rsidR="00665165" w:rsidRPr="00925F26" w:rsidRDefault="00665165" w:rsidP="00925F26">
      <w:pPr>
        <w:autoSpaceDE w:val="0"/>
        <w:autoSpaceDN w:val="0"/>
        <w:adjustRightInd w:val="0"/>
        <w:jc w:val="both"/>
        <w:rPr>
          <w:color w:val="000000" w:themeColor="text1"/>
          <w:sz w:val="16"/>
          <w:szCs w:val="16"/>
        </w:rPr>
      </w:pPr>
    </w:p>
    <w:p w14:paraId="23068C4D"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21 апреля 1945 танковые части уже находились в предместьях германской столицы и завязали там уличные бои. С этого момента там стали регулярно появляться и Ил-2. Экипажам ставились задачи уничтожать огневые точки, технику, а также солдат, засевших в домах и подвалах. Учитывая опыт, полученный ранее во время авиаударов по Бреслау, когда немцы превращали в укрепленные узлы сопротивления в основном крепкие каменные здания, во время налетов на город применялись преимущественно фугасные бомбы ФАБ-250 (19522).</w:t>
      </w:r>
    </w:p>
    <w:p w14:paraId="4D412E5A" w14:textId="77777777" w:rsidR="00A278CB" w:rsidRPr="00925F26" w:rsidRDefault="00A278CB" w:rsidP="00925F26">
      <w:pPr>
        <w:pStyle w:val="ae"/>
        <w:spacing w:before="0" w:after="0"/>
        <w:jc w:val="both"/>
        <w:textAlignment w:val="baseline"/>
        <w:rPr>
          <w:color w:val="000000" w:themeColor="text1"/>
          <w:sz w:val="16"/>
          <w:szCs w:val="16"/>
        </w:rPr>
      </w:pPr>
    </w:p>
    <w:p w14:paraId="589C1E5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21st, 1945: The Soviet 1st Ukrainian Front captures Bautzen and Cottbus 70 miles SE of Berlin. In East Prussia, remnants of AOK Ostpreussen (von Saucken) are still resisting in the port of Pillau, the Frische Nehrung and the Vistula delta between Danzig and Marienburg. In the West, continued German resistance around Elbingerode in the Harz Mountains. In Italy, heavy fighting near Bologna and along the </w:t>
      </w:r>
      <w:proofErr w:type="gramStart"/>
      <w:r w:rsidRPr="00925F26">
        <w:rPr>
          <w:color w:val="000000" w:themeColor="text1"/>
          <w:sz w:val="16"/>
          <w:szCs w:val="16"/>
          <w:lang w:val="en-US"/>
        </w:rPr>
        <w:t>Po river</w:t>
      </w:r>
      <w:proofErr w:type="gramEnd"/>
      <w:r w:rsidRPr="00925F26">
        <w:rPr>
          <w:color w:val="000000" w:themeColor="text1"/>
          <w:sz w:val="16"/>
          <w:szCs w:val="16"/>
          <w:lang w:val="en-US"/>
        </w:rPr>
        <w:t xml:space="preserve"> (3819).</w:t>
      </w:r>
    </w:p>
    <w:p w14:paraId="7845D6A9" w14:textId="77777777" w:rsidR="00665165" w:rsidRPr="00925F26" w:rsidRDefault="00665165" w:rsidP="00925F26">
      <w:pPr>
        <w:autoSpaceDE w:val="0"/>
        <w:autoSpaceDN w:val="0"/>
        <w:adjustRightInd w:val="0"/>
        <w:jc w:val="both"/>
        <w:rPr>
          <w:color w:val="000000" w:themeColor="text1"/>
          <w:sz w:val="16"/>
          <w:szCs w:val="16"/>
          <w:lang w:val="en-US"/>
        </w:rPr>
      </w:pPr>
    </w:p>
    <w:p w14:paraId="2A48FB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апреля 1945 1УФ занял Баутцен и Коттбус. В Восточной Пруссии остатки немецких войск Восточная Пруссия продолжали сопротивление у портов Пилау, Фрише Нейрунг и в устье Вислы между Данцигом и Мариенбургом (3819).</w:t>
      </w:r>
    </w:p>
    <w:p w14:paraId="4CE2129C" w14:textId="77777777" w:rsidR="00665165" w:rsidRPr="00925F26" w:rsidRDefault="00665165" w:rsidP="00925F26">
      <w:pPr>
        <w:autoSpaceDE w:val="0"/>
        <w:autoSpaceDN w:val="0"/>
        <w:adjustRightInd w:val="0"/>
        <w:jc w:val="both"/>
        <w:rPr>
          <w:color w:val="000000" w:themeColor="text1"/>
          <w:sz w:val="16"/>
          <w:szCs w:val="16"/>
        </w:rPr>
      </w:pPr>
    </w:p>
    <w:p w14:paraId="17F0C33D"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Центральная группа наших войск продолжала вести наступательные бои западнее реки Одер и реки Нейсе. В результате этих боев наши войска на Дрезденском направлении заняли города Калау, Люккау, Ной-Вельцов, Зенфтенберг, Лаутаверк, Каменц, Бауцен и вели бой за Кенигсбрюк. Западнее Одера наши войска заняли города Бернау, Вернойхен, Штраусберг, Альт-Ландсберг, Буков, Мюнхеберг, Херцфельде, Эркнер и завязали бои в пригородах Берлина. Это были войска 47-й армии, 3-й ударной армии, 9-й гвардейский танковый корпус и 1-й механизированный корпус 2-й гвардейской танковой армии, перерезавшие берлинскую окружную автостраду и ворвавшиеся на северную окраину Берлина. На территории Австрии севернее Вены войска 2-го Украинского фронта заняли населенные пункты Райнталь, Катцельсдорф, Шраттенберг, Херрнбаумгартэн, Вильгельмсдорф, Фальбах, Михльштеттен, Клемент, Эрнстбрунн, Обер Гензерндорф и железнодорожные станции Грфоскрут, Вельтерскирхен, Наглерн. Одновременно на территории Чехословакии юго-западнее Годонина войска фронта заняли город Валтице (15106).</w:t>
      </w:r>
    </w:p>
    <w:p w14:paraId="0A7EC977" w14:textId="77777777" w:rsidR="00DE38A8" w:rsidRPr="00925F26" w:rsidRDefault="00DE38A8" w:rsidP="00925F26">
      <w:pPr>
        <w:jc w:val="both"/>
        <w:rPr>
          <w:color w:val="000000" w:themeColor="text1"/>
          <w:sz w:val="16"/>
          <w:szCs w:val="16"/>
        </w:rPr>
      </w:pPr>
    </w:p>
    <w:p w14:paraId="3D038697" w14:textId="77777777" w:rsidR="00DE38A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B4F16B6" w14:textId="77777777" w:rsidR="00DE38A8" w:rsidRPr="00925F26" w:rsidRDefault="00DE38A8" w:rsidP="00925F26">
      <w:pPr>
        <w:autoSpaceDE w:val="0"/>
        <w:autoSpaceDN w:val="0"/>
        <w:adjustRightInd w:val="0"/>
        <w:jc w:val="both"/>
        <w:rPr>
          <w:iCs/>
          <w:color w:val="000000" w:themeColor="text1"/>
          <w:sz w:val="16"/>
          <w:szCs w:val="16"/>
        </w:rPr>
      </w:pPr>
    </w:p>
    <w:p w14:paraId="34272560"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советские власти начали первую послевоенную массовую ссылку жителей Литвы (21 апреля -2 мая) (15106).</w:t>
      </w:r>
    </w:p>
    <w:p w14:paraId="5CD1A4DF" w14:textId="77777777" w:rsidR="00DE38A8" w:rsidRPr="00925F26" w:rsidRDefault="00DE38A8" w:rsidP="00925F26">
      <w:pPr>
        <w:jc w:val="both"/>
        <w:rPr>
          <w:color w:val="000000" w:themeColor="text1"/>
          <w:sz w:val="16"/>
          <w:szCs w:val="16"/>
        </w:rPr>
      </w:pPr>
    </w:p>
    <w:p w14:paraId="71AEE66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DCA3D75" w14:textId="77777777" w:rsidR="00665165" w:rsidRPr="00925F26" w:rsidRDefault="00665165" w:rsidP="00925F26">
      <w:pPr>
        <w:autoSpaceDE w:val="0"/>
        <w:autoSpaceDN w:val="0"/>
        <w:adjustRightInd w:val="0"/>
        <w:jc w:val="both"/>
        <w:rPr>
          <w:iCs/>
          <w:color w:val="000000" w:themeColor="text1"/>
          <w:sz w:val="16"/>
          <w:szCs w:val="16"/>
        </w:rPr>
      </w:pPr>
    </w:p>
    <w:p w14:paraId="32A4A05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апреля 1945 в Москве подписан советско-польский договор о дружбе и послевоенном сотрудничестве (4962).</w:t>
      </w:r>
    </w:p>
    <w:p w14:paraId="70A75C6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91BE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апреля 1945 был подписан договор с Временным правительством Польши о дружбе, взаимной помощи и послевоенном сотрудничестве (1348,247).</w:t>
      </w:r>
    </w:p>
    <w:p w14:paraId="75406D2A" w14:textId="77777777" w:rsidR="00665165" w:rsidRPr="00925F26" w:rsidRDefault="00665165" w:rsidP="00925F26">
      <w:pPr>
        <w:autoSpaceDE w:val="0"/>
        <w:autoSpaceDN w:val="0"/>
        <w:adjustRightInd w:val="0"/>
        <w:jc w:val="both"/>
        <w:rPr>
          <w:color w:val="000000" w:themeColor="text1"/>
          <w:sz w:val="16"/>
          <w:szCs w:val="16"/>
        </w:rPr>
      </w:pPr>
    </w:p>
    <w:p w14:paraId="43A8E8BB"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в Москве сроком на двадцать лет подписан Договор о дружбе, взаимной помощи и послевоенном сотрудничестве между СССР и Польшей (15106).</w:t>
      </w:r>
    </w:p>
    <w:p w14:paraId="41F52D2B" w14:textId="77777777" w:rsidR="00DE38A8" w:rsidRPr="00925F26" w:rsidRDefault="00DE38A8" w:rsidP="00925F26">
      <w:pPr>
        <w:jc w:val="both"/>
        <w:rPr>
          <w:color w:val="000000" w:themeColor="text1"/>
          <w:sz w:val="16"/>
          <w:szCs w:val="16"/>
        </w:rPr>
      </w:pPr>
    </w:p>
    <w:p w14:paraId="75D29F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1945.04.21 СССР и Польша подписали договор о дружбе (7451).</w:t>
      </w:r>
    </w:p>
    <w:p w14:paraId="2C35BD77" w14:textId="77777777" w:rsidR="00665165" w:rsidRPr="00925F26" w:rsidRDefault="00665165" w:rsidP="00925F26">
      <w:pPr>
        <w:autoSpaceDE w:val="0"/>
        <w:autoSpaceDN w:val="0"/>
        <w:adjustRightInd w:val="0"/>
        <w:jc w:val="both"/>
        <w:rPr>
          <w:color w:val="000000" w:themeColor="text1"/>
          <w:sz w:val="16"/>
          <w:szCs w:val="16"/>
        </w:rPr>
      </w:pPr>
    </w:p>
    <w:p w14:paraId="24B2412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За рубежом:</w:t>
      </w:r>
    </w:p>
    <w:p w14:paraId="6579E3C8" w14:textId="77777777" w:rsidR="00665165" w:rsidRPr="00925F26" w:rsidRDefault="00665165" w:rsidP="00925F26">
      <w:pPr>
        <w:autoSpaceDE w:val="0"/>
        <w:autoSpaceDN w:val="0"/>
        <w:adjustRightInd w:val="0"/>
        <w:jc w:val="both"/>
        <w:rPr>
          <w:iCs/>
          <w:color w:val="000000" w:themeColor="text1"/>
          <w:sz w:val="16"/>
          <w:szCs w:val="16"/>
        </w:rPr>
      </w:pPr>
    </w:p>
    <w:p w14:paraId="10246A78"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фирме «Supermarine» заказали пару прототипов нового самолета, получившего название «Supermarine Seafang». Через неделю после получения задания на производство прототипов (регистрационные номера VB893 и VB895), фирму осчастливили заказом на полторы сотни серийных машин (15106).</w:t>
      </w:r>
    </w:p>
    <w:p w14:paraId="601525E7" w14:textId="77777777" w:rsidR="00DE38A8" w:rsidRPr="00925F26" w:rsidRDefault="00DE38A8" w:rsidP="00925F26">
      <w:pPr>
        <w:jc w:val="both"/>
        <w:rPr>
          <w:color w:val="000000" w:themeColor="text1"/>
          <w:sz w:val="16"/>
          <w:szCs w:val="16"/>
        </w:rPr>
      </w:pPr>
    </w:p>
    <w:p w14:paraId="265C047B"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поспешно загруженный багажом генеральном штаба, последний «Focke-Wulf» «Fw.200» «Condor» стартовал на Барселону через Мюнхен. Его пилот - флюг-капитан Кюнстль - был уверен в отсутствии угрозы со стороны истребителей союзников из-за плохой погоды на маршруте. Самолет благополучно достиг Мюнхена, взлетел и исчез... Расследование обстоятельств его исчезновения велось в Германии, Испании и Швейцарии в течение нескольких лет, но только в 1954 г загадка была решена. В Баварии под Пизенкофеном были найдены доказательства того, что горящий самолет рухнул на землю, погребя всех своих пассажиров (15106).</w:t>
      </w:r>
    </w:p>
    <w:p w14:paraId="3324BC4D" w14:textId="77777777" w:rsidR="00DE38A8" w:rsidRPr="00925F26" w:rsidRDefault="00DE38A8" w:rsidP="00925F26">
      <w:pPr>
        <w:jc w:val="both"/>
        <w:rPr>
          <w:color w:val="000000" w:themeColor="text1"/>
          <w:sz w:val="16"/>
          <w:szCs w:val="16"/>
        </w:rPr>
      </w:pPr>
    </w:p>
    <w:p w14:paraId="4614263C" w14:textId="77777777" w:rsidR="00143828" w:rsidRPr="00925F26" w:rsidRDefault="00143828" w:rsidP="00925F26">
      <w:pPr>
        <w:jc w:val="both"/>
        <w:rPr>
          <w:color w:val="000000" w:themeColor="text1"/>
          <w:sz w:val="16"/>
          <w:szCs w:val="16"/>
        </w:rPr>
      </w:pPr>
      <w:r w:rsidRPr="00925F26">
        <w:rPr>
          <w:color w:val="000000" w:themeColor="text1"/>
          <w:sz w:val="16"/>
          <w:szCs w:val="16"/>
        </w:rPr>
        <w:t>21 апреля 1945 Focke-Wulf Fw 200KB-1 Condor Hessen (регистрация D-ASHH) совершает последний в истории Deutsche Luft Hansa рейс по расписанию - рейс из Берлина в Мюнхен. Лайнер разбился и сгорел недалеко от Пизенкофена незадолго до запланированного прибытия в Мюнхен, в результате чего погиб 21 человек на борту (29371).</w:t>
      </w:r>
    </w:p>
    <w:p w14:paraId="0E0BACC2" w14:textId="77777777" w:rsidR="00143828" w:rsidRPr="00925F26" w:rsidRDefault="00143828" w:rsidP="00925F26">
      <w:pPr>
        <w:jc w:val="both"/>
        <w:rPr>
          <w:color w:val="000000" w:themeColor="text1"/>
          <w:sz w:val="16"/>
          <w:szCs w:val="16"/>
        </w:rPr>
      </w:pPr>
    </w:p>
    <w:p w14:paraId="16BA8896" w14:textId="77777777" w:rsidR="00403B6B" w:rsidRPr="001A0BAA" w:rsidRDefault="00403B6B" w:rsidP="00403B6B">
      <w:pPr>
        <w:jc w:val="both"/>
        <w:rPr>
          <w:color w:val="0070C0"/>
          <w:sz w:val="16"/>
          <w:szCs w:val="16"/>
        </w:rPr>
      </w:pPr>
      <w:r w:rsidRPr="001A0BAA">
        <w:rPr>
          <w:color w:val="0070C0"/>
          <w:sz w:val="16"/>
          <w:szCs w:val="16"/>
        </w:rPr>
        <w:t>21 апреля 1945 из Берлина вылетел FW 200В-2. увозивший удиравших от советской армии офицеров Генерально</w:t>
      </w:r>
      <w:r w:rsidRPr="001A0BAA">
        <w:rPr>
          <w:color w:val="0070C0"/>
          <w:sz w:val="16"/>
          <w:szCs w:val="16"/>
        </w:rPr>
        <w:softHyphen/>
        <w:t>го штаба с какой-то поклажей Конечной точкой маршрута являлась Барселона в Испании Машина совершила проме</w:t>
      </w:r>
      <w:r w:rsidRPr="001A0BAA">
        <w:rPr>
          <w:color w:val="0070C0"/>
          <w:sz w:val="16"/>
          <w:szCs w:val="16"/>
        </w:rPr>
        <w:softHyphen/>
        <w:t>жуточную посадку в Мюнхене, полетела дальше - и пропала. Командир самолета рассчитывал ускользнуть от истребите</w:t>
      </w:r>
      <w:r w:rsidRPr="001A0BAA">
        <w:rPr>
          <w:color w:val="0070C0"/>
          <w:sz w:val="16"/>
          <w:szCs w:val="16"/>
        </w:rPr>
        <w:softHyphen/>
        <w:t>лей союзников, пользуясь плохой пого</w:t>
      </w:r>
      <w:r w:rsidRPr="001A0BAA">
        <w:rPr>
          <w:color w:val="0070C0"/>
          <w:sz w:val="16"/>
          <w:szCs w:val="16"/>
        </w:rPr>
        <w:softHyphen/>
        <w:t>дой. Это его и подвело. Обломки машины и останки людей нашли лишь в 1954 г. близ Мюльберга в горах Баварии. Лайнер врезался в землю и сгорел (24935).</w:t>
      </w:r>
    </w:p>
    <w:p w14:paraId="0D169167" w14:textId="77777777" w:rsidR="00403B6B" w:rsidRPr="001A0BAA" w:rsidRDefault="00403B6B" w:rsidP="00403B6B">
      <w:pPr>
        <w:jc w:val="both"/>
        <w:rPr>
          <w:color w:val="0070C0"/>
          <w:sz w:val="16"/>
          <w:szCs w:val="16"/>
        </w:rPr>
      </w:pPr>
    </w:p>
    <w:p w14:paraId="235892B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апреля 1945 польские войска взяли Болонью (4962).</w:t>
      </w:r>
    </w:p>
    <w:p w14:paraId="1802426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9BAA99C" w14:textId="77777777" w:rsidR="00DE38A8" w:rsidRPr="00925F26" w:rsidRDefault="00DE38A8" w:rsidP="00925F26">
      <w:pPr>
        <w:jc w:val="both"/>
        <w:rPr>
          <w:color w:val="000000" w:themeColor="text1"/>
          <w:sz w:val="16"/>
          <w:szCs w:val="16"/>
        </w:rPr>
      </w:pPr>
      <w:r w:rsidRPr="00925F26">
        <w:rPr>
          <w:color w:val="000000" w:themeColor="text1"/>
          <w:sz w:val="16"/>
          <w:szCs w:val="16"/>
        </w:rPr>
        <w:t>21 апреля в 1945 году развал германского фронта в Италии (15106).</w:t>
      </w:r>
    </w:p>
    <w:p w14:paraId="79099BFC" w14:textId="77777777" w:rsidR="00DE38A8" w:rsidRPr="00925F26" w:rsidRDefault="00DE38A8" w:rsidP="00925F26">
      <w:pPr>
        <w:jc w:val="both"/>
        <w:rPr>
          <w:color w:val="000000" w:themeColor="text1"/>
          <w:sz w:val="16"/>
          <w:szCs w:val="16"/>
        </w:rPr>
      </w:pPr>
    </w:p>
    <w:p w14:paraId="00B21C5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апреля 1945 в окружении застрелился немецкий фельдмаршал В. Модель (4962).</w:t>
      </w:r>
    </w:p>
    <w:p w14:paraId="4BF610F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9F4D78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0FC28AA" w14:textId="77777777" w:rsidR="00665165" w:rsidRPr="00925F26" w:rsidRDefault="00665165" w:rsidP="00925F26">
      <w:pPr>
        <w:autoSpaceDE w:val="0"/>
        <w:autoSpaceDN w:val="0"/>
        <w:adjustRightInd w:val="0"/>
        <w:jc w:val="both"/>
        <w:rPr>
          <w:iCs/>
          <w:color w:val="000000" w:themeColor="text1"/>
          <w:sz w:val="16"/>
          <w:szCs w:val="16"/>
        </w:rPr>
      </w:pPr>
    </w:p>
    <w:p w14:paraId="64B0A9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постановление ГКО N 8241, согласно которому завод 84 перешел на выпуск транспортного Ли-2Т с грузовой дверью (1168,20).</w:t>
      </w:r>
    </w:p>
    <w:p w14:paraId="6853E56B" w14:textId="77777777" w:rsidR="00665165" w:rsidRPr="00925F26" w:rsidRDefault="00665165" w:rsidP="00925F26">
      <w:pPr>
        <w:autoSpaceDE w:val="0"/>
        <w:autoSpaceDN w:val="0"/>
        <w:adjustRightInd w:val="0"/>
        <w:jc w:val="both"/>
        <w:rPr>
          <w:color w:val="000000" w:themeColor="text1"/>
          <w:sz w:val="16"/>
          <w:szCs w:val="16"/>
        </w:rPr>
      </w:pPr>
    </w:p>
    <w:p w14:paraId="75952E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это было постановления ГКО N 8241сс "О самолетах Ли-2 в пассажирском и транспортном вариантах" (1826,31).</w:t>
      </w:r>
    </w:p>
    <w:p w14:paraId="7718B122" w14:textId="77777777" w:rsidR="00665165" w:rsidRPr="00925F26" w:rsidRDefault="00665165" w:rsidP="00925F26">
      <w:pPr>
        <w:autoSpaceDE w:val="0"/>
        <w:autoSpaceDN w:val="0"/>
        <w:adjustRightInd w:val="0"/>
        <w:jc w:val="both"/>
        <w:rPr>
          <w:color w:val="000000" w:themeColor="text1"/>
          <w:sz w:val="16"/>
          <w:szCs w:val="16"/>
        </w:rPr>
      </w:pPr>
    </w:p>
    <w:p w14:paraId="11839D76" w14:textId="77777777" w:rsidR="00403B6B" w:rsidRPr="001A0BAA" w:rsidRDefault="00403B6B" w:rsidP="00403B6B">
      <w:pPr>
        <w:jc w:val="both"/>
        <w:rPr>
          <w:color w:val="0070C0"/>
          <w:sz w:val="16"/>
          <w:szCs w:val="16"/>
        </w:rPr>
      </w:pPr>
      <w:r w:rsidRPr="001A0BAA">
        <w:rPr>
          <w:color w:val="0070C0"/>
          <w:sz w:val="16"/>
          <w:szCs w:val="16"/>
        </w:rPr>
        <w:t>22 апреля 1945 г. вышло постановление ГКО о внедрении в производство новых модификаций Ли- 2П (пассажирский) и Ли-2Т (грузовой). Завод был к этому готов. С 1 мая выпу</w:t>
      </w:r>
      <w:r w:rsidRPr="001A0BAA">
        <w:rPr>
          <w:color w:val="0070C0"/>
          <w:sz w:val="16"/>
          <w:szCs w:val="16"/>
        </w:rPr>
        <w:softHyphen/>
        <w:t>скались уже только два этих типа. Пуле</w:t>
      </w:r>
      <w:r w:rsidRPr="001A0BAA">
        <w:rPr>
          <w:color w:val="0070C0"/>
          <w:sz w:val="16"/>
          <w:szCs w:val="16"/>
        </w:rPr>
        <w:softHyphen/>
        <w:t>меты и бомбодержатели на них отсутст</w:t>
      </w:r>
      <w:r w:rsidRPr="001A0BAA">
        <w:rPr>
          <w:color w:val="0070C0"/>
          <w:sz w:val="16"/>
          <w:szCs w:val="16"/>
        </w:rPr>
        <w:softHyphen/>
        <w:t>вовали. Проем верхней турели и люки бортовых установок заделывались (25015).</w:t>
      </w:r>
    </w:p>
    <w:p w14:paraId="013C7A68" w14:textId="77777777" w:rsidR="00403B6B" w:rsidRPr="001A0BAA" w:rsidRDefault="00403B6B" w:rsidP="00403B6B">
      <w:pPr>
        <w:jc w:val="both"/>
        <w:rPr>
          <w:color w:val="0070C0"/>
          <w:sz w:val="16"/>
          <w:szCs w:val="16"/>
        </w:rPr>
      </w:pPr>
    </w:p>
    <w:p w14:paraId="0830A6A6" w14:textId="77777777" w:rsidR="00403B6B" w:rsidRPr="001A0BAA" w:rsidRDefault="00403B6B" w:rsidP="00403B6B">
      <w:pPr>
        <w:pStyle w:val="45"/>
        <w:spacing w:before="0" w:line="240" w:lineRule="auto"/>
        <w:jc w:val="both"/>
        <w:rPr>
          <w:rFonts w:ascii="Times New Roman" w:cs="Times New Roman"/>
          <w:color w:val="0070C0"/>
          <w:sz w:val="16"/>
          <w:szCs w:val="16"/>
        </w:rPr>
      </w:pPr>
      <w:r w:rsidRPr="001A0BAA">
        <w:rPr>
          <w:rStyle w:val="46"/>
          <w:rFonts w:ascii="Times New Roman" w:cs="Times New Roman"/>
          <w:color w:val="0070C0"/>
          <w:sz w:val="16"/>
          <w:szCs w:val="16"/>
        </w:rPr>
        <w:t>22 апреля 1945 года вышло постановления ГКО о запуске производства двух новых мо</w:t>
      </w:r>
      <w:r w:rsidRPr="001A0BAA">
        <w:rPr>
          <w:rStyle w:val="46"/>
          <w:rFonts w:ascii="Times New Roman" w:cs="Times New Roman"/>
          <w:color w:val="0070C0"/>
          <w:sz w:val="16"/>
          <w:szCs w:val="16"/>
        </w:rPr>
        <w:softHyphen/>
        <w:t>дификаций: Ли-2П с 15-24 креслами в зависи</w:t>
      </w:r>
      <w:r w:rsidRPr="001A0BAA">
        <w:rPr>
          <w:rStyle w:val="46"/>
          <w:rFonts w:ascii="Times New Roman" w:cs="Times New Roman"/>
          <w:color w:val="0070C0"/>
          <w:sz w:val="16"/>
          <w:szCs w:val="16"/>
        </w:rPr>
        <w:softHyphen/>
        <w:t>мости от компоновки и Ли-2Т (транспортный).</w:t>
      </w:r>
    </w:p>
    <w:p w14:paraId="4D75F0FE" w14:textId="77777777" w:rsidR="00403B6B" w:rsidRPr="001A0BAA" w:rsidRDefault="00403B6B" w:rsidP="00403B6B">
      <w:pPr>
        <w:jc w:val="both"/>
        <w:rPr>
          <w:color w:val="0070C0"/>
          <w:sz w:val="16"/>
          <w:szCs w:val="16"/>
        </w:rPr>
      </w:pPr>
      <w:r w:rsidRPr="001A0BAA">
        <w:rPr>
          <w:rStyle w:val="46"/>
          <w:rFonts w:ascii="Times New Roman" w:cs="Times New Roman"/>
          <w:color w:val="0070C0"/>
          <w:sz w:val="16"/>
          <w:szCs w:val="16"/>
        </w:rPr>
        <w:t>В 1946 году значительное количество боевых Ли-2 было передано в «Аэрофлот». С них сняли вооружение, но сохраняли воен</w:t>
      </w:r>
      <w:r w:rsidRPr="001A0BAA">
        <w:rPr>
          <w:rStyle w:val="46"/>
          <w:rFonts w:ascii="Times New Roman" w:cs="Times New Roman"/>
          <w:color w:val="0070C0"/>
          <w:sz w:val="16"/>
          <w:szCs w:val="16"/>
        </w:rPr>
        <w:softHyphen/>
        <w:t>ную окраску. В составе ВВС остались только транспортные версии. К этому времени само</w:t>
      </w:r>
      <w:r w:rsidRPr="001A0BAA">
        <w:rPr>
          <w:rStyle w:val="46"/>
          <w:rFonts w:ascii="Times New Roman" w:cs="Times New Roman"/>
          <w:color w:val="0070C0"/>
          <w:sz w:val="16"/>
          <w:szCs w:val="16"/>
        </w:rPr>
        <w:softHyphen/>
        <w:t>лет уже устарел, но замены ему не было, так как Ил-12 еще только проходил испытания. В связи с этим серийный выпуск Ли-2 в Ташкенте продолжился, а в конце 1946 года их производство было налажено на заводе№ 126 в Комсомольске-на-Амуре (25698).</w:t>
      </w:r>
    </w:p>
    <w:p w14:paraId="40AB1894" w14:textId="77777777" w:rsidR="00403B6B" w:rsidRPr="001A0BAA" w:rsidRDefault="00403B6B" w:rsidP="00403B6B">
      <w:pPr>
        <w:jc w:val="both"/>
        <w:rPr>
          <w:color w:val="0070C0"/>
          <w:sz w:val="16"/>
          <w:szCs w:val="16"/>
        </w:rPr>
      </w:pPr>
    </w:p>
    <w:p w14:paraId="095068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закончились работы по вывозу немецких пусковых устройств для самолетов-снарядов со ст. Шпек (р-н Альтдам) в СССР на завод 458 в Савелово (1874,13).</w:t>
      </w:r>
    </w:p>
    <w:p w14:paraId="6CBC45AD" w14:textId="77777777" w:rsidR="00665165" w:rsidRPr="00925F26" w:rsidRDefault="00665165" w:rsidP="00925F26">
      <w:pPr>
        <w:autoSpaceDE w:val="0"/>
        <w:autoSpaceDN w:val="0"/>
        <w:adjustRightInd w:val="0"/>
        <w:jc w:val="both"/>
        <w:rPr>
          <w:color w:val="000000" w:themeColor="text1"/>
          <w:sz w:val="16"/>
          <w:szCs w:val="16"/>
        </w:rPr>
      </w:pPr>
    </w:p>
    <w:p w14:paraId="0DC9E3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Постановление ГКО № 8240 О перевооружении 317-й истребительной авиационной дивизии ПВО на самолеты Як-9 с 37 мм пушками. РГАНИР, Фонд ГКО, д. 404, лл. 123 (11012).</w:t>
      </w:r>
    </w:p>
    <w:p w14:paraId="1521D8B7" w14:textId="77777777" w:rsidR="00665165" w:rsidRPr="00925F26" w:rsidRDefault="00665165" w:rsidP="00925F26">
      <w:pPr>
        <w:autoSpaceDE w:val="0"/>
        <w:autoSpaceDN w:val="0"/>
        <w:adjustRightInd w:val="0"/>
        <w:jc w:val="both"/>
        <w:rPr>
          <w:color w:val="000000" w:themeColor="text1"/>
          <w:sz w:val="16"/>
          <w:szCs w:val="16"/>
        </w:rPr>
      </w:pPr>
    </w:p>
    <w:p w14:paraId="4E83B2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Постановление ГКО № 8241 О самолетах Ли-2 в пассажирском и транспортном вариантах. РГАНИР, Фонд ГКО, д. 404, лл. 124 (11012).</w:t>
      </w:r>
    </w:p>
    <w:p w14:paraId="2D715540" w14:textId="77777777" w:rsidR="00665165" w:rsidRPr="00925F26" w:rsidRDefault="00665165" w:rsidP="00925F26">
      <w:pPr>
        <w:autoSpaceDE w:val="0"/>
        <w:autoSpaceDN w:val="0"/>
        <w:adjustRightInd w:val="0"/>
        <w:jc w:val="both"/>
        <w:rPr>
          <w:color w:val="000000" w:themeColor="text1"/>
          <w:sz w:val="16"/>
          <w:szCs w:val="16"/>
        </w:rPr>
      </w:pPr>
    </w:p>
    <w:p w14:paraId="6FE03BF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86A142F" w14:textId="77777777" w:rsidR="00665165" w:rsidRPr="00925F26" w:rsidRDefault="00665165" w:rsidP="00925F26">
      <w:pPr>
        <w:autoSpaceDE w:val="0"/>
        <w:autoSpaceDN w:val="0"/>
        <w:adjustRightInd w:val="0"/>
        <w:jc w:val="both"/>
        <w:rPr>
          <w:iCs/>
          <w:color w:val="000000" w:themeColor="text1"/>
          <w:sz w:val="16"/>
          <w:szCs w:val="16"/>
        </w:rPr>
      </w:pPr>
    </w:p>
    <w:p w14:paraId="6894F64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8242 [О мерах по строительству и оборудованию долговременных оборонительных сооружений в укрепленных районах ДВФ, ЗабФ и ЗакФ.] (7330, 125,126-129).</w:t>
      </w:r>
    </w:p>
    <w:p w14:paraId="35B8421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CCD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8243. О выделении импортного плавучего крана для гидротехнических работ на восстановлении заводов № 444 и 445 НКСП. РГАНИР, Фонд ГКО, д. 404, лл. 130 (11012).</w:t>
      </w:r>
    </w:p>
    <w:p w14:paraId="64680F19" w14:textId="77777777" w:rsidR="00665165" w:rsidRPr="00925F26" w:rsidRDefault="00665165" w:rsidP="00925F26">
      <w:pPr>
        <w:autoSpaceDE w:val="0"/>
        <w:autoSpaceDN w:val="0"/>
        <w:adjustRightInd w:val="0"/>
        <w:jc w:val="both"/>
        <w:rPr>
          <w:color w:val="000000" w:themeColor="text1"/>
          <w:sz w:val="16"/>
          <w:szCs w:val="16"/>
        </w:rPr>
      </w:pPr>
    </w:p>
    <w:p w14:paraId="071826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Постановление ГКО № 8244 Об организации Государственного научно-исследовательского института Наркомата боеприпасов по созданию трубок, взрывателей и средств воспламенения к боеприпасам. РГАНИР, Фонд ГКО, д. 404, лл. 131-133 (11012).</w:t>
      </w:r>
    </w:p>
    <w:p w14:paraId="448200E2" w14:textId="77777777" w:rsidR="00665165" w:rsidRPr="00925F26" w:rsidRDefault="00665165" w:rsidP="00925F26">
      <w:pPr>
        <w:autoSpaceDE w:val="0"/>
        <w:autoSpaceDN w:val="0"/>
        <w:adjustRightInd w:val="0"/>
        <w:jc w:val="both"/>
        <w:rPr>
          <w:color w:val="000000" w:themeColor="text1"/>
          <w:sz w:val="16"/>
          <w:szCs w:val="16"/>
        </w:rPr>
      </w:pPr>
    </w:p>
    <w:p w14:paraId="4A68BE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22 апреля 1945 года на основании постановления ГКО от № 8244с и 29 апреля 1945 года </w:t>
      </w:r>
      <w:proofErr w:type="gramStart"/>
      <w:r w:rsidRPr="00925F26">
        <w:rPr>
          <w:color w:val="000000" w:themeColor="text1"/>
          <w:sz w:val="16"/>
          <w:szCs w:val="16"/>
        </w:rPr>
        <w:t>согласно приказа</w:t>
      </w:r>
      <w:proofErr w:type="gramEnd"/>
      <w:r w:rsidRPr="00925F26">
        <w:rPr>
          <w:color w:val="000000" w:themeColor="text1"/>
          <w:sz w:val="16"/>
          <w:szCs w:val="16"/>
        </w:rPr>
        <w:t xml:space="preserve"> НКБ № 164с на площадях завода № 323 был организован ГНИИ, в состав которого вошли ЦКБ-22, КБ завода № 42, Государственный специальный институт № 44 и опытный завод № 323.</w:t>
      </w:r>
    </w:p>
    <w:p w14:paraId="2F681E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ГНИИ был присвоен № 22 (ГНИИ-22).</w:t>
      </w:r>
    </w:p>
    <w:p w14:paraId="486A2042" w14:textId="77777777" w:rsidR="00665165" w:rsidRPr="00925F26" w:rsidRDefault="00665165" w:rsidP="00925F26">
      <w:pPr>
        <w:autoSpaceDE w:val="0"/>
        <w:autoSpaceDN w:val="0"/>
        <w:adjustRightInd w:val="0"/>
        <w:jc w:val="both"/>
        <w:rPr>
          <w:color w:val="000000" w:themeColor="text1"/>
          <w:sz w:val="16"/>
          <w:szCs w:val="16"/>
        </w:rPr>
      </w:pPr>
    </w:p>
    <w:p w14:paraId="2A644D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СНК от 15 ноября 1945 года № 28930848сс и приказом НКБ от 22 ноября 1945 года № 409сс на базе заводов № 504 и № 604 был организован ГНИИ-604.</w:t>
      </w:r>
    </w:p>
    <w:p w14:paraId="650028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5224C0B2" w14:textId="77777777" w:rsidR="00665165" w:rsidRPr="00925F26" w:rsidRDefault="00665165" w:rsidP="00925F26">
      <w:pPr>
        <w:autoSpaceDE w:val="0"/>
        <w:autoSpaceDN w:val="0"/>
        <w:adjustRightInd w:val="0"/>
        <w:jc w:val="both"/>
        <w:rPr>
          <w:color w:val="000000" w:themeColor="text1"/>
          <w:sz w:val="16"/>
          <w:szCs w:val="16"/>
        </w:rPr>
      </w:pPr>
    </w:p>
    <w:p w14:paraId="67015CA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8246 [Об укреплении дисциплины и улучшении материально-бытового обслуживания на судах Дальстроя НКВД, работающих на перевозке импортных грузов.] (7330, 144).</w:t>
      </w:r>
    </w:p>
    <w:p w14:paraId="3A4D6E4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78B94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8248. О мерах по проведению моторных испытаний новых образцов авиационных и автотракторных топлив и масел. РГАНИР, Фонд ГКО, д. 404, лл. 147-149 (11012).</w:t>
      </w:r>
    </w:p>
    <w:p w14:paraId="50D82023" w14:textId="77777777" w:rsidR="00665165" w:rsidRPr="00925F26" w:rsidRDefault="00665165" w:rsidP="00925F26">
      <w:pPr>
        <w:autoSpaceDE w:val="0"/>
        <w:autoSpaceDN w:val="0"/>
        <w:adjustRightInd w:val="0"/>
        <w:jc w:val="both"/>
        <w:rPr>
          <w:color w:val="000000" w:themeColor="text1"/>
          <w:sz w:val="16"/>
          <w:szCs w:val="16"/>
        </w:rPr>
      </w:pPr>
    </w:p>
    <w:p w14:paraId="0E55CA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8249. О разрешении увеличить хлебный паек до 1 кг 90 вольнонаемным и 850 заключенным, занятым на работах по сплаву леса для НКАП. РГАНИР, Фонд ГКО, д. 404, лл. 150 (11012).</w:t>
      </w:r>
    </w:p>
    <w:p w14:paraId="0C3C52BE" w14:textId="77777777" w:rsidR="00665165" w:rsidRPr="00925F26" w:rsidRDefault="00665165" w:rsidP="00925F26">
      <w:pPr>
        <w:autoSpaceDE w:val="0"/>
        <w:autoSpaceDN w:val="0"/>
        <w:adjustRightInd w:val="0"/>
        <w:jc w:val="both"/>
        <w:rPr>
          <w:color w:val="000000" w:themeColor="text1"/>
          <w:sz w:val="16"/>
          <w:szCs w:val="16"/>
        </w:rPr>
      </w:pPr>
    </w:p>
    <w:p w14:paraId="013EE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8250. Об увеличении производства бензина для НКРП в Грозном. РГАНИР, Фонд ГКО, д. 404, лл. 151 (11012).</w:t>
      </w:r>
    </w:p>
    <w:p w14:paraId="656CB639" w14:textId="77777777" w:rsidR="00665165" w:rsidRPr="00925F26" w:rsidRDefault="00665165" w:rsidP="00925F26">
      <w:pPr>
        <w:autoSpaceDE w:val="0"/>
        <w:autoSpaceDN w:val="0"/>
        <w:adjustRightInd w:val="0"/>
        <w:jc w:val="both"/>
        <w:rPr>
          <w:color w:val="000000" w:themeColor="text1"/>
          <w:sz w:val="16"/>
          <w:szCs w:val="16"/>
        </w:rPr>
      </w:pPr>
    </w:p>
    <w:p w14:paraId="1697A7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8251. О дополнительном выделении мазута заводам НКРП Ярославской обл. РГАНИР, Фонд ГКО, д. 404, лл. 152 (11012).</w:t>
      </w:r>
    </w:p>
    <w:p w14:paraId="5309D1D9" w14:textId="77777777" w:rsidR="00665165" w:rsidRPr="00925F26" w:rsidRDefault="00665165" w:rsidP="00925F26">
      <w:pPr>
        <w:autoSpaceDE w:val="0"/>
        <w:autoSpaceDN w:val="0"/>
        <w:adjustRightInd w:val="0"/>
        <w:jc w:val="both"/>
        <w:rPr>
          <w:color w:val="000000" w:themeColor="text1"/>
          <w:sz w:val="16"/>
          <w:szCs w:val="16"/>
        </w:rPr>
      </w:pPr>
    </w:p>
    <w:p w14:paraId="3AC45EC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8252 [О мерах по форсированию строительства объектов цистерностроения на Мариупольском заводе НКТП.] (7330, 153-155).</w:t>
      </w:r>
    </w:p>
    <w:p w14:paraId="1A74D62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F496D0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8253 [О материально-технических поставках НКГБ.] (7330, 156,157-166).</w:t>
      </w:r>
    </w:p>
    <w:p w14:paraId="0EE8F9A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BED1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спущен на воду 34-й МТ,</w:t>
      </w:r>
    </w:p>
    <w:p w14:paraId="256CF862" w14:textId="77777777" w:rsidR="00665165" w:rsidRPr="00925F26" w:rsidRDefault="00665165" w:rsidP="00925F26">
      <w:pPr>
        <w:autoSpaceDE w:val="0"/>
        <w:autoSpaceDN w:val="0"/>
        <w:adjustRightInd w:val="0"/>
        <w:jc w:val="both"/>
        <w:rPr>
          <w:iCs/>
          <w:color w:val="000000" w:themeColor="text1"/>
          <w:sz w:val="16"/>
          <w:szCs w:val="16"/>
        </w:rPr>
      </w:pPr>
    </w:p>
    <w:p w14:paraId="6081936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601B5E8" w14:textId="77777777" w:rsidR="00665165" w:rsidRPr="00925F26" w:rsidRDefault="00665165" w:rsidP="00925F26">
      <w:pPr>
        <w:autoSpaceDE w:val="0"/>
        <w:autoSpaceDN w:val="0"/>
        <w:adjustRightInd w:val="0"/>
        <w:jc w:val="both"/>
        <w:rPr>
          <w:iCs/>
          <w:color w:val="000000" w:themeColor="text1"/>
          <w:sz w:val="16"/>
          <w:szCs w:val="16"/>
        </w:rPr>
      </w:pPr>
    </w:p>
    <w:p w14:paraId="6AAC620A" w14:textId="77777777" w:rsidR="00DE38A8" w:rsidRPr="00925F26" w:rsidRDefault="00DE38A8" w:rsidP="00925F26">
      <w:pPr>
        <w:jc w:val="both"/>
        <w:rPr>
          <w:color w:val="000000" w:themeColor="text1"/>
          <w:sz w:val="16"/>
          <w:szCs w:val="16"/>
        </w:rPr>
      </w:pPr>
      <w:r w:rsidRPr="00925F26">
        <w:rPr>
          <w:color w:val="000000" w:themeColor="text1"/>
          <w:sz w:val="16"/>
          <w:szCs w:val="16"/>
        </w:rPr>
        <w:t>22 апреля в 1945 году оперативная сводка Совинформбюро:</w:t>
      </w:r>
    </w:p>
    <w:p w14:paraId="723A14E3" w14:textId="77777777" w:rsidR="00DE38A8" w:rsidRPr="00925F26" w:rsidRDefault="00DE38A8" w:rsidP="00925F26">
      <w:pPr>
        <w:jc w:val="both"/>
        <w:rPr>
          <w:color w:val="000000" w:themeColor="text1"/>
          <w:sz w:val="16"/>
          <w:szCs w:val="16"/>
        </w:rPr>
      </w:pPr>
      <w:r w:rsidRPr="00925F26">
        <w:rPr>
          <w:color w:val="000000" w:themeColor="text1"/>
          <w:sz w:val="16"/>
          <w:szCs w:val="16"/>
        </w:rPr>
        <w:t>«В течение 22 апреля Центральная группа наших войск продолжала вести наступательные бои на Дрезденском и Берлинском направлениях.</w:t>
      </w:r>
    </w:p>
    <w:p w14:paraId="394040F3" w14:textId="77777777" w:rsidR="00DE38A8" w:rsidRPr="00925F26" w:rsidRDefault="00DE38A8" w:rsidP="00925F26">
      <w:pPr>
        <w:jc w:val="both"/>
        <w:rPr>
          <w:color w:val="000000" w:themeColor="text1"/>
          <w:sz w:val="16"/>
          <w:szCs w:val="16"/>
        </w:rPr>
      </w:pPr>
      <w:r w:rsidRPr="00925F26">
        <w:rPr>
          <w:color w:val="000000" w:themeColor="text1"/>
          <w:sz w:val="16"/>
          <w:szCs w:val="16"/>
        </w:rPr>
        <w:t>На Дрезденском направлении наши войска заняли города Любенау, Даме, Шлибен, Зонневальде, Финстервальде, Руланд, Ельстерверда, Швепнитц, Буркау, Бишофсверда. По предварительным данным, с 17 по 21 апреля на этом направлении наши войска взяли в плен более 10.000 немецких солдат и офицеров и захватили 96 самолётов и свыше 150 танков и самоходных орудий противника.</w:t>
      </w:r>
    </w:p>
    <w:p w14:paraId="7108871C" w14:textId="77777777" w:rsidR="00DE38A8" w:rsidRPr="00925F26" w:rsidRDefault="00DE38A8" w:rsidP="00925F26">
      <w:pPr>
        <w:jc w:val="both"/>
        <w:rPr>
          <w:color w:val="000000" w:themeColor="text1"/>
          <w:sz w:val="16"/>
          <w:szCs w:val="16"/>
        </w:rPr>
      </w:pPr>
      <w:r w:rsidRPr="00925F26">
        <w:rPr>
          <w:color w:val="000000" w:themeColor="text1"/>
          <w:sz w:val="16"/>
          <w:szCs w:val="16"/>
        </w:rPr>
        <w:t>На Берлинском направлении наши войска заняли города Бизенталь, Кальберге, Клейншене6ек, Фридрихсхаген, Фюрстенвальде и пригороды Берлина — Глиникке, Любарс, Бланкенфельде, Розенталб", Буххольц, Каров, Бланкенбург, Мальхов, Вейсензее, Хозншонхауезен, Марцан, Бисдорф, Мальсдорф, Шенэйхе, Фихтенау, Вильгельмсхаген. По предварительным данным, с 17 по 21 апреля на этом направлении наши войска взяли в плен более 13.000 немецких солдат и офицеров и захватили следующие трофеи: самолётов — 60, танков и самоходных орудий — свыше 100, полевых орудий — более 500.</w:t>
      </w:r>
    </w:p>
    <w:p w14:paraId="6F343F65" w14:textId="77777777" w:rsidR="00DE38A8" w:rsidRPr="00925F26" w:rsidRDefault="00DE38A8" w:rsidP="00925F26">
      <w:pPr>
        <w:jc w:val="both"/>
        <w:rPr>
          <w:color w:val="000000" w:themeColor="text1"/>
          <w:sz w:val="16"/>
          <w:szCs w:val="16"/>
        </w:rPr>
      </w:pPr>
      <w:r w:rsidRPr="00925F26">
        <w:rPr>
          <w:color w:val="000000" w:themeColor="text1"/>
          <w:sz w:val="16"/>
          <w:szCs w:val="16"/>
        </w:rPr>
        <w:t>Севернее Вены войска 2-го Украинского фронта, продолжая наступление, с боями заняли на территории Австрии более 30 населённых пунктов и среди них Драсенхофен, Оттенталь, Вильдендюрбах, Нойдорф, Альтенмаркт, Айхенбрунн, Меркерсдорф, Симонофельд.</w:t>
      </w:r>
    </w:p>
    <w:p w14:paraId="4270FA35" w14:textId="77777777" w:rsidR="00DE38A8" w:rsidRPr="00925F26" w:rsidRDefault="00DE38A8"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033B881E" w14:textId="77777777" w:rsidR="00DE38A8" w:rsidRPr="00925F26" w:rsidRDefault="00DE38A8" w:rsidP="00925F26">
      <w:pPr>
        <w:jc w:val="both"/>
        <w:rPr>
          <w:color w:val="000000" w:themeColor="text1"/>
          <w:sz w:val="16"/>
          <w:szCs w:val="16"/>
        </w:rPr>
      </w:pPr>
      <w:r w:rsidRPr="00925F26">
        <w:rPr>
          <w:color w:val="000000" w:themeColor="text1"/>
          <w:sz w:val="16"/>
          <w:szCs w:val="16"/>
        </w:rPr>
        <w:t>За 21 апреля на всех фронтах подбито и уничтожено 156 немецких танков и самоходных орудий. В воздушных боях и огнём зенитной артиллерии сбито 56 самолётов противника.</w:t>
      </w:r>
    </w:p>
    <w:p w14:paraId="1DE1979B" w14:textId="77777777" w:rsidR="00DE38A8" w:rsidRPr="00925F26" w:rsidRDefault="00DE38A8" w:rsidP="00925F26">
      <w:pPr>
        <w:jc w:val="both"/>
        <w:rPr>
          <w:color w:val="000000" w:themeColor="text1"/>
          <w:sz w:val="16"/>
          <w:szCs w:val="16"/>
        </w:rPr>
      </w:pPr>
      <w:r w:rsidRPr="00925F26">
        <w:rPr>
          <w:color w:val="000000" w:themeColor="text1"/>
          <w:sz w:val="16"/>
          <w:szCs w:val="16"/>
        </w:rPr>
        <w:t>Центральная группа наших войск продолжала вести наступательные бои.</w:t>
      </w:r>
    </w:p>
    <w:p w14:paraId="7281CB55" w14:textId="77777777" w:rsidR="00DE38A8" w:rsidRPr="00925F26" w:rsidRDefault="00DE38A8" w:rsidP="00925F26">
      <w:pPr>
        <w:jc w:val="both"/>
        <w:rPr>
          <w:color w:val="000000" w:themeColor="text1"/>
          <w:sz w:val="16"/>
          <w:szCs w:val="16"/>
        </w:rPr>
      </w:pPr>
      <w:r w:rsidRPr="00925F26">
        <w:rPr>
          <w:color w:val="000000" w:themeColor="text1"/>
          <w:sz w:val="16"/>
          <w:szCs w:val="16"/>
        </w:rPr>
        <w:t>На Дрезденском направлении наши войска после упорного боя овладели городом Финстервальде – важным узлом шоссейных дорог. Вражеский гарнизон разгромлен. В городе имеются машиностроительные и литейные заводы, а также велосипедный завод и другие предприятия. Другие наши части выбили немцев из города Руланд, расположенного на канале Шварце-Ельстер. Развивая успех, наши войска с боями продвинулись вперед на 20 километров и овладели городом Ельстерверда.</w:t>
      </w:r>
    </w:p>
    <w:p w14:paraId="78626B4B" w14:textId="77777777" w:rsidR="00DE38A8" w:rsidRPr="00925F26" w:rsidRDefault="00DE38A8" w:rsidP="00925F26">
      <w:pPr>
        <w:jc w:val="both"/>
        <w:rPr>
          <w:color w:val="000000" w:themeColor="text1"/>
          <w:sz w:val="16"/>
          <w:szCs w:val="16"/>
        </w:rPr>
      </w:pPr>
      <w:r w:rsidRPr="00925F26">
        <w:rPr>
          <w:color w:val="000000" w:themeColor="text1"/>
          <w:sz w:val="16"/>
          <w:szCs w:val="16"/>
        </w:rPr>
        <w:t>На Берлинском направлении наши войска вели ожесточенные бои с упорно сопротивляющимся противником. Немецкое командование, стремясь преградить путь советским войскам, бросило в бой все имеющиеся силы. Берлинские военные школы прекратили занятия, а курсанты школ и обслуживающий персонал посланы на фронт. Гитлеровцы объявили в Берлине поголовную мобилизацию мужчин от 15 до 65 лет включительно. Все зенитные орудия противовоздушной обороны германской столицы также используются в качестве противотанковой артиллерии. Наши войска, преодолевая все препятствия, наносят противнику один удар за другим. Советские пехотинцы выбивают гитлеровцев из укрепленных зданий и артиллерийским огнем разрушают узлы сопротивления, а также баррикады из камня и кирпича, построенные на улицах пригородов Берлина. Наши танки и пехота, наступающие с северо-востока, заняли пригороды Бланкенбург, Мальхов и ворвались в пригород Вейсензее. Весь день шли ожесточенные бои. Советские штурмовые группы, усиленные орудиями, очищали квартал за кварталом, подавляя вражеские узлы сопротивления. Заняты фабрика «Ределер», трамвайный парк, электростанция и ряд промышленных предприятий, превращенных немцами в опорные пункты обороны. К исходу дня наши войска полностью заняли пригород Вейсензее и ведут бои в районе окружной железной дороги. Наши войска, наступающие с востока, мощным ударом прорвали долговременную оборону немцев в полосе озер и заняли пригороды Мальсдорф, Фихтенау и Вильгельмсхаген. Ожесточенные бои произошли также за город Фюрстенвальде – мощный опорный пункт обороны немцев юго-восточнее Берлина. Сильными ударами советские части выбили гитлеровцев из северной части города. К исходу дня вражеский гарнизон был полностью разгромлен и в беспорядке отступил. Противник несет огромные потери. По неполным данным, за день уничтожено до 8 тысяч немецких солдат и офицеров, 47 танков и самоходных орудий, более 150 полевых орудий и минометов. Бои на Берлинском направлении продолжаются днем и ночью, не стихая ни на час.</w:t>
      </w:r>
    </w:p>
    <w:p w14:paraId="72BB2058" w14:textId="77777777" w:rsidR="00DE38A8" w:rsidRPr="00925F26" w:rsidRDefault="00DE38A8" w:rsidP="00925F26">
      <w:pPr>
        <w:jc w:val="both"/>
        <w:rPr>
          <w:color w:val="000000" w:themeColor="text1"/>
          <w:sz w:val="16"/>
          <w:szCs w:val="16"/>
        </w:rPr>
      </w:pPr>
      <w:r w:rsidRPr="00925F26">
        <w:rPr>
          <w:color w:val="000000" w:themeColor="text1"/>
          <w:sz w:val="16"/>
          <w:szCs w:val="16"/>
        </w:rPr>
        <w:t>Советская авиация оказывает активную поддержку Центральной группе наших войск. Наши летчики атакуют боевые порядки и артиллерийские позиции противника, а также прикрывают советские наземные войска от нападений немецкой авиации. Группа истребителей под командованием капитана Четверткова встретила в воздухе 50 вражеских истребителей. Советские летчики атаковали противника. Лейтенант Бродский врезался в строй немецких самолетов и сбил один «Фокке-Вульф-190». На Бродского набросилось 6 истребителей противника. Умелым маневром лейтенант скрылся за облаками, а потом, неожиданно выйдя из-за облаков, сбил еще один вражеский самолет. Капитан Четвертков в этом бою сбил 2 немецких истребителя. Группа истребителей, ведомая старшим лейтенантом Лобачевым, встпила в бой с 14 вражескими самолетами. В результате боя советские летчики сбили 5 истребителей противника. Старший лейтенант Лобачев и младший лейтенант Кузоваткин в этом бою сбили по 2 немецких самолета каждый.</w:t>
      </w:r>
    </w:p>
    <w:p w14:paraId="0FD4B2CD" w14:textId="77777777" w:rsidR="00DE38A8" w:rsidRPr="00925F26" w:rsidRDefault="00DE38A8" w:rsidP="00925F26">
      <w:pPr>
        <w:jc w:val="both"/>
        <w:rPr>
          <w:color w:val="000000" w:themeColor="text1"/>
          <w:sz w:val="16"/>
          <w:szCs w:val="16"/>
        </w:rPr>
      </w:pPr>
      <w:r w:rsidRPr="00925F26">
        <w:rPr>
          <w:color w:val="000000" w:themeColor="text1"/>
          <w:sz w:val="16"/>
          <w:szCs w:val="16"/>
        </w:rPr>
        <w:t>Севернее Вены войска 2-го Украинского фронта продолжали наступление. Советские части, действующие в районе шоссе Вена – Брно, продвинулись вперед на 10 километров и ведут бои недалеко от города Микулов. Другие наши части встретили упорное сопротивление танков и пехоты противника в районе города Лаа. Отразив пять вражеских контратак, советские бойцы овладели опорным пунктом Альтенмаркт, находящимся в 5 километрах южнее города Лаа. За день боев уничтожено 23 немецких танка. Захвачены две артиллерийские батареи и свыше 200 пленных.</w:t>
      </w:r>
    </w:p>
    <w:p w14:paraId="6DDC2C6D" w14:textId="77777777" w:rsidR="00DE38A8" w:rsidRPr="00925F26" w:rsidRDefault="00DE38A8" w:rsidP="00925F26">
      <w:pPr>
        <w:jc w:val="both"/>
        <w:rPr>
          <w:color w:val="000000" w:themeColor="text1"/>
          <w:sz w:val="16"/>
          <w:szCs w:val="16"/>
        </w:rPr>
      </w:pPr>
      <w:r w:rsidRPr="00925F26">
        <w:rPr>
          <w:color w:val="000000" w:themeColor="text1"/>
          <w:sz w:val="16"/>
          <w:szCs w:val="16"/>
        </w:rPr>
        <w:t>Корабли Краснознаменного Балтийского флота потопили в южной части Балтийского моря немецкий транспорт водоизмещением в 8 тысяч тонн. Авиация флота наносила удары по судам противника в порту Пиллау и северо-западнее Пиллау. В результате этих ударов потоплены: один транспорт водоизмещением в 6 тысяч тонн, две быстроходные десантные баржи, две сухогрузные баржи и два катера.» (15107).</w:t>
      </w:r>
    </w:p>
    <w:p w14:paraId="32A13627" w14:textId="77777777" w:rsidR="00DE38A8" w:rsidRPr="00925F26" w:rsidRDefault="00DE38A8" w:rsidP="00925F26">
      <w:pPr>
        <w:jc w:val="both"/>
        <w:rPr>
          <w:color w:val="000000" w:themeColor="text1"/>
          <w:sz w:val="16"/>
          <w:szCs w:val="16"/>
        </w:rPr>
      </w:pPr>
    </w:p>
    <w:p w14:paraId="6DA7470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апреля 1945 вышло Постановление ГКО № 8245 Об обеспечении восстановления и строительства пограничных застав, зданий войск НКВД СССР и органов НКВД - НКГБ СССР. (7330, 134-136,137-143).</w:t>
      </w:r>
    </w:p>
    <w:p w14:paraId="455C3DE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C035B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апреля 1945 вышло Постановление ГКО № 8247 О сокращении численности местной противовоздушной обороны гор. Москвы. (7330, 145-146).</w:t>
      </w:r>
    </w:p>
    <w:p w14:paraId="2ED9830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9854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после ремонта B-17G (№ 43-38902), совершивший вынужденную посадку в Польше, севернее Жешува, близ аэродрома 341-го полка, перегнали в Полтаву. Это была первая "Крепость", поступившая в 45-ю дивизию (3457,112).</w:t>
      </w:r>
    </w:p>
    <w:p w14:paraId="3A0D823B" w14:textId="77777777" w:rsidR="00665165" w:rsidRPr="00925F26" w:rsidRDefault="00665165" w:rsidP="00925F26">
      <w:pPr>
        <w:autoSpaceDE w:val="0"/>
        <w:autoSpaceDN w:val="0"/>
        <w:adjustRightInd w:val="0"/>
        <w:jc w:val="both"/>
        <w:rPr>
          <w:color w:val="000000" w:themeColor="text1"/>
          <w:sz w:val="16"/>
          <w:szCs w:val="16"/>
        </w:rPr>
      </w:pPr>
    </w:p>
    <w:p w14:paraId="3349E8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с использованием PBI-1 Номад БФ был спасен пилот торпедоносца, сбитого восточнее маяка Хела (3457,130).</w:t>
      </w:r>
    </w:p>
    <w:p w14:paraId="35667304" w14:textId="77777777" w:rsidR="00665165" w:rsidRPr="00925F26" w:rsidRDefault="00665165" w:rsidP="00925F26">
      <w:pPr>
        <w:autoSpaceDE w:val="0"/>
        <w:autoSpaceDN w:val="0"/>
        <w:adjustRightInd w:val="0"/>
        <w:jc w:val="both"/>
        <w:rPr>
          <w:color w:val="000000" w:themeColor="text1"/>
          <w:sz w:val="16"/>
          <w:szCs w:val="16"/>
        </w:rPr>
      </w:pPr>
    </w:p>
    <w:p w14:paraId="36573CF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BCB9C43" w14:textId="77777777" w:rsidR="00665165" w:rsidRPr="00925F26" w:rsidRDefault="00665165" w:rsidP="00925F26">
      <w:pPr>
        <w:autoSpaceDE w:val="0"/>
        <w:autoSpaceDN w:val="0"/>
        <w:adjustRightInd w:val="0"/>
        <w:jc w:val="both"/>
        <w:rPr>
          <w:iCs/>
          <w:color w:val="000000" w:themeColor="text1"/>
          <w:sz w:val="16"/>
          <w:szCs w:val="16"/>
        </w:rPr>
      </w:pPr>
    </w:p>
    <w:p w14:paraId="5D3694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апреля 1945 вышло Распоряжение ГКО № 8255. О режиме содержания и использования интернированных немцев. РГАНИР, Фонд ГКО, д. 404, лл. 170 (11012).</w:t>
      </w:r>
    </w:p>
    <w:p w14:paraId="11F83E5E" w14:textId="77777777" w:rsidR="00665165" w:rsidRPr="00925F26" w:rsidRDefault="00665165" w:rsidP="00925F26">
      <w:pPr>
        <w:autoSpaceDE w:val="0"/>
        <w:autoSpaceDN w:val="0"/>
        <w:adjustRightInd w:val="0"/>
        <w:jc w:val="both"/>
        <w:rPr>
          <w:color w:val="000000" w:themeColor="text1"/>
          <w:sz w:val="16"/>
          <w:szCs w:val="16"/>
        </w:rPr>
      </w:pPr>
    </w:p>
    <w:p w14:paraId="7B7D5C35" w14:textId="77777777" w:rsidR="00DE38A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3476913" w14:textId="77777777" w:rsidR="00DE38A8" w:rsidRPr="00925F26" w:rsidRDefault="00DE38A8" w:rsidP="00925F26">
      <w:pPr>
        <w:autoSpaceDE w:val="0"/>
        <w:autoSpaceDN w:val="0"/>
        <w:adjustRightInd w:val="0"/>
        <w:jc w:val="both"/>
        <w:rPr>
          <w:iCs/>
          <w:color w:val="000000" w:themeColor="text1"/>
          <w:sz w:val="16"/>
          <w:szCs w:val="16"/>
        </w:rPr>
      </w:pPr>
    </w:p>
    <w:p w14:paraId="4184D505" w14:textId="77777777" w:rsidR="00143828" w:rsidRPr="00925F26" w:rsidRDefault="00143828" w:rsidP="00925F26">
      <w:pPr>
        <w:jc w:val="both"/>
        <w:rPr>
          <w:color w:val="000000" w:themeColor="text1"/>
          <w:sz w:val="16"/>
          <w:szCs w:val="16"/>
        </w:rPr>
      </w:pPr>
      <w:r w:rsidRPr="00925F26">
        <w:rPr>
          <w:color w:val="000000" w:themeColor="text1"/>
          <w:sz w:val="16"/>
          <w:szCs w:val="16"/>
        </w:rPr>
        <w:t>22 апреля 1945 совершается последний рейс в истории Deutsche Luft Hansa, нерегулярный рейс из Берлина в Варнемюнде . После капитуляции Германии в мае союзники распускают авиакомпанию и захватывают ее самолеты (20371).</w:t>
      </w:r>
    </w:p>
    <w:p w14:paraId="1FECF3D7" w14:textId="77777777" w:rsidR="00143828" w:rsidRPr="00925F26" w:rsidRDefault="00143828" w:rsidP="00925F26">
      <w:pPr>
        <w:jc w:val="both"/>
        <w:rPr>
          <w:color w:val="000000" w:themeColor="text1"/>
          <w:sz w:val="16"/>
          <w:szCs w:val="16"/>
        </w:rPr>
      </w:pPr>
    </w:p>
    <w:p w14:paraId="3596AF48" w14:textId="77777777" w:rsidR="00DE38A8" w:rsidRPr="00925F26" w:rsidRDefault="00DE38A8" w:rsidP="00925F26">
      <w:pPr>
        <w:jc w:val="both"/>
        <w:rPr>
          <w:color w:val="000000" w:themeColor="text1"/>
          <w:sz w:val="16"/>
          <w:szCs w:val="16"/>
        </w:rPr>
      </w:pPr>
      <w:r w:rsidRPr="00925F26">
        <w:rPr>
          <w:color w:val="000000" w:themeColor="text1"/>
          <w:sz w:val="16"/>
          <w:szCs w:val="16"/>
        </w:rPr>
        <w:t>22 апреля в 1945 году Адольф Гитлер принимает решение остаться в Берлине (15107).</w:t>
      </w:r>
    </w:p>
    <w:p w14:paraId="70CF2B87" w14:textId="77777777" w:rsidR="00DE38A8" w:rsidRPr="00925F26" w:rsidRDefault="00DE38A8" w:rsidP="00925F26">
      <w:pPr>
        <w:jc w:val="both"/>
        <w:rPr>
          <w:color w:val="000000" w:themeColor="text1"/>
          <w:sz w:val="16"/>
          <w:szCs w:val="16"/>
        </w:rPr>
      </w:pPr>
    </w:p>
    <w:p w14:paraId="56C5DA1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F4CB4E3" w14:textId="77777777" w:rsidR="00665165" w:rsidRPr="00925F26" w:rsidRDefault="00665165" w:rsidP="00925F26">
      <w:pPr>
        <w:autoSpaceDE w:val="0"/>
        <w:autoSpaceDN w:val="0"/>
        <w:adjustRightInd w:val="0"/>
        <w:jc w:val="both"/>
        <w:rPr>
          <w:iCs/>
          <w:color w:val="000000" w:themeColor="text1"/>
          <w:sz w:val="16"/>
          <w:szCs w:val="16"/>
        </w:rPr>
      </w:pPr>
    </w:p>
    <w:p w14:paraId="3CC477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был готов Як-3У с АШ-82ФН, который строился с 20 января 1945 сначала в Новосибирске, а затем в Москве. С 29 апреля по 9 июня он проходил заводские испытания на ЦА и первый вылет был 12 мая (П.Я.Федрови). 25 сентября доделали, но запускать не стали, так как пошел Як-11 (65,198).</w:t>
      </w:r>
    </w:p>
    <w:p w14:paraId="58268051" w14:textId="77777777" w:rsidR="00665165" w:rsidRPr="00925F26" w:rsidRDefault="00665165" w:rsidP="00925F26">
      <w:pPr>
        <w:autoSpaceDE w:val="0"/>
        <w:autoSpaceDN w:val="0"/>
        <w:adjustRightInd w:val="0"/>
        <w:jc w:val="both"/>
        <w:rPr>
          <w:color w:val="000000" w:themeColor="text1"/>
          <w:sz w:val="16"/>
          <w:szCs w:val="16"/>
        </w:rPr>
      </w:pPr>
    </w:p>
    <w:p w14:paraId="58157698"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завершена постройка истребителя ОКБ Яковлева «Як-ЗУ» (постройка по постановлению ГКО начата 20 января в Hовосибирске и закончена в Москве) (15108).</w:t>
      </w:r>
    </w:p>
    <w:p w14:paraId="4A7396E2" w14:textId="77777777" w:rsidR="003755B5" w:rsidRPr="00925F26" w:rsidRDefault="003755B5" w:rsidP="00925F26">
      <w:pPr>
        <w:jc w:val="both"/>
        <w:rPr>
          <w:color w:val="000000" w:themeColor="text1"/>
          <w:sz w:val="16"/>
          <w:szCs w:val="16"/>
        </w:rPr>
      </w:pPr>
    </w:p>
    <w:p w14:paraId="1AF2214B" w14:textId="77777777" w:rsidR="00403B6B" w:rsidRPr="001A0BAA" w:rsidRDefault="00403B6B" w:rsidP="00403B6B">
      <w:pPr>
        <w:jc w:val="both"/>
        <w:rPr>
          <w:color w:val="0070C0"/>
          <w:sz w:val="16"/>
          <w:szCs w:val="16"/>
        </w:rPr>
      </w:pPr>
      <w:r w:rsidRPr="001A0BAA">
        <w:rPr>
          <w:color w:val="0070C0"/>
          <w:sz w:val="16"/>
          <w:szCs w:val="16"/>
        </w:rPr>
        <w:t>23 апреля 1945 года в Москве закончили Як</w:t>
      </w:r>
      <w:r w:rsidRPr="001A0BAA">
        <w:rPr>
          <w:color w:val="0070C0"/>
          <w:sz w:val="16"/>
          <w:szCs w:val="16"/>
        </w:rPr>
        <w:noBreakHyphen/>
        <w:t>3У с АШ</w:t>
      </w:r>
      <w:r w:rsidRPr="001A0BAA">
        <w:rPr>
          <w:color w:val="0070C0"/>
          <w:sz w:val="16"/>
          <w:szCs w:val="16"/>
        </w:rPr>
        <w:noBreakHyphen/>
        <w:t>82ФН которую начали в Новосибирске на заводе № 153 20 января 1945 года. Заводские испытания начались 29 апреля. На высоте 6000 метров Як</w:t>
      </w:r>
      <w:r w:rsidRPr="001A0BAA">
        <w:rPr>
          <w:color w:val="0070C0"/>
          <w:sz w:val="16"/>
          <w:szCs w:val="16"/>
        </w:rPr>
        <w:noBreakHyphen/>
        <w:t xml:space="preserve">3У развивал скорость 682 км/ч. Высоту 5000 метров самолет набирал 3,9 мин. Чтобы еще больше улучшить характеристики </w:t>
      </w:r>
      <w:r w:rsidRPr="001A0BAA">
        <w:rPr>
          <w:color w:val="0070C0"/>
          <w:sz w:val="16"/>
          <w:szCs w:val="16"/>
        </w:rPr>
        <w:lastRenderedPageBreak/>
        <w:t>машины, ее отправили назад в ОКБ с целью заменить деревянное крыло металлическим. Работы закончились 25 сентября 1945 года, но из</w:t>
      </w:r>
      <w:r w:rsidRPr="001A0BAA">
        <w:rPr>
          <w:color w:val="0070C0"/>
          <w:sz w:val="16"/>
          <w:szCs w:val="16"/>
        </w:rPr>
        <w:noBreakHyphen/>
      </w:r>
      <w:proofErr w:type="gramStart"/>
      <w:r w:rsidRPr="001A0BAA">
        <w:rPr>
          <w:color w:val="0070C0"/>
          <w:sz w:val="16"/>
          <w:szCs w:val="16"/>
        </w:rPr>
        <w:t>за конца</w:t>
      </w:r>
      <w:proofErr w:type="gramEnd"/>
      <w:r w:rsidRPr="001A0BAA">
        <w:rPr>
          <w:color w:val="0070C0"/>
          <w:sz w:val="16"/>
          <w:szCs w:val="16"/>
        </w:rPr>
        <w:t xml:space="preserve"> войны дальнейшего развития проект не получил. Опыт, полученный при создании Як</w:t>
      </w:r>
      <w:r w:rsidRPr="001A0BAA">
        <w:rPr>
          <w:color w:val="0070C0"/>
          <w:sz w:val="16"/>
          <w:szCs w:val="16"/>
        </w:rPr>
        <w:noBreakHyphen/>
        <w:t>3У, использовали при проектировании Як</w:t>
      </w:r>
      <w:r w:rsidRPr="001A0BAA">
        <w:rPr>
          <w:color w:val="0070C0"/>
          <w:sz w:val="16"/>
          <w:szCs w:val="16"/>
        </w:rPr>
        <w:noBreakHyphen/>
        <w:t>11.</w:t>
      </w:r>
    </w:p>
    <w:p w14:paraId="55F40745" w14:textId="77777777" w:rsidR="00403B6B" w:rsidRPr="001A0BAA" w:rsidRDefault="00403B6B" w:rsidP="00403B6B">
      <w:pPr>
        <w:jc w:val="both"/>
        <w:rPr>
          <w:color w:val="0070C0"/>
          <w:sz w:val="16"/>
          <w:szCs w:val="16"/>
        </w:rPr>
      </w:pPr>
      <w:r w:rsidRPr="001A0BAA">
        <w:rPr>
          <w:color w:val="0070C0"/>
          <w:sz w:val="16"/>
          <w:szCs w:val="16"/>
        </w:rPr>
        <w:t>История истребителей Яковлев имеет еще одну страничку. Завод в Оренбурге получил заказ из Санта</w:t>
      </w:r>
      <w:r w:rsidRPr="001A0BAA">
        <w:rPr>
          <w:color w:val="0070C0"/>
          <w:sz w:val="16"/>
          <w:szCs w:val="16"/>
        </w:rPr>
        <w:noBreakHyphen/>
        <w:t>Моники, США на 20 копий Як</w:t>
      </w:r>
      <w:r w:rsidRPr="001A0BAA">
        <w:rPr>
          <w:color w:val="0070C0"/>
          <w:sz w:val="16"/>
          <w:szCs w:val="16"/>
        </w:rPr>
        <w:noBreakHyphen/>
        <w:t>3 для богатых американских миллионеров. Самолеты летают, но вместо штатного климовского двигателя на них установлен двигатель Allison 21 мощностью 925 кВт. Один такой самолет был доставлен транспортником АН</w:t>
      </w:r>
      <w:r w:rsidRPr="001A0BAA">
        <w:rPr>
          <w:color w:val="0070C0"/>
          <w:sz w:val="16"/>
          <w:szCs w:val="16"/>
        </w:rPr>
        <w:noBreakHyphen/>
        <w:t>124 на авиасалон в Париже в 1993 году. Машина несла эффектный серо</w:t>
      </w:r>
      <w:r w:rsidRPr="001A0BAA">
        <w:rPr>
          <w:color w:val="0070C0"/>
          <w:sz w:val="16"/>
          <w:szCs w:val="16"/>
        </w:rPr>
        <w:noBreakHyphen/>
        <w:t>темно</w:t>
      </w:r>
      <w:r w:rsidRPr="001A0BAA">
        <w:rPr>
          <w:color w:val="0070C0"/>
          <w:sz w:val="16"/>
          <w:szCs w:val="16"/>
        </w:rPr>
        <w:noBreakHyphen/>
        <w:t>серый камуфляж и пользовалась огромным успехом у посетителей (25976).</w:t>
      </w:r>
    </w:p>
    <w:p w14:paraId="0DC7D7C8" w14:textId="77777777" w:rsidR="00403B6B" w:rsidRPr="001A0BAA" w:rsidRDefault="00403B6B" w:rsidP="00403B6B">
      <w:pPr>
        <w:jc w:val="both"/>
        <w:rPr>
          <w:color w:val="0070C0"/>
          <w:sz w:val="16"/>
          <w:szCs w:val="16"/>
        </w:rPr>
      </w:pPr>
    </w:p>
    <w:p w14:paraId="4F704A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23 апреля по 30 апреля 1945 проходили гос. испытания модифицированного Ла-7 N 38109658 производства 381 завода с 3 мягкими бензобаками - 1 в центроплане, 2 - в консолях. Баки были разработаны С.А.Л. совместно с ВИАМ в сентябре 1944. И.М.Тимофеев выполнил 63 полета продолжительностью 8 час. 35 мин. (475,1).</w:t>
      </w:r>
    </w:p>
    <w:p w14:paraId="21F9EB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0BDB0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Проходили с 23 апреля по 30 апреля 1945. 63 полета с налетом 8:35</w:t>
      </w:r>
    </w:p>
    <w:p w14:paraId="6DE99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 исп. Инж-м Черняев</w:t>
      </w:r>
    </w:p>
    <w:p w14:paraId="35D0B6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ГСС м И.М.Тимофеев</w:t>
      </w:r>
    </w:p>
    <w:p w14:paraId="22E851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рез-ты испытаний и результаты предыдущих испытаний.</w:t>
      </w:r>
    </w:p>
    <w:p w14:paraId="459808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серийном с-те Ла-7 установлены (в центроплане) 3 мягких протектированных б/б: один центральный и 2 крайних.</w:t>
      </w:r>
    </w:p>
    <w:p w14:paraId="747EC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испытывающимся с-те № 9658 крайние металличские б/б заменены мягкими. Центральный бак остался металлическим.</w:t>
      </w:r>
    </w:p>
    <w:p w14:paraId="3EE14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Мягкие б/б разработаны т. С.А.Л. совместно с ВИАМ НКАП.</w:t>
      </w:r>
    </w:p>
    <w:p w14:paraId="634E34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A51E0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421AF4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1F1C59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настоящему времени приказ не реализован.</w:t>
      </w:r>
    </w:p>
    <w:p w14:paraId="1D91A2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с-т является первым с-том з-да № 381, оборудованным мягкими б/б</w:t>
      </w:r>
    </w:p>
    <w:p w14:paraId="770605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w:t>
      </w:r>
      <w:proofErr w:type="gramStart"/>
      <w:r w:rsidRPr="00925F26">
        <w:rPr>
          <w:color w:val="000000" w:themeColor="text1"/>
          <w:sz w:val="16"/>
          <w:szCs w:val="16"/>
        </w:rPr>
        <w:t>мм</w:t>
      </w:r>
      <w:proofErr w:type="gramEnd"/>
      <w:r w:rsidRPr="00925F26">
        <w:rPr>
          <w:color w:val="000000" w:themeColor="text1"/>
          <w:sz w:val="16"/>
          <w:szCs w:val="16"/>
        </w:rPr>
        <w:t xml:space="preserve"> За протектирующими элементами следует внешний силовой слой из облегченного кожезаменителя толщиной в 2,5-3 мм.</w:t>
      </w:r>
    </w:p>
    <w:p w14:paraId="3CFD03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5174FF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Мягкие б/б расположены в центроплане в фанерных отсеках, в которых закреплен в 10 точках (9 штырей и заливная горловина).</w:t>
      </w:r>
    </w:p>
    <w:p w14:paraId="10782A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мягких б/б 292 кг, а металлического протектированного - 296 кг. Вес двух баков - 26 кг, а металлических - 36 кг.</w:t>
      </w:r>
    </w:p>
    <w:p w14:paraId="6CFCA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3478A8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Модтфицированный с-т Ла-7 №... с крыльевыми мягкими б/б госиспытания прошел удовлетворительно.</w:t>
      </w:r>
    </w:p>
    <w:p w14:paraId="13E755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2CD2BF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5 мая 1945 Лосюков, Сафронов, ... (475,1).</w:t>
      </w:r>
    </w:p>
    <w:p w14:paraId="2C116BBB" w14:textId="77777777" w:rsidR="00665165" w:rsidRPr="00925F26" w:rsidRDefault="00665165" w:rsidP="00925F26">
      <w:pPr>
        <w:autoSpaceDE w:val="0"/>
        <w:autoSpaceDN w:val="0"/>
        <w:adjustRightInd w:val="0"/>
        <w:jc w:val="both"/>
        <w:rPr>
          <w:color w:val="000000" w:themeColor="text1"/>
          <w:sz w:val="16"/>
          <w:szCs w:val="16"/>
        </w:rPr>
      </w:pPr>
    </w:p>
    <w:p w14:paraId="335EAA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закончились гос. испытания машины 62 - ДБ А.Н.Т., сделанного на основе Ту-2 N 718, которые приходили с 20 ноября 1944. Нормальная взлетная масса - 11400 кг, макс. скорость - 539 км/час, тех. дальность - 2830 км, потолок - 10250 м. На основании испытаний НИИ ВВС сделало заключение о возможности создания путем модификации серийного Ту-2 ДБ, удовлетворяющего требованиям ТТТ ВВС к Ту-2Д. На вооружение не приняли, так как выявили множество конструктивных дефектов и требовала доработок. До 1947 использовали для опытных работ (1835,60).</w:t>
      </w:r>
    </w:p>
    <w:p w14:paraId="51CA0621" w14:textId="77777777" w:rsidR="00665165" w:rsidRPr="00925F26" w:rsidRDefault="00665165" w:rsidP="00925F26">
      <w:pPr>
        <w:autoSpaceDE w:val="0"/>
        <w:autoSpaceDN w:val="0"/>
        <w:adjustRightInd w:val="0"/>
        <w:jc w:val="both"/>
        <w:rPr>
          <w:color w:val="000000" w:themeColor="text1"/>
          <w:sz w:val="16"/>
          <w:szCs w:val="16"/>
        </w:rPr>
      </w:pPr>
    </w:p>
    <w:p w14:paraId="4E5A1387" w14:textId="77777777" w:rsidR="00A278CB" w:rsidRPr="00925F26" w:rsidRDefault="00A278CB" w:rsidP="00925F26">
      <w:pPr>
        <w:jc w:val="both"/>
        <w:rPr>
          <w:color w:val="000000" w:themeColor="text1"/>
          <w:sz w:val="16"/>
          <w:szCs w:val="16"/>
        </w:rPr>
      </w:pPr>
      <w:r w:rsidRPr="00925F26">
        <w:rPr>
          <w:color w:val="000000" w:themeColor="text1"/>
          <w:sz w:val="16"/>
          <w:szCs w:val="16"/>
        </w:rPr>
        <w:t>23 апреля 1945 г., в Германию вылетела группа генерала Н. И. Петрова, начальника Научного института самолетного оборудования, с задачей выявления чертежей и опытных образцов немецких ракет. Через месяц, 18 мая, в уже побежденную Германию выехала вторая группа под началом первого заместителя наркома боеприпасов П. Н. Горемыкина (19800).</w:t>
      </w:r>
    </w:p>
    <w:p w14:paraId="70ABFF53" w14:textId="77777777" w:rsidR="00A278CB" w:rsidRPr="00925F26" w:rsidRDefault="00A278CB" w:rsidP="00925F26">
      <w:pPr>
        <w:jc w:val="both"/>
        <w:rPr>
          <w:color w:val="000000" w:themeColor="text1"/>
          <w:sz w:val="16"/>
          <w:szCs w:val="16"/>
        </w:rPr>
      </w:pPr>
    </w:p>
    <w:p w14:paraId="116F18D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E18324A" w14:textId="77777777" w:rsidR="00665165" w:rsidRPr="00925F26" w:rsidRDefault="00665165" w:rsidP="00925F26">
      <w:pPr>
        <w:autoSpaceDE w:val="0"/>
        <w:autoSpaceDN w:val="0"/>
        <w:adjustRightInd w:val="0"/>
        <w:jc w:val="both"/>
        <w:rPr>
          <w:iCs/>
          <w:color w:val="000000" w:themeColor="text1"/>
          <w:sz w:val="16"/>
          <w:szCs w:val="16"/>
        </w:rPr>
      </w:pPr>
    </w:p>
    <w:p w14:paraId="314E205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апреля 1945 года вышел приказ № 142с НКБ Москва</w:t>
      </w:r>
    </w:p>
    <w:p w14:paraId="1D3B93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СНК № 6294рс от 17 апреля 1945 года реорганизовать с 1 апреля 1945 года особый завод № 862 в НИИ № 862 НКБ 6 Гл. Управления (5761, 68).</w:t>
      </w:r>
    </w:p>
    <w:p w14:paraId="118FE2A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7F79C33" w14:textId="77777777" w:rsidR="005D233C" w:rsidRPr="00925F26" w:rsidRDefault="005D233C" w:rsidP="00925F26">
      <w:pPr>
        <w:jc w:val="both"/>
        <w:rPr>
          <w:color w:val="000000" w:themeColor="text1"/>
          <w:sz w:val="16"/>
          <w:szCs w:val="16"/>
        </w:rPr>
      </w:pPr>
      <w:r w:rsidRPr="00925F26">
        <w:rPr>
          <w:color w:val="000000" w:themeColor="text1"/>
          <w:sz w:val="16"/>
          <w:szCs w:val="16"/>
        </w:rPr>
        <w:t>23 апреля в 1945 году по распоряжению Совета Народных комиссариата по боеприпасам. №142 на базе особого завода №862, продукция которого поставлялась на фронт образовано ФГУП "ФНПЦ "НИИ прикладной химии". В 1966 НИИ-862 переименован в НИИ прикладной химии, а в 1999 г. институту присвоен статус Федерального научно-производственного центра по пиротехнике. Институт является головным предприятием России по разработке, производству и утилизации пиротехнической продукции военного и гражданского назначения. Основной задачей института на 1945 год и первые послевоенные годы являлось создание новых более совершенных пиротехнических средств, отвечающих требованиям, которые выявились в ходе Великой Отечественной войны и второй мировой войны в целом. В соответствии с задачами, поставленными руководством НКБ, а затем Министерством сельхозмашиностроения, в подчинение которого был передан институт в 1946 году, работы в 1945-1947 годах проводились в направлениях совершенствования и разработки новых пиротехнических средств для сигнализации на большие расстояния и аэрофотосъемки, сигнальных и осветительных средств ближнего действия, дымовых маскирующих средств, учебных и имитационных изделий, механизации технологических процессов. В соответствии с Приказом МСХМ СССР от 11 февраля 1949 года, в институте создается технологический отдел для разработки и внедрения на пиротехнических заводах передовой технологии, средств механизации и автоматизации технологических процессов. С 1945 по 1950 год было выполнено 250 НИР и ОКР, в результате выполнения которых Министерство обороны получило новые более эффективные пиротехнические средства, а промышленность- заказы на их изготовление. К началу 1960-х годов в институте были разработаны и освоены в серийном производстве новые виды снаряжения для боеприпасов, разработанных ГСКБ-47 и НИИ-24, и новые изделия, а именно: факелы для осветительных авиабомб, артиллерийских снарядов и мин; снаряжение для фотоосветительных авиабомб; трассеры для артиллерийских снарядов, ракет и самолетов-мишеней; ручные реактивные сигнальные и осветительные патроны и др. В этот же период институтом разрабатываются первые промышленные образцы гражданской пиротехнической продукции: парковые фейерверочные изделия; пестицидные дымовые шашки; осадковызывающие составы, которые явились основой для развития в институте в дальнейшем целого направления по созданию противоградовых пиротехнических изделий и средств искусственного вызывания осадков для тушения лесных пожаров и осаждения туманов на взлетно-посадочных полосах аэродромов. В период с 1960 по 1980 годы конструкторскими службами института для опытного производства и серийных заводов было разработано современное технологическое оборудование для всех основных фаз изготовления пиротехнических средств: измельчения материалов, сушки компонентов и составов, усреднения металлических порошков, приготовления составов и высокочувствительных к внешним воздействиям смесей. В 1980-е годы работы в институте проводились по следующим основным научно-техническим направлениям: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научно-методическое обеспечение разработок и испытаний пиротехнических средств; разработка и автоматизация технологических процессов; создание нестандартного технологического оборудования; обеспечение безопасных условий труда. Всего с 1980 по 1992 год было разработано и передано в серийное производство более 80 видов новых пиротехнических средств военного и гражданского назначения. В конце 1980-х годов в связи с уменьшением заказа по оборонной тематике в институте были развернуты интенсивные работы по созданию пиротехнической гражданской продукции и товаров народного потребления. В 1990-х годах институтом были созданы экологически безопасные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и конструкций, средства охранной сигнализации и оружие самозащиты. Была разработана уникальная экологически чистая технология фильтрационного сжигания биологических отходов, в том числе зараженных опасными инфекционными носителями. В 1990-х годах была разработана и освоена в производстве широкая номенклатура средств развлекательной пиротехники: настольные и концертные искристые фонтаны, малогабаритные ракеты и салюты, восходящие искристые динамические игрушки-«бабочки», безопасные звуковые петарды, огненные колеса, бенгальские свечи, хлопушки и др. В настоящее время институт в своем составе имеет научно-</w:t>
      </w:r>
      <w:r w:rsidRPr="00925F26">
        <w:rPr>
          <w:color w:val="000000" w:themeColor="text1"/>
          <w:sz w:val="16"/>
          <w:szCs w:val="16"/>
        </w:rPr>
        <w:lastRenderedPageBreak/>
        <w:t>исследовательские, опытно-конструкторские, технологические подразделения и подразделения по маркетингу, рекламе и сбыту, опытное производство, испытательную базу с полигоном и способен проводить весь комплекс работ- от поисковых исследований до промышленного выпуска практически всей пиротехнической продукции и реализации ее на потребительском рынке. Номенклатура разработанных, принятых на вооружение и освоенных в производстве с 1945 года специальных пиротехнических средств, предназначенных для оснащения всех родов войск, превышает 550 наименований, в том числе более 200 пиротехнических изделий (воспламенители, заряды твердого топлива, средства пироавтоматики) используется в ракетных, ракетно-космических и артиллерийских системах. Номенклатура разработанных и освоенных в серийном производстве изделий гражданского назначения составляет свыше 170 наименований. На разработанные институтом составы, изделия, приборы, технологии и нестандартное оборудование было получено более 1550 авторских свидетельств на изобретение СССР. Разработки института отмечены 328-ю наградами ВДНХ (15108).</w:t>
      </w:r>
    </w:p>
    <w:p w14:paraId="513047D0" w14:textId="77777777" w:rsidR="005D233C" w:rsidRPr="00925F26" w:rsidRDefault="005D233C" w:rsidP="00925F26">
      <w:pPr>
        <w:jc w:val="both"/>
        <w:rPr>
          <w:color w:val="000000" w:themeColor="text1"/>
          <w:sz w:val="16"/>
          <w:szCs w:val="16"/>
        </w:rPr>
      </w:pPr>
    </w:p>
    <w:p w14:paraId="443FD6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23 апреля 1945г. Приказом НКБ Особый завод № 862 (Особый завод № 862 НКБ, НИИ-862 НКБ, МСХМ, ГКОТ, ММ, МОП, </w:t>
      </w:r>
      <w:r w:rsidRPr="00925F26">
        <w:rPr>
          <w:color w:val="000000" w:themeColor="text1"/>
          <w:sz w:val="16"/>
          <w:szCs w:val="16"/>
          <w:lang w:val="en-US"/>
        </w:rPr>
        <w:t>MOM</w:t>
      </w:r>
      <w:r w:rsidRPr="00925F26">
        <w:rPr>
          <w:color w:val="000000" w:themeColor="text1"/>
          <w:sz w:val="16"/>
          <w:szCs w:val="16"/>
        </w:rPr>
        <w:t>, НИИ прикладной химии (НИИПХ), ГУП, ФГУП «ФНПЦ НИИПХ» Росбоеприпаса /141313 (141300) г. Сергиев Посад Московской обл. ул. Академика Силина, 3; ул. Институтская, 5 тел. 40-616 (2005г.)/) был реорганизован в НИИ-862 в ведении 6ГУ НКБ. Основной задачей стало создание новых пиротехнических (дымовых, осветительных, фотоосветительных, сигнальных) средств и механизация опасных и трудоемких техпроцессов.</w:t>
      </w:r>
    </w:p>
    <w:p w14:paraId="6027C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Чебоксарское ОТБ-320, которое располагалось на заводе № 320, перебазировалось в г. Сергиев Посад (и вошло в состав НИИ-862). В составе НИИ-862 (1948г.)- Особое бюро.</w:t>
      </w:r>
    </w:p>
    <w:p w14:paraId="70D89F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1945-47г. велось совершенствование и разработка новых пиротехнических средств для сигнализации на большие расстояния и аэрофотосъемки, сигнальных и осветительных средств ближнего действия, дымовых и маскирующих средств, учебных и имитационных изделий. С 1949г. вырос объем работ по созданию зарядов для снаряжения крупногабаритных изделий (специальных снарядов и авиабомб). По приказу МСХМ от 11.02.1949г. создан технологический отдел для разработки внедрения на пиротехнических заводах передовой технологии, средств механизации и автоматизации технологических процессов. В 1945-50г. выполнено 250 НИОКР. В 1950-е г. созданы твердотопливные заряды на гидрореагирующем топливе (в качестве окислителя используется морская вода). К началу 1960-х г. созданы новые виды снаряжений: факелы для осветительных авиабомб, артиллерийских снарядов и мин, трассеры для снарядов, ракет и самолетов-мишеней, ручные реактивные сигнальные и осветительные патроны. В это же время разработаны первые образцы гражданской пиротехнической продукции: парковые фейерверки, пестицидные дымовые шашки, осадковызывающие составы. С конца 1950-х г. начаты работы по созданию новых нетрадиционных пиротехнических средств: твердых топлив для ракетно-прямоточных двигателей, воспламенителей для РДТТ, пиротехнических нагревателей, средств пироавтоматики для авиационно-космической техники. С 1960-х г. разрабатывались различные сигналы бедствия - сигнальные ракеты, патроны, шашки (световые, звуковые, дымовые), создан сигнальный буй для ПЛ (для глубин до 450 м). В 1965г. закончена модернизация существующих и введены в эксплуатацию новые испытательные стенды в институте и на полигоне. В 1960-80г. для ОП и серийных заводов разработано технологическое оборудование для всех основных фаз производства: измельчения материалов, сушки компонентов, усреднения металлических порошков, приготовления составов и высокочувствительных к внешним воздействиям смесей. Освоены в производстве твердое топливо и заряды из него для двигателей зенитных ракет и ракето-торпед, пиротехнические ложные цели и помехи для противодействия высокоточному оружию. В эти годы ежегодно передавалось в производство более 70 новых изделий.</w:t>
      </w:r>
    </w:p>
    <w:p w14:paraId="415D57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Направления работ (1980-е г.):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 методическое обеспечение разработок и испытаний; разработка и автоматизация техпроцессов; создание нестандартного технологического оборудования. Начинает развиваться новое направление - термобарические смеси и пиротехнические источники тока. В 1980-92г. разработано и передано в производство более 80 новых средств военного и гражданского назначения. В 1990-е г. разработаны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средства охранной сигнализации и оружие самозащиты. Разработана уникальная экологически чистая технология фильтрационного сжигания биологических отходов ПСФГ, в т.ч. зараженных опасными инфекциями. В 1990-е г. разработана и внедрена широкая номенклатура развлекательной пиротехники. Всего к 2000-м г. разработано и принято на вооружение более 550 наименований средств, в т.ч. более 200 пиротехнических изделий. Гражданских изделий создано и освоено в производстве более 170.</w:t>
      </w:r>
    </w:p>
    <w:p w14:paraId="34F0EC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1946г. НИИ-862 - в ведении МСХМ. В 1966г. НИИ-862 переименован в НИИПХ. В 1999г. присвоен статус ФНПЦ. По Указу Президента РФ № 1009 от 4.08.2004г. вошел в число стратегических оборонных предприятий. В 2005г. в соответствии с Федеральной целевой программой, утвержденной пост, правительства № 173 от 11.10.2001г., велось создание Государственного научно-производственного комплекса (ГНПК) «Пиротехнические изделия и помеховые боеприпасы», в который должны войти: НИИПХ (головной), Краснозаводский химзавод, Чебоксарское ПО им. Чапаева и «Сигнал».</w:t>
      </w:r>
    </w:p>
    <w:p w14:paraId="19A488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2004г. НИИПХ - головное предприятие фейерверочной промышленности России.</w:t>
      </w:r>
      <w:r w:rsidRPr="00925F26">
        <w:rPr>
          <w:color w:val="000000" w:themeColor="text1"/>
          <w:sz w:val="16"/>
          <w:szCs w:val="16"/>
          <w:vertAlign w:val="superscript"/>
        </w:rPr>
        <w:t>127</w:t>
      </w:r>
      <w:r w:rsidRPr="00925F26">
        <w:rPr>
          <w:color w:val="000000" w:themeColor="text1"/>
          <w:sz w:val="16"/>
          <w:szCs w:val="16"/>
        </w:rPr>
        <w:t xml:space="preserve"> Создано свыше 1000 наименований изделий.</w:t>
      </w:r>
    </w:p>
    <w:p w14:paraId="58071F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Совместно с ЛТИ им. Ленсовета проведена работа по созданию термоэлектрических источников тока.</w:t>
      </w:r>
    </w:p>
    <w:p w14:paraId="245F80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Спроектированы: линии подготовки компонентов; агрегаты смешения и грануляции составов; роторные прессы; поточная линия изготовления эластичных пиронагревателей; установки для проходного прессования; уникальная гидростатическая установка для прессования зарядов из сыпучих составов; установки для приготовления жидких и вязких композиций; оснастка для изготовления алюминиевых гильз (всего более 670 наименований оборудования).</w:t>
      </w:r>
    </w:p>
    <w:p w14:paraId="7EC1BB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(2000г.): ОКР «Игрушка» по разработке ряда еврокалибров экологически чистых высотных фейерверков.</w:t>
      </w:r>
    </w:p>
    <w:p w14:paraId="693F88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(2005г.): пассивные тепловые ложные цели и противо-РЛ средства; дымовые маскирующие и защитные составы; средства гидроакустического противодействия; металлизированные огнесмеси, термобарические и зажигательные составы для снаряжения боеприпасов; осветительные, фотоосветительные и сигнальные средства; плазменные ложные цели; твердые пиротехнические топлива для ПВРД и гидрореактивных двигателей; источники низкотемпературного азота для систем управления и ориентации; воспламенители для РДТТ и ЖРД, средства пироавтоматики; антитеррористические средства для нейтрализации преступников; автономные пиротехнические малогабаритные источники тока; пожаротушащие аэрозоли, средства вызывания осадков; устройства для резки и сварки металлов; заряды для восстановления нефтегазовых скважин; технологии утилизации биологических объектов, вредных химических соединений; разработка приборов для оценки эффективности действия изделий и контроля качества производства; установки для исследования процессов воспламенения, горения, тепломассообмена; оборудование для определения параметров дымовых средств, оптических, микрофизических и электрофизических характеристик продуктов горения.</w:t>
      </w:r>
    </w:p>
    <w:p w14:paraId="457022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2005г. разработано более 450 пиротехнических изделий военного назначения.</w:t>
      </w:r>
      <w:r w:rsidRPr="00925F26">
        <w:rPr>
          <w:color w:val="000000" w:themeColor="text1"/>
          <w:sz w:val="16"/>
          <w:szCs w:val="16"/>
          <w:vertAlign w:val="superscript"/>
        </w:rPr>
        <w:t>101</w:t>
      </w:r>
    </w:p>
    <w:p w14:paraId="79F2DA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имел (2005г.) опытное производство, экспериментальную базу, полигон.</w:t>
      </w:r>
    </w:p>
    <w:p w14:paraId="74C482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(-1945-07.1948г.)- А.П. Андрощук, (07.1948-начало 1950-х г.)- Ф.В. Козлов, (1964-90-е)- Н.А. Силин, (1994г.-)- Н.М. Вареных. Гендиректор (2004г.)- Н.М. Вареных.</w:t>
      </w:r>
    </w:p>
    <w:p w14:paraId="31D4C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директора по НИОКР- В.Н. Емельянов. Зам. директора: по ОКР (1964г.-)- П.В. Коваленко; по научной работе (1981-89г.)- В.Д. Борисов, по НИОКР (1991г.-)- В.Н. Емельянов, А.И. Спорыхин; по производству- В.А. Подсобляев; по экономике- В.И. Нистратов; по общим вопросам- С.М. Пухович; (1964г.-)- Е.С. Шахиджанов.</w:t>
      </w:r>
    </w:p>
    <w:p w14:paraId="4BBF05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(-1945-07.1948г.)- А.И. Флегонтов, (07.1948-начало 1950-х г.)- И.И. Вернидуб, (1964г.-)- Е.С. Берендаков, (1997г.-)- С.М. Пухович, В.И. Подсобляев.</w:t>
      </w:r>
    </w:p>
    <w:p w14:paraId="7A37DC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(1965г.)- Е.Д. Раков.</w:t>
      </w:r>
    </w:p>
    <w:p w14:paraId="4C0B87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(2004г.)- П. Пороховников. Начальник ТД «Русский фейерверк»- А.В. Усилии.</w:t>
      </w:r>
    </w:p>
    <w:p w14:paraId="715C50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внедрения передовых технологий (02.1949г.-)- И.А. Челноков; реализации оружия самообороны, фейерверочных изделий и спецпродукции- И.А. Чупринко.</w:t>
      </w:r>
    </w:p>
    <w:p w14:paraId="7D796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Руководители конструкторских подразделений: В.М. Бритов, В.И. Коновалов, К.А. Митин, В.П. Чулков.</w:t>
      </w:r>
    </w:p>
    <w:p w14:paraId="353FCB90"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запальное устройство для ракеты «036», заряд для пирозапала к форкамерам ПВРД, АБ, дымовые и световые трассеры (для К-7), комбинированный заряд к двигателю РАТ-52, воспламенитель к РДТТ для РАТ- 52М, топливо для РДТТ; механизированная линия ЛП-1 по производству асбестовых шайб пиронагревателей для РКТ (1971); пистолеты: четырехствольный ПБ-4М с электронным воспламенением капсюля комплекса самообороны «Оса»; двуствольный ПБ-2; противоградовая ракета комплекса «Кристалл»; дымовые шашки: для борьбы с насекомыми Д-20, Г-17, нейтральные НДШ (1970-е);</w:t>
      </w:r>
      <w:r w:rsidRPr="00925F26">
        <w:rPr>
          <w:iCs/>
          <w:color w:val="000000" w:themeColor="text1"/>
          <w:sz w:val="16"/>
          <w:szCs w:val="16"/>
        </w:rPr>
        <w:t xml:space="preserve"> гранаты:</w:t>
      </w:r>
      <w:r w:rsidRPr="00925F26">
        <w:rPr>
          <w:color w:val="000000" w:themeColor="text1"/>
          <w:sz w:val="16"/>
          <w:szCs w:val="16"/>
        </w:rPr>
        <w:t xml:space="preserve"> ручная РГ-60ТБ; дымовые: ЗД6, ЗД6М, ЗД17, ручная РГД-М (2000-е); светозвуковые: стационарная «Пламя», ручная «Заря-2», «Взлет-М», ВГ-40СЗ (2000-е); ослепляющего и оглушающего действия ГСЗ; термобарическая ВГ-40ТБ (2000-е); фейерверочные изделия (2000-е); пожаротушащие комплектующие: пускатель автономный кнопочный ПАК, аэрозольные генераторы ПАГ-04, -0,6, -1, -1,3, -2,6; патрон для огнетушителя ГГП-5, датчик электрический тепловой ДЭТА, азотогенерирующее средство; резак пиротехнический, фальшфейер Ф-ЗК, линемет УЛМ-1 (2000-е); ракеты: сигнальные РОЗ-ЗО, РОК-ЗО, парашютная ПРБ-40, звуковая ЗРБ-40 (2000-е); буй светодымящий БСД-97 (11982).</w:t>
      </w:r>
    </w:p>
    <w:p w14:paraId="6B71220F" w14:textId="77777777" w:rsidR="00665165" w:rsidRPr="00925F26" w:rsidRDefault="00665165" w:rsidP="00925F26">
      <w:pPr>
        <w:autoSpaceDE w:val="0"/>
        <w:autoSpaceDN w:val="0"/>
        <w:adjustRightInd w:val="0"/>
        <w:jc w:val="both"/>
        <w:rPr>
          <w:color w:val="000000" w:themeColor="text1"/>
          <w:sz w:val="16"/>
          <w:szCs w:val="16"/>
        </w:rPr>
      </w:pPr>
    </w:p>
    <w:p w14:paraId="6E3495FA" w14:textId="77777777" w:rsidR="006979C2" w:rsidRPr="00925F26" w:rsidRDefault="006979C2" w:rsidP="00925F26">
      <w:pPr>
        <w:jc w:val="both"/>
        <w:rPr>
          <w:color w:val="000000" w:themeColor="text1"/>
          <w:sz w:val="16"/>
          <w:szCs w:val="16"/>
        </w:rPr>
      </w:pPr>
      <w:r w:rsidRPr="00925F26">
        <w:rPr>
          <w:color w:val="000000" w:themeColor="text1"/>
          <w:sz w:val="16"/>
          <w:szCs w:val="16"/>
        </w:rPr>
        <w:t>23-29 апреля 1945 года — в той же машине Т-34-100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726A93D3" w14:textId="77777777" w:rsidR="006979C2" w:rsidRPr="00925F26" w:rsidRDefault="006979C2" w:rsidP="00925F26">
      <w:pPr>
        <w:jc w:val="both"/>
        <w:rPr>
          <w:color w:val="000000" w:themeColor="text1"/>
          <w:sz w:val="16"/>
          <w:szCs w:val="16"/>
        </w:rPr>
      </w:pPr>
      <w:r w:rsidRPr="00925F26">
        <w:rPr>
          <w:color w:val="000000" w:themeColor="text1"/>
          <w:sz w:val="16"/>
          <w:szCs w:val="16"/>
        </w:rPr>
        <w:lastRenderedPageBreak/>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7DB5F72A" w14:textId="77777777" w:rsidR="006979C2" w:rsidRPr="00925F26" w:rsidRDefault="006979C2" w:rsidP="00925F26">
      <w:pPr>
        <w:jc w:val="both"/>
        <w:rPr>
          <w:color w:val="000000" w:themeColor="text1"/>
          <w:sz w:val="16"/>
          <w:szCs w:val="16"/>
        </w:rPr>
      </w:pPr>
    </w:p>
    <w:p w14:paraId="3DD77E85" w14:textId="77777777" w:rsidR="00403B6B" w:rsidRPr="001A0BAA" w:rsidRDefault="00403B6B" w:rsidP="00403B6B">
      <w:pPr>
        <w:jc w:val="both"/>
        <w:rPr>
          <w:color w:val="0070C0"/>
          <w:sz w:val="16"/>
          <w:szCs w:val="16"/>
        </w:rPr>
      </w:pPr>
      <w:r w:rsidRPr="001A0BAA">
        <w:rPr>
          <w:color w:val="0070C0"/>
          <w:sz w:val="16"/>
          <w:szCs w:val="16"/>
        </w:rPr>
        <w:t>23-29 апреля 1945 года) в Т-34-100 испытали 100-мм пушку Д-10Т завода №9 НКВ, предназначенную для вооружения танка Т-54. Вывод был сле</w:t>
      </w:r>
      <w:r w:rsidRPr="001A0BAA">
        <w:rPr>
          <w:color w:val="0070C0"/>
          <w:sz w:val="16"/>
          <w:szCs w:val="16"/>
        </w:rPr>
        <w:softHyphen/>
        <w:t>дующим:</w:t>
      </w:r>
    </w:p>
    <w:p w14:paraId="0F1D9BA5" w14:textId="77777777" w:rsidR="00403B6B" w:rsidRPr="001A0BAA" w:rsidRDefault="00403B6B" w:rsidP="00403B6B">
      <w:pPr>
        <w:jc w:val="both"/>
        <w:rPr>
          <w:color w:val="0070C0"/>
          <w:sz w:val="16"/>
          <w:szCs w:val="16"/>
        </w:rPr>
      </w:pPr>
      <w:r w:rsidRPr="001A0BAA">
        <w:rPr>
          <w:color w:val="0070C0"/>
          <w:sz w:val="16"/>
          <w:szCs w:val="16"/>
        </w:rPr>
        <w:t>«Пушка испытание выдержала. По сравне</w:t>
      </w:r>
      <w:r w:rsidRPr="001A0BAA">
        <w:rPr>
          <w:color w:val="0070C0"/>
          <w:sz w:val="16"/>
          <w:szCs w:val="16"/>
        </w:rPr>
        <w:softHyphen/>
        <w:t>нию с пушкой ЛБ-1 имеет недостатки в отно</w:t>
      </w:r>
      <w:r w:rsidRPr="001A0BAA">
        <w:rPr>
          <w:color w:val="0070C0"/>
          <w:sz w:val="16"/>
          <w:szCs w:val="16"/>
        </w:rPr>
        <w:softHyphen/>
        <w:t>шении устойчивости, безопасности в работе заряжающего, экстракции гильз и прочности экстрактора» (25012).</w:t>
      </w:r>
    </w:p>
    <w:p w14:paraId="7DE8CEEC" w14:textId="77777777" w:rsidR="00403B6B" w:rsidRPr="001A0BAA" w:rsidRDefault="00403B6B" w:rsidP="00403B6B">
      <w:pPr>
        <w:jc w:val="both"/>
        <w:rPr>
          <w:color w:val="0070C0"/>
          <w:sz w:val="16"/>
          <w:szCs w:val="16"/>
        </w:rPr>
      </w:pPr>
    </w:p>
    <w:p w14:paraId="48D80DA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апреля 1945 года вышел приказ № 0202/145с НКБ Москва</w:t>
      </w:r>
    </w:p>
    <w:p w14:paraId="2390A23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ГОКО № 8043с о передаче в систему НКБ завода № 13 Наркомстроя (временно до окончания войны для размещения на нем вывозимого из Германии завода “Стальбау Хандлер Зооне” по производству авиабомб (5761, 80).</w:t>
      </w:r>
    </w:p>
    <w:p w14:paraId="7EAB52E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D9809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апреля 1945 вышло Постановление ГКО № 8256 О мерах по обеспечению строительства железнодорожной линии Комсомольск - бухта Ванино и паромной переправы через реку Амур. (7330, 171-177,178-179).</w:t>
      </w:r>
    </w:p>
    <w:p w14:paraId="1CA822B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94966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вышло Постановление ГКО № 8257 Об организации второй базы по производству авто-аэро и веловинтелей. РГАНИР, Фонд ГКО, д. 404, лл. 180-184, 185-188 (11012).</w:t>
      </w:r>
    </w:p>
    <w:p w14:paraId="0FEE4566" w14:textId="77777777" w:rsidR="00665165" w:rsidRPr="00925F26" w:rsidRDefault="00665165" w:rsidP="00925F26">
      <w:pPr>
        <w:autoSpaceDE w:val="0"/>
        <w:autoSpaceDN w:val="0"/>
        <w:adjustRightInd w:val="0"/>
        <w:jc w:val="both"/>
        <w:rPr>
          <w:color w:val="000000" w:themeColor="text1"/>
          <w:sz w:val="16"/>
          <w:szCs w:val="16"/>
        </w:rPr>
      </w:pPr>
    </w:p>
    <w:p w14:paraId="42E9082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апреля 1945 вышло Постановление ГКО № 8258 Об обеспечении перевозок грузов черной металлургии во II квартале 1945 г. (7331, 1-2,3-33).</w:t>
      </w:r>
    </w:p>
    <w:p w14:paraId="00E9F56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A77C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вышло Постановление ГКО № 8259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во II квартале 1945 года. РГАНИР, Фонд ГКО, д. 405, лл. 34-39, 40-99 (11012).</w:t>
      </w:r>
    </w:p>
    <w:p w14:paraId="50EE30A8" w14:textId="77777777" w:rsidR="00665165" w:rsidRPr="00925F26" w:rsidRDefault="00665165" w:rsidP="00925F26">
      <w:pPr>
        <w:autoSpaceDE w:val="0"/>
        <w:autoSpaceDN w:val="0"/>
        <w:adjustRightInd w:val="0"/>
        <w:jc w:val="both"/>
        <w:rPr>
          <w:color w:val="000000" w:themeColor="text1"/>
          <w:sz w:val="16"/>
          <w:szCs w:val="16"/>
        </w:rPr>
      </w:pPr>
    </w:p>
    <w:p w14:paraId="5CCD8B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спущен на воду 35-й ТЩ (10671).</w:t>
      </w:r>
    </w:p>
    <w:p w14:paraId="5473C6D5" w14:textId="77777777" w:rsidR="00665165" w:rsidRPr="00925F26" w:rsidRDefault="00665165" w:rsidP="00925F26">
      <w:pPr>
        <w:autoSpaceDE w:val="0"/>
        <w:autoSpaceDN w:val="0"/>
        <w:adjustRightInd w:val="0"/>
        <w:jc w:val="both"/>
        <w:rPr>
          <w:color w:val="000000" w:themeColor="text1"/>
          <w:sz w:val="16"/>
          <w:szCs w:val="16"/>
        </w:rPr>
      </w:pPr>
    </w:p>
    <w:p w14:paraId="789FBD8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337EB2C" w14:textId="77777777" w:rsidR="00665165" w:rsidRPr="00925F26" w:rsidRDefault="00665165" w:rsidP="00925F26">
      <w:pPr>
        <w:autoSpaceDE w:val="0"/>
        <w:autoSpaceDN w:val="0"/>
        <w:adjustRightInd w:val="0"/>
        <w:jc w:val="both"/>
        <w:rPr>
          <w:iCs/>
          <w:color w:val="000000" w:themeColor="text1"/>
          <w:sz w:val="16"/>
          <w:szCs w:val="16"/>
        </w:rPr>
      </w:pPr>
    </w:p>
    <w:p w14:paraId="3345B0C1" w14:textId="77777777" w:rsidR="005D233C" w:rsidRPr="00925F26" w:rsidRDefault="005D233C" w:rsidP="00925F26">
      <w:pPr>
        <w:jc w:val="both"/>
        <w:rPr>
          <w:color w:val="000000" w:themeColor="text1"/>
          <w:sz w:val="16"/>
          <w:szCs w:val="16"/>
        </w:rPr>
      </w:pPr>
      <w:r w:rsidRPr="00925F26">
        <w:rPr>
          <w:color w:val="000000" w:themeColor="text1"/>
          <w:sz w:val="16"/>
          <w:szCs w:val="16"/>
        </w:rPr>
        <w:t>23 апреля в 1945 году оперативная сводка Совинформбюро:</w:t>
      </w:r>
    </w:p>
    <w:p w14:paraId="139AB7AE" w14:textId="77777777" w:rsidR="005D233C" w:rsidRPr="00925F26" w:rsidRDefault="005D233C" w:rsidP="00925F26">
      <w:pPr>
        <w:jc w:val="both"/>
        <w:rPr>
          <w:color w:val="000000" w:themeColor="text1"/>
          <w:sz w:val="16"/>
          <w:szCs w:val="16"/>
        </w:rPr>
      </w:pPr>
      <w:r w:rsidRPr="00925F26">
        <w:rPr>
          <w:color w:val="000000" w:themeColor="text1"/>
          <w:sz w:val="16"/>
          <w:szCs w:val="16"/>
        </w:rPr>
        <w:t>«Войска 1-го Белорусского фронта, перейдя в наступление с плацдармов на западном берегу Одера, при поддержке массированных ударов артиллерии и авиации, прорвали сильно укреплённую, глубоко эшелонированную оборону немцев, прикрывавшую Берлин с востока, продвинулись вперёд от 60 до 100 километров, овладели городами Франкфурт-на-Одере, Вандлитц, Ораниенбург, Биркенвердер, Геннигсдорф, Панков, Фридрихсфельде, Карлсхорст, Кепеник и ворвались в столицу Германии Берлин. В боях за 22 апреля войска фронта взяли в плен свыше 4.000 немецких солдат и офицеров и захватили 85 полевых орудий, 3.100 автомашин, 67 паровозов, 1.800 железнодорожных вагонов и 30 складов с различным военным имуществом.</w:t>
      </w:r>
    </w:p>
    <w:p w14:paraId="31854057" w14:textId="77777777" w:rsidR="005D233C" w:rsidRPr="00925F26" w:rsidRDefault="005D233C" w:rsidP="00925F26">
      <w:pPr>
        <w:jc w:val="both"/>
        <w:rPr>
          <w:color w:val="000000" w:themeColor="text1"/>
          <w:sz w:val="16"/>
          <w:szCs w:val="16"/>
        </w:rPr>
      </w:pPr>
      <w:r w:rsidRPr="00925F26">
        <w:rPr>
          <w:color w:val="000000" w:themeColor="text1"/>
          <w:sz w:val="16"/>
          <w:szCs w:val="16"/>
        </w:rPr>
        <w:t>Войска 1-го Украинского фронта, перейдя в наступление, прорвали при поддержке массированных ударов артиллерии и авиации сильно укреплённую и глубоко эшелонированную оборону немцев на реке Нейсе, продвинулись вперёд от 80 до 160 километров, овладели городами Коттбус, Люббен, Цоссен, Беелитц, Лукенвальде, Тройенбритцен, Цана, Мариенфельде, Треббин, Рангсдорф, Дидерсдорф, Тельтов и ворвались с юга в столицу Германии Берлин.</w:t>
      </w:r>
    </w:p>
    <w:p w14:paraId="600210F0" w14:textId="77777777" w:rsidR="005D233C" w:rsidRPr="00925F26" w:rsidRDefault="005D233C" w:rsidP="00925F26">
      <w:pPr>
        <w:jc w:val="both"/>
        <w:rPr>
          <w:color w:val="000000" w:themeColor="text1"/>
          <w:sz w:val="16"/>
          <w:szCs w:val="16"/>
        </w:rPr>
      </w:pPr>
      <w:r w:rsidRPr="00925F26">
        <w:rPr>
          <w:color w:val="000000" w:themeColor="text1"/>
          <w:sz w:val="16"/>
          <w:szCs w:val="16"/>
        </w:rPr>
        <w:t>Одновременно на Дрезденском направлении войска фронта с боями заняли города Эссен, Кирххайн, Фалькенберг, Мюльберг, Пульснитц и вышли на реку Эльба северо-западнее Дрездена.</w:t>
      </w:r>
    </w:p>
    <w:p w14:paraId="4A509E07" w14:textId="77777777" w:rsidR="005D233C" w:rsidRPr="00925F26" w:rsidRDefault="005D233C" w:rsidP="00925F26">
      <w:pPr>
        <w:jc w:val="both"/>
        <w:rPr>
          <w:color w:val="000000" w:themeColor="text1"/>
          <w:sz w:val="16"/>
          <w:szCs w:val="16"/>
        </w:rPr>
      </w:pPr>
      <w:r w:rsidRPr="00925F26">
        <w:rPr>
          <w:color w:val="000000" w:themeColor="text1"/>
          <w:sz w:val="16"/>
          <w:szCs w:val="16"/>
        </w:rPr>
        <w:t>В боях за 22 апреля войска фронта взяли в плен более 7.000 немецких солдат и офицеров и захватили 200 танков, 105 полевых орудий и 3.000 автомашин.</w:t>
      </w:r>
    </w:p>
    <w:p w14:paraId="11CB6064" w14:textId="77777777" w:rsidR="005D233C" w:rsidRPr="00925F26" w:rsidRDefault="005D233C"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к исходу 22 апреля на территории Чехословакии штурмом овладели городом Опава (Троппау) — важным узлом дорог и сильным опорным пунктом обороны немцев.</w:t>
      </w:r>
    </w:p>
    <w:p w14:paraId="423D9ABE" w14:textId="77777777" w:rsidR="005D233C" w:rsidRPr="00925F26" w:rsidRDefault="005D233C" w:rsidP="00925F26">
      <w:pPr>
        <w:jc w:val="both"/>
        <w:rPr>
          <w:color w:val="000000" w:themeColor="text1"/>
          <w:sz w:val="16"/>
          <w:szCs w:val="16"/>
        </w:rPr>
      </w:pPr>
      <w:r w:rsidRPr="00925F26">
        <w:rPr>
          <w:color w:val="000000" w:themeColor="text1"/>
          <w:sz w:val="16"/>
          <w:szCs w:val="16"/>
        </w:rPr>
        <w:t>На территории Чехословакии юго-западнее Годонина войска 2-го Украинского фронта с боями заняли город Микулов и населённые пункты Леднице, Пулгари, Павлов, Перна, Пратлсбрун, Дольные Дунаевице, Доброе Поле.</w:t>
      </w:r>
    </w:p>
    <w:p w14:paraId="506650A0" w14:textId="77777777" w:rsidR="005D233C" w:rsidRPr="00925F26" w:rsidRDefault="005D233C"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было.</w:t>
      </w:r>
    </w:p>
    <w:p w14:paraId="002FEFA8" w14:textId="77777777" w:rsidR="005D233C" w:rsidRPr="00925F26" w:rsidRDefault="005D233C" w:rsidP="00925F26">
      <w:pPr>
        <w:jc w:val="both"/>
        <w:rPr>
          <w:color w:val="000000" w:themeColor="text1"/>
          <w:sz w:val="16"/>
          <w:szCs w:val="16"/>
        </w:rPr>
      </w:pPr>
      <w:r w:rsidRPr="00925F26">
        <w:rPr>
          <w:color w:val="000000" w:themeColor="text1"/>
          <w:sz w:val="16"/>
          <w:szCs w:val="16"/>
        </w:rPr>
        <w:t>За 22 апреля наши войска на всех фронтах подбили и уничтожили 165 немецких танков и самоходных орудий. В воздушных боях и огнём зенитной артиллерии сбит 61 самолёт противника.</w:t>
      </w:r>
    </w:p>
    <w:p w14:paraId="4A09B83A" w14:textId="77777777" w:rsidR="005D233C" w:rsidRPr="00925F26" w:rsidRDefault="005D233C" w:rsidP="00925F26">
      <w:pPr>
        <w:jc w:val="both"/>
        <w:rPr>
          <w:color w:val="000000" w:themeColor="text1"/>
          <w:sz w:val="16"/>
          <w:szCs w:val="16"/>
        </w:rPr>
      </w:pPr>
      <w:r w:rsidRPr="00925F26">
        <w:rPr>
          <w:color w:val="000000" w:themeColor="text1"/>
          <w:sz w:val="16"/>
          <w:szCs w:val="16"/>
        </w:rPr>
        <w:t>Войска 1-го Белорусского фронта развивали успешное наступление и ворвались в столицу Германии Берлин. Противник яростно сопротивляется, но под ударами советских войск оставляет одну позицию за другой. В результате обходного маневра и решительного штурма занят город Франкфурт-на-Одере – мощная крепость немцев на реке Одер и крупный промышленный центр. Обходя Берлин с севера, наши войска в результате стремительных ударов заняли город Биркенвердер. Продвигаясь по густо населенной местности, уничтожая вражеские узлы сопротивления и преодолевая на своем пути всевозможные препятствия, наши бойцы с хода переправились через Ггенцоллерн-канал. После упорных боев занят город Геннигсдорф на западном берегу канала. Одновременно советская пехота и конница владели городом Ораниенбург – центром металлургической и химической промышленности. Ожесточенные бои произошли в северо-восточной части Берлина. Немцы ввели в бой несколько пехотных полков и до 40 отдельных батальонов. Опираясь на укрепления, построенные у линии окруженной железной дороги, противник неоднократно переходил в контратаки. После сильного артиллерийского обстрела вражеских позиций наши войска прорвали немецкую оборону. Занят газовый завод и ряд городских кварталов. Советские танкисты и пехотинцы, наступающие с востока, выбили гитлеровцев из города Кепеник и, наращивая удары, ворвались в пригород Берлина – Карлсхорст. Занят аэродром и несколько заводов. В ходе боев противник несет огромные потери. Места боев завалены трупами вражеских солдат и офицеров. По неполным данным, за день сожжено и подбито 53 танкоа и уничтожено более 160 орудий противника.</w:t>
      </w:r>
    </w:p>
    <w:p w14:paraId="71ED6BC0" w14:textId="77777777" w:rsidR="005D233C" w:rsidRPr="00925F26" w:rsidRDefault="005D233C" w:rsidP="00925F26">
      <w:pPr>
        <w:jc w:val="both"/>
        <w:rPr>
          <w:color w:val="000000" w:themeColor="text1"/>
          <w:sz w:val="16"/>
          <w:szCs w:val="16"/>
        </w:rPr>
      </w:pPr>
      <w:r w:rsidRPr="00925F26">
        <w:rPr>
          <w:color w:val="000000" w:themeColor="text1"/>
          <w:sz w:val="16"/>
          <w:szCs w:val="16"/>
        </w:rPr>
        <w:t>Немецкое командование принимает самые крутые меры для усиления сопротивления своих войск. Вчера немецким артиллерийским частям был передан по радио приказ – стрелять по своей отступающей пехоте осколочными снарядами. На все просьбы командиров частей разрешить отход немецкое командование неизменно отвечает: «Держитесь при любых обстоятельствах. Кто отойдет, тот будет расстрелян».</w:t>
      </w:r>
    </w:p>
    <w:p w14:paraId="3C4B9571" w14:textId="77777777" w:rsidR="005D233C" w:rsidRPr="00925F26" w:rsidRDefault="005D233C" w:rsidP="00925F26">
      <w:pPr>
        <w:jc w:val="both"/>
        <w:rPr>
          <w:color w:val="000000" w:themeColor="text1"/>
          <w:sz w:val="16"/>
          <w:szCs w:val="16"/>
        </w:rPr>
      </w:pPr>
      <w:r w:rsidRPr="00925F26">
        <w:rPr>
          <w:color w:val="000000" w:themeColor="text1"/>
          <w:sz w:val="16"/>
          <w:szCs w:val="16"/>
        </w:rPr>
        <w:t>Войска 1-го Украинского фронта продолжали успешное наступление. Ожесточенные бои произошли за город Коттбус – сильно укрепленный пункт обороны немцев на реке Шпрее. Усилив гарнизон города танковой дивизией, противник оказывал упорное сопротивление. Сильными ударами советские части выбили гитлеровцев из восточной части города. Одновременно наши войска переправились через реку Шпрее, обошли Коттбус с запада. А затем предприняли штурм города. В уличных боях вражеский гарнизон был разбит и в беспорядке отступил. Коттбус является важным узлом путей сообщения. К нему сходятся восем железных и ряд шоссейных дорог. Кроме текстильных предприятий, в горое имеются 25 военных заводов. В боях за Коттбус войсками фронта уничтожено до 5 тысяч немецких солдат и офицеров и захвачены большие трофеи, в числе которых 100 танков и самоходных орудий. Северо-западнее города Шпремберг наши войска ликвидировали окруженную группу немецких войск. В состав этой группы входили части 10-й танковой дивизии СС, танковой дивизии «Охрана фюрера» и других соединений противника. Только в этом районе взято в плен свыше 3 тысяч гитлеровцев.</w:t>
      </w:r>
    </w:p>
    <w:p w14:paraId="3AB0F115" w14:textId="77777777" w:rsidR="005D233C" w:rsidRPr="00925F26" w:rsidRDefault="005D233C" w:rsidP="00925F26">
      <w:pPr>
        <w:jc w:val="both"/>
        <w:rPr>
          <w:color w:val="000000" w:themeColor="text1"/>
          <w:sz w:val="16"/>
          <w:szCs w:val="16"/>
        </w:rPr>
      </w:pPr>
      <w:r w:rsidRPr="00925F26">
        <w:rPr>
          <w:color w:val="000000" w:themeColor="text1"/>
          <w:sz w:val="16"/>
          <w:szCs w:val="16"/>
        </w:rPr>
        <w:t>Уничтожая подходящие к фронту резервы противника, наши войска за день продвинулись вперед на 50 километров и встретили сильно укрепленную и глубоко эшелонированную оборону немцев, прикрывавшую Берлин с юга. Мощными ударами артиллерии, авиации, танковых соединений и пехоты советские войска сокрушили вражескую оборону и с юга ворвались на улицы Берлина.</w:t>
      </w:r>
    </w:p>
    <w:p w14:paraId="311D9516" w14:textId="77777777" w:rsidR="005D233C" w:rsidRPr="00925F26" w:rsidRDefault="005D233C"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Советские части, переправившиеся через реку Опава, встретили развитую сеть долговременных железобетонных укреплений немцев. Особенно ожесточенный бой произошел за укрепленную высоту, прикрывающую подступы к городу Опава с востока. Наши подразделения блокировали на склонах высоты более тридцати дотов и дзотов и ликвидировали их гарнизоны. Развивая успех, войска фронта завязали бои на подступах к городу Опава. Немцы построили на окраинах города ряд восьмиамбразурных железобетонных дотов. Все каменные здания были превращены в узлы сопротивления. Советские танки с десантами пехоты на броне стремительным броском ворвались в восточную часть города. Действуя умело и решительно, наши штурмовые группы выбивали гитлеровцев из зданий и очищали от врага квартал за кварталом. Вчера к исходу дня наши войска завершили разгром вражеского гарнизона и полностью овладели Опавой – крупным промышленным городом Чехословакии и важным узлом железных и шоссейных дорог. Только на восточной окраине города уничтожено два батальона немецкой пехоты. Захвачены большие трофеи и взято в плен более 800 немецких солдат и офицеров.</w:t>
      </w:r>
    </w:p>
    <w:p w14:paraId="56ED3A64" w14:textId="77777777" w:rsidR="005D233C" w:rsidRPr="00925F26" w:rsidRDefault="005D233C" w:rsidP="00925F26">
      <w:pPr>
        <w:jc w:val="both"/>
        <w:rPr>
          <w:color w:val="000000" w:themeColor="text1"/>
          <w:sz w:val="16"/>
          <w:szCs w:val="16"/>
        </w:rPr>
      </w:pPr>
      <w:r w:rsidRPr="00925F26">
        <w:rPr>
          <w:color w:val="000000" w:themeColor="text1"/>
          <w:sz w:val="16"/>
          <w:szCs w:val="16"/>
        </w:rPr>
        <w:t>Кораблями Краснознаменного Балтийского флота в южной части Балтийского моря потоплены два немецких транспорта общим водоизмещением в 12 тысяч тонн.» (15108).</w:t>
      </w:r>
    </w:p>
    <w:p w14:paraId="65E60084" w14:textId="77777777" w:rsidR="005D233C" w:rsidRPr="00925F26" w:rsidRDefault="005D233C" w:rsidP="00925F26">
      <w:pPr>
        <w:jc w:val="both"/>
        <w:rPr>
          <w:color w:val="000000" w:themeColor="text1"/>
          <w:sz w:val="16"/>
          <w:szCs w:val="16"/>
        </w:rPr>
      </w:pPr>
    </w:p>
    <w:p w14:paraId="43AEC143"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период с 23 апреля по 20 мая 1945 108 гшап базировался на полевом аэродроме Коло (район Губен, Форст). Аэродром с суглинистой почвой, засеянный клевером, имел укатанную полосу размерами 1000^250 м. При выпадении осадков «аэродром размокал до такой степени, что руление и взлет самолетов были невозможны».</w:t>
      </w:r>
    </w:p>
    <w:p w14:paraId="2239041A"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lastRenderedPageBreak/>
        <w:t>Пока на фронте было затишье, материальную часть подготовили к летней эксплуатации и войсковым испытаниям, а также выполнили ряд доработок по устранению выявленных в ходе перелета новых конструктивных и производственных дефектов как на самолете, так и на моторе. Все работы выполнялись бригадами заводов № 1, 18 и 24 непосредственно на аэродроме Шпроттау.</w:t>
      </w:r>
    </w:p>
    <w:p w14:paraId="005F2E58"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 итогам перелета летчики отметили «плохой обзор вперед при рулежке и в полете в сложных метеоусловиях (снег, дождь)</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так как наклон переднего стекла неудачен, вода остается на стекле и видимость через него совершенно исчезает, а открытие фонаря в воздухе для улучшения обзора не предусмотрено».</w:t>
      </w:r>
    </w:p>
    <w:p w14:paraId="5E8191BA"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Ручка управления закрывает компас, пионер и другие приборы - «невозможно считать показания в полете». Предлагалось «выполнить ручку по типу самолета Ме-109».</w:t>
      </w:r>
    </w:p>
    <w:p w14:paraId="2BC0696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Летчики жаловались на трудное открывание и закрывание фонаря кабины. Ограничительные тросы открытия фонаря быстро изнашивались и рвались. При полном капоте экипаж покинуть самолет без посторонней помощи не мог. Вентиляция кабин летчика и стрелка оценивалась как неэффективная, управление заслонкой вентиляции неудобное (примитивное). В кабине было душно и, главное, жарко. Когда температура наружного воздуха поднялась выше +10-12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температура в кабинах летчика и стрелка достигала +40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xml:space="preserve"> и выше.</w:t>
      </w:r>
    </w:p>
    <w:p w14:paraId="0F98A508"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ряду массовых дефектов значилась негерметичность воздушной системы самолета, а ее емкости оказалось недостаточно для нормальной работы. За один полет в атмосферу стравливалось столько воздуха, что к моменту посадки давления в системе уже не хватало для уверенного выпуска шасси.</w:t>
      </w:r>
    </w:p>
    <w:p w14:paraId="6DFFED1C"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Конструкция механических указателей шасси «в эксплуатации ненадежная (ломаются, массовое явление)». Отмечалось низкое качество пластинчатых пружин в замках смотровых лючков. Пружины быстро теряли упругость и ломались. Ряд замков пришлось заменить новыми и даже ставить трофейные замки, которые удалось найти на аэродроме Шпроттау.</w:t>
      </w:r>
    </w:p>
    <w:p w14:paraId="0E3836C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Совершенно неудовлетворительной оказалась конструкция системы уборки и выпуска шасси. Выпуск шасси был возможен только на минимальных скоростях полета 250-270 км/ч и «сопровождается большой потерей высоты до 100-150 м». При этом в случае неисправной воздушной системы (низкое давление воздуха) выпустить шасси при помощи аварийной лебедки было невозможно, «так как тросы лебедки недостаточно прочны и обрываются». К тому же «для работы с аварийной лебедкой требуются очень большие усилия». Как отмечалось в отчете по войсковым испытаниям, «во всех случаях невыхода шасси аварийный выпуск шасси результатов не дал или из-за обрыва тросов, или из-за недостатка физических сил летчика».</w:t>
      </w:r>
    </w:p>
    <w:p w14:paraId="1D99F71D"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Именно по причине «ненормальной работы агрегатов шасси» в ходе перелета на фронт «было разбито 3 самолета и повреждено 3 самолета».</w:t>
      </w:r>
    </w:p>
    <w:p w14:paraId="36A9DB5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Обтекатели (лопухи) колес шасси при рулежке, взлете и пробеге по мягкому грунту и снежному покрову «зарываются, деформируются и тормозят движение самолета». При уборке шасси на повышенных скоростях 300-320 км/ч «обтекатели колес шасси проскакивают в купола центроплана, что приводит к их заеданию и посадке самолета с убранным шасси». В то же время «ремонт и подгонка обтекателей по месту требует затраты 15-20 ч/часов рабочими ПАРМ-3».</w:t>
      </w:r>
    </w:p>
    <w:p w14:paraId="2D4F8CB7"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ряде самолетов имела место несинхронная уборка и выпуск шасси, «достигающая 20-30 сек даже при повышенном давлении воздуха в системе до 38 атм».</w:t>
      </w:r>
    </w:p>
    <w:p w14:paraId="5FD61D9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Буксировочный трос с хомутами оказался неудобен, поэтому им не пользовались. «Вместо прилагаемого к самолету троса с хомутами» предлагалось установить на шасси постоянные крюки или кольца.</w:t>
      </w:r>
    </w:p>
    <w:p w14:paraId="343A5D9C"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Отмечались массовые случаи течи бензина в дюритовых соединениях бензофильтра с бензопомпой и из-под штуцеров подвода бензина к карбюраторам, воды из дюритовых соединений и фланцев трубок раздельного подвода воды к цилиндрам мотора, а также выбивание смазки из штауфера водопомпы через манжетное уплотнение поршня.</w:t>
      </w:r>
    </w:p>
    <w:p w14:paraId="3E25FA25"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Система запуска моторов не обеспечивала повышенного до 0,4-0,5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давления бензина перед карбюратором, что сильно затрудняло запуск мотора.</w:t>
      </w:r>
    </w:p>
    <w:p w14:paraId="51FA3A6D"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При посадке самолета с убранным шасси, как оказалось, нельзя слить воду из системы («при отрицательных температурах зимой обязательно приведет к разрыву сот водорадиатора»).</w:t>
      </w:r>
    </w:p>
    <w:p w14:paraId="07A0516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большинстве самолетов при перемещении сектора нормального газа синхронно с ним сдвигался и сектор высотного корректора («в следствие наличия люфта упорного кронштейна в месте посадки его на оси секторов»).</w:t>
      </w:r>
    </w:p>
    <w:p w14:paraId="2C5F7BD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Во время перелетов самолетов на фронт наблюдалось падение мощности мотора. Так, например, «первые отрезки маршрута при соблюдении скорости 340-350 км/ч режим работы мотора был 800-750 мм рт. ст. и 1850 об/мин, а последние отрезки маршрута на этом же режиме работы мотора скорость была 320-330 км/ч».</w:t>
      </w:r>
    </w:p>
    <w:p w14:paraId="661DB885"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Одновременно с работами по доводке самолетов решили дать дополнительную тренировку в боевом применении на Ил -10 как «старикам», так и молодому пополнению полка. Отработку упражнений предполагалось проводить на ближайшем полигоне. Но сначала, 30 марта и 1 апреля, наиболее опытными летчиками полка были выполнены испытательные полеты с целью определения надежности в работе стрелково -пушечного и бомбового вооружения «десятки». Всего было выполнено 8 испытательных полетов с налетом 5 ч 26 мин. Пушки и пулеметы работали без замечаний. Зависания бомб не наблюдалось. Только в одном случае произошел отказ электросбрасывателя ЭСБР -3п.</w:t>
      </w:r>
    </w:p>
    <w:p w14:paraId="1D3CBDF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Начиная с 5 апреля началась усиленная отработка летным составом полка бомбоштурмовых ударов по наземным целям, а также тренировка в технике пилотирования. В течение одного учебного дня в среднем выполнялось около 20-30 учебно-тренировочных полетов на Ил-10.</w:t>
      </w:r>
    </w:p>
    <w:p w14:paraId="3E50FCB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8 апреля из-за отказа в работе мотора младший лейтенант А. И. Дорох на Ил-10 зав. № 1892602 произвел вынужденную посадку с убранным шасси недалеко от аэродрома. При осмотре маслофильтра обнаружили большое количество стружки свинцовистой бронзы. Оказалось, что разрушились вкладыши подшипников коленчатого вала. К моменту аварии мотор АМ-42 зав. № 45232 наработал 29 часов. Самолет восстановили в ПАРМ-3, а мотор списали.</w:t>
      </w:r>
    </w:p>
    <w:p w14:paraId="43FC74C4"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12 апреля двумя экипажами было выполнено два экспериментальных полета на отработку методики бомбометания с постоянным углом упреждения 7°.</w:t>
      </w:r>
    </w:p>
    <w:p w14:paraId="47184D15"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0A51FC38"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06459ECE"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37E9E9A0"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23B4801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5EA2811D"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1B402D6C"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081B53B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 выполнению боевых заданий полк был подготовлен с общей оценкой по бомбометанию 4,3 балла и по стрельбе - 3,9.</w:t>
      </w:r>
    </w:p>
    <w:p w14:paraId="1B665D68"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411A29C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23C1D70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5E637E5C"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29F3868F"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7E7DEE7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403164B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41F2213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lastRenderedPageBreak/>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00F024AE"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17BBCC74"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1A9F3C2F"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69D4A55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1DD7B6AA"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77874E74" w14:textId="77777777" w:rsidR="00E773F9" w:rsidRPr="00925F26" w:rsidRDefault="00E773F9" w:rsidP="00925F26">
      <w:pPr>
        <w:jc w:val="both"/>
        <w:rPr>
          <w:color w:val="000000" w:themeColor="text1"/>
          <w:sz w:val="16"/>
          <w:szCs w:val="16"/>
        </w:rPr>
      </w:pPr>
    </w:p>
    <w:p w14:paraId="1CD9A8E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23 апреля 1945 108 полк всеми исправными самолетами перелетел на аэродром Коло, площадка которого была не такой </w:t>
      </w:r>
      <w:proofErr w:type="gramStart"/>
      <w:r w:rsidRPr="00925F26">
        <w:rPr>
          <w:rStyle w:val="107"/>
          <w:rFonts w:eastAsiaTheme="minorHAnsi"/>
          <w:color w:val="000000" w:themeColor="text1"/>
          <w:sz w:val="16"/>
          <w:szCs w:val="16"/>
        </w:rPr>
        <w:t>пыльной</w:t>
      </w:r>
      <w:proofErr w:type="gramEnd"/>
      <w:r w:rsidRPr="00925F26">
        <w:rPr>
          <w:rStyle w:val="107"/>
          <w:rFonts w:eastAsiaTheme="minorHAnsi"/>
          <w:color w:val="000000" w:themeColor="text1"/>
          <w:sz w:val="16"/>
          <w:szCs w:val="16"/>
        </w:rPr>
        <w:t xml:space="preserve"> и полоса и мела открытые подходы. С него полк продолжил боевую работу. С целью защиты моторов от пыли и грязи технический состав смазывал тавотом всасывающий патрубок, закрывал патрубки промасленными салфетками до прогрева мотора перед взлетом на старте. Но это помогало мало. Моторы постепенно теряли мощность. Вскоре из строя вышли еще три Ил-10 и все по причине износа поршневых колец мотора. Летать на остальных самолетах становилось опасным.</w:t>
      </w:r>
    </w:p>
    <w:p w14:paraId="6531B45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 состоянию на 30 апреля из строя вышли 18 (!) Ил-10. К этому времени моторы неисправных «десяток» наработали от 29 до 51 ч (из них в воздухе от 16 до 36 ч) при средней наработке 37 ч (в том числе 24 ч в воздухе). При этом наработка моторов на земле на пыльном аэродроме в среднем составила всего 1 ч 20 мин.</w:t>
      </w:r>
    </w:p>
    <w:p w14:paraId="3EE0EC5D"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оставшихся в боевом строю условно исправных самолетах Ил-10 также отмечалась потеря компрессии, износ и усадка поршневых колец («периодические хлопки белого дыма и прорыв воздуха в картер при проворачивании винта воздухом на холостом моторе»). Эти самолеты к боевым полетам оказались непригодными, «полеты на них могут быть разрешены только в районе аэродрома». Причем по заключению комиссии «моторы годны не более чем на 5 полетов».</w:t>
      </w:r>
    </w:p>
    <w:p w14:paraId="55D87570"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Итоговые выводы комиссии были неутешительны: «Дальнейшие полеты на этих самолетах из -за потери мощности моторов производить </w:t>
      </w:r>
      <w:proofErr w:type="gramStart"/>
      <w:r w:rsidRPr="00925F26">
        <w:rPr>
          <w:rStyle w:val="107"/>
          <w:rFonts w:eastAsiaTheme="minorHAnsi"/>
          <w:color w:val="000000" w:themeColor="text1"/>
          <w:sz w:val="16"/>
          <w:szCs w:val="16"/>
        </w:rPr>
        <w:t>невозможно./..</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После восстановления моторов и доукомплектования самолетами полк может на самолетах Ил-10 выполнять боевую работу».</w:t>
      </w:r>
    </w:p>
    <w:p w14:paraId="6C1E38B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Кроме массового выхода моторов из строя по потере компрессии, износу и усадке поршневых колец, за этот же период вр емени вышли из строя по другим причинам еще 6 моторов.</w:t>
      </w:r>
    </w:p>
    <w:p w14:paraId="5E733F1D"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Так, на Ил-10 зав. № 1890804 (мотор зав. № 45419) было обнаружено большое количество бронзовой стружки. Причиной появления стружки является разрушение бронзовой втулки прицепного шатуна мотора.</w:t>
      </w:r>
    </w:p>
    <w:p w14:paraId="06492C02"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Самолет зав. № 1892602 (мотор зав. № 45232) произвел вынужденную посадку с убранным шасси в районе своего аэродрома. При осмотре маслофильтра оказалось большое количество стружки свинцовистой бронзы как результат разрушения вкладышей коренных подшипников.</w:t>
      </w:r>
    </w:p>
    <w:p w14:paraId="4029EE7E"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Ил-10 зав. № 1893502 (мотор зав. № 45387) в полете на эксплуатационном режиме неоднократно появлялся выброс масла из суфлера мотора. При этом температура входящего масла доходила до 115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Причиной дефекта предположительно является повышенная теплоотдача в масло («нарушение нормальной работы поддона»).</w:t>
      </w:r>
    </w:p>
    <w:p w14:paraId="23AF203B"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маслофильтре мотора зав. № 45384 (Ил-10 зав. № 104071) появилась мелкая алюминиевая стружка. С мотора был «снят водо - маслоагрегат, на сетке которого обнаружено большое количество мелких частиц алюминия». Причина осталась невыясненной, так как мотор полностью разобрать не удалось. Наработка мотора составила 40 ч, из них в воздухе 25 ч.</w:t>
      </w:r>
    </w:p>
    <w:p w14:paraId="107443B7"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После наработки 43 ч, из них в воздухе 32 ч, на маслофильтре мотора зав. № 45508 (Ил-10 зав. № 104062) обнаружена стальная стружка и два фрагмента разрушенной гайки. Мотор подлежит съемке с самолета и переборке.</w:t>
      </w:r>
    </w:p>
    <w:p w14:paraId="57567382"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«десятке» инспектора Главного управления боевой подготовки фронтовой авиации ВВС КА мотор вышел из строя в результате течи воды в картер мотора.</w:t>
      </w:r>
    </w:p>
    <w:p w14:paraId="2A9A2CA0"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Тем временем 25 апреля из Куйбышева срочным бортом с завода № 24 прибыли три мотора АМ-42 под замену и 28 комплектов поршневых колец. Начиная со следующего дня часть технического состава полка под руководством инженера ЭРО завода № 24 П. С. Захарова занялась восстановлением неисправных моторов, доводя самолеты до боевой готовности. Моторы снимали с самолета, разбирали, заменяли поршневые кольца. Затем моторы собирались и устанавливались на самолет. Это очень трудоемкая и сложная процедура, особенно в полевых условиях.</w:t>
      </w:r>
    </w:p>
    <w:p w14:paraId="77AECD43"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Таким образом, за все время боевых действий в 108 гшап вышли из строя 92 % моторов, из них 76 % - по причине износа поршневых колец и 16 % - по причине появления бронзовой, стальной и алюминиевой стружек, попадания воды в картер и выбрасывания масла.</w:t>
      </w:r>
    </w:p>
    <w:p w14:paraId="08058D10"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Помимо этого, к числу серьезных дефектов АМ-42 относили трудный запуск «холодных моторов при наружной температуре воздуха ниже +18 °С».</w:t>
      </w:r>
    </w:p>
    <w:p w14:paraId="58014CE4"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Оказалось, что «существующая схема работы карбюратора К -42БП-А на малом газе не обеспечивает хорошего распыления топливной смеси и требует повышенного давления бензина в момент запуска (0,4-0,5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В то же время «установленная одна пусковая катушка КП-4716 в момент запуска мотора не обеспечивает достаточной мощности искры».</w:t>
      </w:r>
    </w:p>
    <w:p w14:paraId="44EFBBDE"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Полковые умельцы предложили «для облегчения пуска мотора» к правому магнето подключать вторую пусковую катушку.</w:t>
      </w:r>
    </w:p>
    <w:p w14:paraId="3C0702D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ходе эксплуатации карбюраторов К-42БП-А имели место три случая произвольного забеднения и два случая забогащения смеси. При разборке и осмотре карбюраторов причину дефекта установить не удалось.</w:t>
      </w:r>
    </w:p>
    <w:p w14:paraId="74051872"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Один карбюратор был заменен по причине отказа в работе на режиме ниже 1600 об/мин. Причина отказа также не установлена.</w:t>
      </w:r>
    </w:p>
    <w:p w14:paraId="0287B08C"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Авиационные свечи типа АС-132 производства завода № 161 установленный ресурс 30 ч не вырабатывали. Свечи выходили из строя в среднем через 11 ч режимной работы при максимальной наработке отдельных свечей в 22-25 ч. При использовании в топливе американских присадок тетроэтилового свинца свечи работали еще хуже. Наработка на отказ уменьшалась в среднем до 6 ч. Основной причиной отказов в работе свечей считался «перегрев центрального электрода и отложение свинца на электродах».</w:t>
      </w:r>
    </w:p>
    <w:p w14:paraId="2A8CAA53"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Как отмечалось в отчете по результатам войсковых испытаний, «после 224 боевых самолето-вылетов/.../108 Гвардейский штурмовой Рава-Русский ордена Суворова полк на самолетах Ил-10 с мотором АМ-42 по вине моторов вышел из строя боевых частей».</w:t>
      </w:r>
    </w:p>
    <w:p w14:paraId="716F063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Командир 6-й гвардейской штурмовой авиадивизии генерал-майор А. Ф. Курочкин доложил командиру 2-го гвардейского штурмового авиакорпуса генерал-майору С. В. Слюсареву, что «1. Задача, поставленная приказом командующего 2 ВА № 044 от 24.3.45 г. по боевому испытанию самолета Ил-10 с мотором АМ-42 108 Гв.</w:t>
      </w:r>
    </w:p>
    <w:p w14:paraId="4B4EA1E8"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ШАРРОСП - выполнена. 2. Самолет Ил-10 с мотором АМ-42 к дальнейшей эксплуатации в боевых условиях и в условиях пыльных аэродромов не пригоден. Может быть принят на эксплуатацию при устранении отмеченных недочетов в материале».</w:t>
      </w:r>
    </w:p>
    <w:p w14:paraId="22A61C0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 течение мая полк ни боевой, ни учебно -боевой работы на самолетах Ил-10 не вел, а занимался ремонтом неисправной матчасти и получением новой на авиабазе в г. Львове.</w:t>
      </w:r>
    </w:p>
    <w:p w14:paraId="598DC46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Всего в период с 16 по 30 апреля летчиками 108 гшап было выполнено 224 боевых самолетовылета с общим налетом 242 ч 15 мин, в том числе 4 </w:t>
      </w:r>
      <w:proofErr w:type="gramStart"/>
      <w:r w:rsidRPr="00925F26">
        <w:rPr>
          <w:rStyle w:val="107"/>
          <w:rFonts w:eastAsiaTheme="minorHAnsi"/>
          <w:color w:val="000000" w:themeColor="text1"/>
          <w:sz w:val="16"/>
          <w:szCs w:val="16"/>
        </w:rPr>
        <w:t>самолето-вылета</w:t>
      </w:r>
      <w:proofErr w:type="gramEnd"/>
      <w:r w:rsidRPr="00925F26">
        <w:rPr>
          <w:rStyle w:val="107"/>
          <w:rFonts w:eastAsiaTheme="minorHAnsi"/>
          <w:color w:val="000000" w:themeColor="text1"/>
          <w:sz w:val="16"/>
          <w:szCs w:val="16"/>
        </w:rPr>
        <w:t xml:space="preserve"> (4 ч 45 мин) на разведку войск противника и 220 (237 ч 30 мин) - на уничтожение живой силы и техники противника.</w:t>
      </w:r>
    </w:p>
    <w:p w14:paraId="2EB3B1E7"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3EBCBDA4"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69C4046F"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1FEAF795"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1428E02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7F2B130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lastRenderedPageBreak/>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3285C07F"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50369097"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855E37F"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72055587"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51AF067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4296F43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3422DF28"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За все время испытаний только в пяти случаях имели место встречи с истребителями противника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 xml:space="preserve">190 и </w:t>
      </w:r>
      <w:r w:rsidRPr="00925F26">
        <w:rPr>
          <w:rStyle w:val="107"/>
          <w:rFonts w:eastAsiaTheme="minorHAnsi"/>
          <w:color w:val="000000" w:themeColor="text1"/>
          <w:sz w:val="16"/>
          <w:szCs w:val="16"/>
          <w:lang w:val="en-US"/>
        </w:rPr>
        <w:t>Bf</w:t>
      </w:r>
      <w:r w:rsidRPr="00925F26">
        <w:rPr>
          <w:rStyle w:val="107"/>
          <w:rFonts w:eastAsiaTheme="minorHAnsi"/>
          <w:color w:val="000000" w:themeColor="text1"/>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38D7D5D4"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 xml:space="preserve">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w:t>
      </w:r>
      <w:proofErr w:type="gramStart"/>
      <w:r w:rsidRPr="00925F26">
        <w:rPr>
          <w:rStyle w:val="107"/>
          <w:rFonts w:eastAsiaTheme="minorHAnsi"/>
          <w:color w:val="000000" w:themeColor="text1"/>
          <w:sz w:val="16"/>
          <w:szCs w:val="16"/>
        </w:rPr>
        <w:t>самолето-вылетов</w:t>
      </w:r>
      <w:proofErr w:type="gramEnd"/>
      <w:r w:rsidRPr="00925F26">
        <w:rPr>
          <w:rStyle w:val="107"/>
          <w:rFonts w:eastAsiaTheme="minorHAnsi"/>
          <w:color w:val="000000" w:themeColor="text1"/>
          <w:sz w:val="16"/>
          <w:szCs w:val="16"/>
        </w:rPr>
        <w:t xml:space="preserve"> (80 ч 45 мин).</w:t>
      </w:r>
    </w:p>
    <w:p w14:paraId="4B32E6C1"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7ACB518D"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65048D73"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7AB35F1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4E54389E"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100CED07"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5AEDE10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72DEF8A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6EF5E519"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Отмечалась недостаточная эффективность тормозов. В четырех случаях при посадке разрушились покрышки колес шасси (800x260 мм).</w:t>
      </w:r>
    </w:p>
    <w:p w14:paraId="6A62E664"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6F2D8356"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4014617E" w14:textId="77777777" w:rsidR="00E773F9" w:rsidRPr="00925F26" w:rsidRDefault="00E773F9" w:rsidP="00925F26">
      <w:pPr>
        <w:jc w:val="both"/>
        <w:rPr>
          <w:color w:val="000000" w:themeColor="text1"/>
          <w:sz w:val="16"/>
          <w:szCs w:val="16"/>
        </w:rPr>
      </w:pPr>
      <w:r w:rsidRPr="00925F26">
        <w:rPr>
          <w:rStyle w:val="107"/>
          <w:rFonts w:eastAsiaTheme="minorHAnsi"/>
          <w:color w:val="000000" w:themeColor="text1"/>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68ED044D" w14:textId="77777777" w:rsidR="00E773F9" w:rsidRPr="00925F26" w:rsidRDefault="00E773F9" w:rsidP="00925F26">
      <w:pPr>
        <w:jc w:val="both"/>
        <w:rPr>
          <w:rStyle w:val="107"/>
          <w:rFonts w:eastAsiaTheme="minorHAnsi"/>
          <w:color w:val="000000" w:themeColor="text1"/>
          <w:sz w:val="16"/>
          <w:szCs w:val="16"/>
        </w:rPr>
      </w:pPr>
    </w:p>
    <w:p w14:paraId="67CADC88" w14:textId="77777777" w:rsidR="005D233C" w:rsidRPr="00925F26" w:rsidRDefault="005D233C" w:rsidP="00925F26">
      <w:pPr>
        <w:jc w:val="both"/>
        <w:rPr>
          <w:color w:val="000000" w:themeColor="text1"/>
          <w:sz w:val="16"/>
          <w:szCs w:val="16"/>
        </w:rPr>
      </w:pPr>
      <w:r w:rsidRPr="00925F26">
        <w:rPr>
          <w:color w:val="000000" w:themeColor="text1"/>
          <w:sz w:val="16"/>
          <w:szCs w:val="16"/>
        </w:rPr>
        <w:t>23 апреля в 1945 году утром делегатом связи капитаном Д.Г.Посиделовым, посланном на самолете «По-2», была установлена связь между штабами ворвавшихся на окраины Берлина 1-й и 3-й гвардейских танковых армий</w:t>
      </w:r>
    </w:p>
    <w:p w14:paraId="6C7B3016" w14:textId="77777777" w:rsidR="005D233C" w:rsidRPr="00925F26" w:rsidRDefault="005D233C" w:rsidP="00925F26">
      <w:pPr>
        <w:jc w:val="both"/>
        <w:rPr>
          <w:color w:val="000000" w:themeColor="text1"/>
          <w:sz w:val="16"/>
          <w:szCs w:val="16"/>
        </w:rPr>
      </w:pPr>
    </w:p>
    <w:p w14:paraId="4CF09E4C" w14:textId="77777777" w:rsidR="006979C2" w:rsidRPr="00925F26" w:rsidRDefault="006979C2" w:rsidP="00925F26">
      <w:pPr>
        <w:jc w:val="both"/>
        <w:rPr>
          <w:color w:val="000000" w:themeColor="text1"/>
          <w:sz w:val="16"/>
          <w:szCs w:val="16"/>
        </w:rPr>
      </w:pPr>
      <w:r w:rsidRPr="00925F26">
        <w:rPr>
          <w:color w:val="000000" w:themeColor="text1"/>
          <w:sz w:val="16"/>
          <w:szCs w:val="16"/>
        </w:rPr>
        <w:t>В течение 23 апреля 1945 части 3-й гвардейской танковой армии занимались подготовкой к продолжению наступления. При этом армию усилили артиллерией (артиллерийский корпус и артдивизия прорыва РГК, зенитная дивизия, бригада «катюш», инженерно-штурмовые части).</w:t>
      </w:r>
    </w:p>
    <w:p w14:paraId="45F5AF70" w14:textId="77777777" w:rsidR="006979C2" w:rsidRPr="00925F26" w:rsidRDefault="006979C2" w:rsidP="00925F26">
      <w:pPr>
        <w:jc w:val="both"/>
        <w:rPr>
          <w:color w:val="000000" w:themeColor="text1"/>
          <w:sz w:val="16"/>
          <w:szCs w:val="16"/>
        </w:rPr>
      </w:pPr>
      <w:r w:rsidRPr="00925F26">
        <w:rPr>
          <w:color w:val="000000" w:themeColor="text1"/>
          <w:sz w:val="16"/>
          <w:szCs w:val="16"/>
        </w:rPr>
        <w:t>Утром 24 апреля после артподготовки части армии приступили к форсированию канала, и несмотря на ожесточенное сопротивление противника к полудню в нескольких местах переправились на другой берег, а к исходу дня вышли на линию железной дороги Берлин-Потсдам и заняли станцию Целендорф.</w:t>
      </w:r>
    </w:p>
    <w:p w14:paraId="7D582FC1" w14:textId="77777777" w:rsidR="006979C2" w:rsidRPr="00925F26" w:rsidRDefault="006979C2" w:rsidP="00925F26">
      <w:pPr>
        <w:jc w:val="both"/>
        <w:rPr>
          <w:color w:val="000000" w:themeColor="text1"/>
          <w:sz w:val="16"/>
          <w:szCs w:val="16"/>
        </w:rPr>
      </w:pPr>
      <w:r w:rsidRPr="00925F26">
        <w:rPr>
          <w:color w:val="000000" w:themeColor="text1"/>
          <w:sz w:val="16"/>
          <w:szCs w:val="16"/>
        </w:rPr>
        <w:t>25 апреля части 3-й гвардейской танковой армии продолжали уличные бои в Берлине. Штаб армии об этом докладывал так:</w:t>
      </w:r>
    </w:p>
    <w:p w14:paraId="3B2CF7AC" w14:textId="77777777" w:rsidR="006979C2" w:rsidRPr="00925F26" w:rsidRDefault="006979C2" w:rsidP="00925F26">
      <w:pPr>
        <w:jc w:val="both"/>
        <w:rPr>
          <w:color w:val="000000" w:themeColor="text1"/>
          <w:sz w:val="16"/>
          <w:szCs w:val="16"/>
        </w:rPr>
      </w:pPr>
      <w:r w:rsidRPr="00925F26">
        <w:rPr>
          <w:color w:val="000000" w:themeColor="text1"/>
          <w:sz w:val="16"/>
          <w:szCs w:val="16"/>
        </w:rPr>
        <w:t>«Таким образом, войска армии, форсировав канал Тельтов, развернулись на фронте 10 км, охватывая Берлин с юго-запада, там, где противник менее всего ожидал наше наступление и менее всего был подготовлен к обороне. Выходом во фланг обороне противника в Штеглиц была решена участь этого района».</w:t>
      </w:r>
    </w:p>
    <w:p w14:paraId="4726655D" w14:textId="77777777" w:rsidR="006979C2" w:rsidRPr="00925F26" w:rsidRDefault="006979C2" w:rsidP="00925F26">
      <w:pPr>
        <w:jc w:val="both"/>
        <w:rPr>
          <w:color w:val="000000" w:themeColor="text1"/>
          <w:sz w:val="16"/>
          <w:szCs w:val="16"/>
        </w:rPr>
      </w:pPr>
      <w:r w:rsidRPr="00925F26">
        <w:rPr>
          <w:color w:val="000000" w:themeColor="text1"/>
          <w:sz w:val="16"/>
          <w:szCs w:val="16"/>
        </w:rPr>
        <w:t>26—27 апреля части армии вышли к окружной железной дороге и проходящему по ней внутреннему оборонительному обводу Берлина на участке от станции Шенеберг до станции Шмаргендорф. Передний край проходил по железнодорожной насыпи и являлся естественным рубежом и препятствием не только для танков, но и во многих местах для пехоты. Все мосты и виадуки в большинстве своем были взорваны, а сохранившиеся проходы в них преграждены надолбами в 2-3 ряда и забаррикадированы:</w:t>
      </w:r>
    </w:p>
    <w:p w14:paraId="270B7F7F" w14:textId="77777777" w:rsidR="006979C2" w:rsidRPr="00925F26" w:rsidRDefault="006979C2" w:rsidP="00925F26">
      <w:pPr>
        <w:jc w:val="both"/>
        <w:rPr>
          <w:color w:val="000000" w:themeColor="text1"/>
          <w:sz w:val="16"/>
          <w:szCs w:val="16"/>
        </w:rPr>
      </w:pPr>
      <w:r w:rsidRPr="00925F26">
        <w:rPr>
          <w:color w:val="000000" w:themeColor="text1"/>
          <w:sz w:val="16"/>
          <w:szCs w:val="16"/>
        </w:rPr>
        <w:t>«Огневые сооружения на переднем крае расположены непосредственно в насыпи в виде ДЗОТов для пулеметов, артиллерийских позиций и отдельно закопанных танков. Сохранившиеся здания, главным образом станционные постройки, вокзалы превращены в опорные пункты. Улицы, примыкающие к этим опорным пунктам, завалены ломом, забаррикадированы железнодорожными вагонами. Эта часть города наиболее сильно разрушена, имеет ничтожное количество сохранившихся зданий. Улицы превращены в руины и движение танков по ним затруднено. Помимо «естественных» (образовавшихся вследствие бомбежки авиации), встречаются барьеры, баррикады из камня и дерева, завалы из домашней утвари и т.д. В наиболее ответственных местах баррикады усилены взрывными заграждениями (очаги мин. фугасы).</w:t>
      </w:r>
    </w:p>
    <w:p w14:paraId="7F26F563" w14:textId="77777777" w:rsidR="006979C2" w:rsidRPr="00925F26" w:rsidRDefault="006979C2" w:rsidP="00925F26">
      <w:pPr>
        <w:jc w:val="both"/>
        <w:rPr>
          <w:color w:val="000000" w:themeColor="text1"/>
          <w:sz w:val="16"/>
          <w:szCs w:val="16"/>
        </w:rPr>
      </w:pPr>
      <w:r w:rsidRPr="00925F26">
        <w:rPr>
          <w:color w:val="000000" w:themeColor="text1"/>
          <w:sz w:val="16"/>
          <w:szCs w:val="16"/>
        </w:rPr>
        <w:t>Под огневые сооружения приспособлены, главным образом, подвалы и остатки разрушенных стен. В сохранившихся зданиях квартала противник организовал основные узлы сопротивления. Около них он сосредоточивал основные силы и технику (вкапывал танки, располагал артиллерию)».</w:t>
      </w:r>
    </w:p>
    <w:p w14:paraId="14A0D765" w14:textId="77777777" w:rsidR="006979C2" w:rsidRPr="00925F26" w:rsidRDefault="006979C2" w:rsidP="00925F26">
      <w:pPr>
        <w:jc w:val="both"/>
        <w:rPr>
          <w:color w:val="000000" w:themeColor="text1"/>
          <w:sz w:val="16"/>
          <w:szCs w:val="16"/>
        </w:rPr>
      </w:pPr>
      <w:r w:rsidRPr="00925F26">
        <w:rPr>
          <w:color w:val="000000" w:themeColor="text1"/>
          <w:sz w:val="16"/>
          <w:szCs w:val="16"/>
        </w:rPr>
        <w:t>К вечеру 27 апреля части армии вышли на Хаупт штрассе и Вильгельм плац — в центральные кварталы Берлина в районе Шенеберг и «выйдя на основную магистраль, ведущую к Рейхстагу», а также соединились с частями 8-й ударной и 2-й танковой армий 1-го Белорусского фронта.</w:t>
      </w:r>
    </w:p>
    <w:p w14:paraId="7973FE0D" w14:textId="77777777" w:rsidR="006979C2" w:rsidRPr="00925F26" w:rsidRDefault="006979C2" w:rsidP="00925F26">
      <w:pPr>
        <w:jc w:val="both"/>
        <w:rPr>
          <w:color w:val="000000" w:themeColor="text1"/>
          <w:sz w:val="16"/>
          <w:szCs w:val="16"/>
        </w:rPr>
      </w:pPr>
      <w:r w:rsidRPr="00925F26">
        <w:rPr>
          <w:color w:val="000000" w:themeColor="text1"/>
          <w:sz w:val="16"/>
          <w:szCs w:val="16"/>
        </w:rPr>
        <w:t>28 апреля 3-я гвардейская танковая армия, преодолевая сильное сопротивление противника, вышла на перекресток улиц Курфюрстен штрассе и Войрш штрассе, к Винтерфельдт плац, Берлинер штрассе и заняла станции Весткройц и Халензее.</w:t>
      </w:r>
    </w:p>
    <w:p w14:paraId="71E63A0C" w14:textId="77777777" w:rsidR="006979C2" w:rsidRPr="00925F26" w:rsidRDefault="006979C2" w:rsidP="00925F26">
      <w:pPr>
        <w:jc w:val="both"/>
        <w:rPr>
          <w:color w:val="000000" w:themeColor="text1"/>
          <w:sz w:val="16"/>
          <w:szCs w:val="16"/>
        </w:rPr>
      </w:pPr>
      <w:r w:rsidRPr="00925F26">
        <w:rPr>
          <w:color w:val="000000" w:themeColor="text1"/>
          <w:sz w:val="16"/>
          <w:szCs w:val="16"/>
        </w:rPr>
        <w:t>Вечером того же дня командование фронтом сообщило штабу армии, что директивой Ставки Верховного Главнокомандования с 24 часов 28 апреля изменяется разгран- линия между 1-м Белорусским и 1-м Украинским фронтами в Берлине. Новая линия проходила через Мари- ендорф, станцию Темпельхоф, Виктор-Луизе плац и по железной дороге на станции Шарлоттенбург, Вес- ткройц, Рулебен. Таким образом, «эта разгранлиния отрезала для 1 -го Белорусского фронта центральную часть Берлина с Рейхстагом, Тир- гартеном и частью центра у Ландвер канала, куда 28.4 вышли части 9-го мехкорпуса. В новых границах на 29.4.45 перед 3-й гвардейской танковой армией осталось очистить площадь около 4 км городского района Вильмерсдорф».</w:t>
      </w:r>
    </w:p>
    <w:p w14:paraId="284DCBFB" w14:textId="77777777" w:rsidR="006979C2" w:rsidRPr="00925F26" w:rsidRDefault="006979C2" w:rsidP="00925F26">
      <w:pPr>
        <w:jc w:val="both"/>
        <w:rPr>
          <w:color w:val="000000" w:themeColor="text1"/>
          <w:sz w:val="16"/>
          <w:szCs w:val="16"/>
        </w:rPr>
      </w:pPr>
      <w:r w:rsidRPr="00925F26">
        <w:rPr>
          <w:color w:val="000000" w:themeColor="text1"/>
          <w:sz w:val="16"/>
          <w:szCs w:val="16"/>
        </w:rPr>
        <w:t>29-30 апреля части армии вели уличные бои и продолжали сжимать окруженную группировку противника в районах Шенеберг и Вильмерсдорф, в результате чего к вечеру 1 мая 1945 года «не очищенной от противника осталась территория меньше одного квадратного километра» (12217).</w:t>
      </w:r>
    </w:p>
    <w:p w14:paraId="4B972C22" w14:textId="77777777" w:rsidR="006979C2" w:rsidRPr="00925F26" w:rsidRDefault="006979C2" w:rsidP="00925F26">
      <w:pPr>
        <w:jc w:val="both"/>
        <w:rPr>
          <w:color w:val="000000" w:themeColor="text1"/>
          <w:sz w:val="16"/>
          <w:szCs w:val="16"/>
        </w:rPr>
      </w:pPr>
    </w:p>
    <w:p w14:paraId="0184E6E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23 апреля 1945 29-я советская гвардейская мотострелковая бригада форсировала канал Тельтов на южной окраине Берлина. 35-я советская гвардейская механизированная бригада разгромила части немецкой пехотной дивизии ''Фридрих Людвиг Ян'' на южной окраине Берлина (</w:t>
      </w:r>
      <w:proofErr w:type="gramStart"/>
      <w:r w:rsidRPr="00925F26">
        <w:rPr>
          <w:color w:val="000000" w:themeColor="text1"/>
          <w:sz w:val="16"/>
          <w:szCs w:val="16"/>
        </w:rPr>
        <w:t>4963 )</w:t>
      </w:r>
      <w:proofErr w:type="gramEnd"/>
      <w:r w:rsidRPr="00925F26">
        <w:rPr>
          <w:color w:val="000000" w:themeColor="text1"/>
          <w:sz w:val="16"/>
          <w:szCs w:val="16"/>
        </w:rPr>
        <w:t>.</w:t>
      </w:r>
    </w:p>
    <w:p w14:paraId="629BCC0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DEE9E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войска Первого Украинского и Первого Белорусского фронтов с востока, севера и запада вошли в Берлин (271,223).</w:t>
      </w:r>
    </w:p>
    <w:p w14:paraId="1654D25B" w14:textId="77777777" w:rsidR="00665165" w:rsidRPr="00925F26" w:rsidRDefault="00665165" w:rsidP="00925F26">
      <w:pPr>
        <w:autoSpaceDE w:val="0"/>
        <w:autoSpaceDN w:val="0"/>
        <w:adjustRightInd w:val="0"/>
        <w:jc w:val="both"/>
        <w:rPr>
          <w:color w:val="000000" w:themeColor="text1"/>
          <w:sz w:val="16"/>
          <w:szCs w:val="16"/>
        </w:rPr>
      </w:pPr>
    </w:p>
    <w:p w14:paraId="4F16AD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к американцам отправился посланник Ашенбреннера капитан Теодор Оберлендер (Oberlander), также занимавшийся прежде “русским вопросом”. Ему удалось выйти на начштаба XII корпуса 3-й американской армии бригадного генерала Ральфа Канаяна, но тот потребовал встречи с руководителями власовцев. Вскоре американцы увидели рослого летчика в голубом комбинезоне, без знаков различия, с автоматом на груди и в фуражке с русской трехцветной кокардой и золотым шнуром - единственным знаком его генеральского чина. Вместе с Мальцевым приехал и Ашенбреннер. Условия американцев оказались для них не очень утешительными: бригадный генерал не имел полномочий вести речь о предоставлении политического убежища без санкции президента или Конгресса и предложил им сдаваться под свое личное обещание не выдать их советским представителям. Мальцеву и его офицерам не оставалось ни чего другого, как принять эти гарантии, надеясь на зреющие противоречия между союзниками (4538).</w:t>
      </w:r>
    </w:p>
    <w:p w14:paraId="33FC63B7" w14:textId="77777777" w:rsidR="00665165" w:rsidRPr="00925F26" w:rsidRDefault="00665165" w:rsidP="00925F26">
      <w:pPr>
        <w:autoSpaceDE w:val="0"/>
        <w:autoSpaceDN w:val="0"/>
        <w:adjustRightInd w:val="0"/>
        <w:jc w:val="both"/>
        <w:rPr>
          <w:color w:val="000000" w:themeColor="text1"/>
          <w:sz w:val="16"/>
          <w:szCs w:val="16"/>
        </w:rPr>
      </w:pPr>
    </w:p>
    <w:p w14:paraId="748A3B1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6090856" w14:textId="77777777" w:rsidR="00665165" w:rsidRPr="00925F26" w:rsidRDefault="00665165" w:rsidP="00925F26">
      <w:pPr>
        <w:autoSpaceDE w:val="0"/>
        <w:autoSpaceDN w:val="0"/>
        <w:adjustRightInd w:val="0"/>
        <w:jc w:val="both"/>
        <w:rPr>
          <w:iCs/>
          <w:color w:val="000000" w:themeColor="text1"/>
          <w:sz w:val="16"/>
          <w:szCs w:val="16"/>
        </w:rPr>
      </w:pPr>
    </w:p>
    <w:p w14:paraId="5391D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Трумэн принял Молотова (тот направлялся в Сан-Франциско на учреждение ООН) и в очень резких выражениях высказал недовольство позицией Москвы по польскому вопросу. Эта встреча была разительным контрастом по сравнению со всеми предыдущими беседами советских лидеров с западными коллегами (3871).</w:t>
      </w:r>
    </w:p>
    <w:p w14:paraId="1C6D1832" w14:textId="77777777" w:rsidR="00665165" w:rsidRPr="00925F26" w:rsidRDefault="00665165" w:rsidP="00925F26">
      <w:pPr>
        <w:autoSpaceDE w:val="0"/>
        <w:autoSpaceDN w:val="0"/>
        <w:adjustRightInd w:val="0"/>
        <w:jc w:val="both"/>
        <w:rPr>
          <w:color w:val="000000" w:themeColor="text1"/>
          <w:sz w:val="16"/>
          <w:szCs w:val="16"/>
        </w:rPr>
      </w:pPr>
    </w:p>
    <w:p w14:paraId="2045FF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вышло Постановление ГКО № 8254 Вопросы Польши. РГАНИР, Фонд ГКО, д. 404, лл. 167-169 (11012).</w:t>
      </w:r>
    </w:p>
    <w:p w14:paraId="3865849E" w14:textId="77777777" w:rsidR="00665165" w:rsidRPr="00925F26" w:rsidRDefault="00665165" w:rsidP="00925F26">
      <w:pPr>
        <w:autoSpaceDE w:val="0"/>
        <w:autoSpaceDN w:val="0"/>
        <w:adjustRightInd w:val="0"/>
        <w:jc w:val="both"/>
        <w:rPr>
          <w:color w:val="000000" w:themeColor="text1"/>
          <w:sz w:val="16"/>
          <w:szCs w:val="16"/>
        </w:rPr>
      </w:pPr>
    </w:p>
    <w:p w14:paraId="299D70D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7FE16D0" w14:textId="77777777" w:rsidR="00665165" w:rsidRPr="00925F26" w:rsidRDefault="00665165" w:rsidP="00925F26">
      <w:pPr>
        <w:autoSpaceDE w:val="0"/>
        <w:autoSpaceDN w:val="0"/>
        <w:adjustRightInd w:val="0"/>
        <w:jc w:val="both"/>
        <w:rPr>
          <w:iCs/>
          <w:color w:val="000000" w:themeColor="text1"/>
          <w:sz w:val="16"/>
          <w:szCs w:val="16"/>
        </w:rPr>
      </w:pPr>
    </w:p>
    <w:p w14:paraId="09BDD9F8"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Джо Бартон облетал первый «P-51J». При взлетном весе 7550 фунтов ожидалась максимальная скорость 491 миля в час на высоте 27400 футов. Но самолет такой скорости не достиг из-за недостижения двигателем «Allison» спецификационной мощности. В связи с этим первый прототип «XP-51J» был арендован компанией «Allison» и использовался для доводки двигателя (15108).</w:t>
      </w:r>
    </w:p>
    <w:p w14:paraId="535FBF9B" w14:textId="77777777" w:rsidR="003755B5" w:rsidRPr="00925F26" w:rsidRDefault="003755B5" w:rsidP="00925F26">
      <w:pPr>
        <w:jc w:val="both"/>
        <w:rPr>
          <w:color w:val="000000" w:themeColor="text1"/>
          <w:sz w:val="16"/>
          <w:szCs w:val="16"/>
        </w:rPr>
      </w:pPr>
    </w:p>
    <w:p w14:paraId="1B468636"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в конце Второй Мировой войны перед командованием шведских ВВС стал вопрос о замене истребительного парка (</w:t>
      </w:r>
      <w:proofErr w:type="gramStart"/>
      <w:r w:rsidRPr="00925F26">
        <w:rPr>
          <w:color w:val="000000" w:themeColor="text1"/>
          <w:sz w:val="16"/>
          <w:szCs w:val="16"/>
        </w:rPr>
        <w:t>ведь например</w:t>
      </w:r>
      <w:proofErr w:type="gramEnd"/>
      <w:r w:rsidRPr="00925F26">
        <w:rPr>
          <w:color w:val="000000" w:themeColor="text1"/>
          <w:sz w:val="16"/>
          <w:szCs w:val="16"/>
        </w:rPr>
        <w:t xml:space="preserve"> к 1944 году из закупленных Re 2000 в строю было только 25%). Уже в октябре 1944 г. в Британию отправилась военная делегация, в задачи которой была закупка 70 истребителей «P-51D» "Мустанг". Уже в феврале 1945 г. был подписан контракт на 7 млн USD на поставку 50 истребителей. 23 апреля первых 43 самолета «P-51D» «Мустанг» были перегнаны из США в Швецию (с промежуточной посадкой в Ливерпуле). Интересно, что над Северным морем американские летчики встретили немцев и даже сбили один «Messerschmitt 109» (15108).</w:t>
      </w:r>
    </w:p>
    <w:p w14:paraId="7B97847B" w14:textId="77777777" w:rsidR="003755B5" w:rsidRPr="00925F26" w:rsidRDefault="003755B5" w:rsidP="00925F26">
      <w:pPr>
        <w:jc w:val="both"/>
        <w:rPr>
          <w:color w:val="000000" w:themeColor="text1"/>
          <w:sz w:val="16"/>
          <w:szCs w:val="16"/>
        </w:rPr>
      </w:pPr>
    </w:p>
    <w:p w14:paraId="7EC24BBB"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крайний вылет во время второй мировой войны «Do-335A-02». Во время полета машина попала под огонь зенитной артиллерии. Налет на аэродром посадки причинил аэродрому большой ущерб, но «Do-335» уцелел. Отдав документы, пилот Лерхе снова поднял машину в воздух и взял курс на Оберпфаффенхофен. Чтобы не искушать судьбу, пилот не убирал шасси и благополучно достиг цели своего путешествия. Как оказалось, то был последний полет «Do-335» во время войны. Самолет «Do-335A-02» был действительно самой счастливой машиной этого типа. Он не только пережил войну, но и благополучно сохранился до наших дней (15108).</w:t>
      </w:r>
    </w:p>
    <w:p w14:paraId="7EE0383F" w14:textId="77777777" w:rsidR="003755B5" w:rsidRPr="00925F26" w:rsidRDefault="003755B5" w:rsidP="00925F26">
      <w:pPr>
        <w:jc w:val="both"/>
        <w:rPr>
          <w:color w:val="000000" w:themeColor="text1"/>
          <w:sz w:val="16"/>
          <w:szCs w:val="16"/>
        </w:rPr>
      </w:pPr>
    </w:p>
    <w:p w14:paraId="3DAC79EC" w14:textId="77777777" w:rsidR="00143828" w:rsidRPr="00925F26" w:rsidRDefault="00143828" w:rsidP="00925F26">
      <w:pPr>
        <w:jc w:val="both"/>
        <w:rPr>
          <w:color w:val="000000" w:themeColor="text1"/>
          <w:sz w:val="16"/>
          <w:szCs w:val="16"/>
        </w:rPr>
      </w:pPr>
      <w:r w:rsidRPr="00925F26">
        <w:rPr>
          <w:color w:val="000000" w:themeColor="text1"/>
          <w:sz w:val="16"/>
          <w:szCs w:val="16"/>
        </w:rPr>
        <w:t>23 апреля 1945 ВМС США приводят в действие свою первую управляемую бомбу SWOD-9 «Bat», сбрасывая ее с Consolidated PB4Y Liberators на японское судоходство в гавани Баликпапан (20371).</w:t>
      </w:r>
    </w:p>
    <w:p w14:paraId="1CCE1E7D" w14:textId="77777777" w:rsidR="00143828" w:rsidRPr="00925F26" w:rsidRDefault="00143828" w:rsidP="00925F26">
      <w:pPr>
        <w:jc w:val="both"/>
        <w:rPr>
          <w:color w:val="000000" w:themeColor="text1"/>
          <w:sz w:val="16"/>
          <w:szCs w:val="16"/>
        </w:rPr>
      </w:pPr>
    </w:p>
    <w:p w14:paraId="2A746D64" w14:textId="03F1741C" w:rsidR="00143828" w:rsidRPr="00925F26" w:rsidRDefault="00143828" w:rsidP="00925F26">
      <w:pPr>
        <w:jc w:val="both"/>
        <w:rPr>
          <w:color w:val="000000" w:themeColor="text1"/>
          <w:sz w:val="16"/>
          <w:szCs w:val="16"/>
        </w:rPr>
      </w:pPr>
      <w:r w:rsidRPr="00925F26">
        <w:rPr>
          <w:color w:val="000000" w:themeColor="text1"/>
          <w:sz w:val="16"/>
          <w:szCs w:val="16"/>
        </w:rPr>
        <w:t>23 апреля 1945</w:t>
      </w:r>
      <w:r w:rsidR="00997EDF" w:rsidRPr="00925F26">
        <w:rPr>
          <w:color w:val="000000" w:themeColor="text1"/>
          <w:sz w:val="16"/>
          <w:szCs w:val="16"/>
        </w:rPr>
        <w:t xml:space="preserve">  </w:t>
      </w:r>
      <w:r w:rsidRPr="00925F26">
        <w:rPr>
          <w:color w:val="000000" w:themeColor="text1"/>
          <w:sz w:val="16"/>
          <w:szCs w:val="16"/>
        </w:rPr>
        <w:t>- Самолеты ВМС США впервые используют свою первую радиолокационную бомбу SWOD-9 «Bat», сбросив ее с бомбардировщика PB4Y-2 Privateer на японские корабли в гавани Баликпапан (22526).</w:t>
      </w:r>
    </w:p>
    <w:p w14:paraId="4F954FD9" w14:textId="77777777" w:rsidR="00143828" w:rsidRPr="00925F26" w:rsidRDefault="00143828" w:rsidP="00925F26">
      <w:pPr>
        <w:jc w:val="both"/>
        <w:rPr>
          <w:color w:val="000000" w:themeColor="text1"/>
          <w:sz w:val="16"/>
          <w:szCs w:val="16"/>
        </w:rPr>
      </w:pPr>
    </w:p>
    <w:p w14:paraId="7ADAB7B4"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Герман Геринг в радиограмме Адольфу Гитлеру предложил считать вступившим в силу указ от 29 июня 1941 года, согласно которому он являлся преемником Гитлера. Получив этот ультиматум, АдольфГитлер приказал лишить Германа Геринга всех званий и должностей и арестовать его и его ближайших помошников (15108).</w:t>
      </w:r>
    </w:p>
    <w:p w14:paraId="33C6671B" w14:textId="77777777" w:rsidR="003755B5" w:rsidRPr="00925F26" w:rsidRDefault="003755B5" w:rsidP="00925F26">
      <w:pPr>
        <w:jc w:val="both"/>
        <w:rPr>
          <w:color w:val="000000" w:themeColor="text1"/>
          <w:sz w:val="16"/>
          <w:szCs w:val="16"/>
        </w:rPr>
      </w:pPr>
    </w:p>
    <w:p w14:paraId="5D6E54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г. Гитлер приказал генералу Шпейделю взорвать все парижские мосты и другие важные сооружения, «даже если при этом могут быть уничтожены памятники искусства». Однако Шпейдель отказался выполнить приказ. Когда 2-я французская танковая дивизия генерала Жака Леклерка и американская 4-я пехотная дивизия ворвались в Париж, то они обнаружили, что власть в большей части города уже находится в руках отрядов французского Сопротивления, а мосты через Сену, многие из которых являлись настоящими произведениями искусства, уцелели. Генерал сообщил союзникам, что сразу после сдачи немцами Парижа Гитлер приказал разрушить его тяжелой артиллерией и самолетами-снарядами (11686).</w:t>
      </w:r>
    </w:p>
    <w:p w14:paraId="6CA2BBC4" w14:textId="77777777" w:rsidR="00665165" w:rsidRPr="00925F26" w:rsidRDefault="00665165" w:rsidP="00925F26">
      <w:pPr>
        <w:autoSpaceDE w:val="0"/>
        <w:autoSpaceDN w:val="0"/>
        <w:adjustRightInd w:val="0"/>
        <w:jc w:val="both"/>
        <w:rPr>
          <w:color w:val="000000" w:themeColor="text1"/>
          <w:sz w:val="16"/>
          <w:szCs w:val="16"/>
        </w:rPr>
      </w:pPr>
    </w:p>
    <w:p w14:paraId="3A0A47F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апреля 1945 Гитлер лишил Геринга всех титулов и званий (4962).</w:t>
      </w:r>
    </w:p>
    <w:p w14:paraId="377788A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C231CD"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Генрих Гиммлер встретился в шведском консульстве в Любеке с председателем шведского Красного Креста графом Ф.Бернадотом и сказал своему собеседнику, что фюрер – это политический метвец, который может быть легко устранен и физически. На Западе немецкие войска должны прекратить совпротивления, а на востоке борьба должна продолжаться, пока войска западных держав не встретятся с советскими и не выступят против них (15108).</w:t>
      </w:r>
    </w:p>
    <w:p w14:paraId="57FD7C15" w14:textId="77777777" w:rsidR="003755B5" w:rsidRPr="00925F26" w:rsidRDefault="003755B5" w:rsidP="00925F26">
      <w:pPr>
        <w:jc w:val="both"/>
        <w:rPr>
          <w:color w:val="000000" w:themeColor="text1"/>
          <w:sz w:val="16"/>
          <w:szCs w:val="16"/>
        </w:rPr>
      </w:pPr>
    </w:p>
    <w:p w14:paraId="328E2026" w14:textId="77777777" w:rsidR="003755B5" w:rsidRPr="00925F26" w:rsidRDefault="003755B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23 1945 Heinrich Himmler 's offer to surrender German forces to Western Allies is rejected (1037).</w:t>
      </w:r>
    </w:p>
    <w:p w14:paraId="11742893" w14:textId="77777777" w:rsidR="003755B5" w:rsidRPr="00925F26" w:rsidRDefault="003755B5" w:rsidP="00925F26">
      <w:pPr>
        <w:autoSpaceDE w:val="0"/>
        <w:autoSpaceDN w:val="0"/>
        <w:adjustRightInd w:val="0"/>
        <w:jc w:val="both"/>
        <w:rPr>
          <w:color w:val="000000" w:themeColor="text1"/>
          <w:sz w:val="16"/>
          <w:szCs w:val="16"/>
          <w:lang w:val="en-US"/>
        </w:rPr>
      </w:pPr>
    </w:p>
    <w:p w14:paraId="30454FEB" w14:textId="77777777" w:rsidR="003755B5" w:rsidRPr="00925F26" w:rsidRDefault="003755B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А.Гитлер отказался от предложения Г.Гимлера сдаться западным союзникам (1037).</w:t>
      </w:r>
    </w:p>
    <w:p w14:paraId="6E17ACE8" w14:textId="77777777" w:rsidR="003755B5" w:rsidRPr="00925F26" w:rsidRDefault="003755B5" w:rsidP="00925F26">
      <w:pPr>
        <w:autoSpaceDE w:val="0"/>
        <w:autoSpaceDN w:val="0"/>
        <w:adjustRightInd w:val="0"/>
        <w:jc w:val="both"/>
        <w:rPr>
          <w:color w:val="000000" w:themeColor="text1"/>
          <w:sz w:val="16"/>
          <w:szCs w:val="16"/>
        </w:rPr>
      </w:pPr>
    </w:p>
    <w:p w14:paraId="1D512583" w14:textId="77777777" w:rsidR="003755B5" w:rsidRPr="00925F26" w:rsidRDefault="003755B5" w:rsidP="00925F26">
      <w:pPr>
        <w:jc w:val="both"/>
        <w:rPr>
          <w:color w:val="000000" w:themeColor="text1"/>
          <w:sz w:val="16"/>
          <w:szCs w:val="16"/>
        </w:rPr>
      </w:pPr>
      <w:r w:rsidRPr="00925F26">
        <w:rPr>
          <w:color w:val="000000" w:themeColor="text1"/>
          <w:sz w:val="16"/>
          <w:szCs w:val="16"/>
        </w:rPr>
        <w:t>23 апреля в 1945 году союзниками освобождены узники концлагеря Равенсбрюк (15108).</w:t>
      </w:r>
    </w:p>
    <w:p w14:paraId="4D18D55A" w14:textId="77777777" w:rsidR="003755B5" w:rsidRPr="00925F26" w:rsidRDefault="003755B5" w:rsidP="00925F26">
      <w:pPr>
        <w:jc w:val="both"/>
        <w:rPr>
          <w:color w:val="000000" w:themeColor="text1"/>
          <w:sz w:val="16"/>
          <w:szCs w:val="16"/>
        </w:rPr>
      </w:pPr>
    </w:p>
    <w:p w14:paraId="4CBDB17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апреля 1945 Муссолини отправил Черчиллю тайное письмо с просьбой прислать доверенное лицо для передачи ему неких документов (4962).</w:t>
      </w:r>
    </w:p>
    <w:p w14:paraId="244DFEE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394B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 xml:space="preserve">April 23rd, 1945: In the West, units of the British Second Army reach Harburg across the Elbe from Hamburg. Reichsfuhrer-SS Himmler begins secret negotiations for a separate peace in the West with Count Bernadotte, head of the Swedish Red Cross. In the battle for Berlin, the attacking Soviet armies have now completely surrounded the city and are systematically decimating the motley ranks, consisting of various Wehrmacht and Waffen-SS units (including numbers of Dutch, Danish, Norwegian, Swedish, Latvian and French volunteers) as well as Volkssturm and Hitler Youth, of the exhausted and badly outmanned and outgunned defenders who are now under the command of General Weidling, CO of LVI. </w:t>
      </w:r>
      <w:r w:rsidRPr="00925F26">
        <w:rPr>
          <w:color w:val="000000" w:themeColor="text1"/>
          <w:sz w:val="16"/>
          <w:szCs w:val="16"/>
        </w:rPr>
        <w:t>Panzerkorps (3819).</w:t>
      </w:r>
    </w:p>
    <w:p w14:paraId="340A78DA" w14:textId="77777777" w:rsidR="00665165" w:rsidRPr="00925F26" w:rsidRDefault="00665165" w:rsidP="00925F26">
      <w:pPr>
        <w:autoSpaceDE w:val="0"/>
        <w:autoSpaceDN w:val="0"/>
        <w:adjustRightInd w:val="0"/>
        <w:jc w:val="both"/>
        <w:rPr>
          <w:color w:val="000000" w:themeColor="text1"/>
          <w:sz w:val="16"/>
          <w:szCs w:val="16"/>
        </w:rPr>
      </w:pPr>
    </w:p>
    <w:p w14:paraId="10CB1FA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23 апреля 1945 британская 2А достигла Харбурга на другой стороне Эльбы напротив Гамбурга. Рейхсфюрер СС начал секретные сепаратные переговоры с графом Бернадоттом, главой шведского Красного креста. БерлинбылполностьюокруженКА</w:t>
      </w:r>
      <w:r w:rsidRPr="00925F26">
        <w:rPr>
          <w:color w:val="000000" w:themeColor="text1"/>
          <w:sz w:val="16"/>
          <w:szCs w:val="16"/>
          <w:lang w:val="en-US"/>
        </w:rPr>
        <w:t xml:space="preserve"> (3819).</w:t>
      </w:r>
    </w:p>
    <w:p w14:paraId="5B8A4F6A" w14:textId="77777777" w:rsidR="00665165" w:rsidRPr="00925F26" w:rsidRDefault="00665165" w:rsidP="00925F26">
      <w:pPr>
        <w:autoSpaceDE w:val="0"/>
        <w:autoSpaceDN w:val="0"/>
        <w:adjustRightInd w:val="0"/>
        <w:jc w:val="both"/>
        <w:rPr>
          <w:color w:val="000000" w:themeColor="text1"/>
          <w:sz w:val="16"/>
          <w:szCs w:val="16"/>
          <w:lang w:val="en-US"/>
        </w:rPr>
      </w:pPr>
    </w:p>
    <w:p w14:paraId="6415781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23 1945 PB4Y's of Patrol Bombing Squadron 109 launched two Bat glide bombs against the enemy shipping in Balikpapan Harbor, Borneo, in the first combat employment of the only automatic homing bomb to be used in World War II (1090).</w:t>
      </w:r>
    </w:p>
    <w:p w14:paraId="26ADCBE0" w14:textId="77777777" w:rsidR="00665165" w:rsidRPr="00925F26" w:rsidRDefault="00665165" w:rsidP="00925F26">
      <w:pPr>
        <w:autoSpaceDE w:val="0"/>
        <w:autoSpaceDN w:val="0"/>
        <w:adjustRightInd w:val="0"/>
        <w:jc w:val="both"/>
        <w:rPr>
          <w:color w:val="000000" w:themeColor="text1"/>
          <w:sz w:val="16"/>
          <w:szCs w:val="16"/>
          <w:lang w:val="en-US"/>
        </w:rPr>
      </w:pPr>
    </w:p>
    <w:p w14:paraId="747313F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23, 1945. Flying Consolidated PB4Y-2 Privateers, Navy crews from VPB-109 launch two Bat missiles against Japanese ships in Balikpapan Harbor, Borneo. This is the first known use of automatic homing missiles during World War II (1089).</w:t>
      </w:r>
    </w:p>
    <w:p w14:paraId="7DD1980F" w14:textId="77777777" w:rsidR="00665165" w:rsidRPr="00925F26" w:rsidRDefault="00665165" w:rsidP="00925F26">
      <w:pPr>
        <w:autoSpaceDE w:val="0"/>
        <w:autoSpaceDN w:val="0"/>
        <w:adjustRightInd w:val="0"/>
        <w:jc w:val="both"/>
        <w:rPr>
          <w:color w:val="000000" w:themeColor="text1"/>
          <w:sz w:val="16"/>
          <w:szCs w:val="16"/>
          <w:lang w:val="en-US"/>
        </w:rPr>
      </w:pPr>
    </w:p>
    <w:p w14:paraId="6CC373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апреля 1945 с PB4Y было сброшено две управляемых бомбы по кораблям в бухте Баликпапан на Борнео. Это был единственный случай в течение ВМВ (1090;1089).</w:t>
      </w:r>
    </w:p>
    <w:p w14:paraId="2136DA67" w14:textId="77777777" w:rsidR="00665165" w:rsidRPr="00925F26" w:rsidRDefault="00665165" w:rsidP="00925F26">
      <w:pPr>
        <w:autoSpaceDE w:val="0"/>
        <w:autoSpaceDN w:val="0"/>
        <w:adjustRightInd w:val="0"/>
        <w:jc w:val="both"/>
        <w:rPr>
          <w:color w:val="000000" w:themeColor="text1"/>
          <w:sz w:val="16"/>
          <w:szCs w:val="16"/>
        </w:rPr>
      </w:pPr>
    </w:p>
    <w:p w14:paraId="506553D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A4E68AC" w14:textId="77777777" w:rsidR="00665165" w:rsidRPr="00925F26" w:rsidRDefault="00665165" w:rsidP="00925F26">
      <w:pPr>
        <w:autoSpaceDE w:val="0"/>
        <w:autoSpaceDN w:val="0"/>
        <w:adjustRightInd w:val="0"/>
        <w:jc w:val="both"/>
        <w:rPr>
          <w:iCs/>
          <w:color w:val="000000" w:themeColor="text1"/>
          <w:sz w:val="16"/>
          <w:szCs w:val="16"/>
        </w:rPr>
      </w:pPr>
    </w:p>
    <w:p w14:paraId="0D127B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 апреля 1945 года после доработки гидравличе</w:t>
      </w:r>
      <w:r w:rsidRPr="00925F26">
        <w:rPr>
          <w:color w:val="000000" w:themeColor="text1"/>
          <w:sz w:val="16"/>
          <w:szCs w:val="16"/>
        </w:rPr>
        <w:softHyphen/>
        <w:t>ской системы и улучшения охлаждения головок цилин</w:t>
      </w:r>
      <w:r w:rsidRPr="00925F26">
        <w:rPr>
          <w:color w:val="000000" w:themeColor="text1"/>
          <w:sz w:val="16"/>
          <w:szCs w:val="16"/>
        </w:rPr>
        <w:softHyphen/>
        <w:t>дров двигателей машина ДВБ-102 с моторами М-71 и турбокомпрессорами ТК-3 в подмосковной Чкаловской вновь ушла в полет. Пред</w:t>
      </w:r>
      <w:r w:rsidRPr="00925F26">
        <w:rPr>
          <w:color w:val="000000" w:themeColor="text1"/>
          <w:sz w:val="16"/>
          <w:szCs w:val="16"/>
        </w:rPr>
        <w:softHyphen/>
        <w:t>стояло проверить работу силовой установки, высотной аппаратуры и систем обогрева гермокабин. Начиная с высоты 8000 метров стекла передней кабины начали покрываться изморозью, в то время как температура воздуха в ней доходила до 30 градусов по Цельсию. Но полет не прервали и достигли высоты 9400 метров (11446).</w:t>
      </w:r>
    </w:p>
    <w:p w14:paraId="190D69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28AF9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года вышел приказ № 150 НКАП О восстановлении и строительстве ЦКБ-17 и его опытного завода (8963).</w:t>
      </w:r>
    </w:p>
    <w:p w14:paraId="18921052" w14:textId="77777777" w:rsidR="00665165" w:rsidRPr="00925F26" w:rsidRDefault="00665165" w:rsidP="00925F26">
      <w:pPr>
        <w:autoSpaceDE w:val="0"/>
        <w:autoSpaceDN w:val="0"/>
        <w:adjustRightInd w:val="0"/>
        <w:jc w:val="both"/>
        <w:rPr>
          <w:color w:val="000000" w:themeColor="text1"/>
          <w:sz w:val="16"/>
          <w:szCs w:val="16"/>
        </w:rPr>
      </w:pPr>
    </w:p>
    <w:p w14:paraId="3688E07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C175A45" w14:textId="77777777" w:rsidR="00665165" w:rsidRPr="00925F26" w:rsidRDefault="00665165" w:rsidP="00925F26">
      <w:pPr>
        <w:autoSpaceDE w:val="0"/>
        <w:autoSpaceDN w:val="0"/>
        <w:adjustRightInd w:val="0"/>
        <w:jc w:val="both"/>
        <w:rPr>
          <w:iCs/>
          <w:color w:val="000000" w:themeColor="text1"/>
          <w:sz w:val="16"/>
          <w:szCs w:val="16"/>
        </w:rPr>
      </w:pPr>
    </w:p>
    <w:p w14:paraId="66EECF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 апреля 1945 г. было подготовлено СООБЩЕНИЕ НАРОДНОГО КОМИССАРА ТАНКОВОЙ ПРОМЫШЛЕННОСТИ СССР ЗАМЕСТИТЕЛЮ НАЧАЛЬНИКА ГБТУ КА ПО ИСПОЛЬЗОВАНИЮ НА ТАНКАХ РАЗЛИЧНЫХ ТИПОВ ОПОРНЫХ КАТКОВ</w:t>
      </w:r>
    </w:p>
    <w:p w14:paraId="729291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Практика эксплуатации средних танков показала, что опорные катки с наружной обрезинкой создают более благоприятные условия для работы ходовой части и обеспечивают более высокие динамические качества танка.</w:t>
      </w:r>
    </w:p>
    <w:p w14:paraId="7BF19D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Надежность работы траков, подшипников колес и их осей при внешней обрезинке катков значи</w:t>
      </w:r>
      <w:r w:rsidRPr="00925F26">
        <w:rPr>
          <w:color w:val="000000" w:themeColor="text1"/>
          <w:sz w:val="16"/>
          <w:szCs w:val="16"/>
        </w:rPr>
        <w:softHyphen/>
        <w:t>тельно выше, чем при катках с внутренней амортизацией.</w:t>
      </w:r>
    </w:p>
    <w:p w14:paraId="7F3AD5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изложенным причинам для средних танков предпочтение нами отдается каткам с внешней обрезинкой.</w:t>
      </w:r>
    </w:p>
    <w:p w14:paraId="0F0D5B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учитывая тенденцию к дальнейшему увеличению веса средних танков, заводу №183 было выдано задание на разработку катков с внутренней амортизацией. Конструкция этих катков значи</w:t>
      </w:r>
      <w:r w:rsidRPr="00925F26">
        <w:rPr>
          <w:color w:val="000000" w:themeColor="text1"/>
          <w:sz w:val="16"/>
          <w:szCs w:val="16"/>
        </w:rPr>
        <w:softHyphen/>
        <w:t>тельно проще рекомендуемых Вами к постройке катков танка Тигр Б и, кроме того, вес комплекта катков завода №183 меньше на 1000 кг комплекта катков танка Тигр Б.</w:t>
      </w:r>
    </w:p>
    <w:p w14:paraId="0E7736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настоящее время на заводе №183 ведется подготовка к изготовлению партии опытных колес с внутренней амортизацией.</w:t>
      </w:r>
    </w:p>
    <w:p w14:paraId="0E64A2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Народный комиссар танковой промышленности СССР В. Малышев</w:t>
      </w:r>
    </w:p>
    <w:p w14:paraId="45B6FA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2715. Л. 98. Подлинник (11420).</w:t>
      </w:r>
    </w:p>
    <w:p w14:paraId="17A373C8" w14:textId="77777777" w:rsidR="00665165" w:rsidRPr="00925F26" w:rsidRDefault="00665165" w:rsidP="00925F26">
      <w:pPr>
        <w:autoSpaceDE w:val="0"/>
        <w:autoSpaceDN w:val="0"/>
        <w:adjustRightInd w:val="0"/>
        <w:jc w:val="both"/>
        <w:rPr>
          <w:color w:val="000000" w:themeColor="text1"/>
          <w:sz w:val="16"/>
          <w:szCs w:val="16"/>
        </w:rPr>
      </w:pPr>
    </w:p>
    <w:p w14:paraId="749D75D4" w14:textId="77777777" w:rsidR="00F77ACE" w:rsidRPr="00925F26" w:rsidRDefault="00F77ACE" w:rsidP="00925F26">
      <w:pPr>
        <w:jc w:val="both"/>
        <w:rPr>
          <w:color w:val="000000" w:themeColor="text1"/>
          <w:sz w:val="16"/>
          <w:szCs w:val="16"/>
        </w:rPr>
      </w:pPr>
      <w:r w:rsidRPr="00925F26">
        <w:rPr>
          <w:color w:val="000000" w:themeColor="text1"/>
          <w:sz w:val="16"/>
          <w:szCs w:val="16"/>
        </w:rPr>
        <w:t>24 апреля в 1945 году введена в действие первая очередь Владимирского тракторного завода (теперь ОАО). В этот день с конвейера сошли первые 500 тракторов (15109).</w:t>
      </w:r>
    </w:p>
    <w:p w14:paraId="57BE2C5E" w14:textId="77777777" w:rsidR="00F77ACE" w:rsidRPr="00925F26" w:rsidRDefault="00F77ACE" w:rsidP="00925F26">
      <w:pPr>
        <w:jc w:val="both"/>
        <w:rPr>
          <w:color w:val="000000" w:themeColor="text1"/>
          <w:sz w:val="16"/>
          <w:szCs w:val="16"/>
        </w:rPr>
      </w:pPr>
    </w:p>
    <w:p w14:paraId="35B8F0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Распоряжение ГКО № 8260. О реэвакуации в Москву и Ленинград населения для работы в промышленности, строительстве и на транспорте. РГАНИР, Фонд ГКО, д. 405, лл. 100, 101-102 (11012).</w:t>
      </w:r>
    </w:p>
    <w:p w14:paraId="12FA124F" w14:textId="77777777" w:rsidR="00665165" w:rsidRPr="00925F26" w:rsidRDefault="00665165" w:rsidP="00925F26">
      <w:pPr>
        <w:autoSpaceDE w:val="0"/>
        <w:autoSpaceDN w:val="0"/>
        <w:adjustRightInd w:val="0"/>
        <w:jc w:val="both"/>
        <w:rPr>
          <w:color w:val="000000" w:themeColor="text1"/>
          <w:sz w:val="16"/>
          <w:szCs w:val="16"/>
        </w:rPr>
      </w:pPr>
    </w:p>
    <w:p w14:paraId="1E9D18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Распоряжение ГКО № 8261. О дополнительном выделении угля для Сталинградского гидролизного завода в мае-июне 1945 г. РГАНИР, Фонд ГКО, д. 405, лл. 103 (11012).</w:t>
      </w:r>
    </w:p>
    <w:p w14:paraId="0BC28C86" w14:textId="77777777" w:rsidR="00665165" w:rsidRPr="00925F26" w:rsidRDefault="00665165" w:rsidP="00925F26">
      <w:pPr>
        <w:autoSpaceDE w:val="0"/>
        <w:autoSpaceDN w:val="0"/>
        <w:adjustRightInd w:val="0"/>
        <w:jc w:val="both"/>
        <w:rPr>
          <w:color w:val="000000" w:themeColor="text1"/>
          <w:sz w:val="16"/>
          <w:szCs w:val="16"/>
        </w:rPr>
      </w:pPr>
    </w:p>
    <w:p w14:paraId="41959A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Постановление ГКО № 8262 О дополнительной поставке угля в связи с увеличением плана производства металла во II кв. 1945 г. РГАНИР, Фонд ГКО, д. 405, лл. 104-105 (11012).</w:t>
      </w:r>
    </w:p>
    <w:p w14:paraId="2362F43E" w14:textId="77777777" w:rsidR="00665165" w:rsidRPr="00925F26" w:rsidRDefault="00665165" w:rsidP="00925F26">
      <w:pPr>
        <w:autoSpaceDE w:val="0"/>
        <w:autoSpaceDN w:val="0"/>
        <w:adjustRightInd w:val="0"/>
        <w:jc w:val="both"/>
        <w:rPr>
          <w:color w:val="000000" w:themeColor="text1"/>
          <w:sz w:val="16"/>
          <w:szCs w:val="16"/>
        </w:rPr>
      </w:pPr>
    </w:p>
    <w:p w14:paraId="2640AD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Распоряжение ГКО № 8263. О дополнительном выделении бензина НКлесу во II кв. 1945 г. РГАНИР, Фонд ГКО, д. 405, лл. 106 (11012).</w:t>
      </w:r>
    </w:p>
    <w:p w14:paraId="1A59D73E" w14:textId="77777777" w:rsidR="00665165" w:rsidRPr="00925F26" w:rsidRDefault="00665165" w:rsidP="00925F26">
      <w:pPr>
        <w:autoSpaceDE w:val="0"/>
        <w:autoSpaceDN w:val="0"/>
        <w:adjustRightInd w:val="0"/>
        <w:jc w:val="both"/>
        <w:rPr>
          <w:color w:val="000000" w:themeColor="text1"/>
          <w:sz w:val="16"/>
          <w:szCs w:val="16"/>
        </w:rPr>
      </w:pPr>
    </w:p>
    <w:p w14:paraId="03A319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Распоряжение ГКО № 8264. О плане постройки кораблей и катеров для охраны морских государственных границ. РГАНИР, Фонд ГКО, д. 405, лл. 107, 108 (11012).</w:t>
      </w:r>
    </w:p>
    <w:p w14:paraId="2319E5A4" w14:textId="77777777" w:rsidR="00665165" w:rsidRPr="00925F26" w:rsidRDefault="00665165" w:rsidP="00925F26">
      <w:pPr>
        <w:autoSpaceDE w:val="0"/>
        <w:autoSpaceDN w:val="0"/>
        <w:adjustRightInd w:val="0"/>
        <w:jc w:val="both"/>
        <w:rPr>
          <w:color w:val="000000" w:themeColor="text1"/>
          <w:sz w:val="16"/>
          <w:szCs w:val="16"/>
        </w:rPr>
      </w:pPr>
    </w:p>
    <w:p w14:paraId="338B7D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Распоряжение ГКО № 8265. О мерах по восстановлению и развитию производства башен и открытых артиллерийских установок для ВМФ. РГАНИР, Фонд ГКО, д. 405, лл. 109-110 (11012).</w:t>
      </w:r>
    </w:p>
    <w:p w14:paraId="09473A3A" w14:textId="77777777" w:rsidR="00665165" w:rsidRPr="00925F26" w:rsidRDefault="00665165" w:rsidP="00925F26">
      <w:pPr>
        <w:autoSpaceDE w:val="0"/>
        <w:autoSpaceDN w:val="0"/>
        <w:adjustRightInd w:val="0"/>
        <w:jc w:val="both"/>
        <w:rPr>
          <w:color w:val="000000" w:themeColor="text1"/>
          <w:sz w:val="16"/>
          <w:szCs w:val="16"/>
        </w:rPr>
      </w:pPr>
    </w:p>
    <w:p w14:paraId="0C9172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вышло Распоряжение ГКО № 8266. О мерах по ускорению строительства второго Бакинского водопровода. РГАНИР, Фонд ГКО, д. 405, лл. 111, 112-113 (11012).</w:t>
      </w:r>
    </w:p>
    <w:p w14:paraId="42E83142" w14:textId="77777777" w:rsidR="00665165" w:rsidRPr="00925F26" w:rsidRDefault="00665165" w:rsidP="00925F26">
      <w:pPr>
        <w:autoSpaceDE w:val="0"/>
        <w:autoSpaceDN w:val="0"/>
        <w:adjustRightInd w:val="0"/>
        <w:jc w:val="both"/>
        <w:rPr>
          <w:color w:val="000000" w:themeColor="text1"/>
          <w:sz w:val="16"/>
          <w:szCs w:val="16"/>
        </w:rPr>
      </w:pPr>
    </w:p>
    <w:p w14:paraId="60B67A7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385A1CA" w14:textId="77777777" w:rsidR="00665165" w:rsidRPr="00925F26" w:rsidRDefault="00665165" w:rsidP="00925F26">
      <w:pPr>
        <w:autoSpaceDE w:val="0"/>
        <w:autoSpaceDN w:val="0"/>
        <w:adjustRightInd w:val="0"/>
        <w:jc w:val="both"/>
        <w:rPr>
          <w:iCs/>
          <w:color w:val="000000" w:themeColor="text1"/>
          <w:sz w:val="16"/>
          <w:szCs w:val="16"/>
        </w:rPr>
      </w:pPr>
    </w:p>
    <w:p w14:paraId="489CABCF" w14:textId="77777777" w:rsidR="00F30912" w:rsidRPr="00925F26" w:rsidRDefault="00F30912" w:rsidP="00925F26">
      <w:pPr>
        <w:jc w:val="both"/>
        <w:rPr>
          <w:color w:val="000000" w:themeColor="text1"/>
          <w:sz w:val="16"/>
          <w:szCs w:val="16"/>
        </w:rPr>
      </w:pPr>
      <w:r w:rsidRPr="00925F26">
        <w:rPr>
          <w:color w:val="000000" w:themeColor="text1"/>
          <w:sz w:val="16"/>
          <w:szCs w:val="16"/>
        </w:rPr>
        <w:t>24 апреля в 1945 году оперативная сводка Совинформбюро:</w:t>
      </w:r>
    </w:p>
    <w:p w14:paraId="3D77ED7B" w14:textId="77777777" w:rsidR="00F30912" w:rsidRPr="00925F26" w:rsidRDefault="00F30912" w:rsidP="00925F26">
      <w:pPr>
        <w:jc w:val="both"/>
        <w:rPr>
          <w:color w:val="000000" w:themeColor="text1"/>
          <w:sz w:val="16"/>
          <w:szCs w:val="16"/>
        </w:rPr>
      </w:pPr>
      <w:r w:rsidRPr="00925F26">
        <w:rPr>
          <w:color w:val="000000" w:themeColor="text1"/>
          <w:sz w:val="16"/>
          <w:szCs w:val="16"/>
        </w:rPr>
        <w:t>«В течение 24 апреля северо-западнее Берлина войска 1-го Белорусского фронта, продолжая наступление, овладели городами Креммен, Флатов, Вельтен, Науен. Юго-восточнее Берлина войска фронта форсировали реку Даме и заняли пригороды Адлерсхоф, Рудов, Альт-Глиникке, Бонсдорф, где соединились с наступающими с юга войсками 1-го Украинского фронта. Одновременно войска фронта вели уличные бои в северной и восточной части Берлина, заняв при этом городские районы Тегель, Витенау, Рейникендорф, Силезский вокзал и городские кварталы, расположенные севернее и восточнее Силезского вокзала. Южнее Франкфурта-на-Одере войска фронта овладели городами Фюрстенберг и Губен. В боях за 23 апреля войска фронта взяли в плен более 3.000 немецких солдат и офицеров и захватили следующие трофеи: танков — 48, полевых орудий — более 200, автомашин — 2.550, паровозов — 88, железнодорожных вагонов — более 1.000, складов с военным имуществом — 113.</w:t>
      </w:r>
    </w:p>
    <w:p w14:paraId="3CDE53E3" w14:textId="77777777" w:rsidR="00F30912" w:rsidRPr="00925F26" w:rsidRDefault="00F30912" w:rsidP="00925F26">
      <w:pPr>
        <w:jc w:val="both"/>
        <w:rPr>
          <w:color w:val="000000" w:themeColor="text1"/>
          <w:sz w:val="16"/>
          <w:szCs w:val="16"/>
        </w:rPr>
      </w:pPr>
      <w:r w:rsidRPr="00925F26">
        <w:rPr>
          <w:color w:val="000000" w:themeColor="text1"/>
          <w:sz w:val="16"/>
          <w:szCs w:val="16"/>
        </w:rPr>
        <w:t>Войска 1-го Украинского фронта с боями заняли в южной части Берлина городские районы Мариендорф, Ланквиц, Осдорф, Штансдорф и соединились с войсками 1-го Белорусского фронта, форсировавшими реку Даме юго-восточнее Берлина. На Дрезденском направлении войска фронта овладели городом Гроссен-Хайн. В боях за 23 апреля войска фронта взяли в плен более 6.000 немецких солдат и офицеров и захватили 38 танков. В числе пленных командир дивизии «Фридрих Людвиг Ян» полковник Берменбляйн.</w:t>
      </w:r>
    </w:p>
    <w:p w14:paraId="3844FAE4" w14:textId="77777777" w:rsidR="00F30912" w:rsidRPr="00925F26" w:rsidRDefault="00F30912"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4959C4FC" w14:textId="77777777" w:rsidR="00F30912" w:rsidRPr="00925F26" w:rsidRDefault="00F30912" w:rsidP="00925F26">
      <w:pPr>
        <w:jc w:val="both"/>
        <w:rPr>
          <w:color w:val="000000" w:themeColor="text1"/>
          <w:sz w:val="16"/>
          <w:szCs w:val="16"/>
        </w:rPr>
      </w:pPr>
      <w:r w:rsidRPr="00925F26">
        <w:rPr>
          <w:color w:val="000000" w:themeColor="text1"/>
          <w:sz w:val="16"/>
          <w:szCs w:val="16"/>
        </w:rPr>
        <w:t>За 23 апреля на всех фронтах подбито и уничтожено 110 немецких танков. В воздушных боях и огнём зенитной артиллерии сбито 60 самолётов противника.</w:t>
      </w:r>
    </w:p>
    <w:p w14:paraId="13E6CE51" w14:textId="77777777" w:rsidR="00F30912" w:rsidRPr="00925F26" w:rsidRDefault="00F30912" w:rsidP="00925F26">
      <w:pPr>
        <w:jc w:val="both"/>
        <w:rPr>
          <w:color w:val="000000" w:themeColor="text1"/>
          <w:sz w:val="16"/>
          <w:szCs w:val="16"/>
        </w:rPr>
      </w:pPr>
      <w:r w:rsidRPr="00925F26">
        <w:rPr>
          <w:color w:val="000000" w:themeColor="text1"/>
          <w:sz w:val="16"/>
          <w:szCs w:val="16"/>
        </w:rPr>
        <w:t>Войска 1-го Белорусского фронта продолжали успешное наступление. Советские части, продвигающиеся вдоль Руппинер-канала, стремительным ударом заняли город Креммен. Наши танковые соединения и пехота, форсировав Гогенцоллерн-канал, с боями продвинулись вперёд на 20 километров и овладели важным узлом путей сообщения городом Науен. Железнодорожная магистраль Берлин—Гамбург перерезана. Железная дорога Берлин—Ганновер обстреливается советской артиллерией.</w:t>
      </w:r>
    </w:p>
    <w:p w14:paraId="1885B9F1" w14:textId="77777777" w:rsidR="00F30912" w:rsidRPr="00925F26" w:rsidRDefault="00F30912" w:rsidP="00925F26">
      <w:pPr>
        <w:jc w:val="both"/>
        <w:rPr>
          <w:color w:val="000000" w:themeColor="text1"/>
          <w:sz w:val="16"/>
          <w:szCs w:val="16"/>
        </w:rPr>
      </w:pPr>
      <w:r w:rsidRPr="00925F26">
        <w:rPr>
          <w:color w:val="000000" w:themeColor="text1"/>
          <w:sz w:val="16"/>
          <w:szCs w:val="16"/>
        </w:rPr>
        <w:t>В северных и восточных районах Берлина продолжалось ожесточённое сражение. Противник бросает в бой кадровые части, войска СС, технические и инженерные части, а также наспех сформированные в Берлине батальоны «фольксштурма». Отмечено несколько случаев, когда гитлеровцы из пулемётов расстреливали фольксштурмовцев, оставивших свои позиции при появлении советских танков. Наши войска, наступающие с севера по берегу озера Тегелер-Зее ворвались на территорию паровозостроительного и артиллерийского заводов и очистили их от гитлеровцев. Советские части, тесня противника к Тегельскому лесу, вышли на улицу Бернауэрштрассе. В восточной части Берлина наши войска настойчиво продвигались вперёд, уничтожая на своём пути вражеские узлы сопротивления. Решительными действиями советские бойцы очистили от немцев территорию железнодорожных ремонтных мастерских, Силезский вокзал и городские кварталы восточнее и севернее Селезского вокзала.</w:t>
      </w:r>
    </w:p>
    <w:p w14:paraId="5D3B1516" w14:textId="77777777" w:rsidR="00F30912" w:rsidRPr="00925F26" w:rsidRDefault="00F30912" w:rsidP="00925F26">
      <w:pPr>
        <w:jc w:val="both"/>
        <w:rPr>
          <w:color w:val="000000" w:themeColor="text1"/>
          <w:sz w:val="16"/>
          <w:szCs w:val="16"/>
        </w:rPr>
      </w:pPr>
      <w:r w:rsidRPr="00925F26">
        <w:rPr>
          <w:color w:val="000000" w:themeColor="text1"/>
          <w:sz w:val="16"/>
          <w:szCs w:val="16"/>
        </w:rPr>
        <w:t>Юго-восточнее Берлина войска фронта, сломив упорное сопротивление противника, переправились через реку Даме. Развивая успех, советские части ворвались в пригород Адлерсхоф, овладели авиасборочным заводом и авиационным научно-исследовательским институтом. Отбрасывая врага и нанося ему непрерывные удары, войска 1-го Белорусского фронта заняли ряд пригородов Берлина и соединились с наступающими с юга войсками 1-го Украинского фронта. За день боёв уничтожено свыше 6 тысяч немецких солдат и офицеров, 150 орудий и миномётов, подбито и сожжено 20 немецких танков.</w:t>
      </w:r>
    </w:p>
    <w:p w14:paraId="3EA4D239" w14:textId="77777777" w:rsidR="00F30912" w:rsidRPr="00925F26" w:rsidRDefault="00F30912" w:rsidP="00925F26">
      <w:pPr>
        <w:jc w:val="both"/>
        <w:rPr>
          <w:color w:val="000000" w:themeColor="text1"/>
          <w:sz w:val="16"/>
          <w:szCs w:val="16"/>
        </w:rPr>
      </w:pPr>
      <w:r w:rsidRPr="00925F26">
        <w:rPr>
          <w:color w:val="000000" w:themeColor="text1"/>
          <w:sz w:val="16"/>
          <w:szCs w:val="16"/>
        </w:rPr>
        <w:t xml:space="preserve">Наша авиация оказывала поддержку наземным войскам, участвующим в боях за Берлин. </w:t>
      </w:r>
      <w:proofErr w:type="gramStart"/>
      <w:r w:rsidRPr="00925F26">
        <w:rPr>
          <w:color w:val="000000" w:themeColor="text1"/>
          <w:sz w:val="16"/>
          <w:szCs w:val="16"/>
        </w:rPr>
        <w:t>Бомбо-штурмовыми</w:t>
      </w:r>
      <w:proofErr w:type="gramEnd"/>
      <w:r w:rsidRPr="00925F26">
        <w:rPr>
          <w:color w:val="000000" w:themeColor="text1"/>
          <w:sz w:val="16"/>
          <w:szCs w:val="16"/>
        </w:rPr>
        <w:t xml:space="preserve"> ударами советские лётчики уничтожали танки, автомашины, артиллерийские и миномётные батареи и батареи зенитной артиллерии противника. В воздушных боях за день сбито 26 немецких самолётов.</w:t>
      </w:r>
    </w:p>
    <w:p w14:paraId="54219764" w14:textId="77777777" w:rsidR="00F30912" w:rsidRPr="00925F26" w:rsidRDefault="00F30912" w:rsidP="00925F26">
      <w:pPr>
        <w:jc w:val="both"/>
        <w:rPr>
          <w:color w:val="000000" w:themeColor="text1"/>
          <w:sz w:val="16"/>
          <w:szCs w:val="16"/>
        </w:rPr>
      </w:pPr>
      <w:r w:rsidRPr="00925F26">
        <w:rPr>
          <w:color w:val="000000" w:themeColor="text1"/>
          <w:sz w:val="16"/>
          <w:szCs w:val="16"/>
        </w:rPr>
        <w:t xml:space="preserve">Войска 1-го Украинского фронта продолжали успешное наступление. Ожесточённые уличные бои идут в южной части Берлина. Противник, опираясь на заранее подготовленные опорные пункты обороны, яростно сопротивляется. Немцы установили на чердаках домов пулемёты, а подвалы приспособили под артиллерийские позиции. Вражеские танки и пехота неоднократно переходили в контратаки, но были отброшены с большими для них потерями. Советские части выбили гитлеровцев с территории танкостроительного и авиационного заводов, заняли Мариендорф и ведут бои за переправы через Тельтон-канал. В ожесточённых уличных боях </w:t>
      </w:r>
      <w:r w:rsidRPr="00925F26">
        <w:rPr>
          <w:color w:val="000000" w:themeColor="text1"/>
          <w:sz w:val="16"/>
          <w:szCs w:val="16"/>
        </w:rPr>
        <w:lastRenderedPageBreak/>
        <w:t>советские штурмовые отряды, усиленные танками и самоходными орудиями, разгромили узлы сопротивления немцев в казармах зенитного полка и у гавани и овладели городскими районами Ланквиц, Осдорф и Штансдорф. На улицах осталось много вражеских трупов и разбитой техники противника. Продвигаясь вперёд, войска 1-го Украинского фронта соединились с войсками 1-го Белорусского фронта, переправившимися через реку Даме. На одном участке фронта немцы ввели в бой пехотную дивизию «Фридрих Людвиг Ян». Она участвовала в боях всего лишь один день. Советские танкисты и пехотинцы разгромили эту дивизию противника. Командир дивизии взят в плен.</w:t>
      </w:r>
    </w:p>
    <w:p w14:paraId="27B9CA7F" w14:textId="77777777" w:rsidR="00F30912" w:rsidRPr="00925F26" w:rsidRDefault="00F30912" w:rsidP="00925F26">
      <w:pPr>
        <w:jc w:val="both"/>
        <w:rPr>
          <w:color w:val="000000" w:themeColor="text1"/>
          <w:sz w:val="16"/>
          <w:szCs w:val="16"/>
        </w:rPr>
      </w:pPr>
      <w:r w:rsidRPr="00925F26">
        <w:rPr>
          <w:color w:val="000000" w:themeColor="text1"/>
          <w:sz w:val="16"/>
          <w:szCs w:val="16"/>
        </w:rPr>
        <w:t>На Дрезденском направлении наши войска форсировали канал Шварце Ельстер, продвинулись вперед на 20 километров и заняли город Гроссенхайн — узел четырёх железных дорог. Гроссенхайн — промышленный город. В нём имеются машиностроительные и металлообрабатывающие предприятия. Наши кавалеристы в этом районе захватили 6 железнодорожных эшелонов и большое число автомашин.</w:t>
      </w:r>
    </w:p>
    <w:p w14:paraId="1D9A2495" w14:textId="77777777" w:rsidR="00F30912" w:rsidRPr="00925F26" w:rsidRDefault="00F30912" w:rsidP="00925F26">
      <w:pPr>
        <w:jc w:val="both"/>
        <w:rPr>
          <w:color w:val="000000" w:themeColor="text1"/>
          <w:sz w:val="16"/>
          <w:szCs w:val="16"/>
        </w:rPr>
      </w:pPr>
      <w:r w:rsidRPr="00925F26">
        <w:rPr>
          <w:color w:val="000000" w:themeColor="text1"/>
          <w:sz w:val="16"/>
          <w:szCs w:val="16"/>
        </w:rPr>
        <w:t>Войска фронта освободили из фашистской неволи десятки тысяч военнопленных различных национальностей.</w:t>
      </w:r>
    </w:p>
    <w:p w14:paraId="3D7A35AE" w14:textId="77777777" w:rsidR="00F30912" w:rsidRPr="00925F26" w:rsidRDefault="00F30912" w:rsidP="00925F26">
      <w:pPr>
        <w:jc w:val="both"/>
        <w:rPr>
          <w:color w:val="000000" w:themeColor="text1"/>
          <w:sz w:val="16"/>
          <w:szCs w:val="16"/>
        </w:rPr>
      </w:pPr>
      <w:r w:rsidRPr="00925F26">
        <w:rPr>
          <w:color w:val="000000" w:themeColor="text1"/>
          <w:sz w:val="16"/>
          <w:szCs w:val="16"/>
        </w:rPr>
        <w:t>Советские лётчики, несмотря на неблагоприятную погоду, наносили удары по боевым порядкам и колоннам немецких войск.</w:t>
      </w:r>
    </w:p>
    <w:p w14:paraId="146A2DFA" w14:textId="77777777" w:rsidR="00F30912" w:rsidRPr="00925F26" w:rsidRDefault="00F30912" w:rsidP="00925F26">
      <w:pPr>
        <w:jc w:val="both"/>
        <w:rPr>
          <w:color w:val="000000" w:themeColor="text1"/>
          <w:sz w:val="16"/>
          <w:szCs w:val="16"/>
        </w:rPr>
      </w:pPr>
      <w:r w:rsidRPr="00925F26">
        <w:rPr>
          <w:color w:val="000000" w:themeColor="text1"/>
          <w:sz w:val="16"/>
          <w:szCs w:val="16"/>
        </w:rPr>
        <w:t>Авиация Краснознамённого Балтийского флота потопила в Балтийском море транспорт, быстроходную десантную баржу и самоходный понтон противника.</w:t>
      </w:r>
    </w:p>
    <w:p w14:paraId="48729A86" w14:textId="77777777" w:rsidR="00F30912" w:rsidRPr="00925F26" w:rsidRDefault="00F30912" w:rsidP="00925F26">
      <w:pPr>
        <w:jc w:val="both"/>
        <w:rPr>
          <w:color w:val="000000" w:themeColor="text1"/>
          <w:sz w:val="16"/>
          <w:szCs w:val="16"/>
        </w:rPr>
      </w:pPr>
      <w:r w:rsidRPr="00925F26">
        <w:rPr>
          <w:color w:val="000000" w:themeColor="text1"/>
          <w:sz w:val="16"/>
          <w:szCs w:val="16"/>
        </w:rPr>
        <w:t>Нашими кораблями в Баренцевом море потоплена немецкая подводная лодка.» (15109).</w:t>
      </w:r>
    </w:p>
    <w:p w14:paraId="6F9EE430" w14:textId="77777777" w:rsidR="00F30912" w:rsidRPr="00925F26" w:rsidRDefault="00F30912" w:rsidP="00925F26">
      <w:pPr>
        <w:jc w:val="both"/>
        <w:rPr>
          <w:color w:val="000000" w:themeColor="text1"/>
          <w:sz w:val="16"/>
          <w:szCs w:val="16"/>
        </w:rPr>
      </w:pPr>
    </w:p>
    <w:p w14:paraId="3DA4F9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л К.Ф.Михайленко 45 гап на У-2 уничтожил в Берлине мост через Шпее использовав связку двух ФАБ-50, соединенных троссом. Ранее использоват то же прием против моста через Днепр в районе Жлобино. Этот прием предлагался еще по результатам финской войны (4544, 38).</w:t>
      </w:r>
    </w:p>
    <w:p w14:paraId="7D0A4B03" w14:textId="77777777" w:rsidR="00665165" w:rsidRPr="00925F26" w:rsidRDefault="00665165" w:rsidP="00925F26">
      <w:pPr>
        <w:autoSpaceDE w:val="0"/>
        <w:autoSpaceDN w:val="0"/>
        <w:adjustRightInd w:val="0"/>
        <w:jc w:val="both"/>
        <w:rPr>
          <w:color w:val="000000" w:themeColor="text1"/>
          <w:sz w:val="16"/>
          <w:szCs w:val="16"/>
        </w:rPr>
      </w:pPr>
    </w:p>
    <w:p w14:paraId="0EECC0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24 апреля 1945 с использованием Ту-2 2М-82ФН 47 ГДРАП, который из района Смоленска летал на разведку Берлина, был подготовлен фотопланшет всего города. Сделали три фильма. Сталкивались с Ме-262, но потерь не имели (1835,29).</w:t>
      </w:r>
    </w:p>
    <w:p w14:paraId="2B8EC1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числу легендарных, но в наши дни уже малоизвестных летчиков можно смело отнести Николая Богданова. Богданов одинаково прославился как своей отвагой, так и склонностью к алкоголю. В настоящее время о нем известно немного, причем разные источники часто друг другу противоречат. Он служил в разных частях, в том числе в 18-м ШАП (ставшим позднее 8 ГШАП) и в 47-м ШАП. Богданов летал на штурмовых УТ-1, вооруженных ракетами РС-82, а также на И-16 и Ил-2. Он летал как дьявол, и по воспоминаниям его однополчан его не менее десяти раз награждали орденом Красного Знамени! То, что Богданов много пил не было ничего удивительного - на войне людям часто приходится прибегать к алкоголю. Но Богданов в пьяном виде часто вытворял самые невероятные вещи. Когда после освобождения Новороссийска командование направило бумаги с ходатайством о награждении его Золотой Звездой, Богданов выпил пару стаканов, сел в Ил-2 и полетел: навестить свою маму. Один раз его отправили в штрафбат, откуда он вернулся кавалером медали "За отвагу" и имея при себе ППШ, с которым никогда больше не расставался. В феврале 1944 года его приговорили к 8 годам лагерей с отсрочкой исполнения приговора до конца войны и разжаловали в рядовые. На его счастье, через три месяца приговор отменили. Хотя и реже, Богданов продолжал совершать боевые вылеты. Обычно он держался в некотором отдалении от основных сил, но в бою вел себя как лев, не теряя при этом осмотрительности. Однажды его направили на высшие офицерские курсы в Моздоке. Там Богданов ежедневно заходил на базар, напивался там допьяна и ни о каких занятиях уже не могло быть и речи. Погиб Богданов 24 апреля 1945 года. Его самолет нарвался под Пилау на зенитную батарею противника, получил серьезные повреждения и по пути на базу взорвался в воздухе. Нам не известно точное число боевых вылетов Богданова, но точно можно сказать, что их было больше ста (2691). Другой колоритной личностью балтийской авиации был Виктор Глухов из 47-го ШАП. Глухов совершил 149 боевых вылетов, был награжден многочисленными наградами, в том числе четырьмя орденами Красного Знамени и орденом Ленина. Действуя в одиночку, Глухов отправил на дно транспорт водоизмещением 4000 тонн, кроме того, на его боевом счету несколько других потопленных судов и кораблей. В апреле 1945 года командование полка решило представить Глухова к Герою, но начальник главного политического управления ВМФ, генерал И. Рогов не позволил наградить летчика. Поводом к отказу стало то, что по партийной линии за Глуховым числились кое-какие грешки. Непорядок в партийных документах перевесил участие в сотне боевых вылетов. Ходили слухи (впрочем, вполне достоверные), что Глухов подрался с офицером-однополчанином и сильно побил его. Кроме того, Глухова на три дня посадили под арест за "воздушное хулиганство". В вину Глухову вменили то, что он пошел в атаку на такой низкой высоте, что винты задевали верхушки деревьев. Доказательством "преступления" были листья, прилипшие к обшивке самолета. Но несмотря ни на что, 13 мая 1946 года его наградили орденом Ленина, но вскоре после этого уволили из армии и исключили из партии. Вероятно, причиной наказания стало то, что Глухов задавал лишние вопросы. При этом у него отобрали все награды. Лишь добившись приема у наркома ВМФ Н.Г. Кузнецова, Глухов смог вернуть себе награды, но в партию опять вступать отказался (2691).</w:t>
      </w:r>
    </w:p>
    <w:p w14:paraId="1E9E5A7F" w14:textId="77777777" w:rsidR="00665165" w:rsidRPr="00925F26" w:rsidRDefault="00665165" w:rsidP="00925F26">
      <w:pPr>
        <w:autoSpaceDE w:val="0"/>
        <w:autoSpaceDN w:val="0"/>
        <w:adjustRightInd w:val="0"/>
        <w:jc w:val="both"/>
        <w:rPr>
          <w:color w:val="000000" w:themeColor="text1"/>
          <w:sz w:val="16"/>
          <w:szCs w:val="16"/>
        </w:rPr>
      </w:pPr>
    </w:p>
    <w:p w14:paraId="3C0277F4"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С 24 апреля по 2 мая 1945 значительная часть штурмовиков 2-й воздушной армии была задействована в атаках окруженной немецкой группировки юго-восточнее Берлина. В первую очередь наносились авиаудары по частям, пытавшимся вырваться из котла (19522).</w:t>
      </w:r>
    </w:p>
    <w:p w14:paraId="45C09FDC" w14:textId="77777777" w:rsidR="00A278CB" w:rsidRPr="00925F26" w:rsidRDefault="00A278CB" w:rsidP="00925F26">
      <w:pPr>
        <w:pStyle w:val="ae"/>
        <w:spacing w:before="0" w:after="0"/>
        <w:jc w:val="both"/>
        <w:textAlignment w:val="baseline"/>
        <w:rPr>
          <w:color w:val="000000" w:themeColor="text1"/>
          <w:sz w:val="16"/>
          <w:szCs w:val="16"/>
        </w:rPr>
      </w:pPr>
    </w:p>
    <w:p w14:paraId="09C19B0F"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24 апреля 1945 18 Ил-2 из 141-го гв. шап получили приказ нанести удар по позициям артиллерии в пригороде Берлина — Тельтов. Атака производилась звеньями с пологого планирования под углом 30–35°. Штурмовики подходили к цели на высоте 1200 метров, затем переходили к снижению и сбрасывали бомбы с высоты 400 метров. В результате, по донесениям летчиков, были разрушены три здания, в которых были укрыты огневые точки (19522).</w:t>
      </w:r>
    </w:p>
    <w:p w14:paraId="636643A5" w14:textId="77777777" w:rsidR="00A278CB" w:rsidRPr="00925F26" w:rsidRDefault="00A278CB" w:rsidP="00925F26">
      <w:pPr>
        <w:pStyle w:val="ae"/>
        <w:spacing w:before="0" w:after="0"/>
        <w:jc w:val="both"/>
        <w:textAlignment w:val="baseline"/>
        <w:rPr>
          <w:color w:val="000000" w:themeColor="text1"/>
          <w:sz w:val="16"/>
          <w:szCs w:val="16"/>
        </w:rPr>
      </w:pPr>
    </w:p>
    <w:p w14:paraId="653E0F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войска КА окружили франкфуртско-губенскую группировку (2438,97).</w:t>
      </w:r>
    </w:p>
    <w:p w14:paraId="18F0CC72" w14:textId="77777777" w:rsidR="00665165" w:rsidRPr="00925F26" w:rsidRDefault="00665165" w:rsidP="00925F26">
      <w:pPr>
        <w:autoSpaceDE w:val="0"/>
        <w:autoSpaceDN w:val="0"/>
        <w:adjustRightInd w:val="0"/>
        <w:jc w:val="both"/>
        <w:rPr>
          <w:color w:val="000000" w:themeColor="text1"/>
          <w:sz w:val="16"/>
          <w:szCs w:val="16"/>
        </w:rPr>
      </w:pPr>
    </w:p>
    <w:p w14:paraId="68DFE1E4" w14:textId="77777777" w:rsidR="00F77ACE" w:rsidRPr="00925F26" w:rsidRDefault="00F77ACE" w:rsidP="00925F26">
      <w:pPr>
        <w:jc w:val="both"/>
        <w:rPr>
          <w:color w:val="000000" w:themeColor="text1"/>
          <w:sz w:val="16"/>
          <w:szCs w:val="16"/>
        </w:rPr>
      </w:pPr>
      <w:r w:rsidRPr="00925F26">
        <w:rPr>
          <w:color w:val="000000" w:themeColor="text1"/>
          <w:sz w:val="16"/>
          <w:szCs w:val="16"/>
        </w:rPr>
        <w:t>24 апреля в 1945 году (24 апреля - 1 мая) войска 1-го Белорусского и 1-го Украинского фронтов ликвидировали франкфуртско-губенскую группировку немецких войск, окруженную южнее Берлина (15109).</w:t>
      </w:r>
    </w:p>
    <w:p w14:paraId="6FE9D5AC" w14:textId="77777777" w:rsidR="00F77ACE" w:rsidRPr="00925F26" w:rsidRDefault="00F77ACE" w:rsidP="00925F26">
      <w:pPr>
        <w:jc w:val="both"/>
        <w:rPr>
          <w:color w:val="000000" w:themeColor="text1"/>
          <w:sz w:val="16"/>
          <w:szCs w:val="16"/>
        </w:rPr>
      </w:pPr>
    </w:p>
    <w:p w14:paraId="78B70C43" w14:textId="77777777" w:rsidR="00F30912" w:rsidRPr="00925F26" w:rsidRDefault="00F30912" w:rsidP="00925F26">
      <w:pPr>
        <w:pStyle w:val="book"/>
        <w:ind w:firstLine="0"/>
        <w:jc w:val="both"/>
        <w:rPr>
          <w:color w:val="000000" w:themeColor="text1"/>
          <w:sz w:val="16"/>
          <w:szCs w:val="16"/>
        </w:rPr>
      </w:pPr>
      <w:r w:rsidRPr="00925F26">
        <w:rPr>
          <w:color w:val="000000" w:themeColor="text1"/>
          <w:sz w:val="16"/>
          <w:szCs w:val="16"/>
        </w:rPr>
        <w:t>24 апреля 1945 г. старший морской начальник Штеттина капитан 1-го ранга В. Кахлер отдал по радио приказ специальной команде, находившейся на авианосце «Граф Цеппелин». Взрывы очень грамотно заложенных зарядов привели в полную негодность главные турбины, электрогенераторы и самолетоподъемники. Ко времени вступления в город советских войск через небольшие пробоины, трещины и неплотности наружной обшивки во внутренние отсеки корпуса корабля проникла забортная вода, и авианосец поэтому находился в притопленном состоянии. Летом 1945 г. силами аварийно-спасательной службы Балтийского флота «Граф Цеппелин» был поднят, а 19 августа его зачислили в состав ВМФ СССР. 19 марта 1947 г. вышло Постановление Совмина № 601—209сс «об уничтожении в 1947 г. бывших немецких кораблей категории "С"». 14 августа 1947 г. пять буксиров вывели авианосец на рейд Сименюнде</w:t>
      </w:r>
      <w:hyperlink r:id="rId105" w:anchor="n_2" w:tooltip="    Свинемюнде (Swinemünde, после 1945 г. — Świnoujście) — OCR   " w:history="1">
        <w:r w:rsidRPr="00925F26">
          <w:rPr>
            <w:rStyle w:val="a5"/>
            <w:color w:val="000000" w:themeColor="text1"/>
            <w:sz w:val="16"/>
            <w:szCs w:val="16"/>
            <w:vertAlign w:val="superscript"/>
          </w:rPr>
          <w:t>[2]</w:t>
        </w:r>
      </w:hyperlink>
      <w:r w:rsidRPr="00925F26">
        <w:rPr>
          <w:color w:val="000000" w:themeColor="text1"/>
          <w:sz w:val="16"/>
          <w:szCs w:val="16"/>
        </w:rPr>
        <w:t>, а затем в открытое море. К утру 16 августа «Цеппелин» был доставлен в намеченное место. Для начала авианосец подорвали заранее заложенными бомбами ФАБ-1000 (в дымовой трубе), тремя ФАБ-100 и двумя 180-мм артиллерийскими снарядами под полетной палубой. Во время второго подрыва взорвали еще одну ФАБ-1000 на полетной палубе. Третья серия одновременных подрывов заключалась в одновременной детонации ФАБ-250 и двух 180-мм снарядов. Бомба взорвалась на полетной палубе, снаряды — на верхней ангарной. Четвертая серия включала одновременный подрыв ФАБ-500 на высоте 2,7 м над полетной палубой (бомба вывешивалась на треноге), ФАБ-250 на палубе верхнего ангара, ФАБ-250 на полетной палубе и ФАБ-100 на палубе «С» (батарейной). Наконец, пятая серия заключалась в одновременном подрыве ФАБ-500 и ФАБ-100 на полетной палубе. Необходимо отметить, что часть бомб на полетной палубе в месте подрыва размещалась с заглублением — в настиле палубы вырезался колодец, в который бомба вывешивалась почти по стабилизатор. Это как бы имитировало проникающий эффект при кинетическом ударе. Несмотря на отсутствие экипажа, ведущего борьбу за живучесть, «Цеппелин» упорно не хотел тонуть. Тогда вице-адмирал Ю.Ф. Ралль, герой этой славной виктории нашего флота, приказал потопить его торпедами. В дело были введены торпедные катера ТК-248, ТК-425 и ТК-503 (типа «Элко», полученные по ленд-лизу), а также эсминцы «Славный», «Строгий» и «Стройный». Первыми к авианосцу подошли катера. Атака Т-248 оказалась безуспешной — торпеда, не взорвавшись, прошла под килем «Цеппелина». Через 15 минут ТК-503 попал торпедой в правый борт в районе 130 шпангоута. Взрывом разрушило конструкции буля, но находившийся за ним броневой пояс остался неповрежденным. Через час подошли эсминцы. «Славный» попал торпедой в правый борт в районе 180 шпангоута, то есть в район носового самолетоподъемника, где ниже ватерлинии не было ни булей, ни другой подводной конструктивной защиты. Только после этого авианосец начал медленно погружаться и через 25 минут затонул. Координаты гибели «Цеппелина» до сих пор скрываются нашими «любителями гласности» (15225).</w:t>
      </w:r>
    </w:p>
    <w:p w14:paraId="215E4C05" w14:textId="77777777" w:rsidR="00F30912" w:rsidRPr="00925F26" w:rsidRDefault="00F30912" w:rsidP="00925F26">
      <w:pPr>
        <w:pStyle w:val="book"/>
        <w:ind w:firstLine="0"/>
        <w:jc w:val="both"/>
        <w:rPr>
          <w:color w:val="000000" w:themeColor="text1"/>
          <w:sz w:val="16"/>
          <w:szCs w:val="16"/>
        </w:rPr>
      </w:pPr>
    </w:p>
    <w:p w14:paraId="39972206" w14:textId="77777777" w:rsidR="00F77AC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6012195" w14:textId="77777777" w:rsidR="00F77ACE" w:rsidRPr="00925F26" w:rsidRDefault="00F77ACE" w:rsidP="00925F26">
      <w:pPr>
        <w:autoSpaceDE w:val="0"/>
        <w:autoSpaceDN w:val="0"/>
        <w:adjustRightInd w:val="0"/>
        <w:jc w:val="both"/>
        <w:rPr>
          <w:iCs/>
          <w:color w:val="000000" w:themeColor="text1"/>
          <w:sz w:val="16"/>
          <w:szCs w:val="16"/>
        </w:rPr>
      </w:pPr>
    </w:p>
    <w:p w14:paraId="2472566E" w14:textId="77777777" w:rsidR="00F77ACE" w:rsidRPr="00925F26" w:rsidRDefault="00F77ACE" w:rsidP="00925F26">
      <w:pPr>
        <w:jc w:val="both"/>
        <w:rPr>
          <w:color w:val="000000" w:themeColor="text1"/>
          <w:sz w:val="16"/>
          <w:szCs w:val="16"/>
        </w:rPr>
      </w:pPr>
      <w:r w:rsidRPr="00925F26">
        <w:rPr>
          <w:color w:val="000000" w:themeColor="text1"/>
          <w:sz w:val="16"/>
          <w:szCs w:val="16"/>
        </w:rPr>
        <w:t>24 апреля в 1945 году (24-27 апреля) XI сессия Верховного Совета СССР первого созыва, на которой был принят Закон о Государственном бюджете Союза Советских Социалистических Республик на 1945 год (15109).</w:t>
      </w:r>
    </w:p>
    <w:p w14:paraId="516A72D5" w14:textId="77777777" w:rsidR="00F77ACE" w:rsidRPr="00925F26" w:rsidRDefault="00F77ACE" w:rsidP="00925F26">
      <w:pPr>
        <w:jc w:val="both"/>
        <w:rPr>
          <w:color w:val="000000" w:themeColor="text1"/>
          <w:sz w:val="16"/>
          <w:szCs w:val="16"/>
        </w:rPr>
      </w:pPr>
    </w:p>
    <w:p w14:paraId="7BC42A0B" w14:textId="77777777" w:rsidR="00F77ACE" w:rsidRPr="00925F26" w:rsidRDefault="00F77ACE" w:rsidP="00925F26">
      <w:pPr>
        <w:jc w:val="both"/>
        <w:rPr>
          <w:color w:val="000000" w:themeColor="text1"/>
          <w:sz w:val="16"/>
          <w:szCs w:val="16"/>
        </w:rPr>
      </w:pPr>
      <w:r w:rsidRPr="00925F26">
        <w:rPr>
          <w:color w:val="000000" w:themeColor="text1"/>
          <w:sz w:val="16"/>
          <w:szCs w:val="16"/>
        </w:rPr>
        <w:t>24 апреля в 1945 году в Берлин прибыла специальная бригада Всесоюзного радио (писатель А.Медников, журналист М.Гус, редактор М.Шалашников, звукооператор А.Спасский). Она вела репортажи о боях на улицах, производила записи на пленку, которые передавались в Москву. В ночь с 8 на 9 мая была запечатлена на магнитофонную пленку процедура подписания Акта о капитуляции вооруженных сил фашистской Германии (15109).</w:t>
      </w:r>
    </w:p>
    <w:p w14:paraId="2F8DF1F1" w14:textId="77777777" w:rsidR="00F77ACE" w:rsidRPr="00925F26" w:rsidRDefault="00F77ACE" w:rsidP="00925F26">
      <w:pPr>
        <w:jc w:val="both"/>
        <w:rPr>
          <w:color w:val="000000" w:themeColor="text1"/>
          <w:sz w:val="16"/>
          <w:szCs w:val="16"/>
        </w:rPr>
      </w:pPr>
    </w:p>
    <w:p w14:paraId="73876D7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D7F2993" w14:textId="77777777" w:rsidR="00665165" w:rsidRPr="00925F26" w:rsidRDefault="00665165" w:rsidP="00925F26">
      <w:pPr>
        <w:autoSpaceDE w:val="0"/>
        <w:autoSpaceDN w:val="0"/>
        <w:adjustRightInd w:val="0"/>
        <w:jc w:val="both"/>
        <w:rPr>
          <w:iCs/>
          <w:color w:val="000000" w:themeColor="text1"/>
          <w:sz w:val="16"/>
          <w:szCs w:val="16"/>
        </w:rPr>
      </w:pPr>
    </w:p>
    <w:p w14:paraId="026AC0DA" w14:textId="77777777" w:rsidR="00F77ACE" w:rsidRPr="00925F26" w:rsidRDefault="00F77ACE" w:rsidP="00925F26">
      <w:pPr>
        <w:jc w:val="both"/>
        <w:rPr>
          <w:color w:val="000000" w:themeColor="text1"/>
          <w:sz w:val="16"/>
          <w:szCs w:val="16"/>
        </w:rPr>
      </w:pPr>
      <w:r w:rsidRPr="00925F26">
        <w:rPr>
          <w:color w:val="000000" w:themeColor="text1"/>
          <w:sz w:val="16"/>
          <w:szCs w:val="16"/>
        </w:rPr>
        <w:lastRenderedPageBreak/>
        <w:t>24 апреля в 1945 году во время очередного вылета «Не-162А-2» командира II/JG1 обер-лейтенанта Пауля-Генриха Дехне потерпел аварию при посадке на аэродроме Варнемюнде. В последний момент Дехне решил катапультироваться, однако система аварийного сброса фонаря кабины не сработала, и он получил смертельные травмы головы (15109).</w:t>
      </w:r>
    </w:p>
    <w:p w14:paraId="54751381" w14:textId="77777777" w:rsidR="00F77ACE" w:rsidRPr="00925F26" w:rsidRDefault="00F77ACE" w:rsidP="00925F26">
      <w:pPr>
        <w:jc w:val="both"/>
        <w:rPr>
          <w:color w:val="000000" w:themeColor="text1"/>
          <w:sz w:val="16"/>
          <w:szCs w:val="16"/>
        </w:rPr>
      </w:pPr>
    </w:p>
    <w:p w14:paraId="64C80AAF" w14:textId="77777777" w:rsidR="00143828" w:rsidRPr="00925F26" w:rsidRDefault="00143828" w:rsidP="00925F26">
      <w:pPr>
        <w:jc w:val="both"/>
        <w:rPr>
          <w:color w:val="000000" w:themeColor="text1"/>
          <w:sz w:val="16"/>
          <w:szCs w:val="16"/>
        </w:rPr>
      </w:pPr>
      <w:r w:rsidRPr="00925F26">
        <w:rPr>
          <w:color w:val="000000" w:themeColor="text1"/>
          <w:sz w:val="16"/>
          <w:szCs w:val="16"/>
        </w:rPr>
        <w:t>24 апреля 1945 летчик на Messerschmitt Me 262, ас Люфтваффе Гюнтер Лютцов погиб в бою с P-47 Thunderbolts ВВС США около Донаувёрта, Германия. Ему приписывают 110 побед (20371).</w:t>
      </w:r>
    </w:p>
    <w:p w14:paraId="694EB590" w14:textId="77777777" w:rsidR="00143828" w:rsidRPr="00925F26" w:rsidRDefault="00143828" w:rsidP="00925F26">
      <w:pPr>
        <w:jc w:val="both"/>
        <w:rPr>
          <w:color w:val="000000" w:themeColor="text1"/>
          <w:sz w:val="16"/>
          <w:szCs w:val="16"/>
        </w:rPr>
      </w:pPr>
    </w:p>
    <w:p w14:paraId="2A7A316E" w14:textId="77777777" w:rsidR="00F77ACE" w:rsidRPr="00925F26" w:rsidRDefault="00F77ACE" w:rsidP="00925F26">
      <w:pPr>
        <w:jc w:val="both"/>
        <w:rPr>
          <w:color w:val="000000" w:themeColor="text1"/>
          <w:sz w:val="16"/>
          <w:szCs w:val="16"/>
        </w:rPr>
      </w:pPr>
      <w:r w:rsidRPr="00925F26">
        <w:rPr>
          <w:color w:val="000000" w:themeColor="text1"/>
          <w:sz w:val="16"/>
          <w:szCs w:val="16"/>
        </w:rPr>
        <w:t>24 апреля в 1945 году немецкая 12-я армия предпринимает попытку контрнаступления на берлинском направлении с запада (15109).</w:t>
      </w:r>
    </w:p>
    <w:p w14:paraId="2CC71337" w14:textId="77777777" w:rsidR="00F77ACE" w:rsidRPr="00925F26" w:rsidRDefault="00F77ACE" w:rsidP="00925F26">
      <w:pPr>
        <w:jc w:val="both"/>
        <w:rPr>
          <w:color w:val="000000" w:themeColor="text1"/>
          <w:sz w:val="16"/>
          <w:szCs w:val="16"/>
        </w:rPr>
      </w:pPr>
    </w:p>
    <w:p w14:paraId="6C38FF0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апреля 1945 Генрих Гиммлер предложил Англии и США безоговорочную капитуляцию германских войск на западном фронте в обмен на продолжение войны с СССР (4962).</w:t>
      </w:r>
    </w:p>
    <w:p w14:paraId="619D2F9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636E780" w14:textId="77777777" w:rsidR="00F77ACE" w:rsidRPr="00925F26" w:rsidRDefault="00F77ACE" w:rsidP="00925F26">
      <w:pPr>
        <w:jc w:val="both"/>
        <w:rPr>
          <w:color w:val="000000" w:themeColor="text1"/>
          <w:sz w:val="16"/>
          <w:szCs w:val="16"/>
        </w:rPr>
      </w:pPr>
      <w:r w:rsidRPr="00925F26">
        <w:rPr>
          <w:color w:val="000000" w:themeColor="text1"/>
          <w:sz w:val="16"/>
          <w:szCs w:val="16"/>
        </w:rPr>
        <w:t>24 апреля в 1945 году министр иностранных дел Швеции Х.Гюнтер сообщил послам США и Великобритании о предложении Генриха Гиммлера прекратить сопротивление на западном фронте в обмен на продолжение войны с СССР (15109).</w:t>
      </w:r>
    </w:p>
    <w:p w14:paraId="635C162E" w14:textId="77777777" w:rsidR="00F77ACE" w:rsidRPr="00925F26" w:rsidRDefault="00F77ACE" w:rsidP="00925F26">
      <w:pPr>
        <w:jc w:val="both"/>
        <w:rPr>
          <w:color w:val="000000" w:themeColor="text1"/>
          <w:sz w:val="16"/>
          <w:szCs w:val="16"/>
        </w:rPr>
      </w:pPr>
    </w:p>
    <w:p w14:paraId="5ECBC62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апреля 1945 Гитлер приказал арестовать Геринга (4962).</w:t>
      </w:r>
    </w:p>
    <w:p w14:paraId="4A7D2E5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F67A29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апреля 1945 итальянские коммунисты подняли антифашистское восстание в Северной Италии (4962).</w:t>
      </w:r>
    </w:p>
    <w:p w14:paraId="05D52C5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E11A8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Г.Гимлер безуспешно пытался через шведского дипломата Фольке Бернадотта предложить Великобритании и США безоговорочную капитуляцию на ЗФ с тем, чтобы продолжить сопротивление на востоке (3263,198).</w:t>
      </w:r>
    </w:p>
    <w:p w14:paraId="66688390" w14:textId="77777777" w:rsidR="00665165" w:rsidRPr="00925F26" w:rsidRDefault="00665165" w:rsidP="00925F26">
      <w:pPr>
        <w:autoSpaceDE w:val="0"/>
        <w:autoSpaceDN w:val="0"/>
        <w:adjustRightInd w:val="0"/>
        <w:jc w:val="both"/>
        <w:rPr>
          <w:color w:val="000000" w:themeColor="text1"/>
          <w:sz w:val="16"/>
          <w:szCs w:val="16"/>
        </w:rPr>
      </w:pPr>
    </w:p>
    <w:p w14:paraId="528C15C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24th, 1945: In the West, the US Seventh Army (Patch) crosses the Danube at Dillingen and captures Ulm. In the battle of Berlin, the Soviet armies are tightening their grip and are slowly advancing toward the center of the city (3819).</w:t>
      </w:r>
    </w:p>
    <w:p w14:paraId="632C9E21" w14:textId="77777777" w:rsidR="00665165" w:rsidRPr="00925F26" w:rsidRDefault="00665165" w:rsidP="00925F26">
      <w:pPr>
        <w:autoSpaceDE w:val="0"/>
        <w:autoSpaceDN w:val="0"/>
        <w:adjustRightInd w:val="0"/>
        <w:jc w:val="both"/>
        <w:rPr>
          <w:color w:val="000000" w:themeColor="text1"/>
          <w:sz w:val="16"/>
          <w:szCs w:val="16"/>
          <w:lang w:val="en-US"/>
        </w:rPr>
      </w:pPr>
    </w:p>
    <w:p w14:paraId="41BB37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апреля 1945 7А США форсировала Дунай у Диллингена и заняла Ульм (3819).</w:t>
      </w:r>
    </w:p>
    <w:p w14:paraId="46425A60" w14:textId="77777777" w:rsidR="00665165" w:rsidRPr="00925F26" w:rsidRDefault="00665165" w:rsidP="00925F26">
      <w:pPr>
        <w:autoSpaceDE w:val="0"/>
        <w:autoSpaceDN w:val="0"/>
        <w:adjustRightInd w:val="0"/>
        <w:jc w:val="both"/>
        <w:rPr>
          <w:color w:val="000000" w:themeColor="text1"/>
          <w:sz w:val="16"/>
          <w:szCs w:val="16"/>
        </w:rPr>
      </w:pPr>
    </w:p>
    <w:p w14:paraId="7A91F87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CF56357" w14:textId="77777777" w:rsidR="00665165" w:rsidRPr="00925F26" w:rsidRDefault="00665165" w:rsidP="00925F26">
      <w:pPr>
        <w:autoSpaceDE w:val="0"/>
        <w:autoSpaceDN w:val="0"/>
        <w:adjustRightInd w:val="0"/>
        <w:jc w:val="both"/>
        <w:rPr>
          <w:iCs/>
          <w:color w:val="000000" w:themeColor="text1"/>
          <w:sz w:val="16"/>
          <w:szCs w:val="16"/>
        </w:rPr>
      </w:pPr>
    </w:p>
    <w:p w14:paraId="7CF0DB57"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25 апреля 1945 генерал-лейтенант Лапин в официальном письме на имя Ильюшина поставил вопрос о необходимости усиления конструкции самолета Ил-10 и перевода его из класса Б (неманевренные самолеты) в класс А (маневренные самолеты). Ильюшин и тогда ничего не ответил.</w:t>
      </w:r>
    </w:p>
    <w:p w14:paraId="3F1B9789" w14:textId="77777777" w:rsidR="004F7EC9" w:rsidRPr="00925F26" w:rsidRDefault="004F7EC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Между тем генерал Лапин в своем письме обращал внимание Ильюшина на следующие обстоятельства: «В заключении ЦАГИ № 121 с от 2.02.45 г. по статиспытаниям самолета Ил-10 указано о необходимости повысить прочность самолета Ил-10 до требований норм прочности 1943 г. по классу «А». В последующих заключениях ЦАГИ № 396с от 19.04.45 г. по статическим испытаниям Ил-10, проведенным на заводе № 18, и № 397с от 19.04.45 г. по статическим испытаниям самолета Ил-10, проведенных на заводе № 1, повторно указывается пожелание о повышении прочности самолета Ил-10 до требований норм прочности 1943 года по классу «А». Проведенные заводом № 18 статические испытания крыла самолета Ил-10 с повышенной прочностью, выполненной в соответствии с рекомендациями ЦАГИ, выявили запас прочности, удовлетворяющий по случаю А' требованиям норм прочности как по классу «Б», так и по классу «А» маневренных самолетов». Лапин просил Ильюшина сообщить свое мнение по этому вопросу, а также какие принимаются меры.</w:t>
      </w:r>
    </w:p>
    <w:p w14:paraId="20913139"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Действительно, уже с мая 1945 года в производство на заводах № 1 и № 18 было внедрено усиленное крыло. Тогда же в строевые части выехали специальные бригады заводов для проведения соответствующих доработок самолетов на местах (17490).</w:t>
      </w:r>
    </w:p>
    <w:p w14:paraId="7D1A11FF" w14:textId="77777777" w:rsidR="004F7EC9" w:rsidRPr="00925F26" w:rsidRDefault="004F7EC9" w:rsidP="00925F26">
      <w:pPr>
        <w:jc w:val="both"/>
        <w:rPr>
          <w:rStyle w:val="107"/>
          <w:rFonts w:eastAsiaTheme="minorHAnsi"/>
          <w:color w:val="000000" w:themeColor="text1"/>
          <w:sz w:val="16"/>
          <w:szCs w:val="16"/>
        </w:rPr>
      </w:pPr>
    </w:p>
    <w:p w14:paraId="6C316F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на Пе-2М В.М.М. в полете на высоте 4500 м загорелся правый двигатель. Летчик-испытатель А. Пальчиков сумел посадить машину на аэродром и вместе с ведущим инженером Н.Лашкевичем ликвидировать пожар (3337).</w:t>
      </w:r>
    </w:p>
    <w:p w14:paraId="3FA1ABE7" w14:textId="77777777" w:rsidR="00665165" w:rsidRPr="00925F26" w:rsidRDefault="00665165" w:rsidP="00925F26">
      <w:pPr>
        <w:autoSpaceDE w:val="0"/>
        <w:autoSpaceDN w:val="0"/>
        <w:adjustRightInd w:val="0"/>
        <w:jc w:val="both"/>
        <w:rPr>
          <w:color w:val="000000" w:themeColor="text1"/>
          <w:sz w:val="16"/>
          <w:szCs w:val="16"/>
        </w:rPr>
      </w:pPr>
    </w:p>
    <w:p w14:paraId="384C8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построили второй ДБ-I-108, который-то, и получил обозначение ДБ-П-108. На нем продолжили летные испытания. Однако в связи с требованием ВВС об установке полностью электрифицированных стрелковых установок, не выпускавшихся отечественной промышленностью, в 1945 г. все работы по ДБ "Москито" прекратили. Самолет ДБ-1-108 послужил основой для многочисленных проектов, последним из которых стал ДБ-П-108 с носовой кабиной штурмана, предложенный ВВС в мае 1945 г. (3337).</w:t>
      </w:r>
    </w:p>
    <w:p w14:paraId="6BED31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ДБ-II-108 В.М.М. произошла катастрофа. В этот день у заводского летчика-испытателя А.Г.Васильченко на высоте 1500 м сорвало крышку капота левого двигателя и оттуда вырвалось пламя. Васильченко решил увеличить скорость захода на посадку и тем самым спасти машину. Но случилось непредвиденное: перед "ДБ" неожиданно появился заходящий на посадку Пе-2. Пытаясь уклониться от столкновения, "ДБ" задел правой консолью жилой дом и упал, не долетев до аэродрома. В результате катастрофы был потерян не только самолет, но и погибли ведущий инженер Л.Дьяконов и трое гражданских лиц, среди них - двоих детей.</w:t>
      </w:r>
    </w:p>
    <w:p w14:paraId="058D561A" w14:textId="77777777" w:rsidR="00665165" w:rsidRPr="00925F26" w:rsidRDefault="00665165" w:rsidP="00925F26">
      <w:pPr>
        <w:autoSpaceDE w:val="0"/>
        <w:autoSpaceDN w:val="0"/>
        <w:adjustRightInd w:val="0"/>
        <w:jc w:val="both"/>
        <w:rPr>
          <w:color w:val="000000" w:themeColor="text1"/>
          <w:sz w:val="16"/>
          <w:szCs w:val="16"/>
        </w:rPr>
      </w:pPr>
    </w:p>
    <w:p w14:paraId="1A2CC5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1944 по</w:t>
      </w:r>
      <w:r w:rsidRPr="00925F26">
        <w:rPr>
          <w:color w:val="000000" w:themeColor="text1"/>
          <w:sz w:val="16"/>
          <w:szCs w:val="16"/>
        </w:rPr>
        <w:softHyphen/>
        <w:t>строили вторую машину. На ней-то, получившей обо</w:t>
      </w:r>
      <w:r w:rsidRPr="00925F26">
        <w:rPr>
          <w:color w:val="000000" w:themeColor="text1"/>
          <w:sz w:val="16"/>
          <w:szCs w:val="16"/>
        </w:rPr>
        <w:softHyphen/>
        <w:t>значение ДБ-П-108, и продолжили летные испытания. Однако в связи с требованием ВВС об установке пол</w:t>
      </w:r>
      <w:r w:rsidRPr="00925F26">
        <w:rPr>
          <w:color w:val="000000" w:themeColor="text1"/>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 Самолет ДБ-И 08 послужил основой для многочис</w:t>
      </w:r>
      <w:r w:rsidRPr="00925F26">
        <w:rPr>
          <w:color w:val="000000" w:themeColor="text1"/>
          <w:sz w:val="16"/>
          <w:szCs w:val="16"/>
        </w:rPr>
        <w:softHyphen/>
        <w:t>ленных проектов, последним из которых стал ДБ-1\/-108 с носовой кабиной штурмана, предложенный ВВС в мае 1945 года (11446).</w:t>
      </w:r>
    </w:p>
    <w:p w14:paraId="42A30B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F991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года закончились войсковые испытания сорока машин Як-9ДД первых двух серий, проходивших в 368-м иап (командир М.К. Жулин) 334-й иад 6-го бомбардировочного авиакорпуса с 9 марта.</w:t>
      </w:r>
    </w:p>
    <w:p w14:paraId="18511F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w:t>
      </w:r>
      <w:proofErr w:type="gramStart"/>
      <w:r w:rsidRPr="00925F26">
        <w:rPr>
          <w:color w:val="000000" w:themeColor="text1"/>
          <w:sz w:val="16"/>
          <w:szCs w:val="16"/>
        </w:rPr>
        <w:t>В частности</w:t>
      </w:r>
      <w:proofErr w:type="gramEnd"/>
      <w:r w:rsidRPr="00925F26">
        <w:rPr>
          <w:color w:val="000000" w:themeColor="text1"/>
          <w:sz w:val="16"/>
          <w:szCs w:val="16"/>
        </w:rPr>
        <w:t xml:space="preserve">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7B258B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6A6F9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Заниженная скороподъемность и недостаточная маневренность, особенно при полной полетной массе.</w:t>
      </w:r>
    </w:p>
    <w:p w14:paraId="56A1A1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11C1AC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4DFDA188" w14:textId="77777777" w:rsidR="00665165" w:rsidRPr="00925F26" w:rsidRDefault="00665165" w:rsidP="00925F26">
      <w:pPr>
        <w:autoSpaceDE w:val="0"/>
        <w:autoSpaceDN w:val="0"/>
        <w:adjustRightInd w:val="0"/>
        <w:jc w:val="both"/>
        <w:rPr>
          <w:color w:val="000000" w:themeColor="text1"/>
          <w:sz w:val="16"/>
          <w:szCs w:val="16"/>
        </w:rPr>
      </w:pPr>
    </w:p>
    <w:p w14:paraId="162AB806"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завершились войсковые испытания (начало 9 марта) «Як-9ДД». Войсковые испытания на боевое применение проводились в 368-ом истребительном авиационном полку (командир - майор А.Г.Жулин) 334-й истребительной авиационной дивизии 6-го бомбардировочного авиационного корпуса) 3-й Воздушной Армии. Всего проходило испытания 40 «Як-9ДД» 1-й и 2-й серий выпуска мая - августа 1944 г. Войсковые испытания в 368-м истребительном авиационном полкуп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предъявляемым к истребителям сопровождения такого скоростного бомбардировщика, как «Ту-2» по следующим причинам</w:t>
      </w:r>
      <w:proofErr w:type="gramStart"/>
      <w:r w:rsidRPr="00925F26">
        <w:rPr>
          <w:color w:val="000000" w:themeColor="text1"/>
          <w:sz w:val="16"/>
          <w:szCs w:val="16"/>
        </w:rPr>
        <w:t>: Относительно</w:t>
      </w:r>
      <w:proofErr w:type="gramEnd"/>
      <w:r w:rsidRPr="00925F26">
        <w:rPr>
          <w:color w:val="000000" w:themeColor="text1"/>
          <w:sz w:val="16"/>
          <w:szCs w:val="16"/>
        </w:rPr>
        <w:t xml:space="preserve">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и отражения атак </w:t>
      </w:r>
      <w:proofErr w:type="gramStart"/>
      <w:r w:rsidRPr="00925F26">
        <w:rPr>
          <w:color w:val="000000" w:themeColor="text1"/>
          <w:sz w:val="16"/>
          <w:szCs w:val="16"/>
        </w:rPr>
        <w:t>противника.Для</w:t>
      </w:r>
      <w:proofErr w:type="gramEnd"/>
      <w:r w:rsidRPr="00925F26">
        <w:rPr>
          <w:color w:val="000000" w:themeColor="text1"/>
          <w:sz w:val="16"/>
          <w:szCs w:val="16"/>
        </w:rPr>
        <w:t xml:space="preserve"> устранения этого недостатка «Як-9ДД» как </w:t>
      </w:r>
      <w:r w:rsidRPr="00925F26">
        <w:rPr>
          <w:color w:val="000000" w:themeColor="text1"/>
          <w:sz w:val="16"/>
          <w:szCs w:val="16"/>
        </w:rPr>
        <w:lastRenderedPageBreak/>
        <w:t xml:space="preserve">истребителя сопровождения необходимо было улучшить его аэродинамику по типу «Як-9У» и «Як-З» и установить на нем более мощный </w:t>
      </w:r>
      <w:proofErr w:type="gramStart"/>
      <w:r w:rsidRPr="00925F26">
        <w:rPr>
          <w:color w:val="000000" w:themeColor="text1"/>
          <w:sz w:val="16"/>
          <w:szCs w:val="16"/>
        </w:rPr>
        <w:t>двигатель,например</w:t>
      </w:r>
      <w:proofErr w:type="gramEnd"/>
      <w:r w:rsidRPr="00925F26">
        <w:rPr>
          <w:color w:val="000000" w:themeColor="text1"/>
          <w:sz w:val="16"/>
          <w:szCs w:val="16"/>
        </w:rPr>
        <w:t xml:space="preserve"> «М-105ПФ2», но этот двигатель обладал недостаточной по сравнению с двигателями «Ту-2» высотностью (15110).</w:t>
      </w:r>
    </w:p>
    <w:p w14:paraId="7FE27AF1" w14:textId="77777777" w:rsidR="00B307A0" w:rsidRPr="00925F26" w:rsidRDefault="00B307A0" w:rsidP="00925F26">
      <w:pPr>
        <w:jc w:val="both"/>
        <w:rPr>
          <w:color w:val="000000" w:themeColor="text1"/>
          <w:sz w:val="16"/>
          <w:szCs w:val="16"/>
        </w:rPr>
      </w:pPr>
    </w:p>
    <w:p w14:paraId="2E937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года закончились государственные испытания Як-3Т, которые шли с 17 февраля.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6AFC1C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в ОКБ занимались доводкой машины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64D94CC4" w14:textId="77777777" w:rsidR="00665165" w:rsidRPr="00925F26" w:rsidRDefault="00665165" w:rsidP="00925F26">
      <w:pPr>
        <w:autoSpaceDE w:val="0"/>
        <w:autoSpaceDN w:val="0"/>
        <w:adjustRightInd w:val="0"/>
        <w:jc w:val="both"/>
        <w:rPr>
          <w:color w:val="000000" w:themeColor="text1"/>
          <w:sz w:val="16"/>
          <w:szCs w:val="16"/>
        </w:rPr>
      </w:pPr>
    </w:p>
    <w:p w14:paraId="7F62D68A"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С 25 по 29 апреля 1945 г. были осуществлены полеты на БИ № 9. Цифру «9» на его киле по какой-то причине пере красили в цифру «6», и самолет получил в дальнейшем обо значение БИ № 6 взамен ушедшего на испытания в ЦАГИ «настоящего» БИ № 6. Летчики М.А. Байкалов и Б.Н. Кудрин провели испытания этого самолета с максималь но возможной нагрузкой на крыло (взлетная масса была доведена с 872 до 1300 кг) на всех скоростях в диапазоне ве 220...36О км/ч.</w:t>
      </w:r>
    </w:p>
    <w:p w14:paraId="0DCD5616"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Следы самолета БИ № 8 в архивах не были обнаружены. Судьба этого самолета сегодня не известна.</w:t>
      </w:r>
    </w:p>
    <w:p w14:paraId="196C377A"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общей сложности на самолетах БИ было осуществлено 12 полетов.</w:t>
      </w:r>
    </w:p>
    <w:p w14:paraId="6799009C"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Было сделано семь полетов с двигателем Д-1А-1100 кон струкции Л.С. Душкина, два полета с двигателем РД-1 кон струкции A.M. Исаева и три полета с ПВРД. В испытаниях нашего первого ракетного самолета принимали участие Г.Я. Бахчиванджи, К.А. Груздев, Б.Н. Кудрин и М.А. Байкалов.</w:t>
      </w:r>
    </w:p>
    <w:p w14:paraId="73B950D6"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заключение о самолете БИ надо подчеркнуть тот факт, что программу испытаний «ближнего истребителя» так до конца завершить не удалось, но результаты испытательных полетов дали возможность сделать один немаловажный вы вод, что самолет БИ с ЖРД летать может (19586).</w:t>
      </w:r>
    </w:p>
    <w:p w14:paraId="275F1EB9" w14:textId="77777777" w:rsidR="00A278CB" w:rsidRPr="00925F26" w:rsidRDefault="00A278CB" w:rsidP="00925F26">
      <w:pPr>
        <w:pStyle w:val="ae"/>
        <w:shd w:val="clear" w:color="auto" w:fill="FFFFFF"/>
        <w:spacing w:before="0" w:after="0"/>
        <w:jc w:val="both"/>
        <w:rPr>
          <w:color w:val="000000" w:themeColor="text1"/>
          <w:sz w:val="16"/>
          <w:szCs w:val="16"/>
        </w:rPr>
      </w:pPr>
    </w:p>
    <w:p w14:paraId="47594978" w14:textId="77777777" w:rsidR="00403B6B" w:rsidRPr="001A0BAA" w:rsidRDefault="00403B6B" w:rsidP="00403B6B">
      <w:pPr>
        <w:jc w:val="both"/>
        <w:rPr>
          <w:color w:val="0070C0"/>
          <w:sz w:val="16"/>
          <w:szCs w:val="16"/>
        </w:rPr>
      </w:pPr>
      <w:r w:rsidRPr="001A0BAA">
        <w:rPr>
          <w:color w:val="0070C0"/>
          <w:sz w:val="16"/>
          <w:szCs w:val="16"/>
        </w:rPr>
        <w:t>С 25 по 29 апреля 1945 г. были осуществлены полеты на БИ № 9; цифру «9» на его киле по какой-то причине пере</w:t>
      </w:r>
      <w:r w:rsidRPr="001A0BAA">
        <w:rPr>
          <w:color w:val="0070C0"/>
          <w:sz w:val="16"/>
          <w:szCs w:val="16"/>
        </w:rPr>
        <w:softHyphen/>
        <w:t>красили в цифру «6», и самолет получил в дальнейшем обо</w:t>
      </w:r>
      <w:r w:rsidRPr="001A0BAA">
        <w:rPr>
          <w:color w:val="0070C0"/>
          <w:sz w:val="16"/>
          <w:szCs w:val="16"/>
        </w:rPr>
        <w:softHyphen/>
        <w:t>значение БИ № 6 взамен ушедшего на испытания в ЦАГИ «настоящего» БИ № 6. Летчики М.А. Байкалов и Б.Н. Кудрин провели испытания этого самолета с максималь</w:t>
      </w:r>
      <w:r w:rsidRPr="001A0BAA">
        <w:rPr>
          <w:color w:val="0070C0"/>
          <w:sz w:val="16"/>
          <w:szCs w:val="16"/>
        </w:rPr>
        <w:softHyphen/>
        <w:t>но возможной нагрузкой на крыло (взлетная масса была до</w:t>
      </w:r>
      <w:r w:rsidRPr="001A0BAA">
        <w:rPr>
          <w:color w:val="0070C0"/>
          <w:sz w:val="16"/>
          <w:szCs w:val="16"/>
        </w:rPr>
        <w:softHyphen/>
      </w:r>
      <w:r w:rsidRPr="001A0BAA">
        <w:rPr>
          <w:color w:val="0070C0"/>
          <w:sz w:val="16"/>
          <w:szCs w:val="16"/>
          <w:shd w:val="clear" w:color="auto" w:fill="FFFFFF"/>
          <w:vertAlign w:val="subscript"/>
        </w:rPr>
        <w:t>ве</w:t>
      </w:r>
      <w:r w:rsidRPr="001A0BAA">
        <w:rPr>
          <w:color w:val="0070C0"/>
          <w:sz w:val="16"/>
          <w:szCs w:val="16"/>
          <w:shd w:val="clear" w:color="auto" w:fill="FFFFFF"/>
        </w:rPr>
        <w:t xml:space="preserve">дена с 872 до 1300 кг) на всех скоростях в диапазоне </w:t>
      </w:r>
      <w:bookmarkStart w:id="18" w:name="bookmark105"/>
      <w:bookmarkEnd w:id="18"/>
      <w:r w:rsidRPr="001A0BAA">
        <w:rPr>
          <w:color w:val="0070C0"/>
          <w:sz w:val="16"/>
          <w:szCs w:val="16"/>
          <w:shd w:val="clear" w:color="auto" w:fill="FFFFFF"/>
        </w:rPr>
        <w:t>220-</w:t>
      </w:r>
      <w:r w:rsidRPr="001A0BAA">
        <w:rPr>
          <w:color w:val="0070C0"/>
          <w:sz w:val="16"/>
          <w:szCs w:val="16"/>
        </w:rPr>
        <w:t>360 км/ч.</w:t>
      </w:r>
    </w:p>
    <w:p w14:paraId="4764588F" w14:textId="77777777" w:rsidR="00403B6B" w:rsidRPr="001A0BAA" w:rsidRDefault="00403B6B" w:rsidP="00403B6B">
      <w:pPr>
        <w:jc w:val="both"/>
        <w:rPr>
          <w:color w:val="0070C0"/>
          <w:sz w:val="16"/>
          <w:szCs w:val="16"/>
        </w:rPr>
      </w:pPr>
      <w:r w:rsidRPr="001A0BAA">
        <w:rPr>
          <w:color w:val="0070C0"/>
          <w:sz w:val="16"/>
          <w:szCs w:val="16"/>
        </w:rPr>
        <w:t>Следы самолета БИ № 8 в архивах не были обнаружены. Л судьба этого самолета сегодня не известна.</w:t>
      </w:r>
    </w:p>
    <w:p w14:paraId="6FA6493A" w14:textId="77777777" w:rsidR="00403B6B" w:rsidRPr="001A0BAA" w:rsidRDefault="00403B6B" w:rsidP="00403B6B">
      <w:pPr>
        <w:jc w:val="both"/>
        <w:rPr>
          <w:color w:val="0070C0"/>
          <w:sz w:val="16"/>
          <w:szCs w:val="16"/>
        </w:rPr>
      </w:pPr>
      <w:r w:rsidRPr="001A0BAA">
        <w:rPr>
          <w:color w:val="0070C0"/>
          <w:sz w:val="16"/>
          <w:szCs w:val="16"/>
        </w:rPr>
        <w:t>В общей сложности на самолетах БИ было осуществлено 12 полетов.</w:t>
      </w:r>
    </w:p>
    <w:p w14:paraId="595429C2" w14:textId="77777777" w:rsidR="00403B6B" w:rsidRPr="001A0BAA" w:rsidRDefault="00403B6B" w:rsidP="00403B6B">
      <w:pPr>
        <w:jc w:val="both"/>
        <w:rPr>
          <w:color w:val="0070C0"/>
          <w:sz w:val="16"/>
          <w:szCs w:val="16"/>
        </w:rPr>
      </w:pPr>
      <w:r w:rsidRPr="001A0BAA">
        <w:rPr>
          <w:color w:val="0070C0"/>
          <w:sz w:val="16"/>
          <w:szCs w:val="16"/>
        </w:rPr>
        <w:t>Было сделано семь полетов с двигателем Д-1А-1100 кон</w:t>
      </w:r>
      <w:r w:rsidRPr="001A0BAA">
        <w:rPr>
          <w:color w:val="0070C0"/>
          <w:sz w:val="16"/>
          <w:szCs w:val="16"/>
        </w:rPr>
        <w:softHyphen/>
        <w:t>струкции Л.С. Душкина, два полета с двигателем РД-1 кон</w:t>
      </w:r>
      <w:r w:rsidRPr="001A0BAA">
        <w:rPr>
          <w:color w:val="0070C0"/>
          <w:sz w:val="16"/>
          <w:szCs w:val="16"/>
        </w:rPr>
        <w:softHyphen/>
        <w:t>струкции A.M. Исаева и три полета с ПВРД. В испытаниях нашего первого ракетного самолета принимали участие Г.Я. Бахчиванджи, К.А. Груздев, Б.Н. Кудрин и М.А. Бай</w:t>
      </w:r>
      <w:r w:rsidRPr="001A0BAA">
        <w:rPr>
          <w:color w:val="0070C0"/>
          <w:sz w:val="16"/>
          <w:szCs w:val="16"/>
        </w:rPr>
        <w:softHyphen/>
        <w:t>калов [15].</w:t>
      </w:r>
    </w:p>
    <w:p w14:paraId="0CD2E2B4" w14:textId="77777777" w:rsidR="00403B6B" w:rsidRPr="001A0BAA" w:rsidRDefault="00403B6B" w:rsidP="00403B6B">
      <w:pPr>
        <w:jc w:val="both"/>
        <w:rPr>
          <w:color w:val="0070C0"/>
          <w:sz w:val="16"/>
          <w:szCs w:val="16"/>
        </w:rPr>
      </w:pPr>
      <w:r w:rsidRPr="001A0BAA">
        <w:rPr>
          <w:color w:val="0070C0"/>
          <w:sz w:val="16"/>
          <w:szCs w:val="16"/>
        </w:rPr>
        <w:t>В заключение о самолете БИ надо подчеркнуть тот факт, что программу испытаний «ближнего истребителя» так до конца завершить не удалось, но результаты испытательных полетов дали возможность сделать один немаловажный вы</w:t>
      </w:r>
      <w:r w:rsidRPr="001A0BAA">
        <w:rPr>
          <w:color w:val="0070C0"/>
          <w:sz w:val="16"/>
          <w:szCs w:val="16"/>
        </w:rPr>
        <w:softHyphen/>
        <w:t>вод, что самолет БИ с ЖРД летать может. Этот факт был больше всех многочисленных минусов этого самолета. Ближ</w:t>
      </w:r>
      <w:r w:rsidRPr="001A0BAA">
        <w:rPr>
          <w:color w:val="0070C0"/>
          <w:sz w:val="16"/>
          <w:szCs w:val="16"/>
        </w:rPr>
        <w:softHyphen/>
        <w:t>ний истребитель стал первым практическим самолетом с ЖРД в России (24920).</w:t>
      </w:r>
    </w:p>
    <w:p w14:paraId="114FC419" w14:textId="77777777" w:rsidR="00403B6B" w:rsidRPr="001A0BAA" w:rsidRDefault="00403B6B" w:rsidP="00403B6B">
      <w:pPr>
        <w:jc w:val="both"/>
        <w:rPr>
          <w:color w:val="0070C0"/>
          <w:sz w:val="16"/>
          <w:szCs w:val="16"/>
        </w:rPr>
      </w:pPr>
    </w:p>
    <w:p w14:paraId="072A78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А.И.Ш. писал письмо N Н-22/1927 в ГКО ГМ.М.:</w:t>
      </w:r>
    </w:p>
    <w:p w14:paraId="035014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"Докладываю о ходе испытаний самолетов-снарядов.</w:t>
      </w:r>
    </w:p>
    <w:p w14:paraId="32327C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самолетов-снарядов начались 20 марта с.г. На 18 апреля 1945 было сброшено с самолета Пе-8 пятнадцать самолетов-снарядов... Тов. Залесскому отправлено до сего времени 37 экз. самолетов-снарядов и необходимое количество запасных решеток с клапанами 0.2 мм, автопилотов, автоматов питания и редукторов, проверенных на заводах 51 и 122.</w:t>
      </w:r>
    </w:p>
    <w:p w14:paraId="55E336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Следующий этап испытаний, к которому т. Залесский приступил, это испытания на дальность полета и определение рассеивания с одновременным испытанием работы взрывателей.</w:t>
      </w:r>
    </w:p>
    <w:p w14:paraId="08AAF4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возможности использования самолета Ер-2 в качестве буксировщика самолетов-снарядов, заводом 51 был оборудован самолет Пе-02 подвеской для самолетов-снарядов и отправлен т. Залесскому, куда прибыл 14 апреля 1945.</w:t>
      </w:r>
    </w:p>
    <w:p w14:paraId="21622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ускорения испытаний к т. Залесскому направляется второй самолет Пе-8, оборудованный подвеской и третий самолет Пе-8 оборудуется на заводе 84 в г. Ташкенте" (1873,291).</w:t>
      </w:r>
    </w:p>
    <w:p w14:paraId="4E069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"Докладываю о ходе испытаний самолетов-снарядов.</w:t>
      </w:r>
    </w:p>
    <w:p w14:paraId="6D8EE2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самолетов-снарядов начались 20 марта с.г. На 18 апреля 1945 было сброшено с самолета Пе-8 пятнадцать самолетов-снарядов.</w:t>
      </w:r>
    </w:p>
    <w:p w14:paraId="1D9685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марта был сделан первый сброс. Самолёт-снаряд, отцеп</w:t>
      </w:r>
      <w:r w:rsidRPr="00925F26">
        <w:rPr>
          <w:color w:val="000000" w:themeColor="text1"/>
          <w:sz w:val="16"/>
          <w:szCs w:val="16"/>
        </w:rPr>
        <w:softHyphen/>
        <w:t>ленный от самолёта Пе-8 на высоте 700 метров, устойчиво про</w:t>
      </w:r>
      <w:r w:rsidRPr="00925F26">
        <w:rPr>
          <w:color w:val="000000" w:themeColor="text1"/>
          <w:sz w:val="16"/>
          <w:szCs w:val="16"/>
        </w:rPr>
        <w:softHyphen/>
        <w:t xml:space="preserve">шёл </w:t>
      </w:r>
      <w:r w:rsidRPr="00925F26">
        <w:rPr>
          <w:iCs/>
          <w:color w:val="000000" w:themeColor="text1"/>
          <w:sz w:val="16"/>
          <w:szCs w:val="16"/>
        </w:rPr>
        <w:t>22 киломе</w:t>
      </w:r>
      <w:r w:rsidRPr="00925F26">
        <w:rPr>
          <w:color w:val="000000" w:themeColor="text1"/>
          <w:sz w:val="16"/>
          <w:szCs w:val="16"/>
        </w:rPr>
        <w:t>тра» при эаданеых 20 километрах, хоропо сохраняя курс.</w:t>
      </w:r>
    </w:p>
    <w:p w14:paraId="329336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 марта, после отцепки от Пе-8, самолет-снаряд сразу перешел в крутое пикирование и пролетел всего 3 километра. Предполагается, гзто заглох двигатель»</w:t>
      </w:r>
    </w:p>
    <w:p w14:paraId="549557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 марта самолёт-снаряд после отцепки сразу перешел в пи кирование и упал.</w:t>
      </w:r>
    </w:p>
    <w:p w14:paraId="0057D9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25 марта по 4 апреля был период нелётной погода из-за сильных дождей и буранов.</w:t>
      </w:r>
    </w:p>
    <w:p w14:paraId="453E04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апреля самолёт-снаряд был отцеплен от самолёта Пе-8 на высоте 1000 метров на скорости Пе-8 - 365 км/час. Самолёт-снаряд пролетел 62 километра при задашх 70 километрах.</w:t>
      </w:r>
    </w:p>
    <w:p w14:paraId="7749B3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выявлением трудности запуска реактивного двигателя самолёта-снаряда в полёте, оказалось необходимой замена клапанов решетки двигателя толщиной 0,25 ммна более тонкие - 0,2 мм.</w:t>
      </w:r>
    </w:p>
    <w:p w14:paraId="6188D3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6-го апреля было произведено два сброса.</w:t>
      </w:r>
    </w:p>
    <w:p w14:paraId="59197E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Самолет-снаряд в первом случае прошёл 160 километров при заданных 150 км, а во втором случае, будучи выпущен с полной зарядкой бензина, прошёл 213 км вместо расчетных 240 км.</w:t>
      </w:r>
    </w:p>
    <w:p w14:paraId="422132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Работа двигателя и автопилота была хорошая. Самолёты-снаряды летели со скоростью более 475 км/час по прибору сопровождающих их самолетов Ла-5, которые от них отстали. В конце полёта самолёт-снаряд отклонился от курса на 10 градусов.</w:t>
      </w:r>
    </w:p>
    <w:p w14:paraId="0E9062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7 апрели самоелт-снаряд, будучи отпплен на высоте 1000 метров при скорости 350 км/час, пошёл со снижением с постоянно уменьшающейся скоростью и пролетел всего </w:t>
      </w:r>
      <w:proofErr w:type="gramStart"/>
      <w:r w:rsidRPr="00925F26">
        <w:rPr>
          <w:color w:val="000000" w:themeColor="text1"/>
          <w:sz w:val="16"/>
          <w:szCs w:val="16"/>
        </w:rPr>
        <w:t>30 .км</w:t>
      </w:r>
      <w:proofErr w:type="gramEnd"/>
      <w:r w:rsidRPr="00925F26">
        <w:rPr>
          <w:color w:val="000000" w:themeColor="text1"/>
          <w:sz w:val="16"/>
          <w:szCs w:val="16"/>
        </w:rPr>
        <w:t xml:space="preserve"> вместо заданных 83 км. Предполагается, что падение скорости самолета-снаряда произошло из-за уменьшения- тяги двигателя вследствже неисправной работа автомата питания или редук</w:t>
      </w:r>
      <w:r w:rsidRPr="00925F26">
        <w:rPr>
          <w:color w:val="000000" w:themeColor="text1"/>
          <w:sz w:val="16"/>
          <w:szCs w:val="16"/>
        </w:rPr>
        <w:softHyphen/>
        <w:t>тора воздуха.</w:t>
      </w:r>
    </w:p>
    <w:p w14:paraId="54196E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апреля полет оказался неудовлетворительным. Самолёт-снаряд после отцепка прошёл, только 9 км, вместо задашшх 150 км.</w:t>
      </w:r>
    </w:p>
    <w:p w14:paraId="6EBDC9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апреля саколет-снаряд пролетел 112 км</w:t>
      </w:r>
      <w:r w:rsidRPr="00925F26">
        <w:rPr>
          <w:smallCaps/>
          <w:color w:val="000000" w:themeColor="text1"/>
          <w:sz w:val="16"/>
          <w:szCs w:val="16"/>
        </w:rPr>
        <w:t xml:space="preserve"> и</w:t>
      </w:r>
      <w:r w:rsidRPr="00925F26">
        <w:rPr>
          <w:color w:val="000000" w:themeColor="text1"/>
          <w:sz w:val="16"/>
          <w:szCs w:val="16"/>
        </w:rPr>
        <w:t xml:space="preserve"> упал после полного израсходования горючего. Отклонение от курса соста</w:t>
      </w:r>
      <w:r w:rsidRPr="00925F26">
        <w:rPr>
          <w:color w:val="000000" w:themeColor="text1"/>
          <w:sz w:val="16"/>
          <w:szCs w:val="16"/>
        </w:rPr>
        <w:softHyphen/>
        <w:t>вило 6,5 градусов.</w:t>
      </w:r>
    </w:p>
    <w:p w14:paraId="01E08C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этом полёте тяга двигателя по-видшому, была ведостаточной, так как самолет-снаряд летел со скоростью всего 370 км/час.</w:t>
      </w:r>
    </w:p>
    <w:p w14:paraId="1E82A7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апреля самолёт-снаряд был сброшен по ошибке экспе</w:t>
      </w:r>
      <w:r w:rsidRPr="00925F26">
        <w:rPr>
          <w:color w:val="000000" w:themeColor="text1"/>
          <w:sz w:val="16"/>
          <w:szCs w:val="16"/>
        </w:rPr>
        <w:softHyphen/>
        <w:t>риментаторов неудачно.</w:t>
      </w:r>
    </w:p>
    <w:p w14:paraId="155E49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апреля самолет-снаряд после отцепки от самолета Пе-8 на высоте 1000 метров при скорости 350 км/час, вышел на заданную высоту 1250 метров и полетел на скорости 480 км/чаес. Через 6 минут полёта скорость самолета-снаряда и высота полёта нача</w:t>
      </w:r>
      <w:r w:rsidRPr="00925F26">
        <w:rPr>
          <w:color w:val="000000" w:themeColor="text1"/>
          <w:sz w:val="16"/>
          <w:szCs w:val="16"/>
        </w:rPr>
        <w:softHyphen/>
        <w:t>ли умешньшаться. Через 9 швут скорость упала до 300 км/час и самолёт-снаряд, войдя в</w:t>
      </w:r>
      <w:r w:rsidRPr="00925F26">
        <w:rPr>
          <w:smallCaps/>
          <w:color w:val="000000" w:themeColor="text1"/>
          <w:sz w:val="16"/>
          <w:szCs w:val="16"/>
        </w:rPr>
        <w:t xml:space="preserve"> пикирование,</w:t>
      </w:r>
      <w:r w:rsidRPr="00925F26">
        <w:rPr>
          <w:color w:val="000000" w:themeColor="text1"/>
          <w:sz w:val="16"/>
          <w:szCs w:val="16"/>
        </w:rPr>
        <w:t xml:space="preserve"> упал, пролетев с отклонением от курса в 22,5° вместо заданннх 150 км всего 65-70 км.</w:t>
      </w:r>
    </w:p>
    <w:p w14:paraId="5D38C3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апреля отцепка была произведена на высоте 300 метров на скорости 320 км/час при сильной болтанке. Самолёт-снаряд прошёл при сильных колебаниях всего 40 км с отклонением от курса на 2 градуса влево.</w:t>
      </w:r>
    </w:p>
    <w:p w14:paraId="65B3A2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апреля попутно начались испытания для отработки взрывателя. Первый полет оказался неудачным. При отпепке самолета снаряда тросс, выдергивающий чеку взрывателей, зацепился за стыковой болт самолёта-снаряда, вследствие чего последний при сбросе получил большой крен и угол атаки. Самолёт-снаряд не смор выровняться и сделав два круга на вираже врезался в землю.</w:t>
      </w:r>
    </w:p>
    <w:p w14:paraId="377F98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апреля самолёт-снаряд после отцепки на скорости 335 км/час на ввсоте 1300 метров выдерживал заданную ему траек</w:t>
      </w:r>
      <w:r w:rsidRPr="00925F26">
        <w:rPr>
          <w:color w:val="000000" w:themeColor="text1"/>
          <w:sz w:val="16"/>
          <w:szCs w:val="16"/>
        </w:rPr>
        <w:softHyphen/>
        <w:t>торию и пролетел 140 км на скорости 486 км/час, израсходовав всё залитое горюче. Отклонение от курса 1 градус влево.</w:t>
      </w:r>
    </w:p>
    <w:p w14:paraId="351A82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апреля самолёт-снаряд после отцепки от самолёта Пе-8 на высоте 1060 метров на скорости 335 км/час сразу же перешёл в пике иутал. Предполагается, что преждевременно сработал автомат переводе в пикирование.</w:t>
      </w:r>
    </w:p>
    <w:p w14:paraId="55114B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Всего сброшено 16 еамолётов-снярвдов: из которых 6 поле</w:t>
      </w:r>
      <w:r w:rsidRPr="00925F26">
        <w:rPr>
          <w:color w:val="000000" w:themeColor="text1"/>
          <w:sz w:val="16"/>
          <w:szCs w:val="16"/>
        </w:rPr>
        <w:softHyphen/>
        <w:t>тов оказалась вполне удовлетворительными.</w:t>
      </w:r>
    </w:p>
    <w:p w14:paraId="137FBE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Этими полетами был закончен перий этап испытания самолетов-снарядов, имевшие целью </w:t>
      </w:r>
      <w:proofErr w:type="gramStart"/>
      <w:r w:rsidRPr="00925F26">
        <w:rPr>
          <w:color w:val="000000" w:themeColor="text1"/>
          <w:sz w:val="16"/>
          <w:szCs w:val="16"/>
        </w:rPr>
        <w:t>проверить</w:t>
      </w:r>
      <w:proofErr w:type="gramEnd"/>
      <w:r w:rsidRPr="00925F26">
        <w:rPr>
          <w:color w:val="000000" w:themeColor="text1"/>
          <w:sz w:val="16"/>
          <w:szCs w:val="16"/>
        </w:rPr>
        <w:t xml:space="preserve"> будут ли работать в условиях самостоятельного полета двигатель и автоматика самолёта-снаряда, обеспечат ли подобранные параметры регулировки автоматики, возможность полета самолета-снарядаа, какие из агрегатов его требуют доработки.</w:t>
      </w:r>
    </w:p>
    <w:p w14:paraId="26BCD4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прореденных испытаний установлено, что все агрегаты самолёта-спаряда; как-то: двигатель, автовшт питания, автопилот и т.д. в полёте работают и могут обеспечить полет самолета-снаряда по расчитанной траектории, т.е. установлено, что конструктивное выполнение агрегатов и уставов ленные рас четом параметре их регулировки, принципиально выбраны правильно.</w:t>
      </w:r>
    </w:p>
    <w:p w14:paraId="35433A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проведении испытаний встретились трудности, вытекающие изнеобходвмости: обучения, в процессе испытания, самих акспериментаторов, устранения в ходе испытания дефектов, связанных с производственным изготовлением опытной партии самолётов-снарядов и их агрегатов, и, наконец, вследствие необхо</w:t>
      </w:r>
      <w:r w:rsidRPr="00925F26">
        <w:rPr>
          <w:color w:val="000000" w:themeColor="text1"/>
          <w:sz w:val="16"/>
          <w:szCs w:val="16"/>
        </w:rPr>
        <w:softHyphen/>
        <w:t>димости создания методов и аппаратура для контроая работы агрегатов самолёта-снаряда и определения причин их неисправ</w:t>
      </w:r>
      <w:r w:rsidRPr="00925F26">
        <w:rPr>
          <w:color w:val="000000" w:themeColor="text1"/>
          <w:sz w:val="16"/>
          <w:szCs w:val="16"/>
        </w:rPr>
        <w:softHyphen/>
        <w:t>ностей.</w:t>
      </w:r>
    </w:p>
    <w:p w14:paraId="6F2596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этих испытаний выявлено, что основнымиде</w:t>
      </w:r>
      <w:r w:rsidRPr="00925F26">
        <w:rPr>
          <w:color w:val="000000" w:themeColor="text1"/>
          <w:sz w:val="16"/>
          <w:szCs w:val="16"/>
        </w:rPr>
        <w:softHyphen/>
        <w:t>фектами в рботе агрегатов самолёта-снаряда является:</w:t>
      </w:r>
    </w:p>
    <w:p w14:paraId="100504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недостаточная тяга отдельных экземпляров двигателей и падение тяги по времени полета вследствие неудовлетворительной работы автомата питания и воздушного редуктора;</w:t>
      </w:r>
    </w:p>
    <w:p w14:paraId="2B9744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неудовлетворительная работа электросчётчика пути в ме</w:t>
      </w:r>
      <w:r w:rsidRPr="00925F26">
        <w:rPr>
          <w:color w:val="000000" w:themeColor="text1"/>
          <w:sz w:val="16"/>
          <w:szCs w:val="16"/>
        </w:rPr>
        <w:softHyphen/>
        <w:t>ханизма перевода в пикирование, срабатывающих преждевременно;</w:t>
      </w:r>
    </w:p>
    <w:p w14:paraId="6518D8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изучения и устранения этих дефектов на заводе № 51 производятся соответствующие испытания пяти самолётов-снаря</w:t>
      </w:r>
      <w:r w:rsidRPr="00925F26">
        <w:rPr>
          <w:color w:val="000000" w:themeColor="text1"/>
          <w:sz w:val="16"/>
          <w:szCs w:val="16"/>
        </w:rPr>
        <w:softHyphen/>
        <w:t>дов в условиях, приближенных к условиям работн в полёте и бу</w:t>
      </w:r>
      <w:r w:rsidRPr="00925F26">
        <w:rPr>
          <w:color w:val="000000" w:themeColor="text1"/>
          <w:sz w:val="16"/>
          <w:szCs w:val="16"/>
        </w:rPr>
        <w:softHyphen/>
        <w:t>дут произведена дополнителыные испытания работы двигателя на самолете Пе-2. Резко увелячены требования к качеству изготов</w:t>
      </w:r>
      <w:r w:rsidRPr="00925F26">
        <w:rPr>
          <w:color w:val="000000" w:themeColor="text1"/>
          <w:sz w:val="16"/>
          <w:szCs w:val="16"/>
        </w:rPr>
        <w:softHyphen/>
        <w:t>ления и проверке электросчетчиков и других агрегатов.</w:t>
      </w:r>
    </w:p>
    <w:p w14:paraId="053262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Тов. Залеескону отправлено до сего времени 37 экземпляров самолётов-снарядов и необходимое количество запасных решеток с клапанами 0,2 мм,автопилотов, автоматов питания и редукторов, проверенных на заводах №№ 51 и 122.</w:t>
      </w:r>
    </w:p>
    <w:p w14:paraId="78EA36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Следущий этап испнтаний, к которому т.Залесскйй приступил, это испытание на дальность полета и определение рассеива</w:t>
      </w:r>
      <w:r w:rsidRPr="00925F26">
        <w:rPr>
          <w:color w:val="000000" w:themeColor="text1"/>
          <w:sz w:val="16"/>
          <w:szCs w:val="16"/>
        </w:rPr>
        <w:softHyphen/>
        <w:t>ния с одновременнвм испытанием работы взрывателей.</w:t>
      </w:r>
    </w:p>
    <w:p w14:paraId="4C48B2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проверки возможности использования самолета Ер-2 в качестве букксировщика самолетовв-снарядов, заводом № 31 бвл оборудован самолет Ер-2 с подвеской для самолётов-снарядов и отправлен т.3алесскому, куда прибыл 14 апреля.</w:t>
      </w:r>
    </w:p>
    <w:p w14:paraId="1BF6B0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ускорения испытаний т. 3алесскоку направляется вто</w:t>
      </w:r>
      <w:r w:rsidRPr="00925F26">
        <w:rPr>
          <w:color w:val="000000" w:themeColor="text1"/>
          <w:sz w:val="16"/>
          <w:szCs w:val="16"/>
        </w:rPr>
        <w:softHyphen/>
        <w:t>рой самолет Пе-8, оборудовааннй подвеской и третий самолёт Пе-8 оборудуется на заводе № 84 в г.'Ташкенте (1873,291).</w:t>
      </w:r>
    </w:p>
    <w:p w14:paraId="61DC14D3" w14:textId="77777777" w:rsidR="00665165" w:rsidRPr="00925F26" w:rsidRDefault="00665165" w:rsidP="00925F26">
      <w:pPr>
        <w:autoSpaceDE w:val="0"/>
        <w:autoSpaceDN w:val="0"/>
        <w:adjustRightInd w:val="0"/>
        <w:jc w:val="both"/>
        <w:rPr>
          <w:color w:val="000000" w:themeColor="text1"/>
          <w:sz w:val="16"/>
          <w:szCs w:val="16"/>
        </w:rPr>
      </w:pPr>
    </w:p>
    <w:p w14:paraId="5317D5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47293BB" w14:textId="77777777" w:rsidR="00665165" w:rsidRPr="00925F26" w:rsidRDefault="00665165" w:rsidP="00925F26">
      <w:pPr>
        <w:autoSpaceDE w:val="0"/>
        <w:autoSpaceDN w:val="0"/>
        <w:adjustRightInd w:val="0"/>
        <w:jc w:val="both"/>
        <w:rPr>
          <w:iCs/>
          <w:color w:val="000000" w:themeColor="text1"/>
          <w:sz w:val="16"/>
          <w:szCs w:val="16"/>
        </w:rPr>
      </w:pPr>
    </w:p>
    <w:p w14:paraId="4A9A60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1945 г. начальник ТУ ГЕТУ КА инженер-полковникА.И. Благонравов подпи</w:t>
      </w:r>
      <w:r w:rsidRPr="00925F26">
        <w:rPr>
          <w:color w:val="000000" w:themeColor="text1"/>
          <w:sz w:val="16"/>
          <w:szCs w:val="16"/>
        </w:rPr>
        <w:softHyphen/>
        <w:t>сал заключение по отчету об испытаниях опытного образца модернизированного тан</w:t>
      </w:r>
      <w:r w:rsidRPr="00925F26">
        <w:rPr>
          <w:color w:val="000000" w:themeColor="text1"/>
          <w:sz w:val="16"/>
          <w:szCs w:val="16"/>
        </w:rPr>
        <w:softHyphen/>
        <w:t>ка Т-44(Т-54).</w:t>
      </w:r>
    </w:p>
    <w:p w14:paraId="1F823E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925F26">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925F26">
        <w:rPr>
          <w:iCs/>
          <w:color w:val="000000" w:themeColor="text1"/>
          <w:sz w:val="16"/>
          <w:szCs w:val="16"/>
        </w:rPr>
        <w:softHyphen/>
        <w:t>ный образец, наиболее полно отвечающий упомянутым требованиям.</w:t>
      </w:r>
    </w:p>
    <w:p w14:paraId="62A83E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Отчет комиссии по испытаниям опытно</w:t>
      </w:r>
      <w:r w:rsidRPr="00925F26">
        <w:rPr>
          <w:iCs/>
          <w:color w:val="000000" w:themeColor="text1"/>
          <w:sz w:val="16"/>
          <w:szCs w:val="16"/>
        </w:rPr>
        <w:softHyphen/>
        <w:t>го образца модернизированного танка Т-44-100 с замечаниями и предложениями, изло</w:t>
      </w:r>
      <w:r w:rsidRPr="00925F26">
        <w:rPr>
          <w:iCs/>
          <w:color w:val="000000" w:themeColor="text1"/>
          <w:sz w:val="16"/>
          <w:szCs w:val="16"/>
        </w:rPr>
        <w:softHyphen/>
        <w:t>женными выше, считаю возможным доло</w:t>
      </w:r>
      <w:r w:rsidRPr="00925F26">
        <w:rPr>
          <w:iCs/>
          <w:color w:val="000000" w:themeColor="text1"/>
          <w:sz w:val="16"/>
          <w:szCs w:val="16"/>
        </w:rPr>
        <w:softHyphen/>
        <w:t>жить для утверждения. Благонравов».</w:t>
      </w:r>
    </w:p>
    <w:p w14:paraId="6B6A54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основании материалов проведенных испытаний нарком танковой промышленно</w:t>
      </w:r>
      <w:r w:rsidRPr="00925F26">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925F26">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925F26">
        <w:rPr>
          <w:color w:val="000000" w:themeColor="text1"/>
          <w:sz w:val="16"/>
          <w:szCs w:val="16"/>
        </w:rPr>
        <w:softHyphen/>
        <w:t>миссией, на другом — планетарные механиз</w:t>
      </w:r>
      <w:r w:rsidRPr="00925F26">
        <w:rPr>
          <w:color w:val="000000" w:themeColor="text1"/>
          <w:sz w:val="16"/>
          <w:szCs w:val="16"/>
        </w:rPr>
        <w:softHyphen/>
        <w:t>мы поворота (ПМП).</w:t>
      </w:r>
    </w:p>
    <w:p w14:paraId="692684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конструкцию нового танка тре</w:t>
      </w:r>
      <w:r w:rsidRPr="00925F26">
        <w:rPr>
          <w:color w:val="000000" w:themeColor="text1"/>
          <w:sz w:val="16"/>
          <w:szCs w:val="16"/>
        </w:rPr>
        <w:softHyphen/>
        <w:t>бовалось внести 68 изменений. Однако от</w:t>
      </w:r>
      <w:r w:rsidRPr="00925F26">
        <w:rPr>
          <w:color w:val="000000" w:themeColor="text1"/>
          <w:sz w:val="16"/>
          <w:szCs w:val="16"/>
        </w:rPr>
        <w:softHyphen/>
        <w:t>работка чертежей и опытного образца по данным предложениям на заводе № 183 дли</w:t>
      </w:r>
      <w:r w:rsidRPr="00925F26">
        <w:rPr>
          <w:color w:val="000000" w:themeColor="text1"/>
          <w:sz w:val="16"/>
          <w:szCs w:val="16"/>
        </w:rPr>
        <w:softHyphen/>
        <w:t>тельное время не производилась (11468).</w:t>
      </w:r>
    </w:p>
    <w:p w14:paraId="05BFD5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B7AE734" w14:textId="77777777" w:rsidR="00A278CB" w:rsidRPr="00925F26" w:rsidRDefault="00A278CB" w:rsidP="00925F26">
      <w:pPr>
        <w:jc w:val="both"/>
        <w:rPr>
          <w:color w:val="000000" w:themeColor="text1"/>
          <w:sz w:val="16"/>
          <w:szCs w:val="16"/>
        </w:rPr>
      </w:pPr>
      <w:r w:rsidRPr="00925F26">
        <w:rPr>
          <w:color w:val="000000" w:themeColor="text1"/>
          <w:sz w:val="16"/>
          <w:szCs w:val="16"/>
        </w:rPr>
        <w:t>25 апреля – 3 мая 1945 года на НИБТ Полигоне успешно прошли испытания СУ-86Б.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250490C8" w14:textId="77777777" w:rsidR="00A278CB" w:rsidRPr="00925F26" w:rsidRDefault="00A278CB" w:rsidP="00925F26">
      <w:pPr>
        <w:jc w:val="both"/>
        <w:rPr>
          <w:color w:val="000000" w:themeColor="text1"/>
          <w:sz w:val="16"/>
          <w:szCs w:val="16"/>
        </w:rPr>
      </w:pPr>
    </w:p>
    <w:p w14:paraId="5A8EF197" w14:textId="77777777" w:rsidR="00403B6B" w:rsidRPr="001A0BAA" w:rsidRDefault="00403B6B" w:rsidP="00403B6B">
      <w:pPr>
        <w:jc w:val="both"/>
        <w:rPr>
          <w:color w:val="0070C0"/>
          <w:sz w:val="16"/>
          <w:szCs w:val="16"/>
        </w:rPr>
      </w:pPr>
      <w:r w:rsidRPr="001A0BAA">
        <w:rPr>
          <w:color w:val="0070C0"/>
          <w:sz w:val="16"/>
          <w:szCs w:val="16"/>
        </w:rPr>
        <w:t>В период с 25 апреля по 3 мая 1945 года САУ СУ-85Б прошла испытания на НИБТ Полигоне. В их ходе САУ преодолела 1004 километра и произвела 800 выстрелов. Максимальная скорость достигала 43 км/ч, а средняя - 31,8 км/ч по шоссе, 18,7 км/ч по проселку и 14,2 км/ч по целине. В отличие от СУ-85А, на специспытаниях СУ-85Б имела равнозначную с СУ-76М проходимость. НИБТ Полигон рекомендовал запускать СУ-85Б в серийное производство, поскольку машина явно избавилась от недостатков. На дворе было 15 мая 1945 года</w:t>
      </w:r>
      <w:proofErr w:type="gramStart"/>
      <w:r w:rsidRPr="001A0BAA">
        <w:rPr>
          <w:color w:val="0070C0"/>
          <w:sz w:val="16"/>
          <w:szCs w:val="16"/>
        </w:rPr>
        <w:t>...(</w:t>
      </w:r>
      <w:proofErr w:type="gramEnd"/>
      <w:r w:rsidRPr="001A0BAA">
        <w:rPr>
          <w:color w:val="0070C0"/>
          <w:sz w:val="16"/>
          <w:szCs w:val="16"/>
        </w:rPr>
        <w:t>24993)</w:t>
      </w:r>
    </w:p>
    <w:p w14:paraId="38D71149" w14:textId="77777777" w:rsidR="00403B6B" w:rsidRPr="001A0BAA" w:rsidRDefault="00403B6B" w:rsidP="00403B6B">
      <w:pPr>
        <w:jc w:val="both"/>
        <w:rPr>
          <w:color w:val="0070C0"/>
          <w:sz w:val="16"/>
          <w:szCs w:val="16"/>
        </w:rPr>
      </w:pPr>
    </w:p>
    <w:p w14:paraId="3B3308CC" w14:textId="77777777" w:rsidR="004F7EC9" w:rsidRPr="00925F26" w:rsidRDefault="004F7EC9" w:rsidP="00925F26">
      <w:pPr>
        <w:shd w:val="clear" w:color="auto" w:fill="FFFFFF"/>
        <w:jc w:val="both"/>
        <w:rPr>
          <w:color w:val="000000" w:themeColor="text1"/>
          <w:sz w:val="16"/>
          <w:szCs w:val="16"/>
        </w:rPr>
      </w:pPr>
      <w:r w:rsidRPr="00925F26">
        <w:rPr>
          <w:color w:val="000000" w:themeColor="text1"/>
          <w:sz w:val="16"/>
          <w:szCs w:val="16"/>
        </w:rPr>
        <w:t>25 апреля 1945 числа транспорт SS August Belmont в составе конвоя JW-66, который отправился в Мурманск 16 апреля 1945 года, прибыл на место назначения. В отличие от JW-65, этот конвой потерь не имел. Для изучения в СССР был доставлен Heavy Tank T26E3 с регистрационным номером 30119961. Это была серийная машина, но советские специалисты её обозначили как опытную. Связано это было с тем, что под индексом M26, как уже говорилось, поначалу фигурировал T26E1 (17693).</w:t>
      </w:r>
    </w:p>
    <w:p w14:paraId="2FE5402B" w14:textId="77777777" w:rsidR="004F7EC9" w:rsidRPr="00925F26" w:rsidRDefault="004F7EC9" w:rsidP="00925F26">
      <w:pPr>
        <w:jc w:val="both"/>
        <w:rPr>
          <w:rStyle w:val="107"/>
          <w:rFonts w:eastAsiaTheme="minorHAnsi"/>
          <w:color w:val="000000" w:themeColor="text1"/>
          <w:sz w:val="16"/>
          <w:szCs w:val="16"/>
        </w:rPr>
      </w:pPr>
    </w:p>
    <w:p w14:paraId="08DB85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На заводе им. А. А. Жданова спущен на воду 12-й ТЩ (10671).</w:t>
      </w:r>
    </w:p>
    <w:p w14:paraId="688DAA88" w14:textId="77777777" w:rsidR="00665165" w:rsidRPr="00925F26" w:rsidRDefault="00665165" w:rsidP="00925F26">
      <w:pPr>
        <w:autoSpaceDE w:val="0"/>
        <w:autoSpaceDN w:val="0"/>
        <w:adjustRightInd w:val="0"/>
        <w:jc w:val="both"/>
        <w:rPr>
          <w:color w:val="000000" w:themeColor="text1"/>
          <w:sz w:val="16"/>
          <w:szCs w:val="16"/>
        </w:rPr>
      </w:pPr>
    </w:p>
    <w:p w14:paraId="1DD401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95683AB" w14:textId="77777777" w:rsidR="00665165" w:rsidRPr="00925F26" w:rsidRDefault="00665165" w:rsidP="00925F26">
      <w:pPr>
        <w:autoSpaceDE w:val="0"/>
        <w:autoSpaceDN w:val="0"/>
        <w:adjustRightInd w:val="0"/>
        <w:jc w:val="both"/>
        <w:rPr>
          <w:iCs/>
          <w:color w:val="000000" w:themeColor="text1"/>
          <w:sz w:val="16"/>
          <w:szCs w:val="16"/>
        </w:rPr>
      </w:pPr>
    </w:p>
    <w:p w14:paraId="370621AC" w14:textId="77777777" w:rsidR="00F77ACE" w:rsidRPr="00925F26" w:rsidRDefault="00F77ACE" w:rsidP="00925F26">
      <w:pPr>
        <w:jc w:val="both"/>
        <w:rPr>
          <w:color w:val="000000" w:themeColor="text1"/>
          <w:sz w:val="16"/>
          <w:szCs w:val="16"/>
        </w:rPr>
      </w:pPr>
      <w:r w:rsidRPr="00925F26">
        <w:rPr>
          <w:color w:val="000000" w:themeColor="text1"/>
          <w:sz w:val="16"/>
          <w:szCs w:val="16"/>
        </w:rPr>
        <w:t>25 апреля в 1945 году оперативная сводка Совинформбюро:</w:t>
      </w:r>
    </w:p>
    <w:p w14:paraId="01468234" w14:textId="77777777" w:rsidR="00F77ACE" w:rsidRPr="00925F26" w:rsidRDefault="00F77ACE" w:rsidP="00925F26">
      <w:pPr>
        <w:jc w:val="both"/>
        <w:rPr>
          <w:color w:val="000000" w:themeColor="text1"/>
          <w:sz w:val="16"/>
          <w:szCs w:val="16"/>
        </w:rPr>
      </w:pPr>
      <w:r w:rsidRPr="00925F26">
        <w:rPr>
          <w:color w:val="000000" w:themeColor="text1"/>
          <w:sz w:val="16"/>
          <w:szCs w:val="16"/>
        </w:rPr>
        <w:t>Войска 3-го Белорусского фронта 25 апреля овладели последним опорным пунктом обороны немцев на Земландском полуострове городом и крепостью Пиллау — крупным портом и военно-морской базой немцев на Балтийском море, а также заняли населённые пункты Лохштадт, Нойхойзер, Химмельрайх, Плантаге, Камстигалл.</w:t>
      </w:r>
    </w:p>
    <w:p w14:paraId="08FDB9A5" w14:textId="77777777" w:rsidR="00F77ACE" w:rsidRPr="00925F26" w:rsidRDefault="00F77ACE" w:rsidP="00925F26">
      <w:pPr>
        <w:jc w:val="both"/>
        <w:rPr>
          <w:color w:val="000000" w:themeColor="text1"/>
          <w:sz w:val="16"/>
          <w:szCs w:val="16"/>
        </w:rPr>
      </w:pPr>
      <w:r w:rsidRPr="00925F26">
        <w:rPr>
          <w:color w:val="000000" w:themeColor="text1"/>
          <w:sz w:val="16"/>
          <w:szCs w:val="16"/>
        </w:rPr>
        <w:t>Войска 1-го Белорусского фронта перерезали все пути, идущие из Берлина на запад, и 25 апреля соединились северо-западнее Потсдама с войсками 1-го Украинского фронта, завершив, таким образом, полное окружение Берлина.</w:t>
      </w:r>
    </w:p>
    <w:p w14:paraId="08C79DA0" w14:textId="77777777" w:rsidR="00F77ACE" w:rsidRPr="00925F26" w:rsidRDefault="00F77ACE" w:rsidP="00925F26">
      <w:pPr>
        <w:jc w:val="both"/>
        <w:rPr>
          <w:color w:val="000000" w:themeColor="text1"/>
          <w:sz w:val="16"/>
          <w:szCs w:val="16"/>
        </w:rPr>
      </w:pPr>
      <w:r w:rsidRPr="00925F26">
        <w:rPr>
          <w:color w:val="000000" w:themeColor="text1"/>
          <w:sz w:val="16"/>
          <w:szCs w:val="16"/>
        </w:rPr>
        <w:t>В ходе боёв войска 1-го Белорусского фронта овладели городами Эльшталь, Рорбек, Марквардт и заняли пригороды Берлина: Фалькензее, Фалькенхаген, Лагердебериц. Одновременно войска фронта продолжали вести уличные бои в северной, восточной и юго-восточной части Берлина, заняв при этом городские районы Трептов и Бриц. Юго-западнее Франкфурта-на-Одере войска фронта с боем заняли города Мюлльрозе и Фридланд. В боях за 24 апреля войска фронта взяли в плен более 3.500 немецких солдат и офицеров и захватили следующие трофеи: самолётов — 297, полевых орудий — 110, автомашин — 1.130, паровозов — 16, железнодорожных вагонов — 1.311.</w:t>
      </w:r>
    </w:p>
    <w:p w14:paraId="6CF6C852" w14:textId="77777777" w:rsidR="00F77ACE" w:rsidRPr="00925F26" w:rsidRDefault="00F77ACE" w:rsidP="00925F26">
      <w:pPr>
        <w:jc w:val="both"/>
        <w:rPr>
          <w:color w:val="000000" w:themeColor="text1"/>
          <w:sz w:val="16"/>
          <w:szCs w:val="16"/>
        </w:rPr>
      </w:pPr>
      <w:r w:rsidRPr="00925F26">
        <w:rPr>
          <w:color w:val="000000" w:themeColor="text1"/>
          <w:sz w:val="16"/>
          <w:szCs w:val="16"/>
        </w:rPr>
        <w:t>Войска 1-го Украинского фронта с боями заняли город Кетцин и в юго-западной части Берлина городские районы Лихтерфельде, Целендорф. Севернее города Коттбус войска фронта заняли более 40 населённых пунктов, в том числе город Пейтц и крупные населённые пункты Диссен, Бург, Краусник, Бризен. Северо-западнее Дрездена войска фронта форсировали реку Эльба и на западном берегу реки заняли город РИЗА. В районе Бауцен наши войска отбивали контратаки крупных сил пехоты и танков противника и нанесли ему большой урон. В боях за 24 апреля войска фронта взяли в плен более 3.000 немецких солдат и офицеров и захватили 22 самолёта и 70 полевых орудий.</w:t>
      </w:r>
    </w:p>
    <w:p w14:paraId="526FD508" w14:textId="77777777" w:rsidR="00F77ACE" w:rsidRPr="00925F26" w:rsidRDefault="00F77ACE" w:rsidP="00925F26">
      <w:pPr>
        <w:jc w:val="both"/>
        <w:rPr>
          <w:color w:val="000000" w:themeColor="text1"/>
          <w:sz w:val="16"/>
          <w:szCs w:val="16"/>
        </w:rPr>
      </w:pPr>
      <w:r w:rsidRPr="00925F26">
        <w:rPr>
          <w:color w:val="000000" w:themeColor="text1"/>
          <w:sz w:val="16"/>
          <w:szCs w:val="16"/>
        </w:rPr>
        <w:t>Западнее Берлина войска 1-го Украинского фронта освободили из немецкого плена бывшего премьер-министра Французской республики Эррио.</w:t>
      </w:r>
    </w:p>
    <w:p w14:paraId="274C710B" w14:textId="77777777" w:rsidR="00F77ACE" w:rsidRPr="00925F26" w:rsidRDefault="00F77ACE" w:rsidP="00925F26">
      <w:pPr>
        <w:jc w:val="both"/>
        <w:rPr>
          <w:color w:val="000000" w:themeColor="text1"/>
          <w:sz w:val="16"/>
          <w:szCs w:val="16"/>
        </w:rPr>
      </w:pPr>
      <w:r w:rsidRPr="00925F26">
        <w:rPr>
          <w:color w:val="000000" w:themeColor="text1"/>
          <w:sz w:val="16"/>
          <w:szCs w:val="16"/>
        </w:rPr>
        <w:t>На территории Чехословакии северо-западнее города Годонина войска 2-го Украинского фронта, продолжая наступление, заняли более 50 населённых пунктов и среди них Милешовице, Лингартскеважани, Блажовице, Тварожна, Лишен, Черновице, Пржизженице, Остоповице, Омице и завязали бой на окраинах города Брно. На аэродроме юго-восточнее Брно войска фронта захватили 18 самолётов противника.</w:t>
      </w:r>
    </w:p>
    <w:p w14:paraId="3A99845E" w14:textId="77777777" w:rsidR="00F77ACE" w:rsidRPr="00925F26" w:rsidRDefault="00F77ACE"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2E77EE07" w14:textId="77777777" w:rsidR="00F77ACE" w:rsidRPr="00925F26" w:rsidRDefault="00F77ACE" w:rsidP="00925F26">
      <w:pPr>
        <w:jc w:val="both"/>
        <w:rPr>
          <w:color w:val="000000" w:themeColor="text1"/>
          <w:sz w:val="16"/>
          <w:szCs w:val="16"/>
        </w:rPr>
      </w:pPr>
      <w:r w:rsidRPr="00925F26">
        <w:rPr>
          <w:color w:val="000000" w:themeColor="text1"/>
          <w:sz w:val="16"/>
          <w:szCs w:val="16"/>
        </w:rPr>
        <w:t>За 24 апреля на всех фронтах подбито и уничтожено 76 немецких танков и самоходных орудий. В воздушных боях и огнём зенитной артиллерии сбито 99 самолётов противника.</w:t>
      </w:r>
    </w:p>
    <w:p w14:paraId="49F36141" w14:textId="77777777" w:rsidR="00F77ACE" w:rsidRPr="00925F26" w:rsidRDefault="00F77ACE" w:rsidP="00925F26">
      <w:pPr>
        <w:jc w:val="both"/>
        <w:rPr>
          <w:color w:val="000000" w:themeColor="text1"/>
          <w:sz w:val="16"/>
          <w:szCs w:val="16"/>
        </w:rPr>
      </w:pPr>
      <w:r w:rsidRPr="00925F26">
        <w:rPr>
          <w:color w:val="000000" w:themeColor="text1"/>
          <w:sz w:val="16"/>
          <w:szCs w:val="16"/>
        </w:rPr>
        <w:t xml:space="preserve">Войска 3-го Белорусского фронта сегодня овладели городом и крепостью Пиллау. Противник упорно защищал этот последний опорный пункт своей обороны на Земландском полуострове. Развивая наступление, советские части очистили от немцев лесной массив и достигли оборонительного рубежа, построенного в двух-трех километрах от Пиллау. Оборонительный рубеж состоял из противотанкового рва шириною в 6-8 метров и глубиною в 4 метра, нескольких линий траншей, проволочных заграждений и сплошных минных полей. Наши артиллеристы подвергли немецкие позиции ураганному обстрелу. Одновременно советские </w:t>
      </w:r>
      <w:r w:rsidRPr="00925F26">
        <w:rPr>
          <w:color w:val="000000" w:themeColor="text1"/>
          <w:sz w:val="16"/>
          <w:szCs w:val="16"/>
        </w:rPr>
        <w:lastRenderedPageBreak/>
        <w:t>бомбардировщики и штурмовики нанесли мощные удары с воздуха по укреплениям противника. В результате ожесточенного боя наши войска прорвали вражескую оборону. Не давая гитлеровцам опомниться и организовать сопротивление, гвардейские пехотные и танковые части стремительными ударами с севера и востока ворвались в город Пиллау. Отборные немецкие подразделения засели в каменных домах и сопротивлялись с отчаянием людей, обреченных на гибель. Очищая от гитлеровцев квартал за кварталом, наши бойцы овладели приморской частью Пиллау. К исходу дня войска фронта подавили последние очаги вражеского сопротивления в казармах, в районе верфи и на железнодорожной станции. В боях за Пиллау немцы понесли огромные потери. Захвачено много трофеев и пленных.</w:t>
      </w:r>
    </w:p>
    <w:p w14:paraId="18E6C4DF" w14:textId="77777777" w:rsidR="00F77ACE" w:rsidRPr="00925F26" w:rsidRDefault="00F77ACE" w:rsidP="00925F26">
      <w:pPr>
        <w:jc w:val="both"/>
        <w:rPr>
          <w:color w:val="000000" w:themeColor="text1"/>
          <w:sz w:val="16"/>
          <w:szCs w:val="16"/>
        </w:rPr>
      </w:pPr>
      <w:r w:rsidRPr="00925F26">
        <w:rPr>
          <w:color w:val="000000" w:themeColor="text1"/>
          <w:sz w:val="16"/>
          <w:szCs w:val="16"/>
        </w:rPr>
        <w:t>Войска 1-го Белорусского фронта развивали успешное наступление. Советские танкисты и пехотинцы овладели городом Науон, расположенным северо-западнее Берлина. Затем наши войска нанесли удар в южном направлении и, продвинувшись вперед на 20 километров, перерезали все пути, идущие из Берлина на запад. Сегодня войска 1-го Белорусского фронта соединились с наступающими с юга войсками 1-го Украинского фронта и полностью окружили Берлин.</w:t>
      </w:r>
    </w:p>
    <w:p w14:paraId="681B52B6" w14:textId="77777777" w:rsidR="00F77ACE" w:rsidRPr="00925F26" w:rsidRDefault="00F77ACE" w:rsidP="00925F26">
      <w:pPr>
        <w:jc w:val="both"/>
        <w:rPr>
          <w:color w:val="000000" w:themeColor="text1"/>
          <w:sz w:val="16"/>
          <w:szCs w:val="16"/>
        </w:rPr>
      </w:pPr>
      <w:r w:rsidRPr="00925F26">
        <w:rPr>
          <w:color w:val="000000" w:themeColor="text1"/>
          <w:sz w:val="16"/>
          <w:szCs w:val="16"/>
        </w:rPr>
        <w:t>Уличные бои в Берлине не стихают ни днем, ни ночью. Противник бросил в бой различные специальные части и батальоны «фольксштурма». На ряде участков немцы предприняли яростные контратаки, но были отброшены с большими для них потерями. Советские танки и пехота, действующие в северных районах Берлина, ворвались в Тегельский лес и разгромили укрепившихся в нем гитлеровцев. В восточных и юго-восточных районах Берлина войска фронта вышли к реке Шпрее южнее Силезского вокзала. Ночью наши подразделения на подручных средствах переправились через Шпрее и завязали бои в городском районе Трептов. Гитлеровцы оказывали упорное сопротивление. Советские пехотинцы, действуя мелкими группами, дворами обошли вражеские узлы сопротивления и разгромили их. Другие наши части сломили сопротивление противника и прорвались в район Бриц. Оба эти района сегодня заняты нашими войсками. В боях за день уничтожено до 6 тысяч немецких солдат и офицеров.</w:t>
      </w:r>
    </w:p>
    <w:p w14:paraId="7B40F6B1" w14:textId="77777777" w:rsidR="00F77ACE" w:rsidRPr="00925F26" w:rsidRDefault="00F77ACE" w:rsidP="00925F26">
      <w:pPr>
        <w:jc w:val="both"/>
        <w:rPr>
          <w:color w:val="000000" w:themeColor="text1"/>
          <w:sz w:val="16"/>
          <w:szCs w:val="16"/>
        </w:rPr>
      </w:pPr>
      <w:r w:rsidRPr="00925F26">
        <w:rPr>
          <w:color w:val="000000" w:themeColor="text1"/>
          <w:sz w:val="16"/>
          <w:szCs w:val="16"/>
        </w:rPr>
        <w:t xml:space="preserve">Наша авиация активно поддерживала действия наземных войск, наступающих в районе Берлина. </w:t>
      </w:r>
      <w:proofErr w:type="gramStart"/>
      <w:r w:rsidRPr="00925F26">
        <w:rPr>
          <w:color w:val="000000" w:themeColor="text1"/>
          <w:sz w:val="16"/>
          <w:szCs w:val="16"/>
        </w:rPr>
        <w:t>Бомбо-штурмовыми</w:t>
      </w:r>
      <w:proofErr w:type="gramEnd"/>
      <w:r w:rsidRPr="00925F26">
        <w:rPr>
          <w:color w:val="000000" w:themeColor="text1"/>
          <w:sz w:val="16"/>
          <w:szCs w:val="16"/>
        </w:rPr>
        <w:t xml:space="preserve"> ударами уничтожено много автомашин, взорвано 8 складов с боеприпасами, подавлен огонь 30 артиллерийских и минометных батарей. В воздушных боях сбито 35 немецких самолетов.</w:t>
      </w:r>
    </w:p>
    <w:p w14:paraId="0644D7B2" w14:textId="77777777" w:rsidR="00F77ACE" w:rsidRPr="00925F26" w:rsidRDefault="00F77ACE" w:rsidP="00925F26">
      <w:pPr>
        <w:jc w:val="both"/>
        <w:rPr>
          <w:color w:val="000000" w:themeColor="text1"/>
          <w:sz w:val="16"/>
          <w:szCs w:val="16"/>
        </w:rPr>
      </w:pPr>
      <w:r w:rsidRPr="00925F26">
        <w:rPr>
          <w:color w:val="000000" w:themeColor="text1"/>
          <w:sz w:val="16"/>
          <w:szCs w:val="16"/>
        </w:rPr>
        <w:t>Войска 1-го Украинского фронта продолжали успешное наступление. Наши пехотинцы и танкисты, с боями продвигаясь вперед, перерезали железнодорожные магистрали Берлин – Бельциг и Берлин – Магдебург. Преодолев сильно заболоченную местность, советские части с хода переправились через реку Хавель и овладели городом Кетцин. Пройдя с боями 25 километров, войска 1-го Украинского фронта сегодня северо-западнее Потсдама соединились с войсками 1-го Белорусского фронта и завершили полное окружение Берлина.</w:t>
      </w:r>
    </w:p>
    <w:p w14:paraId="1A1370A7" w14:textId="77777777" w:rsidR="00F77ACE" w:rsidRPr="00925F26" w:rsidRDefault="00F77ACE" w:rsidP="00925F26">
      <w:pPr>
        <w:jc w:val="both"/>
        <w:rPr>
          <w:color w:val="000000" w:themeColor="text1"/>
          <w:sz w:val="16"/>
          <w:szCs w:val="16"/>
        </w:rPr>
      </w:pPr>
      <w:r w:rsidRPr="00925F26">
        <w:rPr>
          <w:color w:val="000000" w:themeColor="text1"/>
          <w:sz w:val="16"/>
          <w:szCs w:val="16"/>
        </w:rPr>
        <w:t>В юго-западной части Берлина противник упорно оборонялся на рубеже судоходного канала Тельтов. Под прикрытием артиллерийского огня советские саперы быстро навели мосты, по которым переправились танки, артиллерия и пехота. Подавив вражеское сопротивление на северном берегу канала, наши войска ворвались на улицы городских районов Лихтерфельде и Целендорф. Советские части выбили гитлеровцев из военных казарм, электростанции, нефтесклада и овладели районами Лихтерфельде и Целендорф.</w:t>
      </w:r>
    </w:p>
    <w:p w14:paraId="76D577DA" w14:textId="77777777" w:rsidR="00F77ACE" w:rsidRPr="00925F26" w:rsidRDefault="00F77ACE" w:rsidP="00925F26">
      <w:pPr>
        <w:jc w:val="both"/>
        <w:rPr>
          <w:color w:val="000000" w:themeColor="text1"/>
          <w:sz w:val="16"/>
          <w:szCs w:val="16"/>
        </w:rPr>
      </w:pPr>
      <w:r w:rsidRPr="00925F26">
        <w:rPr>
          <w:color w:val="000000" w:themeColor="text1"/>
          <w:sz w:val="16"/>
          <w:szCs w:val="16"/>
        </w:rPr>
        <w:t>В районе города Бауцен крупные силы пехоты и танков противника контратаковали наши войска. Завязались ожесточенные бои. Отражая вражеские контратаки, советские артиллеристы сожгли и подбили до 40 немецких танков и самоходных орудий. На подступах к нашим позициям осталось много вражеских трупов.</w:t>
      </w:r>
    </w:p>
    <w:p w14:paraId="7663E772" w14:textId="77777777" w:rsidR="00F77ACE" w:rsidRPr="00925F26" w:rsidRDefault="00F77ACE" w:rsidP="00925F26">
      <w:pPr>
        <w:jc w:val="both"/>
        <w:rPr>
          <w:color w:val="000000" w:themeColor="text1"/>
          <w:sz w:val="16"/>
          <w:szCs w:val="16"/>
        </w:rPr>
      </w:pPr>
      <w:r w:rsidRPr="00925F26">
        <w:rPr>
          <w:color w:val="000000" w:themeColor="text1"/>
          <w:sz w:val="16"/>
          <w:szCs w:val="16"/>
        </w:rPr>
        <w:t>Корабли Краснознаменного Балтийского флота потопили в южной части Балтийского моря немецкий транспорт водоизмещением в 10 тысяч тонн.</w:t>
      </w:r>
    </w:p>
    <w:p w14:paraId="71B2E6FD" w14:textId="77777777" w:rsidR="00F77ACE" w:rsidRPr="00925F26" w:rsidRDefault="00F77ACE" w:rsidP="00925F26">
      <w:pPr>
        <w:jc w:val="both"/>
        <w:rPr>
          <w:color w:val="000000" w:themeColor="text1"/>
          <w:sz w:val="16"/>
          <w:szCs w:val="16"/>
        </w:rPr>
      </w:pPr>
      <w:r w:rsidRPr="00925F26">
        <w:rPr>
          <w:color w:val="000000" w:themeColor="text1"/>
          <w:sz w:val="16"/>
          <w:szCs w:val="16"/>
        </w:rPr>
        <w:t>Авиация флота потопила в Балтийском море четыре транспорта общим водоизмещением в 18 тысяч тонн, сторожевой корабль, быстроходную десантную баржу и три мотобота противника.» (15110).</w:t>
      </w:r>
    </w:p>
    <w:p w14:paraId="77546B5F" w14:textId="77777777" w:rsidR="00F77ACE" w:rsidRPr="00925F26" w:rsidRDefault="00F77ACE" w:rsidP="00925F26">
      <w:pPr>
        <w:jc w:val="both"/>
        <w:rPr>
          <w:color w:val="000000" w:themeColor="text1"/>
          <w:sz w:val="16"/>
          <w:szCs w:val="16"/>
        </w:rPr>
      </w:pPr>
    </w:p>
    <w:p w14:paraId="7CA81844"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25 апреля 1945 18 Ил-2 из 140-го гв. шап во главе с командиром полка майором Нестеренко получили задачу атаковать артиллерию и минометы на юго-западной окраине Берлина. Налет был выполнен в 15.35–15.47 с высоты 1000–300 метров с двух заходов. Попутно с артиллерийскими позициями штурмовики обстреляли автотранспорт, двигавшийся по соседним улицам. По наблюдению экипажей и данным аэрофотосъемки, было уничтожено и повреждено семь автомашин и подавлен огонь двух батарей. Вскоре советские войска заняли предместье Штеглиц.</w:t>
      </w:r>
    </w:p>
    <w:p w14:paraId="57B7D32D"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Однако в дальнейшем при штурме самого Берлина действия штурмовых полков носили очень ограниченный характер. В отчете о боевых действиях 2-й воздушной армии по этому поводу указано:</w:t>
      </w:r>
    </w:p>
    <w:p w14:paraId="422D4388" w14:textId="77777777" w:rsidR="00A278CB" w:rsidRPr="00925F26" w:rsidRDefault="00A278CB" w:rsidP="00925F26">
      <w:pPr>
        <w:pStyle w:val="ae"/>
        <w:spacing w:before="0" w:after="0"/>
        <w:jc w:val="both"/>
        <w:textAlignment w:val="baseline"/>
        <w:rPr>
          <w:color w:val="000000" w:themeColor="text1"/>
          <w:sz w:val="16"/>
          <w:szCs w:val="16"/>
        </w:rPr>
      </w:pPr>
      <w:r w:rsidRPr="00925F26">
        <w:rPr>
          <w:iCs/>
          <w:color w:val="000000" w:themeColor="text1"/>
          <w:sz w:val="16"/>
          <w:szCs w:val="16"/>
          <w:bdr w:val="none" w:sz="0" w:space="0" w:color="auto" w:frame="1"/>
        </w:rPr>
        <w:t>«Действия штурмовиков в г. Берлин в последующие дни встречали большие затруднения. Обстановка была исключительно сложной. Очень трудно было определить местоположение своих войск в городе. Обозначение линии боевого соприкосновения встречало большие затруднения, тем более что могло привести к ударам по своим войскам… Большое насыщение района боев артиллерией и танками создавало плотный огонь и часто исключало необходимость непосредственной авиационной поддержки атаки пехоты в городе»</w:t>
      </w:r>
      <w:r w:rsidRPr="00925F26">
        <w:rPr>
          <w:color w:val="000000" w:themeColor="text1"/>
          <w:sz w:val="16"/>
          <w:szCs w:val="16"/>
        </w:rPr>
        <w:t xml:space="preserve"> (19522).</w:t>
      </w:r>
    </w:p>
    <w:p w14:paraId="5D849E9B" w14:textId="77777777" w:rsidR="00A278CB" w:rsidRPr="00925F26" w:rsidRDefault="00A278CB" w:rsidP="00925F26">
      <w:pPr>
        <w:pStyle w:val="ae"/>
        <w:spacing w:before="0" w:after="0"/>
        <w:jc w:val="both"/>
        <w:textAlignment w:val="baseline"/>
        <w:rPr>
          <w:color w:val="000000" w:themeColor="text1"/>
          <w:sz w:val="16"/>
          <w:szCs w:val="16"/>
        </w:rPr>
      </w:pPr>
    </w:p>
    <w:p w14:paraId="6D7589E9" w14:textId="77777777" w:rsidR="007048F1" w:rsidRPr="00925F26" w:rsidRDefault="007048F1" w:rsidP="00925F26">
      <w:pPr>
        <w:pStyle w:val="36"/>
        <w:shd w:val="clear" w:color="auto" w:fill="auto"/>
        <w:spacing w:after="0" w:line="240" w:lineRule="auto"/>
        <w:jc w:val="both"/>
        <w:rPr>
          <w:rFonts w:ascii="Times New Roman" w:cs="Times New Roman"/>
          <w:i/>
          <w:iCs/>
          <w:color w:val="000000" w:themeColor="text1"/>
          <w:spacing w:val="0"/>
          <w:sz w:val="16"/>
          <w:szCs w:val="16"/>
        </w:rPr>
      </w:pPr>
      <w:r w:rsidRPr="00925F26">
        <w:rPr>
          <w:rFonts w:ascii="Times New Roman" w:cs="Times New Roman"/>
          <w:color w:val="000000" w:themeColor="text1"/>
          <w:spacing w:val="0"/>
          <w:sz w:val="16"/>
          <w:szCs w:val="16"/>
        </w:rPr>
        <w:t>25 апреля 1945 г. под Берлином восьмерка Ил-2 летчика 211 -го ШАП Ю.С. Афанасьева наносила, удар по двум танковым колоннам и под</w:t>
      </w:r>
      <w:r w:rsidRPr="00925F26">
        <w:rPr>
          <w:rFonts w:ascii="Times New Roman" w:cs="Times New Roman"/>
          <w:color w:val="000000" w:themeColor="text1"/>
          <w:spacing w:val="0"/>
          <w:sz w:val="16"/>
          <w:szCs w:val="16"/>
        </w:rPr>
        <w:softHyphen/>
        <w:t>верглась атаке 32 истребителей против</w:t>
      </w:r>
      <w:r w:rsidRPr="00925F26">
        <w:rPr>
          <w:rFonts w:ascii="Times New Roman" w:cs="Times New Roman"/>
          <w:color w:val="000000" w:themeColor="text1"/>
          <w:spacing w:val="0"/>
          <w:sz w:val="16"/>
          <w:szCs w:val="16"/>
        </w:rPr>
        <w:softHyphen/>
        <w:t xml:space="preserve">ника. Афанасьев сбил </w:t>
      </w:r>
      <w:r w:rsidRPr="00925F26">
        <w:rPr>
          <w:rFonts w:ascii="Times New Roman" w:cs="Times New Roman"/>
          <w:color w:val="000000" w:themeColor="text1"/>
          <w:spacing w:val="0"/>
          <w:sz w:val="16"/>
          <w:szCs w:val="16"/>
          <w:lang w:val="en-US"/>
        </w:rPr>
        <w:t>FW</w:t>
      </w:r>
      <w:r w:rsidRPr="00925F26">
        <w:rPr>
          <w:rFonts w:ascii="Times New Roman" w:cs="Times New Roman"/>
          <w:color w:val="000000" w:themeColor="text1"/>
          <w:spacing w:val="0"/>
          <w:sz w:val="16"/>
          <w:szCs w:val="16"/>
        </w:rPr>
        <w:t xml:space="preserve"> 190, но затем группа потеряла три Ил-2. Ситуация усложнилась:</w:t>
      </w:r>
      <w:r w:rsidRPr="00925F26">
        <w:rPr>
          <w:rStyle w:val="1pt1"/>
          <w:rFonts w:ascii="Times New Roman" w:hAnsi="Times New Roman" w:cs="Times New Roman"/>
          <w:color w:val="000000" w:themeColor="text1"/>
          <w:spacing w:val="0"/>
          <w:sz w:val="16"/>
          <w:szCs w:val="16"/>
        </w:rPr>
        <w:t xml:space="preserve"> </w:t>
      </w:r>
      <w:r w:rsidRPr="00925F26">
        <w:rPr>
          <w:rStyle w:val="1pt1"/>
          <w:rFonts w:ascii="Times New Roman" w:hAnsi="Times New Roman" w:cs="Times New Roman"/>
          <w:i w:val="0"/>
          <w:iCs w:val="0"/>
          <w:color w:val="000000" w:themeColor="text1"/>
          <w:spacing w:val="0"/>
          <w:sz w:val="16"/>
          <w:szCs w:val="16"/>
        </w:rPr>
        <w:t>«Я пристраиваюсь к чет</w:t>
      </w:r>
      <w:r w:rsidRPr="00925F26">
        <w:rPr>
          <w:rStyle w:val="1pt1"/>
          <w:rFonts w:ascii="Times New Roman" w:hAnsi="Times New Roman" w:cs="Times New Roman"/>
          <w:i w:val="0"/>
          <w:iCs w:val="0"/>
          <w:color w:val="000000" w:themeColor="text1"/>
          <w:spacing w:val="0"/>
          <w:sz w:val="16"/>
          <w:szCs w:val="16"/>
        </w:rPr>
        <w:softHyphen/>
        <w:t>верке слева. Они низко идут, а я еще ниже, буквально по веткам. Когда само</w:t>
      </w:r>
      <w:r w:rsidRPr="00925F26">
        <w:rPr>
          <w:rStyle w:val="1pt1"/>
          <w:rFonts w:ascii="Times New Roman" w:hAnsi="Times New Roman" w:cs="Times New Roman"/>
          <w:i w:val="0"/>
          <w:iCs w:val="0"/>
          <w:color w:val="000000" w:themeColor="text1"/>
          <w:spacing w:val="0"/>
          <w:sz w:val="16"/>
          <w:szCs w:val="16"/>
        </w:rPr>
        <w:softHyphen/>
        <w:t>леты низко идут, к ним не подойти... Но вот гляжу — пара истребителей нас до</w:t>
      </w:r>
      <w:r w:rsidRPr="00925F26">
        <w:rPr>
          <w:rStyle w:val="1pt1"/>
          <w:rFonts w:ascii="Times New Roman" w:hAnsi="Times New Roman" w:cs="Times New Roman"/>
          <w:i w:val="0"/>
          <w:iCs w:val="0"/>
          <w:color w:val="000000" w:themeColor="text1"/>
          <w:spacing w:val="0"/>
          <w:sz w:val="16"/>
          <w:szCs w:val="16"/>
        </w:rPr>
        <w:softHyphen/>
        <w:t xml:space="preserve">гоняет и дает две очереди залпом... С четвертого номера Костиного звена </w:t>
      </w:r>
      <w:r w:rsidRPr="00925F26">
        <w:rPr>
          <w:rFonts w:ascii="Times New Roman" w:cs="Times New Roman"/>
          <w:i/>
          <w:iCs/>
          <w:color w:val="000000" w:themeColor="text1"/>
          <w:spacing w:val="0"/>
          <w:sz w:val="16"/>
          <w:szCs w:val="16"/>
        </w:rPr>
        <w:t>(</w:t>
      </w:r>
      <w:r w:rsidRPr="00925F26">
        <w:rPr>
          <w:rFonts w:ascii="Times New Roman" w:cs="Times New Roman"/>
          <w:color w:val="000000" w:themeColor="text1"/>
          <w:spacing w:val="0"/>
          <w:sz w:val="16"/>
          <w:szCs w:val="16"/>
        </w:rPr>
        <w:t>замкомэска Константин Балашов</w:t>
      </w:r>
      <w:r w:rsidRPr="00925F26">
        <w:rPr>
          <w:rFonts w:ascii="Times New Roman" w:cs="Times New Roman"/>
          <w:i/>
          <w:iCs/>
          <w:color w:val="000000" w:themeColor="text1"/>
          <w:spacing w:val="0"/>
          <w:sz w:val="16"/>
          <w:szCs w:val="16"/>
        </w:rPr>
        <w:t>)</w:t>
      </w:r>
      <w:r w:rsidRPr="00925F26">
        <w:rPr>
          <w:rStyle w:val="1pt1"/>
          <w:rFonts w:ascii="Times New Roman" w:hAnsi="Times New Roman" w:cs="Times New Roman"/>
          <w:i w:val="0"/>
          <w:iCs w:val="0"/>
          <w:color w:val="000000" w:themeColor="text1"/>
          <w:spacing w:val="0"/>
          <w:sz w:val="16"/>
          <w:szCs w:val="16"/>
        </w:rPr>
        <w:t xml:space="preserve"> вся обшивка слетела. Четверо нас осталось. Вот здесь я малость струхнул.</w:t>
      </w:r>
    </w:p>
    <w:p w14:paraId="5138AB6D" w14:textId="77777777" w:rsidR="007048F1" w:rsidRPr="00925F26" w:rsidRDefault="007048F1"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925F26">
        <w:rPr>
          <w:rFonts w:ascii="Times New Roman" w:hAnsi="Times New Roman" w:cs="Times New Roman"/>
          <w:b w:val="0"/>
          <w:bCs w:val="0"/>
          <w:color w:val="000000" w:themeColor="text1"/>
          <w:sz w:val="16"/>
          <w:szCs w:val="16"/>
        </w:rPr>
        <w:t>Немцы били нас по всем правилам. У ведущего срубили антенну — значит, он остался без радио. У второго выва</w:t>
      </w:r>
      <w:r w:rsidRPr="00925F26">
        <w:rPr>
          <w:rFonts w:ascii="Times New Roman" w:hAnsi="Times New Roman" w:cs="Times New Roman"/>
          <w:b w:val="0"/>
          <w:bCs w:val="0"/>
          <w:color w:val="000000" w:themeColor="text1"/>
          <w:sz w:val="16"/>
          <w:szCs w:val="16"/>
        </w:rPr>
        <w:softHyphen/>
        <w:t>лились щитки. Чувствую, он пытается ими управлять, но только закроет, они опять открываются. Эти щитки забира</w:t>
      </w:r>
      <w:r w:rsidRPr="00925F26">
        <w:rPr>
          <w:rFonts w:ascii="Times New Roman" w:hAnsi="Times New Roman" w:cs="Times New Roman"/>
          <w:b w:val="0"/>
          <w:bCs w:val="0"/>
          <w:color w:val="000000" w:themeColor="text1"/>
          <w:sz w:val="16"/>
          <w:szCs w:val="16"/>
        </w:rPr>
        <w:softHyphen/>
        <w:t>ют 30-40 км скорости... А у третьего — сквозная дыра метрового размера в фюзеляже, и масло льет. А у меня все в порядке, как ни странно. Еле до нашей территории дошли... Немцы от нас от</w:t>
      </w:r>
      <w:r w:rsidRPr="00925F26">
        <w:rPr>
          <w:rFonts w:ascii="Times New Roman" w:hAnsi="Times New Roman" w:cs="Times New Roman"/>
          <w:b w:val="0"/>
          <w:bCs w:val="0"/>
          <w:color w:val="000000" w:themeColor="text1"/>
          <w:sz w:val="16"/>
          <w:szCs w:val="16"/>
        </w:rPr>
        <w:softHyphen/>
        <w:t>валили — начали стрелять наши зенит</w:t>
      </w:r>
      <w:r w:rsidRPr="00925F26">
        <w:rPr>
          <w:rFonts w:ascii="Times New Roman" w:hAnsi="Times New Roman" w:cs="Times New Roman"/>
          <w:b w:val="0"/>
          <w:bCs w:val="0"/>
          <w:color w:val="000000" w:themeColor="text1"/>
          <w:sz w:val="16"/>
          <w:szCs w:val="16"/>
        </w:rPr>
        <w:softHyphen/>
        <w:t>ки. Нас вернулось четверо» (19854).</w:t>
      </w:r>
    </w:p>
    <w:p w14:paraId="06155123" w14:textId="77777777" w:rsidR="007048F1" w:rsidRPr="00925F26" w:rsidRDefault="007048F1" w:rsidP="00925F26">
      <w:pPr>
        <w:pStyle w:val="121"/>
        <w:shd w:val="clear" w:color="auto" w:fill="auto"/>
        <w:spacing w:line="240" w:lineRule="auto"/>
        <w:jc w:val="both"/>
        <w:rPr>
          <w:rFonts w:ascii="Times New Roman" w:hAnsi="Times New Roman" w:cs="Times New Roman"/>
          <w:b w:val="0"/>
          <w:bCs w:val="0"/>
          <w:color w:val="000000" w:themeColor="text1"/>
          <w:sz w:val="16"/>
          <w:szCs w:val="16"/>
        </w:rPr>
      </w:pPr>
    </w:p>
    <w:p w14:paraId="43C597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две группы штурмовиков участвовали вместе с танкистами в захвате аэродрома Темпельхоф, который упорно оборонялся и поддерживался в состоянии боевой готовности. Приземлившись на аэродром 9 Ил-2 развернулись и начали обстрел из хвостовых пулеметов аэродромных зданий. Одновременно на поле ворвались Т-34 (24,324). Таким же путем было захвачено и несколько других аэродромов, например, Шенефельд (24,329).</w:t>
      </w:r>
    </w:p>
    <w:p w14:paraId="0E47234D" w14:textId="77777777" w:rsidR="00665165" w:rsidRPr="00925F26" w:rsidRDefault="00665165" w:rsidP="00925F26">
      <w:pPr>
        <w:autoSpaceDE w:val="0"/>
        <w:autoSpaceDN w:val="0"/>
        <w:adjustRightInd w:val="0"/>
        <w:jc w:val="both"/>
        <w:rPr>
          <w:color w:val="000000" w:themeColor="text1"/>
          <w:sz w:val="16"/>
          <w:szCs w:val="16"/>
        </w:rPr>
      </w:pPr>
    </w:p>
    <w:p w14:paraId="5A2200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года из крупнокалиберной пушки 75-мм, установленной на В-25G "Митчел" в боевой обстановке стреляли морские летчики. Это был, похоже, единственный раз: экипаж майора Наконечного из 118-го полка атаковал немецкую подводную лодку, сделав несколько выстрелов из пушки и сбросив глубинные бомбы. Субмарина по советским данным считается поврежденной, экипаж получил ордена и медали (3457,95).</w:t>
      </w:r>
    </w:p>
    <w:p w14:paraId="6571DD04" w14:textId="77777777" w:rsidR="00665165" w:rsidRPr="00925F26" w:rsidRDefault="00665165" w:rsidP="00925F26">
      <w:pPr>
        <w:autoSpaceDE w:val="0"/>
        <w:autoSpaceDN w:val="0"/>
        <w:adjustRightInd w:val="0"/>
        <w:jc w:val="both"/>
        <w:rPr>
          <w:color w:val="000000" w:themeColor="text1"/>
          <w:sz w:val="16"/>
          <w:szCs w:val="16"/>
        </w:rPr>
      </w:pPr>
    </w:p>
    <w:p w14:paraId="52DEA333" w14:textId="77777777" w:rsidR="009B2258" w:rsidRPr="00925F26" w:rsidRDefault="009B2258" w:rsidP="00925F26">
      <w:pPr>
        <w:jc w:val="both"/>
        <w:rPr>
          <w:color w:val="000000" w:themeColor="text1"/>
          <w:sz w:val="16"/>
          <w:szCs w:val="16"/>
        </w:rPr>
      </w:pPr>
      <w:r w:rsidRPr="00925F26">
        <w:rPr>
          <w:color w:val="000000" w:themeColor="text1"/>
          <w:sz w:val="16"/>
          <w:szCs w:val="16"/>
        </w:rPr>
        <w:t>25 апреля 1945 6-го ОВДААН</w:t>
      </w:r>
    </w:p>
    <w:p w14:paraId="4227CEFE" w14:textId="77777777" w:rsidR="009B2258" w:rsidRPr="00925F26" w:rsidRDefault="009B2258" w:rsidP="00925F26">
      <w:pPr>
        <w:jc w:val="both"/>
        <w:rPr>
          <w:color w:val="000000" w:themeColor="text1"/>
          <w:sz w:val="16"/>
          <w:szCs w:val="16"/>
        </w:rPr>
      </w:pPr>
      <w:r w:rsidRPr="00925F26">
        <w:rPr>
          <w:color w:val="000000" w:themeColor="text1"/>
          <w:sz w:val="16"/>
          <w:szCs w:val="16"/>
        </w:rPr>
        <w:t>1-й отряд провёл исключительно удачную коррек</w:t>
      </w:r>
      <w:r w:rsidRPr="00925F26">
        <w:rPr>
          <w:color w:val="000000" w:themeColor="text1"/>
          <w:sz w:val="16"/>
          <w:szCs w:val="16"/>
        </w:rPr>
        <w:softHyphen/>
        <w:t>тировку артогня по аэродрому Темпельгоф, в ходе которой были уничтожены 22 самолёта (из них че</w:t>
      </w:r>
      <w:r w:rsidRPr="00925F26">
        <w:rPr>
          <w:color w:val="000000" w:themeColor="text1"/>
          <w:sz w:val="16"/>
          <w:szCs w:val="16"/>
        </w:rPr>
        <w:softHyphen/>
        <w:t>тыре загорелись на взлёте). Отряды 6-го ОВДААН заняли позиции: 1-й — на аэродроме Темпельгоф,</w:t>
      </w:r>
    </w:p>
    <w:p w14:paraId="0C3CBC98" w14:textId="77777777" w:rsidR="009B2258" w:rsidRPr="00925F26" w:rsidRDefault="009B2258" w:rsidP="00925F26">
      <w:pPr>
        <w:jc w:val="both"/>
        <w:rPr>
          <w:color w:val="000000" w:themeColor="text1"/>
          <w:sz w:val="16"/>
          <w:szCs w:val="16"/>
        </w:rPr>
      </w:pPr>
      <w:r w:rsidRPr="00925F26">
        <w:rPr>
          <w:color w:val="000000" w:themeColor="text1"/>
          <w:sz w:val="16"/>
          <w:szCs w:val="16"/>
        </w:rPr>
        <w:t>2-й — в Кернер-парке, 3-й — в Трептов-парке (20120).</w:t>
      </w:r>
    </w:p>
    <w:p w14:paraId="111BD04A" w14:textId="77777777" w:rsidR="009B2258" w:rsidRPr="00925F26" w:rsidRDefault="009B2258" w:rsidP="00925F26">
      <w:pPr>
        <w:jc w:val="both"/>
        <w:rPr>
          <w:color w:val="000000" w:themeColor="text1"/>
          <w:sz w:val="16"/>
          <w:szCs w:val="16"/>
        </w:rPr>
      </w:pPr>
    </w:p>
    <w:p w14:paraId="5C38B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3-й бак утром послал на Берлин 156 Пе-2. В Берлинской операции участвовали 743 пикировщика Пе-2 и Ту-2 (3542).</w:t>
      </w:r>
    </w:p>
    <w:p w14:paraId="07B359E3" w14:textId="77777777" w:rsidR="00665165" w:rsidRPr="00925F26" w:rsidRDefault="00665165" w:rsidP="00925F26">
      <w:pPr>
        <w:autoSpaceDE w:val="0"/>
        <w:autoSpaceDN w:val="0"/>
        <w:adjustRightInd w:val="0"/>
        <w:jc w:val="both"/>
        <w:rPr>
          <w:color w:val="000000" w:themeColor="text1"/>
          <w:sz w:val="16"/>
          <w:szCs w:val="16"/>
        </w:rPr>
      </w:pPr>
    </w:p>
    <w:p w14:paraId="068C11E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апреля 1945 советские войска завершили окружение Берлина (4962).</w:t>
      </w:r>
    </w:p>
    <w:p w14:paraId="469702B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A4EEFE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апреля 1945 у Торгау на реке Эльба состоялась встреча советских и американских войск (4962).</w:t>
      </w:r>
    </w:p>
    <w:p w14:paraId="315571B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5F75CC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25 April 1945 American and Russian troops meet up at Torgau (270).</w:t>
      </w:r>
    </w:p>
    <w:p w14:paraId="6DB02BF1" w14:textId="77777777" w:rsidR="00665165" w:rsidRPr="00925F26" w:rsidRDefault="00665165" w:rsidP="00925F26">
      <w:pPr>
        <w:autoSpaceDE w:val="0"/>
        <w:autoSpaceDN w:val="0"/>
        <w:adjustRightInd w:val="0"/>
        <w:jc w:val="both"/>
        <w:rPr>
          <w:color w:val="000000" w:themeColor="text1"/>
          <w:sz w:val="16"/>
          <w:szCs w:val="16"/>
          <w:lang w:val="en-US"/>
        </w:rPr>
      </w:pPr>
    </w:p>
    <w:p w14:paraId="1A92A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состоялась встреча советской (1УФ) и американской армии (1А) на Эльбе в районе Тогау (270).</w:t>
      </w:r>
    </w:p>
    <w:p w14:paraId="06F6312E" w14:textId="77777777" w:rsidR="00665165" w:rsidRPr="00925F26" w:rsidRDefault="00665165" w:rsidP="00925F26">
      <w:pPr>
        <w:autoSpaceDE w:val="0"/>
        <w:autoSpaceDN w:val="0"/>
        <w:adjustRightInd w:val="0"/>
        <w:jc w:val="both"/>
        <w:rPr>
          <w:color w:val="000000" w:themeColor="text1"/>
          <w:sz w:val="16"/>
          <w:szCs w:val="16"/>
        </w:rPr>
      </w:pPr>
    </w:p>
    <w:p w14:paraId="2DC95E85" w14:textId="77777777" w:rsidR="00F77ACE" w:rsidRPr="00925F26" w:rsidRDefault="00F77ACE" w:rsidP="00925F26">
      <w:pPr>
        <w:jc w:val="both"/>
        <w:rPr>
          <w:color w:val="000000" w:themeColor="text1"/>
          <w:sz w:val="16"/>
          <w:szCs w:val="16"/>
        </w:rPr>
      </w:pPr>
      <w:r w:rsidRPr="00925F26">
        <w:rPr>
          <w:color w:val="000000" w:themeColor="text1"/>
          <w:sz w:val="16"/>
          <w:szCs w:val="16"/>
        </w:rPr>
        <w:t>25 апреля в 1945 году на реке Эльбе в районе города Торгау состоялась историческая встреча войск 1-го Украинского фронта и 1-й американской армии. К середине апреля 1945 года войска 1-го Белорусского фронта (командующий Маршал Советского Союза Г.К.Жуков) находились в 60-70 километрах от Берлина. 16 апреля главные силы 1-го Белорусского, а затем 2-го Белорусского и 1-го Украинского фронтов приступили к операции по взятию Берлина. К ее началу немецкое командование перебросило дополнительные силы на советско-германский фронт, где находилось 214 дивизий, в том числе 34 танковых. На западном фронте оставалось 60 дивизий, из них 5 танковых. Войска западных союзников форсировали в апреле Рейн и завершили ликвидацию рурской группировки противника. Они освободили Дрезден, Магдебург, ряд других крупных городов Германии. Действия Красной Армии и войск западных союзников координировались в соответствии с договоренностями, достигнутыми на Ялтинской конференции руководителей трех ведущих держав антигитлеровской коалиции - Ф.Д.Рузвельта, И.В.Сталина и У.Черчилля 4-11 февраля 1945 года.</w:t>
      </w:r>
    </w:p>
    <w:p w14:paraId="213BDF9F" w14:textId="77777777" w:rsidR="00F77ACE" w:rsidRPr="00925F26" w:rsidRDefault="00F77ACE" w:rsidP="00925F26">
      <w:pPr>
        <w:jc w:val="both"/>
        <w:rPr>
          <w:color w:val="000000" w:themeColor="text1"/>
          <w:sz w:val="16"/>
          <w:szCs w:val="16"/>
        </w:rPr>
      </w:pPr>
      <w:r w:rsidRPr="00925F26">
        <w:rPr>
          <w:color w:val="000000" w:themeColor="text1"/>
          <w:sz w:val="16"/>
          <w:szCs w:val="16"/>
        </w:rPr>
        <w:t xml:space="preserve">Историческая встреча союзников произошла на Эльбе 25 апреля 1945 года недалеко от города Торгау. Тогда встретились части и подразделения 69-й пехотной дивизии 1-й американской армии и 58-й стрелковой дивизии, входящей в состав войск 1-го Украинского фронта. Снимок советского и американского лейтенантов, которые первыми пожали друг другу руки во время братания войск союзников на Эльбе, сделанный корреспондентом журнала «Лайф», в считанные часы обошел издания </w:t>
      </w:r>
      <w:r w:rsidRPr="00925F26">
        <w:rPr>
          <w:color w:val="000000" w:themeColor="text1"/>
          <w:sz w:val="16"/>
          <w:szCs w:val="16"/>
        </w:rPr>
        <w:lastRenderedPageBreak/>
        <w:t>всего мира. Москва салютовала встрече в Торгау 24 залпами из 324 орудий, такие же торжества прошли на Таймс-сквер в Нью-Йорке. Встречи солдат армий США, Англии с советскими солдатами и офицерами вылились в демонстрацию дружбы соратников по оружию.</w:t>
      </w:r>
    </w:p>
    <w:p w14:paraId="10FE9F4C" w14:textId="77777777" w:rsidR="00F77ACE" w:rsidRPr="00925F26" w:rsidRDefault="00F77ACE" w:rsidP="00925F26">
      <w:pPr>
        <w:jc w:val="both"/>
        <w:rPr>
          <w:color w:val="000000" w:themeColor="text1"/>
          <w:sz w:val="16"/>
          <w:szCs w:val="16"/>
        </w:rPr>
      </w:pPr>
      <w:r w:rsidRPr="00925F26">
        <w:rPr>
          <w:color w:val="000000" w:themeColor="text1"/>
          <w:sz w:val="16"/>
          <w:szCs w:val="16"/>
        </w:rPr>
        <w:t>В результате встречи войск союзников остатки вооруженных сил Германии были расколоты на две части - северную и южную. Это значительно ослабило их сопротивление, лишило маневренности, нарушило единую систему управления, ускорило окончательный разгром вермахта (15110).</w:t>
      </w:r>
    </w:p>
    <w:p w14:paraId="1331D37F" w14:textId="77777777" w:rsidR="00F77ACE" w:rsidRPr="00925F26" w:rsidRDefault="00F77ACE" w:rsidP="00925F26">
      <w:pPr>
        <w:jc w:val="both"/>
        <w:rPr>
          <w:color w:val="000000" w:themeColor="text1"/>
          <w:sz w:val="16"/>
          <w:szCs w:val="16"/>
        </w:rPr>
      </w:pPr>
    </w:p>
    <w:p w14:paraId="798B5B0B" w14:textId="77777777" w:rsidR="00B307A0" w:rsidRPr="00925F26" w:rsidRDefault="00B307A0" w:rsidP="00925F26">
      <w:pPr>
        <w:pStyle w:val="book"/>
        <w:ind w:firstLine="0"/>
        <w:jc w:val="both"/>
        <w:rPr>
          <w:color w:val="000000" w:themeColor="text1"/>
          <w:sz w:val="16"/>
          <w:szCs w:val="16"/>
        </w:rPr>
      </w:pPr>
      <w:r w:rsidRPr="00925F26">
        <w:rPr>
          <w:color w:val="000000" w:themeColor="text1"/>
          <w:sz w:val="16"/>
          <w:szCs w:val="16"/>
        </w:rPr>
        <w:t>25 апреля 1945 г. в Берлин выехали пятеро офицеров московского Центрального музея Красной армии (ЦМКА). Миссия группы была необычной — собирать реликвии фашистской Германии, в том числе все, что касалось руководителей Третьего рейха. Руководил экспедицией начальник ЦМКА. полковник И. А. Горюшкин, с ним были подполковник П.А. Логинов, майоры И.А. Волков и П.А. Зубанов, капитан В.К. Житенев (15225).</w:t>
      </w:r>
    </w:p>
    <w:p w14:paraId="72309FC4" w14:textId="77777777" w:rsidR="00B307A0" w:rsidRPr="00925F26" w:rsidRDefault="00B307A0" w:rsidP="00925F26">
      <w:pPr>
        <w:pStyle w:val="book"/>
        <w:ind w:firstLine="0"/>
        <w:jc w:val="both"/>
        <w:rPr>
          <w:color w:val="000000" w:themeColor="text1"/>
          <w:sz w:val="16"/>
          <w:szCs w:val="16"/>
        </w:rPr>
      </w:pPr>
    </w:p>
    <w:p w14:paraId="4E6E1C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машинист А.Е.Лесников привел в Берлин первый поезд (3398,159).</w:t>
      </w:r>
    </w:p>
    <w:p w14:paraId="713F0C21" w14:textId="77777777" w:rsidR="00665165" w:rsidRPr="00925F26" w:rsidRDefault="00665165" w:rsidP="00925F26">
      <w:pPr>
        <w:autoSpaceDE w:val="0"/>
        <w:autoSpaceDN w:val="0"/>
        <w:adjustRightInd w:val="0"/>
        <w:jc w:val="both"/>
        <w:rPr>
          <w:color w:val="000000" w:themeColor="text1"/>
          <w:sz w:val="16"/>
          <w:szCs w:val="16"/>
        </w:rPr>
      </w:pPr>
    </w:p>
    <w:p w14:paraId="1AC14D5E"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в самый разгар боев за Берлин машинист паровоза сержант железнодорожных войск А.Е.Лесников привел на станцию Берлин-Лихтенберг первый поезд с вооружением, боеприпасами и продовольствием. День воинской славы отмечают военные железнодорожники России (15110).</w:t>
      </w:r>
    </w:p>
    <w:p w14:paraId="04C1E0E6" w14:textId="77777777" w:rsidR="00B307A0" w:rsidRPr="00925F26" w:rsidRDefault="00B307A0" w:rsidP="00925F26">
      <w:pPr>
        <w:jc w:val="both"/>
        <w:rPr>
          <w:color w:val="000000" w:themeColor="text1"/>
          <w:sz w:val="16"/>
          <w:szCs w:val="16"/>
        </w:rPr>
      </w:pPr>
    </w:p>
    <w:p w14:paraId="1CDD91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окружили берлинскую группировку (2438,97).</w:t>
      </w:r>
    </w:p>
    <w:p w14:paraId="7B259853" w14:textId="77777777" w:rsidR="00665165" w:rsidRPr="00925F26" w:rsidRDefault="00665165" w:rsidP="00925F26">
      <w:pPr>
        <w:autoSpaceDE w:val="0"/>
        <w:autoSpaceDN w:val="0"/>
        <w:adjustRightInd w:val="0"/>
        <w:jc w:val="both"/>
        <w:rPr>
          <w:color w:val="000000" w:themeColor="text1"/>
          <w:sz w:val="16"/>
          <w:szCs w:val="16"/>
        </w:rPr>
      </w:pPr>
    </w:p>
    <w:p w14:paraId="6C519A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вышло Постановление ГКО № 8267 О перебазировании Качинской школы пилотов в г. Саки. РГАНИР, Фонд ГКО, д. 405, лл. 114 (11012).</w:t>
      </w:r>
    </w:p>
    <w:p w14:paraId="11A67466" w14:textId="77777777" w:rsidR="00665165" w:rsidRPr="00925F26" w:rsidRDefault="00665165" w:rsidP="00925F26">
      <w:pPr>
        <w:autoSpaceDE w:val="0"/>
        <w:autoSpaceDN w:val="0"/>
        <w:adjustRightInd w:val="0"/>
        <w:jc w:val="both"/>
        <w:rPr>
          <w:color w:val="000000" w:themeColor="text1"/>
          <w:sz w:val="16"/>
          <w:szCs w:val="16"/>
        </w:rPr>
      </w:pPr>
    </w:p>
    <w:p w14:paraId="39CC3968"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26-я гвардейская Краснознамённая ордена Суворова Восточно-Сибирская Городокская стрелковая дивизия взяла морскую крепость Пилау в Восточной Пруссии (ныне Балтийск) (15110).</w:t>
      </w:r>
    </w:p>
    <w:p w14:paraId="6AC32824" w14:textId="77777777" w:rsidR="00B307A0" w:rsidRPr="00925F26" w:rsidRDefault="00B307A0" w:rsidP="00925F26">
      <w:pPr>
        <w:jc w:val="both"/>
        <w:rPr>
          <w:color w:val="000000" w:themeColor="text1"/>
          <w:sz w:val="16"/>
          <w:szCs w:val="16"/>
        </w:rPr>
      </w:pPr>
    </w:p>
    <w:p w14:paraId="5BE7D35B"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Внешняя</w:t>
      </w:r>
      <w:r w:rsidRPr="00925F26">
        <w:rPr>
          <w:i/>
          <w:iCs/>
          <w:color w:val="000000" w:themeColor="text1"/>
          <w:sz w:val="16"/>
          <w:szCs w:val="16"/>
          <w:lang w:val="en-US"/>
        </w:rPr>
        <w:t xml:space="preserve"> </w:t>
      </w:r>
      <w:r w:rsidRPr="00925F26">
        <w:rPr>
          <w:i/>
          <w:iCs/>
          <w:color w:val="000000" w:themeColor="text1"/>
          <w:sz w:val="16"/>
          <w:szCs w:val="16"/>
        </w:rPr>
        <w:t>политика</w:t>
      </w:r>
      <w:r w:rsidRPr="00925F26">
        <w:rPr>
          <w:i/>
          <w:iCs/>
          <w:color w:val="000000" w:themeColor="text1"/>
          <w:sz w:val="16"/>
          <w:szCs w:val="16"/>
          <w:lang w:val="en-US"/>
        </w:rPr>
        <w:t>:</w:t>
      </w:r>
    </w:p>
    <w:p w14:paraId="67A42193" w14:textId="77777777" w:rsidR="00665165" w:rsidRPr="00925F26" w:rsidRDefault="00665165" w:rsidP="00925F26">
      <w:pPr>
        <w:autoSpaceDE w:val="0"/>
        <w:autoSpaceDN w:val="0"/>
        <w:adjustRightInd w:val="0"/>
        <w:jc w:val="both"/>
        <w:rPr>
          <w:iCs/>
          <w:color w:val="000000" w:themeColor="text1"/>
          <w:sz w:val="16"/>
          <w:szCs w:val="16"/>
          <w:lang w:val="en-US"/>
        </w:rPr>
      </w:pPr>
    </w:p>
    <w:p w14:paraId="1EA8E43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25 1945 San Francisco Conference opens (adopts United Nations Charter June 26).</w:t>
      </w:r>
    </w:p>
    <w:p w14:paraId="5048B7D9" w14:textId="77777777" w:rsidR="00665165" w:rsidRPr="00925F26" w:rsidRDefault="00665165" w:rsidP="00925F26">
      <w:pPr>
        <w:autoSpaceDE w:val="0"/>
        <w:autoSpaceDN w:val="0"/>
        <w:adjustRightInd w:val="0"/>
        <w:jc w:val="both"/>
        <w:rPr>
          <w:color w:val="000000" w:themeColor="text1"/>
          <w:sz w:val="16"/>
          <w:szCs w:val="16"/>
          <w:lang w:val="en-US"/>
        </w:rPr>
      </w:pPr>
    </w:p>
    <w:p w14:paraId="10C1E8C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25-June 26, 1945. Conferees: Delegates from forty-six nations. Main result: Adoption of the United Nations Charter (1052).</w:t>
      </w:r>
    </w:p>
    <w:p w14:paraId="7A0D1307" w14:textId="77777777" w:rsidR="00665165" w:rsidRPr="00925F26" w:rsidRDefault="00665165" w:rsidP="00925F26">
      <w:pPr>
        <w:autoSpaceDE w:val="0"/>
        <w:autoSpaceDN w:val="0"/>
        <w:adjustRightInd w:val="0"/>
        <w:jc w:val="both"/>
        <w:rPr>
          <w:color w:val="000000" w:themeColor="text1"/>
          <w:sz w:val="16"/>
          <w:szCs w:val="16"/>
          <w:lang w:val="en-US"/>
        </w:rPr>
      </w:pPr>
    </w:p>
    <w:p w14:paraId="629FFED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On April 25, 1945, delegates of 50 nations and representatives of U.S. citizens' groups serving as consultants to the U.S. delegation met in San Francisco for the conference known officially as the United Nations Conference on International Organization. The delegates drew up a 111-article charter, which was adopted unanimously on June 25, 1945. They signed it the next day in the Veterans Memorial Auditorium (now Herbst Theatre) (1286).</w:t>
      </w:r>
    </w:p>
    <w:p w14:paraId="2F0024FF" w14:textId="77777777" w:rsidR="00665165" w:rsidRPr="00925F26" w:rsidRDefault="00665165" w:rsidP="00925F26">
      <w:pPr>
        <w:autoSpaceDE w:val="0"/>
        <w:autoSpaceDN w:val="0"/>
        <w:adjustRightInd w:val="0"/>
        <w:jc w:val="both"/>
        <w:rPr>
          <w:color w:val="000000" w:themeColor="text1"/>
          <w:sz w:val="16"/>
          <w:szCs w:val="16"/>
          <w:lang w:val="en-US"/>
        </w:rPr>
      </w:pPr>
    </w:p>
    <w:p w14:paraId="339808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апреля по 26 июня 1945 состоялась конференция в Сан-Франциско, на которой 46 стран одобрили хартию ООН (1052;1286).</w:t>
      </w:r>
    </w:p>
    <w:p w14:paraId="6A8BFE3A" w14:textId="77777777" w:rsidR="00665165" w:rsidRPr="00925F26" w:rsidRDefault="00665165" w:rsidP="00925F26">
      <w:pPr>
        <w:autoSpaceDE w:val="0"/>
        <w:autoSpaceDN w:val="0"/>
        <w:adjustRightInd w:val="0"/>
        <w:jc w:val="both"/>
        <w:rPr>
          <w:color w:val="000000" w:themeColor="text1"/>
          <w:sz w:val="16"/>
          <w:szCs w:val="16"/>
        </w:rPr>
      </w:pPr>
    </w:p>
    <w:p w14:paraId="17A4F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г. открылась учредительная конференция в Сан-Франциско. Сталин отказался посылать Молотова на конференцию, если варшавское правительство (еще не обновленное и не признанное Западом) не будет приглашено в качестве представителя Польши. Однако в конечном счете Сталину пришлось уступить.</w:t>
      </w:r>
    </w:p>
    <w:p w14:paraId="2F0266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Конференция должна была принять Устав ООН. Политические принципы, заложенные в основу новой международной организации, казались бесспорными. Вопрос состоял в политических механизмах действия этого форума.</w:t>
      </w:r>
    </w:p>
    <w:p w14:paraId="0A1D5F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Конференция приняла решение об ответственности Совета Безопасности за поддержание мира, ограничив полномочия Ассамблеи дискуссией и рекомендациями. Малые державы пытались протестовать против предложенной формулы "скрытого вето". Согласно ялтинской договоренности, великая держава, интересы которой затрагивались голосованием, права голоса не имела, но остальные четыре великие державы должны были голосовать единодушно. Стоило одной из них проголосовать против, как действия Совета Безопасности были заблокированы. С учетом того, что великие державы находились в непрестанном взаимодействии, их поддержка друг друга казалась малым странам неизбежной. Однако великие державы именно в силу этого обстоятельства менять устав не пожелали.</w:t>
      </w:r>
    </w:p>
    <w:p w14:paraId="23EBD5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Британская делегация добилась поправки, касающейся выборов в Совет Безопасности. Теперь требовалось равномерное географическое представительство держав, а также учет их вклада в обеспечение международной безопасности.</w:t>
      </w:r>
    </w:p>
    <w:p w14:paraId="2977BE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США и СССР были недовольны предполагавшейся подчиненностью региональных организаций и договоров решениям Совета: Вашингтон опасался за сферу своего влияния в Западном полушарии, а Москва - за систему договоров в Европе. Новая статья предусматривала право на индивидуальную или коллективную самозащиту в случае агрессии - до принятия Советом Безопасности соответствующих мер.</w:t>
      </w:r>
    </w:p>
    <w:p w14:paraId="71D5DD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Советская сторона настаивала, чтобы великая держава имела право вето на обсуждение (не голосование!) вопроса, который ее не касается. Обсуждение, настаивала советская сторона, это важный политический акт с серьезными последствиями. Советский демарш вызвал противодействие Запада. Конфликт удалось погасить через Гопкинса, который в это время был в Москве. Сталин согласился снять свое предложение.</w:t>
      </w:r>
    </w:p>
    <w:p w14:paraId="348FD2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Американская делегация представила конференции предложения о системе опеки. Всеобъемлющей концепции, которую желал видеть Рузвельт, не получилось; американский проект основывался на предложениях для островов Тихого океана. Американцы предложили две категории мандатных территорий. Первая определялась как стратегические районы; здесь опеку обеспечивал Совет Безопасности. В остальных районах, зачисленных во вторую категорию, опеку обеспечивала Ассамблея через Совет по опеке (3871).</w:t>
      </w:r>
    </w:p>
    <w:p w14:paraId="0C8DA712" w14:textId="77777777" w:rsidR="00665165" w:rsidRPr="00925F26" w:rsidRDefault="00665165" w:rsidP="00925F26">
      <w:pPr>
        <w:autoSpaceDE w:val="0"/>
        <w:autoSpaceDN w:val="0"/>
        <w:adjustRightInd w:val="0"/>
        <w:jc w:val="both"/>
        <w:rPr>
          <w:color w:val="000000" w:themeColor="text1"/>
          <w:sz w:val="16"/>
          <w:szCs w:val="16"/>
        </w:rPr>
      </w:pPr>
    </w:p>
    <w:p w14:paraId="314F1F54"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в Сан-Франциско (США) открылась конференция 50-ти государств-учредителей Организации Объединенных Наций (ООН); 26 июня был подписан Устав ООН. Организация Объединенных Наций (ООН) - международная организация государств, созданная в целях поддержания и укрепления международного мира, безопасности, развития сотрудничества между странами. 26 июня 1945 года 51 государство-участник Сан-Францисской конференции, работавшей два месяца, подписали Устав ООН. В преамбуле Устава говорилось о решимости народов Объединенных Наций «избавить грядущие поколения от бедствий войны». Целями ООН, закрепленными в ее Уставе, являются поддержание международного мира и безопасности, предотвращение и устранение угрозы миру и подавление актов агрессии, улаживание или разрешение мирными средствами международных споров, развитие дружественных отношений между нациями на основе уважения принципа равноправия и самоопределения народов; осуществление международного сотрудничества в экономических, социальных, культурных и гуманитарных областях, поощрение и развитие уважения к правам человека и основным свободам для всех, без различия расы, пола, языка и религии. Члены ООН обязались действовать в соответствии со следующими принципами: суверенное равенство государств; разрешение международных споров мирными средствами; отказ в международных отношениях от угрозы силой или ее применение против территориальной неприкосновенности или политической независимости любого государства. 24 октября 1945 года Устав Организации Объединенных Наций вступил в силу. С 1948 года этот день отмечается как День Организации Объединенных Наций. В настоящее время членами ООН является 191 государство мира. ООН имеет ряд собственных специализированных учреждений - международных межправительственных организаций по экономическим, социальным и гуманитарным вопросам (ЮНЕСКО, ВОЗ, ФАО, МВФ, МОТ, ЮНИДО и другие). Большинство членов ООН - участники специализированных учреждений ООН. В общую систему ООН входят также автономные организации, такие, как Всемирная торговая организация (ВТО) и Международное агентство по атомной энергии (МАГАТЭ) (15110).</w:t>
      </w:r>
    </w:p>
    <w:p w14:paraId="43719F6D" w14:textId="77777777" w:rsidR="00B307A0" w:rsidRPr="00925F26" w:rsidRDefault="00B307A0" w:rsidP="00925F26">
      <w:pPr>
        <w:jc w:val="both"/>
        <w:rPr>
          <w:color w:val="000000" w:themeColor="text1"/>
          <w:sz w:val="16"/>
          <w:szCs w:val="16"/>
        </w:rPr>
      </w:pPr>
    </w:p>
    <w:p w14:paraId="78FDDE2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E3F8768" w14:textId="77777777" w:rsidR="00665165" w:rsidRPr="00925F26" w:rsidRDefault="00665165" w:rsidP="00925F26">
      <w:pPr>
        <w:autoSpaceDE w:val="0"/>
        <w:autoSpaceDN w:val="0"/>
        <w:adjustRightInd w:val="0"/>
        <w:jc w:val="both"/>
        <w:rPr>
          <w:iCs/>
          <w:color w:val="000000" w:themeColor="text1"/>
          <w:sz w:val="16"/>
          <w:szCs w:val="16"/>
        </w:rPr>
      </w:pPr>
    </w:p>
    <w:p w14:paraId="263A7E85"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впервые поднявшийся в воздух третий экземпляр вертолёта «Bell» «Model 30» имел четырехколесное шасси, цилиндрическую хвостовую балку, открытую одноместную кабину (позднее закрытую с каплевидным фонарем) и усовершенствованное оборудование. На базе этих экспериментальных вертолетов были разработаны и выпущены в большом количестве серийные вертолеты «Bell» «Model 47» (15110).</w:t>
      </w:r>
    </w:p>
    <w:p w14:paraId="2D1470B6" w14:textId="77777777" w:rsidR="00B307A0" w:rsidRPr="00925F26" w:rsidRDefault="00B307A0" w:rsidP="00925F26">
      <w:pPr>
        <w:jc w:val="both"/>
        <w:rPr>
          <w:color w:val="000000" w:themeColor="text1"/>
          <w:sz w:val="16"/>
          <w:szCs w:val="16"/>
        </w:rPr>
      </w:pPr>
    </w:p>
    <w:p w14:paraId="440B43AD" w14:textId="5C02DA02" w:rsidR="00143828" w:rsidRPr="00925F26" w:rsidRDefault="00143828" w:rsidP="00925F26">
      <w:pPr>
        <w:jc w:val="both"/>
        <w:rPr>
          <w:color w:val="000000" w:themeColor="text1"/>
          <w:sz w:val="16"/>
          <w:szCs w:val="16"/>
        </w:rPr>
      </w:pPr>
      <w:r w:rsidRPr="00925F26">
        <w:rPr>
          <w:color w:val="000000" w:themeColor="text1"/>
          <w:sz w:val="16"/>
          <w:szCs w:val="16"/>
        </w:rPr>
        <w:t xml:space="preserve">25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8-я воздушная армия ВВС США совершила свой последний налёт на промышленную цель во время Второй мировой войны. В-17 устроили налет на завод по выпуску вооружений «Шкода» в Пльзени, в Чехословакии, а В-24 атаковали железнодорожные объекты вокруг запасного логова Гитлера в Берхтесгадене (22524).</w:t>
      </w:r>
    </w:p>
    <w:p w14:paraId="7F301FB0" w14:textId="77777777" w:rsidR="00143828" w:rsidRPr="00925F26" w:rsidRDefault="00143828" w:rsidP="00925F26">
      <w:pPr>
        <w:jc w:val="both"/>
        <w:rPr>
          <w:color w:val="000000" w:themeColor="text1"/>
          <w:sz w:val="16"/>
          <w:szCs w:val="16"/>
        </w:rPr>
      </w:pPr>
    </w:p>
    <w:p w14:paraId="75300BBF" w14:textId="77777777" w:rsidR="00143828" w:rsidRPr="00925F26" w:rsidRDefault="00143828" w:rsidP="00925F26">
      <w:pPr>
        <w:jc w:val="both"/>
        <w:rPr>
          <w:color w:val="000000" w:themeColor="text1"/>
          <w:sz w:val="16"/>
          <w:szCs w:val="16"/>
        </w:rPr>
      </w:pPr>
      <w:r w:rsidRPr="00925F26">
        <w:rPr>
          <w:color w:val="000000" w:themeColor="text1"/>
          <w:sz w:val="16"/>
          <w:szCs w:val="16"/>
        </w:rPr>
        <w:t>25 апреля 1945 незавершенный немецкий авианосец Graf Zeppelin затоплен в Штеттине, чтобы предотвратить его захват Советским Союзом (20371).</w:t>
      </w:r>
    </w:p>
    <w:p w14:paraId="4F3FA435" w14:textId="77777777" w:rsidR="00143828" w:rsidRPr="00925F26" w:rsidRDefault="00143828" w:rsidP="00925F26">
      <w:pPr>
        <w:jc w:val="both"/>
        <w:rPr>
          <w:color w:val="000000" w:themeColor="text1"/>
          <w:sz w:val="16"/>
          <w:szCs w:val="16"/>
        </w:rPr>
      </w:pPr>
    </w:p>
    <w:p w14:paraId="0434B908"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гиммлеровское предложение мира доходит до Лондона. Черчилль поначалу согласился с предложением об односторонеем прекращении военных действий на западном фронте, однако Г.Трумэн категорически потребовал всеобщей безоговорочной капитуляции Германии на всех фронтах (15110).</w:t>
      </w:r>
    </w:p>
    <w:p w14:paraId="75AB233F" w14:textId="77777777" w:rsidR="00B307A0" w:rsidRPr="00925F26" w:rsidRDefault="00B307A0" w:rsidP="00925F26">
      <w:pPr>
        <w:jc w:val="both"/>
        <w:rPr>
          <w:color w:val="000000" w:themeColor="text1"/>
          <w:sz w:val="16"/>
          <w:szCs w:val="16"/>
        </w:rPr>
      </w:pPr>
    </w:p>
    <w:p w14:paraId="417422B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апреля 1945 английской авиацией разрушен дом Гитлера в Берхтесгадене (4962).</w:t>
      </w:r>
    </w:p>
    <w:p w14:paraId="1F63D56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3FF19AD"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«Ланкастеры» из 5-ой группы днем атаковали убежище Гитлера в Берхтесгадене (с эскортом «Р-51» «Мустанг» 8-х ВВС США) (15110).</w:t>
      </w:r>
    </w:p>
    <w:p w14:paraId="7C88D756" w14:textId="77777777" w:rsidR="00B307A0" w:rsidRPr="00925F26" w:rsidRDefault="00B307A0" w:rsidP="00925F26">
      <w:pPr>
        <w:jc w:val="both"/>
        <w:rPr>
          <w:color w:val="000000" w:themeColor="text1"/>
          <w:sz w:val="16"/>
          <w:szCs w:val="16"/>
        </w:rPr>
      </w:pPr>
    </w:p>
    <w:p w14:paraId="28BA081D" w14:textId="77777777" w:rsidR="00B307A0" w:rsidRPr="00925F26" w:rsidRDefault="00B307A0"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английская авиация разбомбила горное убежище А.Гитлера Berchstesgarden (2248,5).</w:t>
      </w:r>
    </w:p>
    <w:p w14:paraId="03D5FC68" w14:textId="77777777" w:rsidR="00B307A0" w:rsidRPr="00925F26" w:rsidRDefault="00B307A0" w:rsidP="00925F26">
      <w:pPr>
        <w:autoSpaceDE w:val="0"/>
        <w:autoSpaceDN w:val="0"/>
        <w:adjustRightInd w:val="0"/>
        <w:jc w:val="both"/>
        <w:rPr>
          <w:color w:val="000000" w:themeColor="text1"/>
          <w:sz w:val="16"/>
          <w:szCs w:val="16"/>
        </w:rPr>
      </w:pPr>
    </w:p>
    <w:p w14:paraId="1D140052" w14:textId="614F4943" w:rsidR="007048F1" w:rsidRPr="00925F26" w:rsidRDefault="007048F1" w:rsidP="00925F26">
      <w:pPr>
        <w:jc w:val="both"/>
        <w:rPr>
          <w:color w:val="000000" w:themeColor="text1"/>
          <w:sz w:val="16"/>
          <w:szCs w:val="16"/>
        </w:rPr>
      </w:pPr>
      <w:r w:rsidRPr="00925F26">
        <w:rPr>
          <w:color w:val="000000" w:themeColor="text1"/>
          <w:sz w:val="16"/>
          <w:szCs w:val="16"/>
        </w:rPr>
        <w:t xml:space="preserve">25 апреля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"Ланкастеры" из 5-ой группы днем атаковала убежище Гитлера в Берхтесгадене (с эскортом Р-51 "Мустанг" 8-х ВВС США) (22524).</w:t>
      </w:r>
    </w:p>
    <w:p w14:paraId="235D09EE" w14:textId="77777777" w:rsidR="007048F1" w:rsidRPr="00925F26" w:rsidRDefault="007048F1" w:rsidP="00925F26">
      <w:pPr>
        <w:jc w:val="both"/>
        <w:rPr>
          <w:color w:val="000000" w:themeColor="text1"/>
          <w:sz w:val="16"/>
          <w:szCs w:val="16"/>
        </w:rPr>
      </w:pPr>
    </w:p>
    <w:p w14:paraId="4340DA47" w14:textId="77777777" w:rsidR="00A278CB" w:rsidRPr="00925F26" w:rsidRDefault="00A278CB" w:rsidP="00925F26">
      <w:pPr>
        <w:pStyle w:val="11b"/>
        <w:shd w:val="clear" w:color="auto" w:fill="auto"/>
        <w:spacing w:after="0"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25 апреля 1945 307 «летающих крепостей» бомбили Пльзень. Шесть В-17 были сбиты и четыре повреждены так, что не подлежали восстановлению. Бомбежки союзников, приводившие к большим жертвам среди мирного населения, практически не сказывались на производстве чешских заводов. В качестве примера приведу данные по выпуску противотанковых САУ «Хетцер» на заводе «Шкода» за 1944-1945 гг. (19083).</w:t>
      </w:r>
    </w:p>
    <w:tbl>
      <w:tblPr>
        <w:tblW w:w="0" w:type="auto"/>
        <w:tblLayout w:type="fixed"/>
        <w:tblCellMar>
          <w:left w:w="10" w:type="dxa"/>
          <w:right w:w="10" w:type="dxa"/>
        </w:tblCellMar>
        <w:tblLook w:val="04A0" w:firstRow="1" w:lastRow="0" w:firstColumn="1" w:lastColumn="0" w:noHBand="0" w:noVBand="1"/>
      </w:tblPr>
      <w:tblGrid>
        <w:gridCol w:w="839"/>
        <w:gridCol w:w="695"/>
        <w:gridCol w:w="659"/>
        <w:gridCol w:w="724"/>
        <w:gridCol w:w="659"/>
        <w:gridCol w:w="752"/>
        <w:gridCol w:w="637"/>
      </w:tblGrid>
      <w:tr w:rsidR="000F5689" w:rsidRPr="00925F26" w14:paraId="5368554D" w14:textId="77777777" w:rsidTr="00F0626F">
        <w:trPr>
          <w:trHeight w:val="313"/>
        </w:trPr>
        <w:tc>
          <w:tcPr>
            <w:tcW w:w="839" w:type="dxa"/>
            <w:tcBorders>
              <w:top w:val="single" w:sz="4" w:space="0" w:color="auto"/>
              <w:left w:val="single" w:sz="4" w:space="0" w:color="auto"/>
              <w:bottom w:val="single" w:sz="4" w:space="0" w:color="auto"/>
            </w:tcBorders>
          </w:tcPr>
          <w:p w14:paraId="2A02ADFC" w14:textId="77777777" w:rsidR="00A278CB" w:rsidRPr="00925F26" w:rsidRDefault="00A278CB" w:rsidP="00925F26">
            <w:pPr>
              <w:framePr w:wrap="notBeside" w:vAnchor="text" w:hAnchor="text" w:xAlign="center" w:y="1"/>
              <w:jc w:val="both"/>
              <w:rPr>
                <w:color w:val="000000" w:themeColor="text1"/>
                <w:sz w:val="16"/>
                <w:szCs w:val="16"/>
              </w:rPr>
            </w:pPr>
            <w:r w:rsidRPr="00925F26">
              <w:rPr>
                <w:rFonts w:eastAsiaTheme="minorHAnsi"/>
                <w:color w:val="000000" w:themeColor="text1"/>
                <w:sz w:val="16"/>
                <w:szCs w:val="16"/>
              </w:rPr>
              <w:t>Год</w:t>
            </w:r>
          </w:p>
        </w:tc>
        <w:tc>
          <w:tcPr>
            <w:tcW w:w="2078" w:type="dxa"/>
            <w:gridSpan w:val="3"/>
            <w:tcBorders>
              <w:top w:val="single" w:sz="4" w:space="0" w:color="auto"/>
              <w:bottom w:val="single" w:sz="4" w:space="0" w:color="auto"/>
            </w:tcBorders>
          </w:tcPr>
          <w:p w14:paraId="43D96E5E" w14:textId="77777777" w:rsidR="00A278CB" w:rsidRPr="00925F26" w:rsidRDefault="00A278CB" w:rsidP="00925F26">
            <w:pPr>
              <w:framePr w:wrap="notBeside" w:vAnchor="text" w:hAnchor="text" w:xAlign="center" w:y="1"/>
              <w:jc w:val="both"/>
              <w:rPr>
                <w:color w:val="000000" w:themeColor="text1"/>
                <w:sz w:val="16"/>
                <w:szCs w:val="16"/>
              </w:rPr>
            </w:pPr>
            <w:r w:rsidRPr="00925F26">
              <w:rPr>
                <w:rFonts w:eastAsiaTheme="minorHAnsi"/>
                <w:color w:val="000000" w:themeColor="text1"/>
                <w:sz w:val="16"/>
                <w:szCs w:val="16"/>
              </w:rPr>
              <w:t>1944</w:t>
            </w:r>
          </w:p>
        </w:tc>
        <w:tc>
          <w:tcPr>
            <w:tcW w:w="2048" w:type="dxa"/>
            <w:gridSpan w:val="3"/>
            <w:tcBorders>
              <w:top w:val="single" w:sz="4" w:space="0" w:color="auto"/>
              <w:bottom w:val="single" w:sz="4" w:space="0" w:color="auto"/>
              <w:right w:val="single" w:sz="4" w:space="0" w:color="auto"/>
            </w:tcBorders>
          </w:tcPr>
          <w:p w14:paraId="076BF37A" w14:textId="77777777" w:rsidR="00A278CB" w:rsidRPr="00925F26" w:rsidRDefault="00A278CB" w:rsidP="00925F26">
            <w:pPr>
              <w:framePr w:wrap="notBeside" w:vAnchor="text" w:hAnchor="text" w:xAlign="center" w:y="1"/>
              <w:jc w:val="both"/>
              <w:rPr>
                <w:color w:val="000000" w:themeColor="text1"/>
                <w:sz w:val="16"/>
                <w:szCs w:val="16"/>
              </w:rPr>
            </w:pPr>
            <w:r w:rsidRPr="00925F26">
              <w:rPr>
                <w:rFonts w:eastAsiaTheme="minorHAnsi"/>
                <w:color w:val="000000" w:themeColor="text1"/>
                <w:sz w:val="16"/>
                <w:szCs w:val="16"/>
              </w:rPr>
              <w:t>1945</w:t>
            </w:r>
          </w:p>
        </w:tc>
      </w:tr>
      <w:tr w:rsidR="000F5689" w:rsidRPr="00925F26" w14:paraId="37CD08AD" w14:textId="77777777" w:rsidTr="00F0626F">
        <w:trPr>
          <w:trHeight w:val="439"/>
        </w:trPr>
        <w:tc>
          <w:tcPr>
            <w:tcW w:w="839" w:type="dxa"/>
            <w:tcBorders>
              <w:top w:val="single" w:sz="4" w:space="0" w:color="auto"/>
              <w:left w:val="single" w:sz="4" w:space="0" w:color="auto"/>
              <w:bottom w:val="single" w:sz="4" w:space="0" w:color="auto"/>
              <w:right w:val="single" w:sz="4" w:space="0" w:color="auto"/>
            </w:tcBorders>
            <w:shd w:val="clear" w:color="auto" w:fill="FFFFFF"/>
          </w:tcPr>
          <w:p w14:paraId="649D5DD6"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Месяц</w:t>
            </w:r>
          </w:p>
        </w:tc>
        <w:tc>
          <w:tcPr>
            <w:tcW w:w="695" w:type="dxa"/>
            <w:tcBorders>
              <w:top w:val="single" w:sz="4" w:space="0" w:color="auto"/>
              <w:left w:val="single" w:sz="4" w:space="0" w:color="auto"/>
              <w:bottom w:val="single" w:sz="4" w:space="0" w:color="auto"/>
              <w:right w:val="single" w:sz="4" w:space="0" w:color="auto"/>
            </w:tcBorders>
            <w:shd w:val="clear" w:color="auto" w:fill="FFFFFF"/>
          </w:tcPr>
          <w:p w14:paraId="0425C60B"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октябрь</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382B4BAB"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ноябрь</w:t>
            </w:r>
          </w:p>
        </w:tc>
        <w:tc>
          <w:tcPr>
            <w:tcW w:w="724" w:type="dxa"/>
            <w:tcBorders>
              <w:top w:val="single" w:sz="4" w:space="0" w:color="auto"/>
              <w:left w:val="single" w:sz="4" w:space="0" w:color="auto"/>
              <w:bottom w:val="single" w:sz="4" w:space="0" w:color="auto"/>
              <w:right w:val="single" w:sz="4" w:space="0" w:color="auto"/>
            </w:tcBorders>
            <w:shd w:val="clear" w:color="auto" w:fill="FFFFFF"/>
          </w:tcPr>
          <w:p w14:paraId="7002B762"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декабрь</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334229C2"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январь</w:t>
            </w:r>
          </w:p>
        </w:tc>
        <w:tc>
          <w:tcPr>
            <w:tcW w:w="752" w:type="dxa"/>
            <w:tcBorders>
              <w:top w:val="single" w:sz="4" w:space="0" w:color="auto"/>
              <w:left w:val="single" w:sz="4" w:space="0" w:color="auto"/>
              <w:bottom w:val="single" w:sz="4" w:space="0" w:color="auto"/>
              <w:right w:val="single" w:sz="4" w:space="0" w:color="auto"/>
            </w:tcBorders>
            <w:shd w:val="clear" w:color="auto" w:fill="FFFFFF"/>
          </w:tcPr>
          <w:p w14:paraId="0C48B466"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февраль</w:t>
            </w:r>
          </w:p>
        </w:tc>
        <w:tc>
          <w:tcPr>
            <w:tcW w:w="637" w:type="dxa"/>
            <w:tcBorders>
              <w:top w:val="single" w:sz="4" w:space="0" w:color="auto"/>
              <w:left w:val="single" w:sz="4" w:space="0" w:color="auto"/>
              <w:bottom w:val="single" w:sz="4" w:space="0" w:color="auto"/>
              <w:right w:val="single" w:sz="4" w:space="0" w:color="auto"/>
            </w:tcBorders>
            <w:shd w:val="clear" w:color="auto" w:fill="FFFFFF"/>
          </w:tcPr>
          <w:p w14:paraId="5C3D5404"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март</w:t>
            </w:r>
          </w:p>
        </w:tc>
      </w:tr>
      <w:tr w:rsidR="000F5689" w:rsidRPr="00925F26" w14:paraId="18DCD3B1" w14:textId="77777777" w:rsidTr="00F0626F">
        <w:trPr>
          <w:trHeight w:val="403"/>
        </w:trPr>
        <w:tc>
          <w:tcPr>
            <w:tcW w:w="839" w:type="dxa"/>
            <w:tcBorders>
              <w:top w:val="single" w:sz="4" w:space="0" w:color="auto"/>
              <w:left w:val="single" w:sz="4" w:space="0" w:color="auto"/>
              <w:bottom w:val="single" w:sz="4" w:space="0" w:color="auto"/>
              <w:right w:val="single" w:sz="4" w:space="0" w:color="auto"/>
            </w:tcBorders>
            <w:shd w:val="clear" w:color="auto" w:fill="FFFFFF"/>
          </w:tcPr>
          <w:p w14:paraId="4FD2ABEA"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Число САУ</w:t>
            </w:r>
          </w:p>
        </w:tc>
        <w:tc>
          <w:tcPr>
            <w:tcW w:w="695" w:type="dxa"/>
            <w:tcBorders>
              <w:top w:val="single" w:sz="4" w:space="0" w:color="auto"/>
              <w:left w:val="single" w:sz="4" w:space="0" w:color="auto"/>
              <w:bottom w:val="single" w:sz="4" w:space="0" w:color="auto"/>
              <w:right w:val="single" w:sz="4" w:space="0" w:color="auto"/>
            </w:tcBorders>
            <w:shd w:val="clear" w:color="auto" w:fill="FFFFFF"/>
          </w:tcPr>
          <w:p w14:paraId="601A0C65"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51</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625A571B"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89</w:t>
            </w:r>
          </w:p>
        </w:tc>
        <w:tc>
          <w:tcPr>
            <w:tcW w:w="724" w:type="dxa"/>
            <w:tcBorders>
              <w:top w:val="single" w:sz="4" w:space="0" w:color="auto"/>
              <w:left w:val="single" w:sz="4" w:space="0" w:color="auto"/>
              <w:bottom w:val="single" w:sz="4" w:space="0" w:color="auto"/>
              <w:right w:val="single" w:sz="4" w:space="0" w:color="auto"/>
            </w:tcBorders>
            <w:shd w:val="clear" w:color="auto" w:fill="FFFFFF"/>
          </w:tcPr>
          <w:p w14:paraId="3ECC8D89"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104</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485E9BBB"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145</w:t>
            </w:r>
          </w:p>
        </w:tc>
        <w:tc>
          <w:tcPr>
            <w:tcW w:w="752" w:type="dxa"/>
            <w:tcBorders>
              <w:top w:val="single" w:sz="4" w:space="0" w:color="auto"/>
              <w:left w:val="single" w:sz="4" w:space="0" w:color="auto"/>
              <w:bottom w:val="single" w:sz="4" w:space="0" w:color="auto"/>
              <w:right w:val="single" w:sz="4" w:space="0" w:color="auto"/>
            </w:tcBorders>
            <w:shd w:val="clear" w:color="auto" w:fill="FFFFFF"/>
          </w:tcPr>
          <w:p w14:paraId="70894267"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123</w:t>
            </w:r>
          </w:p>
        </w:tc>
        <w:tc>
          <w:tcPr>
            <w:tcW w:w="637" w:type="dxa"/>
            <w:tcBorders>
              <w:top w:val="single" w:sz="4" w:space="0" w:color="auto"/>
              <w:left w:val="single" w:sz="4" w:space="0" w:color="auto"/>
              <w:bottom w:val="single" w:sz="4" w:space="0" w:color="auto"/>
              <w:right w:val="single" w:sz="4" w:space="0" w:color="auto"/>
            </w:tcBorders>
            <w:shd w:val="clear" w:color="auto" w:fill="FFFFFF"/>
          </w:tcPr>
          <w:p w14:paraId="5CC551B7" w14:textId="77777777" w:rsidR="00A278CB" w:rsidRPr="00925F26" w:rsidRDefault="00A278CB" w:rsidP="00925F26">
            <w:pPr>
              <w:framePr w:wrap="notBeside" w:vAnchor="text" w:hAnchor="text" w:xAlign="center" w:y="1"/>
              <w:jc w:val="both"/>
              <w:rPr>
                <w:color w:val="000000" w:themeColor="text1"/>
                <w:sz w:val="16"/>
                <w:szCs w:val="16"/>
              </w:rPr>
            </w:pPr>
            <w:r w:rsidRPr="00925F26">
              <w:rPr>
                <w:color w:val="000000" w:themeColor="text1"/>
                <w:sz w:val="16"/>
                <w:szCs w:val="16"/>
              </w:rPr>
              <w:t>153</w:t>
            </w:r>
          </w:p>
        </w:tc>
      </w:tr>
    </w:tbl>
    <w:p w14:paraId="6AB1EA97" w14:textId="77777777" w:rsidR="00A278CB" w:rsidRPr="00925F26" w:rsidRDefault="00A278CB" w:rsidP="00925F26">
      <w:pPr>
        <w:pStyle w:val="11b"/>
        <w:shd w:val="clear" w:color="auto" w:fill="auto"/>
        <w:spacing w:after="0" w:line="240" w:lineRule="auto"/>
        <w:jc w:val="both"/>
        <w:rPr>
          <w:rFonts w:ascii="Times New Roman" w:hAnsi="Times New Roman" w:cs="Times New Roman"/>
          <w:color w:val="000000" w:themeColor="text1"/>
          <w:sz w:val="16"/>
          <w:szCs w:val="16"/>
        </w:rPr>
      </w:pPr>
    </w:p>
    <w:p w14:paraId="49484032" w14:textId="77777777" w:rsidR="007048F1" w:rsidRPr="00925F26" w:rsidRDefault="007048F1" w:rsidP="00925F26">
      <w:pPr>
        <w:jc w:val="both"/>
        <w:rPr>
          <w:color w:val="000000" w:themeColor="text1"/>
          <w:sz w:val="16"/>
          <w:szCs w:val="16"/>
        </w:rPr>
      </w:pPr>
      <w:r w:rsidRPr="00925F26">
        <w:rPr>
          <w:color w:val="000000" w:themeColor="text1"/>
          <w:sz w:val="16"/>
          <w:szCs w:val="16"/>
        </w:rPr>
        <w:t>25 апреля 1945 275 B-17 в сопровождении четырех групп P-51 Mustang атакуют оружейный завод Plzen -Škoda в Чехословакии. Это последняя тяжелая бомбардировочная миссия против промышленного объекта (20371).</w:t>
      </w:r>
    </w:p>
    <w:p w14:paraId="73D39C92" w14:textId="77777777" w:rsidR="007048F1" w:rsidRPr="00925F26" w:rsidRDefault="007048F1" w:rsidP="00925F26">
      <w:pPr>
        <w:jc w:val="both"/>
        <w:rPr>
          <w:color w:val="000000" w:themeColor="text1"/>
          <w:sz w:val="16"/>
          <w:szCs w:val="16"/>
        </w:rPr>
      </w:pPr>
    </w:p>
    <w:p w14:paraId="46819306" w14:textId="77777777" w:rsidR="00B307A0" w:rsidRPr="00925F26" w:rsidRDefault="00B307A0"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г. «Ланкастеры» совершили свой последний боевой вылет, когда бомбардировщики 5-й группы под прикрытием американских «Мустангов» («Mustang») атаковали днем отступающие части вермахта у Берхтсгадена. Той же ночью 119 «авро» группы совершили налет на базу подлодок в одном из фьордов под Осло (11860).</w:t>
      </w:r>
    </w:p>
    <w:p w14:paraId="73F223CB" w14:textId="77777777" w:rsidR="00B307A0" w:rsidRPr="00925F26" w:rsidRDefault="00B307A0" w:rsidP="00925F26">
      <w:pPr>
        <w:autoSpaceDE w:val="0"/>
        <w:autoSpaceDN w:val="0"/>
        <w:adjustRightInd w:val="0"/>
        <w:jc w:val="both"/>
        <w:rPr>
          <w:color w:val="000000" w:themeColor="text1"/>
          <w:sz w:val="16"/>
          <w:szCs w:val="16"/>
        </w:rPr>
      </w:pPr>
    </w:p>
    <w:p w14:paraId="2B54220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апреля 1945 войска союзников освободила узников концлагерей Маутхаузен и Равенсбрюк (4962).</w:t>
      </w:r>
    </w:p>
    <w:p w14:paraId="55AB179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FB44DDA" w14:textId="77777777" w:rsidR="00665165" w:rsidRPr="00925F26" w:rsidRDefault="00665165" w:rsidP="00925F26">
      <w:pPr>
        <w:tabs>
          <w:tab w:val="left" w:pos="11199"/>
        </w:tabs>
        <w:autoSpaceDE w:val="0"/>
        <w:autoSpaceDN w:val="0"/>
        <w:adjustRightInd w:val="0"/>
        <w:jc w:val="both"/>
        <w:rPr>
          <w:color w:val="000000" w:themeColor="text1"/>
          <w:sz w:val="16"/>
          <w:szCs w:val="16"/>
          <w:lang w:val="en-US"/>
        </w:rPr>
      </w:pPr>
      <w:r w:rsidRPr="00925F26">
        <w:rPr>
          <w:color w:val="000000" w:themeColor="text1"/>
          <w:sz w:val="16"/>
          <w:szCs w:val="16"/>
        </w:rPr>
        <w:t xml:space="preserve">25 апреля 1945 Муссолини принял решение бежать в Швейцарию </w:t>
      </w:r>
      <w:r w:rsidRPr="00925F26">
        <w:rPr>
          <w:color w:val="000000" w:themeColor="text1"/>
          <w:sz w:val="16"/>
          <w:szCs w:val="16"/>
          <w:lang w:val="en-US"/>
        </w:rPr>
        <w:t>(4962).</w:t>
      </w:r>
    </w:p>
    <w:p w14:paraId="631B69CD" w14:textId="77777777" w:rsidR="00665165" w:rsidRPr="00925F26" w:rsidRDefault="00665165" w:rsidP="00925F26">
      <w:pPr>
        <w:tabs>
          <w:tab w:val="left" w:pos="11199"/>
        </w:tabs>
        <w:autoSpaceDE w:val="0"/>
        <w:autoSpaceDN w:val="0"/>
        <w:adjustRightInd w:val="0"/>
        <w:jc w:val="both"/>
        <w:rPr>
          <w:color w:val="000000" w:themeColor="text1"/>
          <w:sz w:val="16"/>
          <w:szCs w:val="16"/>
          <w:lang w:val="en-US"/>
        </w:rPr>
      </w:pPr>
    </w:p>
    <w:p w14:paraId="2DB6D3D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25th, 1945: Units of the US Ninth Army (Simpson) and the Soviet 1st Ukrainian Front (Konev) meet on the Elbe at Torgau, 100 miles SW of Berlin. In Berlin, the battle continues with unabated ferocity, both sides suffering heavy casualties in bitter house-to-house fighting. The relief attack by III.Panzerkorps (Steiner) from the area of Eberswalde 50 miles NE of Berlin fails for lack of forces. The isolated fortress of Breslau is still holding out. In Italy, US and British forces cross the </w:t>
      </w:r>
      <w:proofErr w:type="gramStart"/>
      <w:r w:rsidRPr="00925F26">
        <w:rPr>
          <w:color w:val="000000" w:themeColor="text1"/>
          <w:sz w:val="16"/>
          <w:szCs w:val="16"/>
          <w:lang w:val="en-US"/>
        </w:rPr>
        <w:t>Po river</w:t>
      </w:r>
      <w:proofErr w:type="gramEnd"/>
      <w:r w:rsidRPr="00925F26">
        <w:rPr>
          <w:color w:val="000000" w:themeColor="text1"/>
          <w:sz w:val="16"/>
          <w:szCs w:val="16"/>
          <w:lang w:val="en-US"/>
        </w:rPr>
        <w:t xml:space="preserve"> and capture Parma and Mantua. German U-boats sink 5 Allied supply ships in the English Channel. Beginning of the San Francisco Conference convened to discuss the founding of the United Nations (3819).</w:t>
      </w:r>
    </w:p>
    <w:p w14:paraId="59EA7876" w14:textId="77777777" w:rsidR="00665165" w:rsidRPr="00925F26" w:rsidRDefault="00665165" w:rsidP="00925F26">
      <w:pPr>
        <w:autoSpaceDE w:val="0"/>
        <w:autoSpaceDN w:val="0"/>
        <w:adjustRightInd w:val="0"/>
        <w:jc w:val="both"/>
        <w:rPr>
          <w:color w:val="000000" w:themeColor="text1"/>
          <w:sz w:val="16"/>
          <w:szCs w:val="16"/>
          <w:lang w:val="en-US"/>
        </w:rPr>
      </w:pPr>
    </w:p>
    <w:p w14:paraId="131C23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в оккупированных немцами северных областях Италии всеобщая забастовка переросла по призыву компартии в вооруженное восстание. Партизаны к концу месяца освободили Милан, Геную, Турин еще до прихода англо-американцев (3263,200).</w:t>
      </w:r>
    </w:p>
    <w:p w14:paraId="3978AD6B" w14:textId="77777777" w:rsidR="00665165" w:rsidRPr="00925F26" w:rsidRDefault="00665165" w:rsidP="00925F26">
      <w:pPr>
        <w:autoSpaceDE w:val="0"/>
        <w:autoSpaceDN w:val="0"/>
        <w:adjustRightInd w:val="0"/>
        <w:jc w:val="both"/>
        <w:rPr>
          <w:color w:val="000000" w:themeColor="text1"/>
          <w:sz w:val="16"/>
          <w:szCs w:val="16"/>
        </w:rPr>
      </w:pPr>
    </w:p>
    <w:p w14:paraId="65A1AE98" w14:textId="77777777" w:rsidR="00B307A0" w:rsidRPr="00925F26" w:rsidRDefault="00B307A0" w:rsidP="00925F26">
      <w:pPr>
        <w:jc w:val="both"/>
        <w:rPr>
          <w:color w:val="000000" w:themeColor="text1"/>
          <w:sz w:val="16"/>
          <w:szCs w:val="16"/>
        </w:rPr>
      </w:pPr>
      <w:r w:rsidRPr="00925F26">
        <w:rPr>
          <w:color w:val="000000" w:themeColor="text1"/>
          <w:sz w:val="16"/>
          <w:szCs w:val="16"/>
        </w:rPr>
        <w:t>25 апреля в 1945 году английские войска заняли Верону (15110).</w:t>
      </w:r>
    </w:p>
    <w:p w14:paraId="06B3FD6D" w14:textId="77777777" w:rsidR="00B307A0" w:rsidRPr="00925F26" w:rsidRDefault="00B307A0" w:rsidP="00925F26">
      <w:pPr>
        <w:jc w:val="both"/>
        <w:rPr>
          <w:color w:val="000000" w:themeColor="text1"/>
          <w:sz w:val="16"/>
          <w:szCs w:val="16"/>
        </w:rPr>
      </w:pPr>
    </w:p>
    <w:p w14:paraId="420DE9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апреля 1945 новый президент США Г.Трумэн узнал атомный секрет (1287).</w:t>
      </w:r>
    </w:p>
    <w:p w14:paraId="2AD342AC" w14:textId="77777777" w:rsidR="00665165" w:rsidRPr="00925F26" w:rsidRDefault="00665165" w:rsidP="00925F26">
      <w:pPr>
        <w:autoSpaceDE w:val="0"/>
        <w:autoSpaceDN w:val="0"/>
        <w:adjustRightInd w:val="0"/>
        <w:jc w:val="both"/>
        <w:rPr>
          <w:color w:val="000000" w:themeColor="text1"/>
          <w:sz w:val="16"/>
          <w:szCs w:val="16"/>
        </w:rPr>
      </w:pPr>
    </w:p>
    <w:p w14:paraId="05B18EB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In April 1945, the new President learned the most closely-held secret of the war (1287</w:t>
      </w:r>
      <w:proofErr w:type="gramStart"/>
      <w:r w:rsidRPr="00925F26">
        <w:rPr>
          <w:color w:val="000000" w:themeColor="text1"/>
          <w:sz w:val="16"/>
          <w:szCs w:val="16"/>
          <w:lang w:val="en-US"/>
        </w:rPr>
        <w:t>).As</w:t>
      </w:r>
      <w:proofErr w:type="gramEnd"/>
      <w:r w:rsidRPr="00925F26">
        <w:rPr>
          <w:color w:val="000000" w:themeColor="text1"/>
          <w:sz w:val="16"/>
          <w:szCs w:val="16"/>
          <w:lang w:val="en-US"/>
        </w:rPr>
        <w:t xml:space="preserve"> Vice President, Harry Truman had not known about the development of the atomic bomb. On the day he assumed the presidency at the death of Franklin D. Roosevelt, Secretary of War Henry L. Stimson had spoken to him briefly and told him that the United States was working on a weapon of extraordinary power. Twelve days later, on April 25, 1945, Stimson and Maj. Gen. Leslie R. Groves, director of the Manhattan Project, briefed President Truman in detail on the secret of the atomic bomb (1287).</w:t>
      </w:r>
    </w:p>
    <w:p w14:paraId="07BCA7E0" w14:textId="77777777" w:rsidR="00665165" w:rsidRPr="00925F26" w:rsidRDefault="00665165" w:rsidP="00925F26">
      <w:pPr>
        <w:autoSpaceDE w:val="0"/>
        <w:autoSpaceDN w:val="0"/>
        <w:adjustRightInd w:val="0"/>
        <w:jc w:val="both"/>
        <w:rPr>
          <w:color w:val="000000" w:themeColor="text1"/>
          <w:sz w:val="16"/>
          <w:szCs w:val="16"/>
          <w:lang w:val="en-US"/>
        </w:rPr>
      </w:pPr>
    </w:p>
    <w:p w14:paraId="6B80E1F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A6A87CB" w14:textId="77777777" w:rsidR="00665165" w:rsidRPr="00925F26" w:rsidRDefault="00665165" w:rsidP="00925F26">
      <w:pPr>
        <w:autoSpaceDE w:val="0"/>
        <w:autoSpaceDN w:val="0"/>
        <w:adjustRightInd w:val="0"/>
        <w:jc w:val="both"/>
        <w:rPr>
          <w:iCs/>
          <w:color w:val="000000" w:themeColor="text1"/>
          <w:sz w:val="16"/>
          <w:szCs w:val="16"/>
        </w:rPr>
      </w:pPr>
    </w:p>
    <w:p w14:paraId="73E84B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апреля 1945 из-за сильного выброса масла в полете, мотор АМ-42 (зав. № 45591) был снят с самолета Ил-АМ-42 (экз. № 1) и вместо него установлен новый мо</w:t>
      </w:r>
      <w:r w:rsidRPr="00925F26">
        <w:rPr>
          <w:color w:val="000000" w:themeColor="text1"/>
          <w:sz w:val="16"/>
          <w:szCs w:val="16"/>
        </w:rPr>
        <w:softHyphen/>
        <w:t>тор (зав. № 45760). Перед отправ</w:t>
      </w:r>
      <w:r w:rsidRPr="00925F26">
        <w:rPr>
          <w:color w:val="000000" w:themeColor="text1"/>
          <w:sz w:val="16"/>
          <w:szCs w:val="16"/>
        </w:rPr>
        <w:softHyphen/>
        <w:t>кой в утиль "старый" мотор нарабо</w:t>
      </w:r>
      <w:r w:rsidRPr="00925F26">
        <w:rPr>
          <w:color w:val="000000" w:themeColor="text1"/>
          <w:sz w:val="16"/>
          <w:szCs w:val="16"/>
        </w:rPr>
        <w:softHyphen/>
        <w:t>тал 22 часа 48 минут в воздухе и 16 часов - на земле. Однако АМ-42 с новым номером работал не лучше прежнего. После двух полетов 3 мая в маслофильтре мотора было обна</w:t>
      </w:r>
      <w:r w:rsidRPr="00925F26">
        <w:rPr>
          <w:color w:val="000000" w:themeColor="text1"/>
          <w:sz w:val="16"/>
          <w:szCs w:val="16"/>
        </w:rPr>
        <w:softHyphen/>
        <w:t xml:space="preserve">ружено </w:t>
      </w:r>
      <w:r w:rsidRPr="00925F26">
        <w:rPr>
          <w:iCs/>
          <w:color w:val="000000" w:themeColor="text1"/>
          <w:sz w:val="16"/>
          <w:szCs w:val="16"/>
        </w:rPr>
        <w:t>"большое количество метал</w:t>
      </w:r>
      <w:r w:rsidRPr="00925F26">
        <w:rPr>
          <w:iCs/>
          <w:color w:val="000000" w:themeColor="text1"/>
          <w:sz w:val="16"/>
          <w:szCs w:val="16"/>
        </w:rPr>
        <w:softHyphen/>
        <w:t xml:space="preserve">лической стружки". </w:t>
      </w:r>
      <w:r w:rsidRPr="00925F26">
        <w:rPr>
          <w:color w:val="000000" w:themeColor="text1"/>
          <w:sz w:val="16"/>
          <w:szCs w:val="16"/>
        </w:rPr>
        <w:t>Мотор был снят. Через два дня на Ил-8 № 1 устано</w:t>
      </w:r>
      <w:r w:rsidRPr="00925F26">
        <w:rPr>
          <w:color w:val="000000" w:themeColor="text1"/>
          <w:sz w:val="16"/>
          <w:szCs w:val="16"/>
        </w:rPr>
        <w:softHyphen/>
        <w:t>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319F25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полетном весе 7540 кг (1 000 кг бомб) самолет показал мак</w:t>
      </w:r>
      <w:r w:rsidRPr="00925F26">
        <w:rPr>
          <w:color w:val="000000" w:themeColor="text1"/>
          <w:sz w:val="16"/>
          <w:szCs w:val="16"/>
        </w:rPr>
        <w:softHyphen/>
        <w:t>симальную скорость 473 км/ч у зем</w:t>
      </w:r>
      <w:r w:rsidRPr="00925F26">
        <w:rPr>
          <w:color w:val="000000" w:themeColor="text1"/>
          <w:sz w:val="16"/>
          <w:szCs w:val="16"/>
        </w:rPr>
        <w:softHyphen/>
        <w:t>ли и 516 км/ч на высоте 2720 м. Время подъема на высоту 1000 м со</w:t>
      </w:r>
      <w:r w:rsidRPr="00925F26">
        <w:rPr>
          <w:color w:val="000000" w:themeColor="text1"/>
          <w:sz w:val="16"/>
          <w:szCs w:val="16"/>
        </w:rPr>
        <w:softHyphen/>
        <w:t>ставило 2,2 минут. Разбег на фор</w:t>
      </w:r>
      <w:r w:rsidRPr="00925F26">
        <w:rPr>
          <w:color w:val="000000" w:themeColor="text1"/>
          <w:sz w:val="16"/>
          <w:szCs w:val="16"/>
        </w:rPr>
        <w:softHyphen/>
        <w:t>саже и с отклоненными на 17° щит</w:t>
      </w:r>
      <w:r w:rsidRPr="00925F26">
        <w:rPr>
          <w:color w:val="000000" w:themeColor="text1"/>
          <w:sz w:val="16"/>
          <w:szCs w:val="16"/>
        </w:rPr>
        <w:softHyphen/>
        <w:t>ками равнялся 526 м. С предельно возможной заправкой горючим и маслом (полетный вес 7830 кг) даль</w:t>
      </w:r>
      <w:r w:rsidRPr="00925F26">
        <w:rPr>
          <w:color w:val="000000" w:themeColor="text1"/>
          <w:sz w:val="16"/>
          <w:szCs w:val="16"/>
        </w:rPr>
        <w:softHyphen/>
        <w:t>ность полета на высоте 680 м при скорости по прибору 297 км/ч дос</w:t>
      </w:r>
      <w:r w:rsidRPr="00925F26">
        <w:rPr>
          <w:color w:val="000000" w:themeColor="text1"/>
          <w:sz w:val="16"/>
          <w:szCs w:val="16"/>
        </w:rPr>
        <w:softHyphen/>
        <w:t>тигала 1270 км.</w:t>
      </w:r>
    </w:p>
    <w:p w14:paraId="41639C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Генерал В. К. Коккинаки дал хо</w:t>
      </w:r>
      <w:r w:rsidRPr="00925F26">
        <w:rPr>
          <w:color w:val="000000" w:themeColor="text1"/>
          <w:sz w:val="16"/>
          <w:szCs w:val="16"/>
        </w:rPr>
        <w:softHyphen/>
        <w:t>рошую оценку летным качествам са</w:t>
      </w:r>
      <w:r w:rsidRPr="00925F26">
        <w:rPr>
          <w:color w:val="000000" w:themeColor="text1"/>
          <w:sz w:val="16"/>
          <w:szCs w:val="16"/>
        </w:rPr>
        <w:softHyphen/>
        <w:t>молета, отметив простоту и легкость управления, а также устойчивость ма</w:t>
      </w:r>
      <w:r w:rsidRPr="00925F26">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925F26">
        <w:rPr>
          <w:color w:val="000000" w:themeColor="text1"/>
          <w:sz w:val="16"/>
          <w:szCs w:val="16"/>
        </w:rPr>
        <w:softHyphen/>
        <w:t>каких особенностей не имел. Посад</w:t>
      </w:r>
      <w:r w:rsidRPr="00925F26">
        <w:rPr>
          <w:color w:val="000000" w:themeColor="text1"/>
          <w:sz w:val="16"/>
          <w:szCs w:val="16"/>
        </w:rPr>
        <w:softHyphen/>
        <w:t>ка была простой, тенденций к свали</w:t>
      </w:r>
      <w:r w:rsidRPr="00925F26">
        <w:rPr>
          <w:color w:val="000000" w:themeColor="text1"/>
          <w:sz w:val="16"/>
          <w:szCs w:val="16"/>
        </w:rPr>
        <w:softHyphen/>
        <w:t>ванию при высоком выравнивании не наблюдалось. В качестве недостат</w:t>
      </w:r>
      <w:r w:rsidRPr="00925F26">
        <w:rPr>
          <w:color w:val="000000" w:themeColor="text1"/>
          <w:sz w:val="16"/>
          <w:szCs w:val="16"/>
        </w:rPr>
        <w:softHyphen/>
        <w:t>ков указывались отсутствие тримме</w:t>
      </w:r>
      <w:r w:rsidRPr="00925F26">
        <w:rPr>
          <w:color w:val="000000" w:themeColor="text1"/>
          <w:sz w:val="16"/>
          <w:szCs w:val="16"/>
        </w:rPr>
        <w:softHyphen/>
        <w:t>ра на элеронах и неравномерный обдув маслорадиатора.</w:t>
      </w:r>
    </w:p>
    <w:p w14:paraId="25701057" w14:textId="77777777" w:rsidR="00665165" w:rsidRPr="00925F26" w:rsidRDefault="00665165" w:rsidP="00925F26">
      <w:pPr>
        <w:shd w:val="clear" w:color="auto" w:fill="FFFFFF"/>
        <w:autoSpaceDE w:val="0"/>
        <w:autoSpaceDN w:val="0"/>
        <w:adjustRightInd w:val="0"/>
        <w:jc w:val="both"/>
        <w:rPr>
          <w:iCs/>
          <w:color w:val="000000" w:themeColor="text1"/>
          <w:sz w:val="16"/>
          <w:szCs w:val="16"/>
        </w:rPr>
      </w:pPr>
      <w:r w:rsidRPr="00925F26">
        <w:rPr>
          <w:color w:val="000000" w:themeColor="text1"/>
          <w:sz w:val="16"/>
          <w:szCs w:val="16"/>
        </w:rPr>
        <w:t xml:space="preserve">В заключение отчета Ил-8 № 1 рекомендовался </w:t>
      </w:r>
      <w:r w:rsidRPr="00925F26">
        <w:rPr>
          <w:iCs/>
          <w:color w:val="000000" w:themeColor="text1"/>
          <w:sz w:val="16"/>
          <w:szCs w:val="16"/>
        </w:rPr>
        <w:t>"к внедрению в се</w:t>
      </w:r>
      <w:r w:rsidRPr="00925F26">
        <w:rPr>
          <w:iCs/>
          <w:color w:val="000000" w:themeColor="text1"/>
          <w:sz w:val="16"/>
          <w:szCs w:val="16"/>
        </w:rPr>
        <w:softHyphen/>
        <w:t>рийное производство в качестве штурмовика-бомбардировщика " (11431).</w:t>
      </w:r>
    </w:p>
    <w:p w14:paraId="572F8F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69A6C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г. А.Н. Туполев предъявил макетной комиссии четырехмоторный дальний высотный бомбардировщик "64" с двигателями АМ-43 и турбокомпрессорами ТК-300Б. Проект был похоронен после принятия решения о постройке самолета Ту-4 (9032).</w:t>
      </w:r>
    </w:p>
    <w:p w14:paraId="7D3E3C14" w14:textId="77777777" w:rsidR="00665165" w:rsidRPr="00925F26" w:rsidRDefault="00665165" w:rsidP="00925F26">
      <w:pPr>
        <w:autoSpaceDE w:val="0"/>
        <w:autoSpaceDN w:val="0"/>
        <w:adjustRightInd w:val="0"/>
        <w:jc w:val="both"/>
        <w:rPr>
          <w:color w:val="000000" w:themeColor="text1"/>
          <w:sz w:val="16"/>
          <w:szCs w:val="16"/>
        </w:rPr>
      </w:pPr>
    </w:p>
    <w:p w14:paraId="5793C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г. А.Н.Туполев предъявил макетной комиссии четырехмоторный дальний высотный бомбардировщик 64 с двига</w:t>
      </w:r>
      <w:r w:rsidRPr="00925F26">
        <w:rPr>
          <w:color w:val="000000" w:themeColor="text1"/>
          <w:sz w:val="16"/>
          <w:szCs w:val="16"/>
        </w:rPr>
        <w:softHyphen/>
        <w:t>телями АМ-43 и турбокомпрессорами ТК-300Б. Проект был похо</w:t>
      </w:r>
      <w:r w:rsidRPr="00925F26">
        <w:rPr>
          <w:color w:val="000000" w:themeColor="text1"/>
          <w:sz w:val="16"/>
          <w:szCs w:val="16"/>
        </w:rPr>
        <w:softHyphen/>
        <w:t>ронен после принятия решения о постройке самолета Ту-4 (10781).</w:t>
      </w:r>
    </w:p>
    <w:p w14:paraId="5BE32D10" w14:textId="77777777" w:rsidR="00665165" w:rsidRPr="00925F26" w:rsidRDefault="00665165" w:rsidP="00925F26">
      <w:pPr>
        <w:autoSpaceDE w:val="0"/>
        <w:autoSpaceDN w:val="0"/>
        <w:adjustRightInd w:val="0"/>
        <w:jc w:val="both"/>
        <w:rPr>
          <w:color w:val="000000" w:themeColor="text1"/>
          <w:sz w:val="16"/>
          <w:szCs w:val="16"/>
        </w:rPr>
      </w:pPr>
    </w:p>
    <w:p w14:paraId="35449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и от удара об землю у него отломилась хвостовая часть фюзеляжа. Несмотря на серьезные повреждения, самолет было решено восстановить (5852,40).</w:t>
      </w:r>
    </w:p>
    <w:p w14:paraId="22FD37B7" w14:textId="77777777" w:rsidR="00665165" w:rsidRPr="00925F26" w:rsidRDefault="00665165" w:rsidP="00925F26">
      <w:pPr>
        <w:autoSpaceDE w:val="0"/>
        <w:autoSpaceDN w:val="0"/>
        <w:adjustRightInd w:val="0"/>
        <w:jc w:val="both"/>
        <w:rPr>
          <w:color w:val="000000" w:themeColor="text1"/>
          <w:sz w:val="16"/>
          <w:szCs w:val="16"/>
        </w:rPr>
      </w:pPr>
    </w:p>
    <w:p w14:paraId="674F1F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ап</w:t>
      </w:r>
      <w:r w:rsidRPr="00925F26">
        <w:rPr>
          <w:color w:val="000000" w:themeColor="text1"/>
          <w:sz w:val="16"/>
          <w:szCs w:val="16"/>
        </w:rPr>
        <w:softHyphen/>
        <w:t>реля 1945 г. в шестнадцатом полете второй экземпляр истребителя И—225 потерпел аварию. При разбеге стала преждевременно убирать</w:t>
      </w:r>
      <w:r w:rsidRPr="00925F26">
        <w:rPr>
          <w:color w:val="000000" w:themeColor="text1"/>
          <w:sz w:val="16"/>
          <w:szCs w:val="16"/>
        </w:rPr>
        <w:softHyphen/>
        <w:t>ся правая стойка шасси, летчик убрал газ, но самолет все же успел выскочить на пашню. Истребитель рез</w:t>
      </w:r>
      <w:r w:rsidRPr="00925F26">
        <w:rPr>
          <w:color w:val="000000" w:themeColor="text1"/>
          <w:sz w:val="16"/>
          <w:szCs w:val="16"/>
        </w:rPr>
        <w:softHyphen/>
        <w:t>ко развернуло, а затем от удара о землю у него отло</w:t>
      </w:r>
      <w:r w:rsidRPr="00925F26">
        <w:rPr>
          <w:color w:val="000000" w:themeColor="text1"/>
          <w:sz w:val="16"/>
          <w:szCs w:val="16"/>
        </w:rPr>
        <w:softHyphen/>
        <w:t>милась хвостовая часть фюзеляжа. Несмотря на серь</w:t>
      </w:r>
      <w:r w:rsidRPr="00925F26">
        <w:rPr>
          <w:color w:val="000000" w:themeColor="text1"/>
          <w:sz w:val="16"/>
          <w:szCs w:val="16"/>
        </w:rPr>
        <w:softHyphen/>
        <w:t>езные повреждения самолет решили восстановить (9984).</w:t>
      </w:r>
    </w:p>
    <w:p w14:paraId="616DD3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D502C01" w14:textId="77777777" w:rsidR="00C55BB4" w:rsidRPr="00925F26" w:rsidRDefault="00C55BB4" w:rsidP="00925F26">
      <w:pPr>
        <w:jc w:val="both"/>
        <w:rPr>
          <w:color w:val="000000" w:themeColor="text1"/>
          <w:sz w:val="16"/>
          <w:szCs w:val="16"/>
        </w:rPr>
      </w:pPr>
      <w:r w:rsidRPr="00925F26">
        <w:rPr>
          <w:color w:val="000000" w:themeColor="text1"/>
          <w:sz w:val="16"/>
          <w:szCs w:val="16"/>
        </w:rPr>
        <w:t>26 апреля в 1945 году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градусов, и от удара об землю у него отломилась хвостовая часть фюзеляжа. Несмотря на серьезные повреждения, самолет было решено восстановить (15111).</w:t>
      </w:r>
    </w:p>
    <w:p w14:paraId="17B505F2" w14:textId="77777777" w:rsidR="00C55BB4" w:rsidRPr="00925F26" w:rsidRDefault="00C55BB4" w:rsidP="00925F26">
      <w:pPr>
        <w:jc w:val="both"/>
        <w:rPr>
          <w:color w:val="000000" w:themeColor="text1"/>
          <w:sz w:val="16"/>
          <w:szCs w:val="16"/>
        </w:rPr>
      </w:pPr>
    </w:p>
    <w:p w14:paraId="3900CAA4" w14:textId="77777777" w:rsidR="008775A3" w:rsidRPr="00925F26" w:rsidRDefault="008775A3" w:rsidP="00925F26">
      <w:pPr>
        <w:jc w:val="both"/>
        <w:rPr>
          <w:color w:val="000000" w:themeColor="text1"/>
          <w:sz w:val="16"/>
          <w:szCs w:val="16"/>
        </w:rPr>
      </w:pPr>
      <w:r w:rsidRPr="00925F26">
        <w:rPr>
          <w:color w:val="000000" w:themeColor="text1"/>
          <w:sz w:val="16"/>
          <w:szCs w:val="16"/>
        </w:rPr>
        <w:t>26 апреля 1945 г., вероятно, сразу при взлете с ме</w:t>
      </w:r>
      <w:r w:rsidRPr="00925F26">
        <w:rPr>
          <w:color w:val="000000" w:themeColor="text1"/>
          <w:sz w:val="16"/>
          <w:szCs w:val="16"/>
        </w:rPr>
        <w:softHyphen/>
        <w:t>ста вынужденной посадки у деревни Лузгарино неподалёку от города Шатура (в то время - Кривандинский район на востоке Московской области) И-225 потерпел ава</w:t>
      </w:r>
      <w:r w:rsidRPr="00925F26">
        <w:rPr>
          <w:color w:val="000000" w:themeColor="text1"/>
          <w:sz w:val="16"/>
          <w:szCs w:val="16"/>
        </w:rPr>
        <w:softHyphen/>
        <w:t>рию. Лётчик остался невредим, машина удержалась на шасси, но получила повре</w:t>
      </w:r>
      <w:r w:rsidRPr="00925F26">
        <w:rPr>
          <w:color w:val="000000" w:themeColor="text1"/>
          <w:sz w:val="16"/>
          <w:szCs w:val="16"/>
        </w:rPr>
        <w:softHyphen/>
        <w:t>ждения. Прибывшим на место происшест</w:t>
      </w:r>
      <w:r w:rsidRPr="00925F26">
        <w:rPr>
          <w:color w:val="000000" w:themeColor="text1"/>
          <w:sz w:val="16"/>
          <w:szCs w:val="16"/>
        </w:rPr>
        <w:softHyphen/>
        <w:t>вия предстало жалкое зрелище. Оказался погнут воздушный винт, покоробились си</w:t>
      </w:r>
      <w:r w:rsidRPr="00925F26">
        <w:rPr>
          <w:color w:val="000000" w:themeColor="text1"/>
          <w:sz w:val="16"/>
          <w:szCs w:val="16"/>
        </w:rPr>
        <w:softHyphen/>
        <w:t>ловые панели центроплана крыла в меж</w:t>
      </w:r>
      <w:r w:rsidRPr="00925F26">
        <w:rPr>
          <w:color w:val="000000" w:themeColor="text1"/>
          <w:sz w:val="16"/>
          <w:szCs w:val="16"/>
        </w:rPr>
        <w:softHyphen/>
        <w:t xml:space="preserve">лонжеронной части и элероны. </w:t>
      </w:r>
      <w:r w:rsidRPr="00925F26">
        <w:rPr>
          <w:color w:val="000000" w:themeColor="text1"/>
          <w:sz w:val="16"/>
          <w:szCs w:val="16"/>
        </w:rPr>
        <w:lastRenderedPageBreak/>
        <w:t>Но хуже всего было то, что фюзеляж переломился за кабиной, в нем разрушилась проводка управления и сломалась законцовка ле</w:t>
      </w:r>
      <w:r w:rsidRPr="00925F26">
        <w:rPr>
          <w:color w:val="000000" w:themeColor="text1"/>
          <w:sz w:val="16"/>
          <w:szCs w:val="16"/>
        </w:rPr>
        <w:softHyphen/>
        <w:t>вой плоскости горизонтального оперения.</w:t>
      </w:r>
    </w:p>
    <w:p w14:paraId="6E6AD58F" w14:textId="77777777" w:rsidR="008775A3" w:rsidRPr="00925F26" w:rsidRDefault="008775A3" w:rsidP="00925F26">
      <w:pPr>
        <w:jc w:val="both"/>
        <w:rPr>
          <w:color w:val="000000" w:themeColor="text1"/>
          <w:sz w:val="16"/>
          <w:szCs w:val="16"/>
        </w:rPr>
      </w:pPr>
      <w:r w:rsidRPr="00925F26">
        <w:rPr>
          <w:color w:val="000000" w:themeColor="text1"/>
          <w:sz w:val="16"/>
          <w:szCs w:val="16"/>
        </w:rPr>
        <w:t>Поскольку в то время постройку обо</w:t>
      </w:r>
      <w:r w:rsidRPr="00925F26">
        <w:rPr>
          <w:color w:val="000000" w:themeColor="text1"/>
          <w:sz w:val="16"/>
          <w:szCs w:val="16"/>
        </w:rPr>
        <w:softHyphen/>
        <w:t>их опытных образцов самолёта И-250 за</w:t>
      </w:r>
      <w:r w:rsidRPr="00925F26">
        <w:rPr>
          <w:color w:val="000000" w:themeColor="text1"/>
          <w:sz w:val="16"/>
          <w:szCs w:val="16"/>
        </w:rPr>
        <w:softHyphen/>
        <w:t>кончили, проект И-300 («Ф») переделы</w:t>
      </w:r>
      <w:r w:rsidRPr="00925F26">
        <w:rPr>
          <w:color w:val="000000" w:themeColor="text1"/>
          <w:sz w:val="16"/>
          <w:szCs w:val="16"/>
        </w:rPr>
        <w:softHyphen/>
        <w:t>вался под новую компоновку с размеще</w:t>
      </w:r>
      <w:r w:rsidRPr="00925F26">
        <w:rPr>
          <w:color w:val="000000" w:themeColor="text1"/>
          <w:sz w:val="16"/>
          <w:szCs w:val="16"/>
        </w:rPr>
        <w:softHyphen/>
        <w:t>нием двигателей в фюзеляже вместо гон</w:t>
      </w:r>
      <w:r w:rsidRPr="00925F26">
        <w:rPr>
          <w:color w:val="000000" w:themeColor="text1"/>
          <w:sz w:val="16"/>
          <w:szCs w:val="16"/>
        </w:rPr>
        <w:softHyphen/>
        <w:t>дол под крылом, а строительство «Утки» не требовало больших производствен</w:t>
      </w:r>
      <w:r w:rsidRPr="00925F26">
        <w:rPr>
          <w:color w:val="000000" w:themeColor="text1"/>
          <w:sz w:val="16"/>
          <w:szCs w:val="16"/>
        </w:rPr>
        <w:softHyphen/>
        <w:t>ных мощностей, Микоян распорядился са</w:t>
      </w:r>
      <w:r w:rsidRPr="00925F26">
        <w:rPr>
          <w:color w:val="000000" w:themeColor="text1"/>
          <w:sz w:val="16"/>
          <w:szCs w:val="16"/>
        </w:rPr>
        <w:softHyphen/>
        <w:t>молёт ремонтировать силами 155-го за</w:t>
      </w:r>
      <w:r w:rsidRPr="00925F26">
        <w:rPr>
          <w:color w:val="000000" w:themeColor="text1"/>
          <w:sz w:val="16"/>
          <w:szCs w:val="16"/>
        </w:rPr>
        <w:softHyphen/>
        <w:t>вода. Для этого были сделаны заново, но с использованием неповрежденных дета</w:t>
      </w:r>
      <w:r w:rsidRPr="00925F26">
        <w:rPr>
          <w:color w:val="000000" w:themeColor="text1"/>
          <w:sz w:val="16"/>
          <w:szCs w:val="16"/>
        </w:rPr>
        <w:softHyphen/>
        <w:t>лей и узлов панели и элероны крыла, фю</w:t>
      </w:r>
      <w:r w:rsidRPr="00925F26">
        <w:rPr>
          <w:color w:val="000000" w:themeColor="text1"/>
          <w:sz w:val="16"/>
          <w:szCs w:val="16"/>
        </w:rPr>
        <w:softHyphen/>
        <w:t>зеляж с системами в нем и левая консоль ГО, был получен новый воздушный винт того же типа. Несмотря на окончание вой</w:t>
      </w:r>
      <w:r w:rsidRPr="00925F26">
        <w:rPr>
          <w:color w:val="000000" w:themeColor="text1"/>
          <w:sz w:val="16"/>
          <w:szCs w:val="16"/>
        </w:rPr>
        <w:softHyphen/>
        <w:t>ны с Германией, новая обстановка рассла</w:t>
      </w:r>
      <w:r w:rsidRPr="00925F26">
        <w:rPr>
          <w:color w:val="000000" w:themeColor="text1"/>
          <w:sz w:val="16"/>
          <w:szCs w:val="16"/>
        </w:rPr>
        <w:softHyphen/>
        <w:t>бляться не давала и проект по-прежнему оставался нужен (23586).</w:t>
      </w:r>
    </w:p>
    <w:p w14:paraId="138FC2F1" w14:textId="77777777" w:rsidR="008775A3" w:rsidRPr="00925F26" w:rsidRDefault="008775A3" w:rsidP="00925F26">
      <w:pPr>
        <w:jc w:val="both"/>
        <w:rPr>
          <w:color w:val="000000" w:themeColor="text1"/>
          <w:sz w:val="16"/>
          <w:szCs w:val="16"/>
        </w:rPr>
      </w:pPr>
    </w:p>
    <w:p w14:paraId="2E5AE97B" w14:textId="77777777" w:rsidR="00FF2E3B" w:rsidRPr="001A0BAA" w:rsidRDefault="00FF2E3B" w:rsidP="00FF2E3B">
      <w:pPr>
        <w:jc w:val="both"/>
        <w:rPr>
          <w:color w:val="0070C0"/>
          <w:sz w:val="16"/>
          <w:szCs w:val="16"/>
        </w:rPr>
      </w:pPr>
      <w:r w:rsidRPr="001A0BAA">
        <w:rPr>
          <w:color w:val="0070C0"/>
          <w:sz w:val="16"/>
          <w:szCs w:val="16"/>
        </w:rPr>
        <w:t>26-ого апреля 1945 г. во время шестнадцатого полета второго экземпляра И-225 (5А) МиГ, самолет также попал в аварию. На этот раз при разбеге у него стала преждевременно убираться стойка шасси. Самолет выкатился за пределы полосы и во время удара была разрушена задняя часть фюзеляжа. Начавшийся ремонт затягивал и без того уже оттянутые сроки на разработку. Он был завершен в июне того же года (25214).</w:t>
      </w:r>
    </w:p>
    <w:p w14:paraId="70BBCF8C" w14:textId="77777777" w:rsidR="00FF2E3B" w:rsidRPr="001A0BAA" w:rsidRDefault="00FF2E3B" w:rsidP="00FF2E3B">
      <w:pPr>
        <w:jc w:val="both"/>
        <w:rPr>
          <w:color w:val="0070C0"/>
          <w:sz w:val="16"/>
          <w:szCs w:val="16"/>
        </w:rPr>
      </w:pPr>
    </w:p>
    <w:p w14:paraId="70163314" w14:textId="77777777" w:rsidR="00FF2E3B" w:rsidRPr="001A0BAA" w:rsidRDefault="00FF2E3B" w:rsidP="00FF2E3B">
      <w:pPr>
        <w:jc w:val="both"/>
        <w:rPr>
          <w:color w:val="0070C0"/>
          <w:sz w:val="16"/>
          <w:szCs w:val="16"/>
        </w:rPr>
      </w:pPr>
      <w:r w:rsidRPr="001A0BAA">
        <w:rPr>
          <w:color w:val="0070C0"/>
          <w:sz w:val="16"/>
          <w:szCs w:val="16"/>
        </w:rPr>
        <w:t>26 апреля 1945 г.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и от удара об землю у него отломилась хвостовая часть фюзеляжа. Несмотря на серьезные повреждения, самолет было решено восстановить. В июне 1945 г., после замены разрушенного фюзеляжа новым, И-225 №02 покинул сборочный цех. На заводских испытаниях второго экземпляра И-225 была достигнута максимальная скорость 560 км/ ч у земли и 726 км/ч на высоте 10000 м, которую самолет набирал за 8,8 мин. Время подъема на высоту 5000 м составило 4 мин. (25230)/</w:t>
      </w:r>
    </w:p>
    <w:p w14:paraId="1EB284F9" w14:textId="77777777" w:rsidR="00FF2E3B" w:rsidRPr="001A0BAA" w:rsidRDefault="00FF2E3B" w:rsidP="00FF2E3B">
      <w:pPr>
        <w:jc w:val="both"/>
        <w:rPr>
          <w:color w:val="0070C0"/>
          <w:sz w:val="16"/>
          <w:szCs w:val="16"/>
        </w:rPr>
      </w:pPr>
    </w:p>
    <w:p w14:paraId="16B1D7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ГОКО N 8278с о демонтаже и вывозе оборудования с завода бронезащиты самолетов в г. Дитцдорф (Бреслау) на 125 в Подольске, авиадеталей в Нойен-Кирхене (Вена) на 489 в Днепропетровске, фирмы Шустер Компания в Вене на 284 в Сарапуле (1874,10).</w:t>
      </w:r>
    </w:p>
    <w:p w14:paraId="3FAEBB7D" w14:textId="77777777" w:rsidR="00665165" w:rsidRPr="00925F26" w:rsidRDefault="00665165" w:rsidP="00925F26">
      <w:pPr>
        <w:autoSpaceDE w:val="0"/>
        <w:autoSpaceDN w:val="0"/>
        <w:adjustRightInd w:val="0"/>
        <w:jc w:val="both"/>
        <w:rPr>
          <w:color w:val="000000" w:themeColor="text1"/>
          <w:sz w:val="16"/>
          <w:szCs w:val="16"/>
        </w:rPr>
      </w:pPr>
    </w:p>
    <w:p w14:paraId="2D5B82F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ABC7F1F" w14:textId="77777777" w:rsidR="00665165" w:rsidRPr="00925F26" w:rsidRDefault="00665165" w:rsidP="00925F26">
      <w:pPr>
        <w:autoSpaceDE w:val="0"/>
        <w:autoSpaceDN w:val="0"/>
        <w:adjustRightInd w:val="0"/>
        <w:jc w:val="both"/>
        <w:rPr>
          <w:iCs/>
          <w:color w:val="000000" w:themeColor="text1"/>
          <w:sz w:val="16"/>
          <w:szCs w:val="16"/>
        </w:rPr>
      </w:pPr>
    </w:p>
    <w:p w14:paraId="1C659A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Распоряжение ГКО № 8268. О выделении квашеных и соленых овощей для снабжения рабочих НКХП. РГАНИР, Фонд ГКО, д. 405, лл. 115, 116 (11012).</w:t>
      </w:r>
    </w:p>
    <w:p w14:paraId="00F77D68" w14:textId="77777777" w:rsidR="00665165" w:rsidRPr="00925F26" w:rsidRDefault="00665165" w:rsidP="00925F26">
      <w:pPr>
        <w:autoSpaceDE w:val="0"/>
        <w:autoSpaceDN w:val="0"/>
        <w:adjustRightInd w:val="0"/>
        <w:jc w:val="both"/>
        <w:rPr>
          <w:color w:val="000000" w:themeColor="text1"/>
          <w:sz w:val="16"/>
          <w:szCs w:val="16"/>
        </w:rPr>
      </w:pPr>
    </w:p>
    <w:p w14:paraId="3192B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8269 О вывозе оборудования с немецких автомобильных заводов фирм "Зауэр", "Греф-Ун-Штифт" и "Австро-Фиат" в г. Вена. РГАНИР, Фонд ГКО, д. 405, лл. 117-118 (11012).</w:t>
      </w:r>
    </w:p>
    <w:p w14:paraId="64E9F2D8" w14:textId="77777777" w:rsidR="00665165" w:rsidRPr="00925F26" w:rsidRDefault="00665165" w:rsidP="00925F26">
      <w:pPr>
        <w:autoSpaceDE w:val="0"/>
        <w:autoSpaceDN w:val="0"/>
        <w:adjustRightInd w:val="0"/>
        <w:jc w:val="both"/>
        <w:rPr>
          <w:color w:val="000000" w:themeColor="text1"/>
          <w:sz w:val="16"/>
          <w:szCs w:val="16"/>
        </w:rPr>
      </w:pPr>
    </w:p>
    <w:p w14:paraId="7E163B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8271 О вывозе оборудования по производству паровозных тендеров с немецкого завода "Винер Нейштадт локомотив фабрик" в г. Винер Нейштадт. РГАНИР, Фонд ГКО, д. 405, лл. 120-121 (11012).</w:t>
      </w:r>
    </w:p>
    <w:p w14:paraId="35F08713" w14:textId="77777777" w:rsidR="00665165" w:rsidRPr="00925F26" w:rsidRDefault="00665165" w:rsidP="00925F26">
      <w:pPr>
        <w:autoSpaceDE w:val="0"/>
        <w:autoSpaceDN w:val="0"/>
        <w:adjustRightInd w:val="0"/>
        <w:jc w:val="both"/>
        <w:rPr>
          <w:color w:val="000000" w:themeColor="text1"/>
          <w:sz w:val="16"/>
          <w:szCs w:val="16"/>
        </w:rPr>
      </w:pPr>
    </w:p>
    <w:p w14:paraId="677AB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8273 О вывозе оборудования по производству корпусов артиллерийских снарядов с немецкого завода акционерного общества "Эксцельдмоталверке" в м. Экцельфельдорф (Австрия). РГАНИР, Фонд ГКО, д. 405, лл. 123-124 (11012).</w:t>
      </w:r>
    </w:p>
    <w:p w14:paraId="6A9FF5C3" w14:textId="77777777" w:rsidR="00665165" w:rsidRPr="00925F26" w:rsidRDefault="00665165" w:rsidP="00925F26">
      <w:pPr>
        <w:autoSpaceDE w:val="0"/>
        <w:autoSpaceDN w:val="0"/>
        <w:adjustRightInd w:val="0"/>
        <w:jc w:val="both"/>
        <w:rPr>
          <w:color w:val="000000" w:themeColor="text1"/>
          <w:sz w:val="16"/>
          <w:szCs w:val="16"/>
        </w:rPr>
      </w:pPr>
    </w:p>
    <w:p w14:paraId="15A42E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8274 О вывозе оборудования по производству корпусов артиллерийских снарядов с немецкого завода бывшего владельца Розановского в г. Эльбинг (Восточная Пруссия). РГАНИР, Фонд ГКО, д. 405, лл. 125-126 (11012).</w:t>
      </w:r>
    </w:p>
    <w:p w14:paraId="56A45D11" w14:textId="77777777" w:rsidR="00665165" w:rsidRPr="00925F26" w:rsidRDefault="00665165" w:rsidP="00925F26">
      <w:pPr>
        <w:autoSpaceDE w:val="0"/>
        <w:autoSpaceDN w:val="0"/>
        <w:adjustRightInd w:val="0"/>
        <w:jc w:val="both"/>
        <w:rPr>
          <w:color w:val="000000" w:themeColor="text1"/>
          <w:sz w:val="16"/>
          <w:szCs w:val="16"/>
        </w:rPr>
      </w:pPr>
    </w:p>
    <w:p w14:paraId="7A9332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8275 О вывозе оборудования по производству корпусов артиллерийских снарядов и мин с завода немецкой фирмы "Браудер Гофман" в г. Заган (Германия). РГАНИР, Фонд ГКО, д. 405, лл. 127-128 (11012).</w:t>
      </w:r>
    </w:p>
    <w:p w14:paraId="7C14F766" w14:textId="77777777" w:rsidR="00665165" w:rsidRPr="00925F26" w:rsidRDefault="00665165" w:rsidP="00925F26">
      <w:pPr>
        <w:autoSpaceDE w:val="0"/>
        <w:autoSpaceDN w:val="0"/>
        <w:adjustRightInd w:val="0"/>
        <w:jc w:val="both"/>
        <w:rPr>
          <w:color w:val="000000" w:themeColor="text1"/>
          <w:sz w:val="16"/>
          <w:szCs w:val="16"/>
        </w:rPr>
      </w:pPr>
    </w:p>
    <w:p w14:paraId="4B63ED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8276 О вывозе всего оборудования с немецкой гидроэлектростанции "Бобер-Крафтверке" (Бранденбург) мощностью 69 тыс. киловатт, семи турбогенераторов на общую мощность 115 тыс. киловатт с электростанций в Немецкой Силезии и трансформаторов из Восточной Пруссии. РГАНИР, Фонд ГКО, д. 405, лл. 129-131 (11012).</w:t>
      </w:r>
    </w:p>
    <w:p w14:paraId="539A510A" w14:textId="77777777" w:rsidR="00665165" w:rsidRPr="00925F26" w:rsidRDefault="00665165" w:rsidP="00925F26">
      <w:pPr>
        <w:autoSpaceDE w:val="0"/>
        <w:autoSpaceDN w:val="0"/>
        <w:adjustRightInd w:val="0"/>
        <w:jc w:val="both"/>
        <w:rPr>
          <w:color w:val="000000" w:themeColor="text1"/>
          <w:sz w:val="16"/>
          <w:szCs w:val="16"/>
        </w:rPr>
      </w:pPr>
    </w:p>
    <w:p w14:paraId="6223B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8277 О вывозе оборудования с приборостроительных заводов фирм "Пинч" и "Шауер" в г. Вена. РГАНИР, Фонд ГКО, д. 405, лл. 132-133 (11012).</w:t>
      </w:r>
    </w:p>
    <w:p w14:paraId="10820D24" w14:textId="77777777" w:rsidR="00665165" w:rsidRPr="00925F26" w:rsidRDefault="00665165" w:rsidP="00925F26">
      <w:pPr>
        <w:autoSpaceDE w:val="0"/>
        <w:autoSpaceDN w:val="0"/>
        <w:adjustRightInd w:val="0"/>
        <w:jc w:val="both"/>
        <w:rPr>
          <w:color w:val="000000" w:themeColor="text1"/>
          <w:sz w:val="16"/>
          <w:szCs w:val="16"/>
        </w:rPr>
      </w:pPr>
    </w:p>
    <w:p w14:paraId="683EE6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8278 О вывозе на заводы Наркомавиапрома оборудования из г. Дитцдорф (район г. Бреслау) и из района г. Вена. РГАНИР, Фонд ГКО, д. 405, лл. 134-135 (11012).</w:t>
      </w:r>
    </w:p>
    <w:p w14:paraId="5021C1EB" w14:textId="77777777" w:rsidR="00665165" w:rsidRPr="00925F26" w:rsidRDefault="00665165" w:rsidP="00925F26">
      <w:pPr>
        <w:autoSpaceDE w:val="0"/>
        <w:autoSpaceDN w:val="0"/>
        <w:adjustRightInd w:val="0"/>
        <w:jc w:val="both"/>
        <w:rPr>
          <w:color w:val="000000" w:themeColor="text1"/>
          <w:sz w:val="16"/>
          <w:szCs w:val="16"/>
        </w:rPr>
      </w:pPr>
    </w:p>
    <w:p w14:paraId="3A192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8279 О вывозе оборудования цеха элементарной серы с цинкового завода в г. Шопенице (Верхняя Силезия). РГАНИР, Фонд ГКО, д. 405, лл. 136-137 (11012).</w:t>
      </w:r>
    </w:p>
    <w:p w14:paraId="71EC4C59" w14:textId="77777777" w:rsidR="00665165" w:rsidRPr="00925F26" w:rsidRDefault="00665165" w:rsidP="00925F26">
      <w:pPr>
        <w:autoSpaceDE w:val="0"/>
        <w:autoSpaceDN w:val="0"/>
        <w:adjustRightInd w:val="0"/>
        <w:jc w:val="both"/>
        <w:rPr>
          <w:color w:val="000000" w:themeColor="text1"/>
          <w:sz w:val="16"/>
          <w:szCs w:val="16"/>
        </w:rPr>
      </w:pPr>
    </w:p>
    <w:p w14:paraId="1139EC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8280 О вывозе оборудования немецкого медеплавильного завода, обогатительной фабрики и медных рудников фирмы "Бухат" и "Силезского химического акционерного общества" (Силезия) в районе г. Бунцлау. РГАНИР, Фонд ГКО, д. 405, лл. 138-139 (11012).</w:t>
      </w:r>
    </w:p>
    <w:p w14:paraId="762BAE2C" w14:textId="77777777" w:rsidR="00665165" w:rsidRPr="00925F26" w:rsidRDefault="00665165" w:rsidP="00925F26">
      <w:pPr>
        <w:autoSpaceDE w:val="0"/>
        <w:autoSpaceDN w:val="0"/>
        <w:adjustRightInd w:val="0"/>
        <w:jc w:val="both"/>
        <w:rPr>
          <w:color w:val="000000" w:themeColor="text1"/>
          <w:sz w:val="16"/>
          <w:szCs w:val="16"/>
        </w:rPr>
      </w:pPr>
    </w:p>
    <w:p w14:paraId="04C5CA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8281 О вывозе оборудования моечной фабрики марганцевого рудника "Уркут" (Венгрия) и фабрики стальных тросов в г. Эльбинг. РГАНИР, Фонд ГКО, д. 405, лл. 140-141 (11012).</w:t>
      </w:r>
    </w:p>
    <w:p w14:paraId="32F6FF99" w14:textId="77777777" w:rsidR="00665165" w:rsidRPr="00925F26" w:rsidRDefault="00665165" w:rsidP="00925F26">
      <w:pPr>
        <w:autoSpaceDE w:val="0"/>
        <w:autoSpaceDN w:val="0"/>
        <w:adjustRightInd w:val="0"/>
        <w:jc w:val="both"/>
        <w:rPr>
          <w:color w:val="000000" w:themeColor="text1"/>
          <w:sz w:val="16"/>
          <w:szCs w:val="16"/>
        </w:rPr>
      </w:pPr>
    </w:p>
    <w:p w14:paraId="48B85B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8282 Об укомплектовании оборудованием завода № 800 Наркомтанкопрома в г. Ленинграде для производства судовых дизелей М-50. РГАНИР, Фонд ГКО, д. 405, лл. 142-143 (11012).</w:t>
      </w:r>
    </w:p>
    <w:p w14:paraId="63A13C62" w14:textId="77777777" w:rsidR="00665165" w:rsidRPr="00925F26" w:rsidRDefault="00665165" w:rsidP="00925F26">
      <w:pPr>
        <w:autoSpaceDE w:val="0"/>
        <w:autoSpaceDN w:val="0"/>
        <w:adjustRightInd w:val="0"/>
        <w:jc w:val="both"/>
        <w:rPr>
          <w:color w:val="000000" w:themeColor="text1"/>
          <w:sz w:val="16"/>
          <w:szCs w:val="16"/>
        </w:rPr>
      </w:pPr>
    </w:p>
    <w:p w14:paraId="3B965B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8283 О вывозе оборудования с немецких заводов в г. г. Ратибор, Бунцлау, Вена и Нейсе на заводы Наркомата станкостроения. РГАНИР, Фонд ГКО, д. 405, лл. 144-145, 146 (11012).</w:t>
      </w:r>
    </w:p>
    <w:p w14:paraId="1235F7C5" w14:textId="77777777" w:rsidR="00665165" w:rsidRPr="00925F26" w:rsidRDefault="00665165" w:rsidP="00925F26">
      <w:pPr>
        <w:autoSpaceDE w:val="0"/>
        <w:autoSpaceDN w:val="0"/>
        <w:adjustRightInd w:val="0"/>
        <w:jc w:val="both"/>
        <w:rPr>
          <w:color w:val="000000" w:themeColor="text1"/>
          <w:sz w:val="16"/>
          <w:szCs w:val="16"/>
        </w:rPr>
      </w:pPr>
    </w:p>
    <w:p w14:paraId="3B6EE9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8284 О вывозе оборудования с завода сельскохозяйственных машин фирмы "Август Грузе" в г. Шнайдемюль и оборудования по производству шрифта с завода фирмы "Ирис Тофпе" (район г. Циленциг). РГАНИР, Фонд ГКО, д. 405, лл. 147-148 (11012).</w:t>
      </w:r>
    </w:p>
    <w:p w14:paraId="28F44E6C" w14:textId="77777777" w:rsidR="00665165" w:rsidRPr="00925F26" w:rsidRDefault="00665165" w:rsidP="00925F26">
      <w:pPr>
        <w:autoSpaceDE w:val="0"/>
        <w:autoSpaceDN w:val="0"/>
        <w:adjustRightInd w:val="0"/>
        <w:jc w:val="both"/>
        <w:rPr>
          <w:color w:val="000000" w:themeColor="text1"/>
          <w:sz w:val="16"/>
          <w:szCs w:val="16"/>
        </w:rPr>
      </w:pPr>
    </w:p>
    <w:p w14:paraId="3F714E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8285 О вывозе оборудования по производству и ремонту сельскохозяйственных машин немецких заводов "Денцер", "Фенске", "Витт и Цвендзен" и оборудования механического завода в г. Штольп. РГАНИР, Фонд ГКО, д. 405, лл. 149-150 (11012).</w:t>
      </w:r>
    </w:p>
    <w:p w14:paraId="78D82A69" w14:textId="77777777" w:rsidR="00665165" w:rsidRPr="00925F26" w:rsidRDefault="00665165" w:rsidP="00925F26">
      <w:pPr>
        <w:autoSpaceDE w:val="0"/>
        <w:autoSpaceDN w:val="0"/>
        <w:adjustRightInd w:val="0"/>
        <w:jc w:val="both"/>
        <w:rPr>
          <w:color w:val="000000" w:themeColor="text1"/>
          <w:sz w:val="16"/>
          <w:szCs w:val="16"/>
        </w:rPr>
      </w:pPr>
    </w:p>
    <w:p w14:paraId="17DFFC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8286 О вывозе оборудования и материалов с немецких предприятий в г. г. Вена и Вимпасинг на заводы Наркомтяжмаша. РГАНИР, Фонд ГКО, д. 405, лл. 151-152, 153 (11012).</w:t>
      </w:r>
    </w:p>
    <w:p w14:paraId="06DA11E8" w14:textId="77777777" w:rsidR="00665165" w:rsidRPr="00925F26" w:rsidRDefault="00665165" w:rsidP="00925F26">
      <w:pPr>
        <w:autoSpaceDE w:val="0"/>
        <w:autoSpaceDN w:val="0"/>
        <w:adjustRightInd w:val="0"/>
        <w:jc w:val="both"/>
        <w:rPr>
          <w:color w:val="000000" w:themeColor="text1"/>
          <w:sz w:val="16"/>
          <w:szCs w:val="16"/>
        </w:rPr>
      </w:pPr>
    </w:p>
    <w:p w14:paraId="76EDB6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8287 О вывозе оборудования эбонитового цеха немецкого аккумуляторного завода в г. Познань. РГАНИР, Фонд ГКО, д. 405, лл. 154 (11012).</w:t>
      </w:r>
    </w:p>
    <w:p w14:paraId="1885793E" w14:textId="77777777" w:rsidR="00665165" w:rsidRPr="00925F26" w:rsidRDefault="00665165" w:rsidP="00925F26">
      <w:pPr>
        <w:autoSpaceDE w:val="0"/>
        <w:autoSpaceDN w:val="0"/>
        <w:adjustRightInd w:val="0"/>
        <w:jc w:val="both"/>
        <w:rPr>
          <w:color w:val="000000" w:themeColor="text1"/>
          <w:sz w:val="16"/>
          <w:szCs w:val="16"/>
        </w:rPr>
      </w:pPr>
    </w:p>
    <w:p w14:paraId="5388FF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8288 О вывозе оборудования сажевого завода в г. Глейвиц. РГАНИР, Фонд ГКО, д. 405, лл. 155 (11012).</w:t>
      </w:r>
    </w:p>
    <w:p w14:paraId="49B0C3B9" w14:textId="77777777" w:rsidR="00665165" w:rsidRPr="00925F26" w:rsidRDefault="00665165" w:rsidP="00925F26">
      <w:pPr>
        <w:autoSpaceDE w:val="0"/>
        <w:autoSpaceDN w:val="0"/>
        <w:adjustRightInd w:val="0"/>
        <w:jc w:val="both"/>
        <w:rPr>
          <w:color w:val="000000" w:themeColor="text1"/>
          <w:sz w:val="16"/>
          <w:szCs w:val="16"/>
        </w:rPr>
      </w:pPr>
    </w:p>
    <w:p w14:paraId="1D515A2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8289 О разборке узкоколейных железнодорожных линий на территории Восточной Пруссии. (7331, 156,157-158).</w:t>
      </w:r>
    </w:p>
    <w:p w14:paraId="54FCBB7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AFF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8290 О вывозе оборудования с немецкого завода мелких металлоконструкций фирмы "Кох" в г. Ратибор и с немецких складов на станции Тщебиния железной дороги Краков-Сосновец и из поселка Кодыник в районе г. Эльбинг. РГАНИР, Фонд ГКО, д. 405, лл. 159-160 (11012).</w:t>
      </w:r>
    </w:p>
    <w:p w14:paraId="404F42D9" w14:textId="77777777" w:rsidR="00665165" w:rsidRPr="00925F26" w:rsidRDefault="00665165" w:rsidP="00925F26">
      <w:pPr>
        <w:autoSpaceDE w:val="0"/>
        <w:autoSpaceDN w:val="0"/>
        <w:adjustRightInd w:val="0"/>
        <w:jc w:val="both"/>
        <w:rPr>
          <w:color w:val="000000" w:themeColor="text1"/>
          <w:sz w:val="16"/>
          <w:szCs w:val="16"/>
        </w:rPr>
      </w:pPr>
    </w:p>
    <w:p w14:paraId="3BC45C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26 апреля 1945 вышло Постановление ГКО № 8291 О вывозе установки по производству формальдегида с завода "Хиаг" немецкой фирмы "Хиаг Верке" в г. Вена (станция Лизинг). РГАНИР, Фонд ГКО, д. 405, лл. 161-162 (11012).</w:t>
      </w:r>
    </w:p>
    <w:p w14:paraId="771489F2" w14:textId="77777777" w:rsidR="00665165" w:rsidRPr="00925F26" w:rsidRDefault="00665165" w:rsidP="00925F26">
      <w:pPr>
        <w:autoSpaceDE w:val="0"/>
        <w:autoSpaceDN w:val="0"/>
        <w:adjustRightInd w:val="0"/>
        <w:jc w:val="both"/>
        <w:rPr>
          <w:color w:val="000000" w:themeColor="text1"/>
          <w:sz w:val="16"/>
          <w:szCs w:val="16"/>
        </w:rPr>
      </w:pPr>
    </w:p>
    <w:p w14:paraId="69FD02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8292 О вывозе оборудования с завода фирмы "Шрок Эриксон" и завода фирмы "Петрович" в г. Вена. РГАНИР, Фонд ГКО, д. 405, лл. 163-164 (11012).</w:t>
      </w:r>
    </w:p>
    <w:p w14:paraId="2A5C60C5" w14:textId="77777777" w:rsidR="00665165" w:rsidRPr="00925F26" w:rsidRDefault="00665165" w:rsidP="00925F26">
      <w:pPr>
        <w:autoSpaceDE w:val="0"/>
        <w:autoSpaceDN w:val="0"/>
        <w:adjustRightInd w:val="0"/>
        <w:jc w:val="both"/>
        <w:rPr>
          <w:color w:val="000000" w:themeColor="text1"/>
          <w:sz w:val="16"/>
          <w:szCs w:val="16"/>
        </w:rPr>
      </w:pPr>
    </w:p>
    <w:p w14:paraId="34F928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8293 О вывозе оборудования и сырья с завода художественных красок немецкой фирмы "Вюрцбург Эхингер" в г. Вена. РГАНИР, Фонд ГКО, д. 405, лл. 165 (11012).</w:t>
      </w:r>
    </w:p>
    <w:p w14:paraId="559B51A3" w14:textId="77777777" w:rsidR="00665165" w:rsidRPr="00925F26" w:rsidRDefault="00665165" w:rsidP="00925F26">
      <w:pPr>
        <w:autoSpaceDE w:val="0"/>
        <w:autoSpaceDN w:val="0"/>
        <w:adjustRightInd w:val="0"/>
        <w:jc w:val="both"/>
        <w:rPr>
          <w:color w:val="000000" w:themeColor="text1"/>
          <w:sz w:val="16"/>
          <w:szCs w:val="16"/>
        </w:rPr>
      </w:pPr>
    </w:p>
    <w:p w14:paraId="4297C8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8295 О вывозе оборудования механических заводов и мастерских в г. г. Бриг и Нейсе (Немецкая Силезия) на предприятия Наркомрезинпрома. РГАНИР, Фонд ГКО, д. 405, лл. 168 (11012).</w:t>
      </w:r>
    </w:p>
    <w:p w14:paraId="53F9CB31" w14:textId="77777777" w:rsidR="00665165" w:rsidRPr="00925F26" w:rsidRDefault="00665165" w:rsidP="00925F26">
      <w:pPr>
        <w:autoSpaceDE w:val="0"/>
        <w:autoSpaceDN w:val="0"/>
        <w:adjustRightInd w:val="0"/>
        <w:jc w:val="both"/>
        <w:rPr>
          <w:color w:val="000000" w:themeColor="text1"/>
          <w:sz w:val="16"/>
          <w:szCs w:val="16"/>
        </w:rPr>
      </w:pPr>
    </w:p>
    <w:p w14:paraId="30F50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8296 О демонтаже металлорежущего и электротехнического оборудования с немецких предприятий в г. Беутен (Немецкая Силезия). РГАНИР, Фонд ГКО, д. 405, лл. 169 (11012).</w:t>
      </w:r>
    </w:p>
    <w:p w14:paraId="4252D7A2" w14:textId="77777777" w:rsidR="00665165" w:rsidRPr="00925F26" w:rsidRDefault="00665165" w:rsidP="00925F26">
      <w:pPr>
        <w:autoSpaceDE w:val="0"/>
        <w:autoSpaceDN w:val="0"/>
        <w:adjustRightInd w:val="0"/>
        <w:jc w:val="both"/>
        <w:rPr>
          <w:color w:val="000000" w:themeColor="text1"/>
          <w:sz w:val="16"/>
          <w:szCs w:val="16"/>
        </w:rPr>
      </w:pPr>
    </w:p>
    <w:p w14:paraId="7F274A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8297 О вывозе оборудования с механического завода пластмасс фирмы "Унион Верке" в г. Осьвенцим. РГАНИР, Фонд ГКО, д. 405, лл. 170 (11012).</w:t>
      </w:r>
    </w:p>
    <w:p w14:paraId="2165CD3D" w14:textId="77777777" w:rsidR="00665165" w:rsidRPr="00925F26" w:rsidRDefault="00665165" w:rsidP="00925F26">
      <w:pPr>
        <w:autoSpaceDE w:val="0"/>
        <w:autoSpaceDN w:val="0"/>
        <w:adjustRightInd w:val="0"/>
        <w:jc w:val="both"/>
        <w:rPr>
          <w:color w:val="000000" w:themeColor="text1"/>
          <w:sz w:val="16"/>
          <w:szCs w:val="16"/>
        </w:rPr>
      </w:pPr>
    </w:p>
    <w:p w14:paraId="597F6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8298 О вывозе электрооборудования, кабельных изделий и электротехнических материалов с немецкого склада в район г. Мускау. РГАНИР, Фонд ГКО, д. 405, лл. 171 (11012).</w:t>
      </w:r>
    </w:p>
    <w:p w14:paraId="07CBE648" w14:textId="77777777" w:rsidR="00665165" w:rsidRPr="00925F26" w:rsidRDefault="00665165" w:rsidP="00925F26">
      <w:pPr>
        <w:autoSpaceDE w:val="0"/>
        <w:autoSpaceDN w:val="0"/>
        <w:adjustRightInd w:val="0"/>
        <w:jc w:val="both"/>
        <w:rPr>
          <w:color w:val="000000" w:themeColor="text1"/>
          <w:sz w:val="16"/>
          <w:szCs w:val="16"/>
        </w:rPr>
      </w:pPr>
    </w:p>
    <w:p w14:paraId="344E15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8300 О вывозе оборудования цеха литейных концентратов из района г. Реппен (ст. Штенбокверке) на Камской сульфитно-спиртовый завод Главлесоспирта при СНК СССР. РГАНИР, Фонд ГКО, д. 405, лл. 173-174 (11012).</w:t>
      </w:r>
    </w:p>
    <w:p w14:paraId="329C8674" w14:textId="77777777" w:rsidR="00665165" w:rsidRPr="00925F26" w:rsidRDefault="00665165" w:rsidP="00925F26">
      <w:pPr>
        <w:autoSpaceDE w:val="0"/>
        <w:autoSpaceDN w:val="0"/>
        <w:adjustRightInd w:val="0"/>
        <w:jc w:val="both"/>
        <w:rPr>
          <w:color w:val="000000" w:themeColor="text1"/>
          <w:sz w:val="16"/>
          <w:szCs w:val="16"/>
        </w:rPr>
      </w:pPr>
    </w:p>
    <w:p w14:paraId="39DEE2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8301 О вывозе оборудования с завода фирмы "Донасмаркхютте" в г. Гинденбург. РГАНИР, Фонд ГКО, д. 405, лл. 175 (11012).</w:t>
      </w:r>
    </w:p>
    <w:p w14:paraId="36A96088" w14:textId="77777777" w:rsidR="00665165" w:rsidRPr="00925F26" w:rsidRDefault="00665165" w:rsidP="00925F26">
      <w:pPr>
        <w:autoSpaceDE w:val="0"/>
        <w:autoSpaceDN w:val="0"/>
        <w:adjustRightInd w:val="0"/>
        <w:jc w:val="both"/>
        <w:rPr>
          <w:color w:val="000000" w:themeColor="text1"/>
          <w:sz w:val="16"/>
          <w:szCs w:val="16"/>
        </w:rPr>
      </w:pPr>
    </w:p>
    <w:p w14:paraId="1AE908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8302 О вывозе оборудования с немецкого рыбоконсервного завода в г. Штольпмюнде. РГАНИР, Фонд ГКО, д. 405, лл. 176 (11012).</w:t>
      </w:r>
    </w:p>
    <w:p w14:paraId="78FE31A1" w14:textId="77777777" w:rsidR="00665165" w:rsidRPr="00925F26" w:rsidRDefault="00665165" w:rsidP="00925F26">
      <w:pPr>
        <w:autoSpaceDE w:val="0"/>
        <w:autoSpaceDN w:val="0"/>
        <w:adjustRightInd w:val="0"/>
        <w:jc w:val="both"/>
        <w:rPr>
          <w:color w:val="000000" w:themeColor="text1"/>
          <w:sz w:val="16"/>
          <w:szCs w:val="16"/>
        </w:rPr>
      </w:pPr>
    </w:p>
    <w:p w14:paraId="4AC2DF7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8303 О возвращении имущества научно-исследовательского института почвоведения Украинской академии наук, вывезенного немцами в г. Быдгощь [Быдгощ] (Бромберг). (7331, 177).</w:t>
      </w:r>
    </w:p>
    <w:p w14:paraId="3103499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62C22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8304 О вывозе оборудования с заводов электротехнической промышленности, находящихся в г. Вена. РГАНИР, Фонд ГКО, д. 406, лл. 1-4 (11012).</w:t>
      </w:r>
    </w:p>
    <w:p w14:paraId="46340B6C" w14:textId="77777777" w:rsidR="00665165" w:rsidRPr="00925F26" w:rsidRDefault="00665165" w:rsidP="00925F26">
      <w:pPr>
        <w:autoSpaceDE w:val="0"/>
        <w:autoSpaceDN w:val="0"/>
        <w:adjustRightInd w:val="0"/>
        <w:jc w:val="both"/>
        <w:rPr>
          <w:color w:val="000000" w:themeColor="text1"/>
          <w:sz w:val="16"/>
          <w:szCs w:val="16"/>
        </w:rPr>
      </w:pPr>
    </w:p>
    <w:p w14:paraId="55A70B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8305 О вывозе оборудования с немецких цементных заводов и завода огнеупоров в г. г. Оппельн, Гросс-Стрелиц и Глейвиц (Германия, Силезия) на заводы Наркомстройматериалов и Нармомцветмета СССР. РГАНИР, Фонд ГКО, д. 406, лл. 5-7, 8 (11012).</w:t>
      </w:r>
    </w:p>
    <w:p w14:paraId="04692D04" w14:textId="77777777" w:rsidR="00665165" w:rsidRPr="00925F26" w:rsidRDefault="00665165" w:rsidP="00925F26">
      <w:pPr>
        <w:autoSpaceDE w:val="0"/>
        <w:autoSpaceDN w:val="0"/>
        <w:adjustRightInd w:val="0"/>
        <w:jc w:val="both"/>
        <w:rPr>
          <w:color w:val="000000" w:themeColor="text1"/>
          <w:sz w:val="16"/>
          <w:szCs w:val="16"/>
        </w:rPr>
      </w:pPr>
    </w:p>
    <w:p w14:paraId="51F0B4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8306 О вывозе металла, труб и троса с предприятий Венгрии на Московскую базу № 4088 ГУГМР. РГАНИР, Фонд ГКО, д. 406, лл. 9-10 (11012).</w:t>
      </w:r>
    </w:p>
    <w:p w14:paraId="1A39B4B1" w14:textId="77777777" w:rsidR="00665165" w:rsidRPr="00925F26" w:rsidRDefault="00665165" w:rsidP="00925F26">
      <w:pPr>
        <w:autoSpaceDE w:val="0"/>
        <w:autoSpaceDN w:val="0"/>
        <w:adjustRightInd w:val="0"/>
        <w:jc w:val="both"/>
        <w:rPr>
          <w:color w:val="000000" w:themeColor="text1"/>
          <w:sz w:val="16"/>
          <w:szCs w:val="16"/>
        </w:rPr>
      </w:pPr>
    </w:p>
    <w:p w14:paraId="32D5B8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8307 О вывозе 5750 тонн проката черных металлов из г. Данциг на базу Наркомчермета. РГАНИР, Фонд ГКО, д. 406, лл. 11 (11012).</w:t>
      </w:r>
    </w:p>
    <w:p w14:paraId="4C039F92" w14:textId="77777777" w:rsidR="00665165" w:rsidRPr="00925F26" w:rsidRDefault="00665165" w:rsidP="00925F26">
      <w:pPr>
        <w:autoSpaceDE w:val="0"/>
        <w:autoSpaceDN w:val="0"/>
        <w:adjustRightInd w:val="0"/>
        <w:jc w:val="both"/>
        <w:rPr>
          <w:color w:val="000000" w:themeColor="text1"/>
          <w:sz w:val="16"/>
          <w:szCs w:val="16"/>
        </w:rPr>
      </w:pPr>
    </w:p>
    <w:p w14:paraId="420D88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8308 О вывозе трофейных цветных металлов. РГАНИР, Фонд ГКО, д. 406, лл. 12 (11012).</w:t>
      </w:r>
    </w:p>
    <w:p w14:paraId="1C43BFA9" w14:textId="77777777" w:rsidR="00665165" w:rsidRPr="00925F26" w:rsidRDefault="00665165" w:rsidP="00925F26">
      <w:pPr>
        <w:autoSpaceDE w:val="0"/>
        <w:autoSpaceDN w:val="0"/>
        <w:adjustRightInd w:val="0"/>
        <w:jc w:val="both"/>
        <w:rPr>
          <w:color w:val="000000" w:themeColor="text1"/>
          <w:sz w:val="16"/>
          <w:szCs w:val="16"/>
        </w:rPr>
      </w:pPr>
    </w:p>
    <w:p w14:paraId="6E1C7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8309 О вывозе сельскохозяйственных машин и инвентаря с трофейных складов Земландской группы войск. РГАНИР, Фонд ГКО, д. 406, лл. 13, 14-16 (11012).</w:t>
      </w:r>
    </w:p>
    <w:p w14:paraId="5574E665" w14:textId="77777777" w:rsidR="00665165" w:rsidRPr="00925F26" w:rsidRDefault="00665165" w:rsidP="00925F26">
      <w:pPr>
        <w:autoSpaceDE w:val="0"/>
        <w:autoSpaceDN w:val="0"/>
        <w:adjustRightInd w:val="0"/>
        <w:jc w:val="both"/>
        <w:rPr>
          <w:color w:val="000000" w:themeColor="text1"/>
          <w:sz w:val="16"/>
          <w:szCs w:val="16"/>
        </w:rPr>
      </w:pPr>
    </w:p>
    <w:p w14:paraId="00B796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8310 О вывозе трофейных сельскохозяйственных машин и имущества со складов 3-го Белорусского фронта. РГАНИР, Фонд ГКО, д. 406, лл. 17, 18 (11012).</w:t>
      </w:r>
    </w:p>
    <w:p w14:paraId="1E277F9D" w14:textId="77777777" w:rsidR="00665165" w:rsidRPr="00925F26" w:rsidRDefault="00665165" w:rsidP="00925F26">
      <w:pPr>
        <w:autoSpaceDE w:val="0"/>
        <w:autoSpaceDN w:val="0"/>
        <w:adjustRightInd w:val="0"/>
        <w:jc w:val="both"/>
        <w:rPr>
          <w:color w:val="000000" w:themeColor="text1"/>
          <w:sz w:val="16"/>
          <w:szCs w:val="16"/>
        </w:rPr>
      </w:pPr>
    </w:p>
    <w:p w14:paraId="6C576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8311 О вывозе оборудования немецких кирпично-черепичных заводов из Восточной Пруссии. РГАНИР, Фонд ГКО, д. 406, лл. 19-22 (11012).</w:t>
      </w:r>
    </w:p>
    <w:p w14:paraId="6F913D6A" w14:textId="77777777" w:rsidR="00665165" w:rsidRPr="00925F26" w:rsidRDefault="00665165" w:rsidP="00925F26">
      <w:pPr>
        <w:autoSpaceDE w:val="0"/>
        <w:autoSpaceDN w:val="0"/>
        <w:adjustRightInd w:val="0"/>
        <w:jc w:val="both"/>
        <w:rPr>
          <w:color w:val="000000" w:themeColor="text1"/>
          <w:sz w:val="16"/>
          <w:szCs w:val="16"/>
        </w:rPr>
      </w:pPr>
    </w:p>
    <w:p w14:paraId="31EE03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8312 О вывозе оборудования с немецкого машиностроительного и вагоностроительного заводов в г. Яуэр и Остероде на предприятия НКПС. РГАНИР, Фонд ГКО, д. 406, лл. 23-24 (11012).</w:t>
      </w:r>
    </w:p>
    <w:p w14:paraId="12FC659C" w14:textId="77777777" w:rsidR="00665165" w:rsidRPr="00925F26" w:rsidRDefault="00665165" w:rsidP="00925F26">
      <w:pPr>
        <w:autoSpaceDE w:val="0"/>
        <w:autoSpaceDN w:val="0"/>
        <w:adjustRightInd w:val="0"/>
        <w:jc w:val="both"/>
        <w:rPr>
          <w:color w:val="000000" w:themeColor="text1"/>
          <w:sz w:val="16"/>
          <w:szCs w:val="16"/>
        </w:rPr>
      </w:pPr>
    </w:p>
    <w:p w14:paraId="77D2D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8314 О вывозе оборудования с немецких заводов "Рудольф Гаар" в г. Вена и "Фишер и Шнабель" в г. Зоммерфельдых машин, тракторов и сельхозинвентаря на предприятия и базы Наркомзема СССР. РГАНИР, Фонд ГКО, д. 406, лл. 27-28 (11012).</w:t>
      </w:r>
    </w:p>
    <w:p w14:paraId="6E4658ED" w14:textId="77777777" w:rsidR="00665165" w:rsidRPr="00925F26" w:rsidRDefault="00665165" w:rsidP="00925F26">
      <w:pPr>
        <w:autoSpaceDE w:val="0"/>
        <w:autoSpaceDN w:val="0"/>
        <w:adjustRightInd w:val="0"/>
        <w:jc w:val="both"/>
        <w:rPr>
          <w:color w:val="000000" w:themeColor="text1"/>
          <w:sz w:val="16"/>
          <w:szCs w:val="16"/>
        </w:rPr>
      </w:pPr>
    </w:p>
    <w:p w14:paraId="1BCE80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8315 О вывозе немецких машин, оборудования и материалов с 1-го, 2-го и 3-го Белорусских фронтов. РГАНИР, Фонд ГКО, д. 406, лл. 29-30, 31-32 (11012).</w:t>
      </w:r>
    </w:p>
    <w:p w14:paraId="5C24607A" w14:textId="77777777" w:rsidR="00665165" w:rsidRPr="00925F26" w:rsidRDefault="00665165" w:rsidP="00925F26">
      <w:pPr>
        <w:autoSpaceDE w:val="0"/>
        <w:autoSpaceDN w:val="0"/>
        <w:adjustRightInd w:val="0"/>
        <w:jc w:val="both"/>
        <w:rPr>
          <w:color w:val="000000" w:themeColor="text1"/>
          <w:sz w:val="16"/>
          <w:szCs w:val="16"/>
        </w:rPr>
      </w:pPr>
    </w:p>
    <w:p w14:paraId="7A9608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8316 О вывозе дорожных машин и строительных материалов с трофейных складов в районах г. г. Лигниц, Бриг, Беутен, Мальч. РГАНИР, Фонд ГКО, д. 406, лл. 33, 34-35 (11012).</w:t>
      </w:r>
    </w:p>
    <w:p w14:paraId="68C0C659" w14:textId="77777777" w:rsidR="00665165" w:rsidRPr="00925F26" w:rsidRDefault="00665165" w:rsidP="00925F26">
      <w:pPr>
        <w:autoSpaceDE w:val="0"/>
        <w:autoSpaceDN w:val="0"/>
        <w:adjustRightInd w:val="0"/>
        <w:jc w:val="both"/>
        <w:rPr>
          <w:color w:val="000000" w:themeColor="text1"/>
          <w:sz w:val="16"/>
          <w:szCs w:val="16"/>
        </w:rPr>
      </w:pPr>
    </w:p>
    <w:p w14:paraId="468631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8317 О вывозе оборудования немецких сульфитно-спиртовых заводов в г. г. Мальч, Оберлешен, Козель на предприятия Главлесоспирт при СНК СССР. РГАНИР, Фонд ГКО, д. 406, лл. 36-37 (11012).</w:t>
      </w:r>
    </w:p>
    <w:p w14:paraId="2525EE4B" w14:textId="77777777" w:rsidR="00665165" w:rsidRPr="00925F26" w:rsidRDefault="00665165" w:rsidP="00925F26">
      <w:pPr>
        <w:autoSpaceDE w:val="0"/>
        <w:autoSpaceDN w:val="0"/>
        <w:adjustRightInd w:val="0"/>
        <w:jc w:val="both"/>
        <w:rPr>
          <w:color w:val="000000" w:themeColor="text1"/>
          <w:sz w:val="16"/>
          <w:szCs w:val="16"/>
        </w:rPr>
      </w:pPr>
    </w:p>
    <w:p w14:paraId="3B337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8318 О вывозе оборудования и материалов с немецких обувных, шорно-седельной и прядильно-ткацкой фабрик и кожевенного завода в г. г. Фридеберг, Диршау, Ландсберг, Бартенштейн и Бранденбург на заводы Наркомлегпрома СССР. РГАНИР, Фонд ГКО, д. 406, лл. 38-39 (11012).</w:t>
      </w:r>
    </w:p>
    <w:p w14:paraId="3F8B06C6" w14:textId="77777777" w:rsidR="00665165" w:rsidRPr="00925F26" w:rsidRDefault="00665165" w:rsidP="00925F26">
      <w:pPr>
        <w:autoSpaceDE w:val="0"/>
        <w:autoSpaceDN w:val="0"/>
        <w:adjustRightInd w:val="0"/>
        <w:jc w:val="both"/>
        <w:rPr>
          <w:color w:val="000000" w:themeColor="text1"/>
          <w:sz w:val="16"/>
          <w:szCs w:val="16"/>
        </w:rPr>
      </w:pPr>
    </w:p>
    <w:p w14:paraId="538FB1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8319 О вывозе оборудования с немецких керамических заводов спецстекла и гравийно-песчаных карьеров на заводы Наркомстройматериалов СССР. РГАНИР, Фонд ГКО, д. 406, лл. 41-42, 43 (11012).</w:t>
      </w:r>
    </w:p>
    <w:p w14:paraId="4AA5A19A" w14:textId="77777777" w:rsidR="00665165" w:rsidRPr="00925F26" w:rsidRDefault="00665165" w:rsidP="00925F26">
      <w:pPr>
        <w:autoSpaceDE w:val="0"/>
        <w:autoSpaceDN w:val="0"/>
        <w:adjustRightInd w:val="0"/>
        <w:jc w:val="both"/>
        <w:rPr>
          <w:color w:val="000000" w:themeColor="text1"/>
          <w:sz w:val="16"/>
          <w:szCs w:val="16"/>
        </w:rPr>
      </w:pPr>
    </w:p>
    <w:p w14:paraId="4F3562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8320 О вывозе трофейного оборудования связи с территории Германии и Австрии. РГАНИР, Фонд ГКО, д. 406, лл. 44-45 (11012).</w:t>
      </w:r>
    </w:p>
    <w:p w14:paraId="4E0C812D" w14:textId="77777777" w:rsidR="00665165" w:rsidRPr="00925F26" w:rsidRDefault="00665165" w:rsidP="00925F26">
      <w:pPr>
        <w:autoSpaceDE w:val="0"/>
        <w:autoSpaceDN w:val="0"/>
        <w:adjustRightInd w:val="0"/>
        <w:jc w:val="both"/>
        <w:rPr>
          <w:color w:val="000000" w:themeColor="text1"/>
          <w:sz w:val="16"/>
          <w:szCs w:val="16"/>
        </w:rPr>
      </w:pPr>
    </w:p>
    <w:p w14:paraId="50C475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8322 О вывозе оборудования с немецких заводов в городах Ламсдорф, Нейссе, Ратибор, Нейзальц, Рыбник и Бойрун на предприятия Наркомугля. РГАНИР, Фонд ГКО, д. 406, лл. 49-51 (11012).</w:t>
      </w:r>
    </w:p>
    <w:p w14:paraId="1BED42D2" w14:textId="77777777" w:rsidR="00665165" w:rsidRPr="00925F26" w:rsidRDefault="00665165" w:rsidP="00925F26">
      <w:pPr>
        <w:autoSpaceDE w:val="0"/>
        <w:autoSpaceDN w:val="0"/>
        <w:adjustRightInd w:val="0"/>
        <w:jc w:val="both"/>
        <w:rPr>
          <w:color w:val="000000" w:themeColor="text1"/>
          <w:sz w:val="16"/>
          <w:szCs w:val="16"/>
        </w:rPr>
      </w:pPr>
    </w:p>
    <w:p w14:paraId="782922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26 апреля 1945 вышло Постановление ГКО № 8323 О вывозе семян, сельскохозяйственных машин, двигателей и электрооборудования с трофейных складов 1-го, 2-го, 3-го Белорусских и 1-го Украинского фронтов. РГАНИР, Фонд ГКО, д. 406, лл. 52-54, 55-56 (11012).</w:t>
      </w:r>
    </w:p>
    <w:p w14:paraId="5D1C2790" w14:textId="77777777" w:rsidR="00665165" w:rsidRPr="00925F26" w:rsidRDefault="00665165" w:rsidP="00925F26">
      <w:pPr>
        <w:autoSpaceDE w:val="0"/>
        <w:autoSpaceDN w:val="0"/>
        <w:adjustRightInd w:val="0"/>
        <w:jc w:val="both"/>
        <w:rPr>
          <w:color w:val="000000" w:themeColor="text1"/>
          <w:sz w:val="16"/>
          <w:szCs w:val="16"/>
        </w:rPr>
      </w:pPr>
    </w:p>
    <w:p w14:paraId="1C26B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8324 О вывозе оборудования двух заводов резиновых технических изделий "Рекорд" немецкой фирмы "Герберт Миндельман" в г. Швибус на предприятия Наркомрезинпрома. РГАНИР, Фонд ГКО, д. 406, лл. 57-58 (11012).</w:t>
      </w:r>
    </w:p>
    <w:p w14:paraId="13F00F40" w14:textId="77777777" w:rsidR="00665165" w:rsidRPr="00925F26" w:rsidRDefault="00665165" w:rsidP="00925F26">
      <w:pPr>
        <w:autoSpaceDE w:val="0"/>
        <w:autoSpaceDN w:val="0"/>
        <w:adjustRightInd w:val="0"/>
        <w:jc w:val="both"/>
        <w:rPr>
          <w:color w:val="000000" w:themeColor="text1"/>
          <w:sz w:val="16"/>
          <w:szCs w:val="16"/>
        </w:rPr>
      </w:pPr>
    </w:p>
    <w:p w14:paraId="7B85CF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8325 О вывозе оборудования завода резиновых технических изделий фирмы "Семперит" из г. Энгерау (Австрия). РГАНИР, Фонд ГКО, д. 406, лл. 59-60 (11012).</w:t>
      </w:r>
    </w:p>
    <w:p w14:paraId="576CFBFB" w14:textId="77777777" w:rsidR="00665165" w:rsidRPr="00925F26" w:rsidRDefault="00665165" w:rsidP="00925F26">
      <w:pPr>
        <w:autoSpaceDE w:val="0"/>
        <w:autoSpaceDN w:val="0"/>
        <w:adjustRightInd w:val="0"/>
        <w:jc w:val="both"/>
        <w:rPr>
          <w:color w:val="000000" w:themeColor="text1"/>
          <w:sz w:val="16"/>
          <w:szCs w:val="16"/>
        </w:rPr>
      </w:pPr>
    </w:p>
    <w:p w14:paraId="0B0BA0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8326 О вывозе оборудования с немецких лесопильных и деревообрабатывающих предприятий. РГАНИР, Фонд ГКО, д. 406, лл. 61-62, 63-81 (11012).</w:t>
      </w:r>
    </w:p>
    <w:p w14:paraId="58128FAE" w14:textId="77777777" w:rsidR="00665165" w:rsidRPr="00925F26" w:rsidRDefault="00665165" w:rsidP="00925F26">
      <w:pPr>
        <w:autoSpaceDE w:val="0"/>
        <w:autoSpaceDN w:val="0"/>
        <w:adjustRightInd w:val="0"/>
        <w:jc w:val="both"/>
        <w:rPr>
          <w:color w:val="000000" w:themeColor="text1"/>
          <w:sz w:val="16"/>
          <w:szCs w:val="16"/>
        </w:rPr>
      </w:pPr>
    </w:p>
    <w:p w14:paraId="5B1EE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вышло Постановление ГКО № 8327 О вывозе оборудования с немецких текстильных предприятий в г. г. Руммельбург, Шипенбайль и Буда. РГАНИР, Фонд ГКО, д. 406, лл. 82-83 (11012).</w:t>
      </w:r>
    </w:p>
    <w:p w14:paraId="4B665A4F" w14:textId="77777777" w:rsidR="00665165" w:rsidRPr="00925F26" w:rsidRDefault="00665165" w:rsidP="00925F26">
      <w:pPr>
        <w:autoSpaceDE w:val="0"/>
        <w:autoSpaceDN w:val="0"/>
        <w:adjustRightInd w:val="0"/>
        <w:jc w:val="both"/>
        <w:rPr>
          <w:color w:val="000000" w:themeColor="text1"/>
          <w:sz w:val="16"/>
          <w:szCs w:val="16"/>
        </w:rPr>
      </w:pPr>
    </w:p>
    <w:p w14:paraId="30A35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На Петрозаводе завершен ремонт эскадренных тральщиков "Владимир Полухин" и "Василий Громов" (10671).</w:t>
      </w:r>
    </w:p>
    <w:p w14:paraId="04C933AC" w14:textId="77777777" w:rsidR="00665165" w:rsidRPr="00925F26" w:rsidRDefault="00665165" w:rsidP="00925F26">
      <w:pPr>
        <w:autoSpaceDE w:val="0"/>
        <w:autoSpaceDN w:val="0"/>
        <w:adjustRightInd w:val="0"/>
        <w:jc w:val="both"/>
        <w:rPr>
          <w:color w:val="000000" w:themeColor="text1"/>
          <w:sz w:val="16"/>
          <w:szCs w:val="16"/>
        </w:rPr>
      </w:pPr>
    </w:p>
    <w:p w14:paraId="35D0131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A794FBF" w14:textId="77777777" w:rsidR="00665165" w:rsidRPr="00925F26" w:rsidRDefault="00665165" w:rsidP="00925F26">
      <w:pPr>
        <w:autoSpaceDE w:val="0"/>
        <w:autoSpaceDN w:val="0"/>
        <w:adjustRightInd w:val="0"/>
        <w:jc w:val="both"/>
        <w:rPr>
          <w:iCs/>
          <w:color w:val="000000" w:themeColor="text1"/>
          <w:sz w:val="16"/>
          <w:szCs w:val="16"/>
        </w:rPr>
      </w:pPr>
    </w:p>
    <w:p w14:paraId="6AF5058F" w14:textId="77777777" w:rsidR="00C55BB4" w:rsidRPr="00925F26" w:rsidRDefault="00C55BB4" w:rsidP="00925F26">
      <w:pPr>
        <w:jc w:val="both"/>
        <w:rPr>
          <w:color w:val="000000" w:themeColor="text1"/>
          <w:sz w:val="16"/>
          <w:szCs w:val="16"/>
        </w:rPr>
      </w:pPr>
      <w:r w:rsidRPr="00925F26">
        <w:rPr>
          <w:color w:val="000000" w:themeColor="text1"/>
          <w:sz w:val="16"/>
          <w:szCs w:val="16"/>
        </w:rPr>
        <w:t>26 апреля в 1945 году оперативная сводка Совинформбюро:</w:t>
      </w:r>
    </w:p>
    <w:p w14:paraId="54E34179" w14:textId="77777777" w:rsidR="00C55BB4" w:rsidRPr="00925F26" w:rsidRDefault="00C55BB4" w:rsidP="00925F26">
      <w:pPr>
        <w:jc w:val="both"/>
        <w:rPr>
          <w:color w:val="000000" w:themeColor="text1"/>
          <w:sz w:val="16"/>
          <w:szCs w:val="16"/>
        </w:rPr>
      </w:pPr>
      <w:r w:rsidRPr="00925F26">
        <w:rPr>
          <w:color w:val="000000" w:themeColor="text1"/>
          <w:sz w:val="16"/>
          <w:szCs w:val="16"/>
        </w:rPr>
        <w:t>«В течение 26 апреля юго-западнее города Пиллау войска 3-го Белорусского фронта форсировали канал, соединяющий Балтийское море с заливом Фриш-Гаф, и развивали наступление по косе Фриш-Нерунг.</w:t>
      </w:r>
    </w:p>
    <w:p w14:paraId="2D53A8FB"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2-го Белорусского фронта форсировали восточный и западный Одер южнее Штеттина, прорвали сильно укреплённую оборону немцев на западном берегу Одера и продвинулись вперёд на 30 километров. В ходе боёв войска фронта овладели главным городом Померании и крупным морским портом Штеттин, а также заняли города Гартц, Пенкун, Назеков, Шведт. крупные населённые пункты Штевен, Швенненц, Глазов, Багемюль, Фридефельд, Грюнц, Вартин, Блюмберг, Штенделль, Фирраден и форсировали канал Рандов.</w:t>
      </w:r>
    </w:p>
    <w:p w14:paraId="7D867FD8"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1-го Белорусского фронта продолжали вести упорные уличные бои в Берлине и овладели городскими районами Гартенштадт, Сименсштадт и в восточной части города заняли Герлицкий вокзал. Северо-восточнее Берлина войска фронта заняли крупные населённые пункты Финов, Финовфурт, Мариенвердер. Западнее и юго-западнее Франнфурта-на-Одере войска фронта с боями заняли города Кенигс-Вустерхаузен, Нойе-Мюле, Шторков, Беесков, Либерозе и крупные населённые пункты Зенциг, Гуссов, Гросс-Шауэн, Дамсдорф, Херцберг, Герс-Дорф, Штреммен, Требач, Митвейде, Гросс-Лейтен, МохоВ. В боях за 25 апреля войска фронта взяли в плен более 2.000 немецких солдат и офицеров и захватили следующие трофеи: самолётов — 70, танков и самоходных орудий — 30, полевых орудий — 248, автомашин —1.467, паровозов — 53, железнодорожных вагонов — 3.404.</w:t>
      </w:r>
    </w:p>
    <w:p w14:paraId="2BE3796E"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1-го Украинского фронта продолжали вести уличные бои в юго-западной части Берлина и заняли городской район Далем. На западном берегу реки Эльбы войска фронта заняли города Торгау и Стрела. В районе Бауцена войска фронта продолжали отбивать контратаки крупных сил пехоты и танков противника. В боях за 25 апреля войска фронта взяли в плен 1.500 немецких солдат и офицеров и захватили 238 танков и самоходных орудий и 236 полевых орудий.</w:t>
      </w:r>
    </w:p>
    <w:p w14:paraId="50B64375" w14:textId="77777777" w:rsidR="00C55BB4" w:rsidRPr="00925F26" w:rsidRDefault="00C55BB4" w:rsidP="00925F26">
      <w:pPr>
        <w:jc w:val="both"/>
        <w:rPr>
          <w:color w:val="000000" w:themeColor="text1"/>
          <w:sz w:val="16"/>
          <w:szCs w:val="16"/>
        </w:rPr>
      </w:pPr>
      <w:r w:rsidRPr="00925F26">
        <w:rPr>
          <w:color w:val="000000" w:themeColor="text1"/>
          <w:sz w:val="16"/>
          <w:szCs w:val="16"/>
        </w:rPr>
        <w:t>В Бреслау наши войска вели уличные бои в западной части города, где заняли 26 кварталов, несколько заводских районов и большую часть арсенала, в котором захватили 110 орудий.</w:t>
      </w:r>
    </w:p>
    <w:p w14:paraId="7B46B8D1"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26 апреля в результате умелого обходного манёвра и атаки с фронта овладели крупным промышленным центром Чехословакии городом Брно (Брюн) — важным узлом дорог и мощным опорным пунктом обороны немцев, а также с боями заняли на территории Чехословакии более 30 населённых пунктов, в том числе Велешовице, Езера, Мокра, Маломержице, Обржаны, Когоутовице, Жебетин.</w:t>
      </w:r>
    </w:p>
    <w:p w14:paraId="632D178B" w14:textId="77777777" w:rsidR="00C55BB4" w:rsidRPr="00925F26" w:rsidRDefault="00C55BB4"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53ED25CF" w14:textId="77777777" w:rsidR="00C55BB4" w:rsidRPr="00925F26" w:rsidRDefault="00C55BB4" w:rsidP="00925F26">
      <w:pPr>
        <w:jc w:val="both"/>
        <w:rPr>
          <w:color w:val="000000" w:themeColor="text1"/>
          <w:sz w:val="16"/>
          <w:szCs w:val="16"/>
        </w:rPr>
      </w:pPr>
      <w:r w:rsidRPr="00925F26">
        <w:rPr>
          <w:color w:val="000000" w:themeColor="text1"/>
          <w:sz w:val="16"/>
          <w:szCs w:val="16"/>
        </w:rPr>
        <w:t>За 25 апреля на всех фронтах подбито и уничтожено 125 немецких танков и самоходных орудий. В воздушных боях и огнем зенитной артиллерии сбито 82 самолёта противника.</w:t>
      </w:r>
    </w:p>
    <w:p w14:paraId="4BD048C5"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2-го Белорусского фронта, расположенные на восточном берегу реки Одер, южнее Штеттина, перешли в наступление. Советским бойцам предстояла труднейшая задача — форсировать восточный и западный Одер и находящуюся между ними заболоченную пойму шириною от 2 до 4 километров. При поддержке авиации и артиллерии наши подразделения, прикрываясь дымовой завесой, переправились на паромах и лодках через восточный Одер. Сапёры быстро навели переправы и проложили настильные дороги через болота. Затем советские пехотинцы форсировали западный Одер и завязали бои за расширение плацдарма на его левом берегу. Немцы, опираясь на мощные оборонительные укрепления, оказывали упорное сопротивление. Они много раз переходили в контратаки, пытаясь любой ценой отбросить наши войска. Вражеские лётчики сбросили в Одер сотни плавучих мин, стараясь взорвать наведённые мосты. Вылавливая немецкие мины или расстреливая их в воде, советские сапёры предотвратили эту угрозу. Группы немецких диверсантов в водолазных костюмах пытались подобраться к мостам и взорвать их. Гитлеровские лазутчики были своевременно обнаружены и обезврежены. Сосредоточив на западном берегу Одера крупные силы, наши войска перешли в наступление и прорвали сильно укреплённую оборону немцев. Противник спешно перебросил в район боёв свежие резервы, но не смог сдержать стремительного натиска советских частей. Развивая успех, сегодня войска фронта овладели главным городом Померании — Штеттин. В ходе боёв только на подступах к городу уничтожено более 3 тысяч немецких солдат и офицеров.</w:t>
      </w:r>
    </w:p>
    <w:p w14:paraId="10848DDA" w14:textId="77777777" w:rsidR="00C55BB4" w:rsidRPr="00925F26" w:rsidRDefault="00C55BB4" w:rsidP="00925F26">
      <w:pPr>
        <w:jc w:val="both"/>
        <w:rPr>
          <w:color w:val="000000" w:themeColor="text1"/>
          <w:sz w:val="16"/>
          <w:szCs w:val="16"/>
        </w:rPr>
      </w:pPr>
      <w:r w:rsidRPr="00925F26">
        <w:rPr>
          <w:color w:val="000000" w:themeColor="text1"/>
          <w:sz w:val="16"/>
          <w:szCs w:val="16"/>
        </w:rPr>
        <w:t>Штеттин — третий по значению морской порт Германии и крупный промышленный центр. В нём имеются большие судостроительные верфи, автомобильные, металлургические и машиностроительные заводы.</w:t>
      </w:r>
    </w:p>
    <w:p w14:paraId="4842A755"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1-го Белорусского фронта продолжали успешное наступление. В северных районах Берлина советские пехотинцы и танкисты очистили от гитлеровцев Тегельский лес, заняли военные казармы и на широком фронте вышли на северный берег канала Берлин — Шпандауер Шиффартс. Мощными ударами советские артиллеристы и лётчики подавили немецкие батареи, установленные в Фолькс парке на южном берегу канала. Под прикрытием артиллерийского огня наши войска переправились через канал и завязали бои в заводском районе Сименсштадт. Немцы, засевшие в полуразрушенных зданиях заводов Сименса, оказывали отчаянное сопротивление. Наши штурмовые группы заняли завод распределительных устройств, завод динамомашин и ряд других предприятий. К исходу дня советские части овладели районом Сименсштадт и вышли к реке Шпрее. В восточной части Берлина войска фронта, расширяя плацдарм за рекой Шпрее, сломили упорное сопротивление противника и овладели Герлицким вокзалом и товарной станцией.</w:t>
      </w:r>
    </w:p>
    <w:p w14:paraId="401A3821" w14:textId="77777777" w:rsidR="00C55BB4" w:rsidRPr="00925F26" w:rsidRDefault="00C55BB4" w:rsidP="00925F26">
      <w:pPr>
        <w:jc w:val="both"/>
        <w:rPr>
          <w:color w:val="000000" w:themeColor="text1"/>
          <w:sz w:val="16"/>
          <w:szCs w:val="16"/>
        </w:rPr>
      </w:pPr>
      <w:r w:rsidRPr="00925F26">
        <w:rPr>
          <w:color w:val="000000" w:themeColor="text1"/>
          <w:sz w:val="16"/>
          <w:szCs w:val="16"/>
        </w:rPr>
        <w:t>Наша авиация наносила удары по войскам и военным объектам противника. В воздушных боях за день и огнём зенитной артиллерии сбито 29 немецких самолётов.</w:t>
      </w:r>
    </w:p>
    <w:p w14:paraId="48E81212"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1-го Украинского фронта вели уличные бои в юго-западной части Берлина. Наша пехота днём и ночью штурмует кварталы города, выбивая немцев из укрытий. Пехотинцев активно поддерживают артиллерия и танки, подавляя огневые точки и разрушая узлы вражеского сопротивления. Советские части ворвались на улицы городского района Далем и после упорного боя овладели территорией Ботанического сада, шестью станциями метрополитена и казармами артиллерийского полка. К исходу дня район Далем был полностью очищен от войск противника. На одном участке немцы предприняли контратаку, но, потеряв сотни солдат и офицеров убитыми, поспешно отступили.</w:t>
      </w:r>
    </w:p>
    <w:p w14:paraId="0A0A0C57" w14:textId="77777777" w:rsidR="00C55BB4" w:rsidRPr="00925F26" w:rsidRDefault="00C55BB4" w:rsidP="00925F26">
      <w:pPr>
        <w:jc w:val="both"/>
        <w:rPr>
          <w:color w:val="000000" w:themeColor="text1"/>
          <w:sz w:val="16"/>
          <w:szCs w:val="16"/>
        </w:rPr>
      </w:pPr>
      <w:r w:rsidRPr="00925F26">
        <w:rPr>
          <w:color w:val="000000" w:themeColor="text1"/>
          <w:sz w:val="16"/>
          <w:szCs w:val="16"/>
        </w:rPr>
        <w:t>Советские лётчики в воздушных боях сбили 22 немецких истребителя.</w:t>
      </w:r>
    </w:p>
    <w:p w14:paraId="3E882A3D" w14:textId="77777777" w:rsidR="00C55BB4" w:rsidRPr="00925F26" w:rsidRDefault="00C55BB4"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Советские части прорвали долговременную оборону немцев и ворвались на восточные окраины города Брно. Тем временем другие наши части, обходя Брно с запада, отрезали вражескому гарнизону все пути отхода и ворвались в город с северо-запада. Завязались ожесточённые уличные бои. Советские штурмовые группы, усиленные орудиями и танками, настойчиво продвигались вперёд, очищая от гитлеровцев квартал за кварталом. Противник безуспешно пытался с запада пробиться на помощь к своему гарнизону. После упорных боёв наши войска сегодня днём разгромили немецкий гарнизон и овладели Брно — вторым после Праги городом Чехословакии. Захвачены большие трофеи и много пленных.» (15111).</w:t>
      </w:r>
    </w:p>
    <w:p w14:paraId="08C94EB0" w14:textId="77777777" w:rsidR="00C55BB4" w:rsidRPr="00925F26" w:rsidRDefault="00C55BB4" w:rsidP="00925F26">
      <w:pPr>
        <w:jc w:val="both"/>
        <w:rPr>
          <w:color w:val="000000" w:themeColor="text1"/>
          <w:sz w:val="16"/>
          <w:szCs w:val="16"/>
        </w:rPr>
      </w:pPr>
    </w:p>
    <w:p w14:paraId="2DDC7853"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26 апреля 1945 восемь Ил-2 в сопровождении четырех Як-1 атаковала противника, двигавшегося по дороге от Барут на Хальме. Самолеты шли на цель в боевом порядке «кильватер четверок». Вылет начался после тщательного предполетного инструктажа в 15.10. Через двадцать семь минут полета штурмовики вышли на цель и с высоты 100–300 метров нанесли бомбово-штурмовой удар по автоколонне из 70 единиц, двигавшейся по проселочной дороге в лесу. Атака производилась с востока на запад с последующим левым разворотом. Бомбы сбрасывались серийным способом с трех заходов с высоты 300 метров с одновременным ведением огня из пушек и пуском реактивных снарядов.</w:t>
      </w:r>
    </w:p>
    <w:p w14:paraId="7E00DF71" w14:textId="1FE4516A" w:rsidR="00A278CB" w:rsidRPr="00925F26" w:rsidRDefault="00A278CB" w:rsidP="00925F26">
      <w:pPr>
        <w:pStyle w:val="ae"/>
        <w:spacing w:before="0" w:after="0"/>
        <w:jc w:val="both"/>
        <w:textAlignment w:val="baseline"/>
        <w:rPr>
          <w:iCs/>
          <w:color w:val="000000" w:themeColor="text1"/>
          <w:sz w:val="16"/>
          <w:szCs w:val="16"/>
          <w:bdr w:val="none" w:sz="0" w:space="0" w:color="auto" w:frame="1"/>
        </w:rPr>
      </w:pPr>
      <w:r w:rsidRPr="00925F26">
        <w:rPr>
          <w:iCs/>
          <w:color w:val="000000" w:themeColor="text1"/>
          <w:sz w:val="16"/>
          <w:szCs w:val="16"/>
          <w:bdr w:val="none" w:sz="0" w:space="0" w:color="auto" w:frame="1"/>
        </w:rPr>
        <w:t xml:space="preserve">«В результате 23-минутного воздействия на противника, по наблюдению экипажей штурмовиков и истребителей прикрытия, уничтожено и ранено до 30 солдат и </w:t>
      </w:r>
      <w:proofErr w:type="gramStart"/>
      <w:r w:rsidRPr="00925F26">
        <w:rPr>
          <w:iCs/>
          <w:color w:val="000000" w:themeColor="text1"/>
          <w:sz w:val="16"/>
          <w:szCs w:val="16"/>
          <w:bdr w:val="none" w:sz="0" w:space="0" w:color="auto" w:frame="1"/>
        </w:rPr>
        <w:t>офицеров,</w:t>
      </w:r>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w:t>
      </w:r>
      <w:proofErr w:type="gramEnd"/>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 xml:space="preserve">сообщалось в </w:t>
      </w:r>
      <w:proofErr w:type="gramStart"/>
      <w:r w:rsidRPr="00925F26">
        <w:rPr>
          <w:iCs/>
          <w:color w:val="000000" w:themeColor="text1"/>
          <w:sz w:val="16"/>
          <w:szCs w:val="16"/>
          <w:bdr w:val="none" w:sz="0" w:space="0" w:color="auto" w:frame="1"/>
        </w:rPr>
        <w:t>отчете</w:t>
      </w:r>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w:t>
      </w:r>
      <w:proofErr w:type="gramEnd"/>
      <w:r w:rsidR="00997EDF" w:rsidRPr="00925F26">
        <w:rPr>
          <w:iCs/>
          <w:color w:val="000000" w:themeColor="text1"/>
          <w:sz w:val="16"/>
          <w:szCs w:val="16"/>
          <w:bdr w:val="none" w:sz="0" w:space="0" w:color="auto" w:frame="1"/>
        </w:rPr>
        <w:t xml:space="preserve">  </w:t>
      </w:r>
      <w:r w:rsidRPr="00925F26">
        <w:rPr>
          <w:iCs/>
          <w:color w:val="000000" w:themeColor="text1"/>
          <w:sz w:val="16"/>
          <w:szCs w:val="16"/>
          <w:bdr w:val="none" w:sz="0" w:space="0" w:color="auto" w:frame="1"/>
        </w:rPr>
        <w:t>— Тем временем наши войска сумели организовать отражение врагу и его попытке прорваться» (19522).</w:t>
      </w:r>
    </w:p>
    <w:p w14:paraId="0288E359"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t>29 апреля 1945 немцы из района Беелиц пытались прорваться на восток для соединения с окруженными войсками. В атаке участвовало, по советским данным, 30–40 танков и бронетранспортеров. Штурмовики получили приказ поддержать оборонявшуюся в этом районе танковую бригаду 4-й гвардейской танковой армии.</w:t>
      </w:r>
    </w:p>
    <w:p w14:paraId="58867305" w14:textId="77777777" w:rsidR="00A278CB" w:rsidRPr="00925F26" w:rsidRDefault="00A278CB" w:rsidP="00925F26">
      <w:pPr>
        <w:pStyle w:val="ae"/>
        <w:spacing w:before="0" w:after="0"/>
        <w:jc w:val="both"/>
        <w:textAlignment w:val="baseline"/>
        <w:rPr>
          <w:color w:val="000000" w:themeColor="text1"/>
          <w:sz w:val="16"/>
          <w:szCs w:val="16"/>
        </w:rPr>
      </w:pPr>
      <w:r w:rsidRPr="00925F26">
        <w:rPr>
          <w:color w:val="000000" w:themeColor="text1"/>
          <w:sz w:val="16"/>
          <w:szCs w:val="16"/>
        </w:rPr>
        <w:lastRenderedPageBreak/>
        <w:t>Командир корпуса генерал Рязанов лично руководил действиями подопечных с крыши высокого здания на окраине Беелица.</w:t>
      </w:r>
    </w:p>
    <w:p w14:paraId="38F76EAC" w14:textId="77777777" w:rsidR="00A278CB" w:rsidRPr="00925F26" w:rsidRDefault="00A278CB" w:rsidP="00925F26">
      <w:pPr>
        <w:jc w:val="both"/>
        <w:rPr>
          <w:color w:val="000000" w:themeColor="text1"/>
          <w:sz w:val="16"/>
          <w:szCs w:val="16"/>
        </w:rPr>
      </w:pPr>
      <w:r w:rsidRPr="00925F26">
        <w:rPr>
          <w:color w:val="000000" w:themeColor="text1"/>
          <w:sz w:val="16"/>
          <w:szCs w:val="16"/>
        </w:rPr>
        <w:t>Несколько раз ему приходилось менять свое местоположение вследствие немецких контратак и артобстрелов. Штурмовики непрерывно наносили удары по переднему краю немецких войск, бомбы и ракеты взрывались в 500–1000 метрах от передовых позиций советских солдат. Упорные бои в этом районе продолжались и 30 апреля. Во второй половине дня немцы перешли в наступление с целью овладеть Беелицем. И снова вся надежда была на рязановские штурмовики. Решающий удар в период с 15.25 до 15.45 выполнили 16 Ил-2 из 155-го гв. шап во главе с его командиром подполковником Чернецовым. Группа сделала пять заходов на цель и наносила авиаудары до полного израсходования боеприпасов. Командир 1-го шак снова лично руководил действиями подчиненных со своего КП, отдавая приказы чуть ли не конкретным пилотам. В итоге противнику так и не удалось прорваться к окруженным (19522).</w:t>
      </w:r>
    </w:p>
    <w:p w14:paraId="075D7D87" w14:textId="77777777" w:rsidR="00A278CB" w:rsidRPr="00925F26" w:rsidRDefault="00A278CB" w:rsidP="00925F26">
      <w:pPr>
        <w:pStyle w:val="ae"/>
        <w:spacing w:before="0" w:after="0"/>
        <w:jc w:val="both"/>
        <w:textAlignment w:val="baseline"/>
        <w:rPr>
          <w:color w:val="000000" w:themeColor="text1"/>
          <w:sz w:val="16"/>
          <w:szCs w:val="16"/>
        </w:rPr>
      </w:pPr>
    </w:p>
    <w:p w14:paraId="28A54A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9 Ил-10 (ведущий комэск к-н Железняков) нанесла бомбоштурмовой удар по населенному пункту Шлейтинг, уничтожив до 30 повозок с грузами (7489).</w:t>
      </w:r>
    </w:p>
    <w:p w14:paraId="682CF13B" w14:textId="77777777" w:rsidR="00665165" w:rsidRPr="00925F26" w:rsidRDefault="00665165" w:rsidP="00925F26">
      <w:pPr>
        <w:autoSpaceDE w:val="0"/>
        <w:autoSpaceDN w:val="0"/>
        <w:adjustRightInd w:val="0"/>
        <w:jc w:val="both"/>
        <w:rPr>
          <w:color w:val="000000" w:themeColor="text1"/>
          <w:sz w:val="16"/>
          <w:szCs w:val="16"/>
        </w:rPr>
      </w:pPr>
    </w:p>
    <w:p w14:paraId="21D1471C" w14:textId="77777777" w:rsidR="009B2258" w:rsidRPr="00925F26" w:rsidRDefault="009B2258" w:rsidP="00925F26">
      <w:pPr>
        <w:jc w:val="both"/>
        <w:rPr>
          <w:color w:val="000000" w:themeColor="text1"/>
          <w:sz w:val="16"/>
          <w:szCs w:val="16"/>
        </w:rPr>
      </w:pPr>
      <w:r w:rsidRPr="00925F26">
        <w:rPr>
          <w:color w:val="000000" w:themeColor="text1"/>
          <w:sz w:val="16"/>
          <w:szCs w:val="16"/>
        </w:rPr>
        <w:t>26/27 апреля (ночь) 1945 563 бомбардировщиков ВВС советской 18 -й воздушной армии бомбят Берлин (20371).</w:t>
      </w:r>
    </w:p>
    <w:p w14:paraId="74A1B31E" w14:textId="77777777" w:rsidR="009B2258" w:rsidRPr="00925F26" w:rsidRDefault="009B2258" w:rsidP="00925F26">
      <w:pPr>
        <w:jc w:val="both"/>
        <w:rPr>
          <w:color w:val="000000" w:themeColor="text1"/>
          <w:sz w:val="16"/>
          <w:szCs w:val="16"/>
        </w:rPr>
      </w:pPr>
    </w:p>
    <w:p w14:paraId="1F2F501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апреля 1945 советские войска освободили от фашистов г. Брно (Чехословакия) (4962).</w:t>
      </w:r>
    </w:p>
    <w:p w14:paraId="7520F65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C9691D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апреля 1945 советские танки прорвались к центру Берлина (4962).</w:t>
      </w:r>
    </w:p>
    <w:p w14:paraId="0764B34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3F6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СА (2УФ - Р.Я.Малиновский) освободила Брно (2438,1130).</w:t>
      </w:r>
    </w:p>
    <w:p w14:paraId="44C0A16F" w14:textId="77777777" w:rsidR="00665165" w:rsidRPr="00925F26" w:rsidRDefault="00665165" w:rsidP="00925F26">
      <w:pPr>
        <w:autoSpaceDE w:val="0"/>
        <w:autoSpaceDN w:val="0"/>
        <w:adjustRightInd w:val="0"/>
        <w:jc w:val="both"/>
        <w:rPr>
          <w:color w:val="000000" w:themeColor="text1"/>
          <w:sz w:val="16"/>
          <w:szCs w:val="16"/>
        </w:rPr>
      </w:pPr>
    </w:p>
    <w:p w14:paraId="2CFDF20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April 26th, 1945: The British Second Army (Dempsey) enters Bremen. In the East, the Soviet 3rd Belorussian Front (Vassilevsky) captures the port of Pillau 20 miles W of Konigsberg, while the 2nd Belorussian Front (Rokossovsky) occupies Stettin at the mouth of the Oder. The remnants of </w:t>
      </w:r>
      <w:proofErr w:type="gramStart"/>
      <w:r w:rsidRPr="00925F26">
        <w:rPr>
          <w:color w:val="000000" w:themeColor="text1"/>
          <w:sz w:val="16"/>
          <w:szCs w:val="16"/>
          <w:lang w:val="en-US"/>
        </w:rPr>
        <w:t>9.Armee</w:t>
      </w:r>
      <w:proofErr w:type="gramEnd"/>
      <w:r w:rsidRPr="00925F26">
        <w:rPr>
          <w:color w:val="000000" w:themeColor="text1"/>
          <w:sz w:val="16"/>
          <w:szCs w:val="16"/>
          <w:lang w:val="en-US"/>
        </w:rPr>
        <w:t xml:space="preserve"> (Busse) are cut off and surrounded in the Halbe pocket 30 miles SW of Frankfurt (3819).</w:t>
      </w:r>
    </w:p>
    <w:p w14:paraId="253B7E38" w14:textId="77777777" w:rsidR="00665165" w:rsidRPr="00925F26" w:rsidRDefault="00665165" w:rsidP="00925F26">
      <w:pPr>
        <w:autoSpaceDE w:val="0"/>
        <w:autoSpaceDN w:val="0"/>
        <w:adjustRightInd w:val="0"/>
        <w:jc w:val="both"/>
        <w:rPr>
          <w:color w:val="000000" w:themeColor="text1"/>
          <w:sz w:val="16"/>
          <w:szCs w:val="16"/>
          <w:lang w:val="en-US"/>
        </w:rPr>
      </w:pPr>
    </w:p>
    <w:p w14:paraId="7665E53C" w14:textId="77777777" w:rsidR="00A278CB" w:rsidRPr="00925F26" w:rsidRDefault="00A278CB"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E182628" w14:textId="77777777" w:rsidR="00A278CB" w:rsidRPr="00925F26" w:rsidRDefault="00A278CB" w:rsidP="00925F26">
      <w:pPr>
        <w:autoSpaceDE w:val="0"/>
        <w:autoSpaceDN w:val="0"/>
        <w:adjustRightInd w:val="0"/>
        <w:jc w:val="both"/>
        <w:rPr>
          <w:iCs/>
          <w:color w:val="000000" w:themeColor="text1"/>
          <w:sz w:val="16"/>
          <w:szCs w:val="16"/>
        </w:rPr>
      </w:pPr>
    </w:p>
    <w:p w14:paraId="3F7CB402" w14:textId="77777777" w:rsidR="00A278CB" w:rsidRPr="00925F26" w:rsidRDefault="00A278CB" w:rsidP="00925F26">
      <w:pPr>
        <w:jc w:val="both"/>
        <w:rPr>
          <w:color w:val="000000" w:themeColor="text1"/>
          <w:sz w:val="16"/>
          <w:szCs w:val="16"/>
        </w:rPr>
      </w:pPr>
      <w:r w:rsidRPr="00925F26">
        <w:rPr>
          <w:color w:val="000000" w:themeColor="text1"/>
          <w:sz w:val="16"/>
          <w:szCs w:val="16"/>
        </w:rPr>
        <w:t>26 апреля 1945 г. Совнарком СССР постановил предоставить органам Государственной автомобильной инспекции Главного управления милиции НКВД СССР право изъятия автотранспортных средств в административном порядке в отношении тех автомобилей и мотоциклов, владельцы которых не могли документально подтвердить законность их приобретения (19647).</w:t>
      </w:r>
    </w:p>
    <w:p w14:paraId="2E1284A6" w14:textId="77777777" w:rsidR="00A278CB" w:rsidRPr="00925F26" w:rsidRDefault="00A278CB" w:rsidP="00925F26">
      <w:pPr>
        <w:jc w:val="both"/>
        <w:rPr>
          <w:color w:val="000000" w:themeColor="text1"/>
          <w:sz w:val="16"/>
          <w:szCs w:val="16"/>
        </w:rPr>
      </w:pPr>
    </w:p>
    <w:p w14:paraId="17779891" w14:textId="77777777" w:rsidR="00C55BB4"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224B85B" w14:textId="77777777" w:rsidR="00C55BB4" w:rsidRPr="00925F26" w:rsidRDefault="00C55BB4" w:rsidP="00925F26">
      <w:pPr>
        <w:autoSpaceDE w:val="0"/>
        <w:autoSpaceDN w:val="0"/>
        <w:adjustRightInd w:val="0"/>
        <w:jc w:val="both"/>
        <w:rPr>
          <w:iCs/>
          <w:color w:val="000000" w:themeColor="text1"/>
          <w:sz w:val="16"/>
          <w:szCs w:val="16"/>
        </w:rPr>
      </w:pPr>
    </w:p>
    <w:p w14:paraId="35C1786A" w14:textId="6B457F89" w:rsidR="00816E1B" w:rsidRPr="00925F26" w:rsidRDefault="00816E1B" w:rsidP="00925F26">
      <w:pPr>
        <w:jc w:val="both"/>
        <w:rPr>
          <w:color w:val="000000" w:themeColor="text1"/>
          <w:sz w:val="16"/>
          <w:szCs w:val="16"/>
        </w:rPr>
      </w:pPr>
      <w:r w:rsidRPr="00925F26">
        <w:rPr>
          <w:color w:val="000000" w:themeColor="text1"/>
          <w:sz w:val="16"/>
          <w:szCs w:val="16"/>
        </w:rPr>
        <w:t>26</w:t>
      </w:r>
      <w:r w:rsidR="00997EDF" w:rsidRPr="00925F26">
        <w:rPr>
          <w:color w:val="000000" w:themeColor="text1"/>
          <w:sz w:val="16"/>
          <w:szCs w:val="16"/>
        </w:rPr>
        <w:t xml:space="preserve">  </w:t>
      </w:r>
      <w:r w:rsidRPr="00925F26">
        <w:rPr>
          <w:color w:val="000000" w:themeColor="text1"/>
          <w:sz w:val="16"/>
          <w:szCs w:val="16"/>
        </w:rPr>
        <w:t xml:space="preserve">апреля </w:t>
      </w:r>
      <w:bookmarkStart w:id="19" w:name="YANDEX_5"/>
      <w:bookmarkEnd w:id="19"/>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 состоялась беседа президента США Г.</w:t>
      </w:r>
      <w:r w:rsidR="00997EDF" w:rsidRPr="00925F26">
        <w:rPr>
          <w:color w:val="000000" w:themeColor="text1"/>
          <w:sz w:val="16"/>
          <w:szCs w:val="16"/>
        </w:rPr>
        <w:t xml:space="preserve">  </w:t>
      </w:r>
      <w:r w:rsidRPr="00925F26">
        <w:rPr>
          <w:color w:val="000000" w:themeColor="text1"/>
          <w:sz w:val="16"/>
          <w:szCs w:val="16"/>
        </w:rPr>
        <w:t>Трумэна с</w:t>
      </w:r>
      <w:r w:rsidR="00997EDF" w:rsidRPr="00925F26">
        <w:rPr>
          <w:color w:val="000000" w:themeColor="text1"/>
          <w:sz w:val="16"/>
          <w:szCs w:val="16"/>
        </w:rPr>
        <w:t xml:space="preserve">  </w:t>
      </w:r>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М.</w:t>
      </w:r>
      <w:r w:rsidR="00997EDF" w:rsidRPr="00925F26">
        <w:rPr>
          <w:color w:val="000000" w:themeColor="text1"/>
          <w:sz w:val="16"/>
          <w:szCs w:val="16"/>
        </w:rPr>
        <w:t xml:space="preserve">  </w:t>
      </w:r>
      <w:r w:rsidRPr="00925F26">
        <w:rPr>
          <w:color w:val="000000" w:themeColor="text1"/>
          <w:sz w:val="16"/>
          <w:szCs w:val="16"/>
        </w:rPr>
        <w:t xml:space="preserve">Молотовым. Трумэн вел себя крайне некорректно по отношению </w:t>
      </w:r>
      <w:proofErr w:type="gramStart"/>
      <w:r w:rsidRPr="00925F26">
        <w:rPr>
          <w:color w:val="000000" w:themeColor="text1"/>
          <w:sz w:val="16"/>
          <w:szCs w:val="16"/>
        </w:rPr>
        <w:t>к</w:t>
      </w:r>
      <w:r w:rsidR="00997EDF" w:rsidRPr="00925F26">
        <w:rPr>
          <w:color w:val="000000" w:themeColor="text1"/>
          <w:sz w:val="16"/>
          <w:szCs w:val="16"/>
        </w:rPr>
        <w:t xml:space="preserve">  </w:t>
      </w:r>
      <w:r w:rsidRPr="00925F26">
        <w:rPr>
          <w:color w:val="000000" w:themeColor="text1"/>
          <w:sz w:val="16"/>
          <w:szCs w:val="16"/>
        </w:rPr>
        <w:t>советскому</w:t>
      </w:r>
      <w:proofErr w:type="gramEnd"/>
      <w:r w:rsidRPr="00925F26">
        <w:rPr>
          <w:color w:val="000000" w:themeColor="text1"/>
          <w:sz w:val="16"/>
          <w:szCs w:val="16"/>
        </w:rPr>
        <w:t xml:space="preserve"> министру. Его требования противоречили уже достигнутым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Ялте</w:t>
      </w:r>
      <w:proofErr w:type="gramEnd"/>
      <w:r w:rsidRPr="00925F26">
        <w:rPr>
          <w:color w:val="000000" w:themeColor="text1"/>
          <w:sz w:val="16"/>
          <w:szCs w:val="16"/>
        </w:rPr>
        <w:t xml:space="preserve"> договоренностям. Согласно воспоминаниям Трумэна, Молотов сказал, что никогда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жизни</w:t>
      </w:r>
      <w:proofErr w:type="gramEnd"/>
      <w:r w:rsidRPr="00925F26">
        <w:rPr>
          <w:color w:val="000000" w:themeColor="text1"/>
          <w:sz w:val="16"/>
          <w:szCs w:val="16"/>
        </w:rPr>
        <w:t xml:space="preserve">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ним</w:t>
      </w:r>
      <w:proofErr w:type="gramEnd"/>
      <w:r w:rsidRPr="00925F26">
        <w:rPr>
          <w:color w:val="000000" w:themeColor="text1"/>
          <w:sz w:val="16"/>
          <w:szCs w:val="16"/>
        </w:rPr>
        <w:t xml:space="preserve"> так бесцеремонно не разговаривали. На это президент США ответил: «Выполняйте наши требования по Польше,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мы</w:t>
      </w:r>
      <w:proofErr w:type="gramEnd"/>
      <w:r w:rsidRPr="00925F26">
        <w:rPr>
          <w:color w:val="000000" w:themeColor="text1"/>
          <w:sz w:val="16"/>
          <w:szCs w:val="16"/>
        </w:rPr>
        <w:t xml:space="preserve"> будем говорить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менее</w:t>
      </w:r>
      <w:proofErr w:type="gramEnd"/>
      <w:r w:rsidRPr="00925F26">
        <w:rPr>
          <w:color w:val="000000" w:themeColor="text1"/>
          <w:sz w:val="16"/>
          <w:szCs w:val="16"/>
        </w:rPr>
        <w:t xml:space="preserve"> грубой манере». Услышав эти слова, Молотов побледнел от ярости (переводчик Болен пишет, что он стал «пепельным»).</w:t>
      </w:r>
    </w:p>
    <w:p w14:paraId="5A354FED" w14:textId="427FB78C" w:rsidR="00816E1B" w:rsidRPr="00925F26" w:rsidRDefault="00816E1B" w:rsidP="00925F26">
      <w:pPr>
        <w:jc w:val="both"/>
        <w:rPr>
          <w:color w:val="000000" w:themeColor="text1"/>
          <w:sz w:val="16"/>
          <w:szCs w:val="16"/>
        </w:rPr>
      </w:pPr>
      <w:r w:rsidRPr="00925F26">
        <w:rPr>
          <w:color w:val="000000" w:themeColor="text1"/>
          <w:sz w:val="16"/>
          <w:szCs w:val="16"/>
        </w:rPr>
        <w:t>Посол США в</w:t>
      </w:r>
      <w:r w:rsidR="00997EDF" w:rsidRPr="00925F26">
        <w:rPr>
          <w:color w:val="000000" w:themeColor="text1"/>
          <w:sz w:val="16"/>
          <w:szCs w:val="16"/>
        </w:rPr>
        <w:t xml:space="preserve">  </w:t>
      </w:r>
      <w:r w:rsidRPr="00925F26">
        <w:rPr>
          <w:color w:val="000000" w:themeColor="text1"/>
          <w:sz w:val="16"/>
          <w:szCs w:val="16"/>
        </w:rPr>
        <w:t>СССР А.</w:t>
      </w:r>
      <w:r w:rsidR="00997EDF" w:rsidRPr="00925F26">
        <w:rPr>
          <w:color w:val="000000" w:themeColor="text1"/>
          <w:sz w:val="16"/>
          <w:szCs w:val="16"/>
        </w:rPr>
        <w:t xml:space="preserve">  </w:t>
      </w:r>
      <w:r w:rsidRPr="00925F26">
        <w:rPr>
          <w:color w:val="000000" w:themeColor="text1"/>
          <w:sz w:val="16"/>
          <w:szCs w:val="16"/>
        </w:rPr>
        <w:t>Гарриман вспоминал: «Я</w:t>
      </w:r>
      <w:r w:rsidR="00997EDF" w:rsidRPr="00925F26">
        <w:rPr>
          <w:color w:val="000000" w:themeColor="text1"/>
          <w:sz w:val="16"/>
          <w:szCs w:val="16"/>
        </w:rPr>
        <w:t xml:space="preserve">  </w:t>
      </w:r>
      <w:r w:rsidRPr="00925F26">
        <w:rPr>
          <w:color w:val="000000" w:themeColor="text1"/>
          <w:sz w:val="16"/>
          <w:szCs w:val="16"/>
        </w:rPr>
        <w:t xml:space="preserve">был шокирован, когда президент столь энергично атаковал Молотова. </w:t>
      </w:r>
      <w:proofErr w:type="gramStart"/>
      <w:r w:rsidRPr="00925F26">
        <w:rPr>
          <w:color w:val="000000" w:themeColor="text1"/>
          <w:sz w:val="16"/>
          <w:szCs w:val="16"/>
        </w:rPr>
        <w:t>Я</w:t>
      </w:r>
      <w:r w:rsidR="00997EDF" w:rsidRPr="00925F26">
        <w:rPr>
          <w:color w:val="000000" w:themeColor="text1"/>
          <w:sz w:val="16"/>
          <w:szCs w:val="16"/>
        </w:rPr>
        <w:t xml:space="preserve">  </w:t>
      </w:r>
      <w:r w:rsidRPr="00925F26">
        <w:rPr>
          <w:color w:val="000000" w:themeColor="text1"/>
          <w:sz w:val="16"/>
          <w:szCs w:val="16"/>
        </w:rPr>
        <w:t>считаю</w:t>
      </w:r>
      <w:proofErr w:type="gramEnd"/>
      <w:r w:rsidRPr="00925F26">
        <w:rPr>
          <w:color w:val="000000" w:themeColor="text1"/>
          <w:sz w:val="16"/>
          <w:szCs w:val="16"/>
        </w:rPr>
        <w:t xml:space="preserve"> правдой то, что ни один иностранец не говорил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Молотовым</w:t>
      </w:r>
      <w:proofErr w:type="gramEnd"/>
      <w:r w:rsidRPr="00925F26">
        <w:rPr>
          <w:color w:val="000000" w:themeColor="text1"/>
          <w:sz w:val="16"/>
          <w:szCs w:val="16"/>
        </w:rPr>
        <w:t xml:space="preserve"> таким образом... </w:t>
      </w:r>
      <w:proofErr w:type="gramStart"/>
      <w:r w:rsidRPr="00925F26">
        <w:rPr>
          <w:color w:val="000000" w:themeColor="text1"/>
          <w:sz w:val="16"/>
          <w:szCs w:val="16"/>
        </w:rPr>
        <w:t>Я</w:t>
      </w:r>
      <w:r w:rsidR="00997EDF" w:rsidRPr="00925F26">
        <w:rPr>
          <w:color w:val="000000" w:themeColor="text1"/>
          <w:sz w:val="16"/>
          <w:szCs w:val="16"/>
        </w:rPr>
        <w:t xml:space="preserve">  </w:t>
      </w:r>
      <w:r w:rsidRPr="00925F26">
        <w:rPr>
          <w:color w:val="000000" w:themeColor="text1"/>
          <w:sz w:val="16"/>
          <w:szCs w:val="16"/>
        </w:rPr>
        <w:t>сожалею</w:t>
      </w:r>
      <w:proofErr w:type="gramEnd"/>
      <w:r w:rsidRPr="00925F26">
        <w:rPr>
          <w:color w:val="000000" w:themeColor="text1"/>
          <w:sz w:val="16"/>
          <w:szCs w:val="16"/>
        </w:rPr>
        <w:t>, что Трумэн поступил таким образом; его поведение позволило Молотову сказать Сталину, что политика Рузвельта отставлена».</w:t>
      </w:r>
    </w:p>
    <w:p w14:paraId="4A4813A2" w14:textId="61779DB0" w:rsidR="00816E1B" w:rsidRPr="00925F26" w:rsidRDefault="00816E1B" w:rsidP="00925F26">
      <w:pPr>
        <w:jc w:val="both"/>
        <w:rPr>
          <w:color w:val="000000" w:themeColor="text1"/>
          <w:sz w:val="16"/>
          <w:szCs w:val="16"/>
        </w:rPr>
      </w:pPr>
      <w:r w:rsidRPr="00925F26">
        <w:rPr>
          <w:color w:val="000000" w:themeColor="text1"/>
          <w:sz w:val="16"/>
          <w:szCs w:val="16"/>
        </w:rPr>
        <w:t>За день до беседы с</w:t>
      </w:r>
      <w:r w:rsidR="00997EDF" w:rsidRPr="00925F26">
        <w:rPr>
          <w:color w:val="000000" w:themeColor="text1"/>
          <w:sz w:val="16"/>
          <w:szCs w:val="16"/>
        </w:rPr>
        <w:t xml:space="preserve">  </w:t>
      </w:r>
      <w:r w:rsidRPr="00925F26">
        <w:rPr>
          <w:color w:val="000000" w:themeColor="text1"/>
          <w:sz w:val="16"/>
          <w:szCs w:val="16"/>
        </w:rPr>
        <w:t>Молотовым (24</w:t>
      </w:r>
      <w:r w:rsidR="00997EDF" w:rsidRPr="00925F26">
        <w:rPr>
          <w:color w:val="000000" w:themeColor="text1"/>
          <w:sz w:val="16"/>
          <w:szCs w:val="16"/>
        </w:rPr>
        <w:t xml:space="preserve">  </w:t>
      </w:r>
      <w:r w:rsidRPr="00925F26">
        <w:rPr>
          <w:color w:val="000000" w:themeColor="text1"/>
          <w:sz w:val="16"/>
          <w:szCs w:val="16"/>
        </w:rPr>
        <w:t xml:space="preserve">апреля </w:t>
      </w:r>
      <w:bookmarkStart w:id="20" w:name="YANDEX_6"/>
      <w:bookmarkEnd w:id="20"/>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 Трумэн принял военного министра США Г.</w:t>
      </w:r>
      <w:r w:rsidR="00997EDF" w:rsidRPr="00925F26">
        <w:rPr>
          <w:color w:val="000000" w:themeColor="text1"/>
          <w:sz w:val="16"/>
          <w:szCs w:val="16"/>
        </w:rPr>
        <w:t xml:space="preserve">  </w:t>
      </w:r>
      <w:r w:rsidRPr="00925F26">
        <w:rPr>
          <w:color w:val="000000" w:themeColor="text1"/>
          <w:sz w:val="16"/>
          <w:szCs w:val="16"/>
        </w:rPr>
        <w:t>Стимсона, который сообщил: «В</w:t>
      </w:r>
      <w:r w:rsidR="00997EDF" w:rsidRPr="00925F26">
        <w:rPr>
          <w:color w:val="000000" w:themeColor="text1"/>
          <w:sz w:val="16"/>
          <w:szCs w:val="16"/>
        </w:rPr>
        <w:t xml:space="preserve">  </w:t>
      </w:r>
      <w:r w:rsidRPr="00925F26">
        <w:rPr>
          <w:color w:val="000000" w:themeColor="text1"/>
          <w:sz w:val="16"/>
          <w:szCs w:val="16"/>
        </w:rPr>
        <w:t>течение четырех месяцев мы завершим создание самого ужасного в</w:t>
      </w:r>
      <w:r w:rsidR="00997EDF" w:rsidRPr="00925F26">
        <w:rPr>
          <w:color w:val="000000" w:themeColor="text1"/>
          <w:sz w:val="16"/>
          <w:szCs w:val="16"/>
        </w:rPr>
        <w:t xml:space="preserve">  </w:t>
      </w:r>
      <w:r w:rsidRPr="00925F26">
        <w:rPr>
          <w:color w:val="000000" w:themeColor="text1"/>
          <w:sz w:val="16"/>
          <w:szCs w:val="16"/>
        </w:rPr>
        <w:t xml:space="preserve">человеческой истории оружия, одна бомба которого может разрушить целый город.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настоящий</w:t>
      </w:r>
      <w:proofErr w:type="gramEnd"/>
      <w:r w:rsidRPr="00925F26">
        <w:rPr>
          <w:color w:val="000000" w:themeColor="text1"/>
          <w:sz w:val="16"/>
          <w:szCs w:val="16"/>
        </w:rPr>
        <w:t xml:space="preserve"> момент только США способны создать такое оружие. Единственной державой, способной создать подобное оружие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течение</w:t>
      </w:r>
      <w:proofErr w:type="gramEnd"/>
      <w:r w:rsidRPr="00925F26">
        <w:rPr>
          <w:color w:val="000000" w:themeColor="text1"/>
          <w:sz w:val="16"/>
          <w:szCs w:val="16"/>
        </w:rPr>
        <w:t xml:space="preserve"> нескольких лет, является Россия» (17449).</w:t>
      </w:r>
    </w:p>
    <w:p w14:paraId="4A261434" w14:textId="77777777" w:rsidR="00816E1B" w:rsidRPr="00925F26" w:rsidRDefault="00816E1B" w:rsidP="00925F26">
      <w:pPr>
        <w:jc w:val="both"/>
        <w:rPr>
          <w:color w:val="000000" w:themeColor="text1"/>
          <w:sz w:val="16"/>
          <w:szCs w:val="16"/>
        </w:rPr>
      </w:pPr>
    </w:p>
    <w:p w14:paraId="31E1ED60" w14:textId="77777777" w:rsidR="00C55BB4" w:rsidRPr="00925F26" w:rsidRDefault="00C55BB4" w:rsidP="00925F26">
      <w:pPr>
        <w:jc w:val="both"/>
        <w:rPr>
          <w:color w:val="000000" w:themeColor="text1"/>
          <w:sz w:val="16"/>
          <w:szCs w:val="16"/>
        </w:rPr>
      </w:pPr>
      <w:r w:rsidRPr="00925F26">
        <w:rPr>
          <w:color w:val="000000" w:themeColor="text1"/>
          <w:sz w:val="16"/>
          <w:szCs w:val="16"/>
        </w:rPr>
        <w:t>26 апреля в 1945 году правительства США и Великобритании сообщили Советскому правительству о предложении Гиммлера об одностороннем прекращении военных действий на западном фронте и своем отказе принять его (15111).</w:t>
      </w:r>
    </w:p>
    <w:p w14:paraId="435C5796" w14:textId="77777777" w:rsidR="00C55BB4" w:rsidRPr="00925F26" w:rsidRDefault="00C55BB4" w:rsidP="00925F26">
      <w:pPr>
        <w:jc w:val="both"/>
        <w:rPr>
          <w:color w:val="000000" w:themeColor="text1"/>
          <w:sz w:val="16"/>
          <w:szCs w:val="16"/>
        </w:rPr>
      </w:pPr>
    </w:p>
    <w:p w14:paraId="4898FBE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0054BD3" w14:textId="77777777" w:rsidR="00665165" w:rsidRPr="00925F26" w:rsidRDefault="00665165" w:rsidP="00925F26">
      <w:pPr>
        <w:autoSpaceDE w:val="0"/>
        <w:autoSpaceDN w:val="0"/>
        <w:adjustRightInd w:val="0"/>
        <w:jc w:val="both"/>
        <w:rPr>
          <w:iCs/>
          <w:color w:val="000000" w:themeColor="text1"/>
          <w:sz w:val="16"/>
          <w:szCs w:val="16"/>
        </w:rPr>
      </w:pPr>
    </w:p>
    <w:p w14:paraId="563AB5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апреля 1945 британская 2А вошла в Бремен. 3УФ и 3БФ заняли Пиллау, а 2БФ занял Штецин. Остатки немецкой 9А были отрезаны и окружены (3819).</w:t>
      </w:r>
    </w:p>
    <w:p w14:paraId="2547F254" w14:textId="77777777" w:rsidR="00665165" w:rsidRPr="00925F26" w:rsidRDefault="00665165" w:rsidP="00925F26">
      <w:pPr>
        <w:autoSpaceDE w:val="0"/>
        <w:autoSpaceDN w:val="0"/>
        <w:adjustRightInd w:val="0"/>
        <w:jc w:val="both"/>
        <w:rPr>
          <w:color w:val="000000" w:themeColor="text1"/>
          <w:sz w:val="16"/>
          <w:szCs w:val="16"/>
        </w:rPr>
      </w:pPr>
    </w:p>
    <w:p w14:paraId="54283C1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апреля 1945 арестован Петен (4963 ).</w:t>
      </w:r>
    </w:p>
    <w:p w14:paraId="2695DAF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DFE917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апреля 1945 на франко-швейцарской границе арестован глава вишистского правительства Франции, маршал А. Петен (4962).</w:t>
      </w:r>
    </w:p>
    <w:p w14:paraId="0A20857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CACCEE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C8AD90D" w14:textId="77777777" w:rsidR="00665165" w:rsidRPr="00925F26" w:rsidRDefault="00665165" w:rsidP="00925F26">
      <w:pPr>
        <w:autoSpaceDE w:val="0"/>
        <w:autoSpaceDN w:val="0"/>
        <w:adjustRightInd w:val="0"/>
        <w:jc w:val="both"/>
        <w:rPr>
          <w:iCs/>
          <w:color w:val="000000" w:themeColor="text1"/>
          <w:sz w:val="16"/>
          <w:szCs w:val="16"/>
        </w:rPr>
      </w:pPr>
    </w:p>
    <w:p w14:paraId="65B58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закончились гос. испытания серийного Як-3 ПФ-2 N 2229 292 завода, выпущенного в ноябре 1944, которые начались с 10 апреля 1945 и продолжились после перерыва с 19 апреля 1945 (805,5).</w:t>
      </w:r>
    </w:p>
    <w:p w14:paraId="00E4C6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63B0B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стт-л В.П.Белодеденко</w:t>
      </w:r>
    </w:p>
    <w:p w14:paraId="0DC2CB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вли к Мванов</w:t>
      </w:r>
    </w:p>
    <w:p w14:paraId="04F450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2BB36B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макс. скорость на 15-19 км/час меньше установленной постановлением ГОКО от 26 октября 1943</w:t>
      </w:r>
    </w:p>
    <w:p w14:paraId="1D316D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объем б/б был на 22 л меньше, чем у с-та Як-1 М “дублер”</w:t>
      </w:r>
    </w:p>
    <w:p w14:paraId="0C4804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мала дальность р/передатчика (45 км)</w:t>
      </w:r>
    </w:p>
    <w:p w14:paraId="41E60B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3159A8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57A26E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Як-3 № 22-29 с ПФ-2 контрольные испытания прошел неудовлетворительно.</w:t>
      </w:r>
    </w:p>
    <w:p w14:paraId="0D8268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нем не устранены следующие основаные дефекты, выявленные </w:t>
      </w:r>
      <w:proofErr w:type="gramStart"/>
      <w:r w:rsidRPr="00925F26">
        <w:rPr>
          <w:color w:val="000000" w:themeColor="text1"/>
          <w:sz w:val="16"/>
          <w:szCs w:val="16"/>
        </w:rPr>
        <w:t>при испытаниях</w:t>
      </w:r>
      <w:proofErr w:type="gramEnd"/>
      <w:r w:rsidRPr="00925F26">
        <w:rPr>
          <w:color w:val="000000" w:themeColor="text1"/>
          <w:sz w:val="16"/>
          <w:szCs w:val="16"/>
        </w:rPr>
        <w:t xml:space="preserve"> с-та № 11-12:</w:t>
      </w:r>
    </w:p>
    <w:p w14:paraId="5EE434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73B794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максимальная дальность радиопередачи (60 км)</w:t>
      </w:r>
    </w:p>
    <w:p w14:paraId="64DB83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мала емкость б/б (360 л против 372 л у опытного Як-1М “дублер”</w:t>
      </w:r>
    </w:p>
    <w:p w14:paraId="543E8A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- 3 мая 1945, Лосюков - 4 мая 1945</w:t>
      </w:r>
    </w:p>
    <w:p w14:paraId="7E56D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925F26" w14:paraId="11E2AA6F" w14:textId="77777777">
        <w:tc>
          <w:tcPr>
            <w:tcW w:w="3369" w:type="dxa"/>
            <w:tcBorders>
              <w:top w:val="single" w:sz="12" w:space="0" w:color="auto"/>
            </w:tcBorders>
          </w:tcPr>
          <w:p w14:paraId="63FD25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1961" w:type="dxa"/>
            <w:tcBorders>
              <w:top w:val="single" w:sz="12" w:space="0" w:color="auto"/>
            </w:tcBorders>
          </w:tcPr>
          <w:p w14:paraId="019762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27A20A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0E7A6A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09475D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постановлению ГОКО от 26 октября 1943</w:t>
            </w:r>
          </w:p>
        </w:tc>
      </w:tr>
      <w:tr w:rsidR="000F5689" w:rsidRPr="00925F26" w14:paraId="16107F54" w14:textId="77777777">
        <w:tc>
          <w:tcPr>
            <w:tcW w:w="3369" w:type="dxa"/>
          </w:tcPr>
          <w:p w14:paraId="3FB10C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1961" w:type="dxa"/>
          </w:tcPr>
          <w:p w14:paraId="063D28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961" w:type="dxa"/>
          </w:tcPr>
          <w:p w14:paraId="7346BF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2675</w:t>
            </w:r>
          </w:p>
        </w:tc>
        <w:tc>
          <w:tcPr>
            <w:tcW w:w="1961" w:type="dxa"/>
          </w:tcPr>
          <w:p w14:paraId="7C227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w:t>
            </w:r>
          </w:p>
        </w:tc>
        <w:tc>
          <w:tcPr>
            <w:tcW w:w="1961" w:type="dxa"/>
          </w:tcPr>
          <w:p w14:paraId="50D1A7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2670</w:t>
            </w:r>
          </w:p>
        </w:tc>
      </w:tr>
      <w:tr w:rsidR="000F5689" w:rsidRPr="00925F26" w14:paraId="1E92A184" w14:textId="77777777">
        <w:tc>
          <w:tcPr>
            <w:tcW w:w="3369" w:type="dxa"/>
          </w:tcPr>
          <w:p w14:paraId="11F169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w:t>
            </w:r>
          </w:p>
        </w:tc>
        <w:tc>
          <w:tcPr>
            <w:tcW w:w="1961" w:type="dxa"/>
          </w:tcPr>
          <w:p w14:paraId="756DC3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961" w:type="dxa"/>
          </w:tcPr>
          <w:p w14:paraId="0EFC09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w:t>
            </w:r>
          </w:p>
        </w:tc>
        <w:tc>
          <w:tcPr>
            <w:tcW w:w="1961" w:type="dxa"/>
          </w:tcPr>
          <w:p w14:paraId="75FAB3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w:t>
            </w:r>
          </w:p>
        </w:tc>
        <w:tc>
          <w:tcPr>
            <w:tcW w:w="1961" w:type="dxa"/>
          </w:tcPr>
          <w:p w14:paraId="2DC2A0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r>
      <w:tr w:rsidR="000F5689" w:rsidRPr="00925F26" w14:paraId="0EC5D34D" w14:textId="77777777">
        <w:tc>
          <w:tcPr>
            <w:tcW w:w="3369" w:type="dxa"/>
          </w:tcPr>
          <w:p w14:paraId="7A4B05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1-й границе высотности</w:t>
            </w:r>
          </w:p>
        </w:tc>
        <w:tc>
          <w:tcPr>
            <w:tcW w:w="1961" w:type="dxa"/>
          </w:tcPr>
          <w:p w14:paraId="2B2BEE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613/2100</w:t>
            </w:r>
          </w:p>
        </w:tc>
        <w:tc>
          <w:tcPr>
            <w:tcW w:w="1961" w:type="dxa"/>
          </w:tcPr>
          <w:p w14:paraId="4F68DB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610/2200</w:t>
            </w:r>
          </w:p>
        </w:tc>
        <w:tc>
          <w:tcPr>
            <w:tcW w:w="1961" w:type="dxa"/>
          </w:tcPr>
          <w:p w14:paraId="04C2F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610/1600</w:t>
            </w:r>
          </w:p>
        </w:tc>
        <w:tc>
          <w:tcPr>
            <w:tcW w:w="1961" w:type="dxa"/>
          </w:tcPr>
          <w:p w14:paraId="46FA63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07E6D84" w14:textId="77777777">
        <w:tc>
          <w:tcPr>
            <w:tcW w:w="3369" w:type="dxa"/>
          </w:tcPr>
          <w:p w14:paraId="5647DE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границе высотности</w:t>
            </w:r>
          </w:p>
        </w:tc>
        <w:tc>
          <w:tcPr>
            <w:tcW w:w="1961" w:type="dxa"/>
          </w:tcPr>
          <w:p w14:paraId="1E1CAC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639/4150</w:t>
            </w:r>
          </w:p>
        </w:tc>
        <w:tc>
          <w:tcPr>
            <w:tcW w:w="1961" w:type="dxa"/>
          </w:tcPr>
          <w:p w14:paraId="4D153F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631/4200</w:t>
            </w:r>
          </w:p>
        </w:tc>
        <w:tc>
          <w:tcPr>
            <w:tcW w:w="1961" w:type="dxa"/>
          </w:tcPr>
          <w:p w14:paraId="433498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642/3750</w:t>
            </w:r>
          </w:p>
        </w:tc>
        <w:tc>
          <w:tcPr>
            <w:tcW w:w="1961" w:type="dxa"/>
          </w:tcPr>
          <w:p w14:paraId="53C7BB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r>
      <w:tr w:rsidR="000F5689" w:rsidRPr="00925F26" w14:paraId="4DAC0017" w14:textId="77777777">
        <w:tc>
          <w:tcPr>
            <w:tcW w:w="3369" w:type="dxa"/>
            <w:tcBorders>
              <w:bottom w:val="single" w:sz="12" w:space="0" w:color="auto"/>
            </w:tcBorders>
          </w:tcPr>
          <w:p w14:paraId="7D3C3A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Время набора 5000 м</w:t>
            </w:r>
          </w:p>
        </w:tc>
        <w:tc>
          <w:tcPr>
            <w:tcW w:w="1961" w:type="dxa"/>
            <w:tcBorders>
              <w:bottom w:val="single" w:sz="12" w:space="0" w:color="auto"/>
            </w:tcBorders>
          </w:tcPr>
          <w:p w14:paraId="0A9150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961" w:type="dxa"/>
            <w:tcBorders>
              <w:bottom w:val="single" w:sz="12" w:space="0" w:color="auto"/>
            </w:tcBorders>
          </w:tcPr>
          <w:p w14:paraId="03C846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961" w:type="dxa"/>
            <w:tcBorders>
              <w:bottom w:val="single" w:sz="12" w:space="0" w:color="auto"/>
            </w:tcBorders>
          </w:tcPr>
          <w:p w14:paraId="353D37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961" w:type="dxa"/>
            <w:tcBorders>
              <w:bottom w:val="single" w:sz="12" w:space="0" w:color="auto"/>
            </w:tcBorders>
          </w:tcPr>
          <w:p w14:paraId="088E14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bl>
    <w:p w14:paraId="5A8C63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1хТМА-2- ШВАК и 2хБС синхр.</w:t>
      </w:r>
    </w:p>
    <w:p w14:paraId="56D4C3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серийного с-та № 11-12, проходившего КИ в сентябре 1944 имеет следующие основные отличия:</w:t>
      </w:r>
    </w:p>
    <w:p w14:paraId="3B5C5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планеру</w:t>
      </w:r>
    </w:p>
    <w:p w14:paraId="60A987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проведены мероприятия по улучшению аэродинамики с-та</w:t>
      </w:r>
    </w:p>
    <w:p w14:paraId="62CD1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уменьшены щели между крылом и элеронами, между килем и РП и между стабилизатором и РВ</w:t>
      </w:r>
    </w:p>
    <w:p w14:paraId="71D0C2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уменьшены вырезы под кронштейны элеронов и рулей</w:t>
      </w:r>
    </w:p>
    <w:p w14:paraId="70B349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улучшена герметичность с-та</w:t>
      </w:r>
    </w:p>
    <w:p w14:paraId="29109B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поставлены замки на центральные щитки шасси</w:t>
      </w:r>
    </w:p>
    <w:p w14:paraId="7D2DD0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повышена прочность крыла:</w:t>
      </w:r>
    </w:p>
    <w:p w14:paraId="61ADB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увеличена вдвое площадь склейки средней части нервюр 8, 9, 10, 11, 14, 16, 18 с верхней обшивкой</w:t>
      </w:r>
    </w:p>
    <w:p w14:paraId="605935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5960AF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средняя часть и шпон лобовой части обшивки приклеены клеем ВИАМ-Б-3</w:t>
      </w:r>
    </w:p>
    <w:p w14:paraId="6D2BAB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 ВМГ - установлено приспособление для газового запуска мотора...</w:t>
      </w:r>
    </w:p>
    <w:p w14:paraId="3F66F8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 - вместо передатчика РСИ-3 установлен РСИ-3М-1...</w:t>
      </w:r>
    </w:p>
    <w:p w14:paraId="6C44E9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2AB125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69032E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выполнено 20 полетов с общим налетом 12:16</w:t>
      </w:r>
    </w:p>
    <w:p w14:paraId="3A1C5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2146 при нормальном полетном 2710. Ц/т 24,7%</w:t>
      </w:r>
    </w:p>
    <w:p w14:paraId="6BF67D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- 90</w:t>
      </w:r>
    </w:p>
    <w:p w14:paraId="6A2E0C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- 360 л (уд. Вес 0,741) - 267 кг</w:t>
      </w:r>
    </w:p>
    <w:p w14:paraId="039AF3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- 95,5</w:t>
      </w:r>
    </w:p>
    <w:p w14:paraId="6A6B8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боезапас - 77,5</w:t>
      </w:r>
    </w:p>
    <w:p w14:paraId="3A44A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- 14</w:t>
      </w:r>
    </w:p>
    <w:p w14:paraId="7663C5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564 кг</w:t>
      </w:r>
    </w:p>
    <w:p w14:paraId="6C9707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79170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Перечень дефектов и конструктивных недостатков, выявленных при испытаниях:</w:t>
      </w:r>
    </w:p>
    <w:p w14:paraId="044D0D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отсос щитков шасси при полете на повышенной скорости</w:t>
      </w:r>
    </w:p>
    <w:p w14:paraId="1AFE6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отставание обшивки в нижней части конца фюзеляжа, отставание обшивки киля</w:t>
      </w:r>
    </w:p>
    <w:p w14:paraId="2D507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искажения сферического козырька кабины фонаря, видемость через него неудовлетворительна</w:t>
      </w:r>
    </w:p>
    <w:p w14:paraId="03FB63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велики усилия на ручке элеронов и РВ, малая эффективность триммер РВ</w:t>
      </w:r>
    </w:p>
    <w:p w14:paraId="5E33A1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7DD41B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Механические бензомеры непригодны для расхода горючего.</w:t>
      </w:r>
    </w:p>
    <w:p w14:paraId="4D3D72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Радиосвязь на землю с высоты 1000 м - 60 км</w:t>
      </w:r>
    </w:p>
    <w:p w14:paraId="49541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3A9B9E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Вентиляция кабины эффективна</w:t>
      </w:r>
    </w:p>
    <w:p w14:paraId="7F20FD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огнем пушки и пулеметов - удачное</w:t>
      </w:r>
    </w:p>
    <w:p w14:paraId="2FA133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56345F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Иванов - подписал 30 апреля 1945</w:t>
      </w:r>
    </w:p>
    <w:p w14:paraId="323B91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Прошаков, Хомяков, Седов, Антипов, Кувшинов - подписали 30 апреля 1945 (805,5).</w:t>
      </w:r>
    </w:p>
    <w:p w14:paraId="323D9177" w14:textId="77777777" w:rsidR="00665165" w:rsidRPr="00925F26" w:rsidRDefault="00665165" w:rsidP="00925F26">
      <w:pPr>
        <w:autoSpaceDE w:val="0"/>
        <w:autoSpaceDN w:val="0"/>
        <w:adjustRightInd w:val="0"/>
        <w:jc w:val="both"/>
        <w:rPr>
          <w:color w:val="000000" w:themeColor="text1"/>
          <w:sz w:val="16"/>
          <w:szCs w:val="16"/>
        </w:rPr>
      </w:pPr>
    </w:p>
    <w:p w14:paraId="7F0250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Л.М.Кувшинов закончил гос. испытания Як-3Т, вооруженного Н-37, которые проводились с 17 февраля 1945. Уступал лишь Як-9У со сменным вооружением. При стрельбе был устойчивым и за 3-4 выстрела прицеливание не сбивалось. Были и дефекты. Потом дорабатывали с 12 мая до 2 июля 1945. Хотя все работы закончили к 24 мая и потом проверяли эффективность доделок (65,181).</w:t>
      </w:r>
    </w:p>
    <w:p w14:paraId="16D56442" w14:textId="77777777" w:rsidR="00665165" w:rsidRPr="00925F26" w:rsidRDefault="00665165" w:rsidP="00925F26">
      <w:pPr>
        <w:autoSpaceDE w:val="0"/>
        <w:autoSpaceDN w:val="0"/>
        <w:adjustRightInd w:val="0"/>
        <w:jc w:val="both"/>
        <w:rPr>
          <w:color w:val="000000" w:themeColor="text1"/>
          <w:sz w:val="16"/>
          <w:szCs w:val="16"/>
        </w:rPr>
      </w:pPr>
    </w:p>
    <w:p w14:paraId="13740408" w14:textId="77777777" w:rsidR="009B0E9A" w:rsidRPr="00925F26" w:rsidRDefault="009B0E9A" w:rsidP="00925F26">
      <w:pPr>
        <w:jc w:val="both"/>
        <w:rPr>
          <w:color w:val="000000" w:themeColor="text1"/>
          <w:sz w:val="16"/>
          <w:szCs w:val="16"/>
        </w:rPr>
      </w:pPr>
      <w:r w:rsidRPr="00925F26">
        <w:rPr>
          <w:color w:val="000000" w:themeColor="text1"/>
          <w:sz w:val="16"/>
          <w:szCs w:val="16"/>
        </w:rPr>
        <w:t xml:space="preserve">27 апреля в 1945 году в HИИ ВВС закончились (начались с 17 февраля) испытания ударного истребителя «Як-ЗТ» (летчик Л.М.Кувшинов, инженеры: по самолету - В.П.Белодеденко, по вооружению - А.Г.Аронов; техник - В.Ф.Сбитнев). Выполнено 44 полета общей продолжительностью 26 ч 5 мин. В отчете по госиспытаниям отмечалось, что «Як-ЗТ», вооруженный легкой 37-мм пушкой «H-37» и двумя синхронными 20-мм пушками «Б-20С», является нужным для ВВС самолетом. Предлагалось передать самолет в ОКБ для устранения </w:t>
      </w:r>
      <w:proofErr w:type="gramStart"/>
      <w:r w:rsidRPr="00925F26">
        <w:rPr>
          <w:color w:val="000000" w:themeColor="text1"/>
          <w:sz w:val="16"/>
          <w:szCs w:val="16"/>
        </w:rPr>
        <w:t>дефектов  (</w:t>
      </w:r>
      <w:proofErr w:type="gramEnd"/>
      <w:r w:rsidRPr="00925F26">
        <w:rPr>
          <w:color w:val="000000" w:themeColor="text1"/>
          <w:sz w:val="16"/>
          <w:szCs w:val="16"/>
        </w:rPr>
        <w:t>15112).</w:t>
      </w:r>
    </w:p>
    <w:p w14:paraId="64CB6864" w14:textId="77777777" w:rsidR="009B0E9A" w:rsidRPr="00925F26" w:rsidRDefault="009B0E9A" w:rsidP="00925F26">
      <w:pPr>
        <w:jc w:val="both"/>
        <w:rPr>
          <w:color w:val="000000" w:themeColor="text1"/>
          <w:sz w:val="16"/>
          <w:szCs w:val="16"/>
        </w:rPr>
      </w:pPr>
    </w:p>
    <w:p w14:paraId="6A70BB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утвердили макет машины 64 А.Н.Т. и начали готовить чертежи. Жил потом 2 года и даже сделали новый макет с учетом опыта изучения В-29 (2397,56).</w:t>
      </w:r>
    </w:p>
    <w:p w14:paraId="01C63761" w14:textId="77777777" w:rsidR="00665165" w:rsidRPr="00925F26" w:rsidRDefault="00665165" w:rsidP="00925F26">
      <w:pPr>
        <w:autoSpaceDE w:val="0"/>
        <w:autoSpaceDN w:val="0"/>
        <w:adjustRightInd w:val="0"/>
        <w:jc w:val="both"/>
        <w:rPr>
          <w:color w:val="000000" w:themeColor="text1"/>
          <w:sz w:val="16"/>
          <w:szCs w:val="16"/>
        </w:rPr>
      </w:pPr>
    </w:p>
    <w:p w14:paraId="2C47256F" w14:textId="77777777" w:rsidR="009B0E9A" w:rsidRPr="00925F26" w:rsidRDefault="009B0E9A" w:rsidP="00925F26">
      <w:pPr>
        <w:jc w:val="both"/>
        <w:rPr>
          <w:color w:val="000000" w:themeColor="text1"/>
          <w:sz w:val="16"/>
          <w:szCs w:val="16"/>
        </w:rPr>
      </w:pPr>
      <w:r w:rsidRPr="00925F26">
        <w:rPr>
          <w:color w:val="000000" w:themeColor="text1"/>
          <w:sz w:val="16"/>
          <w:szCs w:val="16"/>
        </w:rPr>
        <w:t xml:space="preserve">27 апреля в 1945 году макетная комиссия утвердила макет "самолета 64" с четырьмя двигателями «АМ-43ТК-300Б». Работы по самолету продолжались и </w:t>
      </w:r>
      <w:proofErr w:type="gramStart"/>
      <w:r w:rsidRPr="00925F26">
        <w:rPr>
          <w:color w:val="000000" w:themeColor="text1"/>
          <w:sz w:val="16"/>
          <w:szCs w:val="16"/>
        </w:rPr>
        <w:t>с окончанием Великой Отечественной войны</w:t>
      </w:r>
      <w:proofErr w:type="gramEnd"/>
      <w:r w:rsidRPr="00925F26">
        <w:rPr>
          <w:color w:val="000000" w:themeColor="text1"/>
          <w:sz w:val="16"/>
          <w:szCs w:val="16"/>
        </w:rPr>
        <w:t xml:space="preserve"> и с первыми раскатами "холодной войны" между вчерашними союзниками приобрели первостепенное значение для советского военно-политического руководства. Летом 1945 г. американцы взорвали свое первое ядерное устройство, атомная бомба стала реальностью. В СССР работы Курчатова и его коллег приближали день появления советского ядерного оружия. Вопрос о скорейшем создании авиационного носителя нового оружия приобретал крайне острую форму (15112).</w:t>
      </w:r>
    </w:p>
    <w:p w14:paraId="4073D8B6" w14:textId="77777777" w:rsidR="009B0E9A" w:rsidRPr="00925F26" w:rsidRDefault="009B0E9A" w:rsidP="00925F26">
      <w:pPr>
        <w:jc w:val="both"/>
        <w:rPr>
          <w:color w:val="000000" w:themeColor="text1"/>
          <w:sz w:val="16"/>
          <w:szCs w:val="16"/>
        </w:rPr>
      </w:pPr>
    </w:p>
    <w:p w14:paraId="374D903D"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1945 г. макетная комиссия наконец утвердила макет «самолета 64» с четырьмя двигателями АМ-43ТК-З00Б. Работы по самолету продолжались и с окончанием Великой Отечественной войны и с первыми раскатами «холодной войны» между вчерашними союзниками приобрели первостепенное значение для советского военно-политического руководства. ОКБ приступило к выпуску чертежей «самолета 64» и к постройке стапелей для сборки первого экземпляра. По планеру и силовой установке практически вопросов не было. Камнем преткновения стало оснащение самолета в нужные сроки современным оборудованием, соответствующим требованиям ВВС. Предприятия-смежники ОКБ А.Н. Туполева не могли на этом этапе обеспечить «самолет 64» не только заказанным навигационным и радиолокационным оборудованием, но и автоматизированной дистанционной системой управления стрелково-пушечным вооружением. Основы этой системы базировались на «лженауке» — кибернетике, отношение к которой в идеологическом руководстве страны было крайне негативным.</w:t>
      </w:r>
    </w:p>
    <w:p w14:paraId="35A350FF" w14:textId="77777777" w:rsidR="009B0E9A" w:rsidRPr="00925F26" w:rsidRDefault="009B0E9A" w:rsidP="00925F26">
      <w:pPr>
        <w:jc w:val="both"/>
        <w:rPr>
          <w:color w:val="000000" w:themeColor="text1"/>
          <w:sz w:val="16"/>
          <w:szCs w:val="16"/>
        </w:rPr>
      </w:pPr>
      <w:r w:rsidRPr="00925F26">
        <w:rPr>
          <w:color w:val="000000" w:themeColor="text1"/>
          <w:sz w:val="16"/>
          <w:szCs w:val="16"/>
        </w:rPr>
        <w:t>Ввиду того что работы по «самолету 64» имели государственное значение, все подробности докладывались Л. П. Берии, курировавшему атомную программу, и непосредственно И. В. Сталину. Информация о причинах задержек и сбоев в проектировании и постройке самолета была им хорошо известна и привела руководителей страны к принятию кардинального решения по созданию стратегического авиационного носителя. Сталин счел наиболее целесообразным скопировать американский В-29, четыре экземпляра которого были интернированы СССР на Дальнем Востоке после их вынужденной посадки на нашей территории. Работы по копированию и освоению самолета серийным производством были поручены ОКБ А. Н. Туполева и заводу № 22 в Казани (15568).</w:t>
      </w:r>
    </w:p>
    <w:p w14:paraId="5567227F" w14:textId="77777777" w:rsidR="009B0E9A" w:rsidRPr="00925F26" w:rsidRDefault="009B0E9A" w:rsidP="00925F26">
      <w:pPr>
        <w:jc w:val="both"/>
        <w:rPr>
          <w:color w:val="000000" w:themeColor="text1"/>
          <w:sz w:val="16"/>
          <w:szCs w:val="16"/>
        </w:rPr>
      </w:pPr>
    </w:p>
    <w:p w14:paraId="70A35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вышел приказ НКАП N 174с "О самолетах Ли-2 в пассажирском и транспортном вариантах":</w:t>
      </w:r>
    </w:p>
    <w:p w14:paraId="453A49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исполнение постановления ГКО от 22 апреля 1945 N 8241сс:</w:t>
      </w:r>
    </w:p>
    <w:p w14:paraId="682AA3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Нач. 10 ГУ - зам. наркома Кузнецову и директору завода 84 Ярунину с мая 1945 перевести завод на выпуск самолетов Ли-2 в транспортном и пассажирском варианте и из них в пассажирском варианте выпускать по 5 самолетов в месяц.</w:t>
      </w:r>
    </w:p>
    <w:p w14:paraId="46CD9F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Самолеты Ли-2 в транспортном и пассажирском вариантах выпускать без бомбардировочного и стрелкового вооружения.</w:t>
      </w:r>
    </w:p>
    <w:p w14:paraId="5963AC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Этим же постановлением ГКО установил след. план распределения самолетов Ли-2 на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0F5689" w:rsidRPr="00925F26" w14:paraId="4FAE3115" w14:textId="77777777">
        <w:tc>
          <w:tcPr>
            <w:tcW w:w="3757" w:type="dxa"/>
          </w:tcPr>
          <w:p w14:paraId="5FDA9854" w14:textId="77777777" w:rsidR="00665165" w:rsidRPr="00925F26" w:rsidRDefault="00665165" w:rsidP="00925F26">
            <w:pPr>
              <w:autoSpaceDE w:val="0"/>
              <w:autoSpaceDN w:val="0"/>
              <w:adjustRightInd w:val="0"/>
              <w:jc w:val="both"/>
              <w:rPr>
                <w:color w:val="000000" w:themeColor="text1"/>
                <w:sz w:val="16"/>
                <w:szCs w:val="16"/>
              </w:rPr>
            </w:pPr>
          </w:p>
        </w:tc>
        <w:tc>
          <w:tcPr>
            <w:tcW w:w="3757" w:type="dxa"/>
          </w:tcPr>
          <w:p w14:paraId="6012BA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ВВС</w:t>
            </w:r>
          </w:p>
        </w:tc>
        <w:tc>
          <w:tcPr>
            <w:tcW w:w="3757" w:type="dxa"/>
          </w:tcPr>
          <w:p w14:paraId="49835D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ГВФ</w:t>
            </w:r>
          </w:p>
        </w:tc>
      </w:tr>
      <w:tr w:rsidR="000F5689" w:rsidRPr="00925F26" w14:paraId="152A8E34" w14:textId="77777777">
        <w:tc>
          <w:tcPr>
            <w:tcW w:w="3757" w:type="dxa"/>
          </w:tcPr>
          <w:p w14:paraId="689DCE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w:t>
            </w:r>
            <w:r w:rsidR="009B0E9A" w:rsidRPr="00925F26">
              <w:rPr>
                <w:color w:val="000000" w:themeColor="text1"/>
                <w:sz w:val="16"/>
                <w:szCs w:val="16"/>
              </w:rPr>
              <w:t>–</w:t>
            </w:r>
            <w:r w:rsidRPr="00925F26">
              <w:rPr>
                <w:color w:val="000000" w:themeColor="text1"/>
                <w:sz w:val="16"/>
                <w:szCs w:val="16"/>
              </w:rPr>
              <w:t xml:space="preserve"> августе</w:t>
            </w:r>
          </w:p>
        </w:tc>
        <w:tc>
          <w:tcPr>
            <w:tcW w:w="3757" w:type="dxa"/>
          </w:tcPr>
          <w:p w14:paraId="08F646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3757" w:type="dxa"/>
          </w:tcPr>
          <w:p w14:paraId="6AFD5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r>
      <w:tr w:rsidR="00561F31" w:rsidRPr="00925F26" w14:paraId="40907AEA" w14:textId="77777777">
        <w:tc>
          <w:tcPr>
            <w:tcW w:w="3757" w:type="dxa"/>
          </w:tcPr>
          <w:p w14:paraId="1C9E2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сентябре-декабре</w:t>
            </w:r>
          </w:p>
        </w:tc>
        <w:tc>
          <w:tcPr>
            <w:tcW w:w="3757" w:type="dxa"/>
          </w:tcPr>
          <w:p w14:paraId="7B90BD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3757" w:type="dxa"/>
          </w:tcPr>
          <w:p w14:paraId="7AAFAD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(1826,31)</w:t>
            </w:r>
          </w:p>
        </w:tc>
      </w:tr>
    </w:tbl>
    <w:p w14:paraId="01C82CF7" w14:textId="77777777" w:rsidR="00665165" w:rsidRPr="00925F26" w:rsidRDefault="00665165" w:rsidP="00925F26">
      <w:pPr>
        <w:autoSpaceDE w:val="0"/>
        <w:autoSpaceDN w:val="0"/>
        <w:adjustRightInd w:val="0"/>
        <w:jc w:val="both"/>
        <w:rPr>
          <w:color w:val="000000" w:themeColor="text1"/>
          <w:sz w:val="16"/>
          <w:szCs w:val="16"/>
        </w:rPr>
      </w:pPr>
    </w:p>
    <w:p w14:paraId="7771B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Ком. ВВС в лице Фалалеева и Шиманова писали письмо N 730570с А.И.Ш. (вход. (N Н-32/2176):</w:t>
      </w:r>
    </w:p>
    <w:p w14:paraId="618FD7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"Опыт боевых действий ночных бомбардировщиков 18 ВА полностью подтвердил необходимость иметь на каждом самолете два канала связи: один для связи с командным пунктом, второй для связи между самолетами и для связи со стартовой рацией, при взлетах и посадках.</w:t>
      </w:r>
    </w:p>
    <w:p w14:paraId="66489F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на отечественных самолетах Ер-2, Ил-4, Ли-2 только одной РСБ-3-бис не дает возможности поддерживать одновременно связь с КП и самолетами группы, требует в каждом отдельном случае перестройки рации с одной волны на другую, что лишает возможности постоянно управлять самолетами, в целях их взаимодействия и может вообще привести к полной потере связи.</w:t>
      </w:r>
    </w:p>
    <w:p w14:paraId="0B2968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Боевым применением самолетов В-25 и самолетов Ил-4, оборудованных командными станциями, установлено значительное улучшение в управлении самолетами, что позволило изменить боевые порядки и получить лучшие результаты поражения цели.</w:t>
      </w:r>
    </w:p>
    <w:p w14:paraId="4EAB3A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повышения эффективности взаимодействия отечественных бомбардировщиков, прошу Вашего распоряжения заводам НКАП выпускать самолеты Ер-2 и Ил-4 только оборудованными двумя радиостанциями РСБ-3-бис и РСИ-4 по ТТТ ГК НИИ ВВВС КА." (1879,141).</w:t>
      </w:r>
    </w:p>
    <w:p w14:paraId="19E356F2" w14:textId="77777777" w:rsidR="00665165" w:rsidRPr="00925F26" w:rsidRDefault="00665165" w:rsidP="00925F26">
      <w:pPr>
        <w:autoSpaceDE w:val="0"/>
        <w:autoSpaceDN w:val="0"/>
        <w:adjustRightInd w:val="0"/>
        <w:jc w:val="both"/>
        <w:rPr>
          <w:color w:val="000000" w:themeColor="text1"/>
          <w:sz w:val="16"/>
          <w:szCs w:val="16"/>
        </w:rPr>
      </w:pPr>
    </w:p>
    <w:p w14:paraId="418B34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года вышел приказ НКАП № 174, согласно которому с 1 мая 1945 завод № 84 переходил на выпуск гражданских машин – транспортных ЛИ-2Т и пассажирских ЛИ-2П (9461).</w:t>
      </w:r>
    </w:p>
    <w:p w14:paraId="1475100A" w14:textId="77777777" w:rsidR="00665165" w:rsidRPr="00925F26" w:rsidRDefault="00665165" w:rsidP="00925F26">
      <w:pPr>
        <w:autoSpaceDE w:val="0"/>
        <w:autoSpaceDN w:val="0"/>
        <w:adjustRightInd w:val="0"/>
        <w:jc w:val="both"/>
        <w:rPr>
          <w:color w:val="000000" w:themeColor="text1"/>
          <w:sz w:val="16"/>
          <w:szCs w:val="16"/>
        </w:rPr>
      </w:pPr>
    </w:p>
    <w:p w14:paraId="69F4FD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г. по пр. НКАП № 174 завод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с 1.05.1945 г. переведен на выпуск только пассажирского Ли-2П и грузового Ли-2 Г. Производство прекращено в соответствии с ПСМ № 947-407 от 1.04.1953 г.</w:t>
      </w:r>
    </w:p>
    <w:p w14:paraId="76A4E4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2EEF66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w:t>
      </w:r>
      <w:proofErr w:type="gramStart"/>
      <w:r w:rsidRPr="00925F26">
        <w:rPr>
          <w:color w:val="000000" w:themeColor="text1"/>
          <w:sz w:val="16"/>
          <w:szCs w:val="16"/>
        </w:rPr>
        <w:t>е  г.</w:t>
      </w:r>
      <w:proofErr w:type="gramEnd"/>
      <w:r w:rsidRPr="00925F26">
        <w:rPr>
          <w:color w:val="000000" w:themeColor="text1"/>
          <w:sz w:val="16"/>
          <w:szCs w:val="16"/>
        </w:rPr>
        <w:t xml:space="preserve"> завод располагался на двух площадках: старой (СКО, заготовительные и механические цеха) и новой (сборочные цеха, лаборатории, ЛИС).</w:t>
      </w:r>
    </w:p>
    <w:p w14:paraId="3137BB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421D5D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713-342 от 26.06.1957 г. передан в ведение СНХ Узбекской ССР.</w:t>
      </w:r>
    </w:p>
    <w:p w14:paraId="7B9E6D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 № 373-184 от 4.04.1957 г. на заводе начато освоение производства Ан-8 с двигателями АИ-20Д.</w:t>
      </w:r>
    </w:p>
    <w:p w14:paraId="07CCDA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w:t>
      </w:r>
      <w:proofErr w:type="gramStart"/>
      <w:r w:rsidRPr="00925F26">
        <w:rPr>
          <w:color w:val="000000" w:themeColor="text1"/>
          <w:sz w:val="16"/>
          <w:szCs w:val="16"/>
        </w:rPr>
        <w:t>х  г.</w:t>
      </w:r>
      <w:proofErr w:type="gramEnd"/>
      <w:r w:rsidRPr="00925F26">
        <w:rPr>
          <w:color w:val="000000" w:themeColor="text1"/>
          <w:sz w:val="16"/>
          <w:szCs w:val="16"/>
        </w:rPr>
        <w:t xml:space="preserve"> организовано представительство ОКБ на заводе № 84, руководитель- И. Г. Ермохин.</w:t>
      </w:r>
    </w:p>
    <w:p w14:paraId="58D93A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209597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приказом МАП № 119 от 10.06.1965 г. на заводе начался выпуск Ан-22.</w:t>
      </w:r>
    </w:p>
    <w:p w14:paraId="25E9EC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1973 г. на базе завода создано ТАПОиЧ.</w:t>
      </w:r>
    </w:p>
    <w:p w14:paraId="1A1FB3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2000-</w:t>
      </w:r>
      <w:proofErr w:type="gramStart"/>
      <w:r w:rsidRPr="00925F26">
        <w:rPr>
          <w:color w:val="000000" w:themeColor="text1"/>
          <w:sz w:val="16"/>
          <w:szCs w:val="16"/>
        </w:rPr>
        <w:t>е  г.</w:t>
      </w:r>
      <w:proofErr w:type="gramEnd"/>
      <w:r w:rsidRPr="00925F26">
        <w:rPr>
          <w:color w:val="000000" w:themeColor="text1"/>
          <w:sz w:val="16"/>
          <w:szCs w:val="16"/>
        </w:rPr>
        <w:t xml:space="preserve">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4D403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33E8C3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2007 г. планировалось вхождение ТАПОиЧ в </w:t>
      </w:r>
      <w:r w:rsidRPr="00925F26">
        <w:rPr>
          <w:color w:val="000000" w:themeColor="text1"/>
          <w:sz w:val="16"/>
          <w:szCs w:val="16"/>
          <w:lang w:val="en-US"/>
        </w:rPr>
        <w:t>OAK</w:t>
      </w:r>
      <w:r w:rsidRPr="00925F26">
        <w:rPr>
          <w:color w:val="000000" w:themeColor="text1"/>
          <w:sz w:val="16"/>
          <w:szCs w:val="16"/>
        </w:rPr>
        <w:t>.</w:t>
      </w:r>
    </w:p>
    <w:p w14:paraId="038F8E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оборудования: (11.1940 г.)- 477 металлорежущих станков.</w:t>
      </w:r>
    </w:p>
    <w:p w14:paraId="354C81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Численность персонала (1980-е)- около 50 тыс. чел., (2005 </w:t>
      </w:r>
      <w:proofErr w:type="gramStart"/>
      <w:r w:rsidRPr="00925F26">
        <w:rPr>
          <w:color w:val="000000" w:themeColor="text1"/>
          <w:sz w:val="16"/>
          <w:szCs w:val="16"/>
        </w:rPr>
        <w:t>г.)~</w:t>
      </w:r>
      <w:proofErr w:type="gramEnd"/>
      <w:r w:rsidRPr="00925F26">
        <w:rPr>
          <w:color w:val="000000" w:themeColor="text1"/>
          <w:sz w:val="16"/>
          <w:szCs w:val="16"/>
        </w:rPr>
        <w:t xml:space="preserve"> 12.000 чел.</w:t>
      </w:r>
    </w:p>
    <w:p w14:paraId="5322FC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(-01-4.07.1937 г.)- Ф.П. Мурашев (снят), (3.08.1937-2.02.1938 г.)- С.И. Савышев, (2.02-08.1938 г.-)- П.И. Осипенко, (1939-47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Ярунин, (1947 г.-)- А.Н. Рудин, Кабишев, (1969-73 г.)- В.Н. Сивец. Гендиректор (1973-84 г.)- В.Н. Сивец, (1996-11.2006 г.)- В.П. Кучеров.</w:t>
      </w:r>
    </w:p>
    <w:p w14:paraId="003253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(27.05-20.08.1937 г.)- С.И. Беляйкин, (06.1937 г.)- А.Р. Рубенчик, (-10.1940 г.)- А.П. Бугров, (12.1940 г.-)- Б.П. Лисунов.</w:t>
      </w:r>
    </w:p>
    <w:p w14:paraId="25B72B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7F1562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(-06-15.12.1937 г.)- А.Р. Рубенчик, (12.1940-46 г.)- Б.П. Лисунов.</w:t>
      </w:r>
    </w:p>
    <w:p w14:paraId="726063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(05(07). 1936-37</w:t>
      </w:r>
      <w:r w:rsidRPr="00925F26">
        <w:rPr>
          <w:color w:val="000000" w:themeColor="text1"/>
          <w:sz w:val="16"/>
          <w:szCs w:val="16"/>
          <w:lang w:val="en-US"/>
        </w:rPr>
        <w:t>r</w:t>
      </w:r>
      <w:r w:rsidRPr="00925F26">
        <w:rPr>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76D6BF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Начальшки отделов: ОКС и.о. (1938 г.)- Дьяков; АХО (1938 г.)- Дорофеев. Начальник УКС (08.2938 г.)- Белозеров.</w:t>
      </w:r>
    </w:p>
    <w:p w14:paraId="277BB2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отдела: ОТК (07.1943 г.-)- М.И. Гудков.</w:t>
      </w:r>
    </w:p>
    <w:p w14:paraId="4F85B2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отделений: гошово-шаблонного (-04.1938 г.)- Козлов.</w:t>
      </w:r>
    </w:p>
    <w:p w14:paraId="5728C1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Комендант завода (-16.07.1938 г.)- Самочкин (снят).</w:t>
      </w:r>
    </w:p>
    <w:p w14:paraId="51A58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Летчики-испытатели: (1996 г.)- В.И. Свиридов.</w:t>
      </w:r>
    </w:p>
    <w:p w14:paraId="5742803B"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 самолеты:</w:t>
      </w:r>
      <w:r w:rsidRPr="00925F26">
        <w:rPr>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925F26">
        <w:rPr>
          <w:color w:val="000000" w:themeColor="text1"/>
          <w:sz w:val="16"/>
          <w:szCs w:val="16"/>
          <w:vertAlign w:val="superscript"/>
        </w:rPr>
        <w:t>69</w:t>
      </w:r>
    </w:p>
    <w:p w14:paraId="2D3E4E0C"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Заводской номер:</w:t>
      </w:r>
      <w:r w:rsidRPr="00925F26">
        <w:rPr>
          <w:color w:val="000000" w:themeColor="text1"/>
          <w:sz w:val="16"/>
          <w:szCs w:val="16"/>
        </w:rPr>
        <w:t xml:space="preserve"> в 1958-59 г. был семизначным: 5340110-</w:t>
      </w:r>
      <w:r w:rsidRPr="00925F26">
        <w:rPr>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w:t>
      </w:r>
      <w:proofErr w:type="gramStart"/>
      <w:r w:rsidRPr="00925F26">
        <w:rPr>
          <w:iCs/>
          <w:color w:val="000000" w:themeColor="text1"/>
          <w:sz w:val="16"/>
          <w:szCs w:val="16"/>
        </w:rPr>
        <w:t>самолет</w:t>
      </w:r>
      <w:proofErr w:type="gramEnd"/>
      <w:r w:rsidRPr="00925F26">
        <w:rPr>
          <w:iCs/>
          <w:color w:val="000000" w:themeColor="text1"/>
          <w:sz w:val="16"/>
          <w:szCs w:val="16"/>
        </w:rPr>
        <w:t xml:space="preserve"> а в серии).</w:t>
      </w:r>
      <w:r w:rsidRPr="00925F26">
        <w:rPr>
          <w:color w:val="000000" w:themeColor="text1"/>
          <w:sz w:val="16"/>
          <w:szCs w:val="16"/>
        </w:rPr>
        <w:t xml:space="preserve"> С 1960 г. номер (для Ан-8) буквенно-цифровой:</w:t>
      </w:r>
      <w:r w:rsidRPr="00925F26">
        <w:rPr>
          <w:iCs/>
          <w:color w:val="000000" w:themeColor="text1"/>
          <w:sz w:val="16"/>
          <w:szCs w:val="16"/>
        </w:rPr>
        <w:t xml:space="preserve"> 1-я цифра (0 </w:t>
      </w:r>
      <w:r w:rsidRPr="00925F26">
        <w:rPr>
          <w:iCs/>
          <w:color w:val="000000" w:themeColor="text1"/>
          <w:sz w:val="16"/>
          <w:szCs w:val="16"/>
          <w:lang w:val="en-US"/>
        </w:rPr>
        <w:t>wiul</w:t>
      </w:r>
      <w:r w:rsidRPr="00925F26">
        <w:rPr>
          <w:iCs/>
          <w:color w:val="000000" w:themeColor="text1"/>
          <w:sz w:val="16"/>
          <w:szCs w:val="16"/>
        </w:rPr>
        <w:t>)- год выпуска, затем буква обозначала серию (А-Ж-для машин 1960 г., 3-К-для машин 1961 г.). Для</w:t>
      </w:r>
      <w:r w:rsidRPr="00925F26">
        <w:rPr>
          <w:color w:val="000000" w:themeColor="text1"/>
          <w:sz w:val="16"/>
          <w:szCs w:val="16"/>
        </w:rPr>
        <w:t xml:space="preserve"> Ан-12 до 06.1973 г. номер был восьмизначным:</w:t>
      </w:r>
      <w:r w:rsidRPr="00925F26">
        <w:rPr>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w:t>
      </w:r>
      <w:proofErr w:type="gramStart"/>
      <w:r w:rsidRPr="00925F26">
        <w:rPr>
          <w:iCs/>
          <w:color w:val="000000" w:themeColor="text1"/>
          <w:sz w:val="16"/>
          <w:szCs w:val="16"/>
        </w:rPr>
        <w:t>самолет</w:t>
      </w:r>
      <w:proofErr w:type="gramEnd"/>
      <w:r w:rsidRPr="00925F26">
        <w:rPr>
          <w:iCs/>
          <w:color w:val="000000" w:themeColor="text1"/>
          <w:sz w:val="16"/>
          <w:szCs w:val="16"/>
        </w:rPr>
        <w:t xml:space="preserve"> а в серии).</w:t>
      </w:r>
      <w:r w:rsidRPr="00925F26">
        <w:rPr>
          <w:color w:val="000000" w:themeColor="text1"/>
          <w:sz w:val="16"/>
          <w:szCs w:val="16"/>
        </w:rPr>
        <w:t xml:space="preserve"> С 06.1973 г. заводской номер- девятизначный: 053483311-</w:t>
      </w:r>
      <w:r w:rsidRPr="00925F26">
        <w:rPr>
          <w:iCs/>
          <w:color w:val="000000" w:themeColor="text1"/>
          <w:sz w:val="16"/>
          <w:szCs w:val="16"/>
        </w:rPr>
        <w:t xml:space="preserve"> первые 4 цифры сохранили свое значение, остальные- не имели смысла (но первой была 8) (11982).</w:t>
      </w:r>
    </w:p>
    <w:p w14:paraId="4A44EA71" w14:textId="77777777" w:rsidR="00665165" w:rsidRPr="00925F26" w:rsidRDefault="00665165" w:rsidP="00925F26">
      <w:pPr>
        <w:autoSpaceDE w:val="0"/>
        <w:autoSpaceDN w:val="0"/>
        <w:adjustRightInd w:val="0"/>
        <w:jc w:val="both"/>
        <w:rPr>
          <w:color w:val="000000" w:themeColor="text1"/>
          <w:sz w:val="16"/>
          <w:szCs w:val="16"/>
        </w:rPr>
      </w:pPr>
    </w:p>
    <w:p w14:paraId="50E2C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вышло Распоряжение ГКО № 8328. Об установлении на II квартал 1945 года плана производства 37 мм авиационных пушек. РГАНИР, Фонд ГКО, д. 406, лл. 84 (11012).</w:t>
      </w:r>
    </w:p>
    <w:p w14:paraId="260D2FD5" w14:textId="77777777" w:rsidR="00665165" w:rsidRPr="00925F26" w:rsidRDefault="00665165" w:rsidP="00925F26">
      <w:pPr>
        <w:autoSpaceDE w:val="0"/>
        <w:autoSpaceDN w:val="0"/>
        <w:adjustRightInd w:val="0"/>
        <w:jc w:val="both"/>
        <w:rPr>
          <w:color w:val="000000" w:themeColor="text1"/>
          <w:sz w:val="16"/>
          <w:szCs w:val="16"/>
        </w:rPr>
      </w:pPr>
    </w:p>
    <w:p w14:paraId="62F0C08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91756E2" w14:textId="77777777" w:rsidR="00665165" w:rsidRPr="00925F26" w:rsidRDefault="00665165" w:rsidP="00925F26">
      <w:pPr>
        <w:autoSpaceDE w:val="0"/>
        <w:autoSpaceDN w:val="0"/>
        <w:adjustRightInd w:val="0"/>
        <w:jc w:val="both"/>
        <w:rPr>
          <w:iCs/>
          <w:color w:val="000000" w:themeColor="text1"/>
          <w:sz w:val="16"/>
          <w:szCs w:val="16"/>
        </w:rPr>
      </w:pPr>
    </w:p>
    <w:p w14:paraId="1F6CF365"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27 апреля 1945, то есть раньше заданного срока, в испытательный пробег отправился первый образец Уралмаш-1. Как и следовало из приказа НКТП №107с, первой изготовили СУ-101, вооружённую 100-мм пушкой Д-10С.</w:t>
      </w:r>
    </w:p>
    <w:p w14:paraId="31C2349F"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сравнению с исходным проектом СУ-100М2 произошли существенные изменения, в том числе с точки зрения компоновки машины. От идеи размещения трансмиссии и ведущих колёс благоразумно отказались, поскольку это снижало объём боевого отделения и усложняло моторно-трансмиссионную группу. Теперь ведущие колёса и трансмиссия размещались в лобовой части корпуса. Разумеется, это усложняло обслуживание, вместе с тем ситуация выглядела не столь критично. Дело в том, что надмоторная плита состояла из двух секций, при этом для демонтажа коробки передач требовалось повернуть орудие максимально влево, поднять переднюю секцию плиты и снять радиатор, после чего можно было приступать к демонтажу КПП. Сложно, но по сравнению с чудесами эквилибристики, которые требовались для монтажа КПП у Jagdpanther, не так и проблемно. Сложнее обстояли дела с демонтажем и обслуживанием силовой установки. Там без демонтажа орудийной установки обойтись уже было невозможно.</w:t>
      </w:r>
    </w:p>
    <w:p w14:paraId="026983D1" w14:textId="48BB640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Существенным образом переработали и боевое отделение. В связи с обеспечением большей защиты бортов объём боевого отделения уменьшился, что привело к снижению боекомплекта. Вместо 40 патронов к Д-10С вместилось 36 штук. Вместе с тем за счёт исчезновения из боевого отделения элементов трансмиссии и кожуха вала его высота выросла. Кроме того, на уменьшение боекомплекта к Д-10С повлияла установка зенитного пулемёта ДШКМ. Боекомплект к зенитному пулемёту составил 7 коробок, не считая 16 дисков к пистолетам-пулемётам</w:t>
      </w:r>
      <w:r w:rsidR="00997EDF" w:rsidRPr="00925F26">
        <w:rPr>
          <w:color w:val="000000" w:themeColor="text1"/>
          <w:sz w:val="16"/>
          <w:szCs w:val="16"/>
        </w:rPr>
        <w:t xml:space="preserve">  </w:t>
      </w:r>
      <w:hyperlink r:id="rId106" w:history="1">
        <w:r w:rsidRPr="00925F26">
          <w:rPr>
            <w:rStyle w:val="a5"/>
            <w:rFonts w:eastAsiaTheme="majorEastAsia"/>
            <w:bCs/>
            <w:iCs/>
            <w:color w:val="000000" w:themeColor="text1"/>
            <w:sz w:val="16"/>
            <w:szCs w:val="16"/>
            <w:bdr w:val="none" w:sz="0" w:space="0" w:color="auto" w:frame="1"/>
          </w:rPr>
          <w:t>ППШ</w:t>
        </w:r>
      </w:hyperlink>
      <w:r w:rsidRPr="00925F26">
        <w:rPr>
          <w:color w:val="000000" w:themeColor="text1"/>
          <w:sz w:val="16"/>
          <w:szCs w:val="16"/>
        </w:rPr>
        <w:t>.</w:t>
      </w:r>
    </w:p>
    <w:p w14:paraId="24F2AA6A"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Перекомпоновка и увеличение броневой защиты сказались на боевой массе СУ-101. Она составила 34,09 т, то есть на 1,5 т больше проекта, подготовленного в марте 1945 года. С другой стороны, кормовое расположение боевого отделения позволило распределить эту нагрузку более равномерно. Кроме того, по результатам переработки проекта вылет ствола за пределы корпуса составил всего 600 мм. Вместе с тем срочность разработки машины не позволила реализовать некоторые из требований по доработке «Уралмаш-1». Например, тоннель из отделения управления в боевое отделение был предусмотрен, но отсутствовала изоляция моторно-трансмиссионного отделения. Имелись и другие недоработки, которые выявились уже в ходе заводских испытаний.</w:t>
      </w:r>
    </w:p>
    <w:p w14:paraId="0C8074E9"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 xml:space="preserve">По результатам первой обкатки СУ-100, проведённой 27 апреля 1945 года, были получены предварительные результаты. Отмечалось равномерное распределение нагрузки на опорные катки и хорошая работа торсионной подвески. Как показали первые испытания, подвижность СУ-101 не уступала СУ-100, поскольку на машине стоял более мощный двигатель В-44. Отмечался и хороший обзор с места механика-водителя. В отличие от Т-44, люк механика-водителя не вращался вокруг своей </w:t>
      </w:r>
      <w:r w:rsidRPr="00925F26">
        <w:rPr>
          <w:color w:val="000000" w:themeColor="text1"/>
          <w:sz w:val="16"/>
          <w:szCs w:val="16"/>
        </w:rPr>
        <w:lastRenderedPageBreak/>
        <w:t>оси, но сохранился перископический прибор MK-IV, а также возможность ехать в походном положении, высунувшись из люка. Также похвалы удостоился люк-дверца в кормовом листе рубки, облегчавший попадание внутрь боевого отделения и упрощавший загрузку боекомплекта.</w:t>
      </w:r>
    </w:p>
    <w:p w14:paraId="3711D54E" w14:textId="13900153"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Впрочем, хватало и отрицательных моментов. Одним из главнейших стал перегрев отделения управления. Виной тому стало отсутствие подобающей изоляции моторно-трансмиссионного отделения. Конечно, можно вспомнить Т-60,</w:t>
      </w:r>
      <w:r w:rsidR="00997EDF" w:rsidRPr="00925F26">
        <w:rPr>
          <w:color w:val="000000" w:themeColor="text1"/>
          <w:sz w:val="16"/>
          <w:szCs w:val="16"/>
        </w:rPr>
        <w:t xml:space="preserve">  </w:t>
      </w:r>
      <w:hyperlink r:id="rId107" w:history="1">
        <w:r w:rsidRPr="00925F26">
          <w:rPr>
            <w:rStyle w:val="a5"/>
            <w:rFonts w:eastAsiaTheme="majorEastAsia"/>
            <w:bCs/>
            <w:iCs/>
            <w:color w:val="000000" w:themeColor="text1"/>
            <w:sz w:val="16"/>
            <w:szCs w:val="16"/>
            <w:bdr w:val="none" w:sz="0" w:space="0" w:color="auto" w:frame="1"/>
          </w:rPr>
          <w:t>Т-70</w:t>
        </w:r>
      </w:hyperlink>
      <w:r w:rsidR="00997EDF" w:rsidRPr="00925F26">
        <w:rPr>
          <w:color w:val="000000" w:themeColor="text1"/>
          <w:sz w:val="16"/>
          <w:szCs w:val="16"/>
        </w:rPr>
        <w:t xml:space="preserve">  </w:t>
      </w:r>
      <w:r w:rsidRPr="00925F26">
        <w:rPr>
          <w:color w:val="000000" w:themeColor="text1"/>
          <w:sz w:val="16"/>
          <w:szCs w:val="16"/>
        </w:rPr>
        <w:t>и СУ-76М, где также по большей части отсутствовала моторная перегородка, но сравнивать лёгкие машины со средней САУ, имеющей куда более крупный и мощный мотор, некорректно. К тому же перегрев шёл и от коробки передач, и от тормозных лент. В результате уже весной ощущался серьёзный перегрев, от которого страдал прежде всего механик-водитель. Даже при открытом люке механик-водитель смог проехать по шоссе не более 7 км, после чего ему пришлось покинуть СУ-101. При этом температура воды и масла составляла 100-110 градусов. О марше длиной 10-15 км пришлось и вовсе забыть.</w:t>
      </w:r>
    </w:p>
    <w:p w14:paraId="4230CFD4"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Проблемы выявились не только с перегревом. Работа рычагом КПП оказалась неудобной: он был слишком сильно смещён вправо, не говоря уже о том, что сильно нагревался. Неудачной признали и идею с монтажом рычагов управления на верхнем лобовом листе. При попадании снарядов в верхний лобовой лист существовал высокий риск вывода их из строя, да и само расположение оказывалось неудобным. По этой причине во время испытания корпуса СУ-101 обстрелом размещение рычагов управления не учитывали.</w:t>
      </w:r>
    </w:p>
    <w:p w14:paraId="65A1BE39"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Проблемы, выявившиеся по результатам первых заводских испытаний, заставили существенно дорабатывать вторую опытную машину. В результате на испытания опытный образец СУ-102 вышел существенно позже графика — 24 июня 1945 года. Изначально от СУ-101 данная машина должна была отличаться орудийной установкой. В связи с тем, что система Д-25с отличалась большей массой, СУ-102 получилась тяжелее — 34,77 т. Боекомплект при этом снизился до 28 выстрелов. Впрочем, у СУ-122П боекомплект был ещё меньше (26 выстрелов), также не следует забывать о наличии в боекомплекте 4 коробов к ДШКМ.</w:t>
      </w:r>
    </w:p>
    <w:p w14:paraId="090B721E"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в конструкцию СУ-102 внесли 10 пунктов изменений. Для начала, система управления оказалась перекомпонованной. С верхнего лобового листа крепления большей части рычагов перенесли на пол. Сиденье механика-водителя перенесли на 250 мм назад, установили новые смотровые приборы в люке механика-водителя. Много работы было проведено и с точки зрения улучшения ситуации с температурным режимом. Ввели дополнительный вентилятор для обдува КПП и бортовых фрикционов, а также обдув коллектора мотора. Для снижения перегрева были установлены моторные перегородки, которые также прикрывали элементы трансмиссии; наконец, был увеличен водяной радиатор.</w:t>
      </w:r>
    </w:p>
    <w:p w14:paraId="1725A179"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второго обкаточного пробега выяснилось, что благодаря перекомпоновке системы управления управлять СУ-102 оказалось не менее удобно, чем СУ-100. Улучшилась ситуация и с температурным режимом. По крайней мере теперь машина могла безостановочно пройти 25-30 км. Впрочем, на низших передачах перегрев никуда не делся, что констатировали и представители УЗТМ. В результате обе машины отправились на доработку. Перед проведением основного этапа заводских испытаний обе машины прошли модернизацию. Теперь засос воздуха для двигателя осуществлялся не из моторного, а из боевого отделения. Для улучшения ситуации в отделении управления были сделаны двойные металлические стенки с асбестовой прокладкой, а секции перегородок герметизировали.</w:t>
      </w:r>
    </w:p>
    <w:p w14:paraId="19B057C1"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Перед пробеговыми испытаниями обе машины проверили на стрельбище. Расчёт СУ-101 смог произвести 10 выстрелов за 2 минуты 15 секунд, при этом были задействованы укладки как слева, так и справа. Отмечалось, что загазованность внутри боевого отделения оставалась в пределах нормы, нормально работал и электроспуск. Аналогичным образом прошли и огневые испытания СУ-102. При стрельбе была получена скорострельность 2 выстрела в минуту (19525).</w:t>
      </w:r>
    </w:p>
    <w:p w14:paraId="1D2354D1"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p>
    <w:p w14:paraId="3A7C2FBD" w14:textId="77777777" w:rsidR="008775A3" w:rsidRPr="00925F26" w:rsidRDefault="008775A3" w:rsidP="00925F26">
      <w:pPr>
        <w:jc w:val="both"/>
        <w:rPr>
          <w:color w:val="000000" w:themeColor="text1"/>
          <w:sz w:val="16"/>
          <w:szCs w:val="16"/>
        </w:rPr>
      </w:pPr>
      <w:r w:rsidRPr="00925F26">
        <w:rPr>
          <w:color w:val="000000" w:themeColor="text1"/>
          <w:sz w:val="16"/>
          <w:szCs w:val="16"/>
        </w:rPr>
        <w:t>27 апреля 1945 года на испытания вышел первый образец СУ-101, она же "Уралмаш-1". Эта САУ, ставшая самой защищенной в классе, дожила до наших дней (23527).</w:t>
      </w:r>
    </w:p>
    <w:p w14:paraId="49403B9A" w14:textId="77777777" w:rsidR="008775A3" w:rsidRPr="00925F26" w:rsidRDefault="008775A3" w:rsidP="00925F26">
      <w:pPr>
        <w:jc w:val="both"/>
        <w:rPr>
          <w:color w:val="000000" w:themeColor="text1"/>
          <w:sz w:val="16"/>
          <w:szCs w:val="16"/>
        </w:rPr>
      </w:pPr>
    </w:p>
    <w:p w14:paraId="6F79974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апреля 1945 года вышел приказ № 158с НКБ Москва</w:t>
      </w:r>
    </w:p>
    <w:p w14:paraId="26ACCE2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 от 19 апреля 1945 года за № 8206/сс “об организации в системе НКБ КБ и опытного завода по реактивным снарядам”:</w:t>
      </w:r>
    </w:p>
    <w:p w14:paraId="4E6DFF9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Организовать ГЦКБ № 1 НКБ с опытным заводом для изготовления новых образцов и опытных партий реактивных снарядов.</w:t>
      </w:r>
    </w:p>
    <w:p w14:paraId="6CF337F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Возложить на ГЦКБ № 1 НКБ задачу усовершенствования существующих и разработку новых конструкций реактивных снарядов (5761, 104-106).</w:t>
      </w:r>
    </w:p>
    <w:p w14:paraId="49B7F9F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1FC775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D7AB71E" w14:textId="77777777" w:rsidR="00665165" w:rsidRPr="00925F26" w:rsidRDefault="00665165" w:rsidP="00925F26">
      <w:pPr>
        <w:autoSpaceDE w:val="0"/>
        <w:autoSpaceDN w:val="0"/>
        <w:adjustRightInd w:val="0"/>
        <w:jc w:val="both"/>
        <w:rPr>
          <w:iCs/>
          <w:color w:val="000000" w:themeColor="text1"/>
          <w:sz w:val="16"/>
          <w:szCs w:val="16"/>
        </w:rPr>
      </w:pPr>
    </w:p>
    <w:p w14:paraId="27CFDF6E"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оперативная сводка Совинформбюро:</w:t>
      </w:r>
    </w:p>
    <w:p w14:paraId="6CBB3728" w14:textId="77777777" w:rsidR="009B0E9A" w:rsidRPr="00925F26" w:rsidRDefault="009B0E9A" w:rsidP="00925F26">
      <w:pPr>
        <w:jc w:val="both"/>
        <w:rPr>
          <w:color w:val="000000" w:themeColor="text1"/>
          <w:sz w:val="16"/>
          <w:szCs w:val="16"/>
        </w:rPr>
      </w:pPr>
      <w:r w:rsidRPr="00925F26">
        <w:rPr>
          <w:color w:val="000000" w:themeColor="text1"/>
          <w:sz w:val="16"/>
          <w:szCs w:val="16"/>
        </w:rPr>
        <w:t>«В течение 27 апреля юго-западнее города Пиллау войска 3-го Белорусского фронта, продолжая наступление на косе Фриш-Нерунг, продвинулись вперёд до 10 километров. В боях за 26 апреля в этом районе войска фронта взяли в плен более 3.000 немецких солдат и офицеров.</w:t>
      </w:r>
    </w:p>
    <w:p w14:paraId="653FDC36"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27 апреля овладели городами Пренцлау, Ангермюнде — важными опорными пунктами обороны немцев в западной Померании, а также заняли город Пелитц и крупные населённые пункты Ясенитц, Хаммер, Штольценбург, Пампов, Мевеген, Боок, Лекнитц, Бергхольц, Брюссов, Фаренвальде, Клоков, Бертиков, Грамцов, Пассов, Хоэн Ландин.</w:t>
      </w:r>
    </w:p>
    <w:p w14:paraId="5DEFE5FF"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Белорусского фронта, продолжая наступление, 27 апреля овладели городами Ратенов, Шпандау, Потсдам — важными узлами дорог и мощными опорными пунктами обороны немцев в центральной Германии. Одновременно войска фронта продолжали уличные бои в Берлине и заняли городские районы Нейкелльн, Темпельхоф и аэропорт Темпельхоф. В боях за 26 апреля в Берлине войска фронта взяли в плен более 8.500 немецких солдат и офицеров и захватили следующие трофеи: самолётов — 26, танков — 200, полевых орудий — 290.</w:t>
      </w:r>
    </w:p>
    <w:p w14:paraId="5757546E"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Украинского фронта и союзные нам англо-американские войска ударом с востока и запада рассекли фронт немецких войск и 25 апреля в 13 часов-30 минут соединились в центре Германии в районе города Торгау. Тем самым немецкие войска, находящиеся в северной Германии, отрезаны от немецких войск в южных районах Германии.</w:t>
      </w:r>
    </w:p>
    <w:p w14:paraId="4C4EF646"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войска фронта с боем овладели городом Виттенберг — важным опорным пунктом обороны немцев на реке Эльба и продолжали вести уличные бои в юго-западной части Берлина, где заняли городские районы Штеглиц и Шмаргендорф. В боях за 26 апреля войска фронта взяли в плен свыше 3.000 немецких солдат и офицеров и захватили 85 самолётов противника.</w:t>
      </w:r>
    </w:p>
    <w:p w14:paraId="0C4AAE01" w14:textId="77777777" w:rsidR="009B0E9A" w:rsidRPr="00925F26" w:rsidRDefault="009B0E9A" w:rsidP="00925F26">
      <w:pPr>
        <w:jc w:val="both"/>
        <w:rPr>
          <w:color w:val="000000" w:themeColor="text1"/>
          <w:sz w:val="16"/>
          <w:szCs w:val="16"/>
        </w:rPr>
      </w:pPr>
      <w:r w:rsidRPr="00925F26">
        <w:rPr>
          <w:color w:val="000000" w:themeColor="text1"/>
          <w:sz w:val="16"/>
          <w:szCs w:val="16"/>
        </w:rPr>
        <w:t>На территории Чехословакии войска 2-го Украинского фронта овладели городами Угерски Брод и Угерски Острог, а также заняли населённые пункты Суха Лоз, Хавржице, Влчнов, Глук и Блатнице.</w:t>
      </w:r>
    </w:p>
    <w:p w14:paraId="28021649" w14:textId="77777777" w:rsidR="009B0E9A" w:rsidRPr="00925F26" w:rsidRDefault="009B0E9A"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731DB1A7" w14:textId="77777777" w:rsidR="009B0E9A" w:rsidRPr="00925F26" w:rsidRDefault="009B0E9A" w:rsidP="00925F26">
      <w:pPr>
        <w:jc w:val="both"/>
        <w:rPr>
          <w:color w:val="000000" w:themeColor="text1"/>
          <w:sz w:val="16"/>
          <w:szCs w:val="16"/>
        </w:rPr>
      </w:pPr>
      <w:r w:rsidRPr="00925F26">
        <w:rPr>
          <w:color w:val="000000" w:themeColor="text1"/>
          <w:sz w:val="16"/>
          <w:szCs w:val="16"/>
        </w:rPr>
        <w:t>За 26 апреля на всех фронтах подбито и уничтожено 110 немецких танков и самоходных орудий. В воздушных боях и огнём зенитной артиллерии сбито 33 самолёта противника.</w:t>
      </w:r>
    </w:p>
    <w:p w14:paraId="55354A47" w14:textId="77777777" w:rsidR="009B0E9A" w:rsidRPr="00925F26" w:rsidRDefault="009B0E9A" w:rsidP="00925F26">
      <w:pPr>
        <w:jc w:val="both"/>
        <w:rPr>
          <w:color w:val="000000" w:themeColor="text1"/>
          <w:sz w:val="16"/>
          <w:szCs w:val="16"/>
        </w:rPr>
      </w:pPr>
      <w:r w:rsidRPr="00925F26">
        <w:rPr>
          <w:color w:val="000000" w:themeColor="text1"/>
          <w:sz w:val="16"/>
          <w:szCs w:val="16"/>
        </w:rPr>
        <w:t>Налёты нашей авиации на Свинемюнде и Грайфсвальд</w:t>
      </w:r>
    </w:p>
    <w:p w14:paraId="786F744F" w14:textId="77777777" w:rsidR="009B0E9A" w:rsidRPr="00925F26" w:rsidRDefault="009B0E9A" w:rsidP="00925F26">
      <w:pPr>
        <w:jc w:val="both"/>
        <w:rPr>
          <w:color w:val="000000" w:themeColor="text1"/>
          <w:sz w:val="16"/>
          <w:szCs w:val="16"/>
        </w:rPr>
      </w:pPr>
      <w:r w:rsidRPr="00925F26">
        <w:rPr>
          <w:color w:val="000000" w:themeColor="text1"/>
          <w:sz w:val="16"/>
          <w:szCs w:val="16"/>
        </w:rPr>
        <w:t>В ночь на 27 апреля наши тяжёлые бомбардировщики нанесли удары по военным объектам немцев в портах Свинемюнде и Грайфсвальде.</w:t>
      </w:r>
    </w:p>
    <w:p w14:paraId="66CDF7D4" w14:textId="77777777" w:rsidR="009B0E9A" w:rsidRPr="00925F26" w:rsidRDefault="009B0E9A" w:rsidP="00925F26">
      <w:pPr>
        <w:jc w:val="both"/>
        <w:rPr>
          <w:color w:val="000000" w:themeColor="text1"/>
          <w:sz w:val="16"/>
          <w:szCs w:val="16"/>
        </w:rPr>
      </w:pPr>
      <w:r w:rsidRPr="00925F26">
        <w:rPr>
          <w:color w:val="000000" w:themeColor="text1"/>
          <w:sz w:val="16"/>
          <w:szCs w:val="16"/>
        </w:rPr>
        <w:t>В результате бомбардировки в Свинемюнде на территории судостроительной верфи и в порту возникло более 20 пожаров, сопровождавшихся сильными взрывами. Отмечены прямые попадания бомб в два немецких транспорта, стоявших у причалов. В Грайфсвальде бомбардировкой вызваны большие пожары.</w:t>
      </w:r>
    </w:p>
    <w:p w14:paraId="06A9670C"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2-го Белорусского фронта развивали наступление. Противник подтянул свежие силы, в том числе части морской пехоты, и пытался задержать советские войска на урочище Рандов-Брух. Немцы взорвали все переправы через болота урочища и, опираясь на заранее подготовленный оборонительный рубеж, оказывали упорное сопротивление. Наши части переправились через Рандов-Брух и сломили вражеское сопротивление. Советские подвижные соединения с боями продвинулись вперёд на 20 километров и штурмом заняли город Пренцлау — важный узел железных и шоссейных дорог. Другие наши части овладели городом Ангермюнде— сильно укреплённым опорным пунктом обороны немцев. К Ангермюнде сходятся пять железных и несколько шоссейных дорог. Нашими войсками захвачены 57 орудий и другие трофеи. Взято в плен более 600 немецких солдат и офицеров.</w:t>
      </w:r>
    </w:p>
    <w:p w14:paraId="2BE2E178"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Белорусского фронта продолжали наступление. Наши части, продвигаясь вперёд, ворвались на улицы города Ратенов, расположенного в 60 километрах западнее Берлина. Укрепившиеся в каменных зданиях немцы упорно сопротивлялись. Советские кавалеристы обошли Ратенов с юга и в результате стремительного удара овладели городом. Наши войска, наступающие на Берлин с запада, с боями вступили в город Шпандау и прижали немцев к реке Хавель. Одновременно советские артиллеристы из северо-западных районов Берлина нанести огневой удар противнику с фланга и тыла. После непродолжительного, но ожесточённого боя наши войска разгромили вражеский гарнизон и овладели городом Шпандау. Захвачено 200 орудий и много других трофеев. Ожесточённые бои произошли за Потсдам. Закрепившись у канала и в полосе озёр, прикрывающих город с севера, противник оказывал отчаянное сопротивление. Советские танкисты и пехотинцы переправились через канал и в результате уличных боёв овладели городом Потсдам. Потсдам — бывшая резиденция королей Пруссии.</w:t>
      </w:r>
    </w:p>
    <w:p w14:paraId="39F09595" w14:textId="77777777" w:rsidR="009B0E9A" w:rsidRPr="00925F26" w:rsidRDefault="009B0E9A" w:rsidP="00925F26">
      <w:pPr>
        <w:jc w:val="both"/>
        <w:rPr>
          <w:color w:val="000000" w:themeColor="text1"/>
          <w:sz w:val="16"/>
          <w:szCs w:val="16"/>
        </w:rPr>
      </w:pPr>
      <w:r w:rsidRPr="00925F26">
        <w:rPr>
          <w:color w:val="000000" w:themeColor="text1"/>
          <w:sz w:val="16"/>
          <w:szCs w:val="16"/>
        </w:rPr>
        <w:t>В Берлине наши танки и пехота переправились через каналы Ландвер и Тельтов и ворвались на улицы городского района Нейкелльн. Немцы оборонялись у железнодорожной станции, превращенной в узел сопротивления. Советские бойцы, наступающие с востока, продвинулись в район кладбища Св. Фомы и ударом с тыла опрокинули противника. Преодолевая огневое сопротивление и отбивая вражеские контратаки, наши войска очистили от немцев городской район Темпельхоф и овладели аэропортом Темпельхоф. Заняты широковещательная радиостанция, здание Рейхсбанка, авиасборочный завод, электрокабельный завод и другие предприятия. В ходе уличных боёв в Берлине за день уничтожено свыше 8 тысяч немецких солдат и офицеров.</w:t>
      </w:r>
    </w:p>
    <w:p w14:paraId="5DA73890" w14:textId="77777777" w:rsidR="009B0E9A" w:rsidRPr="00925F26" w:rsidRDefault="009B0E9A" w:rsidP="00925F26">
      <w:pPr>
        <w:jc w:val="both"/>
        <w:rPr>
          <w:color w:val="000000" w:themeColor="text1"/>
          <w:sz w:val="16"/>
          <w:szCs w:val="16"/>
        </w:rPr>
      </w:pPr>
      <w:r w:rsidRPr="00925F26">
        <w:rPr>
          <w:color w:val="000000" w:themeColor="text1"/>
          <w:sz w:val="16"/>
          <w:szCs w:val="16"/>
        </w:rPr>
        <w:t xml:space="preserve">Войска 1-го Украинского фронта продолжали наступление. Советские пехотинцы, продвигаясь вперёд, вышли к восточным окраинам города Виттенберга — сильного опорного пункта обороны немцев на реке Эльба. Завязались ожесточённые бои, неоднократно переходившие в рукопашные схватки. Истребив на подступах к городу </w:t>
      </w:r>
      <w:r w:rsidRPr="00925F26">
        <w:rPr>
          <w:color w:val="000000" w:themeColor="text1"/>
          <w:sz w:val="16"/>
          <w:szCs w:val="16"/>
        </w:rPr>
        <w:lastRenderedPageBreak/>
        <w:t>до батальона гитлеровцев, наши бойцы ворвались на улицы Виттенберга. Другие наши части обошли город с севера. Ударами с двух сторон немецкий гарнизон был прижат к Эльбе и разгромлен. Часть немецких солдат прекратила сопротивление и сдалась в плен.</w:t>
      </w:r>
    </w:p>
    <w:p w14:paraId="7331D86E" w14:textId="77777777" w:rsidR="009B0E9A" w:rsidRPr="00925F26" w:rsidRDefault="009B0E9A" w:rsidP="00925F26">
      <w:pPr>
        <w:jc w:val="both"/>
        <w:rPr>
          <w:color w:val="000000" w:themeColor="text1"/>
          <w:sz w:val="16"/>
          <w:szCs w:val="16"/>
        </w:rPr>
      </w:pPr>
      <w:r w:rsidRPr="00925F26">
        <w:rPr>
          <w:color w:val="000000" w:themeColor="text1"/>
          <w:sz w:val="16"/>
          <w:szCs w:val="16"/>
        </w:rPr>
        <w:t>Советские кавалеристы захватили на одном из аэродромов 85 немецких самолётов.</w:t>
      </w:r>
    </w:p>
    <w:p w14:paraId="5A48F848" w14:textId="77777777" w:rsidR="009B0E9A" w:rsidRPr="00925F26" w:rsidRDefault="009B0E9A"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Балтийском море транспорт водоизмещением в 7 тысяч тонн и две быстроходные десантные баржи противника.</w:t>
      </w:r>
    </w:p>
    <w:p w14:paraId="3C69D9F8" w14:textId="77777777" w:rsidR="009B0E9A" w:rsidRPr="00925F26" w:rsidRDefault="009B0E9A" w:rsidP="00925F26">
      <w:pPr>
        <w:jc w:val="both"/>
        <w:rPr>
          <w:color w:val="000000" w:themeColor="text1"/>
          <w:sz w:val="16"/>
          <w:szCs w:val="16"/>
        </w:rPr>
      </w:pPr>
      <w:r w:rsidRPr="00925F26">
        <w:rPr>
          <w:color w:val="000000" w:themeColor="text1"/>
          <w:sz w:val="16"/>
          <w:szCs w:val="16"/>
        </w:rPr>
        <w:t>Авиацией флота в южной части Балтийского моря потоплены транспорт водоизмещением в 3 тысячи тонн, шесть быстроходных десантных барж и девять немецких катеров.» (15112).</w:t>
      </w:r>
    </w:p>
    <w:p w14:paraId="43DBC394" w14:textId="77777777" w:rsidR="009B0E9A" w:rsidRPr="00925F26" w:rsidRDefault="009B0E9A" w:rsidP="00925F26">
      <w:pPr>
        <w:jc w:val="both"/>
        <w:rPr>
          <w:color w:val="000000" w:themeColor="text1"/>
          <w:sz w:val="16"/>
          <w:szCs w:val="16"/>
        </w:rPr>
      </w:pPr>
    </w:p>
    <w:p w14:paraId="60EADF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w:t>
      </w:r>
    </w:p>
    <w:p w14:paraId="2D8770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F5689" w:rsidRPr="00925F26" w14:paraId="637DCADA" w14:textId="77777777">
        <w:tc>
          <w:tcPr>
            <w:tcW w:w="1601" w:type="dxa"/>
            <w:tcBorders>
              <w:top w:val="single" w:sz="12" w:space="0" w:color="auto"/>
            </w:tcBorders>
          </w:tcPr>
          <w:p w14:paraId="3FFAE6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Периоды </w:t>
            </w:r>
          </w:p>
        </w:tc>
        <w:tc>
          <w:tcPr>
            <w:tcW w:w="1601" w:type="dxa"/>
            <w:tcBorders>
              <w:top w:val="single" w:sz="12" w:space="0" w:color="auto"/>
            </w:tcBorders>
          </w:tcPr>
          <w:p w14:paraId="1768CE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27.06.42-18.09.42</w:t>
            </w:r>
          </w:p>
        </w:tc>
        <w:tc>
          <w:tcPr>
            <w:tcW w:w="1601" w:type="dxa"/>
            <w:tcBorders>
              <w:top w:val="single" w:sz="12" w:space="0" w:color="auto"/>
            </w:tcBorders>
          </w:tcPr>
          <w:p w14:paraId="2ACCD1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26.01.43-01.04.43</w:t>
            </w:r>
          </w:p>
        </w:tc>
        <w:tc>
          <w:tcPr>
            <w:tcW w:w="1601" w:type="dxa"/>
            <w:tcBorders>
              <w:top w:val="single" w:sz="12" w:space="0" w:color="auto"/>
            </w:tcBorders>
          </w:tcPr>
          <w:p w14:paraId="0E9E7B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05.07.43-30.07.43</w:t>
            </w:r>
          </w:p>
        </w:tc>
        <w:tc>
          <w:tcPr>
            <w:tcW w:w="1601" w:type="dxa"/>
            <w:tcBorders>
              <w:top w:val="single" w:sz="12" w:space="0" w:color="auto"/>
            </w:tcBorders>
          </w:tcPr>
          <w:p w14:paraId="70F736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01.08.43-31.08.43 </w:t>
            </w:r>
          </w:p>
        </w:tc>
        <w:tc>
          <w:tcPr>
            <w:tcW w:w="1601" w:type="dxa"/>
            <w:tcBorders>
              <w:top w:val="single" w:sz="12" w:space="0" w:color="auto"/>
            </w:tcBorders>
          </w:tcPr>
          <w:p w14:paraId="570306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01.09.43-27.04.45</w:t>
            </w:r>
          </w:p>
        </w:tc>
        <w:tc>
          <w:tcPr>
            <w:tcW w:w="1601" w:type="dxa"/>
            <w:tcBorders>
              <w:top w:val="single" w:sz="12" w:space="0" w:color="auto"/>
            </w:tcBorders>
          </w:tcPr>
          <w:p w14:paraId="2A1786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27.06.42-27.04.45</w:t>
            </w:r>
          </w:p>
        </w:tc>
      </w:tr>
      <w:tr w:rsidR="000F5689" w:rsidRPr="00925F26" w14:paraId="1FBB3473" w14:textId="77777777">
        <w:tc>
          <w:tcPr>
            <w:tcW w:w="1601" w:type="dxa"/>
          </w:tcPr>
          <w:p w14:paraId="6BDC07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Общее кол-во боевых вылетов полка</w:t>
            </w:r>
          </w:p>
        </w:tc>
        <w:tc>
          <w:tcPr>
            <w:tcW w:w="1601" w:type="dxa"/>
          </w:tcPr>
          <w:p w14:paraId="730F1E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236</w:t>
            </w:r>
          </w:p>
        </w:tc>
        <w:tc>
          <w:tcPr>
            <w:tcW w:w="1601" w:type="dxa"/>
          </w:tcPr>
          <w:p w14:paraId="260B74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w:t>
            </w:r>
          </w:p>
        </w:tc>
        <w:tc>
          <w:tcPr>
            <w:tcW w:w="1601" w:type="dxa"/>
          </w:tcPr>
          <w:p w14:paraId="20917E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258</w:t>
            </w:r>
          </w:p>
        </w:tc>
        <w:tc>
          <w:tcPr>
            <w:tcW w:w="1601" w:type="dxa"/>
          </w:tcPr>
          <w:p w14:paraId="089D2C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253</w:t>
            </w:r>
          </w:p>
        </w:tc>
        <w:tc>
          <w:tcPr>
            <w:tcW w:w="1601" w:type="dxa"/>
          </w:tcPr>
          <w:p w14:paraId="10C44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3325</w:t>
            </w:r>
          </w:p>
        </w:tc>
        <w:tc>
          <w:tcPr>
            <w:tcW w:w="1601" w:type="dxa"/>
          </w:tcPr>
          <w:p w14:paraId="53D7FA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4282</w:t>
            </w:r>
          </w:p>
        </w:tc>
      </w:tr>
      <w:tr w:rsidR="000F5689" w:rsidRPr="00925F26" w14:paraId="5FD3CE28" w14:textId="77777777">
        <w:tc>
          <w:tcPr>
            <w:tcW w:w="1601" w:type="dxa"/>
          </w:tcPr>
          <w:p w14:paraId="6BD7E9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Кол-во боевых дней по отношению к общему кол-ву дней пребывания полка на фронте, %</w:t>
            </w:r>
          </w:p>
        </w:tc>
        <w:tc>
          <w:tcPr>
            <w:tcW w:w="1601" w:type="dxa"/>
          </w:tcPr>
          <w:p w14:paraId="5514B0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w:t>
            </w:r>
          </w:p>
        </w:tc>
        <w:tc>
          <w:tcPr>
            <w:tcW w:w="1601" w:type="dxa"/>
          </w:tcPr>
          <w:p w14:paraId="15C9C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34,9</w:t>
            </w:r>
          </w:p>
        </w:tc>
        <w:tc>
          <w:tcPr>
            <w:tcW w:w="1601" w:type="dxa"/>
          </w:tcPr>
          <w:p w14:paraId="78C42E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63,3</w:t>
            </w:r>
          </w:p>
        </w:tc>
        <w:tc>
          <w:tcPr>
            <w:tcW w:w="1601" w:type="dxa"/>
          </w:tcPr>
          <w:p w14:paraId="19422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1601" w:type="dxa"/>
          </w:tcPr>
          <w:p w14:paraId="1A06A2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w:t>
            </w:r>
          </w:p>
        </w:tc>
        <w:tc>
          <w:tcPr>
            <w:tcW w:w="1601" w:type="dxa"/>
          </w:tcPr>
          <w:p w14:paraId="0B8A9D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w:t>
            </w:r>
          </w:p>
        </w:tc>
      </w:tr>
      <w:tr w:rsidR="000F5689" w:rsidRPr="00925F26" w14:paraId="330A2F48" w14:textId="77777777">
        <w:tc>
          <w:tcPr>
            <w:tcW w:w="1601" w:type="dxa"/>
          </w:tcPr>
          <w:p w14:paraId="5B98BF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Кол-во боевых вылетов, приходящихся на одну боевую потерю Ил-2</w:t>
            </w:r>
          </w:p>
        </w:tc>
        <w:tc>
          <w:tcPr>
            <w:tcW w:w="1601" w:type="dxa"/>
          </w:tcPr>
          <w:p w14:paraId="0E0406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1601" w:type="dxa"/>
          </w:tcPr>
          <w:p w14:paraId="4B68F8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w:t>
            </w:r>
          </w:p>
        </w:tc>
        <w:tc>
          <w:tcPr>
            <w:tcW w:w="1601" w:type="dxa"/>
          </w:tcPr>
          <w:p w14:paraId="1524DA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w:t>
            </w:r>
          </w:p>
        </w:tc>
        <w:tc>
          <w:tcPr>
            <w:tcW w:w="1601" w:type="dxa"/>
          </w:tcPr>
          <w:p w14:paraId="41E6E8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w:t>
            </w:r>
          </w:p>
        </w:tc>
        <w:tc>
          <w:tcPr>
            <w:tcW w:w="1601" w:type="dxa"/>
          </w:tcPr>
          <w:p w14:paraId="52680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69,3</w:t>
            </w:r>
          </w:p>
        </w:tc>
        <w:tc>
          <w:tcPr>
            <w:tcW w:w="1601" w:type="dxa"/>
          </w:tcPr>
          <w:p w14:paraId="7CA72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w:t>
            </w:r>
          </w:p>
        </w:tc>
      </w:tr>
      <w:tr w:rsidR="000F5689" w:rsidRPr="00925F26" w14:paraId="48114505" w14:textId="77777777">
        <w:tc>
          <w:tcPr>
            <w:tcW w:w="1601" w:type="dxa"/>
            <w:tcBorders>
              <w:bottom w:val="single" w:sz="12" w:space="0" w:color="auto"/>
            </w:tcBorders>
          </w:tcPr>
          <w:p w14:paraId="28C4BD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1E98DB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18,2</w:t>
            </w:r>
          </w:p>
        </w:tc>
        <w:tc>
          <w:tcPr>
            <w:tcW w:w="1601" w:type="dxa"/>
            <w:tcBorders>
              <w:bottom w:val="single" w:sz="12" w:space="0" w:color="auto"/>
            </w:tcBorders>
          </w:tcPr>
          <w:p w14:paraId="693169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601" w:type="dxa"/>
            <w:tcBorders>
              <w:bottom w:val="single" w:sz="12" w:space="0" w:color="auto"/>
            </w:tcBorders>
          </w:tcPr>
          <w:p w14:paraId="279AB7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w:t>
            </w:r>
          </w:p>
        </w:tc>
        <w:tc>
          <w:tcPr>
            <w:tcW w:w="1601" w:type="dxa"/>
            <w:tcBorders>
              <w:bottom w:val="single" w:sz="12" w:space="0" w:color="auto"/>
            </w:tcBorders>
          </w:tcPr>
          <w:p w14:paraId="75734A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84,3</w:t>
            </w:r>
          </w:p>
        </w:tc>
        <w:tc>
          <w:tcPr>
            <w:tcW w:w="1601" w:type="dxa"/>
            <w:tcBorders>
              <w:bottom w:val="single" w:sz="12" w:space="0" w:color="auto"/>
            </w:tcBorders>
          </w:tcPr>
          <w:p w14:paraId="62F011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127,9</w:t>
            </w:r>
          </w:p>
        </w:tc>
        <w:tc>
          <w:tcPr>
            <w:tcW w:w="1601" w:type="dxa"/>
            <w:tcBorders>
              <w:bottom w:val="single" w:sz="12" w:space="0" w:color="auto"/>
            </w:tcBorders>
          </w:tcPr>
          <w:p w14:paraId="2ED8A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55,9</w:t>
            </w:r>
          </w:p>
        </w:tc>
      </w:tr>
    </w:tbl>
    <w:p w14:paraId="59919E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(12020).</w:t>
      </w:r>
    </w:p>
    <w:p w14:paraId="426F962C" w14:textId="77777777" w:rsidR="00665165" w:rsidRPr="00925F26" w:rsidRDefault="00665165" w:rsidP="00925F26">
      <w:pPr>
        <w:autoSpaceDE w:val="0"/>
        <w:autoSpaceDN w:val="0"/>
        <w:adjustRightInd w:val="0"/>
        <w:jc w:val="both"/>
        <w:rPr>
          <w:color w:val="000000" w:themeColor="text1"/>
          <w:sz w:val="16"/>
          <w:szCs w:val="16"/>
        </w:rPr>
      </w:pPr>
    </w:p>
    <w:p w14:paraId="4DE0E8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 апреля 1945 за отличную работу на поле боя в районе Тржебовице, Поруба 571-й шап получил благодарность от командующего 60А генерала П. А. Курочкина (11157).</w:t>
      </w:r>
    </w:p>
    <w:p w14:paraId="4854CF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C89A0D0" w14:textId="77777777" w:rsidR="009B2258" w:rsidRPr="00925F26" w:rsidRDefault="009B2258" w:rsidP="00925F26">
      <w:pPr>
        <w:jc w:val="both"/>
        <w:rPr>
          <w:color w:val="000000" w:themeColor="text1"/>
          <w:sz w:val="16"/>
          <w:szCs w:val="16"/>
        </w:rPr>
      </w:pPr>
      <w:r w:rsidRPr="00925F26">
        <w:rPr>
          <w:color w:val="000000" w:themeColor="text1"/>
          <w:sz w:val="16"/>
          <w:szCs w:val="16"/>
        </w:rPr>
        <w:t>27 апреля 1945 г. воздухоплаватель 1-го отряда старший лейтенант А.С. Гринёв за один подъём про</w:t>
      </w:r>
      <w:r w:rsidRPr="00925F26">
        <w:rPr>
          <w:color w:val="000000" w:themeColor="text1"/>
          <w:sz w:val="16"/>
          <w:szCs w:val="16"/>
        </w:rPr>
        <w:softHyphen/>
        <w:t>вёл две корректировки огня. В результате подавлено 2 вражеские батареи (20120).</w:t>
      </w:r>
    </w:p>
    <w:p w14:paraId="36EB2687" w14:textId="77777777" w:rsidR="009B2258" w:rsidRPr="00925F26" w:rsidRDefault="009B2258" w:rsidP="00925F26">
      <w:pPr>
        <w:jc w:val="both"/>
        <w:rPr>
          <w:color w:val="000000" w:themeColor="text1"/>
          <w:sz w:val="16"/>
          <w:szCs w:val="16"/>
        </w:rPr>
      </w:pPr>
    </w:p>
    <w:p w14:paraId="789E929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апреля 1945 советские войска заняли г. Потсдам (Германия) (4962).</w:t>
      </w:r>
    </w:p>
    <w:p w14:paraId="766AF01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8899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части ВВС РОА на дороге между Цвизелем и Реген-сбургом начали сдавать оружие, переходя в плен к американцам. Мальцев успел еще связаться с Власовым, предложив ему перелететь в нейтральную страну, Испанию или Португалию, где тот мог бы укрыться. К вылету был подготовлен FJ156 “Шторх” капитана Анти-левского, но Власов отверг эту мысль, сочтя невозможным покинуть свою армию в тяжелейшую минуту (4538).</w:t>
      </w:r>
    </w:p>
    <w:p w14:paraId="3662E407" w14:textId="77777777" w:rsidR="00665165" w:rsidRPr="00925F26" w:rsidRDefault="00665165" w:rsidP="00925F26">
      <w:pPr>
        <w:autoSpaceDE w:val="0"/>
        <w:autoSpaceDN w:val="0"/>
        <w:adjustRightInd w:val="0"/>
        <w:jc w:val="both"/>
        <w:rPr>
          <w:color w:val="000000" w:themeColor="text1"/>
          <w:sz w:val="16"/>
          <w:szCs w:val="16"/>
        </w:rPr>
      </w:pPr>
    </w:p>
    <w:p w14:paraId="0AD2B5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 апреля 1945 за отличную работу на поле боя в районе Тржебовице и Поруба 571-й шап получил благо</w:t>
      </w:r>
      <w:r w:rsidRPr="00925F26">
        <w:rPr>
          <w:color w:val="000000" w:themeColor="text1"/>
          <w:sz w:val="16"/>
          <w:szCs w:val="16"/>
        </w:rPr>
        <w:softHyphen/>
        <w:t>дарность от командующего 60-й армией генерала П.А. Курочкина (10681).</w:t>
      </w:r>
    </w:p>
    <w:p w14:paraId="508D1B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066C4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199628A" w14:textId="77777777" w:rsidR="00665165" w:rsidRPr="00925F26" w:rsidRDefault="00665165" w:rsidP="00925F26">
      <w:pPr>
        <w:autoSpaceDE w:val="0"/>
        <w:autoSpaceDN w:val="0"/>
        <w:adjustRightInd w:val="0"/>
        <w:jc w:val="both"/>
        <w:rPr>
          <w:iCs/>
          <w:color w:val="000000" w:themeColor="text1"/>
          <w:sz w:val="16"/>
          <w:szCs w:val="16"/>
        </w:rPr>
      </w:pPr>
    </w:p>
    <w:p w14:paraId="44660F17"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под управлением Хорста Зигфрида состоялся первый полет опытного экземпляра «Р-2.01» швейцарского УТС «Р-2». Заводские испытания прошли вполне успешно в сентябре 1945 года самолёт был представлен для тестовых полетов ВВС Швейцарии. Одновременно для статических испытаний был подготовлен «Р-2.02» (15112).</w:t>
      </w:r>
    </w:p>
    <w:p w14:paraId="1A5DBFB9" w14:textId="77777777" w:rsidR="009B0E9A" w:rsidRPr="00925F26" w:rsidRDefault="009B0E9A" w:rsidP="00925F26">
      <w:pPr>
        <w:jc w:val="both"/>
        <w:rPr>
          <w:color w:val="000000" w:themeColor="text1"/>
          <w:sz w:val="16"/>
          <w:szCs w:val="16"/>
        </w:rPr>
      </w:pPr>
    </w:p>
    <w:p w14:paraId="28EAFDC7" w14:textId="77777777" w:rsidR="009B2258" w:rsidRPr="00925F26" w:rsidRDefault="009B2258" w:rsidP="00925F26">
      <w:pPr>
        <w:jc w:val="both"/>
        <w:rPr>
          <w:color w:val="000000" w:themeColor="text1"/>
          <w:sz w:val="16"/>
          <w:szCs w:val="16"/>
        </w:rPr>
      </w:pPr>
      <w:r w:rsidRPr="00925F26">
        <w:rPr>
          <w:color w:val="000000" w:themeColor="text1"/>
          <w:sz w:val="16"/>
          <w:szCs w:val="16"/>
        </w:rPr>
        <w:t>27 апреля 1945 первый полет Pilatus P-2 (20371).</w:t>
      </w:r>
    </w:p>
    <w:p w14:paraId="5A1685FF" w14:textId="77777777" w:rsidR="009B2258" w:rsidRPr="00925F26" w:rsidRDefault="009B2258" w:rsidP="00925F26">
      <w:pPr>
        <w:jc w:val="both"/>
        <w:rPr>
          <w:color w:val="000000" w:themeColor="text1"/>
          <w:sz w:val="16"/>
          <w:szCs w:val="16"/>
        </w:rPr>
      </w:pPr>
    </w:p>
    <w:p w14:paraId="2D1F6526" w14:textId="1A9CAE48" w:rsidR="009B2258" w:rsidRPr="00925F26" w:rsidRDefault="009B2258" w:rsidP="00925F26">
      <w:pPr>
        <w:jc w:val="both"/>
        <w:rPr>
          <w:color w:val="000000" w:themeColor="text1"/>
          <w:sz w:val="16"/>
          <w:szCs w:val="16"/>
        </w:rPr>
      </w:pPr>
      <w:r w:rsidRPr="00925F26">
        <w:rPr>
          <w:color w:val="000000" w:themeColor="text1"/>
          <w:sz w:val="16"/>
          <w:szCs w:val="16"/>
        </w:rPr>
        <w:t xml:space="preserve">27 апреля 1945 года — первый полёт учебно-тренировочного </w:t>
      </w:r>
      <w:proofErr w:type="gramStart"/>
      <w:r w:rsidRPr="00925F26">
        <w:rPr>
          <w:color w:val="000000" w:themeColor="text1"/>
          <w:sz w:val="16"/>
          <w:szCs w:val="16"/>
        </w:rPr>
        <w:t>самолёта</w:t>
      </w:r>
      <w:r w:rsidR="00997EDF" w:rsidRPr="00925F26">
        <w:rPr>
          <w:color w:val="000000" w:themeColor="text1"/>
          <w:sz w:val="16"/>
          <w:szCs w:val="16"/>
        </w:rPr>
        <w:t xml:space="preserve">  </w:t>
      </w:r>
      <w:r w:rsidRPr="00925F26">
        <w:rPr>
          <w:color w:val="000000" w:themeColor="text1"/>
          <w:sz w:val="16"/>
          <w:szCs w:val="16"/>
        </w:rPr>
        <w:t>Pilatus</w:t>
      </w:r>
      <w:proofErr w:type="gramEnd"/>
      <w:r w:rsidRPr="00925F26">
        <w:rPr>
          <w:color w:val="000000" w:themeColor="text1"/>
          <w:sz w:val="16"/>
          <w:szCs w:val="16"/>
        </w:rPr>
        <w:t xml:space="preserve"> P-2</w:t>
      </w:r>
    </w:p>
    <w:p w14:paraId="287830A8" w14:textId="6F442C81" w:rsidR="009B2258" w:rsidRPr="00925F26" w:rsidRDefault="009B2258" w:rsidP="00925F26">
      <w:pPr>
        <w:jc w:val="both"/>
        <w:rPr>
          <w:color w:val="000000" w:themeColor="text1"/>
          <w:sz w:val="16"/>
          <w:szCs w:val="16"/>
        </w:rPr>
      </w:pPr>
      <w:r w:rsidRPr="00925F26">
        <w:rPr>
          <w:color w:val="000000" w:themeColor="text1"/>
          <w:sz w:val="16"/>
          <w:szCs w:val="16"/>
        </w:rPr>
        <w:t xml:space="preserve">С началом Второй мировой войны швейцарские ВВС </w:t>
      </w:r>
      <w:proofErr w:type="gramStart"/>
      <w:r w:rsidRPr="00925F26">
        <w:rPr>
          <w:color w:val="000000" w:themeColor="text1"/>
          <w:sz w:val="16"/>
          <w:szCs w:val="16"/>
        </w:rPr>
        <w:t>ощутили</w:t>
      </w:r>
      <w:r w:rsidR="00997EDF" w:rsidRPr="00925F26">
        <w:rPr>
          <w:color w:val="000000" w:themeColor="text1"/>
          <w:sz w:val="16"/>
          <w:szCs w:val="16"/>
        </w:rPr>
        <w:t xml:space="preserve">  </w:t>
      </w:r>
      <w:r w:rsidRPr="00925F26">
        <w:rPr>
          <w:color w:val="000000" w:themeColor="text1"/>
          <w:sz w:val="16"/>
          <w:szCs w:val="16"/>
        </w:rPr>
        <w:t>проблемы</w:t>
      </w:r>
      <w:proofErr w:type="gramEnd"/>
      <w:r w:rsidRPr="00925F26">
        <w:rPr>
          <w:color w:val="000000" w:themeColor="text1"/>
          <w:sz w:val="16"/>
          <w:szCs w:val="16"/>
        </w:rPr>
        <w:t xml:space="preserve"> с поставками учебных самолётов. Попытка приобрести лицензию на производство </w:t>
      </w:r>
      <w:proofErr w:type="gramStart"/>
      <w:r w:rsidRPr="00925F26">
        <w:rPr>
          <w:color w:val="000000" w:themeColor="text1"/>
          <w:sz w:val="16"/>
          <w:szCs w:val="16"/>
        </w:rPr>
        <w:t>немецкого</w:t>
      </w:r>
      <w:r w:rsidR="00997EDF" w:rsidRPr="00925F26">
        <w:rPr>
          <w:color w:val="000000" w:themeColor="text1"/>
          <w:sz w:val="16"/>
          <w:szCs w:val="16"/>
        </w:rPr>
        <w:t xml:space="preserve">  </w:t>
      </w:r>
      <w:r w:rsidRPr="00925F26">
        <w:rPr>
          <w:color w:val="000000" w:themeColor="text1"/>
          <w:sz w:val="16"/>
          <w:szCs w:val="16"/>
        </w:rPr>
        <w:t>Arado</w:t>
      </w:r>
      <w:proofErr w:type="gramEnd"/>
      <w:r w:rsidRPr="00925F26">
        <w:rPr>
          <w:color w:val="000000" w:themeColor="text1"/>
          <w:sz w:val="16"/>
          <w:szCs w:val="16"/>
        </w:rPr>
        <w:t xml:space="preserve"> Ar-</w:t>
      </w:r>
      <w:proofErr w:type="gramStart"/>
      <w:r w:rsidRPr="00925F26">
        <w:rPr>
          <w:color w:val="000000" w:themeColor="text1"/>
          <w:sz w:val="16"/>
          <w:szCs w:val="16"/>
        </w:rPr>
        <w:t>96</w:t>
      </w:r>
      <w:r w:rsidR="00997EDF" w:rsidRPr="00925F26">
        <w:rPr>
          <w:color w:val="000000" w:themeColor="text1"/>
          <w:sz w:val="16"/>
          <w:szCs w:val="16"/>
        </w:rPr>
        <w:t xml:space="preserve">  </w:t>
      </w:r>
      <w:r w:rsidRPr="00925F26">
        <w:rPr>
          <w:color w:val="000000" w:themeColor="text1"/>
          <w:sz w:val="16"/>
          <w:szCs w:val="16"/>
        </w:rPr>
        <w:t>или</w:t>
      </w:r>
      <w:proofErr w:type="gramEnd"/>
      <w:r w:rsidRPr="00925F26">
        <w:rPr>
          <w:color w:val="000000" w:themeColor="text1"/>
          <w:sz w:val="16"/>
          <w:szCs w:val="16"/>
        </w:rPr>
        <w:t xml:space="preserve"> </w:t>
      </w:r>
      <w:proofErr w:type="gramStart"/>
      <w:r w:rsidRPr="00925F26">
        <w:rPr>
          <w:color w:val="000000" w:themeColor="text1"/>
          <w:sz w:val="16"/>
          <w:szCs w:val="16"/>
        </w:rPr>
        <w:t>итальянского</w:t>
      </w:r>
      <w:r w:rsidR="00997EDF" w:rsidRPr="00925F26">
        <w:rPr>
          <w:color w:val="000000" w:themeColor="text1"/>
          <w:sz w:val="16"/>
          <w:szCs w:val="16"/>
        </w:rPr>
        <w:t xml:space="preserve">  </w:t>
      </w:r>
      <w:r w:rsidRPr="00925F26">
        <w:rPr>
          <w:color w:val="000000" w:themeColor="text1"/>
          <w:sz w:val="16"/>
          <w:szCs w:val="16"/>
        </w:rPr>
        <w:t>Ambrosini</w:t>
      </w:r>
      <w:proofErr w:type="gramEnd"/>
      <w:r w:rsidRPr="00925F26">
        <w:rPr>
          <w:color w:val="000000" w:themeColor="text1"/>
          <w:sz w:val="16"/>
          <w:szCs w:val="16"/>
        </w:rPr>
        <w:t xml:space="preserve"> SAI.7</w:t>
      </w:r>
      <w:proofErr w:type="gramStart"/>
      <w:r w:rsidRPr="00925F26">
        <w:rPr>
          <w:color w:val="000000" w:themeColor="text1"/>
          <w:sz w:val="16"/>
          <w:szCs w:val="16"/>
        </w:rPr>
        <w:t>T</w:t>
      </w:r>
      <w:r w:rsidR="00997EDF" w:rsidRPr="00925F26">
        <w:rPr>
          <w:color w:val="000000" w:themeColor="text1"/>
          <w:sz w:val="16"/>
          <w:szCs w:val="16"/>
        </w:rPr>
        <w:t xml:space="preserve">  </w:t>
      </w:r>
      <w:r w:rsidRPr="00925F26">
        <w:rPr>
          <w:color w:val="000000" w:themeColor="text1"/>
          <w:sz w:val="16"/>
          <w:szCs w:val="16"/>
        </w:rPr>
        <w:t>успехом</w:t>
      </w:r>
      <w:proofErr w:type="gramEnd"/>
      <w:r w:rsidRPr="00925F26">
        <w:rPr>
          <w:color w:val="000000" w:themeColor="text1"/>
          <w:sz w:val="16"/>
          <w:szCs w:val="16"/>
        </w:rPr>
        <w:t xml:space="preserve"> не увенчалась. Было принято решение о разработке собственного самолёта для обучения.</w:t>
      </w:r>
    </w:p>
    <w:p w14:paraId="25EF6C4F" w14:textId="290843B9" w:rsidR="009B2258" w:rsidRPr="00925F26" w:rsidRDefault="009B2258" w:rsidP="00925F26">
      <w:pPr>
        <w:jc w:val="both"/>
        <w:rPr>
          <w:color w:val="000000" w:themeColor="text1"/>
          <w:sz w:val="16"/>
          <w:szCs w:val="16"/>
        </w:rPr>
      </w:pPr>
      <w:r w:rsidRPr="00925F26">
        <w:rPr>
          <w:color w:val="000000" w:themeColor="text1"/>
          <w:sz w:val="16"/>
          <w:szCs w:val="16"/>
        </w:rPr>
        <w:t xml:space="preserve">У конструкторов Pilatus получился двухместный низкоплан с убираемым шасси и закрытой кабиной. Конструкция P-2 была смешанной — металл, дерево и полотно. </w:t>
      </w:r>
      <w:proofErr w:type="gramStart"/>
      <w:r w:rsidRPr="00925F26">
        <w:rPr>
          <w:color w:val="000000" w:themeColor="text1"/>
          <w:sz w:val="16"/>
          <w:szCs w:val="16"/>
        </w:rPr>
        <w:t>Существовало</w:t>
      </w:r>
      <w:r w:rsidR="00997EDF" w:rsidRPr="00925F26">
        <w:rPr>
          <w:color w:val="000000" w:themeColor="text1"/>
          <w:sz w:val="16"/>
          <w:szCs w:val="16"/>
        </w:rPr>
        <w:t xml:space="preserve">  </w:t>
      </w:r>
      <w:r w:rsidRPr="00925F26">
        <w:rPr>
          <w:color w:val="000000" w:themeColor="text1"/>
          <w:sz w:val="16"/>
          <w:szCs w:val="16"/>
        </w:rPr>
        <w:t>2</w:t>
      </w:r>
      <w:proofErr w:type="gramEnd"/>
      <w:r w:rsidR="00997EDF" w:rsidRPr="00925F26">
        <w:rPr>
          <w:color w:val="000000" w:themeColor="text1"/>
          <w:sz w:val="16"/>
          <w:szCs w:val="16"/>
        </w:rPr>
        <w:t xml:space="preserve">  </w:t>
      </w:r>
      <w:r w:rsidRPr="00925F26">
        <w:rPr>
          <w:color w:val="000000" w:themeColor="text1"/>
          <w:sz w:val="16"/>
          <w:szCs w:val="16"/>
        </w:rPr>
        <w:t xml:space="preserve">основных модификации самолёта — без вооружения и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7</w:t>
      </w:r>
      <w:proofErr w:type="gramEnd"/>
      <w:r w:rsidRPr="00925F26">
        <w:rPr>
          <w:color w:val="000000" w:themeColor="text1"/>
          <w:sz w:val="16"/>
          <w:szCs w:val="16"/>
        </w:rPr>
        <w:t>,62-мм пулемётом MG-</w:t>
      </w:r>
      <w:proofErr w:type="gramStart"/>
      <w:r w:rsidRPr="00925F26">
        <w:rPr>
          <w:color w:val="000000" w:themeColor="text1"/>
          <w:sz w:val="16"/>
          <w:szCs w:val="16"/>
        </w:rPr>
        <w:t>17</w:t>
      </w:r>
      <w:r w:rsidR="00997EDF" w:rsidRPr="00925F26">
        <w:rPr>
          <w:color w:val="000000" w:themeColor="text1"/>
          <w:sz w:val="16"/>
          <w:szCs w:val="16"/>
        </w:rPr>
        <w:t xml:space="preserve">  </w:t>
      </w:r>
      <w:r w:rsidRPr="00925F26">
        <w:rPr>
          <w:color w:val="000000" w:themeColor="text1"/>
          <w:sz w:val="16"/>
          <w:szCs w:val="16"/>
        </w:rPr>
        <w:t>под</w:t>
      </w:r>
      <w:proofErr w:type="gramEnd"/>
      <w:r w:rsidRPr="00925F26">
        <w:rPr>
          <w:color w:val="000000" w:themeColor="text1"/>
          <w:sz w:val="16"/>
          <w:szCs w:val="16"/>
        </w:rPr>
        <w:t xml:space="preserve"> капотом</w:t>
      </w:r>
    </w:p>
    <w:p w14:paraId="6D1ACCEB" w14:textId="488DA771" w:rsidR="009B2258" w:rsidRPr="00925F26" w:rsidRDefault="009B2258" w:rsidP="00925F26">
      <w:pPr>
        <w:jc w:val="both"/>
        <w:rPr>
          <w:color w:val="000000" w:themeColor="text1"/>
          <w:sz w:val="16"/>
          <w:szCs w:val="16"/>
        </w:rPr>
      </w:pPr>
      <w:r w:rsidRPr="00925F26">
        <w:rPr>
          <w:color w:val="000000" w:themeColor="text1"/>
          <w:sz w:val="16"/>
          <w:szCs w:val="16"/>
        </w:rPr>
        <w:t xml:space="preserve">Всего было </w:t>
      </w:r>
      <w:proofErr w:type="gramStart"/>
      <w:r w:rsidRPr="00925F26">
        <w:rPr>
          <w:color w:val="000000" w:themeColor="text1"/>
          <w:sz w:val="16"/>
          <w:szCs w:val="16"/>
        </w:rPr>
        <w:t>произведено</w:t>
      </w:r>
      <w:r w:rsidR="00997EDF" w:rsidRPr="00925F26">
        <w:rPr>
          <w:color w:val="000000" w:themeColor="text1"/>
          <w:sz w:val="16"/>
          <w:szCs w:val="16"/>
        </w:rPr>
        <w:t xml:space="preserve">  </w:t>
      </w:r>
      <w:r w:rsidRPr="00925F26">
        <w:rPr>
          <w:color w:val="000000" w:themeColor="text1"/>
          <w:sz w:val="16"/>
          <w:szCs w:val="16"/>
        </w:rPr>
        <w:t>55</w:t>
      </w:r>
      <w:proofErr w:type="gramEnd"/>
      <w:r w:rsidR="00997EDF" w:rsidRPr="00925F26">
        <w:rPr>
          <w:color w:val="000000" w:themeColor="text1"/>
          <w:sz w:val="16"/>
          <w:szCs w:val="16"/>
        </w:rPr>
        <w:t xml:space="preserve">  </w:t>
      </w:r>
      <w:r w:rsidRPr="00925F26">
        <w:rPr>
          <w:color w:val="000000" w:themeColor="text1"/>
          <w:sz w:val="16"/>
          <w:szCs w:val="16"/>
        </w:rPr>
        <w:t xml:space="preserve">единиц Pilatus P-2 — по 26 каждой модификации + 3 прототипа. Самолёт стоял на вооружении ВВС Швейцарии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1946</w:t>
      </w:r>
      <w:proofErr w:type="gramEnd"/>
      <w:r w:rsidRPr="00925F26">
        <w:rPr>
          <w:color w:val="000000" w:themeColor="text1"/>
          <w:sz w:val="16"/>
          <w:szCs w:val="16"/>
        </w:rPr>
        <w:t xml:space="preserve"> по 1981 год. После этого уцелевшие машины в </w:t>
      </w:r>
      <w:proofErr w:type="gramStart"/>
      <w:r w:rsidRPr="00925F26">
        <w:rPr>
          <w:color w:val="000000" w:themeColor="text1"/>
          <w:sz w:val="16"/>
          <w:szCs w:val="16"/>
        </w:rPr>
        <w:t>количестве</w:t>
      </w:r>
      <w:r w:rsidR="00997EDF" w:rsidRPr="00925F26">
        <w:rPr>
          <w:color w:val="000000" w:themeColor="text1"/>
          <w:sz w:val="16"/>
          <w:szCs w:val="16"/>
        </w:rPr>
        <w:t xml:space="preserve">  </w:t>
      </w:r>
      <w:r w:rsidRPr="00925F26">
        <w:rPr>
          <w:color w:val="000000" w:themeColor="text1"/>
          <w:sz w:val="16"/>
          <w:szCs w:val="16"/>
        </w:rPr>
        <w:t>48</w:t>
      </w:r>
      <w:proofErr w:type="gramEnd"/>
      <w:r w:rsidR="00997EDF" w:rsidRPr="00925F26">
        <w:rPr>
          <w:color w:val="000000" w:themeColor="text1"/>
          <w:sz w:val="16"/>
          <w:szCs w:val="16"/>
        </w:rPr>
        <w:t xml:space="preserve">  </w:t>
      </w:r>
      <w:r w:rsidRPr="00925F26">
        <w:rPr>
          <w:color w:val="000000" w:themeColor="text1"/>
          <w:sz w:val="16"/>
          <w:szCs w:val="16"/>
        </w:rPr>
        <w:t>штук продали частным владельцам (22300).</w:t>
      </w:r>
    </w:p>
    <w:p w14:paraId="38343262" w14:textId="77777777" w:rsidR="009B2258" w:rsidRPr="00925F26" w:rsidRDefault="009B2258" w:rsidP="00925F26">
      <w:pPr>
        <w:jc w:val="both"/>
        <w:rPr>
          <w:color w:val="000000" w:themeColor="text1"/>
          <w:sz w:val="16"/>
          <w:szCs w:val="16"/>
        </w:rPr>
      </w:pPr>
    </w:p>
    <w:p w14:paraId="1990D1EF"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немецкая 12-я армия остановлена к западу от Берлина (15112).</w:t>
      </w:r>
    </w:p>
    <w:p w14:paraId="63D27A5D" w14:textId="77777777" w:rsidR="009B0E9A" w:rsidRPr="00925F26" w:rsidRDefault="009B0E9A" w:rsidP="00925F26">
      <w:pPr>
        <w:jc w:val="both"/>
        <w:rPr>
          <w:color w:val="000000" w:themeColor="text1"/>
          <w:sz w:val="16"/>
          <w:szCs w:val="16"/>
        </w:rPr>
      </w:pPr>
    </w:p>
    <w:p w14:paraId="1CAD3900"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Адольф Гитлер отдает приказ об открытии шлюзов на реке Шпрее и затоплении станций метро, после того как узнает, что в метро проникли советские солдаты. Погибают тысячи людей, - раненые немецкие солдаты, женщины, дети. Очевидцы напишут, что в эти дни "физически Гитлер являл собой страшную картину: он передвигался с трудом и неуклюже, выбрасывая верхнюю часть туловища вперед, волоча ноги... С трудом мог сохранять равновесие. Левая рука ему не подчинялась, а правая постоянно дрожала... Глаза были налиты кровью" (15112).</w:t>
      </w:r>
    </w:p>
    <w:p w14:paraId="3C70681A" w14:textId="77777777" w:rsidR="009B0E9A" w:rsidRPr="00925F26" w:rsidRDefault="009B0E9A" w:rsidP="00925F26">
      <w:pPr>
        <w:jc w:val="both"/>
        <w:rPr>
          <w:color w:val="000000" w:themeColor="text1"/>
          <w:sz w:val="16"/>
          <w:szCs w:val="16"/>
        </w:rPr>
      </w:pPr>
    </w:p>
    <w:p w14:paraId="3F5682A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апреля 1945 Гиммлер получил отказ союзников вести с ним переговоры о частичной капитуляции (4962).</w:t>
      </w:r>
    </w:p>
    <w:p w14:paraId="74DE953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0F04F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27th, 1945: The US First Army (Hodges) captures Straubing and Kempten in Bavaria, while in Italy the US Fifth Army (Clark) enters Genoa. In the battle of Berlin, Red Army units reach the government center, close to the Reichstag and Hitler's bunker beneath the Reich Chancellery. The German 12. Armee (Wenck) defending against US forces on the Elbe is ordered to launch a relief attack east toward Potsdam and Berlin. The Soviet 2nd Belorussian Front captures Prenzlau and Tangermnde 70 NW of Berlin (3819).</w:t>
      </w:r>
    </w:p>
    <w:p w14:paraId="4D3E7B87" w14:textId="77777777" w:rsidR="00665165" w:rsidRPr="00925F26" w:rsidRDefault="00665165" w:rsidP="00925F26">
      <w:pPr>
        <w:autoSpaceDE w:val="0"/>
        <w:autoSpaceDN w:val="0"/>
        <w:adjustRightInd w:val="0"/>
        <w:jc w:val="both"/>
        <w:rPr>
          <w:color w:val="000000" w:themeColor="text1"/>
          <w:sz w:val="16"/>
          <w:szCs w:val="16"/>
          <w:lang w:val="en-US"/>
        </w:rPr>
      </w:pPr>
    </w:p>
    <w:p w14:paraId="7115D749"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американскик войска вступили в Геную (15112).</w:t>
      </w:r>
    </w:p>
    <w:p w14:paraId="6DF10547" w14:textId="77777777" w:rsidR="009B0E9A" w:rsidRPr="00925F26" w:rsidRDefault="009B0E9A" w:rsidP="00925F26">
      <w:pPr>
        <w:jc w:val="both"/>
        <w:rPr>
          <w:color w:val="000000" w:themeColor="text1"/>
          <w:sz w:val="16"/>
          <w:szCs w:val="16"/>
        </w:rPr>
      </w:pPr>
    </w:p>
    <w:p w14:paraId="526455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1А США заняла Штраусбинг и Кемптен. В Италии 5А США вошла в Геную. 12А Венка, оборонявшейся на Эльбе, было приказано повернуть на Берлин через Потсдам. 2БФ занял Пренцлау и Тагермонде (3819).</w:t>
      </w:r>
    </w:p>
    <w:p w14:paraId="6E20A379" w14:textId="77777777" w:rsidR="00665165" w:rsidRPr="00925F26" w:rsidRDefault="00665165" w:rsidP="00925F26">
      <w:pPr>
        <w:autoSpaceDE w:val="0"/>
        <w:autoSpaceDN w:val="0"/>
        <w:adjustRightInd w:val="0"/>
        <w:jc w:val="both"/>
        <w:rPr>
          <w:color w:val="000000" w:themeColor="text1"/>
          <w:sz w:val="16"/>
          <w:szCs w:val="16"/>
        </w:rPr>
      </w:pPr>
    </w:p>
    <w:p w14:paraId="752C56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Первое заседание Временного правительства Австрии во главе с К. Реннером, на котором был утвержден текст декларации о независимости страны. Установление Второй Австрийской республики (7444).</w:t>
      </w:r>
    </w:p>
    <w:p w14:paraId="4100B018" w14:textId="77777777" w:rsidR="00665165" w:rsidRPr="00925F26" w:rsidRDefault="00665165" w:rsidP="00925F26">
      <w:pPr>
        <w:autoSpaceDE w:val="0"/>
        <w:autoSpaceDN w:val="0"/>
        <w:adjustRightInd w:val="0"/>
        <w:jc w:val="both"/>
        <w:rPr>
          <w:color w:val="000000" w:themeColor="text1"/>
          <w:sz w:val="16"/>
          <w:szCs w:val="16"/>
        </w:rPr>
      </w:pPr>
    </w:p>
    <w:p w14:paraId="527058F7" w14:textId="77777777" w:rsidR="009B0E9A" w:rsidRPr="00925F26" w:rsidRDefault="009B0E9A" w:rsidP="00925F26">
      <w:pPr>
        <w:jc w:val="both"/>
        <w:rPr>
          <w:color w:val="000000" w:themeColor="text1"/>
          <w:sz w:val="16"/>
          <w:szCs w:val="16"/>
        </w:rPr>
      </w:pPr>
      <w:r w:rsidRPr="00925F26">
        <w:rPr>
          <w:color w:val="000000" w:themeColor="text1"/>
          <w:sz w:val="16"/>
          <w:szCs w:val="16"/>
        </w:rPr>
        <w:lastRenderedPageBreak/>
        <w:t>27 апреля в 1945 году Австрия освобождается от фашистской оккупации. Создается временное правительство из представителей Социалистической партии, Христианско-социальной и коммунистической партий во главе с социалистом Карлом Реннером. На первом его заседании будет принята Декларация о независимости Австрии и провозглашено создание второй Австрийской Республики (15112).</w:t>
      </w:r>
    </w:p>
    <w:p w14:paraId="3B11EA2D" w14:textId="77777777" w:rsidR="009B0E9A" w:rsidRPr="00925F26" w:rsidRDefault="009B0E9A" w:rsidP="00925F26">
      <w:pPr>
        <w:jc w:val="both"/>
        <w:rPr>
          <w:color w:val="000000" w:themeColor="text1"/>
          <w:sz w:val="16"/>
          <w:szCs w:val="16"/>
        </w:rPr>
      </w:pPr>
    </w:p>
    <w:p w14:paraId="39519026"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первое заседание Временного правительства Австрии, состоящего из представителей Народной, Коммунистической и Социалистической партий, во главе с К.Реннером, на котором был утвержден текст декларации о независимости страны (15112).</w:t>
      </w:r>
    </w:p>
    <w:p w14:paraId="0913C671" w14:textId="77777777" w:rsidR="009B0E9A" w:rsidRPr="00925F26" w:rsidRDefault="009B0E9A" w:rsidP="00925F26">
      <w:pPr>
        <w:jc w:val="both"/>
        <w:rPr>
          <w:color w:val="000000" w:themeColor="text1"/>
          <w:sz w:val="16"/>
          <w:szCs w:val="16"/>
        </w:rPr>
      </w:pPr>
    </w:p>
    <w:p w14:paraId="56B09F36" w14:textId="77777777" w:rsidR="009B0E9A" w:rsidRPr="00925F26" w:rsidRDefault="009B0E9A" w:rsidP="00925F26">
      <w:pPr>
        <w:jc w:val="both"/>
        <w:rPr>
          <w:color w:val="000000" w:themeColor="text1"/>
          <w:sz w:val="16"/>
          <w:szCs w:val="16"/>
        </w:rPr>
      </w:pPr>
      <w:r w:rsidRPr="00925F26">
        <w:rPr>
          <w:color w:val="000000" w:themeColor="text1"/>
          <w:sz w:val="16"/>
          <w:szCs w:val="16"/>
        </w:rPr>
        <w:t>27 апреля в 1945 году в Нью-Йорке на Таймс-сквер проходят торжества и производится салют в честь встречи англо-американских и советских войск в Торгау (15112).</w:t>
      </w:r>
    </w:p>
    <w:p w14:paraId="50D8C35E" w14:textId="77777777" w:rsidR="009B0E9A" w:rsidRPr="00925F26" w:rsidRDefault="009B0E9A" w:rsidP="00925F26">
      <w:pPr>
        <w:jc w:val="both"/>
        <w:rPr>
          <w:color w:val="000000" w:themeColor="text1"/>
          <w:sz w:val="16"/>
          <w:szCs w:val="16"/>
        </w:rPr>
      </w:pPr>
    </w:p>
    <w:p w14:paraId="26CBC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27–28 апреля 1945 японцы провели четвертую операцию «Кикусуй». В ней было задействовано 125 самолетов-камикадзе (75 морских и 50 армейских). Воздушное прикрытие обеспечивали 100 истребителей. 28 апреля камикадзе предприняли решающую атаку. В ней участвовало 120 морских и 45 армейских самолетов.</w:t>
      </w:r>
    </w:p>
    <w:p w14:paraId="723BE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 80 самолетов-камикадзе входило и четыре бомбардировщика Бетти с самолетами Ока.</w:t>
      </w:r>
    </w:p>
    <w:p w14:paraId="002582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Удар должен был быть ночным. Штаб предполагал, что это поможет избежать атак вражеских истребителей. Летчики корпуса «Боги грома» приняли это известие без восторга: как пилоты самолета Ока найдут цель в темноте? Тем не менее началась подготовка к вылету. В процессе самоубийственной атаки опасения подтвердились: только два бомбардировщика смогли сбросить самолеты Ока в районе предполагаемого нахождения американских кораблей. Пилоты Ока должны были наводить свои реактивные снаряды по вспышкам зенитных орудий. Не удивительно, что попаданий в корабли самолетов-снарядов во время этого вылета не было (11686).</w:t>
      </w:r>
    </w:p>
    <w:p w14:paraId="3A021FB9" w14:textId="77777777" w:rsidR="00665165" w:rsidRPr="00925F26" w:rsidRDefault="00665165" w:rsidP="00925F26">
      <w:pPr>
        <w:autoSpaceDE w:val="0"/>
        <w:autoSpaceDN w:val="0"/>
        <w:adjustRightInd w:val="0"/>
        <w:jc w:val="both"/>
        <w:rPr>
          <w:color w:val="000000" w:themeColor="text1"/>
          <w:sz w:val="16"/>
          <w:szCs w:val="16"/>
        </w:rPr>
      </w:pPr>
    </w:p>
    <w:p w14:paraId="6197EBA5" w14:textId="77777777" w:rsidR="009B2258" w:rsidRPr="00925F26" w:rsidRDefault="009B2258" w:rsidP="00925F26">
      <w:pPr>
        <w:jc w:val="both"/>
        <w:rPr>
          <w:color w:val="000000" w:themeColor="text1"/>
          <w:sz w:val="16"/>
          <w:szCs w:val="16"/>
        </w:rPr>
      </w:pPr>
      <w:r w:rsidRPr="00925F26">
        <w:rPr>
          <w:color w:val="000000" w:themeColor="text1"/>
          <w:sz w:val="16"/>
          <w:szCs w:val="16"/>
        </w:rPr>
        <w:t>27–28 апреля 1945 была четвертая японская атака кикусуи на корабли у Окинавы и включилп 115 камикадзе. Они потопили корабль с боеприпасами и повредили четыре эсминца и госпитальный корабль USS Comfort (20371).</w:t>
      </w:r>
    </w:p>
    <w:p w14:paraId="1C37FE52" w14:textId="77777777" w:rsidR="009B2258" w:rsidRPr="00925F26" w:rsidRDefault="009B2258" w:rsidP="00925F26">
      <w:pPr>
        <w:jc w:val="both"/>
        <w:rPr>
          <w:color w:val="000000" w:themeColor="text1"/>
          <w:sz w:val="16"/>
          <w:szCs w:val="16"/>
        </w:rPr>
      </w:pPr>
    </w:p>
    <w:p w14:paraId="7E87D39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27, 1945 - The first meeting of the Target Committee to select targets for atomic bombing. Seventeen targets are selected for study: Tokyo Bay (for a non-lethal demonstration), Yokohama, Nagoya, Osaka, Kobe, Hiroshima, Kokura, Fukuoka, Nagasaki, and Sasebo (some of these are soon dropped because they had already been burned down) (1039).</w:t>
      </w:r>
    </w:p>
    <w:p w14:paraId="3BCC8EB0" w14:textId="77777777" w:rsidR="00665165" w:rsidRPr="00925F26" w:rsidRDefault="00665165" w:rsidP="00925F26">
      <w:pPr>
        <w:autoSpaceDE w:val="0"/>
        <w:autoSpaceDN w:val="0"/>
        <w:adjustRightInd w:val="0"/>
        <w:jc w:val="both"/>
        <w:rPr>
          <w:color w:val="000000" w:themeColor="text1"/>
          <w:sz w:val="16"/>
          <w:szCs w:val="16"/>
          <w:lang w:val="en-US"/>
        </w:rPr>
      </w:pPr>
    </w:p>
    <w:p w14:paraId="318AB9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апреля 1945 было выбрано 17 целей для атомной бомбардировки, но от некоторых пришлось отказаться, так как они уже были уничтожены (1039).</w:t>
      </w:r>
    </w:p>
    <w:p w14:paraId="31EDBE06" w14:textId="77777777" w:rsidR="00665165" w:rsidRPr="00925F26" w:rsidRDefault="00665165" w:rsidP="00925F26">
      <w:pPr>
        <w:autoSpaceDE w:val="0"/>
        <w:autoSpaceDN w:val="0"/>
        <w:adjustRightInd w:val="0"/>
        <w:jc w:val="both"/>
        <w:rPr>
          <w:color w:val="000000" w:themeColor="text1"/>
          <w:sz w:val="16"/>
          <w:szCs w:val="16"/>
        </w:rPr>
      </w:pPr>
    </w:p>
    <w:p w14:paraId="089FB02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1352540" w14:textId="77777777" w:rsidR="00665165" w:rsidRPr="00925F26" w:rsidRDefault="00665165" w:rsidP="00925F26">
      <w:pPr>
        <w:autoSpaceDE w:val="0"/>
        <w:autoSpaceDN w:val="0"/>
        <w:adjustRightInd w:val="0"/>
        <w:jc w:val="both"/>
        <w:rPr>
          <w:iCs/>
          <w:color w:val="000000" w:themeColor="text1"/>
          <w:sz w:val="16"/>
          <w:szCs w:val="16"/>
        </w:rPr>
      </w:pPr>
    </w:p>
    <w:p w14:paraId="57DC446C" w14:textId="77777777" w:rsidR="008775A3" w:rsidRPr="00925F26" w:rsidRDefault="008775A3" w:rsidP="00925F26">
      <w:pPr>
        <w:jc w:val="both"/>
        <w:rPr>
          <w:color w:val="000000" w:themeColor="text1"/>
          <w:sz w:val="16"/>
          <w:szCs w:val="16"/>
        </w:rPr>
      </w:pPr>
      <w:r w:rsidRPr="00925F26">
        <w:rPr>
          <w:color w:val="000000" w:themeColor="text1"/>
          <w:sz w:val="16"/>
          <w:szCs w:val="16"/>
        </w:rPr>
        <w:t>28 апреля 1945 г. С-46А-60-СК (№ 43- 47271), выпущенный заводом в Луисвилле в 1945 г., который представлял собой самую мас</w:t>
      </w:r>
      <w:r w:rsidRPr="00925F26">
        <w:rPr>
          <w:color w:val="000000" w:themeColor="text1"/>
          <w:sz w:val="16"/>
          <w:szCs w:val="16"/>
        </w:rPr>
        <w:softHyphen/>
        <w:t>совую модификацию поздней серии с моторами R-2800-75 прибыл в Фэрбенкс и 15 мая прошел советскую военную приемку. В отличие от обычной практики эстафетного движения по трас</w:t>
      </w:r>
      <w:r w:rsidRPr="00925F26">
        <w:rPr>
          <w:color w:val="000000" w:themeColor="text1"/>
          <w:sz w:val="16"/>
          <w:szCs w:val="16"/>
        </w:rPr>
        <w:softHyphen/>
        <w:t>се, «Коммандо» от Фэрбенкса до Москвы вел один и тот же экипаж старшего лейте</w:t>
      </w:r>
      <w:r w:rsidRPr="00925F26">
        <w:rPr>
          <w:color w:val="000000" w:themeColor="text1"/>
          <w:sz w:val="16"/>
          <w:szCs w:val="16"/>
        </w:rPr>
        <w:softHyphen/>
        <w:t>нанта Матвеева.</w:t>
      </w:r>
    </w:p>
    <w:p w14:paraId="3839B582" w14:textId="77777777" w:rsidR="008775A3" w:rsidRPr="00925F26" w:rsidRDefault="008775A3" w:rsidP="00925F26">
      <w:pPr>
        <w:jc w:val="both"/>
        <w:rPr>
          <w:color w:val="000000" w:themeColor="text1"/>
          <w:sz w:val="16"/>
          <w:szCs w:val="16"/>
        </w:rPr>
      </w:pPr>
      <w:r w:rsidRPr="00925F26">
        <w:rPr>
          <w:color w:val="000000" w:themeColor="text1"/>
          <w:sz w:val="16"/>
          <w:szCs w:val="16"/>
        </w:rPr>
        <w:t>Самолет сдали в НИИ ВВС, где во вто</w:t>
      </w:r>
      <w:r w:rsidRPr="00925F26">
        <w:rPr>
          <w:color w:val="000000" w:themeColor="text1"/>
          <w:sz w:val="16"/>
          <w:szCs w:val="16"/>
        </w:rPr>
        <w:softHyphen/>
        <w:t>рой половине 1945 г. он прошел полную программу государственных испыта</w:t>
      </w:r>
      <w:r w:rsidRPr="00925F26">
        <w:rPr>
          <w:color w:val="000000" w:themeColor="text1"/>
          <w:sz w:val="16"/>
          <w:szCs w:val="16"/>
        </w:rPr>
        <w:softHyphen/>
        <w:t>ний. Ведущим летчиком на них являлся П.М. Стефановский. Далее в ноябре-декабре С-46А проходил специальные испыта</w:t>
      </w:r>
      <w:r w:rsidRPr="00925F26">
        <w:rPr>
          <w:color w:val="000000" w:themeColor="text1"/>
          <w:sz w:val="16"/>
          <w:szCs w:val="16"/>
        </w:rPr>
        <w:softHyphen/>
        <w:t>ния по изучению устойчивости и управля</w:t>
      </w:r>
      <w:r w:rsidRPr="00925F26">
        <w:rPr>
          <w:color w:val="000000" w:themeColor="text1"/>
          <w:sz w:val="16"/>
          <w:szCs w:val="16"/>
        </w:rPr>
        <w:softHyphen/>
        <w:t>емости. Особо интересовали примененные американцами гидравлические усилители. Летал экипаж И.А. Степанова. С машиной также знакомились представители про</w:t>
      </w:r>
      <w:r w:rsidRPr="00925F26">
        <w:rPr>
          <w:color w:val="000000" w:themeColor="text1"/>
          <w:sz w:val="16"/>
          <w:szCs w:val="16"/>
        </w:rPr>
        <w:softHyphen/>
        <w:t>мышленности и Военно-воздушной акаде</w:t>
      </w:r>
      <w:r w:rsidRPr="00925F26">
        <w:rPr>
          <w:color w:val="000000" w:themeColor="text1"/>
          <w:sz w:val="16"/>
          <w:szCs w:val="16"/>
        </w:rPr>
        <w:softHyphen/>
        <w:t>мии им. Жуковского.</w:t>
      </w:r>
    </w:p>
    <w:p w14:paraId="18F500A4" w14:textId="77777777" w:rsidR="008775A3" w:rsidRPr="00925F26" w:rsidRDefault="008775A3" w:rsidP="00925F26">
      <w:pPr>
        <w:jc w:val="both"/>
        <w:rPr>
          <w:color w:val="000000" w:themeColor="text1"/>
          <w:sz w:val="16"/>
          <w:szCs w:val="16"/>
        </w:rPr>
      </w:pPr>
      <w:r w:rsidRPr="00925F26">
        <w:rPr>
          <w:color w:val="000000" w:themeColor="text1"/>
          <w:sz w:val="16"/>
          <w:szCs w:val="16"/>
        </w:rPr>
        <w:t>Далее С-46А использовался в НИИ ВВС как транспортный самолет. По грузо</w:t>
      </w:r>
      <w:r w:rsidRPr="00925F26">
        <w:rPr>
          <w:color w:val="000000" w:themeColor="text1"/>
          <w:sz w:val="16"/>
          <w:szCs w:val="16"/>
        </w:rPr>
        <w:softHyphen/>
        <w:t>подъемности он превосходил все имевши</w:t>
      </w:r>
      <w:r w:rsidRPr="00925F26">
        <w:rPr>
          <w:color w:val="000000" w:themeColor="text1"/>
          <w:sz w:val="16"/>
          <w:szCs w:val="16"/>
        </w:rPr>
        <w:softHyphen/>
        <w:t>еся в нашей стране машины такого назна</w:t>
      </w:r>
      <w:r w:rsidRPr="00925F26">
        <w:rPr>
          <w:color w:val="000000" w:themeColor="text1"/>
          <w:sz w:val="16"/>
          <w:szCs w:val="16"/>
        </w:rPr>
        <w:softHyphen/>
        <w:t>чения. В марте-апреле 1946 г. «Коммандо» стал подвижной базой группы испытате</w:t>
      </w:r>
      <w:r w:rsidRPr="00925F26">
        <w:rPr>
          <w:color w:val="000000" w:themeColor="text1"/>
          <w:sz w:val="16"/>
          <w:szCs w:val="16"/>
        </w:rPr>
        <w:softHyphen/>
        <w:t>лей, направленной в Германию для изуче</w:t>
      </w:r>
      <w:r w:rsidRPr="00925F26">
        <w:rPr>
          <w:color w:val="000000" w:themeColor="text1"/>
          <w:sz w:val="16"/>
          <w:szCs w:val="16"/>
        </w:rPr>
        <w:softHyphen/>
        <w:t>ния трофейного реактивного бомбарди</w:t>
      </w:r>
      <w:r w:rsidRPr="00925F26">
        <w:rPr>
          <w:color w:val="000000" w:themeColor="text1"/>
          <w:sz w:val="16"/>
          <w:szCs w:val="16"/>
        </w:rPr>
        <w:softHyphen/>
        <w:t>ровщика Арадо Аг 234. Руководил ею тот же Стефановский. 26 марта группа выле</w:t>
      </w:r>
      <w:r w:rsidRPr="00925F26">
        <w:rPr>
          <w:color w:val="000000" w:themeColor="text1"/>
          <w:sz w:val="16"/>
          <w:szCs w:val="16"/>
        </w:rPr>
        <w:softHyphen/>
        <w:t>тела в Берлин, затем в Дамгартен, где на</w:t>
      </w:r>
      <w:r w:rsidRPr="00925F26">
        <w:rPr>
          <w:color w:val="000000" w:themeColor="text1"/>
          <w:sz w:val="16"/>
          <w:szCs w:val="16"/>
        </w:rPr>
        <w:softHyphen/>
        <w:t>шли «арадо». Далее С-46А перелетал вслед за Аг 234 с одного аэродрома Германии на другой.</w:t>
      </w:r>
    </w:p>
    <w:p w14:paraId="0A2640D7" w14:textId="77777777" w:rsidR="008775A3" w:rsidRPr="00925F26" w:rsidRDefault="008775A3" w:rsidP="00925F26">
      <w:pPr>
        <w:jc w:val="both"/>
        <w:rPr>
          <w:color w:val="000000" w:themeColor="text1"/>
          <w:sz w:val="16"/>
          <w:szCs w:val="16"/>
        </w:rPr>
      </w:pPr>
      <w:r w:rsidRPr="00925F26">
        <w:rPr>
          <w:color w:val="000000" w:themeColor="text1"/>
          <w:sz w:val="16"/>
          <w:szCs w:val="16"/>
        </w:rPr>
        <w:t>Когда был списан этот самолет, пока установить не удалось.</w:t>
      </w:r>
    </w:p>
    <w:p w14:paraId="7892207D" w14:textId="77777777" w:rsidR="008775A3" w:rsidRPr="00925F26" w:rsidRDefault="008775A3" w:rsidP="00925F26">
      <w:pPr>
        <w:jc w:val="both"/>
        <w:rPr>
          <w:color w:val="000000" w:themeColor="text1"/>
          <w:sz w:val="16"/>
          <w:szCs w:val="16"/>
        </w:rPr>
      </w:pPr>
      <w:r w:rsidRPr="00925F26">
        <w:rPr>
          <w:color w:val="000000" w:themeColor="text1"/>
          <w:sz w:val="16"/>
          <w:szCs w:val="16"/>
        </w:rPr>
        <w:t>Данные транспортного самолета Кертис С-46А «Коммандо»</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66"/>
      </w:tblGrid>
      <w:tr w:rsidR="008775A3" w:rsidRPr="00925F26" w14:paraId="62CADF3E" w14:textId="77777777" w:rsidTr="004C5D62">
        <w:trPr>
          <w:trHeight w:val="317"/>
        </w:trPr>
        <w:tc>
          <w:tcPr>
            <w:tcW w:w="4186" w:type="dxa"/>
            <w:tcBorders>
              <w:top w:val="single" w:sz="4" w:space="0" w:color="auto"/>
              <w:left w:val="single" w:sz="4" w:space="0" w:color="auto"/>
            </w:tcBorders>
            <w:vAlign w:val="bottom"/>
          </w:tcPr>
          <w:p w14:paraId="18F557F2" w14:textId="77777777" w:rsidR="008775A3" w:rsidRPr="00925F26" w:rsidRDefault="008775A3" w:rsidP="00925F26">
            <w:pPr>
              <w:jc w:val="both"/>
              <w:rPr>
                <w:color w:val="000000" w:themeColor="text1"/>
                <w:sz w:val="16"/>
                <w:szCs w:val="16"/>
              </w:rPr>
            </w:pPr>
            <w:r w:rsidRPr="00925F26">
              <w:rPr>
                <w:color w:val="000000" w:themeColor="text1"/>
                <w:sz w:val="16"/>
                <w:szCs w:val="16"/>
              </w:rPr>
              <w:t>Длина, м</w:t>
            </w:r>
          </w:p>
        </w:tc>
        <w:tc>
          <w:tcPr>
            <w:tcW w:w="4166" w:type="dxa"/>
            <w:tcBorders>
              <w:top w:val="single" w:sz="4" w:space="0" w:color="auto"/>
              <w:left w:val="single" w:sz="4" w:space="0" w:color="auto"/>
              <w:right w:val="single" w:sz="4" w:space="0" w:color="auto"/>
            </w:tcBorders>
            <w:vAlign w:val="bottom"/>
          </w:tcPr>
          <w:p w14:paraId="173B8E32" w14:textId="77777777" w:rsidR="008775A3" w:rsidRPr="00925F26" w:rsidRDefault="008775A3" w:rsidP="00925F26">
            <w:pPr>
              <w:jc w:val="both"/>
              <w:rPr>
                <w:color w:val="000000" w:themeColor="text1"/>
                <w:sz w:val="16"/>
                <w:szCs w:val="16"/>
              </w:rPr>
            </w:pPr>
            <w:r w:rsidRPr="00925F26">
              <w:rPr>
                <w:color w:val="000000" w:themeColor="text1"/>
                <w:sz w:val="16"/>
                <w:szCs w:val="16"/>
              </w:rPr>
              <w:t>23,27</w:t>
            </w:r>
          </w:p>
        </w:tc>
      </w:tr>
      <w:tr w:rsidR="008775A3" w:rsidRPr="00925F26" w14:paraId="7B2DF1AC" w14:textId="77777777" w:rsidTr="004C5D62">
        <w:trPr>
          <w:trHeight w:val="307"/>
        </w:trPr>
        <w:tc>
          <w:tcPr>
            <w:tcW w:w="4186" w:type="dxa"/>
            <w:tcBorders>
              <w:top w:val="single" w:sz="4" w:space="0" w:color="auto"/>
              <w:left w:val="single" w:sz="4" w:space="0" w:color="auto"/>
            </w:tcBorders>
            <w:vAlign w:val="bottom"/>
          </w:tcPr>
          <w:p w14:paraId="1BE32784" w14:textId="77777777" w:rsidR="008775A3" w:rsidRPr="00925F26" w:rsidRDefault="008775A3" w:rsidP="00925F26">
            <w:pPr>
              <w:jc w:val="both"/>
              <w:rPr>
                <w:color w:val="000000" w:themeColor="text1"/>
                <w:sz w:val="16"/>
                <w:szCs w:val="16"/>
              </w:rPr>
            </w:pPr>
            <w:r w:rsidRPr="00925F26">
              <w:rPr>
                <w:color w:val="000000" w:themeColor="text1"/>
                <w:sz w:val="16"/>
                <w:szCs w:val="16"/>
              </w:rPr>
              <w:t>Размах, м</w:t>
            </w:r>
          </w:p>
        </w:tc>
        <w:tc>
          <w:tcPr>
            <w:tcW w:w="4166" w:type="dxa"/>
            <w:tcBorders>
              <w:top w:val="single" w:sz="4" w:space="0" w:color="auto"/>
              <w:left w:val="single" w:sz="4" w:space="0" w:color="auto"/>
              <w:right w:val="single" w:sz="4" w:space="0" w:color="auto"/>
            </w:tcBorders>
            <w:vAlign w:val="bottom"/>
          </w:tcPr>
          <w:p w14:paraId="746FAC32" w14:textId="77777777" w:rsidR="008775A3" w:rsidRPr="00925F26" w:rsidRDefault="008775A3" w:rsidP="00925F26">
            <w:pPr>
              <w:jc w:val="both"/>
              <w:rPr>
                <w:color w:val="000000" w:themeColor="text1"/>
                <w:sz w:val="16"/>
                <w:szCs w:val="16"/>
              </w:rPr>
            </w:pPr>
            <w:r w:rsidRPr="00925F26">
              <w:rPr>
                <w:color w:val="000000" w:themeColor="text1"/>
                <w:sz w:val="16"/>
                <w:szCs w:val="16"/>
              </w:rPr>
              <w:t>32,93</w:t>
            </w:r>
          </w:p>
        </w:tc>
      </w:tr>
      <w:tr w:rsidR="008775A3" w:rsidRPr="00925F26" w14:paraId="5CDB81AD" w14:textId="77777777" w:rsidTr="004C5D62">
        <w:trPr>
          <w:trHeight w:val="302"/>
        </w:trPr>
        <w:tc>
          <w:tcPr>
            <w:tcW w:w="4186" w:type="dxa"/>
            <w:tcBorders>
              <w:top w:val="single" w:sz="4" w:space="0" w:color="auto"/>
              <w:left w:val="single" w:sz="4" w:space="0" w:color="auto"/>
            </w:tcBorders>
            <w:vAlign w:val="bottom"/>
          </w:tcPr>
          <w:p w14:paraId="2C9D48E6" w14:textId="77777777" w:rsidR="008775A3" w:rsidRPr="00925F26" w:rsidRDefault="008775A3" w:rsidP="00925F26">
            <w:pPr>
              <w:jc w:val="both"/>
              <w:rPr>
                <w:color w:val="000000" w:themeColor="text1"/>
                <w:sz w:val="16"/>
                <w:szCs w:val="16"/>
              </w:rPr>
            </w:pPr>
            <w:r w:rsidRPr="00925F26">
              <w:rPr>
                <w:color w:val="000000" w:themeColor="text1"/>
                <w:sz w:val="16"/>
                <w:szCs w:val="16"/>
              </w:rPr>
              <w:t>Высота, м</w:t>
            </w:r>
          </w:p>
        </w:tc>
        <w:tc>
          <w:tcPr>
            <w:tcW w:w="4166" w:type="dxa"/>
            <w:tcBorders>
              <w:top w:val="single" w:sz="4" w:space="0" w:color="auto"/>
              <w:left w:val="single" w:sz="4" w:space="0" w:color="auto"/>
              <w:right w:val="single" w:sz="4" w:space="0" w:color="auto"/>
            </w:tcBorders>
            <w:vAlign w:val="bottom"/>
          </w:tcPr>
          <w:p w14:paraId="29026B4F" w14:textId="77777777" w:rsidR="008775A3" w:rsidRPr="00925F26" w:rsidRDefault="008775A3" w:rsidP="00925F26">
            <w:pPr>
              <w:jc w:val="both"/>
              <w:rPr>
                <w:color w:val="000000" w:themeColor="text1"/>
                <w:sz w:val="16"/>
                <w:szCs w:val="16"/>
              </w:rPr>
            </w:pPr>
            <w:r w:rsidRPr="00925F26">
              <w:rPr>
                <w:color w:val="000000" w:themeColor="text1"/>
                <w:sz w:val="16"/>
                <w:szCs w:val="16"/>
              </w:rPr>
              <w:t>6.621</w:t>
            </w:r>
          </w:p>
        </w:tc>
      </w:tr>
      <w:tr w:rsidR="008775A3" w:rsidRPr="00925F26" w14:paraId="1DB540FD" w14:textId="77777777" w:rsidTr="004C5D62">
        <w:trPr>
          <w:trHeight w:val="1018"/>
        </w:trPr>
        <w:tc>
          <w:tcPr>
            <w:tcW w:w="4186" w:type="dxa"/>
            <w:tcBorders>
              <w:top w:val="single" w:sz="4" w:space="0" w:color="auto"/>
              <w:left w:val="single" w:sz="4" w:space="0" w:color="auto"/>
            </w:tcBorders>
            <w:vAlign w:val="bottom"/>
          </w:tcPr>
          <w:p w14:paraId="6C0AAABA" w14:textId="77777777" w:rsidR="008775A3" w:rsidRPr="00925F26" w:rsidRDefault="008775A3" w:rsidP="00925F26">
            <w:pPr>
              <w:jc w:val="both"/>
              <w:rPr>
                <w:color w:val="000000" w:themeColor="text1"/>
                <w:sz w:val="16"/>
                <w:szCs w:val="16"/>
              </w:rPr>
            </w:pPr>
            <w:r w:rsidRPr="00925F26">
              <w:rPr>
                <w:color w:val="000000" w:themeColor="text1"/>
                <w:sz w:val="16"/>
                <w:szCs w:val="16"/>
              </w:rPr>
              <w:t>Вес, кг</w:t>
            </w:r>
          </w:p>
          <w:p w14:paraId="70449C73" w14:textId="77777777" w:rsidR="008775A3" w:rsidRPr="00925F26" w:rsidRDefault="008775A3" w:rsidP="00925F26">
            <w:pPr>
              <w:jc w:val="both"/>
              <w:rPr>
                <w:color w:val="000000" w:themeColor="text1"/>
                <w:sz w:val="16"/>
                <w:szCs w:val="16"/>
              </w:rPr>
            </w:pPr>
            <w:r w:rsidRPr="00925F26">
              <w:rPr>
                <w:color w:val="000000" w:themeColor="text1"/>
                <w:sz w:val="16"/>
                <w:szCs w:val="16"/>
              </w:rPr>
              <w:t>пустого</w:t>
            </w:r>
          </w:p>
          <w:p w14:paraId="1332E3C9" w14:textId="77777777" w:rsidR="008775A3" w:rsidRPr="00925F26" w:rsidRDefault="008775A3" w:rsidP="00925F26">
            <w:pPr>
              <w:jc w:val="both"/>
              <w:rPr>
                <w:color w:val="000000" w:themeColor="text1"/>
                <w:sz w:val="16"/>
                <w:szCs w:val="16"/>
              </w:rPr>
            </w:pPr>
            <w:r w:rsidRPr="00925F26">
              <w:rPr>
                <w:color w:val="000000" w:themeColor="text1"/>
                <w:sz w:val="16"/>
                <w:szCs w:val="16"/>
              </w:rPr>
              <w:t>взлетный нормальный</w:t>
            </w:r>
          </w:p>
          <w:p w14:paraId="2259612D" w14:textId="77777777" w:rsidR="008775A3" w:rsidRPr="00925F26" w:rsidRDefault="008775A3" w:rsidP="00925F26">
            <w:pPr>
              <w:jc w:val="both"/>
              <w:rPr>
                <w:color w:val="000000" w:themeColor="text1"/>
                <w:sz w:val="16"/>
                <w:szCs w:val="16"/>
              </w:rPr>
            </w:pPr>
            <w:r w:rsidRPr="00925F26">
              <w:rPr>
                <w:color w:val="000000" w:themeColor="text1"/>
                <w:sz w:val="16"/>
                <w:szCs w:val="16"/>
              </w:rPr>
              <w:t>взлетный максимальный</w:t>
            </w:r>
          </w:p>
        </w:tc>
        <w:tc>
          <w:tcPr>
            <w:tcW w:w="4166" w:type="dxa"/>
            <w:tcBorders>
              <w:top w:val="single" w:sz="4" w:space="0" w:color="auto"/>
              <w:left w:val="single" w:sz="4" w:space="0" w:color="auto"/>
              <w:right w:val="single" w:sz="4" w:space="0" w:color="auto"/>
            </w:tcBorders>
            <w:vAlign w:val="bottom"/>
          </w:tcPr>
          <w:p w14:paraId="59F1B5F1" w14:textId="77777777" w:rsidR="008775A3" w:rsidRPr="00925F26" w:rsidRDefault="008775A3" w:rsidP="00925F26">
            <w:pPr>
              <w:jc w:val="both"/>
              <w:rPr>
                <w:color w:val="000000" w:themeColor="text1"/>
                <w:sz w:val="16"/>
                <w:szCs w:val="16"/>
              </w:rPr>
            </w:pPr>
            <w:r w:rsidRPr="00925F26">
              <w:rPr>
                <w:color w:val="000000" w:themeColor="text1"/>
                <w:sz w:val="16"/>
                <w:szCs w:val="16"/>
              </w:rPr>
              <w:t>18840</w:t>
            </w:r>
          </w:p>
          <w:p w14:paraId="28DDBA0A" w14:textId="77777777" w:rsidR="008775A3" w:rsidRPr="00925F26" w:rsidRDefault="008775A3" w:rsidP="00925F26">
            <w:pPr>
              <w:jc w:val="both"/>
              <w:rPr>
                <w:color w:val="000000" w:themeColor="text1"/>
                <w:sz w:val="16"/>
                <w:szCs w:val="16"/>
              </w:rPr>
            </w:pPr>
            <w:r w:rsidRPr="00925F26">
              <w:rPr>
                <w:color w:val="000000" w:themeColor="text1"/>
                <w:sz w:val="16"/>
                <w:szCs w:val="16"/>
              </w:rPr>
              <w:t>20400</w:t>
            </w:r>
          </w:p>
          <w:p w14:paraId="5D36E327" w14:textId="77777777" w:rsidR="008775A3" w:rsidRPr="00925F26" w:rsidRDefault="008775A3" w:rsidP="00925F26">
            <w:pPr>
              <w:jc w:val="both"/>
              <w:rPr>
                <w:color w:val="000000" w:themeColor="text1"/>
                <w:sz w:val="16"/>
                <w:szCs w:val="16"/>
              </w:rPr>
            </w:pPr>
            <w:r w:rsidRPr="00925F26">
              <w:rPr>
                <w:color w:val="000000" w:themeColor="text1"/>
                <w:sz w:val="16"/>
                <w:szCs w:val="16"/>
              </w:rPr>
              <w:t>21700</w:t>
            </w:r>
          </w:p>
        </w:tc>
      </w:tr>
      <w:tr w:rsidR="008775A3" w:rsidRPr="00925F26" w14:paraId="76CAD985" w14:textId="77777777" w:rsidTr="004C5D62">
        <w:trPr>
          <w:trHeight w:val="307"/>
        </w:trPr>
        <w:tc>
          <w:tcPr>
            <w:tcW w:w="4186" w:type="dxa"/>
            <w:tcBorders>
              <w:top w:val="single" w:sz="4" w:space="0" w:color="auto"/>
              <w:left w:val="single" w:sz="4" w:space="0" w:color="auto"/>
            </w:tcBorders>
            <w:vAlign w:val="bottom"/>
          </w:tcPr>
          <w:p w14:paraId="4D8ADA03" w14:textId="77777777" w:rsidR="008775A3" w:rsidRPr="00925F26" w:rsidRDefault="008775A3" w:rsidP="00925F26">
            <w:pPr>
              <w:jc w:val="both"/>
              <w:rPr>
                <w:color w:val="000000" w:themeColor="text1"/>
                <w:sz w:val="16"/>
                <w:szCs w:val="16"/>
              </w:rPr>
            </w:pPr>
            <w:r w:rsidRPr="00925F26">
              <w:rPr>
                <w:color w:val="000000" w:themeColor="text1"/>
                <w:sz w:val="16"/>
                <w:szCs w:val="16"/>
              </w:rPr>
              <w:t>Скорость максимальная, км/ч</w:t>
            </w:r>
          </w:p>
        </w:tc>
        <w:tc>
          <w:tcPr>
            <w:tcW w:w="4166" w:type="dxa"/>
            <w:tcBorders>
              <w:top w:val="single" w:sz="4" w:space="0" w:color="auto"/>
              <w:left w:val="single" w:sz="4" w:space="0" w:color="auto"/>
              <w:right w:val="single" w:sz="4" w:space="0" w:color="auto"/>
            </w:tcBorders>
            <w:vAlign w:val="bottom"/>
          </w:tcPr>
          <w:p w14:paraId="62DA9674" w14:textId="77777777" w:rsidR="008775A3" w:rsidRPr="00925F26" w:rsidRDefault="008775A3" w:rsidP="00925F26">
            <w:pPr>
              <w:jc w:val="both"/>
              <w:rPr>
                <w:color w:val="000000" w:themeColor="text1"/>
                <w:sz w:val="16"/>
                <w:szCs w:val="16"/>
              </w:rPr>
            </w:pPr>
            <w:r w:rsidRPr="00925F26">
              <w:rPr>
                <w:color w:val="000000" w:themeColor="text1"/>
                <w:sz w:val="16"/>
                <w:szCs w:val="16"/>
              </w:rPr>
              <w:t>440</w:t>
            </w:r>
          </w:p>
        </w:tc>
      </w:tr>
      <w:tr w:rsidR="008775A3" w:rsidRPr="00925F26" w14:paraId="03D2BABE" w14:textId="77777777" w:rsidTr="004C5D62">
        <w:trPr>
          <w:trHeight w:val="302"/>
        </w:trPr>
        <w:tc>
          <w:tcPr>
            <w:tcW w:w="4186" w:type="dxa"/>
            <w:tcBorders>
              <w:top w:val="single" w:sz="4" w:space="0" w:color="auto"/>
              <w:left w:val="single" w:sz="4" w:space="0" w:color="auto"/>
            </w:tcBorders>
            <w:vAlign w:val="bottom"/>
          </w:tcPr>
          <w:p w14:paraId="5F07CD68" w14:textId="77777777" w:rsidR="008775A3" w:rsidRPr="00925F26" w:rsidRDefault="008775A3" w:rsidP="00925F26">
            <w:pPr>
              <w:jc w:val="both"/>
              <w:rPr>
                <w:color w:val="000000" w:themeColor="text1"/>
                <w:sz w:val="16"/>
                <w:szCs w:val="16"/>
              </w:rPr>
            </w:pPr>
            <w:r w:rsidRPr="00925F26">
              <w:rPr>
                <w:color w:val="000000" w:themeColor="text1"/>
                <w:sz w:val="16"/>
                <w:szCs w:val="16"/>
              </w:rPr>
              <w:t>Практический потолок, м</w:t>
            </w:r>
          </w:p>
        </w:tc>
        <w:tc>
          <w:tcPr>
            <w:tcW w:w="4166" w:type="dxa"/>
            <w:tcBorders>
              <w:top w:val="single" w:sz="4" w:space="0" w:color="auto"/>
              <w:left w:val="single" w:sz="4" w:space="0" w:color="auto"/>
              <w:right w:val="single" w:sz="4" w:space="0" w:color="auto"/>
            </w:tcBorders>
            <w:vAlign w:val="bottom"/>
          </w:tcPr>
          <w:p w14:paraId="496005FE" w14:textId="77777777" w:rsidR="008775A3" w:rsidRPr="00925F26" w:rsidRDefault="008775A3" w:rsidP="00925F26">
            <w:pPr>
              <w:jc w:val="both"/>
              <w:rPr>
                <w:color w:val="000000" w:themeColor="text1"/>
                <w:sz w:val="16"/>
                <w:szCs w:val="16"/>
              </w:rPr>
            </w:pPr>
            <w:r w:rsidRPr="00925F26">
              <w:rPr>
                <w:color w:val="000000" w:themeColor="text1"/>
                <w:sz w:val="16"/>
                <w:szCs w:val="16"/>
              </w:rPr>
              <w:t>8400</w:t>
            </w:r>
          </w:p>
        </w:tc>
      </w:tr>
      <w:tr w:rsidR="008775A3" w:rsidRPr="00925F26" w14:paraId="0FE2FA28" w14:textId="77777777" w:rsidTr="004C5D62">
        <w:trPr>
          <w:trHeight w:val="322"/>
        </w:trPr>
        <w:tc>
          <w:tcPr>
            <w:tcW w:w="4186" w:type="dxa"/>
            <w:tcBorders>
              <w:top w:val="single" w:sz="4" w:space="0" w:color="auto"/>
              <w:left w:val="single" w:sz="4" w:space="0" w:color="auto"/>
              <w:bottom w:val="single" w:sz="4" w:space="0" w:color="auto"/>
            </w:tcBorders>
            <w:vAlign w:val="bottom"/>
          </w:tcPr>
          <w:p w14:paraId="4652B9DB" w14:textId="77777777" w:rsidR="008775A3" w:rsidRPr="00925F26" w:rsidRDefault="008775A3" w:rsidP="00925F26">
            <w:pPr>
              <w:jc w:val="both"/>
              <w:rPr>
                <w:color w:val="000000" w:themeColor="text1"/>
                <w:sz w:val="16"/>
                <w:szCs w:val="16"/>
              </w:rPr>
            </w:pPr>
            <w:r w:rsidRPr="00925F26">
              <w:rPr>
                <w:color w:val="000000" w:themeColor="text1"/>
                <w:sz w:val="16"/>
                <w:szCs w:val="16"/>
              </w:rPr>
              <w:t>Дальность полета, км</w:t>
            </w:r>
          </w:p>
        </w:tc>
        <w:tc>
          <w:tcPr>
            <w:tcW w:w="4166" w:type="dxa"/>
            <w:tcBorders>
              <w:top w:val="single" w:sz="4" w:space="0" w:color="auto"/>
              <w:left w:val="single" w:sz="4" w:space="0" w:color="auto"/>
              <w:bottom w:val="single" w:sz="4" w:space="0" w:color="auto"/>
              <w:right w:val="single" w:sz="4" w:space="0" w:color="auto"/>
            </w:tcBorders>
            <w:vAlign w:val="bottom"/>
          </w:tcPr>
          <w:p w14:paraId="6EB0CE30" w14:textId="77777777" w:rsidR="008775A3" w:rsidRPr="00925F26" w:rsidRDefault="008775A3" w:rsidP="00925F26">
            <w:pPr>
              <w:jc w:val="both"/>
              <w:rPr>
                <w:color w:val="000000" w:themeColor="text1"/>
                <w:sz w:val="16"/>
                <w:szCs w:val="16"/>
              </w:rPr>
            </w:pPr>
            <w:r w:rsidRPr="00925F26">
              <w:rPr>
                <w:color w:val="000000" w:themeColor="text1"/>
                <w:sz w:val="16"/>
                <w:szCs w:val="16"/>
              </w:rPr>
              <w:t>1820</w:t>
            </w:r>
          </w:p>
        </w:tc>
      </w:tr>
    </w:tbl>
    <w:p w14:paraId="11A3879B" w14:textId="77777777" w:rsidR="008775A3" w:rsidRPr="00925F26" w:rsidRDefault="008775A3" w:rsidP="00925F26">
      <w:pPr>
        <w:jc w:val="both"/>
        <w:rPr>
          <w:color w:val="000000" w:themeColor="text1"/>
          <w:sz w:val="16"/>
          <w:szCs w:val="16"/>
        </w:rPr>
      </w:pPr>
      <w:r w:rsidRPr="00925F26">
        <w:rPr>
          <w:color w:val="000000" w:themeColor="text1"/>
          <w:sz w:val="16"/>
          <w:szCs w:val="16"/>
        </w:rPr>
        <w:t>1 На стоянке (23513).</w:t>
      </w:r>
    </w:p>
    <w:p w14:paraId="49960C31" w14:textId="77777777" w:rsidR="008775A3" w:rsidRPr="00925F26" w:rsidRDefault="008775A3" w:rsidP="00925F26">
      <w:pPr>
        <w:jc w:val="both"/>
        <w:rPr>
          <w:color w:val="000000" w:themeColor="text1"/>
          <w:sz w:val="16"/>
          <w:szCs w:val="16"/>
        </w:rPr>
      </w:pPr>
    </w:p>
    <w:p w14:paraId="1EE2EF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 самый разгар битвы за Берлин вышло постановление СНК СССР и приказ наркома авиапромышленности СССР (№ 180сс) об организации выпуска малой серии двигателей ЮМО-004 под обозначением РД-10 на заводе № 26. В соответствии с приказом поручалось:</w:t>
      </w:r>
    </w:p>
    <w:p w14:paraId="031386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тов. Баландину и главному конструктору тов. Климову не позднее 1 июля 1945 г. изготовить детальные чертежи, проработать монтажные допуска и зазоры с имеющегося в НИИ-1 двигателя ЮМО-004 на детали и агрегаты.</w:t>
      </w:r>
    </w:p>
    <w:p w14:paraId="1F1E3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Возложить непосредственное руководство по изготовлению технической документации и выпуску опытной серии двигателей РД-10 на главного конструктора завода № 26 тов. Климова, разрешив ему иметь заместителя по этой работе".</w:t>
      </w:r>
    </w:p>
    <w:p w14:paraId="64BA0C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Следует добавить, что на эту должность В.Я. Климов назначил Николая Дмитриевича Кузнецова.</w:t>
      </w:r>
    </w:p>
    <w:p w14:paraId="508BA8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этому приказу завод должен уже в сентябре выпустить 15 двигателей. Забегая вперед, следует сказать, что этот приказ был выполнен (9033).</w:t>
      </w:r>
    </w:p>
    <w:p w14:paraId="18D908F0" w14:textId="77777777" w:rsidR="00665165" w:rsidRPr="00925F26" w:rsidRDefault="00665165" w:rsidP="00925F26">
      <w:pPr>
        <w:autoSpaceDE w:val="0"/>
        <w:autoSpaceDN w:val="0"/>
        <w:adjustRightInd w:val="0"/>
        <w:jc w:val="both"/>
        <w:rPr>
          <w:color w:val="000000" w:themeColor="text1"/>
          <w:sz w:val="16"/>
          <w:szCs w:val="16"/>
        </w:rPr>
      </w:pPr>
    </w:p>
    <w:p w14:paraId="5938A7F1" w14:textId="77777777" w:rsidR="009B0E9A" w:rsidRPr="00925F26" w:rsidRDefault="009B0E9A"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28 апреля 1945 г. вышло Постановление СНК СССР и приказ наркома авиапромышленности СССР № 180 об организации выпуска малой серии двигателей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под обозначением РД-10 на заводе № 26. Поручалось:</w:t>
      </w:r>
    </w:p>
    <w:p w14:paraId="6D8FB0B3" w14:textId="77777777" w:rsidR="009B0E9A" w:rsidRPr="00925F26" w:rsidRDefault="009B0E9A"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«1. Директору завода тов. Баландину и главному конструктору тов. Климову не позд</w:t>
      </w:r>
      <w:r w:rsidRPr="00925F26">
        <w:rPr>
          <w:rFonts w:ascii="Times New Roman" w:cs="Times New Roman"/>
          <w:color w:val="000000" w:themeColor="text1"/>
          <w:spacing w:val="0"/>
          <w:sz w:val="16"/>
          <w:szCs w:val="16"/>
        </w:rPr>
        <w:softHyphen/>
        <w:t xml:space="preserve">нее 1 июля 1945 г. изготовить детальные чертежи, проработать монтажные допуска и зазоры, с имеющегося в НИИ-1 двигателя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на детали и агрегаты.</w:t>
      </w:r>
    </w:p>
    <w:p w14:paraId="3C7AAF4D" w14:textId="77777777" w:rsidR="009B0E9A" w:rsidRPr="00925F26" w:rsidRDefault="009B0E9A"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 Возложить непосредственное руководство по изготовлению технической документа</w:t>
      </w:r>
      <w:r w:rsidRPr="00925F26">
        <w:rPr>
          <w:rFonts w:ascii="Times New Roman" w:cs="Times New Roman"/>
          <w:color w:val="000000" w:themeColor="text1"/>
          <w:spacing w:val="0"/>
          <w:sz w:val="16"/>
          <w:szCs w:val="16"/>
        </w:rPr>
        <w:softHyphen/>
        <w:t>ции и выпуску опытной серии двигателей РД-10 на главного конструктора завода № 26 тов. Климова, разрешив ему иметь заместителя по этой работе». Следует добавить, что на эту должность В.Я. Климов назначил Николая Дмитриевича Кузнецова.</w:t>
      </w:r>
    </w:p>
    <w:p w14:paraId="49A3E295" w14:textId="77777777" w:rsidR="009B0E9A" w:rsidRPr="00925F26" w:rsidRDefault="009B0E9A"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Уже в сентябре завод должен был выпустить 15 двигателей- Забегая вперед, скажу, что приказ выполнили: к 30 сентября выпустили первые РД-10, — правда, используя поя</w:t>
      </w:r>
      <w:r w:rsidRPr="00925F26">
        <w:rPr>
          <w:rFonts w:ascii="Times New Roman" w:cs="Times New Roman"/>
          <w:color w:val="000000" w:themeColor="text1"/>
          <w:spacing w:val="0"/>
          <w:sz w:val="16"/>
          <w:szCs w:val="16"/>
        </w:rPr>
        <w:softHyphen/>
        <w:t>вившиеся к тому времени в достаточном количестве немецкие детали, узлы и агрегаты (15791).</w:t>
      </w:r>
    </w:p>
    <w:p w14:paraId="2F383E27" w14:textId="77777777" w:rsidR="009B0E9A" w:rsidRPr="00925F26" w:rsidRDefault="009B0E9A" w:rsidP="00925F26">
      <w:pPr>
        <w:pStyle w:val="36"/>
        <w:shd w:val="clear" w:color="auto" w:fill="auto"/>
        <w:spacing w:after="0" w:line="240" w:lineRule="auto"/>
        <w:jc w:val="both"/>
        <w:rPr>
          <w:rFonts w:ascii="Times New Roman" w:cs="Times New Roman"/>
          <w:color w:val="000000" w:themeColor="text1"/>
          <w:spacing w:val="0"/>
          <w:sz w:val="16"/>
          <w:szCs w:val="16"/>
        </w:rPr>
      </w:pPr>
    </w:p>
    <w:p w14:paraId="1BB537B6" w14:textId="77777777" w:rsidR="00BF0005" w:rsidRPr="00925F26" w:rsidRDefault="00BF0005" w:rsidP="00925F26">
      <w:pPr>
        <w:jc w:val="both"/>
        <w:rPr>
          <w:color w:val="000000" w:themeColor="text1"/>
          <w:sz w:val="16"/>
          <w:szCs w:val="16"/>
        </w:rPr>
      </w:pPr>
      <w:r w:rsidRPr="00925F26">
        <w:rPr>
          <w:color w:val="000000" w:themeColor="text1"/>
          <w:sz w:val="16"/>
          <w:szCs w:val="16"/>
        </w:rPr>
        <w:t xml:space="preserve">28 апреля в 1945 году приказом НКАП главному конструктору В.Я.Климову поручили выпустить рабочие чертежи ЮМО-004Б и внедрить его в серийное производство под маркой РД-10 на уфимском заводе №26 (непосредственно работами руководил первый заместитель Климова </w:t>
      </w:r>
      <w:proofErr w:type="gramStart"/>
      <w:r w:rsidRPr="00925F26">
        <w:rPr>
          <w:color w:val="000000" w:themeColor="text1"/>
          <w:sz w:val="16"/>
          <w:szCs w:val="16"/>
        </w:rPr>
        <w:t>Н.Д</w:t>
      </w:r>
      <w:proofErr w:type="gramEnd"/>
      <w:r w:rsidRPr="00925F26">
        <w:rPr>
          <w:color w:val="000000" w:themeColor="text1"/>
          <w:sz w:val="16"/>
          <w:szCs w:val="16"/>
        </w:rPr>
        <w:t>.Кузнецов) (15113).</w:t>
      </w:r>
    </w:p>
    <w:p w14:paraId="1226F6EB" w14:textId="77777777" w:rsidR="00BF0005" w:rsidRPr="00925F26" w:rsidRDefault="00BF0005" w:rsidP="00925F26">
      <w:pPr>
        <w:jc w:val="both"/>
        <w:rPr>
          <w:color w:val="000000" w:themeColor="text1"/>
          <w:sz w:val="16"/>
          <w:szCs w:val="16"/>
        </w:rPr>
      </w:pPr>
    </w:p>
    <w:p w14:paraId="7BDB58E1"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28 апреля 1945 г. Приказом НКАП главного конструк тора В.Я. Климова обязали освоить и обеспечить конструкторс ким руководством серийное производство ТРД Jumo-004 под маркой РД-Ю (основные характеристики приведены в табл. прил. 1) на заводе № 26. В 1945 г. ОКБ В.Я. Климова занялось внедрением в производство этого двигателя. Двигатель имел осевой восьмиступенчатый компрессор, камеру сгорания с шес тью индивидуальными жаровыми трубами, расположенными по окружности, и одноступенчатую турбину. Регулирование тяги осуществлялось единым рычагом за счет изменения подачи топ лива и площади выходного сечения </w:t>
      </w:r>
      <w:r w:rsidRPr="00925F26">
        <w:rPr>
          <w:color w:val="000000" w:themeColor="text1"/>
          <w:sz w:val="16"/>
          <w:szCs w:val="16"/>
        </w:rPr>
        <w:lastRenderedPageBreak/>
        <w:t xml:space="preserve">сопла путем перемещения в сопле подвижного конуса. В качестве основного топлива ис пользовался керосин, для запуска двигателя применялся бен зин. Раскрутка турбины при запуске осуществлялась </w:t>
      </w:r>
      <w:proofErr w:type="gramStart"/>
      <w:r w:rsidRPr="00925F26">
        <w:rPr>
          <w:color w:val="000000" w:themeColor="text1"/>
          <w:sz w:val="16"/>
          <w:szCs w:val="16"/>
        </w:rPr>
        <w:t>специаль ным</w:t>
      </w:r>
      <w:proofErr w:type="gramEnd"/>
      <w:r w:rsidRPr="00925F26">
        <w:rPr>
          <w:color w:val="000000" w:themeColor="text1"/>
          <w:sz w:val="16"/>
          <w:szCs w:val="16"/>
        </w:rPr>
        <w:t xml:space="preserve"> двухцилиндровым бензиновым пусковым двигателем с от дельной бензосистемой. </w:t>
      </w:r>
    </w:p>
    <w:p w14:paraId="28EDA2D4"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1946—1949 гг. двигатели РД-10А/РД-10Ф выпускались на Уфимском заводе № 26 (сейчас ОАО «Уфимское МПО»).</w:t>
      </w:r>
    </w:p>
    <w:p w14:paraId="3F8C78DB"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1946 г. было выпущено 59 двигателей, в 1947 г. — 447, в 1948 г. — 833.</w:t>
      </w:r>
    </w:p>
    <w:p w14:paraId="0B053B3C" w14:textId="77777777" w:rsidR="00A278CB" w:rsidRPr="00925F26" w:rsidRDefault="00A278CB" w:rsidP="00925F26">
      <w:pPr>
        <w:pStyle w:val="ae"/>
        <w:shd w:val="clear" w:color="auto" w:fill="FFFFFF"/>
        <w:spacing w:before="0" w:after="0"/>
        <w:jc w:val="both"/>
        <w:rPr>
          <w:color w:val="000000" w:themeColor="text1"/>
          <w:sz w:val="16"/>
          <w:szCs w:val="16"/>
        </w:rPr>
      </w:pPr>
      <w:r w:rsidRPr="00925F26">
        <w:rPr>
          <w:color w:val="000000" w:themeColor="text1"/>
          <w:sz w:val="16"/>
          <w:szCs w:val="16"/>
        </w:rPr>
        <w:t>РД-10 серийно производился до 1953 года. В самолетост роительных ОКБ А.С. Яковлева и С.А. Лавочкина совместно с ЦИАМ были разработаны несколько конструкций двигателя РД-10Ф с дополнительным впрыском (дожиганием) топлива за турбиной — в реактивное сопло, что позволило увеличить тягу двигателя на старте на 20...25 % и на 60...100 % при мак симальной скорости полета (19586).</w:t>
      </w:r>
    </w:p>
    <w:p w14:paraId="62BE1FD2" w14:textId="77777777" w:rsidR="00A278CB" w:rsidRPr="00925F26" w:rsidRDefault="00A278CB" w:rsidP="00925F26">
      <w:pPr>
        <w:jc w:val="both"/>
        <w:rPr>
          <w:color w:val="000000" w:themeColor="text1"/>
          <w:sz w:val="16"/>
          <w:szCs w:val="16"/>
        </w:rPr>
      </w:pPr>
    </w:p>
    <w:p w14:paraId="07F8DEA1" w14:textId="77777777" w:rsidR="00FF2E3B" w:rsidRPr="001A0BAA" w:rsidRDefault="00FF2E3B" w:rsidP="00FF2E3B">
      <w:pPr>
        <w:jc w:val="both"/>
        <w:rPr>
          <w:color w:val="0070C0"/>
          <w:sz w:val="16"/>
          <w:szCs w:val="16"/>
        </w:rPr>
      </w:pPr>
      <w:r w:rsidRPr="001A0BAA">
        <w:rPr>
          <w:color w:val="0070C0"/>
          <w:sz w:val="16"/>
          <w:szCs w:val="16"/>
        </w:rPr>
        <w:t>28 апреля 1945 г. Приказом НКАП главного конструк</w:t>
      </w:r>
      <w:r w:rsidRPr="001A0BAA">
        <w:rPr>
          <w:color w:val="0070C0"/>
          <w:sz w:val="16"/>
          <w:szCs w:val="16"/>
        </w:rPr>
        <w:softHyphen/>
        <w:t>тора В.Я. Климова обязали освоить и обеспечить конструкторс</w:t>
      </w:r>
      <w:r w:rsidRPr="001A0BAA">
        <w:rPr>
          <w:color w:val="0070C0"/>
          <w:sz w:val="16"/>
          <w:szCs w:val="16"/>
        </w:rPr>
        <w:softHyphen/>
        <w:t>ким руководством серийное производство ТРД Jumo-004 под маркой РД-10 на заводе № 26. В 1945 г. ОКБ В.Я. Климова занялось внедрением в производство этого двигателя. Двигатель имел осевой восьмиступенчатый компрессор, камеру сгорания с шес</w:t>
      </w:r>
      <w:r w:rsidRPr="001A0BAA">
        <w:rPr>
          <w:color w:val="0070C0"/>
          <w:sz w:val="16"/>
          <w:szCs w:val="16"/>
        </w:rPr>
        <w:softHyphen/>
        <w:t>тью индивидуальными жаровыми трубами, расположенными по окружности, и одноступенчатую турбину. Регулирование тяги осуществлялось единым рычагом за счет изменения подачи топ</w:t>
      </w:r>
      <w:r w:rsidRPr="001A0BAA">
        <w:rPr>
          <w:color w:val="0070C0"/>
          <w:sz w:val="16"/>
          <w:szCs w:val="16"/>
        </w:rPr>
        <w:softHyphen/>
        <w:t>лива и площади выходного сечения сопла путем перемещения в сопле подвижного конуса. В качестве основного топлива ис</w:t>
      </w:r>
      <w:r w:rsidRPr="001A0BAA">
        <w:rPr>
          <w:color w:val="0070C0"/>
          <w:sz w:val="16"/>
          <w:szCs w:val="16"/>
        </w:rPr>
        <w:softHyphen/>
        <w:t>пользовался керосин, для запуска двигателя применялся бен</w:t>
      </w:r>
      <w:r w:rsidRPr="001A0BAA">
        <w:rPr>
          <w:color w:val="0070C0"/>
          <w:sz w:val="16"/>
          <w:szCs w:val="16"/>
        </w:rPr>
        <w:softHyphen/>
        <w:t>зин. Раскрутка турбины при запуске осуществлялась специаль</w:t>
      </w:r>
      <w:r w:rsidRPr="001A0BAA">
        <w:rPr>
          <w:color w:val="0070C0"/>
          <w:sz w:val="16"/>
          <w:szCs w:val="16"/>
        </w:rPr>
        <w:softHyphen/>
        <w:t>ным двухцилиндровым бензиновым пусковым двигателем с от</w:t>
      </w:r>
      <w:r w:rsidRPr="001A0BAA">
        <w:rPr>
          <w:color w:val="0070C0"/>
          <w:sz w:val="16"/>
          <w:szCs w:val="16"/>
        </w:rPr>
        <w:softHyphen/>
        <w:t>дельной бензосистемой.</w:t>
      </w:r>
    </w:p>
    <w:p w14:paraId="71817068" w14:textId="77777777" w:rsidR="00FF2E3B" w:rsidRPr="001A0BAA" w:rsidRDefault="00FF2E3B" w:rsidP="00FF2E3B">
      <w:pPr>
        <w:jc w:val="both"/>
        <w:rPr>
          <w:color w:val="0070C0"/>
          <w:sz w:val="16"/>
          <w:szCs w:val="16"/>
        </w:rPr>
      </w:pPr>
      <w:r w:rsidRPr="001A0BAA">
        <w:rPr>
          <w:color w:val="0070C0"/>
          <w:sz w:val="16"/>
          <w:szCs w:val="16"/>
        </w:rPr>
        <w:t>РД-10 серийно производился до 1953 года. В самолетост</w:t>
      </w:r>
      <w:r w:rsidRPr="001A0BAA">
        <w:rPr>
          <w:color w:val="0070C0"/>
          <w:sz w:val="16"/>
          <w:szCs w:val="16"/>
        </w:rPr>
        <w:softHyphen/>
        <w:t>роительных ОКБ А.С. Яковлева и С.А. Лавочкина совместно с ЦИАМ были разработаны несколько конструкций двигателя РД-10Ф с дополнительным впрыском (дожиганием) топлива за турбиной — в реактивное сопло, что позволило увеличить тягу двигателя на старте на 20...25 % и на 60...100 % при мак</w:t>
      </w:r>
      <w:r w:rsidRPr="001A0BAA">
        <w:rPr>
          <w:color w:val="0070C0"/>
          <w:sz w:val="16"/>
          <w:szCs w:val="16"/>
        </w:rPr>
        <w:softHyphen/>
        <w:t>симальной скорости полета.</w:t>
      </w:r>
    </w:p>
    <w:p w14:paraId="0DC24AE5" w14:textId="77777777" w:rsidR="00FF2E3B" w:rsidRPr="001A0BAA" w:rsidRDefault="00FF2E3B" w:rsidP="00FF2E3B">
      <w:pPr>
        <w:jc w:val="both"/>
        <w:rPr>
          <w:color w:val="0070C0"/>
          <w:sz w:val="16"/>
          <w:szCs w:val="16"/>
        </w:rPr>
      </w:pPr>
      <w:r w:rsidRPr="001A0BAA">
        <w:rPr>
          <w:color w:val="0070C0"/>
          <w:sz w:val="16"/>
          <w:szCs w:val="16"/>
        </w:rPr>
        <w:t>В 1946—1949 гг. двигатели РД-10А/РД-10Ф выпускались на Уфимском заводе № 26 (сейчас ОАО «Уфимское МПО»). В 1946 г. было выпущено 59 двигателей, в 1947 г. — 447, в 1948 г. — 833 [59. С. 43, 44] (24920).</w:t>
      </w:r>
    </w:p>
    <w:p w14:paraId="71BFEDDC" w14:textId="77777777" w:rsidR="00FF2E3B" w:rsidRPr="001A0BAA" w:rsidRDefault="00FF2E3B" w:rsidP="00FF2E3B">
      <w:pPr>
        <w:jc w:val="both"/>
        <w:rPr>
          <w:color w:val="0070C0"/>
          <w:sz w:val="16"/>
          <w:szCs w:val="16"/>
        </w:rPr>
      </w:pPr>
    </w:p>
    <w:p w14:paraId="32D7AF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28 апреля по 12 мая 1945 были проведены гос. испытания двухкамерного ЖРД Л.С.Душкина РД-2М3Ц с насосной подачей топлива, построенного в феврале 1945 и в марте 1945 прошедшего заводские испытания (2928,98).</w:t>
      </w:r>
    </w:p>
    <w:p w14:paraId="1783167E" w14:textId="77777777" w:rsidR="00665165" w:rsidRPr="00925F26" w:rsidRDefault="00665165" w:rsidP="00925F26">
      <w:pPr>
        <w:autoSpaceDE w:val="0"/>
        <w:autoSpaceDN w:val="0"/>
        <w:adjustRightInd w:val="0"/>
        <w:jc w:val="both"/>
        <w:rPr>
          <w:color w:val="000000" w:themeColor="text1"/>
          <w:sz w:val="16"/>
          <w:szCs w:val="16"/>
        </w:rPr>
      </w:pPr>
    </w:p>
    <w:p w14:paraId="1B02AB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28 апреля 1945 вышел приказ НКАП, которым В.Я.Климова обязали освоить и обеспечить конструкторским руководством ТРД </w:t>
      </w:r>
      <w:proofErr w:type="gramStart"/>
      <w:r w:rsidRPr="00925F26">
        <w:rPr>
          <w:color w:val="000000" w:themeColor="text1"/>
          <w:sz w:val="16"/>
          <w:szCs w:val="16"/>
        </w:rPr>
        <w:t>JuMO-004</w:t>
      </w:r>
      <w:proofErr w:type="gramEnd"/>
      <w:r w:rsidRPr="00925F26">
        <w:rPr>
          <w:color w:val="000000" w:themeColor="text1"/>
          <w:sz w:val="16"/>
          <w:szCs w:val="16"/>
        </w:rPr>
        <w:t xml:space="preserve"> и постройка под маркой РД-10 была поручена 26 заводу (2449,13).</w:t>
      </w:r>
    </w:p>
    <w:p w14:paraId="5083C5A2" w14:textId="77777777" w:rsidR="00665165" w:rsidRPr="00925F26" w:rsidRDefault="00665165" w:rsidP="00925F26">
      <w:pPr>
        <w:autoSpaceDE w:val="0"/>
        <w:autoSpaceDN w:val="0"/>
        <w:adjustRightInd w:val="0"/>
        <w:jc w:val="both"/>
        <w:rPr>
          <w:color w:val="000000" w:themeColor="text1"/>
          <w:sz w:val="16"/>
          <w:szCs w:val="16"/>
        </w:rPr>
      </w:pPr>
    </w:p>
    <w:p w14:paraId="6A41A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было полностью демонтировано и погружено для отправки в СССР на завод 64 в Воронеже оборудование двух немецких заводов Фокке Вульф в г. Зорау (1874,13).</w:t>
      </w:r>
    </w:p>
    <w:p w14:paraId="747E8E27" w14:textId="77777777" w:rsidR="00665165" w:rsidRPr="00925F26" w:rsidRDefault="00665165" w:rsidP="00925F26">
      <w:pPr>
        <w:autoSpaceDE w:val="0"/>
        <w:autoSpaceDN w:val="0"/>
        <w:adjustRightInd w:val="0"/>
        <w:jc w:val="both"/>
        <w:rPr>
          <w:color w:val="000000" w:themeColor="text1"/>
          <w:sz w:val="16"/>
          <w:szCs w:val="16"/>
        </w:rPr>
      </w:pPr>
    </w:p>
    <w:p w14:paraId="36205F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8343 О ремонте самолетов, авиационных моторов и материально-техническом обеспечении ВВС Красной Армии, ВВС Военно-Морского Флота и Гражданского воздушного флота во II квартале 1945 г. РГАНИР, Фонд ГКО, д. 407, лл. 1-6, 7-178 (11012).</w:t>
      </w:r>
    </w:p>
    <w:p w14:paraId="1300BDD0" w14:textId="77777777" w:rsidR="00665165" w:rsidRPr="00925F26" w:rsidRDefault="00665165" w:rsidP="00925F26">
      <w:pPr>
        <w:autoSpaceDE w:val="0"/>
        <w:autoSpaceDN w:val="0"/>
        <w:adjustRightInd w:val="0"/>
        <w:jc w:val="both"/>
        <w:rPr>
          <w:color w:val="000000" w:themeColor="text1"/>
          <w:sz w:val="16"/>
          <w:szCs w:val="16"/>
        </w:rPr>
      </w:pPr>
    </w:p>
    <w:p w14:paraId="1E7E9BB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A29B74A" w14:textId="77777777" w:rsidR="00665165" w:rsidRPr="00925F26" w:rsidRDefault="00665165" w:rsidP="00925F26">
      <w:pPr>
        <w:autoSpaceDE w:val="0"/>
        <w:autoSpaceDN w:val="0"/>
        <w:adjustRightInd w:val="0"/>
        <w:jc w:val="both"/>
        <w:rPr>
          <w:iCs/>
          <w:color w:val="000000" w:themeColor="text1"/>
          <w:sz w:val="16"/>
          <w:szCs w:val="16"/>
        </w:rPr>
      </w:pPr>
    </w:p>
    <w:p w14:paraId="2D6987F9"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28 апреля 1945 года на УЗТМ поступило указание из НКТП и ГБТУ КА о проведении испытаний корпуса Уралмаш-1. Программа проведения испытаний поступила два дня спустя. Согласно программе, обстрел корпуса проводился 85-мм пушкой, 100-мм орудием Д-10С, а также немецкой 88-мм пушкой Pak 43 L/71. Помимо бронебойных снарядов, испытания обстрелом проводились осколочно-фугасными снарядами. Собственно говоря, с обстрела 88-мм осколочно-фугасными снарядами испытания и начались. При попадании в лоб рубки отмечалось срезание болтов крепления неподвижной бронировки орудия. Хуже ситуация оказалась при стрельбе этими же снарядами по бортам корпуса: отмечались разрушения швов соединения днища рубки с бортом корпуса. Ещё два попадания было по левому борту рубки, при этом разошлась приварка крыши командирской башенки к козырьку. Похожие по характеру разрушения наблюдались и при стрельбе по правому борту. Наиболее критичным стало попадание в правый кормовой лист корпуса — его разрушило, а также вырвало кормовой люк.</w:t>
      </w:r>
    </w:p>
    <w:p w14:paraId="44921920" w14:textId="77777777" w:rsidR="00A278CB" w:rsidRPr="00925F26" w:rsidRDefault="00A278CB" w:rsidP="00925F26">
      <w:pPr>
        <w:shd w:val="clear" w:color="auto" w:fill="FFFFFF"/>
        <w:jc w:val="both"/>
        <w:textAlignment w:val="baseline"/>
        <w:rPr>
          <w:color w:val="000000" w:themeColor="text1"/>
          <w:sz w:val="16"/>
          <w:szCs w:val="16"/>
        </w:rPr>
      </w:pPr>
      <w:r w:rsidRPr="00925F26">
        <w:rPr>
          <w:color w:val="000000" w:themeColor="text1"/>
          <w:sz w:val="16"/>
          <w:szCs w:val="16"/>
        </w:rPr>
        <w:t>Лоб рубки оказался неуязвим для снарядов калибра 85-100 мм. Вместе с тем ударной волной срезало часть болтов крепления неподвижной бронировки орудия</w:t>
      </w:r>
    </w:p>
    <w:p w14:paraId="33DAA6E9"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Всего по корпусу было проведено 11 выстрелов 88-мм осколочно-фугасными снарядами. Несмотря на неоднозначные результаты стрельбы по бортовым и кормовым листам, общую прочность конструкции признали удовлетворительной. Для усиления соединений бортовых листов было предложено два варианта сборки. Оба варианта предполагали замковое соединение листов, которое обеспечивало более высокую прочность.</w:t>
      </w:r>
    </w:p>
    <w:p w14:paraId="6641FAA8"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Наибольший объём поражений корпуса (52 штуки) пришелся на немецкие бронебойные снаряды калибра 88 мм. Выяснилось, что верхняя лобовая деталь корпуса, а также верхняя лобовая деталь рубки неуязвимы для всех дистанций поражения. Нижняя лобовая деталь оказалась поражена, расчёты показали, что предельная дистанция, на которой она не пробивается, составляет 740 м. Хуже дела обстояли с бортами рубки. Расчёты показали, что предельная дистанция непробития борта рубки составляет 867 м, при этом левый борт менее прочен из-за наличия выступа под командирскую башенку, а также повышенной шиферности металла. Что же касается вертикальных бортов толщиной 75 мм, то они не являлись серьёзной преградой для немецкой пушки и пробивались на любой дистанции поражения.</w:t>
      </w:r>
    </w:p>
    <w:p w14:paraId="0C39D9D9"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Испытания отечественными бронебойными снарядами калибра 85 и 100 мм показали похожие результаты. Объём испытаний ими оказался небольшим: 3 выстрела из орудия Д-10С и 22 выстрела из пушки калибра 85 мм. Как и в случае с Pak 43, верхние лобовые листы корпуса и рубки оказались не поражены. В целом же результаты обстрела показали удовлетворительную прочность корпуса, хотя пищи для размышлений хватало. Для начала, выявились случаи разрушения сварных швов (этот дефект был вполне рядовым явлением для УЗТМ). Также имелись претензии к прочности соединения листов днища корпуса. Уязвимым оказался козырёк командирской башенки, который поражался и осколочно-фугасными, и бронебойными снарядами. Имелись претензии к конструкции выхлопных карманов.</w:t>
      </w:r>
    </w:p>
    <w:p w14:paraId="22671301"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 итогам испытаний комиссия указала на необходимость обеспечения надёжной защиты нижнего лобового листа корпуса и усиления козырька командирской башенки. Также требовалось отдельно испытать бронировку орудия в сборе. В связи с неудовлетворительными результатами испытаний обстрелом кормы требовалось увеличить её стойкость до уровня СУ-100. Усиливались и выхлопные карманы, а также дорабатывались соединения листов корпуса.</w:t>
      </w:r>
    </w:p>
    <w:p w14:paraId="6750D78A"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Особое мнение высказал представитель НИИ-48 Г.И. Федосеенко. По его мнению, снижение высоты редана днища не имело смысла, поскольку вероятность его поражения огнём была низкой, а выбор оптимальной брони требовалось решить совместно с НИИ-48. К слову, в отчёте, который НИИ-48 подготовил по результату изучения СУ-101, отмечалось, что КБ УЗТМ провело большую работу, создав очень удачную конструкцию корпуса и рубки. Её прочность по сравнению с предшествующими средними и тяжёлыми САУ существенно выросла. Более того, на момент создания «Уралмаш-1» обладал наиболее мощной защитой среди всех имевшихся тогда САУ среднего типа (19525).</w:t>
      </w:r>
    </w:p>
    <w:p w14:paraId="2369C298" w14:textId="77777777" w:rsidR="00A278CB" w:rsidRPr="00925F26" w:rsidRDefault="00A278CB" w:rsidP="00925F26">
      <w:pPr>
        <w:pStyle w:val="ae"/>
        <w:shd w:val="clear" w:color="auto" w:fill="FFFFFF"/>
        <w:spacing w:before="0" w:after="0"/>
        <w:jc w:val="both"/>
        <w:textAlignment w:val="baseline"/>
        <w:rPr>
          <w:color w:val="000000" w:themeColor="text1"/>
          <w:sz w:val="16"/>
          <w:szCs w:val="16"/>
        </w:rPr>
      </w:pPr>
    </w:p>
    <w:p w14:paraId="2B5B05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8329 О направлении рабочей силы Свердловскому горисполкому. РГАНИР, Фонд ГКО, д. 406, лл. 85 (11012).</w:t>
      </w:r>
    </w:p>
    <w:p w14:paraId="5DF0E53C" w14:textId="77777777" w:rsidR="00665165" w:rsidRPr="00925F26" w:rsidRDefault="00665165" w:rsidP="00925F26">
      <w:pPr>
        <w:autoSpaceDE w:val="0"/>
        <w:autoSpaceDN w:val="0"/>
        <w:adjustRightInd w:val="0"/>
        <w:jc w:val="both"/>
        <w:rPr>
          <w:color w:val="000000" w:themeColor="text1"/>
          <w:sz w:val="16"/>
          <w:szCs w:val="16"/>
        </w:rPr>
      </w:pPr>
    </w:p>
    <w:p w14:paraId="7D9728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8330. О дополнительном выделении угля заводу № 154 НКАП. РГАНИР, Фонд ГКО, д. 406, лл. 86 (11012).</w:t>
      </w:r>
    </w:p>
    <w:p w14:paraId="2AE790B3" w14:textId="77777777" w:rsidR="00665165" w:rsidRPr="00925F26" w:rsidRDefault="00665165" w:rsidP="00925F26">
      <w:pPr>
        <w:autoSpaceDE w:val="0"/>
        <w:autoSpaceDN w:val="0"/>
        <w:adjustRightInd w:val="0"/>
        <w:jc w:val="both"/>
        <w:rPr>
          <w:color w:val="000000" w:themeColor="text1"/>
          <w:sz w:val="16"/>
          <w:szCs w:val="16"/>
        </w:rPr>
      </w:pPr>
    </w:p>
    <w:p w14:paraId="10A6FC1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8331 [О мерах по обеспечению оборудованием паровозных депо и пунктов водоснабжения Карагандинской железной дороги.] (7332, 87-88).</w:t>
      </w:r>
    </w:p>
    <w:p w14:paraId="7122E39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82DA4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8332 [Об использовании для снабжения ремесленных училищ и лечебных учреждений остатка переработанных овощей и картофеля.] (7332, 89).</w:t>
      </w:r>
    </w:p>
    <w:p w14:paraId="50FC79F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0E088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8333. О дополнительном выделении угля Главлесоспирту. РГАНИР, Фонд ГКО, д. 406, лл. 90 (11012).</w:t>
      </w:r>
    </w:p>
    <w:p w14:paraId="40D2E35B" w14:textId="77777777" w:rsidR="00665165" w:rsidRPr="00925F26" w:rsidRDefault="00665165" w:rsidP="00925F26">
      <w:pPr>
        <w:autoSpaceDE w:val="0"/>
        <w:autoSpaceDN w:val="0"/>
        <w:adjustRightInd w:val="0"/>
        <w:jc w:val="both"/>
        <w:rPr>
          <w:color w:val="000000" w:themeColor="text1"/>
          <w:sz w:val="16"/>
          <w:szCs w:val="16"/>
        </w:rPr>
      </w:pPr>
    </w:p>
    <w:p w14:paraId="7568E8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8334. О дополнительной поставке хлопчатобумажной пряжи НКБ для изготовления бикфордова шнура. РГАНИР, Фонд ГКО, д. 406, лл. 91-92 (11012).</w:t>
      </w:r>
    </w:p>
    <w:p w14:paraId="54AF8F38" w14:textId="77777777" w:rsidR="00665165" w:rsidRPr="00925F26" w:rsidRDefault="00665165" w:rsidP="00925F26">
      <w:pPr>
        <w:autoSpaceDE w:val="0"/>
        <w:autoSpaceDN w:val="0"/>
        <w:adjustRightInd w:val="0"/>
        <w:jc w:val="both"/>
        <w:rPr>
          <w:color w:val="000000" w:themeColor="text1"/>
          <w:sz w:val="16"/>
          <w:szCs w:val="16"/>
        </w:rPr>
      </w:pPr>
    </w:p>
    <w:p w14:paraId="6E16312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8335 [О мерах по увеличению производства электробатарей и электромоторов для электроторпед.] (7332, 93-94).</w:t>
      </w:r>
    </w:p>
    <w:p w14:paraId="6469A9B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A1DD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8336. О мерах неотложной помощи торпедному заводу № 175 и торпедно-пристрелочным станциям НКСП. РГАНИР, Фонд ГКО, д. 406, лл. 95-97 (11012).</w:t>
      </w:r>
    </w:p>
    <w:p w14:paraId="10CBA943" w14:textId="77777777" w:rsidR="00665165" w:rsidRPr="00925F26" w:rsidRDefault="00665165" w:rsidP="00925F26">
      <w:pPr>
        <w:autoSpaceDE w:val="0"/>
        <w:autoSpaceDN w:val="0"/>
        <w:adjustRightInd w:val="0"/>
        <w:jc w:val="both"/>
        <w:rPr>
          <w:color w:val="000000" w:themeColor="text1"/>
          <w:sz w:val="16"/>
          <w:szCs w:val="16"/>
        </w:rPr>
      </w:pPr>
    </w:p>
    <w:p w14:paraId="702932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28 апреля 1945 вышло Распоряжение ГКО № 8337. О мерах по увеличению прочности пластмассовых корпусов взрывателей М-4 для 120 и 82 мм мин. РГАНИР, Фонд ГКО, д. 406, лл. 98-99, 100-101 (11012).</w:t>
      </w:r>
    </w:p>
    <w:p w14:paraId="7790A1EB" w14:textId="77777777" w:rsidR="00665165" w:rsidRPr="00925F26" w:rsidRDefault="00665165" w:rsidP="00925F26">
      <w:pPr>
        <w:autoSpaceDE w:val="0"/>
        <w:autoSpaceDN w:val="0"/>
        <w:adjustRightInd w:val="0"/>
        <w:jc w:val="both"/>
        <w:rPr>
          <w:color w:val="000000" w:themeColor="text1"/>
          <w:sz w:val="16"/>
          <w:szCs w:val="16"/>
        </w:rPr>
      </w:pPr>
    </w:p>
    <w:p w14:paraId="02A0B4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8338. О распространении действия распоряжения ГКО № 5998 от 3 июня 1944 г. на ряд лесотехнических учебных заведений. РГАНИР, Фонд ГКО, д. 406, лл. 102 (11012).</w:t>
      </w:r>
    </w:p>
    <w:p w14:paraId="6A3C3D26" w14:textId="77777777" w:rsidR="00665165" w:rsidRPr="00925F26" w:rsidRDefault="00665165" w:rsidP="00925F26">
      <w:pPr>
        <w:autoSpaceDE w:val="0"/>
        <w:autoSpaceDN w:val="0"/>
        <w:adjustRightInd w:val="0"/>
        <w:jc w:val="both"/>
        <w:rPr>
          <w:color w:val="000000" w:themeColor="text1"/>
          <w:sz w:val="16"/>
          <w:szCs w:val="16"/>
        </w:rPr>
      </w:pPr>
    </w:p>
    <w:p w14:paraId="2402BB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8339. О досрочном освобождении 600 осужденных за бытовые преступления и самовольный уход с предприятий и направлении их на предприятия НКТМ и НКЭП на Урале. РГАНИР, Фонд ГКО, д. 406, лл. 103 (11012).</w:t>
      </w:r>
    </w:p>
    <w:p w14:paraId="17D31B5E" w14:textId="77777777" w:rsidR="00665165" w:rsidRPr="00925F26" w:rsidRDefault="00665165" w:rsidP="00925F26">
      <w:pPr>
        <w:autoSpaceDE w:val="0"/>
        <w:autoSpaceDN w:val="0"/>
        <w:adjustRightInd w:val="0"/>
        <w:jc w:val="both"/>
        <w:rPr>
          <w:color w:val="000000" w:themeColor="text1"/>
          <w:sz w:val="16"/>
          <w:szCs w:val="16"/>
        </w:rPr>
      </w:pPr>
    </w:p>
    <w:p w14:paraId="18CDA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8340. О мерах по восстановлению производства в 1945 году газоматорных компрессоров МК-2 на заводе № 414 "Борец" НКНП. РГАНИР, Фонд ГКО, д. 406, лл. 104-106, 107-110 (11012).</w:t>
      </w:r>
    </w:p>
    <w:p w14:paraId="24BAE8E6" w14:textId="77777777" w:rsidR="00665165" w:rsidRPr="00925F26" w:rsidRDefault="00665165" w:rsidP="00925F26">
      <w:pPr>
        <w:autoSpaceDE w:val="0"/>
        <w:autoSpaceDN w:val="0"/>
        <w:adjustRightInd w:val="0"/>
        <w:jc w:val="both"/>
        <w:rPr>
          <w:color w:val="000000" w:themeColor="text1"/>
          <w:sz w:val="16"/>
          <w:szCs w:val="16"/>
        </w:rPr>
      </w:pPr>
    </w:p>
    <w:p w14:paraId="31858BC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8341 Об обеспечении погрузки и выгрузки на железных дорогах в дни 1 и 2 мая 1945 г. (7332, 111-112).</w:t>
      </w:r>
    </w:p>
    <w:p w14:paraId="6B4F60E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F4546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8344 О мероприятиях по материально-техническому обеспечению предприятий черной металлургии во II квартале 1945 г. РГАНИР, Фонд ГКО, д. 408, лл. 1-3, 4-130 (11012).</w:t>
      </w:r>
    </w:p>
    <w:p w14:paraId="7F9E1DBE" w14:textId="77777777" w:rsidR="00665165" w:rsidRPr="00925F26" w:rsidRDefault="00665165" w:rsidP="00925F26">
      <w:pPr>
        <w:autoSpaceDE w:val="0"/>
        <w:autoSpaceDN w:val="0"/>
        <w:adjustRightInd w:val="0"/>
        <w:jc w:val="both"/>
        <w:rPr>
          <w:color w:val="000000" w:themeColor="text1"/>
          <w:sz w:val="16"/>
          <w:szCs w:val="16"/>
        </w:rPr>
      </w:pPr>
    </w:p>
    <w:p w14:paraId="6FE7EFD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8345 О мероприятиях по обеспечению ввода в действие в 1945 г. строек черной металлургии, осуществляемых Челябметаллургстроем НКВД СССР. (7333, 131-134,135-151).</w:t>
      </w:r>
    </w:p>
    <w:p w14:paraId="2FE9FC9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E8B870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8346 О мероприятиях по обеспечению ввода в действие в 1945 г. строек черной металлургии, осуществляемых Закавказметаллургстроем НКВД СССР. (7333, 152-156,157-174).</w:t>
      </w:r>
    </w:p>
    <w:p w14:paraId="09C788B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6D462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8347. О неотложных ремонтных работах на Челябинской ТЭЦ и Кизеловской ГРЭС. РГАНИР, Фонд ГКО, д. 408, лл. 175 (11012).</w:t>
      </w:r>
    </w:p>
    <w:p w14:paraId="5CE49390" w14:textId="77777777" w:rsidR="00665165" w:rsidRPr="00925F26" w:rsidRDefault="00665165" w:rsidP="00925F26">
      <w:pPr>
        <w:autoSpaceDE w:val="0"/>
        <w:autoSpaceDN w:val="0"/>
        <w:adjustRightInd w:val="0"/>
        <w:jc w:val="both"/>
        <w:rPr>
          <w:color w:val="000000" w:themeColor="text1"/>
          <w:sz w:val="16"/>
          <w:szCs w:val="16"/>
        </w:rPr>
      </w:pPr>
    </w:p>
    <w:p w14:paraId="47FDD74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8348 [О дополнительном выделении угля управлениям НКГБ Хабаровского и Приморского краев в мае-июне 1945 г.] (7333, 176).</w:t>
      </w:r>
    </w:p>
    <w:p w14:paraId="7037873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D4B48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8349. О дополнительном выделении угля заводу № 129 НКБ. РГАНИР, Фонд ГКО, д. 408, лл. 177 (11012).</w:t>
      </w:r>
    </w:p>
    <w:p w14:paraId="6C26A31D" w14:textId="77777777" w:rsidR="00665165" w:rsidRPr="00925F26" w:rsidRDefault="00665165" w:rsidP="00925F26">
      <w:pPr>
        <w:autoSpaceDE w:val="0"/>
        <w:autoSpaceDN w:val="0"/>
        <w:adjustRightInd w:val="0"/>
        <w:jc w:val="both"/>
        <w:rPr>
          <w:color w:val="000000" w:themeColor="text1"/>
          <w:sz w:val="16"/>
          <w:szCs w:val="16"/>
        </w:rPr>
      </w:pPr>
    </w:p>
    <w:p w14:paraId="214C72B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8350 [Об использовании репатриируемых советских граждан для работы на судах трофейного флота на территории Германии.] (7333, 178).</w:t>
      </w:r>
    </w:p>
    <w:p w14:paraId="0CDAA96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BA0DD9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8351 Об использовании нефтяного газа промыслов трестов "Кинельнефть" и "Бугурусланнефть." (7333, 179-181,182-183).</w:t>
      </w:r>
    </w:p>
    <w:p w14:paraId="256173D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6A51F3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8352 О мерах форсирования разведочных работ на газ в Краснодарском крае. (7333, 184-186).</w:t>
      </w:r>
    </w:p>
    <w:p w14:paraId="27AAAE3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9E925E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8353 О приеме, размещении и хозяйственном устройстве репатриируемых из Швеции советских граждан. (7333, 187-190).</w:t>
      </w:r>
    </w:p>
    <w:p w14:paraId="6060E1A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BE3E8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8354 О переводе на Краснознаменный Балтийский флот боевых кораблей Военно-Морского Флота. (7333, 191-195).</w:t>
      </w:r>
    </w:p>
    <w:p w14:paraId="40719FF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13190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Распоряжение ГКО № 8355 [О передаче 51 тыс. т сена ГУГМР.] (7333, 196,197).</w:t>
      </w:r>
    </w:p>
    <w:p w14:paraId="11B502C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83789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8356 О строительстве вторых очередей Красноводского и Куйбышевского импортных нефтеперерабатывающих заводов. РГАНИР, Фонд ГКО, д. 408, лл. 198-201 (11012).</w:t>
      </w:r>
    </w:p>
    <w:p w14:paraId="35AA3480" w14:textId="77777777" w:rsidR="00665165" w:rsidRPr="00925F26" w:rsidRDefault="00665165" w:rsidP="00925F26">
      <w:pPr>
        <w:autoSpaceDE w:val="0"/>
        <w:autoSpaceDN w:val="0"/>
        <w:adjustRightInd w:val="0"/>
        <w:jc w:val="both"/>
        <w:rPr>
          <w:color w:val="000000" w:themeColor="text1"/>
          <w:sz w:val="16"/>
          <w:szCs w:val="16"/>
        </w:rPr>
      </w:pPr>
    </w:p>
    <w:p w14:paraId="5DACED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28.10.1944 г. - постановление ГКО № 6819 о подготовке завода на импортном оборудовании (Завод № 443 НК нефти, Куйбышевский крекинг-завод, ОАО «Куйбышевский нефтеперерабатывающий завод» (НПЗ) /ст. Кряж Куйбышевской обл./ /</w:t>
      </w:r>
      <w:proofErr w:type="gramStart"/>
      <w:r w:rsidRPr="00925F26">
        <w:rPr>
          <w:color w:val="000000" w:themeColor="text1"/>
          <w:sz w:val="16"/>
          <w:szCs w:val="16"/>
        </w:rPr>
        <w:t>443004  г.</w:t>
      </w:r>
      <w:proofErr w:type="gramEnd"/>
      <w:r w:rsidRPr="00925F26">
        <w:rPr>
          <w:color w:val="000000" w:themeColor="text1"/>
          <w:sz w:val="16"/>
          <w:szCs w:val="16"/>
        </w:rPr>
        <w:t xml:space="preserve"> Самара ул. Грозненская, 1 тел. 30-18-09/) к пуску; 28.04.1945 г. - постановление ГКО № 8356 о строительстве 2-й очереди завода. 9.08.1945 г. были введены в эксплуатацию первый турбоагрегат и два котла ТЭЦ Куйбышевского крекинг-завода, 27.08.1945 г. пущен второй энергоблок ТЭЦ. 6.09.1945 г. на технологических установках ЭЛОУ-1 и ККУ-1 получен первый бензин А-56. В 09-10.1945 г. продолжены пусконаладочные работы, и в конце 12.1945 г. завод был включен в состав действующих предприятий.</w:t>
      </w:r>
    </w:p>
    <w:p w14:paraId="4E1615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404C4E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завода (2006 г.)- 6,27 млн. т переработки нефти в год.</w:t>
      </w:r>
    </w:p>
    <w:p w14:paraId="4A7A93BB" w14:textId="77777777" w:rsidR="00665165" w:rsidRPr="00925F26" w:rsidRDefault="00665165" w:rsidP="00925F26">
      <w:pPr>
        <w:autoSpaceDE w:val="0"/>
        <w:autoSpaceDN w:val="0"/>
        <w:adjustRightInd w:val="0"/>
        <w:jc w:val="both"/>
        <w:rPr>
          <w:color w:val="000000" w:themeColor="text1"/>
          <w:sz w:val="16"/>
          <w:szCs w:val="16"/>
          <w:vertAlign w:val="superscript"/>
        </w:rPr>
      </w:pPr>
      <w:r w:rsidRPr="00925F26">
        <w:rPr>
          <w:color w:val="000000" w:themeColor="text1"/>
          <w:sz w:val="16"/>
          <w:szCs w:val="16"/>
        </w:rPr>
        <w:t>Директор (2002 г.)- М.И. Радаев (11982).</w:t>
      </w:r>
    </w:p>
    <w:p w14:paraId="5B825B27" w14:textId="77777777" w:rsidR="00665165" w:rsidRPr="00925F26" w:rsidRDefault="00665165" w:rsidP="00925F26">
      <w:pPr>
        <w:autoSpaceDE w:val="0"/>
        <w:autoSpaceDN w:val="0"/>
        <w:adjustRightInd w:val="0"/>
        <w:jc w:val="both"/>
        <w:rPr>
          <w:color w:val="000000" w:themeColor="text1"/>
          <w:sz w:val="16"/>
          <w:szCs w:val="16"/>
        </w:rPr>
      </w:pPr>
    </w:p>
    <w:p w14:paraId="32EFC8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8357 О мерах помощи строительству Казахского металлургического завода Наркомчермета. РГАНИР, Фонд ГКО, д. 408, лл. 202-206, 207-214 (11012).</w:t>
      </w:r>
    </w:p>
    <w:p w14:paraId="33E8CE99" w14:textId="77777777" w:rsidR="00665165" w:rsidRPr="00925F26" w:rsidRDefault="00665165" w:rsidP="00925F26">
      <w:pPr>
        <w:autoSpaceDE w:val="0"/>
        <w:autoSpaceDN w:val="0"/>
        <w:adjustRightInd w:val="0"/>
        <w:jc w:val="both"/>
        <w:rPr>
          <w:color w:val="000000" w:themeColor="text1"/>
          <w:sz w:val="16"/>
          <w:szCs w:val="16"/>
        </w:rPr>
      </w:pPr>
    </w:p>
    <w:p w14:paraId="054A84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8358 О мероприятиях по восстановлению комбината "Печенганикель" Наркомцветмета. РГАНИР, Фонд ГКО, д. 408, лл. 215-217, 218-251 (11012).</w:t>
      </w:r>
    </w:p>
    <w:p w14:paraId="16CE94B7" w14:textId="77777777" w:rsidR="00665165" w:rsidRPr="00925F26" w:rsidRDefault="00665165" w:rsidP="00925F26">
      <w:pPr>
        <w:autoSpaceDE w:val="0"/>
        <w:autoSpaceDN w:val="0"/>
        <w:adjustRightInd w:val="0"/>
        <w:jc w:val="both"/>
        <w:rPr>
          <w:color w:val="000000" w:themeColor="text1"/>
          <w:sz w:val="16"/>
          <w:szCs w:val="16"/>
        </w:rPr>
      </w:pPr>
    </w:p>
    <w:p w14:paraId="0E2BF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28-29 апреля 1945 Балтийцы заложили на стапельных местах по одному ТЩ (42-й и 43-й), спустили на воду 30-й ТЩ. (10671).</w:t>
      </w:r>
    </w:p>
    <w:p w14:paraId="47F6FB98" w14:textId="77777777" w:rsidR="00665165" w:rsidRPr="00925F26" w:rsidRDefault="00665165" w:rsidP="00925F26">
      <w:pPr>
        <w:autoSpaceDE w:val="0"/>
        <w:autoSpaceDN w:val="0"/>
        <w:adjustRightInd w:val="0"/>
        <w:jc w:val="both"/>
        <w:rPr>
          <w:color w:val="000000" w:themeColor="text1"/>
          <w:sz w:val="16"/>
          <w:szCs w:val="16"/>
        </w:rPr>
      </w:pPr>
    </w:p>
    <w:p w14:paraId="152FC3D3" w14:textId="1BCC0B9E" w:rsidR="005C3865" w:rsidRPr="005C3865" w:rsidRDefault="005C3865" w:rsidP="00925F26">
      <w:pPr>
        <w:autoSpaceDE w:val="0"/>
        <w:autoSpaceDN w:val="0"/>
        <w:adjustRightInd w:val="0"/>
        <w:jc w:val="both"/>
        <w:rPr>
          <w:color w:val="0070C0"/>
          <w:sz w:val="16"/>
          <w:szCs w:val="16"/>
        </w:rPr>
      </w:pPr>
      <w:r w:rsidRPr="005C3865">
        <w:rPr>
          <w:color w:val="0070C0"/>
          <w:sz w:val="16"/>
          <w:szCs w:val="16"/>
        </w:rPr>
        <w:t>28 апреля 1945 года НК ВМФ отправил наркому судостроительной промышленности И.И. Носенко ориентировочную заявку потребности ВМФ в кораблях на 10 лет.  НК ВМФ предложил выполнять десятилетний план военного судостроения в три этапа. На первом - в 1946-1948 гг. - строить освоенные типы кораблей и достраивать законсервированные, а также разрабатывать новые проекты. На втором - в 1949-1950 гг. - отрабатывать головные образцы новых проектов и строить освоенные. На третьем - в 1951- 1955 гг. - строить все типы кораблей по заявке флота (25789).</w:t>
      </w:r>
    </w:p>
    <w:p w14:paraId="73528BB0" w14:textId="77777777" w:rsidR="005C3865" w:rsidRPr="005C3865" w:rsidRDefault="005C3865" w:rsidP="00925F26">
      <w:pPr>
        <w:autoSpaceDE w:val="0"/>
        <w:autoSpaceDN w:val="0"/>
        <w:adjustRightInd w:val="0"/>
        <w:jc w:val="both"/>
        <w:rPr>
          <w:color w:val="0070C0"/>
          <w:sz w:val="16"/>
          <w:szCs w:val="16"/>
        </w:rPr>
      </w:pPr>
    </w:p>
    <w:p w14:paraId="691ED0BB" w14:textId="461A8B7E"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E3A7FF5" w14:textId="77777777" w:rsidR="00665165" w:rsidRPr="00925F26" w:rsidRDefault="00665165" w:rsidP="00925F26">
      <w:pPr>
        <w:autoSpaceDE w:val="0"/>
        <w:autoSpaceDN w:val="0"/>
        <w:adjustRightInd w:val="0"/>
        <w:jc w:val="both"/>
        <w:rPr>
          <w:iCs/>
          <w:color w:val="000000" w:themeColor="text1"/>
          <w:sz w:val="16"/>
          <w:szCs w:val="16"/>
        </w:rPr>
      </w:pPr>
    </w:p>
    <w:p w14:paraId="054BB4AC" w14:textId="77777777" w:rsidR="009B0E9A" w:rsidRPr="00925F26" w:rsidRDefault="009B0E9A" w:rsidP="00925F26">
      <w:pPr>
        <w:jc w:val="both"/>
        <w:rPr>
          <w:color w:val="000000" w:themeColor="text1"/>
          <w:sz w:val="16"/>
          <w:szCs w:val="16"/>
        </w:rPr>
      </w:pPr>
      <w:r w:rsidRPr="00925F26">
        <w:rPr>
          <w:color w:val="000000" w:themeColor="text1"/>
          <w:sz w:val="16"/>
          <w:szCs w:val="16"/>
        </w:rPr>
        <w:t>28 апреля в 1945 году оперативная сводка Совинформбюро:</w:t>
      </w:r>
    </w:p>
    <w:p w14:paraId="445ED5B8"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2-го Белорусского фронта 28 апреля с боями овладели городами Эггезин, Торгелов, Пазевальк, Штрасбург, Темплин—важными опорными пунктами обороны немцев в западной Померании, а также заняли крупные населённые пункты Рит, Луков, Гаммер, Вальдесхез, Блюменхаген, Гютерберг, Ташенберг, Краатц, Пармен, Веггун, Бойценбург, Харденбек, Хасленбен, Герсвальде, Рингенвальде, Фридрихсвальде. В боях за 27 апреля войска фронта взяли в плен более 1.000 немецких солдат и офицеров и захватили на аэродромах 70 самолётов противника.</w:t>
      </w:r>
    </w:p>
    <w:p w14:paraId="0539C645"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Белорусского фронта продолжали вести уличные бои в Берлине и заняли северо-западную часть городского района Шарлоттенбург до Бисмарк штрассе, западную половину городского района Моабит и восточную часть городского района Шенеберг. В боях за 27 апреля в Берлине войска фронта взяли в плен свыше 9.000 немецких солдат и офицеров и захватили более 100 полевых орудий, 135 пулемётов, 1.800 автомашин и 50 складов с различным военным имуществом.</w:t>
      </w:r>
    </w:p>
    <w:p w14:paraId="1477F10D"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Украинского фронта вели уличные бои в юго-западной части Берлина и заняли городские районы Фриденау, Груневальд и Рулебен, соединившись в этом районе с войсками 1-го Белорусского фронта, занявшими Сименсштадт.</w:t>
      </w:r>
    </w:p>
    <w:p w14:paraId="58674B19" w14:textId="77777777" w:rsidR="009B0E9A" w:rsidRPr="00925F26" w:rsidRDefault="009B0E9A" w:rsidP="00925F26">
      <w:pPr>
        <w:jc w:val="both"/>
        <w:rPr>
          <w:color w:val="000000" w:themeColor="text1"/>
          <w:sz w:val="16"/>
          <w:szCs w:val="16"/>
        </w:rPr>
      </w:pPr>
      <w:r w:rsidRPr="00925F26">
        <w:rPr>
          <w:color w:val="000000" w:themeColor="text1"/>
          <w:sz w:val="16"/>
          <w:szCs w:val="16"/>
        </w:rPr>
        <w:lastRenderedPageBreak/>
        <w:t>Юго-восточнее Берлина в лесисто-озёрном районе войска 1-го Белорусского и 1-го Украинского фронтов окружили значительную группу немецких войск и вели бои по её уничтожению.</w:t>
      </w:r>
    </w:p>
    <w:p w14:paraId="0DB8F3F3" w14:textId="77777777" w:rsidR="009B0E9A" w:rsidRPr="00925F26" w:rsidRDefault="009B0E9A" w:rsidP="00925F26">
      <w:pPr>
        <w:jc w:val="both"/>
        <w:rPr>
          <w:color w:val="000000" w:themeColor="text1"/>
          <w:sz w:val="16"/>
          <w:szCs w:val="16"/>
        </w:rPr>
      </w:pPr>
      <w:r w:rsidRPr="00925F26">
        <w:rPr>
          <w:color w:val="000000" w:themeColor="text1"/>
          <w:sz w:val="16"/>
          <w:szCs w:val="16"/>
        </w:rPr>
        <w:t>В боях за 27 апреля войска 1-го Украинского фронта взяли в плен более 18.000 немецких солдат и офицеров, из них 14.000 из состава окружённой группы немцев юго-восточнее Берлина. Кроме того, войска фронта захватили следующие трофеи: танков — 55, полевых орудий — 268, автомашин — 2.150, паровозов—39, железнодорожных вагонов—900, складов с различным военным имуществом — 150.</w:t>
      </w:r>
    </w:p>
    <w:p w14:paraId="0B735A0B" w14:textId="77777777" w:rsidR="009B0E9A" w:rsidRPr="00925F26" w:rsidRDefault="009B0E9A" w:rsidP="00925F26">
      <w:pPr>
        <w:jc w:val="both"/>
        <w:rPr>
          <w:color w:val="000000" w:themeColor="text1"/>
          <w:sz w:val="16"/>
          <w:szCs w:val="16"/>
        </w:rPr>
      </w:pPr>
      <w:r w:rsidRPr="00925F26">
        <w:rPr>
          <w:color w:val="000000" w:themeColor="text1"/>
          <w:sz w:val="16"/>
          <w:szCs w:val="16"/>
        </w:rPr>
        <w:t>На территории Чехословакии, восточнее и юго-восточнее города Брно, войска 2-го Украинского фронта, продолжая наступление, с боями заняли населённые пункты Поповице, Куновице, Жеравице, Киев, Жарошице, Рашовице, Летонице, Козланы, Богдалице, Нэмояны, Табровани.</w:t>
      </w:r>
    </w:p>
    <w:p w14:paraId="63520447" w14:textId="77777777" w:rsidR="009B0E9A" w:rsidRPr="00925F26" w:rsidRDefault="009B0E9A"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5C7AFF0B" w14:textId="77777777" w:rsidR="009B0E9A" w:rsidRPr="00925F26" w:rsidRDefault="009B0E9A" w:rsidP="00925F26">
      <w:pPr>
        <w:jc w:val="both"/>
        <w:rPr>
          <w:color w:val="000000" w:themeColor="text1"/>
          <w:sz w:val="16"/>
          <w:szCs w:val="16"/>
        </w:rPr>
      </w:pPr>
      <w:r w:rsidRPr="00925F26">
        <w:rPr>
          <w:color w:val="000000" w:themeColor="text1"/>
          <w:sz w:val="16"/>
          <w:szCs w:val="16"/>
        </w:rPr>
        <w:t>За 27 апреля на всех фронтах подбито и уничтожено 170 немецких танков и самоходных орудий. В воздушных боях и огнём зенитной артиллерии сбит 41 самолёт противника.».</w:t>
      </w:r>
    </w:p>
    <w:p w14:paraId="75972E5F" w14:textId="77777777" w:rsidR="009B0E9A" w:rsidRPr="00925F26" w:rsidRDefault="009B0E9A" w:rsidP="00925F26">
      <w:pPr>
        <w:jc w:val="both"/>
        <w:rPr>
          <w:color w:val="000000" w:themeColor="text1"/>
          <w:sz w:val="16"/>
          <w:szCs w:val="16"/>
        </w:rPr>
      </w:pPr>
      <w:r w:rsidRPr="00925F26">
        <w:rPr>
          <w:color w:val="000000" w:themeColor="text1"/>
          <w:sz w:val="16"/>
          <w:szCs w:val="16"/>
        </w:rPr>
        <w:t>Налёты нашей авиации на Свинемюнде и Штральзунд.</w:t>
      </w:r>
    </w:p>
    <w:p w14:paraId="43DAE97F" w14:textId="77777777" w:rsidR="009B0E9A" w:rsidRPr="00925F26" w:rsidRDefault="009B0E9A" w:rsidP="00925F26">
      <w:pPr>
        <w:jc w:val="both"/>
        <w:rPr>
          <w:color w:val="000000" w:themeColor="text1"/>
          <w:sz w:val="16"/>
          <w:szCs w:val="16"/>
        </w:rPr>
      </w:pPr>
      <w:r w:rsidRPr="00925F26">
        <w:rPr>
          <w:color w:val="000000" w:themeColor="text1"/>
          <w:sz w:val="16"/>
          <w:szCs w:val="16"/>
        </w:rPr>
        <w:t>«В ночь на 28 апреля наши тяжёлые бомбардировщики нанесли удары по военным объектам немцев в портах Свинемюнде и Штральзунде.</w:t>
      </w:r>
    </w:p>
    <w:p w14:paraId="403C980F" w14:textId="77777777" w:rsidR="009B0E9A" w:rsidRPr="00925F26" w:rsidRDefault="009B0E9A" w:rsidP="00925F26">
      <w:pPr>
        <w:jc w:val="both"/>
        <w:rPr>
          <w:color w:val="000000" w:themeColor="text1"/>
          <w:sz w:val="16"/>
          <w:szCs w:val="16"/>
        </w:rPr>
      </w:pPr>
      <w:r w:rsidRPr="00925F26">
        <w:rPr>
          <w:color w:val="000000" w:themeColor="text1"/>
          <w:sz w:val="16"/>
          <w:szCs w:val="16"/>
        </w:rPr>
        <w:t>В результате бомбардировки в Свинемюнде на территории судостроительных верфей, железнодорожного узла и в порту возникло 18 пожаров, сопровождавшихся сильными взрывами.</w:t>
      </w:r>
    </w:p>
    <w:p w14:paraId="6FA25901" w14:textId="77777777" w:rsidR="009B0E9A" w:rsidRPr="00925F26" w:rsidRDefault="009B0E9A" w:rsidP="00925F26">
      <w:pPr>
        <w:jc w:val="both"/>
        <w:rPr>
          <w:color w:val="000000" w:themeColor="text1"/>
          <w:sz w:val="16"/>
          <w:szCs w:val="16"/>
        </w:rPr>
      </w:pPr>
      <w:r w:rsidRPr="00925F26">
        <w:rPr>
          <w:color w:val="000000" w:themeColor="text1"/>
          <w:sz w:val="16"/>
          <w:szCs w:val="16"/>
        </w:rPr>
        <w:t>В Штральзунде бомбардировкой вызваны большие пожары.».</w:t>
      </w:r>
    </w:p>
    <w:p w14:paraId="423D683C"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2-го Белорусского фронта продолжали наступление. Наши части, наступающие вдоль Штеттинской гавани на северо-запад, очистили от противника лесные массивы и овладели городами Эггезин и Торгелов. Другие советские части, с боями продвигаясь вперёд, вышли к городу Пазевальк — важному опорному пункту обороны немцев на реке Юкер. Гитлеровцы закрепились на подступах к городу и оказывали упорное сопротивление. Советские артиллеристы и танкисты подавили вражеские огневые точки. Ночью наши бойцы ворвались на улицы города и разгромили немецкий гарнизон. Развивая успех, советские части переправились через реку Юкер и выбили немцев из оборонительного рубежа, построенного на её западном берегу. Во второй половине дня нашими войсками занят город и узел шоссейных дорог Штрасбург, находящийся в 15 километрах к западу от Пазевалька. В другом районе советские кавалерийские части, совершив рейд по труднопроходимой местности, настигли и разгромили несколько вражеских колонн. Отступая под ударами наших войск, противник взрывает мосты, минирует дороги и объезды. Захвачено у немцев 44 орудия, несколько паровозов и много железнодорожных вагонов. В одном из лагерей наши бойцы освободили военнопленных различных национальностей.</w:t>
      </w:r>
    </w:p>
    <w:p w14:paraId="48D49CCA"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Белорусского фронта продолжали вести уличные бои в Берлине. Советские пехотинцы и танкисты переправились через реку Шпрее и ворвались в один из центральных районов германской столицы — Шарлоттенбург. Преодолевая упорное сопротивление противника, наши стрелки и автоматчики выбивают гитлеровцев из подвалов домов и станций метрополитена. Сапёры под огнем противника разбирают завалы и баррикады. Артиллеристы, действующие в составе штурмовых групп, разрушают укрепления и уничтожают вражеские огневые точки. Нашими войсками заняты казармы зенитного полка, водопроводная станция и товарная железнодорожная станция Вестенд. Другие советские части переправились через канал Фербиндунгс и ведут бои в городском районе Моабит. Штурмом занят завод Электрического Общества и электрозавод «Леве», превращенные немцами в сильно укреплённые узлы сопротивления. За день боёв в Берлине войска фронта уничтожили свыше 6 тысяч солдат и офицеров противника.</w:t>
      </w:r>
    </w:p>
    <w:p w14:paraId="1F8FC6CE" w14:textId="77777777" w:rsidR="009B0E9A" w:rsidRPr="00925F26" w:rsidRDefault="009B0E9A" w:rsidP="00925F26">
      <w:pPr>
        <w:jc w:val="both"/>
        <w:rPr>
          <w:color w:val="000000" w:themeColor="text1"/>
          <w:sz w:val="16"/>
          <w:szCs w:val="16"/>
        </w:rPr>
      </w:pPr>
      <w:r w:rsidRPr="00925F26">
        <w:rPr>
          <w:color w:val="000000" w:themeColor="text1"/>
          <w:sz w:val="16"/>
          <w:szCs w:val="16"/>
        </w:rPr>
        <w:t>Войска 1-го Украинского фронта вели уличные бои в юго-западных районах Берлина. Наши танкисты и пехотинцы прорвались между озёрами Крумме-Ланке и Груневальд-Зее к железной дороге и автостраде Берлин — Потсдам. Взломав немецкую оборону в районе этих дорог, наши войска вышли в городской район Берлина — Рулебен и соединились с войсками 1-го Белорусского фронта. Развернувшись фронтом на восток, советские бойцы разгромили ненцев, оборонявших сортировочную станцию метрополитена. Заняты площадь «Адольф Гитлер», пять станций метро и другие опорные пункты гитлеровцев. В ходе боёв очищены от войск противника городские районы Груневальд и Фриденау. Овладев этими районами, наши войска штурмом прорвали полосу обороны немцев, проходившую вдоль окружной железной дороги, и завязали бои на улицах района Вильмерсдорф.</w:t>
      </w:r>
    </w:p>
    <w:p w14:paraId="69CA8302" w14:textId="77777777" w:rsidR="009B0E9A" w:rsidRPr="00925F26" w:rsidRDefault="009B0E9A" w:rsidP="00925F26">
      <w:pPr>
        <w:jc w:val="both"/>
        <w:rPr>
          <w:color w:val="000000" w:themeColor="text1"/>
          <w:sz w:val="16"/>
          <w:szCs w:val="16"/>
        </w:rPr>
      </w:pPr>
      <w:r w:rsidRPr="00925F26">
        <w:rPr>
          <w:color w:val="000000" w:themeColor="text1"/>
          <w:sz w:val="16"/>
          <w:szCs w:val="16"/>
        </w:rPr>
        <w:t>Наша авиация прикрывает наземные войска от нападений самолётов противника. Четыре истребителя майора Лебедева вступили в бой с четырьмя немецкими истребителями и сбили 3 самолёта противника. Два из них сбил майор Лебедев. Четвёрка истребителей старшего лейтенанта Коняева атаковала над Берлином 8 вражеских истребителей. Немцы уклонились от боя. Преследуя врага, советские лётчики сбили четыре самолёта противника. Группа истребителей подполковника Ерёмина, патрулируя над Берлином, встретила 18 вражеских самолётов. Вступив в бой, наши летчики сбили 4 немецких самолёта.</w:t>
      </w:r>
    </w:p>
    <w:p w14:paraId="1910CA15" w14:textId="77777777" w:rsidR="009B0E9A" w:rsidRPr="00925F26" w:rsidRDefault="009B0E9A" w:rsidP="00925F26">
      <w:pPr>
        <w:jc w:val="both"/>
        <w:rPr>
          <w:color w:val="000000" w:themeColor="text1"/>
          <w:sz w:val="16"/>
          <w:szCs w:val="16"/>
        </w:rPr>
      </w:pPr>
      <w:r w:rsidRPr="00925F26">
        <w:rPr>
          <w:color w:val="000000" w:themeColor="text1"/>
          <w:sz w:val="16"/>
          <w:szCs w:val="16"/>
        </w:rPr>
        <w:t>Юго-восточнее Берлина войска 1-го Белорусского и 1-го Украинского фронтов вели бои по ликвидации окружённой группы немецких войск. Крупные силы пехоты и танков противника предприняли отчаянную попытку пробиться на юго-запад. Наши войска отбили контратаки гитлеровцев и нанесли им удар во фланг. В результате ожесточённых боёв в лесу немецкие части, пытавшиеся вырваться из «котла», разгромлены. Места боёв усеяны тысячами трупов гитлеровцев. За два дня в этом районе сожжено и подбито более 120 немецких танков и самоходных орудий. Попытки немцев прорваться в западном направлении также не имели успеха. Наши войска всё теснее сжимают кольцо окружения и наносят противнику один удар за другим.» (15113).</w:t>
      </w:r>
    </w:p>
    <w:p w14:paraId="34253FC0" w14:textId="77777777" w:rsidR="009B0E9A" w:rsidRPr="00925F26" w:rsidRDefault="009B0E9A" w:rsidP="00925F26">
      <w:pPr>
        <w:jc w:val="both"/>
        <w:rPr>
          <w:color w:val="000000" w:themeColor="text1"/>
          <w:sz w:val="16"/>
          <w:szCs w:val="16"/>
        </w:rPr>
      </w:pPr>
    </w:p>
    <w:p w14:paraId="140B84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года 1 г мтап к северо-западу от маяка Риксхефт торпедировали немецкий танкер (3457,109).</w:t>
      </w:r>
    </w:p>
    <w:p w14:paraId="18E5894C" w14:textId="77777777" w:rsidR="00665165" w:rsidRPr="00925F26" w:rsidRDefault="00665165" w:rsidP="00925F26">
      <w:pPr>
        <w:autoSpaceDE w:val="0"/>
        <w:autoSpaceDN w:val="0"/>
        <w:adjustRightInd w:val="0"/>
        <w:jc w:val="both"/>
        <w:rPr>
          <w:color w:val="000000" w:themeColor="text1"/>
          <w:sz w:val="16"/>
          <w:szCs w:val="16"/>
        </w:rPr>
      </w:pPr>
    </w:p>
    <w:p w14:paraId="38D0E7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наши авиачасти перебазировались на берлинские аэродромы Темпельхоф и Шенефельд (1217,238).</w:t>
      </w:r>
    </w:p>
    <w:p w14:paraId="4155959E" w14:textId="77777777" w:rsidR="00665165" w:rsidRPr="00925F26" w:rsidRDefault="00665165" w:rsidP="00925F26">
      <w:pPr>
        <w:autoSpaceDE w:val="0"/>
        <w:autoSpaceDN w:val="0"/>
        <w:adjustRightInd w:val="0"/>
        <w:jc w:val="both"/>
        <w:rPr>
          <w:color w:val="000000" w:themeColor="text1"/>
          <w:sz w:val="16"/>
          <w:szCs w:val="16"/>
        </w:rPr>
      </w:pPr>
    </w:p>
    <w:p w14:paraId="0B59B534" w14:textId="77777777" w:rsidR="00BF0005" w:rsidRPr="00925F26" w:rsidRDefault="00BF0005" w:rsidP="00925F26">
      <w:pPr>
        <w:jc w:val="both"/>
        <w:rPr>
          <w:color w:val="000000" w:themeColor="text1"/>
          <w:sz w:val="16"/>
          <w:szCs w:val="16"/>
        </w:rPr>
      </w:pPr>
      <w:r w:rsidRPr="00925F26">
        <w:rPr>
          <w:color w:val="000000" w:themeColor="text1"/>
          <w:sz w:val="16"/>
          <w:szCs w:val="16"/>
        </w:rPr>
        <w:t>28 апреля в 1945 году советские самолеты садятся на аэродроме Берлин-Темпльгоф после его захвата советскими войсками (15113).</w:t>
      </w:r>
    </w:p>
    <w:p w14:paraId="0B894776" w14:textId="77777777" w:rsidR="00BF0005" w:rsidRPr="00925F26" w:rsidRDefault="00BF0005" w:rsidP="00925F26">
      <w:pPr>
        <w:jc w:val="both"/>
        <w:rPr>
          <w:color w:val="000000" w:themeColor="text1"/>
          <w:sz w:val="16"/>
          <w:szCs w:val="16"/>
        </w:rPr>
      </w:pPr>
    </w:p>
    <w:p w14:paraId="2C873C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3 чехословацкий шап выполнил задание, повлекшее тяжелые потери. Штурмовали артиллерийское позиции около деревни Ludgerovice. Повредили красную двойку, а у голубой 30 около Wodzislav зенитным огнем разбили двигатель. При посадке взорвался задний бензобак и п Jarolim Gusman погиб (последний Словак в войне), а стрелок был тяжело ранен. К концу дня осталось 15 боеспособных машин и раскисшее поле остановило дальнейшие полеты до 2 мая 1945 (241,40).</w:t>
      </w:r>
    </w:p>
    <w:p w14:paraId="5B365FDE" w14:textId="77777777" w:rsidR="00665165" w:rsidRPr="00925F26" w:rsidRDefault="00665165" w:rsidP="00925F26">
      <w:pPr>
        <w:autoSpaceDE w:val="0"/>
        <w:autoSpaceDN w:val="0"/>
        <w:adjustRightInd w:val="0"/>
        <w:jc w:val="both"/>
        <w:rPr>
          <w:color w:val="000000" w:themeColor="text1"/>
          <w:sz w:val="16"/>
          <w:szCs w:val="16"/>
        </w:rPr>
      </w:pPr>
    </w:p>
    <w:p w14:paraId="5008BE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года Кертисс Командо С-46А-60-СК (№43-47271), выпущенный заводом в Луисвилле в 1945 году поздней серии, с моторами R-2800-75, прибыл в Фэрбенкс и 15 мая прошел советскую военную приемку. В отличие от обычной практики эстафетного движения но трассе, "Коммандо" от Фэрбенкса до Москвы вел один и тот же экипаж старшего лейтенанта Матвеева (3457,140).</w:t>
      </w:r>
    </w:p>
    <w:p w14:paraId="7A7AB84A" w14:textId="77777777" w:rsidR="00665165" w:rsidRPr="00925F26" w:rsidRDefault="00665165" w:rsidP="00925F26">
      <w:pPr>
        <w:autoSpaceDE w:val="0"/>
        <w:autoSpaceDN w:val="0"/>
        <w:adjustRightInd w:val="0"/>
        <w:jc w:val="both"/>
        <w:rPr>
          <w:color w:val="000000" w:themeColor="text1"/>
          <w:sz w:val="16"/>
          <w:szCs w:val="16"/>
        </w:rPr>
      </w:pPr>
    </w:p>
    <w:p w14:paraId="50FCE0E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04DA942" w14:textId="77777777" w:rsidR="00665165" w:rsidRPr="00925F26" w:rsidRDefault="00665165" w:rsidP="00925F26">
      <w:pPr>
        <w:autoSpaceDE w:val="0"/>
        <w:autoSpaceDN w:val="0"/>
        <w:adjustRightInd w:val="0"/>
        <w:jc w:val="both"/>
        <w:rPr>
          <w:iCs/>
          <w:color w:val="000000" w:themeColor="text1"/>
          <w:sz w:val="16"/>
          <w:szCs w:val="16"/>
        </w:rPr>
      </w:pPr>
    </w:p>
    <w:p w14:paraId="0E63158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вышло Постановление ГКО № 8342 Об изменении режима затемнения на части территории Советского Союза. (7332, 113-114).</w:t>
      </w:r>
    </w:p>
    <w:p w14:paraId="0A3EB47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FED2BB" w14:textId="77777777" w:rsidR="008775A3" w:rsidRPr="00925F26" w:rsidRDefault="008775A3" w:rsidP="00925F26">
      <w:pPr>
        <w:jc w:val="both"/>
        <w:rPr>
          <w:color w:val="000000" w:themeColor="text1"/>
          <w:sz w:val="16"/>
          <w:szCs w:val="16"/>
        </w:rPr>
      </w:pPr>
      <w:r w:rsidRPr="00925F26">
        <w:rPr>
          <w:color w:val="000000" w:themeColor="text1"/>
          <w:sz w:val="16"/>
          <w:szCs w:val="16"/>
        </w:rPr>
        <w:t>28 апреля 1945 г. Постановление Государственного Комитета Обороны об изменении режима затемнения на части территории Советского Союза № 8342</w:t>
      </w:r>
    </w:p>
    <w:p w14:paraId="48E70E33" w14:textId="77777777" w:rsidR="008775A3" w:rsidRPr="00925F26" w:rsidRDefault="008775A3" w:rsidP="00925F26">
      <w:pPr>
        <w:jc w:val="both"/>
        <w:rPr>
          <w:color w:val="000000" w:themeColor="text1"/>
          <w:sz w:val="16"/>
          <w:szCs w:val="16"/>
        </w:rPr>
      </w:pPr>
      <w:r w:rsidRPr="00925F26">
        <w:rPr>
          <w:color w:val="000000" w:themeColor="text1"/>
          <w:sz w:val="16"/>
          <w:szCs w:val="16"/>
        </w:rPr>
        <w:t>Москва, Кремль</w:t>
      </w:r>
    </w:p>
    <w:p w14:paraId="63189231" w14:textId="77777777" w:rsidR="008775A3" w:rsidRPr="00925F26" w:rsidRDefault="008775A3" w:rsidP="00925F26">
      <w:pPr>
        <w:jc w:val="both"/>
        <w:rPr>
          <w:color w:val="000000" w:themeColor="text1"/>
          <w:sz w:val="16"/>
          <w:szCs w:val="16"/>
        </w:rPr>
      </w:pPr>
      <w:r w:rsidRPr="00925F26">
        <w:rPr>
          <w:color w:val="000000" w:themeColor="text1"/>
          <w:sz w:val="16"/>
          <w:szCs w:val="16"/>
        </w:rPr>
        <w:t>В соответствии с изменившейся воздушной обстановкой Государственный Комитет Обороны постановляет:</w:t>
      </w:r>
    </w:p>
    <w:p w14:paraId="40AD4F92" w14:textId="77777777" w:rsidR="008775A3" w:rsidRPr="00925F26" w:rsidRDefault="008775A3" w:rsidP="00925F26">
      <w:pPr>
        <w:jc w:val="both"/>
        <w:rPr>
          <w:color w:val="000000" w:themeColor="text1"/>
          <w:sz w:val="16"/>
          <w:szCs w:val="16"/>
        </w:rPr>
      </w:pPr>
      <w:r w:rsidRPr="00925F26">
        <w:rPr>
          <w:color w:val="000000" w:themeColor="text1"/>
          <w:sz w:val="16"/>
          <w:szCs w:val="16"/>
        </w:rPr>
        <w:t>1. С 30 апреля с. г. с 20 часов полностью отменить затемнение на территории СССР восточнее линии: Архангельск, Медвежьегорск, Кексальм (все пункты исключительно), Ленинград (включ.), Луга (исключ.), Ст. Русса, Вязьма, Брянск, Чернигов, Киев (все пункты включ), Белая Церковь, Кировоград (исключ.), Кривой Рог (включ.), Перекоп (исключ.), Феодосия, Батуми, Ленинакан, Ереван, Нахичевань, Остара (все пункты включительно).</w:t>
      </w:r>
    </w:p>
    <w:p w14:paraId="53D271D9" w14:textId="77777777" w:rsidR="008775A3" w:rsidRPr="00925F26" w:rsidRDefault="008775A3" w:rsidP="00925F26">
      <w:pPr>
        <w:jc w:val="both"/>
        <w:rPr>
          <w:color w:val="000000" w:themeColor="text1"/>
          <w:sz w:val="16"/>
          <w:szCs w:val="16"/>
        </w:rPr>
      </w:pPr>
      <w:r w:rsidRPr="00925F26">
        <w:rPr>
          <w:color w:val="000000" w:themeColor="text1"/>
          <w:sz w:val="16"/>
          <w:szCs w:val="16"/>
        </w:rPr>
        <w:t xml:space="preserve">2. Обязать Совнаркомы республик, краевые и облисполкомы, директоров предприятий и начальников железных </w:t>
      </w:r>
    </w:p>
    <w:p w14:paraId="4B667B8E" w14:textId="77777777" w:rsidR="008775A3" w:rsidRPr="00925F26" w:rsidRDefault="008775A3" w:rsidP="00925F26">
      <w:pPr>
        <w:jc w:val="both"/>
        <w:rPr>
          <w:color w:val="000000" w:themeColor="text1"/>
          <w:sz w:val="16"/>
          <w:szCs w:val="16"/>
        </w:rPr>
      </w:pPr>
      <w:r w:rsidRPr="00925F26">
        <w:rPr>
          <w:color w:val="000000" w:themeColor="text1"/>
          <w:sz w:val="16"/>
          <w:szCs w:val="16"/>
        </w:rPr>
        <w:t>дорог принять необходимые меры к сохранению в готовности всех средств затемнения.</w:t>
      </w:r>
    </w:p>
    <w:p w14:paraId="359EDBBD" w14:textId="77777777" w:rsidR="008775A3" w:rsidRPr="00925F26" w:rsidRDefault="008775A3" w:rsidP="00925F26">
      <w:pPr>
        <w:jc w:val="both"/>
        <w:rPr>
          <w:color w:val="000000" w:themeColor="text1"/>
          <w:sz w:val="16"/>
          <w:szCs w:val="16"/>
        </w:rPr>
      </w:pPr>
      <w:r w:rsidRPr="00925F26">
        <w:rPr>
          <w:color w:val="000000" w:themeColor="text1"/>
          <w:sz w:val="16"/>
          <w:szCs w:val="16"/>
        </w:rPr>
        <w:t xml:space="preserve">3. Обязать командующего артиллерией Красной Армии тов. Воронова держать в постоянной боевой готовности </w:t>
      </w:r>
    </w:p>
    <w:p w14:paraId="2A60C3BE" w14:textId="77777777" w:rsidR="008775A3" w:rsidRPr="00925F26" w:rsidRDefault="008775A3" w:rsidP="00925F26">
      <w:pPr>
        <w:jc w:val="both"/>
        <w:rPr>
          <w:color w:val="000000" w:themeColor="text1"/>
          <w:sz w:val="16"/>
          <w:szCs w:val="16"/>
        </w:rPr>
      </w:pPr>
      <w:r w:rsidRPr="00925F26">
        <w:rPr>
          <w:color w:val="000000" w:themeColor="text1"/>
          <w:sz w:val="16"/>
          <w:szCs w:val="16"/>
        </w:rPr>
        <w:t>все средства противовоздушной обороны, прикрывающие объекты на территории, где полностью отменено затемнение.</w:t>
      </w:r>
    </w:p>
    <w:p w14:paraId="5D4220F2" w14:textId="77777777" w:rsidR="008775A3" w:rsidRPr="00925F26" w:rsidRDefault="008775A3" w:rsidP="00925F26">
      <w:pPr>
        <w:jc w:val="both"/>
        <w:rPr>
          <w:color w:val="000000" w:themeColor="text1"/>
          <w:sz w:val="16"/>
          <w:szCs w:val="16"/>
        </w:rPr>
      </w:pPr>
      <w:r w:rsidRPr="00925F26">
        <w:rPr>
          <w:color w:val="000000" w:themeColor="text1"/>
          <w:sz w:val="16"/>
          <w:szCs w:val="16"/>
        </w:rPr>
        <w:t>4. Предоставить НКВД СССР право частичного изменения режима затемнения на территории угрожаемой по воздушному нападению зоны.</w:t>
      </w:r>
    </w:p>
    <w:p w14:paraId="4CF6C459" w14:textId="77777777" w:rsidR="008775A3" w:rsidRPr="00925F26" w:rsidRDefault="008775A3" w:rsidP="00925F26">
      <w:pPr>
        <w:jc w:val="both"/>
        <w:rPr>
          <w:color w:val="000000" w:themeColor="text1"/>
          <w:sz w:val="16"/>
          <w:szCs w:val="16"/>
        </w:rPr>
      </w:pPr>
      <w:r w:rsidRPr="00925F26">
        <w:rPr>
          <w:color w:val="000000" w:themeColor="text1"/>
          <w:sz w:val="16"/>
          <w:szCs w:val="16"/>
        </w:rPr>
        <w:t>Председатель Государственного Комитета Обороны</w:t>
      </w:r>
      <w:r w:rsidRPr="00925F26">
        <w:rPr>
          <w:color w:val="000000" w:themeColor="text1"/>
          <w:sz w:val="16"/>
          <w:szCs w:val="16"/>
        </w:rPr>
        <w:tab/>
        <w:t>И. Сталин</w:t>
      </w:r>
    </w:p>
    <w:p w14:paraId="31D75B68" w14:textId="77777777" w:rsidR="008775A3" w:rsidRPr="00925F26" w:rsidRDefault="008775A3" w:rsidP="00925F26">
      <w:pPr>
        <w:jc w:val="both"/>
        <w:rPr>
          <w:color w:val="000000" w:themeColor="text1"/>
          <w:sz w:val="16"/>
          <w:szCs w:val="16"/>
        </w:rPr>
      </w:pPr>
      <w:r w:rsidRPr="00925F26">
        <w:rPr>
          <w:color w:val="000000" w:themeColor="text1"/>
          <w:sz w:val="16"/>
          <w:szCs w:val="16"/>
        </w:rPr>
        <w:t>Послано тт. Берия, Маленкову. Вознесенскому, Булганину, Воронову, Косыгину, Ковалеву, Щербакову,</w:t>
      </w:r>
    </w:p>
    <w:p w14:paraId="2DDA6CCA" w14:textId="77777777" w:rsidR="008775A3" w:rsidRPr="00925F26" w:rsidRDefault="008775A3" w:rsidP="00925F26">
      <w:pPr>
        <w:jc w:val="both"/>
        <w:rPr>
          <w:color w:val="000000" w:themeColor="text1"/>
          <w:sz w:val="16"/>
          <w:szCs w:val="16"/>
        </w:rPr>
      </w:pPr>
      <w:r w:rsidRPr="00925F26">
        <w:rPr>
          <w:color w:val="000000" w:themeColor="text1"/>
          <w:sz w:val="16"/>
          <w:szCs w:val="16"/>
        </w:rPr>
        <w:t xml:space="preserve">Попову (Мосгорисполком), Чадаеву, Тарасову (Мособлисполком); соответствующим Совнаркомам, </w:t>
      </w:r>
      <w:proofErr w:type="gramStart"/>
      <w:r w:rsidRPr="00925F26">
        <w:rPr>
          <w:color w:val="000000" w:themeColor="text1"/>
          <w:sz w:val="16"/>
          <w:szCs w:val="16"/>
        </w:rPr>
        <w:t>край( облисполкомам</w:t>
      </w:r>
      <w:proofErr w:type="gramEnd"/>
      <w:r w:rsidRPr="00925F26">
        <w:rPr>
          <w:color w:val="000000" w:themeColor="text1"/>
          <w:sz w:val="16"/>
          <w:szCs w:val="16"/>
        </w:rPr>
        <w:t>, шифром.</w:t>
      </w:r>
    </w:p>
    <w:p w14:paraId="2F8C4A37" w14:textId="77777777" w:rsidR="008775A3" w:rsidRPr="00925F26" w:rsidRDefault="008775A3" w:rsidP="00925F26">
      <w:pPr>
        <w:jc w:val="both"/>
        <w:rPr>
          <w:color w:val="000000" w:themeColor="text1"/>
          <w:sz w:val="16"/>
          <w:szCs w:val="16"/>
        </w:rPr>
      </w:pPr>
      <w:r w:rsidRPr="00925F26">
        <w:rPr>
          <w:color w:val="000000" w:themeColor="text1"/>
          <w:sz w:val="16"/>
          <w:szCs w:val="16"/>
        </w:rPr>
        <w:t>РГАСПИ. Ф. 644. Оп. 1.Д. 406. Л. 113—114. Подлинник (23923).</w:t>
      </w:r>
    </w:p>
    <w:p w14:paraId="3407E8BD" w14:textId="77777777" w:rsidR="008775A3" w:rsidRPr="00925F26" w:rsidRDefault="008775A3" w:rsidP="00925F26">
      <w:pPr>
        <w:jc w:val="both"/>
        <w:rPr>
          <w:color w:val="000000" w:themeColor="text1"/>
          <w:sz w:val="16"/>
          <w:szCs w:val="16"/>
        </w:rPr>
      </w:pPr>
    </w:p>
    <w:p w14:paraId="229EF95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7CFBDCB" w14:textId="77777777" w:rsidR="00665165" w:rsidRPr="00925F26" w:rsidRDefault="00665165" w:rsidP="00925F26">
      <w:pPr>
        <w:autoSpaceDE w:val="0"/>
        <w:autoSpaceDN w:val="0"/>
        <w:adjustRightInd w:val="0"/>
        <w:jc w:val="both"/>
        <w:rPr>
          <w:iCs/>
          <w:color w:val="000000" w:themeColor="text1"/>
          <w:sz w:val="16"/>
          <w:szCs w:val="16"/>
        </w:rPr>
      </w:pPr>
    </w:p>
    <w:p w14:paraId="07B0EA05" w14:textId="77777777" w:rsidR="00BF0005" w:rsidRPr="00925F26" w:rsidRDefault="00BF0005" w:rsidP="00925F26">
      <w:pPr>
        <w:jc w:val="both"/>
        <w:rPr>
          <w:color w:val="000000" w:themeColor="text1"/>
          <w:sz w:val="16"/>
          <w:szCs w:val="16"/>
        </w:rPr>
      </w:pPr>
      <w:r w:rsidRPr="00925F26">
        <w:rPr>
          <w:color w:val="000000" w:themeColor="text1"/>
          <w:sz w:val="16"/>
          <w:szCs w:val="16"/>
        </w:rPr>
        <w:t xml:space="preserve">28 апреля в 1946 году взлетел шведский опытный самолет «СААБ» «J-29». </w:t>
      </w:r>
      <w:proofErr w:type="gramStart"/>
      <w:r w:rsidRPr="00925F26">
        <w:rPr>
          <w:color w:val="000000" w:themeColor="text1"/>
          <w:sz w:val="16"/>
          <w:szCs w:val="16"/>
        </w:rPr>
        <w:t>Кстати</w:t>
      </w:r>
      <w:proofErr w:type="gramEnd"/>
      <w:r w:rsidRPr="00925F26">
        <w:rPr>
          <w:color w:val="000000" w:themeColor="text1"/>
          <w:sz w:val="16"/>
          <w:szCs w:val="16"/>
        </w:rPr>
        <w:t xml:space="preserve"> он явился первым серийным истребителем со стреловидным крылом европейской конструкции. В окончательном варианте на реактивный истребитель решили установить лицензионный двигатель «Гоуст» 45 («RМ-2»), котоый обеспечивал </w:t>
      </w:r>
      <w:r w:rsidRPr="00925F26">
        <w:rPr>
          <w:color w:val="000000" w:themeColor="text1"/>
          <w:sz w:val="16"/>
          <w:szCs w:val="16"/>
        </w:rPr>
        <w:lastRenderedPageBreak/>
        <w:t>достаточный запас мощности. У этого двигателя был большой поперечный разрез, и поэтому фюзеляж конструкторы вынуждены были сделать коротким и объемным, что с точки зрения аэродинамики являлось недостатком. Но при этом имелись и плюсы в наличии такого объемного фюзеляжа - можно было без особых проблем разместить вооружение, состоявшее из четырех авиационных пушек «Бофорс» 20-миллиметрового калибра под входным воздухозаборником, а также топливных баков (все первые моторы, несмотря на то что имели небольшую мощность, были очень "прожорливыми) (15113).</w:t>
      </w:r>
    </w:p>
    <w:p w14:paraId="290E6A0E" w14:textId="77777777" w:rsidR="00BF0005" w:rsidRPr="00925F26" w:rsidRDefault="00BF0005" w:rsidP="00925F26">
      <w:pPr>
        <w:jc w:val="both"/>
        <w:rPr>
          <w:color w:val="000000" w:themeColor="text1"/>
          <w:sz w:val="16"/>
          <w:szCs w:val="16"/>
        </w:rPr>
      </w:pPr>
    </w:p>
    <w:p w14:paraId="2907635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после заявления Би-Би-Си о секретных переговорах Гиммлера с союзниками Гитлер приказал арестовать его (4962).</w:t>
      </w:r>
    </w:p>
    <w:p w14:paraId="1B79F82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1321FA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28th, 1945: The Canadian First Army (Crerar) captures Emden and Wilhelmshaven, while the US Seventh Army (Patch) occupies Augsburg, Regensburg and Ingolstadt. In the battle of Berlin, the Red Army reaches the Anhalt Station and is within half a mile of the Fuhrerbunker. Hitler marries his mistress, Eva Braun, and dictates his political testament in which he justifies the political and military actions of his 12-year-rule, blaming the war on international Jewry and exhorting the German people even after defeat to adhere to the principles of National Socialism, especially its racial laws; he appoints Grossadmiral Donitz as his successor. In the English Channel, German U-boats have sunk 8 Allied ships, 3 destroyers and 2 corvettes (3819).</w:t>
      </w:r>
    </w:p>
    <w:p w14:paraId="6AF50C94" w14:textId="77777777" w:rsidR="00665165" w:rsidRPr="00925F26" w:rsidRDefault="00665165" w:rsidP="00925F26">
      <w:pPr>
        <w:autoSpaceDE w:val="0"/>
        <w:autoSpaceDN w:val="0"/>
        <w:adjustRightInd w:val="0"/>
        <w:jc w:val="both"/>
        <w:rPr>
          <w:color w:val="000000" w:themeColor="text1"/>
          <w:sz w:val="16"/>
          <w:szCs w:val="16"/>
          <w:lang w:val="en-US"/>
        </w:rPr>
      </w:pPr>
    </w:p>
    <w:p w14:paraId="55F06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канадская 1А заняла Эмден и Вильхельмсхаффен. 7А США заняла Аусбург, Регенсбург и Инголштадт. Немецкие п/л потопили 8 судов союзников, 3 миноносца и 2 фрегата (3819).</w:t>
      </w:r>
    </w:p>
    <w:p w14:paraId="0357D568" w14:textId="77777777" w:rsidR="00665165" w:rsidRPr="00925F26" w:rsidRDefault="00665165" w:rsidP="00925F26">
      <w:pPr>
        <w:autoSpaceDE w:val="0"/>
        <w:autoSpaceDN w:val="0"/>
        <w:adjustRightInd w:val="0"/>
        <w:jc w:val="both"/>
        <w:rPr>
          <w:color w:val="000000" w:themeColor="text1"/>
          <w:sz w:val="16"/>
          <w:szCs w:val="16"/>
        </w:rPr>
      </w:pPr>
    </w:p>
    <w:p w14:paraId="5BA29F17" w14:textId="77777777" w:rsidR="00FC1867" w:rsidRPr="00925F26" w:rsidRDefault="00FC1867" w:rsidP="00925F26">
      <w:pPr>
        <w:jc w:val="both"/>
        <w:rPr>
          <w:color w:val="000000" w:themeColor="text1"/>
          <w:sz w:val="16"/>
          <w:szCs w:val="16"/>
        </w:rPr>
      </w:pPr>
      <w:r w:rsidRPr="00925F26">
        <w:rPr>
          <w:color w:val="000000" w:themeColor="text1"/>
          <w:sz w:val="16"/>
          <w:szCs w:val="16"/>
        </w:rPr>
        <w:t>28 апреля в 1945 году произошло антифашистское восстание в концлагере Дахау, 29 апреля лагерь был освобожден. Дахау - один из первых концентрационных лагерей на территории Германии. Основан в марте 1933 неподалеку от Мюнхена. Стал первым «опытным полигоном», где отрабатывалась система наказаний и других форм физических и психологических издевательств над узниками. До начала второй мировой войны в Дахау содержались политические противники нацистского режима, прежде всего коммунисты, социалисты, оппозиционные режиму священнослужители и др. Во время войны Дахау приобрел зловещую известность как один из самых страшных концлагерей, в которых проводились медицинские эксперименты над заключенными. Только в 1941-1942 годах там было проведено около 500 экспериментов над живыми людьми. Генрих Гиммлер и другие высокопоставленные нацисты регулярно посещали с инспекционными поездками Дахау, где наблюдали за этими опытами. Многие узники Дахау трудились в качестве бесплатной рабочей силы на окрестных промышленных предприятиях, в том числе на производствах концерна "ИГ Фарбениндустри". За все время существования концлагеря Дахау через него прошли около 250 тысяч человек из 24 стран. Из них 70 тысяч погибли. Среди замученных - 12 тысяч советских военнопленных. В момент освобождения в лагере находились 30 тысяч узников. 28 апреля 1945 года, за день до прихода американских войск, действовавшая в Дахау подпольная организация заключенных во главе с интернациональным комитетом подняла восстание, сорвав фашистский план уничтожения оставшихся в живых заключенных. После окончания второй мировой войны комендант лагеря и члены охраны предстали перед Международным военным трибуналом в Нюрнберге. Осуществлявшие в лагере медицинские эксперименты врачи также предстали перед судом. При поддержке баварского правительства и Международного комитета бывших узников Дахау на территории лагеря был открыт мемориальный комплекс (15113).</w:t>
      </w:r>
    </w:p>
    <w:p w14:paraId="08BE2AEC" w14:textId="77777777" w:rsidR="00FC1867" w:rsidRPr="00925F26" w:rsidRDefault="00FC1867" w:rsidP="00925F26">
      <w:pPr>
        <w:jc w:val="both"/>
        <w:rPr>
          <w:color w:val="000000" w:themeColor="text1"/>
          <w:sz w:val="16"/>
          <w:szCs w:val="16"/>
        </w:rPr>
      </w:pPr>
    </w:p>
    <w:p w14:paraId="028152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28 апреля 1945 голландское население страдало </w:t>
      </w:r>
      <w:proofErr w:type="gramStart"/>
      <w:r w:rsidRPr="00925F26">
        <w:rPr>
          <w:color w:val="000000" w:themeColor="text1"/>
          <w:sz w:val="16"/>
          <w:szCs w:val="16"/>
        </w:rPr>
        <w:t>от голода</w:t>
      </w:r>
      <w:proofErr w:type="gramEnd"/>
      <w:r w:rsidRPr="00925F26">
        <w:rPr>
          <w:color w:val="000000" w:themeColor="text1"/>
          <w:sz w:val="16"/>
          <w:szCs w:val="16"/>
        </w:rPr>
        <w:t xml:space="preserve"> и союзники сбрасывали продовольствие с самолетов в районе Гааги, Лейдена и Роттердама (2248,5).</w:t>
      </w:r>
    </w:p>
    <w:p w14:paraId="365970AE" w14:textId="77777777" w:rsidR="00665165" w:rsidRPr="00925F26" w:rsidRDefault="00665165" w:rsidP="00925F26">
      <w:pPr>
        <w:autoSpaceDE w:val="0"/>
        <w:autoSpaceDN w:val="0"/>
        <w:adjustRightInd w:val="0"/>
        <w:jc w:val="both"/>
        <w:rPr>
          <w:color w:val="000000" w:themeColor="text1"/>
          <w:sz w:val="16"/>
          <w:szCs w:val="16"/>
        </w:rPr>
      </w:pPr>
    </w:p>
    <w:p w14:paraId="2044829B" w14:textId="77777777" w:rsidR="00BF0005" w:rsidRPr="00925F26" w:rsidRDefault="00BF0005" w:rsidP="00925F26">
      <w:pPr>
        <w:jc w:val="both"/>
        <w:rPr>
          <w:color w:val="000000" w:themeColor="text1"/>
          <w:sz w:val="16"/>
          <w:szCs w:val="16"/>
        </w:rPr>
      </w:pPr>
      <w:r w:rsidRPr="00925F26">
        <w:rPr>
          <w:color w:val="000000" w:themeColor="text1"/>
          <w:sz w:val="16"/>
          <w:szCs w:val="16"/>
        </w:rPr>
        <w:t>28 апреля в 1945 году американо-английские войска заняли Аугсбург (15113).</w:t>
      </w:r>
    </w:p>
    <w:p w14:paraId="7F53320C" w14:textId="77777777" w:rsidR="00BF0005" w:rsidRPr="00925F26" w:rsidRDefault="00BF0005" w:rsidP="00925F26">
      <w:pPr>
        <w:jc w:val="both"/>
        <w:rPr>
          <w:color w:val="000000" w:themeColor="text1"/>
          <w:sz w:val="16"/>
          <w:szCs w:val="16"/>
        </w:rPr>
      </w:pPr>
    </w:p>
    <w:p w14:paraId="35B3E9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April 28 1945 Allies take Venice (1050).</w:t>
      </w:r>
    </w:p>
    <w:p w14:paraId="5223D9C9" w14:textId="77777777" w:rsidR="00665165" w:rsidRPr="00925F26" w:rsidRDefault="00665165" w:rsidP="00925F26">
      <w:pPr>
        <w:autoSpaceDE w:val="0"/>
        <w:autoSpaceDN w:val="0"/>
        <w:adjustRightInd w:val="0"/>
        <w:jc w:val="both"/>
        <w:rPr>
          <w:color w:val="000000" w:themeColor="text1"/>
          <w:sz w:val="16"/>
          <w:szCs w:val="16"/>
        </w:rPr>
      </w:pPr>
    </w:p>
    <w:p w14:paraId="4466D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союзники взяли Венецию (1050).</w:t>
      </w:r>
    </w:p>
    <w:p w14:paraId="3833543D" w14:textId="77777777" w:rsidR="00665165" w:rsidRPr="00925F26" w:rsidRDefault="00665165" w:rsidP="00925F26">
      <w:pPr>
        <w:autoSpaceDE w:val="0"/>
        <w:autoSpaceDN w:val="0"/>
        <w:adjustRightInd w:val="0"/>
        <w:jc w:val="both"/>
        <w:rPr>
          <w:color w:val="000000" w:themeColor="text1"/>
          <w:sz w:val="16"/>
          <w:szCs w:val="16"/>
        </w:rPr>
      </w:pPr>
    </w:p>
    <w:p w14:paraId="2433847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 Италии партизанами расстрелян один из основателей партии фашистов Роберто Фариначчи (4962).</w:t>
      </w:r>
    </w:p>
    <w:p w14:paraId="676DE76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53454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апреля 1945 в Италии повешены Бенито Муссолини и его любовница Клара Петаччи (4962).</w:t>
      </w:r>
    </w:p>
    <w:p w14:paraId="5B951C4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26B33F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28 1945 Mussolini is captured and killed by Italian partisans (1037).</w:t>
      </w:r>
    </w:p>
    <w:p w14:paraId="65B4CEC9" w14:textId="77777777" w:rsidR="00665165" w:rsidRPr="00925F26" w:rsidRDefault="00665165" w:rsidP="00925F26">
      <w:pPr>
        <w:autoSpaceDE w:val="0"/>
        <w:autoSpaceDN w:val="0"/>
        <w:adjustRightInd w:val="0"/>
        <w:jc w:val="both"/>
        <w:rPr>
          <w:color w:val="000000" w:themeColor="text1"/>
          <w:sz w:val="16"/>
          <w:szCs w:val="16"/>
          <w:lang w:val="en-US"/>
        </w:rPr>
      </w:pPr>
    </w:p>
    <w:p w14:paraId="646DE9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апреля 1945 итальянскими партизанами был захвачен и убит Б.Муссолини (1050).</w:t>
      </w:r>
    </w:p>
    <w:p w14:paraId="67998912" w14:textId="77777777" w:rsidR="00665165" w:rsidRPr="00925F26" w:rsidRDefault="00665165" w:rsidP="00925F26">
      <w:pPr>
        <w:autoSpaceDE w:val="0"/>
        <w:autoSpaceDN w:val="0"/>
        <w:adjustRightInd w:val="0"/>
        <w:jc w:val="both"/>
        <w:rPr>
          <w:color w:val="000000" w:themeColor="text1"/>
          <w:sz w:val="16"/>
          <w:szCs w:val="16"/>
        </w:rPr>
      </w:pPr>
    </w:p>
    <w:p w14:paraId="082C756C" w14:textId="77777777" w:rsidR="00BF0005" w:rsidRPr="00925F26" w:rsidRDefault="00BF0005" w:rsidP="00925F26">
      <w:pPr>
        <w:jc w:val="both"/>
        <w:rPr>
          <w:color w:val="000000" w:themeColor="text1"/>
          <w:sz w:val="16"/>
          <w:szCs w:val="16"/>
        </w:rPr>
      </w:pPr>
      <w:r w:rsidRPr="00925F26">
        <w:rPr>
          <w:color w:val="000000" w:themeColor="text1"/>
          <w:sz w:val="16"/>
          <w:szCs w:val="16"/>
        </w:rPr>
        <w:t>28 апреля в 1945 году казнен фашистский диктатор Италии в 1922-1943 годах Бенито Муссолини (родился в 1883 году). Политическую карьеру начал в социалистической партии, из которой был исключен. В 1919 году основал и возглавил фашистскую партию "Союз борьбы", главной целью которой провозгласил борьбу за интересы нации. В октябре 1922 года Муссолини со своими сторонниками, построенными в многотысячные колонны, осуществил известный поход на Рим, где парламент Италии большинством голосов передал ему власть. Несколько лет Муссолини не осмеливался открыто действовать только насилием, но в 1926 году он наконец уничтожил остатки оппозиции в стране. Им были изданы чрезвычайные законы, по которым все политические партии, кроме фашистской, запрещались и распускались, а их депутаты изгонялись из парламента. Тогда же Муссолини создал фашистский трибунал, осудивший с 1927 по 1937 год около 3 тысяч антифашистов. В сентябре 1938 года Муссолини был одним из организаторов Мюнхенского сговора, предопределившего захват Германией Чехословакии и способствовавшего развязыванию второй мировой войны. После начала военных действий США и Англии в июле 1943 года на Сицилии, а затем и в самой Италии, в сентябре 1943 года Муссолини был арестован, но вскоре по личному распоряжению Гитлера был освобожден немецкими парашютистами и отправлен под охраной на север Италии. 17 сентября 1943 года была провозглашена Итальянская Социальная Республика во главе с Муссолини. Новое фашистское правительство расположилось в городишке Сало на озере Гарда, который дал название режиму. Власть «режима Сало» распространялась только на Северную Италию, оккупированную немецкими войсками. Настоящими хозяевами страны стали эсесовцы, контролировавшие все государственные учреждения, правительство и даже самого Муссолини. Эсесовцы и фанатики из «черных бригад» развернули террор, какого фашистская Италия еще не знала. Начались массовые расстрелы тысяч заложников и «дезертиров», отказавшихся вступать в армию «Сало». Десятки тысячи людей были насильственно депортированы в Германию на каторжные работы. Но террор уже не мог остановить народное сопротивление. На юге Италии высадились англо-американские войска и продвигались на севере. Кольцо сжималось. 25 апреля 1945 года дуче решил бежать из Милана. Вместе с любовницей Кларой Печаччи и несколькими министрами он присоединился к колонне немецких войск. 27 апреля в городишке Донго колонна была задержана партизанами из 52-й бригады имени Гарибальди. Во время обыска одного из грузовиков немецкой части Муссолини был обнаружен. На следующий день в обстановке полной секретности он был вывезен в деревню Джулио ди Медзетро, где был расстрелян. Вместе с дуче погибла и его подруга Клара Печаччи (15113).</w:t>
      </w:r>
    </w:p>
    <w:p w14:paraId="2CA169B5" w14:textId="77777777" w:rsidR="00BF0005" w:rsidRPr="00925F26" w:rsidRDefault="00BF0005" w:rsidP="00925F26">
      <w:pPr>
        <w:jc w:val="both"/>
        <w:rPr>
          <w:color w:val="000000" w:themeColor="text1"/>
          <w:sz w:val="16"/>
          <w:szCs w:val="16"/>
        </w:rPr>
      </w:pPr>
    </w:p>
    <w:p w14:paraId="47610471" w14:textId="77777777" w:rsidR="00902F85" w:rsidRPr="00925F26" w:rsidRDefault="00902F85" w:rsidP="00925F26">
      <w:pPr>
        <w:autoSpaceDE w:val="0"/>
        <w:autoSpaceDN w:val="0"/>
        <w:adjustRightInd w:val="0"/>
        <w:jc w:val="both"/>
        <w:rPr>
          <w:iCs/>
          <w:color w:val="000000" w:themeColor="text1"/>
          <w:sz w:val="16"/>
          <w:szCs w:val="16"/>
        </w:rPr>
      </w:pPr>
      <w:r w:rsidRPr="00925F26">
        <w:rPr>
          <w:color w:val="000000" w:themeColor="text1"/>
          <w:sz w:val="16"/>
          <w:szCs w:val="16"/>
        </w:rPr>
        <w:t>28 апреля 1945 г. Муссолини и его подруга Кларетта были расстреляны без объяснений и суда на вилле у озера Комо (17459).</w:t>
      </w:r>
    </w:p>
    <w:p w14:paraId="6FF44C06" w14:textId="77777777" w:rsidR="00902F85" w:rsidRPr="00925F26" w:rsidRDefault="00902F85" w:rsidP="00925F26">
      <w:pPr>
        <w:autoSpaceDE w:val="0"/>
        <w:autoSpaceDN w:val="0"/>
        <w:adjustRightInd w:val="0"/>
        <w:jc w:val="both"/>
        <w:rPr>
          <w:iCs/>
          <w:color w:val="000000" w:themeColor="text1"/>
          <w:sz w:val="16"/>
          <w:szCs w:val="16"/>
        </w:rPr>
      </w:pPr>
    </w:p>
    <w:p w14:paraId="0A156E6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3383DCD" w14:textId="77777777" w:rsidR="00665165" w:rsidRPr="00925F26" w:rsidRDefault="00665165" w:rsidP="00925F26">
      <w:pPr>
        <w:autoSpaceDE w:val="0"/>
        <w:autoSpaceDN w:val="0"/>
        <w:adjustRightInd w:val="0"/>
        <w:jc w:val="both"/>
        <w:rPr>
          <w:iCs/>
          <w:color w:val="000000" w:themeColor="text1"/>
          <w:sz w:val="16"/>
          <w:szCs w:val="16"/>
        </w:rPr>
      </w:pPr>
    </w:p>
    <w:p w14:paraId="4FA7D5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29 апреля по 9 июня 1945 проходили заводские испытания на ЦА Як-3У с АШ-82ФН, построенного с 20 января по 23 апреля 1945 сначала в Новосибирске, а затем в Москве. Первый вылет был 12 мая (летал П.Я.Федрови). 25 сентября доделали, но запускать не стали, так как пошел Як-11 (65,198) или Як-У, с АШ-21 и ВИШ-IIIВ-20, созданный год спустя (2608,4).</w:t>
      </w:r>
    </w:p>
    <w:p w14:paraId="74A3B186" w14:textId="77777777" w:rsidR="00665165" w:rsidRPr="00925F26" w:rsidRDefault="00665165" w:rsidP="00925F26">
      <w:pPr>
        <w:autoSpaceDE w:val="0"/>
        <w:autoSpaceDN w:val="0"/>
        <w:adjustRightInd w:val="0"/>
        <w:jc w:val="both"/>
        <w:rPr>
          <w:color w:val="000000" w:themeColor="text1"/>
          <w:sz w:val="16"/>
          <w:szCs w:val="16"/>
        </w:rPr>
      </w:pPr>
    </w:p>
    <w:p w14:paraId="46DE4E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года, на Центральном аэродроме в Москве начались заводские испытания последней модификации истребителя - Як-ЗУ с поршневым звездообразным мотором АШ-82ФН, с винтом ВИШ-Ю5В4 диаметром 3,1 метра и маслорадиатором типа 555. Это была попытка уйти не только от двигателя ВК- 107А, но и создать машину, превосходившую Ла-7.</w:t>
      </w:r>
    </w:p>
    <w:p w14:paraId="5986A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Истребитель разрабатывался в соответствии с постановлением ГКО от 23 апреля 1945 года. Ведущий конструктор - В.В. Барсуков.</w:t>
      </w:r>
    </w:p>
    <w:p w14:paraId="1EC05A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самолете деревянную обшивку фюзеляжа заменили металлической. Крыло предполагалось металлическим, но на опытной машине осталось прежнее - смешанной конструкции, но увеличенного размаха (из-за большей ширины фюзеляжа) до 9,4 метра (площадь - 15,35 м2). Это утяжелило машину на 35 кг.</w:t>
      </w:r>
    </w:p>
    <w:p w14:paraId="546545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обеспечения требуемой центровки и увеличения противокапотажного угла несущую поверхность сместили вперед на 219 мм (вместо 200 мм по проекту), а кабину пилота подняли на 84 мм для улучшения обзора. Но это помогло незначительно, и противокапотажный угол получился меньше, чем на серийном Як-3, что делало машину опасной на рулежке.</w:t>
      </w:r>
    </w:p>
    <w:p w14:paraId="4C27E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Ножное и ручное управление самолетом по сравнению с серийным Як-3 смонтировали на фюзеляже, что было значительно удобнее при изготовлении его поточным методом и его расстыковке. Пол кабины был сделан легкосъемным для крепления педалей.</w:t>
      </w:r>
    </w:p>
    <w:p w14:paraId="32EC1A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этого, установили мягкие (вместо металлических) баки, вмещавшие 340 кг горючего.</w:t>
      </w:r>
    </w:p>
    <w:p w14:paraId="26C6D6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Для предотвращения отсоса посадочных щитков и щитков шасси, а также самопроизвольного выпадания костыльного колеса их снабдили дополнительными замками.</w:t>
      </w:r>
    </w:p>
    <w:p w14:paraId="350E8D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Расчеты показали, что при полетном весе 2792 кг максимальная скорость на высоте 6100 метров достигнет 705 км/ч, а время набора высоты 5000 метров - 4 минуты (12047).</w:t>
      </w:r>
    </w:p>
    <w:p w14:paraId="0A5F428E" w14:textId="77777777" w:rsidR="00665165" w:rsidRPr="00925F26" w:rsidRDefault="00665165" w:rsidP="00925F26">
      <w:pPr>
        <w:autoSpaceDE w:val="0"/>
        <w:autoSpaceDN w:val="0"/>
        <w:adjustRightInd w:val="0"/>
        <w:jc w:val="both"/>
        <w:rPr>
          <w:color w:val="000000" w:themeColor="text1"/>
          <w:sz w:val="16"/>
          <w:szCs w:val="16"/>
        </w:rPr>
      </w:pPr>
    </w:p>
    <w:p w14:paraId="03890759" w14:textId="77777777" w:rsidR="00DB35FE" w:rsidRPr="00925F26" w:rsidRDefault="00DB35FE" w:rsidP="00925F26">
      <w:pPr>
        <w:jc w:val="both"/>
        <w:rPr>
          <w:color w:val="000000" w:themeColor="text1"/>
          <w:sz w:val="16"/>
          <w:szCs w:val="16"/>
        </w:rPr>
      </w:pPr>
      <w:r w:rsidRPr="00925F26">
        <w:rPr>
          <w:color w:val="000000" w:themeColor="text1"/>
          <w:sz w:val="16"/>
          <w:szCs w:val="16"/>
        </w:rPr>
        <w:t>29 апреля в 1945 году на Центральном аэродроме Москвы начались заводские испытания модификации истребителя «Як-3» со звездообразным мотором «АШ-82ФН». Во время испытаний летчик П.Я.Федрови достиг скорости 682 км/ч на высоте 6000 м. Время набора высоты 5000 м не превышало 3,9 минуты. Однако, несмотря на столь высокие характеристики, самолет так и остался невостребованным (15114).</w:t>
      </w:r>
    </w:p>
    <w:p w14:paraId="3AEB98EE" w14:textId="77777777" w:rsidR="00DB35FE" w:rsidRPr="00925F26" w:rsidRDefault="00DB35FE" w:rsidP="00925F26">
      <w:pPr>
        <w:jc w:val="both"/>
        <w:rPr>
          <w:color w:val="000000" w:themeColor="text1"/>
          <w:sz w:val="16"/>
          <w:szCs w:val="16"/>
        </w:rPr>
      </w:pPr>
    </w:p>
    <w:p w14:paraId="1A1A6B75" w14:textId="77777777" w:rsidR="00FF2E3B" w:rsidRPr="001A0BAA" w:rsidRDefault="00FF2E3B" w:rsidP="00FF2E3B">
      <w:pPr>
        <w:jc w:val="both"/>
        <w:rPr>
          <w:color w:val="0070C0"/>
          <w:sz w:val="16"/>
          <w:szCs w:val="16"/>
        </w:rPr>
      </w:pPr>
      <w:r w:rsidRPr="001A0BAA">
        <w:rPr>
          <w:color w:val="0070C0"/>
          <w:sz w:val="16"/>
          <w:szCs w:val="16"/>
        </w:rPr>
        <w:t>29 апреля 1945 г. Як-ЗУ с АШ-82ФН вышел на заводские испытания и совершил первый полёт 12 мая. В ходе испытаний лётчик П.Я. Федрови достиг скорости 682 км/ч на высоте 6000 м. Самолёт в серию не пошёл, но элементы его конструкции использовали при разработке новой машины. В частности, именно от Як-ЗУ взяли крыло большего размаха, который увеличили с 9,2 до 9,4 м за счёт удли</w:t>
      </w:r>
      <w:r w:rsidRPr="001A0BAA">
        <w:rPr>
          <w:color w:val="0070C0"/>
          <w:sz w:val="16"/>
          <w:szCs w:val="16"/>
        </w:rPr>
        <w:softHyphen/>
        <w:t>нения стыковочных узлов лонжеронов, соединяющихся по осевой линии само</w:t>
      </w:r>
      <w:r w:rsidRPr="001A0BAA">
        <w:rPr>
          <w:color w:val="0070C0"/>
          <w:sz w:val="16"/>
          <w:szCs w:val="16"/>
        </w:rPr>
        <w:softHyphen/>
        <w:t>лёта (площадь крыла при этом возросла на 0,5 м</w:t>
      </w:r>
      <w:r w:rsidRPr="001A0BAA">
        <w:rPr>
          <w:color w:val="0070C0"/>
          <w:sz w:val="16"/>
          <w:szCs w:val="16"/>
          <w:vertAlign w:val="superscript"/>
        </w:rPr>
        <w:t>2</w:t>
      </w:r>
      <w:r w:rsidRPr="001A0BAA">
        <w:rPr>
          <w:color w:val="0070C0"/>
          <w:sz w:val="16"/>
          <w:szCs w:val="16"/>
        </w:rPr>
        <w:t>) (24958).</w:t>
      </w:r>
    </w:p>
    <w:p w14:paraId="029919C9" w14:textId="77777777" w:rsidR="00FF2E3B" w:rsidRPr="001A0BAA" w:rsidRDefault="00FF2E3B" w:rsidP="00FF2E3B">
      <w:pPr>
        <w:jc w:val="both"/>
        <w:rPr>
          <w:color w:val="0070C0"/>
          <w:sz w:val="16"/>
          <w:szCs w:val="16"/>
        </w:rPr>
      </w:pPr>
    </w:p>
    <w:p w14:paraId="467EE2ED" w14:textId="77777777" w:rsidR="00FF2E3B" w:rsidRPr="001A0BAA" w:rsidRDefault="00FF2E3B" w:rsidP="00FF2E3B">
      <w:pPr>
        <w:jc w:val="both"/>
        <w:rPr>
          <w:color w:val="0070C0"/>
          <w:sz w:val="16"/>
          <w:szCs w:val="16"/>
        </w:rPr>
      </w:pPr>
      <w:r w:rsidRPr="001A0BAA">
        <w:rPr>
          <w:color w:val="0070C0"/>
          <w:sz w:val="16"/>
          <w:szCs w:val="16"/>
        </w:rPr>
        <w:t>29 апреля 1945 г. начались заводские испытания Як</w:t>
      </w:r>
      <w:r w:rsidRPr="001A0BAA">
        <w:rPr>
          <w:color w:val="0070C0"/>
          <w:sz w:val="16"/>
          <w:szCs w:val="16"/>
        </w:rPr>
        <w:noBreakHyphen/>
        <w:t>3У с АШ</w:t>
      </w:r>
      <w:r w:rsidRPr="001A0BAA">
        <w:rPr>
          <w:color w:val="0070C0"/>
          <w:sz w:val="16"/>
          <w:szCs w:val="16"/>
        </w:rPr>
        <w:noBreakHyphen/>
        <w:t>82ФН, который был начат в Новосибирске на заводе № 153 20 января 1945 года, а закончен 23 апреля 1945 года в Москве. На высоте 6000 метров Як</w:t>
      </w:r>
      <w:r w:rsidRPr="001A0BAA">
        <w:rPr>
          <w:color w:val="0070C0"/>
          <w:sz w:val="16"/>
          <w:szCs w:val="16"/>
        </w:rPr>
        <w:noBreakHyphen/>
        <w:t>3У развивал скорость 682 км/ч. Высоту 5000 метров самолет набирал 3,9 мин. Чтобы еще больше улучшить характеристики машины, ее отправили назад в ОКБ с целью заменить деревянное крыло металлическим. Работы закончились 25 сентября 1945 года, но из</w:t>
      </w:r>
      <w:r w:rsidRPr="001A0BAA">
        <w:rPr>
          <w:color w:val="0070C0"/>
          <w:sz w:val="16"/>
          <w:szCs w:val="16"/>
        </w:rPr>
        <w:noBreakHyphen/>
      </w:r>
      <w:proofErr w:type="gramStart"/>
      <w:r w:rsidRPr="001A0BAA">
        <w:rPr>
          <w:color w:val="0070C0"/>
          <w:sz w:val="16"/>
          <w:szCs w:val="16"/>
        </w:rPr>
        <w:t>за конца</w:t>
      </w:r>
      <w:proofErr w:type="gramEnd"/>
      <w:r w:rsidRPr="001A0BAA">
        <w:rPr>
          <w:color w:val="0070C0"/>
          <w:sz w:val="16"/>
          <w:szCs w:val="16"/>
        </w:rPr>
        <w:t xml:space="preserve"> войны дальнейшего развития проект не получил. Опыт, полученный при создании Як</w:t>
      </w:r>
      <w:r w:rsidRPr="001A0BAA">
        <w:rPr>
          <w:color w:val="0070C0"/>
          <w:sz w:val="16"/>
          <w:szCs w:val="16"/>
        </w:rPr>
        <w:noBreakHyphen/>
        <w:t>3У, использовали при проектировании Як</w:t>
      </w:r>
      <w:r w:rsidRPr="001A0BAA">
        <w:rPr>
          <w:color w:val="0070C0"/>
          <w:sz w:val="16"/>
          <w:szCs w:val="16"/>
        </w:rPr>
        <w:noBreakHyphen/>
        <w:t>11.</w:t>
      </w:r>
    </w:p>
    <w:p w14:paraId="0CD46CB4" w14:textId="77777777" w:rsidR="00FF2E3B" w:rsidRPr="001A0BAA" w:rsidRDefault="00FF2E3B" w:rsidP="00FF2E3B">
      <w:pPr>
        <w:jc w:val="both"/>
        <w:rPr>
          <w:color w:val="0070C0"/>
          <w:sz w:val="16"/>
          <w:szCs w:val="16"/>
        </w:rPr>
      </w:pPr>
      <w:r w:rsidRPr="001A0BAA">
        <w:rPr>
          <w:color w:val="0070C0"/>
          <w:sz w:val="16"/>
          <w:szCs w:val="16"/>
        </w:rPr>
        <w:t>История истребителей Яковлев имеет еще одну страничку. Завод в Оренбурге получил заказ из Санта</w:t>
      </w:r>
      <w:r w:rsidRPr="001A0BAA">
        <w:rPr>
          <w:color w:val="0070C0"/>
          <w:sz w:val="16"/>
          <w:szCs w:val="16"/>
        </w:rPr>
        <w:noBreakHyphen/>
        <w:t>Моники, США на 20 копий Як</w:t>
      </w:r>
      <w:r w:rsidRPr="001A0BAA">
        <w:rPr>
          <w:color w:val="0070C0"/>
          <w:sz w:val="16"/>
          <w:szCs w:val="16"/>
        </w:rPr>
        <w:noBreakHyphen/>
        <w:t>3 для богатых американских миллионеров. Самолеты летают, но вместо штатного климовского двигателя на них установлен двигатель Allison 21 мощностью 925 кВт. Один такой самолет был доставлен транспортником АН</w:t>
      </w:r>
      <w:r w:rsidRPr="001A0BAA">
        <w:rPr>
          <w:color w:val="0070C0"/>
          <w:sz w:val="16"/>
          <w:szCs w:val="16"/>
        </w:rPr>
        <w:noBreakHyphen/>
        <w:t>124 на авиасалон в Париже в 1993 году. Машина несла эффектный серо</w:t>
      </w:r>
      <w:r w:rsidRPr="001A0BAA">
        <w:rPr>
          <w:color w:val="0070C0"/>
          <w:sz w:val="16"/>
          <w:szCs w:val="16"/>
        </w:rPr>
        <w:noBreakHyphen/>
        <w:t>темно</w:t>
      </w:r>
      <w:r w:rsidRPr="001A0BAA">
        <w:rPr>
          <w:color w:val="0070C0"/>
          <w:sz w:val="16"/>
          <w:szCs w:val="16"/>
        </w:rPr>
        <w:noBreakHyphen/>
        <w:t>серый камуфляж и пользовалась огромным успехом у посетителей (25976).</w:t>
      </w:r>
    </w:p>
    <w:p w14:paraId="4C5AEE43" w14:textId="77777777" w:rsidR="00FF2E3B" w:rsidRPr="001A0BAA" w:rsidRDefault="00FF2E3B" w:rsidP="00FF2E3B">
      <w:pPr>
        <w:jc w:val="both"/>
        <w:rPr>
          <w:color w:val="0070C0"/>
          <w:sz w:val="16"/>
          <w:szCs w:val="16"/>
        </w:rPr>
      </w:pPr>
    </w:p>
    <w:p w14:paraId="7B56B3C1" w14:textId="77777777" w:rsidR="00A278CB" w:rsidRPr="00925F26" w:rsidRDefault="00A278CB" w:rsidP="00925F26">
      <w:pPr>
        <w:shd w:val="clear" w:color="auto" w:fill="FFFFFF"/>
        <w:jc w:val="both"/>
        <w:rPr>
          <w:color w:val="000000" w:themeColor="text1"/>
          <w:sz w:val="16"/>
          <w:szCs w:val="16"/>
        </w:rPr>
      </w:pPr>
      <w:r w:rsidRPr="00925F26">
        <w:rPr>
          <w:color w:val="000000" w:themeColor="text1"/>
          <w:sz w:val="16"/>
          <w:szCs w:val="16"/>
        </w:rPr>
        <w:t>29 апреля 1945 г. началась установка РД-1ХЗ на Ла-7Р-2. Двигатель РД-1ХЗ оказался не надежнее своего пред шественника. 12 мая 1945 г. при наземных огневых испытани ях на Ла-7Р-2 разорвалась камера сгорания РД-1ХЗ.</w:t>
      </w:r>
    </w:p>
    <w:p w14:paraId="483AF663" w14:textId="77777777" w:rsidR="00A278CB" w:rsidRPr="00925F26" w:rsidRDefault="00A278CB" w:rsidP="00925F26">
      <w:pPr>
        <w:shd w:val="clear" w:color="auto" w:fill="FFFFFF"/>
        <w:jc w:val="both"/>
        <w:rPr>
          <w:color w:val="000000" w:themeColor="text1"/>
          <w:sz w:val="16"/>
          <w:szCs w:val="16"/>
        </w:rPr>
      </w:pPr>
      <w:r w:rsidRPr="00925F26">
        <w:rPr>
          <w:color w:val="000000" w:themeColor="text1"/>
          <w:sz w:val="16"/>
          <w:szCs w:val="16"/>
        </w:rPr>
        <w:t>Лабораторные исследования показали, что причиной взры вов явились гидравлические удары в камере сгорания, возни кавшие вследствие резкого повышения давления в рубашках камеры сгорания в момент открытия топливных клапанов. Гидравлический удар сбивал факел зажигания, происходило накопление компонентов внутри камеры сгорания, зажигание которых приводило к взрыву (19586).</w:t>
      </w:r>
    </w:p>
    <w:p w14:paraId="190B16CC" w14:textId="77777777" w:rsidR="00A278CB" w:rsidRPr="00925F26" w:rsidRDefault="00A278CB" w:rsidP="00925F26">
      <w:pPr>
        <w:shd w:val="clear" w:color="auto" w:fill="FFFFFF"/>
        <w:jc w:val="both"/>
        <w:rPr>
          <w:color w:val="000000" w:themeColor="text1"/>
          <w:sz w:val="16"/>
          <w:szCs w:val="16"/>
        </w:rPr>
      </w:pPr>
    </w:p>
    <w:p w14:paraId="59765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в ходе контрольного полета после планового ремонта потерпел катастрофу Ер-2 М-105 N 1850405, построенный (сданный) в июне 1941 с экипажем П.К.Маслюженко. Машину в 1943 передали на завод 26 для перевозки грузов и испытания силовых установок. Машина имела свидетельство для гражданской эксплуатации и номер Н-586 (2865,9).</w:t>
      </w:r>
    </w:p>
    <w:p w14:paraId="2C671C7F" w14:textId="77777777" w:rsidR="00665165" w:rsidRPr="00925F26" w:rsidRDefault="00665165" w:rsidP="00925F26">
      <w:pPr>
        <w:autoSpaceDE w:val="0"/>
        <w:autoSpaceDN w:val="0"/>
        <w:adjustRightInd w:val="0"/>
        <w:jc w:val="both"/>
        <w:rPr>
          <w:color w:val="000000" w:themeColor="text1"/>
          <w:sz w:val="16"/>
          <w:szCs w:val="16"/>
        </w:rPr>
      </w:pPr>
    </w:p>
    <w:p w14:paraId="0ABD08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г. в ходе контрольного полет после планового ремонта при пробе двигателей ВК-105ПФ2, стоявших на машине, все работало нормально. Однако вскоре после взлета на высоте 60 - 80 м левый мотор стал давать перебои, и из него вырвались языки пламени. Ер-2 развернулся в сторону сдавшего двигателя и, планируя под углом около 20°, ударился о землю левой консолью крыла. Пожар почти полностью уничтожил машину вместе с экипажем летчика П.К. Маслюженко (11994).</w:t>
      </w:r>
    </w:p>
    <w:p w14:paraId="110D6A29" w14:textId="77777777" w:rsidR="00665165" w:rsidRPr="00925F26" w:rsidRDefault="00665165" w:rsidP="00925F26">
      <w:pPr>
        <w:autoSpaceDE w:val="0"/>
        <w:autoSpaceDN w:val="0"/>
        <w:adjustRightInd w:val="0"/>
        <w:jc w:val="both"/>
        <w:rPr>
          <w:color w:val="000000" w:themeColor="text1"/>
          <w:sz w:val="16"/>
          <w:szCs w:val="16"/>
        </w:rPr>
      </w:pPr>
    </w:p>
    <w:p w14:paraId="4AAE61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А.В.Чесаловым был утвержден отчет о заводских испытаниях Ли-2 с АШ-82ФН, которые проходили в ЛИИ в марте-апреле 1945. Машина была сделана еще в 1943.</w:t>
      </w:r>
    </w:p>
    <w:p w14:paraId="1EDED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Г.И.Поярков, вл С.Ф.Машковский, облетывал А.Н.Гринчик (3404, 13).</w:t>
      </w:r>
    </w:p>
    <w:p w14:paraId="6573F013" w14:textId="77777777" w:rsidR="00665165" w:rsidRPr="00925F26" w:rsidRDefault="00665165" w:rsidP="00925F26">
      <w:pPr>
        <w:autoSpaceDE w:val="0"/>
        <w:autoSpaceDN w:val="0"/>
        <w:adjustRightInd w:val="0"/>
        <w:jc w:val="both"/>
        <w:rPr>
          <w:color w:val="000000" w:themeColor="text1"/>
          <w:sz w:val="16"/>
          <w:szCs w:val="16"/>
        </w:rPr>
      </w:pPr>
    </w:p>
    <w:p w14:paraId="2BCDFA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вышел приказ НКБ, которым ГЦКБ-1 (организованное в соответствиии с постановлением ГОКО от 19 апреля 1945) разместили в корпусе № 5 на территории завода № 67, но всоре перевели на ул. Верхнюю на те. Завода № 775 (8633,10).</w:t>
      </w:r>
    </w:p>
    <w:p w14:paraId="18183B50" w14:textId="77777777" w:rsidR="00665165" w:rsidRPr="00925F26" w:rsidRDefault="00665165" w:rsidP="00925F26">
      <w:pPr>
        <w:autoSpaceDE w:val="0"/>
        <w:autoSpaceDN w:val="0"/>
        <w:adjustRightInd w:val="0"/>
        <w:jc w:val="both"/>
        <w:rPr>
          <w:color w:val="000000" w:themeColor="text1"/>
          <w:sz w:val="16"/>
          <w:szCs w:val="16"/>
        </w:rPr>
      </w:pPr>
    </w:p>
    <w:p w14:paraId="74A837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было полностью демонтировано и погружено для отправки в СССР на завод 287 в Ленинграде оборудование и немецкого завода фирмы Шмидт в г. Мариенвердер (1874,14).</w:t>
      </w:r>
    </w:p>
    <w:p w14:paraId="74555A32" w14:textId="77777777" w:rsidR="00665165" w:rsidRPr="00925F26" w:rsidRDefault="00665165" w:rsidP="00925F26">
      <w:pPr>
        <w:autoSpaceDE w:val="0"/>
        <w:autoSpaceDN w:val="0"/>
        <w:adjustRightInd w:val="0"/>
        <w:jc w:val="both"/>
        <w:rPr>
          <w:color w:val="000000" w:themeColor="text1"/>
          <w:sz w:val="16"/>
          <w:szCs w:val="16"/>
        </w:rPr>
      </w:pPr>
    </w:p>
    <w:p w14:paraId="09721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года вышел приказ № 165 НКАП</w:t>
      </w:r>
    </w:p>
    <w:p w14:paraId="787209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развитие приказа НКАП № 111с от 22 марта 1945 года об организации на заводе № 87 ремонта электротеплоизмерительных приборов:</w:t>
      </w:r>
    </w:p>
    <w:p w14:paraId="49D19E19"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Организовать при заводе № 87 производство ремонта электротеплоизмерительных приборов.</w:t>
      </w:r>
    </w:p>
    <w:p w14:paraId="09AAFA6E"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Директору завода № 87 Литинецкому выделить под производство электротеплоизмерительных приборов помещение по ул. Оболенского, 16 (8964).</w:t>
      </w:r>
    </w:p>
    <w:p w14:paraId="7F55FD2A"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20DE1E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г. Центральная балансовая комиссия Главного управления ГВФ оформила списание ПС-30 своим протоколом. Но на самом деле лодка еще довольно долго находилась в Хабаровске, и ДВУ отчитывалось за нее как за числящуюся в штате, но неисправную (8943).</w:t>
      </w:r>
    </w:p>
    <w:p w14:paraId="044DCA1F" w14:textId="77777777" w:rsidR="00665165" w:rsidRPr="00925F26" w:rsidRDefault="00665165" w:rsidP="00925F26">
      <w:pPr>
        <w:autoSpaceDE w:val="0"/>
        <w:autoSpaceDN w:val="0"/>
        <w:adjustRightInd w:val="0"/>
        <w:jc w:val="both"/>
        <w:rPr>
          <w:color w:val="000000" w:themeColor="text1"/>
          <w:sz w:val="16"/>
          <w:szCs w:val="16"/>
        </w:rPr>
      </w:pPr>
    </w:p>
    <w:p w14:paraId="374FC71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A9600FF" w14:textId="77777777" w:rsidR="00665165" w:rsidRPr="00925F26" w:rsidRDefault="00665165" w:rsidP="00925F26">
      <w:pPr>
        <w:autoSpaceDE w:val="0"/>
        <w:autoSpaceDN w:val="0"/>
        <w:adjustRightInd w:val="0"/>
        <w:jc w:val="both"/>
        <w:rPr>
          <w:iCs/>
          <w:color w:val="000000" w:themeColor="text1"/>
          <w:sz w:val="16"/>
          <w:szCs w:val="16"/>
        </w:rPr>
      </w:pPr>
    </w:p>
    <w:p w14:paraId="37B0F43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апреля 1945 года вышел приказ № 164с НКБ Москва</w:t>
      </w:r>
    </w:p>
    <w:p w14:paraId="1A963AC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ГОКО № 8244с от 22 апреля 1945 года:</w:t>
      </w:r>
    </w:p>
    <w:p w14:paraId="10589DE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Организовать в Ленинграде на площадях опытного завода № 323 НКБ ГНИИ по созданию новых типов трубок, взрывателей и средств воспламенения ко всем видам боеприпасов, включив в его состав: Союзное ГЦКБ № 22 НКБ, КБ механических трубок и взрывателей завода № 42 НКБ, Государственный союзный институт № 44 НКБ и опытный завод № 323 НКБ.</w:t>
      </w:r>
    </w:p>
    <w:p w14:paraId="32ADC18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Присвоить № 22 вновь организуемому ГНИИ НКБ № 22, подчинив его 2 Гл. Управлению (5762, 23).</w:t>
      </w:r>
    </w:p>
    <w:p w14:paraId="4EE6AE3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2B546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года была подготовлена справка:</w:t>
      </w:r>
    </w:p>
    <w:p w14:paraId="7F53C9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Ленинградский комбинат № 757 НКХП возобновил изготовление пресспорошков, бакелитового лака и пластмасс (8972).</w:t>
      </w:r>
    </w:p>
    <w:p w14:paraId="4C768568" w14:textId="77777777" w:rsidR="00665165" w:rsidRPr="00925F26" w:rsidRDefault="00665165" w:rsidP="00925F26">
      <w:pPr>
        <w:autoSpaceDE w:val="0"/>
        <w:autoSpaceDN w:val="0"/>
        <w:adjustRightInd w:val="0"/>
        <w:jc w:val="both"/>
        <w:rPr>
          <w:color w:val="000000" w:themeColor="text1"/>
          <w:sz w:val="16"/>
          <w:szCs w:val="16"/>
        </w:rPr>
      </w:pPr>
    </w:p>
    <w:p w14:paraId="79E8B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29 апреля 1945 года </w:t>
      </w:r>
      <w:proofErr w:type="gramStart"/>
      <w:r w:rsidRPr="00925F26">
        <w:rPr>
          <w:color w:val="000000" w:themeColor="text1"/>
          <w:sz w:val="16"/>
          <w:szCs w:val="16"/>
        </w:rPr>
        <w:t>согласно приказа</w:t>
      </w:r>
      <w:proofErr w:type="gramEnd"/>
      <w:r w:rsidRPr="00925F26">
        <w:rPr>
          <w:color w:val="000000" w:themeColor="text1"/>
          <w:sz w:val="16"/>
          <w:szCs w:val="16"/>
        </w:rPr>
        <w:t xml:space="preserve"> НКБ № 164с и на основании постановления ГКО от 22 апреля 1945 года № 8244с и на площадях завода № 323 был организован ГНИИ, в состав которого вошли ЦКБ-22, КБ завода № 42, Государственный специальный институт № 44 и опытный завод № 323.</w:t>
      </w:r>
    </w:p>
    <w:p w14:paraId="70DC2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ГНИИ был присвоен № 22 (ГНИИ-22).</w:t>
      </w:r>
    </w:p>
    <w:p w14:paraId="4929C3FE" w14:textId="77777777" w:rsidR="00665165" w:rsidRPr="00925F26" w:rsidRDefault="00665165" w:rsidP="00925F26">
      <w:pPr>
        <w:autoSpaceDE w:val="0"/>
        <w:autoSpaceDN w:val="0"/>
        <w:adjustRightInd w:val="0"/>
        <w:jc w:val="both"/>
        <w:rPr>
          <w:color w:val="000000" w:themeColor="text1"/>
          <w:sz w:val="16"/>
          <w:szCs w:val="16"/>
        </w:rPr>
      </w:pPr>
    </w:p>
    <w:p w14:paraId="6250D0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СНК от 15 ноября 1945 года № 28930848сс и приказом НКБ от 22 ноября 1945 года № 409сс на базе заводов № 504 и № 604 был организован ГНИИ-604.</w:t>
      </w:r>
    </w:p>
    <w:p w14:paraId="51632C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64A79EE6" w14:textId="77777777" w:rsidR="00665165" w:rsidRPr="00925F26" w:rsidRDefault="00665165" w:rsidP="00925F26">
      <w:pPr>
        <w:autoSpaceDE w:val="0"/>
        <w:autoSpaceDN w:val="0"/>
        <w:adjustRightInd w:val="0"/>
        <w:jc w:val="both"/>
        <w:rPr>
          <w:color w:val="000000" w:themeColor="text1"/>
          <w:sz w:val="16"/>
          <w:szCs w:val="16"/>
        </w:rPr>
      </w:pPr>
    </w:p>
    <w:p w14:paraId="0D87D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29 апреля 1945 г. пр. НКБ и 19 апреля 1945 г. в соответствии с пост. ГКО № 8206 и от создано ГЦКБ-1 по созданию пороховых </w:t>
      </w:r>
      <w:r w:rsidRPr="00925F26">
        <w:rPr>
          <w:color w:val="000000" w:themeColor="text1"/>
          <w:sz w:val="16"/>
          <w:szCs w:val="16"/>
          <w:lang w:val="en-US"/>
        </w:rPr>
        <w:t>PC</w:t>
      </w:r>
      <w:r w:rsidRPr="00925F26">
        <w:rPr>
          <w:color w:val="000000" w:themeColor="text1"/>
          <w:sz w:val="16"/>
          <w:szCs w:val="16"/>
        </w:rPr>
        <w:t xml:space="preserve"> с опытным заводом. С 1946 г. - в ведении МСХМ. В соответствии с ПСМ № 1017-419сс/оп от 13.05.1946 г.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2EC39F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w:t>
      </w:r>
      <w:r w:rsidRPr="00925F26">
        <w:rPr>
          <w:color w:val="000000" w:themeColor="text1"/>
          <w:sz w:val="16"/>
          <w:szCs w:val="16"/>
        </w:rPr>
        <w:lastRenderedPageBreak/>
        <w:t>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21BC6565" w14:textId="77777777" w:rsidR="00BF0005" w:rsidRPr="00925F26" w:rsidRDefault="00BF000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925F26">
        <w:rPr>
          <w:color w:val="000000" w:themeColor="text1"/>
          <w:sz w:val="16"/>
          <w:szCs w:val="16"/>
          <w:lang w:val="en-US"/>
        </w:rPr>
        <w:t>MOM</w:t>
      </w:r>
      <w:r w:rsidRPr="00925F26">
        <w:rPr>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538A94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925F26">
        <w:rPr>
          <w:color w:val="000000" w:themeColor="text1"/>
          <w:sz w:val="16"/>
          <w:szCs w:val="16"/>
          <w:lang w:val="en-US"/>
        </w:rPr>
        <w:t>ri</w:t>
      </w:r>
      <w:r w:rsidRPr="00925F26">
        <w:rPr>
          <w:color w:val="000000" w:themeColor="text1"/>
          <w:sz w:val="16"/>
          <w:szCs w:val="16"/>
        </w:rPr>
        <w:t>/я А-1923» (01.1967 г.-).</w:t>
      </w:r>
    </w:p>
    <w:p w14:paraId="066477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575465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925F26">
        <w:rPr>
          <w:color w:val="000000" w:themeColor="text1"/>
          <w:sz w:val="16"/>
          <w:szCs w:val="16"/>
          <w:lang w:val="en-US"/>
        </w:rPr>
        <w:t>PC</w:t>
      </w:r>
      <w:r w:rsidRPr="00925F26">
        <w:rPr>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5BCAFA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w:t>
      </w:r>
      <w:proofErr w:type="gramStart"/>
      <w:r w:rsidRPr="00925F26">
        <w:rPr>
          <w:color w:val="000000" w:themeColor="text1"/>
          <w:sz w:val="16"/>
          <w:szCs w:val="16"/>
        </w:rPr>
        <w:t>В соответствии с пост</w:t>
      </w:r>
      <w:proofErr w:type="gramEnd"/>
      <w:r w:rsidRPr="00925F26">
        <w:rPr>
          <w:color w:val="000000" w:themeColor="text1"/>
          <w:sz w:val="16"/>
          <w:szCs w:val="16"/>
        </w:rPr>
        <w:t>,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150158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F9A25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079EC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712B11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1C501F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1949-50 г. образован НТС института.</w:t>
      </w:r>
    </w:p>
    <w:p w14:paraId="48C84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Кашляев, В.А. Солоноуц, П.А. Быстрое, М.С. Фетисов).</w:t>
      </w:r>
    </w:p>
    <w:p w14:paraId="45831B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925F26">
        <w:rPr>
          <w:color w:val="000000" w:themeColor="text1"/>
          <w:sz w:val="16"/>
          <w:szCs w:val="16"/>
          <w:lang w:val="en-US"/>
        </w:rPr>
        <w:t>PC</w:t>
      </w:r>
      <w:r w:rsidRPr="00925F26">
        <w:rPr>
          <w:color w:val="000000" w:themeColor="text1"/>
          <w:sz w:val="16"/>
          <w:szCs w:val="16"/>
        </w:rPr>
        <w:t xml:space="preserve">, на ее базе создан отдел № 10. Проведена НИР по возможности создания управляемого авиационного </w:t>
      </w:r>
      <w:r w:rsidRPr="00925F26">
        <w:rPr>
          <w:color w:val="000000" w:themeColor="text1"/>
          <w:sz w:val="16"/>
          <w:szCs w:val="16"/>
          <w:lang w:val="en-US"/>
        </w:rPr>
        <w:t>PC</w:t>
      </w:r>
      <w:r w:rsidRPr="00925F26">
        <w:rPr>
          <w:color w:val="000000" w:themeColor="text1"/>
          <w:sz w:val="16"/>
          <w:szCs w:val="16"/>
        </w:rPr>
        <w:t xml:space="preserve"> (А.А. Красовский).</w:t>
      </w:r>
    </w:p>
    <w:p w14:paraId="51C24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12.1951 г. КБ-3 МСХМ передано институту в качестве филиала (1.05.1958 г. преобразован в самостоятельный НИИ-4).</w:t>
      </w:r>
    </w:p>
    <w:p w14:paraId="26342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39413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925F26">
        <w:rPr>
          <w:color w:val="000000" w:themeColor="text1"/>
          <w:sz w:val="16"/>
          <w:szCs w:val="16"/>
          <w:vertAlign w:val="superscript"/>
        </w:rPr>
        <w:t>2</w:t>
      </w:r>
      <w:r w:rsidRPr="00925F26">
        <w:rPr>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1735D4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072332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925F26">
        <w:rPr>
          <w:color w:val="000000" w:themeColor="text1"/>
          <w:sz w:val="16"/>
          <w:szCs w:val="16"/>
          <w:vertAlign w:val="superscript"/>
        </w:rPr>
        <w:t>2</w:t>
      </w:r>
      <w:r w:rsidRPr="00925F26">
        <w:rPr>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6C67E2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85B24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925F26">
        <w:rPr>
          <w:color w:val="000000" w:themeColor="text1"/>
          <w:sz w:val="16"/>
          <w:szCs w:val="16"/>
          <w:lang w:val="en-US"/>
        </w:rPr>
        <w:t>Mi</w:t>
      </w:r>
      <w:r w:rsidRPr="00925F26">
        <w:rPr>
          <w:color w:val="000000" w:themeColor="text1"/>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0B92DB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1C0130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РГБ-25 и ориентирной бомбой «Свеча-25»; «Смерч-П» с ПУ РБУ-6000 и бомбой РГБ-60 с взрьшателем УДВ-60; «Смерч-</w:t>
      </w:r>
      <w:r w:rsidRPr="00925F26">
        <w:rPr>
          <w:color w:val="000000" w:themeColor="text1"/>
          <w:sz w:val="16"/>
          <w:szCs w:val="16"/>
          <w:lang w:val="en-US"/>
        </w:rPr>
        <w:t>Ill</w:t>
      </w:r>
      <w:r w:rsidRPr="00925F26">
        <w:rPr>
          <w:color w:val="000000" w:themeColor="text1"/>
          <w:sz w:val="16"/>
          <w:szCs w:val="16"/>
        </w:rPr>
        <w:t xml:space="preserve">» с ПУ РБУ-1000 и бомбой РГБ-10. В соответствии с Г1СМ № 483-294 от 12.03.1955 г. разрабатывалась система «Бурун» с ПУ РКУ и реактивной кормовой бомбой РКБ, пост. № 36-17 от 14.01.1957 г. </w:t>
      </w:r>
      <w:r w:rsidRPr="00925F26">
        <w:rPr>
          <w:color w:val="000000" w:themeColor="text1"/>
          <w:sz w:val="16"/>
          <w:szCs w:val="16"/>
        </w:rPr>
        <w:lastRenderedPageBreak/>
        <w:t>системы «Смерч» и «Бурун» пнв. Системы «Смерч-П, -III» пнв приказом МО № 0205 от 22.09.1961 г. В соответствии с ПСМ № 657-311 от 20.06.1958 г. велась разработка РГБ «Метель».</w:t>
      </w:r>
    </w:p>
    <w:p w14:paraId="74B9AC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925F26">
        <w:rPr>
          <w:color w:val="000000" w:themeColor="text1"/>
          <w:sz w:val="16"/>
          <w:szCs w:val="16"/>
          <w:lang w:val="en-US"/>
        </w:rPr>
        <w:t>PC</w:t>
      </w:r>
      <w:r w:rsidRPr="00925F26">
        <w:rPr>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120DDD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исследования воздушных ударных волн в 1958 г. был создан пороховой реактивный генератор ГУТ-46.</w:t>
      </w:r>
    </w:p>
    <w:p w14:paraId="38F5BF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46BD7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B</w:t>
      </w:r>
      <w:r w:rsidRPr="00925F26">
        <w:rPr>
          <w:color w:val="000000" w:themeColor="text1"/>
          <w:sz w:val="16"/>
          <w:szCs w:val="16"/>
        </w:rPr>
        <w:t>. Крюков, Е.А. Ланг).</w:t>
      </w:r>
    </w:p>
    <w:p w14:paraId="6E96E7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ПСМ № 829-379 от 21.07.1959 г. начались работы по первой отечественной управляемой </w:t>
      </w:r>
      <w:r w:rsidRPr="00925F26">
        <w:rPr>
          <w:color w:val="000000" w:themeColor="text1"/>
          <w:sz w:val="16"/>
          <w:szCs w:val="16"/>
          <w:lang w:val="en-US"/>
        </w:rPr>
        <w:t>OTP</w:t>
      </w:r>
      <w:r w:rsidRPr="00925F26">
        <w:rPr>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2E424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w:t>
      </w:r>
      <w:proofErr w:type="gramStart"/>
      <w:r w:rsidRPr="00925F26">
        <w:rPr>
          <w:color w:val="000000" w:themeColor="text1"/>
          <w:sz w:val="16"/>
          <w:szCs w:val="16"/>
        </w:rPr>
        <w:t>3)г.</w:t>
      </w:r>
      <w:proofErr w:type="gramEnd"/>
      <w:r w:rsidRPr="00925F26">
        <w:rPr>
          <w:color w:val="000000" w:themeColor="text1"/>
          <w:sz w:val="16"/>
          <w:szCs w:val="16"/>
        </w:rPr>
        <w:t xml:space="preserve">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403710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1B7E40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55796D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1967 г. МИТ был определен головным по разработке и производству подвижных РК и МБР на твердом топливе.</w:t>
      </w:r>
    </w:p>
    <w:p w14:paraId="2E606B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43F65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CB14E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190C47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организовано постоянное представительство института на Боткинском заводе.</w:t>
      </w:r>
    </w:p>
    <w:p w14:paraId="0722C0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5B3055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685D2C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925F26">
        <w:rPr>
          <w:color w:val="000000" w:themeColor="text1"/>
          <w:sz w:val="16"/>
          <w:szCs w:val="16"/>
          <w:lang w:val="en-US"/>
        </w:rPr>
        <w:t>JI</w:t>
      </w:r>
      <w:r w:rsidRPr="00925F26">
        <w:rPr>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59840E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3A2ED0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1992 г. - ОКР «Зарядье 2-58» по продлению сроков эксплуатации МБР «Тополь».</w:t>
      </w:r>
    </w:p>
    <w:p w14:paraId="30F234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56D92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632971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w:t>
      </w:r>
      <w:proofErr w:type="gramStart"/>
      <w:r w:rsidRPr="00925F26">
        <w:rPr>
          <w:color w:val="000000" w:themeColor="text1"/>
          <w:sz w:val="16"/>
          <w:szCs w:val="16"/>
        </w:rPr>
        <w:t>В соответствии с пост</w:t>
      </w:r>
      <w:proofErr w:type="gramEnd"/>
      <w:r w:rsidRPr="00925F26">
        <w:rPr>
          <w:color w:val="000000" w:themeColor="text1"/>
          <w:sz w:val="16"/>
          <w:szCs w:val="16"/>
        </w:rPr>
        <w:t xml:space="preserve">,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925F26">
        <w:rPr>
          <w:color w:val="000000" w:themeColor="text1"/>
          <w:sz w:val="16"/>
          <w:szCs w:val="16"/>
          <w:lang w:val="en-US"/>
        </w:rPr>
        <w:t>Mill</w:t>
      </w:r>
      <w:r w:rsidRPr="00925F26">
        <w:rPr>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47E547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4201E8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5E51E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07F9DF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925F26">
        <w:rPr>
          <w:color w:val="000000" w:themeColor="text1"/>
          <w:sz w:val="16"/>
          <w:szCs w:val="16"/>
          <w:vertAlign w:val="superscript"/>
        </w:rPr>
        <w:t xml:space="preserve">101 </w:t>
      </w:r>
      <w:r w:rsidRPr="00925F26">
        <w:rPr>
          <w:color w:val="000000" w:themeColor="text1"/>
          <w:sz w:val="16"/>
          <w:szCs w:val="16"/>
        </w:rPr>
        <w:t>В 2006 г. построен новый производственный корпус площадью 2000 м</w:t>
      </w:r>
      <w:r w:rsidRPr="00925F26">
        <w:rPr>
          <w:color w:val="000000" w:themeColor="text1"/>
          <w:sz w:val="16"/>
          <w:szCs w:val="16"/>
          <w:vertAlign w:val="superscript"/>
        </w:rPr>
        <w:t>2</w:t>
      </w:r>
      <w:r w:rsidRPr="00925F26">
        <w:rPr>
          <w:color w:val="000000" w:themeColor="text1"/>
          <w:sz w:val="16"/>
          <w:szCs w:val="16"/>
        </w:rPr>
        <w:t xml:space="preserve"> для экспериментального производства.</w:t>
      </w:r>
    </w:p>
    <w:p w14:paraId="17FBBC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базе института организован НТЦ «Комплекс-МИТ». Имел дочернее предприятие (2006 г.)- ЗАО «Пусковые услуги».</w:t>
      </w:r>
    </w:p>
    <w:p w14:paraId="2F85A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07.2009 г. после очередного неудачного пуска «Булавы» Ю.С. Соломонов подал в отставку.</w:t>
      </w:r>
    </w:p>
    <w:p w14:paraId="35BD0A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производственная (1946 г.)- 900 м</w:t>
      </w:r>
      <w:r w:rsidRPr="00925F26">
        <w:rPr>
          <w:color w:val="000000" w:themeColor="text1"/>
          <w:sz w:val="16"/>
          <w:szCs w:val="16"/>
          <w:vertAlign w:val="superscript"/>
        </w:rPr>
        <w:t>2</w:t>
      </w:r>
      <w:r w:rsidRPr="00925F26">
        <w:rPr>
          <w:color w:val="000000" w:themeColor="text1"/>
          <w:sz w:val="16"/>
          <w:szCs w:val="16"/>
        </w:rPr>
        <w:t>; общая (1946 г.)- 7330 м</w:t>
      </w:r>
      <w:r w:rsidRPr="00925F26">
        <w:rPr>
          <w:color w:val="000000" w:themeColor="text1"/>
          <w:sz w:val="16"/>
          <w:szCs w:val="16"/>
          <w:vertAlign w:val="superscript"/>
        </w:rPr>
        <w:t>2</w:t>
      </w:r>
      <w:r w:rsidRPr="00925F26">
        <w:rPr>
          <w:color w:val="000000" w:themeColor="text1"/>
          <w:sz w:val="16"/>
          <w:szCs w:val="16"/>
        </w:rPr>
        <w:t>.</w:t>
      </w:r>
    </w:p>
    <w:p w14:paraId="303854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(1946 г.)- 545 чел., (1954 г.)- 1384 чел., (1.01.1957 г.)- 1689 чел., (1958 г.)- 1844 чел., (1966 г.)- 4030 чел., (1967 г.)- 4451 чел., (1976 г.)- 7035 чел.</w:t>
      </w:r>
    </w:p>
    <w:p w14:paraId="7C120E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5BD488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37CB2FC" w14:textId="77777777" w:rsidR="00665165" w:rsidRPr="00925F26" w:rsidRDefault="00665165" w:rsidP="00925F26">
      <w:pPr>
        <w:tabs>
          <w:tab w:val="left" w:pos="1366"/>
        </w:tabs>
        <w:autoSpaceDE w:val="0"/>
        <w:autoSpaceDN w:val="0"/>
        <w:adjustRightInd w:val="0"/>
        <w:jc w:val="both"/>
        <w:rPr>
          <w:color w:val="000000" w:themeColor="text1"/>
          <w:sz w:val="16"/>
          <w:szCs w:val="16"/>
        </w:rPr>
      </w:pPr>
      <w:r w:rsidRPr="00925F26">
        <w:rPr>
          <w:color w:val="000000" w:themeColor="text1"/>
          <w:sz w:val="16"/>
          <w:szCs w:val="16"/>
        </w:rPr>
        <w:t>A.А.Богатов, (1963 г.-)- В.А. Колычев, (1970-е)- Г.Е. Алпаидзе.</w:t>
      </w:r>
    </w:p>
    <w:p w14:paraId="61EB20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145BD4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925F26">
        <w:rPr>
          <w:color w:val="000000" w:themeColor="text1"/>
          <w:sz w:val="16"/>
          <w:szCs w:val="16"/>
          <w:vertAlign w:val="superscript"/>
        </w:rPr>
        <w:t>63</w:t>
      </w:r>
      <w:r w:rsidRPr="00925F26">
        <w:rPr>
          <w:color w:val="000000" w:themeColor="text1"/>
          <w:sz w:val="16"/>
          <w:szCs w:val="16"/>
        </w:rPr>
        <w:t xml:space="preserve"> (2005 г.)- Л.С. Соломонов, А.К. Виноградов, А.П. Сухадольский, (2000-е)- В.П. Ефимов.</w:t>
      </w:r>
    </w:p>
    <w:p w14:paraId="22067E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(05.1946 г.-)- Б.М. Сапрыкин, (05.1947-06.1951 г.)- Н.И. Крупнов, (1959 г.)- А.А. Богатов, (1963 г.-)-</w:t>
      </w:r>
    </w:p>
    <w:p w14:paraId="6E374083" w14:textId="77777777" w:rsidR="00665165" w:rsidRPr="00925F26" w:rsidRDefault="00665165" w:rsidP="00925F26">
      <w:pPr>
        <w:tabs>
          <w:tab w:val="left" w:pos="1352"/>
        </w:tabs>
        <w:autoSpaceDE w:val="0"/>
        <w:autoSpaceDN w:val="0"/>
        <w:adjustRightInd w:val="0"/>
        <w:jc w:val="both"/>
        <w:rPr>
          <w:color w:val="000000" w:themeColor="text1"/>
          <w:sz w:val="16"/>
          <w:szCs w:val="16"/>
        </w:rPr>
      </w:pPr>
      <w:r w:rsidRPr="00925F26">
        <w:rPr>
          <w:color w:val="000000" w:themeColor="text1"/>
          <w:sz w:val="16"/>
          <w:szCs w:val="16"/>
        </w:rPr>
        <w:t>B.А.Колычев, С.И. Елагин, А.Л. Юрьев, (2005 г.)- В.Д. Полунин.</w:t>
      </w:r>
    </w:p>
    <w:p w14:paraId="58B2D7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(1970-е)- Ю.А. Моисеев. Гл. металлург (-1951-74 г.-)- Г.И. Громов. Гл. сварщик (1960 г.)- М.И. Кунис.</w:t>
      </w:r>
    </w:p>
    <w:p w14:paraId="5FF7A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3BAD21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отделения: О.М. Егоров, Ю.Н. Жирухин.</w:t>
      </w:r>
    </w:p>
    <w:p w14:paraId="7BE7E3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0A1953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отдела: № 2 (1947 г.-)- Г.П. Герасимов, (1949 г.)- Н.А. Жуков; № 11 (1947 г.-)- К.П. Доррендорф; Ю.М. Николаев, С.А. Кошкин.</w:t>
      </w:r>
    </w:p>
    <w:p w14:paraId="08B0E6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0595B5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 1 (1946 г.-)- К.П. Доррендорф. Начальник Центра информации- А.И. Лобанов, А.В. Тумаков.</w:t>
      </w:r>
    </w:p>
    <w:p w14:paraId="5B519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6495D571" w14:textId="77777777" w:rsidR="00665165" w:rsidRPr="00925F26" w:rsidRDefault="00665165" w:rsidP="00925F26">
      <w:pPr>
        <w:tabs>
          <w:tab w:val="left" w:pos="1357"/>
        </w:tabs>
        <w:autoSpaceDE w:val="0"/>
        <w:autoSpaceDN w:val="0"/>
        <w:adjustRightInd w:val="0"/>
        <w:jc w:val="both"/>
        <w:rPr>
          <w:color w:val="000000" w:themeColor="text1"/>
          <w:sz w:val="16"/>
          <w:szCs w:val="16"/>
        </w:rPr>
      </w:pPr>
      <w:r w:rsidRPr="00925F26">
        <w:rPr>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632A4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684D2B2E" w14:textId="77777777" w:rsidR="00665165" w:rsidRPr="00925F26" w:rsidRDefault="00665165" w:rsidP="00925F26">
      <w:pPr>
        <w:tabs>
          <w:tab w:val="left" w:pos="433"/>
        </w:tabs>
        <w:autoSpaceDE w:val="0"/>
        <w:autoSpaceDN w:val="0"/>
        <w:adjustRightInd w:val="0"/>
        <w:jc w:val="both"/>
        <w:rPr>
          <w:color w:val="000000" w:themeColor="text1"/>
          <w:sz w:val="16"/>
          <w:szCs w:val="16"/>
        </w:rPr>
      </w:pPr>
      <w:r w:rsidRPr="00925F26">
        <w:rPr>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37E7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Начальники бюро: отдела № 2 (1947 г.-)- Н.П. Мазуров, расчетного (1947 г.-)- А.А. Голицын; теоретического отдела № 10 (1950-е)-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Перфильев; КБ отдела № 11 (1947 г.-)- Н.Я. Лопухин; (1949 г.)- И.В. Ярополов, (1949 г.)- Г.П. Герасимов.</w:t>
      </w:r>
    </w:p>
    <w:p w14:paraId="56D9C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макетной мастерской (1947 г.-)- А.С. Кононенко, С.С. Смирнов.</w:t>
      </w:r>
    </w:p>
    <w:p w14:paraId="7AFC94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46E5F1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Ведущие конструкторы: (1940-е)- В.П. Герасимов, (1940-е)- А.А. Голицын.</w:t>
      </w:r>
    </w:p>
    <w:p w14:paraId="7E79A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Ведущие инженеры: (1947 г.-)- Н.П. Мазуров (ДРСП-1), (1947 г.-)- Н.И. Александров (ДРСП-1), (01.1952 г.-)-</w:t>
      </w:r>
    </w:p>
    <w:p w14:paraId="1B106C8E" w14:textId="77777777" w:rsidR="00665165" w:rsidRPr="00925F26" w:rsidRDefault="00665165" w:rsidP="00925F26">
      <w:pPr>
        <w:tabs>
          <w:tab w:val="left" w:pos="438"/>
        </w:tabs>
        <w:autoSpaceDE w:val="0"/>
        <w:autoSpaceDN w:val="0"/>
        <w:adjustRightInd w:val="0"/>
        <w:jc w:val="both"/>
        <w:rPr>
          <w:color w:val="000000" w:themeColor="text1"/>
          <w:sz w:val="16"/>
          <w:szCs w:val="16"/>
        </w:rPr>
      </w:pPr>
      <w:r w:rsidRPr="00925F26">
        <w:rPr>
          <w:color w:val="000000" w:themeColor="text1"/>
          <w:sz w:val="16"/>
          <w:szCs w:val="16"/>
        </w:rPr>
        <w:t>B.С.Бабочкин (М-24-ФУД), (1952 г.)- Е.Н. Сухов (АРС-212).</w:t>
      </w:r>
    </w:p>
    <w:p w14:paraId="602153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925F26">
        <w:rPr>
          <w:color w:val="000000" w:themeColor="text1"/>
          <w:sz w:val="16"/>
          <w:szCs w:val="16"/>
          <w:lang w:val="en-US"/>
        </w:rPr>
        <w:t>Ill</w:t>
      </w:r>
      <w:r w:rsidRPr="00925F26">
        <w:rPr>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925F26">
        <w:rPr>
          <w:color w:val="000000" w:themeColor="text1"/>
          <w:sz w:val="16"/>
          <w:szCs w:val="16"/>
          <w:lang w:val="en-US"/>
        </w:rPr>
        <w:t>PC</w:t>
      </w:r>
      <w:r w:rsidRPr="00925F26">
        <w:rPr>
          <w:color w:val="000000" w:themeColor="text1"/>
          <w:sz w:val="16"/>
          <w:szCs w:val="16"/>
        </w:rPr>
        <w:t xml:space="preserve">-14, пнв 30.12.1975 г.), «Тополь» РТ-2ПМ (15Ж58, РС-12М, пнв 1.12.1988 г.), РТ-2ПМ «Тополь-2» (8К98П), «Тополь-М» </w:t>
      </w:r>
      <w:r w:rsidRPr="00925F26">
        <w:rPr>
          <w:color w:val="000000" w:themeColor="text1"/>
          <w:sz w:val="16"/>
          <w:szCs w:val="16"/>
          <w:lang w:val="en-US"/>
        </w:rPr>
        <w:t>PT</w:t>
      </w:r>
      <w:r w:rsidRPr="00925F26">
        <w:rPr>
          <w:color w:val="000000" w:themeColor="text1"/>
          <w:sz w:val="16"/>
          <w:szCs w:val="16"/>
        </w:rPr>
        <w:t>-2</w:t>
      </w:r>
      <w:r w:rsidRPr="00925F26">
        <w:rPr>
          <w:color w:val="000000" w:themeColor="text1"/>
          <w:sz w:val="16"/>
          <w:szCs w:val="16"/>
          <w:lang w:val="en-US"/>
        </w:rPr>
        <w:t>IIM</w:t>
      </w:r>
      <w:r w:rsidRPr="00925F26">
        <w:rPr>
          <w:color w:val="000000" w:themeColor="text1"/>
          <w:sz w:val="16"/>
          <w:szCs w:val="16"/>
        </w:rPr>
        <w:t>2 (8Ж65, 15Ж66, РС-12М2, 20.12.1994 г., пнв 13.07.2000 г.); «Курьер» (15Ж59, опытная, 1990 г.); БРПЛ: РСМ-56 «Булава» на базе «Тополь-М» (3</w:t>
      </w:r>
      <w:r w:rsidRPr="00925F26">
        <w:rPr>
          <w:color w:val="000000" w:themeColor="text1"/>
          <w:sz w:val="16"/>
          <w:szCs w:val="16"/>
          <w:lang w:val="en-US"/>
        </w:rPr>
        <w:t>M</w:t>
      </w:r>
      <w:r w:rsidRPr="00925F26">
        <w:rPr>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925F26">
        <w:rPr>
          <w:color w:val="000000" w:themeColor="text1"/>
          <w:sz w:val="16"/>
          <w:szCs w:val="16"/>
          <w:vertAlign w:val="superscript"/>
        </w:rPr>
        <w:t>58</w:t>
      </w:r>
      <w:r w:rsidRPr="00925F26">
        <w:rPr>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925F26">
        <w:rPr>
          <w:color w:val="000000" w:themeColor="text1"/>
          <w:sz w:val="16"/>
          <w:szCs w:val="16"/>
          <w:vertAlign w:val="superscript"/>
        </w:rPr>
        <w:t xml:space="preserve">126 </w:t>
      </w:r>
      <w:r w:rsidRPr="00925F26">
        <w:rPr>
          <w:color w:val="000000" w:themeColor="text1"/>
          <w:sz w:val="16"/>
          <w:szCs w:val="16"/>
        </w:rPr>
        <w:t>(11982).</w:t>
      </w:r>
    </w:p>
    <w:p w14:paraId="799A00D2" w14:textId="77777777" w:rsidR="00BF0005" w:rsidRPr="00925F26" w:rsidRDefault="00BF0005" w:rsidP="00925F26">
      <w:pPr>
        <w:autoSpaceDE w:val="0"/>
        <w:autoSpaceDN w:val="0"/>
        <w:adjustRightInd w:val="0"/>
        <w:jc w:val="both"/>
        <w:rPr>
          <w:color w:val="000000" w:themeColor="text1"/>
          <w:sz w:val="16"/>
          <w:szCs w:val="16"/>
        </w:rPr>
      </w:pPr>
    </w:p>
    <w:p w14:paraId="241E6E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вышло Распоряжение ГКО № 8359. О дополнительном выделении автобензина СНК Татарской АССР. РГАНИР, Фонд ГКО, д. 408, лл. 252 (11012).</w:t>
      </w:r>
    </w:p>
    <w:p w14:paraId="3E801CDA" w14:textId="77777777" w:rsidR="00665165" w:rsidRPr="00925F26" w:rsidRDefault="00665165" w:rsidP="00925F26">
      <w:pPr>
        <w:autoSpaceDE w:val="0"/>
        <w:autoSpaceDN w:val="0"/>
        <w:adjustRightInd w:val="0"/>
        <w:jc w:val="both"/>
        <w:rPr>
          <w:color w:val="000000" w:themeColor="text1"/>
          <w:sz w:val="16"/>
          <w:szCs w:val="16"/>
        </w:rPr>
      </w:pPr>
    </w:p>
    <w:p w14:paraId="53DFA05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51674C8" w14:textId="77777777" w:rsidR="00665165" w:rsidRPr="00925F26" w:rsidRDefault="00665165" w:rsidP="00925F26">
      <w:pPr>
        <w:autoSpaceDE w:val="0"/>
        <w:autoSpaceDN w:val="0"/>
        <w:adjustRightInd w:val="0"/>
        <w:jc w:val="both"/>
        <w:rPr>
          <w:iCs/>
          <w:color w:val="000000" w:themeColor="text1"/>
          <w:sz w:val="16"/>
          <w:szCs w:val="16"/>
        </w:rPr>
      </w:pPr>
    </w:p>
    <w:p w14:paraId="098AF453" w14:textId="77777777" w:rsidR="00BF0005" w:rsidRPr="00925F26" w:rsidRDefault="00BF0005" w:rsidP="00925F26">
      <w:pPr>
        <w:jc w:val="both"/>
        <w:rPr>
          <w:color w:val="000000" w:themeColor="text1"/>
          <w:sz w:val="16"/>
          <w:szCs w:val="16"/>
        </w:rPr>
      </w:pPr>
      <w:r w:rsidRPr="00925F26">
        <w:rPr>
          <w:color w:val="000000" w:themeColor="text1"/>
          <w:sz w:val="16"/>
          <w:szCs w:val="16"/>
        </w:rPr>
        <w:t>29 апреля в 1945 году оперативная сводка Совинформбюро:</w:t>
      </w:r>
    </w:p>
    <w:p w14:paraId="32CBDB8F" w14:textId="77777777" w:rsidR="00BF0005" w:rsidRPr="00925F26" w:rsidRDefault="00BF0005"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29 апреля овладели городами и важными узлами дорог Анклам, Фридланд, Нойбранденбург, Лихен и вступили на территорию провинции Мекленбург, а также заняли крупные населённые пункты Юкермюнде, Менкебуде, Розенхаген, Духеров, Путцар, Шенбек, Вольдегк, Кельпин, Бург-Штаргард, Грамелов, Ганденитц, Хаммельшпринг. В боях за 28 апреля войска фронта взяли в плен до 2.000 немецких солдат и офицеров и захватили 106 полевых орудий.</w:t>
      </w:r>
    </w:p>
    <w:p w14:paraId="51B2DAC2" w14:textId="77777777" w:rsidR="00BF0005" w:rsidRPr="00925F26" w:rsidRDefault="00BF0005" w:rsidP="00925F26">
      <w:pPr>
        <w:jc w:val="both"/>
        <w:rPr>
          <w:color w:val="000000" w:themeColor="text1"/>
          <w:sz w:val="16"/>
          <w:szCs w:val="16"/>
        </w:rPr>
      </w:pPr>
      <w:r w:rsidRPr="00925F26">
        <w:rPr>
          <w:color w:val="000000" w:themeColor="text1"/>
          <w:sz w:val="16"/>
          <w:szCs w:val="16"/>
        </w:rPr>
        <w:t xml:space="preserve">Войска 1-го Белорусского фронта, продолжая вести уличные бои в Берлине, овладели городским районом Моабит, Ангальтсним вокзалом и заняли 177 кварталов в центральной части города. Севернее Берлина войска фронта с боями заняли крупные населённые пункты Иохимсталь, Гросс-Делльн, Гросс-Шенебек, Кландорф, </w:t>
      </w:r>
      <w:r w:rsidRPr="00925F26">
        <w:rPr>
          <w:color w:val="000000" w:themeColor="text1"/>
          <w:sz w:val="16"/>
          <w:szCs w:val="16"/>
        </w:rPr>
        <w:lastRenderedPageBreak/>
        <w:t>Мариенвердер, Везендорф, Либенталь, Хаммер, Либенвальде. В боях за 28 апреля в Берлине войска фронта взяли в плен более 6.000 немецких солдат и офицеров и захватили следующие трофеи: самолётов—83, полевых орудий — 150, пулемётов — 480, автомашин — 2.500, паровозов — 139, железнодорожных вагонов — 3.090, складов с военным имуществом — 30.</w:t>
      </w:r>
    </w:p>
    <w:p w14:paraId="557F2E33" w14:textId="77777777" w:rsidR="00BF0005" w:rsidRPr="00925F26" w:rsidRDefault="00BF0005" w:rsidP="00925F26">
      <w:pPr>
        <w:jc w:val="both"/>
        <w:rPr>
          <w:color w:val="000000" w:themeColor="text1"/>
          <w:sz w:val="16"/>
          <w:szCs w:val="16"/>
        </w:rPr>
      </w:pPr>
      <w:r w:rsidRPr="00925F26">
        <w:rPr>
          <w:color w:val="000000" w:themeColor="text1"/>
          <w:sz w:val="16"/>
          <w:szCs w:val="16"/>
        </w:rPr>
        <w:t>Войска 1-го Украинского фронта вели уличные бои в юго-западной части Берлина и заняли южную часть городского района Вильмерсдорф до Берлинер штрассе, железнодорожные станции на окружной железной дороге — Гогенцоллерндамм, Халензее. В боях за 28 апреля в этом районе войска фронта взяли в плен свыше 5.000 немецких солдат и офицеров.</w:t>
      </w:r>
    </w:p>
    <w:p w14:paraId="0B1C3FAF" w14:textId="77777777" w:rsidR="00BF0005" w:rsidRPr="00925F26" w:rsidRDefault="00BF0005" w:rsidP="00925F26">
      <w:pPr>
        <w:jc w:val="both"/>
        <w:rPr>
          <w:color w:val="000000" w:themeColor="text1"/>
          <w:sz w:val="16"/>
          <w:szCs w:val="16"/>
        </w:rPr>
      </w:pPr>
      <w:r w:rsidRPr="00925F26">
        <w:rPr>
          <w:color w:val="000000" w:themeColor="text1"/>
          <w:sz w:val="16"/>
          <w:szCs w:val="16"/>
        </w:rPr>
        <w:t>Юго-восточнее Берлина, в районе населённого пункта Вендиш-Бухгольц, войска 1-го Белорусского и 1-го Украинского фронтов завершали ликвидацию окружённой группы немецких войск. В боях за 28 и 29 апреля в этом районе наши войска взяли в плен более 40.000 немецких солдат и офицеров, из них свыше 34.000 взяты войсками 1-го Белорусского фронта.</w:t>
      </w:r>
    </w:p>
    <w:p w14:paraId="55C3D84B" w14:textId="77777777" w:rsidR="00BF0005" w:rsidRPr="00925F26" w:rsidRDefault="00BF0005" w:rsidP="00925F26">
      <w:pPr>
        <w:jc w:val="both"/>
        <w:rPr>
          <w:color w:val="000000" w:themeColor="text1"/>
          <w:sz w:val="16"/>
          <w:szCs w:val="16"/>
        </w:rPr>
      </w:pPr>
      <w:r w:rsidRPr="00925F26">
        <w:rPr>
          <w:color w:val="000000" w:themeColor="text1"/>
          <w:sz w:val="16"/>
          <w:szCs w:val="16"/>
        </w:rPr>
        <w:t>На территории Чехословакии восточнее города Брно войска 2-го Украинского фронта, продолжая наступление, с боями заняли крупные населённые пункты Боршице, Освьетыманы, Вржесовице, Нехвалин, Ловчице, Ждянице, Бучовице, Орловице, Моравски Прусы, Дрновице.</w:t>
      </w:r>
    </w:p>
    <w:p w14:paraId="554D862B" w14:textId="77777777" w:rsidR="00BF0005" w:rsidRPr="00925F26" w:rsidRDefault="00BF0005"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произошло.</w:t>
      </w:r>
    </w:p>
    <w:p w14:paraId="1A21000E" w14:textId="77777777" w:rsidR="00BF0005" w:rsidRPr="00925F26" w:rsidRDefault="00BF0005" w:rsidP="00925F26">
      <w:pPr>
        <w:jc w:val="both"/>
        <w:rPr>
          <w:color w:val="000000" w:themeColor="text1"/>
          <w:sz w:val="16"/>
          <w:szCs w:val="16"/>
        </w:rPr>
      </w:pPr>
      <w:r w:rsidRPr="00925F26">
        <w:rPr>
          <w:color w:val="000000" w:themeColor="text1"/>
          <w:sz w:val="16"/>
          <w:szCs w:val="16"/>
        </w:rPr>
        <w:t>За 28 апреля на всех фронтах подбито и уничтожено 50 немецких танков и самоходных орудий. В воздушных боях и огнём зенитной артиллерии сбито 17 самолётов противника.</w:t>
      </w:r>
    </w:p>
    <w:p w14:paraId="7F0BEA28" w14:textId="77777777" w:rsidR="00BF0005" w:rsidRPr="00925F26" w:rsidRDefault="00BF0005" w:rsidP="00925F26">
      <w:pPr>
        <w:jc w:val="both"/>
        <w:rPr>
          <w:color w:val="000000" w:themeColor="text1"/>
          <w:sz w:val="16"/>
          <w:szCs w:val="16"/>
        </w:rPr>
      </w:pPr>
      <w:r w:rsidRPr="00925F26">
        <w:rPr>
          <w:color w:val="000000" w:themeColor="text1"/>
          <w:sz w:val="16"/>
          <w:szCs w:val="16"/>
        </w:rPr>
        <w:t>Войска 2-го Белорусского фронта продолжали наступление. Советские части, быстро продвигаясь вперёд, обходят вражеские опорные пункты, а затем мощными ударами вынуждают гитлеровцев оставлять одну позицию за другой. Наши войска, продвигающиеся вдоль Штеттинской гавани, преодолевая сопротивление противника и инженерно-минные заграждения на лесных дорогах, вышли к городу Анклам. Вражеский гарнизон упорно сопротивлялся, но был разгромлен. К западу от порода Пренцлау вчера завязались бои в полосе озёр. Немцы сильно укрепили проходы между озёрами и сосредоточили здесь много огневых средств. Наши пехотные и танковые части взломали вражескую оборону и, стремительно продвинувшись на северо-запад, в ночном бою овладели крупным населённым пунктом и железнодорожной станцией Вольдегк. Развивая успех, войска фронта продвинулись вперёд на 20 километров и штурмом заняли город Нойбранденбург — сильный опорный пункт обороны немцев у озера Толлензе-вее. Нойбранденбург является важным узлом путей сообщений. К нему сходятся шесть железных и несколько шоссейных дорог.</w:t>
      </w:r>
    </w:p>
    <w:p w14:paraId="0722EEE8" w14:textId="77777777" w:rsidR="00BF0005" w:rsidRPr="00925F26" w:rsidRDefault="00BF0005" w:rsidP="00925F26">
      <w:pPr>
        <w:jc w:val="both"/>
        <w:rPr>
          <w:color w:val="000000" w:themeColor="text1"/>
          <w:sz w:val="16"/>
          <w:szCs w:val="16"/>
        </w:rPr>
      </w:pPr>
      <w:r w:rsidRPr="00925F26">
        <w:rPr>
          <w:color w:val="000000" w:themeColor="text1"/>
          <w:sz w:val="16"/>
          <w:szCs w:val="16"/>
        </w:rPr>
        <w:t>В ходе боёв противник несёт тяжёлые потери. Пленные сообщают, что немецкая моторизованная дивизия «Остзее» в последних боях потеряла убитыми и пленными 80 процентов своего личного состава. 27-й артиллерийский полк и 3-й артиллерийский полк резерва главного командования потеряли всю свою материальную часть.</w:t>
      </w:r>
    </w:p>
    <w:p w14:paraId="6233DCD2" w14:textId="77777777" w:rsidR="00BF0005" w:rsidRPr="00925F26" w:rsidRDefault="00BF0005" w:rsidP="00925F26">
      <w:pPr>
        <w:jc w:val="both"/>
        <w:rPr>
          <w:color w:val="000000" w:themeColor="text1"/>
          <w:sz w:val="16"/>
          <w:szCs w:val="16"/>
        </w:rPr>
      </w:pPr>
      <w:r w:rsidRPr="00925F26">
        <w:rPr>
          <w:color w:val="000000" w:themeColor="text1"/>
          <w:sz w:val="16"/>
          <w:szCs w:val="16"/>
        </w:rPr>
        <w:t>В районе Штаргарда приземлился немецкий самолёт «Мессершмитт-110». Немецкий лётчик добровольно сдался в плен.</w:t>
      </w:r>
    </w:p>
    <w:p w14:paraId="7AAB5A5F" w14:textId="77777777" w:rsidR="00BF0005" w:rsidRPr="00925F26" w:rsidRDefault="00BF0005" w:rsidP="00925F26">
      <w:pPr>
        <w:jc w:val="both"/>
        <w:rPr>
          <w:color w:val="000000" w:themeColor="text1"/>
          <w:sz w:val="16"/>
          <w:szCs w:val="16"/>
        </w:rPr>
      </w:pPr>
      <w:r w:rsidRPr="00925F26">
        <w:rPr>
          <w:color w:val="000000" w:themeColor="text1"/>
          <w:sz w:val="16"/>
          <w:szCs w:val="16"/>
        </w:rPr>
        <w:t xml:space="preserve">Войска 1-го Белорусского фронта продолжали бои на улицах Берлина. Немецкие войска, зажатые в центральных районах германской столицы, оказывают отчаянное сопротивление. Советские части вчера прорвались по северному берегу реки Шпрее в городской район Моабит. Очищая на своём пути кварталы, прилегающие к улице Альт Моабит, наши бойцы вышли к известной Моабитской тюрьме и штурмом овладели ею. Отряды противника пытались удержать позиции у Лертерской товарной станции и на территории фотохимического завода. Сильными ударами гитлеровцы были прижаты к Шпрее и уничтожены. Очищая одну за другой улицы Моабита, наши войска заняли 14 заводов и освободили 12 тысяч военнопленных различных национальностей. Советские танкисты и пехотинцы, прорвавшиеся к центру города с юго-востока, в ходе ожесточённых боёв очищают от противника квартал за кварталом. Наши штурмовые группы блокируют станции метрополитена и укреплённые здания и уничижают </w:t>
      </w:r>
      <w:proofErr w:type="gramStart"/>
      <w:r w:rsidRPr="00925F26">
        <w:rPr>
          <w:color w:val="000000" w:themeColor="text1"/>
          <w:sz w:val="16"/>
          <w:szCs w:val="16"/>
        </w:rPr>
        <w:t>засев-ших</w:t>
      </w:r>
      <w:proofErr w:type="gramEnd"/>
      <w:r w:rsidRPr="00925F26">
        <w:rPr>
          <w:color w:val="000000" w:themeColor="text1"/>
          <w:sz w:val="16"/>
          <w:szCs w:val="16"/>
        </w:rPr>
        <w:t xml:space="preserve"> в них гитлеровцев. В результате упорных боёв занят Ангальтский вокзал. В течение дня уничтожено более 8 тысяч немецких солдат и офицеров.</w:t>
      </w:r>
    </w:p>
    <w:p w14:paraId="1AB6F8E8" w14:textId="77777777" w:rsidR="00BF0005" w:rsidRPr="00925F26" w:rsidRDefault="00BF0005" w:rsidP="00925F26">
      <w:pPr>
        <w:jc w:val="both"/>
        <w:rPr>
          <w:color w:val="000000" w:themeColor="text1"/>
          <w:sz w:val="16"/>
          <w:szCs w:val="16"/>
        </w:rPr>
      </w:pPr>
      <w:r w:rsidRPr="00925F26">
        <w:rPr>
          <w:color w:val="000000" w:themeColor="text1"/>
          <w:sz w:val="16"/>
          <w:szCs w:val="16"/>
        </w:rPr>
        <w:t>Войска 1-го Украинского фронта вели уличные бои в юго-западной части Берлина. Противник оказывал сопротивление, опираясь на оборонительные укрепления, построенные вдоль окружной железной дороги. Советские части при поддержке артиллерии прорвали вражескую оборону и заняли железнодорожные станции Гогенцоллерндамм и Халензее. Немцы пытались закрепиться в районе Гинденбург-парка. Однако наши бойцы преодолели многочисленные баррикады, сооружённые из брусчатки разобранных мостовых, очистили парк от противника и ведут бои в районе Берлинер-штрассе. Ожесточённые бои продолжались в городском районе Шенеберг. Нашими войсками занято здание ратуши, несколько станций метрополитена, трамвайный парк и казармы. Захвачены большие трофеи, в числе которых 150 полевых орудий.</w:t>
      </w:r>
    </w:p>
    <w:p w14:paraId="7877A2A3" w14:textId="77777777" w:rsidR="00BF0005" w:rsidRPr="00925F26" w:rsidRDefault="00BF0005" w:rsidP="00925F26">
      <w:pPr>
        <w:jc w:val="both"/>
        <w:rPr>
          <w:color w:val="000000" w:themeColor="text1"/>
          <w:sz w:val="16"/>
          <w:szCs w:val="16"/>
        </w:rPr>
      </w:pPr>
      <w:r w:rsidRPr="00925F26">
        <w:rPr>
          <w:color w:val="000000" w:themeColor="text1"/>
          <w:sz w:val="16"/>
          <w:szCs w:val="16"/>
        </w:rPr>
        <w:t>Юго-восточнее Берлина войска 1-го Белорусского и 1-го Украинского фронтов завершали ликвидацию окружённой группы войск противника. Немцы, прикрываясь с востока цепью озёр, пытались прорваться в западном направлении. Только на одном участке они предприняли двенадцать контратак. Гитлеровцы потеряли убитыми свыше 4.000 солдат и офицеров, но успеха не добились. На других участках все вражеские контратаки также были успешно отражены мощным огнём советской артиллерии, миномётов и ударами танков и пехоты. Сжимая кольцо окружения, наши войска загнали немцев на узкий участок. Деморализованные группы противника складывают оружие и сдаются в плен.</w:t>
      </w:r>
    </w:p>
    <w:p w14:paraId="20A7368F" w14:textId="77777777" w:rsidR="00BF0005" w:rsidRPr="00925F26" w:rsidRDefault="00BF0005" w:rsidP="00925F26">
      <w:pPr>
        <w:jc w:val="both"/>
        <w:rPr>
          <w:color w:val="000000" w:themeColor="text1"/>
          <w:sz w:val="16"/>
          <w:szCs w:val="16"/>
        </w:rPr>
      </w:pPr>
      <w:r w:rsidRPr="00925F26">
        <w:rPr>
          <w:color w:val="000000" w:themeColor="text1"/>
          <w:sz w:val="16"/>
          <w:szCs w:val="16"/>
        </w:rPr>
        <w:t>Авиацией Краснознамённого Балтийского флота в южной части Балтийского моря потоплен немецкий транспорт. Прямым попаданием бомб повреждены два транспорта противника (15114).</w:t>
      </w:r>
    </w:p>
    <w:p w14:paraId="49E4E2CA" w14:textId="77777777" w:rsidR="00BF0005" w:rsidRPr="00925F26" w:rsidRDefault="00BF0005" w:rsidP="00925F26">
      <w:pPr>
        <w:jc w:val="both"/>
        <w:rPr>
          <w:color w:val="000000" w:themeColor="text1"/>
          <w:sz w:val="16"/>
          <w:szCs w:val="16"/>
        </w:rPr>
      </w:pPr>
    </w:p>
    <w:p w14:paraId="20B0CC74" w14:textId="77777777" w:rsidR="00B12671" w:rsidRPr="00925F26" w:rsidRDefault="00B12671" w:rsidP="00925F26">
      <w:pPr>
        <w:jc w:val="both"/>
        <w:rPr>
          <w:color w:val="000000" w:themeColor="text1"/>
          <w:sz w:val="16"/>
          <w:szCs w:val="16"/>
        </w:rPr>
      </w:pPr>
      <w:r w:rsidRPr="00925F26">
        <w:rPr>
          <w:color w:val="000000" w:themeColor="text1"/>
          <w:sz w:val="16"/>
          <w:szCs w:val="16"/>
        </w:rPr>
        <w:t>29 апреля 1945 1-й отряд (командир — майор В.А. Бассарев) предпринял первую корректиров</w:t>
      </w:r>
      <w:r w:rsidRPr="00925F26">
        <w:rPr>
          <w:color w:val="000000" w:themeColor="text1"/>
          <w:sz w:val="16"/>
          <w:szCs w:val="16"/>
        </w:rPr>
        <w:softHyphen/>
        <w:t>ку артогня по рейхстагу. Её провели воздухопла</w:t>
      </w:r>
      <w:r w:rsidRPr="00925F26">
        <w:rPr>
          <w:color w:val="000000" w:themeColor="text1"/>
          <w:sz w:val="16"/>
          <w:szCs w:val="16"/>
        </w:rPr>
        <w:softHyphen/>
        <w:t>ватели Василий Митин, Константин Ващенко, Гематудинов, а их работу обеспечивал Константин Карнович. Наблюдатели увидели рейхстаг и, не дожидаясь приказа, скомандовали: «По рейхста</w:t>
      </w:r>
      <w:r w:rsidRPr="00925F26">
        <w:rPr>
          <w:color w:val="000000" w:themeColor="text1"/>
          <w:sz w:val="16"/>
          <w:szCs w:val="16"/>
        </w:rPr>
        <w:softHyphen/>
        <w:t>гу — огонь!» После нескольких выстрелов насту</w:t>
      </w:r>
      <w:r w:rsidRPr="00925F26">
        <w:rPr>
          <w:color w:val="000000" w:themeColor="text1"/>
          <w:sz w:val="16"/>
          <w:szCs w:val="16"/>
        </w:rPr>
        <w:softHyphen/>
        <w:t>пила команда: «Отставить! Рано!..» В тот же день командир 3-го отряда капитан Груздев получил радиограмму с приказом немедленно поднять аэростат для корректировки артиллерийского огня по скоплению противника в районе Кёнигсплац и рейхстага. С восходом солнца в воздухе висел аэростат, из корзины которого старший лейтенант Лабутин и приданный офицер-артил</w:t>
      </w:r>
      <w:r w:rsidRPr="00925F26">
        <w:rPr>
          <w:color w:val="000000" w:themeColor="text1"/>
          <w:sz w:val="16"/>
          <w:szCs w:val="16"/>
        </w:rPr>
        <w:softHyphen/>
        <w:t>лерист вели наблюдение за районом рейхстага. За</w:t>
      </w:r>
      <w:r w:rsidRPr="00925F26">
        <w:rPr>
          <w:color w:val="000000" w:themeColor="text1"/>
          <w:sz w:val="16"/>
          <w:szCs w:val="16"/>
        </w:rPr>
        <w:softHyphen/>
        <w:t>тем артиллериста сменил Анатолий Вениамино</w:t>
      </w:r>
      <w:r w:rsidRPr="00925F26">
        <w:rPr>
          <w:color w:val="000000" w:themeColor="text1"/>
          <w:sz w:val="16"/>
          <w:szCs w:val="16"/>
        </w:rPr>
        <w:softHyphen/>
        <w:t>вич Сельдешов, поднявшийся вместе с Николаем Лабутиным, а затем — с Валентином Петровским. Петровский захватил трофейный фотоаппарат, и воздухоплаватели сфотографировали друг дру</w:t>
      </w:r>
      <w:r w:rsidRPr="00925F26">
        <w:rPr>
          <w:color w:val="000000" w:themeColor="text1"/>
          <w:sz w:val="16"/>
          <w:szCs w:val="16"/>
        </w:rPr>
        <w:softHyphen/>
        <w:t>га в берлинском небе на фоне батальной панора</w:t>
      </w:r>
      <w:r w:rsidRPr="00925F26">
        <w:rPr>
          <w:color w:val="000000" w:themeColor="text1"/>
          <w:sz w:val="16"/>
          <w:szCs w:val="16"/>
        </w:rPr>
        <w:softHyphen/>
        <w:t>мы. Затем Петровского сменил Василий Трухан, выполнивший аэрофотосъёмку в интересах ар</w:t>
      </w:r>
      <w:r w:rsidRPr="00925F26">
        <w:rPr>
          <w:color w:val="000000" w:themeColor="text1"/>
          <w:sz w:val="16"/>
          <w:szCs w:val="16"/>
        </w:rPr>
        <w:softHyphen/>
        <w:t>тиллерийской дивизии. После Трухана А.В. Сель</w:t>
      </w:r>
      <w:r w:rsidRPr="00925F26">
        <w:rPr>
          <w:color w:val="000000" w:themeColor="text1"/>
          <w:sz w:val="16"/>
          <w:szCs w:val="16"/>
        </w:rPr>
        <w:softHyphen/>
        <w:t>дешов находился в воздухе в одиночку ещё почти полтора часа, наблюдая за центральной частью города, рейхстагом и рейхсканцелярией (20120).</w:t>
      </w:r>
    </w:p>
    <w:p w14:paraId="39A04DB7" w14:textId="77777777" w:rsidR="00B12671" w:rsidRPr="00925F26" w:rsidRDefault="00B12671" w:rsidP="00925F26">
      <w:pPr>
        <w:jc w:val="both"/>
        <w:rPr>
          <w:color w:val="000000" w:themeColor="text1"/>
          <w:sz w:val="16"/>
          <w:szCs w:val="16"/>
        </w:rPr>
      </w:pPr>
    </w:p>
    <w:p w14:paraId="6CDD4D3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апреля 1945 в бою у рейхсканцелярии в Берлине погиб шеф гестапо Г. Мюллер (по некоторым данным, он не погиб, а бежал на Запад) (4962).</w:t>
      </w:r>
    </w:p>
    <w:p w14:paraId="00E88ED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4BD008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апреля 1945 советскими войсками создано временное правительство Австрии (4962).</w:t>
      </w:r>
    </w:p>
    <w:p w14:paraId="11C967B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69D0A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Ил-2 3 ад в сопровождении Як-9 10 иап атаковали авиабазу в Neuruppin (241,37).</w:t>
      </w:r>
    </w:p>
    <w:p w14:paraId="019C8F16" w14:textId="77777777" w:rsidR="00665165" w:rsidRPr="00925F26" w:rsidRDefault="00665165" w:rsidP="00925F26">
      <w:pPr>
        <w:autoSpaceDE w:val="0"/>
        <w:autoSpaceDN w:val="0"/>
        <w:adjustRightInd w:val="0"/>
        <w:jc w:val="both"/>
        <w:rPr>
          <w:color w:val="000000" w:themeColor="text1"/>
          <w:sz w:val="16"/>
          <w:szCs w:val="16"/>
        </w:rPr>
      </w:pPr>
    </w:p>
    <w:p w14:paraId="6E29E295" w14:textId="77777777" w:rsidR="00FC1867"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7E652AF" w14:textId="77777777" w:rsidR="00FC1867" w:rsidRPr="00925F26" w:rsidRDefault="00FC1867" w:rsidP="00925F26">
      <w:pPr>
        <w:autoSpaceDE w:val="0"/>
        <w:autoSpaceDN w:val="0"/>
        <w:adjustRightInd w:val="0"/>
        <w:jc w:val="both"/>
        <w:rPr>
          <w:iCs/>
          <w:color w:val="000000" w:themeColor="text1"/>
          <w:sz w:val="16"/>
          <w:szCs w:val="16"/>
        </w:rPr>
      </w:pPr>
    </w:p>
    <w:p w14:paraId="39FEDFD0" w14:textId="77777777" w:rsidR="00FC1867" w:rsidRPr="00925F26" w:rsidRDefault="00FC1867" w:rsidP="00925F26">
      <w:pPr>
        <w:jc w:val="both"/>
        <w:rPr>
          <w:color w:val="000000" w:themeColor="text1"/>
          <w:sz w:val="16"/>
          <w:szCs w:val="16"/>
        </w:rPr>
      </w:pPr>
      <w:r w:rsidRPr="00925F26">
        <w:rPr>
          <w:color w:val="000000" w:themeColor="text1"/>
          <w:sz w:val="16"/>
          <w:szCs w:val="16"/>
        </w:rPr>
        <w:t>29 апреля в 1945 году в Москве отменено ночное затемнение (15114).</w:t>
      </w:r>
    </w:p>
    <w:p w14:paraId="01DCF90C" w14:textId="77777777" w:rsidR="00FC1867" w:rsidRPr="00925F26" w:rsidRDefault="00FC1867" w:rsidP="00925F26">
      <w:pPr>
        <w:jc w:val="both"/>
        <w:rPr>
          <w:color w:val="000000" w:themeColor="text1"/>
          <w:sz w:val="16"/>
          <w:szCs w:val="16"/>
        </w:rPr>
      </w:pPr>
    </w:p>
    <w:p w14:paraId="154AE39B" w14:textId="77777777" w:rsidR="00DB35FE"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50A6529" w14:textId="77777777" w:rsidR="00DB35FE" w:rsidRPr="00925F26" w:rsidRDefault="00DB35FE" w:rsidP="00925F26">
      <w:pPr>
        <w:autoSpaceDE w:val="0"/>
        <w:autoSpaceDN w:val="0"/>
        <w:adjustRightInd w:val="0"/>
        <w:jc w:val="both"/>
        <w:rPr>
          <w:iCs/>
          <w:color w:val="000000" w:themeColor="text1"/>
          <w:sz w:val="16"/>
          <w:szCs w:val="16"/>
        </w:rPr>
      </w:pPr>
    </w:p>
    <w:p w14:paraId="2AD7BB0D" w14:textId="77777777" w:rsidR="00DB35FE" w:rsidRPr="00925F26" w:rsidRDefault="00DB35FE" w:rsidP="00925F26">
      <w:pPr>
        <w:jc w:val="both"/>
        <w:rPr>
          <w:color w:val="000000" w:themeColor="text1"/>
          <w:sz w:val="16"/>
          <w:szCs w:val="16"/>
        </w:rPr>
      </w:pPr>
      <w:r w:rsidRPr="00925F26">
        <w:rPr>
          <w:color w:val="000000" w:themeColor="text1"/>
          <w:sz w:val="16"/>
          <w:szCs w:val="16"/>
        </w:rPr>
        <w:t>29 апреля в 1945 году советскими войсками создано временное правительство Австрии (15114).</w:t>
      </w:r>
    </w:p>
    <w:p w14:paraId="312F9D97" w14:textId="77777777" w:rsidR="00DB35FE" w:rsidRPr="00925F26" w:rsidRDefault="00DB35FE" w:rsidP="00925F26">
      <w:pPr>
        <w:jc w:val="both"/>
        <w:rPr>
          <w:color w:val="000000" w:themeColor="text1"/>
          <w:sz w:val="16"/>
          <w:szCs w:val="16"/>
        </w:rPr>
      </w:pPr>
    </w:p>
    <w:p w14:paraId="0ABD88B8" w14:textId="77777777" w:rsidR="00DB35FE" w:rsidRPr="00925F26" w:rsidRDefault="00DB35FE" w:rsidP="00925F26">
      <w:pPr>
        <w:jc w:val="both"/>
        <w:rPr>
          <w:color w:val="000000" w:themeColor="text1"/>
          <w:sz w:val="16"/>
          <w:szCs w:val="16"/>
        </w:rPr>
      </w:pPr>
      <w:r w:rsidRPr="00925F26">
        <w:rPr>
          <w:color w:val="000000" w:themeColor="text1"/>
          <w:sz w:val="16"/>
          <w:szCs w:val="16"/>
        </w:rPr>
        <w:t>29 апреля в 1945 году признание Советским правительством Временного правительства Австрии (15114).</w:t>
      </w:r>
    </w:p>
    <w:p w14:paraId="2432ACAC" w14:textId="77777777" w:rsidR="00DB35FE" w:rsidRPr="00925F26" w:rsidRDefault="00DB35FE" w:rsidP="00925F26">
      <w:pPr>
        <w:jc w:val="both"/>
        <w:rPr>
          <w:color w:val="000000" w:themeColor="text1"/>
          <w:sz w:val="16"/>
          <w:szCs w:val="16"/>
        </w:rPr>
      </w:pPr>
    </w:p>
    <w:p w14:paraId="4717144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B72DBA9" w14:textId="77777777" w:rsidR="00665165" w:rsidRPr="00925F26" w:rsidRDefault="00665165" w:rsidP="00925F26">
      <w:pPr>
        <w:autoSpaceDE w:val="0"/>
        <w:autoSpaceDN w:val="0"/>
        <w:adjustRightInd w:val="0"/>
        <w:jc w:val="both"/>
        <w:rPr>
          <w:iCs/>
          <w:color w:val="000000" w:themeColor="text1"/>
          <w:sz w:val="16"/>
          <w:szCs w:val="16"/>
        </w:rPr>
      </w:pPr>
    </w:p>
    <w:p w14:paraId="6061CEBD" w14:textId="77777777" w:rsidR="008D6E07" w:rsidRPr="00925F26" w:rsidRDefault="008D6E07" w:rsidP="00925F26">
      <w:pPr>
        <w:jc w:val="both"/>
        <w:rPr>
          <w:color w:val="000000" w:themeColor="text1"/>
          <w:sz w:val="16"/>
          <w:szCs w:val="16"/>
        </w:rPr>
      </w:pPr>
      <w:r w:rsidRPr="00925F26">
        <w:rPr>
          <w:color w:val="000000" w:themeColor="text1"/>
          <w:sz w:val="16"/>
          <w:szCs w:val="16"/>
        </w:rPr>
        <w:t>29 апреля в 1945 году утвержден новый текст присяги РОА, однако, без слов о верности германскому фюреру (15114).</w:t>
      </w:r>
    </w:p>
    <w:p w14:paraId="23451B87" w14:textId="77777777" w:rsidR="008D6E07" w:rsidRPr="00925F26" w:rsidRDefault="008D6E07" w:rsidP="00925F26">
      <w:pPr>
        <w:jc w:val="both"/>
        <w:rPr>
          <w:color w:val="000000" w:themeColor="text1"/>
          <w:sz w:val="16"/>
          <w:szCs w:val="16"/>
        </w:rPr>
      </w:pPr>
    </w:p>
    <w:p w14:paraId="2D3DCEF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апреля 1945 американские войска освободили заключенных концлагеря Дахау, при этом казнив 122 охранника лагеря (4962).</w:t>
      </w:r>
    </w:p>
    <w:p w14:paraId="373A2AD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8AEBD3" w14:textId="77777777" w:rsidR="008D6E07" w:rsidRPr="00925F26" w:rsidRDefault="008D6E07"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29 1945 U.S. 7th Army liberates Dachau concentration camp (1050).</w:t>
      </w:r>
    </w:p>
    <w:p w14:paraId="6585D671" w14:textId="77777777" w:rsidR="008D6E07" w:rsidRPr="00925F26" w:rsidRDefault="008D6E07" w:rsidP="00925F26">
      <w:pPr>
        <w:autoSpaceDE w:val="0"/>
        <w:autoSpaceDN w:val="0"/>
        <w:adjustRightInd w:val="0"/>
        <w:jc w:val="both"/>
        <w:rPr>
          <w:color w:val="000000" w:themeColor="text1"/>
          <w:sz w:val="16"/>
          <w:szCs w:val="16"/>
          <w:lang w:val="en-US"/>
        </w:rPr>
      </w:pPr>
    </w:p>
    <w:p w14:paraId="5A809041" w14:textId="77777777" w:rsidR="008D6E07" w:rsidRPr="00925F26" w:rsidRDefault="008D6E07"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29 1945 American soldiers discover Dachau concentration camp, near Munich, with 39 boxcars of corpses (1769).</w:t>
      </w:r>
    </w:p>
    <w:p w14:paraId="112AFA56" w14:textId="77777777" w:rsidR="008D6E07" w:rsidRPr="00925F26" w:rsidRDefault="008D6E07" w:rsidP="00925F26">
      <w:pPr>
        <w:autoSpaceDE w:val="0"/>
        <w:autoSpaceDN w:val="0"/>
        <w:adjustRightInd w:val="0"/>
        <w:jc w:val="both"/>
        <w:rPr>
          <w:color w:val="000000" w:themeColor="text1"/>
          <w:sz w:val="16"/>
          <w:szCs w:val="16"/>
          <w:lang w:val="en-US"/>
        </w:rPr>
      </w:pPr>
    </w:p>
    <w:p w14:paraId="38D27E39" w14:textId="77777777" w:rsidR="008D6E07" w:rsidRPr="00925F26" w:rsidRDefault="008D6E07"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американские войска освободили концлагерь Дахау, где обнаружили 39 вагонов трупов (1050;1769).</w:t>
      </w:r>
    </w:p>
    <w:p w14:paraId="7E412765" w14:textId="77777777" w:rsidR="008D6E07" w:rsidRPr="00925F26" w:rsidRDefault="008D6E07" w:rsidP="00925F26">
      <w:pPr>
        <w:autoSpaceDE w:val="0"/>
        <w:autoSpaceDN w:val="0"/>
        <w:adjustRightInd w:val="0"/>
        <w:jc w:val="both"/>
        <w:rPr>
          <w:color w:val="000000" w:themeColor="text1"/>
          <w:sz w:val="16"/>
          <w:szCs w:val="16"/>
        </w:rPr>
      </w:pPr>
    </w:p>
    <w:p w14:paraId="249153F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29 апреля 1945 Гитлер и Ева Браун обвенчались накануне гибели (4962).</w:t>
      </w:r>
    </w:p>
    <w:p w14:paraId="764EF16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8F47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А.Г. и Е.Браун в бункере поженились с тем, чтобы умереть на следующий день (3263,204).</w:t>
      </w:r>
    </w:p>
    <w:p w14:paraId="0CC309A6" w14:textId="77777777" w:rsidR="00665165" w:rsidRPr="00925F26" w:rsidRDefault="00665165" w:rsidP="00925F26">
      <w:pPr>
        <w:autoSpaceDE w:val="0"/>
        <w:autoSpaceDN w:val="0"/>
        <w:adjustRightInd w:val="0"/>
        <w:jc w:val="both"/>
        <w:rPr>
          <w:color w:val="000000" w:themeColor="text1"/>
          <w:sz w:val="16"/>
          <w:szCs w:val="16"/>
        </w:rPr>
      </w:pPr>
    </w:p>
    <w:p w14:paraId="3155EE49" w14:textId="77777777" w:rsidR="00DB35FE" w:rsidRPr="00925F26" w:rsidRDefault="00DB35FE" w:rsidP="00925F26">
      <w:pPr>
        <w:jc w:val="both"/>
        <w:rPr>
          <w:color w:val="000000" w:themeColor="text1"/>
          <w:sz w:val="16"/>
          <w:szCs w:val="16"/>
        </w:rPr>
      </w:pPr>
      <w:r w:rsidRPr="00925F26">
        <w:rPr>
          <w:color w:val="000000" w:themeColor="text1"/>
          <w:sz w:val="16"/>
          <w:szCs w:val="16"/>
        </w:rPr>
        <w:t>29 апреля в 1945 году в окруженном советскими войсками Берлине в подземном бункере имперской канцелярии проходит свадьба Адольфа Гитлера и Евы Браун. На следующий день молодожены покончат с собой (15114).</w:t>
      </w:r>
    </w:p>
    <w:p w14:paraId="48A33D36" w14:textId="77777777" w:rsidR="00DB35FE" w:rsidRPr="00925F26" w:rsidRDefault="00DB35FE" w:rsidP="00925F26">
      <w:pPr>
        <w:jc w:val="both"/>
        <w:rPr>
          <w:color w:val="000000" w:themeColor="text1"/>
          <w:sz w:val="16"/>
          <w:szCs w:val="16"/>
        </w:rPr>
      </w:pPr>
    </w:p>
    <w:p w14:paraId="39702087" w14:textId="77777777" w:rsidR="008D6E07" w:rsidRPr="00925F26" w:rsidRDefault="008D6E07" w:rsidP="00925F26">
      <w:pPr>
        <w:jc w:val="both"/>
        <w:rPr>
          <w:color w:val="000000" w:themeColor="text1"/>
          <w:sz w:val="16"/>
          <w:szCs w:val="16"/>
        </w:rPr>
      </w:pPr>
      <w:r w:rsidRPr="00925F26">
        <w:rPr>
          <w:color w:val="000000" w:themeColor="text1"/>
          <w:sz w:val="16"/>
          <w:szCs w:val="16"/>
        </w:rPr>
        <w:t>29 апреля в 1945 году в бою у рейхсканцелярии в Берлине погибает шеф гестапо Г.Мюллер (по некоторым данным, он не погиб, а бежал на Запад) (15114).</w:t>
      </w:r>
    </w:p>
    <w:p w14:paraId="1D9CA1B4" w14:textId="77777777" w:rsidR="008D6E07" w:rsidRPr="00925F26" w:rsidRDefault="008D6E07" w:rsidP="00925F26">
      <w:pPr>
        <w:jc w:val="both"/>
        <w:rPr>
          <w:color w:val="000000" w:themeColor="text1"/>
          <w:sz w:val="16"/>
          <w:szCs w:val="16"/>
        </w:rPr>
      </w:pPr>
    </w:p>
    <w:p w14:paraId="1CF434E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апреля 1945 капитулировали войскам союзником германские войска в Северной Италии (4962).</w:t>
      </w:r>
    </w:p>
    <w:p w14:paraId="5F9D884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983201B" w14:textId="77777777" w:rsidR="008D6E07" w:rsidRPr="00925F26" w:rsidRDefault="008D6E07" w:rsidP="00925F26">
      <w:pPr>
        <w:jc w:val="both"/>
        <w:rPr>
          <w:color w:val="000000" w:themeColor="text1"/>
          <w:sz w:val="16"/>
          <w:szCs w:val="16"/>
        </w:rPr>
      </w:pPr>
      <w:r w:rsidRPr="00925F26">
        <w:rPr>
          <w:color w:val="000000" w:themeColor="text1"/>
          <w:sz w:val="16"/>
          <w:szCs w:val="16"/>
        </w:rPr>
        <w:t>29 апреля в 1945 году немецкая армия в Италии сдается Союзникам под командованием британского генерала Александра (Alexander) (15114).</w:t>
      </w:r>
    </w:p>
    <w:p w14:paraId="76738ABD" w14:textId="77777777" w:rsidR="008D6E07" w:rsidRPr="00925F26" w:rsidRDefault="008D6E07" w:rsidP="00925F26">
      <w:pPr>
        <w:jc w:val="both"/>
        <w:rPr>
          <w:color w:val="000000" w:themeColor="text1"/>
          <w:sz w:val="16"/>
          <w:szCs w:val="16"/>
        </w:rPr>
      </w:pPr>
    </w:p>
    <w:p w14:paraId="499E7A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ф-м Александер принял капитуляцию в Италии (2248,5).</w:t>
      </w:r>
    </w:p>
    <w:p w14:paraId="5FC22AEC" w14:textId="77777777" w:rsidR="00665165" w:rsidRPr="00925F26" w:rsidRDefault="00665165" w:rsidP="00925F26">
      <w:pPr>
        <w:autoSpaceDE w:val="0"/>
        <w:autoSpaceDN w:val="0"/>
        <w:adjustRightInd w:val="0"/>
        <w:jc w:val="both"/>
        <w:rPr>
          <w:color w:val="000000" w:themeColor="text1"/>
          <w:sz w:val="16"/>
          <w:szCs w:val="16"/>
        </w:rPr>
      </w:pPr>
    </w:p>
    <w:p w14:paraId="36F5955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29th, 1945: The British Second Army crosses the Elbe at Lauenburg, 20 miles E of Hamburg, and advances toward Schwerin and Wismar in Mecklenburg. The French First Army (de Tassigny) captures Friedrichshafen on Lake Constance. In the battle of Berlin, the Red Army has now captured most of the city except for the area around the Brandenburg Gate, the Reichskanzlei and the Reichstag which is still fiercely defended by isolated units of the Waffen-SS (3819).</w:t>
      </w:r>
    </w:p>
    <w:p w14:paraId="06703E19" w14:textId="77777777" w:rsidR="00665165" w:rsidRPr="00925F26" w:rsidRDefault="00665165" w:rsidP="00925F26">
      <w:pPr>
        <w:autoSpaceDE w:val="0"/>
        <w:autoSpaceDN w:val="0"/>
        <w:adjustRightInd w:val="0"/>
        <w:jc w:val="both"/>
        <w:rPr>
          <w:color w:val="000000" w:themeColor="text1"/>
          <w:sz w:val="16"/>
          <w:szCs w:val="16"/>
          <w:lang w:val="en-US"/>
        </w:rPr>
      </w:pPr>
    </w:p>
    <w:p w14:paraId="1B0AFD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апреля 1945 британская 2А форсировала Эльбу и Лауенбурга в 20 милях от Гамбурга и продвинулась к Шверину и Висмара в Мекленбурге. Французская 1А заняла Фридрихсхаффен на о Констанца (3819).</w:t>
      </w:r>
    </w:p>
    <w:p w14:paraId="0FB4AEB3" w14:textId="77777777" w:rsidR="00665165" w:rsidRPr="00925F26" w:rsidRDefault="00665165" w:rsidP="00925F26">
      <w:pPr>
        <w:autoSpaceDE w:val="0"/>
        <w:autoSpaceDN w:val="0"/>
        <w:adjustRightInd w:val="0"/>
        <w:jc w:val="both"/>
        <w:rPr>
          <w:color w:val="000000" w:themeColor="text1"/>
          <w:sz w:val="16"/>
          <w:szCs w:val="16"/>
        </w:rPr>
      </w:pPr>
    </w:p>
    <w:p w14:paraId="219ED2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29 апреля по 8 мая 1945 г. проводилсь операция «Манна» (очень красноречивое название) и за это время нуждающиеся жители Роттердама, Гааги и других голландских городов получили более методом сброса 6000 т столь необходимых им вещей (было совершено 3156 </w:t>
      </w:r>
      <w:proofErr w:type="gramStart"/>
      <w:r w:rsidRPr="00925F26">
        <w:rPr>
          <w:color w:val="000000" w:themeColor="text1"/>
          <w:sz w:val="16"/>
          <w:szCs w:val="16"/>
        </w:rPr>
        <w:t>самолето-вылетов</w:t>
      </w:r>
      <w:proofErr w:type="gramEnd"/>
      <w:r w:rsidRPr="00925F26">
        <w:rPr>
          <w:color w:val="000000" w:themeColor="text1"/>
          <w:sz w:val="16"/>
          <w:szCs w:val="16"/>
        </w:rPr>
        <w:t>). После наступления мира в Европе «Ланкастеры» потрудились в качестве воздушных извозчиков, вывезя с 4 по 28 мая более 75000 пленных из Германии в Англию (каждый самолет брал за один рейс 25 человек) (11860).</w:t>
      </w:r>
    </w:p>
    <w:p w14:paraId="65026C62" w14:textId="77777777" w:rsidR="00665165" w:rsidRPr="00925F26" w:rsidRDefault="00665165" w:rsidP="00925F26">
      <w:pPr>
        <w:autoSpaceDE w:val="0"/>
        <w:autoSpaceDN w:val="0"/>
        <w:adjustRightInd w:val="0"/>
        <w:jc w:val="both"/>
        <w:rPr>
          <w:color w:val="000000" w:themeColor="text1"/>
          <w:sz w:val="16"/>
          <w:szCs w:val="16"/>
        </w:rPr>
      </w:pPr>
    </w:p>
    <w:p w14:paraId="2904D0E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8CF1DF0" w14:textId="77777777" w:rsidR="00665165" w:rsidRPr="00925F26" w:rsidRDefault="00665165" w:rsidP="00925F26">
      <w:pPr>
        <w:autoSpaceDE w:val="0"/>
        <w:autoSpaceDN w:val="0"/>
        <w:adjustRightInd w:val="0"/>
        <w:jc w:val="both"/>
        <w:rPr>
          <w:iCs/>
          <w:color w:val="000000" w:themeColor="text1"/>
          <w:sz w:val="16"/>
          <w:szCs w:val="16"/>
        </w:rPr>
      </w:pPr>
    </w:p>
    <w:p w14:paraId="7CBC4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вышел приказ НКАП N 185с:</w:t>
      </w:r>
    </w:p>
    <w:p w14:paraId="5E444D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предохранения мотора АМ-42 самолетов Ил-10 от попадания пыли через всасываюший патрубок:</w:t>
      </w:r>
    </w:p>
    <w:p w14:paraId="7D6AAE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1 Литвинову и директору завода 18 Белянскому с 15 мая с.г. выпускать все самолеты Ил-10 с установкой пылефильтра, отработанного и испытанного заводом 18 на самолете Ил-10 N 404.</w:t>
      </w:r>
    </w:p>
    <w:p w14:paraId="00B497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всех самолетах Ил-10, выпущенных без пылефильтра, установить силами бригад заводов 1 и 18 в 2-х месячный срок полевой вариант пылефильтров (с наружной заслонкой)." (1828,90).</w:t>
      </w:r>
    </w:p>
    <w:p w14:paraId="2B1861CE" w14:textId="77777777" w:rsidR="00665165" w:rsidRPr="00925F26" w:rsidRDefault="00665165" w:rsidP="00925F26">
      <w:pPr>
        <w:autoSpaceDE w:val="0"/>
        <w:autoSpaceDN w:val="0"/>
        <w:adjustRightInd w:val="0"/>
        <w:jc w:val="both"/>
        <w:rPr>
          <w:color w:val="000000" w:themeColor="text1"/>
          <w:sz w:val="16"/>
          <w:szCs w:val="16"/>
        </w:rPr>
      </w:pPr>
    </w:p>
    <w:p w14:paraId="616CE81D" w14:textId="77777777" w:rsidR="00063378" w:rsidRPr="00925F26" w:rsidRDefault="00063378" w:rsidP="00925F26">
      <w:pPr>
        <w:jc w:val="both"/>
        <w:rPr>
          <w:color w:val="000000" w:themeColor="text1"/>
          <w:sz w:val="16"/>
          <w:szCs w:val="16"/>
        </w:rPr>
      </w:pPr>
      <w:r w:rsidRPr="00925F26">
        <w:rPr>
          <w:rStyle w:val="107"/>
          <w:rFonts w:eastAsiaTheme="minorHAnsi"/>
          <w:color w:val="000000" w:themeColor="text1"/>
          <w:sz w:val="16"/>
          <w:szCs w:val="16"/>
        </w:rPr>
        <w:t>30 апреля 1945 Приказом НКАП № 185с от директора заводов № 1 и № 18 обязывались с 15 мая 1945 года выпускать все самолеты Ил-10 с противопыльным фильтром по образцу пылефильтра завода № 18, а на всех самолетах, выпущенных без пылефильтров, «установить силами бригад заводов 1 и № 18 в двухмесячный срок полевой вариант пылефильтра».</w:t>
      </w:r>
    </w:p>
    <w:p w14:paraId="2A11826E" w14:textId="77777777" w:rsidR="00063378" w:rsidRPr="00925F26" w:rsidRDefault="00063378" w:rsidP="00925F26">
      <w:pPr>
        <w:jc w:val="both"/>
        <w:rPr>
          <w:color w:val="000000" w:themeColor="text1"/>
          <w:sz w:val="16"/>
          <w:szCs w:val="16"/>
        </w:rPr>
      </w:pPr>
      <w:r w:rsidRPr="00925F26">
        <w:rPr>
          <w:rStyle w:val="107"/>
          <w:rFonts w:eastAsiaTheme="minorHAnsi"/>
          <w:color w:val="000000" w:themeColor="text1"/>
          <w:sz w:val="16"/>
          <w:szCs w:val="16"/>
        </w:rPr>
        <w:t>В серийное производство пылефильтры были внедрены во второй половине мая: на заводе № 1 - с 1-й машины 7-й серии, а на заводе № 18 - с 1-й машины 8-й серии (17490).</w:t>
      </w:r>
    </w:p>
    <w:p w14:paraId="7CC588AE" w14:textId="77777777" w:rsidR="00063378" w:rsidRPr="00925F26" w:rsidRDefault="00063378" w:rsidP="00925F26">
      <w:pPr>
        <w:jc w:val="both"/>
        <w:rPr>
          <w:rStyle w:val="107"/>
          <w:rFonts w:eastAsiaTheme="minorHAnsi"/>
          <w:color w:val="000000" w:themeColor="text1"/>
          <w:sz w:val="16"/>
          <w:szCs w:val="16"/>
        </w:rPr>
      </w:pPr>
    </w:p>
    <w:p w14:paraId="411969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исходу 30 апреля 1945 в во 2-й ВА всего за 10 дней боевой работы 108-го гшап в полку оставалось боеспособ</w:t>
      </w:r>
      <w:r w:rsidRPr="00925F26">
        <w:rPr>
          <w:color w:val="000000" w:themeColor="text1"/>
          <w:sz w:val="16"/>
          <w:szCs w:val="16"/>
        </w:rPr>
        <w:softHyphen/>
        <w:t>ными всего 11 самолетов Ил-10. вследствие износа поршневых колец, приводившего к потере компрессии, из строя вышло 76% находившихся в эксплуатации моторов АМ-42. Еще 16% моторов АМ-42 "вышли из строя по причине появления бронзовой, стальной и алюминиевой стру</w:t>
      </w:r>
      <w:r w:rsidRPr="00925F26">
        <w:rPr>
          <w:color w:val="000000" w:themeColor="text1"/>
          <w:sz w:val="16"/>
          <w:szCs w:val="16"/>
        </w:rPr>
        <w:softHyphen/>
        <w:t xml:space="preserve">жек, попадания воды в картер и выбрасывания </w:t>
      </w:r>
      <w:proofErr w:type="gramStart"/>
      <w:r w:rsidRPr="00925F26">
        <w:rPr>
          <w:color w:val="000000" w:themeColor="text1"/>
          <w:sz w:val="16"/>
          <w:szCs w:val="16"/>
        </w:rPr>
        <w:t>масла.Остальные</w:t>
      </w:r>
      <w:proofErr w:type="gramEnd"/>
      <w:r w:rsidRPr="00925F26">
        <w:rPr>
          <w:color w:val="000000" w:themeColor="text1"/>
          <w:sz w:val="16"/>
          <w:szCs w:val="16"/>
        </w:rPr>
        <w:t xml:space="preserve"> 18 (!) «десяток» были неисправны и требовали ремонта. Если учесть, что к ис</w:t>
      </w:r>
      <w:r w:rsidRPr="00925F26">
        <w:rPr>
          <w:color w:val="000000" w:themeColor="text1"/>
          <w:sz w:val="16"/>
          <w:szCs w:val="16"/>
        </w:rPr>
        <w:softHyphen/>
        <w:t>ходу первого дня боевых действий в составе полка имелось 34 исправных самолетов Ил-10, то процент ежедневного выхода из строя матчасти просто ужасает. Аппроксимация «отхода» Ил-10 по неисправности и боевым причинам позволяет сде</w:t>
      </w:r>
      <w:r w:rsidRPr="00925F26">
        <w:rPr>
          <w:color w:val="000000" w:themeColor="text1"/>
          <w:sz w:val="16"/>
          <w:szCs w:val="16"/>
        </w:rPr>
        <w:softHyphen/>
        <w:t>лать вывод, что еще одна неделя боев, и 108-й гшап остался бы без боеготовых самолетов. Собственно, так и получилось. В те</w:t>
      </w:r>
      <w:r w:rsidRPr="00925F26">
        <w:rPr>
          <w:color w:val="000000" w:themeColor="text1"/>
          <w:sz w:val="16"/>
          <w:szCs w:val="16"/>
        </w:rPr>
        <w:softHyphen/>
        <w:t>чение мая месяца полк ни боевой, ни учебно-боевой работы на самолетах Ил-10 не вел, а занимался ремонтом неисправной матчасти и получением новой на авиабазе в г. Львов (11474,512).</w:t>
      </w:r>
    </w:p>
    <w:p w14:paraId="06EE82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094F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г. закончились войсковые испытания Ил-10, которые проходили с 16 апреля 1945. Летчики 108-го гшап выполнили 450 боевых вылетов. При этом, в самом конце войсковых испытаний, 30 апреля, был потерян один самолет: в Ил-10 летчика Городецкого попал крупнокалиберный зенитный снаряд. От машины отделился винт, носовая часть раскрылась железным “цветком”. Экипаж погиб (9528).</w:t>
      </w:r>
    </w:p>
    <w:p w14:paraId="0B30AD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боевой деятельности Ил-10 анализировала бригада ГК НИИ ВВС во главе с ведущим инженером полковником П.Т.Аброщенко, в ее состав входили сотрудники ОКБ С.В.Ильюшина, ОКБ А.А.Микулина, серийных заводов № 18 и № 24.</w:t>
      </w:r>
    </w:p>
    <w:p w14:paraId="658C1D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выводах отчета по результатам войсковых испытаний Ил-10 отмечалось, что “...бомбовая нагрузка самолета по весу, назначению и калибру подвешиваемых авиабомб обеспечивает выполнение возлагаемых на самолет-штурмовик задач.</w:t>
      </w:r>
    </w:p>
    <w:p w14:paraId="4B632B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большого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w:t>
      </w:r>
    </w:p>
    <w:p w14:paraId="369A53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Живучесть конструкции (бронирование экипажа и винтомоторной группы) лучше, чем на самолете Ил-2, и в целом является достаточной.</w:t>
      </w:r>
    </w:p>
    <w:p w14:paraId="597FA5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w:t>
      </w:r>
    </w:p>
    <w:p w14:paraId="11050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Великой Отечественной войны высокие боевые качества самолетов Ил-10 с успехом использовали уже несколько штурмовых авиаполков (9528).</w:t>
      </w:r>
    </w:p>
    <w:p w14:paraId="0A31BB23" w14:textId="77777777" w:rsidR="00665165" w:rsidRPr="00925F26" w:rsidRDefault="00665165" w:rsidP="00925F26">
      <w:pPr>
        <w:autoSpaceDE w:val="0"/>
        <w:autoSpaceDN w:val="0"/>
        <w:adjustRightInd w:val="0"/>
        <w:jc w:val="both"/>
        <w:rPr>
          <w:color w:val="000000" w:themeColor="text1"/>
          <w:sz w:val="16"/>
          <w:szCs w:val="16"/>
        </w:rPr>
      </w:pPr>
    </w:p>
    <w:p w14:paraId="30E4E2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Лосюков и Сафронов подписали Отчет по гос. испытаниям Ту-2 2 АШ-82ФН с винтами АВ-5В-37 N 16/7 производства 23 завода, которые проходили в марте-апреле 1945</w:t>
      </w:r>
    </w:p>
    <w:p w14:paraId="57CB04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2279BD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В.А.Шубранов</w:t>
      </w:r>
    </w:p>
    <w:p w14:paraId="336F9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 М.А.Нюхтиков</w:t>
      </w:r>
    </w:p>
    <w:p w14:paraId="5BD77D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м-р М.П.Субботин</w:t>
      </w:r>
    </w:p>
    <w:p w14:paraId="74EC56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29D118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госиспытаниях этих винтов в марте 1945 получено увеличение скорости от 11 до 15 км/ча, но разбег с-та увеличился на 120 м.</w:t>
      </w:r>
    </w:p>
    <w:p w14:paraId="559FE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Ввиду этого этот винт не был рекомендован</w:t>
      </w:r>
    </w:p>
    <w:p w14:paraId="727833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уменьшения длины разбега при сохранении макс. скорости ЦАГИ предложен для Ту-2 с 2АШ-82ФН новые винты АВ-5В-37 диаметром 3,6 м.</w:t>
      </w:r>
    </w:p>
    <w:p w14:paraId="08515C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испытаний и эти винты не были рекомендованы, как значительно ухудшившие взлетные свойства с-та.</w:t>
      </w:r>
    </w:p>
    <w:p w14:paraId="345F62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винтами серийными АВ-5В-167А в марте 1945 были получены:</w:t>
      </w:r>
    </w:p>
    <w:p w14:paraId="4A4356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- 477 км/час</w:t>
      </w:r>
    </w:p>
    <w:p w14:paraId="14497C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высотности 2600 м - 530 км/час</w:t>
      </w:r>
    </w:p>
    <w:p w14:paraId="6243C2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 высотности 5700 м - 544 км/час</w:t>
      </w:r>
    </w:p>
    <w:p w14:paraId="5C9889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- 9,3</w:t>
      </w:r>
    </w:p>
    <w:p w14:paraId="62D865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9650 м, время набора - 38</w:t>
      </w:r>
    </w:p>
    <w:p w14:paraId="22B7FC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- 690 м</w:t>
      </w:r>
    </w:p>
    <w:p w14:paraId="0762C9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режим - обороты - 2500, Рк 1180.</w:t>
      </w:r>
    </w:p>
    <w:p w14:paraId="73E1F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12720 кг</w:t>
      </w:r>
    </w:p>
    <w:p w14:paraId="3F81EA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Скорость отрыва 190 км/час (807,5).</w:t>
      </w:r>
    </w:p>
    <w:p w14:paraId="75FBECE0" w14:textId="77777777" w:rsidR="00665165" w:rsidRPr="00925F26" w:rsidRDefault="00665165" w:rsidP="00925F26">
      <w:pPr>
        <w:autoSpaceDE w:val="0"/>
        <w:autoSpaceDN w:val="0"/>
        <w:adjustRightInd w:val="0"/>
        <w:jc w:val="both"/>
        <w:rPr>
          <w:color w:val="000000" w:themeColor="text1"/>
          <w:sz w:val="16"/>
          <w:szCs w:val="16"/>
        </w:rPr>
      </w:pPr>
    </w:p>
    <w:p w14:paraId="5CBB4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закончились гос. испытания модифицированного Ла-7 N 38109658 производства 381 завода с 3 мягкими бензобаками, которые начались с 23 апреля 1945 (475,1).</w:t>
      </w:r>
    </w:p>
    <w:p w14:paraId="16CD2D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5853E1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Проходили с 23 апреля по 30 апреля 1945. 63 полета с налетом 8:35</w:t>
      </w:r>
    </w:p>
    <w:p w14:paraId="24FBC2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 исп. Инж-м Черняев</w:t>
      </w:r>
    </w:p>
    <w:p w14:paraId="69665E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ГСС м И.М.Тимофеев</w:t>
      </w:r>
    </w:p>
    <w:p w14:paraId="174511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рез-ты испытаний и результаты предыдущих испытаний.</w:t>
      </w:r>
    </w:p>
    <w:p w14:paraId="4FC988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серийном с-те Ла-7 установлены (в центроплане) 3 мягких протектированных б/б: один центральный и 2 крайних.</w:t>
      </w:r>
    </w:p>
    <w:p w14:paraId="018BF6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испытывающимся с-те № 9658 крайние металличские б/б заменены мягкими. Центральный бак остался металлическим.</w:t>
      </w:r>
    </w:p>
    <w:p w14:paraId="71724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Мягкие б/б разработаны т. С.А.Л. совместно с ВИАМ НКАП.</w:t>
      </w:r>
    </w:p>
    <w:p w14:paraId="477D48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2C6643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6A299F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59DDB3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настоящему времени приказ не реализован.</w:t>
      </w:r>
    </w:p>
    <w:p w14:paraId="292E22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с-т является первым с-том з-да № 381, оборудованным мягкими б/б</w:t>
      </w:r>
    </w:p>
    <w:p w14:paraId="69F8F6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w:t>
      </w:r>
      <w:proofErr w:type="gramStart"/>
      <w:r w:rsidRPr="00925F26">
        <w:rPr>
          <w:color w:val="000000" w:themeColor="text1"/>
          <w:sz w:val="16"/>
          <w:szCs w:val="16"/>
        </w:rPr>
        <w:t>мм</w:t>
      </w:r>
      <w:proofErr w:type="gramEnd"/>
      <w:r w:rsidRPr="00925F26">
        <w:rPr>
          <w:color w:val="000000" w:themeColor="text1"/>
          <w:sz w:val="16"/>
          <w:szCs w:val="16"/>
        </w:rPr>
        <w:t xml:space="preserve"> За протектирующими элементами следует внешний силовой слой из облегченного кожезаменителя толщиной в 2,5-3 мм.</w:t>
      </w:r>
    </w:p>
    <w:p w14:paraId="0F1CF2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649642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Мягкие б/б расположены в центроплане в фанерных отсеках, в которых закреплен в 10 точках (9 штырей и заливная горловина).</w:t>
      </w:r>
    </w:p>
    <w:p w14:paraId="73726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мягких б/б 292 кг, а металлического протектированного - 296 кг. Вес двух баков - 26 кг, а металлических - 36 кг.</w:t>
      </w:r>
    </w:p>
    <w:p w14:paraId="05ECB0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6439C3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Модтфицированный с-т Ла-7 №... с крыльевыми мягкими б/б госиспытания прошел удовлетворительно.</w:t>
      </w:r>
    </w:p>
    <w:p w14:paraId="171A81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6EEB6F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5 мая 1945 Лосюков, Сафронов, ... (475,1).</w:t>
      </w:r>
    </w:p>
    <w:p w14:paraId="5931B5A8" w14:textId="77777777" w:rsidR="00665165" w:rsidRPr="00925F26" w:rsidRDefault="00665165" w:rsidP="00925F26">
      <w:pPr>
        <w:autoSpaceDE w:val="0"/>
        <w:autoSpaceDN w:val="0"/>
        <w:adjustRightInd w:val="0"/>
        <w:jc w:val="both"/>
        <w:rPr>
          <w:color w:val="000000" w:themeColor="text1"/>
          <w:sz w:val="16"/>
          <w:szCs w:val="16"/>
        </w:rPr>
      </w:pPr>
    </w:p>
    <w:p w14:paraId="6312D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на аэродром выкатили первый Як-3 с мотором ВК-107А, вооруженного тремя пушками Б-20 и выпущенного на заводе № 292 в инициативном порядке. В мае на ней планировалась отработка топливной и масляной систем двигателя, отстрел вооружения и испытания в воздухе. 16 мая 1945 года первый серийный самолет Як-3 В К- 107А завода №292 поднялся в воздух. До конца мая на самолете выполнили три полета, показав максимальную скорость у земли 594 км/ч и 707 км/ч - на второй границы высотности.</w:t>
      </w:r>
    </w:p>
    <w:p w14:paraId="63E37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2885C0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E43F3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7FD929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49081F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7A2C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1C073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B1E2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2F6BCE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5CB59C6" w14:textId="77777777" w:rsidR="00665165" w:rsidRPr="00925F26" w:rsidRDefault="00665165" w:rsidP="00925F26">
      <w:pPr>
        <w:autoSpaceDE w:val="0"/>
        <w:autoSpaceDN w:val="0"/>
        <w:adjustRightInd w:val="0"/>
        <w:jc w:val="both"/>
        <w:rPr>
          <w:color w:val="000000" w:themeColor="text1"/>
          <w:sz w:val="16"/>
          <w:szCs w:val="16"/>
        </w:rPr>
      </w:pPr>
    </w:p>
    <w:p w14:paraId="082D356F" w14:textId="77777777" w:rsidR="00B12671" w:rsidRPr="00925F26" w:rsidRDefault="00B12671" w:rsidP="00925F26">
      <w:pPr>
        <w:jc w:val="both"/>
        <w:rPr>
          <w:color w:val="000000" w:themeColor="text1"/>
          <w:sz w:val="16"/>
          <w:szCs w:val="16"/>
        </w:rPr>
      </w:pPr>
      <w:r w:rsidRPr="00925F26">
        <w:rPr>
          <w:color w:val="000000" w:themeColor="text1"/>
          <w:sz w:val="16"/>
          <w:szCs w:val="16"/>
        </w:rPr>
        <w:t>30 апреля 1945 г.</w:t>
      </w:r>
    </w:p>
    <w:p w14:paraId="4967906E" w14:textId="77777777" w:rsidR="00B12671" w:rsidRPr="00925F26" w:rsidRDefault="00B12671" w:rsidP="00925F26">
      <w:pPr>
        <w:jc w:val="both"/>
        <w:rPr>
          <w:color w:val="000000" w:themeColor="text1"/>
          <w:sz w:val="16"/>
          <w:szCs w:val="16"/>
        </w:rPr>
      </w:pPr>
      <w:r w:rsidRPr="00925F26">
        <w:rPr>
          <w:color w:val="000000" w:themeColor="text1"/>
          <w:sz w:val="16"/>
          <w:szCs w:val="16"/>
        </w:rPr>
        <w:t>ИЗ ПИСЬМА СЕКРЕТАРЯ НОВОСИБИРСКОГО ОБКОМА ВКП(б) М.В. КУЛАГИНА СЕКРЕТАРЮ ЦК ВКП(б) Г.М. МАЛЕНКОВУ</w:t>
      </w:r>
    </w:p>
    <w:p w14:paraId="251CB324" w14:textId="77777777" w:rsidR="00B12671" w:rsidRPr="00925F26" w:rsidRDefault="00B12671" w:rsidP="00925F26">
      <w:pPr>
        <w:jc w:val="both"/>
        <w:rPr>
          <w:color w:val="000000" w:themeColor="text1"/>
          <w:sz w:val="16"/>
          <w:szCs w:val="16"/>
        </w:rPr>
      </w:pPr>
      <w:r w:rsidRPr="00925F26">
        <w:rPr>
          <w:color w:val="000000" w:themeColor="text1"/>
          <w:sz w:val="16"/>
          <w:szCs w:val="16"/>
        </w:rPr>
        <w:t>30 апреля 1945 г.</w:t>
      </w:r>
    </w:p>
    <w:p w14:paraId="59112420" w14:textId="77777777" w:rsidR="00B12671" w:rsidRPr="00925F26" w:rsidRDefault="00B12671" w:rsidP="00925F26">
      <w:pPr>
        <w:jc w:val="both"/>
        <w:rPr>
          <w:color w:val="000000" w:themeColor="text1"/>
          <w:sz w:val="16"/>
          <w:szCs w:val="16"/>
        </w:rPr>
      </w:pPr>
      <w:r w:rsidRPr="00925F26">
        <w:rPr>
          <w:color w:val="000000" w:themeColor="text1"/>
          <w:sz w:val="16"/>
          <w:szCs w:val="16"/>
        </w:rPr>
        <w:t>Секретарю ЦК ВКП(б) тов. Маленкову Г.М.</w:t>
      </w:r>
    </w:p>
    <w:p w14:paraId="01A3B45F" w14:textId="77777777" w:rsidR="00B12671" w:rsidRPr="00925F26" w:rsidRDefault="00B12671" w:rsidP="00925F26">
      <w:pPr>
        <w:jc w:val="both"/>
        <w:rPr>
          <w:color w:val="000000" w:themeColor="text1"/>
          <w:sz w:val="16"/>
          <w:szCs w:val="16"/>
        </w:rPr>
      </w:pPr>
      <w:r w:rsidRPr="00925F26">
        <w:rPr>
          <w:color w:val="000000" w:themeColor="text1"/>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w:t>
      </w:r>
    </w:p>
    <w:p w14:paraId="004B64B3" w14:textId="77777777" w:rsidR="00B12671" w:rsidRPr="00925F26" w:rsidRDefault="00B12671" w:rsidP="00925F26">
      <w:pPr>
        <w:jc w:val="both"/>
        <w:rPr>
          <w:color w:val="000000" w:themeColor="text1"/>
          <w:sz w:val="16"/>
          <w:szCs w:val="16"/>
        </w:rPr>
      </w:pPr>
      <w:r w:rsidRPr="00925F26">
        <w:rPr>
          <w:color w:val="000000" w:themeColor="text1"/>
          <w:sz w:val="16"/>
          <w:szCs w:val="16"/>
        </w:rPr>
        <w:t>В течение 20 месяцев подряд ему присуждается знамя ГКО. Основной тип машины ЯК-9 с ВК-105ПФ, вооруженный пушкой МП-20, вытесняется постепенно машиной ЯК-9 с ВК-107А.</w:t>
      </w:r>
    </w:p>
    <w:p w14:paraId="6762E5BE" w14:textId="77777777" w:rsidR="00B12671" w:rsidRPr="00925F26" w:rsidRDefault="00B12671" w:rsidP="00925F26">
      <w:pPr>
        <w:jc w:val="both"/>
        <w:rPr>
          <w:color w:val="000000" w:themeColor="text1"/>
          <w:sz w:val="16"/>
          <w:szCs w:val="16"/>
        </w:rPr>
      </w:pPr>
      <w:r w:rsidRPr="00925F26">
        <w:rPr>
          <w:color w:val="000000" w:themeColor="text1"/>
          <w:sz w:val="16"/>
          <w:szCs w:val="16"/>
        </w:rPr>
        <w:t>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w:t>
      </w:r>
    </w:p>
    <w:p w14:paraId="581490A2" w14:textId="77777777" w:rsidR="00B12671" w:rsidRPr="00925F26" w:rsidRDefault="00B12671" w:rsidP="00925F26">
      <w:pPr>
        <w:jc w:val="both"/>
        <w:rPr>
          <w:color w:val="000000" w:themeColor="text1"/>
          <w:sz w:val="16"/>
          <w:szCs w:val="16"/>
        </w:rPr>
      </w:pPr>
      <w:r w:rsidRPr="00925F26">
        <w:rPr>
          <w:color w:val="000000" w:themeColor="text1"/>
          <w:sz w:val="16"/>
          <w:szCs w:val="16"/>
        </w:rPr>
        <w:t>Так, при общем количестве наименований деталей, входящих в машину с пушкой МП-20 (без нормалей</w:t>
      </w:r>
      <w:proofErr w:type="gramStart"/>
      <w:r w:rsidRPr="00925F26">
        <w:rPr>
          <w:color w:val="000000" w:themeColor="text1"/>
          <w:sz w:val="16"/>
          <w:szCs w:val="16"/>
        </w:rPr>
        <w:t>),-</w:t>
      </w:r>
      <w:proofErr w:type="gramEnd"/>
      <w:r w:rsidRPr="00925F26">
        <w:rPr>
          <w:color w:val="000000" w:themeColor="text1"/>
          <w:sz w:val="16"/>
          <w:szCs w:val="16"/>
        </w:rPr>
        <w:t xml:space="preserve">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w:t>
      </w:r>
    </w:p>
    <w:p w14:paraId="27FD8CCA" w14:textId="77777777" w:rsidR="00B12671" w:rsidRPr="00925F26" w:rsidRDefault="00B12671" w:rsidP="00925F26">
      <w:pPr>
        <w:jc w:val="both"/>
        <w:rPr>
          <w:color w:val="000000" w:themeColor="text1"/>
          <w:sz w:val="16"/>
          <w:szCs w:val="16"/>
        </w:rPr>
      </w:pPr>
      <w:r w:rsidRPr="00925F26">
        <w:rPr>
          <w:color w:val="000000" w:themeColor="text1"/>
          <w:sz w:val="16"/>
          <w:szCs w:val="16"/>
        </w:rPr>
        <w:t>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w:t>
      </w:r>
    </w:p>
    <w:p w14:paraId="450EF77A" w14:textId="77777777" w:rsidR="00B12671" w:rsidRPr="00925F26" w:rsidRDefault="00B12671" w:rsidP="00925F26">
      <w:pPr>
        <w:jc w:val="both"/>
        <w:rPr>
          <w:color w:val="000000" w:themeColor="text1"/>
          <w:sz w:val="16"/>
          <w:szCs w:val="16"/>
        </w:rPr>
      </w:pPr>
      <w:r w:rsidRPr="00925F26">
        <w:rPr>
          <w:color w:val="000000" w:themeColor="text1"/>
          <w:sz w:val="16"/>
          <w:szCs w:val="16"/>
        </w:rPr>
        <w:lastRenderedPageBreak/>
        <w:t>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w:t>
      </w:r>
    </w:p>
    <w:p w14:paraId="6A38D1D8" w14:textId="77777777" w:rsidR="00B12671" w:rsidRPr="00925F26" w:rsidRDefault="00B12671" w:rsidP="00925F26">
      <w:pPr>
        <w:jc w:val="both"/>
        <w:rPr>
          <w:color w:val="000000" w:themeColor="text1"/>
          <w:sz w:val="16"/>
          <w:szCs w:val="16"/>
        </w:rPr>
      </w:pPr>
      <w:r w:rsidRPr="00925F26">
        <w:rPr>
          <w:color w:val="000000" w:themeColor="text1"/>
          <w:sz w:val="16"/>
          <w:szCs w:val="16"/>
        </w:rPr>
        <w:t>Поэтому Новосибирский обком ВКП(б) просит Вас рассмотреть вопрос о максимальном сокращении типажа машин, выпускаемых заводом № 153.</w:t>
      </w:r>
    </w:p>
    <w:p w14:paraId="20D73319" w14:textId="77777777" w:rsidR="00B12671" w:rsidRPr="00925F26" w:rsidRDefault="00B12671" w:rsidP="00925F26">
      <w:pPr>
        <w:jc w:val="both"/>
        <w:rPr>
          <w:color w:val="000000" w:themeColor="text1"/>
          <w:sz w:val="16"/>
          <w:szCs w:val="16"/>
        </w:rPr>
      </w:pPr>
      <w:r w:rsidRPr="00925F26">
        <w:rPr>
          <w:color w:val="000000" w:themeColor="text1"/>
          <w:sz w:val="16"/>
          <w:szCs w:val="16"/>
        </w:rPr>
        <w:t>Секретарь Новосибирского обкома ВКП(б)</w:t>
      </w:r>
      <w:r w:rsidRPr="00925F26">
        <w:rPr>
          <w:color w:val="000000" w:themeColor="text1"/>
          <w:sz w:val="16"/>
          <w:szCs w:val="16"/>
        </w:rPr>
        <w:tab/>
        <w:t>М. Кулагин</w:t>
      </w:r>
    </w:p>
    <w:p w14:paraId="7AD00192" w14:textId="77777777" w:rsidR="00B12671" w:rsidRPr="00925F26" w:rsidRDefault="00B12671" w:rsidP="00925F26">
      <w:pPr>
        <w:jc w:val="both"/>
        <w:rPr>
          <w:color w:val="000000" w:themeColor="text1"/>
          <w:sz w:val="16"/>
          <w:szCs w:val="16"/>
        </w:rPr>
      </w:pPr>
      <w:r w:rsidRPr="00925F26">
        <w:rPr>
          <w:color w:val="000000" w:themeColor="text1"/>
          <w:sz w:val="16"/>
          <w:szCs w:val="16"/>
        </w:rPr>
        <w:t>ГАНО. Ф. П—4. Оп. 9. Д. 12. Л. 14-15. Подлинник (21084).</w:t>
      </w:r>
    </w:p>
    <w:p w14:paraId="18D946C9" w14:textId="77777777" w:rsidR="00B12671" w:rsidRPr="00925F26" w:rsidRDefault="00B12671" w:rsidP="00925F26">
      <w:pPr>
        <w:jc w:val="both"/>
        <w:rPr>
          <w:color w:val="000000" w:themeColor="text1"/>
          <w:sz w:val="16"/>
          <w:szCs w:val="16"/>
        </w:rPr>
      </w:pPr>
    </w:p>
    <w:p w14:paraId="753FF777" w14:textId="77777777" w:rsidR="00893AF7" w:rsidRPr="00925F26" w:rsidRDefault="00893AF7" w:rsidP="00925F26">
      <w:pPr>
        <w:jc w:val="both"/>
        <w:rPr>
          <w:color w:val="000000" w:themeColor="text1"/>
          <w:sz w:val="16"/>
          <w:szCs w:val="16"/>
        </w:rPr>
      </w:pPr>
      <w:r w:rsidRPr="00925F26">
        <w:rPr>
          <w:color w:val="000000" w:themeColor="text1"/>
          <w:sz w:val="16"/>
          <w:szCs w:val="16"/>
        </w:rPr>
        <w:t>30 апреля в 1945 году в ходе проведение заводских испытаний «И-250» выполнен полет на высоту 7000 м с включением ВРДК для определения максимальной скорости. ВРДК дал незначительную тягу по причине малой подачи топлива помпой (15115).</w:t>
      </w:r>
    </w:p>
    <w:p w14:paraId="320577B5" w14:textId="77777777" w:rsidR="00893AF7" w:rsidRPr="00925F26" w:rsidRDefault="00893AF7" w:rsidP="00925F26">
      <w:pPr>
        <w:jc w:val="both"/>
        <w:rPr>
          <w:color w:val="000000" w:themeColor="text1"/>
          <w:sz w:val="16"/>
          <w:szCs w:val="16"/>
        </w:rPr>
      </w:pPr>
    </w:p>
    <w:p w14:paraId="16CE2EC0" w14:textId="77777777" w:rsidR="006979C2" w:rsidRPr="00925F26" w:rsidRDefault="006979C2" w:rsidP="00925F26">
      <w:pPr>
        <w:jc w:val="both"/>
        <w:rPr>
          <w:color w:val="000000" w:themeColor="text1"/>
          <w:sz w:val="16"/>
          <w:szCs w:val="16"/>
        </w:rPr>
      </w:pPr>
      <w:r w:rsidRPr="00925F26">
        <w:rPr>
          <w:color w:val="000000" w:themeColor="text1"/>
          <w:sz w:val="16"/>
          <w:szCs w:val="16"/>
        </w:rPr>
        <w:t>30 апреля 1945 г. из ПИСЬМА СЕКРЕТАРЯ НОВОСИБИРСКОГО ОБКОМА ВКП(б) М.В. КУЛАГИНА СЕКРЕТАРЮ ЦК ВКП(б) Г.М. МАЛЕНКОВУ</w:t>
      </w:r>
    </w:p>
    <w:p w14:paraId="7EE446F9" w14:textId="77777777" w:rsidR="006979C2" w:rsidRPr="00925F26" w:rsidRDefault="006979C2" w:rsidP="00925F26">
      <w:pPr>
        <w:jc w:val="both"/>
        <w:rPr>
          <w:color w:val="000000" w:themeColor="text1"/>
          <w:sz w:val="16"/>
          <w:szCs w:val="16"/>
        </w:rPr>
      </w:pPr>
      <w:r w:rsidRPr="00925F26">
        <w:rPr>
          <w:color w:val="000000" w:themeColor="text1"/>
          <w:sz w:val="16"/>
          <w:szCs w:val="16"/>
        </w:rPr>
        <w:t>Секретарю ЦК ВКП(б) тов. Маленкову Г.М.</w:t>
      </w:r>
    </w:p>
    <w:p w14:paraId="1683CCC0" w14:textId="77777777" w:rsidR="006979C2" w:rsidRPr="00925F26" w:rsidRDefault="006979C2" w:rsidP="00925F26">
      <w:pPr>
        <w:jc w:val="both"/>
        <w:rPr>
          <w:color w:val="000000" w:themeColor="text1"/>
          <w:sz w:val="16"/>
          <w:szCs w:val="16"/>
        </w:rPr>
      </w:pPr>
      <w:r w:rsidRPr="00925F26">
        <w:rPr>
          <w:color w:val="000000" w:themeColor="text1"/>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 В течение 20 месяцев подряд ему присуждается знамя ГКО. Основной тип машины ЯК-9 с ВК-105ПФ, вооруженный пушкой МП-20, вытесняется постепенно машиной ЯК-9 с ВК-107А. 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 Так, при общем количестве наименований деталей, входящих в машину с пушкой МП-20 (без нормалей</w:t>
      </w:r>
      <w:proofErr w:type="gramStart"/>
      <w:r w:rsidRPr="00925F26">
        <w:rPr>
          <w:color w:val="000000" w:themeColor="text1"/>
          <w:sz w:val="16"/>
          <w:szCs w:val="16"/>
        </w:rPr>
        <w:t>),-</w:t>
      </w:r>
      <w:proofErr w:type="gramEnd"/>
      <w:r w:rsidRPr="00925F26">
        <w:rPr>
          <w:color w:val="000000" w:themeColor="text1"/>
          <w:sz w:val="16"/>
          <w:szCs w:val="16"/>
        </w:rPr>
        <w:t xml:space="preserve">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 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 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 Поэтому Новосибирский обком ВКП(б) просит Вас рассмотреть вопрос о максимальном сокращении типажа машин, выпускаемых заводом N° 153.</w:t>
      </w:r>
    </w:p>
    <w:p w14:paraId="595292D4" w14:textId="77777777" w:rsidR="006979C2" w:rsidRPr="00925F26" w:rsidRDefault="006979C2" w:rsidP="00925F26">
      <w:pPr>
        <w:jc w:val="both"/>
        <w:rPr>
          <w:color w:val="000000" w:themeColor="text1"/>
          <w:sz w:val="16"/>
          <w:szCs w:val="16"/>
        </w:rPr>
      </w:pPr>
      <w:r w:rsidRPr="00925F26">
        <w:rPr>
          <w:color w:val="000000" w:themeColor="text1"/>
          <w:sz w:val="16"/>
          <w:szCs w:val="16"/>
        </w:rPr>
        <w:t>Секретарь Новосибирского обкома ВКП(б) М. Кулагин</w:t>
      </w:r>
    </w:p>
    <w:p w14:paraId="4FD7A7E1" w14:textId="77777777" w:rsidR="006979C2" w:rsidRPr="00925F26" w:rsidRDefault="006979C2" w:rsidP="00925F26">
      <w:pPr>
        <w:jc w:val="both"/>
        <w:rPr>
          <w:color w:val="000000" w:themeColor="text1"/>
          <w:sz w:val="16"/>
          <w:szCs w:val="16"/>
        </w:rPr>
      </w:pPr>
      <w:r w:rsidRPr="00925F26">
        <w:rPr>
          <w:color w:val="000000" w:themeColor="text1"/>
          <w:sz w:val="16"/>
          <w:szCs w:val="16"/>
        </w:rPr>
        <w:t>ГАНО. Ф. П-4. Оп. 9. Д. 12. Л. 14-15. Подлинник.</w:t>
      </w:r>
    </w:p>
    <w:p w14:paraId="1F504CEA" w14:textId="77777777" w:rsidR="006979C2" w:rsidRPr="00925F26" w:rsidRDefault="006979C2" w:rsidP="00925F26">
      <w:pPr>
        <w:jc w:val="both"/>
        <w:rPr>
          <w:color w:val="000000" w:themeColor="text1"/>
          <w:sz w:val="16"/>
          <w:szCs w:val="16"/>
        </w:rPr>
      </w:pPr>
      <w:r w:rsidRPr="00925F26">
        <w:rPr>
          <w:color w:val="000000" w:themeColor="text1"/>
          <w:sz w:val="16"/>
          <w:szCs w:val="16"/>
        </w:rPr>
        <w:t>Документ - один из экземпляров машинописной закладки, составлен на бланке Новосибирского областного комитета ВКП(б). имеется квадратный делопроизводственный штампе номером 532 и датой поступления: « 13.V. 1945 р.», В верхнем правом углу помета Кулагина: «т. Замчевскнй. Переговорите со мной. 30.IV» (12194).</w:t>
      </w:r>
    </w:p>
    <w:p w14:paraId="66A36F3E" w14:textId="77777777" w:rsidR="006979C2" w:rsidRPr="00925F26" w:rsidRDefault="006979C2" w:rsidP="00925F26">
      <w:pPr>
        <w:jc w:val="both"/>
        <w:rPr>
          <w:color w:val="000000" w:themeColor="text1"/>
          <w:sz w:val="16"/>
          <w:szCs w:val="16"/>
        </w:rPr>
      </w:pPr>
    </w:p>
    <w:p w14:paraId="26EF8D3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F0A56B1" w14:textId="77777777" w:rsidR="00665165" w:rsidRPr="00925F26" w:rsidRDefault="00665165" w:rsidP="00925F26">
      <w:pPr>
        <w:autoSpaceDE w:val="0"/>
        <w:autoSpaceDN w:val="0"/>
        <w:adjustRightInd w:val="0"/>
        <w:jc w:val="both"/>
        <w:rPr>
          <w:iCs/>
          <w:color w:val="000000" w:themeColor="text1"/>
          <w:sz w:val="16"/>
          <w:szCs w:val="16"/>
        </w:rPr>
      </w:pPr>
    </w:p>
    <w:p w14:paraId="5AACB5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вышло Распоряжение ГКО № 8360. О поставках арматуры Мосгорисполкому для газового хозяйства. РГАНИР, Фонд ГКО, д. 408, лл. 253 (11012).</w:t>
      </w:r>
    </w:p>
    <w:p w14:paraId="2ECDB3A0" w14:textId="77777777" w:rsidR="00665165" w:rsidRPr="00925F26" w:rsidRDefault="00665165" w:rsidP="00925F26">
      <w:pPr>
        <w:autoSpaceDE w:val="0"/>
        <w:autoSpaceDN w:val="0"/>
        <w:adjustRightInd w:val="0"/>
        <w:jc w:val="both"/>
        <w:rPr>
          <w:color w:val="000000" w:themeColor="text1"/>
          <w:sz w:val="16"/>
          <w:szCs w:val="16"/>
        </w:rPr>
      </w:pPr>
    </w:p>
    <w:p w14:paraId="2470D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8361 Об окончании строительства и ввода в эксплуатацию 1-й очереди завода № 726 Наркомминвооружения. РГАНИР, Фонд ГКО, д. 408, лл. 254-256, 257-260 (11012).</w:t>
      </w:r>
    </w:p>
    <w:p w14:paraId="179012C9" w14:textId="77777777" w:rsidR="00665165" w:rsidRPr="00925F26" w:rsidRDefault="00665165" w:rsidP="00925F26">
      <w:pPr>
        <w:autoSpaceDE w:val="0"/>
        <w:autoSpaceDN w:val="0"/>
        <w:adjustRightInd w:val="0"/>
        <w:jc w:val="both"/>
        <w:rPr>
          <w:color w:val="000000" w:themeColor="text1"/>
          <w:sz w:val="16"/>
          <w:szCs w:val="16"/>
        </w:rPr>
      </w:pPr>
    </w:p>
    <w:p w14:paraId="0D2D6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8362 Об отгрузке лесоматериалов предприятиям Наркомнефти в мае 1945 года. РГАНИР, Фонд ГКО, д. 408, лл. 261-263, 264-267 (11012).</w:t>
      </w:r>
    </w:p>
    <w:p w14:paraId="22CBE895" w14:textId="77777777" w:rsidR="00665165" w:rsidRPr="00925F26" w:rsidRDefault="00665165" w:rsidP="00925F26">
      <w:pPr>
        <w:autoSpaceDE w:val="0"/>
        <w:autoSpaceDN w:val="0"/>
        <w:adjustRightInd w:val="0"/>
        <w:jc w:val="both"/>
        <w:rPr>
          <w:color w:val="000000" w:themeColor="text1"/>
          <w:sz w:val="16"/>
          <w:szCs w:val="16"/>
        </w:rPr>
      </w:pPr>
    </w:p>
    <w:p w14:paraId="03A66AE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8363 О плане и мерах по обеспечению перевозок народохозяйственных грузов по железнодорожному и морскому транспорту на май 1945 г. (7334, 1-11, 12-159).</w:t>
      </w:r>
    </w:p>
    <w:p w14:paraId="225F0FE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F20CC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8364 Об общем плане перевозок по железнодорожному и морскому транспорту на май 1945 г. (7335, 1).</w:t>
      </w:r>
    </w:p>
    <w:p w14:paraId="67E0EB6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AB4E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8365 О заготовке картофеля из урожая 1944 года на вновь освобожденной территории Польши и переработке его на спирт, крахмал, патоку и декстрин на заводах в Польше. РГАНИР, Фонд ГКО, д. 411, лл. 2-3 (11012).</w:t>
      </w:r>
    </w:p>
    <w:p w14:paraId="488A9D72" w14:textId="77777777" w:rsidR="00665165" w:rsidRPr="00925F26" w:rsidRDefault="00665165" w:rsidP="00925F26">
      <w:pPr>
        <w:autoSpaceDE w:val="0"/>
        <w:autoSpaceDN w:val="0"/>
        <w:adjustRightInd w:val="0"/>
        <w:jc w:val="both"/>
        <w:rPr>
          <w:color w:val="000000" w:themeColor="text1"/>
          <w:sz w:val="16"/>
          <w:szCs w:val="16"/>
        </w:rPr>
      </w:pPr>
    </w:p>
    <w:p w14:paraId="08C6F69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8366 Об обеспечении угольной и горнорудной промышленности крепежным лесом и железных дорог дровами и шпалами. (7335, 4-14,15-40).</w:t>
      </w:r>
    </w:p>
    <w:p w14:paraId="53EF6A2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2C75B5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8367 [О выделении 900 т зерна для распределения среди нетрудоспособных немцев-спецпереселенцев в Казахской ССР.] (7335, 41).</w:t>
      </w:r>
    </w:p>
    <w:p w14:paraId="5506F86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774A0A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8368 О мероприятиях по усилению охраны нефтяных и газовых промыслов, газонефтеперерабатывающих и газолиновых заводов в Западной Украине. (7335, 42-43).</w:t>
      </w:r>
    </w:p>
    <w:p w14:paraId="2043C53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2F2933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8369 О строительстве автомобильной дороги Иркутск - Слюдянка - Улан-Удэ. (7335, 44-48).</w:t>
      </w:r>
    </w:p>
    <w:p w14:paraId="0F05BD6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A40FDC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8370 О неотложных мерах по обеспечению строительства Байкальской переправы. (7335, 49-55,56-57).</w:t>
      </w:r>
    </w:p>
    <w:p w14:paraId="5A5391F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3132A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8371 О неотложных мероприятиях по восстановлению важнейших объектов военно-морской базы Кронштадт и Кронштадтского морского оборонительного района Краснознаменного Балтийского флота на 1945 гоРГАНИР, Фонд ГКО, д. РГАНИР, Фонд ГКО, д. 411, лл. 58-62, 63-66 (11012).</w:t>
      </w:r>
    </w:p>
    <w:p w14:paraId="214CFAC4" w14:textId="77777777" w:rsidR="00665165" w:rsidRPr="00925F26" w:rsidRDefault="00665165" w:rsidP="00925F26">
      <w:pPr>
        <w:autoSpaceDE w:val="0"/>
        <w:autoSpaceDN w:val="0"/>
        <w:adjustRightInd w:val="0"/>
        <w:jc w:val="both"/>
        <w:rPr>
          <w:color w:val="000000" w:themeColor="text1"/>
          <w:sz w:val="16"/>
          <w:szCs w:val="16"/>
        </w:rPr>
      </w:pPr>
    </w:p>
    <w:p w14:paraId="213D07E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вышло Постановление ГКО № 8372 О неотложных мерах по усилению пропускной способности Свердловской железной дороги. (7335, 67-78,79-91).</w:t>
      </w:r>
    </w:p>
    <w:p w14:paraId="3D64BC1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C90F8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Ждановцы и балтийцы заложили по одному ТЩ (19-й и 44-й) (10671).</w:t>
      </w:r>
    </w:p>
    <w:p w14:paraId="408AE24D" w14:textId="77777777" w:rsidR="00665165" w:rsidRPr="00925F26" w:rsidRDefault="00665165" w:rsidP="00925F26">
      <w:pPr>
        <w:autoSpaceDE w:val="0"/>
        <w:autoSpaceDN w:val="0"/>
        <w:adjustRightInd w:val="0"/>
        <w:jc w:val="both"/>
        <w:rPr>
          <w:color w:val="000000" w:themeColor="text1"/>
          <w:sz w:val="16"/>
          <w:szCs w:val="16"/>
        </w:rPr>
      </w:pPr>
    </w:p>
    <w:p w14:paraId="2B186A2F" w14:textId="77777777" w:rsidR="00475979" w:rsidRPr="00925F26" w:rsidRDefault="00475979" w:rsidP="00925F26">
      <w:pPr>
        <w:pStyle w:val="book"/>
        <w:ind w:firstLine="0"/>
        <w:jc w:val="both"/>
        <w:rPr>
          <w:color w:val="000000" w:themeColor="text1"/>
          <w:sz w:val="16"/>
          <w:szCs w:val="16"/>
        </w:rPr>
      </w:pPr>
      <w:r w:rsidRPr="00925F26">
        <w:rPr>
          <w:color w:val="000000" w:themeColor="text1"/>
          <w:sz w:val="16"/>
          <w:szCs w:val="16"/>
        </w:rPr>
        <w:t xml:space="preserve">30 апреля 1945 г. «Горх Фок-I» после обстрела корабля с берега советскими танками он был по приказу немецкого командования подорван и затоплен. Парсуник был построен в 1933 г. в Гамбурге на верфи «Блом и Фосс» под названием «Горх Фок-I». Он был первым барком из </w:t>
      </w:r>
      <w:proofErr w:type="gramStart"/>
      <w:r w:rsidRPr="00925F26">
        <w:rPr>
          <w:color w:val="000000" w:themeColor="text1"/>
          <w:sz w:val="16"/>
          <w:szCs w:val="16"/>
        </w:rPr>
        <w:t>пяти серийных</w:t>
      </w:r>
      <w:proofErr w:type="gramEnd"/>
      <w:r w:rsidRPr="00925F26">
        <w:rPr>
          <w:color w:val="000000" w:themeColor="text1"/>
          <w:sz w:val="16"/>
          <w:szCs w:val="16"/>
        </w:rPr>
        <w:t xml:space="preserve">. Замечу, что два судна серии — «Хорст Вессель» и «Сагреш-II» — были захвачены в мае 1945 г. американцами и плавали у них под названием «Игл» и «Гуанабара». Барк «Горх Фок-I» строился специально для учебных целей. Поэтому было спроектировано сравнительно небольшое, но мореходное и надежное судно с хорошими ходовыми качествами. Корпус судна стальной клепаный, двухостровного типа с удлиненным баком и ютом и двумя непрерывными палубами. Длина судна 82,1 м, ширина 12 м, осадка 5,2 м. Грузовместимость 1510 т. Высота главной мачты с 23 парусами — 41,3 м. Через 100 дней после закладки, 3 мая 1933 г., корабль был спущен со стапелей. По типу парусного вооружения это был классический бриг. Его фок- и грот-мачты несут прямые паруса, а бизань-мачта — косые. Основной рангоут — стальной, брам- и бом-брам-стеньги, а также все брам-реи деревянные. Весной 1945 г. «Горх Фок-I» был отбуксирован к острову Рюген, где с него частично сняли такелаж. В 1947 г. парусник был поднят со дна моря штральзундской фирмой «В. Staude Schiffsbergung». В том же году на ростокской верфи «Neptun» был обновлен его корпус, а в 1947—1951 гг. барк прошел капитальный ремонт на судоремонтном заводе в Висмаре.. 15 июня 1950 г. барк, получивший название «Товарищ», приняла советская команда. К осени 1950 г. он пришел в Лиепаю (Латвия). Там судно оснастили новым парусным вооружением и укомплектовали штатом. Моряков, знающих парусное дело, было мало, а курсантов, прибывших на практику, требовалось обучать. Дважды «Товарищ» выходил в Балтийское море, чтобы команда научилась ходить под парусами. Во время второго похода барк чуть не перевернулся: из-за не вовремя убранных парусов судно достигало крена в 48°. 8 июля 1951 г. «Товарищ» вышел из </w:t>
      </w:r>
      <w:r w:rsidRPr="00925F26">
        <w:rPr>
          <w:color w:val="000000" w:themeColor="text1"/>
          <w:sz w:val="16"/>
          <w:szCs w:val="16"/>
        </w:rPr>
        <w:lastRenderedPageBreak/>
        <w:t>Ленинграда и, обойдя вокруг Европы с заходом по пути в Плимут, Гибралтар и Стамбул, 28 августа прибыл в Одессу. А уже 6 сентября 1951 г, судно с новой группой практикантов на борту отправилось в очередной рейс — теперь по Черному морю. В том же 1951 году «Товарищ» был передан Херсонскому мореходному училищу им. Шмидта, где он становится базой для прохождения судовой практики курсантов мореходных училищ Одессы и Херсона.</w:t>
      </w:r>
    </w:p>
    <w:p w14:paraId="62AE481E" w14:textId="77777777" w:rsidR="00475979" w:rsidRPr="00925F26" w:rsidRDefault="00475979" w:rsidP="00925F26">
      <w:pPr>
        <w:pStyle w:val="book"/>
        <w:ind w:firstLine="0"/>
        <w:jc w:val="both"/>
        <w:rPr>
          <w:color w:val="000000" w:themeColor="text1"/>
          <w:sz w:val="16"/>
          <w:szCs w:val="16"/>
        </w:rPr>
      </w:pPr>
      <w:r w:rsidRPr="00925F26">
        <w:rPr>
          <w:color w:val="000000" w:themeColor="text1"/>
          <w:sz w:val="16"/>
          <w:szCs w:val="16"/>
        </w:rPr>
        <w:t>Первое большое плавание парусника под советским флагом состоялось в 1957 г. под командованием опытного парусного капитана В.В. Васильева. Третьим помощником капитана тогда был Олег Ванденко, будущий капитан «Товарища-II». Маршрут был из Черного моря через Атлантический океан вокруг Африки, к берегам Индонезии, Индии и обратно в Одессу. 12 июля 1972 г. «Товарищ-II» вышел из Одессы в трансатлантический рейс — до Бермудских островов с заходом на остров Тенерифе, стоянка в порту Гамильтон, а оттуда в Балтимор, на обратном пути попал в ураган «Кери». В 1976 г. после текущего ремонта «Товарищ-II» принял участие в очередной регате «Операция Парус — 76». На первом этапе пришел первым к рейду порта Санта-Крус-де-Тенерифе. Также и на втором этапе был первым. На третьем же парусник пришел четвертым. Но по сумме трех этапов «Товарищ-II» завоевал первое место в классе А. В 1977 г. барк по официальному приглашению Бельгии посетил порт Гент, для принятия участия в празднования 150-летия открытия канала Тернезен-Гент. В 1980 г. «Товарищ-П» прошел капитальный ремонт на верфи в Югославии. После чего выполнил рейс к берегам Южной Америки.</w:t>
      </w:r>
    </w:p>
    <w:p w14:paraId="531185D5" w14:textId="77777777" w:rsidR="00475979" w:rsidRPr="00925F26" w:rsidRDefault="00475979" w:rsidP="00925F26">
      <w:pPr>
        <w:pStyle w:val="book"/>
        <w:ind w:firstLine="0"/>
        <w:jc w:val="both"/>
        <w:rPr>
          <w:color w:val="000000" w:themeColor="text1"/>
          <w:sz w:val="16"/>
          <w:szCs w:val="16"/>
        </w:rPr>
      </w:pPr>
      <w:r w:rsidRPr="00925F26">
        <w:rPr>
          <w:color w:val="000000" w:themeColor="text1"/>
          <w:sz w:val="16"/>
          <w:szCs w:val="16"/>
        </w:rPr>
        <w:t>После распада СССР и провозглашения Украиной государственной независимости, несмотря на заявленную возможность ремонта на Херсонском судоремонтном заводе, барк был направлен для ремонта в Великобританию. В 1993 г. из-за плохого технического состояния срочно потребовалась замена главного дизельного двигателя. С этой целью немецкое общество Друзей парусного флота организовало свою первую акцию поддержки «Товарища». В Германии выпустили благотворительные сертификаты по сто марок с твердым процентом — один день на борту корабля. В том же году «Товарищ» участвовал в регате у берегов Великобритании. С воспитательной целью несколько дней на его борту провела группа «трудных» английских подростков. Участники плавания и организаторы были очень высокого мнения о педагогических результатах и захотели повторить акцию. Но в 1994 г. из-за плохого состояния барк получил разрешение лишь на рейсы по Черному морю. Английская сторона выразила готовность оплатить ремонт с условием, что «Товарищ» регулярно будет посещать Ньюкасл. Весной 1995 г. барк отправился на верфь в Ньюкасл. Часть расходов на топливо и провиант взяло на себя немецкое «Общество друзья парусника». Новый детальный осмотр в сухом доке Ньюкасла показал, что состояние барка намного хуже, чем первоначально предполагали эксперты в Херсоне. Теперь смета увеличилась до 2 млн. фунтов стерлингов. Английские спонсоры готовы были повысить сумму до 500 тысяч. Срок действия судовых сертификатов подошел к концу. Из-за отсутствия валюты у владельца — Министерства образования Украины — ремонтные работы так и не начались. Из-за аварийного состояния и отсутствия сертификатов выход в море «Товарищу» был запрещен, и парусник законсервировали. В 1999 г., будучи в плохом состоянии, при отсутствии финансирования со стороны Украины, но при. финансовой поддержке немецкого товарищества Друзей парусного флота «Товарищ-II» был отбуксирован в город Вильгельмсхафен, где в 2000 г. должна была состояться морская часть международной выставки EXPO. С 1999 по 2003 год в Вильхельмсхафене барк за счет немецкой стороны прошел капитальный ремонт. В 2000 г. он служил флагманским кораблем на всемирной выставке «Экспо-2000», и украинские хозяева барка надеялись с помощью парусника на ней заработать. Немецкое общество Друзей парусного флота, согласно договору, продолжало содержать парусник и оставшуюся с ним украинскую команду, искать деньги и сухой док для ремонта. Однако отношения с хозяином парусника — министерством образования Украины — неуклонно ухудшались. В 2000 г. немецкие энтузиасты начали переговоры с городскими властями Штральзунда, предложив выкупить корабль и вернуть его в первый порт приписки. Городские власти отнеслись к этой идее положительно. Они гарантировали бесплатное место для стоянки барка и его финансовую поддержку. Украина требовала за корабль один миллион евро, но затем в процессе переговоров цена была снижена до 500 тысяч евро, и сделка состоялась. В 2003 г. общество Друзей парусного флота за добровольные денежные пожертвования выкупило «Товарищ» у украинского министерства образования. В том же году в плавучем доке «Condock V» барк был отправлен на родину — в город Штральзунд, где 25 сентября его встретили власти и население. В 2004—2010 гг. на «Народной верфи» Штральзунда барк был в несколько этапов подвергнут реставрации. 29 ноября 2003 г. ему официально возвращено прежнее имя «Горх Фок-I», с которым он под номером 3675 зарегистрирован в Немецком морском Регистре. С 2005 г. «Горх Фок-I» используется в качестве плавучего музея в гавани города Штральзунд, который и был его первоначальным портом приписки (15225).</w:t>
      </w:r>
    </w:p>
    <w:p w14:paraId="62481B89" w14:textId="77777777" w:rsidR="00475979" w:rsidRPr="00925F26" w:rsidRDefault="00475979" w:rsidP="00925F26">
      <w:pPr>
        <w:pStyle w:val="book"/>
        <w:ind w:firstLine="0"/>
        <w:jc w:val="both"/>
        <w:rPr>
          <w:color w:val="000000" w:themeColor="text1"/>
          <w:sz w:val="16"/>
          <w:szCs w:val="16"/>
        </w:rPr>
      </w:pPr>
    </w:p>
    <w:p w14:paraId="03554AD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A24B514" w14:textId="77777777" w:rsidR="00665165" w:rsidRPr="00925F26" w:rsidRDefault="00665165" w:rsidP="00925F26">
      <w:pPr>
        <w:autoSpaceDE w:val="0"/>
        <w:autoSpaceDN w:val="0"/>
        <w:adjustRightInd w:val="0"/>
        <w:jc w:val="both"/>
        <w:rPr>
          <w:iCs/>
          <w:color w:val="000000" w:themeColor="text1"/>
          <w:sz w:val="16"/>
          <w:szCs w:val="16"/>
        </w:rPr>
      </w:pPr>
    </w:p>
    <w:p w14:paraId="6D43A917" w14:textId="77777777" w:rsidR="00475979" w:rsidRPr="00925F26" w:rsidRDefault="00475979" w:rsidP="00925F26">
      <w:pPr>
        <w:jc w:val="both"/>
        <w:rPr>
          <w:color w:val="000000" w:themeColor="text1"/>
          <w:sz w:val="16"/>
          <w:szCs w:val="16"/>
        </w:rPr>
      </w:pPr>
      <w:r w:rsidRPr="00925F26">
        <w:rPr>
          <w:color w:val="000000" w:themeColor="text1"/>
          <w:sz w:val="16"/>
          <w:szCs w:val="16"/>
        </w:rPr>
        <w:t>30 апреля в 1945 году оперативная сводка Совинформбюро:</w:t>
      </w:r>
    </w:p>
    <w:p w14:paraId="57BACC9E" w14:textId="77777777" w:rsidR="00475979" w:rsidRPr="00925F26" w:rsidRDefault="00475979"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30 апреля овладели городами Грайфсвальд, Трептов, Нойштрелитц, Фюрстенберг, Гранзее — важными узлами дорог в северо-западной части Померании и в Мекленбурге, а также заняли города Лассан, Вольгаст, Райнсберг и крупные населённые пункты Хансхаген, Цюссов, Гютцков, Ярмен, Бартов, Буров, Заров, Вольде, Пенцлин, Штрелитц, Менц, Гросс Вольтерсдорф, Долгов. В боях за 29 апреля войска фронта взяли в плен более 1.500 немецких солдат и офицеров и захватили 27 самолётов и 55 полевых орудий.</w:t>
      </w:r>
    </w:p>
    <w:p w14:paraId="3448AD94" w14:textId="77777777" w:rsidR="00475979" w:rsidRPr="00925F26" w:rsidRDefault="00475979" w:rsidP="00925F26">
      <w:pPr>
        <w:jc w:val="both"/>
        <w:rPr>
          <w:color w:val="000000" w:themeColor="text1"/>
          <w:sz w:val="16"/>
          <w:szCs w:val="16"/>
        </w:rPr>
      </w:pPr>
      <w:r w:rsidRPr="00925F26">
        <w:rPr>
          <w:color w:val="000000" w:themeColor="text1"/>
          <w:sz w:val="16"/>
          <w:szCs w:val="16"/>
        </w:rPr>
        <w:t>Севернее Берлина войска 1-го Белорусского фронта с боями заняли город Цеденик и крупные населённые пункты Клайн-Мутц, Бергсдорф, Фалькенталь, Гутен Гермендорф, Левенберг, Грюнеберг, Тешендорф, Нассенхайде. В Берлине войска фронта, продолжая вести уличные бои в центре города, овладели зданием германского рейхстага, на котором водрузили знамя победы. Нашими войсками также заняты главный почтамт, министерство внутренних дел и до 200 кварталов в центральной части города. В боях за 29 апреля в Берлине войска фронта взяли в плен более 9.000 немецких солдат и офицеров.</w:t>
      </w:r>
    </w:p>
    <w:p w14:paraId="6337DAFC" w14:textId="77777777" w:rsidR="00475979" w:rsidRPr="00925F26" w:rsidRDefault="00475979" w:rsidP="00925F26">
      <w:pPr>
        <w:jc w:val="both"/>
        <w:rPr>
          <w:color w:val="000000" w:themeColor="text1"/>
          <w:sz w:val="16"/>
          <w:szCs w:val="16"/>
        </w:rPr>
      </w:pPr>
      <w:r w:rsidRPr="00925F26">
        <w:rPr>
          <w:color w:val="000000" w:themeColor="text1"/>
          <w:sz w:val="16"/>
          <w:szCs w:val="16"/>
        </w:rPr>
        <w:t>Войска 1-го Украинского фронта продолжали вести уличные бои в юго-западной части Берлина и заняли ряд кварталов в городском районе Вильмерсдорф и железнодорожную станцию Весткройц.</w:t>
      </w:r>
    </w:p>
    <w:p w14:paraId="70D8D5AD" w14:textId="77777777" w:rsidR="00475979" w:rsidRPr="00925F26" w:rsidRDefault="00475979" w:rsidP="00925F26">
      <w:pPr>
        <w:jc w:val="both"/>
        <w:rPr>
          <w:color w:val="000000" w:themeColor="text1"/>
          <w:sz w:val="16"/>
          <w:szCs w:val="16"/>
        </w:rPr>
      </w:pPr>
      <w:r w:rsidRPr="00925F26">
        <w:rPr>
          <w:color w:val="000000" w:themeColor="text1"/>
          <w:sz w:val="16"/>
          <w:szCs w:val="16"/>
        </w:rPr>
        <w:t>Юго-восточнее Берлина наши войска уничтожали остатки окружённой группы немецких войск в лесах западнее населённого пункта Вендиш-Бухгольц.</w:t>
      </w:r>
    </w:p>
    <w:p w14:paraId="498A4FC6" w14:textId="77777777" w:rsidR="00475979" w:rsidRPr="00925F26" w:rsidRDefault="00475979" w:rsidP="00925F26">
      <w:pPr>
        <w:jc w:val="both"/>
        <w:rPr>
          <w:color w:val="000000" w:themeColor="text1"/>
          <w:sz w:val="16"/>
          <w:szCs w:val="16"/>
        </w:rPr>
      </w:pPr>
      <w:r w:rsidRPr="00925F26">
        <w:rPr>
          <w:color w:val="000000" w:themeColor="text1"/>
          <w:sz w:val="16"/>
          <w:szCs w:val="16"/>
        </w:rPr>
        <w:t>Войска 4-го Украинского фронта 30 апреля штурмом овладели городом Моравска Острава — крупным промышленным центром и мощным опорным пунктом обороны немцев в Чехословакии.</w:t>
      </w:r>
    </w:p>
    <w:p w14:paraId="5A233792" w14:textId="77777777" w:rsidR="00475979" w:rsidRPr="00925F26" w:rsidRDefault="00475979" w:rsidP="00925F26">
      <w:pPr>
        <w:jc w:val="both"/>
        <w:rPr>
          <w:color w:val="000000" w:themeColor="text1"/>
          <w:sz w:val="16"/>
          <w:szCs w:val="16"/>
        </w:rPr>
      </w:pPr>
      <w:r w:rsidRPr="00925F26">
        <w:rPr>
          <w:color w:val="000000" w:themeColor="text1"/>
          <w:sz w:val="16"/>
          <w:szCs w:val="16"/>
        </w:rPr>
        <w:t>Одновременно войска фронта овладели городом Жилина — важным узлом дорог в полосе Западных Карпат.</w:t>
      </w:r>
    </w:p>
    <w:p w14:paraId="1417B14F" w14:textId="77777777" w:rsidR="00475979" w:rsidRPr="00925F26" w:rsidRDefault="00475979" w:rsidP="00925F26">
      <w:pPr>
        <w:jc w:val="both"/>
        <w:rPr>
          <w:color w:val="000000" w:themeColor="text1"/>
          <w:sz w:val="16"/>
          <w:szCs w:val="16"/>
        </w:rPr>
      </w:pPr>
      <w:r w:rsidRPr="00925F26">
        <w:rPr>
          <w:color w:val="000000" w:themeColor="text1"/>
          <w:sz w:val="16"/>
          <w:szCs w:val="16"/>
        </w:rPr>
        <w:t>Восточнее города Брно войска 2-го Украинского фронта, продолжая наступление, с боями заняли крупные населённые пункты Бухловице, Ступава, Коричаны, Немотице, Милоныце, Шваберице, Ивановице, Дедице.</w:t>
      </w:r>
    </w:p>
    <w:p w14:paraId="6BF9F24C" w14:textId="77777777" w:rsidR="00475979" w:rsidRPr="00925F26" w:rsidRDefault="00475979" w:rsidP="00925F26">
      <w:pPr>
        <w:jc w:val="both"/>
        <w:rPr>
          <w:color w:val="000000" w:themeColor="text1"/>
          <w:sz w:val="16"/>
          <w:szCs w:val="16"/>
        </w:rPr>
      </w:pPr>
      <w:r w:rsidRPr="00925F26">
        <w:rPr>
          <w:color w:val="000000" w:themeColor="text1"/>
          <w:sz w:val="16"/>
          <w:szCs w:val="16"/>
        </w:rPr>
        <w:t>На других участках фронта — бои местного значения и поиски разведчиков.</w:t>
      </w:r>
    </w:p>
    <w:p w14:paraId="6ED13C33" w14:textId="77777777" w:rsidR="00475979" w:rsidRPr="00925F26" w:rsidRDefault="00475979" w:rsidP="00925F26">
      <w:pPr>
        <w:jc w:val="both"/>
        <w:rPr>
          <w:color w:val="000000" w:themeColor="text1"/>
          <w:sz w:val="16"/>
          <w:szCs w:val="16"/>
        </w:rPr>
      </w:pPr>
      <w:r w:rsidRPr="00925F26">
        <w:rPr>
          <w:color w:val="000000" w:themeColor="text1"/>
          <w:sz w:val="16"/>
          <w:szCs w:val="16"/>
        </w:rPr>
        <w:t>За 29 апреля на всех фронтах подбито и уничтожено 110 немецких танков и самоходных орудий. В воздушных боях и огнём зенитной артиллерии сбито 79 самолётов противника.</w:t>
      </w:r>
    </w:p>
    <w:p w14:paraId="6BFF74A0" w14:textId="77777777" w:rsidR="00475979" w:rsidRPr="00925F26" w:rsidRDefault="00475979" w:rsidP="00925F26">
      <w:pPr>
        <w:jc w:val="both"/>
        <w:rPr>
          <w:color w:val="000000" w:themeColor="text1"/>
          <w:sz w:val="16"/>
          <w:szCs w:val="16"/>
        </w:rPr>
      </w:pPr>
      <w:r w:rsidRPr="00925F26">
        <w:rPr>
          <w:color w:val="000000" w:themeColor="text1"/>
          <w:sz w:val="16"/>
          <w:szCs w:val="16"/>
        </w:rPr>
        <w:t>Войска 2-го Белорусского фронта продолжали наступление. Советская пехота, поддержанная танками и самоходными орудиями, переправилась в районе порода Анклам через реку Пеене. Всю ночь шли бои по преодолению вражеского рубежа обороны. Рано утром наши войска сломили сопротивление немцев. Развивая стремительное наступление, советские части продвинулись вперёд на 30 километров и заняли город и порт Грайфсвальд — опорный пункт обороны немцев и важный узел путей сообщения. Другие наши части вели бои на подступах к городу Нойштрелитц. Противник перебросил в этот район танки и мотопехоту и сильными контратаками пытался задержать наши войска в лесах восточнее города. Немцы устроили на всех дорогах завалы и минировали их. Советские автоматчики, миномётчики и артиллеристы выбили гитлеровцев из лесного массива и ворвались с юга и юго-востока в город Нойштрелитц. Тем временем наши сапёры расчистили дорогу танкам. Совместным ударом пехоты и танков противник был выбит из города Нойштрелиц. В боях в этом районе уничтожено до 2 тысяч немецких солдат и офицеров. Наши лётчики в воздушных боях за день сбили 22 самолёта и один аэростат противника. Кроме того, на одном из аэродромов сожжено семь немецких самолётов.</w:t>
      </w:r>
    </w:p>
    <w:p w14:paraId="422A00F5" w14:textId="77777777" w:rsidR="00475979" w:rsidRPr="00925F26" w:rsidRDefault="00475979" w:rsidP="00925F26">
      <w:pPr>
        <w:jc w:val="both"/>
        <w:rPr>
          <w:color w:val="000000" w:themeColor="text1"/>
          <w:sz w:val="16"/>
          <w:szCs w:val="16"/>
        </w:rPr>
      </w:pPr>
      <w:r w:rsidRPr="00925F26">
        <w:rPr>
          <w:color w:val="000000" w:themeColor="text1"/>
          <w:sz w:val="16"/>
          <w:szCs w:val="16"/>
        </w:rPr>
        <w:t>Войска 1-го Белорусского фронта продолжали веста бои на улицах Берлина. Противник, зажатый в центральных кварталах города, упорно сопротивляется. Гитлеровцы ведут сильный огонь по перекрёсткам улиц и домам, уничтожая при этом мирное население города. Наши части, овладевшие вчера городским районом Моабит, переправились через реку Шпрее в восточной части парка Тиргартен и заняли здание министерства внутренних дел. Немцы предприняли отчаянную попытку восстановить положение. Наши пехотинцы в ближнем бою разгромили противника, достигли Цельтен аллее, а затем предприняли штурм здания германского рейхстага с запада. Одновременно наши части, вышедшие на набережную Рейхстагс-Уфер, ворвались в рейхстаг с севера. Бои продолжались, не стихая, всю ночь. Сегодня в четырнадцать часов советские бойцы овладели зданием немецкого рейхстага и водрузили на нём знамя победы.</w:t>
      </w:r>
    </w:p>
    <w:p w14:paraId="607380F5" w14:textId="77777777" w:rsidR="00475979" w:rsidRPr="00925F26" w:rsidRDefault="00475979" w:rsidP="00925F26">
      <w:pPr>
        <w:jc w:val="both"/>
        <w:rPr>
          <w:color w:val="000000" w:themeColor="text1"/>
          <w:sz w:val="16"/>
          <w:szCs w:val="16"/>
        </w:rPr>
      </w:pPr>
      <w:r w:rsidRPr="00925F26">
        <w:rPr>
          <w:color w:val="000000" w:themeColor="text1"/>
          <w:sz w:val="16"/>
          <w:szCs w:val="16"/>
        </w:rPr>
        <w:t>Юго-восточнее Берлина окружённая группа немецких войск предприняла ещё одну попытку прорвать железное кольцо советских войск. Пехота противника шла в атаку колоннами. Советские артиллеристы и пулеметчики обрушили на немцев шквал огня. Стреляя по сплошным колоннам гитлеровцев, наши пулемётчики нанесли противнику очень большие потери. Только одно наше соединение уничтожило более 5 тысяч немецких солдат и офицеров. Захвачено огромное количество орудий, миномётов, пулеметов, автомашин и другое военное имущество.</w:t>
      </w:r>
    </w:p>
    <w:p w14:paraId="4A271B8F" w14:textId="77777777" w:rsidR="00475979" w:rsidRPr="00925F26" w:rsidRDefault="00475979" w:rsidP="00925F26">
      <w:pPr>
        <w:jc w:val="both"/>
        <w:rPr>
          <w:color w:val="000000" w:themeColor="text1"/>
          <w:sz w:val="16"/>
          <w:szCs w:val="16"/>
        </w:rPr>
      </w:pPr>
      <w:r w:rsidRPr="00925F26">
        <w:rPr>
          <w:color w:val="000000" w:themeColor="text1"/>
          <w:sz w:val="16"/>
          <w:szCs w:val="16"/>
        </w:rPr>
        <w:t>Войска 4-го Украинского фронта штурмом овладели городом Моравска Острава. Противник упорно оборонял подступы к городу — важному узлу обороны и крупнейшей промышленной базе, снабжавшей немецкую армию водружением, боеприпасами и военным снаряжением. На подступах к Моравской Остраве немцы создали полосу обороны глубиной до 30 километров. Три оборонительных рубежа, состоящих из траншей, дотов, бронеплощадок для артиллерии и пулемётов, противотанковых рвов и широких минных полей, прикрывали город с трёх сторон. Советские части, взламывая вражескую оборону, настойчиво продвигались вперёд и перерезали дороги, идущие от Моравской Остравы на запад и юго-запад. Развивая успех, наши войска переправились через реку Одра и в результате умело проведённого штурма сегодня овладели городом. Захвачено много пленных и трофеев.</w:t>
      </w:r>
    </w:p>
    <w:p w14:paraId="59590DA5" w14:textId="77777777" w:rsidR="00475979" w:rsidRPr="00925F26" w:rsidRDefault="00475979" w:rsidP="00925F26">
      <w:pPr>
        <w:jc w:val="both"/>
        <w:rPr>
          <w:color w:val="000000" w:themeColor="text1"/>
          <w:sz w:val="16"/>
          <w:szCs w:val="16"/>
        </w:rPr>
      </w:pPr>
      <w:r w:rsidRPr="00925F26">
        <w:rPr>
          <w:color w:val="000000" w:themeColor="text1"/>
          <w:sz w:val="16"/>
          <w:szCs w:val="16"/>
        </w:rPr>
        <w:t>Корабли Краснознамённого Балтийского флота потопили в южной части Балтийского моря транспорт противника водоизмещением в 6 тысяч тонн. Авиацией флота потоплена немецкая подводная лодка.» (15115).</w:t>
      </w:r>
    </w:p>
    <w:p w14:paraId="486D64D5" w14:textId="77777777" w:rsidR="00475979" w:rsidRPr="00925F26" w:rsidRDefault="00475979" w:rsidP="00925F26">
      <w:pPr>
        <w:jc w:val="both"/>
        <w:rPr>
          <w:color w:val="000000" w:themeColor="text1"/>
          <w:sz w:val="16"/>
          <w:szCs w:val="16"/>
        </w:rPr>
      </w:pPr>
    </w:p>
    <w:p w14:paraId="27C21CD1"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30 апреля 1945, как только поступили донесения из 118 и 108 гшап о выходе полков из строя по причине недостаточной прочности планера и массовых дефектов мотора и винтомоторной группы Ил-10, заместитель главного инженера ВВС генерал-лейтенант А. А. Лапин незамедлительно проинформировал о случившемся С. В. Ильюшина.</w:t>
      </w:r>
    </w:p>
    <w:p w14:paraId="5CD844CE"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Из письма Лапина следовало, что в 118 гшап три Ил-10 «признаны негодными для боевого применения по причине деформации обшивки». Еще 7 самолетов вывели из эксплуатации по дефектам шасси и винтомоторной группы. В 108-м гвардейском шап «из 32 самолетов, проходивших войсковые испытания, 14 самолетов не могут выполнить боевые задания из-за падения мощности моторов АМ-42, повышенного расхода масла, прорыва газов в картер, отказа свечей, появления стружки».</w:t>
      </w:r>
    </w:p>
    <w:p w14:paraId="6FD48C98" w14:textId="77777777" w:rsidR="004F7EC9" w:rsidRPr="00925F26" w:rsidRDefault="004F7EC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заключение Лапин просил Ильюшина принять срочные меры «по устранению указанных дефектов на самолетах Ил-10».</w:t>
      </w:r>
    </w:p>
    <w:p w14:paraId="4822836D" w14:textId="77777777" w:rsidR="004F7EC9" w:rsidRPr="00925F26" w:rsidRDefault="004F7EC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Известно, что Ильюшин вместо ответа генералу Лапину (его письмо он переадресовал на завод № 18 своему заместителю Бугайскому) направил 15 июня на имя командующего ВВС КА главного маршала авиации Новикова письмо, в котором указывал: «Бронированный штурмовик, самолет Ил-10 вследствие легкого управления и высокой маневренности в частях ВВС КА эксплуатируется с выполнением всех фигур высшего пилотажа.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 -2, о чем и прошу дать указание авиационным частям. 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 (17490).</w:t>
      </w:r>
    </w:p>
    <w:p w14:paraId="6F18CF20" w14:textId="77777777" w:rsidR="004F7EC9" w:rsidRPr="00925F26" w:rsidRDefault="004F7EC9" w:rsidP="00925F26">
      <w:pPr>
        <w:jc w:val="both"/>
        <w:rPr>
          <w:rStyle w:val="107"/>
          <w:rFonts w:eastAsiaTheme="minorHAnsi"/>
          <w:color w:val="000000" w:themeColor="text1"/>
          <w:sz w:val="16"/>
          <w:szCs w:val="16"/>
        </w:rPr>
      </w:pPr>
    </w:p>
    <w:p w14:paraId="25CEF95C"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30 апреля 1945 оказался самым интенсивным боевым днем 571 шап. В этот день экипажи 571 шап группами по 8-12 самолетов Ил-10 в сопровождении 6-8 истребителей Ла-5 от 181 иап выполнили в общей сложности 115 самолето -вылетов. Это был своеобразный рекорд. Ни один штурмовой авиаполк на самолетах Ил-10 столько боевых вылетов в течение одного дня не выполнял.</w:t>
      </w:r>
    </w:p>
    <w:p w14:paraId="10410648" w14:textId="77777777" w:rsidR="004F7EC9" w:rsidRPr="00925F26" w:rsidRDefault="004F7EC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Бомбоштурмовые удары наносились в районе Моравска-Острава, Старабела, Витковице, Прошивау, Грушов, Якловице</w:t>
      </w:r>
    </w:p>
    <w:p w14:paraId="299AB30D"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Первая группа в составе 12 Ил-10 (ведущий майор Зацепа) в 9.30-9.40 нанесла удар по войскам противника в районе Витковице. Полет по маршруту выполнялся в правом пеленге на высоте 600 м. Подойдя к цели, экипажи группы замкнули круг в районе западной окраины Витковице и произвели «холостой» заход для уточнения расположения целей и своих войск. Получив дополнительное целеуказание от станции наведения «Береза», группа завертела «колесо». Атаки выполнялись одиночными самолетами с круга с высоты 800-600 м и до 200 м. Угол пикирования - 25-35°. Всего было выполнено 5 заходов. На отходе от цели «Береза» передала благодарность наземного командования.</w:t>
      </w:r>
    </w:p>
    <w:p w14:paraId="2ED3CAB9"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За первой группой последовали вылеты еще 12 групп штурмовиков. Крайней оказалась группа старшего лейтенанта Смирного в составе 12 Ил-10, которая вылетала на боевое задание в район Грушов в период 19.03-19.53. На подходе к району нанесения удара группа была нацелена станцией наведения «Береза» на уничтожение ж. -д. моста через р. Одра юго-западнее Грушов. Бомбометание производилось с пикирования под углом 40-45°. Сброс бомб осуществлялся на выходе из пикирования с высоты около 400-450 м. Использовались фугасные авиабомбы ФАБ-100. Согласно боевым документам полка, после трех заходов в результате прямых попаданий бомб мост был разрушен.</w:t>
      </w:r>
    </w:p>
    <w:p w14:paraId="0E14DC40"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Всего же в течение дня, по докладам экипажей и станции наведения, удалось уничтожить и повредить 12 автомашин, 4 автобензоцистерны, одно орудие зенитной артиллерии, два орудия полевой артиллерии, 4 миномета, один паровоз, 4 железнодорожных вагона и уже упоминавшийся ж. д. мост через р. Одра. Средняя бомбовая нагрузка на один самолет составила 360 кг (17490).</w:t>
      </w:r>
    </w:p>
    <w:p w14:paraId="515229D6" w14:textId="77777777" w:rsidR="004F7EC9" w:rsidRPr="00925F26" w:rsidRDefault="004F7EC9" w:rsidP="00925F26">
      <w:pPr>
        <w:jc w:val="both"/>
        <w:rPr>
          <w:rStyle w:val="107"/>
          <w:rFonts w:eastAsiaTheme="minorHAnsi"/>
          <w:color w:val="000000" w:themeColor="text1"/>
          <w:sz w:val="16"/>
          <w:szCs w:val="16"/>
        </w:rPr>
      </w:pPr>
    </w:p>
    <w:p w14:paraId="581BE57C"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 xml:space="preserve">По 30 апреля с 16 апреля 1945 летчиками 108 гшап было выполнено 224 боевых самолетовылета с общим налетом 242 ч 15 мин, в том числе 4 </w:t>
      </w:r>
      <w:proofErr w:type="gramStart"/>
      <w:r w:rsidRPr="00925F26">
        <w:rPr>
          <w:rStyle w:val="107"/>
          <w:rFonts w:eastAsiaTheme="minorHAnsi"/>
          <w:color w:val="000000" w:themeColor="text1"/>
          <w:sz w:val="16"/>
          <w:szCs w:val="16"/>
        </w:rPr>
        <w:t>самолето-вылета</w:t>
      </w:r>
      <w:proofErr w:type="gramEnd"/>
      <w:r w:rsidRPr="00925F26">
        <w:rPr>
          <w:rStyle w:val="107"/>
          <w:rFonts w:eastAsiaTheme="minorHAnsi"/>
          <w:color w:val="000000" w:themeColor="text1"/>
          <w:sz w:val="16"/>
          <w:szCs w:val="16"/>
        </w:rPr>
        <w:t xml:space="preserve"> (4 ч 45 мин) на разведку войск противника и 220 (237 ч 30 мин) - на уничтожение живой силы и техники противника.</w:t>
      </w:r>
    </w:p>
    <w:p w14:paraId="413FB1B8"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4391BA5B"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48A71F15"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4E60434B"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5E0265D7"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1D09E1E4"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1F2BBA2D"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6B921BB9"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F3E7E11"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7B7747BC"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2A07F747"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0EA61B90"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157C22B4"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 xml:space="preserve">За все время испытаний только в пяти случаях имели место встречи с истребителями противника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 xml:space="preserve">190 и </w:t>
      </w:r>
      <w:r w:rsidRPr="00925F26">
        <w:rPr>
          <w:rStyle w:val="107"/>
          <w:rFonts w:eastAsiaTheme="minorHAnsi"/>
          <w:color w:val="000000" w:themeColor="text1"/>
          <w:sz w:val="16"/>
          <w:szCs w:val="16"/>
          <w:lang w:val="en-US"/>
        </w:rPr>
        <w:t>Bf</w:t>
      </w:r>
      <w:r w:rsidRPr="00925F26">
        <w:rPr>
          <w:rStyle w:val="107"/>
          <w:rFonts w:eastAsiaTheme="minorHAnsi"/>
          <w:color w:val="000000" w:themeColor="text1"/>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564C207E"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 xml:space="preserve">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w:t>
      </w:r>
      <w:proofErr w:type="gramStart"/>
      <w:r w:rsidRPr="00925F26">
        <w:rPr>
          <w:rStyle w:val="107"/>
          <w:rFonts w:eastAsiaTheme="minorHAnsi"/>
          <w:color w:val="000000" w:themeColor="text1"/>
          <w:sz w:val="16"/>
          <w:szCs w:val="16"/>
        </w:rPr>
        <w:t>самолето-вылетов</w:t>
      </w:r>
      <w:proofErr w:type="gramEnd"/>
      <w:r w:rsidRPr="00925F26">
        <w:rPr>
          <w:rStyle w:val="107"/>
          <w:rFonts w:eastAsiaTheme="minorHAnsi"/>
          <w:color w:val="000000" w:themeColor="text1"/>
          <w:sz w:val="16"/>
          <w:szCs w:val="16"/>
        </w:rPr>
        <w:t xml:space="preserve"> (80 ч 45 мин).</w:t>
      </w:r>
    </w:p>
    <w:p w14:paraId="41875817"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004B4DCA"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63F3F348"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20C8F424"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584AC8EA"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480AAFEB"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lastRenderedPageBreak/>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5D0BAE53"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242B8BD5"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35A03083"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Отмечалась недостаточная эффективность тормозов. В четырех случаях при посадке разрушились покрышки колес шасси (800x260 мм).</w:t>
      </w:r>
    </w:p>
    <w:p w14:paraId="5D71EC07"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7678AB98"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0E5BEB5F" w14:textId="77777777" w:rsidR="004F7EC9" w:rsidRPr="00925F26" w:rsidRDefault="004F7EC9" w:rsidP="00925F26">
      <w:pPr>
        <w:jc w:val="both"/>
        <w:rPr>
          <w:color w:val="000000" w:themeColor="text1"/>
          <w:sz w:val="16"/>
          <w:szCs w:val="16"/>
        </w:rPr>
      </w:pPr>
      <w:r w:rsidRPr="00925F26">
        <w:rPr>
          <w:rStyle w:val="107"/>
          <w:rFonts w:eastAsiaTheme="minorHAnsi"/>
          <w:color w:val="000000" w:themeColor="text1"/>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77614671" w14:textId="77777777" w:rsidR="004F7EC9" w:rsidRPr="00925F26" w:rsidRDefault="004F7EC9" w:rsidP="00925F26">
      <w:pPr>
        <w:jc w:val="both"/>
        <w:rPr>
          <w:rStyle w:val="107"/>
          <w:rFonts w:eastAsiaTheme="minorHAnsi"/>
          <w:color w:val="000000" w:themeColor="text1"/>
          <w:sz w:val="16"/>
          <w:szCs w:val="16"/>
        </w:rPr>
      </w:pPr>
    </w:p>
    <w:p w14:paraId="69D860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была последняя потеря 108 полка, когда четверка Ил-10 в сопровождении шестерки Ла-5 из 5 ГИАП вылетела на штурмовку немецких войск в район города Барут. В первом заходе на цель было уничтожено три автомашины. На втором заходе в Ил-10, ведомый младшим лейтенантом Городецким со стрелком сержантом Яковлевым, попал зенитный снаряд. Самолет вышел из строя и, дымя, ушел на запад. Больше этот экипаж никто не видел, и он числился пропавшим без вести (8683,37).</w:t>
      </w:r>
    </w:p>
    <w:p w14:paraId="2CF432FC" w14:textId="77777777" w:rsidR="00665165" w:rsidRPr="00925F26" w:rsidRDefault="00665165" w:rsidP="00925F26">
      <w:pPr>
        <w:autoSpaceDE w:val="0"/>
        <w:autoSpaceDN w:val="0"/>
        <w:adjustRightInd w:val="0"/>
        <w:jc w:val="both"/>
        <w:rPr>
          <w:color w:val="000000" w:themeColor="text1"/>
          <w:sz w:val="16"/>
          <w:szCs w:val="16"/>
        </w:rPr>
      </w:pPr>
    </w:p>
    <w:p w14:paraId="2F54B7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108 гшап понес первую потерю. При отходе от цели группы штурмовиков комэска Железнякова в Ил-10-й летчика Городецкого попал крупнокалиберный зенитный снаряд - от машины отделился винт, а носовая часть раскрылась железным "цветком"... Экипаж погиб (7489).</w:t>
      </w:r>
    </w:p>
    <w:p w14:paraId="600DA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Анализ боевых возможностей штурмовика Ил-10 показывает, что летчик-штурмовик с хорошей летной и стрелковой подготовкой, атакуя в боевых условиях немецкий истребитель танков типа Jg Pz 38 (t) "Hetzer" с пикирования под углом 45-</w:t>
      </w:r>
      <w:proofErr w:type="gramStart"/>
      <w:r w:rsidRPr="00925F26">
        <w:rPr>
          <w:color w:val="000000" w:themeColor="text1"/>
          <w:sz w:val="16"/>
          <w:szCs w:val="16"/>
        </w:rPr>
        <w:t>50 ,</w:t>
      </w:r>
      <w:proofErr w:type="gramEnd"/>
      <w:r w:rsidRPr="00925F26">
        <w:rPr>
          <w:color w:val="000000" w:themeColor="text1"/>
          <w:sz w:val="16"/>
          <w:szCs w:val="16"/>
        </w:rPr>
        <w:t xml:space="preserve"> вполне мог обеспечить при стрельбе из пушек с дистанции 400 м вероятность поражения последнего около 0,6, а танка Pz. IV Ausf J/H - с вероятностью 0,32. То ес-тьэффективность Ил-10-го при действиях по немецким средним танкам, по сравнению с Ил-2, возросла значительно, даже несмотря на уменьшенную бомбовую загрузку противотанковыми авиабомбами и химическими ампулами. Однако пилотирование и прицеливание в этом случае требовали от летчиков повышенного внимания и были не под силу молодым летчикам (7489).</w:t>
      </w:r>
    </w:p>
    <w:p w14:paraId="07E015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углах планирования 25-30° эффективность ударов штурмовиков Ил-10 по немецкой бронетехнике практически не отличалась от таковой для Ил-2 с ВЯ-23 (7489).</w:t>
      </w:r>
    </w:p>
    <w:p w14:paraId="3AB4BD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Принимая во внимание качественный состав панцерваффе на завершающем этапе войны, приходится констатировать, что принятие на вооружение штурмовика Ил-10 все же не повысило в должной мере противотанковых свойств штурмовой авиации Красной Армии, а штурмовые самолеты семейства "Ил" так и не стали "грозой" для танков </w:t>
      </w:r>
      <w:proofErr w:type="gramStart"/>
      <w:r w:rsidRPr="00925F26">
        <w:rPr>
          <w:color w:val="000000" w:themeColor="text1"/>
          <w:sz w:val="16"/>
          <w:szCs w:val="16"/>
        </w:rPr>
        <w:t>вермахта..</w:t>
      </w:r>
      <w:proofErr w:type="gramEnd"/>
      <w:r w:rsidRPr="00925F26">
        <w:rPr>
          <w:color w:val="000000" w:themeColor="text1"/>
          <w:sz w:val="16"/>
          <w:szCs w:val="16"/>
        </w:rPr>
        <w:t xml:space="preserve"> (7489).</w:t>
      </w:r>
    </w:p>
    <w:p w14:paraId="42D0B9ED" w14:textId="77777777" w:rsidR="00665165" w:rsidRPr="00925F26" w:rsidRDefault="00665165" w:rsidP="00925F26">
      <w:pPr>
        <w:autoSpaceDE w:val="0"/>
        <w:autoSpaceDN w:val="0"/>
        <w:adjustRightInd w:val="0"/>
        <w:jc w:val="both"/>
        <w:rPr>
          <w:color w:val="000000" w:themeColor="text1"/>
          <w:sz w:val="16"/>
          <w:szCs w:val="16"/>
        </w:rPr>
      </w:pPr>
    </w:p>
    <w:p w14:paraId="5C7994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в Ил-10 Городецкого попал крупнокалиберный снаряд и это был первый потерянный Ил-10. Первые 45 Ил-10 предназначались для войсковых испытаний в 108 гшап пп О.В.Топилина. Полк освоил машину в 1 заб и в марте 1945 перебазировался в Германию на полевой а Шпротау. Перед боем поработали на полигоне по мишеням. Боевые возможности оказались более широкими. Боевые вылеты начали в ходе наступления на Берлин. Почти неделю летали беспрерывно. В отчете было написано:</w:t>
      </w:r>
    </w:p>
    <w:p w14:paraId="3F461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большого диапазона скоростей и лучшая маневренность облегчают задачу истребителей сопровождения и позволяют самолету вступать в воздушный бой с противником.</w:t>
      </w:r>
    </w:p>
    <w:p w14:paraId="7DE134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Полное бронирование кабины экипажа повышают живучесть самолета.</w:t>
      </w:r>
    </w:p>
    <w:p w14:paraId="43B77E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...Простота в технике пилотирования и сравнительно легкий переход к эксплуатации как летным, так и техническим составом дают возможность перевооружить строевые части на этот самолет в кратчайшие сроки..." (1605,3).</w:t>
      </w:r>
    </w:p>
    <w:p w14:paraId="718656E6" w14:textId="77777777" w:rsidR="00665165" w:rsidRPr="00925F26" w:rsidRDefault="00665165" w:rsidP="00925F26">
      <w:pPr>
        <w:autoSpaceDE w:val="0"/>
        <w:autoSpaceDN w:val="0"/>
        <w:adjustRightInd w:val="0"/>
        <w:jc w:val="both"/>
        <w:rPr>
          <w:color w:val="000000" w:themeColor="text1"/>
          <w:sz w:val="16"/>
          <w:szCs w:val="16"/>
        </w:rPr>
      </w:pPr>
    </w:p>
    <w:p w14:paraId="49C0BC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апреля 1945 108 гшап понес последние боевые потери. Во второй половине дня три четверки наносили бомбош-турмовой удар по окруженному про</w:t>
      </w:r>
      <w:r w:rsidRPr="00925F26">
        <w:rPr>
          <w:color w:val="000000" w:themeColor="text1"/>
          <w:sz w:val="16"/>
          <w:szCs w:val="16"/>
        </w:rPr>
        <w:softHyphen/>
        <w:t>тивнику в районе высот в 8-10 км вос-точнее населенного пункта, Барут.</w:t>
      </w:r>
    </w:p>
    <w:p w14:paraId="021AB9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Группы атаковали цели с высоты 800-700 м с пикирования. Каждая группа выполнила от 2 до б заходов.</w:t>
      </w:r>
    </w:p>
    <w:p w14:paraId="563887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Истребителей противника в райо</w:t>
      </w:r>
      <w:r w:rsidRPr="00925F26">
        <w:rPr>
          <w:color w:val="000000" w:themeColor="text1"/>
          <w:sz w:val="16"/>
          <w:szCs w:val="16"/>
        </w:rPr>
        <w:softHyphen/>
        <w:t>не боя не наблюдалось, но с земли вел</w:t>
      </w:r>
      <w:r w:rsidRPr="00925F26">
        <w:rPr>
          <w:color w:val="000000" w:themeColor="text1"/>
          <w:sz w:val="16"/>
          <w:szCs w:val="16"/>
        </w:rPr>
        <w:softHyphen/>
        <w:t>ся интенсивный огонь крупнокали</w:t>
      </w:r>
      <w:r w:rsidRPr="00925F26">
        <w:rPr>
          <w:color w:val="000000" w:themeColor="text1"/>
          <w:sz w:val="16"/>
          <w:szCs w:val="16"/>
        </w:rPr>
        <w:softHyphen/>
        <w:t>берных зенитных пулеметов. «Десят</w:t>
      </w:r>
      <w:r w:rsidRPr="00925F26">
        <w:rPr>
          <w:color w:val="000000" w:themeColor="text1"/>
          <w:sz w:val="16"/>
          <w:szCs w:val="16"/>
        </w:rPr>
        <w:softHyphen/>
        <w:t>ка» (зав. № 2802) мл. л-та Городецко</w:t>
      </w:r>
      <w:r w:rsidRPr="00925F26">
        <w:rPr>
          <w:color w:val="000000" w:themeColor="text1"/>
          <w:sz w:val="16"/>
          <w:szCs w:val="16"/>
        </w:rPr>
        <w:softHyphen/>
        <w:t>го (воздушный стрелок сержант Яков</w:t>
      </w:r>
      <w:r w:rsidRPr="00925F26">
        <w:rPr>
          <w:color w:val="000000" w:themeColor="text1"/>
          <w:sz w:val="16"/>
          <w:szCs w:val="16"/>
        </w:rPr>
        <w:softHyphen/>
        <w:t>лев) из первой группы уже в первом заходе на цель примерно в 15.50 по</w:t>
      </w:r>
      <w:r w:rsidRPr="00925F26">
        <w:rPr>
          <w:color w:val="000000" w:themeColor="text1"/>
          <w:sz w:val="16"/>
          <w:szCs w:val="16"/>
        </w:rPr>
        <w:softHyphen/>
        <w:t>лучила повреждения. По докладам ве</w:t>
      </w:r>
      <w:r w:rsidRPr="00925F26">
        <w:rPr>
          <w:color w:val="000000" w:themeColor="text1"/>
          <w:sz w:val="16"/>
          <w:szCs w:val="16"/>
        </w:rPr>
        <w:softHyphen/>
        <w:t>дущего группы к-на Миронова и эки</w:t>
      </w:r>
      <w:r w:rsidRPr="00925F26">
        <w:rPr>
          <w:color w:val="000000" w:themeColor="text1"/>
          <w:sz w:val="16"/>
          <w:szCs w:val="16"/>
        </w:rPr>
        <w:softHyphen/>
        <w:t>пажей Городецкий «отвалил» от цели со снижением и ушел в западном на</w:t>
      </w:r>
      <w:r w:rsidRPr="00925F26">
        <w:rPr>
          <w:color w:val="000000" w:themeColor="text1"/>
          <w:sz w:val="16"/>
          <w:szCs w:val="16"/>
        </w:rPr>
        <w:softHyphen/>
        <w:t>правлении. Мотор давал белые выхло</w:t>
      </w:r>
      <w:r w:rsidRPr="00925F26">
        <w:rPr>
          <w:color w:val="000000" w:themeColor="text1"/>
          <w:sz w:val="16"/>
          <w:szCs w:val="16"/>
        </w:rPr>
        <w:softHyphen/>
        <w:t>пы, а за самолетом тянулся шлейф бе</w:t>
      </w:r>
      <w:r w:rsidRPr="00925F26">
        <w:rPr>
          <w:color w:val="000000" w:themeColor="text1"/>
          <w:sz w:val="16"/>
          <w:szCs w:val="16"/>
        </w:rPr>
        <w:softHyphen/>
        <w:t>лого дыма. Места посадки никто из экипажей не наблюдал, так как выпол</w:t>
      </w:r>
      <w:r w:rsidRPr="00925F26">
        <w:rPr>
          <w:color w:val="000000" w:themeColor="text1"/>
          <w:sz w:val="16"/>
          <w:szCs w:val="16"/>
        </w:rPr>
        <w:softHyphen/>
        <w:t>няли 2-й заход на цель. На свой аэро</w:t>
      </w:r>
      <w:r w:rsidRPr="00925F26">
        <w:rPr>
          <w:color w:val="000000" w:themeColor="text1"/>
          <w:sz w:val="16"/>
          <w:szCs w:val="16"/>
        </w:rPr>
        <w:softHyphen/>
        <w:t>дром экипаж подбитого штурмовика не вернулся. В живых остался только воз</w:t>
      </w:r>
      <w:r w:rsidRPr="00925F26">
        <w:rPr>
          <w:color w:val="000000" w:themeColor="text1"/>
          <w:sz w:val="16"/>
          <w:szCs w:val="16"/>
        </w:rPr>
        <w:softHyphen/>
        <w:t>душный стрелок, который с тяжелым ранением долгое время находился в госпитале.</w:t>
      </w:r>
    </w:p>
    <w:p w14:paraId="51B4EF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время атаки третьей группы в период 17.25-17.40 зенитным огнем был подбит Ил-10 (зав. № 2021) мл. л-та Кузьмина (воздушный стрелок ст. сержант Никитин). Мотор стал давать перебои. Из патрубков пошел белый дым, упало давление масла, мотор по</w:t>
      </w:r>
      <w:r w:rsidRPr="00925F26">
        <w:rPr>
          <w:color w:val="000000" w:themeColor="text1"/>
          <w:sz w:val="16"/>
          <w:szCs w:val="16"/>
        </w:rPr>
        <w:softHyphen/>
        <w:t>терял мощность. Ведущй группы к-н Мазуров доложил, что Кузьмин вышел из боевого порядка группы только после выполнения боевого задания и затем сел на вынужденную у населен</w:t>
      </w:r>
      <w:r w:rsidRPr="00925F26">
        <w:rPr>
          <w:color w:val="000000" w:themeColor="text1"/>
          <w:sz w:val="16"/>
          <w:szCs w:val="16"/>
        </w:rPr>
        <w:softHyphen/>
        <w:t>ного пункта Приров в 1 км к востоку от Гольки. Экипаж целым и невреди</w:t>
      </w:r>
      <w:r w:rsidRPr="00925F26">
        <w:rPr>
          <w:color w:val="000000" w:themeColor="text1"/>
          <w:sz w:val="16"/>
          <w:szCs w:val="16"/>
        </w:rPr>
        <w:softHyphen/>
        <w:t>мым 2 мая возвратился в полк. Самолет был разбит и требовал ремонта.</w:t>
      </w:r>
    </w:p>
    <w:p w14:paraId="255263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период с 16 по 30 апреля летчиками 108-го ГШАП было уничто</w:t>
      </w:r>
      <w:r w:rsidRPr="00925F26">
        <w:rPr>
          <w:color w:val="000000" w:themeColor="text1"/>
          <w:sz w:val="16"/>
          <w:szCs w:val="16"/>
        </w:rPr>
        <w:softHyphen/>
        <w:t>жено два и повреждено четыре немец</w:t>
      </w:r>
      <w:r w:rsidRPr="00925F26">
        <w:rPr>
          <w:color w:val="000000" w:themeColor="text1"/>
          <w:sz w:val="16"/>
          <w:szCs w:val="16"/>
        </w:rPr>
        <w:softHyphen/>
        <w:t>ких танков, уничтожено четыре бро</w:t>
      </w:r>
      <w:r w:rsidRPr="00925F26">
        <w:rPr>
          <w:color w:val="000000" w:themeColor="text1"/>
          <w:sz w:val="16"/>
          <w:szCs w:val="16"/>
        </w:rPr>
        <w:softHyphen/>
        <w:t>нетранспортера, сожжено 60 и по</w:t>
      </w:r>
      <w:r w:rsidRPr="00925F26">
        <w:rPr>
          <w:color w:val="000000" w:themeColor="text1"/>
          <w:sz w:val="16"/>
          <w:szCs w:val="16"/>
        </w:rPr>
        <w:softHyphen/>
        <w:t xml:space="preserve">вреждено свыше 100 </w:t>
      </w:r>
      <w:proofErr w:type="gramStart"/>
      <w:r w:rsidRPr="00925F26">
        <w:rPr>
          <w:color w:val="000000" w:themeColor="text1"/>
          <w:sz w:val="16"/>
          <w:szCs w:val="16"/>
        </w:rPr>
        <w:t>автомашин,уничтожено</w:t>
      </w:r>
      <w:proofErr w:type="gramEnd"/>
      <w:r w:rsidRPr="00925F26">
        <w:rPr>
          <w:color w:val="000000" w:themeColor="text1"/>
          <w:sz w:val="16"/>
          <w:szCs w:val="16"/>
        </w:rPr>
        <w:t xml:space="preserve"> четыре орудия полевой артил</w:t>
      </w:r>
      <w:r w:rsidRPr="00925F26">
        <w:rPr>
          <w:color w:val="000000" w:themeColor="text1"/>
          <w:sz w:val="16"/>
          <w:szCs w:val="16"/>
        </w:rPr>
        <w:softHyphen/>
        <w:t>лерии, обстрелян и поврежден броне</w:t>
      </w:r>
      <w:r w:rsidRPr="00925F26">
        <w:rPr>
          <w:color w:val="000000" w:themeColor="text1"/>
          <w:sz w:val="16"/>
          <w:szCs w:val="16"/>
        </w:rPr>
        <w:softHyphen/>
        <w:t>поезд, уничтожено до 50 повозок с грузами, создано около 15 очагов по</w:t>
      </w:r>
      <w:r w:rsidRPr="00925F26">
        <w:rPr>
          <w:color w:val="000000" w:themeColor="text1"/>
          <w:sz w:val="16"/>
          <w:szCs w:val="16"/>
        </w:rPr>
        <w:softHyphen/>
        <w:t>жаров, подавлен огонь двух батарей зенитной артиллерии.</w:t>
      </w:r>
    </w:p>
    <w:p w14:paraId="64C1AC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Согласно официальным данным, безвозвратные боевые потери 108-го гшап составили три самолета Ил-10, из которых один был сбит огнем зенит</w:t>
      </w:r>
      <w:r w:rsidRPr="00925F26">
        <w:rPr>
          <w:color w:val="000000" w:themeColor="text1"/>
          <w:sz w:val="16"/>
          <w:szCs w:val="16"/>
        </w:rPr>
        <w:softHyphen/>
        <w:t xml:space="preserve">ной артиллерией противника и два -не вернулись с боевого </w:t>
      </w:r>
      <w:proofErr w:type="gramStart"/>
      <w:r w:rsidRPr="00925F26">
        <w:rPr>
          <w:color w:val="000000" w:themeColor="text1"/>
          <w:sz w:val="16"/>
          <w:szCs w:val="16"/>
        </w:rPr>
        <w:t>задан-ия</w:t>
      </w:r>
      <w:proofErr w:type="gramEnd"/>
      <w:r w:rsidRPr="00925F26">
        <w:rPr>
          <w:color w:val="000000" w:themeColor="text1"/>
          <w:sz w:val="16"/>
          <w:szCs w:val="16"/>
        </w:rPr>
        <w:t>. По</w:t>
      </w:r>
      <w:r w:rsidRPr="00925F26">
        <w:rPr>
          <w:color w:val="000000" w:themeColor="text1"/>
          <w:sz w:val="16"/>
          <w:szCs w:val="16"/>
        </w:rPr>
        <w:softHyphen/>
        <w:t>гибли два летчика и четыре воздушных стрелка. Налет на одну боевую поте</w:t>
      </w:r>
      <w:r w:rsidRPr="00925F26">
        <w:rPr>
          <w:color w:val="000000" w:themeColor="text1"/>
          <w:sz w:val="16"/>
          <w:szCs w:val="16"/>
        </w:rPr>
        <w:softHyphen/>
        <w:t>рю «десятки» составил 74 самолето</w:t>
      </w:r>
      <w:r w:rsidRPr="00925F26">
        <w:rPr>
          <w:color w:val="000000" w:themeColor="text1"/>
          <w:sz w:val="16"/>
          <w:szCs w:val="16"/>
        </w:rPr>
        <w:softHyphen/>
        <w:t>вылетов или 76 ч 04 мин.</w:t>
      </w:r>
    </w:p>
    <w:p w14:paraId="750D39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этого, от огня зенитной ар</w:t>
      </w:r>
      <w:r w:rsidRPr="00925F26">
        <w:rPr>
          <w:color w:val="000000" w:themeColor="text1"/>
          <w:sz w:val="16"/>
          <w:szCs w:val="16"/>
        </w:rPr>
        <w:softHyphen/>
        <w:t>тиллерии получили повреждения и выбыли в ремонт 7 самолетов. Небое</w:t>
      </w:r>
      <w:r w:rsidRPr="00925F26">
        <w:rPr>
          <w:color w:val="000000" w:themeColor="text1"/>
          <w:sz w:val="16"/>
          <w:szCs w:val="16"/>
        </w:rPr>
        <w:softHyphen/>
        <w:t>вые потери составили 4 машины, из них 3 - по причине отказа мотора. Про</w:t>
      </w:r>
      <w:r w:rsidRPr="00925F26">
        <w:rPr>
          <w:color w:val="000000" w:themeColor="text1"/>
          <w:sz w:val="16"/>
          <w:szCs w:val="16"/>
        </w:rPr>
        <w:softHyphen/>
        <w:t>изошло 5 летных происшествий: 2 ава</w:t>
      </w:r>
      <w:r w:rsidRPr="00925F26">
        <w:rPr>
          <w:color w:val="000000" w:themeColor="text1"/>
          <w:sz w:val="16"/>
          <w:szCs w:val="16"/>
        </w:rPr>
        <w:softHyphen/>
        <w:t>рии и 3 поломки самолета.</w:t>
      </w:r>
    </w:p>
    <w:p w14:paraId="1754CE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Надо сказать, нормальное боевое использование штурмовика затрудня</w:t>
      </w:r>
      <w:r w:rsidRPr="00925F26">
        <w:rPr>
          <w:color w:val="000000" w:themeColor="text1"/>
          <w:sz w:val="16"/>
          <w:szCs w:val="16"/>
        </w:rPr>
        <w:softHyphen/>
        <w:t>ли низкая надежность мотора АМ-42 и малые сроки его службы.</w:t>
      </w:r>
    </w:p>
    <w:p w14:paraId="2B85AA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все время боевых действий 108-го ГШАП вышли из строя 76% моторов по причине сильного износа поршне</w:t>
      </w:r>
      <w:r w:rsidRPr="00925F26">
        <w:rPr>
          <w:color w:val="000000" w:themeColor="text1"/>
          <w:sz w:val="16"/>
          <w:szCs w:val="16"/>
        </w:rPr>
        <w:softHyphen/>
        <w:t>вых колец, приводившего к потере компрессии. В 16% случаях АМ-42 вы</w:t>
      </w:r>
      <w:r w:rsidRPr="00925F26">
        <w:rPr>
          <w:color w:val="000000" w:themeColor="text1"/>
          <w:sz w:val="16"/>
          <w:szCs w:val="16"/>
        </w:rPr>
        <w:softHyphen/>
        <w:t>ходили из строя по причине появле</w:t>
      </w:r>
      <w:r w:rsidRPr="00925F26">
        <w:rPr>
          <w:color w:val="000000" w:themeColor="text1"/>
          <w:sz w:val="16"/>
          <w:szCs w:val="16"/>
        </w:rPr>
        <w:softHyphen/>
        <w:t>ния бронзовой, стальной и алюмини</w:t>
      </w:r>
      <w:r w:rsidRPr="00925F26">
        <w:rPr>
          <w:color w:val="000000" w:themeColor="text1"/>
          <w:sz w:val="16"/>
          <w:szCs w:val="16"/>
        </w:rPr>
        <w:softHyphen/>
        <w:t>евой стружек, попадания воды в кар</w:t>
      </w:r>
      <w:r w:rsidRPr="00925F26">
        <w:rPr>
          <w:color w:val="000000" w:themeColor="text1"/>
          <w:sz w:val="16"/>
          <w:szCs w:val="16"/>
        </w:rPr>
        <w:softHyphen/>
        <w:t>тер и выбрасывания масла.</w:t>
      </w:r>
    </w:p>
    <w:p w14:paraId="41E52D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Частому выходу моторов из строя способствовало и отсутствие на само</w:t>
      </w:r>
      <w:r w:rsidRPr="00925F26">
        <w:rPr>
          <w:color w:val="000000" w:themeColor="text1"/>
          <w:sz w:val="16"/>
          <w:szCs w:val="16"/>
        </w:rPr>
        <w:softHyphen/>
        <w:t>летах в системе забора воздуха в мо</w:t>
      </w:r>
      <w:r w:rsidRPr="00925F26">
        <w:rPr>
          <w:color w:val="000000" w:themeColor="text1"/>
          <w:sz w:val="16"/>
          <w:szCs w:val="16"/>
        </w:rPr>
        <w:softHyphen/>
        <w:t>тор противопыльного фильтра. После подсыхания площадки аэродрома мо</w:t>
      </w:r>
      <w:r w:rsidRPr="00925F26">
        <w:rPr>
          <w:color w:val="000000" w:themeColor="text1"/>
          <w:sz w:val="16"/>
          <w:szCs w:val="16"/>
        </w:rPr>
        <w:softHyphen/>
        <w:t>торы, которые к этому времени нара</w:t>
      </w:r>
      <w:r w:rsidRPr="00925F26">
        <w:rPr>
          <w:color w:val="000000" w:themeColor="text1"/>
          <w:sz w:val="16"/>
          <w:szCs w:val="16"/>
        </w:rPr>
        <w:softHyphen/>
        <w:t>ботали от 30 до 50 часов (так сказать, «критический» рубеж), начали бук</w:t>
      </w:r>
      <w:r w:rsidRPr="00925F26">
        <w:rPr>
          <w:color w:val="000000" w:themeColor="text1"/>
          <w:sz w:val="16"/>
          <w:szCs w:val="16"/>
        </w:rPr>
        <w:softHyphen/>
        <w:t>вально сыпаться. В итоге, к исходу 30 апреля в полку оставалось боеспособ</w:t>
      </w:r>
      <w:r w:rsidRPr="00925F26">
        <w:rPr>
          <w:color w:val="000000" w:themeColor="text1"/>
          <w:sz w:val="16"/>
          <w:szCs w:val="16"/>
        </w:rPr>
        <w:softHyphen/>
        <w:t>ными всего 11 самолетов Ил-10. Ос</w:t>
      </w:r>
      <w:r w:rsidRPr="00925F26">
        <w:rPr>
          <w:color w:val="000000" w:themeColor="text1"/>
          <w:sz w:val="16"/>
          <w:szCs w:val="16"/>
        </w:rPr>
        <w:softHyphen/>
        <w:t>тальные 18 (!) «десяток» были неисп</w:t>
      </w:r>
      <w:r w:rsidRPr="00925F26">
        <w:rPr>
          <w:color w:val="000000" w:themeColor="text1"/>
          <w:sz w:val="16"/>
          <w:szCs w:val="16"/>
        </w:rPr>
        <w:softHyphen/>
        <w:t>равны и требовали ремонта. Если учесть, что к исходу первого дня бое</w:t>
      </w:r>
      <w:r w:rsidRPr="00925F26">
        <w:rPr>
          <w:color w:val="000000" w:themeColor="text1"/>
          <w:sz w:val="16"/>
          <w:szCs w:val="16"/>
        </w:rPr>
        <w:softHyphen/>
        <w:t>вых действий в составе полка имелось 34 исправных самолетов Ил-10, то процент ежедневного выхода из строя матчасти просто ужасает. Аппроксима</w:t>
      </w:r>
      <w:r w:rsidRPr="00925F26">
        <w:rPr>
          <w:color w:val="000000" w:themeColor="text1"/>
          <w:sz w:val="16"/>
          <w:szCs w:val="16"/>
        </w:rPr>
        <w:softHyphen/>
        <w:t>ция «отхода» Ил-10 по неисправности и боевым причинам позволяет сделать вывод, что еще одна неделя боев и 108-й ГШАП остался бы без боеготовых са</w:t>
      </w:r>
      <w:r w:rsidRPr="00925F26">
        <w:rPr>
          <w:color w:val="000000" w:themeColor="text1"/>
          <w:sz w:val="16"/>
          <w:szCs w:val="16"/>
        </w:rPr>
        <w:softHyphen/>
        <w:t xml:space="preserve">молетов. </w:t>
      </w:r>
      <w:proofErr w:type="gramStart"/>
      <w:r w:rsidRPr="00925F26">
        <w:rPr>
          <w:color w:val="000000" w:themeColor="text1"/>
          <w:sz w:val="16"/>
          <w:szCs w:val="16"/>
        </w:rPr>
        <w:t>Собственно,так</w:t>
      </w:r>
      <w:proofErr w:type="gramEnd"/>
      <w:r w:rsidRPr="00925F26">
        <w:rPr>
          <w:color w:val="000000" w:themeColor="text1"/>
          <w:sz w:val="16"/>
          <w:szCs w:val="16"/>
        </w:rPr>
        <w:t xml:space="preserve"> и получилось. В течение мая месяца полк ни боевой, ни учебно-боевой работы на самоле</w:t>
      </w:r>
      <w:r w:rsidRPr="00925F26">
        <w:rPr>
          <w:color w:val="000000" w:themeColor="text1"/>
          <w:sz w:val="16"/>
          <w:szCs w:val="16"/>
        </w:rPr>
        <w:softHyphen/>
        <w:t>тах Ил-10 не вел, а занимался ремонтом неисправной матчасти и получением новой на авиабазе в г. Львов (11161).</w:t>
      </w:r>
    </w:p>
    <w:p w14:paraId="100D0D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FC65C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апреля 1945 оказался самым интенсив</w:t>
      </w:r>
      <w:r w:rsidRPr="00925F26">
        <w:rPr>
          <w:color w:val="000000" w:themeColor="text1"/>
          <w:sz w:val="16"/>
          <w:szCs w:val="16"/>
        </w:rPr>
        <w:softHyphen/>
        <w:t>ным боевым днем полка. В этот день эки</w:t>
      </w:r>
      <w:r w:rsidRPr="00925F26">
        <w:rPr>
          <w:color w:val="000000" w:themeColor="text1"/>
          <w:sz w:val="16"/>
          <w:szCs w:val="16"/>
        </w:rPr>
        <w:softHyphen/>
        <w:t>пажи 571-го шап группами по 8-12 са</w:t>
      </w:r>
      <w:r w:rsidRPr="00925F26">
        <w:rPr>
          <w:color w:val="000000" w:themeColor="text1"/>
          <w:sz w:val="16"/>
          <w:szCs w:val="16"/>
        </w:rPr>
        <w:softHyphen/>
        <w:t>молетов Ил-10 в сопровождении 6-8 истребителей Ла-5 от 181-го иап выпол</w:t>
      </w:r>
      <w:r w:rsidRPr="00925F26">
        <w:rPr>
          <w:color w:val="000000" w:themeColor="text1"/>
          <w:sz w:val="16"/>
          <w:szCs w:val="16"/>
        </w:rPr>
        <w:softHyphen/>
        <w:t>нили в общей сложности 115 самолето</w:t>
      </w:r>
      <w:r w:rsidRPr="00925F26">
        <w:rPr>
          <w:color w:val="000000" w:themeColor="text1"/>
          <w:sz w:val="16"/>
          <w:szCs w:val="16"/>
        </w:rPr>
        <w:softHyphen/>
        <w:t>вылетов. Это был своеобразный рекорд. Ни один штурмовой авиаполк на само</w:t>
      </w:r>
      <w:r w:rsidRPr="00925F26">
        <w:rPr>
          <w:color w:val="000000" w:themeColor="text1"/>
          <w:sz w:val="16"/>
          <w:szCs w:val="16"/>
        </w:rPr>
        <w:softHyphen/>
        <w:t>летах Ил-10 столько боевых вылетов в течение одного дня не выполнял.</w:t>
      </w:r>
    </w:p>
    <w:p w14:paraId="57E826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Первая группа в составе 12 Ил-10 (ведущий м-р Зацепа) в 9.30-9.40 на</w:t>
      </w:r>
      <w:r w:rsidRPr="00925F26">
        <w:rPr>
          <w:color w:val="000000" w:themeColor="text1"/>
          <w:sz w:val="16"/>
          <w:szCs w:val="16"/>
        </w:rPr>
        <w:softHyphen/>
        <w:t>несла удар по войскам противника в районе Витковице. Полет по маршру</w:t>
      </w:r>
      <w:r w:rsidRPr="00925F26">
        <w:rPr>
          <w:color w:val="000000" w:themeColor="text1"/>
          <w:sz w:val="16"/>
          <w:szCs w:val="16"/>
        </w:rPr>
        <w:softHyphen/>
        <w:t>ту выполнялся в правом пеленге на высоте 600 м. Подойдя к цели, экипа</w:t>
      </w:r>
      <w:r w:rsidRPr="00925F26">
        <w:rPr>
          <w:color w:val="000000" w:themeColor="text1"/>
          <w:sz w:val="16"/>
          <w:szCs w:val="16"/>
        </w:rPr>
        <w:softHyphen/>
        <w:t>жи группы замкнули круг в районе за</w:t>
      </w:r>
      <w:r w:rsidRPr="00925F26">
        <w:rPr>
          <w:color w:val="000000" w:themeColor="text1"/>
          <w:sz w:val="16"/>
          <w:szCs w:val="16"/>
        </w:rPr>
        <w:softHyphen/>
        <w:t>падной окраины Витковице и произ</w:t>
      </w:r>
      <w:r w:rsidRPr="00925F26">
        <w:rPr>
          <w:color w:val="000000" w:themeColor="text1"/>
          <w:sz w:val="16"/>
          <w:szCs w:val="16"/>
        </w:rPr>
        <w:softHyphen/>
        <w:t>вели «холостой» заход для уточнения расположения целей и своих войск. Получив дополнительное целеуказа</w:t>
      </w:r>
      <w:r w:rsidRPr="00925F26">
        <w:rPr>
          <w:color w:val="000000" w:themeColor="text1"/>
          <w:sz w:val="16"/>
          <w:szCs w:val="16"/>
        </w:rPr>
        <w:softHyphen/>
        <w:t>ние от станции наведения «Береза», группа завертела «колесо». Атаки вы</w:t>
      </w:r>
      <w:r w:rsidRPr="00925F26">
        <w:rPr>
          <w:color w:val="000000" w:themeColor="text1"/>
          <w:sz w:val="16"/>
          <w:szCs w:val="16"/>
        </w:rPr>
        <w:softHyphen/>
        <w:t>полнялись одиночными самолетами с «круга» с высоты 800-600 м и до 200 м. Угол пикирования 25-35°. Всего было выполнено 5 заходов. На отходе от цели «Береза» передала благодар</w:t>
      </w:r>
      <w:r w:rsidRPr="00925F26">
        <w:rPr>
          <w:color w:val="000000" w:themeColor="text1"/>
          <w:sz w:val="16"/>
          <w:szCs w:val="16"/>
        </w:rPr>
        <w:softHyphen/>
        <w:t>ность наземного командования.</w:t>
      </w:r>
    </w:p>
    <w:p w14:paraId="00272D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первой группой последовали вы</w:t>
      </w:r>
      <w:r w:rsidRPr="00925F26">
        <w:rPr>
          <w:color w:val="000000" w:themeColor="text1"/>
          <w:sz w:val="16"/>
          <w:szCs w:val="16"/>
        </w:rPr>
        <w:softHyphen/>
        <w:t>леты еще 12 групп штурмовиков. Край</w:t>
      </w:r>
      <w:r w:rsidRPr="00925F26">
        <w:rPr>
          <w:color w:val="000000" w:themeColor="text1"/>
          <w:sz w:val="16"/>
          <w:szCs w:val="16"/>
        </w:rPr>
        <w:softHyphen/>
        <w:t>ней оказалась группа ст. л-та Смирного в составе 12 Ил-10, которая вылетала на боевое задание в район Грушов в пери</w:t>
      </w:r>
      <w:r w:rsidRPr="00925F26">
        <w:rPr>
          <w:color w:val="000000" w:themeColor="text1"/>
          <w:sz w:val="16"/>
          <w:szCs w:val="16"/>
        </w:rPr>
        <w:softHyphen/>
        <w:t>од 19.03-19.53. На подходе к району нанесения удара группа была нацелена станцией наведения «Береза» на унич</w:t>
      </w:r>
      <w:r w:rsidRPr="00925F26">
        <w:rPr>
          <w:color w:val="000000" w:themeColor="text1"/>
          <w:sz w:val="16"/>
          <w:szCs w:val="16"/>
        </w:rPr>
        <w:softHyphen/>
        <w:t>тожение ж.д. моста через р. Одра юго-западнее Грушов. Бомбометание произ</w:t>
      </w:r>
      <w:r w:rsidRPr="00925F26">
        <w:rPr>
          <w:color w:val="000000" w:themeColor="text1"/>
          <w:sz w:val="16"/>
          <w:szCs w:val="16"/>
        </w:rPr>
        <w:softHyphen/>
        <w:t>водилось с пикирования под углами 40-45°. Сброс бомб осуществлялся на вы</w:t>
      </w:r>
      <w:r w:rsidRPr="00925F26">
        <w:rPr>
          <w:color w:val="000000" w:themeColor="text1"/>
          <w:sz w:val="16"/>
          <w:szCs w:val="16"/>
        </w:rPr>
        <w:softHyphen/>
        <w:t xml:space="preserve">ходе из пикирования с высоты </w:t>
      </w:r>
      <w:r w:rsidRPr="00925F26">
        <w:rPr>
          <w:color w:val="000000" w:themeColor="text1"/>
          <w:sz w:val="16"/>
          <w:szCs w:val="16"/>
        </w:rPr>
        <w:lastRenderedPageBreak/>
        <w:t>около 400-450 м. Использовались фугасные авиабомбы ФАБ-100. Согласно боевым документам полка после трех заходов в результате прямых попаданий бомб мост был разрушен.</w:t>
      </w:r>
    </w:p>
    <w:p w14:paraId="7A0932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же в течение дня по докладам экипажей и станции наведения удалось уничтожить и повредить 12 автомашин, 4 автобензоцистерны, одно орудие зе</w:t>
      </w:r>
      <w:r w:rsidRPr="00925F26">
        <w:rPr>
          <w:color w:val="000000" w:themeColor="text1"/>
          <w:sz w:val="16"/>
          <w:szCs w:val="16"/>
        </w:rPr>
        <w:softHyphen/>
        <w:t>нитной артиллерии, два орудия поле</w:t>
      </w:r>
      <w:r w:rsidRPr="00925F26">
        <w:rPr>
          <w:color w:val="000000" w:themeColor="text1"/>
          <w:sz w:val="16"/>
          <w:szCs w:val="16"/>
        </w:rPr>
        <w:softHyphen/>
        <w:t>вой артиллерии, 4 миномета, один па</w:t>
      </w:r>
      <w:r w:rsidRPr="00925F26">
        <w:rPr>
          <w:color w:val="000000" w:themeColor="text1"/>
          <w:sz w:val="16"/>
          <w:szCs w:val="16"/>
        </w:rPr>
        <w:softHyphen/>
        <w:t>ровоз, 4 железнодорожных вагона и уже упоминавшийся ж.д. мост через р.Одра. Средняя бомбовая нагрузка на один самолет составила 360 кг.</w:t>
      </w:r>
    </w:p>
    <w:p w14:paraId="4DEC28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мая экипажи 571-го шап при на</w:t>
      </w:r>
      <w:r w:rsidRPr="00925F26">
        <w:rPr>
          <w:color w:val="000000" w:themeColor="text1"/>
          <w:sz w:val="16"/>
          <w:szCs w:val="16"/>
        </w:rPr>
        <w:softHyphen/>
        <w:t>несении ударов по немецким войскам в движении и в местах сосредоточения на дорогах в районе Рауч, Шенвальд, Альвассер, Либау, Хоф, Дейч, Лоденит встретили особенно сильное противо</w:t>
      </w:r>
      <w:r w:rsidRPr="00925F26">
        <w:rPr>
          <w:color w:val="000000" w:themeColor="text1"/>
          <w:sz w:val="16"/>
          <w:szCs w:val="16"/>
        </w:rPr>
        <w:softHyphen/>
        <w:t>действие немецких зенитчиков. Две «десятки» (зав. № 1890802 и 1894603) были сбиты. Погибли мл. л-т Г.Д. За-гурский и воздушный стрелок сержант П. А. Котов, мл. л-т П.И. Полигалов и воздушный стрелок рядовой М. М. Вар-ташов. К исходу дня в составе полка осталось 30 самолетов Ил-10, из кото</w:t>
      </w:r>
      <w:r w:rsidRPr="00925F26">
        <w:rPr>
          <w:color w:val="000000" w:themeColor="text1"/>
          <w:sz w:val="16"/>
          <w:szCs w:val="16"/>
        </w:rPr>
        <w:softHyphen/>
        <w:t>рых 25 машин были боеготовыми.</w:t>
      </w:r>
    </w:p>
    <w:p w14:paraId="77E2FB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Надо сказать, эксплуатация и бое</w:t>
      </w:r>
      <w:r w:rsidRPr="00925F26">
        <w:rPr>
          <w:color w:val="000000" w:themeColor="text1"/>
          <w:sz w:val="16"/>
          <w:szCs w:val="16"/>
        </w:rPr>
        <w:softHyphen/>
        <w:t>вое применение Ил-10 сопровожда</w:t>
      </w:r>
      <w:r w:rsidRPr="00925F26">
        <w:rPr>
          <w:color w:val="000000" w:themeColor="text1"/>
          <w:sz w:val="16"/>
          <w:szCs w:val="16"/>
        </w:rPr>
        <w:softHyphen/>
        <w:t>лись многочисленными отказами агре</w:t>
      </w:r>
      <w:r w:rsidRPr="00925F26">
        <w:rPr>
          <w:color w:val="000000" w:themeColor="text1"/>
          <w:sz w:val="16"/>
          <w:szCs w:val="16"/>
        </w:rPr>
        <w:softHyphen/>
        <w:t>гатов и систем самолета. Только на моторах АМ-42 к 7 мая обнаружилось 24 дефекта, в том числе: 10 случаев по причине отказа в работе карбюрато</w:t>
      </w:r>
      <w:r w:rsidRPr="00925F26">
        <w:rPr>
          <w:color w:val="000000" w:themeColor="text1"/>
          <w:sz w:val="16"/>
          <w:szCs w:val="16"/>
        </w:rPr>
        <w:softHyphen/>
        <w:t>ра, бензосистемы и свечей АС-132, 5 случаев тряски мотора на всех режи</w:t>
      </w:r>
      <w:r w:rsidRPr="00925F26">
        <w:rPr>
          <w:color w:val="000000" w:themeColor="text1"/>
          <w:sz w:val="16"/>
          <w:szCs w:val="16"/>
        </w:rPr>
        <w:softHyphen/>
        <w:t>мах работы, даже на номинальном, два случая деформации мембран карбюра</w:t>
      </w:r>
      <w:r w:rsidRPr="00925F26">
        <w:rPr>
          <w:color w:val="000000" w:themeColor="text1"/>
          <w:sz w:val="16"/>
          <w:szCs w:val="16"/>
        </w:rPr>
        <w:softHyphen/>
        <w:t>тора и в остальных случаях наблюда</w:t>
      </w:r>
      <w:r w:rsidRPr="00925F26">
        <w:rPr>
          <w:color w:val="000000" w:themeColor="text1"/>
          <w:sz w:val="16"/>
          <w:szCs w:val="16"/>
        </w:rPr>
        <w:softHyphen/>
        <w:t>лась течь масло- и водорадиаторов по причине плохой пайки. Подходы к све</w:t>
      </w:r>
      <w:r w:rsidRPr="00925F26">
        <w:rPr>
          <w:color w:val="000000" w:themeColor="text1"/>
          <w:sz w:val="16"/>
          <w:szCs w:val="16"/>
        </w:rPr>
        <w:softHyphen/>
        <w:t>чам и различного рода агрегатам и уз</w:t>
      </w:r>
      <w:r w:rsidRPr="00925F26">
        <w:rPr>
          <w:color w:val="000000" w:themeColor="text1"/>
          <w:sz w:val="16"/>
          <w:szCs w:val="16"/>
        </w:rPr>
        <w:softHyphen/>
        <w:t>лам мотора были крайне неудобными. Например, замена карбюратора и от</w:t>
      </w:r>
      <w:r w:rsidRPr="00925F26">
        <w:rPr>
          <w:color w:val="000000" w:themeColor="text1"/>
          <w:sz w:val="16"/>
          <w:szCs w:val="16"/>
        </w:rPr>
        <w:softHyphen/>
        <w:t>ладка мотора занимала до 30-33 часов рабочего времени.</w:t>
      </w:r>
    </w:p>
    <w:p w14:paraId="59DA23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Постоянно рвались троса </w:t>
      </w:r>
      <w:proofErr w:type="gramStart"/>
      <w:r w:rsidRPr="00925F26">
        <w:rPr>
          <w:color w:val="000000" w:themeColor="text1"/>
          <w:sz w:val="16"/>
          <w:szCs w:val="16"/>
        </w:rPr>
        <w:t>бомбо-люков</w:t>
      </w:r>
      <w:proofErr w:type="gramEnd"/>
      <w:r w:rsidRPr="00925F26">
        <w:rPr>
          <w:color w:val="000000" w:themeColor="text1"/>
          <w:sz w:val="16"/>
          <w:szCs w:val="16"/>
        </w:rPr>
        <w:t>, створки бомболюков деформи</w:t>
      </w:r>
      <w:r w:rsidRPr="00925F26">
        <w:rPr>
          <w:color w:val="000000" w:themeColor="text1"/>
          <w:sz w:val="16"/>
          <w:szCs w:val="16"/>
        </w:rPr>
        <w:softHyphen/>
        <w:t>ровались при загрузке мелких бомб и повреждались при сбросе бомб круп</w:t>
      </w:r>
      <w:r w:rsidRPr="00925F26">
        <w:rPr>
          <w:color w:val="000000" w:themeColor="text1"/>
          <w:sz w:val="16"/>
          <w:szCs w:val="16"/>
        </w:rPr>
        <w:softHyphen/>
        <w:t>ного калибра. Обшивка консолей и центроплана крыла, а также заклепки крыла не выдерживали нагрузок. Ли</w:t>
      </w:r>
      <w:r w:rsidRPr="00925F26">
        <w:rPr>
          <w:color w:val="000000" w:themeColor="text1"/>
          <w:sz w:val="16"/>
          <w:szCs w:val="16"/>
        </w:rPr>
        <w:softHyphen/>
        <w:t>сты шли волной, заклепки срезались и выпадали. Ломались складывающиеся подкосы шасси и обтекатели хвосто</w:t>
      </w:r>
      <w:r w:rsidRPr="00925F26">
        <w:rPr>
          <w:color w:val="000000" w:themeColor="text1"/>
          <w:sz w:val="16"/>
          <w:szCs w:val="16"/>
        </w:rPr>
        <w:softHyphen/>
        <w:t>вого колеса.</w:t>
      </w:r>
    </w:p>
    <w:p w14:paraId="208AEB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Удивительно, но техническому со</w:t>
      </w:r>
      <w:r w:rsidRPr="00925F26">
        <w:rPr>
          <w:color w:val="000000" w:themeColor="text1"/>
          <w:sz w:val="16"/>
          <w:szCs w:val="16"/>
        </w:rPr>
        <w:softHyphen/>
        <w:t>ставу 571-го шап все же удавалось поддерживать боеготовность матчас-ти на уровне, обеспечивающем выпол</w:t>
      </w:r>
      <w:r w:rsidRPr="00925F26">
        <w:rPr>
          <w:color w:val="000000" w:themeColor="text1"/>
          <w:sz w:val="16"/>
          <w:szCs w:val="16"/>
        </w:rPr>
        <w:softHyphen/>
        <w:t>нение полком поставленных боевых задач. Ежедневная боеготовность пол</w:t>
      </w:r>
      <w:r w:rsidRPr="00925F26">
        <w:rPr>
          <w:color w:val="000000" w:themeColor="text1"/>
          <w:sz w:val="16"/>
          <w:szCs w:val="16"/>
        </w:rPr>
        <w:softHyphen/>
        <w:t>ка в среднем составляла 72,8% теку</w:t>
      </w:r>
      <w:r w:rsidRPr="00925F26">
        <w:rPr>
          <w:color w:val="000000" w:themeColor="text1"/>
          <w:sz w:val="16"/>
          <w:szCs w:val="16"/>
        </w:rPr>
        <w:softHyphen/>
        <w:t>щего боевого состава (11157).</w:t>
      </w:r>
    </w:p>
    <w:p w14:paraId="0C744D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4CAB4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апреля 1945 оказался самым интенсив</w:t>
      </w:r>
      <w:r w:rsidRPr="00925F26">
        <w:rPr>
          <w:color w:val="000000" w:themeColor="text1"/>
          <w:sz w:val="16"/>
          <w:szCs w:val="16"/>
        </w:rPr>
        <w:softHyphen/>
        <w:t>ным боевым днем для 571-го полка. Группами по 8 - 12 самолетов штурмовики в со</w:t>
      </w:r>
      <w:r w:rsidRPr="00925F26">
        <w:rPr>
          <w:color w:val="000000" w:themeColor="text1"/>
          <w:sz w:val="16"/>
          <w:szCs w:val="16"/>
        </w:rPr>
        <w:softHyphen/>
        <w:t>провождении шести - восьми истреби</w:t>
      </w:r>
      <w:r w:rsidRPr="00925F26">
        <w:rPr>
          <w:color w:val="000000" w:themeColor="text1"/>
          <w:sz w:val="16"/>
          <w:szCs w:val="16"/>
        </w:rPr>
        <w:softHyphen/>
        <w:t>телей Ла-5 из 181-го иап выполнили в общей сложности 115 самолето-выле</w:t>
      </w:r>
      <w:r w:rsidRPr="00925F26">
        <w:rPr>
          <w:color w:val="000000" w:themeColor="text1"/>
          <w:sz w:val="16"/>
          <w:szCs w:val="16"/>
        </w:rPr>
        <w:softHyphen/>
        <w:t>тов. Это был своеобразный рекорд. Ни один штурмовой полк на Ил-10 столько боевых вылетов в течение одного дня не совершал. Удары наносились в районе Морав-ска-Острава, Старабела, Витковице, Прошивау, Грушов, Якловице. Первая группа в составе 12 Ил-10, которую вел майор Зацепа, в полдесятого утра ата</w:t>
      </w:r>
      <w:r w:rsidRPr="00925F26">
        <w:rPr>
          <w:color w:val="000000" w:themeColor="text1"/>
          <w:sz w:val="16"/>
          <w:szCs w:val="16"/>
        </w:rPr>
        <w:softHyphen/>
        <w:t>ковала войска противника около Витко</w:t>
      </w:r>
      <w:r w:rsidRPr="00925F26">
        <w:rPr>
          <w:color w:val="000000" w:themeColor="text1"/>
          <w:sz w:val="16"/>
          <w:szCs w:val="16"/>
        </w:rPr>
        <w:softHyphen/>
        <w:t>вице. Подойдя к цели, экипажи замкнули круг и произвели холостой заход для уточнения расположения немцев и сво</w:t>
      </w:r>
      <w:r w:rsidRPr="00925F26">
        <w:rPr>
          <w:color w:val="000000" w:themeColor="text1"/>
          <w:sz w:val="16"/>
          <w:szCs w:val="16"/>
        </w:rPr>
        <w:softHyphen/>
        <w:t>их войск. Получив дополнительное це</w:t>
      </w:r>
      <w:r w:rsidRPr="00925F26">
        <w:rPr>
          <w:color w:val="000000" w:themeColor="text1"/>
          <w:sz w:val="16"/>
          <w:szCs w:val="16"/>
        </w:rPr>
        <w:softHyphen/>
        <w:t>леуказание от станции наведения «Бе</w:t>
      </w:r>
      <w:r w:rsidRPr="00925F26">
        <w:rPr>
          <w:color w:val="000000" w:themeColor="text1"/>
          <w:sz w:val="16"/>
          <w:szCs w:val="16"/>
        </w:rPr>
        <w:softHyphen/>
        <w:t>реза», группа завертела «колесо». Ата</w:t>
      </w:r>
      <w:r w:rsidRPr="00925F26">
        <w:rPr>
          <w:color w:val="000000" w:themeColor="text1"/>
          <w:sz w:val="16"/>
          <w:szCs w:val="16"/>
        </w:rPr>
        <w:softHyphen/>
        <w:t>ки выполнялись одиночными самолета</w:t>
      </w:r>
      <w:r w:rsidRPr="00925F26">
        <w:rPr>
          <w:color w:val="000000" w:themeColor="text1"/>
          <w:sz w:val="16"/>
          <w:szCs w:val="16"/>
        </w:rPr>
        <w:softHyphen/>
        <w:t>ми с высоты 800 - 600 м со снижением до 200 м. Угол пикирования 25° - 35°. Всего сделали пять заходов. На отходе «Береза» передала летчикам благодар</w:t>
      </w:r>
      <w:r w:rsidRPr="00925F26">
        <w:rPr>
          <w:color w:val="000000" w:themeColor="text1"/>
          <w:sz w:val="16"/>
          <w:szCs w:val="16"/>
        </w:rPr>
        <w:softHyphen/>
        <w:t>ность наземного командования. За первой группой последовали выле</w:t>
      </w:r>
      <w:r w:rsidRPr="00925F26">
        <w:rPr>
          <w:color w:val="000000" w:themeColor="text1"/>
          <w:sz w:val="16"/>
          <w:szCs w:val="16"/>
        </w:rPr>
        <w:softHyphen/>
        <w:t>ты еще дюжины. Последней поднялась в воздух группа старшего лейтенанта Смирного в составе 12 Ил-10. На подхо</w:t>
      </w:r>
      <w:r w:rsidRPr="00925F26">
        <w:rPr>
          <w:color w:val="000000" w:themeColor="text1"/>
          <w:sz w:val="16"/>
          <w:szCs w:val="16"/>
        </w:rPr>
        <w:softHyphen/>
        <w:t>де к месту назначения группу по радио перенацелили на железнодорожный мост через Одру, находившийся юго-за</w:t>
      </w:r>
      <w:r w:rsidRPr="00925F26">
        <w:rPr>
          <w:color w:val="000000" w:themeColor="text1"/>
          <w:sz w:val="16"/>
          <w:szCs w:val="16"/>
        </w:rPr>
        <w:softHyphen/>
        <w:t>паднее Грушова. Бомбили с пикирова</w:t>
      </w:r>
      <w:r w:rsidRPr="00925F26">
        <w:rPr>
          <w:color w:val="000000" w:themeColor="text1"/>
          <w:sz w:val="16"/>
          <w:szCs w:val="16"/>
        </w:rPr>
        <w:softHyphen/>
        <w:t>ния под углами 40° - 45°. Сброс осуще</w:t>
      </w:r>
      <w:r w:rsidRPr="00925F26">
        <w:rPr>
          <w:color w:val="000000" w:themeColor="text1"/>
          <w:sz w:val="16"/>
          <w:szCs w:val="16"/>
        </w:rPr>
        <w:softHyphen/>
        <w:t>ствлялся на выходе из пикирования с высоты 400 - 450 м. Использовались бомбы ФАБ-100. Согласно документам полка, после трех заходов мост был раз</w:t>
      </w:r>
      <w:r w:rsidRPr="00925F26">
        <w:rPr>
          <w:color w:val="000000" w:themeColor="text1"/>
          <w:sz w:val="16"/>
          <w:szCs w:val="16"/>
        </w:rPr>
        <w:softHyphen/>
        <w:t>рушен прямыми попаданиями. Всего же в течение дня удалось уничтожить и по</w:t>
      </w:r>
      <w:r w:rsidRPr="00925F26">
        <w:rPr>
          <w:color w:val="000000" w:themeColor="text1"/>
          <w:sz w:val="16"/>
          <w:szCs w:val="16"/>
        </w:rPr>
        <w:softHyphen/>
        <w:t>вредить 12 автомашин, 4 бензовоза, 1 зе</w:t>
      </w:r>
      <w:r w:rsidRPr="00925F26">
        <w:rPr>
          <w:color w:val="000000" w:themeColor="text1"/>
          <w:sz w:val="16"/>
          <w:szCs w:val="16"/>
        </w:rPr>
        <w:softHyphen/>
        <w:t>нитное орудие и 2 полевых, 4 миномета, 1 паровоз, 4 железнодорожных вагона и уже упоминавшийся мост (10681).</w:t>
      </w:r>
    </w:p>
    <w:p w14:paraId="4F73AA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36CDA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апреля 1945 108-й полк понес последние боевые потери. Во второй половине дня три четверки Ил-10 штурмовали немецкие части, окруженные у населенного пунк</w:t>
      </w:r>
      <w:r w:rsidRPr="00925F26">
        <w:rPr>
          <w:color w:val="000000" w:themeColor="text1"/>
          <w:sz w:val="16"/>
          <w:szCs w:val="16"/>
        </w:rPr>
        <w:softHyphen/>
        <w:t>та Барут. Они бомбили и обстреливали их с пологого пикирования. С земли вел</w:t>
      </w:r>
      <w:r w:rsidRPr="00925F26">
        <w:rPr>
          <w:color w:val="000000" w:themeColor="text1"/>
          <w:sz w:val="16"/>
          <w:szCs w:val="16"/>
        </w:rPr>
        <w:softHyphen/>
        <w:t>ся интенсивный огонь из крупнокали</w:t>
      </w:r>
      <w:r w:rsidRPr="00925F26">
        <w:rPr>
          <w:color w:val="000000" w:themeColor="text1"/>
          <w:sz w:val="16"/>
          <w:szCs w:val="16"/>
        </w:rPr>
        <w:softHyphen/>
        <w:t>берных пулеметов. «Десятка» младше</w:t>
      </w:r>
      <w:r w:rsidRPr="00925F26">
        <w:rPr>
          <w:color w:val="000000" w:themeColor="text1"/>
          <w:sz w:val="16"/>
          <w:szCs w:val="16"/>
        </w:rPr>
        <w:softHyphen/>
        <w:t>го лейтенанта Городецкого уже на пер</w:t>
      </w:r>
      <w:r w:rsidRPr="00925F26">
        <w:rPr>
          <w:color w:val="000000" w:themeColor="text1"/>
          <w:sz w:val="16"/>
          <w:szCs w:val="16"/>
        </w:rPr>
        <w:softHyphen/>
        <w:t>вом заходе получила повреждения. Го</w:t>
      </w:r>
      <w:r w:rsidRPr="00925F26">
        <w:rPr>
          <w:color w:val="000000" w:themeColor="text1"/>
          <w:sz w:val="16"/>
          <w:szCs w:val="16"/>
        </w:rPr>
        <w:softHyphen/>
        <w:t>родецкий «отвалил» от цели со сниже</w:t>
      </w:r>
      <w:r w:rsidRPr="00925F26">
        <w:rPr>
          <w:color w:val="000000" w:themeColor="text1"/>
          <w:sz w:val="16"/>
          <w:szCs w:val="16"/>
        </w:rPr>
        <w:softHyphen/>
        <w:t>нием и ушел в западном направлении. За самолетом тянулся шлейф белого дыма. Больше его никто не видел, судь</w:t>
      </w:r>
      <w:r w:rsidRPr="00925F26">
        <w:rPr>
          <w:color w:val="000000" w:themeColor="text1"/>
          <w:sz w:val="16"/>
          <w:szCs w:val="16"/>
        </w:rPr>
        <w:softHyphen/>
        <w:t>ба экипажа осталась неизвестной. Во время атаки третьей четверки зе</w:t>
      </w:r>
      <w:r w:rsidRPr="00925F26">
        <w:rPr>
          <w:color w:val="000000" w:themeColor="text1"/>
          <w:sz w:val="16"/>
          <w:szCs w:val="16"/>
        </w:rPr>
        <w:softHyphen/>
        <w:t>нитным огнем был подбит Ил-10 млад</w:t>
      </w:r>
      <w:r w:rsidRPr="00925F26">
        <w:rPr>
          <w:color w:val="000000" w:themeColor="text1"/>
          <w:sz w:val="16"/>
          <w:szCs w:val="16"/>
        </w:rPr>
        <w:softHyphen/>
        <w:t>шего лейтенанта Кузьмина. Мотор стал давать перебои. Из патрубков пошел белый дым, упало давление масла. Но Кузьмин вышел из боевого порядка только после выполнения задания, а за</w:t>
      </w:r>
      <w:r w:rsidRPr="00925F26">
        <w:rPr>
          <w:color w:val="000000" w:themeColor="text1"/>
          <w:sz w:val="16"/>
          <w:szCs w:val="16"/>
        </w:rPr>
        <w:softHyphen/>
        <w:t>тем сел на вынужденную у населенного пункта Приров. Экипаж целым и невре</w:t>
      </w:r>
      <w:r w:rsidRPr="00925F26">
        <w:rPr>
          <w:color w:val="000000" w:themeColor="text1"/>
          <w:sz w:val="16"/>
          <w:szCs w:val="16"/>
        </w:rPr>
        <w:softHyphen/>
        <w:t>димым 2 мая возвратился в полк. Само</w:t>
      </w:r>
      <w:r w:rsidRPr="00925F26">
        <w:rPr>
          <w:color w:val="000000" w:themeColor="text1"/>
          <w:sz w:val="16"/>
          <w:szCs w:val="16"/>
        </w:rPr>
        <w:softHyphen/>
        <w:t>лет же пошел в ремонт (10681).</w:t>
      </w:r>
    </w:p>
    <w:p w14:paraId="21FEEB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9D64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 вечеру 30 апреля 1945 в 571-м </w:t>
      </w:r>
      <w:r w:rsidRPr="00925F26">
        <w:rPr>
          <w:iCs/>
          <w:color w:val="000000" w:themeColor="text1"/>
          <w:sz w:val="16"/>
          <w:szCs w:val="16"/>
        </w:rPr>
        <w:t>шап</w:t>
      </w:r>
      <w:r w:rsidRPr="00925F26">
        <w:rPr>
          <w:color w:val="000000" w:themeColor="text1"/>
          <w:sz w:val="16"/>
          <w:szCs w:val="16"/>
        </w:rPr>
        <w:t xml:space="preserve"> насчитывалось всего 11 боеспособных самолетов. Осталь</w:t>
      </w:r>
      <w:r w:rsidRPr="00925F26">
        <w:rPr>
          <w:color w:val="000000" w:themeColor="text1"/>
          <w:sz w:val="16"/>
          <w:szCs w:val="16"/>
        </w:rPr>
        <w:softHyphen/>
        <w:t>ные 18 "десяток" требовали ремон</w:t>
      </w:r>
      <w:r w:rsidRPr="00925F26">
        <w:rPr>
          <w:color w:val="000000" w:themeColor="text1"/>
          <w:sz w:val="16"/>
          <w:szCs w:val="16"/>
        </w:rPr>
        <w:softHyphen/>
        <w:t>та. Еще одна неделя боев, и летать было бы не на чем.</w:t>
      </w:r>
    </w:p>
    <w:p w14:paraId="70198B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тылу положение дел было не лучше. Например, в двух дивизиях 7-го </w:t>
      </w:r>
      <w:r w:rsidRPr="00925F26">
        <w:rPr>
          <w:iCs/>
          <w:color w:val="000000" w:themeColor="text1"/>
          <w:sz w:val="16"/>
          <w:szCs w:val="16"/>
        </w:rPr>
        <w:t xml:space="preserve">шак, </w:t>
      </w:r>
      <w:r w:rsidRPr="00925F26">
        <w:rPr>
          <w:color w:val="000000" w:themeColor="text1"/>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925F26">
        <w:rPr>
          <w:color w:val="000000" w:themeColor="text1"/>
          <w:sz w:val="16"/>
          <w:szCs w:val="16"/>
        </w:rPr>
        <w:softHyphen/>
        <w:t>исправными.</w:t>
      </w:r>
    </w:p>
    <w:p w14:paraId="1F118B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полках, эксплуатирующих Ил-10, имели место случаи дефор</w:t>
      </w:r>
      <w:r w:rsidRPr="00925F26">
        <w:rPr>
          <w:color w:val="000000" w:themeColor="text1"/>
          <w:sz w:val="16"/>
          <w:szCs w:val="16"/>
        </w:rPr>
        <w:softHyphen/>
        <w:t>мации верхней и нижней обшивки консольной части крыла, срез и от</w:t>
      </w:r>
      <w:r w:rsidRPr="00925F26">
        <w:rPr>
          <w:color w:val="000000" w:themeColor="text1"/>
          <w:sz w:val="16"/>
          <w:szCs w:val="16"/>
        </w:rPr>
        <w:softHyphen/>
        <w:t>рыв заклепок. На некоторых маши</w:t>
      </w:r>
      <w:r w:rsidRPr="00925F26">
        <w:rPr>
          <w:color w:val="000000" w:themeColor="text1"/>
          <w:sz w:val="16"/>
          <w:szCs w:val="16"/>
        </w:rPr>
        <w:softHyphen/>
        <w:t>нах наблюдалось отставание листов нижней обшивки центроплана, со</w:t>
      </w:r>
      <w:r w:rsidRPr="00925F26">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925F26">
        <w:rPr>
          <w:color w:val="000000" w:themeColor="text1"/>
          <w:sz w:val="16"/>
          <w:szCs w:val="16"/>
        </w:rPr>
        <w:softHyphen/>
        <w:t>лабления заклепочных швов обшив</w:t>
      </w:r>
      <w:r w:rsidRPr="00925F26">
        <w:rPr>
          <w:color w:val="000000" w:themeColor="text1"/>
          <w:sz w:val="16"/>
          <w:szCs w:val="16"/>
        </w:rPr>
        <w:softHyphen/>
        <w:t>ки фюзеляжа в области крепления костыльной установки, а также по листу перехода килевой части фю</w:t>
      </w:r>
      <w:r w:rsidRPr="00925F26">
        <w:rPr>
          <w:color w:val="000000" w:themeColor="text1"/>
          <w:sz w:val="16"/>
          <w:szCs w:val="16"/>
        </w:rPr>
        <w:softHyphen/>
        <w:t>зеляжа. Система шасси оказалась довольно слабой в прочностном от</w:t>
      </w:r>
      <w:r w:rsidRPr="00925F26">
        <w:rPr>
          <w:color w:val="000000" w:themeColor="text1"/>
          <w:sz w:val="16"/>
          <w:szCs w:val="16"/>
        </w:rPr>
        <w:softHyphen/>
        <w:t>ношении и ненадежной: ломались складывающиеся подкосы шасси и обтекатели хвостового колеса, на</w:t>
      </w:r>
      <w:r w:rsidRPr="00925F26">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7F2C0F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Много проблем было и с воору</w:t>
      </w:r>
      <w:r w:rsidRPr="00925F26">
        <w:rPr>
          <w:color w:val="000000" w:themeColor="text1"/>
          <w:sz w:val="16"/>
          <w:szCs w:val="16"/>
        </w:rPr>
        <w:softHyphen/>
        <w:t>жением. Постоянно рвались и зае</w:t>
      </w:r>
      <w:r w:rsidRPr="00925F26">
        <w:rPr>
          <w:color w:val="000000" w:themeColor="text1"/>
          <w:sz w:val="16"/>
          <w:szCs w:val="16"/>
        </w:rPr>
        <w:softHyphen/>
        <w:t>дали троса бомболюков, створки бомболюков деформировались при загрузке мелких бомб и поврежда</w:t>
      </w:r>
      <w:r w:rsidRPr="00925F26">
        <w:rPr>
          <w:color w:val="000000" w:themeColor="text1"/>
          <w:sz w:val="16"/>
          <w:szCs w:val="16"/>
        </w:rPr>
        <w:softHyphen/>
        <w:t>лись при сбросе бомб крупного ка</w:t>
      </w:r>
      <w:r w:rsidRPr="00925F26">
        <w:rPr>
          <w:color w:val="000000" w:themeColor="text1"/>
          <w:sz w:val="16"/>
          <w:szCs w:val="16"/>
        </w:rPr>
        <w:softHyphen/>
        <w:t>либра. Все это приводило к тому, что</w:t>
      </w:r>
    </w:p>
    <w:p w14:paraId="586938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 целью экипажи после сброса бомб зачастую продолжали выпол</w:t>
      </w:r>
      <w:r w:rsidRPr="00925F26">
        <w:rPr>
          <w:color w:val="000000" w:themeColor="text1"/>
          <w:sz w:val="16"/>
          <w:szCs w:val="16"/>
        </w:rPr>
        <w:softHyphen/>
        <w:t xml:space="preserve">нять атаки с открытыми </w:t>
      </w:r>
      <w:proofErr w:type="gramStart"/>
      <w:r w:rsidRPr="00925F26">
        <w:rPr>
          <w:color w:val="000000" w:themeColor="text1"/>
          <w:sz w:val="16"/>
          <w:szCs w:val="16"/>
        </w:rPr>
        <w:t>бомболюка-ми</w:t>
      </w:r>
      <w:proofErr w:type="gramEnd"/>
      <w:r w:rsidRPr="00925F26">
        <w:rPr>
          <w:color w:val="000000" w:themeColor="text1"/>
          <w:sz w:val="16"/>
          <w:szCs w:val="16"/>
        </w:rPr>
        <w:t xml:space="preserve">. В результате </w:t>
      </w:r>
      <w:r w:rsidRPr="00925F26">
        <w:rPr>
          <w:iCs/>
          <w:color w:val="000000" w:themeColor="text1"/>
          <w:sz w:val="16"/>
          <w:szCs w:val="16"/>
        </w:rPr>
        <w:t xml:space="preserve">"самолет терял в маневренности". </w:t>
      </w:r>
      <w:r w:rsidRPr="00925F26">
        <w:rPr>
          <w:color w:val="000000" w:themeColor="text1"/>
          <w:sz w:val="16"/>
          <w:szCs w:val="16"/>
        </w:rPr>
        <w:t>Кроме этого, име</w:t>
      </w:r>
      <w:r w:rsidRPr="00925F26">
        <w:rPr>
          <w:color w:val="000000" w:themeColor="text1"/>
          <w:sz w:val="16"/>
          <w:szCs w:val="16"/>
        </w:rPr>
        <w:softHyphen/>
        <w:t>лись случаи, когда створки бомбо</w:t>
      </w:r>
      <w:r w:rsidRPr="00925F26">
        <w:rPr>
          <w:color w:val="000000" w:themeColor="text1"/>
          <w:sz w:val="16"/>
          <w:szCs w:val="16"/>
        </w:rPr>
        <w:softHyphen/>
        <w:t>вых отсеков открывались не полнос</w:t>
      </w:r>
      <w:r w:rsidRPr="00925F26">
        <w:rPr>
          <w:color w:val="000000" w:themeColor="text1"/>
          <w:sz w:val="16"/>
          <w:szCs w:val="16"/>
        </w:rPr>
        <w:softHyphen/>
        <w:t>тью и бомбы зависали.</w:t>
      </w:r>
    </w:p>
    <w:p w14:paraId="5799F4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Специальная комиссия ВВС в се</w:t>
      </w:r>
      <w:r w:rsidRPr="00925F26">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484659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судя по до</w:t>
      </w:r>
      <w:r w:rsidRPr="00925F26">
        <w:rPr>
          <w:color w:val="000000" w:themeColor="text1"/>
          <w:sz w:val="16"/>
          <w:szCs w:val="16"/>
        </w:rPr>
        <w:softHyphen/>
        <w:t>кументам, недостатки и дефекты мо</w:t>
      </w:r>
      <w:r w:rsidRPr="00925F26">
        <w:rPr>
          <w:color w:val="000000" w:themeColor="text1"/>
          <w:sz w:val="16"/>
          <w:szCs w:val="16"/>
        </w:rPr>
        <w:softHyphen/>
        <w:t>тора АМ-42 обуславливались не только объективными трудностями, но также и "особым" отношением мо</w:t>
      </w:r>
      <w:r w:rsidRPr="00925F26">
        <w:rPr>
          <w:color w:val="000000" w:themeColor="text1"/>
          <w:sz w:val="16"/>
          <w:szCs w:val="16"/>
        </w:rPr>
        <w:softHyphen/>
        <w:t>тористов к вопросу выяснения истин</w:t>
      </w:r>
      <w:r w:rsidRPr="00925F26">
        <w:rPr>
          <w:color w:val="000000" w:themeColor="text1"/>
          <w:sz w:val="16"/>
          <w:szCs w:val="16"/>
        </w:rPr>
        <w:softHyphen/>
        <w:t xml:space="preserve">ных причин </w:t>
      </w:r>
      <w:r w:rsidRPr="00925F26">
        <w:rPr>
          <w:iCs/>
          <w:color w:val="000000" w:themeColor="text1"/>
          <w:sz w:val="16"/>
          <w:szCs w:val="16"/>
        </w:rPr>
        <w:t xml:space="preserve">"летных происшествий, происходящих по причине отказа моторов". </w:t>
      </w:r>
      <w:r w:rsidRPr="00925F26">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925F26">
        <w:rPr>
          <w:iCs/>
          <w:color w:val="000000" w:themeColor="text1"/>
          <w:sz w:val="16"/>
          <w:szCs w:val="16"/>
        </w:rPr>
        <w:t>"...представители завода запу</w:t>
      </w:r>
      <w:r w:rsidRPr="00925F26">
        <w:rPr>
          <w:iCs/>
          <w:color w:val="000000" w:themeColor="text1"/>
          <w:sz w:val="16"/>
          <w:szCs w:val="16"/>
        </w:rPr>
        <w:softHyphen/>
        <w:t>тывают расследования причин отка</w:t>
      </w:r>
      <w:r w:rsidRPr="00925F26">
        <w:rPr>
          <w:iCs/>
          <w:color w:val="000000" w:themeColor="text1"/>
          <w:sz w:val="16"/>
          <w:szCs w:val="16"/>
        </w:rPr>
        <w:softHyphen/>
        <w:t>зов моторов, а значит, стремятся за</w:t>
      </w:r>
      <w:r w:rsidRPr="00925F26">
        <w:rPr>
          <w:iCs/>
          <w:color w:val="000000" w:themeColor="text1"/>
          <w:sz w:val="16"/>
          <w:szCs w:val="16"/>
        </w:rPr>
        <w:softHyphen/>
        <w:t>мазать их. Расследования затягива</w:t>
      </w:r>
      <w:r w:rsidRPr="00925F26">
        <w:rPr>
          <w:iCs/>
          <w:color w:val="000000" w:themeColor="text1"/>
          <w:sz w:val="16"/>
          <w:szCs w:val="16"/>
        </w:rPr>
        <w:softHyphen/>
        <w:t>ются на полгода и более. Такое "рас</w:t>
      </w:r>
      <w:r w:rsidRPr="00925F26">
        <w:rPr>
          <w:iCs/>
          <w:color w:val="000000" w:themeColor="text1"/>
          <w:sz w:val="16"/>
          <w:szCs w:val="16"/>
        </w:rPr>
        <w:softHyphen/>
        <w:t>следование" не может предупредить вовремя повторение летных проис</w:t>
      </w:r>
      <w:r w:rsidRPr="00925F26">
        <w:rPr>
          <w:iCs/>
          <w:color w:val="000000" w:themeColor="text1"/>
          <w:sz w:val="16"/>
          <w:szCs w:val="16"/>
        </w:rPr>
        <w:softHyphen/>
        <w:t>шествий по тем же причинам. Завя</w:t>
      </w:r>
      <w:r w:rsidRPr="00925F26">
        <w:rPr>
          <w:iCs/>
          <w:color w:val="000000" w:themeColor="text1"/>
          <w:sz w:val="16"/>
          <w:szCs w:val="16"/>
        </w:rPr>
        <w:softHyphen/>
        <w:t>зывается бессмысленная переписка, в результате которой все же Вам при</w:t>
      </w:r>
      <w:r w:rsidRPr="00925F26">
        <w:rPr>
          <w:iCs/>
          <w:color w:val="000000" w:themeColor="text1"/>
          <w:sz w:val="16"/>
          <w:szCs w:val="16"/>
        </w:rPr>
        <w:softHyphen/>
        <w:t>ходиться признавать вину за заво</w:t>
      </w:r>
      <w:r w:rsidRPr="00925F26">
        <w:rPr>
          <w:iCs/>
          <w:color w:val="000000" w:themeColor="text1"/>
          <w:sz w:val="16"/>
          <w:szCs w:val="16"/>
        </w:rPr>
        <w:softHyphen/>
        <w:t>дом. Нелогичность "особых" мнений и отсутствие в них обоснования го</w:t>
      </w:r>
      <w:r w:rsidRPr="00925F26">
        <w:rPr>
          <w:iCs/>
          <w:color w:val="000000" w:themeColor="text1"/>
          <w:sz w:val="16"/>
          <w:szCs w:val="16"/>
        </w:rPr>
        <w:softHyphen/>
        <w:t>ворит о чрезвычайно низкой техни</w:t>
      </w:r>
      <w:r w:rsidRPr="00925F26">
        <w:rPr>
          <w:iCs/>
          <w:color w:val="000000" w:themeColor="text1"/>
          <w:sz w:val="16"/>
          <w:szCs w:val="16"/>
        </w:rPr>
        <w:softHyphen/>
        <w:t>ческой грамотности представителей завода, работающих в бригаде..."</w:t>
      </w:r>
    </w:p>
    <w:p w14:paraId="4DD8CC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Забегая вперед, укажем, что до</w:t>
      </w:r>
      <w:r w:rsidRPr="00925F26">
        <w:rPr>
          <w:color w:val="000000" w:themeColor="text1"/>
          <w:sz w:val="16"/>
          <w:szCs w:val="16"/>
        </w:rPr>
        <w:softHyphen/>
        <w:t>водка АМ-42 затянулась фактически до середины 1947 г., когда были вне</w:t>
      </w:r>
      <w:r w:rsidRPr="00925F26">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925F26">
        <w:rPr>
          <w:color w:val="000000" w:themeColor="text1"/>
          <w:sz w:val="16"/>
          <w:szCs w:val="16"/>
        </w:rPr>
        <w:softHyphen/>
        <w:t>мени, недостаточная его надежность определяла и довольно высокую ава</w:t>
      </w:r>
      <w:r w:rsidRPr="00925F26">
        <w:rPr>
          <w:color w:val="000000" w:themeColor="text1"/>
          <w:sz w:val="16"/>
          <w:szCs w:val="16"/>
        </w:rPr>
        <w:softHyphen/>
        <w:t xml:space="preserve">рийность в частях ВВС. Например, в феврале-марте 1946 г. в частях 10-й </w:t>
      </w:r>
      <w:r w:rsidRPr="00925F26">
        <w:rPr>
          <w:iCs/>
          <w:color w:val="000000" w:themeColor="text1"/>
          <w:sz w:val="16"/>
          <w:szCs w:val="16"/>
        </w:rPr>
        <w:t xml:space="preserve">гшад </w:t>
      </w:r>
      <w:r w:rsidRPr="00925F26">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113A59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проблем с мотором, се</w:t>
      </w:r>
      <w:r w:rsidRPr="00925F26">
        <w:rPr>
          <w:color w:val="000000" w:themeColor="text1"/>
          <w:sz w:val="16"/>
          <w:szCs w:val="16"/>
        </w:rPr>
        <w:softHyphen/>
        <w:t>рийные Ил-10 характеризовались и пониженными летными данными в сравнении с опытной машиной. Ут</w:t>
      </w:r>
      <w:r w:rsidRPr="00925F26">
        <w:rPr>
          <w:color w:val="000000" w:themeColor="text1"/>
          <w:sz w:val="16"/>
          <w:szCs w:val="16"/>
        </w:rPr>
        <w:softHyphen/>
        <w:t>вержденные на совместном совеща</w:t>
      </w:r>
      <w:r w:rsidRPr="00925F26">
        <w:rPr>
          <w:color w:val="000000" w:themeColor="text1"/>
          <w:sz w:val="16"/>
          <w:szCs w:val="16"/>
        </w:rPr>
        <w:softHyphen/>
        <w:t>нии ВВС и НКАП в январе 1945 г. технические условия на самолет Ил-10 оказались для заводов высокими.</w:t>
      </w:r>
    </w:p>
    <w:p w14:paraId="069955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Усиление конструкции самолета (кры</w:t>
      </w:r>
      <w:r w:rsidRPr="00925F26">
        <w:rPr>
          <w:color w:val="000000" w:themeColor="text1"/>
          <w:sz w:val="16"/>
          <w:szCs w:val="16"/>
        </w:rPr>
        <w:softHyphen/>
        <w:t>ло, фюзеляж, шасси и т.д.), внесение различного рода изменений и дора</w:t>
      </w:r>
      <w:r w:rsidRPr="00925F26">
        <w:rPr>
          <w:color w:val="000000" w:themeColor="text1"/>
          <w:sz w:val="16"/>
          <w:szCs w:val="16"/>
        </w:rPr>
        <w:softHyphen/>
        <w:t>ботки машины, естественно, сопро</w:t>
      </w:r>
      <w:r w:rsidRPr="00925F26">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25F26">
        <w:rPr>
          <w:color w:val="000000" w:themeColor="text1"/>
          <w:sz w:val="16"/>
          <w:szCs w:val="16"/>
        </w:rPr>
        <w:softHyphen/>
        <w:t>емности. Естественно, усилились тре</w:t>
      </w:r>
      <w:r w:rsidRPr="00925F26">
        <w:rPr>
          <w:color w:val="000000" w:themeColor="text1"/>
          <w:sz w:val="16"/>
          <w:szCs w:val="16"/>
        </w:rPr>
        <w:softHyphen/>
        <w:t>ния между заводами и военными представителями по вопросам при</w:t>
      </w:r>
      <w:r w:rsidRPr="00925F26">
        <w:rPr>
          <w:color w:val="000000" w:themeColor="text1"/>
          <w:sz w:val="16"/>
          <w:szCs w:val="16"/>
        </w:rPr>
        <w:softHyphen/>
        <w:t>емки самолетов и их оплаты. На мно</w:t>
      </w:r>
      <w:r w:rsidRPr="00925F26">
        <w:rPr>
          <w:color w:val="000000" w:themeColor="text1"/>
          <w:sz w:val="16"/>
          <w:szCs w:val="16"/>
        </w:rPr>
        <w:softHyphen/>
        <w:t>гочисленных совещаниях по устране</w:t>
      </w:r>
      <w:r w:rsidRPr="00925F26">
        <w:rPr>
          <w:color w:val="000000" w:themeColor="text1"/>
          <w:sz w:val="16"/>
          <w:szCs w:val="16"/>
        </w:rPr>
        <w:softHyphen/>
        <w:t>нию дефектов Ил-10 не всегда уда</w:t>
      </w:r>
      <w:r w:rsidRPr="00925F26">
        <w:rPr>
          <w:color w:val="000000" w:themeColor="text1"/>
          <w:sz w:val="16"/>
          <w:szCs w:val="16"/>
        </w:rPr>
        <w:softHyphen/>
        <w:t>валось прийти к соглашению. Пред</w:t>
      </w:r>
      <w:r w:rsidRPr="00925F26">
        <w:rPr>
          <w:color w:val="000000" w:themeColor="text1"/>
          <w:sz w:val="16"/>
          <w:szCs w:val="16"/>
        </w:rPr>
        <w:softHyphen/>
        <w:t>ставители промышленности каждый раз принимали на себя обязатель</w:t>
      </w:r>
      <w:r w:rsidRPr="00925F26">
        <w:rPr>
          <w:color w:val="000000" w:themeColor="text1"/>
          <w:sz w:val="16"/>
          <w:szCs w:val="16"/>
        </w:rPr>
        <w:softHyphen/>
        <w:t>ства по улучшению летных и эксплу</w:t>
      </w:r>
      <w:r w:rsidRPr="00925F26">
        <w:rPr>
          <w:color w:val="000000" w:themeColor="text1"/>
          <w:sz w:val="16"/>
          <w:szCs w:val="16"/>
        </w:rPr>
        <w:softHyphen/>
        <w:t>атационных качеств машины и вся</w:t>
      </w:r>
      <w:r w:rsidRPr="00925F26">
        <w:rPr>
          <w:color w:val="000000" w:themeColor="text1"/>
          <w:sz w:val="16"/>
          <w:szCs w:val="16"/>
        </w:rPr>
        <w:softHyphen/>
        <w:t>кий раз их не выдерживали. Соот</w:t>
      </w:r>
      <w:r w:rsidRPr="00925F26">
        <w:rPr>
          <w:color w:val="000000" w:themeColor="text1"/>
          <w:sz w:val="16"/>
          <w:szCs w:val="16"/>
        </w:rPr>
        <w:softHyphen/>
        <w:t>ветственно, военные делали офици</w:t>
      </w:r>
      <w:r w:rsidRPr="00925F26">
        <w:rPr>
          <w:color w:val="000000" w:themeColor="text1"/>
          <w:sz w:val="16"/>
          <w:szCs w:val="16"/>
        </w:rPr>
        <w:softHyphen/>
        <w:t xml:space="preserve">альные выводы: </w:t>
      </w:r>
      <w:r w:rsidRPr="00925F26">
        <w:rPr>
          <w:iCs/>
          <w:color w:val="000000" w:themeColor="text1"/>
          <w:sz w:val="16"/>
          <w:szCs w:val="16"/>
        </w:rPr>
        <w:t>"Со стороны НКАП сроки выполнения Постановлений ГОКО, СНК и приказов НКАП не вы</w:t>
      </w:r>
      <w:r w:rsidRPr="00925F26">
        <w:rPr>
          <w:iCs/>
          <w:color w:val="000000" w:themeColor="text1"/>
          <w:sz w:val="16"/>
          <w:szCs w:val="16"/>
        </w:rPr>
        <w:softHyphen/>
        <w:t xml:space="preserve">держиваются". </w:t>
      </w:r>
      <w:r w:rsidRPr="00925F26">
        <w:rPr>
          <w:color w:val="000000" w:themeColor="text1"/>
          <w:sz w:val="16"/>
          <w:szCs w:val="16"/>
        </w:rPr>
        <w:t>Напряженность во взаимоотношениях ВВС и НКАП на</w:t>
      </w:r>
      <w:r w:rsidRPr="00925F26">
        <w:rPr>
          <w:color w:val="000000" w:themeColor="text1"/>
          <w:sz w:val="16"/>
          <w:szCs w:val="16"/>
        </w:rPr>
        <w:softHyphen/>
        <w:t>растала с каждым месяцем (11431).</w:t>
      </w:r>
    </w:p>
    <w:p w14:paraId="4361DB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C1B56B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над рейхстагом водружено Красное Знамя Победы (4962).</w:t>
      </w:r>
    </w:p>
    <w:p w14:paraId="5FDA311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0997F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бойцы 1СБ 756П к. С.А. Неустроева - М.Егоров и М.Кантария водрузили знамя победы (3263,206).</w:t>
      </w:r>
    </w:p>
    <w:p w14:paraId="2BAF6EBB" w14:textId="77777777" w:rsidR="00665165" w:rsidRPr="00925F26" w:rsidRDefault="00665165" w:rsidP="00925F26">
      <w:pPr>
        <w:autoSpaceDE w:val="0"/>
        <w:autoSpaceDN w:val="0"/>
        <w:adjustRightInd w:val="0"/>
        <w:jc w:val="both"/>
        <w:rPr>
          <w:color w:val="000000" w:themeColor="text1"/>
          <w:sz w:val="16"/>
          <w:szCs w:val="16"/>
        </w:rPr>
      </w:pPr>
    </w:p>
    <w:p w14:paraId="0437CFEF" w14:textId="77777777" w:rsidR="00475979" w:rsidRPr="00925F26" w:rsidRDefault="00475979" w:rsidP="00925F26">
      <w:pPr>
        <w:jc w:val="both"/>
        <w:rPr>
          <w:color w:val="000000" w:themeColor="text1"/>
          <w:sz w:val="16"/>
          <w:szCs w:val="16"/>
        </w:rPr>
      </w:pPr>
      <w:r w:rsidRPr="00925F26">
        <w:rPr>
          <w:color w:val="000000" w:themeColor="text1"/>
          <w:sz w:val="16"/>
          <w:szCs w:val="16"/>
        </w:rPr>
        <w:t xml:space="preserve">30 апреля в 1945 году советские воины водрузили Знамя Победы над рейхстагом в Берлине. 24 июня 1945 года в Москве на Красной площади состоялся первый парад войск действующей армии, Военно-Морского Флота и Московского гарнизона в ознаменование Победы над Германией в Великой Отечественной войне. Решено было привезти из Берлина Красное знамя, которое было водружено над рейхстагом 30 апреля 1945 разведчиками 150-й стрелковой дивизии М.А.Егоровым и М.В.Кантария. Фотографии горящего Рейхстага с реющим над его куполом знаменем Победы были опубликованы в московской газете «Правда» 3 мая 1945 года. В Берлине еще шли бои, в самом Рейхстаге стреляли отдельные группы фашистов, а снимки уже стали историческими. Красное знамя, пробитое пулями, обагренное кровью, стало священной реликвией. Впервые идею водрузить красный стяг над столицей поверженной Германии высказал И.В.Сталин на торжественном заседании б ноября 1944 года. Тогда Военный совет армии принял решение: передовой отряд бойцов должен водрузить флаг над рейхстагом, что будет символизировать окончательное </w:t>
      </w:r>
      <w:r w:rsidRPr="00925F26">
        <w:rPr>
          <w:color w:val="000000" w:themeColor="text1"/>
          <w:sz w:val="16"/>
          <w:szCs w:val="16"/>
        </w:rPr>
        <w:lastRenderedPageBreak/>
        <w:t>крушение нацизма. По образцу государственного флага СССР было срочно изготовлено девять стягов, по числу дивизий, входивших в состав 3-й ударной армии. Во главе атакующих цепей шли штурмовые группы, составленные из воинов-добровольцев. Каждая из них стремилась быстрее выполнить ответственную задачу. Флаг № 5, ставший Знаменем Победы, несла группа из трех бойцов, возглавляемая старшим сержантом Ивановым. Он получил смертельное ранение при прорыве к верхним этажам здания, но сержант М.Егоров и младший сержант М.Кантария, которых прикрывали их однополчане по 756-му полку, смогли водрузить знамя.</w:t>
      </w:r>
    </w:p>
    <w:p w14:paraId="6C30A8B0" w14:textId="77777777" w:rsidR="00475979" w:rsidRPr="00925F26" w:rsidRDefault="00475979" w:rsidP="00925F26">
      <w:pPr>
        <w:jc w:val="both"/>
        <w:rPr>
          <w:color w:val="000000" w:themeColor="text1"/>
          <w:sz w:val="16"/>
          <w:szCs w:val="16"/>
        </w:rPr>
      </w:pPr>
      <w:r w:rsidRPr="00925F26">
        <w:rPr>
          <w:color w:val="000000" w:themeColor="text1"/>
          <w:sz w:val="16"/>
          <w:szCs w:val="16"/>
        </w:rPr>
        <w:t>Поздним вечером 30 апреля 1945 года над крышей рейхстага затрепетал красный флаг, а вслед за этим было поднято еще два. Во второй половине следующего дня красный флаг перенесли на стеклянный купол здания, где он оставался до дня Победы. 9 мая реликвия была передана в штаб 150-го полка, а вместо нее над рейхстагом взвился другой флаг. 20 июня 1945 года Знамя Победы на транспортном самолете доставили в Москву, и с тех пор оно хранится в Центральном музее Вооруженных сил (15115).</w:t>
      </w:r>
    </w:p>
    <w:p w14:paraId="21C44FDD" w14:textId="77777777" w:rsidR="00475979" w:rsidRPr="00925F26" w:rsidRDefault="00475979" w:rsidP="00925F26">
      <w:pPr>
        <w:jc w:val="both"/>
        <w:rPr>
          <w:color w:val="000000" w:themeColor="text1"/>
          <w:sz w:val="16"/>
          <w:szCs w:val="16"/>
        </w:rPr>
      </w:pPr>
    </w:p>
    <w:p w14:paraId="0338A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целями "пешек" были здание гестапо и мост через р. Шпрее в Берлине. На город сыпались бомбы с надписями "Для Гитлера", "Для Геринга", "В логово зверя" (3542).</w:t>
      </w:r>
    </w:p>
    <w:p w14:paraId="2FADC070" w14:textId="77777777" w:rsidR="00665165" w:rsidRPr="00925F26" w:rsidRDefault="00665165" w:rsidP="00925F26">
      <w:pPr>
        <w:autoSpaceDE w:val="0"/>
        <w:autoSpaceDN w:val="0"/>
        <w:adjustRightInd w:val="0"/>
        <w:jc w:val="both"/>
        <w:rPr>
          <w:color w:val="000000" w:themeColor="text1"/>
          <w:sz w:val="16"/>
          <w:szCs w:val="16"/>
        </w:rPr>
      </w:pPr>
    </w:p>
    <w:p w14:paraId="37BC4C8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30 1945 Soviet troops reach Reichstag; Adolf Hitler commits suicide (1050).</w:t>
      </w:r>
    </w:p>
    <w:p w14:paraId="4DCFA3BD" w14:textId="77777777" w:rsidR="00665165" w:rsidRPr="00925F26" w:rsidRDefault="00665165" w:rsidP="00925F26">
      <w:pPr>
        <w:autoSpaceDE w:val="0"/>
        <w:autoSpaceDN w:val="0"/>
        <w:adjustRightInd w:val="0"/>
        <w:jc w:val="both"/>
        <w:rPr>
          <w:color w:val="000000" w:themeColor="text1"/>
          <w:sz w:val="16"/>
          <w:szCs w:val="16"/>
          <w:lang w:val="en-US"/>
        </w:rPr>
      </w:pPr>
    </w:p>
    <w:p w14:paraId="31C9705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30 1945 With Soviet forces approaching, Hitler commits suicide with his wife of a few hours, Eva Braun, in The Bunker in Berlin. Bormann burns the bodies on the back steps (1242).</w:t>
      </w:r>
    </w:p>
    <w:p w14:paraId="17E6810F" w14:textId="77777777" w:rsidR="00665165" w:rsidRPr="00925F26" w:rsidRDefault="00665165" w:rsidP="00925F26">
      <w:pPr>
        <w:autoSpaceDE w:val="0"/>
        <w:autoSpaceDN w:val="0"/>
        <w:adjustRightInd w:val="0"/>
        <w:jc w:val="both"/>
        <w:rPr>
          <w:color w:val="000000" w:themeColor="text1"/>
          <w:sz w:val="16"/>
          <w:szCs w:val="16"/>
          <w:lang w:val="en-US"/>
        </w:rPr>
      </w:pPr>
    </w:p>
    <w:p w14:paraId="00F1E7A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30 1945 Hitler commits suicide in Berlin, Germany by (according to his valet Heinz Linge) shooting himself in his right temple with a 7.62mm pistol. His wife of one day, Eva Braun, committs suicide by cyanide. Recent information suggests that the Soviets keep the Hitlers' bones until they are ordered destroyed by KGB chief Yuri Andropov in 1970 (1769).</w:t>
      </w:r>
    </w:p>
    <w:p w14:paraId="5B51BFC6" w14:textId="77777777" w:rsidR="00665165" w:rsidRPr="00925F26" w:rsidRDefault="00665165" w:rsidP="00925F26">
      <w:pPr>
        <w:autoSpaceDE w:val="0"/>
        <w:autoSpaceDN w:val="0"/>
        <w:adjustRightInd w:val="0"/>
        <w:jc w:val="both"/>
        <w:rPr>
          <w:color w:val="000000" w:themeColor="text1"/>
          <w:sz w:val="16"/>
          <w:szCs w:val="16"/>
          <w:lang w:val="en-US"/>
        </w:rPr>
      </w:pPr>
    </w:p>
    <w:p w14:paraId="6A36E6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30 апреля 1945 СА вышла </w:t>
      </w:r>
      <w:proofErr w:type="gramStart"/>
      <w:r w:rsidRPr="00925F26">
        <w:rPr>
          <w:color w:val="000000" w:themeColor="text1"/>
          <w:sz w:val="16"/>
          <w:szCs w:val="16"/>
        </w:rPr>
        <w:t>к Рейхстагу</w:t>
      </w:r>
      <w:proofErr w:type="gramEnd"/>
      <w:r w:rsidRPr="00925F26">
        <w:rPr>
          <w:color w:val="000000" w:themeColor="text1"/>
          <w:sz w:val="16"/>
          <w:szCs w:val="16"/>
        </w:rPr>
        <w:t xml:space="preserve"> и А.Гитлер вместе с Е.Браун и семьей Геббельса совершили самоубийство. Борман сжег тела. СССР хранил тела в тайне до 70-х (1050;1242;1769).</w:t>
      </w:r>
    </w:p>
    <w:p w14:paraId="572DCEF8" w14:textId="77777777" w:rsidR="00665165" w:rsidRPr="00925F26" w:rsidRDefault="00665165" w:rsidP="00925F26">
      <w:pPr>
        <w:autoSpaceDE w:val="0"/>
        <w:autoSpaceDN w:val="0"/>
        <w:adjustRightInd w:val="0"/>
        <w:jc w:val="both"/>
        <w:rPr>
          <w:color w:val="000000" w:themeColor="text1"/>
          <w:sz w:val="16"/>
          <w:szCs w:val="16"/>
        </w:rPr>
      </w:pPr>
    </w:p>
    <w:p w14:paraId="1369E6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начался штурм Рейхстага (455,172).</w:t>
      </w:r>
    </w:p>
    <w:p w14:paraId="60B7A207" w14:textId="77777777" w:rsidR="00665165" w:rsidRPr="00925F26" w:rsidRDefault="00665165" w:rsidP="00925F26">
      <w:pPr>
        <w:autoSpaceDE w:val="0"/>
        <w:autoSpaceDN w:val="0"/>
        <w:adjustRightInd w:val="0"/>
        <w:jc w:val="both"/>
        <w:rPr>
          <w:color w:val="000000" w:themeColor="text1"/>
          <w:sz w:val="16"/>
          <w:szCs w:val="16"/>
        </w:rPr>
      </w:pPr>
    </w:p>
    <w:p w14:paraId="7FCFC65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советскими войсками освобождены узники фашистского концлагеря Равенсбрюк (4962).</w:t>
      </w:r>
    </w:p>
    <w:p w14:paraId="60FA36E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1B7240A" w14:textId="77777777" w:rsidR="00B12671" w:rsidRPr="00925F26" w:rsidRDefault="00B12671" w:rsidP="00925F26">
      <w:pPr>
        <w:jc w:val="both"/>
        <w:rPr>
          <w:color w:val="000000" w:themeColor="text1"/>
          <w:sz w:val="16"/>
          <w:szCs w:val="16"/>
        </w:rPr>
      </w:pPr>
      <w:r w:rsidRPr="00925F26">
        <w:rPr>
          <w:color w:val="000000" w:themeColor="text1"/>
          <w:sz w:val="16"/>
          <w:szCs w:val="16"/>
        </w:rPr>
        <w:t>30 апреля 1945 начался штурм рейхстага. Коррек</w:t>
      </w:r>
      <w:r w:rsidRPr="00925F26">
        <w:rPr>
          <w:color w:val="000000" w:themeColor="text1"/>
          <w:sz w:val="16"/>
          <w:szCs w:val="16"/>
        </w:rPr>
        <w:softHyphen/>
        <w:t>тировку артиллерийского огня вёл Александр Егупов — воздухоплаватель 2-го отряда 6-го ОВДААН. На аэростат спикировала пара само</w:t>
      </w:r>
      <w:r w:rsidRPr="00925F26">
        <w:rPr>
          <w:color w:val="000000" w:themeColor="text1"/>
          <w:sz w:val="16"/>
          <w:szCs w:val="16"/>
        </w:rPr>
        <w:softHyphen/>
        <w:t>лётов противника, но советские истребители её отогнали.</w:t>
      </w:r>
    </w:p>
    <w:p w14:paraId="29EE6143" w14:textId="77777777" w:rsidR="00B12671" w:rsidRPr="00925F26" w:rsidRDefault="00B12671" w:rsidP="00925F26">
      <w:pPr>
        <w:jc w:val="both"/>
        <w:rPr>
          <w:color w:val="000000" w:themeColor="text1"/>
          <w:sz w:val="16"/>
          <w:szCs w:val="16"/>
        </w:rPr>
      </w:pPr>
      <w:r w:rsidRPr="00925F26">
        <w:rPr>
          <w:color w:val="000000" w:themeColor="text1"/>
          <w:sz w:val="16"/>
          <w:szCs w:val="16"/>
        </w:rPr>
        <w:t>О боевой работе 10-го ОВДААН, также дейст</w:t>
      </w:r>
      <w:r w:rsidRPr="00925F26">
        <w:rPr>
          <w:color w:val="000000" w:themeColor="text1"/>
          <w:sz w:val="16"/>
          <w:szCs w:val="16"/>
        </w:rPr>
        <w:softHyphen/>
        <w:t>вовавшем в Берлине, рассказывают следующие скупые строки донесения:</w:t>
      </w:r>
    </w:p>
    <w:p w14:paraId="391601B6" w14:textId="77777777" w:rsidR="00B12671" w:rsidRPr="00925F26" w:rsidRDefault="00B12671" w:rsidP="00925F26">
      <w:pPr>
        <w:jc w:val="both"/>
        <w:rPr>
          <w:color w:val="000000" w:themeColor="text1"/>
          <w:sz w:val="16"/>
          <w:szCs w:val="16"/>
        </w:rPr>
      </w:pPr>
      <w:r w:rsidRPr="00925F26">
        <w:rPr>
          <w:color w:val="000000" w:themeColor="text1"/>
          <w:sz w:val="16"/>
          <w:szCs w:val="16"/>
        </w:rPr>
        <w:t>Первый подъём 30.04.45 года произведён в 9.30</w:t>
      </w:r>
      <w:r w:rsidRPr="00925F26">
        <w:rPr>
          <w:color w:val="000000" w:themeColor="text1"/>
          <w:sz w:val="16"/>
          <w:szCs w:val="16"/>
        </w:rPr>
        <w:softHyphen/>
        <w:t>9.50. Наблюдатель лейтенант Демин.</w:t>
      </w:r>
    </w:p>
    <w:p w14:paraId="1C4C69B4" w14:textId="77777777" w:rsidR="00B12671" w:rsidRPr="00925F26" w:rsidRDefault="00B12671" w:rsidP="00925F26">
      <w:pPr>
        <w:jc w:val="both"/>
        <w:rPr>
          <w:color w:val="000000" w:themeColor="text1"/>
          <w:sz w:val="16"/>
          <w:szCs w:val="16"/>
        </w:rPr>
      </w:pPr>
      <w:r w:rsidRPr="00925F26">
        <w:rPr>
          <w:color w:val="000000" w:themeColor="text1"/>
          <w:sz w:val="16"/>
          <w:szCs w:val="16"/>
        </w:rPr>
        <w:t>9.30. В центре города Берлина до 50 пожаров.</w:t>
      </w:r>
    </w:p>
    <w:p w14:paraId="3A7FD5EA" w14:textId="77777777" w:rsidR="00B12671" w:rsidRPr="00925F26" w:rsidRDefault="00B12671" w:rsidP="00925F26">
      <w:pPr>
        <w:jc w:val="both"/>
        <w:rPr>
          <w:color w:val="000000" w:themeColor="text1"/>
          <w:sz w:val="16"/>
          <w:szCs w:val="16"/>
        </w:rPr>
      </w:pPr>
      <w:r w:rsidRPr="00925F26">
        <w:rPr>
          <w:color w:val="000000" w:themeColor="text1"/>
          <w:sz w:val="16"/>
          <w:szCs w:val="16"/>
        </w:rPr>
        <w:t>9.40. Произведена фотосъёмка города Берлина.</w:t>
      </w:r>
    </w:p>
    <w:p w14:paraId="553E3C56" w14:textId="77777777" w:rsidR="00B12671" w:rsidRPr="00925F26" w:rsidRDefault="00B12671" w:rsidP="00925F26">
      <w:pPr>
        <w:jc w:val="both"/>
        <w:rPr>
          <w:color w:val="000000" w:themeColor="text1"/>
          <w:sz w:val="16"/>
          <w:szCs w:val="16"/>
        </w:rPr>
      </w:pPr>
      <w:r w:rsidRPr="00925F26">
        <w:rPr>
          <w:color w:val="000000" w:themeColor="text1"/>
          <w:sz w:val="16"/>
          <w:szCs w:val="16"/>
        </w:rPr>
        <w:t>Второй подъём. 15.05-15.40. Наблюдатель лейте</w:t>
      </w:r>
      <w:r w:rsidRPr="00925F26">
        <w:rPr>
          <w:color w:val="000000" w:themeColor="text1"/>
          <w:sz w:val="16"/>
          <w:szCs w:val="16"/>
        </w:rPr>
        <w:softHyphen/>
        <w:t>нант Демин.</w:t>
      </w:r>
    </w:p>
    <w:p w14:paraId="4F9D9046" w14:textId="77777777" w:rsidR="00B12671" w:rsidRPr="00925F26" w:rsidRDefault="00B12671" w:rsidP="00925F26">
      <w:pPr>
        <w:jc w:val="both"/>
        <w:rPr>
          <w:color w:val="000000" w:themeColor="text1"/>
          <w:sz w:val="16"/>
          <w:szCs w:val="16"/>
        </w:rPr>
      </w:pPr>
      <w:r w:rsidRPr="00925F26">
        <w:rPr>
          <w:color w:val="000000" w:themeColor="text1"/>
          <w:sz w:val="16"/>
          <w:szCs w:val="16"/>
        </w:rPr>
        <w:t>15.10. Засечена 105-мм 3-х орудийная батарея. Ко</w:t>
      </w:r>
      <w:r w:rsidRPr="00925F26">
        <w:rPr>
          <w:color w:val="000000" w:themeColor="text1"/>
          <w:sz w:val="16"/>
          <w:szCs w:val="16"/>
        </w:rPr>
        <w:softHyphen/>
        <w:t>ординаты: X-86800, Y-20700, вела огонь.</w:t>
      </w:r>
    </w:p>
    <w:p w14:paraId="6AB4AFE2" w14:textId="77777777" w:rsidR="00B12671" w:rsidRPr="00925F26" w:rsidRDefault="00B12671" w:rsidP="00925F26">
      <w:pPr>
        <w:jc w:val="both"/>
        <w:rPr>
          <w:color w:val="000000" w:themeColor="text1"/>
          <w:sz w:val="16"/>
          <w:szCs w:val="16"/>
        </w:rPr>
      </w:pPr>
      <w:r w:rsidRPr="00925F26">
        <w:rPr>
          <w:color w:val="000000" w:themeColor="text1"/>
          <w:sz w:val="16"/>
          <w:szCs w:val="16"/>
        </w:rPr>
        <w:t>Третий подъём. 20.35-21.30. Наблюдатель лейте</w:t>
      </w:r>
      <w:r w:rsidRPr="00925F26">
        <w:rPr>
          <w:color w:val="000000" w:themeColor="text1"/>
          <w:sz w:val="16"/>
          <w:szCs w:val="16"/>
        </w:rPr>
        <w:softHyphen/>
        <w:t>нант Демин. 20.45. В центре Берлина до 50 пожаров.</w:t>
      </w:r>
    </w:p>
    <w:p w14:paraId="30CC64DE" w14:textId="77777777" w:rsidR="00B12671" w:rsidRPr="00925F26" w:rsidRDefault="00B12671" w:rsidP="00925F26">
      <w:pPr>
        <w:jc w:val="both"/>
        <w:rPr>
          <w:color w:val="000000" w:themeColor="text1"/>
          <w:sz w:val="16"/>
          <w:szCs w:val="16"/>
        </w:rPr>
      </w:pPr>
      <w:r w:rsidRPr="00925F26">
        <w:rPr>
          <w:color w:val="000000" w:themeColor="text1"/>
          <w:sz w:val="16"/>
          <w:szCs w:val="16"/>
        </w:rPr>
        <w:t>20.50. В районе (20-88) интенсивное движение ав</w:t>
      </w:r>
      <w:r w:rsidRPr="00925F26">
        <w:rPr>
          <w:color w:val="000000" w:themeColor="text1"/>
          <w:sz w:val="16"/>
          <w:szCs w:val="16"/>
        </w:rPr>
        <w:softHyphen/>
        <w:t>томашин.</w:t>
      </w:r>
    </w:p>
    <w:p w14:paraId="2C46647A" w14:textId="77777777" w:rsidR="00B12671" w:rsidRPr="00925F26" w:rsidRDefault="00B12671" w:rsidP="00925F26">
      <w:pPr>
        <w:jc w:val="both"/>
        <w:rPr>
          <w:color w:val="000000" w:themeColor="text1"/>
          <w:sz w:val="16"/>
          <w:szCs w:val="16"/>
        </w:rPr>
      </w:pPr>
      <w:r w:rsidRPr="00925F26">
        <w:rPr>
          <w:color w:val="000000" w:themeColor="text1"/>
          <w:sz w:val="16"/>
          <w:szCs w:val="16"/>
        </w:rPr>
        <w:t>20.55. Произведена фотосъёмка города Берлина37.</w:t>
      </w:r>
    </w:p>
    <w:p w14:paraId="23896F45" w14:textId="77777777" w:rsidR="00B12671" w:rsidRPr="00925F26" w:rsidRDefault="00B12671" w:rsidP="00925F26">
      <w:pPr>
        <w:jc w:val="both"/>
        <w:rPr>
          <w:color w:val="000000" w:themeColor="text1"/>
          <w:sz w:val="16"/>
          <w:szCs w:val="16"/>
        </w:rPr>
      </w:pPr>
      <w:r w:rsidRPr="00925F26">
        <w:rPr>
          <w:color w:val="000000" w:themeColor="text1"/>
          <w:sz w:val="16"/>
          <w:szCs w:val="16"/>
        </w:rPr>
        <w:t>В ходе боев за Берлин командование ВДААН изменило способы применения ААН. Аэростаты значительно приблизили к переднему краю, а вы</w:t>
      </w:r>
      <w:r w:rsidRPr="00925F26">
        <w:rPr>
          <w:color w:val="000000" w:themeColor="text1"/>
          <w:sz w:val="16"/>
          <w:szCs w:val="16"/>
        </w:rPr>
        <w:softHyphen/>
        <w:t>соту их подъёма увеличили до 1000-1100 м, что позволило расширить поле видимости. Серьёз</w:t>
      </w:r>
      <w:r w:rsidRPr="00925F26">
        <w:rPr>
          <w:color w:val="000000" w:themeColor="text1"/>
          <w:sz w:val="16"/>
          <w:szCs w:val="16"/>
        </w:rPr>
        <w:softHyphen/>
        <w:t>ной помехой при корректировании огня стал дым уличных пожаров, заволакивавший цели. Однако и эти затруднения преодолевались. При корректировке огня по почти невидимому из-за дыма рейхстагу наблюдатель с аэростата сначала произвёл пристрелку по парку, расположенному недалеко от последнего, а затем перенёс огонь непосредственно по зданию. Так как ААН распо</w:t>
      </w:r>
      <w:r w:rsidRPr="00925F26">
        <w:rPr>
          <w:color w:val="000000" w:themeColor="text1"/>
          <w:sz w:val="16"/>
          <w:szCs w:val="16"/>
        </w:rPr>
        <w:softHyphen/>
        <w:t>лагались недалеко от переднего края, то площад</w:t>
      </w:r>
      <w:r w:rsidRPr="00925F26">
        <w:rPr>
          <w:color w:val="000000" w:themeColor="text1"/>
          <w:sz w:val="16"/>
          <w:szCs w:val="16"/>
        </w:rPr>
        <w:softHyphen/>
        <w:t>ки для их подъёмов выбирали в местах, менее уязвимых от огня противника: в узких улицах с высокими зданиями или в парках с густой рас</w:t>
      </w:r>
      <w:r w:rsidRPr="00925F26">
        <w:rPr>
          <w:color w:val="000000" w:themeColor="text1"/>
          <w:sz w:val="16"/>
          <w:szCs w:val="16"/>
        </w:rPr>
        <w:softHyphen/>
        <w:t>тительностью. При ветреной погоде учитыва</w:t>
      </w:r>
      <w:r w:rsidRPr="00925F26">
        <w:rPr>
          <w:color w:val="000000" w:themeColor="text1"/>
          <w:sz w:val="16"/>
          <w:szCs w:val="16"/>
        </w:rPr>
        <w:softHyphen/>
        <w:t>лось, что трос и телефонный провод провисают и задевают за дома. Поэтому подъёмы старались делать на улицах, идущих по направлению ветра, чтобы провисание было вдоль улиц, и исключа</w:t>
      </w:r>
      <w:r w:rsidRPr="00925F26">
        <w:rPr>
          <w:color w:val="000000" w:themeColor="text1"/>
          <w:sz w:val="16"/>
          <w:szCs w:val="16"/>
        </w:rPr>
        <w:softHyphen/>
        <w:t>лось трение троса и провода о здания. Взаимное целеуказание с земли и аэростата трудностей не встречало, так как в городе было много хорошо видимых ориентиров. Советская авиация господ</w:t>
      </w:r>
      <w:r w:rsidRPr="00925F26">
        <w:rPr>
          <w:color w:val="000000" w:themeColor="text1"/>
          <w:sz w:val="16"/>
          <w:szCs w:val="16"/>
        </w:rPr>
        <w:softHyphen/>
        <w:t>ствовала в воздухе, и ААН специальным прикры</w:t>
      </w:r>
      <w:r w:rsidRPr="00925F26">
        <w:rPr>
          <w:color w:val="000000" w:themeColor="text1"/>
          <w:sz w:val="16"/>
          <w:szCs w:val="16"/>
        </w:rPr>
        <w:softHyphen/>
        <w:t>тием почти не обеспечивались (20120).</w:t>
      </w:r>
    </w:p>
    <w:p w14:paraId="6A7E6076" w14:textId="77777777" w:rsidR="00B12671" w:rsidRPr="00925F26" w:rsidRDefault="00B12671" w:rsidP="00925F26">
      <w:pPr>
        <w:jc w:val="both"/>
        <w:rPr>
          <w:color w:val="000000" w:themeColor="text1"/>
          <w:sz w:val="16"/>
          <w:szCs w:val="16"/>
        </w:rPr>
      </w:pPr>
    </w:p>
    <w:p w14:paraId="7A1A0B3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30 апреля 1945 на аэродроме Мехрабат под Тегераном закончился ремонт Стирлинга, предназначавшегося для СССР. Приняли в начале мая и перегнали в Кратово на аэродром ЛИИ. Там летал экипаж Г.М.Шиянова, но машину признали устаревшей. Потомвесной</w:t>
      </w:r>
      <w:r w:rsidRPr="00925F26">
        <w:rPr>
          <w:color w:val="000000" w:themeColor="text1"/>
          <w:sz w:val="16"/>
          <w:szCs w:val="16"/>
          <w:lang w:val="en-US"/>
        </w:rPr>
        <w:t xml:space="preserve"> 1946 </w:t>
      </w:r>
      <w:r w:rsidRPr="00925F26">
        <w:rPr>
          <w:color w:val="000000" w:themeColor="text1"/>
          <w:sz w:val="16"/>
          <w:szCs w:val="16"/>
        </w:rPr>
        <w:t>отдаливУПАГУСМП</w:t>
      </w:r>
      <w:r w:rsidRPr="00925F26">
        <w:rPr>
          <w:color w:val="000000" w:themeColor="text1"/>
          <w:sz w:val="16"/>
          <w:szCs w:val="16"/>
          <w:lang w:val="en-US"/>
        </w:rPr>
        <w:t xml:space="preserve"> (4835,26).</w:t>
      </w:r>
    </w:p>
    <w:p w14:paraId="542D5D7A" w14:textId="77777777" w:rsidR="00665165" w:rsidRPr="00925F26" w:rsidRDefault="00665165" w:rsidP="00925F26">
      <w:pPr>
        <w:autoSpaceDE w:val="0"/>
        <w:autoSpaceDN w:val="0"/>
        <w:adjustRightInd w:val="0"/>
        <w:jc w:val="both"/>
        <w:rPr>
          <w:color w:val="000000" w:themeColor="text1"/>
          <w:sz w:val="16"/>
          <w:szCs w:val="16"/>
          <w:lang w:val="en-US"/>
        </w:rPr>
      </w:pPr>
    </w:p>
    <w:p w14:paraId="6B67EE2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April 30th, 1945: The battle of Berlin is reaching its bloody climax. Isolated pockets of German resistance throughout the city are overpowered and systematically destroyed. With Red Army infantry only a few hundred yards away, Hitler and Eva Braun commit suicide at about 3:00 p.m., their bodies being immediately incinerated with gasoline by SS bodyguards. The US Seventh Army (Patch) enters Munich. The defenders of Breslau, decimated by relentless Soviet attacks, are still holding out (3819).</w:t>
      </w:r>
    </w:p>
    <w:p w14:paraId="0D285066" w14:textId="77777777" w:rsidR="00665165" w:rsidRPr="00925F26" w:rsidRDefault="00665165" w:rsidP="00925F26">
      <w:pPr>
        <w:autoSpaceDE w:val="0"/>
        <w:autoSpaceDN w:val="0"/>
        <w:adjustRightInd w:val="0"/>
        <w:jc w:val="both"/>
        <w:rPr>
          <w:color w:val="000000" w:themeColor="text1"/>
          <w:sz w:val="16"/>
          <w:szCs w:val="16"/>
          <w:lang w:val="en-US"/>
        </w:rPr>
      </w:pPr>
    </w:p>
    <w:p w14:paraId="5EA100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7А США вошла в Мюнхен (3819).</w:t>
      </w:r>
    </w:p>
    <w:p w14:paraId="61AA2340" w14:textId="77777777" w:rsidR="00665165" w:rsidRPr="00925F26" w:rsidRDefault="00665165" w:rsidP="00925F26">
      <w:pPr>
        <w:autoSpaceDE w:val="0"/>
        <w:autoSpaceDN w:val="0"/>
        <w:adjustRightInd w:val="0"/>
        <w:jc w:val="both"/>
        <w:rPr>
          <w:color w:val="000000" w:themeColor="text1"/>
          <w:sz w:val="16"/>
          <w:szCs w:val="16"/>
        </w:rPr>
      </w:pPr>
    </w:p>
    <w:p w14:paraId="571744B6" w14:textId="77777777" w:rsidR="00893AF7"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2B3DAA0" w14:textId="77777777" w:rsidR="00893AF7" w:rsidRPr="00925F26" w:rsidRDefault="00893AF7" w:rsidP="00925F26">
      <w:pPr>
        <w:autoSpaceDE w:val="0"/>
        <w:autoSpaceDN w:val="0"/>
        <w:adjustRightInd w:val="0"/>
        <w:jc w:val="both"/>
        <w:rPr>
          <w:iCs/>
          <w:color w:val="000000" w:themeColor="text1"/>
          <w:sz w:val="16"/>
          <w:szCs w:val="16"/>
        </w:rPr>
      </w:pPr>
    </w:p>
    <w:p w14:paraId="38D7042B" w14:textId="77777777" w:rsidR="00A278CB" w:rsidRPr="00925F26" w:rsidRDefault="00A278CB" w:rsidP="00925F26">
      <w:pPr>
        <w:jc w:val="both"/>
        <w:rPr>
          <w:color w:val="000000" w:themeColor="text1"/>
          <w:sz w:val="16"/>
          <w:szCs w:val="16"/>
        </w:rPr>
      </w:pPr>
      <w:r w:rsidRPr="00925F26">
        <w:rPr>
          <w:color w:val="000000" w:themeColor="text1"/>
          <w:sz w:val="16"/>
          <w:szCs w:val="16"/>
        </w:rPr>
        <w:t>30 апреля 1945. Исполком Моссовета принял решение с этого дня отменить в Москве затемнение и светомаскировку (18688).</w:t>
      </w:r>
    </w:p>
    <w:p w14:paraId="2BC7A982" w14:textId="77777777" w:rsidR="00A278CB" w:rsidRPr="00925F26" w:rsidRDefault="00A278CB" w:rsidP="00925F26">
      <w:pPr>
        <w:jc w:val="both"/>
        <w:rPr>
          <w:color w:val="000000" w:themeColor="text1"/>
          <w:sz w:val="16"/>
          <w:szCs w:val="16"/>
        </w:rPr>
      </w:pPr>
    </w:p>
    <w:p w14:paraId="25BEA96F" w14:textId="77777777" w:rsidR="00893AF7" w:rsidRPr="00925F26" w:rsidRDefault="00893AF7" w:rsidP="00925F26">
      <w:pPr>
        <w:jc w:val="both"/>
        <w:rPr>
          <w:color w:val="000000" w:themeColor="text1"/>
          <w:sz w:val="16"/>
          <w:szCs w:val="16"/>
        </w:rPr>
      </w:pPr>
      <w:r w:rsidRPr="00925F26">
        <w:rPr>
          <w:color w:val="000000" w:themeColor="text1"/>
          <w:sz w:val="16"/>
          <w:szCs w:val="16"/>
        </w:rPr>
        <w:t>30 апреля в 1945 году ленинградские альпинисты сняли со шпиля Адмиралтейства маскировочные чехлы. Вновь засияла знаменитая Адмиралтейская игла, укрытая от бомбежек и артобстрелов в первые месяцы блокады Ленинграда (15115).</w:t>
      </w:r>
    </w:p>
    <w:p w14:paraId="1E76CC8F" w14:textId="77777777" w:rsidR="00893AF7" w:rsidRPr="00925F26" w:rsidRDefault="00893AF7" w:rsidP="00925F26">
      <w:pPr>
        <w:jc w:val="both"/>
        <w:rPr>
          <w:color w:val="000000" w:themeColor="text1"/>
          <w:sz w:val="16"/>
          <w:szCs w:val="16"/>
        </w:rPr>
      </w:pPr>
    </w:p>
    <w:p w14:paraId="4E925D7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01998EB" w14:textId="77777777" w:rsidR="00665165" w:rsidRPr="00925F26" w:rsidRDefault="00665165" w:rsidP="00925F26">
      <w:pPr>
        <w:autoSpaceDE w:val="0"/>
        <w:autoSpaceDN w:val="0"/>
        <w:adjustRightInd w:val="0"/>
        <w:jc w:val="both"/>
        <w:rPr>
          <w:iCs/>
          <w:color w:val="000000" w:themeColor="text1"/>
          <w:sz w:val="16"/>
          <w:szCs w:val="16"/>
        </w:rPr>
      </w:pPr>
    </w:p>
    <w:p w14:paraId="65FB2E80" w14:textId="77777777" w:rsidR="00824A4F" w:rsidRPr="00925F26" w:rsidRDefault="00824A4F" w:rsidP="00925F26">
      <w:pPr>
        <w:jc w:val="both"/>
        <w:rPr>
          <w:color w:val="000000" w:themeColor="text1"/>
          <w:sz w:val="16"/>
          <w:szCs w:val="16"/>
        </w:rPr>
      </w:pPr>
      <w:r w:rsidRPr="00925F26">
        <w:rPr>
          <w:color w:val="000000" w:themeColor="text1"/>
          <w:sz w:val="16"/>
          <w:szCs w:val="16"/>
        </w:rPr>
        <w:t>30 апреля 1945 г. была последняя попытка применения "Мистелей". В этот день объек</w:t>
      </w:r>
      <w:r w:rsidRPr="00925F26">
        <w:rPr>
          <w:color w:val="000000" w:themeColor="text1"/>
          <w:sz w:val="16"/>
          <w:szCs w:val="16"/>
        </w:rPr>
        <w:softHyphen/>
        <w:t>тами атаки для четырех составных само</w:t>
      </w:r>
      <w:r w:rsidRPr="00925F26">
        <w:rPr>
          <w:color w:val="000000" w:themeColor="text1"/>
          <w:sz w:val="16"/>
          <w:szCs w:val="16"/>
        </w:rPr>
        <w:softHyphen/>
        <w:t>летов стали мосты через Одер в районе Пренцлау. И вновь одна машина была по</w:t>
      </w:r>
      <w:r w:rsidRPr="00925F26">
        <w:rPr>
          <w:color w:val="000000" w:themeColor="text1"/>
          <w:sz w:val="16"/>
          <w:szCs w:val="16"/>
        </w:rPr>
        <w:softHyphen/>
        <w:t>теряна в результате аварии, а три осталь</w:t>
      </w:r>
      <w:r w:rsidRPr="00925F26">
        <w:rPr>
          <w:color w:val="000000" w:themeColor="text1"/>
          <w:sz w:val="16"/>
          <w:szCs w:val="16"/>
        </w:rPr>
        <w:softHyphen/>
        <w:t>ные промахнулись мимо цели (24193).</w:t>
      </w:r>
    </w:p>
    <w:p w14:paraId="7033E12E" w14:textId="77777777" w:rsidR="00824A4F" w:rsidRPr="00925F26" w:rsidRDefault="00824A4F" w:rsidP="00925F26">
      <w:pPr>
        <w:jc w:val="both"/>
        <w:rPr>
          <w:color w:val="000000" w:themeColor="text1"/>
          <w:sz w:val="16"/>
          <w:szCs w:val="16"/>
        </w:rPr>
      </w:pPr>
    </w:p>
    <w:p w14:paraId="510C49A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апреля 1945 в берлинском бункере покончил с собой А. Гитлер (4962).</w:t>
      </w:r>
    </w:p>
    <w:p w14:paraId="5F72AD8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77619E" w14:textId="77777777" w:rsidR="00893AF7" w:rsidRPr="00925F26" w:rsidRDefault="00893AF7" w:rsidP="00925F26">
      <w:pPr>
        <w:jc w:val="both"/>
        <w:rPr>
          <w:color w:val="000000" w:themeColor="text1"/>
          <w:sz w:val="16"/>
          <w:szCs w:val="16"/>
        </w:rPr>
      </w:pPr>
      <w:r w:rsidRPr="00925F26">
        <w:rPr>
          <w:color w:val="000000" w:themeColor="text1"/>
          <w:sz w:val="16"/>
          <w:szCs w:val="16"/>
        </w:rPr>
        <w:t xml:space="preserve">30 апреля в 1945 году покончил жизнь самоубийством Адольф Гитлер (Шикльгрубер, 1889-1945), главный нацистский военный преступник. 28 апреля 1945 года на военном совещании генерал Вейдлинг сообщил Гитлеру о том, что берлинский гарнизон сможет оказывать сопротивление советским войскам не более двух дней. Гитлер приказал фельдмаршалу Грейму срочно вылететь на один из аэродромов под Берлином и собрать все самолеты для поддержки созданной из разрозненных частей армии генерала Венка. Однако к вечеру последняя надежда рухнула: Гитлер понял, что армия Венка не сможет прорваться к Берлину. Фюрер вызвал секретаршу Тройдль Юнге и продиктовал два завещания: личное и политическое. В последнем он объявил своими преемниками гросс-адмирала Деница и Геббельса, а для Бормана придумал титул «рейхсминистра по делам партии». В конце Гитлер продиктовал: «Моя жена и я выбираем смерть, с тем чтобы наши тела были немедленно сожжены...» В ночь на 29 апреля состоялось бракосочетание Гитлера и Евы Браун, спешно организованное Борманом и Геббельсом. Следующий день прошел в томительном ожидании: несмотря на слова о решимости покончить с собой, фюрер колебался и продолжал ждать Венка. В это время Геббельс принес сообщение из Италии: Бенито Муссолини и его любовница Клара Петаччи были пойманы партизанами, убиты и повешены за ноги на городской площади Милана. Это был точный психологический удар: Гитлер более всего боялся позорного плена. Мысль о том, что победители посадят его в железную клетку и выставят на всеобщее обозрение, постоянно преследовала фюрера. "Я не попаду в руки врага ни живым, ни мертым", - тут же заявил он. На последнем военном совещании, состоявшемся вечером 29 апреля, генерал Вейдлинг сообщил, что берлинский гарнизон практически разбит и битва за столицу закончится в течении 24 часов. Он посоветовал прорываться из </w:t>
      </w:r>
      <w:r w:rsidRPr="00925F26">
        <w:rPr>
          <w:color w:val="000000" w:themeColor="text1"/>
          <w:sz w:val="16"/>
          <w:szCs w:val="16"/>
        </w:rPr>
        <w:lastRenderedPageBreak/>
        <w:t>Берлина, но Гитлер отказался, заявив, что не собирается "бегать по лесам". Уже за полночь он попрощался с последними соратниками, офицерами и секретаршами. 30 апреля примерно в 15 часов 30 минут Адольф Гитлер и Ева Гитлер (урожденная Браун) были мертвы (15115).</w:t>
      </w:r>
    </w:p>
    <w:p w14:paraId="77E8BADE" w14:textId="77777777" w:rsidR="00893AF7" w:rsidRPr="00925F26" w:rsidRDefault="00893AF7" w:rsidP="00925F26">
      <w:pPr>
        <w:jc w:val="both"/>
        <w:rPr>
          <w:color w:val="000000" w:themeColor="text1"/>
          <w:sz w:val="16"/>
          <w:szCs w:val="16"/>
        </w:rPr>
      </w:pPr>
    </w:p>
    <w:p w14:paraId="3655DA00" w14:textId="77777777" w:rsidR="00893AF7" w:rsidRPr="00925F26" w:rsidRDefault="00893AF7" w:rsidP="00925F26">
      <w:pPr>
        <w:jc w:val="both"/>
        <w:rPr>
          <w:color w:val="000000" w:themeColor="text1"/>
          <w:sz w:val="16"/>
          <w:szCs w:val="16"/>
        </w:rPr>
      </w:pPr>
      <w:r w:rsidRPr="00925F26">
        <w:rPr>
          <w:color w:val="000000" w:themeColor="text1"/>
          <w:sz w:val="16"/>
          <w:szCs w:val="16"/>
        </w:rPr>
        <w:t>30 апреля в 1945 году после самоубийства А.Гитлера обязанности Рейхсканцлера Германской Империи взял на себя Й.Геббельс (15115).</w:t>
      </w:r>
    </w:p>
    <w:p w14:paraId="1698F583" w14:textId="77777777" w:rsidR="00893AF7" w:rsidRPr="00925F26" w:rsidRDefault="00893AF7" w:rsidP="00925F26">
      <w:pPr>
        <w:jc w:val="both"/>
        <w:rPr>
          <w:color w:val="000000" w:themeColor="text1"/>
          <w:sz w:val="16"/>
          <w:szCs w:val="16"/>
        </w:rPr>
      </w:pPr>
    </w:p>
    <w:p w14:paraId="050F6F52" w14:textId="77777777" w:rsidR="00893AF7" w:rsidRPr="00925F26" w:rsidRDefault="00893AF7" w:rsidP="00925F26">
      <w:pPr>
        <w:jc w:val="both"/>
        <w:rPr>
          <w:color w:val="000000" w:themeColor="text1"/>
          <w:sz w:val="16"/>
          <w:szCs w:val="16"/>
        </w:rPr>
      </w:pPr>
      <w:r w:rsidRPr="00925F26">
        <w:rPr>
          <w:color w:val="000000" w:themeColor="text1"/>
          <w:sz w:val="16"/>
          <w:szCs w:val="16"/>
        </w:rPr>
        <w:t>30 апреля в 1945 году американские войска вступили в Мюнхен (15115).</w:t>
      </w:r>
    </w:p>
    <w:p w14:paraId="3C2E5044" w14:textId="77777777" w:rsidR="00893AF7" w:rsidRPr="00925F26" w:rsidRDefault="00893AF7" w:rsidP="00925F26">
      <w:pPr>
        <w:jc w:val="both"/>
        <w:rPr>
          <w:color w:val="000000" w:themeColor="text1"/>
          <w:sz w:val="16"/>
          <w:szCs w:val="16"/>
        </w:rPr>
      </w:pPr>
    </w:p>
    <w:p w14:paraId="57CA1260" w14:textId="77777777" w:rsidR="00893AF7" w:rsidRPr="00925F26" w:rsidRDefault="00893AF7" w:rsidP="00925F26">
      <w:pPr>
        <w:jc w:val="both"/>
        <w:rPr>
          <w:color w:val="000000" w:themeColor="text1"/>
          <w:sz w:val="16"/>
          <w:szCs w:val="16"/>
        </w:rPr>
      </w:pPr>
      <w:r w:rsidRPr="00925F26">
        <w:rPr>
          <w:color w:val="000000" w:themeColor="text1"/>
          <w:sz w:val="16"/>
          <w:szCs w:val="16"/>
        </w:rPr>
        <w:t>30 апреля в 1945 году У.Черчилль предлагает американскому командованию брать Прагу (15115).</w:t>
      </w:r>
    </w:p>
    <w:p w14:paraId="7E2FC643" w14:textId="77777777" w:rsidR="00893AF7" w:rsidRPr="00925F26" w:rsidRDefault="00893AF7" w:rsidP="00925F26">
      <w:pPr>
        <w:jc w:val="both"/>
        <w:rPr>
          <w:bCs/>
          <w:color w:val="000000" w:themeColor="text1"/>
          <w:sz w:val="16"/>
          <w:szCs w:val="16"/>
        </w:rPr>
      </w:pPr>
    </w:p>
    <w:p w14:paraId="09D5EC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 1945 американцы освободили в Дахау 30 тыс. евреев (2248,6).</w:t>
      </w:r>
    </w:p>
    <w:p w14:paraId="6EEF3236" w14:textId="77777777" w:rsidR="00665165" w:rsidRPr="00925F26" w:rsidRDefault="00665165" w:rsidP="00925F26">
      <w:pPr>
        <w:autoSpaceDE w:val="0"/>
        <w:autoSpaceDN w:val="0"/>
        <w:adjustRightInd w:val="0"/>
        <w:jc w:val="both"/>
        <w:rPr>
          <w:color w:val="000000" w:themeColor="text1"/>
          <w:sz w:val="16"/>
          <w:szCs w:val="16"/>
        </w:rPr>
      </w:pPr>
    </w:p>
    <w:p w14:paraId="745149F6" w14:textId="77777777" w:rsidR="00E70305" w:rsidRPr="00925F26" w:rsidRDefault="00E70305" w:rsidP="00925F26">
      <w:pPr>
        <w:jc w:val="both"/>
        <w:rPr>
          <w:color w:val="000000" w:themeColor="text1"/>
          <w:sz w:val="16"/>
          <w:szCs w:val="16"/>
        </w:rPr>
      </w:pPr>
      <w:r w:rsidRPr="00925F26">
        <w:rPr>
          <w:color w:val="000000" w:themeColor="text1"/>
          <w:sz w:val="16"/>
          <w:szCs w:val="16"/>
        </w:rPr>
        <w:t>30 апреля - 7 мая 1945 чтобы отвлечь внимание Японии от операции «Дракула» и подавить японскую авиацию на Андаманских и Никобарских островах, самолеты британских авианосцев HMS Empress и HMS Shah совершили 400 боевых вылетов в течение восьми дней против японских аэродромов и судов на островах, потеряв один самолет (20371).</w:t>
      </w:r>
    </w:p>
    <w:p w14:paraId="6D8F5E5F" w14:textId="77777777" w:rsidR="00E70305" w:rsidRPr="00925F26" w:rsidRDefault="00E70305" w:rsidP="00925F26">
      <w:pPr>
        <w:jc w:val="both"/>
        <w:rPr>
          <w:color w:val="000000" w:themeColor="text1"/>
          <w:sz w:val="16"/>
          <w:szCs w:val="16"/>
        </w:rPr>
      </w:pPr>
    </w:p>
    <w:p w14:paraId="696633F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0E41F0A" w14:textId="77777777" w:rsidR="00665165" w:rsidRPr="00925F26" w:rsidRDefault="00665165" w:rsidP="00925F26">
      <w:pPr>
        <w:autoSpaceDE w:val="0"/>
        <w:autoSpaceDN w:val="0"/>
        <w:adjustRightInd w:val="0"/>
        <w:jc w:val="both"/>
        <w:rPr>
          <w:iCs/>
          <w:color w:val="000000" w:themeColor="text1"/>
          <w:sz w:val="16"/>
          <w:szCs w:val="16"/>
        </w:rPr>
      </w:pPr>
    </w:p>
    <w:p w14:paraId="1A877EBA" w14:textId="77777777" w:rsidR="00893AF7" w:rsidRPr="00925F26" w:rsidRDefault="00893AF7" w:rsidP="00925F26">
      <w:pPr>
        <w:pStyle w:val="a3"/>
        <w:rPr>
          <w:color w:val="000000" w:themeColor="text1"/>
          <w:lang w:val="ru-RU"/>
        </w:rPr>
      </w:pPr>
      <w:r w:rsidRPr="00925F26">
        <w:rPr>
          <w:color w:val="000000" w:themeColor="text1"/>
          <w:lang w:val="ru-RU"/>
        </w:rPr>
        <w:t>В конце апреля 1945, когда грунтовые аэродромы подсохли, столкнулись с массовым выходом моторов из строя из-за разрушения нагнетателей. Попадавшая внутрь пыль способствовала чрезвычайно быстрому износу валика крыльчатки.</w:t>
      </w:r>
    </w:p>
    <w:p w14:paraId="5B1572F8" w14:textId="77777777" w:rsidR="00893AF7" w:rsidRPr="00925F26" w:rsidRDefault="00893AF7" w:rsidP="00925F26">
      <w:pPr>
        <w:pStyle w:val="a3"/>
        <w:rPr>
          <w:color w:val="000000" w:themeColor="text1"/>
          <w:lang w:val="ru-RU"/>
        </w:rPr>
      </w:pPr>
      <w:r w:rsidRPr="00925F26">
        <w:rPr>
          <w:color w:val="000000" w:themeColor="text1"/>
          <w:lang w:val="ru-RU"/>
        </w:rPr>
        <w:t>Всего за 10 дней боевой работы в 108 гшап из-за износа поршневых колец, приводившего к потере компрессии, из строя вышло 76% находившихся в эксплуатации моторов АМ-42. Ещё 16% моторов вышли из строя по причине появления бронзовой, стальной и алюминиевой стру</w:t>
      </w:r>
      <w:r w:rsidRPr="00925F26">
        <w:rPr>
          <w:color w:val="000000" w:themeColor="text1"/>
          <w:lang w:val="ru-RU"/>
        </w:rPr>
        <w:softHyphen/>
        <w:t>жек, попадания воды в картер и выбрасывания масла.</w:t>
      </w:r>
    </w:p>
    <w:p w14:paraId="60E88648" w14:textId="77777777" w:rsidR="00893AF7" w:rsidRPr="00925F26" w:rsidRDefault="00893AF7" w:rsidP="00925F26">
      <w:pPr>
        <w:pStyle w:val="a3"/>
        <w:rPr>
          <w:color w:val="000000" w:themeColor="text1"/>
          <w:lang w:val="ru-RU"/>
        </w:rPr>
      </w:pPr>
      <w:r w:rsidRPr="00925F26">
        <w:rPr>
          <w:color w:val="000000" w:themeColor="text1"/>
          <w:lang w:val="ru-RU"/>
        </w:rPr>
        <w:t>В 571 шап «по</w:t>
      </w:r>
      <w:r w:rsidRPr="00925F26">
        <w:rPr>
          <w:rStyle w:val="245"/>
          <w:rFonts w:ascii="Times New Roman" w:hAnsi="Times New Roman" w:cs="Times New Roman"/>
          <w:i w:val="0"/>
          <w:color w:val="000000" w:themeColor="text1"/>
          <w:sz w:val="16"/>
          <w:szCs w:val="16"/>
          <w:lang w:val="ru-RU"/>
        </w:rPr>
        <w:t xml:space="preserve"> причине производственно-конструктивных дефектов нагнетателя»</w:t>
      </w:r>
      <w:r w:rsidRPr="00925F26">
        <w:rPr>
          <w:color w:val="000000" w:themeColor="text1"/>
          <w:lang w:val="ru-RU"/>
        </w:rPr>
        <w:t xml:space="preserve"> в период с 15 апреля по 8 мая из строя вышли 17 АМ-42. Причём 8 отказов моторов произошло в один день 8 мая: 5 - на земле, 3 - в воздухе.</w:t>
      </w:r>
    </w:p>
    <w:p w14:paraId="53747177" w14:textId="77777777" w:rsidR="00893AF7" w:rsidRPr="00925F26" w:rsidRDefault="00893AF7" w:rsidP="00925F26">
      <w:pPr>
        <w:pStyle w:val="a3"/>
        <w:rPr>
          <w:color w:val="000000" w:themeColor="text1"/>
          <w:lang w:val="ru-RU"/>
        </w:rPr>
      </w:pPr>
      <w:r w:rsidRPr="00925F26">
        <w:rPr>
          <w:color w:val="000000" w:themeColor="text1"/>
          <w:lang w:val="ru-RU"/>
        </w:rPr>
        <w:t>Осмотр матчасти полка комиссией показал, что основной причиной выхода моторов из строя является разрушение крыльчатки нагнетателя. При этом'как минимум ещё 6 самолётов выпускать в полёт нельзя - «большой</w:t>
      </w:r>
      <w:r w:rsidRPr="00925F26">
        <w:rPr>
          <w:rStyle w:val="245"/>
          <w:rFonts w:ascii="Times New Roman" w:hAnsi="Times New Roman" w:cs="Times New Roman"/>
          <w:i w:val="0"/>
          <w:color w:val="000000" w:themeColor="text1"/>
          <w:sz w:val="16"/>
          <w:szCs w:val="16"/>
          <w:lang w:val="ru-RU"/>
        </w:rPr>
        <w:t xml:space="preserve"> люфт между основной крыльчаткой и направляющей</w:t>
      </w:r>
      <w:r w:rsidRPr="00925F26">
        <w:rPr>
          <w:color w:val="000000" w:themeColor="text1"/>
          <w:lang w:val="ru-RU"/>
        </w:rPr>
        <w:t xml:space="preserve"> в </w:t>
      </w:r>
      <w:r w:rsidRPr="00925F26">
        <w:rPr>
          <w:rStyle w:val="245"/>
          <w:rFonts w:ascii="Times New Roman" w:hAnsi="Times New Roman" w:cs="Times New Roman"/>
          <w:i w:val="0"/>
          <w:color w:val="000000" w:themeColor="text1"/>
          <w:sz w:val="16"/>
          <w:szCs w:val="16"/>
          <w:lang w:val="ru-RU"/>
        </w:rPr>
        <w:t>самих шлицах, /.../ в нагнетателях также много пыли».</w:t>
      </w:r>
    </w:p>
    <w:p w14:paraId="3531BEFE" w14:textId="77777777" w:rsidR="00893AF7" w:rsidRPr="00925F26" w:rsidRDefault="00893AF7" w:rsidP="00925F26">
      <w:pPr>
        <w:pStyle w:val="a3"/>
        <w:rPr>
          <w:color w:val="000000" w:themeColor="text1"/>
          <w:lang w:val="ru-RU"/>
        </w:rPr>
      </w:pPr>
      <w:r w:rsidRPr="00925F26">
        <w:rPr>
          <w:color w:val="000000" w:themeColor="text1"/>
          <w:lang w:val="ru-RU"/>
        </w:rPr>
        <w:t>Как указывалось в отчёте старшего инженера полка майора Жиленкова, «для вос</w:t>
      </w:r>
      <w:r w:rsidRPr="00925F26">
        <w:rPr>
          <w:color w:val="000000" w:themeColor="text1"/>
          <w:lang w:val="ru-RU"/>
        </w:rPr>
        <w:softHyphen/>
        <w:t>становления всех</w:t>
      </w:r>
      <w:r w:rsidRPr="00925F26">
        <w:rPr>
          <w:rStyle w:val="245"/>
          <w:rFonts w:ascii="Times New Roman" w:hAnsi="Times New Roman" w:cs="Times New Roman"/>
          <w:i w:val="0"/>
          <w:color w:val="000000" w:themeColor="text1"/>
          <w:sz w:val="16"/>
          <w:szCs w:val="16"/>
          <w:lang w:val="ru-RU"/>
        </w:rPr>
        <w:t xml:space="preserve"> самолётов полку требуется 14 моторов АМ-42 и 18 нагнетателей».</w:t>
      </w:r>
      <w:r w:rsidRPr="00925F26">
        <w:rPr>
          <w:color w:val="000000" w:themeColor="text1"/>
          <w:lang w:val="ru-RU"/>
        </w:rPr>
        <w:t xml:space="preserve"> С учетом потерь, понесённых в ходе боевых действий, 571 шап фактически утратил бое</w:t>
      </w:r>
      <w:r w:rsidRPr="00925F26">
        <w:rPr>
          <w:color w:val="000000" w:themeColor="text1"/>
          <w:lang w:val="ru-RU"/>
        </w:rPr>
        <w:softHyphen/>
        <w:t>способность. Специальная комиссия ВВС в середине мая запретила эксплуатацию Ил-1 0 в строевых ча</w:t>
      </w:r>
      <w:r w:rsidRPr="00925F26">
        <w:rPr>
          <w:color w:val="000000" w:themeColor="text1"/>
          <w:lang w:val="ru-RU"/>
        </w:rPr>
        <w:softHyphen/>
        <w:t>стях до проведения необходимых доработок машины.</w:t>
      </w:r>
    </w:p>
    <w:p w14:paraId="5078EB2B" w14:textId="77777777" w:rsidR="00893AF7" w:rsidRPr="00925F26" w:rsidRDefault="00893AF7" w:rsidP="00925F26">
      <w:pPr>
        <w:pStyle w:val="a3"/>
        <w:rPr>
          <w:color w:val="000000" w:themeColor="text1"/>
          <w:lang w:val="ru-RU"/>
        </w:rPr>
      </w:pPr>
      <w:r w:rsidRPr="00925F26">
        <w:rPr>
          <w:color w:val="000000" w:themeColor="text1"/>
          <w:lang w:val="ru-RU"/>
        </w:rPr>
        <w:t>Самолётостроители довольно быстро довели Ил-10 до вполне нормального уровня надёж</w:t>
      </w:r>
      <w:r w:rsidRPr="00925F26">
        <w:rPr>
          <w:color w:val="000000" w:themeColor="text1"/>
          <w:lang w:val="ru-RU"/>
        </w:rPr>
        <w:softHyphen/>
        <w:t>ности. Конструкцию Ил-10 и ряд его узлов усилили, увеличили ресурс мотора АМ-42, отладили работу винтомоторной группы. Путем уменьшения жёсткости подвески мотора</w:t>
      </w:r>
      <w:r w:rsidRPr="00925F26">
        <w:rPr>
          <w:rStyle w:val="233"/>
          <w:rFonts w:ascii="Times New Roman" w:hAnsi="Times New Roman" w:cs="Times New Roman"/>
          <w:i w:val="0"/>
          <w:color w:val="000000" w:themeColor="text1"/>
          <w:sz w:val="16"/>
          <w:szCs w:val="16"/>
          <w:lang w:val="ru-RU"/>
        </w:rPr>
        <w:t xml:space="preserve"> «резонанс</w:t>
      </w:r>
      <w:r w:rsidRPr="00925F26">
        <w:rPr>
          <w:rStyle w:val="721"/>
          <w:rFonts w:ascii="Times New Roman" w:hAnsi="Times New Roman" w:cs="Times New Roman"/>
          <w:b w:val="0"/>
          <w:color w:val="000000" w:themeColor="text1"/>
          <w:sz w:val="16"/>
          <w:szCs w:val="16"/>
          <w:lang w:val="ru-RU"/>
        </w:rPr>
        <w:t xml:space="preserve"> сдви</w:t>
      </w:r>
      <w:r w:rsidRPr="00925F26">
        <w:rPr>
          <w:rStyle w:val="721"/>
          <w:rFonts w:ascii="Times New Roman" w:hAnsi="Times New Roman" w:cs="Times New Roman"/>
          <w:b w:val="0"/>
          <w:color w:val="000000" w:themeColor="text1"/>
          <w:sz w:val="16"/>
          <w:szCs w:val="16"/>
          <w:lang w:val="ru-RU"/>
        </w:rPr>
        <w:softHyphen/>
      </w:r>
      <w:r w:rsidRPr="00925F26">
        <w:rPr>
          <w:rStyle w:val="233"/>
          <w:rFonts w:ascii="Times New Roman" w:hAnsi="Times New Roman" w:cs="Times New Roman"/>
          <w:i w:val="0"/>
          <w:color w:val="000000" w:themeColor="text1"/>
          <w:sz w:val="16"/>
          <w:szCs w:val="16"/>
          <w:lang w:val="ru-RU"/>
        </w:rPr>
        <w:t>нули в область низких оборотов мотора».</w:t>
      </w:r>
      <w:r w:rsidRPr="00925F26">
        <w:rPr>
          <w:color w:val="000000" w:themeColor="text1"/>
          <w:lang w:val="ru-RU"/>
        </w:rPr>
        <w:t xml:space="preserve"> Тряска уменьшилась. Условия прицеливания улучши</w:t>
      </w:r>
      <w:r w:rsidRPr="00925F26">
        <w:rPr>
          <w:color w:val="000000" w:themeColor="text1"/>
          <w:lang w:val="ru-RU"/>
        </w:rPr>
        <w:softHyphen/>
        <w:t>лись. Повысили боевую мощь, установив в крыле четыре пушки НС-23, четыре ракетных орудия РО-82, оборонительную пушку Б-20Т. Модифицировали бомбовое вооружение. Неоднократ</w:t>
      </w:r>
      <w:r w:rsidRPr="00925F26">
        <w:rPr>
          <w:color w:val="000000" w:themeColor="text1"/>
          <w:lang w:val="ru-RU"/>
        </w:rPr>
        <w:softHyphen/>
        <w:t>но совершенствовались радиосвязное и навигационное оборудование. Но прицельное «хозяй</w:t>
      </w:r>
      <w:r w:rsidRPr="00925F26">
        <w:rPr>
          <w:color w:val="000000" w:themeColor="text1"/>
          <w:lang w:val="ru-RU"/>
        </w:rPr>
        <w:softHyphen/>
        <w:t>ство» осталось без изменений (15978).</w:t>
      </w:r>
    </w:p>
    <w:p w14:paraId="49E2A2BE" w14:textId="77777777" w:rsidR="00893AF7" w:rsidRPr="00925F26" w:rsidRDefault="00893AF7" w:rsidP="00925F26">
      <w:pPr>
        <w:pStyle w:val="a3"/>
        <w:rPr>
          <w:color w:val="000000" w:themeColor="text1"/>
          <w:lang w:val="ru-RU"/>
        </w:rPr>
      </w:pPr>
    </w:p>
    <w:p w14:paraId="168A2FDD" w14:textId="77777777" w:rsidR="00893AF7" w:rsidRPr="00925F26" w:rsidRDefault="00893AF7" w:rsidP="00925F26">
      <w:pPr>
        <w:shd w:val="clear" w:color="auto" w:fill="FFFFFF"/>
        <w:jc w:val="both"/>
        <w:rPr>
          <w:color w:val="000000" w:themeColor="text1"/>
          <w:sz w:val="16"/>
          <w:szCs w:val="16"/>
        </w:rPr>
      </w:pPr>
      <w:r w:rsidRPr="00925F26">
        <w:rPr>
          <w:color w:val="000000" w:themeColor="text1"/>
          <w:sz w:val="16"/>
          <w:szCs w:val="16"/>
        </w:rPr>
        <w:t>В конце апреля 1945 двигатели, поступившие на завод № 39,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4E5AE6C9" w14:textId="77777777" w:rsidR="00893AF7" w:rsidRPr="00925F26" w:rsidRDefault="00893AF7" w:rsidP="00925F26">
      <w:pPr>
        <w:shd w:val="clear" w:color="auto" w:fill="FFFFFF"/>
        <w:jc w:val="both"/>
        <w:rPr>
          <w:color w:val="000000" w:themeColor="text1"/>
          <w:sz w:val="16"/>
          <w:szCs w:val="16"/>
        </w:rPr>
      </w:pPr>
    </w:p>
    <w:p w14:paraId="10547B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1945 вторая машина Ер-2ОН проходила летные испытания, а остальные были закончены производством к моменту окончания войны с Германией (3322,44).</w:t>
      </w:r>
    </w:p>
    <w:p w14:paraId="14004C08" w14:textId="77777777" w:rsidR="00665165" w:rsidRPr="00925F26" w:rsidRDefault="00665165" w:rsidP="00925F26">
      <w:pPr>
        <w:autoSpaceDE w:val="0"/>
        <w:autoSpaceDN w:val="0"/>
        <w:adjustRightInd w:val="0"/>
        <w:jc w:val="both"/>
        <w:rPr>
          <w:color w:val="000000" w:themeColor="text1"/>
          <w:sz w:val="16"/>
          <w:szCs w:val="16"/>
        </w:rPr>
      </w:pPr>
    </w:p>
    <w:p w14:paraId="58127AC2" w14:textId="77777777" w:rsidR="00FF2E3B" w:rsidRPr="001A0BAA" w:rsidRDefault="00FF2E3B" w:rsidP="00FF2E3B">
      <w:pPr>
        <w:jc w:val="both"/>
        <w:rPr>
          <w:color w:val="0070C0"/>
          <w:sz w:val="16"/>
          <w:szCs w:val="16"/>
        </w:rPr>
      </w:pPr>
      <w:r w:rsidRPr="001A0BAA">
        <w:rPr>
          <w:color w:val="0070C0"/>
          <w:sz w:val="16"/>
          <w:szCs w:val="16"/>
        </w:rPr>
        <w:t>К концу апреля 1945 г. установка «Явор» с фотовспышкой на Ту-2 для ночного аэрофотографирования успешно прошла испытания и была рекомендована к постройке малой серией с учетом ряда замечаний. Для дальнейших работ над подобными конструкциями было намечено организовать в ВЭИ лабораторию и КБ по импульсным источникам света. Укомплектовать лабораторию и КБ предполагалось ранее призванными в армию работ</w:t>
      </w:r>
      <w:r w:rsidRPr="001A0BAA">
        <w:rPr>
          <w:color w:val="0070C0"/>
          <w:sz w:val="16"/>
          <w:szCs w:val="16"/>
        </w:rPr>
        <w:softHyphen/>
        <w:t>никами ЭНИН (25027).</w:t>
      </w:r>
    </w:p>
    <w:p w14:paraId="57FC4429" w14:textId="77777777" w:rsidR="00FF2E3B" w:rsidRPr="001A0BAA" w:rsidRDefault="00FF2E3B" w:rsidP="00FF2E3B">
      <w:pPr>
        <w:jc w:val="both"/>
        <w:rPr>
          <w:color w:val="0070C0"/>
          <w:sz w:val="16"/>
          <w:szCs w:val="16"/>
        </w:rPr>
      </w:pPr>
    </w:p>
    <w:p w14:paraId="6A7180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1945 закончились испытания Ла-7Р-1 с РД-1 и Ла-7Р-2 с РД-1ХЗ, которые шли с конца лета 1944 и с января 1945. Максимальная скорость была до 795 км/час на 6300, а максимальный прирост скорости - 162 км/час. В заключении отчета написано "...результаты испытаний самолета ла-7Р с однокамерным реактивным двигателем РД-1 и РД-1ХЗ...показали полную возможность использования РД-1ХЗ как вспомогательного двигателя-ускорителя..." (173,416).</w:t>
      </w:r>
    </w:p>
    <w:p w14:paraId="1F6A3DDD" w14:textId="77777777" w:rsidR="00665165" w:rsidRPr="00925F26" w:rsidRDefault="00665165" w:rsidP="00925F26">
      <w:pPr>
        <w:autoSpaceDE w:val="0"/>
        <w:autoSpaceDN w:val="0"/>
        <w:adjustRightInd w:val="0"/>
        <w:jc w:val="both"/>
        <w:rPr>
          <w:color w:val="000000" w:themeColor="text1"/>
          <w:sz w:val="16"/>
          <w:szCs w:val="16"/>
        </w:rPr>
      </w:pPr>
    </w:p>
    <w:p w14:paraId="49D400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1945 вышел приказ НКАП N 186 о проведении совместных заводских и гос. испытаний ЛЛ-143 Г.М.Б. и назначении комиссии в составе Нач. 3 ВМАУ ВМФ (Нач.) В.Ф.Залыгина, вл Н.П.Котлякова (завод 477), Ф.С.Лещенко (ЛИИ ВВС ВМФ), ви А.С.Корытина (447) и Л.И.Кудрявцева (ЛИИ ВВС ВМФ) (3827,18).</w:t>
      </w:r>
    </w:p>
    <w:p w14:paraId="65111375" w14:textId="77777777" w:rsidR="00665165" w:rsidRPr="00925F26" w:rsidRDefault="00665165" w:rsidP="00925F26">
      <w:pPr>
        <w:autoSpaceDE w:val="0"/>
        <w:autoSpaceDN w:val="0"/>
        <w:adjustRightInd w:val="0"/>
        <w:jc w:val="both"/>
        <w:rPr>
          <w:color w:val="000000" w:themeColor="text1"/>
          <w:sz w:val="16"/>
          <w:szCs w:val="16"/>
        </w:rPr>
      </w:pPr>
    </w:p>
    <w:p w14:paraId="4AE9F6DC" w14:textId="77777777" w:rsidR="00E70305" w:rsidRPr="00925F26" w:rsidRDefault="00E70305" w:rsidP="00925F26">
      <w:pPr>
        <w:shd w:val="clear" w:color="auto" w:fill="FFFFFF"/>
        <w:jc w:val="both"/>
        <w:rPr>
          <w:color w:val="000000" w:themeColor="text1"/>
          <w:sz w:val="16"/>
          <w:szCs w:val="16"/>
        </w:rPr>
      </w:pPr>
      <w:r w:rsidRPr="00925F26">
        <w:rPr>
          <w:rStyle w:val="690"/>
          <w:rFonts w:ascii="Times New Roman" w:hAnsi="Times New Roman" w:cs="Times New Roman"/>
          <w:color w:val="000000" w:themeColor="text1"/>
          <w:sz w:val="16"/>
          <w:szCs w:val="16"/>
        </w:rPr>
        <w:t>В конце апреля 1945 было принято решении о развертыва</w:t>
      </w:r>
      <w:r w:rsidRPr="00925F26">
        <w:rPr>
          <w:rStyle w:val="690"/>
          <w:rFonts w:ascii="Times New Roman" w:hAnsi="Times New Roman" w:cs="Times New Roman"/>
          <w:color w:val="000000" w:themeColor="text1"/>
          <w:sz w:val="16"/>
          <w:szCs w:val="16"/>
        </w:rPr>
        <w:softHyphen/>
        <w:t>нии серийного производства ЮМ0-004 под наименованием РД-10, поэтому львиная доля кондиционных моторов - 11 штук из 39 двигателей ЮМ0-004, поступивших в Москву, достались заводу № 300, 5 - заводу № 26, две штуки отправили в ЛИИ</w:t>
      </w:r>
    </w:p>
    <w:p w14:paraId="0CB0237A" w14:textId="77777777" w:rsidR="00E70305" w:rsidRPr="00925F26" w:rsidRDefault="00E70305" w:rsidP="00925F26">
      <w:pPr>
        <w:shd w:val="clear" w:color="auto" w:fill="FFFFFF"/>
        <w:jc w:val="both"/>
        <w:rPr>
          <w:color w:val="000000" w:themeColor="text1"/>
          <w:sz w:val="16"/>
          <w:szCs w:val="16"/>
        </w:rPr>
      </w:pPr>
    </w:p>
    <w:p w14:paraId="5B245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1945 для поиска и изучения немецкого авиационного оборудования вылетела комиссия НКАП во главе с Н.И.Петровым - нач. Института самолетного оборудования и во время боев в Берлине осмотрели DVL и много другое. Нашли отчеты по испытаниям самолетов и частей в трубах в 1939-1944 и образцы (1795,59).</w:t>
      </w:r>
    </w:p>
    <w:p w14:paraId="1CD0679B" w14:textId="77777777" w:rsidR="00665165" w:rsidRPr="00925F26" w:rsidRDefault="00665165" w:rsidP="00925F26">
      <w:pPr>
        <w:autoSpaceDE w:val="0"/>
        <w:autoSpaceDN w:val="0"/>
        <w:adjustRightInd w:val="0"/>
        <w:jc w:val="both"/>
        <w:rPr>
          <w:color w:val="000000" w:themeColor="text1"/>
          <w:sz w:val="16"/>
          <w:szCs w:val="16"/>
        </w:rPr>
      </w:pPr>
    </w:p>
    <w:p w14:paraId="022360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1945 для поиска и изучения немецкого авиационного оборудования в Германию вылетела специальная комиссия НКАП во главе с начальником Института самолетного оборудования генерал-майором Н. И. Петровым. В ее состав входили представители ведущих авиационных организаций: заместитель начальника Центральногот института авиационного моторостроения (ЦИАМ) В. В. Владимиров, заместитель начальника Центрального аэрогидродинамического института (ЦАГИ) К. И. Суржин, заместитель начальника Всесоюзного института авиационных материалов (ВИАМ) Р. С. Амбарцу-мян, заместитель начальника Летно-исследовательского института (ЛИИ) Д. Зосим и еще несколько человек. Свою миссию они начали с Берлина и его пригородов. Они обследовали территории Авиационного научно-исследовательского института, Всегерманского института испытания материалов, опытного завода фирмы «Теле-функен» (производство радиолокаторов), предприятия компаний «Хейнкель», «БМВ», «Сименс» и «Аскания». Среди наиболее ценных находок комиссии были полный комплект отчетов группы по испытанию самолетов и их частей в скоростной аэродинамической трубе за 1939—1944 годы, образцы самолетных и наземных радиолокационных установок, пилотируемый вариант самолета-снаряда V-1, фюзеляж реактивного самолета Не-162, стенды для испытания двигателя БМВ-003 (11765).</w:t>
      </w:r>
    </w:p>
    <w:p w14:paraId="22429AFC" w14:textId="77777777" w:rsidR="00665165" w:rsidRPr="00925F26" w:rsidRDefault="00665165" w:rsidP="00925F26">
      <w:pPr>
        <w:autoSpaceDE w:val="0"/>
        <w:autoSpaceDN w:val="0"/>
        <w:adjustRightInd w:val="0"/>
        <w:jc w:val="both"/>
        <w:rPr>
          <w:color w:val="000000" w:themeColor="text1"/>
          <w:sz w:val="16"/>
          <w:szCs w:val="16"/>
        </w:rPr>
      </w:pPr>
    </w:p>
    <w:p w14:paraId="2F944F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последней декаде апреля 1945 г. военпреды завода № 500 выявили массовый брак коленчатых валов (8984).</w:t>
      </w:r>
    </w:p>
    <w:p w14:paraId="67B2538C" w14:textId="77777777" w:rsidR="00665165" w:rsidRPr="00925F26" w:rsidRDefault="00665165" w:rsidP="00925F26">
      <w:pPr>
        <w:autoSpaceDE w:val="0"/>
        <w:autoSpaceDN w:val="0"/>
        <w:adjustRightInd w:val="0"/>
        <w:jc w:val="both"/>
        <w:rPr>
          <w:color w:val="000000" w:themeColor="text1"/>
          <w:sz w:val="16"/>
          <w:szCs w:val="16"/>
        </w:rPr>
      </w:pPr>
    </w:p>
    <w:p w14:paraId="3F3C0C4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DAF171D" w14:textId="77777777" w:rsidR="00665165" w:rsidRPr="00925F26" w:rsidRDefault="00665165" w:rsidP="00925F26">
      <w:pPr>
        <w:autoSpaceDE w:val="0"/>
        <w:autoSpaceDN w:val="0"/>
        <w:adjustRightInd w:val="0"/>
        <w:jc w:val="both"/>
        <w:rPr>
          <w:iCs/>
          <w:color w:val="000000" w:themeColor="text1"/>
          <w:sz w:val="16"/>
          <w:szCs w:val="16"/>
        </w:rPr>
      </w:pPr>
    </w:p>
    <w:p w14:paraId="4116BD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последних числах апреля 1945 г. согласно Герою Советского Союза гвардии капитану В.А.Кумскову 2-й Украинский фронт успешно вел наступление в Чехословакии. Немецкие войска отступали по всему фронту.</w:t>
      </w:r>
    </w:p>
    <w:p w14:paraId="20673B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Только на участке Брно-Вышков враг все еще упорно сопротивлялся.</w:t>
      </w:r>
    </w:p>
    <w:p w14:paraId="33517D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Частям штурмовой дивизии была поставлена задача: уничтожать живую силу и технику противника на участке Брно-Вышков. Управлять действиями штурмовиков должен был командир корпуса с КП наземных войск.</w:t>
      </w:r>
    </w:p>
    <w:p w14:paraId="583A0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 полка поставил задачу: группе самолетов в составе 6 Ил-2 под прикрытием 4 Як-9 подавить живую силу противника в населенном пункте и станции Лулец.</w:t>
      </w:r>
    </w:p>
    <w:p w14:paraId="44B18F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 сопровождения базировались на одном с ш аэродроме. Мы имели большой опыт совместных действий.</w:t>
      </w:r>
    </w:p>
    <w:p w14:paraId="6AD206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 эскадрильи назначил Кумского своим заместителем в группе. Каждому летчику было указано место в строю и его обязанности. Замыкающему летчику, опытному фотосъемщику, командир приказал сфотографировать результат боевых действий группы. После взлета и построения в боевой порядок правый "пеленг" ш легли на курс.</w:t>
      </w:r>
    </w:p>
    <w:p w14:paraId="165CFF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Кумсков с ведущим проверили связь между собой и с остальными экипажами. При подходе к КПП ведущий не мог установить с ним связь и дал команду связаться Кумскову. Кумсков установил связь и получил приказание идти на свою цель, которое передал ведущему. Он понял. Подходя к пункту Лулец, командир эскадрильи </w:t>
      </w:r>
      <w:r w:rsidRPr="00925F26">
        <w:rPr>
          <w:color w:val="000000" w:themeColor="text1"/>
          <w:sz w:val="16"/>
          <w:szCs w:val="16"/>
        </w:rPr>
        <w:lastRenderedPageBreak/>
        <w:t>принял решение атаковать этот пункт, где находилось до 6-8 автомашин. Цель, конечно, бедная. Но как только он перешел в планирование на цель, Кумсков заметил на станции Лулец эшелон с крытыми вагонами. Паровоз был под парами, медлить было нельзя, он мог уйти. Кумсков передал ведущему об обнаруженной цели, а сам стал доворачивать на эшелон.</w:t>
      </w:r>
    </w:p>
    <w:p w14:paraId="08B488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Ведущий приказал атаковать эшелон. Кумсков находился в очень выгодном положении для атаки и немедленно перешел в планирование с высоты 900 м, за Кумским последовали остальные самолеты.</w:t>
      </w:r>
    </w:p>
    <w:p w14:paraId="10E960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Планируя с углом 300, ш вели пулеметно-пушечный огонь по эшелону, а бомбометание производили на выводе из планирования с высоты 250-300 м. Кумсков и другие экипажи первый заход произвели удачно. Основная масса бомб попала в эшелон, остальная часть - в станционные постройки. Начали рваться боеприпасы. Ш сделали еще три захода из боевого порядка "круг". Пушечным огнем был взорван паровоз, который, бросив эшелон, хотел уйти. Истребители прикрывали ш двумя парами, патрулируя с обратным кругом. Противодействия с земли не было оказано, а истребители противника были связаны боем в соседнем районе. Замыкающий летчик сфотографировал результаты удара. Ш собрались в прежний боевой порядок и легли на обратный курс. Пролетая КПП, я передал о принятом решении и о результатах атаки. Командир корпуса одобрил решение Кумскова и приказал идти на свой аэродром. Фотоснимок подтвердил результаты. Группа без потерь вернулась на свой аэродром.</w:t>
      </w:r>
    </w:p>
    <w:p w14:paraId="641C5F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Благодаря разумно проявленной инициативе ведущего и использованию всех возможностей радиосвязи группа уничтожила более важную по своему значению цель - взорвала эшелон с боеприпасами (3207).</w:t>
      </w:r>
    </w:p>
    <w:p w14:paraId="2F90CB7E" w14:textId="77777777" w:rsidR="00665165" w:rsidRPr="00925F26" w:rsidRDefault="00665165" w:rsidP="00925F26">
      <w:pPr>
        <w:autoSpaceDE w:val="0"/>
        <w:autoSpaceDN w:val="0"/>
        <w:adjustRightInd w:val="0"/>
        <w:jc w:val="both"/>
        <w:rPr>
          <w:color w:val="000000" w:themeColor="text1"/>
          <w:sz w:val="16"/>
          <w:szCs w:val="16"/>
        </w:rPr>
      </w:pPr>
    </w:p>
    <w:p w14:paraId="60DB7C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конца апреля 1945 на Ил-10 воевал 118 гшап (командир В.Верещинский) в Прибалтике. Первыми начали летать на штурмовку без сопровождения и. За день до капитуляции командира эскадрильи П.Однобокова сбил сразу два Bf-109 - те проскочили вперед и одного подбили пушки, а другого - ведомого - стрелок (1605,3).</w:t>
      </w:r>
    </w:p>
    <w:p w14:paraId="5F4C27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Считается, что 108 шап, вооруженный Ил-10 активно воевал не менее месяца c апреля 1945 до конца войны и выполнила свыше 450 боевых вылетов (337,86).</w:t>
      </w:r>
    </w:p>
    <w:p w14:paraId="07845016" w14:textId="77777777" w:rsidR="00665165" w:rsidRPr="00925F26" w:rsidRDefault="00665165" w:rsidP="00925F26">
      <w:pPr>
        <w:autoSpaceDE w:val="0"/>
        <w:autoSpaceDN w:val="0"/>
        <w:adjustRightInd w:val="0"/>
        <w:jc w:val="both"/>
        <w:rPr>
          <w:color w:val="000000" w:themeColor="text1"/>
          <w:sz w:val="16"/>
          <w:szCs w:val="16"/>
        </w:rPr>
      </w:pPr>
    </w:p>
    <w:p w14:paraId="34F3F8D8"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С конца апреля 1945 г. в Прибалтике на Ил-10 воевал 118-й гвардейский шап (командир В. Верешинский), первым на</w:t>
      </w:r>
      <w:r w:rsidRPr="001A0BAA">
        <w:rPr>
          <w:rStyle w:val="aff0"/>
          <w:rFonts w:ascii="Times New Roman" w:hAnsi="Times New Roman" w:cs="Times New Roman"/>
          <w:color w:val="0070C0"/>
          <w:spacing w:val="0"/>
          <w:sz w:val="16"/>
          <w:szCs w:val="16"/>
        </w:rPr>
        <w:softHyphen/>
        <w:t>чавший вылетать без сопровождения истребителями. За день до капитуляции Германии экипаж командира эскад</w:t>
      </w:r>
      <w:r w:rsidRPr="001A0BAA">
        <w:rPr>
          <w:rStyle w:val="aff0"/>
          <w:rFonts w:ascii="Times New Roman" w:hAnsi="Times New Roman" w:cs="Times New Roman"/>
          <w:color w:val="0070C0"/>
          <w:spacing w:val="0"/>
          <w:sz w:val="16"/>
          <w:szCs w:val="16"/>
        </w:rPr>
        <w:softHyphen/>
        <w:t xml:space="preserve">рильи П. Однобокова сбил сразу два истребителя Ме-109. Вовремя увидев пикировавшего сзади </w:t>
      </w:r>
      <w:proofErr w:type="gramStart"/>
      <w:r w:rsidRPr="001A0BAA">
        <w:rPr>
          <w:rStyle w:val="aff0"/>
          <w:rFonts w:ascii="Times New Roman" w:hAnsi="Times New Roman" w:cs="Times New Roman"/>
          <w:color w:val="0070C0"/>
          <w:spacing w:val="0"/>
          <w:sz w:val="16"/>
          <w:szCs w:val="16"/>
        </w:rPr>
        <w:t>на штурмовик</w:t>
      </w:r>
      <w:proofErr w:type="gramEnd"/>
      <w:r w:rsidRPr="001A0BAA">
        <w:rPr>
          <w:rStyle w:val="aff0"/>
          <w:rFonts w:ascii="Times New Roman" w:hAnsi="Times New Roman" w:cs="Times New Roman"/>
          <w:color w:val="0070C0"/>
          <w:spacing w:val="0"/>
          <w:sz w:val="16"/>
          <w:szCs w:val="16"/>
        </w:rPr>
        <w:t xml:space="preserve"> «мес</w:t>
      </w:r>
      <w:r w:rsidRPr="001A0BAA">
        <w:rPr>
          <w:rStyle w:val="aff0"/>
          <w:rFonts w:ascii="Times New Roman" w:hAnsi="Times New Roman" w:cs="Times New Roman"/>
          <w:color w:val="0070C0"/>
          <w:spacing w:val="0"/>
          <w:sz w:val="16"/>
          <w:szCs w:val="16"/>
        </w:rPr>
        <w:softHyphen/>
        <w:t>сера», летчик уменьшил скорость, сбросив обороты двига</w:t>
      </w:r>
      <w:r w:rsidRPr="001A0BAA">
        <w:rPr>
          <w:rStyle w:val="aff0"/>
          <w:rFonts w:ascii="Times New Roman" w:hAnsi="Times New Roman" w:cs="Times New Roman"/>
          <w:color w:val="0070C0"/>
          <w:spacing w:val="0"/>
          <w:sz w:val="16"/>
          <w:szCs w:val="16"/>
        </w:rPr>
        <w:softHyphen/>
        <w:t>теля. Ведущий немецкой пары проскочил вперед, попав под огонь крыльевых пушек, а его ведомый был уничтожен стрелком Аверковым (25091).</w:t>
      </w:r>
    </w:p>
    <w:p w14:paraId="0E9E472B" w14:textId="77777777" w:rsidR="00FF2E3B" w:rsidRPr="001A0BAA" w:rsidRDefault="00FF2E3B" w:rsidP="00FF2E3B">
      <w:pPr>
        <w:jc w:val="both"/>
        <w:rPr>
          <w:color w:val="0070C0"/>
          <w:sz w:val="16"/>
          <w:szCs w:val="16"/>
        </w:rPr>
      </w:pPr>
    </w:p>
    <w:p w14:paraId="691D0826" w14:textId="77777777" w:rsidR="00FF2E3B" w:rsidRPr="001A0BAA" w:rsidRDefault="00FF2E3B" w:rsidP="00FF2E3B">
      <w:pPr>
        <w:jc w:val="both"/>
        <w:rPr>
          <w:color w:val="0070C0"/>
          <w:sz w:val="16"/>
          <w:szCs w:val="16"/>
        </w:rPr>
      </w:pPr>
      <w:r w:rsidRPr="001A0BAA">
        <w:rPr>
          <w:color w:val="0070C0"/>
          <w:sz w:val="16"/>
          <w:szCs w:val="16"/>
        </w:rPr>
        <w:t>К концу апреля 1945 к моменту капитуляции Германии в Праге находился один немецкий спецпоезд для А-4. Там его обнаружил В. П. Мишин и сообщил Л. Гайдукову. Генерал приказал перегнать поезд в Нордхаузен. Здесь сформировали ещё один такой же и в конце 1946 г. оба поезда отправили в СССР.</w:t>
      </w:r>
    </w:p>
    <w:p w14:paraId="19CE773E" w14:textId="77777777" w:rsidR="00FF2E3B" w:rsidRPr="001A0BAA" w:rsidRDefault="00FF2E3B" w:rsidP="00FF2E3B">
      <w:pPr>
        <w:jc w:val="both"/>
        <w:rPr>
          <w:color w:val="0070C0"/>
          <w:sz w:val="16"/>
          <w:szCs w:val="16"/>
        </w:rPr>
      </w:pPr>
    </w:p>
    <w:p w14:paraId="7A010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1945 г. управляющий делами нацистской партии М.Борман получил задание устроить Гитлеру интервью, как оказалось, последнее. К Гитлеру был доставлен швейцарский журналист Курт Шпейдель. Он сумел задать всего пять вопросов. На четвертый вопрос: "Оглядываясь назад, вы не пугаетесь некоторых своих поступков? Скажем, т.н. окончательного решения еврейского вопроса?" - получил злой ответ - "В этот трагический для Германии час я не могу думать о евреях". Возможно, Гитлер уже понял, что сионизм его просто использовал, даже помимо его воли. Да еще как использовал!</w:t>
      </w:r>
    </w:p>
    <w:p w14:paraId="15902235" w14:textId="77777777" w:rsidR="00665165" w:rsidRPr="00925F26" w:rsidRDefault="00665165" w:rsidP="00925F26">
      <w:pPr>
        <w:autoSpaceDE w:val="0"/>
        <w:autoSpaceDN w:val="0"/>
        <w:adjustRightInd w:val="0"/>
        <w:jc w:val="both"/>
        <w:rPr>
          <w:iCs/>
          <w:color w:val="000000" w:themeColor="text1"/>
          <w:sz w:val="16"/>
          <w:szCs w:val="16"/>
        </w:rPr>
      </w:pPr>
    </w:p>
    <w:p w14:paraId="557D15CE" w14:textId="77777777" w:rsidR="00893AF7"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ABA75C6" w14:textId="77777777" w:rsidR="00893AF7" w:rsidRPr="00925F26" w:rsidRDefault="00893AF7" w:rsidP="00925F26">
      <w:pPr>
        <w:autoSpaceDE w:val="0"/>
        <w:autoSpaceDN w:val="0"/>
        <w:adjustRightInd w:val="0"/>
        <w:jc w:val="both"/>
        <w:rPr>
          <w:iCs/>
          <w:color w:val="000000" w:themeColor="text1"/>
          <w:sz w:val="16"/>
          <w:szCs w:val="16"/>
        </w:rPr>
      </w:pPr>
    </w:p>
    <w:p w14:paraId="1E450306" w14:textId="77777777" w:rsidR="00893AF7" w:rsidRPr="00925F26" w:rsidRDefault="00893AF7" w:rsidP="00925F26">
      <w:pPr>
        <w:pStyle w:val="a3"/>
        <w:rPr>
          <w:color w:val="000000" w:themeColor="text1"/>
          <w:lang w:val="ru-RU"/>
        </w:rPr>
      </w:pPr>
      <w:r w:rsidRPr="00925F26">
        <w:rPr>
          <w:color w:val="000000" w:themeColor="text1"/>
          <w:lang w:val="ru-RU"/>
        </w:rPr>
        <w:t>В конце апреля 1945 10 Ва.349А, вооружённые НАР, были размещены под Штутгартом и готовились к первому боевому вылету. Но раньше, чем американские бомбардировщики, появилось «лучшее в мире средство ПВО - танки на аэродроме противника». Американ</w:t>
      </w:r>
      <w:r w:rsidRPr="00925F26">
        <w:rPr>
          <w:color w:val="000000" w:themeColor="text1"/>
          <w:lang w:val="ru-RU"/>
        </w:rPr>
        <w:softHyphen/>
        <w:t>цы захватили несколько целехоньких самолётов, технический и лётный персонал и доку</w:t>
      </w:r>
      <w:r w:rsidRPr="00925F26">
        <w:rPr>
          <w:color w:val="000000" w:themeColor="text1"/>
          <w:lang w:val="ru-RU"/>
        </w:rPr>
        <w:softHyphen/>
        <w:t>ментацию (15841).</w:t>
      </w:r>
    </w:p>
    <w:p w14:paraId="5891CBB4" w14:textId="77777777" w:rsidR="00893AF7" w:rsidRPr="00925F26" w:rsidRDefault="00893AF7" w:rsidP="00925F26">
      <w:pPr>
        <w:pStyle w:val="a3"/>
        <w:rPr>
          <w:color w:val="000000" w:themeColor="text1"/>
          <w:lang w:val="ru-RU"/>
        </w:rPr>
      </w:pPr>
    </w:p>
    <w:p w14:paraId="09B838DD" w14:textId="1187F676" w:rsidR="00824A4F" w:rsidRPr="00925F26" w:rsidRDefault="00824A4F" w:rsidP="00925F26">
      <w:pPr>
        <w:autoSpaceDE w:val="0"/>
        <w:autoSpaceDN w:val="0"/>
        <w:adjustRightInd w:val="0"/>
        <w:jc w:val="both"/>
        <w:rPr>
          <w:i/>
          <w:iCs/>
          <w:color w:val="000000" w:themeColor="text1"/>
          <w:sz w:val="16"/>
          <w:szCs w:val="16"/>
        </w:rPr>
      </w:pPr>
      <w:r w:rsidRPr="00925F26">
        <w:rPr>
          <w:i/>
          <w:iCs/>
          <w:color w:val="000000" w:themeColor="text1"/>
          <w:sz w:val="16"/>
          <w:szCs w:val="16"/>
        </w:rPr>
        <w:t>Авиапромышленность:</w:t>
      </w:r>
    </w:p>
    <w:p w14:paraId="3249E118" w14:textId="77777777" w:rsidR="00824A4F" w:rsidRPr="00925F26" w:rsidRDefault="00824A4F" w:rsidP="00925F26">
      <w:pPr>
        <w:autoSpaceDE w:val="0"/>
        <w:autoSpaceDN w:val="0"/>
        <w:adjustRightInd w:val="0"/>
        <w:jc w:val="both"/>
        <w:rPr>
          <w:i/>
          <w:iCs/>
          <w:color w:val="000000" w:themeColor="text1"/>
          <w:sz w:val="16"/>
          <w:szCs w:val="16"/>
        </w:rPr>
      </w:pPr>
    </w:p>
    <w:p w14:paraId="574D1961" w14:textId="77777777" w:rsidR="00824A4F" w:rsidRPr="00925F26" w:rsidRDefault="00824A4F" w:rsidP="00925F26">
      <w:pPr>
        <w:autoSpaceDE w:val="0"/>
        <w:autoSpaceDN w:val="0"/>
        <w:adjustRightInd w:val="0"/>
        <w:jc w:val="both"/>
        <w:rPr>
          <w:color w:val="000000" w:themeColor="text1"/>
          <w:sz w:val="16"/>
          <w:szCs w:val="16"/>
        </w:rPr>
      </w:pPr>
      <w:r w:rsidRPr="00925F26">
        <w:rPr>
          <w:color w:val="000000" w:themeColor="text1"/>
          <w:sz w:val="16"/>
          <w:szCs w:val="16"/>
        </w:rPr>
        <w:t>В конце апреля - начале мая 1945 в Австрию поехала группа НКАП и в Вене исследовали КБ и заводы Хейнкеля (1795,60).</w:t>
      </w:r>
    </w:p>
    <w:p w14:paraId="43D378E7" w14:textId="77777777" w:rsidR="00824A4F" w:rsidRPr="00925F26" w:rsidRDefault="00824A4F" w:rsidP="00925F26">
      <w:pPr>
        <w:autoSpaceDE w:val="0"/>
        <w:autoSpaceDN w:val="0"/>
        <w:adjustRightInd w:val="0"/>
        <w:jc w:val="both"/>
        <w:rPr>
          <w:color w:val="000000" w:themeColor="text1"/>
          <w:sz w:val="16"/>
          <w:szCs w:val="16"/>
        </w:rPr>
      </w:pPr>
    </w:p>
    <w:p w14:paraId="22D20784" w14:textId="77777777" w:rsidR="00824A4F" w:rsidRPr="00925F26" w:rsidRDefault="00824A4F" w:rsidP="00925F26">
      <w:pPr>
        <w:jc w:val="both"/>
        <w:rPr>
          <w:color w:val="000000" w:themeColor="text1"/>
          <w:sz w:val="16"/>
          <w:szCs w:val="16"/>
        </w:rPr>
      </w:pPr>
      <w:r w:rsidRPr="00925F26">
        <w:rPr>
          <w:color w:val="000000" w:themeColor="text1"/>
          <w:sz w:val="16"/>
          <w:szCs w:val="16"/>
        </w:rPr>
        <w:t xml:space="preserve">В конце апреля - начале мая 1945 г. в Австрию на территорию, на которой находились КБ и заводы фирмы "Хейнкель" и которая попала в советскую оккупационную зону, были направлены инженеры НКАП. Результаты их командировки впечатляли. Кроме большого количества техдокументации фирмы "Хейнкель", удалось обнаружить реактивные самолеты и двигатели, в числе которых были три поврежденных Не 280 (предположительно V3, V6 и V9) и несколько ТРД HeS 8A. В отличие от Me 262, ни </w:t>
      </w:r>
      <w:proofErr w:type="gramStart"/>
      <w:r w:rsidRPr="00925F26">
        <w:rPr>
          <w:color w:val="000000" w:themeColor="text1"/>
          <w:sz w:val="16"/>
          <w:szCs w:val="16"/>
        </w:rPr>
        <w:t>один</w:t>
      </w:r>
      <w:proofErr w:type="gramEnd"/>
      <w:r w:rsidRPr="00925F26">
        <w:rPr>
          <w:color w:val="000000" w:themeColor="text1"/>
          <w:sz w:val="16"/>
          <w:szCs w:val="16"/>
        </w:rPr>
        <w:t xml:space="preserve"> Не 280 не восстанавливался до летного состояния. Не удалось также установить, перевезли ли эти самолеты в СССР или изучали на месте. Однако </w:t>
      </w:r>
      <w:proofErr w:type="gramStart"/>
      <w:r w:rsidRPr="00925F26">
        <w:rPr>
          <w:color w:val="000000" w:themeColor="text1"/>
          <w:sz w:val="16"/>
          <w:szCs w:val="16"/>
        </w:rPr>
        <w:t>исследовали</w:t>
      </w:r>
      <w:proofErr w:type="gramEnd"/>
      <w:r w:rsidRPr="00925F26">
        <w:rPr>
          <w:color w:val="000000" w:themeColor="text1"/>
          <w:sz w:val="16"/>
          <w:szCs w:val="16"/>
        </w:rPr>
        <w:t xml:space="preserve"> Не 280 очень тщательно - обмерили, что называется, вдоль и поперек, изучили и проанализировали конструкцию самолета и фирменное описание "Baubeschreibuug He 280". Итогом этих работ стали выпущенные в 1947 г. издательством Бюро Новой Техники (БНТ) ЦАГИ технические описания </w:t>
      </w:r>
      <w:proofErr w:type="gramStart"/>
      <w:r w:rsidRPr="00925F26">
        <w:rPr>
          <w:color w:val="000000" w:themeColor="text1"/>
          <w:sz w:val="16"/>
          <w:szCs w:val="16"/>
        </w:rPr>
        <w:t>самолета</w:t>
      </w:r>
      <w:proofErr w:type="gramEnd"/>
      <w:r w:rsidRPr="00925F26">
        <w:rPr>
          <w:color w:val="000000" w:themeColor="text1"/>
          <w:sz w:val="16"/>
          <w:szCs w:val="16"/>
        </w:rPr>
        <w:t xml:space="preserve"> Не 280 {№ 339) и его шасси (№ 354).</w:t>
      </w:r>
    </w:p>
    <w:p w14:paraId="6E77255F" w14:textId="77777777" w:rsidR="00824A4F" w:rsidRPr="00925F26" w:rsidRDefault="00824A4F" w:rsidP="00925F26">
      <w:pPr>
        <w:jc w:val="both"/>
        <w:rPr>
          <w:color w:val="000000" w:themeColor="text1"/>
          <w:sz w:val="16"/>
          <w:szCs w:val="16"/>
        </w:rPr>
      </w:pPr>
      <w:r w:rsidRPr="00925F26">
        <w:rPr>
          <w:color w:val="000000" w:themeColor="text1"/>
          <w:sz w:val="16"/>
          <w:szCs w:val="16"/>
        </w:rPr>
        <w:t>Советские специалисты оценили хорошую аэродинамику машины, интересную конструкцию основных стоек шасси рычажного типа, эффективную кинематическую связь между закрылками и ГО, изменяющую угол установки стабилизатора, удобный доступ к пушкам и агрегатам вооружения, удачную систему катапультирования и ряд других интересных конструктивных решений. Однако хорошее впечатление о самолете очень портила вопиющая нетехнологичность конструкции планера. Приведем некоторые выдержки из выводов советских специалистов.</w:t>
      </w:r>
    </w:p>
    <w:p w14:paraId="6BE1A638" w14:textId="77777777" w:rsidR="00824A4F" w:rsidRPr="00925F26" w:rsidRDefault="00824A4F" w:rsidP="00925F26">
      <w:pPr>
        <w:jc w:val="both"/>
        <w:rPr>
          <w:color w:val="000000" w:themeColor="text1"/>
          <w:sz w:val="16"/>
          <w:szCs w:val="16"/>
        </w:rPr>
      </w:pPr>
      <w:r w:rsidRPr="00925F26">
        <w:rPr>
          <w:color w:val="000000" w:themeColor="text1"/>
          <w:sz w:val="16"/>
          <w:szCs w:val="16"/>
        </w:rPr>
        <w:t xml:space="preserve">"Характерной особенностью компоновки </w:t>
      </w:r>
      <w:proofErr w:type="gramStart"/>
      <w:r w:rsidRPr="00925F26">
        <w:rPr>
          <w:color w:val="000000" w:themeColor="text1"/>
          <w:sz w:val="16"/>
          <w:szCs w:val="16"/>
        </w:rPr>
        <w:t>истребителя Не</w:t>
      </w:r>
      <w:proofErr w:type="gramEnd"/>
      <w:r w:rsidRPr="00925F26">
        <w:rPr>
          <w:color w:val="000000" w:themeColor="text1"/>
          <w:sz w:val="16"/>
          <w:szCs w:val="16"/>
        </w:rPr>
        <w:t xml:space="preserve"> 280 является отсутствие определенной системы в размещении отдельных агрегатов, что увеличивает цикл окончательной сборки самолета и значительно усложняет технологический процесс изготовления планера. ...Анализируя общую компоновку фюзеляжа, нетрудно увидеть, что причиной "нестройности" в размещении основных агрегатов является уборка в фюзеляж в вертикальном положении колес основных стоек шасси. ...Кабина летчика и задний топливный бак образованы ломаными плоскостями, что увеличивает трудоемкость изготовления этих агрегатов. Причиной этого также является уборка в фюзеляж колес шасси. ...На </w:t>
      </w:r>
      <w:proofErr w:type="gramStart"/>
      <w:r w:rsidRPr="00925F26">
        <w:rPr>
          <w:color w:val="000000" w:themeColor="text1"/>
          <w:sz w:val="16"/>
          <w:szCs w:val="16"/>
        </w:rPr>
        <w:t>самолете Не</w:t>
      </w:r>
      <w:proofErr w:type="gramEnd"/>
      <w:r w:rsidRPr="00925F26">
        <w:rPr>
          <w:color w:val="000000" w:themeColor="text1"/>
          <w:sz w:val="16"/>
          <w:szCs w:val="16"/>
        </w:rPr>
        <w:t xml:space="preserve"> 280 даже условно нельзя отнести те или другие основные агрегаты к отсекам, не говоря уже о возможности расчленения фюзеляжа на части в целях облегчения процесса сборки".</w:t>
      </w:r>
    </w:p>
    <w:p w14:paraId="4AB2A429" w14:textId="77777777" w:rsidR="00824A4F" w:rsidRPr="00925F26" w:rsidRDefault="00824A4F" w:rsidP="00925F26">
      <w:pPr>
        <w:jc w:val="both"/>
        <w:rPr>
          <w:color w:val="000000" w:themeColor="text1"/>
          <w:sz w:val="16"/>
          <w:szCs w:val="16"/>
        </w:rPr>
      </w:pPr>
      <w:r w:rsidRPr="00925F26">
        <w:rPr>
          <w:color w:val="000000" w:themeColor="text1"/>
          <w:sz w:val="16"/>
          <w:szCs w:val="16"/>
        </w:rPr>
        <w:t xml:space="preserve">В </w:t>
      </w:r>
      <w:proofErr w:type="gramStart"/>
      <w:r w:rsidRPr="00925F26">
        <w:rPr>
          <w:color w:val="000000" w:themeColor="text1"/>
          <w:sz w:val="16"/>
          <w:szCs w:val="16"/>
        </w:rPr>
        <w:t>целом</w:t>
      </w:r>
      <w:proofErr w:type="gramEnd"/>
      <w:r w:rsidRPr="00925F26">
        <w:rPr>
          <w:color w:val="000000" w:themeColor="text1"/>
          <w:sz w:val="16"/>
          <w:szCs w:val="16"/>
        </w:rPr>
        <w:t xml:space="preserve"> Не 280 получил характеристику "устаревшего". Однако все эти выводы относятся к 1947 г., а </w:t>
      </w:r>
      <w:proofErr w:type="gramStart"/>
      <w:r w:rsidRPr="00925F26">
        <w:rPr>
          <w:color w:val="000000" w:themeColor="text1"/>
          <w:sz w:val="16"/>
          <w:szCs w:val="16"/>
        </w:rPr>
        <w:t>первый</w:t>
      </w:r>
      <w:proofErr w:type="gramEnd"/>
      <w:r w:rsidRPr="00925F26">
        <w:rPr>
          <w:color w:val="000000" w:themeColor="text1"/>
          <w:sz w:val="16"/>
          <w:szCs w:val="16"/>
        </w:rPr>
        <w:t xml:space="preserve"> Не 280 построили еще в 1940 г. И, оценивая достоинства и недостатки этого самолета, следует признать, что даже сам факт его появления в эпоху расцвета поршневой авиации заслуживает глубокого уважения (23463).</w:t>
      </w:r>
    </w:p>
    <w:p w14:paraId="42508F70" w14:textId="77777777" w:rsidR="00824A4F" w:rsidRPr="00925F26" w:rsidRDefault="00824A4F" w:rsidP="00925F26">
      <w:pPr>
        <w:jc w:val="both"/>
        <w:rPr>
          <w:color w:val="000000" w:themeColor="text1"/>
          <w:sz w:val="16"/>
          <w:szCs w:val="16"/>
        </w:rPr>
      </w:pPr>
    </w:p>
    <w:p w14:paraId="2A86F11A" w14:textId="77777777" w:rsidR="00FF2E3B" w:rsidRPr="001A0BAA" w:rsidRDefault="00FF2E3B" w:rsidP="00FF2E3B">
      <w:pPr>
        <w:jc w:val="both"/>
        <w:rPr>
          <w:color w:val="0070C0"/>
          <w:sz w:val="16"/>
          <w:szCs w:val="16"/>
        </w:rPr>
      </w:pPr>
      <w:r w:rsidRPr="001A0BAA">
        <w:rPr>
          <w:rStyle w:val="35"/>
          <w:rFonts w:ascii="Times New Roman" w:cs="Times New Roman"/>
          <w:color w:val="0070C0"/>
          <w:spacing w:val="0"/>
          <w:sz w:val="16"/>
          <w:szCs w:val="16"/>
        </w:rPr>
        <w:t>В конце апреля — начале мая 1945 года были проведены испы</w:t>
      </w:r>
      <w:r w:rsidRPr="001A0BAA">
        <w:rPr>
          <w:rStyle w:val="35"/>
          <w:rFonts w:ascii="Times New Roman" w:cs="Times New Roman"/>
          <w:color w:val="0070C0"/>
          <w:spacing w:val="0"/>
          <w:sz w:val="16"/>
          <w:szCs w:val="16"/>
        </w:rPr>
        <w:softHyphen/>
        <w:t>тания пусковой установки БМ-8-С11. Кучность стрельбы с БМ-8-СН снарядами М-8 возросла в 4-11 раз. Однако в связи с окончанием войны и снятием снаряда М-8 с производства пусковая установка БМ-8-СН па вооружение принята нс была (25439).</w:t>
      </w:r>
    </w:p>
    <w:p w14:paraId="15DC3EA6" w14:textId="77777777" w:rsidR="00FF2E3B" w:rsidRPr="001A0BAA" w:rsidRDefault="00FF2E3B" w:rsidP="00FF2E3B">
      <w:pPr>
        <w:jc w:val="both"/>
        <w:rPr>
          <w:color w:val="0070C0"/>
          <w:sz w:val="16"/>
          <w:szCs w:val="16"/>
        </w:rPr>
      </w:pPr>
    </w:p>
    <w:p w14:paraId="4BCA01D3" w14:textId="77777777" w:rsidR="00FF2E3B" w:rsidRPr="00925F26" w:rsidRDefault="00FF2E3B" w:rsidP="00FF2E3B">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FB4CF33" w14:textId="77777777" w:rsidR="00FF2E3B" w:rsidRPr="00925F26" w:rsidRDefault="00FF2E3B" w:rsidP="00FF2E3B">
      <w:pPr>
        <w:autoSpaceDE w:val="0"/>
        <w:autoSpaceDN w:val="0"/>
        <w:adjustRightInd w:val="0"/>
        <w:jc w:val="both"/>
        <w:rPr>
          <w:iCs/>
          <w:color w:val="000000" w:themeColor="text1"/>
          <w:sz w:val="16"/>
          <w:szCs w:val="16"/>
        </w:rPr>
      </w:pPr>
    </w:p>
    <w:p w14:paraId="08B2EBF6" w14:textId="77777777" w:rsidR="00FF2E3B" w:rsidRPr="001A0BAA" w:rsidRDefault="00FF2E3B" w:rsidP="00FF2E3B">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последней декаде апреля 1945 г. военпредами завода № 500 выявлен массовый брак коленчатых валов М-30 (25145)</w:t>
      </w:r>
    </w:p>
    <w:p w14:paraId="5312E068" w14:textId="77777777" w:rsidR="00FF2E3B" w:rsidRPr="001A0BAA" w:rsidRDefault="00FF2E3B" w:rsidP="00FF2E3B">
      <w:pPr>
        <w:jc w:val="both"/>
        <w:rPr>
          <w:color w:val="0070C0"/>
          <w:sz w:val="16"/>
          <w:szCs w:val="16"/>
        </w:rPr>
      </w:pPr>
    </w:p>
    <w:p w14:paraId="6C40A004" w14:textId="7B6A263D"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6479B50" w14:textId="77777777" w:rsidR="00665165" w:rsidRPr="00925F26" w:rsidRDefault="00665165" w:rsidP="00925F26">
      <w:pPr>
        <w:autoSpaceDE w:val="0"/>
        <w:autoSpaceDN w:val="0"/>
        <w:adjustRightInd w:val="0"/>
        <w:jc w:val="both"/>
        <w:rPr>
          <w:iCs/>
          <w:color w:val="000000" w:themeColor="text1"/>
          <w:sz w:val="16"/>
          <w:szCs w:val="16"/>
        </w:rPr>
      </w:pPr>
    </w:p>
    <w:p w14:paraId="041E08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в НИИ ВВС КА был предъявлен Ил-2КР (зав. № 308099) постройки завода № 30 с удли</w:t>
      </w:r>
      <w:r w:rsidRPr="00925F26">
        <w:rPr>
          <w:color w:val="000000" w:themeColor="text1"/>
          <w:sz w:val="16"/>
          <w:szCs w:val="16"/>
        </w:rPr>
        <w:softHyphen/>
        <w:t>ненным бронекорпусом, который включал бронирование воздушного стрелка. Кроме того, на самолете была введена увеличенная на 6° стрельчатость крыла и уменьшена (на 135 мм) длина дере</w:t>
      </w:r>
      <w:r w:rsidRPr="00925F26">
        <w:rPr>
          <w:color w:val="000000" w:themeColor="text1"/>
          <w:sz w:val="16"/>
          <w:szCs w:val="16"/>
        </w:rPr>
        <w:softHyphen/>
        <w:t>вянной части фюзеляжа.</w:t>
      </w:r>
    </w:p>
    <w:p w14:paraId="0F2E9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благоприятный отзыв Госкомиссии, этот вариант Ил-2 в серий</w:t>
      </w:r>
      <w:r w:rsidRPr="00925F26">
        <w:rPr>
          <w:color w:val="000000" w:themeColor="text1"/>
          <w:sz w:val="16"/>
          <w:szCs w:val="16"/>
        </w:rPr>
        <w:softHyphen/>
        <w:t>ное производство запущен не был как в связи с окончанием войны, так и в свя</w:t>
      </w:r>
      <w:r w:rsidRPr="00925F26">
        <w:rPr>
          <w:color w:val="000000" w:themeColor="text1"/>
          <w:sz w:val="16"/>
          <w:szCs w:val="16"/>
        </w:rPr>
        <w:softHyphen/>
        <w:t>зи с осознанием того факта, что для це</w:t>
      </w:r>
      <w:r w:rsidRPr="00925F26">
        <w:rPr>
          <w:color w:val="000000" w:themeColor="text1"/>
          <w:sz w:val="16"/>
          <w:szCs w:val="16"/>
        </w:rPr>
        <w:softHyphen/>
        <w:t>лей разведки и корректировки артил</w:t>
      </w:r>
      <w:r w:rsidRPr="00925F26">
        <w:rPr>
          <w:color w:val="000000" w:themeColor="text1"/>
          <w:sz w:val="16"/>
          <w:szCs w:val="16"/>
        </w:rPr>
        <w:softHyphen/>
        <w:t>лерийского огня необходимо создавать специальный самолет со значительно лучшими обзором и летно-тактическими данными. В строевых частях на серийных Ил-2 силами технического состава монтировались различного рода самостийные аэрофотоустановки, обес</w:t>
      </w:r>
      <w:r w:rsidRPr="00925F26">
        <w:rPr>
          <w:color w:val="000000" w:themeColor="text1"/>
          <w:sz w:val="16"/>
          <w:szCs w:val="16"/>
        </w:rPr>
        <w:softHyphen/>
        <w:t>печивающие маловысотную перспектив</w:t>
      </w:r>
      <w:r w:rsidRPr="00925F26">
        <w:rPr>
          <w:color w:val="000000" w:themeColor="text1"/>
          <w:sz w:val="16"/>
          <w:szCs w:val="16"/>
        </w:rPr>
        <w:softHyphen/>
        <w:t>ную фоторазведку (6467).</w:t>
      </w:r>
    </w:p>
    <w:p w14:paraId="08E90D8C" w14:textId="77777777" w:rsidR="00665165" w:rsidRPr="00925F26" w:rsidRDefault="00665165" w:rsidP="00925F26">
      <w:pPr>
        <w:autoSpaceDE w:val="0"/>
        <w:autoSpaceDN w:val="0"/>
        <w:adjustRightInd w:val="0"/>
        <w:jc w:val="both"/>
        <w:rPr>
          <w:color w:val="000000" w:themeColor="text1"/>
          <w:sz w:val="16"/>
          <w:szCs w:val="16"/>
        </w:rPr>
      </w:pPr>
    </w:p>
    <w:p w14:paraId="6FB960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в НИИ ВВС для производства госу</w:t>
      </w:r>
      <w:r w:rsidRPr="00925F26">
        <w:rPr>
          <w:color w:val="000000" w:themeColor="text1"/>
          <w:sz w:val="16"/>
          <w:szCs w:val="16"/>
        </w:rPr>
        <w:softHyphen/>
        <w:t>дарственных летных испыта</w:t>
      </w:r>
      <w:r w:rsidRPr="00925F26">
        <w:rPr>
          <w:color w:val="000000" w:themeColor="text1"/>
          <w:sz w:val="16"/>
          <w:szCs w:val="16"/>
        </w:rPr>
        <w:softHyphen/>
        <w:t>ний поступил Ил-2КР (зав. № 308099) с удлиненным бро</w:t>
      </w:r>
      <w:r w:rsidRPr="00925F26">
        <w:rPr>
          <w:color w:val="000000" w:themeColor="text1"/>
          <w:sz w:val="16"/>
          <w:szCs w:val="16"/>
        </w:rPr>
        <w:softHyphen/>
        <w:t>некорпусом постройки завода № 30. Ведущим инженером был назначен старший лейте</w:t>
      </w:r>
      <w:r w:rsidRPr="00925F26">
        <w:rPr>
          <w:color w:val="000000" w:themeColor="text1"/>
          <w:sz w:val="16"/>
          <w:szCs w:val="16"/>
        </w:rPr>
        <w:softHyphen/>
        <w:t>нант Л.Н. Мартынов. Летал летчик-испытатель А.И. Котов. По устойчивости и про</w:t>
      </w:r>
      <w:r w:rsidRPr="00925F26">
        <w:rPr>
          <w:color w:val="000000" w:themeColor="text1"/>
          <w:sz w:val="16"/>
          <w:szCs w:val="16"/>
        </w:rPr>
        <w:softHyphen/>
        <w:t>стоте пилотирования новый «следопыт» оценивался выше штурмовых вариантов самоле</w:t>
      </w:r>
      <w:r w:rsidRPr="00925F26">
        <w:rPr>
          <w:color w:val="000000" w:themeColor="text1"/>
          <w:sz w:val="16"/>
          <w:szCs w:val="16"/>
        </w:rPr>
        <w:softHyphen/>
        <w:t>та Ил-2. В то же время отмеча</w:t>
      </w:r>
      <w:r w:rsidRPr="00925F26">
        <w:rPr>
          <w:color w:val="000000" w:themeColor="text1"/>
          <w:sz w:val="16"/>
          <w:szCs w:val="16"/>
        </w:rPr>
        <w:softHyphen/>
        <w:t>лось, что «Ил-2 корректиров</w:t>
      </w:r>
      <w:r w:rsidRPr="00925F26">
        <w:rPr>
          <w:color w:val="000000" w:themeColor="text1"/>
          <w:sz w:val="16"/>
          <w:szCs w:val="16"/>
        </w:rPr>
        <w:softHyphen/>
        <w:t>щик не берет бомб и РС», а установка одного фотоаппа</w:t>
      </w:r>
      <w:r w:rsidRPr="00925F26">
        <w:rPr>
          <w:color w:val="000000" w:themeColor="text1"/>
          <w:sz w:val="16"/>
          <w:szCs w:val="16"/>
        </w:rPr>
        <w:softHyphen/>
        <w:t>рата АФА-ИМ для планового фотографирования «имеет ма</w:t>
      </w:r>
      <w:r w:rsidRPr="00925F26">
        <w:rPr>
          <w:color w:val="000000" w:themeColor="text1"/>
          <w:sz w:val="16"/>
          <w:szCs w:val="16"/>
        </w:rPr>
        <w:softHyphen/>
        <w:t>лый захват фотографируемой площади по ширине, из-за чего на площадь, подлежащую фотографированию, необхо</w:t>
      </w:r>
      <w:r w:rsidRPr="00925F26">
        <w:rPr>
          <w:color w:val="000000" w:themeColor="text1"/>
          <w:sz w:val="16"/>
          <w:szCs w:val="16"/>
        </w:rPr>
        <w:softHyphen/>
        <w:t>димо производить несколько заходов». Требовалось оснастить самолет двумя сменными комплектами фотооборудова</w:t>
      </w:r>
      <w:r w:rsidRPr="00925F26">
        <w:rPr>
          <w:color w:val="000000" w:themeColor="text1"/>
          <w:sz w:val="16"/>
          <w:szCs w:val="16"/>
        </w:rPr>
        <w:softHyphen/>
        <w:t>ния: первый — три фотоаппарата АФА-ИМ (один в типовой установке и два с наклоненными в сторону оптическими ося</w:t>
      </w:r>
      <w:r w:rsidRPr="00925F26">
        <w:rPr>
          <w:color w:val="000000" w:themeColor="text1"/>
          <w:sz w:val="16"/>
          <w:szCs w:val="16"/>
        </w:rPr>
        <w:softHyphen/>
        <w:t>ми), и второй — один фотоаппарат АФА-З-С/50 на качающейся установке.</w:t>
      </w:r>
    </w:p>
    <w:p w14:paraId="35C40B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Несмотря на благоприятный в целом отзыв Госкомиссии, Ил-2КР с улучшенным бронированием в серийное производ</w:t>
      </w:r>
      <w:r w:rsidRPr="00925F26">
        <w:rPr>
          <w:color w:val="000000" w:themeColor="text1"/>
          <w:sz w:val="16"/>
          <w:szCs w:val="16"/>
        </w:rPr>
        <w:softHyphen/>
        <w:t>ство не запускался. Для целей разведки и корректировки ар</w:t>
      </w:r>
      <w:r w:rsidRPr="00925F26">
        <w:rPr>
          <w:color w:val="000000" w:themeColor="text1"/>
          <w:sz w:val="16"/>
          <w:szCs w:val="16"/>
        </w:rPr>
        <w:softHyphen/>
        <w:t>тиллерийского огня решили строить специальный самолет со значительно лучшими обзором и летно-тактическими данны</w:t>
      </w:r>
      <w:r w:rsidRPr="00925F26">
        <w:rPr>
          <w:color w:val="000000" w:themeColor="text1"/>
          <w:sz w:val="16"/>
          <w:szCs w:val="16"/>
        </w:rPr>
        <w:softHyphen/>
        <w:t>ми. К тому же в связи с окончанием войны острота проблемы спала.</w:t>
      </w:r>
    </w:p>
    <w:p w14:paraId="3CED30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Штурмовики с «длинным» бронекорпусом на фронт не по</w:t>
      </w:r>
      <w:r w:rsidRPr="00925F26">
        <w:rPr>
          <w:color w:val="000000" w:themeColor="text1"/>
          <w:sz w:val="16"/>
          <w:szCs w:val="16"/>
        </w:rPr>
        <w:softHyphen/>
        <w:t>пали, но дополнительная броня стрелка была с успехом испы</w:t>
      </w:r>
      <w:r w:rsidRPr="00925F26">
        <w:rPr>
          <w:color w:val="000000" w:themeColor="text1"/>
          <w:sz w:val="16"/>
          <w:szCs w:val="16"/>
        </w:rPr>
        <w:softHyphen/>
        <w:t>тана в боях. Так, в 311-й шад 1-й ВА был случай, когда в каби</w:t>
      </w:r>
      <w:r w:rsidRPr="00925F26">
        <w:rPr>
          <w:color w:val="000000" w:themeColor="text1"/>
          <w:sz w:val="16"/>
          <w:szCs w:val="16"/>
        </w:rPr>
        <w:softHyphen/>
        <w:t>ну воздушного стрелка попали два 20-мм снаряда, но стрелок остался жив</w:t>
      </w:r>
      <w:proofErr w:type="gramStart"/>
      <w:r w:rsidRPr="00925F26">
        <w:rPr>
          <w:color w:val="000000" w:themeColor="text1"/>
          <w:sz w:val="16"/>
          <w:szCs w:val="16"/>
        </w:rPr>
        <w:t>...(</w:t>
      </w:r>
      <w:proofErr w:type="gramEnd"/>
      <w:r w:rsidRPr="00925F26">
        <w:rPr>
          <w:color w:val="000000" w:themeColor="text1"/>
          <w:sz w:val="16"/>
          <w:szCs w:val="16"/>
        </w:rPr>
        <w:t>11474,390).</w:t>
      </w:r>
    </w:p>
    <w:p w14:paraId="727D0E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2A27EB2" w14:textId="77777777" w:rsidR="00893AF7" w:rsidRPr="00925F26" w:rsidRDefault="00893AF7"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апреле 1945 г. в НИИ ВВС КА был предъявлен Ил-2КР по</w:t>
      </w:r>
      <w:r w:rsidRPr="00925F26">
        <w:rPr>
          <w:rFonts w:ascii="Times New Roman" w:cs="Times New Roman"/>
          <w:color w:val="000000" w:themeColor="text1"/>
          <w:spacing w:val="0"/>
        </w:rPr>
        <w:softHyphen/>
        <w:t>стройки завода №30 с удлиненным бронекорпусом, который включал брониро</w:t>
      </w:r>
      <w:r w:rsidRPr="00925F26">
        <w:rPr>
          <w:rFonts w:ascii="Times New Roman" w:cs="Times New Roman"/>
          <w:color w:val="000000" w:themeColor="text1"/>
          <w:spacing w:val="0"/>
        </w:rPr>
        <w:softHyphen/>
        <w:t>вание воздушного стрелка. Кроме того, на самолете была введена увеличенная «стрелка» крыла.</w:t>
      </w:r>
    </w:p>
    <w:p w14:paraId="6EE35B09" w14:textId="77777777" w:rsidR="00893AF7" w:rsidRPr="00925F26" w:rsidRDefault="00893AF7"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Однако в серию самолет не пошел - война кончалась и, соответственно, вре</w:t>
      </w:r>
      <w:r w:rsidRPr="00925F26">
        <w:rPr>
          <w:rFonts w:ascii="Times New Roman" w:cs="Times New Roman"/>
          <w:color w:val="000000" w:themeColor="text1"/>
          <w:spacing w:val="0"/>
        </w:rPr>
        <w:softHyphen/>
        <w:t>мя «самоделок на коленке» прошло (15762).</w:t>
      </w:r>
    </w:p>
    <w:p w14:paraId="23286973" w14:textId="77777777" w:rsidR="00893AF7" w:rsidRPr="00925F26" w:rsidRDefault="00893AF7" w:rsidP="00925F26">
      <w:pPr>
        <w:jc w:val="both"/>
        <w:rPr>
          <w:color w:val="000000" w:themeColor="text1"/>
          <w:sz w:val="16"/>
          <w:szCs w:val="16"/>
        </w:rPr>
      </w:pPr>
    </w:p>
    <w:p w14:paraId="606219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апреля 1945 г. (с 8-й се</w:t>
      </w:r>
      <w:r w:rsidRPr="00925F26">
        <w:rPr>
          <w:color w:val="000000" w:themeColor="text1"/>
          <w:sz w:val="16"/>
          <w:szCs w:val="16"/>
        </w:rPr>
        <w:softHyphen/>
        <w:t>рии завода № 18) все машины стали выпускаться с усилен</w:t>
      </w:r>
      <w:r w:rsidRPr="00925F26">
        <w:rPr>
          <w:color w:val="000000" w:themeColor="text1"/>
          <w:sz w:val="16"/>
          <w:szCs w:val="16"/>
        </w:rPr>
        <w:softHyphen/>
        <w:t>ными рамами хвостовой части фюзеляжа, а с мая (с 9-й серии завода № 18) — с доработан</w:t>
      </w:r>
      <w:r w:rsidRPr="00925F26">
        <w:rPr>
          <w:color w:val="000000" w:themeColor="text1"/>
          <w:sz w:val="16"/>
          <w:szCs w:val="16"/>
        </w:rPr>
        <w:softHyphen/>
        <w:t>ным крылом. В строевые части выехали специальные бригады для доработки штурмовиков на местах (11474,510).</w:t>
      </w:r>
    </w:p>
    <w:p w14:paraId="2E8A49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30E0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Начиная с апреля 1945 г. для повышения боевой эффек</w:t>
      </w:r>
      <w:r w:rsidRPr="00925F26">
        <w:rPr>
          <w:color w:val="000000" w:themeColor="text1"/>
          <w:sz w:val="16"/>
          <w:szCs w:val="16"/>
        </w:rPr>
        <w:softHyphen/>
        <w:t>тивности Ил-10, его вооружение усилили. Под консолями стали устанавливать четыре ракетных орудия РО-82. за</w:t>
      </w:r>
      <w:r w:rsidRPr="00925F26">
        <w:rPr>
          <w:color w:val="000000" w:themeColor="text1"/>
          <w:sz w:val="16"/>
          <w:szCs w:val="16"/>
        </w:rPr>
        <w:softHyphen/>
        <w:t>вод № 1 приступил к монтажу, на</w:t>
      </w:r>
      <w:r w:rsidRPr="00925F26">
        <w:rPr>
          <w:color w:val="000000" w:themeColor="text1"/>
          <w:sz w:val="16"/>
          <w:szCs w:val="16"/>
        </w:rPr>
        <w:softHyphen/>
        <w:t>чиная с самолета № 107107, а за</w:t>
      </w:r>
      <w:r w:rsidRPr="00925F26">
        <w:rPr>
          <w:color w:val="000000" w:themeColor="text1"/>
          <w:sz w:val="16"/>
          <w:szCs w:val="16"/>
        </w:rPr>
        <w:softHyphen/>
        <w:t>вод № 18 - с самолета № 1891106. На ручке управления саолетом была смонтирована дополнитель</w:t>
      </w:r>
      <w:r w:rsidRPr="00925F26">
        <w:rPr>
          <w:color w:val="000000" w:themeColor="text1"/>
          <w:sz w:val="16"/>
          <w:szCs w:val="16"/>
        </w:rPr>
        <w:softHyphen/>
        <w:t>ная боевая кнопка «РО». Все три боевые кнопки («Б», «ОР», «РО»), установленные на ручке управле</w:t>
      </w:r>
      <w:r w:rsidRPr="00925F26">
        <w:rPr>
          <w:color w:val="000000" w:themeColor="text1"/>
          <w:sz w:val="16"/>
          <w:szCs w:val="16"/>
        </w:rPr>
        <w:softHyphen/>
        <w:t>ния самолетом, закрывались общим предохранительным колпачком. Стрельба ракетами осуществлялась с помощью второго электробомбос</w:t>
      </w:r>
      <w:r w:rsidRPr="00925F26">
        <w:rPr>
          <w:color w:val="000000" w:themeColor="text1"/>
          <w:sz w:val="16"/>
          <w:szCs w:val="16"/>
        </w:rPr>
        <w:softHyphen/>
        <w:t>брасывателя ЭСБР-Зп.</w:t>
      </w:r>
    </w:p>
    <w:p w14:paraId="102538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Торопясь, конструкторы как сле</w:t>
      </w:r>
      <w:r w:rsidRPr="00925F26">
        <w:rPr>
          <w:color w:val="000000" w:themeColor="text1"/>
          <w:sz w:val="16"/>
          <w:szCs w:val="16"/>
        </w:rPr>
        <w:softHyphen/>
        <w:t>дует не продумали установку кно</w:t>
      </w:r>
      <w:r w:rsidRPr="00925F26">
        <w:rPr>
          <w:color w:val="000000" w:themeColor="text1"/>
          <w:sz w:val="16"/>
          <w:szCs w:val="16"/>
        </w:rPr>
        <w:softHyphen/>
        <w:t>пок. В крайнем переднем положе</w:t>
      </w:r>
      <w:r w:rsidRPr="00925F26">
        <w:rPr>
          <w:color w:val="000000" w:themeColor="text1"/>
          <w:sz w:val="16"/>
          <w:szCs w:val="16"/>
        </w:rPr>
        <w:softHyphen/>
        <w:t>нии (на пикировании) зазор между откинутым колпачком на ручке и кронштейном прицела ПБП-16 по</w:t>
      </w:r>
      <w:r w:rsidRPr="00925F26">
        <w:rPr>
          <w:color w:val="000000" w:themeColor="text1"/>
          <w:sz w:val="16"/>
          <w:szCs w:val="16"/>
        </w:rPr>
        <w:softHyphen/>
        <w:t>лучился очень маленьким. На ряде машин из-за неточного изготовле</w:t>
      </w:r>
      <w:r w:rsidRPr="00925F26">
        <w:rPr>
          <w:color w:val="000000" w:themeColor="text1"/>
          <w:sz w:val="16"/>
          <w:szCs w:val="16"/>
        </w:rPr>
        <w:softHyphen/>
        <w:t>ния колпачок запросто цеплялся за кронштейн и заклинивал ручку в самый неподходящий момент. Уже с августа все Ил-10 стали выпус</w:t>
      </w:r>
      <w:r w:rsidRPr="00925F26">
        <w:rPr>
          <w:color w:val="000000" w:themeColor="text1"/>
          <w:sz w:val="16"/>
          <w:szCs w:val="16"/>
        </w:rPr>
        <w:softHyphen/>
        <w:t>каться с укороченной на 30 мм руч</w:t>
      </w:r>
      <w:r w:rsidRPr="00925F26">
        <w:rPr>
          <w:color w:val="000000" w:themeColor="text1"/>
          <w:sz w:val="16"/>
          <w:szCs w:val="16"/>
        </w:rPr>
        <w:softHyphen/>
        <w:t>кой, а на всех уже выпущенных са</w:t>
      </w:r>
      <w:r w:rsidRPr="00925F26">
        <w:rPr>
          <w:color w:val="000000" w:themeColor="text1"/>
          <w:sz w:val="16"/>
          <w:szCs w:val="16"/>
        </w:rPr>
        <w:softHyphen/>
        <w:t>молетах строевым частям предпи</w:t>
      </w:r>
      <w:r w:rsidRPr="00925F26">
        <w:rPr>
          <w:color w:val="000000" w:themeColor="text1"/>
          <w:sz w:val="16"/>
          <w:szCs w:val="16"/>
        </w:rPr>
        <w:softHyphen/>
        <w:t>сывалось срочно устранить дефект путем перестановки зажимной ру</w:t>
      </w:r>
      <w:r w:rsidRPr="00925F26">
        <w:rPr>
          <w:color w:val="000000" w:themeColor="text1"/>
          <w:sz w:val="16"/>
          <w:szCs w:val="16"/>
        </w:rPr>
        <w:softHyphen/>
        <w:t>коятки прицела на шлицах так, что</w:t>
      </w:r>
      <w:r w:rsidRPr="00925F26">
        <w:rPr>
          <w:color w:val="000000" w:themeColor="text1"/>
          <w:sz w:val="16"/>
          <w:szCs w:val="16"/>
        </w:rPr>
        <w:softHyphen/>
        <w:t>бы в затянутом положении она на</w:t>
      </w:r>
      <w:r w:rsidRPr="00925F26">
        <w:rPr>
          <w:color w:val="000000" w:themeColor="text1"/>
          <w:sz w:val="16"/>
          <w:szCs w:val="16"/>
        </w:rPr>
        <w:softHyphen/>
        <w:t>ходилась в горизонтальном поло</w:t>
      </w:r>
      <w:r w:rsidRPr="00925F26">
        <w:rPr>
          <w:color w:val="000000" w:themeColor="text1"/>
          <w:sz w:val="16"/>
          <w:szCs w:val="16"/>
        </w:rPr>
        <w:softHyphen/>
        <w:t>жении, а при отжатии уходила к пе</w:t>
      </w:r>
      <w:r w:rsidRPr="00925F26">
        <w:rPr>
          <w:color w:val="000000" w:themeColor="text1"/>
          <w:sz w:val="16"/>
          <w:szCs w:val="16"/>
        </w:rPr>
        <w:softHyphen/>
        <w:t>реднему стеклу.</w:t>
      </w:r>
    </w:p>
    <w:p w14:paraId="7EECEE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Затем оказалось, что при стрель</w:t>
      </w:r>
      <w:r w:rsidRPr="00925F26">
        <w:rPr>
          <w:color w:val="000000" w:themeColor="text1"/>
          <w:sz w:val="16"/>
          <w:szCs w:val="16"/>
        </w:rPr>
        <w:softHyphen/>
        <w:t>бе ракетами одновременно откры</w:t>
      </w:r>
      <w:r w:rsidRPr="00925F26">
        <w:rPr>
          <w:color w:val="000000" w:themeColor="text1"/>
          <w:sz w:val="16"/>
          <w:szCs w:val="16"/>
        </w:rPr>
        <w:softHyphen/>
        <w:t>вались створки бомболюков. При</w:t>
      </w:r>
      <w:r w:rsidRPr="00925F26">
        <w:rPr>
          <w:color w:val="000000" w:themeColor="text1"/>
          <w:sz w:val="16"/>
          <w:szCs w:val="16"/>
        </w:rPr>
        <w:softHyphen/>
        <w:t>чиной являлась неправильная схе</w:t>
      </w:r>
      <w:r w:rsidRPr="00925F26">
        <w:rPr>
          <w:color w:val="000000" w:themeColor="text1"/>
          <w:sz w:val="16"/>
          <w:szCs w:val="16"/>
        </w:rPr>
        <w:softHyphen/>
        <w:t>ма подключения второго ЭСБР-Зп в электросеть самолета. Начиная с самолетов № 1890108 (завод № 18) и № 107101 (завод № 1) схему из</w:t>
      </w:r>
      <w:r w:rsidRPr="00925F26">
        <w:rPr>
          <w:color w:val="000000" w:themeColor="text1"/>
          <w:sz w:val="16"/>
          <w:szCs w:val="16"/>
        </w:rPr>
        <w:softHyphen/>
        <w:t>менили, минуя АСШ-141.</w:t>
      </w:r>
    </w:p>
    <w:p w14:paraId="62924E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общем, проблем с матчастью хватало в избытке. Однако по абсо</w:t>
      </w:r>
      <w:r w:rsidRPr="00925F26">
        <w:rPr>
          <w:color w:val="000000" w:themeColor="text1"/>
          <w:sz w:val="16"/>
          <w:szCs w:val="16"/>
        </w:rPr>
        <w:softHyphen/>
        <w:t>лютным показателям официальной статистики «десятка» выглядела не так уж и плохо. Начальник штаба 1-й заб п-к Журавлев докладывал командующему ВВС ПриВО, что за первый квартал 1945 гю. в бригаде произошло 46 летных происше</w:t>
      </w:r>
      <w:r w:rsidRPr="00925F26">
        <w:rPr>
          <w:color w:val="000000" w:themeColor="text1"/>
          <w:sz w:val="16"/>
          <w:szCs w:val="16"/>
        </w:rPr>
        <w:softHyphen/>
        <w:t>ствий, из них: на Ил-10 - 19, на Ил-2 - 20, на УИл-2 - 4, на УТ-2 - 1, на По-2 - 1. Кроме этого, управление бригады имело два летных проис</w:t>
      </w:r>
      <w:r w:rsidRPr="00925F26">
        <w:rPr>
          <w:color w:val="000000" w:themeColor="text1"/>
          <w:sz w:val="16"/>
          <w:szCs w:val="16"/>
        </w:rPr>
        <w:softHyphen/>
        <w:t>шествия: одно - на Ил-10 и одно -на УТ-2. Если же взять за основу для анализа удельные параметры, то Ил-10 серьезно уступал Ил-2. Средний налет «десятки» на одно летное происшествие в 1-м квар</w:t>
      </w:r>
      <w:r w:rsidRPr="00925F26">
        <w:rPr>
          <w:color w:val="000000" w:themeColor="text1"/>
          <w:sz w:val="16"/>
          <w:szCs w:val="16"/>
        </w:rPr>
        <w:softHyphen/>
        <w:t>тале составил 85 ч 28 мин (или 280 посадок), тогда как у «двойки» -389 ч 10 мин (или 510 посадок). При этом по недоученности летного со</w:t>
      </w:r>
      <w:r w:rsidRPr="00925F26">
        <w:rPr>
          <w:color w:val="000000" w:themeColor="text1"/>
          <w:sz w:val="16"/>
          <w:szCs w:val="16"/>
        </w:rPr>
        <w:softHyphen/>
        <w:t>става произошло 17,3% летных происшествий, по недисциплини</w:t>
      </w:r>
      <w:r w:rsidRPr="00925F26">
        <w:rPr>
          <w:color w:val="000000" w:themeColor="text1"/>
          <w:sz w:val="16"/>
          <w:szCs w:val="16"/>
        </w:rPr>
        <w:softHyphen/>
        <w:t>рованности (главным образом, на</w:t>
      </w:r>
      <w:r w:rsidRPr="00925F26">
        <w:rPr>
          <w:color w:val="000000" w:themeColor="text1"/>
          <w:sz w:val="16"/>
          <w:szCs w:val="16"/>
        </w:rPr>
        <w:softHyphen/>
        <w:t>рушение наставления по производ</w:t>
      </w:r>
      <w:r w:rsidRPr="00925F26">
        <w:rPr>
          <w:color w:val="000000" w:themeColor="text1"/>
          <w:sz w:val="16"/>
          <w:szCs w:val="16"/>
        </w:rPr>
        <w:softHyphen/>
        <w:t>ству полетов) - 46% и по вине ма</w:t>
      </w:r>
      <w:r w:rsidRPr="00925F26">
        <w:rPr>
          <w:color w:val="000000" w:themeColor="text1"/>
          <w:sz w:val="16"/>
          <w:szCs w:val="16"/>
        </w:rPr>
        <w:softHyphen/>
        <w:t>териальной части (конструктивно-производственные дефекты) 36,7%. Для сравнения, в июле-ав</w:t>
      </w:r>
      <w:r w:rsidRPr="00925F26">
        <w:rPr>
          <w:color w:val="000000" w:themeColor="text1"/>
          <w:sz w:val="16"/>
          <w:szCs w:val="16"/>
        </w:rPr>
        <w:softHyphen/>
        <w:t>густе 1941 г. при переучивании в 1-й заб маршевых авиаполков на самолете Ил-2 налет на одно лет</w:t>
      </w:r>
      <w:r w:rsidRPr="00925F26">
        <w:rPr>
          <w:color w:val="000000" w:themeColor="text1"/>
          <w:sz w:val="16"/>
          <w:szCs w:val="16"/>
        </w:rPr>
        <w:softHyphen/>
        <w:t>ное происшествие составил 157 ч 03 мин при среднем налете на од</w:t>
      </w:r>
      <w:r w:rsidRPr="00925F26">
        <w:rPr>
          <w:color w:val="000000" w:themeColor="text1"/>
          <w:sz w:val="16"/>
          <w:szCs w:val="16"/>
        </w:rPr>
        <w:softHyphen/>
        <w:t>ного летчика перед убытием на фронт 4 ч 20 мин. (11132).</w:t>
      </w:r>
    </w:p>
    <w:p w14:paraId="21C9DE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68FB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апреля 1945 г. для повышения боевой эффективнос</w:t>
      </w:r>
      <w:r w:rsidRPr="00925F26">
        <w:rPr>
          <w:color w:val="000000" w:themeColor="text1"/>
          <w:sz w:val="16"/>
          <w:szCs w:val="16"/>
        </w:rPr>
        <w:softHyphen/>
        <w:t>ти Ил-10 вооружение усилили. Под консолями стали устанавливать четыре ракетных орудия РО-82. Завод № 1 приступил к их монтажу начиная с самолета № 107107, а завод № 18 - с № 1891106. На ручке управления самолетом была смонтиро</w:t>
      </w:r>
      <w:r w:rsidRPr="00925F26">
        <w:rPr>
          <w:color w:val="000000" w:themeColor="text1"/>
          <w:sz w:val="16"/>
          <w:szCs w:val="16"/>
        </w:rPr>
        <w:softHyphen/>
        <w:t>вана дополнительная боевая кнопка «РО». Все три боевые кнопки («Б», «ОР», «РО»), установленные на ручке управления самолетом, закрывались общим предохранительным колпачком. Стрельба ракетами осуществлялась с помощью второго электробомбосбра</w:t>
      </w:r>
      <w:r w:rsidRPr="00925F26">
        <w:rPr>
          <w:color w:val="000000" w:themeColor="text1"/>
          <w:sz w:val="16"/>
          <w:szCs w:val="16"/>
        </w:rPr>
        <w:softHyphen/>
        <w:t>сывателя ЭСБР-Зп. Торопясь, конструкторы как следует не продумали установку кнопок. В край</w:t>
      </w:r>
      <w:r w:rsidRPr="00925F26">
        <w:rPr>
          <w:color w:val="000000" w:themeColor="text1"/>
          <w:sz w:val="16"/>
          <w:szCs w:val="16"/>
        </w:rPr>
        <w:softHyphen/>
        <w:t>нем переднем положении зазор между откинутым колпачком на ручке и крон</w:t>
      </w:r>
      <w:r w:rsidRPr="00925F26">
        <w:rPr>
          <w:color w:val="000000" w:themeColor="text1"/>
          <w:sz w:val="16"/>
          <w:szCs w:val="16"/>
        </w:rPr>
        <w:softHyphen/>
        <w:t>штейном прицела ПБП-1б получился очень маленьким. На ряде машин из-за неточного изготовления колпачок мог запросто зацепиться за кронштейн и за</w:t>
      </w:r>
      <w:r w:rsidRPr="00925F26">
        <w:rPr>
          <w:color w:val="000000" w:themeColor="text1"/>
          <w:sz w:val="16"/>
          <w:szCs w:val="16"/>
        </w:rPr>
        <w:softHyphen/>
        <w:t>клинить ручку в самый неподходящий момент. Уже с августа все Ил-10 стали выпускаться с укороченной на 30 мм ручкой, а на уже выпущенных самоле</w:t>
      </w:r>
      <w:r w:rsidRPr="00925F26">
        <w:rPr>
          <w:color w:val="000000" w:themeColor="text1"/>
          <w:sz w:val="16"/>
          <w:szCs w:val="16"/>
        </w:rPr>
        <w:softHyphen/>
        <w:t>тах строевым частям предписывалось срочно устранить дефект путем пере</w:t>
      </w:r>
      <w:r w:rsidRPr="00925F26">
        <w:rPr>
          <w:color w:val="000000" w:themeColor="text1"/>
          <w:sz w:val="16"/>
          <w:szCs w:val="16"/>
        </w:rPr>
        <w:softHyphen/>
        <w:t>становки зажимной рукоятки прицела на шлицах так, чтобы в затянутом состоя</w:t>
      </w:r>
      <w:r w:rsidRPr="00925F26">
        <w:rPr>
          <w:color w:val="000000" w:themeColor="text1"/>
          <w:sz w:val="16"/>
          <w:szCs w:val="16"/>
        </w:rPr>
        <w:softHyphen/>
        <w:t>нии она находилась в горизонтальном положении, а при отжатии уходила вверх к переднему стеклу. Затем оказалось, что при стрельбе ракетами одновременно открывались створки бомболюков. Причиной явля</w:t>
      </w:r>
      <w:r w:rsidRPr="00925F26">
        <w:rPr>
          <w:color w:val="000000" w:themeColor="text1"/>
          <w:sz w:val="16"/>
          <w:szCs w:val="16"/>
        </w:rPr>
        <w:softHyphen/>
        <w:t>лась неправильная схема подключения второго ЭСБР-Зп в электросеть самоле</w:t>
      </w:r>
      <w:r w:rsidRPr="00925F26">
        <w:rPr>
          <w:color w:val="000000" w:themeColor="text1"/>
          <w:sz w:val="16"/>
          <w:szCs w:val="16"/>
        </w:rPr>
        <w:softHyphen/>
        <w:t>та. Начиная с машин № 1890108 (завода № 18) и № 107101 (завода № 1) схе</w:t>
      </w:r>
      <w:r w:rsidRPr="00925F26">
        <w:rPr>
          <w:color w:val="000000" w:themeColor="text1"/>
          <w:sz w:val="16"/>
          <w:szCs w:val="16"/>
        </w:rPr>
        <w:softHyphen/>
        <w:t>му изменили, минуя АСШ-141 (10680).</w:t>
      </w:r>
    </w:p>
    <w:p w14:paraId="4E8A65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E6D2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 самолетов с 1940 по апрель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0F5689" w:rsidRPr="00925F26" w14:paraId="6FC029DF" w14:textId="77777777">
        <w:tc>
          <w:tcPr>
            <w:tcW w:w="867" w:type="dxa"/>
          </w:tcPr>
          <w:p w14:paraId="2C2F6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w:t>
            </w:r>
          </w:p>
        </w:tc>
        <w:tc>
          <w:tcPr>
            <w:tcW w:w="867" w:type="dxa"/>
          </w:tcPr>
          <w:p w14:paraId="31AA2DAC"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68A6EBAF"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66AC8E5C"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04DE4DF2"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5F60ED51" w14:textId="77777777" w:rsidR="00665165" w:rsidRPr="00925F26" w:rsidRDefault="00665165" w:rsidP="00925F26">
            <w:pPr>
              <w:autoSpaceDE w:val="0"/>
              <w:autoSpaceDN w:val="0"/>
              <w:adjustRightInd w:val="0"/>
              <w:jc w:val="both"/>
              <w:rPr>
                <w:color w:val="000000" w:themeColor="text1"/>
                <w:sz w:val="16"/>
                <w:szCs w:val="16"/>
              </w:rPr>
            </w:pPr>
          </w:p>
        </w:tc>
        <w:tc>
          <w:tcPr>
            <w:tcW w:w="5396" w:type="dxa"/>
          </w:tcPr>
          <w:p w14:paraId="247D234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AD04EC1" w14:textId="77777777">
        <w:tc>
          <w:tcPr>
            <w:tcW w:w="867" w:type="dxa"/>
          </w:tcPr>
          <w:p w14:paraId="3A13353E"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0DEE4E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867" w:type="dxa"/>
          </w:tcPr>
          <w:p w14:paraId="0A3E1A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867" w:type="dxa"/>
          </w:tcPr>
          <w:p w14:paraId="0B8365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867" w:type="dxa"/>
          </w:tcPr>
          <w:p w14:paraId="4ADC5F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867" w:type="dxa"/>
          </w:tcPr>
          <w:p w14:paraId="035A5C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5396" w:type="dxa"/>
          </w:tcPr>
          <w:p w14:paraId="3CAD98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1945</w:t>
            </w:r>
          </w:p>
        </w:tc>
      </w:tr>
      <w:tr w:rsidR="000F5689" w:rsidRPr="00925F26" w14:paraId="64BB1CB3" w14:textId="77777777">
        <w:tc>
          <w:tcPr>
            <w:tcW w:w="867" w:type="dxa"/>
          </w:tcPr>
          <w:p w14:paraId="546A24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мы</w:t>
            </w:r>
          </w:p>
        </w:tc>
        <w:tc>
          <w:tcPr>
            <w:tcW w:w="867" w:type="dxa"/>
          </w:tcPr>
          <w:p w14:paraId="070F82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7200</w:t>
            </w:r>
          </w:p>
        </w:tc>
        <w:tc>
          <w:tcPr>
            <w:tcW w:w="867" w:type="dxa"/>
          </w:tcPr>
          <w:p w14:paraId="790208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15000</w:t>
            </w:r>
          </w:p>
        </w:tc>
        <w:tc>
          <w:tcPr>
            <w:tcW w:w="867" w:type="dxa"/>
          </w:tcPr>
          <w:p w14:paraId="5E130F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25000</w:t>
            </w:r>
          </w:p>
        </w:tc>
        <w:tc>
          <w:tcPr>
            <w:tcW w:w="867" w:type="dxa"/>
          </w:tcPr>
          <w:p w14:paraId="1C36BB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35000</w:t>
            </w:r>
          </w:p>
        </w:tc>
        <w:tc>
          <w:tcPr>
            <w:tcW w:w="867" w:type="dxa"/>
          </w:tcPr>
          <w:p w14:paraId="7AB679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40241</w:t>
            </w:r>
          </w:p>
        </w:tc>
        <w:tc>
          <w:tcPr>
            <w:tcW w:w="5396" w:type="dxa"/>
          </w:tcPr>
          <w:p w14:paraId="456C3F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20900 (88,159)</w:t>
            </w:r>
          </w:p>
        </w:tc>
      </w:tr>
      <w:tr w:rsidR="000F5689" w:rsidRPr="00925F26" w14:paraId="65104463" w14:textId="77777777">
        <w:tc>
          <w:tcPr>
            <w:tcW w:w="867" w:type="dxa"/>
          </w:tcPr>
          <w:p w14:paraId="7948F676"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7F23FB3C"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226A1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9777</w:t>
            </w:r>
          </w:p>
        </w:tc>
        <w:tc>
          <w:tcPr>
            <w:tcW w:w="867" w:type="dxa"/>
          </w:tcPr>
          <w:p w14:paraId="5BC387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25436</w:t>
            </w:r>
          </w:p>
        </w:tc>
        <w:tc>
          <w:tcPr>
            <w:tcW w:w="867" w:type="dxa"/>
          </w:tcPr>
          <w:p w14:paraId="774446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34884</w:t>
            </w:r>
          </w:p>
        </w:tc>
        <w:tc>
          <w:tcPr>
            <w:tcW w:w="867" w:type="dxa"/>
          </w:tcPr>
          <w:p w14:paraId="114FB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40241</w:t>
            </w:r>
          </w:p>
        </w:tc>
        <w:tc>
          <w:tcPr>
            <w:tcW w:w="5396" w:type="dxa"/>
          </w:tcPr>
          <w:p w14:paraId="3A6C3A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15317</w:t>
            </w:r>
          </w:p>
        </w:tc>
      </w:tr>
      <w:tr w:rsidR="000F5689" w:rsidRPr="00925F26" w14:paraId="04267F4E" w14:textId="77777777">
        <w:tc>
          <w:tcPr>
            <w:tcW w:w="867" w:type="dxa"/>
          </w:tcPr>
          <w:p w14:paraId="3C1C7723"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2B134625"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1D76B7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пол.)</w:t>
            </w:r>
          </w:p>
        </w:tc>
        <w:tc>
          <w:tcPr>
            <w:tcW w:w="867" w:type="dxa"/>
          </w:tcPr>
          <w:p w14:paraId="6E66F2EF"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7E82B913"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780310A6" w14:textId="77777777" w:rsidR="00665165" w:rsidRPr="00925F26" w:rsidRDefault="00665165" w:rsidP="00925F26">
            <w:pPr>
              <w:autoSpaceDE w:val="0"/>
              <w:autoSpaceDN w:val="0"/>
              <w:adjustRightInd w:val="0"/>
              <w:jc w:val="both"/>
              <w:rPr>
                <w:color w:val="000000" w:themeColor="text1"/>
                <w:sz w:val="16"/>
                <w:szCs w:val="16"/>
              </w:rPr>
            </w:pPr>
          </w:p>
        </w:tc>
        <w:tc>
          <w:tcPr>
            <w:tcW w:w="5396" w:type="dxa"/>
          </w:tcPr>
          <w:p w14:paraId="28A2AF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(62,19)</w:t>
            </w:r>
          </w:p>
        </w:tc>
      </w:tr>
      <w:tr w:rsidR="000F5689" w:rsidRPr="00925F26" w14:paraId="12F6286B" w14:textId="77777777">
        <w:tc>
          <w:tcPr>
            <w:tcW w:w="867" w:type="dxa"/>
          </w:tcPr>
          <w:p w14:paraId="53EE8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немцы</w:t>
            </w:r>
          </w:p>
        </w:tc>
        <w:tc>
          <w:tcPr>
            <w:tcW w:w="867" w:type="dxa"/>
          </w:tcPr>
          <w:p w14:paraId="014F0462"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4F67E264"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5F64F869"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3F9AB088"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2C7329D3" w14:textId="77777777" w:rsidR="00665165" w:rsidRPr="00925F26" w:rsidRDefault="00665165" w:rsidP="00925F26">
            <w:pPr>
              <w:autoSpaceDE w:val="0"/>
              <w:autoSpaceDN w:val="0"/>
              <w:adjustRightInd w:val="0"/>
              <w:jc w:val="both"/>
              <w:rPr>
                <w:color w:val="000000" w:themeColor="text1"/>
                <w:sz w:val="16"/>
                <w:szCs w:val="16"/>
              </w:rPr>
            </w:pPr>
          </w:p>
        </w:tc>
        <w:tc>
          <w:tcPr>
            <w:tcW w:w="5396" w:type="dxa"/>
          </w:tcPr>
          <w:p w14:paraId="591844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37900</w:t>
            </w:r>
          </w:p>
        </w:tc>
      </w:tr>
      <w:tr w:rsidR="000F5689" w:rsidRPr="00925F26" w14:paraId="3785398F" w14:textId="77777777">
        <w:tc>
          <w:tcPr>
            <w:tcW w:w="867" w:type="dxa"/>
          </w:tcPr>
          <w:p w14:paraId="087957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потери</w:t>
            </w:r>
          </w:p>
        </w:tc>
        <w:tc>
          <w:tcPr>
            <w:tcW w:w="867" w:type="dxa"/>
          </w:tcPr>
          <w:p w14:paraId="3230FA1F"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1BF84B1C"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1F662E77"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2E115509" w14:textId="77777777" w:rsidR="00665165" w:rsidRPr="00925F26" w:rsidRDefault="00665165" w:rsidP="00925F26">
            <w:pPr>
              <w:autoSpaceDE w:val="0"/>
              <w:autoSpaceDN w:val="0"/>
              <w:adjustRightInd w:val="0"/>
              <w:jc w:val="both"/>
              <w:rPr>
                <w:color w:val="000000" w:themeColor="text1"/>
                <w:sz w:val="16"/>
                <w:szCs w:val="16"/>
              </w:rPr>
            </w:pPr>
          </w:p>
        </w:tc>
        <w:tc>
          <w:tcPr>
            <w:tcW w:w="867" w:type="dxa"/>
          </w:tcPr>
          <w:p w14:paraId="69F810E2" w14:textId="77777777" w:rsidR="00665165" w:rsidRPr="00925F26" w:rsidRDefault="00665165" w:rsidP="00925F26">
            <w:pPr>
              <w:autoSpaceDE w:val="0"/>
              <w:autoSpaceDN w:val="0"/>
              <w:adjustRightInd w:val="0"/>
              <w:jc w:val="both"/>
              <w:rPr>
                <w:color w:val="000000" w:themeColor="text1"/>
                <w:sz w:val="16"/>
                <w:szCs w:val="16"/>
              </w:rPr>
            </w:pPr>
          </w:p>
        </w:tc>
        <w:tc>
          <w:tcPr>
            <w:tcW w:w="5396" w:type="dxa"/>
          </w:tcPr>
          <w:p w14:paraId="6CACAD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22000 (88,162)</w:t>
            </w:r>
          </w:p>
        </w:tc>
      </w:tr>
    </w:tbl>
    <w:p w14:paraId="0CFE0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Динамика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0F5689" w:rsidRPr="00925F26" w14:paraId="738C7259" w14:textId="77777777">
        <w:tc>
          <w:tcPr>
            <w:tcW w:w="1668" w:type="dxa"/>
          </w:tcPr>
          <w:p w14:paraId="087590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796" w:type="dxa"/>
          </w:tcPr>
          <w:p w14:paraId="2132B9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796" w:type="dxa"/>
          </w:tcPr>
          <w:p w14:paraId="320C18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796" w:type="dxa"/>
          </w:tcPr>
          <w:p w14:paraId="151E1A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796" w:type="dxa"/>
          </w:tcPr>
          <w:p w14:paraId="3EF4F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796" w:type="dxa"/>
          </w:tcPr>
          <w:p w14:paraId="56A2EE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w:t>
            </w:r>
          </w:p>
        </w:tc>
        <w:tc>
          <w:tcPr>
            <w:tcW w:w="4952" w:type="dxa"/>
          </w:tcPr>
          <w:p w14:paraId="439984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2736FAEF" w14:textId="77777777">
        <w:tc>
          <w:tcPr>
            <w:tcW w:w="1668" w:type="dxa"/>
          </w:tcPr>
          <w:p w14:paraId="6E0BB7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796" w:type="dxa"/>
          </w:tcPr>
          <w:p w14:paraId="5295C8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7081</w:t>
            </w:r>
          </w:p>
        </w:tc>
        <w:tc>
          <w:tcPr>
            <w:tcW w:w="796" w:type="dxa"/>
          </w:tcPr>
          <w:p w14:paraId="574238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9918</w:t>
            </w:r>
          </w:p>
        </w:tc>
        <w:tc>
          <w:tcPr>
            <w:tcW w:w="796" w:type="dxa"/>
          </w:tcPr>
          <w:p w14:paraId="226D12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14627</w:t>
            </w:r>
          </w:p>
        </w:tc>
        <w:tc>
          <w:tcPr>
            <w:tcW w:w="796" w:type="dxa"/>
          </w:tcPr>
          <w:p w14:paraId="4D6039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17895</w:t>
            </w:r>
          </w:p>
        </w:tc>
        <w:tc>
          <w:tcPr>
            <w:tcW w:w="796" w:type="dxa"/>
          </w:tcPr>
          <w:p w14:paraId="7F913A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11136</w:t>
            </w:r>
          </w:p>
        </w:tc>
        <w:tc>
          <w:tcPr>
            <w:tcW w:w="4952" w:type="dxa"/>
          </w:tcPr>
          <w:p w14:paraId="0186B0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60657</w:t>
            </w:r>
          </w:p>
        </w:tc>
      </w:tr>
      <w:tr w:rsidR="000F5689" w:rsidRPr="00925F26" w14:paraId="5BDAE163" w14:textId="77777777">
        <w:tc>
          <w:tcPr>
            <w:tcW w:w="1668" w:type="dxa"/>
          </w:tcPr>
          <w:p w14:paraId="034566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w:t>
            </w:r>
          </w:p>
        </w:tc>
        <w:tc>
          <w:tcPr>
            <w:tcW w:w="796" w:type="dxa"/>
          </w:tcPr>
          <w:p w14:paraId="186B29DC"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6231AB69"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2689C31C"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0E0ED0CF"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696D3B30" w14:textId="77777777" w:rsidR="00665165" w:rsidRPr="00925F26" w:rsidRDefault="00665165" w:rsidP="00925F26">
            <w:pPr>
              <w:autoSpaceDE w:val="0"/>
              <w:autoSpaceDN w:val="0"/>
              <w:adjustRightInd w:val="0"/>
              <w:jc w:val="both"/>
              <w:rPr>
                <w:color w:val="000000" w:themeColor="text1"/>
                <w:sz w:val="16"/>
                <w:szCs w:val="16"/>
              </w:rPr>
            </w:pPr>
          </w:p>
        </w:tc>
        <w:tc>
          <w:tcPr>
            <w:tcW w:w="4952" w:type="dxa"/>
          </w:tcPr>
          <w:p w14:paraId="1E847DC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075FE98" w14:textId="77777777">
        <w:tc>
          <w:tcPr>
            <w:tcW w:w="1668" w:type="dxa"/>
          </w:tcPr>
          <w:p w14:paraId="77056A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ровщики</w:t>
            </w:r>
          </w:p>
        </w:tc>
        <w:tc>
          <w:tcPr>
            <w:tcW w:w="796" w:type="dxa"/>
          </w:tcPr>
          <w:p w14:paraId="25D2D0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3754</w:t>
            </w:r>
          </w:p>
        </w:tc>
        <w:tc>
          <w:tcPr>
            <w:tcW w:w="796" w:type="dxa"/>
          </w:tcPr>
          <w:p w14:paraId="23963E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3534</w:t>
            </w:r>
          </w:p>
        </w:tc>
        <w:tc>
          <w:tcPr>
            <w:tcW w:w="796" w:type="dxa"/>
          </w:tcPr>
          <w:p w14:paraId="55D875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4057</w:t>
            </w:r>
          </w:p>
        </w:tc>
        <w:tc>
          <w:tcPr>
            <w:tcW w:w="796" w:type="dxa"/>
          </w:tcPr>
          <w:p w14:paraId="6C155A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4200</w:t>
            </w:r>
          </w:p>
        </w:tc>
        <w:tc>
          <w:tcPr>
            <w:tcW w:w="796" w:type="dxa"/>
          </w:tcPr>
          <w:p w14:paraId="0A372D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3120</w:t>
            </w:r>
          </w:p>
        </w:tc>
        <w:tc>
          <w:tcPr>
            <w:tcW w:w="4952" w:type="dxa"/>
          </w:tcPr>
          <w:p w14:paraId="01E59A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18665</w:t>
            </w:r>
          </w:p>
        </w:tc>
      </w:tr>
      <w:tr w:rsidR="000F5689" w:rsidRPr="00925F26" w14:paraId="5D776484" w14:textId="77777777">
        <w:tc>
          <w:tcPr>
            <w:tcW w:w="1668" w:type="dxa"/>
          </w:tcPr>
          <w:p w14:paraId="29B4EE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796" w:type="dxa"/>
          </w:tcPr>
          <w:p w14:paraId="1D2AC6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1542</w:t>
            </w:r>
          </w:p>
        </w:tc>
        <w:tc>
          <w:tcPr>
            <w:tcW w:w="796" w:type="dxa"/>
          </w:tcPr>
          <w:p w14:paraId="0D0C0C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8229</w:t>
            </w:r>
          </w:p>
        </w:tc>
        <w:tc>
          <w:tcPr>
            <w:tcW w:w="796" w:type="dxa"/>
          </w:tcPr>
          <w:p w14:paraId="223E2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11193</w:t>
            </w:r>
          </w:p>
        </w:tc>
        <w:tc>
          <w:tcPr>
            <w:tcW w:w="796" w:type="dxa"/>
          </w:tcPr>
          <w:p w14:paraId="45729B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11110</w:t>
            </w:r>
          </w:p>
        </w:tc>
        <w:tc>
          <w:tcPr>
            <w:tcW w:w="796" w:type="dxa"/>
          </w:tcPr>
          <w:p w14:paraId="58BEC5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6644</w:t>
            </w:r>
          </w:p>
        </w:tc>
        <w:tc>
          <w:tcPr>
            <w:tcW w:w="4952" w:type="dxa"/>
          </w:tcPr>
          <w:p w14:paraId="299894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38718</w:t>
            </w:r>
          </w:p>
        </w:tc>
      </w:tr>
      <w:tr w:rsidR="000F5689" w:rsidRPr="00925F26" w14:paraId="4FCDF058" w14:textId="77777777">
        <w:tc>
          <w:tcPr>
            <w:tcW w:w="1668" w:type="dxa"/>
          </w:tcPr>
          <w:p w14:paraId="485814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Транспортные</w:t>
            </w:r>
          </w:p>
        </w:tc>
        <w:tc>
          <w:tcPr>
            <w:tcW w:w="796" w:type="dxa"/>
          </w:tcPr>
          <w:p w14:paraId="7614E9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257</w:t>
            </w:r>
          </w:p>
        </w:tc>
        <w:tc>
          <w:tcPr>
            <w:tcW w:w="796" w:type="dxa"/>
          </w:tcPr>
          <w:p w14:paraId="1B4F9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469</w:t>
            </w:r>
          </w:p>
        </w:tc>
        <w:tc>
          <w:tcPr>
            <w:tcW w:w="796" w:type="dxa"/>
          </w:tcPr>
          <w:p w14:paraId="5728C3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1241</w:t>
            </w:r>
          </w:p>
        </w:tc>
        <w:tc>
          <w:tcPr>
            <w:tcW w:w="796" w:type="dxa"/>
          </w:tcPr>
          <w:p w14:paraId="51E67C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1543</w:t>
            </w:r>
          </w:p>
        </w:tc>
        <w:tc>
          <w:tcPr>
            <w:tcW w:w="796" w:type="dxa"/>
          </w:tcPr>
          <w:p w14:paraId="12334E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1231</w:t>
            </w:r>
          </w:p>
        </w:tc>
        <w:tc>
          <w:tcPr>
            <w:tcW w:w="4952" w:type="dxa"/>
          </w:tcPr>
          <w:p w14:paraId="555598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4741</w:t>
            </w:r>
          </w:p>
        </w:tc>
      </w:tr>
      <w:tr w:rsidR="000F5689" w:rsidRPr="00925F26" w14:paraId="4406BA8C" w14:textId="77777777">
        <w:tc>
          <w:tcPr>
            <w:tcW w:w="1668" w:type="dxa"/>
          </w:tcPr>
          <w:p w14:paraId="2A8A4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w:t>
            </w:r>
          </w:p>
        </w:tc>
        <w:tc>
          <w:tcPr>
            <w:tcW w:w="796" w:type="dxa"/>
          </w:tcPr>
          <w:p w14:paraId="164E0F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3101</w:t>
            </w:r>
          </w:p>
        </w:tc>
        <w:tc>
          <w:tcPr>
            <w:tcW w:w="796" w:type="dxa"/>
          </w:tcPr>
          <w:p w14:paraId="4BB759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3286</w:t>
            </w:r>
          </w:p>
        </w:tc>
        <w:tc>
          <w:tcPr>
            <w:tcW w:w="796" w:type="dxa"/>
          </w:tcPr>
          <w:p w14:paraId="53EFB1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3766</w:t>
            </w:r>
          </w:p>
        </w:tc>
        <w:tc>
          <w:tcPr>
            <w:tcW w:w="796" w:type="dxa"/>
          </w:tcPr>
          <w:p w14:paraId="2D6807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5493</w:t>
            </w:r>
          </w:p>
        </w:tc>
        <w:tc>
          <w:tcPr>
            <w:tcW w:w="796" w:type="dxa"/>
          </w:tcPr>
          <w:p w14:paraId="0AF4BA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4347</w:t>
            </w:r>
          </w:p>
        </w:tc>
        <w:tc>
          <w:tcPr>
            <w:tcW w:w="4952" w:type="dxa"/>
          </w:tcPr>
          <w:p w14:paraId="69963F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19993</w:t>
            </w:r>
          </w:p>
        </w:tc>
      </w:tr>
      <w:tr w:rsidR="000F5689" w:rsidRPr="00925F26" w14:paraId="015D67B5" w14:textId="77777777">
        <w:tc>
          <w:tcPr>
            <w:tcW w:w="1668" w:type="dxa"/>
          </w:tcPr>
          <w:p w14:paraId="512F5D55"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211C62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15735</w:t>
            </w:r>
          </w:p>
        </w:tc>
        <w:tc>
          <w:tcPr>
            <w:tcW w:w="796" w:type="dxa"/>
          </w:tcPr>
          <w:p w14:paraId="5909A2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25436</w:t>
            </w:r>
          </w:p>
        </w:tc>
        <w:tc>
          <w:tcPr>
            <w:tcW w:w="796" w:type="dxa"/>
          </w:tcPr>
          <w:p w14:paraId="619BE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34886</w:t>
            </w:r>
          </w:p>
        </w:tc>
        <w:tc>
          <w:tcPr>
            <w:tcW w:w="796" w:type="dxa"/>
          </w:tcPr>
          <w:p w14:paraId="35B002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40241</w:t>
            </w:r>
          </w:p>
        </w:tc>
        <w:tc>
          <w:tcPr>
            <w:tcW w:w="796" w:type="dxa"/>
          </w:tcPr>
          <w:p w14:paraId="3C64D1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36478</w:t>
            </w:r>
          </w:p>
        </w:tc>
        <w:tc>
          <w:tcPr>
            <w:tcW w:w="4952" w:type="dxa"/>
          </w:tcPr>
          <w:p w14:paraId="02C2AC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142774</w:t>
            </w:r>
          </w:p>
        </w:tc>
      </w:tr>
    </w:tbl>
    <w:p w14:paraId="77602E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(237,207).</w:t>
      </w:r>
    </w:p>
    <w:p w14:paraId="3FDC01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также 208875 моторов (237,207).</w:t>
      </w:r>
    </w:p>
    <w:p w14:paraId="76381C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время войны СССР произвел 136.8 тыс. самолетов (6500 Ил-4, 36 тыс. Ил-2), Германия </w:t>
      </w:r>
      <w:proofErr w:type="gramStart"/>
      <w:r w:rsidRPr="00925F26">
        <w:rPr>
          <w:color w:val="000000" w:themeColor="text1"/>
          <w:sz w:val="16"/>
          <w:szCs w:val="16"/>
        </w:rPr>
        <w:t>- ,</w:t>
      </w:r>
      <w:proofErr w:type="gramEnd"/>
      <w:r w:rsidRPr="00925F26">
        <w:rPr>
          <w:color w:val="000000" w:themeColor="text1"/>
          <w:sz w:val="16"/>
          <w:szCs w:val="16"/>
        </w:rPr>
        <w:t xml:space="preserve"> США - 297 тыс. (14 тыс. - пошли в СССР).</w:t>
      </w:r>
    </w:p>
    <w:p w14:paraId="61A5EF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0F5689" w:rsidRPr="00925F26" w14:paraId="6177C722" w14:textId="77777777">
        <w:tc>
          <w:tcPr>
            <w:tcW w:w="2254" w:type="dxa"/>
          </w:tcPr>
          <w:p w14:paraId="35D0FE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с 22 июня</w:t>
            </w:r>
          </w:p>
        </w:tc>
        <w:tc>
          <w:tcPr>
            <w:tcW w:w="2254" w:type="dxa"/>
          </w:tcPr>
          <w:p w14:paraId="2DB785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2254" w:type="dxa"/>
          </w:tcPr>
          <w:p w14:paraId="7489FA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2254" w:type="dxa"/>
          </w:tcPr>
          <w:p w14:paraId="6C64D9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2254" w:type="dxa"/>
          </w:tcPr>
          <w:p w14:paraId="7400E5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на 9.5</w:t>
            </w:r>
          </w:p>
        </w:tc>
      </w:tr>
      <w:tr w:rsidR="000F5689" w:rsidRPr="00925F26" w14:paraId="54191741" w14:textId="77777777">
        <w:tc>
          <w:tcPr>
            <w:tcW w:w="2254" w:type="dxa"/>
          </w:tcPr>
          <w:p w14:paraId="4B1F40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1061</w:t>
            </w:r>
          </w:p>
        </w:tc>
        <w:tc>
          <w:tcPr>
            <w:tcW w:w="2254" w:type="dxa"/>
          </w:tcPr>
          <w:p w14:paraId="08F9CC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7654</w:t>
            </w:r>
          </w:p>
        </w:tc>
        <w:tc>
          <w:tcPr>
            <w:tcW w:w="2254" w:type="dxa"/>
          </w:tcPr>
          <w:p w14:paraId="7231F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11254</w:t>
            </w:r>
          </w:p>
        </w:tc>
        <w:tc>
          <w:tcPr>
            <w:tcW w:w="2254" w:type="dxa"/>
          </w:tcPr>
          <w:p w14:paraId="02187E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10297</w:t>
            </w:r>
          </w:p>
        </w:tc>
        <w:tc>
          <w:tcPr>
            <w:tcW w:w="2254" w:type="dxa"/>
          </w:tcPr>
          <w:p w14:paraId="00B8FE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3664</w:t>
            </w:r>
          </w:p>
        </w:tc>
      </w:tr>
    </w:tbl>
    <w:p w14:paraId="619DEF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33930 (494).</w:t>
      </w:r>
    </w:p>
    <w:p w14:paraId="030648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том числе Ил-10 с АМ-42: 4 кварт 1944 - 41 (495); за 4 месяца 1945 по 1 мая - 785 (4124).</w:t>
      </w:r>
    </w:p>
    <w:p w14:paraId="232656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13 боевых вылетов на потерю одного самолета (497) (правда не ясно, за какой период эти данные).</w:t>
      </w:r>
    </w:p>
    <w:p w14:paraId="10E35EA3" w14:textId="77777777" w:rsidR="00665165" w:rsidRPr="00925F26" w:rsidRDefault="00665165" w:rsidP="00925F26">
      <w:pPr>
        <w:autoSpaceDE w:val="0"/>
        <w:autoSpaceDN w:val="0"/>
        <w:adjustRightInd w:val="0"/>
        <w:jc w:val="both"/>
        <w:rPr>
          <w:color w:val="000000" w:themeColor="text1"/>
          <w:sz w:val="16"/>
          <w:szCs w:val="16"/>
        </w:rPr>
      </w:pPr>
    </w:p>
    <w:p w14:paraId="7DB244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В.К.К. выполнил первый полет на Ил-16 АМ-43НВ (3846,21).</w:t>
      </w:r>
    </w:p>
    <w:p w14:paraId="3B0CA8F3" w14:textId="77777777" w:rsidR="00665165" w:rsidRPr="00925F26" w:rsidRDefault="00665165" w:rsidP="00925F26">
      <w:pPr>
        <w:autoSpaceDE w:val="0"/>
        <w:autoSpaceDN w:val="0"/>
        <w:adjustRightInd w:val="0"/>
        <w:jc w:val="both"/>
        <w:rPr>
          <w:color w:val="000000" w:themeColor="text1"/>
          <w:sz w:val="16"/>
          <w:szCs w:val="16"/>
        </w:rPr>
      </w:pPr>
    </w:p>
    <w:p w14:paraId="56D88170"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В апреле 1945 г. В.К. Коккинаки совершил Ил-16 первый полет. Выяснилось, что при таком мощном двигателе реактивный момент воздуш</w:t>
      </w:r>
      <w:r w:rsidRPr="001A0BAA">
        <w:rPr>
          <w:rStyle w:val="aff0"/>
          <w:rFonts w:ascii="Times New Roman" w:hAnsi="Times New Roman" w:cs="Times New Roman"/>
          <w:color w:val="0070C0"/>
          <w:spacing w:val="0"/>
          <w:sz w:val="16"/>
          <w:szCs w:val="16"/>
        </w:rPr>
        <w:softHyphen/>
        <w:t>ного винта стремился перевернуть машину через крыло, а короткий фюзеляж не позволял обеспечить требуемый за</w:t>
      </w:r>
      <w:r w:rsidRPr="001A0BAA">
        <w:rPr>
          <w:rStyle w:val="aff0"/>
          <w:rFonts w:ascii="Times New Roman" w:hAnsi="Times New Roman" w:cs="Times New Roman"/>
          <w:color w:val="0070C0"/>
          <w:spacing w:val="0"/>
          <w:sz w:val="16"/>
          <w:szCs w:val="16"/>
        </w:rPr>
        <w:softHyphen/>
        <w:t>пас продольной устойчивости. Не лучше обстояли дела и с двигателем, который также требовал доводки.</w:t>
      </w:r>
    </w:p>
    <w:p w14:paraId="4AEA9867"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Если, удлинив на 0,5 метра хвостовую часть фюзеляжа и увеличив площадь вертикального оперения, удалось улуч</w:t>
      </w:r>
      <w:r w:rsidRPr="001A0BAA">
        <w:rPr>
          <w:rStyle w:val="aff0"/>
          <w:rFonts w:ascii="Times New Roman" w:hAnsi="Times New Roman" w:cs="Times New Roman"/>
          <w:color w:val="0070C0"/>
          <w:spacing w:val="0"/>
          <w:sz w:val="16"/>
          <w:szCs w:val="16"/>
        </w:rPr>
        <w:softHyphen/>
        <w:t>шить аэродинамику штурмовика, то доработка двигателя затянулась на неопределенный срок. В итоге летом 1946 года дальнейшую работу по Ил- 16 прекратили (25091).</w:t>
      </w:r>
    </w:p>
    <w:p w14:paraId="24E584C8" w14:textId="77777777" w:rsidR="00FF2E3B" w:rsidRPr="001A0BAA" w:rsidRDefault="00FF2E3B" w:rsidP="00FF2E3B">
      <w:pPr>
        <w:jc w:val="both"/>
        <w:rPr>
          <w:color w:val="0070C0"/>
          <w:sz w:val="16"/>
          <w:szCs w:val="16"/>
        </w:rPr>
      </w:pPr>
    </w:p>
    <w:p w14:paraId="05C5B1E9"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В апреле 1945 года компонов</w:t>
      </w:r>
      <w:r w:rsidRPr="001A0BAA">
        <w:rPr>
          <w:rStyle w:val="aff0"/>
          <w:rFonts w:ascii="Times New Roman" w:hAnsi="Times New Roman" w:cs="Times New Roman"/>
          <w:color w:val="0070C0"/>
          <w:spacing w:val="0"/>
          <w:sz w:val="16"/>
          <w:szCs w:val="16"/>
        </w:rPr>
        <w:softHyphen/>
        <w:t>ка четыхмоторного Ил-18 с герметичной кабиной вентиляционного типа была утверждена С.В. Ильюшиным.</w:t>
      </w:r>
    </w:p>
    <w:p w14:paraId="0C46EBA6"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Создавая пассажирские лайнеры, конструкторы, как и на Ил-12, окончательно отказались от носовой кабины штурмана. Рабочие места штурмана, радиста и бортмеханика распо</w:t>
      </w:r>
      <w:r w:rsidRPr="001A0BAA">
        <w:rPr>
          <w:rStyle w:val="aff0"/>
          <w:rFonts w:ascii="Times New Roman" w:hAnsi="Times New Roman" w:cs="Times New Roman"/>
          <w:color w:val="0070C0"/>
          <w:spacing w:val="0"/>
          <w:sz w:val="16"/>
          <w:szCs w:val="16"/>
        </w:rPr>
        <w:softHyphen/>
        <w:t>ложили за креслами пилотов. Все это упростило компо</w:t>
      </w:r>
      <w:r w:rsidRPr="001A0BAA">
        <w:rPr>
          <w:rStyle w:val="aff0"/>
          <w:rFonts w:ascii="Times New Roman" w:hAnsi="Times New Roman" w:cs="Times New Roman"/>
          <w:color w:val="0070C0"/>
          <w:spacing w:val="0"/>
          <w:sz w:val="16"/>
          <w:szCs w:val="16"/>
        </w:rPr>
        <w:softHyphen/>
        <w:t>новку и сократило площадь остекления кабины экипажа, что в целом положительно сказалось и на весе планера.</w:t>
      </w:r>
    </w:p>
    <w:p w14:paraId="17CAF508"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lastRenderedPageBreak/>
        <w:t>Имелся вариант компоновки и без штурмана-навигато</w:t>
      </w:r>
      <w:r w:rsidRPr="001A0BAA">
        <w:rPr>
          <w:rStyle w:val="aff0"/>
          <w:rFonts w:ascii="Times New Roman" w:hAnsi="Times New Roman" w:cs="Times New Roman"/>
          <w:color w:val="0070C0"/>
          <w:spacing w:val="0"/>
          <w:sz w:val="16"/>
          <w:szCs w:val="16"/>
        </w:rPr>
        <w:softHyphen/>
        <w:t>ра, что в те годы было довольно смелым решением и отра</w:t>
      </w:r>
      <w:r w:rsidRPr="001A0BAA">
        <w:rPr>
          <w:rStyle w:val="aff0"/>
          <w:rFonts w:ascii="Times New Roman" w:hAnsi="Times New Roman" w:cs="Times New Roman"/>
          <w:color w:val="0070C0"/>
          <w:spacing w:val="0"/>
          <w:sz w:val="16"/>
          <w:szCs w:val="16"/>
        </w:rPr>
        <w:softHyphen/>
        <w:t>жало взгляды руководителей зарубежных авиакомпаний на пассажирский авиалайнер. Однако для Советского Союза с его скудными средствами радионавигации отказ от штур</w:t>
      </w:r>
      <w:r w:rsidRPr="001A0BAA">
        <w:rPr>
          <w:rStyle w:val="aff0"/>
          <w:rFonts w:ascii="Times New Roman" w:hAnsi="Times New Roman" w:cs="Times New Roman"/>
          <w:color w:val="0070C0"/>
          <w:spacing w:val="0"/>
          <w:sz w:val="16"/>
          <w:szCs w:val="16"/>
        </w:rPr>
        <w:softHyphen/>
        <w:t>мана, тем более при использовании машины для военных целей, оказался неприемлем. Впрочем, на Ил -18 задача размещения рабочего места навигатора решалась безболез</w:t>
      </w:r>
      <w:r w:rsidRPr="001A0BAA">
        <w:rPr>
          <w:rStyle w:val="aff0"/>
          <w:rFonts w:ascii="Times New Roman" w:hAnsi="Times New Roman" w:cs="Times New Roman"/>
          <w:color w:val="0070C0"/>
          <w:spacing w:val="0"/>
          <w:sz w:val="16"/>
          <w:szCs w:val="16"/>
        </w:rPr>
        <w:softHyphen/>
        <w:t>ненно путем соответствующей перекомпоновки кабины экипажа.</w:t>
      </w:r>
    </w:p>
    <w:p w14:paraId="6026F072"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Выбор фюзеляжа диаметром 3,5 м позволил разместить по пять пассажирских кресел в ряд, а багаж и грузы - в подпольном пространстве. Данное решение оказалось на</w:t>
      </w:r>
      <w:r w:rsidRPr="001A0BAA">
        <w:rPr>
          <w:rStyle w:val="aff0"/>
          <w:rFonts w:ascii="Times New Roman" w:hAnsi="Times New Roman" w:cs="Times New Roman"/>
          <w:color w:val="0070C0"/>
          <w:spacing w:val="0"/>
          <w:sz w:val="16"/>
          <w:szCs w:val="16"/>
        </w:rPr>
        <w:softHyphen/>
        <w:t>столько удачным, что такой же диаметр фюзеляжа впо-</w:t>
      </w:r>
    </w:p>
    <w:p w14:paraId="50E33CA0"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следствии сохранился и на лайнере Ил-18 с турбовинтовы</w:t>
      </w:r>
      <w:r w:rsidRPr="001A0BAA">
        <w:rPr>
          <w:rStyle w:val="aff0"/>
          <w:rFonts w:ascii="Times New Roman" w:hAnsi="Times New Roman" w:cs="Times New Roman"/>
          <w:color w:val="0070C0"/>
          <w:spacing w:val="0"/>
          <w:sz w:val="16"/>
          <w:szCs w:val="16"/>
        </w:rPr>
        <w:softHyphen/>
        <w:t>ми двигателями (ТВД).</w:t>
      </w:r>
    </w:p>
    <w:p w14:paraId="38999F97" w14:textId="77777777" w:rsidR="00FF2E3B" w:rsidRPr="001A0BAA" w:rsidRDefault="00FF2E3B" w:rsidP="00FF2E3B">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Первые наброски машины были сделаны в бригаде об</w:t>
      </w:r>
      <w:r w:rsidRPr="001A0BAA">
        <w:rPr>
          <w:rStyle w:val="aff0"/>
          <w:rFonts w:ascii="Times New Roman" w:hAnsi="Times New Roman" w:cs="Times New Roman"/>
          <w:color w:val="0070C0"/>
          <w:spacing w:val="0"/>
          <w:sz w:val="16"/>
          <w:szCs w:val="16"/>
        </w:rPr>
        <w:softHyphen/>
        <w:t>щих видов под руководством В. М. Германова.</w:t>
      </w:r>
    </w:p>
    <w:p w14:paraId="788C390C"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В отчете завода № 240 за 1946 год сказано, что проектирование ма</w:t>
      </w:r>
      <w:r w:rsidRPr="001A0BAA">
        <w:rPr>
          <w:rStyle w:val="aff0"/>
          <w:rFonts w:ascii="Times New Roman" w:hAnsi="Times New Roman" w:cs="Times New Roman"/>
          <w:color w:val="0070C0"/>
          <w:spacing w:val="0"/>
          <w:sz w:val="16"/>
          <w:szCs w:val="16"/>
        </w:rPr>
        <w:softHyphen/>
        <w:t>шины закончено. Причем, кроме специального варианта, разработали пассажирский -на 67 мест. Все проектирова</w:t>
      </w:r>
      <w:r w:rsidRPr="001A0BAA">
        <w:rPr>
          <w:rStyle w:val="aff0"/>
          <w:rFonts w:ascii="Times New Roman" w:hAnsi="Times New Roman" w:cs="Times New Roman"/>
          <w:color w:val="0070C0"/>
          <w:spacing w:val="0"/>
          <w:sz w:val="16"/>
          <w:szCs w:val="16"/>
        </w:rPr>
        <w:softHyphen/>
        <w:t>ние заняло восемь месяцев. Что это за специальный вари</w:t>
      </w:r>
      <w:r w:rsidRPr="001A0BAA">
        <w:rPr>
          <w:rStyle w:val="aff0"/>
          <w:rFonts w:ascii="Times New Roman" w:hAnsi="Times New Roman" w:cs="Times New Roman"/>
          <w:color w:val="0070C0"/>
          <w:spacing w:val="0"/>
          <w:sz w:val="16"/>
          <w:szCs w:val="16"/>
        </w:rPr>
        <w:softHyphen/>
        <w:t>ант, в документах не раскрывается, но, видимо, речь шла о машине в варианте «салон»), используя современную тер</w:t>
      </w:r>
      <w:r w:rsidRPr="001A0BAA">
        <w:rPr>
          <w:rStyle w:val="aff0"/>
          <w:rFonts w:ascii="Times New Roman" w:hAnsi="Times New Roman" w:cs="Times New Roman"/>
          <w:color w:val="0070C0"/>
          <w:spacing w:val="0"/>
          <w:sz w:val="16"/>
          <w:szCs w:val="16"/>
        </w:rPr>
        <w:softHyphen/>
        <w:t xml:space="preserve">минологию - варианте </w:t>
      </w:r>
      <w:r w:rsidRPr="001A0BAA">
        <w:rPr>
          <w:rStyle w:val="aff0"/>
          <w:rFonts w:ascii="Times New Roman" w:hAnsi="Times New Roman" w:cs="Times New Roman"/>
          <w:color w:val="0070C0"/>
          <w:spacing w:val="0"/>
          <w:sz w:val="16"/>
          <w:szCs w:val="16"/>
          <w:lang w:val="en-US"/>
        </w:rPr>
        <w:t>VIP</w:t>
      </w:r>
      <w:r w:rsidRPr="001A0BAA">
        <w:rPr>
          <w:rStyle w:val="aff0"/>
          <w:rFonts w:ascii="Times New Roman" w:hAnsi="Times New Roman" w:cs="Times New Roman"/>
          <w:color w:val="0070C0"/>
          <w:spacing w:val="0"/>
          <w:sz w:val="16"/>
          <w:szCs w:val="16"/>
        </w:rPr>
        <w:t>.</w:t>
      </w:r>
    </w:p>
    <w:p w14:paraId="36756F5B"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Нормальным считался вариант первого класса с разме</w:t>
      </w:r>
      <w:r w:rsidRPr="001A0BAA">
        <w:rPr>
          <w:rStyle w:val="aff0"/>
          <w:rFonts w:ascii="Times New Roman" w:hAnsi="Times New Roman" w:cs="Times New Roman"/>
          <w:color w:val="0070C0"/>
          <w:spacing w:val="0"/>
          <w:sz w:val="16"/>
          <w:szCs w:val="16"/>
        </w:rPr>
        <w:softHyphen/>
        <w:t>щением 60 кресел для пассажиров (по пять в ряд, три крес</w:t>
      </w:r>
      <w:r w:rsidRPr="001A0BAA">
        <w:rPr>
          <w:rStyle w:val="aff0"/>
          <w:rFonts w:ascii="Times New Roman" w:hAnsi="Times New Roman" w:cs="Times New Roman"/>
          <w:color w:val="0070C0"/>
          <w:spacing w:val="0"/>
          <w:sz w:val="16"/>
          <w:szCs w:val="16"/>
        </w:rPr>
        <w:softHyphen/>
        <w:t>ла справа и два слева с проходом шириной 0,44 м с шагом не менее 960 мм) в герметичном отсеке фюзеляжа объемом около 130 мз, при шести членах экипажа. В перегрузочном варианте размещалось 66 пассажиров.</w:t>
      </w:r>
    </w:p>
    <w:p w14:paraId="523DC269"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Для полета на предельные расстояния в ночное время проработали компоновку на 28 спальных мест, а десантно</w:t>
      </w:r>
      <w:r w:rsidRPr="001A0BAA">
        <w:rPr>
          <w:rStyle w:val="aff0"/>
          <w:rFonts w:ascii="Times New Roman" w:hAnsi="Times New Roman" w:cs="Times New Roman"/>
          <w:color w:val="0070C0"/>
          <w:spacing w:val="0"/>
          <w:sz w:val="16"/>
          <w:szCs w:val="16"/>
        </w:rPr>
        <w:softHyphen/>
        <w:t>транспортный вариант обеспечивал перевозку до 90 сол</w:t>
      </w:r>
      <w:r w:rsidRPr="001A0BAA">
        <w:rPr>
          <w:rStyle w:val="aff0"/>
          <w:rFonts w:ascii="Times New Roman" w:hAnsi="Times New Roman" w:cs="Times New Roman"/>
          <w:color w:val="0070C0"/>
          <w:spacing w:val="0"/>
          <w:sz w:val="16"/>
          <w:szCs w:val="16"/>
        </w:rPr>
        <w:softHyphen/>
        <w:t>дат. Большой объем салона допускал различные варианты размещения пассажиров, для которых на борту предусмот</w:t>
      </w:r>
      <w:r w:rsidRPr="001A0BAA">
        <w:rPr>
          <w:rStyle w:val="aff0"/>
          <w:rFonts w:ascii="Times New Roman" w:hAnsi="Times New Roman" w:cs="Times New Roman"/>
          <w:color w:val="0070C0"/>
          <w:spacing w:val="0"/>
          <w:sz w:val="16"/>
          <w:szCs w:val="16"/>
        </w:rPr>
        <w:softHyphen/>
        <w:t>рели все удобства, включая гардероб, до трех туалетных по</w:t>
      </w:r>
      <w:r w:rsidRPr="001A0BAA">
        <w:rPr>
          <w:rStyle w:val="aff0"/>
          <w:rFonts w:ascii="Times New Roman" w:hAnsi="Times New Roman" w:cs="Times New Roman"/>
          <w:color w:val="0070C0"/>
          <w:spacing w:val="0"/>
          <w:sz w:val="16"/>
          <w:szCs w:val="16"/>
        </w:rPr>
        <w:softHyphen/>
        <w:t>мещений и буфет. Салон отличался хорошо продуманным интерьером без декоративных излишеств и создавал необ</w:t>
      </w:r>
      <w:r w:rsidRPr="001A0BAA">
        <w:rPr>
          <w:rStyle w:val="aff0"/>
          <w:rFonts w:ascii="Times New Roman" w:hAnsi="Times New Roman" w:cs="Times New Roman"/>
          <w:color w:val="0070C0"/>
          <w:spacing w:val="0"/>
          <w:sz w:val="16"/>
          <w:szCs w:val="16"/>
        </w:rPr>
        <w:softHyphen/>
        <w:t>ходимый уют пассажирам.</w:t>
      </w:r>
    </w:p>
    <w:p w14:paraId="26581382"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Уже тогда во избежание появления трещин в районе вырезов в фюзеляже перешли от прямоугольных иллюми</w:t>
      </w:r>
      <w:r w:rsidRPr="001A0BAA">
        <w:rPr>
          <w:rStyle w:val="aff0"/>
          <w:rFonts w:ascii="Times New Roman" w:hAnsi="Times New Roman" w:cs="Times New Roman"/>
          <w:color w:val="0070C0"/>
          <w:spacing w:val="0"/>
          <w:sz w:val="16"/>
          <w:szCs w:val="16"/>
        </w:rPr>
        <w:softHyphen/>
        <w:t>наторов к круглым. Наддув кабины пилотов и пассажир</w:t>
      </w:r>
      <w:r w:rsidRPr="001A0BAA">
        <w:rPr>
          <w:rStyle w:val="aff0"/>
          <w:rFonts w:ascii="Times New Roman" w:hAnsi="Times New Roman" w:cs="Times New Roman"/>
          <w:color w:val="0070C0"/>
          <w:spacing w:val="0"/>
          <w:sz w:val="16"/>
          <w:szCs w:val="16"/>
        </w:rPr>
        <w:softHyphen/>
        <w:t>ского салона осуществлялся от турбокомпрессоров, уста</w:t>
      </w:r>
      <w:r w:rsidRPr="001A0BAA">
        <w:rPr>
          <w:rStyle w:val="aff0"/>
          <w:rFonts w:ascii="Times New Roman" w:hAnsi="Times New Roman" w:cs="Times New Roman"/>
          <w:color w:val="0070C0"/>
          <w:spacing w:val="0"/>
          <w:sz w:val="16"/>
          <w:szCs w:val="16"/>
        </w:rPr>
        <w:softHyphen/>
        <w:t>новленных на двигателях. При полетах на больших высо</w:t>
      </w:r>
      <w:r w:rsidRPr="001A0BAA">
        <w:rPr>
          <w:rStyle w:val="aff0"/>
          <w:rFonts w:ascii="Times New Roman" w:hAnsi="Times New Roman" w:cs="Times New Roman"/>
          <w:color w:val="0070C0"/>
          <w:spacing w:val="0"/>
          <w:sz w:val="16"/>
          <w:szCs w:val="16"/>
        </w:rPr>
        <w:softHyphen/>
        <w:t>тах нагрузка от избыточного давления воспринималась цилиндрическим корпусом и двумя сферическими перего</w:t>
      </w:r>
      <w:r w:rsidRPr="001A0BAA">
        <w:rPr>
          <w:rStyle w:val="aff0"/>
          <w:rFonts w:ascii="Times New Roman" w:hAnsi="Times New Roman" w:cs="Times New Roman"/>
          <w:color w:val="0070C0"/>
          <w:spacing w:val="0"/>
          <w:sz w:val="16"/>
          <w:szCs w:val="16"/>
        </w:rPr>
        <w:softHyphen/>
        <w:t>родкам и, передней из которых являлась носовая часть фю</w:t>
      </w:r>
      <w:r w:rsidRPr="001A0BAA">
        <w:rPr>
          <w:rStyle w:val="aff0"/>
          <w:rFonts w:ascii="Times New Roman" w:hAnsi="Times New Roman" w:cs="Times New Roman"/>
          <w:color w:val="0070C0"/>
          <w:spacing w:val="0"/>
          <w:sz w:val="16"/>
          <w:szCs w:val="16"/>
        </w:rPr>
        <w:softHyphen/>
        <w:t>зеляжа.</w:t>
      </w:r>
    </w:p>
    <w:p w14:paraId="1BF12225"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Другой особенностью машины стало крыло, размах ко</w:t>
      </w:r>
      <w:r w:rsidRPr="001A0BAA">
        <w:rPr>
          <w:rStyle w:val="aff0"/>
          <w:rFonts w:ascii="Times New Roman" w:hAnsi="Times New Roman" w:cs="Times New Roman"/>
          <w:color w:val="0070C0"/>
          <w:spacing w:val="0"/>
          <w:sz w:val="16"/>
          <w:szCs w:val="16"/>
        </w:rPr>
        <w:softHyphen/>
        <w:t>торого в 12 раз превышал среднюю аэродинамическую хорду (САХ). Такое удлинение несущей поверхности, свой</w:t>
      </w:r>
      <w:r w:rsidRPr="001A0BAA">
        <w:rPr>
          <w:rStyle w:val="aff0"/>
          <w:rFonts w:ascii="Times New Roman" w:hAnsi="Times New Roman" w:cs="Times New Roman"/>
          <w:color w:val="0070C0"/>
          <w:spacing w:val="0"/>
          <w:sz w:val="16"/>
          <w:szCs w:val="16"/>
        </w:rPr>
        <w:softHyphen/>
        <w:t>ственное самолетам, летающим на большие расстояния, снижало ее индуктивное сопротивление. При этом нагруз</w:t>
      </w:r>
      <w:r w:rsidRPr="001A0BAA">
        <w:rPr>
          <w:rStyle w:val="aff0"/>
          <w:rFonts w:ascii="Times New Roman" w:hAnsi="Times New Roman" w:cs="Times New Roman"/>
          <w:color w:val="0070C0"/>
          <w:spacing w:val="0"/>
          <w:sz w:val="16"/>
          <w:szCs w:val="16"/>
        </w:rPr>
        <w:softHyphen/>
        <w:t>ка на крыло в зависимости от полетного веса изменялась от 300 до 340 кг/м2. Для обеспечения требуемых взлетно</w:t>
      </w:r>
      <w:r w:rsidRPr="001A0BAA">
        <w:rPr>
          <w:rStyle w:val="aff0"/>
          <w:rFonts w:ascii="Times New Roman" w:hAnsi="Times New Roman" w:cs="Times New Roman"/>
          <w:color w:val="0070C0"/>
          <w:spacing w:val="0"/>
          <w:sz w:val="16"/>
          <w:szCs w:val="16"/>
        </w:rPr>
        <w:softHyphen/>
        <w:t>посадочных характеристик несущую поверхность оснасти</w:t>
      </w:r>
      <w:r w:rsidRPr="001A0BAA">
        <w:rPr>
          <w:rStyle w:val="aff0"/>
          <w:rFonts w:ascii="Times New Roman" w:hAnsi="Times New Roman" w:cs="Times New Roman"/>
          <w:color w:val="0070C0"/>
          <w:spacing w:val="0"/>
          <w:sz w:val="16"/>
          <w:szCs w:val="16"/>
        </w:rPr>
        <w:softHyphen/>
        <w:t>ли щелевыми закрылками типа «Фаулера», улучшавшими взлетно-посадочные характеристики, что в совокупности с выбранными размерами колес шасси допускало эксплуата</w:t>
      </w:r>
      <w:r w:rsidRPr="001A0BAA">
        <w:rPr>
          <w:rStyle w:val="aff0"/>
          <w:rFonts w:ascii="Times New Roman" w:hAnsi="Times New Roman" w:cs="Times New Roman"/>
          <w:color w:val="0070C0"/>
          <w:spacing w:val="0"/>
          <w:sz w:val="16"/>
          <w:szCs w:val="16"/>
        </w:rPr>
        <w:softHyphen/>
        <w:t>цию машины с грунтовых аэродромов.</w:t>
      </w:r>
    </w:p>
    <w:p w14:paraId="0CB79699"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Для снижения лобового сопротивления на взлетно-по</w:t>
      </w:r>
      <w:r w:rsidRPr="001A0BAA">
        <w:rPr>
          <w:rStyle w:val="aff0"/>
          <w:rFonts w:ascii="Times New Roman" w:hAnsi="Times New Roman" w:cs="Times New Roman"/>
          <w:color w:val="0070C0"/>
          <w:spacing w:val="0"/>
          <w:sz w:val="16"/>
          <w:szCs w:val="16"/>
        </w:rPr>
        <w:softHyphen/>
        <w:t>садочных режимах и защиты ниш уборки основных опор шасси от грязи створки их отсеков закрывались.</w:t>
      </w:r>
    </w:p>
    <w:p w14:paraId="7A19250C"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Крыло и оперение имели электротермические противо</w:t>
      </w:r>
      <w:r w:rsidRPr="001A0BAA">
        <w:rPr>
          <w:rStyle w:val="aff0"/>
          <w:rFonts w:ascii="Times New Roman" w:hAnsi="Times New Roman" w:cs="Times New Roman"/>
          <w:color w:val="0070C0"/>
          <w:spacing w:val="0"/>
          <w:sz w:val="16"/>
          <w:szCs w:val="16"/>
        </w:rPr>
        <w:softHyphen/>
        <w:t>обледенительные устройства. Лопасти воздушных винтов омывались спиртаглицериновой смесью, а лобовые стекла кабины пилотов - антифризом.</w:t>
      </w:r>
    </w:p>
    <w:p w14:paraId="31AF49C7" w14:textId="77777777" w:rsidR="00FF2E3B" w:rsidRPr="001A0BAA" w:rsidRDefault="00FF2E3B" w:rsidP="00FF2E3B">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Начиная с Ил-12 на всех самолетах, созданных в ОКБ-240, шасси имело носовую опору. Не стал исключением и Ил-18.</w:t>
      </w:r>
    </w:p>
    <w:p w14:paraId="2CAE1A0E" w14:textId="77777777" w:rsidR="00FF2E3B" w:rsidRPr="001A0BAA" w:rsidRDefault="00FF2E3B" w:rsidP="00FF2E3B">
      <w:pPr>
        <w:jc w:val="both"/>
        <w:rPr>
          <w:color w:val="0070C0"/>
          <w:sz w:val="16"/>
          <w:szCs w:val="16"/>
        </w:rPr>
      </w:pPr>
      <w:r w:rsidRPr="001A0BAA">
        <w:rPr>
          <w:rStyle w:val="aff0"/>
          <w:rFonts w:ascii="Times New Roman" w:hAnsi="Times New Roman" w:cs="Times New Roman"/>
          <w:color w:val="0070C0"/>
          <w:spacing w:val="0"/>
          <w:sz w:val="16"/>
          <w:szCs w:val="16"/>
        </w:rPr>
        <w:t>По сведениям, полученным из ОКБ, Ил-18 разрабаты</w:t>
      </w:r>
      <w:r w:rsidRPr="001A0BAA">
        <w:rPr>
          <w:rStyle w:val="aff0"/>
          <w:rFonts w:ascii="Times New Roman" w:hAnsi="Times New Roman" w:cs="Times New Roman"/>
          <w:color w:val="0070C0"/>
          <w:spacing w:val="0"/>
          <w:sz w:val="16"/>
          <w:szCs w:val="16"/>
        </w:rPr>
        <w:softHyphen/>
        <w:t>вался сначала с дизельными двигателями АЧ-72. Но таких дизелей в природе и даже в проектах не существовало. Скорее всего речь шла об опытном двигателе АЧ-32. Одна</w:t>
      </w:r>
      <w:r w:rsidRPr="001A0BAA">
        <w:rPr>
          <w:rStyle w:val="aff0"/>
          <w:rFonts w:ascii="Times New Roman" w:hAnsi="Times New Roman" w:cs="Times New Roman"/>
          <w:color w:val="0070C0"/>
          <w:spacing w:val="0"/>
          <w:sz w:val="16"/>
          <w:szCs w:val="16"/>
        </w:rPr>
        <w:softHyphen/>
        <w:t>ко этот мотор, как и его предшественники АЧ-30 и АЧ-31, видимо, обладал низкой надежностью и был капризен в эксплуатации, особенно на больших высотах. Единствен</w:t>
      </w:r>
      <w:r w:rsidRPr="001A0BAA">
        <w:rPr>
          <w:rStyle w:val="aff0"/>
          <w:rFonts w:ascii="Times New Roman" w:hAnsi="Times New Roman" w:cs="Times New Roman"/>
          <w:color w:val="0070C0"/>
          <w:spacing w:val="0"/>
          <w:sz w:val="16"/>
          <w:szCs w:val="16"/>
        </w:rPr>
        <w:softHyphen/>
        <w:t>ным реальным двигателем для машины с герметичной ка</w:t>
      </w:r>
      <w:r w:rsidRPr="001A0BAA">
        <w:rPr>
          <w:rStyle w:val="aff0"/>
          <w:rFonts w:ascii="Times New Roman" w:hAnsi="Times New Roman" w:cs="Times New Roman"/>
          <w:color w:val="0070C0"/>
          <w:spacing w:val="0"/>
          <w:sz w:val="16"/>
          <w:szCs w:val="16"/>
        </w:rPr>
        <w:softHyphen/>
        <w:t>биной были звездообразные моторы АШ-72ТК, развивав</w:t>
      </w:r>
      <w:r w:rsidRPr="001A0BAA">
        <w:rPr>
          <w:rStyle w:val="aff0"/>
          <w:rFonts w:ascii="Times New Roman" w:hAnsi="Times New Roman" w:cs="Times New Roman"/>
          <w:color w:val="0070C0"/>
          <w:spacing w:val="0"/>
          <w:sz w:val="16"/>
          <w:szCs w:val="16"/>
        </w:rPr>
        <w:softHyphen/>
        <w:t>шие до 1900 л.с. на высоте 9000 м (25091).</w:t>
      </w:r>
    </w:p>
    <w:p w14:paraId="2E2A5EDB" w14:textId="77777777" w:rsidR="00FF2E3B" w:rsidRPr="001A0BAA" w:rsidRDefault="00FF2E3B" w:rsidP="00FF2E3B">
      <w:pPr>
        <w:jc w:val="both"/>
        <w:rPr>
          <w:color w:val="0070C0"/>
          <w:sz w:val="16"/>
          <w:szCs w:val="16"/>
        </w:rPr>
      </w:pPr>
    </w:p>
    <w:p w14:paraId="6FBA376F" w14:textId="77777777" w:rsidR="005F32F4" w:rsidRPr="00925F26" w:rsidRDefault="005F32F4" w:rsidP="00925F26">
      <w:pPr>
        <w:pStyle w:val="7"/>
        <w:shd w:val="clear" w:color="auto" w:fill="auto"/>
        <w:spacing w:line="240" w:lineRule="auto"/>
        <w:rPr>
          <w:rFonts w:ascii="Times New Roman" w:cs="Times New Roman"/>
          <w:color w:val="000000" w:themeColor="text1"/>
          <w:spacing w:val="0"/>
          <w:sz w:val="16"/>
          <w:szCs w:val="16"/>
        </w:rPr>
      </w:pPr>
      <w:r w:rsidRPr="00925F26">
        <w:rPr>
          <w:rStyle w:val="7a"/>
          <w:rFonts w:ascii="Times New Roman" w:hAnsi="Times New Roman" w:cs="Times New Roman"/>
          <w:i w:val="0"/>
          <w:color w:val="000000" w:themeColor="text1"/>
          <w:sz w:val="16"/>
          <w:szCs w:val="16"/>
        </w:rPr>
        <w:t>В апреле 1945 г. временно исполняющий долж</w:t>
      </w:r>
      <w:r w:rsidRPr="00925F26">
        <w:rPr>
          <w:rStyle w:val="7a"/>
          <w:rFonts w:ascii="Times New Roman" w:hAnsi="Times New Roman" w:cs="Times New Roman"/>
          <w:i w:val="0"/>
          <w:color w:val="000000" w:themeColor="text1"/>
          <w:sz w:val="16"/>
          <w:szCs w:val="16"/>
        </w:rPr>
        <w:softHyphen/>
        <w:t>ность командующего ВВС КА маршал авиации Ф.Я. Фалалеев писал управде</w:t>
      </w:r>
      <w:r w:rsidRPr="00925F26">
        <w:rPr>
          <w:rStyle w:val="7a"/>
          <w:rFonts w:ascii="Times New Roman" w:hAnsi="Times New Roman" w:cs="Times New Roman"/>
          <w:i w:val="0"/>
          <w:color w:val="000000" w:themeColor="text1"/>
          <w:sz w:val="16"/>
          <w:szCs w:val="16"/>
        </w:rPr>
        <w:softHyphen/>
        <w:t>лами СНК СССР Я.Е. Чадаеву (ему под контр</w:t>
      </w:r>
      <w:r w:rsidRPr="00925F26">
        <w:rPr>
          <w:rStyle w:val="7a"/>
          <w:rFonts w:ascii="Times New Roman" w:hAnsi="Times New Roman" w:cs="Times New Roman"/>
          <w:i w:val="0"/>
          <w:color w:val="000000" w:themeColor="text1"/>
          <w:sz w:val="16"/>
          <w:szCs w:val="16"/>
        </w:rPr>
        <w:softHyphen/>
        <w:t>оль было передано разбирательство по этому вопросу</w:t>
      </w:r>
      <w:r w:rsidRPr="00925F26">
        <w:rPr>
          <w:rFonts w:ascii="Times New Roman" w:cs="Times New Roman"/>
          <w:color w:val="000000" w:themeColor="text1"/>
          <w:spacing w:val="0"/>
          <w:sz w:val="16"/>
          <w:szCs w:val="16"/>
        </w:rPr>
        <w:t>),</w:t>
      </w:r>
      <w:r w:rsidRPr="00925F26">
        <w:rPr>
          <w:rStyle w:val="7a"/>
          <w:rFonts w:ascii="Times New Roman" w:hAnsi="Times New Roman" w:cs="Times New Roman"/>
          <w:i w:val="0"/>
          <w:color w:val="000000" w:themeColor="text1"/>
          <w:sz w:val="16"/>
          <w:szCs w:val="16"/>
        </w:rPr>
        <w:t xml:space="preserve"> что</w:t>
      </w:r>
      <w:r w:rsidRPr="00925F26">
        <w:rPr>
          <w:rFonts w:ascii="Times New Roman" w:cs="Times New Roman"/>
          <w:color w:val="000000" w:themeColor="text1"/>
          <w:spacing w:val="0"/>
          <w:sz w:val="16"/>
          <w:szCs w:val="16"/>
        </w:rPr>
        <w:t xml:space="preserve"> «...необходимые оптические качества прозрачной брони могут быть получены лишь путем применения более совершенной шлифовки и полировки силикат</w:t>
      </w:r>
      <w:r w:rsidRPr="00925F26">
        <w:rPr>
          <w:rFonts w:ascii="Times New Roman" w:cs="Times New Roman"/>
          <w:color w:val="000000" w:themeColor="text1"/>
          <w:spacing w:val="0"/>
          <w:sz w:val="16"/>
          <w:szCs w:val="16"/>
        </w:rPr>
        <w:softHyphen/>
        <w:t>ного стекла. Последнее, отнюдь не связано с необходимостью получения американского конвейера, поскольку далеко еще не исполь</w:t>
      </w:r>
      <w:r w:rsidRPr="00925F26">
        <w:rPr>
          <w:rFonts w:ascii="Times New Roman" w:cs="Times New Roman"/>
          <w:color w:val="000000" w:themeColor="text1"/>
          <w:spacing w:val="0"/>
          <w:sz w:val="16"/>
          <w:szCs w:val="16"/>
        </w:rPr>
        <w:softHyphen/>
        <w:t>зованы все возможности имеющегося в про</w:t>
      </w:r>
      <w:r w:rsidRPr="00925F26">
        <w:rPr>
          <w:rFonts w:ascii="Times New Roman" w:cs="Times New Roman"/>
          <w:color w:val="000000" w:themeColor="text1"/>
          <w:spacing w:val="0"/>
          <w:sz w:val="16"/>
          <w:szCs w:val="16"/>
        </w:rPr>
        <w:softHyphen/>
        <w:t>мышленности отечественного оборудования. На основе изложенного ВВС КА считает не</w:t>
      </w:r>
      <w:r w:rsidRPr="00925F26">
        <w:rPr>
          <w:rFonts w:ascii="Times New Roman" w:cs="Times New Roman"/>
          <w:color w:val="000000" w:themeColor="text1"/>
          <w:spacing w:val="0"/>
          <w:sz w:val="16"/>
          <w:szCs w:val="16"/>
        </w:rPr>
        <w:softHyphen/>
        <w:t>обходимым обязать Наркомстройматериалов продолжать работы по созданию прозрачной брони по типу заграничной».</w:t>
      </w:r>
    </w:p>
    <w:p w14:paraId="55ED9043" w14:textId="77777777" w:rsidR="005F32F4" w:rsidRPr="00925F26" w:rsidRDefault="005F32F4" w:rsidP="00925F26">
      <w:pPr>
        <w:jc w:val="both"/>
        <w:rPr>
          <w:color w:val="000000" w:themeColor="text1"/>
          <w:sz w:val="16"/>
          <w:szCs w:val="16"/>
        </w:rPr>
      </w:pPr>
      <w:r w:rsidRPr="00925F26">
        <w:rPr>
          <w:color w:val="000000" w:themeColor="text1"/>
          <w:sz w:val="16"/>
          <w:szCs w:val="16"/>
        </w:rPr>
        <w:t>Предпринятые вскоре после окончания войны шаги позволили к 1949 г. разработать несколько типов прозрачной брони хороше</w:t>
      </w:r>
      <w:r w:rsidRPr="00925F26">
        <w:rPr>
          <w:color w:val="000000" w:themeColor="text1"/>
          <w:sz w:val="16"/>
          <w:szCs w:val="16"/>
        </w:rPr>
        <w:softHyphen/>
        <w:t>го оптического качества, обеспечивающих вполне надежную защиту от бронебойных пуль калибра 12,7 мм и снарядов калибра 20 мм и не дающих при поражении большого числа осколков. Броня этого типа устанавли</w:t>
      </w:r>
      <w:r w:rsidRPr="00925F26">
        <w:rPr>
          <w:color w:val="000000" w:themeColor="text1"/>
          <w:sz w:val="16"/>
          <w:szCs w:val="16"/>
        </w:rPr>
        <w:softHyphen/>
        <w:t>валась в лобовом стекле (100 мм) и в боко</w:t>
      </w:r>
      <w:r w:rsidRPr="00925F26">
        <w:rPr>
          <w:color w:val="000000" w:themeColor="text1"/>
          <w:sz w:val="16"/>
          <w:szCs w:val="16"/>
        </w:rPr>
        <w:softHyphen/>
        <w:t>вых стеклах (65 мм) фонаря кабины летчика и кабины воздушного стрелка опытного штур</w:t>
      </w:r>
      <w:r w:rsidRPr="00925F26">
        <w:rPr>
          <w:color w:val="000000" w:themeColor="text1"/>
          <w:sz w:val="16"/>
          <w:szCs w:val="16"/>
        </w:rPr>
        <w:softHyphen/>
        <w:t>мовика Ил-20 М-47, а также реактивного бро</w:t>
      </w:r>
      <w:r w:rsidRPr="00925F26">
        <w:rPr>
          <w:color w:val="000000" w:themeColor="text1"/>
          <w:sz w:val="16"/>
          <w:szCs w:val="16"/>
        </w:rPr>
        <w:softHyphen/>
        <w:t>нированного штурмовика Ил-40 2АМ-5ф (124 и 65 мм).</w:t>
      </w:r>
    </w:p>
    <w:p w14:paraId="15C44CC2" w14:textId="77777777" w:rsidR="005F32F4" w:rsidRPr="00925F26" w:rsidRDefault="005F32F4" w:rsidP="00925F26">
      <w:pPr>
        <w:jc w:val="both"/>
        <w:rPr>
          <w:color w:val="000000" w:themeColor="text1"/>
          <w:sz w:val="16"/>
          <w:szCs w:val="16"/>
        </w:rPr>
      </w:pPr>
      <w:r w:rsidRPr="00925F26">
        <w:rPr>
          <w:color w:val="000000" w:themeColor="text1"/>
          <w:sz w:val="16"/>
          <w:szCs w:val="16"/>
        </w:rPr>
        <w:t>Отрабатывалась и прозрачная броня про</w:t>
      </w:r>
      <w:r w:rsidRPr="00925F26">
        <w:rPr>
          <w:color w:val="000000" w:themeColor="text1"/>
          <w:sz w:val="16"/>
          <w:szCs w:val="16"/>
        </w:rPr>
        <w:softHyphen/>
        <w:t>тив снарядов калибра 37 мм - так называе</w:t>
      </w:r>
      <w:r w:rsidRPr="00925F26">
        <w:rPr>
          <w:color w:val="000000" w:themeColor="text1"/>
          <w:sz w:val="16"/>
          <w:szCs w:val="16"/>
        </w:rPr>
        <w:softHyphen/>
        <w:t>мая «броня тяжелого типа». Но практического применения она не нашла из-за непропорци</w:t>
      </w:r>
      <w:r w:rsidRPr="00925F26">
        <w:rPr>
          <w:color w:val="000000" w:themeColor="text1"/>
          <w:sz w:val="16"/>
          <w:szCs w:val="16"/>
        </w:rPr>
        <w:softHyphen/>
        <w:t>онально больших весов стеклобоков по срав</w:t>
      </w:r>
      <w:r w:rsidRPr="00925F26">
        <w:rPr>
          <w:color w:val="000000" w:themeColor="text1"/>
          <w:sz w:val="16"/>
          <w:szCs w:val="16"/>
        </w:rPr>
        <w:softHyphen/>
        <w:t>нению с получаемым на деле защитным эф</w:t>
      </w:r>
      <w:r w:rsidRPr="00925F26">
        <w:rPr>
          <w:color w:val="000000" w:themeColor="text1"/>
          <w:sz w:val="16"/>
          <w:szCs w:val="16"/>
        </w:rPr>
        <w:softHyphen/>
        <w:t>фектом.</w:t>
      </w:r>
    </w:p>
    <w:p w14:paraId="26C16FF7" w14:textId="77777777" w:rsidR="005F32F4" w:rsidRPr="00925F26" w:rsidRDefault="005F32F4" w:rsidP="00925F26">
      <w:pPr>
        <w:jc w:val="both"/>
        <w:rPr>
          <w:color w:val="000000" w:themeColor="text1"/>
          <w:sz w:val="16"/>
          <w:szCs w:val="16"/>
        </w:rPr>
      </w:pPr>
      <w:r w:rsidRPr="00925F26">
        <w:rPr>
          <w:color w:val="000000" w:themeColor="text1"/>
          <w:sz w:val="16"/>
          <w:szCs w:val="16"/>
        </w:rPr>
        <w:t>Таким образом, несмотря на выход ряда постановлений ГОКО и большую работу специ</w:t>
      </w:r>
      <w:r w:rsidRPr="00925F26">
        <w:rPr>
          <w:color w:val="000000" w:themeColor="text1"/>
          <w:sz w:val="16"/>
          <w:szCs w:val="16"/>
        </w:rPr>
        <w:softHyphen/>
        <w:t>алистов наркоматов химической промышлен</w:t>
      </w:r>
      <w:r w:rsidRPr="00925F26">
        <w:rPr>
          <w:color w:val="000000" w:themeColor="text1"/>
          <w:sz w:val="16"/>
          <w:szCs w:val="16"/>
        </w:rPr>
        <w:softHyphen/>
        <w:t>ности и промышленности строительных мате</w:t>
      </w:r>
      <w:r w:rsidRPr="00925F26">
        <w:rPr>
          <w:color w:val="000000" w:themeColor="text1"/>
          <w:sz w:val="16"/>
          <w:szCs w:val="16"/>
        </w:rPr>
        <w:softHyphen/>
        <w:t>риалов, в ходе войны так и не удалось обеспе</w:t>
      </w:r>
      <w:r w:rsidRPr="00925F26">
        <w:rPr>
          <w:color w:val="000000" w:themeColor="text1"/>
          <w:sz w:val="16"/>
          <w:szCs w:val="16"/>
        </w:rPr>
        <w:softHyphen/>
        <w:t>чить требуемое ВВС КА качество прозрачной брони как по оптическим свойствам, так и по пулестойкости (17481).</w:t>
      </w:r>
    </w:p>
    <w:p w14:paraId="65F12720" w14:textId="77777777" w:rsidR="005F32F4" w:rsidRPr="00925F26" w:rsidRDefault="005F32F4" w:rsidP="00925F26">
      <w:pPr>
        <w:jc w:val="both"/>
        <w:rPr>
          <w:color w:val="000000" w:themeColor="text1"/>
          <w:sz w:val="16"/>
          <w:szCs w:val="16"/>
        </w:rPr>
      </w:pPr>
    </w:p>
    <w:p w14:paraId="6F76F3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закончились гос. испытания Ту-2 2АШ-82ФН с винтами АВ-5В-37 N 16/7 производства 23 завода, которые проводились с марта 1945 (807,5).</w:t>
      </w:r>
    </w:p>
    <w:p w14:paraId="41555B49" w14:textId="77777777" w:rsidR="00665165" w:rsidRPr="00925F26" w:rsidRDefault="00665165" w:rsidP="00925F26">
      <w:pPr>
        <w:autoSpaceDE w:val="0"/>
        <w:autoSpaceDN w:val="0"/>
        <w:adjustRightInd w:val="0"/>
        <w:jc w:val="both"/>
        <w:rPr>
          <w:color w:val="000000" w:themeColor="text1"/>
          <w:sz w:val="16"/>
          <w:szCs w:val="16"/>
        </w:rPr>
      </w:pPr>
    </w:p>
    <w:p w14:paraId="029BC4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на государственных испытаниях двух опытных Пе-2И № 5/465 и № 15/465 отмечаются неудовлетворительные взлетные свойства - длина разбега 650 метров и взлетная дистанция 1500 метров. На машине № 5 после испытаний планировалось установка на нее новых винтов.</w:t>
      </w:r>
    </w:p>
    <w:p w14:paraId="2CE09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Тогда же шли статические испытания первой опытной машины Пе-2М из агрегатов Пе-2И (12049).</w:t>
      </w:r>
    </w:p>
    <w:p w14:paraId="3E7E9FDA" w14:textId="77777777" w:rsidR="00665165" w:rsidRPr="00925F26" w:rsidRDefault="00665165" w:rsidP="00925F26">
      <w:pPr>
        <w:autoSpaceDE w:val="0"/>
        <w:autoSpaceDN w:val="0"/>
        <w:adjustRightInd w:val="0"/>
        <w:jc w:val="both"/>
        <w:rPr>
          <w:color w:val="000000" w:themeColor="text1"/>
          <w:sz w:val="16"/>
          <w:szCs w:val="16"/>
        </w:rPr>
      </w:pPr>
    </w:p>
    <w:p w14:paraId="1AC73A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в КБ П.О.С. приступили к докаботке Ер-2№ 7063901 и № 7023901. На самолете № 7063901 с моторами АЧ-30Б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68126ABC" w14:textId="77777777" w:rsidR="00665165" w:rsidRPr="00925F26" w:rsidRDefault="00665165" w:rsidP="00925F26">
      <w:pPr>
        <w:autoSpaceDE w:val="0"/>
        <w:autoSpaceDN w:val="0"/>
        <w:adjustRightInd w:val="0"/>
        <w:jc w:val="both"/>
        <w:rPr>
          <w:color w:val="000000" w:themeColor="text1"/>
          <w:sz w:val="16"/>
          <w:szCs w:val="16"/>
        </w:rPr>
      </w:pPr>
    </w:p>
    <w:p w14:paraId="2595A50F" w14:textId="77777777" w:rsidR="00AA7BA7" w:rsidRPr="00925F26" w:rsidRDefault="00AA7BA7" w:rsidP="00925F26">
      <w:pPr>
        <w:shd w:val="clear" w:color="auto" w:fill="FFFFFF"/>
        <w:jc w:val="both"/>
        <w:rPr>
          <w:color w:val="000000" w:themeColor="text1"/>
          <w:sz w:val="16"/>
          <w:szCs w:val="16"/>
        </w:rPr>
      </w:pPr>
      <w:r w:rsidRPr="00925F26">
        <w:rPr>
          <w:color w:val="000000" w:themeColor="text1"/>
          <w:sz w:val="16"/>
          <w:szCs w:val="16"/>
        </w:rPr>
        <w:t>В апреле 1945 года построили второй Ер-2ОН: в начале июня экипаж Героя Советского Союза Коростылева осуществил перегон самолета в Москву. Третий и четвертый экземпляры варианта Ер-2ОН были закончены производством в октябре 1945 года (15223).</w:t>
      </w:r>
    </w:p>
    <w:p w14:paraId="78EA0677" w14:textId="77777777" w:rsidR="00AA7BA7" w:rsidRPr="00925F26" w:rsidRDefault="00AA7BA7" w:rsidP="00925F26">
      <w:pPr>
        <w:shd w:val="clear" w:color="auto" w:fill="FFFFFF"/>
        <w:jc w:val="both"/>
        <w:rPr>
          <w:color w:val="000000" w:themeColor="text1"/>
          <w:sz w:val="16"/>
          <w:szCs w:val="16"/>
        </w:rPr>
      </w:pPr>
    </w:p>
    <w:p w14:paraId="4506F126" w14:textId="77777777" w:rsidR="00AA7BA7" w:rsidRPr="00925F26" w:rsidRDefault="00AA7BA7" w:rsidP="00925F26">
      <w:pPr>
        <w:pStyle w:val="a3"/>
        <w:rPr>
          <w:color w:val="000000" w:themeColor="text1"/>
          <w:lang w:val="ru-RU"/>
        </w:rPr>
      </w:pPr>
      <w:r w:rsidRPr="00925F26">
        <w:rPr>
          <w:color w:val="000000" w:themeColor="text1"/>
          <w:lang w:val="ru-RU"/>
        </w:rPr>
        <w:t>В апреле 1945 приступили к доработкам машин Ер-2 №№ 7063901 и 7023901. Ер-2ММ № 7063901 проходил заво</w:t>
      </w:r>
      <w:r w:rsidRPr="00925F26">
        <w:rPr>
          <w:color w:val="000000" w:themeColor="text1"/>
          <w:lang w:val="ru-RU"/>
        </w:rPr>
        <w:softHyphen/>
        <w:t>дские лётные испытания с 26 мая по 17 октября. С 18 октября по 3 ноября самолёт под</w:t>
      </w:r>
      <w:r w:rsidRPr="00925F26">
        <w:rPr>
          <w:color w:val="000000" w:themeColor="text1"/>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925F26">
        <w:rPr>
          <w:color w:val="000000" w:themeColor="text1"/>
          <w:lang w:val="ru-RU"/>
        </w:rPr>
        <w:softHyphen/>
        <w:t>жались до апреля 1946 г. и прервались из-за выхода из строя правого двигателя (15810).</w:t>
      </w:r>
    </w:p>
    <w:p w14:paraId="365E2AA1" w14:textId="77777777" w:rsidR="00AA7BA7" w:rsidRPr="00925F26" w:rsidRDefault="00AA7BA7" w:rsidP="00925F26">
      <w:pPr>
        <w:pStyle w:val="a3"/>
        <w:rPr>
          <w:color w:val="000000" w:themeColor="text1"/>
          <w:lang w:val="ru-RU"/>
        </w:rPr>
      </w:pPr>
    </w:p>
    <w:p w14:paraId="55962493" w14:textId="77777777" w:rsidR="00AA7BA7" w:rsidRPr="00925F26" w:rsidRDefault="00AA7BA7" w:rsidP="00925F26">
      <w:pPr>
        <w:shd w:val="clear" w:color="auto" w:fill="FFFFFF"/>
        <w:jc w:val="both"/>
        <w:rPr>
          <w:color w:val="000000" w:themeColor="text1"/>
          <w:sz w:val="16"/>
          <w:szCs w:val="16"/>
        </w:rPr>
      </w:pPr>
      <w:r w:rsidRPr="00925F26">
        <w:rPr>
          <w:color w:val="000000" w:themeColor="text1"/>
          <w:sz w:val="16"/>
          <w:szCs w:val="16"/>
        </w:rPr>
        <w:t>В апреле 1945 заводу № 39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7C05FD2E" w14:textId="77777777" w:rsidR="00AA7BA7" w:rsidRPr="00925F26" w:rsidRDefault="00AA7BA7" w:rsidP="00925F26">
      <w:pPr>
        <w:shd w:val="clear" w:color="auto" w:fill="FFFFFF"/>
        <w:jc w:val="both"/>
        <w:rPr>
          <w:color w:val="000000" w:themeColor="text1"/>
          <w:sz w:val="16"/>
          <w:szCs w:val="16"/>
        </w:rPr>
      </w:pPr>
    </w:p>
    <w:p w14:paraId="0CCEC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началось серийное производство Як-3П с 3хБ-20 и шло параллельно с Як-3 обычным (1728,33).</w:t>
      </w:r>
    </w:p>
    <w:p w14:paraId="74FAB8F6" w14:textId="77777777" w:rsidR="00665165" w:rsidRPr="00925F26" w:rsidRDefault="00665165" w:rsidP="00925F26">
      <w:pPr>
        <w:autoSpaceDE w:val="0"/>
        <w:autoSpaceDN w:val="0"/>
        <w:adjustRightInd w:val="0"/>
        <w:jc w:val="both"/>
        <w:rPr>
          <w:color w:val="000000" w:themeColor="text1"/>
          <w:sz w:val="16"/>
          <w:szCs w:val="16"/>
        </w:rPr>
      </w:pPr>
    </w:p>
    <w:p w14:paraId="5196A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был готов цельнометаллический Як-3 с ВК-107А и выпущен на испытания и со второй половины 1945 его начали производить на 31 заводе в Тбилиси. Потом делали и на 292 (1708,35).</w:t>
      </w:r>
    </w:p>
    <w:p w14:paraId="1C36A595" w14:textId="77777777" w:rsidR="00665165" w:rsidRPr="00925F26" w:rsidRDefault="00665165" w:rsidP="00925F26">
      <w:pPr>
        <w:autoSpaceDE w:val="0"/>
        <w:autoSpaceDN w:val="0"/>
        <w:adjustRightInd w:val="0"/>
        <w:jc w:val="both"/>
        <w:rPr>
          <w:color w:val="000000" w:themeColor="text1"/>
          <w:sz w:val="16"/>
          <w:szCs w:val="16"/>
        </w:rPr>
      </w:pPr>
    </w:p>
    <w:p w14:paraId="32841FFF" w14:textId="77777777" w:rsidR="00E70305" w:rsidRPr="00925F26" w:rsidRDefault="00E70305" w:rsidP="00925F26">
      <w:pPr>
        <w:shd w:val="clear" w:color="auto" w:fill="FFFFFF"/>
        <w:jc w:val="both"/>
        <w:rPr>
          <w:color w:val="000000" w:themeColor="text1"/>
          <w:sz w:val="16"/>
          <w:szCs w:val="16"/>
        </w:rPr>
      </w:pPr>
      <w:r w:rsidRPr="00925F26">
        <w:rPr>
          <w:color w:val="000000" w:themeColor="text1"/>
          <w:sz w:val="16"/>
          <w:szCs w:val="16"/>
        </w:rPr>
        <w:t>В апреле 1945 г. начались поставки Як-3П с тремя улучшенными пушками Б-20М/С. Благодаря повышенной начальной скорости снаряда они превзошли трехточечный Ла-7 по залпу на 17 %, а по дульной мощности почти вдвое. К тому же батарея «Яка» работала лучше из-за меньшего уровня вибраций и температуры в ее зоне (22772).</w:t>
      </w:r>
    </w:p>
    <w:p w14:paraId="11CC5AF9" w14:textId="77777777" w:rsidR="00E70305" w:rsidRPr="00925F26" w:rsidRDefault="00E70305" w:rsidP="00925F26">
      <w:pPr>
        <w:shd w:val="clear" w:color="auto" w:fill="FFFFFF"/>
        <w:jc w:val="both"/>
        <w:rPr>
          <w:color w:val="000000" w:themeColor="text1"/>
          <w:sz w:val="16"/>
          <w:szCs w:val="16"/>
        </w:rPr>
      </w:pPr>
    </w:p>
    <w:p w14:paraId="777AFB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апреля 1945 года завод № 153 перешел на крупносерийный выпуск самолетов Як-9у, одновременно сокращая выпуск самолетов типа “М”, “Т” и “Ю” (9503).</w:t>
      </w:r>
    </w:p>
    <w:p w14:paraId="4404BF74" w14:textId="77777777" w:rsidR="00665165" w:rsidRPr="00925F26" w:rsidRDefault="00665165" w:rsidP="00925F26">
      <w:pPr>
        <w:autoSpaceDE w:val="0"/>
        <w:autoSpaceDN w:val="0"/>
        <w:adjustRightInd w:val="0"/>
        <w:jc w:val="both"/>
        <w:rPr>
          <w:color w:val="000000" w:themeColor="text1"/>
          <w:sz w:val="16"/>
          <w:szCs w:val="16"/>
        </w:rPr>
      </w:pPr>
    </w:p>
    <w:p w14:paraId="0531A7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1945 года завод № 82 предъявил на контрольные испытания еще один истребитель Як-9У № 10-10 с прежним вооружением. За этот срок на самолете улучшили герметизацию, изменили передаточные числа качалок управления рулем высоты (теперь они отклонялись вверх на 20 градусов, а вниз - на 25 градусов) и </w:t>
      </w:r>
      <w:r w:rsidRPr="00925F26">
        <w:rPr>
          <w:color w:val="000000" w:themeColor="text1"/>
          <w:sz w:val="16"/>
          <w:szCs w:val="16"/>
        </w:rPr>
        <w:lastRenderedPageBreak/>
        <w:t>элеронами, улучшили аэродинамическую компенсацию элеронов, обрезав их задние кромки. Сферический козырек заменили граненым. Усилили крепление обшивки крыла к нервюрам. Установили мотор с дополнительной маслопомпой и новый водорадиатор, допускавший больший расход охлаждающей жидкости. Передатчик РСИ-3 заменили РСИ-ЗМ-1.</w:t>
      </w:r>
    </w:p>
    <w:p w14:paraId="5D0005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 перечень дефектов по-прежнему оставался большим. Сохранились большие нагрузки на ручку управления самолетом от элеронов и руля высоты, отсутствовали переднее бронестекло и бронеподлокотник; при наборе высоты температура охлаждающей жидкости и выходящего масла превышали максимально-допустимые значения; пулеметы УБС самопроизвольно переходили со стрельбы очередями на одиночные выстрелы. Максимальные скорости горизонтального полета из-за поверхности крыла, испорченной установкой специальных болтов ремонтного варианта (выступавших в поток), усиления крепления обшивки к полкам нервюр, снизились на 12-16 км/ч. Отмечались и другие недостатки. А ведь на дворе была весна 1945 г. До окончания войны оставалось чуть больше двух месяцев, а серийные заводы так и не научились выпускать доброкачественную продукцию. Ставка на увеличение выпуска военной продукции неизбежно приводила к ухудшению ее качества и, как следствие, к неоправданным потерям летного состава.</w:t>
      </w:r>
    </w:p>
    <w:p w14:paraId="64E37E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925F26" w14:paraId="29173D56" w14:textId="77777777">
        <w:tc>
          <w:tcPr>
            <w:tcW w:w="1868" w:type="dxa"/>
            <w:tcBorders>
              <w:top w:val="single" w:sz="12" w:space="0" w:color="auto"/>
            </w:tcBorders>
          </w:tcPr>
          <w:p w14:paraId="066766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1868" w:type="dxa"/>
            <w:tcBorders>
              <w:top w:val="single" w:sz="12" w:space="0" w:color="auto"/>
            </w:tcBorders>
          </w:tcPr>
          <w:p w14:paraId="47D15C28"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Borders>
              <w:top w:val="single" w:sz="12" w:space="0" w:color="auto"/>
            </w:tcBorders>
          </w:tcPr>
          <w:p w14:paraId="45C94E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w:t>
            </w:r>
          </w:p>
        </w:tc>
        <w:tc>
          <w:tcPr>
            <w:tcW w:w="1868" w:type="dxa"/>
            <w:tcBorders>
              <w:top w:val="single" w:sz="12" w:space="0" w:color="auto"/>
            </w:tcBorders>
          </w:tcPr>
          <w:p w14:paraId="56CF10F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Borders>
              <w:top w:val="single" w:sz="12" w:space="0" w:color="auto"/>
            </w:tcBorders>
          </w:tcPr>
          <w:p w14:paraId="60CB61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ЯК-9УТ</w:t>
            </w:r>
          </w:p>
        </w:tc>
        <w:tc>
          <w:tcPr>
            <w:tcW w:w="1868" w:type="dxa"/>
            <w:tcBorders>
              <w:top w:val="single" w:sz="12" w:space="0" w:color="auto"/>
            </w:tcBorders>
          </w:tcPr>
          <w:p w14:paraId="75787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ЯК-9УВ</w:t>
            </w:r>
          </w:p>
        </w:tc>
      </w:tr>
      <w:tr w:rsidR="000F5689" w:rsidRPr="00925F26" w14:paraId="21CB0005" w14:textId="77777777">
        <w:tc>
          <w:tcPr>
            <w:tcW w:w="1868" w:type="dxa"/>
          </w:tcPr>
          <w:p w14:paraId="7B98C78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F2ABA11"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530F1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1868" w:type="dxa"/>
          </w:tcPr>
          <w:p w14:paraId="119F0F07"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E102E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40-022</w:t>
            </w:r>
          </w:p>
        </w:tc>
        <w:tc>
          <w:tcPr>
            <w:tcW w:w="1868" w:type="dxa"/>
          </w:tcPr>
          <w:p w14:paraId="6DC4610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8B33EE5" w14:textId="77777777">
        <w:tc>
          <w:tcPr>
            <w:tcW w:w="1868" w:type="dxa"/>
          </w:tcPr>
          <w:p w14:paraId="03CC75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w:t>
            </w:r>
          </w:p>
        </w:tc>
        <w:tc>
          <w:tcPr>
            <w:tcW w:w="1868" w:type="dxa"/>
          </w:tcPr>
          <w:p w14:paraId="55C0524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E2206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М-105ПФ21</w:t>
            </w:r>
          </w:p>
        </w:tc>
        <w:tc>
          <w:tcPr>
            <w:tcW w:w="1868" w:type="dxa"/>
          </w:tcPr>
          <w:p w14:paraId="0A67D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1868" w:type="dxa"/>
          </w:tcPr>
          <w:p w14:paraId="4D192A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1868" w:type="dxa"/>
          </w:tcPr>
          <w:p w14:paraId="597716D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E10FCB0" w14:textId="77777777">
        <w:tc>
          <w:tcPr>
            <w:tcW w:w="1868" w:type="dxa"/>
          </w:tcPr>
          <w:p w14:paraId="1F80B1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1868" w:type="dxa"/>
          </w:tcPr>
          <w:p w14:paraId="2722B0EF"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8EA85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c>
          <w:tcPr>
            <w:tcW w:w="1868" w:type="dxa"/>
          </w:tcPr>
          <w:p w14:paraId="581481C5"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5C343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c>
          <w:tcPr>
            <w:tcW w:w="1868" w:type="dxa"/>
          </w:tcPr>
          <w:p w14:paraId="4EF3E7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r>
      <w:tr w:rsidR="000F5689" w:rsidRPr="00925F26" w14:paraId="4B7BD36D" w14:textId="77777777">
        <w:tc>
          <w:tcPr>
            <w:tcW w:w="1868" w:type="dxa"/>
          </w:tcPr>
          <w:p w14:paraId="6CBADB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1868" w:type="dxa"/>
          </w:tcPr>
          <w:p w14:paraId="57922EF6"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E2086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868" w:type="dxa"/>
          </w:tcPr>
          <w:p w14:paraId="60DBAFF4"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66FA0F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868" w:type="dxa"/>
          </w:tcPr>
          <w:p w14:paraId="222A4A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r>
      <w:tr w:rsidR="000F5689" w:rsidRPr="00925F26" w14:paraId="1E96FAA0" w14:textId="77777777">
        <w:tc>
          <w:tcPr>
            <w:tcW w:w="1868" w:type="dxa"/>
          </w:tcPr>
          <w:p w14:paraId="686AD7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мг</w:t>
            </w:r>
          </w:p>
        </w:tc>
        <w:tc>
          <w:tcPr>
            <w:tcW w:w="1868" w:type="dxa"/>
          </w:tcPr>
          <w:p w14:paraId="65D0F6EF"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C9E2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c>
          <w:tcPr>
            <w:tcW w:w="1868" w:type="dxa"/>
          </w:tcPr>
          <w:p w14:paraId="7A625E04"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ABDB1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c>
          <w:tcPr>
            <w:tcW w:w="1868" w:type="dxa"/>
          </w:tcPr>
          <w:p w14:paraId="4A439A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r>
      <w:tr w:rsidR="000F5689" w:rsidRPr="00925F26" w14:paraId="44199DC0" w14:textId="77777777">
        <w:tc>
          <w:tcPr>
            <w:tcW w:w="1868" w:type="dxa"/>
          </w:tcPr>
          <w:p w14:paraId="211996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868" w:type="dxa"/>
          </w:tcPr>
          <w:p w14:paraId="6DB0A10A"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C1F0155"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3C82E7B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500C036"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8DA91D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8D94853" w14:textId="77777777">
        <w:tc>
          <w:tcPr>
            <w:tcW w:w="1868" w:type="dxa"/>
          </w:tcPr>
          <w:p w14:paraId="25C5B4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w:t>
            </w:r>
          </w:p>
        </w:tc>
        <w:tc>
          <w:tcPr>
            <w:tcW w:w="1868" w:type="dxa"/>
          </w:tcPr>
          <w:p w14:paraId="2CB8E55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C423C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2900</w:t>
            </w:r>
          </w:p>
        </w:tc>
        <w:tc>
          <w:tcPr>
            <w:tcW w:w="1868" w:type="dxa"/>
          </w:tcPr>
          <w:p w14:paraId="2417DFC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2F1AB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3260</w:t>
            </w:r>
          </w:p>
        </w:tc>
        <w:tc>
          <w:tcPr>
            <w:tcW w:w="1868" w:type="dxa"/>
          </w:tcPr>
          <w:p w14:paraId="4C4CC9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3128</w:t>
            </w:r>
          </w:p>
        </w:tc>
      </w:tr>
      <w:tr w:rsidR="000F5689" w:rsidRPr="00925F26" w14:paraId="7320A7E9" w14:textId="77777777">
        <w:tc>
          <w:tcPr>
            <w:tcW w:w="1868" w:type="dxa"/>
          </w:tcPr>
          <w:p w14:paraId="02B862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868" w:type="dxa"/>
          </w:tcPr>
          <w:p w14:paraId="769B6A3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3474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2244</w:t>
            </w:r>
          </w:p>
        </w:tc>
        <w:tc>
          <w:tcPr>
            <w:tcW w:w="1868" w:type="dxa"/>
          </w:tcPr>
          <w:p w14:paraId="2149E1D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A6A66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2467</w:t>
            </w:r>
          </w:p>
        </w:tc>
        <w:tc>
          <w:tcPr>
            <w:tcW w:w="1868" w:type="dxa"/>
          </w:tcPr>
          <w:p w14:paraId="4EE646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2505</w:t>
            </w:r>
          </w:p>
        </w:tc>
      </w:tr>
      <w:tr w:rsidR="000F5689" w:rsidRPr="00925F26" w14:paraId="7F6FFA70" w14:textId="77777777">
        <w:tc>
          <w:tcPr>
            <w:tcW w:w="1868" w:type="dxa"/>
          </w:tcPr>
          <w:p w14:paraId="46D680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топлива, кг</w:t>
            </w:r>
          </w:p>
        </w:tc>
        <w:tc>
          <w:tcPr>
            <w:tcW w:w="1868" w:type="dxa"/>
          </w:tcPr>
          <w:p w14:paraId="2DFDDD16"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F1754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318</w:t>
            </w:r>
          </w:p>
        </w:tc>
        <w:tc>
          <w:tcPr>
            <w:tcW w:w="1868" w:type="dxa"/>
          </w:tcPr>
          <w:p w14:paraId="3D1E3FED"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C874B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380</w:t>
            </w:r>
          </w:p>
        </w:tc>
        <w:tc>
          <w:tcPr>
            <w:tcW w:w="1868" w:type="dxa"/>
          </w:tcPr>
          <w:p w14:paraId="7D59F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346</w:t>
            </w:r>
          </w:p>
        </w:tc>
      </w:tr>
      <w:tr w:rsidR="000F5689" w:rsidRPr="00925F26" w14:paraId="1CB9A5E1" w14:textId="77777777">
        <w:tc>
          <w:tcPr>
            <w:tcW w:w="1868" w:type="dxa"/>
          </w:tcPr>
          <w:p w14:paraId="05E79B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w:t>
            </w:r>
          </w:p>
        </w:tc>
        <w:tc>
          <w:tcPr>
            <w:tcW w:w="1868" w:type="dxa"/>
          </w:tcPr>
          <w:p w14:paraId="21562CC4"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200283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5B142EC8"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30539636"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1B6612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D2F21B2" w14:textId="77777777">
        <w:tc>
          <w:tcPr>
            <w:tcW w:w="1868" w:type="dxa"/>
          </w:tcPr>
          <w:p w14:paraId="191D6F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 земли</w:t>
            </w:r>
          </w:p>
        </w:tc>
        <w:tc>
          <w:tcPr>
            <w:tcW w:w="1868" w:type="dxa"/>
          </w:tcPr>
          <w:p w14:paraId="194FFA29"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C3CB0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558</w:t>
            </w:r>
          </w:p>
        </w:tc>
        <w:tc>
          <w:tcPr>
            <w:tcW w:w="1868" w:type="dxa"/>
          </w:tcPr>
          <w:p w14:paraId="2F552531"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0809D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578</w:t>
            </w:r>
          </w:p>
        </w:tc>
        <w:tc>
          <w:tcPr>
            <w:tcW w:w="1868" w:type="dxa"/>
          </w:tcPr>
          <w:p w14:paraId="111A68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564</w:t>
            </w:r>
          </w:p>
        </w:tc>
      </w:tr>
      <w:tr w:rsidR="000F5689" w:rsidRPr="00925F26" w14:paraId="0AED7CFA" w14:textId="77777777">
        <w:tc>
          <w:tcPr>
            <w:tcW w:w="1868" w:type="dxa"/>
          </w:tcPr>
          <w:p w14:paraId="542C8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1-й гр. высотности, м</w:t>
            </w:r>
          </w:p>
        </w:tc>
        <w:tc>
          <w:tcPr>
            <w:tcW w:w="1868" w:type="dxa"/>
          </w:tcPr>
          <w:p w14:paraId="4BB2128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97E32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600/1800</w:t>
            </w:r>
          </w:p>
        </w:tc>
        <w:tc>
          <w:tcPr>
            <w:tcW w:w="1868" w:type="dxa"/>
          </w:tcPr>
          <w:p w14:paraId="497236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625/2200</w:t>
            </w:r>
          </w:p>
        </w:tc>
        <w:tc>
          <w:tcPr>
            <w:tcW w:w="1868" w:type="dxa"/>
          </w:tcPr>
          <w:p w14:paraId="3D9C14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27C6A67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E02697D" w14:textId="77777777">
        <w:tc>
          <w:tcPr>
            <w:tcW w:w="1868" w:type="dxa"/>
          </w:tcPr>
          <w:p w14:paraId="53E030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2-й гр. высотности, м</w:t>
            </w:r>
          </w:p>
        </w:tc>
        <w:tc>
          <w:tcPr>
            <w:tcW w:w="1868" w:type="dxa"/>
          </w:tcPr>
          <w:p w14:paraId="5AAF9D5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E3507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620/3850</w:t>
            </w:r>
          </w:p>
        </w:tc>
        <w:tc>
          <w:tcPr>
            <w:tcW w:w="1868" w:type="dxa"/>
          </w:tcPr>
          <w:p w14:paraId="735D3B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671/4900</w:t>
            </w:r>
          </w:p>
        </w:tc>
        <w:tc>
          <w:tcPr>
            <w:tcW w:w="1868" w:type="dxa"/>
          </w:tcPr>
          <w:p w14:paraId="5AB797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623/4100</w:t>
            </w:r>
          </w:p>
        </w:tc>
        <w:tc>
          <w:tcPr>
            <w:tcW w:w="1868" w:type="dxa"/>
          </w:tcPr>
          <w:p w14:paraId="504DA6B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50E444F" w14:textId="77777777">
        <w:tc>
          <w:tcPr>
            <w:tcW w:w="1868" w:type="dxa"/>
          </w:tcPr>
          <w:p w14:paraId="4D95CF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w:t>
            </w:r>
          </w:p>
        </w:tc>
        <w:tc>
          <w:tcPr>
            <w:tcW w:w="1868" w:type="dxa"/>
          </w:tcPr>
          <w:p w14:paraId="0747563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56C2821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F04D86F"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7F009BD"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EB29BC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FE5D00F" w14:textId="77777777">
        <w:tc>
          <w:tcPr>
            <w:tcW w:w="1868" w:type="dxa"/>
          </w:tcPr>
          <w:p w14:paraId="7F5F54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высоты 5000 м, мин</w:t>
            </w:r>
          </w:p>
        </w:tc>
        <w:tc>
          <w:tcPr>
            <w:tcW w:w="1868" w:type="dxa"/>
          </w:tcPr>
          <w:p w14:paraId="073C8F5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395444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868" w:type="dxa"/>
          </w:tcPr>
          <w:p w14:paraId="70D826F9"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F5C21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w:t>
            </w:r>
          </w:p>
        </w:tc>
        <w:tc>
          <w:tcPr>
            <w:tcW w:w="1868" w:type="dxa"/>
          </w:tcPr>
          <w:p w14:paraId="7C8405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r>
      <w:tr w:rsidR="000F5689" w:rsidRPr="00925F26" w14:paraId="62954139" w14:textId="77777777">
        <w:tc>
          <w:tcPr>
            <w:tcW w:w="1868" w:type="dxa"/>
          </w:tcPr>
          <w:p w14:paraId="5E6BCF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868" w:type="dxa"/>
          </w:tcPr>
          <w:p w14:paraId="68F30C7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F3172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10400</w:t>
            </w:r>
          </w:p>
        </w:tc>
        <w:tc>
          <w:tcPr>
            <w:tcW w:w="1868" w:type="dxa"/>
          </w:tcPr>
          <w:p w14:paraId="370BAA2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558A9C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10700</w:t>
            </w:r>
          </w:p>
        </w:tc>
        <w:tc>
          <w:tcPr>
            <w:tcW w:w="1868" w:type="dxa"/>
          </w:tcPr>
          <w:p w14:paraId="419A96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11300</w:t>
            </w:r>
          </w:p>
        </w:tc>
      </w:tr>
      <w:tr w:rsidR="000F5689" w:rsidRPr="00925F26" w14:paraId="6ACC9CF2" w14:textId="77777777">
        <w:tc>
          <w:tcPr>
            <w:tcW w:w="1868" w:type="dxa"/>
          </w:tcPr>
          <w:p w14:paraId="12F417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w:t>
            </w:r>
          </w:p>
        </w:tc>
        <w:tc>
          <w:tcPr>
            <w:tcW w:w="1868" w:type="dxa"/>
          </w:tcPr>
          <w:p w14:paraId="3944C2F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DF96337"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35FFFC3"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4E399F5"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A9615B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3F4D5CB" w14:textId="77777777">
        <w:tc>
          <w:tcPr>
            <w:tcW w:w="1868" w:type="dxa"/>
          </w:tcPr>
          <w:p w14:paraId="46ADCD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1000 м,</w:t>
            </w:r>
          </w:p>
        </w:tc>
        <w:tc>
          <w:tcPr>
            <w:tcW w:w="1868" w:type="dxa"/>
          </w:tcPr>
          <w:p w14:paraId="14A03D2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625785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868" w:type="dxa"/>
          </w:tcPr>
          <w:p w14:paraId="52A8272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7F400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06CBC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r>
      <w:tr w:rsidR="000F5689" w:rsidRPr="00925F26" w14:paraId="5170E1DC" w14:textId="77777777">
        <w:tc>
          <w:tcPr>
            <w:tcW w:w="1868" w:type="dxa"/>
          </w:tcPr>
          <w:p w14:paraId="72BAC2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1868" w:type="dxa"/>
          </w:tcPr>
          <w:p w14:paraId="01B1AAD6"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7F37A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850</w:t>
            </w:r>
          </w:p>
        </w:tc>
        <w:tc>
          <w:tcPr>
            <w:tcW w:w="1868" w:type="dxa"/>
          </w:tcPr>
          <w:p w14:paraId="72B456B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B70A9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690</w:t>
            </w:r>
          </w:p>
        </w:tc>
        <w:tc>
          <w:tcPr>
            <w:tcW w:w="1868" w:type="dxa"/>
          </w:tcPr>
          <w:p w14:paraId="7C1875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r>
      <w:tr w:rsidR="000F5689" w:rsidRPr="00925F26" w14:paraId="295FC83D" w14:textId="77777777">
        <w:tc>
          <w:tcPr>
            <w:tcW w:w="1868" w:type="dxa"/>
            <w:tcBorders>
              <w:bottom w:val="single" w:sz="12" w:space="0" w:color="auto"/>
            </w:tcBorders>
          </w:tcPr>
          <w:p w14:paraId="729589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Разбег/пробег, м</w:t>
            </w:r>
          </w:p>
        </w:tc>
        <w:tc>
          <w:tcPr>
            <w:tcW w:w="1868" w:type="dxa"/>
            <w:tcBorders>
              <w:bottom w:val="single" w:sz="12" w:space="0" w:color="auto"/>
            </w:tcBorders>
          </w:tcPr>
          <w:p w14:paraId="6DDAA8C9"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Borders>
              <w:bottom w:val="single" w:sz="12" w:space="0" w:color="auto"/>
            </w:tcBorders>
          </w:tcPr>
          <w:p w14:paraId="788A22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320/575</w:t>
            </w:r>
          </w:p>
        </w:tc>
        <w:tc>
          <w:tcPr>
            <w:tcW w:w="1868" w:type="dxa"/>
            <w:tcBorders>
              <w:bottom w:val="single" w:sz="12" w:space="0" w:color="auto"/>
            </w:tcBorders>
          </w:tcPr>
          <w:p w14:paraId="664C103F"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Borders>
              <w:bottom w:val="single" w:sz="12" w:space="0" w:color="auto"/>
            </w:tcBorders>
          </w:tcPr>
          <w:p w14:paraId="0F182D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Borders>
              <w:bottom w:val="single" w:sz="12" w:space="0" w:color="auto"/>
            </w:tcBorders>
          </w:tcPr>
          <w:p w14:paraId="2D838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390/560</w:t>
            </w:r>
          </w:p>
        </w:tc>
      </w:tr>
    </w:tbl>
    <w:p w14:paraId="5A9182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Наддув двигателя 1100 мм рт. ст. (12046).</w:t>
      </w:r>
    </w:p>
    <w:p w14:paraId="1B503C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F5689" w:rsidRPr="00925F26" w14:paraId="316A3704" w14:textId="77777777">
        <w:tc>
          <w:tcPr>
            <w:tcW w:w="1868" w:type="dxa"/>
            <w:tcBorders>
              <w:top w:val="single" w:sz="12" w:space="0" w:color="auto"/>
            </w:tcBorders>
          </w:tcPr>
          <w:p w14:paraId="703110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1868" w:type="dxa"/>
            <w:tcBorders>
              <w:top w:val="single" w:sz="12" w:space="0" w:color="auto"/>
            </w:tcBorders>
          </w:tcPr>
          <w:p w14:paraId="254DEA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w:t>
            </w:r>
          </w:p>
        </w:tc>
        <w:tc>
          <w:tcPr>
            <w:tcW w:w="1868" w:type="dxa"/>
            <w:tcBorders>
              <w:top w:val="single" w:sz="12" w:space="0" w:color="auto"/>
            </w:tcBorders>
          </w:tcPr>
          <w:p w14:paraId="391A9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w:t>
            </w:r>
          </w:p>
        </w:tc>
        <w:tc>
          <w:tcPr>
            <w:tcW w:w="1868" w:type="dxa"/>
            <w:tcBorders>
              <w:top w:val="single" w:sz="12" w:space="0" w:color="auto"/>
            </w:tcBorders>
          </w:tcPr>
          <w:p w14:paraId="4BF869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Як-9У2</w:t>
            </w:r>
          </w:p>
        </w:tc>
        <w:tc>
          <w:tcPr>
            <w:tcW w:w="1868" w:type="dxa"/>
            <w:tcBorders>
              <w:top w:val="single" w:sz="12" w:space="0" w:color="auto"/>
            </w:tcBorders>
          </w:tcPr>
          <w:p w14:paraId="14051F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w:t>
            </w:r>
          </w:p>
        </w:tc>
        <w:tc>
          <w:tcPr>
            <w:tcW w:w="1868" w:type="dxa"/>
            <w:tcBorders>
              <w:top w:val="single" w:sz="12" w:space="0" w:color="auto"/>
            </w:tcBorders>
          </w:tcPr>
          <w:p w14:paraId="2391F4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ЯК-9У</w:t>
            </w:r>
          </w:p>
        </w:tc>
      </w:tr>
      <w:tr w:rsidR="000F5689" w:rsidRPr="00925F26" w14:paraId="5F1C8485" w14:textId="77777777">
        <w:tc>
          <w:tcPr>
            <w:tcW w:w="1868" w:type="dxa"/>
          </w:tcPr>
          <w:p w14:paraId="52CD71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w:t>
            </w:r>
          </w:p>
        </w:tc>
        <w:tc>
          <w:tcPr>
            <w:tcW w:w="1868" w:type="dxa"/>
          </w:tcPr>
          <w:p w14:paraId="2E8E5F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1868" w:type="dxa"/>
          </w:tcPr>
          <w:p w14:paraId="26E321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w:t>
            </w:r>
          </w:p>
        </w:tc>
        <w:tc>
          <w:tcPr>
            <w:tcW w:w="1868" w:type="dxa"/>
          </w:tcPr>
          <w:p w14:paraId="729614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 и 115</w:t>
            </w:r>
          </w:p>
        </w:tc>
        <w:tc>
          <w:tcPr>
            <w:tcW w:w="1868" w:type="dxa"/>
          </w:tcPr>
          <w:p w14:paraId="029162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w:t>
            </w:r>
          </w:p>
        </w:tc>
        <w:tc>
          <w:tcPr>
            <w:tcW w:w="1868" w:type="dxa"/>
          </w:tcPr>
          <w:p w14:paraId="1E7DE7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w:t>
            </w:r>
          </w:p>
        </w:tc>
      </w:tr>
      <w:tr w:rsidR="000F5689" w:rsidRPr="00925F26" w14:paraId="7BFBE7F0" w14:textId="77777777">
        <w:tc>
          <w:tcPr>
            <w:tcW w:w="1868" w:type="dxa"/>
          </w:tcPr>
          <w:p w14:paraId="6414D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w:t>
            </w:r>
          </w:p>
        </w:tc>
        <w:tc>
          <w:tcPr>
            <w:tcW w:w="1868" w:type="dxa"/>
          </w:tcPr>
          <w:p w14:paraId="0F264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опытный</w:t>
            </w:r>
          </w:p>
        </w:tc>
        <w:tc>
          <w:tcPr>
            <w:tcW w:w="1868" w:type="dxa"/>
          </w:tcPr>
          <w:p w14:paraId="4A76A5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39-083</w:t>
            </w:r>
          </w:p>
        </w:tc>
        <w:tc>
          <w:tcPr>
            <w:tcW w:w="1868" w:type="dxa"/>
          </w:tcPr>
          <w:p w14:paraId="44A98C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41-038</w:t>
            </w:r>
          </w:p>
        </w:tc>
        <w:tc>
          <w:tcPr>
            <w:tcW w:w="1868" w:type="dxa"/>
          </w:tcPr>
          <w:p w14:paraId="377176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52-082</w:t>
            </w:r>
          </w:p>
        </w:tc>
        <w:tc>
          <w:tcPr>
            <w:tcW w:w="1868" w:type="dxa"/>
          </w:tcPr>
          <w:p w14:paraId="16E57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10-10</w:t>
            </w:r>
          </w:p>
        </w:tc>
      </w:tr>
      <w:tr w:rsidR="000F5689" w:rsidRPr="00925F26" w14:paraId="0E653EB5" w14:textId="77777777">
        <w:tc>
          <w:tcPr>
            <w:tcW w:w="1868" w:type="dxa"/>
          </w:tcPr>
          <w:p w14:paraId="09FDED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л.с.</w:t>
            </w:r>
          </w:p>
        </w:tc>
        <w:tc>
          <w:tcPr>
            <w:tcW w:w="1868" w:type="dxa"/>
          </w:tcPr>
          <w:p w14:paraId="6D9D9428"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5149B46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39B70A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D3E3D5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67C5128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1D4C0ED" w14:textId="77777777">
        <w:tc>
          <w:tcPr>
            <w:tcW w:w="1868" w:type="dxa"/>
          </w:tcPr>
          <w:p w14:paraId="5D2361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взлетная</w:t>
            </w:r>
          </w:p>
        </w:tc>
        <w:tc>
          <w:tcPr>
            <w:tcW w:w="1868" w:type="dxa"/>
          </w:tcPr>
          <w:p w14:paraId="31706F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41632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c>
          <w:tcPr>
            <w:tcW w:w="1868" w:type="dxa"/>
          </w:tcPr>
          <w:p w14:paraId="13C969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1650</w:t>
            </w:r>
          </w:p>
        </w:tc>
        <w:tc>
          <w:tcPr>
            <w:tcW w:w="1868" w:type="dxa"/>
          </w:tcPr>
          <w:p w14:paraId="30D87B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1650</w:t>
            </w:r>
          </w:p>
        </w:tc>
        <w:tc>
          <w:tcPr>
            <w:tcW w:w="1868" w:type="dxa"/>
          </w:tcPr>
          <w:p w14:paraId="7C0D35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r>
      <w:tr w:rsidR="000F5689" w:rsidRPr="00925F26" w14:paraId="558956B8" w14:textId="77777777">
        <w:tc>
          <w:tcPr>
            <w:tcW w:w="1868" w:type="dxa"/>
          </w:tcPr>
          <w:p w14:paraId="79FA0F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w:t>
            </w:r>
          </w:p>
        </w:tc>
        <w:tc>
          <w:tcPr>
            <w:tcW w:w="1868" w:type="dxa"/>
          </w:tcPr>
          <w:p w14:paraId="092DAA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1600/1800</w:t>
            </w:r>
          </w:p>
        </w:tc>
        <w:tc>
          <w:tcPr>
            <w:tcW w:w="1868" w:type="dxa"/>
          </w:tcPr>
          <w:p w14:paraId="3803FF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1550/1200</w:t>
            </w:r>
          </w:p>
        </w:tc>
        <w:tc>
          <w:tcPr>
            <w:tcW w:w="1868" w:type="dxa"/>
          </w:tcPr>
          <w:p w14:paraId="0C6E89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1600/1800</w:t>
            </w:r>
          </w:p>
        </w:tc>
        <w:tc>
          <w:tcPr>
            <w:tcW w:w="1868" w:type="dxa"/>
          </w:tcPr>
          <w:p w14:paraId="07AF1A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1600/1800'</w:t>
            </w:r>
          </w:p>
        </w:tc>
        <w:tc>
          <w:tcPr>
            <w:tcW w:w="1868" w:type="dxa"/>
          </w:tcPr>
          <w:p w14:paraId="638738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550/1200</w:t>
            </w:r>
          </w:p>
        </w:tc>
      </w:tr>
      <w:tr w:rsidR="000F5689" w:rsidRPr="00925F26" w14:paraId="6CD9DB82" w14:textId="77777777">
        <w:tc>
          <w:tcPr>
            <w:tcW w:w="1868" w:type="dxa"/>
          </w:tcPr>
          <w:p w14:paraId="10D0A704"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FA3F3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1500/4500</w:t>
            </w:r>
          </w:p>
        </w:tc>
        <w:tc>
          <w:tcPr>
            <w:tcW w:w="1868" w:type="dxa"/>
          </w:tcPr>
          <w:p w14:paraId="3FC47E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1450/3800</w:t>
            </w:r>
          </w:p>
        </w:tc>
        <w:tc>
          <w:tcPr>
            <w:tcW w:w="1868" w:type="dxa"/>
          </w:tcPr>
          <w:p w14:paraId="703AE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1500/4500</w:t>
            </w:r>
          </w:p>
        </w:tc>
        <w:tc>
          <w:tcPr>
            <w:tcW w:w="1868" w:type="dxa"/>
          </w:tcPr>
          <w:p w14:paraId="1FF2D7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1500/3800'</w:t>
            </w:r>
          </w:p>
        </w:tc>
        <w:tc>
          <w:tcPr>
            <w:tcW w:w="1868" w:type="dxa"/>
          </w:tcPr>
          <w:p w14:paraId="4241AE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450/3800</w:t>
            </w:r>
          </w:p>
        </w:tc>
      </w:tr>
      <w:tr w:rsidR="000F5689" w:rsidRPr="00925F26" w14:paraId="77621331" w14:textId="77777777">
        <w:tc>
          <w:tcPr>
            <w:tcW w:w="1868" w:type="dxa"/>
          </w:tcPr>
          <w:p w14:paraId="7CC6E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Размах </w:t>
            </w:r>
            <w:proofErr w:type="gramStart"/>
            <w:r w:rsidRPr="00925F26">
              <w:rPr>
                <w:color w:val="000000" w:themeColor="text1"/>
                <w:sz w:val="16"/>
                <w:szCs w:val="16"/>
              </w:rPr>
              <w:t>крыла,м</w:t>
            </w:r>
            <w:proofErr w:type="gramEnd"/>
          </w:p>
        </w:tc>
        <w:tc>
          <w:tcPr>
            <w:tcW w:w="1868" w:type="dxa"/>
          </w:tcPr>
          <w:p w14:paraId="75F168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c>
          <w:tcPr>
            <w:tcW w:w="1868" w:type="dxa"/>
          </w:tcPr>
          <w:p w14:paraId="4950FF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c>
          <w:tcPr>
            <w:tcW w:w="1868" w:type="dxa"/>
          </w:tcPr>
          <w:p w14:paraId="43672F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c>
          <w:tcPr>
            <w:tcW w:w="1868" w:type="dxa"/>
          </w:tcPr>
          <w:p w14:paraId="68A7D5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c>
          <w:tcPr>
            <w:tcW w:w="1868" w:type="dxa"/>
          </w:tcPr>
          <w:p w14:paraId="09B171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9,74</w:t>
            </w:r>
          </w:p>
        </w:tc>
      </w:tr>
      <w:tr w:rsidR="000F5689" w:rsidRPr="00925F26" w14:paraId="37E94699" w14:textId="77777777">
        <w:tc>
          <w:tcPr>
            <w:tcW w:w="1868" w:type="dxa"/>
          </w:tcPr>
          <w:p w14:paraId="08874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1868" w:type="dxa"/>
          </w:tcPr>
          <w:p w14:paraId="486911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868" w:type="dxa"/>
          </w:tcPr>
          <w:p w14:paraId="01BEE5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868" w:type="dxa"/>
          </w:tcPr>
          <w:p w14:paraId="13641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868" w:type="dxa"/>
          </w:tcPr>
          <w:p w14:paraId="020614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868" w:type="dxa"/>
          </w:tcPr>
          <w:p w14:paraId="3E4D56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r>
      <w:tr w:rsidR="000F5689" w:rsidRPr="00925F26" w14:paraId="49026A7A" w14:textId="77777777">
        <w:tc>
          <w:tcPr>
            <w:tcW w:w="1868" w:type="dxa"/>
          </w:tcPr>
          <w:p w14:paraId="0B462B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мг</w:t>
            </w:r>
          </w:p>
        </w:tc>
        <w:tc>
          <w:tcPr>
            <w:tcW w:w="1868" w:type="dxa"/>
          </w:tcPr>
          <w:p w14:paraId="1DEF93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c>
          <w:tcPr>
            <w:tcW w:w="1868" w:type="dxa"/>
          </w:tcPr>
          <w:p w14:paraId="0B0425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c>
          <w:tcPr>
            <w:tcW w:w="1868" w:type="dxa"/>
          </w:tcPr>
          <w:p w14:paraId="39296A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c>
          <w:tcPr>
            <w:tcW w:w="1868" w:type="dxa"/>
          </w:tcPr>
          <w:p w14:paraId="04F046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c>
          <w:tcPr>
            <w:tcW w:w="1868" w:type="dxa"/>
          </w:tcPr>
          <w:p w14:paraId="10DEA8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w:t>
            </w:r>
          </w:p>
        </w:tc>
      </w:tr>
      <w:tr w:rsidR="000F5689" w:rsidRPr="00925F26" w14:paraId="50D16779" w14:textId="77777777">
        <w:tc>
          <w:tcPr>
            <w:tcW w:w="1868" w:type="dxa"/>
          </w:tcPr>
          <w:p w14:paraId="7CBBAB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868" w:type="dxa"/>
          </w:tcPr>
          <w:p w14:paraId="46BD9D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3204</w:t>
            </w:r>
          </w:p>
        </w:tc>
        <w:tc>
          <w:tcPr>
            <w:tcW w:w="1868" w:type="dxa"/>
          </w:tcPr>
          <w:p w14:paraId="734650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3204</w:t>
            </w:r>
          </w:p>
        </w:tc>
        <w:tc>
          <w:tcPr>
            <w:tcW w:w="1868" w:type="dxa"/>
          </w:tcPr>
          <w:p w14:paraId="6B999D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3145</w:t>
            </w:r>
          </w:p>
        </w:tc>
        <w:tc>
          <w:tcPr>
            <w:tcW w:w="1868" w:type="dxa"/>
          </w:tcPr>
          <w:p w14:paraId="7F2EE4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3268</w:t>
            </w:r>
          </w:p>
        </w:tc>
        <w:tc>
          <w:tcPr>
            <w:tcW w:w="1868" w:type="dxa"/>
          </w:tcPr>
          <w:p w14:paraId="44F046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3197</w:t>
            </w:r>
          </w:p>
        </w:tc>
      </w:tr>
      <w:tr w:rsidR="000F5689" w:rsidRPr="00925F26" w14:paraId="697D1BF9" w14:textId="77777777">
        <w:tc>
          <w:tcPr>
            <w:tcW w:w="1868" w:type="dxa"/>
          </w:tcPr>
          <w:p w14:paraId="0C7B6B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868" w:type="dxa"/>
          </w:tcPr>
          <w:p w14:paraId="75D889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0F24EE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2512</w:t>
            </w:r>
          </w:p>
        </w:tc>
        <w:tc>
          <w:tcPr>
            <w:tcW w:w="1868" w:type="dxa"/>
          </w:tcPr>
          <w:p w14:paraId="16D15A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2498</w:t>
            </w:r>
          </w:p>
        </w:tc>
        <w:tc>
          <w:tcPr>
            <w:tcW w:w="1868" w:type="dxa"/>
          </w:tcPr>
          <w:p w14:paraId="78844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2596</w:t>
            </w:r>
          </w:p>
        </w:tc>
        <w:tc>
          <w:tcPr>
            <w:tcW w:w="1868" w:type="dxa"/>
          </w:tcPr>
          <w:p w14:paraId="06EA66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2529</w:t>
            </w:r>
          </w:p>
        </w:tc>
      </w:tr>
      <w:tr w:rsidR="000F5689" w:rsidRPr="00925F26" w14:paraId="2910C214" w14:textId="77777777">
        <w:tc>
          <w:tcPr>
            <w:tcW w:w="1868" w:type="dxa"/>
          </w:tcPr>
          <w:p w14:paraId="7FA6FE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топлива, кг</w:t>
            </w:r>
          </w:p>
        </w:tc>
        <w:tc>
          <w:tcPr>
            <w:tcW w:w="1868" w:type="dxa"/>
          </w:tcPr>
          <w:p w14:paraId="447181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w:t>
            </w:r>
          </w:p>
        </w:tc>
        <w:tc>
          <w:tcPr>
            <w:tcW w:w="1868" w:type="dxa"/>
          </w:tcPr>
          <w:p w14:paraId="519048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380</w:t>
            </w:r>
          </w:p>
        </w:tc>
        <w:tc>
          <w:tcPr>
            <w:tcW w:w="1868" w:type="dxa"/>
          </w:tcPr>
          <w:p w14:paraId="273AB7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351</w:t>
            </w:r>
          </w:p>
        </w:tc>
        <w:tc>
          <w:tcPr>
            <w:tcW w:w="1868" w:type="dxa"/>
          </w:tcPr>
          <w:p w14:paraId="129082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w:t>
            </w:r>
          </w:p>
        </w:tc>
        <w:tc>
          <w:tcPr>
            <w:tcW w:w="1868" w:type="dxa"/>
          </w:tcPr>
          <w:p w14:paraId="4CEFDD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2665BD3" w14:textId="77777777">
        <w:tc>
          <w:tcPr>
            <w:tcW w:w="1868" w:type="dxa"/>
          </w:tcPr>
          <w:p w14:paraId="02F23F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w:t>
            </w:r>
          </w:p>
        </w:tc>
        <w:tc>
          <w:tcPr>
            <w:tcW w:w="1868" w:type="dxa"/>
          </w:tcPr>
          <w:p w14:paraId="227CC63D"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7CDC69D"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C494536"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41F0E9B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52437ED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02284FC" w14:textId="77777777">
        <w:tc>
          <w:tcPr>
            <w:tcW w:w="1868" w:type="dxa"/>
          </w:tcPr>
          <w:p w14:paraId="2BDD4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 земли</w:t>
            </w:r>
          </w:p>
        </w:tc>
        <w:tc>
          <w:tcPr>
            <w:tcW w:w="1868" w:type="dxa"/>
          </w:tcPr>
          <w:p w14:paraId="63DEC3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868" w:type="dxa"/>
          </w:tcPr>
          <w:p w14:paraId="73FCF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575</w:t>
            </w:r>
          </w:p>
        </w:tc>
        <w:tc>
          <w:tcPr>
            <w:tcW w:w="1868" w:type="dxa"/>
          </w:tcPr>
          <w:p w14:paraId="4BD71A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577</w:t>
            </w:r>
          </w:p>
        </w:tc>
        <w:tc>
          <w:tcPr>
            <w:tcW w:w="1868" w:type="dxa"/>
          </w:tcPr>
          <w:p w14:paraId="16338F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w:t>
            </w:r>
          </w:p>
        </w:tc>
        <w:tc>
          <w:tcPr>
            <w:tcW w:w="1868" w:type="dxa"/>
          </w:tcPr>
          <w:p w14:paraId="5326B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564</w:t>
            </w:r>
          </w:p>
        </w:tc>
      </w:tr>
      <w:tr w:rsidR="000F5689" w:rsidRPr="00925F26" w14:paraId="72073FD1" w14:textId="77777777">
        <w:tc>
          <w:tcPr>
            <w:tcW w:w="1868" w:type="dxa"/>
          </w:tcPr>
          <w:p w14:paraId="17547C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1-й гр. высотности, м</w:t>
            </w:r>
          </w:p>
        </w:tc>
        <w:tc>
          <w:tcPr>
            <w:tcW w:w="1868" w:type="dxa"/>
          </w:tcPr>
          <w:p w14:paraId="1F3858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676/3000</w:t>
            </w:r>
          </w:p>
        </w:tc>
        <w:tc>
          <w:tcPr>
            <w:tcW w:w="1868" w:type="dxa"/>
          </w:tcPr>
          <w:p w14:paraId="4FB063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636/2500</w:t>
            </w:r>
          </w:p>
        </w:tc>
        <w:tc>
          <w:tcPr>
            <w:tcW w:w="1868" w:type="dxa"/>
          </w:tcPr>
          <w:p w14:paraId="3CD701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641/2950</w:t>
            </w:r>
          </w:p>
        </w:tc>
        <w:tc>
          <w:tcPr>
            <w:tcW w:w="1868" w:type="dxa"/>
          </w:tcPr>
          <w:p w14:paraId="1F731D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648/3300</w:t>
            </w:r>
          </w:p>
        </w:tc>
        <w:tc>
          <w:tcPr>
            <w:tcW w:w="1868" w:type="dxa"/>
          </w:tcPr>
          <w:p w14:paraId="1E4256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632/2700</w:t>
            </w:r>
          </w:p>
        </w:tc>
      </w:tr>
      <w:tr w:rsidR="000F5689" w:rsidRPr="00925F26" w14:paraId="7B0ED063" w14:textId="77777777">
        <w:tc>
          <w:tcPr>
            <w:tcW w:w="1868" w:type="dxa"/>
          </w:tcPr>
          <w:p w14:paraId="1B2831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2-й гр. высотности, м</w:t>
            </w:r>
          </w:p>
        </w:tc>
        <w:tc>
          <w:tcPr>
            <w:tcW w:w="1868" w:type="dxa"/>
          </w:tcPr>
          <w:p w14:paraId="70124A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700/5500</w:t>
            </w:r>
          </w:p>
        </w:tc>
        <w:tc>
          <w:tcPr>
            <w:tcW w:w="1868" w:type="dxa"/>
          </w:tcPr>
          <w:p w14:paraId="08B421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672/5000</w:t>
            </w:r>
          </w:p>
        </w:tc>
        <w:tc>
          <w:tcPr>
            <w:tcW w:w="1868" w:type="dxa"/>
          </w:tcPr>
          <w:p w14:paraId="016C4E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676/5900</w:t>
            </w:r>
          </w:p>
        </w:tc>
        <w:tc>
          <w:tcPr>
            <w:tcW w:w="1868" w:type="dxa"/>
          </w:tcPr>
          <w:p w14:paraId="3310F0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680/5850</w:t>
            </w:r>
          </w:p>
        </w:tc>
        <w:tc>
          <w:tcPr>
            <w:tcW w:w="1868" w:type="dxa"/>
          </w:tcPr>
          <w:p w14:paraId="2BE13D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668/5300</w:t>
            </w:r>
          </w:p>
        </w:tc>
      </w:tr>
      <w:tr w:rsidR="000F5689" w:rsidRPr="00925F26" w14:paraId="000A0300" w14:textId="77777777">
        <w:tc>
          <w:tcPr>
            <w:tcW w:w="1868" w:type="dxa"/>
          </w:tcPr>
          <w:p w14:paraId="025D5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w:t>
            </w:r>
          </w:p>
        </w:tc>
        <w:tc>
          <w:tcPr>
            <w:tcW w:w="1868" w:type="dxa"/>
          </w:tcPr>
          <w:p w14:paraId="51AB7DEC"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3B0A9E8E"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171739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86B748B"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6D62BD6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A51C252" w14:textId="77777777">
        <w:tc>
          <w:tcPr>
            <w:tcW w:w="1868" w:type="dxa"/>
          </w:tcPr>
          <w:p w14:paraId="1B21C8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высоты 5000 м, мин</w:t>
            </w:r>
          </w:p>
        </w:tc>
        <w:tc>
          <w:tcPr>
            <w:tcW w:w="1868" w:type="dxa"/>
          </w:tcPr>
          <w:p w14:paraId="7A27FE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868" w:type="dxa"/>
          </w:tcPr>
          <w:p w14:paraId="6B5E60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868" w:type="dxa"/>
          </w:tcPr>
          <w:p w14:paraId="1EA864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1868" w:type="dxa"/>
          </w:tcPr>
          <w:p w14:paraId="3D2306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5,4/4,4</w:t>
            </w:r>
          </w:p>
        </w:tc>
        <w:tc>
          <w:tcPr>
            <w:tcW w:w="1868" w:type="dxa"/>
          </w:tcPr>
          <w:p w14:paraId="03CF14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r>
      <w:tr w:rsidR="000F5689" w:rsidRPr="00925F26" w14:paraId="1295E48F" w14:textId="77777777">
        <w:tc>
          <w:tcPr>
            <w:tcW w:w="1868" w:type="dxa"/>
          </w:tcPr>
          <w:p w14:paraId="6D98A5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868" w:type="dxa"/>
          </w:tcPr>
          <w:p w14:paraId="1411CD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0A089B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10650</w:t>
            </w:r>
          </w:p>
        </w:tc>
        <w:tc>
          <w:tcPr>
            <w:tcW w:w="1868" w:type="dxa"/>
          </w:tcPr>
          <w:p w14:paraId="0750D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10850</w:t>
            </w:r>
          </w:p>
        </w:tc>
        <w:tc>
          <w:tcPr>
            <w:tcW w:w="1868" w:type="dxa"/>
          </w:tcPr>
          <w:p w14:paraId="443785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2113E0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507DA3D" w14:textId="77777777">
        <w:tc>
          <w:tcPr>
            <w:tcW w:w="1868" w:type="dxa"/>
          </w:tcPr>
          <w:p w14:paraId="1B6DFA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w:t>
            </w:r>
          </w:p>
        </w:tc>
        <w:tc>
          <w:tcPr>
            <w:tcW w:w="1868" w:type="dxa"/>
          </w:tcPr>
          <w:p w14:paraId="652DBF9A"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271C6F22"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08E02C51"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1B10E569" w14:textId="77777777" w:rsidR="00665165" w:rsidRPr="00925F26" w:rsidRDefault="00665165" w:rsidP="00925F26">
            <w:pPr>
              <w:autoSpaceDE w:val="0"/>
              <w:autoSpaceDN w:val="0"/>
              <w:adjustRightInd w:val="0"/>
              <w:jc w:val="both"/>
              <w:rPr>
                <w:color w:val="000000" w:themeColor="text1"/>
                <w:sz w:val="16"/>
                <w:szCs w:val="16"/>
              </w:rPr>
            </w:pPr>
          </w:p>
        </w:tc>
        <w:tc>
          <w:tcPr>
            <w:tcW w:w="1868" w:type="dxa"/>
          </w:tcPr>
          <w:p w14:paraId="723DB9A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7CDC0E6" w14:textId="77777777">
        <w:tc>
          <w:tcPr>
            <w:tcW w:w="1868" w:type="dxa"/>
          </w:tcPr>
          <w:p w14:paraId="594C34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1000 м,</w:t>
            </w:r>
          </w:p>
        </w:tc>
        <w:tc>
          <w:tcPr>
            <w:tcW w:w="1868" w:type="dxa"/>
          </w:tcPr>
          <w:p w14:paraId="5B7B3A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c>
          <w:tcPr>
            <w:tcW w:w="1868" w:type="dxa"/>
          </w:tcPr>
          <w:p w14:paraId="217D6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62DBB6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22069B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Pr>
          <w:p w14:paraId="728307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05308B3" w14:textId="77777777">
        <w:tc>
          <w:tcPr>
            <w:tcW w:w="1868" w:type="dxa"/>
            <w:tcBorders>
              <w:bottom w:val="single" w:sz="12" w:space="0" w:color="auto"/>
            </w:tcBorders>
          </w:tcPr>
          <w:p w14:paraId="1B6DF1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1868" w:type="dxa"/>
            <w:tcBorders>
              <w:bottom w:val="single" w:sz="12" w:space="0" w:color="auto"/>
            </w:tcBorders>
          </w:tcPr>
          <w:p w14:paraId="63CA18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884</w:t>
            </w:r>
          </w:p>
        </w:tc>
        <w:tc>
          <w:tcPr>
            <w:tcW w:w="1868" w:type="dxa"/>
            <w:tcBorders>
              <w:bottom w:val="single" w:sz="12" w:space="0" w:color="auto"/>
            </w:tcBorders>
          </w:tcPr>
          <w:p w14:paraId="5B2CE9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675"</w:t>
            </w:r>
          </w:p>
        </w:tc>
        <w:tc>
          <w:tcPr>
            <w:tcW w:w="1868" w:type="dxa"/>
            <w:tcBorders>
              <w:bottom w:val="single" w:sz="12" w:space="0" w:color="auto"/>
            </w:tcBorders>
          </w:tcPr>
          <w:p w14:paraId="64FAC3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10603)</w:t>
            </w:r>
          </w:p>
        </w:tc>
        <w:tc>
          <w:tcPr>
            <w:tcW w:w="1868" w:type="dxa"/>
            <w:tcBorders>
              <w:bottom w:val="single" w:sz="12" w:space="0" w:color="auto"/>
            </w:tcBorders>
          </w:tcPr>
          <w:p w14:paraId="03266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868" w:type="dxa"/>
            <w:tcBorders>
              <w:bottom w:val="single" w:sz="12" w:space="0" w:color="auto"/>
            </w:tcBorders>
          </w:tcPr>
          <w:p w14:paraId="72E9D9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7855</w:t>
            </w:r>
          </w:p>
        </w:tc>
      </w:tr>
    </w:tbl>
    <w:p w14:paraId="5C8167C2" w14:textId="200EBFDE"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результатам испытаний</w:t>
      </w:r>
      <w:r w:rsidRPr="00925F26">
        <w:rPr>
          <w:color w:val="000000" w:themeColor="text1"/>
          <w:sz w:val="16"/>
          <w:szCs w:val="16"/>
        </w:rPr>
        <w:tab/>
        <w:t>в январе 1941 г.</w:t>
      </w:r>
    </w:p>
    <w:p w14:paraId="6B7668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Эталон 1945 г.</w:t>
      </w:r>
    </w:p>
    <w:p w14:paraId="388753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3A87F9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На скорости 508 км/ч и высоте 5070 м, продолжительность полета 1 час 21 минута.</w:t>
      </w:r>
    </w:p>
    <w:p w14:paraId="0D8C95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На скорости 509 км/ч и высоте 5040 м, продолжительность полета 1 час 33 минуты) (12046).</w:t>
      </w:r>
    </w:p>
    <w:p w14:paraId="6556E2BD" w14:textId="77777777" w:rsidR="00665165" w:rsidRPr="00925F26" w:rsidRDefault="00665165" w:rsidP="00925F26">
      <w:pPr>
        <w:autoSpaceDE w:val="0"/>
        <w:autoSpaceDN w:val="0"/>
        <w:adjustRightInd w:val="0"/>
        <w:jc w:val="both"/>
        <w:rPr>
          <w:color w:val="000000" w:themeColor="text1"/>
          <w:sz w:val="16"/>
          <w:szCs w:val="16"/>
        </w:rPr>
      </w:pPr>
    </w:p>
    <w:p w14:paraId="3B3E610F" w14:textId="77777777" w:rsidR="00653E92" w:rsidRPr="001A0BAA" w:rsidRDefault="00653E92" w:rsidP="00653E92">
      <w:pPr>
        <w:jc w:val="both"/>
        <w:rPr>
          <w:color w:val="0070C0"/>
          <w:sz w:val="16"/>
          <w:szCs w:val="16"/>
        </w:rPr>
      </w:pPr>
      <w:r w:rsidRPr="001A0BAA">
        <w:rPr>
          <w:color w:val="0070C0"/>
          <w:sz w:val="16"/>
          <w:szCs w:val="16"/>
        </w:rPr>
        <w:t>В апреле 1945 г. опытный Як-3У</w:t>
      </w:r>
      <w:r w:rsidRPr="001A0BAA">
        <w:rPr>
          <w:b/>
          <w:bCs/>
          <w:color w:val="0070C0"/>
          <w:sz w:val="16"/>
          <w:szCs w:val="16"/>
        </w:rPr>
        <w:t xml:space="preserve"> </w:t>
      </w:r>
      <w:r w:rsidRPr="001A0BAA">
        <w:rPr>
          <w:color w:val="0070C0"/>
          <w:sz w:val="16"/>
          <w:szCs w:val="16"/>
        </w:rPr>
        <w:t>со звездообразным двигателем АШ-82ФН вышел на испытания и тоже опоздал на войну (24932).</w:t>
      </w:r>
    </w:p>
    <w:p w14:paraId="631E504B" w14:textId="77777777" w:rsidR="00653E92" w:rsidRPr="001A0BAA" w:rsidRDefault="00653E92" w:rsidP="00653E92">
      <w:pPr>
        <w:jc w:val="both"/>
        <w:rPr>
          <w:color w:val="0070C0"/>
          <w:sz w:val="16"/>
          <w:szCs w:val="16"/>
        </w:rPr>
      </w:pPr>
    </w:p>
    <w:p w14:paraId="34A5FDD9" w14:textId="77777777" w:rsidR="00653E92" w:rsidRPr="001A0BAA" w:rsidRDefault="00653E92" w:rsidP="00653E92">
      <w:pPr>
        <w:jc w:val="both"/>
        <w:rPr>
          <w:color w:val="0070C0"/>
          <w:sz w:val="16"/>
          <w:szCs w:val="16"/>
        </w:rPr>
      </w:pPr>
      <w:r w:rsidRPr="001A0BAA">
        <w:rPr>
          <w:rStyle w:val="aff0"/>
          <w:rFonts w:ascii="Times New Roman" w:hAnsi="Times New Roman" w:cs="Times New Roman"/>
          <w:color w:val="0070C0"/>
          <w:spacing w:val="0"/>
          <w:sz w:val="16"/>
          <w:szCs w:val="16"/>
        </w:rPr>
        <w:t>В апреле 1945 г. на опытном заводе № 115 один серийный Як‑9У производства завода №166 (зав. №40‑074) с М‑107А вооружили 57‑мм моторной пушкой пониженной балли</w:t>
      </w:r>
      <w:r w:rsidRPr="001A0BAA">
        <w:rPr>
          <w:rStyle w:val="aff0"/>
          <w:rFonts w:ascii="Times New Roman" w:hAnsi="Times New Roman" w:cs="Times New Roman"/>
          <w:color w:val="0070C0"/>
          <w:spacing w:val="0"/>
          <w:sz w:val="16"/>
          <w:szCs w:val="16"/>
        </w:rPr>
        <w:softHyphen/>
        <w:t>стики Ш‑57 конструкции Шпитального (ОКБ‑15). Для этого специально разработали новый ре</w:t>
      </w:r>
      <w:r w:rsidRPr="001A0BAA">
        <w:rPr>
          <w:rStyle w:val="aff0"/>
          <w:rFonts w:ascii="Times New Roman" w:hAnsi="Times New Roman" w:cs="Times New Roman"/>
          <w:color w:val="0070C0"/>
          <w:spacing w:val="0"/>
          <w:sz w:val="16"/>
          <w:szCs w:val="16"/>
        </w:rPr>
        <w:softHyphen/>
        <w:t>дуктор с внутренним диаметром вала, обес</w:t>
      </w:r>
      <w:r w:rsidRPr="001A0BAA">
        <w:rPr>
          <w:rStyle w:val="aff0"/>
          <w:rFonts w:ascii="Times New Roman" w:hAnsi="Times New Roman" w:cs="Times New Roman"/>
          <w:color w:val="0070C0"/>
          <w:spacing w:val="0"/>
          <w:sz w:val="16"/>
          <w:szCs w:val="16"/>
        </w:rPr>
        <w:softHyphen/>
        <w:t>печивающим установку пушки калибра 57 мм. Кроме того, на самолет устанавливался один синхронный пулемет УБС.</w:t>
      </w:r>
    </w:p>
    <w:p w14:paraId="5F0842B9" w14:textId="77777777" w:rsidR="00653E92" w:rsidRPr="001A0BAA" w:rsidRDefault="00653E92" w:rsidP="00653E92">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С 5 мая по 20 ноября эта машина прохо</w:t>
      </w:r>
      <w:r w:rsidRPr="001A0BAA">
        <w:rPr>
          <w:rStyle w:val="aff0"/>
          <w:rFonts w:ascii="Times New Roman" w:hAnsi="Times New Roman" w:cs="Times New Roman"/>
          <w:color w:val="0070C0"/>
          <w:spacing w:val="0"/>
          <w:sz w:val="16"/>
          <w:szCs w:val="16"/>
        </w:rPr>
        <w:softHyphen/>
        <w:t>дила заводские испытания. По программе ис</w:t>
      </w:r>
      <w:r w:rsidRPr="001A0BAA">
        <w:rPr>
          <w:rStyle w:val="aff0"/>
          <w:rFonts w:ascii="Times New Roman" w:hAnsi="Times New Roman" w:cs="Times New Roman"/>
          <w:color w:val="0070C0"/>
          <w:spacing w:val="0"/>
          <w:sz w:val="16"/>
          <w:szCs w:val="16"/>
        </w:rPr>
        <w:softHyphen/>
        <w:t>пытаний Ш‑57 отстреляли как на земле, так и в воздухе, в том числе и по наземным це</w:t>
      </w:r>
      <w:r w:rsidRPr="001A0BAA">
        <w:rPr>
          <w:rStyle w:val="aff0"/>
          <w:rFonts w:ascii="Times New Roman" w:hAnsi="Times New Roman" w:cs="Times New Roman"/>
          <w:color w:val="0070C0"/>
          <w:spacing w:val="0"/>
          <w:sz w:val="16"/>
          <w:szCs w:val="16"/>
        </w:rPr>
        <w:softHyphen/>
        <w:t>лям на Ногинском полигоне. Затем самолет передали в ГК НИИ ВВС для прохождения по</w:t>
      </w:r>
      <w:r w:rsidRPr="001A0BAA">
        <w:rPr>
          <w:rStyle w:val="aff0"/>
          <w:rFonts w:ascii="Times New Roman" w:hAnsi="Times New Roman" w:cs="Times New Roman"/>
          <w:color w:val="0070C0"/>
          <w:spacing w:val="0"/>
          <w:sz w:val="16"/>
          <w:szCs w:val="16"/>
        </w:rPr>
        <w:softHyphen/>
        <w:t>лигонных и государственных испытаний. Ис</w:t>
      </w:r>
      <w:r w:rsidRPr="001A0BAA">
        <w:rPr>
          <w:rStyle w:val="aff0"/>
          <w:rFonts w:ascii="Times New Roman" w:hAnsi="Times New Roman" w:cs="Times New Roman"/>
          <w:color w:val="0070C0"/>
          <w:spacing w:val="0"/>
          <w:sz w:val="16"/>
          <w:szCs w:val="16"/>
        </w:rPr>
        <w:softHyphen/>
        <w:t>пытания завершились в апреле 1947 г. Пушка</w:t>
      </w:r>
      <w:r w:rsidRPr="001A0BAA">
        <w:rPr>
          <w:rStyle w:val="30"/>
          <w:color w:val="0070C0"/>
          <w:sz w:val="16"/>
          <w:szCs w:val="16"/>
        </w:rPr>
        <w:t xml:space="preserve"> </w:t>
      </w:r>
      <w:r w:rsidRPr="001A0BAA">
        <w:rPr>
          <w:rStyle w:val="aff0"/>
          <w:rFonts w:ascii="Times New Roman" w:hAnsi="Times New Roman" w:cs="Times New Roman"/>
          <w:color w:val="0070C0"/>
          <w:spacing w:val="0"/>
          <w:sz w:val="16"/>
          <w:szCs w:val="16"/>
        </w:rPr>
        <w:t>испытаний не выдержала из‑за ненадежной работы автоматики, малой живучести основ</w:t>
      </w:r>
      <w:r w:rsidRPr="001A0BAA">
        <w:rPr>
          <w:rStyle w:val="aff0"/>
          <w:rFonts w:ascii="Times New Roman" w:hAnsi="Times New Roman" w:cs="Times New Roman"/>
          <w:color w:val="0070C0"/>
          <w:spacing w:val="0"/>
          <w:sz w:val="16"/>
          <w:szCs w:val="16"/>
        </w:rPr>
        <w:softHyphen/>
        <w:t>ных деталей и несоответствия баллистиче</w:t>
      </w:r>
      <w:r w:rsidRPr="001A0BAA">
        <w:rPr>
          <w:rStyle w:val="aff0"/>
          <w:rFonts w:ascii="Times New Roman" w:hAnsi="Times New Roman" w:cs="Times New Roman"/>
          <w:color w:val="0070C0"/>
          <w:spacing w:val="0"/>
          <w:sz w:val="16"/>
          <w:szCs w:val="16"/>
        </w:rPr>
        <w:softHyphen/>
        <w:t>ских данных пушки требованиям ВВС.</w:t>
      </w:r>
    </w:p>
    <w:p w14:paraId="5AF4ABB1" w14:textId="77777777" w:rsidR="00653E92" w:rsidRPr="001A0BAA" w:rsidRDefault="00653E92" w:rsidP="00653E92">
      <w:pPr>
        <w:jc w:val="both"/>
        <w:rPr>
          <w:color w:val="0070C0"/>
          <w:sz w:val="16"/>
          <w:szCs w:val="16"/>
        </w:rPr>
      </w:pPr>
      <w:r w:rsidRPr="001A0BAA">
        <w:rPr>
          <w:rStyle w:val="aff0"/>
          <w:rFonts w:ascii="Times New Roman" w:hAnsi="Times New Roman" w:cs="Times New Roman"/>
          <w:color w:val="0070C0"/>
          <w:spacing w:val="0"/>
          <w:sz w:val="16"/>
          <w:szCs w:val="16"/>
        </w:rPr>
        <w:t>В авгу</w:t>
      </w:r>
      <w:r w:rsidRPr="001A0BAA">
        <w:rPr>
          <w:rStyle w:val="aff0"/>
          <w:rFonts w:ascii="Times New Roman" w:hAnsi="Times New Roman" w:cs="Times New Roman"/>
          <w:color w:val="0070C0"/>
          <w:spacing w:val="0"/>
          <w:sz w:val="16"/>
          <w:szCs w:val="16"/>
        </w:rPr>
        <w:softHyphen/>
        <w:t>сте 1947 г. Шпитальный представил техниче</w:t>
      </w:r>
      <w:r w:rsidRPr="001A0BAA">
        <w:rPr>
          <w:rStyle w:val="aff0"/>
          <w:rFonts w:ascii="Times New Roman" w:hAnsi="Times New Roman" w:cs="Times New Roman"/>
          <w:color w:val="0070C0"/>
          <w:spacing w:val="0"/>
          <w:sz w:val="16"/>
          <w:szCs w:val="16"/>
        </w:rPr>
        <w:softHyphen/>
        <w:t>ский проект 57‑мм пушки в полном соответ</w:t>
      </w:r>
      <w:r w:rsidRPr="001A0BAA">
        <w:rPr>
          <w:rStyle w:val="aff0"/>
          <w:rFonts w:ascii="Times New Roman" w:hAnsi="Times New Roman" w:cs="Times New Roman"/>
          <w:color w:val="0070C0"/>
          <w:spacing w:val="0"/>
          <w:sz w:val="16"/>
          <w:szCs w:val="16"/>
        </w:rPr>
        <w:softHyphen/>
        <w:t>ствии с ТТТ ВВС. Построили один опытный экземпляр, который так и не вышел из стадии заводских испытаний (25101).</w:t>
      </w:r>
    </w:p>
    <w:p w14:paraId="776B8222" w14:textId="77777777" w:rsidR="00653E92" w:rsidRPr="001A0BAA" w:rsidRDefault="00653E92" w:rsidP="00653E92">
      <w:pPr>
        <w:jc w:val="both"/>
        <w:rPr>
          <w:color w:val="0070C0"/>
          <w:sz w:val="16"/>
          <w:szCs w:val="16"/>
        </w:rPr>
      </w:pPr>
    </w:p>
    <w:p w14:paraId="51456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в одном из полков 5-й воздушной армии была катастрофа с Ла-7 и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6E461946" w14:textId="77777777" w:rsidR="00665165" w:rsidRPr="00925F26" w:rsidRDefault="00665165" w:rsidP="00925F26">
      <w:pPr>
        <w:autoSpaceDE w:val="0"/>
        <w:autoSpaceDN w:val="0"/>
        <w:adjustRightInd w:val="0"/>
        <w:jc w:val="both"/>
        <w:rPr>
          <w:color w:val="000000" w:themeColor="text1"/>
          <w:sz w:val="16"/>
          <w:szCs w:val="16"/>
        </w:rPr>
      </w:pPr>
    </w:p>
    <w:p w14:paraId="124494A8" w14:textId="77777777" w:rsidR="00A278CB" w:rsidRPr="00925F26" w:rsidRDefault="00A278CB" w:rsidP="00925F26">
      <w:pPr>
        <w:jc w:val="both"/>
        <w:rPr>
          <w:color w:val="000000" w:themeColor="text1"/>
          <w:sz w:val="16"/>
          <w:szCs w:val="16"/>
        </w:rPr>
      </w:pPr>
      <w:r w:rsidRPr="00925F26">
        <w:rPr>
          <w:color w:val="000000" w:themeColor="text1"/>
          <w:sz w:val="16"/>
          <w:szCs w:val="16"/>
        </w:rPr>
        <w:lastRenderedPageBreak/>
        <w:t>В апреле 1945 г., через год после организации серийного производства Ла-7, в строевые части стали поступать истребители с тремя 20-мм пушками Березина (в серии они назывались Б-20). В числе опытных вариантов вооружения, опробованных на Ла-7 в годы войны, можно указать три: - с двумя синхронными 23-мм пушками НС-23 разработки ОКБ-16; - с тремя 20-мм пушками СШ-20 разработки ОКБ-15; - с тремя опытными пушками Ш-23 разработки ОКБ-15. Все эти варианты были забракованы из-за неудовлетворительной надежности. А в 1946 г. испытывался опытный истребитель «126» (цельнометаллический Ла-7) с четырьмя синхронными пушками НС-23, ставший промежуточным шагом на пути к Ла-9 (18999).</w:t>
      </w:r>
    </w:p>
    <w:p w14:paraId="6C07BF2E" w14:textId="77777777" w:rsidR="00A278CB" w:rsidRPr="00925F26" w:rsidRDefault="00A278CB" w:rsidP="00925F26">
      <w:pPr>
        <w:jc w:val="both"/>
        <w:rPr>
          <w:color w:val="000000" w:themeColor="text1"/>
          <w:sz w:val="16"/>
          <w:szCs w:val="16"/>
        </w:rPr>
      </w:pPr>
    </w:p>
    <w:p w14:paraId="73C6CA25" w14:textId="77777777" w:rsidR="00AD7C9A" w:rsidRPr="001A0BAA" w:rsidRDefault="00AD7C9A" w:rsidP="00AD7C9A">
      <w:pPr>
        <w:jc w:val="both"/>
        <w:rPr>
          <w:color w:val="0070C0"/>
          <w:sz w:val="16"/>
          <w:szCs w:val="16"/>
        </w:rPr>
      </w:pPr>
      <w:r w:rsidRPr="001A0BAA">
        <w:rPr>
          <w:color w:val="0070C0"/>
          <w:sz w:val="16"/>
          <w:szCs w:val="16"/>
        </w:rPr>
        <w:t>В апреле 1945 года в одном из полков 5-й ВА произошла катастрофа Ла-7 и выяснилось, что на заводе при установке консолей крыла стыковочные отверстия центроплана и консолей не со</w:t>
      </w:r>
      <w:r w:rsidRPr="001A0BAA">
        <w:rPr>
          <w:color w:val="0070C0"/>
          <w:sz w:val="16"/>
          <w:szCs w:val="16"/>
        </w:rPr>
        <w:softHyphen/>
        <w:t>впали, и слесарь-сборщик решил этот во</w:t>
      </w:r>
      <w:r w:rsidRPr="001A0BAA">
        <w:rPr>
          <w:color w:val="0070C0"/>
          <w:sz w:val="16"/>
          <w:szCs w:val="16"/>
        </w:rPr>
        <w:softHyphen/>
        <w:t>прос по-своему — посадил болты лонже</w:t>
      </w:r>
      <w:r w:rsidRPr="001A0BAA">
        <w:rPr>
          <w:color w:val="0070C0"/>
          <w:sz w:val="16"/>
          <w:szCs w:val="16"/>
        </w:rPr>
        <w:softHyphen/>
        <w:t>рона с помощью кувалды</w:t>
      </w:r>
      <w:proofErr w:type="gramStart"/>
      <w:r w:rsidRPr="001A0BAA">
        <w:rPr>
          <w:color w:val="0070C0"/>
          <w:sz w:val="16"/>
          <w:szCs w:val="16"/>
        </w:rPr>
        <w:t>...(</w:t>
      </w:r>
      <w:proofErr w:type="gramEnd"/>
      <w:r w:rsidRPr="001A0BAA">
        <w:rPr>
          <w:color w:val="0070C0"/>
          <w:sz w:val="16"/>
          <w:szCs w:val="16"/>
        </w:rPr>
        <w:t>24988).</w:t>
      </w:r>
    </w:p>
    <w:p w14:paraId="2C45E015" w14:textId="77777777" w:rsidR="00AD7C9A" w:rsidRPr="001A0BAA" w:rsidRDefault="00AD7C9A" w:rsidP="00AD7C9A">
      <w:pPr>
        <w:jc w:val="both"/>
        <w:rPr>
          <w:color w:val="0070C0"/>
          <w:sz w:val="16"/>
          <w:szCs w:val="16"/>
        </w:rPr>
      </w:pPr>
    </w:p>
    <w:p w14:paraId="003E32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года в отчете старшего военпреда завода №19 инженер-майора И.К. Четверика от</w:t>
      </w:r>
      <w:r w:rsidRPr="00925F26">
        <w:rPr>
          <w:color w:val="000000" w:themeColor="text1"/>
          <w:sz w:val="16"/>
          <w:szCs w:val="16"/>
        </w:rPr>
        <w:softHyphen/>
        <w:t>мечалось:</w:t>
      </w:r>
    </w:p>
    <w:p w14:paraId="6D31F2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«Рекламации: По АШ-82ФН - по</w:t>
      </w:r>
      <w:r w:rsidRPr="00925F26">
        <w:rPr>
          <w:color w:val="000000" w:themeColor="text1"/>
          <w:sz w:val="16"/>
          <w:szCs w:val="16"/>
        </w:rPr>
        <w:softHyphen/>
        <w:t>ступило 147, принято 22, отклонено 125...</w:t>
      </w:r>
    </w:p>
    <w:p w14:paraId="30244A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Надо отметить, что почти все от</w:t>
      </w:r>
      <w:r w:rsidRPr="00925F26">
        <w:rPr>
          <w:color w:val="000000" w:themeColor="text1"/>
          <w:sz w:val="16"/>
          <w:szCs w:val="16"/>
        </w:rPr>
        <w:softHyphen/>
        <w:t>клоненные рекламации относятся к числу односторонних, которых в ап</w:t>
      </w:r>
      <w:r w:rsidRPr="00925F26">
        <w:rPr>
          <w:color w:val="000000" w:themeColor="text1"/>
          <w:sz w:val="16"/>
          <w:szCs w:val="16"/>
        </w:rPr>
        <w:softHyphen/>
        <w:t>реле поступило особенно много, и рекламаций по износу гильз цилин</w:t>
      </w:r>
      <w:r w:rsidRPr="00925F26">
        <w:rPr>
          <w:color w:val="000000" w:themeColor="text1"/>
          <w:sz w:val="16"/>
          <w:szCs w:val="16"/>
        </w:rPr>
        <w:softHyphen/>
        <w:t>дров на Ла-7, которые завод также не принимает, считая виновником завод №21 и №381...» (10730).</w:t>
      </w:r>
    </w:p>
    <w:p w14:paraId="7B3A4C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6904BA1"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апреле 1945 г. предварительное проектирование самолета Ла-150 было закончено. В мае 1945 г. в ОКБ и на заводе № 81 при ступили к изготовлению рабочих чертежей и макета самоле та, а также моделей для продувок в трубах ЦАГИ. Завод № 81 был мал и не имел возможностей, чтобы спра 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w:t>
      </w:r>
    </w:p>
    <w:p w14:paraId="68B209AC"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ОКБ С.А. Лавочкина должно было к 1 августа 1945 г. сдать все рабочие чертежи заводу № 381. Этот срок ОКБ выдержа 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w:t>
      </w:r>
      <w:proofErr w:type="gramStart"/>
      <w:r w:rsidRPr="00925F26">
        <w:rPr>
          <w:color w:val="000000" w:themeColor="text1"/>
          <w:sz w:val="16"/>
          <w:szCs w:val="16"/>
        </w:rPr>
        <w:t>самолета</w:t>
      </w:r>
      <w:proofErr w:type="gramEnd"/>
      <w:r w:rsidRPr="00925F26">
        <w:rPr>
          <w:color w:val="000000" w:themeColor="text1"/>
          <w:sz w:val="16"/>
          <w:szCs w:val="16"/>
        </w:rPr>
        <w:t xml:space="preserve"> Не 162). К концу августа 1945 г. полный комплект чертежей был передан на завод. В начале июля на заводе № 81 был постро ен макет самолета, и на нем параллельно с выпуском черте жей происходила взаимная увязка агрегатов (19586).</w:t>
      </w:r>
    </w:p>
    <w:p w14:paraId="1129EF71" w14:textId="77777777" w:rsidR="00715145" w:rsidRPr="00925F26" w:rsidRDefault="00715145" w:rsidP="00925F26">
      <w:pPr>
        <w:jc w:val="both"/>
        <w:rPr>
          <w:color w:val="000000" w:themeColor="text1"/>
          <w:sz w:val="16"/>
          <w:szCs w:val="16"/>
        </w:rPr>
      </w:pPr>
    </w:p>
    <w:p w14:paraId="0402C0ED" w14:textId="77777777" w:rsidR="00AD7C9A" w:rsidRPr="00925F26" w:rsidRDefault="00AD7C9A" w:rsidP="00AD7C9A">
      <w:pPr>
        <w:autoSpaceDE w:val="0"/>
        <w:autoSpaceDN w:val="0"/>
        <w:adjustRightInd w:val="0"/>
        <w:jc w:val="both"/>
        <w:rPr>
          <w:color w:val="000000" w:themeColor="text1"/>
          <w:sz w:val="16"/>
          <w:szCs w:val="16"/>
        </w:rPr>
      </w:pPr>
      <w:r w:rsidRPr="00925F26">
        <w:rPr>
          <w:color w:val="000000" w:themeColor="text1"/>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 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78AFF745" w14:textId="77777777" w:rsidR="00AD7C9A" w:rsidRPr="00925F26" w:rsidRDefault="00AD7C9A" w:rsidP="00AD7C9A">
      <w:pPr>
        <w:autoSpaceDE w:val="0"/>
        <w:autoSpaceDN w:val="0"/>
        <w:adjustRightInd w:val="0"/>
        <w:jc w:val="both"/>
        <w:rPr>
          <w:color w:val="000000" w:themeColor="text1"/>
          <w:sz w:val="16"/>
          <w:szCs w:val="16"/>
        </w:rPr>
      </w:pPr>
    </w:p>
    <w:p w14:paraId="3557A5E7" w14:textId="77777777" w:rsidR="00653E92" w:rsidRPr="001A0BAA" w:rsidRDefault="00653E92" w:rsidP="00653E92">
      <w:pPr>
        <w:jc w:val="both"/>
        <w:rPr>
          <w:color w:val="0070C0"/>
          <w:sz w:val="16"/>
          <w:szCs w:val="16"/>
        </w:rPr>
      </w:pPr>
      <w:r w:rsidRPr="001A0BAA">
        <w:rPr>
          <w:color w:val="0070C0"/>
          <w:sz w:val="16"/>
          <w:szCs w:val="16"/>
        </w:rPr>
        <w:t>В апреле 1945 г. предварительное проектирование самолета Ла-150 было закончено. В мае 1945 г. в ОКБ и на заводе № 81 при</w:t>
      </w:r>
      <w:r w:rsidRPr="001A0BAA">
        <w:rPr>
          <w:color w:val="0070C0"/>
          <w:sz w:val="16"/>
          <w:szCs w:val="16"/>
        </w:rPr>
        <w:softHyphen/>
        <w:t>ступили к изготовлению рабочих чертежей и макета самоле</w:t>
      </w:r>
      <w:r w:rsidRPr="001A0BAA">
        <w:rPr>
          <w:color w:val="0070C0"/>
          <w:sz w:val="16"/>
          <w:szCs w:val="16"/>
        </w:rPr>
        <w:softHyphen/>
        <w:t>та, а также моделей для продувок в трубах ЦАГИ [57].</w:t>
      </w:r>
    </w:p>
    <w:p w14:paraId="7E845D4A" w14:textId="77777777" w:rsidR="00653E92" w:rsidRPr="001A0BAA" w:rsidRDefault="00653E92" w:rsidP="00653E92">
      <w:pPr>
        <w:jc w:val="both"/>
        <w:rPr>
          <w:color w:val="0070C0"/>
          <w:sz w:val="16"/>
          <w:szCs w:val="16"/>
        </w:rPr>
      </w:pPr>
      <w:r w:rsidRPr="001A0BAA">
        <w:rPr>
          <w:color w:val="0070C0"/>
          <w:sz w:val="16"/>
          <w:szCs w:val="16"/>
        </w:rPr>
        <w:t>Завод № 81 был мал и не имел возможностей, чтобы спра</w:t>
      </w:r>
      <w:r w:rsidRPr="001A0BAA">
        <w:rPr>
          <w:color w:val="0070C0"/>
          <w:sz w:val="16"/>
          <w:szCs w:val="16"/>
        </w:rPr>
        <w:softHyphen/>
        <w:t>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 [57].</w:t>
      </w:r>
    </w:p>
    <w:p w14:paraId="36FBDFF0" w14:textId="77777777" w:rsidR="00653E92" w:rsidRPr="001A0BAA" w:rsidRDefault="00653E92" w:rsidP="00653E92">
      <w:pPr>
        <w:jc w:val="both"/>
        <w:rPr>
          <w:color w:val="0070C0"/>
          <w:sz w:val="16"/>
          <w:szCs w:val="16"/>
        </w:rPr>
      </w:pPr>
      <w:r w:rsidRPr="001A0BAA">
        <w:rPr>
          <w:color w:val="0070C0"/>
          <w:sz w:val="16"/>
          <w:szCs w:val="16"/>
        </w:rPr>
        <w:t>ОКБ С. А. Лавочкина должно было к 1 августа 1945 г. сдать все рабочие чертежи заводу № 381. Этот срок ОКБ выдержа</w:t>
      </w:r>
      <w:r w:rsidRPr="001A0BAA">
        <w:rPr>
          <w:color w:val="0070C0"/>
          <w:sz w:val="16"/>
          <w:szCs w:val="16"/>
        </w:rPr>
        <w:softHyphen/>
        <w:t xml:space="preserve">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w:t>
      </w:r>
      <w:proofErr w:type="gramStart"/>
      <w:r w:rsidRPr="001A0BAA">
        <w:rPr>
          <w:color w:val="0070C0"/>
          <w:sz w:val="16"/>
          <w:szCs w:val="16"/>
        </w:rPr>
        <w:t>самолета</w:t>
      </w:r>
      <w:proofErr w:type="gramEnd"/>
      <w:r w:rsidRPr="001A0BAA">
        <w:rPr>
          <w:color w:val="0070C0"/>
          <w:sz w:val="16"/>
          <w:szCs w:val="16"/>
        </w:rPr>
        <w:t xml:space="preserve"> Не- 162). К концу августа 1945 г. полный комплект чертежей был передан на завод. В начале июля на заводе № 81 был постро</w:t>
      </w:r>
      <w:r w:rsidRPr="001A0BAA">
        <w:rPr>
          <w:color w:val="0070C0"/>
          <w:sz w:val="16"/>
          <w:szCs w:val="16"/>
        </w:rPr>
        <w:softHyphen/>
        <w:t>ен макет самолета, и на нем параллельно с выпуском черте</w:t>
      </w:r>
      <w:r w:rsidRPr="001A0BAA">
        <w:rPr>
          <w:color w:val="0070C0"/>
          <w:sz w:val="16"/>
          <w:szCs w:val="16"/>
        </w:rPr>
        <w:softHyphen/>
        <w:t>жей происходила взаимная увязка агрегатов (24920).</w:t>
      </w:r>
    </w:p>
    <w:p w14:paraId="77CABDFF" w14:textId="77777777" w:rsidR="00653E92" w:rsidRPr="001A0BAA" w:rsidRDefault="00653E92" w:rsidP="00653E92">
      <w:pPr>
        <w:jc w:val="both"/>
        <w:rPr>
          <w:color w:val="0070C0"/>
          <w:sz w:val="16"/>
          <w:szCs w:val="16"/>
        </w:rPr>
      </w:pPr>
    </w:p>
    <w:p w14:paraId="37E7C83D" w14:textId="77777777" w:rsidR="00653E92" w:rsidRPr="001A0BAA" w:rsidRDefault="00653E92" w:rsidP="00653E92">
      <w:pPr>
        <w:jc w:val="both"/>
        <w:rPr>
          <w:color w:val="0070C0"/>
          <w:sz w:val="16"/>
          <w:szCs w:val="16"/>
        </w:rPr>
      </w:pPr>
      <w:r w:rsidRPr="001A0BAA">
        <w:rPr>
          <w:color w:val="0070C0"/>
          <w:sz w:val="16"/>
          <w:szCs w:val="16"/>
        </w:rPr>
        <w:t>В апреле 1945 г. в ОКБ С.А. Лавочкина был выпущен про</w:t>
      </w:r>
      <w:r w:rsidRPr="001A0BAA">
        <w:rPr>
          <w:color w:val="0070C0"/>
          <w:sz w:val="16"/>
          <w:szCs w:val="16"/>
        </w:rPr>
        <w:softHyphen/>
        <w:t>ект тяжелого двухдвигательного реактивного истребителя «160» (одновременно с проектом самолета «150») под два ТРД Jumo-004.</w:t>
      </w:r>
    </w:p>
    <w:p w14:paraId="51F99584" w14:textId="77777777" w:rsidR="00653E92" w:rsidRPr="001A0BAA" w:rsidRDefault="00653E92" w:rsidP="00653E92">
      <w:pPr>
        <w:jc w:val="both"/>
        <w:rPr>
          <w:color w:val="0070C0"/>
          <w:sz w:val="16"/>
          <w:szCs w:val="16"/>
        </w:rPr>
      </w:pPr>
      <w:r w:rsidRPr="001A0BAA">
        <w:rPr>
          <w:color w:val="0070C0"/>
          <w:sz w:val="16"/>
          <w:szCs w:val="16"/>
        </w:rPr>
        <w:t>Причин такого подхода были две. Первая лежала в облас</w:t>
      </w:r>
      <w:r w:rsidRPr="001A0BAA">
        <w:rPr>
          <w:color w:val="0070C0"/>
          <w:sz w:val="16"/>
          <w:szCs w:val="16"/>
        </w:rPr>
        <w:softHyphen/>
        <w:t>ти техники: тяга одного Jurao и, тем более, BMW была недо</w:t>
      </w:r>
      <w:r w:rsidRPr="001A0BAA">
        <w:rPr>
          <w:color w:val="0070C0"/>
          <w:sz w:val="16"/>
          <w:szCs w:val="16"/>
        </w:rPr>
        <w:softHyphen/>
        <w:t>статочной для создания полноценного однодвигательного ис</w:t>
      </w:r>
      <w:r w:rsidRPr="001A0BAA">
        <w:rPr>
          <w:color w:val="0070C0"/>
          <w:sz w:val="16"/>
          <w:szCs w:val="16"/>
        </w:rPr>
        <w:softHyphen/>
        <w:t>требителя с летными данными, сравнимыми (кроме, конечно, максимальной скорости) с данными тогдашних поршневых истребителей. Чтобы обеспечить приемлемые взлетно-посадоч</w:t>
      </w:r>
      <w:r w:rsidRPr="001A0BAA">
        <w:rPr>
          <w:color w:val="0070C0"/>
          <w:sz w:val="16"/>
          <w:szCs w:val="16"/>
        </w:rPr>
        <w:softHyphen/>
        <w:t>ные характеристики, маневренность и скороподъемность, при</w:t>
      </w:r>
      <w:r w:rsidRPr="001A0BAA">
        <w:rPr>
          <w:color w:val="0070C0"/>
          <w:sz w:val="16"/>
          <w:szCs w:val="16"/>
        </w:rPr>
        <w:softHyphen/>
        <w:t>ходилось максимально ограничивать количество горючего и вооружение, что снижало боевые качества самолета. Не слу</w:t>
      </w:r>
      <w:r w:rsidRPr="001A0BAA">
        <w:rPr>
          <w:color w:val="0070C0"/>
          <w:sz w:val="16"/>
          <w:szCs w:val="16"/>
        </w:rPr>
        <w:softHyphen/>
        <w:t>чайно в Германии и Великобритании первыми серийными ре</w:t>
      </w:r>
      <w:r w:rsidRPr="001A0BAA">
        <w:rPr>
          <w:color w:val="0070C0"/>
          <w:sz w:val="16"/>
          <w:szCs w:val="16"/>
        </w:rPr>
        <w:softHyphen/>
        <w:t>активными самолетами стали именно двухдвигательные «Мес</w:t>
      </w:r>
      <w:r w:rsidRPr="001A0BAA">
        <w:rPr>
          <w:color w:val="0070C0"/>
          <w:sz w:val="16"/>
          <w:szCs w:val="16"/>
        </w:rPr>
        <w:softHyphen/>
        <w:t>сершмитт-262» и Глостер «Метеор». В отличие от заграницы в СССР сложилась концепция «массового легкого маневрен</w:t>
      </w:r>
      <w:r w:rsidRPr="001A0BAA">
        <w:rPr>
          <w:color w:val="0070C0"/>
          <w:sz w:val="16"/>
          <w:szCs w:val="16"/>
        </w:rPr>
        <w:softHyphen/>
        <w:t>ного истребителя», предназначенного в первую очередь для воз</w:t>
      </w:r>
      <w:r w:rsidRPr="001A0BAA">
        <w:rPr>
          <w:color w:val="0070C0"/>
          <w:sz w:val="16"/>
          <w:szCs w:val="16"/>
        </w:rPr>
        <w:softHyphen/>
        <w:t>душного боя и завоевания превосходства в воздухе. Задачи, решаемые немецким Ме-262 — перехват тяжелых бомбарди</w:t>
      </w:r>
      <w:r w:rsidRPr="001A0BAA">
        <w:rPr>
          <w:color w:val="0070C0"/>
          <w:sz w:val="16"/>
          <w:szCs w:val="16"/>
        </w:rPr>
        <w:softHyphen/>
        <w:t>ровщиков и нанесение бомбоштурмовых ударов, были нашим истребителям в значительной мере несвойственны, особенно в конце войны. Естественно, что С.А. Лавочкин считал, что эту линию необходимо продолжать при создании реактивных ис</w:t>
      </w:r>
      <w:r w:rsidRPr="001A0BAA">
        <w:rPr>
          <w:color w:val="0070C0"/>
          <w:sz w:val="16"/>
          <w:szCs w:val="16"/>
        </w:rPr>
        <w:softHyphen/>
        <w:t>требителей [57].</w:t>
      </w:r>
    </w:p>
    <w:p w14:paraId="6EE9BC1F" w14:textId="77777777" w:rsidR="00653E92" w:rsidRPr="001A0BAA" w:rsidRDefault="00653E92" w:rsidP="00653E92">
      <w:pPr>
        <w:jc w:val="both"/>
        <w:rPr>
          <w:color w:val="0070C0"/>
          <w:sz w:val="16"/>
          <w:szCs w:val="16"/>
        </w:rPr>
      </w:pPr>
      <w:r w:rsidRPr="001A0BAA">
        <w:rPr>
          <w:color w:val="0070C0"/>
          <w:sz w:val="16"/>
          <w:szCs w:val="16"/>
        </w:rPr>
        <w:t>Однако в ОКБ вырос и теперь претендовал на выработку собственных решений такой способный конструктор и руково</w:t>
      </w:r>
      <w:r w:rsidRPr="001A0BAA">
        <w:rPr>
          <w:color w:val="0070C0"/>
          <w:sz w:val="16"/>
          <w:szCs w:val="16"/>
        </w:rPr>
        <w:softHyphen/>
        <w:t>дитель, как СМ. Алексеев, приложивший руку к проектиро</w:t>
      </w:r>
      <w:r w:rsidRPr="001A0BAA">
        <w:rPr>
          <w:color w:val="0070C0"/>
          <w:sz w:val="16"/>
          <w:szCs w:val="16"/>
        </w:rPr>
        <w:softHyphen/>
        <w:t>ванию Ла-ВРД. Теперь именно благодаря его влиянию (это вторая причина) наряду с легким истребителем «150» был спро</w:t>
      </w:r>
      <w:r w:rsidRPr="001A0BAA">
        <w:rPr>
          <w:color w:val="0070C0"/>
          <w:sz w:val="16"/>
          <w:szCs w:val="16"/>
        </w:rPr>
        <w:softHyphen/>
        <w:t>ектирован более тяжелый самолет «160» с более мощным воо</w:t>
      </w:r>
      <w:r w:rsidRPr="001A0BAA">
        <w:rPr>
          <w:color w:val="0070C0"/>
          <w:sz w:val="16"/>
          <w:szCs w:val="16"/>
        </w:rPr>
        <w:softHyphen/>
        <w:t>ружением и большим запасом горючего [57] (24920).</w:t>
      </w:r>
    </w:p>
    <w:p w14:paraId="17E2E2EE" w14:textId="77777777" w:rsidR="00653E92" w:rsidRPr="001A0BAA" w:rsidRDefault="00653E92" w:rsidP="00653E92">
      <w:pPr>
        <w:jc w:val="both"/>
        <w:rPr>
          <w:color w:val="0070C0"/>
          <w:sz w:val="16"/>
          <w:szCs w:val="16"/>
        </w:rPr>
      </w:pPr>
    </w:p>
    <w:p w14:paraId="10D3815E"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апреле 1945 г. в ОКБ С.А. Лавочкина был выпущен про ект тяжелого двухдвигательного реактивного истребителя «160» (одновременно с проектом самолета «150») под два ТРД Jumo-004.</w:t>
      </w:r>
    </w:p>
    <w:p w14:paraId="1D16B949"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Причин такого подхода были две. Первая лежала в облас ти техники: тяга одного Jurao и, тем более, BMW была недо статочной для создания полноценного однодвигательного ис требителя с летными данными, сравнимыми (кроме, конечно, максимальной скорости) с данными тогдашних поршневых истребителей. Чтобы обеспечить приемлемые взлетно-</w:t>
      </w:r>
      <w:proofErr w:type="gramStart"/>
      <w:r w:rsidRPr="00925F26">
        <w:rPr>
          <w:color w:val="000000" w:themeColor="text1"/>
          <w:sz w:val="16"/>
          <w:szCs w:val="16"/>
        </w:rPr>
        <w:t>посадоч ные</w:t>
      </w:r>
      <w:proofErr w:type="gramEnd"/>
      <w:r w:rsidRPr="00925F26">
        <w:rPr>
          <w:color w:val="000000" w:themeColor="text1"/>
          <w:sz w:val="16"/>
          <w:szCs w:val="16"/>
        </w:rPr>
        <w:t xml:space="preserve"> характеристики, маневренность и скороподъемность, при ходилось максимально ограничивать количество горючего и вооружение, что снижало боевые качества самолета. Не слу чайно в Германии и Великобритании первыми серийными ре активными самолетами стали именно двухдвигательные «Мес сершмитт-262» и Глостер «Метеор». В отличие от заграницы в СССР сложилась концепция «массового легкого </w:t>
      </w:r>
      <w:proofErr w:type="gramStart"/>
      <w:r w:rsidRPr="00925F26">
        <w:rPr>
          <w:color w:val="000000" w:themeColor="text1"/>
          <w:sz w:val="16"/>
          <w:szCs w:val="16"/>
        </w:rPr>
        <w:t>маневрен ного</w:t>
      </w:r>
      <w:proofErr w:type="gramEnd"/>
      <w:r w:rsidRPr="00925F26">
        <w:rPr>
          <w:color w:val="000000" w:themeColor="text1"/>
          <w:sz w:val="16"/>
          <w:szCs w:val="16"/>
        </w:rPr>
        <w:t xml:space="preserve"> истребителя», предназначенного в первую очередь для воз душного боя и завоевания превосходства в воздухе. Задачи, решаемые немецким Ме-262 — перехват тяжелых бомбарди ровщиков и нанесение бомбоштурмовых ударов, были нашим истребителям в значительной мере несвойственны, особенно в конце войны. Естественно, что С.А. Лавочкин считал, что эту линию необходимо продолжать при создании реактивных ис требителей.</w:t>
      </w:r>
    </w:p>
    <w:p w14:paraId="0BCED999"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Однако в ОКБ вырос и теперь претендовал на выработку собственных решений такой способный конструктор и руково дитель, как СМ. Алексеев, приложивший руку к проектиро ванию Ла-ВРД. Теперь именно благодаря его влиянию (это вторая причина) наряду с легким истребителем «150» был спро ектирован более тяжелый самолет «160» с более мощным воо ружением и большим запасом горючего.</w:t>
      </w:r>
    </w:p>
    <w:p w14:paraId="197E7F47"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Вооружение состояло из трех пушек НС-23 с боезапасом по 80 патронов к каждой в носовой части фюзеляжа на общем лафете;</w:t>
      </w:r>
    </w:p>
    <w:p w14:paraId="24E57F37"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бронирование, исходя из основного назначения само лета — борьба с тяжелыми бомбардировщиками, — только спе реди;</w:t>
      </w:r>
    </w:p>
    <w:p w14:paraId="134E3235"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кабина рассчитана на полную герметизацию. Несмотря на то, что самолет «160» по компоновке и своим функциям аналогичен немецкому Ме-262 и английскому «Метеору» и мог считаться «тяжелым» истребителем, его проектный полетный вес был намного меньше: 4020 кг вместо 6500...7000 кг у пос ледних, в основном из-за меньшего запаса горючего. Правда, во время войны у нас сильно занижали предполагаемые по летные массы иностранных самолетов. Так, например, счита лось, что полетная масса Ме-262 составляет всего около 4500 кг.</w:t>
      </w:r>
    </w:p>
    <w:p w14:paraId="39E8CAD6"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Самолет «160», спроектированный для тех же задач, что и Ме-262, имел значительно меньшую расчетную полетную массу.</w:t>
      </w:r>
    </w:p>
    <w:p w14:paraId="32BA3455" w14:textId="77777777" w:rsidR="00715145" w:rsidRPr="00925F26" w:rsidRDefault="00715145"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Сил у ОКБ и производства явно не хватало для </w:t>
      </w:r>
      <w:proofErr w:type="gramStart"/>
      <w:r w:rsidRPr="00925F26">
        <w:rPr>
          <w:color w:val="000000" w:themeColor="text1"/>
          <w:sz w:val="16"/>
          <w:szCs w:val="16"/>
        </w:rPr>
        <w:t>параллель ной</w:t>
      </w:r>
      <w:proofErr w:type="gramEnd"/>
      <w:r w:rsidRPr="00925F26">
        <w:rPr>
          <w:color w:val="000000" w:themeColor="text1"/>
          <w:sz w:val="16"/>
          <w:szCs w:val="16"/>
        </w:rPr>
        <w:t xml:space="preserve"> работы над двумя реактивными самолетами. А так как создание легкого маневренного истребителя для воздушного боя считалось первоочередной задачей, проект «160» был от ложен. В 1946 г. С.А. Лавочкин благословил своего замести-, теля СМ. Алексеева на самостоятельную работу. Став главным конструктором ОКБ-21 в Горьком, тот направил усилия в первую очередь на разработку двухдвигательных истребителей (19586).</w:t>
      </w:r>
    </w:p>
    <w:p w14:paraId="2C766A63" w14:textId="77777777" w:rsidR="00715145" w:rsidRPr="00925F26" w:rsidRDefault="00715145" w:rsidP="00925F26">
      <w:pPr>
        <w:pStyle w:val="ae"/>
        <w:shd w:val="clear" w:color="auto" w:fill="FFFFFF"/>
        <w:spacing w:before="0" w:after="0"/>
        <w:jc w:val="both"/>
        <w:rPr>
          <w:color w:val="000000" w:themeColor="text1"/>
          <w:sz w:val="16"/>
          <w:szCs w:val="16"/>
        </w:rPr>
      </w:pPr>
    </w:p>
    <w:p w14:paraId="55DC12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в НИИ ВВС или ЛИИ испытывали Спитфайр LF-IX с Р-Р Мерлин-66 (173,245).</w:t>
      </w:r>
    </w:p>
    <w:p w14:paraId="76C6932D" w14:textId="77777777" w:rsidR="00665165" w:rsidRPr="00925F26" w:rsidRDefault="00665165" w:rsidP="00925F26">
      <w:pPr>
        <w:autoSpaceDE w:val="0"/>
        <w:autoSpaceDN w:val="0"/>
        <w:adjustRightInd w:val="0"/>
        <w:jc w:val="both"/>
        <w:rPr>
          <w:color w:val="000000" w:themeColor="text1"/>
          <w:sz w:val="16"/>
          <w:szCs w:val="16"/>
        </w:rPr>
      </w:pPr>
    </w:p>
    <w:p w14:paraId="596E71C9" w14:textId="77777777" w:rsidR="00A93DDD" w:rsidRPr="00925F26" w:rsidRDefault="00A93DDD" w:rsidP="00925F26">
      <w:pPr>
        <w:jc w:val="both"/>
        <w:rPr>
          <w:color w:val="000000" w:themeColor="text1"/>
          <w:sz w:val="16"/>
          <w:szCs w:val="16"/>
        </w:rPr>
      </w:pPr>
      <w:r w:rsidRPr="00925F26">
        <w:rPr>
          <w:color w:val="000000" w:themeColor="text1"/>
          <w:sz w:val="16"/>
          <w:szCs w:val="16"/>
        </w:rPr>
        <w:t xml:space="preserve">В апреле 1945 г. во исполнение постановления Государственного Комитета Обороны (ГОКО) №5945сс от 22 мая 1944 г. по опытным двигателям экспериментальный турбовинтовой двигатель Э-3080 (встречаются написания Э3080, Э-30-80), работа над которым велась с 1943 года в Отделе №8 ЦИАМ, был передан на стендовые </w:t>
      </w:r>
      <w:r w:rsidRPr="00925F26">
        <w:rPr>
          <w:color w:val="000000" w:themeColor="text1"/>
          <w:sz w:val="16"/>
          <w:szCs w:val="16"/>
        </w:rPr>
        <w:lastRenderedPageBreak/>
        <w:t>испытания. Судя по всему, именно он фигурирует в документе, направленном в НКАП из ЦИАМ в июле 1945 г. (приложение к исх. № 1037с ЦИАМ, дата не указана) и озаглавленном: Справка по винтовому газотурбинному двигателю ЦИАМ конструкции профессора Уварова (обозначение не упоминается).</w:t>
      </w:r>
    </w:p>
    <w:p w14:paraId="7D1022DA" w14:textId="77777777" w:rsidR="00A93DDD" w:rsidRPr="00925F26" w:rsidRDefault="00A93DDD" w:rsidP="00925F26">
      <w:pPr>
        <w:jc w:val="both"/>
        <w:rPr>
          <w:color w:val="000000" w:themeColor="text1"/>
          <w:sz w:val="16"/>
          <w:szCs w:val="16"/>
        </w:rPr>
      </w:pPr>
      <w:r w:rsidRPr="00925F26">
        <w:rPr>
          <w:color w:val="000000" w:themeColor="text1"/>
          <w:sz w:val="16"/>
          <w:szCs w:val="16"/>
        </w:rPr>
        <w:t>Согласно этому документу, указанный газотурбинный двигатель имел 3-х ступенчатый центробежный компрессор и трёхступенчатую турбину. Передача на винт пневмати</w:t>
      </w:r>
      <w:r w:rsidRPr="00925F26">
        <w:rPr>
          <w:color w:val="000000" w:themeColor="text1"/>
          <w:sz w:val="16"/>
          <w:szCs w:val="16"/>
        </w:rPr>
        <w:softHyphen/>
        <w:t>ческая, «что позволяет использовать все преимущества ВИШ и редуктора с переменным передаточным числом, а также обеспечивает хорошую приёмистость».</w:t>
      </w:r>
    </w:p>
    <w:p w14:paraId="6F16088B" w14:textId="77777777" w:rsidR="00A93DDD" w:rsidRPr="00925F26" w:rsidRDefault="00A93DDD" w:rsidP="00925F26">
      <w:pPr>
        <w:jc w:val="both"/>
        <w:rPr>
          <w:color w:val="000000" w:themeColor="text1"/>
          <w:sz w:val="16"/>
          <w:szCs w:val="16"/>
        </w:rPr>
      </w:pPr>
      <w:r w:rsidRPr="00925F26">
        <w:rPr>
          <w:color w:val="000000" w:themeColor="text1"/>
          <w:sz w:val="16"/>
          <w:szCs w:val="16"/>
        </w:rPr>
        <w:t>Двигатель весом 550 кг имел диаметр 580 мм и длину 2100 мм. Он позволял получить на максимальной скорости у земли тягу 340 кг. Взлётная тяга - 980 кг. Удельный расход топлива на максимальной скорости был равен 1,1 кг топлива в час на кг тяги. (Дописано от руки: мощность на скорости 800 км/ч - 1400 л.с.)</w:t>
      </w:r>
    </w:p>
    <w:p w14:paraId="3B52A65F" w14:textId="77777777" w:rsidR="00A93DDD" w:rsidRPr="00925F26" w:rsidRDefault="00A93DDD" w:rsidP="00925F26">
      <w:pPr>
        <w:jc w:val="both"/>
        <w:rPr>
          <w:color w:val="000000" w:themeColor="text1"/>
          <w:sz w:val="16"/>
          <w:szCs w:val="16"/>
        </w:rPr>
      </w:pPr>
      <w:r w:rsidRPr="00925F26">
        <w:rPr>
          <w:color w:val="000000" w:themeColor="text1"/>
          <w:sz w:val="16"/>
          <w:szCs w:val="16"/>
        </w:rPr>
        <w:t>Двигатель имел водяное охлаждение лопаток турбин, «благодаря чему температуры в камере сгорания могут быть доведены до 1300...13500 Ц (двигатели Юмо-004 и БМВ-003 работают с температурой в камере сгорания порядка 800-850°Ц»). Это, как отмечается в документе, обеспечивало двигателю малые габариты и низкие удельные расходы топлива.</w:t>
      </w:r>
    </w:p>
    <w:p w14:paraId="6CC55750" w14:textId="77777777" w:rsidR="00A93DDD" w:rsidRPr="00925F26" w:rsidRDefault="00A93DDD" w:rsidP="00925F26">
      <w:pPr>
        <w:jc w:val="both"/>
        <w:rPr>
          <w:color w:val="000000" w:themeColor="text1"/>
          <w:sz w:val="16"/>
          <w:szCs w:val="16"/>
        </w:rPr>
      </w:pPr>
      <w:r w:rsidRPr="00925F26">
        <w:rPr>
          <w:color w:val="000000" w:themeColor="text1"/>
          <w:sz w:val="16"/>
          <w:szCs w:val="16"/>
        </w:rPr>
        <w:t>Документ заканчивался констатацией: «В настоящее время проходят предварительные его [двигателя] испытания. Одновременно с этим главным конструктором Горбуновым производятся проектно-изыскательные работы по самолёту с этим двигателем».</w:t>
      </w:r>
    </w:p>
    <w:p w14:paraId="69B378DE" w14:textId="77777777" w:rsidR="00A93DDD" w:rsidRPr="00925F26" w:rsidRDefault="00A93DDD" w:rsidP="00925F26">
      <w:pPr>
        <w:jc w:val="both"/>
        <w:rPr>
          <w:color w:val="000000" w:themeColor="text1"/>
          <w:sz w:val="16"/>
          <w:szCs w:val="16"/>
        </w:rPr>
      </w:pPr>
      <w:r w:rsidRPr="00925F26">
        <w:rPr>
          <w:color w:val="000000" w:themeColor="text1"/>
          <w:sz w:val="16"/>
          <w:szCs w:val="16"/>
        </w:rPr>
        <w:t>Согласно другим источникам двигатель Э-3080 имел расчётную взлётную мощность 1000 л.с. на номинальном режиме при температуре 1500° К. и расчётную мощность 1400 л.с. при температуре 1700° К. На испытаниях в 1947 году была достигнута температура газа выше расчётной (1500-1600° С), причём система охлаждения ротора обеспечивала надёжную работу лопаток.</w:t>
      </w:r>
    </w:p>
    <w:p w14:paraId="2530D091" w14:textId="77777777" w:rsidR="00A93DDD" w:rsidRPr="00925F26" w:rsidRDefault="00A93DDD" w:rsidP="00925F26">
      <w:pPr>
        <w:jc w:val="both"/>
        <w:rPr>
          <w:color w:val="000000" w:themeColor="text1"/>
          <w:sz w:val="16"/>
          <w:szCs w:val="16"/>
        </w:rPr>
      </w:pPr>
      <w:r w:rsidRPr="00925F26">
        <w:rPr>
          <w:color w:val="000000" w:themeColor="text1"/>
          <w:sz w:val="16"/>
          <w:szCs w:val="16"/>
        </w:rPr>
        <w:t xml:space="preserve">В одном из источников указывается, что «главное отличие Э-30-80 от ГТУ-3 состояло в двухступенчатой газовой турбине и прямоточной кольцевой камере сгорания. Он был миниатюрнее и имел общий силовой корпус. Охлаждение лопаток газовой турбины было такое же, как у ГТУ-3 (т.е. пароводяное - С.К.). В 1945 году первый опытный экземпляр Э-3080 был закончен постройкой </w:t>
      </w:r>
      <w:proofErr w:type="gramStart"/>
      <w:r w:rsidRPr="00925F26">
        <w:rPr>
          <w:color w:val="000000" w:themeColor="text1"/>
          <w:sz w:val="16"/>
          <w:szCs w:val="16"/>
        </w:rPr>
        <w:t>- это</w:t>
      </w:r>
      <w:proofErr w:type="gramEnd"/>
      <w:r w:rsidRPr="00925F26">
        <w:rPr>
          <w:color w:val="000000" w:themeColor="text1"/>
          <w:sz w:val="16"/>
          <w:szCs w:val="16"/>
        </w:rPr>
        <w:t xml:space="preserve"> был первый отечественный авиаци</w:t>
      </w:r>
      <w:r w:rsidRPr="00925F26">
        <w:rPr>
          <w:color w:val="000000" w:themeColor="text1"/>
          <w:sz w:val="16"/>
          <w:szCs w:val="16"/>
        </w:rPr>
        <w:softHyphen/>
        <w:t>онный ТВД» [3] (подразумевается - первый для практи</w:t>
      </w:r>
      <w:r w:rsidRPr="00925F26">
        <w:rPr>
          <w:color w:val="000000" w:themeColor="text1"/>
          <w:sz w:val="16"/>
          <w:szCs w:val="16"/>
        </w:rPr>
        <w:softHyphen/>
        <w:t>ческого применения - прим. автора.)</w:t>
      </w:r>
    </w:p>
    <w:p w14:paraId="5CBDFE13" w14:textId="77777777" w:rsidR="00A93DDD" w:rsidRPr="00925F26" w:rsidRDefault="00A93DDD" w:rsidP="00925F26">
      <w:pPr>
        <w:jc w:val="both"/>
        <w:rPr>
          <w:color w:val="000000" w:themeColor="text1"/>
          <w:sz w:val="16"/>
          <w:szCs w:val="16"/>
        </w:rPr>
      </w:pPr>
      <w:r w:rsidRPr="00925F26">
        <w:rPr>
          <w:color w:val="000000" w:themeColor="text1"/>
          <w:sz w:val="16"/>
          <w:szCs w:val="16"/>
        </w:rPr>
        <w:t>В 1947 г. работы по двигателю перевели на моторный завод № 41, выпускавший поршневые двигатели М-11, а В.В.Уварова назначили главным конструктором завода. На заводе было создано несколько модифи</w:t>
      </w:r>
      <w:r w:rsidRPr="00925F26">
        <w:rPr>
          <w:color w:val="000000" w:themeColor="text1"/>
          <w:sz w:val="16"/>
          <w:szCs w:val="16"/>
        </w:rPr>
        <w:softHyphen/>
        <w:t>каций (Э-30-80-2с, Э-30-80А, Э-30-80М). Двигатель прошёл 25-часовые стендовые испытания, в том числе с воздушным винтом. В ходе работ над Э-30-80 было установлено, что пароводяное охлаждение полностью обеспечивает охлаждение лопаток, длительно работающих при температуре до 1370° К.</w:t>
      </w:r>
    </w:p>
    <w:p w14:paraId="7FC90FF7" w14:textId="77777777" w:rsidR="00A93DDD" w:rsidRPr="00925F26" w:rsidRDefault="00A93DDD" w:rsidP="00925F26">
      <w:pPr>
        <w:jc w:val="both"/>
        <w:rPr>
          <w:color w:val="000000" w:themeColor="text1"/>
          <w:sz w:val="16"/>
          <w:szCs w:val="16"/>
        </w:rPr>
      </w:pPr>
      <w:r w:rsidRPr="00925F26">
        <w:rPr>
          <w:color w:val="000000" w:themeColor="text1"/>
          <w:sz w:val="16"/>
          <w:szCs w:val="16"/>
        </w:rPr>
        <w:t>Упомянутые 25-часовые испытания проходили в самый канун нового 1948 года; их объектом был двигатель Э-3080А. Фактически это были испытания для госприёмки. Четырёхлопастный винт для этих испытаний специально спроектировали и изготовили в ОКБ С.Ш.Бас- Дубова. Программа испытаний была успешно выполнена с небольшими отступлениями по расходу охлаждающей воды в системе паровоздушного охлаждения турбины (24181).</w:t>
      </w:r>
    </w:p>
    <w:p w14:paraId="5F767A9A" w14:textId="77777777" w:rsidR="00A93DDD" w:rsidRPr="00925F26" w:rsidRDefault="00A93DDD" w:rsidP="00925F26">
      <w:pPr>
        <w:jc w:val="both"/>
        <w:rPr>
          <w:color w:val="000000" w:themeColor="text1"/>
          <w:sz w:val="16"/>
          <w:szCs w:val="16"/>
        </w:rPr>
      </w:pPr>
    </w:p>
    <w:p w14:paraId="032B77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по просьбе А.Н. Туполева два дизеля АЧ-30БФ отправились в ОКБ-156: они предназначались для самолета "67", начало летных испытаний которого планировалось на конец мая (8984).</w:t>
      </w:r>
    </w:p>
    <w:p w14:paraId="3593B653" w14:textId="77777777" w:rsidR="00665165" w:rsidRPr="00925F26" w:rsidRDefault="00665165" w:rsidP="00925F26">
      <w:pPr>
        <w:autoSpaceDE w:val="0"/>
        <w:autoSpaceDN w:val="0"/>
        <w:adjustRightInd w:val="0"/>
        <w:jc w:val="both"/>
        <w:rPr>
          <w:color w:val="000000" w:themeColor="text1"/>
          <w:sz w:val="16"/>
          <w:szCs w:val="16"/>
        </w:rPr>
      </w:pPr>
    </w:p>
    <w:p w14:paraId="7EC665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апреля 1945 г. на АЧ-30Б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1C3747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FD05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завод 22 собрал опытный высотный бомбардировщик "ВБ" с гермокабиной, рассчитанный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Но в связи с отсутствием двигателей ВК-109, которые, в соответствии с приказом НКАП № 358 от 27 мая 1944 г., должны были поставить ОКБ 1 января 1945 г., установили менее мощные ВК-108. Казалось, что эта замена все же позволит, хотя и не в полном объеме, определить летные характеристики машины, испытать высотное оборудование и гермокабину. Но и на этом пути встретилось препятствие - задержалась поставка в ОКБ-482 с завода № 26 кабинных нагнетателей. В итоге наземные заводские испытания начались лишь в декабре 1945 г. (3337).</w:t>
      </w:r>
    </w:p>
    <w:p w14:paraId="47DEB973" w14:textId="77777777" w:rsidR="00665165" w:rsidRPr="00925F26" w:rsidRDefault="00665165" w:rsidP="00925F26">
      <w:pPr>
        <w:autoSpaceDE w:val="0"/>
        <w:autoSpaceDN w:val="0"/>
        <w:adjustRightInd w:val="0"/>
        <w:jc w:val="both"/>
        <w:rPr>
          <w:color w:val="000000" w:themeColor="text1"/>
          <w:sz w:val="16"/>
          <w:szCs w:val="16"/>
        </w:rPr>
      </w:pPr>
    </w:p>
    <w:p w14:paraId="467D54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испытывался Пе-8 (ТБ-7) для спецрейсов в салоне на 12 чел., но так и не использовался толком (4,163).</w:t>
      </w:r>
    </w:p>
    <w:p w14:paraId="51258F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29083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ВВС гма А.А.Новиков утвердил 5 июня 1945</w:t>
      </w:r>
    </w:p>
    <w:p w14:paraId="3B171B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009487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5D1116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73A246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33729D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4F1216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408C4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5F6DC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12B98E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73973C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0BEF8B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7FD485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1708F9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4E627E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338C00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1CF99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2E5BB8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FB066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7D59E5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7CB594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5D0D8A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6B8AE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4A26F1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530D54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16FF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7F9B9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0FD5D8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19DC0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28DADC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6F3DE7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Шиманову</w:t>
      </w:r>
    </w:p>
    <w:p w14:paraId="34E88B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584141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5A7DB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24D815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10B123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76A73D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08F885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4121AE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плохая работа РПД (не обеспечивается поддержка наддува). Заменено 6 РПД по различным причинам</w:t>
      </w:r>
    </w:p>
    <w:p w14:paraId="44373E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165BEC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5F8AD1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6B8FCC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06A38A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AFBD3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39E33C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5D8E17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2F2240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5015C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41C1EFC0" w14:textId="77777777">
        <w:tc>
          <w:tcPr>
            <w:tcW w:w="4219" w:type="dxa"/>
            <w:tcBorders>
              <w:top w:val="single" w:sz="12" w:space="0" w:color="auto"/>
            </w:tcBorders>
          </w:tcPr>
          <w:p w14:paraId="6ED9BD35" w14:textId="77777777" w:rsidR="00665165" w:rsidRPr="00925F26" w:rsidRDefault="00665165"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323C99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59E18D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3CFFF0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5D9652F3" w14:textId="77777777">
        <w:tc>
          <w:tcPr>
            <w:tcW w:w="4219" w:type="dxa"/>
          </w:tcPr>
          <w:p w14:paraId="481761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440D19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459CEF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308AF2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462C1950" w14:textId="77777777">
        <w:tc>
          <w:tcPr>
            <w:tcW w:w="4219" w:type="dxa"/>
          </w:tcPr>
          <w:p w14:paraId="6AF92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726E06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01F231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43524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1C887E6F" w14:textId="77777777">
        <w:tc>
          <w:tcPr>
            <w:tcW w:w="4219" w:type="dxa"/>
          </w:tcPr>
          <w:p w14:paraId="24D3E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70363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6B1A4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6AA6D0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3A018807" w14:textId="77777777">
        <w:tc>
          <w:tcPr>
            <w:tcW w:w="4219" w:type="dxa"/>
          </w:tcPr>
          <w:p w14:paraId="3B671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7CFE80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4A9526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56E21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1C9718AD" w14:textId="77777777">
        <w:tc>
          <w:tcPr>
            <w:tcW w:w="4219" w:type="dxa"/>
          </w:tcPr>
          <w:p w14:paraId="67CC58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255D8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0FFC3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59EE0D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49050A5F" w14:textId="77777777">
        <w:tc>
          <w:tcPr>
            <w:tcW w:w="4219" w:type="dxa"/>
          </w:tcPr>
          <w:p w14:paraId="6B9A77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1FE9E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6AD8A9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14EC51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26A20230" w14:textId="77777777">
        <w:tc>
          <w:tcPr>
            <w:tcW w:w="4219" w:type="dxa"/>
          </w:tcPr>
          <w:p w14:paraId="616BB9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7CC2C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56E299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4E2619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17DAF5A8" w14:textId="77777777">
        <w:tc>
          <w:tcPr>
            <w:tcW w:w="4219" w:type="dxa"/>
          </w:tcPr>
          <w:p w14:paraId="303AAF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566D6B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3ED3E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6284B3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3F422E8D" w14:textId="77777777">
        <w:tc>
          <w:tcPr>
            <w:tcW w:w="4219" w:type="dxa"/>
          </w:tcPr>
          <w:p w14:paraId="460EF0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463B4F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6C6161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6EE76C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036778E4" w14:textId="77777777">
        <w:tc>
          <w:tcPr>
            <w:tcW w:w="4219" w:type="dxa"/>
          </w:tcPr>
          <w:p w14:paraId="6900A6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58F1D7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50DFFE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3C2F73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60EBAC27" w14:textId="77777777">
        <w:tc>
          <w:tcPr>
            <w:tcW w:w="4219" w:type="dxa"/>
          </w:tcPr>
          <w:p w14:paraId="339578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083BBC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76B204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267491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227DD575" w14:textId="77777777">
        <w:tc>
          <w:tcPr>
            <w:tcW w:w="4219" w:type="dxa"/>
          </w:tcPr>
          <w:p w14:paraId="4C3837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23B124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5DC7D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5720DA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30C6D314" w14:textId="77777777">
        <w:tc>
          <w:tcPr>
            <w:tcW w:w="4219" w:type="dxa"/>
          </w:tcPr>
          <w:p w14:paraId="5072B0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5ADCF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6A660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663F98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3D1F7CF1" w14:textId="77777777">
        <w:tc>
          <w:tcPr>
            <w:tcW w:w="4219" w:type="dxa"/>
          </w:tcPr>
          <w:p w14:paraId="569C85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4DB774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11F56F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0FBC12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6EFA7F8E" w14:textId="77777777">
        <w:tc>
          <w:tcPr>
            <w:tcW w:w="4219" w:type="dxa"/>
          </w:tcPr>
          <w:p w14:paraId="7C08F0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7DF9C5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7227FA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02B4D9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340AFD44" w14:textId="77777777">
        <w:tc>
          <w:tcPr>
            <w:tcW w:w="4219" w:type="dxa"/>
          </w:tcPr>
          <w:p w14:paraId="1AFC70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6165C6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188E3D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23E8C6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24AE98CC" w14:textId="77777777">
        <w:tc>
          <w:tcPr>
            <w:tcW w:w="4219" w:type="dxa"/>
          </w:tcPr>
          <w:p w14:paraId="24A2D6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15F960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1AE96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07BE2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343A2B3D" w14:textId="77777777">
        <w:tc>
          <w:tcPr>
            <w:tcW w:w="4219" w:type="dxa"/>
            <w:tcBorders>
              <w:bottom w:val="single" w:sz="12" w:space="0" w:color="auto"/>
            </w:tcBorders>
          </w:tcPr>
          <w:p w14:paraId="592887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02E503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26D5E9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775C8A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36999B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3DFAD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5BF333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1C104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37DB05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56761FE3" w14:textId="77777777">
        <w:tc>
          <w:tcPr>
            <w:tcW w:w="675" w:type="dxa"/>
            <w:tcBorders>
              <w:top w:val="single" w:sz="12" w:space="0" w:color="auto"/>
            </w:tcBorders>
          </w:tcPr>
          <w:p w14:paraId="687A1F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30175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0B023F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705024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4D9B3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20D7E619" w14:textId="77777777">
        <w:tc>
          <w:tcPr>
            <w:tcW w:w="675" w:type="dxa"/>
          </w:tcPr>
          <w:p w14:paraId="0CB22F05" w14:textId="77777777" w:rsidR="00665165" w:rsidRPr="00925F26" w:rsidRDefault="00665165" w:rsidP="00925F26">
            <w:pPr>
              <w:autoSpaceDE w:val="0"/>
              <w:autoSpaceDN w:val="0"/>
              <w:adjustRightInd w:val="0"/>
              <w:jc w:val="both"/>
              <w:rPr>
                <w:color w:val="000000" w:themeColor="text1"/>
                <w:sz w:val="16"/>
                <w:szCs w:val="16"/>
              </w:rPr>
            </w:pPr>
          </w:p>
        </w:tc>
        <w:tc>
          <w:tcPr>
            <w:tcW w:w="993" w:type="dxa"/>
          </w:tcPr>
          <w:p w14:paraId="2AC28758"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03CEFB1D"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684273B"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06E1D5E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A3C6EB0" w14:textId="77777777">
        <w:tc>
          <w:tcPr>
            <w:tcW w:w="675" w:type="dxa"/>
          </w:tcPr>
          <w:p w14:paraId="15A305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2A0897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26B1CB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DD812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35549D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07453560" w14:textId="77777777">
        <w:tc>
          <w:tcPr>
            <w:tcW w:w="675" w:type="dxa"/>
          </w:tcPr>
          <w:p w14:paraId="4B6F0F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7EB78E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62E088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5ACF3B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5B2A77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172D8B02" w14:textId="77777777">
        <w:tc>
          <w:tcPr>
            <w:tcW w:w="675" w:type="dxa"/>
          </w:tcPr>
          <w:p w14:paraId="051D6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5308B9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10C9A1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23E28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45B3A0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120C30C0" w14:textId="77777777">
        <w:tc>
          <w:tcPr>
            <w:tcW w:w="675" w:type="dxa"/>
          </w:tcPr>
          <w:p w14:paraId="493A82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64B5D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2F654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5A9111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0A4B9E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7E8ECFFA" w14:textId="77777777">
        <w:tc>
          <w:tcPr>
            <w:tcW w:w="675" w:type="dxa"/>
          </w:tcPr>
          <w:p w14:paraId="78B6F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1EDE68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554AD4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32CEBB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3FF394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6782ED4E" w14:textId="77777777">
        <w:tc>
          <w:tcPr>
            <w:tcW w:w="675" w:type="dxa"/>
          </w:tcPr>
          <w:p w14:paraId="47CDAC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3850F6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1505EE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1F976D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0F4866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34CDB61C" w14:textId="77777777">
        <w:tc>
          <w:tcPr>
            <w:tcW w:w="675" w:type="dxa"/>
          </w:tcPr>
          <w:p w14:paraId="24D6CA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5F12A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692691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7A72C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336B41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7EE58B83" w14:textId="77777777">
        <w:tc>
          <w:tcPr>
            <w:tcW w:w="675" w:type="dxa"/>
          </w:tcPr>
          <w:p w14:paraId="52D017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142E06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44B03C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381944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3C616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37188D4C" w14:textId="77777777">
        <w:tc>
          <w:tcPr>
            <w:tcW w:w="675" w:type="dxa"/>
            <w:tcBorders>
              <w:bottom w:val="single" w:sz="12" w:space="0" w:color="auto"/>
            </w:tcBorders>
          </w:tcPr>
          <w:p w14:paraId="47262D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1E996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7E4A5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04FF5C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538883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43F174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189056CB" w14:textId="77777777">
        <w:tc>
          <w:tcPr>
            <w:tcW w:w="1868" w:type="dxa"/>
            <w:tcBorders>
              <w:top w:val="single" w:sz="12" w:space="0" w:color="auto"/>
            </w:tcBorders>
          </w:tcPr>
          <w:p w14:paraId="21206E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742A2E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11411F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0A6D74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240FD7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0EC50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3792DF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7E4EFB26" w14:textId="77777777">
        <w:tc>
          <w:tcPr>
            <w:tcW w:w="1868" w:type="dxa"/>
          </w:tcPr>
          <w:p w14:paraId="745E79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676114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126AF0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2BA0F1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58623E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4C0470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616BC4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6CC90CFF" w14:textId="77777777">
        <w:tc>
          <w:tcPr>
            <w:tcW w:w="1868" w:type="dxa"/>
          </w:tcPr>
          <w:p w14:paraId="3705DB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76C6E4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4743C9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0E8A0C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60FE4C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16D195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016A79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45217AE3" w14:textId="77777777">
        <w:tc>
          <w:tcPr>
            <w:tcW w:w="1868" w:type="dxa"/>
          </w:tcPr>
          <w:p w14:paraId="780487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75" w:type="dxa"/>
          </w:tcPr>
          <w:p w14:paraId="60E152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3F1644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545637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0A995D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38B1C3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16AB4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555C646C" w14:textId="77777777">
        <w:tc>
          <w:tcPr>
            <w:tcW w:w="1868" w:type="dxa"/>
          </w:tcPr>
          <w:p w14:paraId="307423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7279C8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450E17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489A9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6E0F9E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682EE5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6A22D5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45C1680C" w14:textId="77777777">
        <w:tc>
          <w:tcPr>
            <w:tcW w:w="1868" w:type="dxa"/>
          </w:tcPr>
          <w:p w14:paraId="548571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1E5E50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233F2A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493D1C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486CC4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FBE2A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0D63B9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6789DBFA" w14:textId="77777777">
        <w:tc>
          <w:tcPr>
            <w:tcW w:w="1868" w:type="dxa"/>
          </w:tcPr>
          <w:p w14:paraId="27C17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451A50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1D861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3B78E6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282B83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84EE2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75415C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130984A7" w14:textId="77777777">
        <w:tc>
          <w:tcPr>
            <w:tcW w:w="1868" w:type="dxa"/>
          </w:tcPr>
          <w:p w14:paraId="2EC8FE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6FE4F2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3D2F0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4F22F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0B50C0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33E443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56FBC0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3F36F8B4" w14:textId="77777777">
        <w:tc>
          <w:tcPr>
            <w:tcW w:w="1868" w:type="dxa"/>
          </w:tcPr>
          <w:p w14:paraId="6F32B4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0743E8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532CC1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77100B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3D934A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5690E0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0F049E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45280DB7" w14:textId="77777777">
        <w:tc>
          <w:tcPr>
            <w:tcW w:w="1868" w:type="dxa"/>
            <w:tcBorders>
              <w:bottom w:val="single" w:sz="12" w:space="0" w:color="auto"/>
            </w:tcBorders>
          </w:tcPr>
          <w:p w14:paraId="3AEFDE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1F45BD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51818D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72143A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0D0D4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5168EF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41ADD7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2CA300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гр. Высотности - 1850 м, скор. 5,7, 2-я гр. Высотности - 5500, скор. 3,15</w:t>
      </w:r>
    </w:p>
    <w:p w14:paraId="044F1C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6A0FEE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004A5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3F8BAE71"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6CAFF1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34D867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6D0D1C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2B095D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(1000,3).</w:t>
      </w:r>
    </w:p>
    <w:p w14:paraId="21460CC2" w14:textId="77777777" w:rsidR="00665165" w:rsidRPr="00925F26" w:rsidRDefault="00665165" w:rsidP="00925F26">
      <w:pPr>
        <w:autoSpaceDE w:val="0"/>
        <w:autoSpaceDN w:val="0"/>
        <w:adjustRightInd w:val="0"/>
        <w:jc w:val="both"/>
        <w:rPr>
          <w:color w:val="000000" w:themeColor="text1"/>
          <w:sz w:val="16"/>
          <w:szCs w:val="16"/>
        </w:rPr>
      </w:pPr>
    </w:p>
    <w:p w14:paraId="176445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началось проектирование многоместного дальнего пассажирского самолета Ил-18 с 4хАЧ-72 А.Д.Чаромского. Д7б. перевозить 60-65 пассажиров на расстояние до 5000 км со скоростью 450 км/час (3846,21).</w:t>
      </w:r>
    </w:p>
    <w:p w14:paraId="7CCCC1E1" w14:textId="77777777" w:rsidR="00665165" w:rsidRPr="00925F26" w:rsidRDefault="00665165" w:rsidP="00925F26">
      <w:pPr>
        <w:autoSpaceDE w:val="0"/>
        <w:autoSpaceDN w:val="0"/>
        <w:adjustRightInd w:val="0"/>
        <w:jc w:val="both"/>
        <w:rPr>
          <w:color w:val="000000" w:themeColor="text1"/>
          <w:sz w:val="16"/>
          <w:szCs w:val="16"/>
        </w:rPr>
      </w:pPr>
    </w:p>
    <w:p w14:paraId="5636D3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М.М.Куликом был сделан связной вариант По-2 с высоким прозрачным фонарем и нижними крыльями, укороченными на 1 м (1076,728).</w:t>
      </w:r>
    </w:p>
    <w:p w14:paraId="105D55AF" w14:textId="77777777" w:rsidR="00665165" w:rsidRPr="00925F26" w:rsidRDefault="00665165" w:rsidP="00925F26">
      <w:pPr>
        <w:autoSpaceDE w:val="0"/>
        <w:autoSpaceDN w:val="0"/>
        <w:adjustRightInd w:val="0"/>
        <w:jc w:val="both"/>
        <w:rPr>
          <w:color w:val="000000" w:themeColor="text1"/>
          <w:sz w:val="16"/>
          <w:szCs w:val="16"/>
        </w:rPr>
      </w:pPr>
    </w:p>
    <w:p w14:paraId="67ACCF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закончились заводские испытания ВРДК в ЦИАМ и были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2663"/>
      </w:tblGrid>
      <w:tr w:rsidR="000F5689" w:rsidRPr="00925F26" w14:paraId="7FB71CE4" w14:textId="77777777">
        <w:tc>
          <w:tcPr>
            <w:tcW w:w="5635" w:type="dxa"/>
            <w:tcBorders>
              <w:top w:val="single" w:sz="12" w:space="0" w:color="auto"/>
            </w:tcBorders>
            <w:shd w:val="clear" w:color="auto" w:fill="FFFFFF"/>
          </w:tcPr>
          <w:p w14:paraId="6B94B8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сила тяги, кг</w:t>
            </w:r>
          </w:p>
        </w:tc>
        <w:tc>
          <w:tcPr>
            <w:tcW w:w="2663" w:type="dxa"/>
            <w:tcBorders>
              <w:top w:val="single" w:sz="12" w:space="0" w:color="auto"/>
            </w:tcBorders>
            <w:shd w:val="clear" w:color="auto" w:fill="FFFFFF"/>
          </w:tcPr>
          <w:p w14:paraId="43752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344</w:t>
            </w:r>
          </w:p>
        </w:tc>
      </w:tr>
      <w:tr w:rsidR="000F5689" w:rsidRPr="00925F26" w14:paraId="521BB993" w14:textId="77777777">
        <w:tc>
          <w:tcPr>
            <w:tcW w:w="5635" w:type="dxa"/>
            <w:shd w:val="clear" w:color="auto" w:fill="FFFFFF"/>
          </w:tcPr>
          <w:p w14:paraId="2EDC6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горючего на номинальном режиме, кг/час</w:t>
            </w:r>
          </w:p>
        </w:tc>
        <w:tc>
          <w:tcPr>
            <w:tcW w:w="2663" w:type="dxa"/>
            <w:shd w:val="clear" w:color="auto" w:fill="FFFFFF"/>
          </w:tcPr>
          <w:p w14:paraId="577C2E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1235</w:t>
            </w:r>
          </w:p>
        </w:tc>
      </w:tr>
      <w:tr w:rsidR="000F5689" w:rsidRPr="00925F26" w14:paraId="584852E4" w14:textId="77777777">
        <w:tc>
          <w:tcPr>
            <w:tcW w:w="5635" w:type="dxa"/>
            <w:tcBorders>
              <w:bottom w:val="single" w:sz="12" w:space="0" w:color="auto"/>
            </w:tcBorders>
            <w:shd w:val="clear" w:color="auto" w:fill="FFFFFF"/>
          </w:tcPr>
          <w:p w14:paraId="0CAB0D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Масса двигательной установки, кг</w:t>
            </w:r>
          </w:p>
        </w:tc>
        <w:tc>
          <w:tcPr>
            <w:tcW w:w="2663" w:type="dxa"/>
            <w:tcBorders>
              <w:bottom w:val="single" w:sz="12" w:space="0" w:color="auto"/>
            </w:tcBorders>
            <w:shd w:val="clear" w:color="auto" w:fill="FFFFFF"/>
          </w:tcPr>
          <w:p w14:paraId="192269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140,9 (10669).</w:t>
            </w:r>
          </w:p>
        </w:tc>
      </w:tr>
    </w:tbl>
    <w:p w14:paraId="69A0E212" w14:textId="77777777" w:rsidR="00665165" w:rsidRPr="00925F26" w:rsidRDefault="00665165" w:rsidP="00925F26">
      <w:pPr>
        <w:autoSpaceDE w:val="0"/>
        <w:autoSpaceDN w:val="0"/>
        <w:adjustRightInd w:val="0"/>
        <w:jc w:val="both"/>
        <w:rPr>
          <w:iCs/>
          <w:color w:val="000000" w:themeColor="text1"/>
          <w:sz w:val="16"/>
          <w:szCs w:val="16"/>
        </w:rPr>
      </w:pPr>
    </w:p>
    <w:p w14:paraId="5C0DC6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КБ С.А.Л. выпустило 2 проекта реактивных истребителей 150 под один Юмо-004 и тяжелый двухдвигательный Ла-160 под два Юмо-004 (2449,13).</w:t>
      </w:r>
    </w:p>
    <w:p w14:paraId="177D31D2" w14:textId="77777777" w:rsidR="00665165" w:rsidRPr="00925F26" w:rsidRDefault="00665165" w:rsidP="00925F26">
      <w:pPr>
        <w:autoSpaceDE w:val="0"/>
        <w:autoSpaceDN w:val="0"/>
        <w:adjustRightInd w:val="0"/>
        <w:jc w:val="both"/>
        <w:rPr>
          <w:color w:val="000000" w:themeColor="text1"/>
          <w:sz w:val="16"/>
          <w:szCs w:val="16"/>
        </w:rPr>
      </w:pPr>
    </w:p>
    <w:p w14:paraId="38ED01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1945 </w:t>
      </w:r>
      <w:proofErr w:type="gramStart"/>
      <w:r w:rsidRPr="00925F26">
        <w:rPr>
          <w:color w:val="000000" w:themeColor="text1"/>
          <w:sz w:val="16"/>
          <w:szCs w:val="16"/>
        </w:rPr>
        <w:t>г .</w:t>
      </w:r>
      <w:proofErr w:type="gramEnd"/>
      <w:r w:rsidRPr="00925F26">
        <w:rPr>
          <w:color w:val="000000" w:themeColor="text1"/>
          <w:sz w:val="16"/>
          <w:szCs w:val="16"/>
        </w:rPr>
        <w:t xml:space="preserve"> в ЦНЭБ ВВС КА была создана небольшая группа под руководством инженера С.И. Новикова для продолжения работ, начатых еще в 1935 </w:t>
      </w:r>
      <w:proofErr w:type="gramStart"/>
      <w:r w:rsidRPr="00925F26">
        <w:rPr>
          <w:color w:val="000000" w:themeColor="text1"/>
          <w:sz w:val="16"/>
          <w:szCs w:val="16"/>
        </w:rPr>
        <w:t>г .</w:t>
      </w:r>
      <w:proofErr w:type="gramEnd"/>
      <w:r w:rsidRPr="00925F26">
        <w:rPr>
          <w:color w:val="000000" w:themeColor="text1"/>
          <w:sz w:val="16"/>
          <w:szCs w:val="16"/>
        </w:rPr>
        <w:t xml:space="preserve"> В результате ЦНЭБ ВВС КА на экспериментальной установке был отработан процесс периодического сгорания, приближающийся к циклу сгорания при постоянном объеме. На опытной камере были получены показатели, превышающие по своим данным показатели силовой установки «Фау-1». </w:t>
      </w:r>
    </w:p>
    <w:p w14:paraId="775DB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После этого группа С.И. Новикова была передана в 1945 </w:t>
      </w:r>
      <w:proofErr w:type="gramStart"/>
      <w:r w:rsidRPr="00925F26">
        <w:rPr>
          <w:color w:val="000000" w:themeColor="text1"/>
          <w:sz w:val="16"/>
          <w:szCs w:val="16"/>
        </w:rPr>
        <w:t>г .</w:t>
      </w:r>
      <w:proofErr w:type="gramEnd"/>
      <w:r w:rsidRPr="00925F26">
        <w:rPr>
          <w:color w:val="000000" w:themeColor="text1"/>
          <w:sz w:val="16"/>
          <w:szCs w:val="16"/>
        </w:rPr>
        <w:t xml:space="preserve"> в ЦИАМ. </w:t>
      </w:r>
    </w:p>
    <w:p w14:paraId="61B08E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Для проведения работ по ВРД периодического сгорания в ЦИАМ был организован отдел № 8. </w:t>
      </w:r>
    </w:p>
    <w:p w14:paraId="4D478F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Параллельно, еще 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w:t>
      </w:r>
    </w:p>
    <w:p w14:paraId="4D46B9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 </w:t>
      </w:r>
    </w:p>
    <w:p w14:paraId="2D42ED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июле 1946 </w:t>
      </w:r>
      <w:proofErr w:type="gramStart"/>
      <w:r w:rsidRPr="00925F26">
        <w:rPr>
          <w:color w:val="000000" w:themeColor="text1"/>
          <w:sz w:val="16"/>
          <w:szCs w:val="16"/>
        </w:rPr>
        <w:t>г .</w:t>
      </w:r>
      <w:proofErr w:type="gramEnd"/>
      <w:r w:rsidRPr="00925F26">
        <w:rPr>
          <w:color w:val="000000" w:themeColor="text1"/>
          <w:sz w:val="16"/>
          <w:szCs w:val="16"/>
        </w:rPr>
        <w:t xml:space="preserve">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7B9DF581" w14:textId="77777777" w:rsidR="00665165" w:rsidRPr="00925F26" w:rsidRDefault="00665165" w:rsidP="00925F26">
      <w:pPr>
        <w:autoSpaceDE w:val="0"/>
        <w:autoSpaceDN w:val="0"/>
        <w:adjustRightInd w:val="0"/>
        <w:jc w:val="both"/>
        <w:rPr>
          <w:color w:val="000000" w:themeColor="text1"/>
          <w:sz w:val="16"/>
          <w:szCs w:val="16"/>
        </w:rPr>
      </w:pPr>
    </w:p>
    <w:p w14:paraId="75E04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вышло постановление КО "О посылке комиссии по вывозу оборудования и изучению работы немецкого Ракетного Института в Пенемюнде. Руководителем комиссии назначили Ю.А.Победоносцева (1795,59).</w:t>
      </w:r>
    </w:p>
    <w:p w14:paraId="379AFB38" w14:textId="77777777" w:rsidR="00665165" w:rsidRPr="00925F26" w:rsidRDefault="00665165" w:rsidP="00925F26">
      <w:pPr>
        <w:autoSpaceDE w:val="0"/>
        <w:autoSpaceDN w:val="0"/>
        <w:adjustRightInd w:val="0"/>
        <w:jc w:val="both"/>
        <w:rPr>
          <w:color w:val="000000" w:themeColor="text1"/>
          <w:sz w:val="16"/>
          <w:szCs w:val="16"/>
        </w:rPr>
      </w:pPr>
    </w:p>
    <w:p w14:paraId="4FA473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в Восточной Пруссии нашли Ме-262, совершивший вынужденную посадку и загоревшегося и его потом испытывал А.Г.Кочетков (1204,112).</w:t>
      </w:r>
    </w:p>
    <w:p w14:paraId="72F4AA9F" w14:textId="77777777" w:rsidR="00665165" w:rsidRPr="00925F26" w:rsidRDefault="00665165" w:rsidP="00925F26">
      <w:pPr>
        <w:autoSpaceDE w:val="0"/>
        <w:autoSpaceDN w:val="0"/>
        <w:adjustRightInd w:val="0"/>
        <w:jc w:val="both"/>
        <w:rPr>
          <w:color w:val="000000" w:themeColor="text1"/>
          <w:sz w:val="16"/>
          <w:szCs w:val="16"/>
        </w:rPr>
      </w:pPr>
    </w:p>
    <w:p w14:paraId="2EC70E35" w14:textId="77777777" w:rsidR="00AD7C9A" w:rsidRPr="001A0BAA" w:rsidRDefault="00AD7C9A" w:rsidP="00AD7C9A">
      <w:pPr>
        <w:jc w:val="both"/>
        <w:rPr>
          <w:color w:val="0070C0"/>
          <w:sz w:val="16"/>
          <w:szCs w:val="16"/>
        </w:rPr>
      </w:pPr>
      <w:r w:rsidRPr="001A0BAA">
        <w:rPr>
          <w:color w:val="0070C0"/>
          <w:sz w:val="16"/>
          <w:szCs w:val="16"/>
        </w:rPr>
        <w:t>В апреле 1946-го в МАПе один Me.262 находился в летном состоянии, другой — испытывался на прочность, а третий — передали на завод №481 в Сызрань для переделки в двухместный вариант (25237).</w:t>
      </w:r>
    </w:p>
    <w:p w14:paraId="2578C0F3" w14:textId="77777777" w:rsidR="00AD7C9A" w:rsidRPr="001A0BAA" w:rsidRDefault="00AD7C9A" w:rsidP="00AD7C9A">
      <w:pPr>
        <w:jc w:val="both"/>
        <w:rPr>
          <w:color w:val="0070C0"/>
          <w:sz w:val="16"/>
          <w:szCs w:val="16"/>
        </w:rPr>
      </w:pPr>
    </w:p>
    <w:p w14:paraId="2F428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захватили Arado Ar 234B-2, который потом испытывали в НИИ ВВС (2466,148).</w:t>
      </w:r>
    </w:p>
    <w:p w14:paraId="27100708" w14:textId="77777777" w:rsidR="00665165" w:rsidRPr="00925F26" w:rsidRDefault="00665165" w:rsidP="00925F26">
      <w:pPr>
        <w:autoSpaceDE w:val="0"/>
        <w:autoSpaceDN w:val="0"/>
        <w:adjustRightInd w:val="0"/>
        <w:jc w:val="both"/>
        <w:rPr>
          <w:color w:val="000000" w:themeColor="text1"/>
          <w:sz w:val="16"/>
          <w:szCs w:val="16"/>
        </w:rPr>
      </w:pPr>
    </w:p>
    <w:p w14:paraId="2CEA94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апреля 1945 г. на заводе № 19 в Молотове выпускался АШ-83ФН. Всего изготовили 93 экз. АШ-83 (АШ-83ФН) - дальнейшее развитие АШ-82ФН с форсированием по наддуву и оборо</w:t>
      </w:r>
      <w:r w:rsidRPr="00925F26">
        <w:rPr>
          <w:color w:val="000000" w:themeColor="text1"/>
          <w:sz w:val="16"/>
          <w:szCs w:val="16"/>
        </w:rPr>
        <w:softHyphen/>
        <w:t>там. Изменен носок картера, усилен коленвал, увеличен диаметр крыльчат</w:t>
      </w:r>
      <w:r w:rsidRPr="00925F26">
        <w:rPr>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3E5671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Характеристики:</w:t>
      </w:r>
    </w:p>
    <w:p w14:paraId="1547BF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7C8392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диаметр цилиндра/ход поршня 155,5/155 мм;</w:t>
      </w:r>
    </w:p>
    <w:p w14:paraId="5E858C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объем 41,2 л;</w:t>
      </w:r>
    </w:p>
    <w:p w14:paraId="446BFD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степень сжатия 6,9;</w:t>
      </w:r>
    </w:p>
    <w:p w14:paraId="7DF503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мощность по проекту 1500/1900 л.с., реально доведена до 1585/1900 л.с.;</w:t>
      </w:r>
    </w:p>
    <w:p w14:paraId="3B8CB3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вес 915 кг (по другим данным, 921 кг).</w:t>
      </w:r>
    </w:p>
    <w:p w14:paraId="1FBC2E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1149A4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12783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АШ-21 прошел совмест</w:t>
      </w:r>
      <w:r w:rsidRPr="00925F26">
        <w:rPr>
          <w:color w:val="000000" w:themeColor="text1"/>
          <w:sz w:val="16"/>
          <w:szCs w:val="16"/>
        </w:rPr>
        <w:softHyphen/>
        <w:t>ные испытания, в ноябре 1946 г. - государственные. АШ-21 - мотор — «половинка» от АШ-82. Проектировался в 1944 г. в ОКБ-29 в Омске под руководством В.С. Нитченко. В нем было использовано большое количество деталей от АШ-82ФН, однако непосредственный впрыск замени</w:t>
      </w:r>
      <w:r w:rsidRPr="00925F26">
        <w:rPr>
          <w:color w:val="000000" w:themeColor="text1"/>
          <w:sz w:val="16"/>
          <w:szCs w:val="16"/>
        </w:rPr>
        <w:softHyphen/>
        <w:t>ли более дешевым карбюратором. В сентябре 1947 г мотор был доведен до ресурса 200 ч. При этом изменили носок картера главный шатун и внесли мелкие изменения в головках цилиндров. Серийно выпускался с 1947 г. на заводе № 29 в Омске. Производство прекращено в 1955 г. Всего выпустили 7636 экз.</w:t>
      </w:r>
    </w:p>
    <w:p w14:paraId="73F189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Характеристики:</w:t>
      </w:r>
    </w:p>
    <w:p w14:paraId="143342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7-цилиндровый звездообразный, воз</w:t>
      </w:r>
      <w:r w:rsidRPr="00925F26">
        <w:rPr>
          <w:color w:val="000000" w:themeColor="text1"/>
          <w:sz w:val="16"/>
          <w:szCs w:val="16"/>
        </w:rPr>
        <w:softHyphen/>
        <w:t>душного охлаждения, редукторный, с одноступенчатым односкоростным ПЦН, карбюраторный;</w:t>
      </w:r>
    </w:p>
    <w:p w14:paraId="0D953D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диаметр цилиндра/ход поршня 155,5/155 мм;</w:t>
      </w:r>
    </w:p>
    <w:p w14:paraId="3160AC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объем 20,6 л;</w:t>
      </w:r>
    </w:p>
    <w:p w14:paraId="64D2D4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степень сжатия 6,4;</w:t>
      </w:r>
    </w:p>
    <w:p w14:paraId="072C0E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мощность 615/700 л.с.;</w:t>
      </w:r>
    </w:p>
    <w:p w14:paraId="404080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вес 497 кг.</w:t>
      </w:r>
    </w:p>
    <w:p w14:paraId="05925B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Экспортировался в Чехословакию, Австрию, Албанию, Алжир, Болгарию, Вьетнам, Гвинею, ГДР, Египет, Ирак, Йемен, Польшу, Румынию, Сирию.</w:t>
      </w:r>
    </w:p>
    <w:p w14:paraId="5AC489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1952 г. выпускался по лицензии в Чехословакии на заводе им. Ди</w:t>
      </w:r>
      <w:r w:rsidRPr="00925F26">
        <w:rPr>
          <w:color w:val="000000" w:themeColor="text1"/>
          <w:sz w:val="16"/>
          <w:szCs w:val="16"/>
        </w:rPr>
        <w:softHyphen/>
        <w:t>митрова как М-21 (вес 495 кг).</w:t>
      </w:r>
    </w:p>
    <w:p w14:paraId="40E0F9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АШ-21 устанавливался на серийных самолетах Як-11 и УТБ, опытных ТА (ТА-1), ТАФ, Як-16, Як-200. Его использование предусматривалось проектами Ан-2 и амфибии-разведчика Четверикова. Узлы и агрегаты АШ-21 были использованы при создании двигателя М-26 (АИ-26) (11852).</w:t>
      </w:r>
    </w:p>
    <w:p w14:paraId="11D806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79F8E3D" w14:textId="77777777" w:rsidR="008C0C09" w:rsidRPr="001A0BAA" w:rsidRDefault="008C0C09" w:rsidP="008C0C09">
      <w:pPr>
        <w:jc w:val="both"/>
        <w:rPr>
          <w:color w:val="0070C0"/>
          <w:sz w:val="16"/>
          <w:szCs w:val="16"/>
        </w:rPr>
      </w:pPr>
      <w:r w:rsidRPr="001A0BAA">
        <w:rPr>
          <w:color w:val="0070C0"/>
          <w:sz w:val="16"/>
          <w:szCs w:val="16"/>
        </w:rPr>
        <w:t>В апреле 1945 г. АШ-21, разработку которого начали в 1944 г. в Омске в ОКБ-29 под руководством В.С. Нитченко, прошел совместные испытания, а в ноябре 1946 г.- государственные. Этот семицилиндро</w:t>
      </w:r>
      <w:r w:rsidRPr="001A0BAA">
        <w:rPr>
          <w:color w:val="0070C0"/>
          <w:sz w:val="16"/>
          <w:szCs w:val="16"/>
        </w:rPr>
        <w:softHyphen/>
        <w:t>вый двигатель представлял собой как бы «половинку» двухрядной звезды - двига</w:t>
      </w:r>
      <w:r w:rsidRPr="001A0BAA">
        <w:rPr>
          <w:color w:val="0070C0"/>
          <w:sz w:val="16"/>
          <w:szCs w:val="16"/>
        </w:rPr>
        <w:softHyphen/>
        <w:t>теля АШ-82ФН и имел расчётную взлёт</w:t>
      </w:r>
      <w:r w:rsidRPr="001A0BAA">
        <w:rPr>
          <w:color w:val="0070C0"/>
          <w:sz w:val="16"/>
          <w:szCs w:val="16"/>
        </w:rPr>
        <w:softHyphen/>
        <w:t>ную мощность 700 л.с. при номиналь</w:t>
      </w:r>
      <w:r w:rsidRPr="001A0BAA">
        <w:rPr>
          <w:color w:val="0070C0"/>
          <w:sz w:val="16"/>
          <w:szCs w:val="16"/>
        </w:rPr>
        <w:softHyphen/>
        <w:t>ной 570 л.с. на уровне земли и 615 л.с. на высоте 1700 м. Двигатель имел при</w:t>
      </w:r>
      <w:r w:rsidRPr="001A0BAA">
        <w:rPr>
          <w:color w:val="0070C0"/>
          <w:sz w:val="16"/>
          <w:szCs w:val="16"/>
        </w:rPr>
        <w:softHyphen/>
        <w:t>водной центробежный нагнетатель и редуктор. В отличие от АШ-82ФН на АШ-21 топливную аппаратуру непос</w:t>
      </w:r>
      <w:r w:rsidRPr="001A0BAA">
        <w:rPr>
          <w:color w:val="0070C0"/>
          <w:sz w:val="16"/>
          <w:szCs w:val="16"/>
        </w:rPr>
        <w:softHyphen/>
        <w:t>редственного впрыска заменили на кар</w:t>
      </w:r>
      <w:r w:rsidRPr="001A0BAA">
        <w:rPr>
          <w:color w:val="0070C0"/>
          <w:sz w:val="16"/>
          <w:szCs w:val="16"/>
        </w:rPr>
        <w:softHyphen/>
        <w:t>бюратор. Ресурс мотора первоначаль</w:t>
      </w:r>
      <w:r w:rsidRPr="001A0BAA">
        <w:rPr>
          <w:color w:val="0070C0"/>
          <w:sz w:val="16"/>
          <w:szCs w:val="16"/>
        </w:rPr>
        <w:softHyphen/>
        <w:t>но составлял 100 ч, к сентябрю 1947 г. он был доведён до 200 ч. Двигатель се</w:t>
      </w:r>
      <w:r w:rsidRPr="001A0BAA">
        <w:rPr>
          <w:color w:val="0070C0"/>
          <w:sz w:val="16"/>
          <w:szCs w:val="16"/>
        </w:rPr>
        <w:softHyphen/>
        <w:t>рийно выпускался с 1947 по 1955 г. на заводе № 29 в Омске (24858).</w:t>
      </w:r>
    </w:p>
    <w:p w14:paraId="7F20939F" w14:textId="77777777" w:rsidR="008C0C09" w:rsidRPr="001A0BAA" w:rsidRDefault="008C0C09" w:rsidP="008C0C09">
      <w:pPr>
        <w:jc w:val="both"/>
        <w:rPr>
          <w:color w:val="0070C0"/>
          <w:sz w:val="16"/>
          <w:szCs w:val="16"/>
        </w:rPr>
      </w:pPr>
    </w:p>
    <w:p w14:paraId="277C02A8" w14:textId="77777777" w:rsidR="00AA7BA7" w:rsidRPr="00925F26" w:rsidRDefault="00AA7BA7" w:rsidP="00925F26">
      <w:pPr>
        <w:jc w:val="both"/>
        <w:rPr>
          <w:color w:val="000000" w:themeColor="text1"/>
          <w:sz w:val="16"/>
          <w:szCs w:val="16"/>
        </w:rPr>
      </w:pPr>
      <w:r w:rsidRPr="00925F26">
        <w:rPr>
          <w:color w:val="000000" w:themeColor="text1"/>
          <w:sz w:val="16"/>
          <w:szCs w:val="16"/>
        </w:rPr>
        <w:t>В апреле 1945 в отчёте старшего военпреда завода №19 инженер-майора И.К. Четверика отмеча</w:t>
      </w:r>
      <w:r w:rsidRPr="00925F26">
        <w:rPr>
          <w:color w:val="000000" w:themeColor="text1"/>
          <w:sz w:val="16"/>
          <w:szCs w:val="16"/>
        </w:rPr>
        <w:softHyphen/>
        <w:t>лось:</w:t>
      </w:r>
    </w:p>
    <w:p w14:paraId="5B7EA632" w14:textId="77777777" w:rsidR="00AA7BA7" w:rsidRPr="00925F26" w:rsidRDefault="00AA7BA7" w:rsidP="00925F26">
      <w:pPr>
        <w:jc w:val="both"/>
        <w:rPr>
          <w:color w:val="000000" w:themeColor="text1"/>
          <w:sz w:val="16"/>
          <w:szCs w:val="16"/>
        </w:rPr>
      </w:pPr>
      <w:r w:rsidRPr="00925F26">
        <w:rPr>
          <w:color w:val="000000" w:themeColor="text1"/>
          <w:sz w:val="16"/>
          <w:szCs w:val="16"/>
        </w:rPr>
        <w:t>«Рекламации: По АШ-82ФН — поступило 147, принято 22, отклонено 125...</w:t>
      </w:r>
    </w:p>
    <w:p w14:paraId="24BAAABA" w14:textId="77777777" w:rsidR="00AA7BA7" w:rsidRPr="00925F26" w:rsidRDefault="00AA7BA7" w:rsidP="00925F26">
      <w:pPr>
        <w:jc w:val="both"/>
        <w:rPr>
          <w:color w:val="000000" w:themeColor="text1"/>
          <w:sz w:val="16"/>
          <w:szCs w:val="16"/>
        </w:rPr>
      </w:pPr>
      <w:r w:rsidRPr="00925F26">
        <w:rPr>
          <w:color w:val="000000" w:themeColor="text1"/>
          <w:sz w:val="16"/>
          <w:szCs w:val="16"/>
        </w:rPr>
        <w:t>Надо отметить, что почти все отклоненные рекламации относятся к числу односторон</w:t>
      </w:r>
      <w:r w:rsidRPr="00925F26">
        <w:rPr>
          <w:color w:val="000000" w:themeColor="text1"/>
          <w:sz w:val="16"/>
          <w:szCs w:val="16"/>
        </w:rPr>
        <w:softHyphen/>
        <w:t>них, их в апреле поступило особенно много, и рекламаций по износу гильз цилиндров на Ла-7, которые завод также не принимает, считая виновником завод № 21 и № 381...» (15829).</w:t>
      </w:r>
    </w:p>
    <w:p w14:paraId="28345DE4" w14:textId="77777777" w:rsidR="00AA7BA7" w:rsidRPr="00925F26" w:rsidRDefault="00AA7BA7" w:rsidP="00925F26">
      <w:pPr>
        <w:jc w:val="both"/>
        <w:rPr>
          <w:color w:val="000000" w:themeColor="text1"/>
          <w:sz w:val="16"/>
          <w:szCs w:val="16"/>
        </w:rPr>
      </w:pPr>
    </w:p>
    <w:p w14:paraId="7C02AFC4" w14:textId="77777777" w:rsidR="00AA7BA7" w:rsidRPr="00925F26" w:rsidRDefault="00AA7BA7"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lastRenderedPageBreak/>
        <w:t>В апреле 1945 г. на участке 2-го Белорусского фронта в Ростоке об</w:t>
      </w:r>
      <w:r w:rsidRPr="00925F26">
        <w:rPr>
          <w:rFonts w:ascii="Times New Roman" w:cs="Times New Roman"/>
          <w:color w:val="000000" w:themeColor="text1"/>
          <w:spacing w:val="0"/>
          <w:sz w:val="16"/>
          <w:szCs w:val="16"/>
        </w:rPr>
        <w:softHyphen/>
        <w:t xml:space="preserve">наружили ящики с двигателями </w:t>
      </w:r>
      <w:r w:rsidRPr="00925F26">
        <w:rPr>
          <w:rFonts w:ascii="Times New Roman" w:cs="Times New Roman"/>
          <w:color w:val="000000" w:themeColor="text1"/>
          <w:spacing w:val="0"/>
          <w:sz w:val="16"/>
          <w:szCs w:val="16"/>
          <w:lang w:val="en-US"/>
        </w:rPr>
        <w:t>BMW</w:t>
      </w:r>
      <w:r w:rsidRPr="00925F26">
        <w:rPr>
          <w:rFonts w:ascii="Times New Roman" w:cs="Times New Roman"/>
          <w:color w:val="000000" w:themeColor="text1"/>
          <w:spacing w:val="0"/>
          <w:sz w:val="16"/>
          <w:szCs w:val="16"/>
        </w:rPr>
        <w:t xml:space="preserve">-003. Тогда же на аэродроме в Пенемюнде в запасных комплектах к Ме-262 нашлись и двигатели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 (15791).</w:t>
      </w:r>
    </w:p>
    <w:p w14:paraId="0E1DFE66" w14:textId="77777777" w:rsidR="00AA7BA7" w:rsidRPr="00925F26" w:rsidRDefault="00AA7BA7" w:rsidP="00925F26">
      <w:pPr>
        <w:pStyle w:val="36"/>
        <w:shd w:val="clear" w:color="auto" w:fill="auto"/>
        <w:spacing w:after="0" w:line="240" w:lineRule="auto"/>
        <w:jc w:val="both"/>
        <w:rPr>
          <w:rFonts w:ascii="Times New Roman" w:cs="Times New Roman"/>
          <w:color w:val="000000" w:themeColor="text1"/>
          <w:spacing w:val="0"/>
          <w:sz w:val="16"/>
          <w:szCs w:val="16"/>
        </w:rPr>
      </w:pPr>
    </w:p>
    <w:p w14:paraId="2FB53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приказом №161 Наркома авиационной промышленности опытный завод №25 под наименованием ОКБ-150 включают в состав металлургического комбината №150. Нарком авиационной промышленности принял такое решение, продиктованное тем, что полноценная работа винтового ОКБ зависела не столько от наличия квалифицированных ИТР и рабочих кадров (этот ресурс все же можно было как-то восполнить), сколько от наличия собственной производственной базы, жилищно - бытового фонда и экспериментальной площади со всеми ее атрибутами и звеньями. Коллективу ОКБ по возвращении из эвакуации домой, выстоять самостоятельно в условиях всеобщей разрухи было очень сложно. В то время весь жилищно-бытовой фонд в городе находился в ведомственном подчинении и в большей своей части принадлежал комбинату №150. К концу войны комбинат стал единственным градообразующим предприятием Ступина. В результате вхождения ОКБ в структуру комбината №150 его материально-производственная база несколько укрепилась, а жилищная проблема у работников ОКБ стала решаться положительно. Это позволило сконцентрировать основные усилия на создании новых воздушных винтов, в частности, с флюгерными свойствами для двух и четырехмоторных самолетов с одноканальным и двухканальным подводом масла от регулятора к винту. ОКБ самолетных заводов требовались воздушные винты для новых и модифицируемых самолетов с форсированными по мощности двигателями. Для этих самолетов под номерами «220», «225» ступинцы разработали, изготовили и испытали винты АВ-6Л-126Е, АВ-5Л-26А, AB-5Л-22Д (деревянные лопасти), АВ-5Л-22Е, для самолета под номером «250»-винты АВ-10П-50, АВ-10П-60. Под форсированные двигатели ВК-105ПФ для бомбардировщика Пе-2 создали винты АВ-5ЛВ-б4,бб,7б; для новых двигателей ВК-107А к модификации самолета Пе-2И - винты АВ-10ЛВ-44 и АВ-10ЛВ-48. Для новых спортивных самолетов Главного конструктора А.С. Яковлева разработали и направили на испытания винты АВ-12, АВ-13, AB-14. Проводились работы по созданию перспективных воздушных винтов AB-15 и АВ-16 для самолетов с мощными поршневыми двигателями (до 4000 л.с.). Основным компоновщиком винтов большого диаметра с флюгерными и реверсивными свойствами являлся ведущий конструктор Б.П. Казанский. Разрабатывалось несколько вариантов конструкций винтов АВ-16 и его модификаций, все они отличались оригинальными техническими решениями. В работах по АВ-16, которые продолжались до 1952 года, кроме Б.П. Казанского участвовали Н.П. Кузьмичев, А.А. Лужин, B.C. Панфилов, В.В. Пичугин, М.Я.Руденко, А.И. Стрельцов. Работами руководили К.И. Жданов, Л.М. Ногтев, А.А. Мальян. Параллельно велись работы по регулятору Р-16 и ряду его модификаций, в создании которых наиболее творческое участие приняли Л.М. Ногтев, И.Л. Алексеев, А.Г. Томилин. Воздушные винты АВ-16 и ряд его модификаций, а также регуляторы Р-16, Р-16Н, Р-16У были изготовлены малыми опытными партиями и успешно прошли моторные и летные испытания на объекте «80».</w:t>
      </w:r>
    </w:p>
    <w:p w14:paraId="56EBB6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работы ступинских винтовиков за период 1939-1945 г.г. (12103).</w:t>
      </w:r>
    </w:p>
    <w:p w14:paraId="2BD4C1F7" w14:textId="77777777" w:rsidR="00665165" w:rsidRPr="00925F26" w:rsidRDefault="00665165" w:rsidP="00925F26">
      <w:pPr>
        <w:autoSpaceDE w:val="0"/>
        <w:autoSpaceDN w:val="0"/>
        <w:adjustRightInd w:val="0"/>
        <w:jc w:val="both"/>
        <w:rPr>
          <w:color w:val="000000" w:themeColor="text1"/>
          <w:sz w:val="16"/>
          <w:szCs w:val="16"/>
        </w:rPr>
      </w:pPr>
    </w:p>
    <w:p w14:paraId="10056868" w14:textId="77777777" w:rsidR="00AD7C9A" w:rsidRPr="001A0BAA" w:rsidRDefault="00AD7C9A" w:rsidP="00AD7C9A">
      <w:pPr>
        <w:jc w:val="both"/>
        <w:rPr>
          <w:color w:val="0070C0"/>
          <w:sz w:val="16"/>
          <w:szCs w:val="16"/>
        </w:rPr>
      </w:pPr>
      <w:r w:rsidRPr="001A0BAA">
        <w:rPr>
          <w:color w:val="0070C0"/>
          <w:sz w:val="16"/>
          <w:szCs w:val="16"/>
        </w:rPr>
        <w:t>В апреле 1945 г. двигательный завод ВМВ в Штрасфурте (Саксония) заняли американс</w:t>
      </w:r>
      <w:r w:rsidRPr="001A0BAA">
        <w:rPr>
          <w:color w:val="0070C0"/>
          <w:sz w:val="16"/>
          <w:szCs w:val="16"/>
        </w:rPr>
        <w:softHyphen/>
        <w:t>кие войска, и к моменту передачи этого предприятия СССР, все собранные двигатели и документация уже находились в США. Американцы увезли с собой и ведущих конструкторов предприятия доктора Брукманна и доктора Зигеля. После пе</w:t>
      </w:r>
      <w:r w:rsidRPr="001A0BAA">
        <w:rPr>
          <w:color w:val="0070C0"/>
          <w:sz w:val="16"/>
          <w:szCs w:val="16"/>
        </w:rPr>
        <w:softHyphen/>
        <w:t>рехода Саксонии в советскую зону оккупации, завод в Штрасфурте был переименован в ОТБ-2 (ОКБ-2). Общее руководство осуществлял А.И. Исаев, заместителями назначили Ф.Г. Ква</w:t>
      </w:r>
      <w:r w:rsidRPr="001A0BAA">
        <w:rPr>
          <w:color w:val="0070C0"/>
          <w:sz w:val="16"/>
          <w:szCs w:val="16"/>
        </w:rPr>
        <w:softHyphen/>
        <w:t>сова (ЦИАМ) и И.Н. Смирнова (завод № 500). Развитием опыт</w:t>
      </w:r>
      <w:r w:rsidRPr="001A0BAA">
        <w:rPr>
          <w:color w:val="0070C0"/>
          <w:sz w:val="16"/>
          <w:szCs w:val="16"/>
        </w:rPr>
        <w:softHyphen/>
        <w:t>но-конструкторских работ поручили заниматься немецкому специалисту по двигателям К. Престелю. Инженер Макелла был его заместителем [63] (24920).</w:t>
      </w:r>
    </w:p>
    <w:p w14:paraId="3A830904" w14:textId="77777777" w:rsidR="00AD7C9A" w:rsidRPr="001A0BAA" w:rsidRDefault="00AD7C9A" w:rsidP="00AD7C9A">
      <w:pPr>
        <w:jc w:val="both"/>
        <w:rPr>
          <w:color w:val="0070C0"/>
          <w:sz w:val="16"/>
          <w:szCs w:val="16"/>
        </w:rPr>
      </w:pPr>
    </w:p>
    <w:p w14:paraId="1C21F8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на участке 2-го Белорусского фронта в Ростоке были найдены ящики с двигателями БМВ-003. Тогда же на аэродроме в Вернемюнде были обнаружены в запасных комплектах к Ме-262 двигатели ЮМО-004 (10781).</w:t>
      </w:r>
    </w:p>
    <w:p w14:paraId="5E5467AF" w14:textId="77777777" w:rsidR="00665165" w:rsidRPr="00925F26" w:rsidRDefault="00665165" w:rsidP="00925F26">
      <w:pPr>
        <w:autoSpaceDE w:val="0"/>
        <w:autoSpaceDN w:val="0"/>
        <w:adjustRightInd w:val="0"/>
        <w:jc w:val="both"/>
        <w:rPr>
          <w:color w:val="000000" w:themeColor="text1"/>
          <w:sz w:val="16"/>
          <w:szCs w:val="16"/>
        </w:rPr>
      </w:pPr>
    </w:p>
    <w:p w14:paraId="671A90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1945 </w:t>
      </w:r>
      <w:proofErr w:type="gramStart"/>
      <w:r w:rsidRPr="00925F26">
        <w:rPr>
          <w:color w:val="000000" w:themeColor="text1"/>
          <w:sz w:val="16"/>
          <w:szCs w:val="16"/>
        </w:rPr>
        <w:t>г .</w:t>
      </w:r>
      <w:proofErr w:type="gramEnd"/>
      <w:r w:rsidRPr="00925F26">
        <w:rPr>
          <w:color w:val="000000" w:themeColor="text1"/>
          <w:sz w:val="16"/>
          <w:szCs w:val="16"/>
        </w:rPr>
        <w:t xml:space="preserve"> в ЦНЭБ ВВС КА была создана небольшая группа под руководством инженера С.И. Новикова для продолжения работ, начатых еще в 1935 </w:t>
      </w:r>
      <w:proofErr w:type="gramStart"/>
      <w:r w:rsidRPr="00925F26">
        <w:rPr>
          <w:color w:val="000000" w:themeColor="text1"/>
          <w:sz w:val="16"/>
          <w:szCs w:val="16"/>
        </w:rPr>
        <w:t>г .</w:t>
      </w:r>
      <w:proofErr w:type="gramEnd"/>
      <w:r w:rsidRPr="00925F26">
        <w:rPr>
          <w:color w:val="000000" w:themeColor="text1"/>
          <w:sz w:val="16"/>
          <w:szCs w:val="16"/>
        </w:rPr>
        <w:t xml:space="preserve"> В результате ЦНЭБ ВВС КА на экспериментальной установке был отработан процесс периодического сгорания, приближающийся к циклу сгорания при постоянном объеме. На опытной камере были получены показатели, превышающие по своим данным показатели силовой установки «Фау-1». После этого группа С.И. Новикова была передана в 1945 </w:t>
      </w:r>
      <w:proofErr w:type="gramStart"/>
      <w:r w:rsidRPr="00925F26">
        <w:rPr>
          <w:color w:val="000000" w:themeColor="text1"/>
          <w:sz w:val="16"/>
          <w:szCs w:val="16"/>
        </w:rPr>
        <w:t>г .</w:t>
      </w:r>
      <w:proofErr w:type="gramEnd"/>
      <w:r w:rsidRPr="00925F26">
        <w:rPr>
          <w:color w:val="000000" w:themeColor="text1"/>
          <w:sz w:val="16"/>
          <w:szCs w:val="16"/>
        </w:rPr>
        <w:t xml:space="preserve"> в ЦИАМ.</w:t>
      </w:r>
    </w:p>
    <w:p w14:paraId="0113FB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Для проведения работ по ВРД периодического сгорания в ЦИАМ был организован отдел № 8. </w:t>
      </w:r>
    </w:p>
    <w:p w14:paraId="76AF4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Параллельно, еще 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w:t>
      </w:r>
    </w:p>
    <w:p w14:paraId="3CE023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 </w:t>
      </w:r>
    </w:p>
    <w:p w14:paraId="7DB7E8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июле 1946 </w:t>
      </w:r>
      <w:proofErr w:type="gramStart"/>
      <w:r w:rsidRPr="00925F26">
        <w:rPr>
          <w:color w:val="000000" w:themeColor="text1"/>
          <w:sz w:val="16"/>
          <w:szCs w:val="16"/>
        </w:rPr>
        <w:t>г .</w:t>
      </w:r>
      <w:proofErr w:type="gramEnd"/>
      <w:r w:rsidRPr="00925F26">
        <w:rPr>
          <w:color w:val="000000" w:themeColor="text1"/>
          <w:sz w:val="16"/>
          <w:szCs w:val="16"/>
        </w:rPr>
        <w:t xml:space="preserve">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(11561).</w:t>
      </w:r>
    </w:p>
    <w:p w14:paraId="1361CC1C" w14:textId="77777777" w:rsidR="00665165" w:rsidRPr="00925F26" w:rsidRDefault="00665165" w:rsidP="00925F26">
      <w:pPr>
        <w:autoSpaceDE w:val="0"/>
        <w:autoSpaceDN w:val="0"/>
        <w:adjustRightInd w:val="0"/>
        <w:jc w:val="both"/>
        <w:rPr>
          <w:color w:val="000000" w:themeColor="text1"/>
          <w:sz w:val="16"/>
          <w:szCs w:val="16"/>
        </w:rPr>
      </w:pPr>
    </w:p>
    <w:p w14:paraId="29E001F3" w14:textId="77777777" w:rsidR="006979C2" w:rsidRPr="00925F26" w:rsidRDefault="006979C2" w:rsidP="00925F26">
      <w:pPr>
        <w:jc w:val="both"/>
        <w:rPr>
          <w:color w:val="000000" w:themeColor="text1"/>
          <w:sz w:val="16"/>
          <w:szCs w:val="16"/>
        </w:rPr>
      </w:pPr>
      <w:r w:rsidRPr="00925F26">
        <w:rPr>
          <w:color w:val="000000" w:themeColor="text1"/>
          <w:sz w:val="16"/>
          <w:szCs w:val="16"/>
        </w:rPr>
        <w:t>С апреля по сентябрь 1945 г. на полигоне в Голодной степи (между Ташкентом и Сырдарьей) было запущено 63 ракеты 10Х. Только 30 % пусков были удачными. Для испытаний 10Х были переоборудованы 3 бомбардировщика Пе-8.</w:t>
      </w:r>
    </w:p>
    <w:p w14:paraId="11B78E76" w14:textId="77777777" w:rsidR="006979C2" w:rsidRPr="00925F26" w:rsidRDefault="006979C2" w:rsidP="00925F26">
      <w:pPr>
        <w:jc w:val="both"/>
        <w:rPr>
          <w:color w:val="000000" w:themeColor="text1"/>
          <w:sz w:val="16"/>
          <w:szCs w:val="16"/>
        </w:rPr>
      </w:pPr>
      <w:r w:rsidRPr="00925F26">
        <w:rPr>
          <w:color w:val="000000" w:themeColor="text1"/>
          <w:sz w:val="16"/>
          <w:szCs w:val="16"/>
        </w:rPr>
        <w:t>В 1946 г. в носители 10Х было переоборудовано еще 2 бомбардировщика Пе-8. С 15 по 20 декабря 1948 г. было проведено еще 73 пуска ракет 10Х воздушного базирования. (Вскоре наземный вариант получил индекс 10ХН.).</w:t>
      </w:r>
    </w:p>
    <w:p w14:paraId="49E10DC6" w14:textId="77777777" w:rsidR="006979C2" w:rsidRPr="00925F26" w:rsidRDefault="006979C2" w:rsidP="00925F26">
      <w:pPr>
        <w:jc w:val="both"/>
        <w:rPr>
          <w:color w:val="000000" w:themeColor="text1"/>
          <w:sz w:val="16"/>
          <w:szCs w:val="16"/>
        </w:rPr>
      </w:pPr>
      <w:r w:rsidRPr="00925F26">
        <w:rPr>
          <w:color w:val="000000" w:themeColor="text1"/>
          <w:sz w:val="16"/>
          <w:szCs w:val="16"/>
        </w:rPr>
        <w:t xml:space="preserve">Аэродинамическая схема ракеты 10Х нормальная самолетная. Длина ракеты 8,0 м. Максимальный диаметр корпуса 1,05 м. Размах крыльев 6,0 м. Первые образцы 10Х имели металлические крылья, последующие - деревянные. Двигатель пульсирующий Д-3 с тягой 310 кг. Стартовый вес ракеты 2,126 - 2,13 т. Вес боевой части 800 кг. Максимальная скорость полета 550-600 м/с. </w:t>
      </w:r>
    </w:p>
    <w:p w14:paraId="59DA34A7" w14:textId="77777777" w:rsidR="006979C2" w:rsidRPr="00925F26" w:rsidRDefault="006979C2" w:rsidP="00925F26">
      <w:pPr>
        <w:jc w:val="both"/>
        <w:rPr>
          <w:color w:val="000000" w:themeColor="text1"/>
          <w:sz w:val="16"/>
          <w:szCs w:val="16"/>
        </w:rPr>
      </w:pPr>
      <w:r w:rsidRPr="00925F26">
        <w:rPr>
          <w:color w:val="000000" w:themeColor="text1"/>
          <w:sz w:val="16"/>
          <w:szCs w:val="16"/>
        </w:rPr>
        <w:t xml:space="preserve">По результатам летный испытаний 10Х была рекомендована к принятию на вооружение, но руководство ВВС фактически отказалось это сделать. Понять его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х 5 км считалось удачным, и это с расстояния 200-300 км! Наконец, в ВВС практически не было носителей для 10Х. Пе-8 состояло на вооружении всего несколько десятков, а Ту-4 еще не было. </w:t>
      </w:r>
    </w:p>
    <w:p w14:paraId="2322CEB3" w14:textId="77777777" w:rsidR="006979C2" w:rsidRPr="00925F26" w:rsidRDefault="006979C2" w:rsidP="00925F26">
      <w:pPr>
        <w:jc w:val="both"/>
        <w:rPr>
          <w:color w:val="000000" w:themeColor="text1"/>
          <w:sz w:val="16"/>
          <w:szCs w:val="16"/>
        </w:rPr>
      </w:pPr>
      <w:r w:rsidRPr="00925F26">
        <w:rPr>
          <w:color w:val="000000" w:themeColor="text1"/>
          <w:sz w:val="16"/>
          <w:szCs w:val="16"/>
        </w:rPr>
        <w:t>Но Челомей был упрям и продолжал гнуть линию ФАУ-1, как и позже, с 1955 до 1984 г. он будет гнуть линию П-5.</w:t>
      </w:r>
    </w:p>
    <w:p w14:paraId="09606F50" w14:textId="77777777" w:rsidR="006979C2" w:rsidRPr="00925F26" w:rsidRDefault="006979C2" w:rsidP="00925F26">
      <w:pPr>
        <w:jc w:val="both"/>
        <w:rPr>
          <w:color w:val="000000" w:themeColor="text1"/>
          <w:sz w:val="16"/>
          <w:szCs w:val="16"/>
        </w:rPr>
      </w:pPr>
      <w:r w:rsidRPr="00925F26">
        <w:rPr>
          <w:color w:val="000000" w:themeColor="text1"/>
          <w:sz w:val="16"/>
          <w:szCs w:val="16"/>
        </w:rPr>
        <w:t>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Длина ракеты 7,6 м. Максимальный диаметр корпуса 0,85 м. Размах деревянного крыла 6,5 м. Стартовый вес 2,5 т. Два двигателя Д-5 развивали тягу по 420 кг. Проектная скорость 800 км/час. Дальность до 250 км. Боевая часть та же, что и у 10Х. Система управления инерциальная. Рассматривался вариант 14Х с системой наведения по проекту ракеты &lt;Кометы&gt;, но вскоре он был отвергнут. А ракета 14Х тихо скончалась, вопрос о ее принятии на вооружение даже не ставился (12414).</w:t>
      </w:r>
    </w:p>
    <w:p w14:paraId="539B1213" w14:textId="77777777" w:rsidR="006979C2" w:rsidRPr="00925F26" w:rsidRDefault="006979C2" w:rsidP="00925F26">
      <w:pPr>
        <w:jc w:val="both"/>
        <w:rPr>
          <w:color w:val="000000" w:themeColor="text1"/>
          <w:sz w:val="16"/>
          <w:szCs w:val="16"/>
        </w:rPr>
      </w:pPr>
    </w:p>
    <w:p w14:paraId="7F113DB6" w14:textId="01E25D24" w:rsidR="005A0732" w:rsidRPr="00925F26" w:rsidRDefault="005A0732" w:rsidP="00925F26">
      <w:pPr>
        <w:jc w:val="both"/>
        <w:rPr>
          <w:color w:val="000000" w:themeColor="text1"/>
          <w:sz w:val="16"/>
          <w:szCs w:val="16"/>
        </w:rPr>
      </w:pP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апреле</w:t>
      </w:r>
      <w:proofErr w:type="gramEnd"/>
      <w:r w:rsidRPr="00925F26">
        <w:rPr>
          <w:color w:val="000000" w:themeColor="text1"/>
          <w:sz w:val="16"/>
          <w:szCs w:val="16"/>
        </w:rPr>
        <w:t xml:space="preserve"> 1945 года сотрудники армейской контрразведки арестовали в Берлине главного технического советника по реактивным самолетам инженера Э.Пурукера. Уже через несколько дней начальник ГРУ генерал Ф.Кузнецов сообщал министру авиационной промышленности СССР А.Шахурину: «Пленный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w:t>
      </w:r>
      <w:r w:rsidR="00997EDF" w:rsidRPr="00925F26">
        <w:rPr>
          <w:color w:val="000000" w:themeColor="text1"/>
          <w:sz w:val="16"/>
          <w:szCs w:val="16"/>
        </w:rPr>
        <w:t xml:space="preserve">  </w:t>
      </w:r>
      <w:r w:rsidRPr="00925F26">
        <w:rPr>
          <w:color w:val="000000" w:themeColor="text1"/>
          <w:sz w:val="16"/>
          <w:szCs w:val="16"/>
        </w:rPr>
        <w:t>Именно от Пурукера стало известно о том, где именно хранилась техническая документация на Ме-262 и другие опытные самолеты люфтваффе. За чертежами были отправлены специальные группы, которые тщательно обыскали конструкторские бюро в Ческе-Будеевице, Винер-Нойштадте и Бергкристалле восточнее Линца. Высокопоставленный инженер сообщил также о секретном аэродроме в окрестностях Праги, на котором базировалось около 60 машин. Пурукер оказался очень ценным информатором, потому что именно он рассказал о технических трудностях, с которыми столкнулись немцы в процессе «доведения до ума» своих реактивных «Ласточек». Он же уточнил, что наибольшее количество выпуска Ме-262 германская авиапромышленность достигла в марте 1945 года, приняв с конвейеров 237 машин.</w:t>
      </w:r>
      <w:r w:rsidR="00997EDF" w:rsidRPr="00925F26">
        <w:rPr>
          <w:color w:val="000000" w:themeColor="text1"/>
          <w:sz w:val="16"/>
          <w:szCs w:val="16"/>
        </w:rPr>
        <w:t xml:space="preserve">  </w:t>
      </w:r>
      <w:r w:rsidRPr="00925F26">
        <w:rPr>
          <w:color w:val="000000" w:themeColor="text1"/>
          <w:sz w:val="16"/>
          <w:szCs w:val="16"/>
        </w:rPr>
        <w:t>(Благодарим за ссылку на</w:t>
      </w:r>
      <w:proofErr w:type="gramStart"/>
      <w:r w:rsidR="00997EDF" w:rsidRPr="00925F26">
        <w:rPr>
          <w:color w:val="000000" w:themeColor="text1"/>
          <w:sz w:val="16"/>
          <w:szCs w:val="16"/>
        </w:rPr>
        <w:t xml:space="preserve">  </w:t>
      </w:r>
      <w:r w:rsidRPr="00925F26">
        <w:rPr>
          <w:color w:val="000000" w:themeColor="text1"/>
          <w:sz w:val="16"/>
          <w:szCs w:val="16"/>
        </w:rPr>
        <w:t xml:space="preserve"> (</w:t>
      </w:r>
      <w:proofErr w:type="gramEnd"/>
      <w:r w:rsidRPr="00925F26">
        <w:rPr>
          <w:color w:val="000000" w:themeColor="text1"/>
          <w:sz w:val="16"/>
          <w:szCs w:val="16"/>
        </w:rPr>
        <w:t>19687).</w:t>
      </w:r>
    </w:p>
    <w:p w14:paraId="53797503" w14:textId="77777777" w:rsidR="005A0732" w:rsidRPr="00925F26" w:rsidRDefault="005A0732" w:rsidP="00925F26">
      <w:pPr>
        <w:jc w:val="both"/>
        <w:rPr>
          <w:color w:val="000000" w:themeColor="text1"/>
          <w:sz w:val="16"/>
          <w:szCs w:val="16"/>
        </w:rPr>
      </w:pPr>
    </w:p>
    <w:p w14:paraId="10CEAC34" w14:textId="77777777" w:rsidR="00E70305" w:rsidRPr="00925F26" w:rsidRDefault="00E7030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63B0F798" w14:textId="77777777" w:rsidR="00E70305" w:rsidRPr="00925F26" w:rsidRDefault="00E70305"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17175E9C" w14:textId="77777777" w:rsidR="00E70305" w:rsidRPr="00925F26" w:rsidRDefault="00E70305" w:rsidP="00925F26">
      <w:pPr>
        <w:shd w:val="clear" w:color="auto" w:fill="FFFFFF"/>
        <w:jc w:val="both"/>
        <w:rPr>
          <w:color w:val="000000" w:themeColor="text1"/>
          <w:sz w:val="16"/>
          <w:szCs w:val="16"/>
        </w:rPr>
      </w:pPr>
    </w:p>
    <w:p w14:paraId="781C5D6C" w14:textId="77777777" w:rsidR="00AD7C9A" w:rsidRPr="001A0BAA" w:rsidRDefault="00AD7C9A" w:rsidP="00AD7C9A">
      <w:pPr>
        <w:jc w:val="both"/>
        <w:rPr>
          <w:color w:val="0070C0"/>
          <w:sz w:val="16"/>
          <w:szCs w:val="16"/>
        </w:rPr>
      </w:pPr>
      <w:r w:rsidRPr="001A0BAA">
        <w:rPr>
          <w:color w:val="0070C0"/>
          <w:sz w:val="16"/>
          <w:szCs w:val="16"/>
        </w:rPr>
        <w:t xml:space="preserve">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w:t>
      </w:r>
      <w:r w:rsidRPr="001A0BAA">
        <w:rPr>
          <w:color w:val="0070C0"/>
          <w:sz w:val="16"/>
          <w:szCs w:val="16"/>
        </w:rPr>
        <w:lastRenderedPageBreak/>
        <w:t>установок, началось формирований новых воинских подразделений, принимавших на вооружение М-13-СН, однако участия в боевых действиях они принять не успели (25402).</w:t>
      </w:r>
    </w:p>
    <w:p w14:paraId="7338E819" w14:textId="77777777" w:rsidR="00AD7C9A" w:rsidRPr="001A0BAA" w:rsidRDefault="00AD7C9A" w:rsidP="00AD7C9A">
      <w:pPr>
        <w:jc w:val="both"/>
        <w:rPr>
          <w:color w:val="0070C0"/>
          <w:sz w:val="16"/>
          <w:szCs w:val="16"/>
        </w:rPr>
      </w:pPr>
    </w:p>
    <w:p w14:paraId="758AE4B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C74CDD1" w14:textId="77777777" w:rsidR="00665165" w:rsidRPr="00925F26" w:rsidRDefault="00665165" w:rsidP="00925F26">
      <w:pPr>
        <w:autoSpaceDE w:val="0"/>
        <w:autoSpaceDN w:val="0"/>
        <w:adjustRightInd w:val="0"/>
        <w:jc w:val="both"/>
        <w:rPr>
          <w:iCs/>
          <w:color w:val="000000" w:themeColor="text1"/>
          <w:sz w:val="16"/>
          <w:szCs w:val="16"/>
        </w:rPr>
      </w:pPr>
    </w:p>
    <w:p w14:paraId="5808B1A7" w14:textId="77777777" w:rsidR="000409C9" w:rsidRPr="00925F26" w:rsidRDefault="000409C9" w:rsidP="00925F26">
      <w:pPr>
        <w:pStyle w:val="ae"/>
        <w:spacing w:before="0" w:after="0"/>
        <w:jc w:val="both"/>
        <w:textAlignment w:val="baseline"/>
        <w:rPr>
          <w:color w:val="000000" w:themeColor="text1"/>
          <w:sz w:val="16"/>
          <w:szCs w:val="16"/>
        </w:rPr>
      </w:pPr>
      <w:r w:rsidRPr="00925F26">
        <w:rPr>
          <w:color w:val="000000" w:themeColor="text1"/>
          <w:sz w:val="16"/>
          <w:szCs w:val="16"/>
        </w:rPr>
        <w:t>В апреле 1945 года из-за неудовлетворительной бронепробиваемости гранату РПГ-6 сняли с производства. Гранаты РПГ-43 производились и после войны, а на вооружении Советской армии состояли как минимум до середины 50-х годов (18876).</w:t>
      </w:r>
    </w:p>
    <w:p w14:paraId="60942EB4" w14:textId="77777777" w:rsidR="000409C9" w:rsidRPr="00925F26" w:rsidRDefault="000409C9" w:rsidP="00925F26">
      <w:pPr>
        <w:pStyle w:val="ae"/>
        <w:spacing w:before="0" w:after="0"/>
        <w:jc w:val="both"/>
        <w:textAlignment w:val="baseline"/>
        <w:rPr>
          <w:color w:val="000000" w:themeColor="text1"/>
          <w:sz w:val="16"/>
          <w:szCs w:val="16"/>
        </w:rPr>
      </w:pPr>
    </w:p>
    <w:p w14:paraId="2FD0A3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были закончены полигонные испытания 152-мм пушка БЛ-7. На вооружение БЛ-7 не поступала (3861).</w:t>
      </w:r>
    </w:p>
    <w:p w14:paraId="7229E031" w14:textId="77777777" w:rsidR="00665165" w:rsidRPr="00925F26" w:rsidRDefault="00665165" w:rsidP="00925F26">
      <w:pPr>
        <w:autoSpaceDE w:val="0"/>
        <w:autoSpaceDN w:val="0"/>
        <w:adjustRightInd w:val="0"/>
        <w:jc w:val="both"/>
        <w:rPr>
          <w:color w:val="000000" w:themeColor="text1"/>
          <w:sz w:val="16"/>
          <w:szCs w:val="16"/>
        </w:rPr>
      </w:pPr>
    </w:p>
    <w:p w14:paraId="4B8AB2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второй образец машины Объект 701 в Челябинске на ЧКЗ также был подвергнут дополнительным ходовым ио пытаниям. Обе машины и эти испытания выдержали. Комиссия третий раз рекомендовала принять танк "Объект 701" на вооружен РККА (10703).</w:t>
      </w:r>
    </w:p>
    <w:p w14:paraId="22EA39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EB5BC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был изго</w:t>
      </w:r>
      <w:r w:rsidRPr="00925F26">
        <w:rPr>
          <w:color w:val="000000" w:themeColor="text1"/>
          <w:sz w:val="16"/>
          <w:szCs w:val="16"/>
        </w:rPr>
        <w:softHyphen/>
        <w:t>товлен опытный образец уста</w:t>
      </w:r>
      <w:r w:rsidRPr="00925F26">
        <w:rPr>
          <w:color w:val="000000" w:themeColor="text1"/>
          <w:sz w:val="16"/>
          <w:szCs w:val="16"/>
        </w:rPr>
        <w:softHyphen/>
        <w:t>новки СУ-101, получивший заводское наименование "Уралмаш-1". В течение лета - осени 1945 г. машина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925F26">
        <w:rPr>
          <w:color w:val="000000" w:themeColor="text1"/>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925F26">
        <w:rPr>
          <w:color w:val="000000" w:themeColor="text1"/>
          <w:sz w:val="16"/>
          <w:szCs w:val="16"/>
        </w:rPr>
        <w:softHyphen/>
        <w:t>пу полностью бронированных самоходных установок и являлась проти</w:t>
      </w:r>
      <w:r w:rsidRPr="00925F26">
        <w:rPr>
          <w:color w:val="000000" w:themeColor="text1"/>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925F26">
        <w:rPr>
          <w:color w:val="000000" w:themeColor="text1"/>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925F26">
        <w:rPr>
          <w:color w:val="000000" w:themeColor="text1"/>
          <w:sz w:val="16"/>
          <w:szCs w:val="16"/>
        </w:rPr>
        <w:softHyphen/>
        <w:t>нию проходимости из-за перегрузки передних опорных катков (10703).</w:t>
      </w:r>
    </w:p>
    <w:p w14:paraId="6D1B1C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41DD5D7" w14:textId="77777777" w:rsidR="000409C9" w:rsidRPr="00925F26" w:rsidRDefault="000409C9" w:rsidP="00925F26">
      <w:pPr>
        <w:jc w:val="both"/>
        <w:rPr>
          <w:color w:val="000000" w:themeColor="text1"/>
          <w:sz w:val="16"/>
          <w:szCs w:val="16"/>
        </w:rPr>
      </w:pPr>
      <w:r w:rsidRPr="00925F26">
        <w:rPr>
          <w:color w:val="000000" w:themeColor="text1"/>
          <w:sz w:val="16"/>
          <w:szCs w:val="16"/>
        </w:rPr>
        <w:t>В апреле 1945 года Кировский завод окончательно сдал первые свои пять ИСУ-152. При этом 1 мая на заводе имелось ещё 16 машин, которые были собраны, но ещё не приняты заказчиком. Кроме того, в апреле завод выпустил по 15 КПП и планетарных механизмов поворота, 16 бортовых редукторов и прочие элементы. Правда, по некоторым группам узлов и агрегатов имелись существенные проблемы, что и стало причиной мизерных объёмов сданных машин. Качество ленинградских ИСУ-152 оставляло желать лучшего.</w:t>
      </w:r>
    </w:p>
    <w:p w14:paraId="47A16FF2" w14:textId="77777777" w:rsidR="000409C9" w:rsidRPr="00925F26" w:rsidRDefault="000409C9" w:rsidP="00925F26">
      <w:pPr>
        <w:jc w:val="both"/>
        <w:rPr>
          <w:color w:val="000000" w:themeColor="text1"/>
          <w:sz w:val="16"/>
          <w:szCs w:val="16"/>
        </w:rPr>
      </w:pPr>
      <w:r w:rsidRPr="00925F26">
        <w:rPr>
          <w:color w:val="000000" w:themeColor="text1"/>
          <w:sz w:val="16"/>
          <w:szCs w:val="16"/>
        </w:rPr>
        <w:t>Из-за запаздывания документации самоходные установки Кировского завода не оснащались пулемётами ДШК и дымовыми шашками МДШ. Завод планировал, что пулемёты и дымовые шашки будут отсутствовать на первых 50 машинах, но Главное бронетанковое управление Красной армии готово было принять в таком состоянии лишь первые 15 машин (5 апрельских, 5 майских и 5 июньских), после чего требовало оснащать машины так же, как и челябинские ИСУ-152.</w:t>
      </w:r>
    </w:p>
    <w:p w14:paraId="175084C3" w14:textId="77777777" w:rsidR="000409C9" w:rsidRPr="00925F26" w:rsidRDefault="000409C9" w:rsidP="00925F26">
      <w:pPr>
        <w:jc w:val="both"/>
        <w:rPr>
          <w:color w:val="000000" w:themeColor="text1"/>
          <w:sz w:val="16"/>
          <w:szCs w:val="16"/>
        </w:rPr>
      </w:pPr>
      <w:r w:rsidRPr="00925F26">
        <w:rPr>
          <w:color w:val="000000" w:themeColor="text1"/>
          <w:sz w:val="16"/>
          <w:szCs w:val="16"/>
        </w:rPr>
        <w:t>Обходились ленинградские машины дороже челябинских: 300 тысяч рублей против 230 (цена челябинской ИСУ-152 в 1945 году). Такой была плата за организацию дополнительного мелкосерийного производства. Тем не менее небольшой ручеёк ленинградских машин потихоньку рос. В апреле, мае и июне 1945 года завод сдал по пять машин, на такой же объём разгрузили производство ЧКЗ. В июле и августе в Ленинграде сдали по десять машин, в сентябре-ноябре по 15, а в декабре 20 машин. Всего за 1945 год на Кировском заводе выпустили 100 машин.</w:t>
      </w:r>
    </w:p>
    <w:p w14:paraId="0701EB42" w14:textId="77777777" w:rsidR="000409C9" w:rsidRPr="00925F26" w:rsidRDefault="000409C9" w:rsidP="00925F26">
      <w:pPr>
        <w:jc w:val="both"/>
        <w:rPr>
          <w:color w:val="000000" w:themeColor="text1"/>
          <w:sz w:val="16"/>
          <w:szCs w:val="16"/>
        </w:rPr>
      </w:pPr>
      <w:r w:rsidRPr="00925F26">
        <w:rPr>
          <w:color w:val="000000" w:themeColor="text1"/>
          <w:sz w:val="16"/>
          <w:szCs w:val="16"/>
        </w:rPr>
        <w:t>На Кировском заводе производство ИСУ-152 продолжилось и после того, как эти САУ перестал выпускать ЧКЗ. В 1946 году в Ленинграде построили ещё 200 ИСУ-152, а в 1947 — 50. Таким образом, всего Кировский завод сдал 350 ИСУ-152. Для сравнения, немецких самоходных установок Jagdpanther, наиболее близких к ИСУ среди немецких машин по ТТХ, было построено всего 413 штук, причём усилиями трёх заводов.</w:t>
      </w:r>
    </w:p>
    <w:p w14:paraId="6FAB0237" w14:textId="77777777" w:rsidR="000409C9" w:rsidRPr="00925F26" w:rsidRDefault="000409C9" w:rsidP="00925F26">
      <w:pPr>
        <w:jc w:val="both"/>
        <w:rPr>
          <w:color w:val="000000" w:themeColor="text1"/>
          <w:sz w:val="16"/>
          <w:szCs w:val="16"/>
        </w:rPr>
      </w:pPr>
      <w:r w:rsidRPr="00925F26">
        <w:rPr>
          <w:color w:val="000000" w:themeColor="text1"/>
          <w:sz w:val="16"/>
          <w:szCs w:val="16"/>
        </w:rPr>
        <w:t>Всего же с ноября 1943 по 1947 год было сдано 2815 ИСУ-152. Эта машина стала самой массовой тяжёлой САУ в истории. При этом второе место занимает тоже советская машина — однотипная ИСУ-122 (18171).</w:t>
      </w:r>
    </w:p>
    <w:p w14:paraId="0E80DD83" w14:textId="77777777" w:rsidR="000409C9" w:rsidRPr="00925F26" w:rsidRDefault="000409C9" w:rsidP="00925F26">
      <w:pPr>
        <w:jc w:val="both"/>
        <w:rPr>
          <w:color w:val="000000" w:themeColor="text1"/>
          <w:sz w:val="16"/>
          <w:szCs w:val="16"/>
        </w:rPr>
      </w:pPr>
    </w:p>
    <w:p w14:paraId="00BEA2DD" w14:textId="77777777" w:rsidR="000409C9" w:rsidRPr="00925F26" w:rsidRDefault="000409C9" w:rsidP="00925F26">
      <w:pPr>
        <w:jc w:val="both"/>
        <w:rPr>
          <w:color w:val="000000" w:themeColor="text1"/>
          <w:sz w:val="16"/>
          <w:szCs w:val="16"/>
        </w:rPr>
      </w:pPr>
      <w:r w:rsidRPr="00925F26">
        <w:rPr>
          <w:color w:val="000000" w:themeColor="text1"/>
          <w:sz w:val="16"/>
          <w:szCs w:val="16"/>
        </w:rPr>
        <w:t>В апреле 1945 продолжались доработки СУ-100 и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C7ABB93" w14:textId="77777777" w:rsidR="000409C9" w:rsidRPr="00925F26" w:rsidRDefault="000409C9" w:rsidP="00925F26">
      <w:pPr>
        <w:jc w:val="both"/>
        <w:rPr>
          <w:color w:val="000000" w:themeColor="text1"/>
          <w:sz w:val="16"/>
          <w:szCs w:val="16"/>
        </w:rPr>
      </w:pPr>
    </w:p>
    <w:p w14:paraId="7B7AAE39" w14:textId="77777777" w:rsidR="000409C9" w:rsidRPr="00925F26" w:rsidRDefault="000409C9" w:rsidP="00925F26">
      <w:pPr>
        <w:jc w:val="both"/>
        <w:rPr>
          <w:color w:val="000000" w:themeColor="text1"/>
          <w:sz w:val="16"/>
          <w:szCs w:val="16"/>
        </w:rPr>
      </w:pPr>
      <w:r w:rsidRPr="00925F26">
        <w:rPr>
          <w:color w:val="000000" w:themeColor="text1"/>
          <w:sz w:val="16"/>
          <w:szCs w:val="16"/>
        </w:rPr>
        <w:t>В апреле 1945 года ГАЗ и завод № 40 перешли к производству СУ-76М с модернизированным боевым отделением.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2C7AB26A" w14:textId="77777777" w:rsidR="000409C9" w:rsidRPr="00925F26" w:rsidRDefault="000409C9" w:rsidP="00925F26">
      <w:pPr>
        <w:jc w:val="both"/>
        <w:rPr>
          <w:color w:val="000000" w:themeColor="text1"/>
          <w:sz w:val="16"/>
          <w:szCs w:val="16"/>
        </w:rPr>
      </w:pPr>
    </w:p>
    <w:p w14:paraId="7A1B4560" w14:textId="1A1693E1" w:rsidR="000409C9" w:rsidRPr="00925F26" w:rsidRDefault="000409C9" w:rsidP="00925F26">
      <w:pPr>
        <w:jc w:val="both"/>
        <w:rPr>
          <w:color w:val="000000" w:themeColor="text1"/>
          <w:sz w:val="16"/>
          <w:szCs w:val="16"/>
        </w:rPr>
      </w:pPr>
      <w:r w:rsidRPr="00925F26">
        <w:rPr>
          <w:color w:val="000000" w:themeColor="text1"/>
          <w:sz w:val="16"/>
          <w:szCs w:val="16"/>
        </w:rPr>
        <w:t xml:space="preserve">За апрель 1945 ГАЗ сдал 454 СУ-76М, а завод №40 — 150 штук. В мае выпуск составил 440 и 160 машин соответственно, столько же САУ построили в июне. С июля темпы производства начали падать. Если завод №40 сдал те же 160 СУ-76М, то ГАЗ уменьшил выпуск до 420 штук, в августе заводы сдали 160 и 400 машин соответственно. 2 </w:t>
      </w:r>
      <w:proofErr w:type="gramStart"/>
      <w:r w:rsidRPr="00925F26">
        <w:rPr>
          <w:color w:val="000000" w:themeColor="text1"/>
          <w:sz w:val="16"/>
          <w:szCs w:val="16"/>
        </w:rPr>
        <w:t>сентября</w:t>
      </w:r>
      <w:r w:rsidR="00997EDF" w:rsidRPr="00925F26">
        <w:rPr>
          <w:color w:val="000000" w:themeColor="text1"/>
          <w:sz w:val="16"/>
          <w:szCs w:val="16"/>
        </w:rPr>
        <w:t xml:space="preserve">  </w:t>
      </w:r>
      <w:r w:rsidRPr="00925F26">
        <w:rPr>
          <w:color w:val="000000" w:themeColor="text1"/>
          <w:sz w:val="16"/>
          <w:szCs w:val="16"/>
        </w:rPr>
        <w:t>война</w:t>
      </w:r>
      <w:proofErr w:type="gramEnd"/>
      <w:r w:rsidRPr="00925F26">
        <w:rPr>
          <w:color w:val="000000" w:themeColor="text1"/>
          <w:sz w:val="16"/>
          <w:szCs w:val="16"/>
        </w:rPr>
        <w:t xml:space="preserve"> и объёмы ежемесячного производства уменьшились ещё больше. За сентябрь ГАЗ сдал 250 СУ-76М, а завод №40 — 120 штук (18172).</w:t>
      </w:r>
    </w:p>
    <w:p w14:paraId="03416EE9" w14:textId="77777777" w:rsidR="000409C9" w:rsidRPr="00925F26" w:rsidRDefault="000409C9" w:rsidP="00925F26">
      <w:pPr>
        <w:jc w:val="both"/>
        <w:rPr>
          <w:color w:val="000000" w:themeColor="text1"/>
          <w:sz w:val="16"/>
          <w:szCs w:val="16"/>
        </w:rPr>
      </w:pPr>
    </w:p>
    <w:p w14:paraId="1887F382" w14:textId="77777777" w:rsidR="00AD7C9A" w:rsidRPr="001A0BAA" w:rsidRDefault="00AD7C9A" w:rsidP="00AD7C9A">
      <w:pPr>
        <w:jc w:val="both"/>
        <w:rPr>
          <w:color w:val="0070C0"/>
          <w:sz w:val="16"/>
          <w:szCs w:val="16"/>
        </w:rPr>
      </w:pPr>
      <w:r w:rsidRPr="001A0BAA">
        <w:rPr>
          <w:color w:val="0070C0"/>
          <w:sz w:val="16"/>
          <w:szCs w:val="16"/>
        </w:rPr>
        <w:t>С апреля 1945 года в серию пошли САУ СУ-76М. с модернизированными корпусами. Исходя из тех заявлений, которые шли со стороны ГБТУ КА и ГАУ КА, такие САУ выпускались бы недолго. СУ-85Б явно была лучше. Вместе с тем, в мае 1945 года никаких разговоров о подготовке серийного выпуска СУ-85Б не велось (24993).</w:t>
      </w:r>
    </w:p>
    <w:p w14:paraId="32959313" w14:textId="77777777" w:rsidR="00AD7C9A" w:rsidRPr="001A0BAA" w:rsidRDefault="00AD7C9A" w:rsidP="00AD7C9A">
      <w:pPr>
        <w:jc w:val="both"/>
        <w:rPr>
          <w:color w:val="0070C0"/>
          <w:sz w:val="16"/>
          <w:szCs w:val="16"/>
        </w:rPr>
      </w:pPr>
    </w:p>
    <w:p w14:paraId="00489E04" w14:textId="77777777" w:rsidR="000409C9" w:rsidRPr="00925F26" w:rsidRDefault="000409C9" w:rsidP="00925F26">
      <w:pPr>
        <w:pStyle w:val="ae"/>
        <w:spacing w:before="0" w:after="0"/>
        <w:jc w:val="both"/>
        <w:textAlignment w:val="baseline"/>
        <w:rPr>
          <w:color w:val="000000" w:themeColor="text1"/>
          <w:sz w:val="16"/>
          <w:szCs w:val="16"/>
        </w:rPr>
      </w:pPr>
      <w:r w:rsidRPr="00925F26">
        <w:rPr>
          <w:color w:val="000000" w:themeColor="text1"/>
          <w:sz w:val="16"/>
          <w:szCs w:val="16"/>
        </w:rPr>
        <w:t>С апреля 1945 года начались полноценные поставки Т-44 в войска. В этот месяц завод №75 отправил 72 машины, в мае ушло 88, а в июне – 104. Далее начались проблемы с КПП и подшипниками, в результате за 3-й квартал 1945 года завод №75 покинуло всего 83 танка. Снова крупномасштабные поставки начались в конце 1945 года – 218 в октябре, 90 – в ноябре, и 29 – в декабре. Такой рваный график продолжался и дальше, поскольку периодически завод сталкивался с теми или иными дефектами (19047).</w:t>
      </w:r>
    </w:p>
    <w:p w14:paraId="7CE2A9DD" w14:textId="77777777" w:rsidR="000409C9" w:rsidRPr="00925F26" w:rsidRDefault="000409C9" w:rsidP="00925F26">
      <w:pPr>
        <w:pStyle w:val="ae"/>
        <w:spacing w:before="0" w:after="0"/>
        <w:jc w:val="both"/>
        <w:textAlignment w:val="baseline"/>
        <w:rPr>
          <w:color w:val="000000" w:themeColor="text1"/>
          <w:sz w:val="16"/>
          <w:szCs w:val="16"/>
        </w:rPr>
      </w:pPr>
    </w:p>
    <w:p w14:paraId="1E9B6C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был изготовлен опытный образец машины СУ-102, которая разрабатывалась в КБ УЗТМ под руководством Л.И. Горлицкого одновременно с самоходной установкой СУ-101. ко</w:t>
      </w:r>
      <w:r w:rsidRPr="00925F26">
        <w:rPr>
          <w:color w:val="000000" w:themeColor="text1"/>
          <w:sz w:val="16"/>
          <w:szCs w:val="16"/>
        </w:rPr>
        <w:softHyphen/>
        <w:t>торый, как и самоходная установка СУ-101, имел заводское наименова</w:t>
      </w:r>
      <w:r w:rsidRPr="00925F26">
        <w:rPr>
          <w:color w:val="000000" w:themeColor="text1"/>
          <w:sz w:val="16"/>
          <w:szCs w:val="16"/>
        </w:rPr>
        <w:softHyphen/>
        <w:t>ние "Уралмаш-1". В течение лета - осени 1945 г. опытный образец СУ-102 прошел заводские испытания и соответствующие доработки. На вооружении и в серийном производстве машина не состояла. Опыт работы над самоходной установкой СУ-102 был использован для созда</w:t>
      </w:r>
      <w:r w:rsidRPr="00925F26">
        <w:rPr>
          <w:color w:val="000000" w:themeColor="text1"/>
          <w:sz w:val="16"/>
          <w:szCs w:val="16"/>
        </w:rPr>
        <w:softHyphen/>
        <w:t>ния боевых машин артиллерии в послевоенный период. Самоходная установка СУ-102 относилась к типу полностью брони</w:t>
      </w:r>
      <w:r w:rsidRPr="00925F26">
        <w:rPr>
          <w:color w:val="000000" w:themeColor="text1"/>
          <w:sz w:val="16"/>
          <w:szCs w:val="16"/>
        </w:rPr>
        <w:softHyphen/>
        <w:t>рованных самоходных установок и по компоновке и общему устройст</w:t>
      </w:r>
      <w:r w:rsidRPr="00925F26">
        <w:rPr>
          <w:color w:val="000000" w:themeColor="text1"/>
          <w:sz w:val="16"/>
          <w:szCs w:val="16"/>
        </w:rPr>
        <w:softHyphen/>
        <w:t>ву, кроме вооружения, не отличалась от установки СУ-101. Экипаж ма</w:t>
      </w:r>
      <w:r w:rsidRPr="00925F26">
        <w:rPr>
          <w:color w:val="000000" w:themeColor="text1"/>
          <w:sz w:val="16"/>
          <w:szCs w:val="16"/>
        </w:rPr>
        <w:softHyphen/>
        <w:t>шины состоял из четырех человек (10703).</w:t>
      </w:r>
    </w:p>
    <w:p w14:paraId="4BA8F4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17A9CEE" w14:textId="426AAF22" w:rsidR="00740428" w:rsidRPr="00740428" w:rsidRDefault="00740428" w:rsidP="00740428">
      <w:pPr>
        <w:autoSpaceDE w:val="0"/>
        <w:autoSpaceDN w:val="0"/>
        <w:adjustRightInd w:val="0"/>
        <w:jc w:val="both"/>
        <w:rPr>
          <w:color w:val="0070C0"/>
          <w:sz w:val="16"/>
          <w:szCs w:val="16"/>
        </w:rPr>
      </w:pPr>
      <w:r w:rsidRPr="00740428">
        <w:rPr>
          <w:color w:val="0070C0"/>
          <w:sz w:val="16"/>
          <w:szCs w:val="16"/>
        </w:rPr>
        <w:t>С апреля 1945 г., Ковровский машиностроительный завод Наркомата путей сообщения (НКПС) постановлением ГКО обязан был поставить во 2 квартале 1945 г. 600 тонн деталей стального литья (ступиц) для Т-34. Однако уже в июне 1945 г. завод, перестраиваясь на работу в мирное время, прекратил поставки. В НКТП отказ от выполнения военного заказа расценили как «неправильные указания».</w:t>
      </w:r>
    </w:p>
    <w:p w14:paraId="7C004860" w14:textId="77777777" w:rsidR="00740428" w:rsidRPr="00740428" w:rsidRDefault="00740428" w:rsidP="00740428">
      <w:pPr>
        <w:autoSpaceDE w:val="0"/>
        <w:autoSpaceDN w:val="0"/>
        <w:adjustRightInd w:val="0"/>
        <w:jc w:val="both"/>
        <w:rPr>
          <w:color w:val="0070C0"/>
          <w:sz w:val="16"/>
          <w:szCs w:val="16"/>
        </w:rPr>
      </w:pPr>
      <w:r w:rsidRPr="00740428">
        <w:rPr>
          <w:color w:val="0070C0"/>
          <w:sz w:val="16"/>
          <w:szCs w:val="16"/>
        </w:rPr>
        <w:t>Переговоры с главой НКПС И.В. Ковалевым лишь подтвердили опасения в отрасли. В руководстве Ковровского машиностроительного завода, имея, по всей видимости, соответствующие директивы «сверху», заявили о прекращении поставок танкового литья с 3 квартала. По словам В.А. Малышева, недостачу по предыдущим месяцам Наркомату танковой промышленности так и не компенсировали.</w:t>
      </w:r>
    </w:p>
    <w:p w14:paraId="57E315A0" w14:textId="314ADC6A" w:rsidR="00740428" w:rsidRPr="00740428" w:rsidRDefault="00740428" w:rsidP="00740428">
      <w:pPr>
        <w:autoSpaceDE w:val="0"/>
        <w:autoSpaceDN w:val="0"/>
        <w:adjustRightInd w:val="0"/>
        <w:jc w:val="both"/>
        <w:rPr>
          <w:color w:val="0070C0"/>
          <w:sz w:val="16"/>
          <w:szCs w:val="16"/>
        </w:rPr>
      </w:pPr>
      <w:r w:rsidRPr="00740428">
        <w:rPr>
          <w:color w:val="0070C0"/>
          <w:sz w:val="16"/>
          <w:szCs w:val="16"/>
        </w:rPr>
        <w:t>В тот период вопросы производства бронетехники курировал в ГКО и правительстве Л.П. Берия. Содержание материалов ведомственной переписки, поступавшей в его секретариат, показывает, что В.А. Малышев не стал решать проблему «в лоб», с выходом на Берию, а решил действовать «в обход» через А.М. Петросянца, заместителя Л.П. Берии в ГКО по танковому производству. Предварительная договоренность с А. Петросянцем увеличивала для Малышева шансы на успех. 15 июля 1945 г. они отправили Берии записку, в которой просили оказать давление на Ковалева с целью обеспечения возобновления поставок танкового литья в счет невыполнения плана 3 квартала. На дельнейшей работе Ковровского завода как поставщика танкопрома В.А. Малышев настаивать не мог, поэтому брал на себя вопрос организации литья на одном из профильных заводов НКТП. Такая позиция была поддержана Берией, который поставил на письме резолюцию: «Согласен. т. Ковалеву для принятия мер. т. Борисову – учесть в плане 3 квартала – 17.06.45. Л. Берия» (25780).</w:t>
      </w:r>
    </w:p>
    <w:p w14:paraId="76FF20E3" w14:textId="77777777" w:rsidR="00740428" w:rsidRPr="00740428" w:rsidRDefault="00740428" w:rsidP="00925F26">
      <w:pPr>
        <w:autoSpaceDE w:val="0"/>
        <w:autoSpaceDN w:val="0"/>
        <w:adjustRightInd w:val="0"/>
        <w:jc w:val="both"/>
        <w:rPr>
          <w:color w:val="0070C0"/>
          <w:sz w:val="16"/>
          <w:szCs w:val="16"/>
        </w:rPr>
      </w:pPr>
    </w:p>
    <w:p w14:paraId="2BC11C4C" w14:textId="04F64699"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1945 года было выдано тактико-техническое задание на разработку гидродинамического взрывателя донных неконтактных мин. Действие взрывателя предусматривалось как самостоятельно, так и в комбинации с акустическим. индукционным и магнитным каналами. Взрыватель должен был срабатывать при </w:t>
      </w:r>
      <w:r w:rsidRPr="00925F26">
        <w:rPr>
          <w:color w:val="000000" w:themeColor="text1"/>
          <w:sz w:val="16"/>
          <w:szCs w:val="16"/>
        </w:rPr>
        <w:lastRenderedPageBreak/>
        <w:t>прохождении корабля водоизмещением более 180 т на глубинах от 5 до 30 м. С окончанием Великой Отечественной войны создание неконтактных мин становится главным направлением в развитии минного оружия в советском флоте.</w:t>
      </w:r>
    </w:p>
    <w:p w14:paraId="2A676734" w14:textId="77777777" w:rsidR="00665165" w:rsidRPr="00925F26" w:rsidRDefault="00665165" w:rsidP="00925F26">
      <w:pPr>
        <w:autoSpaceDE w:val="0"/>
        <w:autoSpaceDN w:val="0"/>
        <w:adjustRightInd w:val="0"/>
        <w:jc w:val="both"/>
        <w:rPr>
          <w:color w:val="000000" w:themeColor="text1"/>
          <w:sz w:val="16"/>
          <w:szCs w:val="16"/>
        </w:rPr>
      </w:pPr>
    </w:p>
    <w:p w14:paraId="5BEEF654" w14:textId="77777777" w:rsidR="00FF11DB" w:rsidRPr="00925F26" w:rsidRDefault="00FF11DB" w:rsidP="00925F26">
      <w:pPr>
        <w:pStyle w:val="book"/>
        <w:ind w:firstLine="0"/>
        <w:jc w:val="both"/>
        <w:rPr>
          <w:color w:val="000000" w:themeColor="text1"/>
          <w:sz w:val="16"/>
          <w:szCs w:val="16"/>
        </w:rPr>
      </w:pPr>
      <w:r w:rsidRPr="00925F26">
        <w:rPr>
          <w:color w:val="000000" w:themeColor="text1"/>
          <w:sz w:val="16"/>
          <w:szCs w:val="16"/>
        </w:rPr>
        <w:t>В апреле 1945 г. на завод № 264 начало поступать оборудование с немецкого завода фирмы «Гута-Банкова», находившегося в Польше. Этот завод был хорошо оборудован для производства бронекорпусов танков. Трофейные службы в составе наступающей Красной армии демонтировали все оборудование и отправили на завод № 264 (15225).</w:t>
      </w:r>
    </w:p>
    <w:p w14:paraId="796CD672" w14:textId="77777777" w:rsidR="00FF11DB" w:rsidRPr="00925F26" w:rsidRDefault="00FF11DB" w:rsidP="00925F26">
      <w:pPr>
        <w:pStyle w:val="book"/>
        <w:ind w:firstLine="0"/>
        <w:jc w:val="both"/>
        <w:rPr>
          <w:color w:val="000000" w:themeColor="text1"/>
          <w:sz w:val="16"/>
          <w:szCs w:val="16"/>
        </w:rPr>
      </w:pPr>
    </w:p>
    <w:p w14:paraId="5F6BBC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апрель 1945 г. за период с 1930 в нашей стране произведено 114 734 мотоцикла, в числе которых отечественные и трофей</w:t>
      </w:r>
      <w:r w:rsidRPr="00925F26">
        <w:rPr>
          <w:color w:val="000000" w:themeColor="text1"/>
          <w:sz w:val="16"/>
          <w:szCs w:val="16"/>
        </w:rPr>
        <w:softHyphen/>
        <w:t>ные мотоциклы (табл. 29). Из которых 75 837 (66,1%) были но</w:t>
      </w:r>
      <w:r w:rsidRPr="00925F26">
        <w:rPr>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43356D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Серийный выпуск мотоциклов в СССР за период 1930 г. - апрель 1945 г.</w:t>
      </w:r>
    </w:p>
    <w:tbl>
      <w:tblPr>
        <w:tblW w:w="0" w:type="auto"/>
        <w:tblInd w:w="40" w:type="dxa"/>
        <w:tblLayout w:type="fixed"/>
        <w:tblCellMar>
          <w:left w:w="40" w:type="dxa"/>
          <w:right w:w="40" w:type="dxa"/>
        </w:tblCellMar>
        <w:tblLook w:val="0000" w:firstRow="0" w:lastRow="0" w:firstColumn="0" w:lastColumn="0" w:noHBand="0" w:noVBand="0"/>
      </w:tblPr>
      <w:tblGrid>
        <w:gridCol w:w="1402"/>
        <w:gridCol w:w="480"/>
        <w:gridCol w:w="480"/>
        <w:gridCol w:w="480"/>
        <w:gridCol w:w="480"/>
        <w:gridCol w:w="470"/>
        <w:gridCol w:w="480"/>
        <w:gridCol w:w="490"/>
        <w:gridCol w:w="480"/>
        <w:gridCol w:w="595"/>
        <w:gridCol w:w="595"/>
        <w:gridCol w:w="480"/>
        <w:gridCol w:w="605"/>
        <w:gridCol w:w="470"/>
        <w:gridCol w:w="605"/>
        <w:gridCol w:w="595"/>
        <w:gridCol w:w="480"/>
        <w:gridCol w:w="730"/>
      </w:tblGrid>
      <w:tr w:rsidR="000F5689" w:rsidRPr="00925F26" w14:paraId="356893AB" w14:textId="77777777">
        <w:trPr>
          <w:trHeight w:val="374"/>
        </w:trPr>
        <w:tc>
          <w:tcPr>
            <w:tcW w:w="1402" w:type="dxa"/>
            <w:tcBorders>
              <w:top w:val="single" w:sz="6" w:space="0" w:color="auto"/>
              <w:left w:val="single" w:sz="6" w:space="0" w:color="auto"/>
              <w:bottom w:val="nil"/>
              <w:right w:val="single" w:sz="6" w:space="0" w:color="auto"/>
            </w:tcBorders>
          </w:tcPr>
          <w:p w14:paraId="73BCF1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Модель</w:t>
            </w:r>
          </w:p>
          <w:p w14:paraId="327713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265" w:type="dxa"/>
            <w:gridSpan w:val="16"/>
            <w:tcBorders>
              <w:top w:val="single" w:sz="6" w:space="0" w:color="auto"/>
              <w:left w:val="single" w:sz="6" w:space="0" w:color="auto"/>
              <w:bottom w:val="single" w:sz="6" w:space="0" w:color="auto"/>
              <w:right w:val="single" w:sz="6" w:space="0" w:color="auto"/>
            </w:tcBorders>
          </w:tcPr>
          <w:p w14:paraId="1D38AD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Выпуск мотоциклов по годам</w:t>
            </w:r>
          </w:p>
          <w:p w14:paraId="2269BE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4DBB13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1CDF16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01EA88B" w14:textId="77777777">
        <w:trPr>
          <w:trHeight w:val="365"/>
        </w:trPr>
        <w:tc>
          <w:tcPr>
            <w:tcW w:w="1402" w:type="dxa"/>
            <w:tcBorders>
              <w:top w:val="nil"/>
              <w:left w:val="single" w:sz="6" w:space="0" w:color="auto"/>
              <w:bottom w:val="single" w:sz="6" w:space="0" w:color="auto"/>
              <w:right w:val="single" w:sz="6" w:space="0" w:color="auto"/>
            </w:tcBorders>
          </w:tcPr>
          <w:p w14:paraId="07F5EA54" w14:textId="77777777" w:rsidR="00665165" w:rsidRPr="00925F26" w:rsidRDefault="00665165" w:rsidP="00925F26">
            <w:pPr>
              <w:autoSpaceDE w:val="0"/>
              <w:autoSpaceDN w:val="0"/>
              <w:adjustRightInd w:val="0"/>
              <w:jc w:val="both"/>
              <w:rPr>
                <w:color w:val="000000" w:themeColor="text1"/>
                <w:sz w:val="16"/>
                <w:szCs w:val="16"/>
              </w:rPr>
            </w:pPr>
          </w:p>
          <w:p w14:paraId="002B5EE1" w14:textId="77777777" w:rsidR="00665165" w:rsidRPr="00925F26" w:rsidRDefault="00665165" w:rsidP="00925F26">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AE380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24BFF9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3DD29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1931</w:t>
            </w:r>
          </w:p>
          <w:p w14:paraId="067C73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F5D1E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1932</w:t>
            </w:r>
          </w:p>
          <w:p w14:paraId="626E01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46F4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1933</w:t>
            </w:r>
          </w:p>
          <w:p w14:paraId="0A2852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7E650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1934</w:t>
            </w:r>
          </w:p>
          <w:p w14:paraId="69A3C2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A5A9D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1935</w:t>
            </w:r>
          </w:p>
          <w:p w14:paraId="11494A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43CC62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12EDB0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38A09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1937</w:t>
            </w:r>
          </w:p>
          <w:p w14:paraId="21A6B8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12BE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p w14:paraId="2E1424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5DB0E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4FB68E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98830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w:t>
            </w:r>
          </w:p>
          <w:p w14:paraId="68CB10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44F5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5D7C21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E227A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w:t>
            </w:r>
          </w:p>
          <w:p w14:paraId="0BB6BB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C36FC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w:t>
            </w:r>
          </w:p>
          <w:p w14:paraId="647E7D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A614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w:t>
            </w:r>
          </w:p>
          <w:p w14:paraId="7561E7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804C1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w:t>
            </w:r>
          </w:p>
          <w:p w14:paraId="7977F6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0A2CAC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EE206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D559303" w14:textId="77777777">
        <w:trPr>
          <w:trHeight w:val="355"/>
        </w:trPr>
        <w:tc>
          <w:tcPr>
            <w:tcW w:w="1402" w:type="dxa"/>
            <w:tcBorders>
              <w:top w:val="single" w:sz="6" w:space="0" w:color="auto"/>
              <w:left w:val="single" w:sz="6" w:space="0" w:color="auto"/>
              <w:bottom w:val="nil"/>
              <w:right w:val="single" w:sz="6" w:space="0" w:color="auto"/>
            </w:tcBorders>
          </w:tcPr>
          <w:p w14:paraId="6334C8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Л-300</w:t>
            </w:r>
          </w:p>
          <w:p w14:paraId="7AEA34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5EBB2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w:t>
            </w:r>
          </w:p>
          <w:p w14:paraId="3E2A55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79125F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0F743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p w14:paraId="38ECBE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D5465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w:t>
            </w:r>
          </w:p>
          <w:p w14:paraId="59B675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7C3A3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w:t>
            </w:r>
          </w:p>
          <w:p w14:paraId="375AA1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2AE3F8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06B00A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A8059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w:t>
            </w:r>
          </w:p>
          <w:p w14:paraId="18EA8D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793627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2500</w:t>
            </w:r>
          </w:p>
          <w:p w14:paraId="2DA954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40D3E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3597</w:t>
            </w:r>
          </w:p>
          <w:p w14:paraId="1B2167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6B93C7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4800</w:t>
            </w:r>
          </w:p>
          <w:p w14:paraId="1F60BB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5D0D99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4500</w:t>
            </w:r>
          </w:p>
          <w:p w14:paraId="6DB9E9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1051F0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2756F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5E4B77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0354A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6782EB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493FE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5CA10D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9853F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77D31B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8D66A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4CC8A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5E087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51B17F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19 060</w:t>
            </w:r>
          </w:p>
          <w:p w14:paraId="2173AA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8A0AEAD" w14:textId="77777777">
        <w:trPr>
          <w:trHeight w:val="221"/>
        </w:trPr>
        <w:tc>
          <w:tcPr>
            <w:tcW w:w="1402" w:type="dxa"/>
            <w:tcBorders>
              <w:top w:val="nil"/>
              <w:left w:val="single" w:sz="6" w:space="0" w:color="auto"/>
              <w:bottom w:val="nil"/>
              <w:right w:val="single" w:sz="6" w:space="0" w:color="auto"/>
            </w:tcBorders>
          </w:tcPr>
          <w:p w14:paraId="06F5B9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Л-8</w:t>
            </w:r>
          </w:p>
          <w:p w14:paraId="1BCDBA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E6B5C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7DA07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582A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5173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BBC8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FC6A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2963F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91D4E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46B24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D6193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37146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BAE04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DEF36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D0520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8AC12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C4703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B70F0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B524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E5066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D76E4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53562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448</w:t>
            </w:r>
          </w:p>
          <w:p w14:paraId="5C0E89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4BFD3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1169</w:t>
            </w:r>
          </w:p>
          <w:p w14:paraId="3E2BF5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774F2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C8EE1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063CD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FDB40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93B32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F0A85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B023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D47AD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1D8B2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1617</w:t>
            </w:r>
          </w:p>
          <w:p w14:paraId="313210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DFFFC0F" w14:textId="77777777">
        <w:trPr>
          <w:trHeight w:val="221"/>
        </w:trPr>
        <w:tc>
          <w:tcPr>
            <w:tcW w:w="1402" w:type="dxa"/>
            <w:tcBorders>
              <w:top w:val="nil"/>
              <w:left w:val="single" w:sz="6" w:space="0" w:color="auto"/>
              <w:bottom w:val="nil"/>
              <w:right w:val="single" w:sz="6" w:space="0" w:color="auto"/>
            </w:tcBorders>
          </w:tcPr>
          <w:p w14:paraId="775A1F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ИЖ-7</w:t>
            </w:r>
          </w:p>
          <w:p w14:paraId="576442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5354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3F027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37B9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7CFD7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B7B7C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B5796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A3A4E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19E308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5C43B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111</w:t>
            </w:r>
          </w:p>
          <w:p w14:paraId="443864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64E7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451</w:t>
            </w:r>
          </w:p>
          <w:p w14:paraId="340D34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79B632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2007</w:t>
            </w:r>
          </w:p>
          <w:p w14:paraId="5DB30D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90E6E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ЗОЮ</w:t>
            </w:r>
          </w:p>
          <w:p w14:paraId="79A704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75733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6514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BE106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BFF8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9AA91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FA405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2683D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0A99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5B867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E7357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A02DB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AA200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3F5C3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5A41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8F74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82FF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5A1F9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5589</w:t>
            </w:r>
          </w:p>
          <w:p w14:paraId="61FDBB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9896431" w14:textId="77777777">
        <w:trPr>
          <w:trHeight w:val="221"/>
        </w:trPr>
        <w:tc>
          <w:tcPr>
            <w:tcW w:w="1402" w:type="dxa"/>
            <w:tcBorders>
              <w:top w:val="nil"/>
              <w:left w:val="single" w:sz="6" w:space="0" w:color="auto"/>
              <w:bottom w:val="nil"/>
              <w:right w:val="single" w:sz="6" w:space="0" w:color="auto"/>
            </w:tcBorders>
          </w:tcPr>
          <w:p w14:paraId="4075B1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ИЖ-8</w:t>
            </w:r>
          </w:p>
          <w:p w14:paraId="7E38A3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ECDD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2FA38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454F3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A0351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C59C6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B3369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E5861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A576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9BE70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DE4F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9386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97AE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74088E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4EFD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6196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E650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CB262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4020</w:t>
            </w:r>
          </w:p>
          <w:p w14:paraId="32687F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DDF69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4317</w:t>
            </w:r>
          </w:p>
          <w:p w14:paraId="2EE6A6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1822E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1556</w:t>
            </w:r>
          </w:p>
          <w:p w14:paraId="5A4713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3D41E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BAB7E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D2CE9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EF64C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9F018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EC7C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D79A8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4750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E73B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DAD0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0788AA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9893</w:t>
            </w:r>
          </w:p>
          <w:p w14:paraId="210A77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9093275" w14:textId="77777777">
        <w:trPr>
          <w:trHeight w:val="221"/>
        </w:trPr>
        <w:tc>
          <w:tcPr>
            <w:tcW w:w="1402" w:type="dxa"/>
            <w:tcBorders>
              <w:top w:val="nil"/>
              <w:left w:val="single" w:sz="6" w:space="0" w:color="auto"/>
              <w:bottom w:val="nil"/>
              <w:right w:val="single" w:sz="6" w:space="0" w:color="auto"/>
            </w:tcBorders>
          </w:tcPr>
          <w:p w14:paraId="16D563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ИЖ-9</w:t>
            </w:r>
          </w:p>
          <w:p w14:paraId="1358D1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15A5A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4A6B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C0C9C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AE433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94CE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AD567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7FDC2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D1D89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12E95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25A8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C0A5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7AB75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7C119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6055C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6A82F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D2EE7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B7A6A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6318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EBC1D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1C024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3422B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833</w:t>
            </w:r>
          </w:p>
          <w:p w14:paraId="6C959A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24A7A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5392</w:t>
            </w:r>
          </w:p>
          <w:p w14:paraId="3E450C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A0874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16677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2F5BD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87989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98EB2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646C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1A2EA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1FCAA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5386B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6225</w:t>
            </w:r>
          </w:p>
          <w:p w14:paraId="408D55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F26E765" w14:textId="77777777">
        <w:trPr>
          <w:trHeight w:val="221"/>
        </w:trPr>
        <w:tc>
          <w:tcPr>
            <w:tcW w:w="1402" w:type="dxa"/>
            <w:tcBorders>
              <w:top w:val="nil"/>
              <w:left w:val="single" w:sz="6" w:space="0" w:color="auto"/>
              <w:bottom w:val="nil"/>
              <w:right w:val="single" w:sz="6" w:space="0" w:color="auto"/>
            </w:tcBorders>
          </w:tcPr>
          <w:p w14:paraId="40E172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ИЖ-12</w:t>
            </w:r>
          </w:p>
          <w:p w14:paraId="23E6AA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325A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DB862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A9AE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A24C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24F46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611A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4100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B670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00F84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4B04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F0316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47EDA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19E1B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9CB1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B61DA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407B2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65D37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1267E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CC3F8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5115F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6888B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0F6F13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33983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w:t>
            </w:r>
          </w:p>
          <w:p w14:paraId="408239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EDBF8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7CD27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46D45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F0A6A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DA89F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EDF2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6B01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323DC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1D172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w:t>
            </w:r>
          </w:p>
          <w:p w14:paraId="3B1712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7225C6F" w14:textId="77777777">
        <w:trPr>
          <w:trHeight w:val="442"/>
        </w:trPr>
        <w:tc>
          <w:tcPr>
            <w:tcW w:w="1402" w:type="dxa"/>
            <w:tcBorders>
              <w:top w:val="nil"/>
              <w:left w:val="single" w:sz="6" w:space="0" w:color="auto"/>
              <w:bottom w:val="nil"/>
              <w:right w:val="single" w:sz="6" w:space="0" w:color="auto"/>
            </w:tcBorders>
          </w:tcPr>
          <w:p w14:paraId="128807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«Стрела» МЛ-3</w:t>
            </w:r>
          </w:p>
          <w:p w14:paraId="0792A7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1FD3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12E1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F62C0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A715B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CD36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0C1AD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121E5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C779F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42F37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266E0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B0F1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231BA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8C015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w:t>
            </w:r>
          </w:p>
          <w:p w14:paraId="6BFD49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EEDB5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246</w:t>
            </w:r>
          </w:p>
          <w:p w14:paraId="304826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AEB17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FB0C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50FC6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930FC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75CB8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p w14:paraId="7B1358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03E41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w:t>
            </w:r>
          </w:p>
          <w:p w14:paraId="5F6F95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6C1F1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95E21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B425C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BDCF3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67978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D15F9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0EC0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F19E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75B8D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356 168</w:t>
            </w:r>
          </w:p>
          <w:p w14:paraId="3E6300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3083ADD" w14:textId="77777777">
        <w:trPr>
          <w:trHeight w:val="211"/>
        </w:trPr>
        <w:tc>
          <w:tcPr>
            <w:tcW w:w="1402" w:type="dxa"/>
            <w:tcBorders>
              <w:top w:val="nil"/>
              <w:left w:val="single" w:sz="6" w:space="0" w:color="auto"/>
              <w:bottom w:val="nil"/>
              <w:right w:val="single" w:sz="6" w:space="0" w:color="auto"/>
            </w:tcBorders>
          </w:tcPr>
          <w:p w14:paraId="7C4115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МПЗ-750</w:t>
            </w:r>
          </w:p>
          <w:p w14:paraId="67EB16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C635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EF859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88CF9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49CA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ED4C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A9DE3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2080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7DB4D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32F74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2E9554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1C652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2060D2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D6E1C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1005</w:t>
            </w:r>
          </w:p>
          <w:p w14:paraId="445264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7DE69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1259</w:t>
            </w:r>
          </w:p>
          <w:p w14:paraId="1A93DE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5CFAA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2180</w:t>
            </w:r>
          </w:p>
          <w:p w14:paraId="7AD7CF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452F7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w:t>
            </w:r>
          </w:p>
          <w:p w14:paraId="3DDF54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C41B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D4F9E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27B36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BDEB3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990E1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6320B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9002F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73AA2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F7C1D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77242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56B21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9FF2C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D57FE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4636</w:t>
            </w:r>
          </w:p>
          <w:p w14:paraId="43D8E6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2439B63" w14:textId="77777777">
        <w:trPr>
          <w:trHeight w:val="230"/>
        </w:trPr>
        <w:tc>
          <w:tcPr>
            <w:tcW w:w="1402" w:type="dxa"/>
            <w:tcBorders>
              <w:top w:val="nil"/>
              <w:left w:val="single" w:sz="6" w:space="0" w:color="auto"/>
              <w:bottom w:val="nil"/>
              <w:right w:val="single" w:sz="6" w:space="0" w:color="auto"/>
            </w:tcBorders>
          </w:tcPr>
          <w:p w14:paraId="1DC72C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ТИЗ-АМ-600</w:t>
            </w:r>
            <w:r w:rsidRPr="00925F26">
              <w:rPr>
                <w:color w:val="000000" w:themeColor="text1"/>
                <w:sz w:val="16"/>
                <w:szCs w:val="16"/>
                <w:vertAlign w:val="superscript"/>
              </w:rPr>
              <w:t>1</w:t>
            </w:r>
          </w:p>
          <w:p w14:paraId="7CF544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857CA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F614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D70B4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CB53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E500E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454D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DB257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DDACB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DCE85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6EB80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39CB8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521</w:t>
            </w:r>
          </w:p>
          <w:p w14:paraId="3E5D47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B969C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1500</w:t>
            </w:r>
          </w:p>
          <w:p w14:paraId="7BFE5E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87833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1545</w:t>
            </w:r>
          </w:p>
          <w:p w14:paraId="6660EF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FD740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1530</w:t>
            </w:r>
          </w:p>
          <w:p w14:paraId="6FD600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FD958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1500</w:t>
            </w:r>
          </w:p>
          <w:p w14:paraId="50143A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3264D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2826</w:t>
            </w:r>
          </w:p>
          <w:p w14:paraId="5F809D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415FC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2970</w:t>
            </w:r>
          </w:p>
          <w:p w14:paraId="3A8B43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BA875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187</w:t>
            </w:r>
          </w:p>
          <w:p w14:paraId="58BE71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D0BBF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427</w:t>
            </w:r>
          </w:p>
          <w:p w14:paraId="66CCD8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B99B3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298BC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7426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F40C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F8310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13 006</w:t>
            </w:r>
          </w:p>
          <w:p w14:paraId="720DB0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013B751" w14:textId="77777777">
        <w:trPr>
          <w:trHeight w:val="230"/>
        </w:trPr>
        <w:tc>
          <w:tcPr>
            <w:tcW w:w="1402" w:type="dxa"/>
            <w:tcBorders>
              <w:top w:val="nil"/>
              <w:left w:val="single" w:sz="6" w:space="0" w:color="auto"/>
              <w:bottom w:val="nil"/>
              <w:right w:val="single" w:sz="6" w:space="0" w:color="auto"/>
            </w:tcBorders>
          </w:tcPr>
          <w:p w14:paraId="46ACD7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Л-600</w:t>
            </w:r>
          </w:p>
          <w:p w14:paraId="6FCFFA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CB20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39C5B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05D92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D012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6EC9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A2E30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F8F8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6979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3696C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E6C51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C6EA8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C35DC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594995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6FB46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D3F9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F26C1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CD26B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117</w:t>
            </w:r>
          </w:p>
          <w:p w14:paraId="7F65C2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DED75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19C288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0E67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95CF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45940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FA36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01A92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67A73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2B3C8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18FF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0538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B4449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5D5D9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809B9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8127B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w:t>
            </w:r>
          </w:p>
          <w:p w14:paraId="680EEF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9B8BB6B" w14:textId="77777777">
        <w:trPr>
          <w:trHeight w:val="211"/>
        </w:trPr>
        <w:tc>
          <w:tcPr>
            <w:tcW w:w="1402" w:type="dxa"/>
            <w:tcBorders>
              <w:top w:val="nil"/>
              <w:left w:val="single" w:sz="6" w:space="0" w:color="auto"/>
              <w:bottom w:val="nil"/>
              <w:right w:val="nil"/>
            </w:tcBorders>
          </w:tcPr>
          <w:p w14:paraId="2F6C58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М-72</w:t>
            </w:r>
          </w:p>
          <w:p w14:paraId="6A8611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nil"/>
              <w:bottom w:val="nil"/>
              <w:right w:val="single" w:sz="6" w:space="0" w:color="auto"/>
            </w:tcBorders>
          </w:tcPr>
          <w:p w14:paraId="3458F8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4F3E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F1F77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525E5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EE45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DD45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CC41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1ED95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2835E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C607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C1680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64C0A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7E317C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92AE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53198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AA87C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CBB09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E7365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BFE0E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86B3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695CB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BACBF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D45D3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1751</w:t>
            </w:r>
          </w:p>
          <w:p w14:paraId="1AC984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FE273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2875</w:t>
            </w:r>
          </w:p>
          <w:p w14:paraId="6D8215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27DFF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3424</w:t>
            </w:r>
          </w:p>
          <w:p w14:paraId="26AC60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DF407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5401</w:t>
            </w:r>
          </w:p>
          <w:p w14:paraId="55C44A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68F6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1595</w:t>
            </w:r>
          </w:p>
          <w:p w14:paraId="63BF5C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F4395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15 046</w:t>
            </w:r>
          </w:p>
          <w:p w14:paraId="1ED62E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5DA1C0F" w14:textId="77777777">
        <w:trPr>
          <w:trHeight w:val="221"/>
        </w:trPr>
        <w:tc>
          <w:tcPr>
            <w:tcW w:w="1402" w:type="dxa"/>
            <w:tcBorders>
              <w:top w:val="nil"/>
              <w:left w:val="single" w:sz="6" w:space="0" w:color="auto"/>
              <w:bottom w:val="nil"/>
              <w:right w:val="single" w:sz="6" w:space="0" w:color="auto"/>
            </w:tcBorders>
          </w:tcPr>
          <w:p w14:paraId="5EFAC8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БТРЗ № 20</w:t>
            </w:r>
            <w:r w:rsidRPr="00925F26">
              <w:rPr>
                <w:color w:val="000000" w:themeColor="text1"/>
                <w:sz w:val="16"/>
                <w:szCs w:val="16"/>
                <w:vertAlign w:val="superscript"/>
              </w:rPr>
              <w:t>2</w:t>
            </w:r>
          </w:p>
          <w:p w14:paraId="55F8D4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EBC3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BE8C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1678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22EB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B2DC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4BA12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683A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8796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A9F08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1BDD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0710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421F2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5562CE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A992F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1C275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C12BB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5B627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809A8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59568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C466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C9853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ACA50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E8E20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87A1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73C34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3000</w:t>
            </w:r>
          </w:p>
          <w:p w14:paraId="4BBC5B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40A96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3000</w:t>
            </w:r>
          </w:p>
          <w:p w14:paraId="75367C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64D15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3000</w:t>
            </w:r>
          </w:p>
          <w:p w14:paraId="1644B8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55B8B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04032A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087407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10000</w:t>
            </w:r>
          </w:p>
          <w:p w14:paraId="66437B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4030E2C" w14:textId="77777777">
        <w:trPr>
          <w:trHeight w:val="490"/>
        </w:trPr>
        <w:tc>
          <w:tcPr>
            <w:tcW w:w="1402" w:type="dxa"/>
            <w:tcBorders>
              <w:top w:val="nil"/>
              <w:left w:val="single" w:sz="6" w:space="0" w:color="auto"/>
              <w:bottom w:val="nil"/>
              <w:right w:val="single" w:sz="6" w:space="0" w:color="auto"/>
            </w:tcBorders>
          </w:tcPr>
          <w:p w14:paraId="5B733E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Трофейные</w:t>
            </w:r>
          </w:p>
          <w:p w14:paraId="6F3904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Ленд-лиз</w:t>
            </w:r>
          </w:p>
          <w:p w14:paraId="797F2F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51D4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1497D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B63BC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4398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5068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D1E4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225D3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01DC8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1AA53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E5F82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113AF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3175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386CE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5B1F1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67CFF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4644E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73526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D01AB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40BBB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12637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23AAD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00C83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B1B4B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1763</w:t>
            </w:r>
          </w:p>
          <w:p w14:paraId="613542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33CF4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1423 457</w:t>
            </w:r>
          </w:p>
          <w:p w14:paraId="6469FC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115B7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1449 8900</w:t>
            </w:r>
          </w:p>
          <w:p w14:paraId="493032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908B0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1437 10781</w:t>
            </w:r>
          </w:p>
          <w:p w14:paraId="3D6786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A657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537648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2387</w:t>
            </w:r>
          </w:p>
          <w:p w14:paraId="7BB6C9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E64D3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6372 22 525</w:t>
            </w:r>
          </w:p>
          <w:p w14:paraId="6D2448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2C028D2" w14:textId="77777777">
        <w:trPr>
          <w:trHeight w:val="288"/>
        </w:trPr>
        <w:tc>
          <w:tcPr>
            <w:tcW w:w="1402" w:type="dxa"/>
            <w:tcBorders>
              <w:top w:val="nil"/>
              <w:left w:val="single" w:sz="6" w:space="0" w:color="auto"/>
              <w:bottom w:val="nil"/>
              <w:right w:val="single" w:sz="6" w:space="0" w:color="auto"/>
            </w:tcBorders>
          </w:tcPr>
          <w:p w14:paraId="244385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по годам</w:t>
            </w:r>
          </w:p>
          <w:p w14:paraId="4D56FF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DA714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2DC973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45DCD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p w14:paraId="3DA83E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A7AB6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w:t>
            </w:r>
          </w:p>
          <w:p w14:paraId="50B01D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67E7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510</w:t>
            </w:r>
          </w:p>
          <w:p w14:paraId="20252D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D52C5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1112</w:t>
            </w:r>
          </w:p>
          <w:p w14:paraId="7B627E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C98EE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2981</w:t>
            </w:r>
          </w:p>
          <w:p w14:paraId="620FA6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D7F6B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7122</w:t>
            </w:r>
          </w:p>
          <w:p w14:paraId="6C445E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F706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9657</w:t>
            </w:r>
          </w:p>
          <w:p w14:paraId="40CF45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AA235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12 647</w:t>
            </w:r>
          </w:p>
          <w:p w14:paraId="6BEB2E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8644E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10 574</w:t>
            </w:r>
          </w:p>
          <w:p w14:paraId="7B2748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0E79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5785</w:t>
            </w:r>
          </w:p>
          <w:p w14:paraId="1F6001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130ED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13 140</w:t>
            </w:r>
          </w:p>
          <w:p w14:paraId="0D1EFE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90BD8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7942</w:t>
            </w:r>
          </w:p>
          <w:p w14:paraId="567C9F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5F65F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17 200</w:t>
            </w:r>
          </w:p>
          <w:p w14:paraId="57C7DC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962FE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20619</w:t>
            </w:r>
          </w:p>
          <w:p w14:paraId="55BA2E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29565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5282</w:t>
            </w:r>
          </w:p>
          <w:p w14:paraId="1875B3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67A28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114734</w:t>
            </w:r>
          </w:p>
          <w:p w14:paraId="477807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C5EC062" w14:textId="77777777">
        <w:trPr>
          <w:trHeight w:val="595"/>
        </w:trPr>
        <w:tc>
          <w:tcPr>
            <w:tcW w:w="6912" w:type="dxa"/>
            <w:gridSpan w:val="12"/>
            <w:tcBorders>
              <w:top w:val="nil"/>
              <w:left w:val="single" w:sz="6" w:space="0" w:color="auto"/>
              <w:bottom w:val="single" w:sz="6" w:space="0" w:color="auto"/>
              <w:right w:val="nil"/>
            </w:tcBorders>
          </w:tcPr>
          <w:p w14:paraId="00EAE1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Примечания: Мотоциклы, изготовленные на ТМЗ в 1942 и 1943 г. в количестве 187 и 427 БТРЗ № 20 по годам автором не выявлен, поэтому приведена ориентировочная оценка.</w:t>
            </w:r>
          </w:p>
          <w:p w14:paraId="4DDB88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85" w:type="dxa"/>
            <w:gridSpan w:val="6"/>
            <w:tcBorders>
              <w:top w:val="nil"/>
              <w:left w:val="nil"/>
              <w:bottom w:val="single" w:sz="6" w:space="0" w:color="auto"/>
              <w:right w:val="single" w:sz="6" w:space="0" w:color="auto"/>
            </w:tcBorders>
          </w:tcPr>
          <w:p w14:paraId="7A1E20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шт. назывались АМ-600. </w:t>
            </w:r>
            <w:r w:rsidRPr="00925F26">
              <w:rPr>
                <w:color w:val="000000" w:themeColor="text1"/>
                <w:sz w:val="16"/>
                <w:szCs w:val="16"/>
                <w:vertAlign w:val="superscript"/>
              </w:rPr>
              <w:t>2</w:t>
            </w:r>
            <w:r w:rsidRPr="00925F26">
              <w:rPr>
                <w:color w:val="000000" w:themeColor="text1"/>
                <w:sz w:val="16"/>
                <w:szCs w:val="16"/>
              </w:rPr>
              <w:t xml:space="preserve"> Выпуск мотоциклов</w:t>
            </w:r>
          </w:p>
          <w:p w14:paraId="70E355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3A074A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(11429).</w:t>
      </w:r>
    </w:p>
    <w:p w14:paraId="44C743A7" w14:textId="77777777" w:rsidR="00665165" w:rsidRPr="00925F26" w:rsidRDefault="00665165" w:rsidP="00925F26">
      <w:pPr>
        <w:autoSpaceDE w:val="0"/>
        <w:autoSpaceDN w:val="0"/>
        <w:adjustRightInd w:val="0"/>
        <w:jc w:val="both"/>
        <w:rPr>
          <w:color w:val="000000" w:themeColor="text1"/>
          <w:sz w:val="16"/>
          <w:szCs w:val="16"/>
        </w:rPr>
      </w:pPr>
    </w:p>
    <w:p w14:paraId="2B7B41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Перечень отечественных мотоциклов (1899-1945)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0"/>
        <w:gridCol w:w="3402"/>
        <w:gridCol w:w="1422"/>
        <w:gridCol w:w="567"/>
        <w:gridCol w:w="14"/>
        <w:gridCol w:w="1241"/>
        <w:gridCol w:w="1300"/>
      </w:tblGrid>
      <w:tr w:rsidR="000F5689" w:rsidRPr="00925F26" w14:paraId="2CBE4FE0" w14:textId="77777777">
        <w:trPr>
          <w:trHeight w:val="384"/>
        </w:trPr>
        <w:tc>
          <w:tcPr>
            <w:tcW w:w="2410" w:type="dxa"/>
            <w:tcBorders>
              <w:top w:val="single" w:sz="12" w:space="0" w:color="auto"/>
            </w:tcBorders>
          </w:tcPr>
          <w:p w14:paraId="3299F6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Марка, обозначение</w:t>
            </w:r>
          </w:p>
          <w:p w14:paraId="578130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Borders>
              <w:top w:val="single" w:sz="12" w:space="0" w:color="auto"/>
            </w:tcBorders>
          </w:tcPr>
          <w:p w14:paraId="123C1D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Изготовитель</w:t>
            </w:r>
          </w:p>
          <w:p w14:paraId="273606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12" w:space="0" w:color="auto"/>
            </w:tcBorders>
          </w:tcPr>
          <w:p w14:paraId="5EADE1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Город</w:t>
            </w:r>
          </w:p>
          <w:p w14:paraId="4FAEA9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2" w:type="dxa"/>
            <w:gridSpan w:val="3"/>
            <w:tcBorders>
              <w:top w:val="single" w:sz="12" w:space="0" w:color="auto"/>
            </w:tcBorders>
          </w:tcPr>
          <w:p w14:paraId="7AA010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w:t>
            </w:r>
          </w:p>
          <w:p w14:paraId="69A43D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Borders>
              <w:top w:val="single" w:sz="12" w:space="0" w:color="auto"/>
            </w:tcBorders>
          </w:tcPr>
          <w:p w14:paraId="5CCFD8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w:t>
            </w:r>
          </w:p>
        </w:tc>
      </w:tr>
      <w:tr w:rsidR="000F5689" w:rsidRPr="00925F26" w14:paraId="64BAACBC" w14:textId="77777777">
        <w:trPr>
          <w:trHeight w:val="566"/>
        </w:trPr>
        <w:tc>
          <w:tcPr>
            <w:tcW w:w="2410" w:type="dxa"/>
          </w:tcPr>
          <w:p w14:paraId="1C0B1ED1" w14:textId="77777777" w:rsidR="00665165" w:rsidRPr="00925F26" w:rsidRDefault="00665165" w:rsidP="00925F26">
            <w:pPr>
              <w:autoSpaceDE w:val="0"/>
              <w:autoSpaceDN w:val="0"/>
              <w:adjustRightInd w:val="0"/>
              <w:jc w:val="both"/>
              <w:rPr>
                <w:color w:val="000000" w:themeColor="text1"/>
                <w:sz w:val="16"/>
                <w:szCs w:val="16"/>
              </w:rPr>
            </w:pPr>
          </w:p>
          <w:p w14:paraId="71A9F49D" w14:textId="77777777" w:rsidR="00665165" w:rsidRPr="00925F26" w:rsidRDefault="00665165" w:rsidP="00925F26">
            <w:pPr>
              <w:autoSpaceDE w:val="0"/>
              <w:autoSpaceDN w:val="0"/>
              <w:adjustRightInd w:val="0"/>
              <w:jc w:val="both"/>
              <w:rPr>
                <w:color w:val="000000" w:themeColor="text1"/>
                <w:sz w:val="16"/>
                <w:szCs w:val="16"/>
              </w:rPr>
            </w:pPr>
          </w:p>
        </w:tc>
        <w:tc>
          <w:tcPr>
            <w:tcW w:w="3402" w:type="dxa"/>
          </w:tcPr>
          <w:p w14:paraId="201A302F" w14:textId="77777777" w:rsidR="00665165" w:rsidRPr="00925F26" w:rsidRDefault="00665165" w:rsidP="00925F26">
            <w:pPr>
              <w:autoSpaceDE w:val="0"/>
              <w:autoSpaceDN w:val="0"/>
              <w:adjustRightInd w:val="0"/>
              <w:jc w:val="both"/>
              <w:rPr>
                <w:color w:val="000000" w:themeColor="text1"/>
                <w:sz w:val="16"/>
                <w:szCs w:val="16"/>
              </w:rPr>
            </w:pPr>
          </w:p>
          <w:p w14:paraId="27B74C60" w14:textId="77777777" w:rsidR="00665165" w:rsidRPr="00925F26" w:rsidRDefault="00665165" w:rsidP="00925F26">
            <w:pPr>
              <w:autoSpaceDE w:val="0"/>
              <w:autoSpaceDN w:val="0"/>
              <w:adjustRightInd w:val="0"/>
              <w:jc w:val="both"/>
              <w:rPr>
                <w:color w:val="000000" w:themeColor="text1"/>
                <w:sz w:val="16"/>
                <w:szCs w:val="16"/>
              </w:rPr>
            </w:pPr>
          </w:p>
        </w:tc>
        <w:tc>
          <w:tcPr>
            <w:tcW w:w="1418" w:type="dxa"/>
          </w:tcPr>
          <w:p w14:paraId="3DF9B56C" w14:textId="77777777" w:rsidR="00665165" w:rsidRPr="00925F26" w:rsidRDefault="00665165" w:rsidP="00925F26">
            <w:pPr>
              <w:autoSpaceDE w:val="0"/>
              <w:autoSpaceDN w:val="0"/>
              <w:adjustRightInd w:val="0"/>
              <w:jc w:val="both"/>
              <w:rPr>
                <w:color w:val="000000" w:themeColor="text1"/>
                <w:sz w:val="16"/>
                <w:szCs w:val="16"/>
              </w:rPr>
            </w:pPr>
          </w:p>
          <w:p w14:paraId="2FB1D311" w14:textId="77777777" w:rsidR="00665165" w:rsidRPr="00925F26" w:rsidRDefault="00665165" w:rsidP="00925F26">
            <w:pPr>
              <w:autoSpaceDE w:val="0"/>
              <w:autoSpaceDN w:val="0"/>
              <w:adjustRightInd w:val="0"/>
              <w:jc w:val="both"/>
              <w:rPr>
                <w:color w:val="000000" w:themeColor="text1"/>
                <w:sz w:val="16"/>
                <w:szCs w:val="16"/>
              </w:rPr>
            </w:pPr>
          </w:p>
        </w:tc>
        <w:tc>
          <w:tcPr>
            <w:tcW w:w="567" w:type="dxa"/>
          </w:tcPr>
          <w:p w14:paraId="53FAFD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созда</w:t>
            </w:r>
            <w:r w:rsidRPr="00925F26">
              <w:rPr>
                <w:color w:val="000000" w:themeColor="text1"/>
                <w:sz w:val="16"/>
                <w:szCs w:val="16"/>
              </w:rPr>
              <w:softHyphen/>
              <w:t>ние</w:t>
            </w:r>
          </w:p>
          <w:p w14:paraId="5ECADF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27F39E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выпуск</w:t>
            </w:r>
          </w:p>
          <w:p w14:paraId="480CE1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313359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F846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C72B8DE" w14:textId="77777777">
        <w:trPr>
          <w:trHeight w:val="403"/>
        </w:trPr>
        <w:tc>
          <w:tcPr>
            <w:tcW w:w="2410" w:type="dxa"/>
          </w:tcPr>
          <w:p w14:paraId="68819A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«Россия»</w:t>
            </w:r>
          </w:p>
          <w:p w14:paraId="4F0221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1FB8EE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Фирма «А. Лейтнер и К°»</w:t>
            </w:r>
          </w:p>
          <w:p w14:paraId="149D5F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7458D8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Рига</w:t>
            </w:r>
          </w:p>
          <w:p w14:paraId="0F70C5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74545F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1899</w:t>
            </w:r>
          </w:p>
          <w:p w14:paraId="63D68E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392237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1899-1907</w:t>
            </w:r>
          </w:p>
          <w:p w14:paraId="70BEA0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5C0EA8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3969D7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46B0630" w14:textId="77777777">
        <w:trPr>
          <w:trHeight w:val="230"/>
        </w:trPr>
        <w:tc>
          <w:tcPr>
            <w:tcW w:w="2410" w:type="dxa"/>
          </w:tcPr>
          <w:p w14:paraId="482AEC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«Мото-Рев»</w:t>
            </w:r>
          </w:p>
          <w:p w14:paraId="31C37C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337EC4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Фирма «Дукс»</w:t>
            </w:r>
          </w:p>
          <w:p w14:paraId="214359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2FC4C9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w:t>
            </w:r>
          </w:p>
          <w:p w14:paraId="2B6173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548896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1909</w:t>
            </w:r>
          </w:p>
          <w:p w14:paraId="16F1CE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5597C3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1909-1915</w:t>
            </w:r>
          </w:p>
          <w:p w14:paraId="3A3C78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3CF926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598</w:t>
            </w:r>
          </w:p>
          <w:p w14:paraId="3D3EFC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87BD110" w14:textId="77777777">
        <w:trPr>
          <w:trHeight w:val="221"/>
        </w:trPr>
        <w:tc>
          <w:tcPr>
            <w:tcW w:w="2410" w:type="dxa"/>
          </w:tcPr>
          <w:p w14:paraId="08D920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CD0F4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474082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Решетников</w:t>
            </w:r>
          </w:p>
          <w:p w14:paraId="10CE00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49E637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Симбирск</w:t>
            </w:r>
          </w:p>
          <w:p w14:paraId="1FF52F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1C1E5D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1913</w:t>
            </w:r>
          </w:p>
          <w:p w14:paraId="540841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5BBAF5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1913</w:t>
            </w:r>
          </w:p>
          <w:p w14:paraId="2E73DD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2E122E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AA073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E81FEA1" w14:textId="77777777">
        <w:trPr>
          <w:trHeight w:val="230"/>
        </w:trPr>
        <w:tc>
          <w:tcPr>
            <w:tcW w:w="2410" w:type="dxa"/>
          </w:tcPr>
          <w:p w14:paraId="51102B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45A16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3F2474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Щербан</w:t>
            </w:r>
          </w:p>
          <w:p w14:paraId="74A7EF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6993AF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1B7A5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5D4EA1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1913</w:t>
            </w:r>
          </w:p>
          <w:p w14:paraId="2C9EE2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66697C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1913</w:t>
            </w:r>
          </w:p>
          <w:p w14:paraId="77D658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751010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4676B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6A9B86F" w14:textId="77777777">
        <w:trPr>
          <w:trHeight w:val="211"/>
        </w:trPr>
        <w:tc>
          <w:tcPr>
            <w:tcW w:w="2410" w:type="dxa"/>
          </w:tcPr>
          <w:p w14:paraId="2C122F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«Союз»</w:t>
            </w:r>
          </w:p>
          <w:p w14:paraId="50B3E5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207001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ОСОАВИАХИМ № 1</w:t>
            </w:r>
          </w:p>
          <w:p w14:paraId="03F39F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343F55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w:t>
            </w:r>
          </w:p>
          <w:p w14:paraId="7CB664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7C46AD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1924</w:t>
            </w:r>
          </w:p>
          <w:p w14:paraId="3E8264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2B5A20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1924</w:t>
            </w:r>
          </w:p>
          <w:p w14:paraId="3BA9C6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7B3498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2BD6B3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0F01142" w14:textId="77777777">
        <w:trPr>
          <w:trHeight w:val="230"/>
        </w:trPr>
        <w:tc>
          <w:tcPr>
            <w:tcW w:w="2410" w:type="dxa"/>
          </w:tcPr>
          <w:p w14:paraId="181579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«Э.М. </w:t>
            </w:r>
            <w:r w:rsidRPr="00925F26">
              <w:rPr>
                <w:color w:val="000000" w:themeColor="text1"/>
                <w:sz w:val="16"/>
                <w:szCs w:val="16"/>
                <w:lang w:val="en-US"/>
              </w:rPr>
              <w:t>III»</w:t>
            </w:r>
          </w:p>
          <w:p w14:paraId="0AD980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553363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Э.П. Мауэр</w:t>
            </w:r>
          </w:p>
          <w:p w14:paraId="2F85C4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39DB5A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F3116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093BEC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1925</w:t>
            </w:r>
          </w:p>
          <w:p w14:paraId="5AF867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06B278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1925-1929</w:t>
            </w:r>
          </w:p>
          <w:p w14:paraId="07CFBC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477FC8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C2C77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7B5C6B4" w14:textId="77777777">
        <w:trPr>
          <w:trHeight w:val="221"/>
        </w:trPr>
        <w:tc>
          <w:tcPr>
            <w:tcW w:w="2410" w:type="dxa"/>
          </w:tcPr>
          <w:p w14:paraId="34D2E2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МТ-2</w:t>
            </w:r>
          </w:p>
          <w:p w14:paraId="194AF3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6B78B7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 Токарев</w:t>
            </w:r>
          </w:p>
          <w:p w14:paraId="1137A3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1E838F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Тула</w:t>
            </w:r>
          </w:p>
          <w:p w14:paraId="3833D4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376D09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6D1042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23D0BA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199CBE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2D3E1F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433A89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F64BBFF" w14:textId="77777777">
        <w:trPr>
          <w:trHeight w:val="221"/>
        </w:trPr>
        <w:tc>
          <w:tcPr>
            <w:tcW w:w="2410" w:type="dxa"/>
          </w:tcPr>
          <w:p w14:paraId="5394A7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ИЖ-1</w:t>
            </w:r>
          </w:p>
          <w:p w14:paraId="08DD73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3295E1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Ижевский оружейный завод</w:t>
            </w:r>
          </w:p>
          <w:p w14:paraId="3AEF13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00C008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Ижевск</w:t>
            </w:r>
          </w:p>
          <w:p w14:paraId="621139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49CBA1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23F636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37947D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56900A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6EE87D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68339E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88EC959" w14:textId="77777777">
        <w:trPr>
          <w:trHeight w:val="211"/>
        </w:trPr>
        <w:tc>
          <w:tcPr>
            <w:tcW w:w="2410" w:type="dxa"/>
          </w:tcPr>
          <w:p w14:paraId="768CED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ИЖ-2</w:t>
            </w:r>
          </w:p>
          <w:p w14:paraId="1782BB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0D6F59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3D788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7E984F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441EA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5FCE8D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121B9A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480A96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59414A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38D5AF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78AF4F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75CF148" w14:textId="77777777">
        <w:trPr>
          <w:trHeight w:val="221"/>
        </w:trPr>
        <w:tc>
          <w:tcPr>
            <w:tcW w:w="2410" w:type="dxa"/>
          </w:tcPr>
          <w:p w14:paraId="18CF50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ИЖ-3</w:t>
            </w:r>
          </w:p>
          <w:p w14:paraId="645F3A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3462B3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999FA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332702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A9209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4F82F5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6E14CB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2ED823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34CBD9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0B510E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3FA13A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8233B31" w14:textId="77777777">
        <w:trPr>
          <w:trHeight w:val="221"/>
        </w:trPr>
        <w:tc>
          <w:tcPr>
            <w:tcW w:w="2410" w:type="dxa"/>
          </w:tcPr>
          <w:p w14:paraId="33A110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ИЖ-4</w:t>
            </w:r>
          </w:p>
          <w:p w14:paraId="44FC30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19E4EF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ECED0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5F151A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7B9A1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37869D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425BCA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567DAD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2E6841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709D1C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566127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7C87E67" w14:textId="77777777">
        <w:trPr>
          <w:trHeight w:val="221"/>
        </w:trPr>
        <w:tc>
          <w:tcPr>
            <w:tcW w:w="2410" w:type="dxa"/>
          </w:tcPr>
          <w:p w14:paraId="2AA2A6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ИЖ-5</w:t>
            </w:r>
          </w:p>
          <w:p w14:paraId="3CCB5B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608DF3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0C95D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0818DA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C8431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3658C3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065246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1D5DB2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2EA173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02D73B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161467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6AE5678" w14:textId="77777777">
        <w:trPr>
          <w:trHeight w:val="221"/>
        </w:trPr>
        <w:tc>
          <w:tcPr>
            <w:tcW w:w="2410" w:type="dxa"/>
          </w:tcPr>
          <w:p w14:paraId="51A602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68BE5E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6A3C5A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Солдатенко</w:t>
            </w:r>
          </w:p>
          <w:p w14:paraId="285C25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721C24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Харьков</w:t>
            </w:r>
          </w:p>
          <w:p w14:paraId="3CA661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56074B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70EE83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093EC2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1929</w:t>
            </w:r>
          </w:p>
          <w:p w14:paraId="47CB4B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5D2928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EF48C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5E8184B" w14:textId="77777777">
        <w:trPr>
          <w:trHeight w:val="221"/>
        </w:trPr>
        <w:tc>
          <w:tcPr>
            <w:tcW w:w="2410" w:type="dxa"/>
          </w:tcPr>
          <w:p w14:paraId="793821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w:t>
            </w:r>
          </w:p>
          <w:p w14:paraId="797642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48D52D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Константинов</w:t>
            </w:r>
          </w:p>
          <w:p w14:paraId="35333B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097F0F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Тула</w:t>
            </w:r>
          </w:p>
          <w:p w14:paraId="6A8EAF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7EE03A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7B3814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3187C1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401F0F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029323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61D225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81AB12E" w14:textId="77777777">
        <w:trPr>
          <w:trHeight w:val="211"/>
        </w:trPr>
        <w:tc>
          <w:tcPr>
            <w:tcW w:w="2410" w:type="dxa"/>
          </w:tcPr>
          <w:p w14:paraId="43F8DE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D8BD5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3885AA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Шитиков</w:t>
            </w:r>
          </w:p>
          <w:p w14:paraId="7ADA91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2E18BC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604F9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07EF41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00B94E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600F99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516DB9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79710A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0AA16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F72CD5F" w14:textId="77777777">
        <w:trPr>
          <w:trHeight w:val="336"/>
        </w:trPr>
        <w:tc>
          <w:tcPr>
            <w:tcW w:w="2410" w:type="dxa"/>
          </w:tcPr>
          <w:p w14:paraId="530BE7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ABD5B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402" w:type="dxa"/>
          </w:tcPr>
          <w:p w14:paraId="1D6FFE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 Лабура</w:t>
            </w:r>
          </w:p>
          <w:p w14:paraId="6C7DD9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Pr>
          <w:p w14:paraId="33201B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Харьков</w:t>
            </w:r>
          </w:p>
          <w:p w14:paraId="71C7C7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67" w:type="dxa"/>
          </w:tcPr>
          <w:p w14:paraId="184DF8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023AE8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55" w:type="dxa"/>
            <w:gridSpan w:val="2"/>
          </w:tcPr>
          <w:p w14:paraId="28E52B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7AB9A2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97" w:type="dxa"/>
          </w:tcPr>
          <w:p w14:paraId="3EA76D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382C88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35A081F" w14:textId="77777777">
        <w:trPr>
          <w:trHeight w:val="317"/>
        </w:trPr>
        <w:tc>
          <w:tcPr>
            <w:tcW w:w="2410" w:type="dxa"/>
          </w:tcPr>
          <w:p w14:paraId="123D87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D750F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6EE40C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Волков</w:t>
            </w:r>
          </w:p>
          <w:p w14:paraId="3DC2E2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86702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E0C3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23B36A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351BC8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05E3A0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089C0D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65C075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17FDDBFE" w14:textId="77777777">
        <w:trPr>
          <w:trHeight w:val="202"/>
        </w:trPr>
        <w:tc>
          <w:tcPr>
            <w:tcW w:w="2410" w:type="dxa"/>
          </w:tcPr>
          <w:p w14:paraId="4FF649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66615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055711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Нейман</w:t>
            </w:r>
          </w:p>
          <w:p w14:paraId="7852DE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1E2B1C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6E07B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1CEA5C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65DF3B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3FE898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592D0E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09324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65DC468C" w14:textId="77777777">
        <w:trPr>
          <w:trHeight w:val="202"/>
        </w:trPr>
        <w:tc>
          <w:tcPr>
            <w:tcW w:w="2410" w:type="dxa"/>
          </w:tcPr>
          <w:p w14:paraId="00ED64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E46E1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7058C9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Кондратьев</w:t>
            </w:r>
          </w:p>
          <w:p w14:paraId="192606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62C5C8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A4E1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85A38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4835F6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594E51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2C8F70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15C948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79A3BD54" w14:textId="77777777">
        <w:trPr>
          <w:trHeight w:val="182"/>
        </w:trPr>
        <w:tc>
          <w:tcPr>
            <w:tcW w:w="2410" w:type="dxa"/>
          </w:tcPr>
          <w:p w14:paraId="4E8B50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19007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1D7986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Махурин</w:t>
            </w:r>
          </w:p>
          <w:p w14:paraId="5A32C5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68D336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9D533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533417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107779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527352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2D34F3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637424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056438BC" w14:textId="77777777">
        <w:trPr>
          <w:trHeight w:val="202"/>
        </w:trPr>
        <w:tc>
          <w:tcPr>
            <w:tcW w:w="2410" w:type="dxa"/>
          </w:tcPr>
          <w:p w14:paraId="19A32C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Модель «М»</w:t>
            </w:r>
          </w:p>
          <w:p w14:paraId="23F068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58ED68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Харьковский автозавод</w:t>
            </w:r>
          </w:p>
          <w:p w14:paraId="26C370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32B34D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Харьков</w:t>
            </w:r>
          </w:p>
          <w:p w14:paraId="23B701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3EC7DC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146603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289AF7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5C221D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23D6E0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tc>
      </w:tr>
      <w:tr w:rsidR="000F5689" w:rsidRPr="00925F26" w14:paraId="216FC9C9" w14:textId="77777777">
        <w:trPr>
          <w:trHeight w:val="221"/>
        </w:trPr>
        <w:tc>
          <w:tcPr>
            <w:tcW w:w="2410" w:type="dxa"/>
          </w:tcPr>
          <w:p w14:paraId="70E131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Тремасс-300</w:t>
            </w:r>
          </w:p>
          <w:p w14:paraId="0A4262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2FD5D8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«ПРОМЕТ», «Красный</w:t>
            </w:r>
          </w:p>
          <w:p w14:paraId="39CE22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340775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w:t>
            </w:r>
          </w:p>
          <w:p w14:paraId="1D23A9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7C39E5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w:t>
            </w:r>
          </w:p>
          <w:p w14:paraId="542FC0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46FDBE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1930-1931</w:t>
            </w:r>
          </w:p>
          <w:p w14:paraId="0F7773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74955F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1CC394E" w14:textId="77777777">
        <w:trPr>
          <w:trHeight w:val="173"/>
        </w:trPr>
        <w:tc>
          <w:tcPr>
            <w:tcW w:w="2410" w:type="dxa"/>
          </w:tcPr>
          <w:p w14:paraId="589CF8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8F4BB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7FD982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Октябрь»</w:t>
            </w:r>
          </w:p>
          <w:p w14:paraId="566F82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0EE680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BE5B8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76E087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EBF41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2A536A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D2366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22E35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tc>
      </w:tr>
      <w:tr w:rsidR="000F5689" w:rsidRPr="00925F26" w14:paraId="40A9FAE6" w14:textId="77777777">
        <w:trPr>
          <w:trHeight w:val="202"/>
        </w:trPr>
        <w:tc>
          <w:tcPr>
            <w:tcW w:w="2410" w:type="dxa"/>
          </w:tcPr>
          <w:p w14:paraId="02BF3A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Л-300</w:t>
            </w:r>
          </w:p>
          <w:p w14:paraId="7D3AFA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5AB38E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«Красный Октябрь»</w:t>
            </w:r>
          </w:p>
          <w:p w14:paraId="3578EA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AC1FB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EDDCB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1DDCE8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1931</w:t>
            </w:r>
          </w:p>
          <w:p w14:paraId="3ED7DD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7A6A21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1932-1939</w:t>
            </w:r>
          </w:p>
          <w:p w14:paraId="54A322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117495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18985</w:t>
            </w:r>
          </w:p>
        </w:tc>
      </w:tr>
      <w:tr w:rsidR="000F5689" w:rsidRPr="00925F26" w14:paraId="2CA78D65" w14:textId="77777777">
        <w:trPr>
          <w:trHeight w:val="192"/>
        </w:trPr>
        <w:tc>
          <w:tcPr>
            <w:tcW w:w="2410" w:type="dxa"/>
          </w:tcPr>
          <w:p w14:paraId="540B1F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Л-350</w:t>
            </w:r>
          </w:p>
          <w:p w14:paraId="49B2F2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711BEA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700A8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4F590B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62A7C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6FDD7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1934</w:t>
            </w:r>
          </w:p>
          <w:p w14:paraId="1351B2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403BDD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1934</w:t>
            </w:r>
          </w:p>
          <w:p w14:paraId="53A9C7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34D04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69F1C52C" w14:textId="77777777">
        <w:trPr>
          <w:trHeight w:val="211"/>
        </w:trPr>
        <w:tc>
          <w:tcPr>
            <w:tcW w:w="2410" w:type="dxa"/>
          </w:tcPr>
          <w:p w14:paraId="32E826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Л-500</w:t>
            </w:r>
          </w:p>
          <w:p w14:paraId="0F100E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76079A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CD09D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0A461B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E9812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6B1DA3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1934</w:t>
            </w:r>
          </w:p>
          <w:p w14:paraId="6B03BD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098010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1935</w:t>
            </w:r>
          </w:p>
          <w:p w14:paraId="10FA47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6C894A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1CA16FD2" w14:textId="77777777">
        <w:trPr>
          <w:trHeight w:val="211"/>
        </w:trPr>
        <w:tc>
          <w:tcPr>
            <w:tcW w:w="2410" w:type="dxa"/>
          </w:tcPr>
          <w:p w14:paraId="7B2620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Л-8</w:t>
            </w:r>
          </w:p>
          <w:p w14:paraId="00A837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5074DC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«Красный Октябрь»</w:t>
            </w:r>
          </w:p>
          <w:p w14:paraId="2E4B50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1A67A7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58B40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1A25C4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p w14:paraId="35EAE4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0F565F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1938-1941</w:t>
            </w:r>
          </w:p>
          <w:p w14:paraId="7FA37B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DD12C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2073</w:t>
            </w:r>
          </w:p>
        </w:tc>
      </w:tr>
      <w:tr w:rsidR="000F5689" w:rsidRPr="00925F26" w14:paraId="0DF00217" w14:textId="77777777">
        <w:trPr>
          <w:trHeight w:val="192"/>
        </w:trPr>
        <w:tc>
          <w:tcPr>
            <w:tcW w:w="2410" w:type="dxa"/>
          </w:tcPr>
          <w:p w14:paraId="784B7D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0E99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622719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Ленинградский мотозавод</w:t>
            </w:r>
          </w:p>
          <w:p w14:paraId="10FC21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338C7E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FEB8B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7A63B9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EE151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04F70A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1940-1941</w:t>
            </w:r>
          </w:p>
          <w:p w14:paraId="14589D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269DC7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A0594E3" w14:textId="77777777">
        <w:trPr>
          <w:trHeight w:val="221"/>
        </w:trPr>
        <w:tc>
          <w:tcPr>
            <w:tcW w:w="2410" w:type="dxa"/>
          </w:tcPr>
          <w:p w14:paraId="4B8CEA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81D2C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1250C3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Серпуховской мотозавод</w:t>
            </w:r>
          </w:p>
          <w:p w14:paraId="3F7960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2E8521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Серпухов</w:t>
            </w:r>
          </w:p>
          <w:p w14:paraId="4452B1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33665B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8C214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48A75E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57DC0E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0196A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54431BC" w14:textId="77777777">
        <w:trPr>
          <w:trHeight w:val="192"/>
        </w:trPr>
        <w:tc>
          <w:tcPr>
            <w:tcW w:w="2410" w:type="dxa"/>
          </w:tcPr>
          <w:p w14:paraId="232DBC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Л-9</w:t>
            </w:r>
          </w:p>
          <w:p w14:paraId="2CA38E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19ACED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«Красный Октябрь»</w:t>
            </w:r>
          </w:p>
          <w:p w14:paraId="1A31AD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EE8CE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w:t>
            </w:r>
          </w:p>
          <w:p w14:paraId="4439B5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74F737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4B262D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12B958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6B96B6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0FE8E9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29F13987" w14:textId="77777777">
        <w:trPr>
          <w:trHeight w:val="173"/>
        </w:trPr>
        <w:tc>
          <w:tcPr>
            <w:tcW w:w="2410" w:type="dxa"/>
          </w:tcPr>
          <w:p w14:paraId="5434F3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С-1</w:t>
            </w:r>
          </w:p>
          <w:p w14:paraId="0E715F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2E6545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E155B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14540A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7124A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13D019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3170C8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4EBA83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6458E2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0F249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58E6A667" w14:textId="77777777">
        <w:trPr>
          <w:trHeight w:val="202"/>
        </w:trPr>
        <w:tc>
          <w:tcPr>
            <w:tcW w:w="2410" w:type="dxa"/>
          </w:tcPr>
          <w:p w14:paraId="2638AD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Л-600</w:t>
            </w:r>
          </w:p>
          <w:p w14:paraId="676A05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6962F8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ПРОМЕТ</w:t>
            </w:r>
          </w:p>
          <w:p w14:paraId="14E5A0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484DE4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F344B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44165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1932</w:t>
            </w:r>
          </w:p>
          <w:p w14:paraId="1BCFD2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0EDC01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1932-1939</w:t>
            </w:r>
          </w:p>
          <w:p w14:paraId="293CF8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23218B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A0B8516" w14:textId="77777777">
        <w:trPr>
          <w:trHeight w:val="211"/>
        </w:trPr>
        <w:tc>
          <w:tcPr>
            <w:tcW w:w="2410" w:type="dxa"/>
          </w:tcPr>
          <w:p w14:paraId="238AAD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В-125</w:t>
            </w:r>
          </w:p>
          <w:p w14:paraId="1A1E0B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0D9967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Ленинградский завод «Вулкан»</w:t>
            </w:r>
          </w:p>
          <w:p w14:paraId="5132EA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296A29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8D882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5521DA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0ECD84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7D5ECC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38C8CE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0A9D27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1EC48CBD" w14:textId="77777777">
        <w:trPr>
          <w:trHeight w:val="192"/>
        </w:trPr>
        <w:tc>
          <w:tcPr>
            <w:tcW w:w="2410" w:type="dxa"/>
          </w:tcPr>
          <w:p w14:paraId="36FD72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ИЖ-7</w:t>
            </w:r>
          </w:p>
          <w:p w14:paraId="3423A2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5615F1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Ижевский мотозавод</w:t>
            </w:r>
          </w:p>
          <w:p w14:paraId="22D46A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4A02E8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Ижевск</w:t>
            </w:r>
          </w:p>
          <w:p w14:paraId="6CAEC1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073FAA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1933</w:t>
            </w:r>
          </w:p>
          <w:p w14:paraId="3078D4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2673D3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1933-1937</w:t>
            </w:r>
          </w:p>
          <w:p w14:paraId="448881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3EE0F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5581</w:t>
            </w:r>
          </w:p>
        </w:tc>
      </w:tr>
      <w:tr w:rsidR="000F5689" w:rsidRPr="00925F26" w14:paraId="2FA2976A" w14:textId="77777777">
        <w:trPr>
          <w:trHeight w:val="202"/>
        </w:trPr>
        <w:tc>
          <w:tcPr>
            <w:tcW w:w="2410" w:type="dxa"/>
          </w:tcPr>
          <w:p w14:paraId="755803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ИЖ-8</w:t>
            </w:r>
          </w:p>
          <w:p w14:paraId="4C95D0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2A65AA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94489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55028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F3BAC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F596A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1937</w:t>
            </w:r>
          </w:p>
          <w:p w14:paraId="345314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724C4F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1938-1940</w:t>
            </w:r>
          </w:p>
          <w:p w14:paraId="749ED6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0C8A45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9893</w:t>
            </w:r>
          </w:p>
        </w:tc>
      </w:tr>
      <w:tr w:rsidR="000F5689" w:rsidRPr="00925F26" w14:paraId="502819C2" w14:textId="77777777">
        <w:trPr>
          <w:trHeight w:val="192"/>
        </w:trPr>
        <w:tc>
          <w:tcPr>
            <w:tcW w:w="2410" w:type="dxa"/>
          </w:tcPr>
          <w:p w14:paraId="0B978D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ИЖ-9</w:t>
            </w:r>
          </w:p>
          <w:p w14:paraId="502EB3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2A9C62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C788E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481284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967C3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6CB44C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5BEC9F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1FA8D6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1940-1941</w:t>
            </w:r>
          </w:p>
          <w:p w14:paraId="2B431B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885CD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6225</w:t>
            </w:r>
          </w:p>
        </w:tc>
      </w:tr>
      <w:tr w:rsidR="000F5689" w:rsidRPr="00925F26" w14:paraId="5056526F" w14:textId="77777777">
        <w:trPr>
          <w:trHeight w:val="202"/>
        </w:trPr>
        <w:tc>
          <w:tcPr>
            <w:tcW w:w="2410" w:type="dxa"/>
          </w:tcPr>
          <w:p w14:paraId="2D7104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ИЖ-10</w:t>
            </w:r>
          </w:p>
          <w:p w14:paraId="63D64B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2F2A3D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27B93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59E65A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52C34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3BE717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2B802C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6F3E03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w:t>
            </w:r>
          </w:p>
          <w:p w14:paraId="390996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FD7AE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0748F877" w14:textId="77777777">
        <w:trPr>
          <w:trHeight w:val="202"/>
        </w:trPr>
        <w:tc>
          <w:tcPr>
            <w:tcW w:w="2410" w:type="dxa"/>
          </w:tcPr>
          <w:p w14:paraId="1AA54F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ИЖ-12</w:t>
            </w:r>
          </w:p>
          <w:p w14:paraId="52F17A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14F097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CFE84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B292C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59235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052DF6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w:t>
            </w:r>
          </w:p>
          <w:p w14:paraId="4F45A4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3DD1D4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35E255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6F6DB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w:t>
            </w:r>
          </w:p>
        </w:tc>
      </w:tr>
      <w:tr w:rsidR="000F5689" w:rsidRPr="00925F26" w14:paraId="6C422FC1" w14:textId="77777777">
        <w:trPr>
          <w:trHeight w:val="211"/>
        </w:trPr>
        <w:tc>
          <w:tcPr>
            <w:tcW w:w="2410" w:type="dxa"/>
          </w:tcPr>
          <w:p w14:paraId="1570A3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НАТИ-А-750</w:t>
            </w:r>
          </w:p>
          <w:p w14:paraId="1D422C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0EAD7D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Ижевский мотозавод</w:t>
            </w:r>
          </w:p>
          <w:p w14:paraId="30BCFF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5D9124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Ижевск</w:t>
            </w:r>
          </w:p>
          <w:p w14:paraId="243FD9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0980F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4A88F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718C90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1933-1934</w:t>
            </w:r>
          </w:p>
          <w:p w14:paraId="388B6B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57AB93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221E2C3F" w14:textId="77777777">
        <w:trPr>
          <w:trHeight w:val="355"/>
        </w:trPr>
        <w:tc>
          <w:tcPr>
            <w:tcW w:w="2410" w:type="dxa"/>
          </w:tcPr>
          <w:p w14:paraId="422EE3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BD848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5359D1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Подольский механич. завод</w:t>
            </w:r>
          </w:p>
          <w:p w14:paraId="37B45E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1D9FB1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Подольск</w:t>
            </w:r>
          </w:p>
          <w:p w14:paraId="12736D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712FD0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26296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2B406E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1934-1935</w:t>
            </w:r>
          </w:p>
          <w:p w14:paraId="61DEBC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38E0C6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5EA50401" w14:textId="77777777">
        <w:trPr>
          <w:trHeight w:val="355"/>
        </w:trPr>
        <w:tc>
          <w:tcPr>
            <w:tcW w:w="2410" w:type="dxa"/>
          </w:tcPr>
          <w:p w14:paraId="7A9426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ПМЗ-А-750</w:t>
            </w:r>
          </w:p>
        </w:tc>
        <w:tc>
          <w:tcPr>
            <w:tcW w:w="3398" w:type="dxa"/>
          </w:tcPr>
          <w:p w14:paraId="208A97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FDDE2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E41F5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369C4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BA659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1934</w:t>
            </w:r>
          </w:p>
          <w:p w14:paraId="47C901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053942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1935-1939</w:t>
            </w:r>
          </w:p>
          <w:p w14:paraId="00B29A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5ECE04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4636</w:t>
            </w:r>
          </w:p>
          <w:p w14:paraId="2089B9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6EBBE98" w14:textId="77777777">
        <w:trPr>
          <w:trHeight w:val="355"/>
        </w:trPr>
        <w:tc>
          <w:tcPr>
            <w:tcW w:w="2410" w:type="dxa"/>
          </w:tcPr>
          <w:p w14:paraId="7B9772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«Стрела»</w:t>
            </w:r>
          </w:p>
        </w:tc>
        <w:tc>
          <w:tcPr>
            <w:tcW w:w="3398" w:type="dxa"/>
          </w:tcPr>
          <w:p w14:paraId="7C0703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42E6C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406FB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AE819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52457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1E422D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6BCEDC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1936-1937</w:t>
            </w:r>
          </w:p>
          <w:p w14:paraId="79FA45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11509C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356</w:t>
            </w:r>
          </w:p>
          <w:p w14:paraId="5C9478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4599CAB" w14:textId="77777777">
        <w:trPr>
          <w:trHeight w:val="355"/>
        </w:trPr>
        <w:tc>
          <w:tcPr>
            <w:tcW w:w="2410" w:type="dxa"/>
          </w:tcPr>
          <w:p w14:paraId="5CFBB0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ПМЗ-125</w:t>
            </w:r>
          </w:p>
        </w:tc>
        <w:tc>
          <w:tcPr>
            <w:tcW w:w="3398" w:type="dxa"/>
          </w:tcPr>
          <w:p w14:paraId="3EBA6B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0B390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53B8F1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90C18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60249B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p w14:paraId="77771C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2F9852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p w14:paraId="01A72E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05B864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F613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AAD7C19" w14:textId="77777777">
        <w:trPr>
          <w:trHeight w:val="355"/>
        </w:trPr>
        <w:tc>
          <w:tcPr>
            <w:tcW w:w="2410" w:type="dxa"/>
          </w:tcPr>
          <w:p w14:paraId="6CDC11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МЛ-3</w:t>
            </w:r>
          </w:p>
          <w:p w14:paraId="5194CB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ТИЗ-АМ-600</w:t>
            </w:r>
          </w:p>
          <w:p w14:paraId="5450C0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БН-1200</w:t>
            </w:r>
          </w:p>
        </w:tc>
        <w:tc>
          <w:tcPr>
            <w:tcW w:w="3398" w:type="dxa"/>
          </w:tcPr>
          <w:p w14:paraId="38F7B8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Серпуховской мотозавод</w:t>
            </w:r>
          </w:p>
          <w:p w14:paraId="12600B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Таганрогский мотозавод</w:t>
            </w:r>
          </w:p>
          <w:p w14:paraId="09A71A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AB82B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3656A7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Серпухов</w:t>
            </w:r>
          </w:p>
          <w:p w14:paraId="355FB1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Таганрог</w:t>
            </w:r>
          </w:p>
          <w:p w14:paraId="332806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991D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0A15E7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1938 1935 1936</w:t>
            </w:r>
          </w:p>
          <w:p w14:paraId="055A04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697CA5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1940-1941</w:t>
            </w:r>
          </w:p>
          <w:p w14:paraId="6DD8E9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1936-1941</w:t>
            </w:r>
          </w:p>
          <w:p w14:paraId="357A9C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1937</w:t>
            </w:r>
          </w:p>
          <w:p w14:paraId="3BC300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305D8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p w14:paraId="525C51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52C2CAF" w14:textId="77777777">
        <w:trPr>
          <w:trHeight w:val="355"/>
        </w:trPr>
        <w:tc>
          <w:tcPr>
            <w:tcW w:w="2410" w:type="dxa"/>
          </w:tcPr>
          <w:p w14:paraId="2C7EA4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ТИЗ-4</w:t>
            </w:r>
          </w:p>
        </w:tc>
        <w:tc>
          <w:tcPr>
            <w:tcW w:w="3398" w:type="dxa"/>
          </w:tcPr>
          <w:p w14:paraId="1172C4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AE6F7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09A052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68D2C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50EDDC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p w14:paraId="5026E2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7EBB21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p w14:paraId="6BFC6E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E2698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12392</w:t>
            </w:r>
          </w:p>
          <w:p w14:paraId="39A90B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1962F27" w14:textId="77777777">
        <w:trPr>
          <w:trHeight w:val="355"/>
        </w:trPr>
        <w:tc>
          <w:tcPr>
            <w:tcW w:w="2410" w:type="dxa"/>
          </w:tcPr>
          <w:p w14:paraId="2ABB0B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ТИЗ-5</w:t>
            </w:r>
          </w:p>
        </w:tc>
        <w:tc>
          <w:tcPr>
            <w:tcW w:w="3398" w:type="dxa"/>
          </w:tcPr>
          <w:p w14:paraId="64C6ED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E83E2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6486EF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798D7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2D870C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30F522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473914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73D99B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7E2B0D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B43D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556AA97" w14:textId="77777777">
        <w:trPr>
          <w:trHeight w:val="355"/>
        </w:trPr>
        <w:tc>
          <w:tcPr>
            <w:tcW w:w="2410" w:type="dxa"/>
          </w:tcPr>
          <w:p w14:paraId="199BBD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ТИЗ-7</w:t>
            </w:r>
          </w:p>
        </w:tc>
        <w:tc>
          <w:tcPr>
            <w:tcW w:w="3398" w:type="dxa"/>
          </w:tcPr>
          <w:p w14:paraId="06BF5C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64AEE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33AC00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88EFB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50454A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0D3B7F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3EA00B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1939</w:t>
            </w:r>
          </w:p>
          <w:p w14:paraId="1CE788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796B4D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48AA1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98E634F" w14:textId="77777777">
        <w:trPr>
          <w:trHeight w:val="355"/>
        </w:trPr>
        <w:tc>
          <w:tcPr>
            <w:tcW w:w="2410" w:type="dxa"/>
          </w:tcPr>
          <w:p w14:paraId="18DB62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ТИЗ-500</w:t>
            </w:r>
          </w:p>
        </w:tc>
        <w:tc>
          <w:tcPr>
            <w:tcW w:w="3398" w:type="dxa"/>
          </w:tcPr>
          <w:p w14:paraId="335469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861D9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6CEF70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8C1F5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0402CD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7AA2A3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4C5480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60D1D9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6D84B1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69FBF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2709B9C" w14:textId="77777777">
        <w:trPr>
          <w:trHeight w:val="355"/>
        </w:trPr>
        <w:tc>
          <w:tcPr>
            <w:tcW w:w="2410" w:type="dxa"/>
          </w:tcPr>
          <w:p w14:paraId="368491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Велосипед с подвесным мотором</w:t>
            </w:r>
          </w:p>
        </w:tc>
        <w:tc>
          <w:tcPr>
            <w:tcW w:w="3398" w:type="dxa"/>
          </w:tcPr>
          <w:p w14:paraId="16DD70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«Красный Профинтерн» (г. Одесса)</w:t>
            </w:r>
          </w:p>
          <w:p w14:paraId="48256F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5F3FC6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CB67A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6F8EDF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572C98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64D34A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18EF26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29AA3D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0C85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BCB57C6" w14:textId="77777777">
        <w:trPr>
          <w:trHeight w:val="355"/>
        </w:trPr>
        <w:tc>
          <w:tcPr>
            <w:tcW w:w="2410" w:type="dxa"/>
          </w:tcPr>
          <w:p w14:paraId="050E62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13F032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Мотор - Мосвелозавод сборка Завод им. Энгельса - мотор,</w:t>
            </w:r>
          </w:p>
          <w:p w14:paraId="00BFDA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5B3046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w:t>
            </w:r>
          </w:p>
          <w:p w14:paraId="661784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2F34AA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1279DE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686061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1936</w:t>
            </w:r>
          </w:p>
          <w:p w14:paraId="548D00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0629B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1EA7D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D743B2C" w14:textId="77777777">
        <w:trPr>
          <w:trHeight w:val="355"/>
        </w:trPr>
        <w:tc>
          <w:tcPr>
            <w:tcW w:w="2410" w:type="dxa"/>
          </w:tcPr>
          <w:p w14:paraId="02F325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44FD8E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ПРОМЕТ- сборка</w:t>
            </w:r>
          </w:p>
          <w:p w14:paraId="4E536F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71DEDC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AC28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209C76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D7FA3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14C19A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25449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568B17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111A8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E357BF9" w14:textId="77777777">
        <w:trPr>
          <w:trHeight w:val="355"/>
        </w:trPr>
        <w:tc>
          <w:tcPr>
            <w:tcW w:w="2410" w:type="dxa"/>
          </w:tcPr>
          <w:p w14:paraId="3F0EBC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3361AF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r w:rsidRPr="00925F26">
              <w:rPr>
                <w:color w:val="000000" w:themeColor="text1"/>
                <w:sz w:val="16"/>
                <w:szCs w:val="16"/>
                <w:lang w:val="en-US"/>
              </w:rPr>
              <w:t>Root Motor</w:t>
            </w:r>
            <w:r w:rsidRPr="00925F26">
              <w:rPr>
                <w:color w:val="000000" w:themeColor="text1"/>
                <w:sz w:val="16"/>
                <w:szCs w:val="16"/>
              </w:rPr>
              <w:t>» - мотор, Мосвелозавод</w:t>
            </w:r>
          </w:p>
          <w:p w14:paraId="45853C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237185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w:t>
            </w:r>
          </w:p>
          <w:p w14:paraId="5516B9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63EA4A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1937</w:t>
            </w:r>
          </w:p>
          <w:p w14:paraId="2E4161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1D5720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1937</w:t>
            </w:r>
          </w:p>
          <w:p w14:paraId="3273D5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20C601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7262A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E569DC6" w14:textId="77777777">
        <w:trPr>
          <w:trHeight w:val="355"/>
        </w:trPr>
        <w:tc>
          <w:tcPr>
            <w:tcW w:w="2410" w:type="dxa"/>
          </w:tcPr>
          <w:p w14:paraId="24E1CF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05D03C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сборка</w:t>
            </w:r>
          </w:p>
          <w:p w14:paraId="209A9A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6626EE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E9108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1CF422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D02B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3924CA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367FC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575A71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3CEC4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59A6929" w14:textId="77777777">
        <w:trPr>
          <w:trHeight w:val="355"/>
        </w:trPr>
        <w:tc>
          <w:tcPr>
            <w:tcW w:w="2410" w:type="dxa"/>
          </w:tcPr>
          <w:p w14:paraId="0BEFA5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Pr>
          <w:p w14:paraId="03A346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«Ринко» - мотор, ЦНИИМЭ сборка</w:t>
            </w:r>
          </w:p>
          <w:p w14:paraId="29D50D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6D7854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C41D3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44590C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1935</w:t>
            </w:r>
          </w:p>
          <w:p w14:paraId="27487A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229913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1935</w:t>
            </w:r>
          </w:p>
          <w:p w14:paraId="6593BE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700387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269F2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798BF4D" w14:textId="77777777">
        <w:trPr>
          <w:trHeight w:val="355"/>
        </w:trPr>
        <w:tc>
          <w:tcPr>
            <w:tcW w:w="2410" w:type="dxa"/>
          </w:tcPr>
          <w:p w14:paraId="4FC120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М-72</w:t>
            </w:r>
          </w:p>
        </w:tc>
        <w:tc>
          <w:tcPr>
            <w:tcW w:w="3398" w:type="dxa"/>
          </w:tcPr>
          <w:p w14:paraId="3F0EDA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Московский завод «Искра»</w:t>
            </w:r>
          </w:p>
          <w:p w14:paraId="37D871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0598F5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820A1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76CF62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0D117F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734C6D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56240F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084A8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3C32E5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A93006A" w14:textId="77777777">
        <w:trPr>
          <w:trHeight w:val="355"/>
        </w:trPr>
        <w:tc>
          <w:tcPr>
            <w:tcW w:w="2410" w:type="dxa"/>
          </w:tcPr>
          <w:p w14:paraId="09EF96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АМ-600</w:t>
            </w:r>
          </w:p>
        </w:tc>
        <w:tc>
          <w:tcPr>
            <w:tcW w:w="3398" w:type="dxa"/>
          </w:tcPr>
          <w:p w14:paraId="47729E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Московский мотозавод</w:t>
            </w:r>
          </w:p>
          <w:p w14:paraId="13333E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Pr>
          <w:p w14:paraId="2FF12B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2165C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Pr>
          <w:p w14:paraId="3EDDB6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AB7CF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Pr>
          <w:p w14:paraId="589656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1A911D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Pr>
          <w:p w14:paraId="4C1B52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1090</w:t>
            </w:r>
          </w:p>
          <w:p w14:paraId="4F3AB7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561F31" w:rsidRPr="00925F26" w14:paraId="371795D4" w14:textId="77777777">
        <w:trPr>
          <w:trHeight w:val="355"/>
        </w:trPr>
        <w:tc>
          <w:tcPr>
            <w:tcW w:w="2410" w:type="dxa"/>
            <w:tcBorders>
              <w:bottom w:val="single" w:sz="12" w:space="0" w:color="auto"/>
            </w:tcBorders>
          </w:tcPr>
          <w:p w14:paraId="148390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398" w:type="dxa"/>
            <w:tcBorders>
              <w:bottom w:val="single" w:sz="12" w:space="0" w:color="auto"/>
            </w:tcBorders>
          </w:tcPr>
          <w:p w14:paraId="16519F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Ленинградский</w:t>
            </w:r>
          </w:p>
          <w:p w14:paraId="545CFD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Харьковский</w:t>
            </w:r>
          </w:p>
          <w:p w14:paraId="0E75CB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Горьковский</w:t>
            </w:r>
          </w:p>
          <w:p w14:paraId="57FE6A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Ирбитский</w:t>
            </w:r>
          </w:p>
          <w:p w14:paraId="563E50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Тюменский</w:t>
            </w:r>
          </w:p>
          <w:p w14:paraId="2FB422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Тюменский</w:t>
            </w:r>
          </w:p>
          <w:p w14:paraId="2CAB49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4230FC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Ленинград</w:t>
            </w:r>
          </w:p>
          <w:p w14:paraId="6C4A7A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Харьков</w:t>
            </w:r>
          </w:p>
          <w:p w14:paraId="005C53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Горький</w:t>
            </w:r>
          </w:p>
          <w:p w14:paraId="710627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Ирбит</w:t>
            </w:r>
          </w:p>
          <w:p w14:paraId="142239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Тюмень</w:t>
            </w:r>
          </w:p>
          <w:p w14:paraId="00026D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Тюмень</w:t>
            </w:r>
          </w:p>
          <w:p w14:paraId="7831C1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81" w:type="dxa"/>
            <w:gridSpan w:val="2"/>
            <w:tcBorders>
              <w:bottom w:val="single" w:sz="12" w:space="0" w:color="auto"/>
            </w:tcBorders>
          </w:tcPr>
          <w:p w14:paraId="27E08C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C8392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EA033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2E37D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4EA7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06D12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1935</w:t>
            </w:r>
          </w:p>
          <w:p w14:paraId="037B9A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7" w:type="dxa"/>
            <w:tcBorders>
              <w:bottom w:val="single" w:sz="12" w:space="0" w:color="auto"/>
            </w:tcBorders>
          </w:tcPr>
          <w:p w14:paraId="37F598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63EF0A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w:t>
            </w:r>
          </w:p>
          <w:p w14:paraId="647683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1941-1945</w:t>
            </w:r>
          </w:p>
          <w:p w14:paraId="318E39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1942-1945</w:t>
            </w:r>
          </w:p>
          <w:p w14:paraId="384785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w:t>
            </w:r>
          </w:p>
          <w:p w14:paraId="2AD0D0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1942-1943</w:t>
            </w:r>
          </w:p>
          <w:p w14:paraId="27CA8C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0" w:type="dxa"/>
            <w:tcBorders>
              <w:bottom w:val="single" w:sz="12" w:space="0" w:color="auto"/>
            </w:tcBorders>
          </w:tcPr>
          <w:p w14:paraId="206C3F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3DFC8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212</w:t>
            </w:r>
          </w:p>
          <w:p w14:paraId="6B202A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8004</w:t>
            </w:r>
          </w:p>
          <w:p w14:paraId="4C1D30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12 007</w:t>
            </w:r>
          </w:p>
          <w:p w14:paraId="16D4D8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E8EA7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614</w:t>
            </w:r>
          </w:p>
          <w:p w14:paraId="41CB80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1EDBA974" w14:textId="77777777" w:rsidR="00665165" w:rsidRPr="00925F26" w:rsidRDefault="00665165" w:rsidP="00925F26">
      <w:pPr>
        <w:autoSpaceDE w:val="0"/>
        <w:autoSpaceDN w:val="0"/>
        <w:adjustRightInd w:val="0"/>
        <w:jc w:val="both"/>
        <w:rPr>
          <w:color w:val="000000" w:themeColor="text1"/>
          <w:sz w:val="16"/>
          <w:szCs w:val="16"/>
        </w:rPr>
      </w:pPr>
    </w:p>
    <w:p w14:paraId="6C008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6C2A3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Ленинград П-61, ул. Скороходова, д. 16</w:t>
      </w:r>
    </w:p>
    <w:p w14:paraId="29BA66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6EF741FA" w14:textId="77777777" w:rsidR="00665165" w:rsidRPr="00925F26" w:rsidRDefault="00665165" w:rsidP="00925F26">
      <w:pPr>
        <w:autoSpaceDE w:val="0"/>
        <w:autoSpaceDN w:val="0"/>
        <w:adjustRightInd w:val="0"/>
        <w:jc w:val="both"/>
        <w:rPr>
          <w:color w:val="000000" w:themeColor="text1"/>
          <w:sz w:val="16"/>
          <w:szCs w:val="16"/>
        </w:rPr>
      </w:pPr>
    </w:p>
    <w:p w14:paraId="1EAAF5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на вооружение приняли РЛС Рнейс-5М для авиации ВМФ (2629,26).</w:t>
      </w:r>
    </w:p>
    <w:p w14:paraId="1F9450E6" w14:textId="77777777" w:rsidR="00665165" w:rsidRPr="00925F26" w:rsidRDefault="00665165" w:rsidP="00925F26">
      <w:pPr>
        <w:autoSpaceDE w:val="0"/>
        <w:autoSpaceDN w:val="0"/>
        <w:adjustRightInd w:val="0"/>
        <w:jc w:val="both"/>
        <w:rPr>
          <w:color w:val="000000" w:themeColor="text1"/>
          <w:sz w:val="16"/>
          <w:szCs w:val="16"/>
        </w:rPr>
      </w:pPr>
    </w:p>
    <w:p w14:paraId="17F04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в записке В.А. Махнева Л.П. Берии о сроках создания атомной бомбы, в частности, отмечается, что диффузионный завод при Лаборатории No. 2 для получения урана-235 предполагается пустить в 1947 году. Его производительность оценивалась в 25 кг U-235 в год. Исходя из затрат от 1 до 10 кг U-235 на изготовление одной атомной бомбы, предполагалось, что в 1947 году можно будет изготовить от 2 до 25 опытных бомб (10549).</w:t>
      </w:r>
    </w:p>
    <w:p w14:paraId="77BC0090" w14:textId="77777777" w:rsidR="00665165" w:rsidRPr="00925F26" w:rsidRDefault="00665165" w:rsidP="00925F26">
      <w:pPr>
        <w:autoSpaceDE w:val="0"/>
        <w:autoSpaceDN w:val="0"/>
        <w:adjustRightInd w:val="0"/>
        <w:jc w:val="both"/>
        <w:rPr>
          <w:color w:val="000000" w:themeColor="text1"/>
          <w:sz w:val="16"/>
          <w:szCs w:val="16"/>
        </w:rPr>
      </w:pPr>
    </w:p>
    <w:p w14:paraId="026E9C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апреля 1945 года в советской оккупационной зоне Германии работали многочисленные команды специалистов из различных советских наркоматов. Их основная цель — сбор сохранившейся документации и образцов. В Советском Союзе координировал их деятельность заместитель наркома НКВД СССР, видный строитель и организатор А. П. Завенягин (впоследствии заместитель председателя Совета Министров СССР). В этой акции активное участие принимали и сотрудники советской разведки, которыми руководил полковник А. Коротков — руководитель резидентуры ПГУ в советской зоне оккупации Германии. Во время поисков они часто использовали еще довоенные данные. А вот с агентурой было плохо: часть ее была арестована гестапо, часть погибла или пропала без вести во время войны. В 1946 году изучением научно-технических достижений Германии занимались высококвалифицированные специалисты из 52 министерств. По состоянию на 1 декабря 1945 года их насчитывалось 9 323 человека. Правда, к 1 августа 1946 года их число сократилось до 5076 человек. Они организовали более 200 технических бюро, в которых было занято около 8 тысяч специалистов и 11 тысяч рабочих, и около 50 экспериментальных цехов и лабораторий. В итоге их работы в соответствующие советские министерства было направлено свыше 3 тысяч законченных научно-технических работ, опытных образцов двигателей, приборов, металлорежущих станков, электромашин, мотоциклов и др. Многое из доставленного демонстрировалось на Выставке германской техники, устроенной в Москве. Контроль и руководство основной группой советских научно-технических организаций осуществлялся уполномоченным Особого комитета, состоящего из технического отдела и ученого совета. Однако руководство комитета считало, что должный контроль над немецкими исследованиями из-за недостатка высококвалифицированных специачистов отсутствовал в то время. Руководители советских предприятий и научно-исследовательских учреждений неохотно отпускали своих специалистов, считая их командировку в Германию напрасной тратой времени (11765).</w:t>
      </w:r>
    </w:p>
    <w:p w14:paraId="6866B090" w14:textId="77777777" w:rsidR="00665165" w:rsidRPr="00925F26" w:rsidRDefault="00665165" w:rsidP="00925F26">
      <w:pPr>
        <w:autoSpaceDE w:val="0"/>
        <w:autoSpaceDN w:val="0"/>
        <w:adjustRightInd w:val="0"/>
        <w:jc w:val="both"/>
        <w:rPr>
          <w:color w:val="000000" w:themeColor="text1"/>
          <w:sz w:val="16"/>
          <w:szCs w:val="16"/>
        </w:rPr>
      </w:pPr>
    </w:p>
    <w:p w14:paraId="46906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было выдано подробное ТТЗ на корректи</w:t>
      </w:r>
      <w:r w:rsidRPr="00925F26">
        <w:rPr>
          <w:color w:val="000000" w:themeColor="text1"/>
          <w:sz w:val="16"/>
          <w:szCs w:val="16"/>
        </w:rPr>
        <w:softHyphen/>
        <w:t>ровку крейсера пр. 68 и положено в основу пр. 68К, по которому все пять крейсеров и были достроены после войны (3898).</w:t>
      </w:r>
    </w:p>
    <w:p w14:paraId="2C44FDAA" w14:textId="77777777" w:rsidR="00665165" w:rsidRPr="00925F26" w:rsidRDefault="00665165" w:rsidP="00925F26">
      <w:pPr>
        <w:autoSpaceDE w:val="0"/>
        <w:autoSpaceDN w:val="0"/>
        <w:adjustRightInd w:val="0"/>
        <w:jc w:val="both"/>
        <w:rPr>
          <w:color w:val="000000" w:themeColor="text1"/>
          <w:sz w:val="16"/>
          <w:szCs w:val="16"/>
        </w:rPr>
      </w:pPr>
    </w:p>
    <w:p w14:paraId="77013AFC" w14:textId="77777777" w:rsidR="00AD7C9A" w:rsidRPr="001A0BAA" w:rsidRDefault="00AD7C9A" w:rsidP="00AD7C9A">
      <w:pPr>
        <w:jc w:val="both"/>
        <w:rPr>
          <w:color w:val="0070C0"/>
          <w:sz w:val="16"/>
          <w:szCs w:val="16"/>
        </w:rPr>
      </w:pPr>
      <w:r w:rsidRPr="001A0BAA">
        <w:rPr>
          <w:color w:val="0070C0"/>
          <w:sz w:val="16"/>
          <w:szCs w:val="16"/>
        </w:rPr>
        <w:t>В апреле 1945 г. Красная армия заняла Обертаннвальд и захватила в целости и сохранности оборудование «Фернзее», а также складские запасы и инженерно-технический персонал.</w:t>
      </w:r>
    </w:p>
    <w:p w14:paraId="0540C50B" w14:textId="77777777" w:rsidR="00AD7C9A" w:rsidRPr="001A0BAA" w:rsidRDefault="00AD7C9A" w:rsidP="00AD7C9A">
      <w:pPr>
        <w:jc w:val="both"/>
        <w:rPr>
          <w:color w:val="0070C0"/>
          <w:sz w:val="16"/>
          <w:szCs w:val="16"/>
        </w:rPr>
      </w:pPr>
      <w:r w:rsidRPr="001A0BAA">
        <w:rPr>
          <w:color w:val="0070C0"/>
          <w:sz w:val="16"/>
          <w:szCs w:val="16"/>
        </w:rPr>
        <w:t>Эти трофеи были разделены на две части. Все относившееся к военной тематике сразу же эвакуировали в Советский Союз. А все, что могло иметь отношение к созданию бытовых телевизоров, включая и оборудование, загрузили в вагоны, заперли и оставляли в Обертаннвальде под охраной советских войск до февраля 1946 г. Сам же завод в конце мая 1945 г. был передан в собственность Чехословакии (25184).</w:t>
      </w:r>
    </w:p>
    <w:p w14:paraId="20D3F544" w14:textId="77777777" w:rsidR="00AD7C9A" w:rsidRPr="001A0BAA" w:rsidRDefault="00AD7C9A" w:rsidP="00AD7C9A">
      <w:pPr>
        <w:jc w:val="both"/>
        <w:rPr>
          <w:color w:val="0070C0"/>
          <w:sz w:val="16"/>
          <w:szCs w:val="16"/>
        </w:rPr>
      </w:pPr>
    </w:p>
    <w:p w14:paraId="6DC41B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катеростроители передали флоту 7 боевых катеров, отремонтировали 5 (10671). На Адмиралтейском заводе заложены 2 МБК по ленинградскому проекту. Спущены на воду 4 БМО (с 51-го по 54-й); заложен 1 БМО; в постройке находились 15 БМО (10671). Балтийцы сдали заказчику 1 ТЩ и бензоналивную баржу. На Петрозаводе заложен 1 ТЩ (10671). На заводе им. А. А. Жданова в разной степени технической готовности находились 16 ТЩ. Одновременно строился СКР "Зоркий", ремонтировались СКР "Вихрь", эсминцы "Стерегущий" и "Опытный" (10671). Адмиралтейцы изготовили 80 мин, 30 катерных тралов, 20 понтонов, запасные части для тракторов. Ремонтировали 10 БМО, закончили ремонт на 5 БМО (10671). Велась разработка проекта ТЩ III серии (10671).</w:t>
      </w:r>
    </w:p>
    <w:p w14:paraId="174DC532" w14:textId="77777777" w:rsidR="00665165" w:rsidRPr="00925F26" w:rsidRDefault="00665165" w:rsidP="00925F26">
      <w:pPr>
        <w:autoSpaceDE w:val="0"/>
        <w:autoSpaceDN w:val="0"/>
        <w:adjustRightInd w:val="0"/>
        <w:jc w:val="both"/>
        <w:rPr>
          <w:color w:val="000000" w:themeColor="text1"/>
          <w:sz w:val="16"/>
          <w:szCs w:val="16"/>
        </w:rPr>
      </w:pPr>
    </w:p>
    <w:p w14:paraId="1D92C723" w14:textId="77777777" w:rsidR="00FF11DB" w:rsidRPr="00925F26" w:rsidRDefault="00FF11DB" w:rsidP="00925F26">
      <w:pPr>
        <w:pStyle w:val="book"/>
        <w:ind w:firstLine="0"/>
        <w:jc w:val="both"/>
        <w:rPr>
          <w:color w:val="000000" w:themeColor="text1"/>
          <w:sz w:val="16"/>
          <w:szCs w:val="16"/>
        </w:rPr>
      </w:pPr>
      <w:r w:rsidRPr="00925F26">
        <w:rPr>
          <w:color w:val="000000" w:themeColor="text1"/>
          <w:sz w:val="16"/>
          <w:szCs w:val="16"/>
        </w:rPr>
        <w:t xml:space="preserve">В апреле 1945 г. грузопассажирское судно под названием «Гамбург» (построено в 1926 г. на верфи в Гамбурге) был затоплено и лишь в сентябре 1950 г. поднято и доставлено для перестройки в Антверпен, затем в ГДР на предприятие «Варноверфь» в порту Варнемюнде. Перестроенное в китобойную базу судно было спущено на воду в марте 1960 г. и получило новое имя — «Юрий Долгорукий». Судно прибыло в порт Балтийск, где 20 июня на нем был поднят государственный флаг. В первый рейс флотилия вышла 16 ноября 1960 г. С 1960 по 1975 г. китобойная флотилия «Юрий Долгорукий» ходила в Антарктику 15 раз на промысел китов во всех промысловых районах </w:t>
      </w:r>
      <w:proofErr w:type="gramStart"/>
      <w:r w:rsidRPr="00925F26">
        <w:rPr>
          <w:color w:val="000000" w:themeColor="text1"/>
          <w:sz w:val="16"/>
          <w:szCs w:val="16"/>
        </w:rPr>
        <w:t>южно-полярных</w:t>
      </w:r>
      <w:proofErr w:type="gramEnd"/>
      <w:r w:rsidRPr="00925F26">
        <w:rPr>
          <w:color w:val="000000" w:themeColor="text1"/>
          <w:sz w:val="16"/>
          <w:szCs w:val="16"/>
        </w:rPr>
        <w:t xml:space="preserve"> вод Атлантического, Индийского и Тихого океанов, совершая кругополярные рейсы с пересечением линии дат и заходом за Полярный круг. Флотилия была расформирована в 1975 г (15225).</w:t>
      </w:r>
    </w:p>
    <w:p w14:paraId="22EE577E" w14:textId="77777777" w:rsidR="00FF11DB" w:rsidRPr="00925F26" w:rsidRDefault="00FF11DB" w:rsidP="00925F26">
      <w:pPr>
        <w:pStyle w:val="book"/>
        <w:ind w:firstLine="0"/>
        <w:jc w:val="both"/>
        <w:rPr>
          <w:color w:val="000000" w:themeColor="text1"/>
          <w:sz w:val="16"/>
          <w:szCs w:val="16"/>
        </w:rPr>
      </w:pPr>
    </w:p>
    <w:p w14:paraId="4E2F5F27" w14:textId="77777777" w:rsidR="003B1DCF" w:rsidRPr="001A0BAA" w:rsidRDefault="003B1DCF" w:rsidP="003B1DCF">
      <w:pPr>
        <w:jc w:val="both"/>
        <w:rPr>
          <w:color w:val="0070C0"/>
          <w:sz w:val="16"/>
          <w:szCs w:val="16"/>
        </w:rPr>
      </w:pPr>
      <w:r w:rsidRPr="001A0BAA">
        <w:rPr>
          <w:color w:val="0070C0"/>
          <w:sz w:val="16"/>
          <w:szCs w:val="16"/>
        </w:rPr>
        <w:t>В апреле 1945 года, согласно Судоплатову, «Курчатов получил от нас очень ценный материал по характеристикам ядерного взрывного устройства, методе активации атомной бомбы и электромагнитному методу разделения изотопов урана. Этот материал был настолько важен, что уже на следующий день органы разведки получили его оценку.</w:t>
      </w:r>
    </w:p>
    <w:p w14:paraId="0A622833" w14:textId="77777777" w:rsidR="003B1DCF" w:rsidRPr="001A0BAA" w:rsidRDefault="003B1DCF" w:rsidP="003B1DCF">
      <w:pPr>
        <w:jc w:val="both"/>
        <w:rPr>
          <w:color w:val="0070C0"/>
          <w:sz w:val="16"/>
          <w:szCs w:val="16"/>
        </w:rPr>
      </w:pPr>
      <w:r w:rsidRPr="001A0BAA">
        <w:rPr>
          <w:color w:val="0070C0"/>
          <w:sz w:val="16"/>
          <w:szCs w:val="16"/>
        </w:rPr>
        <w:t>Курчатов направил Сталину доклад, построенный на основе разведданных, о перспективах использования атомной энергии и необходимости проведения широких мероприятий по созданию атомной бомбы.</w:t>
      </w:r>
    </w:p>
    <w:p w14:paraId="72ACD583" w14:textId="77777777" w:rsidR="003B1DCF" w:rsidRPr="001A0BAA" w:rsidRDefault="003B1DCF" w:rsidP="003B1DCF">
      <w:pPr>
        <w:jc w:val="both"/>
        <w:rPr>
          <w:color w:val="0070C0"/>
          <w:sz w:val="16"/>
          <w:szCs w:val="16"/>
        </w:rPr>
      </w:pPr>
      <w:r w:rsidRPr="001A0BAA">
        <w:rPr>
          <w:color w:val="0070C0"/>
          <w:sz w:val="16"/>
          <w:szCs w:val="16"/>
        </w:rPr>
        <w:t>Через 12 дней после сборки первой атомной бомбы в Лос-Аламосе мы получили описание её устройства из Вашингтона и Нью-Йорка. Первая телеграмма поступила в Центр 13 июня, вторая – 4 июля 1945 года»</w:t>
      </w:r>
      <w:bookmarkStart w:id="21" w:name="n_69"/>
      <w:r w:rsidRPr="001A0BAA">
        <w:rPr>
          <w:color w:val="0070C0"/>
          <w:sz w:val="16"/>
          <w:szCs w:val="16"/>
        </w:rPr>
        <w:t xml:space="preserve"> (25184)</w:t>
      </w:r>
      <w:bookmarkEnd w:id="21"/>
      <w:r w:rsidRPr="001A0BAA">
        <w:rPr>
          <w:color w:val="0070C0"/>
          <w:sz w:val="16"/>
          <w:szCs w:val="16"/>
        </w:rPr>
        <w:t>.</w:t>
      </w:r>
    </w:p>
    <w:p w14:paraId="6B87EA23" w14:textId="77777777" w:rsidR="003B1DCF" w:rsidRPr="001A0BAA" w:rsidRDefault="003B1DCF" w:rsidP="003B1DCF">
      <w:pPr>
        <w:jc w:val="both"/>
        <w:rPr>
          <w:color w:val="0070C0"/>
          <w:sz w:val="16"/>
          <w:szCs w:val="16"/>
        </w:rPr>
      </w:pPr>
    </w:p>
    <w:p w14:paraId="2C9F451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529F4F7" w14:textId="77777777" w:rsidR="00665165" w:rsidRPr="00925F26" w:rsidRDefault="00665165" w:rsidP="00925F26">
      <w:pPr>
        <w:autoSpaceDE w:val="0"/>
        <w:autoSpaceDN w:val="0"/>
        <w:adjustRightInd w:val="0"/>
        <w:jc w:val="both"/>
        <w:rPr>
          <w:iCs/>
          <w:color w:val="000000" w:themeColor="text1"/>
          <w:sz w:val="16"/>
          <w:szCs w:val="16"/>
        </w:rPr>
      </w:pPr>
    </w:p>
    <w:p w14:paraId="65A7ACBA" w14:textId="6409AD58" w:rsidR="00715145" w:rsidRPr="00925F26" w:rsidRDefault="00715145"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В апреле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(включая Берлинскую операцию) штурмовики 16-й воздушной армии совершили 7860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из которых больше всего — </w:t>
      </w:r>
      <w:proofErr w:type="gramStart"/>
      <w:r w:rsidRPr="00925F26">
        <w:rPr>
          <w:color w:val="000000" w:themeColor="text1"/>
          <w:sz w:val="16"/>
          <w:szCs w:val="16"/>
        </w:rPr>
        <w:t>2760</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пришлось на 9-й шак. По выполняемым задачам большинство вылетов (6946) пришлось по прямому назначению, то есть на штурмовку наземных войск. Летчики заявили в общей сложности о 132 уничтоженных танках, 8 бронемашинах, 16 тягачах, 14 паровозах, 530 вагонах, 2824 автомашинах, 711 повозках, 434 противотанковых орудиях, 214 зенитках, 134 минометах, 12 бронетранспортерах. Также было заявлено о разрушении 69 домов и двух заводов. Точно посчитали даже созданные очаги пожара — 243, взрывы — 73 и попадания в железнодорожное полотно — 230. Урон противнику в живой силе оценили в </w:t>
      </w:r>
      <w:proofErr w:type="gramStart"/>
      <w:r w:rsidRPr="00925F26">
        <w:rPr>
          <w:color w:val="000000" w:themeColor="text1"/>
          <w:sz w:val="16"/>
          <w:szCs w:val="16"/>
        </w:rPr>
        <w:t>14</w:t>
      </w:r>
      <w:r w:rsidR="00997EDF" w:rsidRPr="00925F26">
        <w:rPr>
          <w:color w:val="000000" w:themeColor="text1"/>
          <w:sz w:val="16"/>
          <w:szCs w:val="16"/>
        </w:rPr>
        <w:t xml:space="preserve">  </w:t>
      </w:r>
      <w:r w:rsidRPr="00925F26">
        <w:rPr>
          <w:color w:val="000000" w:themeColor="text1"/>
          <w:sz w:val="16"/>
          <w:szCs w:val="16"/>
        </w:rPr>
        <w:t>436</w:t>
      </w:r>
      <w:proofErr w:type="gramEnd"/>
      <w:r w:rsidRPr="00925F26">
        <w:rPr>
          <w:color w:val="000000" w:themeColor="text1"/>
          <w:sz w:val="16"/>
          <w:szCs w:val="16"/>
        </w:rPr>
        <w:t xml:space="preserve"> солдат и офицеров. Хотя многие из этих показателей конечно же вызывают сомнение, все же ущерб, нанесенный «горбатыми» противнику на завершающем этапе войны, был весьма значительным.</w:t>
      </w:r>
    </w:p>
    <w:p w14:paraId="6C9A454B" w14:textId="77777777" w:rsidR="00715145" w:rsidRPr="00925F26" w:rsidRDefault="00715145"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Собственные потери составили 129 Ил-2, из которых 25 было сбито истребителями и 28 зенитной артиллерией. Еще 17 машин «не вернулись с боевого задания». Кроме того, 41 штурмовик был подбит зенитками и истребителями и затем разбился во время вынужденной посадки. Велик был и уровень небоевых потерь. Три «черных смерти» разбились из-за отказа матчасти, один в результате катастрофы, 13 потерпели аварии, еще один был потерян по «прочим причинам». Наибольшие </w:t>
      </w:r>
      <w:r w:rsidRPr="00925F26">
        <w:rPr>
          <w:color w:val="000000" w:themeColor="text1"/>
          <w:sz w:val="16"/>
          <w:szCs w:val="16"/>
        </w:rPr>
        <w:lastRenderedPageBreak/>
        <w:t>потери — 42 Ил-2 понес 9-й шак. Однако по количеству вылетов на одну боевую потерю впереди всех оказалась 2-я гв. шад — 53.</w:t>
      </w:r>
    </w:p>
    <w:p w14:paraId="75613365" w14:textId="77777777" w:rsidR="00715145" w:rsidRPr="00925F26" w:rsidRDefault="00715145" w:rsidP="00925F26">
      <w:pPr>
        <w:pStyle w:val="ae"/>
        <w:spacing w:before="0" w:after="0"/>
        <w:jc w:val="both"/>
        <w:textAlignment w:val="baseline"/>
        <w:rPr>
          <w:color w:val="000000" w:themeColor="text1"/>
          <w:sz w:val="16"/>
          <w:szCs w:val="16"/>
        </w:rPr>
      </w:pPr>
      <w:r w:rsidRPr="00925F26">
        <w:rPr>
          <w:color w:val="000000" w:themeColor="text1"/>
          <w:sz w:val="16"/>
          <w:szCs w:val="16"/>
        </w:rPr>
        <w:t>Потери личного состава составили 126 летчиков, в том числе один штурман полка и два командира эскадрилий. Больше всего — 49 летчиков лишился 6-й шак (19522).</w:t>
      </w:r>
    </w:p>
    <w:p w14:paraId="2CFDB24A" w14:textId="77777777" w:rsidR="00715145" w:rsidRPr="00925F26" w:rsidRDefault="00715145" w:rsidP="00925F26">
      <w:pPr>
        <w:pStyle w:val="ae"/>
        <w:spacing w:before="0" w:after="0"/>
        <w:jc w:val="both"/>
        <w:textAlignment w:val="baseline"/>
        <w:rPr>
          <w:color w:val="000000" w:themeColor="text1"/>
          <w:sz w:val="16"/>
          <w:szCs w:val="16"/>
        </w:rPr>
      </w:pPr>
    </w:p>
    <w:p w14:paraId="1BAD79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для поднятия авторитета нового штурмовика командование организова</w:t>
      </w:r>
      <w:r w:rsidRPr="00925F26">
        <w:rPr>
          <w:color w:val="000000" w:themeColor="text1"/>
          <w:sz w:val="16"/>
          <w:szCs w:val="16"/>
        </w:rPr>
        <w:softHyphen/>
        <w:t>ло показательный воздушный бой Ил-10 с истребителем Ла-5ФН. Штурмовик пи</w:t>
      </w:r>
      <w:r w:rsidRPr="00925F26">
        <w:rPr>
          <w:color w:val="000000" w:themeColor="text1"/>
          <w:sz w:val="16"/>
          <w:szCs w:val="16"/>
        </w:rPr>
        <w:softHyphen/>
        <w:t>лотировал капитан А.И. Сироткин, а «лавочкин» - летчик 5-го гиап (тоже ба</w:t>
      </w:r>
      <w:r w:rsidRPr="00925F26">
        <w:rPr>
          <w:color w:val="000000" w:themeColor="text1"/>
          <w:sz w:val="16"/>
          <w:szCs w:val="16"/>
        </w:rPr>
        <w:softHyphen/>
        <w:t>зировавшегося в Шпроттау), Герой Со</w:t>
      </w:r>
      <w:r w:rsidRPr="00925F26">
        <w:rPr>
          <w:color w:val="000000" w:themeColor="text1"/>
          <w:sz w:val="16"/>
          <w:szCs w:val="16"/>
        </w:rPr>
        <w:softHyphen/>
        <w:t>ветского Союза капитан В.И. Попков, сбивший к этому времени 37 немецких самолетов. Сироткин позже вспоминал: «Первым упражнением по согласованной про</w:t>
      </w:r>
      <w:r w:rsidRPr="00925F26">
        <w:rPr>
          <w:color w:val="000000" w:themeColor="text1"/>
          <w:sz w:val="16"/>
          <w:szCs w:val="16"/>
        </w:rPr>
        <w:softHyphen/>
        <w:t>грамме была погоня истребителя за штурмовиком при крутом планировании. Набрали высоту две тысячи метров, на</w:t>
      </w:r>
      <w:r w:rsidRPr="00925F26">
        <w:rPr>
          <w:color w:val="000000" w:themeColor="text1"/>
          <w:sz w:val="16"/>
          <w:szCs w:val="16"/>
        </w:rPr>
        <w:softHyphen/>
        <w:t>чали. Я дал газ мотору и понесся к зем</w:t>
      </w:r>
      <w:r w:rsidRPr="00925F26">
        <w:rPr>
          <w:color w:val="000000" w:themeColor="text1"/>
          <w:sz w:val="16"/>
          <w:szCs w:val="16"/>
        </w:rPr>
        <w:softHyphen/>
        <w:t>ле, как с крутой, градусов 40, горы. «Ла</w:t>
      </w:r>
      <w:r w:rsidRPr="00925F26">
        <w:rPr>
          <w:color w:val="000000" w:themeColor="text1"/>
          <w:sz w:val="16"/>
          <w:szCs w:val="16"/>
        </w:rPr>
        <w:softHyphen/>
        <w:t>вочкин» от меня отстал. Далее мы вы</w:t>
      </w:r>
      <w:r w:rsidRPr="00925F26">
        <w:rPr>
          <w:color w:val="000000" w:themeColor="text1"/>
          <w:sz w:val="16"/>
          <w:szCs w:val="16"/>
        </w:rPr>
        <w:softHyphen/>
        <w:t>полняли горку с набором высоты. На удивление всем, и здесь вначале я опе</w:t>
      </w:r>
      <w:r w:rsidRPr="00925F26">
        <w:rPr>
          <w:color w:val="000000" w:themeColor="text1"/>
          <w:sz w:val="16"/>
          <w:szCs w:val="16"/>
        </w:rPr>
        <w:softHyphen/>
        <w:t>режал «Ла-пятый», но вскоре он меня догнал и обошел. Затем мы демонстри</w:t>
      </w:r>
      <w:r w:rsidRPr="00925F26">
        <w:rPr>
          <w:color w:val="000000" w:themeColor="text1"/>
          <w:sz w:val="16"/>
          <w:szCs w:val="16"/>
        </w:rPr>
        <w:softHyphen/>
        <w:t>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w:t>
      </w:r>
      <w:r w:rsidRPr="00925F26">
        <w:rPr>
          <w:color w:val="000000" w:themeColor="text1"/>
          <w:sz w:val="16"/>
          <w:szCs w:val="16"/>
        </w:rPr>
        <w:softHyphen/>
        <w:t>новлено, что по «Ла-пятому» несколько раз прошлись очереди нашего оружия. Конечно, из сказанного нельзя делать вывод, что штурмовик Ил-10-й превос</w:t>
      </w:r>
      <w:r w:rsidRPr="00925F26">
        <w:rPr>
          <w:color w:val="000000" w:themeColor="text1"/>
          <w:sz w:val="16"/>
          <w:szCs w:val="16"/>
        </w:rPr>
        <w:softHyphen/>
        <w:t>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 (10681).</w:t>
      </w:r>
    </w:p>
    <w:p w14:paraId="691936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744F5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поднятия авторитета нового штурмовика командование организо</w:t>
      </w:r>
      <w:r w:rsidRPr="00925F26">
        <w:rPr>
          <w:color w:val="000000" w:themeColor="text1"/>
          <w:sz w:val="16"/>
          <w:szCs w:val="16"/>
        </w:rPr>
        <w:softHyphen/>
        <w:t>вало показательный воздушный бой с истребителем Ла-5ФН. Штурмовик пи</w:t>
      </w:r>
      <w:r w:rsidRPr="00925F26">
        <w:rPr>
          <w:color w:val="000000" w:themeColor="text1"/>
          <w:sz w:val="16"/>
          <w:szCs w:val="16"/>
        </w:rPr>
        <w:softHyphen/>
        <w:t>лотировал начальник воздушно-стрелковой службы полка к-н А. И. Сироткин, а «лавочкин» - летчик 5-го гиап (тоже базировавшегося в Шпрот</w:t>
      </w:r>
      <w:r w:rsidRPr="00925F26">
        <w:rPr>
          <w:color w:val="000000" w:themeColor="text1"/>
          <w:sz w:val="16"/>
          <w:szCs w:val="16"/>
        </w:rPr>
        <w:softHyphen/>
        <w:t>тау) Герой Советского Союза к-н В. И. Попков, лично сбивший к этому вре</w:t>
      </w:r>
      <w:r w:rsidRPr="00925F26">
        <w:rPr>
          <w:color w:val="000000" w:themeColor="text1"/>
          <w:sz w:val="16"/>
          <w:szCs w:val="16"/>
        </w:rPr>
        <w:softHyphen/>
        <w:t>мени 37 немецких самолетов.</w:t>
      </w:r>
    </w:p>
    <w:p w14:paraId="7B91AF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Сироткин позже вспоминал: «Пер</w:t>
      </w:r>
      <w:r w:rsidRPr="00925F26">
        <w:rPr>
          <w:color w:val="000000" w:themeColor="text1"/>
          <w:sz w:val="16"/>
          <w:szCs w:val="16"/>
        </w:rPr>
        <w:softHyphen/>
        <w:t>вым упражнением по согласованной программе была погоня истребителя за штурмовиком при крутом планиро</w:t>
      </w:r>
      <w:r w:rsidRPr="00925F26">
        <w:rPr>
          <w:color w:val="000000" w:themeColor="text1"/>
          <w:sz w:val="16"/>
          <w:szCs w:val="16"/>
        </w:rPr>
        <w:softHyphen/>
        <w:t>вании. Набрали высоту две тысячи мет</w:t>
      </w:r>
      <w:r w:rsidRPr="00925F26">
        <w:rPr>
          <w:color w:val="000000" w:themeColor="text1"/>
          <w:sz w:val="16"/>
          <w:szCs w:val="16"/>
        </w:rPr>
        <w:softHyphen/>
        <w:t>ров, начали. Я дал газ мотору и понес</w:t>
      </w:r>
      <w:r w:rsidRPr="00925F26">
        <w:rPr>
          <w:color w:val="000000" w:themeColor="text1"/>
          <w:sz w:val="16"/>
          <w:szCs w:val="16"/>
        </w:rPr>
        <w:softHyphen/>
        <w:t>ся к земле, как с крутой, градусов 40, горы. «Лавочкин» от меня отстал. Да</w:t>
      </w:r>
      <w:r w:rsidRPr="00925F26">
        <w:rPr>
          <w:color w:val="000000" w:themeColor="text1"/>
          <w:sz w:val="16"/>
          <w:szCs w:val="16"/>
        </w:rPr>
        <w:softHyphen/>
        <w:t>лее мы выполняли горку с набором высоты. На удивление всем, и здесь вначале я опережал «Ла-пятый», но вскоре он меня догнал и обошел. За</w:t>
      </w:r>
      <w:r w:rsidRPr="00925F26">
        <w:rPr>
          <w:color w:val="000000" w:themeColor="text1"/>
          <w:sz w:val="16"/>
          <w:szCs w:val="16"/>
        </w:rPr>
        <w:softHyphen/>
        <w:t>тем мы демонстрировали бой на вира</w:t>
      </w:r>
      <w:r w:rsidRPr="00925F26">
        <w:rPr>
          <w:color w:val="000000" w:themeColor="text1"/>
          <w:sz w:val="16"/>
          <w:szCs w:val="16"/>
        </w:rPr>
        <w:softHyphen/>
        <w:t>жах и выполнение различных фигур высшего пилотажа. Как Попков ни ста</w:t>
      </w:r>
      <w:r w:rsidRPr="00925F26">
        <w:rPr>
          <w:color w:val="000000" w:themeColor="text1"/>
          <w:sz w:val="16"/>
          <w:szCs w:val="16"/>
        </w:rPr>
        <w:softHyphen/>
        <w:t>рался, но его «Ла-пятому» редко уда</w:t>
      </w:r>
      <w:r w:rsidRPr="00925F26">
        <w:rPr>
          <w:color w:val="000000" w:themeColor="text1"/>
          <w:sz w:val="16"/>
          <w:szCs w:val="16"/>
        </w:rPr>
        <w:softHyphen/>
        <w:t>валось зайти мне в хвост для атаки. Зато и мой стрелок, и я несколько раз ловили его в перекрестья своих при</w:t>
      </w:r>
      <w:r w:rsidRPr="00925F26">
        <w:rPr>
          <w:color w:val="000000" w:themeColor="text1"/>
          <w:sz w:val="16"/>
          <w:szCs w:val="16"/>
        </w:rPr>
        <w:softHyphen/>
        <w:t>целов. После проявления пленки фотокинопулеметов, которыми мы «вое</w:t>
      </w:r>
      <w:r w:rsidRPr="00925F26">
        <w:rPr>
          <w:color w:val="000000" w:themeColor="text1"/>
          <w:sz w:val="16"/>
          <w:szCs w:val="16"/>
        </w:rPr>
        <w:softHyphen/>
        <w:t>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w:t>
      </w:r>
      <w:r w:rsidRPr="00925F26">
        <w:rPr>
          <w:color w:val="000000" w:themeColor="text1"/>
          <w:sz w:val="16"/>
          <w:szCs w:val="16"/>
        </w:rPr>
        <w:softHyphen/>
        <w:t>ходил истребитель Ла-5 по скорости и маневренности. Но этот бой пока</w:t>
      </w:r>
      <w:r w:rsidRPr="00925F26">
        <w:rPr>
          <w:color w:val="000000" w:themeColor="text1"/>
          <w:sz w:val="16"/>
          <w:szCs w:val="16"/>
        </w:rPr>
        <w:softHyphen/>
        <w:t>зал, что новый штурмовик уверенно может постоять за себя и в воздушном бою с немецкими истребителями» (11157).</w:t>
      </w:r>
    </w:p>
    <w:p w14:paraId="1EFA86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1B3A601" w14:textId="77777777" w:rsidR="00AD7C9A" w:rsidRPr="001A0BAA" w:rsidRDefault="00AD7C9A" w:rsidP="00AD7C9A">
      <w:pPr>
        <w:jc w:val="both"/>
        <w:rPr>
          <w:color w:val="0070C0"/>
          <w:sz w:val="16"/>
          <w:szCs w:val="16"/>
        </w:rPr>
      </w:pPr>
      <w:r w:rsidRPr="001A0BAA">
        <w:rPr>
          <w:color w:val="0070C0"/>
          <w:sz w:val="16"/>
          <w:szCs w:val="16"/>
        </w:rPr>
        <w:t>В апреле 1945 г., когда задача противодействия воздушному противнику была передвинута еще дальше на запад, в 328 иад был разработан новый план боевого использования частей</w:t>
      </w:r>
      <w:r w:rsidRPr="001A0BAA">
        <w:rPr>
          <w:color w:val="0070C0"/>
          <w:sz w:val="16"/>
          <w:szCs w:val="16"/>
          <w:shd w:val="clear" w:color="auto" w:fill="FFFFFF"/>
        </w:rPr>
        <w:t xml:space="preserve"> </w:t>
      </w:r>
      <w:r w:rsidRPr="001A0BAA">
        <w:rPr>
          <w:color w:val="0070C0"/>
          <w:sz w:val="16"/>
          <w:szCs w:val="16"/>
        </w:rPr>
        <w:t>по отражению массированных ударов V-1, в котором определялось:</w:t>
      </w:r>
    </w:p>
    <w:p w14:paraId="23F43CE5" w14:textId="77777777" w:rsidR="00AD7C9A" w:rsidRPr="001A0BAA" w:rsidRDefault="00AD7C9A" w:rsidP="00AD7C9A">
      <w:pPr>
        <w:jc w:val="both"/>
        <w:rPr>
          <w:color w:val="0070C0"/>
          <w:sz w:val="16"/>
          <w:szCs w:val="16"/>
        </w:rPr>
      </w:pPr>
      <w:r w:rsidRPr="001A0BAA">
        <w:rPr>
          <w:color w:val="0070C0"/>
          <w:sz w:val="16"/>
          <w:szCs w:val="16"/>
        </w:rPr>
        <w:t>«Задача частей: надежно прикрыть с воздуха столицу Белорусской ССР г. Минск, с входящими в него объектами (железнодорожный узел, Дом правительства, промышлен</w:t>
      </w:r>
      <w:r w:rsidRPr="001A0BAA">
        <w:rPr>
          <w:color w:val="0070C0"/>
          <w:sz w:val="16"/>
          <w:szCs w:val="16"/>
        </w:rPr>
        <w:softHyphen/>
        <w:t>ные предприятия), а также железнодорожные участки…, не допускать проникновения самолетов-разведчиков, бомбардировщиков, самолетов-снарядов и их буксировщиков в границах: с запада Сморгонь — Столбцы, Сморгонь — Долгиново, Долгиново — Борисов, Борисов — Осиповичи — Столбцы» (25332).</w:t>
      </w:r>
    </w:p>
    <w:p w14:paraId="6BD0F06F" w14:textId="77777777" w:rsidR="00AD7C9A" w:rsidRPr="001A0BAA" w:rsidRDefault="00AD7C9A" w:rsidP="00AD7C9A">
      <w:pPr>
        <w:jc w:val="both"/>
        <w:rPr>
          <w:color w:val="0070C0"/>
          <w:sz w:val="16"/>
          <w:szCs w:val="16"/>
        </w:rPr>
      </w:pPr>
    </w:p>
    <w:p w14:paraId="0C1603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на фронт убыло сразу 7 маршевых авиапол</w:t>
      </w:r>
      <w:r w:rsidRPr="00925F26">
        <w:rPr>
          <w:color w:val="000000" w:themeColor="text1"/>
          <w:sz w:val="16"/>
          <w:szCs w:val="16"/>
        </w:rPr>
        <w:softHyphen/>
        <w:t>ков (7-й, 59-й, 75-й и 132-й гвардей</w:t>
      </w:r>
      <w:r w:rsidRPr="00925F26">
        <w:rPr>
          <w:color w:val="000000" w:themeColor="text1"/>
          <w:sz w:val="16"/>
          <w:szCs w:val="16"/>
        </w:rPr>
        <w:softHyphen/>
        <w:t>ские, и 723-й, 899-й и 995-й штур</w:t>
      </w:r>
      <w:r w:rsidRPr="00925F26">
        <w:rPr>
          <w:color w:val="000000" w:themeColor="text1"/>
          <w:sz w:val="16"/>
          <w:szCs w:val="16"/>
        </w:rPr>
        <w:softHyphen/>
        <w:t>мовые авиаполки), имевшие в сво</w:t>
      </w:r>
      <w:r w:rsidRPr="00925F26">
        <w:rPr>
          <w:color w:val="000000" w:themeColor="text1"/>
          <w:sz w:val="16"/>
          <w:szCs w:val="16"/>
        </w:rPr>
        <w:softHyphen/>
        <w:t>ем составе в общей сложности 192 летчика, подготовленных на само</w:t>
      </w:r>
      <w:r w:rsidRPr="00925F26">
        <w:rPr>
          <w:color w:val="000000" w:themeColor="text1"/>
          <w:sz w:val="16"/>
          <w:szCs w:val="16"/>
        </w:rPr>
        <w:softHyphen/>
        <w:t>лете Ил-10. Из этого числа летом на Ил-10 убыло 186 экипажей. Осталь</w:t>
      </w:r>
      <w:r w:rsidRPr="00925F26">
        <w:rPr>
          <w:color w:val="000000" w:themeColor="text1"/>
          <w:sz w:val="16"/>
          <w:szCs w:val="16"/>
        </w:rPr>
        <w:softHyphen/>
        <w:t>ные отправились на фронт поездом. Кроме этого, в летные школы было отправлено 4 инструктора, пере</w:t>
      </w:r>
      <w:r w:rsidRPr="00925F26">
        <w:rPr>
          <w:color w:val="000000" w:themeColor="text1"/>
          <w:sz w:val="16"/>
          <w:szCs w:val="16"/>
        </w:rPr>
        <w:softHyphen/>
        <w:t>учившихся на Ил-10. В апреле началась подготовка полков для 7-го штурмового авиа</w:t>
      </w:r>
      <w:r w:rsidRPr="00925F26">
        <w:rPr>
          <w:color w:val="000000" w:themeColor="text1"/>
          <w:sz w:val="16"/>
          <w:szCs w:val="16"/>
        </w:rPr>
        <w:softHyphen/>
        <w:t>корпуса резерва Верховного Глав</w:t>
      </w:r>
      <w:r w:rsidRPr="00925F26">
        <w:rPr>
          <w:color w:val="000000" w:themeColor="text1"/>
          <w:sz w:val="16"/>
          <w:szCs w:val="16"/>
        </w:rPr>
        <w:softHyphen/>
        <w:t>ного Командования. В разное вре</w:t>
      </w:r>
      <w:r w:rsidRPr="00925F26">
        <w:rPr>
          <w:color w:val="000000" w:themeColor="text1"/>
          <w:sz w:val="16"/>
          <w:szCs w:val="16"/>
        </w:rPr>
        <w:softHyphen/>
        <w:t>мя с 5 по 24 апреля к переучива</w:t>
      </w:r>
      <w:r w:rsidRPr="00925F26">
        <w:rPr>
          <w:color w:val="000000" w:themeColor="text1"/>
          <w:sz w:val="16"/>
          <w:szCs w:val="16"/>
        </w:rPr>
        <w:softHyphen/>
        <w:t>нию на самолете Ил-10 приступили 686-й, 947-й и 232-й штурмовые авиаполки 289-й шад и 503-й, 806-й и 807-й шап 206-й шад (11132).</w:t>
      </w:r>
    </w:p>
    <w:p w14:paraId="43A00F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E83759D"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В апреле месяце 1945 на фронт убыло сразу 7 маршевых авиаполков (7, 59, 75 и 132 -й гвардейские и 723, 899 и 995-й штурмовые авиаполки), имевшие в своем составе в общей сложности 192 летчиков, подготовленных на самолете Ил-10. Из этого числа летом на Ил-10 убыло 186 экипажей. Остальные отправились на фронт поездом. Кроме этого, в летные школы было отправлено 4 инструктора, переучившихся на Ил-10.</w:t>
      </w:r>
    </w:p>
    <w:p w14:paraId="4443ECBD" w14:textId="77777777" w:rsidR="003B3957" w:rsidRPr="00925F26" w:rsidRDefault="003B3957"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апреле началась подготовка полков для 7-го штурмового авиакорпуса резерва Верховного главного командования. В разное время с 5 по 24 апреля к переучиванию на самолете Ил-10 приступили 686, 947 и 232-й штурмовые авиаполки 289 шад и 503, 806 и 807 шап 206 шад (17490).</w:t>
      </w:r>
    </w:p>
    <w:p w14:paraId="7CDDED4B" w14:textId="77777777" w:rsidR="003B3957" w:rsidRPr="00925F26" w:rsidRDefault="003B3957" w:rsidP="00925F26">
      <w:pPr>
        <w:jc w:val="both"/>
        <w:rPr>
          <w:color w:val="000000" w:themeColor="text1"/>
          <w:sz w:val="16"/>
          <w:szCs w:val="16"/>
        </w:rPr>
      </w:pPr>
    </w:p>
    <w:p w14:paraId="68E53F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два полка Ер-2 - 327 и 329 приняли участие в боевых действиях. Бомбили Кенигсберг, Зееловские высоты и Берлин. Это были разовые операции. Для сравнения следует отметить, что только в марте 1945 в 18 ВА было выполнено 5126 вылетов, включая 1864 на Ил-4, 1846 - на В-25, 1224 на Ли-2 и 192 на А-20G (3322,49).</w:t>
      </w:r>
    </w:p>
    <w:p w14:paraId="3DD11287" w14:textId="77777777" w:rsidR="00665165" w:rsidRPr="00925F26" w:rsidRDefault="00665165" w:rsidP="00925F26">
      <w:pPr>
        <w:autoSpaceDE w:val="0"/>
        <w:autoSpaceDN w:val="0"/>
        <w:adjustRightInd w:val="0"/>
        <w:jc w:val="both"/>
        <w:rPr>
          <w:color w:val="000000" w:themeColor="text1"/>
          <w:sz w:val="16"/>
          <w:szCs w:val="16"/>
        </w:rPr>
      </w:pPr>
    </w:p>
    <w:p w14:paraId="5F1B38B9" w14:textId="77777777" w:rsidR="004F4C5F" w:rsidRPr="00925F26" w:rsidRDefault="004F4C5F" w:rsidP="00925F26">
      <w:pPr>
        <w:shd w:val="clear" w:color="auto" w:fill="FFFFFF"/>
        <w:jc w:val="both"/>
        <w:rPr>
          <w:color w:val="000000" w:themeColor="text1"/>
          <w:sz w:val="16"/>
          <w:szCs w:val="16"/>
        </w:rPr>
      </w:pPr>
      <w:r w:rsidRPr="00925F26">
        <w:rPr>
          <w:color w:val="000000" w:themeColor="text1"/>
          <w:sz w:val="16"/>
          <w:szCs w:val="16"/>
        </w:rPr>
        <w:t>В апреле 1945 г. над всем фронтом снова царила плохая погода, но действия авиации активизировались. В отношении группировки Ла-7 и Ла-5ФН их сдерживало не столько это, сколько отсутствие неповрежденных аэродромов и внезапно возникший дефицит моторов АШ-82ФН для замены изношенных. Такая недостача имела место даже в морской авиации, где число самолетов Ла-7 было меньше. Вопрос пришлось решать срочной переброской двигателей воздушным транспортом прямо на места базирования полков (22772).</w:t>
      </w:r>
    </w:p>
    <w:p w14:paraId="325BF457" w14:textId="77777777" w:rsidR="004F4C5F" w:rsidRPr="00925F26" w:rsidRDefault="004F4C5F" w:rsidP="00925F26">
      <w:pPr>
        <w:shd w:val="clear" w:color="auto" w:fill="FFFFFF"/>
        <w:jc w:val="both"/>
        <w:rPr>
          <w:color w:val="000000" w:themeColor="text1"/>
          <w:sz w:val="16"/>
          <w:szCs w:val="16"/>
        </w:rPr>
      </w:pPr>
    </w:p>
    <w:p w14:paraId="18C092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самолеты Пе-2 внесли вклад во взятие Кенигсберга и военно-морской базы Пиллау, когда ПВО противника уже была малоэффективна, а истребители встречались редко. С Пе-2 сбрасывали бомбы крупных калибров - 250 и 500 кг. Например, при штурме крепости Кюстрин капитан В.П.Мельник из 96-го гв. бап с первого же захода поразил ФАБ-500 крупный склад боеприпасов, вызвав огромный взрыв (3542).</w:t>
      </w:r>
    </w:p>
    <w:p w14:paraId="2ECD4A99" w14:textId="77777777" w:rsidR="00665165" w:rsidRPr="00925F26" w:rsidRDefault="00665165" w:rsidP="00925F26">
      <w:pPr>
        <w:autoSpaceDE w:val="0"/>
        <w:autoSpaceDN w:val="0"/>
        <w:adjustRightInd w:val="0"/>
        <w:jc w:val="both"/>
        <w:rPr>
          <w:color w:val="000000" w:themeColor="text1"/>
          <w:sz w:val="16"/>
          <w:szCs w:val="16"/>
        </w:rPr>
      </w:pPr>
    </w:p>
    <w:p w14:paraId="14B38D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по решению ГКО болгарские ВВС получили 96 боевых Пе-2 и две учебные машины. Они прибыли уже после окончания войны для замены находившихся до этого на вооружении болгарской авиации бомбардировщиков немецких типов. В отличие от Польши и Чехословакии никаких существенных переделок болгарские "петляковы" не претерпели. После войны машины этого типа передавались также ВВС Югославии. В частности, сразу после окончания боевых действий в Европе туда отправили 62 Пе-2 и 9 УПе-2. Возрожденные югославские ВВС также получили на вооружение два полка "пешек" (12042).</w:t>
      </w:r>
    </w:p>
    <w:p w14:paraId="4758755E" w14:textId="77777777" w:rsidR="00665165" w:rsidRPr="00925F26" w:rsidRDefault="00665165" w:rsidP="00925F26">
      <w:pPr>
        <w:autoSpaceDE w:val="0"/>
        <w:autoSpaceDN w:val="0"/>
        <w:adjustRightInd w:val="0"/>
        <w:jc w:val="both"/>
        <w:rPr>
          <w:color w:val="000000" w:themeColor="text1"/>
          <w:sz w:val="16"/>
          <w:szCs w:val="16"/>
        </w:rPr>
      </w:pPr>
    </w:p>
    <w:p w14:paraId="279B80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1945 </w:t>
      </w:r>
      <w:proofErr w:type="gramStart"/>
      <w:r w:rsidRPr="00925F26">
        <w:rPr>
          <w:color w:val="000000" w:themeColor="text1"/>
          <w:sz w:val="16"/>
          <w:szCs w:val="16"/>
        </w:rPr>
        <w:t>в соответствии с указания</w:t>
      </w:r>
      <w:proofErr w:type="gramEnd"/>
      <w:r w:rsidRPr="00925F26">
        <w:rPr>
          <w:color w:val="000000" w:themeColor="text1"/>
          <w:sz w:val="16"/>
          <w:szCs w:val="16"/>
        </w:rPr>
        <w:t xml:space="preserve"> Генштаба штаб ВВС разработал план перегруппировки авиасоединений с запада на ДВ. По воздуху перебрасывался 6 гбак (г И.П.Скок) в составе 326 и 334 бад; 7 бак (г В.А.Ушаков) в составе 113 и 179 бад; 190 отд. иад без матчасти (п В.В.Фокин); 54 тр и 25 гв. тр. ад (г В.А.Щелкин и И.М.Горский).</w:t>
      </w:r>
    </w:p>
    <w:p w14:paraId="13A8F04C" w14:textId="77777777" w:rsidR="00665165" w:rsidRPr="00925F26" w:rsidRDefault="00665165" w:rsidP="00925F26">
      <w:pPr>
        <w:autoSpaceDE w:val="0"/>
        <w:autoSpaceDN w:val="0"/>
        <w:adjustRightInd w:val="0"/>
        <w:jc w:val="both"/>
        <w:rPr>
          <w:color w:val="000000" w:themeColor="text1"/>
          <w:sz w:val="16"/>
          <w:szCs w:val="16"/>
        </w:rPr>
      </w:pPr>
    </w:p>
    <w:p w14:paraId="0DCC8778" w14:textId="77777777" w:rsidR="003B1DCF" w:rsidRPr="001A0BAA" w:rsidRDefault="003B1DCF" w:rsidP="003B1DCF">
      <w:pPr>
        <w:jc w:val="both"/>
        <w:rPr>
          <w:rStyle w:val="114"/>
          <w:rFonts w:ascii="Times New Roman" w:eastAsia="Trebuchet MS" w:hAnsi="Times New Roman"/>
          <w:color w:val="0070C0"/>
          <w:sz w:val="16"/>
          <w:szCs w:val="16"/>
        </w:rPr>
      </w:pPr>
      <w:r w:rsidRPr="001A0BAA">
        <w:rPr>
          <w:rStyle w:val="114"/>
          <w:rFonts w:ascii="Times New Roman" w:eastAsia="Trebuchet MS" w:hAnsi="Times New Roman"/>
          <w:color w:val="0070C0"/>
          <w:sz w:val="16"/>
          <w:szCs w:val="16"/>
        </w:rPr>
        <w:t xml:space="preserve">В апреле 1945 года В.А. Егоровичу, </w:t>
      </w:r>
      <w:r w:rsidRPr="001A0BAA">
        <w:rPr>
          <w:rStyle w:val="114"/>
          <w:rFonts w:ascii="Times New Roman" w:eastAsia="Courier New" w:hAnsi="Times New Roman"/>
          <w:color w:val="0070C0"/>
          <w:sz w:val="16"/>
          <w:szCs w:val="16"/>
        </w:rPr>
        <w:t>л</w:t>
      </w:r>
      <w:r w:rsidRPr="001A0BAA">
        <w:rPr>
          <w:rStyle w:val="114"/>
          <w:rFonts w:ascii="Times New Roman" w:eastAsia="Trebuchet MS" w:hAnsi="Times New Roman"/>
          <w:color w:val="0070C0"/>
          <w:sz w:val="16"/>
          <w:szCs w:val="16"/>
        </w:rPr>
        <w:t xml:space="preserve">етавшему на Як-9Т с 37-миллиметроuой пушкой, </w:t>
      </w:r>
      <w:r w:rsidRPr="001A0BAA">
        <w:rPr>
          <w:rStyle w:val="114"/>
          <w:rFonts w:ascii="Times New Roman" w:eastAsia="Courier New" w:hAnsi="Times New Roman"/>
          <w:color w:val="0070C0"/>
          <w:sz w:val="16"/>
          <w:szCs w:val="16"/>
        </w:rPr>
        <w:t xml:space="preserve">и </w:t>
      </w:r>
      <w:r w:rsidRPr="001A0BAA">
        <w:rPr>
          <w:rStyle w:val="114"/>
          <w:rFonts w:ascii="Times New Roman" w:eastAsia="Trebuchet MS" w:hAnsi="Times New Roman"/>
          <w:color w:val="0070C0"/>
          <w:sz w:val="16"/>
          <w:szCs w:val="16"/>
        </w:rPr>
        <w:t>И.А. Кузнецову удалось сбить еще по одному Ме.262 (25113).</w:t>
      </w:r>
    </w:p>
    <w:p w14:paraId="7A75B3C6" w14:textId="77777777" w:rsidR="003B1DCF" w:rsidRPr="001A0BAA" w:rsidRDefault="003B1DCF" w:rsidP="003B1DCF">
      <w:pPr>
        <w:jc w:val="both"/>
        <w:rPr>
          <w:color w:val="0070C0"/>
          <w:sz w:val="16"/>
          <w:szCs w:val="16"/>
        </w:rPr>
      </w:pPr>
    </w:p>
    <w:p w14:paraId="531753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PBI-1 "Номад" 118-го полка при проводке конвоя самостоятельно уничтожил немецкую подводную лодку, поразив ее глубинными бомбами (3457,130).</w:t>
      </w:r>
    </w:p>
    <w:p w14:paraId="40E93353" w14:textId="77777777" w:rsidR="00665165" w:rsidRPr="00925F26" w:rsidRDefault="00665165" w:rsidP="00925F26">
      <w:pPr>
        <w:autoSpaceDE w:val="0"/>
        <w:autoSpaceDN w:val="0"/>
        <w:adjustRightInd w:val="0"/>
        <w:jc w:val="both"/>
        <w:rPr>
          <w:color w:val="000000" w:themeColor="text1"/>
          <w:sz w:val="16"/>
          <w:szCs w:val="16"/>
        </w:rPr>
      </w:pPr>
    </w:p>
    <w:p w14:paraId="4D62D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подполковник Гордиловский, командир 250-го полка, сбросив связку разноцветных осветительных бомб, подал сигнал к штурму Зееловских высот под Берлином (3457,97).</w:t>
      </w:r>
    </w:p>
    <w:p w14:paraId="647C807C" w14:textId="77777777" w:rsidR="00665165" w:rsidRPr="00925F26" w:rsidRDefault="00665165" w:rsidP="00925F26">
      <w:pPr>
        <w:autoSpaceDE w:val="0"/>
        <w:autoSpaceDN w:val="0"/>
        <w:adjustRightInd w:val="0"/>
        <w:jc w:val="both"/>
        <w:rPr>
          <w:color w:val="000000" w:themeColor="text1"/>
          <w:sz w:val="16"/>
          <w:szCs w:val="16"/>
        </w:rPr>
      </w:pPr>
    </w:p>
    <w:p w14:paraId="175A01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два полка из семи, вооруженных "Ерами" - 327-й и 329-й бапы - приняли участие в боевых действиях (8984).</w:t>
      </w:r>
    </w:p>
    <w:p w14:paraId="72FA0BEF" w14:textId="77777777" w:rsidR="00665165" w:rsidRPr="00925F26" w:rsidRDefault="00665165" w:rsidP="00925F26">
      <w:pPr>
        <w:autoSpaceDE w:val="0"/>
        <w:autoSpaceDN w:val="0"/>
        <w:adjustRightInd w:val="0"/>
        <w:jc w:val="both"/>
        <w:rPr>
          <w:color w:val="000000" w:themeColor="text1"/>
          <w:sz w:val="16"/>
          <w:szCs w:val="16"/>
        </w:rPr>
      </w:pPr>
    </w:p>
    <w:p w14:paraId="7DA8B2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1945 г., когда задача про</w:t>
      </w:r>
      <w:r w:rsidRPr="00925F26">
        <w:rPr>
          <w:color w:val="000000" w:themeColor="text1"/>
          <w:sz w:val="16"/>
          <w:szCs w:val="16"/>
        </w:rPr>
        <w:softHyphen/>
        <w:t>тиводействия воздушному противнику была передвинута еще дальше на за</w:t>
      </w:r>
      <w:r w:rsidRPr="00925F26">
        <w:rPr>
          <w:color w:val="000000" w:themeColor="text1"/>
          <w:sz w:val="16"/>
          <w:szCs w:val="16"/>
        </w:rPr>
        <w:softHyphen/>
        <w:t>пад, в 328 иад был разработан новый план боевого использования частей, в котором определялось: «Задача час</w:t>
      </w:r>
      <w:r w:rsidRPr="00925F26">
        <w:rPr>
          <w:color w:val="000000" w:themeColor="text1"/>
          <w:sz w:val="16"/>
          <w:szCs w:val="16"/>
        </w:rPr>
        <w:softHyphen/>
        <w:t>тей: надежно прикрыть с воздуха сто</w:t>
      </w:r>
      <w:r w:rsidRPr="00925F26">
        <w:rPr>
          <w:color w:val="000000" w:themeColor="text1"/>
          <w:sz w:val="16"/>
          <w:szCs w:val="16"/>
        </w:rPr>
        <w:softHyphen/>
        <w:t>лицу Белорусской ССР г. Минск, с вхо</w:t>
      </w:r>
      <w:r w:rsidRPr="00925F26">
        <w:rPr>
          <w:color w:val="000000" w:themeColor="text1"/>
          <w:sz w:val="16"/>
          <w:szCs w:val="16"/>
        </w:rPr>
        <w:softHyphen/>
        <w:t>дящими в него объектами (железнодо</w:t>
      </w:r>
      <w:r w:rsidRPr="00925F26">
        <w:rPr>
          <w:color w:val="000000" w:themeColor="text1"/>
          <w:sz w:val="16"/>
          <w:szCs w:val="16"/>
        </w:rPr>
        <w:softHyphen/>
        <w:t>рожный узел, Дом правительства, про</w:t>
      </w:r>
      <w:r w:rsidRPr="00925F26">
        <w:rPr>
          <w:color w:val="000000" w:themeColor="text1"/>
          <w:sz w:val="16"/>
          <w:szCs w:val="16"/>
        </w:rPr>
        <w:softHyphen/>
        <w:t>мышленные предприятия], а также же</w:t>
      </w:r>
      <w:r w:rsidRPr="00925F26">
        <w:rPr>
          <w:color w:val="000000" w:themeColor="text1"/>
          <w:sz w:val="16"/>
          <w:szCs w:val="16"/>
        </w:rPr>
        <w:softHyphen/>
        <w:t>лезнодорожные участки..., не допускать проникновения самолетов-разведчи</w:t>
      </w:r>
      <w:r w:rsidRPr="00925F26">
        <w:rPr>
          <w:color w:val="000000" w:themeColor="text1"/>
          <w:sz w:val="16"/>
          <w:szCs w:val="16"/>
        </w:rPr>
        <w:softHyphen/>
        <w:t>ков, бомбардировщиков, самолетов-снарядов и их буксировщиков в грани</w:t>
      </w:r>
      <w:r w:rsidRPr="00925F26">
        <w:rPr>
          <w:color w:val="000000" w:themeColor="text1"/>
          <w:sz w:val="16"/>
          <w:szCs w:val="16"/>
        </w:rPr>
        <w:softHyphen/>
        <w:t>цах: с запада Сморгонь - Столбцы, Сморгонь - Долгиново, Долгиново -Борисов, Борисов - Осиповичи - Стол</w:t>
      </w:r>
      <w:r w:rsidRPr="00925F26">
        <w:rPr>
          <w:color w:val="000000" w:themeColor="text1"/>
          <w:sz w:val="16"/>
          <w:szCs w:val="16"/>
        </w:rPr>
        <w:softHyphen/>
        <w:t>бцы» (10791).</w:t>
      </w:r>
    </w:p>
    <w:p w14:paraId="4BE340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CC1C783" w14:textId="77777777" w:rsidR="004F4C5F" w:rsidRPr="00925F26" w:rsidRDefault="004F4C5F" w:rsidP="00925F26">
      <w:pPr>
        <w:jc w:val="both"/>
        <w:rPr>
          <w:color w:val="000000" w:themeColor="text1"/>
          <w:sz w:val="16"/>
          <w:szCs w:val="16"/>
        </w:rPr>
      </w:pPr>
      <w:r w:rsidRPr="00925F26">
        <w:rPr>
          <w:color w:val="000000" w:themeColor="text1"/>
          <w:sz w:val="16"/>
          <w:szCs w:val="16"/>
        </w:rPr>
        <w:t>В апреле 1945 г. разработали новый план обо</w:t>
      </w:r>
      <w:r w:rsidRPr="00925F26">
        <w:rPr>
          <w:color w:val="000000" w:themeColor="text1"/>
          <w:sz w:val="16"/>
          <w:szCs w:val="16"/>
        </w:rPr>
        <w:softHyphen/>
        <w:t>роны административных центров СССР от кры</w:t>
      </w:r>
      <w:r w:rsidRPr="00925F26">
        <w:rPr>
          <w:color w:val="000000" w:themeColor="text1"/>
          <w:sz w:val="16"/>
          <w:szCs w:val="16"/>
        </w:rPr>
        <w:softHyphen/>
        <w:t>латых ракет, предусматривавший также защиту Минска на рубежах Сморгонь — Столбцы, Смор- гонь — Долгиново, Долгиново — Борисов и Бо</w:t>
      </w:r>
      <w:r w:rsidRPr="00925F26">
        <w:rPr>
          <w:color w:val="000000" w:themeColor="text1"/>
          <w:sz w:val="16"/>
          <w:szCs w:val="16"/>
        </w:rPr>
        <w:softHyphen/>
        <w:t>рисов — Осиповичи — Столбцы (20120).</w:t>
      </w:r>
    </w:p>
    <w:p w14:paraId="110FCFB9" w14:textId="77777777" w:rsidR="004F4C5F" w:rsidRPr="00925F26" w:rsidRDefault="004F4C5F" w:rsidP="00925F26">
      <w:pPr>
        <w:jc w:val="both"/>
        <w:rPr>
          <w:color w:val="000000" w:themeColor="text1"/>
          <w:sz w:val="16"/>
          <w:szCs w:val="16"/>
        </w:rPr>
      </w:pPr>
    </w:p>
    <w:p w14:paraId="6834E5B7" w14:textId="77777777" w:rsidR="003B3957" w:rsidRPr="00925F26" w:rsidRDefault="003B3957"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С апреля 1945 года M4A2E8 стали поступать в учебные части Красной армии первые. При этом и в апреле, и даже в мае 1945 года в СССР поступали не только </w:t>
      </w:r>
      <w:r w:rsidRPr="00925F26">
        <w:rPr>
          <w:color w:val="000000" w:themeColor="text1"/>
          <w:sz w:val="16"/>
          <w:szCs w:val="16"/>
        </w:rPr>
        <w:lastRenderedPageBreak/>
        <w:t>машины с новой ходовой частью, но и M4A2(</w:t>
      </w:r>
      <w:proofErr w:type="gramStart"/>
      <w:r w:rsidRPr="00925F26">
        <w:rPr>
          <w:color w:val="000000" w:themeColor="text1"/>
          <w:sz w:val="16"/>
          <w:szCs w:val="16"/>
        </w:rPr>
        <w:t>76)W.</w:t>
      </w:r>
      <w:proofErr w:type="gramEnd"/>
      <w:r w:rsidRPr="00925F26">
        <w:rPr>
          <w:color w:val="000000" w:themeColor="text1"/>
          <w:sz w:val="16"/>
          <w:szCs w:val="16"/>
        </w:rPr>
        <w:t xml:space="preserve"> 25 мая 1945 года отдел приёмки Горьковского АБТ Центра докладывал о 177 танках обеих модификаций, а к 5 июня их число выросло до 212. Между тем за апрель 1945 года в СССР прибыл 181 танк, а в мае — 128. Последние M4A2 поступили в Советский Союз в июне 1945 года. Всего за 1945 год в СССР поступило 1088 M4A2(76)W и M4A2E8. Даже в американских документах эти машины не разделяли между собой, что не даёт возможности вычислить точное количество попавших в СССР M4A2E8. Похоже, что их было около 350 штук. Всего же из 4102 отправленных в СССР M4A2 всех типов к месту назначения прибыло 3938 штук (17725).</w:t>
      </w:r>
    </w:p>
    <w:p w14:paraId="505D9883" w14:textId="77777777" w:rsidR="003B3957" w:rsidRPr="00925F26" w:rsidRDefault="003B3957" w:rsidP="00925F26">
      <w:pPr>
        <w:jc w:val="both"/>
        <w:rPr>
          <w:color w:val="000000" w:themeColor="text1"/>
          <w:sz w:val="16"/>
          <w:szCs w:val="16"/>
        </w:rPr>
      </w:pPr>
    </w:p>
    <w:p w14:paraId="31B0BD2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45603D2" w14:textId="77777777" w:rsidR="00665165" w:rsidRPr="00925F26" w:rsidRDefault="00665165" w:rsidP="00925F26">
      <w:pPr>
        <w:autoSpaceDE w:val="0"/>
        <w:autoSpaceDN w:val="0"/>
        <w:adjustRightInd w:val="0"/>
        <w:jc w:val="both"/>
        <w:rPr>
          <w:iCs/>
          <w:color w:val="000000" w:themeColor="text1"/>
          <w:sz w:val="16"/>
          <w:szCs w:val="16"/>
        </w:rPr>
      </w:pPr>
    </w:p>
    <w:p w14:paraId="52DD6A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конвойные войска НКВД СССР охраняли 710 лагерей, тюрем и др. Только на охрану военнопленных ежедневно выделялось 30000 чел. (4550).</w:t>
      </w:r>
    </w:p>
    <w:p w14:paraId="1339671C" w14:textId="77777777" w:rsidR="00665165" w:rsidRPr="00925F26" w:rsidRDefault="00665165" w:rsidP="00925F26">
      <w:pPr>
        <w:autoSpaceDE w:val="0"/>
        <w:autoSpaceDN w:val="0"/>
        <w:adjustRightInd w:val="0"/>
        <w:jc w:val="both"/>
        <w:rPr>
          <w:color w:val="000000" w:themeColor="text1"/>
          <w:sz w:val="16"/>
          <w:szCs w:val="16"/>
        </w:rPr>
      </w:pPr>
    </w:p>
    <w:p w14:paraId="1C356B7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868D3AD" w14:textId="77777777" w:rsidR="00665165" w:rsidRPr="00925F26" w:rsidRDefault="00665165" w:rsidP="00925F26">
      <w:pPr>
        <w:autoSpaceDE w:val="0"/>
        <w:autoSpaceDN w:val="0"/>
        <w:adjustRightInd w:val="0"/>
        <w:jc w:val="both"/>
        <w:rPr>
          <w:iCs/>
          <w:color w:val="000000" w:themeColor="text1"/>
          <w:sz w:val="16"/>
          <w:szCs w:val="16"/>
        </w:rPr>
      </w:pPr>
    </w:p>
    <w:p w14:paraId="788D8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французский бомбардировочный полк "Бретань" располагал 34 пикирующими бомбардировщиками Пе-2 и продолжал боевую подготовку; полностью переученными считались 16 экипажей. До окончания боевых действий в Европе "Бретань" так и не достигла боеготового состояния. После окончания войны французские экипажи без всякой помпы (в отличие от "Нормандии-Неман") уехали на родину.</w:t>
      </w:r>
    </w:p>
    <w:p w14:paraId="67C3A7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заключительном этапе войны советское руководство приняло предложение французов о развертывании в СССР помимо известного авиаполка "Нормандия" еще двух частей - истребительного авиаполка "Париж" и бомбардировочного полка "Бретань". Последний должен был летать на бомбардировщиках Пе-2. Подготовка французского летного персонала инструкторами 9-м зап началась поздней осенью 1944 г. Ходу работы однако мешало отсутствие переводчиков. Самолет оказался довольно сложным для французов, поэтому подготовка затянулась (12042).</w:t>
      </w:r>
    </w:p>
    <w:p w14:paraId="57FB1E78" w14:textId="77777777" w:rsidR="00665165" w:rsidRPr="00925F26" w:rsidRDefault="00665165" w:rsidP="00925F26">
      <w:pPr>
        <w:autoSpaceDE w:val="0"/>
        <w:autoSpaceDN w:val="0"/>
        <w:adjustRightInd w:val="0"/>
        <w:jc w:val="both"/>
        <w:rPr>
          <w:color w:val="000000" w:themeColor="text1"/>
          <w:sz w:val="16"/>
          <w:szCs w:val="16"/>
        </w:rPr>
      </w:pPr>
    </w:p>
    <w:p w14:paraId="57CCD6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Югославия была первой страной, с которой И.В.С. подписал договор о дружбе, взаимопомощи и послевоенном сотрудничестве еще в апреле 1945. Договор предусматривал военную помощь в формировании 12 армий и двух авиадивизий (241,38).</w:t>
      </w:r>
    </w:p>
    <w:p w14:paraId="685E5388" w14:textId="77777777" w:rsidR="00665165" w:rsidRPr="00925F26" w:rsidRDefault="00665165" w:rsidP="00925F26">
      <w:pPr>
        <w:autoSpaceDE w:val="0"/>
        <w:autoSpaceDN w:val="0"/>
        <w:adjustRightInd w:val="0"/>
        <w:jc w:val="both"/>
        <w:rPr>
          <w:color w:val="000000" w:themeColor="text1"/>
          <w:sz w:val="16"/>
          <w:szCs w:val="16"/>
        </w:rPr>
      </w:pPr>
    </w:p>
    <w:p w14:paraId="2C6B06E7" w14:textId="77777777" w:rsidR="003B1DCF" w:rsidRPr="001A0BAA" w:rsidRDefault="003B1DCF" w:rsidP="003B1DCF">
      <w:pPr>
        <w:jc w:val="both"/>
        <w:rPr>
          <w:color w:val="0070C0"/>
          <w:sz w:val="16"/>
          <w:szCs w:val="16"/>
        </w:rPr>
      </w:pPr>
      <w:r w:rsidRPr="001A0BAA">
        <w:rPr>
          <w:rStyle w:val="46"/>
          <w:rFonts w:ascii="Times New Roman" w:cs="Times New Roman"/>
          <w:color w:val="0070C0"/>
          <w:sz w:val="16"/>
          <w:szCs w:val="16"/>
        </w:rPr>
        <w:t xml:space="preserve">В апреле </w:t>
      </w:r>
      <w:r w:rsidRPr="001A0BAA">
        <w:rPr>
          <w:rStyle w:val="46"/>
          <w:rFonts w:ascii="Times New Roman" w:eastAsia="Times New Roman" w:cs="Times New Roman"/>
          <w:color w:val="0070C0"/>
          <w:sz w:val="16"/>
          <w:szCs w:val="16"/>
        </w:rPr>
        <w:t xml:space="preserve">1945 </w:t>
      </w:r>
      <w:r w:rsidRPr="001A0BAA">
        <w:rPr>
          <w:rStyle w:val="46"/>
          <w:rFonts w:ascii="Times New Roman" w:cs="Times New Roman"/>
          <w:color w:val="0070C0"/>
          <w:sz w:val="16"/>
          <w:szCs w:val="16"/>
        </w:rPr>
        <w:t>г., когда еще не закончилась вторая мировая, Сталин во время приема правительственной делега</w:t>
      </w:r>
      <w:r w:rsidRPr="001A0BAA">
        <w:rPr>
          <w:rStyle w:val="46"/>
          <w:rFonts w:ascii="Times New Roman" w:cs="Times New Roman"/>
          <w:color w:val="0070C0"/>
          <w:sz w:val="16"/>
          <w:szCs w:val="16"/>
        </w:rPr>
        <w:softHyphen/>
        <w:t xml:space="preserve">ции Югославии он сказал: «Война скоро кончится, через </w:t>
      </w:r>
      <w:r w:rsidRPr="001A0BAA">
        <w:rPr>
          <w:rStyle w:val="46"/>
          <w:rFonts w:ascii="Times New Roman" w:eastAsia="Times New Roman" w:cs="Times New Roman"/>
          <w:color w:val="0070C0"/>
          <w:sz w:val="16"/>
          <w:szCs w:val="16"/>
        </w:rPr>
        <w:t xml:space="preserve">15-20 </w:t>
      </w:r>
      <w:r w:rsidRPr="001A0BAA">
        <w:rPr>
          <w:rStyle w:val="46"/>
          <w:rFonts w:ascii="Times New Roman" w:cs="Times New Roman"/>
          <w:color w:val="0070C0"/>
          <w:sz w:val="16"/>
          <w:szCs w:val="16"/>
        </w:rPr>
        <w:t>лет мы оправимся, а затем снова!» (25687).</w:t>
      </w:r>
    </w:p>
    <w:p w14:paraId="20F4A636" w14:textId="77777777" w:rsidR="003B1DCF" w:rsidRPr="001A0BAA" w:rsidRDefault="003B1DCF" w:rsidP="003B1DCF">
      <w:pPr>
        <w:jc w:val="both"/>
        <w:rPr>
          <w:color w:val="0070C0"/>
          <w:sz w:val="16"/>
          <w:szCs w:val="16"/>
        </w:rPr>
      </w:pPr>
    </w:p>
    <w:p w14:paraId="094F27C9" w14:textId="77777777" w:rsidR="003B1DCF" w:rsidRPr="001A0BAA" w:rsidRDefault="003B1DCF" w:rsidP="003B1DCF">
      <w:pPr>
        <w:jc w:val="both"/>
        <w:rPr>
          <w:color w:val="0070C0"/>
          <w:sz w:val="16"/>
          <w:szCs w:val="16"/>
        </w:rPr>
      </w:pPr>
      <w:r w:rsidRPr="001A0BAA">
        <w:rPr>
          <w:color w:val="0070C0"/>
          <w:sz w:val="16"/>
          <w:szCs w:val="16"/>
        </w:rPr>
        <w:t>В апреле 1945 г. Советский Союз передал 96 самолетов Пе</w:t>
      </w:r>
      <w:r w:rsidRPr="001A0BAA">
        <w:rPr>
          <w:color w:val="0070C0"/>
          <w:sz w:val="16"/>
          <w:szCs w:val="16"/>
        </w:rPr>
        <w:noBreakHyphen/>
        <w:t>2 Болгарии. В свою очередь, в апреле</w:t>
      </w:r>
      <w:r w:rsidRPr="001A0BAA">
        <w:rPr>
          <w:color w:val="0070C0"/>
          <w:sz w:val="16"/>
          <w:szCs w:val="16"/>
        </w:rPr>
        <w:noBreakHyphen/>
        <w:t>октябре 1947 г. болгары в счет репарации передали 59 «пешек» Югославии. Последний Пс</w:t>
      </w:r>
      <w:r w:rsidRPr="001A0BAA">
        <w:rPr>
          <w:color w:val="0070C0"/>
          <w:sz w:val="16"/>
          <w:szCs w:val="16"/>
        </w:rPr>
        <w:noBreakHyphen/>
        <w:t>2 был снят с вооружения болгарских ВВС в 1956 г. (25072).</w:t>
      </w:r>
    </w:p>
    <w:p w14:paraId="3CB5F507" w14:textId="77777777" w:rsidR="003B1DCF" w:rsidRPr="001A0BAA" w:rsidRDefault="003B1DCF" w:rsidP="003B1DCF">
      <w:pPr>
        <w:jc w:val="both"/>
        <w:rPr>
          <w:color w:val="0070C0"/>
          <w:sz w:val="16"/>
          <w:szCs w:val="16"/>
        </w:rPr>
      </w:pPr>
    </w:p>
    <w:p w14:paraId="05B777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апреля 1945 в Москве проходили переговоры с Чан-Кай-Ши, которые завершились 14 августа и подписали договор о дружбе (2070,246).</w:t>
      </w:r>
    </w:p>
    <w:p w14:paraId="6A7F972E" w14:textId="77777777" w:rsidR="00665165" w:rsidRPr="00925F26" w:rsidRDefault="00665165" w:rsidP="00925F26">
      <w:pPr>
        <w:autoSpaceDE w:val="0"/>
        <w:autoSpaceDN w:val="0"/>
        <w:adjustRightInd w:val="0"/>
        <w:jc w:val="both"/>
        <w:rPr>
          <w:color w:val="000000" w:themeColor="text1"/>
          <w:sz w:val="16"/>
          <w:szCs w:val="16"/>
        </w:rPr>
      </w:pPr>
    </w:p>
    <w:p w14:paraId="3BD7BDB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E96E96E" w14:textId="77777777" w:rsidR="00665165" w:rsidRPr="00925F26" w:rsidRDefault="00665165" w:rsidP="00925F26">
      <w:pPr>
        <w:autoSpaceDE w:val="0"/>
        <w:autoSpaceDN w:val="0"/>
        <w:adjustRightInd w:val="0"/>
        <w:jc w:val="both"/>
        <w:rPr>
          <w:iCs/>
          <w:color w:val="000000" w:themeColor="text1"/>
          <w:sz w:val="16"/>
          <w:szCs w:val="16"/>
        </w:rPr>
      </w:pPr>
    </w:p>
    <w:p w14:paraId="1441F869" w14:textId="77777777" w:rsidR="00AD7C9A" w:rsidRPr="001A0BAA" w:rsidRDefault="00AD7C9A" w:rsidP="00AD7C9A">
      <w:pPr>
        <w:jc w:val="both"/>
        <w:rPr>
          <w:color w:val="0070C0"/>
          <w:sz w:val="16"/>
          <w:szCs w:val="16"/>
        </w:rPr>
      </w:pPr>
      <w:r w:rsidRPr="001A0BAA">
        <w:rPr>
          <w:rStyle w:val="aff0"/>
          <w:rFonts w:ascii="Times New Roman" w:hAnsi="Times New Roman" w:cs="Times New Roman"/>
          <w:color w:val="0070C0"/>
          <w:spacing w:val="0"/>
          <w:sz w:val="16"/>
          <w:szCs w:val="16"/>
        </w:rPr>
        <w:t xml:space="preserve">В апреле 1945 г. совершил первый полет серийный образец самолета </w:t>
      </w:r>
      <w:r w:rsidRPr="001A0BAA">
        <w:rPr>
          <w:rStyle w:val="aff0"/>
          <w:rFonts w:ascii="Times New Roman" w:hAnsi="Times New Roman" w:cs="Times New Roman"/>
          <w:color w:val="0070C0"/>
          <w:spacing w:val="0"/>
          <w:sz w:val="16"/>
          <w:szCs w:val="16"/>
          <w:lang w:val="en-US"/>
        </w:rPr>
        <w:t>D</w:t>
      </w:r>
      <w:r w:rsidRPr="001A0BAA">
        <w:rPr>
          <w:rStyle w:val="aff0"/>
          <w:rFonts w:ascii="Times New Roman" w:hAnsi="Times New Roman" w:cs="Times New Roman"/>
          <w:color w:val="0070C0"/>
          <w:spacing w:val="0"/>
          <w:sz w:val="16"/>
          <w:szCs w:val="16"/>
        </w:rPr>
        <w:t>.</w:t>
      </w:r>
      <w:r w:rsidRPr="001A0BAA">
        <w:rPr>
          <w:rStyle w:val="aff0"/>
          <w:rFonts w:ascii="Times New Roman" w:hAnsi="Times New Roman" w:cs="Times New Roman"/>
          <w:color w:val="0070C0"/>
          <w:spacing w:val="0"/>
          <w:sz w:val="16"/>
          <w:szCs w:val="16"/>
          <w:lang w:val="en-US"/>
        </w:rPr>
        <w:t>H</w:t>
      </w:r>
      <w:r w:rsidRPr="001A0BAA">
        <w:rPr>
          <w:rStyle w:val="aff0"/>
          <w:rFonts w:ascii="Times New Roman" w:hAnsi="Times New Roman" w:cs="Times New Roman"/>
          <w:color w:val="0070C0"/>
          <w:spacing w:val="0"/>
          <w:sz w:val="16"/>
          <w:szCs w:val="16"/>
        </w:rPr>
        <w:t>. 100 «Вампир», получивший на</w:t>
      </w:r>
      <w:r w:rsidRPr="001A0BAA">
        <w:rPr>
          <w:rStyle w:val="aff0"/>
          <w:rFonts w:ascii="Times New Roman" w:hAnsi="Times New Roman" w:cs="Times New Roman"/>
          <w:color w:val="0070C0"/>
          <w:spacing w:val="0"/>
          <w:sz w:val="16"/>
          <w:szCs w:val="16"/>
        </w:rPr>
        <w:softHyphen/>
        <w:t xml:space="preserve">звание «Вампир» </w:t>
      </w:r>
      <w:r w:rsidRPr="001A0BAA">
        <w:rPr>
          <w:rStyle w:val="aff0"/>
          <w:rFonts w:ascii="Times New Roman" w:hAnsi="Times New Roman" w:cs="Times New Roman"/>
          <w:color w:val="0070C0"/>
          <w:spacing w:val="0"/>
          <w:sz w:val="16"/>
          <w:szCs w:val="16"/>
          <w:lang w:val="en-US"/>
        </w:rPr>
        <w:t>F</w:t>
      </w:r>
      <w:r w:rsidRPr="001A0BAA">
        <w:rPr>
          <w:rStyle w:val="aff0"/>
          <w:rFonts w:ascii="Times New Roman" w:hAnsi="Times New Roman" w:cs="Times New Roman"/>
          <w:color w:val="0070C0"/>
          <w:spacing w:val="0"/>
          <w:sz w:val="16"/>
          <w:szCs w:val="16"/>
        </w:rPr>
        <w:t>.1. Его производство было начато на заводе «Инглиш Электрик» в Престоне. На первых 50 самолетах кабина летчика не была герметизирована, на последующих кабины герметизировались. Хотя первая партия была выпущена еще в начале 1945 г., само</w:t>
      </w:r>
      <w:r w:rsidRPr="001A0BAA">
        <w:rPr>
          <w:rStyle w:val="aff0"/>
          <w:rFonts w:ascii="Times New Roman" w:hAnsi="Times New Roman" w:cs="Times New Roman"/>
          <w:color w:val="0070C0"/>
          <w:spacing w:val="0"/>
          <w:sz w:val="16"/>
          <w:szCs w:val="16"/>
        </w:rPr>
        <w:softHyphen/>
        <w:t>лет не успел принять участие в боевых действиях, так как был принят на вооружение Королевскими ВВС лишь в 1946 г. Не</w:t>
      </w:r>
      <w:r w:rsidRPr="001A0BAA">
        <w:rPr>
          <w:rStyle w:val="aff0"/>
          <w:rFonts w:ascii="Times New Roman" w:hAnsi="Times New Roman" w:cs="Times New Roman"/>
          <w:color w:val="0070C0"/>
          <w:spacing w:val="0"/>
          <w:sz w:val="16"/>
          <w:szCs w:val="16"/>
        </w:rPr>
        <w:softHyphen/>
        <w:t>смотря на то что «Вампир» устарел как чистый истребитель, у него еще сохранялся потенциал для развития в качестве военно</w:t>
      </w:r>
      <w:r w:rsidRPr="001A0BAA">
        <w:rPr>
          <w:rStyle w:val="aff0"/>
          <w:rFonts w:ascii="Times New Roman" w:hAnsi="Times New Roman" w:cs="Times New Roman"/>
          <w:color w:val="0070C0"/>
          <w:spacing w:val="0"/>
          <w:sz w:val="16"/>
          <w:szCs w:val="16"/>
        </w:rPr>
        <w:softHyphen/>
        <w:t xml:space="preserve">го самолета. Следующим серийным образцом был истребитель дальнего действия «Вампир» </w:t>
      </w:r>
      <w:r w:rsidRPr="001A0BAA">
        <w:rPr>
          <w:rStyle w:val="aff0"/>
          <w:rFonts w:ascii="Times New Roman" w:hAnsi="Times New Roman" w:cs="Times New Roman"/>
          <w:color w:val="0070C0"/>
          <w:spacing w:val="0"/>
          <w:sz w:val="16"/>
          <w:szCs w:val="16"/>
          <w:lang w:val="en-US"/>
        </w:rPr>
        <w:t>F</w:t>
      </w:r>
      <w:r w:rsidRPr="001A0BAA">
        <w:rPr>
          <w:rStyle w:val="aff0"/>
          <w:rFonts w:ascii="Times New Roman" w:hAnsi="Times New Roman" w:cs="Times New Roman"/>
          <w:color w:val="0070C0"/>
          <w:spacing w:val="0"/>
          <w:sz w:val="16"/>
          <w:szCs w:val="16"/>
        </w:rPr>
        <w:t>.3, имеющий модифицированное хвостовое оперение и два сбрасываемых топливных бака, он со</w:t>
      </w:r>
      <w:r w:rsidRPr="001A0BAA">
        <w:rPr>
          <w:rStyle w:val="aff0"/>
          <w:rFonts w:ascii="Times New Roman" w:hAnsi="Times New Roman" w:cs="Times New Roman"/>
          <w:color w:val="0070C0"/>
          <w:spacing w:val="0"/>
          <w:sz w:val="16"/>
          <w:szCs w:val="16"/>
        </w:rPr>
        <w:softHyphen/>
        <w:t xml:space="preserve">вершил первый полет 4 ноября 1946 г. Другим вариантом стал истребитель-бомбардировщик «Вампир» </w:t>
      </w:r>
      <w:r w:rsidRPr="001A0BAA">
        <w:rPr>
          <w:rStyle w:val="aff0"/>
          <w:rFonts w:ascii="Times New Roman" w:hAnsi="Times New Roman" w:cs="Times New Roman"/>
          <w:color w:val="0070C0"/>
          <w:spacing w:val="0"/>
          <w:sz w:val="16"/>
          <w:szCs w:val="16"/>
          <w:lang w:val="en-US"/>
        </w:rPr>
        <w:t>FB</w:t>
      </w:r>
      <w:r w:rsidRPr="001A0BAA">
        <w:rPr>
          <w:rStyle w:val="aff0"/>
          <w:rFonts w:ascii="Times New Roman" w:hAnsi="Times New Roman" w:cs="Times New Roman"/>
          <w:color w:val="0070C0"/>
          <w:spacing w:val="0"/>
          <w:sz w:val="16"/>
          <w:szCs w:val="16"/>
        </w:rPr>
        <w:t>.</w:t>
      </w:r>
      <w:r w:rsidRPr="001A0BAA">
        <w:rPr>
          <w:rStyle w:val="aff0"/>
          <w:rFonts w:ascii="Times New Roman" w:hAnsi="Times New Roman" w:cs="Times New Roman"/>
          <w:color w:val="0070C0"/>
          <w:spacing w:val="0"/>
          <w:sz w:val="16"/>
          <w:szCs w:val="16"/>
          <w:lang w:val="en-US"/>
        </w:rPr>
        <w:t>MK</w:t>
      </w:r>
      <w:r w:rsidRPr="001A0BAA">
        <w:rPr>
          <w:rStyle w:val="aff0"/>
          <w:rFonts w:ascii="Times New Roman" w:hAnsi="Times New Roman" w:cs="Times New Roman"/>
          <w:color w:val="0070C0"/>
          <w:spacing w:val="0"/>
          <w:sz w:val="16"/>
          <w:szCs w:val="16"/>
        </w:rPr>
        <w:t xml:space="preserve"> 5, предназна</w:t>
      </w:r>
      <w:r w:rsidRPr="001A0BAA">
        <w:rPr>
          <w:rStyle w:val="aff0"/>
          <w:rFonts w:ascii="Times New Roman" w:hAnsi="Times New Roman" w:cs="Times New Roman"/>
          <w:color w:val="0070C0"/>
          <w:spacing w:val="0"/>
          <w:sz w:val="16"/>
          <w:szCs w:val="16"/>
        </w:rPr>
        <w:softHyphen/>
        <w:t>чавшийся для нанесения ударов по наземным целям. Основное его отличие от прототипа — усиленное крыло, которое было оснащено подвесками, предназначенными для размещения бомб или ракет. Этот самолет имел крылья со срезанными за- концовками, что уменьшило его длину на 0,6 м (25675).</w:t>
      </w:r>
    </w:p>
    <w:p w14:paraId="41E38EAA" w14:textId="77777777" w:rsidR="00AD7C9A" w:rsidRPr="001A0BAA" w:rsidRDefault="00AD7C9A" w:rsidP="00AD7C9A">
      <w:pPr>
        <w:jc w:val="both"/>
        <w:rPr>
          <w:color w:val="0070C0"/>
          <w:sz w:val="16"/>
          <w:szCs w:val="16"/>
        </w:rPr>
      </w:pPr>
    </w:p>
    <w:p w14:paraId="5E85FE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апреле 1945 года генерал-фельдмаршалом решил длительный спор о патентном праве на авторство </w:t>
      </w:r>
      <w:r w:rsidRPr="00925F26">
        <w:rPr>
          <w:color w:val="000000" w:themeColor="text1"/>
          <w:sz w:val="16"/>
          <w:szCs w:val="16"/>
          <w:lang w:val="en-US"/>
        </w:rPr>
        <w:t>V</w:t>
      </w:r>
      <w:r w:rsidRPr="00925F26">
        <w:rPr>
          <w:color w:val="000000" w:themeColor="text1"/>
          <w:sz w:val="16"/>
          <w:szCs w:val="16"/>
        </w:rPr>
        <w:t>1. «Во время войны владельцем двигателя Пауля Шмидта стала двигателестроительная фирма «Аргус» в Берлине, и двигатель был установлен на «Фау-1». Впредь двигатель должен называться трубой Аргуса-Шмидта». После войны Пауль Шмидт руководит инженерной фирмой в Мюнхене. С точки зрения техники для его изобретения и сегодня есть дальнейшие возможности развития. Среди самых известных на сегодняшний день способов применения двигателя известны его использование в качестве двигателя крылатой ракеты, а также в качестве горелки для нагрева (11561).</w:t>
      </w:r>
    </w:p>
    <w:p w14:paraId="558BB54A" w14:textId="77777777" w:rsidR="00665165" w:rsidRPr="00925F26" w:rsidRDefault="00665165" w:rsidP="00925F26">
      <w:pPr>
        <w:autoSpaceDE w:val="0"/>
        <w:autoSpaceDN w:val="0"/>
        <w:adjustRightInd w:val="0"/>
        <w:jc w:val="both"/>
        <w:rPr>
          <w:color w:val="000000" w:themeColor="text1"/>
          <w:sz w:val="16"/>
          <w:szCs w:val="16"/>
        </w:rPr>
      </w:pPr>
    </w:p>
    <w:p w14:paraId="6BB6B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года, когда на территорию завода вступили американские войска производство «V-2» на заводе «Миттельверк» продолжалось. Всего на заводе было изготовлено 5940 ракет «V-2», причем иногда их ежемесячное производство достигало от 600 до 690 единиц. Еще 238 ракет было изготовлено в Пенемюнде. Вместе с 80 серийными ракетами производства завода «Миттельверк» они использовались для пробных запусков (11688).</w:t>
      </w:r>
    </w:p>
    <w:p w14:paraId="5C7EE459" w14:textId="77777777" w:rsidR="00FF11DB" w:rsidRPr="00925F26" w:rsidRDefault="00FF11DB" w:rsidP="00925F26">
      <w:pPr>
        <w:autoSpaceDE w:val="0"/>
        <w:autoSpaceDN w:val="0"/>
        <w:adjustRightInd w:val="0"/>
        <w:jc w:val="both"/>
        <w:rPr>
          <w:color w:val="000000" w:themeColor="text1"/>
          <w:sz w:val="16"/>
          <w:szCs w:val="16"/>
        </w:rPr>
      </w:pPr>
    </w:p>
    <w:p w14:paraId="0B0B2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1945-го появился опытный образец NC701 "Мартинет" - самолета Зибель, доработанного французскими конструкторами. На нем монтировались двигатели "Рено" 12S, являвшиеся местной копией As 411 ТА. Немецкие двухлопастные пропеллеры сменили на отечественные "Ратье" - трехлопастные. Французские винты внешне также отличались удлиненными гладкими коками (коки немецких винтов имели характерные ребра) (5741,13).</w:t>
      </w:r>
    </w:p>
    <w:p w14:paraId="45186AB4" w14:textId="77777777" w:rsidR="00665165" w:rsidRPr="00925F26" w:rsidRDefault="00665165" w:rsidP="00925F26">
      <w:pPr>
        <w:autoSpaceDE w:val="0"/>
        <w:autoSpaceDN w:val="0"/>
        <w:adjustRightInd w:val="0"/>
        <w:jc w:val="both"/>
        <w:rPr>
          <w:color w:val="000000" w:themeColor="text1"/>
          <w:sz w:val="16"/>
          <w:szCs w:val="16"/>
        </w:rPr>
      </w:pPr>
    </w:p>
    <w:p w14:paraId="54C24857" w14:textId="77777777" w:rsidR="00FF11DB" w:rsidRPr="00925F26" w:rsidRDefault="00FF11DB" w:rsidP="00925F26">
      <w:pPr>
        <w:jc w:val="both"/>
        <w:rPr>
          <w:color w:val="000000" w:themeColor="text1"/>
          <w:sz w:val="16"/>
          <w:szCs w:val="16"/>
        </w:rPr>
      </w:pPr>
      <w:r w:rsidRPr="00925F26">
        <w:rPr>
          <w:color w:val="000000" w:themeColor="text1"/>
          <w:sz w:val="16"/>
          <w:szCs w:val="16"/>
        </w:rPr>
        <w:t>В апреле 1945 10 "Hаттеров" А-серии были размещены у Кирхейма под Штудтгартом, для отражения налетов американских бомбардировщиков. Но вступить в бой детищу Бахема не дали танки союзников, которых дождались раньше бомбардировщиков. "Hаттеры" и их пусковые установки были уничтожены собственными расчетами (15139).</w:t>
      </w:r>
    </w:p>
    <w:p w14:paraId="3C5E205A" w14:textId="77777777" w:rsidR="00FF11DB" w:rsidRPr="00925F26" w:rsidRDefault="00FF11DB" w:rsidP="00925F26">
      <w:pPr>
        <w:jc w:val="both"/>
        <w:rPr>
          <w:color w:val="000000" w:themeColor="text1"/>
          <w:sz w:val="16"/>
          <w:szCs w:val="16"/>
        </w:rPr>
      </w:pPr>
    </w:p>
    <w:p w14:paraId="786D9EFA" w14:textId="77777777" w:rsidR="00A93DDD" w:rsidRPr="00925F26" w:rsidRDefault="00A93DDD" w:rsidP="00925F26">
      <w:pPr>
        <w:jc w:val="both"/>
        <w:rPr>
          <w:color w:val="000000" w:themeColor="text1"/>
          <w:sz w:val="16"/>
          <w:szCs w:val="16"/>
        </w:rPr>
      </w:pPr>
      <w:r w:rsidRPr="00925F26">
        <w:rPr>
          <w:color w:val="000000" w:themeColor="text1"/>
          <w:sz w:val="16"/>
          <w:szCs w:val="16"/>
        </w:rPr>
        <w:t>В апреле 1945 г. 10 перехватчиков «Наттер» были размещены у Кирххайма под Штуттгартом для отра</w:t>
      </w:r>
      <w:r w:rsidRPr="00925F26">
        <w:rPr>
          <w:color w:val="000000" w:themeColor="text1"/>
          <w:sz w:val="16"/>
          <w:szCs w:val="16"/>
        </w:rPr>
        <w:softHyphen/>
        <w:t>жения налетов американских бомбар</w:t>
      </w:r>
      <w:r w:rsidRPr="00925F26">
        <w:rPr>
          <w:color w:val="000000" w:themeColor="text1"/>
          <w:sz w:val="16"/>
          <w:szCs w:val="16"/>
        </w:rPr>
        <w:softHyphen/>
        <w:t>дировщиков, но применить их в боевой обстановке не успели. Почти все они вместе с ПУ были уничтожены собствен</w:t>
      </w:r>
      <w:r w:rsidRPr="00925F26">
        <w:rPr>
          <w:color w:val="000000" w:themeColor="text1"/>
          <w:sz w:val="16"/>
          <w:szCs w:val="16"/>
        </w:rPr>
        <w:softHyphen/>
        <w:t>ными расчетами. Три «Наттера» захватили американские войска и один - со</w:t>
      </w:r>
      <w:r w:rsidRPr="00925F26">
        <w:rPr>
          <w:color w:val="000000" w:themeColor="text1"/>
          <w:sz w:val="16"/>
          <w:szCs w:val="16"/>
        </w:rPr>
        <w:softHyphen/>
        <w:t>ветские. Документацию на Ба. 349 в на</w:t>
      </w:r>
      <w:r w:rsidRPr="00925F26">
        <w:rPr>
          <w:color w:val="000000" w:themeColor="text1"/>
          <w:sz w:val="16"/>
          <w:szCs w:val="16"/>
        </w:rPr>
        <w:softHyphen/>
        <w:t>чале 1945 г. приобрели японцы, но пост</w:t>
      </w:r>
      <w:r w:rsidRPr="00925F26">
        <w:rPr>
          <w:color w:val="000000" w:themeColor="text1"/>
          <w:sz w:val="16"/>
          <w:szCs w:val="16"/>
        </w:rPr>
        <w:softHyphen/>
        <w:t>роить перехватчик не успели</w:t>
      </w:r>
      <w:proofErr w:type="gramStart"/>
      <w:r w:rsidRPr="00925F26">
        <w:rPr>
          <w:color w:val="000000" w:themeColor="text1"/>
          <w:sz w:val="16"/>
          <w:szCs w:val="16"/>
        </w:rPr>
        <w:t>...(</w:t>
      </w:r>
      <w:proofErr w:type="gramEnd"/>
      <w:r w:rsidRPr="00925F26">
        <w:rPr>
          <w:color w:val="000000" w:themeColor="text1"/>
          <w:sz w:val="16"/>
          <w:szCs w:val="16"/>
        </w:rPr>
        <w:t>23388).</w:t>
      </w:r>
    </w:p>
    <w:p w14:paraId="2078DE60" w14:textId="77777777" w:rsidR="00A93DDD" w:rsidRPr="00925F26" w:rsidRDefault="00A93DDD" w:rsidP="00925F26">
      <w:pPr>
        <w:jc w:val="both"/>
        <w:rPr>
          <w:color w:val="000000" w:themeColor="text1"/>
          <w:sz w:val="16"/>
          <w:szCs w:val="16"/>
        </w:rPr>
      </w:pPr>
    </w:p>
    <w:p w14:paraId="020BE202" w14:textId="77777777" w:rsidR="00FF11DB" w:rsidRPr="00925F26" w:rsidRDefault="00FF11DB" w:rsidP="00925F26">
      <w:pPr>
        <w:jc w:val="both"/>
        <w:rPr>
          <w:color w:val="000000" w:themeColor="text1"/>
          <w:sz w:val="16"/>
          <w:szCs w:val="16"/>
        </w:rPr>
      </w:pPr>
      <w:r w:rsidRPr="00925F26">
        <w:rPr>
          <w:color w:val="000000" w:themeColor="text1"/>
          <w:sz w:val="16"/>
          <w:szCs w:val="16"/>
        </w:rPr>
        <w:t>На апрель 1945 г в 40-й авиатранспортной эскадрилье были три вертолета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1CEA1AE1" w14:textId="77777777" w:rsidR="00FF11DB" w:rsidRPr="00925F26" w:rsidRDefault="00FF11DB" w:rsidP="00925F26">
      <w:pPr>
        <w:jc w:val="both"/>
        <w:rPr>
          <w:color w:val="000000" w:themeColor="text1"/>
          <w:sz w:val="16"/>
          <w:szCs w:val="16"/>
        </w:rPr>
      </w:pPr>
    </w:p>
    <w:p w14:paraId="4F14E8A3" w14:textId="77777777" w:rsidR="004F4C5F" w:rsidRPr="00925F26" w:rsidRDefault="004F4C5F" w:rsidP="00925F26">
      <w:pPr>
        <w:jc w:val="both"/>
        <w:rPr>
          <w:color w:val="000000" w:themeColor="text1"/>
          <w:sz w:val="16"/>
          <w:szCs w:val="16"/>
        </w:rPr>
      </w:pPr>
      <w:r w:rsidRPr="00925F26">
        <w:rPr>
          <w:color w:val="000000" w:themeColor="text1"/>
          <w:sz w:val="16"/>
          <w:szCs w:val="16"/>
        </w:rPr>
        <w:t>В апреле 1945 г. состоялся первый пуск ракеты «И-Го» Тип 1-а.</w:t>
      </w:r>
    </w:p>
    <w:p w14:paraId="702D8250" w14:textId="77777777" w:rsidR="004F4C5F" w:rsidRPr="00925F26" w:rsidRDefault="004F4C5F" w:rsidP="00925F26">
      <w:pPr>
        <w:jc w:val="both"/>
        <w:rPr>
          <w:color w:val="000000" w:themeColor="text1"/>
          <w:sz w:val="16"/>
          <w:szCs w:val="16"/>
        </w:rPr>
      </w:pPr>
      <w:r w:rsidRPr="00925F26">
        <w:rPr>
          <w:color w:val="000000" w:themeColor="text1"/>
          <w:sz w:val="16"/>
          <w:szCs w:val="16"/>
        </w:rPr>
        <w:t>Самолет-снаряд фирмы «Мицубиси» Ki 147 «И-Го» Тип 1-а (1-Ko). Он слегка напоминал немецкую ракету Hs 293A (о ней рассказывал предыдущий выпуск «Авиакаталога»), но в дополнительной гондоле, размещенной над основным корпусом, размещались только баки для горючего и окислителя, а сам жидкостный ракетный двигатель Мицубиси «Токуро» Тип 3 поставили горизонтально в основном корпусе, напоминавшем торпеду. Боеголовка была почти вдвое тяжелее немецкой — 800 кг против 500 при несколько большей дальности пуска, соответственно, и сам снаряд получился крупнее, чем Hs 293. Хотя снаряд заказало армейское командование, он предназначался для поражения крупных боевых кораблей. Радиокомандное наведение по методу трех точек было аналогично немецкому, но оператор, управляя полетом снаряда командами «выше — ниже» или «вправо — влево», не имел оптического прицела, аналогичного немецкому. После сброса с дистанции 11 км на высоте 1500 м, ракета за первые 6 км полета снижалась до высоты 30…150 м, где стабилизировалась и управлялась только по азимуту до момента, когда оператор переводил ее в пикирование</w:t>
      </w:r>
    </w:p>
    <w:p w14:paraId="1CED33BF" w14:textId="77777777" w:rsidR="004F4C5F" w:rsidRPr="00925F26" w:rsidRDefault="004F4C5F" w:rsidP="00925F26">
      <w:pPr>
        <w:jc w:val="both"/>
        <w:rPr>
          <w:color w:val="000000" w:themeColor="text1"/>
          <w:sz w:val="16"/>
          <w:szCs w:val="16"/>
        </w:rPr>
      </w:pPr>
      <w:r w:rsidRPr="00925F26">
        <w:rPr>
          <w:color w:val="000000" w:themeColor="text1"/>
          <w:sz w:val="16"/>
          <w:szCs w:val="16"/>
        </w:rPr>
        <w:t>Все системы были отработаны на стендах и функционировали без сбоев, но конструкторы не предусмотрели ни трассера, ни дымогенератора, лишь для ночных пусков на хвосте могла ставиться лампа. С расстояния свыше 5-7 км остроты зрения среднего человека без оптического визира не хватало для точного наведения ракеты «И-Го», и недолеты составляли до 300 м, а перелеты — сто. Ни одного прямого попадания в мишень достичь не удалось. Всего было построено 15 таких ракет опытной серии. Рассматривался вопрос использования с борта самолета Ki 67 предназначенных для средних бомбардировщиков снарядов меньшей размерности Ki 148 «И-Го» Тип 1-b (1-Otsu), которых успели построить 180 штук, но, кроме аналогичных проблем с наведением, они страдали дефектами электросистемы (22951).</w:t>
      </w:r>
    </w:p>
    <w:p w14:paraId="52E6E374" w14:textId="77777777" w:rsidR="004F4C5F" w:rsidRPr="00925F26" w:rsidRDefault="004F4C5F" w:rsidP="00925F26">
      <w:pPr>
        <w:jc w:val="both"/>
        <w:rPr>
          <w:color w:val="000000" w:themeColor="text1"/>
          <w:sz w:val="16"/>
          <w:szCs w:val="16"/>
        </w:rPr>
      </w:pPr>
    </w:p>
    <w:p w14:paraId="5C15ED66" w14:textId="77777777" w:rsidR="00FF11DB" w:rsidRPr="00925F26" w:rsidRDefault="00FF11DB" w:rsidP="00925F26">
      <w:pPr>
        <w:pStyle w:val="book"/>
        <w:ind w:firstLine="0"/>
        <w:jc w:val="both"/>
        <w:rPr>
          <w:color w:val="000000" w:themeColor="text1"/>
          <w:sz w:val="16"/>
          <w:szCs w:val="16"/>
        </w:rPr>
      </w:pPr>
      <w:r w:rsidRPr="00925F26">
        <w:rPr>
          <w:color w:val="000000" w:themeColor="text1"/>
          <w:sz w:val="16"/>
          <w:szCs w:val="16"/>
        </w:rPr>
        <w:t xml:space="preserve">В апреле 1945 г. руководство британской разведслужбы МИ-5 решило провести тайную операцию по изучению переписки королевской семьи с их германскими родственниками. Так, английский король Георг VI и его мать королева Мария переписывались со своими немецкими родственниками, а королева частенько и подолгу гостила в замке Хессе, в 1945 г. вошедшем в американскую зону оккупации. И королевская семья опасалась, что переписка и другие документы, находившиеся в </w:t>
      </w:r>
      <w:r w:rsidRPr="00925F26">
        <w:rPr>
          <w:color w:val="000000" w:themeColor="text1"/>
          <w:sz w:val="16"/>
          <w:szCs w:val="16"/>
        </w:rPr>
        <w:lastRenderedPageBreak/>
        <w:t>Хессе, могли попасть к американцам и впоследствии использоваться для шантажа. И ваг Георг VI дает главному книгохранителю библиотеки Виндзорского дворца Оуэну Моршеду и хранителю королевских картин Антони Бланту деликатное поручение — поехать в занятые американцами районы Западной Германии, в Коронберг. Замечу, что Антони Блант — близкий родственник королевы, майор британской разведки МИ-5, а по совместительству высокопоставленный сотрудник НКВД.</w:t>
      </w:r>
    </w:p>
    <w:p w14:paraId="504153B8" w14:textId="77777777" w:rsidR="00FF11DB" w:rsidRPr="00925F26" w:rsidRDefault="00FF11DB" w:rsidP="00925F26">
      <w:pPr>
        <w:pStyle w:val="book"/>
        <w:ind w:firstLine="0"/>
        <w:jc w:val="both"/>
        <w:rPr>
          <w:color w:val="000000" w:themeColor="text1"/>
          <w:sz w:val="16"/>
          <w:szCs w:val="16"/>
        </w:rPr>
      </w:pPr>
      <w:r w:rsidRPr="00925F26">
        <w:rPr>
          <w:color w:val="000000" w:themeColor="text1"/>
          <w:sz w:val="16"/>
          <w:szCs w:val="16"/>
        </w:rPr>
        <w:t>В замке Хессе, принадлежавшем принцу Вольфгангу, хранилось несколько сот (!) документов, интересовавших британскую королевскую семью, как непосредственно ее переписка, так и иные компрометирующие документы. Блант и Моршед действовали быстро и оперативно — они подогнали грузовик к воротам замка, чтобы погрузить в него документы. Но тут вмешалась капитан из женского армейского корпуса США Кэтлин Нэш. Она запретила вывозить документы, сославшись на то, что они являются американской собственностью.</w:t>
      </w:r>
    </w:p>
    <w:p w14:paraId="7535A8BC" w14:textId="77777777" w:rsidR="00FF11DB" w:rsidRPr="00925F26" w:rsidRDefault="00FF11DB" w:rsidP="00925F26">
      <w:pPr>
        <w:pStyle w:val="book"/>
        <w:ind w:firstLine="0"/>
        <w:jc w:val="both"/>
        <w:rPr>
          <w:color w:val="000000" w:themeColor="text1"/>
          <w:sz w:val="16"/>
          <w:szCs w:val="16"/>
        </w:rPr>
      </w:pPr>
      <w:r w:rsidRPr="00925F26">
        <w:rPr>
          <w:color w:val="000000" w:themeColor="text1"/>
          <w:sz w:val="16"/>
          <w:szCs w:val="16"/>
        </w:rPr>
        <w:t>Бланту удалось обмануть Кэтлин Нэш, а скорее всего, произошло полюбовное соглашение. Блант и Моршед забрали документы, а Кэтлин и другие американские офицеры присвоили драгоценности принца. На 3 млн. долларов в ценах 1945 года!</w:t>
      </w:r>
    </w:p>
    <w:p w14:paraId="26972DE8" w14:textId="77777777" w:rsidR="00FF11DB" w:rsidRPr="00925F26" w:rsidRDefault="00FF11DB" w:rsidP="00925F26">
      <w:pPr>
        <w:pStyle w:val="book"/>
        <w:ind w:firstLine="0"/>
        <w:jc w:val="both"/>
        <w:rPr>
          <w:color w:val="000000" w:themeColor="text1"/>
          <w:sz w:val="16"/>
          <w:szCs w:val="16"/>
        </w:rPr>
      </w:pPr>
      <w:r w:rsidRPr="00925F26">
        <w:rPr>
          <w:color w:val="000000" w:themeColor="text1"/>
          <w:sz w:val="16"/>
          <w:szCs w:val="16"/>
        </w:rPr>
        <w:t>Самое забавное, что принц Вольфганг не был ни военным преступником, ни видным нацистом. Он не был даже военным. Вся его вина состояла в том, что принц был богат и состоял в переписке со своей британской родней (15225).</w:t>
      </w:r>
    </w:p>
    <w:p w14:paraId="10C8EFA1" w14:textId="77777777" w:rsidR="00FF11DB" w:rsidRPr="00925F26" w:rsidRDefault="00FF11DB" w:rsidP="00925F26">
      <w:pPr>
        <w:pStyle w:val="book"/>
        <w:ind w:firstLine="0"/>
        <w:jc w:val="both"/>
        <w:rPr>
          <w:color w:val="000000" w:themeColor="text1"/>
          <w:sz w:val="16"/>
          <w:szCs w:val="16"/>
        </w:rPr>
      </w:pPr>
    </w:p>
    <w:p w14:paraId="079DBE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г. правительство Кайсо в Токио, не сумев найти политический выход из войны, ушло в отставку (3871).</w:t>
      </w:r>
    </w:p>
    <w:p w14:paraId="49B01A26" w14:textId="77777777" w:rsidR="00665165" w:rsidRPr="00925F26" w:rsidRDefault="00665165" w:rsidP="00925F26">
      <w:pPr>
        <w:autoSpaceDE w:val="0"/>
        <w:autoSpaceDN w:val="0"/>
        <w:adjustRightInd w:val="0"/>
        <w:jc w:val="both"/>
        <w:rPr>
          <w:color w:val="000000" w:themeColor="text1"/>
          <w:sz w:val="16"/>
          <w:szCs w:val="16"/>
        </w:rPr>
      </w:pPr>
    </w:p>
    <w:p w14:paraId="03E7F2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1945 в США прошли испытания вертолета Сикорского HOS-1, вооруженного сонаром (4082).</w:t>
      </w:r>
    </w:p>
    <w:p w14:paraId="745F671B" w14:textId="77777777" w:rsidR="00665165" w:rsidRPr="00925F26" w:rsidRDefault="00665165" w:rsidP="00925F26">
      <w:pPr>
        <w:autoSpaceDE w:val="0"/>
        <w:autoSpaceDN w:val="0"/>
        <w:adjustRightInd w:val="0"/>
        <w:jc w:val="both"/>
        <w:rPr>
          <w:color w:val="000000" w:themeColor="text1"/>
          <w:sz w:val="16"/>
          <w:szCs w:val="16"/>
        </w:rPr>
      </w:pPr>
    </w:p>
    <w:p w14:paraId="0B035E10" w14:textId="77777777" w:rsidR="000409C9" w:rsidRPr="00925F26" w:rsidRDefault="000409C9" w:rsidP="00925F26">
      <w:pPr>
        <w:jc w:val="both"/>
        <w:rPr>
          <w:color w:val="000000" w:themeColor="text1"/>
          <w:sz w:val="16"/>
          <w:szCs w:val="16"/>
        </w:rPr>
      </w:pPr>
      <w:r w:rsidRPr="00925F26">
        <w:rPr>
          <w:color w:val="000000" w:themeColor="text1"/>
          <w:sz w:val="16"/>
          <w:szCs w:val="16"/>
        </w:rPr>
        <w:t>В апреле 1945 по приказу генерала Гровза было вывезено 1200 т урановых окисей (почти весь немецкий запас) из соляных копей в Штасфурте, попадавших в советскую зону (19847).</w:t>
      </w:r>
    </w:p>
    <w:p w14:paraId="1B3C4AFB" w14:textId="77777777" w:rsidR="000409C9" w:rsidRPr="00925F26" w:rsidRDefault="000409C9" w:rsidP="00925F26">
      <w:pPr>
        <w:jc w:val="both"/>
        <w:rPr>
          <w:color w:val="000000" w:themeColor="text1"/>
          <w:sz w:val="16"/>
          <w:szCs w:val="16"/>
        </w:rPr>
      </w:pPr>
    </w:p>
    <w:p w14:paraId="7315376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FFA66EC" w14:textId="77777777" w:rsidR="00665165" w:rsidRPr="00925F26" w:rsidRDefault="00665165" w:rsidP="00925F26">
      <w:pPr>
        <w:autoSpaceDE w:val="0"/>
        <w:autoSpaceDN w:val="0"/>
        <w:adjustRightInd w:val="0"/>
        <w:jc w:val="both"/>
        <w:rPr>
          <w:iCs/>
          <w:color w:val="000000" w:themeColor="text1"/>
          <w:sz w:val="16"/>
          <w:szCs w:val="16"/>
        </w:rPr>
      </w:pPr>
    </w:p>
    <w:p w14:paraId="144B27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апреля 1945 до середины 1946 заводы 292 и 31 делали серию Як-3П с 3 Б-20 (560,10) и получилось 596 (65,178).</w:t>
      </w:r>
    </w:p>
    <w:p w14:paraId="2240DD8C" w14:textId="77777777" w:rsidR="00665165" w:rsidRPr="00925F26" w:rsidRDefault="00665165" w:rsidP="00925F26">
      <w:pPr>
        <w:autoSpaceDE w:val="0"/>
        <w:autoSpaceDN w:val="0"/>
        <w:adjustRightInd w:val="0"/>
        <w:jc w:val="both"/>
        <w:rPr>
          <w:color w:val="000000" w:themeColor="text1"/>
          <w:sz w:val="16"/>
          <w:szCs w:val="16"/>
        </w:rPr>
      </w:pPr>
    </w:p>
    <w:p w14:paraId="2D8013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апреле-мае 1945 в НИИ ВВС в Чкаловском испытывали Пе-8 (ТБ-7) ОН N 42712 с АЧ-30Б и ВИШ-61В1. Был еще и 42612 (1103,143).</w:t>
      </w:r>
    </w:p>
    <w:p w14:paraId="2584BE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70976B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ВВС гма А.А.Новиков утвердил 5 июня 1945</w:t>
      </w:r>
    </w:p>
    <w:p w14:paraId="7C114D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3ED086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60B668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50C62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5D4E1A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184D4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688B85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4B94C0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24A409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440D2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48A86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000931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7BA971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2E6DF4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4B3AFE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3143AD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0C5973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5EB658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1460E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639F01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66124A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66BD7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0CCDBA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4B7620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0DC4B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4E273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509A73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505533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6FAB6C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1E60EF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Шиманову</w:t>
      </w:r>
    </w:p>
    <w:p w14:paraId="07DF7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22053D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3E1D46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042E74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053A4D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28BCAA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8DE34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2F9694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плохая работа РПД (не обеспечивается поддержка наддува). Заменено 6 РПД по различным причинам</w:t>
      </w:r>
    </w:p>
    <w:p w14:paraId="3ED0B3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678480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614E70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19417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7F5A5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7F436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7ED1C8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510031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0F68E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46A47F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147AC90D" w14:textId="77777777">
        <w:tc>
          <w:tcPr>
            <w:tcW w:w="4219" w:type="dxa"/>
            <w:tcBorders>
              <w:top w:val="single" w:sz="12" w:space="0" w:color="auto"/>
            </w:tcBorders>
          </w:tcPr>
          <w:p w14:paraId="2FB788ED" w14:textId="77777777" w:rsidR="00665165" w:rsidRPr="00925F26" w:rsidRDefault="00665165"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2F0CBA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16494E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155261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0AD30683" w14:textId="77777777">
        <w:tc>
          <w:tcPr>
            <w:tcW w:w="4219" w:type="dxa"/>
          </w:tcPr>
          <w:p w14:paraId="457FB3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4F27E6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48B204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705513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6B00A833" w14:textId="77777777">
        <w:tc>
          <w:tcPr>
            <w:tcW w:w="4219" w:type="dxa"/>
          </w:tcPr>
          <w:p w14:paraId="5CAD7B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065F0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05E7FD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2FF87D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2171FAF1" w14:textId="77777777">
        <w:tc>
          <w:tcPr>
            <w:tcW w:w="4219" w:type="dxa"/>
          </w:tcPr>
          <w:p w14:paraId="13419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56A994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42C5A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347902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60193966" w14:textId="77777777">
        <w:tc>
          <w:tcPr>
            <w:tcW w:w="4219" w:type="dxa"/>
          </w:tcPr>
          <w:p w14:paraId="2CB4B5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2BB374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1E8DF4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46F5D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65085EE5" w14:textId="77777777">
        <w:tc>
          <w:tcPr>
            <w:tcW w:w="4219" w:type="dxa"/>
          </w:tcPr>
          <w:p w14:paraId="42BBE2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3CFCCA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48FEEE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771468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2015D01E" w14:textId="77777777">
        <w:tc>
          <w:tcPr>
            <w:tcW w:w="4219" w:type="dxa"/>
          </w:tcPr>
          <w:p w14:paraId="0D2D6B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227E4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6105AD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31E458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4B3616C3" w14:textId="77777777">
        <w:tc>
          <w:tcPr>
            <w:tcW w:w="4219" w:type="dxa"/>
          </w:tcPr>
          <w:p w14:paraId="7FDDD8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7CC6A8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6C3710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177053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1A08F7AD" w14:textId="77777777">
        <w:tc>
          <w:tcPr>
            <w:tcW w:w="4219" w:type="dxa"/>
          </w:tcPr>
          <w:p w14:paraId="75141B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1F6602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27806E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050E8B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45EB15AB" w14:textId="77777777">
        <w:tc>
          <w:tcPr>
            <w:tcW w:w="4219" w:type="dxa"/>
          </w:tcPr>
          <w:p w14:paraId="65125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0BCAB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7AC3BE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42796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169A1EAB" w14:textId="77777777">
        <w:tc>
          <w:tcPr>
            <w:tcW w:w="4219" w:type="dxa"/>
          </w:tcPr>
          <w:p w14:paraId="66AB17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4CBA86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2ACA8C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378579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08D3365B" w14:textId="77777777">
        <w:tc>
          <w:tcPr>
            <w:tcW w:w="4219" w:type="dxa"/>
          </w:tcPr>
          <w:p w14:paraId="319755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15C243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58A94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7051AF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1DF08203" w14:textId="77777777">
        <w:tc>
          <w:tcPr>
            <w:tcW w:w="4219" w:type="dxa"/>
          </w:tcPr>
          <w:p w14:paraId="29D8E8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015E12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10EA82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0FADE9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57D4D594" w14:textId="77777777">
        <w:tc>
          <w:tcPr>
            <w:tcW w:w="4219" w:type="dxa"/>
          </w:tcPr>
          <w:p w14:paraId="2EB85E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721F9F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422887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27D2AA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4E0B4755" w14:textId="77777777">
        <w:tc>
          <w:tcPr>
            <w:tcW w:w="4219" w:type="dxa"/>
          </w:tcPr>
          <w:p w14:paraId="1B126D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2D074B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0BDC3E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1B48AC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5082C0B0" w14:textId="77777777">
        <w:tc>
          <w:tcPr>
            <w:tcW w:w="4219" w:type="dxa"/>
          </w:tcPr>
          <w:p w14:paraId="21BC66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53A739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516485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187160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39AF6B92" w14:textId="77777777">
        <w:tc>
          <w:tcPr>
            <w:tcW w:w="4219" w:type="dxa"/>
          </w:tcPr>
          <w:p w14:paraId="4326F7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48FE5C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6128D3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76586F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5E8F8600" w14:textId="77777777">
        <w:tc>
          <w:tcPr>
            <w:tcW w:w="4219" w:type="dxa"/>
          </w:tcPr>
          <w:p w14:paraId="19BE8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3DDD78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7465ED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0559BC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4F553D52" w14:textId="77777777">
        <w:tc>
          <w:tcPr>
            <w:tcW w:w="4219" w:type="dxa"/>
            <w:tcBorders>
              <w:bottom w:val="single" w:sz="12" w:space="0" w:color="auto"/>
            </w:tcBorders>
          </w:tcPr>
          <w:p w14:paraId="43149A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08891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0DC969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02ECBE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141E40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67917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531A62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364A7D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62BE2C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0BB00ACF" w14:textId="77777777">
        <w:tc>
          <w:tcPr>
            <w:tcW w:w="675" w:type="dxa"/>
            <w:tcBorders>
              <w:top w:val="single" w:sz="12" w:space="0" w:color="auto"/>
            </w:tcBorders>
          </w:tcPr>
          <w:p w14:paraId="34B00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5FDDF6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614A73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00492A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11F554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0DAFE50E" w14:textId="77777777">
        <w:tc>
          <w:tcPr>
            <w:tcW w:w="675" w:type="dxa"/>
          </w:tcPr>
          <w:p w14:paraId="7B9B5A34" w14:textId="77777777" w:rsidR="00665165" w:rsidRPr="00925F26" w:rsidRDefault="00665165" w:rsidP="00925F26">
            <w:pPr>
              <w:autoSpaceDE w:val="0"/>
              <w:autoSpaceDN w:val="0"/>
              <w:adjustRightInd w:val="0"/>
              <w:jc w:val="both"/>
              <w:rPr>
                <w:color w:val="000000" w:themeColor="text1"/>
                <w:sz w:val="16"/>
                <w:szCs w:val="16"/>
              </w:rPr>
            </w:pPr>
          </w:p>
        </w:tc>
        <w:tc>
          <w:tcPr>
            <w:tcW w:w="993" w:type="dxa"/>
          </w:tcPr>
          <w:p w14:paraId="11E07955"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6B9B61E8"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4307EBAE"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21E9495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DDCDBFC" w14:textId="77777777">
        <w:tc>
          <w:tcPr>
            <w:tcW w:w="675" w:type="dxa"/>
          </w:tcPr>
          <w:p w14:paraId="2FF2F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172198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7EE657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65A580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193C00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210BEB6D" w14:textId="77777777">
        <w:tc>
          <w:tcPr>
            <w:tcW w:w="675" w:type="dxa"/>
          </w:tcPr>
          <w:p w14:paraId="0CF013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712F0E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3544FD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32C50E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4CD1A0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604C10C3" w14:textId="77777777">
        <w:tc>
          <w:tcPr>
            <w:tcW w:w="675" w:type="dxa"/>
          </w:tcPr>
          <w:p w14:paraId="61536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58424D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029B40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18FEF4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07EE69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619C3669" w14:textId="77777777">
        <w:tc>
          <w:tcPr>
            <w:tcW w:w="675" w:type="dxa"/>
          </w:tcPr>
          <w:p w14:paraId="612BE0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6B5942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5A4F3C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CCA7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6DC961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5FFF70D8" w14:textId="77777777">
        <w:tc>
          <w:tcPr>
            <w:tcW w:w="675" w:type="dxa"/>
          </w:tcPr>
          <w:p w14:paraId="40E057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79899E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2FA279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72B9F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2F9AC8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185240F5" w14:textId="77777777">
        <w:tc>
          <w:tcPr>
            <w:tcW w:w="675" w:type="dxa"/>
          </w:tcPr>
          <w:p w14:paraId="6598F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38063A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61EBD4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F56B0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2BB34B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3BF687A8" w14:textId="77777777">
        <w:tc>
          <w:tcPr>
            <w:tcW w:w="675" w:type="dxa"/>
          </w:tcPr>
          <w:p w14:paraId="2692C2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674378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2275D1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1CE4D9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1278B6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7353FBB2" w14:textId="77777777">
        <w:tc>
          <w:tcPr>
            <w:tcW w:w="675" w:type="dxa"/>
          </w:tcPr>
          <w:p w14:paraId="7BBF10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6BDB4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5718B4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69D378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70B88F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1D00140A" w14:textId="77777777">
        <w:tc>
          <w:tcPr>
            <w:tcW w:w="675" w:type="dxa"/>
            <w:tcBorders>
              <w:bottom w:val="single" w:sz="12" w:space="0" w:color="auto"/>
            </w:tcBorders>
          </w:tcPr>
          <w:p w14:paraId="77EBDB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2E41E6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313BD1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5ED61E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576371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270D79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705680E5" w14:textId="77777777">
        <w:tc>
          <w:tcPr>
            <w:tcW w:w="1868" w:type="dxa"/>
            <w:tcBorders>
              <w:top w:val="single" w:sz="12" w:space="0" w:color="auto"/>
            </w:tcBorders>
          </w:tcPr>
          <w:p w14:paraId="4B00FA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7F94CE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0AB516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601B6B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16EE6C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53C4C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3E7A2E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670A4F3A" w14:textId="77777777">
        <w:tc>
          <w:tcPr>
            <w:tcW w:w="1868" w:type="dxa"/>
          </w:tcPr>
          <w:p w14:paraId="419BC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10D40B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31DCC4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7D75AD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269E60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4EF7E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12E144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4FF2C1E8" w14:textId="77777777">
        <w:tc>
          <w:tcPr>
            <w:tcW w:w="1868" w:type="dxa"/>
          </w:tcPr>
          <w:p w14:paraId="118E5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1BCCA4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14BF7B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10F9FD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6175CE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F898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5AE64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43CBBC42" w14:textId="77777777">
        <w:tc>
          <w:tcPr>
            <w:tcW w:w="1868" w:type="dxa"/>
          </w:tcPr>
          <w:p w14:paraId="2F05BD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75" w:type="dxa"/>
          </w:tcPr>
          <w:p w14:paraId="0A4D01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473BD5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5D761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15A8FD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F221A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2A5CC3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1CC9F089" w14:textId="77777777">
        <w:tc>
          <w:tcPr>
            <w:tcW w:w="1868" w:type="dxa"/>
          </w:tcPr>
          <w:p w14:paraId="7A0205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3AA70F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3608A2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045BF9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578B3C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13A2FD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6EE9D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0584FBD0" w14:textId="77777777">
        <w:tc>
          <w:tcPr>
            <w:tcW w:w="1868" w:type="dxa"/>
          </w:tcPr>
          <w:p w14:paraId="0A1D75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273A8F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0C9E2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2B3268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47D4FD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511919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4AE9C7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4615B1AF" w14:textId="77777777">
        <w:tc>
          <w:tcPr>
            <w:tcW w:w="1868" w:type="dxa"/>
          </w:tcPr>
          <w:p w14:paraId="59BD0A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4451EC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15FDC1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42F688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06EDC6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6AE9C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265280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368787F3" w14:textId="77777777">
        <w:tc>
          <w:tcPr>
            <w:tcW w:w="1868" w:type="dxa"/>
          </w:tcPr>
          <w:p w14:paraId="494E6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603164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61EA8E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7E77D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566176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41AAE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3EB165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0D47C753" w14:textId="77777777">
        <w:tc>
          <w:tcPr>
            <w:tcW w:w="1868" w:type="dxa"/>
          </w:tcPr>
          <w:p w14:paraId="08773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6020D1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661B26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3A9F5E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0F04A1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3FB2E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4E682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1CF84526" w14:textId="77777777">
        <w:tc>
          <w:tcPr>
            <w:tcW w:w="1868" w:type="dxa"/>
            <w:tcBorders>
              <w:bottom w:val="single" w:sz="12" w:space="0" w:color="auto"/>
            </w:tcBorders>
          </w:tcPr>
          <w:p w14:paraId="15B660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109FA0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56E118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1486F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18A866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0F6D36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6BD9C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7B8187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Высотности - 1850 м, скор. 5,7, 2-я гр. Высотности - 5500, скор. 3,15</w:t>
      </w:r>
    </w:p>
    <w:p w14:paraId="3349D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336F31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4BD47A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31703658"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38E1A3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435CE8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5E4F08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191840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(1000,3).</w:t>
      </w:r>
    </w:p>
    <w:p w14:paraId="5267AFE0" w14:textId="77777777" w:rsidR="00665165" w:rsidRPr="00925F26" w:rsidRDefault="00665165" w:rsidP="00925F26">
      <w:pPr>
        <w:autoSpaceDE w:val="0"/>
        <w:autoSpaceDN w:val="0"/>
        <w:adjustRightInd w:val="0"/>
        <w:jc w:val="both"/>
        <w:rPr>
          <w:color w:val="000000" w:themeColor="text1"/>
          <w:sz w:val="16"/>
          <w:szCs w:val="16"/>
        </w:rPr>
      </w:pPr>
    </w:p>
    <w:p w14:paraId="14E8B119" w14:textId="77777777" w:rsidR="003B1DCF" w:rsidRPr="001A0BAA" w:rsidRDefault="003B1DCF" w:rsidP="003B1DCF">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апреле-мае 1945 г., на фронт стали поступать «трех</w:t>
      </w:r>
      <w:r w:rsidRPr="001A0BAA">
        <w:rPr>
          <w:rStyle w:val="aff0"/>
          <w:rFonts w:ascii="Times New Roman" w:hAnsi="Times New Roman" w:cs="Times New Roman"/>
          <w:color w:val="0070C0"/>
          <w:spacing w:val="0"/>
          <w:sz w:val="16"/>
          <w:szCs w:val="16"/>
        </w:rPr>
        <w:softHyphen/>
        <w:t xml:space="preserve">пушечные» Ла-7. </w:t>
      </w:r>
    </w:p>
    <w:p w14:paraId="3DDED3DD" w14:textId="77777777" w:rsidR="003B1DCF" w:rsidRPr="001A0BAA" w:rsidRDefault="003B1DCF" w:rsidP="003B1DCF">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Ла-7 – проходил испытания с воо</w:t>
      </w:r>
      <w:r w:rsidRPr="001A0BAA">
        <w:rPr>
          <w:rStyle w:val="aff0"/>
          <w:rFonts w:ascii="Times New Roman" w:hAnsi="Times New Roman" w:cs="Times New Roman"/>
          <w:color w:val="0070C0"/>
          <w:spacing w:val="0"/>
          <w:sz w:val="16"/>
          <w:szCs w:val="16"/>
        </w:rPr>
        <w:softHyphen/>
        <w:t>ружением, включавшим три авиапушки Б-20С калибра 20 мм. Боекомплект каждой из них состоял из 135 патро</w:t>
      </w:r>
      <w:r w:rsidRPr="001A0BAA">
        <w:rPr>
          <w:rStyle w:val="aff0"/>
          <w:rFonts w:ascii="Times New Roman" w:hAnsi="Times New Roman" w:cs="Times New Roman"/>
          <w:color w:val="0070C0"/>
          <w:spacing w:val="0"/>
          <w:sz w:val="16"/>
          <w:szCs w:val="16"/>
        </w:rPr>
        <w:softHyphen/>
        <w:t>нов, зато масса суммарного секундного залпа машины возросла до 3,34 кг. К сожалению, из-за ряда неустраненных дефектов пушек и АСПУ в серийное производ</w:t>
      </w:r>
      <w:r w:rsidRPr="001A0BAA">
        <w:rPr>
          <w:rStyle w:val="aff0"/>
          <w:rFonts w:ascii="Times New Roman" w:hAnsi="Times New Roman" w:cs="Times New Roman"/>
          <w:color w:val="0070C0"/>
          <w:spacing w:val="0"/>
          <w:sz w:val="16"/>
          <w:szCs w:val="16"/>
        </w:rPr>
        <w:softHyphen/>
        <w:t xml:space="preserve">ство пошел вариант истребителя Ла-7 с двумя пушками СП-20, как у Ла-5. </w:t>
      </w:r>
    </w:p>
    <w:p w14:paraId="28729F93" w14:textId="77777777" w:rsidR="003B1DCF" w:rsidRPr="001A0BAA" w:rsidRDefault="003B1DCF" w:rsidP="003B1DCF">
      <w:pPr>
        <w:jc w:val="both"/>
        <w:rPr>
          <w:color w:val="0070C0"/>
          <w:sz w:val="16"/>
          <w:szCs w:val="16"/>
        </w:rPr>
      </w:pPr>
      <w:r w:rsidRPr="001A0BAA">
        <w:rPr>
          <w:rStyle w:val="aff0"/>
          <w:rFonts w:ascii="Times New Roman" w:hAnsi="Times New Roman" w:cs="Times New Roman"/>
          <w:color w:val="0070C0"/>
          <w:spacing w:val="0"/>
          <w:sz w:val="16"/>
          <w:szCs w:val="16"/>
        </w:rPr>
        <w:t>Всего в 1944–1945 гг. на трех заводах было построено 5658 самолетов этого типа (25141).</w:t>
      </w:r>
    </w:p>
    <w:p w14:paraId="50609F85" w14:textId="77777777" w:rsidR="003B1DCF" w:rsidRPr="001A0BAA" w:rsidRDefault="003B1DCF" w:rsidP="003B1DCF">
      <w:pPr>
        <w:jc w:val="both"/>
        <w:rPr>
          <w:color w:val="0070C0"/>
          <w:sz w:val="16"/>
          <w:szCs w:val="16"/>
        </w:rPr>
      </w:pPr>
    </w:p>
    <w:p w14:paraId="25D49858" w14:textId="77777777" w:rsidR="003B1DCF" w:rsidRPr="001A0BAA" w:rsidRDefault="003B1DCF" w:rsidP="003B1DCF">
      <w:pPr>
        <w:jc w:val="both"/>
        <w:rPr>
          <w:color w:val="0070C0"/>
          <w:sz w:val="16"/>
          <w:szCs w:val="16"/>
        </w:rPr>
      </w:pPr>
      <w:r w:rsidRPr="001A0BAA">
        <w:rPr>
          <w:color w:val="0070C0"/>
          <w:sz w:val="16"/>
          <w:szCs w:val="16"/>
        </w:rPr>
        <w:lastRenderedPageBreak/>
        <w:t>В апреле - июне 1945 года проходил первый этап заводских летных испытаний Су-5. Их проводил летчик- испытатель Г. Комаров. По расчетам, включение ВРДК увеличивало скорость самолета у земли на 90 км/ч, а на высоте - на 110 км/ч. Во время испытаний на высоте 4350 м была достигнута скорость 793 км/ч против расчетной - 768 км/ч. Максимальная расчетная скорость на высоте 7800 м с включением ВРДК - 810 км/ч (24925).</w:t>
      </w:r>
    </w:p>
    <w:p w14:paraId="67E53871" w14:textId="77777777" w:rsidR="003B1DCF" w:rsidRPr="001A0BAA" w:rsidRDefault="003B1DCF" w:rsidP="003B1DCF">
      <w:pPr>
        <w:jc w:val="both"/>
        <w:rPr>
          <w:color w:val="0070C0"/>
          <w:sz w:val="16"/>
          <w:szCs w:val="16"/>
        </w:rPr>
      </w:pPr>
    </w:p>
    <w:p w14:paraId="6ED2FF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 июле 1945 года ВК-107Р летал И-107 (Су-5). ВК-107Р выпускался серийно на заводе № 466 (с по</w:t>
      </w:r>
      <w:r w:rsidRPr="00925F26">
        <w:rPr>
          <w:color w:val="000000" w:themeColor="text1"/>
          <w:sz w:val="16"/>
          <w:szCs w:val="16"/>
        </w:rPr>
        <w:softHyphen/>
        <w:t>ставкой моторов ВК-107А с завода № 26) со второй половины 1945 г. для истребителей И-250 (11852).</w:t>
      </w:r>
    </w:p>
    <w:p w14:paraId="2F9D53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19C5F7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706EDA9" w14:textId="77777777" w:rsidR="00665165" w:rsidRPr="00925F26" w:rsidRDefault="00665165" w:rsidP="00925F26">
      <w:pPr>
        <w:autoSpaceDE w:val="0"/>
        <w:autoSpaceDN w:val="0"/>
        <w:adjustRightInd w:val="0"/>
        <w:jc w:val="both"/>
        <w:rPr>
          <w:iCs/>
          <w:color w:val="000000" w:themeColor="text1"/>
          <w:sz w:val="16"/>
          <w:szCs w:val="16"/>
        </w:rPr>
      </w:pPr>
    </w:p>
    <w:p w14:paraId="4FD844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апреле-мае 1945 г. состоялось подведение итогов эскизного проектирования и в результате анализа ро</w:t>
      </w:r>
      <w:r w:rsidRPr="00925F26">
        <w:rPr>
          <w:color w:val="000000" w:themeColor="text1"/>
          <w:sz w:val="16"/>
          <w:szCs w:val="16"/>
        </w:rPr>
        <w:softHyphen/>
        <w:t>дились требования к новой машине «объект 260», получив</w:t>
      </w:r>
      <w:r w:rsidRPr="00925F26">
        <w:rPr>
          <w:color w:val="000000" w:themeColor="text1"/>
          <w:sz w:val="16"/>
          <w:szCs w:val="16"/>
        </w:rPr>
        <w:softHyphen/>
        <w:t>шей вскоре индекс ИС-7. Рабочие чертежи машины были выполнены в крайне сжатые сроки, уже 9 сентября 1945 г. их подписал к сборке главный конструктор Ж. Котин. Новый танк отличался от других машин, разработан</w:t>
      </w:r>
      <w:r w:rsidRPr="00925F26">
        <w:rPr>
          <w:color w:val="000000" w:themeColor="text1"/>
          <w:sz w:val="16"/>
          <w:szCs w:val="16"/>
        </w:rPr>
        <w:softHyphen/>
        <w:t>ных кировцами в годы войны. Лобовая часть — трехгран</w:t>
      </w:r>
      <w:r w:rsidRPr="00925F26">
        <w:rPr>
          <w:color w:val="000000" w:themeColor="text1"/>
          <w:sz w:val="16"/>
          <w:szCs w:val="16"/>
        </w:rPr>
        <w:softHyphen/>
        <w:t>ная, по типу ИС-3. Л. Горлицкий считал, что корпус этого танка задумывался Ж. Котиным еще в 1944 г. и корпус тан</w:t>
      </w:r>
      <w:r w:rsidRPr="00925F26">
        <w:rPr>
          <w:color w:val="000000" w:themeColor="text1"/>
          <w:sz w:val="16"/>
          <w:szCs w:val="16"/>
        </w:rPr>
        <w:softHyphen/>
        <w:t>ка ИС-3 был получен из него, но с более тонкой броней.</w:t>
      </w:r>
    </w:p>
    <w:p w14:paraId="36C080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Силовая установка должна была состоять из двух дизе</w:t>
      </w:r>
      <w:r w:rsidRPr="00925F26">
        <w:rPr>
          <w:color w:val="000000" w:themeColor="text1"/>
          <w:sz w:val="16"/>
          <w:szCs w:val="16"/>
        </w:rPr>
        <w:softHyphen/>
        <w:t>лей В-11 или В-16 общей мощностью 1200 л.е. Электричес</w:t>
      </w:r>
      <w:r w:rsidRPr="00925F26">
        <w:rPr>
          <w:color w:val="000000" w:themeColor="text1"/>
          <w:sz w:val="16"/>
          <w:szCs w:val="16"/>
        </w:rPr>
        <w:softHyphen/>
        <w:t>кая трансмиссия была аналогична установленной УЗТМ на танке ИС-6. Топливные баки располагались в подмотор-ном фундаменте.</w:t>
      </w:r>
    </w:p>
    <w:p w14:paraId="121B3C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Артиллерийское вооружение ИС-7 сначала должно было состоять из 122-мм пушки большой мощности с нач. скорос тью бронебойного снаряда около 1000 м/с. Однако указанная пушка до конца года изготовлена не была и 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925F26">
        <w:rPr>
          <w:color w:val="000000" w:themeColor="text1"/>
          <w:sz w:val="16"/>
          <w:szCs w:val="16"/>
        </w:rPr>
        <w:softHyphen/>
        <w:t>шую 65 т, машина получилась очень компактной. Был пост</w:t>
      </w:r>
      <w:r w:rsidRPr="00925F26">
        <w:rPr>
          <w:color w:val="000000" w:themeColor="text1"/>
          <w:sz w:val="16"/>
          <w:szCs w:val="16"/>
        </w:rPr>
        <w:softHyphen/>
        <w:t>роен деревянный макет танка в натуральную величину. По результатам работы макетной комиссии в 1946 г. на</w:t>
      </w:r>
      <w:r w:rsidRPr="00925F26">
        <w:rPr>
          <w:color w:val="000000" w:themeColor="text1"/>
          <w:sz w:val="16"/>
          <w:szCs w:val="16"/>
        </w:rPr>
        <w:softHyphen/>
        <w:t>чалось проектирование другого варианта «объекта 260» (11135).</w:t>
      </w:r>
    </w:p>
    <w:p w14:paraId="39F955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D51EA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апреле - мае 1945 г. опытный образец Самоходной установки СУ-85Б (СУ-15Б), которая была разработана в КБ Горковского автозавода под руководством Н.А. Астрова в 1944 г. и явля</w:t>
      </w:r>
      <w:r w:rsidRPr="00925F26">
        <w:rPr>
          <w:color w:val="000000" w:themeColor="text1"/>
          <w:sz w:val="16"/>
          <w:szCs w:val="16"/>
        </w:rPr>
        <w:softHyphen/>
        <w:t>лась модернизированным вариантом СУ-85А, ус</w:t>
      </w:r>
      <w:r w:rsidRPr="00925F26">
        <w:rPr>
          <w:color w:val="000000" w:themeColor="text1"/>
          <w:sz w:val="16"/>
          <w:szCs w:val="16"/>
        </w:rPr>
        <w:softHyphen/>
        <w:t>пешно выдержал испытания на НИБТ полигоне и был рекомендован для принятия на вооружение. В связи с окончанием Великой Отечест</w:t>
      </w:r>
      <w:r w:rsidRPr="00925F26">
        <w:rPr>
          <w:color w:val="000000" w:themeColor="text1"/>
          <w:sz w:val="16"/>
          <w:szCs w:val="16"/>
        </w:rPr>
        <w:softHyphen/>
        <w:t>венной войны в серийном производстве СУ-85Б не состояла. Машина была создана на базе установки СУ-85А и отличалась от последней вооружением, броневой защитой и увеличенной мощностью силовой установки. Кроме того, была улучшена обзорность из броневой рубки. Экипаж состоял из четырех человек (10703).</w:t>
      </w:r>
    </w:p>
    <w:p w14:paraId="3A8E3E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E13201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EC2E454" w14:textId="77777777" w:rsidR="00665165" w:rsidRPr="00925F26" w:rsidRDefault="00665165" w:rsidP="00925F26">
      <w:pPr>
        <w:autoSpaceDE w:val="0"/>
        <w:autoSpaceDN w:val="0"/>
        <w:adjustRightInd w:val="0"/>
        <w:jc w:val="both"/>
        <w:rPr>
          <w:iCs/>
          <w:color w:val="000000" w:themeColor="text1"/>
          <w:sz w:val="16"/>
          <w:szCs w:val="16"/>
        </w:rPr>
      </w:pPr>
    </w:p>
    <w:p w14:paraId="55BE39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Весь апрель-май 1945 года по АЛСИБу потоком шли С-47А, затем они начали перемежаться с B-25J. После капитуляции Германии американцы продолжали сдавать самолеты, включенные в так называемое "приложение III" - список поставок для Дальневосточного театра военных действий (3457,137).</w:t>
      </w:r>
    </w:p>
    <w:p w14:paraId="7DB33B5A" w14:textId="77777777" w:rsidR="00665165" w:rsidRPr="00925F26" w:rsidRDefault="00665165" w:rsidP="00925F26">
      <w:pPr>
        <w:autoSpaceDE w:val="0"/>
        <w:autoSpaceDN w:val="0"/>
        <w:adjustRightInd w:val="0"/>
        <w:jc w:val="both"/>
        <w:rPr>
          <w:color w:val="000000" w:themeColor="text1"/>
          <w:sz w:val="16"/>
          <w:szCs w:val="16"/>
        </w:rPr>
      </w:pPr>
    </w:p>
    <w:p w14:paraId="5FF8D711" w14:textId="77777777" w:rsidR="007C630F"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85F8C40" w14:textId="77777777" w:rsidR="007C630F" w:rsidRPr="00925F26" w:rsidRDefault="007C630F" w:rsidP="00925F26">
      <w:pPr>
        <w:autoSpaceDE w:val="0"/>
        <w:autoSpaceDN w:val="0"/>
        <w:adjustRightInd w:val="0"/>
        <w:jc w:val="both"/>
        <w:rPr>
          <w:iCs/>
          <w:color w:val="000000" w:themeColor="text1"/>
          <w:sz w:val="16"/>
          <w:szCs w:val="16"/>
        </w:rPr>
      </w:pPr>
    </w:p>
    <w:p w14:paraId="349474BA"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В апреле—мае 1945 г. музейные ценности из Германии вывозились по распоряжениям ГКО и Совнаркома СССР. Разрешения выдавало также Главное трофейное управление тыла Красной армии. Так, его начальник разрешил сотрудникам Малого театра самим отбирать для себя трофейные ценности. В числе их получателей были Музей изобразительного искусства имени Пушкина, Третьяковская галерея, Главное управление снабжения Комитета по делам искусств. С союзниками не согласовывалось ни одного разрешения (15225).</w:t>
      </w:r>
    </w:p>
    <w:p w14:paraId="3E4ED89D" w14:textId="77777777" w:rsidR="007C630F" w:rsidRPr="00925F26" w:rsidRDefault="007C630F" w:rsidP="00925F26">
      <w:pPr>
        <w:pStyle w:val="book"/>
        <w:ind w:firstLine="0"/>
        <w:jc w:val="both"/>
        <w:rPr>
          <w:color w:val="000000" w:themeColor="text1"/>
          <w:sz w:val="16"/>
          <w:szCs w:val="16"/>
        </w:rPr>
      </w:pPr>
    </w:p>
    <w:p w14:paraId="71D8DF1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7F37051" w14:textId="77777777" w:rsidR="00665165" w:rsidRPr="00925F26" w:rsidRDefault="00665165" w:rsidP="00925F26">
      <w:pPr>
        <w:autoSpaceDE w:val="0"/>
        <w:autoSpaceDN w:val="0"/>
        <w:adjustRightInd w:val="0"/>
        <w:jc w:val="both"/>
        <w:rPr>
          <w:iCs/>
          <w:color w:val="000000" w:themeColor="text1"/>
          <w:sz w:val="16"/>
          <w:szCs w:val="16"/>
        </w:rPr>
      </w:pPr>
    </w:p>
    <w:p w14:paraId="412889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апреле-июне 1945 г. американские силы начали операцию по захвату принадлежавшего Японии архипелага Рюкю со стратегически важным островом Окинава. Эта операция была нацелена на то, чтобы окончательно отсечь Японские острова от последнего доступного источника энергосырья - каменного угля из Северо-Восточного Китая. Положение Японии было критическим (3871).</w:t>
      </w:r>
    </w:p>
    <w:p w14:paraId="4B3958AD" w14:textId="77777777" w:rsidR="00665165" w:rsidRPr="00925F26" w:rsidRDefault="00665165" w:rsidP="00925F26">
      <w:pPr>
        <w:autoSpaceDE w:val="0"/>
        <w:autoSpaceDN w:val="0"/>
        <w:adjustRightInd w:val="0"/>
        <w:jc w:val="both"/>
        <w:rPr>
          <w:color w:val="000000" w:themeColor="text1"/>
          <w:sz w:val="16"/>
          <w:szCs w:val="16"/>
        </w:rPr>
      </w:pPr>
    </w:p>
    <w:p w14:paraId="720BBB1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7153DD1" w14:textId="77777777" w:rsidR="00665165" w:rsidRPr="00925F26" w:rsidRDefault="00665165" w:rsidP="00925F26">
      <w:pPr>
        <w:autoSpaceDE w:val="0"/>
        <w:autoSpaceDN w:val="0"/>
        <w:adjustRightInd w:val="0"/>
        <w:jc w:val="both"/>
        <w:rPr>
          <w:iCs/>
          <w:color w:val="000000" w:themeColor="text1"/>
          <w:sz w:val="16"/>
          <w:szCs w:val="16"/>
        </w:rPr>
      </w:pPr>
    </w:p>
    <w:p w14:paraId="14F15A76"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 маю 1945 и окон</w:t>
      </w:r>
      <w:r w:rsidRPr="00925F26">
        <w:rPr>
          <w:rFonts w:ascii="Times New Roman" w:hAnsi="Times New Roman" w:cs="Times New Roman"/>
          <w:color w:val="000000" w:themeColor="text1"/>
          <w:sz w:val="16"/>
          <w:szCs w:val="16"/>
        </w:rPr>
        <w:softHyphen/>
        <w:t>чанию войны сформировались два ос</w:t>
      </w:r>
      <w:r w:rsidRPr="00925F26">
        <w:rPr>
          <w:rFonts w:ascii="Times New Roman" w:hAnsi="Times New Roman" w:cs="Times New Roman"/>
          <w:color w:val="000000" w:themeColor="text1"/>
          <w:sz w:val="16"/>
          <w:szCs w:val="16"/>
        </w:rPr>
        <w:softHyphen/>
        <w:t>новных направления развития самолета штурмового типа ВВС КА: двухмоторный и одномоторный штурмовик.</w:t>
      </w:r>
    </w:p>
    <w:p w14:paraId="0A282B0D"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Двухмоторный бронированный штурмовик был представлен опытным самолетом Су-8 с двумя моторами воз</w:t>
      </w:r>
      <w:r w:rsidRPr="00925F26">
        <w:rPr>
          <w:rFonts w:ascii="Times New Roman" w:hAnsi="Times New Roman" w:cs="Times New Roman"/>
          <w:color w:val="000000" w:themeColor="text1"/>
          <w:sz w:val="16"/>
          <w:szCs w:val="16"/>
        </w:rPr>
        <w:softHyphen/>
        <w:t>душного охлаждения М-71ф, который с марта 1944 г. проходил заводские испы</w:t>
      </w:r>
      <w:r w:rsidRPr="00925F26">
        <w:rPr>
          <w:rFonts w:ascii="Times New Roman" w:hAnsi="Times New Roman" w:cs="Times New Roman"/>
          <w:color w:val="000000" w:themeColor="text1"/>
          <w:sz w:val="16"/>
          <w:szCs w:val="16"/>
        </w:rPr>
        <w:softHyphen/>
        <w:t>тания.</w:t>
      </w:r>
    </w:p>
    <w:p w14:paraId="42083E74"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Самолет имел очень мощное воо</w:t>
      </w:r>
      <w:r w:rsidRPr="00925F26">
        <w:rPr>
          <w:rFonts w:ascii="Times New Roman" w:hAnsi="Times New Roman" w:cs="Times New Roman"/>
          <w:color w:val="000000" w:themeColor="text1"/>
          <w:sz w:val="16"/>
          <w:szCs w:val="16"/>
        </w:rPr>
        <w:softHyphen/>
        <w:t>ружение. В подфюзеляжной пушечной установке размещались четыре пушки НС-45 калибра 45 мм, в каждой консоли крыла - по четыре пулемета ШКАС, на верхней турели - пулемет УБТ и в люко</w:t>
      </w:r>
      <w:r w:rsidRPr="00925F26">
        <w:rPr>
          <w:rFonts w:ascii="Times New Roman" w:hAnsi="Times New Roman" w:cs="Times New Roman"/>
          <w:color w:val="000000" w:themeColor="text1"/>
          <w:sz w:val="16"/>
          <w:szCs w:val="16"/>
        </w:rPr>
        <w:softHyphen/>
        <w:t>вой оборонительной установке - пуле</w:t>
      </w:r>
      <w:r w:rsidRPr="00925F26">
        <w:rPr>
          <w:rFonts w:ascii="Times New Roman" w:hAnsi="Times New Roman" w:cs="Times New Roman"/>
          <w:color w:val="000000" w:themeColor="text1"/>
          <w:sz w:val="16"/>
          <w:szCs w:val="16"/>
        </w:rPr>
        <w:softHyphen/>
        <w:t>мет ШКАС. Ракетное вооружение сос</w:t>
      </w:r>
      <w:r w:rsidRPr="00925F26">
        <w:rPr>
          <w:rFonts w:ascii="Times New Roman" w:hAnsi="Times New Roman" w:cs="Times New Roman"/>
          <w:color w:val="000000" w:themeColor="text1"/>
          <w:sz w:val="16"/>
          <w:szCs w:val="16"/>
        </w:rPr>
        <w:softHyphen/>
        <w:t>тояло из шести ракетных орудий РО-82 или РО-132. В перегрузку допускалась установка 10 ракетных орудий. Вес нор</w:t>
      </w:r>
      <w:r w:rsidRPr="00925F26">
        <w:rPr>
          <w:rFonts w:ascii="Times New Roman" w:hAnsi="Times New Roman" w:cs="Times New Roman"/>
          <w:color w:val="000000" w:themeColor="text1"/>
          <w:sz w:val="16"/>
          <w:szCs w:val="16"/>
        </w:rPr>
        <w:softHyphen/>
        <w:t>мальной бомбовой нагрузки - 600 кг, в перегрузку - 1400 кг. Под фюзеляжем предусматривалась возможность под</w:t>
      </w:r>
      <w:r w:rsidRPr="00925F26">
        <w:rPr>
          <w:rFonts w:ascii="Times New Roman" w:hAnsi="Times New Roman" w:cs="Times New Roman"/>
          <w:color w:val="000000" w:themeColor="text1"/>
          <w:sz w:val="16"/>
          <w:szCs w:val="16"/>
        </w:rPr>
        <w:softHyphen/>
        <w:t>вески трех бомб калибра 250 кг, либо двух бомб калибра 500 кг.</w:t>
      </w:r>
    </w:p>
    <w:p w14:paraId="5150D2D6"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Схема бронирования обеспечива</w:t>
      </w:r>
      <w:r w:rsidRPr="00925F26">
        <w:rPr>
          <w:rFonts w:ascii="Times New Roman" w:hAnsi="Times New Roman" w:cs="Times New Roman"/>
          <w:color w:val="000000" w:themeColor="text1"/>
          <w:sz w:val="16"/>
          <w:szCs w:val="16"/>
        </w:rPr>
        <w:softHyphen/>
        <w:t>ла защиту от огня крупнокалиберных пулеметов: летчика, стрелка-радиста, моторов (не забронированы только ци</w:t>
      </w:r>
      <w:r w:rsidRPr="00925F26">
        <w:rPr>
          <w:rFonts w:ascii="Times New Roman" w:hAnsi="Times New Roman" w:cs="Times New Roman"/>
          <w:color w:val="000000" w:themeColor="text1"/>
          <w:sz w:val="16"/>
          <w:szCs w:val="16"/>
        </w:rPr>
        <w:softHyphen/>
        <w:t>линдры), крыльевых бензобаков, масло</w:t>
      </w:r>
      <w:r w:rsidRPr="00925F26">
        <w:rPr>
          <w:rFonts w:ascii="Times New Roman" w:hAnsi="Times New Roman" w:cs="Times New Roman"/>
          <w:color w:val="000000" w:themeColor="text1"/>
          <w:sz w:val="16"/>
          <w:szCs w:val="16"/>
        </w:rPr>
        <w:softHyphen/>
        <w:t>баков, маслорадиаторов и цилиндров винтов. Спереди летчика защищали бронестекла толщиной 64 мм. Общий вес брони на самолете достигал 1680 кг.</w:t>
      </w:r>
    </w:p>
    <w:p w14:paraId="24B54EC2"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нормальном полетном весе 12413 кг (600 кг бомб) максимальная скорость полета составляла у земли - 500 км/ч, на высоте 4600 м - 550 км/ч. Время подъема на высоту 4000 м - 7,26 мин. Дальность полета на высоте 1000 м (скорость 335 км/ч) - 1000 км (в перегрузку 1500 км).</w:t>
      </w:r>
    </w:p>
    <w:p w14:paraId="5A9B3B59"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Поскольку, постановлением ГОКО от 23 июля 1944 г. в массовое производст</w:t>
      </w:r>
      <w:r w:rsidRPr="00925F26">
        <w:rPr>
          <w:rFonts w:ascii="Times New Roman" w:hAnsi="Times New Roman" w:cs="Times New Roman"/>
          <w:color w:val="000000" w:themeColor="text1"/>
          <w:sz w:val="16"/>
          <w:szCs w:val="16"/>
        </w:rPr>
        <w:softHyphen/>
        <w:t>во был запущен одномоторный брони</w:t>
      </w:r>
      <w:r w:rsidRPr="00925F26">
        <w:rPr>
          <w:rFonts w:ascii="Times New Roman" w:hAnsi="Times New Roman" w:cs="Times New Roman"/>
          <w:color w:val="000000" w:themeColor="text1"/>
          <w:sz w:val="16"/>
          <w:szCs w:val="16"/>
        </w:rPr>
        <w:softHyphen/>
        <w:t>рованный штурмовик Ил-10 с мотором жидкостного охлаждения АМ-42, то воп</w:t>
      </w:r>
      <w:r w:rsidRPr="00925F26">
        <w:rPr>
          <w:rFonts w:ascii="Times New Roman" w:hAnsi="Times New Roman" w:cs="Times New Roman"/>
          <w:color w:val="000000" w:themeColor="text1"/>
          <w:sz w:val="16"/>
          <w:szCs w:val="16"/>
        </w:rPr>
        <w:softHyphen/>
        <w:t>рос об организации серийного выпуска мотора М-71 с повестки дня был снят.</w:t>
      </w:r>
    </w:p>
    <w:p w14:paraId="10409B21"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этой связи П.О. Сухой оперативно разрабатывал проект Су-8 под мотор АМ-42 практически без изменений в аэродинамической компоновке и конст</w:t>
      </w:r>
      <w:r w:rsidRPr="00925F26">
        <w:rPr>
          <w:rFonts w:ascii="Times New Roman" w:hAnsi="Times New Roman" w:cs="Times New Roman"/>
          <w:color w:val="000000" w:themeColor="text1"/>
          <w:sz w:val="16"/>
          <w:szCs w:val="16"/>
        </w:rPr>
        <w:softHyphen/>
        <w:t>рукции уже летавшего самолета.</w:t>
      </w:r>
    </w:p>
    <w:p w14:paraId="198BF3A4"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Полетный вес возрос до 12774 кг. По расчетам максимальная скорость у земли на номинальном режиме работы мотора составляла 485 км/ч, на высоте 2500 м - 525 км/ч. Время подъема на высоту 4000 м - 8,5 мин. Скоростная дальность полета на высоте 1000 м - 620 км. Правда, развития этот проект не получил.</w:t>
      </w:r>
    </w:p>
    <w:p w14:paraId="290EAC54"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 этому времени у руководства стра</w:t>
      </w:r>
      <w:r w:rsidRPr="00925F26">
        <w:rPr>
          <w:rFonts w:ascii="Times New Roman" w:hAnsi="Times New Roman" w:cs="Times New Roman"/>
          <w:color w:val="000000" w:themeColor="text1"/>
          <w:sz w:val="16"/>
          <w:szCs w:val="16"/>
        </w:rPr>
        <w:softHyphen/>
        <w:t>ны, ВВС и НКАП сложилось устойчивое мнение, что войну можно выиграть</w:t>
      </w:r>
      <w:r w:rsidRPr="00925F26">
        <w:rPr>
          <w:rStyle w:val="aff9"/>
          <w:rFonts w:ascii="Times New Roman" w:eastAsia="Calibri" w:hAnsi="Times New Roman" w:cs="Times New Roman"/>
          <w:b w:val="0"/>
          <w:color w:val="000000" w:themeColor="text1"/>
          <w:spacing w:val="0"/>
          <w:sz w:val="16"/>
          <w:szCs w:val="16"/>
        </w:rPr>
        <w:t xml:space="preserve"> и</w:t>
      </w:r>
      <w:r w:rsidRPr="00925F26">
        <w:rPr>
          <w:rFonts w:ascii="Times New Roman" w:hAnsi="Times New Roman" w:cs="Times New Roman"/>
          <w:color w:val="000000" w:themeColor="text1"/>
          <w:sz w:val="16"/>
          <w:szCs w:val="16"/>
        </w:rPr>
        <w:t xml:space="preserve"> без столь дорогой и сложной</w:t>
      </w:r>
      <w:r w:rsidRPr="00925F26">
        <w:rPr>
          <w:rStyle w:val="aff9"/>
          <w:rFonts w:ascii="Times New Roman" w:eastAsia="Calibri" w:hAnsi="Times New Roman" w:cs="Times New Roman"/>
          <w:b w:val="0"/>
          <w:color w:val="000000" w:themeColor="text1"/>
          <w:spacing w:val="0"/>
          <w:sz w:val="16"/>
          <w:szCs w:val="16"/>
        </w:rPr>
        <w:t xml:space="preserve"> машины как </w:t>
      </w:r>
      <w:r w:rsidRPr="00925F26">
        <w:rPr>
          <w:rFonts w:ascii="Times New Roman" w:hAnsi="Times New Roman" w:cs="Times New Roman"/>
          <w:color w:val="000000" w:themeColor="text1"/>
          <w:sz w:val="16"/>
          <w:szCs w:val="16"/>
        </w:rPr>
        <w:t>Су-8, пусть даже значительно</w:t>
      </w:r>
      <w:r w:rsidRPr="00925F26">
        <w:rPr>
          <w:rStyle w:val="aff9"/>
          <w:rFonts w:ascii="Times New Roman" w:eastAsia="Calibri" w:hAnsi="Times New Roman" w:cs="Times New Roman"/>
          <w:b w:val="0"/>
          <w:color w:val="000000" w:themeColor="text1"/>
          <w:spacing w:val="0"/>
          <w:sz w:val="16"/>
          <w:szCs w:val="16"/>
        </w:rPr>
        <w:t xml:space="preserve"> более эф</w:t>
      </w:r>
      <w:r w:rsidRPr="00925F26">
        <w:rPr>
          <w:rStyle w:val="aff9"/>
          <w:rFonts w:ascii="Times New Roman" w:eastAsia="Calibri" w:hAnsi="Times New Roman" w:cs="Times New Roman"/>
          <w:b w:val="0"/>
          <w:color w:val="000000" w:themeColor="text1"/>
          <w:spacing w:val="0"/>
          <w:sz w:val="16"/>
          <w:szCs w:val="16"/>
        </w:rPr>
        <w:softHyphen/>
      </w:r>
      <w:r w:rsidRPr="00925F26">
        <w:rPr>
          <w:rFonts w:ascii="Times New Roman" w:hAnsi="Times New Roman" w:cs="Times New Roman"/>
          <w:color w:val="000000" w:themeColor="text1"/>
          <w:sz w:val="16"/>
          <w:szCs w:val="16"/>
        </w:rPr>
        <w:t>фективной, чем более</w:t>
      </w:r>
      <w:r w:rsidRPr="00925F26">
        <w:rPr>
          <w:rStyle w:val="aff9"/>
          <w:rFonts w:ascii="Times New Roman" w:eastAsia="Calibri" w:hAnsi="Times New Roman" w:cs="Times New Roman"/>
          <w:b w:val="0"/>
          <w:color w:val="000000" w:themeColor="text1"/>
          <w:spacing w:val="0"/>
          <w:sz w:val="16"/>
          <w:szCs w:val="16"/>
        </w:rPr>
        <w:t xml:space="preserve"> дешевые в про</w:t>
      </w:r>
      <w:r w:rsidRPr="00925F26">
        <w:rPr>
          <w:rStyle w:val="aff9"/>
          <w:rFonts w:ascii="Times New Roman" w:eastAsia="Calibri" w:hAnsi="Times New Roman" w:cs="Times New Roman"/>
          <w:b w:val="0"/>
          <w:color w:val="000000" w:themeColor="text1"/>
          <w:spacing w:val="0"/>
          <w:sz w:val="16"/>
          <w:szCs w:val="16"/>
        </w:rPr>
        <w:softHyphen/>
      </w:r>
      <w:r w:rsidRPr="00925F26">
        <w:rPr>
          <w:rFonts w:ascii="Times New Roman" w:hAnsi="Times New Roman" w:cs="Times New Roman"/>
          <w:color w:val="000000" w:themeColor="text1"/>
          <w:sz w:val="16"/>
          <w:szCs w:val="16"/>
        </w:rPr>
        <w:t>изводстве одномоторные</w:t>
      </w:r>
      <w:r w:rsidRPr="00925F26">
        <w:rPr>
          <w:rStyle w:val="aff9"/>
          <w:rFonts w:ascii="Times New Roman" w:eastAsia="Calibri" w:hAnsi="Times New Roman" w:cs="Times New Roman"/>
          <w:b w:val="0"/>
          <w:color w:val="000000" w:themeColor="text1"/>
          <w:spacing w:val="0"/>
          <w:sz w:val="16"/>
          <w:szCs w:val="16"/>
        </w:rPr>
        <w:t xml:space="preserve"> штурмовики. </w:t>
      </w:r>
      <w:r w:rsidRPr="00925F26">
        <w:rPr>
          <w:rFonts w:ascii="Times New Roman" w:hAnsi="Times New Roman" w:cs="Times New Roman"/>
          <w:color w:val="000000" w:themeColor="text1"/>
          <w:sz w:val="16"/>
          <w:szCs w:val="16"/>
        </w:rPr>
        <w:t>К тому же Су-8 не мог бомбить</w:t>
      </w:r>
      <w:r w:rsidRPr="00925F26">
        <w:rPr>
          <w:rStyle w:val="aff9"/>
          <w:rFonts w:ascii="Times New Roman" w:eastAsia="Calibri" w:hAnsi="Times New Roman" w:cs="Times New Roman"/>
          <w:b w:val="0"/>
          <w:color w:val="000000" w:themeColor="text1"/>
          <w:spacing w:val="0"/>
          <w:sz w:val="16"/>
          <w:szCs w:val="16"/>
        </w:rPr>
        <w:t xml:space="preserve"> с пики</w:t>
      </w:r>
      <w:r w:rsidRPr="00925F26">
        <w:rPr>
          <w:rStyle w:val="aff9"/>
          <w:rFonts w:ascii="Times New Roman" w:eastAsia="Calibri" w:hAnsi="Times New Roman" w:cs="Times New Roman"/>
          <w:b w:val="0"/>
          <w:color w:val="000000" w:themeColor="text1"/>
          <w:spacing w:val="0"/>
          <w:sz w:val="16"/>
          <w:szCs w:val="16"/>
        </w:rPr>
        <w:softHyphen/>
      </w:r>
      <w:r w:rsidRPr="00925F26">
        <w:rPr>
          <w:rFonts w:ascii="Times New Roman" w:hAnsi="Times New Roman" w:cs="Times New Roman"/>
          <w:color w:val="000000" w:themeColor="text1"/>
          <w:sz w:val="16"/>
          <w:szCs w:val="16"/>
        </w:rPr>
        <w:t>рования под углами 50-60°.</w:t>
      </w:r>
      <w:r w:rsidRPr="00925F26">
        <w:rPr>
          <w:rStyle w:val="aff9"/>
          <w:rFonts w:ascii="Times New Roman" w:eastAsia="Calibri" w:hAnsi="Times New Roman" w:cs="Times New Roman"/>
          <w:b w:val="0"/>
          <w:color w:val="000000" w:themeColor="text1"/>
          <w:spacing w:val="0"/>
          <w:sz w:val="16"/>
          <w:szCs w:val="16"/>
        </w:rPr>
        <w:t xml:space="preserve"> Для этого</w:t>
      </w:r>
      <w:r w:rsidRPr="00925F26">
        <w:rPr>
          <w:rFonts w:ascii="Times New Roman" w:hAnsi="Times New Roman" w:cs="Times New Roman"/>
          <w:color w:val="000000" w:themeColor="text1"/>
          <w:sz w:val="16"/>
          <w:szCs w:val="16"/>
        </w:rPr>
        <w:t>требовалась кардинальная</w:t>
      </w:r>
      <w:r w:rsidRPr="00925F26">
        <w:rPr>
          <w:rStyle w:val="aff9"/>
          <w:rFonts w:ascii="Times New Roman" w:eastAsia="Calibri" w:hAnsi="Times New Roman" w:cs="Times New Roman"/>
          <w:b w:val="0"/>
          <w:color w:val="000000" w:themeColor="text1"/>
          <w:spacing w:val="0"/>
          <w:sz w:val="16"/>
          <w:szCs w:val="16"/>
        </w:rPr>
        <w:t xml:space="preserve"> переделка </w:t>
      </w:r>
      <w:r w:rsidRPr="00925F26">
        <w:rPr>
          <w:rFonts w:ascii="Times New Roman" w:hAnsi="Times New Roman" w:cs="Times New Roman"/>
          <w:color w:val="000000" w:themeColor="text1"/>
          <w:sz w:val="16"/>
          <w:szCs w:val="16"/>
        </w:rPr>
        <w:t>самолета. По этим причинам</w:t>
      </w:r>
      <w:r w:rsidRPr="00925F26">
        <w:rPr>
          <w:rStyle w:val="aff9"/>
          <w:rFonts w:ascii="Times New Roman" w:eastAsia="Calibri" w:hAnsi="Times New Roman" w:cs="Times New Roman"/>
          <w:b w:val="0"/>
          <w:color w:val="000000" w:themeColor="text1"/>
          <w:spacing w:val="0"/>
          <w:sz w:val="16"/>
          <w:szCs w:val="16"/>
        </w:rPr>
        <w:t xml:space="preserve"> интерес к </w:t>
      </w:r>
      <w:r w:rsidRPr="00925F26">
        <w:rPr>
          <w:rFonts w:ascii="Times New Roman" w:hAnsi="Times New Roman" w:cs="Times New Roman"/>
          <w:color w:val="000000" w:themeColor="text1"/>
          <w:sz w:val="16"/>
          <w:szCs w:val="16"/>
        </w:rPr>
        <w:t xml:space="preserve">Су-8 неуклонно снижался. </w:t>
      </w:r>
    </w:p>
    <w:p w14:paraId="32F5CC83"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Заводские испытания Су-8 про</w:t>
      </w:r>
      <w:r w:rsidRPr="00925F26">
        <w:rPr>
          <w:rFonts w:ascii="Times New Roman" w:hAnsi="Times New Roman" w:cs="Times New Roman"/>
          <w:color w:val="000000" w:themeColor="text1"/>
          <w:sz w:val="16"/>
          <w:szCs w:val="16"/>
        </w:rPr>
        <w:softHyphen/>
        <w:t>должались с небольшими перерывами до весны 1945 г. После окончания вой</w:t>
      </w:r>
      <w:r w:rsidRPr="00925F26">
        <w:rPr>
          <w:rFonts w:ascii="Times New Roman" w:hAnsi="Times New Roman" w:cs="Times New Roman"/>
          <w:color w:val="000000" w:themeColor="text1"/>
          <w:sz w:val="16"/>
          <w:szCs w:val="16"/>
        </w:rPr>
        <w:softHyphen/>
        <w:t>ны интерес к машине и вовсе исчез. Все работы по ней были прекращены.  На государственные испытания самолет не предъявлялся.</w:t>
      </w:r>
    </w:p>
    <w:p w14:paraId="1AB387B2"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Линия одномоторного штурмовика включала тяжелый штурмовик-бомбар</w:t>
      </w:r>
      <w:r w:rsidRPr="00925F26">
        <w:rPr>
          <w:rFonts w:ascii="Times New Roman" w:hAnsi="Times New Roman" w:cs="Times New Roman"/>
          <w:color w:val="000000" w:themeColor="text1"/>
          <w:sz w:val="16"/>
          <w:szCs w:val="16"/>
        </w:rPr>
        <w:softHyphen/>
        <w:t>дировщик и легкий маневренный штур</w:t>
      </w:r>
      <w:r w:rsidRPr="00925F26">
        <w:rPr>
          <w:rFonts w:ascii="Times New Roman" w:hAnsi="Times New Roman" w:cs="Times New Roman"/>
          <w:color w:val="000000" w:themeColor="text1"/>
          <w:sz w:val="16"/>
          <w:szCs w:val="16"/>
        </w:rPr>
        <w:softHyphen/>
        <w:t>мовик. В первом случае наращивалась броневая защита и усиливалось воору</w:t>
      </w:r>
      <w:r w:rsidRPr="00925F26">
        <w:rPr>
          <w:rFonts w:ascii="Times New Roman" w:hAnsi="Times New Roman" w:cs="Times New Roman"/>
          <w:color w:val="000000" w:themeColor="text1"/>
          <w:sz w:val="16"/>
          <w:szCs w:val="16"/>
        </w:rPr>
        <w:softHyphen/>
        <w:t>жение самолета, во втором - делался упор на улучшение летных данных, обес</w:t>
      </w:r>
      <w:r w:rsidRPr="00925F26">
        <w:rPr>
          <w:rFonts w:ascii="Times New Roman" w:hAnsi="Times New Roman" w:cs="Times New Roman"/>
          <w:color w:val="000000" w:themeColor="text1"/>
          <w:sz w:val="16"/>
          <w:szCs w:val="16"/>
        </w:rPr>
        <w:softHyphen/>
        <w:t>печивая повышение подвижности.</w:t>
      </w:r>
    </w:p>
    <w:p w14:paraId="746983C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Успех этого направления связывал</w:t>
      </w:r>
      <w:r w:rsidRPr="00925F26">
        <w:rPr>
          <w:rFonts w:ascii="Times New Roman" w:hAnsi="Times New Roman" w:cs="Times New Roman"/>
          <w:color w:val="000000" w:themeColor="text1"/>
          <w:sz w:val="16"/>
          <w:szCs w:val="16"/>
        </w:rPr>
        <w:softHyphen/>
        <w:t>ся с мотором М-43 (АМ-43), который представлял собой дальнейшее разви</w:t>
      </w:r>
      <w:r w:rsidRPr="00925F26">
        <w:rPr>
          <w:rFonts w:ascii="Times New Roman" w:hAnsi="Times New Roman" w:cs="Times New Roman"/>
          <w:color w:val="000000" w:themeColor="text1"/>
          <w:sz w:val="16"/>
          <w:szCs w:val="16"/>
        </w:rPr>
        <w:softHyphen/>
        <w:t>тие мотора АМ-42 и отличался от него односкоростным нагнетателем, блоком головок увеличенной жесткости, клапа</w:t>
      </w:r>
      <w:r w:rsidRPr="00925F26">
        <w:rPr>
          <w:rFonts w:ascii="Times New Roman" w:hAnsi="Times New Roman" w:cs="Times New Roman"/>
          <w:color w:val="000000" w:themeColor="text1"/>
          <w:sz w:val="16"/>
          <w:szCs w:val="16"/>
        </w:rPr>
        <w:softHyphen/>
        <w:t>нами большего диаметра, новыми вса</w:t>
      </w:r>
      <w:r w:rsidRPr="00925F26">
        <w:rPr>
          <w:rFonts w:ascii="Times New Roman" w:hAnsi="Times New Roman" w:cs="Times New Roman"/>
          <w:color w:val="000000" w:themeColor="text1"/>
          <w:sz w:val="16"/>
          <w:szCs w:val="16"/>
        </w:rPr>
        <w:softHyphen/>
        <w:t>сывающими патрубками и распредели</w:t>
      </w:r>
      <w:r w:rsidRPr="00925F26">
        <w:rPr>
          <w:rFonts w:ascii="Times New Roman" w:hAnsi="Times New Roman" w:cs="Times New Roman"/>
          <w:color w:val="000000" w:themeColor="text1"/>
          <w:sz w:val="16"/>
          <w:szCs w:val="16"/>
        </w:rPr>
        <w:softHyphen/>
        <w:t>тельными валами. Мотор форсировали по оборотам. В ходе доводки внедрили систему непосредственного впрыска топлива в цилиндры, поставили водо- воздушный радиатор за нагнетателем, изменили механизм газораспределе</w:t>
      </w:r>
      <w:r w:rsidRPr="00925F26">
        <w:rPr>
          <w:rFonts w:ascii="Times New Roman" w:hAnsi="Times New Roman" w:cs="Times New Roman"/>
          <w:color w:val="000000" w:themeColor="text1"/>
          <w:sz w:val="16"/>
          <w:szCs w:val="16"/>
        </w:rPr>
        <w:softHyphen/>
        <w:t>ния. Взлетная мощность М-43 достигла 2300 л.с. На границе высотности 2000 м мощность на номинальном режиме со</w:t>
      </w:r>
      <w:r w:rsidRPr="00925F26">
        <w:rPr>
          <w:rFonts w:ascii="Times New Roman" w:hAnsi="Times New Roman" w:cs="Times New Roman"/>
          <w:color w:val="000000" w:themeColor="text1"/>
          <w:sz w:val="16"/>
          <w:szCs w:val="16"/>
        </w:rPr>
        <w:softHyphen/>
        <w:t>ставила 2150 л.с., на боевом режиме - 2300 л.с. Расход топлива на режиме 0,75 номинальной мощности ожидался на уровне 230 гр/л.с.-ч.</w:t>
      </w:r>
    </w:p>
    <w:p w14:paraId="0EF1CB35"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Мотор разрабатывался по поста</w:t>
      </w:r>
      <w:r w:rsidRPr="00925F26">
        <w:rPr>
          <w:rFonts w:ascii="Times New Roman" w:hAnsi="Times New Roman" w:cs="Times New Roman"/>
          <w:color w:val="000000" w:themeColor="text1"/>
          <w:sz w:val="16"/>
          <w:szCs w:val="16"/>
        </w:rPr>
        <w:softHyphen/>
        <w:t>новлению ГОКО от 18 февраля 1943 г. Согласно заданию, завод №300 должен был не позже октября 1943 г. построить и предъявить на совместные 50-часовые испытания мотор М-43. Однако за</w:t>
      </w:r>
      <w:r w:rsidRPr="00925F26">
        <w:rPr>
          <w:rFonts w:ascii="Times New Roman" w:hAnsi="Times New Roman" w:cs="Times New Roman"/>
          <w:color w:val="000000" w:themeColor="text1"/>
          <w:sz w:val="16"/>
          <w:szCs w:val="16"/>
        </w:rPr>
        <w:softHyphen/>
        <w:t>вод №300 эту работу «завалил». В итоге постройку мотора передали СКБ завода №24, которым руководил М.Р Флисский (17469).</w:t>
      </w:r>
    </w:p>
    <w:p w14:paraId="6D0D563D"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3B265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маю 1945 года в "наземном" строю находилось 32 самолета Пе-8 (7685).</w:t>
      </w:r>
    </w:p>
    <w:p w14:paraId="5DFB7587" w14:textId="77777777" w:rsidR="00665165" w:rsidRPr="00925F26" w:rsidRDefault="00665165" w:rsidP="00925F26">
      <w:pPr>
        <w:autoSpaceDE w:val="0"/>
        <w:autoSpaceDN w:val="0"/>
        <w:adjustRightInd w:val="0"/>
        <w:jc w:val="both"/>
        <w:rPr>
          <w:color w:val="000000" w:themeColor="text1"/>
          <w:sz w:val="16"/>
          <w:szCs w:val="16"/>
        </w:rPr>
      </w:pPr>
    </w:p>
    <w:p w14:paraId="12D8A180"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lastRenderedPageBreak/>
        <w:t>К маю 1945 г. снаряды Троммсдорфа не вышли из стадии опытно-конструкторских работ. Сам же конструктор оказался в советской зоне оккупации Германии. Естественно, советские специалисты не прошли мимо таких уникальных снарядов. Снарядами Троммсфорда занялось КБ-4 института «Берлин». Руководителем этого КБ стал Н.А. Судаков, а ведущим конструктором — сам В. Троммсдорф. Перед КБ-4 ставилась задача закончить разработку технического проекта 283-мм активно-реактивного снаряда с прямоточным воздушно-реактивным двигателем (ПВРД), выпустить рабочие чертежи снаряда, чертежи моделей для стендовых испытаний и изготовить их, а также изготовить образцы снаряда и испытать их в период с октября 1946 г. по начало 1947 г. По штату в КБ-4 должно было быть 36 немецких и 21 советский специалист, фактически же в июле 1946 г. было 17 немцев во главе в Троммсдорфом и четыре советских специалиста. К середине августа прибавилось еще два советских специалиста. Понятно, что возможности КБ-4 для реализации такого сложного проекта были недостаточны. Поэтому в КБ-4 были выполнены лишь следующие работы:</w:t>
      </w:r>
    </w:p>
    <w:p w14:paraId="1BB85CBB"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 разработан технический проект снаряда с ПВРД;</w:t>
      </w:r>
    </w:p>
    <w:p w14:paraId="0ACA3260"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 разработаны чертежи моделей снаряда и изготовлены 3 модели для продувок в сверхзвуковом аэродинамическом канале.</w:t>
      </w:r>
    </w:p>
    <w:p w14:paraId="09FB4872"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К сожалению, снаряд Троммсдорфа так и не поступил на вооружение Советской армии. На мой взгляд, основных причин тут три. Первая — субъективная: гибель Троммсдорфа в авиационной катастрофе в 1946 г.; вторая — для изготовления таких снарядов требовались высокие технологии, а их в конце 1940-х годов в СССР не было; третья причина — смещение приоритетов советского руководства в сторону ядерного оружия, баллистических и зенитных управляемых ракет (15225).</w:t>
      </w:r>
    </w:p>
    <w:p w14:paraId="08170067" w14:textId="77777777" w:rsidR="007C630F" w:rsidRPr="00925F26" w:rsidRDefault="007C630F" w:rsidP="00925F26">
      <w:pPr>
        <w:pStyle w:val="book"/>
        <w:ind w:firstLine="0"/>
        <w:jc w:val="both"/>
        <w:rPr>
          <w:color w:val="000000" w:themeColor="text1"/>
          <w:sz w:val="16"/>
          <w:szCs w:val="16"/>
        </w:rPr>
      </w:pPr>
    </w:p>
    <w:p w14:paraId="757731BA"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 xml:space="preserve">К маю 1945 г. ракета «Вассерфаль» была готова к серийному производству. «Вассерфаль» («Водопад») была разработана в Пенемюнде под руководством Вернера фон Брауна и внешне ракета представляла собой в два раза уменьшенную копию баллистической ракеты ФАУ-2. «Вассерфаль» имела радиокомандную систему наведения с использованием двух РЛС. Одна РЛС следила за целью, а вторая отслеживала ЗУР. При этом обе отметки (от цели и от ракеты) выводились на одну электронно-лучевую трубку. Оператор с помощью ручки управления на так называемом «кнюппеле» старался совместить на экране отметки от цели и ЗУР. Сигналы от «кнюппеля» поступали в счетно-решающее устройство фирмы «Сименс», где вырабатывались необходимые команды, которые </w:t>
      </w:r>
      <w:proofErr w:type="gramStart"/>
      <w:r w:rsidRPr="00925F26">
        <w:rPr>
          <w:color w:val="000000" w:themeColor="text1"/>
          <w:sz w:val="16"/>
          <w:szCs w:val="16"/>
        </w:rPr>
        <w:t>через передатчик</w:t>
      </w:r>
      <w:proofErr w:type="gramEnd"/>
      <w:r w:rsidRPr="00925F26">
        <w:rPr>
          <w:color w:val="000000" w:themeColor="text1"/>
          <w:sz w:val="16"/>
          <w:szCs w:val="16"/>
        </w:rPr>
        <w:t xml:space="preserve"> по радиоканалу передавали на ракету. Пуск ракеты производился вертикально с особого пускового стола. В полете ракета управлялась с помощью газовых и аэродинамических рулей. Боевая часть ракеты «Вассерфаль» содержала от 100 до 150 кг взрывчатого вещества. Для ракеты было спроектировано четыре типа взрывателей (два радиовзрывателя, один инфракрасный и один оптический). В 1947 году рабочие чертежи ракеты Р-101, созданной на базе «Вассерфаль», были запущены в производство. В кооперацию по разработке ракеты Р-101 входили: НИИ-49 — работы по счетно-решающему прибору; НИИ-504 — неконтактные взрыватели; НИИ-885 МПСС — головной по системе управления и по радиоканалу управления; завод № 528 — самонаводящиеся головки; завод № 523 — газовые рули; НИИ-20 MB — по радиопеленгационному визированию; НИИ-627 — источники питания. В ноябре 1948 г. на полигон Капустин Яр была отправлена первая партия ракет Р-101 в количестве 12 штук с комплексом наземного оборудования, и еще две ракеты для огневых испытаний на передвижном огневом стенде. Ракеты были изготовлены из отечественных материалов, за исключением бортовых приборов управления, изготовленных в Германии. На ракетах стоял ЖРД C08.10L разработанный по немецкому образцу ЖРД для «Вассерфаль» в отделе № 8 Н.Л. Уманского. Первый этап испытаний в объеме 12 пусков Р-101 был проведен с 1 января по 1 марта 1949 г. При первом же пуске выявилась неустойчивость полета по крену (вращение). На дальнейших пусках наблюдались колебания ракеты по тангажу и крену. В основном все последующие пуски были посвящены устранению этих неполадок, но при этом дополнительно в программу экспериментальных пусков включались различные параметры. Ракеты запускались в разных комплектациях. В результате этих пусков были выявлены недостатки использования четырех рулей для компенсации крена. По результатам испытаний была произведена доработка и модернизация ракеты. К концу 1949 г. изготовили 18 ракет Р-101 со схемными и конструктивными изменениями. Летные испытания второго этапа начались в декабре 1949 г. и были закончены в январе 1950 г. Теперь ракета имела улучшенную аэродинамическую схему, а также ряд конструктивных улучшений в аппаратуре управления. В ходе второго этапа летных испытаний выяснилось, что изменения, внесенные в конструкцию ракеты, в основном устранили недостатки, имевшиеся при первом этапе летных испытаний. Был отмечен ряд значительных достижений в части устойчивого прохождения зоны звуковой скорости и управляемости ракеты. Но при этом обнаружился ряд новых существенных недостатков, которые не позволяли довести конструкцию ракеты до боевого образца. И вновь начались доработки ракеты. Были разработаны три новые модификации — Р-101А, Р-101Б и Р-101В. Разработка ракеты сильно затянулась. Из-за этого, а также в связи с началом работ по теме «Беркут» 17 августа 1951 г. работы над Р-101 были прекращены. Любопытно, что с 1947 г. в ЦКБ-17 был разработан проект вооружения зенитными ракетами «Вассерфаль» надводных кораблей советского флота. Так, было создано два варианта вооружения зенитными ракетами Р-101 (типа «Вассерфаль») эсминца проекта 41. В первом варианте на эсминце размещалась одна пусковая установка и 9 ракет, а во втором — две пусковые установки и 15 ракет. В обоих вариантах 130-мм артустановки демонтировались. Вариант установки Р-101 на крейсере проекта 68К предусматривал установку четырех пусковых установок и 43 ракет. Эти варианты не были реализованы в связи с прекращением работ над Р-101. Тем не менее работы над Р-101 не пропали даром. В 1951 г. в НИИ-88 был разработан эскизный проект малогабаритной и долго хранящейся в заправленном состоянии баллистической ракеты Р-11. В ракете Р-11 были использованы узлы и агрегаты от Р-101. Да и первые стрельбы Р-11 весной 1953 г. на полигоне Капустин Яр производились с помощью пускового оборудования от Р-101 (15225).</w:t>
      </w:r>
    </w:p>
    <w:p w14:paraId="78BBA341" w14:textId="77777777" w:rsidR="007C630F" w:rsidRPr="00925F26" w:rsidRDefault="007C630F" w:rsidP="00925F26">
      <w:pPr>
        <w:pStyle w:val="book"/>
        <w:ind w:firstLine="0"/>
        <w:jc w:val="both"/>
        <w:rPr>
          <w:color w:val="000000" w:themeColor="text1"/>
          <w:sz w:val="16"/>
          <w:szCs w:val="16"/>
        </w:rPr>
      </w:pPr>
    </w:p>
    <w:p w14:paraId="00490B67" w14:textId="77777777" w:rsidR="003B1DCF" w:rsidRPr="001A0BAA" w:rsidRDefault="003B1DCF" w:rsidP="003B1DCF">
      <w:pPr>
        <w:jc w:val="both"/>
        <w:rPr>
          <w:color w:val="0070C0"/>
          <w:sz w:val="16"/>
          <w:szCs w:val="16"/>
        </w:rPr>
      </w:pPr>
      <w:r w:rsidRPr="001A0BAA">
        <w:rPr>
          <w:color w:val="0070C0"/>
          <w:sz w:val="16"/>
          <w:szCs w:val="16"/>
        </w:rPr>
        <w:t>К маю 1945 года Ла-7 начали поступать в авиацию ПВО, но участвовать в боевых действиях им не довелось (24988).</w:t>
      </w:r>
    </w:p>
    <w:p w14:paraId="0D471BD4" w14:textId="77777777" w:rsidR="003B1DCF" w:rsidRPr="001A0BAA" w:rsidRDefault="003B1DCF" w:rsidP="003B1DCF">
      <w:pPr>
        <w:jc w:val="both"/>
        <w:rPr>
          <w:color w:val="0070C0"/>
          <w:sz w:val="16"/>
          <w:szCs w:val="16"/>
        </w:rPr>
      </w:pPr>
    </w:p>
    <w:p w14:paraId="1279F7F3" w14:textId="77777777" w:rsidR="003B1DCF" w:rsidRPr="001A0BAA" w:rsidRDefault="003B1DCF" w:rsidP="003B1DCF">
      <w:pPr>
        <w:jc w:val="both"/>
        <w:rPr>
          <w:color w:val="0070C0"/>
          <w:sz w:val="16"/>
          <w:szCs w:val="16"/>
        </w:rPr>
      </w:pPr>
      <w:r w:rsidRPr="001A0BAA">
        <w:rPr>
          <w:color w:val="0070C0"/>
          <w:sz w:val="16"/>
          <w:szCs w:val="16"/>
        </w:rPr>
        <w:t>К маю 1945 г., к концу войны Аэрофлот выполнял следующие международные регулярные рейсы:</w:t>
      </w:r>
    </w:p>
    <w:p w14:paraId="6C29D767" w14:textId="77777777" w:rsidR="003B1DCF" w:rsidRPr="001A0BAA" w:rsidRDefault="003B1DCF" w:rsidP="003B1DCF">
      <w:pPr>
        <w:jc w:val="both"/>
        <w:rPr>
          <w:color w:val="0070C0"/>
          <w:sz w:val="16"/>
          <w:szCs w:val="16"/>
        </w:rPr>
      </w:pPr>
      <w:r w:rsidRPr="001A0BAA">
        <w:rPr>
          <w:color w:val="0070C0"/>
          <w:sz w:val="16"/>
          <w:szCs w:val="16"/>
        </w:rPr>
        <w:t>• Москва-Красноярск-Уэлькаль-Фэрбенкс</w:t>
      </w:r>
    </w:p>
    <w:p w14:paraId="1C39781E" w14:textId="77777777" w:rsidR="003B1DCF" w:rsidRPr="001A0BAA" w:rsidRDefault="003B1DCF" w:rsidP="003B1DCF">
      <w:pPr>
        <w:jc w:val="both"/>
        <w:rPr>
          <w:color w:val="0070C0"/>
          <w:sz w:val="16"/>
          <w:szCs w:val="16"/>
        </w:rPr>
      </w:pPr>
      <w:r w:rsidRPr="001A0BAA">
        <w:rPr>
          <w:color w:val="0070C0"/>
          <w:sz w:val="16"/>
          <w:szCs w:val="16"/>
        </w:rPr>
        <w:t>9 923 км, C-47, четыре раза в месяц;</w:t>
      </w:r>
    </w:p>
    <w:p w14:paraId="63C1C760" w14:textId="77777777" w:rsidR="003B1DCF" w:rsidRPr="001A0BAA" w:rsidRDefault="003B1DCF" w:rsidP="003B1DCF">
      <w:pPr>
        <w:jc w:val="both"/>
        <w:rPr>
          <w:color w:val="0070C0"/>
          <w:sz w:val="16"/>
          <w:szCs w:val="16"/>
        </w:rPr>
      </w:pPr>
      <w:r w:rsidRPr="001A0BAA">
        <w:rPr>
          <w:color w:val="0070C0"/>
          <w:sz w:val="16"/>
          <w:szCs w:val="16"/>
        </w:rPr>
        <w:t xml:space="preserve">• Москва-Баку-Тегеран </w:t>
      </w:r>
    </w:p>
    <w:p w14:paraId="1C0A9BB9" w14:textId="77777777" w:rsidR="003B1DCF" w:rsidRPr="001A0BAA" w:rsidRDefault="003B1DCF" w:rsidP="003B1DCF">
      <w:pPr>
        <w:jc w:val="both"/>
        <w:rPr>
          <w:color w:val="0070C0"/>
          <w:sz w:val="16"/>
          <w:szCs w:val="16"/>
        </w:rPr>
      </w:pPr>
      <w:r w:rsidRPr="001A0BAA">
        <w:rPr>
          <w:color w:val="0070C0"/>
          <w:sz w:val="16"/>
          <w:szCs w:val="16"/>
        </w:rPr>
        <w:t>4 460 км, C-47, ежедневно;</w:t>
      </w:r>
    </w:p>
    <w:p w14:paraId="5E04C69F" w14:textId="77777777" w:rsidR="003B1DCF" w:rsidRPr="001A0BAA" w:rsidRDefault="003B1DCF" w:rsidP="003B1DCF">
      <w:pPr>
        <w:jc w:val="both"/>
        <w:rPr>
          <w:color w:val="0070C0"/>
          <w:sz w:val="16"/>
          <w:szCs w:val="16"/>
        </w:rPr>
      </w:pPr>
      <w:r w:rsidRPr="001A0BAA">
        <w:rPr>
          <w:color w:val="0070C0"/>
          <w:sz w:val="16"/>
          <w:szCs w:val="16"/>
        </w:rPr>
        <w:t>• Москва-Ташкент-Кабул</w:t>
      </w:r>
    </w:p>
    <w:p w14:paraId="7844A75D" w14:textId="77777777" w:rsidR="003B1DCF" w:rsidRPr="001A0BAA" w:rsidRDefault="003B1DCF" w:rsidP="003B1DCF">
      <w:pPr>
        <w:jc w:val="both"/>
        <w:rPr>
          <w:color w:val="0070C0"/>
          <w:sz w:val="16"/>
          <w:szCs w:val="16"/>
        </w:rPr>
      </w:pPr>
      <w:r w:rsidRPr="001A0BAA">
        <w:rPr>
          <w:color w:val="0070C0"/>
          <w:sz w:val="16"/>
          <w:szCs w:val="16"/>
        </w:rPr>
        <w:t>3 920 км, Ли-2, четыре раза в месяц;</w:t>
      </w:r>
    </w:p>
    <w:p w14:paraId="7CD5804F" w14:textId="77777777" w:rsidR="003B1DCF" w:rsidRPr="001A0BAA" w:rsidRDefault="003B1DCF" w:rsidP="003B1DCF">
      <w:pPr>
        <w:jc w:val="both"/>
        <w:rPr>
          <w:color w:val="0070C0"/>
          <w:sz w:val="16"/>
          <w:szCs w:val="16"/>
        </w:rPr>
      </w:pPr>
      <w:r w:rsidRPr="001A0BAA">
        <w:rPr>
          <w:color w:val="0070C0"/>
          <w:sz w:val="16"/>
          <w:szCs w:val="16"/>
        </w:rPr>
        <w:t>• Москва-Улан-Удэ-Улан-Батор</w:t>
      </w:r>
    </w:p>
    <w:p w14:paraId="25A85BB3" w14:textId="77777777" w:rsidR="003B1DCF" w:rsidRPr="001A0BAA" w:rsidRDefault="003B1DCF" w:rsidP="003B1DCF">
      <w:pPr>
        <w:jc w:val="both"/>
        <w:rPr>
          <w:color w:val="0070C0"/>
          <w:sz w:val="16"/>
          <w:szCs w:val="16"/>
        </w:rPr>
      </w:pPr>
      <w:r w:rsidRPr="001A0BAA">
        <w:rPr>
          <w:color w:val="0070C0"/>
          <w:sz w:val="16"/>
          <w:szCs w:val="16"/>
        </w:rPr>
        <w:t>5 951 км, С-47, каждый второй день;</w:t>
      </w:r>
    </w:p>
    <w:p w14:paraId="46D2A563" w14:textId="77777777" w:rsidR="003B1DCF" w:rsidRPr="001A0BAA" w:rsidRDefault="003B1DCF" w:rsidP="003B1DCF">
      <w:pPr>
        <w:jc w:val="both"/>
        <w:rPr>
          <w:color w:val="0070C0"/>
          <w:sz w:val="16"/>
          <w:szCs w:val="16"/>
        </w:rPr>
      </w:pPr>
      <w:r w:rsidRPr="001A0BAA">
        <w:rPr>
          <w:color w:val="0070C0"/>
          <w:sz w:val="16"/>
          <w:szCs w:val="16"/>
        </w:rPr>
        <w:t xml:space="preserve">• </w:t>
      </w:r>
      <w:r w:rsidRPr="001A0BAA">
        <w:rPr>
          <w:i/>
          <w:iCs/>
          <w:color w:val="0070C0"/>
          <w:sz w:val="16"/>
          <w:szCs w:val="16"/>
        </w:rPr>
        <w:t>Москва-Алма-Ата-Хами</w:t>
      </w:r>
    </w:p>
    <w:p w14:paraId="1A1FAC1F" w14:textId="77777777" w:rsidR="003B1DCF" w:rsidRPr="001A0BAA" w:rsidRDefault="003B1DCF" w:rsidP="003B1DCF">
      <w:pPr>
        <w:jc w:val="both"/>
        <w:rPr>
          <w:color w:val="0070C0"/>
          <w:sz w:val="16"/>
          <w:szCs w:val="16"/>
        </w:rPr>
      </w:pPr>
      <w:r w:rsidRPr="001A0BAA">
        <w:rPr>
          <w:color w:val="0070C0"/>
          <w:sz w:val="16"/>
          <w:szCs w:val="16"/>
        </w:rPr>
        <w:t>5 218 км, С-47, каждый второй день;</w:t>
      </w:r>
    </w:p>
    <w:p w14:paraId="4C1ADCFB" w14:textId="77777777" w:rsidR="003B1DCF" w:rsidRPr="001A0BAA" w:rsidRDefault="003B1DCF" w:rsidP="003B1DCF">
      <w:pPr>
        <w:jc w:val="both"/>
        <w:rPr>
          <w:color w:val="0070C0"/>
          <w:sz w:val="16"/>
          <w:szCs w:val="16"/>
        </w:rPr>
      </w:pPr>
      <w:r w:rsidRPr="001A0BAA">
        <w:rPr>
          <w:color w:val="0070C0"/>
          <w:sz w:val="16"/>
          <w:szCs w:val="16"/>
        </w:rPr>
        <w:t>• Москва-Красноярск-Кызыл (Тува)</w:t>
      </w:r>
    </w:p>
    <w:p w14:paraId="3D9C5A1B" w14:textId="77777777" w:rsidR="003B1DCF" w:rsidRPr="001A0BAA" w:rsidRDefault="003B1DCF" w:rsidP="003B1DCF">
      <w:pPr>
        <w:jc w:val="both"/>
        <w:rPr>
          <w:color w:val="0070C0"/>
          <w:sz w:val="16"/>
          <w:szCs w:val="16"/>
        </w:rPr>
      </w:pPr>
      <w:r w:rsidRPr="001A0BAA">
        <w:rPr>
          <w:color w:val="0070C0"/>
          <w:sz w:val="16"/>
          <w:szCs w:val="16"/>
        </w:rPr>
        <w:t>4 209 км, Ли-2, четыре раза в месяц.</w:t>
      </w:r>
    </w:p>
    <w:p w14:paraId="32399E3E" w14:textId="77777777" w:rsidR="003B1DCF" w:rsidRPr="001A0BAA" w:rsidRDefault="003B1DCF" w:rsidP="003B1DCF">
      <w:pPr>
        <w:jc w:val="both"/>
        <w:rPr>
          <w:color w:val="0070C0"/>
          <w:sz w:val="16"/>
          <w:szCs w:val="16"/>
        </w:rPr>
      </w:pPr>
      <w:r w:rsidRPr="001A0BAA">
        <w:rPr>
          <w:color w:val="0070C0"/>
          <w:sz w:val="16"/>
          <w:szCs w:val="16"/>
        </w:rPr>
        <w:t>После победы Аэрофлот немедленно наладил регулярные воздушные сообщения с оккупированными странами на правах оккупации. Вот первые маршруты 1945 года:</w:t>
      </w:r>
    </w:p>
    <w:p w14:paraId="67788198" w14:textId="77777777" w:rsidR="003B1DCF" w:rsidRPr="001A0BAA" w:rsidRDefault="003B1DCF" w:rsidP="003B1DCF">
      <w:pPr>
        <w:jc w:val="both"/>
        <w:rPr>
          <w:color w:val="0070C0"/>
          <w:sz w:val="16"/>
          <w:szCs w:val="16"/>
        </w:rPr>
      </w:pPr>
      <w:r w:rsidRPr="001A0BAA">
        <w:rPr>
          <w:color w:val="0070C0"/>
          <w:sz w:val="16"/>
          <w:szCs w:val="16"/>
        </w:rPr>
        <w:t>• Москва-Берлин • Москва-Вена</w:t>
      </w:r>
    </w:p>
    <w:p w14:paraId="15109297" w14:textId="77777777" w:rsidR="003B1DCF" w:rsidRPr="001A0BAA" w:rsidRDefault="003B1DCF" w:rsidP="003B1DCF">
      <w:pPr>
        <w:jc w:val="both"/>
        <w:rPr>
          <w:color w:val="0070C0"/>
          <w:sz w:val="16"/>
          <w:szCs w:val="16"/>
        </w:rPr>
      </w:pPr>
      <w:r w:rsidRPr="001A0BAA">
        <w:rPr>
          <w:color w:val="0070C0"/>
          <w:sz w:val="16"/>
          <w:szCs w:val="16"/>
        </w:rPr>
        <w:t>Сразу же начались регулярные рейсы в страны, освобожденные Красной Армией.</w:t>
      </w:r>
    </w:p>
    <w:p w14:paraId="37D473B0" w14:textId="77777777" w:rsidR="003B1DCF" w:rsidRPr="001A0BAA" w:rsidRDefault="003B1DCF" w:rsidP="003B1DCF">
      <w:pPr>
        <w:jc w:val="both"/>
        <w:rPr>
          <w:color w:val="0070C0"/>
          <w:sz w:val="16"/>
          <w:szCs w:val="16"/>
        </w:rPr>
      </w:pPr>
      <w:r w:rsidRPr="001A0BAA">
        <w:rPr>
          <w:color w:val="0070C0"/>
          <w:sz w:val="16"/>
          <w:szCs w:val="16"/>
        </w:rPr>
        <w:t>С большинством стран, где стояла Красная Армия, были созданы совместные авиакомпании – не в последнюю очередь с целью создания эффективных авиатранспортных компаний:</w:t>
      </w:r>
    </w:p>
    <w:p w14:paraId="6C66EFB1" w14:textId="77777777" w:rsidR="003B1DCF" w:rsidRPr="001A0BAA" w:rsidRDefault="003B1DCF" w:rsidP="003B1DCF">
      <w:pPr>
        <w:jc w:val="both"/>
        <w:rPr>
          <w:color w:val="0070C0"/>
          <w:sz w:val="16"/>
          <w:szCs w:val="16"/>
        </w:rPr>
      </w:pPr>
      <w:r w:rsidRPr="001A0BAA">
        <w:rPr>
          <w:color w:val="0070C0"/>
          <w:sz w:val="16"/>
          <w:szCs w:val="16"/>
        </w:rPr>
        <w:t>• советско-румынская ТАRS 8 августа 1945 г;</w:t>
      </w:r>
    </w:p>
    <w:p w14:paraId="44064174" w14:textId="77777777" w:rsidR="003B1DCF" w:rsidRPr="001A0BAA" w:rsidRDefault="003B1DCF" w:rsidP="003B1DCF">
      <w:pPr>
        <w:jc w:val="both"/>
        <w:rPr>
          <w:color w:val="0070C0"/>
          <w:sz w:val="16"/>
          <w:szCs w:val="16"/>
        </w:rPr>
      </w:pPr>
      <w:r w:rsidRPr="001A0BAA">
        <w:rPr>
          <w:color w:val="0070C0"/>
          <w:sz w:val="16"/>
          <w:szCs w:val="16"/>
        </w:rPr>
        <w:t>• советско-венгерская Maszovlet 23 марта 1946 г;</w:t>
      </w:r>
    </w:p>
    <w:p w14:paraId="3F09C533" w14:textId="77777777" w:rsidR="003B1DCF" w:rsidRPr="001A0BAA" w:rsidRDefault="003B1DCF" w:rsidP="003B1DCF">
      <w:pPr>
        <w:jc w:val="both"/>
        <w:rPr>
          <w:color w:val="0070C0"/>
          <w:sz w:val="16"/>
          <w:szCs w:val="16"/>
        </w:rPr>
      </w:pPr>
      <w:r w:rsidRPr="001A0BAA">
        <w:rPr>
          <w:color w:val="0070C0"/>
          <w:sz w:val="16"/>
          <w:szCs w:val="16"/>
        </w:rPr>
        <w:t>• советско-югославская JUSTA в 1947 году (параллельно с JAT);</w:t>
      </w:r>
    </w:p>
    <w:p w14:paraId="74DF08FF" w14:textId="77777777" w:rsidR="003B1DCF" w:rsidRPr="001A0BAA" w:rsidRDefault="003B1DCF" w:rsidP="003B1DCF">
      <w:pPr>
        <w:jc w:val="both"/>
        <w:rPr>
          <w:color w:val="0070C0"/>
          <w:sz w:val="16"/>
          <w:szCs w:val="16"/>
        </w:rPr>
      </w:pPr>
      <w:r w:rsidRPr="001A0BAA">
        <w:rPr>
          <w:color w:val="0070C0"/>
          <w:sz w:val="16"/>
          <w:szCs w:val="16"/>
        </w:rPr>
        <w:t xml:space="preserve">• советско-болгарская ТАБСО 3 ноября 1948 г. </w:t>
      </w:r>
    </w:p>
    <w:p w14:paraId="2B6905D1" w14:textId="77777777" w:rsidR="003B1DCF" w:rsidRPr="001A0BAA" w:rsidRDefault="003B1DCF" w:rsidP="003B1DCF">
      <w:pPr>
        <w:jc w:val="both"/>
        <w:rPr>
          <w:color w:val="0070C0"/>
          <w:sz w:val="16"/>
          <w:szCs w:val="16"/>
        </w:rPr>
      </w:pPr>
      <w:r w:rsidRPr="001A0BAA">
        <w:rPr>
          <w:color w:val="0070C0"/>
          <w:sz w:val="16"/>
          <w:szCs w:val="16"/>
        </w:rPr>
        <w:t>Такие авиакомпании были созданы и в Азии:</w:t>
      </w:r>
    </w:p>
    <w:p w14:paraId="7710DB0B" w14:textId="77777777" w:rsidR="003B1DCF" w:rsidRPr="001A0BAA" w:rsidRDefault="003B1DCF" w:rsidP="003B1DCF">
      <w:pPr>
        <w:jc w:val="both"/>
        <w:rPr>
          <w:color w:val="0070C0"/>
          <w:sz w:val="16"/>
          <w:szCs w:val="16"/>
        </w:rPr>
      </w:pPr>
      <w:r w:rsidRPr="001A0BAA">
        <w:rPr>
          <w:color w:val="0070C0"/>
          <w:sz w:val="16"/>
          <w:szCs w:val="16"/>
        </w:rPr>
        <w:t>• советско-корейская СОКАО 12 октября 1948 г.;</w:t>
      </w:r>
    </w:p>
    <w:p w14:paraId="5CB03712" w14:textId="77777777" w:rsidR="003B1DCF" w:rsidRPr="001A0BAA" w:rsidRDefault="003B1DCF" w:rsidP="003B1DCF">
      <w:pPr>
        <w:jc w:val="both"/>
        <w:rPr>
          <w:color w:val="0070C0"/>
          <w:sz w:val="16"/>
          <w:szCs w:val="16"/>
        </w:rPr>
      </w:pPr>
      <w:r w:rsidRPr="001A0BAA">
        <w:rPr>
          <w:color w:val="0070C0"/>
          <w:sz w:val="16"/>
          <w:szCs w:val="16"/>
        </w:rPr>
        <w:t>• советско-китайская СКОГА 27 марта 1950 г. в качестве преемницы Хамиата.</w:t>
      </w:r>
    </w:p>
    <w:p w14:paraId="6F3D93F7" w14:textId="77777777" w:rsidR="003B1DCF" w:rsidRPr="001A0BAA" w:rsidRDefault="003B1DCF" w:rsidP="003B1DCF">
      <w:pPr>
        <w:jc w:val="both"/>
        <w:rPr>
          <w:color w:val="0070C0"/>
          <w:sz w:val="16"/>
          <w:szCs w:val="16"/>
        </w:rPr>
      </w:pPr>
      <w:r w:rsidRPr="001A0BAA">
        <w:rPr>
          <w:color w:val="0070C0"/>
          <w:sz w:val="16"/>
          <w:szCs w:val="16"/>
        </w:rPr>
        <w:t>В случае с Польшей и Чехословацкой Республикой, которые входили в состав государств-победителей, они были подтверждены соглашениями о воздушном сообщении. Собственные авиакомпании обеих стран также возобновили работу после войны (LOT и CSA).</w:t>
      </w:r>
    </w:p>
    <w:p w14:paraId="2862502F" w14:textId="77777777" w:rsidR="003B1DCF" w:rsidRPr="001A0BAA" w:rsidRDefault="003B1DCF" w:rsidP="003B1DCF">
      <w:pPr>
        <w:jc w:val="both"/>
        <w:rPr>
          <w:color w:val="0070C0"/>
          <w:sz w:val="16"/>
          <w:szCs w:val="16"/>
        </w:rPr>
      </w:pPr>
      <w:r w:rsidRPr="001A0BAA">
        <w:rPr>
          <w:color w:val="0070C0"/>
          <w:sz w:val="16"/>
          <w:szCs w:val="16"/>
        </w:rPr>
        <w:t>• Москва-Варшава СВС 21 марта 1946 г.</w:t>
      </w:r>
    </w:p>
    <w:p w14:paraId="5EAAF2D0" w14:textId="77777777" w:rsidR="003B1DCF" w:rsidRPr="001A0BAA" w:rsidRDefault="003B1DCF" w:rsidP="003B1DCF">
      <w:pPr>
        <w:jc w:val="both"/>
        <w:rPr>
          <w:color w:val="0070C0"/>
          <w:sz w:val="16"/>
          <w:szCs w:val="16"/>
        </w:rPr>
      </w:pPr>
      <w:r w:rsidRPr="001A0BAA">
        <w:rPr>
          <w:color w:val="0070C0"/>
          <w:sz w:val="16"/>
          <w:szCs w:val="16"/>
        </w:rPr>
        <w:t>• Москва-Прага СВС 25 июля 1946 г.</w:t>
      </w:r>
    </w:p>
    <w:p w14:paraId="5F320A4D" w14:textId="77777777" w:rsidR="003B1DCF" w:rsidRPr="001A0BAA" w:rsidRDefault="003B1DCF" w:rsidP="003B1DCF">
      <w:pPr>
        <w:jc w:val="both"/>
        <w:rPr>
          <w:color w:val="0070C0"/>
          <w:sz w:val="16"/>
          <w:szCs w:val="16"/>
        </w:rPr>
      </w:pPr>
      <w:r w:rsidRPr="001A0BAA">
        <w:rPr>
          <w:color w:val="0070C0"/>
          <w:sz w:val="16"/>
          <w:szCs w:val="16"/>
        </w:rPr>
        <w:t>Оставалась Германия. (25659).</w:t>
      </w:r>
    </w:p>
    <w:p w14:paraId="1DC205AA" w14:textId="77777777" w:rsidR="003B1DCF" w:rsidRPr="001A0BAA" w:rsidRDefault="003B1DCF" w:rsidP="003B1DCF">
      <w:pPr>
        <w:jc w:val="both"/>
        <w:rPr>
          <w:color w:val="0070C0"/>
          <w:sz w:val="16"/>
          <w:szCs w:val="16"/>
        </w:rPr>
      </w:pPr>
    </w:p>
    <w:p w14:paraId="5172EA06" w14:textId="77777777" w:rsidR="00823A00"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088DA4C" w14:textId="77777777" w:rsidR="00823A00" w:rsidRPr="00925F26" w:rsidRDefault="00823A00" w:rsidP="00925F26">
      <w:pPr>
        <w:autoSpaceDE w:val="0"/>
        <w:autoSpaceDN w:val="0"/>
        <w:adjustRightInd w:val="0"/>
        <w:jc w:val="both"/>
        <w:rPr>
          <w:iCs/>
          <w:color w:val="000000" w:themeColor="text1"/>
          <w:sz w:val="16"/>
          <w:szCs w:val="16"/>
        </w:rPr>
      </w:pPr>
    </w:p>
    <w:p w14:paraId="5D2B6196" w14:textId="183CC35A"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К маю 1945 года был готов предварительный вариант нового тяжелого танка «объект 257», также получившего обозначение ИС-7 конструкторского бюро опытного завода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100</w:t>
      </w:r>
      <w:proofErr w:type="gramEnd"/>
      <w:r w:rsidRPr="00925F26">
        <w:rPr>
          <w:color w:val="000000" w:themeColor="text1"/>
          <w:sz w:val="16"/>
          <w:szCs w:val="16"/>
        </w:rPr>
        <w:t xml:space="preserve">. Он был одобрен руководством наркомата танковой промышленности, и к сентябрю было подготовлено четыре эскизных проекта ИС-7 («объект 258», «объект 259», «объект 260» и «объект 261»), причем каждый в двух вариантах. Между собой они отличались массой (самый легкий 59,7 тонны, самый тяжелый -65,2), </w:t>
      </w:r>
      <w:r w:rsidRPr="00925F26">
        <w:rPr>
          <w:color w:val="000000" w:themeColor="text1"/>
          <w:sz w:val="16"/>
          <w:szCs w:val="16"/>
        </w:rPr>
        <w:lastRenderedPageBreak/>
        <w:t>артиллерийским вооружением (122-мм пушка БЛ-13-1 или 130-мм С-26), экипажем (четыре или пять человек в зависимости от орудия), силовой установкой (дизель КЧ-30 в 1200 л.с. или спарка дизелей В-16 по 600 л.с. каждый) и трансмиссией (механическая или электромеханическая). По бронированию все машины имели одинаковые параметры (лоб корпуса 150 мм, борт 100 мм, корма 70 мм, лоб литой башни 240–350 мм, борт башни 185–240 мм).</w:t>
      </w:r>
    </w:p>
    <w:p w14:paraId="644B985F" w14:textId="3865A905"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В ходовой части предполагалось использование индивидуальной двухвальной торсионной подвески по схеме «торсион в трубе», гидроамортизаторов двухстороннего действия, опорных катков большого диаметра с внутренней амортизацией и гусеницы с резинометаллическим шарниром. Максимальная расчетная скорость должна была составлять </w:t>
      </w:r>
      <w:proofErr w:type="gramStart"/>
      <w:r w:rsidRPr="00925F26">
        <w:rPr>
          <w:color w:val="000000" w:themeColor="text1"/>
          <w:sz w:val="16"/>
          <w:szCs w:val="16"/>
        </w:rPr>
        <w:t>60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/ч.</w:t>
      </w:r>
    </w:p>
    <w:p w14:paraId="43216F65"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Для более эффективного ведения огня все машины предполагалось оснастить оптическим дальномером и приборами ночного видения для командира танка и механика-водителя.</w:t>
      </w:r>
    </w:p>
    <w:p w14:paraId="74BB4B55"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В целом предполагалось, что новая боевая машина воплотит в себе весь опыт, накопленный при конструировании, эксплуатации и боевом применении тяжелых танков в годы войны, а также все новые достижения в науке и оборонной промышленности.</w:t>
      </w:r>
    </w:p>
    <w:p w14:paraId="5045ED52"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В октябре 1945 года проекты представили на рассмотрение технического совета наркомата танковой промышленности, а также Главного бронетанкового управления командования Бронетанковых и механизированных войск. Также в обсуждении вариантов нового тяжелого танка участвовали представители наркоматов вооружения и авиационной промышленности (последний разрабатывал двигатель для нового тяжелого танка).</w:t>
      </w:r>
    </w:p>
    <w:p w14:paraId="25AE3CEE" w14:textId="5C7AF1B5"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В целом представленные конструкторами опытного завода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100</w:t>
      </w:r>
      <w:proofErr w:type="gramEnd"/>
      <w:r w:rsidRPr="00925F26">
        <w:rPr>
          <w:color w:val="000000" w:themeColor="text1"/>
          <w:sz w:val="16"/>
          <w:szCs w:val="16"/>
        </w:rPr>
        <w:t xml:space="preserve"> разработки получили одобрение. Но для изготовления опытных образцов требовалось получить «добро» в правительстве СССР. Поэтому по результатам рассмотрения проектов нового тяжелого танка была составлена пояснительная записка на имя Л. Берия</w:t>
      </w:r>
      <w:hyperlink r:id="rId108" w:anchor="n_5" w:history="1">
        <w:r w:rsidRPr="00925F26">
          <w:rPr>
            <w:rStyle w:val="a5"/>
            <w:color w:val="000000" w:themeColor="text1"/>
            <w:sz w:val="16"/>
            <w:szCs w:val="16"/>
          </w:rPr>
          <w:t>[5]</w:t>
        </w:r>
      </w:hyperlink>
      <w:r w:rsidRPr="00925F26">
        <w:rPr>
          <w:color w:val="000000" w:themeColor="text1"/>
          <w:sz w:val="16"/>
          <w:szCs w:val="16"/>
        </w:rPr>
        <w:t>, в которой говорилось:</w:t>
      </w:r>
    </w:p>
    <w:p w14:paraId="28643DA5" w14:textId="76B0D805"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«Конструкторское бюро тов. Котина разработало новый тяжелый танк, значительно превосходящий все существующие отечественные и зарубежные образцы. При весе в 65 тонн он вооружен 130-мм пушкой конструкции ЦАКБ НКВ, бронебойный снаряд которой при массе </w:t>
      </w:r>
      <w:proofErr w:type="gramStart"/>
      <w:r w:rsidRPr="00925F26">
        <w:rPr>
          <w:color w:val="000000" w:themeColor="text1"/>
          <w:sz w:val="16"/>
          <w:szCs w:val="16"/>
        </w:rPr>
        <w:t>34</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имеет начальную скорость </w:t>
      </w:r>
      <w:proofErr w:type="gramStart"/>
      <w:r w:rsidRPr="00925F26">
        <w:rPr>
          <w:color w:val="000000" w:themeColor="text1"/>
          <w:sz w:val="16"/>
          <w:szCs w:val="16"/>
        </w:rPr>
        <w:t>900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/с. Эта пушка по дульной энергии (1380 тонно-метров) в 1,9 раза превосходит 122-мм танковую пушку Д-25Т, и обеспечивает пробитие брони толщиной в 230 мм на дистанции </w:t>
      </w:r>
      <w:proofErr w:type="gramStart"/>
      <w:r w:rsidRPr="00925F26">
        <w:rPr>
          <w:color w:val="000000" w:themeColor="text1"/>
          <w:sz w:val="16"/>
          <w:szCs w:val="16"/>
        </w:rPr>
        <w:t>1000</w:t>
      </w:r>
      <w:r w:rsidR="00997EDF" w:rsidRPr="00925F26">
        <w:rPr>
          <w:color w:val="000000" w:themeColor="text1"/>
          <w:sz w:val="16"/>
          <w:szCs w:val="16"/>
        </w:rPr>
        <w:t xml:space="preserve">  </w:t>
      </w:r>
      <w:r w:rsidRPr="00925F26">
        <w:rPr>
          <w:color w:val="000000" w:themeColor="text1"/>
          <w:sz w:val="16"/>
          <w:szCs w:val="16"/>
        </w:rPr>
        <w:t>м.</w:t>
      </w:r>
      <w:proofErr w:type="gramEnd"/>
    </w:p>
    <w:p w14:paraId="289DABD9"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Для облегчения заряжания орудия предусмотрен специальный механизм, что обеспечивает скорострельность до 6–8 выстрелов в минуту…</w:t>
      </w:r>
    </w:p>
    <w:p w14:paraId="43D6738E"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Для повышения эффективности огня предполагается установить угломер, а также приборы ночного видения.</w:t>
      </w:r>
    </w:p>
    <w:p w14:paraId="151BF29E" w14:textId="7777777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Лобовая броня танка не пробивается 128-мм бронебойными снарядами с любой дистанции при курсовых углах в 30 градусов, а также выдерживает попадание кумулятивных гранат типа «Фаустпатрон» калибра 150 мм…</w:t>
      </w:r>
    </w:p>
    <w:p w14:paraId="6C375DAE" w14:textId="5FCFE127"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В качестве силовой установки используется агрегат из двух дизельных двигателей В-16 общей мощностью 1200 л.с., который в ближайшем будущем будет заменен дизелем такой же мощности. Это позволит танку иметь максимальную скорость не менее </w:t>
      </w:r>
      <w:proofErr w:type="gramStart"/>
      <w:r w:rsidRPr="00925F26">
        <w:rPr>
          <w:color w:val="000000" w:themeColor="text1"/>
          <w:sz w:val="16"/>
          <w:szCs w:val="16"/>
        </w:rPr>
        <w:t>60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/ч».</w:t>
      </w:r>
    </w:p>
    <w:p w14:paraId="2311C497" w14:textId="4D52C676"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В конце документа предлагалось поручить Кировскому заводу в Ленинграде изготовить в 1946 году два образца нового тяжелого танка и провести их испытания. Кроме того, видимо по инициативе В. Малышева в этой же записке предлагалось перевести из Челябинска в Ленинград главного конструктора опытного завода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100</w:t>
      </w:r>
      <w:proofErr w:type="gramEnd"/>
      <w:r w:rsidRPr="00925F26">
        <w:rPr>
          <w:color w:val="000000" w:themeColor="text1"/>
          <w:sz w:val="16"/>
          <w:szCs w:val="16"/>
        </w:rPr>
        <w:t xml:space="preserve"> Ж. Котина и ряд инженеров его КБ. Однако решение по данному документу последовало только в новом, 1946 году.</w:t>
      </w:r>
    </w:p>
    <w:p w14:paraId="7BAF8960" w14:textId="0B77F9F6" w:rsidR="00092917" w:rsidRPr="00925F26" w:rsidRDefault="00092917" w:rsidP="00925F26">
      <w:pPr>
        <w:pStyle w:val="ae"/>
        <w:spacing w:before="0" w:after="0"/>
        <w:jc w:val="both"/>
        <w:rPr>
          <w:color w:val="000000" w:themeColor="text1"/>
          <w:sz w:val="16"/>
          <w:szCs w:val="16"/>
        </w:rPr>
      </w:pPr>
      <w:r w:rsidRPr="00925F26">
        <w:rPr>
          <w:color w:val="000000" w:themeColor="text1"/>
          <w:sz w:val="16"/>
          <w:szCs w:val="16"/>
        </w:rPr>
        <w:t xml:space="preserve">Несмотря на это до конца 1945 года конструкторы опытного завода </w:t>
      </w:r>
      <w:proofErr w:type="gramStart"/>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100</w:t>
      </w:r>
      <w:proofErr w:type="gramEnd"/>
      <w:r w:rsidRPr="00925F26">
        <w:rPr>
          <w:color w:val="000000" w:themeColor="text1"/>
          <w:sz w:val="16"/>
          <w:szCs w:val="16"/>
        </w:rPr>
        <w:t xml:space="preserve"> провели ряд опытных работ, необходимых для дальнейшей разработки нового тяжелого танка. Например, совместно с ЦАКБ наркомата вооружения изучили возможности установки 122 и 130-мм артсистем с механизмом заряжания, а с НИИ-48 отработали вариант броневого корпуса и способы крепления броневых листов (17434).</w:t>
      </w:r>
    </w:p>
    <w:p w14:paraId="183634BE" w14:textId="77777777" w:rsidR="00092917" w:rsidRPr="00925F26" w:rsidRDefault="00092917" w:rsidP="00925F26">
      <w:pPr>
        <w:pStyle w:val="ae"/>
        <w:spacing w:before="0" w:after="0"/>
        <w:jc w:val="both"/>
        <w:rPr>
          <w:color w:val="000000" w:themeColor="text1"/>
          <w:sz w:val="16"/>
          <w:szCs w:val="16"/>
        </w:rPr>
      </w:pPr>
    </w:p>
    <w:p w14:paraId="72922314" w14:textId="77777777" w:rsidR="00823A00" w:rsidRPr="00925F26" w:rsidRDefault="00823A00" w:rsidP="00925F26">
      <w:pPr>
        <w:jc w:val="both"/>
        <w:rPr>
          <w:color w:val="000000" w:themeColor="text1"/>
          <w:sz w:val="16"/>
          <w:szCs w:val="16"/>
        </w:rPr>
      </w:pPr>
      <w:r w:rsidRPr="00925F26">
        <w:rPr>
          <w:color w:val="000000" w:themeColor="text1"/>
          <w:sz w:val="16"/>
          <w:szCs w:val="16"/>
        </w:rPr>
        <w:t>К маю 1945 за период Великой Отечественной войны завод № 174 ввел в производство целый ряд конструктивных изменений и улучшений танка Т-34 как по приказам головного завода № 183, так и по собственной инициативе. Наиболее существенными из них были следующие:</w:t>
      </w:r>
    </w:p>
    <w:p w14:paraId="6B58B019" w14:textId="77777777" w:rsidR="00823A00" w:rsidRPr="00925F26" w:rsidRDefault="00823A00" w:rsidP="00925F26">
      <w:pPr>
        <w:jc w:val="both"/>
        <w:rPr>
          <w:color w:val="000000" w:themeColor="text1"/>
          <w:sz w:val="16"/>
          <w:szCs w:val="16"/>
        </w:rPr>
      </w:pPr>
      <w:r w:rsidRPr="00925F26">
        <w:rPr>
          <w:color w:val="000000" w:themeColor="text1"/>
          <w:sz w:val="16"/>
          <w:szCs w:val="16"/>
        </w:rPr>
        <w:t>«1. Введен маслоперепускной кран, позволяющий производить разжижение масла газойлем, чем улучшились условия эксплуатации в зимнее время.</w:t>
      </w:r>
    </w:p>
    <w:p w14:paraId="44689669" w14:textId="77777777" w:rsidR="00823A00" w:rsidRPr="00925F26" w:rsidRDefault="00823A00" w:rsidP="00925F26">
      <w:pPr>
        <w:jc w:val="both"/>
        <w:rPr>
          <w:color w:val="000000" w:themeColor="text1"/>
          <w:sz w:val="16"/>
          <w:szCs w:val="16"/>
        </w:rPr>
      </w:pPr>
      <w:r w:rsidRPr="00925F26">
        <w:rPr>
          <w:color w:val="000000" w:themeColor="text1"/>
          <w:sz w:val="16"/>
          <w:szCs w:val="16"/>
        </w:rPr>
        <w:t>2. В 1943 году завод ввел в производство пятискоростную короб- Разборкатанков Т-34, прибывших для ремонта на завод № 180. Саратов, 1943год (РГАЭ).</w:t>
      </w:r>
    </w:p>
    <w:p w14:paraId="7B5F0033" w14:textId="77777777" w:rsidR="00823A00" w:rsidRPr="00925F26" w:rsidRDefault="00823A00" w:rsidP="00925F26">
      <w:pPr>
        <w:jc w:val="both"/>
        <w:rPr>
          <w:color w:val="000000" w:themeColor="text1"/>
          <w:sz w:val="16"/>
          <w:szCs w:val="16"/>
        </w:rPr>
      </w:pPr>
      <w:r w:rsidRPr="00925F26">
        <w:rPr>
          <w:color w:val="000000" w:themeColor="text1"/>
          <w:sz w:val="16"/>
          <w:szCs w:val="16"/>
        </w:rPr>
        <w:t>ку перемены передач, облегчающую переключение скоростей и увеличивающую, по сравнению с 4-х скоростной КПП, среднюю скорость движения. По узлу 5-ти скоростной КПП завод № 174 с 1944 г. является головным заводом.</w:t>
      </w:r>
    </w:p>
    <w:p w14:paraId="06979E5D" w14:textId="77777777" w:rsidR="00823A00" w:rsidRPr="00925F26" w:rsidRDefault="00823A00" w:rsidP="00925F26">
      <w:pPr>
        <w:jc w:val="both"/>
        <w:rPr>
          <w:color w:val="000000" w:themeColor="text1"/>
          <w:sz w:val="16"/>
          <w:szCs w:val="16"/>
        </w:rPr>
      </w:pPr>
      <w:r w:rsidRPr="00925F26">
        <w:rPr>
          <w:color w:val="000000" w:themeColor="text1"/>
          <w:sz w:val="16"/>
          <w:szCs w:val="16"/>
        </w:rPr>
        <w:t>3. Введен усиленный кривошип ленивца, устраняющий случаи изгиба кривошипа ленивца.</w:t>
      </w:r>
    </w:p>
    <w:p w14:paraId="01A316C1" w14:textId="77777777" w:rsidR="00823A00" w:rsidRPr="00925F26" w:rsidRDefault="00823A00" w:rsidP="00925F26">
      <w:pPr>
        <w:jc w:val="both"/>
        <w:rPr>
          <w:color w:val="000000" w:themeColor="text1"/>
          <w:sz w:val="16"/>
          <w:szCs w:val="16"/>
        </w:rPr>
      </w:pPr>
      <w:r w:rsidRPr="00925F26">
        <w:rPr>
          <w:color w:val="000000" w:themeColor="text1"/>
          <w:sz w:val="16"/>
          <w:szCs w:val="16"/>
        </w:rPr>
        <w:t>4. Для вентиляции боевого отделения введена установка вентилятора в башне.</w:t>
      </w:r>
    </w:p>
    <w:p w14:paraId="68AC89BB" w14:textId="77777777" w:rsidR="00823A00" w:rsidRPr="00925F26" w:rsidRDefault="00823A00" w:rsidP="00925F26">
      <w:pPr>
        <w:jc w:val="both"/>
        <w:rPr>
          <w:color w:val="000000" w:themeColor="text1"/>
          <w:sz w:val="16"/>
          <w:szCs w:val="16"/>
        </w:rPr>
      </w:pPr>
      <w:r w:rsidRPr="00925F26">
        <w:rPr>
          <w:color w:val="000000" w:themeColor="text1"/>
          <w:sz w:val="16"/>
          <w:szCs w:val="16"/>
        </w:rPr>
        <w:t>5. Для устранения перегрева масла в 1943 г. введен масляный радиатор.</w:t>
      </w:r>
    </w:p>
    <w:p w14:paraId="3E2CBDCD" w14:textId="77777777" w:rsidR="00823A00" w:rsidRPr="00925F26" w:rsidRDefault="00823A00" w:rsidP="00925F26">
      <w:pPr>
        <w:jc w:val="both"/>
        <w:rPr>
          <w:color w:val="000000" w:themeColor="text1"/>
          <w:sz w:val="16"/>
          <w:szCs w:val="16"/>
        </w:rPr>
      </w:pPr>
      <w:r w:rsidRPr="00925F26">
        <w:rPr>
          <w:color w:val="000000" w:themeColor="text1"/>
          <w:sz w:val="16"/>
          <w:szCs w:val="16"/>
        </w:rPr>
        <w:t>6. Введен увеличенный бункер воздухоочистителя, увеличивающий период между чистками бункера.</w:t>
      </w:r>
    </w:p>
    <w:p w14:paraId="557A31DF" w14:textId="77777777" w:rsidR="00823A00" w:rsidRPr="00925F26" w:rsidRDefault="00823A00" w:rsidP="00925F26">
      <w:pPr>
        <w:jc w:val="both"/>
        <w:rPr>
          <w:color w:val="000000" w:themeColor="text1"/>
          <w:sz w:val="16"/>
          <w:szCs w:val="16"/>
        </w:rPr>
      </w:pPr>
      <w:r w:rsidRPr="00925F26">
        <w:rPr>
          <w:color w:val="000000" w:themeColor="text1"/>
          <w:sz w:val="16"/>
          <w:szCs w:val="16"/>
        </w:rPr>
        <w:t>7. По инициативе завода проведен целый ряд мероприятий, устранивший течи масла по различным узлам машины.</w:t>
      </w:r>
    </w:p>
    <w:p w14:paraId="4BD80E07" w14:textId="77777777" w:rsidR="00823A00" w:rsidRPr="00925F26" w:rsidRDefault="00823A00" w:rsidP="00925F26">
      <w:pPr>
        <w:jc w:val="both"/>
        <w:rPr>
          <w:color w:val="000000" w:themeColor="text1"/>
          <w:sz w:val="16"/>
          <w:szCs w:val="16"/>
        </w:rPr>
      </w:pPr>
      <w:r w:rsidRPr="00925F26">
        <w:rPr>
          <w:color w:val="000000" w:themeColor="text1"/>
          <w:sz w:val="16"/>
          <w:szCs w:val="16"/>
        </w:rPr>
        <w:t>8. Введена усиленная струна бортовой передачи, устранившая имевшие место дефекты.</w:t>
      </w:r>
    </w:p>
    <w:p w14:paraId="3A9F1077" w14:textId="77777777" w:rsidR="00823A00" w:rsidRPr="00925F26" w:rsidRDefault="00823A00" w:rsidP="00925F26">
      <w:pPr>
        <w:jc w:val="both"/>
        <w:rPr>
          <w:color w:val="000000" w:themeColor="text1"/>
          <w:sz w:val="16"/>
          <w:szCs w:val="16"/>
        </w:rPr>
      </w:pPr>
      <w:r w:rsidRPr="00925F26">
        <w:rPr>
          <w:color w:val="000000" w:themeColor="text1"/>
          <w:sz w:val="16"/>
          <w:szCs w:val="16"/>
        </w:rPr>
        <w:t>9. В 1943 г. заводом начат выпуск танков с установкой улучшенного огнемета АТО-42 (ТО-43).</w:t>
      </w:r>
    </w:p>
    <w:p w14:paraId="03476A9E" w14:textId="77777777" w:rsidR="00823A00" w:rsidRPr="00925F26" w:rsidRDefault="00823A00" w:rsidP="00925F26">
      <w:pPr>
        <w:jc w:val="both"/>
        <w:rPr>
          <w:color w:val="000000" w:themeColor="text1"/>
          <w:sz w:val="16"/>
          <w:szCs w:val="16"/>
        </w:rPr>
      </w:pPr>
      <w:r w:rsidRPr="00925F26">
        <w:rPr>
          <w:color w:val="000000" w:themeColor="text1"/>
          <w:sz w:val="16"/>
          <w:szCs w:val="16"/>
        </w:rPr>
        <w:t>10. Для обеспечения кругового обзора из башни введена установка смотрового прибора МК-1У.</w:t>
      </w:r>
    </w:p>
    <w:p w14:paraId="65D1EA84" w14:textId="77777777" w:rsidR="00823A00" w:rsidRPr="00925F26" w:rsidRDefault="00823A00" w:rsidP="00925F26">
      <w:pPr>
        <w:jc w:val="both"/>
        <w:rPr>
          <w:color w:val="000000" w:themeColor="text1"/>
          <w:sz w:val="16"/>
          <w:szCs w:val="16"/>
        </w:rPr>
      </w:pPr>
      <w:r w:rsidRPr="00925F26">
        <w:rPr>
          <w:color w:val="000000" w:themeColor="text1"/>
          <w:sz w:val="16"/>
          <w:szCs w:val="16"/>
        </w:rPr>
        <w:t>11. Введена установка дымовых шашек МДШ.</w:t>
      </w:r>
    </w:p>
    <w:p w14:paraId="411EAFDC" w14:textId="77777777" w:rsidR="00823A00" w:rsidRPr="00925F26" w:rsidRDefault="00823A00" w:rsidP="00925F26">
      <w:pPr>
        <w:jc w:val="both"/>
        <w:rPr>
          <w:color w:val="000000" w:themeColor="text1"/>
          <w:sz w:val="16"/>
          <w:szCs w:val="16"/>
        </w:rPr>
      </w:pPr>
      <w:r w:rsidRPr="00925F26">
        <w:rPr>
          <w:color w:val="000000" w:themeColor="text1"/>
          <w:sz w:val="16"/>
          <w:szCs w:val="16"/>
        </w:rPr>
        <w:t>12. Введены в корпусе башни лючки для стрельбы из ручного оружия.</w:t>
      </w:r>
    </w:p>
    <w:p w14:paraId="514D5699" w14:textId="77777777" w:rsidR="00823A00" w:rsidRPr="00925F26" w:rsidRDefault="00823A00" w:rsidP="00925F26">
      <w:pPr>
        <w:jc w:val="both"/>
        <w:rPr>
          <w:color w:val="000000" w:themeColor="text1"/>
          <w:sz w:val="16"/>
          <w:szCs w:val="16"/>
        </w:rPr>
      </w:pPr>
      <w:r w:rsidRPr="00925F26">
        <w:rPr>
          <w:color w:val="000000" w:themeColor="text1"/>
          <w:sz w:val="16"/>
          <w:szCs w:val="16"/>
        </w:rPr>
        <w:t>13. В 1944 г. завод начал устанавливать улучшенный воздухоочиститель типа «Мультициклон».</w:t>
      </w:r>
    </w:p>
    <w:p w14:paraId="1F0016F5" w14:textId="77777777" w:rsidR="00823A00" w:rsidRPr="00925F26" w:rsidRDefault="00823A00" w:rsidP="00925F26">
      <w:pPr>
        <w:jc w:val="both"/>
        <w:rPr>
          <w:color w:val="000000" w:themeColor="text1"/>
          <w:sz w:val="16"/>
          <w:szCs w:val="16"/>
        </w:rPr>
      </w:pPr>
      <w:r w:rsidRPr="00925F26">
        <w:rPr>
          <w:color w:val="000000" w:themeColor="text1"/>
          <w:sz w:val="16"/>
          <w:szCs w:val="16"/>
        </w:rPr>
        <w:t>14. Для повышения работоспособности резины на опорных катка, в грузошинах были отменены вентиляционные отверстия.</w:t>
      </w:r>
    </w:p>
    <w:p w14:paraId="617D73A4" w14:textId="77777777" w:rsidR="00823A00" w:rsidRPr="00925F26" w:rsidRDefault="00823A00" w:rsidP="00925F26">
      <w:pPr>
        <w:jc w:val="both"/>
        <w:rPr>
          <w:color w:val="000000" w:themeColor="text1"/>
          <w:sz w:val="16"/>
          <w:szCs w:val="16"/>
        </w:rPr>
      </w:pPr>
      <w:r w:rsidRPr="00925F26">
        <w:rPr>
          <w:color w:val="000000" w:themeColor="text1"/>
          <w:sz w:val="16"/>
          <w:szCs w:val="16"/>
        </w:rPr>
        <w:t>15. В 1944 г. завод освоил и перешел на производство танка Т-34-85.</w:t>
      </w:r>
    </w:p>
    <w:p w14:paraId="24CA5516" w14:textId="77777777" w:rsidR="00823A00" w:rsidRPr="00925F26" w:rsidRDefault="00823A00" w:rsidP="00925F26">
      <w:pPr>
        <w:jc w:val="both"/>
        <w:rPr>
          <w:color w:val="000000" w:themeColor="text1"/>
          <w:sz w:val="16"/>
          <w:szCs w:val="16"/>
        </w:rPr>
      </w:pPr>
      <w:r w:rsidRPr="00925F26">
        <w:rPr>
          <w:color w:val="000000" w:themeColor="text1"/>
          <w:sz w:val="16"/>
          <w:szCs w:val="16"/>
        </w:rPr>
        <w:t>16. Вместо ножного спуска введен электроспуск у башенному пулемету.</w:t>
      </w:r>
    </w:p>
    <w:p w14:paraId="012F0629" w14:textId="77777777" w:rsidR="00823A00" w:rsidRPr="00925F26" w:rsidRDefault="00823A00" w:rsidP="00925F26">
      <w:pPr>
        <w:jc w:val="both"/>
        <w:rPr>
          <w:color w:val="000000" w:themeColor="text1"/>
          <w:sz w:val="16"/>
          <w:szCs w:val="16"/>
        </w:rPr>
      </w:pPr>
      <w:r w:rsidRPr="00925F26">
        <w:rPr>
          <w:color w:val="000000" w:themeColor="text1"/>
          <w:sz w:val="16"/>
          <w:szCs w:val="16"/>
        </w:rPr>
        <w:t>17. Для машин с установкой АТО-42 введен резервуар для огнесмеси увеличенной емкости.</w:t>
      </w:r>
    </w:p>
    <w:p w14:paraId="040C0C38" w14:textId="77777777" w:rsidR="00823A00" w:rsidRPr="00925F26" w:rsidRDefault="00823A00" w:rsidP="00925F26">
      <w:pPr>
        <w:jc w:val="both"/>
        <w:rPr>
          <w:color w:val="000000" w:themeColor="text1"/>
          <w:sz w:val="16"/>
          <w:szCs w:val="16"/>
        </w:rPr>
      </w:pPr>
      <w:r w:rsidRPr="00925F26">
        <w:rPr>
          <w:color w:val="000000" w:themeColor="text1"/>
          <w:sz w:val="16"/>
          <w:szCs w:val="16"/>
        </w:rPr>
        <w:t>18. В 1945 г. введена командирская башенка улучшенной конструкции.</w:t>
      </w:r>
    </w:p>
    <w:p w14:paraId="5D3D7219" w14:textId="77777777" w:rsidR="00823A00" w:rsidRPr="00925F26" w:rsidRDefault="00823A00" w:rsidP="00925F26">
      <w:pPr>
        <w:jc w:val="both"/>
        <w:rPr>
          <w:color w:val="000000" w:themeColor="text1"/>
          <w:sz w:val="16"/>
          <w:szCs w:val="16"/>
        </w:rPr>
      </w:pPr>
      <w:r w:rsidRPr="00925F26">
        <w:rPr>
          <w:color w:val="000000" w:themeColor="text1"/>
          <w:sz w:val="16"/>
          <w:szCs w:val="16"/>
        </w:rPr>
        <w:t>19. Для облегчения демонтажа системы взамен приварного введен</w:t>
      </w:r>
    </w:p>
    <w:p w14:paraId="194EFF6F" w14:textId="77777777" w:rsidR="00823A00" w:rsidRPr="00925F26" w:rsidRDefault="00823A00" w:rsidP="00925F26">
      <w:pPr>
        <w:jc w:val="both"/>
        <w:rPr>
          <w:color w:val="000000" w:themeColor="text1"/>
          <w:sz w:val="16"/>
          <w:szCs w:val="16"/>
        </w:rPr>
      </w:pPr>
      <w:r w:rsidRPr="00925F26">
        <w:rPr>
          <w:color w:val="000000" w:themeColor="text1"/>
          <w:sz w:val="16"/>
          <w:szCs w:val="16"/>
        </w:rPr>
        <w:t>съмныйщиток.</w:t>
      </w:r>
    </w:p>
    <w:p w14:paraId="06AA1175" w14:textId="77777777" w:rsidR="00823A00" w:rsidRPr="00925F26" w:rsidRDefault="00823A00" w:rsidP="00925F26">
      <w:pPr>
        <w:jc w:val="both"/>
        <w:rPr>
          <w:color w:val="000000" w:themeColor="text1"/>
          <w:sz w:val="16"/>
          <w:szCs w:val="16"/>
        </w:rPr>
      </w:pPr>
      <w:r w:rsidRPr="00925F26">
        <w:rPr>
          <w:color w:val="000000" w:themeColor="text1"/>
          <w:sz w:val="16"/>
          <w:szCs w:val="16"/>
        </w:rPr>
        <w:t>20. Введен новый кронштейн под- вескиприцелаТШ-15, обеспечиваю щий возможность регулировки подвески в горизонтальном и вертикальном направлениях.</w:t>
      </w:r>
    </w:p>
    <w:p w14:paraId="456C5799" w14:textId="77777777" w:rsidR="00823A00" w:rsidRPr="00925F26" w:rsidRDefault="00823A00" w:rsidP="00925F26">
      <w:pPr>
        <w:jc w:val="both"/>
        <w:rPr>
          <w:color w:val="000000" w:themeColor="text1"/>
          <w:sz w:val="16"/>
          <w:szCs w:val="16"/>
        </w:rPr>
      </w:pPr>
      <w:proofErr w:type="gramStart"/>
      <w:r w:rsidRPr="00925F26">
        <w:rPr>
          <w:color w:val="000000" w:themeColor="text1"/>
          <w:sz w:val="16"/>
          <w:szCs w:val="16"/>
        </w:rPr>
        <w:t>21 .</w:t>
      </w:r>
      <w:proofErr w:type="gramEnd"/>
      <w:r w:rsidRPr="00925F26">
        <w:rPr>
          <w:color w:val="000000" w:themeColor="text1"/>
          <w:sz w:val="16"/>
          <w:szCs w:val="16"/>
        </w:rPr>
        <w:t xml:space="preserve"> Введена защита прицела ТШ-15 м пулемета ДТ.</w:t>
      </w:r>
    </w:p>
    <w:p w14:paraId="686954DB" w14:textId="77777777" w:rsidR="00823A00" w:rsidRPr="00925F26" w:rsidRDefault="00823A00" w:rsidP="00925F26">
      <w:pPr>
        <w:jc w:val="both"/>
        <w:rPr>
          <w:color w:val="000000" w:themeColor="text1"/>
          <w:sz w:val="16"/>
          <w:szCs w:val="16"/>
        </w:rPr>
      </w:pPr>
      <w:r w:rsidRPr="00925F26">
        <w:rPr>
          <w:color w:val="000000" w:themeColor="text1"/>
          <w:sz w:val="16"/>
          <w:szCs w:val="16"/>
        </w:rPr>
        <w:t>22. Изменен материал цапфы и стопора пушки на ст.40СХ и введена полировка цапф по диаметру 75 х 3.</w:t>
      </w:r>
    </w:p>
    <w:p w14:paraId="2BE95251" w14:textId="77777777" w:rsidR="00823A00" w:rsidRPr="00925F26" w:rsidRDefault="00823A00" w:rsidP="00925F26">
      <w:pPr>
        <w:jc w:val="both"/>
        <w:rPr>
          <w:color w:val="000000" w:themeColor="text1"/>
          <w:sz w:val="16"/>
          <w:szCs w:val="16"/>
        </w:rPr>
      </w:pPr>
      <w:r w:rsidRPr="00925F26">
        <w:rPr>
          <w:color w:val="000000" w:themeColor="text1"/>
          <w:sz w:val="16"/>
          <w:szCs w:val="16"/>
        </w:rPr>
        <w:t>23. Введен удлинитель ствола пулемета ДТ для предотвращения попадания пороховых газов в башню.</w:t>
      </w:r>
    </w:p>
    <w:p w14:paraId="3107B176" w14:textId="77777777" w:rsidR="00823A00" w:rsidRPr="00925F26" w:rsidRDefault="00823A00" w:rsidP="00925F26">
      <w:pPr>
        <w:jc w:val="both"/>
        <w:rPr>
          <w:color w:val="000000" w:themeColor="text1"/>
          <w:sz w:val="16"/>
          <w:szCs w:val="16"/>
        </w:rPr>
      </w:pPr>
      <w:r w:rsidRPr="00925F26">
        <w:rPr>
          <w:color w:val="000000" w:themeColor="text1"/>
          <w:sz w:val="16"/>
          <w:szCs w:val="16"/>
        </w:rPr>
        <w:t>24. Введен прицел ППУ-8Т кносо- вому пулемету ДТ и увеличен угол снижения пулемета ДТ».</w:t>
      </w:r>
    </w:p>
    <w:p w14:paraId="0F2FD303" w14:textId="77777777" w:rsidR="00823A00" w:rsidRPr="00925F26" w:rsidRDefault="00823A00" w:rsidP="00925F26">
      <w:pPr>
        <w:jc w:val="both"/>
        <w:rPr>
          <w:color w:val="000000" w:themeColor="text1"/>
          <w:sz w:val="16"/>
          <w:szCs w:val="16"/>
        </w:rPr>
      </w:pPr>
      <w:r w:rsidRPr="00925F26">
        <w:rPr>
          <w:color w:val="000000" w:themeColor="text1"/>
          <w:sz w:val="16"/>
          <w:szCs w:val="16"/>
        </w:rPr>
        <w:t>Кроме того, конструкторы завода №174 за войну проделали большой объем работ по проведению различных опытных работ, направленных на улучшение конструкции танка Т-34. Основными из них были:</w:t>
      </w:r>
    </w:p>
    <w:p w14:paraId="38BED715" w14:textId="77777777" w:rsidR="00823A00" w:rsidRPr="00925F26" w:rsidRDefault="00823A00" w:rsidP="00925F26">
      <w:pPr>
        <w:jc w:val="both"/>
        <w:rPr>
          <w:color w:val="000000" w:themeColor="text1"/>
          <w:sz w:val="16"/>
          <w:szCs w:val="16"/>
        </w:rPr>
      </w:pPr>
      <w:r w:rsidRPr="00925F26">
        <w:rPr>
          <w:color w:val="000000" w:themeColor="text1"/>
          <w:sz w:val="16"/>
          <w:szCs w:val="16"/>
        </w:rPr>
        <w:t>«В течение 1942-1943 гг. проведены следующие испытания:</w:t>
      </w:r>
    </w:p>
    <w:p w14:paraId="0C4E14ED" w14:textId="77777777" w:rsidR="00823A00" w:rsidRPr="00925F26" w:rsidRDefault="00823A00" w:rsidP="00925F26">
      <w:pPr>
        <w:jc w:val="both"/>
        <w:rPr>
          <w:color w:val="000000" w:themeColor="text1"/>
          <w:sz w:val="16"/>
          <w:szCs w:val="16"/>
        </w:rPr>
      </w:pPr>
      <w:r w:rsidRPr="00925F26">
        <w:rPr>
          <w:color w:val="000000" w:themeColor="text1"/>
          <w:sz w:val="16"/>
          <w:szCs w:val="16"/>
        </w:rPr>
        <w:t>1. Грузошин с пониженным резиновым массивом. Испытания показали хороший результат.</w:t>
      </w:r>
    </w:p>
    <w:p w14:paraId="2A8588D6" w14:textId="77777777" w:rsidR="00823A00" w:rsidRPr="00925F26" w:rsidRDefault="00823A00" w:rsidP="00925F26">
      <w:pPr>
        <w:jc w:val="both"/>
        <w:rPr>
          <w:color w:val="000000" w:themeColor="text1"/>
          <w:sz w:val="16"/>
          <w:szCs w:val="16"/>
        </w:rPr>
      </w:pPr>
      <w:r w:rsidRPr="00925F26">
        <w:rPr>
          <w:color w:val="000000" w:themeColor="text1"/>
          <w:sz w:val="16"/>
          <w:szCs w:val="16"/>
        </w:rPr>
        <w:t>2. Унифицированных радиаторов 26/УШ - 6/1Х-43 г.</w:t>
      </w:r>
    </w:p>
    <w:p w14:paraId="5FDF512F" w14:textId="77777777" w:rsidR="00823A00" w:rsidRPr="00925F26" w:rsidRDefault="00823A00" w:rsidP="00925F26">
      <w:pPr>
        <w:jc w:val="both"/>
        <w:rPr>
          <w:color w:val="000000" w:themeColor="text1"/>
          <w:sz w:val="16"/>
          <w:szCs w:val="16"/>
        </w:rPr>
      </w:pPr>
      <w:r w:rsidRPr="00925F26">
        <w:rPr>
          <w:color w:val="000000" w:themeColor="text1"/>
          <w:sz w:val="16"/>
          <w:szCs w:val="16"/>
        </w:rPr>
        <w:t>3. Усиленной конической пары КПП, которая введена в серию 27/УП1 - 13/1Х-43 г.</w:t>
      </w:r>
    </w:p>
    <w:p w14:paraId="153A50F1" w14:textId="77777777" w:rsidR="00823A00" w:rsidRPr="00925F26" w:rsidRDefault="00823A00" w:rsidP="00925F26">
      <w:pPr>
        <w:jc w:val="both"/>
        <w:rPr>
          <w:color w:val="000000" w:themeColor="text1"/>
          <w:sz w:val="16"/>
          <w:szCs w:val="16"/>
        </w:rPr>
      </w:pPr>
      <w:r w:rsidRPr="00925F26">
        <w:rPr>
          <w:color w:val="000000" w:themeColor="text1"/>
          <w:sz w:val="16"/>
          <w:szCs w:val="16"/>
        </w:rPr>
        <w:t>4. Гусениц со штампованными безгребневыми траками, состоящие из двух половин...</w:t>
      </w:r>
    </w:p>
    <w:p w14:paraId="793FF15C" w14:textId="77777777" w:rsidR="00823A00" w:rsidRPr="00925F26" w:rsidRDefault="00823A00" w:rsidP="00925F26">
      <w:pPr>
        <w:jc w:val="both"/>
        <w:rPr>
          <w:color w:val="000000" w:themeColor="text1"/>
          <w:sz w:val="16"/>
          <w:szCs w:val="16"/>
        </w:rPr>
      </w:pPr>
      <w:r w:rsidRPr="00925F26">
        <w:rPr>
          <w:color w:val="000000" w:themeColor="text1"/>
          <w:sz w:val="16"/>
          <w:szCs w:val="16"/>
        </w:rPr>
        <w:t>В 1944-1945 гг.</w:t>
      </w:r>
    </w:p>
    <w:p w14:paraId="251B3F06" w14:textId="77777777" w:rsidR="00823A00" w:rsidRPr="00925F26" w:rsidRDefault="00823A00" w:rsidP="00925F26">
      <w:pPr>
        <w:jc w:val="both"/>
        <w:rPr>
          <w:color w:val="000000" w:themeColor="text1"/>
          <w:sz w:val="16"/>
          <w:szCs w:val="16"/>
        </w:rPr>
      </w:pPr>
      <w:r w:rsidRPr="00925F26">
        <w:rPr>
          <w:color w:val="000000" w:themeColor="text1"/>
          <w:sz w:val="16"/>
          <w:szCs w:val="16"/>
        </w:rPr>
        <w:t>1. Испытание опытного модернизированного танка Т-34-85 на гарантийный километраж (1000 км), май 1944 г. Введено в серию с небольшими изменениями.</w:t>
      </w:r>
    </w:p>
    <w:p w14:paraId="214D9289" w14:textId="77777777" w:rsidR="00823A00" w:rsidRPr="00925F26" w:rsidRDefault="00823A00" w:rsidP="00925F26">
      <w:pPr>
        <w:jc w:val="both"/>
        <w:rPr>
          <w:color w:val="000000" w:themeColor="text1"/>
          <w:sz w:val="16"/>
          <w:szCs w:val="16"/>
        </w:rPr>
      </w:pPr>
      <w:r w:rsidRPr="00925F26">
        <w:rPr>
          <w:color w:val="000000" w:themeColor="text1"/>
          <w:sz w:val="16"/>
          <w:szCs w:val="16"/>
        </w:rPr>
        <w:t>2. Испытание опытной партии резины опорных катков из рецепта 120С (июль-сентябрь 1944 г.).</w:t>
      </w:r>
    </w:p>
    <w:p w14:paraId="37FB64F1" w14:textId="77777777" w:rsidR="00823A00" w:rsidRPr="00925F26" w:rsidRDefault="00823A00" w:rsidP="00925F26">
      <w:pPr>
        <w:jc w:val="both"/>
        <w:rPr>
          <w:color w:val="000000" w:themeColor="text1"/>
          <w:sz w:val="16"/>
          <w:szCs w:val="16"/>
        </w:rPr>
      </w:pPr>
      <w:r w:rsidRPr="00925F26">
        <w:rPr>
          <w:color w:val="000000" w:themeColor="text1"/>
          <w:sz w:val="16"/>
          <w:szCs w:val="16"/>
        </w:rPr>
        <w:t>3. Испытание 3-х комплектов радиостанции и переговорного устройства Р-19 с приемником «Малютка» 1944 г. август месяц.</w:t>
      </w:r>
    </w:p>
    <w:p w14:paraId="425C3CDB" w14:textId="77777777" w:rsidR="00823A00" w:rsidRPr="00925F26" w:rsidRDefault="00823A00" w:rsidP="00925F26">
      <w:pPr>
        <w:jc w:val="both"/>
        <w:rPr>
          <w:color w:val="000000" w:themeColor="text1"/>
          <w:sz w:val="16"/>
          <w:szCs w:val="16"/>
        </w:rPr>
      </w:pPr>
      <w:r w:rsidRPr="00925F26">
        <w:rPr>
          <w:color w:val="000000" w:themeColor="text1"/>
          <w:sz w:val="16"/>
          <w:szCs w:val="16"/>
        </w:rPr>
        <w:t>4. Испытание пробегом на 300 км и стрельбой двух огнеметных танков ТО-34-85 с резервуаром увеличенной емкости (двадцать выстрелов вместо десяти), 28/Х - 1/Х-44 г.</w:t>
      </w:r>
    </w:p>
    <w:p w14:paraId="67976616" w14:textId="77777777" w:rsidR="00823A00" w:rsidRPr="00925F26" w:rsidRDefault="00823A00" w:rsidP="00925F26">
      <w:pPr>
        <w:jc w:val="both"/>
        <w:rPr>
          <w:color w:val="000000" w:themeColor="text1"/>
          <w:sz w:val="16"/>
          <w:szCs w:val="16"/>
        </w:rPr>
      </w:pPr>
      <w:r w:rsidRPr="00925F26">
        <w:rPr>
          <w:color w:val="000000" w:themeColor="text1"/>
          <w:sz w:val="16"/>
          <w:szCs w:val="16"/>
        </w:rPr>
        <w:t>5. Испытание безроликовых ведущих колес с опытной гусеницей (измененный профиль гребня) на 1500 км с целью увеличения срока службы гусеницы и удешевления производства. Испытания показали положительные результаты.</w:t>
      </w:r>
    </w:p>
    <w:p w14:paraId="3634539A" w14:textId="77777777" w:rsidR="00823A00" w:rsidRPr="00925F26" w:rsidRDefault="00823A00" w:rsidP="00925F26">
      <w:pPr>
        <w:jc w:val="both"/>
        <w:rPr>
          <w:color w:val="000000" w:themeColor="text1"/>
          <w:sz w:val="16"/>
          <w:szCs w:val="16"/>
        </w:rPr>
      </w:pPr>
      <w:r w:rsidRPr="00925F26">
        <w:rPr>
          <w:color w:val="000000" w:themeColor="text1"/>
          <w:sz w:val="16"/>
          <w:szCs w:val="16"/>
        </w:rPr>
        <w:t>6. Испытание опытной КПП с постоянным зацеплением шестерен заднего хода на 1500 км. Испытания показали полное устранение дефектов, характерных для данного узла серийной КПП. Рекомендовано для ввода в серийное производство» (12217).</w:t>
      </w:r>
    </w:p>
    <w:p w14:paraId="10780D38" w14:textId="77777777" w:rsidR="00823A00" w:rsidRPr="00925F26" w:rsidRDefault="00823A00" w:rsidP="00925F26">
      <w:pPr>
        <w:jc w:val="both"/>
        <w:rPr>
          <w:color w:val="000000" w:themeColor="text1"/>
          <w:sz w:val="16"/>
          <w:szCs w:val="16"/>
        </w:rPr>
      </w:pPr>
    </w:p>
    <w:p w14:paraId="689FE1C0"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 xml:space="preserve">К маю 1945 г. было построено 297 лодок «Зеехунд», из них с января по май 1945 г. в боевых действиях участвовало около ста лодок. Водоизмещение «Зеехунда» составляло всего 15 т. В качестве двигателя подводного хода был использован дизель мощностью 60 л. с. с грузовика «Бюссинг-Наг». Под водой работали электрические батареи. Надводный ход лодки составлял 7,7 узла, а подводный — 6 узлов. В надводном положении лодка могла пройти 300 миль с 7-узловой скоростью, а в подводном положении — 63 мили с 3-узловой скоростью. Под корпусом лодки подвешивались две 53-см торпеды G7 или две донные мины. Экипаж «Зеехунда» состоял из двух человек. Когда советские войска заняли город Эльбинг, на фирме «Шихау» находились секции и отдельные заготовки для сборки 58 лодок </w:t>
      </w:r>
      <w:r w:rsidRPr="00925F26">
        <w:rPr>
          <w:color w:val="000000" w:themeColor="text1"/>
          <w:sz w:val="16"/>
          <w:szCs w:val="16"/>
        </w:rPr>
        <w:lastRenderedPageBreak/>
        <w:t>(U-6253 ÷ U-6300). Испытание подводных лодок типа «Зеехунд» было поручено ленинградскому заводу «Судомех» (№ 196). В начале 1947 г. с верфи «Шихау» на завод № 196 прибыли два «Зеехунда», несколько комплектов секций лодок, различное оборудование и документация. Работами над «Зеехундом» ведало конструкторское бюро под руководством В.М. Мудрова. Первую лодку с германским заводским номером 244 спустили на воду 2 ноября 1947 г. С 5 по 20 ноября приемная комиссия ВМС провела ходовые испытания (за исключением торпедных стрельб и глубоководных погружений). Но из-за наступивших морозов и ледостава испытания прекратили, а лодку подняли на стенку завода, демонтировали и законсервировали на зимний период. В 1948 г. завод закончил швартовые испытания подводной лодки «Зеехунд» и сдал ее флоту. Так «Зеехунд» с заводским номером 244 стал первой сверхмалой подводной лодкой, вступившей в строй нашего флота. В 1948 г. эту лодку передали Отряду подводного плавания в Кронштадте для определения боевых возможностей сверхмалых подводных лодок. Что стало с остальными лодками «Зеехунд», попавшими в СССР, автору неизвестно. Опыт по сборке и обслуживанию «Зеехунда» впоследствии пригодился «Судомеху» при создании сверхмалых подводных лодок и различных подводных аппаратов (15225).</w:t>
      </w:r>
    </w:p>
    <w:p w14:paraId="58A47CBB" w14:textId="77777777" w:rsidR="007C630F" w:rsidRPr="00925F26" w:rsidRDefault="007C630F" w:rsidP="00925F26">
      <w:pPr>
        <w:pStyle w:val="book"/>
        <w:ind w:firstLine="0"/>
        <w:jc w:val="both"/>
        <w:rPr>
          <w:color w:val="000000" w:themeColor="text1"/>
          <w:sz w:val="16"/>
          <w:szCs w:val="16"/>
        </w:rPr>
      </w:pPr>
    </w:p>
    <w:p w14:paraId="3952070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AE52D88" w14:textId="77777777" w:rsidR="00665165" w:rsidRPr="00925F26" w:rsidRDefault="00665165" w:rsidP="00925F26">
      <w:pPr>
        <w:autoSpaceDE w:val="0"/>
        <w:autoSpaceDN w:val="0"/>
        <w:adjustRightInd w:val="0"/>
        <w:jc w:val="both"/>
        <w:rPr>
          <w:iCs/>
          <w:color w:val="000000" w:themeColor="text1"/>
          <w:sz w:val="16"/>
          <w:szCs w:val="16"/>
        </w:rPr>
      </w:pPr>
    </w:p>
    <w:p w14:paraId="651069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 маю 1945 года на захваченной СА территории было выявлено 14 Р-51 разных модификаций, которые в конце войны были сбиты в странах Восточной Европы - Польше, Венгрии, Чехословакии, Румынии. Впоследствии несколько P-51D восстановили и перегнали на аэродром ЛИИ в Кратово. Полных летных испытаний не проводили, но общее впечатление о машине получили. Отметили простоту пилотирования. На малых и средних высотах P-51D </w:t>
      </w:r>
      <w:proofErr w:type="gramStart"/>
      <w:r w:rsidRPr="00925F26">
        <w:rPr>
          <w:color w:val="000000" w:themeColor="text1"/>
          <w:sz w:val="16"/>
          <w:szCs w:val="16"/>
        </w:rPr>
        <w:t>по прежнему</w:t>
      </w:r>
      <w:proofErr w:type="gramEnd"/>
      <w:r w:rsidRPr="00925F26">
        <w:rPr>
          <w:color w:val="000000" w:themeColor="text1"/>
          <w:sz w:val="16"/>
          <w:szCs w:val="16"/>
        </w:rPr>
        <w:t xml:space="preserve"> уступал отечественным истребителям по динамике - сказывался существенно больший вес. Оп проигрывал в скороподъемности и характеристиках горизонтального маневра, хотя быстро разгонялся и устойчиво вел себя на пикировании. Зато на высотах больше 5000 м наши истребители уже не могли с ним сравниться, превосходил он и немецкий Bf-109K (3457,88).</w:t>
      </w:r>
    </w:p>
    <w:p w14:paraId="41AD9046" w14:textId="77777777" w:rsidR="00665165" w:rsidRPr="00925F26" w:rsidRDefault="00665165" w:rsidP="00925F26">
      <w:pPr>
        <w:autoSpaceDE w:val="0"/>
        <w:autoSpaceDN w:val="0"/>
        <w:adjustRightInd w:val="0"/>
        <w:jc w:val="both"/>
        <w:rPr>
          <w:color w:val="000000" w:themeColor="text1"/>
          <w:sz w:val="16"/>
          <w:szCs w:val="16"/>
        </w:rPr>
      </w:pPr>
    </w:p>
    <w:p w14:paraId="3A84AF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 маю 1945 года в Европе КА нашла в различном состоянии 73 штуки B-24 "Либерейтор". Так </w:t>
      </w:r>
      <w:proofErr w:type="gramStart"/>
      <w:r w:rsidRPr="00925F26">
        <w:rPr>
          <w:color w:val="000000" w:themeColor="text1"/>
          <w:sz w:val="16"/>
          <w:szCs w:val="16"/>
        </w:rPr>
        <w:t>же</w:t>
      </w:r>
      <w:proofErr w:type="gramEnd"/>
      <w:r w:rsidRPr="00925F26">
        <w:rPr>
          <w:color w:val="000000" w:themeColor="text1"/>
          <w:sz w:val="16"/>
          <w:szCs w:val="16"/>
        </w:rPr>
        <w:t xml:space="preserve"> как и "Летающие крепости", первоначально их восстанавливали в порядке личной инициативы различные полки и дивизии. Так, в 17-й воздушной армии отремонтировали по меньшей мере один В-24, в 16-й-три, в 15-й - один (3457,117).</w:t>
      </w:r>
    </w:p>
    <w:p w14:paraId="0F53C542" w14:textId="77777777" w:rsidR="00665165" w:rsidRPr="00925F26" w:rsidRDefault="00665165" w:rsidP="00925F26">
      <w:pPr>
        <w:autoSpaceDE w:val="0"/>
        <w:autoSpaceDN w:val="0"/>
        <w:adjustRightInd w:val="0"/>
        <w:jc w:val="both"/>
        <w:rPr>
          <w:color w:val="000000" w:themeColor="text1"/>
          <w:sz w:val="16"/>
          <w:szCs w:val="16"/>
        </w:rPr>
      </w:pPr>
    </w:p>
    <w:p w14:paraId="1BC326CE" w14:textId="77777777" w:rsidR="006979C2" w:rsidRPr="00925F26" w:rsidRDefault="006979C2" w:rsidP="00925F26">
      <w:pPr>
        <w:jc w:val="both"/>
        <w:rPr>
          <w:color w:val="000000" w:themeColor="text1"/>
          <w:sz w:val="16"/>
          <w:szCs w:val="16"/>
        </w:rPr>
      </w:pPr>
      <w:r w:rsidRPr="00925F26">
        <w:rPr>
          <w:color w:val="000000" w:themeColor="text1"/>
          <w:sz w:val="16"/>
          <w:szCs w:val="16"/>
        </w:rPr>
        <w:t>К маю 1945 г. части Красной армии имели огромное количество неучтенной материальной части и оборудования. Чтобы изъять трофейные ценности из частей РККА, потребовались специальные постановления ГКО: Постановление № 7824 от 14 марта 1945 г. «О вывозе с трофейных складов 3-го Украинского фронта картона, бумаги и меховых шкурок». Постановление № 7893 от 21 марта 1945 г. «О вывозе трофейного имущества со складов 1-го Белорусского фронта». 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 Постановление № 9164 от 21 июня 1945 г. «О передаче 15 000 трофейных автомашин с 1 -го и 2-го Украинских, 2-го Белорусского и Ленинградского фронтов для народного хозяйства» (12687).</w:t>
      </w:r>
    </w:p>
    <w:p w14:paraId="28B47EA9" w14:textId="77777777" w:rsidR="006979C2" w:rsidRPr="00925F26" w:rsidRDefault="006979C2" w:rsidP="00925F26">
      <w:pPr>
        <w:jc w:val="both"/>
        <w:rPr>
          <w:color w:val="000000" w:themeColor="text1"/>
          <w:sz w:val="16"/>
          <w:szCs w:val="16"/>
        </w:rPr>
      </w:pPr>
    </w:p>
    <w:p w14:paraId="2F6BDA5C"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К маю 1945 г. части Красной армии имели огромное количество неучтенной материальной части и оборудования.</w:t>
      </w:r>
    </w:p>
    <w:p w14:paraId="57A4C167"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Чтобы изъять трофейные ценности из частей РККА, потребовались специальные постановления ГКО:</w:t>
      </w:r>
    </w:p>
    <w:p w14:paraId="669C7F48"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Постановление № 7824 от 14 марта 1945 г. «О вывозе с трофейных складов 3-го Украинского фронта картона, бумаги и меховых шкурок».</w:t>
      </w:r>
    </w:p>
    <w:p w14:paraId="1CCBD875"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Постановление № 7893 от 21 марта 1945 г. «О вывозе трофейного имущества со складов 1-го Белорусского фронта».</w:t>
      </w:r>
    </w:p>
    <w:p w14:paraId="533BB82D"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w:t>
      </w:r>
    </w:p>
    <w:p w14:paraId="35156E9D" w14:textId="77777777" w:rsidR="007C630F" w:rsidRPr="00925F26" w:rsidRDefault="007C630F" w:rsidP="00925F26">
      <w:pPr>
        <w:pStyle w:val="book"/>
        <w:ind w:firstLine="0"/>
        <w:jc w:val="both"/>
        <w:rPr>
          <w:color w:val="000000" w:themeColor="text1"/>
          <w:sz w:val="16"/>
          <w:szCs w:val="16"/>
        </w:rPr>
      </w:pPr>
      <w:r w:rsidRPr="00925F26">
        <w:rPr>
          <w:color w:val="000000" w:themeColor="text1"/>
          <w:sz w:val="16"/>
          <w:szCs w:val="16"/>
        </w:rPr>
        <w:t>Постановление № 9164 от 21 июня 1945 г. «О передаче 15 000 трофейных автомашин с 1-го и 2-го Украинских, 2-го Белорусского и Ленинградского фронтов для народного хозяйства» (15225).</w:t>
      </w:r>
    </w:p>
    <w:p w14:paraId="124155D4" w14:textId="77777777" w:rsidR="007C630F" w:rsidRPr="00925F26" w:rsidRDefault="007C630F" w:rsidP="00925F26">
      <w:pPr>
        <w:pStyle w:val="book"/>
        <w:ind w:firstLine="0"/>
        <w:jc w:val="both"/>
        <w:rPr>
          <w:color w:val="000000" w:themeColor="text1"/>
          <w:sz w:val="16"/>
          <w:szCs w:val="16"/>
        </w:rPr>
      </w:pPr>
    </w:p>
    <w:p w14:paraId="6F8662DB" w14:textId="77777777" w:rsidR="007C630F"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18B5848" w14:textId="77777777" w:rsidR="007C630F" w:rsidRPr="00925F26" w:rsidRDefault="007C630F" w:rsidP="00925F26">
      <w:pPr>
        <w:autoSpaceDE w:val="0"/>
        <w:autoSpaceDN w:val="0"/>
        <w:adjustRightInd w:val="0"/>
        <w:jc w:val="both"/>
        <w:rPr>
          <w:iCs/>
          <w:color w:val="000000" w:themeColor="text1"/>
          <w:sz w:val="16"/>
          <w:szCs w:val="16"/>
        </w:rPr>
      </w:pPr>
    </w:p>
    <w:p w14:paraId="29C68B37" w14:textId="77777777" w:rsidR="007C630F" w:rsidRPr="00925F26" w:rsidRDefault="007C630F" w:rsidP="00925F26">
      <w:pPr>
        <w:pStyle w:val="36"/>
        <w:shd w:val="clear" w:color="auto" w:fill="auto"/>
        <w:tabs>
          <w:tab w:val="left" w:pos="5622"/>
        </w:tabs>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 xml:space="preserve">К маю 1945 создали модификацию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-004</w:t>
      </w:r>
      <w:r w:rsidRPr="00925F26">
        <w:rPr>
          <w:rFonts w:ascii="Times New Roman" w:cs="Times New Roman"/>
          <w:color w:val="000000" w:themeColor="text1"/>
          <w:spacing w:val="0"/>
          <w:sz w:val="16"/>
          <w:szCs w:val="16"/>
          <w:lang w:val="en-US"/>
        </w:rPr>
        <w:t>D</w:t>
      </w:r>
      <w:r w:rsidRPr="00925F26">
        <w:rPr>
          <w:rFonts w:ascii="Times New Roman" w:cs="Times New Roman"/>
          <w:color w:val="000000" w:themeColor="text1"/>
          <w:spacing w:val="0"/>
          <w:sz w:val="16"/>
          <w:szCs w:val="16"/>
        </w:rPr>
        <w:t>-4, с тягой около 1050 кгс, но за</w:t>
      </w:r>
      <w:r w:rsidRPr="00925F26">
        <w:rPr>
          <w:rFonts w:ascii="Times New Roman" w:cs="Times New Roman"/>
          <w:color w:val="000000" w:themeColor="text1"/>
          <w:spacing w:val="0"/>
          <w:sz w:val="16"/>
          <w:szCs w:val="16"/>
        </w:rPr>
        <w:softHyphen/>
        <w:t xml:space="preserve">пустить её в серию не успели (15791). </w:t>
      </w:r>
    </w:p>
    <w:p w14:paraId="40D77447" w14:textId="77777777" w:rsidR="007C630F" w:rsidRPr="00925F26" w:rsidRDefault="007C630F" w:rsidP="00925F26">
      <w:pPr>
        <w:pStyle w:val="36"/>
        <w:shd w:val="clear" w:color="auto" w:fill="auto"/>
        <w:spacing w:after="0" w:line="240" w:lineRule="auto"/>
        <w:jc w:val="both"/>
        <w:rPr>
          <w:rFonts w:ascii="Times New Roman" w:cs="Times New Roman"/>
          <w:color w:val="000000" w:themeColor="text1"/>
          <w:spacing w:val="0"/>
          <w:sz w:val="16"/>
          <w:szCs w:val="16"/>
        </w:rPr>
      </w:pPr>
    </w:p>
    <w:p w14:paraId="2494A395" w14:textId="77777777" w:rsidR="007C630F" w:rsidRPr="00925F26" w:rsidRDefault="007C630F"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К маю 1945 изготовили дета</w:t>
      </w:r>
      <w:r w:rsidRPr="00925F26">
        <w:rPr>
          <w:rFonts w:ascii="Times New Roman" w:cs="Times New Roman"/>
          <w:color w:val="000000" w:themeColor="text1"/>
          <w:spacing w:val="0"/>
          <w:sz w:val="16"/>
          <w:szCs w:val="16"/>
        </w:rPr>
        <w:softHyphen/>
        <w:t xml:space="preserve">ли и собрали некоторые узлы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-012, но все они, вместе с имеющейся конструктор</w:t>
      </w:r>
      <w:r w:rsidRPr="00925F26">
        <w:rPr>
          <w:rFonts w:ascii="Times New Roman" w:cs="Times New Roman"/>
          <w:color w:val="000000" w:themeColor="text1"/>
          <w:spacing w:val="0"/>
          <w:sz w:val="16"/>
          <w:szCs w:val="16"/>
        </w:rPr>
        <w:softHyphen/>
        <w:t xml:space="preserve">ской документацией, во время оккупации Дессау захватили американцы. Перспективный ТРД </w:t>
      </w:r>
      <w:r w:rsidRPr="00925F26">
        <w:rPr>
          <w:rFonts w:ascii="Times New Roman" w:cs="Times New Roman"/>
          <w:color w:val="000000" w:themeColor="text1"/>
          <w:spacing w:val="0"/>
          <w:sz w:val="16"/>
          <w:szCs w:val="16"/>
          <w:lang w:val="en-US"/>
        </w:rPr>
        <w:t>Jumo</w:t>
      </w:r>
      <w:r w:rsidRPr="00925F26">
        <w:rPr>
          <w:rFonts w:ascii="Times New Roman" w:cs="Times New Roman"/>
          <w:color w:val="000000" w:themeColor="text1"/>
          <w:spacing w:val="0"/>
          <w:sz w:val="16"/>
          <w:szCs w:val="16"/>
        </w:rPr>
        <w:t>-012 с одиннадцатиступен- чатым осевым компрессором и двухступенчатой турбиной с расчётной тягой 2720 кгс и весом 1985 кг, диаметром 1070 мм и длиной 4500 мм (15791).</w:t>
      </w:r>
    </w:p>
    <w:p w14:paraId="75545228" w14:textId="77777777" w:rsidR="007C630F" w:rsidRPr="00925F26" w:rsidRDefault="007C630F" w:rsidP="00925F26">
      <w:pPr>
        <w:pStyle w:val="36"/>
        <w:shd w:val="clear" w:color="auto" w:fill="auto"/>
        <w:spacing w:after="0" w:line="240" w:lineRule="auto"/>
        <w:jc w:val="both"/>
        <w:rPr>
          <w:rFonts w:ascii="Times New Roman" w:cs="Times New Roman"/>
          <w:color w:val="000000" w:themeColor="text1"/>
          <w:spacing w:val="0"/>
          <w:sz w:val="16"/>
          <w:szCs w:val="16"/>
        </w:rPr>
      </w:pPr>
    </w:p>
    <w:p w14:paraId="6F5618BB" w14:textId="77777777" w:rsidR="003B1DCF" w:rsidRPr="001A0BAA" w:rsidRDefault="003B1DCF" w:rsidP="003B1DCF">
      <w:pPr>
        <w:jc w:val="both"/>
        <w:rPr>
          <w:color w:val="0070C0"/>
          <w:sz w:val="16"/>
          <w:szCs w:val="16"/>
        </w:rPr>
      </w:pPr>
      <w:r w:rsidRPr="001A0BAA">
        <w:rPr>
          <w:color w:val="0070C0"/>
          <w:sz w:val="16"/>
          <w:szCs w:val="16"/>
        </w:rPr>
        <w:t>К маю 1945 г. немцы изготовили только один образец турбовинтового двигателя «Jumo-022».</w:t>
      </w:r>
    </w:p>
    <w:p w14:paraId="54FF9FF0" w14:textId="77777777" w:rsidR="003B1DCF" w:rsidRPr="001A0BAA" w:rsidRDefault="003B1DCF" w:rsidP="003B1DCF">
      <w:pPr>
        <w:jc w:val="both"/>
        <w:rPr>
          <w:color w:val="0070C0"/>
          <w:sz w:val="16"/>
          <w:szCs w:val="16"/>
        </w:rPr>
      </w:pPr>
      <w:r w:rsidRPr="001A0BAA">
        <w:rPr>
          <w:color w:val="0070C0"/>
          <w:sz w:val="16"/>
          <w:szCs w:val="16"/>
        </w:rPr>
        <w:t>«Первоначально на «Юнкерсе» турбовинтовой 022 создавался на базе турбореактивного 012 с таким расчётом, что половина тяги будет создаваться двумя соосными винтами противоположного вращения, другая половина – реактивным соплом.</w:t>
      </w:r>
    </w:p>
    <w:p w14:paraId="6DA7AA81" w14:textId="77777777" w:rsidR="003B1DCF" w:rsidRPr="001A0BAA" w:rsidRDefault="003B1DCF" w:rsidP="003B1DCF">
      <w:pPr>
        <w:jc w:val="both"/>
        <w:rPr>
          <w:color w:val="0070C0"/>
          <w:sz w:val="16"/>
          <w:szCs w:val="16"/>
        </w:rPr>
      </w:pPr>
      <w:r w:rsidRPr="001A0BAA">
        <w:rPr>
          <w:color w:val="0070C0"/>
          <w:sz w:val="16"/>
          <w:szCs w:val="16"/>
        </w:rPr>
        <w:t>Немецкий опытный турбовинтовой двигатель послужил «печкой», от которой начали танцевать. Главный вопрос – как понизить удельный расход. Немецкие конструкторы активно совершенствовали двигатель. Начальник отдела турбины доктор Кордес создаёт новую методику её расчёта и проектирования. Удельный расход снизился. Модернизированный «Jumo-022» впервые прошел 50-часовые государственные испытания. С марта 1951 года двигатель стали называть ТВ-2, а в мае начались его успешные испытания в воздухе на летающей лаборатории Ту-4 (25184).</w:t>
      </w:r>
    </w:p>
    <w:p w14:paraId="5444FB6B" w14:textId="77777777" w:rsidR="003B1DCF" w:rsidRPr="001A0BAA" w:rsidRDefault="003B1DCF" w:rsidP="003B1DCF">
      <w:pPr>
        <w:jc w:val="both"/>
        <w:rPr>
          <w:color w:val="0070C0"/>
          <w:sz w:val="16"/>
          <w:szCs w:val="16"/>
        </w:rPr>
      </w:pPr>
    </w:p>
    <w:p w14:paraId="3EE0D03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1A1191C" w14:textId="77777777" w:rsidR="00665165" w:rsidRPr="00925F26" w:rsidRDefault="00665165" w:rsidP="00925F26">
      <w:pPr>
        <w:autoSpaceDE w:val="0"/>
        <w:autoSpaceDN w:val="0"/>
        <w:adjustRightInd w:val="0"/>
        <w:jc w:val="both"/>
        <w:rPr>
          <w:iCs/>
          <w:color w:val="000000" w:themeColor="text1"/>
          <w:sz w:val="16"/>
          <w:szCs w:val="16"/>
        </w:rPr>
      </w:pPr>
    </w:p>
    <w:p w14:paraId="2C4D31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1 мая 1945 г. авиазаводами НКАП № 1 и 18 было передано ВВС 785 Ил-10. Однако не все из них попали на фронт (7489).</w:t>
      </w:r>
    </w:p>
    <w:p w14:paraId="286DC571" w14:textId="77777777" w:rsidR="00665165" w:rsidRPr="00925F26" w:rsidRDefault="00665165" w:rsidP="00925F26">
      <w:pPr>
        <w:autoSpaceDE w:val="0"/>
        <w:autoSpaceDN w:val="0"/>
        <w:adjustRightInd w:val="0"/>
        <w:jc w:val="both"/>
        <w:rPr>
          <w:color w:val="000000" w:themeColor="text1"/>
          <w:sz w:val="16"/>
          <w:szCs w:val="16"/>
        </w:rPr>
      </w:pPr>
    </w:p>
    <w:p w14:paraId="163C45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был готов еще один фронтовой скоростной бомбардировщик - модификация Ту-2 под АМ-39ФНВ. Получил обозначение 68 и Ту-4, а затем - Ту-10. Уширили фонарь носовой части фюзеляжа, три окна стрелка заменили на одно большое, установили водорадиаторы в центроплане, увеличили ВО, сделали управляемый стабилизатор, стрелковую установку штурмана ВУШ заменили на ВУС-1, а стрелка - ВУБ-2 на ВУБ-65 и увеличили вынос колес на 125 мм, а также поставили более крупное хвостовое колесо (1835,57).</w:t>
      </w:r>
    </w:p>
    <w:p w14:paraId="213AD511" w14:textId="77777777" w:rsidR="00665165" w:rsidRPr="00925F26" w:rsidRDefault="00665165" w:rsidP="00925F26">
      <w:pPr>
        <w:autoSpaceDE w:val="0"/>
        <w:autoSpaceDN w:val="0"/>
        <w:adjustRightInd w:val="0"/>
        <w:jc w:val="both"/>
        <w:rPr>
          <w:color w:val="000000" w:themeColor="text1"/>
          <w:sz w:val="16"/>
          <w:szCs w:val="16"/>
        </w:rPr>
      </w:pPr>
    </w:p>
    <w:p w14:paraId="690CB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был парад и шли Пе-8, 72 бомбардировщика, 144 истребителя и 144 штурмовика (2470,6). Это были только Ил-2 (3846,21).</w:t>
      </w:r>
    </w:p>
    <w:p w14:paraId="2786F54B" w14:textId="77777777" w:rsidR="00665165" w:rsidRPr="00925F26" w:rsidRDefault="00665165" w:rsidP="00925F26">
      <w:pPr>
        <w:autoSpaceDE w:val="0"/>
        <w:autoSpaceDN w:val="0"/>
        <w:adjustRightInd w:val="0"/>
        <w:jc w:val="both"/>
        <w:rPr>
          <w:color w:val="000000" w:themeColor="text1"/>
          <w:sz w:val="16"/>
          <w:szCs w:val="16"/>
        </w:rPr>
      </w:pPr>
    </w:p>
    <w:p w14:paraId="7F7D13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w:t>
      </w:r>
    </w:p>
    <w:p w14:paraId="7C5CBD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несколько дней до окончания Великой Отечественной войны в советском руководстве решили ознаменовать Первомайский праздник 1945 г. большим воздушным парадом. Флаг-штурман ВВС КА Б.В.Стерлигов так описал это событие:</w:t>
      </w:r>
    </w:p>
    <w:p w14:paraId="0CEAA5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 о проведении первого мая воздушного парада над Москвой был отдан 10 апреля. Командующим парадом был назначен возглавлявший ВВС МВО генерал- лейтенант Сбытов, а я - главным штурманом.</w:t>
      </w:r>
    </w:p>
    <w:p w14:paraId="20CD07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время подготовки парада произошла смена руководства штабом ВВС. Маршал</w:t>
      </w:r>
    </w:p>
    <w:p w14:paraId="749A1C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Худяков, назначенный на пост командующего 12 воздушной армии на Дальнем Востоке, сдал свои обязанности начальника штаба маршалу авиации Ф.Я.Фалалееву.</w:t>
      </w:r>
    </w:p>
    <w:p w14:paraId="5737A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20 апреля мы сосредоточились на подготовке воздушного парада. Все участники парада с чувством большой радости старались как можно лучше продемонстрировать мошь советской авиации. Ведь бои шли уже за Берлин, воздушный парад над Москвой мог стать парадом Победы.</w:t>
      </w:r>
    </w:p>
    <w:p w14:paraId="0DDC20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Флагманским самолетом парада был выбран четырехмоторный дальний бомбардировщик Пе-8. На нем летели мы с генералом Сбытовым. Парадная колонна состояла из пяти авиационных дивизий в строю "девяток", всего сорок "девяток", или 361 самолет вместе с </w:t>
      </w:r>
      <w:proofErr w:type="gramStart"/>
      <w:r w:rsidRPr="00925F26">
        <w:rPr>
          <w:color w:val="000000" w:themeColor="text1"/>
          <w:sz w:val="16"/>
          <w:szCs w:val="16"/>
        </w:rPr>
        <w:t>флагманом.Первая</w:t>
      </w:r>
      <w:proofErr w:type="gramEnd"/>
      <w:r w:rsidRPr="00925F26">
        <w:rPr>
          <w:color w:val="000000" w:themeColor="text1"/>
          <w:sz w:val="16"/>
          <w:szCs w:val="16"/>
        </w:rPr>
        <w:t xml:space="preserve"> дивизия самолетов-штурмовиков Ил-2, командир дивизии полковник Царев;</w:t>
      </w:r>
    </w:p>
    <w:p w14:paraId="50D05D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Вторая дивизия новых самолетов-штурмовиков Ил-10. Ее вел генерал-майор авиации Белоконь.</w:t>
      </w:r>
    </w:p>
    <w:p w14:paraId="649459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Третья дивизия самолетов-истребителей Як-3 шла под командованием генерал-</w:t>
      </w:r>
      <w:proofErr w:type="gramStart"/>
      <w:r w:rsidRPr="00925F26">
        <w:rPr>
          <w:color w:val="000000" w:themeColor="text1"/>
          <w:sz w:val="16"/>
          <w:szCs w:val="16"/>
        </w:rPr>
        <w:t>майо- ра</w:t>
      </w:r>
      <w:proofErr w:type="gramEnd"/>
      <w:r w:rsidRPr="00925F26">
        <w:rPr>
          <w:color w:val="000000" w:themeColor="text1"/>
          <w:sz w:val="16"/>
          <w:szCs w:val="16"/>
        </w:rPr>
        <w:t xml:space="preserve"> авиации Жукова.</w:t>
      </w:r>
    </w:p>
    <w:p w14:paraId="2A4B9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Четвертая дивизия самолетов-</w:t>
      </w:r>
      <w:proofErr w:type="gramStart"/>
      <w:r w:rsidRPr="00925F26">
        <w:rPr>
          <w:color w:val="000000" w:themeColor="text1"/>
          <w:sz w:val="16"/>
          <w:szCs w:val="16"/>
        </w:rPr>
        <w:t>истребите- лей</w:t>
      </w:r>
      <w:proofErr w:type="gramEnd"/>
      <w:r w:rsidRPr="00925F26">
        <w:rPr>
          <w:color w:val="000000" w:themeColor="text1"/>
          <w:sz w:val="16"/>
          <w:szCs w:val="16"/>
        </w:rPr>
        <w:t xml:space="preserve"> Ла-7, командир дивизии </w:t>
      </w:r>
      <w:proofErr w:type="gramStart"/>
      <w:r w:rsidRPr="00925F26">
        <w:rPr>
          <w:color w:val="000000" w:themeColor="text1"/>
          <w:sz w:val="16"/>
          <w:szCs w:val="16"/>
        </w:rPr>
        <w:t>полковник Хо</w:t>
      </w:r>
      <w:proofErr w:type="gramEnd"/>
      <w:r w:rsidRPr="00925F26">
        <w:rPr>
          <w:color w:val="000000" w:themeColor="text1"/>
          <w:sz w:val="16"/>
          <w:szCs w:val="16"/>
        </w:rPr>
        <w:t>- лодцев.</w:t>
      </w:r>
    </w:p>
    <w:p w14:paraId="304990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Парад замыкала дивизия самолетов-</w:t>
      </w:r>
      <w:proofErr w:type="gramStart"/>
      <w:r w:rsidRPr="00925F26">
        <w:rPr>
          <w:color w:val="000000" w:themeColor="text1"/>
          <w:sz w:val="16"/>
          <w:szCs w:val="16"/>
        </w:rPr>
        <w:t>бом- бардировщиков</w:t>
      </w:r>
      <w:proofErr w:type="gramEnd"/>
      <w:r w:rsidRPr="00925F26">
        <w:rPr>
          <w:color w:val="000000" w:themeColor="text1"/>
          <w:sz w:val="16"/>
          <w:szCs w:val="16"/>
        </w:rPr>
        <w:t xml:space="preserve"> Ту-2 под командованием генерал-майора авиации Трифонова.</w:t>
      </w:r>
    </w:p>
    <w:p w14:paraId="113BC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Погода стояла отличная, видимость прекрасная. Между Клином и Калинином, секунда в секунду согласно расчету, корабль начал разворот на Москву с заданным радиусом.</w:t>
      </w:r>
    </w:p>
    <w:p w14:paraId="3CAA07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Дивизии парадного расчета, одна за другой, становились нам в хвост. Веду корабль "Кайбицкий колхозник" по прицелу на Красную площадь. Улицы многолюдны, полны празднично украшенными колоннами демонстрантов. С Красной площади уходят танки и самоходная артиллерия.</w:t>
      </w:r>
    </w:p>
    <w:p w14:paraId="61FFDF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11 часов 49 минут 55 секунд наш корабль проходит над Мавзолеем Ленина. Точность - 5 секунд! Неплохо.</w:t>
      </w:r>
    </w:p>
    <w:p w14:paraId="303A86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меня это был двенадцатый воздушный парад над столицей. Он прошел успешно" (12025).</w:t>
      </w:r>
    </w:p>
    <w:p w14:paraId="504F8F0C" w14:textId="77777777" w:rsidR="00665165" w:rsidRPr="00925F26" w:rsidRDefault="00665165" w:rsidP="00925F26">
      <w:pPr>
        <w:autoSpaceDE w:val="0"/>
        <w:autoSpaceDN w:val="0"/>
        <w:adjustRightInd w:val="0"/>
        <w:jc w:val="both"/>
        <w:rPr>
          <w:color w:val="000000" w:themeColor="text1"/>
          <w:sz w:val="16"/>
          <w:szCs w:val="16"/>
        </w:rPr>
      </w:pPr>
    </w:p>
    <w:p w14:paraId="091B7435" w14:textId="77777777" w:rsidR="00E726F2" w:rsidRPr="001A0BAA" w:rsidRDefault="00E726F2" w:rsidP="00E726F2">
      <w:pPr>
        <w:jc w:val="both"/>
        <w:rPr>
          <w:color w:val="0070C0"/>
          <w:sz w:val="16"/>
          <w:szCs w:val="16"/>
        </w:rPr>
      </w:pPr>
      <w:r w:rsidRPr="001A0BAA">
        <w:rPr>
          <w:color w:val="0070C0"/>
          <w:sz w:val="16"/>
          <w:szCs w:val="16"/>
        </w:rPr>
        <w:t>На 1 мая 1945 г. 2957 Ла-7 поступили в ВВС и 198 — в истребительную авиацию ВМФ. До окончания войны в Европе заводы изготовили в общей сложности 3977 ис</w:t>
      </w:r>
      <w:r w:rsidRPr="001A0BAA">
        <w:rPr>
          <w:color w:val="0070C0"/>
          <w:sz w:val="16"/>
          <w:szCs w:val="16"/>
        </w:rPr>
        <w:softHyphen/>
        <w:t>требителей Ла-7 (24988).</w:t>
      </w:r>
    </w:p>
    <w:p w14:paraId="7D45DD42" w14:textId="77777777" w:rsidR="00E726F2" w:rsidRPr="001A0BAA" w:rsidRDefault="00E726F2" w:rsidP="00E726F2">
      <w:pPr>
        <w:jc w:val="both"/>
        <w:rPr>
          <w:color w:val="0070C0"/>
          <w:sz w:val="16"/>
          <w:szCs w:val="16"/>
        </w:rPr>
      </w:pPr>
    </w:p>
    <w:p w14:paraId="172F94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 мая 1945 по приказу НКАП № 174 от 27 апреля 1945 года завод № 84 перешел на выпуск гражданских машин – транспортных ЛИ-2Т и пассажирских ЛИ-2П (9461).</w:t>
      </w:r>
    </w:p>
    <w:p w14:paraId="175D137B" w14:textId="77777777" w:rsidR="00665165" w:rsidRPr="00925F26" w:rsidRDefault="00665165" w:rsidP="00925F26">
      <w:pPr>
        <w:autoSpaceDE w:val="0"/>
        <w:autoSpaceDN w:val="0"/>
        <w:adjustRightInd w:val="0"/>
        <w:jc w:val="both"/>
        <w:rPr>
          <w:color w:val="000000" w:themeColor="text1"/>
          <w:sz w:val="16"/>
          <w:szCs w:val="16"/>
        </w:rPr>
      </w:pPr>
    </w:p>
    <w:p w14:paraId="72EDFB41" w14:textId="77777777" w:rsidR="00E726F2" w:rsidRPr="001A0BAA" w:rsidRDefault="00E726F2" w:rsidP="00E726F2">
      <w:pPr>
        <w:jc w:val="both"/>
        <w:rPr>
          <w:color w:val="0070C0"/>
          <w:sz w:val="16"/>
          <w:szCs w:val="16"/>
        </w:rPr>
      </w:pPr>
      <w:r w:rsidRPr="001A0BAA">
        <w:rPr>
          <w:color w:val="0070C0"/>
          <w:sz w:val="16"/>
          <w:szCs w:val="16"/>
        </w:rPr>
        <w:t>С 1 мая 1945 на заводе № 84 выпу</w:t>
      </w:r>
      <w:r w:rsidRPr="001A0BAA">
        <w:rPr>
          <w:color w:val="0070C0"/>
          <w:sz w:val="16"/>
          <w:szCs w:val="16"/>
        </w:rPr>
        <w:softHyphen/>
        <w:t>скались уже только типа Ли-2 - Ли- 2П (пассажирский) и Ли-2Т (грузовой). Основным стал грузовой вариант, рас</w:t>
      </w:r>
      <w:r w:rsidRPr="001A0BAA">
        <w:rPr>
          <w:color w:val="0070C0"/>
          <w:sz w:val="16"/>
          <w:szCs w:val="16"/>
        </w:rPr>
        <w:softHyphen/>
        <w:t xml:space="preserve">считанный на перевозку 3000 кг. На Ли- 2П </w:t>
      </w:r>
      <w:proofErr w:type="gramStart"/>
      <w:r w:rsidRPr="001A0BAA">
        <w:rPr>
          <w:color w:val="0070C0"/>
          <w:sz w:val="16"/>
          <w:szCs w:val="16"/>
        </w:rPr>
        <w:t>тепло-</w:t>
      </w:r>
      <w:proofErr w:type="gramEnd"/>
      <w:r w:rsidRPr="001A0BAA">
        <w:rPr>
          <w:color w:val="0070C0"/>
          <w:sz w:val="16"/>
          <w:szCs w:val="16"/>
        </w:rPr>
        <w:t xml:space="preserve"> и звукоизоляция имелась только в кабине экипажа, отопление во</w:t>
      </w:r>
      <w:r w:rsidRPr="001A0BAA">
        <w:rPr>
          <w:color w:val="0070C0"/>
          <w:sz w:val="16"/>
          <w:szCs w:val="16"/>
        </w:rPr>
        <w:softHyphen/>
        <w:t>обще отсутствовало. Грузовой отсек расширили за счет передних багажни</w:t>
      </w:r>
      <w:r w:rsidRPr="001A0BAA">
        <w:rPr>
          <w:color w:val="0070C0"/>
          <w:sz w:val="16"/>
          <w:szCs w:val="16"/>
        </w:rPr>
        <w:softHyphen/>
        <w:t>ков. Пол оставался деревянным, но те</w:t>
      </w:r>
      <w:r w:rsidRPr="001A0BAA">
        <w:rPr>
          <w:color w:val="0070C0"/>
          <w:sz w:val="16"/>
          <w:szCs w:val="16"/>
        </w:rPr>
        <w:softHyphen/>
        <w:t>перь его застелили рифленой резиной. У бортов располагались 10 откидных де</w:t>
      </w:r>
      <w:r w:rsidRPr="001A0BAA">
        <w:rPr>
          <w:color w:val="0070C0"/>
          <w:sz w:val="16"/>
          <w:szCs w:val="16"/>
        </w:rPr>
        <w:softHyphen/>
        <w:t>ревянных сидений. Под потолком вдоль самолета шел поручень. Экипаж, как и до войны, состоял из четырех человек - двух пилотов, радиста и бортмеханика (26015).</w:t>
      </w:r>
    </w:p>
    <w:p w14:paraId="2ECCD7C3" w14:textId="77777777" w:rsidR="00E726F2" w:rsidRPr="001A0BAA" w:rsidRDefault="00E726F2" w:rsidP="00E726F2">
      <w:pPr>
        <w:jc w:val="both"/>
        <w:rPr>
          <w:color w:val="0070C0"/>
          <w:sz w:val="16"/>
          <w:szCs w:val="16"/>
        </w:rPr>
      </w:pPr>
    </w:p>
    <w:p w14:paraId="31A5D2EE" w14:textId="77777777" w:rsidR="009C4894" w:rsidRPr="00925F26" w:rsidRDefault="009C4894" w:rsidP="00925F26">
      <w:pPr>
        <w:jc w:val="both"/>
        <w:rPr>
          <w:color w:val="000000" w:themeColor="text1"/>
          <w:sz w:val="16"/>
          <w:szCs w:val="16"/>
        </w:rPr>
      </w:pPr>
      <w:r w:rsidRPr="00925F26">
        <w:rPr>
          <w:color w:val="000000" w:themeColor="text1"/>
          <w:sz w:val="16"/>
          <w:szCs w:val="16"/>
        </w:rPr>
        <w:t>1 мая 1945 года Постановлением ГКО СССР от начато формирование Государственного научно-испытательного института ВВС (ГНИИ ВВС) Красной Армии, в состав которого самостоятельным 4 -м Управлением испытаний объектов авиационного вооружения вошел НИИ АВ ВВС, возглавил который генерал М.В. Гуревич, заместителями его были полковники П.К. Рыжаев и В.А. Чернорез, начальник штаба – Б.М. Романов.</w:t>
      </w:r>
    </w:p>
    <w:p w14:paraId="4199B81F" w14:textId="77777777" w:rsidR="009C4894" w:rsidRPr="00925F26" w:rsidRDefault="009C4894" w:rsidP="00925F26">
      <w:pPr>
        <w:jc w:val="both"/>
        <w:rPr>
          <w:color w:val="000000" w:themeColor="text1"/>
          <w:sz w:val="16"/>
          <w:szCs w:val="16"/>
        </w:rPr>
      </w:pPr>
      <w:r w:rsidRPr="00925F26">
        <w:rPr>
          <w:color w:val="000000" w:themeColor="text1"/>
          <w:sz w:val="16"/>
          <w:szCs w:val="16"/>
        </w:rPr>
        <w:t>Организационно-штатная структура 4-го Управления включала в себя штаб, группу испытательных отделов (СПВ, прицелов и приборов, бомбардировочного и химического вооружения, боевого применения), группу научно-исследовательских отделов и высотных испытаний, лаборатории материальной части, опытные артиллерийские мастерские, авиа</w:t>
      </w:r>
      <w:r w:rsidRPr="00925F26">
        <w:rPr>
          <w:color w:val="000000" w:themeColor="text1"/>
          <w:sz w:val="16"/>
          <w:szCs w:val="16"/>
        </w:rPr>
        <w:softHyphen/>
        <w:t>цион</w:t>
      </w:r>
      <w:r w:rsidRPr="00925F26">
        <w:rPr>
          <w:color w:val="000000" w:themeColor="text1"/>
          <w:sz w:val="16"/>
          <w:szCs w:val="16"/>
        </w:rPr>
        <w:softHyphen/>
        <w:t>ный испытательный полк, подразделения МТО.</w:t>
      </w:r>
    </w:p>
    <w:p w14:paraId="413957ED" w14:textId="77777777" w:rsidR="009C4894" w:rsidRPr="00925F26" w:rsidRDefault="009C4894" w:rsidP="00925F26">
      <w:pPr>
        <w:jc w:val="both"/>
        <w:rPr>
          <w:color w:val="000000" w:themeColor="text1"/>
          <w:sz w:val="16"/>
          <w:szCs w:val="16"/>
        </w:rPr>
      </w:pPr>
      <w:r w:rsidRPr="00925F26">
        <w:rPr>
          <w:color w:val="000000" w:themeColor="text1"/>
          <w:sz w:val="16"/>
          <w:szCs w:val="16"/>
        </w:rPr>
        <w:t>Личным составом 4-го Управления за период 1944–1945 годов было проведено 405 испытаний объектов АВ, важнейшими из которых были испытания 11 образцов авиационных пушек (НС-23, НС-45, Б-20 и др.), ракетных орудий и снарядов, образцов вооружений самолетов в различных вариантах. Отработаны и внедрены в серийное производство прицелы ОПД-1Д, НКПД-1Д, составлены справочники по авиавооружению, руководства по авиационным бомбам, баллистические таблицы, таблицы воздушной стрельбы (23585).</w:t>
      </w:r>
    </w:p>
    <w:p w14:paraId="4FEEF0B2" w14:textId="77777777" w:rsidR="009C4894" w:rsidRPr="00925F26" w:rsidRDefault="009C4894" w:rsidP="00925F26">
      <w:pPr>
        <w:jc w:val="both"/>
        <w:rPr>
          <w:color w:val="000000" w:themeColor="text1"/>
          <w:sz w:val="16"/>
          <w:szCs w:val="16"/>
        </w:rPr>
      </w:pPr>
    </w:p>
    <w:p w14:paraId="68C103E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FC0049E" w14:textId="77777777" w:rsidR="00665165" w:rsidRPr="00925F26" w:rsidRDefault="00665165" w:rsidP="00925F26">
      <w:pPr>
        <w:autoSpaceDE w:val="0"/>
        <w:autoSpaceDN w:val="0"/>
        <w:adjustRightInd w:val="0"/>
        <w:jc w:val="both"/>
        <w:rPr>
          <w:iCs/>
          <w:color w:val="000000" w:themeColor="text1"/>
          <w:sz w:val="16"/>
          <w:szCs w:val="16"/>
        </w:rPr>
      </w:pPr>
    </w:p>
    <w:p w14:paraId="147E0E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состоянию на 1 мая 1945 г. ЧКЗ было изготовлено 25 танков ИС-3, которые в то время находились на заводе. Таким образом, на завершающем этапе Великой Отечественной вой</w:t>
      </w:r>
      <w:r w:rsidRPr="00925F26">
        <w:rPr>
          <w:color w:val="000000" w:themeColor="text1"/>
          <w:sz w:val="16"/>
          <w:szCs w:val="16"/>
        </w:rPr>
        <w:softHyphen/>
        <w:t>ны эти машины участия не принимали. Кроме того, не только танки ИС-3, но даже танки ИС-2 в боевых действиях по разгрому милитарист</w:t>
      </w:r>
      <w:r w:rsidRPr="00925F26">
        <w:rPr>
          <w:color w:val="000000" w:themeColor="text1"/>
          <w:sz w:val="16"/>
          <w:szCs w:val="16"/>
        </w:rPr>
        <w:softHyphen/>
        <w:t>ской Японии (9 августа - 2 сентября 1945 г.) участия не принимали. В боевых действиях на Дальнем Востоке из танковых частей, воору</w:t>
      </w:r>
      <w:r w:rsidRPr="00925F26">
        <w:rPr>
          <w:color w:val="000000" w:themeColor="text1"/>
          <w:sz w:val="16"/>
          <w:szCs w:val="16"/>
        </w:rPr>
        <w:softHyphen/>
        <w:t>женных тяжелыми танками, участвовал лишь один 48-й отдельный тя</w:t>
      </w:r>
      <w:r w:rsidRPr="00925F26">
        <w:rPr>
          <w:color w:val="000000" w:themeColor="text1"/>
          <w:sz w:val="16"/>
          <w:szCs w:val="16"/>
        </w:rPr>
        <w:softHyphen/>
        <w:t>желый танковый полк, в составе которого был 21 танк КВ-1С (10703).</w:t>
      </w:r>
    </w:p>
    <w:p w14:paraId="430783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4164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 мая 1945 г. ЧКЗ изготовил только 25 шт. ИС-3, часть которых еще проходила заводскую обкатку</w:t>
      </w:r>
      <w:proofErr w:type="gramStart"/>
      <w:r w:rsidRPr="00925F26">
        <w:rPr>
          <w:color w:val="000000" w:themeColor="text1"/>
          <w:sz w:val="16"/>
          <w:szCs w:val="16"/>
        </w:rPr>
        <w:t>...(</w:t>
      </w:r>
      <w:proofErr w:type="gramEnd"/>
      <w:r w:rsidRPr="00925F26">
        <w:rPr>
          <w:color w:val="000000" w:themeColor="text1"/>
          <w:sz w:val="16"/>
          <w:szCs w:val="16"/>
        </w:rPr>
        <w:t>11135).</w:t>
      </w:r>
    </w:p>
    <w:p w14:paraId="71B340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4BEB271" w14:textId="77777777" w:rsidR="004252F4" w:rsidRPr="00925F26" w:rsidRDefault="004252F4" w:rsidP="00925F26">
      <w:pPr>
        <w:jc w:val="both"/>
        <w:rPr>
          <w:color w:val="000000" w:themeColor="text1"/>
          <w:sz w:val="16"/>
          <w:szCs w:val="16"/>
        </w:rPr>
      </w:pPr>
      <w:r w:rsidRPr="00925F26">
        <w:rPr>
          <w:color w:val="000000" w:themeColor="text1"/>
          <w:sz w:val="16"/>
          <w:szCs w:val="16"/>
        </w:rPr>
        <w:t>С 1 мая 1945 на СУ-100 вводилась безбалочная носовая часть корпуса, также ликвидировались «косынки» на месте стыка бортов рубки и корпуса. Часть майских машин ещё имела корпуса старого типа, в подобном виде они производились до израсходования задела по корпусам. Одновременно толщина нижней лобовой детали корпуса выросла до 60 мм, а петли люков на крыше рубки унифицировали. Май стал самым «ударным» месяцем с точки зрения изменения внешнего вида СУ-100. Тогда же и окончательно решили проблему разрушения передних опорных катков. В мае же решили проблему с орудиями: в серию запустили Д-10СК.</w:t>
      </w:r>
    </w:p>
    <w:p w14:paraId="22D04C3B" w14:textId="77777777" w:rsidR="004252F4" w:rsidRPr="00925F26" w:rsidRDefault="004252F4" w:rsidP="00925F26">
      <w:pPr>
        <w:jc w:val="both"/>
        <w:rPr>
          <w:color w:val="000000" w:themeColor="text1"/>
          <w:sz w:val="16"/>
          <w:szCs w:val="16"/>
        </w:rPr>
      </w:pPr>
      <w:r w:rsidRPr="00925F26">
        <w:rPr>
          <w:color w:val="000000" w:themeColor="text1"/>
          <w:sz w:val="16"/>
          <w:szCs w:val="16"/>
        </w:rPr>
        <w:t>Ещё одно внешнее изменение произошло в июне: ввели ящик ЗИП на правой стороне рубки. Другие изменения лета 1945 года выглядели не столь существенно. Например, с июля 1945 года появились крепления для прибора самовытаскивания (18252).</w:t>
      </w:r>
    </w:p>
    <w:p w14:paraId="2C09293C" w14:textId="77777777" w:rsidR="004252F4" w:rsidRPr="00925F26" w:rsidRDefault="004252F4" w:rsidP="00925F26">
      <w:pPr>
        <w:jc w:val="both"/>
        <w:rPr>
          <w:color w:val="000000" w:themeColor="text1"/>
          <w:sz w:val="16"/>
          <w:szCs w:val="16"/>
        </w:rPr>
      </w:pPr>
    </w:p>
    <w:p w14:paraId="4246282F" w14:textId="77777777" w:rsidR="00326301" w:rsidRPr="00925F26" w:rsidRDefault="00326301" w:rsidP="00925F26">
      <w:pPr>
        <w:jc w:val="both"/>
        <w:rPr>
          <w:color w:val="000000" w:themeColor="text1"/>
          <w:sz w:val="16"/>
          <w:szCs w:val="16"/>
        </w:rPr>
      </w:pPr>
      <w:r w:rsidRPr="00925F26">
        <w:rPr>
          <w:color w:val="000000" w:themeColor="text1"/>
          <w:sz w:val="16"/>
          <w:szCs w:val="16"/>
        </w:rPr>
        <w:t>С 1 мая 1945 Приказом ОГК УЗТМ на Су-100 вводится без</w:t>
      </w:r>
      <w:r w:rsidRPr="00925F26">
        <w:rPr>
          <w:color w:val="000000" w:themeColor="text1"/>
          <w:sz w:val="16"/>
          <w:szCs w:val="16"/>
        </w:rPr>
        <w:softHyphen/>
        <w:t>балочный корпус - верхняя и нижняя лобо</w:t>
      </w:r>
      <w:r w:rsidRPr="00925F26">
        <w:rPr>
          <w:color w:val="000000" w:themeColor="text1"/>
          <w:sz w:val="16"/>
          <w:szCs w:val="16"/>
        </w:rPr>
        <w:softHyphen/>
        <w:t>вые детали должны теперь свариваться друг с другом встык. На практике, конечно, это не означало, что «взмахом волшебной палочки» все начатые постройкой СУ-100 в цехах УЗТМ разом обзавелись новыми носами. Корпуса, которые начали до 1 мая сваривать с балка</w:t>
      </w:r>
      <w:r w:rsidRPr="00925F26">
        <w:rPr>
          <w:color w:val="000000" w:themeColor="text1"/>
          <w:sz w:val="16"/>
          <w:szCs w:val="16"/>
        </w:rPr>
        <w:softHyphen/>
        <w:t>ми, так и сдали военной приемке в мае. Так что сохранились самоходки с майскими номерами и с литой балкой (например, № 81388 в музейном комплексе Прохоровка - похоже, сданная в мае машина еще с «апрель</w:t>
      </w:r>
      <w:r w:rsidRPr="00925F26">
        <w:rPr>
          <w:color w:val="000000" w:themeColor="text1"/>
          <w:sz w:val="16"/>
          <w:szCs w:val="16"/>
        </w:rPr>
        <w:softHyphen/>
        <w:t>ским корпусом» - и № 81458 в Музее танка Т- 34 из подмосковного Шолохово).</w:t>
      </w:r>
    </w:p>
    <w:p w14:paraId="188065B9" w14:textId="77777777" w:rsidR="00326301" w:rsidRPr="00925F26" w:rsidRDefault="00326301" w:rsidP="00925F26">
      <w:pPr>
        <w:jc w:val="both"/>
        <w:rPr>
          <w:color w:val="000000" w:themeColor="text1"/>
          <w:sz w:val="16"/>
          <w:szCs w:val="16"/>
        </w:rPr>
      </w:pPr>
      <w:r w:rsidRPr="00925F26">
        <w:rPr>
          <w:color w:val="000000" w:themeColor="text1"/>
          <w:sz w:val="16"/>
          <w:szCs w:val="16"/>
        </w:rPr>
        <w:t>Поскольку безбалочный нос получился на 100 мм длиннее, сдвигаются вперед бонки для крепления запасных траков на ВЛД и изменяются передние брызговики, сохраняя, впрочем, все ту же округлую форму и не при</w:t>
      </w:r>
      <w:r w:rsidRPr="00925F26">
        <w:rPr>
          <w:color w:val="000000" w:themeColor="text1"/>
          <w:sz w:val="16"/>
          <w:szCs w:val="16"/>
        </w:rPr>
        <w:softHyphen/>
        <w:t>обретая возможности откидываться, подобно коробчатым брызговикам Т-34-85. Сбороч</w:t>
      </w:r>
      <w:r w:rsidRPr="00925F26">
        <w:rPr>
          <w:color w:val="000000" w:themeColor="text1"/>
          <w:sz w:val="16"/>
          <w:szCs w:val="16"/>
        </w:rPr>
        <w:softHyphen/>
        <w:t>ные чертежи головного завода №183 на коробчатые передние грязевые щитки дати</w:t>
      </w:r>
      <w:r w:rsidRPr="00925F26">
        <w:rPr>
          <w:color w:val="000000" w:themeColor="text1"/>
          <w:sz w:val="16"/>
          <w:szCs w:val="16"/>
        </w:rPr>
        <w:softHyphen/>
        <w:t>рованы были еще октябрем 1944 года, но на УЗТМ такие щитки так и не были внедрены до самого конца производства СУ-100.</w:t>
      </w:r>
    </w:p>
    <w:p w14:paraId="10CB2B19" w14:textId="77777777" w:rsidR="00326301" w:rsidRPr="00925F26" w:rsidRDefault="00326301" w:rsidP="00925F26">
      <w:pPr>
        <w:jc w:val="both"/>
        <w:rPr>
          <w:color w:val="000000" w:themeColor="text1"/>
          <w:sz w:val="16"/>
          <w:szCs w:val="16"/>
        </w:rPr>
      </w:pPr>
      <w:r w:rsidRPr="00925F26">
        <w:rPr>
          <w:color w:val="000000" w:themeColor="text1"/>
          <w:sz w:val="16"/>
          <w:szCs w:val="16"/>
        </w:rPr>
        <w:t>На майских машинах исчезают приварен</w:t>
      </w:r>
      <w:r w:rsidRPr="00925F26">
        <w:rPr>
          <w:color w:val="000000" w:themeColor="text1"/>
          <w:sz w:val="16"/>
          <w:szCs w:val="16"/>
        </w:rPr>
        <w:softHyphen/>
        <w:t>ные между задней стенкой рубки и МТО тре</w:t>
      </w:r>
      <w:r w:rsidRPr="00925F26">
        <w:rPr>
          <w:color w:val="000000" w:themeColor="text1"/>
          <w:sz w:val="16"/>
          <w:szCs w:val="16"/>
        </w:rPr>
        <w:softHyphen/>
        <w:t>угольные «косынки» - они тоже были источ</w:t>
      </w:r>
      <w:r w:rsidRPr="00925F26">
        <w:rPr>
          <w:color w:val="000000" w:themeColor="text1"/>
          <w:sz w:val="16"/>
          <w:szCs w:val="16"/>
        </w:rPr>
        <w:softHyphen/>
        <w:t>ником образования трещин корпуса из-за неизбежной сварки по закаленной броне.</w:t>
      </w:r>
    </w:p>
    <w:p w14:paraId="5D411D18" w14:textId="77777777" w:rsidR="00326301" w:rsidRPr="00925F26" w:rsidRDefault="00326301"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 мае 1945 г. начинают приваривать к ВЛД планки для нового варианта приспособ</w:t>
      </w:r>
      <w:r w:rsidRPr="00925F26">
        <w:rPr>
          <w:rFonts w:ascii="Times New Roman" w:hAnsi="Times New Roman"/>
          <w:color w:val="000000" w:themeColor="text1"/>
          <w:sz w:val="16"/>
          <w:szCs w:val="16"/>
        </w:rPr>
        <w:softHyphen/>
        <w:t>ления введения в зацепления кривошипа направляющего колеса и при этом лючки для прохода стержня такого приспособления через боковую стенку грязевого щитка раз</w:t>
      </w:r>
      <w:r w:rsidRPr="00925F26">
        <w:rPr>
          <w:rFonts w:ascii="Times New Roman" w:hAnsi="Times New Roman"/>
          <w:color w:val="000000" w:themeColor="text1"/>
          <w:sz w:val="16"/>
          <w:szCs w:val="16"/>
        </w:rPr>
        <w:softHyphen/>
        <w:t>ворачивают вертикально и смещают вперед, чтобы они приходились напротив планок. На ранних майских машинах с литой передней балкой (в корпусах апрельской программы) планки приваривают на стык этой детали с ВЛД поверх сварного шва. На музейных самоходках можно видеть такие планки, смещенные еще ближе к носу - на торец НЛД новых, или на литую балку старых корпусов. Но туда планки начнут переносить только в ходе последующих модернизаций при уста</w:t>
      </w:r>
      <w:r w:rsidRPr="00925F26">
        <w:rPr>
          <w:rFonts w:ascii="Times New Roman" w:hAnsi="Times New Roman"/>
          <w:color w:val="000000" w:themeColor="text1"/>
          <w:sz w:val="16"/>
          <w:szCs w:val="16"/>
        </w:rPr>
        <w:softHyphen/>
        <w:t>новке на все СУ-100 коробчатых грязевых щитков.</w:t>
      </w:r>
    </w:p>
    <w:p w14:paraId="260618B5" w14:textId="77777777" w:rsidR="00326301" w:rsidRPr="00925F26" w:rsidRDefault="00326301" w:rsidP="00925F26">
      <w:pPr>
        <w:jc w:val="both"/>
        <w:rPr>
          <w:color w:val="000000" w:themeColor="text1"/>
          <w:sz w:val="16"/>
          <w:szCs w:val="16"/>
        </w:rPr>
      </w:pPr>
      <w:r w:rsidRPr="00925F26">
        <w:rPr>
          <w:color w:val="000000" w:themeColor="text1"/>
          <w:sz w:val="16"/>
          <w:szCs w:val="16"/>
        </w:rPr>
        <w:t>Толщина нижней лобовой бронедетали была увеличена с 45 до 60 мм. Из-за этого на ранних машинах выпуска июня 1945 года ста</w:t>
      </w:r>
      <w:r w:rsidRPr="00925F26">
        <w:rPr>
          <w:color w:val="000000" w:themeColor="text1"/>
          <w:sz w:val="16"/>
          <w:szCs w:val="16"/>
        </w:rPr>
        <w:softHyphen/>
        <w:t>рый 45-мм лючок для доступа к гайке стопора кривошипа натяжения правой гусеницы был несколько утоплен, но уже в конце месяца начали ставить новые лючки, так что они опять оказались вровень с НЛД.</w:t>
      </w:r>
    </w:p>
    <w:p w14:paraId="52EE9C50" w14:textId="77777777" w:rsidR="00326301" w:rsidRPr="00925F26" w:rsidRDefault="00326301" w:rsidP="00925F26">
      <w:pPr>
        <w:jc w:val="both"/>
        <w:rPr>
          <w:color w:val="000000" w:themeColor="text1"/>
          <w:sz w:val="16"/>
          <w:szCs w:val="16"/>
        </w:rPr>
      </w:pPr>
      <w:r w:rsidRPr="00925F26">
        <w:rPr>
          <w:color w:val="000000" w:themeColor="text1"/>
          <w:sz w:val="16"/>
          <w:szCs w:val="16"/>
        </w:rPr>
        <w:t>С первого корпуса майской программы были изменены люк панорамы и люк-лаз заряжающего (при этом ряд майских машин сдавались еще со старыми апрельскими кор</w:t>
      </w:r>
      <w:r w:rsidRPr="00925F26">
        <w:rPr>
          <w:color w:val="000000" w:themeColor="text1"/>
          <w:sz w:val="16"/>
          <w:szCs w:val="16"/>
        </w:rPr>
        <w:softHyphen/>
        <w:t>пусами). Петли люка заряжающего унифици</w:t>
      </w:r>
      <w:r w:rsidRPr="00925F26">
        <w:rPr>
          <w:color w:val="000000" w:themeColor="text1"/>
          <w:sz w:val="16"/>
          <w:szCs w:val="16"/>
        </w:rPr>
        <w:softHyphen/>
        <w:t>ровали с петлями люка панорамы прицела: «гребенка» состояла теперь из четырех шар</w:t>
      </w:r>
      <w:r w:rsidRPr="00925F26">
        <w:rPr>
          <w:color w:val="000000" w:themeColor="text1"/>
          <w:sz w:val="16"/>
          <w:szCs w:val="16"/>
        </w:rPr>
        <w:softHyphen/>
        <w:t>ниров, вместо прежних шести. При этом защелка фиксатора люка в открытом положе</w:t>
      </w:r>
      <w:r w:rsidRPr="00925F26">
        <w:rPr>
          <w:color w:val="000000" w:themeColor="text1"/>
          <w:sz w:val="16"/>
          <w:szCs w:val="16"/>
        </w:rPr>
        <w:softHyphen/>
        <w:t>нии осталась на правой петле, а угольник ограничителя открытого положения на новой более короткой петле уже не помещался, и его вместе с резиновым упором перенесли на левую петлю. Ранее фиксатор и ограничитель вместе стояли на правой петле. Меняются также размеры крышки люка панорамы: на ранних машинах эти люки имели те же разме</w:t>
      </w:r>
      <w:r w:rsidRPr="00925F26">
        <w:rPr>
          <w:color w:val="000000" w:themeColor="text1"/>
          <w:sz w:val="16"/>
          <w:szCs w:val="16"/>
        </w:rPr>
        <w:softHyphen/>
        <w:t>ры, что были еще на СУ-85 (разумеется, в той части, которая была сходной на обеих маши</w:t>
      </w:r>
      <w:r w:rsidRPr="00925F26">
        <w:rPr>
          <w:color w:val="000000" w:themeColor="text1"/>
          <w:sz w:val="16"/>
          <w:szCs w:val="16"/>
        </w:rPr>
        <w:softHyphen/>
        <w:t>нах). Люк панорамы с 600x580 мм увеличива</w:t>
      </w:r>
      <w:r w:rsidRPr="00925F26">
        <w:rPr>
          <w:color w:val="000000" w:themeColor="text1"/>
          <w:sz w:val="16"/>
          <w:szCs w:val="16"/>
        </w:rPr>
        <w:softHyphen/>
        <w:t>ется до 670x650 мм (планки петель люка большего размера со стороны колпака стопо</w:t>
      </w:r>
      <w:r w:rsidRPr="00925F26">
        <w:rPr>
          <w:color w:val="000000" w:themeColor="text1"/>
          <w:sz w:val="16"/>
          <w:szCs w:val="16"/>
        </w:rPr>
        <w:softHyphen/>
        <w:t>ра орудия уже не умещаются между люком и этим колпаком, так что в стенке колпака под них делают вырезы и варят колпак прямо на планки петель). Фланец смотрового прибора Мк. 4 на левой створке крышки старого люка панорамы не помещался, так что ради его размещения подрезали планку левой перед</w:t>
      </w:r>
      <w:r w:rsidRPr="00925F26">
        <w:rPr>
          <w:color w:val="000000" w:themeColor="text1"/>
          <w:sz w:val="16"/>
          <w:szCs w:val="16"/>
        </w:rPr>
        <w:softHyphen/>
        <w:t>ней петли на створке.</w:t>
      </w:r>
    </w:p>
    <w:p w14:paraId="26EF8A9F" w14:textId="77777777" w:rsidR="00326301" w:rsidRPr="00925F26" w:rsidRDefault="00326301" w:rsidP="00925F26">
      <w:pPr>
        <w:jc w:val="both"/>
        <w:rPr>
          <w:color w:val="000000" w:themeColor="text1"/>
          <w:sz w:val="16"/>
          <w:szCs w:val="16"/>
        </w:rPr>
      </w:pPr>
      <w:r w:rsidRPr="00925F26">
        <w:rPr>
          <w:color w:val="000000" w:themeColor="text1"/>
          <w:sz w:val="16"/>
          <w:szCs w:val="16"/>
        </w:rPr>
        <w:t>Также и крышка люка заряжающего (он же люк-лаз) увеличилась в размерах с 700x500 мм до 760x570 мм. Конструкцию люков изменили для предотвращения прони</w:t>
      </w:r>
      <w:r w:rsidRPr="00925F26">
        <w:rPr>
          <w:color w:val="000000" w:themeColor="text1"/>
          <w:sz w:val="16"/>
          <w:szCs w:val="16"/>
        </w:rPr>
        <w:softHyphen/>
        <w:t>кания дождевой воды в боевое отделение: прежние крышки врезались заподлицо с кры</w:t>
      </w:r>
      <w:r w:rsidRPr="00925F26">
        <w:rPr>
          <w:color w:val="000000" w:themeColor="text1"/>
          <w:sz w:val="16"/>
          <w:szCs w:val="16"/>
        </w:rPr>
        <w:softHyphen/>
        <w:t>шей рубки и для борьбы с протечками имели лишь жестяные отбортовки и низкие окан</w:t>
      </w:r>
      <w:r w:rsidRPr="00925F26">
        <w:rPr>
          <w:color w:val="000000" w:themeColor="text1"/>
          <w:sz w:val="16"/>
          <w:szCs w:val="16"/>
        </w:rPr>
        <w:softHyphen/>
        <w:t>товки по периметру проемов люков на рубке. Новые крышки стали накладными (дополни</w:t>
      </w:r>
      <w:r w:rsidRPr="00925F26">
        <w:rPr>
          <w:color w:val="000000" w:themeColor="text1"/>
          <w:sz w:val="16"/>
          <w:szCs w:val="16"/>
        </w:rPr>
        <w:softHyphen/>
        <w:t>тельно их еще снабдили уплотняющими про</w:t>
      </w:r>
      <w:r w:rsidRPr="00925F26">
        <w:rPr>
          <w:color w:val="000000" w:themeColor="text1"/>
          <w:sz w:val="16"/>
          <w:szCs w:val="16"/>
        </w:rPr>
        <w:softHyphen/>
        <w:t>кладками), а вырезы под них в крыше рубки оборудовали полноценными комингсами.</w:t>
      </w:r>
    </w:p>
    <w:p w14:paraId="4EA5BC45" w14:textId="77777777" w:rsidR="00326301" w:rsidRPr="00925F26" w:rsidRDefault="00326301" w:rsidP="00925F26">
      <w:pPr>
        <w:jc w:val="both"/>
        <w:rPr>
          <w:color w:val="000000" w:themeColor="text1"/>
          <w:sz w:val="16"/>
          <w:szCs w:val="16"/>
        </w:rPr>
      </w:pPr>
      <w:r w:rsidRPr="00925F26">
        <w:rPr>
          <w:color w:val="000000" w:themeColor="text1"/>
          <w:sz w:val="16"/>
          <w:szCs w:val="16"/>
        </w:rPr>
        <w:t>В мае, наконец, исцелили и еще одну все</w:t>
      </w:r>
      <w:r w:rsidRPr="00925F26">
        <w:rPr>
          <w:color w:val="000000" w:themeColor="text1"/>
          <w:sz w:val="16"/>
          <w:szCs w:val="16"/>
        </w:rPr>
        <w:softHyphen/>
        <w:t>гдашнюю «болячку» СУ-100 - разрушение передних опорных катков, перегруженных из-за утолщения лобовой брони и установки мощного орудия. Особенно часто страдали передний левый каток и два передних пра</w:t>
      </w:r>
      <w:r w:rsidRPr="00925F26">
        <w:rPr>
          <w:color w:val="000000" w:themeColor="text1"/>
          <w:sz w:val="16"/>
          <w:szCs w:val="16"/>
        </w:rPr>
        <w:softHyphen/>
        <w:t>вых, поскольку орудие смещено от продоль</w:t>
      </w:r>
      <w:r w:rsidRPr="00925F26">
        <w:rPr>
          <w:color w:val="000000" w:themeColor="text1"/>
          <w:sz w:val="16"/>
          <w:szCs w:val="16"/>
        </w:rPr>
        <w:softHyphen/>
        <w:t>ной оси машины как раз вправо. Перегрузка передних катков приводила к деформации их дисков, разрушению резиновой грузошины и шарикоподшипников ступиц.</w:t>
      </w:r>
    </w:p>
    <w:p w14:paraId="473479FC" w14:textId="77777777" w:rsidR="00326301" w:rsidRPr="00925F26" w:rsidRDefault="00326301" w:rsidP="00925F26">
      <w:pPr>
        <w:jc w:val="both"/>
        <w:rPr>
          <w:color w:val="000000" w:themeColor="text1"/>
          <w:sz w:val="16"/>
          <w:szCs w:val="16"/>
        </w:rPr>
      </w:pPr>
      <w:r w:rsidRPr="00925F26">
        <w:rPr>
          <w:color w:val="000000" w:themeColor="text1"/>
          <w:sz w:val="16"/>
          <w:szCs w:val="16"/>
        </w:rPr>
        <w:t>Испытания трех вариантов усиления передних катков провели еще в марте: со сту</w:t>
      </w:r>
      <w:r w:rsidRPr="00925F26">
        <w:rPr>
          <w:color w:val="000000" w:themeColor="text1"/>
          <w:sz w:val="16"/>
          <w:szCs w:val="16"/>
        </w:rPr>
        <w:softHyphen/>
        <w:t>пицей на трех подшипниках, с утолщенным диском катка и старый каток, но со ступицей на трех подшипниках. В итоге, с сотой маши</w:t>
      </w:r>
      <w:r w:rsidRPr="00925F26">
        <w:rPr>
          <w:color w:val="000000" w:themeColor="text1"/>
          <w:sz w:val="16"/>
          <w:szCs w:val="16"/>
        </w:rPr>
        <w:softHyphen/>
        <w:t>ны майской программы УЗТМ вместо двух подшипников ступицы начали ставить три, диски катков с этого же момента штамповали из листовой стали толщиной 16 мм вместо прежней 10-мм и еще усилили конструкцию заменой 16-мм стяжных болтов дисков внеш</w:t>
      </w:r>
      <w:r w:rsidRPr="00925F26">
        <w:rPr>
          <w:color w:val="000000" w:themeColor="text1"/>
          <w:sz w:val="16"/>
          <w:szCs w:val="16"/>
        </w:rPr>
        <w:softHyphen/>
        <w:t>него и внутреннего «блинов» болтами увели</w:t>
      </w:r>
      <w:r w:rsidRPr="00925F26">
        <w:rPr>
          <w:color w:val="000000" w:themeColor="text1"/>
          <w:sz w:val="16"/>
          <w:szCs w:val="16"/>
        </w:rPr>
        <w:softHyphen/>
        <w:t>ченного до 20 мм диаметра. Из всех этих изменений снаружи видны только увеличен</w:t>
      </w:r>
      <w:r w:rsidRPr="00925F26">
        <w:rPr>
          <w:color w:val="000000" w:themeColor="text1"/>
          <w:sz w:val="16"/>
          <w:szCs w:val="16"/>
        </w:rPr>
        <w:softHyphen/>
        <w:t>ные головки новых болтов внешнего ряда - они на передних катках нового типа такие же, как и головки болтов крепления катка к сту</w:t>
      </w:r>
      <w:r w:rsidRPr="00925F26">
        <w:rPr>
          <w:color w:val="000000" w:themeColor="text1"/>
          <w:sz w:val="16"/>
          <w:szCs w:val="16"/>
        </w:rPr>
        <w:softHyphen/>
        <w:t>пице (размер под ключ 30 мм, диаметр опи</w:t>
      </w:r>
      <w:r w:rsidRPr="00925F26">
        <w:rPr>
          <w:color w:val="000000" w:themeColor="text1"/>
          <w:sz w:val="16"/>
          <w:szCs w:val="16"/>
        </w:rPr>
        <w:softHyphen/>
        <w:t>санной окружности 33 мм). На втором-пятом катках головки болтов внешнего ряда оста</w:t>
      </w:r>
      <w:r w:rsidRPr="00925F26">
        <w:rPr>
          <w:color w:val="000000" w:themeColor="text1"/>
          <w:sz w:val="16"/>
          <w:szCs w:val="16"/>
        </w:rPr>
        <w:softHyphen/>
        <w:t>лись прежние - меньшего размера (под ключ - 24 мм, диаметр описанной окружности 26,2 мм) (19927).</w:t>
      </w:r>
    </w:p>
    <w:p w14:paraId="433886FF" w14:textId="77777777" w:rsidR="00326301" w:rsidRPr="00925F26" w:rsidRDefault="00326301" w:rsidP="00925F26">
      <w:pPr>
        <w:jc w:val="both"/>
        <w:rPr>
          <w:color w:val="000000" w:themeColor="text1"/>
          <w:sz w:val="16"/>
          <w:szCs w:val="16"/>
        </w:rPr>
      </w:pPr>
    </w:p>
    <w:p w14:paraId="615F9837" w14:textId="77777777" w:rsidR="009D1B31" w:rsidRPr="00925F26" w:rsidRDefault="009D1B31" w:rsidP="00925F26">
      <w:pPr>
        <w:jc w:val="both"/>
        <w:rPr>
          <w:color w:val="000000" w:themeColor="text1"/>
          <w:sz w:val="16"/>
          <w:szCs w:val="16"/>
        </w:rPr>
      </w:pPr>
      <w:r w:rsidRPr="00925F26">
        <w:rPr>
          <w:color w:val="000000" w:themeColor="text1"/>
          <w:sz w:val="16"/>
          <w:szCs w:val="16"/>
        </w:rPr>
        <w:lastRenderedPageBreak/>
        <w:t>К 1 мая 1945 года изготовлялся корпус Су-101, предназначавшийся для испытаний обстрелом. Также появилась и вторая опытная машина, которая сдавалась к 15 мая. Обозначалась она как СУ-102, она же "Уралмаш-2". Согласно исходному заданию, главным отличием СУ-102 становилась 122-мм пушка Д-25с. Ее появление было связано с тем, что Д-10с поражала лоб "Пантеры" с дистанции 1300-1400 метров. Д-25 делала это с вдвое большей дистанции.</w:t>
      </w:r>
    </w:p>
    <w:p w14:paraId="2B5F52AB" w14:textId="77777777" w:rsidR="009D1B31" w:rsidRPr="00925F26" w:rsidRDefault="009D1B31" w:rsidP="00925F26">
      <w:pPr>
        <w:jc w:val="both"/>
        <w:rPr>
          <w:color w:val="000000" w:themeColor="text1"/>
          <w:sz w:val="16"/>
          <w:szCs w:val="16"/>
        </w:rPr>
      </w:pPr>
      <w:r w:rsidRPr="00925F26">
        <w:rPr>
          <w:color w:val="000000" w:themeColor="text1"/>
          <w:sz w:val="16"/>
          <w:szCs w:val="16"/>
        </w:rPr>
        <w:t>Концепция СУ-101 в полной мере отражала видение Красной Армией штурмовой САУ. Как показывали результаты изучения поражения советских танков и САУ, в 1944 году наибольшую опасность несли орудия калибра 88 мм. Поэтому СУ-101 создавалась с расчетом на защиту от 88-мм пушки Pak 43. Следует отметить, что на испытаниях обстрелом корпус СУ-101 выдержал попадания немецкого орудия в лоб корпуса и рубки. И это при боевой массе 34 тонны. Такой защиты не обеспечивала ни одна другая САУ средней весовой категории.</w:t>
      </w:r>
    </w:p>
    <w:p w14:paraId="02F3380D" w14:textId="77777777" w:rsidR="009D1B31" w:rsidRPr="00925F26" w:rsidRDefault="009D1B31" w:rsidP="00925F26">
      <w:pPr>
        <w:jc w:val="both"/>
        <w:rPr>
          <w:color w:val="000000" w:themeColor="text1"/>
          <w:sz w:val="16"/>
          <w:szCs w:val="16"/>
        </w:rPr>
      </w:pPr>
      <w:r w:rsidRPr="00925F26">
        <w:rPr>
          <w:color w:val="000000" w:themeColor="text1"/>
          <w:sz w:val="16"/>
          <w:szCs w:val="16"/>
        </w:rPr>
        <w:t>Также удачной идеей стало размещение боевого отделения в кормовой части корпуса. Во-первых, вылет ствола за габариты машины оказался минимален. Во-вторых, боевое отделение получилось более просторным, а боекомплект получился чуть больше, чем у СУ-100. Существенно лучше оказались условия работы механика-водителя. Теперь у него не было орудия возле правого уха. Более удачной оказалась схема попадания экипажа в боевое отделение, также она оказалась более удобной при длительном огне с закрытых позиций.</w:t>
      </w:r>
    </w:p>
    <w:p w14:paraId="47B9FA9A" w14:textId="77777777" w:rsidR="009D1B31" w:rsidRPr="00925F26" w:rsidRDefault="009D1B31" w:rsidP="00925F26">
      <w:pPr>
        <w:jc w:val="both"/>
        <w:rPr>
          <w:color w:val="000000" w:themeColor="text1"/>
          <w:sz w:val="16"/>
          <w:szCs w:val="16"/>
        </w:rPr>
      </w:pPr>
      <w:r w:rsidRPr="00925F26">
        <w:rPr>
          <w:color w:val="000000" w:themeColor="text1"/>
          <w:sz w:val="16"/>
          <w:szCs w:val="16"/>
        </w:rPr>
        <w:t>Вместе с тем, имелись и недостатки. СУ-101 получилась на 1,5 тонны тяжелее изначального задания. Это привело, в том числе, и к повышенному температурному режиму мотора. Дополнительной проблемой стала система охлаждения, которая поначалу работала не очень эффективно. Имелись проблемы и с размещением механика-водителя. Ему оказалось неудобно работать, а еще ОЧЕНЬ тепло. На первых испытаниях механик-водитель мог проехать не более 7 километров, далее он был вынужден вылезать и ждать, когда машина остынет.</w:t>
      </w:r>
    </w:p>
    <w:p w14:paraId="44CFC269" w14:textId="77777777" w:rsidR="009D1B31" w:rsidRPr="00925F26" w:rsidRDefault="009D1B31" w:rsidP="00925F26">
      <w:pPr>
        <w:jc w:val="both"/>
        <w:rPr>
          <w:color w:val="000000" w:themeColor="text1"/>
          <w:sz w:val="16"/>
          <w:szCs w:val="16"/>
        </w:rPr>
      </w:pPr>
      <w:r w:rsidRPr="00925F26">
        <w:rPr>
          <w:color w:val="000000" w:themeColor="text1"/>
          <w:sz w:val="16"/>
          <w:szCs w:val="16"/>
        </w:rPr>
        <w:t>Проблемы с отделением управления оказались настолько серьёзными, что сдачу СУ-102 пришлось задержать. Помимо улучшений отделения управления, работы провели и по улучшению системы охлаждения. Испытания показали, что работать машина стала лучше. Тем не менее, обе САУ ушли в переделку (23527).</w:t>
      </w:r>
    </w:p>
    <w:p w14:paraId="7162062A" w14:textId="77777777" w:rsidR="009D1B31" w:rsidRPr="00925F26" w:rsidRDefault="009D1B31" w:rsidP="00925F26">
      <w:pPr>
        <w:jc w:val="both"/>
        <w:rPr>
          <w:color w:val="000000" w:themeColor="text1"/>
          <w:sz w:val="16"/>
          <w:szCs w:val="16"/>
        </w:rPr>
      </w:pPr>
    </w:p>
    <w:p w14:paraId="767FA64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вышло Постановление ГКО № 8373 [О мерах по обеспечению перевозок грузов Норильского комбината НКВД из Архангельска в Дудинку.] (7335, 92).</w:t>
      </w:r>
    </w:p>
    <w:p w14:paraId="1A1BF16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09BC7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вышло Распоряжение ГКО № 8376 [О выделении 4,7 тыс. военнослужащих на сплавные и выгрузочные работы Наркомлеса, НКБП и НКПС.] (7335, 95).</w:t>
      </w:r>
    </w:p>
    <w:p w14:paraId="398EE65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A2830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года мощность Ростсельмаша по выпуску 120 мм мин составляла 30000 штук в месяц. После войны цех по выпуску мин использован под общежитие Лагеря военнопленных (9663).</w:t>
      </w:r>
    </w:p>
    <w:p w14:paraId="32E569CA" w14:textId="77777777" w:rsidR="00665165" w:rsidRPr="00925F26" w:rsidRDefault="00665165" w:rsidP="00925F26">
      <w:pPr>
        <w:autoSpaceDE w:val="0"/>
        <w:autoSpaceDN w:val="0"/>
        <w:adjustRightInd w:val="0"/>
        <w:jc w:val="both"/>
        <w:rPr>
          <w:color w:val="000000" w:themeColor="text1"/>
          <w:sz w:val="16"/>
          <w:szCs w:val="16"/>
        </w:rPr>
      </w:pPr>
    </w:p>
    <w:p w14:paraId="261836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Балтийцы строили 17 ТЩ типа МТ-2: 6 находились на плаву, 5 готовились к спуску на воду, 3 - на поточной линии, 3 заложены. В ремонте у заводского пирса стояли линкор, 2 крейсера, 2 эсминца и 3 ПЛ (10671).</w:t>
      </w:r>
    </w:p>
    <w:p w14:paraId="09E1A8B2" w14:textId="77777777" w:rsidR="00665165" w:rsidRPr="00925F26" w:rsidRDefault="00665165" w:rsidP="00925F26">
      <w:pPr>
        <w:autoSpaceDE w:val="0"/>
        <w:autoSpaceDN w:val="0"/>
        <w:adjustRightInd w:val="0"/>
        <w:jc w:val="both"/>
        <w:rPr>
          <w:color w:val="000000" w:themeColor="text1"/>
          <w:sz w:val="16"/>
          <w:szCs w:val="16"/>
        </w:rPr>
      </w:pPr>
    </w:p>
    <w:p w14:paraId="31116F2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4E33299" w14:textId="77777777" w:rsidR="00665165" w:rsidRPr="00925F26" w:rsidRDefault="00665165" w:rsidP="00925F26">
      <w:pPr>
        <w:autoSpaceDE w:val="0"/>
        <w:autoSpaceDN w:val="0"/>
        <w:adjustRightInd w:val="0"/>
        <w:jc w:val="both"/>
        <w:rPr>
          <w:iCs/>
          <w:color w:val="000000" w:themeColor="text1"/>
          <w:sz w:val="16"/>
          <w:szCs w:val="16"/>
        </w:rPr>
      </w:pPr>
    </w:p>
    <w:p w14:paraId="1B18C6DD" w14:textId="77777777" w:rsidR="007D65F3" w:rsidRPr="00925F26" w:rsidRDefault="007D65F3"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оперативная сводка Совинформбюро: </w:t>
      </w:r>
    </w:p>
    <w:p w14:paraId="2091D75E" w14:textId="77777777" w:rsidR="007D65F3" w:rsidRPr="00925F26" w:rsidRDefault="007D65F3" w:rsidP="00925F26">
      <w:pPr>
        <w:jc w:val="both"/>
        <w:rPr>
          <w:color w:val="000000" w:themeColor="text1"/>
          <w:sz w:val="16"/>
          <w:szCs w:val="16"/>
        </w:rPr>
      </w:pPr>
      <w:r w:rsidRPr="00925F26">
        <w:rPr>
          <w:color w:val="000000" w:themeColor="text1"/>
          <w:sz w:val="16"/>
          <w:szCs w:val="16"/>
        </w:rPr>
        <w:t>«В течение 1 мая юго-западнее города и порта Пиллау войска 3-го Белорусского фронта вели бои по очищению от противника косы Фриш-Нерунг и заняли населённые пункты Нармельн, Брандхайдшер, Нойкруг и Феглерс.</w:t>
      </w:r>
    </w:p>
    <w:p w14:paraId="15FFE4C7" w14:textId="77777777" w:rsidR="007D65F3" w:rsidRPr="00925F26" w:rsidRDefault="007D65F3" w:rsidP="00925F26">
      <w:pPr>
        <w:jc w:val="both"/>
        <w:rPr>
          <w:color w:val="000000" w:themeColor="text1"/>
          <w:sz w:val="16"/>
          <w:szCs w:val="16"/>
        </w:rPr>
      </w:pPr>
      <w:r w:rsidRPr="00925F26">
        <w:rPr>
          <w:color w:val="000000" w:themeColor="text1"/>
          <w:sz w:val="16"/>
          <w:szCs w:val="16"/>
        </w:rPr>
        <w:t>Войска 2-го Белорусского фронта, развивая стремительное наступление, 1 мая овладели городами Штральзунд, Гриммен, Деммин, Мальхин, Варен, Везен-Берг — важными узлами дорог и сильными опорными пунктами обороны немцев, а также заняли крупные населённые пункты Штейнхаген, Абтсхаген, Гремерс-Дорф, Дейельсдорф, Гнойен, Даргун, Нойкален, Штавенхаген, Гилов, Швинкендорф, Мелленхаген, Кратцебург, Квальцов, Штразен. В боях за 30 апреля войска фронта взяли в плен 8.500 немецких солдат и офицеров и захватили 66 самолётов и 100 полевых орудий.</w:t>
      </w:r>
    </w:p>
    <w:p w14:paraId="14F85F8B" w14:textId="77777777" w:rsidR="007D65F3" w:rsidRPr="00925F26" w:rsidRDefault="007D65F3" w:rsidP="00925F26">
      <w:pPr>
        <w:jc w:val="both"/>
        <w:rPr>
          <w:color w:val="000000" w:themeColor="text1"/>
          <w:sz w:val="16"/>
          <w:szCs w:val="16"/>
        </w:rPr>
      </w:pPr>
      <w:r w:rsidRPr="00925F26">
        <w:rPr>
          <w:color w:val="000000" w:themeColor="text1"/>
          <w:sz w:val="16"/>
          <w:szCs w:val="16"/>
        </w:rPr>
        <w:t>Войска 1-го Белорусского фронта 1 мая штурмом овладели городом Бранденбург — центром Бранденбургской провинции и мощным опорным пунктом обороны немцев в Центральной Германии. Одновременно северо-западнее Берлина войска фронта, продолжая наступление, с боями заняли город ЛИНДОВ и крупные населённые пункты Альтруппин, Херцберг, Вутенов, Лихтенберг, Нарве, Беетц, Зоммерфельд. В Берлине войска фронта очистили от противника городские районы Шарлоттенбург, Шенеберг и в центральной части города заняли более 100 кварталов. В боях за 30 апреля войска фронта взяли в плен более 14.000 немецких солдат и офицеров.</w:t>
      </w:r>
    </w:p>
    <w:p w14:paraId="17760248" w14:textId="77777777" w:rsidR="007D65F3" w:rsidRPr="00925F26" w:rsidRDefault="007D65F3" w:rsidP="00925F26">
      <w:pPr>
        <w:jc w:val="both"/>
        <w:rPr>
          <w:color w:val="000000" w:themeColor="text1"/>
          <w:sz w:val="16"/>
          <w:szCs w:val="16"/>
        </w:rPr>
      </w:pPr>
      <w:r w:rsidRPr="00925F26">
        <w:rPr>
          <w:color w:val="000000" w:themeColor="text1"/>
          <w:sz w:val="16"/>
          <w:szCs w:val="16"/>
        </w:rPr>
        <w:t>Южнее Берлина наши войска продолжали вести бои по уничтожению остатков окружённой группы немецких войск в лесах восточнее города Лукенвальде. В ходе боёв наши войска расчленили противника на две изолированные друг от друга части и вели успешные бои по их уничтожению.</w:t>
      </w:r>
    </w:p>
    <w:p w14:paraId="25425322" w14:textId="77777777" w:rsidR="007D65F3" w:rsidRPr="00925F26" w:rsidRDefault="007D65F3"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1 мая овладели городами Богумин, Фриштат, Скочув, Чадца и Великая Битча — важными узлами дорог и сильными опорными пунктами обороны немцев в полосе Западных Карпат, а также заняли крупные населённые пункты Скржипов, Маркерсдорф, Слатина, Биловец, Климковице, Витковице, Дьетмаровице, Петровице, Скалите, Догубари, Оходница, Нове Место, Плевник.</w:t>
      </w:r>
    </w:p>
    <w:p w14:paraId="7C7C040F" w14:textId="77777777" w:rsidR="007D65F3" w:rsidRPr="00925F26" w:rsidRDefault="007D65F3" w:rsidP="00925F26">
      <w:pPr>
        <w:jc w:val="both"/>
        <w:rPr>
          <w:color w:val="000000" w:themeColor="text1"/>
          <w:sz w:val="16"/>
          <w:szCs w:val="16"/>
        </w:rPr>
      </w:pPr>
      <w:r w:rsidRPr="00925F26">
        <w:rPr>
          <w:color w:val="000000" w:themeColor="text1"/>
          <w:sz w:val="16"/>
          <w:szCs w:val="16"/>
        </w:rPr>
        <w:t>Восточнее города Брно войска 2-го Украинского фронта с боями заняли город Вышков и крупные населённые пункты Пухов, Ледницке, Кошеца, Илява, Дубница, Немшова, Житкова, Бискупице, Биловице, Бабице, Роштын, Пустимерж.</w:t>
      </w:r>
    </w:p>
    <w:p w14:paraId="3CB4A2F1" w14:textId="77777777" w:rsidR="007D65F3" w:rsidRPr="00925F26" w:rsidRDefault="007D65F3"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78DBDC2D" w14:textId="77777777" w:rsidR="007D65F3" w:rsidRPr="00925F26" w:rsidRDefault="007D65F3" w:rsidP="00925F26">
      <w:pPr>
        <w:jc w:val="both"/>
        <w:rPr>
          <w:color w:val="000000" w:themeColor="text1"/>
          <w:sz w:val="16"/>
          <w:szCs w:val="16"/>
        </w:rPr>
      </w:pPr>
      <w:r w:rsidRPr="00925F26">
        <w:rPr>
          <w:color w:val="000000" w:themeColor="text1"/>
          <w:sz w:val="16"/>
          <w:szCs w:val="16"/>
        </w:rPr>
        <w:t>За 30 апреля на всех фронтах подбито и уничтожено 98 немецких танков и самоходных орудий. В воздушных боях и огнём зенитной артиллерии сбито 26 самолётов противника.»</w:t>
      </w:r>
    </w:p>
    <w:p w14:paraId="259AA861" w14:textId="77777777" w:rsidR="007D65F3" w:rsidRPr="00925F26" w:rsidRDefault="007D65F3" w:rsidP="00925F26">
      <w:pPr>
        <w:jc w:val="both"/>
        <w:rPr>
          <w:color w:val="000000" w:themeColor="text1"/>
          <w:sz w:val="16"/>
          <w:szCs w:val="16"/>
        </w:rPr>
      </w:pPr>
      <w:r w:rsidRPr="00925F26">
        <w:rPr>
          <w:color w:val="000000" w:themeColor="text1"/>
          <w:sz w:val="16"/>
          <w:szCs w:val="16"/>
        </w:rPr>
        <w:t>Налёт нашей авиации на Свинемюнде:</w:t>
      </w:r>
    </w:p>
    <w:p w14:paraId="393A58CC" w14:textId="77777777" w:rsidR="007D65F3" w:rsidRPr="00925F26" w:rsidRDefault="007D65F3" w:rsidP="00925F26">
      <w:pPr>
        <w:jc w:val="both"/>
        <w:rPr>
          <w:color w:val="000000" w:themeColor="text1"/>
          <w:sz w:val="16"/>
          <w:szCs w:val="16"/>
        </w:rPr>
      </w:pPr>
      <w:r w:rsidRPr="00925F26">
        <w:rPr>
          <w:color w:val="000000" w:themeColor="text1"/>
          <w:sz w:val="16"/>
          <w:szCs w:val="16"/>
        </w:rPr>
        <w:t>«В ночь на 1 мая наши тяжёлые бомбардировщики нанесли массированный удар по военным объектам противника в Свинемюнде. В результате этого удара на территории судоверфей и в порту возникло 14 пожаров, сопровождавшихся взрывами большой силы.»</w:t>
      </w:r>
    </w:p>
    <w:p w14:paraId="0E6D4F7F" w14:textId="77777777" w:rsidR="007D65F3" w:rsidRPr="00925F26" w:rsidRDefault="007D65F3" w:rsidP="00925F26">
      <w:pPr>
        <w:jc w:val="both"/>
        <w:rPr>
          <w:color w:val="000000" w:themeColor="text1"/>
          <w:sz w:val="16"/>
          <w:szCs w:val="16"/>
        </w:rPr>
      </w:pPr>
      <w:r w:rsidRPr="00925F26">
        <w:rPr>
          <w:color w:val="000000" w:themeColor="text1"/>
          <w:sz w:val="16"/>
          <w:szCs w:val="16"/>
        </w:rPr>
        <w:t>«Войска 2-го Белорусского фронта продолжали успешное наступление. Все попытки противника задержаться на промежуточных рубежах сорваны решительными действиями советских войск. На шоссейной дороге Грайфсвальд — Штральзунд наши танкисты атаковали и разгромили большие колонны немецкой пехоты. Взято несколько тысяч пленных. Сегодня наши войска с боями продвинулись вперёд на 30 километров и стремительным ударом овладели городом Штральзунд — сильным опорным пунктом обороны немцев. Штрадьзунд — крупный узел железных, и шоссейных дорог и порт на Балтийском море. Захвачено у немцев 23 паровоза, свыше тысячи вагонов и много других трофеев.</w:t>
      </w:r>
    </w:p>
    <w:p w14:paraId="128F7642" w14:textId="77777777" w:rsidR="007D65F3" w:rsidRPr="00925F26" w:rsidRDefault="007D65F3" w:rsidP="00925F26">
      <w:pPr>
        <w:jc w:val="both"/>
        <w:rPr>
          <w:color w:val="000000" w:themeColor="text1"/>
          <w:sz w:val="16"/>
          <w:szCs w:val="16"/>
        </w:rPr>
      </w:pPr>
      <w:r w:rsidRPr="00925F26">
        <w:rPr>
          <w:color w:val="000000" w:themeColor="text1"/>
          <w:sz w:val="16"/>
          <w:szCs w:val="16"/>
        </w:rPr>
        <w:t>Войска 1-го Белорусского фронта продолжали наступление. Советские пехотинцы, танкисты и кавалеристы обошли цепь озёр, прикрывающую город Бранденбург. Сломив упорное вражеское сопротивление, наши части ворвались в Бранденбург с севера и штурмом овладеет городом. Бранденбург — крупный промышленный центр. В нём имеются автомобильные, машиностроительные, химические заводы и судостроительные верфи.</w:t>
      </w:r>
    </w:p>
    <w:p w14:paraId="24B88185" w14:textId="77777777" w:rsidR="007D65F3" w:rsidRPr="00925F26" w:rsidRDefault="007D65F3" w:rsidP="00925F26">
      <w:pPr>
        <w:jc w:val="both"/>
        <w:rPr>
          <w:color w:val="000000" w:themeColor="text1"/>
          <w:sz w:val="16"/>
          <w:szCs w:val="16"/>
        </w:rPr>
      </w:pPr>
      <w:r w:rsidRPr="00925F26">
        <w:rPr>
          <w:color w:val="000000" w:themeColor="text1"/>
          <w:sz w:val="16"/>
          <w:szCs w:val="16"/>
        </w:rPr>
        <w:t>В Берлине войска фронта вели ожесточённые уличные бои. Советские части подавили узлы сопротивления противника на улице Бисмарк-штрассе и подошли к парку Тиргартен с запада. Бои идут за каждую улицу, квартал, отдельные дома, квартиры и подвалы, в которых засели гитлеровцы. Наши штурмовые группы сегодня с боями заняли более ста кварталов в центре города. К исходу дня городские районы Шарлоттен-бург и Шенеберг были полностью очищены от противника. За день боёв уничтожено свыше 8 тысяч немецких солдат и офицеров. Захвачено много трофеев.</w:t>
      </w:r>
    </w:p>
    <w:p w14:paraId="554D7FFD" w14:textId="77777777" w:rsidR="007D65F3" w:rsidRPr="00925F26" w:rsidRDefault="007D65F3" w:rsidP="00925F26">
      <w:pPr>
        <w:jc w:val="both"/>
        <w:rPr>
          <w:color w:val="000000" w:themeColor="text1"/>
          <w:sz w:val="16"/>
          <w:szCs w:val="16"/>
        </w:rPr>
      </w:pPr>
      <w:r w:rsidRPr="00925F26">
        <w:rPr>
          <w:color w:val="000000" w:themeColor="text1"/>
          <w:sz w:val="16"/>
          <w:szCs w:val="16"/>
        </w:rPr>
        <w:t>Южнее Берлина окружённая группа немецких войск, не считаясь с огромными потерями, продолжает явно безнадёжные попытки прорваться на запад. Советские пехотинцы, танкисты и артиллеристы обложили врага непроницаемой стеной и огнём из всех видов оружия истребляют гитлеровцев. Только одно наше пехотное соединение за день уничтожило 4 тысячи немецких солдат и офицеров. Бойцы этого соединения захватили 28 танков, 31 бронетранспортёр, 78 орудий и другие трофеи. Наши войска расчленили окружённую группу немецких войск на две изолированные друг от друга части и наносят им непрерывные удары.</w:t>
      </w:r>
    </w:p>
    <w:p w14:paraId="1934015A" w14:textId="77777777" w:rsidR="007D65F3" w:rsidRPr="00925F26" w:rsidRDefault="007D65F3" w:rsidP="00925F26">
      <w:pPr>
        <w:jc w:val="both"/>
        <w:rPr>
          <w:color w:val="000000" w:themeColor="text1"/>
          <w:sz w:val="16"/>
          <w:szCs w:val="16"/>
        </w:rPr>
      </w:pPr>
      <w:r w:rsidRPr="00925F26">
        <w:rPr>
          <w:color w:val="000000" w:themeColor="text1"/>
          <w:sz w:val="16"/>
          <w:szCs w:val="16"/>
        </w:rPr>
        <w:t>С величайшей радостью и огромным воодушевлением советский народ встретил первомайский приказ Верховного Главнокомандующего Маршала Советского Союза товарища Сталина. С исключительным подъёмом проходят митинги и собрания рабочих, колхозников и советской интеллигенции, участники которых шлют слова любви и приветствия товарищу Сталину и Красной Армии.</w:t>
      </w:r>
    </w:p>
    <w:p w14:paraId="7B249782" w14:textId="77777777" w:rsidR="007D65F3" w:rsidRPr="00925F26" w:rsidRDefault="007D65F3" w:rsidP="00925F26">
      <w:pPr>
        <w:jc w:val="both"/>
        <w:rPr>
          <w:color w:val="000000" w:themeColor="text1"/>
          <w:sz w:val="16"/>
          <w:szCs w:val="16"/>
        </w:rPr>
      </w:pPr>
      <w:r w:rsidRPr="00925F26">
        <w:rPr>
          <w:color w:val="000000" w:themeColor="text1"/>
          <w:sz w:val="16"/>
          <w:szCs w:val="16"/>
        </w:rPr>
        <w:t xml:space="preserve">В Москве на собрании рабочих механического цеха 1-го Государственного подшипникового завода имени Кагановича выступил фрезеровщик Кашутин. «Мы </w:t>
      </w:r>
      <w:proofErr w:type="gramStart"/>
      <w:r w:rsidRPr="00925F26">
        <w:rPr>
          <w:color w:val="000000" w:themeColor="text1"/>
          <w:sz w:val="16"/>
          <w:szCs w:val="16"/>
        </w:rPr>
        <w:t>переживаем,—</w:t>
      </w:r>
      <w:proofErr w:type="gramEnd"/>
      <w:r w:rsidRPr="00925F26">
        <w:rPr>
          <w:color w:val="000000" w:themeColor="text1"/>
          <w:sz w:val="16"/>
          <w:szCs w:val="16"/>
        </w:rPr>
        <w:t xml:space="preserve"> сказал </w:t>
      </w:r>
      <w:proofErr w:type="gramStart"/>
      <w:r w:rsidRPr="00925F26">
        <w:rPr>
          <w:color w:val="000000" w:themeColor="text1"/>
          <w:sz w:val="16"/>
          <w:szCs w:val="16"/>
        </w:rPr>
        <w:t>он,—</w:t>
      </w:r>
      <w:proofErr w:type="gramEnd"/>
      <w:r w:rsidRPr="00925F26">
        <w:rPr>
          <w:color w:val="000000" w:themeColor="text1"/>
          <w:sz w:val="16"/>
          <w:szCs w:val="16"/>
        </w:rPr>
        <w:t xml:space="preserve"> счастливое время. Наш Верховный Главнокомандующий товарищ Сталин возвестил о том, что мировая война, развязанная германскими империалистами, подходит к концу. Крушение гитлеровской Германии — дело самого ближайшего будущего. Наша родная и славная Красная Армия громит немецко-фашистских захватчиков в Берлине и далеко за Берлином. В ответ на приказ товарища Сталина мы будем неутомимо трудиться и дадим Красной Армии всё, что необходимо для победоносного окончания завершающих боёв».</w:t>
      </w:r>
    </w:p>
    <w:p w14:paraId="45D550CF" w14:textId="77777777" w:rsidR="007D65F3" w:rsidRPr="00925F26" w:rsidRDefault="007D65F3" w:rsidP="00925F26">
      <w:pPr>
        <w:jc w:val="both"/>
        <w:rPr>
          <w:color w:val="000000" w:themeColor="text1"/>
          <w:sz w:val="16"/>
          <w:szCs w:val="16"/>
        </w:rPr>
      </w:pPr>
      <w:r w:rsidRPr="00925F26">
        <w:rPr>
          <w:color w:val="000000" w:themeColor="text1"/>
          <w:sz w:val="16"/>
          <w:szCs w:val="16"/>
        </w:rPr>
        <w:t>В Ленинграде на митинге коллектива завода имени Карла Маркса горячую и взволнованную речь произнёс стахановец тов. Мышкин. Он сказал: «В первомайском приказе товарищ Сталин назвал Ленинград городом-героем. Читая сталинские слова, вспоминаешь всё то, что мы пережили за эти годы. Мы жили и боролись, не щадя своих сил, думая лишь о победе. Великий Сталин провёл нас сквозь все невзгоды и испытания к нынешним радостным дням. В течение всей войны я выполнял задание на двести процентов. Теперь буду работать ещё лучше. Пусть это будет моим салютом нашим воинам-победителям».</w:t>
      </w:r>
    </w:p>
    <w:p w14:paraId="2389F556" w14:textId="77777777" w:rsidR="007D65F3" w:rsidRPr="00925F26" w:rsidRDefault="007D65F3" w:rsidP="00925F26">
      <w:pPr>
        <w:jc w:val="both"/>
        <w:rPr>
          <w:color w:val="000000" w:themeColor="text1"/>
          <w:sz w:val="16"/>
          <w:szCs w:val="16"/>
        </w:rPr>
      </w:pPr>
      <w:r w:rsidRPr="00925F26">
        <w:rPr>
          <w:color w:val="000000" w:themeColor="text1"/>
          <w:sz w:val="16"/>
          <w:szCs w:val="16"/>
        </w:rPr>
        <w:lastRenderedPageBreak/>
        <w:t>В Киеве на митинге рабочих Киевской ТЭЦ выступил котельщик тов. Команышко: «Немецко-фашистские захватчики,— заявил он,— разрушили энергетическое хозяйство столицы Советской Украины. Мы приложим все усилия, чтобы быстрее залечить раны, нанесённые гитлеровцами славному городу Киеву. Приказ товарища Сталина вселяет в нас новые силы, зовёт на новые трудовые подвиги во славу нашей Родины».</w:t>
      </w:r>
    </w:p>
    <w:p w14:paraId="7E959970" w14:textId="77777777" w:rsidR="007D65F3" w:rsidRPr="00925F26" w:rsidRDefault="007D65F3" w:rsidP="00925F26">
      <w:pPr>
        <w:jc w:val="both"/>
        <w:rPr>
          <w:color w:val="000000" w:themeColor="text1"/>
          <w:sz w:val="16"/>
          <w:szCs w:val="16"/>
        </w:rPr>
      </w:pPr>
      <w:r w:rsidRPr="00925F26">
        <w:rPr>
          <w:color w:val="000000" w:themeColor="text1"/>
          <w:sz w:val="16"/>
          <w:szCs w:val="16"/>
        </w:rPr>
        <w:t>В Баку на митинге рабочих 13 промысла треста «Лениннефть» выступил нефтяник Алиев. «</w:t>
      </w:r>
      <w:proofErr w:type="gramStart"/>
      <w:r w:rsidRPr="00925F26">
        <w:rPr>
          <w:color w:val="000000" w:themeColor="text1"/>
          <w:sz w:val="16"/>
          <w:szCs w:val="16"/>
        </w:rPr>
        <w:t>Друзья,—</w:t>
      </w:r>
      <w:proofErr w:type="gramEnd"/>
      <w:r w:rsidRPr="00925F26">
        <w:rPr>
          <w:color w:val="000000" w:themeColor="text1"/>
          <w:sz w:val="16"/>
          <w:szCs w:val="16"/>
        </w:rPr>
        <w:t xml:space="preserve"> сказал </w:t>
      </w:r>
      <w:proofErr w:type="gramStart"/>
      <w:r w:rsidRPr="00925F26">
        <w:rPr>
          <w:color w:val="000000" w:themeColor="text1"/>
          <w:sz w:val="16"/>
          <w:szCs w:val="16"/>
        </w:rPr>
        <w:t>он,—</w:t>
      </w:r>
      <w:proofErr w:type="gramEnd"/>
      <w:r w:rsidRPr="00925F26">
        <w:rPr>
          <w:color w:val="000000" w:themeColor="text1"/>
          <w:sz w:val="16"/>
          <w:szCs w:val="16"/>
        </w:rPr>
        <w:t xml:space="preserve"> над Берлином реет наше знамя победы. Дни гитлеровской Германии сочтены. Нас, тружеников тыла, товарищ Сталин призвал упорным и неутомимым трудом умножать всестороннюю помощь фронту. Мы дали сверх апрельского плана 11 тысяч тонн нефти. Будем работать ещё лучше. Дадим фронту и стране ещё больше горючего».</w:t>
      </w:r>
    </w:p>
    <w:p w14:paraId="4C2C5C8A" w14:textId="77777777" w:rsidR="007D65F3" w:rsidRPr="00925F26" w:rsidRDefault="007D65F3" w:rsidP="00925F26">
      <w:pPr>
        <w:jc w:val="both"/>
        <w:rPr>
          <w:color w:val="000000" w:themeColor="text1"/>
          <w:sz w:val="16"/>
          <w:szCs w:val="16"/>
        </w:rPr>
      </w:pPr>
      <w:r w:rsidRPr="00925F26">
        <w:rPr>
          <w:color w:val="000000" w:themeColor="text1"/>
          <w:sz w:val="16"/>
          <w:szCs w:val="16"/>
        </w:rPr>
        <w:t>На колхозных полях Дона днём и ночью кипит работа. Первомайский приказ товарища Сталина вызвал небывалый патриотический подъём среди колхозников. «Нашему району немцы нанесли тяжёлые раны, — сказал бригадир сельскохозяйственной артели Сельмаш Пеклинского района т. Заруба.— Мы возродили колхозы и заново отстроили станицы. Наш колхоз 25 апреля выполнил план сева ранних колосовых. Мы продолжаем сеять сверх плана. Мы клянемся любимому Сталину собрать высокий урожай и поднять ещё выше мощь нашего советского государства» (14878).</w:t>
      </w:r>
    </w:p>
    <w:p w14:paraId="5CE707E7" w14:textId="77777777" w:rsidR="007D65F3" w:rsidRPr="00925F26" w:rsidRDefault="007D65F3" w:rsidP="00925F26">
      <w:pPr>
        <w:jc w:val="both"/>
        <w:rPr>
          <w:color w:val="000000" w:themeColor="text1"/>
          <w:sz w:val="16"/>
          <w:szCs w:val="16"/>
        </w:rPr>
      </w:pPr>
    </w:p>
    <w:p w14:paraId="262706BB" w14:textId="77777777" w:rsidR="003B3957" w:rsidRPr="00925F26" w:rsidRDefault="003B3957" w:rsidP="00925F26">
      <w:pPr>
        <w:jc w:val="both"/>
        <w:rPr>
          <w:color w:val="000000" w:themeColor="text1"/>
          <w:sz w:val="16"/>
          <w:szCs w:val="16"/>
        </w:rPr>
      </w:pPr>
      <w:r w:rsidRPr="00925F26">
        <w:rPr>
          <w:color w:val="000000" w:themeColor="text1"/>
          <w:sz w:val="16"/>
          <w:szCs w:val="16"/>
        </w:rPr>
        <w:t>До 1 мая 1945 года 1-й запасной штурмовой авиабригадой на современном штурмовом самолете Ил-10 было переучено 11 маршевых авиаполков, из которых большая часть так и не успела попасть на фронт (17490).</w:t>
      </w:r>
    </w:p>
    <w:p w14:paraId="4239F74B" w14:textId="77777777" w:rsidR="003B3957" w:rsidRPr="00925F26" w:rsidRDefault="003B3957" w:rsidP="00925F26">
      <w:pPr>
        <w:jc w:val="both"/>
        <w:rPr>
          <w:color w:val="000000" w:themeColor="text1"/>
          <w:sz w:val="16"/>
          <w:szCs w:val="16"/>
        </w:rPr>
      </w:pPr>
    </w:p>
    <w:p w14:paraId="44D0DD66"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До 1 мая 1945 года 1-й запасной штурмовой авиабригадой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 5 года в составе воздушных армий фронтов насчитывалось 146 самолетов Ил-10. Кроме этого, 12 «десяток» имелось в ВВС ВМФ.</w:t>
      </w:r>
    </w:p>
    <w:p w14:paraId="1BCA7423"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Следует учитывать, что реальный уровень освоения самолета Ил-10 переученных полков был все же не настолько высоким, как того хотелось бы. Установленные нормативные сроки и налет по программе подготовки оказались излишне оптимистичными и не в полной мере отвечали изменившимся (по сравнению с Ил-2) летным данным и взлетно-посадочным качествам самолета Ил-10.</w:t>
      </w:r>
    </w:p>
    <w:p w14:paraId="40D633A3" w14:textId="77777777" w:rsidR="003B3957" w:rsidRPr="00925F26" w:rsidRDefault="003B3957"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Например, инструкторский состав запасных авиаполков 1 заб в ходе летно -тактических учений в конце апреля 1945 года смог выполнить упражнения по бомбометанию и стрельбе по наземной цели на полигоне только с оценкой «удовлетворительно» - средний балл вылетавших групп составил 3,5. При этом из 10 групп (всего 57 экипажей) задание по стрельбе с оценкой «отлично» выполнили только три группы, с оценкой «хорошо» - одна группа, «посредственно» - три группы и три группы задания не выполнили вовсе. Бомбометание с отличными результатами отработали всего шесть экипажей, с оценкой «хорошо» - 21 экипаж и «удовлетворительно» - 30 экипажей. Между тем налет инструкторов бригады на Ил-2 достигал 800-1200 часов, а количество вылетов на боевое применение исчислялось сотнями.</w:t>
      </w:r>
    </w:p>
    <w:p w14:paraId="7487D4A5" w14:textId="77777777" w:rsidR="003B3957" w:rsidRPr="00925F26" w:rsidRDefault="003B3957"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Инструкторы жаловались, что из-за повышенной скорости при пикировании они не успевают точно определить дальность до цели, учесть поправку на ветер, прицелиться, ввести поправку в прицеливание и выполнить положенную очередь из пушек и пулеметов в 10 и 40 патронов соответственно. По этим же причинам ошибка в определении момента сброса бомб вызывала заметно больший промах бомб по сравнению с самолетом Ил-2. Естественное желание «притормозить» на пикировании путем уменьшения угла пикирования при атаке цели приводило к снижению точности стрельбы и бомбометания уже за счет малых углов. Летчики предлагали увеличить количество заходов для стрельбы и бомбометания при отработке упражнений согласно «Курсу боевой подготовки штурмовой авиации 1944 г.», «так как Курс рассчитан на Ил -2, а Ил-10 сложнее».</w:t>
      </w:r>
    </w:p>
    <w:p w14:paraId="19F5B561"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Опять же из-за повышенной скорости полета инструкторам с большим трудом поначалу удавалось соблюдать компактный боевой порядок как во время атаки цели, так на выходе из атаки и отходе от цели. Маневр по вертикали, главное достоинство Ил-10, выполнялся неэнергичный.</w:t>
      </w:r>
    </w:p>
    <w:p w14:paraId="023C1266"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Летчики маршевых полков и вовсе показывали далеко не лучшие результаты. Так, при проведении проверки летно -боевой готовности полков 7 шак в мае 45-го выяснилось, что экипажи 807, 686, 503 и 806 шап «абсолютно не имеют представления о бомбометании с пикирования, высоту сбрасывания не выдерживают, маневрирование не выполняют, большинство сбрасывают бомбы не прицельно». 17 летчиками 686 шап было сброшено 34 бомбы. На полигоне было найдено только 9 бомб, из них 3 бомбы попали в цель, 3 бомбы «размазаны» по полигону и 3 бомбы группы майора Белова сброшены точно на КП полигона. Примерно так же отработал и 807-й штурмовой авиаполк, который «разбросал все бомбы по полигону». В 503 шап бомбометание с оценкой «отлично» выполнили только 2 экипажа, «хорошо» - 4 экипажа, «посредственно» - 4 экипажа и 16 экипажей задание не выполнили... (17490).</w:t>
      </w:r>
    </w:p>
    <w:p w14:paraId="559A8375" w14:textId="77777777" w:rsidR="003B3957" w:rsidRPr="00925F26" w:rsidRDefault="003B3957" w:rsidP="00925F26">
      <w:pPr>
        <w:jc w:val="both"/>
        <w:rPr>
          <w:rStyle w:val="107"/>
          <w:rFonts w:eastAsiaTheme="minorHAnsi"/>
          <w:color w:val="000000" w:themeColor="text1"/>
          <w:sz w:val="16"/>
          <w:szCs w:val="16"/>
        </w:rPr>
      </w:pPr>
    </w:p>
    <w:p w14:paraId="23B20663"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К 1 мая 1945 из Львова на аэродром Шрода перебросили 10 самолетов Ил-10 78 полка. Одновременно все имевшиеся в наличии штурмовики Ил-2 передавались в другие части дивизии.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вылетала на Ил-10. Однако к этому времени война подошла к концу и 78 гшап в бой не вводился.</w:t>
      </w:r>
    </w:p>
    <w:p w14:paraId="7FABB723" w14:textId="77777777" w:rsidR="003B3957" w:rsidRPr="00925F26" w:rsidRDefault="003B3957" w:rsidP="00925F26">
      <w:pPr>
        <w:jc w:val="both"/>
        <w:rPr>
          <w:color w:val="000000" w:themeColor="text1"/>
          <w:sz w:val="16"/>
          <w:szCs w:val="16"/>
        </w:rPr>
      </w:pPr>
      <w:r w:rsidRPr="00925F26">
        <w:rPr>
          <w:rStyle w:val="107"/>
          <w:rFonts w:eastAsiaTheme="minorHAnsi"/>
          <w:color w:val="000000" w:themeColor="text1"/>
          <w:sz w:val="16"/>
          <w:szCs w:val="16"/>
        </w:rPr>
        <w:t>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по 19 декабря 1944 года.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799DBC3D" w14:textId="77777777" w:rsidR="003B3957" w:rsidRPr="00925F26" w:rsidRDefault="003B3957" w:rsidP="00925F26">
      <w:pPr>
        <w:jc w:val="both"/>
        <w:rPr>
          <w:rStyle w:val="107"/>
          <w:rFonts w:eastAsiaTheme="minorHAnsi"/>
          <w:color w:val="000000" w:themeColor="text1"/>
          <w:sz w:val="16"/>
          <w:szCs w:val="16"/>
        </w:rPr>
      </w:pPr>
    </w:p>
    <w:p w14:paraId="38519C55" w14:textId="77777777" w:rsidR="00E726F2" w:rsidRPr="001A0BAA" w:rsidRDefault="00E726F2" w:rsidP="00E726F2">
      <w:pPr>
        <w:jc w:val="both"/>
        <w:rPr>
          <w:color w:val="0070C0"/>
          <w:sz w:val="16"/>
          <w:szCs w:val="16"/>
        </w:rPr>
      </w:pPr>
      <w:r w:rsidRPr="001A0BAA">
        <w:rPr>
          <w:color w:val="0070C0"/>
          <w:sz w:val="16"/>
          <w:szCs w:val="16"/>
        </w:rPr>
        <w:t>На 1 мая 1945 г. советские ВВС располага</w:t>
      </w:r>
      <w:r w:rsidRPr="001A0BAA">
        <w:rPr>
          <w:color w:val="0070C0"/>
          <w:sz w:val="16"/>
          <w:szCs w:val="16"/>
        </w:rPr>
        <w:softHyphen/>
        <w:t>ли 935 «Бостонами». Более двух третей из них являлись маши</w:t>
      </w:r>
      <w:r w:rsidRPr="001A0BAA">
        <w:rPr>
          <w:color w:val="0070C0"/>
          <w:sz w:val="16"/>
          <w:szCs w:val="16"/>
        </w:rPr>
        <w:softHyphen/>
        <w:t>нами модификации G. Но следует указать, что значительная часть «Бостонов» перешла в морскую авиацию (24995).</w:t>
      </w:r>
    </w:p>
    <w:p w14:paraId="2DE741BF" w14:textId="77777777" w:rsidR="00E726F2" w:rsidRPr="001A0BAA" w:rsidRDefault="00E726F2" w:rsidP="00E726F2">
      <w:pPr>
        <w:jc w:val="both"/>
        <w:rPr>
          <w:color w:val="0070C0"/>
          <w:sz w:val="16"/>
          <w:szCs w:val="16"/>
        </w:rPr>
      </w:pPr>
    </w:p>
    <w:p w14:paraId="1BD20033" w14:textId="77777777" w:rsidR="00E726F2" w:rsidRPr="001A0BAA" w:rsidRDefault="00E726F2" w:rsidP="00E726F2">
      <w:pPr>
        <w:jc w:val="both"/>
        <w:rPr>
          <w:color w:val="0070C0"/>
          <w:sz w:val="16"/>
          <w:szCs w:val="16"/>
        </w:rPr>
      </w:pPr>
      <w:r w:rsidRPr="001A0BAA">
        <w:rPr>
          <w:color w:val="0070C0"/>
          <w:sz w:val="16"/>
          <w:szCs w:val="16"/>
        </w:rPr>
        <w:t>На 1 мая 1945 г. ВВС имели 116 истребителей Р-47, из них 114 в строевых частях, но все они дислоцировались в тыловых округах, вдали от фронта.</w:t>
      </w:r>
    </w:p>
    <w:p w14:paraId="625E66C3" w14:textId="77777777" w:rsidR="00E726F2" w:rsidRPr="001A0BAA" w:rsidRDefault="00E726F2" w:rsidP="00E726F2">
      <w:pPr>
        <w:jc w:val="both"/>
        <w:rPr>
          <w:color w:val="0070C0"/>
          <w:sz w:val="16"/>
          <w:szCs w:val="16"/>
        </w:rPr>
      </w:pPr>
      <w:r w:rsidRPr="001A0BAA">
        <w:rPr>
          <w:color w:val="0070C0"/>
          <w:sz w:val="16"/>
          <w:szCs w:val="16"/>
        </w:rPr>
        <w:t>В качестве перехватчиков Р-47 страдали одним очень существен</w:t>
      </w:r>
      <w:r w:rsidRPr="001A0BAA">
        <w:rPr>
          <w:color w:val="0070C0"/>
          <w:sz w:val="16"/>
          <w:szCs w:val="16"/>
        </w:rPr>
        <w:softHyphen/>
        <w:t>ным недостатком: плохой скороподъем</w:t>
      </w:r>
      <w:r w:rsidRPr="001A0BAA">
        <w:rPr>
          <w:color w:val="0070C0"/>
          <w:sz w:val="16"/>
          <w:szCs w:val="16"/>
        </w:rPr>
        <w:softHyphen/>
        <w:t>ностью. На малых и средних высотах по этому показателю они проигрывали советским истребителям, а на больших - английским «Спитфайрам» IX, которые в этот период начали поступать в СССР. В результате «Тандерболты» не получи</w:t>
      </w:r>
      <w:r w:rsidRPr="001A0BAA">
        <w:rPr>
          <w:color w:val="0070C0"/>
          <w:sz w:val="16"/>
          <w:szCs w:val="16"/>
        </w:rPr>
        <w:softHyphen/>
        <w:t>ли широкого распространения в ПВО и к началу лета 1945 г. их уже не осталось. Ни одного случая боевого применения их в полках ПВО неизвестно, в катего</w:t>
      </w:r>
      <w:r w:rsidRPr="001A0BAA">
        <w:rPr>
          <w:color w:val="0070C0"/>
          <w:sz w:val="16"/>
          <w:szCs w:val="16"/>
        </w:rPr>
        <w:softHyphen/>
        <w:t>рии «боевые потери» ни один Р-47 не значится.</w:t>
      </w:r>
    </w:p>
    <w:p w14:paraId="5A99368E" w14:textId="77777777" w:rsidR="00E726F2" w:rsidRPr="001A0BAA" w:rsidRDefault="00E726F2" w:rsidP="00E726F2">
      <w:pPr>
        <w:jc w:val="both"/>
        <w:rPr>
          <w:color w:val="0070C0"/>
          <w:sz w:val="16"/>
          <w:szCs w:val="16"/>
        </w:rPr>
      </w:pPr>
      <w:r w:rsidRPr="001A0BAA">
        <w:rPr>
          <w:color w:val="0070C0"/>
          <w:sz w:val="16"/>
          <w:szCs w:val="16"/>
        </w:rPr>
        <w:t>Зато советские морские летчики не только эксплуатировали Р-47, но и немного повоевали на них (24942).</w:t>
      </w:r>
    </w:p>
    <w:p w14:paraId="42CEDF1F" w14:textId="77777777" w:rsidR="00E726F2" w:rsidRPr="001A0BAA" w:rsidRDefault="00E726F2" w:rsidP="00E726F2">
      <w:pPr>
        <w:jc w:val="both"/>
        <w:rPr>
          <w:color w:val="0070C0"/>
          <w:sz w:val="16"/>
          <w:szCs w:val="16"/>
        </w:rPr>
      </w:pPr>
    </w:p>
    <w:p w14:paraId="334B5A2F" w14:textId="77777777" w:rsidR="007D65F3" w:rsidRPr="00925F26" w:rsidRDefault="007D65F3" w:rsidP="00925F26">
      <w:pPr>
        <w:jc w:val="both"/>
        <w:rPr>
          <w:color w:val="000000" w:themeColor="text1"/>
          <w:sz w:val="16"/>
          <w:szCs w:val="16"/>
        </w:rPr>
      </w:pPr>
      <w:r w:rsidRPr="00925F26">
        <w:rPr>
          <w:color w:val="000000" w:themeColor="text1"/>
          <w:sz w:val="16"/>
          <w:szCs w:val="16"/>
        </w:rPr>
        <w:t>На 1 мая 1945 г. в 30 бригадах и 4 полках было 760 гаубиц Б-4 (15132).</w:t>
      </w:r>
    </w:p>
    <w:p w14:paraId="6CCF97CF" w14:textId="77777777" w:rsidR="007D65F3" w:rsidRPr="00925F26" w:rsidRDefault="007D65F3" w:rsidP="00925F26">
      <w:pPr>
        <w:jc w:val="both"/>
        <w:rPr>
          <w:color w:val="000000" w:themeColor="text1"/>
          <w:sz w:val="16"/>
          <w:szCs w:val="16"/>
        </w:rPr>
      </w:pPr>
    </w:p>
    <w:p w14:paraId="72FFDF20" w14:textId="77777777" w:rsidR="007D65F3" w:rsidRPr="00925F26" w:rsidRDefault="007D65F3"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лётчики 2-й воздушной армии во время полета над Берлином сбросили на столицу фашистской Германии два красных полотнища с надписью: на первом "Победа" (на обратной стороне "Слава советским воинам, водрузившим Знамя Победы над Берлином"), на втором "Да здравствует 1 Мая!" (14878).</w:t>
      </w:r>
    </w:p>
    <w:p w14:paraId="5D1FC370" w14:textId="77777777" w:rsidR="007D65F3" w:rsidRPr="00925F26" w:rsidRDefault="007D65F3" w:rsidP="00925F26">
      <w:pPr>
        <w:jc w:val="both"/>
        <w:rPr>
          <w:color w:val="000000" w:themeColor="text1"/>
          <w:sz w:val="16"/>
          <w:szCs w:val="16"/>
        </w:rPr>
      </w:pPr>
    </w:p>
    <w:p w14:paraId="269980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 мая 1945 г. на аэродром Шрода было перегнано 10 самолетов Ил-10, что увеличило численный состав 78-го гшап до 18 штурмовиков этого типа.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w:t>
      </w:r>
      <w:r w:rsidRPr="00925F26">
        <w:rPr>
          <w:color w:val="000000" w:themeColor="text1"/>
          <w:sz w:val="16"/>
          <w:szCs w:val="16"/>
        </w:rPr>
        <w:softHyphen/>
        <w:t>летала на Ил-10. Однако к этому вре</w:t>
      </w:r>
      <w:r w:rsidRPr="00925F26">
        <w:rPr>
          <w:color w:val="000000" w:themeColor="text1"/>
          <w:sz w:val="16"/>
          <w:szCs w:val="16"/>
        </w:rPr>
        <w:softHyphen/>
        <w:t>мени война подошла к концу и 78-й гшап в бой не вводился (11131).</w:t>
      </w:r>
    </w:p>
    <w:p w14:paraId="69E075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314B0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1 мая 1945 г. 1-й запасной штурмовой авиабри</w:t>
      </w:r>
      <w:r w:rsidRPr="00925F26">
        <w:rPr>
          <w:color w:val="000000" w:themeColor="text1"/>
          <w:sz w:val="16"/>
          <w:szCs w:val="16"/>
        </w:rPr>
        <w:softHyphen/>
        <w:t>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1945 г. в составе воздушных армий фронтов насчитывалось 120 ис</w:t>
      </w:r>
      <w:r w:rsidRPr="00925F26">
        <w:rPr>
          <w:color w:val="000000" w:themeColor="text1"/>
          <w:sz w:val="16"/>
          <w:szCs w:val="16"/>
        </w:rPr>
        <w:softHyphen/>
        <w:t>правных и 26 неисправных самоле</w:t>
      </w:r>
      <w:r w:rsidRPr="00925F26">
        <w:rPr>
          <w:color w:val="000000" w:themeColor="text1"/>
          <w:sz w:val="16"/>
          <w:szCs w:val="16"/>
        </w:rPr>
        <w:softHyphen/>
        <w:t>тов Ил-10. Кроме этого, 12 «деся</w:t>
      </w:r>
      <w:r w:rsidRPr="00925F26">
        <w:rPr>
          <w:color w:val="000000" w:themeColor="text1"/>
          <w:sz w:val="16"/>
          <w:szCs w:val="16"/>
        </w:rPr>
        <w:softHyphen/>
        <w:t>ток» имелось в ВВС ВМФ (11132).</w:t>
      </w:r>
    </w:p>
    <w:p w14:paraId="2BCFE5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1B33C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 1-й ГМТАП располагал 6/5 Ил-4 на аэродроме Грабштейн (главный аэродром полка с конца февраля 1945 г.) и 4/4 на аэродроме Паланга. 3-я эскадрилья включала 10 боевых экипажей, половина из которых имела опыт ночных полетов. Интересно отметить, что к августу 1945 г. число Ил-4 в составе ВВС КБФ даже несколько возросло и составило 17/13 машин. Очевидно, что объяснение этому достаточно просто - так же, как и на Севере, пополнение осуществлялось за счет передачи самолетов, ранее успевших послужить в Авиации Дальнего Действия (9965).</w:t>
      </w:r>
    </w:p>
    <w:p w14:paraId="3432A661" w14:textId="77777777" w:rsidR="00665165" w:rsidRPr="00925F26" w:rsidRDefault="00665165" w:rsidP="00925F26">
      <w:pPr>
        <w:autoSpaceDE w:val="0"/>
        <w:autoSpaceDN w:val="0"/>
        <w:adjustRightInd w:val="0"/>
        <w:jc w:val="both"/>
        <w:rPr>
          <w:color w:val="000000" w:themeColor="text1"/>
          <w:sz w:val="16"/>
          <w:szCs w:val="16"/>
        </w:rPr>
      </w:pPr>
    </w:p>
    <w:p w14:paraId="1625A4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 мая 1945 с двух групп Яков (17 машин 115 иап </w:t>
      </w:r>
      <w:proofErr w:type="gramStart"/>
      <w:r w:rsidRPr="00925F26">
        <w:rPr>
          <w:color w:val="000000" w:themeColor="text1"/>
          <w:sz w:val="16"/>
          <w:szCs w:val="16"/>
        </w:rPr>
        <w:t>и ?</w:t>
      </w:r>
      <w:proofErr w:type="gramEnd"/>
      <w:r w:rsidRPr="00925F26">
        <w:rPr>
          <w:color w:val="000000" w:themeColor="text1"/>
          <w:sz w:val="16"/>
          <w:szCs w:val="16"/>
        </w:rPr>
        <w:t xml:space="preserve"> машин 1 иап) в 12:25 над Рейхстагом спустили 2 знамени. Знамя 115 иап было 6 м длины с надписью Победа и Слава советским воинам, водрузившим знамя победы над Берлином. Сбросили с машины К.В.Новоселова. Знамя 1 иап имело надпись Победа! Да здравствует 1 Мая. Бросал с со второго сидения Як-9УТ командира полка В.К.Ищенко сотрудник армейской газеты А.М.Хорунжий (455,174).</w:t>
      </w:r>
    </w:p>
    <w:p w14:paraId="3D29F368" w14:textId="77777777" w:rsidR="00665165" w:rsidRPr="00925F26" w:rsidRDefault="00665165" w:rsidP="00925F26">
      <w:pPr>
        <w:autoSpaceDE w:val="0"/>
        <w:autoSpaceDN w:val="0"/>
        <w:adjustRightInd w:val="0"/>
        <w:jc w:val="both"/>
        <w:rPr>
          <w:color w:val="000000" w:themeColor="text1"/>
          <w:sz w:val="16"/>
          <w:szCs w:val="16"/>
        </w:rPr>
      </w:pPr>
    </w:p>
    <w:p w14:paraId="0D6BAF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 Ил-10 успели поступить на вооружение 12 полков (9528).</w:t>
      </w:r>
    </w:p>
    <w:p w14:paraId="77414F54" w14:textId="77777777" w:rsidR="00665165" w:rsidRPr="00925F26" w:rsidRDefault="00665165" w:rsidP="00925F26">
      <w:pPr>
        <w:autoSpaceDE w:val="0"/>
        <w:autoSpaceDN w:val="0"/>
        <w:adjustRightInd w:val="0"/>
        <w:jc w:val="both"/>
        <w:rPr>
          <w:color w:val="000000" w:themeColor="text1"/>
          <w:sz w:val="16"/>
          <w:szCs w:val="16"/>
        </w:rPr>
      </w:pPr>
    </w:p>
    <w:p w14:paraId="1F8D44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 мая 1945 г. в составе 78-го гшап на</w:t>
      </w:r>
      <w:r w:rsidRPr="00925F26">
        <w:rPr>
          <w:color w:val="000000" w:themeColor="text1"/>
          <w:sz w:val="16"/>
          <w:szCs w:val="16"/>
        </w:rPr>
        <w:softHyphen/>
        <w:t>ходилось 18 Ил-10, пара Ил-2, один УИл-2 и один По-2. Считалось, что к бое</w:t>
      </w:r>
      <w:r w:rsidRPr="00925F26">
        <w:rPr>
          <w:color w:val="000000" w:themeColor="text1"/>
          <w:sz w:val="16"/>
          <w:szCs w:val="16"/>
        </w:rPr>
        <w:softHyphen/>
        <w:t>вым действиям подготовлены все летчи</w:t>
      </w:r>
      <w:r w:rsidRPr="00925F26">
        <w:rPr>
          <w:color w:val="000000" w:themeColor="text1"/>
          <w:sz w:val="16"/>
          <w:szCs w:val="16"/>
        </w:rPr>
        <w:softHyphen/>
        <w:t>ки (43 человека), так как молодежь уже самостоятельно вылетала на Ил-10. Однако к этому времени война подо</w:t>
      </w:r>
      <w:r w:rsidRPr="00925F26">
        <w:rPr>
          <w:color w:val="000000" w:themeColor="text1"/>
          <w:sz w:val="16"/>
          <w:szCs w:val="16"/>
        </w:rPr>
        <w:softHyphen/>
        <w:t>шла к концу, и 78-й полк в бой так и не вступил (10681).</w:t>
      </w:r>
    </w:p>
    <w:p w14:paraId="099432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553D9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К 1 мая 1945 г. 1-й заб было переучено и отправлено в действу</w:t>
      </w:r>
      <w:r w:rsidRPr="00925F26">
        <w:rPr>
          <w:color w:val="000000" w:themeColor="text1"/>
          <w:sz w:val="16"/>
          <w:szCs w:val="16"/>
        </w:rPr>
        <w:softHyphen/>
        <w:t>ющую армию в общей сложности 11 пол</w:t>
      </w:r>
      <w:r w:rsidRPr="00925F26">
        <w:rPr>
          <w:color w:val="000000" w:themeColor="text1"/>
          <w:sz w:val="16"/>
          <w:szCs w:val="16"/>
        </w:rPr>
        <w:softHyphen/>
        <w:t>ков на Ил-10, из которых большая часть так и не успела попасть на передовую. По состоянию на 10 мая в составе воз</w:t>
      </w:r>
      <w:r w:rsidRPr="00925F26">
        <w:rPr>
          <w:color w:val="000000" w:themeColor="text1"/>
          <w:sz w:val="16"/>
          <w:szCs w:val="16"/>
        </w:rPr>
        <w:softHyphen/>
        <w:t>душных армий фронтов насчитывалось 120 исправных и 26 неисправных Ил-10. Кроме этого, дюжина «десяток» име</w:t>
      </w:r>
      <w:r w:rsidRPr="00925F26">
        <w:rPr>
          <w:color w:val="000000" w:themeColor="text1"/>
          <w:sz w:val="16"/>
          <w:szCs w:val="16"/>
        </w:rPr>
        <w:softHyphen/>
        <w:t>лась в морской авиации (10681).</w:t>
      </w:r>
    </w:p>
    <w:p w14:paraId="4CC928B4" w14:textId="77777777" w:rsidR="00665165" w:rsidRPr="00925F26" w:rsidRDefault="00665165" w:rsidP="00925F26">
      <w:pPr>
        <w:autoSpaceDE w:val="0"/>
        <w:autoSpaceDN w:val="0"/>
        <w:adjustRightInd w:val="0"/>
        <w:jc w:val="both"/>
        <w:rPr>
          <w:color w:val="000000" w:themeColor="text1"/>
          <w:sz w:val="16"/>
          <w:szCs w:val="16"/>
        </w:rPr>
      </w:pPr>
    </w:p>
    <w:p w14:paraId="5C2B4F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 в строю польских ВВС числилось 107 Пе-2 и УПе-2. Из них 91 самолет входил в 1-ю бомбардировочную дивизию, 12 - в авиашколу в Деблине, 2 - в 15-й запасной полк; еще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 по две-три машины из каждой серии (4476).</w:t>
      </w:r>
    </w:p>
    <w:p w14:paraId="049FEBE5" w14:textId="77777777" w:rsidR="00665165" w:rsidRPr="00925F26" w:rsidRDefault="00665165" w:rsidP="00925F26">
      <w:pPr>
        <w:autoSpaceDE w:val="0"/>
        <w:autoSpaceDN w:val="0"/>
        <w:adjustRightInd w:val="0"/>
        <w:jc w:val="both"/>
        <w:rPr>
          <w:color w:val="000000" w:themeColor="text1"/>
          <w:sz w:val="16"/>
          <w:szCs w:val="16"/>
        </w:rPr>
      </w:pPr>
    </w:p>
    <w:p w14:paraId="06297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I мая 1945 г. в строю польских ВВС числилось 107 Пе-2 и УПс-2. Из них 91 самолет принадлежал 1-й бомбардировочной дивизии, 12 - авиашколе в Деблине, два 15-му запасному полку; еше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w:t>
      </w:r>
    </w:p>
    <w:p w14:paraId="7F512C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w:t>
      </w:r>
      <w:proofErr w:type="gramStart"/>
      <w:r w:rsidRPr="00925F26">
        <w:rPr>
          <w:color w:val="000000" w:themeColor="text1"/>
          <w:sz w:val="16"/>
          <w:szCs w:val="16"/>
        </w:rPr>
        <w:t>самолетов</w:t>
      </w:r>
      <w:proofErr w:type="gramEnd"/>
      <w:r w:rsidRPr="00925F26">
        <w:rPr>
          <w:color w:val="000000" w:themeColor="text1"/>
          <w:sz w:val="16"/>
          <w:szCs w:val="16"/>
        </w:rPr>
        <w:t xml:space="preserve"> в связи с этим законсервировали. На I июля 1947 г. эксплуатировались только 49 Пе-2 и 9 УПе-2. 28 октября 1948 г. воссоздали польскую морскую авиацию в виде отдельной эскадры авиации ВМФ. В нее входило разведывательно-бомбардировочное звено на Пе-2 (три самолета). Пе-2, переданные из состава ВВС, были уже порядком изношены, и пикировать на них не разрешали, поэтому использовали в основном в качестве разведчиков.</w:t>
      </w:r>
    </w:p>
    <w:p w14:paraId="682DCF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польских послевоенных ВВС на бомбардировщиках Пе-2 летала целая авиадивизия.</w:t>
      </w:r>
    </w:p>
    <w:p w14:paraId="407AC2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1950-1951 гг. в Польшу начали поступать Ту-2, частично вытеснившие устаревшие бомбардировщики Петлякова, однако Пе-2 фактически дослужили до появления первых Ил-28. В учебных подразделениях УПе-2 вместе с УТБ (на базе Ту-2) эксплуатировались и во второй половине 1950-х годов. Некоторые "пешки" в начале того десятилетия применялись для буксировки мишеней для воздушной стрельбы, аэрофотосъемки и других вспомогательных целей. Один разоруженный самолет превратили в летающий стенд для испытания реактивных двигателей. Двигатель монтировался над "спиной" самолета на громоздкой ферме из труб (12042).</w:t>
      </w:r>
    </w:p>
    <w:p w14:paraId="4074C91E" w14:textId="77777777" w:rsidR="00665165" w:rsidRPr="00925F26" w:rsidRDefault="00665165" w:rsidP="00925F26">
      <w:pPr>
        <w:autoSpaceDE w:val="0"/>
        <w:autoSpaceDN w:val="0"/>
        <w:adjustRightInd w:val="0"/>
        <w:jc w:val="both"/>
        <w:rPr>
          <w:color w:val="000000" w:themeColor="text1"/>
          <w:sz w:val="16"/>
          <w:szCs w:val="16"/>
        </w:rPr>
      </w:pPr>
    </w:p>
    <w:p w14:paraId="5B5458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в полках ПВО уже числился 51 Р-63. В первую очередь "Кингкобрами" пополняли части, ранее вооруженные Р-39. Первым Р-63 получил 28-й полк под Москвой (3457,78).</w:t>
      </w:r>
    </w:p>
    <w:p w14:paraId="4DDF3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импортных самолетов на 1 мая 1945 г. (единиц) (4110)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86"/>
        <w:gridCol w:w="1547"/>
        <w:gridCol w:w="1134"/>
        <w:gridCol w:w="992"/>
        <w:gridCol w:w="1276"/>
        <w:gridCol w:w="1563"/>
      </w:tblGrid>
      <w:tr w:rsidR="000F5689" w:rsidRPr="00925F26" w14:paraId="092C9A96" w14:textId="77777777">
        <w:tc>
          <w:tcPr>
            <w:tcW w:w="2518" w:type="dxa"/>
          </w:tcPr>
          <w:p w14:paraId="072262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786" w:type="dxa"/>
          </w:tcPr>
          <w:p w14:paraId="4D290AE9" w14:textId="77777777" w:rsidR="00665165" w:rsidRPr="00925F26" w:rsidRDefault="00665165" w:rsidP="00925F26">
            <w:pPr>
              <w:autoSpaceDE w:val="0"/>
              <w:autoSpaceDN w:val="0"/>
              <w:adjustRightInd w:val="0"/>
              <w:jc w:val="both"/>
              <w:rPr>
                <w:color w:val="000000" w:themeColor="text1"/>
                <w:sz w:val="16"/>
                <w:szCs w:val="16"/>
              </w:rPr>
            </w:pPr>
          </w:p>
        </w:tc>
        <w:tc>
          <w:tcPr>
            <w:tcW w:w="1547" w:type="dxa"/>
          </w:tcPr>
          <w:p w14:paraId="3A945AA5"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68664926"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7113582" w14:textId="77777777" w:rsidR="00665165" w:rsidRPr="00925F26" w:rsidRDefault="00665165" w:rsidP="00925F26">
            <w:pPr>
              <w:autoSpaceDE w:val="0"/>
              <w:autoSpaceDN w:val="0"/>
              <w:adjustRightInd w:val="0"/>
              <w:jc w:val="both"/>
              <w:rPr>
                <w:color w:val="000000" w:themeColor="text1"/>
                <w:sz w:val="16"/>
                <w:szCs w:val="16"/>
              </w:rPr>
            </w:pPr>
          </w:p>
        </w:tc>
        <w:tc>
          <w:tcPr>
            <w:tcW w:w="1276" w:type="dxa"/>
          </w:tcPr>
          <w:p w14:paraId="2A3E9BFD" w14:textId="77777777" w:rsidR="00665165" w:rsidRPr="00925F26" w:rsidRDefault="00665165" w:rsidP="00925F26">
            <w:pPr>
              <w:autoSpaceDE w:val="0"/>
              <w:autoSpaceDN w:val="0"/>
              <w:adjustRightInd w:val="0"/>
              <w:jc w:val="both"/>
              <w:rPr>
                <w:color w:val="000000" w:themeColor="text1"/>
                <w:sz w:val="16"/>
                <w:szCs w:val="16"/>
              </w:rPr>
            </w:pPr>
          </w:p>
        </w:tc>
        <w:tc>
          <w:tcPr>
            <w:tcW w:w="1563" w:type="dxa"/>
          </w:tcPr>
          <w:p w14:paraId="3EF2F1A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2B1724B" w14:textId="77777777">
        <w:tc>
          <w:tcPr>
            <w:tcW w:w="2518" w:type="dxa"/>
          </w:tcPr>
          <w:p w14:paraId="0F3331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самолетов</w:t>
            </w:r>
          </w:p>
        </w:tc>
        <w:tc>
          <w:tcPr>
            <w:tcW w:w="786" w:type="dxa"/>
          </w:tcPr>
          <w:p w14:paraId="3A101F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547" w:type="dxa"/>
          </w:tcPr>
          <w:p w14:paraId="179E045B"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В действ</w:t>
            </w:r>
            <w:proofErr w:type="gramEnd"/>
            <w:r w:rsidRPr="00925F26">
              <w:rPr>
                <w:color w:val="000000" w:themeColor="text1"/>
                <w:sz w:val="16"/>
                <w:szCs w:val="16"/>
              </w:rPr>
              <w:t>. армии</w:t>
            </w:r>
          </w:p>
        </w:tc>
        <w:tc>
          <w:tcPr>
            <w:tcW w:w="1134" w:type="dxa"/>
          </w:tcPr>
          <w:p w14:paraId="2419CC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воен. окр.</w:t>
            </w:r>
          </w:p>
        </w:tc>
        <w:tc>
          <w:tcPr>
            <w:tcW w:w="992" w:type="dxa"/>
          </w:tcPr>
          <w:p w14:paraId="0CB81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ПВО</w:t>
            </w:r>
          </w:p>
        </w:tc>
        <w:tc>
          <w:tcPr>
            <w:tcW w:w="1276" w:type="dxa"/>
          </w:tcPr>
          <w:p w14:paraId="0D9967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пути</w:t>
            </w:r>
          </w:p>
        </w:tc>
        <w:tc>
          <w:tcPr>
            <w:tcW w:w="1563" w:type="dxa"/>
          </w:tcPr>
          <w:p w14:paraId="5116CC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Безвозвр. потери на 1.05.45 г. (ед.)</w:t>
            </w:r>
          </w:p>
        </w:tc>
      </w:tr>
      <w:tr w:rsidR="000F5689" w:rsidRPr="00925F26" w14:paraId="7D2B9836" w14:textId="77777777">
        <w:tc>
          <w:tcPr>
            <w:tcW w:w="2518" w:type="dxa"/>
          </w:tcPr>
          <w:p w14:paraId="1C7A8E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Аэрокобра Р-39, К-1, Л-1, М-1</w:t>
            </w:r>
          </w:p>
        </w:tc>
        <w:tc>
          <w:tcPr>
            <w:tcW w:w="786" w:type="dxa"/>
          </w:tcPr>
          <w:p w14:paraId="24C7E2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w:t>
            </w:r>
          </w:p>
        </w:tc>
        <w:tc>
          <w:tcPr>
            <w:tcW w:w="1547" w:type="dxa"/>
          </w:tcPr>
          <w:p w14:paraId="235A20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1134" w:type="dxa"/>
          </w:tcPr>
          <w:p w14:paraId="53AD00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w:t>
            </w:r>
          </w:p>
        </w:tc>
        <w:tc>
          <w:tcPr>
            <w:tcW w:w="992" w:type="dxa"/>
          </w:tcPr>
          <w:p w14:paraId="2EEEA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w:t>
            </w:r>
          </w:p>
        </w:tc>
        <w:tc>
          <w:tcPr>
            <w:tcW w:w="1276" w:type="dxa"/>
          </w:tcPr>
          <w:p w14:paraId="14A68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5469E2B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2C8423C" w14:textId="77777777">
        <w:tc>
          <w:tcPr>
            <w:tcW w:w="2518" w:type="dxa"/>
          </w:tcPr>
          <w:p w14:paraId="0C7B5A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Аэрокобра Р-39, О-1, О-5, О-20</w:t>
            </w:r>
          </w:p>
        </w:tc>
        <w:tc>
          <w:tcPr>
            <w:tcW w:w="786" w:type="dxa"/>
          </w:tcPr>
          <w:p w14:paraId="735E49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1903</w:t>
            </w:r>
          </w:p>
        </w:tc>
        <w:tc>
          <w:tcPr>
            <w:tcW w:w="1547" w:type="dxa"/>
          </w:tcPr>
          <w:p w14:paraId="033DE4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817</w:t>
            </w:r>
          </w:p>
        </w:tc>
        <w:tc>
          <w:tcPr>
            <w:tcW w:w="1134" w:type="dxa"/>
          </w:tcPr>
          <w:p w14:paraId="78728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432</w:t>
            </w:r>
          </w:p>
        </w:tc>
        <w:tc>
          <w:tcPr>
            <w:tcW w:w="992" w:type="dxa"/>
          </w:tcPr>
          <w:p w14:paraId="5D0110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556</w:t>
            </w:r>
          </w:p>
        </w:tc>
        <w:tc>
          <w:tcPr>
            <w:tcW w:w="1276" w:type="dxa"/>
          </w:tcPr>
          <w:p w14:paraId="0CF0E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w:t>
            </w:r>
          </w:p>
        </w:tc>
        <w:tc>
          <w:tcPr>
            <w:tcW w:w="1563" w:type="dxa"/>
          </w:tcPr>
          <w:p w14:paraId="11F44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2022</w:t>
            </w:r>
          </w:p>
        </w:tc>
      </w:tr>
      <w:tr w:rsidR="000F5689" w:rsidRPr="00925F26" w14:paraId="04A9F0F8" w14:textId="77777777">
        <w:tc>
          <w:tcPr>
            <w:tcW w:w="2518" w:type="dxa"/>
          </w:tcPr>
          <w:p w14:paraId="37A1EB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Аэрокобра Р-39, Д, Д-1, Дz</w:t>
            </w:r>
          </w:p>
        </w:tc>
        <w:tc>
          <w:tcPr>
            <w:tcW w:w="786" w:type="dxa"/>
          </w:tcPr>
          <w:p w14:paraId="59D99F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547" w:type="dxa"/>
          </w:tcPr>
          <w:p w14:paraId="0CB604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3DE762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992" w:type="dxa"/>
          </w:tcPr>
          <w:p w14:paraId="70ACF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276" w:type="dxa"/>
          </w:tcPr>
          <w:p w14:paraId="36856D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37C466D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59DF820" w14:textId="77777777">
        <w:tc>
          <w:tcPr>
            <w:tcW w:w="2518" w:type="dxa"/>
          </w:tcPr>
          <w:p w14:paraId="068E0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 Р-63А Кингкобра</w:t>
            </w:r>
          </w:p>
        </w:tc>
        <w:tc>
          <w:tcPr>
            <w:tcW w:w="786" w:type="dxa"/>
          </w:tcPr>
          <w:p w14:paraId="1215F2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1466</w:t>
            </w:r>
          </w:p>
        </w:tc>
        <w:tc>
          <w:tcPr>
            <w:tcW w:w="1547" w:type="dxa"/>
          </w:tcPr>
          <w:p w14:paraId="6F027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134" w:type="dxa"/>
          </w:tcPr>
          <w:p w14:paraId="4D6344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1313</w:t>
            </w:r>
          </w:p>
        </w:tc>
        <w:tc>
          <w:tcPr>
            <w:tcW w:w="992" w:type="dxa"/>
          </w:tcPr>
          <w:p w14:paraId="745761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w:t>
            </w:r>
          </w:p>
        </w:tc>
        <w:tc>
          <w:tcPr>
            <w:tcW w:w="1276" w:type="dxa"/>
          </w:tcPr>
          <w:p w14:paraId="574C26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w:t>
            </w:r>
          </w:p>
        </w:tc>
        <w:tc>
          <w:tcPr>
            <w:tcW w:w="1563" w:type="dxa"/>
          </w:tcPr>
          <w:p w14:paraId="1F5BF3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73A223A9" w14:textId="77777777">
        <w:tc>
          <w:tcPr>
            <w:tcW w:w="2518" w:type="dxa"/>
          </w:tcPr>
          <w:p w14:paraId="3844A3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Тандерболт</w:t>
            </w:r>
          </w:p>
        </w:tc>
        <w:tc>
          <w:tcPr>
            <w:tcW w:w="786" w:type="dxa"/>
          </w:tcPr>
          <w:p w14:paraId="3C42BC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w:t>
            </w:r>
          </w:p>
        </w:tc>
        <w:tc>
          <w:tcPr>
            <w:tcW w:w="1547" w:type="dxa"/>
          </w:tcPr>
          <w:p w14:paraId="674C0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6B7A80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992" w:type="dxa"/>
          </w:tcPr>
          <w:p w14:paraId="55AAC8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13CE52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6D4463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2B7DD35" w14:textId="77777777">
        <w:tc>
          <w:tcPr>
            <w:tcW w:w="2518" w:type="dxa"/>
          </w:tcPr>
          <w:p w14:paraId="2E3F0E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Томагаук</w:t>
            </w:r>
          </w:p>
        </w:tc>
        <w:tc>
          <w:tcPr>
            <w:tcW w:w="786" w:type="dxa"/>
          </w:tcPr>
          <w:p w14:paraId="441BDA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547" w:type="dxa"/>
          </w:tcPr>
          <w:p w14:paraId="7B9E36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7F91AD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92" w:type="dxa"/>
          </w:tcPr>
          <w:p w14:paraId="12A794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1276" w:type="dxa"/>
          </w:tcPr>
          <w:p w14:paraId="41E86F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0CFAF5E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20CE224" w14:textId="77777777">
        <w:tc>
          <w:tcPr>
            <w:tcW w:w="2518" w:type="dxa"/>
          </w:tcPr>
          <w:p w14:paraId="32AE08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Киттихаук</w:t>
            </w:r>
          </w:p>
        </w:tc>
        <w:tc>
          <w:tcPr>
            <w:tcW w:w="786" w:type="dxa"/>
          </w:tcPr>
          <w:p w14:paraId="598DE2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1037</w:t>
            </w:r>
          </w:p>
        </w:tc>
        <w:tc>
          <w:tcPr>
            <w:tcW w:w="1547" w:type="dxa"/>
          </w:tcPr>
          <w:p w14:paraId="332AC2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134" w:type="dxa"/>
          </w:tcPr>
          <w:p w14:paraId="0A7271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w:t>
            </w:r>
          </w:p>
        </w:tc>
        <w:tc>
          <w:tcPr>
            <w:tcW w:w="992" w:type="dxa"/>
          </w:tcPr>
          <w:p w14:paraId="6367A6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854</w:t>
            </w:r>
          </w:p>
        </w:tc>
        <w:tc>
          <w:tcPr>
            <w:tcW w:w="1276" w:type="dxa"/>
          </w:tcPr>
          <w:p w14:paraId="1A7832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1563" w:type="dxa"/>
          </w:tcPr>
          <w:p w14:paraId="1037A6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772</w:t>
            </w:r>
          </w:p>
        </w:tc>
      </w:tr>
      <w:tr w:rsidR="000F5689" w:rsidRPr="00925F26" w14:paraId="181AEFA8" w14:textId="77777777">
        <w:tc>
          <w:tcPr>
            <w:tcW w:w="2518" w:type="dxa"/>
          </w:tcPr>
          <w:p w14:paraId="034C5074" w14:textId="77777777" w:rsidR="00665165" w:rsidRPr="00925F26" w:rsidRDefault="00665165" w:rsidP="00925F26">
            <w:pPr>
              <w:autoSpaceDE w:val="0"/>
              <w:autoSpaceDN w:val="0"/>
              <w:adjustRightInd w:val="0"/>
              <w:jc w:val="both"/>
              <w:rPr>
                <w:color w:val="000000" w:themeColor="text1"/>
                <w:sz w:val="16"/>
                <w:szCs w:val="16"/>
              </w:rPr>
            </w:pPr>
          </w:p>
        </w:tc>
        <w:tc>
          <w:tcPr>
            <w:tcW w:w="786" w:type="dxa"/>
          </w:tcPr>
          <w:p w14:paraId="21B72FA9" w14:textId="77777777" w:rsidR="00665165" w:rsidRPr="00925F26" w:rsidRDefault="00665165" w:rsidP="00925F26">
            <w:pPr>
              <w:autoSpaceDE w:val="0"/>
              <w:autoSpaceDN w:val="0"/>
              <w:adjustRightInd w:val="0"/>
              <w:jc w:val="both"/>
              <w:rPr>
                <w:color w:val="000000" w:themeColor="text1"/>
                <w:sz w:val="16"/>
                <w:szCs w:val="16"/>
              </w:rPr>
            </w:pPr>
          </w:p>
        </w:tc>
        <w:tc>
          <w:tcPr>
            <w:tcW w:w="1547" w:type="dxa"/>
          </w:tcPr>
          <w:p w14:paraId="0BAC1EBF"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65244047"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AC2DB28" w14:textId="77777777" w:rsidR="00665165" w:rsidRPr="00925F26" w:rsidRDefault="00665165" w:rsidP="00925F26">
            <w:pPr>
              <w:autoSpaceDE w:val="0"/>
              <w:autoSpaceDN w:val="0"/>
              <w:adjustRightInd w:val="0"/>
              <w:jc w:val="both"/>
              <w:rPr>
                <w:color w:val="000000" w:themeColor="text1"/>
                <w:sz w:val="16"/>
                <w:szCs w:val="16"/>
              </w:rPr>
            </w:pPr>
          </w:p>
        </w:tc>
        <w:tc>
          <w:tcPr>
            <w:tcW w:w="1276" w:type="dxa"/>
          </w:tcPr>
          <w:p w14:paraId="605E4E91" w14:textId="77777777" w:rsidR="00665165" w:rsidRPr="00925F26" w:rsidRDefault="00665165" w:rsidP="00925F26">
            <w:pPr>
              <w:autoSpaceDE w:val="0"/>
              <w:autoSpaceDN w:val="0"/>
              <w:adjustRightInd w:val="0"/>
              <w:jc w:val="both"/>
              <w:rPr>
                <w:color w:val="000000" w:themeColor="text1"/>
                <w:sz w:val="16"/>
                <w:szCs w:val="16"/>
              </w:rPr>
            </w:pPr>
          </w:p>
        </w:tc>
        <w:tc>
          <w:tcPr>
            <w:tcW w:w="1563" w:type="dxa"/>
          </w:tcPr>
          <w:p w14:paraId="1CF903F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97EC8C5" w14:textId="77777777">
        <w:tc>
          <w:tcPr>
            <w:tcW w:w="2518" w:type="dxa"/>
          </w:tcPr>
          <w:p w14:paraId="5C68C5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Харрикейн ПА, ПВ</w:t>
            </w:r>
          </w:p>
        </w:tc>
        <w:tc>
          <w:tcPr>
            <w:tcW w:w="786" w:type="dxa"/>
          </w:tcPr>
          <w:p w14:paraId="3A677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c>
          <w:tcPr>
            <w:tcW w:w="1547" w:type="dxa"/>
          </w:tcPr>
          <w:p w14:paraId="2E04E9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1134" w:type="dxa"/>
          </w:tcPr>
          <w:p w14:paraId="0D8EDD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992" w:type="dxa"/>
          </w:tcPr>
          <w:p w14:paraId="3CD063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w:t>
            </w:r>
          </w:p>
        </w:tc>
        <w:tc>
          <w:tcPr>
            <w:tcW w:w="1276" w:type="dxa"/>
          </w:tcPr>
          <w:p w14:paraId="218BD0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0BBAD4B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6E3A98D" w14:textId="77777777">
        <w:tc>
          <w:tcPr>
            <w:tcW w:w="2518" w:type="dxa"/>
          </w:tcPr>
          <w:p w14:paraId="2FE8FD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Харрикейн ПС</w:t>
            </w:r>
          </w:p>
        </w:tc>
        <w:tc>
          <w:tcPr>
            <w:tcW w:w="786" w:type="dxa"/>
          </w:tcPr>
          <w:p w14:paraId="184144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574</w:t>
            </w:r>
          </w:p>
        </w:tc>
        <w:tc>
          <w:tcPr>
            <w:tcW w:w="1547" w:type="dxa"/>
          </w:tcPr>
          <w:p w14:paraId="1AE610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071864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992" w:type="dxa"/>
          </w:tcPr>
          <w:p w14:paraId="4DDA19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276" w:type="dxa"/>
          </w:tcPr>
          <w:p w14:paraId="43181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0F71AC1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F2CB88F" w14:textId="77777777">
        <w:tc>
          <w:tcPr>
            <w:tcW w:w="2518" w:type="dxa"/>
          </w:tcPr>
          <w:p w14:paraId="36EC4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Харрикейн ПД</w:t>
            </w:r>
          </w:p>
        </w:tc>
        <w:tc>
          <w:tcPr>
            <w:tcW w:w="786" w:type="dxa"/>
          </w:tcPr>
          <w:p w14:paraId="22487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547" w:type="dxa"/>
          </w:tcPr>
          <w:p w14:paraId="515111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2E1EC7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992" w:type="dxa"/>
          </w:tcPr>
          <w:p w14:paraId="6DDC1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276" w:type="dxa"/>
          </w:tcPr>
          <w:p w14:paraId="308D35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345BC1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1813</w:t>
            </w:r>
          </w:p>
        </w:tc>
      </w:tr>
      <w:tr w:rsidR="000F5689" w:rsidRPr="00925F26" w14:paraId="166F8DBB" w14:textId="77777777">
        <w:tc>
          <w:tcPr>
            <w:tcW w:w="2518" w:type="dxa"/>
          </w:tcPr>
          <w:p w14:paraId="31B116A6" w14:textId="77777777" w:rsidR="00665165" w:rsidRPr="00925F26" w:rsidRDefault="00665165" w:rsidP="00925F26">
            <w:pPr>
              <w:autoSpaceDE w:val="0"/>
              <w:autoSpaceDN w:val="0"/>
              <w:adjustRightInd w:val="0"/>
              <w:jc w:val="both"/>
              <w:rPr>
                <w:color w:val="000000" w:themeColor="text1"/>
                <w:sz w:val="16"/>
                <w:szCs w:val="16"/>
              </w:rPr>
            </w:pPr>
          </w:p>
        </w:tc>
        <w:tc>
          <w:tcPr>
            <w:tcW w:w="786" w:type="dxa"/>
          </w:tcPr>
          <w:p w14:paraId="71BEA9D4" w14:textId="77777777" w:rsidR="00665165" w:rsidRPr="00925F26" w:rsidRDefault="00665165" w:rsidP="00925F26">
            <w:pPr>
              <w:autoSpaceDE w:val="0"/>
              <w:autoSpaceDN w:val="0"/>
              <w:adjustRightInd w:val="0"/>
              <w:jc w:val="both"/>
              <w:rPr>
                <w:color w:val="000000" w:themeColor="text1"/>
                <w:sz w:val="16"/>
                <w:szCs w:val="16"/>
              </w:rPr>
            </w:pPr>
          </w:p>
        </w:tc>
        <w:tc>
          <w:tcPr>
            <w:tcW w:w="1547" w:type="dxa"/>
          </w:tcPr>
          <w:p w14:paraId="3A862DD1"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489871E2"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1B55C578" w14:textId="77777777" w:rsidR="00665165" w:rsidRPr="00925F26" w:rsidRDefault="00665165" w:rsidP="00925F26">
            <w:pPr>
              <w:autoSpaceDE w:val="0"/>
              <w:autoSpaceDN w:val="0"/>
              <w:adjustRightInd w:val="0"/>
              <w:jc w:val="both"/>
              <w:rPr>
                <w:color w:val="000000" w:themeColor="text1"/>
                <w:sz w:val="16"/>
                <w:szCs w:val="16"/>
              </w:rPr>
            </w:pPr>
          </w:p>
        </w:tc>
        <w:tc>
          <w:tcPr>
            <w:tcW w:w="1276" w:type="dxa"/>
          </w:tcPr>
          <w:p w14:paraId="44854251" w14:textId="77777777" w:rsidR="00665165" w:rsidRPr="00925F26" w:rsidRDefault="00665165" w:rsidP="00925F26">
            <w:pPr>
              <w:autoSpaceDE w:val="0"/>
              <w:autoSpaceDN w:val="0"/>
              <w:adjustRightInd w:val="0"/>
              <w:jc w:val="both"/>
              <w:rPr>
                <w:color w:val="000000" w:themeColor="text1"/>
                <w:sz w:val="16"/>
                <w:szCs w:val="16"/>
              </w:rPr>
            </w:pPr>
          </w:p>
        </w:tc>
        <w:tc>
          <w:tcPr>
            <w:tcW w:w="1563" w:type="dxa"/>
          </w:tcPr>
          <w:p w14:paraId="474E005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3D01667" w14:textId="77777777">
        <w:tc>
          <w:tcPr>
            <w:tcW w:w="2518" w:type="dxa"/>
          </w:tcPr>
          <w:p w14:paraId="509CF2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Спитфайер 5В</w:t>
            </w:r>
          </w:p>
        </w:tc>
        <w:tc>
          <w:tcPr>
            <w:tcW w:w="786" w:type="dxa"/>
          </w:tcPr>
          <w:p w14:paraId="2FFE18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547" w:type="dxa"/>
          </w:tcPr>
          <w:p w14:paraId="41FD54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2EAD6E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92" w:type="dxa"/>
          </w:tcPr>
          <w:p w14:paraId="4E7A40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276" w:type="dxa"/>
          </w:tcPr>
          <w:p w14:paraId="430C2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454143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w:t>
            </w:r>
          </w:p>
        </w:tc>
      </w:tr>
      <w:tr w:rsidR="000F5689" w:rsidRPr="00925F26" w14:paraId="506FFE98" w14:textId="77777777">
        <w:tc>
          <w:tcPr>
            <w:tcW w:w="2518" w:type="dxa"/>
          </w:tcPr>
          <w:p w14:paraId="10F85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Спитфайер IX</w:t>
            </w:r>
          </w:p>
        </w:tc>
        <w:tc>
          <w:tcPr>
            <w:tcW w:w="786" w:type="dxa"/>
          </w:tcPr>
          <w:p w14:paraId="21A70B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848</w:t>
            </w:r>
          </w:p>
        </w:tc>
        <w:tc>
          <w:tcPr>
            <w:tcW w:w="1547" w:type="dxa"/>
          </w:tcPr>
          <w:p w14:paraId="207965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6C3C14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92" w:type="dxa"/>
          </w:tcPr>
          <w:p w14:paraId="57F3CB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821</w:t>
            </w:r>
          </w:p>
        </w:tc>
        <w:tc>
          <w:tcPr>
            <w:tcW w:w="1276" w:type="dxa"/>
          </w:tcPr>
          <w:p w14:paraId="3EC4AD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1563" w:type="dxa"/>
          </w:tcPr>
          <w:p w14:paraId="1A447C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r>
      <w:tr w:rsidR="000F5689" w:rsidRPr="00925F26" w14:paraId="7A5F0D8B" w14:textId="77777777">
        <w:tc>
          <w:tcPr>
            <w:tcW w:w="2518" w:type="dxa"/>
          </w:tcPr>
          <w:p w14:paraId="7386EF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Бостон А-20В</w:t>
            </w:r>
          </w:p>
        </w:tc>
        <w:tc>
          <w:tcPr>
            <w:tcW w:w="786" w:type="dxa"/>
          </w:tcPr>
          <w:p w14:paraId="1AAB4C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c>
          <w:tcPr>
            <w:tcW w:w="1547" w:type="dxa"/>
          </w:tcPr>
          <w:p w14:paraId="38B56F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w:t>
            </w:r>
          </w:p>
        </w:tc>
        <w:tc>
          <w:tcPr>
            <w:tcW w:w="1134" w:type="dxa"/>
          </w:tcPr>
          <w:p w14:paraId="2393FE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992" w:type="dxa"/>
          </w:tcPr>
          <w:p w14:paraId="7F96D3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276" w:type="dxa"/>
          </w:tcPr>
          <w:p w14:paraId="5829C6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55A372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7CA4683" w14:textId="77777777">
        <w:tc>
          <w:tcPr>
            <w:tcW w:w="2518" w:type="dxa"/>
          </w:tcPr>
          <w:p w14:paraId="2B9783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Бостон А-20Г, ДБ-7б</w:t>
            </w:r>
          </w:p>
        </w:tc>
        <w:tc>
          <w:tcPr>
            <w:tcW w:w="786" w:type="dxa"/>
          </w:tcPr>
          <w:p w14:paraId="6E972F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w:t>
            </w:r>
          </w:p>
        </w:tc>
        <w:tc>
          <w:tcPr>
            <w:tcW w:w="1547" w:type="dxa"/>
          </w:tcPr>
          <w:p w14:paraId="390AC0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6C8306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w:t>
            </w:r>
          </w:p>
        </w:tc>
        <w:tc>
          <w:tcPr>
            <w:tcW w:w="992" w:type="dxa"/>
          </w:tcPr>
          <w:p w14:paraId="798A3A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276" w:type="dxa"/>
          </w:tcPr>
          <w:p w14:paraId="46E45E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41FCBC2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DA6B42C" w14:textId="77777777">
        <w:tc>
          <w:tcPr>
            <w:tcW w:w="2518" w:type="dxa"/>
          </w:tcPr>
          <w:p w14:paraId="45FFC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Бостон А-20Ж (пушечн.)</w:t>
            </w:r>
          </w:p>
        </w:tc>
        <w:tc>
          <w:tcPr>
            <w:tcW w:w="786" w:type="dxa"/>
          </w:tcPr>
          <w:p w14:paraId="7FA078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147</w:t>
            </w:r>
          </w:p>
        </w:tc>
        <w:tc>
          <w:tcPr>
            <w:tcW w:w="1547" w:type="dxa"/>
          </w:tcPr>
          <w:p w14:paraId="4A3081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w:t>
            </w:r>
          </w:p>
        </w:tc>
        <w:tc>
          <w:tcPr>
            <w:tcW w:w="1134" w:type="dxa"/>
          </w:tcPr>
          <w:p w14:paraId="41D42D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992" w:type="dxa"/>
          </w:tcPr>
          <w:p w14:paraId="03EB66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78D5A6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3750B11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07EB6FF" w14:textId="77777777">
        <w:tc>
          <w:tcPr>
            <w:tcW w:w="2518" w:type="dxa"/>
          </w:tcPr>
          <w:p w14:paraId="6F5AB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Бостон А-20Ж, 10-ДО</w:t>
            </w:r>
          </w:p>
        </w:tc>
        <w:tc>
          <w:tcPr>
            <w:tcW w:w="786" w:type="dxa"/>
          </w:tcPr>
          <w:p w14:paraId="060FA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1547" w:type="dxa"/>
          </w:tcPr>
          <w:p w14:paraId="21A412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2E6C3B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992" w:type="dxa"/>
          </w:tcPr>
          <w:p w14:paraId="09290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050525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318D303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380A0F2" w14:textId="77777777">
        <w:tc>
          <w:tcPr>
            <w:tcW w:w="2518" w:type="dxa"/>
          </w:tcPr>
          <w:p w14:paraId="683F1D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Бостон А-20Ж, 20-ДО</w:t>
            </w:r>
          </w:p>
        </w:tc>
        <w:tc>
          <w:tcPr>
            <w:tcW w:w="786" w:type="dxa"/>
          </w:tcPr>
          <w:p w14:paraId="58576D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376</w:t>
            </w:r>
          </w:p>
        </w:tc>
        <w:tc>
          <w:tcPr>
            <w:tcW w:w="1547" w:type="dxa"/>
          </w:tcPr>
          <w:p w14:paraId="2D0FCD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248</w:t>
            </w:r>
          </w:p>
        </w:tc>
        <w:tc>
          <w:tcPr>
            <w:tcW w:w="1134" w:type="dxa"/>
          </w:tcPr>
          <w:p w14:paraId="524F0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128</w:t>
            </w:r>
          </w:p>
        </w:tc>
        <w:tc>
          <w:tcPr>
            <w:tcW w:w="992" w:type="dxa"/>
          </w:tcPr>
          <w:p w14:paraId="3C9C8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5BD3FD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6EA88E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1132</w:t>
            </w:r>
          </w:p>
        </w:tc>
      </w:tr>
      <w:tr w:rsidR="000F5689" w:rsidRPr="00925F26" w14:paraId="03AA598D" w14:textId="77777777">
        <w:tc>
          <w:tcPr>
            <w:tcW w:w="2518" w:type="dxa"/>
          </w:tcPr>
          <w:p w14:paraId="08AB45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Бостон А-20У, А-20К</w:t>
            </w:r>
          </w:p>
        </w:tc>
        <w:tc>
          <w:tcPr>
            <w:tcW w:w="786" w:type="dxa"/>
          </w:tcPr>
          <w:p w14:paraId="2D8C59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c>
          <w:tcPr>
            <w:tcW w:w="1547" w:type="dxa"/>
          </w:tcPr>
          <w:p w14:paraId="7C5FE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134" w:type="dxa"/>
          </w:tcPr>
          <w:p w14:paraId="05A68C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992" w:type="dxa"/>
          </w:tcPr>
          <w:p w14:paraId="616E8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675DFF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563" w:type="dxa"/>
          </w:tcPr>
          <w:p w14:paraId="1C18EF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719C04EF" w14:textId="77777777">
        <w:tc>
          <w:tcPr>
            <w:tcW w:w="2518" w:type="dxa"/>
          </w:tcPr>
          <w:p w14:paraId="393A36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АТ-6С</w:t>
            </w:r>
          </w:p>
        </w:tc>
        <w:tc>
          <w:tcPr>
            <w:tcW w:w="786" w:type="dxa"/>
          </w:tcPr>
          <w:p w14:paraId="094CF3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547" w:type="dxa"/>
          </w:tcPr>
          <w:p w14:paraId="68249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34" w:type="dxa"/>
          </w:tcPr>
          <w:p w14:paraId="5EB2C6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992" w:type="dxa"/>
          </w:tcPr>
          <w:p w14:paraId="0B8812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276" w:type="dxa"/>
          </w:tcPr>
          <w:p w14:paraId="7E32F7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3" w:type="dxa"/>
          </w:tcPr>
          <w:p w14:paraId="0452A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r>
      <w:tr w:rsidR="000F5689" w:rsidRPr="00925F26" w14:paraId="0266B6C1" w14:textId="77777777">
        <w:tc>
          <w:tcPr>
            <w:tcW w:w="2518" w:type="dxa"/>
          </w:tcPr>
          <w:p w14:paraId="09764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Кертис О-52</w:t>
            </w:r>
          </w:p>
        </w:tc>
        <w:tc>
          <w:tcPr>
            <w:tcW w:w="786" w:type="dxa"/>
          </w:tcPr>
          <w:p w14:paraId="1A2BC4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1547" w:type="dxa"/>
          </w:tcPr>
          <w:p w14:paraId="1C276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134" w:type="dxa"/>
          </w:tcPr>
          <w:p w14:paraId="2F546D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992" w:type="dxa"/>
          </w:tcPr>
          <w:p w14:paraId="54EC9F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14A82B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563" w:type="dxa"/>
          </w:tcPr>
          <w:p w14:paraId="12A94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r>
      <w:tr w:rsidR="000F5689" w:rsidRPr="00925F26" w14:paraId="587EF0BC" w14:textId="77777777">
        <w:tc>
          <w:tcPr>
            <w:tcW w:w="2518" w:type="dxa"/>
          </w:tcPr>
          <w:p w14:paraId="397DCB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Б-25 "Норд-Америкен"</w:t>
            </w:r>
          </w:p>
        </w:tc>
        <w:tc>
          <w:tcPr>
            <w:tcW w:w="786" w:type="dxa"/>
          </w:tcPr>
          <w:p w14:paraId="29F2E3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552</w:t>
            </w:r>
          </w:p>
        </w:tc>
        <w:tc>
          <w:tcPr>
            <w:tcW w:w="1547" w:type="dxa"/>
          </w:tcPr>
          <w:p w14:paraId="661280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398</w:t>
            </w:r>
          </w:p>
        </w:tc>
        <w:tc>
          <w:tcPr>
            <w:tcW w:w="1134" w:type="dxa"/>
          </w:tcPr>
          <w:p w14:paraId="6ECD5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w:t>
            </w:r>
          </w:p>
        </w:tc>
        <w:tc>
          <w:tcPr>
            <w:tcW w:w="992" w:type="dxa"/>
          </w:tcPr>
          <w:p w14:paraId="56507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76" w:type="dxa"/>
          </w:tcPr>
          <w:p w14:paraId="680BE5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c>
          <w:tcPr>
            <w:tcW w:w="1563" w:type="dxa"/>
          </w:tcPr>
          <w:p w14:paraId="2B7C3E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w:t>
            </w:r>
          </w:p>
        </w:tc>
      </w:tr>
      <w:tr w:rsidR="000F5689" w:rsidRPr="00925F26" w14:paraId="490CB5E4" w14:textId="77777777">
        <w:tc>
          <w:tcPr>
            <w:tcW w:w="2518" w:type="dxa"/>
          </w:tcPr>
          <w:p w14:paraId="18E638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Си-47</w:t>
            </w:r>
          </w:p>
        </w:tc>
        <w:tc>
          <w:tcPr>
            <w:tcW w:w="786" w:type="dxa"/>
          </w:tcPr>
          <w:p w14:paraId="53168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218</w:t>
            </w:r>
          </w:p>
        </w:tc>
        <w:tc>
          <w:tcPr>
            <w:tcW w:w="1547" w:type="dxa"/>
          </w:tcPr>
          <w:p w14:paraId="22BD8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1134" w:type="dxa"/>
          </w:tcPr>
          <w:p w14:paraId="5CA6F8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992" w:type="dxa"/>
          </w:tcPr>
          <w:p w14:paraId="0CAA59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276" w:type="dxa"/>
          </w:tcPr>
          <w:p w14:paraId="7E366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563" w:type="dxa"/>
          </w:tcPr>
          <w:p w14:paraId="08268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(3573)</w:t>
            </w:r>
          </w:p>
        </w:tc>
      </w:tr>
    </w:tbl>
    <w:p w14:paraId="07AAB7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полученных и отправленных частям Советских ВВС импортных самолетов-истребителей по годам войны (4111)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561"/>
        <w:gridCol w:w="1276"/>
      </w:tblGrid>
      <w:tr w:rsidR="000F5689" w:rsidRPr="00925F26" w14:paraId="4816B52D" w14:textId="77777777">
        <w:tc>
          <w:tcPr>
            <w:tcW w:w="1127" w:type="dxa"/>
          </w:tcPr>
          <w:p w14:paraId="3B4EBB3C" w14:textId="77777777" w:rsidR="00665165" w:rsidRPr="00925F26" w:rsidRDefault="00665165" w:rsidP="00925F26">
            <w:pPr>
              <w:autoSpaceDE w:val="0"/>
              <w:autoSpaceDN w:val="0"/>
              <w:adjustRightInd w:val="0"/>
              <w:jc w:val="both"/>
              <w:rPr>
                <w:color w:val="000000" w:themeColor="text1"/>
                <w:sz w:val="16"/>
                <w:szCs w:val="16"/>
              </w:rPr>
            </w:pPr>
          </w:p>
        </w:tc>
        <w:tc>
          <w:tcPr>
            <w:tcW w:w="1127" w:type="dxa"/>
          </w:tcPr>
          <w:p w14:paraId="5671D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22.06.41 г.</w:t>
            </w:r>
          </w:p>
        </w:tc>
        <w:tc>
          <w:tcPr>
            <w:tcW w:w="1127" w:type="dxa"/>
          </w:tcPr>
          <w:p w14:paraId="678A79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1127" w:type="dxa"/>
          </w:tcPr>
          <w:p w14:paraId="46687B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1127" w:type="dxa"/>
          </w:tcPr>
          <w:p w14:paraId="315922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1561" w:type="dxa"/>
          </w:tcPr>
          <w:p w14:paraId="43A068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w:t>
            </w:r>
          </w:p>
        </w:tc>
        <w:tc>
          <w:tcPr>
            <w:tcW w:w="1276" w:type="dxa"/>
          </w:tcPr>
          <w:p w14:paraId="7BDF7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5D78DF65" w14:textId="77777777">
        <w:tc>
          <w:tcPr>
            <w:tcW w:w="1127" w:type="dxa"/>
          </w:tcPr>
          <w:p w14:paraId="2A316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Получено</w:t>
            </w:r>
          </w:p>
        </w:tc>
        <w:tc>
          <w:tcPr>
            <w:tcW w:w="1127" w:type="dxa"/>
          </w:tcPr>
          <w:p w14:paraId="44F4B8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27" w:type="dxa"/>
          </w:tcPr>
          <w:p w14:paraId="7B58F0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27" w:type="dxa"/>
          </w:tcPr>
          <w:p w14:paraId="1E1DE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2738</w:t>
            </w:r>
          </w:p>
        </w:tc>
        <w:tc>
          <w:tcPr>
            <w:tcW w:w="1127" w:type="dxa"/>
          </w:tcPr>
          <w:p w14:paraId="7CCDB4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4551</w:t>
            </w:r>
          </w:p>
        </w:tc>
        <w:tc>
          <w:tcPr>
            <w:tcW w:w="1561" w:type="dxa"/>
          </w:tcPr>
          <w:p w14:paraId="7AA28B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857</w:t>
            </w:r>
          </w:p>
        </w:tc>
        <w:tc>
          <w:tcPr>
            <w:tcW w:w="1276" w:type="dxa"/>
          </w:tcPr>
          <w:p w14:paraId="48D2E3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9091</w:t>
            </w:r>
          </w:p>
        </w:tc>
      </w:tr>
      <w:tr w:rsidR="000F5689" w:rsidRPr="00925F26" w14:paraId="7BF301C3" w14:textId="77777777">
        <w:tc>
          <w:tcPr>
            <w:tcW w:w="1127" w:type="dxa"/>
          </w:tcPr>
          <w:p w14:paraId="011F1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Отправл.</w:t>
            </w:r>
          </w:p>
        </w:tc>
        <w:tc>
          <w:tcPr>
            <w:tcW w:w="1127" w:type="dxa"/>
          </w:tcPr>
          <w:p w14:paraId="20994F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27" w:type="dxa"/>
          </w:tcPr>
          <w:p w14:paraId="348843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27" w:type="dxa"/>
          </w:tcPr>
          <w:p w14:paraId="6AA431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2072</w:t>
            </w:r>
          </w:p>
        </w:tc>
        <w:tc>
          <w:tcPr>
            <w:tcW w:w="1127" w:type="dxa"/>
          </w:tcPr>
          <w:p w14:paraId="38076C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4204</w:t>
            </w:r>
          </w:p>
        </w:tc>
        <w:tc>
          <w:tcPr>
            <w:tcW w:w="1561" w:type="dxa"/>
          </w:tcPr>
          <w:p w14:paraId="0FCF09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587</w:t>
            </w:r>
          </w:p>
        </w:tc>
        <w:tc>
          <w:tcPr>
            <w:tcW w:w="1276" w:type="dxa"/>
          </w:tcPr>
          <w:p w14:paraId="149D91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7808 (3573)</w:t>
            </w:r>
          </w:p>
        </w:tc>
      </w:tr>
    </w:tbl>
    <w:p w14:paraId="349794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импортных самолетов, полученных АДД по годам войны (4111)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063"/>
        <w:gridCol w:w="1063"/>
        <w:gridCol w:w="1063"/>
        <w:gridCol w:w="1063"/>
        <w:gridCol w:w="1701"/>
        <w:gridCol w:w="2979"/>
      </w:tblGrid>
      <w:tr w:rsidR="000F5689" w:rsidRPr="00925F26" w14:paraId="4A9A224F" w14:textId="77777777">
        <w:tc>
          <w:tcPr>
            <w:tcW w:w="1668" w:type="dxa"/>
          </w:tcPr>
          <w:p w14:paraId="362A78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самолета</w:t>
            </w:r>
          </w:p>
        </w:tc>
        <w:tc>
          <w:tcPr>
            <w:tcW w:w="1063" w:type="dxa"/>
          </w:tcPr>
          <w:p w14:paraId="165714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22.06.41 г.</w:t>
            </w:r>
          </w:p>
        </w:tc>
        <w:tc>
          <w:tcPr>
            <w:tcW w:w="1063" w:type="dxa"/>
          </w:tcPr>
          <w:p w14:paraId="25BCE7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1063" w:type="dxa"/>
          </w:tcPr>
          <w:p w14:paraId="5B0FB7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1063" w:type="dxa"/>
          </w:tcPr>
          <w:p w14:paraId="04FF8E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1701" w:type="dxa"/>
          </w:tcPr>
          <w:p w14:paraId="5B07DF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w:t>
            </w:r>
          </w:p>
        </w:tc>
        <w:tc>
          <w:tcPr>
            <w:tcW w:w="2979" w:type="dxa"/>
          </w:tcPr>
          <w:p w14:paraId="58081F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638E969F" w14:textId="77777777">
        <w:tc>
          <w:tcPr>
            <w:tcW w:w="1668" w:type="dxa"/>
          </w:tcPr>
          <w:p w14:paraId="16230C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Б-25 (бомбард.)</w:t>
            </w:r>
          </w:p>
        </w:tc>
        <w:tc>
          <w:tcPr>
            <w:tcW w:w="1063" w:type="dxa"/>
          </w:tcPr>
          <w:p w14:paraId="599D1E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63" w:type="dxa"/>
          </w:tcPr>
          <w:p w14:paraId="7BAFA2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063" w:type="dxa"/>
          </w:tcPr>
          <w:p w14:paraId="1BFDC5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w:t>
            </w:r>
          </w:p>
        </w:tc>
        <w:tc>
          <w:tcPr>
            <w:tcW w:w="1063" w:type="dxa"/>
          </w:tcPr>
          <w:p w14:paraId="7181A0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w:t>
            </w:r>
          </w:p>
        </w:tc>
        <w:tc>
          <w:tcPr>
            <w:tcW w:w="1701" w:type="dxa"/>
          </w:tcPr>
          <w:p w14:paraId="14EC54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128</w:t>
            </w:r>
          </w:p>
        </w:tc>
        <w:tc>
          <w:tcPr>
            <w:tcW w:w="2979" w:type="dxa"/>
          </w:tcPr>
          <w:p w14:paraId="497333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483</w:t>
            </w:r>
          </w:p>
        </w:tc>
      </w:tr>
      <w:tr w:rsidR="000F5689" w:rsidRPr="00925F26" w14:paraId="5ABC4845" w14:textId="77777777">
        <w:tc>
          <w:tcPr>
            <w:tcW w:w="1668" w:type="dxa"/>
          </w:tcPr>
          <w:p w14:paraId="703534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Си-47 (транспорт.)</w:t>
            </w:r>
          </w:p>
        </w:tc>
        <w:tc>
          <w:tcPr>
            <w:tcW w:w="1063" w:type="dxa"/>
          </w:tcPr>
          <w:p w14:paraId="441E3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63" w:type="dxa"/>
          </w:tcPr>
          <w:p w14:paraId="5605A2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63" w:type="dxa"/>
          </w:tcPr>
          <w:p w14:paraId="31311C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1063" w:type="dxa"/>
          </w:tcPr>
          <w:p w14:paraId="4427C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w:t>
            </w:r>
          </w:p>
        </w:tc>
        <w:tc>
          <w:tcPr>
            <w:tcW w:w="1701" w:type="dxa"/>
          </w:tcPr>
          <w:p w14:paraId="44D035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2979" w:type="dxa"/>
          </w:tcPr>
          <w:p w14:paraId="02B0FB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r w:rsidR="000F5689" w:rsidRPr="00925F26" w14:paraId="3B1FD4CA" w14:textId="77777777">
        <w:tc>
          <w:tcPr>
            <w:tcW w:w="1668" w:type="dxa"/>
          </w:tcPr>
          <w:p w14:paraId="042D7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063" w:type="dxa"/>
          </w:tcPr>
          <w:p w14:paraId="5EF73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63" w:type="dxa"/>
          </w:tcPr>
          <w:p w14:paraId="4C9575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063" w:type="dxa"/>
          </w:tcPr>
          <w:p w14:paraId="1CDCA1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1063" w:type="dxa"/>
          </w:tcPr>
          <w:p w14:paraId="57216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w:t>
            </w:r>
          </w:p>
        </w:tc>
        <w:tc>
          <w:tcPr>
            <w:tcW w:w="1701" w:type="dxa"/>
          </w:tcPr>
          <w:p w14:paraId="3832B4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w:t>
            </w:r>
          </w:p>
        </w:tc>
        <w:tc>
          <w:tcPr>
            <w:tcW w:w="2979" w:type="dxa"/>
          </w:tcPr>
          <w:p w14:paraId="0C4B2D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594</w:t>
            </w:r>
          </w:p>
        </w:tc>
      </w:tr>
    </w:tbl>
    <w:p w14:paraId="4F331D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Примечание</w:t>
      </w:r>
      <w:proofErr w:type="gramStart"/>
      <w:r w:rsidRPr="00925F26">
        <w:rPr>
          <w:color w:val="000000" w:themeColor="text1"/>
          <w:sz w:val="16"/>
          <w:szCs w:val="16"/>
        </w:rPr>
        <w:t>: За</w:t>
      </w:r>
      <w:proofErr w:type="gramEnd"/>
      <w:r w:rsidRPr="00925F26">
        <w:rPr>
          <w:color w:val="000000" w:themeColor="text1"/>
          <w:sz w:val="16"/>
          <w:szCs w:val="16"/>
        </w:rPr>
        <w:t xml:space="preserve"> период войны Советский Союз получил импортных бомбардировщиков: 2066 А-20 "Бостон" и 697 Б-25, всего 2763 самолета (4110) (3573).</w:t>
      </w:r>
    </w:p>
    <w:p w14:paraId="76F7FD98" w14:textId="77777777" w:rsidR="00665165" w:rsidRPr="00925F26" w:rsidRDefault="00665165" w:rsidP="00925F26">
      <w:pPr>
        <w:autoSpaceDE w:val="0"/>
        <w:autoSpaceDN w:val="0"/>
        <w:adjustRightInd w:val="0"/>
        <w:jc w:val="both"/>
        <w:rPr>
          <w:color w:val="000000" w:themeColor="text1"/>
          <w:sz w:val="16"/>
          <w:szCs w:val="16"/>
        </w:rPr>
      </w:pPr>
    </w:p>
    <w:p w14:paraId="22C89C44" w14:textId="77777777" w:rsidR="006979C2" w:rsidRPr="00925F26" w:rsidRDefault="006979C2" w:rsidP="00925F26">
      <w:pPr>
        <w:jc w:val="both"/>
        <w:rPr>
          <w:color w:val="000000" w:themeColor="text1"/>
          <w:sz w:val="16"/>
          <w:szCs w:val="16"/>
        </w:rPr>
      </w:pPr>
      <w:r w:rsidRPr="00925F26">
        <w:rPr>
          <w:color w:val="000000" w:themeColor="text1"/>
          <w:sz w:val="16"/>
          <w:szCs w:val="16"/>
        </w:rPr>
        <w:t>На 1 мая 1945 г. в советской авиации насчитывалось 1473 машины Р-63, но в действующей армии - всего пять Р-63. Они, видимо, использовались только для ознакомления. Никакой информации о совершении ими боевых вылетов нет. Но и потерь тоже практически не было, к 1 мая в авариях и катастрофах разбили только семь самолётов (12265).</w:t>
      </w:r>
    </w:p>
    <w:p w14:paraId="051FB3D9" w14:textId="77777777" w:rsidR="006979C2" w:rsidRPr="00925F26" w:rsidRDefault="006979C2" w:rsidP="00925F26">
      <w:pPr>
        <w:jc w:val="both"/>
        <w:rPr>
          <w:color w:val="000000" w:themeColor="text1"/>
          <w:sz w:val="16"/>
          <w:szCs w:val="16"/>
        </w:rPr>
      </w:pPr>
    </w:p>
    <w:p w14:paraId="2C434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Динамика роста боевой живучести самолетов ВВС КА по периодам войны (4112; 4113; 4114)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134"/>
        <w:gridCol w:w="1134"/>
        <w:gridCol w:w="803"/>
        <w:gridCol w:w="803"/>
        <w:gridCol w:w="5053"/>
      </w:tblGrid>
      <w:tr w:rsidR="000F5689" w:rsidRPr="00925F26" w14:paraId="4744891F" w14:textId="77777777">
        <w:tc>
          <w:tcPr>
            <w:tcW w:w="1668" w:type="dxa"/>
          </w:tcPr>
          <w:p w14:paraId="2C4D9A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Род авиации</w:t>
            </w:r>
          </w:p>
        </w:tc>
        <w:tc>
          <w:tcPr>
            <w:tcW w:w="1134" w:type="dxa"/>
          </w:tcPr>
          <w:p w14:paraId="383E1D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22.06.41 г. - 1.07.42 г.</w:t>
            </w:r>
          </w:p>
        </w:tc>
        <w:tc>
          <w:tcPr>
            <w:tcW w:w="1134" w:type="dxa"/>
          </w:tcPr>
          <w:p w14:paraId="41EBF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август 42 г. - май 43 г.</w:t>
            </w:r>
          </w:p>
        </w:tc>
        <w:tc>
          <w:tcPr>
            <w:tcW w:w="803" w:type="dxa"/>
          </w:tcPr>
          <w:p w14:paraId="14DE9F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ноябрь 44 г.</w:t>
            </w:r>
          </w:p>
        </w:tc>
        <w:tc>
          <w:tcPr>
            <w:tcW w:w="803" w:type="dxa"/>
          </w:tcPr>
          <w:p w14:paraId="3B88C6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4 мес. 45 г.</w:t>
            </w:r>
          </w:p>
        </w:tc>
        <w:tc>
          <w:tcPr>
            <w:tcW w:w="5053" w:type="dxa"/>
          </w:tcPr>
          <w:p w14:paraId="092ABA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Рост 1945 г. к 1-му пер. (раз)</w:t>
            </w:r>
          </w:p>
        </w:tc>
      </w:tr>
      <w:tr w:rsidR="000F5689" w:rsidRPr="00925F26" w14:paraId="7CFF0109" w14:textId="77777777">
        <w:tc>
          <w:tcPr>
            <w:tcW w:w="1668" w:type="dxa"/>
          </w:tcPr>
          <w:p w14:paraId="2B4D3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1134" w:type="dxa"/>
          </w:tcPr>
          <w:p w14:paraId="4D3A96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134" w:type="dxa"/>
          </w:tcPr>
          <w:p w14:paraId="5BB167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w:t>
            </w:r>
          </w:p>
        </w:tc>
        <w:tc>
          <w:tcPr>
            <w:tcW w:w="803" w:type="dxa"/>
          </w:tcPr>
          <w:p w14:paraId="3FC9FE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c>
          <w:tcPr>
            <w:tcW w:w="803" w:type="dxa"/>
          </w:tcPr>
          <w:p w14:paraId="43247E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5053" w:type="dxa"/>
          </w:tcPr>
          <w:p w14:paraId="6A05D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6,92</w:t>
            </w:r>
          </w:p>
        </w:tc>
      </w:tr>
      <w:tr w:rsidR="000F5689" w:rsidRPr="00925F26" w14:paraId="736A561B" w14:textId="77777777">
        <w:tc>
          <w:tcPr>
            <w:tcW w:w="1668" w:type="dxa"/>
          </w:tcPr>
          <w:p w14:paraId="5DD7AB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1134" w:type="dxa"/>
          </w:tcPr>
          <w:p w14:paraId="35D6A4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134" w:type="dxa"/>
          </w:tcPr>
          <w:p w14:paraId="067ECE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803" w:type="dxa"/>
          </w:tcPr>
          <w:p w14:paraId="49D55F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803" w:type="dxa"/>
          </w:tcPr>
          <w:p w14:paraId="19CAC4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5053" w:type="dxa"/>
          </w:tcPr>
          <w:p w14:paraId="12D0E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6,92</w:t>
            </w:r>
          </w:p>
        </w:tc>
      </w:tr>
      <w:tr w:rsidR="000F5689" w:rsidRPr="00925F26" w14:paraId="6FD268C7" w14:textId="77777777">
        <w:tc>
          <w:tcPr>
            <w:tcW w:w="1668" w:type="dxa"/>
          </w:tcPr>
          <w:p w14:paraId="517643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w:t>
            </w:r>
          </w:p>
        </w:tc>
        <w:tc>
          <w:tcPr>
            <w:tcW w:w="1134" w:type="dxa"/>
          </w:tcPr>
          <w:p w14:paraId="411671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1134" w:type="dxa"/>
          </w:tcPr>
          <w:p w14:paraId="150AD5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803" w:type="dxa"/>
          </w:tcPr>
          <w:p w14:paraId="5B9CBE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803" w:type="dxa"/>
          </w:tcPr>
          <w:p w14:paraId="275544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w:t>
            </w:r>
          </w:p>
        </w:tc>
        <w:tc>
          <w:tcPr>
            <w:tcW w:w="5053" w:type="dxa"/>
          </w:tcPr>
          <w:p w14:paraId="0D2216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 (3573)</w:t>
            </w:r>
          </w:p>
        </w:tc>
      </w:tr>
    </w:tbl>
    <w:p w14:paraId="760A89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Самолетный парк ВВС КА по состоянию на 1 мая 1945 г. (4115).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701"/>
        <w:gridCol w:w="992"/>
        <w:gridCol w:w="2203"/>
        <w:gridCol w:w="796"/>
        <w:gridCol w:w="797"/>
        <w:gridCol w:w="1595"/>
      </w:tblGrid>
      <w:tr w:rsidR="000F5689" w:rsidRPr="00925F26" w14:paraId="662C4246" w14:textId="77777777">
        <w:tc>
          <w:tcPr>
            <w:tcW w:w="2518" w:type="dxa"/>
          </w:tcPr>
          <w:p w14:paraId="0D3AE9E4"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282B86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КА</w:t>
            </w:r>
          </w:p>
        </w:tc>
        <w:tc>
          <w:tcPr>
            <w:tcW w:w="992" w:type="dxa"/>
          </w:tcPr>
          <w:p w14:paraId="28E312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Фронтовая ав.</w:t>
            </w:r>
          </w:p>
        </w:tc>
        <w:tc>
          <w:tcPr>
            <w:tcW w:w="2203" w:type="dxa"/>
          </w:tcPr>
          <w:p w14:paraId="2A5515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 ДБФ</w:t>
            </w:r>
          </w:p>
        </w:tc>
        <w:tc>
          <w:tcPr>
            <w:tcW w:w="796" w:type="dxa"/>
          </w:tcPr>
          <w:p w14:paraId="1D34C5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 ВО</w:t>
            </w:r>
          </w:p>
        </w:tc>
        <w:tc>
          <w:tcPr>
            <w:tcW w:w="797" w:type="dxa"/>
          </w:tcPr>
          <w:p w14:paraId="0C9745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Тыл</w:t>
            </w:r>
          </w:p>
        </w:tc>
        <w:tc>
          <w:tcPr>
            <w:tcW w:w="1595" w:type="dxa"/>
          </w:tcPr>
          <w:p w14:paraId="224257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Школы</w:t>
            </w:r>
          </w:p>
        </w:tc>
      </w:tr>
      <w:tr w:rsidR="000F5689" w:rsidRPr="00925F26" w14:paraId="1ED43763" w14:textId="77777777">
        <w:tc>
          <w:tcPr>
            <w:tcW w:w="2518" w:type="dxa"/>
          </w:tcPr>
          <w:p w14:paraId="4AF7711D"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11BB3E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(без ПВО)</w:t>
            </w:r>
          </w:p>
        </w:tc>
        <w:tc>
          <w:tcPr>
            <w:tcW w:w="992" w:type="dxa"/>
          </w:tcPr>
          <w:p w14:paraId="576418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(без школ)</w:t>
            </w:r>
          </w:p>
        </w:tc>
        <w:tc>
          <w:tcPr>
            <w:tcW w:w="2203" w:type="dxa"/>
          </w:tcPr>
          <w:p w14:paraId="360FE0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(без школ)</w:t>
            </w:r>
          </w:p>
        </w:tc>
        <w:tc>
          <w:tcPr>
            <w:tcW w:w="796" w:type="dxa"/>
          </w:tcPr>
          <w:p w14:paraId="1A15F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ВА)</w:t>
            </w:r>
          </w:p>
        </w:tc>
        <w:tc>
          <w:tcPr>
            <w:tcW w:w="797" w:type="dxa"/>
          </w:tcPr>
          <w:p w14:paraId="57ABF11F"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7A4E09A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5AF262D" w14:textId="77777777">
        <w:tc>
          <w:tcPr>
            <w:tcW w:w="2518" w:type="dxa"/>
          </w:tcPr>
          <w:p w14:paraId="4E5D98F8"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77C251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том числе:</w:t>
            </w:r>
          </w:p>
        </w:tc>
        <w:tc>
          <w:tcPr>
            <w:tcW w:w="992" w:type="dxa"/>
          </w:tcPr>
          <w:p w14:paraId="74B54CA3"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6A49F170"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31C04901"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38BD73BF"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570E2BB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CF346D0" w14:textId="77777777">
        <w:tc>
          <w:tcPr>
            <w:tcW w:w="2518" w:type="dxa"/>
          </w:tcPr>
          <w:p w14:paraId="3B5876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1701" w:type="dxa"/>
          </w:tcPr>
          <w:p w14:paraId="4BC1F5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10176</w:t>
            </w:r>
          </w:p>
        </w:tc>
        <w:tc>
          <w:tcPr>
            <w:tcW w:w="992" w:type="dxa"/>
          </w:tcPr>
          <w:p w14:paraId="6AE79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5462</w:t>
            </w:r>
          </w:p>
        </w:tc>
        <w:tc>
          <w:tcPr>
            <w:tcW w:w="2203" w:type="dxa"/>
          </w:tcPr>
          <w:p w14:paraId="50B066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796" w:type="dxa"/>
          </w:tcPr>
          <w:p w14:paraId="1A52C3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251</w:t>
            </w:r>
          </w:p>
        </w:tc>
        <w:tc>
          <w:tcPr>
            <w:tcW w:w="797" w:type="dxa"/>
          </w:tcPr>
          <w:p w14:paraId="74264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2860</w:t>
            </w:r>
          </w:p>
        </w:tc>
        <w:tc>
          <w:tcPr>
            <w:tcW w:w="1595" w:type="dxa"/>
          </w:tcPr>
          <w:p w14:paraId="7AEE2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1203</w:t>
            </w:r>
          </w:p>
        </w:tc>
      </w:tr>
      <w:tr w:rsidR="000F5689" w:rsidRPr="00925F26" w14:paraId="754D3B61" w14:textId="77777777">
        <w:tc>
          <w:tcPr>
            <w:tcW w:w="2518" w:type="dxa"/>
          </w:tcPr>
          <w:p w14:paraId="3BF04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Пе-3, Ту-2, Пе-8, Ер-2</w:t>
            </w:r>
          </w:p>
        </w:tc>
        <w:tc>
          <w:tcPr>
            <w:tcW w:w="1701" w:type="dxa"/>
          </w:tcPr>
          <w:p w14:paraId="0CC28A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4551</w:t>
            </w:r>
          </w:p>
        </w:tc>
        <w:tc>
          <w:tcPr>
            <w:tcW w:w="992" w:type="dxa"/>
          </w:tcPr>
          <w:p w14:paraId="1E4A97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1841</w:t>
            </w:r>
          </w:p>
        </w:tc>
        <w:tc>
          <w:tcPr>
            <w:tcW w:w="2203" w:type="dxa"/>
          </w:tcPr>
          <w:p w14:paraId="2EB3EC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w:t>
            </w:r>
          </w:p>
        </w:tc>
        <w:tc>
          <w:tcPr>
            <w:tcW w:w="796" w:type="dxa"/>
          </w:tcPr>
          <w:p w14:paraId="47808B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797" w:type="dxa"/>
          </w:tcPr>
          <w:p w14:paraId="296619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2082</w:t>
            </w:r>
          </w:p>
        </w:tc>
        <w:tc>
          <w:tcPr>
            <w:tcW w:w="1595" w:type="dxa"/>
          </w:tcPr>
          <w:p w14:paraId="4CEB2D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444</w:t>
            </w:r>
          </w:p>
        </w:tc>
      </w:tr>
      <w:tr w:rsidR="000F5689" w:rsidRPr="00925F26" w14:paraId="7C68B8C4" w14:textId="77777777">
        <w:tc>
          <w:tcPr>
            <w:tcW w:w="2518" w:type="dxa"/>
          </w:tcPr>
          <w:p w14:paraId="2EEBDC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 Ли-2б, ДБ-3</w:t>
            </w:r>
          </w:p>
        </w:tc>
        <w:tc>
          <w:tcPr>
            <w:tcW w:w="1701" w:type="dxa"/>
          </w:tcPr>
          <w:p w14:paraId="296849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2075</w:t>
            </w:r>
          </w:p>
        </w:tc>
        <w:tc>
          <w:tcPr>
            <w:tcW w:w="992" w:type="dxa"/>
          </w:tcPr>
          <w:p w14:paraId="20DF8F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1265</w:t>
            </w:r>
          </w:p>
        </w:tc>
        <w:tc>
          <w:tcPr>
            <w:tcW w:w="2203" w:type="dxa"/>
          </w:tcPr>
          <w:p w14:paraId="3B9C5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796" w:type="dxa"/>
          </w:tcPr>
          <w:p w14:paraId="785DE8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797" w:type="dxa"/>
          </w:tcPr>
          <w:p w14:paraId="45B3FE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w:t>
            </w:r>
          </w:p>
        </w:tc>
        <w:tc>
          <w:tcPr>
            <w:tcW w:w="1595" w:type="dxa"/>
          </w:tcPr>
          <w:p w14:paraId="2531A3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447</w:t>
            </w:r>
          </w:p>
        </w:tc>
      </w:tr>
      <w:tr w:rsidR="000F5689" w:rsidRPr="00925F26" w14:paraId="23252251" w14:textId="77777777">
        <w:tc>
          <w:tcPr>
            <w:tcW w:w="2518" w:type="dxa"/>
          </w:tcPr>
          <w:p w14:paraId="588522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Стар. Типы и проч.</w:t>
            </w:r>
          </w:p>
        </w:tc>
        <w:tc>
          <w:tcPr>
            <w:tcW w:w="1701" w:type="dxa"/>
          </w:tcPr>
          <w:p w14:paraId="069206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884</w:t>
            </w:r>
          </w:p>
        </w:tc>
        <w:tc>
          <w:tcPr>
            <w:tcW w:w="992" w:type="dxa"/>
          </w:tcPr>
          <w:p w14:paraId="2B058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208</w:t>
            </w:r>
          </w:p>
        </w:tc>
        <w:tc>
          <w:tcPr>
            <w:tcW w:w="2203" w:type="dxa"/>
          </w:tcPr>
          <w:p w14:paraId="0EC882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332</w:t>
            </w:r>
          </w:p>
        </w:tc>
        <w:tc>
          <w:tcPr>
            <w:tcW w:w="796" w:type="dxa"/>
          </w:tcPr>
          <w:p w14:paraId="3D4580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w:t>
            </w:r>
          </w:p>
        </w:tc>
        <w:tc>
          <w:tcPr>
            <w:tcW w:w="797" w:type="dxa"/>
          </w:tcPr>
          <w:p w14:paraId="2E715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c>
          <w:tcPr>
            <w:tcW w:w="1595" w:type="dxa"/>
          </w:tcPr>
          <w:p w14:paraId="4CE90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w:t>
            </w:r>
          </w:p>
        </w:tc>
      </w:tr>
      <w:tr w:rsidR="000F5689" w:rsidRPr="00925F26" w14:paraId="67FAB50E" w14:textId="77777777">
        <w:tc>
          <w:tcPr>
            <w:tcW w:w="2518" w:type="dxa"/>
          </w:tcPr>
          <w:p w14:paraId="62A24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Импорт.</w:t>
            </w:r>
          </w:p>
        </w:tc>
        <w:tc>
          <w:tcPr>
            <w:tcW w:w="1701" w:type="dxa"/>
          </w:tcPr>
          <w:p w14:paraId="06EC95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1461</w:t>
            </w:r>
          </w:p>
        </w:tc>
        <w:tc>
          <w:tcPr>
            <w:tcW w:w="992" w:type="dxa"/>
          </w:tcPr>
          <w:p w14:paraId="3D1E9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943</w:t>
            </w:r>
          </w:p>
        </w:tc>
        <w:tc>
          <w:tcPr>
            <w:tcW w:w="2203" w:type="dxa"/>
          </w:tcPr>
          <w:p w14:paraId="5904BA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796" w:type="dxa"/>
          </w:tcPr>
          <w:p w14:paraId="257FF4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97" w:type="dxa"/>
          </w:tcPr>
          <w:p w14:paraId="38DADB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405</w:t>
            </w:r>
          </w:p>
        </w:tc>
        <w:tc>
          <w:tcPr>
            <w:tcW w:w="1595" w:type="dxa"/>
          </w:tcPr>
          <w:p w14:paraId="3F1371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r>
      <w:tr w:rsidR="000F5689" w:rsidRPr="00925F26" w14:paraId="681D50F9" w14:textId="77777777">
        <w:tc>
          <w:tcPr>
            <w:tcW w:w="2518" w:type="dxa"/>
          </w:tcPr>
          <w:p w14:paraId="1800C1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 ночн.</w:t>
            </w:r>
          </w:p>
        </w:tc>
        <w:tc>
          <w:tcPr>
            <w:tcW w:w="1701" w:type="dxa"/>
          </w:tcPr>
          <w:p w14:paraId="70002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1205</w:t>
            </w:r>
          </w:p>
        </w:tc>
        <w:tc>
          <w:tcPr>
            <w:tcW w:w="992" w:type="dxa"/>
          </w:tcPr>
          <w:p w14:paraId="50BA0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1205</w:t>
            </w:r>
          </w:p>
        </w:tc>
        <w:tc>
          <w:tcPr>
            <w:tcW w:w="2203" w:type="dxa"/>
          </w:tcPr>
          <w:p w14:paraId="0ADC5B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96" w:type="dxa"/>
          </w:tcPr>
          <w:p w14:paraId="42A636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97" w:type="dxa"/>
          </w:tcPr>
          <w:p w14:paraId="7D7BA9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95" w:type="dxa"/>
          </w:tcPr>
          <w:p w14:paraId="0C27A6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7EB8DF5" w14:textId="77777777">
        <w:tc>
          <w:tcPr>
            <w:tcW w:w="2518" w:type="dxa"/>
          </w:tcPr>
          <w:p w14:paraId="47B84C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1701" w:type="dxa"/>
          </w:tcPr>
          <w:p w14:paraId="045BC7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20155</w:t>
            </w:r>
          </w:p>
        </w:tc>
        <w:tc>
          <w:tcPr>
            <w:tcW w:w="992" w:type="dxa"/>
          </w:tcPr>
          <w:p w14:paraId="500EF1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7289</w:t>
            </w:r>
          </w:p>
        </w:tc>
        <w:tc>
          <w:tcPr>
            <w:tcW w:w="2203" w:type="dxa"/>
          </w:tcPr>
          <w:p w14:paraId="6865E0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1817</w:t>
            </w:r>
          </w:p>
        </w:tc>
        <w:tc>
          <w:tcPr>
            <w:tcW w:w="796" w:type="dxa"/>
          </w:tcPr>
          <w:p w14:paraId="275CE9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619</w:t>
            </w:r>
          </w:p>
        </w:tc>
        <w:tc>
          <w:tcPr>
            <w:tcW w:w="797" w:type="dxa"/>
          </w:tcPr>
          <w:p w14:paraId="32733F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9055</w:t>
            </w:r>
          </w:p>
        </w:tc>
        <w:tc>
          <w:tcPr>
            <w:tcW w:w="1595" w:type="dxa"/>
          </w:tcPr>
          <w:p w14:paraId="0A5CDF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7380125B" w14:textId="77777777">
        <w:tc>
          <w:tcPr>
            <w:tcW w:w="2518" w:type="dxa"/>
          </w:tcPr>
          <w:p w14:paraId="12B1AF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 3, 7, 9, Ла-5, Ла-7</w:t>
            </w:r>
          </w:p>
        </w:tc>
        <w:tc>
          <w:tcPr>
            <w:tcW w:w="1701" w:type="dxa"/>
          </w:tcPr>
          <w:p w14:paraId="459703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16383</w:t>
            </w:r>
          </w:p>
        </w:tc>
        <w:tc>
          <w:tcPr>
            <w:tcW w:w="992" w:type="dxa"/>
          </w:tcPr>
          <w:p w14:paraId="4D66D4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6355</w:t>
            </w:r>
          </w:p>
        </w:tc>
        <w:tc>
          <w:tcPr>
            <w:tcW w:w="2203" w:type="dxa"/>
          </w:tcPr>
          <w:p w14:paraId="7CF314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1550</w:t>
            </w:r>
          </w:p>
        </w:tc>
        <w:tc>
          <w:tcPr>
            <w:tcW w:w="796" w:type="dxa"/>
          </w:tcPr>
          <w:p w14:paraId="1463A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518</w:t>
            </w:r>
          </w:p>
        </w:tc>
        <w:tc>
          <w:tcPr>
            <w:tcW w:w="797" w:type="dxa"/>
          </w:tcPr>
          <w:p w14:paraId="4E6324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6662</w:t>
            </w:r>
          </w:p>
        </w:tc>
        <w:tc>
          <w:tcPr>
            <w:tcW w:w="1595" w:type="dxa"/>
          </w:tcPr>
          <w:p w14:paraId="4C7D06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1298</w:t>
            </w:r>
          </w:p>
        </w:tc>
      </w:tr>
      <w:tr w:rsidR="000F5689" w:rsidRPr="00925F26" w14:paraId="2412F7DF" w14:textId="77777777">
        <w:tc>
          <w:tcPr>
            <w:tcW w:w="2518" w:type="dxa"/>
          </w:tcPr>
          <w:p w14:paraId="134D1F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Стар. Типы</w:t>
            </w:r>
          </w:p>
        </w:tc>
        <w:tc>
          <w:tcPr>
            <w:tcW w:w="1701" w:type="dxa"/>
          </w:tcPr>
          <w:p w14:paraId="10CBA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377</w:t>
            </w:r>
          </w:p>
        </w:tc>
        <w:tc>
          <w:tcPr>
            <w:tcW w:w="992" w:type="dxa"/>
          </w:tcPr>
          <w:p w14:paraId="70988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03" w:type="dxa"/>
          </w:tcPr>
          <w:p w14:paraId="25E86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w:t>
            </w:r>
          </w:p>
        </w:tc>
        <w:tc>
          <w:tcPr>
            <w:tcW w:w="796" w:type="dxa"/>
          </w:tcPr>
          <w:p w14:paraId="5EF5A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w:t>
            </w:r>
          </w:p>
        </w:tc>
        <w:tc>
          <w:tcPr>
            <w:tcW w:w="797" w:type="dxa"/>
          </w:tcPr>
          <w:p w14:paraId="101827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595" w:type="dxa"/>
          </w:tcPr>
          <w:p w14:paraId="09B5F2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r>
      <w:tr w:rsidR="000F5689" w:rsidRPr="00925F26" w14:paraId="7BA268E1" w14:textId="77777777">
        <w:tc>
          <w:tcPr>
            <w:tcW w:w="2518" w:type="dxa"/>
          </w:tcPr>
          <w:p w14:paraId="06BBED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Импорт.</w:t>
            </w:r>
          </w:p>
        </w:tc>
        <w:tc>
          <w:tcPr>
            <w:tcW w:w="1701" w:type="dxa"/>
          </w:tcPr>
          <w:p w14:paraId="728480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3395</w:t>
            </w:r>
          </w:p>
        </w:tc>
        <w:tc>
          <w:tcPr>
            <w:tcW w:w="992" w:type="dxa"/>
          </w:tcPr>
          <w:p w14:paraId="6036F8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934</w:t>
            </w:r>
          </w:p>
        </w:tc>
        <w:tc>
          <w:tcPr>
            <w:tcW w:w="2203" w:type="dxa"/>
          </w:tcPr>
          <w:p w14:paraId="37E33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796" w:type="dxa"/>
          </w:tcPr>
          <w:p w14:paraId="22F173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97" w:type="dxa"/>
          </w:tcPr>
          <w:p w14:paraId="23E0FD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2365</w:t>
            </w:r>
          </w:p>
        </w:tc>
        <w:tc>
          <w:tcPr>
            <w:tcW w:w="1595" w:type="dxa"/>
          </w:tcPr>
          <w:p w14:paraId="095ACE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w:t>
            </w:r>
          </w:p>
        </w:tc>
      </w:tr>
      <w:tr w:rsidR="000F5689" w:rsidRPr="00925F26" w14:paraId="06326374" w14:textId="77777777">
        <w:tc>
          <w:tcPr>
            <w:tcW w:w="2518" w:type="dxa"/>
          </w:tcPr>
          <w:p w14:paraId="209E7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1701" w:type="dxa"/>
          </w:tcPr>
          <w:p w14:paraId="7A20C392"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55FBAA61"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32C42C46"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2AE33586"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69892314"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4D13A87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FFBA092" w14:textId="77777777">
        <w:tc>
          <w:tcPr>
            <w:tcW w:w="2518" w:type="dxa"/>
          </w:tcPr>
          <w:p w14:paraId="561E0F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Ил-10</w:t>
            </w:r>
          </w:p>
        </w:tc>
        <w:tc>
          <w:tcPr>
            <w:tcW w:w="1701" w:type="dxa"/>
          </w:tcPr>
          <w:p w14:paraId="5A46F6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9316</w:t>
            </w:r>
          </w:p>
        </w:tc>
        <w:tc>
          <w:tcPr>
            <w:tcW w:w="992" w:type="dxa"/>
          </w:tcPr>
          <w:p w14:paraId="6F593C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4293</w:t>
            </w:r>
          </w:p>
        </w:tc>
        <w:tc>
          <w:tcPr>
            <w:tcW w:w="2203" w:type="dxa"/>
          </w:tcPr>
          <w:p w14:paraId="4D7922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w:t>
            </w:r>
          </w:p>
        </w:tc>
        <w:tc>
          <w:tcPr>
            <w:tcW w:w="796" w:type="dxa"/>
          </w:tcPr>
          <w:p w14:paraId="3B30FD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c>
          <w:tcPr>
            <w:tcW w:w="797" w:type="dxa"/>
          </w:tcPr>
          <w:p w14:paraId="616CBC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3621</w:t>
            </w:r>
          </w:p>
        </w:tc>
        <w:tc>
          <w:tcPr>
            <w:tcW w:w="1595" w:type="dxa"/>
          </w:tcPr>
          <w:p w14:paraId="238853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718</w:t>
            </w:r>
          </w:p>
        </w:tc>
      </w:tr>
      <w:tr w:rsidR="000F5689" w:rsidRPr="00925F26" w14:paraId="32D5E45D" w14:textId="77777777">
        <w:tc>
          <w:tcPr>
            <w:tcW w:w="2518" w:type="dxa"/>
          </w:tcPr>
          <w:p w14:paraId="334BDD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Транспортные:</w:t>
            </w:r>
          </w:p>
        </w:tc>
        <w:tc>
          <w:tcPr>
            <w:tcW w:w="1701" w:type="dxa"/>
          </w:tcPr>
          <w:p w14:paraId="0074B747"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18A7C10A"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76A5507B"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3F0D7EB3"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03C26C94"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54CC0B2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363ED61" w14:textId="77777777">
        <w:tc>
          <w:tcPr>
            <w:tcW w:w="2518" w:type="dxa"/>
          </w:tcPr>
          <w:p w14:paraId="52A698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 Си-47, Дуглас</w:t>
            </w:r>
          </w:p>
        </w:tc>
        <w:tc>
          <w:tcPr>
            <w:tcW w:w="1701" w:type="dxa"/>
          </w:tcPr>
          <w:p w14:paraId="5C44B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w:t>
            </w:r>
          </w:p>
        </w:tc>
        <w:tc>
          <w:tcPr>
            <w:tcW w:w="992" w:type="dxa"/>
          </w:tcPr>
          <w:p w14:paraId="541160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269</w:t>
            </w:r>
          </w:p>
        </w:tc>
        <w:tc>
          <w:tcPr>
            <w:tcW w:w="2203" w:type="dxa"/>
          </w:tcPr>
          <w:p w14:paraId="39AB92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796" w:type="dxa"/>
          </w:tcPr>
          <w:p w14:paraId="06315E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797" w:type="dxa"/>
          </w:tcPr>
          <w:p w14:paraId="2EF2EB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289</w:t>
            </w:r>
          </w:p>
        </w:tc>
        <w:tc>
          <w:tcPr>
            <w:tcW w:w="1595" w:type="dxa"/>
          </w:tcPr>
          <w:p w14:paraId="382F23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r>
      <w:tr w:rsidR="000F5689" w:rsidRPr="00925F26" w14:paraId="01BE4037" w14:textId="77777777">
        <w:tc>
          <w:tcPr>
            <w:tcW w:w="2518" w:type="dxa"/>
          </w:tcPr>
          <w:p w14:paraId="2B9658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Учебные и проч.:</w:t>
            </w:r>
          </w:p>
        </w:tc>
        <w:tc>
          <w:tcPr>
            <w:tcW w:w="1701" w:type="dxa"/>
          </w:tcPr>
          <w:p w14:paraId="41D8F9DA"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BF5EA13"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6421B87C"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7CAF683A"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703E6A96"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258BDD8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113E460" w14:textId="77777777">
        <w:tc>
          <w:tcPr>
            <w:tcW w:w="2518" w:type="dxa"/>
          </w:tcPr>
          <w:p w14:paraId="7AB22B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УТИ-4, Як-7в, УЛа-5,</w:t>
            </w:r>
          </w:p>
        </w:tc>
        <w:tc>
          <w:tcPr>
            <w:tcW w:w="1701" w:type="dxa"/>
          </w:tcPr>
          <w:p w14:paraId="204E509F"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7777A7B8"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446A3461"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396854DD"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728C8424"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13B63B7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96DAAF0" w14:textId="77777777">
        <w:tc>
          <w:tcPr>
            <w:tcW w:w="2518" w:type="dxa"/>
          </w:tcPr>
          <w:p w14:paraId="032D0D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 Ут-2, Ут-1 и проч.</w:t>
            </w:r>
          </w:p>
        </w:tc>
        <w:tc>
          <w:tcPr>
            <w:tcW w:w="1701" w:type="dxa"/>
          </w:tcPr>
          <w:p w14:paraId="7276F3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13541</w:t>
            </w:r>
          </w:p>
        </w:tc>
        <w:tc>
          <w:tcPr>
            <w:tcW w:w="992" w:type="dxa"/>
          </w:tcPr>
          <w:p w14:paraId="585CA5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4456</w:t>
            </w:r>
          </w:p>
        </w:tc>
        <w:tc>
          <w:tcPr>
            <w:tcW w:w="2203" w:type="dxa"/>
          </w:tcPr>
          <w:p w14:paraId="755266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w:t>
            </w:r>
          </w:p>
        </w:tc>
        <w:tc>
          <w:tcPr>
            <w:tcW w:w="796" w:type="dxa"/>
          </w:tcPr>
          <w:p w14:paraId="752D1D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316</w:t>
            </w:r>
          </w:p>
        </w:tc>
        <w:tc>
          <w:tcPr>
            <w:tcW w:w="797" w:type="dxa"/>
          </w:tcPr>
          <w:p w14:paraId="5EE007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4464</w:t>
            </w:r>
          </w:p>
        </w:tc>
        <w:tc>
          <w:tcPr>
            <w:tcW w:w="1595" w:type="dxa"/>
          </w:tcPr>
          <w:p w14:paraId="538892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3733</w:t>
            </w:r>
          </w:p>
        </w:tc>
      </w:tr>
      <w:tr w:rsidR="000F5689" w:rsidRPr="00925F26" w14:paraId="7271E255" w14:textId="77777777">
        <w:tc>
          <w:tcPr>
            <w:tcW w:w="2518" w:type="dxa"/>
          </w:tcPr>
          <w:p w14:paraId="3F4396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701" w:type="dxa"/>
          </w:tcPr>
          <w:p w14:paraId="1EF07F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53882</w:t>
            </w:r>
          </w:p>
        </w:tc>
        <w:tc>
          <w:tcPr>
            <w:tcW w:w="992" w:type="dxa"/>
          </w:tcPr>
          <w:p w14:paraId="0B4F2F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21769</w:t>
            </w:r>
          </w:p>
        </w:tc>
        <w:tc>
          <w:tcPr>
            <w:tcW w:w="2203" w:type="dxa"/>
          </w:tcPr>
          <w:p w14:paraId="77D7FC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3292</w:t>
            </w:r>
          </w:p>
        </w:tc>
        <w:tc>
          <w:tcPr>
            <w:tcW w:w="796" w:type="dxa"/>
          </w:tcPr>
          <w:p w14:paraId="33EDDB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1376</w:t>
            </w:r>
          </w:p>
        </w:tc>
        <w:tc>
          <w:tcPr>
            <w:tcW w:w="797" w:type="dxa"/>
          </w:tcPr>
          <w:p w14:paraId="47063C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20289</w:t>
            </w:r>
          </w:p>
        </w:tc>
        <w:tc>
          <w:tcPr>
            <w:tcW w:w="1595" w:type="dxa"/>
          </w:tcPr>
          <w:p w14:paraId="55427A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7156</w:t>
            </w:r>
          </w:p>
        </w:tc>
      </w:tr>
      <w:tr w:rsidR="000F5689" w:rsidRPr="00925F26" w14:paraId="39784594" w14:textId="77777777">
        <w:tc>
          <w:tcPr>
            <w:tcW w:w="2518" w:type="dxa"/>
          </w:tcPr>
          <w:p w14:paraId="1604BE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них:</w:t>
            </w:r>
          </w:p>
        </w:tc>
        <w:tc>
          <w:tcPr>
            <w:tcW w:w="1701" w:type="dxa"/>
          </w:tcPr>
          <w:p w14:paraId="4F15DC7B"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14B83EA4"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7B47D8E4" w14:textId="77777777" w:rsidR="00665165" w:rsidRPr="00925F26" w:rsidRDefault="00665165" w:rsidP="00925F26">
            <w:pPr>
              <w:autoSpaceDE w:val="0"/>
              <w:autoSpaceDN w:val="0"/>
              <w:adjustRightInd w:val="0"/>
              <w:jc w:val="both"/>
              <w:rPr>
                <w:color w:val="000000" w:themeColor="text1"/>
                <w:sz w:val="16"/>
                <w:szCs w:val="16"/>
              </w:rPr>
            </w:pPr>
          </w:p>
        </w:tc>
        <w:tc>
          <w:tcPr>
            <w:tcW w:w="796" w:type="dxa"/>
          </w:tcPr>
          <w:p w14:paraId="0E588F54"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767F3D96"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0A6AACE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0DFDC9B" w14:textId="77777777">
        <w:tc>
          <w:tcPr>
            <w:tcW w:w="2518" w:type="dxa"/>
          </w:tcPr>
          <w:p w14:paraId="56121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Исправны</w:t>
            </w:r>
          </w:p>
        </w:tc>
        <w:tc>
          <w:tcPr>
            <w:tcW w:w="1701" w:type="dxa"/>
          </w:tcPr>
          <w:p w14:paraId="1012D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45291</w:t>
            </w:r>
          </w:p>
        </w:tc>
        <w:tc>
          <w:tcPr>
            <w:tcW w:w="992" w:type="dxa"/>
          </w:tcPr>
          <w:p w14:paraId="3E60AB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17883</w:t>
            </w:r>
          </w:p>
        </w:tc>
        <w:tc>
          <w:tcPr>
            <w:tcW w:w="2203" w:type="dxa"/>
          </w:tcPr>
          <w:p w14:paraId="1DAC0D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2855</w:t>
            </w:r>
          </w:p>
        </w:tc>
        <w:tc>
          <w:tcPr>
            <w:tcW w:w="796" w:type="dxa"/>
          </w:tcPr>
          <w:p w14:paraId="6C7C7D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1222</w:t>
            </w:r>
          </w:p>
        </w:tc>
        <w:tc>
          <w:tcPr>
            <w:tcW w:w="797" w:type="dxa"/>
          </w:tcPr>
          <w:p w14:paraId="7EE51E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17168</w:t>
            </w:r>
          </w:p>
        </w:tc>
        <w:tc>
          <w:tcPr>
            <w:tcW w:w="1595" w:type="dxa"/>
          </w:tcPr>
          <w:p w14:paraId="36DDAA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6163</w:t>
            </w:r>
          </w:p>
        </w:tc>
      </w:tr>
      <w:tr w:rsidR="000F5689" w:rsidRPr="00925F26" w14:paraId="69A69010" w14:textId="77777777">
        <w:tc>
          <w:tcPr>
            <w:tcW w:w="2518" w:type="dxa"/>
          </w:tcPr>
          <w:p w14:paraId="571F0B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Не исправны </w:t>
            </w:r>
          </w:p>
        </w:tc>
        <w:tc>
          <w:tcPr>
            <w:tcW w:w="1701" w:type="dxa"/>
          </w:tcPr>
          <w:p w14:paraId="5D01D0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8591</w:t>
            </w:r>
          </w:p>
        </w:tc>
        <w:tc>
          <w:tcPr>
            <w:tcW w:w="992" w:type="dxa"/>
          </w:tcPr>
          <w:p w14:paraId="299D5A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3886</w:t>
            </w:r>
          </w:p>
        </w:tc>
        <w:tc>
          <w:tcPr>
            <w:tcW w:w="2203" w:type="dxa"/>
          </w:tcPr>
          <w:p w14:paraId="14A29A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437</w:t>
            </w:r>
          </w:p>
        </w:tc>
        <w:tc>
          <w:tcPr>
            <w:tcW w:w="796" w:type="dxa"/>
          </w:tcPr>
          <w:p w14:paraId="3D1011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w:t>
            </w:r>
          </w:p>
        </w:tc>
        <w:tc>
          <w:tcPr>
            <w:tcW w:w="797" w:type="dxa"/>
          </w:tcPr>
          <w:p w14:paraId="2C83F1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3121</w:t>
            </w:r>
          </w:p>
        </w:tc>
        <w:tc>
          <w:tcPr>
            <w:tcW w:w="1595" w:type="dxa"/>
          </w:tcPr>
          <w:p w14:paraId="5CCAC2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993</w:t>
            </w:r>
          </w:p>
        </w:tc>
      </w:tr>
      <w:tr w:rsidR="000F5689" w:rsidRPr="00925F26" w14:paraId="1AE9DAF6" w14:textId="77777777">
        <w:tc>
          <w:tcPr>
            <w:tcW w:w="2518" w:type="dxa"/>
          </w:tcPr>
          <w:p w14:paraId="35F1AC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неисправных</w:t>
            </w:r>
          </w:p>
        </w:tc>
        <w:tc>
          <w:tcPr>
            <w:tcW w:w="1701" w:type="dxa"/>
          </w:tcPr>
          <w:p w14:paraId="1367FA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992" w:type="dxa"/>
          </w:tcPr>
          <w:p w14:paraId="16F13A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17,8</w:t>
            </w:r>
          </w:p>
        </w:tc>
        <w:tc>
          <w:tcPr>
            <w:tcW w:w="2203" w:type="dxa"/>
          </w:tcPr>
          <w:p w14:paraId="3F57DF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w:t>
            </w:r>
          </w:p>
        </w:tc>
        <w:tc>
          <w:tcPr>
            <w:tcW w:w="796" w:type="dxa"/>
          </w:tcPr>
          <w:p w14:paraId="29174E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w:t>
            </w:r>
          </w:p>
        </w:tc>
        <w:tc>
          <w:tcPr>
            <w:tcW w:w="797" w:type="dxa"/>
          </w:tcPr>
          <w:p w14:paraId="7E3029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w:t>
            </w:r>
          </w:p>
        </w:tc>
        <w:tc>
          <w:tcPr>
            <w:tcW w:w="1595" w:type="dxa"/>
          </w:tcPr>
          <w:p w14:paraId="18C6BA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 (3573)</w:t>
            </w:r>
          </w:p>
        </w:tc>
      </w:tr>
      <w:tr w:rsidR="000F5689" w:rsidRPr="00925F26" w14:paraId="029BC1BF" w14:textId="77777777">
        <w:tc>
          <w:tcPr>
            <w:tcW w:w="2518" w:type="dxa"/>
          </w:tcPr>
          <w:p w14:paraId="1881C5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Типы самолетов</w:t>
            </w:r>
          </w:p>
        </w:tc>
        <w:tc>
          <w:tcPr>
            <w:tcW w:w="1701" w:type="dxa"/>
          </w:tcPr>
          <w:p w14:paraId="4575C6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4-й и 6-й воздушные флоты</w:t>
            </w:r>
          </w:p>
        </w:tc>
        <w:tc>
          <w:tcPr>
            <w:tcW w:w="992" w:type="dxa"/>
          </w:tcPr>
          <w:p w14:paraId="523ED314"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4F3480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16 и 17 воздушные армии ВВС РККА</w:t>
            </w:r>
          </w:p>
        </w:tc>
        <w:tc>
          <w:tcPr>
            <w:tcW w:w="796" w:type="dxa"/>
          </w:tcPr>
          <w:p w14:paraId="2C235D7B"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63C61112"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4089D42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B197371" w14:textId="77777777">
        <w:tc>
          <w:tcPr>
            <w:tcW w:w="2518" w:type="dxa"/>
          </w:tcPr>
          <w:p w14:paraId="2C6462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Бомбардировщики</w:t>
            </w:r>
          </w:p>
        </w:tc>
        <w:tc>
          <w:tcPr>
            <w:tcW w:w="1701" w:type="dxa"/>
          </w:tcPr>
          <w:p w14:paraId="22107A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992" w:type="dxa"/>
          </w:tcPr>
          <w:p w14:paraId="6D471B9F"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5BFB95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502</w:t>
            </w:r>
          </w:p>
        </w:tc>
        <w:tc>
          <w:tcPr>
            <w:tcW w:w="796" w:type="dxa"/>
          </w:tcPr>
          <w:p w14:paraId="5DAAE671"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005764E8"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33C6C25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4A8CFE4" w14:textId="77777777">
        <w:tc>
          <w:tcPr>
            <w:tcW w:w="2518" w:type="dxa"/>
          </w:tcPr>
          <w:p w14:paraId="4A6EB2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Штурмовики и пикировщики</w:t>
            </w:r>
          </w:p>
        </w:tc>
        <w:tc>
          <w:tcPr>
            <w:tcW w:w="1701" w:type="dxa"/>
          </w:tcPr>
          <w:p w14:paraId="13BD34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540</w:t>
            </w:r>
          </w:p>
        </w:tc>
        <w:tc>
          <w:tcPr>
            <w:tcW w:w="992" w:type="dxa"/>
          </w:tcPr>
          <w:p w14:paraId="5C840077"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4F12B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w:t>
            </w:r>
          </w:p>
        </w:tc>
        <w:tc>
          <w:tcPr>
            <w:tcW w:w="796" w:type="dxa"/>
          </w:tcPr>
          <w:p w14:paraId="1B4BD1C8"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46BBAB6A"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28ABDF7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9113549" w14:textId="77777777">
        <w:tc>
          <w:tcPr>
            <w:tcW w:w="2518" w:type="dxa"/>
          </w:tcPr>
          <w:p w14:paraId="3B3C3A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Истребители</w:t>
            </w:r>
          </w:p>
        </w:tc>
        <w:tc>
          <w:tcPr>
            <w:tcW w:w="1701" w:type="dxa"/>
          </w:tcPr>
          <w:p w14:paraId="10A647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992" w:type="dxa"/>
          </w:tcPr>
          <w:p w14:paraId="561176A7"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7701C2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1062</w:t>
            </w:r>
          </w:p>
        </w:tc>
        <w:tc>
          <w:tcPr>
            <w:tcW w:w="796" w:type="dxa"/>
          </w:tcPr>
          <w:p w14:paraId="19860C6F"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4697C97A"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48192E4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56759A9" w14:textId="77777777">
        <w:tc>
          <w:tcPr>
            <w:tcW w:w="2518" w:type="dxa"/>
          </w:tcPr>
          <w:p w14:paraId="7435DC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Ночные бомбардировщики</w:t>
            </w:r>
          </w:p>
        </w:tc>
        <w:tc>
          <w:tcPr>
            <w:tcW w:w="1701" w:type="dxa"/>
          </w:tcPr>
          <w:p w14:paraId="515FCA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992" w:type="dxa"/>
          </w:tcPr>
          <w:p w14:paraId="62EEB24C"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7A3B05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172</w:t>
            </w:r>
          </w:p>
        </w:tc>
        <w:tc>
          <w:tcPr>
            <w:tcW w:w="796" w:type="dxa"/>
          </w:tcPr>
          <w:p w14:paraId="455FE3D0"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0AB386BF"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2444FB3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F2D10EE" w14:textId="77777777">
        <w:tc>
          <w:tcPr>
            <w:tcW w:w="2518" w:type="dxa"/>
          </w:tcPr>
          <w:p w14:paraId="68E75D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Разведчики</w:t>
            </w:r>
          </w:p>
        </w:tc>
        <w:tc>
          <w:tcPr>
            <w:tcW w:w="1701" w:type="dxa"/>
          </w:tcPr>
          <w:p w14:paraId="0EFE68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w:t>
            </w:r>
          </w:p>
        </w:tc>
        <w:tc>
          <w:tcPr>
            <w:tcW w:w="992" w:type="dxa"/>
          </w:tcPr>
          <w:p w14:paraId="5103D573"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1B2073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796" w:type="dxa"/>
          </w:tcPr>
          <w:p w14:paraId="4700623E"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74C5C94D"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62C8749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48422F9" w14:textId="77777777">
        <w:tc>
          <w:tcPr>
            <w:tcW w:w="2518" w:type="dxa"/>
          </w:tcPr>
          <w:p w14:paraId="3EEF5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701" w:type="dxa"/>
          </w:tcPr>
          <w:p w14:paraId="7F36F7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2050</w:t>
            </w:r>
          </w:p>
        </w:tc>
        <w:tc>
          <w:tcPr>
            <w:tcW w:w="992" w:type="dxa"/>
          </w:tcPr>
          <w:p w14:paraId="7AC1A570" w14:textId="77777777" w:rsidR="00665165" w:rsidRPr="00925F26" w:rsidRDefault="00665165" w:rsidP="00925F26">
            <w:pPr>
              <w:autoSpaceDE w:val="0"/>
              <w:autoSpaceDN w:val="0"/>
              <w:adjustRightInd w:val="0"/>
              <w:jc w:val="both"/>
              <w:rPr>
                <w:color w:val="000000" w:themeColor="text1"/>
                <w:sz w:val="16"/>
                <w:szCs w:val="16"/>
              </w:rPr>
            </w:pPr>
          </w:p>
        </w:tc>
        <w:tc>
          <w:tcPr>
            <w:tcW w:w="2203" w:type="dxa"/>
          </w:tcPr>
          <w:p w14:paraId="71F4C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2650 (3573)</w:t>
            </w:r>
          </w:p>
        </w:tc>
        <w:tc>
          <w:tcPr>
            <w:tcW w:w="796" w:type="dxa"/>
          </w:tcPr>
          <w:p w14:paraId="56581CE2" w14:textId="77777777" w:rsidR="00665165" w:rsidRPr="00925F26" w:rsidRDefault="00665165" w:rsidP="00925F26">
            <w:pPr>
              <w:autoSpaceDE w:val="0"/>
              <w:autoSpaceDN w:val="0"/>
              <w:adjustRightInd w:val="0"/>
              <w:jc w:val="both"/>
              <w:rPr>
                <w:color w:val="000000" w:themeColor="text1"/>
                <w:sz w:val="16"/>
                <w:szCs w:val="16"/>
              </w:rPr>
            </w:pPr>
          </w:p>
        </w:tc>
        <w:tc>
          <w:tcPr>
            <w:tcW w:w="797" w:type="dxa"/>
          </w:tcPr>
          <w:p w14:paraId="0D58E358" w14:textId="77777777" w:rsidR="00665165" w:rsidRPr="00925F26" w:rsidRDefault="00665165" w:rsidP="00925F26">
            <w:pPr>
              <w:autoSpaceDE w:val="0"/>
              <w:autoSpaceDN w:val="0"/>
              <w:adjustRightInd w:val="0"/>
              <w:jc w:val="both"/>
              <w:rPr>
                <w:color w:val="000000" w:themeColor="text1"/>
                <w:sz w:val="16"/>
                <w:szCs w:val="16"/>
              </w:rPr>
            </w:pPr>
          </w:p>
        </w:tc>
        <w:tc>
          <w:tcPr>
            <w:tcW w:w="1595" w:type="dxa"/>
          </w:tcPr>
          <w:p w14:paraId="26166742" w14:textId="77777777" w:rsidR="00665165" w:rsidRPr="00925F26" w:rsidRDefault="00665165" w:rsidP="00925F26">
            <w:pPr>
              <w:autoSpaceDE w:val="0"/>
              <w:autoSpaceDN w:val="0"/>
              <w:adjustRightInd w:val="0"/>
              <w:jc w:val="both"/>
              <w:rPr>
                <w:color w:val="000000" w:themeColor="text1"/>
                <w:sz w:val="16"/>
                <w:szCs w:val="16"/>
              </w:rPr>
            </w:pPr>
          </w:p>
        </w:tc>
      </w:tr>
    </w:tbl>
    <w:p w14:paraId="1C3E75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Самолетный парк Люфтваффе во Второй Мировой войне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0F5689" w:rsidRPr="00925F26" w14:paraId="5244198B" w14:textId="77777777">
        <w:tc>
          <w:tcPr>
            <w:tcW w:w="3757" w:type="dxa"/>
          </w:tcPr>
          <w:p w14:paraId="2335A2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Месяц, число</w:t>
            </w:r>
          </w:p>
        </w:tc>
        <w:tc>
          <w:tcPr>
            <w:tcW w:w="6841" w:type="dxa"/>
          </w:tcPr>
          <w:p w14:paraId="5BA7DF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w:t>
            </w:r>
          </w:p>
        </w:tc>
      </w:tr>
      <w:tr w:rsidR="000F5689" w:rsidRPr="00925F26" w14:paraId="4419558C" w14:textId="77777777">
        <w:tc>
          <w:tcPr>
            <w:tcW w:w="3757" w:type="dxa"/>
          </w:tcPr>
          <w:p w14:paraId="1994D7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 г.</w:t>
            </w:r>
          </w:p>
        </w:tc>
        <w:tc>
          <w:tcPr>
            <w:tcW w:w="6841" w:type="dxa"/>
          </w:tcPr>
          <w:p w14:paraId="7E27489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79620DC" w14:textId="77777777">
        <w:tc>
          <w:tcPr>
            <w:tcW w:w="3757" w:type="dxa"/>
          </w:tcPr>
          <w:p w14:paraId="1AF3C3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11 мая</w:t>
            </w:r>
          </w:p>
        </w:tc>
        <w:tc>
          <w:tcPr>
            <w:tcW w:w="6841" w:type="dxa"/>
          </w:tcPr>
          <w:p w14:paraId="14AACD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5298 единиц</w:t>
            </w:r>
          </w:p>
        </w:tc>
      </w:tr>
      <w:tr w:rsidR="000F5689" w:rsidRPr="00925F26" w14:paraId="682DC221" w14:textId="77777777">
        <w:tc>
          <w:tcPr>
            <w:tcW w:w="3757" w:type="dxa"/>
          </w:tcPr>
          <w:p w14:paraId="557786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w:t>
            </w:r>
          </w:p>
        </w:tc>
        <w:tc>
          <w:tcPr>
            <w:tcW w:w="6841" w:type="dxa"/>
          </w:tcPr>
          <w:p w14:paraId="6564D43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F12D3FE" w14:textId="77777777">
        <w:tc>
          <w:tcPr>
            <w:tcW w:w="3757" w:type="dxa"/>
          </w:tcPr>
          <w:p w14:paraId="3E7D53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июня</w:t>
            </w:r>
          </w:p>
        </w:tc>
        <w:tc>
          <w:tcPr>
            <w:tcW w:w="6841" w:type="dxa"/>
          </w:tcPr>
          <w:p w14:paraId="69034F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5599 + 596 в резервных частях. Всего - 6195</w:t>
            </w:r>
          </w:p>
        </w:tc>
      </w:tr>
      <w:tr w:rsidR="000F5689" w:rsidRPr="00925F26" w14:paraId="1B01E6DF" w14:textId="77777777">
        <w:tc>
          <w:tcPr>
            <w:tcW w:w="3757" w:type="dxa"/>
          </w:tcPr>
          <w:p w14:paraId="505B7E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декабря</w:t>
            </w:r>
          </w:p>
        </w:tc>
        <w:tc>
          <w:tcPr>
            <w:tcW w:w="6841" w:type="dxa"/>
          </w:tcPr>
          <w:p w14:paraId="610F17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5245</w:t>
            </w:r>
          </w:p>
        </w:tc>
      </w:tr>
      <w:tr w:rsidR="000F5689" w:rsidRPr="00925F26" w14:paraId="13F18527" w14:textId="77777777">
        <w:tc>
          <w:tcPr>
            <w:tcW w:w="3757" w:type="dxa"/>
          </w:tcPr>
          <w:p w14:paraId="3302B6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 (3573).</w:t>
            </w:r>
          </w:p>
        </w:tc>
        <w:tc>
          <w:tcPr>
            <w:tcW w:w="6841" w:type="dxa"/>
          </w:tcPr>
          <w:p w14:paraId="0A26F77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DCAFC00" w14:textId="77777777">
        <w:tc>
          <w:tcPr>
            <w:tcW w:w="3757" w:type="dxa"/>
          </w:tcPr>
          <w:p w14:paraId="338DDD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января</w:t>
            </w:r>
          </w:p>
        </w:tc>
        <w:tc>
          <w:tcPr>
            <w:tcW w:w="6841" w:type="dxa"/>
          </w:tcPr>
          <w:p w14:paraId="647BD5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5421</w:t>
            </w:r>
          </w:p>
        </w:tc>
      </w:tr>
      <w:tr w:rsidR="000F5689" w:rsidRPr="00925F26" w14:paraId="5014AB7D" w14:textId="77777777">
        <w:tc>
          <w:tcPr>
            <w:tcW w:w="3757" w:type="dxa"/>
          </w:tcPr>
          <w:p w14:paraId="6F3285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февраля</w:t>
            </w:r>
          </w:p>
        </w:tc>
        <w:tc>
          <w:tcPr>
            <w:tcW w:w="6841" w:type="dxa"/>
          </w:tcPr>
          <w:p w14:paraId="0036C4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4063</w:t>
            </w:r>
          </w:p>
        </w:tc>
      </w:tr>
      <w:tr w:rsidR="000F5689" w:rsidRPr="00925F26" w14:paraId="05977A50" w14:textId="77777777">
        <w:tc>
          <w:tcPr>
            <w:tcW w:w="3757" w:type="dxa"/>
          </w:tcPr>
          <w:p w14:paraId="4403B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марта</w:t>
            </w:r>
          </w:p>
        </w:tc>
        <w:tc>
          <w:tcPr>
            <w:tcW w:w="6841" w:type="dxa"/>
          </w:tcPr>
          <w:p w14:paraId="5C88C2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4442</w:t>
            </w:r>
          </w:p>
        </w:tc>
      </w:tr>
      <w:tr w:rsidR="000F5689" w:rsidRPr="00925F26" w14:paraId="3B51FB40" w14:textId="77777777">
        <w:tc>
          <w:tcPr>
            <w:tcW w:w="3757" w:type="dxa"/>
          </w:tcPr>
          <w:p w14:paraId="1F3BF0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w:t>
            </w:r>
          </w:p>
        </w:tc>
        <w:tc>
          <w:tcPr>
            <w:tcW w:w="6841" w:type="dxa"/>
          </w:tcPr>
          <w:p w14:paraId="598E18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4684</w:t>
            </w:r>
          </w:p>
        </w:tc>
      </w:tr>
      <w:tr w:rsidR="000F5689" w:rsidRPr="00925F26" w14:paraId="4E817307" w14:textId="77777777">
        <w:tc>
          <w:tcPr>
            <w:tcW w:w="3757" w:type="dxa"/>
          </w:tcPr>
          <w:p w14:paraId="53208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w:t>
            </w:r>
          </w:p>
        </w:tc>
        <w:tc>
          <w:tcPr>
            <w:tcW w:w="6841" w:type="dxa"/>
          </w:tcPr>
          <w:p w14:paraId="220FAD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5856</w:t>
            </w:r>
          </w:p>
        </w:tc>
      </w:tr>
      <w:tr w:rsidR="000F5689" w:rsidRPr="00925F26" w14:paraId="26892955" w14:textId="77777777">
        <w:tc>
          <w:tcPr>
            <w:tcW w:w="3757" w:type="dxa"/>
          </w:tcPr>
          <w:p w14:paraId="5726C2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июня</w:t>
            </w:r>
          </w:p>
        </w:tc>
        <w:tc>
          <w:tcPr>
            <w:tcW w:w="6841" w:type="dxa"/>
          </w:tcPr>
          <w:p w14:paraId="051235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5976</w:t>
            </w:r>
          </w:p>
        </w:tc>
      </w:tr>
      <w:tr w:rsidR="000F5689" w:rsidRPr="00925F26" w14:paraId="2125B5DD" w14:textId="77777777">
        <w:tc>
          <w:tcPr>
            <w:tcW w:w="3757" w:type="dxa"/>
          </w:tcPr>
          <w:p w14:paraId="77036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июля</w:t>
            </w:r>
          </w:p>
        </w:tc>
        <w:tc>
          <w:tcPr>
            <w:tcW w:w="6841" w:type="dxa"/>
          </w:tcPr>
          <w:p w14:paraId="58DC93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5740</w:t>
            </w:r>
          </w:p>
        </w:tc>
      </w:tr>
      <w:tr w:rsidR="000F5689" w:rsidRPr="00925F26" w14:paraId="70895508" w14:textId="77777777">
        <w:tc>
          <w:tcPr>
            <w:tcW w:w="3757" w:type="dxa"/>
          </w:tcPr>
          <w:p w14:paraId="3EBEA3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августа</w:t>
            </w:r>
          </w:p>
        </w:tc>
        <w:tc>
          <w:tcPr>
            <w:tcW w:w="6841" w:type="dxa"/>
          </w:tcPr>
          <w:p w14:paraId="328698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5819</w:t>
            </w:r>
          </w:p>
        </w:tc>
      </w:tr>
      <w:tr w:rsidR="000F5689" w:rsidRPr="00925F26" w14:paraId="1A9923EA" w14:textId="77777777">
        <w:tc>
          <w:tcPr>
            <w:tcW w:w="3757" w:type="dxa"/>
          </w:tcPr>
          <w:p w14:paraId="5F900D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сентября</w:t>
            </w:r>
          </w:p>
        </w:tc>
        <w:tc>
          <w:tcPr>
            <w:tcW w:w="6841" w:type="dxa"/>
          </w:tcPr>
          <w:p w14:paraId="346ED2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5852</w:t>
            </w:r>
          </w:p>
        </w:tc>
      </w:tr>
      <w:tr w:rsidR="000F5689" w:rsidRPr="00925F26" w14:paraId="309E0628" w14:textId="77777777">
        <w:tc>
          <w:tcPr>
            <w:tcW w:w="3757" w:type="dxa"/>
          </w:tcPr>
          <w:p w14:paraId="000399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октября</w:t>
            </w:r>
          </w:p>
        </w:tc>
        <w:tc>
          <w:tcPr>
            <w:tcW w:w="6841" w:type="dxa"/>
          </w:tcPr>
          <w:p w14:paraId="2511A2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5904</w:t>
            </w:r>
          </w:p>
        </w:tc>
      </w:tr>
      <w:tr w:rsidR="000F5689" w:rsidRPr="00925F26" w14:paraId="40AEA0BB" w14:textId="77777777">
        <w:tc>
          <w:tcPr>
            <w:tcW w:w="3757" w:type="dxa"/>
          </w:tcPr>
          <w:p w14:paraId="395F02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ноября</w:t>
            </w:r>
          </w:p>
        </w:tc>
        <w:tc>
          <w:tcPr>
            <w:tcW w:w="6841" w:type="dxa"/>
          </w:tcPr>
          <w:p w14:paraId="0CF8D2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5451</w:t>
            </w:r>
          </w:p>
        </w:tc>
      </w:tr>
      <w:tr w:rsidR="000F5689" w:rsidRPr="00925F26" w14:paraId="3D8EC9E4" w14:textId="77777777">
        <w:tc>
          <w:tcPr>
            <w:tcW w:w="3757" w:type="dxa"/>
          </w:tcPr>
          <w:p w14:paraId="0658F1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декабря</w:t>
            </w:r>
          </w:p>
        </w:tc>
        <w:tc>
          <w:tcPr>
            <w:tcW w:w="6841" w:type="dxa"/>
          </w:tcPr>
          <w:p w14:paraId="1D3CB8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5168 + 1293 в резервных частях. Всего - 6461</w:t>
            </w:r>
          </w:p>
        </w:tc>
      </w:tr>
      <w:tr w:rsidR="000F5689" w:rsidRPr="00925F26" w14:paraId="0D1104E7" w14:textId="77777777">
        <w:tc>
          <w:tcPr>
            <w:tcW w:w="3757" w:type="dxa"/>
          </w:tcPr>
          <w:p w14:paraId="29E404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 (3573).</w:t>
            </w:r>
          </w:p>
        </w:tc>
        <w:tc>
          <w:tcPr>
            <w:tcW w:w="6841" w:type="dxa"/>
          </w:tcPr>
          <w:p w14:paraId="2B879FF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56FEDF6" w14:textId="77777777">
        <w:tc>
          <w:tcPr>
            <w:tcW w:w="3757" w:type="dxa"/>
          </w:tcPr>
          <w:p w14:paraId="60F5C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января</w:t>
            </w:r>
          </w:p>
        </w:tc>
        <w:tc>
          <w:tcPr>
            <w:tcW w:w="6841" w:type="dxa"/>
          </w:tcPr>
          <w:p w14:paraId="4FA84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5044</w:t>
            </w:r>
          </w:p>
        </w:tc>
      </w:tr>
      <w:tr w:rsidR="000F5689" w:rsidRPr="00925F26" w14:paraId="7E4C6551" w14:textId="77777777">
        <w:tc>
          <w:tcPr>
            <w:tcW w:w="3757" w:type="dxa"/>
          </w:tcPr>
          <w:p w14:paraId="32089E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февраля</w:t>
            </w:r>
          </w:p>
        </w:tc>
        <w:tc>
          <w:tcPr>
            <w:tcW w:w="6841" w:type="dxa"/>
          </w:tcPr>
          <w:p w14:paraId="0FC7C7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5542</w:t>
            </w:r>
          </w:p>
        </w:tc>
      </w:tr>
      <w:tr w:rsidR="000F5689" w:rsidRPr="00925F26" w14:paraId="5302CC69" w14:textId="77777777">
        <w:tc>
          <w:tcPr>
            <w:tcW w:w="3757" w:type="dxa"/>
          </w:tcPr>
          <w:p w14:paraId="53D7DF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w:t>
            </w:r>
          </w:p>
        </w:tc>
        <w:tc>
          <w:tcPr>
            <w:tcW w:w="6841" w:type="dxa"/>
          </w:tcPr>
          <w:p w14:paraId="1BA2E3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6434</w:t>
            </w:r>
          </w:p>
        </w:tc>
      </w:tr>
      <w:tr w:rsidR="000F5689" w:rsidRPr="00925F26" w14:paraId="22E683F4" w14:textId="77777777">
        <w:tc>
          <w:tcPr>
            <w:tcW w:w="3757" w:type="dxa"/>
          </w:tcPr>
          <w:p w14:paraId="2D68B1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w:t>
            </w:r>
          </w:p>
        </w:tc>
        <w:tc>
          <w:tcPr>
            <w:tcW w:w="6841" w:type="dxa"/>
          </w:tcPr>
          <w:p w14:paraId="247B2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6498 + 1600 в резервных частях. Всего 8098</w:t>
            </w:r>
          </w:p>
        </w:tc>
      </w:tr>
      <w:tr w:rsidR="000F5689" w:rsidRPr="00925F26" w14:paraId="2E79457E" w14:textId="77777777">
        <w:tc>
          <w:tcPr>
            <w:tcW w:w="3757" w:type="dxa"/>
          </w:tcPr>
          <w:p w14:paraId="0060F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w:t>
            </w:r>
          </w:p>
        </w:tc>
        <w:tc>
          <w:tcPr>
            <w:tcW w:w="6841" w:type="dxa"/>
          </w:tcPr>
          <w:p w14:paraId="22A852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6882 + 1682 в резервных частях. Всего 8564. Кроме того:</w:t>
            </w:r>
          </w:p>
        </w:tc>
      </w:tr>
      <w:tr w:rsidR="000F5689" w:rsidRPr="00925F26" w14:paraId="3BC0F379" w14:textId="77777777">
        <w:tc>
          <w:tcPr>
            <w:tcW w:w="3757" w:type="dxa"/>
          </w:tcPr>
          <w:p w14:paraId="7D6BB7EE"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287C18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почтовых - 321, связи - 139, ночных штурмовиков - 220, морских - 103</w:t>
            </w:r>
          </w:p>
        </w:tc>
      </w:tr>
      <w:tr w:rsidR="000F5689" w:rsidRPr="00925F26" w14:paraId="0C7A2CA9" w14:textId="77777777">
        <w:tc>
          <w:tcPr>
            <w:tcW w:w="3757" w:type="dxa"/>
          </w:tcPr>
          <w:p w14:paraId="74492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июня</w:t>
            </w:r>
          </w:p>
        </w:tc>
        <w:tc>
          <w:tcPr>
            <w:tcW w:w="6841" w:type="dxa"/>
          </w:tcPr>
          <w:p w14:paraId="35EE27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7089 + 1595 в резервных частях. Всего - 8684</w:t>
            </w:r>
          </w:p>
        </w:tc>
      </w:tr>
      <w:tr w:rsidR="000F5689" w:rsidRPr="00925F26" w14:paraId="1E5DFB7A" w14:textId="77777777">
        <w:tc>
          <w:tcPr>
            <w:tcW w:w="3757" w:type="dxa"/>
          </w:tcPr>
          <w:p w14:paraId="460FF7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июля</w:t>
            </w:r>
          </w:p>
        </w:tc>
        <w:tc>
          <w:tcPr>
            <w:tcW w:w="6841" w:type="dxa"/>
          </w:tcPr>
          <w:p w14:paraId="6D98E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6203 + 1551 в резервных частях. Всего - 7754</w:t>
            </w:r>
          </w:p>
        </w:tc>
      </w:tr>
      <w:tr w:rsidR="000F5689" w:rsidRPr="00925F26" w14:paraId="3717BE5D" w14:textId="77777777">
        <w:tc>
          <w:tcPr>
            <w:tcW w:w="3757" w:type="dxa"/>
          </w:tcPr>
          <w:p w14:paraId="168533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августа</w:t>
            </w:r>
          </w:p>
        </w:tc>
        <w:tc>
          <w:tcPr>
            <w:tcW w:w="6841" w:type="dxa"/>
          </w:tcPr>
          <w:p w14:paraId="0F1516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6097 + 1545 в резервных частях. Всего 7642. Кроме того: почтовых - 315,</w:t>
            </w:r>
          </w:p>
        </w:tc>
      </w:tr>
      <w:tr w:rsidR="000F5689" w:rsidRPr="00925F26" w14:paraId="3310B503" w14:textId="77777777">
        <w:tc>
          <w:tcPr>
            <w:tcW w:w="3757" w:type="dxa"/>
          </w:tcPr>
          <w:p w14:paraId="24EEC91B"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77A5EA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- 152, ночных штурм. - 206, морских - 112, грузовых планеров - 1535</w:t>
            </w:r>
          </w:p>
        </w:tc>
      </w:tr>
      <w:tr w:rsidR="000F5689" w:rsidRPr="00925F26" w14:paraId="6F77C30C" w14:textId="77777777">
        <w:tc>
          <w:tcPr>
            <w:tcW w:w="3757" w:type="dxa"/>
          </w:tcPr>
          <w:p w14:paraId="22FD08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сентября</w:t>
            </w:r>
          </w:p>
        </w:tc>
        <w:tc>
          <w:tcPr>
            <w:tcW w:w="6841" w:type="dxa"/>
          </w:tcPr>
          <w:p w14:paraId="6031BE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6077 + 1542 в резервных частях. Всего - 7619. Кроме того: почтовых - 293,</w:t>
            </w:r>
          </w:p>
        </w:tc>
      </w:tr>
      <w:tr w:rsidR="000F5689" w:rsidRPr="00925F26" w14:paraId="7F44C573" w14:textId="77777777">
        <w:tc>
          <w:tcPr>
            <w:tcW w:w="3757" w:type="dxa"/>
          </w:tcPr>
          <w:p w14:paraId="6082A1D6"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0E877F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- 148, ночных штурм. - 228, морских - 111, грузовых планеров - 1446</w:t>
            </w:r>
          </w:p>
        </w:tc>
      </w:tr>
      <w:tr w:rsidR="000F5689" w:rsidRPr="00925F26" w14:paraId="611DFE57" w14:textId="77777777">
        <w:tc>
          <w:tcPr>
            <w:tcW w:w="3757" w:type="dxa"/>
          </w:tcPr>
          <w:p w14:paraId="0C57B8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октября</w:t>
            </w:r>
          </w:p>
        </w:tc>
        <w:tc>
          <w:tcPr>
            <w:tcW w:w="6841" w:type="dxa"/>
          </w:tcPr>
          <w:p w14:paraId="1C576D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6334 + 1489 в резервных частях. Всего - 7823. Кроме того: почтовых - 318,</w:t>
            </w:r>
          </w:p>
        </w:tc>
      </w:tr>
      <w:tr w:rsidR="000F5689" w:rsidRPr="00925F26" w14:paraId="7D8D5401" w14:textId="77777777">
        <w:tc>
          <w:tcPr>
            <w:tcW w:w="3757" w:type="dxa"/>
          </w:tcPr>
          <w:p w14:paraId="56B327A5"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3204CF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- 147, ночных штурм. - 264, морских - 116, грузовых планеров - 1263</w:t>
            </w:r>
          </w:p>
        </w:tc>
      </w:tr>
      <w:tr w:rsidR="000F5689" w:rsidRPr="00925F26" w14:paraId="078EC5CB" w14:textId="77777777">
        <w:tc>
          <w:tcPr>
            <w:tcW w:w="3757" w:type="dxa"/>
          </w:tcPr>
          <w:p w14:paraId="31DC95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ноября</w:t>
            </w:r>
          </w:p>
        </w:tc>
        <w:tc>
          <w:tcPr>
            <w:tcW w:w="6841" w:type="dxa"/>
          </w:tcPr>
          <w:p w14:paraId="7671D1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6476 + 1617 в резервных частях. Всего - 8093. Кроме того: почтовых - 318,</w:t>
            </w:r>
          </w:p>
        </w:tc>
      </w:tr>
      <w:tr w:rsidR="000F5689" w:rsidRPr="00925F26" w14:paraId="6A294DC0" w14:textId="77777777">
        <w:tc>
          <w:tcPr>
            <w:tcW w:w="3757" w:type="dxa"/>
          </w:tcPr>
          <w:p w14:paraId="0B46B0D3"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31FA4B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- 152, ночных штурм. - 262, морских - 110, грузовых планеров - 1280</w:t>
            </w:r>
          </w:p>
        </w:tc>
      </w:tr>
      <w:tr w:rsidR="000F5689" w:rsidRPr="00925F26" w14:paraId="3A270D07" w14:textId="77777777">
        <w:tc>
          <w:tcPr>
            <w:tcW w:w="3757" w:type="dxa"/>
          </w:tcPr>
          <w:p w14:paraId="4D98B6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декабря</w:t>
            </w:r>
          </w:p>
        </w:tc>
        <w:tc>
          <w:tcPr>
            <w:tcW w:w="6841" w:type="dxa"/>
          </w:tcPr>
          <w:p w14:paraId="7697D7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6584 + 1660 в резервных частях. Всего - 8244. Кроме того: почтовых - 323,</w:t>
            </w:r>
          </w:p>
        </w:tc>
      </w:tr>
      <w:tr w:rsidR="000F5689" w:rsidRPr="00925F26" w14:paraId="7474B26F" w14:textId="77777777">
        <w:tc>
          <w:tcPr>
            <w:tcW w:w="3757" w:type="dxa"/>
          </w:tcPr>
          <w:p w14:paraId="072B8F34"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2D2160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- 150, ночных штурм. - 296, морских - 98, грузовых планеров - 1310</w:t>
            </w:r>
          </w:p>
        </w:tc>
      </w:tr>
      <w:tr w:rsidR="000F5689" w:rsidRPr="00925F26" w14:paraId="2A1E06F1" w14:textId="77777777">
        <w:tc>
          <w:tcPr>
            <w:tcW w:w="3757" w:type="dxa"/>
          </w:tcPr>
          <w:p w14:paraId="3BEE3C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 (3573).</w:t>
            </w:r>
          </w:p>
        </w:tc>
        <w:tc>
          <w:tcPr>
            <w:tcW w:w="6841" w:type="dxa"/>
          </w:tcPr>
          <w:p w14:paraId="3D9C240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7A4CCB9" w14:textId="77777777">
        <w:tc>
          <w:tcPr>
            <w:tcW w:w="3757" w:type="dxa"/>
          </w:tcPr>
          <w:p w14:paraId="5CFD17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января</w:t>
            </w:r>
          </w:p>
        </w:tc>
        <w:tc>
          <w:tcPr>
            <w:tcW w:w="6841" w:type="dxa"/>
          </w:tcPr>
          <w:p w14:paraId="747997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6730 + 1660 в резервных частях. Всего - 8390. Кроме того: почтовых - 355,</w:t>
            </w:r>
          </w:p>
        </w:tc>
      </w:tr>
      <w:tr w:rsidR="000F5689" w:rsidRPr="00925F26" w14:paraId="7D21AFBE" w14:textId="77777777">
        <w:tc>
          <w:tcPr>
            <w:tcW w:w="3757" w:type="dxa"/>
          </w:tcPr>
          <w:p w14:paraId="084ED0EB"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52B176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- 152, ночных штурм. - 314, морских - 107, грузовых планеров - 1292</w:t>
            </w:r>
          </w:p>
        </w:tc>
      </w:tr>
      <w:tr w:rsidR="000F5689" w:rsidRPr="00925F26" w14:paraId="381AAC11" w14:textId="77777777">
        <w:tc>
          <w:tcPr>
            <w:tcW w:w="3757" w:type="dxa"/>
          </w:tcPr>
          <w:p w14:paraId="10600C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февраля</w:t>
            </w:r>
          </w:p>
        </w:tc>
        <w:tc>
          <w:tcPr>
            <w:tcW w:w="6841" w:type="dxa"/>
          </w:tcPr>
          <w:p w14:paraId="4FC79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6771 + 1714 в резервных частях. Всего - 8485. Кроме того: почтовых - 402,</w:t>
            </w:r>
          </w:p>
        </w:tc>
      </w:tr>
      <w:tr w:rsidR="000F5689" w:rsidRPr="00925F26" w14:paraId="301B3C08" w14:textId="77777777">
        <w:tc>
          <w:tcPr>
            <w:tcW w:w="3757" w:type="dxa"/>
          </w:tcPr>
          <w:p w14:paraId="7247D307"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48779E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- 136, ночных штурм. - 372, морских - 114, грузовых планеров - 1303</w:t>
            </w:r>
          </w:p>
        </w:tc>
      </w:tr>
      <w:tr w:rsidR="000F5689" w:rsidRPr="00925F26" w14:paraId="0D4F7DD4" w14:textId="77777777">
        <w:tc>
          <w:tcPr>
            <w:tcW w:w="3757" w:type="dxa"/>
          </w:tcPr>
          <w:p w14:paraId="1FDADC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марта</w:t>
            </w:r>
          </w:p>
        </w:tc>
        <w:tc>
          <w:tcPr>
            <w:tcW w:w="6841" w:type="dxa"/>
          </w:tcPr>
          <w:p w14:paraId="2A5801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6642 + 1600 в резервных частях. Всего - 8242. Кроме того: почтовых - 427,</w:t>
            </w:r>
          </w:p>
        </w:tc>
      </w:tr>
      <w:tr w:rsidR="000F5689" w:rsidRPr="00925F26" w14:paraId="70ED41AE" w14:textId="77777777">
        <w:tc>
          <w:tcPr>
            <w:tcW w:w="3757" w:type="dxa"/>
          </w:tcPr>
          <w:p w14:paraId="3D9AEA7C"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7B226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- 138, ночных штурм. - 417, морских - 129, грузовых планеров - 1258</w:t>
            </w:r>
          </w:p>
        </w:tc>
      </w:tr>
      <w:tr w:rsidR="000F5689" w:rsidRPr="00925F26" w14:paraId="4333E530" w14:textId="77777777">
        <w:tc>
          <w:tcPr>
            <w:tcW w:w="3757" w:type="dxa"/>
          </w:tcPr>
          <w:p w14:paraId="58FDAB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апреля</w:t>
            </w:r>
          </w:p>
        </w:tc>
        <w:tc>
          <w:tcPr>
            <w:tcW w:w="6841" w:type="dxa"/>
          </w:tcPr>
          <w:p w14:paraId="16A7EC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6488 + 1601 в резервных частях. Всего - 8089. Кроме того: почтовых - 385,</w:t>
            </w:r>
          </w:p>
        </w:tc>
      </w:tr>
      <w:tr w:rsidR="000F5689" w:rsidRPr="00925F26" w14:paraId="3C15B6AF" w14:textId="77777777">
        <w:tc>
          <w:tcPr>
            <w:tcW w:w="3757" w:type="dxa"/>
          </w:tcPr>
          <w:p w14:paraId="38EC3A2E"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5980C5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- 116, ночных штурм. - 551, морских - 121, грузовых планеров - 1155</w:t>
            </w:r>
          </w:p>
        </w:tc>
      </w:tr>
      <w:tr w:rsidR="000F5689" w:rsidRPr="00925F26" w14:paraId="2066955B" w14:textId="77777777">
        <w:tc>
          <w:tcPr>
            <w:tcW w:w="3757" w:type="dxa"/>
          </w:tcPr>
          <w:p w14:paraId="280E1B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w:t>
            </w:r>
          </w:p>
        </w:tc>
        <w:tc>
          <w:tcPr>
            <w:tcW w:w="6841" w:type="dxa"/>
          </w:tcPr>
          <w:p w14:paraId="403A87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6725 + 1567 в резервных частях. Всего - 8292. Кроме того: почтовых - 444,</w:t>
            </w:r>
          </w:p>
        </w:tc>
      </w:tr>
      <w:tr w:rsidR="000F5689" w:rsidRPr="00925F26" w14:paraId="70FE72BC" w14:textId="77777777">
        <w:tc>
          <w:tcPr>
            <w:tcW w:w="3757" w:type="dxa"/>
          </w:tcPr>
          <w:p w14:paraId="1A7C96DB"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38B41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- 150, ночных штурм. - 424, морских - 131, грузовых планеров - 814</w:t>
            </w:r>
          </w:p>
        </w:tc>
      </w:tr>
      <w:tr w:rsidR="000F5689" w:rsidRPr="00925F26" w14:paraId="097C398C" w14:textId="77777777">
        <w:tc>
          <w:tcPr>
            <w:tcW w:w="3757" w:type="dxa"/>
          </w:tcPr>
          <w:p w14:paraId="6C848E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июня</w:t>
            </w:r>
          </w:p>
        </w:tc>
        <w:tc>
          <w:tcPr>
            <w:tcW w:w="6841" w:type="dxa"/>
          </w:tcPr>
          <w:p w14:paraId="3449AC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6519 + 1569 в резервных частях. Всего - 8088. Кроме того: почтовых - 443,</w:t>
            </w:r>
          </w:p>
        </w:tc>
      </w:tr>
      <w:tr w:rsidR="000F5689" w:rsidRPr="00925F26" w14:paraId="190BC018" w14:textId="77777777">
        <w:tc>
          <w:tcPr>
            <w:tcW w:w="3757" w:type="dxa"/>
          </w:tcPr>
          <w:p w14:paraId="7DB878D6"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2900A6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- 295, ночных штурм. - 563, морских - 131, грузовых планеров - 839</w:t>
            </w:r>
          </w:p>
        </w:tc>
      </w:tr>
      <w:tr w:rsidR="000F5689" w:rsidRPr="00925F26" w14:paraId="3268660D" w14:textId="77777777">
        <w:tc>
          <w:tcPr>
            <w:tcW w:w="3757" w:type="dxa"/>
          </w:tcPr>
          <w:p w14:paraId="72D526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июля</w:t>
            </w:r>
          </w:p>
        </w:tc>
        <w:tc>
          <w:tcPr>
            <w:tcW w:w="6841" w:type="dxa"/>
          </w:tcPr>
          <w:p w14:paraId="762CDE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6590 + 1250 в резервных частях. Всего - 7840. Кроме того: почтовых и связи</w:t>
            </w:r>
          </w:p>
        </w:tc>
      </w:tr>
      <w:tr w:rsidR="000F5689" w:rsidRPr="00925F26" w14:paraId="4284E7BC" w14:textId="77777777">
        <w:tc>
          <w:tcPr>
            <w:tcW w:w="3757" w:type="dxa"/>
          </w:tcPr>
          <w:p w14:paraId="6A1FBF49"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5EFA47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 показано, ночных штурм. - 551, морских - 115, грузовых планеров - 638</w:t>
            </w:r>
          </w:p>
        </w:tc>
      </w:tr>
      <w:tr w:rsidR="000F5689" w:rsidRPr="00925F26" w14:paraId="2DD3EA73" w14:textId="77777777">
        <w:tc>
          <w:tcPr>
            <w:tcW w:w="3757" w:type="dxa"/>
          </w:tcPr>
          <w:p w14:paraId="7FBAF6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августа</w:t>
            </w:r>
          </w:p>
        </w:tc>
        <w:tc>
          <w:tcPr>
            <w:tcW w:w="6841" w:type="dxa"/>
          </w:tcPr>
          <w:p w14:paraId="429373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6483 + 1344 в резервных частях. Всего - 7827. Кроме того: почтовых - 443,</w:t>
            </w:r>
          </w:p>
        </w:tc>
      </w:tr>
      <w:tr w:rsidR="000F5689" w:rsidRPr="00925F26" w14:paraId="57C24AC7" w14:textId="77777777">
        <w:tc>
          <w:tcPr>
            <w:tcW w:w="3757" w:type="dxa"/>
          </w:tcPr>
          <w:p w14:paraId="35D607F5" w14:textId="77777777" w:rsidR="00665165" w:rsidRPr="00925F26" w:rsidRDefault="00665165" w:rsidP="00925F26">
            <w:pPr>
              <w:autoSpaceDE w:val="0"/>
              <w:autoSpaceDN w:val="0"/>
              <w:adjustRightInd w:val="0"/>
              <w:jc w:val="both"/>
              <w:rPr>
                <w:color w:val="000000" w:themeColor="text1"/>
                <w:sz w:val="16"/>
                <w:szCs w:val="16"/>
              </w:rPr>
            </w:pPr>
          </w:p>
        </w:tc>
        <w:tc>
          <w:tcPr>
            <w:tcW w:w="6841" w:type="dxa"/>
          </w:tcPr>
          <w:p w14:paraId="6EFC15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связи - 245, морских - 118, грузовых планеров - 943</w:t>
            </w:r>
          </w:p>
        </w:tc>
      </w:tr>
      <w:tr w:rsidR="000F5689" w:rsidRPr="00925F26" w14:paraId="7DCF3AD4" w14:textId="77777777">
        <w:tc>
          <w:tcPr>
            <w:tcW w:w="3757" w:type="dxa"/>
          </w:tcPr>
          <w:p w14:paraId="53BBA7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сентября</w:t>
            </w:r>
          </w:p>
        </w:tc>
        <w:tc>
          <w:tcPr>
            <w:tcW w:w="6841" w:type="dxa"/>
          </w:tcPr>
          <w:p w14:paraId="610E54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6762 + 1488 в резервных частях. Всего - 8250. Остальные не показаны</w:t>
            </w:r>
          </w:p>
        </w:tc>
      </w:tr>
      <w:tr w:rsidR="000F5689" w:rsidRPr="00925F26" w14:paraId="61B3530B" w14:textId="77777777">
        <w:tc>
          <w:tcPr>
            <w:tcW w:w="3757" w:type="dxa"/>
          </w:tcPr>
          <w:p w14:paraId="1210D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октября</w:t>
            </w:r>
          </w:p>
        </w:tc>
        <w:tc>
          <w:tcPr>
            <w:tcW w:w="6841" w:type="dxa"/>
          </w:tcPr>
          <w:p w14:paraId="2AFDB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7338 + 1247 в резервных частях. Всего 8585</w:t>
            </w:r>
          </w:p>
        </w:tc>
      </w:tr>
      <w:tr w:rsidR="000F5689" w:rsidRPr="00925F26" w14:paraId="58AB73E0" w14:textId="77777777">
        <w:tc>
          <w:tcPr>
            <w:tcW w:w="3757" w:type="dxa"/>
          </w:tcPr>
          <w:p w14:paraId="3785BD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ноября</w:t>
            </w:r>
          </w:p>
        </w:tc>
        <w:tc>
          <w:tcPr>
            <w:tcW w:w="6841" w:type="dxa"/>
          </w:tcPr>
          <w:p w14:paraId="20C24A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7666 + 1523 в резервных частях. Всего 9189</w:t>
            </w:r>
          </w:p>
        </w:tc>
      </w:tr>
      <w:tr w:rsidR="000F5689" w:rsidRPr="00925F26" w14:paraId="0EB37EDF" w14:textId="77777777">
        <w:tc>
          <w:tcPr>
            <w:tcW w:w="3757" w:type="dxa"/>
          </w:tcPr>
          <w:p w14:paraId="44894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декабря</w:t>
            </w:r>
          </w:p>
        </w:tc>
        <w:tc>
          <w:tcPr>
            <w:tcW w:w="6841" w:type="dxa"/>
          </w:tcPr>
          <w:p w14:paraId="620FAE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6910 + 1854 в резервных частях. Всего 8764</w:t>
            </w:r>
          </w:p>
        </w:tc>
      </w:tr>
      <w:tr w:rsidR="000F5689" w:rsidRPr="00925F26" w14:paraId="45DA57F4" w14:textId="77777777">
        <w:tc>
          <w:tcPr>
            <w:tcW w:w="3757" w:type="dxa"/>
          </w:tcPr>
          <w:p w14:paraId="1716E1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 (3573).</w:t>
            </w:r>
          </w:p>
        </w:tc>
        <w:tc>
          <w:tcPr>
            <w:tcW w:w="6841" w:type="dxa"/>
          </w:tcPr>
          <w:p w14:paraId="63E0E5B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8EDE018" w14:textId="77777777">
        <w:tc>
          <w:tcPr>
            <w:tcW w:w="3757" w:type="dxa"/>
          </w:tcPr>
          <w:p w14:paraId="646D12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января</w:t>
            </w:r>
          </w:p>
        </w:tc>
        <w:tc>
          <w:tcPr>
            <w:tcW w:w="6841" w:type="dxa"/>
          </w:tcPr>
          <w:p w14:paraId="4774D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8764 (в фронтовые соединения вошли и резервные части)</w:t>
            </w:r>
          </w:p>
        </w:tc>
      </w:tr>
      <w:tr w:rsidR="000F5689" w:rsidRPr="00925F26" w14:paraId="699E9E50" w14:textId="77777777">
        <w:tc>
          <w:tcPr>
            <w:tcW w:w="3757" w:type="dxa"/>
          </w:tcPr>
          <w:p w14:paraId="08BAE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февраля</w:t>
            </w:r>
          </w:p>
        </w:tc>
        <w:tc>
          <w:tcPr>
            <w:tcW w:w="6841" w:type="dxa"/>
          </w:tcPr>
          <w:p w14:paraId="049F2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8365</w:t>
            </w:r>
          </w:p>
        </w:tc>
      </w:tr>
      <w:tr w:rsidR="000F5689" w:rsidRPr="00925F26" w14:paraId="3838E0FF" w14:textId="77777777">
        <w:tc>
          <w:tcPr>
            <w:tcW w:w="3757" w:type="dxa"/>
          </w:tcPr>
          <w:p w14:paraId="052C5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марта</w:t>
            </w:r>
          </w:p>
        </w:tc>
        <w:tc>
          <w:tcPr>
            <w:tcW w:w="6841" w:type="dxa"/>
          </w:tcPr>
          <w:p w14:paraId="11E924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8753</w:t>
            </w:r>
          </w:p>
        </w:tc>
      </w:tr>
      <w:tr w:rsidR="00561F31" w:rsidRPr="00925F26" w14:paraId="5104886F" w14:textId="77777777">
        <w:tc>
          <w:tcPr>
            <w:tcW w:w="3757" w:type="dxa"/>
          </w:tcPr>
          <w:p w14:paraId="791C69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w:t>
            </w:r>
          </w:p>
        </w:tc>
        <w:tc>
          <w:tcPr>
            <w:tcW w:w="6841" w:type="dxa"/>
          </w:tcPr>
          <w:p w14:paraId="5216D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7835 (3573)</w:t>
            </w:r>
          </w:p>
        </w:tc>
      </w:tr>
    </w:tbl>
    <w:p w14:paraId="35F2EBE2" w14:textId="77777777" w:rsidR="00665165" w:rsidRPr="00925F26" w:rsidRDefault="00665165" w:rsidP="00925F26">
      <w:pPr>
        <w:autoSpaceDE w:val="0"/>
        <w:autoSpaceDN w:val="0"/>
        <w:adjustRightInd w:val="0"/>
        <w:jc w:val="both"/>
        <w:rPr>
          <w:color w:val="000000" w:themeColor="text1"/>
          <w:sz w:val="16"/>
          <w:szCs w:val="16"/>
        </w:rPr>
      </w:pPr>
    </w:p>
    <w:p w14:paraId="435003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 мая 1945 г. из-за того, что доля новых самолетов повышалась количество неисправных самолетов возросло до 17,8% (4115), хотя Постановлением ГКО от 13.02.1943 г. процент неисправных самолетов должен быть не более 10-15%) (3573).</w:t>
      </w:r>
    </w:p>
    <w:p w14:paraId="6FA74E96" w14:textId="77777777" w:rsidR="00665165" w:rsidRPr="00925F26" w:rsidRDefault="00665165" w:rsidP="00925F26">
      <w:pPr>
        <w:autoSpaceDE w:val="0"/>
        <w:autoSpaceDN w:val="0"/>
        <w:adjustRightInd w:val="0"/>
        <w:jc w:val="both"/>
        <w:rPr>
          <w:color w:val="000000" w:themeColor="text1"/>
          <w:sz w:val="16"/>
          <w:szCs w:val="16"/>
        </w:rPr>
      </w:pPr>
    </w:p>
    <w:p w14:paraId="0DF9FB79" w14:textId="77777777" w:rsidR="009D1B31" w:rsidRPr="00925F26" w:rsidRDefault="009D1B31" w:rsidP="00925F26">
      <w:pPr>
        <w:jc w:val="both"/>
        <w:rPr>
          <w:color w:val="000000" w:themeColor="text1"/>
          <w:sz w:val="16"/>
          <w:szCs w:val="16"/>
        </w:rPr>
      </w:pPr>
      <w:r w:rsidRPr="00925F26">
        <w:rPr>
          <w:color w:val="000000" w:themeColor="text1"/>
          <w:sz w:val="16"/>
          <w:szCs w:val="16"/>
        </w:rPr>
        <w:t>На 1 мая 1945 г. в ПВО насчитывался 731 «Харрикейн». В подавляющем большинстве это были машины модификации ПС, их насчитывалось 570 (23513).</w:t>
      </w:r>
    </w:p>
    <w:p w14:paraId="4A30FDFD" w14:textId="77777777" w:rsidR="009D1B31" w:rsidRPr="00925F26" w:rsidRDefault="009D1B31" w:rsidP="00925F26">
      <w:pPr>
        <w:jc w:val="both"/>
        <w:rPr>
          <w:color w:val="000000" w:themeColor="text1"/>
          <w:sz w:val="16"/>
          <w:szCs w:val="16"/>
        </w:rPr>
      </w:pPr>
    </w:p>
    <w:p w14:paraId="548CB31E" w14:textId="77777777" w:rsidR="009D1B31" w:rsidRPr="00925F26" w:rsidRDefault="009D1B31" w:rsidP="00925F26">
      <w:pPr>
        <w:jc w:val="both"/>
        <w:rPr>
          <w:color w:val="000000" w:themeColor="text1"/>
          <w:sz w:val="16"/>
          <w:szCs w:val="16"/>
        </w:rPr>
      </w:pPr>
      <w:r w:rsidRPr="00925F26">
        <w:rPr>
          <w:color w:val="000000" w:themeColor="text1"/>
          <w:sz w:val="16"/>
          <w:szCs w:val="16"/>
        </w:rPr>
        <w:t>К 1 мая 1945 г. советские ВВС по</w:t>
      </w:r>
      <w:r w:rsidRPr="00925F26">
        <w:rPr>
          <w:color w:val="000000" w:themeColor="text1"/>
          <w:sz w:val="16"/>
          <w:szCs w:val="16"/>
        </w:rPr>
        <w:softHyphen/>
        <w:t>теряли 2202 Р-39, из них 887 — в 1944 г., что реально отражало массовость их при</w:t>
      </w:r>
      <w:r w:rsidRPr="00925F26">
        <w:rPr>
          <w:color w:val="000000" w:themeColor="text1"/>
          <w:sz w:val="16"/>
          <w:szCs w:val="16"/>
        </w:rPr>
        <w:softHyphen/>
        <w:t>менения в завершающих стадиях боевых действий. К концу войны на одну потерян</w:t>
      </w:r>
      <w:r w:rsidRPr="00925F26">
        <w:rPr>
          <w:color w:val="000000" w:themeColor="text1"/>
          <w:sz w:val="16"/>
          <w:szCs w:val="16"/>
        </w:rPr>
        <w:softHyphen/>
        <w:t>ную «Аэрокобру» приходилось 122 боевых вылета, четыре уничтоженных самолета противника (23513).</w:t>
      </w:r>
    </w:p>
    <w:p w14:paraId="34C0686E" w14:textId="77777777" w:rsidR="009D1B31" w:rsidRPr="00925F26" w:rsidRDefault="009D1B31" w:rsidP="00925F26">
      <w:pPr>
        <w:jc w:val="both"/>
        <w:rPr>
          <w:color w:val="000000" w:themeColor="text1"/>
          <w:sz w:val="16"/>
          <w:szCs w:val="16"/>
        </w:rPr>
      </w:pPr>
    </w:p>
    <w:p w14:paraId="54731854" w14:textId="77777777" w:rsidR="009D1B31" w:rsidRPr="00925F26" w:rsidRDefault="009D1B31" w:rsidP="00925F26">
      <w:pPr>
        <w:jc w:val="both"/>
        <w:rPr>
          <w:color w:val="000000" w:themeColor="text1"/>
          <w:sz w:val="16"/>
          <w:szCs w:val="16"/>
        </w:rPr>
      </w:pPr>
      <w:r w:rsidRPr="00925F26">
        <w:rPr>
          <w:color w:val="000000" w:themeColor="text1"/>
          <w:sz w:val="16"/>
          <w:szCs w:val="16"/>
        </w:rPr>
        <w:t>На 1 мая 1945 г. ВВС имели 116 истребите</w:t>
      </w:r>
      <w:r w:rsidRPr="00925F26">
        <w:rPr>
          <w:color w:val="000000" w:themeColor="text1"/>
          <w:sz w:val="16"/>
          <w:szCs w:val="16"/>
        </w:rPr>
        <w:softHyphen/>
        <w:t>лей Р-47, из них 114 в строевых ча</w:t>
      </w:r>
      <w:r w:rsidRPr="00925F26">
        <w:rPr>
          <w:color w:val="000000" w:themeColor="text1"/>
          <w:sz w:val="16"/>
          <w:szCs w:val="16"/>
        </w:rPr>
        <w:softHyphen/>
        <w:t>стях, но все они дислоцировались в тыло</w:t>
      </w:r>
      <w:r w:rsidRPr="00925F26">
        <w:rPr>
          <w:color w:val="000000" w:themeColor="text1"/>
          <w:sz w:val="16"/>
          <w:szCs w:val="16"/>
        </w:rPr>
        <w:softHyphen/>
        <w:t>вых округах, вдали от фронта.</w:t>
      </w:r>
    </w:p>
    <w:p w14:paraId="5E793C95" w14:textId="77777777" w:rsidR="009D1B31" w:rsidRPr="00925F26" w:rsidRDefault="009D1B31" w:rsidP="00925F26">
      <w:pPr>
        <w:jc w:val="both"/>
        <w:rPr>
          <w:color w:val="000000" w:themeColor="text1"/>
          <w:sz w:val="16"/>
          <w:szCs w:val="16"/>
        </w:rPr>
      </w:pPr>
      <w:r w:rsidRPr="00925F26">
        <w:rPr>
          <w:color w:val="000000" w:themeColor="text1"/>
          <w:sz w:val="16"/>
          <w:szCs w:val="16"/>
        </w:rPr>
        <w:t>Однако в качестве перехватчиков Р-47 страдали одним очень существенным не</w:t>
      </w:r>
      <w:r w:rsidRPr="00925F26">
        <w:rPr>
          <w:color w:val="000000" w:themeColor="text1"/>
          <w:sz w:val="16"/>
          <w:szCs w:val="16"/>
        </w:rPr>
        <w:softHyphen/>
        <w:t>достатком: плохой скороподъемностью.</w:t>
      </w:r>
    </w:p>
    <w:p w14:paraId="6C1619CF" w14:textId="77777777" w:rsidR="009D1B31" w:rsidRPr="00925F26" w:rsidRDefault="009D1B31" w:rsidP="00925F26">
      <w:pPr>
        <w:jc w:val="both"/>
        <w:rPr>
          <w:color w:val="000000" w:themeColor="text1"/>
          <w:sz w:val="16"/>
          <w:szCs w:val="16"/>
        </w:rPr>
      </w:pPr>
      <w:r w:rsidRPr="00925F26">
        <w:rPr>
          <w:color w:val="000000" w:themeColor="text1"/>
          <w:sz w:val="16"/>
          <w:szCs w:val="16"/>
        </w:rPr>
        <w:t>На малых и средних высотах по этому показателю они проигрывали советским истребителям, а на больших - английским «Спитфайрам» IX, которые в этот пери</w:t>
      </w:r>
      <w:r w:rsidRPr="00925F26">
        <w:rPr>
          <w:color w:val="000000" w:themeColor="text1"/>
          <w:sz w:val="16"/>
          <w:szCs w:val="16"/>
        </w:rPr>
        <w:softHyphen/>
        <w:t>од начали поступать в СССР. В результа</w:t>
      </w:r>
      <w:r w:rsidRPr="00925F26">
        <w:rPr>
          <w:color w:val="000000" w:themeColor="text1"/>
          <w:sz w:val="16"/>
          <w:szCs w:val="16"/>
        </w:rPr>
        <w:softHyphen/>
        <w:t>те «Тандерболты» не получили широкого распространения в ПВО, и к началу лета 1945 г. их уже там не было. Ни одного слу</w:t>
      </w:r>
      <w:r w:rsidRPr="00925F26">
        <w:rPr>
          <w:color w:val="000000" w:themeColor="text1"/>
          <w:sz w:val="16"/>
          <w:szCs w:val="16"/>
        </w:rPr>
        <w:softHyphen/>
        <w:t>чая боевого применения их в полках ПВО неизвестно, в категории «боевые потери» ни один Р-47 не значится (23513).</w:t>
      </w:r>
    </w:p>
    <w:p w14:paraId="26E919CE" w14:textId="77777777" w:rsidR="009D1B31" w:rsidRPr="00925F26" w:rsidRDefault="009D1B31" w:rsidP="00925F26">
      <w:pPr>
        <w:jc w:val="both"/>
        <w:rPr>
          <w:color w:val="000000" w:themeColor="text1"/>
          <w:sz w:val="16"/>
          <w:szCs w:val="16"/>
        </w:rPr>
      </w:pPr>
    </w:p>
    <w:p w14:paraId="578FB433" w14:textId="77777777" w:rsidR="009D1B31" w:rsidRPr="00925F26" w:rsidRDefault="009D1B31" w:rsidP="00925F26">
      <w:pPr>
        <w:jc w:val="both"/>
        <w:rPr>
          <w:color w:val="000000" w:themeColor="text1"/>
          <w:sz w:val="16"/>
          <w:szCs w:val="16"/>
        </w:rPr>
      </w:pPr>
      <w:r w:rsidRPr="00925F26">
        <w:rPr>
          <w:color w:val="000000" w:themeColor="text1"/>
          <w:sz w:val="16"/>
          <w:szCs w:val="16"/>
        </w:rPr>
        <w:t>На 1 мая 1945 г. советские ВВС распола</w:t>
      </w:r>
      <w:r w:rsidRPr="00925F26">
        <w:rPr>
          <w:color w:val="000000" w:themeColor="text1"/>
          <w:sz w:val="16"/>
          <w:szCs w:val="16"/>
        </w:rPr>
        <w:softHyphen/>
        <w:t>гали 935 «Бостонами». Более двух третей из них являлись машинами модификации G. Новых A-20J и А-20К насчитывалось лишь 65. Но следует указать, что значительная часть «Бостонов» перешла в морскую авиа</w:t>
      </w:r>
      <w:r w:rsidRPr="00925F26">
        <w:rPr>
          <w:color w:val="000000" w:themeColor="text1"/>
          <w:sz w:val="16"/>
          <w:szCs w:val="16"/>
        </w:rPr>
        <w:softHyphen/>
        <w:t>цию.</w:t>
      </w:r>
    </w:p>
    <w:p w14:paraId="3F00E37E" w14:textId="77777777" w:rsidR="009D1B31" w:rsidRPr="00925F26" w:rsidRDefault="009D1B31" w:rsidP="00925F26">
      <w:pPr>
        <w:jc w:val="both"/>
        <w:rPr>
          <w:color w:val="000000" w:themeColor="text1"/>
          <w:sz w:val="16"/>
          <w:szCs w:val="16"/>
        </w:rPr>
      </w:pPr>
      <w:r w:rsidRPr="00925F26">
        <w:rPr>
          <w:color w:val="000000" w:themeColor="text1"/>
          <w:sz w:val="16"/>
          <w:szCs w:val="16"/>
        </w:rPr>
        <w:t>В ходе войны «Бостон» в Советском Союзе стал многоцелевой машиной, про</w:t>
      </w:r>
      <w:r w:rsidRPr="00925F26">
        <w:rPr>
          <w:color w:val="000000" w:themeColor="text1"/>
          <w:sz w:val="16"/>
          <w:szCs w:val="16"/>
        </w:rPr>
        <w:softHyphen/>
        <w:t>демонстрировав существенно более ши</w:t>
      </w:r>
      <w:r w:rsidRPr="00925F26">
        <w:rPr>
          <w:color w:val="000000" w:themeColor="text1"/>
          <w:sz w:val="16"/>
          <w:szCs w:val="16"/>
        </w:rPr>
        <w:softHyphen/>
        <w:t xml:space="preserve">рокие возможности, чем Пе-2. В качестве разведчика А-20 на Западе применялся довольно редко, а в СССР, наоборот, очень широко. </w:t>
      </w:r>
      <w:proofErr w:type="gramStart"/>
      <w:r w:rsidRPr="00925F26">
        <w:rPr>
          <w:color w:val="000000" w:themeColor="text1"/>
          <w:sz w:val="16"/>
          <w:szCs w:val="16"/>
        </w:rPr>
        <w:t>По видимому</w:t>
      </w:r>
      <w:proofErr w:type="gramEnd"/>
      <w:r w:rsidRPr="00925F26">
        <w:rPr>
          <w:color w:val="000000" w:themeColor="text1"/>
          <w:sz w:val="16"/>
          <w:szCs w:val="16"/>
        </w:rPr>
        <w:t>, первым стал один из самолетов 794-го бап, несший бортовой номер 6. На нем поставили отечественный фотоаппарат АФА-27. По воспоминаниям летчиков, в апреле 1942 г. он совершил два вылета на съемку порта в Трапезунде. Впоследствии таких переде</w:t>
      </w:r>
      <w:r w:rsidRPr="00925F26">
        <w:rPr>
          <w:color w:val="000000" w:themeColor="text1"/>
          <w:sz w:val="16"/>
          <w:szCs w:val="16"/>
        </w:rPr>
        <w:softHyphen/>
        <w:t>лок стало много (23513).</w:t>
      </w:r>
    </w:p>
    <w:p w14:paraId="20241FE2" w14:textId="77777777" w:rsidR="009D1B31" w:rsidRPr="00925F26" w:rsidRDefault="009D1B31" w:rsidP="00925F26">
      <w:pPr>
        <w:jc w:val="both"/>
        <w:rPr>
          <w:color w:val="000000" w:themeColor="text1"/>
          <w:sz w:val="16"/>
          <w:szCs w:val="16"/>
        </w:rPr>
      </w:pPr>
    </w:p>
    <w:p w14:paraId="24E7E30A" w14:textId="77777777" w:rsidR="009D1B31" w:rsidRPr="00925F26" w:rsidRDefault="009D1B31" w:rsidP="00925F26">
      <w:pPr>
        <w:jc w:val="both"/>
        <w:rPr>
          <w:color w:val="000000" w:themeColor="text1"/>
          <w:sz w:val="16"/>
          <w:szCs w:val="16"/>
        </w:rPr>
      </w:pPr>
      <w:r w:rsidRPr="00925F26">
        <w:rPr>
          <w:color w:val="000000" w:themeColor="text1"/>
          <w:sz w:val="16"/>
          <w:szCs w:val="16"/>
        </w:rPr>
        <w:t>На 1 мая 1945 г. в составе советских ВВС имелось 552 самолета В-25, в том числе 398 — на фрон</w:t>
      </w:r>
      <w:r w:rsidRPr="00925F26">
        <w:rPr>
          <w:color w:val="000000" w:themeColor="text1"/>
          <w:sz w:val="16"/>
          <w:szCs w:val="16"/>
        </w:rPr>
        <w:softHyphen/>
        <w:t>те. Еще 98 машин базировались во вну</w:t>
      </w:r>
      <w:r w:rsidRPr="00925F26">
        <w:rPr>
          <w:color w:val="000000" w:themeColor="text1"/>
          <w:sz w:val="16"/>
          <w:szCs w:val="16"/>
        </w:rPr>
        <w:softHyphen/>
        <w:t>тренних военных округах, а 56 находились в пути к месту назначения. Потери за годы войны составили 201 бомбардировщик.</w:t>
      </w:r>
    </w:p>
    <w:p w14:paraId="6EFDCA7A" w14:textId="77777777" w:rsidR="009D1B31" w:rsidRPr="00925F26" w:rsidRDefault="009D1B31" w:rsidP="00925F26">
      <w:pPr>
        <w:jc w:val="both"/>
        <w:rPr>
          <w:color w:val="000000" w:themeColor="text1"/>
          <w:sz w:val="16"/>
          <w:szCs w:val="16"/>
        </w:rPr>
      </w:pPr>
      <w:r w:rsidRPr="00925F26">
        <w:rPr>
          <w:color w:val="000000" w:themeColor="text1"/>
          <w:sz w:val="16"/>
          <w:szCs w:val="16"/>
        </w:rPr>
        <w:t>Наши экипажи в первую очередь отме</w:t>
      </w:r>
      <w:r w:rsidRPr="00925F26">
        <w:rPr>
          <w:color w:val="000000" w:themeColor="text1"/>
          <w:sz w:val="16"/>
          <w:szCs w:val="16"/>
        </w:rPr>
        <w:softHyphen/>
        <w:t>чали высокие пилотажные качества В-25. Он был доступен среднему летчику, не имел существенных недостатков во взлет</w:t>
      </w:r>
      <w:r w:rsidRPr="00925F26">
        <w:rPr>
          <w:color w:val="000000" w:themeColor="text1"/>
          <w:sz w:val="16"/>
          <w:szCs w:val="16"/>
        </w:rPr>
        <w:softHyphen/>
        <w:t>но-посадочных характеристиках, путевой устойчивости, маневренности (послед</w:t>
      </w:r>
      <w:r w:rsidRPr="00925F26">
        <w:rPr>
          <w:color w:val="000000" w:themeColor="text1"/>
          <w:sz w:val="16"/>
          <w:szCs w:val="16"/>
        </w:rPr>
        <w:softHyphen/>
        <w:t>нее — конечно, с учетом веса и размеров машины). Вот что писал летчик-испыта</w:t>
      </w:r>
      <w:r w:rsidRPr="00925F26">
        <w:rPr>
          <w:color w:val="000000" w:themeColor="text1"/>
          <w:sz w:val="16"/>
          <w:szCs w:val="16"/>
        </w:rPr>
        <w:softHyphen/>
        <w:t>тель И.И. Шелест: «Трехколесное шасси давало отменный обзор на рулении, без</w:t>
      </w:r>
      <w:r w:rsidRPr="00925F26">
        <w:rPr>
          <w:color w:val="000000" w:themeColor="text1"/>
          <w:sz w:val="16"/>
          <w:szCs w:val="16"/>
        </w:rPr>
        <w:softHyphen/>
        <w:t>упречную маневренность на земле, дела</w:t>
      </w:r>
      <w:r w:rsidRPr="00925F26">
        <w:rPr>
          <w:color w:val="000000" w:themeColor="text1"/>
          <w:sz w:val="16"/>
          <w:szCs w:val="16"/>
        </w:rPr>
        <w:softHyphen/>
        <w:t>ло самолет В-25 весьма мобильным при движении по бетону, при выруливании на старт, отруливании с посадочной поло</w:t>
      </w:r>
      <w:r w:rsidRPr="00925F26">
        <w:rPr>
          <w:color w:val="000000" w:themeColor="text1"/>
          <w:sz w:val="16"/>
          <w:szCs w:val="16"/>
        </w:rPr>
        <w:softHyphen/>
        <w:t>сы». Взлет, посадка и полет на «Митчелле» были проще, чем на Ил-4. «Самолет на разбеге устойчив. Никаких тенденций к разворотам не имеет и хорошо слуша</w:t>
      </w:r>
      <w:r w:rsidRPr="00925F26">
        <w:rPr>
          <w:color w:val="000000" w:themeColor="text1"/>
          <w:sz w:val="16"/>
          <w:szCs w:val="16"/>
        </w:rPr>
        <w:softHyphen/>
        <w:t>ется рулей поворота», — записано в со</w:t>
      </w:r>
      <w:r w:rsidRPr="00925F26">
        <w:rPr>
          <w:color w:val="000000" w:themeColor="text1"/>
          <w:sz w:val="16"/>
          <w:szCs w:val="16"/>
        </w:rPr>
        <w:softHyphen/>
        <w:t>ветской инструкции по пилотированию этой машины. Мощные, надежные мото</w:t>
      </w:r>
      <w:r w:rsidRPr="00925F26">
        <w:rPr>
          <w:color w:val="000000" w:themeColor="text1"/>
          <w:sz w:val="16"/>
          <w:szCs w:val="16"/>
        </w:rPr>
        <w:softHyphen/>
        <w:t>ры и прочное шасси позволяли взлетать даже с довольно глубокого снега с полной нагрузкой.</w:t>
      </w:r>
    </w:p>
    <w:p w14:paraId="194D8DFA" w14:textId="77777777" w:rsidR="009D1B31" w:rsidRPr="00925F26" w:rsidRDefault="009D1B31" w:rsidP="00925F26">
      <w:pPr>
        <w:jc w:val="both"/>
        <w:rPr>
          <w:color w:val="000000" w:themeColor="text1"/>
          <w:sz w:val="16"/>
          <w:szCs w:val="16"/>
        </w:rPr>
      </w:pPr>
      <w:r w:rsidRPr="00925F26">
        <w:rPr>
          <w:color w:val="000000" w:themeColor="text1"/>
          <w:sz w:val="16"/>
          <w:szCs w:val="16"/>
        </w:rPr>
        <w:t>Все это позволяло летчикам быс</w:t>
      </w:r>
      <w:r w:rsidRPr="00925F26">
        <w:rPr>
          <w:color w:val="000000" w:themeColor="text1"/>
          <w:sz w:val="16"/>
          <w:szCs w:val="16"/>
        </w:rPr>
        <w:softHyphen/>
        <w:t>тро переучиваться на новую машину. Переподготовка зачастую велась без отры</w:t>
      </w:r>
      <w:r w:rsidRPr="00925F26">
        <w:rPr>
          <w:color w:val="000000" w:themeColor="text1"/>
          <w:sz w:val="16"/>
          <w:szCs w:val="16"/>
        </w:rPr>
        <w:softHyphen/>
        <w:t>ва от боевой работы. Даже не очень опыт</w:t>
      </w:r>
      <w:r w:rsidRPr="00925F26">
        <w:rPr>
          <w:color w:val="000000" w:themeColor="text1"/>
          <w:sz w:val="16"/>
          <w:szCs w:val="16"/>
        </w:rPr>
        <w:softHyphen/>
        <w:t>ный летчик мог изучить В-25 за несколько дней.</w:t>
      </w:r>
    </w:p>
    <w:p w14:paraId="4F4C79C6" w14:textId="77777777" w:rsidR="009D1B31" w:rsidRPr="00925F26" w:rsidRDefault="009D1B31" w:rsidP="00925F26">
      <w:pPr>
        <w:jc w:val="both"/>
        <w:rPr>
          <w:color w:val="000000" w:themeColor="text1"/>
          <w:sz w:val="16"/>
          <w:szCs w:val="16"/>
        </w:rPr>
      </w:pPr>
      <w:r w:rsidRPr="00925F26">
        <w:rPr>
          <w:color w:val="000000" w:themeColor="text1"/>
          <w:sz w:val="16"/>
          <w:szCs w:val="16"/>
        </w:rPr>
        <w:t>Самолет неплохо управлялся даже при полете на одном двигателе. «Нагрузка на рули поворота при полете с одним рабо</w:t>
      </w:r>
      <w:r w:rsidRPr="00925F26">
        <w:rPr>
          <w:color w:val="000000" w:themeColor="text1"/>
          <w:sz w:val="16"/>
          <w:szCs w:val="16"/>
        </w:rPr>
        <w:softHyphen/>
        <w:t>тающим мотором снимается триммерами полностью», — гласила инструкция. На Ил-4 в подобной ситуации включали вто</w:t>
      </w:r>
      <w:r w:rsidRPr="00925F26">
        <w:rPr>
          <w:color w:val="000000" w:themeColor="text1"/>
          <w:sz w:val="16"/>
          <w:szCs w:val="16"/>
        </w:rPr>
        <w:softHyphen/>
        <w:t>рое управление у штурмана, который на</w:t>
      </w:r>
      <w:r w:rsidRPr="00925F26">
        <w:rPr>
          <w:color w:val="000000" w:themeColor="text1"/>
          <w:sz w:val="16"/>
          <w:szCs w:val="16"/>
        </w:rPr>
        <w:softHyphen/>
        <w:t>чинал давить на педаль, помогая пилоту.</w:t>
      </w:r>
    </w:p>
    <w:p w14:paraId="43E8857C" w14:textId="77777777" w:rsidR="009D1B31" w:rsidRPr="00925F26" w:rsidRDefault="009D1B31" w:rsidP="00925F26">
      <w:pPr>
        <w:jc w:val="both"/>
        <w:rPr>
          <w:color w:val="000000" w:themeColor="text1"/>
          <w:sz w:val="16"/>
          <w:szCs w:val="16"/>
        </w:rPr>
      </w:pPr>
      <w:r w:rsidRPr="00925F26">
        <w:rPr>
          <w:color w:val="000000" w:themeColor="text1"/>
          <w:sz w:val="16"/>
          <w:szCs w:val="16"/>
        </w:rPr>
        <w:t>При нормальной бомбовой нагрузке и подвеске дополнительных баков В-25 при отказе мотора мог не только удержи</w:t>
      </w:r>
      <w:r w:rsidRPr="00925F26">
        <w:rPr>
          <w:color w:val="000000" w:themeColor="text1"/>
          <w:sz w:val="16"/>
          <w:szCs w:val="16"/>
        </w:rPr>
        <w:softHyphen/>
        <w:t>вать высоту, но и набирать ее. Известно множество случаев благополучного воз</w:t>
      </w:r>
      <w:r w:rsidRPr="00925F26">
        <w:rPr>
          <w:color w:val="000000" w:themeColor="text1"/>
          <w:sz w:val="16"/>
          <w:szCs w:val="16"/>
        </w:rPr>
        <w:softHyphen/>
        <w:t>вращения подбитых В-25 на одном двига</w:t>
      </w:r>
      <w:r w:rsidRPr="00925F26">
        <w:rPr>
          <w:color w:val="000000" w:themeColor="text1"/>
          <w:sz w:val="16"/>
          <w:szCs w:val="16"/>
        </w:rPr>
        <w:softHyphen/>
        <w:t>теле. Когда у пилота С.М. Антонова из 8-го апдд мотор вышел из строя вскоре после взлета, на оставшемся он долетел до цели, сбросил бомбы на немецкие эшелоны в Орле и вернулся на базу!</w:t>
      </w:r>
    </w:p>
    <w:p w14:paraId="4A55B6BF" w14:textId="77777777" w:rsidR="009D1B31" w:rsidRPr="00925F26" w:rsidRDefault="009D1B31" w:rsidP="00925F26">
      <w:pPr>
        <w:jc w:val="both"/>
        <w:rPr>
          <w:color w:val="000000" w:themeColor="text1"/>
          <w:sz w:val="16"/>
          <w:szCs w:val="16"/>
        </w:rPr>
      </w:pPr>
      <w:r w:rsidRPr="00925F26">
        <w:rPr>
          <w:color w:val="000000" w:themeColor="text1"/>
          <w:sz w:val="16"/>
          <w:szCs w:val="16"/>
        </w:rPr>
        <w:t>Американский бомбардировщик не изматывал пилотов, как наш неустойчи</w:t>
      </w:r>
      <w:r w:rsidRPr="00925F26">
        <w:rPr>
          <w:color w:val="000000" w:themeColor="text1"/>
          <w:sz w:val="16"/>
          <w:szCs w:val="16"/>
        </w:rPr>
        <w:softHyphen/>
        <w:t>вый Ил-4, на котором практически ни на секунду нельзя было бросить штурвал. «Отрегулированный триммерами, само</w:t>
      </w:r>
      <w:r w:rsidRPr="00925F26">
        <w:rPr>
          <w:color w:val="000000" w:themeColor="text1"/>
          <w:sz w:val="16"/>
          <w:szCs w:val="16"/>
        </w:rPr>
        <w:softHyphen/>
        <w:t>лет сам стремится сохранять заданное положение или восстанавливать его в слу</w:t>
      </w:r>
      <w:r w:rsidRPr="00925F26">
        <w:rPr>
          <w:color w:val="000000" w:themeColor="text1"/>
          <w:sz w:val="16"/>
          <w:szCs w:val="16"/>
        </w:rPr>
        <w:softHyphen/>
        <w:t>чае, если какая-то причина вывела его из этого положения», — это из отчета по ис</w:t>
      </w:r>
      <w:r w:rsidRPr="00925F26">
        <w:rPr>
          <w:color w:val="000000" w:themeColor="text1"/>
          <w:sz w:val="16"/>
          <w:szCs w:val="16"/>
        </w:rPr>
        <w:softHyphen/>
        <w:t>пытаниям B-25D.</w:t>
      </w:r>
    </w:p>
    <w:p w14:paraId="555088EA" w14:textId="77777777" w:rsidR="009D1B31" w:rsidRPr="00925F26" w:rsidRDefault="009D1B31" w:rsidP="00925F26">
      <w:pPr>
        <w:jc w:val="both"/>
        <w:rPr>
          <w:color w:val="000000" w:themeColor="text1"/>
          <w:sz w:val="16"/>
          <w:szCs w:val="16"/>
        </w:rPr>
      </w:pPr>
      <w:r w:rsidRPr="00925F26">
        <w:rPr>
          <w:color w:val="000000" w:themeColor="text1"/>
          <w:sz w:val="16"/>
          <w:szCs w:val="16"/>
        </w:rPr>
        <w:t>сбросил бомбы на немецкие эшелоны в Орле и вернулся на базу!</w:t>
      </w:r>
    </w:p>
    <w:p w14:paraId="0DA15672" w14:textId="77777777" w:rsidR="009D1B31" w:rsidRPr="00925F26" w:rsidRDefault="009D1B31" w:rsidP="00925F26">
      <w:pPr>
        <w:jc w:val="both"/>
        <w:rPr>
          <w:color w:val="000000" w:themeColor="text1"/>
          <w:sz w:val="16"/>
          <w:szCs w:val="16"/>
        </w:rPr>
      </w:pPr>
      <w:r w:rsidRPr="00925F26">
        <w:rPr>
          <w:color w:val="000000" w:themeColor="text1"/>
          <w:sz w:val="16"/>
          <w:szCs w:val="16"/>
        </w:rPr>
        <w:t>Кабина пилотов оснащалась полным комплексом пилотажно-навигационных и контрольных приборов того времени, была просторной, светлой, теплой, ком</w:t>
      </w:r>
      <w:r w:rsidRPr="00925F26">
        <w:rPr>
          <w:color w:val="000000" w:themeColor="text1"/>
          <w:sz w:val="16"/>
          <w:szCs w:val="16"/>
        </w:rPr>
        <w:softHyphen/>
        <w:t>фортабельной. На Ил-4 кабины вообще не отапливались, и зимой температура иног</w:t>
      </w:r>
      <w:r w:rsidRPr="00925F26">
        <w:rPr>
          <w:color w:val="000000" w:themeColor="text1"/>
          <w:sz w:val="16"/>
          <w:szCs w:val="16"/>
        </w:rPr>
        <w:softHyphen/>
        <w:t>да доходила до 30 градусов мороза. Шкалы приборов на американском самолете удоб</w:t>
      </w:r>
      <w:r w:rsidRPr="00925F26">
        <w:rPr>
          <w:color w:val="000000" w:themeColor="text1"/>
          <w:sz w:val="16"/>
          <w:szCs w:val="16"/>
        </w:rPr>
        <w:softHyphen/>
        <w:t>но подсвечивались ультрафиолетовыми лампами. На самом современном уровне находилось радиооборудование, включав</w:t>
      </w:r>
      <w:r w:rsidRPr="00925F26">
        <w:rPr>
          <w:color w:val="000000" w:themeColor="text1"/>
          <w:sz w:val="16"/>
          <w:szCs w:val="16"/>
        </w:rPr>
        <w:softHyphen/>
        <w:t>шее автоматический радиокомпас.</w:t>
      </w:r>
    </w:p>
    <w:p w14:paraId="017E1A4D" w14:textId="77777777" w:rsidR="009D1B31" w:rsidRPr="00925F26" w:rsidRDefault="009D1B31" w:rsidP="00925F26">
      <w:pPr>
        <w:jc w:val="both"/>
        <w:rPr>
          <w:color w:val="000000" w:themeColor="text1"/>
          <w:sz w:val="16"/>
          <w:szCs w:val="16"/>
        </w:rPr>
      </w:pPr>
      <w:r w:rsidRPr="00925F26">
        <w:rPr>
          <w:color w:val="000000" w:themeColor="text1"/>
          <w:sz w:val="16"/>
          <w:szCs w:val="16"/>
        </w:rPr>
        <w:t>Машина была прекрасно защищена стрелковым вооружением. Практически с любого направления врага встречали очереди крупнокалиберных пулеметов. Имелись только две «мертвые зоны» — узкие сектора, примерно под 45 граду</w:t>
      </w:r>
      <w:r w:rsidRPr="00925F26">
        <w:rPr>
          <w:color w:val="000000" w:themeColor="text1"/>
          <w:sz w:val="16"/>
          <w:szCs w:val="16"/>
        </w:rPr>
        <w:softHyphen/>
        <w:t>сов к оси самолета, в нижней полусфе</w:t>
      </w:r>
      <w:r w:rsidRPr="00925F26">
        <w:rPr>
          <w:color w:val="000000" w:themeColor="text1"/>
          <w:sz w:val="16"/>
          <w:szCs w:val="16"/>
        </w:rPr>
        <w:softHyphen/>
        <w:t>ре. Вооружение «Митчелла» наглядно демонстрировало свою эффективность. Например, экипаж А.И. Молодчего за пол</w:t>
      </w:r>
      <w:r w:rsidRPr="00925F26">
        <w:rPr>
          <w:color w:val="000000" w:themeColor="text1"/>
          <w:sz w:val="16"/>
          <w:szCs w:val="16"/>
        </w:rPr>
        <w:softHyphen/>
        <w:t>тора года полетов на В-25 сбил пять вра</w:t>
      </w:r>
      <w:r w:rsidRPr="00925F26">
        <w:rPr>
          <w:color w:val="000000" w:themeColor="text1"/>
          <w:sz w:val="16"/>
          <w:szCs w:val="16"/>
        </w:rPr>
        <w:softHyphen/>
        <w:t>жеских истребителей. Относительные по</w:t>
      </w:r>
      <w:r w:rsidRPr="00925F26">
        <w:rPr>
          <w:color w:val="000000" w:themeColor="text1"/>
          <w:sz w:val="16"/>
          <w:szCs w:val="16"/>
        </w:rPr>
        <w:softHyphen/>
        <w:t>тери В-25 в расчете на один боеспособный самолет за 1944 г. были в 2,2 раза ниже, чем у Ил-4, причем американские бомбарди</w:t>
      </w:r>
      <w:r w:rsidRPr="00925F26">
        <w:rPr>
          <w:color w:val="000000" w:themeColor="text1"/>
          <w:sz w:val="16"/>
          <w:szCs w:val="16"/>
        </w:rPr>
        <w:softHyphen/>
        <w:t>ровщики использовались более интенсив</w:t>
      </w:r>
      <w:r w:rsidRPr="00925F26">
        <w:rPr>
          <w:color w:val="000000" w:themeColor="text1"/>
          <w:sz w:val="16"/>
          <w:szCs w:val="16"/>
        </w:rPr>
        <w:softHyphen/>
        <w:t>но, чем отечественные.</w:t>
      </w:r>
    </w:p>
    <w:p w14:paraId="5DC3A901" w14:textId="77777777" w:rsidR="009D1B31" w:rsidRPr="00925F26" w:rsidRDefault="009D1B31" w:rsidP="00925F26">
      <w:pPr>
        <w:jc w:val="both"/>
        <w:rPr>
          <w:color w:val="000000" w:themeColor="text1"/>
          <w:sz w:val="16"/>
          <w:szCs w:val="16"/>
        </w:rPr>
      </w:pPr>
      <w:r w:rsidRPr="00925F26">
        <w:rPr>
          <w:color w:val="000000" w:themeColor="text1"/>
          <w:sz w:val="16"/>
          <w:szCs w:val="16"/>
        </w:rPr>
        <w:t>Самолет имел большую бомбовую нагрузку (у последних модификаций до 2000 кг, а в перегрузочном варианте — до 3000 кг). В емком бомбоотсеке разме</w:t>
      </w:r>
      <w:r w:rsidRPr="00925F26">
        <w:rPr>
          <w:color w:val="000000" w:themeColor="text1"/>
          <w:sz w:val="16"/>
          <w:szCs w:val="16"/>
        </w:rPr>
        <w:softHyphen/>
        <w:t>щались любые советские авиабомбы до ФАБ-500 включительно, американские ве</w:t>
      </w:r>
      <w:r w:rsidRPr="00925F26">
        <w:rPr>
          <w:color w:val="000000" w:themeColor="text1"/>
          <w:sz w:val="16"/>
          <w:szCs w:val="16"/>
        </w:rPr>
        <w:softHyphen/>
        <w:t>сом от 100 до 1000 фунтов и трофейные не</w:t>
      </w:r>
      <w:r w:rsidRPr="00925F26">
        <w:rPr>
          <w:color w:val="000000" w:themeColor="text1"/>
          <w:sz w:val="16"/>
          <w:szCs w:val="16"/>
        </w:rPr>
        <w:softHyphen/>
        <w:t>мецкие по 250 и 500 кг, которые тоже у нас иногда использовались. Правда, для ис</w:t>
      </w:r>
      <w:r w:rsidRPr="00925F26">
        <w:rPr>
          <w:color w:val="000000" w:themeColor="text1"/>
          <w:sz w:val="16"/>
          <w:szCs w:val="16"/>
        </w:rPr>
        <w:softHyphen/>
        <w:t>пользования «пятисоток» пришлось пой</w:t>
      </w:r>
      <w:r w:rsidRPr="00925F26">
        <w:rPr>
          <w:color w:val="000000" w:themeColor="text1"/>
          <w:sz w:val="16"/>
          <w:szCs w:val="16"/>
        </w:rPr>
        <w:softHyphen/>
        <w:t>ти на некоторое изменение норм безопас</w:t>
      </w:r>
      <w:r w:rsidRPr="00925F26">
        <w:rPr>
          <w:color w:val="000000" w:themeColor="text1"/>
          <w:sz w:val="16"/>
          <w:szCs w:val="16"/>
        </w:rPr>
        <w:softHyphen/>
        <w:t>ности. Внутрь влезала даже громоздкая кассетная бомба РРАБ-3 (РРАБ-500), кото</w:t>
      </w:r>
      <w:r w:rsidRPr="00925F26">
        <w:rPr>
          <w:color w:val="000000" w:themeColor="text1"/>
          <w:sz w:val="16"/>
          <w:szCs w:val="16"/>
        </w:rPr>
        <w:softHyphen/>
        <w:t>рую Ил-4 мог нести только снаружи, теряя 20-30 км/час скорости в горизонтальном полете. У Ил-4 на внутренней подвеске вообще размещались только боеприпа</w:t>
      </w:r>
      <w:r w:rsidRPr="00925F26">
        <w:rPr>
          <w:color w:val="000000" w:themeColor="text1"/>
          <w:sz w:val="16"/>
          <w:szCs w:val="16"/>
        </w:rPr>
        <w:softHyphen/>
        <w:t>сы калибром до 100 кг включительно, все остальное приходилось подвешивать на держатели под фюзеляжем и крылом.</w:t>
      </w:r>
    </w:p>
    <w:p w14:paraId="36376B93" w14:textId="77777777" w:rsidR="009D1B31" w:rsidRPr="00925F26" w:rsidRDefault="009D1B31" w:rsidP="00925F26">
      <w:pPr>
        <w:jc w:val="both"/>
        <w:rPr>
          <w:color w:val="000000" w:themeColor="text1"/>
          <w:sz w:val="16"/>
          <w:szCs w:val="16"/>
        </w:rPr>
      </w:pPr>
      <w:r w:rsidRPr="00925F26">
        <w:rPr>
          <w:color w:val="000000" w:themeColor="text1"/>
          <w:sz w:val="16"/>
          <w:szCs w:val="16"/>
        </w:rPr>
        <w:t>У В-25 наружная подвеска тоже предус</w:t>
      </w:r>
      <w:r w:rsidRPr="00925F26">
        <w:rPr>
          <w:color w:val="000000" w:themeColor="text1"/>
          <w:sz w:val="16"/>
          <w:szCs w:val="16"/>
        </w:rPr>
        <w:softHyphen/>
        <w:t>матривалась. На держателях под крылом можно было нести любые бомбы весом до 250 кг. Правда, замки американских бом</w:t>
      </w:r>
      <w:r w:rsidRPr="00925F26">
        <w:rPr>
          <w:color w:val="000000" w:themeColor="text1"/>
          <w:sz w:val="16"/>
          <w:szCs w:val="16"/>
        </w:rPr>
        <w:softHyphen/>
        <w:t>бодержателей немного переделывались под наши бомбы для того, чтобы вешать их без передвижки бугелей; дорабатывались и замки «взрыв-невзрыв». Внутренняя лебедка бомбоотсека заменялась совет</w:t>
      </w:r>
      <w:r w:rsidRPr="00925F26">
        <w:rPr>
          <w:color w:val="000000" w:themeColor="text1"/>
          <w:sz w:val="16"/>
          <w:szCs w:val="16"/>
        </w:rPr>
        <w:softHyphen/>
        <w:t>ской БЛ-4. Схему такой переделки разра</w:t>
      </w:r>
      <w:r w:rsidRPr="00925F26">
        <w:rPr>
          <w:color w:val="000000" w:themeColor="text1"/>
          <w:sz w:val="16"/>
          <w:szCs w:val="16"/>
        </w:rPr>
        <w:softHyphen/>
        <w:t>ботало в 1942 г. ОКБ-43 под руководством А.И. Шульгина. Подобные мелкие пере</w:t>
      </w:r>
      <w:r w:rsidRPr="00925F26">
        <w:rPr>
          <w:color w:val="000000" w:themeColor="text1"/>
          <w:sz w:val="16"/>
          <w:szCs w:val="16"/>
        </w:rPr>
        <w:softHyphen/>
        <w:t>делки выполнялись на московском заводе № 156 или прямо в частях.</w:t>
      </w:r>
    </w:p>
    <w:p w14:paraId="0726AE0A" w14:textId="77777777" w:rsidR="009D1B31" w:rsidRPr="00925F26" w:rsidRDefault="009D1B31" w:rsidP="00925F26">
      <w:pPr>
        <w:jc w:val="both"/>
        <w:rPr>
          <w:color w:val="000000" w:themeColor="text1"/>
          <w:sz w:val="16"/>
          <w:szCs w:val="16"/>
        </w:rPr>
      </w:pPr>
      <w:r w:rsidRPr="00925F26">
        <w:rPr>
          <w:color w:val="000000" w:themeColor="text1"/>
          <w:sz w:val="16"/>
          <w:szCs w:val="16"/>
        </w:rPr>
        <w:t>Неудачно, по сравнению с Ил-4, было решено на В-25 покидание машины в воз</w:t>
      </w:r>
      <w:r w:rsidRPr="00925F26">
        <w:rPr>
          <w:color w:val="000000" w:themeColor="text1"/>
          <w:sz w:val="16"/>
          <w:szCs w:val="16"/>
        </w:rPr>
        <w:softHyphen/>
        <w:t>духе. Все члены экипажа, находившие</w:t>
      </w:r>
      <w:r w:rsidRPr="00925F26">
        <w:rPr>
          <w:color w:val="000000" w:themeColor="text1"/>
          <w:sz w:val="16"/>
          <w:szCs w:val="16"/>
        </w:rPr>
        <w:softHyphen/>
        <w:t>ся в носовой части самолета, прыгали по очереди в один люк. При этом штурману надо было с надетым парашютом ползти по узкому изогнутому лазу в пилотскую кабину, хвостовому стрелку приходилось возвращаться вперед к центру машины. Времени на все эти операции уходило не</w:t>
      </w:r>
      <w:r w:rsidRPr="00925F26">
        <w:rPr>
          <w:color w:val="000000" w:themeColor="text1"/>
          <w:sz w:val="16"/>
          <w:szCs w:val="16"/>
        </w:rPr>
        <w:softHyphen/>
        <w:t>мало. На Ил-4 же каждый член экипажа покидал самолет независимо, через свой люк или фонарь.</w:t>
      </w:r>
    </w:p>
    <w:p w14:paraId="71EF5B9E" w14:textId="77777777" w:rsidR="009D1B31" w:rsidRPr="00925F26" w:rsidRDefault="009D1B31" w:rsidP="00925F26">
      <w:pPr>
        <w:jc w:val="both"/>
        <w:rPr>
          <w:color w:val="000000" w:themeColor="text1"/>
          <w:sz w:val="16"/>
          <w:szCs w:val="16"/>
        </w:rPr>
      </w:pPr>
      <w:r w:rsidRPr="00925F26">
        <w:rPr>
          <w:color w:val="000000" w:themeColor="text1"/>
          <w:sz w:val="16"/>
          <w:szCs w:val="16"/>
        </w:rPr>
        <w:t>Но зато на «американце» члены экипа</w:t>
      </w:r>
      <w:r w:rsidRPr="00925F26">
        <w:rPr>
          <w:color w:val="000000" w:themeColor="text1"/>
          <w:sz w:val="16"/>
          <w:szCs w:val="16"/>
        </w:rPr>
        <w:softHyphen/>
        <w:t>жа могли подменять друг друга, оказывать помощь при необходимости. На Ил-4 тя</w:t>
      </w:r>
      <w:r w:rsidRPr="00925F26">
        <w:rPr>
          <w:color w:val="000000" w:themeColor="text1"/>
          <w:sz w:val="16"/>
          <w:szCs w:val="16"/>
        </w:rPr>
        <w:softHyphen/>
        <w:t>желое ранение летчика означало гибель машины.</w:t>
      </w:r>
    </w:p>
    <w:p w14:paraId="069AC020" w14:textId="77777777" w:rsidR="009D1B31" w:rsidRPr="00925F26" w:rsidRDefault="009D1B31" w:rsidP="00925F26">
      <w:pPr>
        <w:jc w:val="both"/>
        <w:rPr>
          <w:color w:val="000000" w:themeColor="text1"/>
          <w:sz w:val="16"/>
          <w:szCs w:val="16"/>
        </w:rPr>
      </w:pPr>
      <w:r w:rsidRPr="00925F26">
        <w:rPr>
          <w:color w:val="000000" w:themeColor="text1"/>
          <w:sz w:val="16"/>
          <w:szCs w:val="16"/>
        </w:rPr>
        <w:t>Разумеется, при эксплуатации В-25 встречались и кое-какие трудности. Как для всех самолетов ленд-лиза, поначалу для В-25 не хватало технических описа</w:t>
      </w:r>
      <w:r w:rsidRPr="00925F26">
        <w:rPr>
          <w:color w:val="000000" w:themeColor="text1"/>
          <w:sz w:val="16"/>
          <w:szCs w:val="16"/>
        </w:rPr>
        <w:softHyphen/>
        <w:t>ний, инструкций и прочей документации. В результате неправильного выбора режи</w:t>
      </w:r>
      <w:r w:rsidRPr="00925F26">
        <w:rPr>
          <w:color w:val="000000" w:themeColor="text1"/>
          <w:sz w:val="16"/>
          <w:szCs w:val="16"/>
        </w:rPr>
        <w:softHyphen/>
        <w:t>мов полета бывали случаи перегрева мо</w:t>
      </w:r>
      <w:r w:rsidRPr="00925F26">
        <w:rPr>
          <w:color w:val="000000" w:themeColor="text1"/>
          <w:sz w:val="16"/>
          <w:szCs w:val="16"/>
        </w:rPr>
        <w:softHyphen/>
        <w:t>торов, неэкономичного расхода горючего, что иногда приводило к вынужденным посадкам. Типичной поломкой было по</w:t>
      </w:r>
      <w:r w:rsidRPr="00925F26">
        <w:rPr>
          <w:color w:val="000000" w:themeColor="text1"/>
          <w:sz w:val="16"/>
          <w:szCs w:val="16"/>
        </w:rPr>
        <w:softHyphen/>
        <w:t>вреждение носовой стойки, встречались отрыв триммеров, отказы моторов и анти</w:t>
      </w:r>
      <w:r w:rsidRPr="00925F26">
        <w:rPr>
          <w:color w:val="000000" w:themeColor="text1"/>
          <w:sz w:val="16"/>
          <w:szCs w:val="16"/>
        </w:rPr>
        <w:softHyphen/>
        <w:t>обледенительной системы. Существовали и производственные дефекты. Например, в октябре 1944 г. наша военная приемка забраковала в Фэрбенксе около половины предъявленных B-25J из-за отказов кар</w:t>
      </w:r>
      <w:r w:rsidRPr="00925F26">
        <w:rPr>
          <w:color w:val="000000" w:themeColor="text1"/>
          <w:sz w:val="16"/>
          <w:szCs w:val="16"/>
        </w:rPr>
        <w:softHyphen/>
        <w:t>бюраторов.</w:t>
      </w:r>
    </w:p>
    <w:p w14:paraId="79C94BAF" w14:textId="77777777" w:rsidR="009D1B31" w:rsidRPr="00925F26" w:rsidRDefault="009D1B31" w:rsidP="00925F26">
      <w:pPr>
        <w:jc w:val="both"/>
        <w:rPr>
          <w:color w:val="000000" w:themeColor="text1"/>
          <w:sz w:val="16"/>
          <w:szCs w:val="16"/>
        </w:rPr>
      </w:pPr>
      <w:r w:rsidRPr="00925F26">
        <w:rPr>
          <w:color w:val="000000" w:themeColor="text1"/>
          <w:sz w:val="16"/>
          <w:szCs w:val="16"/>
        </w:rPr>
        <w:lastRenderedPageBreak/>
        <w:t>Но в целом В-25 являлся надежной и удобной в эксплуатации машиной. Об этом можно судить хотя бы по такому по</w:t>
      </w:r>
      <w:r w:rsidRPr="00925F26">
        <w:rPr>
          <w:color w:val="000000" w:themeColor="text1"/>
          <w:sz w:val="16"/>
          <w:szCs w:val="16"/>
        </w:rPr>
        <w:softHyphen/>
        <w:t>казателю, как процент исправных само</w:t>
      </w:r>
      <w:r w:rsidRPr="00925F26">
        <w:rPr>
          <w:color w:val="000000" w:themeColor="text1"/>
          <w:sz w:val="16"/>
          <w:szCs w:val="16"/>
        </w:rPr>
        <w:softHyphen/>
        <w:t>летов — в частях, вооруженных В-25, онбыл весьма высок. Другим убедительным свидетельством является то, что в СССР «Митчелл» не подвергался никаким суще</w:t>
      </w:r>
      <w:r w:rsidRPr="00925F26">
        <w:rPr>
          <w:color w:val="000000" w:themeColor="text1"/>
          <w:sz w:val="16"/>
          <w:szCs w:val="16"/>
        </w:rPr>
        <w:softHyphen/>
        <w:t>ственным переделкам.</w:t>
      </w:r>
    </w:p>
    <w:p w14:paraId="3A698464" w14:textId="77777777" w:rsidR="009D1B31" w:rsidRPr="00925F26" w:rsidRDefault="009D1B31" w:rsidP="00925F26">
      <w:pPr>
        <w:jc w:val="both"/>
        <w:rPr>
          <w:color w:val="000000" w:themeColor="text1"/>
          <w:sz w:val="16"/>
          <w:szCs w:val="16"/>
        </w:rPr>
      </w:pPr>
      <w:r w:rsidRPr="00925F26">
        <w:rPr>
          <w:color w:val="000000" w:themeColor="text1"/>
          <w:sz w:val="16"/>
          <w:szCs w:val="16"/>
        </w:rPr>
        <w:t>В-25 успешно провоевали у нас до само</w:t>
      </w:r>
      <w:r w:rsidRPr="00925F26">
        <w:rPr>
          <w:color w:val="000000" w:themeColor="text1"/>
          <w:sz w:val="16"/>
          <w:szCs w:val="16"/>
        </w:rPr>
        <w:softHyphen/>
        <w:t>го окончания боевых действий (23513).</w:t>
      </w:r>
    </w:p>
    <w:p w14:paraId="7D08C811" w14:textId="77777777" w:rsidR="009D1B31" w:rsidRPr="00925F26" w:rsidRDefault="009D1B31" w:rsidP="00925F26">
      <w:pPr>
        <w:jc w:val="both"/>
        <w:rPr>
          <w:color w:val="000000" w:themeColor="text1"/>
          <w:sz w:val="16"/>
          <w:szCs w:val="16"/>
        </w:rPr>
      </w:pPr>
    </w:p>
    <w:p w14:paraId="54F028EA" w14:textId="77777777" w:rsidR="009D1B31" w:rsidRPr="00925F26" w:rsidRDefault="009D1B31" w:rsidP="00925F26">
      <w:pPr>
        <w:jc w:val="both"/>
        <w:rPr>
          <w:color w:val="000000" w:themeColor="text1"/>
          <w:sz w:val="16"/>
          <w:szCs w:val="16"/>
        </w:rPr>
      </w:pPr>
      <w:r w:rsidRPr="00925F26">
        <w:rPr>
          <w:color w:val="000000" w:themeColor="text1"/>
          <w:sz w:val="16"/>
          <w:szCs w:val="16"/>
        </w:rPr>
        <w:t>На 1 мая 1945 г. в составе ВВС насчиты</w:t>
      </w:r>
      <w:r w:rsidRPr="00925F26">
        <w:rPr>
          <w:color w:val="000000" w:themeColor="text1"/>
          <w:sz w:val="16"/>
          <w:szCs w:val="16"/>
        </w:rPr>
        <w:softHyphen/>
        <w:t>валось 23 АТ-6 ТЕксан, из них 22 находились в ты</w:t>
      </w:r>
      <w:r w:rsidRPr="00925F26">
        <w:rPr>
          <w:color w:val="000000" w:themeColor="text1"/>
          <w:sz w:val="16"/>
          <w:szCs w:val="16"/>
        </w:rPr>
        <w:softHyphen/>
        <w:t>ловых округах, а один передали в авиацию ПВО. К этому моменту шесть самолетов уже разбили и списали.</w:t>
      </w:r>
    </w:p>
    <w:p w14:paraId="1C5E72D9" w14:textId="77777777" w:rsidR="009D1B31" w:rsidRPr="00925F26" w:rsidRDefault="009D1B31" w:rsidP="00925F26">
      <w:pPr>
        <w:jc w:val="both"/>
        <w:rPr>
          <w:color w:val="000000" w:themeColor="text1"/>
          <w:sz w:val="16"/>
          <w:szCs w:val="16"/>
        </w:rPr>
      </w:pPr>
      <w:r w:rsidRPr="00925F26">
        <w:rPr>
          <w:color w:val="000000" w:themeColor="text1"/>
          <w:sz w:val="16"/>
          <w:szCs w:val="16"/>
        </w:rPr>
        <w:t>Данные учебного самолета АТ-6С «Тексан»</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190"/>
      </w:tblGrid>
      <w:tr w:rsidR="009D1B31" w:rsidRPr="00925F26" w14:paraId="029A01EB" w14:textId="77777777" w:rsidTr="004C5D62">
        <w:trPr>
          <w:trHeight w:val="312"/>
        </w:trPr>
        <w:tc>
          <w:tcPr>
            <w:tcW w:w="4190" w:type="dxa"/>
            <w:tcBorders>
              <w:top w:val="single" w:sz="4" w:space="0" w:color="auto"/>
              <w:left w:val="single" w:sz="4" w:space="0" w:color="auto"/>
            </w:tcBorders>
            <w:vAlign w:val="bottom"/>
          </w:tcPr>
          <w:p w14:paraId="6E68C080" w14:textId="77777777" w:rsidR="009D1B31" w:rsidRPr="00925F26" w:rsidRDefault="009D1B31" w:rsidP="00925F26">
            <w:pPr>
              <w:jc w:val="both"/>
              <w:rPr>
                <w:color w:val="000000" w:themeColor="text1"/>
                <w:sz w:val="16"/>
                <w:szCs w:val="16"/>
              </w:rPr>
            </w:pPr>
            <w:r w:rsidRPr="00925F26">
              <w:rPr>
                <w:color w:val="000000" w:themeColor="text1"/>
                <w:sz w:val="16"/>
                <w:szCs w:val="16"/>
              </w:rPr>
              <w:t>Длина, м</w:t>
            </w:r>
          </w:p>
        </w:tc>
        <w:tc>
          <w:tcPr>
            <w:tcW w:w="4190" w:type="dxa"/>
            <w:tcBorders>
              <w:top w:val="single" w:sz="4" w:space="0" w:color="auto"/>
              <w:left w:val="single" w:sz="4" w:space="0" w:color="auto"/>
              <w:right w:val="single" w:sz="4" w:space="0" w:color="auto"/>
            </w:tcBorders>
            <w:vAlign w:val="bottom"/>
          </w:tcPr>
          <w:p w14:paraId="43ADEE41" w14:textId="77777777" w:rsidR="009D1B31" w:rsidRPr="00925F26" w:rsidRDefault="009D1B31" w:rsidP="00925F26">
            <w:pPr>
              <w:jc w:val="both"/>
              <w:rPr>
                <w:color w:val="000000" w:themeColor="text1"/>
                <w:sz w:val="16"/>
                <w:szCs w:val="16"/>
              </w:rPr>
            </w:pPr>
            <w:r w:rsidRPr="00925F26">
              <w:rPr>
                <w:color w:val="000000" w:themeColor="text1"/>
                <w:sz w:val="16"/>
                <w:szCs w:val="16"/>
              </w:rPr>
              <w:t>8,97</w:t>
            </w:r>
          </w:p>
        </w:tc>
      </w:tr>
      <w:tr w:rsidR="009D1B31" w:rsidRPr="00925F26" w14:paraId="4865F6A4" w14:textId="77777777" w:rsidTr="004C5D62">
        <w:trPr>
          <w:trHeight w:val="307"/>
        </w:trPr>
        <w:tc>
          <w:tcPr>
            <w:tcW w:w="4190" w:type="dxa"/>
            <w:tcBorders>
              <w:top w:val="single" w:sz="4" w:space="0" w:color="auto"/>
              <w:left w:val="single" w:sz="4" w:space="0" w:color="auto"/>
            </w:tcBorders>
            <w:vAlign w:val="bottom"/>
          </w:tcPr>
          <w:p w14:paraId="694840BA" w14:textId="77777777" w:rsidR="009D1B31" w:rsidRPr="00925F26" w:rsidRDefault="009D1B31" w:rsidP="00925F26">
            <w:pPr>
              <w:jc w:val="both"/>
              <w:rPr>
                <w:color w:val="000000" w:themeColor="text1"/>
                <w:sz w:val="16"/>
                <w:szCs w:val="16"/>
              </w:rPr>
            </w:pPr>
            <w:r w:rsidRPr="00925F26">
              <w:rPr>
                <w:color w:val="000000" w:themeColor="text1"/>
                <w:sz w:val="16"/>
                <w:szCs w:val="16"/>
              </w:rPr>
              <w:t>Размах, м</w:t>
            </w:r>
          </w:p>
        </w:tc>
        <w:tc>
          <w:tcPr>
            <w:tcW w:w="4190" w:type="dxa"/>
            <w:tcBorders>
              <w:top w:val="single" w:sz="4" w:space="0" w:color="auto"/>
              <w:left w:val="single" w:sz="4" w:space="0" w:color="auto"/>
              <w:right w:val="single" w:sz="4" w:space="0" w:color="auto"/>
            </w:tcBorders>
            <w:vAlign w:val="bottom"/>
          </w:tcPr>
          <w:p w14:paraId="13E80DCC" w14:textId="77777777" w:rsidR="009D1B31" w:rsidRPr="00925F26" w:rsidRDefault="009D1B31" w:rsidP="00925F26">
            <w:pPr>
              <w:jc w:val="both"/>
              <w:rPr>
                <w:color w:val="000000" w:themeColor="text1"/>
                <w:sz w:val="16"/>
                <w:szCs w:val="16"/>
              </w:rPr>
            </w:pPr>
            <w:r w:rsidRPr="00925F26">
              <w:rPr>
                <w:color w:val="000000" w:themeColor="text1"/>
                <w:sz w:val="16"/>
                <w:szCs w:val="16"/>
              </w:rPr>
              <w:t>12,83</w:t>
            </w:r>
          </w:p>
        </w:tc>
      </w:tr>
      <w:tr w:rsidR="009D1B31" w:rsidRPr="00925F26" w14:paraId="71FC1464" w14:textId="77777777" w:rsidTr="004C5D62">
        <w:trPr>
          <w:trHeight w:val="782"/>
        </w:trPr>
        <w:tc>
          <w:tcPr>
            <w:tcW w:w="4190" w:type="dxa"/>
            <w:tcBorders>
              <w:top w:val="single" w:sz="4" w:space="0" w:color="auto"/>
              <w:left w:val="single" w:sz="4" w:space="0" w:color="auto"/>
            </w:tcBorders>
            <w:vAlign w:val="bottom"/>
          </w:tcPr>
          <w:p w14:paraId="0AB3DFE0" w14:textId="77777777" w:rsidR="009D1B31" w:rsidRPr="00925F26" w:rsidRDefault="009D1B31" w:rsidP="00925F26">
            <w:pPr>
              <w:jc w:val="both"/>
              <w:rPr>
                <w:color w:val="000000" w:themeColor="text1"/>
                <w:sz w:val="16"/>
                <w:szCs w:val="16"/>
              </w:rPr>
            </w:pPr>
            <w:r w:rsidRPr="00925F26">
              <w:rPr>
                <w:color w:val="000000" w:themeColor="text1"/>
                <w:sz w:val="16"/>
                <w:szCs w:val="16"/>
              </w:rPr>
              <w:t>Вес, кг</w:t>
            </w:r>
          </w:p>
          <w:p w14:paraId="31A0563D" w14:textId="77777777" w:rsidR="009D1B31" w:rsidRPr="00925F26" w:rsidRDefault="009D1B31" w:rsidP="00925F26">
            <w:pPr>
              <w:jc w:val="both"/>
              <w:rPr>
                <w:color w:val="000000" w:themeColor="text1"/>
                <w:sz w:val="16"/>
                <w:szCs w:val="16"/>
              </w:rPr>
            </w:pPr>
            <w:r w:rsidRPr="00925F26">
              <w:rPr>
                <w:color w:val="000000" w:themeColor="text1"/>
                <w:sz w:val="16"/>
                <w:szCs w:val="16"/>
              </w:rPr>
              <w:t>пустого</w:t>
            </w:r>
          </w:p>
          <w:p w14:paraId="6F192F09" w14:textId="77777777" w:rsidR="009D1B31" w:rsidRPr="00925F26" w:rsidRDefault="009D1B31" w:rsidP="00925F26">
            <w:pPr>
              <w:jc w:val="both"/>
              <w:rPr>
                <w:color w:val="000000" w:themeColor="text1"/>
                <w:sz w:val="16"/>
                <w:szCs w:val="16"/>
              </w:rPr>
            </w:pPr>
            <w:r w:rsidRPr="00925F26">
              <w:rPr>
                <w:color w:val="000000" w:themeColor="text1"/>
                <w:sz w:val="16"/>
                <w:szCs w:val="16"/>
              </w:rPr>
              <w:t>взлетный нормальный</w:t>
            </w:r>
          </w:p>
        </w:tc>
        <w:tc>
          <w:tcPr>
            <w:tcW w:w="4190" w:type="dxa"/>
            <w:tcBorders>
              <w:top w:val="single" w:sz="4" w:space="0" w:color="auto"/>
              <w:left w:val="single" w:sz="4" w:space="0" w:color="auto"/>
              <w:right w:val="single" w:sz="4" w:space="0" w:color="auto"/>
            </w:tcBorders>
            <w:vAlign w:val="bottom"/>
          </w:tcPr>
          <w:p w14:paraId="342E540C" w14:textId="77777777" w:rsidR="009D1B31" w:rsidRPr="00925F26" w:rsidRDefault="009D1B31" w:rsidP="00925F26">
            <w:pPr>
              <w:jc w:val="both"/>
              <w:rPr>
                <w:color w:val="000000" w:themeColor="text1"/>
                <w:sz w:val="16"/>
                <w:szCs w:val="16"/>
              </w:rPr>
            </w:pPr>
            <w:r w:rsidRPr="00925F26">
              <w:rPr>
                <w:color w:val="000000" w:themeColor="text1"/>
                <w:sz w:val="16"/>
                <w:szCs w:val="16"/>
              </w:rPr>
              <w:t>1888</w:t>
            </w:r>
          </w:p>
          <w:p w14:paraId="705B19DD" w14:textId="77777777" w:rsidR="009D1B31" w:rsidRPr="00925F26" w:rsidRDefault="009D1B31" w:rsidP="00925F26">
            <w:pPr>
              <w:jc w:val="both"/>
              <w:rPr>
                <w:color w:val="000000" w:themeColor="text1"/>
                <w:sz w:val="16"/>
                <w:szCs w:val="16"/>
              </w:rPr>
            </w:pPr>
            <w:r w:rsidRPr="00925F26">
              <w:rPr>
                <w:color w:val="000000" w:themeColor="text1"/>
                <w:sz w:val="16"/>
                <w:szCs w:val="16"/>
              </w:rPr>
              <w:t>2406</w:t>
            </w:r>
          </w:p>
        </w:tc>
      </w:tr>
      <w:tr w:rsidR="009D1B31" w:rsidRPr="00925F26" w14:paraId="0BA7C0D8" w14:textId="77777777" w:rsidTr="004C5D62">
        <w:trPr>
          <w:trHeight w:val="302"/>
        </w:trPr>
        <w:tc>
          <w:tcPr>
            <w:tcW w:w="4190" w:type="dxa"/>
            <w:tcBorders>
              <w:top w:val="single" w:sz="4" w:space="0" w:color="auto"/>
              <w:left w:val="single" w:sz="4" w:space="0" w:color="auto"/>
            </w:tcBorders>
            <w:vAlign w:val="bottom"/>
          </w:tcPr>
          <w:p w14:paraId="6EA729C0" w14:textId="77777777" w:rsidR="009D1B31" w:rsidRPr="00925F26" w:rsidRDefault="009D1B31" w:rsidP="00925F26">
            <w:pPr>
              <w:jc w:val="both"/>
              <w:rPr>
                <w:color w:val="000000" w:themeColor="text1"/>
                <w:sz w:val="16"/>
                <w:szCs w:val="16"/>
              </w:rPr>
            </w:pPr>
            <w:r w:rsidRPr="00925F26">
              <w:rPr>
                <w:color w:val="000000" w:themeColor="text1"/>
                <w:sz w:val="16"/>
                <w:szCs w:val="16"/>
              </w:rPr>
              <w:t>Скорость максимальная, км/ч</w:t>
            </w:r>
          </w:p>
        </w:tc>
        <w:tc>
          <w:tcPr>
            <w:tcW w:w="4190" w:type="dxa"/>
            <w:tcBorders>
              <w:top w:val="single" w:sz="4" w:space="0" w:color="auto"/>
              <w:left w:val="single" w:sz="4" w:space="0" w:color="auto"/>
              <w:right w:val="single" w:sz="4" w:space="0" w:color="auto"/>
            </w:tcBorders>
            <w:vAlign w:val="bottom"/>
          </w:tcPr>
          <w:p w14:paraId="1DF99A78" w14:textId="77777777" w:rsidR="009D1B31" w:rsidRPr="00925F26" w:rsidRDefault="009D1B31" w:rsidP="00925F26">
            <w:pPr>
              <w:jc w:val="both"/>
              <w:rPr>
                <w:color w:val="000000" w:themeColor="text1"/>
                <w:sz w:val="16"/>
                <w:szCs w:val="16"/>
              </w:rPr>
            </w:pPr>
            <w:r w:rsidRPr="00925F26">
              <w:rPr>
                <w:color w:val="000000" w:themeColor="text1"/>
                <w:sz w:val="16"/>
                <w:szCs w:val="16"/>
              </w:rPr>
              <w:t>338</w:t>
            </w:r>
          </w:p>
        </w:tc>
      </w:tr>
      <w:tr w:rsidR="009D1B31" w:rsidRPr="00925F26" w14:paraId="168446ED" w14:textId="77777777" w:rsidTr="004C5D62">
        <w:trPr>
          <w:trHeight w:val="302"/>
        </w:trPr>
        <w:tc>
          <w:tcPr>
            <w:tcW w:w="4190" w:type="dxa"/>
            <w:tcBorders>
              <w:top w:val="single" w:sz="4" w:space="0" w:color="auto"/>
              <w:left w:val="single" w:sz="4" w:space="0" w:color="auto"/>
            </w:tcBorders>
            <w:vAlign w:val="bottom"/>
          </w:tcPr>
          <w:p w14:paraId="3D9DCA61" w14:textId="77777777" w:rsidR="009D1B31" w:rsidRPr="00925F26" w:rsidRDefault="009D1B31" w:rsidP="00925F26">
            <w:pPr>
              <w:jc w:val="both"/>
              <w:rPr>
                <w:color w:val="000000" w:themeColor="text1"/>
                <w:sz w:val="16"/>
                <w:szCs w:val="16"/>
              </w:rPr>
            </w:pPr>
            <w:r w:rsidRPr="00925F26">
              <w:rPr>
                <w:color w:val="000000" w:themeColor="text1"/>
                <w:sz w:val="16"/>
                <w:szCs w:val="16"/>
              </w:rPr>
              <w:t>Практический потолок, м</w:t>
            </w:r>
          </w:p>
        </w:tc>
        <w:tc>
          <w:tcPr>
            <w:tcW w:w="4190" w:type="dxa"/>
            <w:tcBorders>
              <w:top w:val="single" w:sz="4" w:space="0" w:color="auto"/>
              <w:left w:val="single" w:sz="4" w:space="0" w:color="auto"/>
              <w:right w:val="single" w:sz="4" w:space="0" w:color="auto"/>
            </w:tcBorders>
            <w:vAlign w:val="bottom"/>
          </w:tcPr>
          <w:p w14:paraId="6969AFA5" w14:textId="77777777" w:rsidR="009D1B31" w:rsidRPr="00925F26" w:rsidRDefault="009D1B31" w:rsidP="00925F26">
            <w:pPr>
              <w:jc w:val="both"/>
              <w:rPr>
                <w:color w:val="000000" w:themeColor="text1"/>
                <w:sz w:val="16"/>
                <w:szCs w:val="16"/>
              </w:rPr>
            </w:pPr>
            <w:r w:rsidRPr="00925F26">
              <w:rPr>
                <w:color w:val="000000" w:themeColor="text1"/>
                <w:sz w:val="16"/>
                <w:szCs w:val="16"/>
              </w:rPr>
              <w:t>6560</w:t>
            </w:r>
          </w:p>
        </w:tc>
      </w:tr>
      <w:tr w:rsidR="009D1B31" w:rsidRPr="00925F26" w14:paraId="62C8A4A4" w14:textId="77777777" w:rsidTr="004C5D62">
        <w:trPr>
          <w:trHeight w:val="307"/>
        </w:trPr>
        <w:tc>
          <w:tcPr>
            <w:tcW w:w="4190" w:type="dxa"/>
            <w:tcBorders>
              <w:top w:val="single" w:sz="4" w:space="0" w:color="auto"/>
              <w:left w:val="single" w:sz="4" w:space="0" w:color="auto"/>
            </w:tcBorders>
            <w:vAlign w:val="bottom"/>
          </w:tcPr>
          <w:p w14:paraId="6BA1C0D8" w14:textId="77777777" w:rsidR="009D1B31" w:rsidRPr="00925F26" w:rsidRDefault="009D1B31" w:rsidP="00925F26">
            <w:pPr>
              <w:jc w:val="both"/>
              <w:rPr>
                <w:color w:val="000000" w:themeColor="text1"/>
                <w:sz w:val="16"/>
                <w:szCs w:val="16"/>
              </w:rPr>
            </w:pPr>
            <w:r w:rsidRPr="00925F26">
              <w:rPr>
                <w:color w:val="000000" w:themeColor="text1"/>
                <w:sz w:val="16"/>
                <w:szCs w:val="16"/>
              </w:rPr>
              <w:t>Дальность полета, км</w:t>
            </w:r>
          </w:p>
        </w:tc>
        <w:tc>
          <w:tcPr>
            <w:tcW w:w="4190" w:type="dxa"/>
            <w:tcBorders>
              <w:top w:val="single" w:sz="4" w:space="0" w:color="auto"/>
              <w:left w:val="single" w:sz="4" w:space="0" w:color="auto"/>
              <w:right w:val="single" w:sz="4" w:space="0" w:color="auto"/>
            </w:tcBorders>
            <w:vAlign w:val="bottom"/>
          </w:tcPr>
          <w:p w14:paraId="37701B00" w14:textId="77777777" w:rsidR="009D1B31" w:rsidRPr="00925F26" w:rsidRDefault="009D1B31" w:rsidP="00925F26">
            <w:pPr>
              <w:jc w:val="both"/>
              <w:rPr>
                <w:color w:val="000000" w:themeColor="text1"/>
                <w:sz w:val="16"/>
                <w:szCs w:val="16"/>
              </w:rPr>
            </w:pPr>
            <w:r w:rsidRPr="00925F26">
              <w:rPr>
                <w:color w:val="000000" w:themeColor="text1"/>
                <w:sz w:val="16"/>
                <w:szCs w:val="16"/>
              </w:rPr>
              <w:t>1370</w:t>
            </w:r>
          </w:p>
        </w:tc>
      </w:tr>
      <w:tr w:rsidR="009D1B31" w:rsidRPr="00925F26" w14:paraId="0C83F473" w14:textId="77777777" w:rsidTr="004C5D62">
        <w:trPr>
          <w:trHeight w:val="302"/>
        </w:trPr>
        <w:tc>
          <w:tcPr>
            <w:tcW w:w="4190" w:type="dxa"/>
            <w:tcBorders>
              <w:top w:val="single" w:sz="4" w:space="0" w:color="auto"/>
              <w:left w:val="single" w:sz="4" w:space="0" w:color="auto"/>
            </w:tcBorders>
            <w:vAlign w:val="bottom"/>
          </w:tcPr>
          <w:p w14:paraId="46611905" w14:textId="77777777" w:rsidR="009D1B31" w:rsidRPr="00925F26" w:rsidRDefault="009D1B31" w:rsidP="00925F26">
            <w:pPr>
              <w:jc w:val="both"/>
              <w:rPr>
                <w:color w:val="000000" w:themeColor="text1"/>
                <w:sz w:val="16"/>
                <w:szCs w:val="16"/>
              </w:rPr>
            </w:pPr>
            <w:r w:rsidRPr="00925F26">
              <w:rPr>
                <w:color w:val="000000" w:themeColor="text1"/>
                <w:sz w:val="16"/>
                <w:szCs w:val="16"/>
              </w:rPr>
              <w:t>Вооружение</w:t>
            </w:r>
          </w:p>
        </w:tc>
        <w:tc>
          <w:tcPr>
            <w:tcW w:w="4190" w:type="dxa"/>
            <w:tcBorders>
              <w:top w:val="single" w:sz="4" w:space="0" w:color="auto"/>
              <w:left w:val="single" w:sz="4" w:space="0" w:color="auto"/>
              <w:right w:val="single" w:sz="4" w:space="0" w:color="auto"/>
            </w:tcBorders>
            <w:vAlign w:val="bottom"/>
          </w:tcPr>
          <w:p w14:paraId="1609AECF" w14:textId="77777777" w:rsidR="009D1B31" w:rsidRPr="00925F26" w:rsidRDefault="009D1B31" w:rsidP="00925F26">
            <w:pPr>
              <w:jc w:val="both"/>
              <w:rPr>
                <w:color w:val="000000" w:themeColor="text1"/>
                <w:sz w:val="16"/>
                <w:szCs w:val="16"/>
              </w:rPr>
            </w:pPr>
            <w:r w:rsidRPr="00925F26">
              <w:rPr>
                <w:color w:val="000000" w:themeColor="text1"/>
                <w:sz w:val="16"/>
                <w:szCs w:val="16"/>
              </w:rPr>
              <w:t>2 х 7,62</w:t>
            </w:r>
          </w:p>
        </w:tc>
      </w:tr>
      <w:tr w:rsidR="009D1B31" w:rsidRPr="00925F26" w14:paraId="79C32C97" w14:textId="77777777" w:rsidTr="004C5D62">
        <w:trPr>
          <w:trHeight w:val="322"/>
        </w:trPr>
        <w:tc>
          <w:tcPr>
            <w:tcW w:w="4190" w:type="dxa"/>
            <w:tcBorders>
              <w:top w:val="single" w:sz="4" w:space="0" w:color="auto"/>
              <w:left w:val="single" w:sz="4" w:space="0" w:color="auto"/>
              <w:bottom w:val="single" w:sz="4" w:space="0" w:color="auto"/>
            </w:tcBorders>
            <w:vAlign w:val="bottom"/>
          </w:tcPr>
          <w:p w14:paraId="3D458A90" w14:textId="77777777" w:rsidR="009D1B31" w:rsidRPr="00925F26" w:rsidRDefault="009D1B31" w:rsidP="00925F26">
            <w:pPr>
              <w:jc w:val="both"/>
              <w:rPr>
                <w:color w:val="000000" w:themeColor="text1"/>
                <w:sz w:val="16"/>
                <w:szCs w:val="16"/>
              </w:rPr>
            </w:pPr>
            <w:r w:rsidRPr="00925F26">
              <w:rPr>
                <w:color w:val="000000" w:themeColor="text1"/>
                <w:sz w:val="16"/>
                <w:szCs w:val="16"/>
              </w:rPr>
              <w:t>Бомбовая нагрузка</w:t>
            </w:r>
          </w:p>
        </w:tc>
        <w:tc>
          <w:tcPr>
            <w:tcW w:w="4190" w:type="dxa"/>
            <w:tcBorders>
              <w:top w:val="single" w:sz="4" w:space="0" w:color="auto"/>
              <w:left w:val="single" w:sz="4" w:space="0" w:color="auto"/>
              <w:bottom w:val="single" w:sz="4" w:space="0" w:color="auto"/>
              <w:right w:val="single" w:sz="4" w:space="0" w:color="auto"/>
            </w:tcBorders>
            <w:vAlign w:val="bottom"/>
          </w:tcPr>
          <w:p w14:paraId="2FE1854A" w14:textId="77777777" w:rsidR="009D1B31" w:rsidRPr="00925F26" w:rsidRDefault="009D1B31" w:rsidP="00925F26">
            <w:pPr>
              <w:jc w:val="both"/>
              <w:rPr>
                <w:color w:val="000000" w:themeColor="text1"/>
                <w:sz w:val="16"/>
                <w:szCs w:val="16"/>
              </w:rPr>
            </w:pPr>
            <w:r w:rsidRPr="00925F26">
              <w:rPr>
                <w:color w:val="000000" w:themeColor="text1"/>
                <w:sz w:val="16"/>
                <w:szCs w:val="16"/>
              </w:rPr>
              <w:t>100</w:t>
            </w:r>
          </w:p>
        </w:tc>
      </w:tr>
    </w:tbl>
    <w:p w14:paraId="4F928C59" w14:textId="77777777" w:rsidR="009D1B31" w:rsidRPr="00925F26" w:rsidRDefault="009D1B31" w:rsidP="00925F26">
      <w:pPr>
        <w:jc w:val="both"/>
        <w:rPr>
          <w:color w:val="000000" w:themeColor="text1"/>
          <w:sz w:val="16"/>
          <w:szCs w:val="16"/>
        </w:rPr>
      </w:pPr>
      <w:r w:rsidRPr="00925F26">
        <w:rPr>
          <w:color w:val="000000" w:themeColor="text1"/>
          <w:sz w:val="16"/>
          <w:szCs w:val="16"/>
        </w:rPr>
        <w:t>(23513).</w:t>
      </w:r>
    </w:p>
    <w:p w14:paraId="441F16F6" w14:textId="77777777" w:rsidR="009D1B31" w:rsidRPr="00925F26" w:rsidRDefault="009D1B31" w:rsidP="00925F26">
      <w:pPr>
        <w:jc w:val="both"/>
        <w:rPr>
          <w:color w:val="000000" w:themeColor="text1"/>
          <w:sz w:val="16"/>
          <w:szCs w:val="16"/>
        </w:rPr>
      </w:pPr>
    </w:p>
    <w:p w14:paraId="007EC5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 в связи с тем, что немецкое командование для обороны оставшейся своей территории сосредоточило почти всю свою авиацию - 2900 самолетов, численное превосходство советской авиации снизилось до 5. Советская авиация имела над авиацией Люфтваффе численное превосходство: на 1 января 1942 г. в 1,8 раза, на 1 июля 1943 г. - в 3,6, на 1 января 1945 г. - в 9,3 раза. К тому времени во фронтовой авиации мы имели 14607 боевых самолетов, без устаревших типов и легких ночных бомбардировщиков По-2 (4116; 4117; 4118; 4119; 4120; 4121; 4122) (3573).</w:t>
      </w:r>
    </w:p>
    <w:p w14:paraId="1A642212" w14:textId="77777777" w:rsidR="00665165" w:rsidRPr="00925F26" w:rsidRDefault="00665165" w:rsidP="00925F26">
      <w:pPr>
        <w:autoSpaceDE w:val="0"/>
        <w:autoSpaceDN w:val="0"/>
        <w:adjustRightInd w:val="0"/>
        <w:jc w:val="both"/>
        <w:rPr>
          <w:color w:val="000000" w:themeColor="text1"/>
          <w:sz w:val="16"/>
          <w:szCs w:val="16"/>
        </w:rPr>
      </w:pPr>
    </w:p>
    <w:p w14:paraId="0E7BD3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 на передовой Ла-7 уже было больше, чем Ла-5, - 967 против 676. На новых истребителях советские лётчики сбили немало вражеских машин. Самолёт, обладавший отличной манёвренностью, высокой скоростью и сильным вооружением, как нельзя лучше соответствовал формуле А.И. Покрышкина: "Скорость - манёвр - огонь".</w:t>
      </w:r>
    </w:p>
    <w:p w14:paraId="3F5F3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Наибольшее количество побед на Ла-7 одержал И.Н. Кожедуб из 176-го гв. иап - 14. Фактически их было 16, но два американских "мустанга", опрометчиво атаковавших Кожедуба в апреле 1945 г. и поплатившихся за это, в список не включили. На Ла-7 Кожедубу удалось первым из советских лётчиков сбить реактивный истребитель Me 262. Вот, что вспоминал об этом эпизоде он сам: "19 февраля 1945 г. Дмитрию Титаренко и мне довелось встретиться с немецко-фашистским реактивным самолётом. Дело было так. Мы вели воздушную охоту невдалеке от линии фронта. Внимательно слежу за воздухом. С юга, со стороны Франкфурта, на высоте 3500 м внезапно появился самолёт. Он летит вдоль Одера на скорости, предельной для наших "Лавочкиных". Да это же реактивный самолёт! Быстро разворачиваюсь. Даю мотору полный газ, преследую врага. Лётчик, очевидно, и не смотрел назад, полагаясь на большую скорость. Выжимаю из машины максимальную скорость, стараюсь сократить дистанцию и подойти с небольшим снижением под "брюхо" вражеского самолёта. Хочется подробно рассмотреть его; если удастся - открыть огонь й сбить.</w:t>
      </w:r>
    </w:p>
    <w:p w14:paraId="4299F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Титаренко не отстаёт. Зная, что он может поспешить, предупреждаю: "Дима, не торопись!"</w:t>
      </w:r>
    </w:p>
    <w:p w14:paraId="28237D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Подхожу со стороны хвоста на расстояние пятисот метров. Удачный манёвр, быстрота действий, скорость позволили мне приблизиться к реактивному самолёту. Но что такое? В него летят трассы: ясно - мой напарник все-</w:t>
      </w:r>
      <w:proofErr w:type="gramStart"/>
      <w:r w:rsidRPr="00925F26">
        <w:rPr>
          <w:color w:val="000000" w:themeColor="text1"/>
          <w:sz w:val="16"/>
          <w:szCs w:val="16"/>
        </w:rPr>
        <w:t>та- ки</w:t>
      </w:r>
      <w:proofErr w:type="gramEnd"/>
      <w:r w:rsidRPr="00925F26">
        <w:rPr>
          <w:color w:val="000000" w:themeColor="text1"/>
          <w:sz w:val="16"/>
          <w:szCs w:val="16"/>
        </w:rPr>
        <w:t xml:space="preserve"> поторопился! Про себя нещадно его ругаю; уверен, что план моих действий непоправимо нарушен. Но его трассы нежданно-негаданно мне помогли: немецкий самолёт стал разворачиваться влево, в мою сторону. Дистанция резко сократилась, и я сблизился с врагом. С невольным волнением открываю огонь. И реактивный самолёт, разваливаясь на части, падает" (11986).</w:t>
      </w:r>
    </w:p>
    <w:p w14:paraId="7494DC3E" w14:textId="77777777" w:rsidR="00665165" w:rsidRPr="00925F26" w:rsidRDefault="00665165" w:rsidP="00925F26">
      <w:pPr>
        <w:autoSpaceDE w:val="0"/>
        <w:autoSpaceDN w:val="0"/>
        <w:adjustRightInd w:val="0"/>
        <w:jc w:val="both"/>
        <w:rPr>
          <w:color w:val="000000" w:themeColor="text1"/>
          <w:sz w:val="16"/>
          <w:szCs w:val="16"/>
        </w:rPr>
      </w:pPr>
    </w:p>
    <w:p w14:paraId="0DD23C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закончились испытани стабилизатора для торпеды СН-45 при скоростях сбрасывания 360-380 км/ч, которые проводились на базе 5-го гмтап ВВС ЧФ с 10 февраля.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555666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925F26">
        <w:rPr>
          <w:color w:val="000000" w:themeColor="text1"/>
          <w:sz w:val="16"/>
          <w:szCs w:val="16"/>
        </w:rPr>
        <w:t>г. .</w:t>
      </w:r>
      <w:proofErr w:type="gramEnd"/>
      <w:r w:rsidRPr="00925F26">
        <w:rPr>
          <w:color w:val="000000" w:themeColor="text1"/>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6E9BF4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700EAF68" w14:textId="77777777" w:rsidR="00665165" w:rsidRPr="00925F26" w:rsidRDefault="00665165" w:rsidP="00925F26">
      <w:pPr>
        <w:autoSpaceDE w:val="0"/>
        <w:autoSpaceDN w:val="0"/>
        <w:adjustRightInd w:val="0"/>
        <w:jc w:val="both"/>
        <w:rPr>
          <w:color w:val="000000" w:themeColor="text1"/>
          <w:sz w:val="16"/>
          <w:szCs w:val="16"/>
        </w:rPr>
      </w:pPr>
    </w:p>
    <w:p w14:paraId="7E6C2E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57 кораблей ВМФ были оснащены радарами. Лишь одна - отечественная. Всего получили 555 английских станций и 641 американскую (9452,41).</w:t>
      </w:r>
    </w:p>
    <w:p w14:paraId="1736543E" w14:textId="77777777" w:rsidR="00665165" w:rsidRPr="00925F26" w:rsidRDefault="00665165" w:rsidP="00925F26">
      <w:pPr>
        <w:autoSpaceDE w:val="0"/>
        <w:autoSpaceDN w:val="0"/>
        <w:adjustRightInd w:val="0"/>
        <w:jc w:val="both"/>
        <w:rPr>
          <w:color w:val="000000" w:themeColor="text1"/>
          <w:sz w:val="16"/>
          <w:szCs w:val="16"/>
        </w:rPr>
      </w:pPr>
    </w:p>
    <w:p w14:paraId="1A4A9B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года в АРГК также было налицо 48 280 мм мортир Шнейдера и Бр-5. Все фугасные снаряды к Бр-5 были спроектированы еще до 1917 года и предназначались для 280-мм мортиры Шнейдера. Ф-674 и Ф-674К русские старые гранаты, а Ф-674Ф французская. Бетонобойный снаряд Г-675 был испытан в 1939 году, но в таблицах боевой комплектации появился лишь в 1942 году. Максимальное давление в канале ствола 1760 кг/см2 (для Г-675) (3861).</w:t>
      </w:r>
    </w:p>
    <w:p w14:paraId="3B2A207A" w14:textId="77777777" w:rsidR="00665165" w:rsidRPr="00925F26" w:rsidRDefault="00665165" w:rsidP="00925F26">
      <w:pPr>
        <w:autoSpaceDE w:val="0"/>
        <w:autoSpaceDN w:val="0"/>
        <w:adjustRightInd w:val="0"/>
        <w:jc w:val="both"/>
        <w:rPr>
          <w:color w:val="000000" w:themeColor="text1"/>
          <w:sz w:val="16"/>
          <w:szCs w:val="16"/>
        </w:rPr>
      </w:pPr>
    </w:p>
    <w:p w14:paraId="5A2CC6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года в составе АРГК было налицо 8 210-мм пушек Бр-17 (Шкода) (3861).</w:t>
      </w:r>
    </w:p>
    <w:p w14:paraId="02C26954" w14:textId="77777777" w:rsidR="00665165" w:rsidRPr="00925F26" w:rsidRDefault="00665165" w:rsidP="00925F26">
      <w:pPr>
        <w:autoSpaceDE w:val="0"/>
        <w:autoSpaceDN w:val="0"/>
        <w:adjustRightInd w:val="0"/>
        <w:jc w:val="both"/>
        <w:rPr>
          <w:color w:val="000000" w:themeColor="text1"/>
          <w:sz w:val="16"/>
          <w:szCs w:val="16"/>
        </w:rPr>
      </w:pPr>
    </w:p>
    <w:p w14:paraId="774F6D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года в составе РВГК имелось 16 трофейных 211-мм мортир обр. 1918 г (3861).</w:t>
      </w:r>
    </w:p>
    <w:p w14:paraId="3D3999C2" w14:textId="77777777" w:rsidR="00665165" w:rsidRPr="00925F26" w:rsidRDefault="00665165" w:rsidP="00925F26">
      <w:pPr>
        <w:autoSpaceDE w:val="0"/>
        <w:autoSpaceDN w:val="0"/>
        <w:adjustRightInd w:val="0"/>
        <w:jc w:val="both"/>
        <w:rPr>
          <w:color w:val="000000" w:themeColor="text1"/>
          <w:sz w:val="16"/>
          <w:szCs w:val="16"/>
        </w:rPr>
      </w:pPr>
    </w:p>
    <w:p w14:paraId="65CC8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Флот с 22 июня 1941 г. по 1 мая 1945 г. получил от промышленности 62805 снарядов к 130/55-мм и 130/50-мм пушкам с мелкой нарезкой (3861).</w:t>
      </w:r>
    </w:p>
    <w:p w14:paraId="7213CBE3" w14:textId="77777777" w:rsidR="00665165" w:rsidRPr="00925F26" w:rsidRDefault="00665165" w:rsidP="00925F26">
      <w:pPr>
        <w:autoSpaceDE w:val="0"/>
        <w:autoSpaceDN w:val="0"/>
        <w:adjustRightInd w:val="0"/>
        <w:jc w:val="both"/>
        <w:rPr>
          <w:color w:val="000000" w:themeColor="text1"/>
          <w:sz w:val="16"/>
          <w:szCs w:val="16"/>
        </w:rPr>
      </w:pPr>
    </w:p>
    <w:p w14:paraId="7C81BD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года в корпусной артиллерии имелось 289 122-мм пушек обр. 1931 г. и 1931/37 г., и в РВГК 309 тех же пушек. В 1947 году пушки А-19 уже не производились (3861).</w:t>
      </w:r>
    </w:p>
    <w:p w14:paraId="184513FE" w14:textId="77777777" w:rsidR="00665165" w:rsidRPr="00925F26" w:rsidRDefault="00665165" w:rsidP="00925F26">
      <w:pPr>
        <w:autoSpaceDE w:val="0"/>
        <w:autoSpaceDN w:val="0"/>
        <w:adjustRightInd w:val="0"/>
        <w:jc w:val="both"/>
        <w:rPr>
          <w:color w:val="000000" w:themeColor="text1"/>
          <w:sz w:val="16"/>
          <w:szCs w:val="16"/>
        </w:rPr>
      </w:pPr>
    </w:p>
    <w:p w14:paraId="2D1CBA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года число 152-мм пушек Бр-2 в частях РВГК осталось прежним (28). После 1941 года (по крайней мере до 1958 года) пушки Бр-2, Б-30 и Бр-19 серийно не производились (3861).</w:t>
      </w:r>
    </w:p>
    <w:p w14:paraId="422AFE43" w14:textId="77777777" w:rsidR="00665165" w:rsidRPr="00925F26" w:rsidRDefault="00665165" w:rsidP="00925F26">
      <w:pPr>
        <w:autoSpaceDE w:val="0"/>
        <w:autoSpaceDN w:val="0"/>
        <w:adjustRightInd w:val="0"/>
        <w:jc w:val="both"/>
        <w:rPr>
          <w:color w:val="000000" w:themeColor="text1"/>
          <w:sz w:val="16"/>
          <w:szCs w:val="16"/>
        </w:rPr>
      </w:pPr>
    </w:p>
    <w:p w14:paraId="06693A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 мая 1945 года 203-мм гаубицы Б-4 имелись в 30 бригадах и четырех отдельных полках. Всего по штату должно быть 768 гаубиц, а налицо было 760. В советской армии гаубицы Б-4 до конца войны состояли только в артиллерии РВГК. Лафет Б-4 имел некоторые различия с лафетами Бр-2 и Бр-5. Так, у Бр-2 в лафет введен дополнительный уравновешивающий механизм, а у мортиры Бр-5 изменен профиль шпонок в тормозе отката, усилен кран заряжания и др. В связи с этим и постановка стволов различных калибров на один и тот же лафет могла быть произведена только в заводских условиях (3861).</w:t>
      </w:r>
    </w:p>
    <w:p w14:paraId="0DFC5BEF" w14:textId="77777777" w:rsidR="00665165" w:rsidRPr="00925F26" w:rsidRDefault="00665165" w:rsidP="00925F26">
      <w:pPr>
        <w:autoSpaceDE w:val="0"/>
        <w:autoSpaceDN w:val="0"/>
        <w:adjustRightInd w:val="0"/>
        <w:jc w:val="both"/>
        <w:rPr>
          <w:color w:val="000000" w:themeColor="text1"/>
          <w:sz w:val="16"/>
          <w:szCs w:val="16"/>
        </w:rPr>
      </w:pPr>
    </w:p>
    <w:p w14:paraId="255FA0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1 мая 1945 бригада А.И.Подольского успела сформировать, обучить и направить из Куйбышева в действующую армию 12 шап, вооруженных Ил-10 (337,85).</w:t>
      </w:r>
    </w:p>
    <w:p w14:paraId="60ADEB1B" w14:textId="77777777" w:rsidR="00665165" w:rsidRPr="00925F26" w:rsidRDefault="00665165" w:rsidP="00925F26">
      <w:pPr>
        <w:autoSpaceDE w:val="0"/>
        <w:autoSpaceDN w:val="0"/>
        <w:adjustRightInd w:val="0"/>
        <w:jc w:val="both"/>
        <w:rPr>
          <w:color w:val="000000" w:themeColor="text1"/>
          <w:sz w:val="16"/>
          <w:szCs w:val="16"/>
        </w:rPr>
      </w:pPr>
    </w:p>
    <w:p w14:paraId="0B21556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в Берлине соединились части 3-й советской Ударной армии, наступающие с севера, с частями 8-й гвардейской армии, наступающей с юга (4963).</w:t>
      </w:r>
    </w:p>
    <w:p w14:paraId="18D7490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18A8B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советские войска освободили концлагерь Заксенхаузен (</w:t>
      </w:r>
      <w:proofErr w:type="gramStart"/>
      <w:r w:rsidRPr="00925F26">
        <w:rPr>
          <w:color w:val="000000" w:themeColor="text1"/>
          <w:sz w:val="16"/>
          <w:szCs w:val="16"/>
        </w:rPr>
        <w:t>4963 )</w:t>
      </w:r>
      <w:proofErr w:type="gramEnd"/>
      <w:r w:rsidRPr="00925F26">
        <w:rPr>
          <w:color w:val="000000" w:themeColor="text1"/>
          <w:sz w:val="16"/>
          <w:szCs w:val="16"/>
        </w:rPr>
        <w:t>.</w:t>
      </w:r>
    </w:p>
    <w:p w14:paraId="4B0D704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D9896E0" w14:textId="77777777" w:rsidR="00A12CE2" w:rsidRPr="00925F26" w:rsidRDefault="00A12CE2" w:rsidP="00925F26">
      <w:pPr>
        <w:pStyle w:val="book"/>
        <w:ind w:firstLine="0"/>
        <w:jc w:val="both"/>
        <w:rPr>
          <w:color w:val="000000" w:themeColor="text1"/>
          <w:sz w:val="16"/>
          <w:szCs w:val="16"/>
        </w:rPr>
      </w:pPr>
      <w:r w:rsidRPr="00925F26">
        <w:rPr>
          <w:color w:val="000000" w:themeColor="text1"/>
          <w:sz w:val="16"/>
          <w:szCs w:val="16"/>
        </w:rPr>
        <w:t>На 1 мая 1945 г. в Красной армии имелось 664,5 тыс. автомобилей, из них: 58,1% — отечественного производства, 32,8% — автомобили, полученные по ленд-лизу, и 9,1% (примерно 60,5 тысячи) — трофейные (15225).</w:t>
      </w:r>
    </w:p>
    <w:p w14:paraId="41E0F5BA" w14:textId="77777777" w:rsidR="00A12CE2" w:rsidRPr="00925F26" w:rsidRDefault="00A12CE2" w:rsidP="00925F26">
      <w:pPr>
        <w:pStyle w:val="book"/>
        <w:ind w:firstLine="0"/>
        <w:jc w:val="both"/>
        <w:rPr>
          <w:color w:val="000000" w:themeColor="text1"/>
          <w:sz w:val="16"/>
          <w:szCs w:val="16"/>
        </w:rPr>
      </w:pPr>
    </w:p>
    <w:p w14:paraId="6E3FBF0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E9157CD" w14:textId="77777777" w:rsidR="00665165" w:rsidRPr="00925F26" w:rsidRDefault="00665165" w:rsidP="00925F26">
      <w:pPr>
        <w:autoSpaceDE w:val="0"/>
        <w:autoSpaceDN w:val="0"/>
        <w:adjustRightInd w:val="0"/>
        <w:jc w:val="both"/>
        <w:rPr>
          <w:iCs/>
          <w:color w:val="000000" w:themeColor="text1"/>
          <w:sz w:val="16"/>
          <w:szCs w:val="16"/>
        </w:rPr>
      </w:pPr>
    </w:p>
    <w:p w14:paraId="48E21389" w14:textId="77777777" w:rsidR="007D65F3" w:rsidRPr="00925F26" w:rsidRDefault="007D65F3" w:rsidP="00925F26">
      <w:pPr>
        <w:autoSpaceDE w:val="0"/>
        <w:autoSpaceDN w:val="0"/>
        <w:adjustRightInd w:val="0"/>
        <w:jc w:val="both"/>
        <w:rPr>
          <w:color w:val="000000" w:themeColor="text1"/>
          <w:sz w:val="16"/>
          <w:szCs w:val="16"/>
        </w:rPr>
      </w:pPr>
      <w:r w:rsidRPr="00925F26">
        <w:rPr>
          <w:color w:val="000000" w:themeColor="text1"/>
          <w:sz w:val="16"/>
          <w:szCs w:val="16"/>
        </w:rPr>
        <w:t>1 мая 1945 на КП был второй за ВОВ военный парад (1836,46).</w:t>
      </w:r>
    </w:p>
    <w:p w14:paraId="24145439" w14:textId="77777777" w:rsidR="007D65F3" w:rsidRPr="00925F26" w:rsidRDefault="007D65F3" w:rsidP="00925F26">
      <w:pPr>
        <w:autoSpaceDE w:val="0"/>
        <w:autoSpaceDN w:val="0"/>
        <w:adjustRightInd w:val="0"/>
        <w:jc w:val="both"/>
        <w:rPr>
          <w:color w:val="000000" w:themeColor="text1"/>
          <w:sz w:val="16"/>
          <w:szCs w:val="16"/>
        </w:rPr>
      </w:pPr>
    </w:p>
    <w:p w14:paraId="3AEFE64D" w14:textId="77777777" w:rsidR="004252F4" w:rsidRPr="00925F26" w:rsidRDefault="004252F4" w:rsidP="00925F26">
      <w:pPr>
        <w:jc w:val="both"/>
        <w:rPr>
          <w:color w:val="000000" w:themeColor="text1"/>
          <w:sz w:val="16"/>
          <w:szCs w:val="16"/>
        </w:rPr>
      </w:pPr>
      <w:r w:rsidRPr="00925F26">
        <w:rPr>
          <w:color w:val="000000" w:themeColor="text1"/>
          <w:sz w:val="16"/>
          <w:szCs w:val="16"/>
        </w:rPr>
        <w:t>1 мая 1945. На Красной площади впервые за годы войны состоялся первомайский военный парад (18688).</w:t>
      </w:r>
    </w:p>
    <w:p w14:paraId="2062D86A" w14:textId="77777777" w:rsidR="004252F4" w:rsidRPr="00925F26" w:rsidRDefault="004252F4" w:rsidP="00925F26">
      <w:pPr>
        <w:jc w:val="both"/>
        <w:rPr>
          <w:color w:val="000000" w:themeColor="text1"/>
          <w:sz w:val="16"/>
          <w:szCs w:val="16"/>
        </w:rPr>
      </w:pPr>
    </w:p>
    <w:p w14:paraId="0B151614" w14:textId="77777777" w:rsidR="007D65F3" w:rsidRPr="00925F26" w:rsidRDefault="007D65F3"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по радио передавался репортаж о военном параде на Красной площади в Москве, посвященном Дню международной солидарности трудящихся. Во время войны традиционные советские праздники происходили без парадов (14878).</w:t>
      </w:r>
    </w:p>
    <w:p w14:paraId="42FCC040" w14:textId="77777777" w:rsidR="007D65F3" w:rsidRPr="00925F26" w:rsidRDefault="007D65F3" w:rsidP="00925F26">
      <w:pPr>
        <w:jc w:val="both"/>
        <w:rPr>
          <w:color w:val="000000" w:themeColor="text1"/>
          <w:sz w:val="16"/>
          <w:szCs w:val="16"/>
        </w:rPr>
      </w:pPr>
    </w:p>
    <w:p w14:paraId="75683FEC" w14:textId="77777777" w:rsidR="007D65F3" w:rsidRPr="00925F26" w:rsidRDefault="007D65F3"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в приказе И.В.Сталина впервые упомянуто понятие "город-герой" (тогда - Ленинград, Сталинград, Севастополь и Одесса) (14878).</w:t>
      </w:r>
    </w:p>
    <w:p w14:paraId="3B69376C" w14:textId="77777777" w:rsidR="007D65F3" w:rsidRPr="00925F26" w:rsidRDefault="007D65F3" w:rsidP="00925F26">
      <w:pPr>
        <w:jc w:val="both"/>
        <w:rPr>
          <w:color w:val="000000" w:themeColor="text1"/>
          <w:sz w:val="16"/>
          <w:szCs w:val="16"/>
        </w:rPr>
      </w:pPr>
    </w:p>
    <w:p w14:paraId="4E7FF9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Севастополь стал городом-героем (3398,167).</w:t>
      </w:r>
    </w:p>
    <w:p w14:paraId="1E8B3133" w14:textId="77777777" w:rsidR="00665165" w:rsidRPr="00925F26" w:rsidRDefault="00665165" w:rsidP="00925F26">
      <w:pPr>
        <w:autoSpaceDE w:val="0"/>
        <w:autoSpaceDN w:val="0"/>
        <w:adjustRightInd w:val="0"/>
        <w:jc w:val="both"/>
        <w:rPr>
          <w:color w:val="000000" w:themeColor="text1"/>
          <w:sz w:val="16"/>
          <w:szCs w:val="16"/>
        </w:rPr>
      </w:pPr>
    </w:p>
    <w:p w14:paraId="5CEB368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в приказе Сталина впервые упомянуто понятие “город-герой” (тогда - Ленинград, Сталинград, Севастополь и Одесса) (4962).</w:t>
      </w:r>
    </w:p>
    <w:p w14:paraId="46980AC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E222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вышло Постановление ГКО № 8374 О мерах по обеспечению пиломатериалами производства хлебных щитов. РГАНИР, Фонд ГКО, д. 411, лл. 93 (11012).</w:t>
      </w:r>
    </w:p>
    <w:p w14:paraId="6B420C11" w14:textId="77777777" w:rsidR="00665165" w:rsidRPr="00925F26" w:rsidRDefault="00665165" w:rsidP="00925F26">
      <w:pPr>
        <w:autoSpaceDE w:val="0"/>
        <w:autoSpaceDN w:val="0"/>
        <w:adjustRightInd w:val="0"/>
        <w:jc w:val="both"/>
        <w:rPr>
          <w:color w:val="000000" w:themeColor="text1"/>
          <w:sz w:val="16"/>
          <w:szCs w:val="16"/>
        </w:rPr>
      </w:pPr>
    </w:p>
    <w:p w14:paraId="5FD5C7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вышло Распоряжение ГКО № 8375. О строительстве второго домостроительного комбината в Черновицкой обл. РГАНИР, Фонд ГКО, д. 411, лл. 94 (11012).</w:t>
      </w:r>
    </w:p>
    <w:p w14:paraId="27611B1D" w14:textId="77777777" w:rsidR="00665165" w:rsidRPr="00925F26" w:rsidRDefault="00665165" w:rsidP="00925F26">
      <w:pPr>
        <w:autoSpaceDE w:val="0"/>
        <w:autoSpaceDN w:val="0"/>
        <w:adjustRightInd w:val="0"/>
        <w:jc w:val="both"/>
        <w:rPr>
          <w:color w:val="000000" w:themeColor="text1"/>
          <w:sz w:val="16"/>
          <w:szCs w:val="16"/>
        </w:rPr>
      </w:pPr>
    </w:p>
    <w:p w14:paraId="5359F95B" w14:textId="77777777" w:rsidR="007D65F3" w:rsidRPr="00925F26" w:rsidRDefault="007D65F3"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на Одере погибла отважный снайпер, инструктор ДСО «Спартак» Н.П.Петрова, полный кавалер трех степеней ордена «Славы» (14878).</w:t>
      </w:r>
    </w:p>
    <w:p w14:paraId="3DBFFF63" w14:textId="77777777" w:rsidR="007D65F3" w:rsidRPr="00925F26" w:rsidRDefault="007D65F3" w:rsidP="00925F26">
      <w:pPr>
        <w:jc w:val="both"/>
        <w:rPr>
          <w:color w:val="000000" w:themeColor="text1"/>
          <w:sz w:val="16"/>
          <w:szCs w:val="16"/>
        </w:rPr>
      </w:pPr>
    </w:p>
    <w:p w14:paraId="09B53EF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93CBCC8" w14:textId="77777777" w:rsidR="00665165" w:rsidRPr="00925F26" w:rsidRDefault="00665165" w:rsidP="00925F26">
      <w:pPr>
        <w:autoSpaceDE w:val="0"/>
        <w:autoSpaceDN w:val="0"/>
        <w:adjustRightInd w:val="0"/>
        <w:jc w:val="both"/>
        <w:rPr>
          <w:iCs/>
          <w:color w:val="000000" w:themeColor="text1"/>
          <w:sz w:val="16"/>
          <w:szCs w:val="16"/>
        </w:rPr>
      </w:pPr>
    </w:p>
    <w:p w14:paraId="7A230996" w14:textId="77777777" w:rsidR="00A12CE2" w:rsidRPr="00925F26" w:rsidRDefault="00A12CE2"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три опытных палубных истребителя-бомбардировщика «FR-1» «Файрболла» подняли на борт авианосца «Рейнджер» для проведения эксплуатационных испытаний. Но после победы над Японией США уже не нуждались в большом количестве новых истребителей, да и чисто реактивные самолеты оказались более перспективными. Серийное производство было остановлено, а заказ - аннулирован. К этому моменту кампания «Райан» успела построить 66 «FR-1» (14878) (14878).</w:t>
      </w:r>
    </w:p>
    <w:p w14:paraId="2D33C3E4" w14:textId="77777777" w:rsidR="00A12CE2" w:rsidRPr="00925F26" w:rsidRDefault="00A12CE2" w:rsidP="00925F26">
      <w:pPr>
        <w:jc w:val="both"/>
        <w:rPr>
          <w:color w:val="000000" w:themeColor="text1"/>
          <w:sz w:val="16"/>
          <w:szCs w:val="16"/>
        </w:rPr>
      </w:pPr>
    </w:p>
    <w:p w14:paraId="04D94D31" w14:textId="77777777" w:rsidR="00524AEC" w:rsidRPr="00925F26" w:rsidRDefault="00524AEC" w:rsidP="00925F26">
      <w:pPr>
        <w:jc w:val="both"/>
        <w:rPr>
          <w:color w:val="000000" w:themeColor="text1"/>
          <w:sz w:val="16"/>
          <w:szCs w:val="16"/>
        </w:rPr>
      </w:pPr>
      <w:r w:rsidRPr="00925F26">
        <w:rPr>
          <w:color w:val="000000" w:themeColor="text1"/>
          <w:sz w:val="16"/>
          <w:szCs w:val="16"/>
        </w:rPr>
        <w:t>1 мая 1945 самолет ВМС США со смешанной двигательной установкой Ryan FR Fireball становится первым самолетом, включающий реактивный двигатель на борту авианосцев (20371).</w:t>
      </w:r>
    </w:p>
    <w:p w14:paraId="1F731331" w14:textId="77777777" w:rsidR="00524AEC" w:rsidRPr="00925F26" w:rsidRDefault="00524AEC" w:rsidP="00925F26">
      <w:pPr>
        <w:jc w:val="both"/>
        <w:rPr>
          <w:color w:val="000000" w:themeColor="text1"/>
          <w:sz w:val="16"/>
          <w:szCs w:val="16"/>
        </w:rPr>
      </w:pPr>
    </w:p>
    <w:p w14:paraId="35EEDA2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американцами арестован немецкий фельдмаршал Г. фон Рунштедт (4962).</w:t>
      </w:r>
    </w:p>
    <w:p w14:paraId="2734836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4A0FF5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Немецкая армия в Италии капитулировала перед союзниками (</w:t>
      </w:r>
      <w:proofErr w:type="gramStart"/>
      <w:r w:rsidRPr="00925F26">
        <w:rPr>
          <w:color w:val="000000" w:themeColor="text1"/>
          <w:sz w:val="16"/>
          <w:szCs w:val="16"/>
        </w:rPr>
        <w:t>4963 )</w:t>
      </w:r>
      <w:proofErr w:type="gramEnd"/>
      <w:r w:rsidRPr="00925F26">
        <w:rPr>
          <w:color w:val="000000" w:themeColor="text1"/>
          <w:sz w:val="16"/>
          <w:szCs w:val="16"/>
        </w:rPr>
        <w:t>.</w:t>
      </w:r>
    </w:p>
    <w:p w14:paraId="4F6FD9E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1069EE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покончил с собой, предварительно убив свою семью, нацистский министр пропаганды Й. Геббельс (4962).</w:t>
      </w:r>
    </w:p>
    <w:p w14:paraId="460BAC2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D968DB" w14:textId="77777777" w:rsidR="007D65F3" w:rsidRPr="00925F26" w:rsidRDefault="007D65F3"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покончил с собой, предварительно убив свою семью, нацистский министр пропаганды Й.Геббельс (родился в 1897 году), идеолог фашизма, один из главных нацистских военных преступников. Родился в Ринеланде, стал журналистом. В 1922 году защитил докторскую диссертацию по истории романтической драмы. Пьесы Геббельса «Иуда Искариот» и «Странник» были отвергнуты театрами, его статьи не публиковались в газетах. Самый крупный акт самовыражения Геббельса - роман «Михаэль, или Немецкая судьба на страничках дневника» - увидел свет несколько позднее, при поддержке нацистской партии, к которой Геббельс примкнул в том же году. В 1927-1933 годах Геббельс - издатель нацистской газеты «Ангрифф». В 1928 году возглавил в нацистской партии работу по ведению пропаганды. После захвата фашистами власти в 1933 году - имперский министр народного просвещения и пропаганды. Фашистская пропаганда Геббельса была основана на проповеди расизма, восхвалении насилия и захватнических войн. В мае 1933 года во всех университетских городах Германии запылали костры из книг. Эту акцию организовал Геббельс. А в 1938 году он устроил "Хрустальную ночь" - грандиозный еврейский погром, прокатившийся по всей стране. В августе 1944 года Геббельс был назначен особым уполномоченным по ведению тотальной войны, ему было дано право призывать на войну любого здорового человека в рейхе. В последние дни Берлинского сражения перебрался в бункер фюрера. После вступления советских войск в Берлин 1 мая 1945 года Йозеф Геббельс и его жена Магда покончили жизнь самоубийством, предварительно отравив синильной кислотой шестерых своих детей (14878).</w:t>
      </w:r>
    </w:p>
    <w:p w14:paraId="579874F8" w14:textId="77777777" w:rsidR="007D65F3" w:rsidRPr="00925F26" w:rsidRDefault="007D65F3" w:rsidP="00925F26">
      <w:pPr>
        <w:jc w:val="both"/>
        <w:rPr>
          <w:color w:val="000000" w:themeColor="text1"/>
          <w:sz w:val="16"/>
          <w:szCs w:val="16"/>
        </w:rPr>
      </w:pPr>
    </w:p>
    <w:p w14:paraId="0ECC3F0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1 May 1945 The suicide of Hitler (270).</w:t>
      </w:r>
    </w:p>
    <w:p w14:paraId="4C9A25AA" w14:textId="77777777" w:rsidR="00665165" w:rsidRPr="00925F26" w:rsidRDefault="00665165" w:rsidP="00925F26">
      <w:pPr>
        <w:autoSpaceDE w:val="0"/>
        <w:autoSpaceDN w:val="0"/>
        <w:adjustRightInd w:val="0"/>
        <w:jc w:val="both"/>
        <w:rPr>
          <w:color w:val="000000" w:themeColor="text1"/>
          <w:sz w:val="16"/>
          <w:szCs w:val="16"/>
          <w:lang w:val="en-US"/>
        </w:rPr>
      </w:pPr>
    </w:p>
    <w:p w14:paraId="50A3C0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А.Г. совершил самоубийство вместе с женой - Е.Браун (270).</w:t>
      </w:r>
    </w:p>
    <w:p w14:paraId="352A39B9" w14:textId="77777777" w:rsidR="00665165" w:rsidRPr="00925F26" w:rsidRDefault="00665165" w:rsidP="00925F26">
      <w:pPr>
        <w:autoSpaceDE w:val="0"/>
        <w:autoSpaceDN w:val="0"/>
        <w:adjustRightInd w:val="0"/>
        <w:jc w:val="both"/>
        <w:rPr>
          <w:color w:val="000000" w:themeColor="text1"/>
          <w:sz w:val="16"/>
          <w:szCs w:val="16"/>
        </w:rPr>
      </w:pPr>
    </w:p>
    <w:p w14:paraId="2FF52F7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01 1945 As word of Hitler's death reaches the front, German resistance comes to an almost complete halt. Massive numbers of German soldiers stream westward to surrender and escape Soviet forces (1242).</w:t>
      </w:r>
    </w:p>
    <w:p w14:paraId="6C2AF073" w14:textId="77777777" w:rsidR="00665165" w:rsidRPr="00925F26" w:rsidRDefault="00665165" w:rsidP="00925F26">
      <w:pPr>
        <w:autoSpaceDE w:val="0"/>
        <w:autoSpaceDN w:val="0"/>
        <w:adjustRightInd w:val="0"/>
        <w:jc w:val="both"/>
        <w:rPr>
          <w:color w:val="000000" w:themeColor="text1"/>
          <w:sz w:val="16"/>
          <w:szCs w:val="16"/>
          <w:lang w:val="en-US"/>
        </w:rPr>
      </w:pPr>
    </w:p>
    <w:p w14:paraId="46574E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когда весть о смерти А.Г. достигла армии, немцы устремились на запад сдаваться американцам (1242).</w:t>
      </w:r>
    </w:p>
    <w:p w14:paraId="1E5E4168" w14:textId="77777777" w:rsidR="00665165" w:rsidRPr="00925F26" w:rsidRDefault="00665165" w:rsidP="00925F26">
      <w:pPr>
        <w:autoSpaceDE w:val="0"/>
        <w:autoSpaceDN w:val="0"/>
        <w:adjustRightInd w:val="0"/>
        <w:jc w:val="both"/>
        <w:rPr>
          <w:color w:val="000000" w:themeColor="text1"/>
          <w:sz w:val="16"/>
          <w:szCs w:val="16"/>
        </w:rPr>
      </w:pPr>
    </w:p>
    <w:p w14:paraId="20FFE3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 а Дениц стал Фюрером Германского Рейха и был им до 23 мая 1945 (2248,6). Сопротивление на западе почти прекратилось и немецкие войска стремились сдаться союзникам, чтобы не сдаваться русским (1242).</w:t>
      </w:r>
    </w:p>
    <w:p w14:paraId="13C128B2" w14:textId="77777777" w:rsidR="00665165" w:rsidRPr="00925F26" w:rsidRDefault="00665165" w:rsidP="00925F26">
      <w:pPr>
        <w:autoSpaceDE w:val="0"/>
        <w:autoSpaceDN w:val="0"/>
        <w:adjustRightInd w:val="0"/>
        <w:jc w:val="both"/>
        <w:rPr>
          <w:color w:val="000000" w:themeColor="text1"/>
          <w:sz w:val="16"/>
          <w:szCs w:val="16"/>
        </w:rPr>
      </w:pPr>
    </w:p>
    <w:p w14:paraId="7442EEF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рейхсканцлером Германии вместо Гитлера стал адмирал Карл Дениц, призвавший немцев сражаться до конца (4962).</w:t>
      </w:r>
    </w:p>
    <w:p w14:paraId="46D612F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DA30944" w14:textId="77777777" w:rsidR="00A12CE2" w:rsidRPr="00925F26" w:rsidRDefault="00A12CE2"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начальник Генерального штаба немецких сухопутных войск генерал Кребс по договоренности с советским командованием перешел линию фронта в Берлине и был принят командующим 8-й гвардейской армии генералом В.И.Чуйковым. Кребс сообщил о самоубийстве Гитлера и передал список нового германского правительства во главе с Й.Геббельсом, а также предложение о временном прекращении военных действий и начале мирных переговоров. Это предложение было отвергнуто советским командованием (14878).</w:t>
      </w:r>
    </w:p>
    <w:p w14:paraId="12A746A1" w14:textId="77777777" w:rsidR="00A12CE2" w:rsidRPr="00925F26" w:rsidRDefault="00A12CE2" w:rsidP="00925F26">
      <w:pPr>
        <w:jc w:val="both"/>
        <w:rPr>
          <w:color w:val="000000" w:themeColor="text1"/>
          <w:sz w:val="16"/>
          <w:szCs w:val="16"/>
        </w:rPr>
      </w:pPr>
    </w:p>
    <w:p w14:paraId="364D488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мая 1945 югославские партизаны И. Тито захватили Триест на несколько часов раньше прибывших туда английских войск (4962).</w:t>
      </w:r>
    </w:p>
    <w:p w14:paraId="4DE5670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4AE192F" w14:textId="77777777" w:rsidR="00A12CE2" w:rsidRPr="00925F26" w:rsidRDefault="00A12CE2"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немецкая армия в Италии капитулировала перед союзниками (14878).</w:t>
      </w:r>
    </w:p>
    <w:p w14:paraId="56090F44" w14:textId="77777777" w:rsidR="00A12CE2" w:rsidRPr="00925F26" w:rsidRDefault="00A12CE2" w:rsidP="00925F26">
      <w:pPr>
        <w:jc w:val="both"/>
        <w:rPr>
          <w:color w:val="000000" w:themeColor="text1"/>
          <w:sz w:val="16"/>
          <w:szCs w:val="16"/>
        </w:rPr>
      </w:pPr>
    </w:p>
    <w:p w14:paraId="349B92D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1st, 1945: Cessation of hostilities and surrender of all German forces in Italy as a result of unauthorized secret negotiations with the Allies by the German C-in-C, General von Vietinghoff. and SS General Wolff. Grossadmiral Donitz, following the death of Hitler, assumes his duties as the new German head of state. He orders utmost resistance on all fronts, especially in the East where tens of thousands of German civilians are still trying to escape from the stampeding Red Army. In the battle of Berlin, the remaining pockets of German resistance in the center of the city are crumbling. General Krebs, head of the OKH after Guderian's dismissal on March 26, begins negotiations with General Chuikov, CO of Eighth Guards Army, about the Soviet terms for a surrender. Goebbels and his wife, after poisoning their six children, commit suicide in the Fuhrerbunker (3819).</w:t>
      </w:r>
    </w:p>
    <w:p w14:paraId="4F5C6A70" w14:textId="77777777" w:rsidR="00665165" w:rsidRPr="00925F26" w:rsidRDefault="00665165" w:rsidP="00925F26">
      <w:pPr>
        <w:autoSpaceDE w:val="0"/>
        <w:autoSpaceDN w:val="0"/>
        <w:adjustRightInd w:val="0"/>
        <w:jc w:val="both"/>
        <w:rPr>
          <w:color w:val="000000" w:themeColor="text1"/>
          <w:sz w:val="16"/>
          <w:szCs w:val="16"/>
          <w:lang w:val="en-US"/>
        </w:rPr>
      </w:pPr>
    </w:p>
    <w:p w14:paraId="276C36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мая 1945 немецкие части в Италии прекратили сопротивление и сдались в результате секретных несанкционированных переговоров с союзниками. Кребс начал переговоры с Чуйковым (3819).</w:t>
      </w:r>
    </w:p>
    <w:p w14:paraId="7D8540E6" w14:textId="77777777" w:rsidR="00665165" w:rsidRPr="00925F26" w:rsidRDefault="00665165" w:rsidP="00925F26">
      <w:pPr>
        <w:autoSpaceDE w:val="0"/>
        <w:autoSpaceDN w:val="0"/>
        <w:adjustRightInd w:val="0"/>
        <w:jc w:val="both"/>
        <w:rPr>
          <w:color w:val="000000" w:themeColor="text1"/>
          <w:sz w:val="16"/>
          <w:szCs w:val="16"/>
        </w:rPr>
      </w:pPr>
    </w:p>
    <w:p w14:paraId="7C17A6F8" w14:textId="77777777" w:rsidR="00A12CE2" w:rsidRPr="00925F26" w:rsidRDefault="00A12CE2"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в Португалии по случаю смерти Адольфа Гитлера объявлен траур (14878).</w:t>
      </w:r>
    </w:p>
    <w:p w14:paraId="326D7C32" w14:textId="77777777" w:rsidR="00A12CE2" w:rsidRPr="00925F26" w:rsidRDefault="00A12CE2" w:rsidP="00925F26">
      <w:pPr>
        <w:jc w:val="both"/>
        <w:rPr>
          <w:color w:val="000000" w:themeColor="text1"/>
          <w:sz w:val="16"/>
          <w:szCs w:val="16"/>
        </w:rPr>
      </w:pPr>
    </w:p>
    <w:p w14:paraId="2D4246A2" w14:textId="77777777" w:rsidR="00A12CE2" w:rsidRPr="00925F26" w:rsidRDefault="00A12CE2" w:rsidP="00925F26">
      <w:pPr>
        <w:jc w:val="both"/>
        <w:rPr>
          <w:color w:val="000000" w:themeColor="text1"/>
          <w:sz w:val="16"/>
          <w:szCs w:val="16"/>
        </w:rPr>
      </w:pPr>
      <w:r w:rsidRPr="00925F26">
        <w:rPr>
          <w:bCs/>
          <w:color w:val="000000" w:themeColor="text1"/>
          <w:sz w:val="16"/>
          <w:szCs w:val="16"/>
        </w:rPr>
        <w:t>1 мая</w:t>
      </w:r>
      <w:r w:rsidRPr="00925F26">
        <w:rPr>
          <w:color w:val="000000" w:themeColor="text1"/>
          <w:sz w:val="16"/>
          <w:szCs w:val="16"/>
        </w:rPr>
        <w:t xml:space="preserve"> в 1945 году утверждение Европейской консультативной комиссией Соглашения о контрольном механизме в Германии (14878).</w:t>
      </w:r>
    </w:p>
    <w:p w14:paraId="629C7EBB" w14:textId="77777777" w:rsidR="00A12CE2" w:rsidRPr="00925F26" w:rsidRDefault="00A12CE2" w:rsidP="00925F26">
      <w:pPr>
        <w:jc w:val="both"/>
        <w:rPr>
          <w:color w:val="000000" w:themeColor="text1"/>
          <w:sz w:val="16"/>
          <w:szCs w:val="16"/>
        </w:rPr>
      </w:pPr>
    </w:p>
    <w:p w14:paraId="28B6A985" w14:textId="77777777" w:rsidR="00A12CE2" w:rsidRPr="00925F26" w:rsidRDefault="00A12CE2" w:rsidP="00925F26">
      <w:pPr>
        <w:autoSpaceDE w:val="0"/>
        <w:autoSpaceDN w:val="0"/>
        <w:adjustRightInd w:val="0"/>
        <w:jc w:val="both"/>
        <w:rPr>
          <w:color w:val="000000" w:themeColor="text1"/>
          <w:sz w:val="16"/>
          <w:szCs w:val="16"/>
        </w:rPr>
      </w:pPr>
      <w:r w:rsidRPr="00925F26">
        <w:rPr>
          <w:color w:val="000000" w:themeColor="text1"/>
          <w:sz w:val="16"/>
          <w:szCs w:val="16"/>
        </w:rPr>
        <w:t>1 мая 1945 массированной бомбардировкой началась операция Дракула - наступление на столицу Бирмы - Рангун и его освободили за 2 дня (2438,101).</w:t>
      </w:r>
    </w:p>
    <w:p w14:paraId="02922824" w14:textId="77777777" w:rsidR="00A12CE2" w:rsidRPr="00925F26" w:rsidRDefault="00A12CE2" w:rsidP="00925F26">
      <w:pPr>
        <w:autoSpaceDE w:val="0"/>
        <w:autoSpaceDN w:val="0"/>
        <w:adjustRightInd w:val="0"/>
        <w:jc w:val="both"/>
        <w:rPr>
          <w:color w:val="000000" w:themeColor="text1"/>
          <w:sz w:val="16"/>
          <w:szCs w:val="16"/>
        </w:rPr>
      </w:pPr>
    </w:p>
    <w:p w14:paraId="1428413D" w14:textId="77777777" w:rsidR="00A92DB9" w:rsidRPr="00925F26" w:rsidRDefault="00A92DB9" w:rsidP="00A92DB9">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75B839F" w14:textId="77777777" w:rsidR="00A92DB9" w:rsidRPr="00925F26" w:rsidRDefault="00A92DB9" w:rsidP="00A92DB9">
      <w:pPr>
        <w:autoSpaceDE w:val="0"/>
        <w:autoSpaceDN w:val="0"/>
        <w:adjustRightInd w:val="0"/>
        <w:jc w:val="both"/>
        <w:rPr>
          <w:iCs/>
          <w:color w:val="000000" w:themeColor="text1"/>
          <w:sz w:val="16"/>
          <w:szCs w:val="16"/>
        </w:rPr>
      </w:pPr>
    </w:p>
    <w:p w14:paraId="215482CD" w14:textId="77777777" w:rsidR="00A92DB9" w:rsidRPr="001A0BAA" w:rsidRDefault="00A92DB9" w:rsidP="00A92DB9">
      <w:pPr>
        <w:jc w:val="both"/>
        <w:rPr>
          <w:color w:val="0070C0"/>
          <w:sz w:val="16"/>
          <w:szCs w:val="16"/>
        </w:rPr>
      </w:pPr>
      <w:r w:rsidRPr="001A0BAA">
        <w:rPr>
          <w:color w:val="0070C0"/>
          <w:sz w:val="16"/>
          <w:szCs w:val="16"/>
        </w:rPr>
        <w:t>2 мая 1945 г. из Москвы вылетел «дуглас», взявший курс на Берлин. На борту находились два десятка военных, включая двух генералов. На самом деле это были такие же ряженые, как Сергей Королёв и Ко. На гражданских униформа сидела плохо, а главное, что бросалось в глаза – отсутствие орденов. В нашей зоне оккупации встретить боевого старшего офицера, я уж не говорю о генерале, без «иконостаса» орденов и медалей было невозможно, а на грудь «ряженых» наши особисты не догадались повесить хотя бы медальку «За спасение утопающего».</w:t>
      </w:r>
    </w:p>
    <w:p w14:paraId="422AC605" w14:textId="77777777" w:rsidR="00A92DB9" w:rsidRPr="001A0BAA" w:rsidRDefault="00A92DB9" w:rsidP="00A92DB9">
      <w:pPr>
        <w:jc w:val="both"/>
        <w:rPr>
          <w:color w:val="0070C0"/>
          <w:sz w:val="16"/>
          <w:szCs w:val="16"/>
        </w:rPr>
      </w:pPr>
      <w:r w:rsidRPr="001A0BAA">
        <w:rPr>
          <w:color w:val="0070C0"/>
          <w:sz w:val="16"/>
          <w:szCs w:val="16"/>
        </w:rPr>
        <w:t>Среди «ряженых» в этом самолёте были физики Ю. Б. Харитон, И. К. Кикоин, Л. А. Арцимович и др. Возглавлял группу А. П. Завенягин. Много позже Кикоин напишет: «Какого-либо точного плана действий у группы, похоже, не было. О предстоящей поездке участники узнали в самом конце апреля. Посвящен в предстоящую задачу из учёных был лишь Ю. Б. Харитон, да и то в самом общем виде, а именно: «…посмотреть каково же состояние [дел], что удастся найти [и] в какой мере немцы продвинулись в разработке ядерного оружия»</w:t>
      </w:r>
      <w:bookmarkStart w:id="22" w:name="n_52"/>
      <w:r w:rsidRPr="001A0BAA">
        <w:rPr>
          <w:color w:val="0070C0"/>
          <w:sz w:val="16"/>
          <w:szCs w:val="16"/>
        </w:rPr>
        <w:fldChar w:fldCharType="begin"/>
      </w:r>
      <w:r w:rsidRPr="001A0BAA">
        <w:rPr>
          <w:color w:val="0070C0"/>
          <w:sz w:val="16"/>
          <w:szCs w:val="16"/>
        </w:rPr>
        <w:instrText>HYPERLINK "https://www.rulit.me/books/ohota-za-oruzhiem-neizvestnye-stranicy-holodnoj-vojny-1945-1991-read-835850-83.html" \l "read_n_52"</w:instrText>
      </w:r>
      <w:r w:rsidRPr="001A0BAA">
        <w:rPr>
          <w:color w:val="0070C0"/>
          <w:sz w:val="16"/>
          <w:szCs w:val="16"/>
        </w:rPr>
      </w:r>
      <w:r w:rsidRPr="001A0BAA">
        <w:rPr>
          <w:color w:val="0070C0"/>
          <w:sz w:val="16"/>
          <w:szCs w:val="16"/>
        </w:rPr>
        <w:fldChar w:fldCharType="separate"/>
      </w:r>
      <w:r w:rsidRPr="001A0BAA">
        <w:rPr>
          <w:rStyle w:val="a5"/>
          <w:color w:val="0070C0"/>
          <w:sz w:val="16"/>
          <w:szCs w:val="16"/>
          <w:vertAlign w:val="superscript"/>
        </w:rPr>
        <w:t>[52]</w:t>
      </w:r>
      <w:r w:rsidRPr="001A0BAA">
        <w:rPr>
          <w:color w:val="0070C0"/>
          <w:sz w:val="16"/>
          <w:szCs w:val="16"/>
        </w:rPr>
        <w:fldChar w:fldCharType="end"/>
      </w:r>
      <w:bookmarkEnd w:id="22"/>
      <w:r w:rsidRPr="001A0BAA">
        <w:rPr>
          <w:color w:val="0070C0"/>
          <w:sz w:val="16"/>
          <w:szCs w:val="16"/>
        </w:rPr>
        <w:t>.</w:t>
      </w:r>
    </w:p>
    <w:p w14:paraId="7DFB7598" w14:textId="77777777" w:rsidR="00A92DB9" w:rsidRPr="001A0BAA" w:rsidRDefault="00A92DB9" w:rsidP="00A92DB9">
      <w:pPr>
        <w:jc w:val="both"/>
        <w:rPr>
          <w:color w:val="0070C0"/>
          <w:sz w:val="16"/>
          <w:szCs w:val="16"/>
        </w:rPr>
      </w:pPr>
      <w:r w:rsidRPr="001A0BAA">
        <w:rPr>
          <w:color w:val="0070C0"/>
          <w:sz w:val="16"/>
          <w:szCs w:val="16"/>
        </w:rPr>
        <w:t>На самом же деле ни Кикоин, ни Харитон не были посвящены в планы Берии. Возглавлявший группу Завенягин был замнаркома внутренних дел, то есть замом Берии. Он отвечал за захват германских физиков-ядерщиков и специалистов по смежным отраслям. Руководить демонтажем и перевозкой оборудования с германских предприятий, связанных с ядерным проектом, был назначен замнаркома внутренних дел С. Н. Круглов. Непосредственно погрузкой и отправкой людей и оборудования занимался комиссар госбезопасности 2-го ранга И. А. Серов.</w:t>
      </w:r>
    </w:p>
    <w:p w14:paraId="32DB48DF" w14:textId="77777777" w:rsidR="00A92DB9" w:rsidRPr="001A0BAA" w:rsidRDefault="00A92DB9" w:rsidP="00A92DB9">
      <w:pPr>
        <w:jc w:val="both"/>
        <w:rPr>
          <w:color w:val="0070C0"/>
          <w:sz w:val="16"/>
          <w:szCs w:val="16"/>
        </w:rPr>
      </w:pPr>
      <w:r w:rsidRPr="001A0BAA">
        <w:rPr>
          <w:color w:val="0070C0"/>
          <w:sz w:val="16"/>
          <w:szCs w:val="16"/>
        </w:rPr>
        <w:t>В Берлин группа прибыла 3 мая 1945 г., а уже на следующее утро наши учёные приступили к работе, затянувшейся на полтора месяца. Обследование группа начала с Института кайзера Вильгельма. Институт этот ещё в феврале 1945 г. был эвакуирован в Тюрингию и там захвачен американцами. Однако часть оборудования и документации досталась нашим учёным (25184).</w:t>
      </w:r>
    </w:p>
    <w:p w14:paraId="21876835" w14:textId="77777777" w:rsidR="00A92DB9" w:rsidRPr="001A0BAA" w:rsidRDefault="00A92DB9" w:rsidP="00A92DB9">
      <w:pPr>
        <w:jc w:val="both"/>
        <w:rPr>
          <w:color w:val="0070C0"/>
          <w:sz w:val="16"/>
          <w:szCs w:val="16"/>
        </w:rPr>
      </w:pPr>
    </w:p>
    <w:p w14:paraId="3C1A91D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25AD29B" w14:textId="77777777" w:rsidR="00665165" w:rsidRPr="00925F26" w:rsidRDefault="00665165" w:rsidP="00925F26">
      <w:pPr>
        <w:autoSpaceDE w:val="0"/>
        <w:autoSpaceDN w:val="0"/>
        <w:adjustRightInd w:val="0"/>
        <w:jc w:val="both"/>
        <w:rPr>
          <w:iCs/>
          <w:color w:val="000000" w:themeColor="text1"/>
          <w:sz w:val="16"/>
          <w:szCs w:val="16"/>
        </w:rPr>
      </w:pPr>
    </w:p>
    <w:p w14:paraId="514E76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г., с одного из подмосковных аэродромов поднялся самолёт, взявший курс на уже поверженный Берлин. Среди его пассажиров были И.К. Кикоин, Ю.Б. Харитон, Л.А. Арцимович и Л.М. Неменов. Присутствие на борту Неменова, впрочем, вызывает сомнения, поскольку находится в противоречии как с собственными воспоминаниями последнего, так и с документами, из которых следует, что он вылетел в Берлин вместе с Д.Л. Симоненко 16 мая. Как бы то ни было, но возглавлял группу А.П. Завенягин, а В.А. Махнев, по выражению Юлия Борисовича, был „кем-то вроде секретаря при нём“. На этих двоих была генеральская форма. Остальные были облачены в полковничью. Как мы уже отметили, следующим самолетом в Берлин летели Д.Л. Симоненко и Л.М. Неменов. Первый был в чине майора, звание второго наша история не сохранила (11291).</w:t>
      </w:r>
    </w:p>
    <w:p w14:paraId="4A305EEE" w14:textId="77777777" w:rsidR="00665165" w:rsidRPr="00925F26" w:rsidRDefault="00665165" w:rsidP="00925F26">
      <w:pPr>
        <w:autoSpaceDE w:val="0"/>
        <w:autoSpaceDN w:val="0"/>
        <w:adjustRightInd w:val="0"/>
        <w:jc w:val="both"/>
        <w:rPr>
          <w:bCs/>
          <w:color w:val="000000" w:themeColor="text1"/>
          <w:sz w:val="16"/>
          <w:szCs w:val="16"/>
        </w:rPr>
      </w:pPr>
    </w:p>
    <w:p w14:paraId="3CB69CB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4A7D50D" w14:textId="77777777" w:rsidR="00665165" w:rsidRPr="00925F26" w:rsidRDefault="00665165" w:rsidP="00925F26">
      <w:pPr>
        <w:autoSpaceDE w:val="0"/>
        <w:autoSpaceDN w:val="0"/>
        <w:adjustRightInd w:val="0"/>
        <w:jc w:val="both"/>
        <w:rPr>
          <w:iCs/>
          <w:color w:val="000000" w:themeColor="text1"/>
          <w:sz w:val="16"/>
          <w:szCs w:val="16"/>
        </w:rPr>
      </w:pPr>
    </w:p>
    <w:p w14:paraId="75A53E1E"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оперативная сводка Совинформбюро:</w:t>
      </w:r>
    </w:p>
    <w:p w14:paraId="5F4D0267" w14:textId="77777777" w:rsidR="002471D5" w:rsidRPr="00925F26" w:rsidRDefault="002471D5" w:rsidP="00925F26">
      <w:pPr>
        <w:jc w:val="both"/>
        <w:rPr>
          <w:color w:val="000000" w:themeColor="text1"/>
          <w:sz w:val="16"/>
          <w:szCs w:val="16"/>
        </w:rPr>
      </w:pPr>
      <w:r w:rsidRPr="00925F26">
        <w:rPr>
          <w:color w:val="000000" w:themeColor="text1"/>
          <w:sz w:val="16"/>
          <w:szCs w:val="16"/>
        </w:rPr>
        <w:t>«Войска 1-го Белорусского фронта под командованием Маршала Советского Союза Жукова, при содействии войск 1-го Украинского фронта под командованием Маршала Советского Союза Конева, после упорных уличных боёв завершили разгром Берлинской группы немецких войск и сегодня, 2 мая, полностью овладели столицей Германии городом Берлин — центром немецкого империализма и очагом немецкой агрессии.</w:t>
      </w:r>
    </w:p>
    <w:p w14:paraId="28620CD9" w14:textId="77777777" w:rsidR="002471D5" w:rsidRPr="00925F26" w:rsidRDefault="002471D5" w:rsidP="00925F26">
      <w:pPr>
        <w:jc w:val="both"/>
        <w:rPr>
          <w:color w:val="000000" w:themeColor="text1"/>
          <w:sz w:val="16"/>
          <w:szCs w:val="16"/>
        </w:rPr>
      </w:pPr>
      <w:r w:rsidRPr="00925F26">
        <w:rPr>
          <w:color w:val="000000" w:themeColor="text1"/>
          <w:sz w:val="16"/>
          <w:szCs w:val="16"/>
        </w:rPr>
        <w:t>Берлинский гарнизон, оборонявший город, во главе с начальником обороны Берлина генералом от артиллерии Вейдлингом и его штабом, 2 мая в 15 часов прекратил сопротивление, сложил оружие и сдался в плен.</w:t>
      </w:r>
    </w:p>
    <w:p w14:paraId="5493BC18"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к 21 часу нашими войсками взято в плен в городе Берлине более 70.000 немецких солдат и офицеров. В числе пленных: генералы для особых поручений при начальнике обороны Берлина генерал-лейтенант Курт Веташ и генерал-лейтенант Вальтер Шмидт-Данкварт, представитель ставки вице-адмирал Фосс, начальник штаба обороны Берлина полковник Ганс Рехиор, начальник штаба 56 немецкого танкового корпуса полковник Теодор фон Дифвинг. Взяты также в плен первый заместитель Геббельса по пропаганде и печати—доктор философии и истории Фриче, руководитель печати доктор философии и истории Клик, правительственный советник доктор философии и истории Хайнрихсдорф. Фриче при опросе показал, что Гитлер, Геббельс и вновь назначенный начальник Генерального штаба генерал пехоты Кребс покончили жизнь самоубийством.</w:t>
      </w:r>
    </w:p>
    <w:p w14:paraId="42A3C7B3" w14:textId="77777777" w:rsidR="002471D5" w:rsidRPr="00925F26" w:rsidRDefault="002471D5" w:rsidP="00925F26">
      <w:pPr>
        <w:jc w:val="both"/>
        <w:rPr>
          <w:color w:val="000000" w:themeColor="text1"/>
          <w:sz w:val="16"/>
          <w:szCs w:val="16"/>
        </w:rPr>
      </w:pPr>
      <w:r w:rsidRPr="00925F26">
        <w:rPr>
          <w:color w:val="000000" w:themeColor="text1"/>
          <w:sz w:val="16"/>
          <w:szCs w:val="16"/>
        </w:rPr>
        <w:t>Юго-восточнее Берлина войска 1-го Белорусского и 1-го Украинского фронтов завершили ликвидацию окружённой группы немецких войск.</w:t>
      </w:r>
    </w:p>
    <w:p w14:paraId="2030F5D8" w14:textId="77777777" w:rsidR="002471D5" w:rsidRPr="00925F26" w:rsidRDefault="002471D5" w:rsidP="00925F26">
      <w:pPr>
        <w:jc w:val="both"/>
        <w:rPr>
          <w:color w:val="000000" w:themeColor="text1"/>
          <w:sz w:val="16"/>
          <w:szCs w:val="16"/>
        </w:rPr>
      </w:pPr>
      <w:r w:rsidRPr="00925F26">
        <w:rPr>
          <w:color w:val="000000" w:themeColor="text1"/>
          <w:sz w:val="16"/>
          <w:szCs w:val="16"/>
        </w:rPr>
        <w:t>За время боёв с 24 апреля по 2 мая в этом районе наши войска захватили в плен более 120.000 немецких солдат и офицеров. За это же время немцы потеряли только убитыми более 60.000 человек. В числе пленных заместитель командующего 9 немецкой армией генерал-лейтенант Бернгард, командир 5 немецкого корпуса СС генерал-лейтенант Эккель, командир 21 немецкой танковой дивизии СС генерал-лейтенант Маркс, командир 169 немецной пехотной дивизии генерал-лейтенант Радчий, комендант крепости ФРАНКФУРТ-на-ОДЕРЕ генерал-майор Биль, начальник артиллерии 11 немецкого танкового корпуса СС генерал-майор Штраммер и генерал авиации Цандер. За это же время нашими войсками захвачены следующие трофеи: танков и самоходных орудий — 304, полевых орудий — более 1.500, пулемётов — 2.180, автомашин — 17.600 и много другого вооружения и военного имущества.</w:t>
      </w:r>
    </w:p>
    <w:p w14:paraId="115434D1" w14:textId="77777777" w:rsidR="002471D5" w:rsidRPr="00925F26" w:rsidRDefault="002471D5" w:rsidP="00925F26">
      <w:pPr>
        <w:jc w:val="both"/>
        <w:rPr>
          <w:color w:val="000000" w:themeColor="text1"/>
          <w:sz w:val="16"/>
          <w:szCs w:val="16"/>
        </w:rPr>
      </w:pPr>
      <w:r w:rsidRPr="00925F26">
        <w:rPr>
          <w:color w:val="000000" w:themeColor="text1"/>
          <w:sz w:val="16"/>
          <w:szCs w:val="16"/>
        </w:rPr>
        <w:t>Северо-западнее Берлина войска 1-го Белорусского фронта, продолжая наступление, с боями заняли города Ной-Руппин, Киритц, Вустерхаузен, Нойштадт, Фербеллин, Фризак.</w:t>
      </w:r>
    </w:p>
    <w:p w14:paraId="667AE521" w14:textId="77777777" w:rsidR="002471D5" w:rsidRPr="00925F26" w:rsidRDefault="002471D5"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2 мая овладели городами Росток, Варнемюнде — крупными портами и важными военно-морскими базами немцев на Балтийском море, а также заняли города Рибнитц, Марлов, Лааге, Тетеров, Миров и крупные населённые пункты Альтенплен, Рехтенберг, Францбург, Трибзес, Зюльце, Даргун, Тюрков, Ябель, Цехлин, Герц-Шпрунг. В боях за 1 мая войска фронта взяли в плен 5.450 немецких солдат и офицеров и захватили 78 самолётов и 178 полевых орудий.</w:t>
      </w:r>
    </w:p>
    <w:p w14:paraId="13B50D77" w14:textId="77777777" w:rsidR="002471D5" w:rsidRPr="00925F26" w:rsidRDefault="002471D5"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полосе Западных Карпат, с боями заняли крупные населённые пункты Ласков, Орлова, Дембовец, Гордзишув, Турзовка, Длге Поле, Великое Ровне, Штявник, Папрадно, Модлатин. В боях за 1 мая войска фронта взяли в плен более 5.000 немецких солдаг и офицеров и захватили 196 полевых орудий.</w:t>
      </w:r>
    </w:p>
    <w:p w14:paraId="23D245FB" w14:textId="77777777" w:rsidR="002471D5" w:rsidRPr="00925F26" w:rsidRDefault="002471D5"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восточнее города Брно, с боями заняли крупные населённые пункты Брумов, Валасшке, Клобоуки, Славичин, Лугачовице, Бржазувки, Угерески, Градиштеф, Напаедла.</w:t>
      </w:r>
    </w:p>
    <w:p w14:paraId="54D3670E" w14:textId="77777777" w:rsidR="002471D5" w:rsidRPr="00925F26" w:rsidRDefault="002471D5"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4D2558C1" w14:textId="77777777" w:rsidR="002471D5" w:rsidRPr="00925F26" w:rsidRDefault="002471D5" w:rsidP="00925F26">
      <w:pPr>
        <w:jc w:val="both"/>
        <w:rPr>
          <w:color w:val="000000" w:themeColor="text1"/>
          <w:sz w:val="16"/>
          <w:szCs w:val="16"/>
        </w:rPr>
      </w:pPr>
      <w:r w:rsidRPr="00925F26">
        <w:rPr>
          <w:color w:val="000000" w:themeColor="text1"/>
          <w:sz w:val="16"/>
          <w:szCs w:val="16"/>
        </w:rPr>
        <w:t>За 1 мая подбито и уничтожено 37 немецких танков. В воздушных боях и огнём зенитной артиллерии сбито 10 самолётов противника.</w:t>
      </w:r>
    </w:p>
    <w:p w14:paraId="2CCAC7B2" w14:textId="77777777" w:rsidR="002471D5" w:rsidRPr="00925F26" w:rsidRDefault="002471D5" w:rsidP="00925F26">
      <w:pPr>
        <w:jc w:val="both"/>
        <w:rPr>
          <w:color w:val="000000" w:themeColor="text1"/>
          <w:sz w:val="16"/>
          <w:szCs w:val="16"/>
        </w:rPr>
      </w:pPr>
      <w:r w:rsidRPr="00925F26">
        <w:rPr>
          <w:color w:val="000000" w:themeColor="text1"/>
          <w:sz w:val="16"/>
          <w:szCs w:val="16"/>
        </w:rPr>
        <w:t>Налёт нашей авиации на Свинемюнде</w:t>
      </w:r>
    </w:p>
    <w:p w14:paraId="7A5BBA7F" w14:textId="77777777" w:rsidR="002471D5" w:rsidRPr="00925F26" w:rsidRDefault="002471D5" w:rsidP="00925F26">
      <w:pPr>
        <w:jc w:val="both"/>
        <w:rPr>
          <w:color w:val="000000" w:themeColor="text1"/>
          <w:sz w:val="16"/>
          <w:szCs w:val="16"/>
        </w:rPr>
      </w:pPr>
      <w:r w:rsidRPr="00925F26">
        <w:rPr>
          <w:color w:val="000000" w:themeColor="text1"/>
          <w:sz w:val="16"/>
          <w:szCs w:val="16"/>
        </w:rPr>
        <w:t>В ночь на 2 мая наши тяжёлые бомбардировщики нанесли удар по военным объектам немцев в Свинемюнде. В результате этого удара на территории судоверфей и в порту возникло много пожаров, сопровождавшихся сильными взрывами.</w:t>
      </w:r>
    </w:p>
    <w:p w14:paraId="2C0E9B3D" w14:textId="77777777" w:rsidR="002471D5" w:rsidRPr="00925F26" w:rsidRDefault="002471D5" w:rsidP="00925F26">
      <w:pPr>
        <w:jc w:val="both"/>
        <w:rPr>
          <w:color w:val="000000" w:themeColor="text1"/>
          <w:sz w:val="16"/>
          <w:szCs w:val="16"/>
        </w:rPr>
      </w:pPr>
      <w:r w:rsidRPr="00925F26">
        <w:rPr>
          <w:color w:val="000000" w:themeColor="text1"/>
          <w:sz w:val="16"/>
          <w:szCs w:val="16"/>
        </w:rPr>
        <w:t>Войска 1-го Белорусского фронта при содействии войск 1-го Украинского фронта после упорных уличных боёв завершили разгром Берлинской группы немецких войск и сегодня, 2 мая, полностью овладели столицей Германии городом Берлин—центром немецкого империализма и очагом немецкой агрессии. Советские танкисты и пехотинцы при поддержке артиллеристов и гвардейцев-миномётчиков сломили сопротивление немцев, укрепившихся в парке Тиргартен. Продвигаясь с севера и юга, наши войска соединились на Шарлоттенбургер шоссе, проходящем по центру парка. Тем самым главный оплот противника в Берлине был разгромлен советскими войсками. Ожесточённые бои произошли также в районе парка Фридрихс-Хайн. Гитлеровцы, опираясь на сильно укреплённые дома и уличные баррикады, яростно сопротивлялись. Советские штурмовые группы, усиленные танками и орудиями, настойчиво продвигались вперёд, выбивая гитлеровцев из укрытий. Умелыми и решительными действиями наши войска дробили вражеские силы на отдельные изолированные друг от друга части и уничтожали их. Подавленные и деморализованные немецкие солдаты и офицеры группами и в одиночку стали бросать оружие и сдаваться в плен. Начальник обороны Берлина генерал от артиллерии Вейдлинг сегодня перешёл в расположение наших войск и заявил, что Берлинский гарнизон капитулирует. В 15 часов немцы прекратили сопротивление, сложили оружие и сдались в плен. Овладев столицей Германии Берлином, доблестная Красная Армия одержала блестящую победу и навеки прославила свои боевые знамёна.</w:t>
      </w:r>
    </w:p>
    <w:p w14:paraId="47664BCD" w14:textId="77777777" w:rsidR="002471D5" w:rsidRPr="00925F26" w:rsidRDefault="002471D5" w:rsidP="00925F26">
      <w:pPr>
        <w:jc w:val="both"/>
        <w:rPr>
          <w:color w:val="000000" w:themeColor="text1"/>
          <w:sz w:val="16"/>
          <w:szCs w:val="16"/>
        </w:rPr>
      </w:pPr>
      <w:r w:rsidRPr="00925F26">
        <w:rPr>
          <w:color w:val="000000" w:themeColor="text1"/>
          <w:sz w:val="16"/>
          <w:szCs w:val="16"/>
        </w:rPr>
        <w:t>Первомайский приказ Верховного Главнокомандующего Маршала Советского Союза товарища Сталина вызвал огромный подъём в городах и селах нашей страны. На собраниях и митингах трудящиеся единодушно заявляют, что они с честью выполнят указания любимого вождя товарища Сталина.</w:t>
      </w:r>
    </w:p>
    <w:p w14:paraId="3A76CCBE" w14:textId="77777777" w:rsidR="002471D5" w:rsidRPr="00925F26" w:rsidRDefault="002471D5" w:rsidP="00925F26">
      <w:pPr>
        <w:jc w:val="both"/>
        <w:rPr>
          <w:color w:val="000000" w:themeColor="text1"/>
          <w:sz w:val="16"/>
          <w:szCs w:val="16"/>
        </w:rPr>
      </w:pPr>
      <w:r w:rsidRPr="00925F26">
        <w:rPr>
          <w:color w:val="000000" w:themeColor="text1"/>
          <w:sz w:val="16"/>
          <w:szCs w:val="16"/>
        </w:rPr>
        <w:lastRenderedPageBreak/>
        <w:t>С большим подъёмом прошёл многолюдный митинг на артиллерийском заводе, где директором Герой Социалистического Труда тов. Елян. Артиллерийские орудия, сделанные руками рабочих и специалистов этого завода, громили немцев на подступах к Москве, у стен Сталинграда, на Днепре, на Висле и на улицах Берлина.</w:t>
      </w:r>
    </w:p>
    <w:p w14:paraId="7A99639F" w14:textId="77777777" w:rsidR="002471D5" w:rsidRPr="00925F26" w:rsidRDefault="002471D5" w:rsidP="00925F26">
      <w:pPr>
        <w:jc w:val="both"/>
        <w:rPr>
          <w:color w:val="000000" w:themeColor="text1"/>
          <w:sz w:val="16"/>
          <w:szCs w:val="16"/>
        </w:rPr>
      </w:pPr>
      <w:r w:rsidRPr="00925F26">
        <w:rPr>
          <w:color w:val="000000" w:themeColor="text1"/>
          <w:sz w:val="16"/>
          <w:szCs w:val="16"/>
        </w:rPr>
        <w:t>«Наши сердца наполнены великой радостью и гордостью,— заявил слесарь тов. Зорин.— 6 ноября прошлого года товарищ Сталин в своём докладе на торжественном заседании Московского Совета депутатов трудящихся говорил: «Теперь за Красной Армией остаётся её последняя заключительная миссия: довершить вместе с армиями наших союзников дело разгрома немецко-фашистской армии, добить фашистского зверя в его собственном логове и водрузить над Берлином знамя победы». Эти сталинские слова сбылись. Наши войска водрузила над Берлином знамя победы. Победоносное завершение Великой Отечественной войны — дело самого ближайшего будущего. Мы и впредь будем неутомимо трудиться. Мы дадим фронту новые и новые эшелоны грозных орудий».</w:t>
      </w:r>
    </w:p>
    <w:p w14:paraId="698FB95B" w14:textId="77777777" w:rsidR="002471D5" w:rsidRPr="00925F26" w:rsidRDefault="002471D5" w:rsidP="00925F26">
      <w:pPr>
        <w:jc w:val="both"/>
        <w:rPr>
          <w:color w:val="000000" w:themeColor="text1"/>
          <w:sz w:val="16"/>
          <w:szCs w:val="16"/>
        </w:rPr>
      </w:pPr>
      <w:r w:rsidRPr="00925F26">
        <w:rPr>
          <w:color w:val="000000" w:themeColor="text1"/>
          <w:sz w:val="16"/>
          <w:szCs w:val="16"/>
        </w:rPr>
        <w:t>Массовые митинги состоялись в Сталинграде — городе-герое. На митинге в Кировском районе выступил бригадир лучшей молодежной бригады тов. Моисеев. Он сказал: «Под водительством товарища Сталина наша Красная Армия прошла славный героический путь от Сталинграда до Берлина. Фашистская Германия доживает свои последние дни. Товарищ Сталин поставил перед советским народом благородную задачу — умножать помощь фронту, быстрее залечить раны, нанесённые стране войной, и ещё выше поднять мощь Советского государства. Мы клянемся, что выполним эти указания».</w:t>
      </w:r>
    </w:p>
    <w:p w14:paraId="49C6B5CB" w14:textId="77777777" w:rsidR="002471D5" w:rsidRPr="00925F26" w:rsidRDefault="002471D5" w:rsidP="00925F26">
      <w:pPr>
        <w:jc w:val="both"/>
        <w:rPr>
          <w:color w:val="000000" w:themeColor="text1"/>
          <w:sz w:val="16"/>
          <w:szCs w:val="16"/>
        </w:rPr>
      </w:pPr>
      <w:r w:rsidRPr="00925F26">
        <w:rPr>
          <w:color w:val="000000" w:themeColor="text1"/>
          <w:sz w:val="16"/>
          <w:szCs w:val="16"/>
        </w:rPr>
        <w:t>В колхозе имени Сталина, Наманганского района, Узбекской ССР, на митинге выступил бригадир Убаидуллаев. Он сказал: «Сегодня у нас радостный праздник. Красная Армия наголову разбила врага. Вместе с войсками союзников она доконает фашистского зверя. Мы, колхозники, поможем Красной Армии выполнить приказ Верховного Главнокомандующего.</w:t>
      </w:r>
    </w:p>
    <w:p w14:paraId="67390F80" w14:textId="77777777" w:rsidR="002471D5" w:rsidRPr="00925F26" w:rsidRDefault="002471D5" w:rsidP="00925F26">
      <w:pPr>
        <w:jc w:val="both"/>
        <w:rPr>
          <w:color w:val="000000" w:themeColor="text1"/>
          <w:sz w:val="16"/>
          <w:szCs w:val="16"/>
        </w:rPr>
      </w:pPr>
      <w:r w:rsidRPr="00925F26">
        <w:rPr>
          <w:color w:val="000000" w:themeColor="text1"/>
          <w:sz w:val="16"/>
          <w:szCs w:val="16"/>
        </w:rPr>
        <w:t xml:space="preserve">На митинге в сельхозартели имени Ленина (Туркменская ССР) с речью выступил председатель колхоза Нурмурат. "Колхозники Туркменской </w:t>
      </w:r>
      <w:proofErr w:type="gramStart"/>
      <w:r w:rsidRPr="00925F26">
        <w:rPr>
          <w:color w:val="000000" w:themeColor="text1"/>
          <w:sz w:val="16"/>
          <w:szCs w:val="16"/>
        </w:rPr>
        <w:t>ССР,—</w:t>
      </w:r>
      <w:proofErr w:type="gramEnd"/>
      <w:r w:rsidRPr="00925F26">
        <w:rPr>
          <w:color w:val="000000" w:themeColor="text1"/>
          <w:sz w:val="16"/>
          <w:szCs w:val="16"/>
        </w:rPr>
        <w:t xml:space="preserve"> сказал он, — шлют горячий привет доблестным воинам Красной Армии, находящимся за рубежом советской земли. Почти четыре года идёт Отечественная война. Советские люди отказывали себе во многом и снабжали фронт всем необходимым, чтобы приблизить день победы. Теперь мы знаем, что фашистский зверь находится при последнем издыхании. Славные победы, одержанные Красной Армией, вдохновляют нас на новые трудовые подвиги. Мы заверяем нашего любимого вождя товарища Сталина, что колхозники Туркмении будут трудиться не покладая рук и вырастят в этом году высокий урожай» (14879).</w:t>
      </w:r>
    </w:p>
    <w:p w14:paraId="13148AC7" w14:textId="77777777" w:rsidR="002471D5" w:rsidRPr="00925F26" w:rsidRDefault="002471D5" w:rsidP="00925F26">
      <w:pPr>
        <w:jc w:val="both"/>
        <w:rPr>
          <w:color w:val="000000" w:themeColor="text1"/>
          <w:sz w:val="16"/>
          <w:szCs w:val="16"/>
        </w:rPr>
      </w:pPr>
    </w:p>
    <w:p w14:paraId="75A38CDD" w14:textId="77777777" w:rsidR="00385035" w:rsidRPr="00925F26" w:rsidRDefault="00385035" w:rsidP="00925F26">
      <w:pPr>
        <w:jc w:val="both"/>
        <w:rPr>
          <w:color w:val="000000" w:themeColor="text1"/>
          <w:sz w:val="16"/>
          <w:szCs w:val="16"/>
        </w:rPr>
      </w:pPr>
      <w:r w:rsidRPr="00925F26">
        <w:rPr>
          <w:color w:val="000000" w:themeColor="text1"/>
          <w:sz w:val="16"/>
          <w:szCs w:val="16"/>
        </w:rPr>
        <w:t>2 мая 1945 над Берлином появились три аэростата, вознесшие в голубую высь два Красных знамени и портрет Сталина (20120).</w:t>
      </w:r>
    </w:p>
    <w:p w14:paraId="1E5FE822" w14:textId="77777777" w:rsidR="00385035" w:rsidRPr="00925F26" w:rsidRDefault="00385035" w:rsidP="00925F26">
      <w:pPr>
        <w:jc w:val="both"/>
        <w:rPr>
          <w:color w:val="000000" w:themeColor="text1"/>
          <w:sz w:val="16"/>
          <w:szCs w:val="16"/>
        </w:rPr>
      </w:pPr>
    </w:p>
    <w:p w14:paraId="161CAFA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мая 1945 вышло Постановление ГКО № 8377 [О назначении и обязанностях уполномоченных НКВД - зам. командующих фронтами по управлению гражданскими делами на территории Германии.] (7335, 96-97).</w:t>
      </w:r>
    </w:p>
    <w:p w14:paraId="658AD4A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0D261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мая 1945 Берлин капитулировал советским войскам (4962), советские войска полностью захватили здание Рейхстага в Берлине. 134-тысячный немецкий гарнизон в Берлине во главе с генералом артиллерии Г. Вейдлингом капитулировали перед советскими войсками (</w:t>
      </w:r>
      <w:proofErr w:type="gramStart"/>
      <w:r w:rsidRPr="00925F26">
        <w:rPr>
          <w:color w:val="000000" w:themeColor="text1"/>
          <w:sz w:val="16"/>
          <w:szCs w:val="16"/>
        </w:rPr>
        <w:t>4963 )</w:t>
      </w:r>
      <w:proofErr w:type="gramEnd"/>
      <w:r w:rsidRPr="00925F26">
        <w:rPr>
          <w:color w:val="000000" w:themeColor="text1"/>
          <w:sz w:val="16"/>
          <w:szCs w:val="16"/>
        </w:rPr>
        <w:t>.</w:t>
      </w:r>
    </w:p>
    <w:p w14:paraId="057A4FB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051DF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3 чехословацким шап было выполнено последнее задание и 8 машин бомбили станцию Tesin (7 долетели) (241,40).</w:t>
      </w:r>
    </w:p>
    <w:p w14:paraId="1FEF6390" w14:textId="77777777" w:rsidR="00665165" w:rsidRPr="00925F26" w:rsidRDefault="00665165" w:rsidP="00925F26">
      <w:pPr>
        <w:autoSpaceDE w:val="0"/>
        <w:autoSpaceDN w:val="0"/>
        <w:adjustRightInd w:val="0"/>
        <w:jc w:val="both"/>
        <w:rPr>
          <w:color w:val="000000" w:themeColor="text1"/>
          <w:sz w:val="16"/>
          <w:szCs w:val="16"/>
        </w:rPr>
      </w:pPr>
    </w:p>
    <w:p w14:paraId="3DCB4A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по 2 мая 1945 3 шап выполнил 248 боевых вылетов и уничтожил 1 истребитель, 45 грузовиков, 22 других транспортных средств, один локомотив, 37 вагонов и 2 цистерны, 3 склада боеприпасов, 3 здания и 69 зенитных позиции. 8 машин было потеряно в т.ч. 4 вы бою (241,40).</w:t>
      </w:r>
    </w:p>
    <w:p w14:paraId="3AFDA87E" w14:textId="77777777" w:rsidR="00665165" w:rsidRPr="00925F26" w:rsidRDefault="00665165" w:rsidP="00925F26">
      <w:pPr>
        <w:autoSpaceDE w:val="0"/>
        <w:autoSpaceDN w:val="0"/>
        <w:adjustRightInd w:val="0"/>
        <w:jc w:val="both"/>
        <w:rPr>
          <w:color w:val="000000" w:themeColor="text1"/>
          <w:sz w:val="16"/>
          <w:szCs w:val="16"/>
        </w:rPr>
      </w:pPr>
    </w:p>
    <w:p w14:paraId="3035C0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период с 12 января по 2 мая 1945 г. пилоты “Нормандии” совершили 1300 боевых вылетов. Об</w:t>
      </w:r>
      <w:r w:rsidRPr="00925F26">
        <w:rPr>
          <w:color w:val="000000" w:themeColor="text1"/>
          <w:sz w:val="16"/>
          <w:szCs w:val="16"/>
        </w:rPr>
        <w:softHyphen/>
        <w:t>щий счет полка вырос на 67 (францу</w:t>
      </w:r>
      <w:r w:rsidRPr="00925F26">
        <w:rPr>
          <w:color w:val="000000" w:themeColor="text1"/>
          <w:sz w:val="16"/>
          <w:szCs w:val="16"/>
        </w:rPr>
        <w:softHyphen/>
        <w:t>зы считают - на 72) сбитых вражеских машин, а собственные потери увели</w:t>
      </w:r>
      <w:r w:rsidRPr="00925F26">
        <w:rPr>
          <w:color w:val="000000" w:themeColor="text1"/>
          <w:sz w:val="16"/>
          <w:szCs w:val="16"/>
        </w:rPr>
        <w:softHyphen/>
        <w:t>чились на 10 летчиков. Заметим, что на последнем этапе боев сложили го</w:t>
      </w:r>
      <w:r w:rsidRPr="00925F26">
        <w:rPr>
          <w:color w:val="000000" w:themeColor="text1"/>
          <w:sz w:val="16"/>
          <w:szCs w:val="16"/>
        </w:rPr>
        <w:softHyphen/>
        <w:t>ловы такие опытные летчики, как Мо</w:t>
      </w:r>
      <w:r w:rsidRPr="00925F26">
        <w:rPr>
          <w:color w:val="000000" w:themeColor="text1"/>
          <w:sz w:val="16"/>
          <w:szCs w:val="16"/>
        </w:rPr>
        <w:softHyphen/>
        <w:t>рис Шалль (10 побед) и Жорж Анри (5 побед). Именно Анри записал на бое</w:t>
      </w:r>
      <w:r w:rsidRPr="00925F26">
        <w:rPr>
          <w:color w:val="000000" w:themeColor="text1"/>
          <w:sz w:val="16"/>
          <w:szCs w:val="16"/>
        </w:rPr>
        <w:softHyphen/>
        <w:t>вой счет “Нормандии” заключитель</w:t>
      </w:r>
      <w:r w:rsidRPr="00925F26">
        <w:rPr>
          <w:color w:val="000000" w:themeColor="text1"/>
          <w:sz w:val="16"/>
          <w:szCs w:val="16"/>
        </w:rPr>
        <w:softHyphen/>
        <w:t>ную, 268-ю победу (по данным фран</w:t>
      </w:r>
      <w:r w:rsidRPr="00925F26">
        <w:rPr>
          <w:color w:val="000000" w:themeColor="text1"/>
          <w:sz w:val="16"/>
          <w:szCs w:val="16"/>
        </w:rPr>
        <w:softHyphen/>
        <w:t>цузов - 273-ю). 30 марта 1945 г. ко</w:t>
      </w:r>
      <w:r w:rsidRPr="00925F26">
        <w:rPr>
          <w:color w:val="000000" w:themeColor="text1"/>
          <w:sz w:val="16"/>
          <w:szCs w:val="16"/>
        </w:rPr>
        <w:softHyphen/>
        <w:t>мандующий 1-й ВА генерал-полков</w:t>
      </w:r>
      <w:r w:rsidRPr="00925F26">
        <w:rPr>
          <w:color w:val="000000" w:themeColor="text1"/>
          <w:sz w:val="16"/>
          <w:szCs w:val="16"/>
        </w:rPr>
        <w:softHyphen/>
        <w:t>ник авиации ТТ. Хрюкин в присутствии генералов Пети и Левандовича вручил майору Дельфино орден Красного Знамени, которым полк был награж</w:t>
      </w:r>
      <w:r w:rsidRPr="00925F26">
        <w:rPr>
          <w:color w:val="000000" w:themeColor="text1"/>
          <w:sz w:val="16"/>
          <w:szCs w:val="16"/>
        </w:rPr>
        <w:softHyphen/>
        <w:t>ден за зимние бои. Окончательное на</w:t>
      </w:r>
      <w:r w:rsidRPr="00925F26">
        <w:rPr>
          <w:color w:val="000000" w:themeColor="text1"/>
          <w:sz w:val="16"/>
          <w:szCs w:val="16"/>
        </w:rPr>
        <w:softHyphen/>
        <w:t>именование французской авиачасти в советских официальных документах стало звучать так: 1-й отдельный ис</w:t>
      </w:r>
      <w:r w:rsidRPr="00925F26">
        <w:rPr>
          <w:color w:val="000000" w:themeColor="text1"/>
          <w:sz w:val="16"/>
          <w:szCs w:val="16"/>
        </w:rPr>
        <w:softHyphen/>
        <w:t>требительный авиационный Красноз</w:t>
      </w:r>
      <w:r w:rsidRPr="00925F26">
        <w:rPr>
          <w:color w:val="000000" w:themeColor="text1"/>
          <w:sz w:val="16"/>
          <w:szCs w:val="16"/>
        </w:rPr>
        <w:softHyphen/>
        <w:t>наменный Неманский полк “Норман</w:t>
      </w:r>
      <w:r w:rsidRPr="00925F26">
        <w:rPr>
          <w:color w:val="000000" w:themeColor="text1"/>
          <w:sz w:val="16"/>
          <w:szCs w:val="16"/>
        </w:rPr>
        <w:softHyphen/>
        <w:t>дия”. В заключительной оценке, которую дал штаб 1-й воздушной армии работе французских авиаторов на советско-германском фронте, отмечалось, что половину из всех боевых вылетов французы сделали на прикрытие поля боя, 18,6% - на свободную охоту, 17,2% - на прикрытие бомбардиров</w:t>
      </w:r>
      <w:r w:rsidRPr="00925F26">
        <w:rPr>
          <w:color w:val="000000" w:themeColor="text1"/>
          <w:sz w:val="16"/>
          <w:szCs w:val="16"/>
        </w:rPr>
        <w:softHyphen/>
        <w:t>щиков, а 7,6% - на перехват самолетов противника. С особым желанием французские летчики выполняли поле</w:t>
      </w:r>
      <w:r w:rsidRPr="00925F26">
        <w:rPr>
          <w:color w:val="000000" w:themeColor="text1"/>
          <w:sz w:val="16"/>
          <w:szCs w:val="16"/>
        </w:rPr>
        <w:softHyphen/>
        <w:t>ты на свободную охоту. Глубина про</w:t>
      </w:r>
      <w:r w:rsidRPr="00925F26">
        <w:rPr>
          <w:color w:val="000000" w:themeColor="text1"/>
          <w:sz w:val="16"/>
          <w:szCs w:val="16"/>
        </w:rPr>
        <w:softHyphen/>
        <w:t>никновения в немецкий тыл порой дос</w:t>
      </w:r>
      <w:r w:rsidRPr="00925F26">
        <w:rPr>
          <w:color w:val="000000" w:themeColor="text1"/>
          <w:sz w:val="16"/>
          <w:szCs w:val="16"/>
        </w:rPr>
        <w:softHyphen/>
        <w:t>тигала 120 км, при этом за каждой па</w:t>
      </w:r>
      <w:r w:rsidRPr="00925F26">
        <w:rPr>
          <w:color w:val="000000" w:themeColor="text1"/>
          <w:sz w:val="16"/>
          <w:szCs w:val="16"/>
        </w:rPr>
        <w:softHyphen/>
        <w:t>рой “охотников” на сравнительно про</w:t>
      </w:r>
      <w:r w:rsidRPr="00925F26">
        <w:rPr>
          <w:color w:val="000000" w:themeColor="text1"/>
          <w:sz w:val="16"/>
          <w:szCs w:val="16"/>
        </w:rPr>
        <w:softHyphen/>
        <w:t>должительное время закреплялся оп</w:t>
      </w:r>
      <w:r w:rsidRPr="00925F26">
        <w:rPr>
          <w:color w:val="000000" w:themeColor="text1"/>
          <w:sz w:val="16"/>
          <w:szCs w:val="16"/>
        </w:rPr>
        <w:softHyphen/>
        <w:t>ределенный сектор воздушного про</w:t>
      </w:r>
      <w:r w:rsidRPr="00925F26">
        <w:rPr>
          <w:color w:val="000000" w:themeColor="text1"/>
          <w:sz w:val="16"/>
          <w:szCs w:val="16"/>
        </w:rPr>
        <w:softHyphen/>
        <w:t>странства (3956).</w:t>
      </w:r>
    </w:p>
    <w:p w14:paraId="191715CA" w14:textId="77777777" w:rsidR="00665165" w:rsidRPr="00925F26" w:rsidRDefault="00665165" w:rsidP="00925F26">
      <w:pPr>
        <w:autoSpaceDE w:val="0"/>
        <w:autoSpaceDN w:val="0"/>
        <w:adjustRightInd w:val="0"/>
        <w:jc w:val="both"/>
        <w:rPr>
          <w:color w:val="000000" w:themeColor="text1"/>
          <w:sz w:val="16"/>
          <w:szCs w:val="16"/>
        </w:rPr>
      </w:pPr>
    </w:p>
    <w:p w14:paraId="25AB9B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гарнизон Берлина капитулировал (1074,354) и сопротивление прекратилось в 15:00 (2438,97).</w:t>
      </w:r>
    </w:p>
    <w:p w14:paraId="4370FC23" w14:textId="77777777" w:rsidR="00665165" w:rsidRPr="00925F26" w:rsidRDefault="00665165" w:rsidP="00925F26">
      <w:pPr>
        <w:autoSpaceDE w:val="0"/>
        <w:autoSpaceDN w:val="0"/>
        <w:adjustRightInd w:val="0"/>
        <w:jc w:val="both"/>
        <w:rPr>
          <w:color w:val="000000" w:themeColor="text1"/>
          <w:sz w:val="16"/>
          <w:szCs w:val="16"/>
        </w:rPr>
      </w:pPr>
    </w:p>
    <w:p w14:paraId="6085A2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г. Ил-2 вместе с бомбардировщиками А-20 под прикрытием ЯК-9 потопили учебный линкор Шлезиен (КР, 85.5.13).</w:t>
      </w:r>
    </w:p>
    <w:p w14:paraId="01B910C1" w14:textId="77777777" w:rsidR="00665165" w:rsidRPr="00925F26" w:rsidRDefault="00665165" w:rsidP="00925F26">
      <w:pPr>
        <w:autoSpaceDE w:val="0"/>
        <w:autoSpaceDN w:val="0"/>
        <w:adjustRightInd w:val="0"/>
        <w:jc w:val="both"/>
        <w:rPr>
          <w:color w:val="000000" w:themeColor="text1"/>
          <w:sz w:val="16"/>
          <w:szCs w:val="16"/>
        </w:rPr>
      </w:pPr>
    </w:p>
    <w:p w14:paraId="33C46B52"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2nd, 1945: General Chuikov, defender of Stalingrad, meets with General Weidling and accepts the unconditional surrender of the surviving defenders of Berlin. Some units refuse to quit and try to break out to the West, but are annihilated in the attempt. Stalin announces the fall of Berlin in his Order of the Day No. 359 (3819).</w:t>
      </w:r>
    </w:p>
    <w:p w14:paraId="1155ECE8" w14:textId="77777777" w:rsidR="00665165" w:rsidRPr="00925F26" w:rsidRDefault="00665165" w:rsidP="00925F26">
      <w:pPr>
        <w:autoSpaceDE w:val="0"/>
        <w:autoSpaceDN w:val="0"/>
        <w:adjustRightInd w:val="0"/>
        <w:jc w:val="both"/>
        <w:rPr>
          <w:color w:val="000000" w:themeColor="text1"/>
          <w:sz w:val="16"/>
          <w:szCs w:val="16"/>
          <w:lang w:val="en-US"/>
        </w:rPr>
      </w:pPr>
    </w:p>
    <w:p w14:paraId="286E2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г Чуйков встретился с Вейдлингом и тот принял условия безоговорочной капитуляции. Некоторые части отказались и попытались прорваться на запад и были уничтожены. И.В.С. в приказе N 359 объявил о падении Берлина (3819).</w:t>
      </w:r>
    </w:p>
    <w:p w14:paraId="251AFE4A" w14:textId="77777777" w:rsidR="00665165" w:rsidRPr="00925F26" w:rsidRDefault="00665165" w:rsidP="00925F26">
      <w:pPr>
        <w:autoSpaceDE w:val="0"/>
        <w:autoSpaceDN w:val="0"/>
        <w:adjustRightInd w:val="0"/>
        <w:jc w:val="both"/>
        <w:rPr>
          <w:color w:val="000000" w:themeColor="text1"/>
          <w:sz w:val="16"/>
          <w:szCs w:val="16"/>
        </w:rPr>
      </w:pPr>
    </w:p>
    <w:p w14:paraId="179A326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18B7062" w14:textId="77777777" w:rsidR="00665165" w:rsidRPr="00925F26" w:rsidRDefault="00665165" w:rsidP="00925F26">
      <w:pPr>
        <w:autoSpaceDE w:val="0"/>
        <w:autoSpaceDN w:val="0"/>
        <w:adjustRightInd w:val="0"/>
        <w:jc w:val="both"/>
        <w:rPr>
          <w:iCs/>
          <w:color w:val="000000" w:themeColor="text1"/>
          <w:sz w:val="16"/>
          <w:szCs w:val="16"/>
        </w:rPr>
      </w:pPr>
    </w:p>
    <w:p w14:paraId="2D631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Утром 2 мая 1945 радио возвестило о взятии Берлина, а в 24 часа 8 мая Верховный Главнокомандующий И.В.Сталин в обращении к советскому народу объявил об окончании войны. День победы официально объявили 9 мая 1945 г. и вечером этого праздничного дня в Москве провели праздничный салют. Известно, что орудийных установок в городе для создания действительно грандиозного зрелища оказалось недостаточно и специально выделенные группы военных стреляли из обычных сигнальных ракетниц. Стреляли и с самолетов, поднятых над Москвой. Летал в ночном небе и запускал осветительные ракеты экипаж летчика Д.Ваулина на самолете Пе-8 из состава 890-го дбап (12025).</w:t>
      </w:r>
    </w:p>
    <w:p w14:paraId="4E21A974" w14:textId="77777777" w:rsidR="00665165" w:rsidRPr="00925F26" w:rsidRDefault="00665165" w:rsidP="00925F26">
      <w:pPr>
        <w:autoSpaceDE w:val="0"/>
        <w:autoSpaceDN w:val="0"/>
        <w:adjustRightInd w:val="0"/>
        <w:jc w:val="both"/>
        <w:rPr>
          <w:color w:val="000000" w:themeColor="text1"/>
          <w:sz w:val="16"/>
          <w:szCs w:val="16"/>
        </w:rPr>
      </w:pPr>
    </w:p>
    <w:p w14:paraId="7C6E9F54" w14:textId="77777777" w:rsidR="004252F4" w:rsidRPr="00925F26" w:rsidRDefault="004252F4" w:rsidP="00925F26">
      <w:pPr>
        <w:jc w:val="both"/>
        <w:rPr>
          <w:color w:val="000000" w:themeColor="text1"/>
          <w:sz w:val="16"/>
          <w:szCs w:val="16"/>
        </w:rPr>
      </w:pPr>
      <w:r w:rsidRPr="00925F26">
        <w:rPr>
          <w:color w:val="000000" w:themeColor="text1"/>
          <w:sz w:val="16"/>
          <w:szCs w:val="16"/>
        </w:rPr>
        <w:t>2 мая 1945. Салют из трехсот двадцати четырех орудий в честь взятия Берлина (18688).</w:t>
      </w:r>
    </w:p>
    <w:p w14:paraId="3AE351B4" w14:textId="77777777" w:rsidR="004252F4" w:rsidRPr="00925F26" w:rsidRDefault="004252F4" w:rsidP="00925F26">
      <w:pPr>
        <w:jc w:val="both"/>
        <w:rPr>
          <w:color w:val="000000" w:themeColor="text1"/>
          <w:sz w:val="16"/>
          <w:szCs w:val="16"/>
        </w:rPr>
      </w:pPr>
    </w:p>
    <w:p w14:paraId="3DC2275B"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в Москве в честь взятия Берлина состоялся салют 24 артиллеристскими залпами из 324 орудий (14879).</w:t>
      </w:r>
    </w:p>
    <w:p w14:paraId="5C6C940A" w14:textId="77777777" w:rsidR="002471D5" w:rsidRPr="00925F26" w:rsidRDefault="002471D5" w:rsidP="00925F26">
      <w:pPr>
        <w:jc w:val="both"/>
        <w:rPr>
          <w:color w:val="000000" w:themeColor="text1"/>
          <w:sz w:val="16"/>
          <w:szCs w:val="16"/>
        </w:rPr>
      </w:pPr>
    </w:p>
    <w:p w14:paraId="4C78367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ACF916F" w14:textId="77777777" w:rsidR="00665165" w:rsidRPr="00925F26" w:rsidRDefault="00665165" w:rsidP="00925F26">
      <w:pPr>
        <w:autoSpaceDE w:val="0"/>
        <w:autoSpaceDN w:val="0"/>
        <w:adjustRightInd w:val="0"/>
        <w:jc w:val="both"/>
        <w:rPr>
          <w:iCs/>
          <w:color w:val="000000" w:themeColor="text1"/>
          <w:sz w:val="16"/>
          <w:szCs w:val="16"/>
        </w:rPr>
      </w:pPr>
    </w:p>
    <w:p w14:paraId="480B2D5C" w14:textId="77777777" w:rsidR="0032073A" w:rsidRPr="00925F26" w:rsidRDefault="0032073A" w:rsidP="00925F26">
      <w:pPr>
        <w:jc w:val="both"/>
        <w:rPr>
          <w:color w:val="000000" w:themeColor="text1"/>
          <w:sz w:val="16"/>
          <w:szCs w:val="16"/>
        </w:rPr>
      </w:pPr>
      <w:r w:rsidRPr="00925F26">
        <w:rPr>
          <w:color w:val="000000" w:themeColor="text1"/>
          <w:sz w:val="16"/>
          <w:szCs w:val="16"/>
        </w:rPr>
        <w:t>2 мая в 1945 году унтер-офицер Рейхбергер (Reichberger) на реактивном «Не-162А-2» сбил американский «Р-47» (14879).</w:t>
      </w:r>
    </w:p>
    <w:p w14:paraId="6FD7FAAF" w14:textId="77777777" w:rsidR="0032073A" w:rsidRPr="00925F26" w:rsidRDefault="0032073A" w:rsidP="00925F26">
      <w:pPr>
        <w:jc w:val="both"/>
        <w:rPr>
          <w:color w:val="000000" w:themeColor="text1"/>
          <w:sz w:val="16"/>
          <w:szCs w:val="16"/>
        </w:rPr>
      </w:pPr>
    </w:p>
    <w:p w14:paraId="2AFAC565" w14:textId="337BF6CC" w:rsidR="00385035" w:rsidRPr="00925F26" w:rsidRDefault="00385035" w:rsidP="00925F26">
      <w:pPr>
        <w:jc w:val="both"/>
        <w:rPr>
          <w:color w:val="000000" w:themeColor="text1"/>
          <w:sz w:val="16"/>
          <w:szCs w:val="16"/>
        </w:rPr>
      </w:pPr>
      <w:r w:rsidRPr="00925F26">
        <w:rPr>
          <w:color w:val="000000" w:themeColor="text1"/>
          <w:sz w:val="16"/>
          <w:szCs w:val="16"/>
        </w:rPr>
        <w:t>2 мая 1945</w:t>
      </w:r>
      <w:r w:rsidR="00997EDF" w:rsidRPr="00925F26">
        <w:rPr>
          <w:color w:val="000000" w:themeColor="text1"/>
          <w:sz w:val="16"/>
          <w:szCs w:val="16"/>
        </w:rPr>
        <w:t xml:space="preserve">  </w:t>
      </w:r>
      <w:r w:rsidRPr="00925F26">
        <w:rPr>
          <w:color w:val="000000" w:themeColor="text1"/>
          <w:sz w:val="16"/>
          <w:szCs w:val="16"/>
        </w:rPr>
        <w:t>- Унтер-офицер Рейхбергер (Reichberger) на реактивном «Не-162А-2» сбил американский Р-47 (22515).</w:t>
      </w:r>
    </w:p>
    <w:p w14:paraId="71737DCB" w14:textId="77777777" w:rsidR="00385035" w:rsidRPr="00925F26" w:rsidRDefault="00385035" w:rsidP="00925F26">
      <w:pPr>
        <w:jc w:val="both"/>
        <w:rPr>
          <w:color w:val="000000" w:themeColor="text1"/>
          <w:sz w:val="16"/>
          <w:szCs w:val="16"/>
        </w:rPr>
      </w:pPr>
    </w:p>
    <w:p w14:paraId="4BB90ABA"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руководители ракетного исследовательского центра «Penemunde» Вернер фон Браун (Verner von Braun) и Вальтер Дорнбергер (Walter Dornberger) сдались в плен американским войскам (14879).</w:t>
      </w:r>
    </w:p>
    <w:p w14:paraId="14DD64DA" w14:textId="77777777" w:rsidR="002471D5" w:rsidRPr="00925F26" w:rsidRDefault="002471D5" w:rsidP="00925F26">
      <w:pPr>
        <w:jc w:val="both"/>
        <w:rPr>
          <w:color w:val="000000" w:themeColor="text1"/>
          <w:sz w:val="16"/>
          <w:szCs w:val="16"/>
        </w:rPr>
      </w:pPr>
    </w:p>
    <w:p w14:paraId="0C72CC86" w14:textId="77777777" w:rsidR="004252F4" w:rsidRPr="00925F26" w:rsidRDefault="004252F4" w:rsidP="00925F26">
      <w:pPr>
        <w:jc w:val="both"/>
        <w:rPr>
          <w:color w:val="000000" w:themeColor="text1"/>
          <w:sz w:val="16"/>
          <w:szCs w:val="16"/>
        </w:rPr>
      </w:pPr>
      <w:r w:rsidRPr="00925F26">
        <w:rPr>
          <w:color w:val="000000" w:themeColor="text1"/>
          <w:sz w:val="16"/>
          <w:szCs w:val="16"/>
        </w:rPr>
        <w:t>2 мая 1945 года сдалась американским войскам. Вернера фон Брауна, штурмбанфюрера СС, запросто могли расстре</w:t>
      </w:r>
      <w:r w:rsidRPr="00925F26">
        <w:rPr>
          <w:color w:val="000000" w:themeColor="text1"/>
          <w:sz w:val="16"/>
          <w:szCs w:val="16"/>
        </w:rPr>
        <w:softHyphen/>
        <w:t>лять. Даже его будущий начальник генерал Медарис позднее признался, что, попадись ему Браун в 1945-м, он бы, не задумываясь, его повесил. Но Браун попал в руки совсем других людей из американской миссии “Пейперклип” (“скрепка”), занимавшейся поиском немецких военно-техни</w:t>
      </w:r>
      <w:r w:rsidRPr="00925F26">
        <w:rPr>
          <w:color w:val="000000" w:themeColor="text1"/>
          <w:sz w:val="16"/>
          <w:szCs w:val="16"/>
        </w:rPr>
        <w:softHyphen/>
        <w:t>ческих специалистов. “Ракетного ба</w:t>
      </w:r>
      <w:r w:rsidRPr="00925F26">
        <w:rPr>
          <w:color w:val="000000" w:themeColor="text1"/>
          <w:sz w:val="16"/>
          <w:szCs w:val="16"/>
        </w:rPr>
        <w:softHyphen/>
        <w:t>рона” и его команду переправили за океан как особо ценный груз. Вместе с ним перебрались в США 492 не</w:t>
      </w:r>
      <w:r w:rsidRPr="00925F26">
        <w:rPr>
          <w:color w:val="000000" w:themeColor="text1"/>
          <w:sz w:val="16"/>
          <w:szCs w:val="16"/>
        </w:rPr>
        <w:softHyphen/>
        <w:t>мецких ракетных специалиста и 644 члена их семей. Среди специалистов, перебравшихся в США, кроме Вер</w:t>
      </w:r>
      <w:r w:rsidRPr="00925F26">
        <w:rPr>
          <w:color w:val="000000" w:themeColor="text1"/>
          <w:sz w:val="16"/>
          <w:szCs w:val="16"/>
        </w:rPr>
        <w:softHyphen/>
        <w:t>нера фон Брауна — крупнейшего на тот момент конструктора жидкост</w:t>
      </w:r>
      <w:r w:rsidRPr="00925F26">
        <w:rPr>
          <w:color w:val="000000" w:themeColor="text1"/>
          <w:sz w:val="16"/>
          <w:szCs w:val="16"/>
        </w:rPr>
        <w:softHyphen/>
        <w:t>ных ракет, нужно отметить генера</w:t>
      </w:r>
      <w:r w:rsidRPr="00925F26">
        <w:rPr>
          <w:color w:val="000000" w:themeColor="text1"/>
          <w:sz w:val="16"/>
          <w:szCs w:val="16"/>
        </w:rPr>
        <w:softHyphen/>
        <w:t>ла Вальтера Дорнберга — опытного организатора исследовательских и экспериментальных работ в области ракетостроения, и Артура Рудоль</w:t>
      </w:r>
      <w:r w:rsidRPr="00925F26">
        <w:rPr>
          <w:color w:val="000000" w:themeColor="text1"/>
          <w:sz w:val="16"/>
          <w:szCs w:val="16"/>
        </w:rPr>
        <w:softHyphen/>
        <w:t>фа — будущего конструктора многих американских ракет. Американцы вывезли всю техническую докумен</w:t>
      </w:r>
      <w:r w:rsidRPr="00925F26">
        <w:rPr>
          <w:color w:val="000000" w:themeColor="text1"/>
          <w:sz w:val="16"/>
          <w:szCs w:val="16"/>
        </w:rPr>
        <w:softHyphen/>
        <w:t>тацию, более 100 готовых к отправке на фронт ракет “Фау-2”, боевые стар</w:t>
      </w:r>
      <w:r w:rsidRPr="00925F26">
        <w:rPr>
          <w:color w:val="000000" w:themeColor="text1"/>
          <w:sz w:val="16"/>
          <w:szCs w:val="16"/>
        </w:rPr>
        <w:softHyphen/>
        <w:t>товые позиции вместе с военным пер</w:t>
      </w:r>
      <w:r w:rsidRPr="00925F26">
        <w:rPr>
          <w:color w:val="000000" w:themeColor="text1"/>
          <w:sz w:val="16"/>
          <w:szCs w:val="16"/>
        </w:rPr>
        <w:softHyphen/>
        <w:t>соналом, хорошо подготовленным к эксплуатации ракет. На полигон Уайт-Сэндз прибыло из-за океана 115 приборных и 127 топливных отсеков, 180 кислородных баков, 200 турбонасосных агрегатов и 215 двигателей. 16 апреля 1946 г. на полигоне Уайт- Сендз США произвели первый пуск трофейной “Фау-2” (19630).</w:t>
      </w:r>
    </w:p>
    <w:p w14:paraId="2B1CF58A" w14:textId="77777777" w:rsidR="004252F4" w:rsidRPr="00925F26" w:rsidRDefault="004252F4" w:rsidP="00925F26">
      <w:pPr>
        <w:jc w:val="both"/>
        <w:rPr>
          <w:color w:val="000000" w:themeColor="text1"/>
          <w:sz w:val="16"/>
          <w:szCs w:val="16"/>
        </w:rPr>
      </w:pPr>
    </w:p>
    <w:p w14:paraId="11048634" w14:textId="77777777" w:rsidR="002471D5" w:rsidRPr="00925F26" w:rsidRDefault="002471D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 мая 1945 Вернер фон Браун и Вальтер Дорнбергер сдались в плен американцам (2990).</w:t>
      </w:r>
    </w:p>
    <w:p w14:paraId="759D2EE9" w14:textId="77777777" w:rsidR="002471D5" w:rsidRPr="00925F26" w:rsidRDefault="002471D5" w:rsidP="00925F26">
      <w:pPr>
        <w:autoSpaceDE w:val="0"/>
        <w:autoSpaceDN w:val="0"/>
        <w:adjustRightInd w:val="0"/>
        <w:jc w:val="both"/>
        <w:rPr>
          <w:color w:val="000000" w:themeColor="text1"/>
          <w:sz w:val="16"/>
          <w:szCs w:val="16"/>
        </w:rPr>
      </w:pPr>
    </w:p>
    <w:p w14:paraId="2A1D9F6D" w14:textId="77777777" w:rsidR="002471D5" w:rsidRPr="00925F26" w:rsidRDefault="002471D5" w:rsidP="00925F26">
      <w:pPr>
        <w:autoSpaceDE w:val="0"/>
        <w:autoSpaceDN w:val="0"/>
        <w:adjustRightInd w:val="0"/>
        <w:jc w:val="both"/>
        <w:rPr>
          <w:color w:val="000000" w:themeColor="text1"/>
          <w:sz w:val="16"/>
          <w:szCs w:val="16"/>
        </w:rPr>
      </w:pPr>
      <w:r w:rsidRPr="00925F26">
        <w:rPr>
          <w:color w:val="000000" w:themeColor="text1"/>
          <w:sz w:val="16"/>
          <w:szCs w:val="16"/>
        </w:rPr>
        <w:t>2 мая 1945 г. главный конструктор ракеты Фау-2 фон Браун вместе с группой основных разработчиков ракеты сдался в плен частям 7-й американской армии (11117).</w:t>
      </w:r>
    </w:p>
    <w:p w14:paraId="4D79D8F6" w14:textId="77777777" w:rsidR="002471D5" w:rsidRPr="00925F26" w:rsidRDefault="002471D5" w:rsidP="00925F26">
      <w:pPr>
        <w:autoSpaceDE w:val="0"/>
        <w:autoSpaceDN w:val="0"/>
        <w:adjustRightInd w:val="0"/>
        <w:jc w:val="both"/>
        <w:rPr>
          <w:color w:val="000000" w:themeColor="text1"/>
          <w:sz w:val="16"/>
          <w:szCs w:val="16"/>
        </w:rPr>
      </w:pPr>
    </w:p>
    <w:p w14:paraId="5685305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мая 1945 английские войска захватили Любек (Германия) (4962).</w:t>
      </w:r>
    </w:p>
    <w:p w14:paraId="4E9BF3F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FEBF2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в Германии части британской армии вышли к Любеку, чтобы предотвратить наступление КА на Данию (3907,256).</w:t>
      </w:r>
    </w:p>
    <w:p w14:paraId="29D042AE" w14:textId="77777777" w:rsidR="00665165" w:rsidRPr="00925F26" w:rsidRDefault="00665165" w:rsidP="00925F26">
      <w:pPr>
        <w:autoSpaceDE w:val="0"/>
        <w:autoSpaceDN w:val="0"/>
        <w:adjustRightInd w:val="0"/>
        <w:jc w:val="both"/>
        <w:rPr>
          <w:color w:val="000000" w:themeColor="text1"/>
          <w:sz w:val="16"/>
          <w:szCs w:val="16"/>
        </w:rPr>
      </w:pPr>
    </w:p>
    <w:p w14:paraId="359ACA81"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в Германии части британской армии выходят к Любеку (Германия) с целью предотвратить советскую оккупацию Дании (14879).</w:t>
      </w:r>
    </w:p>
    <w:p w14:paraId="0E5780AC" w14:textId="77777777" w:rsidR="002471D5" w:rsidRPr="00925F26" w:rsidRDefault="002471D5" w:rsidP="00925F26">
      <w:pPr>
        <w:jc w:val="both"/>
        <w:rPr>
          <w:color w:val="000000" w:themeColor="text1"/>
          <w:sz w:val="16"/>
          <w:szCs w:val="16"/>
        </w:rPr>
      </w:pPr>
    </w:p>
    <w:p w14:paraId="4DEFF6B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мая 1945 году американские войска освободили концлагерь Маутхаузен (</w:t>
      </w:r>
      <w:proofErr w:type="gramStart"/>
      <w:r w:rsidRPr="00925F26">
        <w:rPr>
          <w:color w:val="000000" w:themeColor="text1"/>
          <w:sz w:val="16"/>
          <w:szCs w:val="16"/>
        </w:rPr>
        <w:t>4963 )</w:t>
      </w:r>
      <w:proofErr w:type="gramEnd"/>
      <w:r w:rsidRPr="00925F26">
        <w:rPr>
          <w:color w:val="000000" w:themeColor="text1"/>
          <w:sz w:val="16"/>
          <w:szCs w:val="16"/>
        </w:rPr>
        <w:t>.</w:t>
      </w:r>
    </w:p>
    <w:p w14:paraId="09D9899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980A3B8"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по официальной версии ближайший соратник Гитлера, начальник Партийной канцелярии НСДАП Мартин Борман отравился цианистым калием. Позже он был заочно приговорен к казни, но, скорее всего, он к тому времени был уже мертв (14879).</w:t>
      </w:r>
    </w:p>
    <w:p w14:paraId="5715D4AF" w14:textId="77777777" w:rsidR="002471D5" w:rsidRPr="00925F26" w:rsidRDefault="002471D5" w:rsidP="00925F26">
      <w:pPr>
        <w:jc w:val="both"/>
        <w:rPr>
          <w:color w:val="000000" w:themeColor="text1"/>
          <w:sz w:val="16"/>
          <w:szCs w:val="16"/>
        </w:rPr>
      </w:pPr>
    </w:p>
    <w:p w14:paraId="7B8D2DBD"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президент США Гарри Трумен утвердил список членов специального межведомственного Временного комитета, созданного для решения всех вопросов, относящихся к применению атомного оружия (Свое решение, взорвать или не взрывать бомбу, президент должен был принять лишь взвесив рекомендации комитета). Через два дня, 4 мая 1945 г. состоялось его первое заседание (14879).</w:t>
      </w:r>
    </w:p>
    <w:p w14:paraId="7220A8A3" w14:textId="77777777" w:rsidR="002471D5" w:rsidRPr="00925F26" w:rsidRDefault="002471D5" w:rsidP="00925F26">
      <w:pPr>
        <w:jc w:val="both"/>
        <w:rPr>
          <w:color w:val="000000" w:themeColor="text1"/>
          <w:sz w:val="16"/>
          <w:szCs w:val="16"/>
        </w:rPr>
      </w:pPr>
    </w:p>
    <w:p w14:paraId="69F274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lang w:val="en-US"/>
        </w:rPr>
        <w:t>May</w:t>
      </w:r>
      <w:r w:rsidRPr="00925F26">
        <w:rPr>
          <w:color w:val="000000" w:themeColor="text1"/>
          <w:sz w:val="16"/>
          <w:szCs w:val="16"/>
        </w:rPr>
        <w:t xml:space="preserve"> 2 1945 </w:t>
      </w:r>
      <w:r w:rsidRPr="00925F26">
        <w:rPr>
          <w:color w:val="000000" w:themeColor="text1"/>
          <w:sz w:val="16"/>
          <w:szCs w:val="16"/>
          <w:lang w:val="en-US"/>
        </w:rPr>
        <w:t>GermantroopsinItalysurrender</w:t>
      </w:r>
      <w:r w:rsidRPr="00925F26">
        <w:rPr>
          <w:color w:val="000000" w:themeColor="text1"/>
          <w:sz w:val="16"/>
          <w:szCs w:val="16"/>
        </w:rPr>
        <w:t xml:space="preserve"> (1050).</w:t>
      </w:r>
    </w:p>
    <w:p w14:paraId="156CDD2C" w14:textId="77777777" w:rsidR="00665165" w:rsidRPr="00925F26" w:rsidRDefault="00665165" w:rsidP="00925F26">
      <w:pPr>
        <w:autoSpaceDE w:val="0"/>
        <w:autoSpaceDN w:val="0"/>
        <w:adjustRightInd w:val="0"/>
        <w:jc w:val="both"/>
        <w:rPr>
          <w:color w:val="000000" w:themeColor="text1"/>
          <w:sz w:val="16"/>
          <w:szCs w:val="16"/>
        </w:rPr>
      </w:pPr>
    </w:p>
    <w:p w14:paraId="0C6DA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немцы сдались в Италии (1050).</w:t>
      </w:r>
    </w:p>
    <w:p w14:paraId="6588C625" w14:textId="77777777" w:rsidR="00665165" w:rsidRPr="00925F26" w:rsidRDefault="00665165" w:rsidP="00925F26">
      <w:pPr>
        <w:autoSpaceDE w:val="0"/>
        <w:autoSpaceDN w:val="0"/>
        <w:adjustRightInd w:val="0"/>
        <w:jc w:val="both"/>
        <w:rPr>
          <w:color w:val="000000" w:themeColor="text1"/>
          <w:sz w:val="16"/>
          <w:szCs w:val="16"/>
        </w:rPr>
      </w:pPr>
    </w:p>
    <w:p w14:paraId="4B266F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мая 1945 г. прекратились боевые действия на южном направлении в Италии (3871).</w:t>
      </w:r>
    </w:p>
    <w:p w14:paraId="1C9CF18F" w14:textId="77777777" w:rsidR="00665165" w:rsidRPr="00925F26" w:rsidRDefault="00665165" w:rsidP="00925F26">
      <w:pPr>
        <w:autoSpaceDE w:val="0"/>
        <w:autoSpaceDN w:val="0"/>
        <w:adjustRightInd w:val="0"/>
        <w:jc w:val="both"/>
        <w:rPr>
          <w:color w:val="000000" w:themeColor="text1"/>
          <w:sz w:val="16"/>
          <w:szCs w:val="16"/>
        </w:rPr>
      </w:pPr>
    </w:p>
    <w:p w14:paraId="4BEBB0BF" w14:textId="77777777" w:rsidR="002471D5" w:rsidRPr="00925F26" w:rsidRDefault="002471D5" w:rsidP="00925F26">
      <w:pPr>
        <w:jc w:val="both"/>
        <w:rPr>
          <w:color w:val="000000" w:themeColor="text1"/>
          <w:sz w:val="16"/>
          <w:szCs w:val="16"/>
        </w:rPr>
      </w:pPr>
      <w:r w:rsidRPr="00925F26">
        <w:rPr>
          <w:color w:val="000000" w:themeColor="text1"/>
          <w:sz w:val="16"/>
          <w:szCs w:val="16"/>
        </w:rPr>
        <w:t>2 мая в 1945 году югославские войска заняли Триест (14879).</w:t>
      </w:r>
    </w:p>
    <w:p w14:paraId="2BE87943" w14:textId="77777777" w:rsidR="002471D5" w:rsidRPr="00925F26" w:rsidRDefault="002471D5" w:rsidP="00925F26">
      <w:pPr>
        <w:jc w:val="both"/>
        <w:rPr>
          <w:color w:val="000000" w:themeColor="text1"/>
          <w:sz w:val="16"/>
          <w:szCs w:val="16"/>
        </w:rPr>
      </w:pPr>
    </w:p>
    <w:p w14:paraId="59C82EAE" w14:textId="77777777" w:rsidR="00385035" w:rsidRPr="00925F26" w:rsidRDefault="00385035" w:rsidP="00925F26">
      <w:pPr>
        <w:jc w:val="both"/>
        <w:rPr>
          <w:color w:val="000000" w:themeColor="text1"/>
          <w:sz w:val="16"/>
          <w:szCs w:val="16"/>
        </w:rPr>
      </w:pPr>
      <w:r w:rsidRPr="00925F26">
        <w:rPr>
          <w:color w:val="000000" w:themeColor="text1"/>
          <w:sz w:val="16"/>
          <w:szCs w:val="16"/>
        </w:rPr>
        <w:t xml:space="preserve">2 мая 1945 Британский Ост - Индиский флот, состоящий из авианосцев HMS императора, HMS Hunter, HMS Хедив и HMS Stalker - начать поддержку операции Дракула - британского нападения на Рангун, Бирма. Их самолеты совершают 110 боевых вылетов, бомбят японские войска в поддержку британской высадки морского десанта (20371). </w:t>
      </w:r>
    </w:p>
    <w:p w14:paraId="6FB39C4E" w14:textId="77777777" w:rsidR="00385035" w:rsidRPr="00925F26" w:rsidRDefault="00385035" w:rsidP="00925F26">
      <w:pPr>
        <w:jc w:val="both"/>
        <w:rPr>
          <w:color w:val="000000" w:themeColor="text1"/>
          <w:sz w:val="16"/>
          <w:szCs w:val="16"/>
        </w:rPr>
      </w:pPr>
    </w:p>
    <w:p w14:paraId="58804708" w14:textId="77777777" w:rsidR="00385035" w:rsidRPr="00925F26" w:rsidRDefault="00385035" w:rsidP="00925F26">
      <w:pPr>
        <w:jc w:val="both"/>
        <w:rPr>
          <w:color w:val="000000" w:themeColor="text1"/>
          <w:sz w:val="16"/>
          <w:szCs w:val="16"/>
        </w:rPr>
      </w:pPr>
      <w:r w:rsidRPr="00925F26">
        <w:rPr>
          <w:color w:val="000000" w:themeColor="text1"/>
          <w:sz w:val="16"/>
          <w:szCs w:val="16"/>
        </w:rPr>
        <w:t>2–3 мая 1945, атакуя вражеские аэродромы, «Москито» Королевских ВВС из группы № 8 проводят последнее наступление в войне (20371).</w:t>
      </w:r>
    </w:p>
    <w:p w14:paraId="4C31F0EC" w14:textId="77777777" w:rsidR="00385035" w:rsidRPr="00925F26" w:rsidRDefault="00385035" w:rsidP="00925F26">
      <w:pPr>
        <w:jc w:val="both"/>
        <w:rPr>
          <w:color w:val="000000" w:themeColor="text1"/>
          <w:sz w:val="16"/>
          <w:szCs w:val="16"/>
        </w:rPr>
      </w:pPr>
    </w:p>
    <w:p w14:paraId="1080CC1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8218204" w14:textId="77777777" w:rsidR="00665165" w:rsidRPr="00925F26" w:rsidRDefault="00665165" w:rsidP="00925F26">
      <w:pPr>
        <w:autoSpaceDE w:val="0"/>
        <w:autoSpaceDN w:val="0"/>
        <w:adjustRightInd w:val="0"/>
        <w:jc w:val="both"/>
        <w:rPr>
          <w:iCs/>
          <w:color w:val="000000" w:themeColor="text1"/>
          <w:sz w:val="16"/>
          <w:szCs w:val="16"/>
        </w:rPr>
      </w:pPr>
    </w:p>
    <w:p w14:paraId="7885A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Г.М.М., А.И.Ш. и А.Новиков писали письмо И.В.С.:</w:t>
      </w:r>
    </w:p>
    <w:p w14:paraId="3A1C96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"Товарищу Сталину</w:t>
      </w:r>
    </w:p>
    <w:p w14:paraId="75B3E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выпускаемых в настоящее время самолетах Ил-2 кабина стрелка не имеет никакой бронезащиты. Для защиты стрелка строевые части вынуждены устанавливать на самолетах Ил-2 дополнительные бронедетали весом 90 кг.</w:t>
      </w:r>
    </w:p>
    <w:p w14:paraId="1181EF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заводе 30 НКАП построен и прошел гос. испытания самолет Ил-2 с удлиненным бронекорпусом. Стрелок, кабина которого расположена в удлиненной части бронекорпуса, защищен на этом самолете сзади, снизу, с боков бронелистами толщиной 5-6 мм. </w:t>
      </w:r>
      <w:proofErr w:type="gramStart"/>
      <w:r w:rsidRPr="00925F26">
        <w:rPr>
          <w:color w:val="000000" w:themeColor="text1"/>
          <w:sz w:val="16"/>
          <w:szCs w:val="16"/>
        </w:rPr>
        <w:t>Кроме того</w:t>
      </w:r>
      <w:proofErr w:type="gramEnd"/>
      <w:r w:rsidRPr="00925F26">
        <w:rPr>
          <w:color w:val="000000" w:themeColor="text1"/>
          <w:sz w:val="16"/>
          <w:szCs w:val="16"/>
        </w:rPr>
        <w:t xml:space="preserve"> на удлиненном бронекорпусе 4-х мм нижние и боковые бронелисты в наиболее поражаемых местах заменены бронелистами толщиной 8 мм, а 5-ти мм заслонки маслорпадиатора - бронелистами толщиной 12 мм. Бронь на верхней части бронекорпуса, перед бензобаком, за втулкой винта, где имели место единичные случаи поражения, заменена дюралевыми листами. Вес самолета Ил-2 с удлиненным бронекорпусом оказался на 15 кг меньшим веса того же самолета с дополнительным бронированием кабины стрелка в частях ВВС КА. Вооружение, бомбовая нагрузка и остальные ЛТД не изменились.</w:t>
      </w:r>
    </w:p>
    <w:p w14:paraId="40DAAC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30 уже построил 120 (зачеркнуто - поставлено 70) самолетов Ил-2 с удлиненным бронекорпусом и перевод его на выпуск всех самолетов с удлиненным бронекорпусом трудности не представляет.</w:t>
      </w:r>
    </w:p>
    <w:p w14:paraId="201C4A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Просим утвердить предлагаемый проект постановления ГКО "О выпуске самолетов Ил-2 с удлиненным бронекорпусом". (1870,140).</w:t>
      </w:r>
    </w:p>
    <w:p w14:paraId="786FEB1A" w14:textId="77777777" w:rsidR="00665165" w:rsidRPr="00925F26" w:rsidRDefault="00665165" w:rsidP="00925F26">
      <w:pPr>
        <w:autoSpaceDE w:val="0"/>
        <w:autoSpaceDN w:val="0"/>
        <w:adjustRightInd w:val="0"/>
        <w:jc w:val="both"/>
        <w:rPr>
          <w:color w:val="000000" w:themeColor="text1"/>
          <w:sz w:val="16"/>
          <w:szCs w:val="16"/>
        </w:rPr>
      </w:pPr>
    </w:p>
    <w:p w14:paraId="789B2B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мая 1945 директор завода Белянский получил телеграмму за подписью заместителя нарко</w:t>
      </w:r>
      <w:r w:rsidRPr="00925F26">
        <w:rPr>
          <w:color w:val="000000" w:themeColor="text1"/>
          <w:sz w:val="16"/>
          <w:szCs w:val="16"/>
        </w:rPr>
        <w:softHyphen/>
        <w:t>ма авиапромышленности Кузнецова, в которой приказывалось к 15 мая запустить в серию заводской вариант пылефильтра и, кроме того, изготовить партию пылефильтров полевого вариан</w:t>
      </w:r>
      <w:r w:rsidRPr="00925F26">
        <w:rPr>
          <w:color w:val="000000" w:themeColor="text1"/>
          <w:sz w:val="16"/>
          <w:szCs w:val="16"/>
        </w:rPr>
        <w:softHyphen/>
        <w:t>та и вместе с ремонтными бригадами направить их на фронт. Как следует из документов, ремонтные бригады прибыли в полки в середине июня (11474,516).</w:t>
      </w:r>
    </w:p>
    <w:p w14:paraId="73EDF0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3B17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мая 1945 Ил-АМ-42 (экз. № 1) в новом моторе АМ-42 (зав. № 45760) после двух полетов в маслофильтре мотора было обна</w:t>
      </w:r>
      <w:r w:rsidRPr="00925F26">
        <w:rPr>
          <w:color w:val="000000" w:themeColor="text1"/>
          <w:sz w:val="16"/>
          <w:szCs w:val="16"/>
        </w:rPr>
        <w:softHyphen/>
        <w:t xml:space="preserve">ружено </w:t>
      </w:r>
      <w:r w:rsidRPr="00925F26">
        <w:rPr>
          <w:iCs/>
          <w:color w:val="000000" w:themeColor="text1"/>
          <w:sz w:val="16"/>
          <w:szCs w:val="16"/>
        </w:rPr>
        <w:t>"большое количество метал</w:t>
      </w:r>
      <w:r w:rsidRPr="00925F26">
        <w:rPr>
          <w:iCs/>
          <w:color w:val="000000" w:themeColor="text1"/>
          <w:sz w:val="16"/>
          <w:szCs w:val="16"/>
        </w:rPr>
        <w:softHyphen/>
        <w:t xml:space="preserve">лической стружки". </w:t>
      </w:r>
      <w:r w:rsidRPr="00925F26">
        <w:rPr>
          <w:color w:val="000000" w:themeColor="text1"/>
          <w:sz w:val="16"/>
          <w:szCs w:val="16"/>
        </w:rPr>
        <w:t>26 апреля 1945 из-за сильного выброса масла в полете, мотор АМ-42 (зав. № 45591) был снят с самолета Ил-АМ-42 (экз. № 1) и вместо него установлен новый мо</w:t>
      </w:r>
      <w:r w:rsidRPr="00925F26">
        <w:rPr>
          <w:color w:val="000000" w:themeColor="text1"/>
          <w:sz w:val="16"/>
          <w:szCs w:val="16"/>
        </w:rPr>
        <w:softHyphen/>
        <w:t>тор (зав. № 45760). Перед отправ</w:t>
      </w:r>
      <w:r w:rsidRPr="00925F26">
        <w:rPr>
          <w:color w:val="000000" w:themeColor="text1"/>
          <w:sz w:val="16"/>
          <w:szCs w:val="16"/>
        </w:rPr>
        <w:softHyphen/>
        <w:t>кой в утиль "старый" мотор нарабо</w:t>
      </w:r>
      <w:r w:rsidRPr="00925F26">
        <w:rPr>
          <w:color w:val="000000" w:themeColor="text1"/>
          <w:sz w:val="16"/>
          <w:szCs w:val="16"/>
        </w:rPr>
        <w:softHyphen/>
        <w:t>тал 22 часа 48 минут в воздухе и 16 часов - на земле. Однако АМ-42 с новым номером работал не лучше прежнего. Мотор был снят. Через два дня на Ил-8 № 1 устано</w:t>
      </w:r>
      <w:r w:rsidRPr="00925F26">
        <w:rPr>
          <w:color w:val="000000" w:themeColor="text1"/>
          <w:sz w:val="16"/>
          <w:szCs w:val="16"/>
        </w:rPr>
        <w:softHyphen/>
        <w:t>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18006F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полетном весе 7540 кг (1 000 кг бомб) самолет показал мак</w:t>
      </w:r>
      <w:r w:rsidRPr="00925F26">
        <w:rPr>
          <w:color w:val="000000" w:themeColor="text1"/>
          <w:sz w:val="16"/>
          <w:szCs w:val="16"/>
        </w:rPr>
        <w:softHyphen/>
        <w:t>симальную скорость 473 км/ч у зем</w:t>
      </w:r>
      <w:r w:rsidRPr="00925F26">
        <w:rPr>
          <w:color w:val="000000" w:themeColor="text1"/>
          <w:sz w:val="16"/>
          <w:szCs w:val="16"/>
        </w:rPr>
        <w:softHyphen/>
        <w:t>ли и 516 км/ч на высоте 2720 м. Время подъема на высоту 1000 м со</w:t>
      </w:r>
      <w:r w:rsidRPr="00925F26">
        <w:rPr>
          <w:color w:val="000000" w:themeColor="text1"/>
          <w:sz w:val="16"/>
          <w:szCs w:val="16"/>
        </w:rPr>
        <w:softHyphen/>
        <w:t>ставило 2,2 минут. Разбег на фор</w:t>
      </w:r>
      <w:r w:rsidRPr="00925F26">
        <w:rPr>
          <w:color w:val="000000" w:themeColor="text1"/>
          <w:sz w:val="16"/>
          <w:szCs w:val="16"/>
        </w:rPr>
        <w:softHyphen/>
        <w:t>саже и с отклоненными на 17° щит</w:t>
      </w:r>
      <w:r w:rsidRPr="00925F26">
        <w:rPr>
          <w:color w:val="000000" w:themeColor="text1"/>
          <w:sz w:val="16"/>
          <w:szCs w:val="16"/>
        </w:rPr>
        <w:softHyphen/>
        <w:t>ками равнялся 526 м. С предельно возможной заправкой горючим и маслом (полетный вес 7830 кг) даль</w:t>
      </w:r>
      <w:r w:rsidRPr="00925F26">
        <w:rPr>
          <w:color w:val="000000" w:themeColor="text1"/>
          <w:sz w:val="16"/>
          <w:szCs w:val="16"/>
        </w:rPr>
        <w:softHyphen/>
        <w:t>ность полета на высоте 680 м при скорости по прибору 297 км/ч дос</w:t>
      </w:r>
      <w:r w:rsidRPr="00925F26">
        <w:rPr>
          <w:color w:val="000000" w:themeColor="text1"/>
          <w:sz w:val="16"/>
          <w:szCs w:val="16"/>
        </w:rPr>
        <w:softHyphen/>
        <w:t>тигала 1270 км.</w:t>
      </w:r>
    </w:p>
    <w:p w14:paraId="63C8F6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Генерал В. К. Коккинаки дал хо</w:t>
      </w:r>
      <w:r w:rsidRPr="00925F26">
        <w:rPr>
          <w:color w:val="000000" w:themeColor="text1"/>
          <w:sz w:val="16"/>
          <w:szCs w:val="16"/>
        </w:rPr>
        <w:softHyphen/>
        <w:t>рошую оценку летным качествам са</w:t>
      </w:r>
      <w:r w:rsidRPr="00925F26">
        <w:rPr>
          <w:color w:val="000000" w:themeColor="text1"/>
          <w:sz w:val="16"/>
          <w:szCs w:val="16"/>
        </w:rPr>
        <w:softHyphen/>
        <w:t>молета, отметив простоту и легкость управления, а также устойчивость ма</w:t>
      </w:r>
      <w:r w:rsidRPr="00925F26">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925F26">
        <w:rPr>
          <w:color w:val="000000" w:themeColor="text1"/>
          <w:sz w:val="16"/>
          <w:szCs w:val="16"/>
        </w:rPr>
        <w:softHyphen/>
        <w:t>каких особенностей не имел. Посад</w:t>
      </w:r>
      <w:r w:rsidRPr="00925F26">
        <w:rPr>
          <w:color w:val="000000" w:themeColor="text1"/>
          <w:sz w:val="16"/>
          <w:szCs w:val="16"/>
        </w:rPr>
        <w:softHyphen/>
        <w:t>ка была простой, тенденций к свали</w:t>
      </w:r>
      <w:r w:rsidRPr="00925F26">
        <w:rPr>
          <w:color w:val="000000" w:themeColor="text1"/>
          <w:sz w:val="16"/>
          <w:szCs w:val="16"/>
        </w:rPr>
        <w:softHyphen/>
        <w:t>ванию при высоком выравнивании не наблюдалось. В качестве недостат</w:t>
      </w:r>
      <w:r w:rsidRPr="00925F26">
        <w:rPr>
          <w:color w:val="000000" w:themeColor="text1"/>
          <w:sz w:val="16"/>
          <w:szCs w:val="16"/>
        </w:rPr>
        <w:softHyphen/>
        <w:t>ков указывались отсутствие тримме</w:t>
      </w:r>
      <w:r w:rsidRPr="00925F26">
        <w:rPr>
          <w:color w:val="000000" w:themeColor="text1"/>
          <w:sz w:val="16"/>
          <w:szCs w:val="16"/>
        </w:rPr>
        <w:softHyphen/>
        <w:t>ра на элеронах и неравномерный обдув маслорадиатора.</w:t>
      </w:r>
    </w:p>
    <w:p w14:paraId="2FB2A2BF" w14:textId="77777777" w:rsidR="00665165" w:rsidRPr="00925F26" w:rsidRDefault="00665165" w:rsidP="00925F26">
      <w:pPr>
        <w:shd w:val="clear" w:color="auto" w:fill="FFFFFF"/>
        <w:autoSpaceDE w:val="0"/>
        <w:autoSpaceDN w:val="0"/>
        <w:adjustRightInd w:val="0"/>
        <w:jc w:val="both"/>
        <w:rPr>
          <w:iCs/>
          <w:color w:val="000000" w:themeColor="text1"/>
          <w:sz w:val="16"/>
          <w:szCs w:val="16"/>
        </w:rPr>
      </w:pPr>
      <w:r w:rsidRPr="00925F26">
        <w:rPr>
          <w:color w:val="000000" w:themeColor="text1"/>
          <w:sz w:val="16"/>
          <w:szCs w:val="16"/>
        </w:rPr>
        <w:t xml:space="preserve">В заключение отчета Ил-8 № 1 рекомендовался </w:t>
      </w:r>
      <w:r w:rsidRPr="00925F26">
        <w:rPr>
          <w:iCs/>
          <w:color w:val="000000" w:themeColor="text1"/>
          <w:sz w:val="16"/>
          <w:szCs w:val="16"/>
        </w:rPr>
        <w:t>"к внедрению в се</w:t>
      </w:r>
      <w:r w:rsidRPr="00925F26">
        <w:rPr>
          <w:iCs/>
          <w:color w:val="000000" w:themeColor="text1"/>
          <w:sz w:val="16"/>
          <w:szCs w:val="16"/>
        </w:rPr>
        <w:softHyphen/>
        <w:t>рийное производство в качестве штурмовика-бомбардировщика " (11431).</w:t>
      </w:r>
    </w:p>
    <w:p w14:paraId="731A50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39E8D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04B0E4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В.А.Шубранов</w:t>
      </w:r>
    </w:p>
    <w:p w14:paraId="114955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 М.А.Нюхтиков</w:t>
      </w:r>
    </w:p>
    <w:p w14:paraId="455AEC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м-р М.П.Субботин</w:t>
      </w:r>
    </w:p>
    <w:p w14:paraId="4C2FC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6143DB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госиспытаниях этих винтов в марте 1945 получено увеличение скорости от 11 до 15 км/ча, но разбег с-та увеличился на 120 м.</w:t>
      </w:r>
    </w:p>
    <w:p w14:paraId="034839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Ввиду этого этот винт не был рекомендован</w:t>
      </w:r>
    </w:p>
    <w:p w14:paraId="04D0F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уменьшения длины разбега при сохранении макс. скорости ЦАГИ предложен для Ту-2 с 2АШ-82ФН новые винты АВ-5В-37 диаметром 3,6 м.</w:t>
      </w:r>
    </w:p>
    <w:p w14:paraId="5FD352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испытаний и эти винты не были рекомендованы, как значительно ухудшившие взлетные свойства с-та.</w:t>
      </w:r>
    </w:p>
    <w:p w14:paraId="4904B1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Лосюков 30 апреля 1945, Сафронов 30 апреля 1945</w:t>
      </w:r>
    </w:p>
    <w:p w14:paraId="540FD8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винтами серийными АВ-5В-167А в марте 1945 были получены:</w:t>
      </w:r>
    </w:p>
    <w:p w14:paraId="7EF796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 - 477 км/час</w:t>
      </w:r>
    </w:p>
    <w:p w14:paraId="7B433A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 гр. высотности 2600 м - 530 км/час</w:t>
      </w:r>
    </w:p>
    <w:p w14:paraId="5D309D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 высотности 5700 м - 544 км/час</w:t>
      </w:r>
    </w:p>
    <w:p w14:paraId="2D0D9C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 - 9,3</w:t>
      </w:r>
    </w:p>
    <w:p w14:paraId="7E3BD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9650 м, время набора - 38</w:t>
      </w:r>
    </w:p>
    <w:p w14:paraId="593BA9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- 690 м</w:t>
      </w:r>
    </w:p>
    <w:p w14:paraId="60E7B3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Взлетный режим - обороты - 2500, Рк 1180.</w:t>
      </w:r>
    </w:p>
    <w:p w14:paraId="33DA1A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12720 кг</w:t>
      </w:r>
    </w:p>
    <w:p w14:paraId="512783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отрыва 190 км/час (807,5).</w:t>
      </w:r>
    </w:p>
    <w:p w14:paraId="73DF3BBE" w14:textId="77777777" w:rsidR="00665165" w:rsidRPr="00925F26" w:rsidRDefault="00665165" w:rsidP="00925F26">
      <w:pPr>
        <w:autoSpaceDE w:val="0"/>
        <w:autoSpaceDN w:val="0"/>
        <w:adjustRightInd w:val="0"/>
        <w:jc w:val="both"/>
        <w:rPr>
          <w:color w:val="000000" w:themeColor="text1"/>
          <w:sz w:val="16"/>
          <w:szCs w:val="16"/>
        </w:rPr>
      </w:pPr>
    </w:p>
    <w:p w14:paraId="5603DA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3 мая 1945 с 23 февраля 1945, как следует из отчета ЛИИ, на самолете (ведущий инженер Е.Ф.Шварцбург) в ходе испытаний высотного истребителя-перехватчика Як-ЗПД с двигателем ВК-105ПД с опытным винтом ВИШ-105ТЛ-2 диаметром 3 метра с отшлифованными лопастями, которые проходили с 19 февраля 1945 по 5 мая 1945 г.)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6CDA22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0778A4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3A5038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32A411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B44C5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78587C15" w14:textId="77777777" w:rsidR="00665165" w:rsidRPr="00925F26" w:rsidRDefault="00665165" w:rsidP="00925F26">
      <w:pPr>
        <w:autoSpaceDE w:val="0"/>
        <w:autoSpaceDN w:val="0"/>
        <w:adjustRightInd w:val="0"/>
        <w:jc w:val="both"/>
        <w:rPr>
          <w:color w:val="000000" w:themeColor="text1"/>
          <w:sz w:val="16"/>
          <w:szCs w:val="16"/>
        </w:rPr>
      </w:pPr>
    </w:p>
    <w:p w14:paraId="759D3C9E" w14:textId="77777777" w:rsidR="00AD5074"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C2B7781" w14:textId="77777777" w:rsidR="00AD5074" w:rsidRPr="00925F26" w:rsidRDefault="00AD5074" w:rsidP="00925F26">
      <w:pPr>
        <w:autoSpaceDE w:val="0"/>
        <w:autoSpaceDN w:val="0"/>
        <w:adjustRightInd w:val="0"/>
        <w:jc w:val="both"/>
        <w:rPr>
          <w:iCs/>
          <w:color w:val="000000" w:themeColor="text1"/>
          <w:sz w:val="16"/>
          <w:szCs w:val="16"/>
        </w:rPr>
      </w:pPr>
    </w:p>
    <w:p w14:paraId="1A945E51" w14:textId="77777777" w:rsidR="004252F4" w:rsidRPr="00925F26" w:rsidRDefault="004252F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3 мая 1945 года Т-54 прибыл на Гороховецкий АНИОП, где с 10 по 12 мая прошли испытания стрельбой. Интересно, что в отчёте система называлась Д-10Т, хотя по фотографиям и описанию видно, что на самом деле испытывалась другая система — Д-10ТК. На артиллерийских испытаниях кучность признали чуть хуже табличной, при этом прицельная скорострельность оказалась выше — 6,3 выстрела в минуту. Впрочем, весь боекомплект был выпущен за 10 минут 30 секунд. Экипаж чувствовал себя нормально, разве что заряжающий испытывал шум в голове. Испытания в объёме 250 выстрелов орудие выдержало, но повторились претензии к месту командира, а также механизмам наведения орудия — это ещё раз доказывало необходимость доработок (19090).</w:t>
      </w:r>
    </w:p>
    <w:p w14:paraId="48F303B8" w14:textId="77777777" w:rsidR="004252F4" w:rsidRPr="00925F26" w:rsidRDefault="004252F4" w:rsidP="00925F26">
      <w:pPr>
        <w:pStyle w:val="ae"/>
        <w:shd w:val="clear" w:color="auto" w:fill="FFFFFF"/>
        <w:spacing w:before="0" w:after="0"/>
        <w:jc w:val="both"/>
        <w:textAlignment w:val="baseline"/>
        <w:rPr>
          <w:color w:val="000000" w:themeColor="text1"/>
          <w:sz w:val="16"/>
          <w:szCs w:val="16"/>
        </w:rPr>
      </w:pPr>
    </w:p>
    <w:p w14:paraId="2DE28FD3" w14:textId="77777777" w:rsidR="00AD5074" w:rsidRPr="00925F26" w:rsidRDefault="00AD5074" w:rsidP="00925F26">
      <w:pPr>
        <w:pStyle w:val="book"/>
        <w:ind w:firstLine="0"/>
        <w:jc w:val="both"/>
        <w:rPr>
          <w:color w:val="000000" w:themeColor="text1"/>
          <w:sz w:val="16"/>
          <w:szCs w:val="16"/>
        </w:rPr>
      </w:pPr>
      <w:r w:rsidRPr="00925F26">
        <w:rPr>
          <w:color w:val="000000" w:themeColor="text1"/>
          <w:sz w:val="16"/>
          <w:szCs w:val="16"/>
        </w:rPr>
        <w:t>3 мая 1945 г. после попадания бомбы в районе острова Феймарн по свидетельству документов судно «Дер Дейче» оказалось выброшенным на берег. Первоначально лайнер назывался «Сьерра Марена», в 1934 г. был переименован в «Дер Дейче» («Немец»). Лайнер поступил под управление организации под названием «Немецкий рабочий фронт». Это была профсоюзная организация в Германии в период Третьего рейха. Компания «KdF — Reisen» (Путешествия «Сила через радость») являлась туристической организацией этого профсоюза, в оперативном управлении которого находились пассажирские лайнеры, переоборудованные в туристические. Путевки на эти суда распространялись среди членов профсоюза исключительно через «Немецкий рабочий фронт». Морские круизы «Дер Дейче» совершал в течение пяти лет — до августа 1939 г. Во Владивосток лайнер прибыл в октябре 1950 г. и стал эксплуатироваться на линии Владивосток — Петропавловск-Камчатский. В 1960 г. «Азию» поставили на ремонт на Владивостокском судоремонтном заводе, в ходе которого была модернизирована главная паровая машина, что позволило увеличить скорость хода до 14,5 узла. Котлы были переведены с угля на жидкое топливо. В июле 1961 г. ремонт был завершен, и «Азия» стала использоваться на прежней линии. 21 января 1967 г. лайнер был отправлен в последнее плавание и вскоре разрезан на металлолом (15225).</w:t>
      </w:r>
    </w:p>
    <w:p w14:paraId="67B44D4B" w14:textId="77777777" w:rsidR="00AD5074" w:rsidRPr="00925F26" w:rsidRDefault="00AD5074" w:rsidP="00925F26">
      <w:pPr>
        <w:pStyle w:val="book"/>
        <w:ind w:firstLine="0"/>
        <w:jc w:val="both"/>
        <w:rPr>
          <w:color w:val="000000" w:themeColor="text1"/>
          <w:sz w:val="16"/>
          <w:szCs w:val="16"/>
        </w:rPr>
      </w:pPr>
    </w:p>
    <w:p w14:paraId="0B062691" w14:textId="77777777" w:rsidR="00AD5074" w:rsidRPr="00925F26" w:rsidRDefault="00AD5074" w:rsidP="00925F26">
      <w:pPr>
        <w:jc w:val="both"/>
        <w:rPr>
          <w:color w:val="000000" w:themeColor="text1"/>
          <w:sz w:val="16"/>
          <w:szCs w:val="16"/>
        </w:rPr>
      </w:pPr>
      <w:r w:rsidRPr="00925F26">
        <w:rPr>
          <w:color w:val="000000" w:themeColor="text1"/>
          <w:sz w:val="16"/>
          <w:szCs w:val="16"/>
        </w:rPr>
        <w:t>3 мая в 1945 году от английских авиабомб в гавани Любек затонуло германское судно «Кап Аркона» «Cap Arcona» (27561 брт), перевозившее 5 тысяч заключенных концлагерей. Вероятно, рабочую силу хотели доставить в Южную Америку, где нацисты планировали возродить «Великий Рейх». Немецкий пассажирский лайнер. Совершал рейсы в Южную Америку. И даже «снялся» в фильме - играл «Титаник». Такая злая усмешка судьбы. Корабль, ныне находящийся в лидерах списка самых крупных морских катастроф, «примерил» на себя роль, сыграв более известный «Титаник».</w:t>
      </w:r>
    </w:p>
    <w:p w14:paraId="060246DF" w14:textId="77777777" w:rsidR="00AD5074" w:rsidRPr="00925F26" w:rsidRDefault="00AD5074" w:rsidP="00925F26">
      <w:pPr>
        <w:jc w:val="both"/>
        <w:rPr>
          <w:color w:val="000000" w:themeColor="text1"/>
          <w:sz w:val="16"/>
          <w:szCs w:val="16"/>
        </w:rPr>
      </w:pPr>
      <w:r w:rsidRPr="00925F26">
        <w:rPr>
          <w:color w:val="000000" w:themeColor="text1"/>
          <w:sz w:val="16"/>
          <w:szCs w:val="16"/>
        </w:rPr>
        <w:t>Получил повреждение и «Дойчланд» («Deutschland») - бывший лайнер компании «HAPAG» (1921 года постройки, 21046 брт, 196.6 м, 20 уз).</w:t>
      </w:r>
    </w:p>
    <w:p w14:paraId="20658359" w14:textId="77777777" w:rsidR="00AD5074" w:rsidRPr="00925F26" w:rsidRDefault="00AD5074" w:rsidP="00925F26">
      <w:pPr>
        <w:jc w:val="both"/>
        <w:rPr>
          <w:color w:val="000000" w:themeColor="text1"/>
          <w:sz w:val="16"/>
          <w:szCs w:val="16"/>
        </w:rPr>
      </w:pPr>
      <w:r w:rsidRPr="00925F26">
        <w:rPr>
          <w:color w:val="000000" w:themeColor="text1"/>
          <w:sz w:val="16"/>
          <w:szCs w:val="16"/>
        </w:rPr>
        <w:t>С середины апреля 1945 в Германии начались так называемые «Марши смерти» - узников концлагерей погнали к морю для эвакуации на кораблях (сопровождались значительной, порядка 50% смертностью среди заключенных). В бухте Любека за прием на борт заключенных отвечали бывшие лайнеры «Cap Arcona» и «Deutschland», транспорты «Thielbek» и «Athen» (1936 года постройки). Не исключено, что "Дойчланд" предназначался не для зеков, так как на него их, по видимому, не грузили. 19 апреля 1945 года началась погрузка заключенных на «Кап Аркону», «Тильбек» и "Афины". Ко 2 мая на судах в бухте Любека находилось более 13000 человек. На «Кап Аркону» уже было доставлено 6500 заключенных и 600 эсэсовцев, на «Афины» - более 2000 человек, на «Тильбек» - 2800 человек. Сколько узников еще оставалось в живых, сказать трудно. Уже почти две недели люди в трюмах не получали ни воды, ни пищи. А баржи и мелкие суда с заключенными продолжали прибывать. На тот момент на их борту было, по разным данным, от 1000 до 2000 узников. 3 мая в 12.30 «Athen» ушел в Нойштадт, чтобы забрать партию заключенных из лагеря Штутхоф. Остальные суда остались на рейде. Тем же утром британские эскадрильи получили приказ об уничтожении немецких судов в гавани Любека. В 13.00 немецкому руководству стало ясно, что суда переполнены, и принять больше узников корабли не могут. Баржи подогнали ближе к берегу. И около 14:00 солдатам СС и бойцам Гитлерюгенд было приказано уничтожить людей на баржах. Огнем со здания школы подводников до начала налета авиации было расстреляно более 500 человек. Практически одновременно с этим, в 14:30, британские самолеты 2-й тактической воздушной армии (263, 198 и 197-я эскадрильи истребителей-бомбардировщиков "тайфун") начали атаку. 263-я атаковала ракетами трехтрубный лайнер (это был «Кап Аркона») и малое судно, пришвартованное к его борту. Большинство из выпущенных 64 ракет по докладам пилотов попали в цель и вскоре лайнер пылал по всей длине, а малое судно затонуло. Второй волной шла 198-я. Пять "тайфунов" атаковали «Германию», четыре - «Тильбек». «Тильбек» пошел ко дну спустя всего 20 минут после атаки. В итоге выжило около 50 членов экипажа и охранников и около 50 заключенных. Довершила разгром 197-я эскадрилья, добившая бомбами то, что еще оставалось на плаву - оба бывших лайнера пошли на дно вслед за "Тильбеком". Освободившиеся от подвесок пилоты прошлись из пушек по находившимся на поверхности моря уцелевшим... С «Кап Арконы» спаслось примерно 490 человек из 600, составлявших экипаж судна и охрану, включая капитана. Судно опрокинулось и позже, британцы спасли успевших выбраться из судна и удержавшихся на киле 314 узников и 2 членов экипажа. Официально считается, что на борту "Кап Арконы" погибло 5594 человека (встречаются оценки до 7000), на борту "Тильбека" - порядка 2800 человек, а всего по оценкам в результате налета и расправы над заключенными со стороны гитлеровцев погибло порядка 13000 человек (количество погибших на борту "Дойчланда" неизвестно). «Тильбек» после войны был поднят, восстановлен и продолжал бороздить океан под новым именем. Долгое время ходил под флагами ФРГ (1949-61 под именем "Reinbek") и Панамы (1961-74 под именами "Magdalene" и затем "Old Warrior"). Разобран в Сплите, Югославия в 1974 году. Это единственный случай, когда судно, на котором погибло столько людей, было позже восстановлено и успешно эксплуатировалось. "Афины" пережил войну, достался по репарациям СССР и был переименован в "Генерал Брусилов". 27 мая 1947 года передан Польше, переименован в "Warynski" и много лет эксплуатировался на линии Гдыня - Гамбург - Буэнос-Айрес. В 1973 году выведен из эксплуатации, и в настоящее время используется в качестве плавсклада NP-ZPS8 в Штеттине (14880).</w:t>
      </w:r>
    </w:p>
    <w:p w14:paraId="716CB8DB" w14:textId="77777777" w:rsidR="00AD5074" w:rsidRPr="00925F26" w:rsidRDefault="00AD5074" w:rsidP="00925F26">
      <w:pPr>
        <w:jc w:val="both"/>
        <w:rPr>
          <w:color w:val="000000" w:themeColor="text1"/>
          <w:sz w:val="16"/>
          <w:szCs w:val="16"/>
        </w:rPr>
      </w:pPr>
    </w:p>
    <w:p w14:paraId="72FCAD5B" w14:textId="6350290A" w:rsidR="004252F4" w:rsidRPr="00925F26" w:rsidRDefault="004252F4"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3 мая 1945 года HК ВМФ выпустил приказ № 0086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«Рубин»27) в Ленинграде разрабатывало проект 61428 — достройки немецких ПЛ XXI серии. Его реализации воспрепятствовало решение Берлинской (Потсдамской) конференции (17 июля — 2 августа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В состав ВМФ СССР наряду с немецкими надводными боевыми кораблями вошли 10 германских подлодок30: 4 — типа VII, одна типа IX и 5 новейших, в т.ч. 4 типа XXI и одна — XXIII. Их изучили советские специалисты. Этому способствовала и эксплуатация трофейных ПЛ (19841).</w:t>
      </w:r>
    </w:p>
    <w:p w14:paraId="62936961" w14:textId="77777777" w:rsidR="004252F4" w:rsidRPr="00925F26" w:rsidRDefault="004252F4" w:rsidP="00925F26">
      <w:pPr>
        <w:pStyle w:val="ae"/>
        <w:shd w:val="clear" w:color="auto" w:fill="FFFFFF"/>
        <w:spacing w:before="0" w:after="0"/>
        <w:jc w:val="both"/>
        <w:rPr>
          <w:color w:val="000000" w:themeColor="text1"/>
          <w:sz w:val="16"/>
          <w:szCs w:val="16"/>
        </w:rPr>
      </w:pPr>
    </w:p>
    <w:p w14:paraId="6A7D694C" w14:textId="77777777" w:rsidR="001C3F7A" w:rsidRDefault="001C3F7A" w:rsidP="001C3F7A">
      <w:pPr>
        <w:autoSpaceDE w:val="0"/>
        <w:autoSpaceDN w:val="0"/>
        <w:adjustRightInd w:val="0"/>
        <w:jc w:val="both"/>
        <w:rPr>
          <w:color w:val="0070C0"/>
          <w:sz w:val="16"/>
          <w:szCs w:val="16"/>
        </w:rPr>
      </w:pPr>
      <w:r w:rsidRPr="001C3F7A">
        <w:rPr>
          <w:color w:val="0070C0"/>
          <w:sz w:val="16"/>
          <w:szCs w:val="16"/>
        </w:rPr>
        <w:t xml:space="preserve">3 мая 1945 года НК ВМФ приказом № 0086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 27 в </w:t>
      </w:r>
      <w:r w:rsidRPr="001C3F7A">
        <w:rPr>
          <w:color w:val="0070C0"/>
          <w:sz w:val="16"/>
          <w:szCs w:val="16"/>
        </w:rPr>
        <w:lastRenderedPageBreak/>
        <w:t>Ленинграде разрабатывало проект 614 - достройки немецких ПЛ XXI серии. Его реализации воспрепятствовало решение Берлинской (Потсдамской) конференции (17 июля - 2 августа 1945 г.):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w:t>
      </w:r>
    </w:p>
    <w:p w14:paraId="4EA697F5" w14:textId="683D7F25" w:rsidR="001C3F7A" w:rsidRPr="001C3F7A" w:rsidRDefault="001C3F7A" w:rsidP="001C3F7A">
      <w:pPr>
        <w:autoSpaceDE w:val="0"/>
        <w:autoSpaceDN w:val="0"/>
        <w:adjustRightInd w:val="0"/>
        <w:jc w:val="both"/>
        <w:rPr>
          <w:color w:val="0070C0"/>
          <w:sz w:val="16"/>
          <w:szCs w:val="16"/>
        </w:rPr>
      </w:pPr>
      <w:r w:rsidRPr="001C3F7A">
        <w:rPr>
          <w:color w:val="0070C0"/>
          <w:sz w:val="16"/>
          <w:szCs w:val="16"/>
        </w:rPr>
        <w:t>В состав ВМФ СССР наряду с немецкими надводными боевыми кораблями вошли 10 германских подлодок: 4 - типа VII, одна - типа IX и 5 новейших, в т.ч. 4 - типа XXI и одна - XXIII. Их изучили советские специалисты. Этому способствовала и эксплуатация трофейных ПЛ. К слову, немецкий опыт активно использовали на Западе. Изучив немецкие ПЛ XXI серии, в США реализовали программу GUPPY (Greater Underwater Propulsion Power Program) - модернизации до германских стандартов всех находившихся в строю американских ПЛ, построенных до и во время войны. А подлодки США типа «Tang» и «Darter» стали развитием конструкции немецких XXI серии. В Великобритании результатом использования немецкого опыта стали ПЛ типов «Porpoise» и «</w:t>
      </w:r>
      <w:proofErr w:type="gramStart"/>
      <w:r w:rsidRPr="001C3F7A">
        <w:rPr>
          <w:color w:val="0070C0"/>
          <w:sz w:val="16"/>
          <w:szCs w:val="16"/>
        </w:rPr>
        <w:t>Oberon,,</w:t>
      </w:r>
      <w:r>
        <w:rPr>
          <w:color w:val="0070C0"/>
          <w:sz w:val="16"/>
          <w:szCs w:val="16"/>
        </w:rPr>
        <w:t>.</w:t>
      </w:r>
      <w:proofErr w:type="gramEnd"/>
      <w:r w:rsidRPr="001C3F7A">
        <w:rPr>
          <w:color w:val="0070C0"/>
          <w:sz w:val="16"/>
          <w:szCs w:val="16"/>
        </w:rPr>
        <w:t xml:space="preserve"> (25789).</w:t>
      </w:r>
    </w:p>
    <w:p w14:paraId="682077D4" w14:textId="77777777" w:rsidR="001C3F7A" w:rsidRPr="001C3F7A" w:rsidRDefault="001C3F7A" w:rsidP="001C3F7A">
      <w:pPr>
        <w:autoSpaceDE w:val="0"/>
        <w:autoSpaceDN w:val="0"/>
        <w:adjustRightInd w:val="0"/>
        <w:jc w:val="both"/>
        <w:rPr>
          <w:color w:val="0070C0"/>
          <w:sz w:val="16"/>
          <w:szCs w:val="16"/>
        </w:rPr>
      </w:pPr>
    </w:p>
    <w:p w14:paraId="4C3E88AD" w14:textId="77777777" w:rsidR="0032073A"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60E37E8" w14:textId="77777777" w:rsidR="0032073A" w:rsidRPr="00925F26" w:rsidRDefault="0032073A" w:rsidP="00925F26">
      <w:pPr>
        <w:autoSpaceDE w:val="0"/>
        <w:autoSpaceDN w:val="0"/>
        <w:adjustRightInd w:val="0"/>
        <w:jc w:val="both"/>
        <w:rPr>
          <w:iCs/>
          <w:color w:val="000000" w:themeColor="text1"/>
          <w:sz w:val="16"/>
          <w:szCs w:val="16"/>
        </w:rPr>
      </w:pPr>
    </w:p>
    <w:p w14:paraId="3A8377B4" w14:textId="77777777" w:rsidR="0032073A" w:rsidRPr="00925F26" w:rsidRDefault="0032073A" w:rsidP="00925F26">
      <w:pPr>
        <w:jc w:val="both"/>
        <w:rPr>
          <w:color w:val="000000" w:themeColor="text1"/>
          <w:sz w:val="16"/>
          <w:szCs w:val="16"/>
        </w:rPr>
      </w:pPr>
      <w:r w:rsidRPr="00925F26">
        <w:rPr>
          <w:color w:val="000000" w:themeColor="text1"/>
          <w:sz w:val="16"/>
          <w:szCs w:val="16"/>
        </w:rPr>
        <w:t>3 мая в 1945 году оперативная сводка Совинформбюро:</w:t>
      </w:r>
    </w:p>
    <w:p w14:paraId="6094059C" w14:textId="77777777" w:rsidR="0032073A" w:rsidRPr="00925F26" w:rsidRDefault="0032073A" w:rsidP="00925F26">
      <w:pPr>
        <w:jc w:val="both"/>
        <w:rPr>
          <w:color w:val="000000" w:themeColor="text1"/>
          <w:sz w:val="16"/>
          <w:szCs w:val="16"/>
        </w:rPr>
      </w:pPr>
      <w:r w:rsidRPr="00925F26">
        <w:rPr>
          <w:color w:val="000000" w:themeColor="text1"/>
          <w:sz w:val="16"/>
          <w:szCs w:val="16"/>
        </w:rPr>
        <w:t>«В течение 3 мая юго-западнее города и порта Пиллау войска 3-го Белорусского фронта продолжали вести бои по очищению от противника косы Фриш Нерунг и заняли населённые пункты Кальберг Лип, Кайзерхоф.</w:t>
      </w:r>
    </w:p>
    <w:p w14:paraId="29A82DFB" w14:textId="77777777" w:rsidR="0032073A" w:rsidRPr="00925F26" w:rsidRDefault="0032073A" w:rsidP="00925F26">
      <w:pPr>
        <w:jc w:val="both"/>
        <w:rPr>
          <w:color w:val="000000" w:themeColor="text1"/>
          <w:sz w:val="16"/>
          <w:szCs w:val="16"/>
        </w:rPr>
      </w:pPr>
      <w:r w:rsidRPr="00925F26">
        <w:rPr>
          <w:color w:val="000000" w:themeColor="text1"/>
          <w:sz w:val="16"/>
          <w:szCs w:val="16"/>
        </w:rPr>
        <w:t>Войска 2-го Белорусского фронта, развивая наступление, овладели городами Барт, Бад Доберан, Нойбуков, Варин, Виттенберге и 3 мая на линии Висмар—Виттенберге соединились с союзными нам английскими войсками. Войска фронта заняли также крупные населённые пункты Крепелин, Ной Клосте, Бютцов, Постров, Гольдберг, Каров, Мейенбург, Путлитц, Притцвальк и Перлеберг. В боях за 2 мая войска фронта взяли в плен 10.600 немецких солдат и офицеров и захватили 328 самолётов. В числе пленных командующий 5 Штеттинским округом по делам трудовой повинности генерал-майор Мато.</w:t>
      </w:r>
    </w:p>
    <w:p w14:paraId="33F8B6C6" w14:textId="77777777" w:rsidR="0032073A" w:rsidRPr="00925F26" w:rsidRDefault="0032073A" w:rsidP="00925F26">
      <w:pPr>
        <w:jc w:val="both"/>
        <w:rPr>
          <w:color w:val="000000" w:themeColor="text1"/>
          <w:sz w:val="16"/>
          <w:szCs w:val="16"/>
        </w:rPr>
      </w:pPr>
      <w:r w:rsidRPr="00925F26">
        <w:rPr>
          <w:color w:val="000000" w:themeColor="text1"/>
          <w:sz w:val="16"/>
          <w:szCs w:val="16"/>
        </w:rPr>
        <w:t>Северо-западнее Берлина войска 1-го Белорусского фронта, продолжая наступление, с боями заняли крупные населённые пункты Вильснак, Глевен, Штюденитц, Нитцов, Вельгаст, Штродене, Ринов, Шпатц, Хоэннауен и, выйдя на реку Эльба юго-восточнее города Виттенберге, соединились с союзными нам американскими войсками.</w:t>
      </w:r>
    </w:p>
    <w:p w14:paraId="6788936F" w14:textId="77777777" w:rsidR="0032073A" w:rsidRPr="00925F26" w:rsidRDefault="0032073A" w:rsidP="00925F26">
      <w:pPr>
        <w:jc w:val="both"/>
        <w:rPr>
          <w:color w:val="000000" w:themeColor="text1"/>
          <w:sz w:val="16"/>
          <w:szCs w:val="16"/>
        </w:rPr>
      </w:pPr>
      <w:r w:rsidRPr="00925F26">
        <w:rPr>
          <w:color w:val="000000" w:themeColor="text1"/>
          <w:sz w:val="16"/>
          <w:szCs w:val="16"/>
        </w:rPr>
        <w:t>2 мая после 21 часа в Берлине войска фронта дополнительно взяли в плен более 20.000 немецких солдат и офицеров; кроме того, взято в госпиталях 10.700 раненых немецких солдат. Всего в Берлине 2 мая войсками фронта взято в плен 100.700 немецких солдат и офицеров. В числе пленных командир воздушной правительственной эскадры генерал-лейтенант Баур, начальник медицинской службы полиции Берлина генерал-майор медицинской службы Врубель, генерал-лейтенант полиции Раттенгубер, начальник канцелярии Геббельса — Сайлер.</w:t>
      </w:r>
    </w:p>
    <w:p w14:paraId="7D8CEA6E" w14:textId="77777777" w:rsidR="0032073A" w:rsidRPr="00925F26" w:rsidRDefault="0032073A" w:rsidP="00925F26">
      <w:pPr>
        <w:jc w:val="both"/>
        <w:rPr>
          <w:color w:val="000000" w:themeColor="text1"/>
          <w:sz w:val="16"/>
          <w:szCs w:val="16"/>
        </w:rPr>
      </w:pPr>
      <w:r w:rsidRPr="00925F26">
        <w:rPr>
          <w:color w:val="000000" w:themeColor="text1"/>
          <w:sz w:val="16"/>
          <w:szCs w:val="16"/>
        </w:rPr>
        <w:t>За 2 мая войска 1-го Украинского фронта в районе Берлина взяли в плен более 34.000 немецких солдат и офицеров и захватили 37 танков и свыше 140 полевых орудий. В числе пленных командир 236 немецкой пехотной дивизии генерал-майор Робен.</w:t>
      </w:r>
    </w:p>
    <w:p w14:paraId="220A6763" w14:textId="77777777" w:rsidR="0032073A" w:rsidRPr="00925F26" w:rsidRDefault="0032073A" w:rsidP="00925F26">
      <w:pPr>
        <w:jc w:val="both"/>
        <w:rPr>
          <w:color w:val="000000" w:themeColor="text1"/>
          <w:sz w:val="16"/>
          <w:szCs w:val="16"/>
        </w:rPr>
      </w:pPr>
      <w:r w:rsidRPr="00925F26">
        <w:rPr>
          <w:color w:val="000000" w:themeColor="text1"/>
          <w:sz w:val="16"/>
          <w:szCs w:val="16"/>
        </w:rPr>
        <w:t>Всего, таким образом, в районе Берлина 2 мая взято в плен более 134.000 немецких солдат и офицеров, из коих 100.000 взято войсками 1-го Белорусского фронта и 34.000 войсками 1-го Украинского фронта.</w:t>
      </w:r>
    </w:p>
    <w:p w14:paraId="042D0A53" w14:textId="77777777" w:rsidR="0032073A" w:rsidRPr="00925F26" w:rsidRDefault="0032073A"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3 мая овладели городом Цешин, важным узлом дорог и сильным опорным пунктом обороны немцев, а также заняли крупные населённые пункты Вальтерсдорф, Бутовице, Фридэк, Карвинна, Погвиздув, Голешув, Лешна, Маков. В боях за 2 мая войска фронта взяли в плен более 1.400 немецких солдат и офицеров.</w:t>
      </w:r>
    </w:p>
    <w:p w14:paraId="4EF1BEF5" w14:textId="77777777" w:rsidR="0032073A" w:rsidRPr="00925F26" w:rsidRDefault="0032073A"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восточнее города Брно, с боями заняли крупные населённые пункты Лачнов, Злин, Остроковице, Шелешовице, Ратае, Крженовице. За 2 мая войска фронта взяли в плен более 1.000 немецких солдат и офицеров. Партизанами Чехословакии взят в плен и передан нашим войскам командир 16 немецкой танковой дивизии генерал-майор Мюллер.</w:t>
      </w:r>
    </w:p>
    <w:p w14:paraId="2B37AEAC" w14:textId="77777777" w:rsidR="0032073A" w:rsidRPr="00925F26" w:rsidRDefault="0032073A" w:rsidP="00925F26">
      <w:pPr>
        <w:jc w:val="both"/>
        <w:rPr>
          <w:color w:val="000000" w:themeColor="text1"/>
          <w:sz w:val="16"/>
          <w:szCs w:val="16"/>
        </w:rPr>
      </w:pPr>
      <w:r w:rsidRPr="00925F26">
        <w:rPr>
          <w:color w:val="000000" w:themeColor="text1"/>
          <w:sz w:val="16"/>
          <w:szCs w:val="16"/>
        </w:rPr>
        <w:t>На других участках фронта — существенных изменений не было.</w:t>
      </w:r>
    </w:p>
    <w:p w14:paraId="1234C505" w14:textId="77777777" w:rsidR="0032073A" w:rsidRPr="00925F26" w:rsidRDefault="0032073A" w:rsidP="00925F26">
      <w:pPr>
        <w:jc w:val="both"/>
        <w:rPr>
          <w:color w:val="000000" w:themeColor="text1"/>
          <w:sz w:val="16"/>
          <w:szCs w:val="16"/>
        </w:rPr>
      </w:pPr>
      <w:r w:rsidRPr="00925F26">
        <w:rPr>
          <w:color w:val="000000" w:themeColor="text1"/>
          <w:sz w:val="16"/>
          <w:szCs w:val="16"/>
        </w:rPr>
        <w:t>За 2 мая на всех фронтах подбито и уничтожено 53 немецких танка и самоходных орудия.</w:t>
      </w:r>
    </w:p>
    <w:p w14:paraId="0D76FDB4" w14:textId="77777777" w:rsidR="0032073A" w:rsidRPr="00925F26" w:rsidRDefault="0032073A" w:rsidP="00925F26">
      <w:pPr>
        <w:jc w:val="both"/>
        <w:rPr>
          <w:color w:val="000000" w:themeColor="text1"/>
          <w:sz w:val="16"/>
          <w:szCs w:val="16"/>
        </w:rPr>
      </w:pPr>
      <w:r w:rsidRPr="00925F26">
        <w:rPr>
          <w:color w:val="000000" w:themeColor="text1"/>
          <w:sz w:val="16"/>
          <w:szCs w:val="16"/>
        </w:rPr>
        <w:t>Войска 2-го Белорусского фронта развивали наступление. Овладев городами Росток и Варнемюнде, советские части отрезали пути отхода группе немецких войск, находившейся в районе города Барта. Стремительными ударами наши танкисты и пехотинцы подавили вражеское сопротивление и овладели городом Барт — портом на Балтийском море. Войска фронта, наступающие в западном направлении, продвинулись вперёд до 60 километров и соединились с союзными нам английскими войсками.</w:t>
      </w:r>
    </w:p>
    <w:p w14:paraId="28EF8E4D" w14:textId="77777777" w:rsidR="0032073A" w:rsidRPr="00925F26" w:rsidRDefault="0032073A"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Упорное сопротивление противник оказал на подступах к городу Цешин. Немцы превратили Цешин в сильный опорный пункт своей обороны. С севера и востока город прикрывали несколько линий траншей, железобетонные надолбы и широкие минные поля. Каменные здания и заводские корпуса в городе были приспособлены для круговой обороны. Противник стянул в район Цешина крупные силы и неоднократно бросал их в контратаки. Наши гвардейские части сильными ударами сломили сопротивление немцев и с трёх сторон ворвались на улицы города. В ожесточённом бою, переходившем в рукопашные схватки, наши войска разгромили вражеский гарнизон и овладели городом Цешин—узлом четырёх железных и нескольких шоссейных дорог. На подступах к городу и его улицах осталось много вражеских трупов. Захвачено у немцев 42 орудия, 140 пулемётов и др. трофеи.</w:t>
      </w:r>
    </w:p>
    <w:p w14:paraId="0932E463" w14:textId="77777777" w:rsidR="0032073A" w:rsidRPr="00925F26" w:rsidRDefault="0032073A" w:rsidP="00925F26">
      <w:pPr>
        <w:jc w:val="both"/>
        <w:rPr>
          <w:color w:val="000000" w:themeColor="text1"/>
          <w:sz w:val="16"/>
          <w:szCs w:val="16"/>
        </w:rPr>
      </w:pPr>
      <w:r w:rsidRPr="00925F26">
        <w:rPr>
          <w:color w:val="000000" w:themeColor="text1"/>
          <w:sz w:val="16"/>
          <w:szCs w:val="16"/>
        </w:rPr>
        <w:t>С величайшим энтузиазмом встречен в частях Красной Армии и Военно-Морского Флота Первомайский Приказ Верховного Главнокомандующего Маршала Советского Союза товарища Сталина.</w:t>
      </w:r>
    </w:p>
    <w:p w14:paraId="0070573A" w14:textId="77777777" w:rsidR="0032073A" w:rsidRPr="00925F26" w:rsidRDefault="0032073A" w:rsidP="00925F26">
      <w:pPr>
        <w:jc w:val="both"/>
        <w:rPr>
          <w:color w:val="000000" w:themeColor="text1"/>
          <w:sz w:val="16"/>
          <w:szCs w:val="16"/>
        </w:rPr>
      </w:pPr>
      <w:r w:rsidRPr="00925F26">
        <w:rPr>
          <w:color w:val="000000" w:themeColor="text1"/>
          <w:sz w:val="16"/>
          <w:szCs w:val="16"/>
        </w:rPr>
        <w:t>С исключительным подъёмом прошли митинги в войсках, овладевших столицей Германии Берлином. Бойцы, сержанты и офицеры соединений генерал-майора Шатилова и гвардии полковника Негада, занявшие 30 апреля здание германского рейхстага, с гордостью заявили: «Сталинское приветствие и поздравление мы восприняли с огромной радостью. В Первомайском Приказе товарища Сталина говорится и о нас. Мы вместе с другими советскими частями водрузили знамя победы над Берлином». Красноармеец Буга сказал: «Я сражался против немцев в 1918 году на Украине. В дни Отечественной войны я снова бился с немцами на Украине и под Сталинградом. Четыре года я мечтал о том, чтобы побывать в Берлине. И вот моя заветная мечта сбылась. Я горжусь тем, что на мою долю выпало счастье добивать врага в его столице».</w:t>
      </w:r>
    </w:p>
    <w:p w14:paraId="70CEF474" w14:textId="77777777" w:rsidR="0032073A" w:rsidRPr="00925F26" w:rsidRDefault="0032073A" w:rsidP="00925F26">
      <w:pPr>
        <w:jc w:val="both"/>
        <w:rPr>
          <w:color w:val="000000" w:themeColor="text1"/>
          <w:sz w:val="16"/>
          <w:szCs w:val="16"/>
        </w:rPr>
      </w:pPr>
      <w:r w:rsidRPr="00925F26">
        <w:rPr>
          <w:color w:val="000000" w:themeColor="text1"/>
          <w:sz w:val="16"/>
          <w:szCs w:val="16"/>
        </w:rPr>
        <w:t>На 1-м Украинском фронте на митинге бойцов и офицеров батальона, которым командует майор Коровин, выступил старшина Ригин. Он заявил: «В нынешнем году мы празднуем Первое мая в обстановке величайших побед Красной Армии. Эти исторические победы мы одержали потому, что вооружёнными силами советского государства руководит товарищ Сталин. Советские люди знали: где Сталин — там победа».</w:t>
      </w:r>
    </w:p>
    <w:p w14:paraId="4E8502AC" w14:textId="77777777" w:rsidR="0032073A" w:rsidRPr="00925F26" w:rsidRDefault="0032073A" w:rsidP="00925F26">
      <w:pPr>
        <w:jc w:val="both"/>
        <w:rPr>
          <w:color w:val="000000" w:themeColor="text1"/>
          <w:sz w:val="16"/>
          <w:szCs w:val="16"/>
        </w:rPr>
      </w:pPr>
      <w:r w:rsidRPr="00925F26">
        <w:rPr>
          <w:color w:val="000000" w:themeColor="text1"/>
          <w:sz w:val="16"/>
          <w:szCs w:val="16"/>
        </w:rPr>
        <w:t>Герой Советского Союза тов. Никаноров сказал: «Мы в Берлине! Отсюда, из столицы Германии, воины Красной Армии шлют горячие приветствия нашему Верховному Главнокомандующему товарищу Сталину. Бойцы и офицеры приветствуют тружеников советского тыла, которые бесперебойно снабжали фронт всем необходимым и сделали возможными победы, одержанные нашими доблестными войсками».</w:t>
      </w:r>
    </w:p>
    <w:p w14:paraId="5FC46184" w14:textId="77777777" w:rsidR="0032073A" w:rsidRPr="00925F26" w:rsidRDefault="0032073A" w:rsidP="00925F26">
      <w:pPr>
        <w:jc w:val="both"/>
        <w:rPr>
          <w:color w:val="000000" w:themeColor="text1"/>
          <w:sz w:val="16"/>
          <w:szCs w:val="16"/>
        </w:rPr>
      </w:pPr>
      <w:r w:rsidRPr="00925F26">
        <w:rPr>
          <w:color w:val="000000" w:themeColor="text1"/>
          <w:sz w:val="16"/>
          <w:szCs w:val="16"/>
        </w:rPr>
        <w:t xml:space="preserve">На 2-м Белорусском фронте на митинге бойцов и офицеров части соединения, где начальником политотдела полковник Поволоцкий, выступил механик-водитель старший сержант Бережной. «Мой </w:t>
      </w:r>
      <w:proofErr w:type="gramStart"/>
      <w:r w:rsidRPr="00925F26">
        <w:rPr>
          <w:color w:val="000000" w:themeColor="text1"/>
          <w:sz w:val="16"/>
          <w:szCs w:val="16"/>
        </w:rPr>
        <w:t>танк,—</w:t>
      </w:r>
      <w:proofErr w:type="gramEnd"/>
      <w:r w:rsidRPr="00925F26">
        <w:rPr>
          <w:color w:val="000000" w:themeColor="text1"/>
          <w:sz w:val="16"/>
          <w:szCs w:val="16"/>
        </w:rPr>
        <w:t xml:space="preserve"> сказал он, — прошёл по немецкой земле уже сотни километров, уничтожил немало гитлеровцев и техники врага. Сейчас идёт последний штурм гитлеровской Германии. Мы не успокоимся до тех пор, пока окончательно не добьём ненавистного врага. Заверяем нашего Верховного Главнокомандующего, что везде и всюду мы с честью и с достоинством будем носить высокое звание советского воина, никогда не ослабим бдительности и ни на одну минуту не забудем о своём долге перед Родиной».</w:t>
      </w:r>
    </w:p>
    <w:p w14:paraId="0BDDE76A" w14:textId="77777777" w:rsidR="0032073A" w:rsidRPr="00925F26" w:rsidRDefault="0032073A" w:rsidP="00925F26">
      <w:pPr>
        <w:jc w:val="both"/>
        <w:rPr>
          <w:color w:val="000000" w:themeColor="text1"/>
          <w:sz w:val="16"/>
          <w:szCs w:val="16"/>
        </w:rPr>
      </w:pPr>
      <w:r w:rsidRPr="00925F26">
        <w:rPr>
          <w:color w:val="000000" w:themeColor="text1"/>
          <w:sz w:val="16"/>
          <w:szCs w:val="16"/>
        </w:rPr>
        <w:t>На 3-м Украинском фронте на митинге бойцов и офицеров части подполковника Селиванова с яркой речью выступил автоматчик Глухов. Он сказал: «Мы пережили тяжёлые времена. Мы отбивали бешеные атаки немцев на Дону, обороняли волжскую твердыню — Сталинград. Были дни, когда немецкие полчища угрожали нашей родной Москве и главному городу Ленина. Однако воины Красной Армии и весь советский народ никогда не унывали, не падали духом. Мы знали, что будет и на нашей улице праздник, что великий Сталин приведёт нас к победе. Красная Армия водрузила знамя победы над Берлином. Великие и радостные дни переживает советский народ. Мы клянёмся, что с честью и в кратчайший срок выполним Сталинский приказ. Мы добьём и доконаем фашистского зверя» (14880).</w:t>
      </w:r>
    </w:p>
    <w:p w14:paraId="5B03748B" w14:textId="77777777" w:rsidR="0032073A" w:rsidRPr="00925F26" w:rsidRDefault="0032073A" w:rsidP="00925F26">
      <w:pPr>
        <w:jc w:val="both"/>
        <w:rPr>
          <w:color w:val="000000" w:themeColor="text1"/>
          <w:sz w:val="16"/>
          <w:szCs w:val="16"/>
        </w:rPr>
      </w:pPr>
    </w:p>
    <w:p w14:paraId="2E9AEAB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82A34E3" w14:textId="77777777" w:rsidR="00665165" w:rsidRPr="00925F26" w:rsidRDefault="00665165" w:rsidP="00925F26">
      <w:pPr>
        <w:autoSpaceDE w:val="0"/>
        <w:autoSpaceDN w:val="0"/>
        <w:adjustRightInd w:val="0"/>
        <w:jc w:val="both"/>
        <w:rPr>
          <w:iCs/>
          <w:color w:val="000000" w:themeColor="text1"/>
          <w:sz w:val="16"/>
          <w:szCs w:val="16"/>
        </w:rPr>
      </w:pPr>
    </w:p>
    <w:p w14:paraId="563B9EDD" w14:textId="77777777" w:rsidR="00AD5074" w:rsidRPr="00925F26" w:rsidRDefault="00AD5074" w:rsidP="00925F26">
      <w:pPr>
        <w:jc w:val="both"/>
        <w:rPr>
          <w:color w:val="000000" w:themeColor="text1"/>
          <w:sz w:val="16"/>
          <w:szCs w:val="16"/>
        </w:rPr>
      </w:pPr>
      <w:r w:rsidRPr="00925F26">
        <w:rPr>
          <w:color w:val="000000" w:themeColor="text1"/>
          <w:sz w:val="16"/>
          <w:szCs w:val="16"/>
        </w:rPr>
        <w:t xml:space="preserve">3 мая в 1945 году первый полет с включением реактивного двигателя прототипа американского палубного истребителя </w:t>
      </w:r>
      <w:hyperlink r:id="rId109" w:tgtFrame="_blank" w:history="1">
        <w:r w:rsidRPr="00925F26">
          <w:rPr>
            <w:color w:val="000000" w:themeColor="text1"/>
            <w:sz w:val="16"/>
            <w:szCs w:val="16"/>
          </w:rPr>
          <w:t>«XF15C-1» (14880).</w:t>
        </w:r>
      </w:hyperlink>
    </w:p>
    <w:p w14:paraId="484A592E" w14:textId="77777777" w:rsidR="00AD5074" w:rsidRPr="00925F26" w:rsidRDefault="00AD5074" w:rsidP="00925F26">
      <w:pPr>
        <w:jc w:val="both"/>
        <w:rPr>
          <w:color w:val="000000" w:themeColor="text1"/>
          <w:sz w:val="16"/>
          <w:szCs w:val="16"/>
        </w:rPr>
      </w:pPr>
    </w:p>
    <w:p w14:paraId="14C67C2C" w14:textId="5169E67D" w:rsidR="008628F5" w:rsidRPr="00925F26" w:rsidRDefault="008628F5" w:rsidP="00925F26">
      <w:pPr>
        <w:jc w:val="both"/>
        <w:rPr>
          <w:color w:val="000000" w:themeColor="text1"/>
          <w:sz w:val="16"/>
          <w:szCs w:val="16"/>
        </w:rPr>
      </w:pPr>
      <w:r w:rsidRPr="00925F26">
        <w:rPr>
          <w:color w:val="000000" w:themeColor="text1"/>
          <w:sz w:val="16"/>
          <w:szCs w:val="16"/>
        </w:rPr>
        <w:t xml:space="preserve">3 мая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Первый полет с включением реактивного двигателя прототипа американского палубного истребителя XF15C-1 (22514).</w:t>
      </w:r>
    </w:p>
    <w:p w14:paraId="1D965331" w14:textId="77777777" w:rsidR="008628F5" w:rsidRPr="00925F26" w:rsidRDefault="008628F5" w:rsidP="00925F26">
      <w:pPr>
        <w:jc w:val="both"/>
        <w:rPr>
          <w:color w:val="000000" w:themeColor="text1"/>
          <w:sz w:val="16"/>
          <w:szCs w:val="16"/>
        </w:rPr>
      </w:pPr>
    </w:p>
    <w:p w14:paraId="674C0BD5" w14:textId="77777777" w:rsidR="00AD5074" w:rsidRPr="00925F26" w:rsidRDefault="00AD5074" w:rsidP="00925F26">
      <w:pPr>
        <w:jc w:val="both"/>
        <w:rPr>
          <w:color w:val="000000" w:themeColor="text1"/>
          <w:sz w:val="16"/>
          <w:szCs w:val="16"/>
        </w:rPr>
      </w:pPr>
      <w:r w:rsidRPr="00925F26">
        <w:rPr>
          <w:color w:val="000000" w:themeColor="text1"/>
          <w:sz w:val="16"/>
          <w:szCs w:val="16"/>
        </w:rPr>
        <w:t>3 мая в 1945 году вечером «U-2511» под командованием корветтен-капитана Адальберта Шнее вышла из Бергена в свое первое и последнее плавание в Карибское море - первый случай боевого патрулирования на сверхсовременной "электролодке" XXI серии. 4 мая командир лодки получил приказ о прекращении огня, а несколькими часами позже севернее Фарерских островов «U-2511» заметила британскую оперативную группу. Шнее провел ложную атаку на тяжелый крейсер "Норфолк", сумев подобраться к нему на расстояние 500 м и остаться необнаруженным. Доказав себе и команде способность лодки ХХI серии стать грозным оружием, Шнее развернул «U-2511» и развил под водой скорость 16 узлов. Подводная лодка возвратилась в Берген 6 мая 1945 года. После капитуляции Германии Адальберт Шнее разговаривал с некоторыми офицерами с "Норфолка", которые были в шоке, узнав, что ас-подводник подошел на полностью готовой к применению лодке к боевому кораблю и провел ложную атаку, оставшись незамеченным (14880).</w:t>
      </w:r>
    </w:p>
    <w:p w14:paraId="6B6EC736" w14:textId="77777777" w:rsidR="00AD5074" w:rsidRPr="00925F26" w:rsidRDefault="00AD5074" w:rsidP="00925F26">
      <w:pPr>
        <w:jc w:val="both"/>
        <w:rPr>
          <w:color w:val="000000" w:themeColor="text1"/>
          <w:sz w:val="16"/>
          <w:szCs w:val="16"/>
        </w:rPr>
      </w:pPr>
    </w:p>
    <w:p w14:paraId="13DD64D8" w14:textId="77777777" w:rsidR="00AD5074" w:rsidRPr="00925F26" w:rsidRDefault="00AD5074" w:rsidP="00925F26">
      <w:pPr>
        <w:jc w:val="both"/>
        <w:rPr>
          <w:color w:val="000000" w:themeColor="text1"/>
          <w:sz w:val="16"/>
          <w:szCs w:val="16"/>
        </w:rPr>
      </w:pPr>
      <w:r w:rsidRPr="00925F26">
        <w:rPr>
          <w:color w:val="000000" w:themeColor="text1"/>
          <w:sz w:val="16"/>
          <w:szCs w:val="16"/>
        </w:rPr>
        <w:t>3 мая в 1945 году части 1-й Русской национальной армии под командованием генерала Б.А.Хольмстона-Смысловского перешли границу Лихтенштейна. В числе отступающих находился Великий Князь Владимир Кириллович со свитой (14880).</w:t>
      </w:r>
    </w:p>
    <w:p w14:paraId="2F72809F" w14:textId="77777777" w:rsidR="00AD5074" w:rsidRPr="00925F26" w:rsidRDefault="00AD5074" w:rsidP="00925F26">
      <w:pPr>
        <w:jc w:val="both"/>
        <w:rPr>
          <w:color w:val="000000" w:themeColor="text1"/>
          <w:sz w:val="16"/>
          <w:szCs w:val="16"/>
        </w:rPr>
      </w:pPr>
    </w:p>
    <w:p w14:paraId="56BD188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мая 1945 немецкое правительство адмирала Деница переехало в Данию (4962).</w:t>
      </w:r>
    </w:p>
    <w:p w14:paraId="2F6382F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7A3D1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в порту Любек англичане разбомбили и Кап Аркону с ЗК (172,265).</w:t>
      </w:r>
    </w:p>
    <w:p w14:paraId="02A966A2" w14:textId="77777777" w:rsidR="00665165" w:rsidRPr="00925F26" w:rsidRDefault="00665165" w:rsidP="00925F26">
      <w:pPr>
        <w:autoSpaceDE w:val="0"/>
        <w:autoSpaceDN w:val="0"/>
        <w:adjustRightInd w:val="0"/>
        <w:jc w:val="both"/>
        <w:rPr>
          <w:color w:val="000000" w:themeColor="text1"/>
          <w:sz w:val="16"/>
          <w:szCs w:val="16"/>
        </w:rPr>
      </w:pPr>
    </w:p>
    <w:p w14:paraId="40B54559" w14:textId="77777777" w:rsidR="008628F5" w:rsidRPr="00925F26" w:rsidRDefault="008628F5" w:rsidP="00925F26">
      <w:pPr>
        <w:jc w:val="both"/>
        <w:rPr>
          <w:color w:val="000000" w:themeColor="text1"/>
          <w:sz w:val="16"/>
          <w:szCs w:val="16"/>
        </w:rPr>
      </w:pPr>
      <w:r w:rsidRPr="00925F26">
        <w:rPr>
          <w:color w:val="000000" w:themeColor="text1"/>
          <w:sz w:val="16"/>
          <w:szCs w:val="16"/>
        </w:rPr>
        <w:t>3 мая 1945 истребители-бомбардировщики Royal Air Force Hawker Typhoon топят немецкие пассажирские корабли SS Cap Arcona и SS Deutschland и немецкий грузовой корабль SS Thielbek в заливе Любек, не подозревая, что корабли перевозят более 10 000 узников концлагерей. Около 5000 человек погибло на борту Cap Arcona (вторая по величине потеря жизней на корабле в истории) и еще около 2750 человек на борту Thielbek, также есть тяжелые человеческие потери на борту Deutschland (20371).</w:t>
      </w:r>
    </w:p>
    <w:p w14:paraId="05323C01" w14:textId="77777777" w:rsidR="008628F5" w:rsidRPr="00925F26" w:rsidRDefault="008628F5" w:rsidP="00925F26">
      <w:pPr>
        <w:jc w:val="both"/>
        <w:rPr>
          <w:color w:val="000000" w:themeColor="text1"/>
          <w:sz w:val="16"/>
          <w:szCs w:val="16"/>
        </w:rPr>
      </w:pPr>
    </w:p>
    <w:p w14:paraId="37D318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а Дениц послал г Фриденбурга к г Монтгомери по вопросу безоговорочной капитуляции (2248,6).</w:t>
      </w:r>
    </w:p>
    <w:p w14:paraId="3868D3DE" w14:textId="77777777" w:rsidR="00665165" w:rsidRPr="00925F26" w:rsidRDefault="00665165" w:rsidP="00925F26">
      <w:pPr>
        <w:autoSpaceDE w:val="0"/>
        <w:autoSpaceDN w:val="0"/>
        <w:adjustRightInd w:val="0"/>
        <w:jc w:val="both"/>
        <w:rPr>
          <w:color w:val="000000" w:themeColor="text1"/>
          <w:sz w:val="16"/>
          <w:szCs w:val="16"/>
        </w:rPr>
      </w:pPr>
    </w:p>
    <w:p w14:paraId="2894C7E3"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3rd, 1945: The British Second Army (Dempsey) occupies Hamburg (3819).</w:t>
      </w:r>
    </w:p>
    <w:p w14:paraId="6EC519F1" w14:textId="77777777" w:rsidR="00665165" w:rsidRPr="00925F26" w:rsidRDefault="00665165" w:rsidP="00925F26">
      <w:pPr>
        <w:autoSpaceDE w:val="0"/>
        <w:autoSpaceDN w:val="0"/>
        <w:adjustRightInd w:val="0"/>
        <w:jc w:val="both"/>
        <w:rPr>
          <w:color w:val="000000" w:themeColor="text1"/>
          <w:sz w:val="16"/>
          <w:szCs w:val="16"/>
          <w:lang w:val="en-US"/>
        </w:rPr>
      </w:pPr>
    </w:p>
    <w:p w14:paraId="1A8121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британская 2А заняла Гамбург (3819).</w:t>
      </w:r>
    </w:p>
    <w:p w14:paraId="66EFC59A" w14:textId="77777777" w:rsidR="00665165" w:rsidRPr="00925F26" w:rsidRDefault="00665165" w:rsidP="00925F26">
      <w:pPr>
        <w:autoSpaceDE w:val="0"/>
        <w:autoSpaceDN w:val="0"/>
        <w:adjustRightInd w:val="0"/>
        <w:jc w:val="both"/>
        <w:rPr>
          <w:color w:val="000000" w:themeColor="text1"/>
          <w:sz w:val="16"/>
          <w:szCs w:val="16"/>
        </w:rPr>
      </w:pPr>
    </w:p>
    <w:p w14:paraId="177CA0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В конце Второй мировой войны югославские войска 4А взяли г.Фиуме (7591).</w:t>
      </w:r>
    </w:p>
    <w:p w14:paraId="23235CA0" w14:textId="77777777" w:rsidR="00665165" w:rsidRPr="00925F26" w:rsidRDefault="00665165" w:rsidP="00925F26">
      <w:pPr>
        <w:autoSpaceDE w:val="0"/>
        <w:autoSpaceDN w:val="0"/>
        <w:adjustRightInd w:val="0"/>
        <w:jc w:val="both"/>
        <w:rPr>
          <w:color w:val="000000" w:themeColor="text1"/>
          <w:sz w:val="16"/>
          <w:szCs w:val="16"/>
        </w:rPr>
      </w:pPr>
    </w:p>
    <w:p w14:paraId="1EA5369A" w14:textId="77777777" w:rsidR="0032073A" w:rsidRPr="00925F26" w:rsidRDefault="0032073A" w:rsidP="00925F26">
      <w:pPr>
        <w:jc w:val="both"/>
        <w:rPr>
          <w:color w:val="000000" w:themeColor="text1"/>
          <w:sz w:val="16"/>
          <w:szCs w:val="16"/>
        </w:rPr>
      </w:pPr>
      <w:r w:rsidRPr="00925F26">
        <w:rPr>
          <w:color w:val="000000" w:themeColor="text1"/>
          <w:sz w:val="16"/>
          <w:szCs w:val="16"/>
        </w:rPr>
        <w:t>3 мая в 1945 году югославские войска освободили Риеку (14880).</w:t>
      </w:r>
    </w:p>
    <w:p w14:paraId="432C6891" w14:textId="77777777" w:rsidR="0032073A" w:rsidRPr="00925F26" w:rsidRDefault="0032073A" w:rsidP="00925F26">
      <w:pPr>
        <w:jc w:val="both"/>
        <w:rPr>
          <w:color w:val="000000" w:themeColor="text1"/>
          <w:sz w:val="16"/>
          <w:szCs w:val="16"/>
        </w:rPr>
      </w:pPr>
    </w:p>
    <w:p w14:paraId="19B46C7A" w14:textId="77777777" w:rsidR="00AD5074" w:rsidRPr="00925F26" w:rsidRDefault="00AD5074"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мая 1945 в Португалии объявлен день траура по Гитлеру (4962).</w:t>
      </w:r>
    </w:p>
    <w:p w14:paraId="39B24A14" w14:textId="77777777" w:rsidR="00AD5074" w:rsidRPr="00925F26" w:rsidRDefault="00AD5074" w:rsidP="00925F26">
      <w:pPr>
        <w:tabs>
          <w:tab w:val="left" w:pos="11199"/>
        </w:tabs>
        <w:autoSpaceDE w:val="0"/>
        <w:autoSpaceDN w:val="0"/>
        <w:adjustRightInd w:val="0"/>
        <w:jc w:val="both"/>
        <w:rPr>
          <w:color w:val="000000" w:themeColor="text1"/>
          <w:sz w:val="16"/>
          <w:szCs w:val="16"/>
        </w:rPr>
      </w:pPr>
    </w:p>
    <w:p w14:paraId="16C54379" w14:textId="77777777" w:rsidR="008628F5" w:rsidRPr="00925F26" w:rsidRDefault="008628F5" w:rsidP="00925F26">
      <w:pPr>
        <w:jc w:val="both"/>
        <w:rPr>
          <w:color w:val="000000" w:themeColor="text1"/>
          <w:sz w:val="16"/>
          <w:szCs w:val="16"/>
        </w:rPr>
      </w:pPr>
      <w:r w:rsidRPr="00925F26">
        <w:rPr>
          <w:color w:val="000000" w:themeColor="text1"/>
          <w:sz w:val="16"/>
          <w:szCs w:val="16"/>
        </w:rPr>
        <w:t>3–4 мая 1945 пятая атака японских кикусуи на корабли у Окинавы, в которой участвуют 125 камикадзе. Они потопили три эсминца и два меньших корабля и повредили авианосец HMS Formidable, легкий крейсер USS Birmingham, четыре эсминца, минный заградитель и три меньших корабля (29371).</w:t>
      </w:r>
    </w:p>
    <w:p w14:paraId="28BA2B29" w14:textId="77777777" w:rsidR="008628F5" w:rsidRPr="00925F26" w:rsidRDefault="008628F5" w:rsidP="00925F26">
      <w:pPr>
        <w:jc w:val="both"/>
        <w:rPr>
          <w:color w:val="000000" w:themeColor="text1"/>
          <w:sz w:val="16"/>
          <w:szCs w:val="16"/>
        </w:rPr>
      </w:pPr>
    </w:p>
    <w:p w14:paraId="07D0BF3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мая 1945 американские войска освободили от японцев Рангун (4962).</w:t>
      </w:r>
    </w:p>
    <w:p w14:paraId="6E44E55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202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мая 1945 англичане захватили Рангун в Бирме (2248,6).</w:t>
      </w:r>
    </w:p>
    <w:p w14:paraId="40143648" w14:textId="77777777" w:rsidR="00665165" w:rsidRPr="00925F26" w:rsidRDefault="00665165" w:rsidP="00925F26">
      <w:pPr>
        <w:autoSpaceDE w:val="0"/>
        <w:autoSpaceDN w:val="0"/>
        <w:adjustRightInd w:val="0"/>
        <w:jc w:val="both"/>
        <w:rPr>
          <w:color w:val="000000" w:themeColor="text1"/>
          <w:sz w:val="16"/>
          <w:szCs w:val="16"/>
        </w:rPr>
      </w:pPr>
    </w:p>
    <w:p w14:paraId="62733209" w14:textId="77777777" w:rsidR="0032073A" w:rsidRPr="00925F26" w:rsidRDefault="0032073A" w:rsidP="00925F26">
      <w:pPr>
        <w:jc w:val="both"/>
        <w:rPr>
          <w:color w:val="000000" w:themeColor="text1"/>
          <w:sz w:val="16"/>
          <w:szCs w:val="16"/>
        </w:rPr>
      </w:pPr>
      <w:r w:rsidRPr="00925F26">
        <w:rPr>
          <w:color w:val="000000" w:themeColor="text1"/>
          <w:sz w:val="16"/>
          <w:szCs w:val="16"/>
        </w:rPr>
        <w:t>3 мая в 1945 году британские оккупационные власти ликвидировали Бирманскую Республику. Британские войска вошли в Рангун (14880).</w:t>
      </w:r>
    </w:p>
    <w:p w14:paraId="785360DA" w14:textId="77777777" w:rsidR="0032073A" w:rsidRPr="00925F26" w:rsidRDefault="0032073A" w:rsidP="00925F26">
      <w:pPr>
        <w:jc w:val="both"/>
        <w:rPr>
          <w:color w:val="000000" w:themeColor="text1"/>
          <w:sz w:val="16"/>
          <w:szCs w:val="16"/>
        </w:rPr>
      </w:pPr>
    </w:p>
    <w:p w14:paraId="31B78661" w14:textId="77777777" w:rsidR="0032073A" w:rsidRPr="00925F26" w:rsidRDefault="0032073A" w:rsidP="00925F26">
      <w:pPr>
        <w:jc w:val="both"/>
        <w:rPr>
          <w:color w:val="000000" w:themeColor="text1"/>
          <w:sz w:val="16"/>
          <w:szCs w:val="16"/>
        </w:rPr>
      </w:pPr>
      <w:r w:rsidRPr="00925F26">
        <w:rPr>
          <w:color w:val="000000" w:themeColor="text1"/>
          <w:sz w:val="16"/>
          <w:szCs w:val="16"/>
        </w:rPr>
        <w:t>3 мая в 1945 году американские войска заняли Давао (14880).</w:t>
      </w:r>
    </w:p>
    <w:p w14:paraId="68AB0264" w14:textId="77777777" w:rsidR="0032073A" w:rsidRPr="00925F26" w:rsidRDefault="0032073A" w:rsidP="00925F26">
      <w:pPr>
        <w:jc w:val="both"/>
        <w:rPr>
          <w:color w:val="000000" w:themeColor="text1"/>
          <w:sz w:val="16"/>
          <w:szCs w:val="16"/>
        </w:rPr>
      </w:pPr>
    </w:p>
    <w:p w14:paraId="0387974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3C3A703" w14:textId="77777777" w:rsidR="00665165" w:rsidRPr="00925F26" w:rsidRDefault="00665165" w:rsidP="00925F26">
      <w:pPr>
        <w:autoSpaceDE w:val="0"/>
        <w:autoSpaceDN w:val="0"/>
        <w:adjustRightInd w:val="0"/>
        <w:jc w:val="both"/>
        <w:rPr>
          <w:iCs/>
          <w:color w:val="000000" w:themeColor="text1"/>
          <w:sz w:val="16"/>
          <w:szCs w:val="16"/>
        </w:rPr>
      </w:pPr>
    </w:p>
    <w:p w14:paraId="03EAC9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зам. Ком. ВВС ма Фалалеев утвердил акт № 60 по результатам госиспытаний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w:t>
      </w:r>
    </w:p>
    <w:p w14:paraId="613767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проходили с 22 февраля и были прерваны 25 февраля, возобновлены 20 марта и закончились 8 апреля 1945.</w:t>
      </w:r>
    </w:p>
    <w:p w14:paraId="25923A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выполнено 24 полета с налетом 15:40</w:t>
      </w:r>
    </w:p>
    <w:p w14:paraId="75E8D4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Вед. Ии ли и Л.А.Радионов</w:t>
      </w:r>
    </w:p>
    <w:p w14:paraId="003D5B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и-м Д.Г.Пикуленко</w:t>
      </w:r>
    </w:p>
    <w:p w14:paraId="4CDD71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665CFE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189331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61D42C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проверки надежности работы провести войсковые испытания (20 с-тов)</w:t>
      </w:r>
    </w:p>
    <w:p w14:paraId="23B182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6BF07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июле 1944 испытавался во 2у ГК НИИ ВВС на с-та Ла-5 № 1618 вновь удовлетворительно</w:t>
      </w:r>
    </w:p>
    <w:p w14:paraId="024154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Отмечено, что значительно облегчает управление ВМГ</w:t>
      </w:r>
    </w:p>
    <w:p w14:paraId="1F645A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67FEF5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3B0ED4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АРТЦ-43 - был изготовлен в опытном экз. В 1943 заводом № 194 НКАП согласно плану опытных работ ВВС КА</w:t>
      </w:r>
    </w:p>
    <w:p w14:paraId="43084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2F4625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311E6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758CD8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37513C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4281998D" w14:textId="77777777" w:rsidR="00665165" w:rsidRPr="00925F26" w:rsidRDefault="00665165" w:rsidP="00925F26">
      <w:pPr>
        <w:autoSpaceDE w:val="0"/>
        <w:autoSpaceDN w:val="0"/>
        <w:adjustRightInd w:val="0"/>
        <w:jc w:val="both"/>
        <w:rPr>
          <w:color w:val="000000" w:themeColor="text1"/>
          <w:sz w:val="16"/>
          <w:szCs w:val="16"/>
        </w:rPr>
      </w:pPr>
    </w:p>
    <w:p w14:paraId="2FF27E53" w14:textId="5B2559F9" w:rsidR="008628F5" w:rsidRPr="00925F26" w:rsidRDefault="008628F5" w:rsidP="00925F26">
      <w:pPr>
        <w:jc w:val="both"/>
        <w:rPr>
          <w:color w:val="000000" w:themeColor="text1"/>
          <w:sz w:val="16"/>
          <w:szCs w:val="16"/>
        </w:rPr>
      </w:pPr>
      <w:proofErr w:type="gramStart"/>
      <w:r w:rsidRPr="00925F26">
        <w:rPr>
          <w:color w:val="000000" w:themeColor="text1"/>
          <w:sz w:val="16"/>
          <w:szCs w:val="16"/>
        </w:rPr>
        <w:t>4</w:t>
      </w:r>
      <w:r w:rsidR="00997EDF" w:rsidRPr="00925F26">
        <w:rPr>
          <w:color w:val="000000" w:themeColor="text1"/>
          <w:sz w:val="16"/>
          <w:szCs w:val="16"/>
        </w:rPr>
        <w:t xml:space="preserve">  </w:t>
      </w:r>
      <w:r w:rsidRPr="00925F26">
        <w:rPr>
          <w:color w:val="000000" w:themeColor="text1"/>
          <w:sz w:val="16"/>
          <w:szCs w:val="16"/>
        </w:rPr>
        <w:t>мая</w:t>
      </w:r>
      <w:proofErr w:type="gramEnd"/>
      <w:r w:rsidRPr="00925F26">
        <w:rPr>
          <w:color w:val="000000" w:themeColor="text1"/>
          <w:sz w:val="16"/>
          <w:szCs w:val="16"/>
        </w:rPr>
        <w:t xml:space="preserve"> 1945 командование флота заказало первые 20 комплектов для переоснащения уже имевшихся у морской авиации бомбардировщиков Ту-2 в вариант торпедоносца (21059).</w:t>
      </w:r>
    </w:p>
    <w:p w14:paraId="04E4F10D" w14:textId="77777777" w:rsidR="008628F5" w:rsidRPr="00925F26" w:rsidRDefault="008628F5" w:rsidP="00925F26">
      <w:pPr>
        <w:jc w:val="both"/>
        <w:rPr>
          <w:color w:val="000000" w:themeColor="text1"/>
          <w:sz w:val="16"/>
          <w:szCs w:val="16"/>
        </w:rPr>
      </w:pPr>
    </w:p>
    <w:p w14:paraId="00EC8D72" w14:textId="77777777" w:rsidR="008108C0" w:rsidRPr="00925F26" w:rsidRDefault="008108C0" w:rsidP="00925F26">
      <w:pPr>
        <w:shd w:val="clear" w:color="auto" w:fill="FFFFFF"/>
        <w:jc w:val="both"/>
        <w:rPr>
          <w:color w:val="000000" w:themeColor="text1"/>
          <w:sz w:val="16"/>
          <w:szCs w:val="16"/>
        </w:rPr>
      </w:pPr>
      <w:r w:rsidRPr="00925F26">
        <w:rPr>
          <w:color w:val="000000" w:themeColor="text1"/>
          <w:sz w:val="16"/>
          <w:szCs w:val="16"/>
        </w:rPr>
        <w:t>4-го мая 1944 года вышло Постановление Государственного Комитета Обороны № 5800сс, в соответствии с которым, наряду с серийным выпуском бомбардировщиков Ер-2, заводу № 39 поручается изготовить и отправить авиационному заводу № 86 в Таганроге комплект оснастки и приспособлений для производства Ер-2, а также 25 этих машин в агрегатах и деталях. Началом поставки был назван ноябрь 1944 года. Постановление ГКО было выполнено в соответствии с графиком поставки. В начале 1945 года в Таганрог было отправлено еще пять бомбардировщиков в деталях и агрегатах (15223).</w:t>
      </w:r>
    </w:p>
    <w:p w14:paraId="0DFAEC04" w14:textId="77777777" w:rsidR="008108C0" w:rsidRPr="00925F26" w:rsidRDefault="008108C0" w:rsidP="00925F26">
      <w:pPr>
        <w:shd w:val="clear" w:color="auto" w:fill="FFFFFF"/>
        <w:jc w:val="both"/>
        <w:rPr>
          <w:color w:val="000000" w:themeColor="text1"/>
          <w:sz w:val="16"/>
          <w:szCs w:val="16"/>
        </w:rPr>
      </w:pPr>
    </w:p>
    <w:p w14:paraId="6E3CFF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8391 О вывозе оборудования и материалов с немецкого завода в районе г. Вена на заводы Наркомавиапрома и Наркомцветмета. РГАНИР, Фонд ГКО, д. 411, лл. 122-124 (11012).</w:t>
      </w:r>
    </w:p>
    <w:p w14:paraId="3519A051" w14:textId="77777777" w:rsidR="00665165" w:rsidRPr="00925F26" w:rsidRDefault="00665165" w:rsidP="00925F26">
      <w:pPr>
        <w:autoSpaceDE w:val="0"/>
        <w:autoSpaceDN w:val="0"/>
        <w:adjustRightInd w:val="0"/>
        <w:jc w:val="both"/>
        <w:rPr>
          <w:color w:val="000000" w:themeColor="text1"/>
          <w:sz w:val="16"/>
          <w:szCs w:val="16"/>
        </w:rPr>
      </w:pPr>
    </w:p>
    <w:p w14:paraId="3328261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64ABC1E" w14:textId="77777777" w:rsidR="00665165" w:rsidRPr="00925F26" w:rsidRDefault="00665165" w:rsidP="00925F26">
      <w:pPr>
        <w:autoSpaceDE w:val="0"/>
        <w:autoSpaceDN w:val="0"/>
        <w:adjustRightInd w:val="0"/>
        <w:jc w:val="both"/>
        <w:rPr>
          <w:iCs/>
          <w:color w:val="000000" w:themeColor="text1"/>
          <w:sz w:val="16"/>
          <w:szCs w:val="16"/>
        </w:rPr>
      </w:pPr>
    </w:p>
    <w:p w14:paraId="1EE0E17F" w14:textId="77777777" w:rsidR="006D22CF" w:rsidRPr="001A0BAA" w:rsidRDefault="006D22CF" w:rsidP="006D22CF">
      <w:pPr>
        <w:jc w:val="both"/>
        <w:rPr>
          <w:color w:val="0070C0"/>
          <w:sz w:val="16"/>
          <w:szCs w:val="16"/>
        </w:rPr>
      </w:pPr>
      <w:r w:rsidRPr="001A0BAA">
        <w:rPr>
          <w:color w:val="0070C0"/>
          <w:sz w:val="16"/>
          <w:szCs w:val="16"/>
        </w:rPr>
        <w:t>4 мая 1945 года под председательством Л.П.Берия состоялось заседание Оперативного бюро Государственного Комитета Обороны СССР, на котором присутствовали также заместитель председателя Госплана И.М.Клочков, народный комиссар среднего машиностроения С.А.Акопов и секреталь ЦК КП(б) Грузии М.И.Барамия, представившие проект постановления ГКО о строительстве Кутаисского автомобильного завода. Проект был принят и представлен на рассмотрение Председателя ГКО И.В.Сталина.</w:t>
      </w:r>
    </w:p>
    <w:p w14:paraId="343775FE" w14:textId="77777777" w:rsidR="006D22CF" w:rsidRPr="001A0BAA" w:rsidRDefault="006D22CF" w:rsidP="006D22CF">
      <w:pPr>
        <w:jc w:val="both"/>
        <w:rPr>
          <w:color w:val="0070C0"/>
          <w:sz w:val="16"/>
          <w:szCs w:val="16"/>
        </w:rPr>
      </w:pPr>
      <w:r w:rsidRPr="001A0BAA">
        <w:rPr>
          <w:color w:val="0070C0"/>
          <w:sz w:val="16"/>
          <w:szCs w:val="16"/>
        </w:rPr>
        <w:lastRenderedPageBreak/>
        <w:t>6 мая 1945 года было принято подписанное И.В.Сталиным постановление Государственного Комитета Обороны №8436с «О строительстве Кутаисского автомобильного завода» (25677).</w:t>
      </w:r>
    </w:p>
    <w:p w14:paraId="4EB6553C" w14:textId="77777777" w:rsidR="006D22CF" w:rsidRPr="001A0BAA" w:rsidRDefault="006D22CF" w:rsidP="006D22CF">
      <w:pPr>
        <w:jc w:val="both"/>
        <w:rPr>
          <w:color w:val="0070C0"/>
          <w:sz w:val="16"/>
          <w:szCs w:val="16"/>
        </w:rPr>
      </w:pPr>
    </w:p>
    <w:p w14:paraId="1C1F8A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Распоряжение ГКО № 8379. О порядке приема и доставки посылок от военнослужащих КБФ, Днепровской и Дунайской флотилии и ЧФ, находящихся за рубежом. РГАНИР, Фонд ГКО, д. 411, лл. 100-101 (11012).</w:t>
      </w:r>
    </w:p>
    <w:p w14:paraId="010BE5DC" w14:textId="77777777" w:rsidR="00665165" w:rsidRPr="00925F26" w:rsidRDefault="00665165" w:rsidP="00925F26">
      <w:pPr>
        <w:autoSpaceDE w:val="0"/>
        <w:autoSpaceDN w:val="0"/>
        <w:adjustRightInd w:val="0"/>
        <w:jc w:val="both"/>
        <w:rPr>
          <w:color w:val="000000" w:themeColor="text1"/>
          <w:sz w:val="16"/>
          <w:szCs w:val="16"/>
        </w:rPr>
      </w:pPr>
    </w:p>
    <w:p w14:paraId="407DD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8380 О вывозе 14 турбогенераторов общей мощностью 324 тысячи киловатт и 34 котлов с немецкой электростанции в г. Брисков и с немецких электростанций в районе г. Вены, а также разного оборудования из г. г. Кюстрин и Шверин. РГАНИР, Фонд ГКО, д. 411, лл. 10 (11012).</w:t>
      </w:r>
    </w:p>
    <w:p w14:paraId="3657D3EB" w14:textId="77777777" w:rsidR="00665165" w:rsidRPr="00925F26" w:rsidRDefault="00665165" w:rsidP="00925F26">
      <w:pPr>
        <w:autoSpaceDE w:val="0"/>
        <w:autoSpaceDN w:val="0"/>
        <w:adjustRightInd w:val="0"/>
        <w:jc w:val="both"/>
        <w:rPr>
          <w:color w:val="000000" w:themeColor="text1"/>
          <w:sz w:val="16"/>
          <w:szCs w:val="16"/>
        </w:rPr>
      </w:pPr>
    </w:p>
    <w:p w14:paraId="6269C1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8381 О вывозе оборудования радиоцентров из районов городов Берлин, Науен и Целендорф. РГАНИР, Фонд ГКО, д. 411, лл. 106-107 (11012).</w:t>
      </w:r>
    </w:p>
    <w:p w14:paraId="0E341120" w14:textId="77777777" w:rsidR="00665165" w:rsidRPr="00925F26" w:rsidRDefault="00665165" w:rsidP="00925F26">
      <w:pPr>
        <w:autoSpaceDE w:val="0"/>
        <w:autoSpaceDN w:val="0"/>
        <w:adjustRightInd w:val="0"/>
        <w:jc w:val="both"/>
        <w:rPr>
          <w:color w:val="000000" w:themeColor="text1"/>
          <w:sz w:val="16"/>
          <w:szCs w:val="16"/>
        </w:rPr>
      </w:pPr>
    </w:p>
    <w:p w14:paraId="7E81C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8382 О вывозе оборудования по производству корпусов артиллерийских снарядов, деталей взрывателей и капсюльных втулок с немецкого завода фирмы "Христ и К" в г. Грюнберг (Нижняя Силезия). РГАНИР, Фонд ГКО, д. 411, лл. 108-109 (11012).</w:t>
      </w:r>
    </w:p>
    <w:p w14:paraId="52ED2E00" w14:textId="77777777" w:rsidR="00665165" w:rsidRPr="00925F26" w:rsidRDefault="00665165" w:rsidP="00925F26">
      <w:pPr>
        <w:autoSpaceDE w:val="0"/>
        <w:autoSpaceDN w:val="0"/>
        <w:adjustRightInd w:val="0"/>
        <w:jc w:val="both"/>
        <w:rPr>
          <w:color w:val="000000" w:themeColor="text1"/>
          <w:sz w:val="16"/>
          <w:szCs w:val="16"/>
        </w:rPr>
      </w:pPr>
    </w:p>
    <w:p w14:paraId="700A95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8383 О вывозе оборудования по производству корпусов снарядов и гильз завода немецкой фирмы "Густав Верке" в м. Хотенбурн (Австрия). РГАНИР, Фонд ГКО, д. 411, лл. 110-111 (11012).</w:t>
      </w:r>
    </w:p>
    <w:p w14:paraId="6128B22C" w14:textId="77777777" w:rsidR="00665165" w:rsidRPr="00925F26" w:rsidRDefault="00665165" w:rsidP="00925F26">
      <w:pPr>
        <w:autoSpaceDE w:val="0"/>
        <w:autoSpaceDN w:val="0"/>
        <w:adjustRightInd w:val="0"/>
        <w:jc w:val="both"/>
        <w:rPr>
          <w:color w:val="000000" w:themeColor="text1"/>
          <w:sz w:val="16"/>
          <w:szCs w:val="16"/>
        </w:rPr>
      </w:pPr>
    </w:p>
    <w:p w14:paraId="714822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8384 О вывозе оборудования установки по производству ТЭН с завода "Нитрокемика" в м. Фюзфо (Венгрия). РГАНИР, Фонд ГКО, д. 411, лл. 112 (11012).</w:t>
      </w:r>
    </w:p>
    <w:p w14:paraId="7768B36C" w14:textId="77777777" w:rsidR="00665165" w:rsidRPr="00925F26" w:rsidRDefault="00665165" w:rsidP="00925F26">
      <w:pPr>
        <w:autoSpaceDE w:val="0"/>
        <w:autoSpaceDN w:val="0"/>
        <w:adjustRightInd w:val="0"/>
        <w:jc w:val="both"/>
        <w:rPr>
          <w:color w:val="000000" w:themeColor="text1"/>
          <w:sz w:val="16"/>
          <w:szCs w:val="16"/>
        </w:rPr>
      </w:pPr>
    </w:p>
    <w:p w14:paraId="06B83A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8385 О вывозе оборудования по производству снарядных гильз завода акционерного общества "Экцельметаллверке" в местечке Экцельфельдорф (Австрия). РГАНИР, Фонд ГКО, д. 411, лл. 113-114 (11012).</w:t>
      </w:r>
    </w:p>
    <w:p w14:paraId="64AE3131" w14:textId="77777777" w:rsidR="00665165" w:rsidRPr="00925F26" w:rsidRDefault="00665165" w:rsidP="00925F26">
      <w:pPr>
        <w:autoSpaceDE w:val="0"/>
        <w:autoSpaceDN w:val="0"/>
        <w:adjustRightInd w:val="0"/>
        <w:jc w:val="both"/>
        <w:rPr>
          <w:color w:val="000000" w:themeColor="text1"/>
          <w:sz w:val="16"/>
          <w:szCs w:val="16"/>
        </w:rPr>
      </w:pPr>
    </w:p>
    <w:p w14:paraId="09A20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8386 4 мая 1945 вышло Постановление ГКО О вывозе оборудования по производству патронов с немецкого завода фирмы "Густав Верке" в м. Хиртемберг (Австрия). РГАНИР, Фонд ГКО, д. 411, лл. 115 (11012).</w:t>
      </w:r>
    </w:p>
    <w:p w14:paraId="2795C109" w14:textId="77777777" w:rsidR="00665165" w:rsidRPr="00925F26" w:rsidRDefault="00665165" w:rsidP="00925F26">
      <w:pPr>
        <w:autoSpaceDE w:val="0"/>
        <w:autoSpaceDN w:val="0"/>
        <w:adjustRightInd w:val="0"/>
        <w:jc w:val="both"/>
        <w:rPr>
          <w:color w:val="000000" w:themeColor="text1"/>
          <w:sz w:val="16"/>
          <w:szCs w:val="16"/>
        </w:rPr>
      </w:pPr>
    </w:p>
    <w:p w14:paraId="371B3D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8387 О вывозе оборудования оптического завода фирмы "Герц" в г. Вена. РГАНИР, Фонд ГКО, д. 411, лл. 116 (11012).</w:t>
      </w:r>
    </w:p>
    <w:p w14:paraId="2B0014D3" w14:textId="77777777" w:rsidR="00665165" w:rsidRPr="00925F26" w:rsidRDefault="00665165" w:rsidP="00925F26">
      <w:pPr>
        <w:autoSpaceDE w:val="0"/>
        <w:autoSpaceDN w:val="0"/>
        <w:adjustRightInd w:val="0"/>
        <w:jc w:val="both"/>
        <w:rPr>
          <w:color w:val="000000" w:themeColor="text1"/>
          <w:sz w:val="16"/>
          <w:szCs w:val="16"/>
        </w:rPr>
      </w:pPr>
    </w:p>
    <w:p w14:paraId="3D2BA4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8388 О вывозе оборудования с немецкого приборостроительного завода фирмы АЕГ в г. Глогау. РГАНИР, Фонд ГКО, д. 411, лл. 117-118 (11012).</w:t>
      </w:r>
    </w:p>
    <w:p w14:paraId="4E5BC871" w14:textId="77777777" w:rsidR="00665165" w:rsidRPr="00925F26" w:rsidRDefault="00665165" w:rsidP="00925F26">
      <w:pPr>
        <w:autoSpaceDE w:val="0"/>
        <w:autoSpaceDN w:val="0"/>
        <w:adjustRightInd w:val="0"/>
        <w:jc w:val="both"/>
        <w:rPr>
          <w:color w:val="000000" w:themeColor="text1"/>
          <w:sz w:val="16"/>
          <w:szCs w:val="16"/>
        </w:rPr>
      </w:pPr>
    </w:p>
    <w:p w14:paraId="322572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8389 О вывозе оборудования с заводов электротехнической промышленности в г. Вена на заводы Наркомэлектропрома. РГАНИР, Фонд ГКО, д. 411, лл. 119-120 (11012).</w:t>
      </w:r>
    </w:p>
    <w:p w14:paraId="61A509C8" w14:textId="77777777" w:rsidR="00665165" w:rsidRPr="00925F26" w:rsidRDefault="00665165" w:rsidP="00925F26">
      <w:pPr>
        <w:autoSpaceDE w:val="0"/>
        <w:autoSpaceDN w:val="0"/>
        <w:adjustRightInd w:val="0"/>
        <w:jc w:val="both"/>
        <w:rPr>
          <w:color w:val="000000" w:themeColor="text1"/>
          <w:sz w:val="16"/>
          <w:szCs w:val="16"/>
        </w:rPr>
      </w:pPr>
    </w:p>
    <w:p w14:paraId="137533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8390 О вывозе оборудования Венского государственного картографического института в гор. Вена. РГАНИР, Фонд ГКО, д. 411, лл. 121 (11012).</w:t>
      </w:r>
    </w:p>
    <w:p w14:paraId="12492451" w14:textId="77777777" w:rsidR="00665165" w:rsidRPr="00925F26" w:rsidRDefault="00665165" w:rsidP="00925F26">
      <w:pPr>
        <w:autoSpaceDE w:val="0"/>
        <w:autoSpaceDN w:val="0"/>
        <w:adjustRightInd w:val="0"/>
        <w:jc w:val="both"/>
        <w:rPr>
          <w:color w:val="000000" w:themeColor="text1"/>
          <w:sz w:val="16"/>
          <w:szCs w:val="16"/>
        </w:rPr>
      </w:pPr>
    </w:p>
    <w:p w14:paraId="1B02DF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8392 О вывозе металлообрабатывающих станков из немецких мастерских в городах Фридсберг, Драмбург, Шлоппе, Витц , Кюстрин. РГАНИР, Фонд ГКО, д. 411, лл. 125-126 (11012).</w:t>
      </w:r>
    </w:p>
    <w:p w14:paraId="5848651E" w14:textId="77777777" w:rsidR="00665165" w:rsidRPr="00925F26" w:rsidRDefault="00665165" w:rsidP="00925F26">
      <w:pPr>
        <w:autoSpaceDE w:val="0"/>
        <w:autoSpaceDN w:val="0"/>
        <w:adjustRightInd w:val="0"/>
        <w:jc w:val="both"/>
        <w:rPr>
          <w:color w:val="000000" w:themeColor="text1"/>
          <w:sz w:val="16"/>
          <w:szCs w:val="16"/>
        </w:rPr>
      </w:pPr>
    </w:p>
    <w:p w14:paraId="6C5C11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8393 О вывозе оборудования цеха по обработке коленчатых валов мотора типа "Майбах" м. Штабельвиц (Германия). РГАНИР, Фонд ГКО, д. 411, лл. 127-128 (11012).</w:t>
      </w:r>
    </w:p>
    <w:p w14:paraId="2321FB7F" w14:textId="77777777" w:rsidR="00665165" w:rsidRPr="00925F26" w:rsidRDefault="00665165" w:rsidP="00925F26">
      <w:pPr>
        <w:autoSpaceDE w:val="0"/>
        <w:autoSpaceDN w:val="0"/>
        <w:adjustRightInd w:val="0"/>
        <w:jc w:val="both"/>
        <w:rPr>
          <w:color w:val="000000" w:themeColor="text1"/>
          <w:sz w:val="16"/>
          <w:szCs w:val="16"/>
        </w:rPr>
      </w:pPr>
    </w:p>
    <w:p w14:paraId="69B9F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8395 О вывозе оборудования с немецкого ферросплавного завода общества "Александр Вагнер" в г. Крафтборн". РГАНИР, Фонд ГКО, д. 411, лл. 132-133 (11012).</w:t>
      </w:r>
    </w:p>
    <w:p w14:paraId="1F4479DC" w14:textId="77777777" w:rsidR="00665165" w:rsidRPr="00925F26" w:rsidRDefault="00665165" w:rsidP="00925F26">
      <w:pPr>
        <w:autoSpaceDE w:val="0"/>
        <w:autoSpaceDN w:val="0"/>
        <w:adjustRightInd w:val="0"/>
        <w:jc w:val="both"/>
        <w:rPr>
          <w:color w:val="000000" w:themeColor="text1"/>
          <w:sz w:val="16"/>
          <w:szCs w:val="16"/>
        </w:rPr>
      </w:pPr>
    </w:p>
    <w:p w14:paraId="2103BB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8396 О вывозе оборудования с немецких предприятий в г. г. Козель, Вена и в населенном пункте Шпидефельд (район г. Бреслау) на заводы Наркомтяжмаша. РГАНИР, Фонд ГКО, д. 411, лл. 134-135 (11012).</w:t>
      </w:r>
    </w:p>
    <w:p w14:paraId="27380C2C" w14:textId="77777777" w:rsidR="00665165" w:rsidRPr="00925F26" w:rsidRDefault="00665165" w:rsidP="00925F26">
      <w:pPr>
        <w:autoSpaceDE w:val="0"/>
        <w:autoSpaceDN w:val="0"/>
        <w:adjustRightInd w:val="0"/>
        <w:jc w:val="both"/>
        <w:rPr>
          <w:color w:val="000000" w:themeColor="text1"/>
          <w:sz w:val="16"/>
          <w:szCs w:val="16"/>
        </w:rPr>
      </w:pPr>
    </w:p>
    <w:p w14:paraId="2C37B3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8397 О вывозе оборудования по выработке криптоно-ксенонового газа с филиала завода"Тунгсрам" в г. Айко (Венгрия). РГАНИР, Фонд ГКО, д. 411, лл. 136 (11012).</w:t>
      </w:r>
    </w:p>
    <w:p w14:paraId="6FF1D696" w14:textId="77777777" w:rsidR="00665165" w:rsidRPr="00925F26" w:rsidRDefault="00665165" w:rsidP="00925F26">
      <w:pPr>
        <w:autoSpaceDE w:val="0"/>
        <w:autoSpaceDN w:val="0"/>
        <w:adjustRightInd w:val="0"/>
        <w:jc w:val="both"/>
        <w:rPr>
          <w:color w:val="000000" w:themeColor="text1"/>
          <w:sz w:val="16"/>
          <w:szCs w:val="16"/>
        </w:rPr>
      </w:pPr>
    </w:p>
    <w:p w14:paraId="2BC228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8398 О вывозе оборудования завода резиновой обуви и резиновых технических изделий фирмы "Семперит" из г. Бимпасинг (Австрия). РГАНИР, Фонд ГКО, д. 411, лл. 137-138 (11012).</w:t>
      </w:r>
    </w:p>
    <w:p w14:paraId="52A471D4" w14:textId="77777777" w:rsidR="00665165" w:rsidRPr="00925F26" w:rsidRDefault="00665165" w:rsidP="00925F26">
      <w:pPr>
        <w:autoSpaceDE w:val="0"/>
        <w:autoSpaceDN w:val="0"/>
        <w:adjustRightInd w:val="0"/>
        <w:jc w:val="both"/>
        <w:rPr>
          <w:color w:val="000000" w:themeColor="text1"/>
          <w:sz w:val="16"/>
          <w:szCs w:val="16"/>
        </w:rPr>
      </w:pPr>
    </w:p>
    <w:p w14:paraId="09AFA9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8399 О вывозе немецкого оборудования смолоперегонного завода фирмы "Оберхюттен" при заводе "Доннерсмаркхютте" в г. Гинденбург. РГАНИР, Фонд ГКО, д. 411, лл. 139-140 (11012).</w:t>
      </w:r>
    </w:p>
    <w:p w14:paraId="330D65FB" w14:textId="77777777" w:rsidR="00665165" w:rsidRPr="00925F26" w:rsidRDefault="00665165" w:rsidP="00925F26">
      <w:pPr>
        <w:autoSpaceDE w:val="0"/>
        <w:autoSpaceDN w:val="0"/>
        <w:adjustRightInd w:val="0"/>
        <w:jc w:val="both"/>
        <w:rPr>
          <w:color w:val="000000" w:themeColor="text1"/>
          <w:sz w:val="16"/>
          <w:szCs w:val="16"/>
        </w:rPr>
      </w:pPr>
    </w:p>
    <w:p w14:paraId="240E2B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8400 О вывозе оборудования и готовой продукции с насосного завода "Гарвенсверке Пумпен унд Машинен фабрик" немецкой фирмы "Веркзейнганг унд Варен Юбернахлес" в г. Вена. РГАНИР, Фонд ГКО, д. 411, лл. 141-142 (11012).</w:t>
      </w:r>
    </w:p>
    <w:p w14:paraId="4EBA98FF" w14:textId="77777777" w:rsidR="00665165" w:rsidRPr="00925F26" w:rsidRDefault="00665165" w:rsidP="00925F26">
      <w:pPr>
        <w:autoSpaceDE w:val="0"/>
        <w:autoSpaceDN w:val="0"/>
        <w:adjustRightInd w:val="0"/>
        <w:jc w:val="both"/>
        <w:rPr>
          <w:color w:val="000000" w:themeColor="text1"/>
          <w:sz w:val="16"/>
          <w:szCs w:val="16"/>
        </w:rPr>
      </w:pPr>
    </w:p>
    <w:p w14:paraId="678C53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8401 О вывозе оборудования с завода фирмы "Симеринг" в г. Вена. РГАНИР, Фонд ГКО, д. 411, лл. 143-144 (11012).</w:t>
      </w:r>
    </w:p>
    <w:p w14:paraId="0D774E78" w14:textId="77777777" w:rsidR="00665165" w:rsidRPr="00925F26" w:rsidRDefault="00665165" w:rsidP="00925F26">
      <w:pPr>
        <w:autoSpaceDE w:val="0"/>
        <w:autoSpaceDN w:val="0"/>
        <w:adjustRightInd w:val="0"/>
        <w:jc w:val="both"/>
        <w:rPr>
          <w:color w:val="000000" w:themeColor="text1"/>
          <w:sz w:val="16"/>
          <w:szCs w:val="16"/>
        </w:rPr>
      </w:pPr>
    </w:p>
    <w:p w14:paraId="3509F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8402 О вывозе оборудования с немецкого мостостроительного завода "Фон-Шамио" в г. Вена. РГАНИР, Фонд ГКО, д. 411, лл. 145 (11012).</w:t>
      </w:r>
    </w:p>
    <w:p w14:paraId="5B1B4499" w14:textId="77777777" w:rsidR="00665165" w:rsidRPr="00925F26" w:rsidRDefault="00665165" w:rsidP="00925F26">
      <w:pPr>
        <w:autoSpaceDE w:val="0"/>
        <w:autoSpaceDN w:val="0"/>
        <w:adjustRightInd w:val="0"/>
        <w:jc w:val="both"/>
        <w:rPr>
          <w:color w:val="000000" w:themeColor="text1"/>
          <w:sz w:val="16"/>
          <w:szCs w:val="16"/>
        </w:rPr>
      </w:pPr>
    </w:p>
    <w:p w14:paraId="40239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8404 О вывозе 300 электромоторов с завода фирмы "Мадьяр Броун Бовери" в г. Будапешт. РГАНИР, Фонд ГКО, д. 411, лл. 147 (11012).</w:t>
      </w:r>
    </w:p>
    <w:p w14:paraId="30B21CD3" w14:textId="77777777" w:rsidR="00665165" w:rsidRPr="00925F26" w:rsidRDefault="00665165" w:rsidP="00925F26">
      <w:pPr>
        <w:autoSpaceDE w:val="0"/>
        <w:autoSpaceDN w:val="0"/>
        <w:adjustRightInd w:val="0"/>
        <w:jc w:val="both"/>
        <w:rPr>
          <w:color w:val="000000" w:themeColor="text1"/>
          <w:sz w:val="16"/>
          <w:szCs w:val="16"/>
        </w:rPr>
      </w:pPr>
    </w:p>
    <w:p w14:paraId="3C0893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8405 О вывозе оборудования военного телефоно-телеграфного узла связи из района г. Визенталь (Германия). РГАНИР, Фонд ГКО, д. 411, лл. 148 (11012).</w:t>
      </w:r>
    </w:p>
    <w:p w14:paraId="300EC4CE" w14:textId="77777777" w:rsidR="00665165" w:rsidRPr="00925F26" w:rsidRDefault="00665165" w:rsidP="00925F26">
      <w:pPr>
        <w:autoSpaceDE w:val="0"/>
        <w:autoSpaceDN w:val="0"/>
        <w:adjustRightInd w:val="0"/>
        <w:jc w:val="both"/>
        <w:rPr>
          <w:color w:val="000000" w:themeColor="text1"/>
          <w:sz w:val="16"/>
          <w:szCs w:val="16"/>
        </w:rPr>
      </w:pPr>
    </w:p>
    <w:p w14:paraId="41A0D4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8406 О вывозе полиграфического оборудования с немецких типографий в Восточной Пруссии, Померании, Бранденбурге и Верхней Силезии. РГАНИР, Фонд ГКО, д. 411, лл. 149-152 (11012).</w:t>
      </w:r>
    </w:p>
    <w:p w14:paraId="5209C408" w14:textId="77777777" w:rsidR="00665165" w:rsidRPr="00925F26" w:rsidRDefault="00665165" w:rsidP="00925F26">
      <w:pPr>
        <w:autoSpaceDE w:val="0"/>
        <w:autoSpaceDN w:val="0"/>
        <w:adjustRightInd w:val="0"/>
        <w:jc w:val="both"/>
        <w:rPr>
          <w:color w:val="000000" w:themeColor="text1"/>
          <w:sz w:val="16"/>
          <w:szCs w:val="16"/>
        </w:rPr>
      </w:pPr>
    </w:p>
    <w:p w14:paraId="5BB252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8407 О вывозе станочного оборудования с заводов "Георг Швабе" и "Анкер Верке" в г. Бяло для сланцехимической промышленности Эстонской ССР. РГАНИР, Фонд ГКО, д. 411, лл. 153 (11012).</w:t>
      </w:r>
    </w:p>
    <w:p w14:paraId="631F71E4" w14:textId="77777777" w:rsidR="00665165" w:rsidRPr="00925F26" w:rsidRDefault="00665165" w:rsidP="00925F26">
      <w:pPr>
        <w:autoSpaceDE w:val="0"/>
        <w:autoSpaceDN w:val="0"/>
        <w:adjustRightInd w:val="0"/>
        <w:jc w:val="both"/>
        <w:rPr>
          <w:color w:val="000000" w:themeColor="text1"/>
          <w:sz w:val="16"/>
          <w:szCs w:val="16"/>
        </w:rPr>
      </w:pPr>
    </w:p>
    <w:p w14:paraId="48611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8408 О вывозе оборудования, сырья и готовой продукции немецких маргаринового и консервного заводов в г. Вена на заводы Наркомпищепрома СССР. РГАНИР, Фонд ГКО, д. 411, лл. 154-155 (11012).</w:t>
      </w:r>
    </w:p>
    <w:p w14:paraId="4F823832" w14:textId="77777777" w:rsidR="00665165" w:rsidRPr="00925F26" w:rsidRDefault="00665165" w:rsidP="00925F26">
      <w:pPr>
        <w:autoSpaceDE w:val="0"/>
        <w:autoSpaceDN w:val="0"/>
        <w:adjustRightInd w:val="0"/>
        <w:jc w:val="both"/>
        <w:rPr>
          <w:color w:val="000000" w:themeColor="text1"/>
          <w:sz w:val="16"/>
          <w:szCs w:val="16"/>
        </w:rPr>
      </w:pPr>
    </w:p>
    <w:p w14:paraId="51B2C3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8409 О вывозе оборудования с 8 сахарных, 4 пивоваренных, консервного, 3 спиртовых, винодельческого, крахмало-паточного заводов и с завода сушеных картофельных хлопьев в г. г. Оппельн, Гинденбург, Беутен, Глейвиц, Гайнау, Пархыше, Дейч-Эйлау (11012).</w:t>
      </w:r>
    </w:p>
    <w:p w14:paraId="52052648" w14:textId="77777777" w:rsidR="00665165" w:rsidRPr="00925F26" w:rsidRDefault="00665165" w:rsidP="00925F26">
      <w:pPr>
        <w:autoSpaceDE w:val="0"/>
        <w:autoSpaceDN w:val="0"/>
        <w:adjustRightInd w:val="0"/>
        <w:jc w:val="both"/>
        <w:rPr>
          <w:color w:val="000000" w:themeColor="text1"/>
          <w:sz w:val="16"/>
          <w:szCs w:val="16"/>
        </w:rPr>
      </w:pPr>
    </w:p>
    <w:p w14:paraId="2A9A70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4 мая 1945 вышло Постановление ГКО № 8410 О вывозе оборудования с немецких стеклотарного завода фирмы "Приворски", машиностроительного завода фирмы "Вейгель-Верке" и ремонтно-механического завода фирмы "Гааке". РГАНИР, Фонд ГКО, д. 411, лл. 163-164 (11012).</w:t>
      </w:r>
    </w:p>
    <w:p w14:paraId="01CC388C" w14:textId="77777777" w:rsidR="00665165" w:rsidRPr="00925F26" w:rsidRDefault="00665165" w:rsidP="00925F26">
      <w:pPr>
        <w:autoSpaceDE w:val="0"/>
        <w:autoSpaceDN w:val="0"/>
        <w:adjustRightInd w:val="0"/>
        <w:jc w:val="both"/>
        <w:rPr>
          <w:color w:val="000000" w:themeColor="text1"/>
          <w:sz w:val="16"/>
          <w:szCs w:val="16"/>
        </w:rPr>
      </w:pPr>
    </w:p>
    <w:p w14:paraId="12A1F9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8411 Об организации вывоза в Советский Союз оборудования с промышленных предприятий Берлина. РГАНИР, Фонд ГКО, д. 411, лл. 165 (11012).</w:t>
      </w:r>
    </w:p>
    <w:p w14:paraId="6AF9D883" w14:textId="77777777" w:rsidR="00665165" w:rsidRPr="00925F26" w:rsidRDefault="00665165" w:rsidP="00925F26">
      <w:pPr>
        <w:autoSpaceDE w:val="0"/>
        <w:autoSpaceDN w:val="0"/>
        <w:adjustRightInd w:val="0"/>
        <w:jc w:val="both"/>
        <w:rPr>
          <w:color w:val="000000" w:themeColor="text1"/>
          <w:sz w:val="16"/>
          <w:szCs w:val="16"/>
        </w:rPr>
      </w:pPr>
    </w:p>
    <w:p w14:paraId="0DF407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8412 О вывозе строительных машин, силового, транспортного и станочного оборудования и материалов с немецкого склада на базу Наркомстроя. РГАНИР, Фонд ГКО, д. 411, лл. 166-167 (11012).</w:t>
      </w:r>
    </w:p>
    <w:p w14:paraId="65D6B1CA" w14:textId="77777777" w:rsidR="00665165" w:rsidRPr="00925F26" w:rsidRDefault="00665165" w:rsidP="00925F26">
      <w:pPr>
        <w:autoSpaceDE w:val="0"/>
        <w:autoSpaceDN w:val="0"/>
        <w:adjustRightInd w:val="0"/>
        <w:jc w:val="both"/>
        <w:rPr>
          <w:color w:val="000000" w:themeColor="text1"/>
          <w:sz w:val="16"/>
          <w:szCs w:val="16"/>
        </w:rPr>
      </w:pPr>
    </w:p>
    <w:p w14:paraId="786F72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8413 О вывозе оборудования с немецких заводов в городах Грюнберг, Зарау на предприятия Наркомугля. РГАНИР, Фонд ГКО, д. 411, лл. 168 (11012).</w:t>
      </w:r>
    </w:p>
    <w:p w14:paraId="668BED62" w14:textId="77777777" w:rsidR="00665165" w:rsidRPr="00925F26" w:rsidRDefault="00665165" w:rsidP="00925F26">
      <w:pPr>
        <w:autoSpaceDE w:val="0"/>
        <w:autoSpaceDN w:val="0"/>
        <w:adjustRightInd w:val="0"/>
        <w:jc w:val="both"/>
        <w:rPr>
          <w:color w:val="000000" w:themeColor="text1"/>
          <w:sz w:val="16"/>
          <w:szCs w:val="16"/>
        </w:rPr>
      </w:pPr>
    </w:p>
    <w:p w14:paraId="211EC3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8414 О вывозе оборудования механической мастерской "Крушель-Герке" в г. Ландсберг. РГАНИР, Фонд ГКО, д. 411, лл. 169 (11012).</w:t>
      </w:r>
    </w:p>
    <w:p w14:paraId="343B61D2" w14:textId="77777777" w:rsidR="00665165" w:rsidRPr="00925F26" w:rsidRDefault="00665165" w:rsidP="00925F26">
      <w:pPr>
        <w:autoSpaceDE w:val="0"/>
        <w:autoSpaceDN w:val="0"/>
        <w:adjustRightInd w:val="0"/>
        <w:jc w:val="both"/>
        <w:rPr>
          <w:color w:val="000000" w:themeColor="text1"/>
          <w:sz w:val="16"/>
          <w:szCs w:val="16"/>
        </w:rPr>
      </w:pPr>
    </w:p>
    <w:p w14:paraId="652484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8415 О вывозе оборудования с незаконченного строительством завода фирмы "Кнапе" в г. Каллис и с мастерской конструкторского бюро фирмы "Раймунд Вегерер" в городе Драмбург. РГАНИР, Фонд ГКО, д. 411, лл. 170-171 (11012).</w:t>
      </w:r>
    </w:p>
    <w:p w14:paraId="44FB8906" w14:textId="77777777" w:rsidR="00665165" w:rsidRPr="00925F26" w:rsidRDefault="00665165" w:rsidP="00925F26">
      <w:pPr>
        <w:autoSpaceDE w:val="0"/>
        <w:autoSpaceDN w:val="0"/>
        <w:adjustRightInd w:val="0"/>
        <w:jc w:val="both"/>
        <w:rPr>
          <w:color w:val="000000" w:themeColor="text1"/>
          <w:sz w:val="16"/>
          <w:szCs w:val="16"/>
        </w:rPr>
      </w:pPr>
    </w:p>
    <w:p w14:paraId="00C48E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мая 1945 вышло Постановление ГКО № 8416 О вывозе оборудования, сырья и материалов с 3 обувных, 3 кожевенных, трикотажного, шорно-галантерейного и </w:t>
      </w:r>
      <w:proofErr w:type="gramStart"/>
      <w:r w:rsidRPr="00925F26">
        <w:rPr>
          <w:color w:val="000000" w:themeColor="text1"/>
          <w:sz w:val="16"/>
          <w:szCs w:val="16"/>
        </w:rPr>
        <w:t>щетино-щеточного</w:t>
      </w:r>
      <w:proofErr w:type="gramEnd"/>
      <w:r w:rsidRPr="00925F26">
        <w:rPr>
          <w:color w:val="000000" w:themeColor="text1"/>
          <w:sz w:val="16"/>
          <w:szCs w:val="16"/>
        </w:rPr>
        <w:t xml:space="preserve"> немецких предприятий. РГАНИР, Фонд ГКО, д. 411, лл. 172-173, 174 (11012).</w:t>
      </w:r>
    </w:p>
    <w:p w14:paraId="0F945275" w14:textId="77777777" w:rsidR="00665165" w:rsidRPr="00925F26" w:rsidRDefault="00665165" w:rsidP="00925F26">
      <w:pPr>
        <w:autoSpaceDE w:val="0"/>
        <w:autoSpaceDN w:val="0"/>
        <w:adjustRightInd w:val="0"/>
        <w:jc w:val="both"/>
        <w:rPr>
          <w:color w:val="000000" w:themeColor="text1"/>
          <w:sz w:val="16"/>
          <w:szCs w:val="16"/>
        </w:rPr>
      </w:pPr>
    </w:p>
    <w:p w14:paraId="482BF9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8417 О вывозе оборудования с механической мастерской "Габридер Кюн" и завода фирмы "Цетлин". РГАНИР, Фонд ГКО, д. 411, лл. 175 (11012).</w:t>
      </w:r>
    </w:p>
    <w:p w14:paraId="5A05A157" w14:textId="77777777" w:rsidR="00665165" w:rsidRPr="00925F26" w:rsidRDefault="00665165" w:rsidP="00925F26">
      <w:pPr>
        <w:autoSpaceDE w:val="0"/>
        <w:autoSpaceDN w:val="0"/>
        <w:adjustRightInd w:val="0"/>
        <w:jc w:val="both"/>
        <w:rPr>
          <w:color w:val="000000" w:themeColor="text1"/>
          <w:sz w:val="16"/>
          <w:szCs w:val="16"/>
        </w:rPr>
      </w:pPr>
    </w:p>
    <w:p w14:paraId="250B78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8418 О вывозе оборудования с немецких шарикоподшипниковых заводов в г. Заган и Лангенау. РГАНИР, Фонд ГКО, д. 411, лл. 176-177 (11012).</w:t>
      </w:r>
    </w:p>
    <w:p w14:paraId="44203D50" w14:textId="77777777" w:rsidR="00665165" w:rsidRPr="00925F26" w:rsidRDefault="00665165" w:rsidP="00925F26">
      <w:pPr>
        <w:autoSpaceDE w:val="0"/>
        <w:autoSpaceDN w:val="0"/>
        <w:adjustRightInd w:val="0"/>
        <w:jc w:val="both"/>
        <w:rPr>
          <w:color w:val="000000" w:themeColor="text1"/>
          <w:sz w:val="16"/>
          <w:szCs w:val="16"/>
        </w:rPr>
      </w:pPr>
    </w:p>
    <w:p w14:paraId="23DD0B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8419 О вывозе оборудования с немецкого судоремонтного завода фирмы "Пциласс" в г. Бриг и немецкого механического завода "Хоппа" в г. Прейс ФридлянРГАНИР, Фонд ГКО, д. РГАНИР, Фонд ГКО, д. 411, лл. 178-179 (11012).</w:t>
      </w:r>
    </w:p>
    <w:p w14:paraId="71FE5F51" w14:textId="77777777" w:rsidR="00665165" w:rsidRPr="00925F26" w:rsidRDefault="00665165" w:rsidP="00925F26">
      <w:pPr>
        <w:autoSpaceDE w:val="0"/>
        <w:autoSpaceDN w:val="0"/>
        <w:adjustRightInd w:val="0"/>
        <w:jc w:val="both"/>
        <w:rPr>
          <w:color w:val="000000" w:themeColor="text1"/>
          <w:sz w:val="16"/>
          <w:szCs w:val="16"/>
        </w:rPr>
      </w:pPr>
    </w:p>
    <w:p w14:paraId="469BA5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8420 О вывозе с трофейных складов при станции Грошевиц (Германия) линейно-строительных материалов связи и 10 пожарных автомашин со 2-го Украинского фронта в г. Ленинград . РГАНИР, Фонд ГКО, д. 411, лл. 180 (11012).</w:t>
      </w:r>
    </w:p>
    <w:p w14:paraId="5C3A6179" w14:textId="77777777" w:rsidR="00665165" w:rsidRPr="00925F26" w:rsidRDefault="00665165" w:rsidP="00925F26">
      <w:pPr>
        <w:autoSpaceDE w:val="0"/>
        <w:autoSpaceDN w:val="0"/>
        <w:adjustRightInd w:val="0"/>
        <w:jc w:val="both"/>
        <w:rPr>
          <w:color w:val="000000" w:themeColor="text1"/>
          <w:sz w:val="16"/>
          <w:szCs w:val="16"/>
        </w:rPr>
      </w:pPr>
    </w:p>
    <w:p w14:paraId="46BA45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8421 О вывозе оборудования с немецкого сульфат-целлюлозного завода в районе г. Леден. РГАНИР, Фонд ГКО, д. 411, лл. 181-182 (11012).</w:t>
      </w:r>
    </w:p>
    <w:p w14:paraId="72F646B3" w14:textId="77777777" w:rsidR="00665165" w:rsidRPr="00925F26" w:rsidRDefault="00665165" w:rsidP="00925F26">
      <w:pPr>
        <w:autoSpaceDE w:val="0"/>
        <w:autoSpaceDN w:val="0"/>
        <w:adjustRightInd w:val="0"/>
        <w:jc w:val="both"/>
        <w:rPr>
          <w:color w:val="000000" w:themeColor="text1"/>
          <w:sz w:val="16"/>
          <w:szCs w:val="16"/>
        </w:rPr>
      </w:pPr>
    </w:p>
    <w:p w14:paraId="6D032D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8422 О вывозе оборудования с завода "Остмарк" в г. Цанов и запасных частей к тракторам и сельхозмашинам со складов в г. Бунцлау. РГАНИР, Фонд ГКО, д. 411, лл. 183-184 (11012).</w:t>
      </w:r>
    </w:p>
    <w:p w14:paraId="2DEAC8A3" w14:textId="77777777" w:rsidR="00665165" w:rsidRPr="00925F26" w:rsidRDefault="00665165" w:rsidP="00925F26">
      <w:pPr>
        <w:autoSpaceDE w:val="0"/>
        <w:autoSpaceDN w:val="0"/>
        <w:adjustRightInd w:val="0"/>
        <w:jc w:val="both"/>
        <w:rPr>
          <w:color w:val="000000" w:themeColor="text1"/>
          <w:sz w:val="16"/>
          <w:szCs w:val="16"/>
        </w:rPr>
      </w:pPr>
    </w:p>
    <w:p w14:paraId="231FE2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группа Кикоина посетила Кайзер-институт, который в основном был эвакуирован в Западную Германию (в Тюрингию) ещё в феврале, хотя здание Института уцелело. В качестве зам. директора там остался [Людвиг] Бевилогуа, охранявший жалкие остатки оборудования.</w:t>
      </w:r>
    </w:p>
    <w:p w14:paraId="193FD37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„Он нас встретил. Я-то его знал, а ему-то фамилию мою не называли, естественно… Мы были в полковничьих формах. Я попросил, чтобы он показал нам секретные сейфы. Я, правда, мало надеялся, что он покажет их. Конечно, они уничтожены. Однако оказалось, что он не уничтожил. Он нам отдал ключи и показал, где находятся сейфы секретные. Мы их вскрыли. Они набиты были документами, и ничего не было уничтожено. Мы спросили: „Почему не уничтожены сейфы?“ Он сказал, что получил указание такое, что сейф[ы] уничтожить либо по прямому указанию по радио, которое он должен получить, либо придёт с соответствующим паролем человек, который даст ему указание уничтожить сейфы, [и заключил]: „Ни того, ни другого нет, и поэтому сейфы я не уничтожил, не имел право уничтожить сейфы“.</w:t>
      </w:r>
    </w:p>
    <w:p w14:paraId="40A1173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Несмотря на то, что армия вошла в Берлин, он сейфы так и не уничтожил… с немецкой аккуратностью. Но, правда, Институт-то был эвакуирован почти весь, там уже мало что сохранилось. Остался он и несколько сотрудников второстепенных… Но документы остались все!“ </w:t>
      </w:r>
    </w:p>
    <w:p w14:paraId="7F0534C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„Среди секретных документов, — продолжает Кикоин, — мы нашли урановый проект. Мы не ошиблись, действительно Кайзер-институт был основным в этой проблеме. По просмотренным документам нам стало ясно, что немцы нас не обогнали, напротив, — они в интересующих нас вопросах находились на очень низком научно-техническом уровне. Правда, они экспериментально наблюдали начало цепной реакции (размножение нейтронов). В качестве замедлителя они использовали тяжёлую воду, которую получали из Норвегии. Мы обнаружили два пятилитровых бидона с тяжёлой водой, на которых были этикетки с надписью „Norsk Hydro“. Там же мы нашли некоторое количество металлического урана и несколько килограммов окиси урана. </w:t>
      </w:r>
    </w:p>
    <w:p w14:paraId="05C7C52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Кое-что из оставшегося в Кайзер-институте оборудования мы демонтировали и отправили в Москву (электрощиты, приборы). Несколько весьма наивных установок для разделения изотопов мы также отправили в Москву… </w:t>
      </w:r>
    </w:p>
    <w:p w14:paraId="5BE2A4C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Судя по просмотренным документам, профессор Хартек в Гамбурге занимался центробежным методом разделения изотопов, но безуспешно. </w:t>
      </w:r>
    </w:p>
    <w:p w14:paraId="20D78689"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Мы выполнили поручение Правительства и пригласили на работу в СССР профессоров [Густава] Герца, Манфреда фон Арденне и [Петера] Тиссена. Другая группа наших учёных привлекла профессора [Николауса] Риля, крупного специалиста по металлургии урана, и других известных немецких учёных.“ (11291).</w:t>
      </w:r>
    </w:p>
    <w:p w14:paraId="07510A5E" w14:textId="77777777" w:rsidR="00665165" w:rsidRPr="00925F26" w:rsidRDefault="00665165" w:rsidP="00925F26">
      <w:pPr>
        <w:autoSpaceDE w:val="0"/>
        <w:autoSpaceDN w:val="0"/>
        <w:adjustRightInd w:val="0"/>
        <w:jc w:val="both"/>
        <w:rPr>
          <w:bCs/>
          <w:color w:val="000000" w:themeColor="text1"/>
          <w:sz w:val="16"/>
          <w:szCs w:val="16"/>
        </w:rPr>
      </w:pPr>
    </w:p>
    <w:p w14:paraId="4B076E6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мая 1945 года вышел приказ № 184/0131/0231 НКВ, Наркомата судостроительной промышленности, Наркомата ВМФ</w:t>
      </w:r>
    </w:p>
    <w:p w14:paraId="7723060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ГОКО № 7739сс от 8 марта 1945 года об организации в системе НКВ Морского артиллерийского центрального КБ и объединения в нем проектирования морской корабельной и береговой артиллерии (6447, 70).</w:t>
      </w:r>
    </w:p>
    <w:p w14:paraId="15AA7B7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4EED6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6F56CB8" w14:textId="77777777" w:rsidR="00665165" w:rsidRPr="00925F26" w:rsidRDefault="00665165" w:rsidP="00925F26">
      <w:pPr>
        <w:autoSpaceDE w:val="0"/>
        <w:autoSpaceDN w:val="0"/>
        <w:adjustRightInd w:val="0"/>
        <w:jc w:val="both"/>
        <w:rPr>
          <w:iCs/>
          <w:color w:val="000000" w:themeColor="text1"/>
          <w:sz w:val="16"/>
          <w:szCs w:val="16"/>
        </w:rPr>
      </w:pPr>
    </w:p>
    <w:p w14:paraId="60589773" w14:textId="77777777" w:rsidR="008108C0" w:rsidRPr="00925F26" w:rsidRDefault="008108C0" w:rsidP="00925F26">
      <w:pPr>
        <w:jc w:val="both"/>
        <w:rPr>
          <w:color w:val="000000" w:themeColor="text1"/>
          <w:sz w:val="16"/>
          <w:szCs w:val="16"/>
        </w:rPr>
      </w:pPr>
      <w:r w:rsidRPr="00925F26">
        <w:rPr>
          <w:color w:val="000000" w:themeColor="text1"/>
          <w:sz w:val="16"/>
          <w:szCs w:val="16"/>
        </w:rPr>
        <w:t>4 мая в 1945 году оперативная сводка Совинформбюро:</w:t>
      </w:r>
    </w:p>
    <w:p w14:paraId="41B6F0FE" w14:textId="77777777" w:rsidR="008108C0" w:rsidRPr="00925F26" w:rsidRDefault="008108C0" w:rsidP="00925F26">
      <w:pPr>
        <w:jc w:val="both"/>
        <w:rPr>
          <w:color w:val="000000" w:themeColor="text1"/>
          <w:sz w:val="16"/>
          <w:szCs w:val="16"/>
        </w:rPr>
      </w:pPr>
      <w:r w:rsidRPr="00925F26">
        <w:rPr>
          <w:color w:val="000000" w:themeColor="text1"/>
          <w:sz w:val="16"/>
          <w:szCs w:val="16"/>
        </w:rPr>
        <w:t>«Войска 2-го Белорусского фронта, форсировав пролив Дивенов севернее Штеттина, овладели городом Воллин и заняли населённые пункты Люснов, Кертентин, Ярмбов, Кодрам, Реберг, Гросс и Клайн Мократц, Зольдемин. Севернее города Виттенберге войска фронта, продолжая наступление, заняли города Штернберг, Любц, Пархим, Грабов и крупные населённые пункты Дабель, Демен, Гольденбов, Радун, Шпорнитц, Бливенсторф, Цирцов, Ленцен.</w:t>
      </w:r>
    </w:p>
    <w:p w14:paraId="22480E6D" w14:textId="77777777" w:rsidR="008108C0" w:rsidRPr="00925F26" w:rsidRDefault="008108C0" w:rsidP="00925F26">
      <w:pPr>
        <w:jc w:val="both"/>
        <w:rPr>
          <w:color w:val="000000" w:themeColor="text1"/>
          <w:sz w:val="16"/>
          <w:szCs w:val="16"/>
        </w:rPr>
      </w:pPr>
      <w:r w:rsidRPr="00925F26">
        <w:rPr>
          <w:color w:val="000000" w:themeColor="text1"/>
          <w:sz w:val="16"/>
          <w:szCs w:val="16"/>
        </w:rPr>
        <w:t>За 3 мая войска фронта взяли в плен более 22.000 немецких солдат и офицеров и захватили на аэродромах 240 самолётов противника.</w:t>
      </w:r>
    </w:p>
    <w:p w14:paraId="415E3062" w14:textId="77777777" w:rsidR="008108C0" w:rsidRPr="00925F26" w:rsidRDefault="008108C0" w:rsidP="00925F26">
      <w:pPr>
        <w:jc w:val="both"/>
        <w:rPr>
          <w:color w:val="000000" w:themeColor="text1"/>
          <w:sz w:val="16"/>
          <w:szCs w:val="16"/>
        </w:rPr>
      </w:pPr>
      <w:r w:rsidRPr="00925F26">
        <w:rPr>
          <w:color w:val="000000" w:themeColor="text1"/>
          <w:sz w:val="16"/>
          <w:szCs w:val="16"/>
        </w:rPr>
        <w:t>Войска 1-го Белорусского фронта, наступая южнее города Бранденбург, с боями заняли города Бельциг, Визенбург, Нимегк, Косвиг и крупные населённые пункты Геттин, Кране, Гольцов, Гребен, Герцке, Реетц. В боях за 3 мая войска фронта взяли в плен 23.700 немецких солдат и офицеров и захватили на аэродромах 57 самолётов противника. По дополнительным данным, в Берлине взяты в плен полицей-президент города Берлина генерал-лейтенант полиции Герум, начальник берлинской полиции генерал-майор полиции Хайнбург, начальник охраны имперской канцелярии бригадефюрер СС Монке, начальник санслужбы берлинского гарнизона генерал-майор медицинской службы Шрейбер, руководитель Красного Креста города Берлин и провинции Бранденбург генерал-лейтенант медицинской службы Брекенфельд, командир 18 мотодивизии генерал-майор Раух.</w:t>
      </w:r>
    </w:p>
    <w:p w14:paraId="5572EFB3" w14:textId="77777777" w:rsidR="008108C0" w:rsidRPr="00925F26" w:rsidRDefault="008108C0"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в полосе Западных Карпат, с боями заняли город Вигштадтль (Витков) и крупные населённые пункты Пустейов, Мошнов, Брушперк, Домаславице, Остравице, Горная Бечва, Великие Карловице, Говези. В боях за 3 мая войска фронта взяли в плен болев 1.000 немецких солдат и офицеров.</w:t>
      </w:r>
    </w:p>
    <w:p w14:paraId="35628689" w14:textId="77777777" w:rsidR="008108C0" w:rsidRPr="00925F26" w:rsidRDefault="008108C0" w:rsidP="00925F26">
      <w:pPr>
        <w:jc w:val="both"/>
        <w:rPr>
          <w:color w:val="000000" w:themeColor="text1"/>
          <w:sz w:val="16"/>
          <w:szCs w:val="16"/>
        </w:rPr>
      </w:pPr>
      <w:r w:rsidRPr="00925F26">
        <w:rPr>
          <w:color w:val="000000" w:themeColor="text1"/>
          <w:sz w:val="16"/>
          <w:szCs w:val="16"/>
        </w:rPr>
        <w:t>Войсками 2-го Украинского фронта восточнее города Брно с боями заняты крупные населённые пункты Лужна, Поздехов, Ясенна, Визовице, Слушовице, Лужковице, Квасице, Тешновице, Важаны, Злобице, Крженовице.</w:t>
      </w:r>
    </w:p>
    <w:p w14:paraId="1FD00DD0" w14:textId="77777777" w:rsidR="008108C0" w:rsidRPr="00925F26" w:rsidRDefault="008108C0"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0BAEA873" w14:textId="77777777" w:rsidR="008108C0" w:rsidRPr="00925F26" w:rsidRDefault="008108C0" w:rsidP="00925F26">
      <w:pPr>
        <w:jc w:val="both"/>
        <w:rPr>
          <w:color w:val="000000" w:themeColor="text1"/>
          <w:sz w:val="16"/>
          <w:szCs w:val="16"/>
        </w:rPr>
      </w:pPr>
      <w:r w:rsidRPr="00925F26">
        <w:rPr>
          <w:color w:val="000000" w:themeColor="text1"/>
          <w:sz w:val="16"/>
          <w:szCs w:val="16"/>
        </w:rPr>
        <w:t>За 3 мая на всех фронтах подбито и уничтожено 50 немецких танков и самоходных орудий.</w:t>
      </w:r>
    </w:p>
    <w:p w14:paraId="46810CFB" w14:textId="77777777" w:rsidR="008108C0" w:rsidRPr="00925F26" w:rsidRDefault="008108C0" w:rsidP="00925F26">
      <w:pPr>
        <w:jc w:val="both"/>
        <w:rPr>
          <w:color w:val="000000" w:themeColor="text1"/>
          <w:sz w:val="16"/>
          <w:szCs w:val="16"/>
        </w:rPr>
      </w:pPr>
      <w:r w:rsidRPr="00925F26">
        <w:rPr>
          <w:color w:val="000000" w:themeColor="text1"/>
          <w:sz w:val="16"/>
          <w:szCs w:val="16"/>
        </w:rPr>
        <w:t xml:space="preserve">Войска 2-го Белорусского фронта продолжали наступление. Севернее города Штеттин советские части переправились через пролив Дивенов и захватили плацдарм на острове Воллин. Немцы, стремясь отбросить нашли подразделения, предприняли одиннадцать контратак. Советские бойцы отразили вражеские контратаки и после </w:t>
      </w:r>
      <w:r w:rsidRPr="00925F26">
        <w:rPr>
          <w:color w:val="000000" w:themeColor="text1"/>
          <w:sz w:val="16"/>
          <w:szCs w:val="16"/>
        </w:rPr>
        <w:lastRenderedPageBreak/>
        <w:t>упорных боёв овладели железнодорожной станцией и городом Воллин. Севернее города Виттенберге гитлеровцы, отступая под ударами наших войск, взрывают мосты и устраивают завалы на дорогах. Преодолевая на своём пути всевозможные препятствия, советские пехотинцы стремительно продвигаются вперед, громя колонны войск и гарнизоны опорных пунктов противника. Значительные группы немцев складывают оружие и сдаются в плен. На железнодорожных перегонах и станциях захвачено 110 паровозов и 4 тысячи железнодорожных вагонов.</w:t>
      </w:r>
    </w:p>
    <w:p w14:paraId="5FDBE4C7" w14:textId="77777777" w:rsidR="008108C0" w:rsidRPr="00925F26" w:rsidRDefault="008108C0" w:rsidP="00925F26">
      <w:pPr>
        <w:jc w:val="both"/>
        <w:rPr>
          <w:color w:val="000000" w:themeColor="text1"/>
          <w:sz w:val="16"/>
          <w:szCs w:val="16"/>
        </w:rPr>
      </w:pPr>
      <w:r w:rsidRPr="00925F26">
        <w:rPr>
          <w:color w:val="000000" w:themeColor="text1"/>
          <w:sz w:val="16"/>
          <w:szCs w:val="16"/>
        </w:rPr>
        <w:t>Южнее города Бранденбург войска 1-го Белорусского фронта вели наступательные бои. Советские части преодолели лесной массив и, продвинувшись на 20 километров по болотистой, изрезанной речками местности, овладели городом Бельциг — узлом железных и шоссейных дорог. Группы пехоты и танков противника пытались оказать сопротивление, но были рассеяны. Продолжая наступление, советские части выбили гитлеровцев из города Визенбург. В этом районе захвачены склады с военным имуществом немцев. На одном участке наши подвижные группы настигли вражескую колонну и в непродолжительном бою разгромили её. На дороге осталось свыше 600 трупов немецких солдат и офицеров. Остальные гитлеровцы сложили оружие и сдались в плен.</w:t>
      </w:r>
    </w:p>
    <w:p w14:paraId="11E4A034" w14:textId="77777777" w:rsidR="008108C0" w:rsidRPr="00925F26" w:rsidRDefault="008108C0"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Противник, закрепившись в горах, оказывает упорное сопротивление. Советские части обходят вражеские узлы сопротивления и громят их ударами с тыла и флангов. Прорвав промежуточный рубеж обороны немцев, наши войска в результате стремительной атаки, овладели городом Вигштадтль (Витков). Советские гвардейские части с боями продвинулись вперёд на 15 километров и выбили немцев из селения Горная Бечва, превращенного ими в укреплённый опорный пункт. В одном районе наши подразделения, совершив обходный манёвр, отрезали пути отхода немецкой части, отступавшей по узкой горной долине. Попытки гитлеровцев прорваться на запад успеха не имели. Советские бойцы разгромили немцев и захватили 8 танков, 19 орудий, 50 пулемётов и большой обоз с различными грузами.</w:t>
      </w:r>
    </w:p>
    <w:p w14:paraId="0AE2B2AD" w14:textId="77777777" w:rsidR="008108C0" w:rsidRPr="00925F26" w:rsidRDefault="008108C0" w:rsidP="00925F26">
      <w:pPr>
        <w:jc w:val="both"/>
        <w:rPr>
          <w:color w:val="000000" w:themeColor="text1"/>
          <w:sz w:val="16"/>
          <w:szCs w:val="16"/>
        </w:rPr>
      </w:pPr>
      <w:r w:rsidRPr="00925F26">
        <w:rPr>
          <w:color w:val="000000" w:themeColor="text1"/>
          <w:sz w:val="16"/>
          <w:szCs w:val="16"/>
        </w:rPr>
        <w:t>Восточнее города Брно наши войска с боями заняли несколько населенных пунктов. Гитлеровцы оказывают сильное огневое сопротивление и часто переходят в контратаки. Наши войска, наступающие по обеим сторонам реки Моравы, совершили обходный манёвр, овладели селением Крженовице и прижали противника к реке. В результате боя большая часть гитлеровцев, в том числе моторизованный полк СС, уничтожена. На месте боя осталось много вражеских трупов. Сожжено и подбито 16 танков и самоходных орудий противника.»</w:t>
      </w:r>
    </w:p>
    <w:p w14:paraId="35ED4AC6" w14:textId="77777777" w:rsidR="008108C0" w:rsidRPr="00925F26" w:rsidRDefault="008108C0" w:rsidP="00925F26">
      <w:pPr>
        <w:jc w:val="both"/>
        <w:rPr>
          <w:color w:val="000000" w:themeColor="text1"/>
          <w:sz w:val="16"/>
          <w:szCs w:val="16"/>
        </w:rPr>
      </w:pPr>
    </w:p>
    <w:p w14:paraId="6B5A6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мая 1945 года на летчики отправили на дно учебный броненосец "Шлезиен". Броненосец был главным кораблем эскадры, обстреливающей сухопутные части 2го Белорусского фронта в районе Свиноуйсце. Операция проходила следующим образом. Силы морской авиации были разделены на три отряда, причем основную роль играл первый отряд, а второй и третий должны были вылететь в том случае, если с первого раза не удастся поразить цель. Впервые, операцию координировали с воздуха. Для этого был организован наблюдательный пункт на борту одного из А-20 (2691). В состав первого отряда вошли 2 торпедоносца А-20ТО и 8 топмачтовиков А-20С из 51-го МТАП, 24 Ил-2 из 7-го ГШАП, а также 13 Як-9 из 21-го и 12-го ИАП. Командиром отряда стал капитан Ф.Н. Макарихин, расположившийся на командном А-20. В 11:30 первыми атаковали штурмовики, которые должны были подавить зенитную артиллерию эскадры. Но заметных результатов штурмовикам добиться не удалось. Из-за плотного огня противника и тумана в 11:39 лишь три бомбардировщика смогли сбросить бомбы. Броненосец получил прямое попадание одной ФАБ-500 или ФАБ-1000, которая снесла фокмачту (2691). В 16:40 атаковал второй отряд: 5 А-20С и А-200 лейтенанта А. Богачева, 16 Ил-2 капитана П.А. Гончарова и 16 Як-9. Результаты опять были неутешительными - лишь одна ФАБ-500 легла в непосредственной близости от борта. Александр Богачев докладывал, что немцы отчаянно маневрировали, стараясь уклониться от атаки. Однако в действительности "Шлезиен" не маневрировал! Накануне утром, в 02:00 броненосец наскочил на мину и потерял ход, в результате чего почти весь экипаж корабля к полудню эвакуировали. Тем не менее, командование флота считало броненосец основной целью, поэтому было решено нанести третий удар. На третий вылет отправились один торпедоносец, 4 топмачтовика и 16 Ил-2 в сопровождении 18 Як-9. Атаку провели в 20:03. По </w:t>
      </w:r>
      <w:proofErr w:type="gramStart"/>
      <w:r w:rsidRPr="00925F26">
        <w:rPr>
          <w:color w:val="000000" w:themeColor="text1"/>
          <w:sz w:val="16"/>
          <w:szCs w:val="16"/>
        </w:rPr>
        <w:t>до несению</w:t>
      </w:r>
      <w:proofErr w:type="gramEnd"/>
      <w:r w:rsidRPr="00925F26">
        <w:rPr>
          <w:color w:val="000000" w:themeColor="text1"/>
          <w:sz w:val="16"/>
          <w:szCs w:val="16"/>
        </w:rPr>
        <w:t>, броненосец получил прямое попадание бомбой ФАБ-1000 или торпедой, хотя второй вариант маловероятен, поскольку на мелководье торпеды зарывались в грунт. Фотографии показывали, что "Шлезиен" сидит на мели на ровном днище. Следует подчеркнуть, что все налеты проводились на неподвижный корабль, сидевший на мели и не имевший на борту экипажа. Кроме броненосца, были потоплены два тральщика и средний миноносец. Потери советской стороны составили один Бостон и четыре Ил-2 (2691).</w:t>
      </w:r>
    </w:p>
    <w:p w14:paraId="0596AA64" w14:textId="77777777" w:rsidR="00665165" w:rsidRPr="00925F26" w:rsidRDefault="00665165" w:rsidP="00925F26">
      <w:pPr>
        <w:autoSpaceDE w:val="0"/>
        <w:autoSpaceDN w:val="0"/>
        <w:adjustRightInd w:val="0"/>
        <w:jc w:val="both"/>
        <w:rPr>
          <w:color w:val="000000" w:themeColor="text1"/>
          <w:sz w:val="16"/>
          <w:szCs w:val="16"/>
        </w:rPr>
      </w:pPr>
    </w:p>
    <w:p w14:paraId="001368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два торпедоносца А-20G, 8 топмачтовиков А-20ДО, 24 штурмовика Ил-2 и 13 истребителей Як-9 в районе Свенемюнде атаковали немецкую группу кораблей, включающую учебный линкор "Шлезиен", сильно досаждавший своими четырьмя 280-мм орудиями нашим войскам. Начали в 11730 штурмовики атаковав штурмовики и эсминцы, зенитным огнем несколько было сбито. В 11.38 прошли торпедоносцы и топмачтовики. Не попали. Второй удар был в 16.30 и выполнялся одним торпедоносцем, пятью бомбардировщиками, шестнадцатью Ил-2. Тоже не вышло. Третья попытка была в 20.03 силами одного торпедоносца, четырех бомбардировщиков и шестнадцати Ил-2. Всадили 1000 кг. Потеряли один А-20ДО и 4 Ил-2 (268,13).</w:t>
      </w:r>
    </w:p>
    <w:p w14:paraId="039D4D8C" w14:textId="77777777" w:rsidR="00665165" w:rsidRPr="00925F26" w:rsidRDefault="00665165" w:rsidP="00925F26">
      <w:pPr>
        <w:autoSpaceDE w:val="0"/>
        <w:autoSpaceDN w:val="0"/>
        <w:adjustRightInd w:val="0"/>
        <w:jc w:val="both"/>
        <w:rPr>
          <w:color w:val="000000" w:themeColor="text1"/>
          <w:sz w:val="16"/>
          <w:szCs w:val="16"/>
        </w:rPr>
      </w:pPr>
    </w:p>
    <w:p w14:paraId="44B4B32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мая 1945 вышло Постановление ГКО № 8378 О переводе 2-го Ленинградского военного авиационного технического училища и Ленинградских авиационных технических курсов усовершенствования в г. Ригу. (7335, 98-99).</w:t>
      </w:r>
    </w:p>
    <w:p w14:paraId="634A992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FE1A889" w14:textId="77777777" w:rsidR="008108C0" w:rsidRPr="00925F26" w:rsidRDefault="008108C0" w:rsidP="00925F26">
      <w:pPr>
        <w:jc w:val="both"/>
        <w:rPr>
          <w:color w:val="000000" w:themeColor="text1"/>
          <w:sz w:val="16"/>
          <w:szCs w:val="16"/>
        </w:rPr>
      </w:pPr>
      <w:r w:rsidRPr="00925F26">
        <w:rPr>
          <w:color w:val="000000" w:themeColor="text1"/>
          <w:sz w:val="16"/>
          <w:szCs w:val="16"/>
        </w:rPr>
        <w:t>4 мая в 1945 году красноармеец И.Д.Чураков обнаруживает тела Гитлера и Евы Браун, но почему-то четыре дня они пролежат без освидетельствования. Лишь 8 мая они будут доставлены в берлинский морг, и личный стоматолог Гитлера и Евы опознает их по зубам, правда, с некоторыми оговорками. Поскольку Сталин никогда публично не будет говорить о дальнейшей судьбе останков, это породит на Западе всевозможные слухи: тела (или одну голову фюрера) то ли вывезли в Москву, то ли тайно где-то захоронили, то ли Гитлер вовсе сумел сбежать. Лишь накануне 50-летия Победы в Москве будет опубликован "окончательный рапорт" о смерти фюрера. Полусгоревшее тело фюрера будет захоронено (без челюстей, взятых для опознания) возле Магдебурга. В 1970 по приказу председателя КГБ СССР Юрия Андропова останки будут выкопаны, сожжены, а прах развеян (14881).</w:t>
      </w:r>
    </w:p>
    <w:p w14:paraId="4F0B5AEC" w14:textId="77777777" w:rsidR="008108C0" w:rsidRPr="00925F26" w:rsidRDefault="008108C0" w:rsidP="00925F26">
      <w:pPr>
        <w:jc w:val="both"/>
        <w:rPr>
          <w:color w:val="000000" w:themeColor="text1"/>
          <w:sz w:val="16"/>
          <w:szCs w:val="16"/>
        </w:rPr>
      </w:pPr>
    </w:p>
    <w:p w14:paraId="01ABF0B2" w14:textId="77777777" w:rsidR="008108C0" w:rsidRPr="00925F26" w:rsidRDefault="008108C0" w:rsidP="00925F26">
      <w:pPr>
        <w:jc w:val="both"/>
        <w:rPr>
          <w:color w:val="000000" w:themeColor="text1"/>
          <w:sz w:val="16"/>
          <w:szCs w:val="16"/>
        </w:rPr>
      </w:pPr>
      <w:r w:rsidRPr="00925F26">
        <w:rPr>
          <w:color w:val="000000" w:themeColor="text1"/>
          <w:sz w:val="16"/>
          <w:szCs w:val="16"/>
        </w:rPr>
        <w:t>4 мая в 1945 году рейдер «Орион» затопляется советской авиацией (14881).</w:t>
      </w:r>
    </w:p>
    <w:p w14:paraId="3C3D91CA" w14:textId="77777777" w:rsidR="008108C0" w:rsidRPr="00925F26" w:rsidRDefault="008108C0" w:rsidP="00925F26">
      <w:pPr>
        <w:jc w:val="both"/>
        <w:rPr>
          <w:color w:val="000000" w:themeColor="text1"/>
          <w:sz w:val="16"/>
          <w:szCs w:val="16"/>
        </w:rPr>
      </w:pPr>
    </w:p>
    <w:p w14:paraId="210EC3E9" w14:textId="77777777" w:rsidR="003E6ED8" w:rsidRPr="00925F26" w:rsidRDefault="003E6ED8" w:rsidP="00925F26">
      <w:pPr>
        <w:jc w:val="both"/>
        <w:rPr>
          <w:color w:val="000000" w:themeColor="text1"/>
          <w:sz w:val="16"/>
          <w:szCs w:val="16"/>
        </w:rPr>
      </w:pPr>
      <w:r w:rsidRPr="00925F26">
        <w:rPr>
          <w:color w:val="000000" w:themeColor="text1"/>
          <w:sz w:val="16"/>
          <w:szCs w:val="16"/>
        </w:rPr>
        <w:t xml:space="preserve">4 мая в 1945 году рейдер </w:t>
      </w:r>
      <w:hyperlink r:id="rId110" w:tgtFrame="_blank" w:history="1">
        <w:r w:rsidRPr="00925F26">
          <w:rPr>
            <w:color w:val="000000" w:themeColor="text1"/>
            <w:sz w:val="16"/>
            <w:szCs w:val="16"/>
          </w:rPr>
          <w:t xml:space="preserve">«Орион» </w:t>
        </w:r>
      </w:hyperlink>
      <w:r w:rsidRPr="00925F26">
        <w:rPr>
          <w:color w:val="000000" w:themeColor="text1"/>
          <w:sz w:val="16"/>
          <w:szCs w:val="16"/>
        </w:rPr>
        <w:t>затопляется бомбами советской авиации по пути в Копенгаген, вблизи Свинемюнде, в ходе налёта 51-го минно-торпедного авиаполка ВВС КА СССР. Из более чем 4 000 человек, находившихся на борту, спаслось 150 (14881).</w:t>
      </w:r>
    </w:p>
    <w:p w14:paraId="4E7E7DBD" w14:textId="77777777" w:rsidR="003E6ED8" w:rsidRPr="00925F26" w:rsidRDefault="003E6ED8" w:rsidP="00925F26">
      <w:pPr>
        <w:jc w:val="both"/>
        <w:rPr>
          <w:color w:val="000000" w:themeColor="text1"/>
          <w:sz w:val="16"/>
          <w:szCs w:val="16"/>
        </w:rPr>
      </w:pPr>
    </w:p>
    <w:p w14:paraId="65AA890F" w14:textId="77777777" w:rsidR="003E6ED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A58F6A3" w14:textId="77777777" w:rsidR="003E6ED8" w:rsidRPr="00925F26" w:rsidRDefault="003E6ED8" w:rsidP="00925F26">
      <w:pPr>
        <w:autoSpaceDE w:val="0"/>
        <w:autoSpaceDN w:val="0"/>
        <w:adjustRightInd w:val="0"/>
        <w:jc w:val="both"/>
        <w:rPr>
          <w:iCs/>
          <w:color w:val="000000" w:themeColor="text1"/>
          <w:sz w:val="16"/>
          <w:szCs w:val="16"/>
        </w:rPr>
      </w:pPr>
    </w:p>
    <w:p w14:paraId="21FAC487" w14:textId="77777777" w:rsidR="003E6ED8" w:rsidRPr="00925F26" w:rsidRDefault="003E6ED8" w:rsidP="00925F26">
      <w:pPr>
        <w:jc w:val="both"/>
        <w:rPr>
          <w:color w:val="000000" w:themeColor="text1"/>
          <w:sz w:val="16"/>
          <w:szCs w:val="16"/>
        </w:rPr>
      </w:pPr>
      <w:r w:rsidRPr="00925F26">
        <w:rPr>
          <w:color w:val="000000" w:themeColor="text1"/>
          <w:sz w:val="16"/>
          <w:szCs w:val="16"/>
        </w:rPr>
        <w:t>4 мая в 1945 году Д.Эйзенхауэр направил начальнику советского Генерального штаба А.И.Антонову письмо, в котором информировал советское Верховное Главнокомандование о намерении американских войск продолжать наступление в Чехословакии до Праги (14881).</w:t>
      </w:r>
    </w:p>
    <w:p w14:paraId="2C522571" w14:textId="77777777" w:rsidR="003E6ED8" w:rsidRPr="00925F26" w:rsidRDefault="003E6ED8" w:rsidP="00925F26">
      <w:pPr>
        <w:jc w:val="both"/>
        <w:rPr>
          <w:color w:val="000000" w:themeColor="text1"/>
          <w:sz w:val="16"/>
          <w:szCs w:val="16"/>
        </w:rPr>
      </w:pPr>
    </w:p>
    <w:p w14:paraId="667334F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CC2FA08" w14:textId="77777777" w:rsidR="00665165" w:rsidRPr="00925F26" w:rsidRDefault="00665165" w:rsidP="00925F26">
      <w:pPr>
        <w:autoSpaceDE w:val="0"/>
        <w:autoSpaceDN w:val="0"/>
        <w:adjustRightInd w:val="0"/>
        <w:jc w:val="both"/>
        <w:rPr>
          <w:iCs/>
          <w:color w:val="000000" w:themeColor="text1"/>
          <w:sz w:val="16"/>
          <w:szCs w:val="16"/>
        </w:rPr>
      </w:pPr>
    </w:p>
    <w:p w14:paraId="0EFF081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мая 1945 Верховный главнокомандующий и Рейхсканцлер Германии гросс-адмирал Карл Дениц отдал приказ всем подводным силам флота прекратить военные действия и вернуться в свои базы (</w:t>
      </w:r>
      <w:proofErr w:type="gramStart"/>
      <w:r w:rsidRPr="00925F26">
        <w:rPr>
          <w:color w:val="000000" w:themeColor="text1"/>
          <w:sz w:val="16"/>
          <w:szCs w:val="16"/>
        </w:rPr>
        <w:t>4963 )</w:t>
      </w:r>
      <w:proofErr w:type="gramEnd"/>
      <w:r w:rsidRPr="00925F26">
        <w:rPr>
          <w:color w:val="000000" w:themeColor="text1"/>
          <w:sz w:val="16"/>
          <w:szCs w:val="16"/>
        </w:rPr>
        <w:t>.</w:t>
      </w:r>
    </w:p>
    <w:p w14:paraId="68E6CFB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9BCA75A"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04 1945 Montgomery accepts the surrender of German forces in The Netherlands, northwest Germany, and Denmark; he also authorizes the acceptance of individual soldiers, as he cannot accept the surrender of those forces fighting against the Soviets (1242).</w:t>
      </w:r>
    </w:p>
    <w:p w14:paraId="556D2726" w14:textId="77777777" w:rsidR="00665165" w:rsidRPr="00925F26" w:rsidRDefault="00665165" w:rsidP="00925F26">
      <w:pPr>
        <w:autoSpaceDE w:val="0"/>
        <w:autoSpaceDN w:val="0"/>
        <w:adjustRightInd w:val="0"/>
        <w:jc w:val="both"/>
        <w:rPr>
          <w:color w:val="000000" w:themeColor="text1"/>
          <w:sz w:val="16"/>
          <w:szCs w:val="16"/>
          <w:lang w:val="en-US"/>
        </w:rPr>
      </w:pPr>
    </w:p>
    <w:p w14:paraId="5783B5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Монтгомери принял капитуляцию немецких войск в Голландии, северо-западной Германии и Дании (1242).</w:t>
      </w:r>
    </w:p>
    <w:p w14:paraId="72DA6B6C" w14:textId="77777777" w:rsidR="00665165" w:rsidRPr="00925F26" w:rsidRDefault="00665165" w:rsidP="00925F26">
      <w:pPr>
        <w:autoSpaceDE w:val="0"/>
        <w:autoSpaceDN w:val="0"/>
        <w:adjustRightInd w:val="0"/>
        <w:jc w:val="both"/>
        <w:rPr>
          <w:color w:val="000000" w:themeColor="text1"/>
          <w:sz w:val="16"/>
          <w:szCs w:val="16"/>
        </w:rPr>
      </w:pPr>
    </w:p>
    <w:p w14:paraId="4057FA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 штабе Монтгомери был подписан документ о капитуляции германских войск в Северо-Западной Европе (3871).</w:t>
      </w:r>
    </w:p>
    <w:p w14:paraId="0A435210" w14:textId="77777777" w:rsidR="00665165" w:rsidRPr="00925F26" w:rsidRDefault="00665165" w:rsidP="00925F26">
      <w:pPr>
        <w:autoSpaceDE w:val="0"/>
        <w:autoSpaceDN w:val="0"/>
        <w:adjustRightInd w:val="0"/>
        <w:jc w:val="both"/>
        <w:rPr>
          <w:color w:val="000000" w:themeColor="text1"/>
          <w:sz w:val="16"/>
          <w:szCs w:val="16"/>
        </w:rPr>
      </w:pPr>
    </w:p>
    <w:p w14:paraId="53AFE7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4 мая по 14 июня 1945 были арестованы Шлахт, Фрик, Франк, фон Нейрат, Сейс-Инкварт, Функ, Калтенбрунер, Лей, Розенберг, Денитц, Йодль, Шпеер, Штрейхер и Риббентроп (2248,7).</w:t>
      </w:r>
    </w:p>
    <w:p w14:paraId="1E41F8F6" w14:textId="77777777" w:rsidR="00665165" w:rsidRPr="00925F26" w:rsidRDefault="00665165" w:rsidP="00925F26">
      <w:pPr>
        <w:autoSpaceDE w:val="0"/>
        <w:autoSpaceDN w:val="0"/>
        <w:adjustRightInd w:val="0"/>
        <w:jc w:val="both"/>
        <w:rPr>
          <w:color w:val="000000" w:themeColor="text1"/>
          <w:sz w:val="16"/>
          <w:szCs w:val="16"/>
        </w:rPr>
      </w:pPr>
    </w:p>
    <w:p w14:paraId="63F8BC66"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4th, 1945: The German forces in northwestern Germany, Holland and Denmark surrender to the Allied 21st Army Group whose C-in-C, FM Montgomery, meets with a German delegation headed by Generaladmiral von Friedeburg at his HQ on Luneburg Heath 30 miles S of Hamburg. The British Second Army occupies Kiel. In the East, fierce fighting continues in Moravia, the Vistula delta and in Kurland (3819).</w:t>
      </w:r>
    </w:p>
    <w:p w14:paraId="58607663" w14:textId="77777777" w:rsidR="00665165" w:rsidRPr="00925F26" w:rsidRDefault="00665165" w:rsidP="00925F26">
      <w:pPr>
        <w:autoSpaceDE w:val="0"/>
        <w:autoSpaceDN w:val="0"/>
        <w:adjustRightInd w:val="0"/>
        <w:jc w:val="both"/>
        <w:rPr>
          <w:color w:val="000000" w:themeColor="text1"/>
          <w:sz w:val="16"/>
          <w:szCs w:val="16"/>
          <w:lang w:val="en-US"/>
        </w:rPr>
      </w:pPr>
    </w:p>
    <w:p w14:paraId="07AA8B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немецкие части в СЗ Германии, Голландии и Дании сдались 21АГ союзников и ГК Монтгомери встретился с г/а Фриденбургом в Лунебурге в 30 милях от Гамбурга. Британская 2А заняла Киль (3819).</w:t>
      </w:r>
    </w:p>
    <w:p w14:paraId="34C70CBE" w14:textId="77777777" w:rsidR="00665165" w:rsidRPr="00925F26" w:rsidRDefault="00665165" w:rsidP="00925F26">
      <w:pPr>
        <w:autoSpaceDE w:val="0"/>
        <w:autoSpaceDN w:val="0"/>
        <w:adjustRightInd w:val="0"/>
        <w:jc w:val="both"/>
        <w:rPr>
          <w:color w:val="000000" w:themeColor="text1"/>
          <w:sz w:val="16"/>
          <w:szCs w:val="16"/>
        </w:rPr>
      </w:pPr>
    </w:p>
    <w:p w14:paraId="5340A259" w14:textId="77777777" w:rsidR="003E6ED8" w:rsidRPr="00925F26" w:rsidRDefault="003E6ED8" w:rsidP="00925F26">
      <w:pPr>
        <w:jc w:val="both"/>
        <w:rPr>
          <w:color w:val="000000" w:themeColor="text1"/>
          <w:sz w:val="16"/>
          <w:szCs w:val="16"/>
        </w:rPr>
      </w:pPr>
      <w:r w:rsidRPr="00925F26">
        <w:rPr>
          <w:color w:val="000000" w:themeColor="text1"/>
          <w:sz w:val="16"/>
          <w:szCs w:val="16"/>
        </w:rPr>
        <w:lastRenderedPageBreak/>
        <w:t>4 мая в 1945 году американские войска вступили в Зальцбург (14881).</w:t>
      </w:r>
    </w:p>
    <w:p w14:paraId="71A11B8D" w14:textId="77777777" w:rsidR="003E6ED8" w:rsidRPr="00925F26" w:rsidRDefault="003E6ED8" w:rsidP="00925F26">
      <w:pPr>
        <w:jc w:val="both"/>
        <w:rPr>
          <w:color w:val="000000" w:themeColor="text1"/>
          <w:sz w:val="16"/>
          <w:szCs w:val="16"/>
        </w:rPr>
      </w:pPr>
    </w:p>
    <w:p w14:paraId="4CAAEDA7" w14:textId="77777777" w:rsidR="003E6ED8" w:rsidRPr="00925F26" w:rsidRDefault="003E6ED8" w:rsidP="00925F26">
      <w:pPr>
        <w:jc w:val="both"/>
        <w:rPr>
          <w:color w:val="000000" w:themeColor="text1"/>
          <w:sz w:val="16"/>
          <w:szCs w:val="16"/>
        </w:rPr>
      </w:pPr>
      <w:r w:rsidRPr="00925F26">
        <w:rPr>
          <w:color w:val="000000" w:themeColor="text1"/>
          <w:sz w:val="16"/>
          <w:szCs w:val="16"/>
        </w:rPr>
        <w:t>4 мая в 1945 году адмирал Ганс Георг фон Фрейдебург подписывает в штабе Монтгомери акт о капитуляции немецких частей в Северной Германии, Голландии и Дании (14881).</w:t>
      </w:r>
    </w:p>
    <w:p w14:paraId="546BFC34" w14:textId="77777777" w:rsidR="003E6ED8" w:rsidRPr="00925F26" w:rsidRDefault="003E6ED8" w:rsidP="00925F26">
      <w:pPr>
        <w:jc w:val="both"/>
        <w:rPr>
          <w:color w:val="000000" w:themeColor="text1"/>
          <w:sz w:val="16"/>
          <w:szCs w:val="16"/>
        </w:rPr>
      </w:pPr>
    </w:p>
    <w:p w14:paraId="4DB73D3E" w14:textId="77777777" w:rsidR="003E6ED8" w:rsidRPr="00925F26" w:rsidRDefault="003E6ED8" w:rsidP="00925F26">
      <w:pPr>
        <w:jc w:val="both"/>
        <w:rPr>
          <w:color w:val="000000" w:themeColor="text1"/>
          <w:sz w:val="16"/>
          <w:szCs w:val="16"/>
        </w:rPr>
      </w:pPr>
      <w:r w:rsidRPr="00925F26">
        <w:rPr>
          <w:color w:val="000000" w:themeColor="text1"/>
          <w:sz w:val="16"/>
          <w:szCs w:val="16"/>
        </w:rPr>
        <w:t>4 мая в 1945 году получив телеграмму от генерала-фельдмаршала Эриха фон Манштейна о формировании нового правительства Карла Деница, выезжает на автомобиле в Гамбург, чтобы принять назначение и по дороге на Киль под обстрелом британской авиации погибает вместе с женой и дочерью генерал-фельдмаршал вермахта Федор фон Бок (родился в 1880), командующий группой армий "Центр" в начале нападения Германии на СССР. Таким образом, Федор фон Бок стал единственным из фельдмаршалов Гитлера, кто пал от вражеской пули. Ему было 64 года. Начав свою карьеру адъютантом батальона, он окончил ее командующим группами армий "Центр" и "Юг" (14881).</w:t>
      </w:r>
    </w:p>
    <w:p w14:paraId="09B55203" w14:textId="77777777" w:rsidR="003E6ED8" w:rsidRPr="00925F26" w:rsidRDefault="003E6ED8" w:rsidP="00925F26">
      <w:pPr>
        <w:jc w:val="both"/>
        <w:rPr>
          <w:color w:val="000000" w:themeColor="text1"/>
          <w:sz w:val="16"/>
          <w:szCs w:val="16"/>
        </w:rPr>
      </w:pPr>
    </w:p>
    <w:p w14:paraId="0C17F271" w14:textId="77777777" w:rsidR="003E6ED8" w:rsidRPr="00925F26" w:rsidRDefault="003E6ED8" w:rsidP="00925F26">
      <w:pPr>
        <w:jc w:val="both"/>
        <w:rPr>
          <w:color w:val="000000" w:themeColor="text1"/>
          <w:sz w:val="16"/>
          <w:szCs w:val="16"/>
        </w:rPr>
      </w:pPr>
      <w:r w:rsidRPr="00925F26">
        <w:rPr>
          <w:color w:val="000000" w:themeColor="text1"/>
          <w:sz w:val="16"/>
          <w:szCs w:val="16"/>
        </w:rPr>
        <w:t>4 мая в 1945 году Верховный главнокомандующий и Рейхсканцлер Германии гросс-адмирал Карл Дениц отдал приказ всем подводным силам флота прекратить военные действия и вернуться в свои базы (14881).</w:t>
      </w:r>
    </w:p>
    <w:p w14:paraId="0DBC991E" w14:textId="77777777" w:rsidR="003E6ED8" w:rsidRPr="00925F26" w:rsidRDefault="003E6ED8" w:rsidP="00925F26">
      <w:pPr>
        <w:jc w:val="both"/>
        <w:rPr>
          <w:color w:val="000000" w:themeColor="text1"/>
          <w:sz w:val="16"/>
          <w:szCs w:val="16"/>
        </w:rPr>
      </w:pPr>
    </w:p>
    <w:p w14:paraId="0AFFDB06" w14:textId="77777777" w:rsidR="008628F5" w:rsidRPr="00925F26" w:rsidRDefault="008628F5" w:rsidP="00925F26">
      <w:pPr>
        <w:jc w:val="both"/>
        <w:rPr>
          <w:color w:val="000000" w:themeColor="text1"/>
          <w:sz w:val="16"/>
          <w:szCs w:val="16"/>
        </w:rPr>
      </w:pPr>
      <w:r w:rsidRPr="00925F26">
        <w:rPr>
          <w:color w:val="000000" w:themeColor="text1"/>
          <w:sz w:val="16"/>
          <w:szCs w:val="16"/>
        </w:rPr>
        <w:t>4 мая 1945 британский флот метрополии проводит свою последнюю операцию во Второй мировой войне - рейд 44 Avengers и Wildcats с авианосцев HMS Queen, HMS Trumpeter и HMS Searcher против Килботна, Норвегия, топят немецкий базовый корабль и подводную лодку. Это последний налет на Норвегию во время Второй мировой войны (20371).</w:t>
      </w:r>
    </w:p>
    <w:p w14:paraId="14821DF2" w14:textId="77777777" w:rsidR="008628F5" w:rsidRPr="00925F26" w:rsidRDefault="008628F5" w:rsidP="00925F26">
      <w:pPr>
        <w:jc w:val="both"/>
        <w:rPr>
          <w:color w:val="000000" w:themeColor="text1"/>
          <w:sz w:val="16"/>
          <w:szCs w:val="16"/>
        </w:rPr>
      </w:pPr>
    </w:p>
    <w:p w14:paraId="5EC37932" w14:textId="77777777" w:rsidR="008628F5" w:rsidRPr="00925F26" w:rsidRDefault="008628F5" w:rsidP="00925F26">
      <w:pPr>
        <w:jc w:val="both"/>
        <w:rPr>
          <w:color w:val="000000" w:themeColor="text1"/>
          <w:sz w:val="16"/>
          <w:szCs w:val="16"/>
        </w:rPr>
      </w:pPr>
      <w:r w:rsidRPr="00925F26">
        <w:rPr>
          <w:color w:val="000000" w:themeColor="text1"/>
          <w:sz w:val="16"/>
          <w:szCs w:val="16"/>
        </w:rPr>
        <w:t>4 мая 1945 в результате обстрела истребителя-бомбардировщика Королевских ВВС погиб немецкий фельдмаршал Федор фон Бок, его вторая жена и его падчерица, когда они едут по Ленсану, Германия. Он стал единственным немецким фельдмаршалом, убитым врагами во время Второй мировой войны (20371).</w:t>
      </w:r>
    </w:p>
    <w:p w14:paraId="0C0D5A6B" w14:textId="77777777" w:rsidR="008628F5" w:rsidRPr="00925F26" w:rsidRDefault="008628F5" w:rsidP="00925F26">
      <w:pPr>
        <w:jc w:val="both"/>
        <w:rPr>
          <w:color w:val="000000" w:themeColor="text1"/>
          <w:sz w:val="16"/>
          <w:szCs w:val="16"/>
        </w:rPr>
      </w:pPr>
    </w:p>
    <w:p w14:paraId="174AD2FE" w14:textId="77777777" w:rsidR="003E6ED8" w:rsidRPr="00925F26" w:rsidRDefault="003E6ED8" w:rsidP="00925F26">
      <w:pPr>
        <w:jc w:val="both"/>
        <w:rPr>
          <w:color w:val="000000" w:themeColor="text1"/>
          <w:sz w:val="16"/>
          <w:szCs w:val="16"/>
        </w:rPr>
      </w:pPr>
      <w:r w:rsidRPr="00925F26">
        <w:rPr>
          <w:color w:val="000000" w:themeColor="text1"/>
          <w:sz w:val="16"/>
          <w:szCs w:val="16"/>
        </w:rPr>
        <w:t>4 мая в 1945 году авианосец Сэнгамон серьезно поврежден камикадзе (14881).</w:t>
      </w:r>
    </w:p>
    <w:p w14:paraId="2C8D0B81" w14:textId="77777777" w:rsidR="003E6ED8" w:rsidRPr="00925F26" w:rsidRDefault="003E6ED8" w:rsidP="00925F26">
      <w:pPr>
        <w:jc w:val="both"/>
        <w:rPr>
          <w:color w:val="000000" w:themeColor="text1"/>
          <w:sz w:val="16"/>
          <w:szCs w:val="16"/>
        </w:rPr>
      </w:pPr>
    </w:p>
    <w:p w14:paraId="39FF144D" w14:textId="77777777" w:rsidR="003E6ED8" w:rsidRPr="00925F26" w:rsidRDefault="003E6ED8" w:rsidP="00925F26">
      <w:pPr>
        <w:jc w:val="both"/>
        <w:rPr>
          <w:color w:val="000000" w:themeColor="text1"/>
          <w:sz w:val="16"/>
          <w:szCs w:val="16"/>
        </w:rPr>
      </w:pPr>
      <w:r w:rsidRPr="00925F26">
        <w:rPr>
          <w:color w:val="000000" w:themeColor="text1"/>
          <w:sz w:val="16"/>
          <w:szCs w:val="16"/>
        </w:rPr>
        <w:t xml:space="preserve">4 мая в 1945 году поддерживая атаку торпедоносцев "Эвенджер" на свой счет записали последний боевой вылет палубные истребители </w:t>
      </w:r>
      <w:hyperlink r:id="rId111" w:tgtFrame="_blank" w:history="1">
        <w:r w:rsidRPr="00925F26">
          <w:rPr>
            <w:color w:val="000000" w:themeColor="text1"/>
            <w:sz w:val="16"/>
            <w:szCs w:val="16"/>
          </w:rPr>
          <w:t xml:space="preserve">«FM-2» «Wildcat Mk.VI» </w:t>
        </w:r>
      </w:hyperlink>
      <w:r w:rsidRPr="00925F26">
        <w:rPr>
          <w:color w:val="000000" w:themeColor="text1"/>
          <w:sz w:val="16"/>
          <w:szCs w:val="16"/>
        </w:rPr>
        <w:t>(разработчик: «General Motors», США). Всего к моменту подписания Кейтелем акта о капитуляции английские "Уайлдкэты" успели освоить палубы 11 эскортных авианосцев. Окончание морских сражений Второй мировой войны совпало и с концом боевой карьеры "Уайлдкэта" (14881).</w:t>
      </w:r>
    </w:p>
    <w:p w14:paraId="09BAAFE8" w14:textId="77777777" w:rsidR="003E6ED8" w:rsidRPr="00925F26" w:rsidRDefault="003E6ED8" w:rsidP="00925F26">
      <w:pPr>
        <w:jc w:val="both"/>
        <w:rPr>
          <w:color w:val="000000" w:themeColor="text1"/>
          <w:sz w:val="16"/>
          <w:szCs w:val="16"/>
        </w:rPr>
      </w:pPr>
    </w:p>
    <w:p w14:paraId="59FB1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 рамках операции «Кикусуй-5» в бесконечных самоубийственных атаках японских летчиков снова приняли участие бомбардировщики Бетти с самолетами Ока. Первый из них, пилотируемый старшиной И. Масайоси, спикировал на минный заградитель «Гауяти». Самолет упал рядом с кораблем, который получил повреждения. Несколько моряков было ранено. Пилот другого самолета Ока младший лейтенант О. Сусуму атаковал эсминец «Уилли». По одним данным самолет удалось сбить и он взорвался в 25 метрах от корабля (Хорикоши Д., Окумия М., Кайдин М. Японская авиация во Второй мировой войне. М.: АСТ, 2001.), по другим данным Охаси удалось поразить эсминец, при этом было убито 118 человек (Иванов Ю.Г. Камикадзе: пилоты-смертники. Смоленск: Русич, 2001.). Эсминец «Уилли» атаковал еще один самолет Ока, но он был сбит огнем 125-мм орудия. Четвертый самолет-снаряд нанес серьезные повреждения минному заградителю «Шеа», впоследствии корабль пришлось списать. Три самолета-снаряда были сбиты вместе со своими носителями, так и не вступив в бой. В рамках наиболее тяжелой для американцев операцииамериканцы понесли наиболее крупные потери. Затонуло 6 кораблей, было списано 4 и более чем на 30 дней вышли из строя еще два корабля. Американцы потеряли 91 моряка, пропали без вести 283 человека, было ранено 280 человек (11686).</w:t>
      </w:r>
    </w:p>
    <w:p w14:paraId="112B8B62" w14:textId="77777777" w:rsidR="00665165" w:rsidRPr="00925F26" w:rsidRDefault="00665165" w:rsidP="00925F26">
      <w:pPr>
        <w:autoSpaceDE w:val="0"/>
        <w:autoSpaceDN w:val="0"/>
        <w:adjustRightInd w:val="0"/>
        <w:jc w:val="both"/>
        <w:rPr>
          <w:color w:val="000000" w:themeColor="text1"/>
          <w:sz w:val="16"/>
          <w:szCs w:val="16"/>
        </w:rPr>
      </w:pPr>
    </w:p>
    <w:p w14:paraId="4E8ED8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мая 1945 в Бирме британская армия взяла Рангун (3907,256).</w:t>
      </w:r>
    </w:p>
    <w:p w14:paraId="5916DB5C" w14:textId="77777777" w:rsidR="00665165" w:rsidRPr="00925F26" w:rsidRDefault="00665165" w:rsidP="00925F26">
      <w:pPr>
        <w:autoSpaceDE w:val="0"/>
        <w:autoSpaceDN w:val="0"/>
        <w:adjustRightInd w:val="0"/>
        <w:jc w:val="both"/>
        <w:rPr>
          <w:color w:val="000000" w:themeColor="text1"/>
          <w:sz w:val="16"/>
          <w:szCs w:val="16"/>
        </w:rPr>
      </w:pPr>
    </w:p>
    <w:p w14:paraId="5CEA4A76" w14:textId="77777777" w:rsidR="008108C0" w:rsidRPr="00925F26" w:rsidRDefault="008108C0" w:rsidP="00925F26">
      <w:pPr>
        <w:jc w:val="both"/>
        <w:rPr>
          <w:color w:val="000000" w:themeColor="text1"/>
          <w:sz w:val="16"/>
          <w:szCs w:val="16"/>
        </w:rPr>
      </w:pPr>
      <w:r w:rsidRPr="00925F26">
        <w:rPr>
          <w:color w:val="000000" w:themeColor="text1"/>
          <w:sz w:val="16"/>
          <w:szCs w:val="16"/>
        </w:rPr>
        <w:t>4 мая в 1945 году в Бирме (современная Мьянма) освобождается от японцев Рангун (современный г. Янгон) (14881).</w:t>
      </w:r>
    </w:p>
    <w:p w14:paraId="23377C3E" w14:textId="77777777" w:rsidR="008108C0" w:rsidRPr="00925F26" w:rsidRDefault="008108C0" w:rsidP="00925F26">
      <w:pPr>
        <w:jc w:val="both"/>
        <w:rPr>
          <w:color w:val="000000" w:themeColor="text1"/>
          <w:sz w:val="16"/>
          <w:szCs w:val="16"/>
        </w:rPr>
      </w:pPr>
    </w:p>
    <w:p w14:paraId="22A6152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886C067" w14:textId="77777777" w:rsidR="00665165" w:rsidRPr="00925F26" w:rsidRDefault="00665165" w:rsidP="00925F26">
      <w:pPr>
        <w:autoSpaceDE w:val="0"/>
        <w:autoSpaceDN w:val="0"/>
        <w:adjustRightInd w:val="0"/>
        <w:jc w:val="both"/>
        <w:rPr>
          <w:iCs/>
          <w:color w:val="000000" w:themeColor="text1"/>
          <w:sz w:val="16"/>
          <w:szCs w:val="16"/>
        </w:rPr>
      </w:pPr>
    </w:p>
    <w:p w14:paraId="449008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мая 1945 на заводе № 18 к были проведены испытания пяти серийных самолетов Ил-10 с оборонительной установкой ВУ-9 (завод № 454) под пушку калибра 20 мм УБ-20 (завод № 74), выпущенных в соответствии с приказом НКАП от 30 января 1945 г., а затем и указания начальника УЗВиБ ВВС генерал-майора Солдатова и замести</w:t>
      </w:r>
      <w:r w:rsidRPr="00925F26">
        <w:rPr>
          <w:color w:val="000000" w:themeColor="text1"/>
          <w:sz w:val="16"/>
          <w:szCs w:val="16"/>
        </w:rPr>
        <w:softHyphen/>
        <w:t>теля начальника УЗСиМ ГУЗ ВВС инженер-полковника Кувенева.</w:t>
      </w:r>
    </w:p>
    <w:p w14:paraId="64A61B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самолеты и установки прошли испытания отстрелом в тире в воздухе. Всего было выполнено 12 полетов, в которых произведено 1800 выстрелов. Отмечено 9 задержек в стрельбе, из них 7 неустранимых в воздухе. Пушки имели массу дефек</w:t>
      </w:r>
      <w:r w:rsidRPr="00925F26">
        <w:rPr>
          <w:color w:val="000000" w:themeColor="text1"/>
          <w:sz w:val="16"/>
          <w:szCs w:val="16"/>
        </w:rPr>
        <w:softHyphen/>
        <w:t>тов: дополнительный подтяг ленты, переброс патрона через нижний фиксатор затвора, потеря и захват патрона лапками извлекателя затвора, заедание звеньев, потеря ленты.</w:t>
      </w:r>
    </w:p>
    <w:p w14:paraId="5385D2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испытания ВУ-9 все же признали успеш</w:t>
      </w:r>
      <w:r w:rsidRPr="00925F26">
        <w:rPr>
          <w:color w:val="000000" w:themeColor="text1"/>
          <w:sz w:val="16"/>
          <w:szCs w:val="16"/>
        </w:rPr>
        <w:softHyphen/>
        <w:t>ными, доработка автоматики пушки УБ-20 и боепитания затяну</w:t>
      </w:r>
      <w:r w:rsidRPr="00925F26">
        <w:rPr>
          <w:color w:val="000000" w:themeColor="text1"/>
          <w:sz w:val="16"/>
          <w:szCs w:val="16"/>
        </w:rPr>
        <w:softHyphen/>
        <w:t>лась.</w:t>
      </w:r>
    </w:p>
    <w:p w14:paraId="4FF028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концу 1946 г. в трех экземплярах изготовили эталон Ил-10 на 1947 г. Он имел четыре НС-23, модифицированное бомбовое вооружение и оборонительную установку ВУ-9 с пушкой Б-20Т. Вес пустого самолета равнялся 4689 кг, а полет</w:t>
      </w:r>
      <w:r w:rsidRPr="00925F26">
        <w:rPr>
          <w:color w:val="000000" w:themeColor="text1"/>
          <w:sz w:val="16"/>
          <w:szCs w:val="16"/>
        </w:rPr>
        <w:softHyphen/>
        <w:t>ный с нормальной нагрузкой — 6360 кг (11474,526).</w:t>
      </w:r>
    </w:p>
    <w:p w14:paraId="4B3DD9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EC4A4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в ЛИИ закончились испытания и доводки Як-3ПД с ВК-105ПД, которые проводились с 20 февраля 1945. С.Н.Анохин сделал 18 полетов с 23 февраля по 3 мая 1945. Ви был Е.Ф.Шварцбург. Двигатель ВК-105ПД был с 466 завода N 1012-43 и двухступенчатым нагнетателем Э-100. Из-за ненадежной работы двигателя 14 мая испытания прервали (65,174).</w:t>
      </w:r>
    </w:p>
    <w:p w14:paraId="78F8CE4C" w14:textId="77777777" w:rsidR="00665165" w:rsidRPr="00925F26" w:rsidRDefault="00665165" w:rsidP="00925F26">
      <w:pPr>
        <w:autoSpaceDE w:val="0"/>
        <w:autoSpaceDN w:val="0"/>
        <w:adjustRightInd w:val="0"/>
        <w:jc w:val="both"/>
        <w:rPr>
          <w:color w:val="000000" w:themeColor="text1"/>
          <w:sz w:val="16"/>
          <w:szCs w:val="16"/>
        </w:rPr>
      </w:pPr>
    </w:p>
    <w:p w14:paraId="7C0F3982" w14:textId="77777777" w:rsidR="002029E1" w:rsidRPr="00925F26" w:rsidRDefault="002029E1" w:rsidP="00925F26">
      <w:pPr>
        <w:jc w:val="both"/>
        <w:rPr>
          <w:color w:val="000000" w:themeColor="text1"/>
          <w:sz w:val="16"/>
          <w:szCs w:val="16"/>
        </w:rPr>
      </w:pPr>
      <w:r w:rsidRPr="00925F26">
        <w:rPr>
          <w:color w:val="000000" w:themeColor="text1"/>
          <w:sz w:val="16"/>
          <w:szCs w:val="16"/>
        </w:rPr>
        <w:t xml:space="preserve">5 мая в 1945 году в ЛИИ закончены испытания и доводка (начались 20 февраля) высотного истребителя </w:t>
      </w:r>
      <w:hyperlink r:id="rId112" w:tgtFrame="_blank" w:history="1">
        <w:r w:rsidRPr="00925F26">
          <w:rPr>
            <w:color w:val="000000" w:themeColor="text1"/>
            <w:sz w:val="16"/>
            <w:szCs w:val="16"/>
          </w:rPr>
          <w:t xml:space="preserve">«Як-ЗПД» </w:t>
        </w:r>
      </w:hyperlink>
      <w:r w:rsidRPr="00925F26">
        <w:rPr>
          <w:color w:val="000000" w:themeColor="text1"/>
          <w:sz w:val="16"/>
          <w:szCs w:val="16"/>
        </w:rPr>
        <w:t>с двигателем «ВК-105ПД» №1012-43 завода N466 с двухступенчатым нагнетателем «Э-100» (передаточное число 9,72). С 23 февраля по 3 мая было выполнено 18 полетов (летчик С.H.Анохин, ведущий инженер Е.Ф.Шварцбург) и произведена одна замена двигателя ввиду появления стружки в маслофильтре и отказа турбомуфты. Испытания часто прерывались из-за ненанежной работы двигателя и ВМГ (14882).</w:t>
      </w:r>
    </w:p>
    <w:p w14:paraId="6F1E32D3" w14:textId="77777777" w:rsidR="002029E1" w:rsidRPr="00925F26" w:rsidRDefault="002029E1" w:rsidP="00925F26">
      <w:pPr>
        <w:jc w:val="both"/>
        <w:rPr>
          <w:color w:val="000000" w:themeColor="text1"/>
          <w:sz w:val="16"/>
          <w:szCs w:val="16"/>
        </w:rPr>
      </w:pPr>
    </w:p>
    <w:p w14:paraId="7490B9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5 мая 1945 года (с 19 февраля 1945) в Летно-исследовательском институте закончились дальнейшие испытания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и с винтом ВИШ-105ТЛ-2.</w:t>
      </w:r>
    </w:p>
    <w:p w14:paraId="6F2BE5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02176E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57E6A0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45A261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017713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02C58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05B46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58BCA918" w14:textId="77777777" w:rsidR="00665165" w:rsidRPr="00925F26" w:rsidRDefault="00665165" w:rsidP="00925F26">
      <w:pPr>
        <w:autoSpaceDE w:val="0"/>
        <w:autoSpaceDN w:val="0"/>
        <w:adjustRightInd w:val="0"/>
        <w:jc w:val="both"/>
        <w:rPr>
          <w:color w:val="000000" w:themeColor="text1"/>
          <w:sz w:val="16"/>
          <w:szCs w:val="16"/>
        </w:rPr>
      </w:pPr>
    </w:p>
    <w:p w14:paraId="58AFE3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НКАП утвердил разработанную ЦАГИ Инструкцию по проведению контрольных статистических испытаний серийных самолетов (323,103).</w:t>
      </w:r>
    </w:p>
    <w:p w14:paraId="6ECA8527" w14:textId="77777777" w:rsidR="00665165" w:rsidRPr="00925F26" w:rsidRDefault="00665165" w:rsidP="00925F26">
      <w:pPr>
        <w:autoSpaceDE w:val="0"/>
        <w:autoSpaceDN w:val="0"/>
        <w:adjustRightInd w:val="0"/>
        <w:jc w:val="both"/>
        <w:rPr>
          <w:color w:val="000000" w:themeColor="text1"/>
          <w:sz w:val="16"/>
          <w:szCs w:val="16"/>
        </w:rPr>
      </w:pPr>
    </w:p>
    <w:p w14:paraId="6A6309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было образовано двигателестроительное ОКБ И.Г.Ивченко (274).</w:t>
      </w:r>
    </w:p>
    <w:p w14:paraId="745D2B20" w14:textId="77777777" w:rsidR="00665165" w:rsidRPr="00925F26" w:rsidRDefault="00665165" w:rsidP="00925F26">
      <w:pPr>
        <w:autoSpaceDE w:val="0"/>
        <w:autoSpaceDN w:val="0"/>
        <w:adjustRightInd w:val="0"/>
        <w:jc w:val="both"/>
        <w:rPr>
          <w:color w:val="000000" w:themeColor="text1"/>
          <w:sz w:val="16"/>
          <w:szCs w:val="16"/>
        </w:rPr>
      </w:pPr>
    </w:p>
    <w:p w14:paraId="354C5A92"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при Запорожском авиамоторном заводе было организовано ОКБ-478. Ныне ГП «Запорожское машиностроительное КБ «Прогресс» имени академика А.Г.Ивченко» (Украина) – один из ведущих в мире разработчиков авиадвигателей (14882).</w:t>
      </w:r>
    </w:p>
    <w:p w14:paraId="4D3B54E7" w14:textId="77777777" w:rsidR="002029E1" w:rsidRPr="00925F26" w:rsidRDefault="002029E1" w:rsidP="00925F26">
      <w:pPr>
        <w:jc w:val="both"/>
        <w:rPr>
          <w:color w:val="000000" w:themeColor="text1"/>
          <w:sz w:val="16"/>
          <w:szCs w:val="16"/>
        </w:rPr>
      </w:pPr>
    </w:p>
    <w:p w14:paraId="7834E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года приказом НКАП Шахурина за № 193 началась организация ОКБ-478. ОКБ-478 расположено на территории завода № 478 в Запорожье на левом берегу Днепра. Начальником ОКБ был назначен Ивченко А.Г.</w:t>
      </w:r>
    </w:p>
    <w:p w14:paraId="21B9C9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момента организации и до 1953 года ОКБ работало над созданием поршневых авиадвигателей для вертолетов и легких самолетов.</w:t>
      </w:r>
    </w:p>
    <w:p w14:paraId="6F74E3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этот период ОКБ созданы поршневые авиационные двигатели: М-26, АИ-10, АИ-12, АИ-26ГР, АИ-26ГРФ, АИ-14, АИ-14В, АИ-14Р, АИ-4Г, которые прошли госиспытания.</w:t>
      </w:r>
    </w:p>
    <w:p w14:paraId="723C63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этого числа двигателей АИ-14Р и АИ-26ГРФ переданы и находятся в серийном производстве на заводах №№ 154 и 478.</w:t>
      </w:r>
    </w:p>
    <w:p w14:paraId="11B5C5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1953 году в соответствии с приказом МАП за № 375сс и № 431сс РКБ приступило к развертыванию проектных работ и подготовки экспериментальной и производственной базы, необходимых для создания современных газотурбинных авиационных двигателей.</w:t>
      </w:r>
    </w:p>
    <w:p w14:paraId="055899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период 1953-1958 гг. ОКБ создало следующие авиационные двигатели газотурбинного типа:</w:t>
      </w:r>
    </w:p>
    <w:p w14:paraId="32F51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ТВ-2Т, ТВ-2ВК, АИ-20, АИ-20Д и АИ-24 – турбовинтовые двигатели</w:t>
      </w:r>
    </w:p>
    <w:p w14:paraId="000E83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ТС-12, ТС-12Ф и АИ-8 – пусковые двигатели</w:t>
      </w:r>
    </w:p>
    <w:p w14:paraId="47D48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АИ-7 – турбореактивные двигатели</w:t>
      </w:r>
    </w:p>
    <w:p w14:paraId="4075C8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перечисленных двигателей ТС-12, ТС-12Ф, ТВ-2Т и АИ-20 прошли госиспытания. ТС-12Ф и АИ-20 находятся в серийном производстве. Двигатель АИ-20Д в настоящее время предъявлен на госиспытания.</w:t>
      </w:r>
    </w:p>
    <w:p w14:paraId="0197C3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Кроме указанных работ ОКБ-478 выполняло ряд работ по отдельным приказам МАП, как например: в 1953 году </w:t>
      </w:r>
      <w:proofErr w:type="gramStart"/>
      <w:r w:rsidRPr="00925F26">
        <w:rPr>
          <w:color w:val="000000" w:themeColor="text1"/>
          <w:sz w:val="16"/>
          <w:szCs w:val="16"/>
        </w:rPr>
        <w:t>согласно приказа</w:t>
      </w:r>
      <w:proofErr w:type="gramEnd"/>
      <w:r w:rsidRPr="00925F26">
        <w:rPr>
          <w:color w:val="000000" w:themeColor="text1"/>
          <w:sz w:val="16"/>
          <w:szCs w:val="16"/>
        </w:rPr>
        <w:t xml:space="preserve"> МАП за № 151 от 11 июня 1953 года, ОКБ создало и в 1954 году проведено госиспытание мотопилы “Дружба” для Министерства лесной промышленности. С 1954 года мотопила “Дружба” находится в серийном производстве на заводе им. Дзержинского (Пермь).</w:t>
      </w:r>
    </w:p>
    <w:p w14:paraId="363AFD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Руководство ОКБ на протяжении всего времени его существования – с 1945 года и по настоящее время осуществляет Ивченко А.Г. В начальный период Ивченко был назначен начальником ОКБ, а с 1946 года гл. конструктором ОКБ-478.</w:t>
      </w:r>
    </w:p>
    <w:p w14:paraId="101F95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постановлением СМ от 26 июня 1957 года № 713/372 ОКБ-478 при заводе № 478 реорганизовано в Государственное союзное ОКБ № 478 (ОКБ-478), находящееся в подчинении 3-го гл. управления ГК по авиационной технике при СМ (9404).</w:t>
      </w:r>
    </w:p>
    <w:p w14:paraId="26A6CB93" w14:textId="77777777" w:rsidR="00665165" w:rsidRPr="00925F26" w:rsidRDefault="00665165" w:rsidP="00925F26">
      <w:pPr>
        <w:autoSpaceDE w:val="0"/>
        <w:autoSpaceDN w:val="0"/>
        <w:adjustRightInd w:val="0"/>
        <w:jc w:val="both"/>
        <w:rPr>
          <w:color w:val="000000" w:themeColor="text1"/>
          <w:sz w:val="16"/>
          <w:szCs w:val="16"/>
        </w:rPr>
      </w:pPr>
    </w:p>
    <w:p w14:paraId="67DC9F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мая 1945 г. при заводе № 478 образовали конструкторское бюро ОКБ-478, которое возглавил А.Г. Ивченко (1903-1968). С 1 июля 1946 г. оно при</w:t>
      </w:r>
      <w:r w:rsidRPr="00925F26">
        <w:rPr>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925F26">
        <w:rPr>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925F26">
        <w:rPr>
          <w:color w:val="000000" w:themeColor="text1"/>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Уже в июле 1945 г. начались стендо</w:t>
      </w:r>
      <w:r w:rsidRPr="00925F26">
        <w:rPr>
          <w:color w:val="000000" w:themeColor="text1"/>
          <w:sz w:val="16"/>
          <w:szCs w:val="16"/>
        </w:rPr>
        <w:softHyphen/>
        <w:t>вые испытания, а 15 июля один мотор поднялся в воздух на переобо</w:t>
      </w:r>
      <w:r w:rsidRPr="00925F26">
        <w:rPr>
          <w:color w:val="000000" w:themeColor="text1"/>
          <w:sz w:val="16"/>
          <w:szCs w:val="16"/>
        </w:rPr>
        <w:softHyphen/>
        <w:t xml:space="preserve">рудованном трофейном самолете </w:t>
      </w:r>
      <w:r w:rsidRPr="00925F26">
        <w:rPr>
          <w:color w:val="000000" w:themeColor="text1"/>
          <w:sz w:val="16"/>
          <w:szCs w:val="16"/>
          <w:lang w:val="en-US"/>
        </w:rPr>
        <w:t>Ju</w:t>
      </w:r>
      <w:r w:rsidRPr="00925F26">
        <w:rPr>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925F26">
        <w:rPr>
          <w:color w:val="000000" w:themeColor="text1"/>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Мотор дважды предъявляли на госиспытания, которые, наконец, заверши</w:t>
      </w:r>
      <w:r w:rsidRPr="00925F26">
        <w:rPr>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925F26">
        <w:rPr>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925F26">
        <w:rPr>
          <w:color w:val="000000" w:themeColor="text1"/>
          <w:sz w:val="16"/>
          <w:szCs w:val="16"/>
        </w:rPr>
        <w:softHyphen/>
        <w:t>ваться АИ-26В. Он неоднократно модифицировался и выпускался дли</w:t>
      </w:r>
      <w:r w:rsidRPr="00925F26">
        <w:rPr>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925F26">
        <w:rPr>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15EAFC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2F7A8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21FCEB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7EE70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000E04B6" w14:textId="77777777" w:rsidR="00665165" w:rsidRPr="00925F26" w:rsidRDefault="00665165" w:rsidP="00925F26">
      <w:pPr>
        <w:autoSpaceDE w:val="0"/>
        <w:autoSpaceDN w:val="0"/>
        <w:adjustRightInd w:val="0"/>
        <w:jc w:val="both"/>
        <w:rPr>
          <w:color w:val="000000" w:themeColor="text1"/>
          <w:sz w:val="16"/>
          <w:szCs w:val="16"/>
        </w:rPr>
      </w:pPr>
    </w:p>
    <w:p w14:paraId="34D761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г. при заводе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 (11982).</w:t>
      </w:r>
    </w:p>
    <w:p w14:paraId="45BCC71A" w14:textId="77777777" w:rsidR="00665165" w:rsidRPr="00925F26" w:rsidRDefault="00665165" w:rsidP="00925F26">
      <w:pPr>
        <w:autoSpaceDE w:val="0"/>
        <w:autoSpaceDN w:val="0"/>
        <w:adjustRightInd w:val="0"/>
        <w:jc w:val="both"/>
        <w:rPr>
          <w:color w:val="000000" w:themeColor="text1"/>
          <w:sz w:val="16"/>
          <w:szCs w:val="16"/>
        </w:rPr>
      </w:pPr>
    </w:p>
    <w:p w14:paraId="762F08C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570E6C8" w14:textId="77777777" w:rsidR="00665165" w:rsidRPr="00925F26" w:rsidRDefault="00665165" w:rsidP="00925F26">
      <w:pPr>
        <w:autoSpaceDE w:val="0"/>
        <w:autoSpaceDN w:val="0"/>
        <w:adjustRightInd w:val="0"/>
        <w:jc w:val="both"/>
        <w:rPr>
          <w:iCs/>
          <w:color w:val="000000" w:themeColor="text1"/>
          <w:sz w:val="16"/>
          <w:szCs w:val="16"/>
        </w:rPr>
      </w:pPr>
    </w:p>
    <w:p w14:paraId="57523F87" w14:textId="77777777" w:rsidR="004252F4" w:rsidRPr="00925F26" w:rsidRDefault="004252F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5 мая 1945 года вышел приказ по НКТП №217сс. В этом документе он дал указание руководству завода №183 разослать по заводам №75, №264, №112, №174 и Мариупольскому заводу чертежи на Т-54. Это было необходимо для того, чтобы заводы начали готовиться к выпуску данного танка. Между тем на заводе №183 не сидели, сложа руки. КБ-520 к маю 1945 года разработало планетарный механизм поворота, планетарную КПП и пятиступенчатую КПП с синхронизаторами. В НКТП на это отреагировали приказом №246с от 19 мая 1945 года, в котором указывалось изготовить и испытать данные агрегаты. В июне к ним добавился воздухоочиститель, разработанный КБ завода №100. На его базе КБ-520 следовало отработать аналогичную конструкцию для Т-54.</w:t>
      </w:r>
    </w:p>
    <w:p w14:paraId="095BF2B7" w14:textId="77777777" w:rsidR="004252F4" w:rsidRPr="00925F26" w:rsidRDefault="004252F4" w:rsidP="00925F26">
      <w:pPr>
        <w:pStyle w:val="ae"/>
        <w:shd w:val="clear" w:color="auto" w:fill="FFFFFF"/>
        <w:spacing w:before="0" w:after="0"/>
        <w:jc w:val="both"/>
        <w:textAlignment w:val="baseline"/>
        <w:rPr>
          <w:color w:val="000000" w:themeColor="text1"/>
          <w:sz w:val="16"/>
          <w:szCs w:val="16"/>
        </w:rPr>
      </w:pPr>
    </w:p>
    <w:p w14:paraId="277B13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вышло Распоряжение ГКО № 8423. О перенесении срока окончания монтажа двух котлов на Астраханской нефтебазе. РГАНИР, Фонд ГКО, д. 412, лл. 1 (11012).</w:t>
      </w:r>
    </w:p>
    <w:p w14:paraId="37AF7CDD" w14:textId="77777777" w:rsidR="00665165" w:rsidRPr="00925F26" w:rsidRDefault="00665165" w:rsidP="00925F26">
      <w:pPr>
        <w:autoSpaceDE w:val="0"/>
        <w:autoSpaceDN w:val="0"/>
        <w:adjustRightInd w:val="0"/>
        <w:jc w:val="both"/>
        <w:rPr>
          <w:color w:val="000000" w:themeColor="text1"/>
          <w:sz w:val="16"/>
          <w:szCs w:val="16"/>
        </w:rPr>
      </w:pPr>
    </w:p>
    <w:p w14:paraId="625605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мая 1945 г. в г. Берлине обнаружено имущество Физического института Общества Кайзера Вильгельма. Для приема оборудования 9 мая в Германию отправляется группа советских специалистов во главе с А.П. Завенягиным. В состав группы входят Ю.Б. Харитон, И.К. Кикоин, В.А. Махнев и др. (11254).</w:t>
      </w:r>
    </w:p>
    <w:p w14:paraId="190B8F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B9660A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30812AA" w14:textId="77777777" w:rsidR="00665165" w:rsidRPr="00925F26" w:rsidRDefault="00665165" w:rsidP="00925F26">
      <w:pPr>
        <w:autoSpaceDE w:val="0"/>
        <w:autoSpaceDN w:val="0"/>
        <w:adjustRightInd w:val="0"/>
        <w:jc w:val="both"/>
        <w:rPr>
          <w:iCs/>
          <w:color w:val="000000" w:themeColor="text1"/>
          <w:sz w:val="16"/>
          <w:szCs w:val="16"/>
        </w:rPr>
      </w:pPr>
    </w:p>
    <w:p w14:paraId="67C0A540"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оперативная сводка Совинформбюро:</w:t>
      </w:r>
    </w:p>
    <w:p w14:paraId="64906982" w14:textId="77777777" w:rsidR="002029E1" w:rsidRPr="00925F26" w:rsidRDefault="002029E1" w:rsidP="00925F26">
      <w:pPr>
        <w:jc w:val="both"/>
        <w:rPr>
          <w:color w:val="000000" w:themeColor="text1"/>
          <w:sz w:val="16"/>
          <w:szCs w:val="16"/>
        </w:rPr>
      </w:pPr>
      <w:r w:rsidRPr="00925F26">
        <w:rPr>
          <w:color w:val="000000" w:themeColor="text1"/>
          <w:sz w:val="16"/>
          <w:szCs w:val="16"/>
        </w:rPr>
        <w:t>«В течение 5 мая войска 3-го Белорусского фронта вели бои по очищению от противника косы Фриш-Нерунг и заняли населённые пункты Лангхакен, Шеллмюль, Шмиргель, Преббернау, Шотланд.</w:t>
      </w:r>
    </w:p>
    <w:p w14:paraId="132C883B"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Белорусского фронта 5 мая овладели городом Свинемюнде — крупным портом и военно-морской базой немцев на Балтийском море, а также полностью очистили от противника острова Воллин и Узедом, заняв при этом крупные населённые пункты Кольцов, Мисдров, Леббин, Альбек, Зеебад Герингсдорф, Узедом, Келпинзее, Цинновитц, Пеенемунде. За 4 мая войска фронта взяли в плен 11.700 немецких солдат и офицеров и захватили следующие трофеи: самолётов — 55, танков — 24, полевых орудий — 88.</w:t>
      </w:r>
    </w:p>
    <w:p w14:paraId="2E72F768"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1-го Белорусского фронта, продвигаясь вперёд юго-западнее города Бранденбург, заняли города Цизар, Лобург, Бург, Меккерн, Гоммерн, Рослау. За 4 мая войска фронта взяли в плен 2.860 немецких солдат и офицеров.</w:t>
      </w:r>
    </w:p>
    <w:p w14:paraId="0B8A1E8F"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4-го Украинского фронта, наступая юго-западнее и южнее города Моравска Острава, с боями заняли города Хоф (Дворце), Берн (Мор Бероун), Фульнек, Мистэк и крупные населённые пункты Мельч, Рауч, Домштадтль, Штадт Либау, Бартошовице, Метиловице, Фридлант, Кунчице, Рожнов. За 4 мая войска фронта взяли в плен 1.100 немецких солдат и офицеров.</w:t>
      </w:r>
    </w:p>
    <w:p w14:paraId="4CC31C41"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Украинского фронта, продолжая наступление северо-восточнее Брно, овладели городом Кромержиж.</w:t>
      </w:r>
    </w:p>
    <w:p w14:paraId="741FCE50" w14:textId="77777777" w:rsidR="002029E1" w:rsidRPr="00925F26" w:rsidRDefault="002029E1"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произошло.</w:t>
      </w:r>
    </w:p>
    <w:p w14:paraId="033AD810" w14:textId="77777777" w:rsidR="002029E1" w:rsidRPr="00925F26" w:rsidRDefault="002029E1" w:rsidP="00925F26">
      <w:pPr>
        <w:jc w:val="both"/>
        <w:rPr>
          <w:color w:val="000000" w:themeColor="text1"/>
          <w:sz w:val="16"/>
          <w:szCs w:val="16"/>
        </w:rPr>
      </w:pPr>
      <w:r w:rsidRPr="00925F26">
        <w:rPr>
          <w:color w:val="000000" w:themeColor="text1"/>
          <w:sz w:val="16"/>
          <w:szCs w:val="16"/>
        </w:rPr>
        <w:t>За 4 мая на всех фронтах подбито и уничтожено 26 немецких танков. В воздушных боях и огнём зенитной артиллерии сбито 14 самолётов противника.</w:t>
      </w:r>
    </w:p>
    <w:p w14:paraId="037FA12D"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З-го Белорусского фронта вели бои по очищению от немцев косы Фриш-Нерунг. Советские части наступают по узкой, сплошь покрытой лесом полосе земли.</w:t>
      </w:r>
    </w:p>
    <w:p w14:paraId="5256FA24" w14:textId="77777777" w:rsidR="002029E1" w:rsidRPr="00925F26" w:rsidRDefault="002029E1" w:rsidP="00925F26">
      <w:pPr>
        <w:jc w:val="both"/>
        <w:rPr>
          <w:color w:val="000000" w:themeColor="text1"/>
          <w:sz w:val="16"/>
          <w:szCs w:val="16"/>
        </w:rPr>
      </w:pPr>
      <w:r w:rsidRPr="00925F26">
        <w:rPr>
          <w:color w:val="000000" w:themeColor="text1"/>
          <w:sz w:val="16"/>
          <w:szCs w:val="16"/>
        </w:rPr>
        <w:t>Местность исключает возможность какого-либо манёвра. Противник тщательно подготовился к обороне и оказывает упорное сопротивление. Наши наступающие подразделения на каждом шагу встречают лесные завалы и минные поля. Советские пехотинцы вместе с сопровождающими их артиллеристами, преодолев три противотанковых рва и несколько линий траншей, выбили гитлеровцев из сильно укреплённого опорного пункта Шотланд. В бою за этот населённый пункт уничтожено до 300 немецких солдат и офицеров. Захвачено 14 орудий, 5 миномётов, 40 пулемётов и два склада с боеприпасами.</w:t>
      </w:r>
    </w:p>
    <w:p w14:paraId="6DC709CA"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Белорусского фронта, овладев городом Воллин, сломили сопротивление противника и устремились на север и северо-запад. Одновременно советские части форсировали пролив Пеене, высадили десант на острове Узедом и развернули наступление в восточном направлении. В результате стремительного удара наши войска разгромили вражеский гарнизон и овладели городом Свинемюнде — одним из лучших по оборудованию портов Германии. Войска фронта подавили отдельные очаги сопротивления немцев и полностью очистили от противника острова Воллин и Узедом.</w:t>
      </w:r>
    </w:p>
    <w:p w14:paraId="07CF6952"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1-го Белорусского фронта продвигались вперёд юго-западнее города Бранденбург. Наши пехотные и танковые части в лесисто-болотистой местности преследуют остатки разгромленных соединений противника. Заняты город Цизар, крупный узел железных дорог, и город Бург. Другие наши части овладели городом и узлом железных дорог Рослау на реке Эльба. Советские бойцы прочёсывают леса и очищают их от разрозненных групп гитлеровцев.</w:t>
      </w:r>
    </w:p>
    <w:p w14:paraId="3B0827A9"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Советские части прорвали промежуточный рубеж обороны противника и, развивая успех, продвинулись вперед на 20 километров. Немцы выбиты из городов Хоф (Дворце) и Берн (Мор Бероун). На поле боя осталось свыше 800 вражеских трупов. Захвачены трофеи, в числе которых 32 орудия, 70 пулемётов и несколько складов с военным имуществом. Другие наши части овладели железнодорожной станцией Домштадтль, находящейся в 19 километрах от города Оломоуц. В этом районе разгромлен батальон немецкой пехоты.</w:t>
      </w:r>
    </w:p>
    <w:p w14:paraId="42E65310"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Немцы перебросили в район реки Моравы много артиллерии и, опираясь на заранее подготовленные позиции, оказывают сильное огневое сопротивление. Особенно ожесточенные бои произошли на подступах к городу Кромержиж — опорному пункту противника на реке Морава. Советские пехотинцы, танкисты и артиллеристы подавили огневые точки немцев и ворвались в город Кромержиж. Наши штурмовые группы и ночью и днём выбивали гитлеровцев из каменных зданий и подвалов. К исходу дня наши войска разгромили вражеский гарнизон и овладели городом Кромержиж — важным узлом путей сообщения. Остатки гитлеровцев в беспорядке отступили. Захвачено много вооружения, а также склады с боеприпасами.» (14882).</w:t>
      </w:r>
    </w:p>
    <w:p w14:paraId="190D7065" w14:textId="77777777" w:rsidR="002029E1" w:rsidRPr="00925F26" w:rsidRDefault="002029E1" w:rsidP="00925F26">
      <w:pPr>
        <w:jc w:val="both"/>
        <w:rPr>
          <w:color w:val="000000" w:themeColor="text1"/>
          <w:sz w:val="16"/>
          <w:szCs w:val="16"/>
        </w:rPr>
      </w:pPr>
    </w:p>
    <w:p w14:paraId="339D9587" w14:textId="77777777" w:rsidR="004252F4" w:rsidRPr="00925F26" w:rsidRDefault="004252F4" w:rsidP="00925F26">
      <w:pPr>
        <w:jc w:val="both"/>
        <w:rPr>
          <w:color w:val="000000" w:themeColor="text1"/>
          <w:sz w:val="16"/>
          <w:szCs w:val="16"/>
        </w:rPr>
      </w:pPr>
      <w:r w:rsidRPr="00925F26">
        <w:rPr>
          <w:color w:val="000000" w:themeColor="text1"/>
          <w:sz w:val="16"/>
          <w:szCs w:val="16"/>
        </w:rPr>
        <w:t>5 мая 1945 года</w:t>
      </w:r>
    </w:p>
    <w:p w14:paraId="3F7E36C8" w14:textId="77777777" w:rsidR="004252F4" w:rsidRPr="00925F26" w:rsidRDefault="004252F4" w:rsidP="00925F26">
      <w:pPr>
        <w:jc w:val="both"/>
        <w:rPr>
          <w:color w:val="000000" w:themeColor="text1"/>
          <w:sz w:val="16"/>
          <w:szCs w:val="16"/>
        </w:rPr>
      </w:pPr>
      <w:r w:rsidRPr="00925F26">
        <w:rPr>
          <w:color w:val="000000" w:themeColor="text1"/>
          <w:sz w:val="16"/>
          <w:szCs w:val="16"/>
        </w:rPr>
        <w:t>«Войска 2-го Белорусского фронта 5 мая овладели городом Свинемюнде, крупным портом и военно-морской базой немцев на Балтийском море, а также полностью очистили от противника острова Волин и Узедом, заняв при этом крупные населенные пункты Кольцов, Мисдров, Леббин, Альбек, Зеебад, Гернгсдорф, Узедом, Келпинзее, Циновитц, Пеенемунде».</w:t>
      </w:r>
    </w:p>
    <w:p w14:paraId="68086F38" w14:textId="77777777" w:rsidR="004252F4" w:rsidRPr="00925F26" w:rsidRDefault="004252F4" w:rsidP="00925F26">
      <w:pPr>
        <w:jc w:val="both"/>
        <w:rPr>
          <w:color w:val="000000" w:themeColor="text1"/>
          <w:sz w:val="16"/>
          <w:szCs w:val="16"/>
        </w:rPr>
      </w:pPr>
      <w:r w:rsidRPr="00925F26">
        <w:rPr>
          <w:color w:val="000000" w:themeColor="text1"/>
          <w:sz w:val="16"/>
          <w:szCs w:val="16"/>
        </w:rPr>
        <w:t>Советское руководство незамедлительно направило в ракетный центр Пенемюнде специальную комиссию для обследования территории и сбора информации о работе Германского реактивного научно-испытательного института ракетного вооружения.</w:t>
      </w:r>
    </w:p>
    <w:p w14:paraId="269FAC02" w14:textId="77777777" w:rsidR="004252F4" w:rsidRPr="00925F26" w:rsidRDefault="004252F4" w:rsidP="00925F26">
      <w:pPr>
        <w:jc w:val="both"/>
        <w:rPr>
          <w:color w:val="000000" w:themeColor="text1"/>
          <w:sz w:val="16"/>
          <w:szCs w:val="16"/>
        </w:rPr>
      </w:pPr>
      <w:r w:rsidRPr="00925F26">
        <w:rPr>
          <w:color w:val="000000" w:themeColor="text1"/>
          <w:sz w:val="16"/>
          <w:szCs w:val="16"/>
        </w:rPr>
        <w:t>Предварительные итоги работы комиссии изложены в документе с длинным названием: «О результатах обследования германского реактивного научно-исследовательского института в Пенемюнде» (19623).</w:t>
      </w:r>
    </w:p>
    <w:p w14:paraId="56969B72" w14:textId="77777777" w:rsidR="004252F4" w:rsidRPr="00925F26" w:rsidRDefault="004252F4" w:rsidP="00925F26">
      <w:pPr>
        <w:jc w:val="both"/>
        <w:rPr>
          <w:color w:val="000000" w:themeColor="text1"/>
          <w:sz w:val="16"/>
          <w:szCs w:val="16"/>
        </w:rPr>
      </w:pPr>
    </w:p>
    <w:p w14:paraId="6AD652A2"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5 мая 1945 экипажи 571 шап при нанесении ударов по немецким войскам в движении и в местах сосредоточения на дорогах в районе Рауч, Шенвальд, Альвассер, Либау, Хоф, Дейч, Лоденит встретили особенно сильное противодействие немецких зенитчиков. При перелете линии фронта в составе группы 8 Ил-10 под сплошной облачностью на высоте 150 м первым же залпом зенитной артиллерии были сбиты две «десятки» (зав. № 1890802 и № 1894603). Оба самолета упали на территорию противника. Погибли младший лейтенант Г. Д. Загурский и воздушный стрелок сержант П. А. Котов, младший лейтенант П. И. Полигалов и воздушный стрелок рядовой М. М. Варташов. К исходу дня в составе полка осталось 30 самолетов Ил-10, из которых 25 машин были боеготовыми.</w:t>
      </w:r>
    </w:p>
    <w:p w14:paraId="3B2CF21C"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Надо сказать, эксплуатация и боевое применение Ил-10 сопровождались многочисленными отказами агрегатов и систем самолета. Только на моторах АМ-42 к 7 мая обнаружилось 24 дефекта, в том числе 10 случаев по причине отказа в работе карбюратора, бензосистемы и свечей АС -132, 5 случаев тряски мотора на всех режимах работы, даже на номинальном, два случая деформации мембран карбюратора и в остальных случаях наблюдалась течь масло- и водорадиаторов по причине плохой пайки. Подходы к свечам и различного рода агрегатам и узлам мотора были крайне неудобными. Например, замена карбюратора и отладка мотора занимала до 30-33 часов рабочего времени.</w:t>
      </w:r>
    </w:p>
    <w:p w14:paraId="4650ED52"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Постоянно рвались троса бомболюков, а створки бомболюков деформировались при загрузке мелких бомб и повреждались при сбросе бомб крупного калибра. Обшивка консолей и центроплана крыла, а также заклепки крыла не выдерживали нагрузок. Листы шли волной, заклепки срезались и выпадали. Ломались складывающиеся подкосы шасси и обтекатели хвостового колеса.</w:t>
      </w:r>
    </w:p>
    <w:p w14:paraId="29AD31C4"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Удивительно, но техническому составу 571 шап все же удавалось поддерживать боеготовность матчасти на уровне, обеспечивающем выполнение полком поставленных боевых задач. Ежедневная боеготовность полка в среднем составляла 72,8 % текущего боевого состава (17490).</w:t>
      </w:r>
    </w:p>
    <w:p w14:paraId="745AF0E9" w14:textId="77777777" w:rsidR="00B633D2" w:rsidRPr="00925F26" w:rsidRDefault="00B633D2" w:rsidP="00925F26">
      <w:pPr>
        <w:jc w:val="both"/>
        <w:rPr>
          <w:color w:val="000000" w:themeColor="text1"/>
          <w:sz w:val="16"/>
          <w:szCs w:val="16"/>
        </w:rPr>
      </w:pPr>
    </w:p>
    <w:p w14:paraId="5FD90A2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мая 1945 советское командование предупредило гражданское население датского о-ва Борнхольм в Балтийском море о предстоящих ударах авиации по объектам немецкого гарнизона. Начало советских авиационных налетов на Борнхольм (4963 ).</w:t>
      </w:r>
    </w:p>
    <w:p w14:paraId="2466C55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AD98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May 5 1945 Russian ground forces occupied Peenemnde, Germany (1038).</w:t>
      </w:r>
    </w:p>
    <w:p w14:paraId="3FC56C9F" w14:textId="77777777" w:rsidR="00665165" w:rsidRPr="00925F26" w:rsidRDefault="00665165" w:rsidP="00925F26">
      <w:pPr>
        <w:autoSpaceDE w:val="0"/>
        <w:autoSpaceDN w:val="0"/>
        <w:adjustRightInd w:val="0"/>
        <w:jc w:val="both"/>
        <w:rPr>
          <w:color w:val="000000" w:themeColor="text1"/>
          <w:sz w:val="16"/>
          <w:szCs w:val="16"/>
        </w:rPr>
      </w:pPr>
    </w:p>
    <w:p w14:paraId="13E4ED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советские части оккупировали Пенемюнде (1038).</w:t>
      </w:r>
    </w:p>
    <w:p w14:paraId="507AE3C3" w14:textId="77777777" w:rsidR="00665165" w:rsidRPr="00925F26" w:rsidRDefault="00665165" w:rsidP="00925F26">
      <w:pPr>
        <w:autoSpaceDE w:val="0"/>
        <w:autoSpaceDN w:val="0"/>
        <w:adjustRightInd w:val="0"/>
        <w:jc w:val="both"/>
        <w:rPr>
          <w:color w:val="000000" w:themeColor="text1"/>
          <w:sz w:val="16"/>
          <w:szCs w:val="16"/>
        </w:rPr>
      </w:pPr>
    </w:p>
    <w:p w14:paraId="158094FF" w14:textId="77777777" w:rsidR="002029E1" w:rsidRPr="00925F26" w:rsidRDefault="002029E1" w:rsidP="00925F26">
      <w:pPr>
        <w:autoSpaceDE w:val="0"/>
        <w:autoSpaceDN w:val="0"/>
        <w:adjustRightInd w:val="0"/>
        <w:jc w:val="both"/>
        <w:rPr>
          <w:color w:val="000000" w:themeColor="text1"/>
          <w:sz w:val="16"/>
          <w:szCs w:val="16"/>
        </w:rPr>
      </w:pPr>
      <w:r w:rsidRPr="00925F26">
        <w:rPr>
          <w:color w:val="000000" w:themeColor="text1"/>
          <w:sz w:val="16"/>
          <w:szCs w:val="16"/>
        </w:rPr>
        <w:t>5 мая 1945 года войсками советского 2-го Белорусского фронта под командованием маршала Рокоссовского были заняты Порт Свинемюнде и остров Узедом вместе с Пенемюнде. Сам ракетный центр Пенемюнде взяли штурмом подразделения майора Анатолия Вавилова, на которого была возложена ответственность за сохранность оставшегося оборудования (11688).</w:t>
      </w:r>
    </w:p>
    <w:p w14:paraId="00E0B65C" w14:textId="77777777" w:rsidR="002029E1" w:rsidRPr="00925F26" w:rsidRDefault="002029E1" w:rsidP="00925F26">
      <w:pPr>
        <w:autoSpaceDE w:val="0"/>
        <w:autoSpaceDN w:val="0"/>
        <w:adjustRightInd w:val="0"/>
        <w:jc w:val="both"/>
        <w:rPr>
          <w:color w:val="000000" w:themeColor="text1"/>
          <w:sz w:val="16"/>
          <w:szCs w:val="16"/>
        </w:rPr>
      </w:pPr>
    </w:p>
    <w:p w14:paraId="47C091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мая 1945 экипажи 571-го шап при нанесе</w:t>
      </w:r>
      <w:r w:rsidRPr="00925F26">
        <w:rPr>
          <w:color w:val="000000" w:themeColor="text1"/>
          <w:sz w:val="16"/>
          <w:szCs w:val="16"/>
        </w:rPr>
        <w:softHyphen/>
        <w:t>нии ударов по немецким войскам на дорогах в районе Рауч, Шенвальд, Альвассер, Либау, Хоф, Дейч, Лоденит встрети</w:t>
      </w:r>
      <w:r w:rsidRPr="00925F26">
        <w:rPr>
          <w:color w:val="000000" w:themeColor="text1"/>
          <w:sz w:val="16"/>
          <w:szCs w:val="16"/>
        </w:rPr>
        <w:softHyphen/>
        <w:t>лись с особенно сильным противодейст</w:t>
      </w:r>
      <w:r w:rsidRPr="00925F26">
        <w:rPr>
          <w:color w:val="000000" w:themeColor="text1"/>
          <w:sz w:val="16"/>
          <w:szCs w:val="16"/>
        </w:rPr>
        <w:softHyphen/>
        <w:t>вием вражеских зенитчиков. Две «де</w:t>
      </w:r>
      <w:r w:rsidRPr="00925F26">
        <w:rPr>
          <w:color w:val="000000" w:themeColor="text1"/>
          <w:sz w:val="16"/>
          <w:szCs w:val="16"/>
        </w:rPr>
        <w:softHyphen/>
        <w:t>сятки» были сбиты, их экипажи погибли. К исходу дня в полку осталось 30 само</w:t>
      </w:r>
      <w:r w:rsidRPr="00925F26">
        <w:rPr>
          <w:color w:val="000000" w:themeColor="text1"/>
          <w:sz w:val="16"/>
          <w:szCs w:val="16"/>
        </w:rPr>
        <w:softHyphen/>
        <w:t>летов (10681).</w:t>
      </w:r>
    </w:p>
    <w:p w14:paraId="41AD2A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B48CBF0" w14:textId="77777777" w:rsidR="002029E1"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2C4762E" w14:textId="77777777" w:rsidR="002029E1" w:rsidRPr="00925F26" w:rsidRDefault="002029E1" w:rsidP="00925F26">
      <w:pPr>
        <w:autoSpaceDE w:val="0"/>
        <w:autoSpaceDN w:val="0"/>
        <w:adjustRightInd w:val="0"/>
        <w:jc w:val="both"/>
        <w:rPr>
          <w:iCs/>
          <w:color w:val="000000" w:themeColor="text1"/>
          <w:sz w:val="16"/>
          <w:szCs w:val="16"/>
        </w:rPr>
      </w:pPr>
    </w:p>
    <w:p w14:paraId="65F67AD5"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в Праге начинается вооруженное восстание против гитлеровских оккупантов. Первыми на призыв о помощи сражающимся с превосходящами силами эсэсовцев повстанцам откликнется находящаяся ближе всех 1-я дивизия РОА, которая 7 мая вступит в бой и очистит город от немцев (14882).</w:t>
      </w:r>
    </w:p>
    <w:p w14:paraId="3BD31917" w14:textId="77777777" w:rsidR="002029E1" w:rsidRPr="00925F26" w:rsidRDefault="002029E1" w:rsidP="00925F26">
      <w:pPr>
        <w:jc w:val="both"/>
        <w:rPr>
          <w:color w:val="000000" w:themeColor="text1"/>
          <w:sz w:val="16"/>
          <w:szCs w:val="16"/>
        </w:rPr>
      </w:pPr>
    </w:p>
    <w:p w14:paraId="2C766DC9"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советское правительство потребовало от американского командования прекратить продвижение своих войск в Чехословакии. Взамен советское командование остановило продвижение войск к Нижней Эльбе (14882).</w:t>
      </w:r>
    </w:p>
    <w:p w14:paraId="565E771C" w14:textId="77777777" w:rsidR="002029E1" w:rsidRPr="00925F26" w:rsidRDefault="002029E1" w:rsidP="00925F26">
      <w:pPr>
        <w:jc w:val="both"/>
        <w:rPr>
          <w:color w:val="000000" w:themeColor="text1"/>
          <w:sz w:val="16"/>
          <w:szCs w:val="16"/>
        </w:rPr>
      </w:pPr>
    </w:p>
    <w:p w14:paraId="010C44C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За рубежом:</w:t>
      </w:r>
    </w:p>
    <w:p w14:paraId="4EB6D3A4" w14:textId="77777777" w:rsidR="00665165" w:rsidRPr="00925F26" w:rsidRDefault="00665165" w:rsidP="00925F26">
      <w:pPr>
        <w:autoSpaceDE w:val="0"/>
        <w:autoSpaceDN w:val="0"/>
        <w:adjustRightInd w:val="0"/>
        <w:jc w:val="both"/>
        <w:rPr>
          <w:iCs/>
          <w:color w:val="000000" w:themeColor="text1"/>
          <w:sz w:val="16"/>
          <w:szCs w:val="16"/>
        </w:rPr>
      </w:pPr>
    </w:p>
    <w:p w14:paraId="6EE2A2D0" w14:textId="77777777" w:rsidR="004146AC" w:rsidRPr="00925F26" w:rsidRDefault="004146AC" w:rsidP="00925F26">
      <w:pPr>
        <w:jc w:val="both"/>
        <w:rPr>
          <w:color w:val="000000" w:themeColor="text1"/>
          <w:sz w:val="16"/>
          <w:szCs w:val="16"/>
        </w:rPr>
      </w:pPr>
      <w:r w:rsidRPr="00925F26">
        <w:rPr>
          <w:color w:val="000000" w:themeColor="text1"/>
          <w:sz w:val="16"/>
          <w:szCs w:val="16"/>
        </w:rPr>
        <w:t>5 мая 1945 года над Соединенным Королевством в последний раз появился разведчик Аг-234В-1, но сбить его так и не удалось. В тот же день 18 «Молний» пе</w:t>
      </w:r>
      <w:r w:rsidRPr="00925F26">
        <w:rPr>
          <w:color w:val="000000" w:themeColor="text1"/>
          <w:sz w:val="16"/>
          <w:szCs w:val="16"/>
        </w:rPr>
        <w:softHyphen/>
        <w:t>релетели из Германии и Дании в Норве</w:t>
      </w:r>
      <w:r w:rsidRPr="00925F26">
        <w:rPr>
          <w:color w:val="000000" w:themeColor="text1"/>
          <w:sz w:val="16"/>
          <w:szCs w:val="16"/>
        </w:rPr>
        <w:softHyphen/>
        <w:t>гию, приземлившись на аэродроме Сула (Sola) под Ставангером. В Норвегии тогда находилась последняя надежда Гитлера — 350-тысячная боеспособная группировка вермахта.</w:t>
      </w:r>
    </w:p>
    <w:p w14:paraId="078CE71F" w14:textId="77777777" w:rsidR="004146AC" w:rsidRPr="00925F26" w:rsidRDefault="004146AC" w:rsidP="00925F26">
      <w:pPr>
        <w:jc w:val="both"/>
        <w:rPr>
          <w:color w:val="000000" w:themeColor="text1"/>
          <w:sz w:val="16"/>
          <w:szCs w:val="16"/>
        </w:rPr>
      </w:pPr>
      <w:r w:rsidRPr="00925F26">
        <w:rPr>
          <w:color w:val="000000" w:themeColor="text1"/>
          <w:sz w:val="16"/>
          <w:szCs w:val="16"/>
        </w:rPr>
        <w:t>В Суле осталось десять машин, а остальные передислоцировали на аэро</w:t>
      </w:r>
      <w:r w:rsidRPr="00925F26">
        <w:rPr>
          <w:color w:val="000000" w:themeColor="text1"/>
          <w:sz w:val="16"/>
          <w:szCs w:val="16"/>
        </w:rPr>
        <w:softHyphen/>
        <w:t>дром Форус в нескольких милях восточнее Сулы, где их экипажи ожидали какого-то важного приказа из Берлина. Но секрет</w:t>
      </w:r>
      <w:r w:rsidRPr="00925F26">
        <w:rPr>
          <w:color w:val="000000" w:themeColor="text1"/>
          <w:sz w:val="16"/>
          <w:szCs w:val="16"/>
        </w:rPr>
        <w:softHyphen/>
        <w:t>ная миссия «Арадо» так и не состоялась: через несколько дней оба аэродрома за</w:t>
      </w:r>
      <w:r w:rsidRPr="00925F26">
        <w:rPr>
          <w:color w:val="000000" w:themeColor="text1"/>
          <w:sz w:val="16"/>
          <w:szCs w:val="16"/>
        </w:rPr>
        <w:softHyphen/>
        <w:t>хватили бойцы норвежского Сопротивле</w:t>
      </w:r>
      <w:r w:rsidRPr="00925F26">
        <w:rPr>
          <w:color w:val="000000" w:themeColor="text1"/>
          <w:sz w:val="16"/>
          <w:szCs w:val="16"/>
        </w:rPr>
        <w:softHyphen/>
        <w:t>ния и британские десантники (23462).</w:t>
      </w:r>
    </w:p>
    <w:p w14:paraId="438B56EB" w14:textId="77777777" w:rsidR="004146AC" w:rsidRPr="00925F26" w:rsidRDefault="004146AC" w:rsidP="00925F26">
      <w:pPr>
        <w:jc w:val="both"/>
        <w:rPr>
          <w:color w:val="000000" w:themeColor="text1"/>
          <w:sz w:val="16"/>
          <w:szCs w:val="16"/>
        </w:rPr>
      </w:pPr>
    </w:p>
    <w:p w14:paraId="56E21C82"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в небе над Гамбургом английскими истребителями сбит последний немецкий самолет в ходе войны (14882).</w:t>
      </w:r>
    </w:p>
    <w:p w14:paraId="3B6C9C0A" w14:textId="77777777" w:rsidR="002029E1" w:rsidRPr="00925F26" w:rsidRDefault="002029E1" w:rsidP="00925F26">
      <w:pPr>
        <w:jc w:val="both"/>
        <w:rPr>
          <w:color w:val="000000" w:themeColor="text1"/>
          <w:sz w:val="16"/>
          <w:szCs w:val="16"/>
        </w:rPr>
      </w:pPr>
    </w:p>
    <w:p w14:paraId="50AB0C4A" w14:textId="77777777" w:rsidR="002029E1" w:rsidRPr="00925F26" w:rsidRDefault="002029E1" w:rsidP="00925F26">
      <w:pPr>
        <w:autoSpaceDE w:val="0"/>
        <w:autoSpaceDN w:val="0"/>
        <w:adjustRightInd w:val="0"/>
        <w:jc w:val="both"/>
        <w:rPr>
          <w:color w:val="000000" w:themeColor="text1"/>
          <w:sz w:val="16"/>
          <w:szCs w:val="16"/>
        </w:rPr>
      </w:pPr>
      <w:r w:rsidRPr="00925F26">
        <w:rPr>
          <w:color w:val="000000" w:themeColor="text1"/>
          <w:sz w:val="16"/>
          <w:szCs w:val="16"/>
        </w:rPr>
        <w:t>5 мая 1945 Подписание акта о капитуляции германских вооруженных сил перед американо-английскими войсками на южном участке западного фронта - в Баварии и западной части Австрии (7444).</w:t>
      </w:r>
    </w:p>
    <w:p w14:paraId="4D0358DC" w14:textId="77777777" w:rsidR="002029E1" w:rsidRPr="00925F26" w:rsidRDefault="002029E1" w:rsidP="00925F26">
      <w:pPr>
        <w:autoSpaceDE w:val="0"/>
        <w:autoSpaceDN w:val="0"/>
        <w:adjustRightInd w:val="0"/>
        <w:jc w:val="both"/>
        <w:rPr>
          <w:color w:val="000000" w:themeColor="text1"/>
          <w:sz w:val="16"/>
          <w:szCs w:val="16"/>
        </w:rPr>
      </w:pPr>
    </w:p>
    <w:p w14:paraId="1474D1E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мая 1945 капитулировали немецкие войска в Баварии и Западной Австрии (4962).</w:t>
      </w:r>
    </w:p>
    <w:p w14:paraId="60A6616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9F40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был освобожден концлагерь Маутхаузен в Австрии (2248,6).</w:t>
      </w:r>
    </w:p>
    <w:p w14:paraId="514CAA82" w14:textId="77777777" w:rsidR="00665165" w:rsidRPr="00925F26" w:rsidRDefault="00665165" w:rsidP="00925F26">
      <w:pPr>
        <w:autoSpaceDE w:val="0"/>
        <w:autoSpaceDN w:val="0"/>
        <w:adjustRightInd w:val="0"/>
        <w:jc w:val="both"/>
        <w:rPr>
          <w:color w:val="000000" w:themeColor="text1"/>
          <w:sz w:val="16"/>
          <w:szCs w:val="16"/>
        </w:rPr>
      </w:pPr>
    </w:p>
    <w:p w14:paraId="05362F1F"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танковая бригада армии США освободила узников немецко-фашистского концлагеря Маутхаузен на территории Австрии. С 1998 года этот день отмечается в Австрии как День памяти жертв расизма и нацизма. Ежегодно в канун Дня Победы в первых числах мая в бывшем гитлеровском лагере смерти проводятся мемориальные церемонии (14882).</w:t>
      </w:r>
    </w:p>
    <w:p w14:paraId="0ABA6F56" w14:textId="77777777" w:rsidR="002029E1" w:rsidRPr="00925F26" w:rsidRDefault="002029E1" w:rsidP="00925F26">
      <w:pPr>
        <w:jc w:val="both"/>
        <w:rPr>
          <w:color w:val="000000" w:themeColor="text1"/>
          <w:sz w:val="16"/>
          <w:szCs w:val="16"/>
        </w:rPr>
      </w:pPr>
    </w:p>
    <w:p w14:paraId="2D4DFD2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5 1945 In an attempt to stall for more time so that German forces could escape the oncoming Soviets, Generaladmiral Hans Georg von Freideburg is sent to Eisenhower's HQ near Reims. von Freideburg states that the unconditional surrender of German field forces is beyond his authority, and contacts Doenitz for further orders (1242).</w:t>
      </w:r>
    </w:p>
    <w:p w14:paraId="23F48806" w14:textId="77777777" w:rsidR="00665165" w:rsidRPr="00925F26" w:rsidRDefault="00665165" w:rsidP="00925F26">
      <w:pPr>
        <w:autoSpaceDE w:val="0"/>
        <w:autoSpaceDN w:val="0"/>
        <w:adjustRightInd w:val="0"/>
        <w:jc w:val="both"/>
        <w:rPr>
          <w:color w:val="000000" w:themeColor="text1"/>
          <w:sz w:val="16"/>
          <w:szCs w:val="16"/>
          <w:lang w:val="en-US"/>
        </w:rPr>
      </w:pPr>
    </w:p>
    <w:p w14:paraId="77130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немцы пытались сдаться союзникам (1242).</w:t>
      </w:r>
    </w:p>
    <w:p w14:paraId="3027B0B6" w14:textId="77777777" w:rsidR="00665165" w:rsidRPr="00925F26" w:rsidRDefault="00665165" w:rsidP="00925F26">
      <w:pPr>
        <w:autoSpaceDE w:val="0"/>
        <w:autoSpaceDN w:val="0"/>
        <w:adjustRightInd w:val="0"/>
        <w:jc w:val="both"/>
        <w:rPr>
          <w:color w:val="000000" w:themeColor="text1"/>
          <w:sz w:val="16"/>
          <w:szCs w:val="16"/>
        </w:rPr>
      </w:pPr>
    </w:p>
    <w:p w14:paraId="7DB30A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мая 1945 Нидерланды и Дания были освобождены из-под нацистского контроля (2100).</w:t>
      </w:r>
    </w:p>
    <w:p w14:paraId="58A904FC" w14:textId="77777777" w:rsidR="00665165" w:rsidRPr="00925F26" w:rsidRDefault="00665165" w:rsidP="00925F26">
      <w:pPr>
        <w:autoSpaceDE w:val="0"/>
        <w:autoSpaceDN w:val="0"/>
        <w:adjustRightInd w:val="0"/>
        <w:jc w:val="both"/>
        <w:rPr>
          <w:color w:val="000000" w:themeColor="text1"/>
          <w:sz w:val="16"/>
          <w:szCs w:val="16"/>
        </w:rPr>
      </w:pPr>
    </w:p>
    <w:p w14:paraId="67312D4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мая 1945 Голландия и Дания освобождены от фашистов (4962).</w:t>
      </w:r>
    </w:p>
    <w:p w14:paraId="64A2248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B6029EE"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ликвидировано прогерманское правительство Нидерландов во главе с А.А.Муссертом (14882).</w:t>
      </w:r>
    </w:p>
    <w:p w14:paraId="733575F6" w14:textId="77777777" w:rsidR="002029E1" w:rsidRPr="00925F26" w:rsidRDefault="002029E1" w:rsidP="00925F26">
      <w:pPr>
        <w:jc w:val="both"/>
        <w:rPr>
          <w:color w:val="000000" w:themeColor="text1"/>
          <w:sz w:val="16"/>
          <w:szCs w:val="16"/>
        </w:rPr>
      </w:pPr>
    </w:p>
    <w:p w14:paraId="64FB4A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апреля 1945 началось Пражское восстание, но наступление на Дрезден смогли начать только 5 апреля 1945 (2070,236).</w:t>
      </w:r>
    </w:p>
    <w:p w14:paraId="1770FAEE" w14:textId="77777777" w:rsidR="00665165" w:rsidRPr="00925F26" w:rsidRDefault="00665165" w:rsidP="00925F26">
      <w:pPr>
        <w:autoSpaceDE w:val="0"/>
        <w:autoSpaceDN w:val="0"/>
        <w:adjustRightInd w:val="0"/>
        <w:jc w:val="both"/>
        <w:rPr>
          <w:color w:val="000000" w:themeColor="text1"/>
          <w:sz w:val="16"/>
          <w:szCs w:val="16"/>
        </w:rPr>
      </w:pPr>
    </w:p>
    <w:p w14:paraId="6457443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мая 1945 атаками японских камикадзе у Окинавы потоплены 17 американских кораблей (4962).</w:t>
      </w:r>
    </w:p>
    <w:p w14:paraId="02E1D8D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C798EA" w14:textId="77777777" w:rsidR="008628F5" w:rsidRPr="00925F26" w:rsidRDefault="008628F5" w:rsidP="00925F26">
      <w:pPr>
        <w:jc w:val="both"/>
        <w:rPr>
          <w:color w:val="000000" w:themeColor="text1"/>
          <w:sz w:val="16"/>
          <w:szCs w:val="16"/>
        </w:rPr>
      </w:pPr>
      <w:r w:rsidRPr="00925F26">
        <w:rPr>
          <w:color w:val="000000" w:themeColor="text1"/>
          <w:sz w:val="16"/>
          <w:szCs w:val="16"/>
        </w:rPr>
        <w:t>5-6 мая 1945 британские авианосцы HMS Emperor, HMS Hunter, HMS Хедив и HMS Stalker завершили поддержку операции Дракула - бомбардировки японских войск к югу от Рангуне (20371).</w:t>
      </w:r>
    </w:p>
    <w:p w14:paraId="2C422A91" w14:textId="77777777" w:rsidR="008628F5" w:rsidRPr="00925F26" w:rsidRDefault="008628F5" w:rsidP="00925F26">
      <w:pPr>
        <w:jc w:val="both"/>
        <w:rPr>
          <w:color w:val="000000" w:themeColor="text1"/>
          <w:sz w:val="16"/>
          <w:szCs w:val="16"/>
        </w:rPr>
      </w:pPr>
    </w:p>
    <w:p w14:paraId="2D4778AF" w14:textId="77777777" w:rsidR="002029E1" w:rsidRPr="00925F26" w:rsidRDefault="002029E1" w:rsidP="00925F26">
      <w:pPr>
        <w:jc w:val="both"/>
        <w:rPr>
          <w:color w:val="000000" w:themeColor="text1"/>
          <w:sz w:val="16"/>
          <w:szCs w:val="16"/>
        </w:rPr>
      </w:pPr>
      <w:r w:rsidRPr="00925F26">
        <w:rPr>
          <w:color w:val="000000" w:themeColor="text1"/>
          <w:sz w:val="16"/>
          <w:szCs w:val="16"/>
        </w:rPr>
        <w:t>5 мая в 1945 году атаками японских камикадзе у Окинавы потопляются 17 американских кораблей (14882).</w:t>
      </w:r>
    </w:p>
    <w:p w14:paraId="29ED923E" w14:textId="77777777" w:rsidR="002029E1" w:rsidRPr="00925F26" w:rsidRDefault="002029E1" w:rsidP="00925F26">
      <w:pPr>
        <w:jc w:val="both"/>
        <w:rPr>
          <w:color w:val="000000" w:themeColor="text1"/>
          <w:sz w:val="16"/>
          <w:szCs w:val="16"/>
        </w:rPr>
      </w:pPr>
    </w:p>
    <w:p w14:paraId="1A1015A4" w14:textId="77777777" w:rsidR="002029E1" w:rsidRPr="00925F26" w:rsidRDefault="002029E1" w:rsidP="00925F26">
      <w:pPr>
        <w:jc w:val="both"/>
        <w:rPr>
          <w:color w:val="000000" w:themeColor="text1"/>
          <w:sz w:val="16"/>
          <w:szCs w:val="16"/>
        </w:rPr>
      </w:pPr>
      <w:r w:rsidRPr="00925F26">
        <w:rPr>
          <w:color w:val="000000" w:themeColor="text1"/>
          <w:sz w:val="16"/>
          <w:szCs w:val="16"/>
        </w:rPr>
        <w:t xml:space="preserve">5 мая в 1945 году (5-21 мая) VI съезд Государственно-национальной партии Китая в Чунцине. Чан </w:t>
      </w:r>
      <w:proofErr w:type="gramStart"/>
      <w:r w:rsidRPr="00925F26">
        <w:rPr>
          <w:color w:val="000000" w:themeColor="text1"/>
          <w:sz w:val="16"/>
          <w:szCs w:val="16"/>
        </w:rPr>
        <w:t>Кай-ши</w:t>
      </w:r>
      <w:proofErr w:type="gramEnd"/>
      <w:r w:rsidRPr="00925F26">
        <w:rPr>
          <w:color w:val="000000" w:themeColor="text1"/>
          <w:sz w:val="16"/>
          <w:szCs w:val="16"/>
        </w:rPr>
        <w:t xml:space="preserve"> отверг идею сотрудничества с Коммунистической партией Китая (14882).</w:t>
      </w:r>
    </w:p>
    <w:p w14:paraId="761AE222" w14:textId="77777777" w:rsidR="002029E1" w:rsidRPr="00925F26" w:rsidRDefault="002029E1" w:rsidP="00925F26">
      <w:pPr>
        <w:jc w:val="both"/>
        <w:rPr>
          <w:color w:val="000000" w:themeColor="text1"/>
          <w:sz w:val="16"/>
          <w:szCs w:val="16"/>
        </w:rPr>
      </w:pPr>
    </w:p>
    <w:p w14:paraId="00621CF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мая 1945 в штате Орегон японской бомбой на воздушном шаре убиты 6 штатских американцев (из десяти убитых за всю войну) (4962).</w:t>
      </w:r>
    </w:p>
    <w:p w14:paraId="4EFE689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FED3B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B0D6642" w14:textId="77777777" w:rsidR="00665165" w:rsidRPr="00925F26" w:rsidRDefault="00665165" w:rsidP="00925F26">
      <w:pPr>
        <w:autoSpaceDE w:val="0"/>
        <w:autoSpaceDN w:val="0"/>
        <w:adjustRightInd w:val="0"/>
        <w:jc w:val="both"/>
        <w:rPr>
          <w:iCs/>
          <w:color w:val="000000" w:themeColor="text1"/>
          <w:sz w:val="16"/>
          <w:szCs w:val="16"/>
        </w:rPr>
      </w:pPr>
    </w:p>
    <w:p w14:paraId="6C18A3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мая 1945 на Ил-8 № 1 устано</w:t>
      </w:r>
      <w:r w:rsidRPr="00925F26">
        <w:rPr>
          <w:color w:val="000000" w:themeColor="text1"/>
          <w:sz w:val="16"/>
          <w:szCs w:val="16"/>
        </w:rPr>
        <w:softHyphen/>
        <w:t>вили другой мотор АМ-42 (зав. № 45733) и 11 мая 1945 он завершил заводские испытания. В общей сложности было выполнено 68 полетов с налетом 34 ч 9 мин.</w:t>
      </w:r>
    </w:p>
    <w:p w14:paraId="084E07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полетном весе 7540 кг (1 000 кг бомб) самолет показал мак</w:t>
      </w:r>
      <w:r w:rsidRPr="00925F26">
        <w:rPr>
          <w:color w:val="000000" w:themeColor="text1"/>
          <w:sz w:val="16"/>
          <w:szCs w:val="16"/>
        </w:rPr>
        <w:softHyphen/>
        <w:t>симальную скорость 473 км/ч у зем</w:t>
      </w:r>
      <w:r w:rsidRPr="00925F26">
        <w:rPr>
          <w:color w:val="000000" w:themeColor="text1"/>
          <w:sz w:val="16"/>
          <w:szCs w:val="16"/>
        </w:rPr>
        <w:softHyphen/>
        <w:t>ли и 516 км/ч на высоте 2720 м. Время подъема на высоту 1000 м со</w:t>
      </w:r>
      <w:r w:rsidRPr="00925F26">
        <w:rPr>
          <w:color w:val="000000" w:themeColor="text1"/>
          <w:sz w:val="16"/>
          <w:szCs w:val="16"/>
        </w:rPr>
        <w:softHyphen/>
        <w:t>ставило 2,2 минут. Разбег на фор</w:t>
      </w:r>
      <w:r w:rsidRPr="00925F26">
        <w:rPr>
          <w:color w:val="000000" w:themeColor="text1"/>
          <w:sz w:val="16"/>
          <w:szCs w:val="16"/>
        </w:rPr>
        <w:softHyphen/>
        <w:t>саже и с отклоненными на 17° щит</w:t>
      </w:r>
      <w:r w:rsidRPr="00925F26">
        <w:rPr>
          <w:color w:val="000000" w:themeColor="text1"/>
          <w:sz w:val="16"/>
          <w:szCs w:val="16"/>
        </w:rPr>
        <w:softHyphen/>
        <w:t>ками равнялся 526 м. С предельно возможной заправкой горючим и маслом (полетный вес 7830 кг) даль</w:t>
      </w:r>
      <w:r w:rsidRPr="00925F26">
        <w:rPr>
          <w:color w:val="000000" w:themeColor="text1"/>
          <w:sz w:val="16"/>
          <w:szCs w:val="16"/>
        </w:rPr>
        <w:softHyphen/>
        <w:t>ность полета на высоте 680 м при скорости по прибору 297 км/ч дос</w:t>
      </w:r>
      <w:r w:rsidRPr="00925F26">
        <w:rPr>
          <w:color w:val="000000" w:themeColor="text1"/>
          <w:sz w:val="16"/>
          <w:szCs w:val="16"/>
        </w:rPr>
        <w:softHyphen/>
        <w:t>тигала 1270 км.</w:t>
      </w:r>
    </w:p>
    <w:p w14:paraId="348D95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Генерал В. К. Коккинаки дал хо</w:t>
      </w:r>
      <w:r w:rsidRPr="00925F26">
        <w:rPr>
          <w:color w:val="000000" w:themeColor="text1"/>
          <w:sz w:val="16"/>
          <w:szCs w:val="16"/>
        </w:rPr>
        <w:softHyphen/>
        <w:t>рошую оценку летным качествам са</w:t>
      </w:r>
      <w:r w:rsidRPr="00925F26">
        <w:rPr>
          <w:color w:val="000000" w:themeColor="text1"/>
          <w:sz w:val="16"/>
          <w:szCs w:val="16"/>
        </w:rPr>
        <w:softHyphen/>
        <w:t>молета, отметив простоту и легкость управления, а также устойчивость ма</w:t>
      </w:r>
      <w:r w:rsidRPr="00925F26">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925F26">
        <w:rPr>
          <w:color w:val="000000" w:themeColor="text1"/>
          <w:sz w:val="16"/>
          <w:szCs w:val="16"/>
        </w:rPr>
        <w:softHyphen/>
        <w:t>каких особенностей не имел. Посад</w:t>
      </w:r>
      <w:r w:rsidRPr="00925F26">
        <w:rPr>
          <w:color w:val="000000" w:themeColor="text1"/>
          <w:sz w:val="16"/>
          <w:szCs w:val="16"/>
        </w:rPr>
        <w:softHyphen/>
        <w:t>ка была простой, тенденций к свали</w:t>
      </w:r>
      <w:r w:rsidRPr="00925F26">
        <w:rPr>
          <w:color w:val="000000" w:themeColor="text1"/>
          <w:sz w:val="16"/>
          <w:szCs w:val="16"/>
        </w:rPr>
        <w:softHyphen/>
        <w:t>ванию при высоком выравнивании не наблюдалось. В качестве недостат</w:t>
      </w:r>
      <w:r w:rsidRPr="00925F26">
        <w:rPr>
          <w:color w:val="000000" w:themeColor="text1"/>
          <w:sz w:val="16"/>
          <w:szCs w:val="16"/>
        </w:rPr>
        <w:softHyphen/>
        <w:t>ков указывались отсутствие тримме</w:t>
      </w:r>
      <w:r w:rsidRPr="00925F26">
        <w:rPr>
          <w:color w:val="000000" w:themeColor="text1"/>
          <w:sz w:val="16"/>
          <w:szCs w:val="16"/>
        </w:rPr>
        <w:softHyphen/>
        <w:t>ра на элеронах и неравномерный обдув маслорадиатора.</w:t>
      </w:r>
    </w:p>
    <w:p w14:paraId="36AEC213" w14:textId="77777777" w:rsidR="00665165" w:rsidRPr="00925F26" w:rsidRDefault="00665165" w:rsidP="00925F26">
      <w:pPr>
        <w:shd w:val="clear" w:color="auto" w:fill="FFFFFF"/>
        <w:autoSpaceDE w:val="0"/>
        <w:autoSpaceDN w:val="0"/>
        <w:adjustRightInd w:val="0"/>
        <w:jc w:val="both"/>
        <w:rPr>
          <w:iCs/>
          <w:color w:val="000000" w:themeColor="text1"/>
          <w:sz w:val="16"/>
          <w:szCs w:val="16"/>
        </w:rPr>
      </w:pPr>
      <w:r w:rsidRPr="00925F26">
        <w:rPr>
          <w:color w:val="000000" w:themeColor="text1"/>
          <w:sz w:val="16"/>
          <w:szCs w:val="16"/>
        </w:rPr>
        <w:t xml:space="preserve">В заключение отчета Ил-8 № 1 рекомендовался </w:t>
      </w:r>
      <w:r w:rsidRPr="00925F26">
        <w:rPr>
          <w:iCs/>
          <w:color w:val="000000" w:themeColor="text1"/>
          <w:sz w:val="16"/>
          <w:szCs w:val="16"/>
        </w:rPr>
        <w:t>"к внедрению в се</w:t>
      </w:r>
      <w:r w:rsidRPr="00925F26">
        <w:rPr>
          <w:iCs/>
          <w:color w:val="000000" w:themeColor="text1"/>
          <w:sz w:val="16"/>
          <w:szCs w:val="16"/>
        </w:rPr>
        <w:softHyphen/>
        <w:t>рийное производство в качестве штурмовика-бомбардировщика " (11431).</w:t>
      </w:r>
    </w:p>
    <w:p w14:paraId="69581E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4A29EB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DB10465" w14:textId="77777777" w:rsidR="00665165" w:rsidRPr="00925F26" w:rsidRDefault="00665165" w:rsidP="00925F26">
      <w:pPr>
        <w:autoSpaceDE w:val="0"/>
        <w:autoSpaceDN w:val="0"/>
        <w:adjustRightInd w:val="0"/>
        <w:jc w:val="both"/>
        <w:rPr>
          <w:iCs/>
          <w:color w:val="000000" w:themeColor="text1"/>
          <w:sz w:val="16"/>
          <w:szCs w:val="16"/>
        </w:rPr>
      </w:pPr>
    </w:p>
    <w:p w14:paraId="2B0245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8424. О дополнительном выделении угля мельницам НКзага в Хабаровском крае. РГАНИР, Фонд ГКО, д. 412, лл. 2 (11012).</w:t>
      </w:r>
    </w:p>
    <w:p w14:paraId="1137AD0E" w14:textId="77777777" w:rsidR="00665165" w:rsidRPr="00925F26" w:rsidRDefault="00665165" w:rsidP="00925F26">
      <w:pPr>
        <w:autoSpaceDE w:val="0"/>
        <w:autoSpaceDN w:val="0"/>
        <w:adjustRightInd w:val="0"/>
        <w:jc w:val="both"/>
        <w:rPr>
          <w:color w:val="000000" w:themeColor="text1"/>
          <w:sz w:val="16"/>
          <w:szCs w:val="16"/>
        </w:rPr>
      </w:pPr>
    </w:p>
    <w:p w14:paraId="1FF6B6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8425. О дополнительных поставках в 1945 году стального марганцевого литья для электростанций Наркомата электростанций. РГАНИР, Фонд ГКО, д. 412, лл. 3-4 (11012).</w:t>
      </w:r>
    </w:p>
    <w:p w14:paraId="56B87A46" w14:textId="77777777" w:rsidR="00665165" w:rsidRPr="00925F26" w:rsidRDefault="00665165" w:rsidP="00925F26">
      <w:pPr>
        <w:autoSpaceDE w:val="0"/>
        <w:autoSpaceDN w:val="0"/>
        <w:adjustRightInd w:val="0"/>
        <w:jc w:val="both"/>
        <w:rPr>
          <w:color w:val="000000" w:themeColor="text1"/>
          <w:sz w:val="16"/>
          <w:szCs w:val="16"/>
        </w:rPr>
      </w:pPr>
    </w:p>
    <w:p w14:paraId="7E37AE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8426. О дополнительном выделении мазута для новосибирских электростанций НКЭС. РГАНИР, Фонд ГКО, д. 412, лл. 5 (11012).</w:t>
      </w:r>
    </w:p>
    <w:p w14:paraId="3934846D" w14:textId="77777777" w:rsidR="00665165" w:rsidRPr="00925F26" w:rsidRDefault="00665165" w:rsidP="00925F26">
      <w:pPr>
        <w:autoSpaceDE w:val="0"/>
        <w:autoSpaceDN w:val="0"/>
        <w:adjustRightInd w:val="0"/>
        <w:jc w:val="both"/>
        <w:rPr>
          <w:color w:val="000000" w:themeColor="text1"/>
          <w:sz w:val="16"/>
          <w:szCs w:val="16"/>
        </w:rPr>
      </w:pPr>
    </w:p>
    <w:p w14:paraId="2EC92D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8427. О лимите отпуска электроэнергии предприятиям НКБ по Новосибирской энергосистеме. РГАНИР, Фонд ГКО, д. 412, лл. 6 (11012).</w:t>
      </w:r>
    </w:p>
    <w:p w14:paraId="76DCC049" w14:textId="77777777" w:rsidR="00665165" w:rsidRPr="00925F26" w:rsidRDefault="00665165" w:rsidP="00925F26">
      <w:pPr>
        <w:autoSpaceDE w:val="0"/>
        <w:autoSpaceDN w:val="0"/>
        <w:adjustRightInd w:val="0"/>
        <w:jc w:val="both"/>
        <w:rPr>
          <w:color w:val="000000" w:themeColor="text1"/>
          <w:sz w:val="16"/>
          <w:szCs w:val="16"/>
        </w:rPr>
      </w:pPr>
    </w:p>
    <w:p w14:paraId="0DC9A96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8428 [О мерах по увеличению выработки электроэнергии по Московской и Харьковской энергосистемам.] (7336, 7).</w:t>
      </w:r>
    </w:p>
    <w:p w14:paraId="0C73C7A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0BE39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8429. О закреплении на постоянную работу отбывших наказание заключенных на Черниговском фанерном комбинате НКлеса. РГАНИР, Фонд ГКО, д. 412, лл. 8 (11012).</w:t>
      </w:r>
    </w:p>
    <w:p w14:paraId="2CB8ED3C" w14:textId="77777777" w:rsidR="00665165" w:rsidRPr="00925F26" w:rsidRDefault="00665165" w:rsidP="00925F26">
      <w:pPr>
        <w:autoSpaceDE w:val="0"/>
        <w:autoSpaceDN w:val="0"/>
        <w:adjustRightInd w:val="0"/>
        <w:jc w:val="both"/>
        <w:rPr>
          <w:color w:val="000000" w:themeColor="text1"/>
          <w:sz w:val="16"/>
          <w:szCs w:val="16"/>
        </w:rPr>
      </w:pPr>
    </w:p>
    <w:p w14:paraId="4D71E2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8430. О закреплении за строительным трестом "Курганстрой" 100 рабочих из числа военнообязанных, не годных к строевой службе. РГАНИР, Фонд ГКО, д. 412, лл. 9 (11012).</w:t>
      </w:r>
    </w:p>
    <w:p w14:paraId="2515A6D0" w14:textId="77777777" w:rsidR="00665165" w:rsidRPr="00925F26" w:rsidRDefault="00665165" w:rsidP="00925F26">
      <w:pPr>
        <w:autoSpaceDE w:val="0"/>
        <w:autoSpaceDN w:val="0"/>
        <w:adjustRightInd w:val="0"/>
        <w:jc w:val="both"/>
        <w:rPr>
          <w:color w:val="000000" w:themeColor="text1"/>
          <w:sz w:val="16"/>
          <w:szCs w:val="16"/>
        </w:rPr>
      </w:pPr>
    </w:p>
    <w:p w14:paraId="4AAD4E1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8431 [О закреплении за Ленинградским торговым портом 1000 красноармейцев.] (7336, 10).</w:t>
      </w:r>
    </w:p>
    <w:p w14:paraId="7599514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CFB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8432. О поставках мясных субпродуктов для строительств военно-морских баз в Прибалтике. РГАНИР, Фонд ГКО, д. 412, лл. 11 (11012).</w:t>
      </w:r>
    </w:p>
    <w:p w14:paraId="5C73165D" w14:textId="77777777" w:rsidR="00665165" w:rsidRPr="00925F26" w:rsidRDefault="00665165" w:rsidP="00925F26">
      <w:pPr>
        <w:autoSpaceDE w:val="0"/>
        <w:autoSpaceDN w:val="0"/>
        <w:adjustRightInd w:val="0"/>
        <w:jc w:val="both"/>
        <w:rPr>
          <w:color w:val="000000" w:themeColor="text1"/>
          <w:sz w:val="16"/>
          <w:szCs w:val="16"/>
        </w:rPr>
      </w:pPr>
    </w:p>
    <w:p w14:paraId="462DDB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8433 [О выделении 20 импортных автосамосвалов НКТП во II кв. 1945 г. для использования в жилищном строительстве.] (7336, 12).</w:t>
      </w:r>
    </w:p>
    <w:p w14:paraId="684414C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DE32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Распоряжение ГКО № 8434. О мерах по ускорению бурения газовых скважин, строительства компрессорных станций и подаче газа на сажевые заводы предприятиями НКНП в Азербайджанской ССР. РГАНИР, Фонд ГКО, д. 412, лл. 13-14 (11012).</w:t>
      </w:r>
    </w:p>
    <w:p w14:paraId="654D870D" w14:textId="77777777" w:rsidR="00665165" w:rsidRPr="00925F26" w:rsidRDefault="00665165" w:rsidP="00925F26">
      <w:pPr>
        <w:autoSpaceDE w:val="0"/>
        <w:autoSpaceDN w:val="0"/>
        <w:adjustRightInd w:val="0"/>
        <w:jc w:val="both"/>
        <w:rPr>
          <w:color w:val="000000" w:themeColor="text1"/>
          <w:sz w:val="16"/>
          <w:szCs w:val="16"/>
        </w:rPr>
      </w:pPr>
    </w:p>
    <w:p w14:paraId="6A42EA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8435 Об организации сельхозуправлений при начальниках тыла 1, 2, 3-го Белорусских и 1-го Украинского фронтов. РГАНИР, Фонд ГКО, д. 412, лл. 15-18 (11012).</w:t>
      </w:r>
    </w:p>
    <w:p w14:paraId="24260087" w14:textId="77777777" w:rsidR="00665165" w:rsidRPr="00925F26" w:rsidRDefault="00665165" w:rsidP="00925F26">
      <w:pPr>
        <w:autoSpaceDE w:val="0"/>
        <w:autoSpaceDN w:val="0"/>
        <w:adjustRightInd w:val="0"/>
        <w:jc w:val="both"/>
        <w:rPr>
          <w:color w:val="000000" w:themeColor="text1"/>
          <w:sz w:val="16"/>
          <w:szCs w:val="16"/>
        </w:rPr>
      </w:pPr>
    </w:p>
    <w:p w14:paraId="60EEE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8436 О строительстве Кутаисского автомобильного завода. РГАНИР, Фонд ГКО, д. 412, лл. 19-20 (11012).</w:t>
      </w:r>
    </w:p>
    <w:p w14:paraId="4966944F" w14:textId="77777777" w:rsidR="00665165" w:rsidRPr="00925F26" w:rsidRDefault="00665165" w:rsidP="00925F26">
      <w:pPr>
        <w:autoSpaceDE w:val="0"/>
        <w:autoSpaceDN w:val="0"/>
        <w:adjustRightInd w:val="0"/>
        <w:jc w:val="both"/>
        <w:rPr>
          <w:color w:val="000000" w:themeColor="text1"/>
          <w:sz w:val="16"/>
          <w:szCs w:val="16"/>
        </w:rPr>
      </w:pPr>
    </w:p>
    <w:p w14:paraId="7F5464E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8437 О капитальном восстановлении железнодорожных тоннелей через Карпаты. (7336, 21-25,26-27).</w:t>
      </w:r>
    </w:p>
    <w:p w14:paraId="63AEDED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6A77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8438 О плане выработки и распределения электроэнергии на май и июнь 1945 года по Азербайджанской и Северо-Кавказской энергоситемы. РГАНИР, Фонд ГКО, д. 412, лл. 28-29, 30-33 (11012).</w:t>
      </w:r>
    </w:p>
    <w:p w14:paraId="2252B7CA" w14:textId="77777777" w:rsidR="00665165" w:rsidRPr="00925F26" w:rsidRDefault="00665165" w:rsidP="00925F26">
      <w:pPr>
        <w:autoSpaceDE w:val="0"/>
        <w:autoSpaceDN w:val="0"/>
        <w:adjustRightInd w:val="0"/>
        <w:jc w:val="both"/>
        <w:rPr>
          <w:color w:val="000000" w:themeColor="text1"/>
          <w:sz w:val="16"/>
          <w:szCs w:val="16"/>
        </w:rPr>
      </w:pPr>
    </w:p>
    <w:p w14:paraId="5A618F2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8439 О мерах помощи строительству Богословского алюминиевого завода НКВД СССР и его ТЭЦ. (7336, 34-38,39-55).</w:t>
      </w:r>
    </w:p>
    <w:p w14:paraId="6BBCE18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82480C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8440 О мероприятиях по обеспечению металлургических и оборонных заводов ломом черных металлов во II квартале 1945 г. (7336, 56-71).</w:t>
      </w:r>
    </w:p>
    <w:p w14:paraId="3B6E68C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5B68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8441 О мероприятиях по обеспечению производства тяжелых танков ИС-3 на заводах Наркомтанкопрома. РГАНИР, Фонд ГКО, д. 412, лл. 72-79, 80-109 (11012).</w:t>
      </w:r>
    </w:p>
    <w:p w14:paraId="15DF5384" w14:textId="77777777" w:rsidR="00665165" w:rsidRPr="00925F26" w:rsidRDefault="00665165" w:rsidP="00925F26">
      <w:pPr>
        <w:autoSpaceDE w:val="0"/>
        <w:autoSpaceDN w:val="0"/>
        <w:adjustRightInd w:val="0"/>
        <w:jc w:val="both"/>
        <w:rPr>
          <w:color w:val="000000" w:themeColor="text1"/>
          <w:sz w:val="16"/>
          <w:szCs w:val="16"/>
        </w:rPr>
      </w:pPr>
    </w:p>
    <w:p w14:paraId="3393A12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8442 Об утверждении перечня гражданских судов, подлежащих передаче в состав Краснознаменной Амурской флотилии для военных нужд. (7336, 110,111-116).</w:t>
      </w:r>
    </w:p>
    <w:p w14:paraId="419A49D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70F43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8443 О мероприятиях по обеспечению ввода в действие в 1945 году объектов черной металлургии, осуществляемых Тагилстроем НКВД СССР. РГАНИР, Фонд ГКО, д. 412, лл. 117-121, 122-139 (11012).</w:t>
      </w:r>
    </w:p>
    <w:p w14:paraId="7F8E044C" w14:textId="77777777" w:rsidR="00665165" w:rsidRPr="00925F26" w:rsidRDefault="00665165" w:rsidP="00925F26">
      <w:pPr>
        <w:autoSpaceDE w:val="0"/>
        <w:autoSpaceDN w:val="0"/>
        <w:adjustRightInd w:val="0"/>
        <w:jc w:val="both"/>
        <w:rPr>
          <w:color w:val="000000" w:themeColor="text1"/>
          <w:sz w:val="16"/>
          <w:szCs w:val="16"/>
        </w:rPr>
      </w:pPr>
    </w:p>
    <w:p w14:paraId="0647DF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8444 О плане военного судостроения на II кв. 1945 года. РГАНИР, Фонд ГКО, д. 412, лл. 140-147, 148-169 (11012).</w:t>
      </w:r>
    </w:p>
    <w:p w14:paraId="0E4BAB96" w14:textId="77777777" w:rsidR="00665165" w:rsidRPr="00925F26" w:rsidRDefault="00665165" w:rsidP="00925F26">
      <w:pPr>
        <w:autoSpaceDE w:val="0"/>
        <w:autoSpaceDN w:val="0"/>
        <w:adjustRightInd w:val="0"/>
        <w:jc w:val="both"/>
        <w:rPr>
          <w:color w:val="000000" w:themeColor="text1"/>
          <w:sz w:val="16"/>
          <w:szCs w:val="16"/>
        </w:rPr>
      </w:pPr>
    </w:p>
    <w:p w14:paraId="0802421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8445 О плане подъема кораблей и судов во П квартале 1945 г. (7337, 1-5,6-24).</w:t>
      </w:r>
    </w:p>
    <w:p w14:paraId="59AECA8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19C1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8447 Об утверждении плана заказов Наркомвоенморфлота на 1945 год и II квартал 1945 года по трально-сетевому и штурманскому вооружению, морским артиллерийским приборам. судовому оборудованию и о мероприятиях по его обеспечению. РГАНИР, Фонд ГКО, д. 413 (11012).</w:t>
      </w:r>
    </w:p>
    <w:p w14:paraId="7C890F0A" w14:textId="77777777" w:rsidR="00665165" w:rsidRPr="00925F26" w:rsidRDefault="00665165" w:rsidP="00925F26">
      <w:pPr>
        <w:autoSpaceDE w:val="0"/>
        <w:autoSpaceDN w:val="0"/>
        <w:adjustRightInd w:val="0"/>
        <w:jc w:val="both"/>
        <w:rPr>
          <w:color w:val="000000" w:themeColor="text1"/>
          <w:sz w:val="16"/>
          <w:szCs w:val="16"/>
        </w:rPr>
      </w:pPr>
    </w:p>
    <w:p w14:paraId="3112F0A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EA77151" w14:textId="77777777" w:rsidR="00665165" w:rsidRPr="00925F26" w:rsidRDefault="00665165" w:rsidP="00925F26">
      <w:pPr>
        <w:autoSpaceDE w:val="0"/>
        <w:autoSpaceDN w:val="0"/>
        <w:adjustRightInd w:val="0"/>
        <w:jc w:val="both"/>
        <w:rPr>
          <w:iCs/>
          <w:color w:val="000000" w:themeColor="text1"/>
          <w:sz w:val="16"/>
          <w:szCs w:val="16"/>
        </w:rPr>
      </w:pPr>
    </w:p>
    <w:p w14:paraId="38B2F5CF" w14:textId="77777777" w:rsidR="002029E1" w:rsidRPr="00925F26" w:rsidRDefault="002029E1" w:rsidP="00925F26">
      <w:pPr>
        <w:jc w:val="both"/>
        <w:rPr>
          <w:color w:val="000000" w:themeColor="text1"/>
          <w:sz w:val="16"/>
          <w:szCs w:val="16"/>
        </w:rPr>
      </w:pPr>
      <w:r w:rsidRPr="00925F26">
        <w:rPr>
          <w:color w:val="000000" w:themeColor="text1"/>
          <w:sz w:val="16"/>
          <w:szCs w:val="16"/>
        </w:rPr>
        <w:t>6 мая в 1945 году оперативная сводка Совинформбюро:</w:t>
      </w:r>
    </w:p>
    <w:p w14:paraId="448CE7AE"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Белорусского фронта, продолжая наступление, форсировали пролив Штральзундерфарвассер, заняли на острове Рюген города Берген, Гарц, Путбус, Засснитц и 6 мая полностью овладели островом Рюген. В боях за 5 мая войска фронта взяли в плен 4.660 немецких солдат и офицеров и захватили 24 самолёта и 215 полевых орудий. В числе пленных начальник мобилизационного отдела Штеттинского военного округа контр-адмирал Хорстман.</w:t>
      </w:r>
    </w:p>
    <w:p w14:paraId="6CA0E41C"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1-го Белорусского фронта, продвигаясь вперёд северо-западнее и западнее города Бранденбург, заняли крупные населённые пункты Зандау, Вулькау, Клитц, Ферхель, Фиритц, Шлагентин, Плауе, Гросс-Вустервитц, Каде, Каров. За 5 мая войска фронта взяли в плен 17.120 немецких солдат и офицеров и захватили 119 самолётов и 235 полевых орудий.</w:t>
      </w:r>
    </w:p>
    <w:p w14:paraId="735C0792"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4-го Украинского фронта, наступая западнее и юго-западнее города Моравска Острава, с боями заняли города Бениш, Штернберг, Пржибор, Новый Йичин, Френштат, Валаш Межиричи, Голешов. В боях за 5 мая войска фронта взяли в плен белее 1.000 немецких солдат и офицеров.</w:t>
      </w:r>
    </w:p>
    <w:p w14:paraId="2C9B608E"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Украинского фронта северо-восточнее города Брно с боями заняли город Коетин и крупные населённые пункты Фриштан, Мартинице, Гулин. На других участках фронта существенных изменений не произошло.</w:t>
      </w:r>
    </w:p>
    <w:p w14:paraId="5FD3EC72" w14:textId="77777777" w:rsidR="002029E1" w:rsidRPr="00925F26" w:rsidRDefault="002029E1" w:rsidP="00925F26">
      <w:pPr>
        <w:jc w:val="both"/>
        <w:rPr>
          <w:color w:val="000000" w:themeColor="text1"/>
          <w:sz w:val="16"/>
          <w:szCs w:val="16"/>
        </w:rPr>
      </w:pPr>
      <w:r w:rsidRPr="00925F26">
        <w:rPr>
          <w:color w:val="000000" w:themeColor="text1"/>
          <w:sz w:val="16"/>
          <w:szCs w:val="16"/>
        </w:rPr>
        <w:t>Удары авиации Краснознамённого Балтийского флота по кораблям и транспортам противника</w:t>
      </w:r>
    </w:p>
    <w:p w14:paraId="6022A87B" w14:textId="77777777" w:rsidR="002029E1" w:rsidRPr="00925F26" w:rsidRDefault="002029E1" w:rsidP="00925F26">
      <w:pPr>
        <w:jc w:val="both"/>
        <w:rPr>
          <w:color w:val="000000" w:themeColor="text1"/>
          <w:sz w:val="16"/>
          <w:szCs w:val="16"/>
        </w:rPr>
      </w:pPr>
      <w:r w:rsidRPr="00925F26">
        <w:rPr>
          <w:color w:val="000000" w:themeColor="text1"/>
          <w:sz w:val="16"/>
          <w:szCs w:val="16"/>
        </w:rPr>
        <w:t>3 и 4 мая авиация Краснознамённого Балтийского флота нанесла удары по кораблям и транспортам немцев в Балтийском море севернее Свинемюнде. В результате этих ударов потоплены: учебный линкор «Шлезиен» водоизмещением в 13.600 тонн и 5 транспортов общим водоизмещением в 24.500 тонн.</w:t>
      </w:r>
    </w:p>
    <w:p w14:paraId="2CA65312" w14:textId="77777777" w:rsidR="002029E1" w:rsidRPr="00925F26" w:rsidRDefault="002029E1" w:rsidP="00925F26">
      <w:pPr>
        <w:jc w:val="both"/>
        <w:rPr>
          <w:color w:val="000000" w:themeColor="text1"/>
          <w:sz w:val="16"/>
          <w:szCs w:val="16"/>
        </w:rPr>
      </w:pPr>
      <w:r w:rsidRPr="00925F26">
        <w:rPr>
          <w:color w:val="000000" w:themeColor="text1"/>
          <w:sz w:val="16"/>
          <w:szCs w:val="16"/>
        </w:rPr>
        <w:t xml:space="preserve">Войска 2-го Белорусского фронта, овладевшие городом Штральзунд, в нескольких местах переправились через пролив Штральзундерфарвассер и завязали бои на острове Рюген. Немцы предприняли несколько контратак, пытаясь сбросить наши десантные части в пролив. Советские войска отбили вражеские контратаки, опрокинули гитлеровцев и развернули стремительное наступление. Продвинувшись вперёд на 20 километров, наши части штурмом заняли город Берген — важный узел железных и шоссейных дорог. Ожесточённые бои произошли также за город Засснитц. Используя удобную для обороны лесистую местность, немцы упорно сопротивлялись. Советские автоматчики лесами проникли в тыл противника и ворвались в </w:t>
      </w:r>
      <w:proofErr w:type="gramStart"/>
      <w:r w:rsidRPr="00925F26">
        <w:rPr>
          <w:color w:val="000000" w:themeColor="text1"/>
          <w:sz w:val="16"/>
          <w:szCs w:val="16"/>
        </w:rPr>
        <w:t>го-род</w:t>
      </w:r>
      <w:proofErr w:type="gramEnd"/>
      <w:r w:rsidRPr="00925F26">
        <w:rPr>
          <w:color w:val="000000" w:themeColor="text1"/>
          <w:sz w:val="16"/>
          <w:szCs w:val="16"/>
        </w:rPr>
        <w:t>. Вражеский гарнизон сложил оружие и сдался в плен. Сегодня во второй половине дня наши войска подавили отдельные очаги сопротивления гитлеровцев и полностью овладели островом Рюген. Среди захваченных трофеев 37 складов с вооружением, боеприпасами и различным военным имуществом.</w:t>
      </w:r>
    </w:p>
    <w:p w14:paraId="03CDB1F5" w14:textId="77777777" w:rsidR="002029E1" w:rsidRPr="00925F26" w:rsidRDefault="002029E1" w:rsidP="00925F26">
      <w:pPr>
        <w:jc w:val="both"/>
        <w:rPr>
          <w:color w:val="000000" w:themeColor="text1"/>
          <w:sz w:val="16"/>
          <w:szCs w:val="16"/>
        </w:rPr>
      </w:pPr>
      <w:r w:rsidRPr="00925F26">
        <w:rPr>
          <w:color w:val="000000" w:themeColor="text1"/>
          <w:sz w:val="16"/>
          <w:szCs w:val="16"/>
        </w:rPr>
        <w:t>Северо-западнее и западнее города Бранденбург войска 1-го Белорусского фронта продолжали продвигаться вперед. Пытаясь задержать наши войска у узлов дорог и населённых пунктов, отдельные группы гитлеровцев ведут беспорядочный огонь. Советские части быстро ликвидируют эти очаги сопротивления противника. Захвачено 14 самоходных орудий, склады боеприпасов и авиабомб и другие трофеи. На ряде участков наши войска вышли к реке Эльба.</w:t>
      </w:r>
    </w:p>
    <w:p w14:paraId="0530C45F" w14:textId="77777777" w:rsidR="002029E1" w:rsidRPr="00925F26" w:rsidRDefault="002029E1" w:rsidP="00925F26">
      <w:pPr>
        <w:jc w:val="both"/>
        <w:rPr>
          <w:color w:val="000000" w:themeColor="text1"/>
          <w:sz w:val="16"/>
          <w:szCs w:val="16"/>
        </w:rPr>
      </w:pPr>
      <w:r w:rsidRPr="00925F26">
        <w:rPr>
          <w:color w:val="000000" w:themeColor="text1"/>
          <w:sz w:val="16"/>
          <w:szCs w:val="16"/>
        </w:rPr>
        <w:t xml:space="preserve">Западнее и юго-западнее города Моравска Острава войска 4-го Украинского фронта продолжали наступление. Немцы сосредотачивают на высотах у дорог и на подступах к населённым пунктам артиллерию и пулеметы и под прикрытием сильного огня часто переходят в контратаки. Наши войска, пробираясь по склонам гор, наносят противнику непрерывные удары и вынуждают его оставлять одну позицию за другой. Продвинувшись вперёд на 20 километров, войска фронта сегодня овладели городом Бениш (Горны Бенешов). Другие наши части в результате обходного манёвра выбили немцев из города Штернберг и ведут бои на подступах к городу Оломоуц. На сторону Красной Армии перешли сапёрная рота 320 немецкой пехотной дивизии и рота 911 охранного батальона. На одном участке стрелковая рота лейтенанта Кулакова, преодолев горы, вышла </w:t>
      </w:r>
      <w:proofErr w:type="gramStart"/>
      <w:r w:rsidRPr="00925F26">
        <w:rPr>
          <w:color w:val="000000" w:themeColor="text1"/>
          <w:sz w:val="16"/>
          <w:szCs w:val="16"/>
        </w:rPr>
        <w:t>к долину</w:t>
      </w:r>
      <w:proofErr w:type="gramEnd"/>
      <w:r w:rsidRPr="00925F26">
        <w:rPr>
          <w:color w:val="000000" w:themeColor="text1"/>
          <w:sz w:val="16"/>
          <w:szCs w:val="16"/>
        </w:rPr>
        <w:t>, по которой отступали немцы. Советские бойцы внезапно атаковали врага и вынудили его сложить оружие. Захвачено 300 пленных и большой обоз с военным имуществом. В другом районе отделение сержанта Осадчего зашло в тыл немцам, укрепившимся на горе. В ожесточённой схватке с численно превосходящим противником наши бойцы уничтожили 35 гитлеровцев, а 18 немецких солдат взяли в плен.</w:t>
      </w:r>
    </w:p>
    <w:p w14:paraId="3AEA251D" w14:textId="77777777" w:rsidR="002029E1" w:rsidRPr="00925F26" w:rsidRDefault="002029E1" w:rsidP="00925F26">
      <w:pPr>
        <w:jc w:val="both"/>
        <w:rPr>
          <w:color w:val="000000" w:themeColor="text1"/>
          <w:sz w:val="16"/>
          <w:szCs w:val="16"/>
        </w:rPr>
      </w:pPr>
      <w:r w:rsidRPr="00925F26">
        <w:rPr>
          <w:color w:val="000000" w:themeColor="text1"/>
          <w:sz w:val="16"/>
          <w:szCs w:val="16"/>
        </w:rPr>
        <w:t>Войска 2-го Украинского фронта продолжали наступление. Отразив контратаки танков и пехоты противника, советские части с боями продвигались вперёд и заняли несколько населённых пунктов. После упорных боёв наши войска овладели городом Коетин—узлом четырёх железных дорог. В боях за город уничтожено до двух батальонов немецкой пехоты. Захвачены трофеи и пленные.»</w:t>
      </w:r>
    </w:p>
    <w:p w14:paraId="439E90A4" w14:textId="77777777" w:rsidR="002029E1" w:rsidRPr="00925F26" w:rsidRDefault="002029E1" w:rsidP="00925F26">
      <w:pPr>
        <w:jc w:val="both"/>
        <w:rPr>
          <w:color w:val="000000" w:themeColor="text1"/>
          <w:sz w:val="16"/>
          <w:szCs w:val="16"/>
        </w:rPr>
      </w:pPr>
    </w:p>
    <w:p w14:paraId="351FCBE1" w14:textId="77777777" w:rsidR="002029E1" w:rsidRPr="00925F26" w:rsidRDefault="002029E1" w:rsidP="00925F26">
      <w:pPr>
        <w:jc w:val="both"/>
        <w:rPr>
          <w:color w:val="000000" w:themeColor="text1"/>
          <w:sz w:val="16"/>
          <w:szCs w:val="16"/>
        </w:rPr>
      </w:pPr>
      <w:r w:rsidRPr="00925F26">
        <w:rPr>
          <w:color w:val="000000" w:themeColor="text1"/>
          <w:sz w:val="16"/>
          <w:szCs w:val="16"/>
        </w:rPr>
        <w:t>6 мая в 1945 году (6-11 мая) была проведена Пражская операция войск 1-го (И.С.Конев), 2-го (Р.Я.Малиновский) и 4-го (А.И.Еременко) Украинских фронтов – завершающая наступательная операция Великой Отечественной войны в Европе (14883).</w:t>
      </w:r>
    </w:p>
    <w:p w14:paraId="1FDD4A96" w14:textId="77777777" w:rsidR="002029E1" w:rsidRPr="00925F26" w:rsidRDefault="002029E1" w:rsidP="00925F26">
      <w:pPr>
        <w:jc w:val="both"/>
        <w:rPr>
          <w:color w:val="000000" w:themeColor="text1"/>
          <w:sz w:val="16"/>
          <w:szCs w:val="16"/>
        </w:rPr>
      </w:pPr>
    </w:p>
    <w:p w14:paraId="078319CA" w14:textId="77777777" w:rsidR="002029E1" w:rsidRPr="00925F26" w:rsidRDefault="002029E1" w:rsidP="00925F26">
      <w:pPr>
        <w:jc w:val="both"/>
        <w:rPr>
          <w:color w:val="000000" w:themeColor="text1"/>
          <w:sz w:val="16"/>
          <w:szCs w:val="16"/>
        </w:rPr>
      </w:pPr>
      <w:r w:rsidRPr="00925F26">
        <w:rPr>
          <w:color w:val="000000" w:themeColor="text1"/>
          <w:sz w:val="16"/>
          <w:szCs w:val="16"/>
        </w:rPr>
        <w:t>6 мая в 1945 году части 5-й советской гвардейской армии, наступающие на Дрезден с севера, натолкнулись на упорное сопротивление 3 немецких дивизий (20-й и ''Герман Геринг'' танковых, 2-й моторизованной) (14883).</w:t>
      </w:r>
    </w:p>
    <w:p w14:paraId="4B80FDD3" w14:textId="77777777" w:rsidR="002029E1" w:rsidRPr="00925F26" w:rsidRDefault="002029E1" w:rsidP="00925F26">
      <w:pPr>
        <w:jc w:val="both"/>
        <w:rPr>
          <w:color w:val="000000" w:themeColor="text1"/>
          <w:sz w:val="16"/>
          <w:szCs w:val="16"/>
        </w:rPr>
      </w:pPr>
    </w:p>
    <w:p w14:paraId="2E965E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6 по 11 мая 1945 была Пражская операция (2443,47) 1У, 2У, 4УФ (3398,173).</w:t>
      </w:r>
    </w:p>
    <w:p w14:paraId="59AB5601" w14:textId="77777777" w:rsidR="00665165" w:rsidRPr="00925F26" w:rsidRDefault="00665165" w:rsidP="00925F26">
      <w:pPr>
        <w:autoSpaceDE w:val="0"/>
        <w:autoSpaceDN w:val="0"/>
        <w:adjustRightInd w:val="0"/>
        <w:jc w:val="both"/>
        <w:rPr>
          <w:color w:val="000000" w:themeColor="text1"/>
          <w:sz w:val="16"/>
          <w:szCs w:val="16"/>
        </w:rPr>
      </w:pPr>
    </w:p>
    <w:p w14:paraId="1D0F558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советские войска начали Пражскую наступательную операцию (4962).</w:t>
      </w:r>
    </w:p>
    <w:p w14:paraId="70501A5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C0F6BB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Части 5-й советской гвардейской армии, наступающие на Дрезден с севера, натолкнулись на упорное сопротивление 3 немецких дивизий (20-й и ''Герман Геринг'' танковых, 2-й моторизованной) (</w:t>
      </w:r>
      <w:proofErr w:type="gramStart"/>
      <w:r w:rsidRPr="00925F26">
        <w:rPr>
          <w:color w:val="000000" w:themeColor="text1"/>
          <w:sz w:val="16"/>
          <w:szCs w:val="16"/>
        </w:rPr>
        <w:t>4963 )</w:t>
      </w:r>
      <w:proofErr w:type="gramEnd"/>
      <w:r w:rsidRPr="00925F26">
        <w:rPr>
          <w:color w:val="000000" w:themeColor="text1"/>
          <w:sz w:val="16"/>
          <w:szCs w:val="16"/>
        </w:rPr>
        <w:t>.</w:t>
      </w:r>
    </w:p>
    <w:p w14:paraId="06A381A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9B2A6E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прошла капитуляция немецкого города Бреслау командованию 6-й советской армии, в плен сдался 40-тысячный гарнизон под командованием генерала Никгофа (4963 ).</w:t>
      </w:r>
    </w:p>
    <w:p w14:paraId="65BA030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C13CB5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вышло Постановление ГКО № 8446 О мероприятиях по обеспечению строительства и работы воздушной трассы Красноярск - Уэлькаль и о дальнейшем развитии воздушных сообщений на Севере и в восточной части Советского Союза на 1945-1946 гг. (7337, 25-31,32-61).</w:t>
      </w:r>
    </w:p>
    <w:p w14:paraId="0E6D66C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0BEE4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2BFFBEB" w14:textId="77777777" w:rsidR="00665165" w:rsidRPr="00925F26" w:rsidRDefault="00665165" w:rsidP="00925F26">
      <w:pPr>
        <w:autoSpaceDE w:val="0"/>
        <w:autoSpaceDN w:val="0"/>
        <w:adjustRightInd w:val="0"/>
        <w:jc w:val="both"/>
        <w:rPr>
          <w:iCs/>
          <w:color w:val="000000" w:themeColor="text1"/>
          <w:sz w:val="16"/>
          <w:szCs w:val="16"/>
        </w:rPr>
      </w:pPr>
    </w:p>
    <w:p w14:paraId="7A304B12" w14:textId="77777777" w:rsidR="00666D77" w:rsidRPr="00925F26" w:rsidRDefault="00666D77" w:rsidP="00925F26">
      <w:pPr>
        <w:jc w:val="both"/>
        <w:rPr>
          <w:color w:val="000000" w:themeColor="text1"/>
          <w:sz w:val="16"/>
          <w:szCs w:val="16"/>
        </w:rPr>
      </w:pPr>
      <w:r w:rsidRPr="00925F26">
        <w:rPr>
          <w:color w:val="000000" w:themeColor="text1"/>
          <w:sz w:val="16"/>
          <w:szCs w:val="16"/>
        </w:rPr>
        <w:t>6 мая в 1945 году английские войска подошли к перевалу Бреннер на австрийско-итальянской границе (14883).</w:t>
      </w:r>
    </w:p>
    <w:p w14:paraId="29BCF68A" w14:textId="77777777" w:rsidR="00666D77" w:rsidRPr="00925F26" w:rsidRDefault="00666D77" w:rsidP="00925F26">
      <w:pPr>
        <w:jc w:val="both"/>
        <w:rPr>
          <w:color w:val="000000" w:themeColor="text1"/>
          <w:sz w:val="16"/>
          <w:szCs w:val="16"/>
        </w:rPr>
      </w:pPr>
    </w:p>
    <w:p w14:paraId="514ACF7E" w14:textId="77777777" w:rsidR="00666D77" w:rsidRPr="00925F26" w:rsidRDefault="00666D77" w:rsidP="00925F26">
      <w:pPr>
        <w:jc w:val="both"/>
        <w:rPr>
          <w:color w:val="000000" w:themeColor="text1"/>
          <w:sz w:val="16"/>
          <w:szCs w:val="16"/>
        </w:rPr>
      </w:pPr>
      <w:r w:rsidRPr="00925F26">
        <w:rPr>
          <w:color w:val="000000" w:themeColor="text1"/>
          <w:sz w:val="16"/>
          <w:szCs w:val="16"/>
        </w:rPr>
        <w:t>6 мая в 1945 году американские войска вступили в Линц (14883).</w:t>
      </w:r>
    </w:p>
    <w:p w14:paraId="3E06F9ED" w14:textId="77777777" w:rsidR="00666D77" w:rsidRPr="00925F26" w:rsidRDefault="00666D77" w:rsidP="00925F26">
      <w:pPr>
        <w:jc w:val="both"/>
        <w:rPr>
          <w:color w:val="000000" w:themeColor="text1"/>
          <w:sz w:val="16"/>
          <w:szCs w:val="16"/>
        </w:rPr>
      </w:pPr>
    </w:p>
    <w:p w14:paraId="2CAEDB2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американские войска взяли Пльзень (Чехия) (4962).</w:t>
      </w:r>
    </w:p>
    <w:p w14:paraId="4B1B44A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024DB48" w14:textId="77777777" w:rsidR="00666D77" w:rsidRPr="00925F26" w:rsidRDefault="00666D77" w:rsidP="00925F26">
      <w:pPr>
        <w:jc w:val="both"/>
        <w:rPr>
          <w:color w:val="000000" w:themeColor="text1"/>
          <w:sz w:val="16"/>
          <w:szCs w:val="16"/>
        </w:rPr>
      </w:pPr>
      <w:r w:rsidRPr="00925F26">
        <w:rPr>
          <w:color w:val="000000" w:themeColor="text1"/>
          <w:sz w:val="16"/>
          <w:szCs w:val="16"/>
        </w:rPr>
        <w:t>6 мая в 1945 году приостановлено продвижение американских войск в Чехословакии (14883).</w:t>
      </w:r>
    </w:p>
    <w:p w14:paraId="50FD5097" w14:textId="77777777" w:rsidR="00666D77" w:rsidRPr="00925F26" w:rsidRDefault="00666D77" w:rsidP="00925F26">
      <w:pPr>
        <w:jc w:val="both"/>
        <w:rPr>
          <w:color w:val="000000" w:themeColor="text1"/>
          <w:sz w:val="16"/>
          <w:szCs w:val="16"/>
        </w:rPr>
      </w:pPr>
    </w:p>
    <w:p w14:paraId="21099F6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мая 1945 глава правительства Германии адмирал К. Дениц уволил Г. Гиммлера со всех его постов (4962).</w:t>
      </w:r>
    </w:p>
    <w:p w14:paraId="0933FCA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A70067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May 06 1945 Generaloberst Jodl arrives at Eisenhower's HQ and attempts to prolong negotiations. Eisenhower states that he will seal the </w:t>
      </w:r>
      <w:proofErr w:type="gramStart"/>
      <w:r w:rsidRPr="00925F26">
        <w:rPr>
          <w:color w:val="000000" w:themeColor="text1"/>
          <w:sz w:val="16"/>
          <w:szCs w:val="16"/>
          <w:lang w:val="en-US"/>
        </w:rPr>
        <w:t>western front</w:t>
      </w:r>
      <w:proofErr w:type="gramEnd"/>
      <w:r w:rsidRPr="00925F26">
        <w:rPr>
          <w:color w:val="000000" w:themeColor="text1"/>
          <w:sz w:val="16"/>
          <w:szCs w:val="16"/>
          <w:lang w:val="en-US"/>
        </w:rPr>
        <w:t xml:space="preserve"> if Germany does not rapidly capitulate (1242).</w:t>
      </w:r>
    </w:p>
    <w:p w14:paraId="26B4790B" w14:textId="77777777" w:rsidR="00665165" w:rsidRPr="00925F26" w:rsidRDefault="00665165" w:rsidP="00925F26">
      <w:pPr>
        <w:autoSpaceDE w:val="0"/>
        <w:autoSpaceDN w:val="0"/>
        <w:adjustRightInd w:val="0"/>
        <w:jc w:val="both"/>
        <w:rPr>
          <w:color w:val="000000" w:themeColor="text1"/>
          <w:sz w:val="16"/>
          <w:szCs w:val="16"/>
          <w:lang w:val="en-US"/>
        </w:rPr>
      </w:pPr>
    </w:p>
    <w:p w14:paraId="749459DC"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rPr>
        <w:t>6 мая 1945 Йодль прибыл в штаб Эйзенхауэра и попытался продолжить переговоры. Эйзенхауэротказался</w:t>
      </w:r>
      <w:r w:rsidRPr="00925F26">
        <w:rPr>
          <w:color w:val="000000" w:themeColor="text1"/>
          <w:sz w:val="16"/>
          <w:szCs w:val="16"/>
          <w:lang w:val="en-US"/>
        </w:rPr>
        <w:t xml:space="preserve"> (1242).</w:t>
      </w:r>
    </w:p>
    <w:p w14:paraId="7A4835F8" w14:textId="77777777" w:rsidR="00665165" w:rsidRPr="00925F26" w:rsidRDefault="00665165" w:rsidP="00925F26">
      <w:pPr>
        <w:autoSpaceDE w:val="0"/>
        <w:autoSpaceDN w:val="0"/>
        <w:adjustRightInd w:val="0"/>
        <w:jc w:val="both"/>
        <w:rPr>
          <w:color w:val="000000" w:themeColor="text1"/>
          <w:sz w:val="16"/>
          <w:szCs w:val="16"/>
          <w:lang w:val="en-US"/>
        </w:rPr>
      </w:pPr>
    </w:p>
    <w:p w14:paraId="3F4B5E6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6th, 1945: The US Third Army (Patton) occupies Pilsen in Bohemia and halts all further advances. After an 82-day siege, the remaining defenders of Breslau finally surrender to Soviet forces (3819).</w:t>
      </w:r>
    </w:p>
    <w:p w14:paraId="4971AA9A" w14:textId="77777777" w:rsidR="00665165" w:rsidRPr="00925F26" w:rsidRDefault="00665165" w:rsidP="00925F26">
      <w:pPr>
        <w:autoSpaceDE w:val="0"/>
        <w:autoSpaceDN w:val="0"/>
        <w:adjustRightInd w:val="0"/>
        <w:jc w:val="both"/>
        <w:rPr>
          <w:color w:val="000000" w:themeColor="text1"/>
          <w:sz w:val="16"/>
          <w:szCs w:val="16"/>
          <w:lang w:val="en-US"/>
        </w:rPr>
      </w:pPr>
    </w:p>
    <w:p w14:paraId="28AAA2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мая 1945 3А США (Паттон) заняла Пльзень в Богемии и остановила наступление. Бреслау сдался после 82-дневной осады (3819).</w:t>
      </w:r>
    </w:p>
    <w:p w14:paraId="351E3B1A" w14:textId="77777777" w:rsidR="00665165" w:rsidRPr="00925F26" w:rsidRDefault="00665165" w:rsidP="00925F26">
      <w:pPr>
        <w:autoSpaceDE w:val="0"/>
        <w:autoSpaceDN w:val="0"/>
        <w:adjustRightInd w:val="0"/>
        <w:jc w:val="both"/>
        <w:rPr>
          <w:color w:val="000000" w:themeColor="text1"/>
          <w:sz w:val="16"/>
          <w:szCs w:val="16"/>
        </w:rPr>
      </w:pPr>
    </w:p>
    <w:p w14:paraId="63CE187A" w14:textId="77777777" w:rsidR="00666D77" w:rsidRPr="00925F26" w:rsidRDefault="00666D77" w:rsidP="00925F26">
      <w:pPr>
        <w:jc w:val="both"/>
        <w:rPr>
          <w:color w:val="000000" w:themeColor="text1"/>
          <w:sz w:val="16"/>
          <w:szCs w:val="16"/>
        </w:rPr>
      </w:pPr>
      <w:r w:rsidRPr="00925F26">
        <w:rPr>
          <w:color w:val="000000" w:themeColor="text1"/>
          <w:sz w:val="16"/>
          <w:szCs w:val="16"/>
        </w:rPr>
        <w:t>6 мая в 1945 году в Польше принят закон об удалении из польского общества враждебных элементов (под этим понятием объединялись в основном польские немцы) (14883).</w:t>
      </w:r>
    </w:p>
    <w:p w14:paraId="748DFDD3" w14:textId="77777777" w:rsidR="00666D77" w:rsidRPr="00925F26" w:rsidRDefault="00666D77" w:rsidP="00925F26">
      <w:pPr>
        <w:jc w:val="both"/>
        <w:rPr>
          <w:color w:val="000000" w:themeColor="text1"/>
          <w:sz w:val="16"/>
          <w:szCs w:val="16"/>
        </w:rPr>
      </w:pPr>
    </w:p>
    <w:p w14:paraId="064F6B03" w14:textId="77777777" w:rsidR="00666D77" w:rsidRPr="00925F26" w:rsidRDefault="00666D77" w:rsidP="00925F26">
      <w:pPr>
        <w:jc w:val="both"/>
        <w:rPr>
          <w:color w:val="000000" w:themeColor="text1"/>
          <w:sz w:val="16"/>
          <w:szCs w:val="16"/>
        </w:rPr>
      </w:pPr>
      <w:r w:rsidRPr="00925F26">
        <w:rPr>
          <w:color w:val="000000" w:themeColor="text1"/>
          <w:sz w:val="16"/>
          <w:szCs w:val="16"/>
        </w:rPr>
        <w:t>6 мая в 1945 году (6-18 мая) китайские войска атаковали японские позиции в Фучжоу и после ожесточенных боев овладели городом (14883).</w:t>
      </w:r>
    </w:p>
    <w:p w14:paraId="2FC9002C" w14:textId="77777777" w:rsidR="00666D77" w:rsidRPr="00925F26" w:rsidRDefault="00666D77" w:rsidP="00925F26">
      <w:pPr>
        <w:jc w:val="both"/>
        <w:rPr>
          <w:color w:val="000000" w:themeColor="text1"/>
          <w:sz w:val="16"/>
          <w:szCs w:val="16"/>
        </w:rPr>
      </w:pPr>
    </w:p>
    <w:p w14:paraId="4D1866A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C273098" w14:textId="77777777" w:rsidR="00665165" w:rsidRPr="00925F26" w:rsidRDefault="00665165" w:rsidP="00925F26">
      <w:pPr>
        <w:autoSpaceDE w:val="0"/>
        <w:autoSpaceDN w:val="0"/>
        <w:adjustRightInd w:val="0"/>
        <w:jc w:val="both"/>
        <w:rPr>
          <w:iCs/>
          <w:color w:val="000000" w:themeColor="text1"/>
          <w:sz w:val="16"/>
          <w:szCs w:val="16"/>
        </w:rPr>
      </w:pPr>
    </w:p>
    <w:p w14:paraId="46801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мая 1945 В.М.М. предложил взять В-29 за основу будущего советского дальнего бомбардировщика. При этом считал, что следует взять АШ-72, а пулеметы заменить пушками Б-20. Предлагал выполнить всю работу на заводе 22 с привлечением КБ Незваля (7525, 3).</w:t>
      </w:r>
    </w:p>
    <w:p w14:paraId="3A129E82" w14:textId="77777777" w:rsidR="00665165" w:rsidRPr="00925F26" w:rsidRDefault="00665165" w:rsidP="00925F26">
      <w:pPr>
        <w:autoSpaceDE w:val="0"/>
        <w:autoSpaceDN w:val="0"/>
        <w:adjustRightInd w:val="0"/>
        <w:jc w:val="both"/>
        <w:rPr>
          <w:color w:val="000000" w:themeColor="text1"/>
          <w:sz w:val="16"/>
          <w:szCs w:val="16"/>
        </w:rPr>
      </w:pPr>
    </w:p>
    <w:p w14:paraId="2A6C9902" w14:textId="77777777" w:rsidR="006D22CF" w:rsidRPr="001A0BAA" w:rsidRDefault="006D22CF" w:rsidP="006D22CF">
      <w:pPr>
        <w:jc w:val="both"/>
        <w:rPr>
          <w:color w:val="0070C0"/>
          <w:sz w:val="16"/>
          <w:szCs w:val="16"/>
        </w:rPr>
      </w:pPr>
      <w:r w:rsidRPr="001A0BAA">
        <w:rPr>
          <w:color w:val="0070C0"/>
          <w:sz w:val="16"/>
          <w:szCs w:val="16"/>
        </w:rPr>
        <w:t>В начале мая 1945 года В.М. Мясищев предложил взять за основу будущего советского дальнего бомбардировщика американский В-29. При этом он считал, что на эту машину необходимо установить отечественные двигатели АШ-72, а пулеметы заменить пушками Б-20. Всю эту работу он предлагал начать на заводе № 22 с участием КБ И.Ф. Незваля.</w:t>
      </w:r>
    </w:p>
    <w:p w14:paraId="23369BCC" w14:textId="77777777" w:rsidR="006D22CF" w:rsidRPr="001A0BAA" w:rsidRDefault="006D22CF" w:rsidP="006D22CF">
      <w:pPr>
        <w:jc w:val="both"/>
        <w:rPr>
          <w:color w:val="0070C0"/>
          <w:sz w:val="16"/>
          <w:szCs w:val="16"/>
        </w:rPr>
      </w:pPr>
      <w:r w:rsidRPr="001A0BAA">
        <w:rPr>
          <w:color w:val="0070C0"/>
          <w:sz w:val="16"/>
          <w:szCs w:val="16"/>
        </w:rPr>
        <w:t>НКАП предложение принял. В том же месяце появился приказ № 263 о создании само</w:t>
      </w:r>
      <w:r w:rsidRPr="001A0BAA">
        <w:rPr>
          <w:color w:val="0070C0"/>
          <w:sz w:val="16"/>
          <w:szCs w:val="16"/>
        </w:rPr>
        <w:softHyphen/>
        <w:t>лета Б-4 (изделие «Р») (24991).</w:t>
      </w:r>
    </w:p>
    <w:p w14:paraId="0103B230" w14:textId="77777777" w:rsidR="006D22CF" w:rsidRPr="001A0BAA" w:rsidRDefault="006D22CF" w:rsidP="006D22CF">
      <w:pPr>
        <w:jc w:val="both"/>
        <w:rPr>
          <w:color w:val="0070C0"/>
          <w:sz w:val="16"/>
          <w:szCs w:val="16"/>
        </w:rPr>
      </w:pPr>
    </w:p>
    <w:p w14:paraId="05D77D16" w14:textId="77777777" w:rsidR="006D22CF" w:rsidRPr="001A0BAA" w:rsidRDefault="006D22CF" w:rsidP="006D22CF">
      <w:pPr>
        <w:jc w:val="both"/>
        <w:rPr>
          <w:color w:val="0070C0"/>
          <w:sz w:val="16"/>
          <w:szCs w:val="16"/>
        </w:rPr>
      </w:pPr>
      <w:r w:rsidRPr="001A0BAA">
        <w:rPr>
          <w:color w:val="0070C0"/>
          <w:sz w:val="16"/>
          <w:szCs w:val="16"/>
        </w:rPr>
        <w:t>В начале мая 1945 г. В. М. Мясищев представил руководству эскизный проект копии В-29. Он предложил американские двигатели заменить на АШ-72, а 12,7-мм пулемёты – на 20-мм пушки Б-20. Производство опытных и серийных машин, по мнению Мясищева, следовало вести на заводе № 22 (25184).</w:t>
      </w:r>
    </w:p>
    <w:p w14:paraId="36E65776" w14:textId="77777777" w:rsidR="006D22CF" w:rsidRPr="001A0BAA" w:rsidRDefault="006D22CF" w:rsidP="006D22CF">
      <w:pPr>
        <w:jc w:val="both"/>
        <w:rPr>
          <w:color w:val="0070C0"/>
          <w:sz w:val="16"/>
          <w:szCs w:val="16"/>
        </w:rPr>
      </w:pPr>
    </w:p>
    <w:p w14:paraId="7757C6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мая 1945 группа наших ракетчиков из ГУВ КГЧ КА и НКАП (Ю.А.Победоносцев, Г.Н.Абрамович) под руководством А.И.Соколова ездила смотреть Пенемюнде на о. Узедом. Практически все было разрушено английской бомбардировкой и персонал Брауна после этого перебрался в Нордхаузен. Нашли части Вассерфаль, Шметтерлинг и собрали два макета ФАУ-2 без некоторых деталей (1142).</w:t>
      </w:r>
    </w:p>
    <w:p w14:paraId="7D795848" w14:textId="77777777" w:rsidR="00665165" w:rsidRPr="00925F26" w:rsidRDefault="00665165" w:rsidP="00925F26">
      <w:pPr>
        <w:autoSpaceDE w:val="0"/>
        <w:autoSpaceDN w:val="0"/>
        <w:adjustRightInd w:val="0"/>
        <w:jc w:val="both"/>
        <w:rPr>
          <w:color w:val="000000" w:themeColor="text1"/>
          <w:sz w:val="16"/>
          <w:szCs w:val="16"/>
        </w:rPr>
      </w:pPr>
    </w:p>
    <w:p w14:paraId="333CBE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мая 1945 в самый разгар битвы за Берлин вышло постановление СНК СССР и приказ наркома авиапромышленности СССР № 180сс об организа</w:t>
      </w:r>
      <w:r w:rsidRPr="00925F26">
        <w:rPr>
          <w:color w:val="000000" w:themeColor="text1"/>
          <w:sz w:val="16"/>
          <w:szCs w:val="16"/>
        </w:rPr>
        <w:softHyphen/>
        <w:t>ции выпуска малой серии двигателей ЮМО-004 под обозначением РД-10 на заводе № 26. В соответствии с приказом поручалось:</w:t>
      </w:r>
    </w:p>
    <w:p w14:paraId="3C74DB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Директору завода тов.Баландину и главному конструктору тов. Климову не позднее 1 июля 1945 г. изготовить детальные черте</w:t>
      </w:r>
      <w:r w:rsidRPr="00925F26">
        <w:rPr>
          <w:color w:val="000000" w:themeColor="text1"/>
          <w:sz w:val="16"/>
          <w:szCs w:val="16"/>
        </w:rPr>
        <w:softHyphen/>
        <w:t>жи, проработать монтажные допуска и зазоры с имеющегося в НИИ-1 двигателя ЮМО-004 на детали и агрегаты.</w:t>
      </w:r>
    </w:p>
    <w:p w14:paraId="6A06EC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Возложить непосредственное руководство по изготовлению технической документации и выпуску опытной серии двигателей РД-10 на главного конструктора завода № 26 тов. Климова, разре</w:t>
      </w:r>
      <w:r w:rsidRPr="00925F26">
        <w:rPr>
          <w:color w:val="000000" w:themeColor="text1"/>
          <w:sz w:val="16"/>
          <w:szCs w:val="16"/>
        </w:rPr>
        <w:softHyphen/>
        <w:t>шив ему иметь заместителя по этой работе».</w:t>
      </w:r>
    </w:p>
    <w:p w14:paraId="2698E7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этому приказу завод должен уже в сентябре выпустить 15 дви</w:t>
      </w:r>
      <w:r w:rsidRPr="00925F26">
        <w:rPr>
          <w:color w:val="000000" w:themeColor="text1"/>
          <w:sz w:val="16"/>
          <w:szCs w:val="16"/>
        </w:rPr>
        <w:softHyphen/>
        <w:t>гателей. Забегая вперед, следует сказать, что этот приказ был выпол</w:t>
      </w:r>
      <w:r w:rsidRPr="00925F26">
        <w:rPr>
          <w:color w:val="000000" w:themeColor="text1"/>
          <w:sz w:val="16"/>
          <w:szCs w:val="16"/>
        </w:rPr>
        <w:softHyphen/>
        <w:t>нен: 30 сентября завод выпустил первые РД-10, правда, используя появившиеся к тому времени в достаточном количестве немецкие детали, узлы и агрегаты. Аналогичным приказом № 247сс от 13 ию</w:t>
      </w:r>
      <w:r w:rsidRPr="00925F26">
        <w:rPr>
          <w:color w:val="000000" w:themeColor="text1"/>
          <w:sz w:val="16"/>
          <w:szCs w:val="16"/>
        </w:rPr>
        <w:softHyphen/>
        <w:t>ня 1945 г. заводу № 16 поручалось освоить производство реактив</w:t>
      </w:r>
      <w:r w:rsidRPr="00925F26">
        <w:rPr>
          <w:color w:val="000000" w:themeColor="text1"/>
          <w:sz w:val="16"/>
          <w:szCs w:val="16"/>
        </w:rPr>
        <w:softHyphen/>
        <w:t>ных двигателей РД-20 (по типу БМВ-003) (10781).</w:t>
      </w:r>
    </w:p>
    <w:p w14:paraId="53079D09" w14:textId="77777777" w:rsidR="00665165" w:rsidRPr="00925F26" w:rsidRDefault="00665165" w:rsidP="00925F26">
      <w:pPr>
        <w:autoSpaceDE w:val="0"/>
        <w:autoSpaceDN w:val="0"/>
        <w:adjustRightInd w:val="0"/>
        <w:jc w:val="both"/>
        <w:rPr>
          <w:color w:val="000000" w:themeColor="text1"/>
          <w:sz w:val="16"/>
          <w:szCs w:val="16"/>
        </w:rPr>
      </w:pPr>
    </w:p>
    <w:p w14:paraId="662045D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F247F07" w14:textId="77777777" w:rsidR="00665165" w:rsidRPr="00925F26" w:rsidRDefault="00665165" w:rsidP="00925F26">
      <w:pPr>
        <w:autoSpaceDE w:val="0"/>
        <w:autoSpaceDN w:val="0"/>
        <w:adjustRightInd w:val="0"/>
        <w:jc w:val="both"/>
        <w:rPr>
          <w:iCs/>
          <w:color w:val="000000" w:themeColor="text1"/>
          <w:sz w:val="16"/>
          <w:szCs w:val="16"/>
        </w:rPr>
      </w:pPr>
    </w:p>
    <w:p w14:paraId="362A30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мая 1945 года немецкие гарнизоны в районе Канала капитулировали и батарея "Мирус", вооруженная русскими 12/52-дюймовыми башнями, снятыми французами в Бизерте с линкора "Генерал Алексеев" (бывший "Император Александр III") и потом захваченными немцами невредимой, была сдана англичанам (3861).</w:t>
      </w:r>
    </w:p>
    <w:p w14:paraId="0B990296" w14:textId="77777777" w:rsidR="00665165" w:rsidRPr="00925F26" w:rsidRDefault="00665165" w:rsidP="00925F26">
      <w:pPr>
        <w:autoSpaceDE w:val="0"/>
        <w:autoSpaceDN w:val="0"/>
        <w:adjustRightInd w:val="0"/>
        <w:jc w:val="both"/>
        <w:rPr>
          <w:color w:val="000000" w:themeColor="text1"/>
          <w:sz w:val="16"/>
          <w:szCs w:val="16"/>
        </w:rPr>
      </w:pPr>
    </w:p>
    <w:p w14:paraId="0804E3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начале мая 1945 г. в Германию для изучения немецкого «атомного на</w:t>
      </w:r>
      <w:r w:rsidRPr="00925F26">
        <w:rPr>
          <w:color w:val="000000" w:themeColor="text1"/>
          <w:sz w:val="16"/>
          <w:szCs w:val="16"/>
        </w:rPr>
        <w:softHyphen/>
        <w:t>следства» прибыла специальная правительственная комиссия из Москвы в количестве 15 чел. во главе с зам. наркома внутренних дел СССР гене</w:t>
      </w:r>
      <w:r w:rsidRPr="00925F26">
        <w:rPr>
          <w:color w:val="000000" w:themeColor="text1"/>
          <w:sz w:val="16"/>
          <w:szCs w:val="16"/>
        </w:rPr>
        <w:softHyphen/>
        <w:t>рал-лейтенантом А.П. Завенягиным и зам. Л.П. Берии по ГКО В.А. Махневым (В августе 1945 г. А.П. Завенягин был назначен первым зам. начальника Первого главного управления (ПГУ) при СНК СССР. В.А. Махнев был назначен членом Специального комите</w:t>
      </w:r>
      <w:r w:rsidRPr="00925F26">
        <w:rPr>
          <w:color w:val="000000" w:themeColor="text1"/>
          <w:sz w:val="16"/>
          <w:szCs w:val="16"/>
        </w:rPr>
        <w:softHyphen/>
        <w:t>та при ГКО, который руководил деятельностью ПГУ и членом Технического совета при Спе</w:t>
      </w:r>
      <w:r w:rsidRPr="00925F26">
        <w:rPr>
          <w:color w:val="000000" w:themeColor="text1"/>
          <w:sz w:val="16"/>
          <w:szCs w:val="16"/>
        </w:rPr>
        <w:softHyphen/>
        <w:t>циальном комитете. По этому вопросу см.: Постановление ГКО СССР № 9887сс/оп от 20 ав</w:t>
      </w:r>
      <w:r w:rsidRPr="00925F26">
        <w:rPr>
          <w:color w:val="000000" w:themeColor="text1"/>
          <w:sz w:val="16"/>
          <w:szCs w:val="16"/>
        </w:rPr>
        <w:softHyphen/>
        <w:t>густа 1945 г. о создании Специального комитета при ГКО и Первого главного управления при СНК СССР для руководства всеми работами по использованию внутриатомной энергии. РГАСПИ. Ф. 644. Оп. 2. Д. 458. Л. 27-30.). В составе комиссии были известные советские физики Л.А. Арцимо-вич, В.В. Гончаров, И.К. Кикоин, Л.М. Неменов, Ю.Б. Харитон, Г.Н. Флеров, В.М. Шевченко и др. Основной задачей комиссии было обследование не</w:t>
      </w:r>
      <w:r w:rsidRPr="00925F26">
        <w:rPr>
          <w:color w:val="000000" w:themeColor="text1"/>
          <w:sz w:val="16"/>
          <w:szCs w:val="16"/>
        </w:rPr>
        <w:softHyphen/>
        <w:t>мецких научных учреждений, связанных с атомными исследованиями, вы</w:t>
      </w:r>
      <w:r w:rsidRPr="00925F26">
        <w:rPr>
          <w:color w:val="000000" w:themeColor="text1"/>
          <w:sz w:val="16"/>
          <w:szCs w:val="16"/>
        </w:rPr>
        <w:softHyphen/>
        <w:t>явление и вывоз в СССР немецких ученых-атомщиков, особо ценного об</w:t>
      </w:r>
      <w:r w:rsidRPr="00925F26">
        <w:rPr>
          <w:color w:val="000000" w:themeColor="text1"/>
          <w:sz w:val="16"/>
          <w:szCs w:val="16"/>
        </w:rPr>
        <w:softHyphen/>
        <w:t>орудования, научных документов и архивных материалов, а также редких металлов. Один из членов комиссии Г.Н. Флеров, являвшийся ближайшим сотрудником И.В.Курчатова, получил от последнего сугубо конфиденци</w:t>
      </w:r>
      <w:r w:rsidRPr="00925F26">
        <w:rPr>
          <w:color w:val="000000" w:themeColor="text1"/>
          <w:sz w:val="16"/>
          <w:szCs w:val="16"/>
        </w:rPr>
        <w:softHyphen/>
        <w:t>альное задание: исследовать места возможных немецких атомных испыта</w:t>
      </w:r>
      <w:r w:rsidRPr="00925F26">
        <w:rPr>
          <w:color w:val="000000" w:themeColor="text1"/>
          <w:sz w:val="16"/>
          <w:szCs w:val="16"/>
        </w:rPr>
        <w:softHyphen/>
        <w:t>ний. Об этом недвусмысленно свидетельствовало личное письмо Флерова Курчатову из Дрездена, где он дожидался вывода американских войск из Тюрингии, датированное 29 мая 1945 г. Информируя своего начальника о развертывании работы по опросу бывших военнопленных, которые могли быть свидетелями испытаний, Г.Н. Флеров, в частности, сообщал: «Я думаю, что в результате таких поисков мы сможем наткнуться на то, что нам нуж</w:t>
      </w:r>
      <w:r w:rsidRPr="00925F26">
        <w:rPr>
          <w:color w:val="000000" w:themeColor="text1"/>
          <w:sz w:val="16"/>
          <w:szCs w:val="16"/>
        </w:rPr>
        <w:softHyphen/>
        <w:t>но — человека, который случайно был поблизости (там в то время в лесах скиталось много беглецов). В случае удачи мы получим объективное под</w:t>
      </w:r>
      <w:r w:rsidRPr="00925F26">
        <w:rPr>
          <w:color w:val="000000" w:themeColor="text1"/>
          <w:sz w:val="16"/>
          <w:szCs w:val="16"/>
        </w:rPr>
        <w:softHyphen/>
        <w:t>тверждение самого факта, не многим меньше того, как если бы мы сами по</w:t>
      </w:r>
      <w:r w:rsidRPr="00925F26">
        <w:rPr>
          <w:color w:val="000000" w:themeColor="text1"/>
          <w:sz w:val="16"/>
          <w:szCs w:val="16"/>
        </w:rPr>
        <w:softHyphen/>
        <w:t>бывали на этом месте ... Второе направление связано с тем, о чем я писал в первом письме. Дело в том, что для окончательного выяснения, что же на са</w:t>
      </w:r>
      <w:r w:rsidRPr="00925F26">
        <w:rPr>
          <w:color w:val="000000" w:themeColor="text1"/>
          <w:sz w:val="16"/>
          <w:szCs w:val="16"/>
        </w:rPr>
        <w:softHyphen/>
        <w:t xml:space="preserve">мом деле там испытывалось, необходимо, конечно, искать не естественную, а искусственную радиоактивность. К сожалению, прошло много времени, но, я думаю, что А1-счетчиком Гейгер-Мюллера, а еще лучше сетчатым счетчи ком, </w:t>
      </w:r>
      <w:r w:rsidRPr="00925F26">
        <w:rPr>
          <w:color w:val="000000" w:themeColor="text1"/>
          <w:sz w:val="16"/>
          <w:szCs w:val="16"/>
        </w:rPr>
        <w:lastRenderedPageBreak/>
        <w:t>оклеенным 10 Си-фольгой, нам удастся выжать достаточную чувстви</w:t>
      </w:r>
      <w:r w:rsidRPr="00925F26">
        <w:rPr>
          <w:color w:val="000000" w:themeColor="text1"/>
          <w:sz w:val="16"/>
          <w:szCs w:val="16"/>
        </w:rPr>
        <w:softHyphen/>
        <w:t>тельность»</w:t>
      </w:r>
      <w:r w:rsidRPr="00925F26">
        <w:rPr>
          <w:color w:val="000000" w:themeColor="text1"/>
          <w:sz w:val="16"/>
          <w:szCs w:val="16"/>
          <w:vertAlign w:val="superscript"/>
        </w:rPr>
        <w:t>1</w:t>
      </w:r>
      <w:r w:rsidRPr="00925F26">
        <w:rPr>
          <w:color w:val="000000" w:themeColor="text1"/>
          <w:sz w:val="16"/>
          <w:szCs w:val="16"/>
        </w:rPr>
        <w:t>. И по сей день достоверно неизвестно, удалось ли Г.Н. Флерову выполнить возложенную на него миссию. Вскоре он был в срочном порядке отозван из Германии в Москву. Возможно, досрочное завершение немецкой командировки было связано с испытаниями 16 июля 1945 г. в Аламогордо (штат Нью-Мексико) американской атомной бомбы. Однако не исключено, что ему удалось добраться до Тюрингии, произвести на месте необходимые измерения и полученный результат потребовал срочных и личных консуль</w:t>
      </w:r>
      <w:r w:rsidRPr="00925F26">
        <w:rPr>
          <w:color w:val="000000" w:themeColor="text1"/>
          <w:sz w:val="16"/>
          <w:szCs w:val="16"/>
        </w:rPr>
        <w:softHyphen/>
        <w:t>таций в Москве (Деликатность ситуации для руководителей советского атомного проекта состояла в том, что, с одной стороны, подтвержденная информация о немецких испытаниях уже не имела практического значения: Германия проиграла войну. С другой стороны, совсем не информи</w:t>
      </w:r>
      <w:r w:rsidRPr="00925F26">
        <w:rPr>
          <w:color w:val="000000" w:themeColor="text1"/>
          <w:sz w:val="16"/>
          <w:szCs w:val="16"/>
        </w:rPr>
        <w:softHyphen/>
        <w:t>ровать вышестоящие инстанции о немецком технологическом прорыве, если таковой имел место, было небезопасно. С учетом этих обстоятельств немецкая «мини-бомба» была обрече</w:t>
      </w:r>
      <w:r w:rsidRPr="00925F26">
        <w:rPr>
          <w:color w:val="000000" w:themeColor="text1"/>
          <w:sz w:val="16"/>
          <w:szCs w:val="16"/>
        </w:rPr>
        <w:softHyphen/>
        <w:t>на на полное забвение. Однако ее создатели и их опыт были востребованы Советским Союзом в полной мере.).</w:t>
      </w:r>
    </w:p>
    <w:p w14:paraId="3E948E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работы комиссии Завенягина — Махнева в Советской зоне оккупации Германии были демонтированы и отправлены в распоряжение лаборатории №2 АН СССР, которой руководил И.В. Курчатов, следующие объекты: оборудование, материалы и библиотека института физики «Общества кайзера Вильгельма» в Берлине; оборудование института-лабо</w:t>
      </w:r>
      <w:r w:rsidRPr="00925F26">
        <w:rPr>
          <w:color w:val="000000" w:themeColor="text1"/>
          <w:sz w:val="16"/>
          <w:szCs w:val="16"/>
        </w:rPr>
        <w:softHyphen/>
        <w:t>ратории профессора М. фон Арденне в Берлине; оборудование лаборатории профессора Г. Герца в Берлине; оборудование, библиотека и материалы ин</w:t>
      </w:r>
      <w:r w:rsidRPr="00925F26">
        <w:rPr>
          <w:color w:val="000000" w:themeColor="text1"/>
          <w:sz w:val="16"/>
          <w:szCs w:val="16"/>
        </w:rPr>
        <w:softHyphen/>
        <w:t>ститута ядерной физики имперского министерства почт и связи в Цойте-не-Мирсдорфе; оборудование заводов редкоземельных элементов фирмы «Ауэр» в Берлине (получение металлического порошка урана) и в Райнс-берг-Цехлине (переплавка металлического порошка урана в монолитный металл); циклотронная лаборатория электротехнического концерна «Си-менс» в Берлине; оборудование ядерной лаборатории Управления вооруже</w:t>
      </w:r>
      <w:r w:rsidRPr="00925F26">
        <w:rPr>
          <w:color w:val="000000" w:themeColor="text1"/>
          <w:sz w:val="16"/>
          <w:szCs w:val="16"/>
        </w:rPr>
        <w:softHyphen/>
        <w:t>ний сухопутных сил вермахта в Готтове под Куммерсдорфом.</w:t>
      </w:r>
    </w:p>
    <w:p w14:paraId="64318B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Москву были отправлена первая партия немецких физиков-«добро</w:t>
      </w:r>
      <w:r w:rsidRPr="00925F26">
        <w:rPr>
          <w:color w:val="000000" w:themeColor="text1"/>
          <w:sz w:val="16"/>
          <w:szCs w:val="16"/>
        </w:rPr>
        <w:softHyphen/>
        <w:t>вольцев», обнаруженных в еще горящем Берлине и других местах Советской зоны оккупации и давших согласие работать в советском атомном проекте</w:t>
      </w:r>
      <w:r w:rsidRPr="00925F26">
        <w:rPr>
          <w:color w:val="000000" w:themeColor="text1"/>
          <w:sz w:val="16"/>
          <w:szCs w:val="16"/>
          <w:vertAlign w:val="superscript"/>
        </w:rPr>
        <w:t>у</w:t>
      </w:r>
      <w:r w:rsidRPr="00925F26">
        <w:rPr>
          <w:color w:val="000000" w:themeColor="text1"/>
          <w:sz w:val="16"/>
          <w:szCs w:val="16"/>
        </w:rPr>
        <w:t>. Среди них были специалист в области электронной и ионной физики барон М. фон Арденне, специалист по диффузному разделению радиоактивных изотопов нобелевский лауреат профессор Г. Герц, профессора Р. Дёпель, М. Фольмер, П.-А. Тиссен, а также физик М. Стеенбек, освобожденный из спецлагеря НКВД № 2 в Познани, и другие немецкие атомщики. Кроме того, в подмосковный город Электросталь для налаживания производства метал</w:t>
      </w:r>
      <w:r w:rsidRPr="00925F26">
        <w:rPr>
          <w:color w:val="000000" w:themeColor="text1"/>
          <w:sz w:val="16"/>
          <w:szCs w:val="16"/>
        </w:rPr>
        <w:softHyphen/>
        <w:t>лического урана был отправлен начальник научно-исследовательского от</w:t>
      </w:r>
      <w:r w:rsidRPr="00925F26">
        <w:rPr>
          <w:color w:val="000000" w:themeColor="text1"/>
          <w:sz w:val="16"/>
          <w:szCs w:val="16"/>
        </w:rPr>
        <w:softHyphen/>
        <w:t>дела фирмы «Ауэр» доктор Н. Риль с группой своих сотрудников (Г. Ортманн, К. Риве, Г. Вирц, Г. Тиме, В. Кирст, Ф.В. Зоммер, Г. Тобин) (11419).</w:t>
      </w:r>
    </w:p>
    <w:p w14:paraId="5BB86713" w14:textId="77777777" w:rsidR="00665165" w:rsidRPr="00925F26" w:rsidRDefault="00665165" w:rsidP="00925F26">
      <w:pPr>
        <w:autoSpaceDE w:val="0"/>
        <w:autoSpaceDN w:val="0"/>
        <w:adjustRightInd w:val="0"/>
        <w:jc w:val="both"/>
        <w:rPr>
          <w:color w:val="000000" w:themeColor="text1"/>
          <w:sz w:val="16"/>
          <w:szCs w:val="16"/>
        </w:rPr>
      </w:pPr>
    </w:p>
    <w:p w14:paraId="4C5726A8" w14:textId="77777777" w:rsidR="009E360D" w:rsidRPr="00925F26" w:rsidRDefault="009E360D" w:rsidP="00925F26">
      <w:pPr>
        <w:pStyle w:val="book"/>
        <w:ind w:firstLine="0"/>
        <w:jc w:val="both"/>
        <w:rPr>
          <w:color w:val="000000" w:themeColor="text1"/>
          <w:sz w:val="16"/>
          <w:szCs w:val="16"/>
        </w:rPr>
      </w:pPr>
      <w:r w:rsidRPr="00925F26">
        <w:rPr>
          <w:color w:val="000000" w:themeColor="text1"/>
          <w:sz w:val="16"/>
          <w:szCs w:val="16"/>
        </w:rPr>
        <w:t>В начале мая 1945 г. поврежденный «Виндхук» был захвачен союзниками в Гамбурге и передан СССР. пароход был построен в 1939 г. на германской верфи по заказу Турции. Судно получило название «Салон» («Salon»). По проекту его водоизмещение составляло 4340 т., пассажировместимость — 390 каютных мест. В 1940 г. судно конфисковали для нужд ВМФ Германии и переименовали в «Виндхук» («Windhuk»). После проведения ремонтных работ в Висмаре судно получило новое название — «Приморье». Теперь лайнер мог принять 26 пассажиров 1-го класса, 86 — 2-го и 134 — 3-го. В сентябре 1950 г. «Приморье» прибыло во Владивосток и стало использоваться на Приморской линии. В 1958 г. лайнер прошел модернизацию, теперь его двигательная установка стала работать на жидком топливе. На линии пароход «Приморье» ходил до середины 1970-х годов, а затем был сдан на металл (15225).</w:t>
      </w:r>
    </w:p>
    <w:p w14:paraId="4672E44E" w14:textId="77777777" w:rsidR="009E360D" w:rsidRPr="00925F26" w:rsidRDefault="009E360D" w:rsidP="00925F26">
      <w:pPr>
        <w:pStyle w:val="book"/>
        <w:ind w:firstLine="0"/>
        <w:jc w:val="both"/>
        <w:rPr>
          <w:color w:val="000000" w:themeColor="text1"/>
          <w:sz w:val="16"/>
          <w:szCs w:val="16"/>
        </w:rPr>
      </w:pPr>
    </w:p>
    <w:p w14:paraId="40AD660B" w14:textId="77777777" w:rsidR="004252F4" w:rsidRPr="00925F26" w:rsidRDefault="004252F4"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7308870" w14:textId="77777777" w:rsidR="004252F4" w:rsidRPr="00925F26" w:rsidRDefault="004252F4" w:rsidP="00925F26">
      <w:pPr>
        <w:autoSpaceDE w:val="0"/>
        <w:autoSpaceDN w:val="0"/>
        <w:adjustRightInd w:val="0"/>
        <w:jc w:val="both"/>
        <w:rPr>
          <w:iCs/>
          <w:color w:val="000000" w:themeColor="text1"/>
          <w:sz w:val="16"/>
          <w:szCs w:val="16"/>
        </w:rPr>
      </w:pPr>
    </w:p>
    <w:p w14:paraId="7BEF25B9" w14:textId="77777777" w:rsidR="004252F4" w:rsidRPr="00925F26" w:rsidRDefault="004252F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начале мая 1945 г. назначенный заместителем по экономике Главноначальствующего СВАГ К.И. Коваль перед отъездом в Германию спросил у Майского: «...есть ли в НКИД какие-либо холодные расчеты, обосновывающие запрошенный размер репараций в 10 млрд долларов? Однако “холодного расчета” по размеру германских репараций я не получил». Майский лишь сказал Ковалю, что общий ущерб СССР от войны с Германией исчислен в 128 млрд долларов. Запрошенные 10 млрд составляют 1/12 ущерба [13. С. 60, 68] (19851).</w:t>
      </w:r>
    </w:p>
    <w:p w14:paraId="20871FC6" w14:textId="77777777" w:rsidR="004252F4" w:rsidRPr="00925F26" w:rsidRDefault="004252F4" w:rsidP="00925F26">
      <w:pPr>
        <w:pStyle w:val="ae"/>
        <w:shd w:val="clear" w:color="auto" w:fill="FFFFFF"/>
        <w:spacing w:before="0" w:after="0"/>
        <w:jc w:val="both"/>
        <w:textAlignment w:val="baseline"/>
        <w:rPr>
          <w:color w:val="000000" w:themeColor="text1"/>
          <w:sz w:val="16"/>
          <w:szCs w:val="16"/>
        </w:rPr>
      </w:pPr>
    </w:p>
    <w:p w14:paraId="7ADAA241" w14:textId="77777777" w:rsidR="004252F4" w:rsidRPr="00925F26" w:rsidRDefault="004252F4" w:rsidP="00925F26">
      <w:pPr>
        <w:pStyle w:val="rtejustify"/>
        <w:shd w:val="clear" w:color="auto" w:fill="FFFFFF"/>
        <w:spacing w:before="0" w:after="0"/>
        <w:rPr>
          <w:color w:val="000000" w:themeColor="text1"/>
          <w:sz w:val="16"/>
          <w:szCs w:val="16"/>
        </w:rPr>
      </w:pPr>
      <w:r w:rsidRPr="00925F26">
        <w:rPr>
          <w:color w:val="000000" w:themeColor="text1"/>
          <w:sz w:val="16"/>
          <w:szCs w:val="16"/>
        </w:rPr>
        <w:t>В начале мая 1945 г. на первом заседании Особого комитета Маленков приказал К.И. Ковалю: «...демонтаж намеченных предприятий для репараций в Восточной Германии, включая все секторы Берлина, разворачивайте немедленно» [13. С. 79]. В Берлине нужно было до прихода англо-американских войск вывезти все ценное промышленное оборудование (19851).</w:t>
      </w:r>
    </w:p>
    <w:p w14:paraId="308F81B7" w14:textId="77777777" w:rsidR="004252F4" w:rsidRPr="00925F26" w:rsidRDefault="004252F4" w:rsidP="00925F26">
      <w:pPr>
        <w:pStyle w:val="rtejustify"/>
        <w:shd w:val="clear" w:color="auto" w:fill="FFFFFF"/>
        <w:spacing w:before="0" w:after="0"/>
        <w:rPr>
          <w:color w:val="000000" w:themeColor="text1"/>
          <w:sz w:val="16"/>
          <w:szCs w:val="16"/>
        </w:rPr>
      </w:pPr>
    </w:p>
    <w:p w14:paraId="0C7004C1" w14:textId="77777777" w:rsidR="004252F4" w:rsidRPr="00925F26" w:rsidRDefault="004252F4"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073073A" w14:textId="77777777" w:rsidR="004252F4" w:rsidRPr="00925F26" w:rsidRDefault="004252F4" w:rsidP="00925F26">
      <w:pPr>
        <w:autoSpaceDE w:val="0"/>
        <w:autoSpaceDN w:val="0"/>
        <w:adjustRightInd w:val="0"/>
        <w:jc w:val="both"/>
        <w:rPr>
          <w:iCs/>
          <w:color w:val="000000" w:themeColor="text1"/>
          <w:sz w:val="16"/>
          <w:szCs w:val="16"/>
        </w:rPr>
      </w:pPr>
    </w:p>
    <w:p w14:paraId="17E90EDE" w14:textId="77777777" w:rsidR="004252F4" w:rsidRPr="00925F26" w:rsidRDefault="004252F4" w:rsidP="00925F26">
      <w:pPr>
        <w:jc w:val="both"/>
        <w:rPr>
          <w:color w:val="000000" w:themeColor="text1"/>
          <w:sz w:val="16"/>
          <w:szCs w:val="16"/>
        </w:rPr>
      </w:pPr>
      <w:r w:rsidRPr="00925F26">
        <w:rPr>
          <w:color w:val="000000" w:themeColor="text1"/>
          <w:sz w:val="16"/>
          <w:szCs w:val="16"/>
        </w:rPr>
        <w:t>В начале мая 1945 г. Фон Браун, Дорнебергер и еще четыре сотни разработчиков «Фау-2» сдались американцам. Как и 300 вагонов с документацией и матчастью ракет они были вывезены на запад, а затем и в США до того, как этот район, в соответствии с союзнической договоренностью, был передан советской оккупационной администрации. Каммлер, за которым числилось немало грехов и помимо непосредственно связанных с производством и применением «Фау-2», покончил с собой перед самым концом войны (19629).</w:t>
      </w:r>
    </w:p>
    <w:p w14:paraId="62EC2979" w14:textId="77777777" w:rsidR="004252F4" w:rsidRPr="00925F26" w:rsidRDefault="004252F4" w:rsidP="00925F26">
      <w:pPr>
        <w:jc w:val="both"/>
        <w:rPr>
          <w:color w:val="000000" w:themeColor="text1"/>
          <w:sz w:val="16"/>
          <w:szCs w:val="16"/>
        </w:rPr>
      </w:pPr>
    </w:p>
    <w:p w14:paraId="18FFE41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BDE3E18" w14:textId="77777777" w:rsidR="00665165" w:rsidRPr="00925F26" w:rsidRDefault="00665165" w:rsidP="00925F26">
      <w:pPr>
        <w:autoSpaceDE w:val="0"/>
        <w:autoSpaceDN w:val="0"/>
        <w:adjustRightInd w:val="0"/>
        <w:jc w:val="both"/>
        <w:rPr>
          <w:iCs/>
          <w:color w:val="000000" w:themeColor="text1"/>
          <w:sz w:val="16"/>
          <w:szCs w:val="16"/>
        </w:rPr>
      </w:pPr>
    </w:p>
    <w:p w14:paraId="0800DC3D"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7 мая 1945 генерал-лейтенанту А.А. Лапину поступил доклад инженер-подполковника А.Г. Огилько о результатах его поездки в части 4-й и 1-й ВА. При этом были обследованы все части 4-го шак, 230-й, 232-й и 233-й шад 4-й ВА, а также 1-й гшад и 311-й шад 1-й ВА. В 4-й ВА получили и установили на штурмо</w:t>
      </w:r>
      <w:r w:rsidRPr="00925F26">
        <w:rPr>
          <w:rFonts w:ascii="Times New Roman" w:cs="Times New Roman"/>
          <w:color w:val="000000" w:themeColor="text1"/>
          <w:spacing w:val="0"/>
        </w:rPr>
        <w:softHyphen/>
        <w:t>вики 67 комплектов дополнительного бро</w:t>
      </w:r>
      <w:r w:rsidRPr="00925F26">
        <w:rPr>
          <w:rFonts w:ascii="Times New Roman" w:cs="Times New Roman"/>
          <w:color w:val="000000" w:themeColor="text1"/>
          <w:spacing w:val="0"/>
        </w:rPr>
        <w:softHyphen/>
        <w:t xml:space="preserve">нирования воздушных стрелков, а в полках 1-й ВА - 18 комплектов. Оказалось, что «в </w:t>
      </w:r>
      <w:r w:rsidRPr="00925F26">
        <w:rPr>
          <w:rStyle w:val="46"/>
          <w:rFonts w:ascii="Times New Roman" w:cs="Times New Roman"/>
          <w:color w:val="000000" w:themeColor="text1"/>
          <w:spacing w:val="0"/>
          <w:sz w:val="16"/>
          <w:szCs w:val="16"/>
        </w:rPr>
        <w:t>противоположность заключению ГК НИИ ВВС почти весь летный состав частей отмечает ухудшение маневренности и взлетных качеств самолетов Ил-2 с дополнительной броней, особенно при работе на плохих аэродромах и на старой материальной части».</w:t>
      </w:r>
    </w:p>
    <w:p w14:paraId="240DC882"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На некоторых самолетах (зав. №3156, 0784, 4980, 9629, 5817) установка дополни</w:t>
      </w:r>
      <w:r w:rsidRPr="00925F26">
        <w:rPr>
          <w:rFonts w:ascii="Times New Roman" w:cs="Times New Roman"/>
          <w:color w:val="000000" w:themeColor="text1"/>
          <w:spacing w:val="0"/>
        </w:rPr>
        <w:softHyphen/>
        <w:t>тельной брони настолько ухудшила летные ка</w:t>
      </w:r>
      <w:r w:rsidRPr="00925F26">
        <w:rPr>
          <w:rFonts w:ascii="Times New Roman" w:cs="Times New Roman"/>
          <w:color w:val="000000" w:themeColor="text1"/>
          <w:spacing w:val="0"/>
        </w:rPr>
        <w:softHyphen/>
        <w:t>чества, что даже</w:t>
      </w:r>
      <w:r w:rsidRPr="00925F26">
        <w:rPr>
          <w:rStyle w:val="aff6"/>
          <w:rFonts w:ascii="Times New Roman" w:hAnsi="Times New Roman" w:cs="Times New Roman"/>
          <w:i w:val="0"/>
          <w:color w:val="000000" w:themeColor="text1"/>
          <w:spacing w:val="0"/>
        </w:rPr>
        <w:t xml:space="preserve"> «высококвалифицированные летчики 76 гшап (имевшего в своем составе 16 Героев Советского Союза), работавшие прежде ночными штурмовиками, от этих са</w:t>
      </w:r>
      <w:r w:rsidRPr="00925F26">
        <w:rPr>
          <w:rStyle w:val="aff6"/>
          <w:rFonts w:ascii="Times New Roman" w:hAnsi="Times New Roman" w:cs="Times New Roman"/>
          <w:i w:val="0"/>
          <w:color w:val="000000" w:themeColor="text1"/>
          <w:spacing w:val="0"/>
        </w:rPr>
        <w:softHyphen/>
        <w:t>молетов отказывались».</w:t>
      </w:r>
      <w:r w:rsidRPr="00925F26">
        <w:rPr>
          <w:rFonts w:ascii="Times New Roman" w:cs="Times New Roman"/>
          <w:color w:val="000000" w:themeColor="text1"/>
          <w:spacing w:val="0"/>
        </w:rPr>
        <w:t xml:space="preserve"> Более того, после неоднократных требований летного состава старший инженер дивизии инженер-полковник Поляков был вынужден снять броню стрелка на Ил-2 зав. №303156.</w:t>
      </w:r>
    </w:p>
    <w:p w14:paraId="3FD1ED7B"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Летчики в один голос утверждали, что Ил-2 с дополнительной броней теряют управ</w:t>
      </w:r>
      <w:r w:rsidRPr="00925F26">
        <w:rPr>
          <w:rFonts w:ascii="Times New Roman" w:cs="Times New Roman"/>
          <w:color w:val="000000" w:themeColor="text1"/>
          <w:spacing w:val="0"/>
        </w:rPr>
        <w:softHyphen/>
        <w:t>ляемость при значительно меньших повре</w:t>
      </w:r>
      <w:r w:rsidRPr="00925F26">
        <w:rPr>
          <w:rFonts w:ascii="Times New Roman" w:cs="Times New Roman"/>
          <w:color w:val="000000" w:themeColor="text1"/>
          <w:spacing w:val="0"/>
        </w:rPr>
        <w:softHyphen/>
        <w:t>ждениях, чем самолеты без брони стрелка. Не было зафиксировано ни одного случая, чтобы Ил-2 с дополнительным бронированием при серьезных повреждениях хвостовой части самолета (стабилизатора и рулей глубины) сделал нормальную посадку, в то время как на «обычных» Ил-2 такие посадки исчислялись сотнями.</w:t>
      </w:r>
    </w:p>
    <w:p w14:paraId="739061BF"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Так, в 1 -й и 4-й ВА из 78 Ил-2 с дополни</w:t>
      </w:r>
      <w:r w:rsidRPr="00925F26">
        <w:rPr>
          <w:rFonts w:ascii="Times New Roman" w:cs="Times New Roman"/>
          <w:color w:val="000000" w:themeColor="text1"/>
          <w:spacing w:val="0"/>
        </w:rPr>
        <w:softHyphen/>
        <w:t>тельной броней в бою потеряли 44 машины, из них только четыре были сбиты над целью, остальные - подбиты и затем разбиты при вы</w:t>
      </w:r>
      <w:r w:rsidRPr="00925F26">
        <w:rPr>
          <w:rFonts w:ascii="Times New Roman" w:cs="Times New Roman"/>
          <w:color w:val="000000" w:themeColor="text1"/>
          <w:spacing w:val="0"/>
        </w:rPr>
        <w:softHyphen/>
        <w:t>нужденных посадках из-за плохой управляемо</w:t>
      </w:r>
      <w:r w:rsidRPr="00925F26">
        <w:rPr>
          <w:rFonts w:ascii="Times New Roman" w:cs="Times New Roman"/>
          <w:color w:val="000000" w:themeColor="text1"/>
          <w:spacing w:val="0"/>
        </w:rPr>
        <w:softHyphen/>
        <w:t>сти, причем два самолета при подходе к свое</w:t>
      </w:r>
      <w:r w:rsidRPr="00925F26">
        <w:rPr>
          <w:rFonts w:ascii="Times New Roman" w:cs="Times New Roman"/>
          <w:color w:val="000000" w:themeColor="text1"/>
          <w:spacing w:val="0"/>
        </w:rPr>
        <w:softHyphen/>
        <w:t>му аэродрому перевернулись в воздухе.</w:t>
      </w:r>
    </w:p>
    <w:p w14:paraId="0502C2F8"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Например, в 953-м шап в октябре 1944 г. установили дополнительную броню на семи Ил-2. К 15 марта 1945 г. в строю остался толь</w:t>
      </w:r>
      <w:r w:rsidRPr="00925F26">
        <w:rPr>
          <w:rFonts w:ascii="Times New Roman" w:cs="Times New Roman"/>
          <w:color w:val="000000" w:themeColor="text1"/>
          <w:spacing w:val="0"/>
        </w:rPr>
        <w:softHyphen/>
        <w:t xml:space="preserve">ко один самолет с этой </w:t>
      </w:r>
      <w:proofErr w:type="gramStart"/>
      <w:r w:rsidRPr="00925F26">
        <w:rPr>
          <w:rFonts w:ascii="Times New Roman" w:cs="Times New Roman"/>
          <w:color w:val="000000" w:themeColor="text1"/>
          <w:spacing w:val="0"/>
        </w:rPr>
        <w:t>броней,к</w:t>
      </w:r>
      <w:proofErr w:type="gramEnd"/>
      <w:r w:rsidRPr="00925F26">
        <w:rPr>
          <w:rFonts w:ascii="Times New Roman" w:cs="Times New Roman"/>
          <w:color w:val="000000" w:themeColor="text1"/>
          <w:spacing w:val="0"/>
        </w:rPr>
        <w:t xml:space="preserve"> шесть - чис</w:t>
      </w:r>
      <w:r w:rsidRPr="00925F26">
        <w:rPr>
          <w:rFonts w:ascii="Times New Roman" w:cs="Times New Roman"/>
          <w:color w:val="000000" w:themeColor="text1"/>
          <w:spacing w:val="0"/>
        </w:rPr>
        <w:softHyphen/>
        <w:t>лились не вернувшимися с боевого задания. Детальное изучение этих боевых потерь пока</w:t>
      </w:r>
      <w:r w:rsidRPr="00925F26">
        <w:rPr>
          <w:rFonts w:ascii="Times New Roman" w:cs="Times New Roman"/>
          <w:color w:val="000000" w:themeColor="text1"/>
          <w:spacing w:val="0"/>
        </w:rPr>
        <w:softHyphen/>
        <w:t>зало, что только один самолет (зав. №305869) был сбит над целью, а остальные машины (зав. №1881518, 306642, 306660, 305850; но</w:t>
      </w:r>
      <w:r w:rsidRPr="00925F26">
        <w:rPr>
          <w:rFonts w:ascii="Times New Roman" w:cs="Times New Roman"/>
          <w:color w:val="000000" w:themeColor="text1"/>
          <w:spacing w:val="0"/>
        </w:rPr>
        <w:softHyphen/>
        <w:t>мер одного Ил-2 не установлен) при выполне</w:t>
      </w:r>
      <w:r w:rsidRPr="00925F26">
        <w:rPr>
          <w:rFonts w:ascii="Times New Roman" w:cs="Times New Roman"/>
          <w:color w:val="000000" w:themeColor="text1"/>
          <w:spacing w:val="0"/>
        </w:rPr>
        <w:softHyphen/>
        <w:t>нии боевого задания были подбиты, потеряли управляемость и разбились при вынужденных посадках. По счастью, экипажи этих пяти само</w:t>
      </w:r>
      <w:r w:rsidRPr="00925F26">
        <w:rPr>
          <w:rFonts w:ascii="Times New Roman" w:cs="Times New Roman"/>
          <w:color w:val="000000" w:themeColor="text1"/>
          <w:spacing w:val="0"/>
        </w:rPr>
        <w:softHyphen/>
        <w:t>летов остались живы.</w:t>
      </w:r>
    </w:p>
    <w:p w14:paraId="55FE4AD5"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За время эксплуатации самолетов Ил-2 с дополнительной броней в частях 4-й и 1-й ВА имели место:</w:t>
      </w:r>
    </w:p>
    <w:p w14:paraId="1789A3B3"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 8 случаев прямого попадания снарядов МЗА в пол кабины воздушного стрелка. Снаря</w:t>
      </w:r>
      <w:r w:rsidRPr="00925F26">
        <w:rPr>
          <w:rFonts w:ascii="Times New Roman" w:cs="Times New Roman"/>
          <w:color w:val="000000" w:themeColor="text1"/>
          <w:sz w:val="16"/>
          <w:szCs w:val="16"/>
        </w:rPr>
        <w:softHyphen/>
        <w:t>дами сильно разрушены фюзеляжи, на полу ка</w:t>
      </w:r>
      <w:r w:rsidRPr="00925F26">
        <w:rPr>
          <w:rFonts w:ascii="Times New Roman" w:cs="Times New Roman"/>
          <w:color w:val="000000" w:themeColor="text1"/>
          <w:sz w:val="16"/>
          <w:szCs w:val="16"/>
        </w:rPr>
        <w:softHyphen/>
        <w:t>бины большие вмятины, но броню не пробило. Стрелки во всех случаях остались невредимыми.</w:t>
      </w:r>
    </w:p>
    <w:p w14:paraId="1659C719" w14:textId="77777777" w:rsidR="005F32F4" w:rsidRPr="00925F26" w:rsidRDefault="005F32F4" w:rsidP="00925F26">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2) 3 случая попадания крупнокалиберных снарядов в плоскость центроплана на рас</w:t>
      </w:r>
      <w:r w:rsidRPr="00925F26">
        <w:rPr>
          <w:rFonts w:ascii="Times New Roman" w:cs="Times New Roman"/>
          <w:color w:val="000000" w:themeColor="text1"/>
          <w:sz w:val="16"/>
          <w:szCs w:val="16"/>
        </w:rPr>
        <w:softHyphen/>
        <w:t>стоянии меньше 500 мм от кабины стрелка. В двух случаях разбиты рабочие баллоны и в одном случае совершенно вырван рабочий баллон. На боковой броне кабины стрелка большие вмятины. Броня не пробита. Стрелки невредимы.</w:t>
      </w:r>
    </w:p>
    <w:p w14:paraId="0D37BEFC" w14:textId="77777777" w:rsidR="005F32F4" w:rsidRPr="00925F26" w:rsidRDefault="005F32F4" w:rsidP="00925F26">
      <w:pPr>
        <w:pStyle w:val="45"/>
        <w:shd w:val="clear" w:color="auto" w:fill="auto"/>
        <w:tabs>
          <w:tab w:val="left" w:pos="500"/>
        </w:tabs>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3) 4 случая разрывов снарядов ЗА в фю</w:t>
      </w:r>
      <w:r w:rsidRPr="00925F26">
        <w:rPr>
          <w:rFonts w:ascii="Times New Roman" w:cs="Times New Roman"/>
          <w:color w:val="000000" w:themeColor="text1"/>
          <w:sz w:val="16"/>
          <w:szCs w:val="16"/>
        </w:rPr>
        <w:softHyphen/>
        <w:t>зеляже сзади кабины стрелка на расстоянии меньше 600 мм. Броня не пробита. На задней броне кабины стрелка остались только вмяти</w:t>
      </w:r>
      <w:r w:rsidRPr="00925F26">
        <w:rPr>
          <w:rFonts w:ascii="Times New Roman" w:cs="Times New Roman"/>
          <w:color w:val="000000" w:themeColor="text1"/>
          <w:sz w:val="16"/>
          <w:szCs w:val="16"/>
        </w:rPr>
        <w:softHyphen/>
        <w:t>ны. Экипажи невредимы.</w:t>
      </w:r>
    </w:p>
    <w:p w14:paraId="2EA6862A" w14:textId="77777777" w:rsidR="005F32F4" w:rsidRPr="00925F26" w:rsidRDefault="005F32F4" w:rsidP="00925F26">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4) Один случай попадания крупнокалибер</w:t>
      </w:r>
      <w:r w:rsidRPr="00925F26">
        <w:rPr>
          <w:rFonts w:ascii="Times New Roman" w:cs="Times New Roman"/>
          <w:color w:val="000000" w:themeColor="text1"/>
          <w:sz w:val="16"/>
          <w:szCs w:val="16"/>
        </w:rPr>
        <w:softHyphen/>
        <w:t>ного снаряда ЗА в заднюю дверцу кабины воз</w:t>
      </w:r>
      <w:r w:rsidRPr="00925F26">
        <w:rPr>
          <w:rFonts w:ascii="Times New Roman" w:cs="Times New Roman"/>
          <w:color w:val="000000" w:themeColor="text1"/>
          <w:sz w:val="16"/>
          <w:szCs w:val="16"/>
        </w:rPr>
        <w:softHyphen/>
        <w:t>душного стрелка, броня пробита, воздушный стрелок ранен в ногу.</w:t>
      </w:r>
    </w:p>
    <w:p w14:paraId="4575D113"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5) Один случай попадания снаряда в зад</w:t>
      </w:r>
      <w:r w:rsidRPr="00925F26">
        <w:rPr>
          <w:rFonts w:ascii="Times New Roman" w:cs="Times New Roman"/>
          <w:color w:val="000000" w:themeColor="text1"/>
          <w:sz w:val="16"/>
          <w:szCs w:val="16"/>
        </w:rPr>
        <w:softHyphen/>
        <w:t>ний вертикальный лист кабины стрелка при обстреле истребителем противника. Броня пробита, воздушный стрелок убит».</w:t>
      </w:r>
    </w:p>
    <w:p w14:paraId="53E29B3F"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Всего в 230-й, 232-й, 233-й шад, 4-м шак, 1-й гшад и 311-й шад с января 1944 г. по март 1945 г. было 59 случаев ранения летчиков, 160 случаев ранения воздушных стрелков, три воз</w:t>
      </w:r>
      <w:r w:rsidRPr="00925F26">
        <w:rPr>
          <w:rFonts w:ascii="Times New Roman" w:cs="Times New Roman"/>
          <w:color w:val="000000" w:themeColor="text1"/>
          <w:spacing w:val="0"/>
        </w:rPr>
        <w:softHyphen/>
        <w:t>душных стрелка погибли. Из них осколками зенитных снарядов было ранено 94 человека, остальные - огнем истребителей и пулеметно- винтовочным огнем наземных частей против</w:t>
      </w:r>
      <w:r w:rsidRPr="00925F26">
        <w:rPr>
          <w:rFonts w:ascii="Times New Roman" w:cs="Times New Roman"/>
          <w:color w:val="000000" w:themeColor="text1"/>
          <w:spacing w:val="0"/>
        </w:rPr>
        <w:softHyphen/>
        <w:t>ника. Также имели место девять случаев ране</w:t>
      </w:r>
      <w:r w:rsidRPr="00925F26">
        <w:rPr>
          <w:rFonts w:ascii="Times New Roman" w:cs="Times New Roman"/>
          <w:color w:val="000000" w:themeColor="text1"/>
          <w:spacing w:val="0"/>
        </w:rPr>
        <w:softHyphen/>
        <w:t>ний осколками снарядов и пуль, отраженных от брони летчика. Ранения воздушных стрелков распределялись следующим образом: в голо</w:t>
      </w:r>
      <w:r w:rsidRPr="00925F26">
        <w:rPr>
          <w:rFonts w:ascii="Times New Roman" w:cs="Times New Roman"/>
          <w:color w:val="000000" w:themeColor="text1"/>
          <w:spacing w:val="0"/>
        </w:rPr>
        <w:softHyphen/>
        <w:t>ву - 27, в руки и грудь - 43, в ноги - 70, в про</w:t>
      </w:r>
      <w:r w:rsidRPr="00925F26">
        <w:rPr>
          <w:rFonts w:ascii="Times New Roman" w:cs="Times New Roman"/>
          <w:color w:val="000000" w:themeColor="text1"/>
          <w:spacing w:val="0"/>
        </w:rPr>
        <w:softHyphen/>
        <w:t>чие места - 20.</w:t>
      </w:r>
    </w:p>
    <w:p w14:paraId="376A9575"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hAnsi="Times New Roman" w:cs="Times New Roman"/>
          <w:i w:val="0"/>
          <w:color w:val="000000" w:themeColor="text1"/>
          <w:sz w:val="16"/>
          <w:szCs w:val="16"/>
        </w:rPr>
        <w:t>Делался следующий вывод:</w:t>
      </w:r>
      <w:r w:rsidRPr="00925F26">
        <w:rPr>
          <w:rFonts w:ascii="Times New Roman" w:cs="Times New Roman"/>
          <w:color w:val="000000" w:themeColor="text1"/>
          <w:sz w:val="16"/>
          <w:szCs w:val="16"/>
        </w:rPr>
        <w:t xml:space="preserve"> «Испытания в ГК НИИ ВВС КА были проведены на хоро</w:t>
      </w:r>
      <w:r w:rsidRPr="00925F26">
        <w:rPr>
          <w:rFonts w:ascii="Times New Roman" w:cs="Times New Roman"/>
          <w:color w:val="000000" w:themeColor="text1"/>
          <w:sz w:val="16"/>
          <w:szCs w:val="16"/>
        </w:rPr>
        <w:softHyphen/>
        <w:t>ших аэродромах и совершенно новой мате</w:t>
      </w:r>
      <w:r w:rsidRPr="00925F26">
        <w:rPr>
          <w:rFonts w:ascii="Times New Roman" w:cs="Times New Roman"/>
          <w:color w:val="000000" w:themeColor="text1"/>
          <w:sz w:val="16"/>
          <w:szCs w:val="16"/>
        </w:rPr>
        <w:softHyphen/>
        <w:t>риальной части. В действующих частях ВВС КА дополнительная броня устанавливалась на старую материальную часть (во многих случа</w:t>
      </w:r>
      <w:r w:rsidRPr="00925F26">
        <w:rPr>
          <w:rFonts w:ascii="Times New Roman" w:cs="Times New Roman"/>
          <w:color w:val="000000" w:themeColor="text1"/>
          <w:sz w:val="16"/>
          <w:szCs w:val="16"/>
        </w:rPr>
        <w:softHyphen/>
        <w:t>ях на</w:t>
      </w:r>
      <w:r w:rsidRPr="00925F26">
        <w:rPr>
          <w:rStyle w:val="4e"/>
          <w:rFonts w:ascii="Times New Roman" w:hAnsi="Times New Roman" w:cs="Times New Roman"/>
          <w:i w:val="0"/>
          <w:color w:val="000000" w:themeColor="text1"/>
          <w:sz w:val="16"/>
          <w:szCs w:val="16"/>
        </w:rPr>
        <w:t xml:space="preserve"> самолетах с моторами после</w:t>
      </w:r>
      <w:r w:rsidRPr="00925F26">
        <w:rPr>
          <w:rFonts w:ascii="Times New Roman" w:cs="Times New Roman"/>
          <w:color w:val="000000" w:themeColor="text1"/>
          <w:sz w:val="16"/>
          <w:szCs w:val="16"/>
        </w:rPr>
        <w:t xml:space="preserve"> ремонта), а самолеты эксплуатируются в большинстве случаев на очень плохих аэродромах. В этих условиях установка дополнительной брони значительно сказывается на летных качествах самолетов».</w:t>
      </w:r>
      <w:r w:rsidRPr="00925F26">
        <w:rPr>
          <w:rStyle w:val="4e"/>
          <w:rFonts w:ascii="Times New Roman" w:hAnsi="Times New Roman" w:cs="Times New Roman"/>
          <w:i w:val="0"/>
          <w:color w:val="000000" w:themeColor="text1"/>
          <w:sz w:val="16"/>
          <w:szCs w:val="16"/>
        </w:rPr>
        <w:t xml:space="preserve"> Кроме того,</w:t>
      </w:r>
      <w:r w:rsidRPr="00925F26">
        <w:rPr>
          <w:rFonts w:ascii="Times New Roman" w:cs="Times New Roman"/>
          <w:color w:val="000000" w:themeColor="text1"/>
          <w:sz w:val="16"/>
          <w:szCs w:val="16"/>
        </w:rPr>
        <w:t xml:space="preserve"> «ГК НИИ ВВС КА не мог учесть влияния различных повреждений матчасти на управляемость самолетов Ил-2 с дополнительной броней и без нее, что для са</w:t>
      </w:r>
      <w:r w:rsidRPr="00925F26">
        <w:rPr>
          <w:rFonts w:ascii="Times New Roman" w:cs="Times New Roman"/>
          <w:color w:val="000000" w:themeColor="text1"/>
          <w:sz w:val="16"/>
          <w:szCs w:val="16"/>
        </w:rPr>
        <w:softHyphen/>
        <w:t>молетов Ил-2 по условиям их боевой работы имеет особое значение».</w:t>
      </w:r>
    </w:p>
    <w:p w14:paraId="0EF46D9E" w14:textId="77777777" w:rsidR="005F32F4" w:rsidRPr="00925F26" w:rsidRDefault="005F32F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lastRenderedPageBreak/>
        <w:t>Между тем, комплект полевого варианта дополнительного бронирования надежно защи</w:t>
      </w:r>
      <w:r w:rsidRPr="00925F26">
        <w:rPr>
          <w:rFonts w:ascii="Times New Roman" w:cs="Times New Roman"/>
          <w:color w:val="000000" w:themeColor="text1"/>
          <w:spacing w:val="0"/>
        </w:rPr>
        <w:softHyphen/>
        <w:t>щал воздушного стрелка от прямых попаданий снарядов зенитной артиллерии мелкого кали</w:t>
      </w:r>
      <w:r w:rsidRPr="00925F26">
        <w:rPr>
          <w:rFonts w:ascii="Times New Roman" w:cs="Times New Roman"/>
          <w:color w:val="000000" w:themeColor="text1"/>
          <w:spacing w:val="0"/>
        </w:rPr>
        <w:softHyphen/>
        <w:t>бра и осколков крупнокалиберных снарядов даже с дистанции бреющего полета. По еди</w:t>
      </w:r>
      <w:r w:rsidRPr="00925F26">
        <w:rPr>
          <w:rFonts w:ascii="Times New Roman" w:cs="Times New Roman"/>
          <w:color w:val="000000" w:themeColor="text1"/>
          <w:spacing w:val="0"/>
        </w:rPr>
        <w:softHyphen/>
        <w:t>нодушному мнению летного состава, комплект дополнительной брони на Ил-2 был необходим, так как процент раненых стрелков оказался очень большим:</w:t>
      </w:r>
      <w:r w:rsidRPr="00925F26">
        <w:rPr>
          <w:rStyle w:val="aff6"/>
          <w:rFonts w:ascii="Times New Roman" w:hAnsi="Times New Roman" w:cs="Times New Roman"/>
          <w:i w:val="0"/>
          <w:color w:val="000000" w:themeColor="text1"/>
          <w:spacing w:val="0"/>
        </w:rPr>
        <w:t xml:space="preserve"> «В частях много летчиков, у ко</w:t>
      </w:r>
      <w:r w:rsidRPr="00925F26">
        <w:rPr>
          <w:rStyle w:val="aff6"/>
          <w:rFonts w:ascii="Times New Roman" w:hAnsi="Times New Roman" w:cs="Times New Roman"/>
          <w:i w:val="0"/>
          <w:color w:val="000000" w:themeColor="text1"/>
          <w:spacing w:val="0"/>
        </w:rPr>
        <w:softHyphen/>
        <w:t>торых по причинам ранения сменилось по 3-4 воздушных стрелка».</w:t>
      </w:r>
      <w:r w:rsidRPr="00925F26">
        <w:rPr>
          <w:rFonts w:ascii="Times New Roman" w:cs="Times New Roman"/>
          <w:color w:val="000000" w:themeColor="text1"/>
          <w:spacing w:val="0"/>
        </w:rPr>
        <w:t xml:space="preserve"> Но при этом требовалось сохранить центровку самолета на прежнем уровне, например,</w:t>
      </w:r>
      <w:r w:rsidRPr="00925F26">
        <w:rPr>
          <w:rStyle w:val="aff6"/>
          <w:rFonts w:ascii="Times New Roman" w:hAnsi="Times New Roman" w:cs="Times New Roman"/>
          <w:i w:val="0"/>
          <w:color w:val="000000" w:themeColor="text1"/>
          <w:spacing w:val="0"/>
        </w:rPr>
        <w:t xml:space="preserve"> «путем уменьшения боковых плит кабины воздушного стрелка».</w:t>
      </w:r>
    </w:p>
    <w:p w14:paraId="521DFE25"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hAnsi="Times New Roman" w:cs="Times New Roman"/>
          <w:i w:val="0"/>
          <w:color w:val="000000" w:themeColor="text1"/>
          <w:sz w:val="16"/>
          <w:szCs w:val="16"/>
        </w:rPr>
        <w:t>Считалось целесообразным</w:t>
      </w:r>
      <w:r w:rsidRPr="00925F26">
        <w:rPr>
          <w:rFonts w:ascii="Times New Roman" w:cs="Times New Roman"/>
          <w:color w:val="000000" w:themeColor="text1"/>
          <w:sz w:val="16"/>
          <w:szCs w:val="16"/>
        </w:rPr>
        <w:t xml:space="preserve"> «боковые плиты кабины воздушного стрелка устанавли</w:t>
      </w:r>
      <w:r w:rsidRPr="00925F26">
        <w:rPr>
          <w:rFonts w:ascii="Times New Roman" w:cs="Times New Roman"/>
          <w:color w:val="000000" w:themeColor="text1"/>
          <w:sz w:val="16"/>
          <w:szCs w:val="16"/>
        </w:rPr>
        <w:softHyphen/>
        <w:t xml:space="preserve">вать из противоосколочной брони толщиной </w:t>
      </w:r>
      <w:r w:rsidRPr="00925F26">
        <w:rPr>
          <w:rStyle w:val="aff6"/>
          <w:rFonts w:ascii="Times New Roman" w:hAnsi="Times New Roman" w:cs="Times New Roman"/>
          <w:i w:val="0"/>
          <w:color w:val="000000" w:themeColor="text1"/>
        </w:rPr>
        <w:t>2,5 мм,</w:t>
      </w:r>
      <w:r w:rsidRPr="00925F26">
        <w:rPr>
          <w:rFonts w:ascii="Times New Roman" w:cs="Times New Roman"/>
          <w:color w:val="000000" w:themeColor="text1"/>
          <w:sz w:val="16"/>
          <w:szCs w:val="16"/>
        </w:rPr>
        <w:t xml:space="preserve"> что позволило бы уменьшить вес комплекта дополнительного бронирования до 55-60 кг. Однако к этому времени война закончилась, строевые части активно пере</w:t>
      </w:r>
      <w:r w:rsidRPr="00925F26">
        <w:rPr>
          <w:rFonts w:ascii="Times New Roman" w:cs="Times New Roman"/>
          <w:color w:val="000000" w:themeColor="text1"/>
          <w:sz w:val="16"/>
          <w:szCs w:val="16"/>
        </w:rPr>
        <w:softHyphen/>
        <w:t>вооружались на более скоростной штурмовик Ил-10 АМ-42, выпуск Ил-2 сокращался. В этих условиях усилия НКАП и ОКБ Ильюшина были сосредоточены только на доводке «десятки» (17478).</w:t>
      </w:r>
    </w:p>
    <w:p w14:paraId="63ABB0AC" w14:textId="77777777" w:rsidR="005F32F4" w:rsidRPr="00925F26" w:rsidRDefault="005F32F4" w:rsidP="00925F26">
      <w:pPr>
        <w:jc w:val="both"/>
        <w:rPr>
          <w:color w:val="000000" w:themeColor="text1"/>
          <w:sz w:val="16"/>
          <w:szCs w:val="16"/>
        </w:rPr>
      </w:pPr>
    </w:p>
    <w:p w14:paraId="4CA5B1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года врид командующего ВВС маршал авиации Фалалеев писал письмо N 741482с Шахурину.</w:t>
      </w:r>
    </w:p>
    <w:p w14:paraId="0B97F8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Государственными испытаниями модифицированного самолета ЯК-3 с мотором </w:t>
      </w:r>
      <w:proofErr w:type="gramStart"/>
      <w:r w:rsidRPr="00925F26">
        <w:rPr>
          <w:color w:val="000000" w:themeColor="text1"/>
          <w:sz w:val="16"/>
          <w:szCs w:val="16"/>
        </w:rPr>
        <w:t>ВК-105ПФ2</w:t>
      </w:r>
      <w:proofErr w:type="gramEnd"/>
      <w:r w:rsidRPr="00925F26">
        <w:rPr>
          <w:color w:val="000000" w:themeColor="text1"/>
          <w:sz w:val="16"/>
          <w:szCs w:val="16"/>
        </w:rPr>
        <w:t xml:space="preserve"> вооруженного тремя пушками Б-20, проведенными в ГК НИИ ВВС в апреле-мае с.г. установлено:</w:t>
      </w:r>
    </w:p>
    <w:p w14:paraId="60266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ЯК-3 с ВК-105ПФ2 с данным вариантом вооружения, является нужным для ВВС самолетом.</w:t>
      </w:r>
    </w:p>
    <w:p w14:paraId="3BA1AF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в процессе испытаний на самолете был выявлен ряд дефектов, основными из которых являются:</w:t>
      </w:r>
    </w:p>
    <w:p w14:paraId="44C537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Максимальные горизонтальные скорости самолета на 15-25 км/час меньше установленных постановлением ГОКО N 4430сс от 12.10.43 г. вследствие отсоса щитков шасси в полете и волнистой поверхности крыла.</w:t>
      </w:r>
    </w:p>
    <w:p w14:paraId="5CFF4D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Отставание обшивки киля.</w:t>
      </w:r>
    </w:p>
    <w:p w14:paraId="494914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Отсутствие переднего бронестекла.</w:t>
      </w:r>
    </w:p>
    <w:p w14:paraId="13AEDE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Валики нагрузки на ручку от элеронов.</w:t>
      </w:r>
    </w:p>
    <w:p w14:paraId="368D3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Недостаточная прочность кронштейна крепления пневмоцилиндра спуска пушки Б-20М.</w:t>
      </w:r>
    </w:p>
    <w:p w14:paraId="62D2EB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Поломки штока пневмоцилиндра спуска пушки Б-20М.</w:t>
      </w:r>
    </w:p>
    <w:p w14:paraId="50AD4B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Заклинение конца патронной ленты в 7 штук патронов на выходе из патронных ящиков пушек Б-20С вследствие захлестывания последнего патрона.</w:t>
      </w:r>
    </w:p>
    <w:p w14:paraId="233A1F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Затруднена установка пушек Б-20С.</w:t>
      </w:r>
    </w:p>
    <w:p w14:paraId="07E682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Установка трубки Вентури в выходной части туннеля водорадиатора не обеспечивает перепада давления, необходимого для нормальной работы указателя поворота.</w:t>
      </w:r>
    </w:p>
    <w:p w14:paraId="3139F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Дальность радиопередачи с самолета не соответствует требованиям ВВС.</w:t>
      </w:r>
    </w:p>
    <w:p w14:paraId="17B24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Удлинение ввода передатчика и свертывание части его длины в бухту не обеспечивает постоянства настройки антенны в полете.</w:t>
      </w:r>
    </w:p>
    <w:p w14:paraId="2C670A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Установка регуляторной коробки фильтра генератора на моторе вызывает частые отказы их.</w:t>
      </w:r>
    </w:p>
    <w:p w14:paraId="080413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Отсутствие переднего бронестекла и недостаточная дальность радиосвязи на самолетах ЯК-3 и ЯК-9 отмечается ГК НИИ ВВС во всех отчетах с момента прохождения этими самолетами государственных испытаний.</w:t>
      </w:r>
    </w:p>
    <w:p w14:paraId="1F609D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это заводы НКАП до настоящего времени продолжают выпускать самолеты ЯК-3 и ЯК-9 без переднего бронестекла и с недостаточной дальностью радиосвязи.</w:t>
      </w:r>
    </w:p>
    <w:p w14:paraId="587FB2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Вас о принятии необходимых мер (2591,69).</w:t>
      </w:r>
    </w:p>
    <w:p w14:paraId="35E1219C" w14:textId="77777777" w:rsidR="00665165" w:rsidRPr="00925F26" w:rsidRDefault="00665165" w:rsidP="00925F26">
      <w:pPr>
        <w:autoSpaceDE w:val="0"/>
        <w:autoSpaceDN w:val="0"/>
        <w:adjustRightInd w:val="0"/>
        <w:jc w:val="both"/>
        <w:rPr>
          <w:color w:val="000000" w:themeColor="text1"/>
          <w:sz w:val="16"/>
          <w:szCs w:val="16"/>
        </w:rPr>
      </w:pPr>
    </w:p>
    <w:p w14:paraId="18D32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19 апреля 1945 1943 (805,5).</w:t>
      </w:r>
    </w:p>
    <w:p w14:paraId="77DAA7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стт-л В.П.Белодеденко</w:t>
      </w:r>
    </w:p>
    <w:p w14:paraId="1A4E04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вли к Мванов</w:t>
      </w:r>
    </w:p>
    <w:p w14:paraId="3E1C32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5AB7F7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макс. скорость на 15-19 км/час меньше установленной постановлением ГОКО от 26 октября 1943</w:t>
      </w:r>
    </w:p>
    <w:p w14:paraId="5E9C1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объем б/б был на 22 л меньше, чем у с-та Як-1 М “дублер”</w:t>
      </w:r>
    </w:p>
    <w:p w14:paraId="25F806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мала дальность р/передатчика (45 км)</w:t>
      </w:r>
    </w:p>
    <w:p w14:paraId="3713C9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0D38F6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5D620F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с-т Як-3 № 22-29 с ПФ-2 контрольные испытания прошел неудовлетворительно.</w:t>
      </w:r>
    </w:p>
    <w:p w14:paraId="16084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нем не устранены следующие основаные дефекты, выявленные </w:t>
      </w:r>
      <w:proofErr w:type="gramStart"/>
      <w:r w:rsidRPr="00925F26">
        <w:rPr>
          <w:color w:val="000000" w:themeColor="text1"/>
          <w:sz w:val="16"/>
          <w:szCs w:val="16"/>
        </w:rPr>
        <w:t>при испытаниях</w:t>
      </w:r>
      <w:proofErr w:type="gramEnd"/>
      <w:r w:rsidRPr="00925F26">
        <w:rPr>
          <w:color w:val="000000" w:themeColor="text1"/>
          <w:sz w:val="16"/>
          <w:szCs w:val="16"/>
        </w:rPr>
        <w:t xml:space="preserve"> с-та № 11-12:</w:t>
      </w:r>
    </w:p>
    <w:p w14:paraId="57B3D4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28DAD7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максимальная дальность радиопередачи (60 км)</w:t>
      </w:r>
    </w:p>
    <w:p w14:paraId="6E858A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мала емкость б/б (360 л против 372 л у опытного Як-1М “дублер”</w:t>
      </w:r>
    </w:p>
    <w:p w14:paraId="141441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 Сафронов - 3 мая 1945, Лосюков - 4 мая 1945</w:t>
      </w:r>
    </w:p>
    <w:p w14:paraId="683450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0F5689" w:rsidRPr="00925F26" w14:paraId="3E1D5A40" w14:textId="77777777">
        <w:tc>
          <w:tcPr>
            <w:tcW w:w="3369" w:type="dxa"/>
            <w:tcBorders>
              <w:top w:val="single" w:sz="12" w:space="0" w:color="auto"/>
            </w:tcBorders>
          </w:tcPr>
          <w:p w14:paraId="3A0F12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w:t>
            </w:r>
          </w:p>
        </w:tc>
        <w:tc>
          <w:tcPr>
            <w:tcW w:w="1961" w:type="dxa"/>
            <w:tcBorders>
              <w:top w:val="single" w:sz="12" w:space="0" w:color="auto"/>
            </w:tcBorders>
          </w:tcPr>
          <w:p w14:paraId="6F5292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4DD6B4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40D231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5AB71E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постановлению ГОКО от 26 октября 1943</w:t>
            </w:r>
          </w:p>
        </w:tc>
      </w:tr>
      <w:tr w:rsidR="000F5689" w:rsidRPr="00925F26" w14:paraId="56C66C37" w14:textId="77777777">
        <w:tc>
          <w:tcPr>
            <w:tcW w:w="3369" w:type="dxa"/>
          </w:tcPr>
          <w:p w14:paraId="071C29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1961" w:type="dxa"/>
          </w:tcPr>
          <w:p w14:paraId="5E6F50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961" w:type="dxa"/>
          </w:tcPr>
          <w:p w14:paraId="6F5E3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2675</w:t>
            </w:r>
          </w:p>
        </w:tc>
        <w:tc>
          <w:tcPr>
            <w:tcW w:w="1961" w:type="dxa"/>
          </w:tcPr>
          <w:p w14:paraId="0D6F84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w:t>
            </w:r>
          </w:p>
        </w:tc>
        <w:tc>
          <w:tcPr>
            <w:tcW w:w="1961" w:type="dxa"/>
          </w:tcPr>
          <w:p w14:paraId="0A32B7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2670</w:t>
            </w:r>
          </w:p>
        </w:tc>
      </w:tr>
      <w:tr w:rsidR="000F5689" w:rsidRPr="00925F26" w14:paraId="0B9417A5" w14:textId="77777777">
        <w:tc>
          <w:tcPr>
            <w:tcW w:w="3369" w:type="dxa"/>
          </w:tcPr>
          <w:p w14:paraId="15325C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у земли</w:t>
            </w:r>
          </w:p>
        </w:tc>
        <w:tc>
          <w:tcPr>
            <w:tcW w:w="1961" w:type="dxa"/>
          </w:tcPr>
          <w:p w14:paraId="4813E1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961" w:type="dxa"/>
          </w:tcPr>
          <w:p w14:paraId="3DD062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w:t>
            </w:r>
          </w:p>
        </w:tc>
        <w:tc>
          <w:tcPr>
            <w:tcW w:w="1961" w:type="dxa"/>
          </w:tcPr>
          <w:p w14:paraId="7E4F46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w:t>
            </w:r>
          </w:p>
        </w:tc>
        <w:tc>
          <w:tcPr>
            <w:tcW w:w="1961" w:type="dxa"/>
          </w:tcPr>
          <w:p w14:paraId="4245D1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r>
      <w:tr w:rsidR="000F5689" w:rsidRPr="00925F26" w14:paraId="2A3AFFA9" w14:textId="77777777">
        <w:tc>
          <w:tcPr>
            <w:tcW w:w="3369" w:type="dxa"/>
          </w:tcPr>
          <w:p w14:paraId="4B5BC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1-й границе высотности</w:t>
            </w:r>
          </w:p>
        </w:tc>
        <w:tc>
          <w:tcPr>
            <w:tcW w:w="1961" w:type="dxa"/>
          </w:tcPr>
          <w:p w14:paraId="1B4FA0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613/2100</w:t>
            </w:r>
          </w:p>
        </w:tc>
        <w:tc>
          <w:tcPr>
            <w:tcW w:w="1961" w:type="dxa"/>
          </w:tcPr>
          <w:p w14:paraId="58D11C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610/2200</w:t>
            </w:r>
          </w:p>
        </w:tc>
        <w:tc>
          <w:tcPr>
            <w:tcW w:w="1961" w:type="dxa"/>
          </w:tcPr>
          <w:p w14:paraId="693570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610/1600</w:t>
            </w:r>
          </w:p>
        </w:tc>
        <w:tc>
          <w:tcPr>
            <w:tcW w:w="1961" w:type="dxa"/>
          </w:tcPr>
          <w:p w14:paraId="423299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4798F93" w14:textId="77777777">
        <w:tc>
          <w:tcPr>
            <w:tcW w:w="3369" w:type="dxa"/>
          </w:tcPr>
          <w:p w14:paraId="346ECD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2-й границе высотности</w:t>
            </w:r>
          </w:p>
        </w:tc>
        <w:tc>
          <w:tcPr>
            <w:tcW w:w="1961" w:type="dxa"/>
          </w:tcPr>
          <w:p w14:paraId="19BBC5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639/4150</w:t>
            </w:r>
          </w:p>
        </w:tc>
        <w:tc>
          <w:tcPr>
            <w:tcW w:w="1961" w:type="dxa"/>
          </w:tcPr>
          <w:p w14:paraId="53828E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631/4200</w:t>
            </w:r>
          </w:p>
        </w:tc>
        <w:tc>
          <w:tcPr>
            <w:tcW w:w="1961" w:type="dxa"/>
          </w:tcPr>
          <w:p w14:paraId="52A8B4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642/3750</w:t>
            </w:r>
          </w:p>
        </w:tc>
        <w:tc>
          <w:tcPr>
            <w:tcW w:w="1961" w:type="dxa"/>
          </w:tcPr>
          <w:p w14:paraId="2D1046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r>
      <w:tr w:rsidR="000F5689" w:rsidRPr="00925F26" w14:paraId="7873173F" w14:textId="77777777">
        <w:tc>
          <w:tcPr>
            <w:tcW w:w="3369" w:type="dxa"/>
            <w:tcBorders>
              <w:bottom w:val="single" w:sz="12" w:space="0" w:color="auto"/>
            </w:tcBorders>
          </w:tcPr>
          <w:p w14:paraId="2685D7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5000 м</w:t>
            </w:r>
          </w:p>
        </w:tc>
        <w:tc>
          <w:tcPr>
            <w:tcW w:w="1961" w:type="dxa"/>
            <w:tcBorders>
              <w:bottom w:val="single" w:sz="12" w:space="0" w:color="auto"/>
            </w:tcBorders>
          </w:tcPr>
          <w:p w14:paraId="77A7BA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961" w:type="dxa"/>
            <w:tcBorders>
              <w:bottom w:val="single" w:sz="12" w:space="0" w:color="auto"/>
            </w:tcBorders>
          </w:tcPr>
          <w:p w14:paraId="78AFC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961" w:type="dxa"/>
            <w:tcBorders>
              <w:bottom w:val="single" w:sz="12" w:space="0" w:color="auto"/>
            </w:tcBorders>
          </w:tcPr>
          <w:p w14:paraId="098649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961" w:type="dxa"/>
            <w:tcBorders>
              <w:bottom w:val="single" w:sz="12" w:space="0" w:color="auto"/>
            </w:tcBorders>
          </w:tcPr>
          <w:p w14:paraId="7FBFB4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bl>
    <w:p w14:paraId="724FD2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1хТМА-2- ШВАК и 2хБС синхр.</w:t>
      </w:r>
    </w:p>
    <w:p w14:paraId="7B5DD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серийного с-та № 11-12, проходившего КИ в сентябре 1944 имеет следующие основные отличия:</w:t>
      </w:r>
    </w:p>
    <w:p w14:paraId="59A2B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 планеру</w:t>
      </w:r>
    </w:p>
    <w:p w14:paraId="51D94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проведены мероприятия по улучшению аэродинамики с-та</w:t>
      </w:r>
    </w:p>
    <w:p w14:paraId="185A2E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уменьшены щели между крылом и элеронами, между килем и РП и между стабилизатором и РВ</w:t>
      </w:r>
    </w:p>
    <w:p w14:paraId="56B267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уменьшены вырезы под кронштейны элеронов и рулей</w:t>
      </w:r>
    </w:p>
    <w:p w14:paraId="152C1F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улучшена герметичность с-та</w:t>
      </w:r>
    </w:p>
    <w:p w14:paraId="58B503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поставлены замки на центральные щитки шасси</w:t>
      </w:r>
    </w:p>
    <w:p w14:paraId="3359CC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повышена прочность крыла:</w:t>
      </w:r>
    </w:p>
    <w:p w14:paraId="16FE72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увеличена вдвое площадь склейки средней части нервюр 8, 9, 10, 11, 14, 16, 18 с верхней обшивкой</w:t>
      </w:r>
    </w:p>
    <w:p w14:paraId="3A7C3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4971DC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средняя часть и шпон лобовой части обшивки приклеены клеем ВИАМ-Б-3</w:t>
      </w:r>
    </w:p>
    <w:p w14:paraId="301741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 ВМГ - установлено приспособление для газового запуска мотора...</w:t>
      </w:r>
    </w:p>
    <w:p w14:paraId="0748C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 - вместо передатчика РСИ-3 установлен РСИ-3М-1...</w:t>
      </w:r>
    </w:p>
    <w:p w14:paraId="0D7ABA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испытаний:</w:t>
      </w:r>
    </w:p>
    <w:p w14:paraId="385DD8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03452B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выполнено 20 полетов с общим налетом 12:16</w:t>
      </w:r>
    </w:p>
    <w:p w14:paraId="0FAF80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2146 при нормальном полетном 2710. Ц/т 24,7%</w:t>
      </w:r>
    </w:p>
    <w:p w14:paraId="5AEE98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- 90</w:t>
      </w:r>
    </w:p>
    <w:p w14:paraId="0E61AE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- 360 л (уд. Вес 0,741) - 267 кг</w:t>
      </w:r>
    </w:p>
    <w:p w14:paraId="546016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- 95,5</w:t>
      </w:r>
    </w:p>
    <w:p w14:paraId="054A03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боезапас - 77,5</w:t>
      </w:r>
    </w:p>
    <w:p w14:paraId="0380E1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съемное оборудование - 14</w:t>
      </w:r>
    </w:p>
    <w:p w14:paraId="025253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564 кг</w:t>
      </w:r>
    </w:p>
    <w:p w14:paraId="2B46F2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5BE161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Перечень дефектов и конструктивных недостатков, выявленных при испытаниях:</w:t>
      </w:r>
    </w:p>
    <w:p w14:paraId="70731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отсос щитков шасси при полете на повышенной скорости</w:t>
      </w:r>
    </w:p>
    <w:p w14:paraId="0A6D6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отставание обшивки в нижней части конца фюзеляжа, отставание обшивки киля</w:t>
      </w:r>
    </w:p>
    <w:p w14:paraId="229701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искажения сферического козырька кабины фонаря, видемость через него неудовлетворительна</w:t>
      </w:r>
    </w:p>
    <w:p w14:paraId="161211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велики усилия на ручке элеронов и РВ, малая эффективность триммер РВ</w:t>
      </w:r>
    </w:p>
    <w:p w14:paraId="4E38E0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Летная оценка:</w:t>
      </w:r>
    </w:p>
    <w:p w14:paraId="771080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Механические бензомеры непригодны для расхода горючего.</w:t>
      </w:r>
    </w:p>
    <w:p w14:paraId="4F2B04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Радиосвязь на землю с высоты 1000 м - 60 км</w:t>
      </w:r>
    </w:p>
    <w:p w14:paraId="40467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6A6740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Вентиляция кабины эффективна</w:t>
      </w:r>
    </w:p>
    <w:p w14:paraId="162F2F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огнем пушки и пулеметов - удачное</w:t>
      </w:r>
    </w:p>
    <w:p w14:paraId="2B31BE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2E69A0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Иванов - подписал 30 апреля 1945</w:t>
      </w:r>
    </w:p>
    <w:p w14:paraId="25438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облета Прошаков, Хомяков, Седов, Антипов, Кувшинов - подписали 30 апреля 1945 (805,5).</w:t>
      </w:r>
    </w:p>
    <w:p w14:paraId="2AA8380E" w14:textId="77777777" w:rsidR="00665165" w:rsidRPr="00925F26" w:rsidRDefault="00665165" w:rsidP="00925F26">
      <w:pPr>
        <w:autoSpaceDE w:val="0"/>
        <w:autoSpaceDN w:val="0"/>
        <w:adjustRightInd w:val="0"/>
        <w:jc w:val="both"/>
        <w:rPr>
          <w:color w:val="000000" w:themeColor="text1"/>
          <w:sz w:val="16"/>
          <w:szCs w:val="16"/>
        </w:rPr>
      </w:pPr>
    </w:p>
    <w:p w14:paraId="127B45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г. закончилась программа испытаний Me 410 Б-2, (Me 410 В-2), состоящая из 23 полётов общей продолжительностью 14 часов 25 минут, которая выполнялась с 14 апреля 1945.</w:t>
      </w:r>
    </w:p>
    <w:p w14:paraId="1E246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w:t>
      </w:r>
    </w:p>
    <w:p w14:paraId="74B227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Модификация “мессершмитта” с 50мм пушкой ВК 5 получила в Люфтваффе обозначение Me 410 A-2/U-4. На ней для стрельбы вперёд устанавливались также две 20-мм пушки MG 151 и пара пулемётов MG 17 калибра 7,9 мм. Самолёт,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 151 и один MG 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71B2FB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Было бы логично и правильно данный конкретный самолёт называть Me 410 A-2/U-4, как и все “четыреста десятые” с 50-мм пушкой, однако, во всех выдержках их отчета использовался индекс Ме-410 Б-2.</w:t>
      </w:r>
    </w:p>
    <w:p w14:paraId="7A646B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Ведущим лётчиком-испытателем назначили майора И.П.Пискунова, ведущим инженером инженер-подполковника В.Я.Магона.</w:t>
      </w:r>
    </w:p>
    <w:p w14:paraId="79762A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отличие от американских и английских лётчиков-испытателей, советские пилоты отзывались об управляемости немецкого самолета скорее положительно. Так, в разделе “Лётная оценка самолёта” Акта по испытаниям, помимо нескольких недостатков, отмечалось легкое пилотирование и хорошая манёвренность истребителя. Есть смысл привести ряд выдержек из этого раздела:</w:t>
      </w:r>
    </w:p>
    <w:p w14:paraId="453D67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и навигационных приборов удобное.</w:t>
      </w:r>
    </w:p>
    <w:p w14:paraId="5FC9C0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Особенно облегчает эксплуатацию самолёта наличие автомата переключения скоростей нагнетателя, автомата, регулирующего температуру масла и объединенного управления винтом и газом...</w:t>
      </w:r>
    </w:p>
    <w:p w14:paraId="59EAC5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торможении приходиться прикладывать большие усилия...</w:t>
      </w:r>
    </w:p>
    <w:p w14:paraId="1EAA28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00CFC6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 наборе высоты самолёт устойчив и хорошо управляем...</w:t>
      </w:r>
    </w:p>
    <w:p w14:paraId="3DF485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гооизонтальном полёте самолёт допускает полёт с освобождённым управлением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68BDBE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5231B1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 виражах с креном 65-70 градусов (Vnp=380 км/ч), самолёт устойчив, нагрузки на рулях управления нормальные. На виражах с креном 70 градусов (Vnp=390-400 км/ч) при незначительном перетягивании ручки создаётся быстрое уменьшение нагрузки на рулях, и самолёт старается выйти из виража. Управляемость и устойчивость самолёта при выполнении боевого разворота хорошая...</w:t>
      </w:r>
    </w:p>
    <w:p w14:paraId="57724F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Н=б000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Vnp=280 км/ч до максимально возможных. В длительном горизонтальном полёте на режиме номинальной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5756C0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Выводы. По технике пилотирования сравним с самолётом Пе-2 и практически одинаков с самолётом Ту-2. По управляемости и манёвренности самолёт Me 410 Б-2 превосходит серийные отечественные бомбардировщики...”.</w:t>
      </w:r>
    </w:p>
    <w:p w14:paraId="3629E3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отзывам лётчика добавляется мнение штурмана-испытателя старшего лейтенанта Попцова, летавшего на месте стрелка-радиста. И он, наряду с недостатками, отмечает ряд положительных сторон “мессершмитта”:</w:t>
      </w:r>
    </w:p>
    <w:p w14:paraId="000EF9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59742A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Размеры кабины стрелка-радиста. размещение и объём оборудования, размещение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58A1A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другими.</w:t>
      </w:r>
    </w:p>
    <w:p w14:paraId="4C167F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“Пушка ВК 5 калибра 50 мм, являясь танковой пушкой, приспособленной для установка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 сек, пушка имеет вес вместе с агрегатами автоматической перезарядки 592 кг, тогда как отечественная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 но-фугасных снарядов пушки ВК 5 при действии по самолетным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161659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управлением наши серийные самолёты не имели.</w:t>
      </w:r>
    </w:p>
    <w:p w14:paraId="728727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Пулеметная установка FDSL-B131/1B не сложна и обеспечивает безотказную работу привода и удобную эксплуатацию... Электромеханический привод установки представляет интерес для изучения и возможного использования отдельных конструктивных элементов...".</w:t>
      </w:r>
    </w:p>
    <w:p w14:paraId="4600B6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отзывам специалистов НИИ ВВС, ещё некоторые агрегаты могли быть рекомендованы промышленности для использования при проектировании отечественного оборудования. Интерес представляли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455CE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ультракоротковолновая командная FuG 16 для обмена информацией между самолётами в строю.</w:t>
      </w:r>
    </w:p>
    <w:p w14:paraId="0AD9DE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Советские лётчики отметили очень надёжную работу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целесообразности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 G-S с двигателем DB 605.</w:t>
      </w:r>
    </w:p>
    <w:p w14:paraId="63467B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Двигатели DB 603A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21FEB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 не менее, после 19-ти часов работы на левом двигателе произошёл прогар поршня в переднем цилиндре левого блока. Возможно, это случилось из-за применения бензина с повышенным октановым числом. В Германии моторы DB 603A эксплуатировались на бензине В4 с октановым числом “87”по немецкой шкале (или “91 ” по шкале, принятой в СССР). А горючее 4Б-78, которым в НИИ ВВС заправляли самолет Me 410, имел октановое число “94,5”.</w:t>
      </w:r>
    </w:p>
    <w:p w14:paraId="440540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Хорошо зарекомендовал себя в эксплуатации немецкий антифриз, состоящий на 50% из гликоля и на 50% из воды. На нём система охлаждения двигателей удовлетворительно работала вплоть до потолка самолёта. Но при опробовании моторов на земле и рулении температура охлаждающей жидкости достигала верхнего предела уже через 3-5 минут. Причиной тому являлось расположение радиаторов под крылом и их недостаточный обдув винтами.</w:t>
      </w:r>
    </w:p>
    <w:p w14:paraId="18755F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Естественно, что наибольшее внимание военные специалисты уделили боевым возможностям немецкого перехватчика. В НИИ ВВС были проведены учебные сражения Me 410 с бомбардировщиком Ту-2, истребителями Як-3 и Ла-7 (6407).</w:t>
      </w:r>
    </w:p>
    <w:p w14:paraId="69ECC5DB" w14:textId="77777777" w:rsidR="00665165" w:rsidRPr="00925F26" w:rsidRDefault="00665165" w:rsidP="00925F26">
      <w:pPr>
        <w:autoSpaceDE w:val="0"/>
        <w:autoSpaceDN w:val="0"/>
        <w:adjustRightInd w:val="0"/>
        <w:jc w:val="both"/>
        <w:rPr>
          <w:color w:val="000000" w:themeColor="text1"/>
          <w:sz w:val="16"/>
          <w:szCs w:val="16"/>
        </w:rPr>
      </w:pPr>
    </w:p>
    <w:p w14:paraId="3B6F517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894A263" w14:textId="77777777" w:rsidR="00665165" w:rsidRPr="00925F26" w:rsidRDefault="00665165" w:rsidP="00925F26">
      <w:pPr>
        <w:autoSpaceDE w:val="0"/>
        <w:autoSpaceDN w:val="0"/>
        <w:adjustRightInd w:val="0"/>
        <w:jc w:val="both"/>
        <w:rPr>
          <w:iCs/>
          <w:color w:val="000000" w:themeColor="text1"/>
          <w:sz w:val="16"/>
          <w:szCs w:val="16"/>
        </w:rPr>
      </w:pPr>
    </w:p>
    <w:p w14:paraId="392682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мая 1945 г. было подготовлено СООБЩЕНИЕ НКТП СССР КОМАНДУЮЩЕМУ БТ и МВ КА О РАБОТАХ ПО УСТАНОВКЕ 100-мм ПУШКИ В ТАНКЕ Т-44</w:t>
      </w:r>
    </w:p>
    <w:p w14:paraId="155F22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Сообщаю Вам, что еще в середине февраля сего года мною было дано указание заводу №75 НКТП отработать установку 100-мм пушки в танке Т-44 в башне с погоном 1700 мм.</w:t>
      </w:r>
    </w:p>
    <w:p w14:paraId="7DBE0E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настоящее время уже разработан проект и изготовлены рабочие чертежи этой установки.</w:t>
      </w:r>
    </w:p>
    <w:p w14:paraId="7F4538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мая сего года мною было издано распоряжение об изготовлении опытных образцов танка Т-44 со 100-мм пушкой.</w:t>
      </w:r>
    </w:p>
    <w:p w14:paraId="1D87B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Начало испытаний этих танков намечено на 10 июня с.г.</w:t>
      </w:r>
    </w:p>
    <w:p w14:paraId="7AEB4B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Что касается размещения 50 выстрелов, как это указывается в Вашем письме, то решение этой задачи является крайне затруднительным. Реальным является размещение 34-35 выстрелов. Тем не менее мною дано дополнительное указание заводу №75 о проработке возможности размещения 50 выстрелов.</w:t>
      </w:r>
    </w:p>
    <w:p w14:paraId="2FAD57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результатах проработки Вам будет сообщено дополнительно.</w:t>
      </w:r>
    </w:p>
    <w:p w14:paraId="28038E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Народный комиссар танковой промышленности СССР В. Малышев</w:t>
      </w:r>
    </w:p>
    <w:p w14:paraId="2B777C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3048. Л. 9. Подлинник (11420).</w:t>
      </w:r>
    </w:p>
    <w:p w14:paraId="21F8304E" w14:textId="77777777" w:rsidR="00665165" w:rsidRPr="00925F26" w:rsidRDefault="00665165" w:rsidP="00925F26">
      <w:pPr>
        <w:autoSpaceDE w:val="0"/>
        <w:autoSpaceDN w:val="0"/>
        <w:adjustRightInd w:val="0"/>
        <w:jc w:val="both"/>
        <w:rPr>
          <w:color w:val="000000" w:themeColor="text1"/>
          <w:sz w:val="16"/>
          <w:szCs w:val="16"/>
        </w:rPr>
      </w:pPr>
    </w:p>
    <w:p w14:paraId="4961E0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вышло Постановление ГКО № 8448 О плане снабжения горюче-смазочными материалами Красной Армии и Военно-Морского флота на май 1945 года. РГАНИР, Фонд ГКО, д. 413, лл. 135-137, 138-166 (11012).</w:t>
      </w:r>
    </w:p>
    <w:p w14:paraId="4AE1EEE5" w14:textId="77777777" w:rsidR="00665165" w:rsidRPr="00925F26" w:rsidRDefault="00665165" w:rsidP="00925F26">
      <w:pPr>
        <w:autoSpaceDE w:val="0"/>
        <w:autoSpaceDN w:val="0"/>
        <w:adjustRightInd w:val="0"/>
        <w:jc w:val="both"/>
        <w:rPr>
          <w:color w:val="000000" w:themeColor="text1"/>
          <w:sz w:val="16"/>
          <w:szCs w:val="16"/>
        </w:rPr>
      </w:pPr>
    </w:p>
    <w:p w14:paraId="5896A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Балтийцы спустили на воду 3 ТЩ (25, 26, 29-й). Катеростроители сдали флоту 10 катеров типа КМ-4 (10671).</w:t>
      </w:r>
    </w:p>
    <w:p w14:paraId="2730901F" w14:textId="77777777" w:rsidR="00665165" w:rsidRPr="00925F26" w:rsidRDefault="00665165" w:rsidP="00925F26">
      <w:pPr>
        <w:autoSpaceDE w:val="0"/>
        <w:autoSpaceDN w:val="0"/>
        <w:adjustRightInd w:val="0"/>
        <w:jc w:val="both"/>
        <w:rPr>
          <w:color w:val="000000" w:themeColor="text1"/>
          <w:sz w:val="16"/>
          <w:szCs w:val="16"/>
        </w:rPr>
      </w:pPr>
    </w:p>
    <w:p w14:paraId="0D15BB6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5C2EC22" w14:textId="77777777" w:rsidR="00665165" w:rsidRPr="00925F26" w:rsidRDefault="00665165" w:rsidP="00925F26">
      <w:pPr>
        <w:autoSpaceDE w:val="0"/>
        <w:autoSpaceDN w:val="0"/>
        <w:adjustRightInd w:val="0"/>
        <w:jc w:val="both"/>
        <w:rPr>
          <w:iCs/>
          <w:color w:val="000000" w:themeColor="text1"/>
          <w:sz w:val="16"/>
          <w:szCs w:val="16"/>
        </w:rPr>
      </w:pPr>
    </w:p>
    <w:p w14:paraId="71E9910A" w14:textId="77777777" w:rsidR="00CF3DC7" w:rsidRPr="00925F26" w:rsidRDefault="00CF3DC7" w:rsidP="00925F26">
      <w:pPr>
        <w:jc w:val="both"/>
        <w:rPr>
          <w:color w:val="000000" w:themeColor="text1"/>
          <w:sz w:val="16"/>
          <w:szCs w:val="16"/>
        </w:rPr>
      </w:pPr>
      <w:r w:rsidRPr="00925F26">
        <w:rPr>
          <w:color w:val="000000" w:themeColor="text1"/>
          <w:sz w:val="16"/>
          <w:szCs w:val="16"/>
        </w:rPr>
        <w:t>7 мая в 1945 году оперативная сводка Совинформбюро:</w:t>
      </w:r>
    </w:p>
    <w:p w14:paraId="286E31C8" w14:textId="77777777" w:rsidR="00CF3DC7" w:rsidRPr="00925F26" w:rsidRDefault="00CF3DC7" w:rsidP="00925F26">
      <w:pPr>
        <w:jc w:val="both"/>
        <w:rPr>
          <w:color w:val="000000" w:themeColor="text1"/>
          <w:sz w:val="16"/>
          <w:szCs w:val="16"/>
        </w:rPr>
      </w:pPr>
      <w:r w:rsidRPr="00925F26">
        <w:rPr>
          <w:color w:val="000000" w:themeColor="text1"/>
          <w:sz w:val="16"/>
          <w:szCs w:val="16"/>
        </w:rPr>
        <w:t>«Войска 1-го Белорусского фронта вышли на реку Эльба севернее и юго-восточнее Магдебурга, заняв при этом города Гектин, Цербст и крупные населённые пункты Шенхаузен, Бергцов, Парей, Шартау, Гервиш, Лейтцкау, Герден, Вальтернинбург, Штойтц. За 6 мая войска фронта взяли в плен 3.100 немецких солдат и офицеров и захватили на аэродромах 34 самолёта противника.</w:t>
      </w:r>
    </w:p>
    <w:p w14:paraId="267896F5" w14:textId="77777777" w:rsidR="00CF3DC7" w:rsidRPr="00925F26" w:rsidRDefault="00CF3DC7" w:rsidP="00925F26">
      <w:pPr>
        <w:jc w:val="both"/>
        <w:rPr>
          <w:color w:val="000000" w:themeColor="text1"/>
          <w:sz w:val="16"/>
          <w:szCs w:val="16"/>
        </w:rPr>
      </w:pPr>
      <w:r w:rsidRPr="00925F26">
        <w:rPr>
          <w:color w:val="000000" w:themeColor="text1"/>
          <w:sz w:val="16"/>
          <w:szCs w:val="16"/>
        </w:rPr>
        <w:t>Войска 1-го Украинского фронта в результате длительной осады 7 мая полностью овладели городом и крепостью Бреславль (Бреслау).</w:t>
      </w:r>
    </w:p>
    <w:p w14:paraId="7B43EB8C" w14:textId="77777777" w:rsidR="00CF3DC7" w:rsidRPr="00925F26" w:rsidRDefault="00CF3DC7" w:rsidP="00925F26">
      <w:pPr>
        <w:jc w:val="both"/>
        <w:rPr>
          <w:color w:val="000000" w:themeColor="text1"/>
          <w:sz w:val="16"/>
          <w:szCs w:val="16"/>
        </w:rPr>
      </w:pPr>
      <w:r w:rsidRPr="00925F26">
        <w:rPr>
          <w:color w:val="000000" w:themeColor="text1"/>
          <w:sz w:val="16"/>
          <w:szCs w:val="16"/>
        </w:rPr>
        <w:t>Гарнизон немецких войск, оборонявший город, во главе с комендантом крепости генералом от инфантерии фон Нигоф и его штабом, прекратил сопротивление, сложил оружие и сдался в плен.</w:t>
      </w:r>
    </w:p>
    <w:p w14:paraId="77B0630D" w14:textId="77777777" w:rsidR="00CF3DC7" w:rsidRPr="00925F26" w:rsidRDefault="00CF3DC7" w:rsidP="00925F26">
      <w:pPr>
        <w:jc w:val="both"/>
        <w:rPr>
          <w:color w:val="000000" w:themeColor="text1"/>
          <w:sz w:val="16"/>
          <w:szCs w:val="16"/>
        </w:rPr>
      </w:pPr>
      <w:r w:rsidRPr="00925F26">
        <w:rPr>
          <w:color w:val="000000" w:themeColor="text1"/>
          <w:sz w:val="16"/>
          <w:szCs w:val="16"/>
        </w:rPr>
        <w:t>7 мая к 19 часам нашими войсками взято в плен в городе Бреславль более 40.000 немецких солдат и офицеров.</w:t>
      </w:r>
    </w:p>
    <w:p w14:paraId="44D4DA0A" w14:textId="77777777" w:rsidR="00CF3DC7" w:rsidRPr="00925F26" w:rsidRDefault="00CF3DC7"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западнее и юго-западнее города Моравска Острава, с боями заняли города Фрейденталь, Фридланд на Морау, Мериш-Нейштадт, Штепанов и крупные населённые пункты Вильдгруб, Шумвалд, Медлов, Хвалковице, Шмейль, Спалов, Одры, Палачов, Лешна. В боях за 6 мая войска фронта взяли в плен более 2.000 немецких солдат и офицеров.</w:t>
      </w:r>
    </w:p>
    <w:p w14:paraId="34BD9643" w14:textId="77777777" w:rsidR="00CF3DC7" w:rsidRPr="00925F26" w:rsidRDefault="00CF3DC7"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было. За 5 и 6 мая в воздушных боях и огнём зенитной артиллерии сбито 10 немецких самолётов.</w:t>
      </w:r>
    </w:p>
    <w:p w14:paraId="683A6001" w14:textId="77777777" w:rsidR="00CF3DC7" w:rsidRPr="00925F26" w:rsidRDefault="00CF3DC7" w:rsidP="00925F26">
      <w:pPr>
        <w:jc w:val="both"/>
        <w:rPr>
          <w:color w:val="000000" w:themeColor="text1"/>
          <w:sz w:val="16"/>
          <w:szCs w:val="16"/>
        </w:rPr>
      </w:pPr>
      <w:r w:rsidRPr="00925F26">
        <w:rPr>
          <w:color w:val="000000" w:themeColor="text1"/>
          <w:sz w:val="16"/>
          <w:szCs w:val="16"/>
        </w:rPr>
        <w:t>Войска 1-го Белорусского фронта севернее и юго-восточнее города Магдебург вышли к реке Эльба. На отдельных участках противник пытался оказывать сопротивление, но был отброшен ударами советских танков и пехоты. Немцы укрепились на окраинах города Гентин – важного узла дорог. В результате боя наши части ворвались в город и разгромили вражеский гарнизон. Уничтожено более 600 гитлеровцев. Захвачено 19 орудий, 73 пулемета, 3 радиостанции и склад с боеприпасами.</w:t>
      </w:r>
    </w:p>
    <w:p w14:paraId="2281F423" w14:textId="77777777" w:rsidR="00CF3DC7" w:rsidRPr="00925F26" w:rsidRDefault="00CF3DC7" w:rsidP="00925F26">
      <w:pPr>
        <w:jc w:val="both"/>
        <w:rPr>
          <w:color w:val="000000" w:themeColor="text1"/>
          <w:sz w:val="16"/>
          <w:szCs w:val="16"/>
        </w:rPr>
      </w:pPr>
      <w:r w:rsidRPr="00925F26">
        <w:rPr>
          <w:color w:val="000000" w:themeColor="text1"/>
          <w:sz w:val="16"/>
          <w:szCs w:val="16"/>
        </w:rPr>
        <w:t>Войска 1-го Украинского фронта в результате длительной осады сегодня полностью овладели городом и крепостью Бреславль (Бреслау). В середине февраля советские части совершили стремительный обходный маневр и окружили Бреславль. Немцы подготовились к длительной обороне города. Они забаррикадировали улицы и перекопали их противотанковыми рвами. Каждый каменный дом был превращен в дот с большим количеством огневых точек. В ряде мест гитлеровцы, чтобы затруднить продвижение советских войск, взорвали дома и устроили завалы на улицах. Особенно сильные опорные пункты обороны с полевой артиллерией и самоходными орудиями они создали на перекрестках улиц. Наши войска в ходе упорных уличных боев шаг за шагом продвигались вперед, все теснее сжимая кольцо окружения. Наши штурмовые группы выбивали гитлеровцев из укрытий. Артиллеристы и летчики наносили непрерывные удары по узлам сопротивления противника. Окруженный вражеский гарнизон неоднократно предпринимал попытки прорвать кольцо советских войск. Подгоняемые эсэсовцами, немецкие солдаты бросались в контратаки и тысячами гибли под огнем советских орудий, минометов и пулеметов. Советское командование предъявило немецким войскам, окруженным в Бреславле, ультиматум о капитуляции. После непродолжительных переговоров вражеский гарнизон во главе с комендантом крепости генералом от инфантерии фон Нигоф прекратил сопротивление, сложил оружие и сдался в плен. Сегодня к 7 часам вечера в Бреславле взято в плен более 40 тысяч немецких солдат и офицеров.</w:t>
      </w:r>
    </w:p>
    <w:p w14:paraId="6E7F9A29" w14:textId="77777777" w:rsidR="00CF3DC7" w:rsidRPr="00925F26" w:rsidRDefault="00CF3DC7" w:rsidP="00925F26">
      <w:pPr>
        <w:jc w:val="both"/>
        <w:rPr>
          <w:color w:val="000000" w:themeColor="text1"/>
          <w:sz w:val="16"/>
          <w:szCs w:val="16"/>
        </w:rPr>
      </w:pPr>
      <w:r w:rsidRPr="00925F26">
        <w:rPr>
          <w:color w:val="000000" w:themeColor="text1"/>
          <w:sz w:val="16"/>
          <w:szCs w:val="16"/>
        </w:rPr>
        <w:t>Город Бреславль является одним из важнейших железнодорожных узлов и крупным промышленным центром. В нем сосредоточены металлургические и машиностроительные заводы, авиационные и другие военные предприятия.</w:t>
      </w:r>
    </w:p>
    <w:p w14:paraId="304A009F" w14:textId="77777777" w:rsidR="00CF3DC7" w:rsidRPr="00925F26" w:rsidRDefault="00CF3DC7" w:rsidP="00925F26">
      <w:pPr>
        <w:jc w:val="both"/>
        <w:rPr>
          <w:color w:val="000000" w:themeColor="text1"/>
          <w:sz w:val="16"/>
          <w:szCs w:val="16"/>
        </w:rPr>
      </w:pPr>
      <w:r w:rsidRPr="00925F26">
        <w:rPr>
          <w:color w:val="000000" w:themeColor="text1"/>
          <w:sz w:val="16"/>
          <w:szCs w:val="16"/>
        </w:rPr>
        <w:t>Западнее и юго-западнее города Моравска Острава войска 4-го Украинского фронта продолжали наступление. Советские части, действующие в сложных условиях горно-лесистой местности, продвигаются вперед, громя войска противника, укрепившиеся на южных отрогах Судетских гор и в населенных пунктах. Наши танки и пехота прорвали промежуточный рубеж обороны немцев и овладели городом Фрейденталь. Другие наши части продвинулись в западном направлении на 20 километров и заняли город Мериш-Нейштадт. Захвачено у немцев 37 паровозов, 730 вагонов с различными грузами и 8 складов с военным имуществом.</w:t>
      </w:r>
    </w:p>
    <w:p w14:paraId="220692A1" w14:textId="77777777" w:rsidR="00CF3DC7" w:rsidRPr="00925F26" w:rsidRDefault="00CF3DC7" w:rsidP="00925F26">
      <w:pPr>
        <w:jc w:val="both"/>
        <w:rPr>
          <w:color w:val="000000" w:themeColor="text1"/>
          <w:sz w:val="16"/>
          <w:szCs w:val="16"/>
        </w:rPr>
      </w:pPr>
      <w:r w:rsidRPr="00925F26">
        <w:rPr>
          <w:color w:val="000000" w:themeColor="text1"/>
          <w:sz w:val="16"/>
          <w:szCs w:val="16"/>
        </w:rPr>
        <w:t>Авиацией Краснознамённого Балтийского флота 5 мая в районе острова Рюген потоплен транспорт противника водоизмещением в 6 тысяч тонн.» (14884).</w:t>
      </w:r>
    </w:p>
    <w:p w14:paraId="7133ED2C" w14:textId="77777777" w:rsidR="00CF3DC7" w:rsidRPr="00925F26" w:rsidRDefault="00CF3DC7" w:rsidP="00925F26">
      <w:pPr>
        <w:jc w:val="both"/>
        <w:rPr>
          <w:color w:val="000000" w:themeColor="text1"/>
          <w:sz w:val="16"/>
          <w:szCs w:val="16"/>
        </w:rPr>
      </w:pPr>
    </w:p>
    <w:p w14:paraId="701EA426"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По 7 мая 1945 года с 15 апреля 571 шап выполнил 620 боевых вылетов (общий налет 631 ч), из них 362 (налет 369 ч) в апреле. Произведено 82 групповых вылета («по 50 % в каждом месяце»).</w:t>
      </w:r>
    </w:p>
    <w:p w14:paraId="628C26AF"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Из общего количества самолето -вылетов только 20 приходится на разведку, остальные - на атаку войск противника. Удары в основном наносились по живой силе, огневым точкам и боевой технике на поле боя и в ближайшем войсковом тылу.</w:t>
      </w:r>
    </w:p>
    <w:p w14:paraId="35B50288"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В отдельные дни некоторые летчики выполняли по 5-6 боевых вылетов. Наименьшее количество вылетов на Ил-10 за весь период боевых действий у летчиков полка составило 9-10 вылетов, а максимальное - 30-33 вылета.</w:t>
      </w:r>
    </w:p>
    <w:p w14:paraId="7C2EF804"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 xml:space="preserve">Боевые потери составили три «десятки». Соответственно, на одну боевую потерю 571 шап приходится около 207 боевых вылетов Ил -10, тогда как другие штурмовые авиаполки, входящие в состав 224 и 227 шад 8 шак, в среднем показывали 113 </w:t>
      </w:r>
      <w:proofErr w:type="gramStart"/>
      <w:r w:rsidRPr="00925F26">
        <w:rPr>
          <w:rStyle w:val="107"/>
          <w:rFonts w:eastAsiaTheme="minorHAnsi"/>
          <w:color w:val="000000" w:themeColor="text1"/>
          <w:sz w:val="16"/>
          <w:szCs w:val="16"/>
        </w:rPr>
        <w:t>самолето-вылетов</w:t>
      </w:r>
      <w:proofErr w:type="gramEnd"/>
      <w:r w:rsidRPr="00925F26">
        <w:rPr>
          <w:rStyle w:val="107"/>
          <w:rFonts w:eastAsiaTheme="minorHAnsi"/>
          <w:color w:val="000000" w:themeColor="text1"/>
          <w:sz w:val="16"/>
          <w:szCs w:val="16"/>
        </w:rPr>
        <w:t xml:space="preserve"> на одну боевую потерю Ил-2.</w:t>
      </w:r>
    </w:p>
    <w:p w14:paraId="30ED9EC6"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По целям сбрасывались в основном ФАБ-100, ФАБ-50, АО-50-100, АО-25, АО-15, АО-10, АО-2,5 и ПТАБ -2,5-1,5. Всего было сброшено 194,5 тонны авиабомб различного типа.</w:t>
      </w:r>
    </w:p>
    <w:p w14:paraId="26F0EC5F"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Средняя бомбовая нагрузка на один самолет, приходящаяся на один боевой самолето -вылет, составила 314 кг (минимальная нагрузка - 200 кг, максимальная - 480 кг).</w:t>
      </w:r>
    </w:p>
    <w:p w14:paraId="03A8B535"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По данным штаба полка, всего было уничтожено и повреждено: один самолет, 8 танков и САУ, 28 орудий полевой артиллерии и минометов, 35 орудий зенитной артиллерии, 272 автомашины, 130 подвод, один паровоз, 88 ж. д. вагонов, 1140 солдат и офицеров противника, создано 40 очагов пожара, разрушен мост через реку.</w:t>
      </w:r>
    </w:p>
    <w:p w14:paraId="7A3C6AAC"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Летчиками отмечалось, что «самолет Ил-10 в сравнении с Ил-2 имеет существенное преимущество в скорости, легкости управления, послушности, маневренности, устойчивости. Обладает хорошим полетным диапазоном скоростей от 300-320 до 450-480 км/ч. Эти качества, а также наличие у летчика прицела ПБП-1б обеспечивают отличную меткость при стрельбе бомбами и из пушек и пулеметов. Превосходные тактико-технические свойства Ил-10 в сравнении с Ил-2 значительно повышают живучесть его, так как уменьшается вероятность поражения от ЗА и ИА противника. При запасе горючего 735 литров самолет на скорости 320-340 км/ч на высоте 500 м при 1500-1550 об/мин и Р</w:t>
      </w:r>
      <w:r w:rsidRPr="00925F26">
        <w:rPr>
          <w:rStyle w:val="107"/>
          <w:rFonts w:eastAsiaTheme="minorHAnsi"/>
          <w:color w:val="000000" w:themeColor="text1"/>
          <w:sz w:val="16"/>
          <w:szCs w:val="16"/>
          <w:vertAlign w:val="subscript"/>
        </w:rPr>
        <w:t>а</w:t>
      </w:r>
      <w:r w:rsidRPr="00925F26">
        <w:rPr>
          <w:rStyle w:val="107"/>
          <w:rFonts w:eastAsiaTheme="minorHAnsi"/>
          <w:color w:val="000000" w:themeColor="text1"/>
          <w:sz w:val="16"/>
          <w:szCs w:val="16"/>
        </w:rPr>
        <w:t xml:space="preserve">=725 мм рт. ст. обладает продолжительностью полета 2 часа 38 минут и дальностью 800 км. Запас горючего и хорошая скорость для </w:t>
      </w:r>
      <w:r w:rsidRPr="00925F26">
        <w:rPr>
          <w:rStyle w:val="107"/>
          <w:rFonts w:eastAsiaTheme="minorHAnsi"/>
          <w:color w:val="000000" w:themeColor="text1"/>
          <w:sz w:val="16"/>
          <w:szCs w:val="16"/>
        </w:rPr>
        <w:lastRenderedPageBreak/>
        <w:t>штурмового самолета позволяют увеличить время пребывания над атакуемой целью. Группа 8 Ил-10 производит до 5-7 атак из боевого порядка круг по одной и той же цели».</w:t>
      </w:r>
    </w:p>
    <w:p w14:paraId="7AD54011"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Как правило, полет к цели выполнялся на высоте 1000-1500 м и скорости 330-340 км/ч. Группа 8 Ил-10 обычно прикрывалась 6 Як-3 или 6 Ла-7 от 10 иак. При подходе к линии фронта группа перестраивалась в боевой порядок «фронт» с интервалом 50 ми увеличивала скорость до 350-360 км/ч. Истребители прикрытия также «производят перестроение для защиты штурмовиков при атаке цели».</w:t>
      </w:r>
    </w:p>
    <w:p w14:paraId="6207C87B"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Обработка цели выполнялась из боевого порядка «круг» одиночными самолетами Ил-10 с дистанцией между ними на кругу 300-500 м при высоте начала атаки 800-1200 м и скорости 340-380 км/ч. Выход в атаку левым разворотом под 90°.</w:t>
      </w:r>
    </w:p>
    <w:p w14:paraId="5FA2FDB5" w14:textId="77777777" w:rsidR="00B633D2" w:rsidRPr="00925F26" w:rsidRDefault="00B633D2"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Атаки целей бомбами производились с пикирования под 30-35°, бомбы сбрасывались с высоты 300-400 м. После сброса бомб самолет сразу же выводился из пикирования боевым разворотом и выскакивал на высоту круга. Скорость ввода в пикирование не превышала 300-320 км/ч, скорость на выходе достигала 600 км/ч. При такой скорости «Ил-10 легко выходит из пикирования, имея небольшую просадку, и за боевой разворот набирает вполне успешно до 1000-1200 м, с падением скорости при этом до 300-320 км/ч». Но и «на этой скорости Ил-10 послушен и устойчив в полете».</w:t>
      </w:r>
    </w:p>
    <w:p w14:paraId="0AEBFF98"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Атака цели пулеметно-пушечным огнем производилась с пикирования до 45 °</w:t>
      </w:r>
      <w:r w:rsidRPr="00925F26">
        <w:rPr>
          <w:rStyle w:val="107"/>
          <w:rFonts w:eastAsiaTheme="minorHAnsi"/>
          <w:color w:val="000000" w:themeColor="text1"/>
          <w:sz w:val="16"/>
          <w:szCs w:val="16"/>
          <w:lang w:val="en-US"/>
        </w:rPr>
        <w:t>C</w:t>
      </w:r>
      <w:r w:rsidRPr="00925F26">
        <w:rPr>
          <w:rStyle w:val="107"/>
          <w:rFonts w:eastAsiaTheme="minorHAnsi"/>
          <w:color w:val="000000" w:themeColor="text1"/>
          <w:sz w:val="16"/>
          <w:szCs w:val="16"/>
        </w:rPr>
        <w:t xml:space="preserve"> выводом из пикирования на высоте 100 м при скорости 650 км/ч. На этой скорости Ил-10 «вполне послушно шел на боевой разворот и выскакивал на высоту круга». Огонь по цели открывался с дистанции 600-800 м.</w:t>
      </w:r>
    </w:p>
    <w:p w14:paraId="1AB920D8"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Очередной самолет в круге начинал пикировать только тогда, когда предыдущий Ил-10 начинал выходить из пикирования после атаки цели. На пикировании самолет устойчив и хорошо управляется, «что обеспечивает высокую огневую меткость при атаке цели».</w:t>
      </w:r>
    </w:p>
    <w:p w14:paraId="4B2DC1E7" w14:textId="77777777" w:rsidR="00B633D2" w:rsidRPr="00925F26" w:rsidRDefault="00B633D2"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Начальник штаба 571 шап подполковник Сафонов отмечал: «За отчетный месяц штурмовики выполняли боевые задачи группами по 6-12 Ил-10. Наиболее целесообразный состав групп - 8-10 Ил-10. Такая группа вполне сохраняет свою маневренность, обладает хорошей ударной силой, успешно ведет борьбу с зенитной артиллерией и во взаимодействии с истребителями сопровождения может обороняться от атак прево сходящих сил истребителей противника».</w:t>
      </w:r>
    </w:p>
    <w:p w14:paraId="3574A70A"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После атаки цели группа по команде ведущего перестраивалась в правый пеленг («подобно схеме боевого порядка при полете к цели»), истребители сопровождения занимали свои места.</w:t>
      </w:r>
    </w:p>
    <w:p w14:paraId="57390898"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При перестроении из круга в пеленг ведущий продолжал полет по прямой, а затем, развернувшись на 90° вправо, вставал на о братный маршрут, «ведомые самолеты один за другим пристраиваются к нему справа». Дистанция и интервал такие же, как при полете к цели.</w:t>
      </w:r>
    </w:p>
    <w:p w14:paraId="420B8084"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Нередко, с целью скорейшего выхода из зоны зенитного огня, Ил-10 на повышенной скорости уходили змейкой на высоте 150-100 м.</w:t>
      </w:r>
    </w:p>
    <w:p w14:paraId="4E4E24DD" w14:textId="77777777" w:rsidR="00B633D2" w:rsidRPr="00925F26" w:rsidRDefault="00B633D2" w:rsidP="00925F26">
      <w:pPr>
        <w:jc w:val="both"/>
        <w:rPr>
          <w:color w:val="000000" w:themeColor="text1"/>
          <w:sz w:val="16"/>
          <w:szCs w:val="16"/>
        </w:rPr>
      </w:pPr>
      <w:r w:rsidRPr="00925F26">
        <w:rPr>
          <w:rStyle w:val="107"/>
          <w:rFonts w:eastAsiaTheme="minorHAnsi"/>
          <w:color w:val="000000" w:themeColor="text1"/>
          <w:sz w:val="16"/>
          <w:szCs w:val="16"/>
        </w:rPr>
        <w:t>По заявлениям летчиков, разрывы зенитных снарядов обычно наблюдались позади Ил-10. Последнее обстоятельство объяснялось тем, что «Ил-10 имеет повышенную скорость в сравнении с Ил-2», а «по силуэту</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незначительную разницу от Ил-</w:t>
      </w:r>
      <w:proofErr w:type="gramStart"/>
      <w:r w:rsidRPr="00925F26">
        <w:rPr>
          <w:rStyle w:val="107"/>
          <w:rFonts w:eastAsiaTheme="minorHAnsi"/>
          <w:color w:val="000000" w:themeColor="text1"/>
          <w:sz w:val="16"/>
          <w:szCs w:val="16"/>
        </w:rPr>
        <w:t>2»  (</w:t>
      </w:r>
      <w:proofErr w:type="gramEnd"/>
      <w:r w:rsidRPr="00925F26">
        <w:rPr>
          <w:rStyle w:val="107"/>
          <w:rFonts w:eastAsiaTheme="minorHAnsi"/>
          <w:color w:val="000000" w:themeColor="text1"/>
          <w:sz w:val="16"/>
          <w:szCs w:val="16"/>
        </w:rPr>
        <w:t>17490).</w:t>
      </w:r>
    </w:p>
    <w:p w14:paraId="26E9151E" w14:textId="77777777" w:rsidR="00B633D2" w:rsidRPr="00925F26" w:rsidRDefault="00B633D2" w:rsidP="00925F26">
      <w:pPr>
        <w:jc w:val="both"/>
        <w:rPr>
          <w:rStyle w:val="107"/>
          <w:rFonts w:eastAsiaTheme="minorHAnsi"/>
          <w:color w:val="000000" w:themeColor="text1"/>
          <w:sz w:val="16"/>
          <w:szCs w:val="16"/>
        </w:rPr>
      </w:pPr>
    </w:p>
    <w:p w14:paraId="56DBE9C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мая 1945 6-й советский танковый корпус вышел на западную окраину Дрездена (</w:t>
      </w:r>
      <w:proofErr w:type="gramStart"/>
      <w:r w:rsidRPr="00925F26">
        <w:rPr>
          <w:color w:val="000000" w:themeColor="text1"/>
          <w:sz w:val="16"/>
          <w:szCs w:val="16"/>
        </w:rPr>
        <w:t>4963 )</w:t>
      </w:r>
      <w:proofErr w:type="gramEnd"/>
      <w:r w:rsidRPr="00925F26">
        <w:rPr>
          <w:color w:val="000000" w:themeColor="text1"/>
          <w:sz w:val="16"/>
          <w:szCs w:val="16"/>
        </w:rPr>
        <w:t>.</w:t>
      </w:r>
    </w:p>
    <w:p w14:paraId="4DA454E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459108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мая 1945 войска 1-го Белорусского фронта вышли к немецкой реке Эльба, части 2-го Белорусского фронта на Эльбе установили связь со 2-й английской армией (</w:t>
      </w:r>
      <w:proofErr w:type="gramStart"/>
      <w:r w:rsidRPr="00925F26">
        <w:rPr>
          <w:color w:val="000000" w:themeColor="text1"/>
          <w:sz w:val="16"/>
          <w:szCs w:val="16"/>
        </w:rPr>
        <w:t>4963 )</w:t>
      </w:r>
      <w:proofErr w:type="gramEnd"/>
      <w:r w:rsidRPr="00925F26">
        <w:rPr>
          <w:color w:val="000000" w:themeColor="text1"/>
          <w:sz w:val="16"/>
          <w:szCs w:val="16"/>
        </w:rPr>
        <w:t>.</w:t>
      </w:r>
    </w:p>
    <w:p w14:paraId="57DD091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5B30B6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мая 1945 части 3-й советской гвардейской армии захватили город Мейссен на юго-востоке Германии (4963 ).</w:t>
      </w:r>
    </w:p>
    <w:p w14:paraId="50C949E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5251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1УФ овладела крепостью Бреслау, ф 1БФ - вышел к Эльбе (3398,174).</w:t>
      </w:r>
    </w:p>
    <w:p w14:paraId="0B821C4B" w14:textId="77777777" w:rsidR="00665165" w:rsidRPr="00925F26" w:rsidRDefault="00665165" w:rsidP="00925F26">
      <w:pPr>
        <w:autoSpaceDE w:val="0"/>
        <w:autoSpaceDN w:val="0"/>
        <w:adjustRightInd w:val="0"/>
        <w:jc w:val="both"/>
        <w:rPr>
          <w:color w:val="000000" w:themeColor="text1"/>
          <w:sz w:val="16"/>
          <w:szCs w:val="16"/>
        </w:rPr>
      </w:pPr>
    </w:p>
    <w:p w14:paraId="1984195A" w14:textId="77777777" w:rsidR="00646F42" w:rsidRPr="00925F26" w:rsidRDefault="00646F42" w:rsidP="00925F26">
      <w:pPr>
        <w:jc w:val="both"/>
        <w:rPr>
          <w:color w:val="000000" w:themeColor="text1"/>
          <w:sz w:val="16"/>
          <w:szCs w:val="16"/>
        </w:rPr>
      </w:pPr>
      <w:r w:rsidRPr="00925F26">
        <w:rPr>
          <w:color w:val="000000" w:themeColor="text1"/>
          <w:sz w:val="16"/>
          <w:szCs w:val="16"/>
        </w:rPr>
        <w:t>7 мая в 1945 году американские войска встретились с советскими в Магдебурге (14884).</w:t>
      </w:r>
    </w:p>
    <w:p w14:paraId="7BCD5CB2" w14:textId="77777777" w:rsidR="00646F42" w:rsidRPr="00925F26" w:rsidRDefault="00646F42" w:rsidP="00925F26">
      <w:pPr>
        <w:jc w:val="both"/>
        <w:rPr>
          <w:color w:val="000000" w:themeColor="text1"/>
          <w:sz w:val="16"/>
          <w:szCs w:val="16"/>
        </w:rPr>
      </w:pPr>
    </w:p>
    <w:p w14:paraId="106A120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0433A17" w14:textId="77777777" w:rsidR="00665165" w:rsidRPr="00925F26" w:rsidRDefault="00665165" w:rsidP="00925F26">
      <w:pPr>
        <w:autoSpaceDE w:val="0"/>
        <w:autoSpaceDN w:val="0"/>
        <w:adjustRightInd w:val="0"/>
        <w:jc w:val="both"/>
        <w:rPr>
          <w:iCs/>
          <w:color w:val="000000" w:themeColor="text1"/>
          <w:sz w:val="16"/>
          <w:szCs w:val="16"/>
        </w:rPr>
      </w:pPr>
    </w:p>
    <w:p w14:paraId="3E1855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г. Первая после Великой Отечественной войны опытная передача МТЦ. Первая в Европе после Второй мировой войны (11482).</w:t>
      </w:r>
    </w:p>
    <w:p w14:paraId="4686A57C" w14:textId="77777777" w:rsidR="00665165" w:rsidRPr="00925F26" w:rsidRDefault="00665165" w:rsidP="00925F26">
      <w:pPr>
        <w:autoSpaceDE w:val="0"/>
        <w:autoSpaceDN w:val="0"/>
        <w:adjustRightInd w:val="0"/>
        <w:jc w:val="both"/>
        <w:rPr>
          <w:color w:val="000000" w:themeColor="text1"/>
          <w:sz w:val="16"/>
          <w:szCs w:val="16"/>
        </w:rPr>
      </w:pPr>
    </w:p>
    <w:p w14:paraId="36875F5D" w14:textId="77777777" w:rsidR="00BB2377" w:rsidRPr="00925F26" w:rsidRDefault="00BB2377" w:rsidP="00925F26">
      <w:pPr>
        <w:jc w:val="both"/>
        <w:rPr>
          <w:color w:val="000000" w:themeColor="text1"/>
          <w:sz w:val="16"/>
          <w:szCs w:val="16"/>
        </w:rPr>
      </w:pPr>
      <w:r w:rsidRPr="00925F26">
        <w:rPr>
          <w:color w:val="000000" w:themeColor="text1"/>
          <w:sz w:val="16"/>
          <w:szCs w:val="16"/>
        </w:rPr>
        <w:t>7 мая 1945. Состоялась первая передача Московского телецентра, закрытого на реконструкцию еще перед войной (18688).</w:t>
      </w:r>
    </w:p>
    <w:p w14:paraId="02623A0C" w14:textId="77777777" w:rsidR="00BB2377" w:rsidRPr="00925F26" w:rsidRDefault="00BB2377" w:rsidP="00925F26">
      <w:pPr>
        <w:jc w:val="both"/>
        <w:rPr>
          <w:color w:val="000000" w:themeColor="text1"/>
          <w:sz w:val="16"/>
          <w:szCs w:val="16"/>
        </w:rPr>
      </w:pPr>
    </w:p>
    <w:p w14:paraId="0D5987E0" w14:textId="77777777" w:rsidR="00646F42" w:rsidRPr="00925F26" w:rsidRDefault="00646F42" w:rsidP="00925F26">
      <w:pPr>
        <w:jc w:val="both"/>
        <w:rPr>
          <w:color w:val="000000" w:themeColor="text1"/>
          <w:sz w:val="16"/>
          <w:szCs w:val="16"/>
        </w:rPr>
      </w:pPr>
      <w:r w:rsidRPr="00925F26">
        <w:rPr>
          <w:color w:val="000000" w:themeColor="text1"/>
          <w:sz w:val="16"/>
          <w:szCs w:val="16"/>
        </w:rPr>
        <w:t>7 мая в 1945 году состоялась первая после окончания войны пробная передача Московского телецентра (14884).</w:t>
      </w:r>
    </w:p>
    <w:p w14:paraId="3EBE419E" w14:textId="77777777" w:rsidR="00646F42" w:rsidRPr="00925F26" w:rsidRDefault="00646F42" w:rsidP="00925F26">
      <w:pPr>
        <w:jc w:val="both"/>
        <w:rPr>
          <w:color w:val="000000" w:themeColor="text1"/>
          <w:sz w:val="16"/>
          <w:szCs w:val="16"/>
        </w:rPr>
      </w:pPr>
    </w:p>
    <w:p w14:paraId="581B6BDC" w14:textId="77777777" w:rsidR="004146AC" w:rsidRPr="00925F26" w:rsidRDefault="004146AC" w:rsidP="00925F26">
      <w:pPr>
        <w:jc w:val="both"/>
        <w:rPr>
          <w:color w:val="000000" w:themeColor="text1"/>
          <w:sz w:val="16"/>
          <w:szCs w:val="16"/>
        </w:rPr>
      </w:pPr>
      <w:r w:rsidRPr="00925F26">
        <w:rPr>
          <w:color w:val="000000" w:themeColor="text1"/>
          <w:sz w:val="16"/>
          <w:szCs w:val="16"/>
        </w:rPr>
        <w:t>7 мая 1945 года, накануне вступления в силу акта о капитуляции Германии, с Шуховской башни прошла трансляция первой с начала Великой Отечественной войны телепередачи в Европе (23318).</w:t>
      </w:r>
    </w:p>
    <w:p w14:paraId="2F05C37F" w14:textId="77777777" w:rsidR="004146AC" w:rsidRPr="00925F26" w:rsidRDefault="004146AC" w:rsidP="00925F26">
      <w:pPr>
        <w:jc w:val="both"/>
        <w:rPr>
          <w:color w:val="000000" w:themeColor="text1"/>
          <w:sz w:val="16"/>
          <w:szCs w:val="16"/>
        </w:rPr>
      </w:pPr>
    </w:p>
    <w:p w14:paraId="23E81F7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B0B121D" w14:textId="77777777" w:rsidR="00665165" w:rsidRPr="00925F26" w:rsidRDefault="00665165" w:rsidP="00925F26">
      <w:pPr>
        <w:autoSpaceDE w:val="0"/>
        <w:autoSpaceDN w:val="0"/>
        <w:adjustRightInd w:val="0"/>
        <w:jc w:val="both"/>
        <w:rPr>
          <w:iCs/>
          <w:color w:val="000000" w:themeColor="text1"/>
          <w:sz w:val="16"/>
          <w:szCs w:val="16"/>
        </w:rPr>
      </w:pPr>
    </w:p>
    <w:p w14:paraId="12C290C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7 мая 1945 в Реймсе немецкие генералы подписали акт о безоговорочной капитуляции союзникам (4962), Боевые действия должны были быть прекращены 8-го мая в 23:01 по Берлинскому времени. С немецкой стороны соглашение подписал генерал Альфред </w:t>
      </w:r>
      <w:proofErr w:type="gramStart"/>
      <w:r w:rsidRPr="00925F26">
        <w:rPr>
          <w:color w:val="000000" w:themeColor="text1"/>
          <w:sz w:val="16"/>
          <w:szCs w:val="16"/>
        </w:rPr>
        <w:t>Йодль ,</w:t>
      </w:r>
      <w:proofErr w:type="gramEnd"/>
      <w:r w:rsidRPr="00925F26">
        <w:rPr>
          <w:color w:val="000000" w:themeColor="text1"/>
          <w:sz w:val="16"/>
          <w:szCs w:val="16"/>
        </w:rPr>
        <w:t xml:space="preserve"> со стороны - союзников генералы: Вальтер Смит, Иван Суслопаров и Франсуа Сэвэз (</w:t>
      </w:r>
      <w:proofErr w:type="gramStart"/>
      <w:r w:rsidRPr="00925F26">
        <w:rPr>
          <w:color w:val="000000" w:themeColor="text1"/>
          <w:sz w:val="16"/>
          <w:szCs w:val="16"/>
        </w:rPr>
        <w:t>4963 )</w:t>
      </w:r>
      <w:proofErr w:type="gramEnd"/>
      <w:r w:rsidRPr="00925F26">
        <w:rPr>
          <w:color w:val="000000" w:themeColor="text1"/>
          <w:sz w:val="16"/>
          <w:szCs w:val="16"/>
        </w:rPr>
        <w:t>.</w:t>
      </w:r>
    </w:p>
    <w:p w14:paraId="4D388BD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D5897E3" w14:textId="77777777" w:rsidR="00646F42" w:rsidRPr="00925F26" w:rsidRDefault="00646F42" w:rsidP="00925F26">
      <w:pPr>
        <w:jc w:val="both"/>
        <w:rPr>
          <w:color w:val="000000" w:themeColor="text1"/>
          <w:sz w:val="16"/>
          <w:szCs w:val="16"/>
        </w:rPr>
      </w:pPr>
      <w:r w:rsidRPr="00925F26">
        <w:rPr>
          <w:color w:val="000000" w:themeColor="text1"/>
          <w:sz w:val="16"/>
          <w:szCs w:val="16"/>
        </w:rPr>
        <w:t>7 мая в 1945 году в городе Реймсе, Франция, было подписано соглашение о безоговорочной капитуляция всех немецких войск на всех фронтах. Боевые действия должны были быть прекращены 8-го мая в 23:01 по Берлинскому времени. С немецкой стороны соглашение подписал генерал Альфред Йодль , со стороны союзников - генералы: Уолтер Смит , Иван Суслопаров и Франсуа Сэвэз. В Курляндии провозглашена Латвийская республика во главе с председателем Латвийского Народного Совета Я.Андерсоном, однако советские войска, принявшие капитуляцию немецких войск группы армий «Курляндия», немедленно ликвидировали ее (14884).</w:t>
      </w:r>
    </w:p>
    <w:p w14:paraId="1AC79378" w14:textId="77777777" w:rsidR="00646F42" w:rsidRPr="00925F26" w:rsidRDefault="00646F42" w:rsidP="00925F26">
      <w:pPr>
        <w:jc w:val="both"/>
        <w:rPr>
          <w:color w:val="000000" w:themeColor="text1"/>
          <w:sz w:val="16"/>
          <w:szCs w:val="16"/>
        </w:rPr>
      </w:pPr>
    </w:p>
    <w:p w14:paraId="75711850"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7th, 1945: This day marks the end of hostilities between the Wehrmacht and the Allied armies in Europe. At 2:41 a.m. CET, Generaloberst Jodl signs the instrument of unconditional surrender of all German forces in a schoolroom at Rheims, France, to be effective at noon the following day. Off the Firth of Forth, U-2336 sinks the last Allied ships of the war, the coastal vessels Sneland and Avondale Park, while an RAF Catalina sinks U-320, the last German submarine destroyed in WWII, near Bergen off the coast of Norway (3819).</w:t>
      </w:r>
    </w:p>
    <w:p w14:paraId="0EBEBE56" w14:textId="77777777" w:rsidR="00665165" w:rsidRPr="00925F26" w:rsidRDefault="00665165" w:rsidP="00925F26">
      <w:pPr>
        <w:autoSpaceDE w:val="0"/>
        <w:autoSpaceDN w:val="0"/>
        <w:adjustRightInd w:val="0"/>
        <w:jc w:val="both"/>
        <w:rPr>
          <w:color w:val="000000" w:themeColor="text1"/>
          <w:sz w:val="16"/>
          <w:szCs w:val="16"/>
          <w:lang w:val="en-US"/>
        </w:rPr>
      </w:pPr>
    </w:p>
    <w:p w14:paraId="469893BA"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7 May 1945 Unconditional surrender of the German Army (270).</w:t>
      </w:r>
    </w:p>
    <w:p w14:paraId="66682008" w14:textId="77777777" w:rsidR="00665165" w:rsidRPr="00925F26" w:rsidRDefault="00665165" w:rsidP="00925F26">
      <w:pPr>
        <w:autoSpaceDE w:val="0"/>
        <w:autoSpaceDN w:val="0"/>
        <w:adjustRightInd w:val="0"/>
        <w:jc w:val="both"/>
        <w:rPr>
          <w:color w:val="000000" w:themeColor="text1"/>
          <w:sz w:val="16"/>
          <w:szCs w:val="16"/>
          <w:lang w:val="en-US"/>
        </w:rPr>
      </w:pPr>
    </w:p>
    <w:p w14:paraId="43A1CE7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07 1945 At 2:41 in the morning, Germany surrenders, unconditionally to Eisenhower at Luneberg Heath. The order is to take effect at 11:01 the next evening (1242).</w:t>
      </w:r>
    </w:p>
    <w:p w14:paraId="317A72DD" w14:textId="77777777" w:rsidR="00665165" w:rsidRPr="00925F26" w:rsidRDefault="00665165" w:rsidP="00925F26">
      <w:pPr>
        <w:autoSpaceDE w:val="0"/>
        <w:autoSpaceDN w:val="0"/>
        <w:adjustRightInd w:val="0"/>
        <w:jc w:val="both"/>
        <w:rPr>
          <w:color w:val="000000" w:themeColor="text1"/>
          <w:sz w:val="16"/>
          <w:szCs w:val="16"/>
          <w:lang w:val="en-US"/>
        </w:rPr>
      </w:pPr>
    </w:p>
    <w:p w14:paraId="41955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немецкая армия безоговорочно капитулировала (270;1242) перед Эйзенхауэром (3186). Подписал Йодль (2248,7). Всем немецким подлодкам было приказано вернуться на базы (2248,6).</w:t>
      </w:r>
    </w:p>
    <w:p w14:paraId="18DCCE94" w14:textId="77777777" w:rsidR="00665165" w:rsidRPr="00925F26" w:rsidRDefault="00665165" w:rsidP="00925F26">
      <w:pPr>
        <w:autoSpaceDE w:val="0"/>
        <w:autoSpaceDN w:val="0"/>
        <w:adjustRightInd w:val="0"/>
        <w:jc w:val="both"/>
        <w:rPr>
          <w:color w:val="000000" w:themeColor="text1"/>
          <w:sz w:val="16"/>
          <w:szCs w:val="16"/>
        </w:rPr>
      </w:pPr>
    </w:p>
    <w:p w14:paraId="69EDC3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в штабе Эйзенхауэра в Реймсе была подписана капитуляция всех германских вооруженных сил. Аналогичный документ подписали маршал Г.К. Жуков и В.Кейтель в ночь с 8 на 9 мая (3871).</w:t>
      </w:r>
    </w:p>
    <w:p w14:paraId="6178C1BA" w14:textId="77777777" w:rsidR="00665165" w:rsidRPr="00925F26" w:rsidRDefault="00665165" w:rsidP="00925F26">
      <w:pPr>
        <w:autoSpaceDE w:val="0"/>
        <w:autoSpaceDN w:val="0"/>
        <w:adjustRightInd w:val="0"/>
        <w:jc w:val="both"/>
        <w:rPr>
          <w:color w:val="000000" w:themeColor="text1"/>
          <w:sz w:val="16"/>
          <w:szCs w:val="16"/>
        </w:rPr>
      </w:pPr>
    </w:p>
    <w:p w14:paraId="70ACDC67" w14:textId="77777777" w:rsidR="009E360D" w:rsidRPr="00925F26" w:rsidRDefault="009E360D" w:rsidP="00925F26">
      <w:pPr>
        <w:jc w:val="both"/>
        <w:rPr>
          <w:color w:val="000000" w:themeColor="text1"/>
          <w:sz w:val="16"/>
          <w:szCs w:val="16"/>
        </w:rPr>
      </w:pPr>
      <w:r w:rsidRPr="00925F26">
        <w:rPr>
          <w:color w:val="000000" w:themeColor="text1"/>
          <w:sz w:val="16"/>
          <w:szCs w:val="16"/>
        </w:rPr>
        <w:t>7 мая в 1945 году немецкие войска в Истрии капитулировали (14884).</w:t>
      </w:r>
    </w:p>
    <w:p w14:paraId="32904179" w14:textId="77777777" w:rsidR="009E360D" w:rsidRPr="00925F26" w:rsidRDefault="009E360D" w:rsidP="00925F26">
      <w:pPr>
        <w:jc w:val="both"/>
        <w:rPr>
          <w:color w:val="000000" w:themeColor="text1"/>
          <w:sz w:val="16"/>
          <w:szCs w:val="16"/>
        </w:rPr>
      </w:pPr>
    </w:p>
    <w:p w14:paraId="632C81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мая 1945 У-2336 потопила последнее судно союзников в ходе войны у Бергена у побережья Норвегии (3819).</w:t>
      </w:r>
    </w:p>
    <w:p w14:paraId="3D79439D" w14:textId="77777777" w:rsidR="00665165" w:rsidRPr="00925F26" w:rsidRDefault="00665165" w:rsidP="00925F26">
      <w:pPr>
        <w:autoSpaceDE w:val="0"/>
        <w:autoSpaceDN w:val="0"/>
        <w:adjustRightInd w:val="0"/>
        <w:jc w:val="both"/>
        <w:rPr>
          <w:color w:val="000000" w:themeColor="text1"/>
          <w:sz w:val="16"/>
          <w:szCs w:val="16"/>
        </w:rPr>
      </w:pPr>
    </w:p>
    <w:p w14:paraId="6E5F27C1" w14:textId="77777777" w:rsidR="008628F5" w:rsidRPr="00925F26" w:rsidRDefault="008628F5" w:rsidP="00925F26">
      <w:pPr>
        <w:jc w:val="both"/>
        <w:rPr>
          <w:color w:val="000000" w:themeColor="text1"/>
          <w:sz w:val="16"/>
          <w:szCs w:val="16"/>
        </w:rPr>
      </w:pPr>
      <w:r w:rsidRPr="00925F26">
        <w:rPr>
          <w:color w:val="000000" w:themeColor="text1"/>
          <w:sz w:val="16"/>
          <w:szCs w:val="16"/>
        </w:rPr>
        <w:t>7 мая 1945 Королевские ВВС топят немецкую подводную лодку в последний раз во Второй мировой войне (29371).</w:t>
      </w:r>
    </w:p>
    <w:p w14:paraId="53850B2D" w14:textId="77777777" w:rsidR="008628F5" w:rsidRPr="00925F26" w:rsidRDefault="008628F5" w:rsidP="00925F26">
      <w:pPr>
        <w:jc w:val="both"/>
        <w:rPr>
          <w:color w:val="000000" w:themeColor="text1"/>
          <w:sz w:val="16"/>
          <w:szCs w:val="16"/>
        </w:rPr>
      </w:pPr>
    </w:p>
    <w:p w14:paraId="7023BAB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5BF1922" w14:textId="77777777" w:rsidR="00665165" w:rsidRPr="00925F26" w:rsidRDefault="00665165" w:rsidP="00925F26">
      <w:pPr>
        <w:autoSpaceDE w:val="0"/>
        <w:autoSpaceDN w:val="0"/>
        <w:adjustRightInd w:val="0"/>
        <w:jc w:val="both"/>
        <w:rPr>
          <w:iCs/>
          <w:color w:val="000000" w:themeColor="text1"/>
          <w:sz w:val="16"/>
          <w:szCs w:val="16"/>
        </w:rPr>
      </w:pPr>
    </w:p>
    <w:p w14:paraId="2F3403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8 мая 1945 с 15 апреля в 571-м шап 8-й воздушной армии «по причине производ</w:t>
      </w:r>
      <w:r w:rsidRPr="00925F26">
        <w:rPr>
          <w:color w:val="000000" w:themeColor="text1"/>
          <w:sz w:val="16"/>
          <w:szCs w:val="16"/>
        </w:rPr>
        <w:softHyphen/>
        <w:t>ственно-конструктивных дефектов нагнетателя» из строя вышли 17 моторов АМ-42. Причем восемь отказов моторов произошло в один день, 8 мая: пять — на земле, три — в воздухе. В результате лейтенант Китайгород</w:t>
      </w:r>
      <w:r w:rsidRPr="00925F26">
        <w:rPr>
          <w:color w:val="000000" w:themeColor="text1"/>
          <w:sz w:val="16"/>
          <w:szCs w:val="16"/>
        </w:rPr>
        <w:softHyphen/>
        <w:t>ский и младшие лейтенанты Прищепа и Титов совершили вы</w:t>
      </w:r>
      <w:r w:rsidRPr="00925F26">
        <w:rPr>
          <w:color w:val="000000" w:themeColor="text1"/>
          <w:sz w:val="16"/>
          <w:szCs w:val="16"/>
        </w:rPr>
        <w:softHyphen/>
        <w:t>нужденные посадки вне аэродрома. Впоследствии их «десят</w:t>
      </w:r>
      <w:r w:rsidRPr="00925F26">
        <w:rPr>
          <w:color w:val="000000" w:themeColor="text1"/>
          <w:sz w:val="16"/>
          <w:szCs w:val="16"/>
        </w:rPr>
        <w:softHyphen/>
        <w:t xml:space="preserve">ки» (зав. №№ 1893203, 1890604 и 1892604) были списаны. Осмотр </w:t>
      </w:r>
      <w:r w:rsidRPr="00925F26">
        <w:rPr>
          <w:color w:val="000000" w:themeColor="text1"/>
          <w:sz w:val="16"/>
          <w:szCs w:val="16"/>
        </w:rPr>
        <w:lastRenderedPageBreak/>
        <w:t>моторов, отказавших на земле (зав. №№ 45317, 45541, 45506, 45405, 45663), показал, что основной причиной выхода их из строя является разрушение крыльчатки нагнета</w:t>
      </w:r>
      <w:r w:rsidRPr="00925F26">
        <w:rPr>
          <w:color w:val="000000" w:themeColor="text1"/>
          <w:sz w:val="16"/>
          <w:szCs w:val="16"/>
        </w:rPr>
        <w:softHyphen/>
        <w:t>теля мотора. Аналогичный дефект был обнаружен и на мото</w:t>
      </w:r>
      <w:r w:rsidRPr="00925F26">
        <w:rPr>
          <w:color w:val="000000" w:themeColor="text1"/>
          <w:sz w:val="16"/>
          <w:szCs w:val="16"/>
        </w:rPr>
        <w:softHyphen/>
        <w:t>рах всех Ил-10, совершивших вынужденные посадки (11474,512).</w:t>
      </w:r>
    </w:p>
    <w:p w14:paraId="797ABA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45884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А.И.Ш. писал письмо N 22/2100 в ГКО Г.М.М.:</w:t>
      </w:r>
    </w:p>
    <w:p w14:paraId="02E39D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"Докладываю о выполнении постановлений ГОКО по вывозу оборудования с немецких заводов на предприятия НКАП.</w:t>
      </w:r>
    </w:p>
    <w:p w14:paraId="712D62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выявлено оборудования, подлежащего вывозу с немецких заводов на предприятия НКАП по имеющимся постановлениям ГОКО: 9188 станков, 348 прессов и 747 ед. прочего оборудования. Из этого количества по последующим решениям ГОКО должно быть вывезено другими наркоматами 2204 станка и 180 ед. прочего оборудования.</w:t>
      </w:r>
    </w:p>
    <w:p w14:paraId="753957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 мая 1945 года из указанного количества демонти</w:t>
      </w:r>
      <w:r w:rsidRPr="00925F26">
        <w:rPr>
          <w:color w:val="000000" w:themeColor="text1"/>
          <w:sz w:val="16"/>
          <w:szCs w:val="16"/>
        </w:rPr>
        <w:softHyphen/>
        <w:t>ровано 5350 станков, 270 прессов и 135 единиц прочего обор дования и отгрунено 4287 станков, 269 прессов и 63 единиц прочего оборудования.</w:t>
      </w:r>
    </w:p>
    <w:p w14:paraId="33E355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Всего отгружено 2064 вагона из которых прибыло </w:t>
      </w:r>
      <w:proofErr w:type="gramStart"/>
      <w:r w:rsidRPr="00925F26">
        <w:rPr>
          <w:color w:val="000000" w:themeColor="text1"/>
          <w:sz w:val="16"/>
          <w:szCs w:val="16"/>
        </w:rPr>
        <w:t>к мест</w:t>
      </w:r>
      <w:proofErr w:type="gramEnd"/>
      <w:r w:rsidRPr="00925F26">
        <w:rPr>
          <w:color w:val="000000" w:themeColor="text1"/>
          <w:sz w:val="16"/>
          <w:szCs w:val="16"/>
        </w:rPr>
        <w:t xml:space="preserve"> назначения 1437 вагонов.</w:t>
      </w:r>
    </w:p>
    <w:p w14:paraId="335EF6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Производившиеся работн по демонтану и отгрузке обору</w:t>
      </w:r>
      <w:r w:rsidRPr="00925F26">
        <w:rPr>
          <w:color w:val="000000" w:themeColor="text1"/>
          <w:sz w:val="16"/>
          <w:szCs w:val="16"/>
        </w:rPr>
        <w:softHyphen/>
        <w:t>дования с немецких заводов на предприятия Наркоглавиапрома по каздому постановлению ГОКО в отдельности характеризуйте, прилагаемой ведомостью.</w:t>
      </w:r>
    </w:p>
    <w:p w14:paraId="5D33EC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Полностью закончена работн по демонтажу и отгрузке оборудования и материалов по заводам:</w:t>
      </w:r>
    </w:p>
    <w:p w14:paraId="2C0184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Хорти Дегет в г.Будапешт (постаноэдение ГОКО а 7442с от 2 февраля 1945 года), самолётно-агрегатннй Фокке-Вульф в г.г.1&amp;рнбаум и Познань (за исключением 8000 тонного гидр пресса, который еце не отгружен), моторно-агрегатному в г.Мезеритц, винтовому в г.Хольбау, крыльевому в г.Бунслау (постановление ГОКО 3 7695 от 6 марта 1945 года), самолётно-агрегатному заводу в г.Торн (постановление ГОКО и 7895с от 21 марта 1945 года) заводу фирмы Шмидт в г.Шриенвердер (постановление ГОКО И 8068с от 12 апреля 1945 года), а также по отгрузке крыльев и пусковых устройств самолётов-снарядов (постановления ГОКО и 7755с от 9 марта 1945 года и 3 8000с от 5 апреля 1946 года).</w:t>
      </w:r>
    </w:p>
    <w:p w14:paraId="5138EB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Полностью закончен демонтаж оборудования на заводах: "Берто Верке" в м.Ланге (цех по обработке коленчатых валов - постановление ГОКО № 7691с от 6 марта 1945 года), на двух : заводах Фокке Вулъф в г. 3орау, механическом заводе в г.Бриг | (постановление ГОКО № 8012 от 5 апреля 1945 года) алшинивво-1 прокатном в г. Шверин, заводе фирмы'Йсснер в м.Реднитц, агрегатном заводе в г. Реппен, винтовом;; заводу Нуго-Гейне в г. Раута (постановление ГОКО и 3068 от 12 апреля 1945 года) (1874,10).</w:t>
      </w:r>
    </w:p>
    <w:p w14:paraId="0FB21A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Приложена Ведомость состояния работ по демонтажу и отгрузке оборудования с немецких заводов на предприятия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119"/>
        <w:gridCol w:w="979"/>
        <w:gridCol w:w="754"/>
        <w:gridCol w:w="1205"/>
        <w:gridCol w:w="703"/>
        <w:gridCol w:w="703"/>
        <w:gridCol w:w="703"/>
        <w:gridCol w:w="6"/>
        <w:gridCol w:w="697"/>
        <w:gridCol w:w="703"/>
        <w:gridCol w:w="11"/>
        <w:gridCol w:w="2897"/>
        <w:gridCol w:w="10"/>
      </w:tblGrid>
      <w:tr w:rsidR="000F5689" w:rsidRPr="00925F26" w14:paraId="6B86233F" w14:textId="77777777">
        <w:tc>
          <w:tcPr>
            <w:tcW w:w="534" w:type="dxa"/>
            <w:tcBorders>
              <w:top w:val="single" w:sz="12" w:space="0" w:color="auto"/>
            </w:tcBorders>
          </w:tcPr>
          <w:p w14:paraId="3EAE9D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п/п</w:t>
            </w:r>
          </w:p>
        </w:tc>
        <w:tc>
          <w:tcPr>
            <w:tcW w:w="1119" w:type="dxa"/>
            <w:tcBorders>
              <w:top w:val="single" w:sz="12" w:space="0" w:color="auto"/>
            </w:tcBorders>
          </w:tcPr>
          <w:p w14:paraId="4BD84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немецких заводов и их местонахождение</w:t>
            </w:r>
          </w:p>
        </w:tc>
        <w:tc>
          <w:tcPr>
            <w:tcW w:w="979" w:type="dxa"/>
            <w:tcBorders>
              <w:top w:val="single" w:sz="12" w:space="0" w:color="auto"/>
            </w:tcBorders>
          </w:tcPr>
          <w:p w14:paraId="43B506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завода-получателя</w:t>
            </w:r>
          </w:p>
        </w:tc>
        <w:tc>
          <w:tcPr>
            <w:tcW w:w="754" w:type="dxa"/>
            <w:tcBorders>
              <w:top w:val="single" w:sz="12" w:space="0" w:color="auto"/>
            </w:tcBorders>
          </w:tcPr>
          <w:p w14:paraId="12CBB1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Срок окончания монтажа и отгрузки</w:t>
            </w:r>
          </w:p>
        </w:tc>
        <w:tc>
          <w:tcPr>
            <w:tcW w:w="4726" w:type="dxa"/>
            <w:gridSpan w:val="8"/>
            <w:tcBorders>
              <w:top w:val="single" w:sz="12" w:space="0" w:color="auto"/>
            </w:tcBorders>
          </w:tcPr>
          <w:p w14:paraId="2B5F3D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Состояние на 1 мая</w:t>
            </w:r>
          </w:p>
        </w:tc>
        <w:tc>
          <w:tcPr>
            <w:tcW w:w="2907" w:type="dxa"/>
            <w:gridSpan w:val="2"/>
            <w:tcBorders>
              <w:top w:val="single" w:sz="12" w:space="0" w:color="auto"/>
            </w:tcBorders>
          </w:tcPr>
          <w:p w14:paraId="7FC960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Примечание</w:t>
            </w:r>
          </w:p>
        </w:tc>
      </w:tr>
      <w:tr w:rsidR="000F5689" w:rsidRPr="00925F26" w14:paraId="0A88F7D4" w14:textId="77777777">
        <w:tc>
          <w:tcPr>
            <w:tcW w:w="534" w:type="dxa"/>
          </w:tcPr>
          <w:p w14:paraId="14031150"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54BBF36B"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4976230B"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542B284C" w14:textId="77777777" w:rsidR="00665165" w:rsidRPr="00925F26" w:rsidRDefault="00665165" w:rsidP="00925F26">
            <w:pPr>
              <w:autoSpaceDE w:val="0"/>
              <w:autoSpaceDN w:val="0"/>
              <w:adjustRightInd w:val="0"/>
              <w:jc w:val="both"/>
              <w:rPr>
                <w:color w:val="000000" w:themeColor="text1"/>
                <w:sz w:val="16"/>
                <w:szCs w:val="16"/>
              </w:rPr>
            </w:pPr>
          </w:p>
        </w:tc>
        <w:tc>
          <w:tcPr>
            <w:tcW w:w="3320" w:type="dxa"/>
            <w:gridSpan w:val="5"/>
          </w:tcPr>
          <w:p w14:paraId="16B5DA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оборудования</w:t>
            </w:r>
          </w:p>
        </w:tc>
        <w:tc>
          <w:tcPr>
            <w:tcW w:w="1411" w:type="dxa"/>
            <w:gridSpan w:val="3"/>
          </w:tcPr>
          <w:p w14:paraId="598C5A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вагонов</w:t>
            </w:r>
          </w:p>
        </w:tc>
        <w:tc>
          <w:tcPr>
            <w:tcW w:w="2907" w:type="dxa"/>
            <w:gridSpan w:val="2"/>
          </w:tcPr>
          <w:p w14:paraId="7869B67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FB8329F" w14:textId="77777777">
        <w:trPr>
          <w:gridAfter w:val="1"/>
          <w:wAfter w:w="6" w:type="dxa"/>
        </w:trPr>
        <w:tc>
          <w:tcPr>
            <w:tcW w:w="534" w:type="dxa"/>
          </w:tcPr>
          <w:p w14:paraId="43982D59"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4010850D"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54CD15C5"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5AC8FC6F"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6B890E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Выявлено</w:t>
            </w:r>
          </w:p>
        </w:tc>
        <w:tc>
          <w:tcPr>
            <w:tcW w:w="703" w:type="dxa"/>
          </w:tcPr>
          <w:p w14:paraId="03F6BA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Демонтировано</w:t>
            </w:r>
          </w:p>
        </w:tc>
        <w:tc>
          <w:tcPr>
            <w:tcW w:w="703" w:type="dxa"/>
          </w:tcPr>
          <w:p w14:paraId="2B56E2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Отгружено</w:t>
            </w:r>
          </w:p>
        </w:tc>
        <w:tc>
          <w:tcPr>
            <w:tcW w:w="703" w:type="dxa"/>
          </w:tcPr>
          <w:p w14:paraId="3F4AE5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Поступило на завод</w:t>
            </w:r>
          </w:p>
        </w:tc>
        <w:tc>
          <w:tcPr>
            <w:tcW w:w="703" w:type="dxa"/>
            <w:gridSpan w:val="2"/>
          </w:tcPr>
          <w:p w14:paraId="3741DB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Отгружено</w:t>
            </w:r>
          </w:p>
        </w:tc>
        <w:tc>
          <w:tcPr>
            <w:tcW w:w="703" w:type="dxa"/>
          </w:tcPr>
          <w:p w14:paraId="7484C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Поступило на завод</w:t>
            </w:r>
          </w:p>
        </w:tc>
        <w:tc>
          <w:tcPr>
            <w:tcW w:w="2907" w:type="dxa"/>
            <w:gridSpan w:val="2"/>
          </w:tcPr>
          <w:p w14:paraId="254E810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ADC2A0F" w14:textId="77777777">
        <w:tc>
          <w:tcPr>
            <w:tcW w:w="11018" w:type="dxa"/>
            <w:gridSpan w:val="14"/>
          </w:tcPr>
          <w:p w14:paraId="687AD2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7442сс от 2 февраля 1945</w:t>
            </w:r>
          </w:p>
        </w:tc>
      </w:tr>
      <w:tr w:rsidR="000F5689" w:rsidRPr="00925F26" w14:paraId="229A5738" w14:textId="77777777">
        <w:trPr>
          <w:gridAfter w:val="1"/>
          <w:wAfter w:w="6" w:type="dxa"/>
        </w:trPr>
        <w:tc>
          <w:tcPr>
            <w:tcW w:w="534" w:type="dxa"/>
          </w:tcPr>
          <w:p w14:paraId="7B4654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119" w:type="dxa"/>
          </w:tcPr>
          <w:p w14:paraId="542EE2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Хоти Легет, Будапешт</w:t>
            </w:r>
          </w:p>
        </w:tc>
        <w:tc>
          <w:tcPr>
            <w:tcW w:w="979" w:type="dxa"/>
          </w:tcPr>
          <w:p w14:paraId="25BFDF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 Воронеж</w:t>
            </w:r>
          </w:p>
        </w:tc>
        <w:tc>
          <w:tcPr>
            <w:tcW w:w="754" w:type="dxa"/>
          </w:tcPr>
          <w:p w14:paraId="4CF072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 уст.</w:t>
            </w:r>
          </w:p>
        </w:tc>
        <w:tc>
          <w:tcPr>
            <w:tcW w:w="1205" w:type="dxa"/>
          </w:tcPr>
          <w:p w14:paraId="3F5CD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 станка</w:t>
            </w:r>
          </w:p>
        </w:tc>
        <w:tc>
          <w:tcPr>
            <w:tcW w:w="703" w:type="dxa"/>
          </w:tcPr>
          <w:p w14:paraId="676063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w:t>
            </w:r>
          </w:p>
        </w:tc>
        <w:tc>
          <w:tcPr>
            <w:tcW w:w="703" w:type="dxa"/>
          </w:tcPr>
          <w:p w14:paraId="77E39C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w:t>
            </w:r>
          </w:p>
        </w:tc>
        <w:tc>
          <w:tcPr>
            <w:tcW w:w="703" w:type="dxa"/>
          </w:tcPr>
          <w:p w14:paraId="71F3FF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w:t>
            </w:r>
          </w:p>
        </w:tc>
        <w:tc>
          <w:tcPr>
            <w:tcW w:w="703" w:type="dxa"/>
            <w:gridSpan w:val="2"/>
          </w:tcPr>
          <w:p w14:paraId="388D45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391</w:t>
            </w:r>
          </w:p>
        </w:tc>
        <w:tc>
          <w:tcPr>
            <w:tcW w:w="703" w:type="dxa"/>
          </w:tcPr>
          <w:p w14:paraId="1EBDC7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391</w:t>
            </w:r>
          </w:p>
        </w:tc>
        <w:tc>
          <w:tcPr>
            <w:tcW w:w="2907" w:type="dxa"/>
            <w:gridSpan w:val="2"/>
          </w:tcPr>
          <w:p w14:paraId="718F54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полностью закончены 24 марта 1945. На заводе 64 идет монтаж оборудования</w:t>
            </w:r>
          </w:p>
        </w:tc>
      </w:tr>
      <w:tr w:rsidR="000F5689" w:rsidRPr="00925F26" w14:paraId="7ABDC8E8" w14:textId="77777777">
        <w:trPr>
          <w:gridAfter w:val="1"/>
          <w:wAfter w:w="6" w:type="dxa"/>
        </w:trPr>
        <w:tc>
          <w:tcPr>
            <w:tcW w:w="534" w:type="dxa"/>
          </w:tcPr>
          <w:p w14:paraId="1610B6DE"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1A442CFB"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447E53DA"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3D63B4A7"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351638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 прессов, нижниц, пил</w:t>
            </w:r>
          </w:p>
        </w:tc>
        <w:tc>
          <w:tcPr>
            <w:tcW w:w="703" w:type="dxa"/>
          </w:tcPr>
          <w:p w14:paraId="3071D6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c>
          <w:tcPr>
            <w:tcW w:w="703" w:type="dxa"/>
          </w:tcPr>
          <w:p w14:paraId="1A39A7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c>
          <w:tcPr>
            <w:tcW w:w="703" w:type="dxa"/>
          </w:tcPr>
          <w:p w14:paraId="30CC20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c>
          <w:tcPr>
            <w:tcW w:w="703" w:type="dxa"/>
            <w:gridSpan w:val="2"/>
          </w:tcPr>
          <w:p w14:paraId="2206E39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D5576E2"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52BEBF4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E716E96" w14:textId="77777777">
        <w:trPr>
          <w:gridAfter w:val="1"/>
          <w:wAfter w:w="6" w:type="dxa"/>
        </w:trPr>
        <w:tc>
          <w:tcPr>
            <w:tcW w:w="534" w:type="dxa"/>
          </w:tcPr>
          <w:p w14:paraId="5DD1679D"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4580CB46"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79032314"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0865B0A1"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4035B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компрессоров</w:t>
            </w:r>
          </w:p>
        </w:tc>
        <w:tc>
          <w:tcPr>
            <w:tcW w:w="703" w:type="dxa"/>
          </w:tcPr>
          <w:p w14:paraId="677E0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703" w:type="dxa"/>
          </w:tcPr>
          <w:p w14:paraId="68A586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703" w:type="dxa"/>
          </w:tcPr>
          <w:p w14:paraId="311340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703" w:type="dxa"/>
            <w:gridSpan w:val="2"/>
          </w:tcPr>
          <w:p w14:paraId="4A8E76C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66F10D2"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DE53D6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9E2C6DF" w14:textId="77777777">
        <w:trPr>
          <w:gridAfter w:val="1"/>
          <w:wAfter w:w="6" w:type="dxa"/>
        </w:trPr>
        <w:tc>
          <w:tcPr>
            <w:tcW w:w="534" w:type="dxa"/>
          </w:tcPr>
          <w:p w14:paraId="40AC4623"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2C0B77CB"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4EFF80BC"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3AFA8BE8"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38D614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1130 электромоторов</w:t>
            </w:r>
          </w:p>
        </w:tc>
        <w:tc>
          <w:tcPr>
            <w:tcW w:w="703" w:type="dxa"/>
          </w:tcPr>
          <w:p w14:paraId="07DA8E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1130</w:t>
            </w:r>
          </w:p>
        </w:tc>
        <w:tc>
          <w:tcPr>
            <w:tcW w:w="703" w:type="dxa"/>
          </w:tcPr>
          <w:p w14:paraId="66AA51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1130</w:t>
            </w:r>
          </w:p>
        </w:tc>
        <w:tc>
          <w:tcPr>
            <w:tcW w:w="703" w:type="dxa"/>
          </w:tcPr>
          <w:p w14:paraId="2F14AD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1130</w:t>
            </w:r>
          </w:p>
        </w:tc>
        <w:tc>
          <w:tcPr>
            <w:tcW w:w="703" w:type="dxa"/>
            <w:gridSpan w:val="2"/>
          </w:tcPr>
          <w:p w14:paraId="4757F73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4B35D8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018FE5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EF14DAA" w14:textId="77777777">
        <w:tc>
          <w:tcPr>
            <w:tcW w:w="11018" w:type="dxa"/>
            <w:gridSpan w:val="14"/>
          </w:tcPr>
          <w:p w14:paraId="2BF41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7691сс от 6 марта 1945</w:t>
            </w:r>
          </w:p>
        </w:tc>
      </w:tr>
      <w:tr w:rsidR="000F5689" w:rsidRPr="00925F26" w14:paraId="1CE7E185" w14:textId="77777777">
        <w:trPr>
          <w:gridAfter w:val="1"/>
          <w:wAfter w:w="6" w:type="dxa"/>
        </w:trPr>
        <w:tc>
          <w:tcPr>
            <w:tcW w:w="534" w:type="dxa"/>
          </w:tcPr>
          <w:p w14:paraId="1A3D54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1119" w:type="dxa"/>
          </w:tcPr>
          <w:p w14:paraId="3DEC8D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Берто Верке (цех по обработке коленвалов), М.Ланге</w:t>
            </w:r>
          </w:p>
        </w:tc>
        <w:tc>
          <w:tcPr>
            <w:tcW w:w="979" w:type="dxa"/>
          </w:tcPr>
          <w:p w14:paraId="36EB2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 Ступино</w:t>
            </w:r>
          </w:p>
        </w:tc>
        <w:tc>
          <w:tcPr>
            <w:tcW w:w="754" w:type="dxa"/>
          </w:tcPr>
          <w:p w14:paraId="761CB8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 уст.</w:t>
            </w:r>
          </w:p>
        </w:tc>
        <w:tc>
          <w:tcPr>
            <w:tcW w:w="1205" w:type="dxa"/>
          </w:tcPr>
          <w:p w14:paraId="46EDF1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 станков</w:t>
            </w:r>
          </w:p>
        </w:tc>
        <w:tc>
          <w:tcPr>
            <w:tcW w:w="703" w:type="dxa"/>
          </w:tcPr>
          <w:p w14:paraId="314AFA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703" w:type="dxa"/>
          </w:tcPr>
          <w:p w14:paraId="247644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03" w:type="dxa"/>
          </w:tcPr>
          <w:p w14:paraId="681D64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03" w:type="dxa"/>
            <w:gridSpan w:val="2"/>
          </w:tcPr>
          <w:p w14:paraId="4AA11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03" w:type="dxa"/>
          </w:tcPr>
          <w:p w14:paraId="20ED47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907" w:type="dxa"/>
            <w:gridSpan w:val="2"/>
          </w:tcPr>
          <w:p w14:paraId="49CB72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Демонтаж закончен, начата отгрузка</w:t>
            </w:r>
          </w:p>
        </w:tc>
      </w:tr>
      <w:tr w:rsidR="000F5689" w:rsidRPr="00925F26" w14:paraId="137F5C3C" w14:textId="77777777">
        <w:tc>
          <w:tcPr>
            <w:tcW w:w="11018" w:type="dxa"/>
            <w:gridSpan w:val="14"/>
          </w:tcPr>
          <w:p w14:paraId="06C375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7695сс от 6 марта 1945</w:t>
            </w:r>
          </w:p>
        </w:tc>
      </w:tr>
      <w:tr w:rsidR="000F5689" w:rsidRPr="00925F26" w14:paraId="68CB4797" w14:textId="77777777">
        <w:trPr>
          <w:gridAfter w:val="1"/>
          <w:wAfter w:w="6" w:type="dxa"/>
        </w:trPr>
        <w:tc>
          <w:tcPr>
            <w:tcW w:w="534" w:type="dxa"/>
          </w:tcPr>
          <w:p w14:paraId="18022E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119" w:type="dxa"/>
          </w:tcPr>
          <w:p w14:paraId="26B09B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авивинтов, Хальбау</w:t>
            </w:r>
          </w:p>
        </w:tc>
        <w:tc>
          <w:tcPr>
            <w:tcW w:w="979" w:type="dxa"/>
          </w:tcPr>
          <w:p w14:paraId="603748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 Ступино</w:t>
            </w:r>
          </w:p>
        </w:tc>
        <w:tc>
          <w:tcPr>
            <w:tcW w:w="754" w:type="dxa"/>
          </w:tcPr>
          <w:p w14:paraId="43DAFB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w:t>
            </w:r>
          </w:p>
        </w:tc>
        <w:tc>
          <w:tcPr>
            <w:tcW w:w="1205" w:type="dxa"/>
          </w:tcPr>
          <w:p w14:paraId="42F2A8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 станков</w:t>
            </w:r>
          </w:p>
        </w:tc>
        <w:tc>
          <w:tcPr>
            <w:tcW w:w="703" w:type="dxa"/>
          </w:tcPr>
          <w:p w14:paraId="72454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c>
          <w:tcPr>
            <w:tcW w:w="703" w:type="dxa"/>
          </w:tcPr>
          <w:p w14:paraId="666BA6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c>
          <w:tcPr>
            <w:tcW w:w="703" w:type="dxa"/>
          </w:tcPr>
          <w:p w14:paraId="4AEC29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c>
          <w:tcPr>
            <w:tcW w:w="703" w:type="dxa"/>
            <w:gridSpan w:val="2"/>
          </w:tcPr>
          <w:p w14:paraId="6113F5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w:t>
            </w:r>
          </w:p>
        </w:tc>
        <w:tc>
          <w:tcPr>
            <w:tcW w:w="703" w:type="dxa"/>
          </w:tcPr>
          <w:p w14:paraId="55C5BA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w:t>
            </w:r>
          </w:p>
        </w:tc>
        <w:tc>
          <w:tcPr>
            <w:tcW w:w="2907" w:type="dxa"/>
            <w:gridSpan w:val="2"/>
          </w:tcPr>
          <w:p w14:paraId="1D949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полностью закончены 9 апреля 1945. На заводе 150 идет монтаж оборудования</w:t>
            </w:r>
          </w:p>
        </w:tc>
      </w:tr>
      <w:tr w:rsidR="000F5689" w:rsidRPr="00925F26" w14:paraId="46DADD23" w14:textId="77777777">
        <w:trPr>
          <w:gridAfter w:val="1"/>
          <w:wAfter w:w="6" w:type="dxa"/>
        </w:trPr>
        <w:tc>
          <w:tcPr>
            <w:tcW w:w="534" w:type="dxa"/>
          </w:tcPr>
          <w:p w14:paraId="59865368"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113A97AC"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0FD961A0"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2182FD2F"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3937C7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 пресса</w:t>
            </w:r>
          </w:p>
        </w:tc>
        <w:tc>
          <w:tcPr>
            <w:tcW w:w="703" w:type="dxa"/>
          </w:tcPr>
          <w:p w14:paraId="2BEF06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03" w:type="dxa"/>
          </w:tcPr>
          <w:p w14:paraId="0BDFD2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03" w:type="dxa"/>
          </w:tcPr>
          <w:p w14:paraId="24AA6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03" w:type="dxa"/>
            <w:gridSpan w:val="2"/>
          </w:tcPr>
          <w:p w14:paraId="39950E5F"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6553798"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E4276F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261B709" w14:textId="77777777">
        <w:trPr>
          <w:gridAfter w:val="1"/>
          <w:wAfter w:w="6" w:type="dxa"/>
        </w:trPr>
        <w:tc>
          <w:tcPr>
            <w:tcW w:w="534" w:type="dxa"/>
          </w:tcPr>
          <w:p w14:paraId="55626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w:t>
            </w:r>
          </w:p>
        </w:tc>
        <w:tc>
          <w:tcPr>
            <w:tcW w:w="1119" w:type="dxa"/>
          </w:tcPr>
          <w:p w14:paraId="3B33EB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Фокке-Вульф, Познань</w:t>
            </w:r>
          </w:p>
        </w:tc>
        <w:tc>
          <w:tcPr>
            <w:tcW w:w="979" w:type="dxa"/>
          </w:tcPr>
          <w:p w14:paraId="51DF50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 Ленинград</w:t>
            </w:r>
          </w:p>
        </w:tc>
        <w:tc>
          <w:tcPr>
            <w:tcW w:w="754" w:type="dxa"/>
          </w:tcPr>
          <w:p w14:paraId="7F181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w:t>
            </w:r>
          </w:p>
        </w:tc>
        <w:tc>
          <w:tcPr>
            <w:tcW w:w="1205" w:type="dxa"/>
          </w:tcPr>
          <w:p w14:paraId="59CBE9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492 станка</w:t>
            </w:r>
          </w:p>
        </w:tc>
        <w:tc>
          <w:tcPr>
            <w:tcW w:w="703" w:type="dxa"/>
          </w:tcPr>
          <w:p w14:paraId="7EC03E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492</w:t>
            </w:r>
          </w:p>
        </w:tc>
        <w:tc>
          <w:tcPr>
            <w:tcW w:w="703" w:type="dxa"/>
          </w:tcPr>
          <w:p w14:paraId="3037FB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492</w:t>
            </w:r>
          </w:p>
        </w:tc>
        <w:tc>
          <w:tcPr>
            <w:tcW w:w="703" w:type="dxa"/>
          </w:tcPr>
          <w:p w14:paraId="6EBEE4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492</w:t>
            </w:r>
          </w:p>
        </w:tc>
        <w:tc>
          <w:tcPr>
            <w:tcW w:w="703" w:type="dxa"/>
            <w:gridSpan w:val="2"/>
          </w:tcPr>
          <w:p w14:paraId="2C54D0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703" w:type="dxa"/>
          </w:tcPr>
          <w:p w14:paraId="4CC015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2907" w:type="dxa"/>
            <w:gridSpan w:val="2"/>
          </w:tcPr>
          <w:p w14:paraId="7FF7D9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закончены 14 апреля 1945 за исключением отгрузки 8000 т. гидравлического пресса. На заводе 272 идет монтаж оборудования</w:t>
            </w:r>
          </w:p>
        </w:tc>
      </w:tr>
      <w:tr w:rsidR="000F5689" w:rsidRPr="00925F26" w14:paraId="6B9248BD" w14:textId="77777777">
        <w:trPr>
          <w:gridAfter w:val="1"/>
          <w:wAfter w:w="6" w:type="dxa"/>
        </w:trPr>
        <w:tc>
          <w:tcPr>
            <w:tcW w:w="534" w:type="dxa"/>
          </w:tcPr>
          <w:p w14:paraId="59B7B2C1"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775171D3"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0A889215"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3458EECB"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52CDC0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деревообр. станков</w:t>
            </w:r>
          </w:p>
        </w:tc>
        <w:tc>
          <w:tcPr>
            <w:tcW w:w="703" w:type="dxa"/>
          </w:tcPr>
          <w:p w14:paraId="3A575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703" w:type="dxa"/>
          </w:tcPr>
          <w:p w14:paraId="4318A2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703" w:type="dxa"/>
          </w:tcPr>
          <w:p w14:paraId="2328D2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703" w:type="dxa"/>
            <w:gridSpan w:val="2"/>
          </w:tcPr>
          <w:p w14:paraId="7018CE67"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2B33DF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315D83B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E2B6E6C" w14:textId="77777777">
        <w:trPr>
          <w:gridAfter w:val="1"/>
          <w:wAfter w:w="6" w:type="dxa"/>
        </w:trPr>
        <w:tc>
          <w:tcPr>
            <w:tcW w:w="534" w:type="dxa"/>
          </w:tcPr>
          <w:p w14:paraId="65FD5BEA"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43BC1785"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1DF184B"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06B3B9F6"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37F1B5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 пресса</w:t>
            </w:r>
          </w:p>
        </w:tc>
        <w:tc>
          <w:tcPr>
            <w:tcW w:w="703" w:type="dxa"/>
          </w:tcPr>
          <w:p w14:paraId="4EBEB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w:t>
            </w:r>
          </w:p>
        </w:tc>
        <w:tc>
          <w:tcPr>
            <w:tcW w:w="703" w:type="dxa"/>
          </w:tcPr>
          <w:p w14:paraId="068B1D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w:t>
            </w:r>
          </w:p>
        </w:tc>
        <w:tc>
          <w:tcPr>
            <w:tcW w:w="703" w:type="dxa"/>
          </w:tcPr>
          <w:p w14:paraId="2204FB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w:t>
            </w:r>
          </w:p>
        </w:tc>
        <w:tc>
          <w:tcPr>
            <w:tcW w:w="703" w:type="dxa"/>
            <w:gridSpan w:val="2"/>
          </w:tcPr>
          <w:p w14:paraId="343520C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53675D6"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55377E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9C2F25A" w14:textId="77777777">
        <w:trPr>
          <w:gridAfter w:val="1"/>
          <w:wAfter w:w="6" w:type="dxa"/>
        </w:trPr>
        <w:tc>
          <w:tcPr>
            <w:tcW w:w="534" w:type="dxa"/>
          </w:tcPr>
          <w:p w14:paraId="53380418"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2701E4E9"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0EB79078"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332E0C8F"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08A48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компрессоров</w:t>
            </w:r>
          </w:p>
        </w:tc>
        <w:tc>
          <w:tcPr>
            <w:tcW w:w="703" w:type="dxa"/>
          </w:tcPr>
          <w:p w14:paraId="2C3290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703" w:type="dxa"/>
          </w:tcPr>
          <w:p w14:paraId="2AD7AB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703" w:type="dxa"/>
          </w:tcPr>
          <w:p w14:paraId="2ED938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703" w:type="dxa"/>
            <w:gridSpan w:val="2"/>
          </w:tcPr>
          <w:p w14:paraId="5E655BD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180ACC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0723E0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35C6A69" w14:textId="77777777">
        <w:trPr>
          <w:gridAfter w:val="1"/>
          <w:wAfter w:w="6" w:type="dxa"/>
        </w:trPr>
        <w:tc>
          <w:tcPr>
            <w:tcW w:w="534" w:type="dxa"/>
          </w:tcPr>
          <w:p w14:paraId="76D8561C"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646C7432"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FB27E1A"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6D9C8069"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27F73B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 электромотора</w:t>
            </w:r>
          </w:p>
        </w:tc>
        <w:tc>
          <w:tcPr>
            <w:tcW w:w="703" w:type="dxa"/>
          </w:tcPr>
          <w:p w14:paraId="52B63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w:t>
            </w:r>
          </w:p>
        </w:tc>
        <w:tc>
          <w:tcPr>
            <w:tcW w:w="703" w:type="dxa"/>
          </w:tcPr>
          <w:p w14:paraId="332A60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w:t>
            </w:r>
          </w:p>
        </w:tc>
        <w:tc>
          <w:tcPr>
            <w:tcW w:w="703" w:type="dxa"/>
          </w:tcPr>
          <w:p w14:paraId="7BCD39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w:t>
            </w:r>
          </w:p>
        </w:tc>
        <w:tc>
          <w:tcPr>
            <w:tcW w:w="703" w:type="dxa"/>
            <w:gridSpan w:val="2"/>
          </w:tcPr>
          <w:p w14:paraId="0B1848E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DB069D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33D9BE0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706EA40" w14:textId="77777777">
        <w:trPr>
          <w:gridAfter w:val="1"/>
          <w:wAfter w:w="6" w:type="dxa"/>
        </w:trPr>
        <w:tc>
          <w:tcPr>
            <w:tcW w:w="534" w:type="dxa"/>
          </w:tcPr>
          <w:p w14:paraId="4B6B23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119" w:type="dxa"/>
          </w:tcPr>
          <w:p w14:paraId="68473B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Фокке-Вульф, Бирнбаум</w:t>
            </w:r>
          </w:p>
        </w:tc>
        <w:tc>
          <w:tcPr>
            <w:tcW w:w="979" w:type="dxa"/>
          </w:tcPr>
          <w:p w14:paraId="0FD25E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 Ленинград</w:t>
            </w:r>
          </w:p>
        </w:tc>
        <w:tc>
          <w:tcPr>
            <w:tcW w:w="754" w:type="dxa"/>
          </w:tcPr>
          <w:p w14:paraId="1482C3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w:t>
            </w:r>
          </w:p>
        </w:tc>
        <w:tc>
          <w:tcPr>
            <w:tcW w:w="1205" w:type="dxa"/>
          </w:tcPr>
          <w:p w14:paraId="778D5C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 станков</w:t>
            </w:r>
          </w:p>
        </w:tc>
        <w:tc>
          <w:tcPr>
            <w:tcW w:w="703" w:type="dxa"/>
          </w:tcPr>
          <w:p w14:paraId="051D4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703" w:type="dxa"/>
          </w:tcPr>
          <w:p w14:paraId="4E6AF8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703" w:type="dxa"/>
          </w:tcPr>
          <w:p w14:paraId="78BFD5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703" w:type="dxa"/>
            <w:gridSpan w:val="2"/>
          </w:tcPr>
          <w:p w14:paraId="727CD2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w:t>
            </w:r>
          </w:p>
        </w:tc>
        <w:tc>
          <w:tcPr>
            <w:tcW w:w="703" w:type="dxa"/>
          </w:tcPr>
          <w:p w14:paraId="399361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w:t>
            </w:r>
          </w:p>
        </w:tc>
        <w:tc>
          <w:tcPr>
            <w:tcW w:w="2907" w:type="dxa"/>
            <w:gridSpan w:val="2"/>
          </w:tcPr>
          <w:p w14:paraId="6615A2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полностью закончены 26 марта 1945. На заводе 272 идет монтаж оборудования</w:t>
            </w:r>
          </w:p>
        </w:tc>
      </w:tr>
      <w:tr w:rsidR="000F5689" w:rsidRPr="00925F26" w14:paraId="0F1083CF" w14:textId="77777777">
        <w:trPr>
          <w:gridAfter w:val="1"/>
          <w:wAfter w:w="6" w:type="dxa"/>
        </w:trPr>
        <w:tc>
          <w:tcPr>
            <w:tcW w:w="534" w:type="dxa"/>
          </w:tcPr>
          <w:p w14:paraId="0F55817B"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5E54F232"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7BDC4FF0"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4DF399FB"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15670C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деревообраб. станков</w:t>
            </w:r>
          </w:p>
        </w:tc>
        <w:tc>
          <w:tcPr>
            <w:tcW w:w="703" w:type="dxa"/>
          </w:tcPr>
          <w:p w14:paraId="2D5093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703" w:type="dxa"/>
          </w:tcPr>
          <w:p w14:paraId="073113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703" w:type="dxa"/>
          </w:tcPr>
          <w:p w14:paraId="00B86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703" w:type="dxa"/>
            <w:gridSpan w:val="2"/>
          </w:tcPr>
          <w:p w14:paraId="3D8EE71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E438A30"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01920E9"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F137E08" w14:textId="77777777">
        <w:trPr>
          <w:gridAfter w:val="1"/>
          <w:wAfter w:w="6" w:type="dxa"/>
        </w:trPr>
        <w:tc>
          <w:tcPr>
            <w:tcW w:w="534" w:type="dxa"/>
          </w:tcPr>
          <w:p w14:paraId="079D44BD"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3762C467"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631570AB"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48903460"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5F362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прессов</w:t>
            </w:r>
          </w:p>
        </w:tc>
        <w:tc>
          <w:tcPr>
            <w:tcW w:w="703" w:type="dxa"/>
          </w:tcPr>
          <w:p w14:paraId="3AC59B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703" w:type="dxa"/>
          </w:tcPr>
          <w:p w14:paraId="49F7C9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703" w:type="dxa"/>
          </w:tcPr>
          <w:p w14:paraId="41FD7A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703" w:type="dxa"/>
            <w:gridSpan w:val="2"/>
          </w:tcPr>
          <w:p w14:paraId="345DC9B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D1156B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D396CE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8A07BCE" w14:textId="77777777">
        <w:trPr>
          <w:gridAfter w:val="1"/>
          <w:wAfter w:w="6" w:type="dxa"/>
        </w:trPr>
        <w:tc>
          <w:tcPr>
            <w:tcW w:w="534" w:type="dxa"/>
          </w:tcPr>
          <w:p w14:paraId="39D6E807"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04901655"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6B580CA"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1C1A8AEB"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415022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351 электромотор</w:t>
            </w:r>
          </w:p>
        </w:tc>
        <w:tc>
          <w:tcPr>
            <w:tcW w:w="703" w:type="dxa"/>
          </w:tcPr>
          <w:p w14:paraId="3A458D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351</w:t>
            </w:r>
          </w:p>
        </w:tc>
        <w:tc>
          <w:tcPr>
            <w:tcW w:w="703" w:type="dxa"/>
          </w:tcPr>
          <w:p w14:paraId="1948F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351</w:t>
            </w:r>
          </w:p>
        </w:tc>
        <w:tc>
          <w:tcPr>
            <w:tcW w:w="703" w:type="dxa"/>
          </w:tcPr>
          <w:p w14:paraId="1F7C3E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351</w:t>
            </w:r>
          </w:p>
        </w:tc>
        <w:tc>
          <w:tcPr>
            <w:tcW w:w="703" w:type="dxa"/>
            <w:gridSpan w:val="2"/>
          </w:tcPr>
          <w:p w14:paraId="7C6C652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5707AF4"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729C61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7BE5A6C" w14:textId="77777777">
        <w:trPr>
          <w:gridAfter w:val="1"/>
          <w:wAfter w:w="6" w:type="dxa"/>
        </w:trPr>
        <w:tc>
          <w:tcPr>
            <w:tcW w:w="534" w:type="dxa"/>
          </w:tcPr>
          <w:p w14:paraId="0FBA4A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1119" w:type="dxa"/>
          </w:tcPr>
          <w:p w14:paraId="78C71B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Даймлер-Бенц, Мезериц</w:t>
            </w:r>
          </w:p>
        </w:tc>
        <w:tc>
          <w:tcPr>
            <w:tcW w:w="979" w:type="dxa"/>
          </w:tcPr>
          <w:p w14:paraId="09885B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 Воронеж</w:t>
            </w:r>
          </w:p>
        </w:tc>
        <w:tc>
          <w:tcPr>
            <w:tcW w:w="754" w:type="dxa"/>
          </w:tcPr>
          <w:p w14:paraId="4F253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w:t>
            </w:r>
          </w:p>
        </w:tc>
        <w:tc>
          <w:tcPr>
            <w:tcW w:w="1205" w:type="dxa"/>
          </w:tcPr>
          <w:p w14:paraId="62545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592 станка</w:t>
            </w:r>
          </w:p>
        </w:tc>
        <w:tc>
          <w:tcPr>
            <w:tcW w:w="703" w:type="dxa"/>
          </w:tcPr>
          <w:p w14:paraId="582378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592</w:t>
            </w:r>
          </w:p>
        </w:tc>
        <w:tc>
          <w:tcPr>
            <w:tcW w:w="703" w:type="dxa"/>
          </w:tcPr>
          <w:p w14:paraId="63D44C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592</w:t>
            </w:r>
          </w:p>
        </w:tc>
        <w:tc>
          <w:tcPr>
            <w:tcW w:w="703" w:type="dxa"/>
          </w:tcPr>
          <w:p w14:paraId="627878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592</w:t>
            </w:r>
          </w:p>
        </w:tc>
        <w:tc>
          <w:tcPr>
            <w:tcW w:w="703" w:type="dxa"/>
            <w:gridSpan w:val="2"/>
          </w:tcPr>
          <w:p w14:paraId="42C51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204</w:t>
            </w:r>
          </w:p>
        </w:tc>
        <w:tc>
          <w:tcPr>
            <w:tcW w:w="703" w:type="dxa"/>
          </w:tcPr>
          <w:p w14:paraId="1F1BEA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294</w:t>
            </w:r>
          </w:p>
        </w:tc>
        <w:tc>
          <w:tcPr>
            <w:tcW w:w="2907" w:type="dxa"/>
            <w:gridSpan w:val="2"/>
          </w:tcPr>
          <w:p w14:paraId="0D0F1C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полностью закончены 9 апреля 1945. На заводе 265 идет монтаж оборудования</w:t>
            </w:r>
          </w:p>
        </w:tc>
      </w:tr>
      <w:tr w:rsidR="000F5689" w:rsidRPr="00925F26" w14:paraId="6A97CA01" w14:textId="77777777">
        <w:trPr>
          <w:gridAfter w:val="1"/>
          <w:wAfter w:w="6" w:type="dxa"/>
        </w:trPr>
        <w:tc>
          <w:tcPr>
            <w:tcW w:w="534" w:type="dxa"/>
          </w:tcPr>
          <w:p w14:paraId="7C9F92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7.</w:t>
            </w:r>
          </w:p>
        </w:tc>
        <w:tc>
          <w:tcPr>
            <w:tcW w:w="1119" w:type="dxa"/>
          </w:tcPr>
          <w:p w14:paraId="10C57F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Крыльевой завод, Бунцлау</w:t>
            </w:r>
          </w:p>
        </w:tc>
        <w:tc>
          <w:tcPr>
            <w:tcW w:w="979" w:type="dxa"/>
          </w:tcPr>
          <w:p w14:paraId="03BAAF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 Москва</w:t>
            </w:r>
          </w:p>
        </w:tc>
        <w:tc>
          <w:tcPr>
            <w:tcW w:w="754" w:type="dxa"/>
          </w:tcPr>
          <w:p w14:paraId="2BD91D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w:t>
            </w:r>
          </w:p>
        </w:tc>
        <w:tc>
          <w:tcPr>
            <w:tcW w:w="1205" w:type="dxa"/>
          </w:tcPr>
          <w:p w14:paraId="433FF5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 станков</w:t>
            </w:r>
          </w:p>
        </w:tc>
        <w:tc>
          <w:tcPr>
            <w:tcW w:w="703" w:type="dxa"/>
          </w:tcPr>
          <w:p w14:paraId="07B905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703" w:type="dxa"/>
          </w:tcPr>
          <w:p w14:paraId="601180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703" w:type="dxa"/>
          </w:tcPr>
          <w:p w14:paraId="1A8B3679"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9B592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w:t>
            </w:r>
          </w:p>
        </w:tc>
        <w:tc>
          <w:tcPr>
            <w:tcW w:w="703" w:type="dxa"/>
          </w:tcPr>
          <w:p w14:paraId="75D184AD"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01DBDC1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71D9D41" w14:textId="77777777">
        <w:trPr>
          <w:gridAfter w:val="1"/>
          <w:wAfter w:w="6" w:type="dxa"/>
        </w:trPr>
        <w:tc>
          <w:tcPr>
            <w:tcW w:w="534" w:type="dxa"/>
          </w:tcPr>
          <w:p w14:paraId="5C2D6C2B"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559B9C5D"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4DCA8775"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6DBB6E04"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4A787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ед. оборудования</w:t>
            </w:r>
          </w:p>
        </w:tc>
        <w:tc>
          <w:tcPr>
            <w:tcW w:w="703" w:type="dxa"/>
          </w:tcPr>
          <w:p w14:paraId="0AD918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703" w:type="dxa"/>
          </w:tcPr>
          <w:p w14:paraId="457CD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703" w:type="dxa"/>
          </w:tcPr>
          <w:p w14:paraId="6044F7C0"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0E179D5"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50BCE98"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101A4D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CC6BDE9" w14:textId="77777777">
        <w:trPr>
          <w:gridAfter w:val="1"/>
          <w:wAfter w:w="6" w:type="dxa"/>
        </w:trPr>
        <w:tc>
          <w:tcPr>
            <w:tcW w:w="534" w:type="dxa"/>
          </w:tcPr>
          <w:p w14:paraId="66269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1119" w:type="dxa"/>
          </w:tcPr>
          <w:p w14:paraId="714586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Фокке-Вульф, Андрухов</w:t>
            </w:r>
          </w:p>
        </w:tc>
        <w:tc>
          <w:tcPr>
            <w:tcW w:w="979" w:type="dxa"/>
          </w:tcPr>
          <w:p w14:paraId="134831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 Ленинград</w:t>
            </w:r>
          </w:p>
        </w:tc>
        <w:tc>
          <w:tcPr>
            <w:tcW w:w="754" w:type="dxa"/>
          </w:tcPr>
          <w:p w14:paraId="53AB90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апреля 1945</w:t>
            </w:r>
          </w:p>
        </w:tc>
        <w:tc>
          <w:tcPr>
            <w:tcW w:w="1205" w:type="dxa"/>
          </w:tcPr>
          <w:p w14:paraId="77D1FC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станков</w:t>
            </w:r>
          </w:p>
        </w:tc>
        <w:tc>
          <w:tcPr>
            <w:tcW w:w="703" w:type="dxa"/>
          </w:tcPr>
          <w:p w14:paraId="4DDFCAF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D7A1D4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0C110F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39B3CE95"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2090CA9"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03783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прекращены в силу польской принадлежности завода</w:t>
            </w:r>
          </w:p>
        </w:tc>
      </w:tr>
      <w:tr w:rsidR="000F5689" w:rsidRPr="00925F26" w14:paraId="662DCAD7" w14:textId="77777777">
        <w:trPr>
          <w:gridAfter w:val="1"/>
          <w:wAfter w:w="5" w:type="dxa"/>
        </w:trPr>
        <w:tc>
          <w:tcPr>
            <w:tcW w:w="11014" w:type="dxa"/>
            <w:gridSpan w:val="13"/>
          </w:tcPr>
          <w:p w14:paraId="0F706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7895сс от 21 марта 1945</w:t>
            </w:r>
          </w:p>
        </w:tc>
      </w:tr>
      <w:tr w:rsidR="000F5689" w:rsidRPr="00925F26" w14:paraId="56E84421" w14:textId="77777777">
        <w:trPr>
          <w:gridAfter w:val="1"/>
          <w:wAfter w:w="6" w:type="dxa"/>
        </w:trPr>
        <w:tc>
          <w:tcPr>
            <w:tcW w:w="534" w:type="dxa"/>
          </w:tcPr>
          <w:p w14:paraId="05CB7C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1119" w:type="dxa"/>
          </w:tcPr>
          <w:p w14:paraId="6A794D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самолетных агрегатов, Торн</w:t>
            </w:r>
          </w:p>
        </w:tc>
        <w:tc>
          <w:tcPr>
            <w:tcW w:w="979" w:type="dxa"/>
          </w:tcPr>
          <w:p w14:paraId="4AA23B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485, Ржев</w:t>
            </w:r>
          </w:p>
        </w:tc>
        <w:tc>
          <w:tcPr>
            <w:tcW w:w="754" w:type="dxa"/>
          </w:tcPr>
          <w:p w14:paraId="4CC5E6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мая 1945</w:t>
            </w:r>
          </w:p>
        </w:tc>
        <w:tc>
          <w:tcPr>
            <w:tcW w:w="1205" w:type="dxa"/>
          </w:tcPr>
          <w:p w14:paraId="5F35EC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 станков</w:t>
            </w:r>
          </w:p>
        </w:tc>
        <w:tc>
          <w:tcPr>
            <w:tcW w:w="703" w:type="dxa"/>
          </w:tcPr>
          <w:p w14:paraId="32AE55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703" w:type="dxa"/>
          </w:tcPr>
          <w:p w14:paraId="65070C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703" w:type="dxa"/>
          </w:tcPr>
          <w:p w14:paraId="5A82B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703" w:type="dxa"/>
            <w:gridSpan w:val="2"/>
          </w:tcPr>
          <w:p w14:paraId="640D0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w:t>
            </w:r>
          </w:p>
        </w:tc>
        <w:tc>
          <w:tcPr>
            <w:tcW w:w="703" w:type="dxa"/>
          </w:tcPr>
          <w:p w14:paraId="61CC4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w:t>
            </w:r>
          </w:p>
        </w:tc>
        <w:tc>
          <w:tcPr>
            <w:tcW w:w="2907" w:type="dxa"/>
            <w:gridSpan w:val="2"/>
          </w:tcPr>
          <w:p w14:paraId="7518E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полностью закончены 16 апреля 1945. На заводе 485 идет монтаж оборудования</w:t>
            </w:r>
          </w:p>
        </w:tc>
      </w:tr>
      <w:tr w:rsidR="000F5689" w:rsidRPr="00925F26" w14:paraId="097EA0DC" w14:textId="77777777">
        <w:trPr>
          <w:gridAfter w:val="1"/>
          <w:wAfter w:w="5" w:type="dxa"/>
        </w:trPr>
        <w:tc>
          <w:tcPr>
            <w:tcW w:w="11014" w:type="dxa"/>
            <w:gridSpan w:val="13"/>
          </w:tcPr>
          <w:p w14:paraId="278A8E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8000сс от 5 апреля 1945</w:t>
            </w:r>
          </w:p>
        </w:tc>
      </w:tr>
      <w:tr w:rsidR="000F5689" w:rsidRPr="00925F26" w14:paraId="58C3D779" w14:textId="77777777">
        <w:trPr>
          <w:gridAfter w:val="1"/>
          <w:wAfter w:w="6" w:type="dxa"/>
        </w:trPr>
        <w:tc>
          <w:tcPr>
            <w:tcW w:w="534" w:type="dxa"/>
          </w:tcPr>
          <w:p w14:paraId="59EDD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119" w:type="dxa"/>
          </w:tcPr>
          <w:p w14:paraId="14B781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Пусковые устройства для самолетов-снарядов, ст. Шпек (р-н Альтдам)</w:t>
            </w:r>
          </w:p>
        </w:tc>
        <w:tc>
          <w:tcPr>
            <w:tcW w:w="979" w:type="dxa"/>
          </w:tcPr>
          <w:p w14:paraId="5EF67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458, Савелово</w:t>
            </w:r>
          </w:p>
        </w:tc>
        <w:tc>
          <w:tcPr>
            <w:tcW w:w="754" w:type="dxa"/>
          </w:tcPr>
          <w:p w14:paraId="313E2A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апреля 1945</w:t>
            </w:r>
          </w:p>
        </w:tc>
        <w:tc>
          <w:tcPr>
            <w:tcW w:w="1205" w:type="dxa"/>
          </w:tcPr>
          <w:p w14:paraId="38E9E19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F80C707"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A6061F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E99FA8C"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42D95D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3DA2FCC"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4688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работы закончены 22 апреля 1945, пусковые устройства отгружены на завод 458</w:t>
            </w:r>
          </w:p>
        </w:tc>
      </w:tr>
      <w:tr w:rsidR="000F5689" w:rsidRPr="00925F26" w14:paraId="40D3EEC5" w14:textId="77777777">
        <w:trPr>
          <w:gridAfter w:val="1"/>
          <w:wAfter w:w="5" w:type="dxa"/>
        </w:trPr>
        <w:tc>
          <w:tcPr>
            <w:tcW w:w="11014" w:type="dxa"/>
            <w:gridSpan w:val="13"/>
          </w:tcPr>
          <w:p w14:paraId="6C2E21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8011с от 5 апреля 1945</w:t>
            </w:r>
          </w:p>
        </w:tc>
      </w:tr>
      <w:tr w:rsidR="000F5689" w:rsidRPr="00925F26" w14:paraId="0F1729E5" w14:textId="77777777">
        <w:trPr>
          <w:gridAfter w:val="1"/>
          <w:wAfter w:w="6" w:type="dxa"/>
        </w:trPr>
        <w:tc>
          <w:tcPr>
            <w:tcW w:w="534" w:type="dxa"/>
          </w:tcPr>
          <w:p w14:paraId="1D7BDD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119" w:type="dxa"/>
          </w:tcPr>
          <w:p w14:paraId="33DBFB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Дейтше Машинен Верке, Познань</w:t>
            </w:r>
          </w:p>
        </w:tc>
        <w:tc>
          <w:tcPr>
            <w:tcW w:w="979" w:type="dxa"/>
          </w:tcPr>
          <w:p w14:paraId="194314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 Рыбинск</w:t>
            </w:r>
          </w:p>
        </w:tc>
        <w:tc>
          <w:tcPr>
            <w:tcW w:w="754" w:type="dxa"/>
          </w:tcPr>
          <w:p w14:paraId="3D719B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апреля 1945</w:t>
            </w:r>
          </w:p>
        </w:tc>
        <w:tc>
          <w:tcPr>
            <w:tcW w:w="1205" w:type="dxa"/>
          </w:tcPr>
          <w:p w14:paraId="4A6030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 станков</w:t>
            </w:r>
          </w:p>
        </w:tc>
        <w:tc>
          <w:tcPr>
            <w:tcW w:w="703" w:type="dxa"/>
          </w:tcPr>
          <w:p w14:paraId="67278EB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39BEF27"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032AD18"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73274A5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55C80B1"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08C1D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завода демонтировано другими наркоматами по ранее вынесенным решениям</w:t>
            </w:r>
          </w:p>
        </w:tc>
      </w:tr>
      <w:tr w:rsidR="000F5689" w:rsidRPr="00925F26" w14:paraId="7EA05E4A" w14:textId="77777777">
        <w:trPr>
          <w:gridAfter w:val="1"/>
          <w:wAfter w:w="5" w:type="dxa"/>
        </w:trPr>
        <w:tc>
          <w:tcPr>
            <w:tcW w:w="11014" w:type="dxa"/>
            <w:gridSpan w:val="13"/>
          </w:tcPr>
          <w:p w14:paraId="06AEE5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8011с от 5 апреля 1945</w:t>
            </w:r>
          </w:p>
        </w:tc>
      </w:tr>
      <w:tr w:rsidR="000F5689" w:rsidRPr="00925F26" w14:paraId="5BF5F1DE" w14:textId="77777777">
        <w:trPr>
          <w:gridAfter w:val="1"/>
          <w:wAfter w:w="6" w:type="dxa"/>
        </w:trPr>
        <w:tc>
          <w:tcPr>
            <w:tcW w:w="534" w:type="dxa"/>
          </w:tcPr>
          <w:p w14:paraId="694E45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1119" w:type="dxa"/>
          </w:tcPr>
          <w:p w14:paraId="7ACC38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Два завода Фокке-Вульф, Зорау</w:t>
            </w:r>
          </w:p>
        </w:tc>
        <w:tc>
          <w:tcPr>
            <w:tcW w:w="979" w:type="dxa"/>
          </w:tcPr>
          <w:p w14:paraId="0796F4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 Воронеж</w:t>
            </w:r>
          </w:p>
        </w:tc>
        <w:tc>
          <w:tcPr>
            <w:tcW w:w="754" w:type="dxa"/>
          </w:tcPr>
          <w:p w14:paraId="45391D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w:t>
            </w:r>
          </w:p>
        </w:tc>
        <w:tc>
          <w:tcPr>
            <w:tcW w:w="1205" w:type="dxa"/>
          </w:tcPr>
          <w:p w14:paraId="3B3850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 станков</w:t>
            </w:r>
          </w:p>
        </w:tc>
        <w:tc>
          <w:tcPr>
            <w:tcW w:w="703" w:type="dxa"/>
          </w:tcPr>
          <w:p w14:paraId="7A859B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703" w:type="dxa"/>
          </w:tcPr>
          <w:p w14:paraId="7299D40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267107E"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6F07B6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2BBF3A5"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F7EBB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полностью демонтировано 28 апреля 1945 и погружено</w:t>
            </w:r>
          </w:p>
        </w:tc>
      </w:tr>
      <w:tr w:rsidR="000F5689" w:rsidRPr="00925F26" w14:paraId="691DCFF5" w14:textId="77777777">
        <w:trPr>
          <w:gridAfter w:val="1"/>
          <w:wAfter w:w="6" w:type="dxa"/>
        </w:trPr>
        <w:tc>
          <w:tcPr>
            <w:tcW w:w="534" w:type="dxa"/>
          </w:tcPr>
          <w:p w14:paraId="054CBD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119" w:type="dxa"/>
          </w:tcPr>
          <w:p w14:paraId="6C020D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МАФ, Заган</w:t>
            </w:r>
          </w:p>
        </w:tc>
        <w:tc>
          <w:tcPr>
            <w:tcW w:w="979" w:type="dxa"/>
          </w:tcPr>
          <w:p w14:paraId="25CF19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455, Костино</w:t>
            </w:r>
          </w:p>
        </w:tc>
        <w:tc>
          <w:tcPr>
            <w:tcW w:w="754" w:type="dxa"/>
          </w:tcPr>
          <w:p w14:paraId="15072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w:t>
            </w:r>
          </w:p>
        </w:tc>
        <w:tc>
          <w:tcPr>
            <w:tcW w:w="1205" w:type="dxa"/>
          </w:tcPr>
          <w:p w14:paraId="4F5505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247 станков</w:t>
            </w:r>
          </w:p>
        </w:tc>
        <w:tc>
          <w:tcPr>
            <w:tcW w:w="703" w:type="dxa"/>
          </w:tcPr>
          <w:p w14:paraId="0BC89B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w:t>
            </w:r>
          </w:p>
        </w:tc>
        <w:tc>
          <w:tcPr>
            <w:tcW w:w="703" w:type="dxa"/>
          </w:tcPr>
          <w:p w14:paraId="2A03CC1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EBA12E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7373313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5348910"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B7B02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Демонтаж оборудования продолжается и будет закончен 15 мая 1945</w:t>
            </w:r>
          </w:p>
        </w:tc>
      </w:tr>
      <w:tr w:rsidR="000F5689" w:rsidRPr="00925F26" w14:paraId="44D04C03" w14:textId="77777777">
        <w:trPr>
          <w:gridAfter w:val="1"/>
          <w:wAfter w:w="6" w:type="dxa"/>
        </w:trPr>
        <w:tc>
          <w:tcPr>
            <w:tcW w:w="534" w:type="dxa"/>
          </w:tcPr>
          <w:p w14:paraId="37BFE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1119" w:type="dxa"/>
          </w:tcPr>
          <w:p w14:paraId="5888C4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авиамоторных деталей, Закрау (Хунсвельд)</w:t>
            </w:r>
          </w:p>
        </w:tc>
        <w:tc>
          <w:tcPr>
            <w:tcW w:w="979" w:type="dxa"/>
          </w:tcPr>
          <w:p w14:paraId="11F79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 Запорожье</w:t>
            </w:r>
          </w:p>
        </w:tc>
        <w:tc>
          <w:tcPr>
            <w:tcW w:w="754" w:type="dxa"/>
          </w:tcPr>
          <w:p w14:paraId="619536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w:t>
            </w:r>
          </w:p>
        </w:tc>
        <w:tc>
          <w:tcPr>
            <w:tcW w:w="1205" w:type="dxa"/>
          </w:tcPr>
          <w:p w14:paraId="345DD6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 станков</w:t>
            </w:r>
          </w:p>
        </w:tc>
        <w:tc>
          <w:tcPr>
            <w:tcW w:w="703" w:type="dxa"/>
          </w:tcPr>
          <w:p w14:paraId="0F0CB41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564F76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D74BEC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2C6C7C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EEA288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5822A9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Решением ГОКО № 8168 от 19 апреля 1945 этот завод передан НЕЭП. По сообщению представителей НКАП, находящаяся на заводе бригада НКЭП, прибыла на место. Требуется срочная отмена решения по НКЭП за № 8168 от 19 апреля 1945</w:t>
            </w:r>
          </w:p>
        </w:tc>
      </w:tr>
      <w:tr w:rsidR="000F5689" w:rsidRPr="00925F26" w14:paraId="156D6EF3" w14:textId="77777777">
        <w:trPr>
          <w:gridAfter w:val="1"/>
          <w:wAfter w:w="6" w:type="dxa"/>
        </w:trPr>
        <w:tc>
          <w:tcPr>
            <w:tcW w:w="534" w:type="dxa"/>
          </w:tcPr>
          <w:p w14:paraId="0600E0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119" w:type="dxa"/>
          </w:tcPr>
          <w:p w14:paraId="6AA75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Механический завод, Бриг</w:t>
            </w:r>
          </w:p>
        </w:tc>
        <w:tc>
          <w:tcPr>
            <w:tcW w:w="979" w:type="dxa"/>
          </w:tcPr>
          <w:p w14:paraId="302D2A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ЦИАМ, Москва</w:t>
            </w:r>
          </w:p>
        </w:tc>
        <w:tc>
          <w:tcPr>
            <w:tcW w:w="754" w:type="dxa"/>
          </w:tcPr>
          <w:p w14:paraId="4FC160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w:t>
            </w:r>
          </w:p>
        </w:tc>
        <w:tc>
          <w:tcPr>
            <w:tcW w:w="1205" w:type="dxa"/>
          </w:tcPr>
          <w:p w14:paraId="48A8A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 станков</w:t>
            </w:r>
          </w:p>
        </w:tc>
        <w:tc>
          <w:tcPr>
            <w:tcW w:w="703" w:type="dxa"/>
          </w:tcPr>
          <w:p w14:paraId="08B010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703" w:type="dxa"/>
          </w:tcPr>
          <w:p w14:paraId="656A159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1CA5FDA"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3BCBF18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9FEB9B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5C2869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демонтировано и подготовлено к отгрузке</w:t>
            </w:r>
          </w:p>
        </w:tc>
      </w:tr>
      <w:tr w:rsidR="000F5689" w:rsidRPr="00925F26" w14:paraId="6C8FE20A" w14:textId="77777777">
        <w:trPr>
          <w:gridAfter w:val="1"/>
          <w:wAfter w:w="6" w:type="dxa"/>
        </w:trPr>
        <w:tc>
          <w:tcPr>
            <w:tcW w:w="534" w:type="dxa"/>
          </w:tcPr>
          <w:p w14:paraId="22461A59"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766D9967"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65A2F2C9"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3748F84A"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0569FE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 ед. оборудования</w:t>
            </w:r>
          </w:p>
        </w:tc>
        <w:tc>
          <w:tcPr>
            <w:tcW w:w="703" w:type="dxa"/>
          </w:tcPr>
          <w:p w14:paraId="4E5964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703" w:type="dxa"/>
          </w:tcPr>
          <w:p w14:paraId="566B23E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74CA3D6"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23649E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7BE9BE7"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66FDD7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7940127" w14:textId="77777777">
        <w:trPr>
          <w:gridAfter w:val="1"/>
          <w:wAfter w:w="5" w:type="dxa"/>
        </w:trPr>
        <w:tc>
          <w:tcPr>
            <w:tcW w:w="11014" w:type="dxa"/>
            <w:gridSpan w:val="13"/>
          </w:tcPr>
          <w:p w14:paraId="66DF82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8068с от 12 апреля 1945</w:t>
            </w:r>
          </w:p>
        </w:tc>
      </w:tr>
      <w:tr w:rsidR="000F5689" w:rsidRPr="00925F26" w14:paraId="3EB9B5C5" w14:textId="77777777">
        <w:trPr>
          <w:gridAfter w:val="1"/>
          <w:wAfter w:w="6" w:type="dxa"/>
        </w:trPr>
        <w:tc>
          <w:tcPr>
            <w:tcW w:w="534" w:type="dxa"/>
          </w:tcPr>
          <w:p w14:paraId="73FD08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119" w:type="dxa"/>
          </w:tcPr>
          <w:p w14:paraId="4D35BC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Цех картеров фирмы Мерседес-Бенцб р-н Альтдам</w:t>
            </w:r>
          </w:p>
        </w:tc>
        <w:tc>
          <w:tcPr>
            <w:tcW w:w="979" w:type="dxa"/>
          </w:tcPr>
          <w:p w14:paraId="219CFF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 Воронеж</w:t>
            </w:r>
          </w:p>
        </w:tc>
        <w:tc>
          <w:tcPr>
            <w:tcW w:w="754" w:type="dxa"/>
          </w:tcPr>
          <w:p w14:paraId="1EF914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5492E7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170 станоков</w:t>
            </w:r>
          </w:p>
        </w:tc>
        <w:tc>
          <w:tcPr>
            <w:tcW w:w="703" w:type="dxa"/>
          </w:tcPr>
          <w:p w14:paraId="22C35F6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C2F291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8472B5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D55C0D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DD36F57"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3632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Решением ГОКО № 8282 от 26 апреля это завод передан НКтанкопрому</w:t>
            </w:r>
          </w:p>
        </w:tc>
      </w:tr>
      <w:tr w:rsidR="000F5689" w:rsidRPr="00925F26" w14:paraId="250973B6" w14:textId="77777777">
        <w:trPr>
          <w:gridAfter w:val="1"/>
          <w:wAfter w:w="6" w:type="dxa"/>
        </w:trPr>
        <w:tc>
          <w:tcPr>
            <w:tcW w:w="534" w:type="dxa"/>
          </w:tcPr>
          <w:p w14:paraId="757F1A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17. </w:t>
            </w:r>
          </w:p>
        </w:tc>
        <w:tc>
          <w:tcPr>
            <w:tcW w:w="1119" w:type="dxa"/>
          </w:tcPr>
          <w:p w14:paraId="282AD1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распределительных валиков, Голлнов</w:t>
            </w:r>
          </w:p>
        </w:tc>
        <w:tc>
          <w:tcPr>
            <w:tcW w:w="979" w:type="dxa"/>
          </w:tcPr>
          <w:p w14:paraId="0DB583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 Воронеж</w:t>
            </w:r>
          </w:p>
        </w:tc>
        <w:tc>
          <w:tcPr>
            <w:tcW w:w="754" w:type="dxa"/>
          </w:tcPr>
          <w:p w14:paraId="0771AD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2F25F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 станков</w:t>
            </w:r>
          </w:p>
        </w:tc>
        <w:tc>
          <w:tcPr>
            <w:tcW w:w="703" w:type="dxa"/>
          </w:tcPr>
          <w:p w14:paraId="5F60F295"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547265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5973DF0"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62FE19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5EE9A5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5DA52F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Решением ГОКО № 8282 от 26 апреля это завод передан НКтанкопрому</w:t>
            </w:r>
          </w:p>
        </w:tc>
      </w:tr>
      <w:tr w:rsidR="000F5689" w:rsidRPr="00925F26" w14:paraId="3021A43E" w14:textId="77777777">
        <w:trPr>
          <w:gridAfter w:val="1"/>
          <w:wAfter w:w="6" w:type="dxa"/>
        </w:trPr>
        <w:tc>
          <w:tcPr>
            <w:tcW w:w="534" w:type="dxa"/>
          </w:tcPr>
          <w:p w14:paraId="76A8DC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119" w:type="dxa"/>
          </w:tcPr>
          <w:p w14:paraId="4732C7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по производству блоков авиамоторов, Хохенкруг (р-н Альтдам)</w:t>
            </w:r>
          </w:p>
        </w:tc>
        <w:tc>
          <w:tcPr>
            <w:tcW w:w="979" w:type="dxa"/>
          </w:tcPr>
          <w:p w14:paraId="022AC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 Запорожье</w:t>
            </w:r>
          </w:p>
        </w:tc>
        <w:tc>
          <w:tcPr>
            <w:tcW w:w="754" w:type="dxa"/>
          </w:tcPr>
          <w:p w14:paraId="3D355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42FBF5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490 станков</w:t>
            </w:r>
          </w:p>
        </w:tc>
        <w:tc>
          <w:tcPr>
            <w:tcW w:w="703" w:type="dxa"/>
          </w:tcPr>
          <w:p w14:paraId="5707567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F8D214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443231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EA547C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5C04A6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CF438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Решением ГОКО № 8282 от 26 апреля это завод передан НКтанкопрому</w:t>
            </w:r>
          </w:p>
        </w:tc>
      </w:tr>
      <w:tr w:rsidR="000F5689" w:rsidRPr="00925F26" w14:paraId="0070150B" w14:textId="77777777">
        <w:trPr>
          <w:gridAfter w:val="1"/>
          <w:wAfter w:w="6" w:type="dxa"/>
        </w:trPr>
        <w:tc>
          <w:tcPr>
            <w:tcW w:w="534" w:type="dxa"/>
          </w:tcPr>
          <w:p w14:paraId="15A69B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1119" w:type="dxa"/>
          </w:tcPr>
          <w:p w14:paraId="3397AC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Сборочный цех фирмы Мерседес-Бенц в р-не Альтдам</w:t>
            </w:r>
          </w:p>
        </w:tc>
        <w:tc>
          <w:tcPr>
            <w:tcW w:w="979" w:type="dxa"/>
          </w:tcPr>
          <w:p w14:paraId="5CAF3B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 Запорожье</w:t>
            </w:r>
          </w:p>
        </w:tc>
        <w:tc>
          <w:tcPr>
            <w:tcW w:w="754" w:type="dxa"/>
          </w:tcPr>
          <w:p w14:paraId="498FFE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34154C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 станков</w:t>
            </w:r>
          </w:p>
        </w:tc>
        <w:tc>
          <w:tcPr>
            <w:tcW w:w="703" w:type="dxa"/>
          </w:tcPr>
          <w:p w14:paraId="301EBEAF"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6861CF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210E31B"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CE533F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0074434"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1D05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Решением ГОКО № 8282 от 26 апреля это завод передан НКтанкопрому</w:t>
            </w:r>
          </w:p>
        </w:tc>
      </w:tr>
      <w:tr w:rsidR="000F5689" w:rsidRPr="00925F26" w14:paraId="794E3539" w14:textId="77777777">
        <w:trPr>
          <w:gridAfter w:val="1"/>
          <w:wAfter w:w="6" w:type="dxa"/>
        </w:trPr>
        <w:tc>
          <w:tcPr>
            <w:tcW w:w="534" w:type="dxa"/>
          </w:tcPr>
          <w:p w14:paraId="66E3E7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119" w:type="dxa"/>
          </w:tcPr>
          <w:p w14:paraId="502CE6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ФАМО, Бреслау</w:t>
            </w:r>
          </w:p>
        </w:tc>
        <w:tc>
          <w:tcPr>
            <w:tcW w:w="979" w:type="dxa"/>
          </w:tcPr>
          <w:p w14:paraId="659CB2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 Ленинград</w:t>
            </w:r>
          </w:p>
        </w:tc>
        <w:tc>
          <w:tcPr>
            <w:tcW w:w="754" w:type="dxa"/>
          </w:tcPr>
          <w:p w14:paraId="477240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05186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 станков</w:t>
            </w:r>
          </w:p>
        </w:tc>
        <w:tc>
          <w:tcPr>
            <w:tcW w:w="703" w:type="dxa"/>
          </w:tcPr>
          <w:p w14:paraId="13F2BA0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1D65DF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7E020B3"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C536DE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7AC5949"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09EA3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Часть завода в последнее время взята войсками КА. На этой части завода организуется демонтаж оборудования и расчистка завода от завалов</w:t>
            </w:r>
          </w:p>
        </w:tc>
      </w:tr>
      <w:tr w:rsidR="000F5689" w:rsidRPr="00925F26" w14:paraId="247BF59D" w14:textId="77777777">
        <w:trPr>
          <w:gridAfter w:val="1"/>
          <w:wAfter w:w="6" w:type="dxa"/>
        </w:trPr>
        <w:tc>
          <w:tcPr>
            <w:tcW w:w="534" w:type="dxa"/>
          </w:tcPr>
          <w:p w14:paraId="485CCD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119" w:type="dxa"/>
          </w:tcPr>
          <w:p w14:paraId="2B46B8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30, Будафок</w:t>
            </w:r>
          </w:p>
        </w:tc>
        <w:tc>
          <w:tcPr>
            <w:tcW w:w="979" w:type="dxa"/>
          </w:tcPr>
          <w:p w14:paraId="5322A5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 Запорожье</w:t>
            </w:r>
          </w:p>
        </w:tc>
        <w:tc>
          <w:tcPr>
            <w:tcW w:w="754" w:type="dxa"/>
          </w:tcPr>
          <w:p w14:paraId="732B8D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68E059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 станка</w:t>
            </w:r>
          </w:p>
        </w:tc>
        <w:tc>
          <w:tcPr>
            <w:tcW w:w="703" w:type="dxa"/>
          </w:tcPr>
          <w:p w14:paraId="01CC6F2D"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AD1C80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CF43EC3"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118BDD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D37DCC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31EED2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BB866B0" w14:textId="77777777">
        <w:trPr>
          <w:gridAfter w:val="1"/>
          <w:wAfter w:w="6" w:type="dxa"/>
        </w:trPr>
        <w:tc>
          <w:tcPr>
            <w:tcW w:w="534" w:type="dxa"/>
          </w:tcPr>
          <w:p w14:paraId="428A4D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19" w:type="dxa"/>
          </w:tcPr>
          <w:p w14:paraId="4ED462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Шмидт, Мариенвердер</w:t>
            </w:r>
          </w:p>
        </w:tc>
        <w:tc>
          <w:tcPr>
            <w:tcW w:w="979" w:type="dxa"/>
          </w:tcPr>
          <w:p w14:paraId="44E08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 Ленинград</w:t>
            </w:r>
          </w:p>
        </w:tc>
        <w:tc>
          <w:tcPr>
            <w:tcW w:w="754" w:type="dxa"/>
          </w:tcPr>
          <w:p w14:paraId="73C7DE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55AD08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 станков</w:t>
            </w:r>
          </w:p>
        </w:tc>
        <w:tc>
          <w:tcPr>
            <w:tcW w:w="703" w:type="dxa"/>
          </w:tcPr>
          <w:p w14:paraId="6A24C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w:t>
            </w:r>
          </w:p>
        </w:tc>
        <w:tc>
          <w:tcPr>
            <w:tcW w:w="703" w:type="dxa"/>
          </w:tcPr>
          <w:p w14:paraId="1F746D5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092743F"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D827B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703" w:type="dxa"/>
          </w:tcPr>
          <w:p w14:paraId="31B8F1E8"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F250E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по демонтажу оборудования закончены 29 апреля 1945</w:t>
            </w:r>
          </w:p>
        </w:tc>
      </w:tr>
      <w:tr w:rsidR="000F5689" w:rsidRPr="00925F26" w14:paraId="74A7BFFB" w14:textId="77777777">
        <w:trPr>
          <w:gridAfter w:val="1"/>
          <w:wAfter w:w="6" w:type="dxa"/>
        </w:trPr>
        <w:tc>
          <w:tcPr>
            <w:tcW w:w="534" w:type="dxa"/>
          </w:tcPr>
          <w:p w14:paraId="1C485A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119" w:type="dxa"/>
          </w:tcPr>
          <w:p w14:paraId="1EC22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и приборы со станции Дейч Айлау</w:t>
            </w:r>
          </w:p>
        </w:tc>
        <w:tc>
          <w:tcPr>
            <w:tcW w:w="979" w:type="dxa"/>
          </w:tcPr>
          <w:p w14:paraId="1A88D1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 Ленинград</w:t>
            </w:r>
          </w:p>
        </w:tc>
        <w:tc>
          <w:tcPr>
            <w:tcW w:w="754" w:type="dxa"/>
          </w:tcPr>
          <w:p w14:paraId="0DE91C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430974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 станков</w:t>
            </w:r>
          </w:p>
        </w:tc>
        <w:tc>
          <w:tcPr>
            <w:tcW w:w="703" w:type="dxa"/>
          </w:tcPr>
          <w:p w14:paraId="5CB59FF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EC5A12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EC3AB95"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739A543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29E6B3A"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28433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Оборудование со станции Дейч-Айлау 12 апреля 1945 вывезено на склад НКО № 511 в Москву. В силу этого станки и приборы на станции Дейч Айлау по </w:t>
            </w:r>
            <w:r w:rsidRPr="00925F26">
              <w:rPr>
                <w:color w:val="000000" w:themeColor="text1"/>
                <w:sz w:val="16"/>
                <w:szCs w:val="16"/>
              </w:rPr>
              <w:lastRenderedPageBreak/>
              <w:t>решению № 8068 от 12 апреля 1945 следует за НКАП не числить</w:t>
            </w:r>
          </w:p>
        </w:tc>
      </w:tr>
      <w:tr w:rsidR="000F5689" w:rsidRPr="00925F26" w14:paraId="17E9FB1C" w14:textId="77777777">
        <w:trPr>
          <w:gridAfter w:val="1"/>
          <w:wAfter w:w="6" w:type="dxa"/>
        </w:trPr>
        <w:tc>
          <w:tcPr>
            <w:tcW w:w="534" w:type="dxa"/>
          </w:tcPr>
          <w:p w14:paraId="627D0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24.</w:t>
            </w:r>
          </w:p>
        </w:tc>
        <w:tc>
          <w:tcPr>
            <w:tcW w:w="1119" w:type="dxa"/>
          </w:tcPr>
          <w:p w14:paraId="71C97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Дюренер Металлверке, Шверин</w:t>
            </w:r>
          </w:p>
        </w:tc>
        <w:tc>
          <w:tcPr>
            <w:tcW w:w="979" w:type="dxa"/>
          </w:tcPr>
          <w:p w14:paraId="5934AF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 Ступино</w:t>
            </w:r>
          </w:p>
        </w:tc>
        <w:tc>
          <w:tcPr>
            <w:tcW w:w="754" w:type="dxa"/>
          </w:tcPr>
          <w:p w14:paraId="5533FC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466E44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станков</w:t>
            </w:r>
          </w:p>
        </w:tc>
        <w:tc>
          <w:tcPr>
            <w:tcW w:w="703" w:type="dxa"/>
          </w:tcPr>
          <w:p w14:paraId="0F5860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703" w:type="dxa"/>
          </w:tcPr>
          <w:p w14:paraId="4C88F3C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CFCC593"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8347FA7"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1120F0C"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CD80F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полностью демонтировано. Отгрузка оборудования будет закончена 15 мая 1945</w:t>
            </w:r>
          </w:p>
        </w:tc>
      </w:tr>
      <w:tr w:rsidR="000F5689" w:rsidRPr="00925F26" w14:paraId="3575B955" w14:textId="77777777">
        <w:trPr>
          <w:gridAfter w:val="1"/>
          <w:wAfter w:w="6" w:type="dxa"/>
        </w:trPr>
        <w:tc>
          <w:tcPr>
            <w:tcW w:w="534" w:type="dxa"/>
          </w:tcPr>
          <w:p w14:paraId="06531C5E"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3D7408A8"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77CEBF3"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7E7497B9"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59ED9B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станков</w:t>
            </w:r>
          </w:p>
        </w:tc>
        <w:tc>
          <w:tcPr>
            <w:tcW w:w="703" w:type="dxa"/>
          </w:tcPr>
          <w:p w14:paraId="0B68E6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703" w:type="dxa"/>
          </w:tcPr>
          <w:p w14:paraId="5253FC1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AFB7FE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D65E66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944ED6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455AA5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539AEEC" w14:textId="77777777">
        <w:trPr>
          <w:gridAfter w:val="1"/>
          <w:wAfter w:w="6" w:type="dxa"/>
        </w:trPr>
        <w:tc>
          <w:tcPr>
            <w:tcW w:w="534" w:type="dxa"/>
          </w:tcPr>
          <w:p w14:paraId="0053BB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1119" w:type="dxa"/>
          </w:tcPr>
          <w:p w14:paraId="275C9E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Гкснер, Рединтц</w:t>
            </w:r>
          </w:p>
        </w:tc>
        <w:tc>
          <w:tcPr>
            <w:tcW w:w="979" w:type="dxa"/>
          </w:tcPr>
          <w:p w14:paraId="274511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451, Москва</w:t>
            </w:r>
          </w:p>
        </w:tc>
        <w:tc>
          <w:tcPr>
            <w:tcW w:w="754" w:type="dxa"/>
          </w:tcPr>
          <w:p w14:paraId="1FB9E9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3A4B0C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 станков</w:t>
            </w:r>
          </w:p>
        </w:tc>
        <w:tc>
          <w:tcPr>
            <w:tcW w:w="703" w:type="dxa"/>
          </w:tcPr>
          <w:p w14:paraId="6C20F4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703" w:type="dxa"/>
          </w:tcPr>
          <w:p w14:paraId="4741338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B63ABB9"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29BFA995"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8D976A5"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09A976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полностью демонтировано. Отгрузка оборудования будет закончена 15 мая 1945</w:t>
            </w:r>
          </w:p>
        </w:tc>
      </w:tr>
      <w:tr w:rsidR="000F5689" w:rsidRPr="00925F26" w14:paraId="78C666C0" w14:textId="77777777">
        <w:trPr>
          <w:gridAfter w:val="1"/>
          <w:wAfter w:w="6" w:type="dxa"/>
        </w:trPr>
        <w:tc>
          <w:tcPr>
            <w:tcW w:w="534" w:type="dxa"/>
          </w:tcPr>
          <w:p w14:paraId="50F86D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1119" w:type="dxa"/>
          </w:tcPr>
          <w:p w14:paraId="65991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самолетных агрегатов, Реппен</w:t>
            </w:r>
          </w:p>
        </w:tc>
        <w:tc>
          <w:tcPr>
            <w:tcW w:w="979" w:type="dxa"/>
          </w:tcPr>
          <w:p w14:paraId="3C4859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 Подольск</w:t>
            </w:r>
          </w:p>
        </w:tc>
        <w:tc>
          <w:tcPr>
            <w:tcW w:w="754" w:type="dxa"/>
          </w:tcPr>
          <w:p w14:paraId="3EB028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06FE6E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станков</w:t>
            </w:r>
          </w:p>
        </w:tc>
        <w:tc>
          <w:tcPr>
            <w:tcW w:w="703" w:type="dxa"/>
          </w:tcPr>
          <w:p w14:paraId="69EE22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703" w:type="dxa"/>
          </w:tcPr>
          <w:p w14:paraId="6FBA6C1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DD08E3B"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24ED675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2A262C0"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AB33A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полностью демонтировано. Отгрузка оборудования будет закончена 15 мая 1945</w:t>
            </w:r>
          </w:p>
        </w:tc>
      </w:tr>
      <w:tr w:rsidR="000F5689" w:rsidRPr="00925F26" w14:paraId="1C765CE7" w14:textId="77777777">
        <w:trPr>
          <w:gridAfter w:val="1"/>
          <w:wAfter w:w="6" w:type="dxa"/>
        </w:trPr>
        <w:tc>
          <w:tcPr>
            <w:tcW w:w="534" w:type="dxa"/>
          </w:tcPr>
          <w:p w14:paraId="6E60BAC6"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0FEA34D8"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6FA0023"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5FE404FF"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49A09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 ед. Раскроечно-заготовит. оборудования</w:t>
            </w:r>
          </w:p>
        </w:tc>
        <w:tc>
          <w:tcPr>
            <w:tcW w:w="703" w:type="dxa"/>
          </w:tcPr>
          <w:p w14:paraId="3034B4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703" w:type="dxa"/>
          </w:tcPr>
          <w:p w14:paraId="710CE17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631E953"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3D0C20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AB0A58A"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5CB89E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0E5477E" w14:textId="77777777">
        <w:trPr>
          <w:gridAfter w:val="1"/>
          <w:wAfter w:w="6" w:type="dxa"/>
        </w:trPr>
        <w:tc>
          <w:tcPr>
            <w:tcW w:w="534" w:type="dxa"/>
          </w:tcPr>
          <w:p w14:paraId="03D6D8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1119" w:type="dxa"/>
          </w:tcPr>
          <w:p w14:paraId="6442EE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Зафод фирмы Опто-Радио, Грюнберг</w:t>
            </w:r>
          </w:p>
        </w:tc>
        <w:tc>
          <w:tcPr>
            <w:tcW w:w="979" w:type="dxa"/>
          </w:tcPr>
          <w:p w14:paraId="76BC62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 Москва,</w:t>
            </w:r>
          </w:p>
          <w:p w14:paraId="3416E0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w:t>
            </w:r>
          </w:p>
          <w:p w14:paraId="6CAAC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Вильнюс</w:t>
            </w:r>
          </w:p>
        </w:tc>
        <w:tc>
          <w:tcPr>
            <w:tcW w:w="754" w:type="dxa"/>
          </w:tcPr>
          <w:p w14:paraId="6F4C9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68A7CF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 единиц обьорудования</w:t>
            </w:r>
          </w:p>
          <w:p w14:paraId="08CF81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 станков</w:t>
            </w:r>
          </w:p>
        </w:tc>
        <w:tc>
          <w:tcPr>
            <w:tcW w:w="703" w:type="dxa"/>
          </w:tcPr>
          <w:p w14:paraId="1BA88B02" w14:textId="77777777" w:rsidR="00665165" w:rsidRPr="00925F26" w:rsidRDefault="00665165" w:rsidP="00925F26">
            <w:pPr>
              <w:autoSpaceDE w:val="0"/>
              <w:autoSpaceDN w:val="0"/>
              <w:adjustRightInd w:val="0"/>
              <w:jc w:val="both"/>
              <w:rPr>
                <w:color w:val="000000" w:themeColor="text1"/>
                <w:sz w:val="16"/>
                <w:szCs w:val="16"/>
              </w:rPr>
            </w:pPr>
          </w:p>
          <w:p w14:paraId="2BE98E57" w14:textId="77777777" w:rsidR="00665165" w:rsidRPr="00925F26" w:rsidRDefault="00665165" w:rsidP="00925F26">
            <w:pPr>
              <w:autoSpaceDE w:val="0"/>
              <w:autoSpaceDN w:val="0"/>
              <w:adjustRightInd w:val="0"/>
              <w:jc w:val="both"/>
              <w:rPr>
                <w:color w:val="000000" w:themeColor="text1"/>
                <w:sz w:val="16"/>
                <w:szCs w:val="16"/>
              </w:rPr>
            </w:pPr>
          </w:p>
          <w:p w14:paraId="3A066570" w14:textId="77777777" w:rsidR="00665165" w:rsidRPr="00925F26" w:rsidRDefault="00665165" w:rsidP="00925F26">
            <w:pPr>
              <w:autoSpaceDE w:val="0"/>
              <w:autoSpaceDN w:val="0"/>
              <w:adjustRightInd w:val="0"/>
              <w:jc w:val="both"/>
              <w:rPr>
                <w:color w:val="000000" w:themeColor="text1"/>
                <w:sz w:val="16"/>
                <w:szCs w:val="16"/>
              </w:rPr>
            </w:pPr>
          </w:p>
          <w:p w14:paraId="226E5E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703" w:type="dxa"/>
          </w:tcPr>
          <w:p w14:paraId="7F30A09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78D04B1"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7F9B35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1613365"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8FD85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Проводится демонтаж оборудования</w:t>
            </w:r>
          </w:p>
        </w:tc>
      </w:tr>
      <w:tr w:rsidR="000F5689" w:rsidRPr="00925F26" w14:paraId="74FC27D2" w14:textId="77777777">
        <w:trPr>
          <w:gridAfter w:val="1"/>
          <w:wAfter w:w="6" w:type="dxa"/>
        </w:trPr>
        <w:tc>
          <w:tcPr>
            <w:tcW w:w="534" w:type="dxa"/>
          </w:tcPr>
          <w:p w14:paraId="06F480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119" w:type="dxa"/>
          </w:tcPr>
          <w:p w14:paraId="6CF151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Винтовой завод Нуго Гейне, Рауша</w:t>
            </w:r>
          </w:p>
        </w:tc>
        <w:tc>
          <w:tcPr>
            <w:tcW w:w="979" w:type="dxa"/>
          </w:tcPr>
          <w:p w14:paraId="00C93C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383, Москва</w:t>
            </w:r>
          </w:p>
        </w:tc>
        <w:tc>
          <w:tcPr>
            <w:tcW w:w="754" w:type="dxa"/>
          </w:tcPr>
          <w:p w14:paraId="4313D4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6ABD43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 станков</w:t>
            </w:r>
          </w:p>
        </w:tc>
        <w:tc>
          <w:tcPr>
            <w:tcW w:w="703" w:type="dxa"/>
          </w:tcPr>
          <w:p w14:paraId="79D2E76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B034D5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8BA684E"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2405B8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A04A9DA"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FF4F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Демонтаж оборудования будет закончен 20 мая 1945</w:t>
            </w:r>
          </w:p>
        </w:tc>
      </w:tr>
      <w:tr w:rsidR="000F5689" w:rsidRPr="00925F26" w14:paraId="7E80D63A" w14:textId="77777777">
        <w:trPr>
          <w:gridAfter w:val="1"/>
          <w:wAfter w:w="6" w:type="dxa"/>
        </w:trPr>
        <w:tc>
          <w:tcPr>
            <w:tcW w:w="534" w:type="dxa"/>
          </w:tcPr>
          <w:p w14:paraId="0890A9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19" w:type="dxa"/>
          </w:tcPr>
          <w:p w14:paraId="30C89F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Телефункен, Фрейштадт</w:t>
            </w:r>
          </w:p>
        </w:tc>
        <w:tc>
          <w:tcPr>
            <w:tcW w:w="979" w:type="dxa"/>
          </w:tcPr>
          <w:p w14:paraId="1BABBB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ЦКБ-47, Москва</w:t>
            </w:r>
          </w:p>
        </w:tc>
        <w:tc>
          <w:tcPr>
            <w:tcW w:w="754" w:type="dxa"/>
          </w:tcPr>
          <w:p w14:paraId="264CF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71C2C7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 станков</w:t>
            </w:r>
          </w:p>
        </w:tc>
        <w:tc>
          <w:tcPr>
            <w:tcW w:w="703" w:type="dxa"/>
          </w:tcPr>
          <w:p w14:paraId="585A1E59"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44B2F3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35E7C77"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7AD998E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8CBAE30"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08E61A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Производится демонтаж оборудования</w:t>
            </w:r>
          </w:p>
        </w:tc>
      </w:tr>
      <w:tr w:rsidR="000F5689" w:rsidRPr="00925F26" w14:paraId="10D15B87" w14:textId="77777777">
        <w:trPr>
          <w:gridAfter w:val="1"/>
          <w:wAfter w:w="6" w:type="dxa"/>
        </w:trPr>
        <w:tc>
          <w:tcPr>
            <w:tcW w:w="534" w:type="dxa"/>
          </w:tcPr>
          <w:p w14:paraId="2FA779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119" w:type="dxa"/>
          </w:tcPr>
          <w:p w14:paraId="46FCCF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Приборный завод, Кюстрин</w:t>
            </w:r>
          </w:p>
        </w:tc>
        <w:tc>
          <w:tcPr>
            <w:tcW w:w="979" w:type="dxa"/>
          </w:tcPr>
          <w:p w14:paraId="6BBD35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 Львов</w:t>
            </w:r>
          </w:p>
        </w:tc>
        <w:tc>
          <w:tcPr>
            <w:tcW w:w="754" w:type="dxa"/>
          </w:tcPr>
          <w:p w14:paraId="54ADFE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320F1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 единиц оборудования</w:t>
            </w:r>
          </w:p>
        </w:tc>
        <w:tc>
          <w:tcPr>
            <w:tcW w:w="703" w:type="dxa"/>
          </w:tcPr>
          <w:p w14:paraId="080634C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12308CF"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815E395"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2AC8CB0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421CE11"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FEB4C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ГОКО № 8168 от 19 апреля 1945 завод передан НКЭП. Необходимо из решения ГОКО по НКАП этот завод исключить</w:t>
            </w:r>
          </w:p>
        </w:tc>
      </w:tr>
      <w:tr w:rsidR="000F5689" w:rsidRPr="00925F26" w14:paraId="25243E29" w14:textId="77777777">
        <w:trPr>
          <w:gridAfter w:val="1"/>
          <w:wAfter w:w="6" w:type="dxa"/>
        </w:trPr>
        <w:tc>
          <w:tcPr>
            <w:tcW w:w="534" w:type="dxa"/>
          </w:tcPr>
          <w:p w14:paraId="4AB104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1119" w:type="dxa"/>
          </w:tcPr>
          <w:p w14:paraId="0405FC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Сименс, Заган</w:t>
            </w:r>
          </w:p>
        </w:tc>
        <w:tc>
          <w:tcPr>
            <w:tcW w:w="979" w:type="dxa"/>
          </w:tcPr>
          <w:p w14:paraId="74C643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483, Киев</w:t>
            </w:r>
          </w:p>
        </w:tc>
        <w:tc>
          <w:tcPr>
            <w:tcW w:w="754" w:type="dxa"/>
          </w:tcPr>
          <w:p w14:paraId="750A3A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246208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 единиц оборудования</w:t>
            </w:r>
          </w:p>
        </w:tc>
        <w:tc>
          <w:tcPr>
            <w:tcW w:w="703" w:type="dxa"/>
          </w:tcPr>
          <w:p w14:paraId="5FF3836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C03F25D"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E759042"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F2C0FD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868791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AFADE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Производится демонтаж оборудования</w:t>
            </w:r>
          </w:p>
        </w:tc>
      </w:tr>
      <w:tr w:rsidR="000F5689" w:rsidRPr="00925F26" w14:paraId="34476BC0" w14:textId="77777777">
        <w:trPr>
          <w:gridAfter w:val="1"/>
          <w:wAfter w:w="6" w:type="dxa"/>
        </w:trPr>
        <w:tc>
          <w:tcPr>
            <w:tcW w:w="534" w:type="dxa"/>
          </w:tcPr>
          <w:p w14:paraId="7A7164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1119" w:type="dxa"/>
          </w:tcPr>
          <w:p w14:paraId="6B2149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радиодеталей, Мальмитц</w:t>
            </w:r>
          </w:p>
        </w:tc>
        <w:tc>
          <w:tcPr>
            <w:tcW w:w="979" w:type="dxa"/>
          </w:tcPr>
          <w:p w14:paraId="771F75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 Вильнюс</w:t>
            </w:r>
          </w:p>
        </w:tc>
        <w:tc>
          <w:tcPr>
            <w:tcW w:w="754" w:type="dxa"/>
          </w:tcPr>
          <w:p w14:paraId="0CFAEB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апреля 1945</w:t>
            </w:r>
          </w:p>
        </w:tc>
        <w:tc>
          <w:tcPr>
            <w:tcW w:w="1205" w:type="dxa"/>
          </w:tcPr>
          <w:p w14:paraId="112653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 единиц оборудования</w:t>
            </w:r>
          </w:p>
        </w:tc>
        <w:tc>
          <w:tcPr>
            <w:tcW w:w="703" w:type="dxa"/>
          </w:tcPr>
          <w:p w14:paraId="0654568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C884D2F"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406039A"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35C50AC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33B5A58"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705CA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Производится демонтаж оборудования</w:t>
            </w:r>
          </w:p>
        </w:tc>
      </w:tr>
      <w:tr w:rsidR="000F5689" w:rsidRPr="00925F26" w14:paraId="3DD7E79A" w14:textId="77777777">
        <w:trPr>
          <w:gridAfter w:val="1"/>
          <w:wAfter w:w="5" w:type="dxa"/>
        </w:trPr>
        <w:tc>
          <w:tcPr>
            <w:tcW w:w="11014" w:type="dxa"/>
            <w:gridSpan w:val="13"/>
          </w:tcPr>
          <w:p w14:paraId="32FD63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7755с от 9 марта 1945</w:t>
            </w:r>
          </w:p>
        </w:tc>
      </w:tr>
      <w:tr w:rsidR="000F5689" w:rsidRPr="00925F26" w14:paraId="3F64A185" w14:textId="77777777">
        <w:trPr>
          <w:gridAfter w:val="1"/>
          <w:wAfter w:w="6" w:type="dxa"/>
        </w:trPr>
        <w:tc>
          <w:tcPr>
            <w:tcW w:w="534" w:type="dxa"/>
          </w:tcPr>
          <w:p w14:paraId="1EDCDC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1119" w:type="dxa"/>
          </w:tcPr>
          <w:p w14:paraId="19F9A2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Крылья самолетов-снарядов со склада, Китлицтребен</w:t>
            </w:r>
          </w:p>
        </w:tc>
        <w:tc>
          <w:tcPr>
            <w:tcW w:w="979" w:type="dxa"/>
          </w:tcPr>
          <w:p w14:paraId="18E52E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 Москва</w:t>
            </w:r>
          </w:p>
        </w:tc>
        <w:tc>
          <w:tcPr>
            <w:tcW w:w="754" w:type="dxa"/>
          </w:tcPr>
          <w:p w14:paraId="2B3BE8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1945</w:t>
            </w:r>
          </w:p>
        </w:tc>
        <w:tc>
          <w:tcPr>
            <w:tcW w:w="1205" w:type="dxa"/>
          </w:tcPr>
          <w:p w14:paraId="3460DCC5"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30248C9"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9AF0AF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B450F5D"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36B14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703" w:type="dxa"/>
          </w:tcPr>
          <w:p w14:paraId="7DFF61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2907" w:type="dxa"/>
            <w:gridSpan w:val="2"/>
          </w:tcPr>
          <w:p w14:paraId="49398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Отгрузка окончена 25 марта 1945. 10 апреля груз поступил на завод</w:t>
            </w:r>
          </w:p>
        </w:tc>
      </w:tr>
      <w:tr w:rsidR="000F5689" w:rsidRPr="00925F26" w14:paraId="0553ECA5" w14:textId="77777777">
        <w:trPr>
          <w:gridAfter w:val="1"/>
          <w:wAfter w:w="5" w:type="dxa"/>
        </w:trPr>
        <w:tc>
          <w:tcPr>
            <w:tcW w:w="11014" w:type="dxa"/>
            <w:gridSpan w:val="13"/>
          </w:tcPr>
          <w:p w14:paraId="129551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8083с от 12 апреля 1945</w:t>
            </w:r>
          </w:p>
        </w:tc>
      </w:tr>
      <w:tr w:rsidR="000F5689" w:rsidRPr="00925F26" w14:paraId="24A7AF72" w14:textId="77777777">
        <w:trPr>
          <w:gridAfter w:val="1"/>
          <w:wAfter w:w="6" w:type="dxa"/>
        </w:trPr>
        <w:tc>
          <w:tcPr>
            <w:tcW w:w="534" w:type="dxa"/>
          </w:tcPr>
          <w:p w14:paraId="7FAA25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19" w:type="dxa"/>
          </w:tcPr>
          <w:p w14:paraId="3D7CA5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Фабрика Вильгельм Беккер, Штольц</w:t>
            </w:r>
          </w:p>
        </w:tc>
        <w:tc>
          <w:tcPr>
            <w:tcW w:w="979" w:type="dxa"/>
          </w:tcPr>
          <w:p w14:paraId="71EAA0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 Ленинград</w:t>
            </w:r>
          </w:p>
        </w:tc>
        <w:tc>
          <w:tcPr>
            <w:tcW w:w="754" w:type="dxa"/>
          </w:tcPr>
          <w:p w14:paraId="510CC9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w:t>
            </w:r>
          </w:p>
        </w:tc>
        <w:tc>
          <w:tcPr>
            <w:tcW w:w="1205" w:type="dxa"/>
          </w:tcPr>
          <w:p w14:paraId="72890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 ед. оборудования</w:t>
            </w:r>
          </w:p>
        </w:tc>
        <w:tc>
          <w:tcPr>
            <w:tcW w:w="703" w:type="dxa"/>
          </w:tcPr>
          <w:p w14:paraId="0E94A86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80D67B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5517BDA"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2092B0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4C51E77"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92E6A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Производится демонтаж оборудования</w:t>
            </w:r>
          </w:p>
        </w:tc>
      </w:tr>
      <w:tr w:rsidR="000F5689" w:rsidRPr="00925F26" w14:paraId="09466091" w14:textId="77777777">
        <w:trPr>
          <w:gridAfter w:val="1"/>
          <w:wAfter w:w="5" w:type="dxa"/>
        </w:trPr>
        <w:tc>
          <w:tcPr>
            <w:tcW w:w="11014" w:type="dxa"/>
            <w:gridSpan w:val="13"/>
          </w:tcPr>
          <w:p w14:paraId="500274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8069с от 12 апреля 1945</w:t>
            </w:r>
          </w:p>
        </w:tc>
      </w:tr>
      <w:tr w:rsidR="000F5689" w:rsidRPr="00925F26" w14:paraId="6D1CF75B" w14:textId="77777777">
        <w:trPr>
          <w:gridAfter w:val="1"/>
          <w:wAfter w:w="6" w:type="dxa"/>
        </w:trPr>
        <w:tc>
          <w:tcPr>
            <w:tcW w:w="534" w:type="dxa"/>
          </w:tcPr>
          <w:p w14:paraId="6BF35A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19" w:type="dxa"/>
          </w:tcPr>
          <w:p w14:paraId="71E72A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Пресс-Верк АО Обертхютте, Лобанд (р-н Глейвиц)</w:t>
            </w:r>
          </w:p>
        </w:tc>
        <w:tc>
          <w:tcPr>
            <w:tcW w:w="979" w:type="dxa"/>
          </w:tcPr>
          <w:p w14:paraId="4C515E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 Сетунь</w:t>
            </w:r>
          </w:p>
        </w:tc>
        <w:tc>
          <w:tcPr>
            <w:tcW w:w="754" w:type="dxa"/>
          </w:tcPr>
          <w:p w14:paraId="689D3C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июня 1945</w:t>
            </w:r>
          </w:p>
        </w:tc>
        <w:tc>
          <w:tcPr>
            <w:tcW w:w="1205" w:type="dxa"/>
          </w:tcPr>
          <w:p w14:paraId="731754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подлежит делению на месте между несколькоими наркоматами</w:t>
            </w:r>
          </w:p>
        </w:tc>
        <w:tc>
          <w:tcPr>
            <w:tcW w:w="703" w:type="dxa"/>
          </w:tcPr>
          <w:p w14:paraId="6117BF7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71943F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F517814"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378823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1274CF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BC199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Представители НКАП находятся на месте работ</w:t>
            </w:r>
          </w:p>
        </w:tc>
      </w:tr>
      <w:tr w:rsidR="000F5689" w:rsidRPr="00925F26" w14:paraId="3D5A15BF" w14:textId="77777777">
        <w:trPr>
          <w:gridAfter w:val="1"/>
          <w:wAfter w:w="5" w:type="dxa"/>
        </w:trPr>
        <w:tc>
          <w:tcPr>
            <w:tcW w:w="11014" w:type="dxa"/>
            <w:gridSpan w:val="13"/>
          </w:tcPr>
          <w:p w14:paraId="0B4A52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8155с от 19 апреля 1945</w:t>
            </w:r>
          </w:p>
        </w:tc>
      </w:tr>
      <w:tr w:rsidR="000F5689" w:rsidRPr="00925F26" w14:paraId="715FE054" w14:textId="77777777">
        <w:trPr>
          <w:gridAfter w:val="1"/>
          <w:wAfter w:w="6" w:type="dxa"/>
        </w:trPr>
        <w:tc>
          <w:tcPr>
            <w:tcW w:w="534" w:type="dxa"/>
          </w:tcPr>
          <w:p w14:paraId="440106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1119" w:type="dxa"/>
          </w:tcPr>
          <w:p w14:paraId="76753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Моторосборочный завод Флюг-моторен-верке Остмарк, Вена</w:t>
            </w:r>
          </w:p>
        </w:tc>
        <w:tc>
          <w:tcPr>
            <w:tcW w:w="979" w:type="dxa"/>
          </w:tcPr>
          <w:p w14:paraId="09A4A8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 Рыбинск</w:t>
            </w:r>
          </w:p>
        </w:tc>
        <w:tc>
          <w:tcPr>
            <w:tcW w:w="754" w:type="dxa"/>
          </w:tcPr>
          <w:p w14:paraId="0CE18A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438FD8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 станков</w:t>
            </w:r>
          </w:p>
        </w:tc>
        <w:tc>
          <w:tcPr>
            <w:tcW w:w="703" w:type="dxa"/>
          </w:tcPr>
          <w:p w14:paraId="0066A9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703" w:type="dxa"/>
          </w:tcPr>
          <w:p w14:paraId="7D8AD0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703" w:type="dxa"/>
          </w:tcPr>
          <w:p w14:paraId="5162A0ED"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FC48F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c>
          <w:tcPr>
            <w:tcW w:w="703" w:type="dxa"/>
          </w:tcPr>
          <w:p w14:paraId="42BB13D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DF594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Производится демонтаж и отгрузка оборудования</w:t>
            </w:r>
          </w:p>
        </w:tc>
      </w:tr>
      <w:tr w:rsidR="000F5689" w:rsidRPr="00925F26" w14:paraId="1AE1FD15" w14:textId="77777777">
        <w:trPr>
          <w:gridAfter w:val="1"/>
          <w:wAfter w:w="6" w:type="dxa"/>
        </w:trPr>
        <w:tc>
          <w:tcPr>
            <w:tcW w:w="534" w:type="dxa"/>
          </w:tcPr>
          <w:p w14:paraId="062DDD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19" w:type="dxa"/>
          </w:tcPr>
          <w:p w14:paraId="288D6E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авиамоторных деталей Штейер Даймлер Пух Швейхотте, р-н Вены</w:t>
            </w:r>
          </w:p>
        </w:tc>
        <w:tc>
          <w:tcPr>
            <w:tcW w:w="979" w:type="dxa"/>
          </w:tcPr>
          <w:p w14:paraId="54D758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 Рыбинск</w:t>
            </w:r>
          </w:p>
        </w:tc>
        <w:tc>
          <w:tcPr>
            <w:tcW w:w="754" w:type="dxa"/>
          </w:tcPr>
          <w:p w14:paraId="6466B2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52CD09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1020 станков</w:t>
            </w:r>
          </w:p>
        </w:tc>
        <w:tc>
          <w:tcPr>
            <w:tcW w:w="703" w:type="dxa"/>
          </w:tcPr>
          <w:p w14:paraId="1EF87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899</w:t>
            </w:r>
          </w:p>
        </w:tc>
        <w:tc>
          <w:tcPr>
            <w:tcW w:w="703" w:type="dxa"/>
          </w:tcPr>
          <w:p w14:paraId="3D34AE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899</w:t>
            </w:r>
          </w:p>
        </w:tc>
        <w:tc>
          <w:tcPr>
            <w:tcW w:w="703" w:type="dxa"/>
          </w:tcPr>
          <w:p w14:paraId="291B48CD"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6C4A7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703" w:type="dxa"/>
          </w:tcPr>
          <w:p w14:paraId="116660A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F97BA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Производится демонтаж и отгрузка оборудования</w:t>
            </w:r>
          </w:p>
        </w:tc>
      </w:tr>
      <w:tr w:rsidR="000F5689" w:rsidRPr="00925F26" w14:paraId="542AB2F0" w14:textId="77777777">
        <w:trPr>
          <w:gridAfter w:val="1"/>
          <w:wAfter w:w="6" w:type="dxa"/>
        </w:trPr>
        <w:tc>
          <w:tcPr>
            <w:tcW w:w="534" w:type="dxa"/>
          </w:tcPr>
          <w:p w14:paraId="6AB6C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w:t>
            </w:r>
          </w:p>
        </w:tc>
        <w:tc>
          <w:tcPr>
            <w:tcW w:w="1119" w:type="dxa"/>
          </w:tcPr>
          <w:p w14:paraId="0204A3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авиаприборов фирмы Норма, Вена</w:t>
            </w:r>
          </w:p>
        </w:tc>
        <w:tc>
          <w:tcPr>
            <w:tcW w:w="979" w:type="dxa"/>
          </w:tcPr>
          <w:p w14:paraId="06F4D3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 Москва</w:t>
            </w:r>
          </w:p>
        </w:tc>
        <w:tc>
          <w:tcPr>
            <w:tcW w:w="754" w:type="dxa"/>
          </w:tcPr>
          <w:p w14:paraId="79724D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3125CF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 станков</w:t>
            </w:r>
          </w:p>
        </w:tc>
        <w:tc>
          <w:tcPr>
            <w:tcW w:w="703" w:type="dxa"/>
          </w:tcPr>
          <w:p w14:paraId="129CA0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703" w:type="dxa"/>
          </w:tcPr>
          <w:p w14:paraId="1DCCC0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703" w:type="dxa"/>
          </w:tcPr>
          <w:p w14:paraId="52F821F4"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43B6B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703" w:type="dxa"/>
          </w:tcPr>
          <w:p w14:paraId="468A8505"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B1DE01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B5B2B74" w14:textId="77777777">
        <w:trPr>
          <w:gridAfter w:val="1"/>
          <w:wAfter w:w="6" w:type="dxa"/>
        </w:trPr>
        <w:tc>
          <w:tcPr>
            <w:tcW w:w="534" w:type="dxa"/>
          </w:tcPr>
          <w:p w14:paraId="051F80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119" w:type="dxa"/>
          </w:tcPr>
          <w:p w14:paraId="2485E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Остатки самолетосборочного з-да </w:t>
            </w:r>
            <w:r w:rsidRPr="00925F26">
              <w:rPr>
                <w:color w:val="000000" w:themeColor="text1"/>
                <w:sz w:val="16"/>
                <w:szCs w:val="16"/>
              </w:rPr>
              <w:lastRenderedPageBreak/>
              <w:t>Винер Нейштадт</w:t>
            </w:r>
          </w:p>
        </w:tc>
        <w:tc>
          <w:tcPr>
            <w:tcW w:w="979" w:type="dxa"/>
          </w:tcPr>
          <w:p w14:paraId="3F93DA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135, Харьков</w:t>
            </w:r>
          </w:p>
        </w:tc>
        <w:tc>
          <w:tcPr>
            <w:tcW w:w="754" w:type="dxa"/>
          </w:tcPr>
          <w:p w14:paraId="263EB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4F419C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вагонов разного оборудования</w:t>
            </w:r>
          </w:p>
        </w:tc>
        <w:tc>
          <w:tcPr>
            <w:tcW w:w="703" w:type="dxa"/>
          </w:tcPr>
          <w:p w14:paraId="232C070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B16869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A3609AC"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61DFBF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7578BC5"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499CD0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389ED54" w14:textId="77777777">
        <w:trPr>
          <w:gridAfter w:val="1"/>
          <w:wAfter w:w="6" w:type="dxa"/>
        </w:trPr>
        <w:tc>
          <w:tcPr>
            <w:tcW w:w="534" w:type="dxa"/>
          </w:tcPr>
          <w:p w14:paraId="739EFD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119" w:type="dxa"/>
          </w:tcPr>
          <w:p w14:paraId="357F24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Два подземных завода Хейнкель в р-не Вены</w:t>
            </w:r>
          </w:p>
        </w:tc>
        <w:tc>
          <w:tcPr>
            <w:tcW w:w="979" w:type="dxa"/>
          </w:tcPr>
          <w:p w14:paraId="69AE6B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 Москва</w:t>
            </w:r>
          </w:p>
        </w:tc>
        <w:tc>
          <w:tcPr>
            <w:tcW w:w="754" w:type="dxa"/>
          </w:tcPr>
          <w:p w14:paraId="636FE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565AD6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w:t>
            </w:r>
          </w:p>
        </w:tc>
        <w:tc>
          <w:tcPr>
            <w:tcW w:w="703" w:type="dxa"/>
          </w:tcPr>
          <w:p w14:paraId="75E9F559"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B763D0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20F624C"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33ADF0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48A7B64"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1FAC642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4904405" w14:textId="77777777">
        <w:trPr>
          <w:gridAfter w:val="1"/>
          <w:wAfter w:w="5" w:type="dxa"/>
        </w:trPr>
        <w:tc>
          <w:tcPr>
            <w:tcW w:w="11014" w:type="dxa"/>
            <w:gridSpan w:val="13"/>
          </w:tcPr>
          <w:p w14:paraId="4D6270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8158с от 19 апреля 1945</w:t>
            </w:r>
          </w:p>
        </w:tc>
      </w:tr>
      <w:tr w:rsidR="000F5689" w:rsidRPr="00925F26" w14:paraId="34DC9CC7" w14:textId="77777777">
        <w:trPr>
          <w:gridAfter w:val="1"/>
          <w:wAfter w:w="6" w:type="dxa"/>
        </w:trPr>
        <w:tc>
          <w:tcPr>
            <w:tcW w:w="534" w:type="dxa"/>
          </w:tcPr>
          <w:p w14:paraId="3D8E52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19" w:type="dxa"/>
          </w:tcPr>
          <w:p w14:paraId="17EF90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Радио Верке, Вена</w:t>
            </w:r>
          </w:p>
        </w:tc>
        <w:tc>
          <w:tcPr>
            <w:tcW w:w="979" w:type="dxa"/>
          </w:tcPr>
          <w:p w14:paraId="5C76F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 Ленинград</w:t>
            </w:r>
          </w:p>
        </w:tc>
        <w:tc>
          <w:tcPr>
            <w:tcW w:w="754" w:type="dxa"/>
          </w:tcPr>
          <w:p w14:paraId="5AAE7B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tc>
        <w:tc>
          <w:tcPr>
            <w:tcW w:w="1205" w:type="dxa"/>
          </w:tcPr>
          <w:p w14:paraId="72D1EF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 станков</w:t>
            </w:r>
          </w:p>
        </w:tc>
        <w:tc>
          <w:tcPr>
            <w:tcW w:w="703" w:type="dxa"/>
          </w:tcPr>
          <w:p w14:paraId="7AE2A5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703" w:type="dxa"/>
          </w:tcPr>
          <w:p w14:paraId="63E16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703" w:type="dxa"/>
          </w:tcPr>
          <w:p w14:paraId="59331E98"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9299A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703" w:type="dxa"/>
          </w:tcPr>
          <w:p w14:paraId="6C28D9D9"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63A47A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199F7C1" w14:textId="77777777">
        <w:trPr>
          <w:gridAfter w:val="1"/>
          <w:wAfter w:w="5" w:type="dxa"/>
        </w:trPr>
        <w:tc>
          <w:tcPr>
            <w:tcW w:w="11014" w:type="dxa"/>
            <w:gridSpan w:val="13"/>
          </w:tcPr>
          <w:p w14:paraId="0E774B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8062с от 19 апреля 1945</w:t>
            </w:r>
          </w:p>
        </w:tc>
      </w:tr>
      <w:tr w:rsidR="000F5689" w:rsidRPr="00925F26" w14:paraId="09CF9745" w14:textId="77777777">
        <w:trPr>
          <w:gridAfter w:val="1"/>
          <w:wAfter w:w="6" w:type="dxa"/>
        </w:trPr>
        <w:tc>
          <w:tcPr>
            <w:tcW w:w="534" w:type="dxa"/>
          </w:tcPr>
          <w:p w14:paraId="5AC25B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1119" w:type="dxa"/>
          </w:tcPr>
          <w:p w14:paraId="6D4DE2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Петер Пельцер, Зоммерфельд</w:t>
            </w:r>
          </w:p>
        </w:tc>
        <w:tc>
          <w:tcPr>
            <w:tcW w:w="979" w:type="dxa"/>
          </w:tcPr>
          <w:p w14:paraId="5FEB9A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ЦАГИ, Раменское</w:t>
            </w:r>
          </w:p>
        </w:tc>
        <w:tc>
          <w:tcPr>
            <w:tcW w:w="754" w:type="dxa"/>
          </w:tcPr>
          <w:p w14:paraId="6C919C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июня 1945</w:t>
            </w:r>
          </w:p>
        </w:tc>
        <w:tc>
          <w:tcPr>
            <w:tcW w:w="1205" w:type="dxa"/>
          </w:tcPr>
          <w:p w14:paraId="292509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 станков</w:t>
            </w:r>
          </w:p>
        </w:tc>
        <w:tc>
          <w:tcPr>
            <w:tcW w:w="703" w:type="dxa"/>
          </w:tcPr>
          <w:p w14:paraId="0CE9D52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1A323B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A9E088E"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BBB311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7561351"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C3008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демонтируется</w:t>
            </w:r>
          </w:p>
        </w:tc>
      </w:tr>
      <w:tr w:rsidR="000F5689" w:rsidRPr="00925F26" w14:paraId="7FDC4109" w14:textId="77777777">
        <w:trPr>
          <w:gridAfter w:val="1"/>
          <w:wAfter w:w="6" w:type="dxa"/>
        </w:trPr>
        <w:tc>
          <w:tcPr>
            <w:tcW w:w="534" w:type="dxa"/>
          </w:tcPr>
          <w:p w14:paraId="7BEAD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1119" w:type="dxa"/>
          </w:tcPr>
          <w:p w14:paraId="7AFC73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фирмы Эльтрон Теодор Штибель, Зоммерфельд</w:t>
            </w:r>
          </w:p>
        </w:tc>
        <w:tc>
          <w:tcPr>
            <w:tcW w:w="979" w:type="dxa"/>
          </w:tcPr>
          <w:p w14:paraId="41EC66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489, Днепропетровск</w:t>
            </w:r>
          </w:p>
        </w:tc>
        <w:tc>
          <w:tcPr>
            <w:tcW w:w="754" w:type="dxa"/>
          </w:tcPr>
          <w:p w14:paraId="251A22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июня 1945</w:t>
            </w:r>
          </w:p>
        </w:tc>
        <w:tc>
          <w:tcPr>
            <w:tcW w:w="1205" w:type="dxa"/>
          </w:tcPr>
          <w:p w14:paraId="76AB40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 станков</w:t>
            </w:r>
          </w:p>
        </w:tc>
        <w:tc>
          <w:tcPr>
            <w:tcW w:w="703" w:type="dxa"/>
          </w:tcPr>
          <w:p w14:paraId="22DC159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0343FD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F8288C8"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DC61A6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3F0A328"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1B034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демонтируется</w:t>
            </w:r>
          </w:p>
        </w:tc>
      </w:tr>
      <w:tr w:rsidR="000F5689" w:rsidRPr="00925F26" w14:paraId="65467C43" w14:textId="77777777">
        <w:trPr>
          <w:gridAfter w:val="1"/>
          <w:wAfter w:w="6" w:type="dxa"/>
        </w:trPr>
        <w:tc>
          <w:tcPr>
            <w:tcW w:w="534" w:type="dxa"/>
          </w:tcPr>
          <w:p w14:paraId="3FB7EB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1119" w:type="dxa"/>
          </w:tcPr>
          <w:p w14:paraId="0DC82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 Пластмасс фирмы АЕГ, Ноемюллер, р-н Зоммерфельд</w:t>
            </w:r>
          </w:p>
        </w:tc>
        <w:tc>
          <w:tcPr>
            <w:tcW w:w="979" w:type="dxa"/>
          </w:tcPr>
          <w:p w14:paraId="52443B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218, Ленинград</w:t>
            </w:r>
          </w:p>
        </w:tc>
        <w:tc>
          <w:tcPr>
            <w:tcW w:w="754" w:type="dxa"/>
          </w:tcPr>
          <w:p w14:paraId="1E9DFF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июня 1945</w:t>
            </w:r>
          </w:p>
        </w:tc>
        <w:tc>
          <w:tcPr>
            <w:tcW w:w="1205" w:type="dxa"/>
          </w:tcPr>
          <w:p w14:paraId="2E5D55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 станка</w:t>
            </w:r>
          </w:p>
        </w:tc>
        <w:tc>
          <w:tcPr>
            <w:tcW w:w="703" w:type="dxa"/>
          </w:tcPr>
          <w:p w14:paraId="4D9FA26D"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02715C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67C2A04"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464E5C6"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DCFAAA0"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2D1CA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демонтируется</w:t>
            </w:r>
          </w:p>
        </w:tc>
      </w:tr>
      <w:tr w:rsidR="000F5689" w:rsidRPr="00925F26" w14:paraId="581A7196" w14:textId="77777777">
        <w:trPr>
          <w:gridAfter w:val="1"/>
          <w:wAfter w:w="6" w:type="dxa"/>
        </w:trPr>
        <w:tc>
          <w:tcPr>
            <w:tcW w:w="534" w:type="dxa"/>
          </w:tcPr>
          <w:p w14:paraId="5C19F4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19" w:type="dxa"/>
          </w:tcPr>
          <w:p w14:paraId="6AC97E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 Пластмасс, Решен, р-н Зоммерфельд</w:t>
            </w:r>
          </w:p>
        </w:tc>
        <w:tc>
          <w:tcPr>
            <w:tcW w:w="979" w:type="dxa"/>
          </w:tcPr>
          <w:p w14:paraId="4F107E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218, Ленинград</w:t>
            </w:r>
          </w:p>
        </w:tc>
        <w:tc>
          <w:tcPr>
            <w:tcW w:w="754" w:type="dxa"/>
          </w:tcPr>
          <w:p w14:paraId="46D35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июня 1945</w:t>
            </w:r>
          </w:p>
        </w:tc>
        <w:tc>
          <w:tcPr>
            <w:tcW w:w="1205" w:type="dxa"/>
          </w:tcPr>
          <w:p w14:paraId="34F589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 станков</w:t>
            </w:r>
          </w:p>
        </w:tc>
        <w:tc>
          <w:tcPr>
            <w:tcW w:w="703" w:type="dxa"/>
          </w:tcPr>
          <w:p w14:paraId="4A96831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B2F25D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ACBEDA5"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C68976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3860B31"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867FB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демонтируется</w:t>
            </w:r>
          </w:p>
        </w:tc>
      </w:tr>
      <w:tr w:rsidR="000F5689" w:rsidRPr="00925F26" w14:paraId="16C91D35" w14:textId="77777777">
        <w:trPr>
          <w:gridAfter w:val="1"/>
          <w:wAfter w:w="6" w:type="dxa"/>
        </w:trPr>
        <w:tc>
          <w:tcPr>
            <w:tcW w:w="534" w:type="dxa"/>
          </w:tcPr>
          <w:p w14:paraId="09847B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119" w:type="dxa"/>
          </w:tcPr>
          <w:p w14:paraId="3A8A9E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Остатки завода по производству реактивных с-тов, Швейдемюль</w:t>
            </w:r>
          </w:p>
        </w:tc>
        <w:tc>
          <w:tcPr>
            <w:tcW w:w="979" w:type="dxa"/>
          </w:tcPr>
          <w:p w14:paraId="72DD53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ЦАГИ, Раменское</w:t>
            </w:r>
          </w:p>
        </w:tc>
        <w:tc>
          <w:tcPr>
            <w:tcW w:w="754" w:type="dxa"/>
          </w:tcPr>
          <w:p w14:paraId="2FCAD1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июня 1945</w:t>
            </w:r>
          </w:p>
        </w:tc>
        <w:tc>
          <w:tcPr>
            <w:tcW w:w="1205" w:type="dxa"/>
          </w:tcPr>
          <w:p w14:paraId="12D919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станков</w:t>
            </w:r>
          </w:p>
        </w:tc>
        <w:tc>
          <w:tcPr>
            <w:tcW w:w="703" w:type="dxa"/>
          </w:tcPr>
          <w:p w14:paraId="2DC67BC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286CFEB"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8E3294F"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3DB4ABB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72C7A99"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0682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Представитель НКАП находится на месте</w:t>
            </w:r>
          </w:p>
        </w:tc>
      </w:tr>
      <w:tr w:rsidR="000F5689" w:rsidRPr="00925F26" w14:paraId="506CBE0B" w14:textId="77777777">
        <w:trPr>
          <w:gridAfter w:val="1"/>
          <w:wAfter w:w="6" w:type="dxa"/>
        </w:trPr>
        <w:tc>
          <w:tcPr>
            <w:tcW w:w="534" w:type="dxa"/>
          </w:tcPr>
          <w:p w14:paraId="3C723F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1119" w:type="dxa"/>
          </w:tcPr>
          <w:p w14:paraId="0605F1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Авиасборочный з-д, Хайлигенбейл</w:t>
            </w:r>
          </w:p>
        </w:tc>
        <w:tc>
          <w:tcPr>
            <w:tcW w:w="979" w:type="dxa"/>
          </w:tcPr>
          <w:p w14:paraId="2D0C33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 Рыбинск</w:t>
            </w:r>
          </w:p>
        </w:tc>
        <w:tc>
          <w:tcPr>
            <w:tcW w:w="754" w:type="dxa"/>
          </w:tcPr>
          <w:p w14:paraId="481AB9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июня 1945</w:t>
            </w:r>
          </w:p>
        </w:tc>
        <w:tc>
          <w:tcPr>
            <w:tcW w:w="1205" w:type="dxa"/>
          </w:tcPr>
          <w:p w14:paraId="443CA1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 станков</w:t>
            </w:r>
          </w:p>
        </w:tc>
        <w:tc>
          <w:tcPr>
            <w:tcW w:w="703" w:type="dxa"/>
          </w:tcPr>
          <w:p w14:paraId="65049B93"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CD154B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5AC6D38"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42E6A462"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53D0F6E"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3285C1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демонтируется</w:t>
            </w:r>
          </w:p>
        </w:tc>
      </w:tr>
      <w:tr w:rsidR="000F5689" w:rsidRPr="00925F26" w14:paraId="45347CF3" w14:textId="77777777">
        <w:trPr>
          <w:gridAfter w:val="1"/>
          <w:wAfter w:w="5" w:type="dxa"/>
        </w:trPr>
        <w:tc>
          <w:tcPr>
            <w:tcW w:w="11014" w:type="dxa"/>
            <w:gridSpan w:val="13"/>
          </w:tcPr>
          <w:p w14:paraId="76C380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ГОКО № 8278с от 26 апреля 1945</w:t>
            </w:r>
          </w:p>
        </w:tc>
      </w:tr>
      <w:tr w:rsidR="000F5689" w:rsidRPr="00925F26" w14:paraId="204FFC31" w14:textId="77777777">
        <w:trPr>
          <w:gridAfter w:val="1"/>
          <w:wAfter w:w="6" w:type="dxa"/>
        </w:trPr>
        <w:tc>
          <w:tcPr>
            <w:tcW w:w="534" w:type="dxa"/>
          </w:tcPr>
          <w:p w14:paraId="09AA53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19" w:type="dxa"/>
          </w:tcPr>
          <w:p w14:paraId="66435B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 бронезащиты с-тов, Дицдорф, (р-н Бреслау)</w:t>
            </w:r>
          </w:p>
        </w:tc>
        <w:tc>
          <w:tcPr>
            <w:tcW w:w="979" w:type="dxa"/>
          </w:tcPr>
          <w:p w14:paraId="411626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 Подольск</w:t>
            </w:r>
          </w:p>
        </w:tc>
        <w:tc>
          <w:tcPr>
            <w:tcW w:w="754" w:type="dxa"/>
          </w:tcPr>
          <w:p w14:paraId="09BEC4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767D6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 станков</w:t>
            </w:r>
          </w:p>
        </w:tc>
        <w:tc>
          <w:tcPr>
            <w:tcW w:w="703" w:type="dxa"/>
          </w:tcPr>
          <w:p w14:paraId="453C9D09"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161418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B1AC688"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D3F32F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C93D6B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EA2382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4185D9B" w14:textId="77777777">
        <w:trPr>
          <w:gridAfter w:val="1"/>
          <w:wAfter w:w="6" w:type="dxa"/>
        </w:trPr>
        <w:tc>
          <w:tcPr>
            <w:tcW w:w="534" w:type="dxa"/>
          </w:tcPr>
          <w:p w14:paraId="378AB21A"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5EDF622A"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3AC5D37A"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524ED094"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34A48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прессов и нижниц</w:t>
            </w:r>
          </w:p>
        </w:tc>
        <w:tc>
          <w:tcPr>
            <w:tcW w:w="703" w:type="dxa"/>
          </w:tcPr>
          <w:p w14:paraId="2805B63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7E2D3579"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76951B4"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E702BD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004F0C49"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39707E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78489E5" w14:textId="77777777">
        <w:trPr>
          <w:gridAfter w:val="1"/>
          <w:wAfter w:w="6" w:type="dxa"/>
        </w:trPr>
        <w:tc>
          <w:tcPr>
            <w:tcW w:w="534" w:type="dxa"/>
          </w:tcPr>
          <w:p w14:paraId="35CBB5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1119" w:type="dxa"/>
          </w:tcPr>
          <w:p w14:paraId="630D90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 авиационных деталей, Нейен Кирхен (р-н Вены)</w:t>
            </w:r>
          </w:p>
        </w:tc>
        <w:tc>
          <w:tcPr>
            <w:tcW w:w="979" w:type="dxa"/>
          </w:tcPr>
          <w:p w14:paraId="1A637F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489, Днепропетровск</w:t>
            </w:r>
          </w:p>
        </w:tc>
        <w:tc>
          <w:tcPr>
            <w:tcW w:w="754" w:type="dxa"/>
          </w:tcPr>
          <w:p w14:paraId="760C13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48454F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 станков</w:t>
            </w:r>
          </w:p>
        </w:tc>
        <w:tc>
          <w:tcPr>
            <w:tcW w:w="703" w:type="dxa"/>
          </w:tcPr>
          <w:p w14:paraId="2602A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161</w:t>
            </w:r>
          </w:p>
        </w:tc>
        <w:tc>
          <w:tcPr>
            <w:tcW w:w="703" w:type="dxa"/>
          </w:tcPr>
          <w:p w14:paraId="4EB20F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c>
          <w:tcPr>
            <w:tcW w:w="703" w:type="dxa"/>
          </w:tcPr>
          <w:p w14:paraId="201881B6"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6734D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703" w:type="dxa"/>
          </w:tcPr>
          <w:p w14:paraId="71D42E7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740825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отгружено на з-д 125 НКАП</w:t>
            </w:r>
          </w:p>
        </w:tc>
      </w:tr>
      <w:tr w:rsidR="000F5689" w:rsidRPr="00925F26" w14:paraId="282584AA" w14:textId="77777777">
        <w:trPr>
          <w:gridAfter w:val="1"/>
          <w:wAfter w:w="6" w:type="dxa"/>
        </w:trPr>
        <w:tc>
          <w:tcPr>
            <w:tcW w:w="534" w:type="dxa"/>
          </w:tcPr>
          <w:p w14:paraId="32AB17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119" w:type="dxa"/>
          </w:tcPr>
          <w:p w14:paraId="68B4F0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З-д фирмы Шустер Компания, Вена</w:t>
            </w:r>
          </w:p>
        </w:tc>
        <w:tc>
          <w:tcPr>
            <w:tcW w:w="979" w:type="dxa"/>
          </w:tcPr>
          <w:p w14:paraId="007631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284, Сарапул</w:t>
            </w:r>
          </w:p>
        </w:tc>
        <w:tc>
          <w:tcPr>
            <w:tcW w:w="754" w:type="dxa"/>
          </w:tcPr>
          <w:p w14:paraId="514E00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июня 1945</w:t>
            </w:r>
          </w:p>
        </w:tc>
        <w:tc>
          <w:tcPr>
            <w:tcW w:w="1205" w:type="dxa"/>
          </w:tcPr>
          <w:p w14:paraId="387E00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540 станков</w:t>
            </w:r>
          </w:p>
        </w:tc>
        <w:tc>
          <w:tcPr>
            <w:tcW w:w="703" w:type="dxa"/>
          </w:tcPr>
          <w:p w14:paraId="54DCED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703" w:type="dxa"/>
          </w:tcPr>
          <w:p w14:paraId="3A9D59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703" w:type="dxa"/>
          </w:tcPr>
          <w:p w14:paraId="418706E3"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74200A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703" w:type="dxa"/>
          </w:tcPr>
          <w:p w14:paraId="0C45A0D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638B2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Оборудование демонтируется</w:t>
            </w:r>
          </w:p>
        </w:tc>
      </w:tr>
      <w:tr w:rsidR="000F5689" w:rsidRPr="00925F26" w14:paraId="5C7EAD25" w14:textId="77777777">
        <w:trPr>
          <w:gridAfter w:val="1"/>
          <w:wAfter w:w="6" w:type="dxa"/>
        </w:trPr>
        <w:tc>
          <w:tcPr>
            <w:tcW w:w="534" w:type="dxa"/>
          </w:tcPr>
          <w:p w14:paraId="425F3A43"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5A4AE1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79" w:type="dxa"/>
          </w:tcPr>
          <w:p w14:paraId="05B11878"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7604657E"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21B691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станков</w:t>
            </w:r>
          </w:p>
        </w:tc>
        <w:tc>
          <w:tcPr>
            <w:tcW w:w="703" w:type="dxa"/>
          </w:tcPr>
          <w:p w14:paraId="740914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9188</w:t>
            </w:r>
          </w:p>
        </w:tc>
        <w:tc>
          <w:tcPr>
            <w:tcW w:w="703" w:type="dxa"/>
          </w:tcPr>
          <w:p w14:paraId="1B5F9A9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DB97189"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E456BD7"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846CD22"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6F38436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90854C4" w14:textId="77777777">
        <w:trPr>
          <w:gridAfter w:val="1"/>
          <w:wAfter w:w="6" w:type="dxa"/>
        </w:trPr>
        <w:tc>
          <w:tcPr>
            <w:tcW w:w="534" w:type="dxa"/>
          </w:tcPr>
          <w:p w14:paraId="02C53F7C"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64211FC2"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65CC39A8"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66CCCD40"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59EB0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прессов</w:t>
            </w:r>
          </w:p>
        </w:tc>
        <w:tc>
          <w:tcPr>
            <w:tcW w:w="703" w:type="dxa"/>
          </w:tcPr>
          <w:p w14:paraId="2978A8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348</w:t>
            </w:r>
          </w:p>
        </w:tc>
        <w:tc>
          <w:tcPr>
            <w:tcW w:w="703" w:type="dxa"/>
          </w:tcPr>
          <w:p w14:paraId="14E8CE00"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233965D"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501C48BF"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681FB4D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36A1DD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C4623D1" w14:textId="77777777">
        <w:trPr>
          <w:gridAfter w:val="1"/>
          <w:wAfter w:w="6" w:type="dxa"/>
        </w:trPr>
        <w:tc>
          <w:tcPr>
            <w:tcW w:w="534" w:type="dxa"/>
          </w:tcPr>
          <w:p w14:paraId="0FA8C6DC"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58E1AFBA"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651F492F"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7C478F60"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605447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прочего оборудования</w:t>
            </w:r>
          </w:p>
        </w:tc>
        <w:tc>
          <w:tcPr>
            <w:tcW w:w="703" w:type="dxa"/>
          </w:tcPr>
          <w:p w14:paraId="1C3549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747</w:t>
            </w:r>
          </w:p>
        </w:tc>
        <w:tc>
          <w:tcPr>
            <w:tcW w:w="703" w:type="dxa"/>
          </w:tcPr>
          <w:p w14:paraId="4341824C"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3306504"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32A02844"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5357C10"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2FE556F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F17235D" w14:textId="77777777">
        <w:trPr>
          <w:gridAfter w:val="1"/>
          <w:wAfter w:w="6" w:type="dxa"/>
        </w:trPr>
        <w:tc>
          <w:tcPr>
            <w:tcW w:w="534" w:type="dxa"/>
          </w:tcPr>
          <w:p w14:paraId="79D8B37B"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096A7C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Передано другим наркоматам</w:t>
            </w:r>
          </w:p>
        </w:tc>
        <w:tc>
          <w:tcPr>
            <w:tcW w:w="979" w:type="dxa"/>
          </w:tcPr>
          <w:p w14:paraId="55364BD4"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1F07F95B"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0FF5DC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станков</w:t>
            </w:r>
          </w:p>
        </w:tc>
        <w:tc>
          <w:tcPr>
            <w:tcW w:w="703" w:type="dxa"/>
          </w:tcPr>
          <w:p w14:paraId="66233A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2204</w:t>
            </w:r>
          </w:p>
        </w:tc>
        <w:tc>
          <w:tcPr>
            <w:tcW w:w="703" w:type="dxa"/>
          </w:tcPr>
          <w:p w14:paraId="708FA34A"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1784BE9"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F05179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5165DB0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B91AFE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D2C5F8E" w14:textId="77777777">
        <w:trPr>
          <w:gridAfter w:val="1"/>
          <w:wAfter w:w="6" w:type="dxa"/>
        </w:trPr>
        <w:tc>
          <w:tcPr>
            <w:tcW w:w="534" w:type="dxa"/>
          </w:tcPr>
          <w:p w14:paraId="25B481D3"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18E549BB"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F4A48C0"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4FD5C1F8"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567F27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прессов</w:t>
            </w:r>
          </w:p>
        </w:tc>
        <w:tc>
          <w:tcPr>
            <w:tcW w:w="703" w:type="dxa"/>
          </w:tcPr>
          <w:p w14:paraId="6710B7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703" w:type="dxa"/>
          </w:tcPr>
          <w:p w14:paraId="07619A58"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466AE94D"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0E8505D1"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203CEA69"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5BF97C8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F8E981C" w14:textId="77777777">
        <w:trPr>
          <w:gridAfter w:val="1"/>
          <w:wAfter w:w="6" w:type="dxa"/>
        </w:trPr>
        <w:tc>
          <w:tcPr>
            <w:tcW w:w="534" w:type="dxa"/>
          </w:tcPr>
          <w:p w14:paraId="7A5A89BF"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7E63694E"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46CBDE88"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1624D15D"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1D809A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прочего оборудования</w:t>
            </w:r>
          </w:p>
        </w:tc>
        <w:tc>
          <w:tcPr>
            <w:tcW w:w="703" w:type="dxa"/>
          </w:tcPr>
          <w:p w14:paraId="69C63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w:t>
            </w:r>
          </w:p>
        </w:tc>
        <w:tc>
          <w:tcPr>
            <w:tcW w:w="703" w:type="dxa"/>
          </w:tcPr>
          <w:p w14:paraId="74996ED7"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3D3E31E8" w14:textId="77777777" w:rsidR="00665165" w:rsidRPr="00925F26" w:rsidRDefault="00665165" w:rsidP="00925F26">
            <w:pPr>
              <w:autoSpaceDE w:val="0"/>
              <w:autoSpaceDN w:val="0"/>
              <w:adjustRightInd w:val="0"/>
              <w:jc w:val="both"/>
              <w:rPr>
                <w:color w:val="000000" w:themeColor="text1"/>
                <w:sz w:val="16"/>
                <w:szCs w:val="16"/>
              </w:rPr>
            </w:pPr>
          </w:p>
        </w:tc>
        <w:tc>
          <w:tcPr>
            <w:tcW w:w="703" w:type="dxa"/>
            <w:gridSpan w:val="2"/>
          </w:tcPr>
          <w:p w14:paraId="160D583E" w14:textId="77777777" w:rsidR="00665165" w:rsidRPr="00925F26" w:rsidRDefault="00665165" w:rsidP="00925F26">
            <w:pPr>
              <w:autoSpaceDE w:val="0"/>
              <w:autoSpaceDN w:val="0"/>
              <w:adjustRightInd w:val="0"/>
              <w:jc w:val="both"/>
              <w:rPr>
                <w:color w:val="000000" w:themeColor="text1"/>
                <w:sz w:val="16"/>
                <w:szCs w:val="16"/>
              </w:rPr>
            </w:pPr>
          </w:p>
        </w:tc>
        <w:tc>
          <w:tcPr>
            <w:tcW w:w="703" w:type="dxa"/>
          </w:tcPr>
          <w:p w14:paraId="18FEF687"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08444EC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2C7019B" w14:textId="77777777">
        <w:trPr>
          <w:gridAfter w:val="1"/>
          <w:wAfter w:w="6" w:type="dxa"/>
        </w:trPr>
        <w:tc>
          <w:tcPr>
            <w:tcW w:w="534" w:type="dxa"/>
          </w:tcPr>
          <w:p w14:paraId="5C6E3B05"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0BDB0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по НКАП</w:t>
            </w:r>
          </w:p>
        </w:tc>
        <w:tc>
          <w:tcPr>
            <w:tcW w:w="979" w:type="dxa"/>
          </w:tcPr>
          <w:p w14:paraId="6CD98759"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702A4F53"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223215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станков</w:t>
            </w:r>
          </w:p>
        </w:tc>
        <w:tc>
          <w:tcPr>
            <w:tcW w:w="703" w:type="dxa"/>
          </w:tcPr>
          <w:p w14:paraId="767DC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6984</w:t>
            </w:r>
          </w:p>
        </w:tc>
        <w:tc>
          <w:tcPr>
            <w:tcW w:w="703" w:type="dxa"/>
          </w:tcPr>
          <w:p w14:paraId="51B1E9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5350</w:t>
            </w:r>
          </w:p>
        </w:tc>
        <w:tc>
          <w:tcPr>
            <w:tcW w:w="703" w:type="dxa"/>
          </w:tcPr>
          <w:p w14:paraId="316609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4287</w:t>
            </w:r>
          </w:p>
        </w:tc>
        <w:tc>
          <w:tcPr>
            <w:tcW w:w="703" w:type="dxa"/>
            <w:gridSpan w:val="2"/>
          </w:tcPr>
          <w:p w14:paraId="32976A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2173</w:t>
            </w:r>
          </w:p>
        </w:tc>
        <w:tc>
          <w:tcPr>
            <w:tcW w:w="703" w:type="dxa"/>
          </w:tcPr>
          <w:p w14:paraId="75DE24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1437</w:t>
            </w:r>
          </w:p>
        </w:tc>
        <w:tc>
          <w:tcPr>
            <w:tcW w:w="2907" w:type="dxa"/>
            <w:gridSpan w:val="2"/>
          </w:tcPr>
          <w:p w14:paraId="662133A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0A3AB30" w14:textId="77777777">
        <w:trPr>
          <w:gridAfter w:val="1"/>
          <w:wAfter w:w="6" w:type="dxa"/>
        </w:trPr>
        <w:tc>
          <w:tcPr>
            <w:tcW w:w="534" w:type="dxa"/>
          </w:tcPr>
          <w:p w14:paraId="479567C8"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Pr>
          <w:p w14:paraId="49BB40A4"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Pr>
          <w:p w14:paraId="2FABBD61"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Pr>
          <w:p w14:paraId="6A8CF7FF"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Pr>
          <w:p w14:paraId="3D12CF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прессов</w:t>
            </w:r>
          </w:p>
        </w:tc>
        <w:tc>
          <w:tcPr>
            <w:tcW w:w="703" w:type="dxa"/>
          </w:tcPr>
          <w:p w14:paraId="15B2F1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348</w:t>
            </w:r>
          </w:p>
        </w:tc>
        <w:tc>
          <w:tcPr>
            <w:tcW w:w="703" w:type="dxa"/>
          </w:tcPr>
          <w:p w14:paraId="0CF621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703" w:type="dxa"/>
          </w:tcPr>
          <w:p w14:paraId="5975C0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269</w:t>
            </w:r>
          </w:p>
        </w:tc>
        <w:tc>
          <w:tcPr>
            <w:tcW w:w="703" w:type="dxa"/>
            <w:gridSpan w:val="2"/>
          </w:tcPr>
          <w:p w14:paraId="1558C8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253</w:t>
            </w:r>
          </w:p>
        </w:tc>
        <w:tc>
          <w:tcPr>
            <w:tcW w:w="703" w:type="dxa"/>
          </w:tcPr>
          <w:p w14:paraId="0A144CCF"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Pr>
          <w:p w14:paraId="47D34FA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DB1C1BF" w14:textId="77777777">
        <w:trPr>
          <w:gridAfter w:val="1"/>
          <w:wAfter w:w="6" w:type="dxa"/>
        </w:trPr>
        <w:tc>
          <w:tcPr>
            <w:tcW w:w="534" w:type="dxa"/>
            <w:tcBorders>
              <w:bottom w:val="single" w:sz="12" w:space="0" w:color="auto"/>
            </w:tcBorders>
          </w:tcPr>
          <w:p w14:paraId="71EB0B07" w14:textId="77777777" w:rsidR="00665165" w:rsidRPr="00925F26" w:rsidRDefault="00665165" w:rsidP="00925F26">
            <w:pPr>
              <w:autoSpaceDE w:val="0"/>
              <w:autoSpaceDN w:val="0"/>
              <w:adjustRightInd w:val="0"/>
              <w:jc w:val="both"/>
              <w:rPr>
                <w:color w:val="000000" w:themeColor="text1"/>
                <w:sz w:val="16"/>
                <w:szCs w:val="16"/>
              </w:rPr>
            </w:pPr>
          </w:p>
        </w:tc>
        <w:tc>
          <w:tcPr>
            <w:tcW w:w="1119" w:type="dxa"/>
            <w:tcBorders>
              <w:bottom w:val="single" w:sz="12" w:space="0" w:color="auto"/>
            </w:tcBorders>
          </w:tcPr>
          <w:p w14:paraId="61130D64" w14:textId="77777777" w:rsidR="00665165" w:rsidRPr="00925F26" w:rsidRDefault="00665165" w:rsidP="00925F26">
            <w:pPr>
              <w:autoSpaceDE w:val="0"/>
              <w:autoSpaceDN w:val="0"/>
              <w:adjustRightInd w:val="0"/>
              <w:jc w:val="both"/>
              <w:rPr>
                <w:color w:val="000000" w:themeColor="text1"/>
                <w:sz w:val="16"/>
                <w:szCs w:val="16"/>
              </w:rPr>
            </w:pPr>
          </w:p>
        </w:tc>
        <w:tc>
          <w:tcPr>
            <w:tcW w:w="979" w:type="dxa"/>
            <w:tcBorders>
              <w:bottom w:val="single" w:sz="12" w:space="0" w:color="auto"/>
            </w:tcBorders>
          </w:tcPr>
          <w:p w14:paraId="32F5AD4A" w14:textId="77777777" w:rsidR="00665165" w:rsidRPr="00925F26" w:rsidRDefault="00665165" w:rsidP="00925F26">
            <w:pPr>
              <w:autoSpaceDE w:val="0"/>
              <w:autoSpaceDN w:val="0"/>
              <w:adjustRightInd w:val="0"/>
              <w:jc w:val="both"/>
              <w:rPr>
                <w:color w:val="000000" w:themeColor="text1"/>
                <w:sz w:val="16"/>
                <w:szCs w:val="16"/>
              </w:rPr>
            </w:pPr>
          </w:p>
        </w:tc>
        <w:tc>
          <w:tcPr>
            <w:tcW w:w="754" w:type="dxa"/>
            <w:tcBorders>
              <w:bottom w:val="single" w:sz="12" w:space="0" w:color="auto"/>
            </w:tcBorders>
          </w:tcPr>
          <w:p w14:paraId="1605C24F" w14:textId="77777777" w:rsidR="00665165" w:rsidRPr="00925F26" w:rsidRDefault="00665165" w:rsidP="00925F26">
            <w:pPr>
              <w:autoSpaceDE w:val="0"/>
              <w:autoSpaceDN w:val="0"/>
              <w:adjustRightInd w:val="0"/>
              <w:jc w:val="both"/>
              <w:rPr>
                <w:color w:val="000000" w:themeColor="text1"/>
                <w:sz w:val="16"/>
                <w:szCs w:val="16"/>
              </w:rPr>
            </w:pPr>
          </w:p>
        </w:tc>
        <w:tc>
          <w:tcPr>
            <w:tcW w:w="1205" w:type="dxa"/>
            <w:tcBorders>
              <w:bottom w:val="single" w:sz="12" w:space="0" w:color="auto"/>
            </w:tcBorders>
          </w:tcPr>
          <w:p w14:paraId="75FBFC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прочего оборудования</w:t>
            </w:r>
          </w:p>
        </w:tc>
        <w:tc>
          <w:tcPr>
            <w:tcW w:w="703" w:type="dxa"/>
            <w:tcBorders>
              <w:bottom w:val="single" w:sz="12" w:space="0" w:color="auto"/>
            </w:tcBorders>
          </w:tcPr>
          <w:p w14:paraId="5F1990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567</w:t>
            </w:r>
          </w:p>
        </w:tc>
        <w:tc>
          <w:tcPr>
            <w:tcW w:w="703" w:type="dxa"/>
            <w:tcBorders>
              <w:bottom w:val="single" w:sz="12" w:space="0" w:color="auto"/>
            </w:tcBorders>
          </w:tcPr>
          <w:p w14:paraId="72DAB0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703" w:type="dxa"/>
            <w:tcBorders>
              <w:bottom w:val="single" w:sz="12" w:space="0" w:color="auto"/>
            </w:tcBorders>
          </w:tcPr>
          <w:p w14:paraId="4AA9E3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03" w:type="dxa"/>
            <w:gridSpan w:val="2"/>
            <w:tcBorders>
              <w:bottom w:val="single" w:sz="12" w:space="0" w:color="auto"/>
            </w:tcBorders>
          </w:tcPr>
          <w:p w14:paraId="729A85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03" w:type="dxa"/>
            <w:tcBorders>
              <w:bottom w:val="single" w:sz="12" w:space="0" w:color="auto"/>
            </w:tcBorders>
          </w:tcPr>
          <w:p w14:paraId="2CFF1C2B" w14:textId="77777777" w:rsidR="00665165" w:rsidRPr="00925F26" w:rsidRDefault="00665165" w:rsidP="00925F26">
            <w:pPr>
              <w:autoSpaceDE w:val="0"/>
              <w:autoSpaceDN w:val="0"/>
              <w:adjustRightInd w:val="0"/>
              <w:jc w:val="both"/>
              <w:rPr>
                <w:color w:val="000000" w:themeColor="text1"/>
                <w:sz w:val="16"/>
                <w:szCs w:val="16"/>
              </w:rPr>
            </w:pPr>
          </w:p>
        </w:tc>
        <w:tc>
          <w:tcPr>
            <w:tcW w:w="2907" w:type="dxa"/>
            <w:gridSpan w:val="2"/>
            <w:tcBorders>
              <w:bottom w:val="single" w:sz="12" w:space="0" w:color="auto"/>
            </w:tcBorders>
          </w:tcPr>
          <w:p w14:paraId="51E873DD" w14:textId="77777777" w:rsidR="00665165" w:rsidRPr="00925F26" w:rsidRDefault="00665165" w:rsidP="00925F26">
            <w:pPr>
              <w:autoSpaceDE w:val="0"/>
              <w:autoSpaceDN w:val="0"/>
              <w:adjustRightInd w:val="0"/>
              <w:jc w:val="both"/>
              <w:rPr>
                <w:color w:val="000000" w:themeColor="text1"/>
                <w:sz w:val="16"/>
                <w:szCs w:val="16"/>
              </w:rPr>
            </w:pPr>
          </w:p>
        </w:tc>
      </w:tr>
    </w:tbl>
    <w:p w14:paraId="07629B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(1874,12).</w:t>
      </w:r>
    </w:p>
    <w:p w14:paraId="6CFEB72B" w14:textId="77777777" w:rsidR="00665165" w:rsidRPr="00925F26" w:rsidRDefault="00665165" w:rsidP="00925F26">
      <w:pPr>
        <w:autoSpaceDE w:val="0"/>
        <w:autoSpaceDN w:val="0"/>
        <w:adjustRightInd w:val="0"/>
        <w:jc w:val="both"/>
        <w:rPr>
          <w:color w:val="000000" w:themeColor="text1"/>
          <w:sz w:val="16"/>
          <w:szCs w:val="16"/>
        </w:rPr>
      </w:pPr>
    </w:p>
    <w:p w14:paraId="02C5EE5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E54A9CF" w14:textId="77777777" w:rsidR="00665165" w:rsidRPr="00925F26" w:rsidRDefault="00665165" w:rsidP="00925F26">
      <w:pPr>
        <w:autoSpaceDE w:val="0"/>
        <w:autoSpaceDN w:val="0"/>
        <w:adjustRightInd w:val="0"/>
        <w:jc w:val="both"/>
        <w:rPr>
          <w:iCs/>
          <w:color w:val="000000" w:themeColor="text1"/>
          <w:sz w:val="16"/>
          <w:szCs w:val="16"/>
        </w:rPr>
      </w:pPr>
    </w:p>
    <w:p w14:paraId="11036B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8 мая 1945 года 85-мм противотанковая пушка ЗИС-Д-44 поступила на Гороховецкий полигон. 85-мм противотанковая и дивизионная пушка Д-44 была спроектирована в КБ завода № 9 ("Уралмаш"). Однако опытный образец пушки был изготовлен на заводе № 92 (им. Сталина) и получил сложный индекс ЗИС-Д-44. После испытаний система была доработана на заводе № 9 (3861).</w:t>
      </w:r>
    </w:p>
    <w:p w14:paraId="4B3578BF" w14:textId="77777777" w:rsidR="00665165" w:rsidRPr="00925F26" w:rsidRDefault="00665165" w:rsidP="00925F26">
      <w:pPr>
        <w:autoSpaceDE w:val="0"/>
        <w:autoSpaceDN w:val="0"/>
        <w:adjustRightInd w:val="0"/>
        <w:jc w:val="both"/>
        <w:rPr>
          <w:color w:val="000000" w:themeColor="text1"/>
          <w:sz w:val="16"/>
          <w:szCs w:val="16"/>
        </w:rPr>
      </w:pPr>
    </w:p>
    <w:p w14:paraId="5D6607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года 85-мм дивизионная пушка ЗИС-Д-44, которая была спроектирована в КБ завода № 9 ("Уралмаш") и т.к. однако опытный образец пушки был изготовлен на заводе № 92 (им. Сталина), получила сложный индекс, поступила на Гороховецкий полигон, где 10 мая начались стрельбы. На испытаниях скорострельность пушки оказалась: с исправлением наводки при угле +20 15 выстр/мин; при угле 0 1113 выстр/мин; а максимальная скорострельность без исправления наводки 20-22 выстр/мин. Испытания обкаткой проводились за автомобилем "Студебеккер", а по бездорожью за трактором "Я-12". Всего с 19 по 25 мая пройдено 1512 км. Из них по булыжной мостовой 810 км со средней скоростью 25,7 км/час, а максимальной 33 км/час. По проселочной дороге 426 км со средней скоростью 21,9 км/час и максимальной 40 км/час. По асфальтовому шоссе 220 км со средней скоростью 41,2 км/час, максимальной 55 км/час. По бездорожью и пересеченной местности 56 км со средней скоростью 11,7 км/час. Согласно заключению комиссии ЗИС-Д-44 полигонные испытания не выдержала, в том числе из-за неудовлетворительной экстракции гильз. Однако после повторных полигонных, а затем и войсковых испытаний пушка была принята на вооружение под названием "85-мм дивизионная пушка Д-44".</w:t>
      </w:r>
    </w:p>
    <w:p w14:paraId="2E42A0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Ствол серийной пушки Д-44 состоял из трубы-моноблока, казенника, муфты, дульного тормоза и обоймы.</w:t>
      </w:r>
    </w:p>
    <w:p w14:paraId="4D075D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Дульный тормоз активного типа.</w:t>
      </w:r>
    </w:p>
    <w:p w14:paraId="2E9317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Затвор вертикальный клиновой с полуавтоматикой механического (копирного) типа.</w:t>
      </w:r>
    </w:p>
    <w:p w14:paraId="5C0BDD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Тормоз отката гидравлический. Противооткатные устройства помещены в обойме под стволом, при выстреле они откатывались вместе со стволом.</w:t>
      </w:r>
    </w:p>
    <w:p w14:paraId="4E314E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Люлька представляла собой литую цилиндрическую обойму.</w:t>
      </w:r>
    </w:p>
    <w:p w14:paraId="54A083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Подъемный механизм имел один сектор. Поворотный механизм винтового типа.</w:t>
      </w:r>
    </w:p>
    <w:p w14:paraId="2CD9B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Уравновешивающий механизм толкающего типа, с гидравлическим запором воздуха, он состоял из одной колонки, расположенной слева от ствола.</w:t>
      </w:r>
    </w:p>
    <w:p w14:paraId="36D889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Подрессоривание пушки торсионное.</w:t>
      </w:r>
    </w:p>
    <w:p w14:paraId="2C22B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Боевая ось состояла из двух полуосей. Обе полуоси прямые.</w:t>
      </w:r>
    </w:p>
    <w:p w14:paraId="4BD141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Колеса от автомобиля ГАЗ-АА, усиленные с шиной ГК.</w:t>
      </w:r>
    </w:p>
    <w:p w14:paraId="35D7E7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Прицельные приспособления: прицел С71-7 (первоначально был панорамный прицел), оптические прицелы ОП1-7, ОП2-7, ОП4-7, ОП4М-7. Кроме того, могут применяться ночные прицелы: АПН-2 или АПН3-7.</w:t>
      </w:r>
    </w:p>
    <w:p w14:paraId="36D6AA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Серийное производство Д-44 велось на заводе № 9.</w:t>
      </w:r>
    </w:p>
    <w:p w14:paraId="64477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1948 года в КБ завода № 9 разработан проект 85-мм самодвижущейся пушки СД-44 и 1.01.1949 г. этот проект был выслан в Министерство вооружений. Проект был одобрен, и в 1949 году завод № 9 приступил к изготовлению опытного образца, который был закончен в I квартале 1950 года. После заводских и полигонных испытаний пушка СД-44 была доработана. В 1954 году три пушки СД-44 прошли войсковые испытания. Постановлением СМ № 2329-1105 от 19.11.1954 г. пушка СД-44 была принята на вооружение.</w:t>
      </w:r>
    </w:p>
    <w:p w14:paraId="244AEF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1954 году завод № 9 переделал 88 пушек Д-44 в самодвижущиеся пушки СД-44, а в 1955 году еще 250.</w:t>
      </w:r>
    </w:p>
    <w:p w14:paraId="69C7D4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1957 году завод № 9 изготовил новых 109 пушек СД-44 и 150 СД-44Н (с ночным прицелом), а также переделал 100 пушек из Д-44 в СД-44.</w:t>
      </w:r>
    </w:p>
    <w:p w14:paraId="322FB2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Ствол и лафет СД-44 были взяты от Д-44 с небольшими изменениями. Баллистика и боеприпасы полностью совпадали с Д-44.</w:t>
      </w:r>
    </w:p>
    <w:p w14:paraId="6ADFB2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одну из станин пушки был установлен двигатель от мотоцикла типа</w:t>
      </w:r>
    </w:p>
    <w:p w14:paraId="22C985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М-72 мощностью 14 л.с. (4000 об/мин.) с обеспечением передачи через карданный вал, дифференциал, полуоси на оба колеса орудия.</w:t>
      </w:r>
    </w:p>
    <w:p w14:paraId="280ACE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СД-44 имела самовытаскиватель (барабан на колесах, трос на щите).</w:t>
      </w:r>
    </w:p>
    <w:p w14:paraId="419A6F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Колеса ведущие: 6,50 20, от автомобиля ГАЗ-АА, усиленные, с шиной ГК.</w:t>
      </w:r>
    </w:p>
    <w:p w14:paraId="5CA2BC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1947 года в КБ завода № 9 была спроектирована 85-мм дивизионная пушка "большой мощности" ЗИС-Д-44А. Пушка была получена наложением нового ствола с улучшенной баллистикой (вес снаряда 9,2 кг, начальная скорость 950 м/с) на лафет пушки ЗИС-Д-44. Опытный образец пушки ЗИС-Д-44А был закончен заводом № 9 26 апреля 1948 года. Пушка была испытана, но на вооружение не поступила.</w:t>
      </w:r>
    </w:p>
    <w:p w14:paraId="6A2693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1947 году в КБ завода № 9 была спроектирована 100-мм дивизионная "облегченная" пушка Д-47. Пушка была получена наложением нового 100-мм ствола на лафет пушки ЗИС-Д-44. Вес ее в боевом положении составлял около 2 тонн, вес снаряда 15,6 кг, начальная скорость 730 м/с. Опытный образец Д-47 был закончен заводом № 9 в декабре 1947 года. Пушка прошла заводские испытания, но на вооружение принята не была (3861).</w:t>
      </w:r>
    </w:p>
    <w:p w14:paraId="6506D17A" w14:textId="77777777" w:rsidR="00665165" w:rsidRPr="00925F26" w:rsidRDefault="00665165" w:rsidP="00925F26">
      <w:pPr>
        <w:autoSpaceDE w:val="0"/>
        <w:autoSpaceDN w:val="0"/>
        <w:adjustRightInd w:val="0"/>
        <w:jc w:val="both"/>
        <w:rPr>
          <w:color w:val="000000" w:themeColor="text1"/>
          <w:sz w:val="16"/>
          <w:szCs w:val="16"/>
        </w:rPr>
      </w:pPr>
    </w:p>
    <w:p w14:paraId="519F2D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8 мая 1945 года </w:t>
      </w:r>
      <w:proofErr w:type="gramStart"/>
      <w:r w:rsidRPr="00925F26">
        <w:rPr>
          <w:color w:val="000000" w:themeColor="text1"/>
          <w:sz w:val="16"/>
          <w:szCs w:val="16"/>
        </w:rPr>
        <w:t>в соответствии с распоряжения</w:t>
      </w:r>
      <w:proofErr w:type="gramEnd"/>
      <w:r w:rsidRPr="00925F26">
        <w:rPr>
          <w:color w:val="000000" w:themeColor="text1"/>
          <w:sz w:val="16"/>
          <w:szCs w:val="16"/>
        </w:rPr>
        <w:t xml:space="preserve"> СМ за № 6006 ср и 21 июля 1945 года в соответствии с приказом НКБ за № 269 завод № 52 начал восстанавливаться.</w:t>
      </w:r>
    </w:p>
    <w:p w14:paraId="629BD5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0F586B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пос. Тосно Ленинградской области, п/я 4</w:t>
      </w:r>
    </w:p>
    <w:p w14:paraId="4E0DD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завода – Мартынов (10024).</w:t>
      </w:r>
    </w:p>
    <w:p w14:paraId="031C37E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C986D4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вышло Постановление ГКО № 8451 О вывозе сахалинского угля в навигацию 1945 г. (7338, 6-9,10-15).</w:t>
      </w:r>
    </w:p>
    <w:p w14:paraId="2EA4518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0D76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вышло Постановление ГКО № 8452 Об использовании целлюлозно-бумажных предприятий в г. г. Тильзит, Кенигсберг, Клайпеда, Рагнит и Велау. РГАНИР, Фонд ГКО, д. 414, лл. 16-22 (11012).</w:t>
      </w:r>
    </w:p>
    <w:p w14:paraId="11D1FDE8" w14:textId="77777777" w:rsidR="00665165" w:rsidRPr="00925F26" w:rsidRDefault="00665165" w:rsidP="00925F26">
      <w:pPr>
        <w:autoSpaceDE w:val="0"/>
        <w:autoSpaceDN w:val="0"/>
        <w:adjustRightInd w:val="0"/>
        <w:jc w:val="both"/>
        <w:rPr>
          <w:color w:val="000000" w:themeColor="text1"/>
          <w:sz w:val="16"/>
          <w:szCs w:val="16"/>
        </w:rPr>
      </w:pPr>
    </w:p>
    <w:p w14:paraId="40065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вышло Постановление ГКО № 8453 Об обеспечении буровых работ Наркомата нефтяной промышленности буровым оборудованием и рабочей силой. РГАНИР, Фонд ГКО, д. 414, лл. 23-46, 47-54 (11012).</w:t>
      </w:r>
    </w:p>
    <w:p w14:paraId="4F47C952" w14:textId="77777777" w:rsidR="00665165" w:rsidRPr="00925F26" w:rsidRDefault="00665165" w:rsidP="00925F26">
      <w:pPr>
        <w:autoSpaceDE w:val="0"/>
        <w:autoSpaceDN w:val="0"/>
        <w:adjustRightInd w:val="0"/>
        <w:jc w:val="both"/>
        <w:rPr>
          <w:color w:val="000000" w:themeColor="text1"/>
          <w:sz w:val="16"/>
          <w:szCs w:val="16"/>
        </w:rPr>
      </w:pPr>
    </w:p>
    <w:p w14:paraId="100333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вышло Постановление ГКО № 8454 О проектировании и изготовлении опытных образцов радиолокаторов "Юпитер-III" и электрического ПУАЗО в НИИ-10 Наркомсудпрома. РГАНИР, Фонд ГКО, д. 414, лл. 55-58, 59-60 (11012).</w:t>
      </w:r>
    </w:p>
    <w:p w14:paraId="65DE2747" w14:textId="77777777" w:rsidR="00665165" w:rsidRPr="00925F26" w:rsidRDefault="00665165" w:rsidP="00925F26">
      <w:pPr>
        <w:autoSpaceDE w:val="0"/>
        <w:autoSpaceDN w:val="0"/>
        <w:adjustRightInd w:val="0"/>
        <w:jc w:val="both"/>
        <w:rPr>
          <w:color w:val="000000" w:themeColor="text1"/>
          <w:sz w:val="16"/>
          <w:szCs w:val="16"/>
        </w:rPr>
      </w:pPr>
    </w:p>
    <w:p w14:paraId="1695B453" w14:textId="77777777" w:rsidR="009E360D" w:rsidRPr="00925F26" w:rsidRDefault="009E360D" w:rsidP="00925F26">
      <w:pPr>
        <w:pStyle w:val="book"/>
        <w:ind w:firstLine="0"/>
        <w:jc w:val="both"/>
        <w:rPr>
          <w:color w:val="000000" w:themeColor="text1"/>
          <w:sz w:val="16"/>
          <w:szCs w:val="16"/>
        </w:rPr>
      </w:pPr>
      <w:r w:rsidRPr="00925F26">
        <w:rPr>
          <w:color w:val="000000" w:themeColor="text1"/>
          <w:sz w:val="16"/>
          <w:szCs w:val="16"/>
        </w:rPr>
        <w:t>К 8 мая 1945 г. в кригсмарине оставалось около четырехсот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 По договоренности с союзниками СССР получил следующие германские подводные лодки.</w:t>
      </w:r>
    </w:p>
    <w:p w14:paraId="08338C5A" w14:textId="77777777" w:rsidR="009E360D" w:rsidRPr="00925F26" w:rsidRDefault="009E360D" w:rsidP="00925F26">
      <w:pPr>
        <w:pStyle w:val="book"/>
        <w:ind w:firstLine="0"/>
        <w:jc w:val="both"/>
        <w:rPr>
          <w:color w:val="000000" w:themeColor="text1"/>
          <w:sz w:val="16"/>
          <w:szCs w:val="16"/>
        </w:rPr>
      </w:pPr>
      <w:r w:rsidRPr="00925F26">
        <w:rPr>
          <w:color w:val="000000" w:themeColor="text1"/>
          <w:sz w:val="16"/>
          <w:szCs w:val="16"/>
          <w:lang w:val="pl-PL"/>
        </w:rPr>
        <w:t xml:space="preserve">XXI </w:t>
      </w:r>
      <w:r w:rsidRPr="00925F26">
        <w:rPr>
          <w:color w:val="000000" w:themeColor="text1"/>
          <w:sz w:val="16"/>
          <w:szCs w:val="16"/>
        </w:rPr>
        <w:t>серии</w:t>
      </w:r>
      <w:r w:rsidRPr="00925F26">
        <w:rPr>
          <w:color w:val="000000" w:themeColor="text1"/>
          <w:sz w:val="16"/>
          <w:szCs w:val="16"/>
          <w:lang w:val="pl-PL"/>
        </w:rPr>
        <w:t xml:space="preserve">: U-3515, U-2529, U-3035, U-3041. </w:t>
      </w:r>
      <w:r w:rsidRPr="00925F26">
        <w:rPr>
          <w:color w:val="000000" w:themeColor="text1"/>
          <w:sz w:val="16"/>
          <w:szCs w:val="16"/>
        </w:rPr>
        <w:t>У нас эти лодки в 1946 г. получили номера: Н-27, Н-28, Н-29, Н-30 (Н — немецкая), а 9 июня 1949 г. их переименовали в Б-27, Б-28, Б-29 и Б-30. Эти лодки находились в боевом составе Балтийского флота почти 10 лет и во второй половине 1955 г. были разоружены и переведены в разряд учебно-тренировочных судов и зарядных станций. Самой долгой оказалась жизнь у U-3515, которую исключили из состава ВМФ СССР только 1 сентября 1972 г. и в 1973 г. сдали на лом. (Сх. 2)</w:t>
      </w:r>
    </w:p>
    <w:p w14:paraId="3C9C1503" w14:textId="77777777" w:rsidR="009E360D" w:rsidRPr="00925F26" w:rsidRDefault="009E360D" w:rsidP="00925F26">
      <w:pPr>
        <w:pStyle w:val="book"/>
        <w:ind w:firstLine="0"/>
        <w:jc w:val="both"/>
        <w:rPr>
          <w:color w:val="000000" w:themeColor="text1"/>
          <w:sz w:val="16"/>
          <w:szCs w:val="16"/>
        </w:rPr>
      </w:pPr>
      <w:r w:rsidRPr="00925F26">
        <w:rPr>
          <w:color w:val="000000" w:themeColor="text1"/>
          <w:sz w:val="16"/>
          <w:szCs w:val="16"/>
        </w:rPr>
        <w:t>VII серии: союзники передали нам 4 лодки — U-1057, U-1058, U-1064 и U-1305. В СССР они получили номера Н-22, Н-23, Н-24 и Н-25, а с 9 июня 1949 г. — С-81, С-82, С-83 и С-84. После почти десятилетней службы в Балтийском флоте в конце 1955 г.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 Подводная лодка С-84 (U-1305) у берегов Новой Земли была потоплена торпедой с ядерной боевой частью, выпущенной подводной лодкой С-144 с расстояния 10 км. С-84 находилась в крейсерском положении в 250 м от эпицентра взрыва.</w:t>
      </w:r>
    </w:p>
    <w:p w14:paraId="4ADEF665" w14:textId="77777777" w:rsidR="009E360D" w:rsidRPr="00925F26" w:rsidRDefault="009E360D" w:rsidP="00925F26">
      <w:pPr>
        <w:pStyle w:val="book"/>
        <w:ind w:firstLine="0"/>
        <w:jc w:val="both"/>
        <w:rPr>
          <w:color w:val="000000" w:themeColor="text1"/>
          <w:sz w:val="16"/>
          <w:szCs w:val="16"/>
        </w:rPr>
      </w:pPr>
      <w:r w:rsidRPr="00925F26">
        <w:rPr>
          <w:color w:val="000000" w:themeColor="text1"/>
          <w:sz w:val="16"/>
          <w:szCs w:val="16"/>
        </w:rPr>
        <w:t>IX серия: союзники передали только одну подводную лодку U-1231. У нас ее назвали Н-26, а с 9 июня 1949 г. — Б-26. 17 августа 1953 г. ее разоружили и переоборудовали в «кабинет боевой подготовки», а с 27 декабря 1956 г. — в учебно-тренировочное судно. Исключили Б-26 из состава ВМФ 13 января 1968 г.</w:t>
      </w:r>
    </w:p>
    <w:p w14:paraId="669F6684" w14:textId="77777777" w:rsidR="009E360D" w:rsidRPr="00925F26" w:rsidRDefault="009E360D" w:rsidP="00925F26">
      <w:pPr>
        <w:pStyle w:val="book"/>
        <w:ind w:firstLine="0"/>
        <w:jc w:val="both"/>
        <w:rPr>
          <w:color w:val="000000" w:themeColor="text1"/>
          <w:sz w:val="16"/>
          <w:szCs w:val="16"/>
        </w:rPr>
      </w:pPr>
      <w:r w:rsidRPr="00925F26">
        <w:rPr>
          <w:color w:val="000000" w:themeColor="text1"/>
          <w:sz w:val="16"/>
          <w:szCs w:val="16"/>
        </w:rPr>
        <w:t>Малые электролодки XXIII серии немцы строили в Гамбурге и Киле, захваченными союзниками. И лишь</w:t>
      </w:r>
    </w:p>
    <w:p w14:paraId="0C2CD064" w14:textId="77777777" w:rsidR="009E360D" w:rsidRPr="00925F26" w:rsidRDefault="009E360D" w:rsidP="00925F26">
      <w:pPr>
        <w:pStyle w:val="book"/>
        <w:ind w:firstLine="0"/>
        <w:jc w:val="both"/>
        <w:rPr>
          <w:color w:val="000000" w:themeColor="text1"/>
          <w:sz w:val="16"/>
          <w:szCs w:val="16"/>
        </w:rPr>
      </w:pPr>
    </w:p>
    <w:p w14:paraId="2E43382A" w14:textId="78DA552D" w:rsidR="00BB2377" w:rsidRPr="00925F26" w:rsidRDefault="00BB2377"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К 8 мая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в кригсмарине оставалось около четырехсот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w:t>
      </w:r>
      <w:r w:rsidRPr="00925F26">
        <w:rPr>
          <w:color w:val="000000" w:themeColor="text1"/>
          <w:sz w:val="16"/>
          <w:szCs w:val="16"/>
        </w:rPr>
        <w:lastRenderedPageBreak/>
        <w:t>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w:t>
      </w:r>
    </w:p>
    <w:p w14:paraId="63CE60B2" w14:textId="3C15705E" w:rsidR="00BB2377" w:rsidRPr="00925F26" w:rsidRDefault="00BB2377"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По договоренности с союзниками СССР получил следующие германские подводные лодки. XXI серии: U-3515, U-2529, U-3035, U-3041. У нас эти лодки в </w:t>
      </w:r>
      <w:proofErr w:type="gramStart"/>
      <w:r w:rsidRPr="00925F26">
        <w:rPr>
          <w:color w:val="000000" w:themeColor="text1"/>
          <w:sz w:val="16"/>
          <w:szCs w:val="16"/>
        </w:rPr>
        <w:t>1946</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получили номера: Н-27, Н-28, Н-29, Н-30 (Н — немецкая), а 9 июня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их переименовали в Б-27, Б-28, Б-29 и Б-30. Эти лодки находились в боевом составе Балтийского флота почти 10 лет и во второй половине </w:t>
      </w:r>
      <w:proofErr w:type="gramStart"/>
      <w:r w:rsidRPr="00925F26">
        <w:rPr>
          <w:color w:val="000000" w:themeColor="text1"/>
          <w:sz w:val="16"/>
          <w:szCs w:val="16"/>
        </w:rPr>
        <w:t>1955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были разоружены и переведены в разряд учебно-тренировочных судов и зарядных станций.</w:t>
      </w:r>
    </w:p>
    <w:p w14:paraId="7F608AC4" w14:textId="7D124FAB" w:rsidR="00BB2377" w:rsidRPr="00925F26" w:rsidRDefault="00BB2377"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Самой долгой оказалась жизнь у U-3515, которую исключили из состава ВМФ СССР только 1 сентября </w:t>
      </w:r>
      <w:proofErr w:type="gramStart"/>
      <w:r w:rsidRPr="00925F26">
        <w:rPr>
          <w:color w:val="000000" w:themeColor="text1"/>
          <w:sz w:val="16"/>
          <w:szCs w:val="16"/>
        </w:rPr>
        <w:t>1972</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и в </w:t>
      </w:r>
      <w:proofErr w:type="gramStart"/>
      <w:r w:rsidRPr="00925F26">
        <w:rPr>
          <w:color w:val="000000" w:themeColor="text1"/>
          <w:sz w:val="16"/>
          <w:szCs w:val="16"/>
        </w:rPr>
        <w:t>1973</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сдали на лом.</w:t>
      </w:r>
    </w:p>
    <w:p w14:paraId="35B875F1" w14:textId="51FD3DFE" w:rsidR="00BB2377" w:rsidRPr="00925F26" w:rsidRDefault="00BB2377"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VII серии: союзники передали нам 4 лодки — U-1057, U-1058, U-1064 и U-1305. В СССР они получили номера Н-22, Н-23, Н-24 и Н-25, а с 9 июня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 С-81, С-82, С-83 и С-84. После почти десятилетней службы в Балтийском флоте в конце </w:t>
      </w:r>
      <w:proofErr w:type="gramStart"/>
      <w:r w:rsidRPr="00925F26">
        <w:rPr>
          <w:color w:val="000000" w:themeColor="text1"/>
          <w:sz w:val="16"/>
          <w:szCs w:val="16"/>
        </w:rPr>
        <w:t>1955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w:t>
      </w:r>
    </w:p>
    <w:p w14:paraId="00917865" w14:textId="630D4AB9" w:rsidR="00BB2377" w:rsidRPr="00925F26" w:rsidRDefault="00BB2377"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Подводная лодка С-84 (U-1305) у берегов Новой Земли была потоплена торпедой с ядерной боевой частью, выпущенной подводной лодкой С-144 с расстояния </w:t>
      </w:r>
      <w:proofErr w:type="gramStart"/>
      <w:r w:rsidRPr="00925F26">
        <w:rPr>
          <w:color w:val="000000" w:themeColor="text1"/>
          <w:sz w:val="16"/>
          <w:szCs w:val="16"/>
        </w:rPr>
        <w:t>10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 С-84 находилась в крейсерском положении в </w:t>
      </w:r>
      <w:proofErr w:type="gramStart"/>
      <w:r w:rsidRPr="00925F26">
        <w:rPr>
          <w:color w:val="000000" w:themeColor="text1"/>
          <w:sz w:val="16"/>
          <w:szCs w:val="16"/>
        </w:rPr>
        <w:t>250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 от эпицентра взрыва.</w:t>
      </w:r>
    </w:p>
    <w:p w14:paraId="67C465FF" w14:textId="1232E50B" w:rsidR="00BB2377" w:rsidRPr="00925F26" w:rsidRDefault="00BB2377"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IX серия: союзники передали только одну подводную лодку U-1231. У нас ее назвали Н-26, а с 9 июня </w:t>
      </w:r>
      <w:proofErr w:type="gramStart"/>
      <w:r w:rsidRPr="00925F26">
        <w:rPr>
          <w:color w:val="000000" w:themeColor="text1"/>
          <w:sz w:val="16"/>
          <w:szCs w:val="16"/>
        </w:rPr>
        <w:t>1949</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Б-26. 17 августа </w:t>
      </w:r>
      <w:proofErr w:type="gramStart"/>
      <w:r w:rsidRPr="00925F26">
        <w:rPr>
          <w:color w:val="000000" w:themeColor="text1"/>
          <w:sz w:val="16"/>
          <w:szCs w:val="16"/>
        </w:rPr>
        <w:t>1953</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ее разоружили и переоборудовали в «кабинет боевой подготовки», а с 27 декабря </w:t>
      </w:r>
      <w:proofErr w:type="gramStart"/>
      <w:r w:rsidRPr="00925F26">
        <w:rPr>
          <w:color w:val="000000" w:themeColor="text1"/>
          <w:sz w:val="16"/>
          <w:szCs w:val="16"/>
        </w:rPr>
        <w:t>1956</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в учебно-тренировочное судно. Исключили Б-26 из состава ВМФ 13 января </w:t>
      </w:r>
      <w:proofErr w:type="gramStart"/>
      <w:r w:rsidRPr="00925F26">
        <w:rPr>
          <w:color w:val="000000" w:themeColor="text1"/>
          <w:sz w:val="16"/>
          <w:szCs w:val="16"/>
        </w:rPr>
        <w:t>1968</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(19682)</w:t>
      </w:r>
    </w:p>
    <w:p w14:paraId="7489E763" w14:textId="77777777" w:rsidR="00BB2377" w:rsidRPr="00925F26" w:rsidRDefault="00BB2377" w:rsidP="00925F26">
      <w:pPr>
        <w:jc w:val="both"/>
        <w:rPr>
          <w:color w:val="000000" w:themeColor="text1"/>
          <w:sz w:val="16"/>
          <w:szCs w:val="16"/>
        </w:rPr>
      </w:pPr>
    </w:p>
    <w:p w14:paraId="697EC10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EBFA0A0" w14:textId="77777777" w:rsidR="00665165" w:rsidRPr="00925F26" w:rsidRDefault="00665165" w:rsidP="00925F26">
      <w:pPr>
        <w:autoSpaceDE w:val="0"/>
        <w:autoSpaceDN w:val="0"/>
        <w:adjustRightInd w:val="0"/>
        <w:jc w:val="both"/>
        <w:rPr>
          <w:iCs/>
          <w:color w:val="000000" w:themeColor="text1"/>
          <w:sz w:val="16"/>
          <w:szCs w:val="16"/>
        </w:rPr>
      </w:pPr>
    </w:p>
    <w:p w14:paraId="588202B9" w14:textId="77777777" w:rsidR="009E360D" w:rsidRPr="00925F26" w:rsidRDefault="009E360D" w:rsidP="00925F26">
      <w:pPr>
        <w:jc w:val="both"/>
        <w:rPr>
          <w:color w:val="000000" w:themeColor="text1"/>
          <w:sz w:val="16"/>
          <w:szCs w:val="16"/>
        </w:rPr>
      </w:pPr>
      <w:r w:rsidRPr="00925F26">
        <w:rPr>
          <w:color w:val="000000" w:themeColor="text1"/>
          <w:sz w:val="16"/>
          <w:szCs w:val="16"/>
        </w:rPr>
        <w:t>8 мая в 1945 году оперативная сводка Совинформбюро:</w:t>
      </w:r>
    </w:p>
    <w:p w14:paraId="0EAF62EE" w14:textId="77777777" w:rsidR="009E360D" w:rsidRPr="00925F26" w:rsidRDefault="009E360D" w:rsidP="00925F26">
      <w:pPr>
        <w:jc w:val="both"/>
        <w:rPr>
          <w:color w:val="000000" w:themeColor="text1"/>
          <w:sz w:val="16"/>
          <w:szCs w:val="16"/>
        </w:rPr>
      </w:pPr>
      <w:r w:rsidRPr="00925F26">
        <w:rPr>
          <w:color w:val="000000" w:themeColor="text1"/>
          <w:sz w:val="16"/>
          <w:szCs w:val="16"/>
        </w:rPr>
        <w:t>«В течение 8 мая войска 3-го Белорусского фронта, продолжая бои по очищению от противника косы Фриш-Нерунг, заняли населённые пункты Нойе Вельт и Фогельзанг.</w:t>
      </w:r>
    </w:p>
    <w:p w14:paraId="7972F144" w14:textId="77777777" w:rsidR="009E360D" w:rsidRPr="00925F26" w:rsidRDefault="009E360D" w:rsidP="00925F26">
      <w:pPr>
        <w:jc w:val="both"/>
        <w:rPr>
          <w:color w:val="000000" w:themeColor="text1"/>
          <w:sz w:val="16"/>
          <w:szCs w:val="16"/>
        </w:rPr>
      </w:pPr>
      <w:r w:rsidRPr="00925F26">
        <w:rPr>
          <w:color w:val="000000" w:themeColor="text1"/>
          <w:sz w:val="16"/>
          <w:szCs w:val="16"/>
        </w:rPr>
        <w:t>Войска 1-го Белорусского фронта за 7 мая, при выходе на реку Эльба, взяли в плен 7.150 немецких солдат и офицеров и захватили следующие трофеи: танков—28, полевых орудий — 513, пулемётов — 402, автомашин — 1.700, лошадей — 3.700, подвод с военными грузами — 2.200.</w:t>
      </w:r>
    </w:p>
    <w:p w14:paraId="499EAF5E" w14:textId="77777777" w:rsidR="009E360D" w:rsidRPr="00925F26" w:rsidRDefault="009E360D" w:rsidP="00925F26">
      <w:pPr>
        <w:jc w:val="both"/>
        <w:rPr>
          <w:color w:val="000000" w:themeColor="text1"/>
          <w:sz w:val="16"/>
          <w:szCs w:val="16"/>
        </w:rPr>
      </w:pPr>
      <w:r w:rsidRPr="00925F26">
        <w:rPr>
          <w:color w:val="000000" w:themeColor="text1"/>
          <w:sz w:val="16"/>
          <w:szCs w:val="16"/>
        </w:rPr>
        <w:t>Войска 1-го Украинского фронта после двухдневных боёв сломили сопротивление противника и 8 мая овладели городом Дрезден —важным узлом дорог и мощным опорным пунктом обороны немцев в Саксонии, а также заняли города Мюгельн, Ломмацш, Мейссен, Лайсниг, Дебельн, Харта, Вальдхайм, Росвайн, Носсен Вильсдруфф, Хайнихен, Франкенберг, Фрейберг, Гарандт, Одеран, Сайда и, перейдя чехословацкую границу южнее Дрездена, заняли на территории Чехословакии города Мост, Духцов, Теплице-Шанов. Одновременно восточнее Дрездена войска фронта, сломив сопротивление противника, заняли города Радеберг, Лобау, Райхенбах, Бернштадт, Герлиц. Юго-западнее и южнее Бреславля войска фронта заняли города Штригау, Фрейбург, Мюнстерберг, Оттмахау.</w:t>
      </w:r>
    </w:p>
    <w:p w14:paraId="67BA981D" w14:textId="77777777" w:rsidR="009E360D" w:rsidRPr="00925F26" w:rsidRDefault="009E360D" w:rsidP="00925F26">
      <w:pPr>
        <w:jc w:val="both"/>
        <w:rPr>
          <w:color w:val="000000" w:themeColor="text1"/>
          <w:sz w:val="16"/>
          <w:szCs w:val="16"/>
        </w:rPr>
      </w:pPr>
      <w:r w:rsidRPr="00925F26">
        <w:rPr>
          <w:color w:val="000000" w:themeColor="text1"/>
          <w:sz w:val="16"/>
          <w:szCs w:val="16"/>
        </w:rPr>
        <w:t>Войска 4-го Украинского фронта, продолжая наступление, после ожесточённых боёв 8 мая овладели городом и крупным железнодорожным узлом Оломоуц — важным опорным пунктом обороны немцев на реке Морава, а также заняли города Вюрбенталь, Энгельсберг, Ремерштадт, Бергштадт, Моравский Шенберг, Хоенштадт, Границе, Пржеров. В боях за 7 мая войска фронта взяли в плен до 1.000 немецких солдат и офицеров.</w:t>
      </w:r>
    </w:p>
    <w:p w14:paraId="7C6A911C" w14:textId="77777777" w:rsidR="009E360D" w:rsidRPr="00925F26" w:rsidRDefault="009E360D" w:rsidP="00925F26">
      <w:pPr>
        <w:jc w:val="both"/>
        <w:rPr>
          <w:color w:val="000000" w:themeColor="text1"/>
          <w:sz w:val="16"/>
          <w:szCs w:val="16"/>
        </w:rPr>
      </w:pPr>
      <w:r w:rsidRPr="00925F26">
        <w:rPr>
          <w:color w:val="000000" w:themeColor="text1"/>
          <w:sz w:val="16"/>
          <w:szCs w:val="16"/>
        </w:rPr>
        <w:t>Войска 2-го Украинского фронта 8 мая овладели в Чехословакии городами Яромержице, Зноймо и на территории Австрии городами Голлабрунн и Штоккерау — важными узлами коммуникаций и сильными опорными пунктами обороны немцев.</w:t>
      </w:r>
    </w:p>
    <w:p w14:paraId="1F4DD3B0" w14:textId="77777777" w:rsidR="009E360D" w:rsidRPr="00925F26" w:rsidRDefault="009E360D" w:rsidP="00925F26">
      <w:pPr>
        <w:jc w:val="both"/>
        <w:rPr>
          <w:color w:val="000000" w:themeColor="text1"/>
          <w:sz w:val="16"/>
          <w:szCs w:val="16"/>
        </w:rPr>
      </w:pPr>
      <w:r w:rsidRPr="00925F26">
        <w:rPr>
          <w:color w:val="000000" w:themeColor="text1"/>
          <w:sz w:val="16"/>
          <w:szCs w:val="16"/>
        </w:rPr>
        <w:t>На других участках фронта существенных изменений не было.</w:t>
      </w:r>
    </w:p>
    <w:p w14:paraId="07BECBCD" w14:textId="77777777" w:rsidR="009E360D" w:rsidRPr="00925F26" w:rsidRDefault="009E360D" w:rsidP="00925F26">
      <w:pPr>
        <w:jc w:val="both"/>
        <w:rPr>
          <w:color w:val="000000" w:themeColor="text1"/>
          <w:sz w:val="16"/>
          <w:szCs w:val="16"/>
        </w:rPr>
      </w:pPr>
      <w:r w:rsidRPr="00925F26">
        <w:rPr>
          <w:color w:val="000000" w:themeColor="text1"/>
          <w:sz w:val="16"/>
          <w:szCs w:val="16"/>
        </w:rPr>
        <w:t>Войска 1-го Украинского фронта сегодня овладели городом Дрезден. Два дня тому назад наши разведывательные отряды атаковали немцев северо-западнее Дрездена и выбили их из укрепленных позиций. Затем в бой вступили основные советские силы. Развивая стремительное наступление между реками Эльба и Мульде, наши подвижные соединения и пехота перерезали автостраду Дрезден – Хемниц. Одновременно наши войска начали штурм города Дрездена – мощного опорного пункта обороны немцев. Советские танкисты, наступающие с запада, во встречном бою разгромили группу танков противника и ворвались на западную окраину Дрездена. Другие наши части овладели северной частью города, с хода переправились через реку Эльбу и завязали бои в центре Дрездена. После двухдневных боев наши войска сломили сопротивление противника и овладели Дрезденом – главным городом Саксонии. В боях за Дрезден гитлеровцы нанесли тяжелые потери. Только на западных окраинах города уничтожено до двух тысяч немецких солдат и офицеров, подбито 27 танков и бронетранспортеров противника.</w:t>
      </w:r>
    </w:p>
    <w:p w14:paraId="3D9D282D" w14:textId="77777777" w:rsidR="009E360D" w:rsidRPr="00925F26" w:rsidRDefault="009E360D" w:rsidP="00925F26">
      <w:pPr>
        <w:jc w:val="both"/>
        <w:rPr>
          <w:color w:val="000000" w:themeColor="text1"/>
          <w:sz w:val="16"/>
          <w:szCs w:val="16"/>
        </w:rPr>
      </w:pPr>
      <w:r w:rsidRPr="00925F26">
        <w:rPr>
          <w:color w:val="000000" w:themeColor="text1"/>
          <w:sz w:val="16"/>
          <w:szCs w:val="16"/>
        </w:rPr>
        <w:t>Дрезден – крупный промышленный центр Германии. В нем имеются авиастроительные, оружейные, машиностроительные, химические и другие заводы. В Дрездене насчитывалось более 600 тысяч жителей.</w:t>
      </w:r>
    </w:p>
    <w:p w14:paraId="511B22BC" w14:textId="77777777" w:rsidR="009E360D" w:rsidRPr="00925F26" w:rsidRDefault="009E360D" w:rsidP="00925F26">
      <w:pPr>
        <w:jc w:val="both"/>
        <w:rPr>
          <w:color w:val="000000" w:themeColor="text1"/>
          <w:sz w:val="16"/>
          <w:szCs w:val="16"/>
        </w:rPr>
      </w:pPr>
      <w:r w:rsidRPr="00925F26">
        <w:rPr>
          <w:color w:val="000000" w:themeColor="text1"/>
          <w:sz w:val="16"/>
          <w:szCs w:val="16"/>
        </w:rPr>
        <w:t>Южнее Дрездена наши войска перешли чехословацкую границу, вступили на территорию Чехословакии и освободили от немецких захватчиков города Мост, Духцов и Теплице-Шанов. Город Теплице-Шанов расположен в 70 километрах от столицы Чехословакии Праги.</w:t>
      </w:r>
    </w:p>
    <w:p w14:paraId="19105EB7" w14:textId="77777777" w:rsidR="009E360D" w:rsidRPr="00925F26" w:rsidRDefault="009E360D" w:rsidP="00925F26">
      <w:pPr>
        <w:jc w:val="both"/>
        <w:rPr>
          <w:color w:val="000000" w:themeColor="text1"/>
          <w:sz w:val="16"/>
          <w:szCs w:val="16"/>
        </w:rPr>
      </w:pPr>
      <w:r w:rsidRPr="00925F26">
        <w:rPr>
          <w:color w:val="000000" w:themeColor="text1"/>
          <w:sz w:val="16"/>
          <w:szCs w:val="16"/>
        </w:rPr>
        <w:t>Войска 4-го Украинского фронта продолжали наступление. Советские части, сбивая противника с промежуточных рубежей и подавляя сопротивление гарнизонов вражеских опорных пунктов, продвинулись вперед на 20 километров. Ожесточенные бои произошли за важный узел немецкой обороны на реке Морава – город Оломоуц. Прорвав оборонительные укрепления противника, наши бойцы ворвались на улицы города. Гитлеровцы укрепились в каменных зданиях, но не выдержали стремительных ударов наших войск. К исходу дня крупный немецкий гарнизон был разгромлен и город Оломоуц очищен от противника. На подступах к городу и его улицах осталось много вражеских трупов. Захвачено 13 паровозов, 378 вагонов с грузами и много других трофеев.</w:t>
      </w:r>
    </w:p>
    <w:p w14:paraId="240E52D9" w14:textId="77777777" w:rsidR="009E360D" w:rsidRPr="00925F26" w:rsidRDefault="009E360D" w:rsidP="00925F26">
      <w:pPr>
        <w:jc w:val="both"/>
        <w:rPr>
          <w:color w:val="000000" w:themeColor="text1"/>
          <w:sz w:val="16"/>
          <w:szCs w:val="16"/>
        </w:rPr>
      </w:pPr>
      <w:r w:rsidRPr="00925F26">
        <w:rPr>
          <w:color w:val="000000" w:themeColor="text1"/>
          <w:sz w:val="16"/>
          <w:szCs w:val="16"/>
        </w:rPr>
        <w:t>Авиацией Краснознаменного Балтийского флота в портах острова Борнхольм потоплены 4 транспорта и один сторожевой корабль противника.»</w:t>
      </w:r>
    </w:p>
    <w:p w14:paraId="548D036E" w14:textId="77777777" w:rsidR="009E360D" w:rsidRPr="00925F26" w:rsidRDefault="009E360D" w:rsidP="00925F26">
      <w:pPr>
        <w:jc w:val="both"/>
        <w:rPr>
          <w:color w:val="000000" w:themeColor="text1"/>
          <w:sz w:val="16"/>
          <w:szCs w:val="16"/>
        </w:rPr>
      </w:pPr>
    </w:p>
    <w:p w14:paraId="40C9806E"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8 мая 1945 стал последним днем войны для летчиков 571 шап. Этот день оказался и самым драматичным боевым днем.</w:t>
      </w:r>
    </w:p>
    <w:p w14:paraId="0D50E444"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Боевым приказом командира 224 шад генерал-майора Котельникова полку ставилась задача нанести в течение дня три бомбоштурмовых удара в составе полка в районе Кржелов, Пржикази, Унговице, Льштадт, Синице.</w:t>
      </w:r>
    </w:p>
    <w:p w14:paraId="7351B22F"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Планирование боевых вылетов выполнялось исходя из наличия в составе полка к исходу 7 мая 27 боеготовых самолетов Ил -10, что составляло три группы по 9 самолетов в каждой.</w:t>
      </w:r>
    </w:p>
    <w:p w14:paraId="202D98BB"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Предполагалось, что при выполнении каждого полкового вылета группы штурмовиков будут вылетать с интервалами в 15 -30 минут. Удар первой группы по целям противника планировался на 10.20, 2-й на 10.40, 3-й - на 11.05. Затем следовал двухчасовой перерыв, и все повторялось заново. Всего планировалось выполнить 88 самолето -вылетов. Прикрытие каждой группы обеспечивалось истребителями от 181 иап в соотношении 2:1.</w:t>
      </w:r>
    </w:p>
    <w:p w14:paraId="104907E4"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«Распечатала» день группа старшего лейтенанта Смирнова в составе 8 самолетов Ил-10, которая вылетела в 9.40 для нанесения бомбоштурмового удара в районе Горка, Скрепень, Кржелов. Штурмовиков сопровождали 6 Ла-5. Полет к цели выполнялся на высоте 800 м в строю правый пеленг. Линию фронта группа пересекла на высоте 1200 м. На подходе к цели штурмовики были перенацелены на другую цель - войска и техника в районе Кржелов. Замкнув левый круг, экипажи Ил-10 выполнили «холостой» заход. Убедившись о наличии противника в окопах юго-восточнее Кржелов и автомашин в Кржелов, группа приступила к штурмовке. Атаки производились с высоты 1200 м под углом пикирования 25-30°. Стрельба из пушек и пулеметов с дистанции 400-500 м, бомбометание - на выходе из пикирования с высоты 400-450 м.</w:t>
      </w:r>
    </w:p>
    <w:p w14:paraId="5CC07404"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После 6 заходов старший лейтенант Смирнов дал команду уходить, так как боекомплект полностью израсходован. Но станция наведения «Белка-12» попросила произвести еще два «холостых» захода: «пехота переходит в атаку, поддержите». Штурмовики не отказали. От наземного командования получена благодарность. На отходе от цели появились два «мессершмитта», но атаковать не решились.</w:t>
      </w:r>
    </w:p>
    <w:p w14:paraId="5E2FB483"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В середине дня на 8 самолетах полка почти в одно время вышли из строя моторы. При этом 5 отказов АМ -42 произошло на земле и три - в воздухе. В результате лейтенант Китайгородский, младший лейтенант Прищепа и младший лейтенант Титов совершили вынужденные посадки вне аэродрома. Впоследствии их «десятки» (зав. № 1893203, 1890604 и 1892604) были списаны.</w:t>
      </w:r>
    </w:p>
    <w:p w14:paraId="672CF77B"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Осмотр моторов, отказавших на земле (зав. № 45317, 45541, 45506, 45405, 45663), показал, что основной причиной выхода их из строя является разрушение крыльчатки нагнетателя мотора. Аналогичный дефект был обнаружен и на моторах всех Ил-10, совершивших вынужденные посадки.</w:t>
      </w:r>
    </w:p>
    <w:p w14:paraId="431F071F"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Массовый выход из строя матчасти поставил под угрозу выполнение полком плановой таблицы боевых вылетов. Однако комдив Котельников потребовал вне зависимости от обстоятельств обеспечить производство всех запланированных на день вылетов. В итоге наиболее оп ытным летчикам полка пришлось по 5 раз вылетать на выполнение боевого задания.</w:t>
      </w:r>
    </w:p>
    <w:p w14:paraId="1860F726"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На исходе дня в 20.20 из штаба дивизии пришло приказание: «Подготовить и выделить группу из 9 Ил-10 для нанесения бомбоштурмового удара по отступающему противнику по дорогам в районе Синице».</w:t>
      </w:r>
    </w:p>
    <w:p w14:paraId="5AF619D6"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Уже через 15 минут вылетела группа старшего лейтенанта Белова в составе 9 Ил-10. Сбор экипажей после взлета был организованным и быстрым. Истребители прикрытия пристроились к штурмовикам через 3 минуты.</w:t>
      </w:r>
    </w:p>
    <w:p w14:paraId="2E4A06F4"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Лететь по маршруту экипажам пришлось в сильной густой дымке с резко ограниченной до 1 км видимостью. Тем не менее на цель вышли точно и произвели атаку с ходу, поскольку цель представляла собой «длинную с небольшими интервалами цепочку движения автомашин, повозок, артиллерии» - промахнуться было сложно. Так поздно немцы не ожидали налета советских штурмовиков. Поэтому зенитного огня не было. Группа прошлась вдоль колонны, и летчики успели выполнить несколько атак. В результате, по докладам экипажей, было уничтожено и повреждено до 20 автомашин и создан большой очаг пожара.</w:t>
      </w:r>
    </w:p>
    <w:p w14:paraId="68F97ACE"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После работы над целью группа собралась также быстро и организованно. На свой аэродром возвращались экипажи уже в сумерках. На подходе к аэродрому старший лейтенант Белов подал команду ведомым: «Посадка с зажженными фарами». К этому времени на самом аэродроме уже был организован старт, зажгли факелы и </w:t>
      </w:r>
      <w:r w:rsidRPr="00925F26">
        <w:rPr>
          <w:rStyle w:val="107"/>
          <w:rFonts w:eastAsiaTheme="minorHAnsi"/>
          <w:color w:val="000000" w:themeColor="text1"/>
          <w:sz w:val="16"/>
          <w:szCs w:val="16"/>
        </w:rPr>
        <w:lastRenderedPageBreak/>
        <w:t>пускали ракеты. Летчики, не имевшие до этого опыта боевой работы ночью, в 21.31 благополучно произвели посадку. Боевая работа 571-го штурмового авиаполка в Великой Отечественной войне закончилась.</w:t>
      </w:r>
    </w:p>
    <w:p w14:paraId="45E92B92"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Уже на следующий день после окончания боевых действий в полк из управления 8 ВА прибыла специальная комиссия во главе с начальником отдела эксплуатации армии подполковником Ивановым. Для комиссии с четырех исправных самолетов Ил-10 (зав. № 1891903, 1893603, 1894403, 1890903), выбранных членами комиссии наугад, были сняты моторы. На всех моторах была обнаружена «большая разработка валиков импеллеров, которые имели большой люфт, а также обнаружено в нагнетателях много пыли и песку». Вывод комиссии был однозначен: самолеты с такими моторами в полет выпускать нельзя.</w:t>
      </w:r>
    </w:p>
    <w:p w14:paraId="1D3947BF"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21 мая в полку работала комиссия ВВС КА, для которой были сняты наугад еще два мотора («десятки» с зав. № 1892903 и № 1891404). Осмотр моторов показал, что оба АМ-42 имеют «большой люфт между основной крыльчаткой и направляющей в самих </w:t>
      </w:r>
      <w:proofErr w:type="gramStart"/>
      <w:r w:rsidRPr="00925F26">
        <w:rPr>
          <w:rStyle w:val="107"/>
          <w:rFonts w:eastAsiaTheme="minorHAnsi"/>
          <w:color w:val="000000" w:themeColor="text1"/>
          <w:sz w:val="16"/>
          <w:szCs w:val="16"/>
        </w:rPr>
        <w:t>шлицах,/..</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в нагнетателях также много пыли». Выводы те же: самолеты к эксплуатации допускать нельзя.</w:t>
      </w:r>
    </w:p>
    <w:p w14:paraId="39823DB5" w14:textId="77777777" w:rsidR="00F94742" w:rsidRPr="00925F26" w:rsidRDefault="00F94742"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Всего же «по причине производственно-конструктивных дефектов нагнетателя» из строя вышли 17 моторов АМ-42. Как указывалось в отчете старшего инженера 571 шап майора Жиленкова, «для восстановления всех самолетов полку требуется 14 моторов АМ-42 и 18 нагнетателей». Фактически 571 шап утратил боеспособность.</w:t>
      </w:r>
    </w:p>
    <w:p w14:paraId="548621FE"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В середине июня с авиазавода № 24 прибыла бригада во главе с «механиком Кузнецовым и представителем НКАП инженером Серебряковым». В ее задачу входила замена нагнетателей на всех моторах. Кроме этого, с авиазавода № 18 были «доставлены добавочные фильтры для постановки снаружи всасывающей трубы.» (17490).</w:t>
      </w:r>
    </w:p>
    <w:p w14:paraId="38D2F3ED" w14:textId="77777777" w:rsidR="00F94742" w:rsidRPr="00925F26" w:rsidRDefault="00F94742" w:rsidP="00925F26">
      <w:pPr>
        <w:jc w:val="both"/>
        <w:rPr>
          <w:color w:val="000000" w:themeColor="text1"/>
          <w:sz w:val="16"/>
          <w:szCs w:val="16"/>
        </w:rPr>
      </w:pPr>
    </w:p>
    <w:p w14:paraId="0FE49F18"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8 мая 1945 года, свой первый боевой вылет на Ил-10 выполнили экипажи 118-го гвардейского штурмового авиационного полка.</w:t>
      </w:r>
    </w:p>
    <w:p w14:paraId="50B826F2"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После окончания переучивания в 1 заб летный и технический состав полка только к 19 апреля 1945 года сумел собраться на аэродроме г. Шяуляй. Полк в составе 40 экипажей и 40 самолетов Ил-10 вошел в состав 225 шад 15 ВА. Сразу же по прибытии полка на аэродром г. Шяуляй летный состав приступил к интенсивной учебно-боевой подготовке по программе, утвержденной лично командиром 225 шад полковником Корнуковым. К началу боевых действий из общего числа имевшихся в наличии экипажей только 4 экипажа не закончили программу по вводу в бой. Остальные экипажи могли выполнять боевые задания днем в простых метеоусловиях.</w:t>
      </w:r>
    </w:p>
    <w:p w14:paraId="43BAF9D7"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Уже через неделю при очередном техническом обслуживании на трех самолетах была обнаружена остаточная деформация обшивки центроплана и консоли крыла.</w:t>
      </w:r>
    </w:p>
    <w:p w14:paraId="770F8478"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Так, на Ил-10 зав. № 102018 деформация наблюдалась с правой стороны центроплана, между лонжеронами у пятой нервюр и на левой плоскости, между лонжеронами у третьей нервюры. На самолете зав. № 105035 была частично деформирована обшивка между лонжеронами на правой плоскости у 3-й и 7-й нервюры и на левой плоскости у 7-й нервюры. На «десятке» зав. № 104042 обшивка деформировалась на правой плоскости между лонжеронами у 3-й нервюры. При этом высота «волны» деформации обшивки достигала 7-8 мм. На всех трех самолетах наблюдалось заметное «ослабление отдельных заклепок крепления обшивки к нервюрам на участках, имеющих деформацию».</w:t>
      </w:r>
    </w:p>
    <w:p w14:paraId="2959E7DB"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Отметим, что к этому времени на Ил-10 зав. № 105039 при выпуске шасси в воздухе заклинило обтекатель в куполе центроплана. На самолетах зав. № 106031, 104083, 105014 «произошел срыв болта крепления серпа подвески ног шасси при их уборке». Еще на трех машинах (зав. № 104050, 105071, 105004) были «обнаружены трещины/.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/трубок, идущих от вакуметра к всасывающим патрубкам».</w:t>
      </w:r>
    </w:p>
    <w:p w14:paraId="79208490"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Командир полка подполковник В. Н Верещинский запретил полеты на дефектных самолетах, о чем немедленно доложил в штаб 15 ВА. Оттуда сообщение о случившемся внеочередным донесением ушло в ГУ ИАС ВВС генерал-лейтенанту Лапину.</w:t>
      </w:r>
    </w:p>
    <w:p w14:paraId="6F8A7781"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Таким образом, задолго до начала боевых действий 118-й гвардейский шап работать полным составом уже не мог.</w:t>
      </w:r>
    </w:p>
    <w:p w14:paraId="2E177EFC"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В течение своего первого и единственного боевого дня полк наносил бомбоштурмовые удары по войскам и технике противника в районе Кандава. Работали четверками без прикрытия истребителями. Считалось, что высокая скорость и маневренность «десятки» обеспечат защиту в случае нападения истребителей люфтваффе. В общей сложности в течение дня полк выполнил 60 боевых </w:t>
      </w:r>
      <w:proofErr w:type="gramStart"/>
      <w:r w:rsidRPr="00925F26">
        <w:rPr>
          <w:rStyle w:val="107"/>
          <w:rFonts w:eastAsiaTheme="minorHAnsi"/>
          <w:color w:val="000000" w:themeColor="text1"/>
          <w:sz w:val="16"/>
          <w:szCs w:val="16"/>
        </w:rPr>
        <w:t>самолето-вылетов</w:t>
      </w:r>
      <w:proofErr w:type="gramEnd"/>
      <w:r w:rsidRPr="00925F26">
        <w:rPr>
          <w:rStyle w:val="107"/>
          <w:rFonts w:eastAsiaTheme="minorHAnsi"/>
          <w:color w:val="000000" w:themeColor="text1"/>
          <w:sz w:val="16"/>
          <w:szCs w:val="16"/>
        </w:rPr>
        <w:t>. Безвозвратные потери матчасти составили три самолета Ил-10, из которых один был сбит истребителями противника и два - огнем зенитной артиллерии. При этом все потери были понесены полком примерно в одно время - во второй половине дня в ходе второго полкового вылета.</w:t>
      </w:r>
    </w:p>
    <w:p w14:paraId="566F4B68"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Как следует из акта расследования летно-боевых потерь от 15 мая 1945 года, первая боевая потеря полка на самолете Ил -10 произошла в 13.20. В ходе атаки четырех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был сбит лейтенант Т. С. Лозовой (воздушный стрелок - адъютант эскадрильи старший лейтенант И. Г. Рыбкин).</w:t>
      </w:r>
    </w:p>
    <w:p w14:paraId="06ACC806"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После третьего захода на цель в районе Кандава четверка Ил-10, в составе которой вылетал лейтенант Лозовой, на выходе из атаки была атакована двумя парами немецких истребителей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Лозовой отстал от группы и стал уходить от истребителей противника с набором высоты, чего делать, конечно же, было нельзя. Непростительная ошибка для летчика, имевшего 81 боевой вылет на Ил -2 и два воздушных боя с немецкими истребителями. Оставшаяся часть группы завязала воздушный бой на виражах. Получив отпор, «фокке -вульфы» вышли из боя и «навалились» на Ил-10 лейтенанта Лозового. Атаки производились пилотами люфтваффе парами сбоку, снизу и сверху. Стрельба велась из всех огневых точек средними очередями под ракурсами 2/4-3/4 с дистанции 200-500 м. После примерно двух-трех атак Ил-10, беспорядочно падая, врезался в дома в районе Кандава.</w:t>
      </w:r>
    </w:p>
    <w:p w14:paraId="2D824F98"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Гибель экипажа и падение «десятки» Лозового наблюдал комполка подполковник Верещинский, вылетавший ведущим одной из групп. По его словам, Лозовой маневрировал и вел огонь из пушек и пулеметов. Старший лейтенант Рыбкин огня не вел. Позже при осмотре останков самолета оказалось, что лейтенант Лозовой был убит прямыми попаданиями в голову, пулемет УБТ исправен, а боезапас к нему цел. Трудно сказать, как было на самом деле. Не исключено, что Рыбкин даже не знал, как обращаться с оружием. Возможно, что с опытным воздушным стрелком, каковым был «штатный» воздушный стрелок самолета сержант Шапоренко, бой мог бы сложиться иначе. Комдив Корнуков в своих выводах был категоричен: «неподготовленных стрелков в полет не брать...»</w:t>
      </w:r>
    </w:p>
    <w:p w14:paraId="7B3443A5"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В 13.35 группа в составе 4 Ил-10 при нанесении бомбоштурмового удара по войскам и технике на выходе из атаки была обстреляна сильным огнем малокалиберной зенитной артиллерии противника. В результате «десятка» младшего лейтенанта В. Ф. Малахова (воздушный стрелок старший сержант Я. Д. Христенко) получила прямое попадание зенитного снаряда. Снарядом был пробит поддон мотора, который стал давать перебои и затем загорелся. Группа выполнила энергичный противозенитный маневр и перешла на бреющий полет. Подбитый же экипаж стал выбирать место для вынужденной посадки. Несмотря на быстро развивающийся пожар на моторе, Малахову удалось посадить самолет на фюзеляж в районе Занти в 15 км юго-западнее Кандава. Экипаж получил ушибы, но остался цел, а самолет - разбит и ремонту не подлежал. В этом случае выручил боевой опыт летчика - к этому времени Малахов имел в своем активе 55 боевых вылетов на Ил -2 и два воздушных боя с истребителями люфтваффе.</w:t>
      </w:r>
    </w:p>
    <w:p w14:paraId="1F141172"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Примерно в аналогичной ситуации в 14.05 получил повреждения от зенитного огня и затем был потерян Ил-10 младшего лейтенанта Альмухамедова, который выполнял свой первый боевой вылет на войне.</w:t>
      </w:r>
    </w:p>
    <w:p w14:paraId="5FEE09AB"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На выходе из атаки цели группа из 4 Ил-10 была обстреляна сильным огнем МЗА противника. В результате мотор Ил-10 Альмухамедова был поврежден зенитным снарядом, а боевой порядок группы расстроен. Альмухамедов оторвался от группы, не смог удержать скорость и на обратном маршруте стал сильно отставать от группы. По докладам экипажей, в районе Бэнэ после приема от Альмухамедова по радио доклада: «Плохо работает мотор», - его самолет скрылся из виду. В свою очередь, Альмухамедов, окончательно отстав от основной группы, потерял ориентировку и, выработав горючее, сел на фюзеляж на заболоченную местность в 30 км юго-восточнее Шяуляя. Самолет подлежал разборке на запчасти ввиду невозможности эвакуации.</w:t>
      </w:r>
    </w:p>
    <w:p w14:paraId="49F5DB5C"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Несмотря на понесенные боевые потери, новые штурмовики, по отзывам летчиков 118 гшап, зарекомендовали себя как надежные и довольно эффективные боевые самолеты при грамотном использовании его боевых качеств. В качестве примера можно привести воздушный бой, который провел утром 8 мая экипаж старшего лейтенанта П. М. Однобокова (воздушный стрелок сержант Н. Аверков).</w:t>
      </w:r>
    </w:p>
    <w:p w14:paraId="77ED2405"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 xml:space="preserve">Все было как обычно. На выходе из атаки ведомые отстали от ведущего группы. В результате Ил-10 Однобокова остался без огневой поддержки и сразу же был атакован сзади-сверху парой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 xml:space="preserve">190. Вовремя заметив атаку противника, Однобоков резко сбросил газ, и очередь немецкого истребителя, слегка зацепив штурмовик, прошла перед носом штурмовика, а следом за ней впереди Ил-10 оказался и сам «фоккер» - пушечная очередь из ВЯ стала для пилота люфтваффе роковой. Не подкачал и воздушный стрелок сержант Аверков. Метким огнем из УБТ Аверков подбил вышедший в атаку ведомый </w:t>
      </w:r>
      <w:r w:rsidRPr="00925F26">
        <w:rPr>
          <w:rStyle w:val="107"/>
          <w:rFonts w:eastAsiaTheme="minorHAnsi"/>
          <w:color w:val="000000" w:themeColor="text1"/>
          <w:sz w:val="16"/>
          <w:szCs w:val="16"/>
          <w:lang w:val="en-US"/>
        </w:rPr>
        <w:t>Fw</w:t>
      </w:r>
      <w:r w:rsidRPr="00925F26">
        <w:rPr>
          <w:rStyle w:val="107"/>
          <w:rFonts w:eastAsiaTheme="minorHAnsi"/>
          <w:color w:val="000000" w:themeColor="text1"/>
          <w:sz w:val="16"/>
          <w:szCs w:val="16"/>
        </w:rPr>
        <w:t>190. «фокке-вульф» задымил, отвернул в сторону и со снижением ушел в сторону своих позиций.</w:t>
      </w:r>
    </w:p>
    <w:p w14:paraId="5F8BDE95"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Как следует из доклада помощника командира полка по воздушно -стрелковой службе майора Шагинова, экипажу засчитали только одну победу.</w:t>
      </w:r>
    </w:p>
    <w:p w14:paraId="13E6E342"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Вскоре после празднования Победы над Германией в полк прибыла комиссия в составе «Начальника Конструкторского Отдела завода № 1 тов. Усикова и представителя ГУЗ ВВС КА Майора АТС т. Егудина», которая произвела осмотр всех самолетов Ил-10. На 13 самолетах была обнаружена деформация верхней обшивки (высота «складок» от 2-3 до 7-8 мм) и заклепочных швов консолей крыла (11 случаев) и центроплана (2 случая). На этих же самолетах имели место случаи среза отдельных заклепок (от 2 до 7 заклепок) по полкам переднего лонжерона и нервюрам. На всех участках, имеющих деформацию, отмечалось заметное ослабление заклепок крепления обшивки к нервюрам.</w:t>
      </w:r>
    </w:p>
    <w:p w14:paraId="1BA90863"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Выводы комиссии были неутешительны. На трех самолетах (зав. № 102018, 104042, 105035) летать было нельзя, на остальных - только по кругу без выполнения интенсивных маневров.</w:t>
      </w:r>
    </w:p>
    <w:p w14:paraId="3EB3744A"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Что интересно, «выпучивание верхней обшивки» консолей наблюдалось в том числе и «рядом с заводским дополнительным усилением».</w:t>
      </w:r>
    </w:p>
    <w:p w14:paraId="058108D0"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t>Из «Сводной ведомости дефектов по центроплану и консолям самолетов Ил-10, находящихся в в/ч п. п. 30155 по состоянию на 15 мая 1945 г.», следует, что дефектные самолеты имели всего лишь по 1-2 боевых вылета и 2-7 вылетов на полигон с общим налетом от 3 ч 18 мин до 24 ч 43 мин. Угол пикирования при бомбометании и стрельбе по целям не превышали 30-35°.</w:t>
      </w:r>
    </w:p>
    <w:p w14:paraId="423BC371" w14:textId="77777777" w:rsidR="00F94742" w:rsidRPr="00925F26" w:rsidRDefault="00F94742" w:rsidP="00925F26">
      <w:pPr>
        <w:jc w:val="both"/>
        <w:rPr>
          <w:color w:val="000000" w:themeColor="text1"/>
          <w:sz w:val="16"/>
          <w:szCs w:val="16"/>
        </w:rPr>
      </w:pPr>
      <w:r w:rsidRPr="00925F26">
        <w:rPr>
          <w:rStyle w:val="107"/>
          <w:rFonts w:eastAsiaTheme="minorHAnsi"/>
          <w:color w:val="000000" w:themeColor="text1"/>
          <w:sz w:val="16"/>
          <w:szCs w:val="16"/>
        </w:rPr>
        <w:lastRenderedPageBreak/>
        <w:t>Учитывая реальную «картину» с матчастью в 118 гшап и опираясь на официальные результаты работы комиссии, главный инженер 15-й воздушной армии генерал-майор З. А. Иоффе незамедлительно снял с эксплуатации все Ил-10 из первой партии поставки - всего 45 самолетов производства завода № 1 со 2-й по 5-ю серию. Позже все эти «десятки» были переданы в школы ВВС и запасные авиаполки для целей тренировки молодого летного состава.</w:t>
      </w:r>
    </w:p>
    <w:p w14:paraId="09C5A284" w14:textId="77777777" w:rsidR="00F94742" w:rsidRPr="00925F26" w:rsidRDefault="00F94742"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Таким образом, 118 гшап после одного дня войны утратил всякую боеспособность, лишившись всей материальной части (17490).</w:t>
      </w:r>
    </w:p>
    <w:p w14:paraId="7DF85AF8" w14:textId="77777777" w:rsidR="00F94742" w:rsidRPr="00925F26" w:rsidRDefault="00F94742" w:rsidP="00925F26">
      <w:pPr>
        <w:jc w:val="both"/>
        <w:rPr>
          <w:color w:val="000000" w:themeColor="text1"/>
          <w:sz w:val="16"/>
          <w:szCs w:val="16"/>
        </w:rPr>
      </w:pPr>
    </w:p>
    <w:p w14:paraId="3BC6E5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8 мая 1945 года </w:t>
      </w:r>
      <w:proofErr w:type="gramStart"/>
      <w:r w:rsidRPr="00925F26">
        <w:rPr>
          <w:color w:val="000000" w:themeColor="text1"/>
          <w:sz w:val="16"/>
          <w:szCs w:val="16"/>
        </w:rPr>
        <w:t>состоялся Последний</w:t>
      </w:r>
      <w:proofErr w:type="gramEnd"/>
      <w:r w:rsidRPr="00925F26">
        <w:rPr>
          <w:color w:val="000000" w:themeColor="text1"/>
          <w:sz w:val="16"/>
          <w:szCs w:val="16"/>
        </w:rPr>
        <w:t xml:space="preserve"> боевой вылет 108 шап. Всего до конца войны, действуя с аэродромов Охельхермсдорф и Коло на берлинском направлении, полк провел на Ил-10 242 боевых вылета, потеряв пять самолетов. За это время было уничтожено: восемь танков, пять бронемашин, 281 автомобиль и другая техника противника (8683,37).</w:t>
      </w:r>
    </w:p>
    <w:p w14:paraId="584E7226" w14:textId="77777777" w:rsidR="00665165" w:rsidRPr="00925F26" w:rsidRDefault="00665165" w:rsidP="00925F26">
      <w:pPr>
        <w:autoSpaceDE w:val="0"/>
        <w:autoSpaceDN w:val="0"/>
        <w:adjustRightInd w:val="0"/>
        <w:jc w:val="both"/>
        <w:rPr>
          <w:color w:val="000000" w:themeColor="text1"/>
          <w:sz w:val="16"/>
          <w:szCs w:val="16"/>
        </w:rPr>
      </w:pPr>
    </w:p>
    <w:p w14:paraId="547E05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мая 1945 г. свой первый боевой вылет на Ил-10 выполнили экипажи 118-го гшап. На месте назначения, в Шауляе, полк собрался только к 19 апреля 1945 г. Имея 40 самолетов Ил-10, он вошел в 225-ю шад 15-й воздушной армии. В Ша</w:t>
      </w:r>
      <w:r w:rsidRPr="00925F26">
        <w:rPr>
          <w:color w:val="000000" w:themeColor="text1"/>
          <w:sz w:val="16"/>
          <w:szCs w:val="16"/>
        </w:rPr>
        <w:softHyphen/>
        <w:t>уляе летный состав приступил к интен</w:t>
      </w:r>
      <w:r w:rsidRPr="00925F26">
        <w:rPr>
          <w:color w:val="000000" w:themeColor="text1"/>
          <w:sz w:val="16"/>
          <w:szCs w:val="16"/>
        </w:rPr>
        <w:softHyphen/>
        <w:t>сивной подготовке по программе, утвержденной командиром дивизии пол</w:t>
      </w:r>
      <w:r w:rsidRPr="00925F26">
        <w:rPr>
          <w:color w:val="000000" w:themeColor="text1"/>
          <w:sz w:val="16"/>
          <w:szCs w:val="16"/>
        </w:rPr>
        <w:softHyphen/>
        <w:t>ковником Корнуковым. К началу боевых действий из общего числа имевшихся в наличии экипажей только четыре не за</w:t>
      </w:r>
      <w:r w:rsidRPr="00925F26">
        <w:rPr>
          <w:color w:val="000000" w:themeColor="text1"/>
          <w:sz w:val="16"/>
          <w:szCs w:val="16"/>
        </w:rPr>
        <w:softHyphen/>
        <w:t>кончили программу по вводу в бой. В течение своего первого и единст</w:t>
      </w:r>
      <w:r w:rsidRPr="00925F26">
        <w:rPr>
          <w:color w:val="000000" w:themeColor="text1"/>
          <w:sz w:val="16"/>
          <w:szCs w:val="16"/>
        </w:rPr>
        <w:softHyphen/>
        <w:t>венного боевого дня полк наносил уда</w:t>
      </w:r>
      <w:r w:rsidRPr="00925F26">
        <w:rPr>
          <w:color w:val="000000" w:themeColor="text1"/>
          <w:sz w:val="16"/>
          <w:szCs w:val="16"/>
        </w:rPr>
        <w:softHyphen/>
        <w:t>ры по войскам и технике противника в районе Кандавы. Работали четверками, без прикрытия, считая, что высокая ско</w:t>
      </w:r>
      <w:r w:rsidRPr="00925F26">
        <w:rPr>
          <w:color w:val="000000" w:themeColor="text1"/>
          <w:sz w:val="16"/>
          <w:szCs w:val="16"/>
        </w:rPr>
        <w:softHyphen/>
        <w:t>рость и маневренность «десятки» обес</w:t>
      </w:r>
      <w:r w:rsidRPr="00925F26">
        <w:rPr>
          <w:color w:val="000000" w:themeColor="text1"/>
          <w:sz w:val="16"/>
          <w:szCs w:val="16"/>
        </w:rPr>
        <w:softHyphen/>
        <w:t>печат защиту в случае нападения не</w:t>
      </w:r>
      <w:r w:rsidRPr="00925F26">
        <w:rPr>
          <w:color w:val="000000" w:themeColor="text1"/>
          <w:sz w:val="16"/>
          <w:szCs w:val="16"/>
        </w:rPr>
        <w:softHyphen/>
        <w:t xml:space="preserve">мецких истребителей. Всего полк выполнил 60 боевых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Безвозвратные потери составили три Ил-10, из которых один был сбит истре</w:t>
      </w:r>
      <w:r w:rsidRPr="00925F26">
        <w:rPr>
          <w:color w:val="000000" w:themeColor="text1"/>
          <w:sz w:val="16"/>
          <w:szCs w:val="16"/>
        </w:rPr>
        <w:softHyphen/>
        <w:t>бителями и два - огнем зенитной артил</w:t>
      </w:r>
      <w:r w:rsidRPr="00925F26">
        <w:rPr>
          <w:color w:val="000000" w:themeColor="text1"/>
          <w:sz w:val="16"/>
          <w:szCs w:val="16"/>
        </w:rPr>
        <w:softHyphen/>
        <w:t>лерии. Во втором вылете полка, во второй половине дня, четверка Ил-10 при выхо</w:t>
      </w:r>
      <w:r w:rsidRPr="00925F26">
        <w:rPr>
          <w:color w:val="000000" w:themeColor="text1"/>
          <w:sz w:val="16"/>
          <w:szCs w:val="16"/>
        </w:rPr>
        <w:softHyphen/>
        <w:t>де из атаки встретилась с двумя парами ФВ190. Лейтенант Т.С. Лозовой отстал от группы и стал уходить от истребите</w:t>
      </w:r>
      <w:r w:rsidRPr="00925F26">
        <w:rPr>
          <w:color w:val="000000" w:themeColor="text1"/>
          <w:sz w:val="16"/>
          <w:szCs w:val="16"/>
        </w:rPr>
        <w:softHyphen/>
        <w:t>лей с набором высоты, чего делать, ко</w:t>
      </w:r>
      <w:r w:rsidRPr="00925F26">
        <w:rPr>
          <w:color w:val="000000" w:themeColor="text1"/>
          <w:sz w:val="16"/>
          <w:szCs w:val="16"/>
        </w:rPr>
        <w:softHyphen/>
        <w:t>нечно же, было нельзя. Непроститель</w:t>
      </w:r>
      <w:r w:rsidRPr="00925F26">
        <w:rPr>
          <w:color w:val="000000" w:themeColor="text1"/>
          <w:sz w:val="16"/>
          <w:szCs w:val="16"/>
        </w:rPr>
        <w:softHyphen/>
        <w:t>ная ошибка для пилота, совершившего 81 боевой вылет на Ил-2. Остальные штурмовики завязали бой на виражах, «фокке-вульфы» бросили их и атакова</w:t>
      </w:r>
      <w:r w:rsidRPr="00925F26">
        <w:rPr>
          <w:color w:val="000000" w:themeColor="text1"/>
          <w:sz w:val="16"/>
          <w:szCs w:val="16"/>
        </w:rPr>
        <w:softHyphen/>
        <w:t>ли одинокий самолет Лозового. Они за</w:t>
      </w:r>
      <w:r w:rsidRPr="00925F26">
        <w:rPr>
          <w:color w:val="000000" w:themeColor="text1"/>
          <w:sz w:val="16"/>
          <w:szCs w:val="16"/>
        </w:rPr>
        <w:softHyphen/>
        <w:t>шли на него сбоку, снизу и сверху. Со</w:t>
      </w:r>
      <w:r w:rsidRPr="00925F26">
        <w:rPr>
          <w:color w:val="000000" w:themeColor="text1"/>
          <w:sz w:val="16"/>
          <w:szCs w:val="16"/>
        </w:rPr>
        <w:softHyphen/>
        <w:t>ветский пилот маневрировал, стреляя из пушек и пулеметов. После двух-трех атак немцев одинокий «ил», беспоря</w:t>
      </w:r>
      <w:r w:rsidRPr="00925F26">
        <w:rPr>
          <w:color w:val="000000" w:themeColor="text1"/>
          <w:sz w:val="16"/>
          <w:szCs w:val="16"/>
        </w:rPr>
        <w:softHyphen/>
        <w:t>дочно падая, врезался в дома внизу. Другая четверка штурмовиков на вы</w:t>
      </w:r>
      <w:r w:rsidRPr="00925F26">
        <w:rPr>
          <w:color w:val="000000" w:themeColor="text1"/>
          <w:sz w:val="16"/>
          <w:szCs w:val="16"/>
        </w:rPr>
        <w:softHyphen/>
        <w:t>ходе из атаки была обстреляна сильным огнем МЗА. В результате «десятка» младшего лейтенанта В.Ф. Малахова получила прямое попадание. Снаряд пробил поддон мотора, который начал давать перебои, а затем загорелся. Группа выполнила энергичный противо</w:t>
      </w:r>
      <w:r w:rsidRPr="00925F26">
        <w:rPr>
          <w:color w:val="000000" w:themeColor="text1"/>
          <w:sz w:val="16"/>
          <w:szCs w:val="16"/>
        </w:rPr>
        <w:softHyphen/>
        <w:t>зенитный маневр и перешла в бреющий полет. Пилот подбитого самолета стал выбирать место для вынужденной по</w:t>
      </w:r>
      <w:r w:rsidRPr="00925F26">
        <w:rPr>
          <w:color w:val="000000" w:themeColor="text1"/>
          <w:sz w:val="16"/>
          <w:szCs w:val="16"/>
        </w:rPr>
        <w:softHyphen/>
        <w:t>садки. Малахову удалось приземлиться на фюзеляж в районе Занти (в 15 км юго-западнее Кандавы). Экипаж полу</w:t>
      </w:r>
      <w:r w:rsidRPr="00925F26">
        <w:rPr>
          <w:color w:val="000000" w:themeColor="text1"/>
          <w:sz w:val="16"/>
          <w:szCs w:val="16"/>
        </w:rPr>
        <w:softHyphen/>
        <w:t>чил ушибы, но остался цел, а самолет был разбит и ремонту не подлежал. Примерно в аналогичной ситуации поте</w:t>
      </w:r>
      <w:r w:rsidRPr="00925F26">
        <w:rPr>
          <w:color w:val="000000" w:themeColor="text1"/>
          <w:sz w:val="16"/>
          <w:szCs w:val="16"/>
        </w:rPr>
        <w:softHyphen/>
        <w:t xml:space="preserve">ряли Ил-10 младшего лейтенанта </w:t>
      </w:r>
      <w:proofErr w:type="gramStart"/>
      <w:r w:rsidRPr="00925F26">
        <w:rPr>
          <w:color w:val="000000" w:themeColor="text1"/>
          <w:sz w:val="16"/>
          <w:szCs w:val="16"/>
        </w:rPr>
        <w:t>Аль-мухамедова</w:t>
      </w:r>
      <w:proofErr w:type="gramEnd"/>
      <w:r w:rsidRPr="00925F26">
        <w:rPr>
          <w:color w:val="000000" w:themeColor="text1"/>
          <w:sz w:val="16"/>
          <w:szCs w:val="16"/>
        </w:rPr>
        <w:t>, совершавшего свой пер</w:t>
      </w:r>
      <w:r w:rsidRPr="00925F26">
        <w:rPr>
          <w:color w:val="000000" w:themeColor="text1"/>
          <w:sz w:val="16"/>
          <w:szCs w:val="16"/>
        </w:rPr>
        <w:softHyphen/>
        <w:t>вый боевой вылет. Летчик посадил по</w:t>
      </w:r>
      <w:r w:rsidRPr="00925F26">
        <w:rPr>
          <w:color w:val="000000" w:themeColor="text1"/>
          <w:sz w:val="16"/>
          <w:szCs w:val="16"/>
        </w:rPr>
        <w:softHyphen/>
        <w:t>врежденную машину в 30 км юго-</w:t>
      </w:r>
      <w:proofErr w:type="gramStart"/>
      <w:r w:rsidRPr="00925F26">
        <w:rPr>
          <w:color w:val="000000" w:themeColor="text1"/>
          <w:sz w:val="16"/>
          <w:szCs w:val="16"/>
        </w:rPr>
        <w:t>восточ-нее</w:t>
      </w:r>
      <w:proofErr w:type="gramEnd"/>
      <w:r w:rsidRPr="00925F26">
        <w:rPr>
          <w:color w:val="000000" w:themeColor="text1"/>
          <w:sz w:val="16"/>
          <w:szCs w:val="16"/>
        </w:rPr>
        <w:t xml:space="preserve"> Шауляя. Позднее этот штурмовик разобрали на запчасти. Несмотря на относительно большие боевые потери, новые штурмовики, по отзывам летчиков 118-го гшап, зареко</w:t>
      </w:r>
      <w:r w:rsidRPr="00925F26">
        <w:rPr>
          <w:color w:val="000000" w:themeColor="text1"/>
          <w:sz w:val="16"/>
          <w:szCs w:val="16"/>
        </w:rPr>
        <w:softHyphen/>
        <w:t>мендовали себя как надежные и до</w:t>
      </w:r>
      <w:r w:rsidRPr="00925F26">
        <w:rPr>
          <w:color w:val="000000" w:themeColor="text1"/>
          <w:sz w:val="16"/>
          <w:szCs w:val="16"/>
        </w:rPr>
        <w:softHyphen/>
        <w:t>вольно эффективные боевые самоле</w:t>
      </w:r>
      <w:r w:rsidRPr="00925F26">
        <w:rPr>
          <w:color w:val="000000" w:themeColor="text1"/>
          <w:sz w:val="16"/>
          <w:szCs w:val="16"/>
        </w:rPr>
        <w:softHyphen/>
        <w:t>ты. Решение использовать их без при</w:t>
      </w:r>
      <w:r w:rsidRPr="00925F26">
        <w:rPr>
          <w:color w:val="000000" w:themeColor="text1"/>
          <w:sz w:val="16"/>
          <w:szCs w:val="16"/>
        </w:rPr>
        <w:softHyphen/>
        <w:t>крытия истребителями во многом оказа</w:t>
      </w:r>
      <w:r w:rsidRPr="00925F26">
        <w:rPr>
          <w:color w:val="000000" w:themeColor="text1"/>
          <w:sz w:val="16"/>
          <w:szCs w:val="16"/>
        </w:rPr>
        <w:softHyphen/>
        <w:t>лось оправданным. Примером здесь мо</w:t>
      </w:r>
      <w:r w:rsidRPr="00925F26">
        <w:rPr>
          <w:color w:val="000000" w:themeColor="text1"/>
          <w:sz w:val="16"/>
          <w:szCs w:val="16"/>
        </w:rPr>
        <w:softHyphen/>
        <w:t>жет служить воздушный бой, который провел утром 8 мая экипаж старшего лейтенанта П.М. Однобокова (воздуш</w:t>
      </w:r>
      <w:r w:rsidRPr="00925F26">
        <w:rPr>
          <w:color w:val="000000" w:themeColor="text1"/>
          <w:sz w:val="16"/>
          <w:szCs w:val="16"/>
        </w:rPr>
        <w:softHyphen/>
        <w:t>ный стрелок сержант Н. Аверков). Все было как обычно. На выходе из атаки ведомые отстали от ведущего. В результате Ил-10 Однобокова ли</w:t>
      </w:r>
      <w:r w:rsidRPr="00925F26">
        <w:rPr>
          <w:color w:val="000000" w:themeColor="text1"/>
          <w:sz w:val="16"/>
          <w:szCs w:val="16"/>
        </w:rPr>
        <w:softHyphen/>
        <w:t>шился огневой поддержки и сразу же был атакован сзади-сверху парой ФВ190. Вовремя заметив противника, Од-нобоков резко сбросил газ, и очередь немецкого истребителя, слегка зацепив штурмовик, прошла мимо, а следом за ней впереди оказался и сам «фоккер» -пушечная очередь Ил-10 стала для пи</w:t>
      </w:r>
      <w:r w:rsidRPr="00925F26">
        <w:rPr>
          <w:color w:val="000000" w:themeColor="text1"/>
          <w:sz w:val="16"/>
          <w:szCs w:val="16"/>
        </w:rPr>
        <w:softHyphen/>
        <w:t>лота Люфтваффе роковой. Не подкачал и воздушный стрелок сержант Н. Аверков. Метким огнем из пулемета он под</w:t>
      </w:r>
      <w:r w:rsidRPr="00925F26">
        <w:rPr>
          <w:color w:val="000000" w:themeColor="text1"/>
          <w:sz w:val="16"/>
          <w:szCs w:val="16"/>
        </w:rPr>
        <w:softHyphen/>
        <w:t>бил вышедший в атаку ведомый ФВ190. «Фокке-вульф» задымил, отвернул и со снижением ушел в сторону своих пози</w:t>
      </w:r>
      <w:r w:rsidRPr="00925F26">
        <w:rPr>
          <w:color w:val="000000" w:themeColor="text1"/>
          <w:sz w:val="16"/>
          <w:szCs w:val="16"/>
        </w:rPr>
        <w:softHyphen/>
        <w:t>ций... Но экипажу засчитали только одну победу (10681).</w:t>
      </w:r>
    </w:p>
    <w:p w14:paraId="01AF90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7532A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мая 1945 г. при вылете на боевое задание 12 экипа</w:t>
      </w:r>
      <w:r w:rsidRPr="00925F26">
        <w:rPr>
          <w:color w:val="000000" w:themeColor="text1"/>
          <w:sz w:val="16"/>
          <w:szCs w:val="16"/>
        </w:rPr>
        <w:softHyphen/>
        <w:t>жей 118-го гшап из-за силь</w:t>
      </w:r>
      <w:r w:rsidRPr="00925F26">
        <w:rPr>
          <w:color w:val="000000" w:themeColor="text1"/>
          <w:sz w:val="16"/>
          <w:szCs w:val="16"/>
        </w:rPr>
        <w:softHyphen/>
        <w:t>ного бокового ветра взлететь смогли только восемь (10681).</w:t>
      </w:r>
    </w:p>
    <w:p w14:paraId="5CA24B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93434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мая 1945 г. свой первый боевой вылет на Ил-10 выполнили экипажи 118-го гвардейского штурмового авиа</w:t>
      </w:r>
      <w:r w:rsidRPr="00925F26">
        <w:rPr>
          <w:color w:val="000000" w:themeColor="text1"/>
          <w:sz w:val="16"/>
          <w:szCs w:val="16"/>
        </w:rPr>
        <w:softHyphen/>
        <w:t>ционного полка.</w:t>
      </w:r>
    </w:p>
    <w:p w14:paraId="42D833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своего первого и един</w:t>
      </w:r>
      <w:r w:rsidRPr="00925F26">
        <w:rPr>
          <w:color w:val="000000" w:themeColor="text1"/>
          <w:sz w:val="16"/>
          <w:szCs w:val="16"/>
        </w:rPr>
        <w:softHyphen/>
        <w:t>ственного боевого дня полк наносил бомбоштурмовые удары по войскам и технике противника в районе Канда-ва. Работали четверками без прикры</w:t>
      </w:r>
      <w:r w:rsidRPr="00925F26">
        <w:rPr>
          <w:color w:val="000000" w:themeColor="text1"/>
          <w:sz w:val="16"/>
          <w:szCs w:val="16"/>
        </w:rPr>
        <w:softHyphen/>
        <w:t>тия истребителями. Считалось, что вы</w:t>
      </w:r>
      <w:r w:rsidRPr="00925F26">
        <w:rPr>
          <w:color w:val="000000" w:themeColor="text1"/>
          <w:sz w:val="16"/>
          <w:szCs w:val="16"/>
        </w:rPr>
        <w:softHyphen/>
        <w:t>сокая скорость и маневренность «де</w:t>
      </w:r>
      <w:r w:rsidRPr="00925F26">
        <w:rPr>
          <w:color w:val="000000" w:themeColor="text1"/>
          <w:sz w:val="16"/>
          <w:szCs w:val="16"/>
        </w:rPr>
        <w:softHyphen/>
        <w:t>сятки» обеспечат защиту в случае на</w:t>
      </w:r>
      <w:r w:rsidRPr="00925F26">
        <w:rPr>
          <w:color w:val="000000" w:themeColor="text1"/>
          <w:sz w:val="16"/>
          <w:szCs w:val="16"/>
        </w:rPr>
        <w:softHyphen/>
        <w:t>падения истребителей люфтваффе. В общей сложности в течение дня полк выполнил 60 боевых самолето-выле</w:t>
      </w:r>
      <w:r w:rsidRPr="00925F26">
        <w:rPr>
          <w:color w:val="000000" w:themeColor="text1"/>
          <w:sz w:val="16"/>
          <w:szCs w:val="16"/>
        </w:rPr>
        <w:softHyphen/>
        <w:t>тов. Безвозвратные потери матчасти составили три самолета Ил-10, из ко</w:t>
      </w:r>
      <w:r w:rsidRPr="00925F26">
        <w:rPr>
          <w:color w:val="000000" w:themeColor="text1"/>
          <w:sz w:val="16"/>
          <w:szCs w:val="16"/>
        </w:rPr>
        <w:softHyphen/>
        <w:t>торых один бьй сбит истребителями противника и два - огнем зенитной артиллерии. При этом все потери были понесены полком примерно в одно время - во второй половине дня в ходе второго полкового вылета.</w:t>
      </w:r>
    </w:p>
    <w:p w14:paraId="7B4D72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следует из акта расследования летно-боевых потерь от 15 мая 1945 г. первая боевая потеря полка на са</w:t>
      </w:r>
      <w:r w:rsidRPr="00925F26">
        <w:rPr>
          <w:color w:val="000000" w:themeColor="text1"/>
          <w:sz w:val="16"/>
          <w:szCs w:val="16"/>
        </w:rPr>
        <w:softHyphen/>
        <w:t>молете Ил-10 произошла в 13.20 - в результате атаки четырех Р\л/ 190 был сбит л-т Т. С. Лозовой (воздушный стрелок - адъютант эскадрильи ст. л-т И. Г. Рыбкин).</w:t>
      </w:r>
    </w:p>
    <w:p w14:paraId="6541A7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третьего захода на цель в районе Кандава четверка Ил-10, в со</w:t>
      </w:r>
      <w:r w:rsidRPr="00925F26">
        <w:rPr>
          <w:color w:val="000000" w:themeColor="text1"/>
          <w:sz w:val="16"/>
          <w:szCs w:val="16"/>
        </w:rPr>
        <w:softHyphen/>
        <w:t xml:space="preserve">ставе которой вылетал л-т Лозовой, на выходе из атаки была атакована двумя парами немецких истребителей </w:t>
      </w:r>
      <w:r w:rsidRPr="00925F26">
        <w:rPr>
          <w:smallCaps/>
          <w:color w:val="000000" w:themeColor="text1"/>
          <w:sz w:val="16"/>
          <w:szCs w:val="16"/>
        </w:rPr>
        <w:t xml:space="preserve">руу </w:t>
      </w:r>
      <w:r w:rsidRPr="00925F26">
        <w:rPr>
          <w:color w:val="000000" w:themeColor="text1"/>
          <w:sz w:val="16"/>
          <w:szCs w:val="16"/>
        </w:rPr>
        <w:t>190. На выходе из атаки л-т Лозо</w:t>
      </w:r>
      <w:r w:rsidRPr="00925F26">
        <w:rPr>
          <w:color w:val="000000" w:themeColor="text1"/>
          <w:sz w:val="16"/>
          <w:szCs w:val="16"/>
        </w:rPr>
        <w:softHyphen/>
        <w:t>вой отстал от группы и стал уходить от истребителей противника с набором высоты, чего делать, конечно же, было нельзя. Непростительная ошибка для летчика, имевшего 81 боевой вылет на Ил-2 и два воздушных боя с немецки</w:t>
      </w:r>
      <w:r w:rsidRPr="00925F26">
        <w:rPr>
          <w:color w:val="000000" w:themeColor="text1"/>
          <w:sz w:val="16"/>
          <w:szCs w:val="16"/>
        </w:rPr>
        <w:softHyphen/>
        <w:t>ми истребителями. Оставшаяся часть группы завязала воздушный бой на виражах, в результате которого «фок-ке-вульфы» вышли из боя и атаковали одинокий «Ил» л-та Лозового. Атаки производились пилотами люфтваффе парами сбоку, снизу и сверху. Стрель</w:t>
      </w:r>
      <w:r w:rsidRPr="00925F26">
        <w:rPr>
          <w:color w:val="000000" w:themeColor="text1"/>
          <w:sz w:val="16"/>
          <w:szCs w:val="16"/>
        </w:rPr>
        <w:softHyphen/>
        <w:t>ба велась из всех огневых точек сред</w:t>
      </w:r>
      <w:r w:rsidRPr="00925F26">
        <w:rPr>
          <w:color w:val="000000" w:themeColor="text1"/>
          <w:sz w:val="16"/>
          <w:szCs w:val="16"/>
        </w:rPr>
        <w:softHyphen/>
        <w:t>ними очередями под раккурсами 2/4-3/4 с дистанции 200-500 м. После примерно двух-трех атак одинокий «Ил», беспорядочно падая, врезался в дома в районе Кандава.</w:t>
      </w:r>
    </w:p>
    <w:p w14:paraId="22C9BE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Падение «десятки» Лозового и ги</w:t>
      </w:r>
      <w:r w:rsidRPr="00925F26">
        <w:rPr>
          <w:color w:val="000000" w:themeColor="text1"/>
          <w:sz w:val="16"/>
          <w:szCs w:val="16"/>
        </w:rPr>
        <w:softHyphen/>
        <w:t>бель экипажа наблюдал комполка п/п-к Верещинский, вылетавшим веду</w:t>
      </w:r>
      <w:r w:rsidRPr="00925F26">
        <w:rPr>
          <w:color w:val="000000" w:themeColor="text1"/>
          <w:sz w:val="16"/>
          <w:szCs w:val="16"/>
        </w:rPr>
        <w:softHyphen/>
        <w:t>щим одной из групп. По его словам, Лозовой маневрировал и вел огонь из пушек и пулеметов. Старший лейтенант Рыбкин огня не вел. Позже при осмот</w:t>
      </w:r>
      <w:r w:rsidRPr="00925F26">
        <w:rPr>
          <w:color w:val="000000" w:themeColor="text1"/>
          <w:sz w:val="16"/>
          <w:szCs w:val="16"/>
        </w:rPr>
        <w:softHyphen/>
        <w:t>ре останков самолета оказалось, что л-т Лозовой был убит прямыми попа</w:t>
      </w:r>
      <w:r w:rsidRPr="00925F26">
        <w:rPr>
          <w:color w:val="000000" w:themeColor="text1"/>
          <w:sz w:val="16"/>
          <w:szCs w:val="16"/>
        </w:rPr>
        <w:softHyphen/>
        <w:t>даниями в голову, пулемет УБТ испра</w:t>
      </w:r>
      <w:r w:rsidRPr="00925F26">
        <w:rPr>
          <w:color w:val="000000" w:themeColor="text1"/>
          <w:sz w:val="16"/>
          <w:szCs w:val="16"/>
        </w:rPr>
        <w:softHyphen/>
        <w:t>вен, а боезапас к нему цел. Трудно ска</w:t>
      </w:r>
      <w:r w:rsidRPr="00925F26">
        <w:rPr>
          <w:color w:val="000000" w:themeColor="text1"/>
          <w:sz w:val="16"/>
          <w:szCs w:val="16"/>
        </w:rPr>
        <w:softHyphen/>
        <w:t>зать, как было на самом деле. Не ис</w:t>
      </w:r>
      <w:r w:rsidRPr="00925F26">
        <w:rPr>
          <w:color w:val="000000" w:themeColor="text1"/>
          <w:sz w:val="16"/>
          <w:szCs w:val="16"/>
        </w:rPr>
        <w:softHyphen/>
        <w:t>ключено, что Рыбкин даже не знал, как обращаться с оружием. Возможно, что с опытным воздушным стрелком, како</w:t>
      </w:r>
      <w:r w:rsidRPr="00925F26">
        <w:rPr>
          <w:color w:val="000000" w:themeColor="text1"/>
          <w:sz w:val="16"/>
          <w:szCs w:val="16"/>
        </w:rPr>
        <w:softHyphen/>
        <w:t>вым был «штатный» воздушный стре</w:t>
      </w:r>
      <w:r w:rsidRPr="00925F26">
        <w:rPr>
          <w:color w:val="000000" w:themeColor="text1"/>
          <w:sz w:val="16"/>
          <w:szCs w:val="16"/>
        </w:rPr>
        <w:softHyphen/>
        <w:t>лок самолета сержант Шапоренко, бой мог бы сложиться иначе. Комдив Корнуков в своих выводах был категори</w:t>
      </w:r>
      <w:r w:rsidRPr="00925F26">
        <w:rPr>
          <w:color w:val="000000" w:themeColor="text1"/>
          <w:sz w:val="16"/>
          <w:szCs w:val="16"/>
        </w:rPr>
        <w:softHyphen/>
        <w:t>чен: «неподготовленных стрелков в полет не брать...»</w:t>
      </w:r>
    </w:p>
    <w:p w14:paraId="3090F4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13.35 группа в составе 4 Ил-10 при нанесении бомбоштурмового уда</w:t>
      </w:r>
      <w:r w:rsidRPr="00925F26">
        <w:rPr>
          <w:color w:val="000000" w:themeColor="text1"/>
          <w:sz w:val="16"/>
          <w:szCs w:val="16"/>
        </w:rPr>
        <w:softHyphen/>
        <w:t>ра по войскам и технике на выходе из атаки была обстреляна сильным огнем МЗА противника. В результате «десят</w:t>
      </w:r>
      <w:r w:rsidRPr="00925F26">
        <w:rPr>
          <w:color w:val="000000" w:themeColor="text1"/>
          <w:sz w:val="16"/>
          <w:szCs w:val="16"/>
        </w:rPr>
        <w:softHyphen/>
        <w:t>ка» мл. л-та В. Ф. Малахова (воздуш</w:t>
      </w:r>
      <w:r w:rsidRPr="00925F26">
        <w:rPr>
          <w:color w:val="000000" w:themeColor="text1"/>
          <w:sz w:val="16"/>
          <w:szCs w:val="16"/>
        </w:rPr>
        <w:softHyphen/>
        <w:t>ный стрелок ст. сержант Я. Д. Хрис-тенко) получила прямое попадание зенитного снаряда. Снарядом был пробит поддон мотора, который стал давать перебои и затем загорелся. Группа выполнила энергичный проти</w:t>
      </w:r>
      <w:r w:rsidRPr="00925F26">
        <w:rPr>
          <w:color w:val="000000" w:themeColor="text1"/>
          <w:sz w:val="16"/>
          <w:szCs w:val="16"/>
        </w:rPr>
        <w:softHyphen/>
        <w:t>возенитный маневр и перешла на бре</w:t>
      </w:r>
      <w:r w:rsidRPr="00925F26">
        <w:rPr>
          <w:color w:val="000000" w:themeColor="text1"/>
          <w:sz w:val="16"/>
          <w:szCs w:val="16"/>
        </w:rPr>
        <w:softHyphen/>
        <w:t>ющий полет. Подбитый же экипаж стал выбирать место для вынужденной по</w:t>
      </w:r>
      <w:r w:rsidRPr="00925F26">
        <w:rPr>
          <w:color w:val="000000" w:themeColor="text1"/>
          <w:sz w:val="16"/>
          <w:szCs w:val="16"/>
        </w:rPr>
        <w:softHyphen/>
        <w:t>садки. Несмотря на быстро развива</w:t>
      </w:r>
      <w:r w:rsidRPr="00925F26">
        <w:rPr>
          <w:color w:val="000000" w:themeColor="text1"/>
          <w:sz w:val="16"/>
          <w:szCs w:val="16"/>
        </w:rPr>
        <w:softHyphen/>
        <w:t>ющийся пожар на моторе, Малахову уда</w:t>
      </w:r>
      <w:r w:rsidRPr="00925F26">
        <w:rPr>
          <w:color w:val="000000" w:themeColor="text1"/>
          <w:sz w:val="16"/>
          <w:szCs w:val="16"/>
        </w:rPr>
        <w:softHyphen/>
        <w:t>лось посадить самолет на фюзеляж в районе Занти в 15 км юго-западнее Кан</w:t>
      </w:r>
      <w:r w:rsidRPr="00925F26">
        <w:rPr>
          <w:color w:val="000000" w:themeColor="text1"/>
          <w:sz w:val="16"/>
          <w:szCs w:val="16"/>
        </w:rPr>
        <w:softHyphen/>
        <w:t>дава. Экипаж получил ушибы, но остал</w:t>
      </w:r>
      <w:r w:rsidRPr="00925F26">
        <w:rPr>
          <w:color w:val="000000" w:themeColor="text1"/>
          <w:sz w:val="16"/>
          <w:szCs w:val="16"/>
        </w:rPr>
        <w:softHyphen/>
        <w:t>ся цел, а самолет - разбит и ремонту не подлежал. В этом случае выручил бое</w:t>
      </w:r>
      <w:r w:rsidRPr="00925F26">
        <w:rPr>
          <w:color w:val="000000" w:themeColor="text1"/>
          <w:sz w:val="16"/>
          <w:szCs w:val="16"/>
        </w:rPr>
        <w:softHyphen/>
        <w:t>вой опыт летчика - к этому времени Ма</w:t>
      </w:r>
      <w:r w:rsidRPr="00925F26">
        <w:rPr>
          <w:color w:val="000000" w:themeColor="text1"/>
          <w:sz w:val="16"/>
          <w:szCs w:val="16"/>
        </w:rPr>
        <w:softHyphen/>
        <w:t>лахов имел в своем активе 55 боевых вылетов на Ил-2 и два воздушных боя с истребителями люфтваффе.</w:t>
      </w:r>
    </w:p>
    <w:p w14:paraId="43FFAE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Примерно в аналогичной ситуации, в 14.05 получил повреждения от зе</w:t>
      </w:r>
      <w:r w:rsidRPr="00925F26">
        <w:rPr>
          <w:color w:val="000000" w:themeColor="text1"/>
          <w:sz w:val="16"/>
          <w:szCs w:val="16"/>
        </w:rPr>
        <w:softHyphen/>
        <w:t>нитного огня и затем был потерян Ил-10 мл. л-та Альмухамедова, который выполнял свой первый боевой вылет на войне.</w:t>
      </w:r>
    </w:p>
    <w:p w14:paraId="42C44E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выходе из атаки цели группа из 4 Ил-10 была обстреляна сильным ог</w:t>
      </w:r>
      <w:r w:rsidRPr="00925F26">
        <w:rPr>
          <w:color w:val="000000" w:themeColor="text1"/>
          <w:sz w:val="16"/>
          <w:szCs w:val="16"/>
        </w:rPr>
        <w:softHyphen/>
        <w:t>нем МЗА противника. В результате мо</w:t>
      </w:r>
      <w:r w:rsidRPr="00925F26">
        <w:rPr>
          <w:color w:val="000000" w:themeColor="text1"/>
          <w:sz w:val="16"/>
          <w:szCs w:val="16"/>
        </w:rPr>
        <w:softHyphen/>
        <w:t>тор Ил-10 Альмухамедова был по</w:t>
      </w:r>
      <w:r w:rsidRPr="00925F26">
        <w:rPr>
          <w:color w:val="000000" w:themeColor="text1"/>
          <w:sz w:val="16"/>
          <w:szCs w:val="16"/>
        </w:rPr>
        <w:softHyphen/>
        <w:t>врежден зенитным снарядом, а боевой порядок группы расстроен. Альмуха-медов оторвался от группы, не смог удержать скорость и на обратном мар</w:t>
      </w:r>
      <w:r w:rsidRPr="00925F26">
        <w:rPr>
          <w:color w:val="000000" w:themeColor="text1"/>
          <w:sz w:val="16"/>
          <w:szCs w:val="16"/>
        </w:rPr>
        <w:softHyphen/>
        <w:t>шруте стал сильно отставать от груп</w:t>
      </w:r>
      <w:r w:rsidRPr="00925F26">
        <w:rPr>
          <w:color w:val="000000" w:themeColor="text1"/>
          <w:sz w:val="16"/>
          <w:szCs w:val="16"/>
        </w:rPr>
        <w:softHyphen/>
        <w:t>пы. По докладам экипажей в районе Бэнэ после приема от Альмухамедова по радио доклада: «Плохо работает мотор», - его самолет скрылся из виду. В свою очередь, Альмухамедов, окон</w:t>
      </w:r>
      <w:r w:rsidRPr="00925F26">
        <w:rPr>
          <w:color w:val="000000" w:themeColor="text1"/>
          <w:sz w:val="16"/>
          <w:szCs w:val="16"/>
        </w:rPr>
        <w:softHyphen/>
        <w:t>чательно отстав от основной группы, потерял ориентировку и, выработав горючее, сел на фюзеляж на заболо</w:t>
      </w:r>
      <w:r w:rsidRPr="00925F26">
        <w:rPr>
          <w:color w:val="000000" w:themeColor="text1"/>
          <w:sz w:val="16"/>
          <w:szCs w:val="16"/>
        </w:rPr>
        <w:softHyphen/>
        <w:t>ченную местность в 30 км юго-восточ-нее Шауляй. Самолет подлежал раз</w:t>
      </w:r>
      <w:r w:rsidRPr="00925F26">
        <w:rPr>
          <w:color w:val="000000" w:themeColor="text1"/>
          <w:sz w:val="16"/>
          <w:szCs w:val="16"/>
        </w:rPr>
        <w:softHyphen/>
        <w:t>борке на запчасти ввиду невозможно</w:t>
      </w:r>
      <w:r w:rsidRPr="00925F26">
        <w:rPr>
          <w:color w:val="000000" w:themeColor="text1"/>
          <w:sz w:val="16"/>
          <w:szCs w:val="16"/>
        </w:rPr>
        <w:softHyphen/>
        <w:t>сти эвакуации.</w:t>
      </w:r>
    </w:p>
    <w:p w14:paraId="7FF937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столь относительно большие боевые потери, новые штур</w:t>
      </w:r>
      <w:r w:rsidRPr="00925F26">
        <w:rPr>
          <w:color w:val="000000" w:themeColor="text1"/>
          <w:sz w:val="16"/>
          <w:szCs w:val="16"/>
        </w:rPr>
        <w:softHyphen/>
        <w:t>мовики, по отзывам летчиков 118-го гшап, зарекомендовали себя как на</w:t>
      </w:r>
      <w:r w:rsidRPr="00925F26">
        <w:rPr>
          <w:color w:val="000000" w:themeColor="text1"/>
          <w:sz w:val="16"/>
          <w:szCs w:val="16"/>
        </w:rPr>
        <w:softHyphen/>
        <w:t>дежные и довольно эффективные бо</w:t>
      </w:r>
      <w:r w:rsidRPr="00925F26">
        <w:rPr>
          <w:color w:val="000000" w:themeColor="text1"/>
          <w:sz w:val="16"/>
          <w:szCs w:val="16"/>
        </w:rPr>
        <w:softHyphen/>
        <w:t>евые самолеты при грамотном исполь</w:t>
      </w:r>
      <w:r w:rsidRPr="00925F26">
        <w:rPr>
          <w:color w:val="000000" w:themeColor="text1"/>
          <w:sz w:val="16"/>
          <w:szCs w:val="16"/>
        </w:rPr>
        <w:softHyphen/>
        <w:t>зовании его боевых качеств. В каче</w:t>
      </w:r>
      <w:r w:rsidRPr="00925F26">
        <w:rPr>
          <w:color w:val="000000" w:themeColor="text1"/>
          <w:sz w:val="16"/>
          <w:szCs w:val="16"/>
        </w:rPr>
        <w:softHyphen/>
        <w:t>стве примера можно привести воздуш</w:t>
      </w:r>
      <w:r w:rsidRPr="00925F26">
        <w:rPr>
          <w:color w:val="000000" w:themeColor="text1"/>
          <w:sz w:val="16"/>
          <w:szCs w:val="16"/>
        </w:rPr>
        <w:softHyphen/>
        <w:t>ный бой, который провел утром 8 мая экипаж ст. л-та П. М. Однобокова (воз</w:t>
      </w:r>
      <w:r w:rsidRPr="00925F26">
        <w:rPr>
          <w:color w:val="000000" w:themeColor="text1"/>
          <w:sz w:val="16"/>
          <w:szCs w:val="16"/>
        </w:rPr>
        <w:softHyphen/>
        <w:t>душный стрелок сержант Н.Аверков).</w:t>
      </w:r>
    </w:p>
    <w:p w14:paraId="16CA41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было как обычно. На выходе из атаки ведомые отстали от ведущего группы. В результате Ил-10 Однобо</w:t>
      </w:r>
      <w:r w:rsidRPr="00925F26">
        <w:rPr>
          <w:color w:val="000000" w:themeColor="text1"/>
          <w:sz w:val="16"/>
          <w:szCs w:val="16"/>
        </w:rPr>
        <w:softHyphen/>
        <w:t>кова остался без огневой поддержки и сразу же был атакован сзади-сверху парой Р\л/190. Вовремя заметив атаку противника, Однобокое резко сбросил газ и очередь немецкого истребителя, слегка зацепив штурмовик, прошла перед носом штурмовика, а следом за ней впереди «Ила» оказался и сам «фоккер» - пушечная очередь Ил-10 стала для пилота люфтваффе роковой. Не подкачал и воздушный стрелок сер</w:t>
      </w:r>
      <w:r w:rsidRPr="00925F26">
        <w:rPr>
          <w:color w:val="000000" w:themeColor="text1"/>
          <w:sz w:val="16"/>
          <w:szCs w:val="16"/>
        </w:rPr>
        <w:softHyphen/>
        <w:t>жант Аверков. Метким огнем из УБТ Аверков подбил вышедший в атаку ве</w:t>
      </w:r>
      <w:r w:rsidRPr="00925F26">
        <w:rPr>
          <w:color w:val="000000" w:themeColor="text1"/>
          <w:sz w:val="16"/>
          <w:szCs w:val="16"/>
        </w:rPr>
        <w:softHyphen/>
        <w:t xml:space="preserve">домый </w:t>
      </w:r>
      <w:r w:rsidRPr="00925F26">
        <w:rPr>
          <w:smallCaps/>
          <w:color w:val="000000" w:themeColor="text1"/>
          <w:sz w:val="16"/>
          <w:szCs w:val="16"/>
        </w:rPr>
        <w:t xml:space="preserve">руу </w:t>
      </w:r>
      <w:r w:rsidRPr="00925F26">
        <w:rPr>
          <w:color w:val="000000" w:themeColor="text1"/>
          <w:sz w:val="16"/>
          <w:szCs w:val="16"/>
        </w:rPr>
        <w:t>190. «Фокке-вульф» зады</w:t>
      </w:r>
      <w:r w:rsidRPr="00925F26">
        <w:rPr>
          <w:color w:val="000000" w:themeColor="text1"/>
          <w:sz w:val="16"/>
          <w:szCs w:val="16"/>
        </w:rPr>
        <w:softHyphen/>
        <w:t>мил, отвернул в сторону и со сниже</w:t>
      </w:r>
      <w:r w:rsidRPr="00925F26">
        <w:rPr>
          <w:color w:val="000000" w:themeColor="text1"/>
          <w:sz w:val="16"/>
          <w:szCs w:val="16"/>
        </w:rPr>
        <w:softHyphen/>
        <w:t>нием ушел в сторону своих позиций.</w:t>
      </w:r>
    </w:p>
    <w:p w14:paraId="6830B0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следует из доклада помощника командира полка по воздушно-стрел</w:t>
      </w:r>
      <w:r w:rsidRPr="00925F26">
        <w:rPr>
          <w:color w:val="000000" w:themeColor="text1"/>
          <w:sz w:val="16"/>
          <w:szCs w:val="16"/>
        </w:rPr>
        <w:softHyphen/>
        <w:t>ковой службе м-ра Шагинова, экипа</w:t>
      </w:r>
      <w:r w:rsidRPr="00925F26">
        <w:rPr>
          <w:color w:val="000000" w:themeColor="text1"/>
          <w:sz w:val="16"/>
          <w:szCs w:val="16"/>
        </w:rPr>
        <w:softHyphen/>
        <w:t>жу засчитали только одну победу (11161).</w:t>
      </w:r>
    </w:p>
    <w:p w14:paraId="2EF01C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C8ED4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мая 1945 стало последним днем войны для летчиков 571-го. Он оказался и са</w:t>
      </w:r>
      <w:r w:rsidRPr="00925F26">
        <w:rPr>
          <w:color w:val="000000" w:themeColor="text1"/>
          <w:sz w:val="16"/>
          <w:szCs w:val="16"/>
        </w:rPr>
        <w:softHyphen/>
        <w:t>мым драматичным. Командир 224-й шад поставил задачу нанести в течение дня полным составом полка три удара в рай</w:t>
      </w:r>
      <w:r w:rsidRPr="00925F26">
        <w:rPr>
          <w:color w:val="000000" w:themeColor="text1"/>
          <w:sz w:val="16"/>
          <w:szCs w:val="16"/>
        </w:rPr>
        <w:softHyphen/>
        <w:t>оне Кржелов, Пржикази, Унговице, Льштадт, Синице. Планирование боевых вылетов выполнялось исходя из нали</w:t>
      </w:r>
      <w:r w:rsidRPr="00925F26">
        <w:rPr>
          <w:color w:val="000000" w:themeColor="text1"/>
          <w:sz w:val="16"/>
          <w:szCs w:val="16"/>
        </w:rPr>
        <w:softHyphen/>
        <w:t>чия к вечеру 7 мая 27 боеготовых Ил-10, которые разбили на три группы по де</w:t>
      </w:r>
      <w:r w:rsidRPr="00925F26">
        <w:rPr>
          <w:color w:val="000000" w:themeColor="text1"/>
          <w:sz w:val="16"/>
          <w:szCs w:val="16"/>
        </w:rPr>
        <w:softHyphen/>
        <w:t>вять самолетов. Предполагалось, что группы будут вылетать с интервалами в 15-30 мин. Затем следовал двухчасо</w:t>
      </w:r>
      <w:r w:rsidRPr="00925F26">
        <w:rPr>
          <w:color w:val="000000" w:themeColor="text1"/>
          <w:sz w:val="16"/>
          <w:szCs w:val="16"/>
        </w:rPr>
        <w:softHyphen/>
        <w:t>вой перерыв, и все повторялось заново. Планировалось выполнить 88 самолето</w:t>
      </w:r>
      <w:r w:rsidRPr="00925F26">
        <w:rPr>
          <w:color w:val="000000" w:themeColor="text1"/>
          <w:sz w:val="16"/>
          <w:szCs w:val="16"/>
        </w:rPr>
        <w:softHyphen/>
        <w:t>вылетов. Прикрытие обеспечивалось ис</w:t>
      </w:r>
      <w:r w:rsidRPr="00925F26">
        <w:rPr>
          <w:color w:val="000000" w:themeColor="text1"/>
          <w:sz w:val="16"/>
          <w:szCs w:val="16"/>
        </w:rPr>
        <w:softHyphen/>
        <w:t>требителями 181-го иап. Полк сопровождали шесть Ла-5. На подходе к цели задание уточнили - бомбить вой</w:t>
      </w:r>
      <w:r w:rsidRPr="00925F26">
        <w:rPr>
          <w:color w:val="000000" w:themeColor="text1"/>
          <w:sz w:val="16"/>
          <w:szCs w:val="16"/>
        </w:rPr>
        <w:softHyphen/>
        <w:t>ска и технику в районе Кржелова. Замк</w:t>
      </w:r>
      <w:r w:rsidRPr="00925F26">
        <w:rPr>
          <w:color w:val="000000" w:themeColor="text1"/>
          <w:sz w:val="16"/>
          <w:szCs w:val="16"/>
        </w:rPr>
        <w:softHyphen/>
        <w:t>нув левый круг, Ил-10 совершили холос</w:t>
      </w:r>
      <w:r w:rsidRPr="00925F26">
        <w:rPr>
          <w:color w:val="000000" w:themeColor="text1"/>
          <w:sz w:val="16"/>
          <w:szCs w:val="16"/>
        </w:rPr>
        <w:softHyphen/>
        <w:t>той заход. Убедившись в наличии про</w:t>
      </w:r>
      <w:r w:rsidRPr="00925F26">
        <w:rPr>
          <w:color w:val="000000" w:themeColor="text1"/>
          <w:sz w:val="16"/>
          <w:szCs w:val="16"/>
        </w:rPr>
        <w:softHyphen/>
        <w:t>тивника в окопах юго-восточнее Крже</w:t>
      </w:r>
      <w:r w:rsidRPr="00925F26">
        <w:rPr>
          <w:color w:val="000000" w:themeColor="text1"/>
          <w:sz w:val="16"/>
          <w:szCs w:val="16"/>
        </w:rPr>
        <w:softHyphen/>
        <w:t>лова и автомашин в самом населенном пункте, группа приступила к штурмовке. Атаки производились с высоты 1200 м под углом пикирования 25° - 30°. Стрельба из пушек и пулеметов осуще</w:t>
      </w:r>
      <w:r w:rsidRPr="00925F26">
        <w:rPr>
          <w:color w:val="000000" w:themeColor="text1"/>
          <w:sz w:val="16"/>
          <w:szCs w:val="16"/>
        </w:rPr>
        <w:softHyphen/>
        <w:t>ствлялась с дистанции 400 - 500 м, бом</w:t>
      </w:r>
      <w:r w:rsidRPr="00925F26">
        <w:rPr>
          <w:color w:val="000000" w:themeColor="text1"/>
          <w:sz w:val="16"/>
          <w:szCs w:val="16"/>
        </w:rPr>
        <w:softHyphen/>
        <w:t>бометание - на выходе из пикирования с высоты 400 - 450 м. После выполнения шести заходов Смирнов дал команду уходить, так как боекомплект был полностью израсходо</w:t>
      </w:r>
      <w:r w:rsidRPr="00925F26">
        <w:rPr>
          <w:color w:val="000000" w:themeColor="text1"/>
          <w:sz w:val="16"/>
          <w:szCs w:val="16"/>
        </w:rPr>
        <w:softHyphen/>
        <w:t xml:space="preserve">ван. Но станция </w:t>
      </w:r>
      <w:r w:rsidRPr="00925F26">
        <w:rPr>
          <w:color w:val="000000" w:themeColor="text1"/>
          <w:sz w:val="16"/>
          <w:szCs w:val="16"/>
        </w:rPr>
        <w:lastRenderedPageBreak/>
        <w:t>наведения «Белка-12» попросила произвести еще два холос</w:t>
      </w:r>
      <w:r w:rsidRPr="00925F26">
        <w:rPr>
          <w:color w:val="000000" w:themeColor="text1"/>
          <w:sz w:val="16"/>
          <w:szCs w:val="16"/>
        </w:rPr>
        <w:softHyphen/>
        <w:t>тых захода: «Пехота переходит в атаку, поддержите». Штурмовики не отказали и получили с земли благодарность. При возвращении домой им встретились два «мессершмитта», но атаковать немцы не решились. В середине дня на восьми самолетах неожиданно вышли из строя моторы, причем в трех случаях - в воздухе. Лей</w:t>
      </w:r>
      <w:r w:rsidRPr="00925F26">
        <w:rPr>
          <w:color w:val="000000" w:themeColor="text1"/>
          <w:sz w:val="16"/>
          <w:szCs w:val="16"/>
        </w:rPr>
        <w:softHyphen/>
        <w:t>тенант Китайгородский и младшие лей</w:t>
      </w:r>
      <w:r w:rsidRPr="00925F26">
        <w:rPr>
          <w:color w:val="000000" w:themeColor="text1"/>
          <w:sz w:val="16"/>
          <w:szCs w:val="16"/>
        </w:rPr>
        <w:softHyphen/>
        <w:t>тенанты Прищепа и Титов совершили вынужденные посадки вне аэродрома. Впоследствии их «десятки» были списа</w:t>
      </w:r>
      <w:r w:rsidRPr="00925F26">
        <w:rPr>
          <w:color w:val="000000" w:themeColor="text1"/>
          <w:sz w:val="16"/>
          <w:szCs w:val="16"/>
        </w:rPr>
        <w:softHyphen/>
        <w:t>ны. Осмотр двигателей показал, что при</w:t>
      </w:r>
      <w:r w:rsidRPr="00925F26">
        <w:rPr>
          <w:color w:val="000000" w:themeColor="text1"/>
          <w:sz w:val="16"/>
          <w:szCs w:val="16"/>
        </w:rPr>
        <w:softHyphen/>
        <w:t>чиной является разрушение крыльчатки нагнетателя. Массовый выход из строя техники поставил под угрозу выполнение полком боевой задачи. Но комдив Ко</w:t>
      </w:r>
      <w:r w:rsidRPr="00925F26">
        <w:rPr>
          <w:color w:val="000000" w:themeColor="text1"/>
          <w:sz w:val="16"/>
          <w:szCs w:val="16"/>
        </w:rPr>
        <w:softHyphen/>
        <w:t>тельников потребовал вне зависимости от обстоятельств обеспечить производ</w:t>
      </w:r>
      <w:r w:rsidRPr="00925F26">
        <w:rPr>
          <w:color w:val="000000" w:themeColor="text1"/>
          <w:sz w:val="16"/>
          <w:szCs w:val="16"/>
        </w:rPr>
        <w:softHyphen/>
        <w:t>ство всех запланированных на день вы</w:t>
      </w:r>
      <w:r w:rsidRPr="00925F26">
        <w:rPr>
          <w:color w:val="000000" w:themeColor="text1"/>
          <w:sz w:val="16"/>
          <w:szCs w:val="16"/>
        </w:rPr>
        <w:softHyphen/>
        <w:t>летов. В итоге наиболее опытным летчи</w:t>
      </w:r>
      <w:r w:rsidRPr="00925F26">
        <w:rPr>
          <w:color w:val="000000" w:themeColor="text1"/>
          <w:sz w:val="16"/>
          <w:szCs w:val="16"/>
        </w:rPr>
        <w:softHyphen/>
        <w:t>кам пришлось вылетать по пять раз. Уже на исходе дня из штаба дивизии пришло приказание: «Подготовить и вы</w:t>
      </w:r>
      <w:r w:rsidRPr="00925F26">
        <w:rPr>
          <w:color w:val="000000" w:themeColor="text1"/>
          <w:sz w:val="16"/>
          <w:szCs w:val="16"/>
        </w:rPr>
        <w:softHyphen/>
        <w:t>делить группу из 9 Ил-10 для нанесения ударов. На этом боевая работа 571-го шап в Великой Отечественной войне закончи</w:t>
      </w:r>
      <w:r w:rsidRPr="00925F26">
        <w:rPr>
          <w:color w:val="000000" w:themeColor="text1"/>
          <w:sz w:val="16"/>
          <w:szCs w:val="16"/>
        </w:rPr>
        <w:softHyphen/>
        <w:t>лась. Прибывшая на следующий день из штаба 8-й воздушной армии комиссия приказала снять моторы с четырех на</w:t>
      </w:r>
      <w:r w:rsidRPr="00925F26">
        <w:rPr>
          <w:color w:val="000000" w:themeColor="text1"/>
          <w:sz w:val="16"/>
          <w:szCs w:val="16"/>
        </w:rPr>
        <w:softHyphen/>
        <w:t>угад выбранных Ил-10. Картина была одна и та же: валы крыльчаток имели большой износ, в корпусах нагнетателей обнаружили пыль и песок. 21 мая при</w:t>
      </w:r>
      <w:r w:rsidRPr="00925F26">
        <w:rPr>
          <w:color w:val="000000" w:themeColor="text1"/>
          <w:sz w:val="16"/>
          <w:szCs w:val="16"/>
        </w:rPr>
        <w:softHyphen/>
        <w:t>ехала комиссия из Москвы, для которой демонтировали и разобрали еще два двигателя. В них нашли то же самое. Эксплуатацию самолетов запретили. Полк полностью потерял боеспособ</w:t>
      </w:r>
      <w:r w:rsidRPr="00925F26">
        <w:rPr>
          <w:color w:val="000000" w:themeColor="text1"/>
          <w:sz w:val="16"/>
          <w:szCs w:val="16"/>
        </w:rPr>
        <w:softHyphen/>
        <w:t>ность. Что было бы, если бы война про</w:t>
      </w:r>
      <w:r w:rsidRPr="00925F26">
        <w:rPr>
          <w:color w:val="000000" w:themeColor="text1"/>
          <w:sz w:val="16"/>
          <w:szCs w:val="16"/>
        </w:rPr>
        <w:softHyphen/>
        <w:t>должилась? Первые месяцы боевого применения Ил-10 сопровождались многочисленны</w:t>
      </w:r>
      <w:r w:rsidRPr="00925F26">
        <w:rPr>
          <w:color w:val="000000" w:themeColor="text1"/>
          <w:sz w:val="16"/>
          <w:szCs w:val="16"/>
        </w:rPr>
        <w:softHyphen/>
        <w:t>ми отказами агрегатов и систем: карбю</w:t>
      </w:r>
      <w:r w:rsidRPr="00925F26">
        <w:rPr>
          <w:color w:val="000000" w:themeColor="text1"/>
          <w:sz w:val="16"/>
          <w:szCs w:val="16"/>
        </w:rPr>
        <w:softHyphen/>
        <w:t>ратора, бензосистемы и свечей; наблю</w:t>
      </w:r>
      <w:r w:rsidRPr="00925F26">
        <w:rPr>
          <w:color w:val="000000" w:themeColor="text1"/>
          <w:sz w:val="16"/>
          <w:szCs w:val="16"/>
        </w:rPr>
        <w:softHyphen/>
        <w:t>дались тряска мотора на всех режимах работы, течь масляных и водяных ради</w:t>
      </w:r>
      <w:r w:rsidRPr="00925F26">
        <w:rPr>
          <w:color w:val="000000" w:themeColor="text1"/>
          <w:sz w:val="16"/>
          <w:szCs w:val="16"/>
        </w:rPr>
        <w:softHyphen/>
        <w:t>аторов. По мнению механиков, доступ к свечам и некоторым другим агрегатам и узлам мотора был крайне неудобен. На</w:t>
      </w:r>
      <w:r w:rsidRPr="00925F26">
        <w:rPr>
          <w:color w:val="000000" w:themeColor="text1"/>
          <w:sz w:val="16"/>
          <w:szCs w:val="16"/>
        </w:rPr>
        <w:softHyphen/>
        <w:t>пример, замена карбюратора и последу</w:t>
      </w:r>
      <w:r w:rsidRPr="00925F26">
        <w:rPr>
          <w:color w:val="000000" w:themeColor="text1"/>
          <w:sz w:val="16"/>
          <w:szCs w:val="16"/>
        </w:rPr>
        <w:softHyphen/>
        <w:t>ющая отладка двигателя отнимали до 30-33 ч. Постоянно рвались тросы бомболю-ков, створки деформировались при за</w:t>
      </w:r>
      <w:r w:rsidRPr="00925F26">
        <w:rPr>
          <w:color w:val="000000" w:themeColor="text1"/>
          <w:sz w:val="16"/>
          <w:szCs w:val="16"/>
        </w:rPr>
        <w:softHyphen/>
        <w:t>грузке мелких бомб и повреждались при сбросе крупных. Обшивка консолей и центроплана, а также заклепки не вы</w:t>
      </w:r>
      <w:r w:rsidRPr="00925F26">
        <w:rPr>
          <w:color w:val="000000" w:themeColor="text1"/>
          <w:sz w:val="16"/>
          <w:szCs w:val="16"/>
        </w:rPr>
        <w:softHyphen/>
        <w:t>держивали нагрузок. Листы шли волной, заклепки срезались и выпадали. Лома</w:t>
      </w:r>
      <w:r w:rsidRPr="00925F26">
        <w:rPr>
          <w:color w:val="000000" w:themeColor="text1"/>
          <w:sz w:val="16"/>
          <w:szCs w:val="16"/>
        </w:rPr>
        <w:softHyphen/>
        <w:t>лись складывающиеся подкосы шасси и обтекатели хвостового колеса. Удивительно, но техническому соста</w:t>
      </w:r>
      <w:r w:rsidRPr="00925F26">
        <w:rPr>
          <w:color w:val="000000" w:themeColor="text1"/>
          <w:sz w:val="16"/>
          <w:szCs w:val="16"/>
        </w:rPr>
        <w:softHyphen/>
        <w:t>ву все же удавалось поддерживать бое</w:t>
      </w:r>
      <w:r w:rsidRPr="00925F26">
        <w:rPr>
          <w:color w:val="000000" w:themeColor="text1"/>
          <w:sz w:val="16"/>
          <w:szCs w:val="16"/>
        </w:rPr>
        <w:softHyphen/>
        <w:t>готовность на уровне, обеспечивавшем выполнение поставленных задач. Еже</w:t>
      </w:r>
      <w:r w:rsidRPr="00925F26">
        <w:rPr>
          <w:color w:val="000000" w:themeColor="text1"/>
          <w:sz w:val="16"/>
          <w:szCs w:val="16"/>
        </w:rPr>
        <w:softHyphen/>
        <w:t>дневная готовность самолетов в сред</w:t>
      </w:r>
      <w:r w:rsidRPr="00925F26">
        <w:rPr>
          <w:color w:val="000000" w:themeColor="text1"/>
          <w:sz w:val="16"/>
          <w:szCs w:val="16"/>
        </w:rPr>
        <w:softHyphen/>
        <w:t>нем достигала 72,8% состава (10681).</w:t>
      </w:r>
    </w:p>
    <w:p w14:paraId="1E7334F0" w14:textId="77777777" w:rsidR="00665165" w:rsidRPr="00925F26" w:rsidRDefault="00665165" w:rsidP="00925F26">
      <w:pPr>
        <w:autoSpaceDE w:val="0"/>
        <w:autoSpaceDN w:val="0"/>
        <w:adjustRightInd w:val="0"/>
        <w:jc w:val="both"/>
        <w:rPr>
          <w:color w:val="000000" w:themeColor="text1"/>
          <w:sz w:val="16"/>
          <w:szCs w:val="16"/>
        </w:rPr>
      </w:pPr>
    </w:p>
    <w:p w14:paraId="44C2A0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мая 1945 стал последним днем войны для летчи</w:t>
      </w:r>
      <w:r w:rsidRPr="00925F26">
        <w:rPr>
          <w:color w:val="000000" w:themeColor="text1"/>
          <w:sz w:val="16"/>
          <w:szCs w:val="16"/>
        </w:rPr>
        <w:softHyphen/>
        <w:t>ков 571-го шап. Этот день оказался и самым драматичным боевым днем.</w:t>
      </w:r>
    </w:p>
    <w:p w14:paraId="7982C3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Боевым приказом командира 224-й шад генерал-майора Котельникова полку ставилась задача нанести в те</w:t>
      </w:r>
      <w:r w:rsidRPr="00925F26">
        <w:rPr>
          <w:color w:val="000000" w:themeColor="text1"/>
          <w:sz w:val="16"/>
          <w:szCs w:val="16"/>
        </w:rPr>
        <w:softHyphen/>
        <w:t>чения дня три бомбоштурмовых удара в составе полка в районе Кржелов, Пржикази, Унговице, Льштадт, Синице.</w:t>
      </w:r>
    </w:p>
    <w:p w14:paraId="289008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Планирование боевых вылетов вы</w:t>
      </w:r>
      <w:r w:rsidRPr="00925F26">
        <w:rPr>
          <w:color w:val="000000" w:themeColor="text1"/>
          <w:sz w:val="16"/>
          <w:szCs w:val="16"/>
        </w:rPr>
        <w:softHyphen/>
        <w:t>полнялось исходя из наличия в соста</w:t>
      </w:r>
      <w:r w:rsidRPr="00925F26">
        <w:rPr>
          <w:color w:val="000000" w:themeColor="text1"/>
          <w:sz w:val="16"/>
          <w:szCs w:val="16"/>
        </w:rPr>
        <w:softHyphen/>
        <w:t>ве полка к исходу 7 мая 27 боеготовых самолетов Ил-10, что составляло три группы по 9 самолетов в каждой.</w:t>
      </w:r>
    </w:p>
    <w:p w14:paraId="38B584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Предполагалось, что при выполне</w:t>
      </w:r>
      <w:r w:rsidRPr="00925F26">
        <w:rPr>
          <w:color w:val="000000" w:themeColor="text1"/>
          <w:sz w:val="16"/>
          <w:szCs w:val="16"/>
        </w:rPr>
        <w:softHyphen/>
        <w:t>нии каждого полкового вылета груп</w:t>
      </w:r>
      <w:r w:rsidRPr="00925F26">
        <w:rPr>
          <w:color w:val="000000" w:themeColor="text1"/>
          <w:sz w:val="16"/>
          <w:szCs w:val="16"/>
        </w:rPr>
        <w:softHyphen/>
        <w:t>пы штурмовиков будут вылетать с ин</w:t>
      </w:r>
      <w:r w:rsidRPr="00925F26">
        <w:rPr>
          <w:color w:val="000000" w:themeColor="text1"/>
          <w:sz w:val="16"/>
          <w:szCs w:val="16"/>
        </w:rPr>
        <w:softHyphen/>
        <w:t>тервалами в 15-30 минут. Удар первой группы по целям противника плани</w:t>
      </w:r>
      <w:r w:rsidRPr="00925F26">
        <w:rPr>
          <w:color w:val="000000" w:themeColor="text1"/>
          <w:sz w:val="16"/>
          <w:szCs w:val="16"/>
        </w:rPr>
        <w:softHyphen/>
        <w:t xml:space="preserve">ровался на 10.20, 2-й - на 10.40, 3-й -на 11.05. Затем следовал двухчасовой перерыв, и все повторялось заново. Всего планировалось выполнить 88 </w:t>
      </w:r>
      <w:proofErr w:type="gramStart"/>
      <w:r w:rsidRPr="00925F26">
        <w:rPr>
          <w:color w:val="000000" w:themeColor="text1"/>
          <w:sz w:val="16"/>
          <w:szCs w:val="16"/>
        </w:rPr>
        <w:t>самолето-вылетов</w:t>
      </w:r>
      <w:proofErr w:type="gramEnd"/>
      <w:r w:rsidRPr="00925F26">
        <w:rPr>
          <w:color w:val="000000" w:themeColor="text1"/>
          <w:sz w:val="16"/>
          <w:szCs w:val="16"/>
        </w:rPr>
        <w:t>. Прикрытие каждой группы обеспечивалось истребителя</w:t>
      </w:r>
      <w:r w:rsidRPr="00925F26">
        <w:rPr>
          <w:color w:val="000000" w:themeColor="text1"/>
          <w:sz w:val="16"/>
          <w:szCs w:val="16"/>
        </w:rPr>
        <w:softHyphen/>
        <w:t>ми от 181-го иап в соотношении 2:1.</w:t>
      </w:r>
    </w:p>
    <w:p w14:paraId="26973A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«Распечатала» день группа ст. л-та Смирнова в составе 8 самолетов Ил-10, которая вылетела в 9.40 для нане</w:t>
      </w:r>
      <w:r w:rsidRPr="00925F26">
        <w:rPr>
          <w:color w:val="000000" w:themeColor="text1"/>
          <w:sz w:val="16"/>
          <w:szCs w:val="16"/>
        </w:rPr>
        <w:softHyphen/>
        <w:t>сения бомбоштурмового удара в рай</w:t>
      </w:r>
      <w:r w:rsidRPr="00925F26">
        <w:rPr>
          <w:color w:val="000000" w:themeColor="text1"/>
          <w:sz w:val="16"/>
          <w:szCs w:val="16"/>
        </w:rPr>
        <w:softHyphen/>
        <w:t>оне Горка, Скрепень, Кржелов. Штур</w:t>
      </w:r>
      <w:r w:rsidRPr="00925F26">
        <w:rPr>
          <w:color w:val="000000" w:themeColor="text1"/>
          <w:sz w:val="16"/>
          <w:szCs w:val="16"/>
        </w:rPr>
        <w:softHyphen/>
        <w:t>мовиков сопровождали 6 Ла-5. Полет к цели выполнялся на высоте 800 м в строю правый пеленг. Линию фронта группа пересекла на высоте 1200 м. На подходе к цели штурмовики были пе</w:t>
      </w:r>
      <w:r w:rsidRPr="00925F26">
        <w:rPr>
          <w:color w:val="000000" w:themeColor="text1"/>
          <w:sz w:val="16"/>
          <w:szCs w:val="16"/>
        </w:rPr>
        <w:softHyphen/>
        <w:t>ренацелены на другую цель - войска и технику в районе Кржелов. Замкнув ле</w:t>
      </w:r>
      <w:r w:rsidRPr="00925F26">
        <w:rPr>
          <w:color w:val="000000" w:themeColor="text1"/>
          <w:sz w:val="16"/>
          <w:szCs w:val="16"/>
        </w:rPr>
        <w:softHyphen/>
        <w:t>вый круг, экипажи Ил-10 выполнили «холостой» заход. Убедившись о нали</w:t>
      </w:r>
      <w:r w:rsidRPr="00925F26">
        <w:rPr>
          <w:color w:val="000000" w:themeColor="text1"/>
          <w:sz w:val="16"/>
          <w:szCs w:val="16"/>
        </w:rPr>
        <w:softHyphen/>
        <w:t>чии противника в окопах юго-восточ-нее Кржелов и автомашин в Кржелов, группа приступила к штурмовке. Атаки производились с высоты 1200 м под углом пикирования 25-30°, Стрельба из пушек и пулеметов с дистанции 400-500 м, бомбометание - на выходе из пикирования с высоты 400-450 м.</w:t>
      </w:r>
    </w:p>
    <w:p w14:paraId="12BDEC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выполнения 6 заходов ст. л-т Смирнов дал команду уходить, так как боекомплект полностью израсхо</w:t>
      </w:r>
      <w:r w:rsidRPr="00925F26">
        <w:rPr>
          <w:color w:val="000000" w:themeColor="text1"/>
          <w:sz w:val="16"/>
          <w:szCs w:val="16"/>
        </w:rPr>
        <w:softHyphen/>
        <w:t>дован. Но станция наведения «Белка-12» попросила произвести еще два «холостых» захода: «пехота переходит в атаку, поддержите». Штурмовики не отказали. От наземного командования получена благодарность. На отходе от цели появились два «мессершмитта», но атаковать не решились.</w:t>
      </w:r>
    </w:p>
    <w:p w14:paraId="1B298A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середине дня на 8 самолетах пол</w:t>
      </w:r>
      <w:r w:rsidRPr="00925F26">
        <w:rPr>
          <w:color w:val="000000" w:themeColor="text1"/>
          <w:sz w:val="16"/>
          <w:szCs w:val="16"/>
        </w:rPr>
        <w:softHyphen/>
        <w:t>ка почти в одно время вышли из строя моторы. При этом 5 отказов АМ-42 произошло на земле и три - в воздухе. В результате л-т Китайгородский, мл. л-т Прищепа и мл. л-т Титов соверши</w:t>
      </w:r>
      <w:r w:rsidRPr="00925F26">
        <w:rPr>
          <w:color w:val="000000" w:themeColor="text1"/>
          <w:sz w:val="16"/>
          <w:szCs w:val="16"/>
        </w:rPr>
        <w:softHyphen/>
        <w:t>ли вынужденные посадки вне аэродро</w:t>
      </w:r>
      <w:r w:rsidRPr="00925F26">
        <w:rPr>
          <w:color w:val="000000" w:themeColor="text1"/>
          <w:sz w:val="16"/>
          <w:szCs w:val="16"/>
        </w:rPr>
        <w:softHyphen/>
        <w:t>ма. Впоследствии их «десятки» (зав. №N2 1893203, 1890604 и 1892604) были списаны.</w:t>
      </w:r>
    </w:p>
    <w:p w14:paraId="23C1E4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Осмотр моторов, отказавших на земле (зав. №№ 45317, 45541, 45506, 45405, 45663), показал, что основной причиной выхода их из строя являет</w:t>
      </w:r>
      <w:r w:rsidRPr="00925F26">
        <w:rPr>
          <w:color w:val="000000" w:themeColor="text1"/>
          <w:sz w:val="16"/>
          <w:szCs w:val="16"/>
        </w:rPr>
        <w:softHyphen/>
        <w:t>ся разрушение крыльчатки нагнетате</w:t>
      </w:r>
      <w:r w:rsidRPr="00925F26">
        <w:rPr>
          <w:color w:val="000000" w:themeColor="text1"/>
          <w:sz w:val="16"/>
          <w:szCs w:val="16"/>
        </w:rPr>
        <w:softHyphen/>
        <w:t>ля мотора. Аналогичный дефект был обнаружен и на моторах всех Ил-10, совершивших вынужденные посадки.</w:t>
      </w:r>
    </w:p>
    <w:p w14:paraId="607671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Массовый выход из строя матчасти поставил под угрозу выполнение пол</w:t>
      </w:r>
      <w:r w:rsidRPr="00925F26">
        <w:rPr>
          <w:color w:val="000000" w:themeColor="text1"/>
          <w:sz w:val="16"/>
          <w:szCs w:val="16"/>
        </w:rPr>
        <w:softHyphen/>
        <w:t>ком плановой таблицы боевых выле</w:t>
      </w:r>
      <w:r w:rsidRPr="00925F26">
        <w:rPr>
          <w:color w:val="000000" w:themeColor="text1"/>
          <w:sz w:val="16"/>
          <w:szCs w:val="16"/>
        </w:rPr>
        <w:softHyphen/>
        <w:t>тов. Однако комдив Котельников по</w:t>
      </w:r>
      <w:r w:rsidRPr="00925F26">
        <w:rPr>
          <w:color w:val="000000" w:themeColor="text1"/>
          <w:sz w:val="16"/>
          <w:szCs w:val="16"/>
        </w:rPr>
        <w:softHyphen/>
        <w:t>требовал вне зависимости от обстоя</w:t>
      </w:r>
      <w:r w:rsidRPr="00925F26">
        <w:rPr>
          <w:color w:val="000000" w:themeColor="text1"/>
          <w:sz w:val="16"/>
          <w:szCs w:val="16"/>
        </w:rPr>
        <w:softHyphen/>
        <w:t>тельств обеспечить производство всех запланированных на день вылетов. В итоге наиболее опытным летчикам полка пришлось по 5 раз вылетать на выполнение боевого задания.</w:t>
      </w:r>
    </w:p>
    <w:p w14:paraId="3AE6FC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исходе дня в 20.20 из штаба ди</w:t>
      </w:r>
      <w:r w:rsidRPr="00925F26">
        <w:rPr>
          <w:color w:val="000000" w:themeColor="text1"/>
          <w:sz w:val="16"/>
          <w:szCs w:val="16"/>
        </w:rPr>
        <w:softHyphen/>
        <w:t>визии пришло приказание: «Подгото</w:t>
      </w:r>
      <w:r w:rsidRPr="00925F26">
        <w:rPr>
          <w:color w:val="000000" w:themeColor="text1"/>
          <w:sz w:val="16"/>
          <w:szCs w:val="16"/>
        </w:rPr>
        <w:softHyphen/>
        <w:t>вить и выделить группу из 9 Ил-10 для нанесения бомбоштурмового удара по отступающему противнику по дорогам в районе Синице».</w:t>
      </w:r>
    </w:p>
    <w:p w14:paraId="4A6382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Уже через 15 минут вылетела груп</w:t>
      </w:r>
      <w:r w:rsidRPr="00925F26">
        <w:rPr>
          <w:color w:val="000000" w:themeColor="text1"/>
          <w:sz w:val="16"/>
          <w:szCs w:val="16"/>
        </w:rPr>
        <w:softHyphen/>
        <w:t>па ст. л-та Белова в составе 9 Ил-10.</w:t>
      </w:r>
    </w:p>
    <w:p w14:paraId="66A207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Сбор экипажей после взлета был орга</w:t>
      </w:r>
      <w:r w:rsidRPr="00925F26">
        <w:rPr>
          <w:color w:val="000000" w:themeColor="text1"/>
          <w:sz w:val="16"/>
          <w:szCs w:val="16"/>
        </w:rPr>
        <w:softHyphen/>
        <w:t>низованным и быстрым. Истребители прикрытия пристроились к штурмови</w:t>
      </w:r>
      <w:r w:rsidRPr="00925F26">
        <w:rPr>
          <w:color w:val="000000" w:themeColor="text1"/>
          <w:sz w:val="16"/>
          <w:szCs w:val="16"/>
        </w:rPr>
        <w:softHyphen/>
        <w:t>кам через 3 минуты.</w:t>
      </w:r>
    </w:p>
    <w:p w14:paraId="70FFDD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Лететь по маршруту экипажам при</w:t>
      </w:r>
      <w:r w:rsidRPr="00925F26">
        <w:rPr>
          <w:color w:val="000000" w:themeColor="text1"/>
          <w:sz w:val="16"/>
          <w:szCs w:val="16"/>
        </w:rPr>
        <w:softHyphen/>
        <w:t>шлось в сильной густой дымке с резко ограниченной до 1 км видимостью. Тем не менее, на цель вышли точно и про</w:t>
      </w:r>
      <w:r w:rsidRPr="00925F26">
        <w:rPr>
          <w:color w:val="000000" w:themeColor="text1"/>
          <w:sz w:val="16"/>
          <w:szCs w:val="16"/>
        </w:rPr>
        <w:softHyphen/>
        <w:t>извели атаку схода, поскольку цель представляла собой «длинную с не</w:t>
      </w:r>
      <w:r w:rsidRPr="00925F26">
        <w:rPr>
          <w:color w:val="000000" w:themeColor="text1"/>
          <w:sz w:val="16"/>
          <w:szCs w:val="16"/>
        </w:rPr>
        <w:softHyphen/>
        <w:t>большими интервалами цепочку дви</w:t>
      </w:r>
      <w:r w:rsidRPr="00925F26">
        <w:rPr>
          <w:color w:val="000000" w:themeColor="text1"/>
          <w:sz w:val="16"/>
          <w:szCs w:val="16"/>
        </w:rPr>
        <w:softHyphen/>
        <w:t>жения автомашин, повозок, артилле</w:t>
      </w:r>
      <w:r w:rsidRPr="00925F26">
        <w:rPr>
          <w:color w:val="000000" w:themeColor="text1"/>
          <w:sz w:val="16"/>
          <w:szCs w:val="16"/>
        </w:rPr>
        <w:softHyphen/>
        <w:t>рии» - промахнуться было сложно. Так поздно немцы не ожидали налета со</w:t>
      </w:r>
      <w:r w:rsidRPr="00925F26">
        <w:rPr>
          <w:color w:val="000000" w:themeColor="text1"/>
          <w:sz w:val="16"/>
          <w:szCs w:val="16"/>
        </w:rPr>
        <w:softHyphen/>
        <w:t>ветских штурмовиков. Поэтому зенит</w:t>
      </w:r>
      <w:r w:rsidRPr="00925F26">
        <w:rPr>
          <w:color w:val="000000" w:themeColor="text1"/>
          <w:sz w:val="16"/>
          <w:szCs w:val="16"/>
        </w:rPr>
        <w:softHyphen/>
        <w:t>ного огня не было. Группа прошлась вдоль колонны, и летчики успели вы</w:t>
      </w:r>
      <w:r w:rsidRPr="00925F26">
        <w:rPr>
          <w:color w:val="000000" w:themeColor="text1"/>
          <w:sz w:val="16"/>
          <w:szCs w:val="16"/>
        </w:rPr>
        <w:softHyphen/>
        <w:t>полнить несколько атак. В результате по докладам экипажей было уничто</w:t>
      </w:r>
      <w:r w:rsidRPr="00925F26">
        <w:rPr>
          <w:color w:val="000000" w:themeColor="text1"/>
          <w:sz w:val="16"/>
          <w:szCs w:val="16"/>
        </w:rPr>
        <w:softHyphen/>
        <w:t>жено и повреждено до 20 автомашин и создан большой очаг пожара.</w:t>
      </w:r>
    </w:p>
    <w:p w14:paraId="22DFB7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работы над целью группа со</w:t>
      </w:r>
      <w:r w:rsidRPr="00925F26">
        <w:rPr>
          <w:color w:val="000000" w:themeColor="text1"/>
          <w:sz w:val="16"/>
          <w:szCs w:val="16"/>
        </w:rPr>
        <w:softHyphen/>
        <w:t>бралась также быстро и организован</w:t>
      </w:r>
      <w:r w:rsidRPr="00925F26">
        <w:rPr>
          <w:color w:val="000000" w:themeColor="text1"/>
          <w:sz w:val="16"/>
          <w:szCs w:val="16"/>
        </w:rPr>
        <w:softHyphen/>
        <w:t>но. На свой аэродром возвращались экипажи уже в сумерках. На подходе к аэродрому ст. л-т Белов подал команду ведомым: «Посадка с зажженными фа</w:t>
      </w:r>
      <w:r w:rsidRPr="00925F26">
        <w:rPr>
          <w:color w:val="000000" w:themeColor="text1"/>
          <w:sz w:val="16"/>
          <w:szCs w:val="16"/>
        </w:rPr>
        <w:softHyphen/>
        <w:t>рами». К этому времени на самом аэро</w:t>
      </w:r>
      <w:r w:rsidRPr="00925F26">
        <w:rPr>
          <w:color w:val="000000" w:themeColor="text1"/>
          <w:sz w:val="16"/>
          <w:szCs w:val="16"/>
        </w:rPr>
        <w:softHyphen/>
        <w:t>дроме уже был организован старт, заж</w:t>
      </w:r>
      <w:r w:rsidRPr="00925F26">
        <w:rPr>
          <w:color w:val="000000" w:themeColor="text1"/>
          <w:sz w:val="16"/>
          <w:szCs w:val="16"/>
        </w:rPr>
        <w:softHyphen/>
        <w:t>гли факелы и ракеты. Летчики, не имев</w:t>
      </w:r>
      <w:r w:rsidRPr="00925F26">
        <w:rPr>
          <w:color w:val="000000" w:themeColor="text1"/>
          <w:sz w:val="16"/>
          <w:szCs w:val="16"/>
        </w:rPr>
        <w:softHyphen/>
        <w:t>шие до этого опыта боевой работы но</w:t>
      </w:r>
      <w:r w:rsidRPr="00925F26">
        <w:rPr>
          <w:color w:val="000000" w:themeColor="text1"/>
          <w:sz w:val="16"/>
          <w:szCs w:val="16"/>
        </w:rPr>
        <w:softHyphen/>
        <w:t>чью, в 21.31 благополучно произвели посадку. Боевая работа 571-го штур</w:t>
      </w:r>
      <w:r w:rsidRPr="00925F26">
        <w:rPr>
          <w:color w:val="000000" w:themeColor="text1"/>
          <w:sz w:val="16"/>
          <w:szCs w:val="16"/>
        </w:rPr>
        <w:softHyphen/>
        <w:t>мового авиаполка в Великой Отече</w:t>
      </w:r>
      <w:r w:rsidRPr="00925F26">
        <w:rPr>
          <w:color w:val="000000" w:themeColor="text1"/>
          <w:sz w:val="16"/>
          <w:szCs w:val="16"/>
        </w:rPr>
        <w:softHyphen/>
        <w:t>ственной войне закончилась.</w:t>
      </w:r>
    </w:p>
    <w:p w14:paraId="7B890C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Уже на следующий день после окончания боевых действий для рас</w:t>
      </w:r>
      <w:r w:rsidRPr="00925F26">
        <w:rPr>
          <w:color w:val="000000" w:themeColor="text1"/>
          <w:sz w:val="16"/>
          <w:szCs w:val="16"/>
        </w:rPr>
        <w:softHyphen/>
        <w:t>следования случившегося в полк из управления 8-й ВА прибыла специаль</w:t>
      </w:r>
      <w:r w:rsidRPr="00925F26">
        <w:rPr>
          <w:color w:val="000000" w:themeColor="text1"/>
          <w:sz w:val="16"/>
          <w:szCs w:val="16"/>
        </w:rPr>
        <w:softHyphen/>
        <w:t>ная комиссия во главе с начальником отдела эксплуатации армии подпол</w:t>
      </w:r>
      <w:r w:rsidRPr="00925F26">
        <w:rPr>
          <w:color w:val="000000" w:themeColor="text1"/>
          <w:sz w:val="16"/>
          <w:szCs w:val="16"/>
        </w:rPr>
        <w:softHyphen/>
        <w:t>ковником Ивановым. Для комиссии с четырех исправных самолетов Ил-10 (зав. №№ 1891903,1893603,1894403, 1890903), выбранных членами комис</w:t>
      </w:r>
      <w:r w:rsidRPr="00925F26">
        <w:rPr>
          <w:color w:val="000000" w:themeColor="text1"/>
          <w:sz w:val="16"/>
          <w:szCs w:val="16"/>
        </w:rPr>
        <w:softHyphen/>
        <w:t>сии наугад, были сняты моторы. На всех моторах была обнаружена «боль</w:t>
      </w:r>
      <w:r w:rsidRPr="00925F26">
        <w:rPr>
          <w:color w:val="000000" w:themeColor="text1"/>
          <w:sz w:val="16"/>
          <w:szCs w:val="16"/>
        </w:rPr>
        <w:softHyphen/>
        <w:t>шая разработка валиков импеллеров, которые имели большой люфт, а также обнаружено в нагнетателях много пыли и песку». Вывод комиссии был однозначен: самолеты с такими мото</w:t>
      </w:r>
      <w:r w:rsidRPr="00925F26">
        <w:rPr>
          <w:color w:val="000000" w:themeColor="text1"/>
          <w:sz w:val="16"/>
          <w:szCs w:val="16"/>
        </w:rPr>
        <w:softHyphen/>
        <w:t>рами в полет выпускать нельзя (11157).</w:t>
      </w:r>
    </w:p>
    <w:p w14:paraId="539F1B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9E8DE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8 мая с 15 апреля 1945 экипажи 571-го, 108-го гвар</w:t>
      </w:r>
      <w:r w:rsidRPr="00925F26">
        <w:rPr>
          <w:color w:val="000000" w:themeColor="text1"/>
          <w:sz w:val="16"/>
          <w:szCs w:val="16"/>
        </w:rPr>
        <w:softHyphen/>
        <w:t>дейского и 118-го гвардейского штур</w:t>
      </w:r>
      <w:r w:rsidRPr="00925F26">
        <w:rPr>
          <w:color w:val="000000" w:themeColor="text1"/>
          <w:sz w:val="16"/>
          <w:szCs w:val="16"/>
        </w:rPr>
        <w:softHyphen/>
        <w:t>мовых авиаполков выполнили на Ил-10 1019 бо</w:t>
      </w:r>
      <w:r w:rsidRPr="00925F26">
        <w:rPr>
          <w:color w:val="000000" w:themeColor="text1"/>
          <w:sz w:val="16"/>
          <w:szCs w:val="16"/>
        </w:rPr>
        <w:softHyphen/>
        <w:t xml:space="preserve">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в основном на атаку артиллерии, танков, автомашин и живой силы противника. Из этого чис</w:t>
      </w:r>
      <w:r w:rsidRPr="00925F26">
        <w:rPr>
          <w:color w:val="000000" w:themeColor="text1"/>
          <w:sz w:val="16"/>
          <w:szCs w:val="16"/>
        </w:rPr>
        <w:softHyphen/>
        <w:t xml:space="preserve">ла 735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приходится на 571-й ШАП и 224 - на 108-й ГШАП.</w:t>
      </w:r>
    </w:p>
    <w:p w14:paraId="15B844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Все боевые вылеты выполнялись только в простых метеоусловиях. В среднем в течение одного дня полки выполняли около 30-32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группами от 6-8 до 12-24 Ил-10.</w:t>
      </w:r>
    </w:p>
    <w:p w14:paraId="5929B1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Боевая работа велась в основном по точечным целям на переднем крае и в ближайшем тылу. Подавляющее количе</w:t>
      </w:r>
      <w:r w:rsidRPr="00925F26">
        <w:rPr>
          <w:color w:val="000000" w:themeColor="text1"/>
          <w:sz w:val="16"/>
          <w:szCs w:val="16"/>
        </w:rPr>
        <w:softHyphen/>
        <w:t>ство боевых вылетов (свыше 98%) было выполнено на атаку танков, автомашин, артиллерии на огневых позициях и жи</w:t>
      </w:r>
      <w:r w:rsidRPr="00925F26">
        <w:rPr>
          <w:color w:val="000000" w:themeColor="text1"/>
          <w:sz w:val="16"/>
          <w:szCs w:val="16"/>
        </w:rPr>
        <w:softHyphen/>
        <w:t>вой силы противника на поле боя, в ме</w:t>
      </w:r>
      <w:r w:rsidRPr="00925F26">
        <w:rPr>
          <w:color w:val="000000" w:themeColor="text1"/>
          <w:sz w:val="16"/>
          <w:szCs w:val="16"/>
        </w:rPr>
        <w:softHyphen/>
        <w:t>стах сосредоточения и на дорогах.</w:t>
      </w:r>
    </w:p>
    <w:p w14:paraId="2F913F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правило, на боевые задания группы Ил-10 «ходили» в «пеленге» пар, который считался лучшим боевым по</w:t>
      </w:r>
      <w:r w:rsidRPr="00925F26">
        <w:rPr>
          <w:color w:val="000000" w:themeColor="text1"/>
          <w:sz w:val="16"/>
          <w:szCs w:val="16"/>
        </w:rPr>
        <w:softHyphen/>
        <w:t>рядком. На подходе к цели ведущий группы оставлял цель слева от себя, «визируя» ее с доворотом на 90° и пос</w:t>
      </w:r>
      <w:r w:rsidRPr="00925F26">
        <w:rPr>
          <w:color w:val="000000" w:themeColor="text1"/>
          <w:sz w:val="16"/>
          <w:szCs w:val="16"/>
        </w:rPr>
        <w:softHyphen/>
        <w:t>ледующим пикированием подуглом 15-40°. Выход из атаки с правым или ле</w:t>
      </w:r>
      <w:r w:rsidRPr="00925F26">
        <w:rPr>
          <w:color w:val="000000" w:themeColor="text1"/>
          <w:sz w:val="16"/>
          <w:szCs w:val="16"/>
        </w:rPr>
        <w:softHyphen/>
        <w:t>вым разворотом. В первом заходе обыч</w:t>
      </w:r>
      <w:r w:rsidRPr="00925F26">
        <w:rPr>
          <w:color w:val="000000" w:themeColor="text1"/>
          <w:sz w:val="16"/>
          <w:szCs w:val="16"/>
        </w:rPr>
        <w:softHyphen/>
        <w:t>но выполнялось бомбометание на вы</w:t>
      </w:r>
      <w:r w:rsidRPr="00925F26">
        <w:rPr>
          <w:color w:val="000000" w:themeColor="text1"/>
          <w:sz w:val="16"/>
          <w:szCs w:val="16"/>
        </w:rPr>
        <w:softHyphen/>
        <w:t>ходе из пикирования с высоты 300-400 м. В последующих заходах велся огонь из пушек и пулеметов со снижением вплоть до бреющего. Огонь открывал</w:t>
      </w:r>
      <w:r w:rsidRPr="00925F26">
        <w:rPr>
          <w:color w:val="000000" w:themeColor="text1"/>
          <w:sz w:val="16"/>
          <w:szCs w:val="16"/>
        </w:rPr>
        <w:softHyphen/>
        <w:t>ся с дистанции 400-500 м. Одновремен</w:t>
      </w:r>
      <w:r w:rsidRPr="00925F26">
        <w:rPr>
          <w:color w:val="000000" w:themeColor="text1"/>
          <w:sz w:val="16"/>
          <w:szCs w:val="16"/>
        </w:rPr>
        <w:softHyphen/>
        <w:t>но подавлялись зенитные средства с отворотом из круга в сторону огневой точки. Благодаря повышенной скорос</w:t>
      </w:r>
      <w:r w:rsidRPr="00925F26">
        <w:rPr>
          <w:color w:val="000000" w:themeColor="text1"/>
          <w:sz w:val="16"/>
          <w:szCs w:val="16"/>
        </w:rPr>
        <w:softHyphen/>
        <w:t>ти и маневренности Ил-10 экипаж, ата</w:t>
      </w:r>
      <w:r w:rsidRPr="00925F26">
        <w:rPr>
          <w:color w:val="000000" w:themeColor="text1"/>
          <w:sz w:val="16"/>
          <w:szCs w:val="16"/>
        </w:rPr>
        <w:softHyphen/>
        <w:t>ковавший зенитную точку, затем легко возвращался на свое место в строю.</w:t>
      </w:r>
    </w:p>
    <w:p w14:paraId="724BE6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Ввод в пикирование выполнялось на скорости 340-350 км/ч. Самолет Ил-10 пикирует устойчиво, легко набирает ско</w:t>
      </w:r>
      <w:r w:rsidRPr="00925F26">
        <w:rPr>
          <w:color w:val="000000" w:themeColor="text1"/>
          <w:sz w:val="16"/>
          <w:szCs w:val="16"/>
        </w:rPr>
        <w:softHyphen/>
        <w:t>рость 550-600 км/ч, после чего «с от</w:t>
      </w:r>
      <w:r w:rsidRPr="00925F26">
        <w:rPr>
          <w:color w:val="000000" w:themeColor="text1"/>
          <w:sz w:val="16"/>
          <w:szCs w:val="16"/>
        </w:rPr>
        <w:softHyphen/>
        <w:t>личной координацией и наивыгоднейшим углом набирает высоту за боевой разво</w:t>
      </w:r>
      <w:r w:rsidRPr="00925F26">
        <w:rPr>
          <w:color w:val="000000" w:themeColor="text1"/>
          <w:sz w:val="16"/>
          <w:szCs w:val="16"/>
        </w:rPr>
        <w:softHyphen/>
        <w:t>рот в среднем до 800-1000 м».</w:t>
      </w:r>
    </w:p>
    <w:p w14:paraId="64CB99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Летчики отмечали, что «вследствие легкости управления и повышенной скорости легко замыкается «круг», эффективно выполняется противозе</w:t>
      </w:r>
      <w:r w:rsidRPr="00925F26">
        <w:rPr>
          <w:color w:val="000000" w:themeColor="text1"/>
          <w:sz w:val="16"/>
          <w:szCs w:val="16"/>
        </w:rPr>
        <w:softHyphen/>
        <w:t>нитный маневр». Противозенитный маневр выполнялся в «пеленге» с ми</w:t>
      </w:r>
      <w:r w:rsidRPr="00925F26">
        <w:rPr>
          <w:color w:val="000000" w:themeColor="text1"/>
          <w:sz w:val="16"/>
          <w:szCs w:val="16"/>
        </w:rPr>
        <w:softHyphen/>
        <w:t>нимальной глубиной строя и с увели</w:t>
      </w:r>
      <w:r w:rsidRPr="00925F26">
        <w:rPr>
          <w:color w:val="000000" w:themeColor="text1"/>
          <w:sz w:val="16"/>
          <w:szCs w:val="16"/>
        </w:rPr>
        <w:softHyphen/>
        <w:t>ченными интервалами. Маневрирова</w:t>
      </w:r>
      <w:r w:rsidRPr="00925F26">
        <w:rPr>
          <w:color w:val="000000" w:themeColor="text1"/>
          <w:sz w:val="16"/>
          <w:szCs w:val="16"/>
        </w:rPr>
        <w:softHyphen/>
        <w:t>ние выполнялось одиночными самоле</w:t>
      </w:r>
      <w:r w:rsidRPr="00925F26">
        <w:rPr>
          <w:color w:val="000000" w:themeColor="text1"/>
          <w:sz w:val="16"/>
          <w:szCs w:val="16"/>
        </w:rPr>
        <w:softHyphen/>
        <w:t>тами, как по высоте, так и по курсу: применялись боевые развороты, «змейка», уход от цели на бреющем полете и т.д. Особенно выгоден маневр по высоте, ввиду высокой вертикаль</w:t>
      </w:r>
      <w:r w:rsidRPr="00925F26">
        <w:rPr>
          <w:color w:val="000000" w:themeColor="text1"/>
          <w:sz w:val="16"/>
          <w:szCs w:val="16"/>
        </w:rPr>
        <w:softHyphen/>
        <w:t>ной маневренности Ил-10.</w:t>
      </w:r>
    </w:p>
    <w:p w14:paraId="71BF70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большинстве случаев, зенитный огонь по самолетам Ил-10 велся при</w:t>
      </w:r>
      <w:r w:rsidRPr="00925F26">
        <w:rPr>
          <w:color w:val="000000" w:themeColor="text1"/>
          <w:sz w:val="16"/>
          <w:szCs w:val="16"/>
        </w:rPr>
        <w:softHyphen/>
        <w:t>цельно и сосредоточивался на веду</w:t>
      </w:r>
      <w:r w:rsidRPr="00925F26">
        <w:rPr>
          <w:color w:val="000000" w:themeColor="text1"/>
          <w:sz w:val="16"/>
          <w:szCs w:val="16"/>
        </w:rPr>
        <w:softHyphen/>
        <w:t>щем самолете обычно еще до подхода к цели. При применении экипажами Ил-10 противозенитного маневра раз</w:t>
      </w:r>
      <w:r w:rsidRPr="00925F26">
        <w:rPr>
          <w:color w:val="000000" w:themeColor="text1"/>
          <w:sz w:val="16"/>
          <w:szCs w:val="16"/>
        </w:rPr>
        <w:softHyphen/>
        <w:t>рывы наблюдались сзади группы, так как немецкие зенитные расчеты ори</w:t>
      </w:r>
      <w:r w:rsidRPr="00925F26">
        <w:rPr>
          <w:color w:val="000000" w:themeColor="text1"/>
          <w:sz w:val="16"/>
          <w:szCs w:val="16"/>
        </w:rPr>
        <w:softHyphen/>
        <w:t>ентировались на летные данные Ил-2, скорость которого меньше.</w:t>
      </w:r>
    </w:p>
    <w:p w14:paraId="585DA0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 же время ввиду повышенной скорости полета Ил-10 поиск целей на поле боя стал более сложным, чем на самолете Ил-2. При атаке цели на Ил-10 прицеливаться легче, чем на Ил-2.</w:t>
      </w:r>
    </w:p>
    <w:p w14:paraId="1AF56A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появлении истребителей про</w:t>
      </w:r>
      <w:r w:rsidRPr="00925F26">
        <w:rPr>
          <w:color w:val="000000" w:themeColor="text1"/>
          <w:sz w:val="16"/>
          <w:szCs w:val="16"/>
        </w:rPr>
        <w:softHyphen/>
        <w:t>тивника Ил-10 становились в оборо</w:t>
      </w:r>
      <w:r w:rsidRPr="00925F26">
        <w:rPr>
          <w:color w:val="000000" w:themeColor="text1"/>
          <w:sz w:val="16"/>
          <w:szCs w:val="16"/>
        </w:rPr>
        <w:softHyphen/>
        <w:t>нительный «круг». Дистанция между самолетами в круге из 6-8 Ил-10 со</w:t>
      </w:r>
      <w:r w:rsidRPr="00925F26">
        <w:rPr>
          <w:color w:val="000000" w:themeColor="text1"/>
          <w:sz w:val="16"/>
          <w:szCs w:val="16"/>
        </w:rPr>
        <w:softHyphen/>
        <w:t>ставляла 200-300 м. Пилотирование в круге выполнялось на скоростях 350-380 км/ч. При попытке пилотов люфт</w:t>
      </w:r>
      <w:r w:rsidRPr="00925F26">
        <w:rPr>
          <w:color w:val="000000" w:themeColor="text1"/>
          <w:sz w:val="16"/>
          <w:szCs w:val="16"/>
        </w:rPr>
        <w:softHyphen/>
        <w:t>ваффе атаковать штурмовиков, ведо</w:t>
      </w:r>
      <w:r w:rsidRPr="00925F26">
        <w:rPr>
          <w:color w:val="000000" w:themeColor="text1"/>
          <w:sz w:val="16"/>
          <w:szCs w:val="16"/>
        </w:rPr>
        <w:softHyphen/>
        <w:t>мые энергичным отворотом на 30-45° в сторону истребителей отражали их атаки, а затем легко занимали свое ме</w:t>
      </w:r>
      <w:r w:rsidRPr="00925F26">
        <w:rPr>
          <w:color w:val="000000" w:themeColor="text1"/>
          <w:sz w:val="16"/>
          <w:szCs w:val="16"/>
        </w:rPr>
        <w:softHyphen/>
        <w:t>сто в круге за счет «запаса скорости, маневренности и легкости в управле</w:t>
      </w:r>
      <w:r w:rsidRPr="00925F26">
        <w:rPr>
          <w:color w:val="000000" w:themeColor="text1"/>
          <w:sz w:val="16"/>
          <w:szCs w:val="16"/>
        </w:rPr>
        <w:softHyphen/>
        <w:t>нии».</w:t>
      </w:r>
    </w:p>
    <w:p w14:paraId="53FE5F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отчетных документах особенно отмечалось, что самолет Ил-10 более скоростной и маневренный, чем Ил-2, поэтому борьбу с истребителями про</w:t>
      </w:r>
      <w:r w:rsidRPr="00925F26">
        <w:rPr>
          <w:color w:val="000000" w:themeColor="text1"/>
          <w:sz w:val="16"/>
          <w:szCs w:val="16"/>
        </w:rPr>
        <w:softHyphen/>
        <w:t>тивника вести легче.</w:t>
      </w:r>
    </w:p>
    <w:p w14:paraId="60B307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Атаки немецкие пилоты выполняли сзади сверху, снизу и сбоку под раккур-сами 0/4,1/4 и 2/4. Огонь открывался с больших дистанций - 400-500 м, и до дистанции 200 м велся длинными оче</w:t>
      </w:r>
      <w:r w:rsidRPr="00925F26">
        <w:rPr>
          <w:color w:val="000000" w:themeColor="text1"/>
          <w:sz w:val="16"/>
          <w:szCs w:val="16"/>
        </w:rPr>
        <w:softHyphen/>
        <w:t>редями, а затем - средними очередями.</w:t>
      </w:r>
    </w:p>
    <w:p w14:paraId="4F3D25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Отмечались случаи встречи с новей-шими истребителями люфтваффе Ри 1900-9. Летчики указывали, что они «обладают большим диапазоном скоро</w:t>
      </w:r>
      <w:r w:rsidRPr="00925F26">
        <w:rPr>
          <w:color w:val="000000" w:themeColor="text1"/>
          <w:sz w:val="16"/>
          <w:szCs w:val="16"/>
        </w:rPr>
        <w:softHyphen/>
        <w:t>стей - атака производится на неболь</w:t>
      </w:r>
      <w:r w:rsidRPr="00925F26">
        <w:rPr>
          <w:color w:val="000000" w:themeColor="text1"/>
          <w:sz w:val="16"/>
          <w:szCs w:val="16"/>
        </w:rPr>
        <w:softHyphen/>
        <w:t>шой скорости, но подход и уход на боль</w:t>
      </w:r>
      <w:r w:rsidRPr="00925F26">
        <w:rPr>
          <w:color w:val="000000" w:themeColor="text1"/>
          <w:sz w:val="16"/>
          <w:szCs w:val="16"/>
        </w:rPr>
        <w:softHyphen/>
        <w:t>ших, и наши истребители не успевают реагировать».</w:t>
      </w:r>
    </w:p>
    <w:p w14:paraId="77E29C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 xml:space="preserve">По общему мнению </w:t>
      </w:r>
      <w:proofErr w:type="gramEnd"/>
      <w:r w:rsidRPr="00925F26">
        <w:rPr>
          <w:color w:val="000000" w:themeColor="text1"/>
          <w:sz w:val="16"/>
          <w:szCs w:val="16"/>
        </w:rPr>
        <w:t>летного соста</w:t>
      </w:r>
      <w:r w:rsidRPr="00925F26">
        <w:rPr>
          <w:color w:val="000000" w:themeColor="text1"/>
          <w:sz w:val="16"/>
          <w:szCs w:val="16"/>
        </w:rPr>
        <w:softHyphen/>
        <w:t>ва для прикрытия группы из 6-8 само</w:t>
      </w:r>
      <w:r w:rsidRPr="00925F26">
        <w:rPr>
          <w:color w:val="000000" w:themeColor="text1"/>
          <w:sz w:val="16"/>
          <w:szCs w:val="16"/>
        </w:rPr>
        <w:softHyphen/>
        <w:t>летов Ил-10 применительно к услови</w:t>
      </w:r>
      <w:r w:rsidRPr="00925F26">
        <w:rPr>
          <w:color w:val="000000" w:themeColor="text1"/>
          <w:sz w:val="16"/>
          <w:szCs w:val="16"/>
        </w:rPr>
        <w:softHyphen/>
        <w:t>ям воздушной обстановки конца вой</w:t>
      </w:r>
      <w:r w:rsidRPr="00925F26">
        <w:rPr>
          <w:color w:val="000000" w:themeColor="text1"/>
          <w:sz w:val="16"/>
          <w:szCs w:val="16"/>
        </w:rPr>
        <w:softHyphen/>
        <w:t>ны достаточно выделять две пары ис</w:t>
      </w:r>
      <w:r w:rsidRPr="00925F26">
        <w:rPr>
          <w:color w:val="000000" w:themeColor="text1"/>
          <w:sz w:val="16"/>
          <w:szCs w:val="16"/>
        </w:rPr>
        <w:softHyphen/>
        <w:t>требителей, на группу из 4 Ил-10 - до</w:t>
      </w:r>
      <w:r w:rsidRPr="00925F26">
        <w:rPr>
          <w:color w:val="000000" w:themeColor="text1"/>
          <w:sz w:val="16"/>
          <w:szCs w:val="16"/>
        </w:rPr>
        <w:softHyphen/>
        <w:t>статочно одной пары.</w:t>
      </w:r>
    </w:p>
    <w:p w14:paraId="4BA169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штурмовик сравнивали в первую очередь с его предшественни</w:t>
      </w:r>
      <w:r w:rsidRPr="00925F26">
        <w:rPr>
          <w:color w:val="000000" w:themeColor="text1"/>
          <w:sz w:val="16"/>
          <w:szCs w:val="16"/>
        </w:rPr>
        <w:softHyphen/>
        <w:t>ком, знаменитым Ил-2. Ил-10 имел мно</w:t>
      </w:r>
      <w:r w:rsidRPr="00925F26">
        <w:rPr>
          <w:color w:val="000000" w:themeColor="text1"/>
          <w:sz w:val="16"/>
          <w:szCs w:val="16"/>
        </w:rPr>
        <w:softHyphen/>
        <w:t>го преимуществ по сравнению с ним. Цельнометаллическая конструкция уп</w:t>
      </w:r>
      <w:r w:rsidRPr="00925F26">
        <w:rPr>
          <w:color w:val="000000" w:themeColor="text1"/>
          <w:sz w:val="16"/>
          <w:szCs w:val="16"/>
        </w:rPr>
        <w:softHyphen/>
        <w:t>рощала уход за самолетом и увеличи</w:t>
      </w:r>
      <w:r w:rsidRPr="00925F26">
        <w:rPr>
          <w:color w:val="000000" w:themeColor="text1"/>
          <w:sz w:val="16"/>
          <w:szCs w:val="16"/>
        </w:rPr>
        <w:softHyphen/>
        <w:t>вала срок его службы. Этому способ</w:t>
      </w:r>
      <w:r w:rsidRPr="00925F26">
        <w:rPr>
          <w:color w:val="000000" w:themeColor="text1"/>
          <w:sz w:val="16"/>
          <w:szCs w:val="16"/>
        </w:rPr>
        <w:softHyphen/>
        <w:t>ствовали также применение потайной клепки и качественная окраска маши</w:t>
      </w:r>
      <w:r w:rsidRPr="00925F26">
        <w:rPr>
          <w:color w:val="000000" w:themeColor="text1"/>
          <w:sz w:val="16"/>
          <w:szCs w:val="16"/>
        </w:rPr>
        <w:softHyphen/>
        <w:t>ны. Удобные эксплуатационные люки обеспечивали хороший подход к тру</w:t>
      </w:r>
      <w:r w:rsidRPr="00925F26">
        <w:rPr>
          <w:color w:val="000000" w:themeColor="text1"/>
          <w:sz w:val="16"/>
          <w:szCs w:val="16"/>
        </w:rPr>
        <w:softHyphen/>
        <w:t>бопроводам, агрегатам и деталям уп</w:t>
      </w:r>
      <w:r w:rsidRPr="00925F26">
        <w:rPr>
          <w:color w:val="000000" w:themeColor="text1"/>
          <w:sz w:val="16"/>
          <w:szCs w:val="16"/>
        </w:rPr>
        <w:softHyphen/>
        <w:t>равления.</w:t>
      </w:r>
    </w:p>
    <w:p w14:paraId="0A524B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документах особо отмечалось, что Ил-10 более скоростной, чем старый Ил-2. Максимальная скорость у земли «десяток» первых серий фиксирова</w:t>
      </w:r>
      <w:r w:rsidRPr="00925F26">
        <w:rPr>
          <w:color w:val="000000" w:themeColor="text1"/>
          <w:sz w:val="16"/>
          <w:szCs w:val="16"/>
        </w:rPr>
        <w:softHyphen/>
        <w:t>лась на уровне 500-505 км/ч, что по</w:t>
      </w:r>
      <w:r w:rsidRPr="00925F26">
        <w:rPr>
          <w:color w:val="000000" w:themeColor="text1"/>
          <w:sz w:val="16"/>
          <w:szCs w:val="16"/>
        </w:rPr>
        <w:softHyphen/>
        <w:t>зволяло эффективнее бороться с ис</w:t>
      </w:r>
      <w:r w:rsidRPr="00925F26">
        <w:rPr>
          <w:color w:val="000000" w:themeColor="text1"/>
          <w:sz w:val="16"/>
          <w:szCs w:val="16"/>
        </w:rPr>
        <w:softHyphen/>
        <w:t>требителями противника и уклонять</w:t>
      </w:r>
      <w:r w:rsidRPr="00925F26">
        <w:rPr>
          <w:color w:val="000000" w:themeColor="text1"/>
          <w:sz w:val="16"/>
          <w:szCs w:val="16"/>
        </w:rPr>
        <w:softHyphen/>
        <w:t>ся от огня зенитной артиллерии.</w:t>
      </w:r>
    </w:p>
    <w:p w14:paraId="123794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Нормальная скорость на маршруте составляла около 350 км/ч. Оптималь</w:t>
      </w:r>
      <w:r w:rsidRPr="00925F26">
        <w:rPr>
          <w:color w:val="000000" w:themeColor="text1"/>
          <w:sz w:val="16"/>
          <w:szCs w:val="16"/>
        </w:rPr>
        <w:softHyphen/>
        <w:t>ным режимом полета на Ил-10 на вы</w:t>
      </w:r>
      <w:r w:rsidRPr="00925F26">
        <w:rPr>
          <w:color w:val="000000" w:themeColor="text1"/>
          <w:sz w:val="16"/>
          <w:szCs w:val="16"/>
        </w:rPr>
        <w:softHyphen/>
        <w:t>соте 500-800 м считался режим: 1500 об/мин и давление на всасывании 725 мм.рт.ст. Однако оказалось, что при длительном полете на этом режиме заб</w:t>
      </w:r>
      <w:r w:rsidRPr="00925F26">
        <w:rPr>
          <w:color w:val="000000" w:themeColor="text1"/>
          <w:sz w:val="16"/>
          <w:szCs w:val="16"/>
        </w:rPr>
        <w:softHyphen/>
        <w:t>рызгивались свечи, мотор трясло. По</w:t>
      </w:r>
      <w:r w:rsidRPr="00925F26">
        <w:rPr>
          <w:color w:val="000000" w:themeColor="text1"/>
          <w:sz w:val="16"/>
          <w:szCs w:val="16"/>
        </w:rPr>
        <w:softHyphen/>
        <w:t>этому в частях реально летали на ре</w:t>
      </w:r>
      <w:r w:rsidRPr="00925F26">
        <w:rPr>
          <w:color w:val="000000" w:themeColor="text1"/>
          <w:sz w:val="16"/>
          <w:szCs w:val="16"/>
        </w:rPr>
        <w:softHyphen/>
        <w:t>жиме: 1700 об/мин и 750 мм.рт.ст. По этой причине не добирали по дально</w:t>
      </w:r>
      <w:r w:rsidRPr="00925F26">
        <w:rPr>
          <w:color w:val="000000" w:themeColor="text1"/>
          <w:sz w:val="16"/>
          <w:szCs w:val="16"/>
        </w:rPr>
        <w:softHyphen/>
        <w:t>сти примерно 5 минут полета, что со</w:t>
      </w:r>
      <w:r w:rsidRPr="00925F26">
        <w:rPr>
          <w:color w:val="000000" w:themeColor="text1"/>
          <w:sz w:val="16"/>
          <w:szCs w:val="16"/>
        </w:rPr>
        <w:softHyphen/>
        <w:t>вершенно не отражалось на выполне</w:t>
      </w:r>
      <w:r w:rsidRPr="00925F26">
        <w:rPr>
          <w:color w:val="000000" w:themeColor="text1"/>
          <w:sz w:val="16"/>
          <w:szCs w:val="16"/>
        </w:rPr>
        <w:softHyphen/>
        <w:t>нии боевых заданий, так как летать на предельный радиус не приходилось. Посадочная скорость со щитками была в пределах 148-150 км/ч, а без щитков - 168 км/ч.</w:t>
      </w:r>
    </w:p>
    <w:p w14:paraId="7947A3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сравнении с Ил-2 самолет Ил-10 при выполнении фигур высшего пи</w:t>
      </w:r>
      <w:r w:rsidRPr="00925F26">
        <w:rPr>
          <w:color w:val="000000" w:themeColor="text1"/>
          <w:sz w:val="16"/>
          <w:szCs w:val="16"/>
        </w:rPr>
        <w:softHyphen/>
        <w:t>лотажа оказался более устойчив, осо</w:t>
      </w:r>
      <w:r w:rsidRPr="00925F26">
        <w:rPr>
          <w:color w:val="000000" w:themeColor="text1"/>
          <w:sz w:val="16"/>
          <w:szCs w:val="16"/>
        </w:rPr>
        <w:softHyphen/>
        <w:t>бенно на виражах.</w:t>
      </w:r>
    </w:p>
    <w:p w14:paraId="4C5737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общему мнению, для успешного боевого применения и эксплуатации Ил-10 требуется только хорошая и от</w:t>
      </w:r>
      <w:r w:rsidRPr="00925F26">
        <w:rPr>
          <w:color w:val="000000" w:themeColor="text1"/>
          <w:sz w:val="16"/>
          <w:szCs w:val="16"/>
        </w:rPr>
        <w:softHyphen/>
        <w:t>личная подготовка летного состава в технике пилотирования самолетом, а также отличные знания материальной части. При этом летчики особо отме</w:t>
      </w:r>
      <w:r w:rsidRPr="00925F26">
        <w:rPr>
          <w:color w:val="000000" w:themeColor="text1"/>
          <w:sz w:val="16"/>
          <w:szCs w:val="16"/>
        </w:rPr>
        <w:softHyphen/>
        <w:t>чали, что «десятка» «совершенно не терпит летного состава, недостаточно оттренированного во взлете и посад</w:t>
      </w:r>
      <w:r w:rsidRPr="00925F26">
        <w:rPr>
          <w:color w:val="000000" w:themeColor="text1"/>
          <w:sz w:val="16"/>
          <w:szCs w:val="16"/>
        </w:rPr>
        <w:softHyphen/>
        <w:t>ке»: «Самолет требует исключитель</w:t>
      </w:r>
      <w:r w:rsidRPr="00925F26">
        <w:rPr>
          <w:color w:val="000000" w:themeColor="text1"/>
          <w:sz w:val="16"/>
          <w:szCs w:val="16"/>
        </w:rPr>
        <w:softHyphen/>
        <w:t>но низкого истребительного подхода, а на взлете в первой половине разбега имеет тенденцию к рысканию, в боль</w:t>
      </w:r>
      <w:r w:rsidRPr="00925F26">
        <w:rPr>
          <w:color w:val="000000" w:themeColor="text1"/>
          <w:sz w:val="16"/>
          <w:szCs w:val="16"/>
        </w:rPr>
        <w:softHyphen/>
        <w:t>шинстве случаев с отклонением впра</w:t>
      </w:r>
      <w:r w:rsidRPr="00925F26">
        <w:rPr>
          <w:color w:val="000000" w:themeColor="text1"/>
          <w:sz w:val="16"/>
          <w:szCs w:val="16"/>
        </w:rPr>
        <w:softHyphen/>
        <w:t>во. ...Самолет требует исключитель</w:t>
      </w:r>
      <w:r w:rsidRPr="00925F26">
        <w:rPr>
          <w:color w:val="000000" w:themeColor="text1"/>
          <w:sz w:val="16"/>
          <w:szCs w:val="16"/>
        </w:rPr>
        <w:softHyphen/>
        <w:t>ного внимания, так как рулит неустой</w:t>
      </w:r>
      <w:r w:rsidRPr="00925F26">
        <w:rPr>
          <w:color w:val="000000" w:themeColor="text1"/>
          <w:sz w:val="16"/>
          <w:szCs w:val="16"/>
        </w:rPr>
        <w:softHyphen/>
        <w:t>чиво. При невнимательном или негра</w:t>
      </w:r>
      <w:r w:rsidRPr="00925F26">
        <w:rPr>
          <w:color w:val="000000" w:themeColor="text1"/>
          <w:sz w:val="16"/>
          <w:szCs w:val="16"/>
        </w:rPr>
        <w:softHyphen/>
        <w:t>мотном действии можно вращение на 360° и неоднократно».</w:t>
      </w:r>
    </w:p>
    <w:p w14:paraId="48FF65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Тенденция к развороту вправо обуславливалась сильным реактивным моментом вращающегося винта и уз</w:t>
      </w:r>
      <w:r w:rsidRPr="00925F26">
        <w:rPr>
          <w:color w:val="000000" w:themeColor="text1"/>
          <w:sz w:val="16"/>
          <w:szCs w:val="16"/>
        </w:rPr>
        <w:softHyphen/>
        <w:t>кой колеей шасси. Последнее в сово</w:t>
      </w:r>
      <w:r w:rsidRPr="00925F26">
        <w:rPr>
          <w:color w:val="000000" w:themeColor="text1"/>
          <w:sz w:val="16"/>
          <w:szCs w:val="16"/>
        </w:rPr>
        <w:softHyphen/>
        <w:t>купности с недостаточным обзором вперед приводило к тому, что даже лет</w:t>
      </w:r>
      <w:r w:rsidRPr="00925F26">
        <w:rPr>
          <w:color w:val="000000" w:themeColor="text1"/>
          <w:sz w:val="16"/>
          <w:szCs w:val="16"/>
        </w:rPr>
        <w:softHyphen/>
        <w:t>чик с хорошей техникой пилотирова</w:t>
      </w:r>
      <w:r w:rsidRPr="00925F26">
        <w:rPr>
          <w:color w:val="000000" w:themeColor="text1"/>
          <w:sz w:val="16"/>
          <w:szCs w:val="16"/>
        </w:rPr>
        <w:softHyphen/>
        <w:t>ния не всегда мог выдержать направ</w:t>
      </w:r>
      <w:r w:rsidRPr="00925F26">
        <w:rPr>
          <w:color w:val="000000" w:themeColor="text1"/>
          <w:sz w:val="16"/>
          <w:szCs w:val="16"/>
        </w:rPr>
        <w:softHyphen/>
        <w:t>ление взлета, особенно с сильным бо</w:t>
      </w:r>
      <w:r w:rsidRPr="00925F26">
        <w:rPr>
          <w:color w:val="000000" w:themeColor="text1"/>
          <w:sz w:val="16"/>
          <w:szCs w:val="16"/>
        </w:rPr>
        <w:softHyphen/>
        <w:t>ковым ветром. Чтобы взлететь при сильном боковом ветре опытные лет</w:t>
      </w:r>
      <w:r w:rsidRPr="00925F26">
        <w:rPr>
          <w:color w:val="000000" w:themeColor="text1"/>
          <w:sz w:val="16"/>
          <w:szCs w:val="16"/>
        </w:rPr>
        <w:softHyphen/>
        <w:t>чики зачастую сознательно шли на на</w:t>
      </w:r>
      <w:r w:rsidRPr="00925F26">
        <w:rPr>
          <w:color w:val="000000" w:themeColor="text1"/>
          <w:sz w:val="16"/>
          <w:szCs w:val="16"/>
        </w:rPr>
        <w:softHyphen/>
        <w:t>рушение инструкции: для парирования разворота самолета вследствие сильного ветра кратковременно нажи</w:t>
      </w:r>
      <w:r w:rsidRPr="00925F26">
        <w:rPr>
          <w:color w:val="000000" w:themeColor="text1"/>
          <w:sz w:val="16"/>
          <w:szCs w:val="16"/>
        </w:rPr>
        <w:softHyphen/>
        <w:t>мали на тормоз. «Молодые» же подоб</w:t>
      </w:r>
      <w:r w:rsidRPr="00925F26">
        <w:rPr>
          <w:color w:val="000000" w:themeColor="text1"/>
          <w:sz w:val="16"/>
          <w:szCs w:val="16"/>
        </w:rPr>
        <w:softHyphen/>
        <w:t>ных вольностей позволить себе не мог</w:t>
      </w:r>
      <w:r w:rsidRPr="00925F26">
        <w:rPr>
          <w:color w:val="000000" w:themeColor="text1"/>
          <w:sz w:val="16"/>
          <w:szCs w:val="16"/>
        </w:rPr>
        <w:softHyphen/>
        <w:t>ли - в результате их разворачивало по</w:t>
      </w:r>
      <w:r w:rsidRPr="00925F26">
        <w:rPr>
          <w:color w:val="000000" w:themeColor="text1"/>
          <w:sz w:val="16"/>
          <w:szCs w:val="16"/>
        </w:rPr>
        <w:softHyphen/>
        <w:t>перек полосы, и они прекращали взлет. С подобной особенностью Ил-10 стол</w:t>
      </w:r>
      <w:r w:rsidRPr="00925F26">
        <w:rPr>
          <w:color w:val="000000" w:themeColor="text1"/>
          <w:sz w:val="16"/>
          <w:szCs w:val="16"/>
        </w:rPr>
        <w:softHyphen/>
        <w:t>кнулись абсолютно во всех штурмовых авиаполках.</w:t>
      </w:r>
    </w:p>
    <w:p w14:paraId="08E0ED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Именно по этой причине л-т Г. А. Веселов из 571-го шап 15 апреля раз</w:t>
      </w:r>
      <w:r w:rsidRPr="00925F26">
        <w:rPr>
          <w:color w:val="000000" w:themeColor="text1"/>
          <w:sz w:val="16"/>
          <w:szCs w:val="16"/>
        </w:rPr>
        <w:softHyphen/>
        <w:t>бил свой самолет при взлете на боевое задание.</w:t>
      </w:r>
    </w:p>
    <w:p w14:paraId="3814F6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апреля на взлете потерпел ава</w:t>
      </w:r>
      <w:r w:rsidRPr="00925F26">
        <w:rPr>
          <w:color w:val="000000" w:themeColor="text1"/>
          <w:sz w:val="16"/>
          <w:szCs w:val="16"/>
        </w:rPr>
        <w:softHyphen/>
        <w:t>рию командир звена 108-го ГШАП л-т Е. А. Молтаков. В начале разбега само</w:t>
      </w:r>
      <w:r w:rsidRPr="00925F26">
        <w:rPr>
          <w:color w:val="000000" w:themeColor="text1"/>
          <w:sz w:val="16"/>
          <w:szCs w:val="16"/>
        </w:rPr>
        <w:softHyphen/>
        <w:t>лет развернулся вправо на 7-8°, сво</w:t>
      </w:r>
      <w:r w:rsidRPr="00925F26">
        <w:rPr>
          <w:color w:val="000000" w:themeColor="text1"/>
          <w:sz w:val="16"/>
          <w:szCs w:val="16"/>
        </w:rPr>
        <w:softHyphen/>
        <w:t>евременно парировать разворот лет</w:t>
      </w:r>
      <w:r w:rsidRPr="00925F26">
        <w:rPr>
          <w:color w:val="000000" w:themeColor="text1"/>
          <w:sz w:val="16"/>
          <w:szCs w:val="16"/>
        </w:rPr>
        <w:softHyphen/>
        <w:t>чик не смог. Самолет, выйдя с укатан</w:t>
      </w:r>
      <w:r w:rsidRPr="00925F26">
        <w:rPr>
          <w:color w:val="000000" w:themeColor="text1"/>
          <w:sz w:val="16"/>
          <w:szCs w:val="16"/>
        </w:rPr>
        <w:softHyphen/>
        <w:t>ной полосы правым колесом, развер</w:t>
      </w:r>
      <w:r w:rsidRPr="00925F26">
        <w:rPr>
          <w:color w:val="000000" w:themeColor="text1"/>
          <w:sz w:val="16"/>
          <w:szCs w:val="16"/>
        </w:rPr>
        <w:softHyphen/>
        <w:t>нулся вправо еще больше. Однако Мол</w:t>
      </w:r>
      <w:r w:rsidRPr="00925F26">
        <w:rPr>
          <w:color w:val="000000" w:themeColor="text1"/>
          <w:sz w:val="16"/>
          <w:szCs w:val="16"/>
        </w:rPr>
        <w:softHyphen/>
        <w:t>таков взлет не прекратил, «дал форсаж и подорвал машину». Самолет свалил</w:t>
      </w:r>
      <w:r w:rsidRPr="00925F26">
        <w:rPr>
          <w:color w:val="000000" w:themeColor="text1"/>
          <w:sz w:val="16"/>
          <w:szCs w:val="16"/>
        </w:rPr>
        <w:softHyphen/>
        <w:t>ся на правое крыло и скапотировал. Экипаж получил ранения и отправлен в госпиталь, а Ил-10 зав. № 103051 -списан.</w:t>
      </w:r>
    </w:p>
    <w:p w14:paraId="174B8A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вылете на боевое задание 12 экипажей 118-го гшап 8 мая из-за сильного бокового ветра взлететь смогли только шестерка Верещинско-го и пара из состава шестерки к-на Свищева - сам Свищев и помощник ко</w:t>
      </w:r>
      <w:r w:rsidRPr="00925F26">
        <w:rPr>
          <w:color w:val="000000" w:themeColor="text1"/>
          <w:sz w:val="16"/>
          <w:szCs w:val="16"/>
        </w:rPr>
        <w:softHyphen/>
        <w:t>мандира полка по воздушно-стрелко</w:t>
      </w:r>
      <w:r w:rsidRPr="00925F26">
        <w:rPr>
          <w:color w:val="000000" w:themeColor="text1"/>
          <w:sz w:val="16"/>
          <w:szCs w:val="16"/>
        </w:rPr>
        <w:softHyphen/>
        <w:t>вой службе м-р Шагинов.</w:t>
      </w:r>
    </w:p>
    <w:p w14:paraId="4802C8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отношении стрелково-пушечного вооружения нового штурмовика летный состав указывал, что оно не отличается от Ил-2, но </w:t>
      </w:r>
      <w:proofErr w:type="gramStart"/>
      <w:r w:rsidRPr="00925F26">
        <w:rPr>
          <w:color w:val="000000" w:themeColor="text1"/>
          <w:sz w:val="16"/>
          <w:szCs w:val="16"/>
        </w:rPr>
        <w:t>пневмо-электрическое</w:t>
      </w:r>
      <w:proofErr w:type="gramEnd"/>
      <w:r w:rsidRPr="00925F26">
        <w:rPr>
          <w:color w:val="000000" w:themeColor="text1"/>
          <w:sz w:val="16"/>
          <w:szCs w:val="16"/>
        </w:rPr>
        <w:t xml:space="preserve"> уп</w:t>
      </w:r>
      <w:r w:rsidRPr="00925F26">
        <w:rPr>
          <w:color w:val="000000" w:themeColor="text1"/>
          <w:sz w:val="16"/>
          <w:szCs w:val="16"/>
        </w:rPr>
        <w:softHyphen/>
        <w:t>равление огнем из пушек и пулеметов «исключительноудобное, облегчает ра</w:t>
      </w:r>
      <w:r w:rsidRPr="00925F26">
        <w:rPr>
          <w:color w:val="000000" w:themeColor="text1"/>
          <w:sz w:val="16"/>
          <w:szCs w:val="16"/>
        </w:rPr>
        <w:softHyphen/>
        <w:t>боту летчика и сделано удачно».</w:t>
      </w:r>
    </w:p>
    <w:p w14:paraId="2DDD88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бомбовому вооружению были претензии, поскольку после сброса бомб бомболюки было очень трудно закрыть, так как предусмотренная на самолете механическая система для зак</w:t>
      </w:r>
      <w:r w:rsidRPr="00925F26">
        <w:rPr>
          <w:color w:val="000000" w:themeColor="text1"/>
          <w:sz w:val="16"/>
          <w:szCs w:val="16"/>
        </w:rPr>
        <w:softHyphen/>
        <w:t>рытия створок требовала усилий до 20 кг и к тому же была крайне несовер</w:t>
      </w:r>
      <w:r w:rsidRPr="00925F26">
        <w:rPr>
          <w:color w:val="000000" w:themeColor="text1"/>
          <w:sz w:val="16"/>
          <w:szCs w:val="16"/>
        </w:rPr>
        <w:softHyphen/>
        <w:t>шенной -тросы часто обрывались и за</w:t>
      </w:r>
      <w:r w:rsidRPr="00925F26">
        <w:rPr>
          <w:color w:val="000000" w:themeColor="text1"/>
          <w:sz w:val="16"/>
          <w:szCs w:val="16"/>
        </w:rPr>
        <w:softHyphen/>
        <w:t>едали. Все это приводило ктому, что над целью экипажи после сброса бомб за</w:t>
      </w:r>
      <w:r w:rsidRPr="00925F26">
        <w:rPr>
          <w:color w:val="000000" w:themeColor="text1"/>
          <w:sz w:val="16"/>
          <w:szCs w:val="16"/>
        </w:rPr>
        <w:softHyphen/>
        <w:t>частую продолжали выполнять атаки с открытыми бомболюками. В результате «самолет терял в маневренности'», а створки бомболюков деформирова</w:t>
      </w:r>
      <w:r w:rsidRPr="00925F26">
        <w:rPr>
          <w:color w:val="000000" w:themeColor="text1"/>
          <w:sz w:val="16"/>
          <w:szCs w:val="16"/>
        </w:rPr>
        <w:softHyphen/>
        <w:t>лись. Кроме этого, имелись случаи, ког</w:t>
      </w:r>
      <w:r w:rsidRPr="00925F26">
        <w:rPr>
          <w:color w:val="000000" w:themeColor="text1"/>
          <w:sz w:val="16"/>
          <w:szCs w:val="16"/>
        </w:rPr>
        <w:softHyphen/>
        <w:t>да створки бомбовых отсеков открыва</w:t>
      </w:r>
      <w:r w:rsidRPr="00925F26">
        <w:rPr>
          <w:color w:val="000000" w:themeColor="text1"/>
          <w:sz w:val="16"/>
          <w:szCs w:val="16"/>
        </w:rPr>
        <w:softHyphen/>
        <w:t>лись не полностью и бомбы зависали.</w:t>
      </w:r>
    </w:p>
    <w:p w14:paraId="26BF34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Отметили летчики и более низкие возможности Ил-10 в сравнении с Ил-2 по загрузке самолета авиабомбами наиболее ходовых калибров - АО-25, АО-2,5, ПТАБ-2,5-1,5 и ФАБ-50.</w:t>
      </w:r>
    </w:p>
    <w:p w14:paraId="10402F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Что касается вопросов эксплуатации самолета Ил-10, то, помимо недостатков винтомоторной группы, выявилось весь</w:t>
      </w:r>
      <w:r w:rsidRPr="00925F26">
        <w:rPr>
          <w:color w:val="000000" w:themeColor="text1"/>
          <w:sz w:val="16"/>
          <w:szCs w:val="16"/>
        </w:rPr>
        <w:softHyphen/>
        <w:t>ма много конструктивных дефектов ма</w:t>
      </w:r>
      <w:r w:rsidRPr="00925F26">
        <w:rPr>
          <w:color w:val="000000" w:themeColor="text1"/>
          <w:sz w:val="16"/>
          <w:szCs w:val="16"/>
        </w:rPr>
        <w:softHyphen/>
        <w:t>шины и различных систем. При этом ряд из них были очень и очень серьезными.</w:t>
      </w:r>
    </w:p>
    <w:p w14:paraId="096E2D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полках, эксплуатирующих Ил-10, имели место случаи деформа</w:t>
      </w:r>
      <w:r w:rsidRPr="00925F26">
        <w:rPr>
          <w:color w:val="000000" w:themeColor="text1"/>
          <w:sz w:val="16"/>
          <w:szCs w:val="16"/>
        </w:rPr>
        <w:softHyphen/>
        <w:t>ции верхней и нижней обшивки кон</w:t>
      </w:r>
      <w:r w:rsidRPr="00925F26">
        <w:rPr>
          <w:color w:val="000000" w:themeColor="text1"/>
          <w:sz w:val="16"/>
          <w:szCs w:val="16"/>
        </w:rPr>
        <w:softHyphen/>
        <w:t>сольной части крыла, срез и отрыв зак</w:t>
      </w:r>
      <w:r w:rsidRPr="00925F26">
        <w:rPr>
          <w:color w:val="000000" w:themeColor="text1"/>
          <w:sz w:val="16"/>
          <w:szCs w:val="16"/>
        </w:rPr>
        <w:softHyphen/>
        <w:t>лепок. На некоторых машинах наблю</w:t>
      </w:r>
      <w:r w:rsidRPr="00925F26">
        <w:rPr>
          <w:color w:val="000000" w:themeColor="text1"/>
          <w:sz w:val="16"/>
          <w:szCs w:val="16"/>
        </w:rPr>
        <w:softHyphen/>
        <w:t>далось отставание листов нижней об</w:t>
      </w:r>
      <w:r w:rsidRPr="00925F26">
        <w:rPr>
          <w:color w:val="000000" w:themeColor="text1"/>
          <w:sz w:val="16"/>
          <w:szCs w:val="16"/>
        </w:rPr>
        <w:softHyphen/>
        <w:t>шивки центроплана, сопровождавше</w:t>
      </w:r>
      <w:r w:rsidRPr="00925F26">
        <w:rPr>
          <w:color w:val="000000" w:themeColor="text1"/>
          <w:sz w:val="16"/>
          <w:szCs w:val="16"/>
        </w:rPr>
        <w:softHyphen/>
        <w:t>еся срезом заклепок по шву крепления листов к угольнику на бронекорпусе. Имелись случаи ослабления заклепоч</w:t>
      </w:r>
      <w:r w:rsidRPr="00925F26">
        <w:rPr>
          <w:color w:val="000000" w:themeColor="text1"/>
          <w:sz w:val="16"/>
          <w:szCs w:val="16"/>
        </w:rPr>
        <w:softHyphen/>
        <w:t>ных швов обшивки фюзеляжа в облас</w:t>
      </w:r>
      <w:r w:rsidRPr="00925F26">
        <w:rPr>
          <w:color w:val="000000" w:themeColor="text1"/>
          <w:sz w:val="16"/>
          <w:szCs w:val="16"/>
        </w:rPr>
        <w:softHyphen/>
        <w:t>ти крепления костыльной установки, а также по листу перехода килевой час</w:t>
      </w:r>
      <w:r w:rsidRPr="00925F26">
        <w:rPr>
          <w:color w:val="000000" w:themeColor="text1"/>
          <w:sz w:val="16"/>
          <w:szCs w:val="16"/>
        </w:rPr>
        <w:softHyphen/>
        <w:t>ти фюзеляжа. Система шасси оказалась довольно слабой в прочностном отно</w:t>
      </w:r>
      <w:r w:rsidRPr="00925F26">
        <w:rPr>
          <w:color w:val="000000" w:themeColor="text1"/>
          <w:sz w:val="16"/>
          <w:szCs w:val="16"/>
        </w:rPr>
        <w:softHyphen/>
        <w:t>шении и ненадежной: ломались скла</w:t>
      </w:r>
      <w:r w:rsidRPr="00925F26">
        <w:rPr>
          <w:color w:val="000000" w:themeColor="text1"/>
          <w:sz w:val="16"/>
          <w:szCs w:val="16"/>
        </w:rPr>
        <w:softHyphen/>
        <w:t>дывающиеся подкосы шасси и обтека</w:t>
      </w:r>
      <w:r w:rsidRPr="00925F26">
        <w:rPr>
          <w:color w:val="000000" w:themeColor="text1"/>
          <w:sz w:val="16"/>
          <w:szCs w:val="16"/>
        </w:rPr>
        <w:softHyphen/>
        <w:t>тели хвостового колеса, наблюдались многочисленные случаи поломок и срывов обтекателя колеса шасси (так называемый «лопух») и т.д.</w:t>
      </w:r>
    </w:p>
    <w:p w14:paraId="62C85D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Летный состав особо указывал, что «самолет Ил-10 на пикировании не терпит резкостей в выводе, не допус</w:t>
      </w:r>
      <w:r w:rsidRPr="00925F26">
        <w:rPr>
          <w:color w:val="000000" w:themeColor="text1"/>
          <w:sz w:val="16"/>
          <w:szCs w:val="16"/>
        </w:rPr>
        <w:softHyphen/>
        <w:t>кает перегрузки 5,5 единиц».</w:t>
      </w:r>
    </w:p>
    <w:p w14:paraId="3BC774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Официально результаты и особен</w:t>
      </w:r>
      <w:r w:rsidRPr="00925F26">
        <w:rPr>
          <w:color w:val="000000" w:themeColor="text1"/>
          <w:sz w:val="16"/>
          <w:szCs w:val="16"/>
        </w:rPr>
        <w:softHyphen/>
        <w:t>ности боевого применения и эксплу</w:t>
      </w:r>
      <w:r w:rsidRPr="00925F26">
        <w:rPr>
          <w:color w:val="000000" w:themeColor="text1"/>
          <w:sz w:val="16"/>
          <w:szCs w:val="16"/>
        </w:rPr>
        <w:softHyphen/>
        <w:t>атации нового штурмовика Ил-10 фик</w:t>
      </w:r>
      <w:r w:rsidRPr="00925F26">
        <w:rPr>
          <w:color w:val="000000" w:themeColor="text1"/>
          <w:sz w:val="16"/>
          <w:szCs w:val="16"/>
        </w:rPr>
        <w:softHyphen/>
        <w:t>сировала бригада ГК НИИ ВВС, кото</w:t>
      </w:r>
      <w:r w:rsidRPr="00925F26">
        <w:rPr>
          <w:color w:val="000000" w:themeColor="text1"/>
          <w:sz w:val="16"/>
          <w:szCs w:val="16"/>
        </w:rPr>
        <w:softHyphen/>
        <w:t>рая все время находилась в 108-м ГШАП, на базе которого проходили войсковые испытания Ил-10.</w:t>
      </w:r>
    </w:p>
    <w:p w14:paraId="6DCB8A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состав бригады входили: веду</w:t>
      </w:r>
      <w:r w:rsidRPr="00925F26">
        <w:rPr>
          <w:color w:val="000000" w:themeColor="text1"/>
          <w:sz w:val="16"/>
          <w:szCs w:val="16"/>
        </w:rPr>
        <w:softHyphen/>
        <w:t>щий инженер-испытатель П. Т. Абро-щенко, ведущий летчик-испытатель А. К. Долгов, инженеры С. Г. Фролов, В. Н. Ковынев, В. Д. Кабанов, С. Т. Глу-щенко. Представителем от Управления ВВС КА был А. И. Алексеев.</w:t>
      </w:r>
    </w:p>
    <w:p w14:paraId="349D07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обеспечения войсковых испы</w:t>
      </w:r>
      <w:r w:rsidRPr="00925F26">
        <w:rPr>
          <w:color w:val="000000" w:themeColor="text1"/>
          <w:sz w:val="16"/>
          <w:szCs w:val="16"/>
        </w:rPr>
        <w:softHyphen/>
        <w:t>таний к 108-му полку были прикоман</w:t>
      </w:r>
      <w:r w:rsidRPr="00925F26">
        <w:rPr>
          <w:color w:val="000000" w:themeColor="text1"/>
          <w:sz w:val="16"/>
          <w:szCs w:val="16"/>
        </w:rPr>
        <w:softHyphen/>
        <w:t>дированы также и несколько бригад от предприятий наркомата авиапро</w:t>
      </w:r>
      <w:r w:rsidRPr="00925F26">
        <w:rPr>
          <w:color w:val="000000" w:themeColor="text1"/>
          <w:sz w:val="16"/>
          <w:szCs w:val="16"/>
        </w:rPr>
        <w:softHyphen/>
        <w:t>мышленности. Бригаду специалистов 18-го авиазавода возглавлял старший инженер А. С. Руденко, 24-й моторос</w:t>
      </w:r>
      <w:r w:rsidRPr="00925F26">
        <w:rPr>
          <w:color w:val="000000" w:themeColor="text1"/>
          <w:sz w:val="16"/>
          <w:szCs w:val="16"/>
        </w:rPr>
        <w:softHyphen/>
        <w:t>троительный завод представлял инже</w:t>
      </w:r>
      <w:r w:rsidRPr="00925F26">
        <w:rPr>
          <w:color w:val="000000" w:themeColor="text1"/>
          <w:sz w:val="16"/>
          <w:szCs w:val="16"/>
        </w:rPr>
        <w:softHyphen/>
        <w:t>нер П. С. Захаров, а ОКБ Ильюшина на</w:t>
      </w:r>
      <w:r w:rsidRPr="00925F26">
        <w:rPr>
          <w:color w:val="000000" w:themeColor="text1"/>
          <w:sz w:val="16"/>
          <w:szCs w:val="16"/>
        </w:rPr>
        <w:softHyphen/>
        <w:t>правило двух ведущих конструкторов -Д. Л. Коклина (по вооружению) и В. А. Ерофеева (по моторной установке).</w:t>
      </w:r>
    </w:p>
    <w:p w14:paraId="073F3B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выводах отчета по результатам войсковых испытаний самолета Ил-10 указывалось, что:</w:t>
      </w:r>
    </w:p>
    <w:p w14:paraId="1FD597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Бомбовая нагрузка самолета по весу, назначению и калибру подвеши</w:t>
      </w:r>
      <w:r w:rsidRPr="00925F26">
        <w:rPr>
          <w:color w:val="000000" w:themeColor="text1"/>
          <w:sz w:val="16"/>
          <w:szCs w:val="16"/>
        </w:rPr>
        <w:softHyphen/>
        <w:t>ваемых авиабомб обеспечивает выпол</w:t>
      </w:r>
      <w:r w:rsidRPr="00925F26">
        <w:rPr>
          <w:color w:val="000000" w:themeColor="text1"/>
          <w:sz w:val="16"/>
          <w:szCs w:val="16"/>
        </w:rPr>
        <w:softHyphen/>
        <w:t>нение возлагаемых на самолет-штур</w:t>
      </w:r>
      <w:r w:rsidRPr="00925F26">
        <w:rPr>
          <w:color w:val="000000" w:themeColor="text1"/>
          <w:sz w:val="16"/>
          <w:szCs w:val="16"/>
        </w:rPr>
        <w:softHyphen/>
        <w:t>мовик задач.</w:t>
      </w:r>
    </w:p>
    <w:p w14:paraId="60241F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...Вооружение самолета Ил-10 по количеству боевых точек, калибру и боезапасу к ним отличия от вооруже</w:t>
      </w:r>
      <w:r w:rsidRPr="00925F26">
        <w:rPr>
          <w:color w:val="000000" w:themeColor="text1"/>
          <w:sz w:val="16"/>
          <w:szCs w:val="16"/>
        </w:rPr>
        <w:softHyphen/>
        <w:t>ния Ил-2 не имеет.</w:t>
      </w:r>
    </w:p>
    <w:p w14:paraId="64EA35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При действии по целям, прикры</w:t>
      </w:r>
      <w:r w:rsidRPr="00925F26">
        <w:rPr>
          <w:color w:val="000000" w:themeColor="text1"/>
          <w:sz w:val="16"/>
          <w:szCs w:val="16"/>
        </w:rPr>
        <w:softHyphen/>
        <w:t>тым истребителями противника, само</w:t>
      </w:r>
      <w:r w:rsidRPr="00925F26">
        <w:rPr>
          <w:color w:val="000000" w:themeColor="text1"/>
          <w:sz w:val="16"/>
          <w:szCs w:val="16"/>
        </w:rPr>
        <w:softHyphen/>
        <w:t>лет Ил-10 требует сопровождения в такой же степени, как и самолет Ил-2... Наличие большего диапазона скоро</w:t>
      </w:r>
      <w:r w:rsidRPr="00925F26">
        <w:rPr>
          <w:color w:val="000000" w:themeColor="text1"/>
          <w:sz w:val="16"/>
          <w:szCs w:val="16"/>
        </w:rPr>
        <w:softHyphen/>
        <w:t>стей и лучшей маневренности облегча</w:t>
      </w:r>
      <w:r w:rsidRPr="00925F26">
        <w:rPr>
          <w:color w:val="000000" w:themeColor="text1"/>
          <w:sz w:val="16"/>
          <w:szCs w:val="16"/>
        </w:rPr>
        <w:softHyphen/>
        <w:t>ет задачу истребителей сопровождения и позволяет Ил-10 вступать в актив</w:t>
      </w:r>
      <w:r w:rsidRPr="00925F26">
        <w:rPr>
          <w:color w:val="000000" w:themeColor="text1"/>
          <w:sz w:val="16"/>
          <w:szCs w:val="16"/>
        </w:rPr>
        <w:softHyphen/>
        <w:t>ный воздушный бой с противником.</w:t>
      </w:r>
    </w:p>
    <w:p w14:paraId="082547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.Живучесть</w:t>
      </w:r>
      <w:proofErr w:type="gramEnd"/>
      <w:r w:rsidRPr="00925F26">
        <w:rPr>
          <w:color w:val="000000" w:themeColor="text1"/>
          <w:sz w:val="16"/>
          <w:szCs w:val="16"/>
        </w:rPr>
        <w:t xml:space="preserve"> конструкции (брони</w:t>
      </w:r>
      <w:r w:rsidRPr="00925F26">
        <w:rPr>
          <w:color w:val="000000" w:themeColor="text1"/>
          <w:sz w:val="16"/>
          <w:szCs w:val="16"/>
        </w:rPr>
        <w:softHyphen/>
        <w:t>рование экипажа и винтомоторной груп</w:t>
      </w:r>
      <w:r w:rsidRPr="00925F26">
        <w:rPr>
          <w:color w:val="000000" w:themeColor="text1"/>
          <w:sz w:val="16"/>
          <w:szCs w:val="16"/>
        </w:rPr>
        <w:softHyphen/>
        <w:t>пы) лучше, чем на самолете Ил-2, и в целом является достаточной. Уязвимы</w:t>
      </w:r>
      <w:r w:rsidRPr="00925F26">
        <w:rPr>
          <w:color w:val="000000" w:themeColor="text1"/>
          <w:sz w:val="16"/>
          <w:szCs w:val="16"/>
        </w:rPr>
        <w:softHyphen/>
        <w:t>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w:t>
      </w:r>
      <w:r w:rsidRPr="00925F26">
        <w:rPr>
          <w:color w:val="000000" w:themeColor="text1"/>
          <w:sz w:val="16"/>
          <w:szCs w:val="16"/>
        </w:rPr>
        <w:softHyphen/>
        <w:t>ковых испытаний в достаточной сте</w:t>
      </w:r>
      <w:r w:rsidRPr="00925F26">
        <w:rPr>
          <w:color w:val="000000" w:themeColor="text1"/>
          <w:sz w:val="16"/>
          <w:szCs w:val="16"/>
        </w:rPr>
        <w:softHyphen/>
        <w:t>пени не выявлены и требуют дополни</w:t>
      </w:r>
      <w:r w:rsidRPr="00925F26">
        <w:rPr>
          <w:color w:val="000000" w:themeColor="text1"/>
          <w:sz w:val="16"/>
          <w:szCs w:val="16"/>
        </w:rPr>
        <w:softHyphen/>
        <w:t>тельной проверки путем анализа по</w:t>
      </w:r>
      <w:r w:rsidRPr="00925F26">
        <w:rPr>
          <w:color w:val="000000" w:themeColor="text1"/>
          <w:sz w:val="16"/>
          <w:szCs w:val="16"/>
        </w:rPr>
        <w:softHyphen/>
        <w:t>вреждений на самолетах, находящихся в других действующих частях ВВС.</w:t>
      </w:r>
    </w:p>
    <w:p w14:paraId="1939D1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Обзор из кабины летчика, вслед</w:t>
      </w:r>
      <w:r w:rsidRPr="00925F26">
        <w:rPr>
          <w:color w:val="000000" w:themeColor="text1"/>
          <w:sz w:val="16"/>
          <w:szCs w:val="16"/>
        </w:rPr>
        <w:softHyphen/>
        <w:t>ствие отсутствия обзора назад и зате</w:t>
      </w:r>
      <w:r w:rsidRPr="00925F26">
        <w:rPr>
          <w:color w:val="000000" w:themeColor="text1"/>
          <w:sz w:val="16"/>
          <w:szCs w:val="16"/>
        </w:rPr>
        <w:softHyphen/>
        <w:t>нения переднего стекла в плохих метео</w:t>
      </w:r>
      <w:r w:rsidRPr="00925F26">
        <w:rPr>
          <w:color w:val="000000" w:themeColor="text1"/>
          <w:sz w:val="16"/>
          <w:szCs w:val="16"/>
        </w:rPr>
        <w:softHyphen/>
        <w:t>условиях (дождь, снег), в сравнении с обзором на самолете Ил-2-хуже.</w:t>
      </w:r>
    </w:p>
    <w:p w14:paraId="5A3403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...Временной механизм ВМШ-10, также как и ВМШ-2 в боевых условиях при противодействии МЗА и ЗА против</w:t>
      </w:r>
      <w:r w:rsidRPr="00925F26">
        <w:rPr>
          <w:color w:val="000000" w:themeColor="text1"/>
          <w:sz w:val="16"/>
          <w:szCs w:val="16"/>
        </w:rPr>
        <w:softHyphen/>
        <w:t>ника использовать невозможно, так как ВМШ-10 требует длительного нахож</w:t>
      </w:r>
      <w:r w:rsidRPr="00925F26">
        <w:rPr>
          <w:color w:val="000000" w:themeColor="text1"/>
          <w:sz w:val="16"/>
          <w:szCs w:val="16"/>
        </w:rPr>
        <w:softHyphen/>
        <w:t>дения над целью без ПЗМ.</w:t>
      </w:r>
    </w:p>
    <w:p w14:paraId="187A93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Основным методом бомбомета</w:t>
      </w:r>
      <w:r w:rsidRPr="00925F26">
        <w:rPr>
          <w:color w:val="000000" w:themeColor="text1"/>
          <w:sz w:val="16"/>
          <w:szCs w:val="16"/>
        </w:rPr>
        <w:softHyphen/>
        <w:t>ния в боевых условиях на самолете Ил-10 принят" тот же, что и для Ил-2, с той лишь разницей, что:</w:t>
      </w:r>
    </w:p>
    <w:p w14:paraId="317C08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возросли углы планирования с 30° до 50°,</w:t>
      </w:r>
    </w:p>
    <w:p w14:paraId="7E4FB2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возросла скорость ввода в пики</w:t>
      </w:r>
      <w:r w:rsidRPr="00925F26">
        <w:rPr>
          <w:color w:val="000000" w:themeColor="text1"/>
          <w:sz w:val="16"/>
          <w:szCs w:val="16"/>
        </w:rPr>
        <w:softHyphen/>
        <w:t>рование от 320 до 350 км/ч,</w:t>
      </w:r>
    </w:p>
    <w:p w14:paraId="528EF9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скорость вывода из пикирования выросла до 500-600 км/ч,</w:t>
      </w:r>
    </w:p>
    <w:p w14:paraId="51F8E7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улучшилась маневренность само</w:t>
      </w:r>
      <w:r w:rsidRPr="00925F26">
        <w:rPr>
          <w:color w:val="000000" w:themeColor="text1"/>
          <w:sz w:val="16"/>
          <w:szCs w:val="16"/>
        </w:rPr>
        <w:softHyphen/>
        <w:t>лета.</w:t>
      </w:r>
    </w:p>
    <w:p w14:paraId="54CEF7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В обслуживании и эксплуатации Ил-10 проще и удобнее, чем Ил-2, одна</w:t>
      </w:r>
      <w:r w:rsidRPr="00925F26">
        <w:rPr>
          <w:color w:val="000000" w:themeColor="text1"/>
          <w:sz w:val="16"/>
          <w:szCs w:val="16"/>
        </w:rPr>
        <w:softHyphen/>
        <w:t>ко ряд производственных и конструк</w:t>
      </w:r>
      <w:r w:rsidRPr="00925F26">
        <w:rPr>
          <w:color w:val="000000" w:themeColor="text1"/>
          <w:sz w:val="16"/>
          <w:szCs w:val="16"/>
        </w:rPr>
        <w:softHyphen/>
        <w:t>тивных дефектов усложняет эксплуа-</w:t>
      </w:r>
    </w:p>
    <w:p w14:paraId="22F310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тацию.</w:t>
      </w:r>
    </w:p>
    <w:p w14:paraId="61C842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...Время подготовки Ил-10 к бое</w:t>
      </w:r>
      <w:r w:rsidRPr="00925F26">
        <w:rPr>
          <w:color w:val="000000" w:themeColor="text1"/>
          <w:sz w:val="16"/>
          <w:szCs w:val="16"/>
        </w:rPr>
        <w:softHyphen/>
        <w:t>вым вылетам, механиком и мотористом практически такое же, что и время, по</w:t>
      </w:r>
      <w:r w:rsidRPr="00925F26">
        <w:rPr>
          <w:color w:val="000000" w:themeColor="text1"/>
          <w:sz w:val="16"/>
          <w:szCs w:val="16"/>
        </w:rPr>
        <w:softHyphen/>
        <w:t>требное для Ил-2...</w:t>
      </w:r>
    </w:p>
    <w:p w14:paraId="5AA3DD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
    <w:p w14:paraId="5B7C63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.Цельнометаллическая</w:t>
      </w:r>
      <w:proofErr w:type="gramEnd"/>
      <w:r w:rsidRPr="00925F26">
        <w:rPr>
          <w:color w:val="000000" w:themeColor="text1"/>
          <w:sz w:val="16"/>
          <w:szCs w:val="16"/>
        </w:rPr>
        <w:t xml:space="preserve"> конструк</w:t>
      </w:r>
      <w:r w:rsidRPr="00925F26">
        <w:rPr>
          <w:color w:val="000000" w:themeColor="text1"/>
          <w:sz w:val="16"/>
          <w:szCs w:val="16"/>
        </w:rPr>
        <w:softHyphen/>
        <w:t>ция Ил-10,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w:t>
      </w:r>
      <w:r w:rsidRPr="00925F26">
        <w:rPr>
          <w:color w:val="000000" w:themeColor="text1"/>
          <w:sz w:val="16"/>
          <w:szCs w:val="16"/>
        </w:rPr>
        <w:softHyphen/>
        <w:t>онным люком в фюзеляже, обеспечива</w:t>
      </w:r>
      <w:r w:rsidRPr="00925F26">
        <w:rPr>
          <w:color w:val="000000" w:themeColor="text1"/>
          <w:sz w:val="16"/>
          <w:szCs w:val="16"/>
        </w:rPr>
        <w:softHyphen/>
        <w:t>ющим хороший подход к трубопроводам, агрегатам и управлению...»</w:t>
      </w:r>
    </w:p>
    <w:p w14:paraId="4DFD74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того, отмечалось, что по тех</w:t>
      </w:r>
      <w:r w:rsidRPr="00925F26">
        <w:rPr>
          <w:color w:val="000000" w:themeColor="text1"/>
          <w:sz w:val="16"/>
          <w:szCs w:val="16"/>
        </w:rPr>
        <w:softHyphen/>
        <w:t>нике пилотирования самолет прост. Имея лучшую устойчивость, хорошую управляемость и более высокую манев</w:t>
      </w:r>
      <w:r w:rsidRPr="00925F26">
        <w:rPr>
          <w:color w:val="000000" w:themeColor="text1"/>
          <w:sz w:val="16"/>
          <w:szCs w:val="16"/>
        </w:rPr>
        <w:softHyphen/>
        <w:t>ренность, Ил-10, в сравнении с Ил-2, охотно прощает летному составу ошиб</w:t>
      </w:r>
      <w:r w:rsidRPr="00925F26">
        <w:rPr>
          <w:color w:val="000000" w:themeColor="text1"/>
          <w:sz w:val="16"/>
          <w:szCs w:val="16"/>
        </w:rPr>
        <w:softHyphen/>
        <w:t xml:space="preserve">ки и не утомляет летчика при полете в болтанку. Переучивание летного и инженерно-технического составов, </w:t>
      </w:r>
      <w:r w:rsidRPr="00925F26">
        <w:rPr>
          <w:color w:val="000000" w:themeColor="text1"/>
          <w:sz w:val="16"/>
          <w:szCs w:val="16"/>
        </w:rPr>
        <w:lastRenderedPageBreak/>
        <w:t>работавших на самолете Ил-2 АМ-38ф, при переходе на Ил-10 АМ-42 трудно</w:t>
      </w:r>
      <w:r w:rsidRPr="00925F26">
        <w:rPr>
          <w:color w:val="000000" w:themeColor="text1"/>
          <w:sz w:val="16"/>
          <w:szCs w:val="16"/>
        </w:rPr>
        <w:softHyphen/>
        <w:t>сти не представляет. Летному составу достаточно 10-15 учебно-тренировоч</w:t>
      </w:r>
      <w:r w:rsidRPr="00925F26">
        <w:rPr>
          <w:color w:val="000000" w:themeColor="text1"/>
          <w:sz w:val="16"/>
          <w:szCs w:val="16"/>
        </w:rPr>
        <w:softHyphen/>
        <w:t>ных полетов общим налетом 3-4 часа. Инженерно-технический состав легко осваивает матчасть самолета и мотора непосредственно в ходе эксплуатации.</w:t>
      </w:r>
    </w:p>
    <w:p w14:paraId="0F5DD5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Простота в технике пилотирова</w:t>
      </w:r>
      <w:r w:rsidRPr="00925F26">
        <w:rPr>
          <w:color w:val="000000" w:themeColor="text1"/>
          <w:sz w:val="16"/>
          <w:szCs w:val="16"/>
        </w:rPr>
        <w:softHyphen/>
        <w:t>ния и сравнительно легкий переход к экс</w:t>
      </w:r>
      <w:r w:rsidRPr="00925F26">
        <w:rPr>
          <w:color w:val="000000" w:themeColor="text1"/>
          <w:sz w:val="16"/>
          <w:szCs w:val="16"/>
        </w:rPr>
        <w:softHyphen/>
        <w:t>плуатации Ил-10 как летным, так и тех</w:t>
      </w:r>
      <w:r w:rsidRPr="00925F26">
        <w:rPr>
          <w:color w:val="000000" w:themeColor="text1"/>
          <w:sz w:val="16"/>
          <w:szCs w:val="16"/>
        </w:rPr>
        <w:softHyphen/>
        <w:t xml:space="preserve">ническим составом дают возможность перевооружить штурмовые авиачасти на этот самолет в самые кратчайшие </w:t>
      </w:r>
      <w:proofErr w:type="gramStart"/>
      <w:r w:rsidRPr="00925F26">
        <w:rPr>
          <w:color w:val="000000" w:themeColor="text1"/>
          <w:sz w:val="16"/>
          <w:szCs w:val="16"/>
        </w:rPr>
        <w:t>сро</w:t>
      </w:r>
      <w:r w:rsidRPr="00925F26">
        <w:rPr>
          <w:color w:val="000000" w:themeColor="text1"/>
          <w:sz w:val="16"/>
          <w:szCs w:val="16"/>
        </w:rPr>
        <w:softHyphen/>
        <w:t>ки. ..</w:t>
      </w:r>
      <w:proofErr w:type="gramEnd"/>
      <w:r w:rsidRPr="00925F26">
        <w:rPr>
          <w:color w:val="000000" w:themeColor="text1"/>
          <w:sz w:val="16"/>
          <w:szCs w:val="16"/>
        </w:rPr>
        <w:t>», - указывалось в выводах отчета.</w:t>
      </w:r>
    </w:p>
    <w:p w14:paraId="1DE4FC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качестве основных дефектов Ил-10-го Госкомиссия отметила следующие:</w:t>
      </w:r>
    </w:p>
    <w:p w14:paraId="74B8A4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Неудовлетворительная конст</w:t>
      </w:r>
      <w:r w:rsidRPr="00925F26">
        <w:rPr>
          <w:color w:val="000000" w:themeColor="text1"/>
          <w:sz w:val="16"/>
          <w:szCs w:val="16"/>
        </w:rPr>
        <w:softHyphen/>
        <w:t>рукция фонаря кабины (трудно откры</w:t>
      </w:r>
      <w:r w:rsidRPr="00925F26">
        <w:rPr>
          <w:color w:val="000000" w:themeColor="text1"/>
          <w:sz w:val="16"/>
          <w:szCs w:val="16"/>
        </w:rPr>
        <w:softHyphen/>
        <w:t>вается на земле, рулежка и полет в сложных метеоусловиях с открытым фонарем невозможны).</w:t>
      </w:r>
    </w:p>
    <w:p w14:paraId="6A8DA9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Отсутствует обзор назад из ка</w:t>
      </w:r>
      <w:r w:rsidRPr="00925F26">
        <w:rPr>
          <w:color w:val="000000" w:themeColor="text1"/>
          <w:sz w:val="16"/>
          <w:szCs w:val="16"/>
        </w:rPr>
        <w:softHyphen/>
        <w:t>бины летчика (необходимо сделать в бронеспинке вставку из прозрачного бронестекла по типу самолета Ил-2).</w:t>
      </w:r>
    </w:p>
    <w:p w14:paraId="57A9FD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Велики усилия на ручку управле</w:t>
      </w:r>
      <w:r w:rsidRPr="00925F26">
        <w:rPr>
          <w:color w:val="000000" w:themeColor="text1"/>
          <w:sz w:val="16"/>
          <w:szCs w:val="16"/>
        </w:rPr>
        <w:softHyphen/>
        <w:t>ния от элеронов на скорости выше 400 км/час.</w:t>
      </w:r>
    </w:p>
    <w:p w14:paraId="2F5D29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Обтекатели (лопухи) колес шасси</w:t>
      </w:r>
    </w:p>
    <w:p w14:paraId="241A38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рулежке и посадке на мягком грунте и зимой в снег зарываются, деформиру</w:t>
      </w:r>
      <w:r w:rsidRPr="00925F26">
        <w:rPr>
          <w:color w:val="000000" w:themeColor="text1"/>
          <w:sz w:val="16"/>
          <w:szCs w:val="16"/>
        </w:rPr>
        <w:softHyphen/>
        <w:t>ются и тормозят движение самолета.</w:t>
      </w:r>
    </w:p>
    <w:p w14:paraId="1CE9FC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Тросы везде рвутся: и ограничи</w:t>
      </w:r>
      <w:r w:rsidRPr="00925F26">
        <w:rPr>
          <w:color w:val="000000" w:themeColor="text1"/>
          <w:sz w:val="16"/>
          <w:szCs w:val="16"/>
        </w:rPr>
        <w:softHyphen/>
        <w:t>тельные тросы фонаря кабины и аварий</w:t>
      </w:r>
      <w:r w:rsidRPr="00925F26">
        <w:rPr>
          <w:color w:val="000000" w:themeColor="text1"/>
          <w:sz w:val="16"/>
          <w:szCs w:val="16"/>
        </w:rPr>
        <w:softHyphen/>
        <w:t>ного выпуска шасси, и системы управле</w:t>
      </w:r>
      <w:r w:rsidRPr="00925F26">
        <w:rPr>
          <w:color w:val="000000" w:themeColor="text1"/>
          <w:sz w:val="16"/>
          <w:szCs w:val="16"/>
        </w:rPr>
        <w:softHyphen/>
        <w:t>ния, а также тросы стопора костыля.</w:t>
      </w:r>
    </w:p>
    <w:p w14:paraId="5795FD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...Прочность покрышек колес 800x260 мм, как и эффективность тор</w:t>
      </w:r>
      <w:r w:rsidRPr="00925F26">
        <w:rPr>
          <w:color w:val="000000" w:themeColor="text1"/>
          <w:sz w:val="16"/>
          <w:szCs w:val="16"/>
        </w:rPr>
        <w:softHyphen/>
        <w:t>мозов недостаточна.</w:t>
      </w:r>
    </w:p>
    <w:p w14:paraId="30217A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При аварийных посадках ломает</w:t>
      </w:r>
      <w:r w:rsidRPr="00925F26">
        <w:rPr>
          <w:color w:val="000000" w:themeColor="text1"/>
          <w:sz w:val="16"/>
          <w:szCs w:val="16"/>
        </w:rPr>
        <w:softHyphen/>
        <w:t>ся силовая рама крепления узлов шасси и разрушаются упоры хвостового ко</w:t>
      </w:r>
      <w:r w:rsidRPr="00925F26">
        <w:rPr>
          <w:color w:val="000000" w:themeColor="text1"/>
          <w:sz w:val="16"/>
          <w:szCs w:val="16"/>
        </w:rPr>
        <w:softHyphen/>
        <w:t>леса при посадке с убранным костылем, а также ломается рама №14 фюзеля</w:t>
      </w:r>
      <w:r w:rsidRPr="00925F26">
        <w:rPr>
          <w:color w:val="000000" w:themeColor="text1"/>
          <w:sz w:val="16"/>
          <w:szCs w:val="16"/>
        </w:rPr>
        <w:softHyphen/>
        <w:t>жа.</w:t>
      </w:r>
    </w:p>
    <w:p w14:paraId="0F555E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Шасси самолета при давлении воз</w:t>
      </w:r>
      <w:r w:rsidRPr="00925F26">
        <w:rPr>
          <w:color w:val="000000" w:themeColor="text1"/>
          <w:sz w:val="16"/>
          <w:szCs w:val="16"/>
        </w:rPr>
        <w:softHyphen/>
        <w:t>духа в системе 38 атм. на скоростях свы</w:t>
      </w:r>
      <w:r w:rsidRPr="00925F26">
        <w:rPr>
          <w:color w:val="000000" w:themeColor="text1"/>
          <w:sz w:val="16"/>
          <w:szCs w:val="16"/>
        </w:rPr>
        <w:softHyphen/>
        <w:t>ше 260 км/час не выпускаются».</w:t>
      </w:r>
    </w:p>
    <w:p w14:paraId="5922E3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заключении отчета по войсковым испытаниям Государственная комиссия сделала вывод, что Ил-10 АМ-42 войско</w:t>
      </w:r>
      <w:r w:rsidRPr="00925F26">
        <w:rPr>
          <w:color w:val="000000" w:themeColor="text1"/>
          <w:sz w:val="16"/>
          <w:szCs w:val="16"/>
        </w:rPr>
        <w:softHyphen/>
        <w:t>вые испытания выдержал удовлетвори</w:t>
      </w:r>
      <w:r w:rsidRPr="00925F26">
        <w:rPr>
          <w:color w:val="000000" w:themeColor="text1"/>
          <w:sz w:val="16"/>
          <w:szCs w:val="16"/>
        </w:rPr>
        <w:softHyphen/>
        <w:t>тельно и является вполне современным бронированным штурмовиком ВВС КА.</w:t>
      </w:r>
    </w:p>
    <w:p w14:paraId="2A74BC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сожалению, ряд вопросов боево</w:t>
      </w:r>
      <w:r w:rsidRPr="00925F26">
        <w:rPr>
          <w:color w:val="000000" w:themeColor="text1"/>
          <w:sz w:val="16"/>
          <w:szCs w:val="16"/>
        </w:rPr>
        <w:softHyphen/>
        <w:t>го применения самолета Ил-10 в мате</w:t>
      </w:r>
      <w:r w:rsidRPr="00925F26">
        <w:rPr>
          <w:color w:val="000000" w:themeColor="text1"/>
          <w:sz w:val="16"/>
          <w:szCs w:val="16"/>
        </w:rPr>
        <w:softHyphen/>
        <w:t>риалах отчета по войсковым испыта</w:t>
      </w:r>
      <w:r w:rsidRPr="00925F26">
        <w:rPr>
          <w:color w:val="000000" w:themeColor="text1"/>
          <w:sz w:val="16"/>
          <w:szCs w:val="16"/>
        </w:rPr>
        <w:softHyphen/>
        <w:t>ниям отражены не были. В частности, не была дана оценка реальной боевой эффективности Ил-10 в сравнении с самолетом Ил-2.</w:t>
      </w:r>
    </w:p>
    <w:p w14:paraId="5B7557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 же время анализ расхода бое</w:t>
      </w:r>
      <w:r w:rsidRPr="00925F26">
        <w:rPr>
          <w:color w:val="000000" w:themeColor="text1"/>
          <w:sz w:val="16"/>
          <w:szCs w:val="16"/>
        </w:rPr>
        <w:softHyphen/>
        <w:t>комплекта в ходе боевых действий по</w:t>
      </w:r>
      <w:r w:rsidRPr="00925F26">
        <w:rPr>
          <w:color w:val="000000" w:themeColor="text1"/>
          <w:sz w:val="16"/>
          <w:szCs w:val="16"/>
        </w:rPr>
        <w:softHyphen/>
        <w:t>казывает, что средняя бомбовая нагруз</w:t>
      </w:r>
      <w:r w:rsidRPr="00925F26">
        <w:rPr>
          <w:color w:val="000000" w:themeColor="text1"/>
          <w:sz w:val="16"/>
          <w:szCs w:val="16"/>
        </w:rPr>
        <w:softHyphen/>
        <w:t xml:space="preserve">ка Ил-10 на один </w:t>
      </w:r>
      <w:proofErr w:type="gramStart"/>
      <w:r w:rsidRPr="00925F26">
        <w:rPr>
          <w:color w:val="000000" w:themeColor="text1"/>
          <w:sz w:val="16"/>
          <w:szCs w:val="16"/>
        </w:rPr>
        <w:t>самолето-вылет</w:t>
      </w:r>
      <w:proofErr w:type="gramEnd"/>
      <w:r w:rsidRPr="00925F26">
        <w:rPr>
          <w:color w:val="000000" w:themeColor="text1"/>
          <w:sz w:val="16"/>
          <w:szCs w:val="16"/>
        </w:rPr>
        <w:t xml:space="preserve"> соста</w:t>
      </w:r>
      <w:r w:rsidRPr="00925F26">
        <w:rPr>
          <w:color w:val="000000" w:themeColor="text1"/>
          <w:sz w:val="16"/>
          <w:szCs w:val="16"/>
        </w:rPr>
        <w:softHyphen/>
        <w:t>вила 304 кг (разброс от 400 кг до 200 кг) или 76% нормальной бомбовой заг</w:t>
      </w:r>
      <w:r w:rsidRPr="00925F26">
        <w:rPr>
          <w:color w:val="000000" w:themeColor="text1"/>
          <w:sz w:val="16"/>
          <w:szCs w:val="16"/>
        </w:rPr>
        <w:softHyphen/>
        <w:t>рузки самолета. Расход боекомплекта к стрелково-пушечному вооружению в одном боевом вылете в среднем равнял</w:t>
      </w:r>
      <w:r w:rsidRPr="00925F26">
        <w:rPr>
          <w:color w:val="000000" w:themeColor="text1"/>
          <w:sz w:val="16"/>
          <w:szCs w:val="16"/>
        </w:rPr>
        <w:softHyphen/>
        <w:t>ся: 26 % - к пушкам ВЯ, 15% - к пулеме</w:t>
      </w:r>
      <w:r w:rsidRPr="00925F26">
        <w:rPr>
          <w:color w:val="000000" w:themeColor="text1"/>
          <w:sz w:val="16"/>
          <w:szCs w:val="16"/>
        </w:rPr>
        <w:softHyphen/>
        <w:t>там ШКАС и 3,6% - к пулемету УБТ.</w:t>
      </w:r>
    </w:p>
    <w:p w14:paraId="3F98D9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Безвозвратные боевые потери пол</w:t>
      </w:r>
      <w:r w:rsidRPr="00925F26">
        <w:rPr>
          <w:color w:val="000000" w:themeColor="text1"/>
          <w:sz w:val="16"/>
          <w:szCs w:val="16"/>
        </w:rPr>
        <w:softHyphen/>
        <w:t>ков по официальным данным составили 12 самолетов Ил-10, погибли 5 летчиков и 8 воздушных стрелков. Небоевые по</w:t>
      </w:r>
      <w:r w:rsidRPr="00925F26">
        <w:rPr>
          <w:color w:val="000000" w:themeColor="text1"/>
          <w:sz w:val="16"/>
          <w:szCs w:val="16"/>
        </w:rPr>
        <w:softHyphen/>
        <w:t>тери составили 11 самолетов. Налет на одну боевую потерю «десятки» соста</w:t>
      </w:r>
      <w:r w:rsidRPr="00925F26">
        <w:rPr>
          <w:color w:val="000000" w:themeColor="text1"/>
          <w:sz w:val="16"/>
          <w:szCs w:val="16"/>
        </w:rPr>
        <w:softHyphen/>
        <w:t xml:space="preserve">вил примерно 85 </w:t>
      </w:r>
      <w:proofErr w:type="gramStart"/>
      <w:r w:rsidRPr="00925F26">
        <w:rPr>
          <w:color w:val="000000" w:themeColor="text1"/>
          <w:sz w:val="16"/>
          <w:szCs w:val="16"/>
        </w:rPr>
        <w:t>самолето-вылетов</w:t>
      </w:r>
      <w:proofErr w:type="gramEnd"/>
      <w:r w:rsidRPr="00925F26">
        <w:rPr>
          <w:color w:val="000000" w:themeColor="text1"/>
          <w:sz w:val="16"/>
          <w:szCs w:val="16"/>
        </w:rPr>
        <w:t>.</w:t>
      </w:r>
    </w:p>
    <w:p w14:paraId="65D706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Оказывается, что по всем этим по</w:t>
      </w:r>
      <w:r w:rsidRPr="00925F26">
        <w:rPr>
          <w:color w:val="000000" w:themeColor="text1"/>
          <w:sz w:val="16"/>
          <w:szCs w:val="16"/>
        </w:rPr>
        <w:softHyphen/>
        <w:t>казателям самолет Ил-2 в апреле-мае 1945 г. оказался даже несколько луч</w:t>
      </w:r>
      <w:r w:rsidRPr="00925F26">
        <w:rPr>
          <w:color w:val="000000" w:themeColor="text1"/>
          <w:sz w:val="16"/>
          <w:szCs w:val="16"/>
        </w:rPr>
        <w:softHyphen/>
        <w:t>ше самолета Ил-10.</w:t>
      </w:r>
    </w:p>
    <w:p w14:paraId="051F18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Так, боевая живучесть Ил-2 в этот период времени составляла в среднем около 90 боевых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на одну безвозвратную потерю самолета.</w:t>
      </w:r>
    </w:p>
    <w:p w14:paraId="14FA20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Инженеры полков отмечали, что, несмотря на цельнометаллическую конструкцию, новый штурмовик «держал удар» хуже, чем Ил-2. Виной тому примененный на Ил-10 скоростной профиль крыла МАСА-230. Даже при небольших повреждениях крыла «де</w:t>
      </w:r>
      <w:r w:rsidRPr="00925F26">
        <w:rPr>
          <w:color w:val="000000" w:themeColor="text1"/>
          <w:sz w:val="16"/>
          <w:szCs w:val="16"/>
        </w:rPr>
        <w:softHyphen/>
        <w:t>сятка» теряла управляемость, и на вы</w:t>
      </w:r>
      <w:r w:rsidRPr="00925F26">
        <w:rPr>
          <w:color w:val="000000" w:themeColor="text1"/>
          <w:sz w:val="16"/>
          <w:szCs w:val="16"/>
        </w:rPr>
        <w:softHyphen/>
        <w:t>нужденных посадках самолеты би</w:t>
      </w:r>
      <w:r w:rsidRPr="00925F26">
        <w:rPr>
          <w:color w:val="000000" w:themeColor="text1"/>
          <w:sz w:val="16"/>
          <w:szCs w:val="16"/>
        </w:rPr>
        <w:softHyphen/>
        <w:t>лись. В то же время крыло Ил-2, где использовался профиль С1агк-УН, не теряло несущих свойств даже при зна</w:t>
      </w:r>
      <w:r w:rsidRPr="00925F26">
        <w:rPr>
          <w:color w:val="000000" w:themeColor="text1"/>
          <w:sz w:val="16"/>
          <w:szCs w:val="16"/>
        </w:rPr>
        <w:softHyphen/>
        <w:t>чительном разрушении обшивки. Как следствие, процент списанных штур</w:t>
      </w:r>
      <w:r w:rsidRPr="00925F26">
        <w:rPr>
          <w:color w:val="000000" w:themeColor="text1"/>
          <w:sz w:val="16"/>
          <w:szCs w:val="16"/>
        </w:rPr>
        <w:softHyphen/>
        <w:t>мовиков Ил-10, поврежденных в бою и выполнивших вынужденные посад</w:t>
      </w:r>
      <w:r w:rsidRPr="00925F26">
        <w:rPr>
          <w:color w:val="000000" w:themeColor="text1"/>
          <w:sz w:val="16"/>
          <w:szCs w:val="16"/>
        </w:rPr>
        <w:softHyphen/>
        <w:t>ки, был в 2,5-2 раза выше, чем у Ил-2.</w:t>
      </w:r>
    </w:p>
    <w:p w14:paraId="5AC008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Отметим, что именно по этим при</w:t>
      </w:r>
      <w:r w:rsidRPr="00925F26">
        <w:rPr>
          <w:color w:val="000000" w:themeColor="text1"/>
          <w:sz w:val="16"/>
          <w:szCs w:val="16"/>
        </w:rPr>
        <w:softHyphen/>
        <w:t>чинам при создании штурмовика Ил-10М, который представлял собой глубокую модернизацию «десятки», было разработано новое крыло, на котором вновь перешли к менее ско</w:t>
      </w:r>
      <w:r w:rsidRPr="00925F26">
        <w:rPr>
          <w:color w:val="000000" w:themeColor="text1"/>
          <w:sz w:val="16"/>
          <w:szCs w:val="16"/>
        </w:rPr>
        <w:softHyphen/>
        <w:t>ростному профилю крыла, применен</w:t>
      </w:r>
      <w:r w:rsidRPr="00925F26">
        <w:rPr>
          <w:color w:val="000000" w:themeColor="text1"/>
          <w:sz w:val="16"/>
          <w:szCs w:val="16"/>
        </w:rPr>
        <w:softHyphen/>
        <w:t>ному на самолете Ил-2. Живучесть ока</w:t>
      </w:r>
      <w:r w:rsidRPr="00925F26">
        <w:rPr>
          <w:color w:val="000000" w:themeColor="text1"/>
          <w:sz w:val="16"/>
          <w:szCs w:val="16"/>
        </w:rPr>
        <w:softHyphen/>
        <w:t>залась превыше скорости.</w:t>
      </w:r>
    </w:p>
    <w:p w14:paraId="142288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оценке боевой живучести не</w:t>
      </w:r>
      <w:r w:rsidRPr="00925F26">
        <w:rPr>
          <w:color w:val="000000" w:themeColor="text1"/>
          <w:sz w:val="16"/>
          <w:szCs w:val="16"/>
        </w:rPr>
        <w:softHyphen/>
        <w:t>обходимо также учитывать и ограни</w:t>
      </w:r>
      <w:r w:rsidRPr="00925F26">
        <w:rPr>
          <w:color w:val="000000" w:themeColor="text1"/>
          <w:sz w:val="16"/>
          <w:szCs w:val="16"/>
        </w:rPr>
        <w:softHyphen/>
        <w:t>ченность статистики боевых действий «десятки» в сравнении с Ил-2. Напри</w:t>
      </w:r>
      <w:r w:rsidRPr="00925F26">
        <w:rPr>
          <w:color w:val="000000" w:themeColor="text1"/>
          <w:sz w:val="16"/>
          <w:szCs w:val="16"/>
        </w:rPr>
        <w:softHyphen/>
        <w:t>мер, 8-й ШАК, в апреле в среднем имел 113 самолето-вылетов на одну боевую потерю Ил-2, тогда как 571-й ШАП, который входил в состав корпуса в этот период времени, -183 самолето-вылетов на одну боевую потерю Ил-10. Это гово</w:t>
      </w:r>
      <w:r w:rsidRPr="00925F26">
        <w:rPr>
          <w:color w:val="000000" w:themeColor="text1"/>
          <w:sz w:val="16"/>
          <w:szCs w:val="16"/>
        </w:rPr>
        <w:softHyphen/>
        <w:t>рит о том, что-летный состав 571-го ШАП сумел белее полно использовать высо</w:t>
      </w:r>
      <w:r w:rsidRPr="00925F26">
        <w:rPr>
          <w:color w:val="000000" w:themeColor="text1"/>
          <w:sz w:val="16"/>
          <w:szCs w:val="16"/>
        </w:rPr>
        <w:softHyphen/>
        <w:t>кую маневренность Ил-10, в сравнении с экипажами 108-го и 118-го ГШАП.</w:t>
      </w:r>
    </w:p>
    <w:p w14:paraId="0BEA80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Средний расход боекомплекта са</w:t>
      </w:r>
      <w:r w:rsidRPr="00925F26">
        <w:rPr>
          <w:color w:val="000000" w:themeColor="text1"/>
          <w:sz w:val="16"/>
          <w:szCs w:val="16"/>
        </w:rPr>
        <w:softHyphen/>
        <w:t>молетов Ил-2 за последний месяц вой</w:t>
      </w:r>
      <w:r w:rsidRPr="00925F26">
        <w:rPr>
          <w:color w:val="000000" w:themeColor="text1"/>
          <w:sz w:val="16"/>
          <w:szCs w:val="16"/>
        </w:rPr>
        <w:softHyphen/>
        <w:t>ны (по опыту 17-й и 8-й ВА) составил: 70% - к пушкам ВЯ, 25% - к пулеметам ШКАС и около 11,5% - к пулемету УБТ.</w:t>
      </w:r>
    </w:p>
    <w:p w14:paraId="3E430C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Этот результат можно объяснить значительно меньшей скоростью на пикировании Ил-2 в сравнении с Ил-10. Это позволяло летчику «двойки» в одном заходе совершенно сво</w:t>
      </w:r>
      <w:r w:rsidRPr="00925F26">
        <w:rPr>
          <w:color w:val="000000" w:themeColor="text1"/>
          <w:sz w:val="16"/>
          <w:szCs w:val="16"/>
        </w:rPr>
        <w:softHyphen/>
        <w:t>бодно отстрелять из пушек и пулеме</w:t>
      </w:r>
      <w:r w:rsidRPr="00925F26">
        <w:rPr>
          <w:color w:val="000000" w:themeColor="text1"/>
          <w:sz w:val="16"/>
          <w:szCs w:val="16"/>
        </w:rPr>
        <w:softHyphen/>
        <w:t>тов одну-две прицельные очереди продолжительностью 1-2 секунды (20-40 снарядов и 60-120 патронов). Тог</w:t>
      </w:r>
      <w:r w:rsidRPr="00925F26">
        <w:rPr>
          <w:color w:val="000000" w:themeColor="text1"/>
          <w:sz w:val="16"/>
          <w:szCs w:val="16"/>
        </w:rPr>
        <w:softHyphen/>
        <w:t>да как летчик «десятки» за один заход прицельно не успевал отстрелять даже одной очереди.</w:t>
      </w:r>
    </w:p>
    <w:p w14:paraId="2D36A9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тому же на Ил-2 стояли четыре ракетных орудия, а это серьезно повы</w:t>
      </w:r>
      <w:r w:rsidRPr="00925F26">
        <w:rPr>
          <w:color w:val="000000" w:themeColor="text1"/>
          <w:sz w:val="16"/>
          <w:szCs w:val="16"/>
        </w:rPr>
        <w:softHyphen/>
        <w:t>шало боевые возможности самолета.</w:t>
      </w:r>
    </w:p>
    <w:p w14:paraId="251967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Ил-2 уступал Ил-10 только в подвижности над полем боя - в эффек</w:t>
      </w:r>
      <w:r w:rsidRPr="00925F26">
        <w:rPr>
          <w:color w:val="000000" w:themeColor="text1"/>
          <w:sz w:val="16"/>
          <w:szCs w:val="16"/>
        </w:rPr>
        <w:softHyphen/>
        <w:t>тивности выполнения противозенитно</w:t>
      </w:r>
      <w:r w:rsidRPr="00925F26">
        <w:rPr>
          <w:color w:val="000000" w:themeColor="text1"/>
          <w:sz w:val="16"/>
          <w:szCs w:val="16"/>
        </w:rPr>
        <w:softHyphen/>
        <w:t>го и противоистребительного маневров.</w:t>
      </w:r>
    </w:p>
    <w:p w14:paraId="5AAA8F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Разумеется, при обработке статис</w:t>
      </w:r>
      <w:r w:rsidRPr="00925F26">
        <w:rPr>
          <w:color w:val="000000" w:themeColor="text1"/>
          <w:sz w:val="16"/>
          <w:szCs w:val="16"/>
        </w:rPr>
        <w:softHyphen/>
        <w:t>тики военного времени необходимо де</w:t>
      </w:r>
      <w:r w:rsidRPr="00925F26">
        <w:rPr>
          <w:color w:val="000000" w:themeColor="text1"/>
          <w:sz w:val="16"/>
          <w:szCs w:val="16"/>
        </w:rPr>
        <w:softHyphen/>
        <w:t>лать скидку на недостаточное освоение новой техники экипажами, конструктив</w:t>
      </w:r>
      <w:r w:rsidRPr="00925F26">
        <w:rPr>
          <w:color w:val="000000" w:themeColor="text1"/>
          <w:sz w:val="16"/>
          <w:szCs w:val="16"/>
        </w:rPr>
        <w:softHyphen/>
        <w:t>ные и технологические дефекты, вызван</w:t>
      </w:r>
      <w:r w:rsidRPr="00925F26">
        <w:rPr>
          <w:color w:val="000000" w:themeColor="text1"/>
          <w:sz w:val="16"/>
          <w:szCs w:val="16"/>
        </w:rPr>
        <w:softHyphen/>
        <w:t>ные поспешностью проектирования и внедрения в серийное производство.</w:t>
      </w:r>
    </w:p>
    <w:p w14:paraId="5C4616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Например, инструкторский состав запасных авиаполков 1-й ЗАБ в ходе летно-тактическихучений в конце ап</w:t>
      </w:r>
      <w:r w:rsidRPr="00925F26">
        <w:rPr>
          <w:color w:val="000000" w:themeColor="text1"/>
          <w:sz w:val="16"/>
          <w:szCs w:val="16"/>
        </w:rPr>
        <w:softHyphen/>
        <w:t>реля 1945 г. смог выполнить упраж</w:t>
      </w:r>
      <w:r w:rsidRPr="00925F26">
        <w:rPr>
          <w:color w:val="000000" w:themeColor="text1"/>
          <w:sz w:val="16"/>
          <w:szCs w:val="16"/>
        </w:rPr>
        <w:softHyphen/>
        <w:t>нения по бомбометанию и стрельбе по наземной цели на полигоне только с оценкой удовлетворительно - средний бал вылетавших групп составил 3,5. При этом из 10 групп (всего 57 экипа</w:t>
      </w:r>
      <w:r w:rsidRPr="00925F26">
        <w:rPr>
          <w:color w:val="000000" w:themeColor="text1"/>
          <w:sz w:val="16"/>
          <w:szCs w:val="16"/>
        </w:rPr>
        <w:softHyphen/>
        <w:t>жей) задание по стрельбе с оценкой «отлично» выполнили только 3 груп</w:t>
      </w:r>
      <w:r w:rsidRPr="00925F26">
        <w:rPr>
          <w:color w:val="000000" w:themeColor="text1"/>
          <w:sz w:val="16"/>
          <w:szCs w:val="16"/>
        </w:rPr>
        <w:softHyphen/>
        <w:t>пы, с оценкой «хорошо» - одна груп</w:t>
      </w:r>
      <w:r w:rsidRPr="00925F26">
        <w:rPr>
          <w:color w:val="000000" w:themeColor="text1"/>
          <w:sz w:val="16"/>
          <w:szCs w:val="16"/>
        </w:rPr>
        <w:softHyphen/>
        <w:t>па, «посредственно»-три группы и три группы задания не выполнили вовсе. Бомбометание с отличными результа</w:t>
      </w:r>
      <w:r w:rsidRPr="00925F26">
        <w:rPr>
          <w:color w:val="000000" w:themeColor="text1"/>
          <w:sz w:val="16"/>
          <w:szCs w:val="16"/>
        </w:rPr>
        <w:softHyphen/>
        <w:t>тами отработали всего шесть экипа</w:t>
      </w:r>
      <w:r w:rsidRPr="00925F26">
        <w:rPr>
          <w:color w:val="000000" w:themeColor="text1"/>
          <w:sz w:val="16"/>
          <w:szCs w:val="16"/>
        </w:rPr>
        <w:softHyphen/>
        <w:t>жей, с оценкой «хорошо» - 21 экипаж, и «удовлетворительно» - 30 экипажей.</w:t>
      </w:r>
    </w:p>
    <w:p w14:paraId="07ECBD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Оказалось, что инструкторский со</w:t>
      </w:r>
      <w:r w:rsidRPr="00925F26">
        <w:rPr>
          <w:color w:val="000000" w:themeColor="text1"/>
          <w:sz w:val="16"/>
          <w:szCs w:val="16"/>
        </w:rPr>
        <w:softHyphen/>
        <w:t>став не умеет удерживать Ил-10 в ус</w:t>
      </w:r>
      <w:r w:rsidRPr="00925F26">
        <w:rPr>
          <w:color w:val="000000" w:themeColor="text1"/>
          <w:sz w:val="16"/>
          <w:szCs w:val="16"/>
        </w:rPr>
        <w:softHyphen/>
        <w:t xml:space="preserve">тойчивом </w:t>
      </w:r>
      <w:proofErr w:type="gramStart"/>
      <w:r w:rsidRPr="00925F26">
        <w:rPr>
          <w:color w:val="000000" w:themeColor="text1"/>
          <w:sz w:val="16"/>
          <w:szCs w:val="16"/>
        </w:rPr>
        <w:t>пикировании.Атака</w:t>
      </w:r>
      <w:proofErr w:type="gramEnd"/>
      <w:r w:rsidRPr="00925F26">
        <w:rPr>
          <w:color w:val="000000" w:themeColor="text1"/>
          <w:sz w:val="16"/>
          <w:szCs w:val="16"/>
        </w:rPr>
        <w:t xml:space="preserve"> выпол</w:t>
      </w:r>
      <w:r w:rsidRPr="00925F26">
        <w:rPr>
          <w:color w:val="000000" w:themeColor="text1"/>
          <w:sz w:val="16"/>
          <w:szCs w:val="16"/>
        </w:rPr>
        <w:softHyphen/>
        <w:t>няется с небольшими углами пикиро</w:t>
      </w:r>
      <w:r w:rsidRPr="00925F26">
        <w:rPr>
          <w:color w:val="000000" w:themeColor="text1"/>
          <w:sz w:val="16"/>
          <w:szCs w:val="16"/>
        </w:rPr>
        <w:softHyphen/>
        <w:t>вания, что существенно снижает точ</w:t>
      </w:r>
      <w:r w:rsidRPr="00925F26">
        <w:rPr>
          <w:color w:val="000000" w:themeColor="text1"/>
          <w:sz w:val="16"/>
          <w:szCs w:val="16"/>
        </w:rPr>
        <w:softHyphen/>
        <w:t>ность стрельбы. Маневр по вертика-</w:t>
      </w:r>
    </w:p>
    <w:p w14:paraId="201F7C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ли выполняется не энергичный. Лет</w:t>
      </w:r>
      <w:r w:rsidRPr="00925F26">
        <w:rPr>
          <w:color w:val="000000" w:themeColor="text1"/>
          <w:sz w:val="16"/>
          <w:szCs w:val="16"/>
        </w:rPr>
        <w:softHyphen/>
        <w:t>чики плохо соблюдают боевой поря</w:t>
      </w:r>
      <w:r w:rsidRPr="00925F26">
        <w:rPr>
          <w:color w:val="000000" w:themeColor="text1"/>
          <w:sz w:val="16"/>
          <w:szCs w:val="16"/>
        </w:rPr>
        <w:softHyphen/>
        <w:t>док во время атаки и на выходе из ата</w:t>
      </w:r>
      <w:r w:rsidRPr="00925F26">
        <w:rPr>
          <w:color w:val="000000" w:themeColor="text1"/>
          <w:sz w:val="16"/>
          <w:szCs w:val="16"/>
        </w:rPr>
        <w:softHyphen/>
        <w:t>ки. Не имеют устойчивых навыков в определении дистанции действитель</w:t>
      </w:r>
      <w:r w:rsidRPr="00925F26">
        <w:rPr>
          <w:color w:val="000000" w:themeColor="text1"/>
          <w:sz w:val="16"/>
          <w:szCs w:val="16"/>
        </w:rPr>
        <w:softHyphen/>
        <w:t>ного огня, а также учета поправок на ветер при маневре, при выходе на цель и при прицеливании.</w:t>
      </w:r>
    </w:p>
    <w:p w14:paraId="72F5C7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Летчики маршевых полков и вовсе показывали далеко не лучшие резуль</w:t>
      </w:r>
      <w:r w:rsidRPr="00925F26">
        <w:rPr>
          <w:color w:val="000000" w:themeColor="text1"/>
          <w:sz w:val="16"/>
          <w:szCs w:val="16"/>
        </w:rPr>
        <w:softHyphen/>
        <w:t>таты. Так, при проведении проверки летно-боевой готовности полков 7-го ШАК в мае 45-го выяснилось, что эки</w:t>
      </w:r>
      <w:r w:rsidRPr="00925F26">
        <w:rPr>
          <w:color w:val="000000" w:themeColor="text1"/>
          <w:sz w:val="16"/>
          <w:szCs w:val="16"/>
        </w:rPr>
        <w:softHyphen/>
        <w:t>пажи 807-го, 686-го, 503-го и 806-го ШАП «абсолютно не имеют представ</w:t>
      </w:r>
      <w:r w:rsidRPr="00925F26">
        <w:rPr>
          <w:color w:val="000000" w:themeColor="text1"/>
          <w:sz w:val="16"/>
          <w:szCs w:val="16"/>
        </w:rPr>
        <w:softHyphen/>
        <w:t>ления о бомбометании с пикирования, высоту сбрасывания не выдерживают, маневрирование не выполняют, боль</w:t>
      </w:r>
      <w:r w:rsidRPr="00925F26">
        <w:rPr>
          <w:color w:val="000000" w:themeColor="text1"/>
          <w:sz w:val="16"/>
          <w:szCs w:val="16"/>
        </w:rPr>
        <w:softHyphen/>
        <w:t>шинство сбрасывают бомбы не при</w:t>
      </w:r>
      <w:r w:rsidRPr="00925F26">
        <w:rPr>
          <w:color w:val="000000" w:themeColor="text1"/>
          <w:sz w:val="16"/>
          <w:szCs w:val="16"/>
        </w:rPr>
        <w:softHyphen/>
        <w:t>цельно». Из 17 летчиков 686-го ШАП и 34 сброшенных бомб, на полигоне было найдено только 9 бомб, из них 3 бомбы попали в цель, 3 бомбы «разма</w:t>
      </w:r>
      <w:r w:rsidRPr="00925F26">
        <w:rPr>
          <w:color w:val="000000" w:themeColor="text1"/>
          <w:sz w:val="16"/>
          <w:szCs w:val="16"/>
        </w:rPr>
        <w:softHyphen/>
        <w:t>заны» по полигону, и 3 бомбы группы м-ра Белова сброшены на КП полиго</w:t>
      </w:r>
      <w:r w:rsidRPr="00925F26">
        <w:rPr>
          <w:color w:val="000000" w:themeColor="text1"/>
          <w:sz w:val="16"/>
          <w:szCs w:val="16"/>
        </w:rPr>
        <w:softHyphen/>
        <w:t>на. Примерно также отработал и 807-й штурмовой авиаполк, который «раз</w:t>
      </w:r>
      <w:r w:rsidRPr="00925F26">
        <w:rPr>
          <w:color w:val="000000" w:themeColor="text1"/>
          <w:sz w:val="16"/>
          <w:szCs w:val="16"/>
        </w:rPr>
        <w:softHyphen/>
        <w:t>бросал все бомбы по полигону». В 503-м ШАП упражнение № 30 по КБП ША-44 г. с оценкой «отлично» выполнило только два экипажа, с оценкой «хоро</w:t>
      </w:r>
      <w:r w:rsidRPr="00925F26">
        <w:rPr>
          <w:color w:val="000000" w:themeColor="text1"/>
          <w:sz w:val="16"/>
          <w:szCs w:val="16"/>
        </w:rPr>
        <w:softHyphen/>
        <w:t>шо» - четыре экипажа, с оценкой «по</w:t>
      </w:r>
      <w:r w:rsidRPr="00925F26">
        <w:rPr>
          <w:color w:val="000000" w:themeColor="text1"/>
          <w:sz w:val="16"/>
          <w:szCs w:val="16"/>
        </w:rPr>
        <w:softHyphen/>
        <w:t>средственно» - четыре экипажа и 16 экипажей задание не выполнили...</w:t>
      </w:r>
    </w:p>
    <w:p w14:paraId="59EF97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в целом можно сделать вывод, что при переходе от Ил-2 к Ил-10 отечественная авиапромышленность опять выбрала «количество за счет ка</w:t>
      </w:r>
      <w:r w:rsidRPr="00925F26">
        <w:rPr>
          <w:color w:val="000000" w:themeColor="text1"/>
          <w:sz w:val="16"/>
          <w:szCs w:val="16"/>
        </w:rPr>
        <w:softHyphen/>
        <w:t>чества». Хотя в целом направление раз</w:t>
      </w:r>
      <w:r w:rsidRPr="00925F26">
        <w:rPr>
          <w:color w:val="000000" w:themeColor="text1"/>
          <w:sz w:val="16"/>
          <w:szCs w:val="16"/>
        </w:rPr>
        <w:softHyphen/>
        <w:t>вития в сторону повышения подвиж</w:t>
      </w:r>
      <w:r w:rsidRPr="00925F26">
        <w:rPr>
          <w:color w:val="000000" w:themeColor="text1"/>
          <w:sz w:val="16"/>
          <w:szCs w:val="16"/>
        </w:rPr>
        <w:softHyphen/>
        <w:t>ности, а не пассивного наращивания брони было правильным, в серию за</w:t>
      </w:r>
      <w:r w:rsidRPr="00925F26">
        <w:rPr>
          <w:color w:val="000000" w:themeColor="text1"/>
          <w:sz w:val="16"/>
          <w:szCs w:val="16"/>
        </w:rPr>
        <w:softHyphen/>
        <w:t>пустили не самый хороший самолет, а самый удобный с точки зрения быстро</w:t>
      </w:r>
      <w:r w:rsidRPr="00925F26">
        <w:rPr>
          <w:color w:val="000000" w:themeColor="text1"/>
          <w:sz w:val="16"/>
          <w:szCs w:val="16"/>
        </w:rPr>
        <w:softHyphen/>
        <w:t>ты налаживания массового выпуска.</w:t>
      </w:r>
    </w:p>
    <w:p w14:paraId="579E93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Грубые оценки показывают, что применительно кусловиям воздушных и наземных боев завершающего пери</w:t>
      </w:r>
      <w:r w:rsidRPr="00925F26">
        <w:rPr>
          <w:color w:val="000000" w:themeColor="text1"/>
          <w:sz w:val="16"/>
          <w:szCs w:val="16"/>
        </w:rPr>
        <w:softHyphen/>
        <w:t>ода войны самолет Ил-10 первых се</w:t>
      </w:r>
      <w:r w:rsidRPr="00925F26">
        <w:rPr>
          <w:color w:val="000000" w:themeColor="text1"/>
          <w:sz w:val="16"/>
          <w:szCs w:val="16"/>
        </w:rPr>
        <w:softHyphen/>
        <w:t>рий (вариант без РС) при решении за</w:t>
      </w:r>
      <w:r w:rsidRPr="00925F26">
        <w:rPr>
          <w:color w:val="000000" w:themeColor="text1"/>
          <w:sz w:val="16"/>
          <w:szCs w:val="16"/>
        </w:rPr>
        <w:softHyphen/>
        <w:t>дач непосредственной авиационной поддержки войск в наступлении по боевой эффективности был лучше Ил-2 примерно на 3-4%. В то же время для двухместного Су-б АМ-42 с пушка</w:t>
      </w:r>
      <w:r w:rsidRPr="00925F26">
        <w:rPr>
          <w:color w:val="000000" w:themeColor="text1"/>
          <w:sz w:val="16"/>
          <w:szCs w:val="16"/>
        </w:rPr>
        <w:softHyphen/>
        <w:t>ми НС-37 прирост эффективности мог составить свыше 30%. То есть, для вы</w:t>
      </w:r>
      <w:r w:rsidRPr="00925F26">
        <w:rPr>
          <w:color w:val="000000" w:themeColor="text1"/>
          <w:sz w:val="16"/>
          <w:szCs w:val="16"/>
        </w:rPr>
        <w:softHyphen/>
        <w:t>полнения тех же задач потребовалось бы меньше самолетов, меньше летчи</w:t>
      </w:r>
      <w:r w:rsidRPr="00925F26">
        <w:rPr>
          <w:color w:val="000000" w:themeColor="text1"/>
          <w:sz w:val="16"/>
          <w:szCs w:val="16"/>
        </w:rPr>
        <w:softHyphen/>
        <w:t>ков. Но выбор был сделан</w:t>
      </w:r>
      <w:proofErr w:type="gramStart"/>
      <w:r w:rsidRPr="00925F26">
        <w:rPr>
          <w:color w:val="000000" w:themeColor="text1"/>
          <w:sz w:val="16"/>
          <w:szCs w:val="16"/>
        </w:rPr>
        <w:t>...(</w:t>
      </w:r>
      <w:proofErr w:type="gramEnd"/>
      <w:r w:rsidRPr="00925F26">
        <w:rPr>
          <w:color w:val="000000" w:themeColor="text1"/>
          <w:sz w:val="16"/>
          <w:szCs w:val="16"/>
        </w:rPr>
        <w:t>11161)</w:t>
      </w:r>
    </w:p>
    <w:p w14:paraId="7995DF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5A43E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 исходу 8 мая в 571-м </w:t>
      </w:r>
      <w:r w:rsidRPr="00925F26">
        <w:rPr>
          <w:iCs/>
          <w:color w:val="000000" w:themeColor="text1"/>
          <w:sz w:val="16"/>
          <w:szCs w:val="16"/>
        </w:rPr>
        <w:t>шап "по причине производственно-конст</w:t>
      </w:r>
      <w:r w:rsidRPr="00925F26">
        <w:rPr>
          <w:iCs/>
          <w:color w:val="000000" w:themeColor="text1"/>
          <w:sz w:val="16"/>
          <w:szCs w:val="16"/>
        </w:rPr>
        <w:softHyphen/>
        <w:t xml:space="preserve">руктивных дефектов" </w:t>
      </w:r>
      <w:r w:rsidRPr="00925F26">
        <w:rPr>
          <w:color w:val="000000" w:themeColor="text1"/>
          <w:sz w:val="16"/>
          <w:szCs w:val="16"/>
        </w:rPr>
        <w:t>из строя выш</w:t>
      </w:r>
      <w:r w:rsidRPr="00925F26">
        <w:rPr>
          <w:color w:val="000000" w:themeColor="text1"/>
          <w:sz w:val="16"/>
          <w:szCs w:val="16"/>
        </w:rPr>
        <w:softHyphen/>
        <w:t>ло 13 машин Ил-10 — свыше 40% боевого состава к началу боевых действий. Позже выяснилось, что еще на 6 самолетах летать опасно. Как ука</w:t>
      </w:r>
      <w:r w:rsidRPr="00925F26">
        <w:rPr>
          <w:color w:val="000000" w:themeColor="text1"/>
          <w:sz w:val="16"/>
          <w:szCs w:val="16"/>
        </w:rPr>
        <w:softHyphen/>
        <w:t>зывалось в отчете ст. инженера пол</w:t>
      </w:r>
      <w:r w:rsidRPr="00925F26">
        <w:rPr>
          <w:color w:val="000000" w:themeColor="text1"/>
          <w:sz w:val="16"/>
          <w:szCs w:val="16"/>
        </w:rPr>
        <w:softHyphen/>
        <w:t xml:space="preserve">ка м-ра Жиленкова, </w:t>
      </w:r>
      <w:r w:rsidRPr="00925F26">
        <w:rPr>
          <w:iCs/>
          <w:color w:val="000000" w:themeColor="text1"/>
          <w:sz w:val="16"/>
          <w:szCs w:val="16"/>
        </w:rPr>
        <w:t>"для восстанов</w:t>
      </w:r>
      <w:r w:rsidRPr="00925F26">
        <w:rPr>
          <w:iCs/>
          <w:color w:val="000000" w:themeColor="text1"/>
          <w:sz w:val="16"/>
          <w:szCs w:val="16"/>
        </w:rPr>
        <w:softHyphen/>
        <w:t>ления всех самолетов полку требу</w:t>
      </w:r>
      <w:r w:rsidRPr="00925F26">
        <w:rPr>
          <w:iCs/>
          <w:color w:val="000000" w:themeColor="text1"/>
          <w:sz w:val="16"/>
          <w:szCs w:val="16"/>
        </w:rPr>
        <w:softHyphen/>
        <w:t>ется 14 моторов АМ-42 и 18 нагне</w:t>
      </w:r>
      <w:r w:rsidRPr="00925F26">
        <w:rPr>
          <w:iCs/>
          <w:color w:val="000000" w:themeColor="text1"/>
          <w:sz w:val="16"/>
          <w:szCs w:val="16"/>
        </w:rPr>
        <w:softHyphen/>
        <w:t xml:space="preserve">тателей". </w:t>
      </w:r>
      <w:r w:rsidRPr="00925F26">
        <w:rPr>
          <w:color w:val="000000" w:themeColor="text1"/>
          <w:sz w:val="16"/>
          <w:szCs w:val="16"/>
        </w:rPr>
        <w:t xml:space="preserve">В 108-м гвардейском </w:t>
      </w:r>
      <w:r w:rsidRPr="00925F26">
        <w:rPr>
          <w:iCs/>
          <w:color w:val="000000" w:themeColor="text1"/>
          <w:sz w:val="16"/>
          <w:szCs w:val="16"/>
        </w:rPr>
        <w:t xml:space="preserve">шап </w:t>
      </w:r>
      <w:r w:rsidRPr="00925F26">
        <w:rPr>
          <w:color w:val="000000" w:themeColor="text1"/>
          <w:sz w:val="16"/>
          <w:szCs w:val="16"/>
        </w:rPr>
        <w:t>картина была такая же. К вечеру 30 апреля в полку насчитывалось всего 11 боеспособных самолетов. Осталь</w:t>
      </w:r>
      <w:r w:rsidRPr="00925F26">
        <w:rPr>
          <w:color w:val="000000" w:themeColor="text1"/>
          <w:sz w:val="16"/>
          <w:szCs w:val="16"/>
        </w:rPr>
        <w:softHyphen/>
        <w:t>ные 18 "десяток" требовали ремон</w:t>
      </w:r>
      <w:r w:rsidRPr="00925F26">
        <w:rPr>
          <w:color w:val="000000" w:themeColor="text1"/>
          <w:sz w:val="16"/>
          <w:szCs w:val="16"/>
        </w:rPr>
        <w:softHyphen/>
        <w:t>та. Еще одна неделя боев, и летать было бы не на чем.</w:t>
      </w:r>
    </w:p>
    <w:p w14:paraId="08F311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тылу положение дел было не лучше. Например, в двух дивизиях 7-го </w:t>
      </w:r>
      <w:r w:rsidRPr="00925F26">
        <w:rPr>
          <w:iCs/>
          <w:color w:val="000000" w:themeColor="text1"/>
          <w:sz w:val="16"/>
          <w:szCs w:val="16"/>
        </w:rPr>
        <w:t xml:space="preserve">шак, </w:t>
      </w:r>
      <w:r w:rsidRPr="00925F26">
        <w:rPr>
          <w:color w:val="000000" w:themeColor="text1"/>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925F26">
        <w:rPr>
          <w:color w:val="000000" w:themeColor="text1"/>
          <w:sz w:val="16"/>
          <w:szCs w:val="16"/>
        </w:rPr>
        <w:softHyphen/>
        <w:t>исправными.</w:t>
      </w:r>
    </w:p>
    <w:p w14:paraId="6FEF85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полках, эксплуатирующих Ил-10, имели место случаи дефор</w:t>
      </w:r>
      <w:r w:rsidRPr="00925F26">
        <w:rPr>
          <w:color w:val="000000" w:themeColor="text1"/>
          <w:sz w:val="16"/>
          <w:szCs w:val="16"/>
        </w:rPr>
        <w:softHyphen/>
        <w:t>мации верхней и нижней обшивки консольной части крыла, срез и от</w:t>
      </w:r>
      <w:r w:rsidRPr="00925F26">
        <w:rPr>
          <w:color w:val="000000" w:themeColor="text1"/>
          <w:sz w:val="16"/>
          <w:szCs w:val="16"/>
        </w:rPr>
        <w:softHyphen/>
        <w:t>рыв заклепок. На некоторых маши</w:t>
      </w:r>
      <w:r w:rsidRPr="00925F26">
        <w:rPr>
          <w:color w:val="000000" w:themeColor="text1"/>
          <w:sz w:val="16"/>
          <w:szCs w:val="16"/>
        </w:rPr>
        <w:softHyphen/>
        <w:t>нах наблюдалось отставание листов нижней обшивки центроплана, со</w:t>
      </w:r>
      <w:r w:rsidRPr="00925F26">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925F26">
        <w:rPr>
          <w:color w:val="000000" w:themeColor="text1"/>
          <w:sz w:val="16"/>
          <w:szCs w:val="16"/>
        </w:rPr>
        <w:softHyphen/>
        <w:t>лабления заклепочных швов обшив</w:t>
      </w:r>
      <w:r w:rsidRPr="00925F26">
        <w:rPr>
          <w:color w:val="000000" w:themeColor="text1"/>
          <w:sz w:val="16"/>
          <w:szCs w:val="16"/>
        </w:rPr>
        <w:softHyphen/>
        <w:t>ки фюзеляжа в области крепления костыльной установки, а также по листу перехода килевой части фю</w:t>
      </w:r>
      <w:r w:rsidRPr="00925F26">
        <w:rPr>
          <w:color w:val="000000" w:themeColor="text1"/>
          <w:sz w:val="16"/>
          <w:szCs w:val="16"/>
        </w:rPr>
        <w:softHyphen/>
        <w:t>зеляжа. Система шасси оказалась довольно слабой в прочностном от</w:t>
      </w:r>
      <w:r w:rsidRPr="00925F26">
        <w:rPr>
          <w:color w:val="000000" w:themeColor="text1"/>
          <w:sz w:val="16"/>
          <w:szCs w:val="16"/>
        </w:rPr>
        <w:softHyphen/>
        <w:t>ношении и ненадежной: ломались складывающиеся подкосы шасси и обтекатели хвостового колеса, на</w:t>
      </w:r>
      <w:r w:rsidRPr="00925F26">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52DA59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Много проблем было и с воору</w:t>
      </w:r>
      <w:r w:rsidRPr="00925F26">
        <w:rPr>
          <w:color w:val="000000" w:themeColor="text1"/>
          <w:sz w:val="16"/>
          <w:szCs w:val="16"/>
        </w:rPr>
        <w:softHyphen/>
        <w:t>жением. Постоянно рвались и зае</w:t>
      </w:r>
      <w:r w:rsidRPr="00925F26">
        <w:rPr>
          <w:color w:val="000000" w:themeColor="text1"/>
          <w:sz w:val="16"/>
          <w:szCs w:val="16"/>
        </w:rPr>
        <w:softHyphen/>
        <w:t>дали троса бомболюков, створки бомболюков деформировались при загрузке мелких бомб и поврежда</w:t>
      </w:r>
      <w:r w:rsidRPr="00925F26">
        <w:rPr>
          <w:color w:val="000000" w:themeColor="text1"/>
          <w:sz w:val="16"/>
          <w:szCs w:val="16"/>
        </w:rPr>
        <w:softHyphen/>
        <w:t>лись при сбросе бомб крупного ка</w:t>
      </w:r>
      <w:r w:rsidRPr="00925F26">
        <w:rPr>
          <w:color w:val="000000" w:themeColor="text1"/>
          <w:sz w:val="16"/>
          <w:szCs w:val="16"/>
        </w:rPr>
        <w:softHyphen/>
        <w:t>либра. Все это приводило к тому, что</w:t>
      </w:r>
    </w:p>
    <w:p w14:paraId="1DAE44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 целью экипажи после сброса бомб зачастую продолжали выпол</w:t>
      </w:r>
      <w:r w:rsidRPr="00925F26">
        <w:rPr>
          <w:color w:val="000000" w:themeColor="text1"/>
          <w:sz w:val="16"/>
          <w:szCs w:val="16"/>
        </w:rPr>
        <w:softHyphen/>
        <w:t xml:space="preserve">нять атаки с открытыми </w:t>
      </w:r>
      <w:proofErr w:type="gramStart"/>
      <w:r w:rsidRPr="00925F26">
        <w:rPr>
          <w:color w:val="000000" w:themeColor="text1"/>
          <w:sz w:val="16"/>
          <w:szCs w:val="16"/>
        </w:rPr>
        <w:t>бомболюка-ми</w:t>
      </w:r>
      <w:proofErr w:type="gramEnd"/>
      <w:r w:rsidRPr="00925F26">
        <w:rPr>
          <w:color w:val="000000" w:themeColor="text1"/>
          <w:sz w:val="16"/>
          <w:szCs w:val="16"/>
        </w:rPr>
        <w:t xml:space="preserve">. В результате </w:t>
      </w:r>
      <w:r w:rsidRPr="00925F26">
        <w:rPr>
          <w:iCs/>
          <w:color w:val="000000" w:themeColor="text1"/>
          <w:sz w:val="16"/>
          <w:szCs w:val="16"/>
        </w:rPr>
        <w:t xml:space="preserve">"самолет терял в маневренности". </w:t>
      </w:r>
      <w:r w:rsidRPr="00925F26">
        <w:rPr>
          <w:color w:val="000000" w:themeColor="text1"/>
          <w:sz w:val="16"/>
          <w:szCs w:val="16"/>
        </w:rPr>
        <w:t>Кроме этого, име</w:t>
      </w:r>
      <w:r w:rsidRPr="00925F26">
        <w:rPr>
          <w:color w:val="000000" w:themeColor="text1"/>
          <w:sz w:val="16"/>
          <w:szCs w:val="16"/>
        </w:rPr>
        <w:softHyphen/>
        <w:t>лись случаи, когда створки бомбо</w:t>
      </w:r>
      <w:r w:rsidRPr="00925F26">
        <w:rPr>
          <w:color w:val="000000" w:themeColor="text1"/>
          <w:sz w:val="16"/>
          <w:szCs w:val="16"/>
        </w:rPr>
        <w:softHyphen/>
        <w:t>вых отсеков открывались не полнос</w:t>
      </w:r>
      <w:r w:rsidRPr="00925F26">
        <w:rPr>
          <w:color w:val="000000" w:themeColor="text1"/>
          <w:sz w:val="16"/>
          <w:szCs w:val="16"/>
        </w:rPr>
        <w:softHyphen/>
        <w:t>тью и бомбы зависали.</w:t>
      </w:r>
    </w:p>
    <w:p w14:paraId="4191F3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Специальная комиссия ВВС в се</w:t>
      </w:r>
      <w:r w:rsidRPr="00925F26">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1737EB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Следует отметить, что, судя по до</w:t>
      </w:r>
      <w:r w:rsidRPr="00925F26">
        <w:rPr>
          <w:color w:val="000000" w:themeColor="text1"/>
          <w:sz w:val="16"/>
          <w:szCs w:val="16"/>
        </w:rPr>
        <w:softHyphen/>
        <w:t>кументам, недостатки и дефекты мо</w:t>
      </w:r>
      <w:r w:rsidRPr="00925F26">
        <w:rPr>
          <w:color w:val="000000" w:themeColor="text1"/>
          <w:sz w:val="16"/>
          <w:szCs w:val="16"/>
        </w:rPr>
        <w:softHyphen/>
        <w:t>тора АМ-42 обуславливались не только объективными трудностями, но также и "особым" отношением мо</w:t>
      </w:r>
      <w:r w:rsidRPr="00925F26">
        <w:rPr>
          <w:color w:val="000000" w:themeColor="text1"/>
          <w:sz w:val="16"/>
          <w:szCs w:val="16"/>
        </w:rPr>
        <w:softHyphen/>
        <w:t>тористов к вопросу выяснения истин</w:t>
      </w:r>
      <w:r w:rsidRPr="00925F26">
        <w:rPr>
          <w:color w:val="000000" w:themeColor="text1"/>
          <w:sz w:val="16"/>
          <w:szCs w:val="16"/>
        </w:rPr>
        <w:softHyphen/>
        <w:t xml:space="preserve">ных причин </w:t>
      </w:r>
      <w:r w:rsidRPr="00925F26">
        <w:rPr>
          <w:iCs/>
          <w:color w:val="000000" w:themeColor="text1"/>
          <w:sz w:val="16"/>
          <w:szCs w:val="16"/>
        </w:rPr>
        <w:t xml:space="preserve">"летных происшествий, происходящих по причине отказа моторов". </w:t>
      </w:r>
      <w:r w:rsidRPr="00925F26">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925F26">
        <w:rPr>
          <w:iCs/>
          <w:color w:val="000000" w:themeColor="text1"/>
          <w:sz w:val="16"/>
          <w:szCs w:val="16"/>
        </w:rPr>
        <w:t>"...представители завода запу</w:t>
      </w:r>
      <w:r w:rsidRPr="00925F26">
        <w:rPr>
          <w:iCs/>
          <w:color w:val="000000" w:themeColor="text1"/>
          <w:sz w:val="16"/>
          <w:szCs w:val="16"/>
        </w:rPr>
        <w:softHyphen/>
        <w:t>тывают расследования причин отка</w:t>
      </w:r>
      <w:r w:rsidRPr="00925F26">
        <w:rPr>
          <w:iCs/>
          <w:color w:val="000000" w:themeColor="text1"/>
          <w:sz w:val="16"/>
          <w:szCs w:val="16"/>
        </w:rPr>
        <w:softHyphen/>
        <w:t>зов моторов, а значит, стремятся за</w:t>
      </w:r>
      <w:r w:rsidRPr="00925F26">
        <w:rPr>
          <w:iCs/>
          <w:color w:val="000000" w:themeColor="text1"/>
          <w:sz w:val="16"/>
          <w:szCs w:val="16"/>
        </w:rPr>
        <w:softHyphen/>
        <w:t>мазать их. Расследования затягива</w:t>
      </w:r>
      <w:r w:rsidRPr="00925F26">
        <w:rPr>
          <w:iCs/>
          <w:color w:val="000000" w:themeColor="text1"/>
          <w:sz w:val="16"/>
          <w:szCs w:val="16"/>
        </w:rPr>
        <w:softHyphen/>
        <w:t>ются на полгода и более. Такое "рас</w:t>
      </w:r>
      <w:r w:rsidRPr="00925F26">
        <w:rPr>
          <w:iCs/>
          <w:color w:val="000000" w:themeColor="text1"/>
          <w:sz w:val="16"/>
          <w:szCs w:val="16"/>
        </w:rPr>
        <w:softHyphen/>
        <w:t>следование" не может предупредить вовремя повторение летных проис</w:t>
      </w:r>
      <w:r w:rsidRPr="00925F26">
        <w:rPr>
          <w:iCs/>
          <w:color w:val="000000" w:themeColor="text1"/>
          <w:sz w:val="16"/>
          <w:szCs w:val="16"/>
        </w:rPr>
        <w:softHyphen/>
        <w:t>шествий по тем же причинам. Завя</w:t>
      </w:r>
      <w:r w:rsidRPr="00925F26">
        <w:rPr>
          <w:iCs/>
          <w:color w:val="000000" w:themeColor="text1"/>
          <w:sz w:val="16"/>
          <w:szCs w:val="16"/>
        </w:rPr>
        <w:softHyphen/>
        <w:t>зывается бессмысленная переписка, в результате которой все же Вам при</w:t>
      </w:r>
      <w:r w:rsidRPr="00925F26">
        <w:rPr>
          <w:iCs/>
          <w:color w:val="000000" w:themeColor="text1"/>
          <w:sz w:val="16"/>
          <w:szCs w:val="16"/>
        </w:rPr>
        <w:softHyphen/>
        <w:t>ходиться признавать вину за заво</w:t>
      </w:r>
      <w:r w:rsidRPr="00925F26">
        <w:rPr>
          <w:iCs/>
          <w:color w:val="000000" w:themeColor="text1"/>
          <w:sz w:val="16"/>
          <w:szCs w:val="16"/>
        </w:rPr>
        <w:softHyphen/>
        <w:t>дом. Нелогичность "особых" мнений и отсутствие в них обоснования го</w:t>
      </w:r>
      <w:r w:rsidRPr="00925F26">
        <w:rPr>
          <w:iCs/>
          <w:color w:val="000000" w:themeColor="text1"/>
          <w:sz w:val="16"/>
          <w:szCs w:val="16"/>
        </w:rPr>
        <w:softHyphen/>
        <w:t>ворит о чрезвычайно низкой техни</w:t>
      </w:r>
      <w:r w:rsidRPr="00925F26">
        <w:rPr>
          <w:iCs/>
          <w:color w:val="000000" w:themeColor="text1"/>
          <w:sz w:val="16"/>
          <w:szCs w:val="16"/>
        </w:rPr>
        <w:softHyphen/>
        <w:t>ческой грамотности представителей завода, работающих в бригаде..."</w:t>
      </w:r>
    </w:p>
    <w:p w14:paraId="5757C0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Забегая вперед, укажем, что до</w:t>
      </w:r>
      <w:r w:rsidRPr="00925F26">
        <w:rPr>
          <w:color w:val="000000" w:themeColor="text1"/>
          <w:sz w:val="16"/>
          <w:szCs w:val="16"/>
        </w:rPr>
        <w:softHyphen/>
        <w:t>водка АМ-42 затянулась фактически до середины 1947 г., когда были вне</w:t>
      </w:r>
      <w:r w:rsidRPr="00925F26">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925F26">
        <w:rPr>
          <w:color w:val="000000" w:themeColor="text1"/>
          <w:sz w:val="16"/>
          <w:szCs w:val="16"/>
        </w:rPr>
        <w:softHyphen/>
        <w:t>мени, недостаточная его надежность определяла и довольно высокую ава</w:t>
      </w:r>
      <w:r w:rsidRPr="00925F26">
        <w:rPr>
          <w:color w:val="000000" w:themeColor="text1"/>
          <w:sz w:val="16"/>
          <w:szCs w:val="16"/>
        </w:rPr>
        <w:softHyphen/>
        <w:t xml:space="preserve">рийность в частях ВВС. Например, в феврале-марте 1946 г. в частях 10-й </w:t>
      </w:r>
      <w:r w:rsidRPr="00925F26">
        <w:rPr>
          <w:iCs/>
          <w:color w:val="000000" w:themeColor="text1"/>
          <w:sz w:val="16"/>
          <w:szCs w:val="16"/>
        </w:rPr>
        <w:t xml:space="preserve">гшад </w:t>
      </w:r>
      <w:r w:rsidRPr="00925F26">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C80EB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проблем с мотором, се</w:t>
      </w:r>
      <w:r w:rsidRPr="00925F26">
        <w:rPr>
          <w:color w:val="000000" w:themeColor="text1"/>
          <w:sz w:val="16"/>
          <w:szCs w:val="16"/>
        </w:rPr>
        <w:softHyphen/>
        <w:t>рийные Ил-10 характеризовались и пониженными летными данными в сравнении с опытной машиной. Ут</w:t>
      </w:r>
      <w:r w:rsidRPr="00925F26">
        <w:rPr>
          <w:color w:val="000000" w:themeColor="text1"/>
          <w:sz w:val="16"/>
          <w:szCs w:val="16"/>
        </w:rPr>
        <w:softHyphen/>
        <w:t>вержденные на совместном совеща</w:t>
      </w:r>
      <w:r w:rsidRPr="00925F26">
        <w:rPr>
          <w:color w:val="000000" w:themeColor="text1"/>
          <w:sz w:val="16"/>
          <w:szCs w:val="16"/>
        </w:rPr>
        <w:softHyphen/>
        <w:t>нии ВВС и НКАП в январе 1945 г. технические условия на самолет Ил-10 оказались для заводов высокими.</w:t>
      </w:r>
    </w:p>
    <w:p w14:paraId="58C847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Усиление конструкции самолета (кры</w:t>
      </w:r>
      <w:r w:rsidRPr="00925F26">
        <w:rPr>
          <w:color w:val="000000" w:themeColor="text1"/>
          <w:sz w:val="16"/>
          <w:szCs w:val="16"/>
        </w:rPr>
        <w:softHyphen/>
        <w:t>ло, фюзеляж, шасси и т.д.), внесение различного рода изменений и дора</w:t>
      </w:r>
      <w:r w:rsidRPr="00925F26">
        <w:rPr>
          <w:color w:val="000000" w:themeColor="text1"/>
          <w:sz w:val="16"/>
          <w:szCs w:val="16"/>
        </w:rPr>
        <w:softHyphen/>
        <w:t>ботки машины, естественно, сопро</w:t>
      </w:r>
      <w:r w:rsidRPr="00925F26">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25F26">
        <w:rPr>
          <w:color w:val="000000" w:themeColor="text1"/>
          <w:sz w:val="16"/>
          <w:szCs w:val="16"/>
        </w:rPr>
        <w:softHyphen/>
        <w:t>емности. Естественно, усилились тре</w:t>
      </w:r>
      <w:r w:rsidRPr="00925F26">
        <w:rPr>
          <w:color w:val="000000" w:themeColor="text1"/>
          <w:sz w:val="16"/>
          <w:szCs w:val="16"/>
        </w:rPr>
        <w:softHyphen/>
        <w:t>ния между заводами и военными представителями по вопросам при</w:t>
      </w:r>
      <w:r w:rsidRPr="00925F26">
        <w:rPr>
          <w:color w:val="000000" w:themeColor="text1"/>
          <w:sz w:val="16"/>
          <w:szCs w:val="16"/>
        </w:rPr>
        <w:softHyphen/>
        <w:t>емки самолетов и их оплаты. На мно</w:t>
      </w:r>
      <w:r w:rsidRPr="00925F26">
        <w:rPr>
          <w:color w:val="000000" w:themeColor="text1"/>
          <w:sz w:val="16"/>
          <w:szCs w:val="16"/>
        </w:rPr>
        <w:softHyphen/>
        <w:t>гочисленных совещаниях по устране</w:t>
      </w:r>
      <w:r w:rsidRPr="00925F26">
        <w:rPr>
          <w:color w:val="000000" w:themeColor="text1"/>
          <w:sz w:val="16"/>
          <w:szCs w:val="16"/>
        </w:rPr>
        <w:softHyphen/>
        <w:t>нию дефектов Ил-10 не всегда уда</w:t>
      </w:r>
      <w:r w:rsidRPr="00925F26">
        <w:rPr>
          <w:color w:val="000000" w:themeColor="text1"/>
          <w:sz w:val="16"/>
          <w:szCs w:val="16"/>
        </w:rPr>
        <w:softHyphen/>
        <w:t>валось прийти к соглашению. Пред</w:t>
      </w:r>
      <w:r w:rsidRPr="00925F26">
        <w:rPr>
          <w:color w:val="000000" w:themeColor="text1"/>
          <w:sz w:val="16"/>
          <w:szCs w:val="16"/>
        </w:rPr>
        <w:softHyphen/>
        <w:t>ставители промышленности каждый раз принимали на себя обязатель</w:t>
      </w:r>
      <w:r w:rsidRPr="00925F26">
        <w:rPr>
          <w:color w:val="000000" w:themeColor="text1"/>
          <w:sz w:val="16"/>
          <w:szCs w:val="16"/>
        </w:rPr>
        <w:softHyphen/>
        <w:t>ства по улучшению летных и эксплу</w:t>
      </w:r>
      <w:r w:rsidRPr="00925F26">
        <w:rPr>
          <w:color w:val="000000" w:themeColor="text1"/>
          <w:sz w:val="16"/>
          <w:szCs w:val="16"/>
        </w:rPr>
        <w:softHyphen/>
        <w:t>атационных качеств машины и вся</w:t>
      </w:r>
      <w:r w:rsidRPr="00925F26">
        <w:rPr>
          <w:color w:val="000000" w:themeColor="text1"/>
          <w:sz w:val="16"/>
          <w:szCs w:val="16"/>
        </w:rPr>
        <w:softHyphen/>
        <w:t>кий раз их не выдерживали. Соот</w:t>
      </w:r>
      <w:r w:rsidRPr="00925F26">
        <w:rPr>
          <w:color w:val="000000" w:themeColor="text1"/>
          <w:sz w:val="16"/>
          <w:szCs w:val="16"/>
        </w:rPr>
        <w:softHyphen/>
        <w:t>ветственно, военные делали офици</w:t>
      </w:r>
      <w:r w:rsidRPr="00925F26">
        <w:rPr>
          <w:color w:val="000000" w:themeColor="text1"/>
          <w:sz w:val="16"/>
          <w:szCs w:val="16"/>
        </w:rPr>
        <w:softHyphen/>
        <w:t xml:space="preserve">альные выводы: </w:t>
      </w:r>
      <w:r w:rsidRPr="00925F26">
        <w:rPr>
          <w:iCs/>
          <w:color w:val="000000" w:themeColor="text1"/>
          <w:sz w:val="16"/>
          <w:szCs w:val="16"/>
        </w:rPr>
        <w:t>"Со стороны НКАП сроки выполнения Постановлений ГОКО, СНК и приказов НКАП не вы</w:t>
      </w:r>
      <w:r w:rsidRPr="00925F26">
        <w:rPr>
          <w:iCs/>
          <w:color w:val="000000" w:themeColor="text1"/>
          <w:sz w:val="16"/>
          <w:szCs w:val="16"/>
        </w:rPr>
        <w:softHyphen/>
        <w:t xml:space="preserve">держиваются". </w:t>
      </w:r>
      <w:r w:rsidRPr="00925F26">
        <w:rPr>
          <w:color w:val="000000" w:themeColor="text1"/>
          <w:sz w:val="16"/>
          <w:szCs w:val="16"/>
        </w:rPr>
        <w:t>Напряженность во взаимоотношениях ВВС и НКАП на</w:t>
      </w:r>
      <w:r w:rsidRPr="00925F26">
        <w:rPr>
          <w:color w:val="000000" w:themeColor="text1"/>
          <w:sz w:val="16"/>
          <w:szCs w:val="16"/>
        </w:rPr>
        <w:softHyphen/>
        <w:t>растала с каждым месяцем (11431).</w:t>
      </w:r>
    </w:p>
    <w:p w14:paraId="166301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F3B7B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Одной из последних потерь балтийской авиации стал Пе-2 из 15-го РАП, сбитый 8 мая 1945 года к западу от Лиепаи обер-лейтенантом Тибеном. Вместе с машиной погибли два Героя Советского Союза: Г. Давиденко и А. Грачев. В полдень того же дня, во время налета на Лиепаю погиб один из самых опытных пилотов 47-го ШАП - В. Талдыкин. В. Остапенко из 9-го ИАП сбил один FW-190, который рухнул возле своего аэродрома (2691).</w:t>
      </w:r>
    </w:p>
    <w:p w14:paraId="57F939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за годы Великой Отечественной войны балтийская авиация совершила 158050 боевых вылетов и сбила 2418 самолетов противника (2691).</w:t>
      </w:r>
    </w:p>
    <w:p w14:paraId="0F309637" w14:textId="77777777" w:rsidR="00665165" w:rsidRPr="00925F26" w:rsidRDefault="00665165" w:rsidP="00925F26">
      <w:pPr>
        <w:autoSpaceDE w:val="0"/>
        <w:autoSpaceDN w:val="0"/>
        <w:adjustRightInd w:val="0"/>
        <w:jc w:val="both"/>
        <w:rPr>
          <w:color w:val="000000" w:themeColor="text1"/>
          <w:sz w:val="16"/>
          <w:szCs w:val="16"/>
        </w:rPr>
      </w:pPr>
    </w:p>
    <w:p w14:paraId="55FF70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г. был, по-видимому, последний боевой вылет Пе-2 на бомбометание в Европе. Советские летчики бомбили порт в г. Лиепае, откуда немцы пытались морем уйти в Швецию. Разведывательные полеты в Чехословакии и Австрии совершались и позже (3542).</w:t>
      </w:r>
    </w:p>
    <w:p w14:paraId="43834BC1" w14:textId="77777777" w:rsidR="00665165" w:rsidRPr="00925F26" w:rsidRDefault="00665165" w:rsidP="00925F26">
      <w:pPr>
        <w:autoSpaceDE w:val="0"/>
        <w:autoSpaceDN w:val="0"/>
        <w:adjustRightInd w:val="0"/>
        <w:jc w:val="both"/>
        <w:rPr>
          <w:color w:val="000000" w:themeColor="text1"/>
          <w:sz w:val="16"/>
          <w:szCs w:val="16"/>
        </w:rPr>
      </w:pPr>
    </w:p>
    <w:p w14:paraId="1EFDFD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на Пе-2 погибло 2 ГСС л м А.Грачев и ш к Г.Давиденко из 15 рап ВВС КБФ. Сбили 2 FW190D-9, на одном из которых перевозили механика (1841,31).</w:t>
      </w:r>
    </w:p>
    <w:p w14:paraId="10F4431E" w14:textId="77777777" w:rsidR="00665165" w:rsidRPr="00925F26" w:rsidRDefault="00665165" w:rsidP="00925F26">
      <w:pPr>
        <w:autoSpaceDE w:val="0"/>
        <w:autoSpaceDN w:val="0"/>
        <w:adjustRightInd w:val="0"/>
        <w:jc w:val="both"/>
        <w:rPr>
          <w:color w:val="000000" w:themeColor="text1"/>
          <w:sz w:val="16"/>
          <w:szCs w:val="16"/>
        </w:rPr>
      </w:pPr>
    </w:p>
    <w:p w14:paraId="05BFA1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мая 1945 г. последний Пе-2 не вернулся с задания. В тот день одинокий самолёт-разведчик двух Героев Советского Союза -пилота майора Г.Давиденко и штурмана майора Грачёва - возвращался с задания из района Гдыни. Над серыми волнами Балтики он был внезапно атакован парой Г\Л/190. Ве</w:t>
      </w:r>
      <w:r w:rsidRPr="00925F26">
        <w:rPr>
          <w:color w:val="000000" w:themeColor="text1"/>
          <w:sz w:val="16"/>
          <w:szCs w:val="16"/>
        </w:rPr>
        <w:softHyphen/>
        <w:t>дущий истребитель пилотировал командир отряда 7./Л354 обер-лейтенант Герхард Тибен, а его ведомым был фельдфебель Фриц Хангебраук. В закабинном отсеке ведущего истребителя, согнувшись в три погибели и стараясь не касаться тросов управления, сидел механик Тибена. Однако, это не помешало немцам атаковать. Штурман и стре</w:t>
      </w:r>
      <w:r w:rsidRPr="00925F26">
        <w:rPr>
          <w:color w:val="000000" w:themeColor="text1"/>
          <w:sz w:val="16"/>
          <w:szCs w:val="16"/>
        </w:rPr>
        <w:softHyphen/>
        <w:t>лок-радист советского бомбардировщика не сумели отбить внезапную атаку «фоккеров». Спустя три минуты горящая «пешка» вместе со экипажем рухнула в море (11392).</w:t>
      </w:r>
    </w:p>
    <w:p w14:paraId="239AF0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013C6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10-я советская гвардейская механизированная бригада заняла чешский город Жатец в 60 км северо-западнее Праги (4963 ).</w:t>
      </w:r>
    </w:p>
    <w:p w14:paraId="6C75DB2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06574C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16-я советская механизированная бригада заняла чешский город Мост (</w:t>
      </w:r>
      <w:proofErr w:type="gramStart"/>
      <w:r w:rsidRPr="00925F26">
        <w:rPr>
          <w:color w:val="000000" w:themeColor="text1"/>
          <w:sz w:val="16"/>
          <w:szCs w:val="16"/>
        </w:rPr>
        <w:t>4963 )</w:t>
      </w:r>
      <w:proofErr w:type="gramEnd"/>
      <w:r w:rsidRPr="00925F26">
        <w:rPr>
          <w:color w:val="000000" w:themeColor="text1"/>
          <w:sz w:val="16"/>
          <w:szCs w:val="16"/>
        </w:rPr>
        <w:t>.</w:t>
      </w:r>
    </w:p>
    <w:p w14:paraId="4F3E022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8E6A3A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3-я и 5-я гвардейские, 3-я гвардейская танковая советские армии во взаимодействии с частями 2-й армии Войска Польского полностью захватили немецкий город Дрезден на юго-востоке Германии (</w:t>
      </w:r>
      <w:proofErr w:type="gramStart"/>
      <w:r w:rsidRPr="00925F26">
        <w:rPr>
          <w:color w:val="000000" w:themeColor="text1"/>
          <w:sz w:val="16"/>
          <w:szCs w:val="16"/>
        </w:rPr>
        <w:t>4963 )</w:t>
      </w:r>
      <w:proofErr w:type="gramEnd"/>
      <w:r w:rsidRPr="00925F26">
        <w:rPr>
          <w:color w:val="000000" w:themeColor="text1"/>
          <w:sz w:val="16"/>
          <w:szCs w:val="16"/>
        </w:rPr>
        <w:t>.</w:t>
      </w:r>
    </w:p>
    <w:p w14:paraId="63206EE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4C0AE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5-й советский гвардейский механизированный корпус полностью разгромил штаб немецкой группы армий ''Центр'' северо-западнее Праги (</w:t>
      </w:r>
      <w:proofErr w:type="gramStart"/>
      <w:r w:rsidRPr="00925F26">
        <w:rPr>
          <w:color w:val="000000" w:themeColor="text1"/>
          <w:sz w:val="16"/>
          <w:szCs w:val="16"/>
        </w:rPr>
        <w:t>4963 )</w:t>
      </w:r>
      <w:proofErr w:type="gramEnd"/>
      <w:r w:rsidRPr="00925F26">
        <w:rPr>
          <w:color w:val="000000" w:themeColor="text1"/>
          <w:sz w:val="16"/>
          <w:szCs w:val="16"/>
        </w:rPr>
        <w:t>.</w:t>
      </w:r>
    </w:p>
    <w:p w14:paraId="764A4DF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B9D58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Э.Хартман сбил последний, 352 самолет в 1425 боевом вылете и 800 бое. Первой победой был Ил-2 в ноябре 1942. В Германии было 106 пилотов, каждый из которых сбил более 100 и в сумме 15547. 27 советских трижды и дважды героев сбили 1044. Кожедуб выполнил 330 вылетов и 120 боев (355,34).</w:t>
      </w:r>
    </w:p>
    <w:p w14:paraId="7E6BC988" w14:textId="77777777" w:rsidR="00665165" w:rsidRPr="00925F26" w:rsidRDefault="00665165" w:rsidP="00925F26">
      <w:pPr>
        <w:autoSpaceDE w:val="0"/>
        <w:autoSpaceDN w:val="0"/>
        <w:adjustRightInd w:val="0"/>
        <w:jc w:val="both"/>
        <w:rPr>
          <w:color w:val="000000" w:themeColor="text1"/>
          <w:sz w:val="16"/>
          <w:szCs w:val="16"/>
        </w:rPr>
      </w:pPr>
    </w:p>
    <w:p w14:paraId="081F6E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взяли Вроцлав (1348,225).</w:t>
      </w:r>
    </w:p>
    <w:p w14:paraId="38E3D2A8" w14:textId="77777777" w:rsidR="00665165" w:rsidRPr="00925F26" w:rsidRDefault="00665165" w:rsidP="00925F26">
      <w:pPr>
        <w:autoSpaceDE w:val="0"/>
        <w:autoSpaceDN w:val="0"/>
        <w:adjustRightInd w:val="0"/>
        <w:jc w:val="both"/>
        <w:rPr>
          <w:color w:val="000000" w:themeColor="text1"/>
          <w:sz w:val="16"/>
          <w:szCs w:val="16"/>
        </w:rPr>
      </w:pPr>
    </w:p>
    <w:p w14:paraId="17154B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на аэродром Темпельхоф на Ю-52 под эскортом 8 Як-9 515 иап с Темпельхоф и 10 Як-9 518 иап 16ВА из Шонефельд прибыли представители немецкого командования во главе с Кейтелем для подписания договора о капитуляции. Эти же Яки сопровождали и 5 самолетов, на которых прибыло союзное командование (455,174).</w:t>
      </w:r>
    </w:p>
    <w:p w14:paraId="26FA7620" w14:textId="77777777" w:rsidR="00665165" w:rsidRPr="00925F26" w:rsidRDefault="00665165" w:rsidP="00925F26">
      <w:pPr>
        <w:autoSpaceDE w:val="0"/>
        <w:autoSpaceDN w:val="0"/>
        <w:adjustRightInd w:val="0"/>
        <w:jc w:val="both"/>
        <w:rPr>
          <w:color w:val="000000" w:themeColor="text1"/>
          <w:sz w:val="16"/>
          <w:szCs w:val="16"/>
        </w:rPr>
      </w:pPr>
    </w:p>
    <w:p w14:paraId="71927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вышло Постановление ГКО № 8449 О переводе с 1 июня 1945 г. войск, расположенных на Дальнем Востоке и в Забайкалье на нормы питания и денежное довольствие, установленные для ДА. РГАНИР, Фонд ГКО, д. 414, лл. 1-2 (11012).</w:t>
      </w:r>
    </w:p>
    <w:p w14:paraId="1BD02928" w14:textId="77777777" w:rsidR="00665165" w:rsidRPr="00925F26" w:rsidRDefault="00665165" w:rsidP="00925F26">
      <w:pPr>
        <w:autoSpaceDE w:val="0"/>
        <w:autoSpaceDN w:val="0"/>
        <w:adjustRightInd w:val="0"/>
        <w:jc w:val="both"/>
        <w:rPr>
          <w:color w:val="000000" w:themeColor="text1"/>
          <w:sz w:val="16"/>
          <w:szCs w:val="16"/>
        </w:rPr>
      </w:pPr>
    </w:p>
    <w:p w14:paraId="1BC7A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вышло Постановление ГКО № 8450 Вопросы Берлина. РГАНИР, Фонд ГКО, д. 414, лл. 3-5 (11012).</w:t>
      </w:r>
    </w:p>
    <w:p w14:paraId="54E76327" w14:textId="77777777" w:rsidR="00665165" w:rsidRPr="00925F26" w:rsidRDefault="00665165" w:rsidP="00925F26">
      <w:pPr>
        <w:autoSpaceDE w:val="0"/>
        <w:autoSpaceDN w:val="0"/>
        <w:adjustRightInd w:val="0"/>
        <w:jc w:val="both"/>
        <w:rPr>
          <w:color w:val="000000" w:themeColor="text1"/>
          <w:sz w:val="16"/>
          <w:szCs w:val="16"/>
        </w:rPr>
      </w:pPr>
    </w:p>
    <w:p w14:paraId="4BD3BCA3" w14:textId="77777777" w:rsidR="009E360D" w:rsidRPr="00925F26" w:rsidRDefault="009E360D"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в Карлхорсте немцами подписан Акт о безоговорочной капитуляции (4962).</w:t>
      </w:r>
    </w:p>
    <w:p w14:paraId="14F8A185" w14:textId="77777777" w:rsidR="009E360D" w:rsidRPr="00925F26" w:rsidRDefault="009E360D" w:rsidP="00925F26">
      <w:pPr>
        <w:tabs>
          <w:tab w:val="left" w:pos="11199"/>
        </w:tabs>
        <w:autoSpaceDE w:val="0"/>
        <w:autoSpaceDN w:val="0"/>
        <w:adjustRightInd w:val="0"/>
        <w:jc w:val="both"/>
        <w:rPr>
          <w:color w:val="000000" w:themeColor="text1"/>
          <w:sz w:val="16"/>
          <w:szCs w:val="16"/>
        </w:rPr>
      </w:pPr>
    </w:p>
    <w:p w14:paraId="215918CD" w14:textId="77777777" w:rsidR="009E360D" w:rsidRPr="00925F26" w:rsidRDefault="009E360D"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08 1945 Germany surrenders the rest of its forces, unconditionally to Soviet forces in Berlin (1242).</w:t>
      </w:r>
    </w:p>
    <w:p w14:paraId="72192DC3" w14:textId="77777777" w:rsidR="009E360D" w:rsidRPr="00925F26" w:rsidRDefault="009E360D" w:rsidP="00925F26">
      <w:pPr>
        <w:autoSpaceDE w:val="0"/>
        <w:autoSpaceDN w:val="0"/>
        <w:adjustRightInd w:val="0"/>
        <w:jc w:val="both"/>
        <w:rPr>
          <w:color w:val="000000" w:themeColor="text1"/>
          <w:sz w:val="16"/>
          <w:szCs w:val="16"/>
          <w:lang w:val="en-US"/>
        </w:rPr>
      </w:pPr>
    </w:p>
    <w:p w14:paraId="4AFD8202" w14:textId="77777777" w:rsidR="009E360D" w:rsidRPr="00925F26" w:rsidRDefault="009E360D" w:rsidP="00925F26">
      <w:pPr>
        <w:autoSpaceDE w:val="0"/>
        <w:autoSpaceDN w:val="0"/>
        <w:adjustRightInd w:val="0"/>
        <w:jc w:val="both"/>
        <w:rPr>
          <w:color w:val="000000" w:themeColor="text1"/>
          <w:sz w:val="16"/>
          <w:szCs w:val="16"/>
        </w:rPr>
      </w:pPr>
      <w:r w:rsidRPr="00925F26">
        <w:rPr>
          <w:color w:val="000000" w:themeColor="text1"/>
          <w:sz w:val="16"/>
          <w:szCs w:val="16"/>
        </w:rPr>
        <w:t>8 мая 1945 Германия сдалась полностью и безоговорочно советскому командованию в Берлине (1242).</w:t>
      </w:r>
    </w:p>
    <w:p w14:paraId="7A715D6A" w14:textId="77777777" w:rsidR="009E360D" w:rsidRPr="00925F26" w:rsidRDefault="009E360D" w:rsidP="00925F26">
      <w:pPr>
        <w:autoSpaceDE w:val="0"/>
        <w:autoSpaceDN w:val="0"/>
        <w:adjustRightInd w:val="0"/>
        <w:jc w:val="both"/>
        <w:rPr>
          <w:color w:val="000000" w:themeColor="text1"/>
          <w:sz w:val="16"/>
          <w:szCs w:val="16"/>
        </w:rPr>
      </w:pPr>
    </w:p>
    <w:p w14:paraId="6A19B1C7" w14:textId="77777777" w:rsidR="009E360D" w:rsidRPr="00925F26" w:rsidRDefault="009E360D" w:rsidP="00925F26">
      <w:pPr>
        <w:jc w:val="both"/>
        <w:rPr>
          <w:color w:val="000000" w:themeColor="text1"/>
          <w:sz w:val="16"/>
          <w:szCs w:val="16"/>
        </w:rPr>
      </w:pPr>
      <w:r w:rsidRPr="00925F26">
        <w:rPr>
          <w:color w:val="000000" w:themeColor="text1"/>
          <w:sz w:val="16"/>
          <w:szCs w:val="16"/>
        </w:rPr>
        <w:t>8 мая в 1945 году в пригороде Берлина Карлсхорсте в 22 часа 43 минуты по центрально-европейскому времени (в Москве уже наступил следующий день) подписан окончательный Акт о военной капитуляции Германии. От имени германского Верховного главнокомандования акт подписали начальник штаба верховного главнокомандования вермахта генерал-фельдмаршал В. ейтель, главнокомандующий военно-морскими силами адмирал фон Фридебург, генерал-полковник авиации Г.Ю.Штумпф. Советский Союз представлял заместитель Верховного главнокомандующего маршал Советского Союза Г.К.Жуков, союзников - главный маршал авиации Великобритании А.Теддер. В качестве свидетелей присутствовали командующий стратегическими воздушными силами США генерал К.Спаатс и главнокомандующий французской армией генерал Ж.М.де Латр де Тассиньи. Еще до подписания акта И.В.Сталин подписал указ Президиума Верховного Совета СССР о провозглашении 9 мая Днем Победы. Утром 9 мая Указ был прочитан диктором Левитаном по радио (14885).</w:t>
      </w:r>
    </w:p>
    <w:p w14:paraId="76C60C50" w14:textId="77777777" w:rsidR="009E360D" w:rsidRPr="00925F26" w:rsidRDefault="009E360D" w:rsidP="00925F26">
      <w:pPr>
        <w:jc w:val="both"/>
        <w:rPr>
          <w:color w:val="000000" w:themeColor="text1"/>
          <w:sz w:val="16"/>
          <w:szCs w:val="16"/>
        </w:rPr>
      </w:pPr>
    </w:p>
    <w:p w14:paraId="26D33DE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0FB26BB" w14:textId="77777777" w:rsidR="00665165" w:rsidRPr="00925F26" w:rsidRDefault="00665165" w:rsidP="00925F26">
      <w:pPr>
        <w:autoSpaceDE w:val="0"/>
        <w:autoSpaceDN w:val="0"/>
        <w:adjustRightInd w:val="0"/>
        <w:jc w:val="both"/>
        <w:rPr>
          <w:iCs/>
          <w:color w:val="000000" w:themeColor="text1"/>
          <w:sz w:val="16"/>
          <w:szCs w:val="16"/>
        </w:rPr>
      </w:pPr>
    </w:p>
    <w:p w14:paraId="0E099C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мая 1945 было подписано Соглашение об экономическом сотрудничестве с Королевством Румыния (7485,47).</w:t>
      </w:r>
    </w:p>
    <w:p w14:paraId="21D593B4" w14:textId="77777777" w:rsidR="00665165" w:rsidRPr="00925F26" w:rsidRDefault="00665165" w:rsidP="00925F26">
      <w:pPr>
        <w:autoSpaceDE w:val="0"/>
        <w:autoSpaceDN w:val="0"/>
        <w:adjustRightInd w:val="0"/>
        <w:jc w:val="both"/>
        <w:rPr>
          <w:color w:val="000000" w:themeColor="text1"/>
          <w:sz w:val="16"/>
          <w:szCs w:val="16"/>
        </w:rPr>
      </w:pPr>
    </w:p>
    <w:p w14:paraId="199019F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83FD2D8" w14:textId="77777777" w:rsidR="00665165" w:rsidRPr="00925F26" w:rsidRDefault="00665165" w:rsidP="00925F26">
      <w:pPr>
        <w:autoSpaceDE w:val="0"/>
        <w:autoSpaceDN w:val="0"/>
        <w:adjustRightInd w:val="0"/>
        <w:jc w:val="both"/>
        <w:rPr>
          <w:iCs/>
          <w:color w:val="000000" w:themeColor="text1"/>
          <w:sz w:val="16"/>
          <w:szCs w:val="16"/>
        </w:rPr>
      </w:pPr>
    </w:p>
    <w:p w14:paraId="53888D52" w14:textId="77777777" w:rsidR="009E360D" w:rsidRPr="00925F26" w:rsidRDefault="009E360D" w:rsidP="00925F26">
      <w:pPr>
        <w:jc w:val="both"/>
        <w:rPr>
          <w:color w:val="000000" w:themeColor="text1"/>
          <w:sz w:val="16"/>
          <w:szCs w:val="16"/>
        </w:rPr>
      </w:pPr>
      <w:r w:rsidRPr="00925F26">
        <w:rPr>
          <w:color w:val="000000" w:themeColor="text1"/>
          <w:sz w:val="16"/>
          <w:szCs w:val="16"/>
        </w:rPr>
        <w:t xml:space="preserve">8 мая в 1945 году взлетел второй опытный экземпляр американского палубного штурмовика </w:t>
      </w:r>
      <w:hyperlink r:id="rId113" w:tgtFrame="_blank" w:history="1">
        <w:r w:rsidRPr="00925F26">
          <w:rPr>
            <w:color w:val="000000" w:themeColor="text1"/>
            <w:sz w:val="16"/>
            <w:szCs w:val="16"/>
          </w:rPr>
          <w:t xml:space="preserve">«XBT2D-1» </w:t>
        </w:r>
      </w:hyperlink>
      <w:r w:rsidRPr="00925F26">
        <w:rPr>
          <w:color w:val="000000" w:themeColor="text1"/>
          <w:sz w:val="16"/>
          <w:szCs w:val="16"/>
        </w:rPr>
        <w:t>(заводской номер 09086). При его испытаниях выявились некоторые скрытые дефекты в силовой установке, главным виновником которых стал воздушный винт, создававший сильную вибрацию. Высокочастотные колебания двигателя приводили к появлению усталостных трещин даже на выхлопных патрубках. Самолет подвергли специальным виброиспытаниям, а затем его передали в NACA для продувок в натурной аэродинамической трубе. Только к началу августа второй опытный экземпляр «XBT2D-1» вернули на фирму для доработок (14885).</w:t>
      </w:r>
    </w:p>
    <w:p w14:paraId="38A26F5C" w14:textId="77777777" w:rsidR="009E360D" w:rsidRPr="00925F26" w:rsidRDefault="009E360D" w:rsidP="00925F26">
      <w:pPr>
        <w:jc w:val="both"/>
        <w:rPr>
          <w:color w:val="000000" w:themeColor="text1"/>
          <w:sz w:val="16"/>
          <w:szCs w:val="16"/>
        </w:rPr>
      </w:pPr>
    </w:p>
    <w:p w14:paraId="4A96FDD4" w14:textId="77777777" w:rsidR="009E360D" w:rsidRPr="00925F26" w:rsidRDefault="009E360D" w:rsidP="00925F26">
      <w:pPr>
        <w:jc w:val="both"/>
        <w:rPr>
          <w:color w:val="000000" w:themeColor="text1"/>
          <w:sz w:val="16"/>
          <w:szCs w:val="16"/>
        </w:rPr>
      </w:pPr>
      <w:r w:rsidRPr="00925F26">
        <w:rPr>
          <w:color w:val="000000" w:themeColor="text1"/>
          <w:sz w:val="16"/>
          <w:szCs w:val="16"/>
        </w:rPr>
        <w:lastRenderedPageBreak/>
        <w:t xml:space="preserve">8 мая в 1945 году пеpвый полет поршневого варианта бомбардировщика-разведчика </w:t>
      </w:r>
      <w:hyperlink r:id="rId114" w:tgtFrame="_blank" w:history="1">
        <w:r w:rsidRPr="00925F26">
          <w:rPr>
            <w:color w:val="000000" w:themeColor="text1"/>
            <w:sz w:val="16"/>
            <w:szCs w:val="16"/>
          </w:rPr>
          <w:t xml:space="preserve">«Йокосука» «R2Y1» «Кеюн», </w:t>
        </w:r>
      </w:hyperlink>
      <w:r w:rsidRPr="00925F26">
        <w:rPr>
          <w:color w:val="000000" w:themeColor="text1"/>
          <w:sz w:val="16"/>
          <w:szCs w:val="16"/>
        </w:rPr>
        <w:t xml:space="preserve">пилот капитан-лейтенант Китайима. Опытный «R2Y1» по завеpшению сборки в апpеле 1945 года был пеpеведен в Кисаpазу, где выявились пpоблемы с шасси (шимми пеpеднего колеса) и пеpегpев двигателя. К </w:t>
      </w:r>
      <w:proofErr w:type="gramStart"/>
      <w:r w:rsidRPr="00925F26">
        <w:rPr>
          <w:color w:val="000000" w:themeColor="text1"/>
          <w:sz w:val="16"/>
          <w:szCs w:val="16"/>
        </w:rPr>
        <w:t>несчастью,первый</w:t>
      </w:r>
      <w:proofErr w:type="gramEnd"/>
      <w:r w:rsidRPr="00925F26">
        <w:rPr>
          <w:color w:val="000000" w:themeColor="text1"/>
          <w:sz w:val="16"/>
          <w:szCs w:val="16"/>
        </w:rPr>
        <w:t xml:space="preserve"> полет был пpеpван из-за pезкого pоста темпеpатуpы масла. Еще чеpез несколько дней выяснилась необходимость вообще заменить двигатель. Hо pаньше, чем это было сделано, самолет был pазбомблен амеpиканцами. До конца войны в сбоpке все еще находился втоpой «R2Y1» и был почти закончен опытный «R2Y2» (14885).</w:t>
      </w:r>
    </w:p>
    <w:p w14:paraId="1D948CF4" w14:textId="77777777" w:rsidR="009E360D" w:rsidRPr="00925F26" w:rsidRDefault="009E360D" w:rsidP="00925F26">
      <w:pPr>
        <w:jc w:val="both"/>
        <w:rPr>
          <w:color w:val="000000" w:themeColor="text1"/>
          <w:sz w:val="16"/>
          <w:szCs w:val="16"/>
        </w:rPr>
      </w:pPr>
    </w:p>
    <w:p w14:paraId="68C2E60A" w14:textId="77777777" w:rsidR="008628F5" w:rsidRPr="00925F26" w:rsidRDefault="008628F5" w:rsidP="00925F26">
      <w:pPr>
        <w:jc w:val="both"/>
        <w:rPr>
          <w:color w:val="000000" w:themeColor="text1"/>
          <w:sz w:val="16"/>
          <w:szCs w:val="16"/>
        </w:rPr>
      </w:pPr>
      <w:r w:rsidRPr="00925F26">
        <w:rPr>
          <w:color w:val="000000" w:themeColor="text1"/>
          <w:sz w:val="16"/>
          <w:szCs w:val="16"/>
        </w:rPr>
        <w:t>8 мая 1945 первый полет Йокосука R2Y1 кэйун («Красивые облака»), с поршневым двигателем, прототипа R2Y2, проектируемого как первый японский реактивный штурмовик (20371).</w:t>
      </w:r>
    </w:p>
    <w:p w14:paraId="18000A2B" w14:textId="77777777" w:rsidR="008628F5" w:rsidRPr="00925F26" w:rsidRDefault="008628F5" w:rsidP="00925F26">
      <w:pPr>
        <w:jc w:val="both"/>
        <w:rPr>
          <w:color w:val="000000" w:themeColor="text1"/>
          <w:sz w:val="16"/>
          <w:szCs w:val="16"/>
        </w:rPr>
      </w:pPr>
    </w:p>
    <w:p w14:paraId="5492C2C0" w14:textId="568CA562" w:rsidR="008628F5" w:rsidRPr="00925F26" w:rsidRDefault="008628F5" w:rsidP="00925F26">
      <w:pPr>
        <w:jc w:val="both"/>
        <w:rPr>
          <w:color w:val="000000" w:themeColor="text1"/>
          <w:sz w:val="16"/>
          <w:szCs w:val="16"/>
        </w:rPr>
      </w:pPr>
      <w:r w:rsidRPr="00925F26">
        <w:rPr>
          <w:color w:val="000000" w:themeColor="text1"/>
          <w:sz w:val="16"/>
          <w:szCs w:val="16"/>
        </w:rPr>
        <w:t>8 мая 1945</w:t>
      </w:r>
      <w:r w:rsidR="00997EDF" w:rsidRPr="00925F26">
        <w:rPr>
          <w:color w:val="000000" w:themeColor="text1"/>
          <w:sz w:val="16"/>
          <w:szCs w:val="16"/>
        </w:rPr>
        <w:t xml:space="preserve">  </w:t>
      </w:r>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 xml:space="preserve">Пеpвый полет поршневого варианта бомбардировщика-разведчика Йокосука R2Y1 «Кеюн», пилот капитан-лейтенант Китайима (потом спарку двигателей в фюзеляже планировалось заменить на топливный бак, а под крылом установить пару турбореактивных двигателей с осевыми компрессорами Mitsubishi Ne-330 тягой 1320 кг). Опытный R2Y1 по завеpшению сборки в апpеле 1945 года был пеpеведен в Кисаpазу, где выявились пpоблемы с шасси (шимми пеpеднего колеса) и пеpегpев двигателя. К </w:t>
      </w:r>
      <w:proofErr w:type="gramStart"/>
      <w:r w:rsidRPr="00925F26">
        <w:rPr>
          <w:color w:val="000000" w:themeColor="text1"/>
          <w:sz w:val="16"/>
          <w:szCs w:val="16"/>
        </w:rPr>
        <w:t>несчастью,первый</w:t>
      </w:r>
      <w:proofErr w:type="gramEnd"/>
      <w:r w:rsidRPr="00925F26">
        <w:rPr>
          <w:color w:val="000000" w:themeColor="text1"/>
          <w:sz w:val="16"/>
          <w:szCs w:val="16"/>
        </w:rPr>
        <w:t xml:space="preserve"> полет был пpеpван из-за pезкого pоста темпеpатуpы масла. Еще чеpез несколько дней выяснилась необходимость вообще заменить двигатель. Hо pаньше, чем это было сделано, самолет был pазбомблен амеpиканцами. До конца войны в сбоpке все еще находился втоpой R2Y1 и был почти закончен опытный R2Y2 (22509).</w:t>
      </w:r>
    </w:p>
    <w:p w14:paraId="1D462342" w14:textId="77777777" w:rsidR="008628F5" w:rsidRPr="00925F26" w:rsidRDefault="008628F5" w:rsidP="00925F26">
      <w:pPr>
        <w:jc w:val="both"/>
        <w:rPr>
          <w:color w:val="000000" w:themeColor="text1"/>
          <w:sz w:val="16"/>
          <w:szCs w:val="16"/>
        </w:rPr>
      </w:pPr>
    </w:p>
    <w:p w14:paraId="004C88AC" w14:textId="77777777" w:rsidR="008628F5" w:rsidRPr="00925F26" w:rsidRDefault="008628F5" w:rsidP="00925F26">
      <w:pPr>
        <w:jc w:val="both"/>
        <w:rPr>
          <w:color w:val="000000" w:themeColor="text1"/>
          <w:sz w:val="16"/>
          <w:szCs w:val="16"/>
        </w:rPr>
      </w:pPr>
      <w:r w:rsidRPr="00925F26">
        <w:rPr>
          <w:color w:val="000000" w:themeColor="text1"/>
          <w:sz w:val="16"/>
          <w:szCs w:val="16"/>
        </w:rPr>
        <w:t>8 мая 1945 летчик - истребителя Хартманн на Messerschmitt Bf 109 Люфтваффе совершвет свою последнюю воздушную победу, сбив советский Як-9 над Брно, Словакия . Он является самым результативным асом в истории, совершив 352 победы. Вскоре после этого он сдается союзным войскам (20371).</w:t>
      </w:r>
    </w:p>
    <w:p w14:paraId="1323D24E" w14:textId="77777777" w:rsidR="008628F5" w:rsidRPr="00925F26" w:rsidRDefault="008628F5" w:rsidP="00925F26">
      <w:pPr>
        <w:jc w:val="both"/>
        <w:rPr>
          <w:color w:val="000000" w:themeColor="text1"/>
          <w:sz w:val="16"/>
          <w:szCs w:val="16"/>
        </w:rPr>
      </w:pPr>
    </w:p>
    <w:p w14:paraId="6047A711" w14:textId="77777777" w:rsidR="008628F5" w:rsidRPr="00925F26" w:rsidRDefault="008628F5" w:rsidP="00925F26">
      <w:pPr>
        <w:jc w:val="both"/>
        <w:rPr>
          <w:color w:val="000000" w:themeColor="text1"/>
          <w:sz w:val="16"/>
          <w:szCs w:val="16"/>
        </w:rPr>
      </w:pPr>
      <w:r w:rsidRPr="00925F26">
        <w:rPr>
          <w:color w:val="000000" w:themeColor="text1"/>
          <w:sz w:val="16"/>
          <w:szCs w:val="16"/>
        </w:rPr>
        <w:t>8 мая 1945 г. английские танки заняли аэродром Лекк, на котором словно на парад были выстроены 31 истребитель Не-162. 5 мая 1945 г. командование группы получило приказ подготовить самолеты к уничтожению, но он выполнен не был (22776).</w:t>
      </w:r>
    </w:p>
    <w:p w14:paraId="37E1303E" w14:textId="77777777" w:rsidR="008628F5" w:rsidRPr="00925F26" w:rsidRDefault="008628F5" w:rsidP="00925F26">
      <w:pPr>
        <w:jc w:val="both"/>
        <w:rPr>
          <w:color w:val="000000" w:themeColor="text1"/>
          <w:sz w:val="16"/>
          <w:szCs w:val="16"/>
        </w:rPr>
      </w:pPr>
    </w:p>
    <w:p w14:paraId="55048A3F" w14:textId="77777777" w:rsidR="008628F5" w:rsidRPr="00925F26" w:rsidRDefault="008628F5" w:rsidP="00925F26">
      <w:pPr>
        <w:jc w:val="both"/>
        <w:rPr>
          <w:color w:val="000000" w:themeColor="text1"/>
          <w:sz w:val="16"/>
          <w:szCs w:val="16"/>
        </w:rPr>
      </w:pPr>
      <w:r w:rsidRPr="00925F26">
        <w:rPr>
          <w:color w:val="000000" w:themeColor="text1"/>
          <w:sz w:val="16"/>
          <w:szCs w:val="16"/>
        </w:rPr>
        <w:t xml:space="preserve">8 мая 1945 Германия капитулирует, положив конец Второй мировой войне в Европе. Во время Второй мировой войны ВВС США потеряли более 6500 бомбардировщиков B-17 Flying Fortress и B-24 Liberator над </w:t>
      </w:r>
      <w:proofErr w:type="gramStart"/>
      <w:r w:rsidRPr="00925F26">
        <w:rPr>
          <w:color w:val="000000" w:themeColor="text1"/>
          <w:sz w:val="16"/>
          <w:szCs w:val="16"/>
        </w:rPr>
        <w:t>Европой .</w:t>
      </w:r>
      <w:proofErr w:type="gramEnd"/>
      <w:r w:rsidRPr="00925F26">
        <w:rPr>
          <w:color w:val="000000" w:themeColor="text1"/>
          <w:sz w:val="16"/>
          <w:szCs w:val="16"/>
        </w:rPr>
        <w:t xml:space="preserve"> На Европейском театре военных действий они потеряли 23 805 летчиков </w:t>
      </w:r>
      <w:proofErr w:type="gramStart"/>
      <w:r w:rsidRPr="00925F26">
        <w:rPr>
          <w:color w:val="000000" w:themeColor="text1"/>
          <w:sz w:val="16"/>
          <w:szCs w:val="16"/>
        </w:rPr>
        <w:t>убитыми ,</w:t>
      </w:r>
      <w:proofErr w:type="gramEnd"/>
      <w:r w:rsidRPr="00925F26">
        <w:rPr>
          <w:color w:val="000000" w:themeColor="text1"/>
          <w:sz w:val="16"/>
          <w:szCs w:val="16"/>
        </w:rPr>
        <w:t xml:space="preserve"> 9 299 ранеными и 26 064 пленными. На театрах военных действий в Европе, Средиземноморье и Северной Африке вместе они потеряли 115 382 человека (20371).</w:t>
      </w:r>
    </w:p>
    <w:p w14:paraId="2A3876EB" w14:textId="77777777" w:rsidR="008628F5" w:rsidRPr="00925F26" w:rsidRDefault="008628F5" w:rsidP="00925F26">
      <w:pPr>
        <w:jc w:val="both"/>
        <w:rPr>
          <w:color w:val="000000" w:themeColor="text1"/>
          <w:sz w:val="16"/>
          <w:szCs w:val="16"/>
        </w:rPr>
      </w:pPr>
    </w:p>
    <w:p w14:paraId="7F594EE5" w14:textId="77777777" w:rsidR="006D22CF" w:rsidRPr="001A0BAA" w:rsidRDefault="006D22CF" w:rsidP="006D22CF">
      <w:pPr>
        <w:jc w:val="both"/>
        <w:rPr>
          <w:color w:val="0070C0"/>
          <w:sz w:val="16"/>
          <w:szCs w:val="16"/>
        </w:rPr>
      </w:pPr>
      <w:r w:rsidRPr="001A0BAA">
        <w:rPr>
          <w:color w:val="0070C0"/>
          <w:sz w:val="16"/>
          <w:szCs w:val="16"/>
        </w:rPr>
        <w:t>К 8 мая 1945 г. в кригсмарине оставалось около четырёхсот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w:t>
      </w:r>
    </w:p>
    <w:p w14:paraId="2034B3E9" w14:textId="77777777" w:rsidR="006D22CF" w:rsidRPr="001A0BAA" w:rsidRDefault="006D22CF" w:rsidP="006D22CF">
      <w:pPr>
        <w:jc w:val="both"/>
        <w:rPr>
          <w:color w:val="0070C0"/>
          <w:sz w:val="16"/>
          <w:szCs w:val="16"/>
        </w:rPr>
      </w:pPr>
      <w:r w:rsidRPr="001A0BAA">
        <w:rPr>
          <w:color w:val="0070C0"/>
          <w:sz w:val="16"/>
          <w:szCs w:val="16"/>
        </w:rPr>
        <w:t>По договоренности с союзниками СССР получил следующие германские подводные лодки.</w:t>
      </w:r>
    </w:p>
    <w:p w14:paraId="20E6A9EB" w14:textId="77777777" w:rsidR="006D22CF" w:rsidRPr="001A0BAA" w:rsidRDefault="006D22CF" w:rsidP="006D22CF">
      <w:pPr>
        <w:jc w:val="both"/>
        <w:rPr>
          <w:color w:val="0070C0"/>
          <w:sz w:val="16"/>
          <w:szCs w:val="16"/>
        </w:rPr>
      </w:pPr>
      <w:r w:rsidRPr="001A0BAA">
        <w:rPr>
          <w:color w:val="0070C0"/>
          <w:sz w:val="16"/>
          <w:szCs w:val="16"/>
        </w:rPr>
        <w:t>XXI серия: U-3515, U-2529, U-3035, U-3041. У нас эти лодки в 1946 г. получили номера: Н-27, Н-28, Н-29, Н-30 (Н – немецкая), а 9 июня 1949 г. их переименовали в Б-27, Б-28, Б-29 и Б-30. Эти лодки находились в боевом составе Балтийского флота почти 10 лет и во второй половине 1955 г. были разоружены и переведены в разряд учебно-тренировочных судов и зарядных станций. Самой долгой оказалась жизнь у U-3515, которую исключили из состава ВМФ СССР только 1 сентября 1972 г. и в 1973 г. сдали на лом.</w:t>
      </w:r>
    </w:p>
    <w:p w14:paraId="4C115FA8" w14:textId="77777777" w:rsidR="006D22CF" w:rsidRPr="001A0BAA" w:rsidRDefault="006D22CF" w:rsidP="006D22CF">
      <w:pPr>
        <w:jc w:val="both"/>
        <w:rPr>
          <w:color w:val="0070C0"/>
          <w:sz w:val="16"/>
          <w:szCs w:val="16"/>
        </w:rPr>
      </w:pPr>
      <w:r w:rsidRPr="001A0BAA">
        <w:rPr>
          <w:color w:val="0070C0"/>
          <w:sz w:val="16"/>
          <w:szCs w:val="16"/>
        </w:rPr>
        <w:t>VII серия: союзники передали нам 4 лодки – U-1057, U-1058, U-1064 и U-1305. В СССР они получили номера Н-22, Н-23, Н-24 и Н-25, а с 9 июня 1949 г. – С-81, С-82, С-83 и С-84. После почти десятилетней службы в Балтийском флоте в конце 1955 г.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w:t>
      </w:r>
    </w:p>
    <w:p w14:paraId="518F8E37" w14:textId="77777777" w:rsidR="006D22CF" w:rsidRPr="001A0BAA" w:rsidRDefault="006D22CF" w:rsidP="006D22CF">
      <w:pPr>
        <w:jc w:val="both"/>
        <w:rPr>
          <w:color w:val="0070C0"/>
          <w:sz w:val="16"/>
          <w:szCs w:val="16"/>
        </w:rPr>
      </w:pPr>
      <w:r w:rsidRPr="001A0BAA">
        <w:rPr>
          <w:color w:val="0070C0"/>
          <w:sz w:val="16"/>
          <w:szCs w:val="16"/>
        </w:rPr>
        <w:t>Подводная лодка С-84 (U-1305) у берегов Новой Земли была потоплена торпедой с ядерной боевой частью, выпущенной подводной лодкой С-144 с расстояния 10 км. С-84 находилась в крейсерском положении в 250 м от эпицентра взрыва.</w:t>
      </w:r>
    </w:p>
    <w:p w14:paraId="0B4FBA30" w14:textId="77777777" w:rsidR="006D22CF" w:rsidRPr="001A0BAA" w:rsidRDefault="006D22CF" w:rsidP="006D22CF">
      <w:pPr>
        <w:jc w:val="both"/>
        <w:rPr>
          <w:color w:val="0070C0"/>
          <w:sz w:val="16"/>
          <w:szCs w:val="16"/>
        </w:rPr>
      </w:pPr>
      <w:r w:rsidRPr="001A0BAA">
        <w:rPr>
          <w:color w:val="0070C0"/>
          <w:sz w:val="16"/>
          <w:szCs w:val="16"/>
        </w:rPr>
        <w:t>IX серия: союзники передали только одну подводную лодку U-1231. У нас её назвали Н-26, а с 9 июня 1949 г. – Б-26. 17 августа 1953 г. её разоружили и переоборудовали в «кабинет боевой подготовки», а с 27 декабря 1956 г. – в учебно-тренировочное судно. Исключили Б-26 из состава ВМФ 13 января 1968 г. (25184).</w:t>
      </w:r>
    </w:p>
    <w:p w14:paraId="0CA66DA0" w14:textId="77777777" w:rsidR="006D22CF" w:rsidRPr="001A0BAA" w:rsidRDefault="006D22CF" w:rsidP="006D22CF">
      <w:pPr>
        <w:jc w:val="both"/>
        <w:rPr>
          <w:color w:val="0070C0"/>
          <w:sz w:val="16"/>
          <w:szCs w:val="16"/>
        </w:rPr>
      </w:pPr>
    </w:p>
    <w:p w14:paraId="01731DB6" w14:textId="77777777" w:rsidR="008628F5" w:rsidRPr="00925F26" w:rsidRDefault="008628F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мая 1945 в Галифаксе (Канада) празднование Дня Победы завершилось массовым мародерством магазинов (4962).</w:t>
      </w:r>
    </w:p>
    <w:p w14:paraId="38477A94" w14:textId="77777777" w:rsidR="008628F5" w:rsidRPr="00925F26" w:rsidRDefault="008628F5" w:rsidP="00925F26">
      <w:pPr>
        <w:tabs>
          <w:tab w:val="left" w:pos="11199"/>
        </w:tabs>
        <w:autoSpaceDE w:val="0"/>
        <w:autoSpaceDN w:val="0"/>
        <w:adjustRightInd w:val="0"/>
        <w:jc w:val="both"/>
        <w:rPr>
          <w:color w:val="000000" w:themeColor="text1"/>
          <w:sz w:val="16"/>
          <w:szCs w:val="16"/>
        </w:rPr>
      </w:pPr>
    </w:p>
    <w:p w14:paraId="11FD48A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CD98A95" w14:textId="77777777" w:rsidR="00665165" w:rsidRPr="00925F26" w:rsidRDefault="00665165" w:rsidP="00925F26">
      <w:pPr>
        <w:autoSpaceDE w:val="0"/>
        <w:autoSpaceDN w:val="0"/>
        <w:adjustRightInd w:val="0"/>
        <w:jc w:val="both"/>
        <w:rPr>
          <w:iCs/>
          <w:color w:val="000000" w:themeColor="text1"/>
          <w:sz w:val="16"/>
          <w:szCs w:val="16"/>
        </w:rPr>
      </w:pPr>
    </w:p>
    <w:p w14:paraId="00A654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9 мая 1945 в общей сложности за годы войны было произведено 34943 штурмовиков Ил-2 и 1211 Ил-2У. Из этого числа на долю завода № 1 приходится 11920 Ил-2, 15099 машин этого типа выпущено авиазаводом № 18, 8865 самолетов -авиазаводом № 30 и 270 штурмовиков заводом № 381. К концу 1945 г. на 1-м и 18-м авиазаводах было произведено 2328 штурмовиков Ил-10 и 228 Ил-10У, из них 893 Ил-10 и все Ил-10У выпуще</w:t>
      </w:r>
      <w:r w:rsidRPr="00925F26">
        <w:rPr>
          <w:color w:val="000000" w:themeColor="text1"/>
          <w:sz w:val="16"/>
          <w:szCs w:val="16"/>
        </w:rPr>
        <w:softHyphen/>
        <w:t>ны заводом № 1, остальные - заводом № 18.</w:t>
      </w:r>
    </w:p>
    <w:p w14:paraId="080047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потери штурмовиков за все годы войны составили 10759 самолетов ВВС КА (28,9% к общему числу поте</w:t>
      </w:r>
      <w:r w:rsidRPr="00925F26">
        <w:rPr>
          <w:color w:val="000000" w:themeColor="text1"/>
          <w:sz w:val="16"/>
          <w:szCs w:val="16"/>
        </w:rPr>
        <w:softHyphen/>
        <w:t>рянных в войне самолетов) и 807 "Илов", потерянных ВВС ВМФ КА.</w:t>
      </w:r>
    </w:p>
    <w:p w14:paraId="0DB5D6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Среднее количество боевых вылетов Ил-2, приходящихся на одну боевую по</w:t>
      </w:r>
      <w:r w:rsidRPr="00925F26">
        <w:rPr>
          <w:color w:val="000000" w:themeColor="text1"/>
          <w:sz w:val="16"/>
          <w:szCs w:val="16"/>
        </w:rPr>
        <w:softHyphen/>
        <w:t>терю за годы вой</w:t>
      </w:r>
      <w:r w:rsidRPr="00925F26">
        <w:rPr>
          <w:color w:val="000000" w:themeColor="text1"/>
          <w:sz w:val="16"/>
          <w:szCs w:val="16"/>
        </w:rPr>
        <w:softHyphen/>
        <w:t xml:space="preserve">ны составило 53,5 </w:t>
      </w:r>
      <w:proofErr w:type="gramStart"/>
      <w:r w:rsidRPr="00925F26">
        <w:rPr>
          <w:color w:val="000000" w:themeColor="text1"/>
          <w:sz w:val="16"/>
          <w:szCs w:val="16"/>
        </w:rPr>
        <w:t>самолето-вылетов</w:t>
      </w:r>
      <w:proofErr w:type="gramEnd"/>
      <w:r w:rsidRPr="00925F26">
        <w:rPr>
          <w:color w:val="000000" w:themeColor="text1"/>
          <w:sz w:val="16"/>
          <w:szCs w:val="16"/>
        </w:rPr>
        <w:t>. Для сравнения ус</w:t>
      </w:r>
      <w:r w:rsidRPr="00925F26">
        <w:rPr>
          <w:color w:val="000000" w:themeColor="text1"/>
          <w:sz w:val="16"/>
          <w:szCs w:val="16"/>
        </w:rPr>
        <w:softHyphen/>
        <w:t>редненная за пери</w:t>
      </w:r>
      <w:r w:rsidRPr="00925F26">
        <w:rPr>
          <w:color w:val="000000" w:themeColor="text1"/>
          <w:sz w:val="16"/>
          <w:szCs w:val="16"/>
        </w:rPr>
        <w:softHyphen/>
        <w:t>од войны живучесть истребителей со</w:t>
      </w:r>
      <w:r w:rsidRPr="00925F26">
        <w:rPr>
          <w:color w:val="000000" w:themeColor="text1"/>
          <w:sz w:val="16"/>
          <w:szCs w:val="16"/>
        </w:rPr>
        <w:softHyphen/>
        <w:t>ставила 104,5 бое</w:t>
      </w:r>
      <w:r w:rsidRPr="00925F26">
        <w:rPr>
          <w:color w:val="000000" w:themeColor="text1"/>
          <w:sz w:val="16"/>
          <w:szCs w:val="16"/>
        </w:rPr>
        <w:softHyphen/>
        <w:t>вых вылетов, а бом</w:t>
      </w:r>
      <w:r w:rsidRPr="00925F26">
        <w:rPr>
          <w:color w:val="000000" w:themeColor="text1"/>
          <w:sz w:val="16"/>
          <w:szCs w:val="16"/>
        </w:rPr>
        <w:softHyphen/>
        <w:t xml:space="preserve">бардировщиков - 80 </w:t>
      </w:r>
      <w:proofErr w:type="gramStart"/>
      <w:r w:rsidRPr="00925F26">
        <w:rPr>
          <w:color w:val="000000" w:themeColor="text1"/>
          <w:sz w:val="16"/>
          <w:szCs w:val="16"/>
        </w:rPr>
        <w:t>самолето-вылетов</w:t>
      </w:r>
      <w:proofErr w:type="gramEnd"/>
      <w:r w:rsidRPr="00925F26">
        <w:rPr>
          <w:color w:val="000000" w:themeColor="text1"/>
          <w:sz w:val="16"/>
          <w:szCs w:val="16"/>
        </w:rPr>
        <w:t>.</w:t>
      </w:r>
    </w:p>
    <w:p w14:paraId="13E512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в годы войны было подго</w:t>
      </w:r>
      <w:r w:rsidRPr="00925F26">
        <w:rPr>
          <w:color w:val="000000" w:themeColor="text1"/>
          <w:sz w:val="16"/>
          <w:szCs w:val="16"/>
        </w:rPr>
        <w:softHyphen/>
        <w:t>товлено и отправ</w:t>
      </w:r>
      <w:r w:rsidRPr="00925F26">
        <w:rPr>
          <w:color w:val="000000" w:themeColor="text1"/>
          <w:sz w:val="16"/>
          <w:szCs w:val="16"/>
        </w:rPr>
        <w:softHyphen/>
        <w:t>лено на фронт 356 штурмовых авиа</w:t>
      </w:r>
      <w:r w:rsidRPr="00925F26">
        <w:rPr>
          <w:color w:val="000000" w:themeColor="text1"/>
          <w:sz w:val="16"/>
          <w:szCs w:val="16"/>
        </w:rPr>
        <w:softHyphen/>
        <w:t>полков, из этого числа 140 полков проходили переформирование в тылу один раз, 103 авиаполка -дважды, 61 -трижды, 31-4 раза и 21 - пять раз.</w:t>
      </w:r>
    </w:p>
    <w:p w14:paraId="56133F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Налет при подготовке одного летчи</w:t>
      </w:r>
      <w:r w:rsidRPr="00925F26">
        <w:rPr>
          <w:color w:val="000000" w:themeColor="text1"/>
          <w:sz w:val="16"/>
          <w:szCs w:val="16"/>
        </w:rPr>
        <w:softHyphen/>
        <w:t>ка-штурмовика в запасных авиаполках в 1941 г. составил 3-5 часов, в 1942 г. -13 часов и в 44-м - 20 часов.</w:t>
      </w:r>
    </w:p>
    <w:p w14:paraId="3B6807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потери летчиков-штурмови</w:t>
      </w:r>
      <w:r w:rsidRPr="00925F26">
        <w:rPr>
          <w:color w:val="000000" w:themeColor="text1"/>
          <w:sz w:val="16"/>
          <w:szCs w:val="16"/>
        </w:rPr>
        <w:softHyphen/>
        <w:t>ков за все время войны составили 7837 человек, или 28,4% общих боевых по</w:t>
      </w:r>
      <w:r w:rsidRPr="00925F26">
        <w:rPr>
          <w:color w:val="000000" w:themeColor="text1"/>
          <w:sz w:val="16"/>
          <w:szCs w:val="16"/>
        </w:rPr>
        <w:softHyphen/>
        <w:t>терь летного состава ВВС КА. Распре</w:t>
      </w:r>
      <w:r w:rsidRPr="00925F26">
        <w:rPr>
          <w:color w:val="000000" w:themeColor="text1"/>
          <w:sz w:val="16"/>
          <w:szCs w:val="16"/>
        </w:rPr>
        <w:softHyphen/>
        <w:t>деление боевых потерь по степени под</w:t>
      </w:r>
      <w:r w:rsidRPr="00925F26">
        <w:rPr>
          <w:color w:val="000000" w:themeColor="text1"/>
          <w:sz w:val="16"/>
          <w:szCs w:val="16"/>
        </w:rPr>
        <w:softHyphen/>
        <w:t>готовки летчиков показывает, что 27% всех потерь приходится на первые 10 боевых вылетов на фронте, 40% потерь составляли летчики, имевшие налет на фронте от 10 до 30 боевых вылетов, при</w:t>
      </w:r>
      <w:r w:rsidRPr="00925F26">
        <w:rPr>
          <w:color w:val="000000" w:themeColor="text1"/>
          <w:sz w:val="16"/>
          <w:szCs w:val="16"/>
        </w:rPr>
        <w:softHyphen/>
        <w:t>мерно! 8% - летчики с налетом от 30 до 50 вылетов, около 10% - пилоты с нале</w:t>
      </w:r>
      <w:r w:rsidRPr="00925F26">
        <w:rPr>
          <w:color w:val="000000" w:themeColor="text1"/>
          <w:sz w:val="16"/>
          <w:szCs w:val="16"/>
        </w:rPr>
        <w:softHyphen/>
        <w:t>том от 50 до 100 боевых вылетов, 4% -пилоты, имевшие налет от 100 до 150 вылетов и 2% - летчики с налетом свы</w:t>
      </w:r>
      <w:r w:rsidRPr="00925F26">
        <w:rPr>
          <w:color w:val="000000" w:themeColor="text1"/>
          <w:sz w:val="16"/>
          <w:szCs w:val="16"/>
        </w:rPr>
        <w:softHyphen/>
        <w:t>ше 150 боевых вылетов.</w:t>
      </w:r>
    </w:p>
    <w:p w14:paraId="20ECB7B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При этом потери комсостава (компол</w:t>
      </w:r>
      <w:r w:rsidRPr="00925F26">
        <w:rPr>
          <w:color w:val="000000" w:themeColor="text1"/>
          <w:sz w:val="16"/>
          <w:szCs w:val="16"/>
        </w:rPr>
        <w:softHyphen/>
        <w:t>ка, комэски, комзвена, их заместители и старшие летчики) составили примерно 41% от общего числа потерь летчиков-штурмовиков, остальные потери соста</w:t>
      </w:r>
      <w:r w:rsidRPr="00925F26">
        <w:rPr>
          <w:color w:val="000000" w:themeColor="text1"/>
          <w:sz w:val="16"/>
          <w:szCs w:val="16"/>
        </w:rPr>
        <w:softHyphen/>
        <w:t>вили рядовые летчики (6467).</w:t>
      </w:r>
    </w:p>
    <w:p w14:paraId="3451B2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Динамика производства самолетов для Советских ВВС в период с 22.06.1941 г. по 09.05.1945 г. (4125)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891"/>
        <w:gridCol w:w="990"/>
        <w:gridCol w:w="900"/>
        <w:gridCol w:w="990"/>
        <w:gridCol w:w="810"/>
        <w:gridCol w:w="810"/>
      </w:tblGrid>
      <w:tr w:rsidR="000F5689" w:rsidRPr="00925F26" w14:paraId="2A7A5ED0" w14:textId="77777777">
        <w:tc>
          <w:tcPr>
            <w:tcW w:w="4077" w:type="dxa"/>
            <w:tcBorders>
              <w:top w:val="single" w:sz="12" w:space="0" w:color="auto"/>
            </w:tcBorders>
          </w:tcPr>
          <w:p w14:paraId="3D3198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самолетов</w:t>
            </w:r>
          </w:p>
        </w:tc>
        <w:tc>
          <w:tcPr>
            <w:tcW w:w="891" w:type="dxa"/>
            <w:tcBorders>
              <w:top w:val="single" w:sz="12" w:space="0" w:color="auto"/>
            </w:tcBorders>
          </w:tcPr>
          <w:p w14:paraId="32B620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22.06.1941 г.</w:t>
            </w:r>
          </w:p>
        </w:tc>
        <w:tc>
          <w:tcPr>
            <w:tcW w:w="990" w:type="dxa"/>
            <w:tcBorders>
              <w:top w:val="single" w:sz="12" w:space="0" w:color="auto"/>
            </w:tcBorders>
          </w:tcPr>
          <w:p w14:paraId="100E9E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900" w:type="dxa"/>
            <w:tcBorders>
              <w:top w:val="single" w:sz="12" w:space="0" w:color="auto"/>
            </w:tcBorders>
          </w:tcPr>
          <w:p w14:paraId="1BDBB3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990" w:type="dxa"/>
            <w:tcBorders>
              <w:top w:val="single" w:sz="12" w:space="0" w:color="auto"/>
            </w:tcBorders>
          </w:tcPr>
          <w:p w14:paraId="567BA9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810" w:type="dxa"/>
            <w:tcBorders>
              <w:top w:val="single" w:sz="12" w:space="0" w:color="auto"/>
            </w:tcBorders>
          </w:tcPr>
          <w:p w14:paraId="611079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9.05.1945 г.</w:t>
            </w:r>
          </w:p>
        </w:tc>
        <w:tc>
          <w:tcPr>
            <w:tcW w:w="810" w:type="dxa"/>
            <w:tcBorders>
              <w:top w:val="single" w:sz="12" w:space="0" w:color="auto"/>
            </w:tcBorders>
          </w:tcPr>
          <w:p w14:paraId="5024AF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32D27DDA" w14:textId="77777777">
        <w:tc>
          <w:tcPr>
            <w:tcW w:w="4077" w:type="dxa"/>
          </w:tcPr>
          <w:p w14:paraId="339422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891" w:type="dxa"/>
          </w:tcPr>
          <w:p w14:paraId="55018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3941</w:t>
            </w:r>
          </w:p>
        </w:tc>
        <w:tc>
          <w:tcPr>
            <w:tcW w:w="990" w:type="dxa"/>
          </w:tcPr>
          <w:p w14:paraId="37E04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9490</w:t>
            </w:r>
          </w:p>
        </w:tc>
        <w:tc>
          <w:tcPr>
            <w:tcW w:w="900" w:type="dxa"/>
          </w:tcPr>
          <w:p w14:paraId="31FEE4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14275</w:t>
            </w:r>
          </w:p>
        </w:tc>
        <w:tc>
          <w:tcPr>
            <w:tcW w:w="990" w:type="dxa"/>
          </w:tcPr>
          <w:p w14:paraId="1A9FC0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16346</w:t>
            </w:r>
          </w:p>
        </w:tc>
        <w:tc>
          <w:tcPr>
            <w:tcW w:w="810" w:type="dxa"/>
          </w:tcPr>
          <w:p w14:paraId="7DAD33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6635</w:t>
            </w:r>
          </w:p>
        </w:tc>
        <w:tc>
          <w:tcPr>
            <w:tcW w:w="810" w:type="dxa"/>
          </w:tcPr>
          <w:p w14:paraId="78962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50687</w:t>
            </w:r>
          </w:p>
        </w:tc>
      </w:tr>
      <w:tr w:rsidR="000F5689" w:rsidRPr="00925F26" w14:paraId="48880509" w14:textId="77777777">
        <w:tc>
          <w:tcPr>
            <w:tcW w:w="4077" w:type="dxa"/>
          </w:tcPr>
          <w:p w14:paraId="5032F1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891" w:type="dxa"/>
          </w:tcPr>
          <w:p w14:paraId="4D781A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1061</w:t>
            </w:r>
          </w:p>
        </w:tc>
        <w:tc>
          <w:tcPr>
            <w:tcW w:w="990" w:type="dxa"/>
          </w:tcPr>
          <w:p w14:paraId="139299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7634</w:t>
            </w:r>
          </w:p>
        </w:tc>
        <w:tc>
          <w:tcPr>
            <w:tcW w:w="900" w:type="dxa"/>
          </w:tcPr>
          <w:p w14:paraId="7A0E3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11254</w:t>
            </w:r>
          </w:p>
        </w:tc>
        <w:tc>
          <w:tcPr>
            <w:tcW w:w="990" w:type="dxa"/>
          </w:tcPr>
          <w:p w14:paraId="0DFA02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10297</w:t>
            </w:r>
          </w:p>
        </w:tc>
        <w:tc>
          <w:tcPr>
            <w:tcW w:w="810" w:type="dxa"/>
          </w:tcPr>
          <w:p w14:paraId="4B3486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3664</w:t>
            </w:r>
          </w:p>
        </w:tc>
        <w:tc>
          <w:tcPr>
            <w:tcW w:w="810" w:type="dxa"/>
          </w:tcPr>
          <w:p w14:paraId="391A7F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33930</w:t>
            </w:r>
          </w:p>
        </w:tc>
      </w:tr>
      <w:tr w:rsidR="000F5689" w:rsidRPr="00925F26" w14:paraId="6F894AC8" w14:textId="77777777">
        <w:tc>
          <w:tcPr>
            <w:tcW w:w="4077" w:type="dxa"/>
          </w:tcPr>
          <w:p w14:paraId="25360D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w:t>
            </w:r>
          </w:p>
        </w:tc>
        <w:tc>
          <w:tcPr>
            <w:tcW w:w="891" w:type="dxa"/>
          </w:tcPr>
          <w:p w14:paraId="25BB47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1891</w:t>
            </w:r>
          </w:p>
        </w:tc>
        <w:tc>
          <w:tcPr>
            <w:tcW w:w="990" w:type="dxa"/>
          </w:tcPr>
          <w:p w14:paraId="1CA5CE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2578</w:t>
            </w:r>
          </w:p>
        </w:tc>
        <w:tc>
          <w:tcPr>
            <w:tcW w:w="900" w:type="dxa"/>
          </w:tcPr>
          <w:p w14:paraId="1FF99A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2672</w:t>
            </w:r>
          </w:p>
        </w:tc>
        <w:tc>
          <w:tcPr>
            <w:tcW w:w="990" w:type="dxa"/>
          </w:tcPr>
          <w:p w14:paraId="45A174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3165</w:t>
            </w:r>
          </w:p>
        </w:tc>
        <w:tc>
          <w:tcPr>
            <w:tcW w:w="810" w:type="dxa"/>
          </w:tcPr>
          <w:p w14:paraId="5DF209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1597</w:t>
            </w:r>
          </w:p>
        </w:tc>
        <w:tc>
          <w:tcPr>
            <w:tcW w:w="810" w:type="dxa"/>
          </w:tcPr>
          <w:p w14:paraId="297102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11903</w:t>
            </w:r>
          </w:p>
        </w:tc>
      </w:tr>
      <w:tr w:rsidR="000F5689" w:rsidRPr="00925F26" w14:paraId="65B8FE9A" w14:textId="77777777">
        <w:tc>
          <w:tcPr>
            <w:tcW w:w="4077" w:type="dxa"/>
          </w:tcPr>
          <w:p w14:paraId="0106C5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 (ноч. бомб.)</w:t>
            </w:r>
          </w:p>
        </w:tc>
        <w:tc>
          <w:tcPr>
            <w:tcW w:w="891" w:type="dxa"/>
          </w:tcPr>
          <w:p w14:paraId="7BE4F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1009</w:t>
            </w:r>
          </w:p>
        </w:tc>
        <w:tc>
          <w:tcPr>
            <w:tcW w:w="990" w:type="dxa"/>
          </w:tcPr>
          <w:p w14:paraId="1B3168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2130</w:t>
            </w:r>
          </w:p>
        </w:tc>
        <w:tc>
          <w:tcPr>
            <w:tcW w:w="900" w:type="dxa"/>
          </w:tcPr>
          <w:p w14:paraId="517404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2812</w:t>
            </w:r>
          </w:p>
        </w:tc>
        <w:tc>
          <w:tcPr>
            <w:tcW w:w="990" w:type="dxa"/>
          </w:tcPr>
          <w:p w14:paraId="6AEB74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4382</w:t>
            </w:r>
          </w:p>
        </w:tc>
        <w:tc>
          <w:tcPr>
            <w:tcW w:w="810" w:type="dxa"/>
          </w:tcPr>
          <w:p w14:paraId="65DEEA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1585</w:t>
            </w:r>
          </w:p>
        </w:tc>
        <w:tc>
          <w:tcPr>
            <w:tcW w:w="810" w:type="dxa"/>
          </w:tcPr>
          <w:p w14:paraId="33E7FB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11918</w:t>
            </w:r>
          </w:p>
        </w:tc>
      </w:tr>
      <w:tr w:rsidR="000F5689" w:rsidRPr="00925F26" w14:paraId="0BF3A2AC" w14:textId="77777777">
        <w:tc>
          <w:tcPr>
            <w:tcW w:w="4077" w:type="dxa"/>
          </w:tcPr>
          <w:p w14:paraId="050C40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(без По-2)</w:t>
            </w:r>
          </w:p>
        </w:tc>
        <w:tc>
          <w:tcPr>
            <w:tcW w:w="891" w:type="dxa"/>
          </w:tcPr>
          <w:p w14:paraId="4219E1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6893</w:t>
            </w:r>
          </w:p>
        </w:tc>
        <w:tc>
          <w:tcPr>
            <w:tcW w:w="990" w:type="dxa"/>
          </w:tcPr>
          <w:p w14:paraId="75EABF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19722</w:t>
            </w:r>
          </w:p>
        </w:tc>
        <w:tc>
          <w:tcPr>
            <w:tcW w:w="900" w:type="dxa"/>
          </w:tcPr>
          <w:p w14:paraId="49D02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28201</w:t>
            </w:r>
          </w:p>
        </w:tc>
        <w:tc>
          <w:tcPr>
            <w:tcW w:w="990" w:type="dxa"/>
          </w:tcPr>
          <w:p w14:paraId="51D128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29808</w:t>
            </w:r>
          </w:p>
        </w:tc>
        <w:tc>
          <w:tcPr>
            <w:tcW w:w="810" w:type="dxa"/>
          </w:tcPr>
          <w:p w14:paraId="600275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11896</w:t>
            </w:r>
          </w:p>
        </w:tc>
        <w:tc>
          <w:tcPr>
            <w:tcW w:w="810" w:type="dxa"/>
          </w:tcPr>
          <w:p w14:paraId="597581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96520 (3573)</w:t>
            </w:r>
          </w:p>
        </w:tc>
      </w:tr>
      <w:tr w:rsidR="000F5689" w:rsidRPr="00925F26" w14:paraId="36E7DF83" w14:textId="77777777">
        <w:tc>
          <w:tcPr>
            <w:tcW w:w="4077" w:type="dxa"/>
          </w:tcPr>
          <w:p w14:paraId="1CB453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Отправка самолетов заводами НКАП за годы войны ВВС Красной Армии (4126)</w:t>
            </w:r>
          </w:p>
        </w:tc>
        <w:tc>
          <w:tcPr>
            <w:tcW w:w="891" w:type="dxa"/>
          </w:tcPr>
          <w:p w14:paraId="4CE35797"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48A42056"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5B794CF8"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578ABC1B"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005F34E0"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5F7C196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D2E3B9A" w14:textId="77777777">
        <w:tc>
          <w:tcPr>
            <w:tcW w:w="4077" w:type="dxa"/>
          </w:tcPr>
          <w:p w14:paraId="78766A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891" w:type="dxa"/>
          </w:tcPr>
          <w:p w14:paraId="71F1B5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22.06.1941 г.</w:t>
            </w:r>
          </w:p>
        </w:tc>
        <w:tc>
          <w:tcPr>
            <w:tcW w:w="990" w:type="dxa"/>
          </w:tcPr>
          <w:p w14:paraId="60C37B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900" w:type="dxa"/>
          </w:tcPr>
          <w:p w14:paraId="4671EE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990" w:type="dxa"/>
          </w:tcPr>
          <w:p w14:paraId="1BE4C0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810" w:type="dxa"/>
          </w:tcPr>
          <w:p w14:paraId="31AEDF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1.05.1945 г.</w:t>
            </w:r>
          </w:p>
        </w:tc>
        <w:tc>
          <w:tcPr>
            <w:tcW w:w="810" w:type="dxa"/>
          </w:tcPr>
          <w:p w14:paraId="1CBF9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4231C9B4" w14:textId="77777777">
        <w:tc>
          <w:tcPr>
            <w:tcW w:w="4077" w:type="dxa"/>
          </w:tcPr>
          <w:p w14:paraId="71B177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891" w:type="dxa"/>
          </w:tcPr>
          <w:p w14:paraId="403DCEEE"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1E3862B2"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742EFF28"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49FFA016"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6EAD3DE3"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072C1BC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933438D" w14:textId="77777777">
        <w:tc>
          <w:tcPr>
            <w:tcW w:w="4077" w:type="dxa"/>
          </w:tcPr>
          <w:p w14:paraId="0B13CB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 7, 9</w:t>
            </w:r>
          </w:p>
        </w:tc>
        <w:tc>
          <w:tcPr>
            <w:tcW w:w="891" w:type="dxa"/>
          </w:tcPr>
          <w:p w14:paraId="1169D7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776</w:t>
            </w:r>
          </w:p>
        </w:tc>
        <w:tc>
          <w:tcPr>
            <w:tcW w:w="990" w:type="dxa"/>
          </w:tcPr>
          <w:p w14:paraId="247C53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5484</w:t>
            </w:r>
          </w:p>
        </w:tc>
        <w:tc>
          <w:tcPr>
            <w:tcW w:w="900" w:type="dxa"/>
          </w:tcPr>
          <w:p w14:paraId="508D59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7246</w:t>
            </w:r>
          </w:p>
        </w:tc>
        <w:tc>
          <w:tcPr>
            <w:tcW w:w="990" w:type="dxa"/>
          </w:tcPr>
          <w:p w14:paraId="59B609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8709</w:t>
            </w:r>
          </w:p>
        </w:tc>
        <w:tc>
          <w:tcPr>
            <w:tcW w:w="810" w:type="dxa"/>
          </w:tcPr>
          <w:p w14:paraId="378540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3355</w:t>
            </w:r>
          </w:p>
        </w:tc>
        <w:tc>
          <w:tcPr>
            <w:tcW w:w="810" w:type="dxa"/>
          </w:tcPr>
          <w:p w14:paraId="0E143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25570</w:t>
            </w:r>
          </w:p>
        </w:tc>
      </w:tr>
      <w:tr w:rsidR="000F5689" w:rsidRPr="00925F26" w14:paraId="5CAA3896" w14:textId="77777777">
        <w:tc>
          <w:tcPr>
            <w:tcW w:w="4077" w:type="dxa"/>
          </w:tcPr>
          <w:p w14:paraId="7EB33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ЛаГГ-3</w:t>
            </w:r>
          </w:p>
        </w:tc>
        <w:tc>
          <w:tcPr>
            <w:tcW w:w="891" w:type="dxa"/>
          </w:tcPr>
          <w:p w14:paraId="3D71C3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1596</w:t>
            </w:r>
          </w:p>
        </w:tc>
        <w:tc>
          <w:tcPr>
            <w:tcW w:w="990" w:type="dxa"/>
          </w:tcPr>
          <w:p w14:paraId="505BD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2937</w:t>
            </w:r>
          </w:p>
        </w:tc>
        <w:tc>
          <w:tcPr>
            <w:tcW w:w="900" w:type="dxa"/>
          </w:tcPr>
          <w:p w14:paraId="6E2F7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959</w:t>
            </w:r>
          </w:p>
        </w:tc>
        <w:tc>
          <w:tcPr>
            <w:tcW w:w="990" w:type="dxa"/>
          </w:tcPr>
          <w:p w14:paraId="2D0994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432</w:t>
            </w:r>
          </w:p>
        </w:tc>
        <w:tc>
          <w:tcPr>
            <w:tcW w:w="810" w:type="dxa"/>
          </w:tcPr>
          <w:p w14:paraId="638CC7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2ACEDA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5924</w:t>
            </w:r>
          </w:p>
        </w:tc>
      </w:tr>
      <w:tr w:rsidR="000F5689" w:rsidRPr="00925F26" w14:paraId="27CDFD60" w14:textId="77777777">
        <w:tc>
          <w:tcPr>
            <w:tcW w:w="4077" w:type="dxa"/>
          </w:tcPr>
          <w:p w14:paraId="0949A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МиГ-3</w:t>
            </w:r>
          </w:p>
        </w:tc>
        <w:tc>
          <w:tcPr>
            <w:tcW w:w="891" w:type="dxa"/>
          </w:tcPr>
          <w:p w14:paraId="69AFF2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1569</w:t>
            </w:r>
          </w:p>
        </w:tc>
        <w:tc>
          <w:tcPr>
            <w:tcW w:w="990" w:type="dxa"/>
          </w:tcPr>
          <w:p w14:paraId="1DFE8D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900" w:type="dxa"/>
          </w:tcPr>
          <w:p w14:paraId="498744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990" w:type="dxa"/>
          </w:tcPr>
          <w:p w14:paraId="655B32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76BA74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6A17A2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1601</w:t>
            </w:r>
          </w:p>
        </w:tc>
      </w:tr>
      <w:tr w:rsidR="000F5689" w:rsidRPr="00925F26" w14:paraId="5FF93B55" w14:textId="77777777">
        <w:tc>
          <w:tcPr>
            <w:tcW w:w="4077" w:type="dxa"/>
          </w:tcPr>
          <w:p w14:paraId="247E10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Ла-5, Ф, ФН</w:t>
            </w:r>
          </w:p>
        </w:tc>
        <w:tc>
          <w:tcPr>
            <w:tcW w:w="891" w:type="dxa"/>
          </w:tcPr>
          <w:p w14:paraId="13467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10DD61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911</w:t>
            </w:r>
          </w:p>
        </w:tc>
        <w:tc>
          <w:tcPr>
            <w:tcW w:w="900" w:type="dxa"/>
          </w:tcPr>
          <w:p w14:paraId="17FAA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4347</w:t>
            </w:r>
          </w:p>
        </w:tc>
        <w:tc>
          <w:tcPr>
            <w:tcW w:w="990" w:type="dxa"/>
          </w:tcPr>
          <w:p w14:paraId="05CDF5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4286</w:t>
            </w:r>
          </w:p>
        </w:tc>
        <w:tc>
          <w:tcPr>
            <w:tcW w:w="810" w:type="dxa"/>
          </w:tcPr>
          <w:p w14:paraId="4960C7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20C27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9544</w:t>
            </w:r>
          </w:p>
        </w:tc>
      </w:tr>
      <w:tr w:rsidR="000F5689" w:rsidRPr="00925F26" w14:paraId="00B4B9E8" w14:textId="77777777">
        <w:tc>
          <w:tcPr>
            <w:tcW w:w="4077" w:type="dxa"/>
          </w:tcPr>
          <w:p w14:paraId="77661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891" w:type="dxa"/>
          </w:tcPr>
          <w:p w14:paraId="2185C3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23AB61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00BD84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01875C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1044</w:t>
            </w:r>
          </w:p>
        </w:tc>
        <w:tc>
          <w:tcPr>
            <w:tcW w:w="810" w:type="dxa"/>
          </w:tcPr>
          <w:p w14:paraId="40E504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1913</w:t>
            </w:r>
          </w:p>
        </w:tc>
        <w:tc>
          <w:tcPr>
            <w:tcW w:w="810" w:type="dxa"/>
          </w:tcPr>
          <w:p w14:paraId="2CEC4F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2957</w:t>
            </w:r>
          </w:p>
        </w:tc>
      </w:tr>
      <w:tr w:rsidR="000F5689" w:rsidRPr="00925F26" w14:paraId="7A66D6C8" w14:textId="77777777">
        <w:tc>
          <w:tcPr>
            <w:tcW w:w="4077" w:type="dxa"/>
          </w:tcPr>
          <w:p w14:paraId="304C9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891" w:type="dxa"/>
          </w:tcPr>
          <w:p w14:paraId="059862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41FAAD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48DD02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61AAA3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c>
          <w:tcPr>
            <w:tcW w:w="810" w:type="dxa"/>
          </w:tcPr>
          <w:p w14:paraId="6A472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1016</w:t>
            </w:r>
          </w:p>
        </w:tc>
        <w:tc>
          <w:tcPr>
            <w:tcW w:w="810" w:type="dxa"/>
          </w:tcPr>
          <w:p w14:paraId="46BA76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2356</w:t>
            </w:r>
          </w:p>
        </w:tc>
      </w:tr>
      <w:tr w:rsidR="000F5689" w:rsidRPr="00925F26" w14:paraId="5E549B23" w14:textId="77777777">
        <w:tc>
          <w:tcPr>
            <w:tcW w:w="4077" w:type="dxa"/>
          </w:tcPr>
          <w:p w14:paraId="564AA8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891" w:type="dxa"/>
          </w:tcPr>
          <w:p w14:paraId="09421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3941</w:t>
            </w:r>
          </w:p>
        </w:tc>
        <w:tc>
          <w:tcPr>
            <w:tcW w:w="990" w:type="dxa"/>
          </w:tcPr>
          <w:p w14:paraId="48C5C5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9355</w:t>
            </w:r>
          </w:p>
        </w:tc>
        <w:tc>
          <w:tcPr>
            <w:tcW w:w="900" w:type="dxa"/>
          </w:tcPr>
          <w:p w14:paraId="66398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12561</w:t>
            </w:r>
          </w:p>
        </w:tc>
        <w:tc>
          <w:tcPr>
            <w:tcW w:w="990" w:type="dxa"/>
          </w:tcPr>
          <w:p w14:paraId="48C31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15811</w:t>
            </w:r>
          </w:p>
        </w:tc>
        <w:tc>
          <w:tcPr>
            <w:tcW w:w="810" w:type="dxa"/>
          </w:tcPr>
          <w:p w14:paraId="7FB423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6284</w:t>
            </w:r>
          </w:p>
        </w:tc>
        <w:tc>
          <w:tcPr>
            <w:tcW w:w="810" w:type="dxa"/>
          </w:tcPr>
          <w:p w14:paraId="3CCB4C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47952</w:t>
            </w:r>
          </w:p>
        </w:tc>
      </w:tr>
      <w:tr w:rsidR="000F5689" w:rsidRPr="00925F26" w14:paraId="6478D1A7" w14:textId="77777777">
        <w:tc>
          <w:tcPr>
            <w:tcW w:w="4077" w:type="dxa"/>
          </w:tcPr>
          <w:p w14:paraId="6ED06D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c>
          <w:tcPr>
            <w:tcW w:w="891" w:type="dxa"/>
          </w:tcPr>
          <w:p w14:paraId="4D101986"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7DB0065D"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64F11212"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0F4F3926"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6D501CE7"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3571A94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5DECBA9" w14:textId="77777777">
        <w:tc>
          <w:tcPr>
            <w:tcW w:w="4077" w:type="dxa"/>
          </w:tcPr>
          <w:p w14:paraId="0A0FD5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10</w:t>
            </w:r>
          </w:p>
        </w:tc>
        <w:tc>
          <w:tcPr>
            <w:tcW w:w="891" w:type="dxa"/>
          </w:tcPr>
          <w:p w14:paraId="1C9097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1061</w:t>
            </w:r>
          </w:p>
        </w:tc>
        <w:tc>
          <w:tcPr>
            <w:tcW w:w="990" w:type="dxa"/>
          </w:tcPr>
          <w:p w14:paraId="72089F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6708</w:t>
            </w:r>
          </w:p>
        </w:tc>
        <w:tc>
          <w:tcPr>
            <w:tcW w:w="900" w:type="dxa"/>
          </w:tcPr>
          <w:p w14:paraId="4FDF36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10220</w:t>
            </w:r>
          </w:p>
        </w:tc>
        <w:tc>
          <w:tcPr>
            <w:tcW w:w="990" w:type="dxa"/>
          </w:tcPr>
          <w:p w14:paraId="412974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10613</w:t>
            </w:r>
          </w:p>
        </w:tc>
        <w:tc>
          <w:tcPr>
            <w:tcW w:w="810" w:type="dxa"/>
          </w:tcPr>
          <w:p w14:paraId="6E6B16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3594</w:t>
            </w:r>
          </w:p>
        </w:tc>
        <w:tc>
          <w:tcPr>
            <w:tcW w:w="810" w:type="dxa"/>
          </w:tcPr>
          <w:p w14:paraId="1D50F5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32196</w:t>
            </w:r>
          </w:p>
        </w:tc>
      </w:tr>
      <w:tr w:rsidR="000F5689" w:rsidRPr="00925F26" w14:paraId="132DE07A" w14:textId="77777777">
        <w:tc>
          <w:tcPr>
            <w:tcW w:w="4077" w:type="dxa"/>
          </w:tcPr>
          <w:p w14:paraId="0F37D9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891" w:type="dxa"/>
          </w:tcPr>
          <w:p w14:paraId="6CA2CBAB"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3C6C5535"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230DB649"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6016D4CD"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66EEA4D9"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6C36F3A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CA601C3" w14:textId="77777777">
        <w:tc>
          <w:tcPr>
            <w:tcW w:w="4077" w:type="dxa"/>
          </w:tcPr>
          <w:p w14:paraId="620972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891" w:type="dxa"/>
          </w:tcPr>
          <w:p w14:paraId="1F7D4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1014</w:t>
            </w:r>
          </w:p>
        </w:tc>
        <w:tc>
          <w:tcPr>
            <w:tcW w:w="990" w:type="dxa"/>
          </w:tcPr>
          <w:p w14:paraId="24C4FA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2499</w:t>
            </w:r>
          </w:p>
        </w:tc>
        <w:tc>
          <w:tcPr>
            <w:tcW w:w="900" w:type="dxa"/>
          </w:tcPr>
          <w:p w14:paraId="33D6A4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2357</w:t>
            </w:r>
          </w:p>
        </w:tc>
        <w:tc>
          <w:tcPr>
            <w:tcW w:w="990" w:type="dxa"/>
          </w:tcPr>
          <w:p w14:paraId="4C6714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2827</w:t>
            </w:r>
          </w:p>
        </w:tc>
        <w:tc>
          <w:tcPr>
            <w:tcW w:w="810" w:type="dxa"/>
          </w:tcPr>
          <w:p w14:paraId="29873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968</w:t>
            </w:r>
          </w:p>
        </w:tc>
        <w:tc>
          <w:tcPr>
            <w:tcW w:w="810" w:type="dxa"/>
          </w:tcPr>
          <w:p w14:paraId="42F2EE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9665</w:t>
            </w:r>
          </w:p>
        </w:tc>
      </w:tr>
      <w:tr w:rsidR="000F5689" w:rsidRPr="00925F26" w14:paraId="45AA4DC3" w14:textId="77777777">
        <w:tc>
          <w:tcPr>
            <w:tcW w:w="4077" w:type="dxa"/>
          </w:tcPr>
          <w:p w14:paraId="079E82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 (ночн бомб.)</w:t>
            </w:r>
          </w:p>
        </w:tc>
        <w:tc>
          <w:tcPr>
            <w:tcW w:w="891" w:type="dxa"/>
          </w:tcPr>
          <w:p w14:paraId="66F817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1009</w:t>
            </w:r>
          </w:p>
        </w:tc>
        <w:tc>
          <w:tcPr>
            <w:tcW w:w="990" w:type="dxa"/>
          </w:tcPr>
          <w:p w14:paraId="56B92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2130</w:t>
            </w:r>
          </w:p>
        </w:tc>
        <w:tc>
          <w:tcPr>
            <w:tcW w:w="900" w:type="dxa"/>
          </w:tcPr>
          <w:p w14:paraId="18237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2812</w:t>
            </w:r>
          </w:p>
        </w:tc>
        <w:tc>
          <w:tcPr>
            <w:tcW w:w="990" w:type="dxa"/>
          </w:tcPr>
          <w:p w14:paraId="237971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4382</w:t>
            </w:r>
          </w:p>
        </w:tc>
        <w:tc>
          <w:tcPr>
            <w:tcW w:w="810" w:type="dxa"/>
          </w:tcPr>
          <w:p w14:paraId="0502C9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1585</w:t>
            </w:r>
          </w:p>
        </w:tc>
        <w:tc>
          <w:tcPr>
            <w:tcW w:w="810" w:type="dxa"/>
          </w:tcPr>
          <w:p w14:paraId="56EFB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11918</w:t>
            </w:r>
          </w:p>
        </w:tc>
      </w:tr>
      <w:tr w:rsidR="000F5689" w:rsidRPr="00925F26" w14:paraId="7F44B54C" w14:textId="77777777">
        <w:tc>
          <w:tcPr>
            <w:tcW w:w="4077" w:type="dxa"/>
          </w:tcPr>
          <w:p w14:paraId="31761B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Су-2, Р-5</w:t>
            </w:r>
          </w:p>
        </w:tc>
        <w:tc>
          <w:tcPr>
            <w:tcW w:w="891" w:type="dxa"/>
          </w:tcPr>
          <w:p w14:paraId="1B0F28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w:t>
            </w:r>
          </w:p>
        </w:tc>
        <w:tc>
          <w:tcPr>
            <w:tcW w:w="990" w:type="dxa"/>
          </w:tcPr>
          <w:p w14:paraId="2F8B49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900" w:type="dxa"/>
          </w:tcPr>
          <w:p w14:paraId="0D8421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w:t>
            </w:r>
          </w:p>
        </w:tc>
        <w:tc>
          <w:tcPr>
            <w:tcW w:w="990" w:type="dxa"/>
          </w:tcPr>
          <w:p w14:paraId="20FA0B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33923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0B816D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537</w:t>
            </w:r>
          </w:p>
        </w:tc>
      </w:tr>
      <w:tr w:rsidR="000F5689" w:rsidRPr="00925F26" w14:paraId="1C9137A0" w14:textId="77777777">
        <w:tc>
          <w:tcPr>
            <w:tcW w:w="4077" w:type="dxa"/>
          </w:tcPr>
          <w:p w14:paraId="09EC1F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Як-4</w:t>
            </w:r>
          </w:p>
        </w:tc>
        <w:tc>
          <w:tcPr>
            <w:tcW w:w="891" w:type="dxa"/>
          </w:tcPr>
          <w:p w14:paraId="428C79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990" w:type="dxa"/>
          </w:tcPr>
          <w:p w14:paraId="222D4D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3F0376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02D5A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5A9F4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2B6D56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r>
      <w:tr w:rsidR="000F5689" w:rsidRPr="00925F26" w14:paraId="6F9F2CF8" w14:textId="77777777">
        <w:tc>
          <w:tcPr>
            <w:tcW w:w="4077" w:type="dxa"/>
          </w:tcPr>
          <w:p w14:paraId="0A0FBF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Ар-2</w:t>
            </w:r>
          </w:p>
        </w:tc>
        <w:tc>
          <w:tcPr>
            <w:tcW w:w="891" w:type="dxa"/>
          </w:tcPr>
          <w:p w14:paraId="19224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990" w:type="dxa"/>
          </w:tcPr>
          <w:p w14:paraId="5303B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508FD3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38AF4D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382E8B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6CAAC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7EC0A235" w14:textId="77777777">
        <w:tc>
          <w:tcPr>
            <w:tcW w:w="4077" w:type="dxa"/>
          </w:tcPr>
          <w:p w14:paraId="488D08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ТБ-7 (Пе-8)</w:t>
            </w:r>
          </w:p>
        </w:tc>
        <w:tc>
          <w:tcPr>
            <w:tcW w:w="891" w:type="dxa"/>
          </w:tcPr>
          <w:p w14:paraId="6590B6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990" w:type="dxa"/>
          </w:tcPr>
          <w:p w14:paraId="7BB8CD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7BB8B4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77F850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0C4471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38CBD5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r>
      <w:tr w:rsidR="000F5689" w:rsidRPr="00925F26" w14:paraId="5810C482" w14:textId="77777777">
        <w:tc>
          <w:tcPr>
            <w:tcW w:w="4077" w:type="dxa"/>
          </w:tcPr>
          <w:p w14:paraId="3F1BC0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891" w:type="dxa"/>
          </w:tcPr>
          <w:p w14:paraId="26BB2B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w:t>
            </w:r>
          </w:p>
        </w:tc>
        <w:tc>
          <w:tcPr>
            <w:tcW w:w="990" w:type="dxa"/>
          </w:tcPr>
          <w:p w14:paraId="758EFC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0973E9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3ED4A7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7F255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w:t>
            </w:r>
          </w:p>
        </w:tc>
        <w:tc>
          <w:tcPr>
            <w:tcW w:w="810" w:type="dxa"/>
          </w:tcPr>
          <w:p w14:paraId="55A28D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w:t>
            </w:r>
          </w:p>
        </w:tc>
      </w:tr>
      <w:tr w:rsidR="000F5689" w:rsidRPr="00925F26" w14:paraId="0BCAC058" w14:textId="77777777">
        <w:tc>
          <w:tcPr>
            <w:tcW w:w="4077" w:type="dxa"/>
          </w:tcPr>
          <w:p w14:paraId="164F92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891" w:type="dxa"/>
          </w:tcPr>
          <w:p w14:paraId="05ABB2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990" w:type="dxa"/>
          </w:tcPr>
          <w:p w14:paraId="26FC9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00" w:type="dxa"/>
          </w:tcPr>
          <w:p w14:paraId="437DB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w:t>
            </w:r>
          </w:p>
        </w:tc>
        <w:tc>
          <w:tcPr>
            <w:tcW w:w="990" w:type="dxa"/>
          </w:tcPr>
          <w:p w14:paraId="495086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810" w:type="dxa"/>
          </w:tcPr>
          <w:p w14:paraId="31567B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w:t>
            </w:r>
          </w:p>
        </w:tc>
        <w:tc>
          <w:tcPr>
            <w:tcW w:w="810" w:type="dxa"/>
          </w:tcPr>
          <w:p w14:paraId="5DC28D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679</w:t>
            </w:r>
          </w:p>
        </w:tc>
      </w:tr>
      <w:tr w:rsidR="000F5689" w:rsidRPr="00925F26" w14:paraId="5B968675" w14:textId="77777777">
        <w:tc>
          <w:tcPr>
            <w:tcW w:w="4077" w:type="dxa"/>
          </w:tcPr>
          <w:p w14:paraId="7C41B9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w:t>
            </w:r>
          </w:p>
        </w:tc>
        <w:tc>
          <w:tcPr>
            <w:tcW w:w="891" w:type="dxa"/>
          </w:tcPr>
          <w:p w14:paraId="006C98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0" w:type="dxa"/>
          </w:tcPr>
          <w:p w14:paraId="612169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900" w:type="dxa"/>
          </w:tcPr>
          <w:p w14:paraId="59DE8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c>
          <w:tcPr>
            <w:tcW w:w="990" w:type="dxa"/>
          </w:tcPr>
          <w:p w14:paraId="4908E2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338</w:t>
            </w:r>
          </w:p>
        </w:tc>
        <w:tc>
          <w:tcPr>
            <w:tcW w:w="810" w:type="dxa"/>
          </w:tcPr>
          <w:p w14:paraId="74E62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284</w:t>
            </w:r>
          </w:p>
        </w:tc>
        <w:tc>
          <w:tcPr>
            <w:tcW w:w="810" w:type="dxa"/>
          </w:tcPr>
          <w:p w14:paraId="3C8F2B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764</w:t>
            </w:r>
          </w:p>
        </w:tc>
      </w:tr>
      <w:tr w:rsidR="000F5689" w:rsidRPr="00925F26" w14:paraId="06AEF07E" w14:textId="77777777">
        <w:tc>
          <w:tcPr>
            <w:tcW w:w="4077" w:type="dxa"/>
            <w:tcBorders>
              <w:bottom w:val="single" w:sz="12" w:space="0" w:color="auto"/>
            </w:tcBorders>
          </w:tcPr>
          <w:p w14:paraId="38B12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891" w:type="dxa"/>
            <w:tcBorders>
              <w:bottom w:val="single" w:sz="12" w:space="0" w:color="auto"/>
            </w:tcBorders>
          </w:tcPr>
          <w:p w14:paraId="0030B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2900</w:t>
            </w:r>
          </w:p>
        </w:tc>
        <w:tc>
          <w:tcPr>
            <w:tcW w:w="990" w:type="dxa"/>
            <w:tcBorders>
              <w:bottom w:val="single" w:sz="12" w:space="0" w:color="auto"/>
            </w:tcBorders>
          </w:tcPr>
          <w:p w14:paraId="691F15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4708</w:t>
            </w:r>
          </w:p>
        </w:tc>
        <w:tc>
          <w:tcPr>
            <w:tcW w:w="900" w:type="dxa"/>
            <w:tcBorders>
              <w:bottom w:val="single" w:sz="12" w:space="0" w:color="auto"/>
            </w:tcBorders>
          </w:tcPr>
          <w:p w14:paraId="687DC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5484</w:t>
            </w:r>
          </w:p>
        </w:tc>
        <w:tc>
          <w:tcPr>
            <w:tcW w:w="990" w:type="dxa"/>
            <w:tcBorders>
              <w:bottom w:val="single" w:sz="12" w:space="0" w:color="auto"/>
            </w:tcBorders>
          </w:tcPr>
          <w:p w14:paraId="3D1F0E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7547</w:t>
            </w:r>
          </w:p>
        </w:tc>
        <w:tc>
          <w:tcPr>
            <w:tcW w:w="810" w:type="dxa"/>
            <w:tcBorders>
              <w:bottom w:val="single" w:sz="12" w:space="0" w:color="auto"/>
            </w:tcBorders>
          </w:tcPr>
          <w:p w14:paraId="6B70CE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3182</w:t>
            </w:r>
          </w:p>
        </w:tc>
        <w:tc>
          <w:tcPr>
            <w:tcW w:w="810" w:type="dxa"/>
            <w:tcBorders>
              <w:bottom w:val="single" w:sz="12" w:space="0" w:color="auto"/>
            </w:tcBorders>
          </w:tcPr>
          <w:p w14:paraId="619E08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23821</w:t>
            </w:r>
          </w:p>
        </w:tc>
      </w:tr>
    </w:tbl>
    <w:p w14:paraId="004CCD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Примечания:</w:t>
      </w:r>
    </w:p>
    <w:p w14:paraId="1D770B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Кроме того отправлено для АДД: Ил-4 - 2474; Ще-2 - 112; Ер-2 - 144; Ли-2 - 1214; Пе-8 - 52. Итого 3996 самолетов (3573).</w:t>
      </w:r>
    </w:p>
    <w:p w14:paraId="7B0395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ОСОАВИАХИМ отправил в ВВС КА: По-2 - 1980; Р-5 - 640; СБ - 440; Рz - 100. Итого 3160 самолетов (3573).</w:t>
      </w:r>
    </w:p>
    <w:p w14:paraId="539DEA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Боевые потери Дальней авиации в самолетах за период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960"/>
        <w:gridCol w:w="900"/>
        <w:gridCol w:w="990"/>
        <w:gridCol w:w="900"/>
        <w:gridCol w:w="990"/>
        <w:gridCol w:w="810"/>
        <w:gridCol w:w="809"/>
      </w:tblGrid>
      <w:tr w:rsidR="000F5689" w:rsidRPr="00925F26" w14:paraId="602E2EC2" w14:textId="77777777">
        <w:tc>
          <w:tcPr>
            <w:tcW w:w="3960" w:type="dxa"/>
            <w:tcBorders>
              <w:top w:val="single" w:sz="12" w:space="0" w:color="000000"/>
            </w:tcBorders>
          </w:tcPr>
          <w:p w14:paraId="6C4361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типов самолетов</w:t>
            </w:r>
          </w:p>
        </w:tc>
        <w:tc>
          <w:tcPr>
            <w:tcW w:w="900" w:type="dxa"/>
            <w:tcBorders>
              <w:top w:val="single" w:sz="12" w:space="0" w:color="000000"/>
            </w:tcBorders>
          </w:tcPr>
          <w:p w14:paraId="6FF2DE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 (с 22 июня)</w:t>
            </w:r>
          </w:p>
        </w:tc>
        <w:tc>
          <w:tcPr>
            <w:tcW w:w="990" w:type="dxa"/>
            <w:tcBorders>
              <w:top w:val="single" w:sz="12" w:space="0" w:color="000000"/>
            </w:tcBorders>
          </w:tcPr>
          <w:p w14:paraId="53582D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900" w:type="dxa"/>
            <w:tcBorders>
              <w:top w:val="single" w:sz="12" w:space="0" w:color="000000"/>
            </w:tcBorders>
          </w:tcPr>
          <w:p w14:paraId="78DAAC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990" w:type="dxa"/>
            <w:tcBorders>
              <w:top w:val="single" w:sz="12" w:space="0" w:color="000000"/>
            </w:tcBorders>
          </w:tcPr>
          <w:p w14:paraId="782B2E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810" w:type="dxa"/>
            <w:tcBorders>
              <w:top w:val="single" w:sz="12" w:space="0" w:color="000000"/>
            </w:tcBorders>
          </w:tcPr>
          <w:p w14:paraId="2B9BB8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 (до 9.5)</w:t>
            </w:r>
          </w:p>
        </w:tc>
        <w:tc>
          <w:tcPr>
            <w:tcW w:w="809" w:type="dxa"/>
            <w:tcBorders>
              <w:top w:val="single" w:sz="12" w:space="0" w:color="000000"/>
            </w:tcBorders>
          </w:tcPr>
          <w:p w14:paraId="1009B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за войну</w:t>
            </w:r>
          </w:p>
        </w:tc>
      </w:tr>
      <w:tr w:rsidR="000F5689" w:rsidRPr="00925F26" w14:paraId="1F9385AB" w14:textId="77777777">
        <w:tc>
          <w:tcPr>
            <w:tcW w:w="3960" w:type="dxa"/>
          </w:tcPr>
          <w:p w14:paraId="66C49F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900" w:type="dxa"/>
          </w:tcPr>
          <w:p w14:paraId="2032137F"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3C22B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259</w:t>
            </w:r>
          </w:p>
        </w:tc>
        <w:tc>
          <w:tcPr>
            <w:tcW w:w="900" w:type="dxa"/>
          </w:tcPr>
          <w:p w14:paraId="1B7408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306</w:t>
            </w:r>
          </w:p>
        </w:tc>
        <w:tc>
          <w:tcPr>
            <w:tcW w:w="990" w:type="dxa"/>
          </w:tcPr>
          <w:p w14:paraId="4D6ECF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w:t>
            </w:r>
          </w:p>
        </w:tc>
        <w:tc>
          <w:tcPr>
            <w:tcW w:w="810" w:type="dxa"/>
          </w:tcPr>
          <w:p w14:paraId="2F12D3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809" w:type="dxa"/>
          </w:tcPr>
          <w:p w14:paraId="003C2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954</w:t>
            </w:r>
          </w:p>
        </w:tc>
      </w:tr>
      <w:tr w:rsidR="000F5689" w:rsidRPr="00925F26" w14:paraId="7E2EE8C4" w14:textId="77777777">
        <w:tc>
          <w:tcPr>
            <w:tcW w:w="3960" w:type="dxa"/>
          </w:tcPr>
          <w:p w14:paraId="797BAC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900" w:type="dxa"/>
          </w:tcPr>
          <w:p w14:paraId="188B9474"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3DCAD6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900" w:type="dxa"/>
          </w:tcPr>
          <w:p w14:paraId="29815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w:t>
            </w:r>
          </w:p>
        </w:tc>
        <w:tc>
          <w:tcPr>
            <w:tcW w:w="990" w:type="dxa"/>
          </w:tcPr>
          <w:p w14:paraId="627135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169</w:t>
            </w:r>
          </w:p>
        </w:tc>
        <w:tc>
          <w:tcPr>
            <w:tcW w:w="810" w:type="dxa"/>
          </w:tcPr>
          <w:p w14:paraId="2C11E1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809" w:type="dxa"/>
          </w:tcPr>
          <w:p w14:paraId="451628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384</w:t>
            </w:r>
          </w:p>
        </w:tc>
      </w:tr>
      <w:tr w:rsidR="000F5689" w:rsidRPr="00925F26" w14:paraId="0B2A5D67" w14:textId="77777777">
        <w:tc>
          <w:tcPr>
            <w:tcW w:w="3960" w:type="dxa"/>
          </w:tcPr>
          <w:p w14:paraId="68A4A1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ТБ-3</w:t>
            </w:r>
          </w:p>
        </w:tc>
        <w:tc>
          <w:tcPr>
            <w:tcW w:w="900" w:type="dxa"/>
          </w:tcPr>
          <w:p w14:paraId="0ECB5D23"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2AC0BA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c>
          <w:tcPr>
            <w:tcW w:w="900" w:type="dxa"/>
          </w:tcPr>
          <w:p w14:paraId="3EBA7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990" w:type="dxa"/>
          </w:tcPr>
          <w:p w14:paraId="12E3268D"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2F4AB954" w14:textId="77777777" w:rsidR="00665165" w:rsidRPr="00925F26" w:rsidRDefault="00665165" w:rsidP="00925F26">
            <w:pPr>
              <w:autoSpaceDE w:val="0"/>
              <w:autoSpaceDN w:val="0"/>
              <w:adjustRightInd w:val="0"/>
              <w:jc w:val="both"/>
              <w:rPr>
                <w:color w:val="000000" w:themeColor="text1"/>
                <w:sz w:val="16"/>
                <w:szCs w:val="16"/>
              </w:rPr>
            </w:pPr>
          </w:p>
        </w:tc>
        <w:tc>
          <w:tcPr>
            <w:tcW w:w="809" w:type="dxa"/>
          </w:tcPr>
          <w:p w14:paraId="60B497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w:t>
            </w:r>
          </w:p>
        </w:tc>
      </w:tr>
      <w:tr w:rsidR="000F5689" w:rsidRPr="00925F26" w14:paraId="30F13204" w14:textId="77777777">
        <w:tc>
          <w:tcPr>
            <w:tcW w:w="3960" w:type="dxa"/>
          </w:tcPr>
          <w:p w14:paraId="734DDE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ТБ-7</w:t>
            </w:r>
          </w:p>
        </w:tc>
        <w:tc>
          <w:tcPr>
            <w:tcW w:w="900" w:type="dxa"/>
          </w:tcPr>
          <w:p w14:paraId="0D573946"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663CF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900" w:type="dxa"/>
          </w:tcPr>
          <w:p w14:paraId="4BCAEA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990" w:type="dxa"/>
          </w:tcPr>
          <w:p w14:paraId="42892B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810" w:type="dxa"/>
          </w:tcPr>
          <w:p w14:paraId="23608626" w14:textId="77777777" w:rsidR="00665165" w:rsidRPr="00925F26" w:rsidRDefault="00665165" w:rsidP="00925F26">
            <w:pPr>
              <w:autoSpaceDE w:val="0"/>
              <w:autoSpaceDN w:val="0"/>
              <w:adjustRightInd w:val="0"/>
              <w:jc w:val="both"/>
              <w:rPr>
                <w:color w:val="000000" w:themeColor="text1"/>
                <w:sz w:val="16"/>
                <w:szCs w:val="16"/>
              </w:rPr>
            </w:pPr>
          </w:p>
        </w:tc>
        <w:tc>
          <w:tcPr>
            <w:tcW w:w="809" w:type="dxa"/>
          </w:tcPr>
          <w:p w14:paraId="49071D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r>
      <w:tr w:rsidR="000F5689" w:rsidRPr="00925F26" w14:paraId="11C11461" w14:textId="77777777">
        <w:tc>
          <w:tcPr>
            <w:tcW w:w="3960" w:type="dxa"/>
          </w:tcPr>
          <w:p w14:paraId="30189E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900" w:type="dxa"/>
          </w:tcPr>
          <w:p w14:paraId="3B79965E"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428A62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900" w:type="dxa"/>
          </w:tcPr>
          <w:p w14:paraId="51EFA8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90" w:type="dxa"/>
          </w:tcPr>
          <w:p w14:paraId="721FFE5A" w14:textId="77777777" w:rsidR="00665165" w:rsidRPr="00925F26" w:rsidRDefault="00665165" w:rsidP="00925F26">
            <w:pPr>
              <w:autoSpaceDE w:val="0"/>
              <w:autoSpaceDN w:val="0"/>
              <w:adjustRightInd w:val="0"/>
              <w:jc w:val="both"/>
              <w:rPr>
                <w:color w:val="000000" w:themeColor="text1"/>
                <w:sz w:val="16"/>
                <w:szCs w:val="16"/>
              </w:rPr>
            </w:pPr>
          </w:p>
        </w:tc>
        <w:tc>
          <w:tcPr>
            <w:tcW w:w="810" w:type="dxa"/>
          </w:tcPr>
          <w:p w14:paraId="506DCA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809" w:type="dxa"/>
          </w:tcPr>
          <w:p w14:paraId="1EF756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1CCB91BC" w14:textId="77777777">
        <w:tc>
          <w:tcPr>
            <w:tcW w:w="3960" w:type="dxa"/>
          </w:tcPr>
          <w:p w14:paraId="373791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СИ-47</w:t>
            </w:r>
          </w:p>
        </w:tc>
        <w:tc>
          <w:tcPr>
            <w:tcW w:w="900" w:type="dxa"/>
          </w:tcPr>
          <w:p w14:paraId="69E6E068"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593BD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00" w:type="dxa"/>
          </w:tcPr>
          <w:p w14:paraId="6836C5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990" w:type="dxa"/>
          </w:tcPr>
          <w:p w14:paraId="184F83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810" w:type="dxa"/>
          </w:tcPr>
          <w:p w14:paraId="3D869EE8" w14:textId="77777777" w:rsidR="00665165" w:rsidRPr="00925F26" w:rsidRDefault="00665165" w:rsidP="00925F26">
            <w:pPr>
              <w:autoSpaceDE w:val="0"/>
              <w:autoSpaceDN w:val="0"/>
              <w:adjustRightInd w:val="0"/>
              <w:jc w:val="both"/>
              <w:rPr>
                <w:color w:val="000000" w:themeColor="text1"/>
                <w:sz w:val="16"/>
                <w:szCs w:val="16"/>
              </w:rPr>
            </w:pPr>
          </w:p>
        </w:tc>
        <w:tc>
          <w:tcPr>
            <w:tcW w:w="809" w:type="dxa"/>
          </w:tcPr>
          <w:p w14:paraId="708AE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r>
      <w:tr w:rsidR="000F5689" w:rsidRPr="00925F26" w14:paraId="56D8E4ED" w14:textId="77777777">
        <w:tc>
          <w:tcPr>
            <w:tcW w:w="3960" w:type="dxa"/>
          </w:tcPr>
          <w:p w14:paraId="48A295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Б-25</w:t>
            </w:r>
          </w:p>
        </w:tc>
        <w:tc>
          <w:tcPr>
            <w:tcW w:w="900" w:type="dxa"/>
          </w:tcPr>
          <w:p w14:paraId="20414B1F"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03EB96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900" w:type="dxa"/>
          </w:tcPr>
          <w:p w14:paraId="7FE9C2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990" w:type="dxa"/>
          </w:tcPr>
          <w:p w14:paraId="45CB1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w:t>
            </w:r>
          </w:p>
        </w:tc>
        <w:tc>
          <w:tcPr>
            <w:tcW w:w="810" w:type="dxa"/>
          </w:tcPr>
          <w:p w14:paraId="1C8AF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809" w:type="dxa"/>
          </w:tcPr>
          <w:p w14:paraId="1A0898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r>
      <w:tr w:rsidR="000F5689" w:rsidRPr="00925F26" w14:paraId="177DD3AD" w14:textId="77777777">
        <w:tc>
          <w:tcPr>
            <w:tcW w:w="3960" w:type="dxa"/>
          </w:tcPr>
          <w:p w14:paraId="59D336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А-20-Ж</w:t>
            </w:r>
          </w:p>
        </w:tc>
        <w:tc>
          <w:tcPr>
            <w:tcW w:w="900" w:type="dxa"/>
          </w:tcPr>
          <w:p w14:paraId="16DEEDF9"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015C2DA5"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484FD1A8"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392AF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810" w:type="dxa"/>
          </w:tcPr>
          <w:p w14:paraId="400B6C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809" w:type="dxa"/>
          </w:tcPr>
          <w:p w14:paraId="115F7E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r>
      <w:tr w:rsidR="000F5689" w:rsidRPr="00925F26" w14:paraId="3F341961" w14:textId="77777777">
        <w:tc>
          <w:tcPr>
            <w:tcW w:w="3960" w:type="dxa"/>
            <w:tcBorders>
              <w:bottom w:val="single" w:sz="12" w:space="0" w:color="000000"/>
            </w:tcBorders>
          </w:tcPr>
          <w:p w14:paraId="512E5D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00" w:type="dxa"/>
            <w:tcBorders>
              <w:bottom w:val="single" w:sz="12" w:space="0" w:color="000000"/>
            </w:tcBorders>
          </w:tcPr>
          <w:p w14:paraId="7AB4A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1150{2}</w:t>
            </w:r>
          </w:p>
        </w:tc>
        <w:tc>
          <w:tcPr>
            <w:tcW w:w="990" w:type="dxa"/>
            <w:tcBorders>
              <w:bottom w:val="single" w:sz="12" w:space="0" w:color="000000"/>
            </w:tcBorders>
          </w:tcPr>
          <w:p w14:paraId="7F83C8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396</w:t>
            </w:r>
          </w:p>
        </w:tc>
        <w:tc>
          <w:tcPr>
            <w:tcW w:w="900" w:type="dxa"/>
            <w:tcBorders>
              <w:bottom w:val="single" w:sz="12" w:space="0" w:color="000000"/>
            </w:tcBorders>
          </w:tcPr>
          <w:p w14:paraId="7DA953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516</w:t>
            </w:r>
          </w:p>
        </w:tc>
        <w:tc>
          <w:tcPr>
            <w:tcW w:w="990" w:type="dxa"/>
            <w:tcBorders>
              <w:bottom w:val="single" w:sz="12" w:space="0" w:color="000000"/>
            </w:tcBorders>
          </w:tcPr>
          <w:p w14:paraId="63E5C7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554</w:t>
            </w:r>
          </w:p>
        </w:tc>
        <w:tc>
          <w:tcPr>
            <w:tcW w:w="810" w:type="dxa"/>
            <w:tcBorders>
              <w:bottom w:val="single" w:sz="12" w:space="0" w:color="000000"/>
            </w:tcBorders>
          </w:tcPr>
          <w:p w14:paraId="012005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809" w:type="dxa"/>
            <w:tcBorders>
              <w:bottom w:val="single" w:sz="12" w:space="0" w:color="000000"/>
            </w:tcBorders>
          </w:tcPr>
          <w:p w14:paraId="4481B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2776</w:t>
            </w:r>
          </w:p>
        </w:tc>
      </w:tr>
    </w:tbl>
    <w:p w14:paraId="4CBE6EF0"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Библиотека штаба Дальней авиации, инв.№ 2491, лл.1-18.</w:t>
      </w:r>
    </w:p>
    <w:p w14:paraId="40B2B8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Сведений о потерях по типам самолетов нет (11016).</w:t>
      </w:r>
    </w:p>
    <w:p w14:paraId="236521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потери ВВС КА по типам самолетов и годам Великой Отечественной войны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960"/>
        <w:gridCol w:w="900"/>
        <w:gridCol w:w="990"/>
        <w:gridCol w:w="919"/>
        <w:gridCol w:w="1003"/>
        <w:gridCol w:w="13"/>
        <w:gridCol w:w="740"/>
        <w:gridCol w:w="6"/>
        <w:gridCol w:w="830"/>
      </w:tblGrid>
      <w:tr w:rsidR="000F5689" w:rsidRPr="00925F26" w14:paraId="7ABBED02" w14:textId="77777777" w:rsidTr="00665165">
        <w:tc>
          <w:tcPr>
            <w:tcW w:w="3960" w:type="dxa"/>
            <w:tcBorders>
              <w:top w:val="single" w:sz="12" w:space="0" w:color="000000"/>
            </w:tcBorders>
          </w:tcPr>
          <w:p w14:paraId="79D2FB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типов самолетов по родам авиации</w:t>
            </w:r>
          </w:p>
        </w:tc>
        <w:tc>
          <w:tcPr>
            <w:tcW w:w="900" w:type="dxa"/>
            <w:gridSpan w:val="8"/>
            <w:tcBorders>
              <w:top w:val="single" w:sz="12" w:space="0" w:color="000000"/>
            </w:tcBorders>
          </w:tcPr>
          <w:p w14:paraId="2DFDC0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потери</w:t>
            </w:r>
          </w:p>
        </w:tc>
      </w:tr>
      <w:tr w:rsidR="000F5689" w:rsidRPr="00925F26" w14:paraId="5A283BCF" w14:textId="77777777" w:rsidTr="00665165">
        <w:tc>
          <w:tcPr>
            <w:tcW w:w="3960" w:type="dxa"/>
          </w:tcPr>
          <w:p w14:paraId="16804F3A"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536C3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90" w:type="dxa"/>
            <w:gridSpan w:val="7"/>
          </w:tcPr>
          <w:p w14:paraId="791FF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том числе</w:t>
            </w:r>
          </w:p>
        </w:tc>
      </w:tr>
      <w:tr w:rsidR="000F5689" w:rsidRPr="00925F26" w14:paraId="4A0C34CA" w14:textId="77777777">
        <w:tc>
          <w:tcPr>
            <w:tcW w:w="3960" w:type="dxa"/>
          </w:tcPr>
          <w:p w14:paraId="548B5F45" w14:textId="77777777" w:rsidR="00665165" w:rsidRPr="00925F26" w:rsidRDefault="00665165" w:rsidP="00925F26">
            <w:pPr>
              <w:autoSpaceDE w:val="0"/>
              <w:autoSpaceDN w:val="0"/>
              <w:adjustRightInd w:val="0"/>
              <w:jc w:val="both"/>
              <w:rPr>
                <w:color w:val="000000" w:themeColor="text1"/>
                <w:sz w:val="16"/>
                <w:szCs w:val="16"/>
              </w:rPr>
            </w:pPr>
          </w:p>
        </w:tc>
        <w:tc>
          <w:tcPr>
            <w:tcW w:w="900" w:type="dxa"/>
          </w:tcPr>
          <w:p w14:paraId="01D2C990" w14:textId="77777777" w:rsidR="00665165" w:rsidRPr="00925F26" w:rsidRDefault="00665165" w:rsidP="00925F26">
            <w:pPr>
              <w:autoSpaceDE w:val="0"/>
              <w:autoSpaceDN w:val="0"/>
              <w:adjustRightInd w:val="0"/>
              <w:jc w:val="both"/>
              <w:rPr>
                <w:color w:val="000000" w:themeColor="text1"/>
                <w:sz w:val="16"/>
                <w:szCs w:val="16"/>
              </w:rPr>
            </w:pPr>
          </w:p>
        </w:tc>
        <w:tc>
          <w:tcPr>
            <w:tcW w:w="990" w:type="dxa"/>
          </w:tcPr>
          <w:p w14:paraId="0E8B5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w:t>
            </w:r>
          </w:p>
        </w:tc>
        <w:tc>
          <w:tcPr>
            <w:tcW w:w="919" w:type="dxa"/>
          </w:tcPr>
          <w:p w14:paraId="12ABA0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1003" w:type="dxa"/>
          </w:tcPr>
          <w:p w14:paraId="5D36A0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759" w:type="dxa"/>
            <w:gridSpan w:val="3"/>
          </w:tcPr>
          <w:p w14:paraId="13C121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830" w:type="dxa"/>
          </w:tcPr>
          <w:p w14:paraId="731D67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r>
      <w:tr w:rsidR="000F5689" w:rsidRPr="00925F26" w14:paraId="5286310D" w14:textId="77777777" w:rsidTr="00665165">
        <w:tc>
          <w:tcPr>
            <w:tcW w:w="3960" w:type="dxa"/>
            <w:gridSpan w:val="9"/>
          </w:tcPr>
          <w:p w14:paraId="515204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r>
      <w:tr w:rsidR="000F5689" w:rsidRPr="00925F26" w14:paraId="118626A6" w14:textId="77777777">
        <w:tc>
          <w:tcPr>
            <w:tcW w:w="3960" w:type="dxa"/>
          </w:tcPr>
          <w:p w14:paraId="01149B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900" w:type="dxa"/>
          </w:tcPr>
          <w:p w14:paraId="0EA477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2784</w:t>
            </w:r>
          </w:p>
        </w:tc>
        <w:tc>
          <w:tcPr>
            <w:tcW w:w="990" w:type="dxa"/>
          </w:tcPr>
          <w:p w14:paraId="568403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522</w:t>
            </w:r>
          </w:p>
        </w:tc>
        <w:tc>
          <w:tcPr>
            <w:tcW w:w="919" w:type="dxa"/>
          </w:tcPr>
          <w:p w14:paraId="21958C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665</w:t>
            </w:r>
          </w:p>
        </w:tc>
        <w:tc>
          <w:tcPr>
            <w:tcW w:w="1003" w:type="dxa"/>
          </w:tcPr>
          <w:p w14:paraId="013F67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721</w:t>
            </w:r>
          </w:p>
        </w:tc>
        <w:tc>
          <w:tcPr>
            <w:tcW w:w="759" w:type="dxa"/>
            <w:gridSpan w:val="3"/>
          </w:tcPr>
          <w:p w14:paraId="787A3E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518</w:t>
            </w:r>
          </w:p>
        </w:tc>
        <w:tc>
          <w:tcPr>
            <w:tcW w:w="830" w:type="dxa"/>
          </w:tcPr>
          <w:p w14:paraId="04CEED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358</w:t>
            </w:r>
          </w:p>
        </w:tc>
      </w:tr>
      <w:tr w:rsidR="000F5689" w:rsidRPr="00925F26" w14:paraId="1FC49FF8" w14:textId="77777777">
        <w:tc>
          <w:tcPr>
            <w:tcW w:w="3960" w:type="dxa"/>
          </w:tcPr>
          <w:p w14:paraId="62855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Пе-3</w:t>
            </w:r>
          </w:p>
        </w:tc>
        <w:tc>
          <w:tcPr>
            <w:tcW w:w="900" w:type="dxa"/>
          </w:tcPr>
          <w:p w14:paraId="30AEF6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w:t>
            </w:r>
          </w:p>
        </w:tc>
        <w:tc>
          <w:tcPr>
            <w:tcW w:w="990" w:type="dxa"/>
          </w:tcPr>
          <w:p w14:paraId="433BC1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919" w:type="dxa"/>
          </w:tcPr>
          <w:p w14:paraId="668B1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1003" w:type="dxa"/>
          </w:tcPr>
          <w:p w14:paraId="01CC7E13"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1D0D414C"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208EC26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A907627" w14:textId="77777777">
        <w:tc>
          <w:tcPr>
            <w:tcW w:w="3960" w:type="dxa"/>
          </w:tcPr>
          <w:p w14:paraId="5539A9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w:t>
            </w:r>
          </w:p>
        </w:tc>
        <w:tc>
          <w:tcPr>
            <w:tcW w:w="900" w:type="dxa"/>
          </w:tcPr>
          <w:p w14:paraId="202AC3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990" w:type="dxa"/>
          </w:tcPr>
          <w:p w14:paraId="238F0C63"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41DB06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1003" w:type="dxa"/>
          </w:tcPr>
          <w:p w14:paraId="0AA018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759" w:type="dxa"/>
            <w:gridSpan w:val="3"/>
          </w:tcPr>
          <w:p w14:paraId="3ACC3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830" w:type="dxa"/>
          </w:tcPr>
          <w:p w14:paraId="467E69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777E831D" w14:textId="77777777">
        <w:tc>
          <w:tcPr>
            <w:tcW w:w="3960" w:type="dxa"/>
          </w:tcPr>
          <w:p w14:paraId="1311A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СБ</w:t>
            </w:r>
          </w:p>
        </w:tc>
        <w:tc>
          <w:tcPr>
            <w:tcW w:w="900" w:type="dxa"/>
          </w:tcPr>
          <w:p w14:paraId="276645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1934</w:t>
            </w:r>
          </w:p>
        </w:tc>
        <w:tc>
          <w:tcPr>
            <w:tcW w:w="990" w:type="dxa"/>
          </w:tcPr>
          <w:p w14:paraId="19755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1746</w:t>
            </w:r>
          </w:p>
        </w:tc>
        <w:tc>
          <w:tcPr>
            <w:tcW w:w="919" w:type="dxa"/>
          </w:tcPr>
          <w:p w14:paraId="455746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173</w:t>
            </w:r>
          </w:p>
        </w:tc>
        <w:tc>
          <w:tcPr>
            <w:tcW w:w="1003" w:type="dxa"/>
          </w:tcPr>
          <w:p w14:paraId="403534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759" w:type="dxa"/>
            <w:gridSpan w:val="3"/>
          </w:tcPr>
          <w:p w14:paraId="54303849"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58EC2CC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1ABC0A0" w14:textId="77777777">
        <w:tc>
          <w:tcPr>
            <w:tcW w:w="3960" w:type="dxa"/>
          </w:tcPr>
          <w:p w14:paraId="4B78F1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Су-2</w:t>
            </w:r>
          </w:p>
        </w:tc>
        <w:tc>
          <w:tcPr>
            <w:tcW w:w="900" w:type="dxa"/>
          </w:tcPr>
          <w:p w14:paraId="79E553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w:t>
            </w:r>
          </w:p>
        </w:tc>
        <w:tc>
          <w:tcPr>
            <w:tcW w:w="990" w:type="dxa"/>
          </w:tcPr>
          <w:p w14:paraId="6DC450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w:t>
            </w:r>
          </w:p>
        </w:tc>
        <w:tc>
          <w:tcPr>
            <w:tcW w:w="919" w:type="dxa"/>
          </w:tcPr>
          <w:p w14:paraId="1F41A8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1003" w:type="dxa"/>
          </w:tcPr>
          <w:p w14:paraId="34E338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759" w:type="dxa"/>
            <w:gridSpan w:val="3"/>
          </w:tcPr>
          <w:p w14:paraId="0BFBFAEB"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5CD5D07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EA2A744" w14:textId="77777777">
        <w:tc>
          <w:tcPr>
            <w:tcW w:w="3960" w:type="dxa"/>
          </w:tcPr>
          <w:p w14:paraId="05096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900" w:type="dxa"/>
          </w:tcPr>
          <w:p w14:paraId="54D888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990" w:type="dxa"/>
          </w:tcPr>
          <w:p w14:paraId="120B358A"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53119F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003" w:type="dxa"/>
          </w:tcPr>
          <w:p w14:paraId="661C71E7"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6C4A9C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830" w:type="dxa"/>
          </w:tcPr>
          <w:p w14:paraId="0551CF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r>
      <w:tr w:rsidR="000F5689" w:rsidRPr="00925F26" w14:paraId="3C25EB1E" w14:textId="77777777">
        <w:tc>
          <w:tcPr>
            <w:tcW w:w="3960" w:type="dxa"/>
          </w:tcPr>
          <w:p w14:paraId="30F7B2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Ар-2</w:t>
            </w:r>
          </w:p>
        </w:tc>
        <w:tc>
          <w:tcPr>
            <w:tcW w:w="900" w:type="dxa"/>
          </w:tcPr>
          <w:p w14:paraId="2980C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990" w:type="dxa"/>
          </w:tcPr>
          <w:p w14:paraId="4D3AE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919" w:type="dxa"/>
          </w:tcPr>
          <w:p w14:paraId="6897E698"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26764550"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224DDDB7"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203F6C2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09864BF" w14:textId="77777777">
        <w:tc>
          <w:tcPr>
            <w:tcW w:w="3960" w:type="dxa"/>
          </w:tcPr>
          <w:p w14:paraId="15B99F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Як-4</w:t>
            </w:r>
          </w:p>
        </w:tc>
        <w:tc>
          <w:tcPr>
            <w:tcW w:w="900" w:type="dxa"/>
          </w:tcPr>
          <w:p w14:paraId="0D2A29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990" w:type="dxa"/>
          </w:tcPr>
          <w:p w14:paraId="2577BE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919" w:type="dxa"/>
          </w:tcPr>
          <w:p w14:paraId="7DD748CB"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47109ED0"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63A97032"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764217C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C210A67" w14:textId="77777777">
        <w:tc>
          <w:tcPr>
            <w:tcW w:w="3960" w:type="dxa"/>
          </w:tcPr>
          <w:p w14:paraId="515DD9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ДБ-3 (Ил-4)</w:t>
            </w:r>
          </w:p>
        </w:tc>
        <w:tc>
          <w:tcPr>
            <w:tcW w:w="900" w:type="dxa"/>
          </w:tcPr>
          <w:p w14:paraId="18742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w:t>
            </w:r>
          </w:p>
        </w:tc>
        <w:tc>
          <w:tcPr>
            <w:tcW w:w="990" w:type="dxa"/>
          </w:tcPr>
          <w:p w14:paraId="3AED2B43"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37A18F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003" w:type="dxa"/>
          </w:tcPr>
          <w:p w14:paraId="4C06D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759" w:type="dxa"/>
            <w:gridSpan w:val="3"/>
          </w:tcPr>
          <w:p w14:paraId="3DA4EE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830" w:type="dxa"/>
          </w:tcPr>
          <w:p w14:paraId="7B51CC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w:t>
            </w:r>
          </w:p>
        </w:tc>
      </w:tr>
      <w:tr w:rsidR="000F5689" w:rsidRPr="00925F26" w14:paraId="642F99BF" w14:textId="77777777">
        <w:tc>
          <w:tcPr>
            <w:tcW w:w="3960" w:type="dxa"/>
          </w:tcPr>
          <w:p w14:paraId="6A98C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А-20-Б, Ж</w:t>
            </w:r>
          </w:p>
        </w:tc>
        <w:tc>
          <w:tcPr>
            <w:tcW w:w="900" w:type="dxa"/>
          </w:tcPr>
          <w:p w14:paraId="025050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223</w:t>
            </w:r>
          </w:p>
        </w:tc>
        <w:tc>
          <w:tcPr>
            <w:tcW w:w="990" w:type="dxa"/>
          </w:tcPr>
          <w:p w14:paraId="5E33106D"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680A05CE"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638DA9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w:t>
            </w:r>
          </w:p>
        </w:tc>
        <w:tc>
          <w:tcPr>
            <w:tcW w:w="759" w:type="dxa"/>
            <w:gridSpan w:val="3"/>
          </w:tcPr>
          <w:p w14:paraId="4CA76C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830" w:type="dxa"/>
          </w:tcPr>
          <w:p w14:paraId="4E0656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r>
      <w:tr w:rsidR="000F5689" w:rsidRPr="00925F26" w14:paraId="25F1DD90" w14:textId="77777777">
        <w:tc>
          <w:tcPr>
            <w:tcW w:w="3960" w:type="dxa"/>
          </w:tcPr>
          <w:p w14:paraId="112A2D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Б-3</w:t>
            </w:r>
          </w:p>
        </w:tc>
        <w:tc>
          <w:tcPr>
            <w:tcW w:w="900" w:type="dxa"/>
          </w:tcPr>
          <w:p w14:paraId="1A0E03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381</w:t>
            </w:r>
          </w:p>
        </w:tc>
        <w:tc>
          <w:tcPr>
            <w:tcW w:w="990" w:type="dxa"/>
          </w:tcPr>
          <w:p w14:paraId="26AC8B7A"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446F9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w:t>
            </w:r>
          </w:p>
        </w:tc>
        <w:tc>
          <w:tcPr>
            <w:tcW w:w="1003" w:type="dxa"/>
          </w:tcPr>
          <w:p w14:paraId="07DD06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w:t>
            </w:r>
          </w:p>
        </w:tc>
        <w:tc>
          <w:tcPr>
            <w:tcW w:w="759" w:type="dxa"/>
            <w:gridSpan w:val="3"/>
          </w:tcPr>
          <w:p w14:paraId="455723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830" w:type="dxa"/>
          </w:tcPr>
          <w:p w14:paraId="3AF00B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r>
      <w:tr w:rsidR="000F5689" w:rsidRPr="00925F26" w14:paraId="5095A5D3" w14:textId="77777777">
        <w:tc>
          <w:tcPr>
            <w:tcW w:w="3960" w:type="dxa"/>
          </w:tcPr>
          <w:p w14:paraId="4ACD95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Б-25</w:t>
            </w:r>
          </w:p>
        </w:tc>
        <w:tc>
          <w:tcPr>
            <w:tcW w:w="900" w:type="dxa"/>
          </w:tcPr>
          <w:p w14:paraId="4BF8FE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990" w:type="dxa"/>
          </w:tcPr>
          <w:p w14:paraId="2A441427"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10C5DD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003" w:type="dxa"/>
          </w:tcPr>
          <w:p w14:paraId="11C12756"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3A0ED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830" w:type="dxa"/>
          </w:tcPr>
          <w:p w14:paraId="66EA9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r>
      <w:tr w:rsidR="000F5689" w:rsidRPr="00925F26" w14:paraId="60D3673A" w14:textId="77777777">
        <w:tc>
          <w:tcPr>
            <w:tcW w:w="3960" w:type="dxa"/>
          </w:tcPr>
          <w:p w14:paraId="18076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00" w:type="dxa"/>
          </w:tcPr>
          <w:p w14:paraId="6F2A7B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6086</w:t>
            </w:r>
          </w:p>
        </w:tc>
        <w:tc>
          <w:tcPr>
            <w:tcW w:w="990" w:type="dxa"/>
          </w:tcPr>
          <w:p w14:paraId="4BC3B7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2659</w:t>
            </w:r>
          </w:p>
        </w:tc>
        <w:tc>
          <w:tcPr>
            <w:tcW w:w="919" w:type="dxa"/>
          </w:tcPr>
          <w:p w14:paraId="2E5426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1145</w:t>
            </w:r>
          </w:p>
        </w:tc>
        <w:tc>
          <w:tcPr>
            <w:tcW w:w="1003" w:type="dxa"/>
          </w:tcPr>
          <w:p w14:paraId="6D6175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940</w:t>
            </w:r>
          </w:p>
        </w:tc>
        <w:tc>
          <w:tcPr>
            <w:tcW w:w="759" w:type="dxa"/>
            <w:gridSpan w:val="3"/>
          </w:tcPr>
          <w:p w14:paraId="4EF1A9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751</w:t>
            </w:r>
          </w:p>
        </w:tc>
        <w:tc>
          <w:tcPr>
            <w:tcW w:w="830" w:type="dxa"/>
          </w:tcPr>
          <w:p w14:paraId="2804F2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591</w:t>
            </w:r>
          </w:p>
        </w:tc>
      </w:tr>
      <w:tr w:rsidR="000F5689" w:rsidRPr="00925F26" w14:paraId="178E316C" w14:textId="77777777" w:rsidTr="00665165">
        <w:tc>
          <w:tcPr>
            <w:tcW w:w="3960" w:type="dxa"/>
            <w:gridSpan w:val="9"/>
          </w:tcPr>
          <w:p w14:paraId="292BFC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r>
      <w:tr w:rsidR="000F5689" w:rsidRPr="00925F26" w14:paraId="26583B2F" w14:textId="77777777">
        <w:tc>
          <w:tcPr>
            <w:tcW w:w="3960" w:type="dxa"/>
          </w:tcPr>
          <w:p w14:paraId="450AB3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Ил-10</w:t>
            </w:r>
          </w:p>
        </w:tc>
        <w:tc>
          <w:tcPr>
            <w:tcW w:w="900" w:type="dxa"/>
          </w:tcPr>
          <w:p w14:paraId="469EE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10762</w:t>
            </w:r>
          </w:p>
        </w:tc>
        <w:tc>
          <w:tcPr>
            <w:tcW w:w="990" w:type="dxa"/>
          </w:tcPr>
          <w:p w14:paraId="589636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533</w:t>
            </w:r>
          </w:p>
        </w:tc>
        <w:tc>
          <w:tcPr>
            <w:tcW w:w="919" w:type="dxa"/>
          </w:tcPr>
          <w:p w14:paraId="15C3C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1676</w:t>
            </w:r>
          </w:p>
        </w:tc>
        <w:tc>
          <w:tcPr>
            <w:tcW w:w="1003" w:type="dxa"/>
          </w:tcPr>
          <w:p w14:paraId="126D6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3515</w:t>
            </w:r>
          </w:p>
        </w:tc>
        <w:tc>
          <w:tcPr>
            <w:tcW w:w="759" w:type="dxa"/>
            <w:gridSpan w:val="3"/>
          </w:tcPr>
          <w:p w14:paraId="0A9065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3347</w:t>
            </w:r>
          </w:p>
        </w:tc>
        <w:tc>
          <w:tcPr>
            <w:tcW w:w="830" w:type="dxa"/>
          </w:tcPr>
          <w:p w14:paraId="60909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1691</w:t>
            </w:r>
          </w:p>
        </w:tc>
      </w:tr>
      <w:tr w:rsidR="000F5689" w:rsidRPr="00925F26" w14:paraId="28595238" w14:textId="77777777" w:rsidTr="00665165">
        <w:tc>
          <w:tcPr>
            <w:tcW w:w="3960" w:type="dxa"/>
            <w:gridSpan w:val="9"/>
          </w:tcPr>
          <w:p w14:paraId="21E34E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r>
      <w:tr w:rsidR="000F5689" w:rsidRPr="00925F26" w14:paraId="081AF073" w14:textId="77777777">
        <w:tc>
          <w:tcPr>
            <w:tcW w:w="3960" w:type="dxa"/>
          </w:tcPr>
          <w:p w14:paraId="05B3E4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w:t>
            </w:r>
          </w:p>
        </w:tc>
        <w:tc>
          <w:tcPr>
            <w:tcW w:w="900" w:type="dxa"/>
          </w:tcPr>
          <w:p w14:paraId="615E01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3336</w:t>
            </w:r>
          </w:p>
        </w:tc>
        <w:tc>
          <w:tcPr>
            <w:tcW w:w="990" w:type="dxa"/>
          </w:tcPr>
          <w:p w14:paraId="6E7770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325</w:t>
            </w:r>
          </w:p>
        </w:tc>
        <w:tc>
          <w:tcPr>
            <w:tcW w:w="919" w:type="dxa"/>
          </w:tcPr>
          <w:p w14:paraId="771F3C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1301</w:t>
            </w:r>
          </w:p>
        </w:tc>
        <w:tc>
          <w:tcPr>
            <w:tcW w:w="1003" w:type="dxa"/>
          </w:tcPr>
          <w:p w14:paraId="046CC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1056</w:t>
            </w:r>
          </w:p>
        </w:tc>
        <w:tc>
          <w:tcPr>
            <w:tcW w:w="759" w:type="dxa"/>
            <w:gridSpan w:val="3"/>
          </w:tcPr>
          <w:p w14:paraId="5D70B0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575</w:t>
            </w:r>
          </w:p>
        </w:tc>
        <w:tc>
          <w:tcPr>
            <w:tcW w:w="830" w:type="dxa"/>
          </w:tcPr>
          <w:p w14:paraId="47399B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r>
      <w:tr w:rsidR="000F5689" w:rsidRPr="00925F26" w14:paraId="732B4AE5" w14:textId="77777777">
        <w:tc>
          <w:tcPr>
            <w:tcW w:w="3960" w:type="dxa"/>
          </w:tcPr>
          <w:p w14:paraId="0C8731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900" w:type="dxa"/>
          </w:tcPr>
          <w:p w14:paraId="398712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w:t>
            </w:r>
          </w:p>
        </w:tc>
        <w:tc>
          <w:tcPr>
            <w:tcW w:w="990" w:type="dxa"/>
          </w:tcPr>
          <w:p w14:paraId="0DE16B20"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1BD7618D"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30C6172B"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3A73A8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w:t>
            </w:r>
          </w:p>
        </w:tc>
        <w:tc>
          <w:tcPr>
            <w:tcW w:w="830" w:type="dxa"/>
          </w:tcPr>
          <w:p w14:paraId="020ACB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r>
      <w:tr w:rsidR="000F5689" w:rsidRPr="00925F26" w14:paraId="0EEEFAD4" w14:textId="77777777">
        <w:tc>
          <w:tcPr>
            <w:tcW w:w="3960" w:type="dxa"/>
          </w:tcPr>
          <w:p w14:paraId="5EE530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Як-7</w:t>
            </w:r>
          </w:p>
        </w:tc>
        <w:tc>
          <w:tcPr>
            <w:tcW w:w="900" w:type="dxa"/>
          </w:tcPr>
          <w:p w14:paraId="198CF6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1385</w:t>
            </w:r>
          </w:p>
        </w:tc>
        <w:tc>
          <w:tcPr>
            <w:tcW w:w="990" w:type="dxa"/>
          </w:tcPr>
          <w:p w14:paraId="4FEB5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19" w:type="dxa"/>
          </w:tcPr>
          <w:p w14:paraId="125593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1003" w:type="dxa"/>
          </w:tcPr>
          <w:p w14:paraId="7813F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857</w:t>
            </w:r>
          </w:p>
        </w:tc>
        <w:tc>
          <w:tcPr>
            <w:tcW w:w="759" w:type="dxa"/>
            <w:gridSpan w:val="3"/>
          </w:tcPr>
          <w:p w14:paraId="3078A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245</w:t>
            </w:r>
          </w:p>
        </w:tc>
        <w:tc>
          <w:tcPr>
            <w:tcW w:w="830" w:type="dxa"/>
          </w:tcPr>
          <w:p w14:paraId="20A256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r>
      <w:tr w:rsidR="000F5689" w:rsidRPr="00925F26" w14:paraId="34FCBD0D" w14:textId="77777777">
        <w:tc>
          <w:tcPr>
            <w:tcW w:w="3960" w:type="dxa"/>
          </w:tcPr>
          <w:p w14:paraId="01195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w:t>
            </w:r>
          </w:p>
        </w:tc>
        <w:tc>
          <w:tcPr>
            <w:tcW w:w="900" w:type="dxa"/>
          </w:tcPr>
          <w:p w14:paraId="44A73A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1821</w:t>
            </w:r>
          </w:p>
        </w:tc>
        <w:tc>
          <w:tcPr>
            <w:tcW w:w="990" w:type="dxa"/>
          </w:tcPr>
          <w:p w14:paraId="5E73ECD8"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2051F61C"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035B49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383</w:t>
            </w:r>
          </w:p>
        </w:tc>
        <w:tc>
          <w:tcPr>
            <w:tcW w:w="759" w:type="dxa"/>
            <w:gridSpan w:val="3"/>
          </w:tcPr>
          <w:p w14:paraId="60169F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990</w:t>
            </w:r>
          </w:p>
        </w:tc>
        <w:tc>
          <w:tcPr>
            <w:tcW w:w="830" w:type="dxa"/>
          </w:tcPr>
          <w:p w14:paraId="5EE93E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448</w:t>
            </w:r>
          </w:p>
        </w:tc>
      </w:tr>
      <w:tr w:rsidR="000F5689" w:rsidRPr="00925F26" w14:paraId="6FCC1F23" w14:textId="77777777">
        <w:tc>
          <w:tcPr>
            <w:tcW w:w="3960" w:type="dxa"/>
          </w:tcPr>
          <w:p w14:paraId="5EED6B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Ла-5</w:t>
            </w:r>
          </w:p>
        </w:tc>
        <w:tc>
          <w:tcPr>
            <w:tcW w:w="900" w:type="dxa"/>
          </w:tcPr>
          <w:p w14:paraId="555117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2591</w:t>
            </w:r>
          </w:p>
        </w:tc>
        <w:tc>
          <w:tcPr>
            <w:tcW w:w="990" w:type="dxa"/>
          </w:tcPr>
          <w:p w14:paraId="2305CF0B"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30E49D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1003" w:type="dxa"/>
          </w:tcPr>
          <w:p w14:paraId="4D71B2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1460</w:t>
            </w:r>
          </w:p>
        </w:tc>
        <w:tc>
          <w:tcPr>
            <w:tcW w:w="759" w:type="dxa"/>
            <w:gridSpan w:val="3"/>
          </w:tcPr>
          <w:p w14:paraId="1DDFD4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825</w:t>
            </w:r>
          </w:p>
        </w:tc>
        <w:tc>
          <w:tcPr>
            <w:tcW w:w="830" w:type="dxa"/>
          </w:tcPr>
          <w:p w14:paraId="2EE3AF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233</w:t>
            </w:r>
          </w:p>
        </w:tc>
      </w:tr>
      <w:tr w:rsidR="000F5689" w:rsidRPr="00925F26" w14:paraId="6AEDB064" w14:textId="77777777">
        <w:tc>
          <w:tcPr>
            <w:tcW w:w="3960" w:type="dxa"/>
          </w:tcPr>
          <w:p w14:paraId="04D368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900" w:type="dxa"/>
          </w:tcPr>
          <w:p w14:paraId="3D4C32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990" w:type="dxa"/>
          </w:tcPr>
          <w:p w14:paraId="2F4618D9"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2F341B05"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7CFD4EA7"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1CBF53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830" w:type="dxa"/>
          </w:tcPr>
          <w:p w14:paraId="72F638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r>
      <w:tr w:rsidR="000F5689" w:rsidRPr="00925F26" w14:paraId="11E0D905" w14:textId="77777777">
        <w:tc>
          <w:tcPr>
            <w:tcW w:w="3960" w:type="dxa"/>
          </w:tcPr>
          <w:p w14:paraId="3B94D4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ЛаГГ-3</w:t>
            </w:r>
          </w:p>
        </w:tc>
        <w:tc>
          <w:tcPr>
            <w:tcW w:w="900" w:type="dxa"/>
          </w:tcPr>
          <w:p w14:paraId="57B698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1852</w:t>
            </w:r>
          </w:p>
        </w:tc>
        <w:tc>
          <w:tcPr>
            <w:tcW w:w="990" w:type="dxa"/>
          </w:tcPr>
          <w:p w14:paraId="12F2D6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349</w:t>
            </w:r>
          </w:p>
        </w:tc>
        <w:tc>
          <w:tcPr>
            <w:tcW w:w="919" w:type="dxa"/>
          </w:tcPr>
          <w:p w14:paraId="090B84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1101</w:t>
            </w:r>
          </w:p>
        </w:tc>
        <w:tc>
          <w:tcPr>
            <w:tcW w:w="1003" w:type="dxa"/>
          </w:tcPr>
          <w:p w14:paraId="19D69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307</w:t>
            </w:r>
          </w:p>
        </w:tc>
        <w:tc>
          <w:tcPr>
            <w:tcW w:w="759" w:type="dxa"/>
            <w:gridSpan w:val="3"/>
          </w:tcPr>
          <w:p w14:paraId="58C50F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830" w:type="dxa"/>
          </w:tcPr>
          <w:p w14:paraId="1AFDB3A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D0ACDED" w14:textId="77777777">
        <w:tc>
          <w:tcPr>
            <w:tcW w:w="3960" w:type="dxa"/>
          </w:tcPr>
          <w:p w14:paraId="79F24A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МиГ-3</w:t>
            </w:r>
          </w:p>
        </w:tc>
        <w:tc>
          <w:tcPr>
            <w:tcW w:w="900" w:type="dxa"/>
          </w:tcPr>
          <w:p w14:paraId="5F2B12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1432</w:t>
            </w:r>
          </w:p>
        </w:tc>
        <w:tc>
          <w:tcPr>
            <w:tcW w:w="990" w:type="dxa"/>
          </w:tcPr>
          <w:p w14:paraId="127755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1214</w:t>
            </w:r>
          </w:p>
        </w:tc>
        <w:tc>
          <w:tcPr>
            <w:tcW w:w="919" w:type="dxa"/>
          </w:tcPr>
          <w:p w14:paraId="070D73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218</w:t>
            </w:r>
          </w:p>
        </w:tc>
        <w:tc>
          <w:tcPr>
            <w:tcW w:w="1003" w:type="dxa"/>
          </w:tcPr>
          <w:p w14:paraId="2A19ADFF"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3634E68E"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267DA40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F934CA3" w14:textId="77777777">
        <w:tc>
          <w:tcPr>
            <w:tcW w:w="3960" w:type="dxa"/>
          </w:tcPr>
          <w:p w14:paraId="628AE3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И-16</w:t>
            </w:r>
          </w:p>
        </w:tc>
        <w:tc>
          <w:tcPr>
            <w:tcW w:w="900" w:type="dxa"/>
          </w:tcPr>
          <w:p w14:paraId="053631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1523</w:t>
            </w:r>
          </w:p>
        </w:tc>
        <w:tc>
          <w:tcPr>
            <w:tcW w:w="990" w:type="dxa"/>
          </w:tcPr>
          <w:p w14:paraId="0B258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1207</w:t>
            </w:r>
          </w:p>
        </w:tc>
        <w:tc>
          <w:tcPr>
            <w:tcW w:w="919" w:type="dxa"/>
          </w:tcPr>
          <w:p w14:paraId="38E9AF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255</w:t>
            </w:r>
          </w:p>
        </w:tc>
        <w:tc>
          <w:tcPr>
            <w:tcW w:w="1003" w:type="dxa"/>
          </w:tcPr>
          <w:p w14:paraId="77F0A2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w:t>
            </w:r>
          </w:p>
        </w:tc>
        <w:tc>
          <w:tcPr>
            <w:tcW w:w="759" w:type="dxa"/>
            <w:gridSpan w:val="3"/>
          </w:tcPr>
          <w:p w14:paraId="65938809"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67D69EB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26B082B" w14:textId="77777777">
        <w:tc>
          <w:tcPr>
            <w:tcW w:w="3960" w:type="dxa"/>
          </w:tcPr>
          <w:p w14:paraId="40EFDC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И-153</w:t>
            </w:r>
          </w:p>
        </w:tc>
        <w:tc>
          <w:tcPr>
            <w:tcW w:w="900" w:type="dxa"/>
          </w:tcPr>
          <w:p w14:paraId="4CEF2C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1190</w:t>
            </w:r>
          </w:p>
        </w:tc>
        <w:tc>
          <w:tcPr>
            <w:tcW w:w="990" w:type="dxa"/>
          </w:tcPr>
          <w:p w14:paraId="0E9996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973</w:t>
            </w:r>
          </w:p>
        </w:tc>
        <w:tc>
          <w:tcPr>
            <w:tcW w:w="919" w:type="dxa"/>
          </w:tcPr>
          <w:p w14:paraId="3526A9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177</w:t>
            </w:r>
          </w:p>
        </w:tc>
        <w:tc>
          <w:tcPr>
            <w:tcW w:w="1003" w:type="dxa"/>
          </w:tcPr>
          <w:p w14:paraId="273EF5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759" w:type="dxa"/>
            <w:gridSpan w:val="3"/>
          </w:tcPr>
          <w:p w14:paraId="3558F703"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3109075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845CB3D" w14:textId="77777777">
        <w:tc>
          <w:tcPr>
            <w:tcW w:w="3960" w:type="dxa"/>
          </w:tcPr>
          <w:p w14:paraId="1F252D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И-15</w:t>
            </w:r>
          </w:p>
        </w:tc>
        <w:tc>
          <w:tcPr>
            <w:tcW w:w="900" w:type="dxa"/>
          </w:tcPr>
          <w:p w14:paraId="7053D1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375</w:t>
            </w:r>
          </w:p>
        </w:tc>
        <w:tc>
          <w:tcPr>
            <w:tcW w:w="990" w:type="dxa"/>
          </w:tcPr>
          <w:p w14:paraId="5A9DCF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332</w:t>
            </w:r>
          </w:p>
        </w:tc>
        <w:tc>
          <w:tcPr>
            <w:tcW w:w="919" w:type="dxa"/>
          </w:tcPr>
          <w:p w14:paraId="731CFD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1003" w:type="dxa"/>
          </w:tcPr>
          <w:p w14:paraId="3A290D20"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53E94896"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379272A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3C925A5" w14:textId="77777777">
        <w:tc>
          <w:tcPr>
            <w:tcW w:w="3960" w:type="dxa"/>
          </w:tcPr>
          <w:p w14:paraId="789290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И-5</w:t>
            </w:r>
          </w:p>
        </w:tc>
        <w:tc>
          <w:tcPr>
            <w:tcW w:w="900" w:type="dxa"/>
          </w:tcPr>
          <w:p w14:paraId="29C6A7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990" w:type="dxa"/>
          </w:tcPr>
          <w:p w14:paraId="45057C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919" w:type="dxa"/>
          </w:tcPr>
          <w:p w14:paraId="7E88A4A2"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5B20D283"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1538C894"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3E73993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439C986" w14:textId="77777777">
        <w:tc>
          <w:tcPr>
            <w:tcW w:w="3960" w:type="dxa"/>
          </w:tcPr>
          <w:p w14:paraId="06B62F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Аэрокобра</w:t>
            </w:r>
          </w:p>
        </w:tc>
        <w:tc>
          <w:tcPr>
            <w:tcW w:w="900" w:type="dxa"/>
          </w:tcPr>
          <w:p w14:paraId="164015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1030</w:t>
            </w:r>
          </w:p>
        </w:tc>
        <w:tc>
          <w:tcPr>
            <w:tcW w:w="990" w:type="dxa"/>
          </w:tcPr>
          <w:p w14:paraId="33783DA7"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26E20A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1003" w:type="dxa"/>
          </w:tcPr>
          <w:p w14:paraId="48B050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w:t>
            </w:r>
          </w:p>
        </w:tc>
        <w:tc>
          <w:tcPr>
            <w:tcW w:w="759" w:type="dxa"/>
            <w:gridSpan w:val="3"/>
          </w:tcPr>
          <w:p w14:paraId="2F1120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486</w:t>
            </w:r>
          </w:p>
        </w:tc>
        <w:tc>
          <w:tcPr>
            <w:tcW w:w="830" w:type="dxa"/>
          </w:tcPr>
          <w:p w14:paraId="3F261D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r>
      <w:tr w:rsidR="000F5689" w:rsidRPr="00925F26" w14:paraId="60F992E3" w14:textId="77777777">
        <w:tc>
          <w:tcPr>
            <w:tcW w:w="3960" w:type="dxa"/>
          </w:tcPr>
          <w:p w14:paraId="27F4D7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Харрикейн</w:t>
            </w:r>
          </w:p>
        </w:tc>
        <w:tc>
          <w:tcPr>
            <w:tcW w:w="900" w:type="dxa"/>
          </w:tcPr>
          <w:p w14:paraId="76F917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341</w:t>
            </w:r>
          </w:p>
        </w:tc>
        <w:tc>
          <w:tcPr>
            <w:tcW w:w="990" w:type="dxa"/>
          </w:tcPr>
          <w:p w14:paraId="4D06D4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19" w:type="dxa"/>
          </w:tcPr>
          <w:p w14:paraId="1A0B6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c>
          <w:tcPr>
            <w:tcW w:w="1003" w:type="dxa"/>
          </w:tcPr>
          <w:p w14:paraId="42D3E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759" w:type="dxa"/>
            <w:gridSpan w:val="3"/>
          </w:tcPr>
          <w:p w14:paraId="561DE5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830" w:type="dxa"/>
          </w:tcPr>
          <w:p w14:paraId="53E706B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7A25983" w14:textId="77777777">
        <w:tc>
          <w:tcPr>
            <w:tcW w:w="3960" w:type="dxa"/>
          </w:tcPr>
          <w:p w14:paraId="61850A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Киттихаук</w:t>
            </w:r>
          </w:p>
        </w:tc>
        <w:tc>
          <w:tcPr>
            <w:tcW w:w="900" w:type="dxa"/>
          </w:tcPr>
          <w:p w14:paraId="47F82E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219</w:t>
            </w:r>
          </w:p>
        </w:tc>
        <w:tc>
          <w:tcPr>
            <w:tcW w:w="990" w:type="dxa"/>
          </w:tcPr>
          <w:p w14:paraId="172263EF"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1D6082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c>
          <w:tcPr>
            <w:tcW w:w="1003" w:type="dxa"/>
          </w:tcPr>
          <w:p w14:paraId="1A6F7E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w:t>
            </w:r>
          </w:p>
        </w:tc>
        <w:tc>
          <w:tcPr>
            <w:tcW w:w="759" w:type="dxa"/>
            <w:gridSpan w:val="3"/>
          </w:tcPr>
          <w:p w14:paraId="425E4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830" w:type="dxa"/>
          </w:tcPr>
          <w:p w14:paraId="35479EC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3E05E29" w14:textId="77777777">
        <w:tc>
          <w:tcPr>
            <w:tcW w:w="3960" w:type="dxa"/>
          </w:tcPr>
          <w:p w14:paraId="4A50B2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Томагаук</w:t>
            </w:r>
          </w:p>
        </w:tc>
        <w:tc>
          <w:tcPr>
            <w:tcW w:w="900" w:type="dxa"/>
          </w:tcPr>
          <w:p w14:paraId="14E3B0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990" w:type="dxa"/>
          </w:tcPr>
          <w:p w14:paraId="7E0932A5"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41E8DD40"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1D7CBD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759" w:type="dxa"/>
            <w:gridSpan w:val="3"/>
          </w:tcPr>
          <w:p w14:paraId="556ED0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830" w:type="dxa"/>
          </w:tcPr>
          <w:p w14:paraId="174F2F9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94CC03A" w14:textId="77777777">
        <w:tc>
          <w:tcPr>
            <w:tcW w:w="3960" w:type="dxa"/>
          </w:tcPr>
          <w:p w14:paraId="618923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Кертисс</w:t>
            </w:r>
          </w:p>
        </w:tc>
        <w:tc>
          <w:tcPr>
            <w:tcW w:w="900" w:type="dxa"/>
          </w:tcPr>
          <w:p w14:paraId="651994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90" w:type="dxa"/>
          </w:tcPr>
          <w:p w14:paraId="2164EAAC"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378B8F38"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00021CCE" w14:textId="77777777" w:rsidR="00665165" w:rsidRPr="00925F26" w:rsidRDefault="00665165" w:rsidP="00925F26">
            <w:pPr>
              <w:autoSpaceDE w:val="0"/>
              <w:autoSpaceDN w:val="0"/>
              <w:adjustRightInd w:val="0"/>
              <w:jc w:val="both"/>
              <w:rPr>
                <w:color w:val="000000" w:themeColor="text1"/>
                <w:sz w:val="16"/>
                <w:szCs w:val="16"/>
              </w:rPr>
            </w:pPr>
          </w:p>
        </w:tc>
        <w:tc>
          <w:tcPr>
            <w:tcW w:w="759" w:type="dxa"/>
            <w:gridSpan w:val="3"/>
          </w:tcPr>
          <w:p w14:paraId="6C17CC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830" w:type="dxa"/>
          </w:tcPr>
          <w:p w14:paraId="681D5B8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2C53D72" w14:textId="77777777">
        <w:tc>
          <w:tcPr>
            <w:tcW w:w="3960" w:type="dxa"/>
          </w:tcPr>
          <w:p w14:paraId="207752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Спитфайер</w:t>
            </w:r>
          </w:p>
        </w:tc>
        <w:tc>
          <w:tcPr>
            <w:tcW w:w="900" w:type="dxa"/>
          </w:tcPr>
          <w:p w14:paraId="1CAF70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990" w:type="dxa"/>
          </w:tcPr>
          <w:p w14:paraId="1184D157" w14:textId="77777777" w:rsidR="00665165" w:rsidRPr="00925F26" w:rsidRDefault="00665165" w:rsidP="00925F26">
            <w:pPr>
              <w:autoSpaceDE w:val="0"/>
              <w:autoSpaceDN w:val="0"/>
              <w:adjustRightInd w:val="0"/>
              <w:jc w:val="both"/>
              <w:rPr>
                <w:color w:val="000000" w:themeColor="text1"/>
                <w:sz w:val="16"/>
                <w:szCs w:val="16"/>
              </w:rPr>
            </w:pPr>
          </w:p>
        </w:tc>
        <w:tc>
          <w:tcPr>
            <w:tcW w:w="919" w:type="dxa"/>
          </w:tcPr>
          <w:p w14:paraId="2F5F9F71" w14:textId="77777777" w:rsidR="00665165" w:rsidRPr="00925F26" w:rsidRDefault="00665165" w:rsidP="00925F26">
            <w:pPr>
              <w:autoSpaceDE w:val="0"/>
              <w:autoSpaceDN w:val="0"/>
              <w:adjustRightInd w:val="0"/>
              <w:jc w:val="both"/>
              <w:rPr>
                <w:color w:val="000000" w:themeColor="text1"/>
                <w:sz w:val="16"/>
                <w:szCs w:val="16"/>
              </w:rPr>
            </w:pPr>
          </w:p>
        </w:tc>
        <w:tc>
          <w:tcPr>
            <w:tcW w:w="1003" w:type="dxa"/>
          </w:tcPr>
          <w:p w14:paraId="02748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759" w:type="dxa"/>
            <w:gridSpan w:val="3"/>
          </w:tcPr>
          <w:p w14:paraId="4C1EDBE3" w14:textId="77777777" w:rsidR="00665165" w:rsidRPr="00925F26" w:rsidRDefault="00665165" w:rsidP="00925F26">
            <w:pPr>
              <w:autoSpaceDE w:val="0"/>
              <w:autoSpaceDN w:val="0"/>
              <w:adjustRightInd w:val="0"/>
              <w:jc w:val="both"/>
              <w:rPr>
                <w:color w:val="000000" w:themeColor="text1"/>
                <w:sz w:val="16"/>
                <w:szCs w:val="16"/>
              </w:rPr>
            </w:pPr>
          </w:p>
        </w:tc>
        <w:tc>
          <w:tcPr>
            <w:tcW w:w="830" w:type="dxa"/>
          </w:tcPr>
          <w:p w14:paraId="56E6793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54D975B" w14:textId="77777777">
        <w:tc>
          <w:tcPr>
            <w:tcW w:w="3960" w:type="dxa"/>
          </w:tcPr>
          <w:p w14:paraId="43D332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00" w:type="dxa"/>
          </w:tcPr>
          <w:p w14:paraId="18331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17468</w:t>
            </w:r>
          </w:p>
        </w:tc>
        <w:tc>
          <w:tcPr>
            <w:tcW w:w="990" w:type="dxa"/>
          </w:tcPr>
          <w:p w14:paraId="7B97DF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4416</w:t>
            </w:r>
          </w:p>
        </w:tc>
        <w:tc>
          <w:tcPr>
            <w:tcW w:w="919" w:type="dxa"/>
          </w:tcPr>
          <w:p w14:paraId="0C5E42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3888</w:t>
            </w:r>
          </w:p>
        </w:tc>
        <w:tc>
          <w:tcPr>
            <w:tcW w:w="1003" w:type="dxa"/>
          </w:tcPr>
          <w:p w14:paraId="172EA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4642</w:t>
            </w:r>
          </w:p>
        </w:tc>
        <w:tc>
          <w:tcPr>
            <w:tcW w:w="759" w:type="dxa"/>
            <w:gridSpan w:val="3"/>
          </w:tcPr>
          <w:p w14:paraId="74310C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3331</w:t>
            </w:r>
          </w:p>
        </w:tc>
        <w:tc>
          <w:tcPr>
            <w:tcW w:w="830" w:type="dxa"/>
          </w:tcPr>
          <w:p w14:paraId="18CC6B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1191</w:t>
            </w:r>
          </w:p>
        </w:tc>
      </w:tr>
      <w:tr w:rsidR="000F5689" w:rsidRPr="00925F26" w14:paraId="74C3F1D8" w14:textId="77777777" w:rsidTr="00665165">
        <w:tc>
          <w:tcPr>
            <w:tcW w:w="3960" w:type="dxa"/>
            <w:gridSpan w:val="9"/>
          </w:tcPr>
          <w:p w14:paraId="3CB487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ПРОЧИЕ САМОЛЕТЫ</w:t>
            </w:r>
          </w:p>
        </w:tc>
      </w:tr>
      <w:tr w:rsidR="000F5689" w:rsidRPr="00925F26" w14:paraId="7FD51B1F" w14:textId="77777777">
        <w:tc>
          <w:tcPr>
            <w:tcW w:w="3960" w:type="dxa"/>
          </w:tcPr>
          <w:p w14:paraId="1C21DA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Р-5, Р-3ет, ССС, Р-10</w:t>
            </w:r>
          </w:p>
        </w:tc>
        <w:tc>
          <w:tcPr>
            <w:tcW w:w="900" w:type="dxa"/>
          </w:tcPr>
          <w:p w14:paraId="59D43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481</w:t>
            </w:r>
          </w:p>
        </w:tc>
        <w:tc>
          <w:tcPr>
            <w:tcW w:w="990" w:type="dxa"/>
          </w:tcPr>
          <w:p w14:paraId="3CEB41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919" w:type="dxa"/>
          </w:tcPr>
          <w:p w14:paraId="28338C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269</w:t>
            </w:r>
          </w:p>
        </w:tc>
        <w:tc>
          <w:tcPr>
            <w:tcW w:w="1016" w:type="dxa"/>
            <w:gridSpan w:val="2"/>
          </w:tcPr>
          <w:p w14:paraId="5C9340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740" w:type="dxa"/>
          </w:tcPr>
          <w:p w14:paraId="181E54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831" w:type="dxa"/>
            <w:gridSpan w:val="2"/>
          </w:tcPr>
          <w:p w14:paraId="5E8A6F1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7ABC87B" w14:textId="77777777">
        <w:tc>
          <w:tcPr>
            <w:tcW w:w="3960" w:type="dxa"/>
          </w:tcPr>
          <w:p w14:paraId="2D7E7C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w:t>
            </w:r>
          </w:p>
        </w:tc>
        <w:tc>
          <w:tcPr>
            <w:tcW w:w="900" w:type="dxa"/>
          </w:tcPr>
          <w:p w14:paraId="688B9C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2060</w:t>
            </w:r>
          </w:p>
        </w:tc>
        <w:tc>
          <w:tcPr>
            <w:tcW w:w="990" w:type="dxa"/>
          </w:tcPr>
          <w:p w14:paraId="4EF796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w:t>
            </w:r>
          </w:p>
        </w:tc>
        <w:tc>
          <w:tcPr>
            <w:tcW w:w="919" w:type="dxa"/>
          </w:tcPr>
          <w:p w14:paraId="0B66E0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1038</w:t>
            </w:r>
          </w:p>
        </w:tc>
        <w:tc>
          <w:tcPr>
            <w:tcW w:w="1016" w:type="dxa"/>
            <w:gridSpan w:val="2"/>
          </w:tcPr>
          <w:p w14:paraId="04CC55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389</w:t>
            </w:r>
          </w:p>
        </w:tc>
        <w:tc>
          <w:tcPr>
            <w:tcW w:w="740" w:type="dxa"/>
          </w:tcPr>
          <w:p w14:paraId="2DFAB3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413</w:t>
            </w:r>
          </w:p>
        </w:tc>
        <w:tc>
          <w:tcPr>
            <w:tcW w:w="831" w:type="dxa"/>
            <w:gridSpan w:val="2"/>
          </w:tcPr>
          <w:p w14:paraId="05C8E9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w:t>
            </w:r>
          </w:p>
        </w:tc>
      </w:tr>
      <w:tr w:rsidR="000F5689" w:rsidRPr="00925F26" w14:paraId="409AFE15" w14:textId="77777777">
        <w:tc>
          <w:tcPr>
            <w:tcW w:w="3960" w:type="dxa"/>
          </w:tcPr>
          <w:p w14:paraId="6436DA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Другие типы самолетов</w:t>
            </w:r>
          </w:p>
        </w:tc>
        <w:tc>
          <w:tcPr>
            <w:tcW w:w="900" w:type="dxa"/>
          </w:tcPr>
          <w:p w14:paraId="27661C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w:t>
            </w:r>
          </w:p>
        </w:tc>
        <w:tc>
          <w:tcPr>
            <w:tcW w:w="990" w:type="dxa"/>
          </w:tcPr>
          <w:p w14:paraId="13604E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w:t>
            </w:r>
          </w:p>
        </w:tc>
        <w:tc>
          <w:tcPr>
            <w:tcW w:w="919" w:type="dxa"/>
          </w:tcPr>
          <w:p w14:paraId="70AA32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152</w:t>
            </w:r>
          </w:p>
        </w:tc>
        <w:tc>
          <w:tcPr>
            <w:tcW w:w="1016" w:type="dxa"/>
            <w:gridSpan w:val="2"/>
          </w:tcPr>
          <w:p w14:paraId="4C5C6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740" w:type="dxa"/>
          </w:tcPr>
          <w:p w14:paraId="1017EF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831" w:type="dxa"/>
            <w:gridSpan w:val="2"/>
          </w:tcPr>
          <w:p w14:paraId="0151F7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50E28AB7" w14:textId="77777777">
        <w:tc>
          <w:tcPr>
            <w:tcW w:w="3960" w:type="dxa"/>
          </w:tcPr>
          <w:p w14:paraId="15124A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Итого:</w:t>
            </w:r>
          </w:p>
        </w:tc>
        <w:tc>
          <w:tcPr>
            <w:tcW w:w="900" w:type="dxa"/>
          </w:tcPr>
          <w:p w14:paraId="79BAC1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2849</w:t>
            </w:r>
          </w:p>
        </w:tc>
        <w:tc>
          <w:tcPr>
            <w:tcW w:w="990" w:type="dxa"/>
          </w:tcPr>
          <w:p w14:paraId="0C975F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415</w:t>
            </w:r>
          </w:p>
        </w:tc>
        <w:tc>
          <w:tcPr>
            <w:tcW w:w="919" w:type="dxa"/>
          </w:tcPr>
          <w:p w14:paraId="262BFD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1459</w:t>
            </w:r>
          </w:p>
        </w:tc>
        <w:tc>
          <w:tcPr>
            <w:tcW w:w="1016" w:type="dxa"/>
            <w:gridSpan w:val="2"/>
          </w:tcPr>
          <w:p w14:paraId="00A7CB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446</w:t>
            </w:r>
          </w:p>
        </w:tc>
        <w:tc>
          <w:tcPr>
            <w:tcW w:w="740" w:type="dxa"/>
          </w:tcPr>
          <w:p w14:paraId="403883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432</w:t>
            </w:r>
          </w:p>
        </w:tc>
        <w:tc>
          <w:tcPr>
            <w:tcW w:w="831" w:type="dxa"/>
            <w:gridSpan w:val="2"/>
          </w:tcPr>
          <w:p w14:paraId="531467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w:t>
            </w:r>
          </w:p>
        </w:tc>
      </w:tr>
      <w:tr w:rsidR="000F5689" w:rsidRPr="00925F26" w14:paraId="2B679DBF" w14:textId="77777777">
        <w:tc>
          <w:tcPr>
            <w:tcW w:w="3960" w:type="dxa"/>
            <w:tcBorders>
              <w:bottom w:val="single" w:sz="12" w:space="0" w:color="000000"/>
            </w:tcBorders>
          </w:tcPr>
          <w:p w14:paraId="1DF07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по ВВС:</w:t>
            </w:r>
          </w:p>
        </w:tc>
        <w:tc>
          <w:tcPr>
            <w:tcW w:w="900" w:type="dxa"/>
            <w:tcBorders>
              <w:bottom w:val="single" w:sz="12" w:space="0" w:color="000000"/>
            </w:tcBorders>
          </w:tcPr>
          <w:p w14:paraId="2CEFC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37165</w:t>
            </w:r>
          </w:p>
        </w:tc>
        <w:tc>
          <w:tcPr>
            <w:tcW w:w="990" w:type="dxa"/>
            <w:tcBorders>
              <w:bottom w:val="single" w:sz="12" w:space="0" w:color="000000"/>
            </w:tcBorders>
          </w:tcPr>
          <w:p w14:paraId="06651B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8023</w:t>
            </w:r>
          </w:p>
        </w:tc>
        <w:tc>
          <w:tcPr>
            <w:tcW w:w="919" w:type="dxa"/>
            <w:tcBorders>
              <w:bottom w:val="single" w:sz="12" w:space="0" w:color="000000"/>
            </w:tcBorders>
          </w:tcPr>
          <w:p w14:paraId="6FCEFA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8168</w:t>
            </w:r>
          </w:p>
        </w:tc>
        <w:tc>
          <w:tcPr>
            <w:tcW w:w="1016" w:type="dxa"/>
            <w:gridSpan w:val="2"/>
            <w:tcBorders>
              <w:bottom w:val="single" w:sz="12" w:space="0" w:color="000000"/>
            </w:tcBorders>
          </w:tcPr>
          <w:p w14:paraId="726D4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9543</w:t>
            </w:r>
          </w:p>
        </w:tc>
        <w:tc>
          <w:tcPr>
            <w:tcW w:w="740" w:type="dxa"/>
            <w:tcBorders>
              <w:bottom w:val="single" w:sz="12" w:space="0" w:color="000000"/>
            </w:tcBorders>
          </w:tcPr>
          <w:p w14:paraId="64C4D7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7861</w:t>
            </w:r>
          </w:p>
        </w:tc>
        <w:tc>
          <w:tcPr>
            <w:tcW w:w="831" w:type="dxa"/>
            <w:gridSpan w:val="2"/>
            <w:tcBorders>
              <w:bottom w:val="single" w:sz="12" w:space="0" w:color="000000"/>
            </w:tcBorders>
          </w:tcPr>
          <w:p w14:paraId="6E96D4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3570</w:t>
            </w:r>
          </w:p>
        </w:tc>
      </w:tr>
    </w:tbl>
    <w:p w14:paraId="411B750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Отчет Оперативного управления штаба ВВС КА, инв.№ 77, лл.1-91, отчет отдела учета самолетов и моторов Главного инженера ВВС, инв.№ 366, лл.1-98.</w:t>
      </w:r>
    </w:p>
    <w:p w14:paraId="5565D381"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{2} Потери истребителей, действовавших в качестве штурмовиков, не учтены в связи с отсутствием данных. Они показаны в третьем разделе таблицы, т.е. в потерях истребителей (11016). </w:t>
      </w:r>
    </w:p>
    <w:p w14:paraId="3E6FD1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в ВВС КА отечественных самолетов за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532"/>
        <w:gridCol w:w="66"/>
        <w:gridCol w:w="360"/>
        <w:gridCol w:w="124"/>
        <w:gridCol w:w="550"/>
        <w:gridCol w:w="47"/>
        <w:gridCol w:w="360"/>
        <w:gridCol w:w="143"/>
        <w:gridCol w:w="550"/>
        <w:gridCol w:w="28"/>
        <w:gridCol w:w="450"/>
        <w:gridCol w:w="72"/>
        <w:gridCol w:w="550"/>
        <w:gridCol w:w="99"/>
        <w:gridCol w:w="451"/>
        <w:gridCol w:w="550"/>
        <w:gridCol w:w="171"/>
        <w:gridCol w:w="360"/>
        <w:gridCol w:w="19"/>
        <w:gridCol w:w="550"/>
        <w:gridCol w:w="152"/>
        <w:gridCol w:w="450"/>
        <w:gridCol w:w="58"/>
        <w:gridCol w:w="663"/>
      </w:tblGrid>
      <w:tr w:rsidR="000F5689" w:rsidRPr="00925F26" w14:paraId="4E941D2A" w14:textId="77777777" w:rsidTr="00665165">
        <w:tc>
          <w:tcPr>
            <w:tcW w:w="2598" w:type="dxa"/>
            <w:gridSpan w:val="2"/>
            <w:tcBorders>
              <w:top w:val="single" w:sz="12" w:space="0" w:color="000000"/>
            </w:tcBorders>
          </w:tcPr>
          <w:p w14:paraId="62CAF3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типов самолетов</w:t>
            </w:r>
          </w:p>
        </w:tc>
        <w:tc>
          <w:tcPr>
            <w:tcW w:w="360" w:type="dxa"/>
            <w:gridSpan w:val="22"/>
            <w:tcBorders>
              <w:top w:val="single" w:sz="12" w:space="0" w:color="000000"/>
            </w:tcBorders>
          </w:tcPr>
          <w:p w14:paraId="1EDAE5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самолетов по годам</w:t>
            </w:r>
          </w:p>
        </w:tc>
      </w:tr>
      <w:tr w:rsidR="000F5689" w:rsidRPr="00925F26" w14:paraId="143219AF" w14:textId="77777777" w:rsidTr="00665165">
        <w:tc>
          <w:tcPr>
            <w:tcW w:w="2598" w:type="dxa"/>
            <w:gridSpan w:val="2"/>
          </w:tcPr>
          <w:p w14:paraId="232FC4BA" w14:textId="77777777" w:rsidR="00665165" w:rsidRPr="00925F26" w:rsidRDefault="00665165" w:rsidP="00925F26">
            <w:pPr>
              <w:autoSpaceDE w:val="0"/>
              <w:autoSpaceDN w:val="0"/>
              <w:adjustRightInd w:val="0"/>
              <w:jc w:val="both"/>
              <w:rPr>
                <w:color w:val="000000" w:themeColor="text1"/>
                <w:sz w:val="16"/>
                <w:szCs w:val="16"/>
              </w:rPr>
            </w:pPr>
          </w:p>
        </w:tc>
        <w:tc>
          <w:tcPr>
            <w:tcW w:w="360" w:type="dxa"/>
            <w:gridSpan w:val="4"/>
          </w:tcPr>
          <w:p w14:paraId="7A9ADF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год</w:t>
            </w:r>
          </w:p>
        </w:tc>
        <w:tc>
          <w:tcPr>
            <w:tcW w:w="360" w:type="dxa"/>
            <w:gridSpan w:val="4"/>
          </w:tcPr>
          <w:p w14:paraId="22849E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год</w:t>
            </w:r>
          </w:p>
        </w:tc>
        <w:tc>
          <w:tcPr>
            <w:tcW w:w="450" w:type="dxa"/>
            <w:gridSpan w:val="4"/>
          </w:tcPr>
          <w:p w14:paraId="54C0C7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год</w:t>
            </w:r>
          </w:p>
        </w:tc>
        <w:tc>
          <w:tcPr>
            <w:tcW w:w="450" w:type="dxa"/>
            <w:gridSpan w:val="3"/>
          </w:tcPr>
          <w:p w14:paraId="02AE71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год</w:t>
            </w:r>
          </w:p>
        </w:tc>
        <w:tc>
          <w:tcPr>
            <w:tcW w:w="360" w:type="dxa"/>
            <w:gridSpan w:val="4"/>
          </w:tcPr>
          <w:p w14:paraId="7941D5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год</w:t>
            </w:r>
          </w:p>
        </w:tc>
        <w:tc>
          <w:tcPr>
            <w:tcW w:w="450" w:type="dxa"/>
            <w:gridSpan w:val="3"/>
          </w:tcPr>
          <w:p w14:paraId="6DB357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044256E9" w14:textId="77777777">
        <w:tc>
          <w:tcPr>
            <w:tcW w:w="2598" w:type="dxa"/>
            <w:gridSpan w:val="2"/>
          </w:tcPr>
          <w:p w14:paraId="61100C3D"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3FB26C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721" w:type="dxa"/>
            <w:gridSpan w:val="3"/>
          </w:tcPr>
          <w:p w14:paraId="3B0503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w:t>
            </w:r>
          </w:p>
        </w:tc>
        <w:tc>
          <w:tcPr>
            <w:tcW w:w="360" w:type="dxa"/>
          </w:tcPr>
          <w:p w14:paraId="4A5909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721" w:type="dxa"/>
            <w:gridSpan w:val="3"/>
          </w:tcPr>
          <w:p w14:paraId="54CBA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w:t>
            </w:r>
          </w:p>
        </w:tc>
        <w:tc>
          <w:tcPr>
            <w:tcW w:w="450" w:type="dxa"/>
          </w:tcPr>
          <w:p w14:paraId="22D8F2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721" w:type="dxa"/>
            <w:gridSpan w:val="3"/>
          </w:tcPr>
          <w:p w14:paraId="77D4E0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w:t>
            </w:r>
          </w:p>
        </w:tc>
        <w:tc>
          <w:tcPr>
            <w:tcW w:w="450" w:type="dxa"/>
          </w:tcPr>
          <w:p w14:paraId="3CB639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721" w:type="dxa"/>
            <w:gridSpan w:val="2"/>
          </w:tcPr>
          <w:p w14:paraId="35B61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w:t>
            </w:r>
          </w:p>
        </w:tc>
        <w:tc>
          <w:tcPr>
            <w:tcW w:w="360" w:type="dxa"/>
          </w:tcPr>
          <w:p w14:paraId="263AA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721" w:type="dxa"/>
            <w:gridSpan w:val="3"/>
          </w:tcPr>
          <w:p w14:paraId="3425C2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w:t>
            </w:r>
          </w:p>
        </w:tc>
        <w:tc>
          <w:tcPr>
            <w:tcW w:w="450" w:type="dxa"/>
          </w:tcPr>
          <w:p w14:paraId="279079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721" w:type="dxa"/>
            <w:gridSpan w:val="2"/>
          </w:tcPr>
          <w:p w14:paraId="6C8D4F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поставки</w:t>
            </w:r>
          </w:p>
        </w:tc>
      </w:tr>
      <w:tr w:rsidR="000F5689" w:rsidRPr="00925F26" w14:paraId="060F7DD6" w14:textId="77777777" w:rsidTr="00665165">
        <w:tc>
          <w:tcPr>
            <w:tcW w:w="2598" w:type="dxa"/>
            <w:gridSpan w:val="24"/>
          </w:tcPr>
          <w:p w14:paraId="000CC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r>
      <w:tr w:rsidR="000F5689" w:rsidRPr="00925F26" w14:paraId="43680DBF" w14:textId="77777777">
        <w:tc>
          <w:tcPr>
            <w:tcW w:w="2598" w:type="dxa"/>
            <w:gridSpan w:val="2"/>
          </w:tcPr>
          <w:p w14:paraId="1B5B3A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СБ</w:t>
            </w:r>
          </w:p>
        </w:tc>
        <w:tc>
          <w:tcPr>
            <w:tcW w:w="360" w:type="dxa"/>
          </w:tcPr>
          <w:p w14:paraId="15F1A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w:t>
            </w:r>
          </w:p>
        </w:tc>
        <w:tc>
          <w:tcPr>
            <w:tcW w:w="721" w:type="dxa"/>
            <w:gridSpan w:val="3"/>
          </w:tcPr>
          <w:p w14:paraId="72216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w:t>
            </w:r>
          </w:p>
        </w:tc>
        <w:tc>
          <w:tcPr>
            <w:tcW w:w="360" w:type="dxa"/>
          </w:tcPr>
          <w:p w14:paraId="05864FC6"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0CAF15B5"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33E06BC4"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4392FBB8"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78CFA08D"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2"/>
          </w:tcPr>
          <w:p w14:paraId="504F31D7"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0937DF3F"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3F7C3B12"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1BF2EA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w:t>
            </w:r>
          </w:p>
        </w:tc>
        <w:tc>
          <w:tcPr>
            <w:tcW w:w="721" w:type="dxa"/>
            <w:gridSpan w:val="2"/>
          </w:tcPr>
          <w:p w14:paraId="5118E7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w:t>
            </w:r>
          </w:p>
        </w:tc>
      </w:tr>
      <w:tr w:rsidR="000F5689" w:rsidRPr="00925F26" w14:paraId="13480859" w14:textId="77777777">
        <w:tc>
          <w:tcPr>
            <w:tcW w:w="2598" w:type="dxa"/>
            <w:gridSpan w:val="2"/>
          </w:tcPr>
          <w:p w14:paraId="09E41E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Ар-2</w:t>
            </w:r>
          </w:p>
        </w:tc>
        <w:tc>
          <w:tcPr>
            <w:tcW w:w="360" w:type="dxa"/>
          </w:tcPr>
          <w:p w14:paraId="0F796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721" w:type="dxa"/>
            <w:gridSpan w:val="3"/>
          </w:tcPr>
          <w:p w14:paraId="4090D8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c>
          <w:tcPr>
            <w:tcW w:w="360" w:type="dxa"/>
          </w:tcPr>
          <w:p w14:paraId="0FDFC1D0"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161B12BF"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27AAD61F"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5FE52798"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752CE53B"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2"/>
          </w:tcPr>
          <w:p w14:paraId="566301AB"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2F43D311"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5804F3C3"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51086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721" w:type="dxa"/>
            <w:gridSpan w:val="2"/>
          </w:tcPr>
          <w:p w14:paraId="4BB253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r>
      <w:tr w:rsidR="000F5689" w:rsidRPr="00925F26" w14:paraId="7D1D18D7" w14:textId="77777777">
        <w:tc>
          <w:tcPr>
            <w:tcW w:w="2598" w:type="dxa"/>
            <w:gridSpan w:val="2"/>
          </w:tcPr>
          <w:p w14:paraId="4D750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Як-4</w:t>
            </w:r>
          </w:p>
        </w:tc>
        <w:tc>
          <w:tcPr>
            <w:tcW w:w="360" w:type="dxa"/>
          </w:tcPr>
          <w:p w14:paraId="1DB1DE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21" w:type="dxa"/>
            <w:gridSpan w:val="3"/>
          </w:tcPr>
          <w:p w14:paraId="4BA799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360" w:type="dxa"/>
          </w:tcPr>
          <w:p w14:paraId="77BBD7A5"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7C4CD211"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2A23E391"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3DDE0239"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090828AA"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2"/>
          </w:tcPr>
          <w:p w14:paraId="190CC113"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1957BC0A"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55D57FB5"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7A9125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721" w:type="dxa"/>
            <w:gridSpan w:val="2"/>
          </w:tcPr>
          <w:p w14:paraId="2D6454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r>
      <w:tr w:rsidR="000F5689" w:rsidRPr="00925F26" w14:paraId="252289D7" w14:textId="77777777">
        <w:tc>
          <w:tcPr>
            <w:tcW w:w="2598" w:type="dxa"/>
            <w:gridSpan w:val="2"/>
          </w:tcPr>
          <w:p w14:paraId="604EF3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Су-2</w:t>
            </w:r>
          </w:p>
        </w:tc>
        <w:tc>
          <w:tcPr>
            <w:tcW w:w="360" w:type="dxa"/>
          </w:tcPr>
          <w:p w14:paraId="4FDBB3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1006</w:t>
            </w:r>
          </w:p>
        </w:tc>
        <w:tc>
          <w:tcPr>
            <w:tcW w:w="721" w:type="dxa"/>
            <w:gridSpan w:val="3"/>
          </w:tcPr>
          <w:p w14:paraId="3A7183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753</w:t>
            </w:r>
          </w:p>
        </w:tc>
        <w:tc>
          <w:tcPr>
            <w:tcW w:w="360" w:type="dxa"/>
          </w:tcPr>
          <w:p w14:paraId="2FCB7D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721" w:type="dxa"/>
            <w:gridSpan w:val="3"/>
          </w:tcPr>
          <w:p w14:paraId="2C98C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450" w:type="dxa"/>
          </w:tcPr>
          <w:p w14:paraId="7BFD294D"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3A26764B"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7094F6E1"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2"/>
          </w:tcPr>
          <w:p w14:paraId="1DD01B90"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53BE26AC"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40DE79A3"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31ED44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1046</w:t>
            </w:r>
          </w:p>
        </w:tc>
        <w:tc>
          <w:tcPr>
            <w:tcW w:w="721" w:type="dxa"/>
            <w:gridSpan w:val="2"/>
          </w:tcPr>
          <w:p w14:paraId="7661E8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793</w:t>
            </w:r>
          </w:p>
        </w:tc>
      </w:tr>
      <w:tr w:rsidR="000F5689" w:rsidRPr="00925F26" w14:paraId="790E3D7F" w14:textId="77777777">
        <w:tc>
          <w:tcPr>
            <w:tcW w:w="2598" w:type="dxa"/>
            <w:gridSpan w:val="2"/>
          </w:tcPr>
          <w:p w14:paraId="390EC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360" w:type="dxa"/>
          </w:tcPr>
          <w:p w14:paraId="080B6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2194</w:t>
            </w:r>
          </w:p>
        </w:tc>
        <w:tc>
          <w:tcPr>
            <w:tcW w:w="721" w:type="dxa"/>
            <w:gridSpan w:val="3"/>
          </w:tcPr>
          <w:p w14:paraId="37D1FF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1671</w:t>
            </w:r>
          </w:p>
        </w:tc>
        <w:tc>
          <w:tcPr>
            <w:tcW w:w="360" w:type="dxa"/>
          </w:tcPr>
          <w:p w14:paraId="0E4626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2293</w:t>
            </w:r>
          </w:p>
        </w:tc>
        <w:tc>
          <w:tcPr>
            <w:tcW w:w="721" w:type="dxa"/>
            <w:gridSpan w:val="3"/>
          </w:tcPr>
          <w:p w14:paraId="344B9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2336</w:t>
            </w:r>
          </w:p>
        </w:tc>
        <w:tc>
          <w:tcPr>
            <w:tcW w:w="450" w:type="dxa"/>
          </w:tcPr>
          <w:p w14:paraId="52185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2291</w:t>
            </w:r>
          </w:p>
        </w:tc>
        <w:tc>
          <w:tcPr>
            <w:tcW w:w="721" w:type="dxa"/>
            <w:gridSpan w:val="3"/>
          </w:tcPr>
          <w:p w14:paraId="0B3D93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2311</w:t>
            </w:r>
          </w:p>
        </w:tc>
        <w:tc>
          <w:tcPr>
            <w:tcW w:w="450" w:type="dxa"/>
          </w:tcPr>
          <w:p w14:paraId="546222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2782</w:t>
            </w:r>
          </w:p>
        </w:tc>
        <w:tc>
          <w:tcPr>
            <w:tcW w:w="721" w:type="dxa"/>
            <w:gridSpan w:val="2"/>
          </w:tcPr>
          <w:p w14:paraId="53C602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2805</w:t>
            </w:r>
          </w:p>
        </w:tc>
        <w:tc>
          <w:tcPr>
            <w:tcW w:w="360" w:type="dxa"/>
          </w:tcPr>
          <w:p w14:paraId="6E4A51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c>
          <w:tcPr>
            <w:tcW w:w="721" w:type="dxa"/>
            <w:gridSpan w:val="3"/>
          </w:tcPr>
          <w:p w14:paraId="342CD5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1208</w:t>
            </w:r>
          </w:p>
        </w:tc>
        <w:tc>
          <w:tcPr>
            <w:tcW w:w="450" w:type="dxa"/>
          </w:tcPr>
          <w:p w14:paraId="3702E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10720</w:t>
            </w:r>
          </w:p>
        </w:tc>
        <w:tc>
          <w:tcPr>
            <w:tcW w:w="721" w:type="dxa"/>
            <w:gridSpan w:val="2"/>
          </w:tcPr>
          <w:p w14:paraId="049591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10331</w:t>
            </w:r>
          </w:p>
        </w:tc>
      </w:tr>
      <w:tr w:rsidR="000F5689" w:rsidRPr="00925F26" w14:paraId="731DF7FC" w14:textId="77777777">
        <w:tc>
          <w:tcPr>
            <w:tcW w:w="2598" w:type="dxa"/>
            <w:gridSpan w:val="2"/>
          </w:tcPr>
          <w:p w14:paraId="325A1F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Пе-3</w:t>
            </w:r>
          </w:p>
        </w:tc>
        <w:tc>
          <w:tcPr>
            <w:tcW w:w="360" w:type="dxa"/>
          </w:tcPr>
          <w:p w14:paraId="4685E6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721" w:type="dxa"/>
            <w:gridSpan w:val="3"/>
          </w:tcPr>
          <w:p w14:paraId="19EAE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360" w:type="dxa"/>
          </w:tcPr>
          <w:p w14:paraId="6348FE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721" w:type="dxa"/>
            <w:gridSpan w:val="3"/>
          </w:tcPr>
          <w:p w14:paraId="02653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450" w:type="dxa"/>
          </w:tcPr>
          <w:p w14:paraId="7F685015"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5FD52B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450" w:type="dxa"/>
          </w:tcPr>
          <w:p w14:paraId="0FF546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721" w:type="dxa"/>
            <w:gridSpan w:val="2"/>
          </w:tcPr>
          <w:p w14:paraId="4FABBF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360" w:type="dxa"/>
          </w:tcPr>
          <w:p w14:paraId="0AD52B4F"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2EEB317E"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0FD686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w:t>
            </w:r>
          </w:p>
        </w:tc>
        <w:tc>
          <w:tcPr>
            <w:tcW w:w="721" w:type="dxa"/>
            <w:gridSpan w:val="2"/>
          </w:tcPr>
          <w:p w14:paraId="33F90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397</w:t>
            </w:r>
          </w:p>
        </w:tc>
      </w:tr>
      <w:tr w:rsidR="000F5689" w:rsidRPr="00925F26" w14:paraId="68105BA7" w14:textId="77777777">
        <w:tc>
          <w:tcPr>
            <w:tcW w:w="2598" w:type="dxa"/>
            <w:gridSpan w:val="2"/>
          </w:tcPr>
          <w:p w14:paraId="5FBF69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w:t>
            </w:r>
          </w:p>
        </w:tc>
        <w:tc>
          <w:tcPr>
            <w:tcW w:w="360" w:type="dxa"/>
          </w:tcPr>
          <w:p w14:paraId="4D3B22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721" w:type="dxa"/>
            <w:gridSpan w:val="3"/>
          </w:tcPr>
          <w:p w14:paraId="70A4AE86"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78C83F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721" w:type="dxa"/>
            <w:gridSpan w:val="3"/>
          </w:tcPr>
          <w:p w14:paraId="3532E5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c>
          <w:tcPr>
            <w:tcW w:w="450" w:type="dxa"/>
          </w:tcPr>
          <w:p w14:paraId="7CA55F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721" w:type="dxa"/>
            <w:gridSpan w:val="3"/>
          </w:tcPr>
          <w:p w14:paraId="6F3E4C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450" w:type="dxa"/>
          </w:tcPr>
          <w:p w14:paraId="440B8A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453</w:t>
            </w:r>
          </w:p>
        </w:tc>
        <w:tc>
          <w:tcPr>
            <w:tcW w:w="721" w:type="dxa"/>
            <w:gridSpan w:val="2"/>
          </w:tcPr>
          <w:p w14:paraId="09CC28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378</w:t>
            </w:r>
          </w:p>
        </w:tc>
        <w:tc>
          <w:tcPr>
            <w:tcW w:w="360" w:type="dxa"/>
          </w:tcPr>
          <w:p w14:paraId="78325A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w:t>
            </w:r>
          </w:p>
        </w:tc>
        <w:tc>
          <w:tcPr>
            <w:tcW w:w="721" w:type="dxa"/>
            <w:gridSpan w:val="3"/>
          </w:tcPr>
          <w:p w14:paraId="3ECD76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709</w:t>
            </w:r>
          </w:p>
        </w:tc>
        <w:tc>
          <w:tcPr>
            <w:tcW w:w="450" w:type="dxa"/>
          </w:tcPr>
          <w:p w14:paraId="6B510D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1479</w:t>
            </w:r>
          </w:p>
        </w:tc>
        <w:tc>
          <w:tcPr>
            <w:tcW w:w="721" w:type="dxa"/>
            <w:gridSpan w:val="2"/>
          </w:tcPr>
          <w:p w14:paraId="1F6E5D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1179</w:t>
            </w:r>
          </w:p>
        </w:tc>
      </w:tr>
      <w:tr w:rsidR="000F5689" w:rsidRPr="00925F26" w14:paraId="68A48A00" w14:textId="77777777">
        <w:tc>
          <w:tcPr>
            <w:tcW w:w="2598" w:type="dxa"/>
            <w:gridSpan w:val="2"/>
          </w:tcPr>
          <w:p w14:paraId="569916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w:t>
            </w:r>
          </w:p>
        </w:tc>
        <w:tc>
          <w:tcPr>
            <w:tcW w:w="360" w:type="dxa"/>
          </w:tcPr>
          <w:p w14:paraId="4A13FB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721" w:type="dxa"/>
            <w:gridSpan w:val="3"/>
          </w:tcPr>
          <w:p w14:paraId="7BAD90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360" w:type="dxa"/>
          </w:tcPr>
          <w:p w14:paraId="4C8693FF"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61E8815D"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2FB7C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721" w:type="dxa"/>
            <w:gridSpan w:val="3"/>
          </w:tcPr>
          <w:p w14:paraId="37E407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450" w:type="dxa"/>
          </w:tcPr>
          <w:p w14:paraId="41F63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225</w:t>
            </w:r>
          </w:p>
        </w:tc>
        <w:tc>
          <w:tcPr>
            <w:tcW w:w="721" w:type="dxa"/>
            <w:gridSpan w:val="2"/>
          </w:tcPr>
          <w:p w14:paraId="1E5EFC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w:t>
            </w:r>
          </w:p>
        </w:tc>
        <w:tc>
          <w:tcPr>
            <w:tcW w:w="360" w:type="dxa"/>
          </w:tcPr>
          <w:p w14:paraId="3CF6A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c>
          <w:tcPr>
            <w:tcW w:w="721" w:type="dxa"/>
            <w:gridSpan w:val="3"/>
          </w:tcPr>
          <w:p w14:paraId="5DAEE7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w:t>
            </w:r>
          </w:p>
        </w:tc>
        <w:tc>
          <w:tcPr>
            <w:tcW w:w="450" w:type="dxa"/>
          </w:tcPr>
          <w:p w14:paraId="19F5C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635</w:t>
            </w:r>
          </w:p>
        </w:tc>
        <w:tc>
          <w:tcPr>
            <w:tcW w:w="721" w:type="dxa"/>
            <w:gridSpan w:val="2"/>
          </w:tcPr>
          <w:p w14:paraId="055D55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458</w:t>
            </w:r>
          </w:p>
        </w:tc>
      </w:tr>
      <w:tr w:rsidR="000F5689" w:rsidRPr="00925F26" w14:paraId="1601B93B" w14:textId="77777777">
        <w:tc>
          <w:tcPr>
            <w:tcW w:w="2598" w:type="dxa"/>
            <w:gridSpan w:val="2"/>
          </w:tcPr>
          <w:p w14:paraId="0B4EFE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360" w:type="dxa"/>
          </w:tcPr>
          <w:p w14:paraId="708D73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772</w:t>
            </w:r>
          </w:p>
        </w:tc>
        <w:tc>
          <w:tcPr>
            <w:tcW w:w="721" w:type="dxa"/>
            <w:gridSpan w:val="3"/>
          </w:tcPr>
          <w:p w14:paraId="7DA2BB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757</w:t>
            </w:r>
          </w:p>
        </w:tc>
        <w:tc>
          <w:tcPr>
            <w:tcW w:w="360" w:type="dxa"/>
          </w:tcPr>
          <w:p w14:paraId="670106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874</w:t>
            </w:r>
          </w:p>
        </w:tc>
        <w:tc>
          <w:tcPr>
            <w:tcW w:w="721" w:type="dxa"/>
            <w:gridSpan w:val="3"/>
          </w:tcPr>
          <w:p w14:paraId="2D6642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853</w:t>
            </w:r>
          </w:p>
        </w:tc>
        <w:tc>
          <w:tcPr>
            <w:tcW w:w="450" w:type="dxa"/>
          </w:tcPr>
          <w:p w14:paraId="470637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1511</w:t>
            </w:r>
          </w:p>
        </w:tc>
        <w:tc>
          <w:tcPr>
            <w:tcW w:w="721" w:type="dxa"/>
            <w:gridSpan w:val="3"/>
          </w:tcPr>
          <w:p w14:paraId="548290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1561</w:t>
            </w:r>
          </w:p>
        </w:tc>
        <w:tc>
          <w:tcPr>
            <w:tcW w:w="450" w:type="dxa"/>
          </w:tcPr>
          <w:p w14:paraId="2FE30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731</w:t>
            </w:r>
          </w:p>
        </w:tc>
        <w:tc>
          <w:tcPr>
            <w:tcW w:w="721" w:type="dxa"/>
            <w:gridSpan w:val="2"/>
          </w:tcPr>
          <w:p w14:paraId="32C4C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706</w:t>
            </w:r>
          </w:p>
        </w:tc>
        <w:tc>
          <w:tcPr>
            <w:tcW w:w="360" w:type="dxa"/>
          </w:tcPr>
          <w:p w14:paraId="41CF51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452</w:t>
            </w:r>
          </w:p>
        </w:tc>
        <w:tc>
          <w:tcPr>
            <w:tcW w:w="721" w:type="dxa"/>
            <w:gridSpan w:val="3"/>
          </w:tcPr>
          <w:p w14:paraId="49814E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484</w:t>
            </w:r>
          </w:p>
        </w:tc>
        <w:tc>
          <w:tcPr>
            <w:tcW w:w="450" w:type="dxa"/>
          </w:tcPr>
          <w:p w14:paraId="00A6E3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4340</w:t>
            </w:r>
          </w:p>
        </w:tc>
        <w:tc>
          <w:tcPr>
            <w:tcW w:w="721" w:type="dxa"/>
            <w:gridSpan w:val="2"/>
          </w:tcPr>
          <w:p w14:paraId="1D671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4361</w:t>
            </w:r>
          </w:p>
        </w:tc>
      </w:tr>
      <w:tr w:rsidR="000F5689" w:rsidRPr="00925F26" w14:paraId="6E583300" w14:textId="77777777">
        <w:tc>
          <w:tcPr>
            <w:tcW w:w="2598" w:type="dxa"/>
            <w:gridSpan w:val="2"/>
          </w:tcPr>
          <w:p w14:paraId="5B2BD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(ТБ-7)</w:t>
            </w:r>
          </w:p>
        </w:tc>
        <w:tc>
          <w:tcPr>
            <w:tcW w:w="360" w:type="dxa"/>
          </w:tcPr>
          <w:p w14:paraId="3CC7F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721" w:type="dxa"/>
            <w:gridSpan w:val="3"/>
          </w:tcPr>
          <w:p w14:paraId="5F4988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360" w:type="dxa"/>
          </w:tcPr>
          <w:p w14:paraId="2302F9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721" w:type="dxa"/>
            <w:gridSpan w:val="3"/>
          </w:tcPr>
          <w:p w14:paraId="443585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450" w:type="dxa"/>
          </w:tcPr>
          <w:p w14:paraId="544DD9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721" w:type="dxa"/>
            <w:gridSpan w:val="3"/>
          </w:tcPr>
          <w:p w14:paraId="49AB8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450" w:type="dxa"/>
          </w:tcPr>
          <w:p w14:paraId="5446F0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721" w:type="dxa"/>
            <w:gridSpan w:val="2"/>
          </w:tcPr>
          <w:p w14:paraId="408F84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60" w:type="dxa"/>
          </w:tcPr>
          <w:p w14:paraId="5CDC8D34"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1421F363"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7582DB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w:t>
            </w:r>
          </w:p>
        </w:tc>
        <w:tc>
          <w:tcPr>
            <w:tcW w:w="721" w:type="dxa"/>
            <w:gridSpan w:val="2"/>
          </w:tcPr>
          <w:p w14:paraId="38213E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w:t>
            </w:r>
          </w:p>
        </w:tc>
      </w:tr>
      <w:tr w:rsidR="000F5689" w:rsidRPr="00925F26" w14:paraId="6F080A8A" w14:textId="77777777">
        <w:tc>
          <w:tcPr>
            <w:tcW w:w="2598" w:type="dxa"/>
            <w:gridSpan w:val="2"/>
          </w:tcPr>
          <w:p w14:paraId="48A972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360" w:type="dxa"/>
          </w:tcPr>
          <w:p w14:paraId="27A3EB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4591</w:t>
            </w:r>
          </w:p>
        </w:tc>
        <w:tc>
          <w:tcPr>
            <w:tcW w:w="721" w:type="dxa"/>
            <w:gridSpan w:val="3"/>
          </w:tcPr>
          <w:p w14:paraId="567BEC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3754</w:t>
            </w:r>
          </w:p>
        </w:tc>
        <w:tc>
          <w:tcPr>
            <w:tcW w:w="360" w:type="dxa"/>
          </w:tcPr>
          <w:p w14:paraId="6B24CC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3484</w:t>
            </w:r>
          </w:p>
        </w:tc>
        <w:tc>
          <w:tcPr>
            <w:tcW w:w="721" w:type="dxa"/>
            <w:gridSpan w:val="3"/>
          </w:tcPr>
          <w:p w14:paraId="7DB490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3508</w:t>
            </w:r>
          </w:p>
        </w:tc>
        <w:tc>
          <w:tcPr>
            <w:tcW w:w="450" w:type="dxa"/>
          </w:tcPr>
          <w:p w14:paraId="1324A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3868</w:t>
            </w:r>
          </w:p>
        </w:tc>
        <w:tc>
          <w:tcPr>
            <w:tcW w:w="721" w:type="dxa"/>
            <w:gridSpan w:val="3"/>
          </w:tcPr>
          <w:p w14:paraId="7FEB18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3919</w:t>
            </w:r>
          </w:p>
        </w:tc>
        <w:tc>
          <w:tcPr>
            <w:tcW w:w="450" w:type="dxa"/>
          </w:tcPr>
          <w:p w14:paraId="790648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4317</w:t>
            </w:r>
          </w:p>
        </w:tc>
        <w:tc>
          <w:tcPr>
            <w:tcW w:w="721" w:type="dxa"/>
            <w:gridSpan w:val="2"/>
          </w:tcPr>
          <w:p w14:paraId="01256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4058</w:t>
            </w:r>
          </w:p>
        </w:tc>
        <w:tc>
          <w:tcPr>
            <w:tcW w:w="360" w:type="dxa"/>
          </w:tcPr>
          <w:p w14:paraId="120F06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2849</w:t>
            </w:r>
          </w:p>
        </w:tc>
        <w:tc>
          <w:tcPr>
            <w:tcW w:w="721" w:type="dxa"/>
            <w:gridSpan w:val="3"/>
          </w:tcPr>
          <w:p w14:paraId="658854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2638</w:t>
            </w:r>
          </w:p>
        </w:tc>
        <w:tc>
          <w:tcPr>
            <w:tcW w:w="450" w:type="dxa"/>
          </w:tcPr>
          <w:p w14:paraId="3A1D0C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19109</w:t>
            </w:r>
          </w:p>
        </w:tc>
        <w:tc>
          <w:tcPr>
            <w:tcW w:w="721" w:type="dxa"/>
            <w:gridSpan w:val="2"/>
          </w:tcPr>
          <w:p w14:paraId="07875D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17877</w:t>
            </w:r>
          </w:p>
        </w:tc>
      </w:tr>
      <w:tr w:rsidR="000F5689" w:rsidRPr="00925F26" w14:paraId="04219B84" w14:textId="77777777" w:rsidTr="00665165">
        <w:tc>
          <w:tcPr>
            <w:tcW w:w="2598" w:type="dxa"/>
            <w:gridSpan w:val="24"/>
          </w:tcPr>
          <w:p w14:paraId="228930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c>
      </w:tr>
      <w:tr w:rsidR="000F5689" w:rsidRPr="00925F26" w14:paraId="2E192804" w14:textId="77777777">
        <w:tc>
          <w:tcPr>
            <w:tcW w:w="2598" w:type="dxa"/>
            <w:gridSpan w:val="2"/>
          </w:tcPr>
          <w:p w14:paraId="1857BA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360" w:type="dxa"/>
          </w:tcPr>
          <w:p w14:paraId="788DE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2318</w:t>
            </w:r>
          </w:p>
        </w:tc>
        <w:tc>
          <w:tcPr>
            <w:tcW w:w="721" w:type="dxa"/>
            <w:gridSpan w:val="3"/>
          </w:tcPr>
          <w:p w14:paraId="7797F0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1542</w:t>
            </w:r>
          </w:p>
        </w:tc>
        <w:tc>
          <w:tcPr>
            <w:tcW w:w="360" w:type="dxa"/>
          </w:tcPr>
          <w:p w14:paraId="1B0423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7974</w:t>
            </w:r>
          </w:p>
        </w:tc>
        <w:tc>
          <w:tcPr>
            <w:tcW w:w="721" w:type="dxa"/>
            <w:gridSpan w:val="3"/>
          </w:tcPr>
          <w:p w14:paraId="08DC4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8191</w:t>
            </w:r>
          </w:p>
        </w:tc>
        <w:tc>
          <w:tcPr>
            <w:tcW w:w="450" w:type="dxa"/>
          </w:tcPr>
          <w:p w14:paraId="05634E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10821</w:t>
            </w:r>
          </w:p>
        </w:tc>
        <w:tc>
          <w:tcPr>
            <w:tcW w:w="721" w:type="dxa"/>
            <w:gridSpan w:val="3"/>
          </w:tcPr>
          <w:p w14:paraId="4DB4B5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10773</w:t>
            </w:r>
          </w:p>
        </w:tc>
        <w:tc>
          <w:tcPr>
            <w:tcW w:w="450" w:type="dxa"/>
          </w:tcPr>
          <w:p w14:paraId="289E7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10282</w:t>
            </w:r>
          </w:p>
        </w:tc>
        <w:tc>
          <w:tcPr>
            <w:tcW w:w="721" w:type="dxa"/>
            <w:gridSpan w:val="2"/>
          </w:tcPr>
          <w:p w14:paraId="622DF0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10497</w:t>
            </w:r>
          </w:p>
        </w:tc>
        <w:tc>
          <w:tcPr>
            <w:tcW w:w="360" w:type="dxa"/>
          </w:tcPr>
          <w:p w14:paraId="177D6C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3579</w:t>
            </w:r>
          </w:p>
        </w:tc>
        <w:tc>
          <w:tcPr>
            <w:tcW w:w="721" w:type="dxa"/>
            <w:gridSpan w:val="3"/>
          </w:tcPr>
          <w:p w14:paraId="41AA09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3689</w:t>
            </w:r>
          </w:p>
        </w:tc>
        <w:tc>
          <w:tcPr>
            <w:tcW w:w="450" w:type="dxa"/>
          </w:tcPr>
          <w:p w14:paraId="3345DE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34974</w:t>
            </w:r>
          </w:p>
        </w:tc>
        <w:tc>
          <w:tcPr>
            <w:tcW w:w="721" w:type="dxa"/>
            <w:gridSpan w:val="2"/>
          </w:tcPr>
          <w:p w14:paraId="1A6EF7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34692</w:t>
            </w:r>
          </w:p>
        </w:tc>
      </w:tr>
      <w:tr w:rsidR="000F5689" w:rsidRPr="00925F26" w14:paraId="6704D940" w14:textId="77777777">
        <w:tc>
          <w:tcPr>
            <w:tcW w:w="2598" w:type="dxa"/>
            <w:gridSpan w:val="2"/>
          </w:tcPr>
          <w:p w14:paraId="1620D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w:t>
            </w:r>
          </w:p>
        </w:tc>
        <w:tc>
          <w:tcPr>
            <w:tcW w:w="360" w:type="dxa"/>
          </w:tcPr>
          <w:p w14:paraId="05FFAFD7"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3D098FF7" w14:textId="77777777" w:rsidR="00665165" w:rsidRPr="00925F26" w:rsidRDefault="00665165" w:rsidP="00925F26">
            <w:pPr>
              <w:autoSpaceDE w:val="0"/>
              <w:autoSpaceDN w:val="0"/>
              <w:adjustRightInd w:val="0"/>
              <w:jc w:val="both"/>
              <w:rPr>
                <w:color w:val="000000" w:themeColor="text1"/>
                <w:sz w:val="16"/>
                <w:szCs w:val="16"/>
              </w:rPr>
            </w:pPr>
          </w:p>
        </w:tc>
        <w:tc>
          <w:tcPr>
            <w:tcW w:w="360" w:type="dxa"/>
          </w:tcPr>
          <w:p w14:paraId="32E4CDCC"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0EB7E780"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4038CB8D" w14:textId="77777777" w:rsidR="00665165" w:rsidRPr="00925F26" w:rsidRDefault="00665165" w:rsidP="00925F26">
            <w:pPr>
              <w:autoSpaceDE w:val="0"/>
              <w:autoSpaceDN w:val="0"/>
              <w:adjustRightInd w:val="0"/>
              <w:jc w:val="both"/>
              <w:rPr>
                <w:color w:val="000000" w:themeColor="text1"/>
                <w:sz w:val="16"/>
                <w:szCs w:val="16"/>
              </w:rPr>
            </w:pPr>
          </w:p>
        </w:tc>
        <w:tc>
          <w:tcPr>
            <w:tcW w:w="721" w:type="dxa"/>
            <w:gridSpan w:val="3"/>
          </w:tcPr>
          <w:p w14:paraId="5DE5C6F3" w14:textId="77777777" w:rsidR="00665165" w:rsidRPr="00925F26" w:rsidRDefault="00665165" w:rsidP="00925F26">
            <w:pPr>
              <w:autoSpaceDE w:val="0"/>
              <w:autoSpaceDN w:val="0"/>
              <w:adjustRightInd w:val="0"/>
              <w:jc w:val="both"/>
              <w:rPr>
                <w:color w:val="000000" w:themeColor="text1"/>
                <w:sz w:val="16"/>
                <w:szCs w:val="16"/>
              </w:rPr>
            </w:pPr>
          </w:p>
        </w:tc>
        <w:tc>
          <w:tcPr>
            <w:tcW w:w="450" w:type="dxa"/>
          </w:tcPr>
          <w:p w14:paraId="530E33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450</w:t>
            </w:r>
          </w:p>
        </w:tc>
        <w:tc>
          <w:tcPr>
            <w:tcW w:w="721" w:type="dxa"/>
            <w:gridSpan w:val="2"/>
          </w:tcPr>
          <w:p w14:paraId="62D098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w:t>
            </w:r>
          </w:p>
        </w:tc>
        <w:tc>
          <w:tcPr>
            <w:tcW w:w="360" w:type="dxa"/>
          </w:tcPr>
          <w:p w14:paraId="777C40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2358</w:t>
            </w:r>
          </w:p>
        </w:tc>
        <w:tc>
          <w:tcPr>
            <w:tcW w:w="721" w:type="dxa"/>
            <w:gridSpan w:val="3"/>
          </w:tcPr>
          <w:p w14:paraId="74CE59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2326</w:t>
            </w:r>
          </w:p>
        </w:tc>
        <w:tc>
          <w:tcPr>
            <w:tcW w:w="450" w:type="dxa"/>
          </w:tcPr>
          <w:p w14:paraId="2B41E9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2808</w:t>
            </w:r>
          </w:p>
        </w:tc>
        <w:tc>
          <w:tcPr>
            <w:tcW w:w="721" w:type="dxa"/>
            <w:gridSpan w:val="2"/>
          </w:tcPr>
          <w:p w14:paraId="1AB32E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2548</w:t>
            </w:r>
          </w:p>
        </w:tc>
      </w:tr>
      <w:tr w:rsidR="000F5689" w:rsidRPr="00925F26" w14:paraId="3D34AF4A" w14:textId="77777777">
        <w:tc>
          <w:tcPr>
            <w:tcW w:w="2598" w:type="dxa"/>
            <w:gridSpan w:val="2"/>
          </w:tcPr>
          <w:p w14:paraId="400F67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360" w:type="dxa"/>
          </w:tcPr>
          <w:p w14:paraId="2A0E37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2318</w:t>
            </w:r>
          </w:p>
        </w:tc>
        <w:tc>
          <w:tcPr>
            <w:tcW w:w="721" w:type="dxa"/>
            <w:gridSpan w:val="3"/>
          </w:tcPr>
          <w:p w14:paraId="7E80B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1542</w:t>
            </w:r>
          </w:p>
        </w:tc>
        <w:tc>
          <w:tcPr>
            <w:tcW w:w="360" w:type="dxa"/>
          </w:tcPr>
          <w:p w14:paraId="2A558D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7974</w:t>
            </w:r>
          </w:p>
        </w:tc>
        <w:tc>
          <w:tcPr>
            <w:tcW w:w="721" w:type="dxa"/>
            <w:gridSpan w:val="3"/>
          </w:tcPr>
          <w:p w14:paraId="2F1A5C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8191</w:t>
            </w:r>
          </w:p>
        </w:tc>
        <w:tc>
          <w:tcPr>
            <w:tcW w:w="450" w:type="dxa"/>
          </w:tcPr>
          <w:p w14:paraId="216217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10821</w:t>
            </w:r>
          </w:p>
        </w:tc>
        <w:tc>
          <w:tcPr>
            <w:tcW w:w="721" w:type="dxa"/>
            <w:gridSpan w:val="3"/>
          </w:tcPr>
          <w:p w14:paraId="4B3D29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10773</w:t>
            </w:r>
          </w:p>
        </w:tc>
        <w:tc>
          <w:tcPr>
            <w:tcW w:w="450" w:type="dxa"/>
          </w:tcPr>
          <w:p w14:paraId="04789E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10732</w:t>
            </w:r>
          </w:p>
        </w:tc>
        <w:tc>
          <w:tcPr>
            <w:tcW w:w="721" w:type="dxa"/>
            <w:gridSpan w:val="2"/>
          </w:tcPr>
          <w:p w14:paraId="2255E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10719</w:t>
            </w:r>
          </w:p>
        </w:tc>
        <w:tc>
          <w:tcPr>
            <w:tcW w:w="360" w:type="dxa"/>
          </w:tcPr>
          <w:p w14:paraId="539829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5937</w:t>
            </w:r>
          </w:p>
        </w:tc>
        <w:tc>
          <w:tcPr>
            <w:tcW w:w="721" w:type="dxa"/>
            <w:gridSpan w:val="3"/>
          </w:tcPr>
          <w:p w14:paraId="0F82D4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6015</w:t>
            </w:r>
          </w:p>
        </w:tc>
        <w:tc>
          <w:tcPr>
            <w:tcW w:w="450" w:type="dxa"/>
          </w:tcPr>
          <w:p w14:paraId="29190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37782</w:t>
            </w:r>
          </w:p>
        </w:tc>
        <w:tc>
          <w:tcPr>
            <w:tcW w:w="721" w:type="dxa"/>
            <w:gridSpan w:val="2"/>
          </w:tcPr>
          <w:p w14:paraId="3FC680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37240</w:t>
            </w:r>
          </w:p>
        </w:tc>
      </w:tr>
      <w:tr w:rsidR="000F5689" w:rsidRPr="00925F26" w14:paraId="01EC05D6"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12" w:space="0" w:color="000000"/>
              <w:left w:val="single" w:sz="12" w:space="0" w:color="000000"/>
              <w:bottom w:val="single" w:sz="6" w:space="0" w:color="000000"/>
              <w:right w:val="single" w:sz="12" w:space="0" w:color="000000"/>
            </w:tcBorders>
          </w:tcPr>
          <w:p w14:paraId="29356E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r>
      <w:tr w:rsidR="000F5689" w:rsidRPr="00925F26" w14:paraId="57F45BE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6A890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И-153</w:t>
            </w:r>
          </w:p>
        </w:tc>
        <w:tc>
          <w:tcPr>
            <w:tcW w:w="550" w:type="dxa"/>
            <w:gridSpan w:val="3"/>
            <w:tcBorders>
              <w:top w:val="single" w:sz="6" w:space="0" w:color="000000"/>
              <w:left w:val="single" w:sz="6" w:space="0" w:color="000000"/>
              <w:bottom w:val="single" w:sz="6" w:space="0" w:color="000000"/>
              <w:right w:val="single" w:sz="6" w:space="0" w:color="000000"/>
            </w:tcBorders>
          </w:tcPr>
          <w:p w14:paraId="1BBD3D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550" w:type="dxa"/>
            <w:tcBorders>
              <w:top w:val="single" w:sz="6" w:space="0" w:color="000000"/>
              <w:left w:val="single" w:sz="6" w:space="0" w:color="000000"/>
              <w:bottom w:val="single" w:sz="6" w:space="0" w:color="000000"/>
              <w:right w:val="single" w:sz="6" w:space="0" w:color="000000"/>
            </w:tcBorders>
          </w:tcPr>
          <w:p w14:paraId="45FA7E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550" w:type="dxa"/>
            <w:gridSpan w:val="3"/>
            <w:tcBorders>
              <w:top w:val="single" w:sz="6" w:space="0" w:color="000000"/>
              <w:left w:val="single" w:sz="6" w:space="0" w:color="000000"/>
              <w:bottom w:val="single" w:sz="6" w:space="0" w:color="000000"/>
              <w:right w:val="single" w:sz="6" w:space="0" w:color="000000"/>
            </w:tcBorders>
          </w:tcPr>
          <w:p w14:paraId="35C69395"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E1886C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DF87836"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0286E42"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A1AAE20"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C96B46E"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949949"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BC93746"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15A43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660" w:type="dxa"/>
            <w:tcBorders>
              <w:top w:val="single" w:sz="6" w:space="0" w:color="000000"/>
              <w:left w:val="single" w:sz="6" w:space="0" w:color="000000"/>
              <w:bottom w:val="single" w:sz="6" w:space="0" w:color="000000"/>
              <w:right w:val="single" w:sz="12" w:space="0" w:color="000000"/>
            </w:tcBorders>
          </w:tcPr>
          <w:p w14:paraId="6ED40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r>
      <w:tr w:rsidR="000F5689" w:rsidRPr="00925F26" w14:paraId="559D55D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4771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И-16</w:t>
            </w:r>
          </w:p>
        </w:tc>
        <w:tc>
          <w:tcPr>
            <w:tcW w:w="550" w:type="dxa"/>
            <w:gridSpan w:val="3"/>
            <w:tcBorders>
              <w:top w:val="single" w:sz="6" w:space="0" w:color="000000"/>
              <w:left w:val="single" w:sz="6" w:space="0" w:color="000000"/>
              <w:bottom w:val="single" w:sz="6" w:space="0" w:color="000000"/>
              <w:right w:val="single" w:sz="6" w:space="0" w:color="000000"/>
            </w:tcBorders>
          </w:tcPr>
          <w:p w14:paraId="77A5DA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w:t>
            </w:r>
          </w:p>
        </w:tc>
        <w:tc>
          <w:tcPr>
            <w:tcW w:w="550" w:type="dxa"/>
            <w:tcBorders>
              <w:top w:val="single" w:sz="6" w:space="0" w:color="000000"/>
              <w:left w:val="single" w:sz="6" w:space="0" w:color="000000"/>
              <w:bottom w:val="single" w:sz="6" w:space="0" w:color="000000"/>
              <w:right w:val="single" w:sz="6" w:space="0" w:color="000000"/>
            </w:tcBorders>
          </w:tcPr>
          <w:p w14:paraId="30ACE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239</w:t>
            </w:r>
          </w:p>
        </w:tc>
        <w:tc>
          <w:tcPr>
            <w:tcW w:w="550" w:type="dxa"/>
            <w:gridSpan w:val="3"/>
            <w:tcBorders>
              <w:top w:val="single" w:sz="6" w:space="0" w:color="000000"/>
              <w:left w:val="single" w:sz="6" w:space="0" w:color="000000"/>
              <w:bottom w:val="single" w:sz="6" w:space="0" w:color="000000"/>
              <w:right w:val="single" w:sz="6" w:space="0" w:color="000000"/>
            </w:tcBorders>
          </w:tcPr>
          <w:p w14:paraId="756C525E"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57A0D6A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5058DF33"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C778961"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0DE56F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CBBC80E"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AF69802"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1322CD0"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6CEE08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w:t>
            </w:r>
          </w:p>
        </w:tc>
        <w:tc>
          <w:tcPr>
            <w:tcW w:w="660" w:type="dxa"/>
            <w:tcBorders>
              <w:top w:val="single" w:sz="6" w:space="0" w:color="000000"/>
              <w:left w:val="single" w:sz="6" w:space="0" w:color="000000"/>
              <w:bottom w:val="single" w:sz="6" w:space="0" w:color="000000"/>
              <w:right w:val="single" w:sz="12" w:space="0" w:color="000000"/>
            </w:tcBorders>
          </w:tcPr>
          <w:p w14:paraId="02BE32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239</w:t>
            </w:r>
          </w:p>
        </w:tc>
      </w:tr>
      <w:tr w:rsidR="000F5689" w:rsidRPr="00925F26" w14:paraId="18EEF2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FF41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МиГ-3</w:t>
            </w:r>
          </w:p>
        </w:tc>
        <w:tc>
          <w:tcPr>
            <w:tcW w:w="550" w:type="dxa"/>
            <w:gridSpan w:val="3"/>
            <w:tcBorders>
              <w:top w:val="single" w:sz="6" w:space="0" w:color="000000"/>
              <w:left w:val="single" w:sz="6" w:space="0" w:color="000000"/>
              <w:bottom w:val="single" w:sz="6" w:space="0" w:color="000000"/>
              <w:right w:val="single" w:sz="6" w:space="0" w:color="000000"/>
            </w:tcBorders>
          </w:tcPr>
          <w:p w14:paraId="2306F4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3355</w:t>
            </w:r>
          </w:p>
        </w:tc>
        <w:tc>
          <w:tcPr>
            <w:tcW w:w="550" w:type="dxa"/>
            <w:tcBorders>
              <w:top w:val="single" w:sz="6" w:space="0" w:color="000000"/>
              <w:left w:val="single" w:sz="6" w:space="0" w:color="000000"/>
              <w:bottom w:val="single" w:sz="6" w:space="0" w:color="000000"/>
              <w:right w:val="single" w:sz="6" w:space="0" w:color="000000"/>
            </w:tcBorders>
          </w:tcPr>
          <w:p w14:paraId="5CD576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3100</w:t>
            </w:r>
          </w:p>
        </w:tc>
        <w:tc>
          <w:tcPr>
            <w:tcW w:w="550" w:type="dxa"/>
            <w:gridSpan w:val="3"/>
            <w:tcBorders>
              <w:top w:val="single" w:sz="6" w:space="0" w:color="000000"/>
              <w:left w:val="single" w:sz="6" w:space="0" w:color="000000"/>
              <w:bottom w:val="single" w:sz="6" w:space="0" w:color="000000"/>
              <w:right w:val="single" w:sz="6" w:space="0" w:color="000000"/>
            </w:tcBorders>
          </w:tcPr>
          <w:p w14:paraId="0429FD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550" w:type="dxa"/>
            <w:tcBorders>
              <w:top w:val="single" w:sz="6" w:space="0" w:color="000000"/>
              <w:left w:val="single" w:sz="6" w:space="0" w:color="000000"/>
              <w:bottom w:val="single" w:sz="6" w:space="0" w:color="000000"/>
              <w:right w:val="single" w:sz="6" w:space="0" w:color="000000"/>
            </w:tcBorders>
          </w:tcPr>
          <w:p w14:paraId="59E1FD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550" w:type="dxa"/>
            <w:gridSpan w:val="3"/>
            <w:tcBorders>
              <w:top w:val="single" w:sz="6" w:space="0" w:color="000000"/>
              <w:left w:val="single" w:sz="6" w:space="0" w:color="000000"/>
              <w:bottom w:val="single" w:sz="6" w:space="0" w:color="000000"/>
              <w:right w:val="single" w:sz="6" w:space="0" w:color="000000"/>
            </w:tcBorders>
          </w:tcPr>
          <w:p w14:paraId="4DB4443D"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7AAC4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550" w:type="dxa"/>
            <w:gridSpan w:val="2"/>
            <w:tcBorders>
              <w:top w:val="single" w:sz="6" w:space="0" w:color="000000"/>
              <w:left w:val="single" w:sz="6" w:space="0" w:color="000000"/>
              <w:bottom w:val="single" w:sz="6" w:space="0" w:color="000000"/>
              <w:right w:val="single" w:sz="6" w:space="0" w:color="000000"/>
            </w:tcBorders>
          </w:tcPr>
          <w:p w14:paraId="0D3E9BD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5EE0FF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8E7C77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EDC9579"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2F5F09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3370</w:t>
            </w:r>
          </w:p>
        </w:tc>
        <w:tc>
          <w:tcPr>
            <w:tcW w:w="660" w:type="dxa"/>
            <w:tcBorders>
              <w:top w:val="single" w:sz="6" w:space="0" w:color="000000"/>
              <w:left w:val="single" w:sz="6" w:space="0" w:color="000000"/>
              <w:bottom w:val="single" w:sz="6" w:space="0" w:color="000000"/>
              <w:right w:val="single" w:sz="12" w:space="0" w:color="000000"/>
            </w:tcBorders>
          </w:tcPr>
          <w:p w14:paraId="6C0F10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3154</w:t>
            </w:r>
          </w:p>
        </w:tc>
      </w:tr>
      <w:tr w:rsidR="000F5689" w:rsidRPr="00925F26" w14:paraId="3459BF3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1D988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w:t>
            </w:r>
          </w:p>
        </w:tc>
        <w:tc>
          <w:tcPr>
            <w:tcW w:w="550" w:type="dxa"/>
            <w:gridSpan w:val="3"/>
            <w:tcBorders>
              <w:top w:val="single" w:sz="6" w:space="0" w:color="000000"/>
              <w:left w:val="single" w:sz="6" w:space="0" w:color="000000"/>
              <w:bottom w:val="single" w:sz="6" w:space="0" w:color="000000"/>
              <w:right w:val="single" w:sz="6" w:space="0" w:color="000000"/>
            </w:tcBorders>
          </w:tcPr>
          <w:p w14:paraId="31637B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1666</w:t>
            </w:r>
          </w:p>
        </w:tc>
        <w:tc>
          <w:tcPr>
            <w:tcW w:w="550" w:type="dxa"/>
            <w:tcBorders>
              <w:top w:val="single" w:sz="6" w:space="0" w:color="000000"/>
              <w:left w:val="single" w:sz="6" w:space="0" w:color="000000"/>
              <w:bottom w:val="single" w:sz="6" w:space="0" w:color="000000"/>
              <w:right w:val="single" w:sz="6" w:space="0" w:color="000000"/>
            </w:tcBorders>
          </w:tcPr>
          <w:p w14:paraId="5080A8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1333</w:t>
            </w:r>
          </w:p>
        </w:tc>
        <w:tc>
          <w:tcPr>
            <w:tcW w:w="550" w:type="dxa"/>
            <w:gridSpan w:val="3"/>
            <w:tcBorders>
              <w:top w:val="single" w:sz="6" w:space="0" w:color="000000"/>
              <w:left w:val="single" w:sz="6" w:space="0" w:color="000000"/>
              <w:bottom w:val="single" w:sz="6" w:space="0" w:color="000000"/>
              <w:right w:val="single" w:sz="6" w:space="0" w:color="000000"/>
            </w:tcBorders>
          </w:tcPr>
          <w:p w14:paraId="72BED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3425</w:t>
            </w:r>
          </w:p>
        </w:tc>
        <w:tc>
          <w:tcPr>
            <w:tcW w:w="550" w:type="dxa"/>
            <w:tcBorders>
              <w:top w:val="single" w:sz="6" w:space="0" w:color="000000"/>
              <w:left w:val="single" w:sz="6" w:space="0" w:color="000000"/>
              <w:bottom w:val="single" w:sz="6" w:space="0" w:color="000000"/>
              <w:right w:val="single" w:sz="6" w:space="0" w:color="000000"/>
            </w:tcBorders>
          </w:tcPr>
          <w:p w14:paraId="1D83A1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3468</w:t>
            </w:r>
          </w:p>
        </w:tc>
        <w:tc>
          <w:tcPr>
            <w:tcW w:w="550" w:type="dxa"/>
            <w:gridSpan w:val="3"/>
            <w:tcBorders>
              <w:top w:val="single" w:sz="6" w:space="0" w:color="000000"/>
              <w:left w:val="single" w:sz="6" w:space="0" w:color="000000"/>
              <w:bottom w:val="single" w:sz="6" w:space="0" w:color="000000"/>
              <w:right w:val="single" w:sz="6" w:space="0" w:color="000000"/>
            </w:tcBorders>
          </w:tcPr>
          <w:p w14:paraId="5DCB37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2535</w:t>
            </w:r>
          </w:p>
        </w:tc>
        <w:tc>
          <w:tcPr>
            <w:tcW w:w="550" w:type="dxa"/>
            <w:tcBorders>
              <w:top w:val="single" w:sz="6" w:space="0" w:color="000000"/>
              <w:left w:val="single" w:sz="6" w:space="0" w:color="000000"/>
              <w:bottom w:val="single" w:sz="6" w:space="0" w:color="000000"/>
              <w:right w:val="single" w:sz="6" w:space="0" w:color="000000"/>
            </w:tcBorders>
          </w:tcPr>
          <w:p w14:paraId="581769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2720</w:t>
            </w:r>
          </w:p>
        </w:tc>
        <w:tc>
          <w:tcPr>
            <w:tcW w:w="550" w:type="dxa"/>
            <w:gridSpan w:val="2"/>
            <w:tcBorders>
              <w:top w:val="single" w:sz="6" w:space="0" w:color="000000"/>
              <w:left w:val="single" w:sz="6" w:space="0" w:color="000000"/>
              <w:bottom w:val="single" w:sz="6" w:space="0" w:color="000000"/>
              <w:right w:val="single" w:sz="6" w:space="0" w:color="000000"/>
            </w:tcBorders>
          </w:tcPr>
          <w:p w14:paraId="15293D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1040</w:t>
            </w:r>
          </w:p>
        </w:tc>
        <w:tc>
          <w:tcPr>
            <w:tcW w:w="550" w:type="dxa"/>
            <w:tcBorders>
              <w:top w:val="single" w:sz="6" w:space="0" w:color="000000"/>
              <w:left w:val="single" w:sz="6" w:space="0" w:color="000000"/>
              <w:bottom w:val="single" w:sz="6" w:space="0" w:color="000000"/>
              <w:right w:val="single" w:sz="6" w:space="0" w:color="000000"/>
            </w:tcBorders>
          </w:tcPr>
          <w:p w14:paraId="6A3101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1128</w:t>
            </w:r>
          </w:p>
        </w:tc>
        <w:tc>
          <w:tcPr>
            <w:tcW w:w="550" w:type="dxa"/>
            <w:gridSpan w:val="3"/>
            <w:tcBorders>
              <w:top w:val="single" w:sz="6" w:space="0" w:color="000000"/>
              <w:left w:val="single" w:sz="6" w:space="0" w:color="000000"/>
              <w:bottom w:val="single" w:sz="6" w:space="0" w:color="000000"/>
              <w:right w:val="single" w:sz="6" w:space="0" w:color="000000"/>
            </w:tcBorders>
          </w:tcPr>
          <w:p w14:paraId="75268B25"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2B4FFC7"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54C560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8666</w:t>
            </w:r>
          </w:p>
        </w:tc>
        <w:tc>
          <w:tcPr>
            <w:tcW w:w="660" w:type="dxa"/>
            <w:tcBorders>
              <w:top w:val="single" w:sz="6" w:space="0" w:color="000000"/>
              <w:left w:val="single" w:sz="6" w:space="0" w:color="000000"/>
              <w:bottom w:val="single" w:sz="6" w:space="0" w:color="000000"/>
              <w:right w:val="single" w:sz="12" w:space="0" w:color="000000"/>
            </w:tcBorders>
          </w:tcPr>
          <w:p w14:paraId="33147F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8649</w:t>
            </w:r>
          </w:p>
        </w:tc>
      </w:tr>
      <w:tr w:rsidR="000F5689" w:rsidRPr="00925F26" w14:paraId="43EEE54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20906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550" w:type="dxa"/>
            <w:gridSpan w:val="3"/>
            <w:tcBorders>
              <w:top w:val="single" w:sz="6" w:space="0" w:color="000000"/>
              <w:left w:val="single" w:sz="6" w:space="0" w:color="000000"/>
              <w:bottom w:val="single" w:sz="6" w:space="0" w:color="000000"/>
              <w:right w:val="single" w:sz="6" w:space="0" w:color="000000"/>
            </w:tcBorders>
          </w:tcPr>
          <w:p w14:paraId="5F43C510"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EBD1D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2DE6646"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906493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134CA1B"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13A64F3"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083F6A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2322</w:t>
            </w:r>
          </w:p>
        </w:tc>
        <w:tc>
          <w:tcPr>
            <w:tcW w:w="550" w:type="dxa"/>
            <w:tcBorders>
              <w:top w:val="single" w:sz="6" w:space="0" w:color="000000"/>
              <w:left w:val="single" w:sz="6" w:space="0" w:color="000000"/>
              <w:bottom w:val="single" w:sz="6" w:space="0" w:color="000000"/>
              <w:right w:val="single" w:sz="6" w:space="0" w:color="000000"/>
            </w:tcBorders>
          </w:tcPr>
          <w:p w14:paraId="03E7D7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2180</w:t>
            </w:r>
          </w:p>
        </w:tc>
        <w:tc>
          <w:tcPr>
            <w:tcW w:w="550" w:type="dxa"/>
            <w:gridSpan w:val="3"/>
            <w:tcBorders>
              <w:top w:val="single" w:sz="6" w:space="0" w:color="000000"/>
              <w:left w:val="single" w:sz="6" w:space="0" w:color="000000"/>
              <w:bottom w:val="single" w:sz="6" w:space="0" w:color="000000"/>
              <w:right w:val="single" w:sz="6" w:space="0" w:color="000000"/>
            </w:tcBorders>
          </w:tcPr>
          <w:p w14:paraId="7037A4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2423</w:t>
            </w:r>
          </w:p>
        </w:tc>
        <w:tc>
          <w:tcPr>
            <w:tcW w:w="550" w:type="dxa"/>
            <w:tcBorders>
              <w:top w:val="single" w:sz="6" w:space="0" w:color="000000"/>
              <w:left w:val="single" w:sz="6" w:space="0" w:color="000000"/>
              <w:bottom w:val="single" w:sz="6" w:space="0" w:color="000000"/>
              <w:right w:val="single" w:sz="6" w:space="0" w:color="000000"/>
            </w:tcBorders>
          </w:tcPr>
          <w:p w14:paraId="21BE2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2380</w:t>
            </w:r>
          </w:p>
        </w:tc>
        <w:tc>
          <w:tcPr>
            <w:tcW w:w="660" w:type="dxa"/>
            <w:gridSpan w:val="3"/>
            <w:tcBorders>
              <w:top w:val="single" w:sz="6" w:space="0" w:color="000000"/>
              <w:left w:val="single" w:sz="6" w:space="0" w:color="000000"/>
              <w:bottom w:val="single" w:sz="6" w:space="0" w:color="000000"/>
              <w:right w:val="single" w:sz="6" w:space="0" w:color="000000"/>
            </w:tcBorders>
          </w:tcPr>
          <w:p w14:paraId="173410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4745</w:t>
            </w:r>
          </w:p>
        </w:tc>
        <w:tc>
          <w:tcPr>
            <w:tcW w:w="660" w:type="dxa"/>
            <w:tcBorders>
              <w:top w:val="single" w:sz="6" w:space="0" w:color="000000"/>
              <w:left w:val="single" w:sz="6" w:space="0" w:color="000000"/>
              <w:bottom w:val="single" w:sz="6" w:space="0" w:color="000000"/>
              <w:right w:val="single" w:sz="12" w:space="0" w:color="000000"/>
            </w:tcBorders>
          </w:tcPr>
          <w:p w14:paraId="4376E9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4560</w:t>
            </w:r>
          </w:p>
        </w:tc>
      </w:tr>
      <w:tr w:rsidR="000F5689" w:rsidRPr="00925F26" w14:paraId="0BCCAC0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EDE38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Як-7б</w:t>
            </w:r>
          </w:p>
        </w:tc>
        <w:tc>
          <w:tcPr>
            <w:tcW w:w="550" w:type="dxa"/>
            <w:gridSpan w:val="3"/>
            <w:tcBorders>
              <w:top w:val="single" w:sz="6" w:space="0" w:color="000000"/>
              <w:left w:val="single" w:sz="6" w:space="0" w:color="000000"/>
              <w:bottom w:val="single" w:sz="6" w:space="0" w:color="000000"/>
              <w:right w:val="single" w:sz="6" w:space="0" w:color="000000"/>
            </w:tcBorders>
          </w:tcPr>
          <w:p w14:paraId="6E2EF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550" w:type="dxa"/>
            <w:tcBorders>
              <w:top w:val="single" w:sz="6" w:space="0" w:color="000000"/>
              <w:left w:val="single" w:sz="6" w:space="0" w:color="000000"/>
              <w:bottom w:val="single" w:sz="6" w:space="0" w:color="000000"/>
              <w:right w:val="single" w:sz="6" w:space="0" w:color="000000"/>
            </w:tcBorders>
          </w:tcPr>
          <w:p w14:paraId="1B41CA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550" w:type="dxa"/>
            <w:gridSpan w:val="3"/>
            <w:tcBorders>
              <w:top w:val="single" w:sz="6" w:space="0" w:color="000000"/>
              <w:left w:val="single" w:sz="6" w:space="0" w:color="000000"/>
              <w:bottom w:val="single" w:sz="6" w:space="0" w:color="000000"/>
              <w:right w:val="single" w:sz="6" w:space="0" w:color="000000"/>
            </w:tcBorders>
          </w:tcPr>
          <w:p w14:paraId="45F9C5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2131</w:t>
            </w:r>
          </w:p>
        </w:tc>
        <w:tc>
          <w:tcPr>
            <w:tcW w:w="550" w:type="dxa"/>
            <w:tcBorders>
              <w:top w:val="single" w:sz="6" w:space="0" w:color="000000"/>
              <w:left w:val="single" w:sz="6" w:space="0" w:color="000000"/>
              <w:bottom w:val="single" w:sz="6" w:space="0" w:color="000000"/>
              <w:right w:val="single" w:sz="6" w:space="0" w:color="000000"/>
            </w:tcBorders>
          </w:tcPr>
          <w:p w14:paraId="1A1CC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2203</w:t>
            </w:r>
          </w:p>
        </w:tc>
        <w:tc>
          <w:tcPr>
            <w:tcW w:w="550" w:type="dxa"/>
            <w:gridSpan w:val="3"/>
            <w:tcBorders>
              <w:top w:val="single" w:sz="6" w:space="0" w:color="000000"/>
              <w:left w:val="single" w:sz="6" w:space="0" w:color="000000"/>
              <w:bottom w:val="single" w:sz="6" w:space="0" w:color="000000"/>
              <w:right w:val="single" w:sz="6" w:space="0" w:color="000000"/>
            </w:tcBorders>
          </w:tcPr>
          <w:p w14:paraId="5D45CB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2934</w:t>
            </w:r>
          </w:p>
        </w:tc>
        <w:tc>
          <w:tcPr>
            <w:tcW w:w="550" w:type="dxa"/>
            <w:tcBorders>
              <w:top w:val="single" w:sz="6" w:space="0" w:color="000000"/>
              <w:left w:val="single" w:sz="6" w:space="0" w:color="000000"/>
              <w:bottom w:val="single" w:sz="6" w:space="0" w:color="000000"/>
              <w:right w:val="single" w:sz="6" w:space="0" w:color="000000"/>
            </w:tcBorders>
          </w:tcPr>
          <w:p w14:paraId="598E23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2972</w:t>
            </w:r>
          </w:p>
        </w:tc>
        <w:tc>
          <w:tcPr>
            <w:tcW w:w="550" w:type="dxa"/>
            <w:gridSpan w:val="2"/>
            <w:tcBorders>
              <w:top w:val="single" w:sz="6" w:space="0" w:color="000000"/>
              <w:left w:val="single" w:sz="6" w:space="0" w:color="000000"/>
              <w:bottom w:val="single" w:sz="6" w:space="0" w:color="000000"/>
              <w:right w:val="single" w:sz="6" w:space="0" w:color="000000"/>
            </w:tcBorders>
          </w:tcPr>
          <w:p w14:paraId="3CE94B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321</w:t>
            </w:r>
          </w:p>
        </w:tc>
        <w:tc>
          <w:tcPr>
            <w:tcW w:w="550" w:type="dxa"/>
            <w:tcBorders>
              <w:top w:val="single" w:sz="6" w:space="0" w:color="000000"/>
              <w:left w:val="single" w:sz="6" w:space="0" w:color="000000"/>
              <w:bottom w:val="single" w:sz="6" w:space="0" w:color="000000"/>
              <w:right w:val="single" w:sz="6" w:space="0" w:color="000000"/>
            </w:tcBorders>
          </w:tcPr>
          <w:p w14:paraId="5D0402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465</w:t>
            </w:r>
          </w:p>
        </w:tc>
        <w:tc>
          <w:tcPr>
            <w:tcW w:w="550" w:type="dxa"/>
            <w:gridSpan w:val="3"/>
            <w:tcBorders>
              <w:top w:val="single" w:sz="6" w:space="0" w:color="000000"/>
              <w:left w:val="single" w:sz="6" w:space="0" w:color="000000"/>
              <w:bottom w:val="single" w:sz="6" w:space="0" w:color="000000"/>
              <w:right w:val="single" w:sz="6" w:space="0" w:color="000000"/>
            </w:tcBorders>
          </w:tcPr>
          <w:p w14:paraId="7DE24950"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D237274"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03EAB7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5428</w:t>
            </w:r>
          </w:p>
        </w:tc>
        <w:tc>
          <w:tcPr>
            <w:tcW w:w="660" w:type="dxa"/>
            <w:tcBorders>
              <w:top w:val="single" w:sz="6" w:space="0" w:color="000000"/>
              <w:left w:val="single" w:sz="6" w:space="0" w:color="000000"/>
              <w:bottom w:val="single" w:sz="6" w:space="0" w:color="000000"/>
              <w:right w:val="single" w:sz="12" w:space="0" w:color="000000"/>
            </w:tcBorders>
          </w:tcPr>
          <w:p w14:paraId="5E94C1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5661</w:t>
            </w:r>
          </w:p>
        </w:tc>
      </w:tr>
      <w:tr w:rsidR="000F5689" w:rsidRPr="00925F26" w14:paraId="11D069B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5EFEB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w:t>
            </w:r>
          </w:p>
        </w:tc>
        <w:tc>
          <w:tcPr>
            <w:tcW w:w="550" w:type="dxa"/>
            <w:gridSpan w:val="3"/>
            <w:tcBorders>
              <w:top w:val="single" w:sz="6" w:space="0" w:color="000000"/>
              <w:left w:val="single" w:sz="6" w:space="0" w:color="000000"/>
              <w:bottom w:val="single" w:sz="6" w:space="0" w:color="000000"/>
              <w:right w:val="single" w:sz="6" w:space="0" w:color="000000"/>
            </w:tcBorders>
          </w:tcPr>
          <w:p w14:paraId="2020A8E7"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FFC77AB"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38795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550" w:type="dxa"/>
            <w:tcBorders>
              <w:top w:val="single" w:sz="6" w:space="0" w:color="000000"/>
              <w:left w:val="single" w:sz="6" w:space="0" w:color="000000"/>
              <w:bottom w:val="single" w:sz="6" w:space="0" w:color="000000"/>
              <w:right w:val="single" w:sz="6" w:space="0" w:color="000000"/>
            </w:tcBorders>
          </w:tcPr>
          <w:p w14:paraId="73706A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w:t>
            </w:r>
          </w:p>
        </w:tc>
        <w:tc>
          <w:tcPr>
            <w:tcW w:w="550" w:type="dxa"/>
            <w:gridSpan w:val="3"/>
            <w:tcBorders>
              <w:top w:val="single" w:sz="6" w:space="0" w:color="000000"/>
              <w:left w:val="single" w:sz="6" w:space="0" w:color="000000"/>
              <w:bottom w:val="single" w:sz="6" w:space="0" w:color="000000"/>
              <w:right w:val="single" w:sz="6" w:space="0" w:color="000000"/>
            </w:tcBorders>
          </w:tcPr>
          <w:p w14:paraId="3A9F7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2646</w:t>
            </w:r>
          </w:p>
        </w:tc>
        <w:tc>
          <w:tcPr>
            <w:tcW w:w="550" w:type="dxa"/>
            <w:tcBorders>
              <w:top w:val="single" w:sz="6" w:space="0" w:color="000000"/>
              <w:left w:val="single" w:sz="6" w:space="0" w:color="000000"/>
              <w:bottom w:val="single" w:sz="6" w:space="0" w:color="000000"/>
              <w:right w:val="single" w:sz="6" w:space="0" w:color="000000"/>
            </w:tcBorders>
          </w:tcPr>
          <w:p w14:paraId="1244CE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2491</w:t>
            </w:r>
          </w:p>
        </w:tc>
        <w:tc>
          <w:tcPr>
            <w:tcW w:w="550" w:type="dxa"/>
            <w:gridSpan w:val="2"/>
            <w:tcBorders>
              <w:top w:val="single" w:sz="6" w:space="0" w:color="000000"/>
              <w:left w:val="single" w:sz="6" w:space="0" w:color="000000"/>
              <w:bottom w:val="single" w:sz="6" w:space="0" w:color="000000"/>
              <w:right w:val="single" w:sz="6" w:space="0" w:color="000000"/>
            </w:tcBorders>
          </w:tcPr>
          <w:p w14:paraId="74A879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7714</w:t>
            </w:r>
          </w:p>
        </w:tc>
        <w:tc>
          <w:tcPr>
            <w:tcW w:w="550" w:type="dxa"/>
            <w:tcBorders>
              <w:top w:val="single" w:sz="6" w:space="0" w:color="000000"/>
              <w:left w:val="single" w:sz="6" w:space="0" w:color="000000"/>
              <w:bottom w:val="single" w:sz="6" w:space="0" w:color="000000"/>
              <w:right w:val="single" w:sz="6" w:space="0" w:color="000000"/>
            </w:tcBorders>
          </w:tcPr>
          <w:p w14:paraId="7E5211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7831</w:t>
            </w:r>
          </w:p>
        </w:tc>
        <w:tc>
          <w:tcPr>
            <w:tcW w:w="550" w:type="dxa"/>
            <w:gridSpan w:val="3"/>
            <w:tcBorders>
              <w:top w:val="single" w:sz="6" w:space="0" w:color="000000"/>
              <w:left w:val="single" w:sz="6" w:space="0" w:color="000000"/>
              <w:bottom w:val="single" w:sz="6" w:space="0" w:color="000000"/>
              <w:right w:val="single" w:sz="6" w:space="0" w:color="000000"/>
            </w:tcBorders>
          </w:tcPr>
          <w:p w14:paraId="2D7692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4699</w:t>
            </w:r>
          </w:p>
        </w:tc>
        <w:tc>
          <w:tcPr>
            <w:tcW w:w="550" w:type="dxa"/>
            <w:tcBorders>
              <w:top w:val="single" w:sz="6" w:space="0" w:color="000000"/>
              <w:left w:val="single" w:sz="6" w:space="0" w:color="000000"/>
              <w:bottom w:val="single" w:sz="6" w:space="0" w:color="000000"/>
              <w:right w:val="single" w:sz="6" w:space="0" w:color="000000"/>
            </w:tcBorders>
          </w:tcPr>
          <w:p w14:paraId="38E6BB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4744</w:t>
            </w:r>
          </w:p>
        </w:tc>
        <w:tc>
          <w:tcPr>
            <w:tcW w:w="660" w:type="dxa"/>
            <w:gridSpan w:val="3"/>
            <w:tcBorders>
              <w:top w:val="single" w:sz="6" w:space="0" w:color="000000"/>
              <w:left w:val="single" w:sz="6" w:space="0" w:color="000000"/>
              <w:bottom w:val="single" w:sz="6" w:space="0" w:color="000000"/>
              <w:right w:val="single" w:sz="6" w:space="0" w:color="000000"/>
            </w:tcBorders>
          </w:tcPr>
          <w:p w14:paraId="06A8E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15309</w:t>
            </w:r>
          </w:p>
        </w:tc>
        <w:tc>
          <w:tcPr>
            <w:tcW w:w="660" w:type="dxa"/>
            <w:tcBorders>
              <w:top w:val="single" w:sz="6" w:space="0" w:color="000000"/>
              <w:left w:val="single" w:sz="6" w:space="0" w:color="000000"/>
              <w:bottom w:val="single" w:sz="6" w:space="0" w:color="000000"/>
              <w:right w:val="single" w:sz="12" w:space="0" w:color="000000"/>
            </w:tcBorders>
          </w:tcPr>
          <w:p w14:paraId="199204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15125</w:t>
            </w:r>
          </w:p>
        </w:tc>
      </w:tr>
      <w:tr w:rsidR="000F5689" w:rsidRPr="00925F26" w14:paraId="51DD94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373B7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ЛаГГ-3</w:t>
            </w:r>
          </w:p>
        </w:tc>
        <w:tc>
          <w:tcPr>
            <w:tcW w:w="550" w:type="dxa"/>
            <w:gridSpan w:val="3"/>
            <w:tcBorders>
              <w:top w:val="single" w:sz="6" w:space="0" w:color="000000"/>
              <w:left w:val="single" w:sz="6" w:space="0" w:color="000000"/>
              <w:bottom w:val="single" w:sz="6" w:space="0" w:color="000000"/>
              <w:right w:val="single" w:sz="6" w:space="0" w:color="000000"/>
            </w:tcBorders>
          </w:tcPr>
          <w:p w14:paraId="094D71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3149</w:t>
            </w:r>
          </w:p>
        </w:tc>
        <w:tc>
          <w:tcPr>
            <w:tcW w:w="550" w:type="dxa"/>
            <w:tcBorders>
              <w:top w:val="single" w:sz="6" w:space="0" w:color="000000"/>
              <w:left w:val="single" w:sz="6" w:space="0" w:color="000000"/>
              <w:bottom w:val="single" w:sz="6" w:space="0" w:color="000000"/>
              <w:right w:val="single" w:sz="6" w:space="0" w:color="000000"/>
            </w:tcBorders>
          </w:tcPr>
          <w:p w14:paraId="7AF8CC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2463</w:t>
            </w:r>
          </w:p>
        </w:tc>
        <w:tc>
          <w:tcPr>
            <w:tcW w:w="550" w:type="dxa"/>
            <w:gridSpan w:val="3"/>
            <w:tcBorders>
              <w:top w:val="single" w:sz="6" w:space="0" w:color="000000"/>
              <w:left w:val="single" w:sz="6" w:space="0" w:color="000000"/>
              <w:bottom w:val="single" w:sz="6" w:space="0" w:color="000000"/>
              <w:right w:val="single" w:sz="6" w:space="0" w:color="000000"/>
            </w:tcBorders>
          </w:tcPr>
          <w:p w14:paraId="35D8DD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2819</w:t>
            </w:r>
          </w:p>
        </w:tc>
        <w:tc>
          <w:tcPr>
            <w:tcW w:w="550" w:type="dxa"/>
            <w:tcBorders>
              <w:top w:val="single" w:sz="6" w:space="0" w:color="000000"/>
              <w:left w:val="single" w:sz="6" w:space="0" w:color="000000"/>
              <w:bottom w:val="single" w:sz="6" w:space="0" w:color="000000"/>
              <w:right w:val="single" w:sz="6" w:space="0" w:color="000000"/>
            </w:tcBorders>
          </w:tcPr>
          <w:p w14:paraId="5BA926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2736</w:t>
            </w:r>
          </w:p>
        </w:tc>
        <w:tc>
          <w:tcPr>
            <w:tcW w:w="550" w:type="dxa"/>
            <w:gridSpan w:val="3"/>
            <w:tcBorders>
              <w:top w:val="single" w:sz="6" w:space="0" w:color="000000"/>
              <w:left w:val="single" w:sz="6" w:space="0" w:color="000000"/>
              <w:bottom w:val="single" w:sz="6" w:space="0" w:color="000000"/>
              <w:right w:val="single" w:sz="6" w:space="0" w:color="000000"/>
            </w:tcBorders>
          </w:tcPr>
          <w:p w14:paraId="03358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1111</w:t>
            </w:r>
          </w:p>
        </w:tc>
        <w:tc>
          <w:tcPr>
            <w:tcW w:w="550" w:type="dxa"/>
            <w:tcBorders>
              <w:top w:val="single" w:sz="6" w:space="0" w:color="000000"/>
              <w:left w:val="single" w:sz="6" w:space="0" w:color="000000"/>
              <w:bottom w:val="single" w:sz="6" w:space="0" w:color="000000"/>
              <w:right w:val="single" w:sz="6" w:space="0" w:color="000000"/>
            </w:tcBorders>
          </w:tcPr>
          <w:p w14:paraId="36D804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1065</w:t>
            </w:r>
          </w:p>
        </w:tc>
        <w:tc>
          <w:tcPr>
            <w:tcW w:w="550" w:type="dxa"/>
            <w:gridSpan w:val="2"/>
            <w:tcBorders>
              <w:top w:val="single" w:sz="6" w:space="0" w:color="000000"/>
              <w:left w:val="single" w:sz="6" w:space="0" w:color="000000"/>
              <w:bottom w:val="single" w:sz="6" w:space="0" w:color="000000"/>
              <w:right w:val="single" w:sz="6" w:space="0" w:color="000000"/>
            </w:tcBorders>
          </w:tcPr>
          <w:p w14:paraId="181F68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w:t>
            </w:r>
          </w:p>
        </w:tc>
        <w:tc>
          <w:tcPr>
            <w:tcW w:w="550" w:type="dxa"/>
            <w:tcBorders>
              <w:top w:val="single" w:sz="6" w:space="0" w:color="000000"/>
              <w:left w:val="single" w:sz="6" w:space="0" w:color="000000"/>
              <w:bottom w:val="single" w:sz="6" w:space="0" w:color="000000"/>
              <w:right w:val="single" w:sz="6" w:space="0" w:color="000000"/>
            </w:tcBorders>
          </w:tcPr>
          <w:p w14:paraId="07EF12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229</w:t>
            </w:r>
          </w:p>
        </w:tc>
        <w:tc>
          <w:tcPr>
            <w:tcW w:w="550" w:type="dxa"/>
            <w:gridSpan w:val="3"/>
            <w:tcBorders>
              <w:top w:val="single" w:sz="6" w:space="0" w:color="000000"/>
              <w:left w:val="single" w:sz="6" w:space="0" w:color="000000"/>
              <w:bottom w:val="single" w:sz="6" w:space="0" w:color="000000"/>
              <w:right w:val="single" w:sz="6" w:space="0" w:color="000000"/>
            </w:tcBorders>
          </w:tcPr>
          <w:p w14:paraId="799FDBE3"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4C38177"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5B4A58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7294</w:t>
            </w:r>
          </w:p>
        </w:tc>
        <w:tc>
          <w:tcPr>
            <w:tcW w:w="660" w:type="dxa"/>
            <w:tcBorders>
              <w:top w:val="single" w:sz="6" w:space="0" w:color="000000"/>
              <w:left w:val="single" w:sz="6" w:space="0" w:color="000000"/>
              <w:bottom w:val="single" w:sz="6" w:space="0" w:color="000000"/>
              <w:right w:val="single" w:sz="12" w:space="0" w:color="000000"/>
            </w:tcBorders>
          </w:tcPr>
          <w:p w14:paraId="4E273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6493</w:t>
            </w:r>
          </w:p>
        </w:tc>
      </w:tr>
      <w:tr w:rsidR="000F5689" w:rsidRPr="00925F26" w14:paraId="07FE865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C9D3B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Ла-5</w:t>
            </w:r>
          </w:p>
        </w:tc>
        <w:tc>
          <w:tcPr>
            <w:tcW w:w="550" w:type="dxa"/>
            <w:gridSpan w:val="3"/>
            <w:tcBorders>
              <w:top w:val="single" w:sz="6" w:space="0" w:color="000000"/>
              <w:left w:val="single" w:sz="6" w:space="0" w:color="000000"/>
              <w:bottom w:val="single" w:sz="6" w:space="0" w:color="000000"/>
              <w:right w:val="single" w:sz="6" w:space="0" w:color="000000"/>
            </w:tcBorders>
          </w:tcPr>
          <w:p w14:paraId="7705BC0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0BFE6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12BEB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1184</w:t>
            </w:r>
          </w:p>
        </w:tc>
        <w:tc>
          <w:tcPr>
            <w:tcW w:w="550" w:type="dxa"/>
            <w:tcBorders>
              <w:top w:val="single" w:sz="6" w:space="0" w:color="000000"/>
              <w:left w:val="single" w:sz="6" w:space="0" w:color="000000"/>
              <w:bottom w:val="single" w:sz="6" w:space="0" w:color="000000"/>
              <w:right w:val="single" w:sz="6" w:space="0" w:color="000000"/>
            </w:tcBorders>
          </w:tcPr>
          <w:p w14:paraId="5CED89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1129</w:t>
            </w:r>
          </w:p>
        </w:tc>
        <w:tc>
          <w:tcPr>
            <w:tcW w:w="550" w:type="dxa"/>
            <w:gridSpan w:val="3"/>
            <w:tcBorders>
              <w:top w:val="single" w:sz="6" w:space="0" w:color="000000"/>
              <w:left w:val="single" w:sz="6" w:space="0" w:color="000000"/>
              <w:bottom w:val="single" w:sz="6" w:space="0" w:color="000000"/>
              <w:right w:val="single" w:sz="6" w:space="0" w:color="000000"/>
            </w:tcBorders>
          </w:tcPr>
          <w:p w14:paraId="1FCDB3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4826</w:t>
            </w:r>
          </w:p>
        </w:tc>
        <w:tc>
          <w:tcPr>
            <w:tcW w:w="550" w:type="dxa"/>
            <w:tcBorders>
              <w:top w:val="single" w:sz="6" w:space="0" w:color="000000"/>
              <w:left w:val="single" w:sz="6" w:space="0" w:color="000000"/>
              <w:bottom w:val="single" w:sz="6" w:space="0" w:color="000000"/>
              <w:right w:val="single" w:sz="6" w:space="0" w:color="000000"/>
            </w:tcBorders>
          </w:tcPr>
          <w:p w14:paraId="316950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5038</w:t>
            </w:r>
          </w:p>
        </w:tc>
        <w:tc>
          <w:tcPr>
            <w:tcW w:w="550" w:type="dxa"/>
            <w:gridSpan w:val="2"/>
            <w:tcBorders>
              <w:top w:val="single" w:sz="6" w:space="0" w:color="000000"/>
              <w:left w:val="single" w:sz="6" w:space="0" w:color="000000"/>
              <w:bottom w:val="single" w:sz="6" w:space="0" w:color="000000"/>
              <w:right w:val="single" w:sz="6" w:space="0" w:color="000000"/>
            </w:tcBorders>
          </w:tcPr>
          <w:p w14:paraId="3050EA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3995</w:t>
            </w:r>
          </w:p>
        </w:tc>
        <w:tc>
          <w:tcPr>
            <w:tcW w:w="550" w:type="dxa"/>
            <w:tcBorders>
              <w:top w:val="single" w:sz="6" w:space="0" w:color="000000"/>
              <w:left w:val="single" w:sz="6" w:space="0" w:color="000000"/>
              <w:bottom w:val="single" w:sz="6" w:space="0" w:color="000000"/>
              <w:right w:val="single" w:sz="6" w:space="0" w:color="000000"/>
            </w:tcBorders>
          </w:tcPr>
          <w:p w14:paraId="2B48FE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3807</w:t>
            </w:r>
          </w:p>
        </w:tc>
        <w:tc>
          <w:tcPr>
            <w:tcW w:w="550" w:type="dxa"/>
            <w:gridSpan w:val="3"/>
            <w:tcBorders>
              <w:top w:val="single" w:sz="6" w:space="0" w:color="000000"/>
              <w:left w:val="single" w:sz="6" w:space="0" w:color="000000"/>
              <w:bottom w:val="single" w:sz="6" w:space="0" w:color="000000"/>
              <w:right w:val="single" w:sz="6" w:space="0" w:color="000000"/>
            </w:tcBorders>
          </w:tcPr>
          <w:p w14:paraId="2A4D635E"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5E9C963"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24DFDC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10005</w:t>
            </w:r>
          </w:p>
        </w:tc>
        <w:tc>
          <w:tcPr>
            <w:tcW w:w="660" w:type="dxa"/>
            <w:tcBorders>
              <w:top w:val="single" w:sz="6" w:space="0" w:color="000000"/>
              <w:left w:val="single" w:sz="6" w:space="0" w:color="000000"/>
              <w:bottom w:val="single" w:sz="6" w:space="0" w:color="000000"/>
              <w:right w:val="single" w:sz="12" w:space="0" w:color="000000"/>
            </w:tcBorders>
          </w:tcPr>
          <w:p w14:paraId="3B214F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9974</w:t>
            </w:r>
          </w:p>
        </w:tc>
      </w:tr>
      <w:tr w:rsidR="000F5689" w:rsidRPr="00925F26" w14:paraId="07C18F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A73C9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w:t>
            </w:r>
          </w:p>
        </w:tc>
        <w:tc>
          <w:tcPr>
            <w:tcW w:w="550" w:type="dxa"/>
            <w:gridSpan w:val="3"/>
            <w:tcBorders>
              <w:top w:val="single" w:sz="6" w:space="0" w:color="000000"/>
              <w:left w:val="single" w:sz="6" w:space="0" w:color="000000"/>
              <w:bottom w:val="single" w:sz="6" w:space="0" w:color="000000"/>
              <w:right w:val="single" w:sz="6" w:space="0" w:color="000000"/>
            </w:tcBorders>
          </w:tcPr>
          <w:p w14:paraId="5701AD63"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665814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F1EA571"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BDAFB3"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90A4317"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9BC93C3"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27D6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1791</w:t>
            </w:r>
          </w:p>
        </w:tc>
        <w:tc>
          <w:tcPr>
            <w:tcW w:w="550" w:type="dxa"/>
            <w:tcBorders>
              <w:top w:val="single" w:sz="6" w:space="0" w:color="000000"/>
              <w:left w:val="single" w:sz="6" w:space="0" w:color="000000"/>
              <w:bottom w:val="single" w:sz="6" w:space="0" w:color="000000"/>
              <w:right w:val="single" w:sz="6" w:space="0" w:color="000000"/>
            </w:tcBorders>
          </w:tcPr>
          <w:p w14:paraId="6F1163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2232</w:t>
            </w:r>
          </w:p>
        </w:tc>
        <w:tc>
          <w:tcPr>
            <w:tcW w:w="550" w:type="dxa"/>
            <w:gridSpan w:val="3"/>
            <w:tcBorders>
              <w:top w:val="single" w:sz="6" w:space="0" w:color="000000"/>
              <w:left w:val="single" w:sz="6" w:space="0" w:color="000000"/>
              <w:bottom w:val="single" w:sz="6" w:space="0" w:color="000000"/>
              <w:right w:val="single" w:sz="6" w:space="0" w:color="000000"/>
            </w:tcBorders>
          </w:tcPr>
          <w:p w14:paraId="0928F1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3301</w:t>
            </w:r>
          </w:p>
        </w:tc>
        <w:tc>
          <w:tcPr>
            <w:tcW w:w="550" w:type="dxa"/>
            <w:tcBorders>
              <w:top w:val="single" w:sz="6" w:space="0" w:color="000000"/>
              <w:left w:val="single" w:sz="6" w:space="0" w:color="000000"/>
              <w:bottom w:val="single" w:sz="6" w:space="0" w:color="000000"/>
              <w:right w:val="single" w:sz="6" w:space="0" w:color="000000"/>
            </w:tcBorders>
          </w:tcPr>
          <w:p w14:paraId="02D15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3451</w:t>
            </w:r>
          </w:p>
        </w:tc>
        <w:tc>
          <w:tcPr>
            <w:tcW w:w="660" w:type="dxa"/>
            <w:gridSpan w:val="3"/>
            <w:tcBorders>
              <w:top w:val="single" w:sz="6" w:space="0" w:color="000000"/>
              <w:left w:val="single" w:sz="6" w:space="0" w:color="000000"/>
              <w:bottom w:val="single" w:sz="6" w:space="0" w:color="000000"/>
              <w:right w:val="single" w:sz="6" w:space="0" w:color="000000"/>
            </w:tcBorders>
          </w:tcPr>
          <w:p w14:paraId="348FA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5092</w:t>
            </w:r>
          </w:p>
        </w:tc>
        <w:tc>
          <w:tcPr>
            <w:tcW w:w="660" w:type="dxa"/>
            <w:tcBorders>
              <w:top w:val="single" w:sz="6" w:space="0" w:color="000000"/>
              <w:left w:val="single" w:sz="6" w:space="0" w:color="000000"/>
              <w:bottom w:val="single" w:sz="6" w:space="0" w:color="000000"/>
              <w:right w:val="single" w:sz="12" w:space="0" w:color="000000"/>
            </w:tcBorders>
          </w:tcPr>
          <w:p w14:paraId="06ABCC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5683</w:t>
            </w:r>
          </w:p>
        </w:tc>
      </w:tr>
      <w:tr w:rsidR="000F5689" w:rsidRPr="00925F26" w14:paraId="2417D66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7B4D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5F24AC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8417</w:t>
            </w:r>
          </w:p>
        </w:tc>
        <w:tc>
          <w:tcPr>
            <w:tcW w:w="550" w:type="dxa"/>
            <w:tcBorders>
              <w:top w:val="single" w:sz="6" w:space="0" w:color="000000"/>
              <w:left w:val="single" w:sz="6" w:space="0" w:color="000000"/>
              <w:bottom w:val="single" w:sz="6" w:space="0" w:color="000000"/>
              <w:right w:val="single" w:sz="6" w:space="0" w:color="000000"/>
            </w:tcBorders>
          </w:tcPr>
          <w:p w14:paraId="1CF6BF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7220</w:t>
            </w:r>
          </w:p>
        </w:tc>
        <w:tc>
          <w:tcPr>
            <w:tcW w:w="550" w:type="dxa"/>
            <w:gridSpan w:val="3"/>
            <w:tcBorders>
              <w:top w:val="single" w:sz="6" w:space="0" w:color="000000"/>
              <w:left w:val="single" w:sz="6" w:space="0" w:color="000000"/>
              <w:bottom w:val="single" w:sz="6" w:space="0" w:color="000000"/>
              <w:right w:val="single" w:sz="6" w:space="0" w:color="000000"/>
            </w:tcBorders>
          </w:tcPr>
          <w:p w14:paraId="4122B0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9824</w:t>
            </w:r>
          </w:p>
        </w:tc>
        <w:tc>
          <w:tcPr>
            <w:tcW w:w="550" w:type="dxa"/>
            <w:tcBorders>
              <w:top w:val="single" w:sz="6" w:space="0" w:color="000000"/>
              <w:left w:val="single" w:sz="6" w:space="0" w:color="000000"/>
              <w:bottom w:val="single" w:sz="6" w:space="0" w:color="000000"/>
              <w:right w:val="single" w:sz="6" w:space="0" w:color="000000"/>
            </w:tcBorders>
          </w:tcPr>
          <w:p w14:paraId="6AD42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9643</w:t>
            </w:r>
          </w:p>
        </w:tc>
        <w:tc>
          <w:tcPr>
            <w:tcW w:w="550" w:type="dxa"/>
            <w:gridSpan w:val="3"/>
            <w:tcBorders>
              <w:top w:val="single" w:sz="6" w:space="0" w:color="000000"/>
              <w:left w:val="single" w:sz="6" w:space="0" w:color="000000"/>
              <w:bottom w:val="single" w:sz="6" w:space="0" w:color="000000"/>
              <w:right w:val="single" w:sz="6" w:space="0" w:color="000000"/>
            </w:tcBorders>
          </w:tcPr>
          <w:p w14:paraId="672526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14052</w:t>
            </w:r>
          </w:p>
        </w:tc>
        <w:tc>
          <w:tcPr>
            <w:tcW w:w="550" w:type="dxa"/>
            <w:tcBorders>
              <w:top w:val="single" w:sz="6" w:space="0" w:color="000000"/>
              <w:left w:val="single" w:sz="6" w:space="0" w:color="000000"/>
              <w:bottom w:val="single" w:sz="6" w:space="0" w:color="000000"/>
              <w:right w:val="single" w:sz="6" w:space="0" w:color="000000"/>
            </w:tcBorders>
          </w:tcPr>
          <w:p w14:paraId="1749CE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14292</w:t>
            </w:r>
          </w:p>
        </w:tc>
        <w:tc>
          <w:tcPr>
            <w:tcW w:w="550" w:type="dxa"/>
            <w:gridSpan w:val="2"/>
            <w:tcBorders>
              <w:top w:val="single" w:sz="6" w:space="0" w:color="000000"/>
              <w:left w:val="single" w:sz="6" w:space="0" w:color="000000"/>
              <w:bottom w:val="single" w:sz="6" w:space="0" w:color="000000"/>
              <w:right w:val="single" w:sz="6" w:space="0" w:color="000000"/>
            </w:tcBorders>
          </w:tcPr>
          <w:p w14:paraId="059650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17398</w:t>
            </w:r>
          </w:p>
        </w:tc>
        <w:tc>
          <w:tcPr>
            <w:tcW w:w="550" w:type="dxa"/>
            <w:tcBorders>
              <w:top w:val="single" w:sz="6" w:space="0" w:color="000000"/>
              <w:left w:val="single" w:sz="6" w:space="0" w:color="000000"/>
              <w:bottom w:val="single" w:sz="6" w:space="0" w:color="000000"/>
              <w:right w:val="single" w:sz="6" w:space="0" w:color="000000"/>
            </w:tcBorders>
          </w:tcPr>
          <w:p w14:paraId="72AE09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17872</w:t>
            </w:r>
          </w:p>
        </w:tc>
        <w:tc>
          <w:tcPr>
            <w:tcW w:w="550" w:type="dxa"/>
            <w:gridSpan w:val="3"/>
            <w:tcBorders>
              <w:top w:val="single" w:sz="6" w:space="0" w:color="000000"/>
              <w:left w:val="single" w:sz="6" w:space="0" w:color="000000"/>
              <w:bottom w:val="single" w:sz="6" w:space="0" w:color="000000"/>
              <w:right w:val="single" w:sz="6" w:space="0" w:color="000000"/>
            </w:tcBorders>
          </w:tcPr>
          <w:p w14:paraId="19C260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10423</w:t>
            </w:r>
          </w:p>
        </w:tc>
        <w:tc>
          <w:tcPr>
            <w:tcW w:w="550" w:type="dxa"/>
            <w:tcBorders>
              <w:top w:val="single" w:sz="6" w:space="0" w:color="000000"/>
              <w:left w:val="single" w:sz="6" w:space="0" w:color="000000"/>
              <w:bottom w:val="single" w:sz="6" w:space="0" w:color="000000"/>
              <w:right w:val="single" w:sz="6" w:space="0" w:color="000000"/>
            </w:tcBorders>
          </w:tcPr>
          <w:p w14:paraId="51080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10575</w:t>
            </w:r>
          </w:p>
        </w:tc>
        <w:tc>
          <w:tcPr>
            <w:tcW w:w="660" w:type="dxa"/>
            <w:gridSpan w:val="3"/>
            <w:tcBorders>
              <w:top w:val="single" w:sz="6" w:space="0" w:color="000000"/>
              <w:left w:val="single" w:sz="6" w:space="0" w:color="000000"/>
              <w:bottom w:val="single" w:sz="6" w:space="0" w:color="000000"/>
              <w:right w:val="single" w:sz="6" w:space="0" w:color="000000"/>
            </w:tcBorders>
          </w:tcPr>
          <w:p w14:paraId="3C18F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60114</w:t>
            </w:r>
          </w:p>
        </w:tc>
        <w:tc>
          <w:tcPr>
            <w:tcW w:w="660" w:type="dxa"/>
            <w:tcBorders>
              <w:top w:val="single" w:sz="6" w:space="0" w:color="000000"/>
              <w:left w:val="single" w:sz="6" w:space="0" w:color="000000"/>
              <w:bottom w:val="single" w:sz="6" w:space="0" w:color="000000"/>
              <w:right w:val="single" w:sz="12" w:space="0" w:color="000000"/>
            </w:tcBorders>
          </w:tcPr>
          <w:p w14:paraId="23DE59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59602</w:t>
            </w:r>
          </w:p>
        </w:tc>
      </w:tr>
      <w:tr w:rsidR="000F5689" w:rsidRPr="00925F26" w14:paraId="0D519B2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189D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боевых самолетов:</w:t>
            </w:r>
          </w:p>
        </w:tc>
        <w:tc>
          <w:tcPr>
            <w:tcW w:w="550" w:type="dxa"/>
            <w:gridSpan w:val="3"/>
            <w:tcBorders>
              <w:top w:val="single" w:sz="6" w:space="0" w:color="000000"/>
              <w:left w:val="single" w:sz="6" w:space="0" w:color="000000"/>
              <w:bottom w:val="single" w:sz="6" w:space="0" w:color="000000"/>
              <w:right w:val="single" w:sz="6" w:space="0" w:color="000000"/>
            </w:tcBorders>
          </w:tcPr>
          <w:p w14:paraId="5FAC5E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15326</w:t>
            </w:r>
          </w:p>
        </w:tc>
        <w:tc>
          <w:tcPr>
            <w:tcW w:w="550" w:type="dxa"/>
            <w:tcBorders>
              <w:top w:val="single" w:sz="6" w:space="0" w:color="000000"/>
              <w:left w:val="single" w:sz="6" w:space="0" w:color="000000"/>
              <w:bottom w:val="single" w:sz="6" w:space="0" w:color="000000"/>
              <w:right w:val="single" w:sz="6" w:space="0" w:color="000000"/>
            </w:tcBorders>
          </w:tcPr>
          <w:p w14:paraId="72AA5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12516</w:t>
            </w:r>
          </w:p>
        </w:tc>
        <w:tc>
          <w:tcPr>
            <w:tcW w:w="550" w:type="dxa"/>
            <w:gridSpan w:val="3"/>
            <w:tcBorders>
              <w:top w:val="single" w:sz="6" w:space="0" w:color="000000"/>
              <w:left w:val="single" w:sz="6" w:space="0" w:color="000000"/>
              <w:bottom w:val="single" w:sz="6" w:space="0" w:color="000000"/>
              <w:right w:val="single" w:sz="6" w:space="0" w:color="000000"/>
            </w:tcBorders>
          </w:tcPr>
          <w:p w14:paraId="0BB65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21282</w:t>
            </w:r>
          </w:p>
        </w:tc>
        <w:tc>
          <w:tcPr>
            <w:tcW w:w="550" w:type="dxa"/>
            <w:tcBorders>
              <w:top w:val="single" w:sz="6" w:space="0" w:color="000000"/>
              <w:left w:val="single" w:sz="6" w:space="0" w:color="000000"/>
              <w:bottom w:val="single" w:sz="6" w:space="0" w:color="000000"/>
              <w:right w:val="single" w:sz="6" w:space="0" w:color="000000"/>
            </w:tcBorders>
          </w:tcPr>
          <w:p w14:paraId="6DDFE8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21342</w:t>
            </w:r>
          </w:p>
        </w:tc>
        <w:tc>
          <w:tcPr>
            <w:tcW w:w="550" w:type="dxa"/>
            <w:gridSpan w:val="3"/>
            <w:tcBorders>
              <w:top w:val="single" w:sz="6" w:space="0" w:color="000000"/>
              <w:left w:val="single" w:sz="6" w:space="0" w:color="000000"/>
              <w:bottom w:val="single" w:sz="6" w:space="0" w:color="000000"/>
              <w:right w:val="single" w:sz="6" w:space="0" w:color="000000"/>
            </w:tcBorders>
          </w:tcPr>
          <w:p w14:paraId="41EC40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28741</w:t>
            </w:r>
          </w:p>
        </w:tc>
        <w:tc>
          <w:tcPr>
            <w:tcW w:w="550" w:type="dxa"/>
            <w:tcBorders>
              <w:top w:val="single" w:sz="6" w:space="0" w:color="000000"/>
              <w:left w:val="single" w:sz="6" w:space="0" w:color="000000"/>
              <w:bottom w:val="single" w:sz="6" w:space="0" w:color="000000"/>
              <w:right w:val="single" w:sz="6" w:space="0" w:color="000000"/>
            </w:tcBorders>
          </w:tcPr>
          <w:p w14:paraId="1F7D0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28984</w:t>
            </w:r>
          </w:p>
        </w:tc>
        <w:tc>
          <w:tcPr>
            <w:tcW w:w="550" w:type="dxa"/>
            <w:gridSpan w:val="2"/>
            <w:tcBorders>
              <w:top w:val="single" w:sz="6" w:space="0" w:color="000000"/>
              <w:left w:val="single" w:sz="6" w:space="0" w:color="000000"/>
              <w:bottom w:val="single" w:sz="6" w:space="0" w:color="000000"/>
              <w:right w:val="single" w:sz="6" w:space="0" w:color="000000"/>
            </w:tcBorders>
          </w:tcPr>
          <w:p w14:paraId="1A37B4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32447</w:t>
            </w:r>
          </w:p>
        </w:tc>
        <w:tc>
          <w:tcPr>
            <w:tcW w:w="550" w:type="dxa"/>
            <w:tcBorders>
              <w:top w:val="single" w:sz="6" w:space="0" w:color="000000"/>
              <w:left w:val="single" w:sz="6" w:space="0" w:color="000000"/>
              <w:bottom w:val="single" w:sz="6" w:space="0" w:color="000000"/>
              <w:right w:val="single" w:sz="6" w:space="0" w:color="000000"/>
            </w:tcBorders>
          </w:tcPr>
          <w:p w14:paraId="662266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32649</w:t>
            </w:r>
          </w:p>
        </w:tc>
        <w:tc>
          <w:tcPr>
            <w:tcW w:w="550" w:type="dxa"/>
            <w:gridSpan w:val="3"/>
            <w:tcBorders>
              <w:top w:val="single" w:sz="6" w:space="0" w:color="000000"/>
              <w:left w:val="single" w:sz="6" w:space="0" w:color="000000"/>
              <w:bottom w:val="single" w:sz="6" w:space="0" w:color="000000"/>
              <w:right w:val="single" w:sz="6" w:space="0" w:color="000000"/>
            </w:tcBorders>
          </w:tcPr>
          <w:p w14:paraId="50CD36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19209</w:t>
            </w:r>
          </w:p>
        </w:tc>
        <w:tc>
          <w:tcPr>
            <w:tcW w:w="550" w:type="dxa"/>
            <w:tcBorders>
              <w:top w:val="single" w:sz="6" w:space="0" w:color="000000"/>
              <w:left w:val="single" w:sz="6" w:space="0" w:color="000000"/>
              <w:bottom w:val="single" w:sz="6" w:space="0" w:color="000000"/>
              <w:right w:val="single" w:sz="6" w:space="0" w:color="000000"/>
            </w:tcBorders>
          </w:tcPr>
          <w:p w14:paraId="6BC13E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19228</w:t>
            </w:r>
          </w:p>
        </w:tc>
        <w:tc>
          <w:tcPr>
            <w:tcW w:w="660" w:type="dxa"/>
            <w:gridSpan w:val="3"/>
            <w:tcBorders>
              <w:top w:val="single" w:sz="6" w:space="0" w:color="000000"/>
              <w:left w:val="single" w:sz="6" w:space="0" w:color="000000"/>
              <w:bottom w:val="single" w:sz="6" w:space="0" w:color="000000"/>
              <w:right w:val="single" w:sz="6" w:space="0" w:color="000000"/>
            </w:tcBorders>
          </w:tcPr>
          <w:p w14:paraId="6F8685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117005</w:t>
            </w:r>
          </w:p>
        </w:tc>
        <w:tc>
          <w:tcPr>
            <w:tcW w:w="660" w:type="dxa"/>
            <w:tcBorders>
              <w:top w:val="single" w:sz="6" w:space="0" w:color="000000"/>
              <w:left w:val="single" w:sz="6" w:space="0" w:color="000000"/>
              <w:bottom w:val="single" w:sz="6" w:space="0" w:color="000000"/>
              <w:right w:val="single" w:sz="12" w:space="0" w:color="000000"/>
            </w:tcBorders>
          </w:tcPr>
          <w:p w14:paraId="16A9DB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114719</w:t>
            </w:r>
          </w:p>
        </w:tc>
      </w:tr>
      <w:tr w:rsidR="000F5689" w:rsidRPr="00925F26" w14:paraId="1CC09169"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6" w:space="0" w:color="000000"/>
              <w:left w:val="single" w:sz="12" w:space="0" w:color="000000"/>
              <w:bottom w:val="single" w:sz="6" w:space="0" w:color="000000"/>
              <w:right w:val="single" w:sz="12" w:space="0" w:color="000000"/>
            </w:tcBorders>
          </w:tcPr>
          <w:p w14:paraId="0EBA5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ТРАНСПОРТНЫЕ САМОЛЕТЫ</w:t>
            </w:r>
          </w:p>
        </w:tc>
      </w:tr>
      <w:tr w:rsidR="000F5689" w:rsidRPr="00925F26" w14:paraId="1A3E00F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2972A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Ли-2</w:t>
            </w:r>
          </w:p>
        </w:tc>
        <w:tc>
          <w:tcPr>
            <w:tcW w:w="550" w:type="dxa"/>
            <w:gridSpan w:val="3"/>
            <w:tcBorders>
              <w:top w:val="single" w:sz="6" w:space="0" w:color="000000"/>
              <w:left w:val="single" w:sz="6" w:space="0" w:color="000000"/>
              <w:bottom w:val="single" w:sz="6" w:space="0" w:color="000000"/>
              <w:right w:val="single" w:sz="6" w:space="0" w:color="000000"/>
            </w:tcBorders>
          </w:tcPr>
          <w:p w14:paraId="1C5118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199</w:t>
            </w:r>
          </w:p>
        </w:tc>
        <w:tc>
          <w:tcPr>
            <w:tcW w:w="550" w:type="dxa"/>
            <w:tcBorders>
              <w:top w:val="single" w:sz="6" w:space="0" w:color="000000"/>
              <w:left w:val="single" w:sz="6" w:space="0" w:color="000000"/>
              <w:bottom w:val="single" w:sz="6" w:space="0" w:color="000000"/>
              <w:right w:val="single" w:sz="6" w:space="0" w:color="000000"/>
            </w:tcBorders>
          </w:tcPr>
          <w:p w14:paraId="6E389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w:t>
            </w:r>
          </w:p>
        </w:tc>
        <w:tc>
          <w:tcPr>
            <w:tcW w:w="550" w:type="dxa"/>
            <w:gridSpan w:val="3"/>
            <w:tcBorders>
              <w:top w:val="single" w:sz="6" w:space="0" w:color="000000"/>
              <w:left w:val="single" w:sz="6" w:space="0" w:color="000000"/>
              <w:bottom w:val="single" w:sz="6" w:space="0" w:color="000000"/>
              <w:right w:val="single" w:sz="6" w:space="0" w:color="000000"/>
            </w:tcBorders>
          </w:tcPr>
          <w:p w14:paraId="0BE139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483</w:t>
            </w:r>
          </w:p>
        </w:tc>
        <w:tc>
          <w:tcPr>
            <w:tcW w:w="550" w:type="dxa"/>
            <w:tcBorders>
              <w:top w:val="single" w:sz="6" w:space="0" w:color="000000"/>
              <w:left w:val="single" w:sz="6" w:space="0" w:color="000000"/>
              <w:bottom w:val="single" w:sz="6" w:space="0" w:color="000000"/>
              <w:right w:val="single" w:sz="6" w:space="0" w:color="000000"/>
            </w:tcBorders>
          </w:tcPr>
          <w:p w14:paraId="5A55A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423</w:t>
            </w:r>
          </w:p>
        </w:tc>
        <w:tc>
          <w:tcPr>
            <w:tcW w:w="550" w:type="dxa"/>
            <w:gridSpan w:val="3"/>
            <w:tcBorders>
              <w:top w:val="single" w:sz="6" w:space="0" w:color="000000"/>
              <w:left w:val="single" w:sz="6" w:space="0" w:color="000000"/>
              <w:bottom w:val="single" w:sz="6" w:space="0" w:color="000000"/>
              <w:right w:val="single" w:sz="6" w:space="0" w:color="000000"/>
            </w:tcBorders>
          </w:tcPr>
          <w:p w14:paraId="22DA7D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584</w:t>
            </w:r>
          </w:p>
        </w:tc>
        <w:tc>
          <w:tcPr>
            <w:tcW w:w="550" w:type="dxa"/>
            <w:tcBorders>
              <w:top w:val="single" w:sz="6" w:space="0" w:color="000000"/>
              <w:left w:val="single" w:sz="6" w:space="0" w:color="000000"/>
              <w:bottom w:val="single" w:sz="6" w:space="0" w:color="000000"/>
              <w:right w:val="single" w:sz="6" w:space="0" w:color="000000"/>
            </w:tcBorders>
          </w:tcPr>
          <w:p w14:paraId="33094A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618</w:t>
            </w:r>
          </w:p>
        </w:tc>
        <w:tc>
          <w:tcPr>
            <w:tcW w:w="550" w:type="dxa"/>
            <w:gridSpan w:val="2"/>
            <w:tcBorders>
              <w:top w:val="single" w:sz="6" w:space="0" w:color="000000"/>
              <w:left w:val="single" w:sz="6" w:space="0" w:color="000000"/>
              <w:bottom w:val="single" w:sz="6" w:space="0" w:color="000000"/>
              <w:right w:val="single" w:sz="6" w:space="0" w:color="000000"/>
            </w:tcBorders>
          </w:tcPr>
          <w:p w14:paraId="068992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550" w:type="dxa"/>
            <w:tcBorders>
              <w:top w:val="single" w:sz="6" w:space="0" w:color="000000"/>
              <w:left w:val="single" w:sz="6" w:space="0" w:color="000000"/>
              <w:bottom w:val="single" w:sz="6" w:space="0" w:color="000000"/>
              <w:right w:val="single" w:sz="6" w:space="0" w:color="000000"/>
            </w:tcBorders>
          </w:tcPr>
          <w:p w14:paraId="66B76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626</w:t>
            </w:r>
          </w:p>
        </w:tc>
        <w:tc>
          <w:tcPr>
            <w:tcW w:w="550" w:type="dxa"/>
            <w:gridSpan w:val="3"/>
            <w:tcBorders>
              <w:top w:val="single" w:sz="6" w:space="0" w:color="000000"/>
              <w:left w:val="single" w:sz="6" w:space="0" w:color="000000"/>
              <w:bottom w:val="single" w:sz="6" w:space="0" w:color="000000"/>
              <w:right w:val="single" w:sz="6" w:space="0" w:color="000000"/>
            </w:tcBorders>
          </w:tcPr>
          <w:p w14:paraId="25A6EF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550" w:type="dxa"/>
            <w:tcBorders>
              <w:top w:val="single" w:sz="6" w:space="0" w:color="000000"/>
              <w:left w:val="single" w:sz="6" w:space="0" w:color="000000"/>
              <w:bottom w:val="single" w:sz="6" w:space="0" w:color="000000"/>
              <w:right w:val="single" w:sz="6" w:space="0" w:color="000000"/>
            </w:tcBorders>
          </w:tcPr>
          <w:p w14:paraId="102E6B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458</w:t>
            </w:r>
          </w:p>
        </w:tc>
        <w:tc>
          <w:tcPr>
            <w:tcW w:w="660" w:type="dxa"/>
            <w:gridSpan w:val="3"/>
            <w:tcBorders>
              <w:top w:val="single" w:sz="6" w:space="0" w:color="000000"/>
              <w:left w:val="single" w:sz="6" w:space="0" w:color="000000"/>
              <w:bottom w:val="single" w:sz="6" w:space="0" w:color="000000"/>
              <w:right w:val="single" w:sz="6" w:space="0" w:color="000000"/>
            </w:tcBorders>
          </w:tcPr>
          <w:p w14:paraId="5FD9C9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2452</w:t>
            </w:r>
          </w:p>
        </w:tc>
        <w:tc>
          <w:tcPr>
            <w:tcW w:w="660" w:type="dxa"/>
            <w:tcBorders>
              <w:top w:val="single" w:sz="6" w:space="0" w:color="000000"/>
              <w:left w:val="single" w:sz="6" w:space="0" w:color="000000"/>
              <w:bottom w:val="single" w:sz="6" w:space="0" w:color="000000"/>
              <w:right w:val="single" w:sz="12" w:space="0" w:color="000000"/>
            </w:tcBorders>
          </w:tcPr>
          <w:p w14:paraId="41093B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2362</w:t>
            </w:r>
          </w:p>
        </w:tc>
      </w:tr>
      <w:tr w:rsidR="000F5689" w:rsidRPr="00925F26" w14:paraId="5A3C542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B6CE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Як-6</w:t>
            </w:r>
          </w:p>
        </w:tc>
        <w:tc>
          <w:tcPr>
            <w:tcW w:w="550" w:type="dxa"/>
            <w:gridSpan w:val="3"/>
            <w:tcBorders>
              <w:top w:val="single" w:sz="6" w:space="0" w:color="000000"/>
              <w:left w:val="single" w:sz="6" w:space="0" w:color="000000"/>
              <w:bottom w:val="single" w:sz="6" w:space="0" w:color="000000"/>
              <w:right w:val="single" w:sz="6" w:space="0" w:color="000000"/>
            </w:tcBorders>
          </w:tcPr>
          <w:p w14:paraId="1B2D4ED7"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436416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07903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w:t>
            </w:r>
          </w:p>
        </w:tc>
        <w:tc>
          <w:tcPr>
            <w:tcW w:w="550" w:type="dxa"/>
            <w:tcBorders>
              <w:top w:val="single" w:sz="6" w:space="0" w:color="000000"/>
              <w:left w:val="single" w:sz="6" w:space="0" w:color="000000"/>
              <w:bottom w:val="single" w:sz="6" w:space="0" w:color="000000"/>
              <w:right w:val="single" w:sz="6" w:space="0" w:color="000000"/>
            </w:tcBorders>
          </w:tcPr>
          <w:p w14:paraId="5D7738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550" w:type="dxa"/>
            <w:gridSpan w:val="3"/>
            <w:tcBorders>
              <w:top w:val="single" w:sz="6" w:space="0" w:color="000000"/>
              <w:left w:val="single" w:sz="6" w:space="0" w:color="000000"/>
              <w:bottom w:val="single" w:sz="6" w:space="0" w:color="000000"/>
              <w:right w:val="single" w:sz="6" w:space="0" w:color="000000"/>
            </w:tcBorders>
          </w:tcPr>
          <w:p w14:paraId="41AF4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372</w:t>
            </w:r>
          </w:p>
        </w:tc>
        <w:tc>
          <w:tcPr>
            <w:tcW w:w="550" w:type="dxa"/>
            <w:tcBorders>
              <w:top w:val="single" w:sz="6" w:space="0" w:color="000000"/>
              <w:left w:val="single" w:sz="6" w:space="0" w:color="000000"/>
              <w:bottom w:val="single" w:sz="6" w:space="0" w:color="000000"/>
              <w:right w:val="single" w:sz="6" w:space="0" w:color="000000"/>
            </w:tcBorders>
          </w:tcPr>
          <w:p w14:paraId="7CE11D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c>
          <w:tcPr>
            <w:tcW w:w="550" w:type="dxa"/>
            <w:gridSpan w:val="2"/>
            <w:tcBorders>
              <w:top w:val="single" w:sz="6" w:space="0" w:color="000000"/>
              <w:left w:val="single" w:sz="6" w:space="0" w:color="000000"/>
              <w:bottom w:val="single" w:sz="6" w:space="0" w:color="000000"/>
              <w:right w:val="single" w:sz="6" w:space="0" w:color="000000"/>
            </w:tcBorders>
          </w:tcPr>
          <w:p w14:paraId="63399222"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A7FF7D"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2012FC8"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92EF89"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49FC39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431</w:t>
            </w:r>
          </w:p>
        </w:tc>
        <w:tc>
          <w:tcPr>
            <w:tcW w:w="660" w:type="dxa"/>
            <w:tcBorders>
              <w:top w:val="single" w:sz="6" w:space="0" w:color="000000"/>
              <w:left w:val="single" w:sz="6" w:space="0" w:color="000000"/>
              <w:bottom w:val="single" w:sz="6" w:space="0" w:color="000000"/>
              <w:right w:val="single" w:sz="12" w:space="0" w:color="000000"/>
            </w:tcBorders>
          </w:tcPr>
          <w:p w14:paraId="6C38CD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w:t>
            </w:r>
          </w:p>
        </w:tc>
      </w:tr>
      <w:tr w:rsidR="000F5689" w:rsidRPr="00925F26" w14:paraId="24CB547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74D0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Ще-2</w:t>
            </w:r>
          </w:p>
        </w:tc>
        <w:tc>
          <w:tcPr>
            <w:tcW w:w="550" w:type="dxa"/>
            <w:gridSpan w:val="3"/>
            <w:tcBorders>
              <w:top w:val="single" w:sz="6" w:space="0" w:color="000000"/>
              <w:left w:val="single" w:sz="6" w:space="0" w:color="000000"/>
              <w:bottom w:val="single" w:sz="6" w:space="0" w:color="000000"/>
              <w:right w:val="single" w:sz="6" w:space="0" w:color="000000"/>
            </w:tcBorders>
          </w:tcPr>
          <w:p w14:paraId="37606C48"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926E325"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3E4C5E1"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A880E7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0A0FC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550" w:type="dxa"/>
            <w:tcBorders>
              <w:top w:val="single" w:sz="6" w:space="0" w:color="000000"/>
              <w:left w:val="single" w:sz="6" w:space="0" w:color="000000"/>
              <w:bottom w:val="single" w:sz="6" w:space="0" w:color="000000"/>
              <w:right w:val="single" w:sz="6" w:space="0" w:color="000000"/>
            </w:tcBorders>
          </w:tcPr>
          <w:p w14:paraId="3AF41C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50" w:type="dxa"/>
            <w:gridSpan w:val="2"/>
            <w:tcBorders>
              <w:top w:val="single" w:sz="6" w:space="0" w:color="000000"/>
              <w:left w:val="single" w:sz="6" w:space="0" w:color="000000"/>
              <w:bottom w:val="single" w:sz="6" w:space="0" w:color="000000"/>
              <w:right w:val="single" w:sz="6" w:space="0" w:color="000000"/>
            </w:tcBorders>
          </w:tcPr>
          <w:p w14:paraId="41F19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w:t>
            </w:r>
          </w:p>
        </w:tc>
        <w:tc>
          <w:tcPr>
            <w:tcW w:w="550" w:type="dxa"/>
            <w:tcBorders>
              <w:top w:val="single" w:sz="6" w:space="0" w:color="000000"/>
              <w:left w:val="single" w:sz="6" w:space="0" w:color="000000"/>
              <w:bottom w:val="single" w:sz="6" w:space="0" w:color="000000"/>
              <w:right w:val="single" w:sz="6" w:space="0" w:color="000000"/>
            </w:tcBorders>
          </w:tcPr>
          <w:p w14:paraId="6B80AA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w:t>
            </w:r>
          </w:p>
        </w:tc>
        <w:tc>
          <w:tcPr>
            <w:tcW w:w="550" w:type="dxa"/>
            <w:gridSpan w:val="3"/>
            <w:tcBorders>
              <w:top w:val="single" w:sz="6" w:space="0" w:color="000000"/>
              <w:left w:val="single" w:sz="6" w:space="0" w:color="000000"/>
              <w:bottom w:val="single" w:sz="6" w:space="0" w:color="000000"/>
              <w:right w:val="single" w:sz="6" w:space="0" w:color="000000"/>
            </w:tcBorders>
          </w:tcPr>
          <w:p w14:paraId="420A6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306</w:t>
            </w:r>
          </w:p>
        </w:tc>
        <w:tc>
          <w:tcPr>
            <w:tcW w:w="550" w:type="dxa"/>
            <w:tcBorders>
              <w:top w:val="single" w:sz="6" w:space="0" w:color="000000"/>
              <w:left w:val="single" w:sz="6" w:space="0" w:color="000000"/>
              <w:bottom w:val="single" w:sz="6" w:space="0" w:color="000000"/>
              <w:right w:val="single" w:sz="6" w:space="0" w:color="000000"/>
            </w:tcBorders>
          </w:tcPr>
          <w:p w14:paraId="2476C8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283</w:t>
            </w:r>
          </w:p>
        </w:tc>
        <w:tc>
          <w:tcPr>
            <w:tcW w:w="660" w:type="dxa"/>
            <w:gridSpan w:val="3"/>
            <w:tcBorders>
              <w:top w:val="single" w:sz="6" w:space="0" w:color="000000"/>
              <w:left w:val="single" w:sz="6" w:space="0" w:color="000000"/>
              <w:bottom w:val="single" w:sz="6" w:space="0" w:color="000000"/>
              <w:right w:val="single" w:sz="6" w:space="0" w:color="000000"/>
            </w:tcBorders>
          </w:tcPr>
          <w:p w14:paraId="7BFC77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576</w:t>
            </w:r>
          </w:p>
        </w:tc>
        <w:tc>
          <w:tcPr>
            <w:tcW w:w="660" w:type="dxa"/>
            <w:tcBorders>
              <w:top w:val="single" w:sz="6" w:space="0" w:color="000000"/>
              <w:left w:val="single" w:sz="6" w:space="0" w:color="000000"/>
              <w:bottom w:val="single" w:sz="6" w:space="0" w:color="000000"/>
              <w:right w:val="single" w:sz="12" w:space="0" w:color="000000"/>
            </w:tcBorders>
          </w:tcPr>
          <w:p w14:paraId="1F6FF3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505</w:t>
            </w:r>
          </w:p>
        </w:tc>
      </w:tr>
      <w:tr w:rsidR="000F5689" w:rsidRPr="00925F26" w14:paraId="3029C4F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7755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С-2</w:t>
            </w:r>
          </w:p>
        </w:tc>
        <w:tc>
          <w:tcPr>
            <w:tcW w:w="550" w:type="dxa"/>
            <w:gridSpan w:val="3"/>
            <w:tcBorders>
              <w:top w:val="single" w:sz="6" w:space="0" w:color="000000"/>
              <w:left w:val="single" w:sz="6" w:space="0" w:color="000000"/>
              <w:bottom w:val="single" w:sz="6" w:space="0" w:color="000000"/>
              <w:right w:val="single" w:sz="6" w:space="0" w:color="000000"/>
            </w:tcBorders>
          </w:tcPr>
          <w:p w14:paraId="5B8E73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w:t>
            </w:r>
          </w:p>
        </w:tc>
        <w:tc>
          <w:tcPr>
            <w:tcW w:w="550" w:type="dxa"/>
            <w:tcBorders>
              <w:top w:val="single" w:sz="6" w:space="0" w:color="000000"/>
              <w:left w:val="single" w:sz="6" w:space="0" w:color="000000"/>
              <w:bottom w:val="single" w:sz="6" w:space="0" w:color="000000"/>
              <w:right w:val="single" w:sz="6" w:space="0" w:color="000000"/>
            </w:tcBorders>
          </w:tcPr>
          <w:p w14:paraId="02FB38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550" w:type="dxa"/>
            <w:gridSpan w:val="3"/>
            <w:tcBorders>
              <w:top w:val="single" w:sz="6" w:space="0" w:color="000000"/>
              <w:left w:val="single" w:sz="6" w:space="0" w:color="000000"/>
              <w:bottom w:val="single" w:sz="6" w:space="0" w:color="000000"/>
              <w:right w:val="single" w:sz="6" w:space="0" w:color="000000"/>
            </w:tcBorders>
          </w:tcPr>
          <w:p w14:paraId="7AADF0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550" w:type="dxa"/>
            <w:tcBorders>
              <w:top w:val="single" w:sz="6" w:space="0" w:color="000000"/>
              <w:left w:val="single" w:sz="6" w:space="0" w:color="000000"/>
              <w:bottom w:val="single" w:sz="6" w:space="0" w:color="000000"/>
              <w:right w:val="single" w:sz="6" w:space="0" w:color="000000"/>
            </w:tcBorders>
          </w:tcPr>
          <w:p w14:paraId="7DE95D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550" w:type="dxa"/>
            <w:gridSpan w:val="3"/>
            <w:tcBorders>
              <w:top w:val="single" w:sz="6" w:space="0" w:color="000000"/>
              <w:left w:val="single" w:sz="6" w:space="0" w:color="000000"/>
              <w:bottom w:val="single" w:sz="6" w:space="0" w:color="000000"/>
              <w:right w:val="single" w:sz="6" w:space="0" w:color="000000"/>
            </w:tcBorders>
          </w:tcPr>
          <w:p w14:paraId="7CC3FE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248</w:t>
            </w:r>
          </w:p>
        </w:tc>
        <w:tc>
          <w:tcPr>
            <w:tcW w:w="550" w:type="dxa"/>
            <w:tcBorders>
              <w:top w:val="single" w:sz="6" w:space="0" w:color="000000"/>
              <w:left w:val="single" w:sz="6" w:space="0" w:color="000000"/>
              <w:bottom w:val="single" w:sz="6" w:space="0" w:color="000000"/>
              <w:right w:val="single" w:sz="6" w:space="0" w:color="000000"/>
            </w:tcBorders>
          </w:tcPr>
          <w:p w14:paraId="060816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550" w:type="dxa"/>
            <w:gridSpan w:val="2"/>
            <w:tcBorders>
              <w:top w:val="single" w:sz="6" w:space="0" w:color="000000"/>
              <w:left w:val="single" w:sz="6" w:space="0" w:color="000000"/>
              <w:bottom w:val="single" w:sz="6" w:space="0" w:color="000000"/>
              <w:right w:val="single" w:sz="6" w:space="0" w:color="000000"/>
            </w:tcBorders>
          </w:tcPr>
          <w:p w14:paraId="7F55D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616</w:t>
            </w:r>
          </w:p>
        </w:tc>
        <w:tc>
          <w:tcPr>
            <w:tcW w:w="550" w:type="dxa"/>
            <w:tcBorders>
              <w:top w:val="single" w:sz="6" w:space="0" w:color="000000"/>
              <w:left w:val="single" w:sz="6" w:space="0" w:color="000000"/>
              <w:bottom w:val="single" w:sz="6" w:space="0" w:color="000000"/>
              <w:right w:val="single" w:sz="6" w:space="0" w:color="000000"/>
            </w:tcBorders>
          </w:tcPr>
          <w:p w14:paraId="1B446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647</w:t>
            </w:r>
          </w:p>
        </w:tc>
        <w:tc>
          <w:tcPr>
            <w:tcW w:w="550" w:type="dxa"/>
            <w:gridSpan w:val="3"/>
            <w:tcBorders>
              <w:top w:val="single" w:sz="6" w:space="0" w:color="000000"/>
              <w:left w:val="single" w:sz="6" w:space="0" w:color="000000"/>
              <w:bottom w:val="single" w:sz="6" w:space="0" w:color="000000"/>
              <w:right w:val="single" w:sz="6" w:space="0" w:color="000000"/>
            </w:tcBorders>
          </w:tcPr>
          <w:p w14:paraId="2A064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575</w:t>
            </w:r>
          </w:p>
        </w:tc>
        <w:tc>
          <w:tcPr>
            <w:tcW w:w="550" w:type="dxa"/>
            <w:tcBorders>
              <w:top w:val="single" w:sz="6" w:space="0" w:color="000000"/>
              <w:left w:val="single" w:sz="6" w:space="0" w:color="000000"/>
              <w:bottom w:val="single" w:sz="6" w:space="0" w:color="000000"/>
              <w:right w:val="single" w:sz="6" w:space="0" w:color="000000"/>
            </w:tcBorders>
          </w:tcPr>
          <w:p w14:paraId="4D4A3E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440</w:t>
            </w:r>
          </w:p>
        </w:tc>
        <w:tc>
          <w:tcPr>
            <w:tcW w:w="660" w:type="dxa"/>
            <w:gridSpan w:val="3"/>
            <w:tcBorders>
              <w:top w:val="single" w:sz="6" w:space="0" w:color="000000"/>
              <w:left w:val="single" w:sz="6" w:space="0" w:color="000000"/>
              <w:bottom w:val="single" w:sz="6" w:space="0" w:color="000000"/>
              <w:right w:val="single" w:sz="6" w:space="0" w:color="000000"/>
            </w:tcBorders>
          </w:tcPr>
          <w:p w14:paraId="345160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1532</w:t>
            </w:r>
          </w:p>
        </w:tc>
        <w:tc>
          <w:tcPr>
            <w:tcW w:w="660" w:type="dxa"/>
            <w:tcBorders>
              <w:top w:val="single" w:sz="6" w:space="0" w:color="000000"/>
              <w:left w:val="single" w:sz="6" w:space="0" w:color="000000"/>
              <w:bottom w:val="single" w:sz="6" w:space="0" w:color="000000"/>
              <w:right w:val="single" w:sz="12" w:space="0" w:color="000000"/>
            </w:tcBorders>
          </w:tcPr>
          <w:p w14:paraId="30F7D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1367</w:t>
            </w:r>
          </w:p>
        </w:tc>
      </w:tr>
      <w:tr w:rsidR="000F5689" w:rsidRPr="00925F26" w14:paraId="3E5A7712"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D762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48DCD9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w:t>
            </w:r>
          </w:p>
        </w:tc>
        <w:tc>
          <w:tcPr>
            <w:tcW w:w="550" w:type="dxa"/>
            <w:tcBorders>
              <w:top w:val="single" w:sz="6" w:space="0" w:color="000000"/>
              <w:left w:val="single" w:sz="6" w:space="0" w:color="000000"/>
              <w:bottom w:val="single" w:sz="6" w:space="0" w:color="000000"/>
              <w:right w:val="single" w:sz="6" w:space="0" w:color="000000"/>
            </w:tcBorders>
          </w:tcPr>
          <w:p w14:paraId="5B9328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257</w:t>
            </w:r>
          </w:p>
        </w:tc>
        <w:tc>
          <w:tcPr>
            <w:tcW w:w="550" w:type="dxa"/>
            <w:gridSpan w:val="3"/>
            <w:tcBorders>
              <w:top w:val="single" w:sz="6" w:space="0" w:color="000000"/>
              <w:left w:val="single" w:sz="6" w:space="0" w:color="000000"/>
              <w:bottom w:val="single" w:sz="6" w:space="0" w:color="000000"/>
              <w:right w:val="single" w:sz="6" w:space="0" w:color="000000"/>
            </w:tcBorders>
          </w:tcPr>
          <w:p w14:paraId="377C0F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559</w:t>
            </w:r>
          </w:p>
        </w:tc>
        <w:tc>
          <w:tcPr>
            <w:tcW w:w="550" w:type="dxa"/>
            <w:tcBorders>
              <w:top w:val="single" w:sz="6" w:space="0" w:color="000000"/>
              <w:left w:val="single" w:sz="6" w:space="0" w:color="000000"/>
              <w:bottom w:val="single" w:sz="6" w:space="0" w:color="000000"/>
              <w:right w:val="single" w:sz="6" w:space="0" w:color="000000"/>
            </w:tcBorders>
          </w:tcPr>
          <w:p w14:paraId="2D629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466</w:t>
            </w:r>
          </w:p>
        </w:tc>
        <w:tc>
          <w:tcPr>
            <w:tcW w:w="550" w:type="dxa"/>
            <w:gridSpan w:val="3"/>
            <w:tcBorders>
              <w:top w:val="single" w:sz="6" w:space="0" w:color="000000"/>
              <w:left w:val="single" w:sz="6" w:space="0" w:color="000000"/>
              <w:bottom w:val="single" w:sz="6" w:space="0" w:color="000000"/>
              <w:right w:val="single" w:sz="6" w:space="0" w:color="000000"/>
            </w:tcBorders>
          </w:tcPr>
          <w:p w14:paraId="39A48A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1209</w:t>
            </w:r>
          </w:p>
        </w:tc>
        <w:tc>
          <w:tcPr>
            <w:tcW w:w="550" w:type="dxa"/>
            <w:tcBorders>
              <w:top w:val="single" w:sz="6" w:space="0" w:color="000000"/>
              <w:left w:val="single" w:sz="6" w:space="0" w:color="000000"/>
              <w:bottom w:val="single" w:sz="6" w:space="0" w:color="000000"/>
              <w:right w:val="single" w:sz="6" w:space="0" w:color="000000"/>
            </w:tcBorders>
          </w:tcPr>
          <w:p w14:paraId="7864CD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1198</w:t>
            </w:r>
          </w:p>
        </w:tc>
        <w:tc>
          <w:tcPr>
            <w:tcW w:w="550" w:type="dxa"/>
            <w:gridSpan w:val="2"/>
            <w:tcBorders>
              <w:top w:val="single" w:sz="6" w:space="0" w:color="000000"/>
              <w:left w:val="single" w:sz="6" w:space="0" w:color="000000"/>
              <w:bottom w:val="single" w:sz="6" w:space="0" w:color="000000"/>
              <w:right w:val="single" w:sz="6" w:space="0" w:color="000000"/>
            </w:tcBorders>
          </w:tcPr>
          <w:p w14:paraId="4E1BF0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1497</w:t>
            </w:r>
          </w:p>
        </w:tc>
        <w:tc>
          <w:tcPr>
            <w:tcW w:w="550" w:type="dxa"/>
            <w:tcBorders>
              <w:top w:val="single" w:sz="6" w:space="0" w:color="000000"/>
              <w:left w:val="single" w:sz="6" w:space="0" w:color="000000"/>
              <w:bottom w:val="single" w:sz="6" w:space="0" w:color="000000"/>
              <w:right w:val="single" w:sz="6" w:space="0" w:color="000000"/>
            </w:tcBorders>
          </w:tcPr>
          <w:p w14:paraId="20EDCF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1495</w:t>
            </w:r>
          </w:p>
        </w:tc>
        <w:tc>
          <w:tcPr>
            <w:tcW w:w="550" w:type="dxa"/>
            <w:gridSpan w:val="3"/>
            <w:tcBorders>
              <w:top w:val="single" w:sz="6" w:space="0" w:color="000000"/>
              <w:left w:val="single" w:sz="6" w:space="0" w:color="000000"/>
              <w:bottom w:val="single" w:sz="6" w:space="0" w:color="000000"/>
              <w:right w:val="single" w:sz="6" w:space="0" w:color="000000"/>
            </w:tcBorders>
          </w:tcPr>
          <w:p w14:paraId="5E4519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1451</w:t>
            </w:r>
          </w:p>
        </w:tc>
        <w:tc>
          <w:tcPr>
            <w:tcW w:w="550" w:type="dxa"/>
            <w:tcBorders>
              <w:top w:val="single" w:sz="6" w:space="0" w:color="000000"/>
              <w:left w:val="single" w:sz="6" w:space="0" w:color="000000"/>
              <w:bottom w:val="single" w:sz="6" w:space="0" w:color="000000"/>
              <w:right w:val="single" w:sz="6" w:space="0" w:color="000000"/>
            </w:tcBorders>
          </w:tcPr>
          <w:p w14:paraId="1BE010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1181</w:t>
            </w:r>
          </w:p>
        </w:tc>
        <w:tc>
          <w:tcPr>
            <w:tcW w:w="660" w:type="dxa"/>
            <w:gridSpan w:val="3"/>
            <w:tcBorders>
              <w:top w:val="single" w:sz="6" w:space="0" w:color="000000"/>
              <w:left w:val="single" w:sz="6" w:space="0" w:color="000000"/>
              <w:bottom w:val="single" w:sz="6" w:space="0" w:color="000000"/>
              <w:right w:val="single" w:sz="6" w:space="0" w:color="000000"/>
            </w:tcBorders>
          </w:tcPr>
          <w:p w14:paraId="7DE2D8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4991</w:t>
            </w:r>
          </w:p>
        </w:tc>
        <w:tc>
          <w:tcPr>
            <w:tcW w:w="660" w:type="dxa"/>
            <w:tcBorders>
              <w:top w:val="single" w:sz="6" w:space="0" w:color="000000"/>
              <w:left w:val="single" w:sz="6" w:space="0" w:color="000000"/>
              <w:bottom w:val="single" w:sz="6" w:space="0" w:color="000000"/>
              <w:right w:val="single" w:sz="12" w:space="0" w:color="000000"/>
            </w:tcBorders>
          </w:tcPr>
          <w:p w14:paraId="028EE1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4597</w:t>
            </w:r>
          </w:p>
        </w:tc>
      </w:tr>
      <w:tr w:rsidR="000F5689" w:rsidRPr="00925F26" w14:paraId="451B6C0B"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6" w:space="0" w:color="000000"/>
              <w:left w:val="single" w:sz="12" w:space="0" w:color="000000"/>
              <w:bottom w:val="single" w:sz="6" w:space="0" w:color="000000"/>
              <w:right w:val="single" w:sz="12" w:space="0" w:color="000000"/>
            </w:tcBorders>
          </w:tcPr>
          <w:p w14:paraId="2F96BE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ЛЕГКОМОТОРНЫЕ И УЧЕБНЫЕ САМОЛЕТЫ</w:t>
            </w:r>
          </w:p>
        </w:tc>
      </w:tr>
      <w:tr w:rsidR="000F5689" w:rsidRPr="00925F26" w14:paraId="59C545C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80CC8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По-2</w:t>
            </w:r>
          </w:p>
        </w:tc>
        <w:tc>
          <w:tcPr>
            <w:tcW w:w="550" w:type="dxa"/>
            <w:gridSpan w:val="3"/>
            <w:tcBorders>
              <w:top w:val="single" w:sz="6" w:space="0" w:color="000000"/>
              <w:left w:val="single" w:sz="6" w:space="0" w:color="000000"/>
              <w:bottom w:val="single" w:sz="6" w:space="0" w:color="000000"/>
              <w:right w:val="single" w:sz="6" w:space="0" w:color="000000"/>
            </w:tcBorders>
          </w:tcPr>
          <w:p w14:paraId="2D663D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631</w:t>
            </w:r>
          </w:p>
        </w:tc>
        <w:tc>
          <w:tcPr>
            <w:tcW w:w="550" w:type="dxa"/>
            <w:tcBorders>
              <w:top w:val="single" w:sz="6" w:space="0" w:color="000000"/>
              <w:left w:val="single" w:sz="6" w:space="0" w:color="000000"/>
              <w:bottom w:val="single" w:sz="6" w:space="0" w:color="000000"/>
              <w:right w:val="single" w:sz="6" w:space="0" w:color="000000"/>
            </w:tcBorders>
          </w:tcPr>
          <w:p w14:paraId="4646DB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1245</w:t>
            </w:r>
          </w:p>
        </w:tc>
        <w:tc>
          <w:tcPr>
            <w:tcW w:w="550" w:type="dxa"/>
            <w:gridSpan w:val="3"/>
            <w:tcBorders>
              <w:top w:val="single" w:sz="6" w:space="0" w:color="000000"/>
              <w:left w:val="single" w:sz="6" w:space="0" w:color="000000"/>
              <w:bottom w:val="single" w:sz="6" w:space="0" w:color="000000"/>
              <w:right w:val="single" w:sz="6" w:space="0" w:color="000000"/>
            </w:tcBorders>
          </w:tcPr>
          <w:p w14:paraId="27717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2138</w:t>
            </w:r>
          </w:p>
        </w:tc>
        <w:tc>
          <w:tcPr>
            <w:tcW w:w="550" w:type="dxa"/>
            <w:tcBorders>
              <w:top w:val="single" w:sz="6" w:space="0" w:color="000000"/>
              <w:left w:val="single" w:sz="6" w:space="0" w:color="000000"/>
              <w:bottom w:val="single" w:sz="6" w:space="0" w:color="000000"/>
              <w:right w:val="single" w:sz="6" w:space="0" w:color="000000"/>
            </w:tcBorders>
          </w:tcPr>
          <w:p w14:paraId="4716BA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2147</w:t>
            </w:r>
          </w:p>
        </w:tc>
        <w:tc>
          <w:tcPr>
            <w:tcW w:w="550" w:type="dxa"/>
            <w:gridSpan w:val="3"/>
            <w:tcBorders>
              <w:top w:val="single" w:sz="6" w:space="0" w:color="000000"/>
              <w:left w:val="single" w:sz="6" w:space="0" w:color="000000"/>
              <w:bottom w:val="single" w:sz="6" w:space="0" w:color="000000"/>
              <w:right w:val="single" w:sz="6" w:space="0" w:color="000000"/>
            </w:tcBorders>
          </w:tcPr>
          <w:p w14:paraId="4E0DDE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2760</w:t>
            </w:r>
          </w:p>
        </w:tc>
        <w:tc>
          <w:tcPr>
            <w:tcW w:w="550" w:type="dxa"/>
            <w:tcBorders>
              <w:top w:val="single" w:sz="6" w:space="0" w:color="000000"/>
              <w:left w:val="single" w:sz="6" w:space="0" w:color="000000"/>
              <w:bottom w:val="single" w:sz="6" w:space="0" w:color="000000"/>
              <w:right w:val="single" w:sz="6" w:space="0" w:color="000000"/>
            </w:tcBorders>
          </w:tcPr>
          <w:p w14:paraId="05285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2811</w:t>
            </w:r>
          </w:p>
        </w:tc>
        <w:tc>
          <w:tcPr>
            <w:tcW w:w="550" w:type="dxa"/>
            <w:gridSpan w:val="2"/>
            <w:tcBorders>
              <w:top w:val="single" w:sz="6" w:space="0" w:color="000000"/>
              <w:left w:val="single" w:sz="6" w:space="0" w:color="000000"/>
              <w:bottom w:val="single" w:sz="6" w:space="0" w:color="000000"/>
              <w:right w:val="single" w:sz="6" w:space="0" w:color="000000"/>
            </w:tcBorders>
          </w:tcPr>
          <w:p w14:paraId="77FD67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4383</w:t>
            </w:r>
          </w:p>
        </w:tc>
        <w:tc>
          <w:tcPr>
            <w:tcW w:w="550" w:type="dxa"/>
            <w:tcBorders>
              <w:top w:val="single" w:sz="6" w:space="0" w:color="000000"/>
              <w:left w:val="single" w:sz="6" w:space="0" w:color="000000"/>
              <w:bottom w:val="single" w:sz="6" w:space="0" w:color="000000"/>
              <w:right w:val="single" w:sz="6" w:space="0" w:color="000000"/>
            </w:tcBorders>
          </w:tcPr>
          <w:p w14:paraId="4F72AC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4408</w:t>
            </w:r>
          </w:p>
        </w:tc>
        <w:tc>
          <w:tcPr>
            <w:tcW w:w="550" w:type="dxa"/>
            <w:gridSpan w:val="3"/>
            <w:tcBorders>
              <w:top w:val="single" w:sz="6" w:space="0" w:color="000000"/>
              <w:left w:val="single" w:sz="6" w:space="0" w:color="000000"/>
              <w:bottom w:val="single" w:sz="6" w:space="0" w:color="000000"/>
              <w:right w:val="single" w:sz="6" w:space="0" w:color="000000"/>
            </w:tcBorders>
          </w:tcPr>
          <w:p w14:paraId="7D5E1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2820</w:t>
            </w:r>
          </w:p>
        </w:tc>
        <w:tc>
          <w:tcPr>
            <w:tcW w:w="550" w:type="dxa"/>
            <w:tcBorders>
              <w:top w:val="single" w:sz="6" w:space="0" w:color="000000"/>
              <w:left w:val="single" w:sz="6" w:space="0" w:color="000000"/>
              <w:bottom w:val="single" w:sz="6" w:space="0" w:color="000000"/>
              <w:right w:val="single" w:sz="6" w:space="0" w:color="000000"/>
            </w:tcBorders>
          </w:tcPr>
          <w:p w14:paraId="1E205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2958</w:t>
            </w:r>
          </w:p>
        </w:tc>
        <w:tc>
          <w:tcPr>
            <w:tcW w:w="660" w:type="dxa"/>
            <w:gridSpan w:val="3"/>
            <w:tcBorders>
              <w:top w:val="single" w:sz="6" w:space="0" w:color="000000"/>
              <w:left w:val="single" w:sz="6" w:space="0" w:color="000000"/>
              <w:bottom w:val="single" w:sz="6" w:space="0" w:color="000000"/>
              <w:right w:val="single" w:sz="6" w:space="0" w:color="000000"/>
            </w:tcBorders>
          </w:tcPr>
          <w:p w14:paraId="5A88FD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12732</w:t>
            </w:r>
          </w:p>
        </w:tc>
        <w:tc>
          <w:tcPr>
            <w:tcW w:w="660" w:type="dxa"/>
            <w:tcBorders>
              <w:top w:val="single" w:sz="6" w:space="0" w:color="000000"/>
              <w:left w:val="single" w:sz="6" w:space="0" w:color="000000"/>
              <w:bottom w:val="single" w:sz="6" w:space="0" w:color="000000"/>
              <w:right w:val="single" w:sz="12" w:space="0" w:color="000000"/>
            </w:tcBorders>
          </w:tcPr>
          <w:p w14:paraId="546C4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13569</w:t>
            </w:r>
          </w:p>
        </w:tc>
      </w:tr>
      <w:tr w:rsidR="000F5689" w:rsidRPr="00925F26" w14:paraId="35D1419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013F7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УТ-2</w:t>
            </w:r>
          </w:p>
        </w:tc>
        <w:tc>
          <w:tcPr>
            <w:tcW w:w="550" w:type="dxa"/>
            <w:gridSpan w:val="3"/>
            <w:tcBorders>
              <w:top w:val="single" w:sz="6" w:space="0" w:color="000000"/>
              <w:left w:val="single" w:sz="6" w:space="0" w:color="000000"/>
              <w:bottom w:val="single" w:sz="6" w:space="0" w:color="000000"/>
              <w:right w:val="single" w:sz="6" w:space="0" w:color="000000"/>
            </w:tcBorders>
          </w:tcPr>
          <w:p w14:paraId="190354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746</w:t>
            </w:r>
          </w:p>
        </w:tc>
        <w:tc>
          <w:tcPr>
            <w:tcW w:w="550" w:type="dxa"/>
            <w:tcBorders>
              <w:top w:val="single" w:sz="6" w:space="0" w:color="000000"/>
              <w:left w:val="single" w:sz="6" w:space="0" w:color="000000"/>
              <w:bottom w:val="single" w:sz="6" w:space="0" w:color="000000"/>
              <w:right w:val="single" w:sz="6" w:space="0" w:color="000000"/>
            </w:tcBorders>
          </w:tcPr>
          <w:p w14:paraId="2FD786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654</w:t>
            </w:r>
          </w:p>
        </w:tc>
        <w:tc>
          <w:tcPr>
            <w:tcW w:w="550" w:type="dxa"/>
            <w:gridSpan w:val="3"/>
            <w:tcBorders>
              <w:top w:val="single" w:sz="6" w:space="0" w:color="000000"/>
              <w:left w:val="single" w:sz="6" w:space="0" w:color="000000"/>
              <w:bottom w:val="single" w:sz="6" w:space="0" w:color="000000"/>
              <w:right w:val="single" w:sz="6" w:space="0" w:color="000000"/>
            </w:tcBorders>
          </w:tcPr>
          <w:p w14:paraId="7A412D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883</w:t>
            </w:r>
          </w:p>
        </w:tc>
        <w:tc>
          <w:tcPr>
            <w:tcW w:w="550" w:type="dxa"/>
            <w:tcBorders>
              <w:top w:val="single" w:sz="6" w:space="0" w:color="000000"/>
              <w:left w:val="single" w:sz="6" w:space="0" w:color="000000"/>
              <w:bottom w:val="single" w:sz="6" w:space="0" w:color="000000"/>
              <w:right w:val="single" w:sz="6" w:space="0" w:color="000000"/>
            </w:tcBorders>
          </w:tcPr>
          <w:p w14:paraId="316CC8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969</w:t>
            </w:r>
          </w:p>
        </w:tc>
        <w:tc>
          <w:tcPr>
            <w:tcW w:w="550" w:type="dxa"/>
            <w:gridSpan w:val="3"/>
            <w:tcBorders>
              <w:top w:val="single" w:sz="6" w:space="0" w:color="000000"/>
              <w:left w:val="single" w:sz="6" w:space="0" w:color="000000"/>
              <w:bottom w:val="single" w:sz="6" w:space="0" w:color="000000"/>
              <w:right w:val="single" w:sz="6" w:space="0" w:color="000000"/>
            </w:tcBorders>
          </w:tcPr>
          <w:p w14:paraId="35440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794</w:t>
            </w:r>
          </w:p>
        </w:tc>
        <w:tc>
          <w:tcPr>
            <w:tcW w:w="550" w:type="dxa"/>
            <w:tcBorders>
              <w:top w:val="single" w:sz="6" w:space="0" w:color="000000"/>
              <w:left w:val="single" w:sz="6" w:space="0" w:color="000000"/>
              <w:bottom w:val="single" w:sz="6" w:space="0" w:color="000000"/>
              <w:right w:val="single" w:sz="6" w:space="0" w:color="000000"/>
            </w:tcBorders>
          </w:tcPr>
          <w:p w14:paraId="0E61C6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909</w:t>
            </w:r>
          </w:p>
        </w:tc>
        <w:tc>
          <w:tcPr>
            <w:tcW w:w="550" w:type="dxa"/>
            <w:gridSpan w:val="2"/>
            <w:tcBorders>
              <w:top w:val="single" w:sz="6" w:space="0" w:color="000000"/>
              <w:left w:val="single" w:sz="6" w:space="0" w:color="000000"/>
              <w:bottom w:val="single" w:sz="6" w:space="0" w:color="000000"/>
              <w:right w:val="single" w:sz="6" w:space="0" w:color="000000"/>
            </w:tcBorders>
          </w:tcPr>
          <w:p w14:paraId="580B2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1106</w:t>
            </w:r>
          </w:p>
        </w:tc>
        <w:tc>
          <w:tcPr>
            <w:tcW w:w="550" w:type="dxa"/>
            <w:tcBorders>
              <w:top w:val="single" w:sz="6" w:space="0" w:color="000000"/>
              <w:left w:val="single" w:sz="6" w:space="0" w:color="000000"/>
              <w:bottom w:val="single" w:sz="6" w:space="0" w:color="000000"/>
              <w:right w:val="single" w:sz="6" w:space="0" w:color="000000"/>
            </w:tcBorders>
          </w:tcPr>
          <w:p w14:paraId="3E3B79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1053</w:t>
            </w:r>
          </w:p>
        </w:tc>
        <w:tc>
          <w:tcPr>
            <w:tcW w:w="550" w:type="dxa"/>
            <w:gridSpan w:val="3"/>
            <w:tcBorders>
              <w:top w:val="single" w:sz="6" w:space="0" w:color="000000"/>
              <w:left w:val="single" w:sz="6" w:space="0" w:color="000000"/>
              <w:bottom w:val="single" w:sz="6" w:space="0" w:color="000000"/>
              <w:right w:val="single" w:sz="6" w:space="0" w:color="000000"/>
            </w:tcBorders>
          </w:tcPr>
          <w:p w14:paraId="0AA40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1504</w:t>
            </w:r>
          </w:p>
        </w:tc>
        <w:tc>
          <w:tcPr>
            <w:tcW w:w="550" w:type="dxa"/>
            <w:tcBorders>
              <w:top w:val="single" w:sz="6" w:space="0" w:color="000000"/>
              <w:left w:val="single" w:sz="6" w:space="0" w:color="000000"/>
              <w:bottom w:val="single" w:sz="6" w:space="0" w:color="000000"/>
              <w:right w:val="single" w:sz="6" w:space="0" w:color="000000"/>
            </w:tcBorders>
          </w:tcPr>
          <w:p w14:paraId="5198E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1279</w:t>
            </w:r>
          </w:p>
        </w:tc>
        <w:tc>
          <w:tcPr>
            <w:tcW w:w="660" w:type="dxa"/>
            <w:gridSpan w:val="3"/>
            <w:tcBorders>
              <w:top w:val="single" w:sz="6" w:space="0" w:color="000000"/>
              <w:left w:val="single" w:sz="6" w:space="0" w:color="000000"/>
              <w:bottom w:val="single" w:sz="6" w:space="0" w:color="000000"/>
              <w:right w:val="single" w:sz="6" w:space="0" w:color="000000"/>
            </w:tcBorders>
          </w:tcPr>
          <w:p w14:paraId="718820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5033</w:t>
            </w:r>
          </w:p>
        </w:tc>
        <w:tc>
          <w:tcPr>
            <w:tcW w:w="660" w:type="dxa"/>
            <w:tcBorders>
              <w:top w:val="single" w:sz="6" w:space="0" w:color="000000"/>
              <w:left w:val="single" w:sz="6" w:space="0" w:color="000000"/>
              <w:bottom w:val="single" w:sz="6" w:space="0" w:color="000000"/>
              <w:right w:val="single" w:sz="12" w:space="0" w:color="000000"/>
            </w:tcBorders>
          </w:tcPr>
          <w:p w14:paraId="0E463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4864</w:t>
            </w:r>
          </w:p>
        </w:tc>
      </w:tr>
      <w:tr w:rsidR="000F5689" w:rsidRPr="00925F26" w14:paraId="267BBC3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7CDC0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УТИ-4</w:t>
            </w:r>
          </w:p>
        </w:tc>
        <w:tc>
          <w:tcPr>
            <w:tcW w:w="550" w:type="dxa"/>
            <w:gridSpan w:val="3"/>
            <w:tcBorders>
              <w:top w:val="single" w:sz="6" w:space="0" w:color="000000"/>
              <w:left w:val="single" w:sz="6" w:space="0" w:color="000000"/>
              <w:bottom w:val="single" w:sz="6" w:space="0" w:color="000000"/>
              <w:right w:val="single" w:sz="6" w:space="0" w:color="000000"/>
            </w:tcBorders>
          </w:tcPr>
          <w:p w14:paraId="6B5B1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1021</w:t>
            </w:r>
          </w:p>
        </w:tc>
        <w:tc>
          <w:tcPr>
            <w:tcW w:w="550" w:type="dxa"/>
            <w:tcBorders>
              <w:top w:val="single" w:sz="6" w:space="0" w:color="000000"/>
              <w:left w:val="single" w:sz="6" w:space="0" w:color="000000"/>
              <w:bottom w:val="single" w:sz="6" w:space="0" w:color="000000"/>
              <w:right w:val="single" w:sz="6" w:space="0" w:color="000000"/>
            </w:tcBorders>
          </w:tcPr>
          <w:p w14:paraId="1F81AF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1016</w:t>
            </w:r>
          </w:p>
        </w:tc>
        <w:tc>
          <w:tcPr>
            <w:tcW w:w="550" w:type="dxa"/>
            <w:gridSpan w:val="3"/>
            <w:tcBorders>
              <w:top w:val="single" w:sz="6" w:space="0" w:color="000000"/>
              <w:left w:val="single" w:sz="6" w:space="0" w:color="000000"/>
              <w:bottom w:val="single" w:sz="6" w:space="0" w:color="000000"/>
              <w:right w:val="single" w:sz="6" w:space="0" w:color="000000"/>
            </w:tcBorders>
          </w:tcPr>
          <w:p w14:paraId="4D23C5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w:t>
            </w:r>
          </w:p>
        </w:tc>
        <w:tc>
          <w:tcPr>
            <w:tcW w:w="550" w:type="dxa"/>
            <w:tcBorders>
              <w:top w:val="single" w:sz="6" w:space="0" w:color="000000"/>
              <w:left w:val="single" w:sz="6" w:space="0" w:color="000000"/>
              <w:bottom w:val="single" w:sz="6" w:space="0" w:color="000000"/>
              <w:right w:val="single" w:sz="6" w:space="0" w:color="000000"/>
            </w:tcBorders>
          </w:tcPr>
          <w:p w14:paraId="706A2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w:t>
            </w:r>
          </w:p>
        </w:tc>
        <w:tc>
          <w:tcPr>
            <w:tcW w:w="550" w:type="dxa"/>
            <w:gridSpan w:val="3"/>
            <w:tcBorders>
              <w:top w:val="single" w:sz="6" w:space="0" w:color="000000"/>
              <w:left w:val="single" w:sz="6" w:space="0" w:color="000000"/>
              <w:bottom w:val="single" w:sz="6" w:space="0" w:color="000000"/>
              <w:right w:val="single" w:sz="6" w:space="0" w:color="000000"/>
            </w:tcBorders>
          </w:tcPr>
          <w:p w14:paraId="342C22CB"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C3F84C3"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4BD4FD76"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0C82C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0260F1"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524DC40F"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0C674A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1104</w:t>
            </w:r>
          </w:p>
        </w:tc>
        <w:tc>
          <w:tcPr>
            <w:tcW w:w="660" w:type="dxa"/>
            <w:tcBorders>
              <w:top w:val="single" w:sz="6" w:space="0" w:color="000000"/>
              <w:left w:val="single" w:sz="6" w:space="0" w:color="000000"/>
              <w:bottom w:val="single" w:sz="6" w:space="0" w:color="000000"/>
              <w:right w:val="single" w:sz="12" w:space="0" w:color="000000"/>
            </w:tcBorders>
          </w:tcPr>
          <w:p w14:paraId="719CC6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1097</w:t>
            </w:r>
          </w:p>
        </w:tc>
      </w:tr>
      <w:tr w:rsidR="000F5689" w:rsidRPr="00925F26" w14:paraId="4637C6C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3F15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УЯк-7</w:t>
            </w:r>
          </w:p>
        </w:tc>
        <w:tc>
          <w:tcPr>
            <w:tcW w:w="550" w:type="dxa"/>
            <w:gridSpan w:val="3"/>
            <w:tcBorders>
              <w:top w:val="single" w:sz="6" w:space="0" w:color="000000"/>
              <w:left w:val="single" w:sz="6" w:space="0" w:color="000000"/>
              <w:bottom w:val="single" w:sz="6" w:space="0" w:color="000000"/>
              <w:right w:val="single" w:sz="6" w:space="0" w:color="000000"/>
            </w:tcBorders>
          </w:tcPr>
          <w:p w14:paraId="0C881E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550" w:type="dxa"/>
            <w:tcBorders>
              <w:top w:val="single" w:sz="6" w:space="0" w:color="000000"/>
              <w:left w:val="single" w:sz="6" w:space="0" w:color="000000"/>
              <w:bottom w:val="single" w:sz="6" w:space="0" w:color="000000"/>
              <w:right w:val="single" w:sz="6" w:space="0" w:color="000000"/>
            </w:tcBorders>
          </w:tcPr>
          <w:p w14:paraId="5D057D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186</w:t>
            </w:r>
          </w:p>
        </w:tc>
        <w:tc>
          <w:tcPr>
            <w:tcW w:w="550" w:type="dxa"/>
            <w:gridSpan w:val="3"/>
            <w:tcBorders>
              <w:top w:val="single" w:sz="6" w:space="0" w:color="000000"/>
              <w:left w:val="single" w:sz="6" w:space="0" w:color="000000"/>
              <w:bottom w:val="single" w:sz="6" w:space="0" w:color="000000"/>
              <w:right w:val="single" w:sz="6" w:space="0" w:color="000000"/>
            </w:tcBorders>
          </w:tcPr>
          <w:p w14:paraId="369CCE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w:t>
            </w:r>
          </w:p>
        </w:tc>
        <w:tc>
          <w:tcPr>
            <w:tcW w:w="550" w:type="dxa"/>
            <w:tcBorders>
              <w:top w:val="single" w:sz="6" w:space="0" w:color="000000"/>
              <w:left w:val="single" w:sz="6" w:space="0" w:color="000000"/>
              <w:bottom w:val="single" w:sz="6" w:space="0" w:color="000000"/>
              <w:right w:val="single" w:sz="6" w:space="0" w:color="000000"/>
            </w:tcBorders>
          </w:tcPr>
          <w:p w14:paraId="38AE8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w:t>
            </w:r>
          </w:p>
        </w:tc>
        <w:tc>
          <w:tcPr>
            <w:tcW w:w="550" w:type="dxa"/>
            <w:gridSpan w:val="3"/>
            <w:tcBorders>
              <w:top w:val="single" w:sz="6" w:space="0" w:color="000000"/>
              <w:left w:val="single" w:sz="6" w:space="0" w:color="000000"/>
              <w:bottom w:val="single" w:sz="6" w:space="0" w:color="000000"/>
              <w:right w:val="single" w:sz="6" w:space="0" w:color="000000"/>
            </w:tcBorders>
          </w:tcPr>
          <w:p w14:paraId="1A30F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w:t>
            </w:r>
          </w:p>
        </w:tc>
        <w:tc>
          <w:tcPr>
            <w:tcW w:w="550" w:type="dxa"/>
            <w:tcBorders>
              <w:top w:val="single" w:sz="6" w:space="0" w:color="000000"/>
              <w:left w:val="single" w:sz="6" w:space="0" w:color="000000"/>
              <w:bottom w:val="single" w:sz="6" w:space="0" w:color="000000"/>
              <w:right w:val="single" w:sz="6" w:space="0" w:color="000000"/>
            </w:tcBorders>
          </w:tcPr>
          <w:p w14:paraId="63100A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306</w:t>
            </w:r>
          </w:p>
        </w:tc>
        <w:tc>
          <w:tcPr>
            <w:tcW w:w="550" w:type="dxa"/>
            <w:gridSpan w:val="2"/>
            <w:tcBorders>
              <w:top w:val="single" w:sz="6" w:space="0" w:color="000000"/>
              <w:left w:val="single" w:sz="6" w:space="0" w:color="000000"/>
              <w:bottom w:val="single" w:sz="6" w:space="0" w:color="000000"/>
              <w:right w:val="single" w:sz="6" w:space="0" w:color="000000"/>
            </w:tcBorders>
          </w:tcPr>
          <w:p w14:paraId="79688C9B"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AE70594"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4BCDCE90"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17A5550"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D27A0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688</w:t>
            </w:r>
          </w:p>
        </w:tc>
        <w:tc>
          <w:tcPr>
            <w:tcW w:w="660" w:type="dxa"/>
            <w:tcBorders>
              <w:top w:val="single" w:sz="6" w:space="0" w:color="000000"/>
              <w:left w:val="single" w:sz="6" w:space="0" w:color="000000"/>
              <w:bottom w:val="single" w:sz="6" w:space="0" w:color="000000"/>
              <w:right w:val="single" w:sz="12" w:space="0" w:color="000000"/>
            </w:tcBorders>
          </w:tcPr>
          <w:p w14:paraId="343A93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693</w:t>
            </w:r>
          </w:p>
        </w:tc>
      </w:tr>
      <w:tr w:rsidR="000F5689" w:rsidRPr="00925F26" w14:paraId="049FC85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64D24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УЯк-9</w:t>
            </w:r>
          </w:p>
        </w:tc>
        <w:tc>
          <w:tcPr>
            <w:tcW w:w="550" w:type="dxa"/>
            <w:gridSpan w:val="3"/>
            <w:tcBorders>
              <w:top w:val="single" w:sz="6" w:space="0" w:color="000000"/>
              <w:left w:val="single" w:sz="6" w:space="0" w:color="000000"/>
              <w:bottom w:val="single" w:sz="6" w:space="0" w:color="000000"/>
              <w:right w:val="single" w:sz="6" w:space="0" w:color="000000"/>
            </w:tcBorders>
          </w:tcPr>
          <w:p w14:paraId="72958AAF"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DF6436C"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B857D26"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B1ED878"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963603E"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46FECB0"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24D7DE53"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878ED73"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239F9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465</w:t>
            </w:r>
          </w:p>
        </w:tc>
        <w:tc>
          <w:tcPr>
            <w:tcW w:w="550" w:type="dxa"/>
            <w:tcBorders>
              <w:top w:val="single" w:sz="6" w:space="0" w:color="000000"/>
              <w:left w:val="single" w:sz="6" w:space="0" w:color="000000"/>
              <w:bottom w:val="single" w:sz="6" w:space="0" w:color="000000"/>
              <w:right w:val="single" w:sz="6" w:space="0" w:color="000000"/>
            </w:tcBorders>
          </w:tcPr>
          <w:p w14:paraId="251F71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c>
          <w:tcPr>
            <w:tcW w:w="660" w:type="dxa"/>
            <w:gridSpan w:val="3"/>
            <w:tcBorders>
              <w:top w:val="single" w:sz="6" w:space="0" w:color="000000"/>
              <w:left w:val="single" w:sz="6" w:space="0" w:color="000000"/>
              <w:bottom w:val="single" w:sz="6" w:space="0" w:color="000000"/>
              <w:right w:val="single" w:sz="6" w:space="0" w:color="000000"/>
            </w:tcBorders>
          </w:tcPr>
          <w:p w14:paraId="423FB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465</w:t>
            </w:r>
          </w:p>
        </w:tc>
        <w:tc>
          <w:tcPr>
            <w:tcW w:w="660" w:type="dxa"/>
            <w:tcBorders>
              <w:top w:val="single" w:sz="6" w:space="0" w:color="000000"/>
              <w:left w:val="single" w:sz="6" w:space="0" w:color="000000"/>
              <w:bottom w:val="single" w:sz="6" w:space="0" w:color="000000"/>
              <w:right w:val="single" w:sz="12" w:space="0" w:color="000000"/>
            </w:tcBorders>
          </w:tcPr>
          <w:p w14:paraId="2102D4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w:t>
            </w:r>
          </w:p>
        </w:tc>
      </w:tr>
      <w:tr w:rsidR="000F5689" w:rsidRPr="00925F26" w14:paraId="557A80B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0D552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УЛа-5</w:t>
            </w:r>
          </w:p>
        </w:tc>
        <w:tc>
          <w:tcPr>
            <w:tcW w:w="550" w:type="dxa"/>
            <w:gridSpan w:val="3"/>
            <w:tcBorders>
              <w:top w:val="single" w:sz="6" w:space="0" w:color="000000"/>
              <w:left w:val="single" w:sz="6" w:space="0" w:color="000000"/>
              <w:bottom w:val="single" w:sz="6" w:space="0" w:color="000000"/>
              <w:right w:val="single" w:sz="6" w:space="0" w:color="000000"/>
            </w:tcBorders>
          </w:tcPr>
          <w:p w14:paraId="12D647D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18F7E0B"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8E3370A"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FC33DE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02B3E8F"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60BB3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550" w:type="dxa"/>
            <w:gridSpan w:val="2"/>
            <w:tcBorders>
              <w:top w:val="single" w:sz="6" w:space="0" w:color="000000"/>
              <w:left w:val="single" w:sz="6" w:space="0" w:color="000000"/>
              <w:bottom w:val="single" w:sz="6" w:space="0" w:color="000000"/>
              <w:right w:val="single" w:sz="6" w:space="0" w:color="000000"/>
            </w:tcBorders>
          </w:tcPr>
          <w:p w14:paraId="59FFF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550" w:type="dxa"/>
            <w:tcBorders>
              <w:top w:val="single" w:sz="6" w:space="0" w:color="000000"/>
              <w:left w:val="single" w:sz="6" w:space="0" w:color="000000"/>
              <w:bottom w:val="single" w:sz="6" w:space="0" w:color="000000"/>
              <w:right w:val="single" w:sz="6" w:space="0" w:color="000000"/>
            </w:tcBorders>
          </w:tcPr>
          <w:p w14:paraId="4C9232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550" w:type="dxa"/>
            <w:gridSpan w:val="3"/>
            <w:tcBorders>
              <w:top w:val="single" w:sz="6" w:space="0" w:color="000000"/>
              <w:left w:val="single" w:sz="6" w:space="0" w:color="000000"/>
              <w:bottom w:val="single" w:sz="6" w:space="0" w:color="000000"/>
              <w:right w:val="single" w:sz="6" w:space="0" w:color="000000"/>
            </w:tcBorders>
          </w:tcPr>
          <w:p w14:paraId="1FAED99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1DF0972" w14:textId="77777777" w:rsidR="00665165" w:rsidRPr="00925F26" w:rsidRDefault="00665165" w:rsidP="00925F26">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47A10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660" w:type="dxa"/>
            <w:tcBorders>
              <w:top w:val="single" w:sz="6" w:space="0" w:color="000000"/>
              <w:left w:val="single" w:sz="6" w:space="0" w:color="000000"/>
              <w:bottom w:val="single" w:sz="6" w:space="0" w:color="000000"/>
              <w:right w:val="single" w:sz="12" w:space="0" w:color="000000"/>
            </w:tcBorders>
          </w:tcPr>
          <w:p w14:paraId="49E0F0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r>
      <w:tr w:rsidR="000F5689" w:rsidRPr="00925F26" w14:paraId="5AF68DB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A988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УЛа-7</w:t>
            </w:r>
          </w:p>
        </w:tc>
        <w:tc>
          <w:tcPr>
            <w:tcW w:w="550" w:type="dxa"/>
            <w:gridSpan w:val="3"/>
            <w:tcBorders>
              <w:top w:val="single" w:sz="6" w:space="0" w:color="000000"/>
              <w:left w:val="single" w:sz="6" w:space="0" w:color="000000"/>
              <w:bottom w:val="single" w:sz="6" w:space="0" w:color="000000"/>
              <w:right w:val="single" w:sz="6" w:space="0" w:color="000000"/>
            </w:tcBorders>
          </w:tcPr>
          <w:p w14:paraId="1DF059DD"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8B42F87"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3902962"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C90582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893FD21"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062D725"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4AE47F88"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AFD5D1F"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4EA4A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w:t>
            </w:r>
          </w:p>
        </w:tc>
        <w:tc>
          <w:tcPr>
            <w:tcW w:w="550" w:type="dxa"/>
            <w:tcBorders>
              <w:top w:val="single" w:sz="6" w:space="0" w:color="000000"/>
              <w:left w:val="single" w:sz="6" w:space="0" w:color="000000"/>
              <w:bottom w:val="single" w:sz="6" w:space="0" w:color="000000"/>
              <w:right w:val="single" w:sz="6" w:space="0" w:color="000000"/>
            </w:tcBorders>
          </w:tcPr>
          <w:p w14:paraId="4B38DA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660" w:type="dxa"/>
            <w:gridSpan w:val="3"/>
            <w:tcBorders>
              <w:top w:val="single" w:sz="6" w:space="0" w:color="000000"/>
              <w:left w:val="single" w:sz="6" w:space="0" w:color="000000"/>
              <w:bottom w:val="single" w:sz="6" w:space="0" w:color="000000"/>
              <w:right w:val="single" w:sz="6" w:space="0" w:color="000000"/>
            </w:tcBorders>
          </w:tcPr>
          <w:p w14:paraId="5F359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w:t>
            </w:r>
          </w:p>
        </w:tc>
        <w:tc>
          <w:tcPr>
            <w:tcW w:w="660" w:type="dxa"/>
            <w:tcBorders>
              <w:top w:val="single" w:sz="6" w:space="0" w:color="000000"/>
              <w:left w:val="single" w:sz="6" w:space="0" w:color="000000"/>
              <w:bottom w:val="single" w:sz="6" w:space="0" w:color="000000"/>
              <w:right w:val="single" w:sz="12" w:space="0" w:color="000000"/>
            </w:tcBorders>
          </w:tcPr>
          <w:p w14:paraId="260CFA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r>
      <w:tr w:rsidR="000F5689" w:rsidRPr="00925F26" w14:paraId="542CA6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FA82A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УИл-2</w:t>
            </w:r>
          </w:p>
        </w:tc>
        <w:tc>
          <w:tcPr>
            <w:tcW w:w="550" w:type="dxa"/>
            <w:gridSpan w:val="3"/>
            <w:tcBorders>
              <w:top w:val="single" w:sz="6" w:space="0" w:color="000000"/>
              <w:left w:val="single" w:sz="6" w:space="0" w:color="000000"/>
              <w:bottom w:val="single" w:sz="6" w:space="0" w:color="000000"/>
              <w:right w:val="single" w:sz="6" w:space="0" w:color="000000"/>
            </w:tcBorders>
          </w:tcPr>
          <w:p w14:paraId="316337BA"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65DBB14"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4DEC6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550" w:type="dxa"/>
            <w:tcBorders>
              <w:top w:val="single" w:sz="6" w:space="0" w:color="000000"/>
              <w:left w:val="single" w:sz="6" w:space="0" w:color="000000"/>
              <w:bottom w:val="single" w:sz="6" w:space="0" w:color="000000"/>
              <w:right w:val="single" w:sz="6" w:space="0" w:color="000000"/>
            </w:tcBorders>
          </w:tcPr>
          <w:p w14:paraId="416A8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550" w:type="dxa"/>
            <w:gridSpan w:val="3"/>
            <w:tcBorders>
              <w:top w:val="single" w:sz="6" w:space="0" w:color="000000"/>
              <w:left w:val="single" w:sz="6" w:space="0" w:color="000000"/>
              <w:bottom w:val="single" w:sz="6" w:space="0" w:color="000000"/>
              <w:right w:val="single" w:sz="6" w:space="0" w:color="000000"/>
            </w:tcBorders>
          </w:tcPr>
          <w:p w14:paraId="2F06A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550" w:type="dxa"/>
            <w:tcBorders>
              <w:top w:val="single" w:sz="6" w:space="0" w:color="000000"/>
              <w:left w:val="single" w:sz="6" w:space="0" w:color="000000"/>
              <w:bottom w:val="single" w:sz="6" w:space="0" w:color="000000"/>
              <w:right w:val="single" w:sz="6" w:space="0" w:color="000000"/>
            </w:tcBorders>
          </w:tcPr>
          <w:p w14:paraId="2DF5B7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412</w:t>
            </w:r>
          </w:p>
        </w:tc>
        <w:tc>
          <w:tcPr>
            <w:tcW w:w="550" w:type="dxa"/>
            <w:gridSpan w:val="2"/>
            <w:tcBorders>
              <w:top w:val="single" w:sz="6" w:space="0" w:color="000000"/>
              <w:left w:val="single" w:sz="6" w:space="0" w:color="000000"/>
              <w:bottom w:val="single" w:sz="6" w:space="0" w:color="000000"/>
              <w:right w:val="single" w:sz="6" w:space="0" w:color="000000"/>
            </w:tcBorders>
          </w:tcPr>
          <w:p w14:paraId="468458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550" w:type="dxa"/>
            <w:tcBorders>
              <w:top w:val="single" w:sz="6" w:space="0" w:color="000000"/>
              <w:left w:val="single" w:sz="6" w:space="0" w:color="000000"/>
              <w:bottom w:val="single" w:sz="6" w:space="0" w:color="000000"/>
              <w:right w:val="single" w:sz="6" w:space="0" w:color="000000"/>
            </w:tcBorders>
          </w:tcPr>
          <w:p w14:paraId="5E52C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550" w:type="dxa"/>
            <w:gridSpan w:val="3"/>
            <w:tcBorders>
              <w:top w:val="single" w:sz="6" w:space="0" w:color="000000"/>
              <w:left w:val="single" w:sz="6" w:space="0" w:color="000000"/>
              <w:bottom w:val="single" w:sz="6" w:space="0" w:color="000000"/>
              <w:right w:val="single" w:sz="6" w:space="0" w:color="000000"/>
            </w:tcBorders>
          </w:tcPr>
          <w:p w14:paraId="283F7F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550" w:type="dxa"/>
            <w:tcBorders>
              <w:top w:val="single" w:sz="6" w:space="0" w:color="000000"/>
              <w:left w:val="single" w:sz="6" w:space="0" w:color="000000"/>
              <w:bottom w:val="single" w:sz="6" w:space="0" w:color="000000"/>
              <w:right w:val="single" w:sz="6" w:space="0" w:color="000000"/>
            </w:tcBorders>
          </w:tcPr>
          <w:p w14:paraId="26FEB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370</w:t>
            </w:r>
          </w:p>
        </w:tc>
        <w:tc>
          <w:tcPr>
            <w:tcW w:w="660" w:type="dxa"/>
            <w:gridSpan w:val="3"/>
            <w:tcBorders>
              <w:top w:val="single" w:sz="6" w:space="0" w:color="000000"/>
              <w:left w:val="single" w:sz="6" w:space="0" w:color="000000"/>
              <w:bottom w:val="single" w:sz="6" w:space="0" w:color="000000"/>
              <w:right w:val="single" w:sz="6" w:space="0" w:color="000000"/>
            </w:tcBorders>
          </w:tcPr>
          <w:p w14:paraId="14AADA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814</w:t>
            </w:r>
          </w:p>
        </w:tc>
        <w:tc>
          <w:tcPr>
            <w:tcW w:w="660" w:type="dxa"/>
            <w:tcBorders>
              <w:top w:val="single" w:sz="6" w:space="0" w:color="000000"/>
              <w:left w:val="single" w:sz="6" w:space="0" w:color="000000"/>
              <w:bottom w:val="single" w:sz="6" w:space="0" w:color="000000"/>
              <w:right w:val="single" w:sz="12" w:space="0" w:color="000000"/>
            </w:tcBorders>
          </w:tcPr>
          <w:p w14:paraId="7983E6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1206</w:t>
            </w:r>
          </w:p>
        </w:tc>
      </w:tr>
      <w:tr w:rsidR="000F5689" w:rsidRPr="00925F26" w14:paraId="4EADF86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00670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УПе-2</w:t>
            </w:r>
          </w:p>
        </w:tc>
        <w:tc>
          <w:tcPr>
            <w:tcW w:w="550" w:type="dxa"/>
            <w:gridSpan w:val="3"/>
            <w:tcBorders>
              <w:top w:val="single" w:sz="6" w:space="0" w:color="000000"/>
              <w:left w:val="single" w:sz="6" w:space="0" w:color="000000"/>
              <w:bottom w:val="single" w:sz="6" w:space="0" w:color="000000"/>
              <w:right w:val="single" w:sz="6" w:space="0" w:color="000000"/>
            </w:tcBorders>
          </w:tcPr>
          <w:p w14:paraId="221EE936"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6E57019"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B0A1A63"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DA347B8"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032C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550" w:type="dxa"/>
            <w:tcBorders>
              <w:top w:val="single" w:sz="6" w:space="0" w:color="000000"/>
              <w:left w:val="single" w:sz="6" w:space="0" w:color="000000"/>
              <w:bottom w:val="single" w:sz="6" w:space="0" w:color="000000"/>
              <w:right w:val="single" w:sz="6" w:space="0" w:color="000000"/>
            </w:tcBorders>
          </w:tcPr>
          <w:p w14:paraId="70C15A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w:t>
            </w:r>
          </w:p>
        </w:tc>
        <w:tc>
          <w:tcPr>
            <w:tcW w:w="550" w:type="dxa"/>
            <w:gridSpan w:val="2"/>
            <w:tcBorders>
              <w:top w:val="single" w:sz="6" w:space="0" w:color="000000"/>
              <w:left w:val="single" w:sz="6" w:space="0" w:color="000000"/>
              <w:bottom w:val="single" w:sz="6" w:space="0" w:color="000000"/>
              <w:right w:val="single" w:sz="6" w:space="0" w:color="000000"/>
            </w:tcBorders>
          </w:tcPr>
          <w:p w14:paraId="44ACC5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550" w:type="dxa"/>
            <w:tcBorders>
              <w:top w:val="single" w:sz="6" w:space="0" w:color="000000"/>
              <w:left w:val="single" w:sz="6" w:space="0" w:color="000000"/>
              <w:bottom w:val="single" w:sz="6" w:space="0" w:color="000000"/>
              <w:right w:val="single" w:sz="6" w:space="0" w:color="000000"/>
            </w:tcBorders>
          </w:tcPr>
          <w:p w14:paraId="3312C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w:t>
            </w:r>
          </w:p>
        </w:tc>
        <w:tc>
          <w:tcPr>
            <w:tcW w:w="550" w:type="dxa"/>
            <w:gridSpan w:val="3"/>
            <w:tcBorders>
              <w:top w:val="single" w:sz="6" w:space="0" w:color="000000"/>
              <w:left w:val="single" w:sz="6" w:space="0" w:color="000000"/>
              <w:bottom w:val="single" w:sz="6" w:space="0" w:color="000000"/>
              <w:right w:val="single" w:sz="6" w:space="0" w:color="000000"/>
            </w:tcBorders>
          </w:tcPr>
          <w:p w14:paraId="72FD7E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550" w:type="dxa"/>
            <w:tcBorders>
              <w:top w:val="single" w:sz="6" w:space="0" w:color="000000"/>
              <w:left w:val="single" w:sz="6" w:space="0" w:color="000000"/>
              <w:bottom w:val="single" w:sz="6" w:space="0" w:color="000000"/>
              <w:right w:val="single" w:sz="6" w:space="0" w:color="000000"/>
            </w:tcBorders>
          </w:tcPr>
          <w:p w14:paraId="01EF30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426</w:t>
            </w:r>
          </w:p>
        </w:tc>
        <w:tc>
          <w:tcPr>
            <w:tcW w:w="660" w:type="dxa"/>
            <w:gridSpan w:val="3"/>
            <w:tcBorders>
              <w:top w:val="single" w:sz="6" w:space="0" w:color="000000"/>
              <w:left w:val="single" w:sz="6" w:space="0" w:color="000000"/>
              <w:bottom w:val="single" w:sz="6" w:space="0" w:color="000000"/>
              <w:right w:val="single" w:sz="6" w:space="0" w:color="000000"/>
            </w:tcBorders>
          </w:tcPr>
          <w:p w14:paraId="501D60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605</w:t>
            </w:r>
          </w:p>
        </w:tc>
        <w:tc>
          <w:tcPr>
            <w:tcW w:w="660" w:type="dxa"/>
            <w:tcBorders>
              <w:top w:val="single" w:sz="6" w:space="0" w:color="000000"/>
              <w:left w:val="single" w:sz="6" w:space="0" w:color="000000"/>
              <w:bottom w:val="single" w:sz="6" w:space="0" w:color="000000"/>
              <w:right w:val="single" w:sz="12" w:space="0" w:color="000000"/>
            </w:tcBorders>
          </w:tcPr>
          <w:p w14:paraId="12187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671</w:t>
            </w:r>
          </w:p>
        </w:tc>
      </w:tr>
      <w:tr w:rsidR="000F5689" w:rsidRPr="00925F26" w14:paraId="3A3472C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31FF4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УИл-10</w:t>
            </w:r>
          </w:p>
        </w:tc>
        <w:tc>
          <w:tcPr>
            <w:tcW w:w="550" w:type="dxa"/>
            <w:gridSpan w:val="3"/>
            <w:tcBorders>
              <w:top w:val="single" w:sz="6" w:space="0" w:color="000000"/>
              <w:left w:val="single" w:sz="6" w:space="0" w:color="000000"/>
              <w:bottom w:val="single" w:sz="6" w:space="0" w:color="000000"/>
              <w:right w:val="single" w:sz="6" w:space="0" w:color="000000"/>
            </w:tcBorders>
          </w:tcPr>
          <w:p w14:paraId="7BF63464"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F44D8BE"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F3BB787"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0FCB353"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6978459A"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613059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62CACAEC"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8D7A1BE"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364BF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w:t>
            </w:r>
          </w:p>
        </w:tc>
        <w:tc>
          <w:tcPr>
            <w:tcW w:w="550" w:type="dxa"/>
            <w:tcBorders>
              <w:top w:val="single" w:sz="6" w:space="0" w:color="000000"/>
              <w:left w:val="single" w:sz="6" w:space="0" w:color="000000"/>
              <w:bottom w:val="single" w:sz="6" w:space="0" w:color="000000"/>
              <w:right w:val="single" w:sz="6" w:space="0" w:color="000000"/>
            </w:tcBorders>
          </w:tcPr>
          <w:p w14:paraId="6B25B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227</w:t>
            </w:r>
          </w:p>
        </w:tc>
        <w:tc>
          <w:tcPr>
            <w:tcW w:w="660" w:type="dxa"/>
            <w:gridSpan w:val="3"/>
            <w:tcBorders>
              <w:top w:val="single" w:sz="6" w:space="0" w:color="000000"/>
              <w:left w:val="single" w:sz="6" w:space="0" w:color="000000"/>
              <w:bottom w:val="single" w:sz="6" w:space="0" w:color="000000"/>
              <w:right w:val="single" w:sz="6" w:space="0" w:color="000000"/>
            </w:tcBorders>
          </w:tcPr>
          <w:p w14:paraId="220539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w:t>
            </w:r>
          </w:p>
        </w:tc>
        <w:tc>
          <w:tcPr>
            <w:tcW w:w="660" w:type="dxa"/>
            <w:tcBorders>
              <w:top w:val="single" w:sz="6" w:space="0" w:color="000000"/>
              <w:left w:val="single" w:sz="6" w:space="0" w:color="000000"/>
              <w:bottom w:val="single" w:sz="6" w:space="0" w:color="000000"/>
              <w:right w:val="single" w:sz="12" w:space="0" w:color="000000"/>
            </w:tcBorders>
          </w:tcPr>
          <w:p w14:paraId="3D7E88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227</w:t>
            </w:r>
          </w:p>
        </w:tc>
      </w:tr>
      <w:tr w:rsidR="000F5689" w:rsidRPr="00925F26" w14:paraId="05038CC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923B2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УТу-2</w:t>
            </w:r>
          </w:p>
        </w:tc>
        <w:tc>
          <w:tcPr>
            <w:tcW w:w="550" w:type="dxa"/>
            <w:gridSpan w:val="3"/>
            <w:tcBorders>
              <w:top w:val="single" w:sz="6" w:space="0" w:color="000000"/>
              <w:left w:val="single" w:sz="6" w:space="0" w:color="000000"/>
              <w:bottom w:val="single" w:sz="6" w:space="0" w:color="000000"/>
              <w:right w:val="single" w:sz="6" w:space="0" w:color="000000"/>
            </w:tcBorders>
          </w:tcPr>
          <w:p w14:paraId="397D1449"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E801136"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6220EC2D"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41176F5"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4D0D4B1A"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20703D5"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322ABE9F" w14:textId="77777777" w:rsidR="00665165" w:rsidRPr="00925F26" w:rsidRDefault="00665165" w:rsidP="00925F26">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CDFB51A" w14:textId="77777777" w:rsidR="00665165" w:rsidRPr="00925F26" w:rsidRDefault="00665165" w:rsidP="00925F26">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D336A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550" w:type="dxa"/>
            <w:tcBorders>
              <w:top w:val="single" w:sz="6" w:space="0" w:color="000000"/>
              <w:left w:val="single" w:sz="6" w:space="0" w:color="000000"/>
              <w:bottom w:val="single" w:sz="6" w:space="0" w:color="000000"/>
              <w:right w:val="single" w:sz="6" w:space="0" w:color="000000"/>
            </w:tcBorders>
          </w:tcPr>
          <w:p w14:paraId="58778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660" w:type="dxa"/>
            <w:gridSpan w:val="3"/>
            <w:tcBorders>
              <w:top w:val="single" w:sz="6" w:space="0" w:color="000000"/>
              <w:left w:val="single" w:sz="6" w:space="0" w:color="000000"/>
              <w:bottom w:val="single" w:sz="6" w:space="0" w:color="000000"/>
              <w:right w:val="single" w:sz="6" w:space="0" w:color="000000"/>
            </w:tcBorders>
          </w:tcPr>
          <w:p w14:paraId="7CC051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660" w:type="dxa"/>
            <w:tcBorders>
              <w:top w:val="single" w:sz="6" w:space="0" w:color="000000"/>
              <w:left w:val="single" w:sz="6" w:space="0" w:color="000000"/>
              <w:bottom w:val="single" w:sz="6" w:space="0" w:color="000000"/>
              <w:right w:val="single" w:sz="12" w:space="0" w:color="000000"/>
            </w:tcBorders>
          </w:tcPr>
          <w:p w14:paraId="7909B8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r>
      <w:tr w:rsidR="000F5689" w:rsidRPr="00925F26" w14:paraId="027D42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43C9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53393B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2585</w:t>
            </w:r>
          </w:p>
        </w:tc>
        <w:tc>
          <w:tcPr>
            <w:tcW w:w="550" w:type="dxa"/>
            <w:tcBorders>
              <w:top w:val="single" w:sz="6" w:space="0" w:color="000000"/>
              <w:left w:val="single" w:sz="6" w:space="0" w:color="000000"/>
              <w:bottom w:val="single" w:sz="6" w:space="0" w:color="000000"/>
              <w:right w:val="single" w:sz="6" w:space="0" w:color="000000"/>
            </w:tcBorders>
          </w:tcPr>
          <w:p w14:paraId="55A356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3101</w:t>
            </w:r>
          </w:p>
        </w:tc>
        <w:tc>
          <w:tcPr>
            <w:tcW w:w="550" w:type="dxa"/>
            <w:gridSpan w:val="3"/>
            <w:tcBorders>
              <w:top w:val="single" w:sz="6" w:space="0" w:color="000000"/>
              <w:left w:val="single" w:sz="6" w:space="0" w:color="000000"/>
              <w:bottom w:val="single" w:sz="6" w:space="0" w:color="000000"/>
              <w:right w:val="single" w:sz="6" w:space="0" w:color="000000"/>
            </w:tcBorders>
          </w:tcPr>
          <w:p w14:paraId="763957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3339</w:t>
            </w:r>
          </w:p>
        </w:tc>
        <w:tc>
          <w:tcPr>
            <w:tcW w:w="550" w:type="dxa"/>
            <w:tcBorders>
              <w:top w:val="single" w:sz="6" w:space="0" w:color="000000"/>
              <w:left w:val="single" w:sz="6" w:space="0" w:color="000000"/>
              <w:bottom w:val="single" w:sz="6" w:space="0" w:color="000000"/>
              <w:right w:val="single" w:sz="6" w:space="0" w:color="000000"/>
            </w:tcBorders>
          </w:tcPr>
          <w:p w14:paraId="10E605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3432</w:t>
            </w:r>
          </w:p>
        </w:tc>
        <w:tc>
          <w:tcPr>
            <w:tcW w:w="550" w:type="dxa"/>
            <w:gridSpan w:val="3"/>
            <w:tcBorders>
              <w:top w:val="single" w:sz="6" w:space="0" w:color="000000"/>
              <w:left w:val="single" w:sz="6" w:space="0" w:color="000000"/>
              <w:bottom w:val="single" w:sz="6" w:space="0" w:color="000000"/>
              <w:right w:val="single" w:sz="6" w:space="0" w:color="000000"/>
            </w:tcBorders>
          </w:tcPr>
          <w:p w14:paraId="63619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4094</w:t>
            </w:r>
          </w:p>
        </w:tc>
        <w:tc>
          <w:tcPr>
            <w:tcW w:w="550" w:type="dxa"/>
            <w:tcBorders>
              <w:top w:val="single" w:sz="6" w:space="0" w:color="000000"/>
              <w:left w:val="single" w:sz="6" w:space="0" w:color="000000"/>
              <w:bottom w:val="single" w:sz="6" w:space="0" w:color="000000"/>
              <w:right w:val="single" w:sz="6" w:space="0" w:color="000000"/>
            </w:tcBorders>
          </w:tcPr>
          <w:p w14:paraId="318A9D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4554</w:t>
            </w:r>
          </w:p>
        </w:tc>
        <w:tc>
          <w:tcPr>
            <w:tcW w:w="550" w:type="dxa"/>
            <w:gridSpan w:val="2"/>
            <w:tcBorders>
              <w:top w:val="single" w:sz="6" w:space="0" w:color="000000"/>
              <w:left w:val="single" w:sz="6" w:space="0" w:color="000000"/>
              <w:bottom w:val="single" w:sz="6" w:space="0" w:color="000000"/>
              <w:right w:val="single" w:sz="6" w:space="0" w:color="000000"/>
            </w:tcBorders>
          </w:tcPr>
          <w:p w14:paraId="2DC3A8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6154</w:t>
            </w:r>
          </w:p>
        </w:tc>
        <w:tc>
          <w:tcPr>
            <w:tcW w:w="550" w:type="dxa"/>
            <w:tcBorders>
              <w:top w:val="single" w:sz="6" w:space="0" w:color="000000"/>
              <w:left w:val="single" w:sz="6" w:space="0" w:color="000000"/>
              <w:bottom w:val="single" w:sz="6" w:space="0" w:color="000000"/>
              <w:right w:val="single" w:sz="6" w:space="0" w:color="000000"/>
            </w:tcBorders>
          </w:tcPr>
          <w:p w14:paraId="461EDE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6008</w:t>
            </w:r>
          </w:p>
        </w:tc>
        <w:tc>
          <w:tcPr>
            <w:tcW w:w="550" w:type="dxa"/>
            <w:gridSpan w:val="3"/>
            <w:tcBorders>
              <w:top w:val="single" w:sz="6" w:space="0" w:color="000000"/>
              <w:left w:val="single" w:sz="6" w:space="0" w:color="000000"/>
              <w:bottom w:val="single" w:sz="6" w:space="0" w:color="000000"/>
              <w:right w:val="single" w:sz="6" w:space="0" w:color="000000"/>
            </w:tcBorders>
          </w:tcPr>
          <w:p w14:paraId="2953C2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6073</w:t>
            </w:r>
          </w:p>
        </w:tc>
        <w:tc>
          <w:tcPr>
            <w:tcW w:w="550" w:type="dxa"/>
            <w:tcBorders>
              <w:top w:val="single" w:sz="6" w:space="0" w:color="000000"/>
              <w:left w:val="single" w:sz="6" w:space="0" w:color="000000"/>
              <w:bottom w:val="single" w:sz="6" w:space="0" w:color="000000"/>
              <w:right w:val="single" w:sz="6" w:space="0" w:color="000000"/>
            </w:tcBorders>
          </w:tcPr>
          <w:p w14:paraId="0D4CA6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5662</w:t>
            </w:r>
          </w:p>
        </w:tc>
        <w:tc>
          <w:tcPr>
            <w:tcW w:w="660" w:type="dxa"/>
            <w:gridSpan w:val="3"/>
            <w:tcBorders>
              <w:top w:val="single" w:sz="6" w:space="0" w:color="000000"/>
              <w:left w:val="single" w:sz="6" w:space="0" w:color="000000"/>
              <w:bottom w:val="single" w:sz="6" w:space="0" w:color="000000"/>
              <w:right w:val="single" w:sz="6" w:space="0" w:color="000000"/>
            </w:tcBorders>
          </w:tcPr>
          <w:p w14:paraId="509727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22245</w:t>
            </w:r>
          </w:p>
        </w:tc>
        <w:tc>
          <w:tcPr>
            <w:tcW w:w="660" w:type="dxa"/>
            <w:tcBorders>
              <w:top w:val="single" w:sz="6" w:space="0" w:color="000000"/>
              <w:left w:val="single" w:sz="6" w:space="0" w:color="000000"/>
              <w:bottom w:val="single" w:sz="6" w:space="0" w:color="000000"/>
              <w:right w:val="single" w:sz="12" w:space="0" w:color="000000"/>
            </w:tcBorders>
          </w:tcPr>
          <w:p w14:paraId="51C80B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22757</w:t>
            </w:r>
          </w:p>
        </w:tc>
      </w:tr>
      <w:tr w:rsidR="000F5689" w:rsidRPr="00925F26" w14:paraId="2CB5C65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12" w:space="0" w:color="000000"/>
              <w:right w:val="single" w:sz="6" w:space="0" w:color="000000"/>
            </w:tcBorders>
          </w:tcPr>
          <w:p w14:paraId="1A76DB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самолетов:</w:t>
            </w:r>
          </w:p>
        </w:tc>
        <w:tc>
          <w:tcPr>
            <w:tcW w:w="550" w:type="dxa"/>
            <w:gridSpan w:val="3"/>
            <w:tcBorders>
              <w:top w:val="single" w:sz="6" w:space="0" w:color="000000"/>
              <w:left w:val="single" w:sz="6" w:space="0" w:color="000000"/>
              <w:bottom w:val="single" w:sz="12" w:space="0" w:color="000000"/>
              <w:right w:val="single" w:sz="6" w:space="0" w:color="000000"/>
            </w:tcBorders>
          </w:tcPr>
          <w:p w14:paraId="5CDEF5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18186</w:t>
            </w:r>
          </w:p>
        </w:tc>
        <w:tc>
          <w:tcPr>
            <w:tcW w:w="550" w:type="dxa"/>
            <w:tcBorders>
              <w:top w:val="single" w:sz="6" w:space="0" w:color="000000"/>
              <w:left w:val="single" w:sz="6" w:space="0" w:color="000000"/>
              <w:bottom w:val="single" w:sz="12" w:space="0" w:color="000000"/>
              <w:right w:val="single" w:sz="6" w:space="0" w:color="000000"/>
            </w:tcBorders>
          </w:tcPr>
          <w:p w14:paraId="706CC7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15874</w:t>
            </w:r>
          </w:p>
        </w:tc>
        <w:tc>
          <w:tcPr>
            <w:tcW w:w="550" w:type="dxa"/>
            <w:gridSpan w:val="3"/>
            <w:tcBorders>
              <w:top w:val="single" w:sz="6" w:space="0" w:color="000000"/>
              <w:left w:val="single" w:sz="6" w:space="0" w:color="000000"/>
              <w:bottom w:val="single" w:sz="12" w:space="0" w:color="000000"/>
              <w:right w:val="single" w:sz="6" w:space="0" w:color="000000"/>
            </w:tcBorders>
          </w:tcPr>
          <w:p w14:paraId="1834EF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25180</w:t>
            </w:r>
          </w:p>
        </w:tc>
        <w:tc>
          <w:tcPr>
            <w:tcW w:w="550" w:type="dxa"/>
            <w:tcBorders>
              <w:top w:val="single" w:sz="6" w:space="0" w:color="000000"/>
              <w:left w:val="single" w:sz="6" w:space="0" w:color="000000"/>
              <w:bottom w:val="single" w:sz="12" w:space="0" w:color="000000"/>
              <w:right w:val="single" w:sz="6" w:space="0" w:color="000000"/>
            </w:tcBorders>
          </w:tcPr>
          <w:p w14:paraId="41CCF9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25240</w:t>
            </w:r>
          </w:p>
        </w:tc>
        <w:tc>
          <w:tcPr>
            <w:tcW w:w="550" w:type="dxa"/>
            <w:gridSpan w:val="3"/>
            <w:tcBorders>
              <w:top w:val="single" w:sz="6" w:space="0" w:color="000000"/>
              <w:left w:val="single" w:sz="6" w:space="0" w:color="000000"/>
              <w:bottom w:val="single" w:sz="12" w:space="0" w:color="000000"/>
              <w:right w:val="single" w:sz="6" w:space="0" w:color="000000"/>
            </w:tcBorders>
          </w:tcPr>
          <w:p w14:paraId="6F9E8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34044</w:t>
            </w:r>
          </w:p>
        </w:tc>
        <w:tc>
          <w:tcPr>
            <w:tcW w:w="550" w:type="dxa"/>
            <w:tcBorders>
              <w:top w:val="single" w:sz="6" w:space="0" w:color="000000"/>
              <w:left w:val="single" w:sz="6" w:space="0" w:color="000000"/>
              <w:bottom w:val="single" w:sz="12" w:space="0" w:color="000000"/>
              <w:right w:val="single" w:sz="6" w:space="0" w:color="000000"/>
            </w:tcBorders>
          </w:tcPr>
          <w:p w14:paraId="2F4446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34736</w:t>
            </w:r>
          </w:p>
        </w:tc>
        <w:tc>
          <w:tcPr>
            <w:tcW w:w="550" w:type="dxa"/>
            <w:gridSpan w:val="2"/>
            <w:tcBorders>
              <w:top w:val="single" w:sz="6" w:space="0" w:color="000000"/>
              <w:left w:val="single" w:sz="6" w:space="0" w:color="000000"/>
              <w:bottom w:val="single" w:sz="12" w:space="0" w:color="000000"/>
              <w:right w:val="single" w:sz="6" w:space="0" w:color="000000"/>
            </w:tcBorders>
          </w:tcPr>
          <w:p w14:paraId="696369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40098</w:t>
            </w:r>
          </w:p>
        </w:tc>
        <w:tc>
          <w:tcPr>
            <w:tcW w:w="550" w:type="dxa"/>
            <w:tcBorders>
              <w:top w:val="single" w:sz="6" w:space="0" w:color="000000"/>
              <w:left w:val="single" w:sz="6" w:space="0" w:color="000000"/>
              <w:bottom w:val="single" w:sz="12" w:space="0" w:color="000000"/>
              <w:right w:val="single" w:sz="6" w:space="0" w:color="000000"/>
            </w:tcBorders>
          </w:tcPr>
          <w:p w14:paraId="25C37E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40152</w:t>
            </w:r>
          </w:p>
        </w:tc>
        <w:tc>
          <w:tcPr>
            <w:tcW w:w="550" w:type="dxa"/>
            <w:gridSpan w:val="3"/>
            <w:tcBorders>
              <w:top w:val="single" w:sz="6" w:space="0" w:color="000000"/>
              <w:left w:val="single" w:sz="6" w:space="0" w:color="000000"/>
              <w:bottom w:val="single" w:sz="12" w:space="0" w:color="000000"/>
              <w:right w:val="single" w:sz="6" w:space="0" w:color="000000"/>
            </w:tcBorders>
          </w:tcPr>
          <w:p w14:paraId="57E2A5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26733</w:t>
            </w:r>
          </w:p>
        </w:tc>
        <w:tc>
          <w:tcPr>
            <w:tcW w:w="550" w:type="dxa"/>
            <w:tcBorders>
              <w:top w:val="single" w:sz="6" w:space="0" w:color="000000"/>
              <w:left w:val="single" w:sz="6" w:space="0" w:color="000000"/>
              <w:bottom w:val="single" w:sz="12" w:space="0" w:color="000000"/>
              <w:right w:val="single" w:sz="6" w:space="0" w:color="000000"/>
            </w:tcBorders>
          </w:tcPr>
          <w:p w14:paraId="2CF135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26071</w:t>
            </w:r>
          </w:p>
        </w:tc>
        <w:tc>
          <w:tcPr>
            <w:tcW w:w="660" w:type="dxa"/>
            <w:gridSpan w:val="3"/>
            <w:tcBorders>
              <w:top w:val="single" w:sz="6" w:space="0" w:color="000000"/>
              <w:left w:val="single" w:sz="6" w:space="0" w:color="000000"/>
              <w:bottom w:val="single" w:sz="12" w:space="0" w:color="000000"/>
              <w:right w:val="single" w:sz="6" w:space="0" w:color="000000"/>
            </w:tcBorders>
          </w:tcPr>
          <w:p w14:paraId="3C983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144241</w:t>
            </w:r>
          </w:p>
        </w:tc>
        <w:tc>
          <w:tcPr>
            <w:tcW w:w="660" w:type="dxa"/>
            <w:tcBorders>
              <w:top w:val="single" w:sz="6" w:space="0" w:color="000000"/>
              <w:left w:val="single" w:sz="6" w:space="0" w:color="000000"/>
              <w:bottom w:val="single" w:sz="12" w:space="0" w:color="000000"/>
              <w:right w:val="single" w:sz="12" w:space="0" w:color="000000"/>
            </w:tcBorders>
          </w:tcPr>
          <w:p w14:paraId="36671C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142073</w:t>
            </w:r>
          </w:p>
        </w:tc>
      </w:tr>
    </w:tbl>
    <w:p w14:paraId="5487921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Отдел мобпланирования ГШ ВВС, д.103, лл.1-22.</w:t>
      </w:r>
    </w:p>
    <w:p w14:paraId="6FFC279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Прочерком (–) в таблице показано, что самолеты данного типа не производились (11016).</w:t>
      </w:r>
    </w:p>
    <w:p w14:paraId="37879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импортных самолетов в ВВС КА за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489"/>
        <w:gridCol w:w="1464"/>
        <w:gridCol w:w="1235"/>
        <w:gridCol w:w="517"/>
        <w:gridCol w:w="517"/>
        <w:gridCol w:w="517"/>
        <w:gridCol w:w="430"/>
        <w:gridCol w:w="387"/>
        <w:gridCol w:w="1800"/>
      </w:tblGrid>
      <w:tr w:rsidR="000F5689" w:rsidRPr="00925F26" w14:paraId="350F330F" w14:textId="77777777" w:rsidTr="00665165">
        <w:tc>
          <w:tcPr>
            <w:tcW w:w="2489" w:type="dxa"/>
            <w:tcBorders>
              <w:top w:val="single" w:sz="12" w:space="0" w:color="000000"/>
            </w:tcBorders>
          </w:tcPr>
          <w:p w14:paraId="68CFD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типов самолетов</w:t>
            </w:r>
          </w:p>
        </w:tc>
        <w:tc>
          <w:tcPr>
            <w:tcW w:w="1464" w:type="dxa"/>
            <w:gridSpan w:val="5"/>
            <w:tcBorders>
              <w:top w:val="single" w:sz="12" w:space="0" w:color="000000"/>
            </w:tcBorders>
          </w:tcPr>
          <w:p w14:paraId="093D1C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самолетов по годам</w:t>
            </w:r>
          </w:p>
        </w:tc>
        <w:tc>
          <w:tcPr>
            <w:tcW w:w="430" w:type="dxa"/>
            <w:gridSpan w:val="2"/>
            <w:tcBorders>
              <w:top w:val="single" w:sz="12" w:space="0" w:color="000000"/>
            </w:tcBorders>
          </w:tcPr>
          <w:p w14:paraId="087984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{2}</w:t>
            </w:r>
          </w:p>
        </w:tc>
        <w:tc>
          <w:tcPr>
            <w:tcW w:w="1800" w:type="dxa"/>
            <w:tcBorders>
              <w:top w:val="single" w:sz="12" w:space="0" w:color="000000"/>
            </w:tcBorders>
          </w:tcPr>
          <w:p w14:paraId="38C9E9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Напечатано в таблице</w:t>
            </w:r>
          </w:p>
        </w:tc>
      </w:tr>
      <w:tr w:rsidR="000F5689" w:rsidRPr="00925F26" w14:paraId="260FB8B2" w14:textId="77777777" w:rsidTr="00665165">
        <w:tc>
          <w:tcPr>
            <w:tcW w:w="2489" w:type="dxa"/>
          </w:tcPr>
          <w:p w14:paraId="23268757" w14:textId="77777777" w:rsidR="00665165" w:rsidRPr="00925F26" w:rsidRDefault="00665165" w:rsidP="00925F26">
            <w:pPr>
              <w:autoSpaceDE w:val="0"/>
              <w:autoSpaceDN w:val="0"/>
              <w:adjustRightInd w:val="0"/>
              <w:jc w:val="both"/>
              <w:rPr>
                <w:color w:val="000000" w:themeColor="text1"/>
                <w:sz w:val="16"/>
                <w:szCs w:val="16"/>
              </w:rPr>
            </w:pPr>
          </w:p>
        </w:tc>
        <w:tc>
          <w:tcPr>
            <w:tcW w:w="1464" w:type="dxa"/>
          </w:tcPr>
          <w:p w14:paraId="1822D3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235" w:type="dxa"/>
          </w:tcPr>
          <w:p w14:paraId="0B1D4B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517" w:type="dxa"/>
          </w:tcPr>
          <w:p w14:paraId="7DE1D9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517" w:type="dxa"/>
          </w:tcPr>
          <w:p w14:paraId="5C62CB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517" w:type="dxa"/>
          </w:tcPr>
          <w:p w14:paraId="551BA9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w:t>
            </w:r>
          </w:p>
        </w:tc>
        <w:tc>
          <w:tcPr>
            <w:tcW w:w="430" w:type="dxa"/>
            <w:gridSpan w:val="2"/>
          </w:tcPr>
          <w:p w14:paraId="214E9BC8" w14:textId="77777777" w:rsidR="00665165" w:rsidRPr="00925F26" w:rsidRDefault="00665165" w:rsidP="00925F26">
            <w:pPr>
              <w:autoSpaceDE w:val="0"/>
              <w:autoSpaceDN w:val="0"/>
              <w:adjustRightInd w:val="0"/>
              <w:jc w:val="both"/>
              <w:rPr>
                <w:color w:val="000000" w:themeColor="text1"/>
                <w:sz w:val="16"/>
                <w:szCs w:val="16"/>
              </w:rPr>
            </w:pPr>
          </w:p>
        </w:tc>
        <w:tc>
          <w:tcPr>
            <w:tcW w:w="1800" w:type="dxa"/>
          </w:tcPr>
          <w:p w14:paraId="5FBB0DD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69305F5" w14:textId="77777777" w:rsidTr="00665165">
        <w:tc>
          <w:tcPr>
            <w:tcW w:w="2489" w:type="dxa"/>
            <w:gridSpan w:val="9"/>
          </w:tcPr>
          <w:p w14:paraId="442D3D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r>
      <w:tr w:rsidR="000F5689" w:rsidRPr="00925F26" w14:paraId="6D8EF620" w14:textId="77777777">
        <w:tc>
          <w:tcPr>
            <w:tcW w:w="2489" w:type="dxa"/>
          </w:tcPr>
          <w:p w14:paraId="21585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Дуглас (А-20)</w:t>
            </w:r>
          </w:p>
        </w:tc>
        <w:tc>
          <w:tcPr>
            <w:tcW w:w="1464" w:type="dxa"/>
          </w:tcPr>
          <w:p w14:paraId="54DCC217"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340ED5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667</w:t>
            </w:r>
          </w:p>
        </w:tc>
        <w:tc>
          <w:tcPr>
            <w:tcW w:w="517" w:type="dxa"/>
          </w:tcPr>
          <w:p w14:paraId="381523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c>
          <w:tcPr>
            <w:tcW w:w="517" w:type="dxa"/>
          </w:tcPr>
          <w:p w14:paraId="1E11CE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743</w:t>
            </w:r>
          </w:p>
        </w:tc>
        <w:tc>
          <w:tcPr>
            <w:tcW w:w="517" w:type="dxa"/>
          </w:tcPr>
          <w:p w14:paraId="2C22D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430" w:type="dxa"/>
          </w:tcPr>
          <w:p w14:paraId="4F0A7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2771</w:t>
            </w:r>
          </w:p>
        </w:tc>
        <w:tc>
          <w:tcPr>
            <w:tcW w:w="387" w:type="dxa"/>
          </w:tcPr>
          <w:p w14:paraId="60766E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643</w:t>
            </w:r>
          </w:p>
        </w:tc>
        <w:tc>
          <w:tcPr>
            <w:tcW w:w="1800" w:type="dxa"/>
          </w:tcPr>
          <w:p w14:paraId="3A7D22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3414</w:t>
            </w:r>
          </w:p>
        </w:tc>
      </w:tr>
      <w:tr w:rsidR="000F5689" w:rsidRPr="00925F26" w14:paraId="674911BE" w14:textId="77777777">
        <w:tc>
          <w:tcPr>
            <w:tcW w:w="2489" w:type="dxa"/>
          </w:tcPr>
          <w:p w14:paraId="20852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Норт-Америкен (Б-25)</w:t>
            </w:r>
          </w:p>
        </w:tc>
        <w:tc>
          <w:tcPr>
            <w:tcW w:w="1464" w:type="dxa"/>
          </w:tcPr>
          <w:p w14:paraId="2E608A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235" w:type="dxa"/>
          </w:tcPr>
          <w:p w14:paraId="48A47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w:t>
            </w:r>
          </w:p>
        </w:tc>
        <w:tc>
          <w:tcPr>
            <w:tcW w:w="517" w:type="dxa"/>
          </w:tcPr>
          <w:p w14:paraId="6813FF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211</w:t>
            </w:r>
          </w:p>
        </w:tc>
        <w:tc>
          <w:tcPr>
            <w:tcW w:w="517" w:type="dxa"/>
          </w:tcPr>
          <w:p w14:paraId="624DD7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397</w:t>
            </w:r>
          </w:p>
        </w:tc>
        <w:tc>
          <w:tcPr>
            <w:tcW w:w="517" w:type="dxa"/>
          </w:tcPr>
          <w:p w14:paraId="5F56F0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w:t>
            </w:r>
          </w:p>
        </w:tc>
        <w:tc>
          <w:tcPr>
            <w:tcW w:w="430" w:type="dxa"/>
          </w:tcPr>
          <w:p w14:paraId="25468F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861</w:t>
            </w:r>
          </w:p>
        </w:tc>
        <w:tc>
          <w:tcPr>
            <w:tcW w:w="387" w:type="dxa"/>
          </w:tcPr>
          <w:p w14:paraId="1EFE20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800" w:type="dxa"/>
          </w:tcPr>
          <w:p w14:paraId="16341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877</w:t>
            </w:r>
          </w:p>
        </w:tc>
      </w:tr>
      <w:tr w:rsidR="000F5689" w:rsidRPr="00925F26" w14:paraId="0E50B7DD" w14:textId="77777777">
        <w:tc>
          <w:tcPr>
            <w:tcW w:w="2489" w:type="dxa"/>
          </w:tcPr>
          <w:p w14:paraId="793A8A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Стиринг</w:t>
            </w:r>
          </w:p>
        </w:tc>
        <w:tc>
          <w:tcPr>
            <w:tcW w:w="1464" w:type="dxa"/>
          </w:tcPr>
          <w:p w14:paraId="55E32076"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056140D6"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7F010FC7"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66C754C7"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080C50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430" w:type="dxa"/>
          </w:tcPr>
          <w:p w14:paraId="5B792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87" w:type="dxa"/>
          </w:tcPr>
          <w:p w14:paraId="512022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1800" w:type="dxa"/>
          </w:tcPr>
          <w:p w14:paraId="58D213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65E642A6" w14:textId="77777777">
        <w:tc>
          <w:tcPr>
            <w:tcW w:w="2489" w:type="dxa"/>
          </w:tcPr>
          <w:p w14:paraId="49AA64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464" w:type="dxa"/>
          </w:tcPr>
          <w:p w14:paraId="28CD9E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235" w:type="dxa"/>
          </w:tcPr>
          <w:p w14:paraId="733E6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775</w:t>
            </w:r>
          </w:p>
        </w:tc>
        <w:tc>
          <w:tcPr>
            <w:tcW w:w="517" w:type="dxa"/>
          </w:tcPr>
          <w:p w14:paraId="3CE782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1571</w:t>
            </w:r>
          </w:p>
        </w:tc>
        <w:tc>
          <w:tcPr>
            <w:tcW w:w="517" w:type="dxa"/>
          </w:tcPr>
          <w:p w14:paraId="188512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1140</w:t>
            </w:r>
          </w:p>
        </w:tc>
        <w:tc>
          <w:tcPr>
            <w:tcW w:w="517" w:type="dxa"/>
          </w:tcPr>
          <w:p w14:paraId="442C61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w:t>
            </w:r>
          </w:p>
        </w:tc>
        <w:tc>
          <w:tcPr>
            <w:tcW w:w="430" w:type="dxa"/>
          </w:tcPr>
          <w:p w14:paraId="759DD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3633</w:t>
            </w:r>
          </w:p>
        </w:tc>
        <w:tc>
          <w:tcPr>
            <w:tcW w:w="387" w:type="dxa"/>
          </w:tcPr>
          <w:p w14:paraId="427009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662</w:t>
            </w:r>
          </w:p>
        </w:tc>
        <w:tc>
          <w:tcPr>
            <w:tcW w:w="1800" w:type="dxa"/>
          </w:tcPr>
          <w:p w14:paraId="5F3095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4295</w:t>
            </w:r>
          </w:p>
        </w:tc>
      </w:tr>
      <w:tr w:rsidR="000F5689" w:rsidRPr="00925F26" w14:paraId="51CF6B21" w14:textId="77777777" w:rsidTr="00665165">
        <w:tc>
          <w:tcPr>
            <w:tcW w:w="2489" w:type="dxa"/>
            <w:gridSpan w:val="9"/>
          </w:tcPr>
          <w:p w14:paraId="4D97C0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r>
      <w:tr w:rsidR="000F5689" w:rsidRPr="00925F26" w14:paraId="2860CBA3" w14:textId="77777777">
        <w:tc>
          <w:tcPr>
            <w:tcW w:w="2489" w:type="dxa"/>
          </w:tcPr>
          <w:p w14:paraId="1D4DA0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Харрикейн II</w:t>
            </w:r>
          </w:p>
        </w:tc>
        <w:tc>
          <w:tcPr>
            <w:tcW w:w="1464" w:type="dxa"/>
          </w:tcPr>
          <w:p w14:paraId="460CEA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484</w:t>
            </w:r>
          </w:p>
        </w:tc>
        <w:tc>
          <w:tcPr>
            <w:tcW w:w="1235" w:type="dxa"/>
          </w:tcPr>
          <w:p w14:paraId="789848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1115</w:t>
            </w:r>
          </w:p>
        </w:tc>
        <w:tc>
          <w:tcPr>
            <w:tcW w:w="517" w:type="dxa"/>
          </w:tcPr>
          <w:p w14:paraId="05275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853</w:t>
            </w:r>
          </w:p>
        </w:tc>
        <w:tc>
          <w:tcPr>
            <w:tcW w:w="517" w:type="dxa"/>
          </w:tcPr>
          <w:p w14:paraId="51024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517" w:type="dxa"/>
          </w:tcPr>
          <w:p w14:paraId="5FE2345E" w14:textId="77777777" w:rsidR="00665165" w:rsidRPr="00925F26" w:rsidRDefault="00665165" w:rsidP="00925F26">
            <w:pPr>
              <w:autoSpaceDE w:val="0"/>
              <w:autoSpaceDN w:val="0"/>
              <w:adjustRightInd w:val="0"/>
              <w:jc w:val="both"/>
              <w:rPr>
                <w:color w:val="000000" w:themeColor="text1"/>
                <w:sz w:val="16"/>
                <w:szCs w:val="16"/>
              </w:rPr>
            </w:pPr>
          </w:p>
        </w:tc>
        <w:tc>
          <w:tcPr>
            <w:tcW w:w="430" w:type="dxa"/>
          </w:tcPr>
          <w:p w14:paraId="03FFE1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2834</w:t>
            </w:r>
          </w:p>
        </w:tc>
        <w:tc>
          <w:tcPr>
            <w:tcW w:w="387" w:type="dxa"/>
          </w:tcPr>
          <w:p w14:paraId="0A740B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248</w:t>
            </w:r>
          </w:p>
        </w:tc>
        <w:tc>
          <w:tcPr>
            <w:tcW w:w="1800" w:type="dxa"/>
          </w:tcPr>
          <w:p w14:paraId="20EC68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3082</w:t>
            </w:r>
          </w:p>
        </w:tc>
      </w:tr>
      <w:tr w:rsidR="000F5689" w:rsidRPr="00925F26" w14:paraId="4B31756A" w14:textId="77777777">
        <w:tc>
          <w:tcPr>
            <w:tcW w:w="2489" w:type="dxa"/>
          </w:tcPr>
          <w:p w14:paraId="2470EA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Спитфайер VБ-Г-IX</w:t>
            </w:r>
          </w:p>
        </w:tc>
        <w:tc>
          <w:tcPr>
            <w:tcW w:w="1464" w:type="dxa"/>
          </w:tcPr>
          <w:p w14:paraId="1AF18794"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3EEAE772"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54BDE0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517" w:type="dxa"/>
          </w:tcPr>
          <w:p w14:paraId="135956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498</w:t>
            </w:r>
          </w:p>
        </w:tc>
        <w:tc>
          <w:tcPr>
            <w:tcW w:w="517" w:type="dxa"/>
          </w:tcPr>
          <w:p w14:paraId="655A3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689</w:t>
            </w:r>
          </w:p>
        </w:tc>
        <w:tc>
          <w:tcPr>
            <w:tcW w:w="430" w:type="dxa"/>
          </w:tcPr>
          <w:p w14:paraId="51B647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1337</w:t>
            </w:r>
          </w:p>
        </w:tc>
        <w:tc>
          <w:tcPr>
            <w:tcW w:w="387" w:type="dxa"/>
          </w:tcPr>
          <w:p w14:paraId="58E978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1800" w:type="dxa"/>
          </w:tcPr>
          <w:p w14:paraId="0FBC70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1369</w:t>
            </w:r>
          </w:p>
        </w:tc>
      </w:tr>
      <w:tr w:rsidR="000F5689" w:rsidRPr="00925F26" w14:paraId="18DE4816" w14:textId="77777777">
        <w:tc>
          <w:tcPr>
            <w:tcW w:w="2489" w:type="dxa"/>
          </w:tcPr>
          <w:p w14:paraId="437234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Кертисс «Томогаук»</w:t>
            </w:r>
          </w:p>
        </w:tc>
        <w:tc>
          <w:tcPr>
            <w:tcW w:w="1464" w:type="dxa"/>
          </w:tcPr>
          <w:p w14:paraId="0F4F60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230</w:t>
            </w:r>
          </w:p>
        </w:tc>
        <w:tc>
          <w:tcPr>
            <w:tcW w:w="1235" w:type="dxa"/>
          </w:tcPr>
          <w:p w14:paraId="7336C9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517" w:type="dxa"/>
          </w:tcPr>
          <w:p w14:paraId="17EB5E02"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3B823F14"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0EBABFA1" w14:textId="77777777" w:rsidR="00665165" w:rsidRPr="00925F26" w:rsidRDefault="00665165" w:rsidP="00925F26">
            <w:pPr>
              <w:autoSpaceDE w:val="0"/>
              <w:autoSpaceDN w:val="0"/>
              <w:adjustRightInd w:val="0"/>
              <w:jc w:val="both"/>
              <w:rPr>
                <w:color w:val="000000" w:themeColor="text1"/>
                <w:sz w:val="16"/>
                <w:szCs w:val="16"/>
              </w:rPr>
            </w:pPr>
          </w:p>
        </w:tc>
        <w:tc>
          <w:tcPr>
            <w:tcW w:w="430" w:type="dxa"/>
          </w:tcPr>
          <w:p w14:paraId="2D5643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247</w:t>
            </w:r>
          </w:p>
        </w:tc>
        <w:tc>
          <w:tcPr>
            <w:tcW w:w="387" w:type="dxa"/>
          </w:tcPr>
          <w:p w14:paraId="61649D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800" w:type="dxa"/>
          </w:tcPr>
          <w:p w14:paraId="6C0BB9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247</w:t>
            </w:r>
          </w:p>
        </w:tc>
      </w:tr>
      <w:tr w:rsidR="000F5689" w:rsidRPr="00925F26" w14:paraId="356FCB54" w14:textId="77777777">
        <w:tc>
          <w:tcPr>
            <w:tcW w:w="2489" w:type="dxa"/>
          </w:tcPr>
          <w:p w14:paraId="22803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Кертисс «Киттихаук» (Р-40)</w:t>
            </w:r>
          </w:p>
        </w:tc>
        <w:tc>
          <w:tcPr>
            <w:tcW w:w="1464" w:type="dxa"/>
          </w:tcPr>
          <w:p w14:paraId="2BC15D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235" w:type="dxa"/>
          </w:tcPr>
          <w:p w14:paraId="343B83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487</w:t>
            </w:r>
          </w:p>
        </w:tc>
        <w:tc>
          <w:tcPr>
            <w:tcW w:w="517" w:type="dxa"/>
          </w:tcPr>
          <w:p w14:paraId="6A3BAA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939</w:t>
            </w:r>
          </w:p>
        </w:tc>
        <w:tc>
          <w:tcPr>
            <w:tcW w:w="517" w:type="dxa"/>
          </w:tcPr>
          <w:p w14:paraId="0E016E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446</w:t>
            </w:r>
          </w:p>
        </w:tc>
        <w:tc>
          <w:tcPr>
            <w:tcW w:w="517" w:type="dxa"/>
          </w:tcPr>
          <w:p w14:paraId="6809F003" w14:textId="77777777" w:rsidR="00665165" w:rsidRPr="00925F26" w:rsidRDefault="00665165" w:rsidP="00925F26">
            <w:pPr>
              <w:autoSpaceDE w:val="0"/>
              <w:autoSpaceDN w:val="0"/>
              <w:adjustRightInd w:val="0"/>
              <w:jc w:val="both"/>
              <w:rPr>
                <w:color w:val="000000" w:themeColor="text1"/>
                <w:sz w:val="16"/>
                <w:szCs w:val="16"/>
              </w:rPr>
            </w:pPr>
          </w:p>
        </w:tc>
        <w:tc>
          <w:tcPr>
            <w:tcW w:w="430" w:type="dxa"/>
          </w:tcPr>
          <w:p w14:paraId="604982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1887</w:t>
            </w:r>
          </w:p>
        </w:tc>
        <w:tc>
          <w:tcPr>
            <w:tcW w:w="387" w:type="dxa"/>
          </w:tcPr>
          <w:p w14:paraId="7F1F3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291</w:t>
            </w:r>
          </w:p>
        </w:tc>
        <w:tc>
          <w:tcPr>
            <w:tcW w:w="1800" w:type="dxa"/>
          </w:tcPr>
          <w:p w14:paraId="6CAFF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2178</w:t>
            </w:r>
          </w:p>
        </w:tc>
      </w:tr>
      <w:tr w:rsidR="000F5689" w:rsidRPr="00925F26" w14:paraId="33853FF3" w14:textId="77777777" w:rsidTr="00665165">
        <w:tc>
          <w:tcPr>
            <w:tcW w:w="2489" w:type="dxa"/>
            <w:gridSpan w:val="3"/>
          </w:tcPr>
          <w:p w14:paraId="1CD830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Рипаблик Р47Д22, Р47Д27 «Тандерболт» (Р-47)</w:t>
            </w:r>
          </w:p>
        </w:tc>
        <w:tc>
          <w:tcPr>
            <w:tcW w:w="517" w:type="dxa"/>
          </w:tcPr>
          <w:p w14:paraId="2CC0062E"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5DB9E1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517" w:type="dxa"/>
          </w:tcPr>
          <w:p w14:paraId="3EFA02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430" w:type="dxa"/>
          </w:tcPr>
          <w:p w14:paraId="184AAD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387" w:type="dxa"/>
          </w:tcPr>
          <w:p w14:paraId="03EBC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1800" w:type="dxa"/>
          </w:tcPr>
          <w:p w14:paraId="06A99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268</w:t>
            </w:r>
          </w:p>
        </w:tc>
      </w:tr>
      <w:tr w:rsidR="000F5689" w:rsidRPr="00925F26" w14:paraId="5AC77D08" w14:textId="77777777">
        <w:tc>
          <w:tcPr>
            <w:tcW w:w="2489" w:type="dxa"/>
          </w:tcPr>
          <w:p w14:paraId="19F31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Белл Р-39 «Аэрокобра»</w:t>
            </w:r>
          </w:p>
        </w:tc>
        <w:tc>
          <w:tcPr>
            <w:tcW w:w="1464" w:type="dxa"/>
          </w:tcPr>
          <w:p w14:paraId="1E4211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235" w:type="dxa"/>
          </w:tcPr>
          <w:p w14:paraId="67B244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w:t>
            </w:r>
          </w:p>
        </w:tc>
        <w:tc>
          <w:tcPr>
            <w:tcW w:w="517" w:type="dxa"/>
          </w:tcPr>
          <w:p w14:paraId="3CF08C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2627</w:t>
            </w:r>
          </w:p>
        </w:tc>
        <w:tc>
          <w:tcPr>
            <w:tcW w:w="517" w:type="dxa"/>
          </w:tcPr>
          <w:p w14:paraId="73439C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2127</w:t>
            </w:r>
          </w:p>
        </w:tc>
        <w:tc>
          <w:tcPr>
            <w:tcW w:w="517" w:type="dxa"/>
          </w:tcPr>
          <w:p w14:paraId="03E03F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430" w:type="dxa"/>
          </w:tcPr>
          <w:p w14:paraId="4CFF1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4952</w:t>
            </w:r>
          </w:p>
        </w:tc>
        <w:tc>
          <w:tcPr>
            <w:tcW w:w="387" w:type="dxa"/>
          </w:tcPr>
          <w:p w14:paraId="72723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626</w:t>
            </w:r>
          </w:p>
        </w:tc>
        <w:tc>
          <w:tcPr>
            <w:tcW w:w="1800" w:type="dxa"/>
          </w:tcPr>
          <w:p w14:paraId="22881C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5578</w:t>
            </w:r>
          </w:p>
        </w:tc>
      </w:tr>
      <w:tr w:rsidR="000F5689" w:rsidRPr="00925F26" w14:paraId="6CBB2843" w14:textId="77777777">
        <w:tc>
          <w:tcPr>
            <w:tcW w:w="2489" w:type="dxa"/>
          </w:tcPr>
          <w:p w14:paraId="32149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Белл Р-63А</w:t>
            </w:r>
          </w:p>
        </w:tc>
        <w:tc>
          <w:tcPr>
            <w:tcW w:w="1464" w:type="dxa"/>
          </w:tcPr>
          <w:p w14:paraId="5A2621D2"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03EC4C0F"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1B2E9BF7"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662215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831</w:t>
            </w:r>
          </w:p>
        </w:tc>
        <w:tc>
          <w:tcPr>
            <w:tcW w:w="517" w:type="dxa"/>
          </w:tcPr>
          <w:p w14:paraId="4496B6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1569</w:t>
            </w:r>
          </w:p>
        </w:tc>
        <w:tc>
          <w:tcPr>
            <w:tcW w:w="430" w:type="dxa"/>
          </w:tcPr>
          <w:p w14:paraId="64F4B1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2400</w:t>
            </w:r>
          </w:p>
        </w:tc>
        <w:tc>
          <w:tcPr>
            <w:tcW w:w="387" w:type="dxa"/>
          </w:tcPr>
          <w:p w14:paraId="1A4ABB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w:t>
            </w:r>
          </w:p>
        </w:tc>
        <w:tc>
          <w:tcPr>
            <w:tcW w:w="1800" w:type="dxa"/>
          </w:tcPr>
          <w:p w14:paraId="4003C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2672</w:t>
            </w:r>
          </w:p>
        </w:tc>
      </w:tr>
      <w:tr w:rsidR="000F5689" w:rsidRPr="00925F26" w14:paraId="75BFB9DE" w14:textId="77777777">
        <w:tc>
          <w:tcPr>
            <w:tcW w:w="2489" w:type="dxa"/>
          </w:tcPr>
          <w:p w14:paraId="630492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Мустанг № А73</w:t>
            </w:r>
          </w:p>
        </w:tc>
        <w:tc>
          <w:tcPr>
            <w:tcW w:w="1464" w:type="dxa"/>
          </w:tcPr>
          <w:p w14:paraId="4173D073"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131090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17" w:type="dxa"/>
          </w:tcPr>
          <w:p w14:paraId="7D9233E4"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6CDDA836"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0E8B1F86" w14:textId="77777777" w:rsidR="00665165" w:rsidRPr="00925F26" w:rsidRDefault="00665165" w:rsidP="00925F26">
            <w:pPr>
              <w:autoSpaceDE w:val="0"/>
              <w:autoSpaceDN w:val="0"/>
              <w:adjustRightInd w:val="0"/>
              <w:jc w:val="both"/>
              <w:rPr>
                <w:color w:val="000000" w:themeColor="text1"/>
                <w:sz w:val="16"/>
                <w:szCs w:val="16"/>
              </w:rPr>
            </w:pPr>
          </w:p>
        </w:tc>
        <w:tc>
          <w:tcPr>
            <w:tcW w:w="430" w:type="dxa"/>
          </w:tcPr>
          <w:p w14:paraId="0A450D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387" w:type="dxa"/>
          </w:tcPr>
          <w:p w14:paraId="1625CB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800" w:type="dxa"/>
          </w:tcPr>
          <w:p w14:paraId="42EC13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5FB260DA" w14:textId="77777777">
        <w:tc>
          <w:tcPr>
            <w:tcW w:w="2489" w:type="dxa"/>
          </w:tcPr>
          <w:p w14:paraId="574A6E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Тайфун</w:t>
            </w:r>
          </w:p>
        </w:tc>
        <w:tc>
          <w:tcPr>
            <w:tcW w:w="1464" w:type="dxa"/>
          </w:tcPr>
          <w:p w14:paraId="5D71061E"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540483F7"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4C47771E"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6CB19250"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7346ED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430" w:type="dxa"/>
          </w:tcPr>
          <w:p w14:paraId="031D39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87" w:type="dxa"/>
          </w:tcPr>
          <w:p w14:paraId="1330B2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800" w:type="dxa"/>
          </w:tcPr>
          <w:p w14:paraId="4E3844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15E94A3B" w14:textId="77777777">
        <w:tc>
          <w:tcPr>
            <w:tcW w:w="2489" w:type="dxa"/>
          </w:tcPr>
          <w:p w14:paraId="593A62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464" w:type="dxa"/>
          </w:tcPr>
          <w:p w14:paraId="2FE6E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730</w:t>
            </w:r>
          </w:p>
        </w:tc>
        <w:tc>
          <w:tcPr>
            <w:tcW w:w="1235" w:type="dxa"/>
          </w:tcPr>
          <w:p w14:paraId="472F49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1815</w:t>
            </w:r>
          </w:p>
        </w:tc>
        <w:tc>
          <w:tcPr>
            <w:tcW w:w="517" w:type="dxa"/>
          </w:tcPr>
          <w:p w14:paraId="7C213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4569</w:t>
            </w:r>
          </w:p>
        </w:tc>
        <w:tc>
          <w:tcPr>
            <w:tcW w:w="517" w:type="dxa"/>
          </w:tcPr>
          <w:p w14:paraId="212C7E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4474</w:t>
            </w:r>
          </w:p>
        </w:tc>
        <w:tc>
          <w:tcPr>
            <w:tcW w:w="517" w:type="dxa"/>
          </w:tcPr>
          <w:p w14:paraId="42F3B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2269</w:t>
            </w:r>
          </w:p>
        </w:tc>
        <w:tc>
          <w:tcPr>
            <w:tcW w:w="430" w:type="dxa"/>
          </w:tcPr>
          <w:p w14:paraId="1BB611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13857</w:t>
            </w:r>
          </w:p>
        </w:tc>
        <w:tc>
          <w:tcPr>
            <w:tcW w:w="387" w:type="dxa"/>
          </w:tcPr>
          <w:p w14:paraId="32B90A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1543</w:t>
            </w:r>
          </w:p>
        </w:tc>
        <w:tc>
          <w:tcPr>
            <w:tcW w:w="1800" w:type="dxa"/>
          </w:tcPr>
          <w:p w14:paraId="7FD47D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15400</w:t>
            </w:r>
          </w:p>
        </w:tc>
      </w:tr>
      <w:tr w:rsidR="000F5689" w:rsidRPr="00925F26" w14:paraId="49C1FE86" w14:textId="77777777" w:rsidTr="00665165">
        <w:tc>
          <w:tcPr>
            <w:tcW w:w="2489" w:type="dxa"/>
            <w:gridSpan w:val="9"/>
          </w:tcPr>
          <w:p w14:paraId="31D16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ПРОЧИЕ САМОЛЕТЫ</w:t>
            </w:r>
          </w:p>
        </w:tc>
      </w:tr>
      <w:tr w:rsidR="000F5689" w:rsidRPr="00925F26" w14:paraId="4894ACD3" w14:textId="77777777">
        <w:tc>
          <w:tcPr>
            <w:tcW w:w="2489" w:type="dxa"/>
          </w:tcPr>
          <w:p w14:paraId="324E3A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Кертисс О-52 (разведчик)</w:t>
            </w:r>
          </w:p>
        </w:tc>
        <w:tc>
          <w:tcPr>
            <w:tcW w:w="1464" w:type="dxa"/>
          </w:tcPr>
          <w:p w14:paraId="7E165A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235" w:type="dxa"/>
          </w:tcPr>
          <w:p w14:paraId="3A9796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517" w:type="dxa"/>
          </w:tcPr>
          <w:p w14:paraId="646A5947"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5EEFD374"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3190011A" w14:textId="77777777" w:rsidR="00665165" w:rsidRPr="00925F26" w:rsidRDefault="00665165" w:rsidP="00925F26">
            <w:pPr>
              <w:autoSpaceDE w:val="0"/>
              <w:autoSpaceDN w:val="0"/>
              <w:adjustRightInd w:val="0"/>
              <w:jc w:val="both"/>
              <w:rPr>
                <w:color w:val="000000" w:themeColor="text1"/>
                <w:sz w:val="16"/>
                <w:szCs w:val="16"/>
              </w:rPr>
            </w:pPr>
          </w:p>
        </w:tc>
        <w:tc>
          <w:tcPr>
            <w:tcW w:w="430" w:type="dxa"/>
          </w:tcPr>
          <w:p w14:paraId="7C8714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387" w:type="dxa"/>
          </w:tcPr>
          <w:p w14:paraId="65385A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800" w:type="dxa"/>
          </w:tcPr>
          <w:p w14:paraId="3E07B4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r>
      <w:tr w:rsidR="000F5689" w:rsidRPr="00925F26" w14:paraId="3C886012" w14:textId="77777777">
        <w:tc>
          <w:tcPr>
            <w:tcW w:w="2489" w:type="dxa"/>
          </w:tcPr>
          <w:p w14:paraId="0AB6E5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Дуглас С-47 (транспортный)</w:t>
            </w:r>
          </w:p>
        </w:tc>
        <w:tc>
          <w:tcPr>
            <w:tcW w:w="1464" w:type="dxa"/>
          </w:tcPr>
          <w:p w14:paraId="2595310E"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6787A373"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599669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517" w:type="dxa"/>
          </w:tcPr>
          <w:p w14:paraId="7A6A08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w:t>
            </w:r>
          </w:p>
        </w:tc>
        <w:tc>
          <w:tcPr>
            <w:tcW w:w="517" w:type="dxa"/>
          </w:tcPr>
          <w:p w14:paraId="50D51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282</w:t>
            </w:r>
          </w:p>
        </w:tc>
        <w:tc>
          <w:tcPr>
            <w:tcW w:w="430" w:type="dxa"/>
          </w:tcPr>
          <w:p w14:paraId="19C0A9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709</w:t>
            </w:r>
          </w:p>
        </w:tc>
        <w:tc>
          <w:tcPr>
            <w:tcW w:w="387" w:type="dxa"/>
          </w:tcPr>
          <w:p w14:paraId="0F455E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c>
          <w:tcPr>
            <w:tcW w:w="1800" w:type="dxa"/>
          </w:tcPr>
          <w:p w14:paraId="73591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1054</w:t>
            </w:r>
          </w:p>
        </w:tc>
      </w:tr>
      <w:tr w:rsidR="000F5689" w:rsidRPr="00925F26" w14:paraId="2C97D59D" w14:textId="77777777">
        <w:tc>
          <w:tcPr>
            <w:tcW w:w="2489" w:type="dxa"/>
          </w:tcPr>
          <w:p w14:paraId="56DA55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Кертисс С-46 (транспортный)</w:t>
            </w:r>
          </w:p>
        </w:tc>
        <w:tc>
          <w:tcPr>
            <w:tcW w:w="1464" w:type="dxa"/>
          </w:tcPr>
          <w:p w14:paraId="11073EBF" w14:textId="77777777" w:rsidR="00665165" w:rsidRPr="00925F26" w:rsidRDefault="00665165" w:rsidP="00925F26">
            <w:pPr>
              <w:autoSpaceDE w:val="0"/>
              <w:autoSpaceDN w:val="0"/>
              <w:adjustRightInd w:val="0"/>
              <w:jc w:val="both"/>
              <w:rPr>
                <w:color w:val="000000" w:themeColor="text1"/>
                <w:sz w:val="16"/>
                <w:szCs w:val="16"/>
              </w:rPr>
            </w:pPr>
          </w:p>
        </w:tc>
        <w:tc>
          <w:tcPr>
            <w:tcW w:w="1235" w:type="dxa"/>
          </w:tcPr>
          <w:p w14:paraId="5DFEDBB5"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153FA30C"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455EB33D"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5D0F07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430" w:type="dxa"/>
          </w:tcPr>
          <w:p w14:paraId="24A43E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87" w:type="dxa"/>
          </w:tcPr>
          <w:p w14:paraId="4BF0F4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800" w:type="dxa"/>
          </w:tcPr>
          <w:p w14:paraId="75CF4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12A8B642" w14:textId="77777777" w:rsidTr="00665165">
        <w:tc>
          <w:tcPr>
            <w:tcW w:w="2489" w:type="dxa"/>
            <w:gridSpan w:val="2"/>
          </w:tcPr>
          <w:p w14:paraId="57EABB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Норт-Америкен АТ6С, АТ6Г (учебный)</w:t>
            </w:r>
          </w:p>
        </w:tc>
        <w:tc>
          <w:tcPr>
            <w:tcW w:w="1235" w:type="dxa"/>
          </w:tcPr>
          <w:p w14:paraId="63368A64" w14:textId="77777777" w:rsidR="00665165" w:rsidRPr="00925F26" w:rsidRDefault="00665165" w:rsidP="00925F26">
            <w:pPr>
              <w:autoSpaceDE w:val="0"/>
              <w:autoSpaceDN w:val="0"/>
              <w:adjustRightInd w:val="0"/>
              <w:jc w:val="both"/>
              <w:rPr>
                <w:color w:val="000000" w:themeColor="text1"/>
                <w:sz w:val="16"/>
                <w:szCs w:val="16"/>
              </w:rPr>
            </w:pPr>
          </w:p>
        </w:tc>
        <w:tc>
          <w:tcPr>
            <w:tcW w:w="517" w:type="dxa"/>
          </w:tcPr>
          <w:p w14:paraId="3E680E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517" w:type="dxa"/>
          </w:tcPr>
          <w:p w14:paraId="3900F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517" w:type="dxa"/>
          </w:tcPr>
          <w:p w14:paraId="74BA6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c>
          <w:tcPr>
            <w:tcW w:w="430" w:type="dxa"/>
          </w:tcPr>
          <w:p w14:paraId="2E5D08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387" w:type="dxa"/>
          </w:tcPr>
          <w:p w14:paraId="4229EA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800" w:type="dxa"/>
          </w:tcPr>
          <w:p w14:paraId="5D25EA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r>
      <w:tr w:rsidR="000F5689" w:rsidRPr="00925F26" w14:paraId="5294D06F" w14:textId="77777777">
        <w:tc>
          <w:tcPr>
            <w:tcW w:w="2489" w:type="dxa"/>
          </w:tcPr>
          <w:p w14:paraId="6D64B9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1464" w:type="dxa"/>
          </w:tcPr>
          <w:p w14:paraId="4C2A4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235" w:type="dxa"/>
          </w:tcPr>
          <w:p w14:paraId="0DFD9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517" w:type="dxa"/>
          </w:tcPr>
          <w:p w14:paraId="5452E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517" w:type="dxa"/>
          </w:tcPr>
          <w:p w14:paraId="0AA11E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273</w:t>
            </w:r>
          </w:p>
        </w:tc>
        <w:tc>
          <w:tcPr>
            <w:tcW w:w="517" w:type="dxa"/>
          </w:tcPr>
          <w:p w14:paraId="62294B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338</w:t>
            </w:r>
          </w:p>
        </w:tc>
        <w:tc>
          <w:tcPr>
            <w:tcW w:w="430" w:type="dxa"/>
          </w:tcPr>
          <w:p w14:paraId="6547A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813</w:t>
            </w:r>
          </w:p>
        </w:tc>
        <w:tc>
          <w:tcPr>
            <w:tcW w:w="387" w:type="dxa"/>
          </w:tcPr>
          <w:p w14:paraId="07D6EB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c>
          <w:tcPr>
            <w:tcW w:w="1800" w:type="dxa"/>
          </w:tcPr>
          <w:p w14:paraId="5B1F15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1158</w:t>
            </w:r>
          </w:p>
        </w:tc>
      </w:tr>
      <w:tr w:rsidR="000F5689" w:rsidRPr="00925F26" w14:paraId="2B3D5C88" w14:textId="77777777">
        <w:tc>
          <w:tcPr>
            <w:tcW w:w="2489" w:type="dxa"/>
            <w:tcBorders>
              <w:bottom w:val="single" w:sz="12" w:space="0" w:color="000000"/>
            </w:tcBorders>
          </w:tcPr>
          <w:p w14:paraId="320D2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самолетов</w:t>
            </w:r>
          </w:p>
        </w:tc>
        <w:tc>
          <w:tcPr>
            <w:tcW w:w="1464" w:type="dxa"/>
            <w:tcBorders>
              <w:bottom w:val="single" w:sz="12" w:space="0" w:color="000000"/>
            </w:tcBorders>
          </w:tcPr>
          <w:p w14:paraId="3D8C4B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740</w:t>
            </w:r>
          </w:p>
        </w:tc>
        <w:tc>
          <w:tcPr>
            <w:tcW w:w="1235" w:type="dxa"/>
            <w:tcBorders>
              <w:bottom w:val="single" w:sz="12" w:space="0" w:color="000000"/>
            </w:tcBorders>
          </w:tcPr>
          <w:p w14:paraId="4A35B5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2604</w:t>
            </w:r>
          </w:p>
        </w:tc>
        <w:tc>
          <w:tcPr>
            <w:tcW w:w="517" w:type="dxa"/>
            <w:tcBorders>
              <w:bottom w:val="single" w:sz="12" w:space="0" w:color="000000"/>
            </w:tcBorders>
          </w:tcPr>
          <w:p w14:paraId="097B8F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6323</w:t>
            </w:r>
          </w:p>
        </w:tc>
        <w:tc>
          <w:tcPr>
            <w:tcW w:w="517" w:type="dxa"/>
            <w:tcBorders>
              <w:bottom w:val="single" w:sz="12" w:space="0" w:color="000000"/>
            </w:tcBorders>
          </w:tcPr>
          <w:p w14:paraId="644844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5887</w:t>
            </w:r>
          </w:p>
        </w:tc>
        <w:tc>
          <w:tcPr>
            <w:tcW w:w="517" w:type="dxa"/>
            <w:tcBorders>
              <w:bottom w:val="single" w:sz="12" w:space="0" w:color="000000"/>
            </w:tcBorders>
          </w:tcPr>
          <w:p w14:paraId="43870E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2749</w:t>
            </w:r>
          </w:p>
        </w:tc>
        <w:tc>
          <w:tcPr>
            <w:tcW w:w="430" w:type="dxa"/>
            <w:tcBorders>
              <w:bottom w:val="single" w:sz="12" w:space="0" w:color="000000"/>
            </w:tcBorders>
          </w:tcPr>
          <w:p w14:paraId="2F558E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18303</w:t>
            </w:r>
          </w:p>
        </w:tc>
        <w:tc>
          <w:tcPr>
            <w:tcW w:w="387" w:type="dxa"/>
            <w:tcBorders>
              <w:bottom w:val="single" w:sz="12" w:space="0" w:color="000000"/>
            </w:tcBorders>
          </w:tcPr>
          <w:p w14:paraId="0050E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2550</w:t>
            </w:r>
          </w:p>
        </w:tc>
        <w:tc>
          <w:tcPr>
            <w:tcW w:w="1800" w:type="dxa"/>
            <w:tcBorders>
              <w:bottom w:val="single" w:sz="12" w:space="0" w:color="000000"/>
            </w:tcBorders>
          </w:tcPr>
          <w:p w14:paraId="3AD8D3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20853</w:t>
            </w:r>
          </w:p>
        </w:tc>
      </w:tr>
    </w:tbl>
    <w:p w14:paraId="6C13969C"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Отдел мобпланирования ГШ ВВС, д.103, лл.1-22.</w:t>
      </w:r>
    </w:p>
    <w:p w14:paraId="4685CA4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{2}В числителе показано всего поступило самолетов, в знаменателе, в том числе поступило в другие ведомства.</w:t>
      </w:r>
    </w:p>
    <w:p w14:paraId="15AD8C9D"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Прочерком (–) в таблице показано, что самолеты данного типа не поступали в ВВС КА (11016).</w:t>
      </w:r>
    </w:p>
    <w:p w14:paraId="3DF82A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авиационных двигателей промышленностью СССР за 1941-1945 гг. (в штуках)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634"/>
        <w:gridCol w:w="873"/>
        <w:gridCol w:w="873"/>
        <w:gridCol w:w="407"/>
        <w:gridCol w:w="582"/>
        <w:gridCol w:w="407"/>
        <w:gridCol w:w="582"/>
        <w:gridCol w:w="407"/>
        <w:gridCol w:w="582"/>
        <w:gridCol w:w="407"/>
        <w:gridCol w:w="582"/>
        <w:gridCol w:w="436"/>
        <w:gridCol w:w="582"/>
      </w:tblGrid>
      <w:tr w:rsidR="000F5689" w:rsidRPr="00925F26" w14:paraId="671161A5" w14:textId="77777777" w:rsidTr="00665165">
        <w:tc>
          <w:tcPr>
            <w:tcW w:w="2634" w:type="dxa"/>
            <w:tcBorders>
              <w:top w:val="single" w:sz="12" w:space="0" w:color="000000"/>
            </w:tcBorders>
          </w:tcPr>
          <w:p w14:paraId="748F6E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авиационных двигателей</w:t>
            </w:r>
          </w:p>
        </w:tc>
        <w:tc>
          <w:tcPr>
            <w:tcW w:w="873" w:type="dxa"/>
            <w:gridSpan w:val="10"/>
            <w:tcBorders>
              <w:top w:val="single" w:sz="12" w:space="0" w:color="000000"/>
            </w:tcBorders>
          </w:tcPr>
          <w:p w14:paraId="3D8409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 производства и выпуска авиационных моторов по годам</w:t>
            </w:r>
          </w:p>
        </w:tc>
        <w:tc>
          <w:tcPr>
            <w:tcW w:w="436" w:type="dxa"/>
            <w:gridSpan w:val="2"/>
            <w:tcBorders>
              <w:top w:val="single" w:sz="12" w:space="0" w:color="000000"/>
            </w:tcBorders>
          </w:tcPr>
          <w:p w14:paraId="0D5DEB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1DF86496" w14:textId="77777777" w:rsidTr="00665165">
        <w:tc>
          <w:tcPr>
            <w:tcW w:w="2634" w:type="dxa"/>
          </w:tcPr>
          <w:p w14:paraId="20DBD3EE" w14:textId="77777777" w:rsidR="00665165" w:rsidRPr="00925F26" w:rsidRDefault="00665165" w:rsidP="00925F26">
            <w:pPr>
              <w:autoSpaceDE w:val="0"/>
              <w:autoSpaceDN w:val="0"/>
              <w:adjustRightInd w:val="0"/>
              <w:jc w:val="both"/>
              <w:rPr>
                <w:color w:val="000000" w:themeColor="text1"/>
                <w:sz w:val="16"/>
                <w:szCs w:val="16"/>
              </w:rPr>
            </w:pPr>
          </w:p>
        </w:tc>
        <w:tc>
          <w:tcPr>
            <w:tcW w:w="873" w:type="dxa"/>
            <w:gridSpan w:val="2"/>
          </w:tcPr>
          <w:p w14:paraId="2C5E1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w:t>
            </w:r>
          </w:p>
        </w:tc>
        <w:tc>
          <w:tcPr>
            <w:tcW w:w="407" w:type="dxa"/>
            <w:gridSpan w:val="2"/>
          </w:tcPr>
          <w:p w14:paraId="305481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407" w:type="dxa"/>
            <w:gridSpan w:val="2"/>
          </w:tcPr>
          <w:p w14:paraId="34F1B8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407" w:type="dxa"/>
            <w:gridSpan w:val="2"/>
          </w:tcPr>
          <w:p w14:paraId="382D8F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407" w:type="dxa"/>
            <w:gridSpan w:val="2"/>
          </w:tcPr>
          <w:p w14:paraId="46E618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c>
          <w:tcPr>
            <w:tcW w:w="436" w:type="dxa"/>
            <w:gridSpan w:val="2"/>
          </w:tcPr>
          <w:p w14:paraId="043C724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6EFB799" w14:textId="77777777">
        <w:tc>
          <w:tcPr>
            <w:tcW w:w="2634" w:type="dxa"/>
          </w:tcPr>
          <w:p w14:paraId="5D3785B6"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36119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873" w:type="dxa"/>
          </w:tcPr>
          <w:p w14:paraId="5B265F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07" w:type="dxa"/>
          </w:tcPr>
          <w:p w14:paraId="6A1C2F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582" w:type="dxa"/>
          </w:tcPr>
          <w:p w14:paraId="565A42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07" w:type="dxa"/>
          </w:tcPr>
          <w:p w14:paraId="5FBA78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582" w:type="dxa"/>
          </w:tcPr>
          <w:p w14:paraId="0FBDC1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07" w:type="dxa"/>
          </w:tcPr>
          <w:p w14:paraId="7DA924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582" w:type="dxa"/>
          </w:tcPr>
          <w:p w14:paraId="5CF9A3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07" w:type="dxa"/>
          </w:tcPr>
          <w:p w14:paraId="6FF9FA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582" w:type="dxa"/>
          </w:tcPr>
          <w:p w14:paraId="641043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36" w:type="dxa"/>
          </w:tcPr>
          <w:p w14:paraId="5F034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582" w:type="dxa"/>
          </w:tcPr>
          <w:p w14:paraId="1D1EF0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r>
      <w:tr w:rsidR="000F5689" w:rsidRPr="00925F26" w14:paraId="77D50A6D" w14:textId="77777777">
        <w:tc>
          <w:tcPr>
            <w:tcW w:w="2634" w:type="dxa"/>
          </w:tcPr>
          <w:p w14:paraId="756341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ВК-105р</w:t>
            </w:r>
          </w:p>
        </w:tc>
        <w:tc>
          <w:tcPr>
            <w:tcW w:w="873" w:type="dxa"/>
          </w:tcPr>
          <w:p w14:paraId="7BD85C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9681</w:t>
            </w:r>
          </w:p>
        </w:tc>
        <w:tc>
          <w:tcPr>
            <w:tcW w:w="873" w:type="dxa"/>
          </w:tcPr>
          <w:p w14:paraId="365AE2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6367</w:t>
            </w:r>
          </w:p>
        </w:tc>
        <w:tc>
          <w:tcPr>
            <w:tcW w:w="407" w:type="dxa"/>
          </w:tcPr>
          <w:p w14:paraId="57C1556C"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EF70593"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559D9D1C"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AA12AAB"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33EEA063"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648BCDA1"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625C8742"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2BDCCCA"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166624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9681</w:t>
            </w:r>
          </w:p>
        </w:tc>
        <w:tc>
          <w:tcPr>
            <w:tcW w:w="582" w:type="dxa"/>
          </w:tcPr>
          <w:p w14:paraId="679C72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6367</w:t>
            </w:r>
          </w:p>
        </w:tc>
      </w:tr>
      <w:tr w:rsidR="000F5689" w:rsidRPr="00925F26" w14:paraId="51AE8FC2" w14:textId="77777777">
        <w:tc>
          <w:tcPr>
            <w:tcW w:w="2634" w:type="dxa"/>
          </w:tcPr>
          <w:p w14:paraId="42FDEE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ВК-105ра</w:t>
            </w:r>
          </w:p>
        </w:tc>
        <w:tc>
          <w:tcPr>
            <w:tcW w:w="873" w:type="dxa"/>
          </w:tcPr>
          <w:p w14:paraId="22C23489"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0F663CD8"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6038F2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4518</w:t>
            </w:r>
          </w:p>
        </w:tc>
        <w:tc>
          <w:tcPr>
            <w:tcW w:w="582" w:type="dxa"/>
          </w:tcPr>
          <w:p w14:paraId="03BAFB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4448</w:t>
            </w:r>
          </w:p>
        </w:tc>
        <w:tc>
          <w:tcPr>
            <w:tcW w:w="407" w:type="dxa"/>
          </w:tcPr>
          <w:p w14:paraId="3741CF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346</w:t>
            </w:r>
          </w:p>
        </w:tc>
        <w:tc>
          <w:tcPr>
            <w:tcW w:w="582" w:type="dxa"/>
          </w:tcPr>
          <w:p w14:paraId="72D278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495</w:t>
            </w:r>
          </w:p>
        </w:tc>
        <w:tc>
          <w:tcPr>
            <w:tcW w:w="407" w:type="dxa"/>
          </w:tcPr>
          <w:p w14:paraId="0F746260"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EEEC27B"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8A7DF12"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4B258F14"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7AEECE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4864</w:t>
            </w:r>
          </w:p>
        </w:tc>
        <w:tc>
          <w:tcPr>
            <w:tcW w:w="582" w:type="dxa"/>
          </w:tcPr>
          <w:p w14:paraId="367215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4943</w:t>
            </w:r>
          </w:p>
        </w:tc>
      </w:tr>
      <w:tr w:rsidR="000F5689" w:rsidRPr="00925F26" w14:paraId="26213DB4" w14:textId="77777777">
        <w:tc>
          <w:tcPr>
            <w:tcW w:w="2634" w:type="dxa"/>
          </w:tcPr>
          <w:p w14:paraId="30CDE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ВК-105п</w:t>
            </w:r>
          </w:p>
        </w:tc>
        <w:tc>
          <w:tcPr>
            <w:tcW w:w="873" w:type="dxa"/>
          </w:tcPr>
          <w:p w14:paraId="66084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7376</w:t>
            </w:r>
          </w:p>
        </w:tc>
        <w:tc>
          <w:tcPr>
            <w:tcW w:w="873" w:type="dxa"/>
          </w:tcPr>
          <w:p w14:paraId="675B2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5309</w:t>
            </w:r>
          </w:p>
        </w:tc>
        <w:tc>
          <w:tcPr>
            <w:tcW w:w="407" w:type="dxa"/>
          </w:tcPr>
          <w:p w14:paraId="2F26030A"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604F7424"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63277D4A"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CFE7584"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48EF4FE6"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FD909A4"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64539F4F"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7138585"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42F627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7376</w:t>
            </w:r>
          </w:p>
        </w:tc>
        <w:tc>
          <w:tcPr>
            <w:tcW w:w="582" w:type="dxa"/>
          </w:tcPr>
          <w:p w14:paraId="78606C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5309</w:t>
            </w:r>
          </w:p>
        </w:tc>
      </w:tr>
      <w:tr w:rsidR="000F5689" w:rsidRPr="00925F26" w14:paraId="6A64435B" w14:textId="77777777">
        <w:tc>
          <w:tcPr>
            <w:tcW w:w="2634" w:type="dxa"/>
          </w:tcPr>
          <w:p w14:paraId="6448E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ВК-105па, пф, пф-2</w:t>
            </w:r>
          </w:p>
        </w:tc>
        <w:tc>
          <w:tcPr>
            <w:tcW w:w="873" w:type="dxa"/>
          </w:tcPr>
          <w:p w14:paraId="5B805D74"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668E184F"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44781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11018</w:t>
            </w:r>
          </w:p>
        </w:tc>
        <w:tc>
          <w:tcPr>
            <w:tcW w:w="582" w:type="dxa"/>
          </w:tcPr>
          <w:p w14:paraId="763F7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10545</w:t>
            </w:r>
          </w:p>
        </w:tc>
        <w:tc>
          <w:tcPr>
            <w:tcW w:w="407" w:type="dxa"/>
          </w:tcPr>
          <w:p w14:paraId="7CA140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18024</w:t>
            </w:r>
          </w:p>
        </w:tc>
        <w:tc>
          <w:tcPr>
            <w:tcW w:w="582" w:type="dxa"/>
          </w:tcPr>
          <w:p w14:paraId="514349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18196</w:t>
            </w:r>
          </w:p>
        </w:tc>
        <w:tc>
          <w:tcPr>
            <w:tcW w:w="407" w:type="dxa"/>
          </w:tcPr>
          <w:p w14:paraId="1D719D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17367</w:t>
            </w:r>
          </w:p>
        </w:tc>
        <w:tc>
          <w:tcPr>
            <w:tcW w:w="582" w:type="dxa"/>
          </w:tcPr>
          <w:p w14:paraId="2AA3B6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16365</w:t>
            </w:r>
          </w:p>
        </w:tc>
        <w:tc>
          <w:tcPr>
            <w:tcW w:w="407" w:type="dxa"/>
          </w:tcPr>
          <w:p w14:paraId="659FE2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10103</w:t>
            </w:r>
          </w:p>
        </w:tc>
        <w:tc>
          <w:tcPr>
            <w:tcW w:w="582" w:type="dxa"/>
          </w:tcPr>
          <w:p w14:paraId="41C5B0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10073</w:t>
            </w:r>
          </w:p>
        </w:tc>
        <w:tc>
          <w:tcPr>
            <w:tcW w:w="436" w:type="dxa"/>
          </w:tcPr>
          <w:p w14:paraId="5814B8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56512</w:t>
            </w:r>
          </w:p>
        </w:tc>
        <w:tc>
          <w:tcPr>
            <w:tcW w:w="582" w:type="dxa"/>
          </w:tcPr>
          <w:p w14:paraId="2DEFFA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55179</w:t>
            </w:r>
          </w:p>
        </w:tc>
      </w:tr>
      <w:tr w:rsidR="000F5689" w:rsidRPr="00925F26" w14:paraId="4262E965" w14:textId="77777777" w:rsidTr="00665165">
        <w:tc>
          <w:tcPr>
            <w:tcW w:w="2634" w:type="dxa"/>
            <w:gridSpan w:val="3"/>
          </w:tcPr>
          <w:p w14:paraId="2378F3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 с 1 и 2 скоростями нагнеталей</w:t>
            </w:r>
          </w:p>
        </w:tc>
        <w:tc>
          <w:tcPr>
            <w:tcW w:w="407" w:type="dxa"/>
          </w:tcPr>
          <w:p w14:paraId="72149A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582" w:type="dxa"/>
          </w:tcPr>
          <w:p w14:paraId="1B7036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407" w:type="dxa"/>
          </w:tcPr>
          <w:p w14:paraId="3AF5B3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w:t>
            </w:r>
          </w:p>
        </w:tc>
        <w:tc>
          <w:tcPr>
            <w:tcW w:w="582" w:type="dxa"/>
          </w:tcPr>
          <w:p w14:paraId="7EFF6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407" w:type="dxa"/>
          </w:tcPr>
          <w:p w14:paraId="2748D8B4"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30AE3A99"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70AC4D1"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632D5978"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5DCE3E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302</w:t>
            </w:r>
          </w:p>
        </w:tc>
        <w:tc>
          <w:tcPr>
            <w:tcW w:w="582" w:type="dxa"/>
          </w:tcPr>
          <w:p w14:paraId="4C49B2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w:t>
            </w:r>
          </w:p>
        </w:tc>
      </w:tr>
      <w:tr w:rsidR="000F5689" w:rsidRPr="00925F26" w14:paraId="4C6576CF" w14:textId="77777777">
        <w:tc>
          <w:tcPr>
            <w:tcW w:w="2634" w:type="dxa"/>
          </w:tcPr>
          <w:p w14:paraId="67A0AE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873" w:type="dxa"/>
          </w:tcPr>
          <w:p w14:paraId="1A5B9952"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47159569"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211C6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582" w:type="dxa"/>
          </w:tcPr>
          <w:p w14:paraId="1F09F7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407" w:type="dxa"/>
          </w:tcPr>
          <w:p w14:paraId="5C6F5F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502</w:t>
            </w:r>
          </w:p>
        </w:tc>
        <w:tc>
          <w:tcPr>
            <w:tcW w:w="582" w:type="dxa"/>
          </w:tcPr>
          <w:p w14:paraId="37AD69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w:t>
            </w:r>
          </w:p>
        </w:tc>
        <w:tc>
          <w:tcPr>
            <w:tcW w:w="407" w:type="dxa"/>
          </w:tcPr>
          <w:p w14:paraId="12BD48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2753</w:t>
            </w:r>
          </w:p>
        </w:tc>
        <w:tc>
          <w:tcPr>
            <w:tcW w:w="582" w:type="dxa"/>
          </w:tcPr>
          <w:p w14:paraId="028117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2106</w:t>
            </w:r>
          </w:p>
        </w:tc>
        <w:tc>
          <w:tcPr>
            <w:tcW w:w="407" w:type="dxa"/>
          </w:tcPr>
          <w:p w14:paraId="2D6A87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4470</w:t>
            </w:r>
          </w:p>
        </w:tc>
        <w:tc>
          <w:tcPr>
            <w:tcW w:w="582" w:type="dxa"/>
          </w:tcPr>
          <w:p w14:paraId="6AE6D4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3168</w:t>
            </w:r>
          </w:p>
        </w:tc>
        <w:tc>
          <w:tcPr>
            <w:tcW w:w="436" w:type="dxa"/>
          </w:tcPr>
          <w:p w14:paraId="347AC2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7762</w:t>
            </w:r>
          </w:p>
        </w:tc>
        <w:tc>
          <w:tcPr>
            <w:tcW w:w="582" w:type="dxa"/>
          </w:tcPr>
          <w:p w14:paraId="6491E7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5476</w:t>
            </w:r>
          </w:p>
        </w:tc>
      </w:tr>
      <w:tr w:rsidR="000F5689" w:rsidRPr="00925F26" w14:paraId="3ECDDD4D" w14:textId="77777777">
        <w:tc>
          <w:tcPr>
            <w:tcW w:w="2634" w:type="dxa"/>
          </w:tcPr>
          <w:p w14:paraId="6B8BBA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873" w:type="dxa"/>
          </w:tcPr>
          <w:p w14:paraId="6A7E3E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4494</w:t>
            </w:r>
          </w:p>
        </w:tc>
        <w:tc>
          <w:tcPr>
            <w:tcW w:w="873" w:type="dxa"/>
          </w:tcPr>
          <w:p w14:paraId="08384B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3910</w:t>
            </w:r>
          </w:p>
        </w:tc>
        <w:tc>
          <w:tcPr>
            <w:tcW w:w="407" w:type="dxa"/>
          </w:tcPr>
          <w:p w14:paraId="72B315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w:t>
            </w:r>
          </w:p>
        </w:tc>
        <w:tc>
          <w:tcPr>
            <w:tcW w:w="582" w:type="dxa"/>
          </w:tcPr>
          <w:p w14:paraId="5B5C0F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172</w:t>
            </w:r>
          </w:p>
        </w:tc>
        <w:tc>
          <w:tcPr>
            <w:tcW w:w="407" w:type="dxa"/>
          </w:tcPr>
          <w:p w14:paraId="75C46C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294</w:t>
            </w:r>
          </w:p>
        </w:tc>
        <w:tc>
          <w:tcPr>
            <w:tcW w:w="582" w:type="dxa"/>
          </w:tcPr>
          <w:p w14:paraId="0B83F8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w:t>
            </w:r>
          </w:p>
        </w:tc>
        <w:tc>
          <w:tcPr>
            <w:tcW w:w="407" w:type="dxa"/>
          </w:tcPr>
          <w:p w14:paraId="60EE3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582" w:type="dxa"/>
          </w:tcPr>
          <w:p w14:paraId="2DDCE2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407" w:type="dxa"/>
          </w:tcPr>
          <w:p w14:paraId="0DF541C4"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4E8C2A4"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407FB7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4996</w:t>
            </w:r>
          </w:p>
        </w:tc>
        <w:tc>
          <w:tcPr>
            <w:tcW w:w="582" w:type="dxa"/>
          </w:tcPr>
          <w:p w14:paraId="7EA29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4321</w:t>
            </w:r>
          </w:p>
        </w:tc>
      </w:tr>
      <w:tr w:rsidR="000F5689" w:rsidRPr="00925F26" w14:paraId="5F9254A6" w14:textId="77777777">
        <w:tc>
          <w:tcPr>
            <w:tcW w:w="2634" w:type="dxa"/>
          </w:tcPr>
          <w:p w14:paraId="7AAF9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АМ-37</w:t>
            </w:r>
          </w:p>
        </w:tc>
        <w:tc>
          <w:tcPr>
            <w:tcW w:w="873" w:type="dxa"/>
          </w:tcPr>
          <w:p w14:paraId="3D2160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873" w:type="dxa"/>
          </w:tcPr>
          <w:p w14:paraId="4477E1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407" w:type="dxa"/>
          </w:tcPr>
          <w:p w14:paraId="46077E6D"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88A0313"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51A4C3D2"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38F939EA"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4C2F8BB1"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570EDC4B"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025FEA9"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CA79C4A"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4523C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582" w:type="dxa"/>
          </w:tcPr>
          <w:p w14:paraId="09E2DF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r>
      <w:tr w:rsidR="000F5689" w:rsidRPr="00925F26" w14:paraId="55D0946A" w14:textId="77777777">
        <w:tc>
          <w:tcPr>
            <w:tcW w:w="2634" w:type="dxa"/>
          </w:tcPr>
          <w:p w14:paraId="0BC646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АМ-38</w:t>
            </w:r>
          </w:p>
        </w:tc>
        <w:tc>
          <w:tcPr>
            <w:tcW w:w="873" w:type="dxa"/>
          </w:tcPr>
          <w:p w14:paraId="509E13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3223</w:t>
            </w:r>
          </w:p>
        </w:tc>
        <w:tc>
          <w:tcPr>
            <w:tcW w:w="873" w:type="dxa"/>
          </w:tcPr>
          <w:p w14:paraId="5B6C78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1927</w:t>
            </w:r>
          </w:p>
        </w:tc>
        <w:tc>
          <w:tcPr>
            <w:tcW w:w="407" w:type="dxa"/>
          </w:tcPr>
          <w:p w14:paraId="6B455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8506</w:t>
            </w:r>
          </w:p>
        </w:tc>
        <w:tc>
          <w:tcPr>
            <w:tcW w:w="582" w:type="dxa"/>
          </w:tcPr>
          <w:p w14:paraId="5D7133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8356</w:t>
            </w:r>
          </w:p>
        </w:tc>
        <w:tc>
          <w:tcPr>
            <w:tcW w:w="407" w:type="dxa"/>
          </w:tcPr>
          <w:p w14:paraId="5ACF80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773</w:t>
            </w:r>
          </w:p>
        </w:tc>
        <w:tc>
          <w:tcPr>
            <w:tcW w:w="582" w:type="dxa"/>
          </w:tcPr>
          <w:p w14:paraId="65799B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810</w:t>
            </w:r>
          </w:p>
        </w:tc>
        <w:tc>
          <w:tcPr>
            <w:tcW w:w="407" w:type="dxa"/>
          </w:tcPr>
          <w:p w14:paraId="0560D043"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6E224E0A"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3518BC36"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0F930B9"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42CED9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12502</w:t>
            </w:r>
          </w:p>
        </w:tc>
        <w:tc>
          <w:tcPr>
            <w:tcW w:w="582" w:type="dxa"/>
          </w:tcPr>
          <w:p w14:paraId="146DDD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11093</w:t>
            </w:r>
          </w:p>
        </w:tc>
      </w:tr>
      <w:tr w:rsidR="000F5689" w:rsidRPr="00925F26" w14:paraId="7C4F1956" w14:textId="77777777">
        <w:tc>
          <w:tcPr>
            <w:tcW w:w="2634" w:type="dxa"/>
          </w:tcPr>
          <w:p w14:paraId="3DDA89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АМ-38ф</w:t>
            </w:r>
          </w:p>
        </w:tc>
        <w:tc>
          <w:tcPr>
            <w:tcW w:w="873" w:type="dxa"/>
          </w:tcPr>
          <w:p w14:paraId="03D9583B"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441A7E6A"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47707E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410</w:t>
            </w:r>
          </w:p>
        </w:tc>
        <w:tc>
          <w:tcPr>
            <w:tcW w:w="582" w:type="dxa"/>
          </w:tcPr>
          <w:p w14:paraId="41A18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377</w:t>
            </w:r>
          </w:p>
        </w:tc>
        <w:tc>
          <w:tcPr>
            <w:tcW w:w="407" w:type="dxa"/>
          </w:tcPr>
          <w:p w14:paraId="6D2005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13138</w:t>
            </w:r>
          </w:p>
        </w:tc>
        <w:tc>
          <w:tcPr>
            <w:tcW w:w="582" w:type="dxa"/>
          </w:tcPr>
          <w:p w14:paraId="009273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12927</w:t>
            </w:r>
          </w:p>
        </w:tc>
        <w:tc>
          <w:tcPr>
            <w:tcW w:w="407" w:type="dxa"/>
          </w:tcPr>
          <w:p w14:paraId="0D709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12534</w:t>
            </w:r>
          </w:p>
        </w:tc>
        <w:tc>
          <w:tcPr>
            <w:tcW w:w="582" w:type="dxa"/>
          </w:tcPr>
          <w:p w14:paraId="32F9F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13320</w:t>
            </w:r>
          </w:p>
        </w:tc>
        <w:tc>
          <w:tcPr>
            <w:tcW w:w="407" w:type="dxa"/>
          </w:tcPr>
          <w:p w14:paraId="3A9CBF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5499</w:t>
            </w:r>
          </w:p>
        </w:tc>
        <w:tc>
          <w:tcPr>
            <w:tcW w:w="582" w:type="dxa"/>
          </w:tcPr>
          <w:p w14:paraId="2A6C61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5561</w:t>
            </w:r>
          </w:p>
        </w:tc>
        <w:tc>
          <w:tcPr>
            <w:tcW w:w="436" w:type="dxa"/>
          </w:tcPr>
          <w:p w14:paraId="1AE301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31581</w:t>
            </w:r>
          </w:p>
        </w:tc>
        <w:tc>
          <w:tcPr>
            <w:tcW w:w="582" w:type="dxa"/>
          </w:tcPr>
          <w:p w14:paraId="11BC35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32185</w:t>
            </w:r>
          </w:p>
        </w:tc>
      </w:tr>
      <w:tr w:rsidR="000F5689" w:rsidRPr="00925F26" w14:paraId="51A4F645" w14:textId="77777777">
        <w:tc>
          <w:tcPr>
            <w:tcW w:w="2634" w:type="dxa"/>
          </w:tcPr>
          <w:p w14:paraId="018BFD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АМ-42</w:t>
            </w:r>
          </w:p>
        </w:tc>
        <w:tc>
          <w:tcPr>
            <w:tcW w:w="873" w:type="dxa"/>
          </w:tcPr>
          <w:p w14:paraId="72793724"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2F454D7A"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10BA07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582" w:type="dxa"/>
          </w:tcPr>
          <w:p w14:paraId="4BCB26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407" w:type="dxa"/>
          </w:tcPr>
          <w:p w14:paraId="4BA16D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w:t>
            </w:r>
          </w:p>
        </w:tc>
        <w:tc>
          <w:tcPr>
            <w:tcW w:w="582" w:type="dxa"/>
          </w:tcPr>
          <w:p w14:paraId="0AE9F7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c>
          <w:tcPr>
            <w:tcW w:w="407" w:type="dxa"/>
          </w:tcPr>
          <w:p w14:paraId="4CB8EC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907</w:t>
            </w:r>
          </w:p>
        </w:tc>
        <w:tc>
          <w:tcPr>
            <w:tcW w:w="582" w:type="dxa"/>
          </w:tcPr>
          <w:p w14:paraId="6D67C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501</w:t>
            </w:r>
          </w:p>
        </w:tc>
        <w:tc>
          <w:tcPr>
            <w:tcW w:w="407" w:type="dxa"/>
          </w:tcPr>
          <w:p w14:paraId="417457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3525</w:t>
            </w:r>
          </w:p>
        </w:tc>
        <w:tc>
          <w:tcPr>
            <w:tcW w:w="582" w:type="dxa"/>
          </w:tcPr>
          <w:p w14:paraId="2749C8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3132</w:t>
            </w:r>
          </w:p>
        </w:tc>
        <w:tc>
          <w:tcPr>
            <w:tcW w:w="436" w:type="dxa"/>
          </w:tcPr>
          <w:p w14:paraId="54A4B9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4610</w:t>
            </w:r>
          </w:p>
        </w:tc>
        <w:tc>
          <w:tcPr>
            <w:tcW w:w="582" w:type="dxa"/>
          </w:tcPr>
          <w:p w14:paraId="4E6346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3700</w:t>
            </w:r>
          </w:p>
        </w:tc>
      </w:tr>
      <w:tr w:rsidR="000F5689" w:rsidRPr="00925F26" w14:paraId="57052DB0" w14:textId="77777777">
        <w:tc>
          <w:tcPr>
            <w:tcW w:w="2634" w:type="dxa"/>
          </w:tcPr>
          <w:p w14:paraId="40889E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873" w:type="dxa"/>
          </w:tcPr>
          <w:p w14:paraId="544090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1530</w:t>
            </w:r>
          </w:p>
        </w:tc>
        <w:tc>
          <w:tcPr>
            <w:tcW w:w="873" w:type="dxa"/>
          </w:tcPr>
          <w:p w14:paraId="4BF5B9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411</w:t>
            </w:r>
          </w:p>
        </w:tc>
        <w:tc>
          <w:tcPr>
            <w:tcW w:w="407" w:type="dxa"/>
          </w:tcPr>
          <w:p w14:paraId="2CE7B1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3883</w:t>
            </w:r>
          </w:p>
        </w:tc>
        <w:tc>
          <w:tcPr>
            <w:tcW w:w="582" w:type="dxa"/>
          </w:tcPr>
          <w:p w14:paraId="4F82AC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3940</w:t>
            </w:r>
          </w:p>
        </w:tc>
        <w:tc>
          <w:tcPr>
            <w:tcW w:w="407" w:type="dxa"/>
          </w:tcPr>
          <w:p w14:paraId="631A09F3"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8FC9DA5"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0E38B223"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3016B179"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1A330BE"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C91D54C"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21B08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5413</w:t>
            </w:r>
          </w:p>
        </w:tc>
        <w:tc>
          <w:tcPr>
            <w:tcW w:w="582" w:type="dxa"/>
          </w:tcPr>
          <w:p w14:paraId="0CB356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4351</w:t>
            </w:r>
          </w:p>
        </w:tc>
      </w:tr>
      <w:tr w:rsidR="000F5689" w:rsidRPr="00925F26" w14:paraId="6F564D09" w14:textId="77777777">
        <w:tc>
          <w:tcPr>
            <w:tcW w:w="2634" w:type="dxa"/>
          </w:tcPr>
          <w:p w14:paraId="7CB695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АМ-39</w:t>
            </w:r>
          </w:p>
        </w:tc>
        <w:tc>
          <w:tcPr>
            <w:tcW w:w="873" w:type="dxa"/>
          </w:tcPr>
          <w:p w14:paraId="0382C9F6"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4B8A88CE"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1CAF27A5"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0690B27F"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81C6589"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47029D5"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0E01D455"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73B6F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407" w:type="dxa"/>
          </w:tcPr>
          <w:p w14:paraId="3E2DE1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582" w:type="dxa"/>
          </w:tcPr>
          <w:p w14:paraId="0127CA8B"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6E91EB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582" w:type="dxa"/>
          </w:tcPr>
          <w:p w14:paraId="6F1763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r>
      <w:tr w:rsidR="000F5689" w:rsidRPr="00925F26" w14:paraId="3C96F8EA" w14:textId="77777777">
        <w:tc>
          <w:tcPr>
            <w:tcW w:w="2634" w:type="dxa"/>
          </w:tcPr>
          <w:p w14:paraId="5CD656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АШ-72 и АШ-73</w:t>
            </w:r>
          </w:p>
        </w:tc>
        <w:tc>
          <w:tcPr>
            <w:tcW w:w="873" w:type="dxa"/>
          </w:tcPr>
          <w:p w14:paraId="25D335F2"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32C95430"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0AF9604"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B1B1CD4"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A2DB0C7"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45E3B23C"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4B399006"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A57030E"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71D17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582" w:type="dxa"/>
          </w:tcPr>
          <w:p w14:paraId="322942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436" w:type="dxa"/>
          </w:tcPr>
          <w:p w14:paraId="73F420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582" w:type="dxa"/>
          </w:tcPr>
          <w:p w14:paraId="779224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606C701B" w14:textId="77777777">
        <w:tc>
          <w:tcPr>
            <w:tcW w:w="2634" w:type="dxa"/>
          </w:tcPr>
          <w:p w14:paraId="06D7F5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АШ-82ф</w:t>
            </w:r>
          </w:p>
        </w:tc>
        <w:tc>
          <w:tcPr>
            <w:tcW w:w="873" w:type="dxa"/>
          </w:tcPr>
          <w:p w14:paraId="25F82744"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3C07317F"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B02AE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w:t>
            </w:r>
          </w:p>
        </w:tc>
        <w:tc>
          <w:tcPr>
            <w:tcW w:w="582" w:type="dxa"/>
          </w:tcPr>
          <w:p w14:paraId="30DFDF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407" w:type="dxa"/>
          </w:tcPr>
          <w:p w14:paraId="179DF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2567</w:t>
            </w:r>
          </w:p>
        </w:tc>
        <w:tc>
          <w:tcPr>
            <w:tcW w:w="582" w:type="dxa"/>
          </w:tcPr>
          <w:p w14:paraId="21B764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3105</w:t>
            </w:r>
          </w:p>
        </w:tc>
        <w:tc>
          <w:tcPr>
            <w:tcW w:w="407" w:type="dxa"/>
          </w:tcPr>
          <w:p w14:paraId="1388E7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768</w:t>
            </w:r>
          </w:p>
        </w:tc>
        <w:tc>
          <w:tcPr>
            <w:tcW w:w="582" w:type="dxa"/>
          </w:tcPr>
          <w:p w14:paraId="062AFA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767</w:t>
            </w:r>
          </w:p>
        </w:tc>
        <w:tc>
          <w:tcPr>
            <w:tcW w:w="407" w:type="dxa"/>
          </w:tcPr>
          <w:p w14:paraId="39DFD455"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5AE182AA"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185EA0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w:t>
            </w:r>
          </w:p>
        </w:tc>
        <w:tc>
          <w:tcPr>
            <w:tcW w:w="582" w:type="dxa"/>
          </w:tcPr>
          <w:p w14:paraId="012E18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3901</w:t>
            </w:r>
          </w:p>
        </w:tc>
      </w:tr>
      <w:tr w:rsidR="000F5689" w:rsidRPr="00925F26" w14:paraId="6E1A3DC1" w14:textId="77777777">
        <w:tc>
          <w:tcPr>
            <w:tcW w:w="2634" w:type="dxa"/>
          </w:tcPr>
          <w:p w14:paraId="3B1599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АШ-82фн</w:t>
            </w:r>
          </w:p>
        </w:tc>
        <w:tc>
          <w:tcPr>
            <w:tcW w:w="873" w:type="dxa"/>
          </w:tcPr>
          <w:p w14:paraId="46AD77D8"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07DB7EDA"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0A9E1B75"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6E901C10"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99173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2633</w:t>
            </w:r>
          </w:p>
        </w:tc>
        <w:tc>
          <w:tcPr>
            <w:tcW w:w="582" w:type="dxa"/>
          </w:tcPr>
          <w:p w14:paraId="4C03CA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1551</w:t>
            </w:r>
          </w:p>
        </w:tc>
        <w:tc>
          <w:tcPr>
            <w:tcW w:w="407" w:type="dxa"/>
          </w:tcPr>
          <w:p w14:paraId="486FB8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7012</w:t>
            </w:r>
          </w:p>
        </w:tc>
        <w:tc>
          <w:tcPr>
            <w:tcW w:w="582" w:type="dxa"/>
          </w:tcPr>
          <w:p w14:paraId="0104E6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6566</w:t>
            </w:r>
          </w:p>
        </w:tc>
        <w:tc>
          <w:tcPr>
            <w:tcW w:w="407" w:type="dxa"/>
          </w:tcPr>
          <w:p w14:paraId="340CAA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7884</w:t>
            </w:r>
          </w:p>
        </w:tc>
        <w:tc>
          <w:tcPr>
            <w:tcW w:w="582" w:type="dxa"/>
          </w:tcPr>
          <w:p w14:paraId="64F3D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7700</w:t>
            </w:r>
          </w:p>
        </w:tc>
        <w:tc>
          <w:tcPr>
            <w:tcW w:w="436" w:type="dxa"/>
          </w:tcPr>
          <w:p w14:paraId="7A671C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17529</w:t>
            </w:r>
          </w:p>
        </w:tc>
        <w:tc>
          <w:tcPr>
            <w:tcW w:w="582" w:type="dxa"/>
          </w:tcPr>
          <w:p w14:paraId="60C7DA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15817</w:t>
            </w:r>
          </w:p>
        </w:tc>
      </w:tr>
      <w:tr w:rsidR="000F5689" w:rsidRPr="00925F26" w14:paraId="29E5F211" w14:textId="77777777">
        <w:tc>
          <w:tcPr>
            <w:tcW w:w="2634" w:type="dxa"/>
          </w:tcPr>
          <w:p w14:paraId="7FBFFF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М-71</w:t>
            </w:r>
          </w:p>
        </w:tc>
        <w:tc>
          <w:tcPr>
            <w:tcW w:w="873" w:type="dxa"/>
          </w:tcPr>
          <w:p w14:paraId="03CB5B1C"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2B72F373"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3F2580B"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332892F6"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369AAF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582" w:type="dxa"/>
          </w:tcPr>
          <w:p w14:paraId="67523E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407" w:type="dxa"/>
          </w:tcPr>
          <w:p w14:paraId="59289612"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05121A31"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28381A0"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A1096F7"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597C52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582" w:type="dxa"/>
          </w:tcPr>
          <w:p w14:paraId="116D51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r>
      <w:tr w:rsidR="000F5689" w:rsidRPr="00925F26" w14:paraId="481DDDDA" w14:textId="77777777">
        <w:tc>
          <w:tcPr>
            <w:tcW w:w="2634" w:type="dxa"/>
          </w:tcPr>
          <w:p w14:paraId="75843C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М-87</w:t>
            </w:r>
          </w:p>
        </w:tc>
        <w:tc>
          <w:tcPr>
            <w:tcW w:w="873" w:type="dxa"/>
          </w:tcPr>
          <w:p w14:paraId="6D0A7D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w:t>
            </w:r>
          </w:p>
        </w:tc>
        <w:tc>
          <w:tcPr>
            <w:tcW w:w="873" w:type="dxa"/>
          </w:tcPr>
          <w:p w14:paraId="466F8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w:t>
            </w:r>
          </w:p>
        </w:tc>
        <w:tc>
          <w:tcPr>
            <w:tcW w:w="407" w:type="dxa"/>
          </w:tcPr>
          <w:p w14:paraId="402E664C"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4F1745AE"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4AD8F668"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0071D797"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A686D3C"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0333652D"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65BD2E2C"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5A146BC"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37236C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w:t>
            </w:r>
          </w:p>
        </w:tc>
        <w:tc>
          <w:tcPr>
            <w:tcW w:w="582" w:type="dxa"/>
          </w:tcPr>
          <w:p w14:paraId="651740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w:t>
            </w:r>
          </w:p>
        </w:tc>
      </w:tr>
      <w:tr w:rsidR="000F5689" w:rsidRPr="00925F26" w14:paraId="413CEE33" w14:textId="77777777">
        <w:tc>
          <w:tcPr>
            <w:tcW w:w="2634" w:type="dxa"/>
          </w:tcPr>
          <w:p w14:paraId="3CD4C4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c>
          <w:tcPr>
            <w:tcW w:w="873" w:type="dxa"/>
          </w:tcPr>
          <w:p w14:paraId="498F70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3445</w:t>
            </w:r>
          </w:p>
        </w:tc>
        <w:tc>
          <w:tcPr>
            <w:tcW w:w="873" w:type="dxa"/>
          </w:tcPr>
          <w:p w14:paraId="1EE91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2966</w:t>
            </w:r>
          </w:p>
        </w:tc>
        <w:tc>
          <w:tcPr>
            <w:tcW w:w="407" w:type="dxa"/>
          </w:tcPr>
          <w:p w14:paraId="6F0CC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4425</w:t>
            </w:r>
          </w:p>
        </w:tc>
        <w:tc>
          <w:tcPr>
            <w:tcW w:w="582" w:type="dxa"/>
          </w:tcPr>
          <w:p w14:paraId="574EA8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4062</w:t>
            </w:r>
          </w:p>
        </w:tc>
        <w:tc>
          <w:tcPr>
            <w:tcW w:w="407" w:type="dxa"/>
          </w:tcPr>
          <w:p w14:paraId="7FA929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3541</w:t>
            </w:r>
          </w:p>
        </w:tc>
        <w:tc>
          <w:tcPr>
            <w:tcW w:w="582" w:type="dxa"/>
          </w:tcPr>
          <w:p w14:paraId="17B724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3611</w:t>
            </w:r>
          </w:p>
        </w:tc>
        <w:tc>
          <w:tcPr>
            <w:tcW w:w="407" w:type="dxa"/>
          </w:tcPr>
          <w:p w14:paraId="67F1C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2462</w:t>
            </w:r>
          </w:p>
        </w:tc>
        <w:tc>
          <w:tcPr>
            <w:tcW w:w="582" w:type="dxa"/>
          </w:tcPr>
          <w:p w14:paraId="413C46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2230</w:t>
            </w:r>
          </w:p>
        </w:tc>
        <w:tc>
          <w:tcPr>
            <w:tcW w:w="407" w:type="dxa"/>
          </w:tcPr>
          <w:p w14:paraId="4070D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1510</w:t>
            </w:r>
          </w:p>
        </w:tc>
        <w:tc>
          <w:tcPr>
            <w:tcW w:w="582" w:type="dxa"/>
          </w:tcPr>
          <w:p w14:paraId="44C334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1549</w:t>
            </w:r>
          </w:p>
        </w:tc>
        <w:tc>
          <w:tcPr>
            <w:tcW w:w="436" w:type="dxa"/>
          </w:tcPr>
          <w:p w14:paraId="0FB59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15383</w:t>
            </w:r>
          </w:p>
        </w:tc>
        <w:tc>
          <w:tcPr>
            <w:tcW w:w="582" w:type="dxa"/>
          </w:tcPr>
          <w:p w14:paraId="43BCE8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14418</w:t>
            </w:r>
          </w:p>
        </w:tc>
      </w:tr>
      <w:tr w:rsidR="000F5689" w:rsidRPr="00925F26" w14:paraId="3EE9BA58" w14:textId="77777777">
        <w:tc>
          <w:tcPr>
            <w:tcW w:w="2634" w:type="dxa"/>
          </w:tcPr>
          <w:p w14:paraId="598AE4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М-89</w:t>
            </w:r>
          </w:p>
        </w:tc>
        <w:tc>
          <w:tcPr>
            <w:tcW w:w="873" w:type="dxa"/>
          </w:tcPr>
          <w:p w14:paraId="406F07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251</w:t>
            </w:r>
          </w:p>
        </w:tc>
        <w:tc>
          <w:tcPr>
            <w:tcW w:w="873" w:type="dxa"/>
          </w:tcPr>
          <w:p w14:paraId="7E708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407" w:type="dxa"/>
          </w:tcPr>
          <w:p w14:paraId="3E6156A7"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37461EA8"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1812F2A4"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9F34EBA"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620048B"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455B3392"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56D6313E"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722C031E"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1D808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251</w:t>
            </w:r>
          </w:p>
        </w:tc>
        <w:tc>
          <w:tcPr>
            <w:tcW w:w="582" w:type="dxa"/>
          </w:tcPr>
          <w:p w14:paraId="6819C0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r>
      <w:tr w:rsidR="000F5689" w:rsidRPr="00925F26" w14:paraId="2F38430C" w14:textId="77777777">
        <w:tc>
          <w:tcPr>
            <w:tcW w:w="2634" w:type="dxa"/>
          </w:tcPr>
          <w:p w14:paraId="279E92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М-62, 63</w:t>
            </w:r>
          </w:p>
        </w:tc>
        <w:tc>
          <w:tcPr>
            <w:tcW w:w="873" w:type="dxa"/>
          </w:tcPr>
          <w:p w14:paraId="0978F5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1065</w:t>
            </w:r>
          </w:p>
        </w:tc>
        <w:tc>
          <w:tcPr>
            <w:tcW w:w="873" w:type="dxa"/>
          </w:tcPr>
          <w:p w14:paraId="0060E6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1458</w:t>
            </w:r>
          </w:p>
        </w:tc>
        <w:tc>
          <w:tcPr>
            <w:tcW w:w="407" w:type="dxa"/>
          </w:tcPr>
          <w:p w14:paraId="207006B8"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04BE8628"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1C2D6F12"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60AC468"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361D8C78"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6A2A466"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48899780"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6185D70D"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6697E7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1065</w:t>
            </w:r>
          </w:p>
        </w:tc>
        <w:tc>
          <w:tcPr>
            <w:tcW w:w="582" w:type="dxa"/>
          </w:tcPr>
          <w:p w14:paraId="6C9871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1458</w:t>
            </w:r>
          </w:p>
        </w:tc>
      </w:tr>
      <w:tr w:rsidR="000F5689" w:rsidRPr="00925F26" w14:paraId="68D1610E" w14:textId="77777777">
        <w:tc>
          <w:tcPr>
            <w:tcW w:w="2634" w:type="dxa"/>
          </w:tcPr>
          <w:p w14:paraId="1C70F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АШ-62ир</w:t>
            </w:r>
          </w:p>
        </w:tc>
        <w:tc>
          <w:tcPr>
            <w:tcW w:w="873" w:type="dxa"/>
          </w:tcPr>
          <w:p w14:paraId="33E273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1256</w:t>
            </w:r>
          </w:p>
        </w:tc>
        <w:tc>
          <w:tcPr>
            <w:tcW w:w="873" w:type="dxa"/>
          </w:tcPr>
          <w:p w14:paraId="1184D2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979</w:t>
            </w:r>
          </w:p>
        </w:tc>
        <w:tc>
          <w:tcPr>
            <w:tcW w:w="407" w:type="dxa"/>
          </w:tcPr>
          <w:p w14:paraId="2F88E5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2204</w:t>
            </w:r>
          </w:p>
        </w:tc>
        <w:tc>
          <w:tcPr>
            <w:tcW w:w="582" w:type="dxa"/>
          </w:tcPr>
          <w:p w14:paraId="31CBEF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2211</w:t>
            </w:r>
          </w:p>
        </w:tc>
        <w:tc>
          <w:tcPr>
            <w:tcW w:w="407" w:type="dxa"/>
          </w:tcPr>
          <w:p w14:paraId="77A800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1443</w:t>
            </w:r>
          </w:p>
        </w:tc>
        <w:tc>
          <w:tcPr>
            <w:tcW w:w="582" w:type="dxa"/>
          </w:tcPr>
          <w:p w14:paraId="031C1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1430</w:t>
            </w:r>
          </w:p>
        </w:tc>
        <w:tc>
          <w:tcPr>
            <w:tcW w:w="407" w:type="dxa"/>
          </w:tcPr>
          <w:p w14:paraId="680B9B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1540</w:t>
            </w:r>
          </w:p>
        </w:tc>
        <w:tc>
          <w:tcPr>
            <w:tcW w:w="582" w:type="dxa"/>
          </w:tcPr>
          <w:p w14:paraId="206B49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1412</w:t>
            </w:r>
          </w:p>
        </w:tc>
        <w:tc>
          <w:tcPr>
            <w:tcW w:w="407" w:type="dxa"/>
          </w:tcPr>
          <w:p w14:paraId="4EF7F3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1955</w:t>
            </w:r>
          </w:p>
        </w:tc>
        <w:tc>
          <w:tcPr>
            <w:tcW w:w="582" w:type="dxa"/>
          </w:tcPr>
          <w:p w14:paraId="1941B5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1603</w:t>
            </w:r>
          </w:p>
        </w:tc>
        <w:tc>
          <w:tcPr>
            <w:tcW w:w="436" w:type="dxa"/>
          </w:tcPr>
          <w:p w14:paraId="08D405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8398</w:t>
            </w:r>
          </w:p>
        </w:tc>
        <w:tc>
          <w:tcPr>
            <w:tcW w:w="582" w:type="dxa"/>
          </w:tcPr>
          <w:p w14:paraId="48EDE0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7635</w:t>
            </w:r>
          </w:p>
        </w:tc>
      </w:tr>
      <w:tr w:rsidR="000F5689" w:rsidRPr="00925F26" w14:paraId="24574A12" w14:textId="77777777">
        <w:tc>
          <w:tcPr>
            <w:tcW w:w="2634" w:type="dxa"/>
          </w:tcPr>
          <w:p w14:paraId="43853A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М-25В</w:t>
            </w:r>
          </w:p>
        </w:tc>
        <w:tc>
          <w:tcPr>
            <w:tcW w:w="873" w:type="dxa"/>
          </w:tcPr>
          <w:p w14:paraId="693015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2113</w:t>
            </w:r>
          </w:p>
        </w:tc>
        <w:tc>
          <w:tcPr>
            <w:tcW w:w="873" w:type="dxa"/>
          </w:tcPr>
          <w:p w14:paraId="74C48A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2063</w:t>
            </w:r>
          </w:p>
        </w:tc>
        <w:tc>
          <w:tcPr>
            <w:tcW w:w="407" w:type="dxa"/>
          </w:tcPr>
          <w:p w14:paraId="331510D6"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4A339E36"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3949477F"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4B48B0B9"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3EB07E07"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13DF9DB3"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04B196A0"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BEC2D40" w14:textId="77777777" w:rsidR="00665165" w:rsidRPr="00925F26" w:rsidRDefault="00665165" w:rsidP="00925F26">
            <w:pPr>
              <w:autoSpaceDE w:val="0"/>
              <w:autoSpaceDN w:val="0"/>
              <w:adjustRightInd w:val="0"/>
              <w:jc w:val="both"/>
              <w:rPr>
                <w:color w:val="000000" w:themeColor="text1"/>
                <w:sz w:val="16"/>
                <w:szCs w:val="16"/>
              </w:rPr>
            </w:pPr>
          </w:p>
        </w:tc>
        <w:tc>
          <w:tcPr>
            <w:tcW w:w="436" w:type="dxa"/>
          </w:tcPr>
          <w:p w14:paraId="1E90C1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2113</w:t>
            </w:r>
          </w:p>
        </w:tc>
        <w:tc>
          <w:tcPr>
            <w:tcW w:w="582" w:type="dxa"/>
          </w:tcPr>
          <w:p w14:paraId="32669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2063</w:t>
            </w:r>
          </w:p>
        </w:tc>
      </w:tr>
      <w:tr w:rsidR="000F5689" w:rsidRPr="00925F26" w14:paraId="1EA16794" w14:textId="77777777">
        <w:tc>
          <w:tcPr>
            <w:tcW w:w="2634" w:type="dxa"/>
          </w:tcPr>
          <w:p w14:paraId="43C15F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М-11Д</w:t>
            </w:r>
          </w:p>
        </w:tc>
        <w:tc>
          <w:tcPr>
            <w:tcW w:w="873" w:type="dxa"/>
          </w:tcPr>
          <w:p w14:paraId="6C7B2A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2671</w:t>
            </w:r>
          </w:p>
        </w:tc>
        <w:tc>
          <w:tcPr>
            <w:tcW w:w="873" w:type="dxa"/>
          </w:tcPr>
          <w:p w14:paraId="4C1AE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2289</w:t>
            </w:r>
          </w:p>
        </w:tc>
        <w:tc>
          <w:tcPr>
            <w:tcW w:w="407" w:type="dxa"/>
          </w:tcPr>
          <w:p w14:paraId="401D23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3713</w:t>
            </w:r>
          </w:p>
        </w:tc>
        <w:tc>
          <w:tcPr>
            <w:tcW w:w="582" w:type="dxa"/>
          </w:tcPr>
          <w:p w14:paraId="38E4BF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3614</w:t>
            </w:r>
          </w:p>
        </w:tc>
        <w:tc>
          <w:tcPr>
            <w:tcW w:w="407" w:type="dxa"/>
          </w:tcPr>
          <w:p w14:paraId="3A9B0B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5904</w:t>
            </w:r>
          </w:p>
        </w:tc>
        <w:tc>
          <w:tcPr>
            <w:tcW w:w="582" w:type="dxa"/>
          </w:tcPr>
          <w:p w14:paraId="690A51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5801</w:t>
            </w:r>
          </w:p>
        </w:tc>
        <w:tc>
          <w:tcPr>
            <w:tcW w:w="407" w:type="dxa"/>
          </w:tcPr>
          <w:p w14:paraId="4BDF42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8117</w:t>
            </w:r>
          </w:p>
        </w:tc>
        <w:tc>
          <w:tcPr>
            <w:tcW w:w="582" w:type="dxa"/>
          </w:tcPr>
          <w:p w14:paraId="4F188E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8039</w:t>
            </w:r>
          </w:p>
        </w:tc>
        <w:tc>
          <w:tcPr>
            <w:tcW w:w="407" w:type="dxa"/>
          </w:tcPr>
          <w:p w14:paraId="7C1A6C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7027</w:t>
            </w:r>
          </w:p>
        </w:tc>
        <w:tc>
          <w:tcPr>
            <w:tcW w:w="582" w:type="dxa"/>
          </w:tcPr>
          <w:p w14:paraId="1CB07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6499</w:t>
            </w:r>
          </w:p>
        </w:tc>
        <w:tc>
          <w:tcPr>
            <w:tcW w:w="436" w:type="dxa"/>
          </w:tcPr>
          <w:p w14:paraId="392B6B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27432</w:t>
            </w:r>
          </w:p>
        </w:tc>
        <w:tc>
          <w:tcPr>
            <w:tcW w:w="582" w:type="dxa"/>
          </w:tcPr>
          <w:p w14:paraId="51C21B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26242</w:t>
            </w:r>
          </w:p>
        </w:tc>
      </w:tr>
      <w:tr w:rsidR="000F5689" w:rsidRPr="00925F26" w14:paraId="3B1F7DA2" w14:textId="77777777">
        <w:tc>
          <w:tcPr>
            <w:tcW w:w="2634" w:type="dxa"/>
          </w:tcPr>
          <w:p w14:paraId="310F5E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АЧ-30Б</w:t>
            </w:r>
          </w:p>
        </w:tc>
        <w:tc>
          <w:tcPr>
            <w:tcW w:w="873" w:type="dxa"/>
          </w:tcPr>
          <w:p w14:paraId="35ACF883" w14:textId="77777777" w:rsidR="00665165" w:rsidRPr="00925F26" w:rsidRDefault="00665165" w:rsidP="00925F26">
            <w:pPr>
              <w:autoSpaceDE w:val="0"/>
              <w:autoSpaceDN w:val="0"/>
              <w:adjustRightInd w:val="0"/>
              <w:jc w:val="both"/>
              <w:rPr>
                <w:color w:val="000000" w:themeColor="text1"/>
                <w:sz w:val="16"/>
                <w:szCs w:val="16"/>
              </w:rPr>
            </w:pPr>
          </w:p>
        </w:tc>
        <w:tc>
          <w:tcPr>
            <w:tcW w:w="873" w:type="dxa"/>
          </w:tcPr>
          <w:p w14:paraId="47C686C4"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262CEA7E"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242C9CB9"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5E851A7B" w14:textId="77777777" w:rsidR="00665165" w:rsidRPr="00925F26" w:rsidRDefault="00665165" w:rsidP="00925F26">
            <w:pPr>
              <w:autoSpaceDE w:val="0"/>
              <w:autoSpaceDN w:val="0"/>
              <w:adjustRightInd w:val="0"/>
              <w:jc w:val="both"/>
              <w:rPr>
                <w:color w:val="000000" w:themeColor="text1"/>
                <w:sz w:val="16"/>
                <w:szCs w:val="16"/>
              </w:rPr>
            </w:pPr>
          </w:p>
        </w:tc>
        <w:tc>
          <w:tcPr>
            <w:tcW w:w="582" w:type="dxa"/>
          </w:tcPr>
          <w:p w14:paraId="3355C025" w14:textId="77777777" w:rsidR="00665165" w:rsidRPr="00925F26" w:rsidRDefault="00665165" w:rsidP="00925F26">
            <w:pPr>
              <w:autoSpaceDE w:val="0"/>
              <w:autoSpaceDN w:val="0"/>
              <w:adjustRightInd w:val="0"/>
              <w:jc w:val="both"/>
              <w:rPr>
                <w:color w:val="000000" w:themeColor="text1"/>
                <w:sz w:val="16"/>
                <w:szCs w:val="16"/>
              </w:rPr>
            </w:pPr>
          </w:p>
        </w:tc>
        <w:tc>
          <w:tcPr>
            <w:tcW w:w="407" w:type="dxa"/>
          </w:tcPr>
          <w:p w14:paraId="7BB90E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792</w:t>
            </w:r>
          </w:p>
        </w:tc>
        <w:tc>
          <w:tcPr>
            <w:tcW w:w="582" w:type="dxa"/>
          </w:tcPr>
          <w:p w14:paraId="0573F3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407" w:type="dxa"/>
          </w:tcPr>
          <w:p w14:paraId="4C600F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1382</w:t>
            </w:r>
          </w:p>
        </w:tc>
        <w:tc>
          <w:tcPr>
            <w:tcW w:w="582" w:type="dxa"/>
          </w:tcPr>
          <w:p w14:paraId="1C3C9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876</w:t>
            </w:r>
          </w:p>
        </w:tc>
        <w:tc>
          <w:tcPr>
            <w:tcW w:w="436" w:type="dxa"/>
          </w:tcPr>
          <w:p w14:paraId="5BBDA5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2174</w:t>
            </w:r>
          </w:p>
        </w:tc>
        <w:tc>
          <w:tcPr>
            <w:tcW w:w="582" w:type="dxa"/>
          </w:tcPr>
          <w:p w14:paraId="15716A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1461</w:t>
            </w:r>
          </w:p>
        </w:tc>
      </w:tr>
      <w:tr w:rsidR="000F5689" w:rsidRPr="00925F26" w14:paraId="7F9381C7" w14:textId="77777777">
        <w:tc>
          <w:tcPr>
            <w:tcW w:w="2634" w:type="dxa"/>
            <w:tcBorders>
              <w:bottom w:val="single" w:sz="12" w:space="0" w:color="000000"/>
            </w:tcBorders>
          </w:tcPr>
          <w:p w14:paraId="422375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873" w:type="dxa"/>
            <w:tcBorders>
              <w:bottom w:val="single" w:sz="12" w:space="0" w:color="000000"/>
            </w:tcBorders>
          </w:tcPr>
          <w:p w14:paraId="6560D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37359</w:t>
            </w:r>
          </w:p>
        </w:tc>
        <w:tc>
          <w:tcPr>
            <w:tcW w:w="873" w:type="dxa"/>
            <w:tcBorders>
              <w:bottom w:val="single" w:sz="12" w:space="0" w:color="000000"/>
            </w:tcBorders>
          </w:tcPr>
          <w:p w14:paraId="507511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27916</w:t>
            </w:r>
          </w:p>
        </w:tc>
        <w:tc>
          <w:tcPr>
            <w:tcW w:w="407" w:type="dxa"/>
            <w:tcBorders>
              <w:bottom w:val="single" w:sz="12" w:space="0" w:color="000000"/>
            </w:tcBorders>
          </w:tcPr>
          <w:p w14:paraId="3623ED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39187</w:t>
            </w:r>
          </w:p>
        </w:tc>
        <w:tc>
          <w:tcPr>
            <w:tcW w:w="582" w:type="dxa"/>
            <w:tcBorders>
              <w:bottom w:val="single" w:sz="12" w:space="0" w:color="000000"/>
            </w:tcBorders>
          </w:tcPr>
          <w:p w14:paraId="1B5BA0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37821</w:t>
            </w:r>
          </w:p>
        </w:tc>
        <w:tc>
          <w:tcPr>
            <w:tcW w:w="407" w:type="dxa"/>
            <w:tcBorders>
              <w:bottom w:val="single" w:sz="12" w:space="0" w:color="000000"/>
            </w:tcBorders>
          </w:tcPr>
          <w:p w14:paraId="253A1C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49585</w:t>
            </w:r>
          </w:p>
        </w:tc>
        <w:tc>
          <w:tcPr>
            <w:tcW w:w="582" w:type="dxa"/>
            <w:tcBorders>
              <w:bottom w:val="single" w:sz="12" w:space="0" w:color="000000"/>
            </w:tcBorders>
          </w:tcPr>
          <w:p w14:paraId="415260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48489</w:t>
            </w:r>
          </w:p>
        </w:tc>
        <w:tc>
          <w:tcPr>
            <w:tcW w:w="407" w:type="dxa"/>
            <w:tcBorders>
              <w:bottom w:val="single" w:sz="12" w:space="0" w:color="000000"/>
            </w:tcBorders>
          </w:tcPr>
          <w:p w14:paraId="105F63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54297</w:t>
            </w:r>
          </w:p>
        </w:tc>
        <w:tc>
          <w:tcPr>
            <w:tcW w:w="582" w:type="dxa"/>
            <w:tcBorders>
              <w:bottom w:val="single" w:sz="12" w:space="0" w:color="000000"/>
            </w:tcBorders>
          </w:tcPr>
          <w:p w14:paraId="367D3D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51939</w:t>
            </w:r>
          </w:p>
        </w:tc>
        <w:tc>
          <w:tcPr>
            <w:tcW w:w="407" w:type="dxa"/>
            <w:tcBorders>
              <w:bottom w:val="single" w:sz="12" w:space="0" w:color="000000"/>
            </w:tcBorders>
          </w:tcPr>
          <w:p w14:paraId="7D9ECC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43470</w:t>
            </w:r>
          </w:p>
        </w:tc>
        <w:tc>
          <w:tcPr>
            <w:tcW w:w="582" w:type="dxa"/>
            <w:tcBorders>
              <w:bottom w:val="single" w:sz="12" w:space="0" w:color="000000"/>
            </w:tcBorders>
          </w:tcPr>
          <w:p w14:paraId="500D40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40164</w:t>
            </w:r>
          </w:p>
        </w:tc>
        <w:tc>
          <w:tcPr>
            <w:tcW w:w="436" w:type="dxa"/>
            <w:tcBorders>
              <w:bottom w:val="single" w:sz="12" w:space="0" w:color="000000"/>
            </w:tcBorders>
          </w:tcPr>
          <w:p w14:paraId="277B1A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223898</w:t>
            </w:r>
          </w:p>
        </w:tc>
        <w:tc>
          <w:tcPr>
            <w:tcW w:w="582" w:type="dxa"/>
            <w:tcBorders>
              <w:bottom w:val="single" w:sz="12" w:space="0" w:color="000000"/>
            </w:tcBorders>
          </w:tcPr>
          <w:p w14:paraId="38B7D5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206329</w:t>
            </w:r>
          </w:p>
        </w:tc>
      </w:tr>
    </w:tbl>
    <w:p w14:paraId="58E6A5FA"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Отдел мобпланирования ГШ ВВС, д.103, лл.39-40 (11016).</w:t>
      </w:r>
    </w:p>
    <w:p w14:paraId="237A5D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 авиационных двигателей в оборотный фонд ВВС за 1941-1945 гг. (в штуках)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881"/>
        <w:gridCol w:w="447"/>
        <w:gridCol w:w="639"/>
        <w:gridCol w:w="447"/>
        <w:gridCol w:w="639"/>
        <w:gridCol w:w="447"/>
        <w:gridCol w:w="639"/>
        <w:gridCol w:w="447"/>
        <w:gridCol w:w="639"/>
        <w:gridCol w:w="447"/>
        <w:gridCol w:w="639"/>
        <w:gridCol w:w="399"/>
        <w:gridCol w:w="639"/>
      </w:tblGrid>
      <w:tr w:rsidR="000F5689" w:rsidRPr="00925F26" w14:paraId="30648076" w14:textId="77777777" w:rsidTr="00665165">
        <w:tc>
          <w:tcPr>
            <w:tcW w:w="2881" w:type="dxa"/>
            <w:tcBorders>
              <w:top w:val="single" w:sz="12" w:space="0" w:color="000000"/>
            </w:tcBorders>
          </w:tcPr>
          <w:p w14:paraId="285792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авиационных двигателей</w:t>
            </w:r>
          </w:p>
        </w:tc>
        <w:tc>
          <w:tcPr>
            <w:tcW w:w="447" w:type="dxa"/>
            <w:gridSpan w:val="10"/>
            <w:tcBorders>
              <w:top w:val="single" w:sz="12" w:space="0" w:color="000000"/>
            </w:tcBorders>
          </w:tcPr>
          <w:p w14:paraId="429B17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 производства и выпуска авиационных моторов по годам</w:t>
            </w:r>
          </w:p>
        </w:tc>
        <w:tc>
          <w:tcPr>
            <w:tcW w:w="399" w:type="dxa"/>
            <w:gridSpan w:val="2"/>
            <w:tcBorders>
              <w:top w:val="single" w:sz="12" w:space="0" w:color="000000"/>
            </w:tcBorders>
          </w:tcPr>
          <w:p w14:paraId="52DAD6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6EC8AAF1" w14:textId="77777777" w:rsidTr="00665165">
        <w:tc>
          <w:tcPr>
            <w:tcW w:w="2881" w:type="dxa"/>
          </w:tcPr>
          <w:p w14:paraId="1AA10809" w14:textId="77777777" w:rsidR="00665165" w:rsidRPr="00925F26" w:rsidRDefault="00665165" w:rsidP="00925F26">
            <w:pPr>
              <w:autoSpaceDE w:val="0"/>
              <w:autoSpaceDN w:val="0"/>
              <w:adjustRightInd w:val="0"/>
              <w:jc w:val="both"/>
              <w:rPr>
                <w:color w:val="000000" w:themeColor="text1"/>
                <w:sz w:val="16"/>
                <w:szCs w:val="16"/>
              </w:rPr>
            </w:pPr>
          </w:p>
        </w:tc>
        <w:tc>
          <w:tcPr>
            <w:tcW w:w="447" w:type="dxa"/>
            <w:gridSpan w:val="2"/>
          </w:tcPr>
          <w:p w14:paraId="2EBDFA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w:t>
            </w:r>
          </w:p>
        </w:tc>
        <w:tc>
          <w:tcPr>
            <w:tcW w:w="447" w:type="dxa"/>
            <w:gridSpan w:val="2"/>
          </w:tcPr>
          <w:p w14:paraId="49434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447" w:type="dxa"/>
            <w:gridSpan w:val="2"/>
          </w:tcPr>
          <w:p w14:paraId="359FFD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447" w:type="dxa"/>
            <w:gridSpan w:val="2"/>
          </w:tcPr>
          <w:p w14:paraId="55C5A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447" w:type="dxa"/>
            <w:gridSpan w:val="2"/>
          </w:tcPr>
          <w:p w14:paraId="1B4396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c>
          <w:tcPr>
            <w:tcW w:w="399" w:type="dxa"/>
            <w:gridSpan w:val="2"/>
          </w:tcPr>
          <w:p w14:paraId="0AEE3089"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0B36126" w14:textId="77777777">
        <w:tc>
          <w:tcPr>
            <w:tcW w:w="2881" w:type="dxa"/>
          </w:tcPr>
          <w:p w14:paraId="2352E214"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3DB7DC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39" w:type="dxa"/>
          </w:tcPr>
          <w:p w14:paraId="51A34A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47" w:type="dxa"/>
          </w:tcPr>
          <w:p w14:paraId="0077EC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39" w:type="dxa"/>
          </w:tcPr>
          <w:p w14:paraId="13B657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47" w:type="dxa"/>
          </w:tcPr>
          <w:p w14:paraId="55389F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39" w:type="dxa"/>
          </w:tcPr>
          <w:p w14:paraId="784C88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47" w:type="dxa"/>
          </w:tcPr>
          <w:p w14:paraId="2B11C4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39" w:type="dxa"/>
          </w:tcPr>
          <w:p w14:paraId="63A390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447" w:type="dxa"/>
          </w:tcPr>
          <w:p w14:paraId="14F19E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39" w:type="dxa"/>
          </w:tcPr>
          <w:p w14:paraId="14579F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399" w:type="dxa"/>
          </w:tcPr>
          <w:p w14:paraId="00826A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39" w:type="dxa"/>
          </w:tcPr>
          <w:p w14:paraId="263E57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r>
      <w:tr w:rsidR="000F5689" w:rsidRPr="00925F26" w14:paraId="512B1E29" w14:textId="77777777">
        <w:tc>
          <w:tcPr>
            <w:tcW w:w="2881" w:type="dxa"/>
          </w:tcPr>
          <w:p w14:paraId="3CA2C8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ВК-105па, пф, пф-2</w:t>
            </w:r>
          </w:p>
        </w:tc>
        <w:tc>
          <w:tcPr>
            <w:tcW w:w="447" w:type="dxa"/>
          </w:tcPr>
          <w:p w14:paraId="4BF6C3B7"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4BF226A"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3981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737</w:t>
            </w:r>
          </w:p>
        </w:tc>
        <w:tc>
          <w:tcPr>
            <w:tcW w:w="639" w:type="dxa"/>
          </w:tcPr>
          <w:p w14:paraId="3D6A3C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602</w:t>
            </w:r>
          </w:p>
        </w:tc>
        <w:tc>
          <w:tcPr>
            <w:tcW w:w="447" w:type="dxa"/>
          </w:tcPr>
          <w:p w14:paraId="2FAC2B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1565</w:t>
            </w:r>
          </w:p>
        </w:tc>
        <w:tc>
          <w:tcPr>
            <w:tcW w:w="639" w:type="dxa"/>
          </w:tcPr>
          <w:p w14:paraId="7B2071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2377</w:t>
            </w:r>
          </w:p>
        </w:tc>
        <w:tc>
          <w:tcPr>
            <w:tcW w:w="447" w:type="dxa"/>
          </w:tcPr>
          <w:p w14:paraId="26B817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c>
          <w:tcPr>
            <w:tcW w:w="639" w:type="dxa"/>
          </w:tcPr>
          <w:p w14:paraId="7F6C8F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1207</w:t>
            </w:r>
          </w:p>
        </w:tc>
        <w:tc>
          <w:tcPr>
            <w:tcW w:w="447" w:type="dxa"/>
          </w:tcPr>
          <w:p w14:paraId="02D991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1258</w:t>
            </w:r>
          </w:p>
        </w:tc>
        <w:tc>
          <w:tcPr>
            <w:tcW w:w="639" w:type="dxa"/>
          </w:tcPr>
          <w:p w14:paraId="6FB543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1591</w:t>
            </w:r>
          </w:p>
        </w:tc>
        <w:tc>
          <w:tcPr>
            <w:tcW w:w="399" w:type="dxa"/>
          </w:tcPr>
          <w:p w14:paraId="17DF06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4900</w:t>
            </w:r>
          </w:p>
        </w:tc>
        <w:tc>
          <w:tcPr>
            <w:tcW w:w="639" w:type="dxa"/>
          </w:tcPr>
          <w:p w14:paraId="61FD65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5777</w:t>
            </w:r>
          </w:p>
        </w:tc>
      </w:tr>
      <w:tr w:rsidR="000F5689" w:rsidRPr="00925F26" w14:paraId="059656CE" w14:textId="77777777">
        <w:tc>
          <w:tcPr>
            <w:tcW w:w="2881" w:type="dxa"/>
          </w:tcPr>
          <w:p w14:paraId="7E30FC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447" w:type="dxa"/>
          </w:tcPr>
          <w:p w14:paraId="3844A99F"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3D2BFE85"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BD01246"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859FF17"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0F9BF245"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CA9FD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447" w:type="dxa"/>
          </w:tcPr>
          <w:p w14:paraId="50703A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639" w:type="dxa"/>
          </w:tcPr>
          <w:p w14:paraId="7C86D0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447" w:type="dxa"/>
          </w:tcPr>
          <w:p w14:paraId="5AE7F2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695</w:t>
            </w:r>
          </w:p>
        </w:tc>
        <w:tc>
          <w:tcPr>
            <w:tcW w:w="639" w:type="dxa"/>
          </w:tcPr>
          <w:p w14:paraId="0F4AA9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303</w:t>
            </w:r>
          </w:p>
        </w:tc>
        <w:tc>
          <w:tcPr>
            <w:tcW w:w="399" w:type="dxa"/>
          </w:tcPr>
          <w:p w14:paraId="3E512A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745</w:t>
            </w:r>
          </w:p>
        </w:tc>
        <w:tc>
          <w:tcPr>
            <w:tcW w:w="639" w:type="dxa"/>
          </w:tcPr>
          <w:p w14:paraId="4ADC6E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r>
      <w:tr w:rsidR="000F5689" w:rsidRPr="00925F26" w14:paraId="333FE62B" w14:textId="77777777">
        <w:tc>
          <w:tcPr>
            <w:tcW w:w="2881" w:type="dxa"/>
          </w:tcPr>
          <w:p w14:paraId="738CBE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АМ-38ф</w:t>
            </w:r>
          </w:p>
        </w:tc>
        <w:tc>
          <w:tcPr>
            <w:tcW w:w="447" w:type="dxa"/>
          </w:tcPr>
          <w:p w14:paraId="7979FD41"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7F58DA3"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02479D21"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1063B895"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CACEB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938</w:t>
            </w:r>
          </w:p>
        </w:tc>
        <w:tc>
          <w:tcPr>
            <w:tcW w:w="639" w:type="dxa"/>
          </w:tcPr>
          <w:p w14:paraId="70D151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1122</w:t>
            </w:r>
          </w:p>
        </w:tc>
        <w:tc>
          <w:tcPr>
            <w:tcW w:w="447" w:type="dxa"/>
          </w:tcPr>
          <w:p w14:paraId="29325F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1120</w:t>
            </w:r>
          </w:p>
        </w:tc>
        <w:tc>
          <w:tcPr>
            <w:tcW w:w="639" w:type="dxa"/>
          </w:tcPr>
          <w:p w14:paraId="0C8A2E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1449</w:t>
            </w:r>
          </w:p>
        </w:tc>
        <w:tc>
          <w:tcPr>
            <w:tcW w:w="447" w:type="dxa"/>
          </w:tcPr>
          <w:p w14:paraId="2C1D1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1620</w:t>
            </w:r>
          </w:p>
        </w:tc>
        <w:tc>
          <w:tcPr>
            <w:tcW w:w="639" w:type="dxa"/>
          </w:tcPr>
          <w:p w14:paraId="728330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1688</w:t>
            </w:r>
          </w:p>
        </w:tc>
        <w:tc>
          <w:tcPr>
            <w:tcW w:w="399" w:type="dxa"/>
          </w:tcPr>
          <w:p w14:paraId="2DF34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3678</w:t>
            </w:r>
          </w:p>
        </w:tc>
        <w:tc>
          <w:tcPr>
            <w:tcW w:w="639" w:type="dxa"/>
          </w:tcPr>
          <w:p w14:paraId="687032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4259</w:t>
            </w:r>
          </w:p>
        </w:tc>
      </w:tr>
      <w:tr w:rsidR="000F5689" w:rsidRPr="00925F26" w14:paraId="2C992DE4" w14:textId="77777777">
        <w:tc>
          <w:tcPr>
            <w:tcW w:w="2881" w:type="dxa"/>
          </w:tcPr>
          <w:p w14:paraId="356DD2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АМ-42</w:t>
            </w:r>
          </w:p>
        </w:tc>
        <w:tc>
          <w:tcPr>
            <w:tcW w:w="447" w:type="dxa"/>
          </w:tcPr>
          <w:p w14:paraId="5139A12D"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AE92E5D"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EA478A8"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16B59AD4"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00169AB"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13F96DE"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F8BA301"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0AF94D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447" w:type="dxa"/>
          </w:tcPr>
          <w:p w14:paraId="192BB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w:t>
            </w:r>
          </w:p>
        </w:tc>
        <w:tc>
          <w:tcPr>
            <w:tcW w:w="639" w:type="dxa"/>
          </w:tcPr>
          <w:p w14:paraId="3C1F33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361</w:t>
            </w:r>
          </w:p>
        </w:tc>
        <w:tc>
          <w:tcPr>
            <w:tcW w:w="399" w:type="dxa"/>
          </w:tcPr>
          <w:p w14:paraId="140E8C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w:t>
            </w:r>
          </w:p>
        </w:tc>
        <w:tc>
          <w:tcPr>
            <w:tcW w:w="639" w:type="dxa"/>
          </w:tcPr>
          <w:p w14:paraId="0D3E5D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w:t>
            </w:r>
          </w:p>
        </w:tc>
      </w:tr>
      <w:tr w:rsidR="000F5689" w:rsidRPr="00925F26" w14:paraId="300B268D" w14:textId="77777777">
        <w:tc>
          <w:tcPr>
            <w:tcW w:w="2881" w:type="dxa"/>
          </w:tcPr>
          <w:p w14:paraId="0B825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АШ-82фн</w:t>
            </w:r>
          </w:p>
        </w:tc>
        <w:tc>
          <w:tcPr>
            <w:tcW w:w="447" w:type="dxa"/>
          </w:tcPr>
          <w:p w14:paraId="22E8BF73"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6057312"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2A1C60A4"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1DB44B06"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28AED7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w:t>
            </w:r>
          </w:p>
        </w:tc>
        <w:tc>
          <w:tcPr>
            <w:tcW w:w="639" w:type="dxa"/>
          </w:tcPr>
          <w:p w14:paraId="569518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447" w:type="dxa"/>
          </w:tcPr>
          <w:p w14:paraId="30D550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170</w:t>
            </w:r>
          </w:p>
        </w:tc>
        <w:tc>
          <w:tcPr>
            <w:tcW w:w="639" w:type="dxa"/>
          </w:tcPr>
          <w:p w14:paraId="0272A4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176</w:t>
            </w:r>
          </w:p>
        </w:tc>
        <w:tc>
          <w:tcPr>
            <w:tcW w:w="447" w:type="dxa"/>
          </w:tcPr>
          <w:p w14:paraId="0313D8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860</w:t>
            </w:r>
          </w:p>
        </w:tc>
        <w:tc>
          <w:tcPr>
            <w:tcW w:w="639" w:type="dxa"/>
          </w:tcPr>
          <w:p w14:paraId="2B5482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1113</w:t>
            </w:r>
          </w:p>
        </w:tc>
        <w:tc>
          <w:tcPr>
            <w:tcW w:w="399" w:type="dxa"/>
          </w:tcPr>
          <w:p w14:paraId="642905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1128</w:t>
            </w:r>
          </w:p>
        </w:tc>
        <w:tc>
          <w:tcPr>
            <w:tcW w:w="639" w:type="dxa"/>
          </w:tcPr>
          <w:p w14:paraId="14CA4D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1373</w:t>
            </w:r>
          </w:p>
        </w:tc>
      </w:tr>
      <w:tr w:rsidR="000F5689" w:rsidRPr="00925F26" w14:paraId="213BFC3C" w14:textId="77777777">
        <w:tc>
          <w:tcPr>
            <w:tcW w:w="2881" w:type="dxa"/>
          </w:tcPr>
          <w:p w14:paraId="36D2B1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АШ-82фн</w:t>
            </w:r>
          </w:p>
        </w:tc>
        <w:tc>
          <w:tcPr>
            <w:tcW w:w="447" w:type="dxa"/>
          </w:tcPr>
          <w:p w14:paraId="4C000472"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37B76A39"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272DA43"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B2BEFBD"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3F9916BA"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F09BB14"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635AE2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c>
          <w:tcPr>
            <w:tcW w:w="639" w:type="dxa"/>
          </w:tcPr>
          <w:p w14:paraId="30AF5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c>
          <w:tcPr>
            <w:tcW w:w="447" w:type="dxa"/>
          </w:tcPr>
          <w:p w14:paraId="51D112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639" w:type="dxa"/>
          </w:tcPr>
          <w:p w14:paraId="5CBDED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649</w:t>
            </w:r>
          </w:p>
        </w:tc>
        <w:tc>
          <w:tcPr>
            <w:tcW w:w="399" w:type="dxa"/>
          </w:tcPr>
          <w:p w14:paraId="7D48FB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535</w:t>
            </w:r>
          </w:p>
        </w:tc>
        <w:tc>
          <w:tcPr>
            <w:tcW w:w="639" w:type="dxa"/>
          </w:tcPr>
          <w:p w14:paraId="73F1E0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728</w:t>
            </w:r>
          </w:p>
        </w:tc>
      </w:tr>
      <w:tr w:rsidR="000F5689" w:rsidRPr="00925F26" w14:paraId="10425138" w14:textId="77777777">
        <w:tc>
          <w:tcPr>
            <w:tcW w:w="2881" w:type="dxa"/>
          </w:tcPr>
          <w:p w14:paraId="154851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АШ-83</w:t>
            </w:r>
          </w:p>
        </w:tc>
        <w:tc>
          <w:tcPr>
            <w:tcW w:w="447" w:type="dxa"/>
          </w:tcPr>
          <w:p w14:paraId="127154EE"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0D3D919"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7A3C551E"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779A5336"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76772D6F"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516EE0A"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6BB6D311"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FCC206B"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3504A2C8"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0DE59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99" w:type="dxa"/>
          </w:tcPr>
          <w:p w14:paraId="3C6294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639" w:type="dxa"/>
          </w:tcPr>
          <w:p w14:paraId="2CFA0F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226B1948" w14:textId="77777777">
        <w:tc>
          <w:tcPr>
            <w:tcW w:w="2881" w:type="dxa"/>
          </w:tcPr>
          <w:p w14:paraId="5B327B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c>
          <w:tcPr>
            <w:tcW w:w="447" w:type="dxa"/>
          </w:tcPr>
          <w:p w14:paraId="3AB6EE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877</w:t>
            </w:r>
          </w:p>
        </w:tc>
        <w:tc>
          <w:tcPr>
            <w:tcW w:w="639" w:type="dxa"/>
          </w:tcPr>
          <w:p w14:paraId="16DA2B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752</w:t>
            </w:r>
          </w:p>
        </w:tc>
        <w:tc>
          <w:tcPr>
            <w:tcW w:w="447" w:type="dxa"/>
          </w:tcPr>
          <w:p w14:paraId="4AC0BA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772</w:t>
            </w:r>
          </w:p>
        </w:tc>
        <w:tc>
          <w:tcPr>
            <w:tcW w:w="639" w:type="dxa"/>
          </w:tcPr>
          <w:p w14:paraId="5EBA1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921</w:t>
            </w:r>
          </w:p>
        </w:tc>
        <w:tc>
          <w:tcPr>
            <w:tcW w:w="447" w:type="dxa"/>
          </w:tcPr>
          <w:p w14:paraId="237878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639" w:type="dxa"/>
          </w:tcPr>
          <w:p w14:paraId="5FA4CD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447" w:type="dxa"/>
          </w:tcPr>
          <w:p w14:paraId="506A7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880</w:t>
            </w:r>
          </w:p>
        </w:tc>
        <w:tc>
          <w:tcPr>
            <w:tcW w:w="639" w:type="dxa"/>
          </w:tcPr>
          <w:p w14:paraId="1E8747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690</w:t>
            </w:r>
          </w:p>
        </w:tc>
        <w:tc>
          <w:tcPr>
            <w:tcW w:w="447" w:type="dxa"/>
          </w:tcPr>
          <w:p w14:paraId="46D90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565</w:t>
            </w:r>
          </w:p>
        </w:tc>
        <w:tc>
          <w:tcPr>
            <w:tcW w:w="639" w:type="dxa"/>
          </w:tcPr>
          <w:p w14:paraId="0F0CA5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489</w:t>
            </w:r>
          </w:p>
        </w:tc>
        <w:tc>
          <w:tcPr>
            <w:tcW w:w="399" w:type="dxa"/>
          </w:tcPr>
          <w:p w14:paraId="732A8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3744</w:t>
            </w:r>
          </w:p>
        </w:tc>
        <w:tc>
          <w:tcPr>
            <w:tcW w:w="639" w:type="dxa"/>
          </w:tcPr>
          <w:p w14:paraId="418B91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3532</w:t>
            </w:r>
          </w:p>
        </w:tc>
      </w:tr>
      <w:tr w:rsidR="000F5689" w:rsidRPr="00925F26" w14:paraId="32B5CE58" w14:textId="77777777">
        <w:tc>
          <w:tcPr>
            <w:tcW w:w="2881" w:type="dxa"/>
          </w:tcPr>
          <w:p w14:paraId="01B598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М-62ИР</w:t>
            </w:r>
          </w:p>
        </w:tc>
        <w:tc>
          <w:tcPr>
            <w:tcW w:w="447" w:type="dxa"/>
          </w:tcPr>
          <w:p w14:paraId="2E9EB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371</w:t>
            </w:r>
          </w:p>
        </w:tc>
        <w:tc>
          <w:tcPr>
            <w:tcW w:w="639" w:type="dxa"/>
          </w:tcPr>
          <w:p w14:paraId="1A254D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447" w:type="dxa"/>
          </w:tcPr>
          <w:p w14:paraId="24293E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245</w:t>
            </w:r>
          </w:p>
        </w:tc>
        <w:tc>
          <w:tcPr>
            <w:tcW w:w="639" w:type="dxa"/>
          </w:tcPr>
          <w:p w14:paraId="5D61C3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338</w:t>
            </w:r>
          </w:p>
        </w:tc>
        <w:tc>
          <w:tcPr>
            <w:tcW w:w="447" w:type="dxa"/>
          </w:tcPr>
          <w:p w14:paraId="0AA643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430</w:t>
            </w:r>
          </w:p>
        </w:tc>
        <w:tc>
          <w:tcPr>
            <w:tcW w:w="639" w:type="dxa"/>
          </w:tcPr>
          <w:p w14:paraId="277473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w:t>
            </w:r>
          </w:p>
        </w:tc>
        <w:tc>
          <w:tcPr>
            <w:tcW w:w="447" w:type="dxa"/>
          </w:tcPr>
          <w:p w14:paraId="398F22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w:t>
            </w:r>
          </w:p>
        </w:tc>
        <w:tc>
          <w:tcPr>
            <w:tcW w:w="639" w:type="dxa"/>
          </w:tcPr>
          <w:p w14:paraId="43203B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447" w:type="dxa"/>
          </w:tcPr>
          <w:p w14:paraId="46947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177</w:t>
            </w:r>
          </w:p>
        </w:tc>
        <w:tc>
          <w:tcPr>
            <w:tcW w:w="639" w:type="dxa"/>
          </w:tcPr>
          <w:p w14:paraId="4853A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w:t>
            </w:r>
          </w:p>
        </w:tc>
        <w:tc>
          <w:tcPr>
            <w:tcW w:w="399" w:type="dxa"/>
          </w:tcPr>
          <w:p w14:paraId="4C661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1368</w:t>
            </w:r>
          </w:p>
        </w:tc>
        <w:tc>
          <w:tcPr>
            <w:tcW w:w="639" w:type="dxa"/>
          </w:tcPr>
          <w:p w14:paraId="02B9F3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w:t>
            </w:r>
          </w:p>
        </w:tc>
      </w:tr>
      <w:tr w:rsidR="000F5689" w:rsidRPr="00925F26" w14:paraId="162126D7" w14:textId="77777777">
        <w:tc>
          <w:tcPr>
            <w:tcW w:w="2881" w:type="dxa"/>
          </w:tcPr>
          <w:p w14:paraId="03B9D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АЧ-30Б</w:t>
            </w:r>
          </w:p>
        </w:tc>
        <w:tc>
          <w:tcPr>
            <w:tcW w:w="447" w:type="dxa"/>
          </w:tcPr>
          <w:p w14:paraId="0B450277"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717C5091"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92BB380"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C9213D6"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7B0FC684"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73FA4A0"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F9B4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639" w:type="dxa"/>
          </w:tcPr>
          <w:p w14:paraId="13D42F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447" w:type="dxa"/>
          </w:tcPr>
          <w:p w14:paraId="4E3824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w:t>
            </w:r>
          </w:p>
        </w:tc>
        <w:tc>
          <w:tcPr>
            <w:tcW w:w="639" w:type="dxa"/>
          </w:tcPr>
          <w:p w14:paraId="5AE99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w:t>
            </w:r>
          </w:p>
        </w:tc>
        <w:tc>
          <w:tcPr>
            <w:tcW w:w="399" w:type="dxa"/>
          </w:tcPr>
          <w:p w14:paraId="4D74A7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639" w:type="dxa"/>
          </w:tcPr>
          <w:p w14:paraId="0F42F0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w:t>
            </w:r>
          </w:p>
        </w:tc>
      </w:tr>
      <w:tr w:rsidR="000F5689" w:rsidRPr="00925F26" w14:paraId="6FD0FDBA" w14:textId="77777777">
        <w:tc>
          <w:tcPr>
            <w:tcW w:w="2881" w:type="dxa"/>
          </w:tcPr>
          <w:p w14:paraId="10DBB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М-11Д</w:t>
            </w:r>
          </w:p>
        </w:tc>
        <w:tc>
          <w:tcPr>
            <w:tcW w:w="447" w:type="dxa"/>
          </w:tcPr>
          <w:p w14:paraId="578E04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253</w:t>
            </w:r>
          </w:p>
        </w:tc>
        <w:tc>
          <w:tcPr>
            <w:tcW w:w="639" w:type="dxa"/>
          </w:tcPr>
          <w:p w14:paraId="7E596A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245</w:t>
            </w:r>
          </w:p>
        </w:tc>
        <w:tc>
          <w:tcPr>
            <w:tcW w:w="447" w:type="dxa"/>
          </w:tcPr>
          <w:p w14:paraId="474F2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639" w:type="dxa"/>
          </w:tcPr>
          <w:p w14:paraId="4220FD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w:t>
            </w:r>
          </w:p>
        </w:tc>
        <w:tc>
          <w:tcPr>
            <w:tcW w:w="447" w:type="dxa"/>
          </w:tcPr>
          <w:p w14:paraId="0696F0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c>
          <w:tcPr>
            <w:tcW w:w="639" w:type="dxa"/>
          </w:tcPr>
          <w:p w14:paraId="6782D5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525</w:t>
            </w:r>
          </w:p>
        </w:tc>
        <w:tc>
          <w:tcPr>
            <w:tcW w:w="447" w:type="dxa"/>
          </w:tcPr>
          <w:p w14:paraId="2150AE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446</w:t>
            </w:r>
          </w:p>
        </w:tc>
        <w:tc>
          <w:tcPr>
            <w:tcW w:w="639" w:type="dxa"/>
          </w:tcPr>
          <w:p w14:paraId="2F4CEC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447" w:type="dxa"/>
          </w:tcPr>
          <w:p w14:paraId="35092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635</w:t>
            </w:r>
          </w:p>
        </w:tc>
        <w:tc>
          <w:tcPr>
            <w:tcW w:w="639" w:type="dxa"/>
          </w:tcPr>
          <w:p w14:paraId="3C05D2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754</w:t>
            </w:r>
          </w:p>
        </w:tc>
        <w:tc>
          <w:tcPr>
            <w:tcW w:w="399" w:type="dxa"/>
          </w:tcPr>
          <w:p w14:paraId="466E5C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1761</w:t>
            </w:r>
          </w:p>
        </w:tc>
        <w:tc>
          <w:tcPr>
            <w:tcW w:w="639" w:type="dxa"/>
          </w:tcPr>
          <w:p w14:paraId="12DAD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2232</w:t>
            </w:r>
          </w:p>
        </w:tc>
      </w:tr>
      <w:tr w:rsidR="000F5689" w:rsidRPr="00925F26" w14:paraId="075DD9C9" w14:textId="77777777">
        <w:tc>
          <w:tcPr>
            <w:tcW w:w="2881" w:type="dxa"/>
          </w:tcPr>
          <w:p w14:paraId="3FA2C2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ВК-105Р</w:t>
            </w:r>
          </w:p>
        </w:tc>
        <w:tc>
          <w:tcPr>
            <w:tcW w:w="447" w:type="dxa"/>
          </w:tcPr>
          <w:p w14:paraId="6205F0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1397</w:t>
            </w:r>
          </w:p>
        </w:tc>
        <w:tc>
          <w:tcPr>
            <w:tcW w:w="639" w:type="dxa"/>
          </w:tcPr>
          <w:p w14:paraId="18F3AB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519</w:t>
            </w:r>
          </w:p>
        </w:tc>
        <w:tc>
          <w:tcPr>
            <w:tcW w:w="447" w:type="dxa"/>
          </w:tcPr>
          <w:p w14:paraId="570B4FEB"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805D8D0"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35B99B9"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C253935"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2B10686B"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F829342"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3F582245"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33277BFF"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0CCCB1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1397</w:t>
            </w:r>
          </w:p>
        </w:tc>
        <w:tc>
          <w:tcPr>
            <w:tcW w:w="639" w:type="dxa"/>
          </w:tcPr>
          <w:p w14:paraId="23C994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519</w:t>
            </w:r>
          </w:p>
        </w:tc>
      </w:tr>
      <w:tr w:rsidR="000F5689" w:rsidRPr="00925F26" w14:paraId="49A99584" w14:textId="77777777">
        <w:tc>
          <w:tcPr>
            <w:tcW w:w="2881" w:type="dxa"/>
          </w:tcPr>
          <w:p w14:paraId="3678A3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М-105РА</w:t>
            </w:r>
          </w:p>
        </w:tc>
        <w:tc>
          <w:tcPr>
            <w:tcW w:w="447" w:type="dxa"/>
          </w:tcPr>
          <w:p w14:paraId="4D2BEB67"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8F2BA2B"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02DCBE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w:t>
            </w:r>
          </w:p>
        </w:tc>
        <w:tc>
          <w:tcPr>
            <w:tcW w:w="639" w:type="dxa"/>
          </w:tcPr>
          <w:p w14:paraId="698E3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w:t>
            </w:r>
          </w:p>
        </w:tc>
        <w:tc>
          <w:tcPr>
            <w:tcW w:w="447" w:type="dxa"/>
          </w:tcPr>
          <w:p w14:paraId="1102F5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w:t>
            </w:r>
          </w:p>
        </w:tc>
        <w:tc>
          <w:tcPr>
            <w:tcW w:w="639" w:type="dxa"/>
          </w:tcPr>
          <w:p w14:paraId="398B62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w:t>
            </w:r>
          </w:p>
        </w:tc>
        <w:tc>
          <w:tcPr>
            <w:tcW w:w="447" w:type="dxa"/>
          </w:tcPr>
          <w:p w14:paraId="3359210B"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7D557809"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2EAF7B1"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1B2D160C"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2BB38E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216</w:t>
            </w:r>
          </w:p>
        </w:tc>
        <w:tc>
          <w:tcPr>
            <w:tcW w:w="639" w:type="dxa"/>
          </w:tcPr>
          <w:p w14:paraId="22704F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272</w:t>
            </w:r>
          </w:p>
        </w:tc>
      </w:tr>
      <w:tr w:rsidR="000F5689" w:rsidRPr="00925F26" w14:paraId="20E7BF09" w14:textId="77777777">
        <w:tc>
          <w:tcPr>
            <w:tcW w:w="2881" w:type="dxa"/>
          </w:tcPr>
          <w:p w14:paraId="09D9BE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М-105П</w:t>
            </w:r>
          </w:p>
        </w:tc>
        <w:tc>
          <w:tcPr>
            <w:tcW w:w="447" w:type="dxa"/>
          </w:tcPr>
          <w:p w14:paraId="015ABF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639" w:type="dxa"/>
          </w:tcPr>
          <w:p w14:paraId="1178E4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c>
          <w:tcPr>
            <w:tcW w:w="447" w:type="dxa"/>
          </w:tcPr>
          <w:p w14:paraId="65D99496"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7263750"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024E11D"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1DCE256"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71E3DE0C"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4DCA6646"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68C26544"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04B3D9BE"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02B501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639" w:type="dxa"/>
          </w:tcPr>
          <w:p w14:paraId="74F61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w:t>
            </w:r>
          </w:p>
        </w:tc>
      </w:tr>
      <w:tr w:rsidR="000F5689" w:rsidRPr="00925F26" w14:paraId="03A84529" w14:textId="77777777">
        <w:tc>
          <w:tcPr>
            <w:tcW w:w="2881" w:type="dxa"/>
          </w:tcPr>
          <w:p w14:paraId="759878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ВК-106</w:t>
            </w:r>
          </w:p>
        </w:tc>
        <w:tc>
          <w:tcPr>
            <w:tcW w:w="447" w:type="dxa"/>
          </w:tcPr>
          <w:p w14:paraId="75627447"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D13C380"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A3FDB24"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5EC6E5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447" w:type="dxa"/>
          </w:tcPr>
          <w:p w14:paraId="0F5FF94F"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FEC04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447" w:type="dxa"/>
          </w:tcPr>
          <w:p w14:paraId="4C868910"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044F9DC"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1325EF6"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1471EEBE"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71E0AD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639" w:type="dxa"/>
          </w:tcPr>
          <w:p w14:paraId="537326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w:t>
            </w:r>
          </w:p>
        </w:tc>
      </w:tr>
      <w:tr w:rsidR="000F5689" w:rsidRPr="00925F26" w14:paraId="2BDE7C81" w14:textId="77777777">
        <w:tc>
          <w:tcPr>
            <w:tcW w:w="2881" w:type="dxa"/>
          </w:tcPr>
          <w:p w14:paraId="6971F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447" w:type="dxa"/>
          </w:tcPr>
          <w:p w14:paraId="53FE3D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606</w:t>
            </w:r>
          </w:p>
        </w:tc>
        <w:tc>
          <w:tcPr>
            <w:tcW w:w="639" w:type="dxa"/>
          </w:tcPr>
          <w:p w14:paraId="5B79A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430</w:t>
            </w:r>
          </w:p>
        </w:tc>
        <w:tc>
          <w:tcPr>
            <w:tcW w:w="447" w:type="dxa"/>
          </w:tcPr>
          <w:p w14:paraId="64FF95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639" w:type="dxa"/>
          </w:tcPr>
          <w:p w14:paraId="3C08EA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447" w:type="dxa"/>
          </w:tcPr>
          <w:p w14:paraId="3D1376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279</w:t>
            </w:r>
          </w:p>
        </w:tc>
        <w:tc>
          <w:tcPr>
            <w:tcW w:w="639" w:type="dxa"/>
          </w:tcPr>
          <w:p w14:paraId="2EC75C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w:t>
            </w:r>
          </w:p>
        </w:tc>
        <w:tc>
          <w:tcPr>
            <w:tcW w:w="447" w:type="dxa"/>
          </w:tcPr>
          <w:p w14:paraId="314525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639" w:type="dxa"/>
          </w:tcPr>
          <w:p w14:paraId="44AB30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447" w:type="dxa"/>
          </w:tcPr>
          <w:p w14:paraId="7674455B"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595A3DA"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38BBBC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1045</w:t>
            </w:r>
          </w:p>
        </w:tc>
        <w:tc>
          <w:tcPr>
            <w:tcW w:w="639" w:type="dxa"/>
          </w:tcPr>
          <w:p w14:paraId="1534F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757</w:t>
            </w:r>
          </w:p>
        </w:tc>
      </w:tr>
      <w:tr w:rsidR="000F5689" w:rsidRPr="00925F26" w14:paraId="6B4A2040" w14:textId="77777777">
        <w:tc>
          <w:tcPr>
            <w:tcW w:w="2881" w:type="dxa"/>
          </w:tcPr>
          <w:p w14:paraId="115B30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АМ-38</w:t>
            </w:r>
          </w:p>
        </w:tc>
        <w:tc>
          <w:tcPr>
            <w:tcW w:w="447" w:type="dxa"/>
          </w:tcPr>
          <w:p w14:paraId="7263CE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w:t>
            </w:r>
          </w:p>
        </w:tc>
        <w:tc>
          <w:tcPr>
            <w:tcW w:w="639" w:type="dxa"/>
          </w:tcPr>
          <w:p w14:paraId="79F6B0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178</w:t>
            </w:r>
          </w:p>
        </w:tc>
        <w:tc>
          <w:tcPr>
            <w:tcW w:w="447" w:type="dxa"/>
          </w:tcPr>
          <w:p w14:paraId="07EFB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388</w:t>
            </w:r>
          </w:p>
        </w:tc>
        <w:tc>
          <w:tcPr>
            <w:tcW w:w="639" w:type="dxa"/>
          </w:tcPr>
          <w:p w14:paraId="1221D4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417</w:t>
            </w:r>
          </w:p>
        </w:tc>
        <w:tc>
          <w:tcPr>
            <w:tcW w:w="447" w:type="dxa"/>
          </w:tcPr>
          <w:p w14:paraId="36E7E8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639" w:type="dxa"/>
          </w:tcPr>
          <w:p w14:paraId="79DFB9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w:t>
            </w:r>
          </w:p>
        </w:tc>
        <w:tc>
          <w:tcPr>
            <w:tcW w:w="447" w:type="dxa"/>
          </w:tcPr>
          <w:p w14:paraId="16D3587F"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44F6BE1A"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48E7CD9A"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7FC764D5"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1F7442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709</w:t>
            </w:r>
          </w:p>
        </w:tc>
        <w:tc>
          <w:tcPr>
            <w:tcW w:w="639" w:type="dxa"/>
          </w:tcPr>
          <w:p w14:paraId="4A16E4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670</w:t>
            </w:r>
          </w:p>
        </w:tc>
      </w:tr>
      <w:tr w:rsidR="000F5689" w:rsidRPr="00925F26" w14:paraId="3AA9B511" w14:textId="77777777">
        <w:tc>
          <w:tcPr>
            <w:tcW w:w="2881" w:type="dxa"/>
          </w:tcPr>
          <w:p w14:paraId="15C43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447" w:type="dxa"/>
          </w:tcPr>
          <w:p w14:paraId="23ACED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639" w:type="dxa"/>
          </w:tcPr>
          <w:p w14:paraId="3C23BD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447" w:type="dxa"/>
          </w:tcPr>
          <w:p w14:paraId="42327C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306</w:t>
            </w:r>
          </w:p>
        </w:tc>
        <w:tc>
          <w:tcPr>
            <w:tcW w:w="639" w:type="dxa"/>
          </w:tcPr>
          <w:p w14:paraId="25E9FA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w:t>
            </w:r>
          </w:p>
        </w:tc>
        <w:tc>
          <w:tcPr>
            <w:tcW w:w="447" w:type="dxa"/>
          </w:tcPr>
          <w:p w14:paraId="1C33EF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578</w:t>
            </w:r>
          </w:p>
        </w:tc>
        <w:tc>
          <w:tcPr>
            <w:tcW w:w="639" w:type="dxa"/>
          </w:tcPr>
          <w:p w14:paraId="0F8477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528</w:t>
            </w:r>
          </w:p>
        </w:tc>
        <w:tc>
          <w:tcPr>
            <w:tcW w:w="447" w:type="dxa"/>
          </w:tcPr>
          <w:p w14:paraId="67D7074E"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3F402B47"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BC92ADF"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0F7E6BF4"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000039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934</w:t>
            </w:r>
          </w:p>
        </w:tc>
        <w:tc>
          <w:tcPr>
            <w:tcW w:w="639" w:type="dxa"/>
          </w:tcPr>
          <w:p w14:paraId="23A2E1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959</w:t>
            </w:r>
          </w:p>
        </w:tc>
      </w:tr>
      <w:tr w:rsidR="000F5689" w:rsidRPr="00925F26" w14:paraId="4FB9DA99" w14:textId="77777777">
        <w:tc>
          <w:tcPr>
            <w:tcW w:w="2881" w:type="dxa"/>
          </w:tcPr>
          <w:p w14:paraId="1B942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М-87</w:t>
            </w:r>
          </w:p>
        </w:tc>
        <w:tc>
          <w:tcPr>
            <w:tcW w:w="447" w:type="dxa"/>
          </w:tcPr>
          <w:p w14:paraId="1D5BF9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639" w:type="dxa"/>
          </w:tcPr>
          <w:p w14:paraId="6C83F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w:t>
            </w:r>
          </w:p>
        </w:tc>
        <w:tc>
          <w:tcPr>
            <w:tcW w:w="447" w:type="dxa"/>
          </w:tcPr>
          <w:p w14:paraId="1DCCA935"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4F840E13"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81CD51B"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5283D5C"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3C6B004"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485B48C4"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710373B2"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C7A7478"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70D2D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639" w:type="dxa"/>
          </w:tcPr>
          <w:p w14:paraId="645C9B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w:t>
            </w:r>
          </w:p>
        </w:tc>
      </w:tr>
      <w:tr w:rsidR="000F5689" w:rsidRPr="00925F26" w14:paraId="4F4C1219" w14:textId="77777777">
        <w:tc>
          <w:tcPr>
            <w:tcW w:w="2881" w:type="dxa"/>
          </w:tcPr>
          <w:p w14:paraId="280403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М-62, 63</w:t>
            </w:r>
          </w:p>
        </w:tc>
        <w:tc>
          <w:tcPr>
            <w:tcW w:w="447" w:type="dxa"/>
          </w:tcPr>
          <w:p w14:paraId="3D140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943</w:t>
            </w:r>
          </w:p>
        </w:tc>
        <w:tc>
          <w:tcPr>
            <w:tcW w:w="639" w:type="dxa"/>
          </w:tcPr>
          <w:p w14:paraId="43E79D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935</w:t>
            </w:r>
          </w:p>
        </w:tc>
        <w:tc>
          <w:tcPr>
            <w:tcW w:w="447" w:type="dxa"/>
          </w:tcPr>
          <w:p w14:paraId="279106E5"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01C2542A"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72381FD"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483E7944"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FBEF295"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7B6CFF8A"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1F9440EE"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158B9E3D"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284251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943</w:t>
            </w:r>
          </w:p>
        </w:tc>
        <w:tc>
          <w:tcPr>
            <w:tcW w:w="639" w:type="dxa"/>
          </w:tcPr>
          <w:p w14:paraId="133765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935</w:t>
            </w:r>
          </w:p>
        </w:tc>
      </w:tr>
      <w:tr w:rsidR="000F5689" w:rsidRPr="00925F26" w14:paraId="1B45193B" w14:textId="77777777">
        <w:tc>
          <w:tcPr>
            <w:tcW w:w="2881" w:type="dxa"/>
          </w:tcPr>
          <w:p w14:paraId="345F2D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М-25</w:t>
            </w:r>
          </w:p>
        </w:tc>
        <w:tc>
          <w:tcPr>
            <w:tcW w:w="447" w:type="dxa"/>
          </w:tcPr>
          <w:p w14:paraId="425277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702</w:t>
            </w:r>
          </w:p>
        </w:tc>
        <w:tc>
          <w:tcPr>
            <w:tcW w:w="639" w:type="dxa"/>
          </w:tcPr>
          <w:p w14:paraId="70CB7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759</w:t>
            </w:r>
          </w:p>
        </w:tc>
        <w:tc>
          <w:tcPr>
            <w:tcW w:w="447" w:type="dxa"/>
          </w:tcPr>
          <w:p w14:paraId="485FE5C9"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1FF2F8E"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55D024C4"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2D1F464D"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23D8BC4F"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4CBCEF5A" w14:textId="77777777" w:rsidR="00665165" w:rsidRPr="00925F26" w:rsidRDefault="00665165" w:rsidP="00925F26">
            <w:pPr>
              <w:autoSpaceDE w:val="0"/>
              <w:autoSpaceDN w:val="0"/>
              <w:adjustRightInd w:val="0"/>
              <w:jc w:val="both"/>
              <w:rPr>
                <w:color w:val="000000" w:themeColor="text1"/>
                <w:sz w:val="16"/>
                <w:szCs w:val="16"/>
              </w:rPr>
            </w:pPr>
          </w:p>
        </w:tc>
        <w:tc>
          <w:tcPr>
            <w:tcW w:w="447" w:type="dxa"/>
          </w:tcPr>
          <w:p w14:paraId="07372292" w14:textId="77777777" w:rsidR="00665165" w:rsidRPr="00925F26" w:rsidRDefault="00665165" w:rsidP="00925F26">
            <w:pPr>
              <w:autoSpaceDE w:val="0"/>
              <w:autoSpaceDN w:val="0"/>
              <w:adjustRightInd w:val="0"/>
              <w:jc w:val="both"/>
              <w:rPr>
                <w:color w:val="000000" w:themeColor="text1"/>
                <w:sz w:val="16"/>
                <w:szCs w:val="16"/>
              </w:rPr>
            </w:pPr>
          </w:p>
        </w:tc>
        <w:tc>
          <w:tcPr>
            <w:tcW w:w="639" w:type="dxa"/>
          </w:tcPr>
          <w:p w14:paraId="6935EA77" w14:textId="77777777" w:rsidR="00665165" w:rsidRPr="00925F26" w:rsidRDefault="00665165" w:rsidP="00925F26">
            <w:pPr>
              <w:autoSpaceDE w:val="0"/>
              <w:autoSpaceDN w:val="0"/>
              <w:adjustRightInd w:val="0"/>
              <w:jc w:val="both"/>
              <w:rPr>
                <w:color w:val="000000" w:themeColor="text1"/>
                <w:sz w:val="16"/>
                <w:szCs w:val="16"/>
              </w:rPr>
            </w:pPr>
          </w:p>
        </w:tc>
        <w:tc>
          <w:tcPr>
            <w:tcW w:w="399" w:type="dxa"/>
          </w:tcPr>
          <w:p w14:paraId="5470D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702</w:t>
            </w:r>
          </w:p>
        </w:tc>
        <w:tc>
          <w:tcPr>
            <w:tcW w:w="639" w:type="dxa"/>
          </w:tcPr>
          <w:p w14:paraId="07E5F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759</w:t>
            </w:r>
          </w:p>
        </w:tc>
      </w:tr>
      <w:tr w:rsidR="000F5689" w:rsidRPr="00925F26" w14:paraId="1031BE65" w14:textId="77777777">
        <w:tc>
          <w:tcPr>
            <w:tcW w:w="2881" w:type="dxa"/>
            <w:tcBorders>
              <w:bottom w:val="single" w:sz="12" w:space="0" w:color="000000"/>
            </w:tcBorders>
          </w:tcPr>
          <w:p w14:paraId="44E5B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447" w:type="dxa"/>
            <w:tcBorders>
              <w:bottom w:val="single" w:sz="12" w:space="0" w:color="000000"/>
            </w:tcBorders>
          </w:tcPr>
          <w:p w14:paraId="3B9898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6232</w:t>
            </w:r>
          </w:p>
        </w:tc>
        <w:tc>
          <w:tcPr>
            <w:tcW w:w="639" w:type="dxa"/>
            <w:tcBorders>
              <w:bottom w:val="single" w:sz="12" w:space="0" w:color="000000"/>
            </w:tcBorders>
          </w:tcPr>
          <w:p w14:paraId="68160A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4588</w:t>
            </w:r>
          </w:p>
        </w:tc>
        <w:tc>
          <w:tcPr>
            <w:tcW w:w="447" w:type="dxa"/>
            <w:tcBorders>
              <w:bottom w:val="single" w:sz="12" w:space="0" w:color="000000"/>
            </w:tcBorders>
          </w:tcPr>
          <w:p w14:paraId="30A900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2764</w:t>
            </w:r>
          </w:p>
        </w:tc>
        <w:tc>
          <w:tcPr>
            <w:tcW w:w="639" w:type="dxa"/>
            <w:tcBorders>
              <w:bottom w:val="single" w:sz="12" w:space="0" w:color="000000"/>
            </w:tcBorders>
          </w:tcPr>
          <w:p w14:paraId="5E80AC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3088</w:t>
            </w:r>
          </w:p>
        </w:tc>
        <w:tc>
          <w:tcPr>
            <w:tcW w:w="447" w:type="dxa"/>
            <w:tcBorders>
              <w:bottom w:val="single" w:sz="12" w:space="0" w:color="000000"/>
            </w:tcBorders>
          </w:tcPr>
          <w:p w14:paraId="096109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5022</w:t>
            </w:r>
          </w:p>
        </w:tc>
        <w:tc>
          <w:tcPr>
            <w:tcW w:w="639" w:type="dxa"/>
            <w:tcBorders>
              <w:bottom w:val="single" w:sz="12" w:space="0" w:color="000000"/>
            </w:tcBorders>
          </w:tcPr>
          <w:p w14:paraId="6AB4A4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6251</w:t>
            </w:r>
          </w:p>
        </w:tc>
        <w:tc>
          <w:tcPr>
            <w:tcW w:w="447" w:type="dxa"/>
            <w:tcBorders>
              <w:bottom w:val="single" w:sz="12" w:space="0" w:color="000000"/>
            </w:tcBorders>
          </w:tcPr>
          <w:p w14:paraId="2F1D31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4286</w:t>
            </w:r>
          </w:p>
        </w:tc>
        <w:tc>
          <w:tcPr>
            <w:tcW w:w="639" w:type="dxa"/>
            <w:tcBorders>
              <w:bottom w:val="single" w:sz="12" w:space="0" w:color="000000"/>
            </w:tcBorders>
          </w:tcPr>
          <w:p w14:paraId="0DF904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4416</w:t>
            </w:r>
          </w:p>
        </w:tc>
        <w:tc>
          <w:tcPr>
            <w:tcW w:w="447" w:type="dxa"/>
            <w:tcBorders>
              <w:bottom w:val="single" w:sz="12" w:space="0" w:color="000000"/>
            </w:tcBorders>
          </w:tcPr>
          <w:p w14:paraId="253DF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6710</w:t>
            </w:r>
          </w:p>
        </w:tc>
        <w:tc>
          <w:tcPr>
            <w:tcW w:w="639" w:type="dxa"/>
            <w:tcBorders>
              <w:bottom w:val="single" w:sz="12" w:space="0" w:color="000000"/>
            </w:tcBorders>
          </w:tcPr>
          <w:p w14:paraId="55870C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7220</w:t>
            </w:r>
          </w:p>
        </w:tc>
        <w:tc>
          <w:tcPr>
            <w:tcW w:w="399" w:type="dxa"/>
            <w:tcBorders>
              <w:bottom w:val="single" w:sz="12" w:space="0" w:color="000000"/>
            </w:tcBorders>
          </w:tcPr>
          <w:p w14:paraId="38EE18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25014</w:t>
            </w:r>
          </w:p>
        </w:tc>
        <w:tc>
          <w:tcPr>
            <w:tcW w:w="639" w:type="dxa"/>
            <w:tcBorders>
              <w:bottom w:val="single" w:sz="12" w:space="0" w:color="000000"/>
            </w:tcBorders>
          </w:tcPr>
          <w:p w14:paraId="213BD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25563</w:t>
            </w:r>
          </w:p>
        </w:tc>
      </w:tr>
    </w:tbl>
    <w:p w14:paraId="5F61F20B"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w:t>
      </w:r>
      <w:proofErr w:type="gramStart"/>
      <w:r w:rsidRPr="00925F26">
        <w:rPr>
          <w:color w:val="000000" w:themeColor="text1"/>
          <w:sz w:val="16"/>
          <w:szCs w:val="16"/>
        </w:rPr>
        <w:t>1}Отдел</w:t>
      </w:r>
      <w:proofErr w:type="gramEnd"/>
      <w:r w:rsidRPr="00925F26">
        <w:rPr>
          <w:color w:val="000000" w:themeColor="text1"/>
          <w:sz w:val="16"/>
          <w:szCs w:val="16"/>
        </w:rPr>
        <w:t xml:space="preserve"> мобпланирования ГШ ВВС, д.103, лл.39-40. Кроме того, за 1941-45 гг. поступило 14 902 импортных двигателя.</w:t>
      </w:r>
    </w:p>
    <w:p w14:paraId="4B8F8988"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100 самолетов-бомбардировщиков получено от 33 до 89 двигателей, а на 100 истребителей от 6 до 53 двигателей (11016).</w:t>
      </w:r>
    </w:p>
    <w:p w14:paraId="5C9BF1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авиационных боеприпасов за 1941-1945 гг. (в штуках и тоннах)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349"/>
        <w:gridCol w:w="964"/>
        <w:gridCol w:w="964"/>
        <w:gridCol w:w="745"/>
        <w:gridCol w:w="613"/>
        <w:gridCol w:w="345"/>
        <w:gridCol w:w="345"/>
        <w:gridCol w:w="345"/>
        <w:gridCol w:w="345"/>
        <w:gridCol w:w="302"/>
        <w:gridCol w:w="345"/>
        <w:gridCol w:w="345"/>
        <w:gridCol w:w="345"/>
      </w:tblGrid>
      <w:tr w:rsidR="000F5689" w:rsidRPr="00925F26" w14:paraId="0946A58D" w14:textId="77777777" w:rsidTr="00665165">
        <w:tc>
          <w:tcPr>
            <w:tcW w:w="3349" w:type="dxa"/>
            <w:tcBorders>
              <w:top w:val="single" w:sz="12" w:space="0" w:color="000000"/>
            </w:tcBorders>
          </w:tcPr>
          <w:p w14:paraId="65949B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Наименование авиационных боеприпасов</w:t>
            </w:r>
          </w:p>
        </w:tc>
        <w:tc>
          <w:tcPr>
            <w:tcW w:w="964" w:type="dxa"/>
            <w:gridSpan w:val="10"/>
            <w:tcBorders>
              <w:top w:val="single" w:sz="12" w:space="0" w:color="000000"/>
            </w:tcBorders>
          </w:tcPr>
          <w:p w14:paraId="112402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авиационных боеприпасов по годам</w:t>
            </w:r>
          </w:p>
        </w:tc>
        <w:tc>
          <w:tcPr>
            <w:tcW w:w="345" w:type="dxa"/>
            <w:gridSpan w:val="2"/>
            <w:tcBorders>
              <w:top w:val="single" w:sz="12" w:space="0" w:color="000000"/>
            </w:tcBorders>
          </w:tcPr>
          <w:p w14:paraId="2D82AD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4F69803F" w14:textId="77777777" w:rsidTr="00665165">
        <w:tc>
          <w:tcPr>
            <w:tcW w:w="3349" w:type="dxa"/>
          </w:tcPr>
          <w:p w14:paraId="7649BF7A" w14:textId="77777777" w:rsidR="00665165" w:rsidRPr="00925F26" w:rsidRDefault="00665165" w:rsidP="00925F26">
            <w:pPr>
              <w:autoSpaceDE w:val="0"/>
              <w:autoSpaceDN w:val="0"/>
              <w:adjustRightInd w:val="0"/>
              <w:jc w:val="both"/>
              <w:rPr>
                <w:color w:val="000000" w:themeColor="text1"/>
                <w:sz w:val="16"/>
                <w:szCs w:val="16"/>
              </w:rPr>
            </w:pPr>
          </w:p>
        </w:tc>
        <w:tc>
          <w:tcPr>
            <w:tcW w:w="964" w:type="dxa"/>
            <w:gridSpan w:val="2"/>
          </w:tcPr>
          <w:p w14:paraId="0643A0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w:t>
            </w:r>
          </w:p>
        </w:tc>
        <w:tc>
          <w:tcPr>
            <w:tcW w:w="745" w:type="dxa"/>
            <w:gridSpan w:val="2"/>
          </w:tcPr>
          <w:p w14:paraId="6B6E98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345" w:type="dxa"/>
            <w:gridSpan w:val="2"/>
          </w:tcPr>
          <w:p w14:paraId="0CDFCF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345" w:type="dxa"/>
            <w:gridSpan w:val="2"/>
          </w:tcPr>
          <w:p w14:paraId="011A51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302" w:type="dxa"/>
            <w:gridSpan w:val="2"/>
          </w:tcPr>
          <w:p w14:paraId="69ABCE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c>
          <w:tcPr>
            <w:tcW w:w="345" w:type="dxa"/>
            <w:gridSpan w:val="2"/>
          </w:tcPr>
          <w:p w14:paraId="7F1B250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A58459F" w14:textId="77777777">
        <w:tc>
          <w:tcPr>
            <w:tcW w:w="3349" w:type="dxa"/>
          </w:tcPr>
          <w:p w14:paraId="1D69DBF6"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012835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964" w:type="dxa"/>
          </w:tcPr>
          <w:p w14:paraId="7E992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745" w:type="dxa"/>
          </w:tcPr>
          <w:p w14:paraId="557D8F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613" w:type="dxa"/>
          </w:tcPr>
          <w:p w14:paraId="4D053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345" w:type="dxa"/>
          </w:tcPr>
          <w:p w14:paraId="5B3403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345" w:type="dxa"/>
          </w:tcPr>
          <w:p w14:paraId="75814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345" w:type="dxa"/>
          </w:tcPr>
          <w:p w14:paraId="7C2AD0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345" w:type="dxa"/>
          </w:tcPr>
          <w:p w14:paraId="11823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302" w:type="dxa"/>
          </w:tcPr>
          <w:p w14:paraId="4BA0B6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345" w:type="dxa"/>
          </w:tcPr>
          <w:p w14:paraId="6F866E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c>
          <w:tcPr>
            <w:tcW w:w="345" w:type="dxa"/>
          </w:tcPr>
          <w:p w14:paraId="133E4D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w:t>
            </w:r>
          </w:p>
        </w:tc>
        <w:tc>
          <w:tcPr>
            <w:tcW w:w="345" w:type="dxa"/>
          </w:tcPr>
          <w:p w14:paraId="58268F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поставка</w:t>
            </w:r>
          </w:p>
        </w:tc>
      </w:tr>
      <w:tr w:rsidR="000F5689" w:rsidRPr="00925F26" w14:paraId="59E8D50D" w14:textId="77777777">
        <w:tc>
          <w:tcPr>
            <w:tcW w:w="3349" w:type="dxa"/>
          </w:tcPr>
          <w:p w14:paraId="0773D1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64" w:type="dxa"/>
          </w:tcPr>
          <w:p w14:paraId="01384B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964" w:type="dxa"/>
          </w:tcPr>
          <w:p w14:paraId="67A322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745" w:type="dxa"/>
          </w:tcPr>
          <w:p w14:paraId="78653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613" w:type="dxa"/>
          </w:tcPr>
          <w:p w14:paraId="5E16EC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308A2A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45" w:type="dxa"/>
          </w:tcPr>
          <w:p w14:paraId="3F823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014A7D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345" w:type="dxa"/>
          </w:tcPr>
          <w:p w14:paraId="21C47F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302" w:type="dxa"/>
          </w:tcPr>
          <w:p w14:paraId="0A671A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345" w:type="dxa"/>
          </w:tcPr>
          <w:p w14:paraId="306B26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345" w:type="dxa"/>
          </w:tcPr>
          <w:p w14:paraId="19B7CE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345" w:type="dxa"/>
          </w:tcPr>
          <w:p w14:paraId="3B8AE1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r>
      <w:tr w:rsidR="000F5689" w:rsidRPr="00925F26" w14:paraId="0B870BB8" w14:textId="77777777" w:rsidTr="00665165">
        <w:tc>
          <w:tcPr>
            <w:tcW w:w="3349" w:type="dxa"/>
            <w:gridSpan w:val="13"/>
          </w:tcPr>
          <w:p w14:paraId="544238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Авиационные бомбы</w:t>
            </w:r>
          </w:p>
        </w:tc>
      </w:tr>
      <w:tr w:rsidR="000F5689" w:rsidRPr="00925F26" w14:paraId="69F649C0" w14:textId="77777777">
        <w:tc>
          <w:tcPr>
            <w:tcW w:w="3349" w:type="dxa"/>
          </w:tcPr>
          <w:p w14:paraId="56D944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фугасные</w:t>
            </w:r>
          </w:p>
        </w:tc>
        <w:tc>
          <w:tcPr>
            <w:tcW w:w="964" w:type="dxa"/>
          </w:tcPr>
          <w:p w14:paraId="682B4D9F"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604DCB3D"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237AD461"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3A32525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78CFFC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73CABD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D9A16D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B6A78D1"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0EA9AD7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E6F6E6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3EBB259"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425D20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472E010" w14:textId="77777777">
        <w:tc>
          <w:tcPr>
            <w:tcW w:w="3349" w:type="dxa"/>
          </w:tcPr>
          <w:p w14:paraId="28783F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ФАБ-5000</w:t>
            </w:r>
          </w:p>
        </w:tc>
        <w:tc>
          <w:tcPr>
            <w:tcW w:w="964" w:type="dxa"/>
          </w:tcPr>
          <w:p w14:paraId="2825983B"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454DD74A"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56491324"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C701D1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4184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w:t>
            </w:r>
          </w:p>
        </w:tc>
        <w:tc>
          <w:tcPr>
            <w:tcW w:w="345" w:type="dxa"/>
          </w:tcPr>
          <w:p w14:paraId="32C102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w:t>
            </w:r>
          </w:p>
        </w:tc>
        <w:tc>
          <w:tcPr>
            <w:tcW w:w="345" w:type="dxa"/>
          </w:tcPr>
          <w:p w14:paraId="318199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345" w:type="dxa"/>
          </w:tcPr>
          <w:p w14:paraId="53E18B03"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0E9ECC9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D1C19F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A1D19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345" w:type="dxa"/>
          </w:tcPr>
          <w:p w14:paraId="0971F9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w:t>
            </w:r>
          </w:p>
        </w:tc>
      </w:tr>
      <w:tr w:rsidR="000F5689" w:rsidRPr="00925F26" w14:paraId="0349AD1A" w14:textId="77777777">
        <w:tc>
          <w:tcPr>
            <w:tcW w:w="3349" w:type="dxa"/>
          </w:tcPr>
          <w:p w14:paraId="760AB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ФАБ-2000</w:t>
            </w:r>
          </w:p>
        </w:tc>
        <w:tc>
          <w:tcPr>
            <w:tcW w:w="964" w:type="dxa"/>
          </w:tcPr>
          <w:p w14:paraId="13FFB4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w:t>
            </w:r>
          </w:p>
        </w:tc>
        <w:tc>
          <w:tcPr>
            <w:tcW w:w="964" w:type="dxa"/>
          </w:tcPr>
          <w:p w14:paraId="53B6FC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173</w:t>
            </w:r>
          </w:p>
        </w:tc>
        <w:tc>
          <w:tcPr>
            <w:tcW w:w="745" w:type="dxa"/>
          </w:tcPr>
          <w:p w14:paraId="2E11B8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613" w:type="dxa"/>
          </w:tcPr>
          <w:p w14:paraId="78EDA2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345" w:type="dxa"/>
          </w:tcPr>
          <w:p w14:paraId="4F827B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345" w:type="dxa"/>
          </w:tcPr>
          <w:p w14:paraId="5BD918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w:t>
            </w:r>
          </w:p>
        </w:tc>
        <w:tc>
          <w:tcPr>
            <w:tcW w:w="345" w:type="dxa"/>
          </w:tcPr>
          <w:p w14:paraId="329290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455</w:t>
            </w:r>
          </w:p>
        </w:tc>
        <w:tc>
          <w:tcPr>
            <w:tcW w:w="345" w:type="dxa"/>
          </w:tcPr>
          <w:p w14:paraId="3BC56C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471</w:t>
            </w:r>
          </w:p>
        </w:tc>
        <w:tc>
          <w:tcPr>
            <w:tcW w:w="302" w:type="dxa"/>
          </w:tcPr>
          <w:p w14:paraId="1FD6DB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w:t>
            </w:r>
          </w:p>
        </w:tc>
        <w:tc>
          <w:tcPr>
            <w:tcW w:w="345" w:type="dxa"/>
          </w:tcPr>
          <w:p w14:paraId="10BFAC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345" w:type="dxa"/>
          </w:tcPr>
          <w:p w14:paraId="243DF4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1191</w:t>
            </w:r>
          </w:p>
        </w:tc>
        <w:tc>
          <w:tcPr>
            <w:tcW w:w="345" w:type="dxa"/>
          </w:tcPr>
          <w:p w14:paraId="77DD63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1109</w:t>
            </w:r>
          </w:p>
        </w:tc>
      </w:tr>
      <w:tr w:rsidR="000F5689" w:rsidRPr="00925F26" w14:paraId="4FECD605" w14:textId="77777777">
        <w:tc>
          <w:tcPr>
            <w:tcW w:w="3349" w:type="dxa"/>
          </w:tcPr>
          <w:p w14:paraId="3C826F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ФАБ-1000</w:t>
            </w:r>
          </w:p>
        </w:tc>
        <w:tc>
          <w:tcPr>
            <w:tcW w:w="964" w:type="dxa"/>
          </w:tcPr>
          <w:p w14:paraId="7308C0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1970</w:t>
            </w:r>
          </w:p>
        </w:tc>
        <w:tc>
          <w:tcPr>
            <w:tcW w:w="964" w:type="dxa"/>
          </w:tcPr>
          <w:p w14:paraId="31BBBD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2017</w:t>
            </w:r>
          </w:p>
        </w:tc>
        <w:tc>
          <w:tcPr>
            <w:tcW w:w="745" w:type="dxa"/>
          </w:tcPr>
          <w:p w14:paraId="0A5787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w:t>
            </w:r>
          </w:p>
        </w:tc>
        <w:tc>
          <w:tcPr>
            <w:tcW w:w="613" w:type="dxa"/>
          </w:tcPr>
          <w:p w14:paraId="5B02B2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203</w:t>
            </w:r>
          </w:p>
        </w:tc>
        <w:tc>
          <w:tcPr>
            <w:tcW w:w="345" w:type="dxa"/>
          </w:tcPr>
          <w:p w14:paraId="11859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1320</w:t>
            </w:r>
          </w:p>
        </w:tc>
        <w:tc>
          <w:tcPr>
            <w:tcW w:w="345" w:type="dxa"/>
          </w:tcPr>
          <w:p w14:paraId="4D592A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958</w:t>
            </w:r>
          </w:p>
        </w:tc>
        <w:tc>
          <w:tcPr>
            <w:tcW w:w="345" w:type="dxa"/>
          </w:tcPr>
          <w:p w14:paraId="70B6A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1045</w:t>
            </w:r>
          </w:p>
        </w:tc>
        <w:tc>
          <w:tcPr>
            <w:tcW w:w="345" w:type="dxa"/>
          </w:tcPr>
          <w:p w14:paraId="2AF8D6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1114</w:t>
            </w:r>
          </w:p>
        </w:tc>
        <w:tc>
          <w:tcPr>
            <w:tcW w:w="302" w:type="dxa"/>
          </w:tcPr>
          <w:p w14:paraId="275A17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605</w:t>
            </w:r>
          </w:p>
        </w:tc>
        <w:tc>
          <w:tcPr>
            <w:tcW w:w="345" w:type="dxa"/>
          </w:tcPr>
          <w:p w14:paraId="4636A0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673</w:t>
            </w:r>
          </w:p>
        </w:tc>
        <w:tc>
          <w:tcPr>
            <w:tcW w:w="345" w:type="dxa"/>
          </w:tcPr>
          <w:p w14:paraId="38AA33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5080</w:t>
            </w:r>
          </w:p>
        </w:tc>
        <w:tc>
          <w:tcPr>
            <w:tcW w:w="345" w:type="dxa"/>
          </w:tcPr>
          <w:p w14:paraId="747F3A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4965</w:t>
            </w:r>
          </w:p>
        </w:tc>
      </w:tr>
      <w:tr w:rsidR="000F5689" w:rsidRPr="00925F26" w14:paraId="00624EBD" w14:textId="77777777">
        <w:tc>
          <w:tcPr>
            <w:tcW w:w="3349" w:type="dxa"/>
          </w:tcPr>
          <w:p w14:paraId="4BDB58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ФАБ-500</w:t>
            </w:r>
          </w:p>
        </w:tc>
        <w:tc>
          <w:tcPr>
            <w:tcW w:w="964" w:type="dxa"/>
          </w:tcPr>
          <w:p w14:paraId="38D59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19315</w:t>
            </w:r>
          </w:p>
        </w:tc>
        <w:tc>
          <w:tcPr>
            <w:tcW w:w="964" w:type="dxa"/>
          </w:tcPr>
          <w:p w14:paraId="754EB6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15761</w:t>
            </w:r>
          </w:p>
        </w:tc>
        <w:tc>
          <w:tcPr>
            <w:tcW w:w="745" w:type="dxa"/>
          </w:tcPr>
          <w:p w14:paraId="67CBB3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11410</w:t>
            </w:r>
          </w:p>
        </w:tc>
        <w:tc>
          <w:tcPr>
            <w:tcW w:w="613" w:type="dxa"/>
          </w:tcPr>
          <w:p w14:paraId="0CB231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11846</w:t>
            </w:r>
          </w:p>
        </w:tc>
        <w:tc>
          <w:tcPr>
            <w:tcW w:w="345" w:type="dxa"/>
          </w:tcPr>
          <w:p w14:paraId="2B2D92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20600</w:t>
            </w:r>
          </w:p>
        </w:tc>
        <w:tc>
          <w:tcPr>
            <w:tcW w:w="345" w:type="dxa"/>
          </w:tcPr>
          <w:p w14:paraId="0E6518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17588</w:t>
            </w:r>
          </w:p>
        </w:tc>
        <w:tc>
          <w:tcPr>
            <w:tcW w:w="345" w:type="dxa"/>
          </w:tcPr>
          <w:p w14:paraId="57789D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44500</w:t>
            </w:r>
          </w:p>
        </w:tc>
        <w:tc>
          <w:tcPr>
            <w:tcW w:w="345" w:type="dxa"/>
          </w:tcPr>
          <w:p w14:paraId="4941D3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44856</w:t>
            </w:r>
          </w:p>
        </w:tc>
        <w:tc>
          <w:tcPr>
            <w:tcW w:w="302" w:type="dxa"/>
          </w:tcPr>
          <w:p w14:paraId="7D5A4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10350</w:t>
            </w:r>
          </w:p>
        </w:tc>
        <w:tc>
          <w:tcPr>
            <w:tcW w:w="345" w:type="dxa"/>
          </w:tcPr>
          <w:p w14:paraId="0B297E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10664</w:t>
            </w:r>
          </w:p>
        </w:tc>
        <w:tc>
          <w:tcPr>
            <w:tcW w:w="345" w:type="dxa"/>
          </w:tcPr>
          <w:p w14:paraId="51F201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106175</w:t>
            </w:r>
          </w:p>
        </w:tc>
        <w:tc>
          <w:tcPr>
            <w:tcW w:w="345" w:type="dxa"/>
          </w:tcPr>
          <w:p w14:paraId="4C269D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100715</w:t>
            </w:r>
          </w:p>
        </w:tc>
      </w:tr>
      <w:tr w:rsidR="000F5689" w:rsidRPr="00925F26" w14:paraId="209D97FC" w14:textId="77777777">
        <w:tc>
          <w:tcPr>
            <w:tcW w:w="3349" w:type="dxa"/>
          </w:tcPr>
          <w:p w14:paraId="567369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ФАБ-250</w:t>
            </w:r>
          </w:p>
        </w:tc>
        <w:tc>
          <w:tcPr>
            <w:tcW w:w="964" w:type="dxa"/>
          </w:tcPr>
          <w:p w14:paraId="24A505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121840</w:t>
            </w:r>
          </w:p>
        </w:tc>
        <w:tc>
          <w:tcPr>
            <w:tcW w:w="964" w:type="dxa"/>
          </w:tcPr>
          <w:p w14:paraId="69C6D4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88807</w:t>
            </w:r>
          </w:p>
        </w:tc>
        <w:tc>
          <w:tcPr>
            <w:tcW w:w="745" w:type="dxa"/>
          </w:tcPr>
          <w:p w14:paraId="0BC65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48380</w:t>
            </w:r>
          </w:p>
        </w:tc>
        <w:tc>
          <w:tcPr>
            <w:tcW w:w="613" w:type="dxa"/>
          </w:tcPr>
          <w:p w14:paraId="53BA9E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56583</w:t>
            </w:r>
          </w:p>
        </w:tc>
        <w:tc>
          <w:tcPr>
            <w:tcW w:w="345" w:type="dxa"/>
          </w:tcPr>
          <w:p w14:paraId="3958E4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117400</w:t>
            </w:r>
          </w:p>
        </w:tc>
        <w:tc>
          <w:tcPr>
            <w:tcW w:w="345" w:type="dxa"/>
          </w:tcPr>
          <w:p w14:paraId="22465A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103126</w:t>
            </w:r>
          </w:p>
        </w:tc>
        <w:tc>
          <w:tcPr>
            <w:tcW w:w="345" w:type="dxa"/>
          </w:tcPr>
          <w:p w14:paraId="7FFDA0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231680</w:t>
            </w:r>
          </w:p>
        </w:tc>
        <w:tc>
          <w:tcPr>
            <w:tcW w:w="345" w:type="dxa"/>
          </w:tcPr>
          <w:p w14:paraId="400509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221285</w:t>
            </w:r>
          </w:p>
        </w:tc>
        <w:tc>
          <w:tcPr>
            <w:tcW w:w="302" w:type="dxa"/>
          </w:tcPr>
          <w:p w14:paraId="1C59C4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26550</w:t>
            </w:r>
          </w:p>
        </w:tc>
        <w:tc>
          <w:tcPr>
            <w:tcW w:w="345" w:type="dxa"/>
          </w:tcPr>
          <w:p w14:paraId="3ACAA3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32887</w:t>
            </w:r>
          </w:p>
        </w:tc>
        <w:tc>
          <w:tcPr>
            <w:tcW w:w="345" w:type="dxa"/>
          </w:tcPr>
          <w:p w14:paraId="0AE458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545850</w:t>
            </w:r>
          </w:p>
        </w:tc>
        <w:tc>
          <w:tcPr>
            <w:tcW w:w="345" w:type="dxa"/>
          </w:tcPr>
          <w:p w14:paraId="751ACF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502688</w:t>
            </w:r>
          </w:p>
        </w:tc>
      </w:tr>
      <w:tr w:rsidR="000F5689" w:rsidRPr="00925F26" w14:paraId="7ED6F654" w14:textId="77777777">
        <w:tc>
          <w:tcPr>
            <w:tcW w:w="3349" w:type="dxa"/>
          </w:tcPr>
          <w:p w14:paraId="58DC4F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ФАБ-100</w:t>
            </w:r>
          </w:p>
        </w:tc>
        <w:tc>
          <w:tcPr>
            <w:tcW w:w="964" w:type="dxa"/>
          </w:tcPr>
          <w:p w14:paraId="16DC06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1042100</w:t>
            </w:r>
          </w:p>
        </w:tc>
        <w:tc>
          <w:tcPr>
            <w:tcW w:w="964" w:type="dxa"/>
          </w:tcPr>
          <w:p w14:paraId="11F27D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723501</w:t>
            </w:r>
          </w:p>
        </w:tc>
        <w:tc>
          <w:tcPr>
            <w:tcW w:w="745" w:type="dxa"/>
          </w:tcPr>
          <w:p w14:paraId="1EC63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807900</w:t>
            </w:r>
          </w:p>
        </w:tc>
        <w:tc>
          <w:tcPr>
            <w:tcW w:w="613" w:type="dxa"/>
          </w:tcPr>
          <w:p w14:paraId="36556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693465</w:t>
            </w:r>
          </w:p>
        </w:tc>
        <w:tc>
          <w:tcPr>
            <w:tcW w:w="345" w:type="dxa"/>
          </w:tcPr>
          <w:p w14:paraId="0542E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1107800</w:t>
            </w:r>
          </w:p>
        </w:tc>
        <w:tc>
          <w:tcPr>
            <w:tcW w:w="345" w:type="dxa"/>
          </w:tcPr>
          <w:p w14:paraId="722EE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957289</w:t>
            </w:r>
          </w:p>
        </w:tc>
        <w:tc>
          <w:tcPr>
            <w:tcW w:w="345" w:type="dxa"/>
          </w:tcPr>
          <w:p w14:paraId="0C1E70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719000</w:t>
            </w:r>
          </w:p>
        </w:tc>
        <w:tc>
          <w:tcPr>
            <w:tcW w:w="345" w:type="dxa"/>
          </w:tcPr>
          <w:p w14:paraId="06D51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769470</w:t>
            </w:r>
          </w:p>
        </w:tc>
        <w:tc>
          <w:tcPr>
            <w:tcW w:w="302" w:type="dxa"/>
          </w:tcPr>
          <w:p w14:paraId="383F3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61500</w:t>
            </w:r>
          </w:p>
        </w:tc>
        <w:tc>
          <w:tcPr>
            <w:tcW w:w="345" w:type="dxa"/>
          </w:tcPr>
          <w:p w14:paraId="6B341D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66314</w:t>
            </w:r>
          </w:p>
        </w:tc>
        <w:tc>
          <w:tcPr>
            <w:tcW w:w="345" w:type="dxa"/>
          </w:tcPr>
          <w:p w14:paraId="494C50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3738300</w:t>
            </w:r>
          </w:p>
        </w:tc>
        <w:tc>
          <w:tcPr>
            <w:tcW w:w="345" w:type="dxa"/>
          </w:tcPr>
          <w:p w14:paraId="0FC475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3210039</w:t>
            </w:r>
          </w:p>
        </w:tc>
      </w:tr>
      <w:tr w:rsidR="000F5689" w:rsidRPr="00925F26" w14:paraId="02027296" w14:textId="77777777">
        <w:tc>
          <w:tcPr>
            <w:tcW w:w="3349" w:type="dxa"/>
          </w:tcPr>
          <w:p w14:paraId="17B4DF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ФАБ-50</w:t>
            </w:r>
          </w:p>
        </w:tc>
        <w:tc>
          <w:tcPr>
            <w:tcW w:w="964" w:type="dxa"/>
          </w:tcPr>
          <w:p w14:paraId="10E6ED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515000</w:t>
            </w:r>
          </w:p>
        </w:tc>
        <w:tc>
          <w:tcPr>
            <w:tcW w:w="964" w:type="dxa"/>
          </w:tcPr>
          <w:p w14:paraId="06351C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247537</w:t>
            </w:r>
          </w:p>
        </w:tc>
        <w:tc>
          <w:tcPr>
            <w:tcW w:w="745" w:type="dxa"/>
          </w:tcPr>
          <w:p w14:paraId="3E9293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320800</w:t>
            </w:r>
          </w:p>
        </w:tc>
        <w:tc>
          <w:tcPr>
            <w:tcW w:w="613" w:type="dxa"/>
          </w:tcPr>
          <w:p w14:paraId="1821D5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116322</w:t>
            </w:r>
          </w:p>
        </w:tc>
        <w:tc>
          <w:tcPr>
            <w:tcW w:w="345" w:type="dxa"/>
          </w:tcPr>
          <w:p w14:paraId="650BB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560000</w:t>
            </w:r>
          </w:p>
        </w:tc>
        <w:tc>
          <w:tcPr>
            <w:tcW w:w="345" w:type="dxa"/>
          </w:tcPr>
          <w:p w14:paraId="0E2404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391048</w:t>
            </w:r>
          </w:p>
        </w:tc>
        <w:tc>
          <w:tcPr>
            <w:tcW w:w="345" w:type="dxa"/>
          </w:tcPr>
          <w:p w14:paraId="16DE98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478000</w:t>
            </w:r>
          </w:p>
        </w:tc>
        <w:tc>
          <w:tcPr>
            <w:tcW w:w="345" w:type="dxa"/>
          </w:tcPr>
          <w:p w14:paraId="7492DE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587350</w:t>
            </w:r>
          </w:p>
        </w:tc>
        <w:tc>
          <w:tcPr>
            <w:tcW w:w="302" w:type="dxa"/>
          </w:tcPr>
          <w:p w14:paraId="417D88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25000</w:t>
            </w:r>
          </w:p>
        </w:tc>
        <w:tc>
          <w:tcPr>
            <w:tcW w:w="345" w:type="dxa"/>
          </w:tcPr>
          <w:p w14:paraId="07E4AF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111346</w:t>
            </w:r>
          </w:p>
        </w:tc>
        <w:tc>
          <w:tcPr>
            <w:tcW w:w="345" w:type="dxa"/>
          </w:tcPr>
          <w:p w14:paraId="6B1E3A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1898800</w:t>
            </w:r>
          </w:p>
        </w:tc>
        <w:tc>
          <w:tcPr>
            <w:tcW w:w="345" w:type="dxa"/>
          </w:tcPr>
          <w:p w14:paraId="01A715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1453603</w:t>
            </w:r>
          </w:p>
        </w:tc>
      </w:tr>
      <w:tr w:rsidR="000F5689" w:rsidRPr="00925F26" w14:paraId="72997E8C" w14:textId="77777777">
        <w:tc>
          <w:tcPr>
            <w:tcW w:w="3349" w:type="dxa"/>
          </w:tcPr>
          <w:p w14:paraId="32F28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штук</w:t>
            </w:r>
          </w:p>
        </w:tc>
        <w:tc>
          <w:tcPr>
            <w:tcW w:w="964" w:type="dxa"/>
          </w:tcPr>
          <w:p w14:paraId="1E2794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1700361</w:t>
            </w:r>
          </w:p>
        </w:tc>
        <w:tc>
          <w:tcPr>
            <w:tcW w:w="964" w:type="dxa"/>
          </w:tcPr>
          <w:p w14:paraId="6F78C9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1077796</w:t>
            </w:r>
          </w:p>
        </w:tc>
        <w:tc>
          <w:tcPr>
            <w:tcW w:w="745" w:type="dxa"/>
          </w:tcPr>
          <w:p w14:paraId="07C9C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1188650</w:t>
            </w:r>
          </w:p>
        </w:tc>
        <w:tc>
          <w:tcPr>
            <w:tcW w:w="613" w:type="dxa"/>
          </w:tcPr>
          <w:p w14:paraId="63C1A3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878456</w:t>
            </w:r>
          </w:p>
        </w:tc>
        <w:tc>
          <w:tcPr>
            <w:tcW w:w="345" w:type="dxa"/>
          </w:tcPr>
          <w:p w14:paraId="16B850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1807620</w:t>
            </w:r>
          </w:p>
        </w:tc>
        <w:tc>
          <w:tcPr>
            <w:tcW w:w="345" w:type="dxa"/>
          </w:tcPr>
          <w:p w14:paraId="37F996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1470341</w:t>
            </w:r>
          </w:p>
        </w:tc>
        <w:tc>
          <w:tcPr>
            <w:tcW w:w="345" w:type="dxa"/>
          </w:tcPr>
          <w:p w14:paraId="7D0F12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1474690</w:t>
            </w:r>
          </w:p>
        </w:tc>
        <w:tc>
          <w:tcPr>
            <w:tcW w:w="345" w:type="dxa"/>
          </w:tcPr>
          <w:p w14:paraId="463731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1624546</w:t>
            </w:r>
          </w:p>
        </w:tc>
        <w:tc>
          <w:tcPr>
            <w:tcW w:w="302" w:type="dxa"/>
          </w:tcPr>
          <w:p w14:paraId="4E80B5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124185</w:t>
            </w:r>
          </w:p>
        </w:tc>
        <w:tc>
          <w:tcPr>
            <w:tcW w:w="345" w:type="dxa"/>
          </w:tcPr>
          <w:p w14:paraId="3ACCC8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222078</w:t>
            </w:r>
          </w:p>
        </w:tc>
        <w:tc>
          <w:tcPr>
            <w:tcW w:w="345" w:type="dxa"/>
          </w:tcPr>
          <w:p w14:paraId="5D3B91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6295506</w:t>
            </w:r>
          </w:p>
        </w:tc>
        <w:tc>
          <w:tcPr>
            <w:tcW w:w="345" w:type="dxa"/>
          </w:tcPr>
          <w:p w14:paraId="51422B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5273217</w:t>
            </w:r>
          </w:p>
        </w:tc>
      </w:tr>
      <w:tr w:rsidR="000F5689" w:rsidRPr="00925F26" w14:paraId="08A87489" w14:textId="77777777">
        <w:tc>
          <w:tcPr>
            <w:tcW w:w="3349" w:type="dxa"/>
          </w:tcPr>
          <w:p w14:paraId="0598A2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964" w:type="dxa"/>
          </w:tcPr>
          <w:p w14:paraId="4BA729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590609</w:t>
            </w:r>
          </w:p>
        </w:tc>
        <w:tc>
          <w:tcPr>
            <w:tcW w:w="964" w:type="dxa"/>
          </w:tcPr>
          <w:p w14:paraId="66DD2C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407379</w:t>
            </w:r>
          </w:p>
        </w:tc>
        <w:tc>
          <w:tcPr>
            <w:tcW w:w="745" w:type="dxa"/>
          </w:tcPr>
          <w:p w14:paraId="4DFF72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119579</w:t>
            </w:r>
          </w:p>
        </w:tc>
        <w:tc>
          <w:tcPr>
            <w:tcW w:w="613" w:type="dxa"/>
          </w:tcPr>
          <w:p w14:paraId="5BDB44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99330</w:t>
            </w:r>
          </w:p>
        </w:tc>
        <w:tc>
          <w:tcPr>
            <w:tcW w:w="345" w:type="dxa"/>
          </w:tcPr>
          <w:p w14:paraId="05E846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188100</w:t>
            </w:r>
          </w:p>
        </w:tc>
        <w:tc>
          <w:tcPr>
            <w:tcW w:w="345" w:type="dxa"/>
          </w:tcPr>
          <w:p w14:paraId="3AE36A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157665</w:t>
            </w:r>
          </w:p>
        </w:tc>
        <w:tc>
          <w:tcPr>
            <w:tcW w:w="345" w:type="dxa"/>
          </w:tcPr>
          <w:p w14:paraId="4168E2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183122</w:t>
            </w:r>
          </w:p>
        </w:tc>
        <w:tc>
          <w:tcPr>
            <w:tcW w:w="345" w:type="dxa"/>
          </w:tcPr>
          <w:p w14:paraId="6FB97D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191698</w:t>
            </w:r>
          </w:p>
        </w:tc>
        <w:tc>
          <w:tcPr>
            <w:tcW w:w="302" w:type="dxa"/>
          </w:tcPr>
          <w:p w14:paraId="3A0568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20610</w:t>
            </w:r>
          </w:p>
        </w:tc>
        <w:tc>
          <w:tcPr>
            <w:tcW w:w="345" w:type="dxa"/>
          </w:tcPr>
          <w:p w14:paraId="7C8873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27456</w:t>
            </w:r>
          </w:p>
        </w:tc>
        <w:tc>
          <w:tcPr>
            <w:tcW w:w="345" w:type="dxa"/>
          </w:tcPr>
          <w:p w14:paraId="19D497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1102020</w:t>
            </w:r>
          </w:p>
        </w:tc>
        <w:tc>
          <w:tcPr>
            <w:tcW w:w="345" w:type="dxa"/>
          </w:tcPr>
          <w:p w14:paraId="0BB3B8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883528</w:t>
            </w:r>
          </w:p>
        </w:tc>
      </w:tr>
      <w:tr w:rsidR="000F5689" w:rsidRPr="00925F26" w14:paraId="28F731F1" w14:textId="77777777">
        <w:tc>
          <w:tcPr>
            <w:tcW w:w="3349" w:type="dxa"/>
          </w:tcPr>
          <w:p w14:paraId="418B6C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бронебойные и бетонобойные</w:t>
            </w:r>
          </w:p>
        </w:tc>
        <w:tc>
          <w:tcPr>
            <w:tcW w:w="964" w:type="dxa"/>
          </w:tcPr>
          <w:p w14:paraId="1CDCEE06"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62A42070"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4D7D54BC"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5C28874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9DAF74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04E218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0685E9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F013240"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7BF1AB5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14756F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8E00F4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6B716E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C6107B8" w14:textId="77777777">
        <w:tc>
          <w:tcPr>
            <w:tcW w:w="3349" w:type="dxa"/>
          </w:tcPr>
          <w:p w14:paraId="2E43B0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БРАБ-1000</w:t>
            </w:r>
          </w:p>
        </w:tc>
        <w:tc>
          <w:tcPr>
            <w:tcW w:w="964" w:type="dxa"/>
          </w:tcPr>
          <w:p w14:paraId="75D284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c>
          <w:tcPr>
            <w:tcW w:w="964" w:type="dxa"/>
          </w:tcPr>
          <w:p w14:paraId="283322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297</w:t>
            </w:r>
          </w:p>
        </w:tc>
        <w:tc>
          <w:tcPr>
            <w:tcW w:w="745" w:type="dxa"/>
          </w:tcPr>
          <w:p w14:paraId="4CC28B90"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5E71008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02F415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FEAAD2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90279E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F0A811C"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1107D6E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4CB490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5BE9D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w:t>
            </w:r>
          </w:p>
        </w:tc>
        <w:tc>
          <w:tcPr>
            <w:tcW w:w="345" w:type="dxa"/>
          </w:tcPr>
          <w:p w14:paraId="6CB44F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297</w:t>
            </w:r>
          </w:p>
        </w:tc>
      </w:tr>
      <w:tr w:rsidR="000F5689" w:rsidRPr="00925F26" w14:paraId="6B9EB60F" w14:textId="77777777">
        <w:tc>
          <w:tcPr>
            <w:tcW w:w="3349" w:type="dxa"/>
          </w:tcPr>
          <w:p w14:paraId="11720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БРАБ-500</w:t>
            </w:r>
          </w:p>
        </w:tc>
        <w:tc>
          <w:tcPr>
            <w:tcW w:w="964" w:type="dxa"/>
          </w:tcPr>
          <w:p w14:paraId="5F2EA4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3470</w:t>
            </w:r>
          </w:p>
        </w:tc>
        <w:tc>
          <w:tcPr>
            <w:tcW w:w="964" w:type="dxa"/>
          </w:tcPr>
          <w:p w14:paraId="1B5A6B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4283</w:t>
            </w:r>
          </w:p>
        </w:tc>
        <w:tc>
          <w:tcPr>
            <w:tcW w:w="745" w:type="dxa"/>
          </w:tcPr>
          <w:p w14:paraId="76D77F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613" w:type="dxa"/>
          </w:tcPr>
          <w:p w14:paraId="44450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345" w:type="dxa"/>
          </w:tcPr>
          <w:p w14:paraId="2729C56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88670F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8A93D5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FA37C4F"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3DE4E20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0BF0B3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C1E28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3740</w:t>
            </w:r>
          </w:p>
        </w:tc>
        <w:tc>
          <w:tcPr>
            <w:tcW w:w="345" w:type="dxa"/>
          </w:tcPr>
          <w:p w14:paraId="7C01C9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4403</w:t>
            </w:r>
          </w:p>
        </w:tc>
      </w:tr>
      <w:tr w:rsidR="000F5689" w:rsidRPr="00925F26" w14:paraId="5BCC012B" w14:textId="77777777">
        <w:tc>
          <w:tcPr>
            <w:tcW w:w="3349" w:type="dxa"/>
          </w:tcPr>
          <w:p w14:paraId="42BB5D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БЕТАБ-250-170-ДС</w:t>
            </w:r>
          </w:p>
        </w:tc>
        <w:tc>
          <w:tcPr>
            <w:tcW w:w="964" w:type="dxa"/>
          </w:tcPr>
          <w:p w14:paraId="28F921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17980</w:t>
            </w:r>
          </w:p>
        </w:tc>
        <w:tc>
          <w:tcPr>
            <w:tcW w:w="964" w:type="dxa"/>
          </w:tcPr>
          <w:p w14:paraId="78979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5885</w:t>
            </w:r>
          </w:p>
        </w:tc>
        <w:tc>
          <w:tcPr>
            <w:tcW w:w="745" w:type="dxa"/>
          </w:tcPr>
          <w:p w14:paraId="6ABAB0F0"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1722E7D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124F83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25389B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9D7C1C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5317FB4"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46FCEDC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03A35B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42BB2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17980</w:t>
            </w:r>
          </w:p>
        </w:tc>
        <w:tc>
          <w:tcPr>
            <w:tcW w:w="345" w:type="dxa"/>
          </w:tcPr>
          <w:p w14:paraId="1B6DBB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5885</w:t>
            </w:r>
          </w:p>
        </w:tc>
      </w:tr>
      <w:tr w:rsidR="000F5689" w:rsidRPr="00925F26" w14:paraId="0084D9D7" w14:textId="77777777">
        <w:tc>
          <w:tcPr>
            <w:tcW w:w="3349" w:type="dxa"/>
          </w:tcPr>
          <w:p w14:paraId="3C55B5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МАБ-250</w:t>
            </w:r>
          </w:p>
        </w:tc>
        <w:tc>
          <w:tcPr>
            <w:tcW w:w="964" w:type="dxa"/>
          </w:tcPr>
          <w:p w14:paraId="3F15328E"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2B4140F0"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0164F8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1625</w:t>
            </w:r>
          </w:p>
        </w:tc>
        <w:tc>
          <w:tcPr>
            <w:tcW w:w="613" w:type="dxa"/>
          </w:tcPr>
          <w:p w14:paraId="199955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1078</w:t>
            </w:r>
          </w:p>
        </w:tc>
        <w:tc>
          <w:tcPr>
            <w:tcW w:w="345" w:type="dxa"/>
          </w:tcPr>
          <w:p w14:paraId="2A7C00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2260</w:t>
            </w:r>
          </w:p>
        </w:tc>
        <w:tc>
          <w:tcPr>
            <w:tcW w:w="345" w:type="dxa"/>
          </w:tcPr>
          <w:p w14:paraId="722601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w:t>
            </w:r>
          </w:p>
        </w:tc>
        <w:tc>
          <w:tcPr>
            <w:tcW w:w="345" w:type="dxa"/>
          </w:tcPr>
          <w:p w14:paraId="37157A2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DFC5E85"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65C2F62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36AD85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4FB54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3885</w:t>
            </w:r>
          </w:p>
        </w:tc>
        <w:tc>
          <w:tcPr>
            <w:tcW w:w="345" w:type="dxa"/>
          </w:tcPr>
          <w:p w14:paraId="28E8A8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2128</w:t>
            </w:r>
          </w:p>
        </w:tc>
      </w:tr>
      <w:tr w:rsidR="000F5689" w:rsidRPr="00925F26" w14:paraId="766AAD57" w14:textId="77777777">
        <w:tc>
          <w:tcPr>
            <w:tcW w:w="3349" w:type="dxa"/>
          </w:tcPr>
          <w:p w14:paraId="03A5C7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штук</w:t>
            </w:r>
          </w:p>
        </w:tc>
        <w:tc>
          <w:tcPr>
            <w:tcW w:w="964" w:type="dxa"/>
          </w:tcPr>
          <w:p w14:paraId="09D11A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21740</w:t>
            </w:r>
          </w:p>
        </w:tc>
        <w:tc>
          <w:tcPr>
            <w:tcW w:w="964" w:type="dxa"/>
          </w:tcPr>
          <w:p w14:paraId="35F96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10465</w:t>
            </w:r>
          </w:p>
        </w:tc>
        <w:tc>
          <w:tcPr>
            <w:tcW w:w="745" w:type="dxa"/>
          </w:tcPr>
          <w:p w14:paraId="3B096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1895</w:t>
            </w:r>
          </w:p>
        </w:tc>
        <w:tc>
          <w:tcPr>
            <w:tcW w:w="613" w:type="dxa"/>
          </w:tcPr>
          <w:p w14:paraId="729F1A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1198</w:t>
            </w:r>
          </w:p>
        </w:tc>
        <w:tc>
          <w:tcPr>
            <w:tcW w:w="345" w:type="dxa"/>
          </w:tcPr>
          <w:p w14:paraId="5CCF95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2260</w:t>
            </w:r>
          </w:p>
        </w:tc>
        <w:tc>
          <w:tcPr>
            <w:tcW w:w="345" w:type="dxa"/>
          </w:tcPr>
          <w:p w14:paraId="22AAE9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w:t>
            </w:r>
          </w:p>
        </w:tc>
        <w:tc>
          <w:tcPr>
            <w:tcW w:w="345" w:type="dxa"/>
          </w:tcPr>
          <w:p w14:paraId="11C5C7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6B7DBC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02" w:type="dxa"/>
          </w:tcPr>
          <w:p w14:paraId="51AFE8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64699B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427793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25895</w:t>
            </w:r>
          </w:p>
        </w:tc>
        <w:tc>
          <w:tcPr>
            <w:tcW w:w="345" w:type="dxa"/>
          </w:tcPr>
          <w:p w14:paraId="00707C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12713</w:t>
            </w:r>
          </w:p>
        </w:tc>
      </w:tr>
      <w:tr w:rsidR="000F5689" w:rsidRPr="00925F26" w14:paraId="303DCF6B" w14:textId="77777777">
        <w:tc>
          <w:tcPr>
            <w:tcW w:w="3349" w:type="dxa"/>
          </w:tcPr>
          <w:p w14:paraId="7588D5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964" w:type="dxa"/>
          </w:tcPr>
          <w:p w14:paraId="1D8392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6866</w:t>
            </w:r>
          </w:p>
        </w:tc>
        <w:tc>
          <w:tcPr>
            <w:tcW w:w="964" w:type="dxa"/>
          </w:tcPr>
          <w:p w14:paraId="5BA0DB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4066</w:t>
            </w:r>
          </w:p>
        </w:tc>
        <w:tc>
          <w:tcPr>
            <w:tcW w:w="745" w:type="dxa"/>
          </w:tcPr>
          <w:p w14:paraId="45077B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w:t>
            </w:r>
          </w:p>
        </w:tc>
        <w:tc>
          <w:tcPr>
            <w:tcW w:w="613" w:type="dxa"/>
          </w:tcPr>
          <w:p w14:paraId="4B2108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w:t>
            </w:r>
          </w:p>
        </w:tc>
        <w:tc>
          <w:tcPr>
            <w:tcW w:w="345" w:type="dxa"/>
          </w:tcPr>
          <w:p w14:paraId="4D51B5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619</w:t>
            </w:r>
          </w:p>
        </w:tc>
        <w:tc>
          <w:tcPr>
            <w:tcW w:w="345" w:type="dxa"/>
          </w:tcPr>
          <w:p w14:paraId="529E9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288</w:t>
            </w:r>
          </w:p>
        </w:tc>
        <w:tc>
          <w:tcPr>
            <w:tcW w:w="345" w:type="dxa"/>
          </w:tcPr>
          <w:p w14:paraId="2A17157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29F1E9E"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3D66699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CECB52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FEF16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8065</w:t>
            </w:r>
          </w:p>
        </w:tc>
        <w:tc>
          <w:tcPr>
            <w:tcW w:w="345" w:type="dxa"/>
          </w:tcPr>
          <w:p w14:paraId="5230AB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4709</w:t>
            </w:r>
          </w:p>
        </w:tc>
      </w:tr>
      <w:tr w:rsidR="000F5689" w:rsidRPr="00925F26" w14:paraId="0FC0EF6A" w14:textId="77777777">
        <w:tc>
          <w:tcPr>
            <w:tcW w:w="3349" w:type="dxa"/>
          </w:tcPr>
          <w:p w14:paraId="4E4B14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осколочные</w:t>
            </w:r>
          </w:p>
        </w:tc>
        <w:tc>
          <w:tcPr>
            <w:tcW w:w="964" w:type="dxa"/>
          </w:tcPr>
          <w:p w14:paraId="314D7BA3"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048CDD2E"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2B0DF3B2"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514AC02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BBAF68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E9183A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F73430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3DF3C56"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261A6C29"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EB42E3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15E059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F0862B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E99AFF5" w14:textId="77777777">
        <w:tc>
          <w:tcPr>
            <w:tcW w:w="3349" w:type="dxa"/>
          </w:tcPr>
          <w:p w14:paraId="77AD67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АО-50-100</w:t>
            </w:r>
          </w:p>
        </w:tc>
        <w:tc>
          <w:tcPr>
            <w:tcW w:w="964" w:type="dxa"/>
          </w:tcPr>
          <w:p w14:paraId="526ABFAD"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64482AE2"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3FA2148A"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7FAD65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CFC8F4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0119D4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ECBFB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146500</w:t>
            </w:r>
          </w:p>
        </w:tc>
        <w:tc>
          <w:tcPr>
            <w:tcW w:w="345" w:type="dxa"/>
          </w:tcPr>
          <w:p w14:paraId="327CF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172906</w:t>
            </w:r>
          </w:p>
        </w:tc>
        <w:tc>
          <w:tcPr>
            <w:tcW w:w="302" w:type="dxa"/>
          </w:tcPr>
          <w:p w14:paraId="7FFA2F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211000</w:t>
            </w:r>
          </w:p>
        </w:tc>
        <w:tc>
          <w:tcPr>
            <w:tcW w:w="345" w:type="dxa"/>
          </w:tcPr>
          <w:p w14:paraId="3BEF51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185980</w:t>
            </w:r>
          </w:p>
        </w:tc>
        <w:tc>
          <w:tcPr>
            <w:tcW w:w="345" w:type="dxa"/>
          </w:tcPr>
          <w:p w14:paraId="67181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357500</w:t>
            </w:r>
          </w:p>
        </w:tc>
        <w:tc>
          <w:tcPr>
            <w:tcW w:w="345" w:type="dxa"/>
          </w:tcPr>
          <w:p w14:paraId="22310B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358886</w:t>
            </w:r>
          </w:p>
        </w:tc>
      </w:tr>
      <w:tr w:rsidR="000F5689" w:rsidRPr="00925F26" w14:paraId="60B723C2" w14:textId="77777777">
        <w:tc>
          <w:tcPr>
            <w:tcW w:w="3349" w:type="dxa"/>
          </w:tcPr>
          <w:p w14:paraId="790028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АО-25-25</w:t>
            </w:r>
          </w:p>
        </w:tc>
        <w:tc>
          <w:tcPr>
            <w:tcW w:w="964" w:type="dxa"/>
          </w:tcPr>
          <w:p w14:paraId="160FBF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501500</w:t>
            </w:r>
          </w:p>
        </w:tc>
        <w:tc>
          <w:tcPr>
            <w:tcW w:w="964" w:type="dxa"/>
          </w:tcPr>
          <w:p w14:paraId="753CBD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267380</w:t>
            </w:r>
          </w:p>
        </w:tc>
        <w:tc>
          <w:tcPr>
            <w:tcW w:w="745" w:type="dxa"/>
          </w:tcPr>
          <w:p w14:paraId="36376A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819100</w:t>
            </w:r>
          </w:p>
        </w:tc>
        <w:tc>
          <w:tcPr>
            <w:tcW w:w="613" w:type="dxa"/>
          </w:tcPr>
          <w:p w14:paraId="06F3D8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550674</w:t>
            </w:r>
          </w:p>
        </w:tc>
        <w:tc>
          <w:tcPr>
            <w:tcW w:w="345" w:type="dxa"/>
          </w:tcPr>
          <w:p w14:paraId="53B6B9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1176000</w:t>
            </w:r>
          </w:p>
        </w:tc>
        <w:tc>
          <w:tcPr>
            <w:tcW w:w="345" w:type="dxa"/>
          </w:tcPr>
          <w:p w14:paraId="23FA7C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1114422</w:t>
            </w:r>
          </w:p>
        </w:tc>
        <w:tc>
          <w:tcPr>
            <w:tcW w:w="345" w:type="dxa"/>
          </w:tcPr>
          <w:p w14:paraId="5B7F2A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799500</w:t>
            </w:r>
          </w:p>
        </w:tc>
        <w:tc>
          <w:tcPr>
            <w:tcW w:w="345" w:type="dxa"/>
          </w:tcPr>
          <w:p w14:paraId="387D28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794734</w:t>
            </w:r>
          </w:p>
        </w:tc>
        <w:tc>
          <w:tcPr>
            <w:tcW w:w="302" w:type="dxa"/>
          </w:tcPr>
          <w:p w14:paraId="348CCE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492500</w:t>
            </w:r>
          </w:p>
        </w:tc>
        <w:tc>
          <w:tcPr>
            <w:tcW w:w="345" w:type="dxa"/>
          </w:tcPr>
          <w:p w14:paraId="18ED3D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395878</w:t>
            </w:r>
          </w:p>
        </w:tc>
        <w:tc>
          <w:tcPr>
            <w:tcW w:w="345" w:type="dxa"/>
          </w:tcPr>
          <w:p w14:paraId="606C0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3788600</w:t>
            </w:r>
          </w:p>
        </w:tc>
        <w:tc>
          <w:tcPr>
            <w:tcW w:w="345" w:type="dxa"/>
          </w:tcPr>
          <w:p w14:paraId="2BEDE6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3123088</w:t>
            </w:r>
          </w:p>
        </w:tc>
      </w:tr>
      <w:tr w:rsidR="000F5689" w:rsidRPr="00925F26" w14:paraId="7572A616" w14:textId="77777777">
        <w:tc>
          <w:tcPr>
            <w:tcW w:w="3349" w:type="dxa"/>
          </w:tcPr>
          <w:p w14:paraId="6CE3AA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АО-15-10-8</w:t>
            </w:r>
          </w:p>
        </w:tc>
        <w:tc>
          <w:tcPr>
            <w:tcW w:w="964" w:type="dxa"/>
          </w:tcPr>
          <w:p w14:paraId="74FFE0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2340000</w:t>
            </w:r>
          </w:p>
        </w:tc>
        <w:tc>
          <w:tcPr>
            <w:tcW w:w="964" w:type="dxa"/>
          </w:tcPr>
          <w:p w14:paraId="1752CE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1671730</w:t>
            </w:r>
          </w:p>
        </w:tc>
        <w:tc>
          <w:tcPr>
            <w:tcW w:w="745" w:type="dxa"/>
          </w:tcPr>
          <w:p w14:paraId="5ECDE6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765000</w:t>
            </w:r>
          </w:p>
        </w:tc>
        <w:tc>
          <w:tcPr>
            <w:tcW w:w="613" w:type="dxa"/>
          </w:tcPr>
          <w:p w14:paraId="1C10D1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946680</w:t>
            </w:r>
          </w:p>
        </w:tc>
        <w:tc>
          <w:tcPr>
            <w:tcW w:w="345" w:type="dxa"/>
          </w:tcPr>
          <w:p w14:paraId="4C5192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260000</w:t>
            </w:r>
          </w:p>
        </w:tc>
        <w:tc>
          <w:tcPr>
            <w:tcW w:w="345" w:type="dxa"/>
          </w:tcPr>
          <w:p w14:paraId="706CA9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608248</w:t>
            </w:r>
          </w:p>
        </w:tc>
        <w:tc>
          <w:tcPr>
            <w:tcW w:w="345" w:type="dxa"/>
          </w:tcPr>
          <w:p w14:paraId="13A634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540000</w:t>
            </w:r>
          </w:p>
        </w:tc>
        <w:tc>
          <w:tcPr>
            <w:tcW w:w="345" w:type="dxa"/>
          </w:tcPr>
          <w:p w14:paraId="6A38DF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397610</w:t>
            </w:r>
          </w:p>
        </w:tc>
        <w:tc>
          <w:tcPr>
            <w:tcW w:w="302" w:type="dxa"/>
          </w:tcPr>
          <w:p w14:paraId="22D5AE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345000</w:t>
            </w:r>
          </w:p>
        </w:tc>
        <w:tc>
          <w:tcPr>
            <w:tcW w:w="345" w:type="dxa"/>
          </w:tcPr>
          <w:p w14:paraId="7A828B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309927</w:t>
            </w:r>
          </w:p>
        </w:tc>
        <w:tc>
          <w:tcPr>
            <w:tcW w:w="345" w:type="dxa"/>
          </w:tcPr>
          <w:p w14:paraId="7D2BAD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4250000</w:t>
            </w:r>
          </w:p>
        </w:tc>
        <w:tc>
          <w:tcPr>
            <w:tcW w:w="345" w:type="dxa"/>
          </w:tcPr>
          <w:p w14:paraId="0FB031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3934195</w:t>
            </w:r>
          </w:p>
        </w:tc>
      </w:tr>
      <w:tr w:rsidR="000F5689" w:rsidRPr="00925F26" w14:paraId="43E6CC71" w14:textId="77777777">
        <w:tc>
          <w:tcPr>
            <w:tcW w:w="3349" w:type="dxa"/>
          </w:tcPr>
          <w:p w14:paraId="4A5A91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АО-2,5</w:t>
            </w:r>
          </w:p>
        </w:tc>
        <w:tc>
          <w:tcPr>
            <w:tcW w:w="964" w:type="dxa"/>
          </w:tcPr>
          <w:p w14:paraId="0F89F1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9227000</w:t>
            </w:r>
          </w:p>
        </w:tc>
        <w:tc>
          <w:tcPr>
            <w:tcW w:w="964" w:type="dxa"/>
          </w:tcPr>
          <w:p w14:paraId="39F3E2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9330877</w:t>
            </w:r>
          </w:p>
        </w:tc>
        <w:tc>
          <w:tcPr>
            <w:tcW w:w="745" w:type="dxa"/>
          </w:tcPr>
          <w:p w14:paraId="5C4B7A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275000</w:t>
            </w:r>
          </w:p>
        </w:tc>
        <w:tc>
          <w:tcPr>
            <w:tcW w:w="613" w:type="dxa"/>
          </w:tcPr>
          <w:p w14:paraId="56AC81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1802980</w:t>
            </w:r>
          </w:p>
        </w:tc>
        <w:tc>
          <w:tcPr>
            <w:tcW w:w="345" w:type="dxa"/>
          </w:tcPr>
          <w:p w14:paraId="32FA87F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03F6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156300</w:t>
            </w:r>
          </w:p>
        </w:tc>
        <w:tc>
          <w:tcPr>
            <w:tcW w:w="345" w:type="dxa"/>
          </w:tcPr>
          <w:p w14:paraId="2BF3B9D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02C41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27140</w:t>
            </w:r>
          </w:p>
        </w:tc>
        <w:tc>
          <w:tcPr>
            <w:tcW w:w="302" w:type="dxa"/>
          </w:tcPr>
          <w:p w14:paraId="7CD4A70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519EA9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E48FA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9502000</w:t>
            </w:r>
          </w:p>
        </w:tc>
        <w:tc>
          <w:tcPr>
            <w:tcW w:w="345" w:type="dxa"/>
          </w:tcPr>
          <w:p w14:paraId="60C36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11317297</w:t>
            </w:r>
          </w:p>
        </w:tc>
      </w:tr>
      <w:tr w:rsidR="000F5689" w:rsidRPr="00925F26" w14:paraId="78F53187" w14:textId="77777777">
        <w:tc>
          <w:tcPr>
            <w:tcW w:w="3349" w:type="dxa"/>
          </w:tcPr>
          <w:p w14:paraId="083DDB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ПТАБ-2,5-1,5</w:t>
            </w:r>
          </w:p>
        </w:tc>
        <w:tc>
          <w:tcPr>
            <w:tcW w:w="964" w:type="dxa"/>
          </w:tcPr>
          <w:p w14:paraId="480A4171"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4C7D6836"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0213C97F"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C25B38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D640F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5525000</w:t>
            </w:r>
          </w:p>
        </w:tc>
        <w:tc>
          <w:tcPr>
            <w:tcW w:w="345" w:type="dxa"/>
          </w:tcPr>
          <w:p w14:paraId="62AD65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5954668</w:t>
            </w:r>
          </w:p>
        </w:tc>
        <w:tc>
          <w:tcPr>
            <w:tcW w:w="345" w:type="dxa"/>
          </w:tcPr>
          <w:p w14:paraId="31134B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6450000</w:t>
            </w:r>
          </w:p>
        </w:tc>
        <w:tc>
          <w:tcPr>
            <w:tcW w:w="345" w:type="dxa"/>
          </w:tcPr>
          <w:p w14:paraId="4C437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6753628</w:t>
            </w:r>
          </w:p>
        </w:tc>
        <w:tc>
          <w:tcPr>
            <w:tcW w:w="302" w:type="dxa"/>
          </w:tcPr>
          <w:p w14:paraId="541503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2100000</w:t>
            </w:r>
          </w:p>
        </w:tc>
        <w:tc>
          <w:tcPr>
            <w:tcW w:w="345" w:type="dxa"/>
          </w:tcPr>
          <w:p w14:paraId="45465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1907620</w:t>
            </w:r>
          </w:p>
        </w:tc>
        <w:tc>
          <w:tcPr>
            <w:tcW w:w="345" w:type="dxa"/>
          </w:tcPr>
          <w:p w14:paraId="35E474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14075000</w:t>
            </w:r>
          </w:p>
        </w:tc>
        <w:tc>
          <w:tcPr>
            <w:tcW w:w="345" w:type="dxa"/>
          </w:tcPr>
          <w:p w14:paraId="1843B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14615916</w:t>
            </w:r>
          </w:p>
        </w:tc>
      </w:tr>
      <w:tr w:rsidR="000F5689" w:rsidRPr="00925F26" w14:paraId="540882C5" w14:textId="77777777">
        <w:tc>
          <w:tcPr>
            <w:tcW w:w="3349" w:type="dxa"/>
          </w:tcPr>
          <w:p w14:paraId="717A0E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ПТАБ-10-2,5</w:t>
            </w:r>
          </w:p>
        </w:tc>
        <w:tc>
          <w:tcPr>
            <w:tcW w:w="964" w:type="dxa"/>
          </w:tcPr>
          <w:p w14:paraId="727B608B"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0233ACC3"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1377567C"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643D9BE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A91E68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A447539"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F51D2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60000</w:t>
            </w:r>
          </w:p>
        </w:tc>
        <w:tc>
          <w:tcPr>
            <w:tcW w:w="345" w:type="dxa"/>
          </w:tcPr>
          <w:p w14:paraId="3102FE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302" w:type="dxa"/>
          </w:tcPr>
          <w:p w14:paraId="5AEAA9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120000</w:t>
            </w:r>
          </w:p>
        </w:tc>
        <w:tc>
          <w:tcPr>
            <w:tcW w:w="345" w:type="dxa"/>
          </w:tcPr>
          <w:p w14:paraId="777F1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86040</w:t>
            </w:r>
          </w:p>
        </w:tc>
        <w:tc>
          <w:tcPr>
            <w:tcW w:w="345" w:type="dxa"/>
          </w:tcPr>
          <w:p w14:paraId="611BEC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180000</w:t>
            </w:r>
          </w:p>
        </w:tc>
        <w:tc>
          <w:tcPr>
            <w:tcW w:w="345" w:type="dxa"/>
          </w:tcPr>
          <w:p w14:paraId="0757F2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113040</w:t>
            </w:r>
          </w:p>
        </w:tc>
      </w:tr>
      <w:tr w:rsidR="000F5689" w:rsidRPr="00925F26" w14:paraId="1DF28364" w14:textId="77777777">
        <w:tc>
          <w:tcPr>
            <w:tcW w:w="3349" w:type="dxa"/>
          </w:tcPr>
          <w:p w14:paraId="658DA3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ОФАБ-100</w:t>
            </w:r>
          </w:p>
        </w:tc>
        <w:tc>
          <w:tcPr>
            <w:tcW w:w="964" w:type="dxa"/>
          </w:tcPr>
          <w:p w14:paraId="05BE6B63"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752A6118"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75DBD565"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0D96715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F85DA0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D0977A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F406EA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5E2CC59"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28C642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23000</w:t>
            </w:r>
          </w:p>
        </w:tc>
        <w:tc>
          <w:tcPr>
            <w:tcW w:w="345" w:type="dxa"/>
          </w:tcPr>
          <w:p w14:paraId="58F516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25420</w:t>
            </w:r>
          </w:p>
        </w:tc>
        <w:tc>
          <w:tcPr>
            <w:tcW w:w="345" w:type="dxa"/>
          </w:tcPr>
          <w:p w14:paraId="4D61E5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23000</w:t>
            </w:r>
          </w:p>
        </w:tc>
        <w:tc>
          <w:tcPr>
            <w:tcW w:w="345" w:type="dxa"/>
          </w:tcPr>
          <w:p w14:paraId="3FAAF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25420</w:t>
            </w:r>
          </w:p>
        </w:tc>
      </w:tr>
      <w:tr w:rsidR="000F5689" w:rsidRPr="00925F26" w14:paraId="6534F714" w14:textId="77777777">
        <w:tc>
          <w:tcPr>
            <w:tcW w:w="3349" w:type="dxa"/>
          </w:tcPr>
          <w:p w14:paraId="7BA755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штук</w:t>
            </w:r>
          </w:p>
        </w:tc>
        <w:tc>
          <w:tcPr>
            <w:tcW w:w="964" w:type="dxa"/>
          </w:tcPr>
          <w:p w14:paraId="5D9024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12068500</w:t>
            </w:r>
          </w:p>
        </w:tc>
        <w:tc>
          <w:tcPr>
            <w:tcW w:w="964" w:type="dxa"/>
          </w:tcPr>
          <w:p w14:paraId="7DDF8A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11269987</w:t>
            </w:r>
          </w:p>
        </w:tc>
        <w:tc>
          <w:tcPr>
            <w:tcW w:w="745" w:type="dxa"/>
          </w:tcPr>
          <w:p w14:paraId="03E1C5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1859100</w:t>
            </w:r>
          </w:p>
        </w:tc>
        <w:tc>
          <w:tcPr>
            <w:tcW w:w="613" w:type="dxa"/>
          </w:tcPr>
          <w:p w14:paraId="076FD3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3300334</w:t>
            </w:r>
          </w:p>
        </w:tc>
        <w:tc>
          <w:tcPr>
            <w:tcW w:w="345" w:type="dxa"/>
          </w:tcPr>
          <w:p w14:paraId="68061C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6961000</w:t>
            </w:r>
          </w:p>
        </w:tc>
        <w:tc>
          <w:tcPr>
            <w:tcW w:w="345" w:type="dxa"/>
          </w:tcPr>
          <w:p w14:paraId="4D7888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7833638</w:t>
            </w:r>
          </w:p>
        </w:tc>
        <w:tc>
          <w:tcPr>
            <w:tcW w:w="345" w:type="dxa"/>
          </w:tcPr>
          <w:p w14:paraId="24183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7996000</w:t>
            </w:r>
          </w:p>
        </w:tc>
        <w:tc>
          <w:tcPr>
            <w:tcW w:w="345" w:type="dxa"/>
          </w:tcPr>
          <w:p w14:paraId="50E57D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8173018</w:t>
            </w:r>
          </w:p>
        </w:tc>
        <w:tc>
          <w:tcPr>
            <w:tcW w:w="302" w:type="dxa"/>
          </w:tcPr>
          <w:p w14:paraId="0F1BD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3291500</w:t>
            </w:r>
          </w:p>
        </w:tc>
        <w:tc>
          <w:tcPr>
            <w:tcW w:w="345" w:type="dxa"/>
          </w:tcPr>
          <w:p w14:paraId="3A0BF5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2910865</w:t>
            </w:r>
          </w:p>
        </w:tc>
        <w:tc>
          <w:tcPr>
            <w:tcW w:w="345" w:type="dxa"/>
          </w:tcPr>
          <w:p w14:paraId="77D03B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32176100</w:t>
            </w:r>
          </w:p>
        </w:tc>
        <w:tc>
          <w:tcPr>
            <w:tcW w:w="345" w:type="dxa"/>
          </w:tcPr>
          <w:p w14:paraId="0A9084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33487842</w:t>
            </w:r>
          </w:p>
        </w:tc>
      </w:tr>
      <w:tr w:rsidR="000F5689" w:rsidRPr="00925F26" w14:paraId="5256F84B" w14:textId="77777777">
        <w:tc>
          <w:tcPr>
            <w:tcW w:w="3349" w:type="dxa"/>
          </w:tcPr>
          <w:p w14:paraId="3BF79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964" w:type="dxa"/>
          </w:tcPr>
          <w:p w14:paraId="257230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66576</w:t>
            </w:r>
          </w:p>
        </w:tc>
        <w:tc>
          <w:tcPr>
            <w:tcW w:w="964" w:type="dxa"/>
          </w:tcPr>
          <w:p w14:paraId="28BCF4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53042</w:t>
            </w:r>
          </w:p>
        </w:tc>
        <w:tc>
          <w:tcPr>
            <w:tcW w:w="745" w:type="dxa"/>
          </w:tcPr>
          <w:p w14:paraId="740642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28119</w:t>
            </w:r>
          </w:p>
        </w:tc>
        <w:tc>
          <w:tcPr>
            <w:tcW w:w="613" w:type="dxa"/>
          </w:tcPr>
          <w:p w14:paraId="2F394B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29032</w:t>
            </w:r>
          </w:p>
        </w:tc>
        <w:tc>
          <w:tcPr>
            <w:tcW w:w="345" w:type="dxa"/>
          </w:tcPr>
          <w:p w14:paraId="44022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36331</w:t>
            </w:r>
          </w:p>
        </w:tc>
        <w:tc>
          <w:tcPr>
            <w:tcW w:w="345" w:type="dxa"/>
          </w:tcPr>
          <w:p w14:paraId="210182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40727</w:t>
            </w:r>
          </w:p>
        </w:tc>
        <w:tc>
          <w:tcPr>
            <w:tcW w:w="345" w:type="dxa"/>
          </w:tcPr>
          <w:p w14:paraId="5205F9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47770</w:t>
            </w:r>
          </w:p>
        </w:tc>
        <w:tc>
          <w:tcPr>
            <w:tcW w:w="345" w:type="dxa"/>
          </w:tcPr>
          <w:p w14:paraId="4A3AE9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48753</w:t>
            </w:r>
          </w:p>
        </w:tc>
        <w:tc>
          <w:tcPr>
            <w:tcW w:w="302" w:type="dxa"/>
          </w:tcPr>
          <w:p w14:paraId="5115FE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41090</w:t>
            </w:r>
          </w:p>
        </w:tc>
        <w:tc>
          <w:tcPr>
            <w:tcW w:w="345" w:type="dxa"/>
          </w:tcPr>
          <w:p w14:paraId="53DFB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36067</w:t>
            </w:r>
          </w:p>
        </w:tc>
        <w:tc>
          <w:tcPr>
            <w:tcW w:w="345" w:type="dxa"/>
          </w:tcPr>
          <w:p w14:paraId="495069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219886</w:t>
            </w:r>
          </w:p>
        </w:tc>
        <w:tc>
          <w:tcPr>
            <w:tcW w:w="345" w:type="dxa"/>
          </w:tcPr>
          <w:p w14:paraId="2CDDC1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207621</w:t>
            </w:r>
          </w:p>
        </w:tc>
      </w:tr>
      <w:tr w:rsidR="000F5689" w:rsidRPr="00925F26" w14:paraId="2E3E6862" w14:textId="77777777">
        <w:tc>
          <w:tcPr>
            <w:tcW w:w="3349" w:type="dxa"/>
          </w:tcPr>
          <w:p w14:paraId="6D8026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зажигательные</w:t>
            </w:r>
          </w:p>
        </w:tc>
        <w:tc>
          <w:tcPr>
            <w:tcW w:w="964" w:type="dxa"/>
          </w:tcPr>
          <w:p w14:paraId="684ADFCB"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1B785E04"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73BB8F2D"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7D70956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31F709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82F66A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D8158E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63B6529"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6FA4C34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EE4CF3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AEE490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2742F1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D90C4B4" w14:textId="77777777">
        <w:tc>
          <w:tcPr>
            <w:tcW w:w="3349" w:type="dxa"/>
          </w:tcPr>
          <w:p w14:paraId="2B373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ЗАБ-500-300-ТШ</w:t>
            </w:r>
          </w:p>
        </w:tc>
        <w:tc>
          <w:tcPr>
            <w:tcW w:w="964" w:type="dxa"/>
          </w:tcPr>
          <w:p w14:paraId="0125B1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14600</w:t>
            </w:r>
          </w:p>
        </w:tc>
        <w:tc>
          <w:tcPr>
            <w:tcW w:w="964" w:type="dxa"/>
          </w:tcPr>
          <w:p w14:paraId="1E0F2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w:t>
            </w:r>
          </w:p>
        </w:tc>
        <w:tc>
          <w:tcPr>
            <w:tcW w:w="745" w:type="dxa"/>
          </w:tcPr>
          <w:p w14:paraId="470AF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1630</w:t>
            </w:r>
          </w:p>
        </w:tc>
        <w:tc>
          <w:tcPr>
            <w:tcW w:w="613" w:type="dxa"/>
          </w:tcPr>
          <w:p w14:paraId="0A1AF3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1065</w:t>
            </w:r>
          </w:p>
        </w:tc>
        <w:tc>
          <w:tcPr>
            <w:tcW w:w="345" w:type="dxa"/>
          </w:tcPr>
          <w:p w14:paraId="470EB3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1805</w:t>
            </w:r>
          </w:p>
        </w:tc>
        <w:tc>
          <w:tcPr>
            <w:tcW w:w="345" w:type="dxa"/>
          </w:tcPr>
          <w:p w14:paraId="1A0770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1995</w:t>
            </w:r>
          </w:p>
        </w:tc>
        <w:tc>
          <w:tcPr>
            <w:tcW w:w="345" w:type="dxa"/>
          </w:tcPr>
          <w:p w14:paraId="2A63DB0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3D575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302" w:type="dxa"/>
          </w:tcPr>
          <w:p w14:paraId="3EFB3C9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74F6EC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D58A1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18035</w:t>
            </w:r>
          </w:p>
        </w:tc>
        <w:tc>
          <w:tcPr>
            <w:tcW w:w="345" w:type="dxa"/>
          </w:tcPr>
          <w:p w14:paraId="5C275F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4005</w:t>
            </w:r>
          </w:p>
        </w:tc>
      </w:tr>
      <w:tr w:rsidR="000F5689" w:rsidRPr="00925F26" w14:paraId="1685AABB" w14:textId="77777777">
        <w:tc>
          <w:tcPr>
            <w:tcW w:w="3349" w:type="dxa"/>
          </w:tcPr>
          <w:p w14:paraId="65D70E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ЗАБ-250-100п</w:t>
            </w:r>
          </w:p>
        </w:tc>
        <w:tc>
          <w:tcPr>
            <w:tcW w:w="964" w:type="dxa"/>
          </w:tcPr>
          <w:p w14:paraId="0656E783"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4EFC325A"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3C2495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10000</w:t>
            </w:r>
          </w:p>
        </w:tc>
        <w:tc>
          <w:tcPr>
            <w:tcW w:w="613" w:type="dxa"/>
          </w:tcPr>
          <w:p w14:paraId="6288B5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12025</w:t>
            </w:r>
          </w:p>
        </w:tc>
        <w:tc>
          <w:tcPr>
            <w:tcW w:w="345" w:type="dxa"/>
          </w:tcPr>
          <w:p w14:paraId="319D6ED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FB17F0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763ECD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F82BDB7"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45B4F0B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9848C0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CFBDA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10000</w:t>
            </w:r>
          </w:p>
        </w:tc>
        <w:tc>
          <w:tcPr>
            <w:tcW w:w="345" w:type="dxa"/>
          </w:tcPr>
          <w:p w14:paraId="64EDEC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12025</w:t>
            </w:r>
          </w:p>
        </w:tc>
      </w:tr>
      <w:tr w:rsidR="000F5689" w:rsidRPr="00925F26" w14:paraId="2983F197" w14:textId="77777777">
        <w:tc>
          <w:tcPr>
            <w:tcW w:w="3349" w:type="dxa"/>
          </w:tcPr>
          <w:p w14:paraId="20F39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ЗАБ-100-40п</w:t>
            </w:r>
          </w:p>
        </w:tc>
        <w:tc>
          <w:tcPr>
            <w:tcW w:w="964" w:type="dxa"/>
          </w:tcPr>
          <w:p w14:paraId="3B5BB414"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481842E0"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65CA5C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37000</w:t>
            </w:r>
          </w:p>
        </w:tc>
        <w:tc>
          <w:tcPr>
            <w:tcW w:w="613" w:type="dxa"/>
          </w:tcPr>
          <w:p w14:paraId="1F4C4F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26789</w:t>
            </w:r>
          </w:p>
        </w:tc>
        <w:tc>
          <w:tcPr>
            <w:tcW w:w="345" w:type="dxa"/>
          </w:tcPr>
          <w:p w14:paraId="4D98A4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345" w:type="dxa"/>
          </w:tcPr>
          <w:p w14:paraId="73F4D6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31401</w:t>
            </w:r>
          </w:p>
        </w:tc>
        <w:tc>
          <w:tcPr>
            <w:tcW w:w="345" w:type="dxa"/>
          </w:tcPr>
          <w:p w14:paraId="12C87AC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01BBB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5549</w:t>
            </w:r>
          </w:p>
        </w:tc>
        <w:tc>
          <w:tcPr>
            <w:tcW w:w="302" w:type="dxa"/>
          </w:tcPr>
          <w:p w14:paraId="3302689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E7282B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A0E03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70500</w:t>
            </w:r>
          </w:p>
        </w:tc>
        <w:tc>
          <w:tcPr>
            <w:tcW w:w="345" w:type="dxa"/>
          </w:tcPr>
          <w:p w14:paraId="56AF98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63739</w:t>
            </w:r>
          </w:p>
        </w:tc>
      </w:tr>
      <w:tr w:rsidR="000F5689" w:rsidRPr="00925F26" w14:paraId="44E2ABBE" w14:textId="77777777">
        <w:tc>
          <w:tcPr>
            <w:tcW w:w="3349" w:type="dxa"/>
          </w:tcPr>
          <w:p w14:paraId="45D80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ЗАБ-100-65-ТШ</w:t>
            </w:r>
          </w:p>
        </w:tc>
        <w:tc>
          <w:tcPr>
            <w:tcW w:w="964" w:type="dxa"/>
          </w:tcPr>
          <w:p w14:paraId="0A9DD5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54200</w:t>
            </w:r>
          </w:p>
        </w:tc>
        <w:tc>
          <w:tcPr>
            <w:tcW w:w="964" w:type="dxa"/>
          </w:tcPr>
          <w:p w14:paraId="64141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440</w:t>
            </w:r>
          </w:p>
        </w:tc>
        <w:tc>
          <w:tcPr>
            <w:tcW w:w="745" w:type="dxa"/>
          </w:tcPr>
          <w:p w14:paraId="7318FF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41600</w:t>
            </w:r>
          </w:p>
        </w:tc>
        <w:tc>
          <w:tcPr>
            <w:tcW w:w="613" w:type="dxa"/>
          </w:tcPr>
          <w:p w14:paraId="20FC20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29577</w:t>
            </w:r>
          </w:p>
        </w:tc>
        <w:tc>
          <w:tcPr>
            <w:tcW w:w="345" w:type="dxa"/>
          </w:tcPr>
          <w:p w14:paraId="03713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26280</w:t>
            </w:r>
          </w:p>
        </w:tc>
        <w:tc>
          <w:tcPr>
            <w:tcW w:w="345" w:type="dxa"/>
          </w:tcPr>
          <w:p w14:paraId="2A0AB9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25804</w:t>
            </w:r>
          </w:p>
        </w:tc>
        <w:tc>
          <w:tcPr>
            <w:tcW w:w="345" w:type="dxa"/>
          </w:tcPr>
          <w:p w14:paraId="788DA8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16400</w:t>
            </w:r>
          </w:p>
        </w:tc>
        <w:tc>
          <w:tcPr>
            <w:tcW w:w="345" w:type="dxa"/>
          </w:tcPr>
          <w:p w14:paraId="6D77BA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23140</w:t>
            </w:r>
          </w:p>
        </w:tc>
        <w:tc>
          <w:tcPr>
            <w:tcW w:w="302" w:type="dxa"/>
          </w:tcPr>
          <w:p w14:paraId="253D896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4CDBCF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3D81E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138480</w:t>
            </w:r>
          </w:p>
        </w:tc>
        <w:tc>
          <w:tcPr>
            <w:tcW w:w="345" w:type="dxa"/>
          </w:tcPr>
          <w:p w14:paraId="350611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78961</w:t>
            </w:r>
          </w:p>
        </w:tc>
      </w:tr>
      <w:tr w:rsidR="000F5689" w:rsidRPr="00925F26" w14:paraId="2D0EAB68" w14:textId="77777777">
        <w:tc>
          <w:tcPr>
            <w:tcW w:w="3349" w:type="dxa"/>
          </w:tcPr>
          <w:p w14:paraId="46E361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ЗАБ-100цк</w:t>
            </w:r>
          </w:p>
        </w:tc>
        <w:tc>
          <w:tcPr>
            <w:tcW w:w="964" w:type="dxa"/>
          </w:tcPr>
          <w:p w14:paraId="1C1019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29000</w:t>
            </w:r>
          </w:p>
        </w:tc>
        <w:tc>
          <w:tcPr>
            <w:tcW w:w="964" w:type="dxa"/>
          </w:tcPr>
          <w:p w14:paraId="30BF74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16479</w:t>
            </w:r>
          </w:p>
        </w:tc>
        <w:tc>
          <w:tcPr>
            <w:tcW w:w="745" w:type="dxa"/>
          </w:tcPr>
          <w:p w14:paraId="3BF3EF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18200</w:t>
            </w:r>
          </w:p>
        </w:tc>
        <w:tc>
          <w:tcPr>
            <w:tcW w:w="613" w:type="dxa"/>
          </w:tcPr>
          <w:p w14:paraId="1837BC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31449</w:t>
            </w:r>
          </w:p>
        </w:tc>
        <w:tc>
          <w:tcPr>
            <w:tcW w:w="345" w:type="dxa"/>
          </w:tcPr>
          <w:p w14:paraId="2D461F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88000</w:t>
            </w:r>
          </w:p>
        </w:tc>
        <w:tc>
          <w:tcPr>
            <w:tcW w:w="345" w:type="dxa"/>
          </w:tcPr>
          <w:p w14:paraId="763594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88209</w:t>
            </w:r>
          </w:p>
        </w:tc>
        <w:tc>
          <w:tcPr>
            <w:tcW w:w="345" w:type="dxa"/>
          </w:tcPr>
          <w:p w14:paraId="00846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115000</w:t>
            </w:r>
          </w:p>
        </w:tc>
        <w:tc>
          <w:tcPr>
            <w:tcW w:w="345" w:type="dxa"/>
          </w:tcPr>
          <w:p w14:paraId="72B3C5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139981</w:t>
            </w:r>
          </w:p>
        </w:tc>
        <w:tc>
          <w:tcPr>
            <w:tcW w:w="302" w:type="dxa"/>
          </w:tcPr>
          <w:p w14:paraId="75B43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21500</w:t>
            </w:r>
          </w:p>
        </w:tc>
        <w:tc>
          <w:tcPr>
            <w:tcW w:w="345" w:type="dxa"/>
          </w:tcPr>
          <w:p w14:paraId="1E4BEF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20893</w:t>
            </w:r>
          </w:p>
        </w:tc>
        <w:tc>
          <w:tcPr>
            <w:tcW w:w="345" w:type="dxa"/>
          </w:tcPr>
          <w:p w14:paraId="62356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271700</w:t>
            </w:r>
          </w:p>
        </w:tc>
        <w:tc>
          <w:tcPr>
            <w:tcW w:w="345" w:type="dxa"/>
          </w:tcPr>
          <w:p w14:paraId="3558DC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297011</w:t>
            </w:r>
          </w:p>
        </w:tc>
      </w:tr>
      <w:tr w:rsidR="000F5689" w:rsidRPr="00925F26" w14:paraId="65E7C120" w14:textId="77777777">
        <w:tc>
          <w:tcPr>
            <w:tcW w:w="3349" w:type="dxa"/>
          </w:tcPr>
          <w:p w14:paraId="26D277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ЗАБ-50тг</w:t>
            </w:r>
          </w:p>
        </w:tc>
        <w:tc>
          <w:tcPr>
            <w:tcW w:w="964" w:type="dxa"/>
          </w:tcPr>
          <w:p w14:paraId="732CC4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360000</w:t>
            </w:r>
          </w:p>
        </w:tc>
        <w:tc>
          <w:tcPr>
            <w:tcW w:w="964" w:type="dxa"/>
          </w:tcPr>
          <w:p w14:paraId="176E9F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106439</w:t>
            </w:r>
          </w:p>
        </w:tc>
        <w:tc>
          <w:tcPr>
            <w:tcW w:w="745" w:type="dxa"/>
          </w:tcPr>
          <w:p w14:paraId="09DC8C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142500</w:t>
            </w:r>
          </w:p>
        </w:tc>
        <w:tc>
          <w:tcPr>
            <w:tcW w:w="613" w:type="dxa"/>
          </w:tcPr>
          <w:p w14:paraId="6D1976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187986</w:t>
            </w:r>
          </w:p>
        </w:tc>
        <w:tc>
          <w:tcPr>
            <w:tcW w:w="345" w:type="dxa"/>
          </w:tcPr>
          <w:p w14:paraId="04D142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67800</w:t>
            </w:r>
          </w:p>
        </w:tc>
        <w:tc>
          <w:tcPr>
            <w:tcW w:w="345" w:type="dxa"/>
          </w:tcPr>
          <w:p w14:paraId="6AEF55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99260</w:t>
            </w:r>
          </w:p>
        </w:tc>
        <w:tc>
          <w:tcPr>
            <w:tcW w:w="345" w:type="dxa"/>
          </w:tcPr>
          <w:p w14:paraId="7AB3B94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BD7CB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9833</w:t>
            </w:r>
          </w:p>
        </w:tc>
        <w:tc>
          <w:tcPr>
            <w:tcW w:w="302" w:type="dxa"/>
          </w:tcPr>
          <w:p w14:paraId="00B2972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E5D433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AE7F6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570300</w:t>
            </w:r>
          </w:p>
        </w:tc>
        <w:tc>
          <w:tcPr>
            <w:tcW w:w="345" w:type="dxa"/>
          </w:tcPr>
          <w:p w14:paraId="6FF35A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403518</w:t>
            </w:r>
          </w:p>
        </w:tc>
      </w:tr>
      <w:tr w:rsidR="000F5689" w:rsidRPr="00925F26" w14:paraId="7112BF88" w14:textId="77777777">
        <w:tc>
          <w:tcPr>
            <w:tcW w:w="3349" w:type="dxa"/>
          </w:tcPr>
          <w:p w14:paraId="06E8DA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ЗАБ-10тг</w:t>
            </w:r>
          </w:p>
        </w:tc>
        <w:tc>
          <w:tcPr>
            <w:tcW w:w="964" w:type="dxa"/>
          </w:tcPr>
          <w:p w14:paraId="2E057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12000</w:t>
            </w:r>
          </w:p>
        </w:tc>
        <w:tc>
          <w:tcPr>
            <w:tcW w:w="964" w:type="dxa"/>
          </w:tcPr>
          <w:p w14:paraId="22DACC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21521</w:t>
            </w:r>
          </w:p>
        </w:tc>
        <w:tc>
          <w:tcPr>
            <w:tcW w:w="745" w:type="dxa"/>
          </w:tcPr>
          <w:p w14:paraId="3EEE0000"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B82CB7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3C3F79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FFEE6A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0E44DF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18F0140"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262FC0E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10830C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2448B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12000</w:t>
            </w:r>
          </w:p>
        </w:tc>
        <w:tc>
          <w:tcPr>
            <w:tcW w:w="345" w:type="dxa"/>
          </w:tcPr>
          <w:p w14:paraId="1A9C16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21521</w:t>
            </w:r>
          </w:p>
        </w:tc>
      </w:tr>
      <w:tr w:rsidR="000F5689" w:rsidRPr="00925F26" w14:paraId="3D1CB554" w14:textId="77777777">
        <w:tc>
          <w:tcPr>
            <w:tcW w:w="3349" w:type="dxa"/>
          </w:tcPr>
          <w:p w14:paraId="774ABB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ЗАБ-2,5 и 1Э</w:t>
            </w:r>
          </w:p>
        </w:tc>
        <w:tc>
          <w:tcPr>
            <w:tcW w:w="964" w:type="dxa"/>
          </w:tcPr>
          <w:p w14:paraId="091235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2204800</w:t>
            </w:r>
          </w:p>
        </w:tc>
        <w:tc>
          <w:tcPr>
            <w:tcW w:w="964" w:type="dxa"/>
          </w:tcPr>
          <w:p w14:paraId="1AA228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1611063</w:t>
            </w:r>
          </w:p>
        </w:tc>
        <w:tc>
          <w:tcPr>
            <w:tcW w:w="745" w:type="dxa"/>
          </w:tcPr>
          <w:p w14:paraId="59ED44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1516500</w:t>
            </w:r>
          </w:p>
        </w:tc>
        <w:tc>
          <w:tcPr>
            <w:tcW w:w="613" w:type="dxa"/>
          </w:tcPr>
          <w:p w14:paraId="7E690A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801008</w:t>
            </w:r>
          </w:p>
        </w:tc>
        <w:tc>
          <w:tcPr>
            <w:tcW w:w="345" w:type="dxa"/>
          </w:tcPr>
          <w:p w14:paraId="1EC8DA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907500</w:t>
            </w:r>
          </w:p>
        </w:tc>
        <w:tc>
          <w:tcPr>
            <w:tcW w:w="345" w:type="dxa"/>
          </w:tcPr>
          <w:p w14:paraId="1A6183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644925</w:t>
            </w:r>
          </w:p>
        </w:tc>
        <w:tc>
          <w:tcPr>
            <w:tcW w:w="345" w:type="dxa"/>
          </w:tcPr>
          <w:p w14:paraId="2A058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175000</w:t>
            </w:r>
          </w:p>
        </w:tc>
        <w:tc>
          <w:tcPr>
            <w:tcW w:w="345" w:type="dxa"/>
          </w:tcPr>
          <w:p w14:paraId="300F5F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143320</w:t>
            </w:r>
          </w:p>
        </w:tc>
        <w:tc>
          <w:tcPr>
            <w:tcW w:w="302" w:type="dxa"/>
          </w:tcPr>
          <w:p w14:paraId="58C5E7E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B5D5D1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7C9C1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4803800</w:t>
            </w:r>
          </w:p>
        </w:tc>
        <w:tc>
          <w:tcPr>
            <w:tcW w:w="345" w:type="dxa"/>
          </w:tcPr>
          <w:p w14:paraId="621AE6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3200316</w:t>
            </w:r>
          </w:p>
        </w:tc>
      </w:tr>
      <w:tr w:rsidR="000F5689" w:rsidRPr="00925F26" w14:paraId="2AC6BD85" w14:textId="77777777">
        <w:tc>
          <w:tcPr>
            <w:tcW w:w="3349" w:type="dxa"/>
          </w:tcPr>
          <w:p w14:paraId="116538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штук</w:t>
            </w:r>
          </w:p>
        </w:tc>
        <w:tc>
          <w:tcPr>
            <w:tcW w:w="964" w:type="dxa"/>
          </w:tcPr>
          <w:p w14:paraId="733735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2674600</w:t>
            </w:r>
          </w:p>
        </w:tc>
        <w:tc>
          <w:tcPr>
            <w:tcW w:w="964" w:type="dxa"/>
          </w:tcPr>
          <w:p w14:paraId="280531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1756692</w:t>
            </w:r>
          </w:p>
        </w:tc>
        <w:tc>
          <w:tcPr>
            <w:tcW w:w="745" w:type="dxa"/>
          </w:tcPr>
          <w:p w14:paraId="6A555D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1767430</w:t>
            </w:r>
          </w:p>
        </w:tc>
        <w:tc>
          <w:tcPr>
            <w:tcW w:w="613" w:type="dxa"/>
          </w:tcPr>
          <w:p w14:paraId="6800D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1089899</w:t>
            </w:r>
          </w:p>
        </w:tc>
        <w:tc>
          <w:tcPr>
            <w:tcW w:w="345" w:type="dxa"/>
          </w:tcPr>
          <w:p w14:paraId="03C2FB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1124885</w:t>
            </w:r>
          </w:p>
        </w:tc>
        <w:tc>
          <w:tcPr>
            <w:tcW w:w="345" w:type="dxa"/>
          </w:tcPr>
          <w:p w14:paraId="6A2A29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891594</w:t>
            </w:r>
          </w:p>
        </w:tc>
        <w:tc>
          <w:tcPr>
            <w:tcW w:w="345" w:type="dxa"/>
          </w:tcPr>
          <w:p w14:paraId="6E79FE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306400</w:t>
            </w:r>
          </w:p>
        </w:tc>
        <w:tc>
          <w:tcPr>
            <w:tcW w:w="345" w:type="dxa"/>
          </w:tcPr>
          <w:p w14:paraId="593306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322018</w:t>
            </w:r>
          </w:p>
        </w:tc>
        <w:tc>
          <w:tcPr>
            <w:tcW w:w="302" w:type="dxa"/>
          </w:tcPr>
          <w:p w14:paraId="157FE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21500</w:t>
            </w:r>
          </w:p>
        </w:tc>
        <w:tc>
          <w:tcPr>
            <w:tcW w:w="345" w:type="dxa"/>
          </w:tcPr>
          <w:p w14:paraId="6656F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20893</w:t>
            </w:r>
          </w:p>
        </w:tc>
        <w:tc>
          <w:tcPr>
            <w:tcW w:w="345" w:type="dxa"/>
          </w:tcPr>
          <w:p w14:paraId="31686A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5894815</w:t>
            </w:r>
          </w:p>
        </w:tc>
        <w:tc>
          <w:tcPr>
            <w:tcW w:w="345" w:type="dxa"/>
          </w:tcPr>
          <w:p w14:paraId="0DD476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4081096</w:t>
            </w:r>
          </w:p>
        </w:tc>
      </w:tr>
      <w:tr w:rsidR="000F5689" w:rsidRPr="00925F26" w14:paraId="33AAB8E5" w14:textId="77777777">
        <w:tc>
          <w:tcPr>
            <w:tcW w:w="3349" w:type="dxa"/>
          </w:tcPr>
          <w:p w14:paraId="256165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964" w:type="dxa"/>
          </w:tcPr>
          <w:p w14:paraId="249290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32657</w:t>
            </w:r>
          </w:p>
        </w:tc>
        <w:tc>
          <w:tcPr>
            <w:tcW w:w="964" w:type="dxa"/>
          </w:tcPr>
          <w:p w14:paraId="25BD4B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10057</w:t>
            </w:r>
          </w:p>
        </w:tc>
        <w:tc>
          <w:tcPr>
            <w:tcW w:w="745" w:type="dxa"/>
          </w:tcPr>
          <w:p w14:paraId="6A0903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17922</w:t>
            </w:r>
          </w:p>
        </w:tc>
        <w:tc>
          <w:tcPr>
            <w:tcW w:w="613" w:type="dxa"/>
          </w:tcPr>
          <w:p w14:paraId="76CB6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19277</w:t>
            </w:r>
          </w:p>
        </w:tc>
        <w:tc>
          <w:tcPr>
            <w:tcW w:w="345" w:type="dxa"/>
          </w:tcPr>
          <w:p w14:paraId="755625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17428</w:t>
            </w:r>
          </w:p>
        </w:tc>
        <w:tc>
          <w:tcPr>
            <w:tcW w:w="345" w:type="dxa"/>
          </w:tcPr>
          <w:p w14:paraId="04FBBE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18515</w:t>
            </w:r>
          </w:p>
        </w:tc>
        <w:tc>
          <w:tcPr>
            <w:tcW w:w="345" w:type="dxa"/>
          </w:tcPr>
          <w:p w14:paraId="48BD08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13902</w:t>
            </w:r>
          </w:p>
        </w:tc>
        <w:tc>
          <w:tcPr>
            <w:tcW w:w="345" w:type="dxa"/>
          </w:tcPr>
          <w:p w14:paraId="16EC38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18184</w:t>
            </w:r>
          </w:p>
        </w:tc>
        <w:tc>
          <w:tcPr>
            <w:tcW w:w="302" w:type="dxa"/>
          </w:tcPr>
          <w:p w14:paraId="7F3F0C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2215</w:t>
            </w:r>
          </w:p>
        </w:tc>
        <w:tc>
          <w:tcPr>
            <w:tcW w:w="345" w:type="dxa"/>
          </w:tcPr>
          <w:p w14:paraId="30CE05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2152</w:t>
            </w:r>
          </w:p>
        </w:tc>
        <w:tc>
          <w:tcPr>
            <w:tcW w:w="345" w:type="dxa"/>
          </w:tcPr>
          <w:p w14:paraId="6AC52C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84124</w:t>
            </w:r>
          </w:p>
        </w:tc>
        <w:tc>
          <w:tcPr>
            <w:tcW w:w="345" w:type="dxa"/>
          </w:tcPr>
          <w:p w14:paraId="2940BD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68185</w:t>
            </w:r>
          </w:p>
        </w:tc>
      </w:tr>
      <w:tr w:rsidR="000F5689" w:rsidRPr="00925F26" w14:paraId="25FB1B1B" w14:textId="77777777">
        <w:tc>
          <w:tcPr>
            <w:tcW w:w="3349" w:type="dxa"/>
          </w:tcPr>
          <w:p w14:paraId="3783EA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светящиеся авиабомбы</w:t>
            </w:r>
          </w:p>
        </w:tc>
        <w:tc>
          <w:tcPr>
            <w:tcW w:w="964" w:type="dxa"/>
          </w:tcPr>
          <w:p w14:paraId="5AB7E6A4"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5C181890"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2373373D"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161ADA5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F379B9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357E09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D4FF5A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F9081C8"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35CF954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79E5A1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0F254D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BAE3A3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6B84D7F" w14:textId="77777777">
        <w:tc>
          <w:tcPr>
            <w:tcW w:w="3349" w:type="dxa"/>
          </w:tcPr>
          <w:p w14:paraId="2D4BA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САБ-100-55</w:t>
            </w:r>
          </w:p>
        </w:tc>
        <w:tc>
          <w:tcPr>
            <w:tcW w:w="964" w:type="dxa"/>
          </w:tcPr>
          <w:p w14:paraId="499AF5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14400</w:t>
            </w:r>
          </w:p>
        </w:tc>
        <w:tc>
          <w:tcPr>
            <w:tcW w:w="964" w:type="dxa"/>
          </w:tcPr>
          <w:p w14:paraId="58D430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972</w:t>
            </w:r>
          </w:p>
        </w:tc>
        <w:tc>
          <w:tcPr>
            <w:tcW w:w="745" w:type="dxa"/>
          </w:tcPr>
          <w:p w14:paraId="5F4660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31800</w:t>
            </w:r>
          </w:p>
        </w:tc>
        <w:tc>
          <w:tcPr>
            <w:tcW w:w="613" w:type="dxa"/>
          </w:tcPr>
          <w:p w14:paraId="2A029F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16529</w:t>
            </w:r>
          </w:p>
        </w:tc>
        <w:tc>
          <w:tcPr>
            <w:tcW w:w="345" w:type="dxa"/>
          </w:tcPr>
          <w:p w14:paraId="41ABCF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50650</w:t>
            </w:r>
          </w:p>
        </w:tc>
        <w:tc>
          <w:tcPr>
            <w:tcW w:w="345" w:type="dxa"/>
          </w:tcPr>
          <w:p w14:paraId="774BE6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56037</w:t>
            </w:r>
          </w:p>
        </w:tc>
        <w:tc>
          <w:tcPr>
            <w:tcW w:w="345" w:type="dxa"/>
          </w:tcPr>
          <w:p w14:paraId="35D50D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66200</w:t>
            </w:r>
          </w:p>
        </w:tc>
        <w:tc>
          <w:tcPr>
            <w:tcW w:w="345" w:type="dxa"/>
          </w:tcPr>
          <w:p w14:paraId="49849E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60440</w:t>
            </w:r>
          </w:p>
        </w:tc>
        <w:tc>
          <w:tcPr>
            <w:tcW w:w="302" w:type="dxa"/>
          </w:tcPr>
          <w:p w14:paraId="7FC95C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25600</w:t>
            </w:r>
          </w:p>
        </w:tc>
        <w:tc>
          <w:tcPr>
            <w:tcW w:w="345" w:type="dxa"/>
          </w:tcPr>
          <w:p w14:paraId="6AEF41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24246</w:t>
            </w:r>
          </w:p>
        </w:tc>
        <w:tc>
          <w:tcPr>
            <w:tcW w:w="345" w:type="dxa"/>
          </w:tcPr>
          <w:p w14:paraId="77A4DD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188650</w:t>
            </w:r>
          </w:p>
        </w:tc>
        <w:tc>
          <w:tcPr>
            <w:tcW w:w="345" w:type="dxa"/>
          </w:tcPr>
          <w:p w14:paraId="0ADCE1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158224</w:t>
            </w:r>
          </w:p>
        </w:tc>
      </w:tr>
      <w:tr w:rsidR="000F5689" w:rsidRPr="00925F26" w14:paraId="4E217967" w14:textId="77777777">
        <w:tc>
          <w:tcPr>
            <w:tcW w:w="3349" w:type="dxa"/>
          </w:tcPr>
          <w:p w14:paraId="7781F7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САБ-50-15 и 25</w:t>
            </w:r>
          </w:p>
        </w:tc>
        <w:tc>
          <w:tcPr>
            <w:tcW w:w="964" w:type="dxa"/>
          </w:tcPr>
          <w:p w14:paraId="5001A9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117400</w:t>
            </w:r>
          </w:p>
        </w:tc>
        <w:tc>
          <w:tcPr>
            <w:tcW w:w="964" w:type="dxa"/>
          </w:tcPr>
          <w:p w14:paraId="6AC5A5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16464</w:t>
            </w:r>
          </w:p>
        </w:tc>
        <w:tc>
          <w:tcPr>
            <w:tcW w:w="745" w:type="dxa"/>
          </w:tcPr>
          <w:p w14:paraId="3B6E0F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68000</w:t>
            </w:r>
          </w:p>
        </w:tc>
        <w:tc>
          <w:tcPr>
            <w:tcW w:w="613" w:type="dxa"/>
          </w:tcPr>
          <w:p w14:paraId="08599C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33640</w:t>
            </w:r>
          </w:p>
        </w:tc>
        <w:tc>
          <w:tcPr>
            <w:tcW w:w="345" w:type="dxa"/>
          </w:tcPr>
          <w:p w14:paraId="70D2E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67340</w:t>
            </w:r>
          </w:p>
        </w:tc>
        <w:tc>
          <w:tcPr>
            <w:tcW w:w="345" w:type="dxa"/>
          </w:tcPr>
          <w:p w14:paraId="665E30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43644</w:t>
            </w:r>
          </w:p>
        </w:tc>
        <w:tc>
          <w:tcPr>
            <w:tcW w:w="345" w:type="dxa"/>
          </w:tcPr>
          <w:p w14:paraId="467D89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57850</w:t>
            </w:r>
          </w:p>
        </w:tc>
        <w:tc>
          <w:tcPr>
            <w:tcW w:w="345" w:type="dxa"/>
          </w:tcPr>
          <w:p w14:paraId="58FDBB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29904</w:t>
            </w:r>
          </w:p>
        </w:tc>
        <w:tc>
          <w:tcPr>
            <w:tcW w:w="302" w:type="dxa"/>
          </w:tcPr>
          <w:p w14:paraId="190A9E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20300</w:t>
            </w:r>
          </w:p>
        </w:tc>
        <w:tc>
          <w:tcPr>
            <w:tcW w:w="345" w:type="dxa"/>
          </w:tcPr>
          <w:p w14:paraId="476F97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10606</w:t>
            </w:r>
          </w:p>
        </w:tc>
        <w:tc>
          <w:tcPr>
            <w:tcW w:w="345" w:type="dxa"/>
          </w:tcPr>
          <w:p w14:paraId="1F01AB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330890</w:t>
            </w:r>
          </w:p>
        </w:tc>
        <w:tc>
          <w:tcPr>
            <w:tcW w:w="345" w:type="dxa"/>
          </w:tcPr>
          <w:p w14:paraId="1E0C04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134258</w:t>
            </w:r>
          </w:p>
        </w:tc>
      </w:tr>
      <w:tr w:rsidR="000F5689" w:rsidRPr="00925F26" w14:paraId="1831CDE2" w14:textId="77777777">
        <w:tc>
          <w:tcPr>
            <w:tcW w:w="3349" w:type="dxa"/>
          </w:tcPr>
          <w:p w14:paraId="753B36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САБ-3М</w:t>
            </w:r>
          </w:p>
        </w:tc>
        <w:tc>
          <w:tcPr>
            <w:tcW w:w="964" w:type="dxa"/>
          </w:tcPr>
          <w:p w14:paraId="7B96E9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45000</w:t>
            </w:r>
          </w:p>
        </w:tc>
        <w:tc>
          <w:tcPr>
            <w:tcW w:w="964" w:type="dxa"/>
          </w:tcPr>
          <w:p w14:paraId="679212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53424</w:t>
            </w:r>
          </w:p>
        </w:tc>
        <w:tc>
          <w:tcPr>
            <w:tcW w:w="745" w:type="dxa"/>
          </w:tcPr>
          <w:p w14:paraId="69E3BCBB"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60CC471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7D14D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23000</w:t>
            </w:r>
          </w:p>
        </w:tc>
        <w:tc>
          <w:tcPr>
            <w:tcW w:w="345" w:type="dxa"/>
          </w:tcPr>
          <w:p w14:paraId="539313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25684</w:t>
            </w:r>
          </w:p>
        </w:tc>
        <w:tc>
          <w:tcPr>
            <w:tcW w:w="345" w:type="dxa"/>
          </w:tcPr>
          <w:p w14:paraId="4C5D20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101000</w:t>
            </w:r>
          </w:p>
        </w:tc>
        <w:tc>
          <w:tcPr>
            <w:tcW w:w="345" w:type="dxa"/>
          </w:tcPr>
          <w:p w14:paraId="2BB3C7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98397</w:t>
            </w:r>
          </w:p>
        </w:tc>
        <w:tc>
          <w:tcPr>
            <w:tcW w:w="302" w:type="dxa"/>
          </w:tcPr>
          <w:p w14:paraId="2AE748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40000</w:t>
            </w:r>
          </w:p>
        </w:tc>
        <w:tc>
          <w:tcPr>
            <w:tcW w:w="345" w:type="dxa"/>
          </w:tcPr>
          <w:p w14:paraId="05C826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38304</w:t>
            </w:r>
          </w:p>
        </w:tc>
        <w:tc>
          <w:tcPr>
            <w:tcW w:w="345" w:type="dxa"/>
          </w:tcPr>
          <w:p w14:paraId="6A8B6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209000</w:t>
            </w:r>
          </w:p>
        </w:tc>
        <w:tc>
          <w:tcPr>
            <w:tcW w:w="345" w:type="dxa"/>
          </w:tcPr>
          <w:p w14:paraId="01AB00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215809</w:t>
            </w:r>
          </w:p>
        </w:tc>
      </w:tr>
      <w:tr w:rsidR="000F5689" w:rsidRPr="00925F26" w14:paraId="4E5F7720" w14:textId="77777777">
        <w:tc>
          <w:tcPr>
            <w:tcW w:w="3349" w:type="dxa"/>
          </w:tcPr>
          <w:p w14:paraId="49B418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ФОТАБ-100-65</w:t>
            </w:r>
          </w:p>
        </w:tc>
        <w:tc>
          <w:tcPr>
            <w:tcW w:w="964" w:type="dxa"/>
          </w:tcPr>
          <w:p w14:paraId="1D14C0C7"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4034495E"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30EF6208"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6A90A04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9628A2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45BE93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50FC3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c>
          <w:tcPr>
            <w:tcW w:w="345" w:type="dxa"/>
          </w:tcPr>
          <w:p w14:paraId="38DAEFE6"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42321DE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7B0F39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A7EB4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c>
          <w:tcPr>
            <w:tcW w:w="345" w:type="dxa"/>
          </w:tcPr>
          <w:p w14:paraId="69E697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3D2EC3DA" w14:textId="77777777">
        <w:tc>
          <w:tcPr>
            <w:tcW w:w="3349" w:type="dxa"/>
          </w:tcPr>
          <w:p w14:paraId="3F69F5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ФОТАБ-50-35</w:t>
            </w:r>
          </w:p>
        </w:tc>
        <w:tc>
          <w:tcPr>
            <w:tcW w:w="964" w:type="dxa"/>
          </w:tcPr>
          <w:p w14:paraId="5EFCC2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15400</w:t>
            </w:r>
          </w:p>
        </w:tc>
        <w:tc>
          <w:tcPr>
            <w:tcW w:w="964" w:type="dxa"/>
          </w:tcPr>
          <w:p w14:paraId="21C0E0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5598</w:t>
            </w:r>
          </w:p>
        </w:tc>
        <w:tc>
          <w:tcPr>
            <w:tcW w:w="745" w:type="dxa"/>
          </w:tcPr>
          <w:p w14:paraId="7F749E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15300</w:t>
            </w:r>
          </w:p>
        </w:tc>
        <w:tc>
          <w:tcPr>
            <w:tcW w:w="613" w:type="dxa"/>
          </w:tcPr>
          <w:p w14:paraId="3800D7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13346</w:t>
            </w:r>
          </w:p>
        </w:tc>
        <w:tc>
          <w:tcPr>
            <w:tcW w:w="345" w:type="dxa"/>
          </w:tcPr>
          <w:p w14:paraId="135997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11600</w:t>
            </w:r>
          </w:p>
        </w:tc>
        <w:tc>
          <w:tcPr>
            <w:tcW w:w="345" w:type="dxa"/>
          </w:tcPr>
          <w:p w14:paraId="6F248F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10656</w:t>
            </w:r>
          </w:p>
        </w:tc>
        <w:tc>
          <w:tcPr>
            <w:tcW w:w="345" w:type="dxa"/>
          </w:tcPr>
          <w:p w14:paraId="68991F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21250</w:t>
            </w:r>
          </w:p>
        </w:tc>
        <w:tc>
          <w:tcPr>
            <w:tcW w:w="345" w:type="dxa"/>
          </w:tcPr>
          <w:p w14:paraId="555C94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24305</w:t>
            </w:r>
          </w:p>
        </w:tc>
        <w:tc>
          <w:tcPr>
            <w:tcW w:w="302" w:type="dxa"/>
          </w:tcPr>
          <w:p w14:paraId="5BBAE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10000</w:t>
            </w:r>
          </w:p>
        </w:tc>
        <w:tc>
          <w:tcPr>
            <w:tcW w:w="345" w:type="dxa"/>
          </w:tcPr>
          <w:p w14:paraId="2C6C6D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5706</w:t>
            </w:r>
          </w:p>
        </w:tc>
        <w:tc>
          <w:tcPr>
            <w:tcW w:w="345" w:type="dxa"/>
          </w:tcPr>
          <w:p w14:paraId="56A87B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73550</w:t>
            </w:r>
          </w:p>
        </w:tc>
        <w:tc>
          <w:tcPr>
            <w:tcW w:w="345" w:type="dxa"/>
          </w:tcPr>
          <w:p w14:paraId="18A641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59611</w:t>
            </w:r>
          </w:p>
        </w:tc>
      </w:tr>
      <w:tr w:rsidR="000F5689" w:rsidRPr="00925F26" w14:paraId="429413F1" w14:textId="77777777">
        <w:tc>
          <w:tcPr>
            <w:tcW w:w="3349" w:type="dxa"/>
          </w:tcPr>
          <w:p w14:paraId="461C4A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штук</w:t>
            </w:r>
          </w:p>
        </w:tc>
        <w:tc>
          <w:tcPr>
            <w:tcW w:w="964" w:type="dxa"/>
          </w:tcPr>
          <w:p w14:paraId="4651B5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192200</w:t>
            </w:r>
          </w:p>
        </w:tc>
        <w:tc>
          <w:tcPr>
            <w:tcW w:w="964" w:type="dxa"/>
          </w:tcPr>
          <w:p w14:paraId="47BF2F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76458</w:t>
            </w:r>
          </w:p>
        </w:tc>
        <w:tc>
          <w:tcPr>
            <w:tcW w:w="745" w:type="dxa"/>
          </w:tcPr>
          <w:p w14:paraId="0C81DF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115100</w:t>
            </w:r>
          </w:p>
        </w:tc>
        <w:tc>
          <w:tcPr>
            <w:tcW w:w="613" w:type="dxa"/>
          </w:tcPr>
          <w:p w14:paraId="6D5928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63515</w:t>
            </w:r>
          </w:p>
        </w:tc>
        <w:tc>
          <w:tcPr>
            <w:tcW w:w="345" w:type="dxa"/>
          </w:tcPr>
          <w:p w14:paraId="10730B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152590</w:t>
            </w:r>
          </w:p>
        </w:tc>
        <w:tc>
          <w:tcPr>
            <w:tcW w:w="345" w:type="dxa"/>
          </w:tcPr>
          <w:p w14:paraId="289830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136021</w:t>
            </w:r>
          </w:p>
        </w:tc>
        <w:tc>
          <w:tcPr>
            <w:tcW w:w="345" w:type="dxa"/>
          </w:tcPr>
          <w:p w14:paraId="717E23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247800</w:t>
            </w:r>
          </w:p>
        </w:tc>
        <w:tc>
          <w:tcPr>
            <w:tcW w:w="345" w:type="dxa"/>
          </w:tcPr>
          <w:p w14:paraId="0F1EA2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213046</w:t>
            </w:r>
          </w:p>
        </w:tc>
        <w:tc>
          <w:tcPr>
            <w:tcW w:w="302" w:type="dxa"/>
          </w:tcPr>
          <w:p w14:paraId="25488B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95900</w:t>
            </w:r>
          </w:p>
        </w:tc>
        <w:tc>
          <w:tcPr>
            <w:tcW w:w="345" w:type="dxa"/>
          </w:tcPr>
          <w:p w14:paraId="6B1AB2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78862</w:t>
            </w:r>
          </w:p>
        </w:tc>
        <w:tc>
          <w:tcPr>
            <w:tcW w:w="345" w:type="dxa"/>
          </w:tcPr>
          <w:p w14:paraId="7A44EF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803590</w:t>
            </w:r>
          </w:p>
        </w:tc>
        <w:tc>
          <w:tcPr>
            <w:tcW w:w="345" w:type="dxa"/>
          </w:tcPr>
          <w:p w14:paraId="4199C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567902</w:t>
            </w:r>
          </w:p>
        </w:tc>
      </w:tr>
      <w:tr w:rsidR="000F5689" w:rsidRPr="00925F26" w14:paraId="61D0F226" w14:textId="77777777">
        <w:tc>
          <w:tcPr>
            <w:tcW w:w="3349" w:type="dxa"/>
          </w:tcPr>
          <w:p w14:paraId="45CDDA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964" w:type="dxa"/>
          </w:tcPr>
          <w:p w14:paraId="05411A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2642</w:t>
            </w:r>
          </w:p>
        </w:tc>
        <w:tc>
          <w:tcPr>
            <w:tcW w:w="964" w:type="dxa"/>
          </w:tcPr>
          <w:p w14:paraId="2DB011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759</w:t>
            </w:r>
          </w:p>
        </w:tc>
        <w:tc>
          <w:tcPr>
            <w:tcW w:w="745" w:type="dxa"/>
          </w:tcPr>
          <w:p w14:paraId="569018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3332</w:t>
            </w:r>
          </w:p>
        </w:tc>
        <w:tc>
          <w:tcPr>
            <w:tcW w:w="613" w:type="dxa"/>
          </w:tcPr>
          <w:p w14:paraId="711483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1894</w:t>
            </w:r>
          </w:p>
        </w:tc>
        <w:tc>
          <w:tcPr>
            <w:tcW w:w="345" w:type="dxa"/>
          </w:tcPr>
          <w:p w14:paraId="3B106D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4339</w:t>
            </w:r>
          </w:p>
        </w:tc>
        <w:tc>
          <w:tcPr>
            <w:tcW w:w="345" w:type="dxa"/>
          </w:tcPr>
          <w:p w14:paraId="004737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4250</w:t>
            </w:r>
          </w:p>
        </w:tc>
        <w:tc>
          <w:tcPr>
            <w:tcW w:w="345" w:type="dxa"/>
          </w:tcPr>
          <w:p w14:paraId="47385A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5189</w:t>
            </w:r>
          </w:p>
        </w:tc>
        <w:tc>
          <w:tcPr>
            <w:tcW w:w="345" w:type="dxa"/>
          </w:tcPr>
          <w:p w14:paraId="57F6D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5108</w:t>
            </w:r>
          </w:p>
        </w:tc>
        <w:tc>
          <w:tcPr>
            <w:tcW w:w="302" w:type="dxa"/>
          </w:tcPr>
          <w:p w14:paraId="33C65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2090</w:t>
            </w:r>
          </w:p>
        </w:tc>
        <w:tc>
          <w:tcPr>
            <w:tcW w:w="345" w:type="dxa"/>
          </w:tcPr>
          <w:p w14:paraId="5AB3BF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1881</w:t>
            </w:r>
          </w:p>
        </w:tc>
        <w:tc>
          <w:tcPr>
            <w:tcW w:w="345" w:type="dxa"/>
          </w:tcPr>
          <w:p w14:paraId="3CB5BB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17592</w:t>
            </w:r>
          </w:p>
        </w:tc>
        <w:tc>
          <w:tcPr>
            <w:tcW w:w="345" w:type="dxa"/>
          </w:tcPr>
          <w:p w14:paraId="22F666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13892</w:t>
            </w:r>
          </w:p>
        </w:tc>
      </w:tr>
      <w:tr w:rsidR="000F5689" w:rsidRPr="00925F26" w14:paraId="58D10DEB" w14:textId="77777777">
        <w:tc>
          <w:tcPr>
            <w:tcW w:w="3349" w:type="dxa"/>
          </w:tcPr>
          <w:p w14:paraId="27E675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химические авиабомбы</w:t>
            </w:r>
          </w:p>
        </w:tc>
        <w:tc>
          <w:tcPr>
            <w:tcW w:w="964" w:type="dxa"/>
          </w:tcPr>
          <w:p w14:paraId="4F2ACD63"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38164115"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48CB8E9B"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42AB13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4DC795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927147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B47B16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86D9668"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2F2FF36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D991479"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4B35B4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FC2375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FA4D3BF" w14:textId="77777777">
        <w:tc>
          <w:tcPr>
            <w:tcW w:w="3349" w:type="dxa"/>
          </w:tcPr>
          <w:p w14:paraId="670FD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ХАБ-500-350</w:t>
            </w:r>
          </w:p>
        </w:tc>
        <w:tc>
          <w:tcPr>
            <w:tcW w:w="964" w:type="dxa"/>
          </w:tcPr>
          <w:p w14:paraId="656B38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4825</w:t>
            </w:r>
          </w:p>
        </w:tc>
        <w:tc>
          <w:tcPr>
            <w:tcW w:w="964" w:type="dxa"/>
          </w:tcPr>
          <w:p w14:paraId="5D69BF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3105</w:t>
            </w:r>
          </w:p>
        </w:tc>
        <w:tc>
          <w:tcPr>
            <w:tcW w:w="745" w:type="dxa"/>
          </w:tcPr>
          <w:p w14:paraId="3CE57B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25900</w:t>
            </w:r>
          </w:p>
        </w:tc>
        <w:tc>
          <w:tcPr>
            <w:tcW w:w="613" w:type="dxa"/>
          </w:tcPr>
          <w:p w14:paraId="4ACD43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20449</w:t>
            </w:r>
          </w:p>
        </w:tc>
        <w:tc>
          <w:tcPr>
            <w:tcW w:w="345" w:type="dxa"/>
          </w:tcPr>
          <w:p w14:paraId="3FB373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16970</w:t>
            </w:r>
          </w:p>
        </w:tc>
        <w:tc>
          <w:tcPr>
            <w:tcW w:w="345" w:type="dxa"/>
          </w:tcPr>
          <w:p w14:paraId="6263BD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23725</w:t>
            </w:r>
          </w:p>
        </w:tc>
        <w:tc>
          <w:tcPr>
            <w:tcW w:w="345" w:type="dxa"/>
          </w:tcPr>
          <w:p w14:paraId="2773B2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5500</w:t>
            </w:r>
          </w:p>
        </w:tc>
        <w:tc>
          <w:tcPr>
            <w:tcW w:w="345" w:type="dxa"/>
          </w:tcPr>
          <w:p w14:paraId="1C9DC3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7005</w:t>
            </w:r>
          </w:p>
        </w:tc>
        <w:tc>
          <w:tcPr>
            <w:tcW w:w="302" w:type="dxa"/>
          </w:tcPr>
          <w:p w14:paraId="6B59258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6008DD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E4F6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53195</w:t>
            </w:r>
          </w:p>
        </w:tc>
        <w:tc>
          <w:tcPr>
            <w:tcW w:w="345" w:type="dxa"/>
          </w:tcPr>
          <w:p w14:paraId="781243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54284</w:t>
            </w:r>
          </w:p>
        </w:tc>
      </w:tr>
      <w:tr w:rsidR="000F5689" w:rsidRPr="00925F26" w14:paraId="766CF734" w14:textId="77777777">
        <w:tc>
          <w:tcPr>
            <w:tcW w:w="3349" w:type="dxa"/>
          </w:tcPr>
          <w:p w14:paraId="215C33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ХАБ-250-200</w:t>
            </w:r>
          </w:p>
        </w:tc>
        <w:tc>
          <w:tcPr>
            <w:tcW w:w="964" w:type="dxa"/>
          </w:tcPr>
          <w:p w14:paraId="692182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22000</w:t>
            </w:r>
          </w:p>
        </w:tc>
        <w:tc>
          <w:tcPr>
            <w:tcW w:w="964" w:type="dxa"/>
          </w:tcPr>
          <w:p w14:paraId="458DC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14198</w:t>
            </w:r>
          </w:p>
        </w:tc>
        <w:tc>
          <w:tcPr>
            <w:tcW w:w="745" w:type="dxa"/>
          </w:tcPr>
          <w:p w14:paraId="6B5A89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40710</w:t>
            </w:r>
          </w:p>
        </w:tc>
        <w:tc>
          <w:tcPr>
            <w:tcW w:w="613" w:type="dxa"/>
          </w:tcPr>
          <w:p w14:paraId="0B6245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21048</w:t>
            </w:r>
          </w:p>
        </w:tc>
        <w:tc>
          <w:tcPr>
            <w:tcW w:w="345" w:type="dxa"/>
          </w:tcPr>
          <w:p w14:paraId="540716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27815</w:t>
            </w:r>
          </w:p>
        </w:tc>
        <w:tc>
          <w:tcPr>
            <w:tcW w:w="345" w:type="dxa"/>
          </w:tcPr>
          <w:p w14:paraId="2EF6B7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35902</w:t>
            </w:r>
          </w:p>
        </w:tc>
        <w:tc>
          <w:tcPr>
            <w:tcW w:w="345" w:type="dxa"/>
          </w:tcPr>
          <w:p w14:paraId="49F3B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7200</w:t>
            </w:r>
          </w:p>
        </w:tc>
        <w:tc>
          <w:tcPr>
            <w:tcW w:w="345" w:type="dxa"/>
          </w:tcPr>
          <w:p w14:paraId="24D7DA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23520</w:t>
            </w:r>
          </w:p>
        </w:tc>
        <w:tc>
          <w:tcPr>
            <w:tcW w:w="302" w:type="dxa"/>
          </w:tcPr>
          <w:p w14:paraId="07F4AE9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0DAFA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923</w:t>
            </w:r>
          </w:p>
        </w:tc>
        <w:tc>
          <w:tcPr>
            <w:tcW w:w="345" w:type="dxa"/>
          </w:tcPr>
          <w:p w14:paraId="7BCE8E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97725</w:t>
            </w:r>
          </w:p>
        </w:tc>
        <w:tc>
          <w:tcPr>
            <w:tcW w:w="345" w:type="dxa"/>
          </w:tcPr>
          <w:p w14:paraId="3E44F4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95591</w:t>
            </w:r>
          </w:p>
        </w:tc>
      </w:tr>
      <w:tr w:rsidR="000F5689" w:rsidRPr="00925F26" w14:paraId="59CEAFAE" w14:textId="77777777">
        <w:tc>
          <w:tcPr>
            <w:tcW w:w="3349" w:type="dxa"/>
          </w:tcPr>
          <w:p w14:paraId="4D5487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ХАБ-100-80</w:t>
            </w:r>
          </w:p>
        </w:tc>
        <w:tc>
          <w:tcPr>
            <w:tcW w:w="964" w:type="dxa"/>
          </w:tcPr>
          <w:p w14:paraId="3ED436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91610</w:t>
            </w:r>
          </w:p>
        </w:tc>
        <w:tc>
          <w:tcPr>
            <w:tcW w:w="964" w:type="dxa"/>
          </w:tcPr>
          <w:p w14:paraId="6E3F81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26822</w:t>
            </w:r>
          </w:p>
        </w:tc>
        <w:tc>
          <w:tcPr>
            <w:tcW w:w="745" w:type="dxa"/>
          </w:tcPr>
          <w:p w14:paraId="15642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115050</w:t>
            </w:r>
          </w:p>
        </w:tc>
        <w:tc>
          <w:tcPr>
            <w:tcW w:w="613" w:type="dxa"/>
          </w:tcPr>
          <w:p w14:paraId="3D4EAF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49949</w:t>
            </w:r>
          </w:p>
        </w:tc>
        <w:tc>
          <w:tcPr>
            <w:tcW w:w="345" w:type="dxa"/>
          </w:tcPr>
          <w:p w14:paraId="0EA833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63860</w:t>
            </w:r>
          </w:p>
        </w:tc>
        <w:tc>
          <w:tcPr>
            <w:tcW w:w="345" w:type="dxa"/>
          </w:tcPr>
          <w:p w14:paraId="65C9D2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82805</w:t>
            </w:r>
          </w:p>
        </w:tc>
        <w:tc>
          <w:tcPr>
            <w:tcW w:w="345" w:type="dxa"/>
          </w:tcPr>
          <w:p w14:paraId="0AA187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33600</w:t>
            </w:r>
          </w:p>
        </w:tc>
        <w:tc>
          <w:tcPr>
            <w:tcW w:w="345" w:type="dxa"/>
          </w:tcPr>
          <w:p w14:paraId="71E101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34311</w:t>
            </w:r>
          </w:p>
        </w:tc>
        <w:tc>
          <w:tcPr>
            <w:tcW w:w="302" w:type="dxa"/>
          </w:tcPr>
          <w:p w14:paraId="600B18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1470</w:t>
            </w:r>
          </w:p>
        </w:tc>
        <w:tc>
          <w:tcPr>
            <w:tcW w:w="345" w:type="dxa"/>
          </w:tcPr>
          <w:p w14:paraId="24A5A2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1680</w:t>
            </w:r>
          </w:p>
        </w:tc>
        <w:tc>
          <w:tcPr>
            <w:tcW w:w="345" w:type="dxa"/>
          </w:tcPr>
          <w:p w14:paraId="01665F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305590</w:t>
            </w:r>
          </w:p>
        </w:tc>
        <w:tc>
          <w:tcPr>
            <w:tcW w:w="345" w:type="dxa"/>
          </w:tcPr>
          <w:p w14:paraId="4F6B13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195567</w:t>
            </w:r>
          </w:p>
        </w:tc>
      </w:tr>
      <w:tr w:rsidR="000F5689" w:rsidRPr="00925F26" w14:paraId="28632B61" w14:textId="77777777">
        <w:tc>
          <w:tcPr>
            <w:tcW w:w="3349" w:type="dxa"/>
          </w:tcPr>
          <w:p w14:paraId="693690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ХАБ-25</w:t>
            </w:r>
          </w:p>
        </w:tc>
        <w:tc>
          <w:tcPr>
            <w:tcW w:w="964" w:type="dxa"/>
          </w:tcPr>
          <w:p w14:paraId="6D4B0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35000</w:t>
            </w:r>
          </w:p>
        </w:tc>
        <w:tc>
          <w:tcPr>
            <w:tcW w:w="964" w:type="dxa"/>
          </w:tcPr>
          <w:p w14:paraId="728B72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32442</w:t>
            </w:r>
          </w:p>
        </w:tc>
        <w:tc>
          <w:tcPr>
            <w:tcW w:w="745" w:type="dxa"/>
          </w:tcPr>
          <w:p w14:paraId="6AAEE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35000</w:t>
            </w:r>
          </w:p>
        </w:tc>
        <w:tc>
          <w:tcPr>
            <w:tcW w:w="613" w:type="dxa"/>
          </w:tcPr>
          <w:p w14:paraId="51D463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43000</w:t>
            </w:r>
          </w:p>
        </w:tc>
        <w:tc>
          <w:tcPr>
            <w:tcW w:w="345" w:type="dxa"/>
          </w:tcPr>
          <w:p w14:paraId="5BEE776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6670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345" w:type="dxa"/>
          </w:tcPr>
          <w:p w14:paraId="194444B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B0D6BE9"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7CF1A96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DFCB3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2650</w:t>
            </w:r>
          </w:p>
        </w:tc>
        <w:tc>
          <w:tcPr>
            <w:tcW w:w="345" w:type="dxa"/>
          </w:tcPr>
          <w:p w14:paraId="4284E2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70000</w:t>
            </w:r>
          </w:p>
        </w:tc>
        <w:tc>
          <w:tcPr>
            <w:tcW w:w="345" w:type="dxa"/>
          </w:tcPr>
          <w:p w14:paraId="7EEEC0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82092</w:t>
            </w:r>
          </w:p>
        </w:tc>
      </w:tr>
      <w:tr w:rsidR="000F5689" w:rsidRPr="00925F26" w14:paraId="02C13E7A" w14:textId="77777777">
        <w:tc>
          <w:tcPr>
            <w:tcW w:w="3349" w:type="dxa"/>
          </w:tcPr>
          <w:p w14:paraId="7F8403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ДАБ-100-80</w:t>
            </w:r>
          </w:p>
        </w:tc>
        <w:tc>
          <w:tcPr>
            <w:tcW w:w="964" w:type="dxa"/>
          </w:tcPr>
          <w:p w14:paraId="068448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64" w:type="dxa"/>
          </w:tcPr>
          <w:p w14:paraId="1BE264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1930</w:t>
            </w:r>
          </w:p>
        </w:tc>
        <w:tc>
          <w:tcPr>
            <w:tcW w:w="745" w:type="dxa"/>
          </w:tcPr>
          <w:p w14:paraId="573A89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1915</w:t>
            </w:r>
          </w:p>
        </w:tc>
        <w:tc>
          <w:tcPr>
            <w:tcW w:w="613" w:type="dxa"/>
          </w:tcPr>
          <w:p w14:paraId="7BBF31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2070</w:t>
            </w:r>
          </w:p>
        </w:tc>
        <w:tc>
          <w:tcPr>
            <w:tcW w:w="345" w:type="dxa"/>
          </w:tcPr>
          <w:p w14:paraId="70E14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6750</w:t>
            </w:r>
          </w:p>
        </w:tc>
        <w:tc>
          <w:tcPr>
            <w:tcW w:w="345" w:type="dxa"/>
          </w:tcPr>
          <w:p w14:paraId="0D40FE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7756</w:t>
            </w:r>
          </w:p>
        </w:tc>
        <w:tc>
          <w:tcPr>
            <w:tcW w:w="345" w:type="dxa"/>
          </w:tcPr>
          <w:p w14:paraId="1182AD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11700</w:t>
            </w:r>
          </w:p>
        </w:tc>
        <w:tc>
          <w:tcPr>
            <w:tcW w:w="345" w:type="dxa"/>
          </w:tcPr>
          <w:p w14:paraId="5D4FFB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15028</w:t>
            </w:r>
          </w:p>
        </w:tc>
        <w:tc>
          <w:tcPr>
            <w:tcW w:w="302" w:type="dxa"/>
          </w:tcPr>
          <w:p w14:paraId="606602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7200</w:t>
            </w:r>
          </w:p>
        </w:tc>
        <w:tc>
          <w:tcPr>
            <w:tcW w:w="345" w:type="dxa"/>
          </w:tcPr>
          <w:p w14:paraId="4489B3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7160</w:t>
            </w:r>
          </w:p>
        </w:tc>
        <w:tc>
          <w:tcPr>
            <w:tcW w:w="345" w:type="dxa"/>
          </w:tcPr>
          <w:p w14:paraId="71B26B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28565</w:t>
            </w:r>
          </w:p>
        </w:tc>
        <w:tc>
          <w:tcPr>
            <w:tcW w:w="345" w:type="dxa"/>
          </w:tcPr>
          <w:p w14:paraId="64CC0A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33944</w:t>
            </w:r>
          </w:p>
        </w:tc>
      </w:tr>
      <w:tr w:rsidR="000F5689" w:rsidRPr="00925F26" w14:paraId="5DBC912E" w14:textId="77777777">
        <w:tc>
          <w:tcPr>
            <w:tcW w:w="3349" w:type="dxa"/>
          </w:tcPr>
          <w:p w14:paraId="4A867C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 штук</w:t>
            </w:r>
          </w:p>
        </w:tc>
        <w:tc>
          <w:tcPr>
            <w:tcW w:w="964" w:type="dxa"/>
          </w:tcPr>
          <w:p w14:paraId="245C6A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154435</w:t>
            </w:r>
          </w:p>
        </w:tc>
        <w:tc>
          <w:tcPr>
            <w:tcW w:w="964" w:type="dxa"/>
          </w:tcPr>
          <w:p w14:paraId="0863F7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78497</w:t>
            </w:r>
          </w:p>
        </w:tc>
        <w:tc>
          <w:tcPr>
            <w:tcW w:w="745" w:type="dxa"/>
          </w:tcPr>
          <w:p w14:paraId="7E08BE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218575</w:t>
            </w:r>
          </w:p>
        </w:tc>
        <w:tc>
          <w:tcPr>
            <w:tcW w:w="613" w:type="dxa"/>
          </w:tcPr>
          <w:p w14:paraId="3070E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136516</w:t>
            </w:r>
          </w:p>
        </w:tc>
        <w:tc>
          <w:tcPr>
            <w:tcW w:w="345" w:type="dxa"/>
          </w:tcPr>
          <w:p w14:paraId="773709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115395</w:t>
            </w:r>
          </w:p>
        </w:tc>
        <w:tc>
          <w:tcPr>
            <w:tcW w:w="345" w:type="dxa"/>
          </w:tcPr>
          <w:p w14:paraId="1561D0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154188</w:t>
            </w:r>
          </w:p>
        </w:tc>
        <w:tc>
          <w:tcPr>
            <w:tcW w:w="345" w:type="dxa"/>
          </w:tcPr>
          <w:p w14:paraId="64771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58000</w:t>
            </w:r>
          </w:p>
        </w:tc>
        <w:tc>
          <w:tcPr>
            <w:tcW w:w="345" w:type="dxa"/>
          </w:tcPr>
          <w:p w14:paraId="48C3BE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79864</w:t>
            </w:r>
          </w:p>
        </w:tc>
        <w:tc>
          <w:tcPr>
            <w:tcW w:w="302" w:type="dxa"/>
          </w:tcPr>
          <w:p w14:paraId="1860BD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8670</w:t>
            </w:r>
          </w:p>
        </w:tc>
        <w:tc>
          <w:tcPr>
            <w:tcW w:w="345" w:type="dxa"/>
          </w:tcPr>
          <w:p w14:paraId="524CA0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12413</w:t>
            </w:r>
          </w:p>
        </w:tc>
        <w:tc>
          <w:tcPr>
            <w:tcW w:w="345" w:type="dxa"/>
          </w:tcPr>
          <w:p w14:paraId="60C57F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555075</w:t>
            </w:r>
          </w:p>
        </w:tc>
        <w:tc>
          <w:tcPr>
            <w:tcW w:w="345" w:type="dxa"/>
          </w:tcPr>
          <w:p w14:paraId="13C3E8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461478</w:t>
            </w:r>
          </w:p>
        </w:tc>
      </w:tr>
      <w:tr w:rsidR="000F5689" w:rsidRPr="00925F26" w14:paraId="2EB8A13C" w14:textId="77777777">
        <w:tc>
          <w:tcPr>
            <w:tcW w:w="3349" w:type="dxa"/>
          </w:tcPr>
          <w:p w14:paraId="261A81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тонн</w:t>
            </w:r>
          </w:p>
        </w:tc>
        <w:tc>
          <w:tcPr>
            <w:tcW w:w="964" w:type="dxa"/>
          </w:tcPr>
          <w:p w14:paraId="61E70C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14273</w:t>
            </w:r>
          </w:p>
        </w:tc>
        <w:tc>
          <w:tcPr>
            <w:tcW w:w="964" w:type="dxa"/>
          </w:tcPr>
          <w:p w14:paraId="77C449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7038</w:t>
            </w:r>
          </w:p>
        </w:tc>
        <w:tc>
          <w:tcPr>
            <w:tcW w:w="745" w:type="dxa"/>
          </w:tcPr>
          <w:p w14:paraId="40464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27439</w:t>
            </w:r>
          </w:p>
        </w:tc>
        <w:tc>
          <w:tcPr>
            <w:tcW w:w="613" w:type="dxa"/>
          </w:tcPr>
          <w:p w14:paraId="63625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16604</w:t>
            </w:r>
          </w:p>
        </w:tc>
        <w:tc>
          <w:tcPr>
            <w:tcW w:w="345" w:type="dxa"/>
          </w:tcPr>
          <w:p w14:paraId="4EB085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17152</w:t>
            </w:r>
          </w:p>
        </w:tc>
        <w:tc>
          <w:tcPr>
            <w:tcW w:w="345" w:type="dxa"/>
          </w:tcPr>
          <w:p w14:paraId="651170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22828</w:t>
            </w:r>
          </w:p>
        </w:tc>
        <w:tc>
          <w:tcPr>
            <w:tcW w:w="345" w:type="dxa"/>
          </w:tcPr>
          <w:p w14:paraId="6908BD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6989</w:t>
            </w:r>
          </w:p>
        </w:tc>
        <w:tc>
          <w:tcPr>
            <w:tcW w:w="345" w:type="dxa"/>
          </w:tcPr>
          <w:p w14:paraId="0F603A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11103</w:t>
            </w:r>
          </w:p>
        </w:tc>
        <w:tc>
          <w:tcPr>
            <w:tcW w:w="302" w:type="dxa"/>
          </w:tcPr>
          <w:p w14:paraId="79A6DA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w:t>
            </w:r>
          </w:p>
        </w:tc>
        <w:tc>
          <w:tcPr>
            <w:tcW w:w="345" w:type="dxa"/>
          </w:tcPr>
          <w:p w14:paraId="1121D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958</w:t>
            </w:r>
          </w:p>
        </w:tc>
        <w:tc>
          <w:tcPr>
            <w:tcW w:w="345" w:type="dxa"/>
          </w:tcPr>
          <w:p w14:paraId="5B4004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66547</w:t>
            </w:r>
          </w:p>
        </w:tc>
        <w:tc>
          <w:tcPr>
            <w:tcW w:w="345" w:type="dxa"/>
          </w:tcPr>
          <w:p w14:paraId="4200A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58531</w:t>
            </w:r>
          </w:p>
        </w:tc>
      </w:tr>
      <w:tr w:rsidR="000F5689" w:rsidRPr="00925F26" w14:paraId="32DD3ECB" w14:textId="77777777">
        <w:tc>
          <w:tcPr>
            <w:tcW w:w="3349" w:type="dxa"/>
          </w:tcPr>
          <w:p w14:paraId="7C0E42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штук</w:t>
            </w:r>
          </w:p>
        </w:tc>
        <w:tc>
          <w:tcPr>
            <w:tcW w:w="964" w:type="dxa"/>
          </w:tcPr>
          <w:p w14:paraId="4A22C1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16811836</w:t>
            </w:r>
          </w:p>
        </w:tc>
        <w:tc>
          <w:tcPr>
            <w:tcW w:w="964" w:type="dxa"/>
          </w:tcPr>
          <w:p w14:paraId="32717C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14269895</w:t>
            </w:r>
          </w:p>
        </w:tc>
        <w:tc>
          <w:tcPr>
            <w:tcW w:w="745" w:type="dxa"/>
          </w:tcPr>
          <w:p w14:paraId="46B13A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5150750</w:t>
            </w:r>
          </w:p>
        </w:tc>
        <w:tc>
          <w:tcPr>
            <w:tcW w:w="613" w:type="dxa"/>
          </w:tcPr>
          <w:p w14:paraId="181255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5469918</w:t>
            </w:r>
          </w:p>
        </w:tc>
        <w:tc>
          <w:tcPr>
            <w:tcW w:w="345" w:type="dxa"/>
          </w:tcPr>
          <w:p w14:paraId="1265DD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10163750</w:t>
            </w:r>
          </w:p>
        </w:tc>
        <w:tc>
          <w:tcPr>
            <w:tcW w:w="345" w:type="dxa"/>
          </w:tcPr>
          <w:p w14:paraId="68EE2E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10486832</w:t>
            </w:r>
          </w:p>
        </w:tc>
        <w:tc>
          <w:tcPr>
            <w:tcW w:w="345" w:type="dxa"/>
          </w:tcPr>
          <w:p w14:paraId="147F3E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10082890</w:t>
            </w:r>
          </w:p>
        </w:tc>
        <w:tc>
          <w:tcPr>
            <w:tcW w:w="345" w:type="dxa"/>
          </w:tcPr>
          <w:p w14:paraId="707CB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10412492</w:t>
            </w:r>
          </w:p>
        </w:tc>
        <w:tc>
          <w:tcPr>
            <w:tcW w:w="302" w:type="dxa"/>
          </w:tcPr>
          <w:p w14:paraId="7C7B37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3541755</w:t>
            </w:r>
          </w:p>
        </w:tc>
        <w:tc>
          <w:tcPr>
            <w:tcW w:w="345" w:type="dxa"/>
          </w:tcPr>
          <w:p w14:paraId="1E0F88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3245111</w:t>
            </w:r>
          </w:p>
        </w:tc>
        <w:tc>
          <w:tcPr>
            <w:tcW w:w="345" w:type="dxa"/>
          </w:tcPr>
          <w:p w14:paraId="54E219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45750981</w:t>
            </w:r>
          </w:p>
        </w:tc>
        <w:tc>
          <w:tcPr>
            <w:tcW w:w="345" w:type="dxa"/>
          </w:tcPr>
          <w:p w14:paraId="00FE32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43884248</w:t>
            </w:r>
          </w:p>
        </w:tc>
      </w:tr>
      <w:tr w:rsidR="000F5689" w:rsidRPr="00925F26" w14:paraId="3756193A" w14:textId="77777777">
        <w:tc>
          <w:tcPr>
            <w:tcW w:w="3349" w:type="dxa"/>
          </w:tcPr>
          <w:p w14:paraId="6CBEC4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тонн</w:t>
            </w:r>
          </w:p>
        </w:tc>
        <w:tc>
          <w:tcPr>
            <w:tcW w:w="964" w:type="dxa"/>
          </w:tcPr>
          <w:p w14:paraId="6D8F82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713623</w:t>
            </w:r>
          </w:p>
        </w:tc>
        <w:tc>
          <w:tcPr>
            <w:tcW w:w="964" w:type="dxa"/>
          </w:tcPr>
          <w:p w14:paraId="358BBB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482341</w:t>
            </w:r>
          </w:p>
        </w:tc>
        <w:tc>
          <w:tcPr>
            <w:tcW w:w="745" w:type="dxa"/>
          </w:tcPr>
          <w:p w14:paraId="4CB2B1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196971</w:t>
            </w:r>
          </w:p>
        </w:tc>
        <w:tc>
          <w:tcPr>
            <w:tcW w:w="613" w:type="dxa"/>
          </w:tcPr>
          <w:p w14:paraId="7E43E5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166492</w:t>
            </w:r>
          </w:p>
        </w:tc>
        <w:tc>
          <w:tcPr>
            <w:tcW w:w="345" w:type="dxa"/>
          </w:tcPr>
          <w:p w14:paraId="0DC4D3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263969</w:t>
            </w:r>
          </w:p>
        </w:tc>
        <w:tc>
          <w:tcPr>
            <w:tcW w:w="345" w:type="dxa"/>
          </w:tcPr>
          <w:p w14:paraId="52FB2D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244273</w:t>
            </w:r>
          </w:p>
        </w:tc>
        <w:tc>
          <w:tcPr>
            <w:tcW w:w="345" w:type="dxa"/>
          </w:tcPr>
          <w:p w14:paraId="090606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256972</w:t>
            </w:r>
          </w:p>
        </w:tc>
        <w:tc>
          <w:tcPr>
            <w:tcW w:w="345" w:type="dxa"/>
          </w:tcPr>
          <w:p w14:paraId="4721AA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274846</w:t>
            </w:r>
          </w:p>
        </w:tc>
        <w:tc>
          <w:tcPr>
            <w:tcW w:w="302" w:type="dxa"/>
          </w:tcPr>
          <w:p w14:paraId="71A57B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66699</w:t>
            </w:r>
          </w:p>
        </w:tc>
        <w:tc>
          <w:tcPr>
            <w:tcW w:w="345" w:type="dxa"/>
          </w:tcPr>
          <w:p w14:paraId="747A81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68514</w:t>
            </w:r>
          </w:p>
        </w:tc>
        <w:tc>
          <w:tcPr>
            <w:tcW w:w="345" w:type="dxa"/>
          </w:tcPr>
          <w:p w14:paraId="1AD114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1498234</w:t>
            </w:r>
          </w:p>
        </w:tc>
        <w:tc>
          <w:tcPr>
            <w:tcW w:w="345" w:type="dxa"/>
          </w:tcPr>
          <w:p w14:paraId="61FCB9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1236466</w:t>
            </w:r>
          </w:p>
        </w:tc>
      </w:tr>
      <w:tr w:rsidR="000F5689" w:rsidRPr="00925F26" w14:paraId="10A3CC4E" w14:textId="77777777">
        <w:tc>
          <w:tcPr>
            <w:tcW w:w="3349" w:type="dxa"/>
          </w:tcPr>
          <w:p w14:paraId="7D1286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Практические</w:t>
            </w:r>
          </w:p>
        </w:tc>
        <w:tc>
          <w:tcPr>
            <w:tcW w:w="964" w:type="dxa"/>
          </w:tcPr>
          <w:p w14:paraId="4ABC2B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1798500</w:t>
            </w:r>
          </w:p>
        </w:tc>
        <w:tc>
          <w:tcPr>
            <w:tcW w:w="964" w:type="dxa"/>
          </w:tcPr>
          <w:p w14:paraId="2FD57D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1192270</w:t>
            </w:r>
          </w:p>
        </w:tc>
        <w:tc>
          <w:tcPr>
            <w:tcW w:w="745" w:type="dxa"/>
          </w:tcPr>
          <w:p w14:paraId="2C2E9D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958900</w:t>
            </w:r>
          </w:p>
        </w:tc>
        <w:tc>
          <w:tcPr>
            <w:tcW w:w="613" w:type="dxa"/>
          </w:tcPr>
          <w:p w14:paraId="136E65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368750</w:t>
            </w:r>
          </w:p>
        </w:tc>
        <w:tc>
          <w:tcPr>
            <w:tcW w:w="345" w:type="dxa"/>
          </w:tcPr>
          <w:p w14:paraId="0D2EDF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1341900</w:t>
            </w:r>
          </w:p>
        </w:tc>
        <w:tc>
          <w:tcPr>
            <w:tcW w:w="345" w:type="dxa"/>
          </w:tcPr>
          <w:p w14:paraId="5A5170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767368</w:t>
            </w:r>
          </w:p>
        </w:tc>
        <w:tc>
          <w:tcPr>
            <w:tcW w:w="345" w:type="dxa"/>
          </w:tcPr>
          <w:p w14:paraId="014B0E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1148250</w:t>
            </w:r>
          </w:p>
        </w:tc>
        <w:tc>
          <w:tcPr>
            <w:tcW w:w="345" w:type="dxa"/>
          </w:tcPr>
          <w:p w14:paraId="37773B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928506</w:t>
            </w:r>
          </w:p>
        </w:tc>
        <w:tc>
          <w:tcPr>
            <w:tcW w:w="302" w:type="dxa"/>
          </w:tcPr>
          <w:p w14:paraId="741F89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749750</w:t>
            </w:r>
          </w:p>
        </w:tc>
        <w:tc>
          <w:tcPr>
            <w:tcW w:w="345" w:type="dxa"/>
          </w:tcPr>
          <w:p w14:paraId="78F0AD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541789</w:t>
            </w:r>
          </w:p>
        </w:tc>
        <w:tc>
          <w:tcPr>
            <w:tcW w:w="345" w:type="dxa"/>
          </w:tcPr>
          <w:p w14:paraId="443810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5997300</w:t>
            </w:r>
          </w:p>
        </w:tc>
        <w:tc>
          <w:tcPr>
            <w:tcW w:w="345" w:type="dxa"/>
          </w:tcPr>
          <w:p w14:paraId="35D6E8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3798683</w:t>
            </w:r>
          </w:p>
        </w:tc>
      </w:tr>
      <w:tr w:rsidR="000F5689" w:rsidRPr="00925F26" w14:paraId="434A67BC" w14:textId="77777777" w:rsidTr="00665165">
        <w:tc>
          <w:tcPr>
            <w:tcW w:w="3349" w:type="dxa"/>
            <w:gridSpan w:val="13"/>
          </w:tcPr>
          <w:p w14:paraId="76E17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 Специальные авиабоеприпасы (</w:t>
            </w:r>
            <w:proofErr w:type="gramStart"/>
            <w:r w:rsidRPr="00925F26">
              <w:rPr>
                <w:color w:val="000000" w:themeColor="text1"/>
                <w:sz w:val="16"/>
                <w:szCs w:val="16"/>
              </w:rPr>
              <w:t>тыс.штук</w:t>
            </w:r>
            <w:proofErr w:type="gramEnd"/>
            <w:r w:rsidRPr="00925F26">
              <w:rPr>
                <w:color w:val="000000" w:themeColor="text1"/>
                <w:sz w:val="16"/>
                <w:szCs w:val="16"/>
              </w:rPr>
              <w:t>)</w:t>
            </w:r>
          </w:p>
        </w:tc>
      </w:tr>
      <w:tr w:rsidR="000F5689" w:rsidRPr="00925F26" w14:paraId="5F3F1969" w14:textId="77777777">
        <w:tc>
          <w:tcPr>
            <w:tcW w:w="3349" w:type="dxa"/>
          </w:tcPr>
          <w:p w14:paraId="187A79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РС-82</w:t>
            </w:r>
          </w:p>
        </w:tc>
        <w:tc>
          <w:tcPr>
            <w:tcW w:w="964" w:type="dxa"/>
          </w:tcPr>
          <w:p w14:paraId="2D950E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1876</w:t>
            </w:r>
          </w:p>
        </w:tc>
        <w:tc>
          <w:tcPr>
            <w:tcW w:w="964" w:type="dxa"/>
          </w:tcPr>
          <w:p w14:paraId="4A698C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745" w:type="dxa"/>
          </w:tcPr>
          <w:p w14:paraId="4E30DFFE"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40DFA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480</w:t>
            </w:r>
          </w:p>
        </w:tc>
        <w:tc>
          <w:tcPr>
            <w:tcW w:w="345" w:type="dxa"/>
          </w:tcPr>
          <w:p w14:paraId="6753ABE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FF795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427</w:t>
            </w:r>
          </w:p>
        </w:tc>
        <w:tc>
          <w:tcPr>
            <w:tcW w:w="345" w:type="dxa"/>
          </w:tcPr>
          <w:p w14:paraId="2840E9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345" w:type="dxa"/>
          </w:tcPr>
          <w:p w14:paraId="5D50FC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372</w:t>
            </w:r>
          </w:p>
        </w:tc>
        <w:tc>
          <w:tcPr>
            <w:tcW w:w="302" w:type="dxa"/>
          </w:tcPr>
          <w:p w14:paraId="06FED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w:t>
            </w:r>
          </w:p>
        </w:tc>
        <w:tc>
          <w:tcPr>
            <w:tcW w:w="345" w:type="dxa"/>
          </w:tcPr>
          <w:p w14:paraId="787EDB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w:t>
            </w:r>
          </w:p>
        </w:tc>
        <w:tc>
          <w:tcPr>
            <w:tcW w:w="345" w:type="dxa"/>
          </w:tcPr>
          <w:p w14:paraId="35C629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2112</w:t>
            </w:r>
          </w:p>
        </w:tc>
        <w:tc>
          <w:tcPr>
            <w:tcW w:w="345" w:type="dxa"/>
          </w:tcPr>
          <w:p w14:paraId="0E43EF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1692</w:t>
            </w:r>
          </w:p>
        </w:tc>
      </w:tr>
      <w:tr w:rsidR="000F5689" w:rsidRPr="00925F26" w14:paraId="738E56FE" w14:textId="77777777">
        <w:tc>
          <w:tcPr>
            <w:tcW w:w="3349" w:type="dxa"/>
          </w:tcPr>
          <w:p w14:paraId="12BEA7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РС-132</w:t>
            </w:r>
          </w:p>
        </w:tc>
        <w:tc>
          <w:tcPr>
            <w:tcW w:w="964" w:type="dxa"/>
          </w:tcPr>
          <w:p w14:paraId="37399C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964" w:type="dxa"/>
          </w:tcPr>
          <w:p w14:paraId="383B79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745" w:type="dxa"/>
          </w:tcPr>
          <w:p w14:paraId="5CAA4A01"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0BE5F4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345" w:type="dxa"/>
          </w:tcPr>
          <w:p w14:paraId="0FF2563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EE2F45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3C59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w:t>
            </w:r>
          </w:p>
        </w:tc>
        <w:tc>
          <w:tcPr>
            <w:tcW w:w="345" w:type="dxa"/>
          </w:tcPr>
          <w:p w14:paraId="0E973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109</w:t>
            </w:r>
          </w:p>
        </w:tc>
        <w:tc>
          <w:tcPr>
            <w:tcW w:w="302" w:type="dxa"/>
          </w:tcPr>
          <w:p w14:paraId="5A81E5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345" w:type="dxa"/>
          </w:tcPr>
          <w:p w14:paraId="44580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345" w:type="dxa"/>
          </w:tcPr>
          <w:p w14:paraId="7FE8A6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329</w:t>
            </w:r>
          </w:p>
        </w:tc>
        <w:tc>
          <w:tcPr>
            <w:tcW w:w="345" w:type="dxa"/>
          </w:tcPr>
          <w:p w14:paraId="1B4650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w:t>
            </w:r>
          </w:p>
        </w:tc>
      </w:tr>
      <w:tr w:rsidR="000F5689" w:rsidRPr="00925F26" w14:paraId="36E93A11" w14:textId="77777777">
        <w:tc>
          <w:tcPr>
            <w:tcW w:w="3349" w:type="dxa"/>
          </w:tcPr>
          <w:p w14:paraId="36AC39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АГ-2</w:t>
            </w:r>
          </w:p>
        </w:tc>
        <w:tc>
          <w:tcPr>
            <w:tcW w:w="964" w:type="dxa"/>
          </w:tcPr>
          <w:p w14:paraId="08297414"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3956D52B"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533CAB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613" w:type="dxa"/>
          </w:tcPr>
          <w:p w14:paraId="5988BE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45" w:type="dxa"/>
          </w:tcPr>
          <w:p w14:paraId="6DFB4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362</w:t>
            </w:r>
          </w:p>
        </w:tc>
        <w:tc>
          <w:tcPr>
            <w:tcW w:w="345" w:type="dxa"/>
          </w:tcPr>
          <w:p w14:paraId="5C2E67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345" w:type="dxa"/>
          </w:tcPr>
          <w:p w14:paraId="7B34CE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w:t>
            </w:r>
          </w:p>
        </w:tc>
        <w:tc>
          <w:tcPr>
            <w:tcW w:w="345" w:type="dxa"/>
          </w:tcPr>
          <w:p w14:paraId="33D05D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302" w:type="dxa"/>
          </w:tcPr>
          <w:p w14:paraId="5B9811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345" w:type="dxa"/>
          </w:tcPr>
          <w:p w14:paraId="73E5A8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345" w:type="dxa"/>
          </w:tcPr>
          <w:p w14:paraId="4C76BB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798</w:t>
            </w:r>
          </w:p>
        </w:tc>
        <w:tc>
          <w:tcPr>
            <w:tcW w:w="345" w:type="dxa"/>
          </w:tcPr>
          <w:p w14:paraId="021691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325</w:t>
            </w:r>
          </w:p>
        </w:tc>
      </w:tr>
      <w:tr w:rsidR="000F5689" w:rsidRPr="00925F26" w14:paraId="3198991E" w14:textId="77777777">
        <w:tc>
          <w:tcPr>
            <w:tcW w:w="3349" w:type="dxa"/>
          </w:tcPr>
          <w:p w14:paraId="2C657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ПР-4</w:t>
            </w:r>
          </w:p>
        </w:tc>
        <w:tc>
          <w:tcPr>
            <w:tcW w:w="964" w:type="dxa"/>
          </w:tcPr>
          <w:p w14:paraId="4BF3978B"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5B097A20"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159EF4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613" w:type="dxa"/>
          </w:tcPr>
          <w:p w14:paraId="0E09E7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2D0681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345" w:type="dxa"/>
          </w:tcPr>
          <w:p w14:paraId="6D944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345" w:type="dxa"/>
          </w:tcPr>
          <w:p w14:paraId="6B6833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345" w:type="dxa"/>
          </w:tcPr>
          <w:p w14:paraId="1790F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302" w:type="dxa"/>
          </w:tcPr>
          <w:p w14:paraId="2EAEBC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45" w:type="dxa"/>
          </w:tcPr>
          <w:p w14:paraId="006FC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345" w:type="dxa"/>
          </w:tcPr>
          <w:p w14:paraId="5ACB09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w:t>
            </w:r>
          </w:p>
        </w:tc>
        <w:tc>
          <w:tcPr>
            <w:tcW w:w="345" w:type="dxa"/>
          </w:tcPr>
          <w:p w14:paraId="3A2ED4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w:t>
            </w:r>
          </w:p>
        </w:tc>
      </w:tr>
      <w:tr w:rsidR="000F5689" w:rsidRPr="00925F26" w14:paraId="135A6322" w14:textId="77777777">
        <w:tc>
          <w:tcPr>
            <w:tcW w:w="3349" w:type="dxa"/>
          </w:tcPr>
          <w:p w14:paraId="4636D1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ПР-8</w:t>
            </w:r>
          </w:p>
        </w:tc>
        <w:tc>
          <w:tcPr>
            <w:tcW w:w="964" w:type="dxa"/>
          </w:tcPr>
          <w:p w14:paraId="401DED71"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572ADFF1"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22DDFC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613" w:type="dxa"/>
          </w:tcPr>
          <w:p w14:paraId="393A7BB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3A99F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345" w:type="dxa"/>
          </w:tcPr>
          <w:p w14:paraId="6D6396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345" w:type="dxa"/>
          </w:tcPr>
          <w:p w14:paraId="2087B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345" w:type="dxa"/>
          </w:tcPr>
          <w:p w14:paraId="11E4D3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302" w:type="dxa"/>
          </w:tcPr>
          <w:p w14:paraId="129281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345" w:type="dxa"/>
          </w:tcPr>
          <w:p w14:paraId="196FDE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73A73C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w:t>
            </w:r>
          </w:p>
        </w:tc>
        <w:tc>
          <w:tcPr>
            <w:tcW w:w="345" w:type="dxa"/>
          </w:tcPr>
          <w:p w14:paraId="71CE53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w:t>
            </w:r>
          </w:p>
        </w:tc>
      </w:tr>
      <w:tr w:rsidR="000F5689" w:rsidRPr="00925F26" w14:paraId="55831F91" w14:textId="77777777">
        <w:tc>
          <w:tcPr>
            <w:tcW w:w="3349" w:type="dxa"/>
          </w:tcPr>
          <w:p w14:paraId="0D99CB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РРАБ-2</w:t>
            </w:r>
          </w:p>
        </w:tc>
        <w:tc>
          <w:tcPr>
            <w:tcW w:w="964" w:type="dxa"/>
          </w:tcPr>
          <w:p w14:paraId="601602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964" w:type="dxa"/>
          </w:tcPr>
          <w:p w14:paraId="475F5D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745" w:type="dxa"/>
          </w:tcPr>
          <w:p w14:paraId="3082C074"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231DE31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C9E48C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F5B603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F883C3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879B51C"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0025CB7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4FA607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4540B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374B0E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3A789ECC" w14:textId="77777777">
        <w:tc>
          <w:tcPr>
            <w:tcW w:w="3349" w:type="dxa"/>
          </w:tcPr>
          <w:p w14:paraId="225EE2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РРАБ-3</w:t>
            </w:r>
          </w:p>
        </w:tc>
        <w:tc>
          <w:tcPr>
            <w:tcW w:w="964" w:type="dxa"/>
          </w:tcPr>
          <w:p w14:paraId="2D2DE1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964" w:type="dxa"/>
          </w:tcPr>
          <w:p w14:paraId="542643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745" w:type="dxa"/>
          </w:tcPr>
          <w:p w14:paraId="5AE98F98"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4D368ED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1119E2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BEDEB4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168E9B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0DA541D"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12D9BF7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69222E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F51A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2B1AB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r>
      <w:tr w:rsidR="000F5689" w:rsidRPr="00925F26" w14:paraId="0224F610" w14:textId="77777777">
        <w:tc>
          <w:tcPr>
            <w:tcW w:w="3349" w:type="dxa"/>
          </w:tcPr>
          <w:p w14:paraId="4070CB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БАС-1</w:t>
            </w:r>
          </w:p>
        </w:tc>
        <w:tc>
          <w:tcPr>
            <w:tcW w:w="964" w:type="dxa"/>
          </w:tcPr>
          <w:p w14:paraId="42391433"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22C8CF2E"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0CC0EB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613" w:type="dxa"/>
          </w:tcPr>
          <w:p w14:paraId="601F49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345" w:type="dxa"/>
          </w:tcPr>
          <w:p w14:paraId="2B660A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345" w:type="dxa"/>
          </w:tcPr>
          <w:p w14:paraId="049EAB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345" w:type="dxa"/>
          </w:tcPr>
          <w:p w14:paraId="56279F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w:t>
            </w:r>
          </w:p>
        </w:tc>
        <w:tc>
          <w:tcPr>
            <w:tcW w:w="345" w:type="dxa"/>
          </w:tcPr>
          <w:p w14:paraId="490CBD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w:t>
            </w:r>
          </w:p>
        </w:tc>
        <w:tc>
          <w:tcPr>
            <w:tcW w:w="302" w:type="dxa"/>
          </w:tcPr>
          <w:p w14:paraId="08DBA2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6D07D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345" w:type="dxa"/>
          </w:tcPr>
          <w:p w14:paraId="5FE8A1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168</w:t>
            </w:r>
          </w:p>
        </w:tc>
        <w:tc>
          <w:tcPr>
            <w:tcW w:w="345" w:type="dxa"/>
          </w:tcPr>
          <w:p w14:paraId="7A96B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w:t>
            </w:r>
          </w:p>
        </w:tc>
      </w:tr>
      <w:tr w:rsidR="000F5689" w:rsidRPr="00925F26" w14:paraId="4D02982A" w14:textId="77777777">
        <w:tc>
          <w:tcPr>
            <w:tcW w:w="3349" w:type="dxa"/>
          </w:tcPr>
          <w:p w14:paraId="5F0086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Агитбомбы</w:t>
            </w:r>
          </w:p>
        </w:tc>
        <w:tc>
          <w:tcPr>
            <w:tcW w:w="964" w:type="dxa"/>
          </w:tcPr>
          <w:p w14:paraId="324308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964" w:type="dxa"/>
          </w:tcPr>
          <w:p w14:paraId="50AFF8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745" w:type="dxa"/>
          </w:tcPr>
          <w:p w14:paraId="09D302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613" w:type="dxa"/>
          </w:tcPr>
          <w:p w14:paraId="7F1471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45" w:type="dxa"/>
          </w:tcPr>
          <w:p w14:paraId="4E4B474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8FB34F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82B68A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459C938"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1389564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6C032C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6687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c>
          <w:tcPr>
            <w:tcW w:w="345" w:type="dxa"/>
          </w:tcPr>
          <w:p w14:paraId="511927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r>
      <w:tr w:rsidR="000F5689" w:rsidRPr="00925F26" w14:paraId="0A474537" w14:textId="77777777">
        <w:tc>
          <w:tcPr>
            <w:tcW w:w="3349" w:type="dxa"/>
          </w:tcPr>
          <w:p w14:paraId="779450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АЖ-2</w:t>
            </w:r>
          </w:p>
        </w:tc>
        <w:tc>
          <w:tcPr>
            <w:tcW w:w="964" w:type="dxa"/>
          </w:tcPr>
          <w:p w14:paraId="0FE72F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970</w:t>
            </w:r>
          </w:p>
        </w:tc>
        <w:tc>
          <w:tcPr>
            <w:tcW w:w="964" w:type="dxa"/>
          </w:tcPr>
          <w:p w14:paraId="330B7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1324</w:t>
            </w:r>
          </w:p>
        </w:tc>
        <w:tc>
          <w:tcPr>
            <w:tcW w:w="745" w:type="dxa"/>
          </w:tcPr>
          <w:p w14:paraId="58ED93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3357</w:t>
            </w:r>
          </w:p>
        </w:tc>
        <w:tc>
          <w:tcPr>
            <w:tcW w:w="613" w:type="dxa"/>
          </w:tcPr>
          <w:p w14:paraId="2D3DB7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2216</w:t>
            </w:r>
          </w:p>
        </w:tc>
        <w:tc>
          <w:tcPr>
            <w:tcW w:w="345" w:type="dxa"/>
          </w:tcPr>
          <w:p w14:paraId="33C31E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3236</w:t>
            </w:r>
          </w:p>
        </w:tc>
        <w:tc>
          <w:tcPr>
            <w:tcW w:w="345" w:type="dxa"/>
          </w:tcPr>
          <w:p w14:paraId="5F7CD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2524</w:t>
            </w:r>
          </w:p>
        </w:tc>
        <w:tc>
          <w:tcPr>
            <w:tcW w:w="345" w:type="dxa"/>
          </w:tcPr>
          <w:p w14:paraId="532C66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1539</w:t>
            </w:r>
          </w:p>
        </w:tc>
        <w:tc>
          <w:tcPr>
            <w:tcW w:w="345" w:type="dxa"/>
          </w:tcPr>
          <w:p w14:paraId="695A66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1550</w:t>
            </w:r>
          </w:p>
        </w:tc>
        <w:tc>
          <w:tcPr>
            <w:tcW w:w="302" w:type="dxa"/>
          </w:tcPr>
          <w:p w14:paraId="4C230AF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7687E1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EB958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9102</w:t>
            </w:r>
          </w:p>
        </w:tc>
        <w:tc>
          <w:tcPr>
            <w:tcW w:w="345" w:type="dxa"/>
          </w:tcPr>
          <w:p w14:paraId="277D3A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7614</w:t>
            </w:r>
          </w:p>
        </w:tc>
      </w:tr>
      <w:tr w:rsidR="000F5689" w:rsidRPr="00925F26" w14:paraId="715EBEF7" w14:textId="77777777">
        <w:tc>
          <w:tcPr>
            <w:tcW w:w="3349" w:type="dxa"/>
          </w:tcPr>
          <w:p w14:paraId="6B3713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ОМ</w:t>
            </w:r>
          </w:p>
        </w:tc>
        <w:tc>
          <w:tcPr>
            <w:tcW w:w="964" w:type="dxa"/>
          </w:tcPr>
          <w:p w14:paraId="3AE717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964" w:type="dxa"/>
          </w:tcPr>
          <w:p w14:paraId="4E7719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745" w:type="dxa"/>
          </w:tcPr>
          <w:p w14:paraId="4A176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613" w:type="dxa"/>
          </w:tcPr>
          <w:p w14:paraId="7FBC68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w:t>
            </w:r>
          </w:p>
        </w:tc>
        <w:tc>
          <w:tcPr>
            <w:tcW w:w="345" w:type="dxa"/>
          </w:tcPr>
          <w:p w14:paraId="79FDBFA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6AE8FA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1C9209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BF3A8BA"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2D9CD50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4A5C8E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71A4C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345" w:type="dxa"/>
          </w:tcPr>
          <w:p w14:paraId="66FC1F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152</w:t>
            </w:r>
          </w:p>
        </w:tc>
      </w:tr>
      <w:tr w:rsidR="000F5689" w:rsidRPr="00925F26" w14:paraId="3A964A14" w14:textId="77777777">
        <w:tc>
          <w:tcPr>
            <w:tcW w:w="3349" w:type="dxa"/>
          </w:tcPr>
          <w:p w14:paraId="5AD10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64" w:type="dxa"/>
          </w:tcPr>
          <w:p w14:paraId="1F5D3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3053</w:t>
            </w:r>
          </w:p>
        </w:tc>
        <w:tc>
          <w:tcPr>
            <w:tcW w:w="964" w:type="dxa"/>
          </w:tcPr>
          <w:p w14:paraId="55AA23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1656</w:t>
            </w:r>
          </w:p>
        </w:tc>
        <w:tc>
          <w:tcPr>
            <w:tcW w:w="745" w:type="dxa"/>
          </w:tcPr>
          <w:p w14:paraId="7B11DB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4128</w:t>
            </w:r>
          </w:p>
        </w:tc>
        <w:tc>
          <w:tcPr>
            <w:tcW w:w="613" w:type="dxa"/>
          </w:tcPr>
          <w:p w14:paraId="77167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2908</w:t>
            </w:r>
          </w:p>
        </w:tc>
        <w:tc>
          <w:tcPr>
            <w:tcW w:w="345" w:type="dxa"/>
          </w:tcPr>
          <w:p w14:paraId="331AE5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3718</w:t>
            </w:r>
          </w:p>
        </w:tc>
        <w:tc>
          <w:tcPr>
            <w:tcW w:w="345" w:type="dxa"/>
          </w:tcPr>
          <w:p w14:paraId="29F4A4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3334</w:t>
            </w:r>
          </w:p>
        </w:tc>
        <w:tc>
          <w:tcPr>
            <w:tcW w:w="345" w:type="dxa"/>
          </w:tcPr>
          <w:p w14:paraId="294B00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2210</w:t>
            </w:r>
          </w:p>
        </w:tc>
        <w:tc>
          <w:tcPr>
            <w:tcW w:w="345" w:type="dxa"/>
          </w:tcPr>
          <w:p w14:paraId="3D596A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2204</w:t>
            </w:r>
          </w:p>
        </w:tc>
        <w:tc>
          <w:tcPr>
            <w:tcW w:w="302" w:type="dxa"/>
          </w:tcPr>
          <w:p w14:paraId="2A61B4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394</w:t>
            </w:r>
          </w:p>
        </w:tc>
        <w:tc>
          <w:tcPr>
            <w:tcW w:w="345" w:type="dxa"/>
          </w:tcPr>
          <w:p w14:paraId="015751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325</w:t>
            </w:r>
          </w:p>
        </w:tc>
        <w:tc>
          <w:tcPr>
            <w:tcW w:w="345" w:type="dxa"/>
          </w:tcPr>
          <w:p w14:paraId="0DEE8B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13503</w:t>
            </w:r>
          </w:p>
        </w:tc>
        <w:tc>
          <w:tcPr>
            <w:tcW w:w="345" w:type="dxa"/>
          </w:tcPr>
          <w:p w14:paraId="135839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10427</w:t>
            </w:r>
          </w:p>
        </w:tc>
      </w:tr>
      <w:tr w:rsidR="000F5689" w:rsidRPr="00925F26" w14:paraId="73396D22" w14:textId="77777777" w:rsidTr="00665165">
        <w:tc>
          <w:tcPr>
            <w:tcW w:w="3349" w:type="dxa"/>
            <w:gridSpan w:val="13"/>
          </w:tcPr>
          <w:p w14:paraId="32A4B1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III. Авиационные патроны со звеньями (</w:t>
            </w:r>
            <w:proofErr w:type="gramStart"/>
            <w:r w:rsidRPr="00925F26">
              <w:rPr>
                <w:color w:val="000000" w:themeColor="text1"/>
                <w:sz w:val="16"/>
                <w:szCs w:val="16"/>
              </w:rPr>
              <w:t>млн.штук</w:t>
            </w:r>
            <w:proofErr w:type="gramEnd"/>
            <w:r w:rsidRPr="00925F26">
              <w:rPr>
                <w:color w:val="000000" w:themeColor="text1"/>
                <w:sz w:val="16"/>
                <w:szCs w:val="16"/>
              </w:rPr>
              <w:t>)</w:t>
            </w:r>
          </w:p>
        </w:tc>
      </w:tr>
      <w:tr w:rsidR="000F5689" w:rsidRPr="00925F26" w14:paraId="6439DAE8" w14:textId="77777777">
        <w:tc>
          <w:tcPr>
            <w:tcW w:w="3349" w:type="dxa"/>
          </w:tcPr>
          <w:p w14:paraId="7D1CAD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7,62-мм патроны ШКАС с бронебойной пулей "Б-32"</w:t>
            </w:r>
          </w:p>
        </w:tc>
        <w:tc>
          <w:tcPr>
            <w:tcW w:w="964" w:type="dxa"/>
          </w:tcPr>
          <w:p w14:paraId="5027EE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264</w:t>
            </w:r>
          </w:p>
        </w:tc>
        <w:tc>
          <w:tcPr>
            <w:tcW w:w="964" w:type="dxa"/>
          </w:tcPr>
          <w:p w14:paraId="26E5D9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w:t>
            </w:r>
          </w:p>
        </w:tc>
        <w:tc>
          <w:tcPr>
            <w:tcW w:w="745" w:type="dxa"/>
          </w:tcPr>
          <w:p w14:paraId="5AE42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99</w:t>
            </w:r>
          </w:p>
        </w:tc>
        <w:tc>
          <w:tcPr>
            <w:tcW w:w="613" w:type="dxa"/>
          </w:tcPr>
          <w:p w14:paraId="7CD1A5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c>
          <w:tcPr>
            <w:tcW w:w="345" w:type="dxa"/>
          </w:tcPr>
          <w:p w14:paraId="11CA16A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0D3D02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8E40BB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FA2CFF0"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340FFD3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471BDF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A923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w:t>
            </w:r>
          </w:p>
        </w:tc>
        <w:tc>
          <w:tcPr>
            <w:tcW w:w="345" w:type="dxa"/>
          </w:tcPr>
          <w:p w14:paraId="574745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286</w:t>
            </w:r>
          </w:p>
        </w:tc>
      </w:tr>
      <w:tr w:rsidR="000F5689" w:rsidRPr="00925F26" w14:paraId="42EFBB07" w14:textId="77777777">
        <w:tc>
          <w:tcPr>
            <w:tcW w:w="3349" w:type="dxa"/>
          </w:tcPr>
          <w:p w14:paraId="1A8FEA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7,62-мм патроны ШКАС с зажигательно-бронебойной пулей "ЗБ-46"</w:t>
            </w:r>
          </w:p>
        </w:tc>
        <w:tc>
          <w:tcPr>
            <w:tcW w:w="964" w:type="dxa"/>
          </w:tcPr>
          <w:p w14:paraId="1E323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326</w:t>
            </w:r>
          </w:p>
        </w:tc>
        <w:tc>
          <w:tcPr>
            <w:tcW w:w="964" w:type="dxa"/>
          </w:tcPr>
          <w:p w14:paraId="07B883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317</w:t>
            </w:r>
          </w:p>
        </w:tc>
        <w:tc>
          <w:tcPr>
            <w:tcW w:w="745" w:type="dxa"/>
          </w:tcPr>
          <w:p w14:paraId="4C8D5C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613" w:type="dxa"/>
          </w:tcPr>
          <w:p w14:paraId="662607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345" w:type="dxa"/>
          </w:tcPr>
          <w:p w14:paraId="5C03B34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502826B"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C51F68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F6A45C0"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7B02818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A3033B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63DEB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w:t>
            </w:r>
          </w:p>
        </w:tc>
        <w:tc>
          <w:tcPr>
            <w:tcW w:w="345" w:type="dxa"/>
          </w:tcPr>
          <w:p w14:paraId="6076A6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343</w:t>
            </w:r>
          </w:p>
        </w:tc>
      </w:tr>
      <w:tr w:rsidR="000F5689" w:rsidRPr="00925F26" w14:paraId="6CFBE666" w14:textId="77777777">
        <w:tc>
          <w:tcPr>
            <w:tcW w:w="3349" w:type="dxa"/>
          </w:tcPr>
          <w:p w14:paraId="01E6D3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7,62-мм патроны ШКАС с пулей "ПЗ"</w:t>
            </w:r>
          </w:p>
        </w:tc>
        <w:tc>
          <w:tcPr>
            <w:tcW w:w="964" w:type="dxa"/>
          </w:tcPr>
          <w:p w14:paraId="0F5E44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255</w:t>
            </w:r>
          </w:p>
        </w:tc>
        <w:tc>
          <w:tcPr>
            <w:tcW w:w="964" w:type="dxa"/>
          </w:tcPr>
          <w:p w14:paraId="2E7F9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286</w:t>
            </w:r>
          </w:p>
        </w:tc>
        <w:tc>
          <w:tcPr>
            <w:tcW w:w="745" w:type="dxa"/>
          </w:tcPr>
          <w:p w14:paraId="6F8019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613" w:type="dxa"/>
          </w:tcPr>
          <w:p w14:paraId="20656D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345" w:type="dxa"/>
          </w:tcPr>
          <w:p w14:paraId="6E397E0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EA44A0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FB7C73A"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862E51E"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04FCA33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B0E3D6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C57BD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w:t>
            </w:r>
          </w:p>
        </w:tc>
        <w:tc>
          <w:tcPr>
            <w:tcW w:w="345" w:type="dxa"/>
          </w:tcPr>
          <w:p w14:paraId="6D1F83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312</w:t>
            </w:r>
          </w:p>
        </w:tc>
      </w:tr>
      <w:tr w:rsidR="000F5689" w:rsidRPr="00925F26" w14:paraId="29E27D04" w14:textId="77777777">
        <w:tc>
          <w:tcPr>
            <w:tcW w:w="3349" w:type="dxa"/>
          </w:tcPr>
          <w:p w14:paraId="16C2CC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64" w:type="dxa"/>
          </w:tcPr>
          <w:p w14:paraId="4A2AE3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845</w:t>
            </w:r>
          </w:p>
        </w:tc>
        <w:tc>
          <w:tcPr>
            <w:tcW w:w="964" w:type="dxa"/>
          </w:tcPr>
          <w:p w14:paraId="6A609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824</w:t>
            </w:r>
          </w:p>
        </w:tc>
        <w:tc>
          <w:tcPr>
            <w:tcW w:w="745" w:type="dxa"/>
          </w:tcPr>
          <w:p w14:paraId="16E64C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c>
          <w:tcPr>
            <w:tcW w:w="613" w:type="dxa"/>
          </w:tcPr>
          <w:p w14:paraId="1C14C4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117</w:t>
            </w:r>
          </w:p>
        </w:tc>
        <w:tc>
          <w:tcPr>
            <w:tcW w:w="345" w:type="dxa"/>
          </w:tcPr>
          <w:p w14:paraId="63C8E9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2DC3DA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4D9CAF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0EF43E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02" w:type="dxa"/>
          </w:tcPr>
          <w:p w14:paraId="4B208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390AF6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345" w:type="dxa"/>
          </w:tcPr>
          <w:p w14:paraId="749F51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345" w:type="dxa"/>
          </w:tcPr>
          <w:p w14:paraId="1EFB4D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941</w:t>
            </w:r>
          </w:p>
        </w:tc>
      </w:tr>
      <w:tr w:rsidR="000F5689" w:rsidRPr="00925F26" w14:paraId="15062521" w14:textId="77777777">
        <w:tc>
          <w:tcPr>
            <w:tcW w:w="3349" w:type="dxa"/>
          </w:tcPr>
          <w:p w14:paraId="70E2D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12,7-мм патроны Березина с бронебойной пулей "Б-32"</w:t>
            </w:r>
          </w:p>
        </w:tc>
        <w:tc>
          <w:tcPr>
            <w:tcW w:w="964" w:type="dxa"/>
          </w:tcPr>
          <w:p w14:paraId="49D69E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w:t>
            </w:r>
          </w:p>
        </w:tc>
        <w:tc>
          <w:tcPr>
            <w:tcW w:w="964" w:type="dxa"/>
          </w:tcPr>
          <w:p w14:paraId="4991E4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745" w:type="dxa"/>
          </w:tcPr>
          <w:p w14:paraId="7CE4E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613" w:type="dxa"/>
          </w:tcPr>
          <w:p w14:paraId="751A59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345" w:type="dxa"/>
          </w:tcPr>
          <w:p w14:paraId="0ED9B6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345" w:type="dxa"/>
          </w:tcPr>
          <w:p w14:paraId="51386E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345" w:type="dxa"/>
          </w:tcPr>
          <w:p w14:paraId="7CF05A74"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BCB0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02" w:type="dxa"/>
          </w:tcPr>
          <w:p w14:paraId="27401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60E8A1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345" w:type="dxa"/>
          </w:tcPr>
          <w:p w14:paraId="57834E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167</w:t>
            </w:r>
          </w:p>
        </w:tc>
        <w:tc>
          <w:tcPr>
            <w:tcW w:w="345" w:type="dxa"/>
          </w:tcPr>
          <w:p w14:paraId="63642C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r>
      <w:tr w:rsidR="000F5689" w:rsidRPr="00925F26" w14:paraId="3225F682" w14:textId="77777777">
        <w:tc>
          <w:tcPr>
            <w:tcW w:w="3349" w:type="dxa"/>
          </w:tcPr>
          <w:p w14:paraId="27CB31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12,7-мм патроны Березина с бронебойно-зажигательно-фосфорной пулей "БЗФ"</w:t>
            </w:r>
          </w:p>
        </w:tc>
        <w:tc>
          <w:tcPr>
            <w:tcW w:w="964" w:type="dxa"/>
          </w:tcPr>
          <w:p w14:paraId="3942D5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964" w:type="dxa"/>
          </w:tcPr>
          <w:p w14:paraId="540D0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745" w:type="dxa"/>
          </w:tcPr>
          <w:p w14:paraId="1294FD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613" w:type="dxa"/>
          </w:tcPr>
          <w:p w14:paraId="78DE98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345" w:type="dxa"/>
          </w:tcPr>
          <w:p w14:paraId="0E8E8A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345" w:type="dxa"/>
          </w:tcPr>
          <w:p w14:paraId="0D51E2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45" w:type="dxa"/>
          </w:tcPr>
          <w:p w14:paraId="19642AF9"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2D15B5D"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24AACE8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7C1354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A24EB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w:t>
            </w:r>
          </w:p>
        </w:tc>
        <w:tc>
          <w:tcPr>
            <w:tcW w:w="345" w:type="dxa"/>
          </w:tcPr>
          <w:p w14:paraId="55622B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r>
      <w:tr w:rsidR="000F5689" w:rsidRPr="00925F26" w14:paraId="58ABB6C5" w14:textId="77777777">
        <w:tc>
          <w:tcPr>
            <w:tcW w:w="3349" w:type="dxa"/>
          </w:tcPr>
          <w:p w14:paraId="756EB8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12,7-мм патроны Березина с бронебойно-зажигательно-трассирующей пулей "БЗТ"</w:t>
            </w:r>
          </w:p>
        </w:tc>
        <w:tc>
          <w:tcPr>
            <w:tcW w:w="964" w:type="dxa"/>
          </w:tcPr>
          <w:p w14:paraId="33B2DB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964" w:type="dxa"/>
          </w:tcPr>
          <w:p w14:paraId="6F8922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745" w:type="dxa"/>
          </w:tcPr>
          <w:p w14:paraId="7AEC92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613" w:type="dxa"/>
          </w:tcPr>
          <w:p w14:paraId="60AD1A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6BE07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345" w:type="dxa"/>
          </w:tcPr>
          <w:p w14:paraId="1CEFC3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345" w:type="dxa"/>
          </w:tcPr>
          <w:p w14:paraId="351A03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345" w:type="dxa"/>
          </w:tcPr>
          <w:p w14:paraId="41FA31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302" w:type="dxa"/>
          </w:tcPr>
          <w:p w14:paraId="36531A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2D3C7B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045A6D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345" w:type="dxa"/>
          </w:tcPr>
          <w:p w14:paraId="1C2BD5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r>
      <w:tr w:rsidR="000F5689" w:rsidRPr="00925F26" w14:paraId="77BA20F6" w14:textId="77777777">
        <w:tc>
          <w:tcPr>
            <w:tcW w:w="3349" w:type="dxa"/>
          </w:tcPr>
          <w:p w14:paraId="4E8F80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12,7-мм патроны Березина зажигательные мгновенного действия "МДЗ"</w:t>
            </w:r>
          </w:p>
        </w:tc>
        <w:tc>
          <w:tcPr>
            <w:tcW w:w="964" w:type="dxa"/>
          </w:tcPr>
          <w:p w14:paraId="724C2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964" w:type="dxa"/>
          </w:tcPr>
          <w:p w14:paraId="6F0C68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745" w:type="dxa"/>
          </w:tcPr>
          <w:p w14:paraId="4A1607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613" w:type="dxa"/>
          </w:tcPr>
          <w:p w14:paraId="4A3A24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3384E4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0C4798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31B7F3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45" w:type="dxa"/>
          </w:tcPr>
          <w:p w14:paraId="79022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02" w:type="dxa"/>
          </w:tcPr>
          <w:p w14:paraId="624F051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C8231EC"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9C1EE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345" w:type="dxa"/>
          </w:tcPr>
          <w:p w14:paraId="1FF792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6873FBBF" w14:textId="77777777">
        <w:tc>
          <w:tcPr>
            <w:tcW w:w="3349" w:type="dxa"/>
          </w:tcPr>
          <w:p w14:paraId="3A8F7F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64" w:type="dxa"/>
          </w:tcPr>
          <w:p w14:paraId="2E2477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w:t>
            </w:r>
          </w:p>
        </w:tc>
        <w:tc>
          <w:tcPr>
            <w:tcW w:w="964" w:type="dxa"/>
          </w:tcPr>
          <w:p w14:paraId="481AED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w:t>
            </w:r>
          </w:p>
        </w:tc>
        <w:tc>
          <w:tcPr>
            <w:tcW w:w="745" w:type="dxa"/>
          </w:tcPr>
          <w:p w14:paraId="4C0FD5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w:t>
            </w:r>
          </w:p>
        </w:tc>
        <w:tc>
          <w:tcPr>
            <w:tcW w:w="613" w:type="dxa"/>
          </w:tcPr>
          <w:p w14:paraId="1677F6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w:t>
            </w:r>
          </w:p>
        </w:tc>
        <w:tc>
          <w:tcPr>
            <w:tcW w:w="345" w:type="dxa"/>
          </w:tcPr>
          <w:p w14:paraId="133C01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w:t>
            </w:r>
          </w:p>
        </w:tc>
        <w:tc>
          <w:tcPr>
            <w:tcW w:w="345" w:type="dxa"/>
          </w:tcPr>
          <w:p w14:paraId="0010AF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345" w:type="dxa"/>
          </w:tcPr>
          <w:p w14:paraId="1B3C1F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345" w:type="dxa"/>
          </w:tcPr>
          <w:p w14:paraId="6C83F5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302" w:type="dxa"/>
          </w:tcPr>
          <w:p w14:paraId="1D698C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345" w:type="dxa"/>
          </w:tcPr>
          <w:p w14:paraId="753B9F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345" w:type="dxa"/>
          </w:tcPr>
          <w:p w14:paraId="0B604D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w:t>
            </w:r>
          </w:p>
        </w:tc>
        <w:tc>
          <w:tcPr>
            <w:tcW w:w="345" w:type="dxa"/>
          </w:tcPr>
          <w:p w14:paraId="088EC6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w:t>
            </w:r>
          </w:p>
        </w:tc>
      </w:tr>
      <w:tr w:rsidR="000F5689" w:rsidRPr="00925F26" w14:paraId="13610F25" w14:textId="77777777">
        <w:tc>
          <w:tcPr>
            <w:tcW w:w="3349" w:type="dxa"/>
          </w:tcPr>
          <w:p w14:paraId="448DBE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20-мм патроны ШВАК с бронебойно-зажигательным снарядом "БЗ"</w:t>
            </w:r>
          </w:p>
        </w:tc>
        <w:tc>
          <w:tcPr>
            <w:tcW w:w="964" w:type="dxa"/>
          </w:tcPr>
          <w:p w14:paraId="0CD424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964" w:type="dxa"/>
          </w:tcPr>
          <w:p w14:paraId="417DB7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745" w:type="dxa"/>
          </w:tcPr>
          <w:p w14:paraId="0F023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613" w:type="dxa"/>
          </w:tcPr>
          <w:p w14:paraId="6224B0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345" w:type="dxa"/>
          </w:tcPr>
          <w:p w14:paraId="34812C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345" w:type="dxa"/>
          </w:tcPr>
          <w:p w14:paraId="5AA143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345" w:type="dxa"/>
          </w:tcPr>
          <w:p w14:paraId="77B82B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45" w:type="dxa"/>
          </w:tcPr>
          <w:p w14:paraId="6F600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02" w:type="dxa"/>
          </w:tcPr>
          <w:p w14:paraId="5105EE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345" w:type="dxa"/>
          </w:tcPr>
          <w:p w14:paraId="6BA4D4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2D7544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345" w:type="dxa"/>
          </w:tcPr>
          <w:p w14:paraId="06C01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r>
      <w:tr w:rsidR="000F5689" w:rsidRPr="00925F26" w14:paraId="02DC9D2E" w14:textId="77777777" w:rsidTr="00665165">
        <w:tc>
          <w:tcPr>
            <w:tcW w:w="3349" w:type="dxa"/>
            <w:gridSpan w:val="5"/>
          </w:tcPr>
          <w:p w14:paraId="0D8EC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20-мм патроны ШВАК с осколочно-зажигательно-трассирующим снарядом "ОЗТ"</w:t>
            </w:r>
          </w:p>
        </w:tc>
        <w:tc>
          <w:tcPr>
            <w:tcW w:w="345" w:type="dxa"/>
          </w:tcPr>
          <w:p w14:paraId="392675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136ACD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035EE0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345" w:type="dxa"/>
          </w:tcPr>
          <w:p w14:paraId="69DECC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302" w:type="dxa"/>
          </w:tcPr>
          <w:p w14:paraId="234FA1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40FEFF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1199DD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345" w:type="dxa"/>
          </w:tcPr>
          <w:p w14:paraId="56C5F1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r>
      <w:tr w:rsidR="000F5689" w:rsidRPr="00925F26" w14:paraId="7A5F2460" w14:textId="77777777">
        <w:tc>
          <w:tcPr>
            <w:tcW w:w="3349" w:type="dxa"/>
          </w:tcPr>
          <w:p w14:paraId="6486A4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20-мм патроны ШВАК с осколочно-зажигательным снарядом "ОЗ"</w:t>
            </w:r>
          </w:p>
        </w:tc>
        <w:tc>
          <w:tcPr>
            <w:tcW w:w="964" w:type="dxa"/>
          </w:tcPr>
          <w:p w14:paraId="1C6C79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964" w:type="dxa"/>
          </w:tcPr>
          <w:p w14:paraId="088D7D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745" w:type="dxa"/>
          </w:tcPr>
          <w:p w14:paraId="370D63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613" w:type="dxa"/>
          </w:tcPr>
          <w:p w14:paraId="17B195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45" w:type="dxa"/>
          </w:tcPr>
          <w:p w14:paraId="12AF2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64A613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524BDEEE"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43B42953" w14:textId="77777777" w:rsidR="00665165" w:rsidRPr="00925F26" w:rsidRDefault="00665165" w:rsidP="00925F26">
            <w:pPr>
              <w:autoSpaceDE w:val="0"/>
              <w:autoSpaceDN w:val="0"/>
              <w:adjustRightInd w:val="0"/>
              <w:jc w:val="both"/>
              <w:rPr>
                <w:color w:val="000000" w:themeColor="text1"/>
                <w:sz w:val="16"/>
                <w:szCs w:val="16"/>
              </w:rPr>
            </w:pPr>
          </w:p>
        </w:tc>
        <w:tc>
          <w:tcPr>
            <w:tcW w:w="302" w:type="dxa"/>
          </w:tcPr>
          <w:p w14:paraId="71A23F5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8643BC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385524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345" w:type="dxa"/>
          </w:tcPr>
          <w:p w14:paraId="3564E2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r>
      <w:tr w:rsidR="000F5689" w:rsidRPr="00925F26" w14:paraId="17A8FCFB" w14:textId="77777777">
        <w:tc>
          <w:tcPr>
            <w:tcW w:w="3349" w:type="dxa"/>
          </w:tcPr>
          <w:p w14:paraId="2F0361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64" w:type="dxa"/>
          </w:tcPr>
          <w:p w14:paraId="2FC5F1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964" w:type="dxa"/>
          </w:tcPr>
          <w:p w14:paraId="57BB62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745" w:type="dxa"/>
          </w:tcPr>
          <w:p w14:paraId="4AC6FE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613" w:type="dxa"/>
          </w:tcPr>
          <w:p w14:paraId="4F2D46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345" w:type="dxa"/>
          </w:tcPr>
          <w:p w14:paraId="16FDFA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345" w:type="dxa"/>
          </w:tcPr>
          <w:p w14:paraId="28857F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345" w:type="dxa"/>
          </w:tcPr>
          <w:p w14:paraId="2489AE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345" w:type="dxa"/>
          </w:tcPr>
          <w:p w14:paraId="50EC7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302" w:type="dxa"/>
          </w:tcPr>
          <w:p w14:paraId="1B2DCF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345" w:type="dxa"/>
          </w:tcPr>
          <w:p w14:paraId="47757A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345" w:type="dxa"/>
          </w:tcPr>
          <w:p w14:paraId="00F34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w:t>
            </w:r>
          </w:p>
        </w:tc>
        <w:tc>
          <w:tcPr>
            <w:tcW w:w="345" w:type="dxa"/>
          </w:tcPr>
          <w:p w14:paraId="0FBE6E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w:t>
            </w:r>
          </w:p>
        </w:tc>
      </w:tr>
      <w:tr w:rsidR="000F5689" w:rsidRPr="00925F26" w14:paraId="5777BAB9" w14:textId="77777777">
        <w:tc>
          <w:tcPr>
            <w:tcW w:w="3349" w:type="dxa"/>
          </w:tcPr>
          <w:p w14:paraId="48FDDA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23-мм патроны ВЯ с бронебойно-зажигательным снарядом "БЗ"</w:t>
            </w:r>
          </w:p>
        </w:tc>
        <w:tc>
          <w:tcPr>
            <w:tcW w:w="964" w:type="dxa"/>
          </w:tcPr>
          <w:p w14:paraId="4DA6C5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964" w:type="dxa"/>
          </w:tcPr>
          <w:p w14:paraId="11EFB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745" w:type="dxa"/>
          </w:tcPr>
          <w:p w14:paraId="345684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613" w:type="dxa"/>
          </w:tcPr>
          <w:p w14:paraId="761479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45" w:type="dxa"/>
          </w:tcPr>
          <w:p w14:paraId="0A8FC0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345" w:type="dxa"/>
          </w:tcPr>
          <w:p w14:paraId="47CD2B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345" w:type="dxa"/>
          </w:tcPr>
          <w:p w14:paraId="25044E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314ADA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302" w:type="dxa"/>
          </w:tcPr>
          <w:p w14:paraId="1FAB4F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0A265B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7C995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345" w:type="dxa"/>
          </w:tcPr>
          <w:p w14:paraId="21C9D8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w:t>
            </w:r>
          </w:p>
        </w:tc>
      </w:tr>
      <w:tr w:rsidR="000F5689" w:rsidRPr="00925F26" w14:paraId="4F9BB387" w14:textId="77777777" w:rsidTr="00665165">
        <w:tc>
          <w:tcPr>
            <w:tcW w:w="3349" w:type="dxa"/>
            <w:gridSpan w:val="4"/>
          </w:tcPr>
          <w:p w14:paraId="27432C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23-мм патроны ВЯ с осколочно-зажигательно-трассирующим снарядом "ОЗТ"</w:t>
            </w:r>
          </w:p>
        </w:tc>
        <w:tc>
          <w:tcPr>
            <w:tcW w:w="613" w:type="dxa"/>
          </w:tcPr>
          <w:p w14:paraId="571921B6"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A2F1A08"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C0699B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44408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345" w:type="dxa"/>
          </w:tcPr>
          <w:p w14:paraId="6109DC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302" w:type="dxa"/>
          </w:tcPr>
          <w:p w14:paraId="525A00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61C238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7300CD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345" w:type="dxa"/>
          </w:tcPr>
          <w:p w14:paraId="00E0E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r>
      <w:tr w:rsidR="000F5689" w:rsidRPr="00925F26" w14:paraId="6157E25E" w14:textId="77777777">
        <w:tc>
          <w:tcPr>
            <w:tcW w:w="3349" w:type="dxa"/>
          </w:tcPr>
          <w:p w14:paraId="234316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23-мм патроны ВЯ с осколочно-зажигательным снарядом "ОЗ"</w:t>
            </w:r>
          </w:p>
        </w:tc>
        <w:tc>
          <w:tcPr>
            <w:tcW w:w="964" w:type="dxa"/>
          </w:tcPr>
          <w:p w14:paraId="5FCB3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964" w:type="dxa"/>
          </w:tcPr>
          <w:p w14:paraId="11768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745" w:type="dxa"/>
          </w:tcPr>
          <w:p w14:paraId="0C0F02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613" w:type="dxa"/>
          </w:tcPr>
          <w:p w14:paraId="36D7E2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345" w:type="dxa"/>
          </w:tcPr>
          <w:p w14:paraId="13236C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345" w:type="dxa"/>
          </w:tcPr>
          <w:p w14:paraId="50F89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345" w:type="dxa"/>
          </w:tcPr>
          <w:p w14:paraId="6B3970E1"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5AC66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302" w:type="dxa"/>
          </w:tcPr>
          <w:p w14:paraId="11EE5C5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005A57B9"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24E3F1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345" w:type="dxa"/>
          </w:tcPr>
          <w:p w14:paraId="57C5FB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r>
      <w:tr w:rsidR="000F5689" w:rsidRPr="00925F26" w14:paraId="7DBA8DE6" w14:textId="77777777">
        <w:tc>
          <w:tcPr>
            <w:tcW w:w="3349" w:type="dxa"/>
          </w:tcPr>
          <w:p w14:paraId="03942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64" w:type="dxa"/>
          </w:tcPr>
          <w:p w14:paraId="65916F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964" w:type="dxa"/>
          </w:tcPr>
          <w:p w14:paraId="1771F2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745" w:type="dxa"/>
          </w:tcPr>
          <w:p w14:paraId="0960D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613" w:type="dxa"/>
          </w:tcPr>
          <w:p w14:paraId="62741A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345" w:type="dxa"/>
          </w:tcPr>
          <w:p w14:paraId="1B1A0D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345" w:type="dxa"/>
          </w:tcPr>
          <w:p w14:paraId="518F0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345" w:type="dxa"/>
          </w:tcPr>
          <w:p w14:paraId="77DF1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345" w:type="dxa"/>
          </w:tcPr>
          <w:p w14:paraId="440FB9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302" w:type="dxa"/>
          </w:tcPr>
          <w:p w14:paraId="2A5C2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345" w:type="dxa"/>
          </w:tcPr>
          <w:p w14:paraId="2C190F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345" w:type="dxa"/>
          </w:tcPr>
          <w:p w14:paraId="587B32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345" w:type="dxa"/>
          </w:tcPr>
          <w:p w14:paraId="095E32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r>
      <w:tr w:rsidR="000F5689" w:rsidRPr="00925F26" w14:paraId="0F91F9C8" w14:textId="77777777" w:rsidTr="00665165">
        <w:tc>
          <w:tcPr>
            <w:tcW w:w="3349" w:type="dxa"/>
            <w:gridSpan w:val="3"/>
          </w:tcPr>
          <w:p w14:paraId="78E2A9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37-мм патроны с бронебойно-зажигательно-трассирующим снарядом "БЗТ"</w:t>
            </w:r>
          </w:p>
        </w:tc>
        <w:tc>
          <w:tcPr>
            <w:tcW w:w="745" w:type="dxa"/>
          </w:tcPr>
          <w:p w14:paraId="2A9880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613" w:type="dxa"/>
          </w:tcPr>
          <w:p w14:paraId="377FD7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3E6ED0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45" w:type="dxa"/>
          </w:tcPr>
          <w:p w14:paraId="3C3578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6A4BC13F"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7417A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02" w:type="dxa"/>
          </w:tcPr>
          <w:p w14:paraId="25F27CB0"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2A63D6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E8DC3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3F8FED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10A5870E" w14:textId="77777777" w:rsidTr="00665165">
        <w:tc>
          <w:tcPr>
            <w:tcW w:w="3349" w:type="dxa"/>
            <w:gridSpan w:val="4"/>
          </w:tcPr>
          <w:p w14:paraId="6E281D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37-мм патроны с осколочно-зажигательно-трассирующим снарядом "ОЗТ"</w:t>
            </w:r>
          </w:p>
        </w:tc>
        <w:tc>
          <w:tcPr>
            <w:tcW w:w="613" w:type="dxa"/>
          </w:tcPr>
          <w:p w14:paraId="140D6CB7"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621077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2CC668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5293D9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0CF8BA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02" w:type="dxa"/>
          </w:tcPr>
          <w:p w14:paraId="3D048C8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28F3063"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A404C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45" w:type="dxa"/>
          </w:tcPr>
          <w:p w14:paraId="0FB0E7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5153E909" w14:textId="77777777">
        <w:tc>
          <w:tcPr>
            <w:tcW w:w="3349" w:type="dxa"/>
          </w:tcPr>
          <w:p w14:paraId="393AEC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23-мм патроны "НС" с "ОЗТ" снарядом</w:t>
            </w:r>
          </w:p>
        </w:tc>
        <w:tc>
          <w:tcPr>
            <w:tcW w:w="964" w:type="dxa"/>
          </w:tcPr>
          <w:p w14:paraId="247D3DAE" w14:textId="77777777" w:rsidR="00665165" w:rsidRPr="00925F26" w:rsidRDefault="00665165" w:rsidP="00925F26">
            <w:pPr>
              <w:autoSpaceDE w:val="0"/>
              <w:autoSpaceDN w:val="0"/>
              <w:adjustRightInd w:val="0"/>
              <w:jc w:val="both"/>
              <w:rPr>
                <w:color w:val="000000" w:themeColor="text1"/>
                <w:sz w:val="16"/>
                <w:szCs w:val="16"/>
              </w:rPr>
            </w:pPr>
          </w:p>
        </w:tc>
        <w:tc>
          <w:tcPr>
            <w:tcW w:w="964" w:type="dxa"/>
          </w:tcPr>
          <w:p w14:paraId="73B40916" w14:textId="77777777" w:rsidR="00665165" w:rsidRPr="00925F26" w:rsidRDefault="00665165" w:rsidP="00925F26">
            <w:pPr>
              <w:autoSpaceDE w:val="0"/>
              <w:autoSpaceDN w:val="0"/>
              <w:adjustRightInd w:val="0"/>
              <w:jc w:val="both"/>
              <w:rPr>
                <w:color w:val="000000" w:themeColor="text1"/>
                <w:sz w:val="16"/>
                <w:szCs w:val="16"/>
              </w:rPr>
            </w:pPr>
          </w:p>
        </w:tc>
        <w:tc>
          <w:tcPr>
            <w:tcW w:w="745" w:type="dxa"/>
          </w:tcPr>
          <w:p w14:paraId="5CCD78C4" w14:textId="77777777" w:rsidR="00665165" w:rsidRPr="00925F26" w:rsidRDefault="00665165" w:rsidP="00925F26">
            <w:pPr>
              <w:autoSpaceDE w:val="0"/>
              <w:autoSpaceDN w:val="0"/>
              <w:adjustRightInd w:val="0"/>
              <w:jc w:val="both"/>
              <w:rPr>
                <w:color w:val="000000" w:themeColor="text1"/>
                <w:sz w:val="16"/>
                <w:szCs w:val="16"/>
              </w:rPr>
            </w:pPr>
          </w:p>
        </w:tc>
        <w:tc>
          <w:tcPr>
            <w:tcW w:w="613" w:type="dxa"/>
          </w:tcPr>
          <w:p w14:paraId="519EE712"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58137EA5"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7EEE695D" w14:textId="77777777" w:rsidR="00665165" w:rsidRPr="00925F26" w:rsidRDefault="00665165" w:rsidP="00925F26">
            <w:pPr>
              <w:autoSpaceDE w:val="0"/>
              <w:autoSpaceDN w:val="0"/>
              <w:adjustRightInd w:val="0"/>
              <w:jc w:val="both"/>
              <w:rPr>
                <w:color w:val="000000" w:themeColor="text1"/>
                <w:sz w:val="16"/>
                <w:szCs w:val="16"/>
              </w:rPr>
            </w:pPr>
          </w:p>
        </w:tc>
        <w:tc>
          <w:tcPr>
            <w:tcW w:w="345" w:type="dxa"/>
          </w:tcPr>
          <w:p w14:paraId="1B4D04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0,7</w:t>
            </w:r>
          </w:p>
        </w:tc>
        <w:tc>
          <w:tcPr>
            <w:tcW w:w="345" w:type="dxa"/>
          </w:tcPr>
          <w:p w14:paraId="74AFBC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0,2</w:t>
            </w:r>
          </w:p>
        </w:tc>
        <w:tc>
          <w:tcPr>
            <w:tcW w:w="302" w:type="dxa"/>
          </w:tcPr>
          <w:p w14:paraId="14D82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0,5</w:t>
            </w:r>
          </w:p>
        </w:tc>
        <w:tc>
          <w:tcPr>
            <w:tcW w:w="345" w:type="dxa"/>
          </w:tcPr>
          <w:p w14:paraId="4346E3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0,3</w:t>
            </w:r>
          </w:p>
        </w:tc>
        <w:tc>
          <w:tcPr>
            <w:tcW w:w="345" w:type="dxa"/>
          </w:tcPr>
          <w:p w14:paraId="1198AF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345" w:type="dxa"/>
          </w:tcPr>
          <w:p w14:paraId="299EEF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0,5</w:t>
            </w:r>
          </w:p>
        </w:tc>
      </w:tr>
      <w:tr w:rsidR="000F5689" w:rsidRPr="00925F26" w14:paraId="38D8F91F" w14:textId="77777777">
        <w:tc>
          <w:tcPr>
            <w:tcW w:w="3349" w:type="dxa"/>
          </w:tcPr>
          <w:p w14:paraId="1B1FE0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64" w:type="dxa"/>
          </w:tcPr>
          <w:p w14:paraId="30E8ED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64" w:type="dxa"/>
          </w:tcPr>
          <w:p w14:paraId="72FA9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745" w:type="dxa"/>
          </w:tcPr>
          <w:p w14:paraId="11E82A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613" w:type="dxa"/>
          </w:tcPr>
          <w:p w14:paraId="12A1DD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345" w:type="dxa"/>
          </w:tcPr>
          <w:p w14:paraId="66B7D0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345" w:type="dxa"/>
          </w:tcPr>
          <w:p w14:paraId="34D2F3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345" w:type="dxa"/>
          </w:tcPr>
          <w:p w14:paraId="1BDA7F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345" w:type="dxa"/>
          </w:tcPr>
          <w:p w14:paraId="285640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302" w:type="dxa"/>
          </w:tcPr>
          <w:p w14:paraId="0FE9BD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0,5</w:t>
            </w:r>
          </w:p>
        </w:tc>
        <w:tc>
          <w:tcPr>
            <w:tcW w:w="345" w:type="dxa"/>
          </w:tcPr>
          <w:p w14:paraId="151F0E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0,3</w:t>
            </w:r>
          </w:p>
        </w:tc>
        <w:tc>
          <w:tcPr>
            <w:tcW w:w="345" w:type="dxa"/>
          </w:tcPr>
          <w:p w14:paraId="638EB1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345" w:type="dxa"/>
          </w:tcPr>
          <w:p w14:paraId="74429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r>
      <w:tr w:rsidR="000F5689" w:rsidRPr="00925F26" w14:paraId="69AB33BA" w14:textId="77777777">
        <w:tc>
          <w:tcPr>
            <w:tcW w:w="3349" w:type="dxa"/>
            <w:tcBorders>
              <w:bottom w:val="single" w:sz="12" w:space="0" w:color="000000"/>
            </w:tcBorders>
          </w:tcPr>
          <w:p w14:paraId="76D9E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64" w:type="dxa"/>
            <w:tcBorders>
              <w:bottom w:val="single" w:sz="12" w:space="0" w:color="000000"/>
            </w:tcBorders>
          </w:tcPr>
          <w:p w14:paraId="1F73FD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1007</w:t>
            </w:r>
          </w:p>
        </w:tc>
        <w:tc>
          <w:tcPr>
            <w:tcW w:w="964" w:type="dxa"/>
            <w:tcBorders>
              <w:bottom w:val="single" w:sz="12" w:space="0" w:color="000000"/>
            </w:tcBorders>
          </w:tcPr>
          <w:p w14:paraId="3FDB8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892</w:t>
            </w:r>
          </w:p>
        </w:tc>
        <w:tc>
          <w:tcPr>
            <w:tcW w:w="745" w:type="dxa"/>
            <w:tcBorders>
              <w:bottom w:val="single" w:sz="12" w:space="0" w:color="000000"/>
            </w:tcBorders>
          </w:tcPr>
          <w:p w14:paraId="64B319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289</w:t>
            </w:r>
          </w:p>
        </w:tc>
        <w:tc>
          <w:tcPr>
            <w:tcW w:w="613" w:type="dxa"/>
            <w:tcBorders>
              <w:bottom w:val="single" w:sz="12" w:space="0" w:color="000000"/>
            </w:tcBorders>
          </w:tcPr>
          <w:p w14:paraId="45E66A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202</w:t>
            </w:r>
          </w:p>
        </w:tc>
        <w:tc>
          <w:tcPr>
            <w:tcW w:w="345" w:type="dxa"/>
            <w:tcBorders>
              <w:bottom w:val="single" w:sz="12" w:space="0" w:color="000000"/>
            </w:tcBorders>
          </w:tcPr>
          <w:p w14:paraId="339C9E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345" w:type="dxa"/>
            <w:tcBorders>
              <w:bottom w:val="single" w:sz="12" w:space="0" w:color="000000"/>
            </w:tcBorders>
          </w:tcPr>
          <w:p w14:paraId="1A7B84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345" w:type="dxa"/>
            <w:tcBorders>
              <w:bottom w:val="single" w:sz="12" w:space="0" w:color="000000"/>
            </w:tcBorders>
          </w:tcPr>
          <w:p w14:paraId="0F88B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54,7</w:t>
            </w:r>
          </w:p>
        </w:tc>
        <w:tc>
          <w:tcPr>
            <w:tcW w:w="345" w:type="dxa"/>
            <w:tcBorders>
              <w:bottom w:val="single" w:sz="12" w:space="0" w:color="000000"/>
            </w:tcBorders>
          </w:tcPr>
          <w:p w14:paraId="0B062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61,2</w:t>
            </w:r>
          </w:p>
        </w:tc>
        <w:tc>
          <w:tcPr>
            <w:tcW w:w="302" w:type="dxa"/>
            <w:tcBorders>
              <w:bottom w:val="single" w:sz="12" w:space="0" w:color="000000"/>
            </w:tcBorders>
          </w:tcPr>
          <w:p w14:paraId="061D3F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w:t>
            </w:r>
          </w:p>
        </w:tc>
        <w:tc>
          <w:tcPr>
            <w:tcW w:w="345" w:type="dxa"/>
            <w:tcBorders>
              <w:bottom w:val="single" w:sz="12" w:space="0" w:color="000000"/>
            </w:tcBorders>
          </w:tcPr>
          <w:p w14:paraId="2B25B5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27,3</w:t>
            </w:r>
          </w:p>
        </w:tc>
        <w:tc>
          <w:tcPr>
            <w:tcW w:w="345" w:type="dxa"/>
            <w:tcBorders>
              <w:bottom w:val="single" w:sz="12" w:space="0" w:color="000000"/>
            </w:tcBorders>
          </w:tcPr>
          <w:p w14:paraId="60AEE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1502,2</w:t>
            </w:r>
          </w:p>
        </w:tc>
        <w:tc>
          <w:tcPr>
            <w:tcW w:w="345" w:type="dxa"/>
            <w:tcBorders>
              <w:bottom w:val="single" w:sz="12" w:space="0" w:color="000000"/>
            </w:tcBorders>
          </w:tcPr>
          <w:p w14:paraId="2FFBC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1292,5</w:t>
            </w:r>
          </w:p>
        </w:tc>
      </w:tr>
    </w:tbl>
    <w:p w14:paraId="67EC68D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Отдел мобпланирования ГШ ВВС, д.103, лл.118-129 (11016).</w:t>
      </w:r>
    </w:p>
    <w:p w14:paraId="738007FA" w14:textId="77777777" w:rsidR="00665165" w:rsidRPr="00925F26" w:rsidRDefault="00665165" w:rsidP="00925F26">
      <w:pPr>
        <w:autoSpaceDE w:val="0"/>
        <w:autoSpaceDN w:val="0"/>
        <w:adjustRightInd w:val="0"/>
        <w:jc w:val="both"/>
        <w:rPr>
          <w:color w:val="000000" w:themeColor="text1"/>
          <w:sz w:val="16"/>
          <w:szCs w:val="16"/>
        </w:rPr>
      </w:pPr>
    </w:p>
    <w:p w14:paraId="11BF01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мая 1945 для специально назначенной комиссии управления 8-й ВА во главе с начальником отдела эксплуатации армии подполковником Ивановым с четырех исправных самоле</w:t>
      </w:r>
      <w:r w:rsidRPr="00925F26">
        <w:rPr>
          <w:color w:val="000000" w:themeColor="text1"/>
          <w:sz w:val="16"/>
          <w:szCs w:val="16"/>
        </w:rPr>
        <w:softHyphen/>
        <w:t>тов Ил-10 (зав. №№ 1891903, 1893603, 1894403, 1890903), выбран</w:t>
      </w:r>
      <w:r w:rsidRPr="00925F26">
        <w:rPr>
          <w:color w:val="000000" w:themeColor="text1"/>
          <w:sz w:val="16"/>
          <w:szCs w:val="16"/>
        </w:rPr>
        <w:softHyphen/>
        <w:t>ных членами комиссии наугад, были сняты моторы. На всех мо</w:t>
      </w:r>
      <w:r w:rsidRPr="00925F26">
        <w:rPr>
          <w:color w:val="000000" w:themeColor="text1"/>
          <w:sz w:val="16"/>
          <w:szCs w:val="16"/>
        </w:rPr>
        <w:softHyphen/>
        <w:t>торах была обнаружена «большая разработка валиков импелле-ров, которые имели большой люфт, а также обнаружено в нагнетателях много пыли и песку». Вывод комиссии был одно</w:t>
      </w:r>
      <w:r w:rsidRPr="00925F26">
        <w:rPr>
          <w:color w:val="000000" w:themeColor="text1"/>
          <w:sz w:val="16"/>
          <w:szCs w:val="16"/>
        </w:rPr>
        <w:softHyphen/>
        <w:t>значен: самолеты с такими моторами в полет выпускать нельзя (11474,514).</w:t>
      </w:r>
    </w:p>
    <w:p w14:paraId="67A0B3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B084E8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8BA3D95" w14:textId="77777777" w:rsidR="00665165" w:rsidRPr="00925F26" w:rsidRDefault="00665165" w:rsidP="00925F26">
      <w:pPr>
        <w:autoSpaceDE w:val="0"/>
        <w:autoSpaceDN w:val="0"/>
        <w:adjustRightInd w:val="0"/>
        <w:jc w:val="both"/>
        <w:rPr>
          <w:iCs/>
          <w:color w:val="000000" w:themeColor="text1"/>
          <w:sz w:val="16"/>
          <w:szCs w:val="16"/>
        </w:rPr>
      </w:pPr>
    </w:p>
    <w:p w14:paraId="0BD9461D" w14:textId="4B30EEEC" w:rsidR="00113C6F" w:rsidRPr="00925F26" w:rsidRDefault="00113C6F" w:rsidP="00925F26">
      <w:pPr>
        <w:widowControl w:val="0"/>
        <w:jc w:val="both"/>
        <w:rPr>
          <w:color w:val="000000" w:themeColor="text1"/>
          <w:sz w:val="16"/>
          <w:szCs w:val="16"/>
        </w:rPr>
      </w:pPr>
      <w:r w:rsidRPr="00925F26">
        <w:rPr>
          <w:color w:val="000000" w:themeColor="text1"/>
          <w:sz w:val="16"/>
          <w:szCs w:val="16"/>
        </w:rPr>
        <w:t xml:space="preserve">К 9 мая 1945 за годы Великой Отечественной войны предприятия г. Горького и области дали фронту </w:t>
      </w:r>
      <w:proofErr w:type="gramStart"/>
      <w:r w:rsidRPr="00925F26">
        <w:rPr>
          <w:color w:val="000000" w:themeColor="text1"/>
          <w:sz w:val="16"/>
          <w:szCs w:val="16"/>
        </w:rPr>
        <w:t>43</w:t>
      </w:r>
      <w:r w:rsidR="00997EDF" w:rsidRPr="00925F26">
        <w:rPr>
          <w:color w:val="000000" w:themeColor="text1"/>
          <w:sz w:val="16"/>
          <w:szCs w:val="16"/>
        </w:rPr>
        <w:t xml:space="preserve">  </w:t>
      </w:r>
      <w:r w:rsidRPr="00925F26">
        <w:rPr>
          <w:color w:val="000000" w:themeColor="text1"/>
          <w:sz w:val="16"/>
          <w:szCs w:val="16"/>
        </w:rPr>
        <w:t>688</w:t>
      </w:r>
      <w:proofErr w:type="gramEnd"/>
      <w:r w:rsidRPr="00925F26">
        <w:rPr>
          <w:color w:val="000000" w:themeColor="text1"/>
          <w:sz w:val="16"/>
          <w:szCs w:val="16"/>
        </w:rPr>
        <w:t xml:space="preserve"> минометов, в том числе </w:t>
      </w:r>
      <w:proofErr w:type="gramStart"/>
      <w:r w:rsidRPr="00925F26">
        <w:rPr>
          <w:color w:val="000000" w:themeColor="text1"/>
          <w:sz w:val="16"/>
          <w:szCs w:val="16"/>
        </w:rPr>
        <w:t>10</w:t>
      </w:r>
      <w:r w:rsidR="00997EDF" w:rsidRPr="00925F26">
        <w:rPr>
          <w:color w:val="000000" w:themeColor="text1"/>
          <w:sz w:val="16"/>
          <w:szCs w:val="16"/>
        </w:rPr>
        <w:t xml:space="preserve">  </w:t>
      </w:r>
      <w:r w:rsidRPr="00925F26">
        <w:rPr>
          <w:color w:val="000000" w:themeColor="text1"/>
          <w:sz w:val="16"/>
          <w:szCs w:val="16"/>
        </w:rPr>
        <w:t>103</w:t>
      </w:r>
      <w:proofErr w:type="gramEnd"/>
      <w:r w:rsidRPr="00925F26">
        <w:rPr>
          <w:color w:val="000000" w:themeColor="text1"/>
          <w:sz w:val="16"/>
          <w:szCs w:val="16"/>
        </w:rPr>
        <w:t xml:space="preserve"> калибра 120-</w:t>
      </w:r>
      <w:smartTag w:uri="urn:schemas-microsoft-com:office:smarttags" w:element="metricconverter">
        <w:smartTagPr>
          <w:attr w:name="ProductID" w:val="1945 г"/>
        </w:smartTagPr>
        <w:r w:rsidRPr="00925F26">
          <w:rPr>
            <w:color w:val="000000" w:themeColor="text1"/>
            <w:sz w:val="16"/>
            <w:szCs w:val="16"/>
          </w:rPr>
          <w:t>160 мм</w:t>
        </w:r>
      </w:smartTag>
      <w:r w:rsidRPr="00925F26">
        <w:rPr>
          <w:color w:val="000000" w:themeColor="text1"/>
          <w:sz w:val="16"/>
          <w:szCs w:val="16"/>
        </w:rPr>
        <w:t>. Производство минометов в Советском Союзе в 1937-1944 гг. показано в таблице:</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710"/>
        <w:gridCol w:w="711"/>
        <w:gridCol w:w="711"/>
        <w:gridCol w:w="711"/>
        <w:gridCol w:w="711"/>
        <w:gridCol w:w="711"/>
        <w:gridCol w:w="711"/>
        <w:gridCol w:w="711"/>
      </w:tblGrid>
      <w:tr w:rsidR="000F5689" w:rsidRPr="00925F26" w14:paraId="7D74242C" w14:textId="77777777" w:rsidTr="00D713B1">
        <w:trPr>
          <w:trHeight w:val="682"/>
        </w:trPr>
        <w:tc>
          <w:tcPr>
            <w:tcW w:w="973" w:type="dxa"/>
            <w:vAlign w:val="center"/>
          </w:tcPr>
          <w:p w14:paraId="296376DE"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Калибр</w:t>
            </w:r>
          </w:p>
        </w:tc>
        <w:tc>
          <w:tcPr>
            <w:tcW w:w="710" w:type="dxa"/>
            <w:textDirection w:val="btLr"/>
          </w:tcPr>
          <w:p w14:paraId="67D3DC31"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1937 г</w:t>
              </w:r>
            </w:smartTag>
            <w:r w:rsidRPr="00925F26">
              <w:rPr>
                <w:color w:val="000000" w:themeColor="text1"/>
                <w:sz w:val="16"/>
                <w:szCs w:val="16"/>
              </w:rPr>
              <w:t>.</w:t>
            </w:r>
          </w:p>
        </w:tc>
        <w:tc>
          <w:tcPr>
            <w:tcW w:w="711" w:type="dxa"/>
            <w:textDirection w:val="btLr"/>
          </w:tcPr>
          <w:p w14:paraId="45B330D2"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1938 г</w:t>
              </w:r>
            </w:smartTag>
            <w:r w:rsidRPr="00925F26">
              <w:rPr>
                <w:color w:val="000000" w:themeColor="text1"/>
                <w:sz w:val="16"/>
                <w:szCs w:val="16"/>
              </w:rPr>
              <w:t>.</w:t>
            </w:r>
          </w:p>
        </w:tc>
        <w:tc>
          <w:tcPr>
            <w:tcW w:w="711" w:type="dxa"/>
            <w:textDirection w:val="btLr"/>
          </w:tcPr>
          <w:p w14:paraId="0664CD25"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1939 г</w:t>
              </w:r>
            </w:smartTag>
            <w:r w:rsidRPr="00925F26">
              <w:rPr>
                <w:color w:val="000000" w:themeColor="text1"/>
                <w:sz w:val="16"/>
                <w:szCs w:val="16"/>
              </w:rPr>
              <w:t>.</w:t>
            </w:r>
          </w:p>
        </w:tc>
        <w:tc>
          <w:tcPr>
            <w:tcW w:w="711" w:type="dxa"/>
            <w:textDirection w:val="btLr"/>
          </w:tcPr>
          <w:p w14:paraId="641ECAA6"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1940 г</w:t>
              </w:r>
            </w:smartTag>
            <w:r w:rsidRPr="00925F26">
              <w:rPr>
                <w:color w:val="000000" w:themeColor="text1"/>
                <w:sz w:val="16"/>
                <w:szCs w:val="16"/>
              </w:rPr>
              <w:t>.</w:t>
            </w:r>
          </w:p>
        </w:tc>
        <w:tc>
          <w:tcPr>
            <w:tcW w:w="711" w:type="dxa"/>
            <w:textDirection w:val="btLr"/>
          </w:tcPr>
          <w:p w14:paraId="0C5123B7"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1941 г</w:t>
              </w:r>
            </w:smartTag>
            <w:r w:rsidRPr="00925F26">
              <w:rPr>
                <w:color w:val="000000" w:themeColor="text1"/>
                <w:sz w:val="16"/>
                <w:szCs w:val="16"/>
              </w:rPr>
              <w:t>.</w:t>
            </w:r>
          </w:p>
        </w:tc>
        <w:tc>
          <w:tcPr>
            <w:tcW w:w="711" w:type="dxa"/>
            <w:textDirection w:val="btLr"/>
          </w:tcPr>
          <w:p w14:paraId="1FD3DC0E"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1942 г</w:t>
              </w:r>
            </w:smartTag>
            <w:r w:rsidRPr="00925F26">
              <w:rPr>
                <w:color w:val="000000" w:themeColor="text1"/>
                <w:sz w:val="16"/>
                <w:szCs w:val="16"/>
              </w:rPr>
              <w:t>.</w:t>
            </w:r>
          </w:p>
        </w:tc>
        <w:tc>
          <w:tcPr>
            <w:tcW w:w="711" w:type="dxa"/>
            <w:textDirection w:val="btLr"/>
          </w:tcPr>
          <w:p w14:paraId="1DADBDE2"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1943 г</w:t>
              </w:r>
            </w:smartTag>
            <w:r w:rsidRPr="00925F26">
              <w:rPr>
                <w:color w:val="000000" w:themeColor="text1"/>
                <w:sz w:val="16"/>
                <w:szCs w:val="16"/>
              </w:rPr>
              <w:t>.</w:t>
            </w:r>
          </w:p>
        </w:tc>
        <w:tc>
          <w:tcPr>
            <w:tcW w:w="711" w:type="dxa"/>
            <w:textDirection w:val="btLr"/>
          </w:tcPr>
          <w:p w14:paraId="2D5A54CE" w14:textId="77777777" w:rsidR="00113C6F" w:rsidRPr="00925F26" w:rsidRDefault="00113C6F" w:rsidP="00925F26">
            <w:pPr>
              <w:widowControl w:val="0"/>
              <w:jc w:val="both"/>
              <w:rPr>
                <w:color w:val="000000" w:themeColor="text1"/>
                <w:sz w:val="16"/>
                <w:szCs w:val="16"/>
              </w:rPr>
            </w:pPr>
            <w:smartTag w:uri="urn:schemas-microsoft-com:office:smarttags" w:element="metricconverter">
              <w:smartTagPr>
                <w:attr w:name="ProductID" w:val="1945 г"/>
              </w:smartTagPr>
              <w:r w:rsidRPr="00925F26">
                <w:rPr>
                  <w:color w:val="000000" w:themeColor="text1"/>
                  <w:sz w:val="16"/>
                  <w:szCs w:val="16"/>
                </w:rPr>
                <w:t>1944 г</w:t>
              </w:r>
            </w:smartTag>
            <w:r w:rsidRPr="00925F26">
              <w:rPr>
                <w:color w:val="000000" w:themeColor="text1"/>
                <w:sz w:val="16"/>
                <w:szCs w:val="16"/>
              </w:rPr>
              <w:t>.</w:t>
            </w:r>
          </w:p>
        </w:tc>
      </w:tr>
      <w:tr w:rsidR="000F5689" w:rsidRPr="00925F26" w14:paraId="22482F97" w14:textId="77777777" w:rsidTr="00D713B1">
        <w:trPr>
          <w:trHeight w:val="277"/>
        </w:trPr>
        <w:tc>
          <w:tcPr>
            <w:tcW w:w="973" w:type="dxa"/>
            <w:vAlign w:val="center"/>
          </w:tcPr>
          <w:p w14:paraId="6B9C94CF"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50-мм</w:t>
            </w:r>
          </w:p>
        </w:tc>
        <w:tc>
          <w:tcPr>
            <w:tcW w:w="710" w:type="dxa"/>
            <w:vAlign w:val="center"/>
          </w:tcPr>
          <w:p w14:paraId="7105A788"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00F900A0"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6B99A31C"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1720</w:t>
            </w:r>
          </w:p>
        </w:tc>
        <w:tc>
          <w:tcPr>
            <w:tcW w:w="711" w:type="dxa"/>
            <w:vAlign w:val="center"/>
          </w:tcPr>
          <w:p w14:paraId="001350B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23105</w:t>
            </w:r>
          </w:p>
        </w:tc>
        <w:tc>
          <w:tcPr>
            <w:tcW w:w="711" w:type="dxa"/>
            <w:vAlign w:val="center"/>
          </w:tcPr>
          <w:p w14:paraId="000CAFA3"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28056</w:t>
            </w:r>
          </w:p>
        </w:tc>
        <w:tc>
          <w:tcPr>
            <w:tcW w:w="711" w:type="dxa"/>
            <w:vAlign w:val="center"/>
          </w:tcPr>
          <w:p w14:paraId="01BABF4F"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104403</w:t>
            </w:r>
          </w:p>
        </w:tc>
        <w:tc>
          <w:tcPr>
            <w:tcW w:w="711" w:type="dxa"/>
            <w:vAlign w:val="center"/>
          </w:tcPr>
          <w:p w14:paraId="7449F894"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17584</w:t>
            </w:r>
          </w:p>
        </w:tc>
        <w:tc>
          <w:tcPr>
            <w:tcW w:w="711" w:type="dxa"/>
            <w:vAlign w:val="center"/>
          </w:tcPr>
          <w:p w14:paraId="54D24905"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r>
      <w:tr w:rsidR="000F5689" w:rsidRPr="00925F26" w14:paraId="0D83E5D2" w14:textId="77777777" w:rsidTr="00D713B1">
        <w:trPr>
          <w:trHeight w:val="277"/>
        </w:trPr>
        <w:tc>
          <w:tcPr>
            <w:tcW w:w="973" w:type="dxa"/>
            <w:vAlign w:val="center"/>
          </w:tcPr>
          <w:p w14:paraId="4656877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82-мм</w:t>
            </w:r>
          </w:p>
        </w:tc>
        <w:tc>
          <w:tcPr>
            <w:tcW w:w="710" w:type="dxa"/>
            <w:vAlign w:val="center"/>
          </w:tcPr>
          <w:p w14:paraId="00982213"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1587</w:t>
            </w:r>
          </w:p>
        </w:tc>
        <w:tc>
          <w:tcPr>
            <w:tcW w:w="711" w:type="dxa"/>
            <w:vAlign w:val="center"/>
          </w:tcPr>
          <w:p w14:paraId="675FE2B4"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1188</w:t>
            </w:r>
          </w:p>
        </w:tc>
        <w:tc>
          <w:tcPr>
            <w:tcW w:w="711" w:type="dxa"/>
            <w:vAlign w:val="center"/>
          </w:tcPr>
          <w:p w14:paraId="64890F3F"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1678</w:t>
            </w:r>
          </w:p>
        </w:tc>
        <w:tc>
          <w:tcPr>
            <w:tcW w:w="711" w:type="dxa"/>
            <w:vAlign w:val="center"/>
          </w:tcPr>
          <w:p w14:paraId="791AD2D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6700</w:t>
            </w:r>
          </w:p>
        </w:tc>
        <w:tc>
          <w:tcPr>
            <w:tcW w:w="711" w:type="dxa"/>
            <w:vAlign w:val="center"/>
          </w:tcPr>
          <w:p w14:paraId="1517F5C6"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18026</w:t>
            </w:r>
          </w:p>
        </w:tc>
        <w:tc>
          <w:tcPr>
            <w:tcW w:w="711" w:type="dxa"/>
            <w:vAlign w:val="center"/>
          </w:tcPr>
          <w:p w14:paraId="533C7B14"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100181</w:t>
            </w:r>
          </w:p>
        </w:tc>
        <w:tc>
          <w:tcPr>
            <w:tcW w:w="711" w:type="dxa"/>
            <w:vAlign w:val="center"/>
          </w:tcPr>
          <w:p w14:paraId="524A996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35082</w:t>
            </w:r>
          </w:p>
        </w:tc>
        <w:tc>
          <w:tcPr>
            <w:tcW w:w="711" w:type="dxa"/>
            <w:vAlign w:val="center"/>
          </w:tcPr>
          <w:p w14:paraId="12EC479C"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2889</w:t>
            </w:r>
          </w:p>
        </w:tc>
      </w:tr>
      <w:tr w:rsidR="000F5689" w:rsidRPr="00925F26" w14:paraId="5DF4D4F8" w14:textId="77777777" w:rsidTr="00D713B1">
        <w:trPr>
          <w:trHeight w:val="277"/>
        </w:trPr>
        <w:tc>
          <w:tcPr>
            <w:tcW w:w="973" w:type="dxa"/>
            <w:vAlign w:val="center"/>
          </w:tcPr>
          <w:p w14:paraId="18145AF8"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107-мм</w:t>
            </w:r>
          </w:p>
        </w:tc>
        <w:tc>
          <w:tcPr>
            <w:tcW w:w="710" w:type="dxa"/>
            <w:vAlign w:val="center"/>
          </w:tcPr>
          <w:p w14:paraId="5FF29FF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79F02963"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0D70A691"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35B2B5DC"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950</w:t>
            </w:r>
          </w:p>
        </w:tc>
        <w:tc>
          <w:tcPr>
            <w:tcW w:w="711" w:type="dxa"/>
            <w:vAlign w:val="center"/>
          </w:tcPr>
          <w:p w14:paraId="23F780B5"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624</w:t>
            </w:r>
          </w:p>
        </w:tc>
        <w:tc>
          <w:tcPr>
            <w:tcW w:w="711" w:type="dxa"/>
            <w:vAlign w:val="center"/>
          </w:tcPr>
          <w:p w14:paraId="691153AD"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58C40F54"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748CF08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r>
      <w:tr w:rsidR="000F5689" w:rsidRPr="00925F26" w14:paraId="68B58793" w14:textId="77777777" w:rsidTr="00D713B1">
        <w:trPr>
          <w:trHeight w:val="277"/>
        </w:trPr>
        <w:tc>
          <w:tcPr>
            <w:tcW w:w="973" w:type="dxa"/>
            <w:vAlign w:val="center"/>
          </w:tcPr>
          <w:p w14:paraId="149B0B3C"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120-мм</w:t>
            </w:r>
          </w:p>
        </w:tc>
        <w:tc>
          <w:tcPr>
            <w:tcW w:w="710" w:type="dxa"/>
            <w:vAlign w:val="center"/>
          </w:tcPr>
          <w:p w14:paraId="1B0AA7CF"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02D46DB8"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2A81E431"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541BF60E"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2100</w:t>
            </w:r>
          </w:p>
        </w:tc>
        <w:tc>
          <w:tcPr>
            <w:tcW w:w="711" w:type="dxa"/>
            <w:vAlign w:val="center"/>
          </w:tcPr>
          <w:p w14:paraId="4FBB6827"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3575</w:t>
            </w:r>
          </w:p>
        </w:tc>
        <w:tc>
          <w:tcPr>
            <w:tcW w:w="711" w:type="dxa"/>
            <w:vAlign w:val="center"/>
          </w:tcPr>
          <w:p w14:paraId="63977DAD"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25061</w:t>
            </w:r>
          </w:p>
        </w:tc>
        <w:tc>
          <w:tcPr>
            <w:tcW w:w="711" w:type="dxa"/>
            <w:vAlign w:val="center"/>
          </w:tcPr>
          <w:p w14:paraId="45BD4A10"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16201</w:t>
            </w:r>
          </w:p>
        </w:tc>
        <w:tc>
          <w:tcPr>
            <w:tcW w:w="711" w:type="dxa"/>
            <w:vAlign w:val="center"/>
          </w:tcPr>
          <w:p w14:paraId="09CF1717"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3044</w:t>
            </w:r>
          </w:p>
        </w:tc>
      </w:tr>
      <w:tr w:rsidR="00561F31" w:rsidRPr="00925F26" w14:paraId="1B67B968" w14:textId="77777777" w:rsidTr="00D713B1">
        <w:trPr>
          <w:trHeight w:val="277"/>
        </w:trPr>
        <w:tc>
          <w:tcPr>
            <w:tcW w:w="973" w:type="dxa"/>
            <w:vAlign w:val="center"/>
          </w:tcPr>
          <w:p w14:paraId="171EF16A"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160-мм</w:t>
            </w:r>
          </w:p>
        </w:tc>
        <w:tc>
          <w:tcPr>
            <w:tcW w:w="710" w:type="dxa"/>
            <w:vAlign w:val="center"/>
          </w:tcPr>
          <w:p w14:paraId="19202F46"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02C25A03"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7503E6CD"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31BA2BC7"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4E2E5206"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620D9D20"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3F51B283"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w:t>
            </w:r>
          </w:p>
        </w:tc>
        <w:tc>
          <w:tcPr>
            <w:tcW w:w="711" w:type="dxa"/>
            <w:vAlign w:val="center"/>
          </w:tcPr>
          <w:p w14:paraId="3C3A15EB" w14:textId="77777777" w:rsidR="00113C6F" w:rsidRPr="00925F26" w:rsidRDefault="00113C6F" w:rsidP="00925F26">
            <w:pPr>
              <w:widowControl w:val="0"/>
              <w:jc w:val="both"/>
              <w:rPr>
                <w:color w:val="000000" w:themeColor="text1"/>
                <w:sz w:val="16"/>
                <w:szCs w:val="16"/>
              </w:rPr>
            </w:pPr>
            <w:r w:rsidRPr="00925F26">
              <w:rPr>
                <w:color w:val="000000" w:themeColor="text1"/>
                <w:sz w:val="16"/>
                <w:szCs w:val="16"/>
              </w:rPr>
              <w:t>593</w:t>
            </w:r>
          </w:p>
        </w:tc>
      </w:tr>
    </w:tbl>
    <w:p w14:paraId="754086DF" w14:textId="77777777" w:rsidR="00113C6F" w:rsidRPr="00925F26" w:rsidRDefault="00113C6F" w:rsidP="00925F26">
      <w:pPr>
        <w:widowControl w:val="0"/>
        <w:jc w:val="both"/>
        <w:rPr>
          <w:color w:val="000000" w:themeColor="text1"/>
          <w:sz w:val="16"/>
          <w:szCs w:val="16"/>
        </w:rPr>
      </w:pPr>
    </w:p>
    <w:p w14:paraId="47830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К 9 мая 1945 в конце войны конструкторы КБ-520 наряду с работами по танкам Т-34-85 и Т-44 приступили к созданию более совершенного танка, при конструировании которого предполагалось использовать огромный опыт эксплуатации танков в боевых условиях на фронтах Великой Отечественной войны. Конструктивные проработки главным образом велись в направлениях:</w:t>
      </w:r>
    </w:p>
    <w:p w14:paraId="098DFA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усиления огневой мощи танка;</w:t>
      </w:r>
    </w:p>
    <w:p w14:paraId="26C42A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повышения его броневой защиты;</w:t>
      </w:r>
    </w:p>
    <w:p w14:paraId="4E8F19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способности танка преодолевать водные преграды по дну (9154).</w:t>
      </w:r>
    </w:p>
    <w:p w14:paraId="62E1AE8C" w14:textId="77777777" w:rsidR="00665165" w:rsidRPr="00925F26" w:rsidRDefault="00665165" w:rsidP="00925F26">
      <w:pPr>
        <w:autoSpaceDE w:val="0"/>
        <w:autoSpaceDN w:val="0"/>
        <w:adjustRightInd w:val="0"/>
        <w:jc w:val="both"/>
        <w:rPr>
          <w:color w:val="000000" w:themeColor="text1"/>
          <w:sz w:val="16"/>
          <w:szCs w:val="16"/>
        </w:rPr>
      </w:pPr>
    </w:p>
    <w:p w14:paraId="06F225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9 мая 1945 г. за военный период с 22 июня 1941 г. в исключительно тяжелых условиях автомобильные заводы в Москве, Ульяновске, Миассе, Горьком, Ярославле изготовили 205000 машин, причем наибольшее количество (57400) приходится на 1944 г. Когда начались военные действия, Красная Армия располагала 272 600 автомобилей. Немалая их часть была потеряна в первые месяцы войны, а за 1942 г. автомобильная промышленность страны при напряжении всех усилий смогла дать только 32300 машин. Начавшиеся в том же году поставки автомобильной техники из США, Англии, Канады до конца войны выразились в 401 000 автомобилей. Десятки тысяч грузовиков, автобусов, тягачей, легковых машин поступили в армию и народное хозяйство в качестве трофеев. Вместе они образовали весьма пестрый парк, в котором была представлена продукция не только немецких, но и австрийских, чехословацких, итальянских, французских заводов. Эксплуатация столь разнотипного и разномарочного автомобильного парка была весьма сложной из-за широчайшей номенклатуры запасных частей и эксплуатационных материалов. Но одновременно она дала конструкторам и эксплуатационникам богатейший опыт многостороннего сравнения десятков разных технических концепций (12098).</w:t>
      </w:r>
    </w:p>
    <w:p w14:paraId="12A1D7E3" w14:textId="77777777" w:rsidR="00665165" w:rsidRPr="00925F26" w:rsidRDefault="00665165" w:rsidP="00925F26">
      <w:pPr>
        <w:autoSpaceDE w:val="0"/>
        <w:autoSpaceDN w:val="0"/>
        <w:adjustRightInd w:val="0"/>
        <w:jc w:val="both"/>
        <w:rPr>
          <w:color w:val="000000" w:themeColor="text1"/>
          <w:sz w:val="16"/>
          <w:szCs w:val="16"/>
        </w:rPr>
      </w:pPr>
    </w:p>
    <w:p w14:paraId="65E3D6D6" w14:textId="77777777" w:rsidR="006979C2" w:rsidRPr="00925F26" w:rsidRDefault="006979C2" w:rsidP="00925F26">
      <w:pPr>
        <w:jc w:val="both"/>
        <w:rPr>
          <w:color w:val="000000" w:themeColor="text1"/>
          <w:sz w:val="16"/>
          <w:szCs w:val="16"/>
        </w:rPr>
      </w:pPr>
      <w:r w:rsidRPr="00925F26">
        <w:rPr>
          <w:color w:val="000000" w:themeColor="text1"/>
          <w:sz w:val="16"/>
          <w:szCs w:val="16"/>
        </w:rPr>
        <w:t>9 мая 1945г. Богословский завод выплавил свой первый алюминий (12249).</w:t>
      </w:r>
    </w:p>
    <w:p w14:paraId="70B5B27F" w14:textId="77777777" w:rsidR="006979C2" w:rsidRPr="00925F26" w:rsidRDefault="006979C2" w:rsidP="00925F26">
      <w:pPr>
        <w:jc w:val="both"/>
        <w:rPr>
          <w:color w:val="000000" w:themeColor="text1"/>
          <w:sz w:val="16"/>
          <w:szCs w:val="16"/>
        </w:rPr>
      </w:pPr>
    </w:p>
    <w:p w14:paraId="058D9B6A" w14:textId="77777777" w:rsidR="00A40B71" w:rsidRPr="00925F26" w:rsidRDefault="00A40B71" w:rsidP="00925F26">
      <w:pPr>
        <w:jc w:val="both"/>
        <w:rPr>
          <w:color w:val="000000" w:themeColor="text1"/>
          <w:sz w:val="16"/>
          <w:szCs w:val="16"/>
        </w:rPr>
      </w:pPr>
      <w:r w:rsidRPr="00925F26">
        <w:rPr>
          <w:color w:val="000000" w:themeColor="text1"/>
          <w:sz w:val="16"/>
          <w:szCs w:val="16"/>
        </w:rPr>
        <w:t>9 мая в 1945 году выдал первую партию металла Богословский алюминиевый завод (город Краснотурьинск, Свердловская область; с 1994 г. ОАО «БАЗ») (14886).</w:t>
      </w:r>
    </w:p>
    <w:p w14:paraId="248FECEE" w14:textId="77777777" w:rsidR="00A40B71" w:rsidRPr="00925F26" w:rsidRDefault="00A40B71" w:rsidP="00925F26">
      <w:pPr>
        <w:jc w:val="both"/>
        <w:rPr>
          <w:color w:val="000000" w:themeColor="text1"/>
          <w:sz w:val="16"/>
          <w:szCs w:val="16"/>
        </w:rPr>
      </w:pPr>
    </w:p>
    <w:p w14:paraId="40811B83" w14:textId="77777777" w:rsidR="00460695" w:rsidRPr="00925F26" w:rsidRDefault="00460695" w:rsidP="00925F26">
      <w:pPr>
        <w:jc w:val="both"/>
        <w:rPr>
          <w:color w:val="000000" w:themeColor="text1"/>
          <w:sz w:val="16"/>
          <w:szCs w:val="16"/>
        </w:rPr>
      </w:pPr>
      <w:r w:rsidRPr="00925F26">
        <w:rPr>
          <w:color w:val="000000" w:themeColor="text1"/>
          <w:sz w:val="16"/>
          <w:szCs w:val="16"/>
        </w:rPr>
        <w:t>После 9 мая 1945 на ГАЗ им. Молотова начались процессы, которые можно назвать изгнанием «танкистов». Фактическая же смерть СУ-85Б наступила в начале лета. О происходивших в это время событиях красноречиво говорит доклад старшего военпреда Окунева за июнь 1945 года:</w:t>
      </w:r>
    </w:p>
    <w:p w14:paraId="34093B25" w14:textId="77777777" w:rsidR="00460695" w:rsidRPr="00925F26" w:rsidRDefault="00460695" w:rsidP="00925F26">
      <w:pPr>
        <w:jc w:val="both"/>
        <w:rPr>
          <w:color w:val="000000" w:themeColor="text1"/>
          <w:sz w:val="16"/>
          <w:szCs w:val="16"/>
        </w:rPr>
      </w:pPr>
      <w:r w:rsidRPr="00925F26">
        <w:rPr>
          <w:color w:val="000000" w:themeColor="text1"/>
          <w:sz w:val="16"/>
          <w:szCs w:val="16"/>
        </w:rPr>
        <w:t>«В отчётном месяце продолжали происходить изменения в личном составе конструкторов-танкистов. Ушёл с ГАЗ-а заместитель главного конструктора товарищ Астров, перейдя на должность главного конструктора завода малолитражных автомобилей «КИМ». Из ОКБ ушли все основные кадры конструкторов-танкистов. Осталось несколько конструкторов для текущего производства. Настроение руководства завода таково, что все опытные работы с боевыми машинами — закончены. Так, например: прибывшая на ГАЗ группа работников завода №235 с опытным образцом 85 мм пушки, с целью установки её на СУ-76 для проверки, не была даже впущена на завод. Завод категорически отказался о продолжения каких-либо опытных работ по СУ» (18098).</w:t>
      </w:r>
    </w:p>
    <w:p w14:paraId="612ECA03" w14:textId="77777777" w:rsidR="00460695" w:rsidRPr="00925F26" w:rsidRDefault="00460695" w:rsidP="00925F26">
      <w:pPr>
        <w:jc w:val="both"/>
        <w:rPr>
          <w:color w:val="000000" w:themeColor="text1"/>
          <w:sz w:val="16"/>
          <w:szCs w:val="16"/>
        </w:rPr>
      </w:pPr>
    </w:p>
    <w:p w14:paraId="5B08D1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9 мая 1945 г. с 22 июня 1941 г. промышленность сдала ВМФ 2 легких крейсера, 18 эскад</w:t>
      </w:r>
      <w:r w:rsidRPr="00925F26">
        <w:rPr>
          <w:color w:val="000000" w:themeColor="text1"/>
          <w:sz w:val="16"/>
          <w:szCs w:val="16"/>
        </w:rPr>
        <w:softHyphen/>
        <w:t>ренных миноносцев, 54 подводные лодки, 2 монитора, 1 стороже</w:t>
      </w:r>
      <w:r w:rsidRPr="00925F26">
        <w:rPr>
          <w:color w:val="000000" w:themeColor="text1"/>
          <w:sz w:val="16"/>
          <w:szCs w:val="16"/>
        </w:rPr>
        <w:softHyphen/>
        <w:t>вой корабль, 2 турбинных и 1 дизельный базовый тральщика и 18 больших охотников. Постройка всех этих кораблей была начата до июня 1941 г. Одновременно были построены и введены в состав ВМФ 591 боевой катер (торпедный, малый охотник, сторожевой, бронекатер), 327 катерньис тральщиков и 1375 различных вспомо</w:t>
      </w:r>
      <w:r w:rsidRPr="00925F26">
        <w:rPr>
          <w:color w:val="000000" w:themeColor="text1"/>
          <w:sz w:val="16"/>
          <w:szCs w:val="16"/>
        </w:rPr>
        <w:softHyphen/>
        <w:t>гательных судов и катеров (включая тендеры, десантные боты и т. п.). Большинство единиц этого "москитного флота" бьыо по</w:t>
      </w:r>
      <w:r w:rsidRPr="00925F26">
        <w:rPr>
          <w:color w:val="000000" w:themeColor="text1"/>
          <w:sz w:val="16"/>
          <w:szCs w:val="16"/>
        </w:rPr>
        <w:softHyphen/>
        <w:t>строено в военные годы. Согласно официальным отчетам , боевые потери ВМФ на трех морских театрах составили 1583 корабля и судна (включая су</w:t>
      </w:r>
      <w:r w:rsidRPr="00925F26">
        <w:rPr>
          <w:color w:val="000000" w:themeColor="text1"/>
          <w:sz w:val="16"/>
          <w:szCs w:val="16"/>
        </w:rPr>
        <w:softHyphen/>
        <w:t>да Наркомморфлота), 1114 плавсредств бьшо потеряно по навига</w:t>
      </w:r>
      <w:r w:rsidRPr="00925F26">
        <w:rPr>
          <w:color w:val="000000" w:themeColor="text1"/>
          <w:sz w:val="16"/>
          <w:szCs w:val="16"/>
        </w:rPr>
        <w:softHyphen/>
        <w:t xml:space="preserve">ционным, неизвестным и другим причинам. По уточненным </w:t>
      </w:r>
      <w:proofErr w:type="gramStart"/>
      <w:r w:rsidRPr="00925F26">
        <w:rPr>
          <w:color w:val="000000" w:themeColor="text1"/>
          <w:sz w:val="16"/>
          <w:szCs w:val="16"/>
        </w:rPr>
        <w:t>дан</w:t>
      </w:r>
      <w:r w:rsidRPr="00925F26">
        <w:rPr>
          <w:color w:val="000000" w:themeColor="text1"/>
          <w:sz w:val="16"/>
          <w:szCs w:val="16"/>
        </w:rPr>
        <w:softHyphen/>
        <w:t>ным ,</w:t>
      </w:r>
      <w:proofErr w:type="gramEnd"/>
      <w:r w:rsidRPr="00925F26">
        <w:rPr>
          <w:color w:val="000000" w:themeColor="text1"/>
          <w:sz w:val="16"/>
          <w:szCs w:val="16"/>
        </w:rPr>
        <w:t xml:space="preserve"> на всех морских и речных театрах было потеряно 1015 бое</w:t>
      </w:r>
      <w:r w:rsidRPr="00925F26">
        <w:rPr>
          <w:color w:val="000000" w:themeColor="text1"/>
          <w:sz w:val="16"/>
          <w:szCs w:val="16"/>
        </w:rPr>
        <w:softHyphen/>
        <w:t>вьис кораблей и катеров, в том числе линкор "Марат" (восстановлен как плавбатарея), крейсер, 4 лидера, 30 эскадренных миноносцев, 103 подводные лодки, 11 речных мониторов, 36 сторожевых ко</w:t>
      </w:r>
      <w:r w:rsidRPr="00925F26">
        <w:rPr>
          <w:color w:val="000000" w:themeColor="text1"/>
          <w:sz w:val="16"/>
          <w:szCs w:val="16"/>
        </w:rPr>
        <w:softHyphen/>
        <w:t>раблей, 34 канонерские лодки, 7 заградителей, 88 тральщиков, 139 торпедных катеров, 128 охотников за подводными лодками, 77 бронекатеров, 168 катеров-тральщиков и 188 катеров других типов. Потери Морского флота СССР в 1941—1945 гг. составили 329 судов общей вместимостью 698,3 тыс. брт, в том числе 203 грузо</w:t>
      </w:r>
      <w:r w:rsidRPr="00925F26">
        <w:rPr>
          <w:color w:val="000000" w:themeColor="text1"/>
          <w:sz w:val="16"/>
          <w:szCs w:val="16"/>
        </w:rPr>
        <w:softHyphen/>
        <w:t>вых, 48 грузопассажирских, 13 танкеров, 17 ледоколов и ледоколь</w:t>
      </w:r>
      <w:r w:rsidRPr="00925F26">
        <w:rPr>
          <w:color w:val="000000" w:themeColor="text1"/>
          <w:sz w:val="16"/>
          <w:szCs w:val="16"/>
        </w:rPr>
        <w:softHyphen/>
        <w:t xml:space="preserve">ных пароходов, 2 гидрографических судна и 23 судна технического флота. По другим </w:t>
      </w:r>
      <w:proofErr w:type="gramStart"/>
      <w:r w:rsidRPr="00925F26">
        <w:rPr>
          <w:color w:val="000000" w:themeColor="text1"/>
          <w:sz w:val="16"/>
          <w:szCs w:val="16"/>
        </w:rPr>
        <w:t>данным ,</w:t>
      </w:r>
      <w:proofErr w:type="gramEnd"/>
      <w:r w:rsidRPr="00925F26">
        <w:rPr>
          <w:color w:val="000000" w:themeColor="text1"/>
          <w:sz w:val="16"/>
          <w:szCs w:val="16"/>
        </w:rPr>
        <w:t xml:space="preserve"> во время войны погибло и было списано по износу 370 судов. Для восполнения потерь было приоб</w:t>
      </w:r>
      <w:r w:rsidRPr="00925F26">
        <w:rPr>
          <w:color w:val="000000" w:themeColor="text1"/>
          <w:sz w:val="16"/>
          <w:szCs w:val="16"/>
        </w:rPr>
        <w:softHyphen/>
        <w:t>ретено за границей, в основном в США, 71 судно общей грузоподъ</w:t>
      </w:r>
      <w:r w:rsidRPr="00925F26">
        <w:rPr>
          <w:color w:val="000000" w:themeColor="text1"/>
          <w:sz w:val="16"/>
          <w:szCs w:val="16"/>
        </w:rPr>
        <w:softHyphen/>
        <w:t>емностью 580 тыс. т. Известно, что по ленд-лизу также из США было получено 59 грузовых судов и 15 танкеров общим дедвейтом 755,2 тыс. т и стоимостью 97,3 млн долл. Из них к январю 1946 г. 4 судна бьши потеряны и 8 возвращены США. В 1944 г. в веде</w:t>
      </w:r>
      <w:r w:rsidRPr="00925F26">
        <w:rPr>
          <w:color w:val="000000" w:themeColor="text1"/>
          <w:sz w:val="16"/>
          <w:szCs w:val="16"/>
        </w:rPr>
        <w:softHyphen/>
        <w:t>ние Дунайского пароходства Наркомморфлота поступили 270 тро</w:t>
      </w:r>
      <w:r w:rsidRPr="00925F26">
        <w:rPr>
          <w:color w:val="000000" w:themeColor="text1"/>
          <w:sz w:val="16"/>
          <w:szCs w:val="16"/>
        </w:rPr>
        <w:softHyphen/>
        <w:t>фейных, репарационных и купленных у иностранных владельцев судов различньхх типов. Речной флот СССР также понес в войне значительный ущерб. В 1941—1944 гг. было уничтожено и затоплено 1092 самоходных судна общей мощностью 140,4 тыс. л. с., 62 земснаряда, 2608 неса</w:t>
      </w:r>
      <w:r w:rsidRPr="00925F26">
        <w:rPr>
          <w:color w:val="000000" w:themeColor="text1"/>
          <w:sz w:val="16"/>
          <w:szCs w:val="16"/>
        </w:rPr>
        <w:softHyphen/>
        <w:t>моходных грузовых судов общей грузоподъемностью 1106 тыс. т и 626 других судов и плавсредств. Речной флот (в части металличе</w:t>
      </w:r>
      <w:r w:rsidRPr="00925F26">
        <w:rPr>
          <w:color w:val="000000" w:themeColor="text1"/>
          <w:sz w:val="16"/>
          <w:szCs w:val="16"/>
        </w:rPr>
        <w:softHyphen/>
        <w:t>ских судов) значительно сократился и нуждался в послевоенном восстановлении. Грузооборот речного транспорта в 1940—1945 гг. сократился почти в 2 раза. В 1945 г. речники перевезли 36,6 млн т грузов и 38,5 млн пассажиров (в 1941 г. — 66,3 и 48,3, в 1943 г. — 38,9 и 32,7 соответственно) (3898).</w:t>
      </w:r>
    </w:p>
    <w:p w14:paraId="7C5BB662" w14:textId="77777777" w:rsidR="00665165" w:rsidRPr="00925F26" w:rsidRDefault="00665165" w:rsidP="00925F26">
      <w:pPr>
        <w:autoSpaceDE w:val="0"/>
        <w:autoSpaceDN w:val="0"/>
        <w:adjustRightInd w:val="0"/>
        <w:jc w:val="both"/>
        <w:rPr>
          <w:color w:val="000000" w:themeColor="text1"/>
          <w:sz w:val="16"/>
          <w:szCs w:val="16"/>
        </w:rPr>
      </w:pPr>
    </w:p>
    <w:p w14:paraId="6570B53A" w14:textId="77777777" w:rsidR="00BB2377" w:rsidRPr="00925F26" w:rsidRDefault="00BB2377" w:rsidP="00925F26">
      <w:pPr>
        <w:jc w:val="both"/>
        <w:rPr>
          <w:color w:val="000000" w:themeColor="text1"/>
          <w:sz w:val="16"/>
          <w:szCs w:val="16"/>
        </w:rPr>
      </w:pPr>
      <w:r w:rsidRPr="00925F26">
        <w:rPr>
          <w:color w:val="000000" w:themeColor="text1"/>
          <w:sz w:val="16"/>
          <w:szCs w:val="16"/>
        </w:rPr>
        <w:t>9 мая 1945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2FE55401" w14:textId="77777777" w:rsidR="00BB2377" w:rsidRPr="00925F26" w:rsidRDefault="00BB2377" w:rsidP="00925F26">
      <w:pPr>
        <w:jc w:val="both"/>
        <w:rPr>
          <w:color w:val="000000" w:themeColor="text1"/>
          <w:sz w:val="16"/>
          <w:szCs w:val="16"/>
        </w:rPr>
      </w:pPr>
    </w:p>
    <w:p w14:paraId="0BD46D5A" w14:textId="77777777" w:rsidR="00460695" w:rsidRPr="00925F26" w:rsidRDefault="00460695" w:rsidP="00925F26">
      <w:pPr>
        <w:jc w:val="both"/>
        <w:rPr>
          <w:color w:val="000000" w:themeColor="text1"/>
          <w:sz w:val="16"/>
          <w:szCs w:val="16"/>
        </w:rPr>
      </w:pPr>
      <w:r w:rsidRPr="00925F26">
        <w:rPr>
          <w:color w:val="000000" w:themeColor="text1"/>
          <w:sz w:val="16"/>
          <w:szCs w:val="16"/>
        </w:rPr>
        <w:t>По состоянию на 9 мая 1945 г. из Германского рейха было вывезено 48 тыс. вагонов оборудования общим весом 550 тыс. тонн. Оценка стоимости этих грузов велась из расчета 370 долларов за одну тонну. В общей сложности до 1 августа 1946 г. было демонтировано оборудование 4166 предприятий общей остаточной стоимостью в 1,9 млрд. долларов (для его транспортировки потребовалось 556 тыс вагонов). Кроме того, было конфисковано и передано в собственность СССР подвижного состава железных дорог на сумму в 350 млн. долларов33. Вывоз оборудования из Германии позволял существенно усилить экономический и военно-промышленный потенциал СССР. Так, мощность электрогенераторов выросла на 48%, электростанций — на 71, число металлорежущих станков — на 42, прессов и молотов — на 26, деревообрабатывающего оборудования — на 28%.</w:t>
      </w:r>
    </w:p>
    <w:p w14:paraId="6F73D801" w14:textId="77777777" w:rsidR="00460695" w:rsidRPr="00925F26" w:rsidRDefault="00460695" w:rsidP="00925F26">
      <w:pPr>
        <w:jc w:val="both"/>
        <w:rPr>
          <w:color w:val="000000" w:themeColor="text1"/>
          <w:sz w:val="16"/>
          <w:szCs w:val="16"/>
        </w:rPr>
      </w:pPr>
      <w:r w:rsidRPr="00925F26">
        <w:rPr>
          <w:color w:val="000000" w:themeColor="text1"/>
          <w:sz w:val="16"/>
          <w:szCs w:val="16"/>
        </w:rPr>
        <w:t xml:space="preserve">До заключения Потсдамских соглашений было вывезено практически все промышленное оборудование из передаваемых Польше районов Восточной Пруссии, Силезии, Померании, а также из Западного Берлина. Кроме того, в СССР была отправлена значительная часть имущества из Восточной Германии. Оценка результатов деятельности трофейных и демонтажных команд практически не производилась, поэтому данные об изъятиях не были учтены при подсчете </w:t>
      </w:r>
      <w:proofErr w:type="gramStart"/>
      <w:r w:rsidRPr="00925F26">
        <w:rPr>
          <w:color w:val="000000" w:themeColor="text1"/>
          <w:sz w:val="16"/>
          <w:szCs w:val="16"/>
        </w:rPr>
        <w:t>репараций(</w:t>
      </w:r>
      <w:proofErr w:type="gramEnd"/>
      <w:r w:rsidRPr="00925F26">
        <w:rPr>
          <w:color w:val="000000" w:themeColor="text1"/>
          <w:sz w:val="16"/>
          <w:szCs w:val="16"/>
        </w:rPr>
        <w:t>19846).</w:t>
      </w:r>
    </w:p>
    <w:p w14:paraId="4A32950D" w14:textId="77777777" w:rsidR="00460695" w:rsidRPr="00925F26" w:rsidRDefault="00460695" w:rsidP="00925F26">
      <w:pPr>
        <w:jc w:val="both"/>
        <w:rPr>
          <w:color w:val="000000" w:themeColor="text1"/>
          <w:sz w:val="16"/>
          <w:szCs w:val="16"/>
        </w:rPr>
      </w:pPr>
    </w:p>
    <w:p w14:paraId="118CE2C6" w14:textId="77777777" w:rsidR="00460695" w:rsidRPr="00925F26" w:rsidRDefault="00460695" w:rsidP="00925F26">
      <w:pPr>
        <w:jc w:val="both"/>
        <w:rPr>
          <w:color w:val="000000" w:themeColor="text1"/>
          <w:sz w:val="16"/>
          <w:szCs w:val="16"/>
        </w:rPr>
      </w:pPr>
      <w:r w:rsidRPr="00925F26">
        <w:rPr>
          <w:color w:val="000000" w:themeColor="text1"/>
          <w:sz w:val="16"/>
          <w:szCs w:val="16"/>
        </w:rPr>
        <w:t>До 9 мая 1945 г. из Германского рейха в СССР было вывезено 48 тыс. вагонов оборудования общим весом 550 тыс. тонн (оценка стоимости этих грузов велась из расчета 370 долларов за одну тонну) 27 . В общей сложности до 1 августа 1946 г. было демонтировано оборудование 4 166 предприятий общей остаточной стоимостью в 1,9 млрд долларов. Кроме того, было конфисковано и передано в собственность СССР подвижного состава железных дорог на сумму в 350 млн долларов.</w:t>
      </w:r>
    </w:p>
    <w:p w14:paraId="64E4919B" w14:textId="77777777" w:rsidR="00460695" w:rsidRPr="00925F26" w:rsidRDefault="00460695" w:rsidP="00925F26">
      <w:pPr>
        <w:jc w:val="both"/>
        <w:rPr>
          <w:color w:val="000000" w:themeColor="text1"/>
          <w:sz w:val="16"/>
          <w:szCs w:val="16"/>
        </w:rPr>
      </w:pPr>
      <w:r w:rsidRPr="00925F26">
        <w:rPr>
          <w:color w:val="000000" w:themeColor="text1"/>
          <w:sz w:val="16"/>
          <w:szCs w:val="16"/>
        </w:rPr>
        <w:t>«Законный» этап взимания репараций начался после Берлинской конференции. Репарации осуществлялись в следующих формах: 1) вывоз военной техники и «излишних» транспортных средств — кораблей, паровозов, локомотивов, вагонов, цистерн и проч., а также железнодорожной инфраструктуры — рельсов, шпал и стрелочных переводов; 2) демонтаж оборудования из советской зоны (прежде всего военных заводов, металлургических, судостроительных, авиационных, химических, электротехнических, оптических предприятий) 29 ; 3) демонтаж оборудования из западных зон (прежде всего химических, танковых, автомобильных, авиационных, судостроительных заводов, а также металлургических предприятий) ; 4) поставки продукции из текущего производства (вывоз продовольствия, товаров народного потребления, продукции военного назначения и дугого). На многих частных предприятиях советской оккупационной зоны (СОЗ) были размещены репарационные заказы по производству машин и оборудования, цветных металлов, химикатов, синтетического каучука и резины, товаров народного потребления, стройматериалов, спирта, крахмала и сахара. При распределении заказов зачастую не учитывались производственные мощности и запасы сырья, что приводило к срывам поставок. Ситуация обострилась, когда в течение 1946 г. в СОЗ практически иссякли все запасы производственного сырья, сделанные в годы войны [СССР и Германский вопрос, 2004. С. 51] 33 . Оплата поставок из текущего производства осуществлялась за счет средств земельных бюджетов СОЗ. В результате их главными расходными статьями стали выплата репараций и покрытие затрат на оккупацию, всего в 1945—1949 гг. на эти цели было потрачено свыше 1,9 млрд долларов (19850).</w:t>
      </w:r>
    </w:p>
    <w:p w14:paraId="2FB2D2AF" w14:textId="77777777" w:rsidR="00460695" w:rsidRPr="00925F26" w:rsidRDefault="00460695" w:rsidP="00925F26">
      <w:pPr>
        <w:jc w:val="both"/>
        <w:rPr>
          <w:color w:val="000000" w:themeColor="text1"/>
          <w:sz w:val="16"/>
          <w:szCs w:val="16"/>
        </w:rPr>
      </w:pPr>
    </w:p>
    <w:p w14:paraId="7A49423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77E0C1F" w14:textId="77777777" w:rsidR="00665165" w:rsidRPr="00925F26" w:rsidRDefault="00665165" w:rsidP="00925F26">
      <w:pPr>
        <w:autoSpaceDE w:val="0"/>
        <w:autoSpaceDN w:val="0"/>
        <w:adjustRightInd w:val="0"/>
        <w:jc w:val="both"/>
        <w:rPr>
          <w:iCs/>
          <w:color w:val="000000" w:themeColor="text1"/>
          <w:sz w:val="16"/>
          <w:szCs w:val="16"/>
        </w:rPr>
      </w:pPr>
    </w:p>
    <w:p w14:paraId="69A400DD" w14:textId="77777777" w:rsidR="002F1089" w:rsidRPr="00925F26" w:rsidRDefault="002F1089" w:rsidP="00925F26">
      <w:pPr>
        <w:jc w:val="both"/>
        <w:rPr>
          <w:color w:val="000000" w:themeColor="text1"/>
          <w:sz w:val="16"/>
          <w:szCs w:val="16"/>
        </w:rPr>
      </w:pPr>
      <w:r w:rsidRPr="00925F26">
        <w:rPr>
          <w:color w:val="000000" w:themeColor="text1"/>
          <w:sz w:val="16"/>
          <w:szCs w:val="16"/>
        </w:rPr>
        <w:t>9 мая в 1945 году оперативная сводка Совинформбюро:</w:t>
      </w:r>
    </w:p>
    <w:p w14:paraId="53C204F0" w14:textId="77777777" w:rsidR="002F1089" w:rsidRPr="00925F26" w:rsidRDefault="002F1089" w:rsidP="00925F26">
      <w:pPr>
        <w:jc w:val="both"/>
        <w:rPr>
          <w:color w:val="000000" w:themeColor="text1"/>
          <w:sz w:val="16"/>
          <w:szCs w:val="16"/>
        </w:rPr>
      </w:pPr>
      <w:r w:rsidRPr="00925F26">
        <w:rPr>
          <w:color w:val="000000" w:themeColor="text1"/>
          <w:sz w:val="16"/>
          <w:szCs w:val="16"/>
        </w:rPr>
        <w:lastRenderedPageBreak/>
        <w:t>«Между Тукумсом и Либавой Курляндская группа немецких войск в составе 16 и 18 немецких армий под командованием генерала от инфантерии Гильперта с 23 часов 8 мая сего года прекратила сопротивление и начала передавать личный состав и боевую технику войскам Ленинградского фронта. Войска фронта заняли города Либава (Лепая), Павилоста, Айзпуте, Скрунда, Салдус, Сабиле, Кандава, Тукумс. К вечеру 9 мая войскам фронта сдалось в плен более 45.000 немецких солдат и офицеров. Приём пленных продолжается.</w:t>
      </w:r>
    </w:p>
    <w:p w14:paraId="55443F2E" w14:textId="77777777" w:rsidR="002F1089" w:rsidRPr="00925F26" w:rsidRDefault="002F1089" w:rsidP="00925F26">
      <w:pPr>
        <w:jc w:val="both"/>
        <w:rPr>
          <w:color w:val="000000" w:themeColor="text1"/>
          <w:sz w:val="16"/>
          <w:szCs w:val="16"/>
        </w:rPr>
      </w:pPr>
      <w:r w:rsidRPr="00925F26">
        <w:rPr>
          <w:color w:val="000000" w:themeColor="text1"/>
          <w:sz w:val="16"/>
          <w:szCs w:val="16"/>
        </w:rPr>
        <w:t>В районе устья реки Вислы восточнее Данцига и на косе Путцигер-Нерунг северо-восточнее Гдыни группы немецких войск, прижатые к побережью моря, прекратили сопротивление и с утра 9 мая начали сдачу личного состава и боевой техники войскам 3-го и 2-го Белорусских фронтов. К вечеру 9 мая войскам 3-го Белорусского фронта сдалось в плен 11.000, а войскам 2-го Белорусского фронта 10.000 немецких солдат и офицеров. Приём пленных продолжается.</w:t>
      </w:r>
    </w:p>
    <w:p w14:paraId="3638B94E" w14:textId="77777777" w:rsidR="002F1089" w:rsidRPr="00925F26" w:rsidRDefault="002F1089" w:rsidP="00925F26">
      <w:pPr>
        <w:jc w:val="both"/>
        <w:rPr>
          <w:color w:val="000000" w:themeColor="text1"/>
          <w:sz w:val="16"/>
          <w:szCs w:val="16"/>
        </w:rPr>
      </w:pPr>
      <w:r w:rsidRPr="00925F26">
        <w:rPr>
          <w:color w:val="000000" w:themeColor="text1"/>
          <w:sz w:val="16"/>
          <w:szCs w:val="16"/>
        </w:rPr>
        <w:t>Группа немецких войск в Чехословакии, уклоняясь от капитуляции советским войскам, поспешно отходит на запад и юго-запад.</w:t>
      </w:r>
    </w:p>
    <w:p w14:paraId="3929A6E6" w14:textId="77777777" w:rsidR="002F1089" w:rsidRPr="00925F26" w:rsidRDefault="002F1089" w:rsidP="00925F26">
      <w:pPr>
        <w:jc w:val="both"/>
        <w:rPr>
          <w:color w:val="000000" w:themeColor="text1"/>
          <w:sz w:val="16"/>
          <w:szCs w:val="16"/>
        </w:rPr>
      </w:pPr>
      <w:r w:rsidRPr="00925F26">
        <w:rPr>
          <w:color w:val="000000" w:themeColor="text1"/>
          <w:sz w:val="16"/>
          <w:szCs w:val="16"/>
        </w:rPr>
        <w:t>Войска 1-го Украинского фронта, в результате стремительного ночного манёвра танковых соединений и пехоты, сломили сопротивление противника и 9 мая в 4 часа утра освободили от немецких захватчиков столицу союзной нам Чехословакии город Прагу, а также заняли на территории Чехословакии города Хомутов, Кадань, Билина, Лоуны. Юго-восточнее Дрездена войска фронта, продвигаясь вперёд, заняли города Пирна, Зебнитц, Нойгерсдорф, Циттау, Фридлант, Лаубан, Грайффенберг, Гиршберг, Вармбрунн. Одновременно юго-западнее и южнее Бреславля войска фронта заняли города Ландесхут, Готтесберг, Вальденбург, Швейдниц, Рейхенбах, Лангенбилау, Франкенштайн, Патшкау, Варта, Глатц, Ландек.</w:t>
      </w:r>
    </w:p>
    <w:p w14:paraId="0DF49CED" w14:textId="77777777" w:rsidR="002F1089" w:rsidRPr="00925F26" w:rsidRDefault="002F1089" w:rsidP="00925F26">
      <w:pPr>
        <w:jc w:val="both"/>
        <w:rPr>
          <w:color w:val="000000" w:themeColor="text1"/>
          <w:sz w:val="16"/>
          <w:szCs w:val="16"/>
        </w:rPr>
      </w:pPr>
      <w:r w:rsidRPr="00925F26">
        <w:rPr>
          <w:color w:val="000000" w:themeColor="text1"/>
          <w:sz w:val="16"/>
          <w:szCs w:val="16"/>
        </w:rPr>
        <w:t>Войска 4-го Украинского фронта заняли на территории Чехословакии города Шилперк, Мюглиц, Моравска Трюбау, Литовель, Простеев.</w:t>
      </w:r>
    </w:p>
    <w:p w14:paraId="7C34DBA1" w14:textId="77777777" w:rsidR="002F1089" w:rsidRPr="00925F26" w:rsidRDefault="002F1089" w:rsidP="00925F26">
      <w:pPr>
        <w:jc w:val="both"/>
        <w:rPr>
          <w:color w:val="000000" w:themeColor="text1"/>
          <w:sz w:val="16"/>
          <w:szCs w:val="16"/>
        </w:rPr>
      </w:pPr>
      <w:r w:rsidRPr="00925F26">
        <w:rPr>
          <w:color w:val="000000" w:themeColor="text1"/>
          <w:sz w:val="16"/>
          <w:szCs w:val="16"/>
        </w:rPr>
        <w:t>Войска 2-го Украинского фронта, стремительно продвигаясь вперёд, заняли на территории Чехословакии города Великие Межиричи, Йиглава, Брод, Бенешов, Тржебич.</w:t>
      </w:r>
    </w:p>
    <w:p w14:paraId="12DA9DC9" w14:textId="77777777" w:rsidR="002F1089" w:rsidRPr="00925F26" w:rsidRDefault="002F1089" w:rsidP="00925F26">
      <w:pPr>
        <w:jc w:val="both"/>
        <w:rPr>
          <w:color w:val="000000" w:themeColor="text1"/>
          <w:sz w:val="16"/>
          <w:szCs w:val="16"/>
        </w:rPr>
      </w:pPr>
      <w:r w:rsidRPr="00925F26">
        <w:rPr>
          <w:color w:val="000000" w:themeColor="text1"/>
          <w:sz w:val="16"/>
          <w:szCs w:val="16"/>
        </w:rPr>
        <w:t>Войска 3-го Украинского фронта заняли на территории Австрии города Лоосдорф, Визельбург, Амштеттен, Мюрццусшлаг, Брук, Грац и соединились с американскими войсками в районе Амштеттен.» (14886).</w:t>
      </w:r>
    </w:p>
    <w:p w14:paraId="67E3E9E1" w14:textId="77777777" w:rsidR="002F1089" w:rsidRPr="00925F26" w:rsidRDefault="002F1089" w:rsidP="00925F26">
      <w:pPr>
        <w:jc w:val="both"/>
        <w:rPr>
          <w:color w:val="000000" w:themeColor="text1"/>
          <w:sz w:val="16"/>
          <w:szCs w:val="16"/>
        </w:rPr>
      </w:pPr>
    </w:p>
    <w:p w14:paraId="2D904F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9 мая 1945:</w:t>
      </w:r>
    </w:p>
    <w:p w14:paraId="14591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0F5689" w:rsidRPr="00925F26" w14:paraId="7B5E507A" w14:textId="77777777">
        <w:tc>
          <w:tcPr>
            <w:tcW w:w="2660" w:type="dxa"/>
            <w:tcBorders>
              <w:top w:val="single" w:sz="12" w:space="0" w:color="auto"/>
            </w:tcBorders>
          </w:tcPr>
          <w:p w14:paraId="3804E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Период</w:t>
            </w:r>
          </w:p>
        </w:tc>
        <w:tc>
          <w:tcPr>
            <w:tcW w:w="1559" w:type="dxa"/>
            <w:tcBorders>
              <w:top w:val="single" w:sz="12" w:space="0" w:color="auto"/>
            </w:tcBorders>
          </w:tcPr>
          <w:p w14:paraId="2EAC21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26.06.41-01.07.42 </w:t>
            </w:r>
          </w:p>
        </w:tc>
        <w:tc>
          <w:tcPr>
            <w:tcW w:w="1559" w:type="dxa"/>
            <w:tcBorders>
              <w:top w:val="single" w:sz="12" w:space="0" w:color="auto"/>
            </w:tcBorders>
          </w:tcPr>
          <w:p w14:paraId="1C839B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01.08.42-01.06.43</w:t>
            </w:r>
          </w:p>
        </w:tc>
        <w:tc>
          <w:tcPr>
            <w:tcW w:w="1559" w:type="dxa"/>
            <w:tcBorders>
              <w:top w:val="single" w:sz="12" w:space="0" w:color="auto"/>
            </w:tcBorders>
          </w:tcPr>
          <w:p w14:paraId="7FF5C5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01.11.44.</w:t>
            </w:r>
          </w:p>
        </w:tc>
        <w:tc>
          <w:tcPr>
            <w:tcW w:w="1559" w:type="dxa"/>
            <w:tcBorders>
              <w:top w:val="single" w:sz="12" w:space="0" w:color="auto"/>
            </w:tcBorders>
          </w:tcPr>
          <w:p w14:paraId="129F11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01.01.45-09.05.45</w:t>
            </w:r>
          </w:p>
        </w:tc>
      </w:tr>
      <w:tr w:rsidR="000F5689" w:rsidRPr="00925F26" w14:paraId="412A196B" w14:textId="77777777">
        <w:tc>
          <w:tcPr>
            <w:tcW w:w="2660" w:type="dxa"/>
          </w:tcPr>
          <w:p w14:paraId="6C4244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w:t>
            </w:r>
          </w:p>
        </w:tc>
        <w:tc>
          <w:tcPr>
            <w:tcW w:w="1559" w:type="dxa"/>
          </w:tcPr>
          <w:p w14:paraId="455CA0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559" w:type="dxa"/>
          </w:tcPr>
          <w:p w14:paraId="0D7CC6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1559" w:type="dxa"/>
          </w:tcPr>
          <w:p w14:paraId="06D594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559" w:type="dxa"/>
          </w:tcPr>
          <w:p w14:paraId="4ABFF5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r>
      <w:tr w:rsidR="000F5689" w:rsidRPr="00925F26" w14:paraId="21A48767" w14:textId="77777777">
        <w:tc>
          <w:tcPr>
            <w:tcW w:w="2660" w:type="dxa"/>
          </w:tcPr>
          <w:p w14:paraId="071E02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c>
        <w:tc>
          <w:tcPr>
            <w:tcW w:w="1559" w:type="dxa"/>
          </w:tcPr>
          <w:p w14:paraId="254740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559" w:type="dxa"/>
          </w:tcPr>
          <w:p w14:paraId="39895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w:t>
            </w:r>
          </w:p>
        </w:tc>
        <w:tc>
          <w:tcPr>
            <w:tcW w:w="1559" w:type="dxa"/>
          </w:tcPr>
          <w:p w14:paraId="64071E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w:t>
            </w:r>
          </w:p>
        </w:tc>
        <w:tc>
          <w:tcPr>
            <w:tcW w:w="1559" w:type="dxa"/>
          </w:tcPr>
          <w:p w14:paraId="002B8B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r>
      <w:tr w:rsidR="000F5689" w:rsidRPr="00925F26" w14:paraId="630FC1EB" w14:textId="77777777">
        <w:tc>
          <w:tcPr>
            <w:tcW w:w="2660" w:type="dxa"/>
            <w:tcBorders>
              <w:bottom w:val="single" w:sz="12" w:space="0" w:color="auto"/>
            </w:tcBorders>
          </w:tcPr>
          <w:p w14:paraId="3FEB2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1559" w:type="dxa"/>
            <w:tcBorders>
              <w:bottom w:val="single" w:sz="12" w:space="0" w:color="auto"/>
            </w:tcBorders>
          </w:tcPr>
          <w:p w14:paraId="3C6948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1559" w:type="dxa"/>
            <w:tcBorders>
              <w:bottom w:val="single" w:sz="12" w:space="0" w:color="auto"/>
            </w:tcBorders>
          </w:tcPr>
          <w:p w14:paraId="2E20B0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559" w:type="dxa"/>
            <w:tcBorders>
              <w:bottom w:val="single" w:sz="12" w:space="0" w:color="auto"/>
            </w:tcBorders>
          </w:tcPr>
          <w:p w14:paraId="37299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1559" w:type="dxa"/>
            <w:tcBorders>
              <w:bottom w:val="single" w:sz="12" w:space="0" w:color="auto"/>
            </w:tcBorders>
          </w:tcPr>
          <w:p w14:paraId="51707A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w:t>
            </w:r>
          </w:p>
        </w:tc>
      </w:tr>
    </w:tbl>
    <w:p w14:paraId="6E8F43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(12020).</w:t>
      </w:r>
    </w:p>
    <w:p w14:paraId="09117B15" w14:textId="77777777" w:rsidR="00665165" w:rsidRPr="00925F26" w:rsidRDefault="00665165" w:rsidP="00925F26">
      <w:pPr>
        <w:autoSpaceDE w:val="0"/>
        <w:autoSpaceDN w:val="0"/>
        <w:adjustRightInd w:val="0"/>
        <w:jc w:val="both"/>
        <w:rPr>
          <w:color w:val="000000" w:themeColor="text1"/>
          <w:sz w:val="16"/>
          <w:szCs w:val="16"/>
        </w:rPr>
      </w:pPr>
    </w:p>
    <w:p w14:paraId="7EAB84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9 мая 1945 боевые потери штурмовиков за все годы войны составили 10759 самолетов ВВС КА (28,9% к общему числу потерянных в войне самолетов) и 807 Ил-2, потерянных ВВС ВМФ.</w:t>
      </w:r>
    </w:p>
    <w:p w14:paraId="1512CB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годы войны в общей сложности было построено 34943 Ил-2 и корректировщиков-разведчиков Ил-2КР, а также 1211 учебно-тренировочных УИл-2. К 10 мая 1945 г. в составе воздушных армий фронтов насчитывалось 3075 штурмовиков Ил-2 и УИл-2, 214 Ил-2КР. </w:t>
      </w:r>
      <w:proofErr w:type="gramStart"/>
      <w:r w:rsidRPr="00925F26">
        <w:rPr>
          <w:color w:val="000000" w:themeColor="text1"/>
          <w:sz w:val="16"/>
          <w:szCs w:val="16"/>
        </w:rPr>
        <w:t>Кроме этого</w:t>
      </w:r>
      <w:proofErr w:type="gramEnd"/>
      <w:r w:rsidRPr="00925F26">
        <w:rPr>
          <w:color w:val="000000" w:themeColor="text1"/>
          <w:sz w:val="16"/>
          <w:szCs w:val="16"/>
        </w:rPr>
        <w:t xml:space="preserve"> в ВВС ВМФ имелось еще 197 Ил-2 (11921).</w:t>
      </w:r>
    </w:p>
    <w:p w14:paraId="0D0926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среднем каждые 7-8 месяцев войны парк самолетов Ил-2 в воздушных армиях полностью обновлялся. Для сравнения, самолетный парк бомбардировочной авиации за год войны обновлялся в среднем на 40—70% от своего среднего состава.</w:t>
      </w:r>
    </w:p>
    <w:p w14:paraId="3304F2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Потери Ил-2 от огня зенитной артиллерии с каждым годом войны неуклонно возрастали, а потери от истребителей, наоборот, снижались при одновременном увеличении количества </w:t>
      </w:r>
      <w:proofErr w:type="gramStart"/>
      <w:r w:rsidRPr="00925F26">
        <w:rPr>
          <w:color w:val="000000" w:themeColor="text1"/>
          <w:sz w:val="16"/>
          <w:szCs w:val="16"/>
        </w:rPr>
        <w:t>самолето-вылетов</w:t>
      </w:r>
      <w:proofErr w:type="gramEnd"/>
      <w:r w:rsidRPr="00925F26">
        <w:rPr>
          <w:color w:val="000000" w:themeColor="text1"/>
          <w:sz w:val="16"/>
          <w:szCs w:val="16"/>
        </w:rPr>
        <w:t>. Превышение потерь Ил-2 от зенитного огня над потерями от истребителей противника достигало 2,5—4,5 в зависимости от конкретных условий проводимых операций.</w:t>
      </w:r>
    </w:p>
    <w:p w14:paraId="5FE919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документов, боевые безвозвратные потери летного состава штурмовой авиации ВВС КА за период 1943—1945 гг. в 1,8 раз превысили боевые санитарные потери. В истребительной авиации за этот же период времени соотношение боевых санитарных и безвозвратных потерь составило 1:2,0, а в бомбардировочной авиации — 1:2,1.</w:t>
      </w:r>
    </w:p>
    <w:p w14:paraId="0C7BEA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безвозвратные потери летного состава штурмовой авиации за все время войны составили 7837 человек (28,4% общих боевых потерь ВВС КА), истребительной авиации — 11874 (43%), бомбардировочной авиации — 6613 (24%), разведывательной авиации — 587 (2,1%), и вспомогательной авиации — 689 (2,5%) человек.</w:t>
      </w:r>
    </w:p>
    <w:p w14:paraId="08E0EA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Если проследить распределение ранений летного состава по годам войны, то получается следующая картина. В 1941 г. летный состав ВВС КА в 56% случаев получал ранения от осколков авиационных пушек, в 15% — от осколков зенитных снарядов и в 29% — от пулевых попаданий. Соответственно, в последующие годы распределение ранений имеет вид: 54,2%, 12,4% и 33,4% - в 1942 г., 47,3%, 36,2% и 16,5% - в 1943 г., 38,4%, 51,4% и 10,2% - в 1944 г.</w:t>
      </w:r>
    </w:p>
    <w:p w14:paraId="379D79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 есть осколочные ранения, нанесенные снарядами авиапушек, преобладали над пулевыми ранениями. При этом доля осколочных ранений от снарядов авиапушек с каждым годом уменьшалась. Одновременно возрастала доля ранений, нанесенных осколками снарядов зенитной артиллерии. Это обстоятельство объясняется тем, что в начале войны немецкая истребительная авиация обладала господством в воздухе, а к середине войны его утратила. Параллельно этому процессу шло усиление зенитной артиллерии противника.</w:t>
      </w:r>
    </w:p>
    <w:p w14:paraId="2F572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Предел тыльной прочности цементованной брони толщиной 12 мм, установленной на самолете Ил-2, при обстреле ее со стороны задней полусферы бронебойными снарядами из пушки MG151/15. Зона, очерченная замкнутой кривой, является опасной зоной обстрела: при обстреле из каждой точки, лежащей внутри этой зоны, броня пробивается, а вне этой области — не пробивается</w:t>
      </w:r>
    </w:p>
    <w:p w14:paraId="3D7106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Распределение ранений по виду ранящего оружия у летного состава штурмовой авиации проиллюстрируем на примере 4-й воздушной армии. Согласно документам, распределение поражений летчиков-штурмовиков 4-й ВА в 1942 г. включало: пулевые — 13,1%, осколочные ранения от зенитной артиллерии — 48,1%, осколочные ранения от истребительной авиации — 21,3%, травмы при авариях на посадке — 6,1%, травмы при авариях на взлете — 1,1%, комбинированные травмы — 2,2%, ожоги - 8,1%.</w:t>
      </w:r>
    </w:p>
    <w:p w14:paraId="341E3E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Видно, что ранения, нанесенные зенитной артиллерией противника, преобладают над ранениями от стрелково-пушечного вооружения истребителей — 48,1% и 34,4% соответственно.</w:t>
      </w:r>
    </w:p>
    <w:p w14:paraId="07466F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Анализ локализации ожогов показывает, что если все ожоги летчиков взять за 100%, то ожоги головы составляли 36,6%, 10% — ожоги туловища, 50% — верхних конечностей, 3,4% — нижних конечностей. Если за 100% взять все ранения летчиков, то 30,4% составляли ранения головы, 16,6% — туловища, 23,3% — верхних конечностей, 29,7% — нижних конечностей. Все остальные случаи относятся к ушибам и травмам: голова — 46%, туловище — 23%, верхние конечности — 16,5%, нижние конечности — 14,5%.</w:t>
      </w:r>
    </w:p>
    <w:p w14:paraId="342689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документов, убыль воздушных стрелков Ил-2 в боях примерно в 1,5—2 раза превышала убыль летного состава. При этом среди категории погибших количество воздушных стрелков и летчиков было примерно одинаковым, а среди категории раненых воздушные стрелки в 2—3 раза опережали летчиков (11921).</w:t>
      </w:r>
    </w:p>
    <w:p w14:paraId="45759D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Распределение боевых потерь за всю войну по степени подготовки летчиков-штурмовиков показывает, что 27% всех потерь приходится на первые 10 боевых вылетов на фронте, 40% потерь составляли летчики, имевшие налет от 10 до 30 боевых вылетов, примерно18% — от 30 до 50 вылетов, около 10% — от 50 до 100 вылетов, 4% - от 100 до 150 вылетов, и 2% — свыше 150 боевых вылетов. При этом потери комсостава (командиры полков, эскадрилий, звеньев, их заместители и старшие летчики) составили примерно 41% от общего числа потерь летчиков-штурмовиков, остальные потери составили рядовые летчики.</w:t>
      </w:r>
    </w:p>
    <w:p w14:paraId="4C1B07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Другими словами, с повышением мастерства летного состава резко уменьшается вероятность его поражения от огня противника в бою.</w:t>
      </w:r>
    </w:p>
    <w:p w14:paraId="43F909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Весьма интересный результат получается, если привести общее количество погибших и раненых летчиков и воздушных стрелков к 100 боевым вылетам.</w:t>
      </w:r>
    </w:p>
    <w:p w14:paraId="43EDC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документов, санитарные потери штурмовой авиации в ходе войны составляли 0,2—1 человека на 100 вылетов, безвозвратные потери колебались в пределах 0,7—2,1 человека на 100 вылетов.</w:t>
      </w:r>
    </w:p>
    <w:p w14:paraId="13820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сравнения, в истребительной авиации санитарные потери на протяжении всей войны находились в пределах 0,1—0,7 и безвозвратные 0,4—1,2 человека на каждые 100 вылетов, а в бомбардировочной авиации — 0,2—1,3 и 0,5—4,6 соответственно.</w:t>
      </w:r>
    </w:p>
    <w:p w14:paraId="7D7EE5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Если проанализировать распределение потерь летного состава (санитарных и безвозвратных) по отдельным операциям и периодам войны, то прослеживается следующая закономерность: наши ВВС несли наибольшие потери в оборонительных операциях и в первые дни наступательной операции, когда противник оказывал наиболее сильное сопротивление.</w:t>
      </w:r>
    </w:p>
    <w:p w14:paraId="083F22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Например, боевые потери штурмовой авиации в Сталинградской оборонительной операции в 2,7 раза превысили потери в период контрнаступления, потери истребительной авиации — в 1,2, а бомбардировочной авиации — в 2,3 раза. В оборонительном периоде битвы под Курском потери на каждые 100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оказались также выше потерь периода наступления: по штурмовикам — в 1,6 раза, по истребителям — в 1,4 раза, по бомбардировщикам — в 1,7 раза.</w:t>
      </w:r>
    </w:p>
    <w:p w14:paraId="791889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После завоевания ВВС КА в 1944 г. господства в воздухе потери резко упали. Так, в Львовско-Сандомирской операции штурмовая авиация в среднем теряла 0,53 человек летного состава на каждые 100 </w:t>
      </w:r>
      <w:proofErr w:type="gramStart"/>
      <w:r w:rsidRPr="00925F26">
        <w:rPr>
          <w:color w:val="000000" w:themeColor="text1"/>
          <w:sz w:val="16"/>
          <w:szCs w:val="16"/>
        </w:rPr>
        <w:t>самолето-вылетов</w:t>
      </w:r>
      <w:proofErr w:type="gramEnd"/>
      <w:r w:rsidRPr="00925F26">
        <w:rPr>
          <w:color w:val="000000" w:themeColor="text1"/>
          <w:sz w:val="16"/>
          <w:szCs w:val="16"/>
        </w:rPr>
        <w:t>, истребительная — 0,22, бомбардировочная — 1,8, а в Берлинской операции — 0,27, 0,12 и 0,32 человека соответственно. При этом в период Львовско-Сандомирской операции в 5-м шак 5-й ВА первые три дня дали 88% и последующие 10 дней всего 12% всех санитарных потерь за операцию.</w:t>
      </w:r>
    </w:p>
    <w:p w14:paraId="3D51DF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Таким образом, самыми живучими и выносливыми боевыми машинами в ВВС КА являлись штурмовики </w:t>
      </w:r>
      <w:proofErr w:type="gramStart"/>
      <w:r w:rsidRPr="00925F26">
        <w:rPr>
          <w:color w:val="000000" w:themeColor="text1"/>
          <w:sz w:val="16"/>
          <w:szCs w:val="16"/>
        </w:rPr>
        <w:t>Ил-2, несмотря на то, что</w:t>
      </w:r>
      <w:proofErr w:type="gramEnd"/>
      <w:r w:rsidRPr="00925F26">
        <w:rPr>
          <w:color w:val="000000" w:themeColor="text1"/>
          <w:sz w:val="16"/>
          <w:szCs w:val="16"/>
        </w:rPr>
        <w:t xml:space="preserve"> им приходилось вести боевые действия в наиболее неблагоприятных условиях, как в смысле интенсивности огня зенитной артиллерии, так и воздействия истребителей противника. Принятая система боевой живучести, основанная на бронекорпусе, защищавшем жизненно важные части самолета и экипаж, системе заполнения бензобаков нейтральным газом и частичном дублировании в системе управления, в целом сыграла свою роль, хотя и не отвечала в полной мере требованиям войны. В эксплуатационном отношении и по надежности самолет вполне соответствовал уровню, который мог обеспечить советский авиапром в то время. На фоне других отечественных боевых самолетов Ил-2 выглядел более чем прилично — где-то хуже, где-то лучше остальных. Важно, что конструкция самолета отвечала как требованиям массового производства в условиях военного времени, так и жестким требованиям ведения боевых действий, эксплуатации и ремонта в полевых условиях (11921).</w:t>
      </w:r>
    </w:p>
    <w:p w14:paraId="09067E67" w14:textId="77777777" w:rsidR="00665165" w:rsidRPr="00925F26" w:rsidRDefault="00665165" w:rsidP="00925F26">
      <w:pPr>
        <w:autoSpaceDE w:val="0"/>
        <w:autoSpaceDN w:val="0"/>
        <w:adjustRightInd w:val="0"/>
        <w:jc w:val="both"/>
        <w:rPr>
          <w:color w:val="000000" w:themeColor="text1"/>
          <w:sz w:val="16"/>
          <w:szCs w:val="16"/>
        </w:rPr>
      </w:pPr>
    </w:p>
    <w:p w14:paraId="592BE9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мая 1945 прибывшая на следующий день из штаба 8-й воздушной армии комиссия приказала снять моторы с четырех на</w:t>
      </w:r>
      <w:r w:rsidRPr="00925F26">
        <w:rPr>
          <w:color w:val="000000" w:themeColor="text1"/>
          <w:sz w:val="16"/>
          <w:szCs w:val="16"/>
        </w:rPr>
        <w:softHyphen/>
        <w:t>угад выбранных Ил-10. Картина была одна и та же: валы крыльчаток имели большой износ, в корпусах нагнетателей обнаружили пыль и песок. 21 мая при</w:t>
      </w:r>
      <w:r w:rsidRPr="00925F26">
        <w:rPr>
          <w:color w:val="000000" w:themeColor="text1"/>
          <w:sz w:val="16"/>
          <w:szCs w:val="16"/>
        </w:rPr>
        <w:softHyphen/>
        <w:t>ехала комиссия из Москвы, для которой демонтировали и разобрали еще два двигателя. В них нашли то же самое. Эксплуатацию самолетов запретили. Полк полностью потерял боеспособ</w:t>
      </w:r>
      <w:r w:rsidRPr="00925F26">
        <w:rPr>
          <w:color w:val="000000" w:themeColor="text1"/>
          <w:sz w:val="16"/>
          <w:szCs w:val="16"/>
        </w:rPr>
        <w:softHyphen/>
        <w:t>ность. Что было бы, если бы война про</w:t>
      </w:r>
      <w:r w:rsidRPr="00925F26">
        <w:rPr>
          <w:color w:val="000000" w:themeColor="text1"/>
          <w:sz w:val="16"/>
          <w:szCs w:val="16"/>
        </w:rPr>
        <w:softHyphen/>
        <w:t>должилась? Первые месяцы боевого применения Ил-10 сопровождались многочисленны</w:t>
      </w:r>
      <w:r w:rsidRPr="00925F26">
        <w:rPr>
          <w:color w:val="000000" w:themeColor="text1"/>
          <w:sz w:val="16"/>
          <w:szCs w:val="16"/>
        </w:rPr>
        <w:softHyphen/>
        <w:t>ми отказами агрегатов и систем: карбю</w:t>
      </w:r>
      <w:r w:rsidRPr="00925F26">
        <w:rPr>
          <w:color w:val="000000" w:themeColor="text1"/>
          <w:sz w:val="16"/>
          <w:szCs w:val="16"/>
        </w:rPr>
        <w:softHyphen/>
        <w:t>ратора, бензосистемы и свечей; наблю</w:t>
      </w:r>
      <w:r w:rsidRPr="00925F26">
        <w:rPr>
          <w:color w:val="000000" w:themeColor="text1"/>
          <w:sz w:val="16"/>
          <w:szCs w:val="16"/>
        </w:rPr>
        <w:softHyphen/>
        <w:t>дались тряска мотора на всех режимах работы, течь масляных и водяных ради</w:t>
      </w:r>
      <w:r w:rsidRPr="00925F26">
        <w:rPr>
          <w:color w:val="000000" w:themeColor="text1"/>
          <w:sz w:val="16"/>
          <w:szCs w:val="16"/>
        </w:rPr>
        <w:softHyphen/>
        <w:t>аторов. По мнению механиков, доступ к свечам и некоторым другим агрегатам и узлам мотора был крайне неудобен. На</w:t>
      </w:r>
      <w:r w:rsidRPr="00925F26">
        <w:rPr>
          <w:color w:val="000000" w:themeColor="text1"/>
          <w:sz w:val="16"/>
          <w:szCs w:val="16"/>
        </w:rPr>
        <w:softHyphen/>
        <w:t>пример, замена карбюратора и последу</w:t>
      </w:r>
      <w:r w:rsidRPr="00925F26">
        <w:rPr>
          <w:color w:val="000000" w:themeColor="text1"/>
          <w:sz w:val="16"/>
          <w:szCs w:val="16"/>
        </w:rPr>
        <w:softHyphen/>
        <w:t>ющая отладка двигателя отнимали до 30-33 ч. Постоянно рвались тросы бомболю-ков, створки деформировались при за</w:t>
      </w:r>
      <w:r w:rsidRPr="00925F26">
        <w:rPr>
          <w:color w:val="000000" w:themeColor="text1"/>
          <w:sz w:val="16"/>
          <w:szCs w:val="16"/>
        </w:rPr>
        <w:softHyphen/>
        <w:t>грузке мелких бомб и повреждались при сбросе крупных. Обшивка консолей и центроплана, а также заклепки не вы</w:t>
      </w:r>
      <w:r w:rsidRPr="00925F26">
        <w:rPr>
          <w:color w:val="000000" w:themeColor="text1"/>
          <w:sz w:val="16"/>
          <w:szCs w:val="16"/>
        </w:rPr>
        <w:softHyphen/>
        <w:t>держивали нагрузок. Листы шли волной, заклепки срезались и выпадали. Лома</w:t>
      </w:r>
      <w:r w:rsidRPr="00925F26">
        <w:rPr>
          <w:color w:val="000000" w:themeColor="text1"/>
          <w:sz w:val="16"/>
          <w:szCs w:val="16"/>
        </w:rPr>
        <w:softHyphen/>
        <w:t>лись складывающиеся подкосы шасси и обтекатели хвостового колеса. Удивительно, но техническому соста</w:t>
      </w:r>
      <w:r w:rsidRPr="00925F26">
        <w:rPr>
          <w:color w:val="000000" w:themeColor="text1"/>
          <w:sz w:val="16"/>
          <w:szCs w:val="16"/>
        </w:rPr>
        <w:softHyphen/>
        <w:t>ву все же удавалось поддерживать бое</w:t>
      </w:r>
      <w:r w:rsidRPr="00925F26">
        <w:rPr>
          <w:color w:val="000000" w:themeColor="text1"/>
          <w:sz w:val="16"/>
          <w:szCs w:val="16"/>
        </w:rPr>
        <w:softHyphen/>
        <w:t>готовность на уровне, обеспечивавшем выполнение поставленных задач. Еже</w:t>
      </w:r>
      <w:r w:rsidRPr="00925F26">
        <w:rPr>
          <w:color w:val="000000" w:themeColor="text1"/>
          <w:sz w:val="16"/>
          <w:szCs w:val="16"/>
        </w:rPr>
        <w:softHyphen/>
        <w:t>дневная готовность самолетов в сред</w:t>
      </w:r>
      <w:r w:rsidRPr="00925F26">
        <w:rPr>
          <w:color w:val="000000" w:themeColor="text1"/>
          <w:sz w:val="16"/>
          <w:szCs w:val="16"/>
        </w:rPr>
        <w:softHyphen/>
        <w:t>нем достигала 72,8% состава (10681).</w:t>
      </w:r>
    </w:p>
    <w:p w14:paraId="04B20972" w14:textId="77777777" w:rsidR="00665165" w:rsidRPr="00925F26" w:rsidRDefault="00665165" w:rsidP="00925F26">
      <w:pPr>
        <w:autoSpaceDE w:val="0"/>
        <w:autoSpaceDN w:val="0"/>
        <w:adjustRightInd w:val="0"/>
        <w:jc w:val="both"/>
        <w:rPr>
          <w:color w:val="000000" w:themeColor="text1"/>
          <w:sz w:val="16"/>
          <w:szCs w:val="16"/>
        </w:rPr>
      </w:pPr>
    </w:p>
    <w:p w14:paraId="3D2106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22 июня 1943 г. по 9 мая 45-го, почти за два года боевых действий на заключительных этапах войны ВВС фло</w:t>
      </w:r>
      <w:r w:rsidRPr="00925F26">
        <w:rPr>
          <w:color w:val="000000" w:themeColor="text1"/>
          <w:sz w:val="16"/>
          <w:szCs w:val="16"/>
        </w:rPr>
        <w:softHyphen/>
        <w:t>тов Красной Армии потеряли 600 Ил-2 (списанные по акту машины при подсче</w:t>
      </w:r>
      <w:r w:rsidRPr="00925F26">
        <w:rPr>
          <w:color w:val="000000" w:themeColor="text1"/>
          <w:sz w:val="16"/>
          <w:szCs w:val="16"/>
        </w:rPr>
        <w:softHyphen/>
        <w:t>те не учитывались). Из них, 354 "Илов” - погибло на Балтике, 151 машина (из них 146 Ил-2 потеряны до 22.06.44 г.) - на Черном море и 95 - на Северном фло</w:t>
      </w:r>
      <w:r w:rsidRPr="00925F26">
        <w:rPr>
          <w:color w:val="000000" w:themeColor="text1"/>
          <w:sz w:val="16"/>
          <w:szCs w:val="16"/>
        </w:rPr>
        <w:softHyphen/>
        <w:t>те. Эти цифры вполне отражают интен</w:t>
      </w:r>
      <w:r w:rsidRPr="00925F26">
        <w:rPr>
          <w:color w:val="000000" w:themeColor="text1"/>
          <w:sz w:val="16"/>
          <w:szCs w:val="16"/>
        </w:rPr>
        <w:softHyphen/>
        <w:t>сивность ведения боевых действий авиа</w:t>
      </w:r>
      <w:r w:rsidRPr="00925F26">
        <w:rPr>
          <w:color w:val="000000" w:themeColor="text1"/>
          <w:sz w:val="16"/>
          <w:szCs w:val="16"/>
        </w:rPr>
        <w:softHyphen/>
        <w:t>ции флотов в этот период (6467).</w:t>
      </w:r>
    </w:p>
    <w:p w14:paraId="3702224E" w14:textId="77777777" w:rsidR="00665165" w:rsidRPr="00925F26" w:rsidRDefault="00665165" w:rsidP="00925F26">
      <w:pPr>
        <w:autoSpaceDE w:val="0"/>
        <w:autoSpaceDN w:val="0"/>
        <w:adjustRightInd w:val="0"/>
        <w:jc w:val="both"/>
        <w:rPr>
          <w:color w:val="000000" w:themeColor="text1"/>
          <w:sz w:val="16"/>
          <w:szCs w:val="16"/>
        </w:rPr>
      </w:pPr>
    </w:p>
    <w:p w14:paraId="67EAD5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г. французские летчики праздновали не только день победы, но и возвращение из плена аспиранта П.Блетона, сбитого над Пиллау еще 20 февраля. Блетон рассказал, что немцы организовали короткую встречу с пилотом, который поджег его “Як” -им оказался известный ас капитан И.Брендель (J.Brendel, 189 побед к концу войны), командир группы III/JG51 “Мельдерс”. Затем француза отправи</w:t>
      </w:r>
      <w:r w:rsidRPr="00925F26">
        <w:rPr>
          <w:color w:val="000000" w:themeColor="text1"/>
          <w:sz w:val="16"/>
          <w:szCs w:val="16"/>
        </w:rPr>
        <w:softHyphen/>
        <w:t>ли в лагерь военнопленных, откуда его освободили английские войска (3956).</w:t>
      </w:r>
    </w:p>
    <w:p w14:paraId="37159CFB" w14:textId="77777777" w:rsidR="00665165" w:rsidRPr="00925F26" w:rsidRDefault="00665165" w:rsidP="00925F26">
      <w:pPr>
        <w:autoSpaceDE w:val="0"/>
        <w:autoSpaceDN w:val="0"/>
        <w:adjustRightInd w:val="0"/>
        <w:jc w:val="both"/>
        <w:rPr>
          <w:color w:val="000000" w:themeColor="text1"/>
          <w:sz w:val="16"/>
          <w:szCs w:val="16"/>
        </w:rPr>
      </w:pPr>
    </w:p>
    <w:p w14:paraId="70F8869F" w14:textId="77777777" w:rsidR="004146AC" w:rsidRPr="00925F26" w:rsidRDefault="004146AC" w:rsidP="00925F26">
      <w:pPr>
        <w:jc w:val="both"/>
        <w:rPr>
          <w:color w:val="000000" w:themeColor="text1"/>
          <w:sz w:val="16"/>
          <w:szCs w:val="16"/>
        </w:rPr>
      </w:pPr>
      <w:r w:rsidRPr="00925F26">
        <w:rPr>
          <w:color w:val="000000" w:themeColor="text1"/>
          <w:sz w:val="16"/>
          <w:szCs w:val="16"/>
        </w:rPr>
        <w:t>9 мая 1945 г. В-25 приняли участие в праздничной иллюминации Москвы, расцвечивая небо ракетами. Столица праздновала победу над Германией (23513).</w:t>
      </w:r>
    </w:p>
    <w:p w14:paraId="0951730F" w14:textId="77777777" w:rsidR="004146AC" w:rsidRPr="00925F26" w:rsidRDefault="004146AC" w:rsidP="00925F26">
      <w:pPr>
        <w:jc w:val="both"/>
        <w:rPr>
          <w:color w:val="000000" w:themeColor="text1"/>
          <w:sz w:val="16"/>
          <w:szCs w:val="16"/>
        </w:rPr>
      </w:pPr>
    </w:p>
    <w:p w14:paraId="247C3DB9" w14:textId="77777777" w:rsidR="00023647" w:rsidRPr="001A0BAA" w:rsidRDefault="00023647" w:rsidP="00023647">
      <w:pPr>
        <w:jc w:val="both"/>
        <w:rPr>
          <w:color w:val="0070C0"/>
          <w:sz w:val="16"/>
          <w:szCs w:val="16"/>
        </w:rPr>
      </w:pPr>
      <w:r w:rsidRPr="001A0BAA">
        <w:rPr>
          <w:color w:val="0070C0"/>
          <w:sz w:val="16"/>
          <w:szCs w:val="16"/>
        </w:rPr>
        <w:t>9 мая 1945 года была последняя операция Великой Отечественной войны, в которой довелось участвовать Пе-8. Это был праздничный салют в небе Москвы. Экипаж летчика Д. Ваулина из 890-го полка вместе с экипажами других машин стрелял в ночном московском небе осве</w:t>
      </w:r>
      <w:r w:rsidRPr="001A0BAA">
        <w:rPr>
          <w:color w:val="0070C0"/>
          <w:sz w:val="16"/>
          <w:szCs w:val="16"/>
        </w:rPr>
        <w:softHyphen/>
        <w:t>тительными ракетами (24991).</w:t>
      </w:r>
    </w:p>
    <w:p w14:paraId="4D58A199" w14:textId="77777777" w:rsidR="00023647" w:rsidRPr="001A0BAA" w:rsidRDefault="00023647" w:rsidP="00023647">
      <w:pPr>
        <w:jc w:val="both"/>
        <w:rPr>
          <w:color w:val="0070C0"/>
          <w:sz w:val="16"/>
          <w:szCs w:val="16"/>
        </w:rPr>
      </w:pPr>
    </w:p>
    <w:p w14:paraId="14B7AC24" w14:textId="77777777" w:rsidR="004146AC" w:rsidRPr="00925F26" w:rsidRDefault="004146AC" w:rsidP="00925F26">
      <w:pPr>
        <w:jc w:val="both"/>
        <w:rPr>
          <w:color w:val="000000" w:themeColor="text1"/>
          <w:sz w:val="16"/>
          <w:szCs w:val="16"/>
        </w:rPr>
      </w:pPr>
      <w:r w:rsidRPr="00925F26">
        <w:rPr>
          <w:color w:val="000000" w:themeColor="text1"/>
          <w:sz w:val="16"/>
          <w:szCs w:val="16"/>
        </w:rPr>
        <w:t>К 9 мая 1945 г. три западных флота получили в общей сложности 107 PBN-1,4to уже составляло 73% общего состава их гидроавиации. Ни один само</w:t>
      </w:r>
      <w:r w:rsidRPr="00925F26">
        <w:rPr>
          <w:color w:val="000000" w:themeColor="text1"/>
          <w:sz w:val="16"/>
          <w:szCs w:val="16"/>
        </w:rPr>
        <w:softHyphen/>
        <w:t>лет не был сбит врагом, но девять машин числятся потерянными по небоевым при</w:t>
      </w:r>
      <w:r w:rsidRPr="00925F26">
        <w:rPr>
          <w:color w:val="000000" w:themeColor="text1"/>
          <w:sz w:val="16"/>
          <w:szCs w:val="16"/>
        </w:rPr>
        <w:softHyphen/>
        <w:t>чинам.</w:t>
      </w:r>
    </w:p>
    <w:p w14:paraId="6553A290" w14:textId="77777777" w:rsidR="004146AC" w:rsidRPr="00925F26" w:rsidRDefault="004146AC" w:rsidP="00925F26">
      <w:pPr>
        <w:jc w:val="both"/>
        <w:rPr>
          <w:color w:val="000000" w:themeColor="text1"/>
          <w:sz w:val="16"/>
          <w:szCs w:val="16"/>
        </w:rPr>
      </w:pPr>
      <w:r w:rsidRPr="00925F26">
        <w:rPr>
          <w:color w:val="000000" w:themeColor="text1"/>
          <w:sz w:val="16"/>
          <w:szCs w:val="16"/>
        </w:rPr>
        <w:t>С лета 1945 г. началась перегонка из США амфибий PBY-6A. Эту модификацию строил завод в Новом Орлеане. По обо</w:t>
      </w:r>
      <w:r w:rsidRPr="00925F26">
        <w:rPr>
          <w:color w:val="000000" w:themeColor="text1"/>
          <w:sz w:val="16"/>
          <w:szCs w:val="16"/>
        </w:rPr>
        <w:softHyphen/>
        <w:t>рудованию эта последняя модификация «Каталины» превосходила все предыду</w:t>
      </w:r>
      <w:r w:rsidRPr="00925F26">
        <w:rPr>
          <w:color w:val="000000" w:themeColor="text1"/>
          <w:sz w:val="16"/>
          <w:szCs w:val="16"/>
        </w:rPr>
        <w:softHyphen/>
        <w:t>щие. 15 самолетов перегнали с Кодьяка, а остальные 33 получили в Элизабет-сити. Поначалу непривычно было садиться на лодке на сухопутные аэродромы, да еще при трехколесном шасси, но с этим быст</w:t>
      </w:r>
      <w:r w:rsidRPr="00925F26">
        <w:rPr>
          <w:color w:val="000000" w:themeColor="text1"/>
          <w:sz w:val="16"/>
          <w:szCs w:val="16"/>
        </w:rPr>
        <w:softHyphen/>
        <w:t>ро освоились. В отношении же поведения в воздухе PBY-6A мало отличался от «чис</w:t>
      </w:r>
      <w:r w:rsidRPr="00925F26">
        <w:rPr>
          <w:color w:val="000000" w:themeColor="text1"/>
          <w:sz w:val="16"/>
          <w:szCs w:val="16"/>
        </w:rPr>
        <w:softHyphen/>
        <w:t>тых» лодок, разве что за счет большего веса чуть инертнее реагировал на рули. В боевых операциях на западе амфибии не успели принять участия, но немного пово</w:t>
      </w:r>
      <w:r w:rsidRPr="00925F26">
        <w:rPr>
          <w:color w:val="000000" w:themeColor="text1"/>
          <w:sz w:val="16"/>
          <w:szCs w:val="16"/>
        </w:rPr>
        <w:softHyphen/>
        <w:t>евали на востоке</w:t>
      </w:r>
    </w:p>
    <w:p w14:paraId="54906513" w14:textId="77777777" w:rsidR="004146AC" w:rsidRPr="00925F26" w:rsidRDefault="004146AC" w:rsidP="00925F26">
      <w:pPr>
        <w:jc w:val="both"/>
        <w:rPr>
          <w:color w:val="000000" w:themeColor="text1"/>
          <w:sz w:val="16"/>
          <w:szCs w:val="16"/>
        </w:rPr>
      </w:pPr>
      <w:r w:rsidRPr="00925F26">
        <w:rPr>
          <w:color w:val="000000" w:themeColor="text1"/>
          <w:sz w:val="16"/>
          <w:szCs w:val="16"/>
        </w:rPr>
        <w:t>12 мая 1945 Рузвельт заявил, что в рамках ленд-лиза необходимо далее оказывать только ту помощь, которая понадобится для боевых действий на Дальнем Востоке. До 12 мая в СССР отправили 2983 самоле</w:t>
      </w:r>
      <w:r w:rsidRPr="00925F26">
        <w:rPr>
          <w:color w:val="000000" w:themeColor="text1"/>
          <w:sz w:val="16"/>
          <w:szCs w:val="16"/>
        </w:rPr>
        <w:softHyphen/>
        <w:t>та, включая 178 — от имени англичан (23513).</w:t>
      </w:r>
    </w:p>
    <w:p w14:paraId="42825FEC" w14:textId="77777777" w:rsidR="004146AC" w:rsidRPr="00925F26" w:rsidRDefault="004146AC" w:rsidP="00925F26">
      <w:pPr>
        <w:jc w:val="both"/>
        <w:rPr>
          <w:color w:val="000000" w:themeColor="text1"/>
          <w:sz w:val="16"/>
          <w:szCs w:val="16"/>
        </w:rPr>
      </w:pPr>
    </w:p>
    <w:p w14:paraId="533418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9 мая 1945 г. ВВС располагали 116 Ер-2, из которых только 74 были исправными (8984).</w:t>
      </w:r>
    </w:p>
    <w:p w14:paraId="10956159" w14:textId="77777777" w:rsidR="00665165" w:rsidRPr="00925F26" w:rsidRDefault="00665165" w:rsidP="00925F26">
      <w:pPr>
        <w:autoSpaceDE w:val="0"/>
        <w:autoSpaceDN w:val="0"/>
        <w:adjustRightInd w:val="0"/>
        <w:jc w:val="both"/>
        <w:rPr>
          <w:color w:val="000000" w:themeColor="text1"/>
          <w:sz w:val="16"/>
          <w:szCs w:val="16"/>
        </w:rPr>
      </w:pPr>
    </w:p>
    <w:p w14:paraId="4DC454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последние боевые 18 Пе-8 (ТБ-7) перелетели из Барановичей в Москву (1103,229).</w:t>
      </w:r>
    </w:p>
    <w:p w14:paraId="7FDFCDB8" w14:textId="77777777" w:rsidR="00665165" w:rsidRPr="00925F26" w:rsidRDefault="00665165" w:rsidP="00925F26">
      <w:pPr>
        <w:autoSpaceDE w:val="0"/>
        <w:autoSpaceDN w:val="0"/>
        <w:adjustRightInd w:val="0"/>
        <w:jc w:val="both"/>
        <w:rPr>
          <w:color w:val="000000" w:themeColor="text1"/>
          <w:sz w:val="16"/>
          <w:szCs w:val="16"/>
        </w:rPr>
      </w:pPr>
    </w:p>
    <w:p w14:paraId="47E40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9 мая 1945 на флотах числилось 20 КОР-2 (Бе-4). Всего выпустили 44. 12 поступили на ЧФ, 12 - на КБФ, 4 на ТОФ (9079,36).</w:t>
      </w:r>
    </w:p>
    <w:p w14:paraId="114D69F1" w14:textId="77777777" w:rsidR="00665165" w:rsidRPr="00925F26" w:rsidRDefault="00665165" w:rsidP="00925F26">
      <w:pPr>
        <w:autoSpaceDE w:val="0"/>
        <w:autoSpaceDN w:val="0"/>
        <w:adjustRightInd w:val="0"/>
        <w:jc w:val="both"/>
        <w:rPr>
          <w:color w:val="000000" w:themeColor="text1"/>
          <w:sz w:val="16"/>
          <w:szCs w:val="16"/>
        </w:rPr>
      </w:pPr>
    </w:p>
    <w:p w14:paraId="61E5FD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состоянию на 9 мая 1945 г. на этих флотах числилось 20 КОР-2 (11107).</w:t>
      </w:r>
    </w:p>
    <w:p w14:paraId="4F444E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937E1D" w14:textId="77777777" w:rsidR="006979C2" w:rsidRPr="00925F26" w:rsidRDefault="006979C2" w:rsidP="00925F26">
      <w:pPr>
        <w:jc w:val="both"/>
        <w:rPr>
          <w:color w:val="000000" w:themeColor="text1"/>
          <w:sz w:val="16"/>
          <w:szCs w:val="16"/>
        </w:rPr>
      </w:pPr>
      <w:r w:rsidRPr="00925F26">
        <w:rPr>
          <w:color w:val="000000" w:themeColor="text1"/>
          <w:sz w:val="16"/>
          <w:szCs w:val="16"/>
        </w:rPr>
        <w:t>По состоянию на 9 мая 1945 г. на флотах числилось 20 экземпляров КОР-2. На заключительном этапе производства КОР-2 сотрудники КБ обеспечивали техни</w:t>
      </w:r>
      <w:r w:rsidRPr="00925F26">
        <w:rPr>
          <w:color w:val="000000" w:themeColor="text1"/>
          <w:sz w:val="16"/>
          <w:szCs w:val="16"/>
        </w:rPr>
        <w:softHyphen/>
        <w:t>ческий контроль над самолетами, отправлен</w:t>
      </w:r>
      <w:r w:rsidRPr="00925F26">
        <w:rPr>
          <w:color w:val="000000" w:themeColor="text1"/>
          <w:sz w:val="16"/>
          <w:szCs w:val="16"/>
        </w:rPr>
        <w:softHyphen/>
        <w:t>ными в Поти, Туапсе, Ригу, Ленинград, Ар</w:t>
      </w:r>
      <w:r w:rsidRPr="00925F26">
        <w:rPr>
          <w:color w:val="000000" w:themeColor="text1"/>
          <w:sz w:val="16"/>
          <w:szCs w:val="16"/>
        </w:rPr>
        <w:softHyphen/>
        <w:t>хангельск, Мурманск, Владивосток. Всего до прекращения производства было выпуще</w:t>
      </w:r>
      <w:r w:rsidRPr="00925F26">
        <w:rPr>
          <w:color w:val="000000" w:themeColor="text1"/>
          <w:sz w:val="16"/>
          <w:szCs w:val="16"/>
        </w:rPr>
        <w:softHyphen/>
        <w:t>но 49 серийных самолетов КОР-2 (Бе-4). С учетом двух опытных экземпляров общее ко</w:t>
      </w:r>
      <w:r w:rsidRPr="00925F26">
        <w:rPr>
          <w:color w:val="000000" w:themeColor="text1"/>
          <w:sz w:val="16"/>
          <w:szCs w:val="16"/>
        </w:rPr>
        <w:softHyphen/>
        <w:t>личество выпущенных составляет 51 КОР-2. Из всех построенных до окончания войны 12 корабельных разведчиков поступило на Черноморский флот, 12 - на Краснознамен</w:t>
      </w:r>
      <w:r w:rsidRPr="00925F26">
        <w:rPr>
          <w:color w:val="000000" w:themeColor="text1"/>
          <w:sz w:val="16"/>
          <w:szCs w:val="16"/>
        </w:rPr>
        <w:softHyphen/>
        <w:t xml:space="preserve">ный Балтийский флот, 4 — на Тихоокеанский флот. </w:t>
      </w:r>
    </w:p>
    <w:p w14:paraId="5759C69F" w14:textId="77777777" w:rsidR="006979C2" w:rsidRPr="00925F26" w:rsidRDefault="006979C2" w:rsidP="00925F26">
      <w:pPr>
        <w:pStyle w:val="2d"/>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Поступление и убытие самолетов КОР-2 в период 1941-1945 гг.</w:t>
      </w:r>
    </w:p>
    <w:tbl>
      <w:tblPr>
        <w:tblW w:w="13585" w:type="dxa"/>
        <w:tblInd w:w="-26" w:type="dxa"/>
        <w:tblLayout w:type="fixed"/>
        <w:tblCellMar>
          <w:left w:w="10" w:type="dxa"/>
          <w:right w:w="10" w:type="dxa"/>
        </w:tblCellMar>
        <w:tblLook w:val="0000" w:firstRow="0" w:lastRow="0" w:firstColumn="0" w:lastColumn="0" w:noHBand="0" w:noVBand="0"/>
      </w:tblPr>
      <w:tblGrid>
        <w:gridCol w:w="803"/>
        <w:gridCol w:w="544"/>
        <w:gridCol w:w="544"/>
        <w:gridCol w:w="544"/>
        <w:gridCol w:w="547"/>
        <w:gridCol w:w="540"/>
        <w:gridCol w:w="547"/>
        <w:gridCol w:w="544"/>
        <w:gridCol w:w="544"/>
        <w:gridCol w:w="544"/>
        <w:gridCol w:w="3942"/>
        <w:gridCol w:w="3942"/>
      </w:tblGrid>
      <w:tr w:rsidR="000F5689" w:rsidRPr="00925F26" w14:paraId="3672014B" w14:textId="77777777" w:rsidTr="00E55150">
        <w:trPr>
          <w:trHeight w:val="168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2A25A26C"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Флот</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0D4C8DA"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Всего поступило</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E2A0ED6"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Поступило от промышленности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E881810"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Поступило из других частей</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360FE79E"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Поступило</w:t>
            </w:r>
          </w:p>
          <w:p w14:paraId="1B356F05"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от других организаций</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6BF0C564"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Убыло всего</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0ED17E79"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Боевые потери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5EDA63A"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Небоевые потери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90EB05F"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Передано в ВС ВМФ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3911A49"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Наличие на 9 мая 1945 г.</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10AA19F8"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68B30274" w14:textId="77777777" w:rsidR="006979C2" w:rsidRPr="00925F26" w:rsidRDefault="006979C2"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Примечание</w:t>
            </w:r>
          </w:p>
        </w:tc>
      </w:tr>
      <w:tr w:rsidR="000F5689" w:rsidRPr="00925F26" w14:paraId="0A9E6B07" w14:textId="77777777" w:rsidTr="00E55150">
        <w:trPr>
          <w:trHeight w:val="248"/>
        </w:trPr>
        <w:tc>
          <w:tcPr>
            <w:tcW w:w="803" w:type="dxa"/>
            <w:tcBorders>
              <w:top w:val="single" w:sz="6" w:space="0" w:color="auto"/>
              <w:bottom w:val="single" w:sz="6" w:space="0" w:color="auto"/>
              <w:right w:val="single" w:sz="6" w:space="0" w:color="auto"/>
            </w:tcBorders>
            <w:shd w:val="clear" w:color="auto" w:fill="FFFFFF"/>
          </w:tcPr>
          <w:p w14:paraId="4EA87C54"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КБФ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30B67370"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277701E"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10</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B152656" w14:textId="77777777" w:rsidR="006979C2" w:rsidRPr="00925F26" w:rsidRDefault="006979C2" w:rsidP="00925F26">
            <w:pPr>
              <w:pStyle w:val="370"/>
              <w:shd w:val="clear" w:color="auto" w:fill="auto"/>
              <w:spacing w:before="0"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156C7940"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7D745514"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72F0CF62"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B50CAD4"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581F3F9"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5793979"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N</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769EC2A0"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439D7500"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Поступление началось в 1944 г.</w:t>
            </w:r>
          </w:p>
        </w:tc>
      </w:tr>
      <w:tr w:rsidR="000F5689" w:rsidRPr="00925F26" w14:paraId="6139FAE0" w14:textId="77777777" w:rsidTr="00E55150">
        <w:trPr>
          <w:trHeight w:val="42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7A7C9FD7" w14:textId="77777777" w:rsidR="006979C2" w:rsidRPr="00925F26" w:rsidRDefault="006979C2" w:rsidP="00925F26">
            <w:pPr>
              <w:jc w:val="both"/>
              <w:rPr>
                <w:color w:val="000000" w:themeColor="text1"/>
                <w:sz w:val="16"/>
                <w:szCs w:val="16"/>
              </w:rPr>
            </w:pPr>
            <w:r w:rsidRPr="00925F26">
              <w:rPr>
                <w:color w:val="000000" w:themeColor="text1"/>
                <w:sz w:val="16"/>
                <w:szCs w:val="16"/>
              </w:rPr>
              <w:t>ЧФ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A0CF311"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DD5A5AB"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10</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84190CD"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65CCFBA" w14:textId="77777777" w:rsidR="006979C2" w:rsidRPr="00925F26" w:rsidRDefault="006979C2" w:rsidP="00925F26">
            <w:pPr>
              <w:pStyle w:val="400"/>
              <w:shd w:val="clear" w:color="auto" w:fill="auto"/>
              <w:spacing w:line="240" w:lineRule="auto"/>
              <w:rPr>
                <w:rFonts w:ascii="Times New Roman"/>
                <w:color w:val="000000" w:themeColor="text1"/>
                <w:sz w:val="16"/>
                <w:szCs w:val="16"/>
              </w:rPr>
            </w:pPr>
            <w:r w:rsidRPr="00925F26">
              <w:rPr>
                <w:rFonts w:ascii="Times New Roman"/>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419A08CF"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D50B8CD"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CCE74E1"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7669E81" w14:textId="77777777" w:rsidR="006979C2" w:rsidRPr="00925F26" w:rsidRDefault="006979C2" w:rsidP="00925F26">
            <w:pPr>
              <w:pStyle w:val="43"/>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6DB6846"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8</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2A3BFBC1"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5A35E90A"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К началу 1943 г. из 7 поставленных в строю оставалось 3 самолета. Новые 5 шт. поставлены до мая 1945 г.</w:t>
            </w:r>
          </w:p>
        </w:tc>
      </w:tr>
      <w:tr w:rsidR="000F5689" w:rsidRPr="00925F26" w14:paraId="3734C936" w14:textId="77777777" w:rsidTr="00E55150">
        <w:trPr>
          <w:trHeight w:val="24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085A3FD7"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ТОФ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94FD421"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689B23B"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B875CC5"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12FEDB85"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56382ACC" w14:textId="77777777" w:rsidR="006979C2" w:rsidRPr="00925F26" w:rsidRDefault="006979C2" w:rsidP="00925F26">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3CEB7C4"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C6CA401" w14:textId="77777777" w:rsidR="006979C2" w:rsidRPr="00925F26" w:rsidRDefault="006979C2" w:rsidP="00925F26">
            <w:pPr>
              <w:pStyle w:val="42"/>
              <w:shd w:val="clear" w:color="auto" w:fill="auto"/>
              <w:spacing w:line="240" w:lineRule="auto"/>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EDCB759"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47283E9"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083B4C6D"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65EFAFB6"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Поступление на флот началось в конце войны</w:t>
            </w:r>
          </w:p>
        </w:tc>
      </w:tr>
      <w:tr w:rsidR="000F5689" w:rsidRPr="00925F26" w14:paraId="29EE8F33" w14:textId="77777777" w:rsidTr="00E55150">
        <w:trPr>
          <w:trHeight w:val="256"/>
        </w:trPr>
        <w:tc>
          <w:tcPr>
            <w:tcW w:w="803" w:type="dxa"/>
            <w:tcBorders>
              <w:top w:val="single" w:sz="6" w:space="0" w:color="auto"/>
              <w:bottom w:val="single" w:sz="6" w:space="0" w:color="auto"/>
              <w:right w:val="single" w:sz="6" w:space="0" w:color="auto"/>
            </w:tcBorders>
            <w:shd w:val="clear" w:color="auto" w:fill="FFFFFF"/>
          </w:tcPr>
          <w:p w14:paraId="7F17EC43" w14:textId="77777777" w:rsidR="006979C2" w:rsidRPr="00925F26" w:rsidRDefault="006979C2" w:rsidP="00925F26">
            <w:pPr>
              <w:pStyle w:val="301"/>
              <w:shd w:val="clear" w:color="auto" w:fill="auto"/>
              <w:spacing w:line="240" w:lineRule="auto"/>
              <w:jc w:val="both"/>
              <w:rPr>
                <w:rFonts w:ascii="Times New Roman"/>
                <w:color w:val="000000" w:themeColor="text1"/>
                <w:sz w:val="16"/>
                <w:szCs w:val="16"/>
              </w:rPr>
            </w:pPr>
            <w:r w:rsidRPr="00925F26">
              <w:rPr>
                <w:rStyle w:val="308pt"/>
                <w:color w:val="000000" w:themeColor="text1"/>
                <w:szCs w:val="16"/>
              </w:rPr>
              <w:t>В</w:t>
            </w:r>
            <w:r w:rsidRPr="00925F26">
              <w:rPr>
                <w:rFonts w:ascii="Times New Roman"/>
                <w:color w:val="000000" w:themeColor="text1"/>
                <w:sz w:val="16"/>
                <w:szCs w:val="16"/>
              </w:rPr>
              <w:t xml:space="preserve"> запасе</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3CFC9C3"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57C2EC1"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81A980C" w14:textId="77777777" w:rsidR="006979C2" w:rsidRPr="00925F26" w:rsidRDefault="006979C2" w:rsidP="00925F26">
            <w:pPr>
              <w:pStyle w:val="380"/>
              <w:shd w:val="clear" w:color="auto" w:fill="auto"/>
              <w:spacing w:line="240" w:lineRule="auto"/>
              <w:jc w:val="both"/>
              <w:rPr>
                <w:rFonts w:ascii="Times New Roman"/>
                <w:color w:val="000000" w:themeColor="text1"/>
                <w:sz w:val="16"/>
                <w:szCs w:val="16"/>
              </w:rPr>
            </w:pPr>
            <w:r w:rsidRPr="00925F26">
              <w:rPr>
                <w:rFonts w:asci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F4800D0" w14:textId="77777777" w:rsidR="006979C2" w:rsidRPr="00925F26" w:rsidRDefault="006979C2" w:rsidP="00925F26">
            <w:pPr>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7E6DC366"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3EE2846" w14:textId="77777777" w:rsidR="006979C2" w:rsidRPr="00925F26" w:rsidRDefault="006979C2" w:rsidP="00925F26">
            <w:pPr>
              <w:jc w:val="both"/>
              <w:rPr>
                <w:color w:val="000000" w:themeColor="text1"/>
                <w:sz w:val="16"/>
                <w:szCs w:val="16"/>
              </w:rPr>
            </w:pP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28BE7F5" w14:textId="77777777" w:rsidR="006979C2" w:rsidRPr="00925F26" w:rsidRDefault="006979C2" w:rsidP="00925F26">
            <w:pPr>
              <w:pStyle w:val="380"/>
              <w:shd w:val="clear" w:color="auto" w:fill="auto"/>
              <w:spacing w:line="240" w:lineRule="auto"/>
              <w:jc w:val="both"/>
              <w:rPr>
                <w:rFonts w:ascii="Times New Roman"/>
                <w:color w:val="000000" w:themeColor="text1"/>
                <w:sz w:val="16"/>
                <w:szCs w:val="16"/>
              </w:rPr>
            </w:pPr>
            <w:r w:rsidRPr="00925F26">
              <w:rPr>
                <w:rFonts w:ascii="Times New Roman"/>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C4E9CBC"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EDFC684"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2</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19CF974A"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4BEBA38F" w14:textId="77777777" w:rsidR="006979C2" w:rsidRPr="00925F26" w:rsidRDefault="006979C2" w:rsidP="00925F26">
            <w:pPr>
              <w:pStyle w:val="390"/>
              <w:shd w:val="clear" w:color="auto" w:fill="auto"/>
              <w:spacing w:line="240" w:lineRule="auto"/>
              <w:jc w:val="both"/>
              <w:rPr>
                <w:rFonts w:ascii="Times New Roman" w:hAnsi="Times New Roman" w:cs="Times New Roman"/>
                <w:i w:val="0"/>
                <w:color w:val="000000" w:themeColor="text1"/>
                <w:sz w:val="16"/>
                <w:szCs w:val="16"/>
              </w:rPr>
            </w:pPr>
            <w:r w:rsidRPr="00925F26">
              <w:rPr>
                <w:rFonts w:ascii="Times New Roman" w:hAnsi="Times New Roman" w:cs="Times New Roman"/>
                <w:i w:val="0"/>
                <w:color w:val="000000" w:themeColor="text1"/>
                <w:sz w:val="16"/>
                <w:szCs w:val="16"/>
              </w:rPr>
              <w:t>-</w:t>
            </w:r>
          </w:p>
        </w:tc>
      </w:tr>
    </w:tbl>
    <w:p w14:paraId="3FF860BC" w14:textId="77777777" w:rsidR="006979C2" w:rsidRPr="00925F26" w:rsidRDefault="006979C2" w:rsidP="00925F26">
      <w:pPr>
        <w:pStyle w:val="aff1"/>
        <w:shd w:val="clear" w:color="auto" w:fill="auto"/>
        <w:spacing w:line="240" w:lineRule="auto"/>
        <w:rPr>
          <w:rFonts w:ascii="Times New Roman" w:hAnsi="Times New Roman" w:cs="Times New Roman"/>
          <w:i w:val="0"/>
          <w:color w:val="000000" w:themeColor="text1"/>
          <w:sz w:val="16"/>
          <w:szCs w:val="16"/>
          <w:lang w:val="ru-RU"/>
        </w:rPr>
      </w:pPr>
      <w:r w:rsidRPr="00925F26">
        <w:rPr>
          <w:rFonts w:ascii="Times New Roman" w:hAnsi="Times New Roman" w:cs="Times New Roman"/>
          <w:i w:val="0"/>
          <w:color w:val="000000" w:themeColor="text1"/>
          <w:sz w:val="16"/>
          <w:szCs w:val="16"/>
          <w:lang w:val="ru-RU"/>
        </w:rPr>
        <w:t>По состоянию на 9 мая 1945 г. в строю находилось 22 самолета КОР-2. За период Великой Отечественной войны всего было потеряно 8 КОР-2 (12301).</w:t>
      </w:r>
    </w:p>
    <w:p w14:paraId="36A3D188" w14:textId="77777777" w:rsidR="006979C2" w:rsidRPr="00925F26" w:rsidRDefault="006979C2" w:rsidP="00925F26">
      <w:pPr>
        <w:jc w:val="both"/>
        <w:rPr>
          <w:color w:val="000000" w:themeColor="text1"/>
          <w:sz w:val="16"/>
          <w:szCs w:val="16"/>
        </w:rPr>
      </w:pPr>
      <w:r w:rsidRPr="00925F26">
        <w:rPr>
          <w:color w:val="000000" w:themeColor="text1"/>
          <w:sz w:val="16"/>
          <w:szCs w:val="16"/>
        </w:rPr>
        <w:t>Летающая лодка КОР-2 (Бе-4), задуман</w:t>
      </w:r>
      <w:r w:rsidRPr="00925F26">
        <w:rPr>
          <w:color w:val="000000" w:themeColor="text1"/>
          <w:sz w:val="16"/>
          <w:szCs w:val="16"/>
        </w:rPr>
        <w:softHyphen/>
        <w:t>ная изначально как катапультный корабель</w:t>
      </w:r>
      <w:r w:rsidRPr="00925F26">
        <w:rPr>
          <w:color w:val="000000" w:themeColor="text1"/>
          <w:sz w:val="16"/>
          <w:szCs w:val="16"/>
        </w:rPr>
        <w:softHyphen/>
        <w:t>ный разведчик, предназначалась для ре</w:t>
      </w:r>
      <w:r w:rsidRPr="00925F26">
        <w:rPr>
          <w:color w:val="000000" w:themeColor="text1"/>
          <w:sz w:val="16"/>
          <w:szCs w:val="16"/>
        </w:rPr>
        <w:softHyphen/>
        <w:t>шения широкого круга задач. КОР-2 пред</w:t>
      </w:r>
      <w:r w:rsidRPr="00925F26">
        <w:rPr>
          <w:color w:val="000000" w:themeColor="text1"/>
          <w:sz w:val="16"/>
          <w:szCs w:val="16"/>
        </w:rPr>
        <w:softHyphen/>
        <w:t>полагалось использовать как самолет охра</w:t>
      </w:r>
      <w:r w:rsidRPr="00925F26">
        <w:rPr>
          <w:color w:val="000000" w:themeColor="text1"/>
          <w:sz w:val="16"/>
          <w:szCs w:val="16"/>
        </w:rPr>
        <w:softHyphen/>
        <w:t>ны водного района базы флота, как средст</w:t>
      </w:r>
      <w:r w:rsidRPr="00925F26">
        <w:rPr>
          <w:color w:val="000000" w:themeColor="text1"/>
          <w:sz w:val="16"/>
          <w:szCs w:val="16"/>
        </w:rPr>
        <w:softHyphen/>
        <w:t>во борьбы с подводными лодками и тор</w:t>
      </w:r>
      <w:r w:rsidRPr="00925F26">
        <w:rPr>
          <w:color w:val="000000" w:themeColor="text1"/>
          <w:sz w:val="16"/>
          <w:szCs w:val="16"/>
        </w:rPr>
        <w:softHyphen/>
        <w:t>педными катерами противника, как кор</w:t>
      </w:r>
      <w:r w:rsidRPr="00925F26">
        <w:rPr>
          <w:color w:val="000000" w:themeColor="text1"/>
          <w:sz w:val="16"/>
          <w:szCs w:val="16"/>
        </w:rPr>
        <w:softHyphen/>
        <w:t>ректировщик огня судовой и береговой ар</w:t>
      </w:r>
      <w:r w:rsidRPr="00925F26">
        <w:rPr>
          <w:color w:val="000000" w:themeColor="text1"/>
          <w:sz w:val="16"/>
          <w:szCs w:val="16"/>
        </w:rPr>
        <w:softHyphen/>
        <w:t>тиллерии.</w:t>
      </w:r>
    </w:p>
    <w:p w14:paraId="45AA21F4" w14:textId="77777777" w:rsidR="006979C2" w:rsidRPr="00925F26" w:rsidRDefault="006979C2" w:rsidP="00925F26">
      <w:pPr>
        <w:jc w:val="both"/>
        <w:rPr>
          <w:color w:val="000000" w:themeColor="text1"/>
          <w:sz w:val="16"/>
          <w:szCs w:val="16"/>
        </w:rPr>
      </w:pPr>
      <w:r w:rsidRPr="00925F26">
        <w:rPr>
          <w:color w:val="000000" w:themeColor="text1"/>
          <w:sz w:val="16"/>
          <w:szCs w:val="16"/>
        </w:rPr>
        <w:t>Самолет выполнен по схеме летающей лодки - подкосного высокоплана, с крылом, расположенным на пилоне.</w:t>
      </w:r>
    </w:p>
    <w:p w14:paraId="2AE5556C" w14:textId="77777777" w:rsidR="006979C2" w:rsidRPr="00925F26" w:rsidRDefault="006979C2" w:rsidP="00925F26">
      <w:pPr>
        <w:jc w:val="both"/>
        <w:rPr>
          <w:color w:val="000000" w:themeColor="text1"/>
          <w:sz w:val="16"/>
          <w:szCs w:val="16"/>
        </w:rPr>
      </w:pPr>
      <w:r w:rsidRPr="00925F26">
        <w:rPr>
          <w:color w:val="000000" w:themeColor="text1"/>
          <w:sz w:val="16"/>
          <w:szCs w:val="16"/>
        </w:rPr>
        <w:t>Конструкция корпуса лодки цельнометал</w:t>
      </w:r>
      <w:r w:rsidRPr="00925F26">
        <w:rPr>
          <w:color w:val="000000" w:themeColor="text1"/>
          <w:sz w:val="16"/>
          <w:szCs w:val="16"/>
        </w:rPr>
        <w:softHyphen/>
        <w:t>лическая, с применением прессованных дю</w:t>
      </w:r>
      <w:r w:rsidRPr="00925F26">
        <w:rPr>
          <w:color w:val="000000" w:themeColor="text1"/>
          <w:sz w:val="16"/>
          <w:szCs w:val="16"/>
        </w:rPr>
        <w:softHyphen/>
        <w:t>ралевых профилей. Лодка двухреданная, за вторым клиновидным реданом расположен водяной руль. Передние узлы крепления к катапульте расположены в торцевой части переднего редана, задний узел — под слип-</w:t>
      </w:r>
      <w:proofErr w:type="gramStart"/>
      <w:r w:rsidRPr="00925F26">
        <w:rPr>
          <w:color w:val="000000" w:themeColor="text1"/>
          <w:sz w:val="16"/>
          <w:szCs w:val="16"/>
        </w:rPr>
        <w:t>га- ком</w:t>
      </w:r>
      <w:proofErr w:type="gramEnd"/>
      <w:r w:rsidRPr="00925F26">
        <w:rPr>
          <w:color w:val="000000" w:themeColor="text1"/>
          <w:sz w:val="16"/>
          <w:szCs w:val="16"/>
        </w:rPr>
        <w:t xml:space="preserve"> за вторым реданом. Полная длина лодки вместе с вертикальным оперением 10 500 мм, максимальная ширина по миделю — 1502 мм.</w:t>
      </w:r>
    </w:p>
    <w:p w14:paraId="3B0AEA86" w14:textId="77777777" w:rsidR="006979C2" w:rsidRPr="00925F26" w:rsidRDefault="006979C2" w:rsidP="00925F26">
      <w:pPr>
        <w:jc w:val="both"/>
        <w:rPr>
          <w:color w:val="000000" w:themeColor="text1"/>
          <w:sz w:val="16"/>
          <w:szCs w:val="16"/>
        </w:rPr>
      </w:pPr>
      <w:r w:rsidRPr="00925F26">
        <w:rPr>
          <w:color w:val="000000" w:themeColor="text1"/>
          <w:sz w:val="16"/>
          <w:szCs w:val="16"/>
        </w:rPr>
        <w:t>Поперечный набор лодки имеет 26 шпан</w:t>
      </w:r>
      <w:r w:rsidRPr="00925F26">
        <w:rPr>
          <w:color w:val="000000" w:themeColor="text1"/>
          <w:sz w:val="16"/>
          <w:szCs w:val="16"/>
        </w:rPr>
        <w:softHyphen/>
        <w:t>гоутов, водонепроницаемые переборки уста</w:t>
      </w:r>
      <w:r w:rsidRPr="00925F26">
        <w:rPr>
          <w:color w:val="000000" w:themeColor="text1"/>
          <w:sz w:val="16"/>
          <w:szCs w:val="16"/>
        </w:rPr>
        <w:softHyphen/>
        <w:t xml:space="preserve">новлены на 3, 5, 10 и 19-м шпангоутах. На 19- м шпангоуте оборудован круглый </w:t>
      </w:r>
      <w:proofErr w:type="gramStart"/>
      <w:r w:rsidRPr="00925F26">
        <w:rPr>
          <w:color w:val="000000" w:themeColor="text1"/>
          <w:sz w:val="16"/>
          <w:szCs w:val="16"/>
        </w:rPr>
        <w:t>герметич ный</w:t>
      </w:r>
      <w:proofErr w:type="gramEnd"/>
      <w:r w:rsidRPr="00925F26">
        <w:rPr>
          <w:color w:val="000000" w:themeColor="text1"/>
          <w:sz w:val="16"/>
          <w:szCs w:val="16"/>
        </w:rPr>
        <w:t xml:space="preserve"> люк для досту па в хвостовую часть лодки- фюзеляжа. В центре лодки между 13- и 14-м шпангоутами с каждого борта устроен прямо</w:t>
      </w:r>
      <w:r w:rsidRPr="00925F26">
        <w:rPr>
          <w:color w:val="000000" w:themeColor="text1"/>
          <w:sz w:val="16"/>
          <w:szCs w:val="16"/>
        </w:rPr>
        <w:softHyphen/>
        <w:t>угольный иллюминатор, открывающийся во</w:t>
      </w:r>
      <w:r w:rsidRPr="00925F26">
        <w:rPr>
          <w:color w:val="000000" w:themeColor="text1"/>
          <w:sz w:val="16"/>
          <w:szCs w:val="16"/>
        </w:rPr>
        <w:softHyphen/>
        <w:t>внутрь. Кабина экипажа расположена в пе</w:t>
      </w:r>
      <w:r w:rsidRPr="00925F26">
        <w:rPr>
          <w:color w:val="000000" w:themeColor="text1"/>
          <w:sz w:val="16"/>
          <w:szCs w:val="16"/>
        </w:rPr>
        <w:softHyphen/>
        <w:t>редней части перед пилоном, места пилота и штурмана рядом. Для обучения и тренировки справа могло устанавливаться второе управ</w:t>
      </w:r>
      <w:r w:rsidRPr="00925F26">
        <w:rPr>
          <w:color w:val="000000" w:themeColor="text1"/>
          <w:sz w:val="16"/>
          <w:szCs w:val="16"/>
        </w:rPr>
        <w:softHyphen/>
        <w:t>ление. Левое кресло пилота снабжено бро</w:t>
      </w:r>
      <w:r w:rsidRPr="00925F26">
        <w:rPr>
          <w:color w:val="000000" w:themeColor="text1"/>
          <w:sz w:val="16"/>
          <w:szCs w:val="16"/>
        </w:rPr>
        <w:softHyphen/>
        <w:t>неспинкой с бронированным заголовником. Правое сиденье (штурмана) откидное, при за</w:t>
      </w:r>
      <w:r w:rsidRPr="00925F26">
        <w:rPr>
          <w:color w:val="000000" w:themeColor="text1"/>
          <w:sz w:val="16"/>
          <w:szCs w:val="16"/>
        </w:rPr>
        <w:softHyphen/>
        <w:t>пуске с катапульты на нем также ставился за</w:t>
      </w:r>
      <w:r w:rsidRPr="00925F26">
        <w:rPr>
          <w:color w:val="000000" w:themeColor="text1"/>
          <w:sz w:val="16"/>
          <w:szCs w:val="16"/>
        </w:rPr>
        <w:softHyphen/>
        <w:t>головник. В случае необходимости с правого кресла можно было перейти в отсек воздуш</w:t>
      </w:r>
      <w:r w:rsidRPr="00925F26">
        <w:rPr>
          <w:color w:val="000000" w:themeColor="text1"/>
          <w:sz w:val="16"/>
          <w:szCs w:val="16"/>
        </w:rPr>
        <w:softHyphen/>
        <w:t>ного стрелка, расположенный за пилоном. При этом приходилось отдраить герметич</w:t>
      </w:r>
      <w:r w:rsidRPr="00925F26">
        <w:rPr>
          <w:color w:val="000000" w:themeColor="text1"/>
          <w:sz w:val="16"/>
          <w:szCs w:val="16"/>
        </w:rPr>
        <w:softHyphen/>
        <w:t>ную дверь (на шпангоуте № 10), разделяющую носовой и хвостовой отсеки. Количество чле</w:t>
      </w:r>
      <w:r w:rsidRPr="00925F26">
        <w:rPr>
          <w:color w:val="000000" w:themeColor="text1"/>
          <w:sz w:val="16"/>
          <w:szCs w:val="16"/>
        </w:rPr>
        <w:softHyphen/>
        <w:t xml:space="preserve">нов </w:t>
      </w:r>
      <w:r w:rsidRPr="00925F26">
        <w:rPr>
          <w:color w:val="000000" w:themeColor="text1"/>
          <w:sz w:val="16"/>
          <w:szCs w:val="16"/>
        </w:rPr>
        <w:lastRenderedPageBreak/>
        <w:t>экипажа могло составлять и три челове</w:t>
      </w:r>
      <w:r w:rsidRPr="00925F26">
        <w:rPr>
          <w:color w:val="000000" w:themeColor="text1"/>
          <w:sz w:val="16"/>
          <w:szCs w:val="16"/>
        </w:rPr>
        <w:softHyphen/>
        <w:t>ка, но обычно в воздух поднимались вдвоем. Воздушный стрелок мог выполнять функции штурмана-бомбардира, для чего в полу ка</w:t>
      </w:r>
      <w:r w:rsidRPr="00925F26">
        <w:rPr>
          <w:color w:val="000000" w:themeColor="text1"/>
          <w:sz w:val="16"/>
          <w:szCs w:val="16"/>
        </w:rPr>
        <w:softHyphen/>
        <w:t>бины имелось отверстие для установки бом</w:t>
      </w:r>
      <w:r w:rsidRPr="00925F26">
        <w:rPr>
          <w:color w:val="000000" w:themeColor="text1"/>
          <w:sz w:val="16"/>
          <w:szCs w:val="16"/>
        </w:rPr>
        <w:softHyphen/>
        <w:t>бардировочного прицела (при бомбометании с горизонтального полета). При бомбомета</w:t>
      </w:r>
      <w:r w:rsidRPr="00925F26">
        <w:rPr>
          <w:color w:val="000000" w:themeColor="text1"/>
          <w:sz w:val="16"/>
          <w:szCs w:val="16"/>
        </w:rPr>
        <w:softHyphen/>
        <w:t>нии с пикирования прицеливание осуществ</w:t>
      </w:r>
      <w:r w:rsidRPr="00925F26">
        <w:rPr>
          <w:color w:val="000000" w:themeColor="text1"/>
          <w:sz w:val="16"/>
          <w:szCs w:val="16"/>
        </w:rPr>
        <w:softHyphen/>
        <w:t>лялось прицелом ПБП-1, размешенным над приборной доской летчика.</w:t>
      </w:r>
    </w:p>
    <w:p w14:paraId="2CD3EBCD" w14:textId="77777777" w:rsidR="006979C2" w:rsidRPr="00925F26" w:rsidRDefault="006979C2" w:rsidP="00925F26">
      <w:pPr>
        <w:jc w:val="both"/>
        <w:rPr>
          <w:color w:val="000000" w:themeColor="text1"/>
          <w:sz w:val="16"/>
          <w:szCs w:val="16"/>
        </w:rPr>
      </w:pPr>
      <w:r w:rsidRPr="00925F26">
        <w:rPr>
          <w:color w:val="000000" w:themeColor="text1"/>
          <w:sz w:val="16"/>
          <w:szCs w:val="16"/>
        </w:rPr>
        <w:t xml:space="preserve">Крыло двухлонжеронное, металлическое, с частичной зашивкой полотном. Профиль крыла </w:t>
      </w:r>
      <w:r w:rsidRPr="00925F26">
        <w:rPr>
          <w:color w:val="000000" w:themeColor="text1"/>
          <w:sz w:val="16"/>
          <w:szCs w:val="16"/>
          <w:lang w:val="en-US"/>
        </w:rPr>
        <w:t>NA</w:t>
      </w:r>
      <w:r w:rsidRPr="00925F26">
        <w:rPr>
          <w:color w:val="000000" w:themeColor="text1"/>
          <w:sz w:val="16"/>
          <w:szCs w:val="16"/>
        </w:rPr>
        <w:t>СА-22, относительная толщина в корне 13,85%, на концах крыла — 9%. Щитки типа Шренк состоят из пяти секций: три на центроплане и по одной секции на отъемных частях крыльев. Центроплан самолета вы</w:t>
      </w:r>
      <w:r w:rsidRPr="00925F26">
        <w:rPr>
          <w:color w:val="000000" w:themeColor="text1"/>
          <w:sz w:val="16"/>
          <w:szCs w:val="16"/>
        </w:rPr>
        <w:softHyphen/>
        <w:t>полнен в виде обратной «чайки». Отъемные части крыла складываемые (с поворотом), время полного складывания 9 минут, рас</w:t>
      </w:r>
      <w:r w:rsidRPr="00925F26">
        <w:rPr>
          <w:color w:val="000000" w:themeColor="text1"/>
          <w:sz w:val="16"/>
          <w:szCs w:val="16"/>
        </w:rPr>
        <w:softHyphen/>
        <w:t>кладывания — 6 минут. Размах центроплана увязан с габаритными размерами самолета со сложенными крыльями. Ширина КОР-2 со сложенными крыльями составляла 4452 мм. В походном положении допускалось два ме</w:t>
      </w:r>
      <w:r w:rsidRPr="00925F26">
        <w:rPr>
          <w:color w:val="000000" w:themeColor="text1"/>
          <w:sz w:val="16"/>
          <w:szCs w:val="16"/>
        </w:rPr>
        <w:softHyphen/>
        <w:t>тода уборки консолей крыла:</w:t>
      </w:r>
    </w:p>
    <w:p w14:paraId="5909D822" w14:textId="77777777" w:rsidR="006979C2" w:rsidRPr="00925F26" w:rsidRDefault="006979C2" w:rsidP="00925F26">
      <w:pPr>
        <w:tabs>
          <w:tab w:val="left" w:pos="423"/>
        </w:tabs>
        <w:jc w:val="both"/>
        <w:rPr>
          <w:color w:val="000000" w:themeColor="text1"/>
          <w:sz w:val="16"/>
          <w:szCs w:val="16"/>
        </w:rPr>
      </w:pPr>
      <w:r w:rsidRPr="00925F26">
        <w:rPr>
          <w:color w:val="000000" w:themeColor="text1"/>
          <w:sz w:val="16"/>
          <w:szCs w:val="16"/>
        </w:rPr>
        <w:t>1.</w:t>
      </w:r>
      <w:r w:rsidRPr="00925F26">
        <w:rPr>
          <w:color w:val="000000" w:themeColor="text1"/>
          <w:sz w:val="16"/>
          <w:szCs w:val="16"/>
        </w:rPr>
        <w:tab/>
        <w:t xml:space="preserve">Путем расстыковки нижних болтов и </w:t>
      </w:r>
      <w:r w:rsidRPr="00925F26">
        <w:rPr>
          <w:rStyle w:val="8pt"/>
          <w:rFonts w:ascii="Times New Roman" w:cs="Times New Roman"/>
          <w:color w:val="000000" w:themeColor="text1"/>
          <w:spacing w:val="0"/>
        </w:rPr>
        <w:t>вращением</w:t>
      </w:r>
      <w:r w:rsidRPr="00925F26">
        <w:rPr>
          <w:color w:val="000000" w:themeColor="text1"/>
          <w:sz w:val="16"/>
          <w:szCs w:val="16"/>
        </w:rPr>
        <w:t xml:space="preserve"> консоли относительно оси верх</w:t>
      </w:r>
      <w:r w:rsidRPr="00925F26">
        <w:rPr>
          <w:color w:val="000000" w:themeColor="text1"/>
          <w:sz w:val="16"/>
          <w:szCs w:val="16"/>
        </w:rPr>
        <w:softHyphen/>
        <w:t>них</w:t>
      </w:r>
      <w:r w:rsidRPr="00925F26">
        <w:rPr>
          <w:rStyle w:val="12pt"/>
          <w:color w:val="000000" w:themeColor="text1"/>
          <w:spacing w:val="0"/>
          <w:sz w:val="16"/>
          <w:szCs w:val="16"/>
        </w:rPr>
        <w:t xml:space="preserve"> болтов.</w:t>
      </w:r>
    </w:p>
    <w:p w14:paraId="69B58730" w14:textId="77777777" w:rsidR="006979C2" w:rsidRPr="00925F26" w:rsidRDefault="006979C2" w:rsidP="00925F26">
      <w:pPr>
        <w:pStyle w:val="67"/>
        <w:shd w:val="clear" w:color="auto" w:fill="auto"/>
        <w:tabs>
          <w:tab w:val="left" w:pos="351"/>
        </w:tabs>
        <w:spacing w:before="0" w:line="240" w:lineRule="auto"/>
        <w:rPr>
          <w:color w:val="000000" w:themeColor="text1"/>
          <w:sz w:val="16"/>
          <w:szCs w:val="16"/>
        </w:rPr>
      </w:pPr>
      <w:r w:rsidRPr="00925F26">
        <w:rPr>
          <w:color w:val="000000" w:themeColor="text1"/>
          <w:sz w:val="16"/>
          <w:szCs w:val="16"/>
        </w:rPr>
        <w:t>2.</w:t>
      </w:r>
      <w:r w:rsidRPr="00925F26">
        <w:rPr>
          <w:color w:val="000000" w:themeColor="text1"/>
          <w:sz w:val="16"/>
          <w:szCs w:val="16"/>
        </w:rPr>
        <w:tab/>
        <w:t>Снятием их с центроплана и установки в походном положении согласно чертежу.</w:t>
      </w:r>
    </w:p>
    <w:p w14:paraId="7410196C" w14:textId="77777777" w:rsidR="006979C2" w:rsidRPr="00925F26" w:rsidRDefault="006979C2" w:rsidP="00925F26">
      <w:pPr>
        <w:jc w:val="both"/>
        <w:rPr>
          <w:color w:val="000000" w:themeColor="text1"/>
          <w:sz w:val="16"/>
          <w:szCs w:val="16"/>
        </w:rPr>
      </w:pPr>
      <w:r w:rsidRPr="00925F26">
        <w:rPr>
          <w:color w:val="000000" w:themeColor="text1"/>
          <w:sz w:val="16"/>
          <w:szCs w:val="16"/>
        </w:rPr>
        <w:t>В сухопутном варианте КОР-2 снабжался лыжным и колесным шасси типа МБР-7.</w:t>
      </w:r>
    </w:p>
    <w:p w14:paraId="28AC2E09" w14:textId="77777777" w:rsidR="006979C2" w:rsidRPr="00925F26" w:rsidRDefault="006979C2" w:rsidP="00925F26">
      <w:pPr>
        <w:pStyle w:val="19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Крепленне самолета по-походному на ка</w:t>
      </w:r>
      <w:r w:rsidRPr="00925F26">
        <w:rPr>
          <w:rFonts w:ascii="Times New Roman" w:hAnsi="Times New Roman"/>
          <w:color w:val="000000" w:themeColor="text1"/>
          <w:sz w:val="16"/>
          <w:szCs w:val="16"/>
        </w:rPr>
        <w:softHyphen/>
        <w:t>тапульте и на ростра* пдополнение к крепле</w:t>
      </w:r>
      <w:r w:rsidRPr="00925F26">
        <w:rPr>
          <w:rFonts w:ascii="Times New Roman" w:hAnsi="Times New Roman"/>
          <w:color w:val="000000" w:themeColor="text1"/>
          <w:sz w:val="16"/>
          <w:szCs w:val="16"/>
        </w:rPr>
        <w:softHyphen/>
      </w:r>
      <w:r w:rsidRPr="00925F26">
        <w:rPr>
          <w:rStyle w:val="aff0"/>
          <w:rFonts w:ascii="Times New Roman" w:hAnsi="Times New Roman" w:cs="Times New Roman"/>
          <w:color w:val="000000" w:themeColor="text1"/>
          <w:spacing w:val="0"/>
          <w:sz w:val="16"/>
          <w:szCs w:val="16"/>
        </w:rPr>
        <w:t>ниям на тележке производилось посредст</w:t>
      </w:r>
      <w:r w:rsidRPr="00925F26">
        <w:rPr>
          <w:rStyle w:val="aff0"/>
          <w:rFonts w:ascii="Times New Roman" w:hAnsi="Times New Roman" w:cs="Times New Roman"/>
          <w:color w:val="000000" w:themeColor="text1"/>
          <w:spacing w:val="0"/>
          <w:sz w:val="16"/>
          <w:szCs w:val="16"/>
        </w:rPr>
        <w:softHyphen/>
        <w:t>вом растяжек, закрепленных на нижних узлах центроплана и подкостыльном узле лодки.</w:t>
      </w:r>
    </w:p>
    <w:p w14:paraId="706ED506" w14:textId="77777777" w:rsidR="006979C2" w:rsidRPr="00925F26" w:rsidRDefault="006979C2" w:rsidP="00925F26">
      <w:pPr>
        <w:jc w:val="both"/>
        <w:rPr>
          <w:color w:val="000000" w:themeColor="text1"/>
          <w:sz w:val="16"/>
          <w:szCs w:val="16"/>
        </w:rPr>
      </w:pPr>
      <w:r w:rsidRPr="00925F26">
        <w:rPr>
          <w:color w:val="000000" w:themeColor="text1"/>
          <w:sz w:val="16"/>
          <w:szCs w:val="16"/>
        </w:rPr>
        <w:t>Двигатель М-62 (М-63) установлен в лобо</w:t>
      </w:r>
      <w:r w:rsidRPr="00925F26">
        <w:rPr>
          <w:color w:val="000000" w:themeColor="text1"/>
          <w:sz w:val="16"/>
          <w:szCs w:val="16"/>
        </w:rPr>
        <w:softHyphen/>
        <w:t>вой части центроплана, снабжен воздушным винтом изменяемого шага АВ-2-4 диаметром 2,6 метра. Машины поздних серий снабжа</w:t>
      </w:r>
      <w:r w:rsidRPr="00925F26">
        <w:rPr>
          <w:color w:val="000000" w:themeColor="text1"/>
          <w:sz w:val="16"/>
          <w:szCs w:val="16"/>
        </w:rPr>
        <w:softHyphen/>
        <w:t>лись воздушным винтом ВИШ 105-62.</w:t>
      </w:r>
    </w:p>
    <w:p w14:paraId="66EF4B80" w14:textId="77777777" w:rsidR="006979C2" w:rsidRPr="00925F26" w:rsidRDefault="006979C2" w:rsidP="00925F26">
      <w:pPr>
        <w:jc w:val="both"/>
        <w:rPr>
          <w:color w:val="000000" w:themeColor="text1"/>
          <w:sz w:val="16"/>
          <w:szCs w:val="16"/>
        </w:rPr>
      </w:pPr>
      <w:r w:rsidRPr="00925F26">
        <w:rPr>
          <w:color w:val="000000" w:themeColor="text1"/>
          <w:sz w:val="16"/>
          <w:szCs w:val="16"/>
        </w:rPr>
        <w:t>В обтекателе двигателя размещены про</w:t>
      </w:r>
      <w:r w:rsidRPr="00925F26">
        <w:rPr>
          <w:color w:val="000000" w:themeColor="text1"/>
          <w:sz w:val="16"/>
          <w:szCs w:val="16"/>
        </w:rPr>
        <w:softHyphen/>
        <w:t>тестированные бензиновые баки емкостью 410 и 120 литров. На случай боевых повре</w:t>
      </w:r>
      <w:r w:rsidRPr="00925F26">
        <w:rPr>
          <w:color w:val="000000" w:themeColor="text1"/>
          <w:sz w:val="16"/>
          <w:szCs w:val="16"/>
        </w:rPr>
        <w:softHyphen/>
        <w:t>ждений баки были оборудованы системой за</w:t>
      </w:r>
      <w:r w:rsidRPr="00925F26">
        <w:rPr>
          <w:color w:val="000000" w:themeColor="text1"/>
          <w:sz w:val="16"/>
          <w:szCs w:val="16"/>
        </w:rPr>
        <w:softHyphen/>
        <w:t>полнения инертным газом (на практике ис</w:t>
      </w:r>
      <w:r w:rsidRPr="00925F26">
        <w:rPr>
          <w:color w:val="000000" w:themeColor="text1"/>
          <w:sz w:val="16"/>
          <w:szCs w:val="16"/>
        </w:rPr>
        <w:softHyphen/>
        <w:t>пользовались охлажденные газы от выхлоп</w:t>
      </w:r>
      <w:r w:rsidRPr="00925F26">
        <w:rPr>
          <w:color w:val="000000" w:themeColor="text1"/>
          <w:sz w:val="16"/>
          <w:szCs w:val="16"/>
        </w:rPr>
        <w:softHyphen/>
        <w:t>ной системы двигателя). Со второй полови</w:t>
      </w:r>
      <w:r w:rsidRPr="00925F26">
        <w:rPr>
          <w:color w:val="000000" w:themeColor="text1"/>
          <w:sz w:val="16"/>
          <w:szCs w:val="16"/>
        </w:rPr>
        <w:softHyphen/>
        <w:t>ны 1943 г. количество топлива увеличили до 830 литров путем установки дополнительных топливных баков на борту лодки (т.е. непо</w:t>
      </w:r>
      <w:r w:rsidRPr="00925F26">
        <w:rPr>
          <w:color w:val="000000" w:themeColor="text1"/>
          <w:sz w:val="16"/>
          <w:szCs w:val="16"/>
        </w:rPr>
        <w:softHyphen/>
        <w:t>средственно в фюзеляже). При установке на катапульту и для подъема на корабль в верх</w:t>
      </w:r>
      <w:r w:rsidRPr="00925F26">
        <w:rPr>
          <w:color w:val="000000" w:themeColor="text1"/>
          <w:sz w:val="16"/>
          <w:szCs w:val="16"/>
        </w:rPr>
        <w:softHyphen/>
        <w:t>ней части обтекателя двигателя (называемого еще моторным коком) имелись узлы, за ко</w:t>
      </w:r>
      <w:r w:rsidRPr="00925F26">
        <w:rPr>
          <w:color w:val="000000" w:themeColor="text1"/>
          <w:sz w:val="16"/>
          <w:szCs w:val="16"/>
        </w:rPr>
        <w:softHyphen/>
        <w:t>торые самолет цеплялся кран-балкой. Узлы снабжены стропами диаметром 9,5 мм, кото</w:t>
      </w:r>
      <w:r w:rsidRPr="00925F26">
        <w:rPr>
          <w:color w:val="000000" w:themeColor="text1"/>
          <w:sz w:val="16"/>
          <w:szCs w:val="16"/>
        </w:rPr>
        <w:softHyphen/>
        <w:t>рые после использования убирались внутрь моторного обтекателя/</w:t>
      </w:r>
    </w:p>
    <w:p w14:paraId="05306550" w14:textId="77777777" w:rsidR="006979C2" w:rsidRPr="00925F26" w:rsidRDefault="006979C2" w:rsidP="00925F26">
      <w:pPr>
        <w:jc w:val="both"/>
        <w:rPr>
          <w:color w:val="000000" w:themeColor="text1"/>
          <w:sz w:val="16"/>
          <w:szCs w:val="16"/>
        </w:rPr>
      </w:pPr>
      <w:r w:rsidRPr="00925F26">
        <w:rPr>
          <w:color w:val="000000" w:themeColor="text1"/>
          <w:sz w:val="16"/>
          <w:szCs w:val="16"/>
        </w:rPr>
        <w:t>Для передвижения по суше и по палубе имелось перекатное шасси, сваренное из хромансилевых труб, с основными колесами 470x210 мм и хвостовым колесом 300x125 мм. Основные стойки крепились к узлу подкоса шпангоута №10 и на узлах, предназначенных для старта с катапульты. Перекатное шас</w:t>
      </w:r>
      <w:r w:rsidRPr="00925F26">
        <w:rPr>
          <w:color w:val="000000" w:themeColor="text1"/>
          <w:sz w:val="16"/>
          <w:szCs w:val="16"/>
        </w:rPr>
        <w:softHyphen/>
        <w:t>си имело небольшие габариты, поэтому его можно было брать в самолет. Время установ</w:t>
      </w:r>
      <w:r w:rsidRPr="00925F26">
        <w:rPr>
          <w:color w:val="000000" w:themeColor="text1"/>
          <w:sz w:val="16"/>
          <w:szCs w:val="16"/>
        </w:rPr>
        <w:softHyphen/>
        <w:t>ки шасси — 1 —2 мин. Указывалось, что благо</w:t>
      </w:r>
      <w:r w:rsidRPr="00925F26">
        <w:rPr>
          <w:color w:val="000000" w:themeColor="text1"/>
          <w:sz w:val="16"/>
          <w:szCs w:val="16"/>
        </w:rPr>
        <w:softHyphen/>
        <w:t>даря небольшому давлению в баллонных ко</w:t>
      </w:r>
      <w:r w:rsidRPr="00925F26">
        <w:rPr>
          <w:color w:val="000000" w:themeColor="text1"/>
          <w:sz w:val="16"/>
          <w:szCs w:val="16"/>
        </w:rPr>
        <w:softHyphen/>
        <w:t>лесах перекатного шасси КОР-2 не требовал</w:t>
      </w:r>
      <w:r w:rsidRPr="00925F26">
        <w:rPr>
          <w:color w:val="000000" w:themeColor="text1"/>
          <w:sz w:val="16"/>
          <w:szCs w:val="16"/>
        </w:rPr>
        <w:softHyphen/>
        <w:t>ся специально оборудованный спуск (слип). Одновременно инструкция по эксплуатации указывала, что при подъеме на берег (гидро</w:t>
      </w:r>
      <w:r w:rsidRPr="00925F26">
        <w:rPr>
          <w:color w:val="000000" w:themeColor="text1"/>
          <w:sz w:val="16"/>
          <w:szCs w:val="16"/>
        </w:rPr>
        <w:softHyphen/>
        <w:t>базу) требуется тягач (автомобиль 1,5 т) и 2— 3 водолаза.</w:t>
      </w:r>
    </w:p>
    <w:p w14:paraId="2CAB728C" w14:textId="77777777" w:rsidR="006979C2" w:rsidRPr="00925F26" w:rsidRDefault="006979C2" w:rsidP="00925F26">
      <w:pPr>
        <w:jc w:val="both"/>
        <w:rPr>
          <w:color w:val="000000" w:themeColor="text1"/>
          <w:sz w:val="16"/>
          <w:szCs w:val="16"/>
        </w:rPr>
      </w:pPr>
      <w:r w:rsidRPr="00925F26">
        <w:rPr>
          <w:color w:val="000000" w:themeColor="text1"/>
          <w:sz w:val="16"/>
          <w:szCs w:val="16"/>
        </w:rPr>
        <w:t>Наступательное вооружение КОР-2 пона</w:t>
      </w:r>
      <w:r w:rsidRPr="00925F26">
        <w:rPr>
          <w:color w:val="000000" w:themeColor="text1"/>
          <w:sz w:val="16"/>
          <w:szCs w:val="16"/>
        </w:rPr>
        <w:softHyphen/>
        <w:t>чалу состояло из одного курсового пулемета ШКАС, установленного неподвижно в но</w:t>
      </w:r>
      <w:r w:rsidRPr="00925F26">
        <w:rPr>
          <w:color w:val="000000" w:themeColor="text1"/>
          <w:sz w:val="16"/>
          <w:szCs w:val="16"/>
        </w:rPr>
        <w:softHyphen/>
        <w:t>совой части лодки. Впоследствии устанавли</w:t>
      </w:r>
      <w:r w:rsidRPr="00925F26">
        <w:rPr>
          <w:color w:val="000000" w:themeColor="text1"/>
          <w:sz w:val="16"/>
          <w:szCs w:val="16"/>
        </w:rPr>
        <w:softHyphen/>
        <w:t>вались один-два пулемета БК (УБК). Кроме этого, по курсу перед кабиной пилота можно было установить кинофотопулемет ПАУ-22. Воздушный стрелок на первых серийных ма</w:t>
      </w:r>
      <w:r w:rsidRPr="00925F26">
        <w:rPr>
          <w:color w:val="000000" w:themeColor="text1"/>
          <w:sz w:val="16"/>
          <w:szCs w:val="16"/>
        </w:rPr>
        <w:softHyphen/>
        <w:t>шинах управлял турелью М В-5У с пулеметом ШКАС. На последних сериях КОРы обору</w:t>
      </w:r>
      <w:r w:rsidRPr="00925F26">
        <w:rPr>
          <w:color w:val="000000" w:themeColor="text1"/>
          <w:sz w:val="16"/>
          <w:szCs w:val="16"/>
        </w:rPr>
        <w:softHyphen/>
        <w:t>довались кормовой турелью ВУБ-3 с пулеме</w:t>
      </w:r>
      <w:r w:rsidRPr="00925F26">
        <w:rPr>
          <w:color w:val="000000" w:themeColor="text1"/>
          <w:sz w:val="16"/>
          <w:szCs w:val="16"/>
        </w:rPr>
        <w:softHyphen/>
        <w:t>том УБТ калибра 12,7 мм.</w:t>
      </w:r>
    </w:p>
    <w:p w14:paraId="48563F73" w14:textId="77777777" w:rsidR="006979C2" w:rsidRPr="00925F26" w:rsidRDefault="006979C2" w:rsidP="00925F26">
      <w:pPr>
        <w:jc w:val="both"/>
        <w:rPr>
          <w:color w:val="000000" w:themeColor="text1"/>
          <w:sz w:val="16"/>
          <w:szCs w:val="16"/>
        </w:rPr>
      </w:pPr>
      <w:r w:rsidRPr="00925F26">
        <w:rPr>
          <w:color w:val="000000" w:themeColor="text1"/>
          <w:sz w:val="16"/>
          <w:szCs w:val="16"/>
        </w:rPr>
        <w:t>Для подвески бомб монтировались бомбо</w:t>
      </w:r>
      <w:r w:rsidRPr="00925F26">
        <w:rPr>
          <w:color w:val="000000" w:themeColor="text1"/>
          <w:sz w:val="16"/>
          <w:szCs w:val="16"/>
        </w:rPr>
        <w:softHyphen/>
        <w:t>держатели типа Д2-М. При отказе от исполь</w:t>
      </w:r>
      <w:r w:rsidRPr="00925F26">
        <w:rPr>
          <w:color w:val="000000" w:themeColor="text1"/>
          <w:sz w:val="16"/>
          <w:szCs w:val="16"/>
        </w:rPr>
        <w:softHyphen/>
        <w:t>зования бомбового вооружения ухваты вы</w:t>
      </w:r>
      <w:r w:rsidRPr="00925F26">
        <w:rPr>
          <w:color w:val="000000" w:themeColor="text1"/>
          <w:sz w:val="16"/>
          <w:szCs w:val="16"/>
        </w:rPr>
        <w:softHyphen/>
        <w:t>кручивались, и держатели закрывались не</w:t>
      </w:r>
      <w:r w:rsidRPr="00925F26">
        <w:rPr>
          <w:color w:val="000000" w:themeColor="text1"/>
          <w:sz w:val="16"/>
          <w:szCs w:val="16"/>
        </w:rPr>
        <w:softHyphen/>
        <w:t>большими лючками.</w:t>
      </w:r>
    </w:p>
    <w:p w14:paraId="2FCCE968" w14:textId="77777777" w:rsidR="006979C2" w:rsidRPr="00925F26" w:rsidRDefault="006979C2" w:rsidP="00925F26">
      <w:pPr>
        <w:jc w:val="both"/>
        <w:rPr>
          <w:color w:val="000000" w:themeColor="text1"/>
          <w:sz w:val="16"/>
          <w:szCs w:val="16"/>
        </w:rPr>
      </w:pPr>
      <w:r w:rsidRPr="00925F26">
        <w:rPr>
          <w:color w:val="000000" w:themeColor="text1"/>
          <w:sz w:val="16"/>
          <w:szCs w:val="16"/>
        </w:rPr>
        <w:t>Так как КОР-2 предназначался к морской службе, на нем устанавливался комплект спе</w:t>
      </w:r>
      <w:r w:rsidRPr="00925F26">
        <w:rPr>
          <w:color w:val="000000" w:themeColor="text1"/>
          <w:sz w:val="16"/>
          <w:szCs w:val="16"/>
        </w:rPr>
        <w:softHyphen/>
        <w:t>циального оборудования, присущего только гидросамолетам. В частности, на шпангоуте №10 монтировался насос «альвейер» для от</w:t>
      </w:r>
      <w:r w:rsidRPr="00925F26">
        <w:rPr>
          <w:color w:val="000000" w:themeColor="text1"/>
          <w:sz w:val="16"/>
          <w:szCs w:val="16"/>
        </w:rPr>
        <w:softHyphen/>
        <w:t>качки воды, в районе кресла штурмана раз</w:t>
      </w:r>
      <w:r w:rsidRPr="00925F26">
        <w:rPr>
          <w:color w:val="000000" w:themeColor="text1"/>
          <w:sz w:val="16"/>
          <w:szCs w:val="16"/>
        </w:rPr>
        <w:softHyphen/>
        <w:t>мешалась сложенная трехместная надувная лодка. Имелся складной двухлапый 8-</w:t>
      </w:r>
      <w:proofErr w:type="gramStart"/>
      <w:r w:rsidRPr="00925F26">
        <w:rPr>
          <w:color w:val="000000" w:themeColor="text1"/>
          <w:sz w:val="16"/>
          <w:szCs w:val="16"/>
        </w:rPr>
        <w:t>кило- граммовый</w:t>
      </w:r>
      <w:proofErr w:type="gramEnd"/>
      <w:r w:rsidRPr="00925F26">
        <w:rPr>
          <w:color w:val="000000" w:themeColor="text1"/>
          <w:sz w:val="16"/>
          <w:szCs w:val="16"/>
        </w:rPr>
        <w:t xml:space="preserve"> донный якорь, к нему 22 метра 20-мм каната, плавучий якорь (брезентовое ведро без дна) с канатом, трехлапая кошка, буксирные концы и полутораметровый ба</w:t>
      </w:r>
      <w:r w:rsidRPr="00925F26">
        <w:rPr>
          <w:color w:val="000000" w:themeColor="text1"/>
          <w:sz w:val="16"/>
          <w:szCs w:val="16"/>
        </w:rPr>
        <w:softHyphen/>
        <w:t>гор. На случай вынужденной посадки на бор</w:t>
      </w:r>
      <w:r w:rsidRPr="00925F26">
        <w:rPr>
          <w:color w:val="000000" w:themeColor="text1"/>
          <w:sz w:val="16"/>
          <w:szCs w:val="16"/>
        </w:rPr>
        <w:softHyphen/>
        <w:t>ту самолета имелись анкерок с пресной во</w:t>
      </w:r>
      <w:r w:rsidRPr="00925F26">
        <w:rPr>
          <w:color w:val="000000" w:themeColor="text1"/>
          <w:sz w:val="16"/>
          <w:szCs w:val="16"/>
        </w:rPr>
        <w:softHyphen/>
        <w:t>дой емкостью 5 литров, рюкзак для продук</w:t>
      </w:r>
      <w:r w:rsidRPr="00925F26">
        <w:rPr>
          <w:color w:val="000000" w:themeColor="text1"/>
          <w:sz w:val="16"/>
          <w:szCs w:val="16"/>
        </w:rPr>
        <w:softHyphen/>
        <w:t>тов, сигнальные флажки.</w:t>
      </w:r>
    </w:p>
    <w:p w14:paraId="63231152" w14:textId="77777777" w:rsidR="006979C2" w:rsidRPr="00925F26" w:rsidRDefault="006979C2" w:rsidP="00925F26">
      <w:pPr>
        <w:jc w:val="both"/>
        <w:rPr>
          <w:color w:val="000000" w:themeColor="text1"/>
          <w:sz w:val="16"/>
          <w:szCs w:val="16"/>
        </w:rPr>
      </w:pPr>
      <w:r w:rsidRPr="00925F26">
        <w:rPr>
          <w:color w:val="000000" w:themeColor="text1"/>
          <w:sz w:val="16"/>
          <w:szCs w:val="16"/>
        </w:rPr>
        <w:t>В заключение описания КОР-2 приведем фрагменты инструкции по катапультирова</w:t>
      </w:r>
      <w:r w:rsidRPr="00925F26">
        <w:rPr>
          <w:color w:val="000000" w:themeColor="text1"/>
          <w:sz w:val="16"/>
          <w:szCs w:val="16"/>
        </w:rPr>
        <w:softHyphen/>
        <w:t>нию, приведенные именно для этого самоле</w:t>
      </w:r>
      <w:r w:rsidRPr="00925F26">
        <w:rPr>
          <w:color w:val="000000" w:themeColor="text1"/>
          <w:sz w:val="16"/>
          <w:szCs w:val="16"/>
        </w:rPr>
        <w:softHyphen/>
        <w:t>та в техническом описании.</w:t>
      </w:r>
    </w:p>
    <w:p w14:paraId="535C6F1F" w14:textId="77777777" w:rsidR="006979C2" w:rsidRPr="00925F26" w:rsidRDefault="006979C2" w:rsidP="00925F26">
      <w:pPr>
        <w:jc w:val="both"/>
        <w:rPr>
          <w:color w:val="000000" w:themeColor="text1"/>
          <w:sz w:val="16"/>
          <w:szCs w:val="16"/>
        </w:rPr>
      </w:pPr>
      <w:r w:rsidRPr="00925F26">
        <w:rPr>
          <w:color w:val="000000" w:themeColor="text1"/>
          <w:sz w:val="16"/>
          <w:szCs w:val="16"/>
        </w:rPr>
        <w:t>Связь пилота с катапультой осуществляет</w:t>
      </w:r>
      <w:r w:rsidRPr="00925F26">
        <w:rPr>
          <w:color w:val="000000" w:themeColor="text1"/>
          <w:sz w:val="16"/>
          <w:szCs w:val="16"/>
        </w:rPr>
        <w:softHyphen/>
        <w:t>ся световой сигнализацией:</w:t>
      </w:r>
    </w:p>
    <w:p w14:paraId="1C1FED87" w14:textId="77777777" w:rsidR="006979C2" w:rsidRPr="00925F26" w:rsidRDefault="006979C2" w:rsidP="00925F26">
      <w:pPr>
        <w:tabs>
          <w:tab w:val="left" w:pos="355"/>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Белый цвет — готов к старту.</w:t>
      </w:r>
    </w:p>
    <w:p w14:paraId="0FE811CA" w14:textId="77777777" w:rsidR="006979C2" w:rsidRPr="00925F26" w:rsidRDefault="006979C2" w:rsidP="00925F26">
      <w:pPr>
        <w:tabs>
          <w:tab w:val="left" w:pos="344"/>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Зеленый цвет — старт.</w:t>
      </w:r>
    </w:p>
    <w:p w14:paraId="54FF1945" w14:textId="77777777" w:rsidR="006979C2" w:rsidRPr="00925F26" w:rsidRDefault="006979C2" w:rsidP="00925F26">
      <w:pPr>
        <w:tabs>
          <w:tab w:val="left" w:pos="351"/>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Красный цвет — отмена старта.</w:t>
      </w:r>
    </w:p>
    <w:p w14:paraId="59795052" w14:textId="77777777" w:rsidR="006979C2" w:rsidRPr="00925F26" w:rsidRDefault="006979C2" w:rsidP="00925F26">
      <w:pPr>
        <w:jc w:val="both"/>
        <w:rPr>
          <w:color w:val="000000" w:themeColor="text1"/>
          <w:sz w:val="16"/>
          <w:szCs w:val="16"/>
        </w:rPr>
      </w:pPr>
      <w:r w:rsidRPr="00925F26">
        <w:rPr>
          <w:color w:val="000000" w:themeColor="text1"/>
          <w:sz w:val="16"/>
          <w:szCs w:val="16"/>
        </w:rPr>
        <w:t>Сигнальные лампы были смонтированы в</w:t>
      </w:r>
    </w:p>
    <w:p w14:paraId="1E0B34FB" w14:textId="77777777" w:rsidR="006979C2" w:rsidRPr="00925F26" w:rsidRDefault="006979C2" w:rsidP="00925F26">
      <w:pPr>
        <w:jc w:val="both"/>
        <w:rPr>
          <w:color w:val="000000" w:themeColor="text1"/>
          <w:sz w:val="16"/>
          <w:szCs w:val="16"/>
        </w:rPr>
      </w:pPr>
      <w:r w:rsidRPr="00925F26">
        <w:rPr>
          <w:color w:val="000000" w:themeColor="text1"/>
          <w:sz w:val="16"/>
          <w:szCs w:val="16"/>
        </w:rPr>
        <w:t>носке центроплана слева и продублированы на приборной доске летчика. Порядок рабо</w:t>
      </w:r>
      <w:r w:rsidRPr="00925F26">
        <w:rPr>
          <w:color w:val="000000" w:themeColor="text1"/>
          <w:sz w:val="16"/>
          <w:szCs w:val="16"/>
        </w:rPr>
        <w:softHyphen/>
        <w:t>ты был следующим:</w:t>
      </w:r>
    </w:p>
    <w:p w14:paraId="2EFC36D5" w14:textId="77777777" w:rsidR="006979C2" w:rsidRPr="00925F26" w:rsidRDefault="006979C2" w:rsidP="00925F26">
      <w:pPr>
        <w:tabs>
          <w:tab w:val="left" w:pos="398"/>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Стартируюший (старшина) катапульты давал белый сигнал на запуск двигателя, лет</w:t>
      </w:r>
      <w:r w:rsidRPr="00925F26">
        <w:rPr>
          <w:color w:val="000000" w:themeColor="text1"/>
          <w:sz w:val="16"/>
          <w:szCs w:val="16"/>
        </w:rPr>
        <w:softHyphen/>
        <w:t>чик после этого запускал двигатель.</w:t>
      </w:r>
    </w:p>
    <w:p w14:paraId="1CD06552" w14:textId="77777777" w:rsidR="006979C2" w:rsidRPr="00925F26" w:rsidRDefault="006979C2" w:rsidP="00925F26">
      <w:pPr>
        <w:tabs>
          <w:tab w:val="left" w:pos="376"/>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После прогрева двигателя летчик зажи</w:t>
      </w:r>
      <w:r w:rsidRPr="00925F26">
        <w:rPr>
          <w:color w:val="000000" w:themeColor="text1"/>
          <w:sz w:val="16"/>
          <w:szCs w:val="16"/>
        </w:rPr>
        <w:softHyphen/>
        <w:t>гал белый огонь, после чего на катапульте от</w:t>
      </w:r>
      <w:r w:rsidRPr="00925F26">
        <w:rPr>
          <w:color w:val="000000" w:themeColor="text1"/>
          <w:sz w:val="16"/>
          <w:szCs w:val="16"/>
        </w:rPr>
        <w:softHyphen/>
        <w:t>крывали главный клапан и давали зеленый сигнал с одновременным гашением белого. Это означало, что на катапульте все готово.</w:t>
      </w:r>
    </w:p>
    <w:p w14:paraId="01CBA966" w14:textId="77777777" w:rsidR="006979C2" w:rsidRPr="00925F26" w:rsidRDefault="006979C2" w:rsidP="00925F26">
      <w:pPr>
        <w:tabs>
          <w:tab w:val="left" w:pos="402"/>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Летчик после этого зажигал зеленый огонь и выключал белый. После этого следо</w:t>
      </w:r>
      <w:r w:rsidRPr="00925F26">
        <w:rPr>
          <w:color w:val="000000" w:themeColor="text1"/>
          <w:sz w:val="16"/>
          <w:szCs w:val="16"/>
        </w:rPr>
        <w:softHyphen/>
        <w:t>вал старт самолета.</w:t>
      </w:r>
    </w:p>
    <w:p w14:paraId="7D2E60C7" w14:textId="77777777" w:rsidR="006979C2" w:rsidRPr="00925F26" w:rsidRDefault="006979C2" w:rsidP="00925F26">
      <w:pPr>
        <w:tabs>
          <w:tab w:val="left" w:pos="376"/>
        </w:tabs>
        <w:jc w:val="both"/>
        <w:rPr>
          <w:color w:val="000000" w:themeColor="text1"/>
          <w:sz w:val="16"/>
          <w:szCs w:val="16"/>
        </w:rPr>
      </w:pPr>
      <w:r w:rsidRPr="00925F26">
        <w:rPr>
          <w:color w:val="000000" w:themeColor="text1"/>
          <w:sz w:val="16"/>
          <w:szCs w:val="16"/>
        </w:rPr>
        <w:t>•</w:t>
      </w:r>
      <w:r w:rsidRPr="00925F26">
        <w:rPr>
          <w:color w:val="000000" w:themeColor="text1"/>
          <w:sz w:val="16"/>
          <w:szCs w:val="16"/>
        </w:rPr>
        <w:tab/>
        <w:t>Для отмены старта зажигался красный огонь (лампа) с той или другой стороны. Принятие сигнала подтверждалось зажига</w:t>
      </w:r>
      <w:r w:rsidRPr="00925F26">
        <w:rPr>
          <w:color w:val="000000" w:themeColor="text1"/>
          <w:sz w:val="16"/>
          <w:szCs w:val="16"/>
        </w:rPr>
        <w:softHyphen/>
        <w:t>нием соответствующей красной лампы (12301).</w:t>
      </w:r>
    </w:p>
    <w:p w14:paraId="7743B15F" w14:textId="77777777" w:rsidR="006979C2" w:rsidRPr="00925F26" w:rsidRDefault="006979C2" w:rsidP="00925F26">
      <w:pPr>
        <w:pStyle w:val="aff1"/>
        <w:shd w:val="clear" w:color="auto" w:fill="auto"/>
        <w:spacing w:line="240" w:lineRule="auto"/>
        <w:rPr>
          <w:rFonts w:ascii="Times New Roman" w:hAnsi="Times New Roman" w:cs="Times New Roman"/>
          <w:i w:val="0"/>
          <w:color w:val="000000" w:themeColor="text1"/>
          <w:sz w:val="16"/>
          <w:szCs w:val="16"/>
          <w:lang w:val="ru-RU"/>
        </w:rPr>
      </w:pPr>
    </w:p>
    <w:p w14:paraId="7AF87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Всего к 9 мая 1945 года три западных флота получили в общей сложности 107 PBN-1 Номад, что составляло 73% общего состава их гидроавиации. Ни один самолет не был сбит врагом, но девять машин числятся </w:t>
      </w:r>
      <w:proofErr w:type="gramStart"/>
      <w:r w:rsidRPr="00925F26">
        <w:rPr>
          <w:color w:val="000000" w:themeColor="text1"/>
          <w:sz w:val="16"/>
          <w:szCs w:val="16"/>
        </w:rPr>
        <w:t>потерянными</w:t>
      </w:r>
      <w:proofErr w:type="gramEnd"/>
      <w:r w:rsidRPr="00925F26">
        <w:rPr>
          <w:color w:val="000000" w:themeColor="text1"/>
          <w:sz w:val="16"/>
          <w:szCs w:val="16"/>
        </w:rPr>
        <w:t xml:space="preserve"> но небоевым причинам (3457,130).</w:t>
      </w:r>
    </w:p>
    <w:p w14:paraId="29D99979" w14:textId="77777777" w:rsidR="00665165" w:rsidRPr="00925F26" w:rsidRDefault="00665165" w:rsidP="00925F26">
      <w:pPr>
        <w:autoSpaceDE w:val="0"/>
        <w:autoSpaceDN w:val="0"/>
        <w:adjustRightInd w:val="0"/>
        <w:jc w:val="both"/>
        <w:rPr>
          <w:color w:val="000000" w:themeColor="text1"/>
          <w:sz w:val="16"/>
          <w:szCs w:val="16"/>
        </w:rPr>
      </w:pPr>
    </w:p>
    <w:p w14:paraId="1BE183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До 9 мая 1945 года различным организациям передали 11 летающих лодок. Этот процесс еще более ускорился в ходе послевоенного сокращения вооруженных сил. Например, осенью 1945 года "Номады" поступили в авиацию морской пограничной охраны. Так, одна такая машина имелась в 7-м отдельном авиаотряде в Хабаровске. С поражением последней державы "оси" закончилось и действие закона о ленд-лизе. Поставки вооружения и боевой техники из США в нашу страну окончательно прекратились. Всего из Америки в СССР были отправлены 137 PBN-1 и 48 PBY-6A. Кроме того, по-видимому, к нам попало несколько PBY-5A. Некоторые источники утверждают, что эти, уже не новые, амфибии сдавались советской стороне на базе Ванкувер-Айленд к 1944 году. Косвенным подтверждением этого можно считать фото PBY-5A с красными звездами. </w:t>
      </w:r>
      <w:proofErr w:type="gramStart"/>
      <w:r w:rsidRPr="00925F26">
        <w:rPr>
          <w:color w:val="000000" w:themeColor="text1"/>
          <w:sz w:val="16"/>
          <w:szCs w:val="16"/>
        </w:rPr>
        <w:t>Конечно</w:t>
      </w:r>
      <w:proofErr w:type="gramEnd"/>
      <w:r w:rsidRPr="00925F26">
        <w:rPr>
          <w:color w:val="000000" w:themeColor="text1"/>
          <w:sz w:val="16"/>
          <w:szCs w:val="16"/>
        </w:rPr>
        <w:t xml:space="preserve"> не все эти машины вошли </w:t>
      </w:r>
      <w:proofErr w:type="gramStart"/>
      <w:r w:rsidRPr="00925F26">
        <w:rPr>
          <w:color w:val="000000" w:themeColor="text1"/>
          <w:sz w:val="16"/>
          <w:szCs w:val="16"/>
        </w:rPr>
        <w:t>к состав</w:t>
      </w:r>
      <w:proofErr w:type="gramEnd"/>
      <w:r w:rsidRPr="00925F26">
        <w:rPr>
          <w:color w:val="000000" w:themeColor="text1"/>
          <w:sz w:val="16"/>
          <w:szCs w:val="16"/>
        </w:rPr>
        <w:t xml:space="preserve"> авиации ВМФ. Как уже говорилось, четыре PBN-1 самостоятельно получали и перегоняли полярные летчики. После окончания войны ни одна машина не была возвращена в США. Американские самолеты использовали для полной модернизации отечественной гидроавиации. Старые МБР-2 и Че-2 пошли на слом, их место заняли "Номады" и "Каталины" (3457,130).</w:t>
      </w:r>
    </w:p>
    <w:p w14:paraId="35774B10" w14:textId="77777777" w:rsidR="00665165" w:rsidRPr="00925F26" w:rsidRDefault="00665165" w:rsidP="00925F26">
      <w:pPr>
        <w:autoSpaceDE w:val="0"/>
        <w:autoSpaceDN w:val="0"/>
        <w:adjustRightInd w:val="0"/>
        <w:jc w:val="both"/>
        <w:rPr>
          <w:color w:val="000000" w:themeColor="text1"/>
          <w:sz w:val="16"/>
          <w:szCs w:val="16"/>
        </w:rPr>
      </w:pPr>
    </w:p>
    <w:p w14:paraId="12AB81CB" w14:textId="77777777" w:rsidR="00B35A1B" w:rsidRPr="00925F26" w:rsidRDefault="00B35A1B" w:rsidP="00925F26">
      <w:pPr>
        <w:jc w:val="both"/>
        <w:rPr>
          <w:color w:val="000000" w:themeColor="text1"/>
          <w:sz w:val="16"/>
          <w:szCs w:val="16"/>
        </w:rPr>
      </w:pPr>
      <w:r w:rsidRPr="00925F26">
        <w:rPr>
          <w:color w:val="000000" w:themeColor="text1"/>
          <w:sz w:val="16"/>
          <w:szCs w:val="16"/>
        </w:rPr>
        <w:t>9 мая 1945 аэростат 2-го отряда 6-го ОВДААН всё ещё находился в Карнер-парке. В отряде решили отметить День Победы, под</w:t>
      </w:r>
      <w:r w:rsidRPr="00925F26">
        <w:rPr>
          <w:color w:val="000000" w:themeColor="text1"/>
          <w:sz w:val="16"/>
          <w:szCs w:val="16"/>
        </w:rPr>
        <w:softHyphen/>
        <w:t>няв на аэростате над городом огромное Красное знамя, прикреплённое к тросу на 300-400 м ниже оболочки. Эффект был потрясающий: из-за низ</w:t>
      </w:r>
      <w:r w:rsidRPr="00925F26">
        <w:rPr>
          <w:color w:val="000000" w:themeColor="text1"/>
          <w:sz w:val="16"/>
          <w:szCs w:val="16"/>
        </w:rPr>
        <w:softHyphen/>
        <w:t>кой облачности аэростат не был виден, и знамя реяло в воздухе. Ночью его подсвечивали про</w:t>
      </w:r>
      <w:r w:rsidRPr="00925F26">
        <w:rPr>
          <w:color w:val="000000" w:themeColor="text1"/>
          <w:sz w:val="16"/>
          <w:szCs w:val="16"/>
        </w:rPr>
        <w:softHyphen/>
        <w:t>жекторами. В корзине аэростата находились ди</w:t>
      </w:r>
      <w:r w:rsidRPr="00925F26">
        <w:rPr>
          <w:color w:val="000000" w:themeColor="text1"/>
          <w:sz w:val="16"/>
          <w:szCs w:val="16"/>
        </w:rPr>
        <w:softHyphen/>
        <w:t>намики, соединённые кабелем с радиолой на зем</w:t>
      </w:r>
      <w:r w:rsidRPr="00925F26">
        <w:rPr>
          <w:color w:val="000000" w:themeColor="text1"/>
          <w:sz w:val="16"/>
          <w:szCs w:val="16"/>
        </w:rPr>
        <w:softHyphen/>
        <w:t>ле, и с высоты 700 м над поверженной вражеской столицей разносились советские песни и марши. Эта инициатива понравилась руководству Совет</w:t>
      </w:r>
      <w:r w:rsidRPr="00925F26">
        <w:rPr>
          <w:color w:val="000000" w:themeColor="text1"/>
          <w:sz w:val="16"/>
          <w:szCs w:val="16"/>
        </w:rPr>
        <w:softHyphen/>
        <w:t>ской Контрольной комиссии в Германии, и в по</w:t>
      </w:r>
      <w:r w:rsidRPr="00925F26">
        <w:rPr>
          <w:color w:val="000000" w:themeColor="text1"/>
          <w:sz w:val="16"/>
          <w:szCs w:val="16"/>
        </w:rPr>
        <w:softHyphen/>
        <w:t>следующие годы оно постоянно привлекало 2-й отряд на праздники в г. Потсдам для подъёма знамён на аэростате (20120).</w:t>
      </w:r>
    </w:p>
    <w:p w14:paraId="589EF148" w14:textId="77777777" w:rsidR="00B35A1B" w:rsidRPr="00925F26" w:rsidRDefault="00B35A1B" w:rsidP="00925F26">
      <w:pPr>
        <w:jc w:val="both"/>
        <w:rPr>
          <w:color w:val="000000" w:themeColor="text1"/>
          <w:sz w:val="16"/>
          <w:szCs w:val="16"/>
        </w:rPr>
      </w:pPr>
    </w:p>
    <w:p w14:paraId="3C876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СССР располагал 35200 танками, а поставлено было 131700. Наибольшие потери - 47200 из 96500 были в 1943 и 1944. Соотношение к немцам - 2.96:1 (2114).</w:t>
      </w:r>
    </w:p>
    <w:p w14:paraId="31300B16" w14:textId="77777777" w:rsidR="00665165" w:rsidRPr="00925F26" w:rsidRDefault="00665165" w:rsidP="00925F26">
      <w:pPr>
        <w:autoSpaceDE w:val="0"/>
        <w:autoSpaceDN w:val="0"/>
        <w:adjustRightInd w:val="0"/>
        <w:jc w:val="both"/>
        <w:rPr>
          <w:color w:val="000000" w:themeColor="text1"/>
          <w:sz w:val="16"/>
          <w:szCs w:val="16"/>
        </w:rPr>
      </w:pPr>
    </w:p>
    <w:p w14:paraId="1B262AD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11-я советская гвардейская механизированная бригада встретилась с частями 2-й американской пехотной дивизии в районе чешского города Пльзень (</w:t>
      </w:r>
      <w:proofErr w:type="gramStart"/>
      <w:r w:rsidRPr="00925F26">
        <w:rPr>
          <w:color w:val="000000" w:themeColor="text1"/>
          <w:sz w:val="16"/>
          <w:szCs w:val="16"/>
        </w:rPr>
        <w:t>4963 )</w:t>
      </w:r>
      <w:proofErr w:type="gramEnd"/>
      <w:r w:rsidRPr="00925F26">
        <w:rPr>
          <w:color w:val="000000" w:themeColor="text1"/>
          <w:sz w:val="16"/>
          <w:szCs w:val="16"/>
        </w:rPr>
        <w:t>.</w:t>
      </w:r>
    </w:p>
    <w:p w14:paraId="2245C6B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9E4D05D" w14:textId="77777777" w:rsidR="002F1089" w:rsidRPr="00925F26" w:rsidRDefault="002F1089" w:rsidP="00925F26">
      <w:pPr>
        <w:jc w:val="both"/>
        <w:rPr>
          <w:color w:val="000000" w:themeColor="text1"/>
          <w:sz w:val="16"/>
          <w:szCs w:val="16"/>
        </w:rPr>
      </w:pPr>
      <w:r w:rsidRPr="00925F26">
        <w:rPr>
          <w:color w:val="000000" w:themeColor="text1"/>
          <w:sz w:val="16"/>
          <w:szCs w:val="16"/>
        </w:rPr>
        <w:t>9 мая в 1945 году 11-я советская гвардейская механизированная бригада встретилась с частями 2-й американской пехотной дивизии в районе чешского города Пльзень (14886).</w:t>
      </w:r>
    </w:p>
    <w:p w14:paraId="0A1A6BFC" w14:textId="77777777" w:rsidR="002F1089" w:rsidRPr="00925F26" w:rsidRDefault="002F1089" w:rsidP="00925F26">
      <w:pPr>
        <w:jc w:val="both"/>
        <w:rPr>
          <w:color w:val="000000" w:themeColor="text1"/>
          <w:sz w:val="16"/>
          <w:szCs w:val="16"/>
        </w:rPr>
      </w:pPr>
    </w:p>
    <w:p w14:paraId="32AD611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советские войска освободили Прагу (4962).</w:t>
      </w:r>
    </w:p>
    <w:p w14:paraId="407362B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59EBD6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63-я советская гвардейская танковая бригада с боем ворвалась в чешский город Прагу, чуть позже в Прагу вошли 10-й танковый, 5-й и 6-й механизированный гвардейские корпуса, 70-я армейская гвардейская самоходно-артиллерийская бригада и 72-й тяжелый гвардейский танковый полк. Совесткие войска полностью очистили Прагу от немцев (4963 ).</w:t>
      </w:r>
    </w:p>
    <w:p w14:paraId="55D4F7B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6307635" w14:textId="77777777" w:rsidR="002F1089" w:rsidRPr="00925F26" w:rsidRDefault="002F1089" w:rsidP="00925F26">
      <w:pPr>
        <w:jc w:val="both"/>
        <w:rPr>
          <w:color w:val="000000" w:themeColor="text1"/>
          <w:sz w:val="16"/>
          <w:szCs w:val="16"/>
        </w:rPr>
      </w:pPr>
      <w:r w:rsidRPr="00925F26">
        <w:rPr>
          <w:color w:val="000000" w:themeColor="text1"/>
          <w:sz w:val="16"/>
          <w:szCs w:val="16"/>
        </w:rPr>
        <w:t xml:space="preserve">9 мая в 1945 году Советской Армией освобожден от гитлеровцев город Прага. Пражская наступательная операция войск 1-го, 2-го и 4-го Украинских фронтов по уничтожению немецко-фашистской группировки на территории Чехословакии была последним сражением Великой Отечественной войны. Она началась 6 мая 1945 </w:t>
      </w:r>
      <w:r w:rsidRPr="00925F26">
        <w:rPr>
          <w:color w:val="000000" w:themeColor="text1"/>
          <w:sz w:val="16"/>
          <w:szCs w:val="16"/>
        </w:rPr>
        <w:lastRenderedPageBreak/>
        <w:t>года и полностью завершилась 11 мая 1945 года. В начале мая в Чехословакии и Северной Австрии продолжали сопротивление немецкая группа армий "Центр" (1-я и 4-я танковые и 17-я армии, командующий генерал-фельдмаршал Ф.Шёрнер) и часть армий группы "Австрия" (8-я армия и 6-я танковая армия СС, командующий генерал-полковник Л.Рендулич), всего свыше 900 тысяч человек, около 10 тысяч орудий и миномётов, свыше 2200 танков и штурмовых орудий, около 1000 самолётов. По замыслу нового правительства фашистской Германии во главе с К.Дёницем группа армий "Центр" должна была удерживать районы западной и центральной Чехии с тем, чтобы выиграть время и обеспечить отвод своих войск на запад для последующей капитуляции перед американскими войсками. Стратегическим планом советского Верховного Главнокомандования предусматривалось нанесение нескольких мощных ударов по сходящимся направлениям на Прагу с целью окружения и расчленения основных сил врага восточнее Праги и недопущения их отхода на запад. Разгром противника возлагался на 1-й, 2-й и 4-й Украинские фронты (командующий соответственно Маршалы Советского Союза И.С.Конев, Р.Я.Малиновский и генерал армии А.И.Еременко). В состав группировки фронтов, кроме советских войск, входили 2-я армия Войска Польского, 1-й Чехословацкий армейский корпус, 1-я и 4-я румынские армии. Всего свыше 1 млн. человек, более 23 тысяч орудий и миномётов, около 1800 танков и самоходных артиллерийских орудий и свыше 4 тысяч самолётов (без учёта одной армии 1-го Украинского фронта и румынских войск). Главные удары наносили войска 1-го и 2-го Украинских фронтов по обоим флангам группы армий "Центр". 1-5 мая в различных районах Чехословакии началось народное восстание, 5 мая - в Праге. В ночь на 6 мая пражская радиостанция обратилась к советским войскам с просьбой о помощи. Войска главной ударной группировки правого крыла 1-го Украинского фронта: 13-я армия (командующий генерал-полковник Н.П.Пухов), 3-я гвардейская армия (генерал-полковник В.Н.Гордов), 5-я гвардейская армия (генерал-полковник А.С.Жадов), 3-я гвардейская танковая армия (генерал-полковник танковых войск П.С.Рыбалко) и 4-я гвардейская танковая армия (генерал-полковник танковых войск Д.Д.Лелюшенко) за сутки до намеченного срока перешли в наступление и к исходу 7 мая вышли к северным склонам Рудных гор и завязали бои за Дрезден. С утра 7 мая в наступление перешли остальные армии 1-го Украинского фронта и войска 7-й гвардейской армии (командующий генерал-полковник М.С.Шумилов) 2-го Украинского фронта. Войска 4-го Украинского фронта 6 и 7 мая продолжали наступление на оломоуцком направлении и во взаимодействии с войсками 2-го Украинского фронта создали угрозу окружения немецко-фашистских войск, действовавших восточнее Оломоуца, вынудив противника начать отвод 1-й танковой армии. В связи с этим развернулось успешное наступление войск 38-й (командующий генерал-полковник К.С.Москаленко) и 1-й гвардейский (командующий генерал-полковник А.А.Гречко) армий 4-го Украинского фронта. 8 мая наступление продолжалось на всех направлениях. Наибольший успех имели армии правого крыла 1-го Украинского фронта. Они сломили сопротивление врага на рубеже Рудных гор, полностью заняли Дрезден и вступили на территории Чехословакии. Во 2-м Украинском фронте 8 мая была введена в сражение 6-я гвардейская танковая армия (командующий генерал-полковник танковых войск А.Г.Кравченко), которая стремительно развивала наступление на Йиглаву, продвигаясь к Праге с юга. Войска 4-го Украинского фронта освободили Оломоуц и наступали на Прагу с востока. 8 мая германское командование подписало акт о капитуляции, но группа армий "Центр" продолжала сопротивление. В Праге восставшие находились в тяжёлом положении. 3-я и 4-я гвардейские танковые армии 1-го Украинского фронта в ночь на 9 мая совершили стремительный 80-ти километровый бросок, утром 9 мая вступили в Прагу и вскоре очистили город от врага. В тот же день к Праге подошли передовые части 2-го и 4-го Украинского фронтов, главные силы группы армий "Центр" были окружены. Вне окружения остались лишь дивизии группы армий "Австрия", которых громили войска левого крыла 2-го Украинского фронта. Успеху советских войск во многом содействовала авиация фронтов. 10-11 мая основные силы войск противника были пленены; советские войска вошли в соприкосновение с 3-й американской армией. Освобождение Чехословакии было завершено. Стремительные действия советских войск избавили города и сёла Чехословакии от разрушений и злодеяний немецко-фашистских войск, чехословацкий народ получил возможность самостоятельно решать судьбу своей Родины. С точки зрения военного искусства Пражская операция характерна подготовкой её в короткий срок, проведением сложной оперативной перегруппировки войск, использованием танковых армий для окружения и разгрома крупной группировки в условиях горно-лесистого театра военных действий и высокими темпами наступления (14886).</w:t>
      </w:r>
    </w:p>
    <w:p w14:paraId="6C33AEB6" w14:textId="77777777" w:rsidR="002F1089" w:rsidRPr="00925F26" w:rsidRDefault="002F1089" w:rsidP="00925F26">
      <w:pPr>
        <w:jc w:val="both"/>
        <w:rPr>
          <w:color w:val="000000" w:themeColor="text1"/>
          <w:sz w:val="16"/>
          <w:szCs w:val="16"/>
        </w:rPr>
      </w:pPr>
    </w:p>
    <w:p w14:paraId="15C265B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произведена высадка на датский о-в Борнхольм в Балтийском море 132-го советского стрелкового корпуса (8 000 чел.), ему противостояли 12 000 солдат немецкого гарнизона. Немецкий гарнизон на Борнхольме капитулировал (4963 ).</w:t>
      </w:r>
    </w:p>
    <w:p w14:paraId="5DC40E9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570A826" w14:textId="77777777" w:rsidR="002F1089" w:rsidRPr="00925F26" w:rsidRDefault="002F1089" w:rsidP="00925F26">
      <w:pPr>
        <w:jc w:val="both"/>
        <w:rPr>
          <w:color w:val="000000" w:themeColor="text1"/>
          <w:sz w:val="16"/>
          <w:szCs w:val="16"/>
        </w:rPr>
      </w:pPr>
      <w:r w:rsidRPr="00925F26">
        <w:rPr>
          <w:color w:val="000000" w:themeColor="text1"/>
          <w:sz w:val="16"/>
          <w:szCs w:val="16"/>
        </w:rPr>
        <w:t>9 мая в 1945 году произведена высадка на датский оcтров Борнхольм в Балтийском море 132-го советского стрелкового корпуса (8 000 человек), ему противостояли 12 000 солдат немецкого гарнизона. Немецкий гарнизон на Борнхольме капитулировал (14886).</w:t>
      </w:r>
    </w:p>
    <w:p w14:paraId="0DEF85DC" w14:textId="77777777" w:rsidR="002F1089" w:rsidRPr="00925F26" w:rsidRDefault="002F1089" w:rsidP="00925F26">
      <w:pPr>
        <w:jc w:val="both"/>
        <w:rPr>
          <w:color w:val="000000" w:themeColor="text1"/>
          <w:sz w:val="16"/>
          <w:szCs w:val="16"/>
        </w:rPr>
      </w:pPr>
    </w:p>
    <w:p w14:paraId="38EF0A6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советские войска освободили от фашистов Либаву (Лиепаю) (4962).</w:t>
      </w:r>
    </w:p>
    <w:p w14:paraId="456F2E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55960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мая 1945 года в составе Красной Армии име</w:t>
      </w:r>
      <w:r w:rsidRPr="00925F26">
        <w:rPr>
          <w:color w:val="000000" w:themeColor="text1"/>
          <w:sz w:val="16"/>
          <w:szCs w:val="16"/>
        </w:rPr>
        <w:softHyphen/>
        <w:t>лось 12 самоходно-артиллерийских бригад (7 легких, 4 средних и 1 тяжелая), 256 самоходно-артиллерийских полков (119 легких, 81 средних и 56 тяжелых), 70 отдель</w:t>
      </w:r>
      <w:r w:rsidRPr="00925F26">
        <w:rPr>
          <w:color w:val="000000" w:themeColor="text1"/>
          <w:sz w:val="16"/>
          <w:szCs w:val="16"/>
        </w:rPr>
        <w:softHyphen/>
        <w:t>ных самоходно-артиллерийских дивизионов в составе стрелковых дивизий и 21 дивизион в составе легких само</w:t>
      </w:r>
      <w:r w:rsidRPr="00925F26">
        <w:rPr>
          <w:color w:val="000000" w:themeColor="text1"/>
          <w:sz w:val="16"/>
          <w:szCs w:val="16"/>
        </w:rPr>
        <w:softHyphen/>
        <w:t>ходно-артиллерийских бригад (11417).</w:t>
      </w:r>
    </w:p>
    <w:p w14:paraId="60D86F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A3AB9F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9FD66F0" w14:textId="77777777" w:rsidR="00665165" w:rsidRPr="00925F26" w:rsidRDefault="00665165" w:rsidP="00925F26">
      <w:pPr>
        <w:autoSpaceDE w:val="0"/>
        <w:autoSpaceDN w:val="0"/>
        <w:adjustRightInd w:val="0"/>
        <w:jc w:val="both"/>
        <w:rPr>
          <w:iCs/>
          <w:color w:val="000000" w:themeColor="text1"/>
          <w:sz w:val="16"/>
          <w:szCs w:val="16"/>
        </w:rPr>
      </w:pPr>
    </w:p>
    <w:p w14:paraId="3962EB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на Ли-2 из Берлина экипаж А.Семенова привез акт о безоговорочной капитуляции (574,46).</w:t>
      </w:r>
    </w:p>
    <w:p w14:paraId="22E1AC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Есть мнение, что это был Ще-2</w:t>
      </w:r>
    </w:p>
    <w:p w14:paraId="469F6CC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D1C7F61" w14:textId="77777777" w:rsidR="00A40B71" w:rsidRPr="00925F26" w:rsidRDefault="00A40B71" w:rsidP="00925F26">
      <w:pPr>
        <w:jc w:val="both"/>
        <w:rPr>
          <w:color w:val="000000" w:themeColor="text1"/>
          <w:sz w:val="16"/>
          <w:szCs w:val="16"/>
        </w:rPr>
      </w:pPr>
      <w:r w:rsidRPr="00925F26">
        <w:rPr>
          <w:color w:val="000000" w:themeColor="text1"/>
          <w:sz w:val="16"/>
          <w:szCs w:val="16"/>
        </w:rPr>
        <w:t>9 мая в 1945 году на Центральном аэродроме имени М.В.Фрунзе приземлился «Ли-2» с экипажем А.И.Семенкова, доставивший в Москву акт о капитуляции фашистской Германии (14886).</w:t>
      </w:r>
    </w:p>
    <w:p w14:paraId="794FA6D1" w14:textId="77777777" w:rsidR="00A40B71" w:rsidRPr="00925F26" w:rsidRDefault="00A40B71" w:rsidP="00925F26">
      <w:pPr>
        <w:jc w:val="both"/>
        <w:rPr>
          <w:color w:val="000000" w:themeColor="text1"/>
          <w:sz w:val="16"/>
          <w:szCs w:val="16"/>
        </w:rPr>
      </w:pPr>
    </w:p>
    <w:p w14:paraId="7FBFA66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г. на ЦА им. М.В.Фрунзе приземлился Ли-2 А.И.Семенкова, доставивший в Москву акт о капитуляции фашистской Германии (6395).</w:t>
      </w:r>
    </w:p>
    <w:p w14:paraId="766058D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93E428B" w14:textId="77777777" w:rsidR="00A40B71" w:rsidRPr="00925F26" w:rsidRDefault="00A40B71" w:rsidP="00925F26">
      <w:pPr>
        <w:jc w:val="both"/>
        <w:rPr>
          <w:color w:val="000000" w:themeColor="text1"/>
          <w:sz w:val="16"/>
          <w:szCs w:val="16"/>
        </w:rPr>
      </w:pPr>
      <w:r w:rsidRPr="00925F26">
        <w:rPr>
          <w:color w:val="000000" w:themeColor="text1"/>
          <w:sz w:val="16"/>
          <w:szCs w:val="16"/>
        </w:rPr>
        <w:t>9 мая в 1945 году «Правда» публикует Акт о безоговорочной капитуляции германских вооруженных сил. СССР и союзники решили отмечать День Победы 9 мая. Но многие западные СМИ сработали на опережение и опубликовали Акт во вторник, 8 мая, что вызвало всеобщее ликование и стало причиной того, что во многих странах именно 8 мая отмечают День Победы (14886).</w:t>
      </w:r>
    </w:p>
    <w:p w14:paraId="148BBF1E" w14:textId="77777777" w:rsidR="00A40B71" w:rsidRPr="00925F26" w:rsidRDefault="00A40B71" w:rsidP="00925F26">
      <w:pPr>
        <w:jc w:val="both"/>
        <w:rPr>
          <w:color w:val="000000" w:themeColor="text1"/>
          <w:sz w:val="16"/>
          <w:szCs w:val="16"/>
        </w:rPr>
      </w:pPr>
    </w:p>
    <w:p w14:paraId="502F95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в Москве во время салюта стреляли не только пушки, но и выпускали ракеты. Ракеты выпускали не только с крыш, но и с самолетов, в частности известно, что лета Пе-8 Д.Ваулина (2122,27).</w:t>
      </w:r>
    </w:p>
    <w:p w14:paraId="4C8AF529" w14:textId="77777777" w:rsidR="00665165" w:rsidRPr="00925F26" w:rsidRDefault="00665165" w:rsidP="00925F26">
      <w:pPr>
        <w:autoSpaceDE w:val="0"/>
        <w:autoSpaceDN w:val="0"/>
        <w:adjustRightInd w:val="0"/>
        <w:jc w:val="both"/>
        <w:rPr>
          <w:color w:val="000000" w:themeColor="text1"/>
          <w:sz w:val="16"/>
          <w:szCs w:val="16"/>
        </w:rPr>
      </w:pPr>
    </w:p>
    <w:p w14:paraId="09EBF2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г. и вечером этого праздничного дня в Москве провели праздничный салют. Известно, что орудийных установок в городе для создания действительно грандиозного зрелища оказалось недостаточно и специально выделенные группы военных стреляли из обычных сигнальных ракетниц. Стреляли и с самолетов, поднятых над Москвой. Летал в ночном небе и запускал осветительные ракеты экипаж летчика Д.Ваулина на самолете Пе-8 из состава 890-го дбап (12025).</w:t>
      </w:r>
    </w:p>
    <w:p w14:paraId="3BD31716" w14:textId="77777777" w:rsidR="00665165" w:rsidRPr="00925F26" w:rsidRDefault="00665165" w:rsidP="00925F26">
      <w:pPr>
        <w:autoSpaceDE w:val="0"/>
        <w:autoSpaceDN w:val="0"/>
        <w:adjustRightInd w:val="0"/>
        <w:jc w:val="both"/>
        <w:rPr>
          <w:color w:val="000000" w:themeColor="text1"/>
          <w:sz w:val="16"/>
          <w:szCs w:val="16"/>
        </w:rPr>
      </w:pPr>
    </w:p>
    <w:p w14:paraId="2C2968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В-25 приняли участие в праздничной иллюминации Москвы, расцвечивал небо ракетами (3457,97).</w:t>
      </w:r>
    </w:p>
    <w:p w14:paraId="4B8E8799" w14:textId="77777777" w:rsidR="00665165" w:rsidRPr="00925F26" w:rsidRDefault="00665165" w:rsidP="00925F26">
      <w:pPr>
        <w:autoSpaceDE w:val="0"/>
        <w:autoSpaceDN w:val="0"/>
        <w:adjustRightInd w:val="0"/>
        <w:jc w:val="both"/>
        <w:rPr>
          <w:color w:val="000000" w:themeColor="text1"/>
          <w:sz w:val="16"/>
          <w:szCs w:val="16"/>
        </w:rPr>
      </w:pPr>
    </w:p>
    <w:p w14:paraId="35F4DF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года Пе-8 из состава 890-го полка обеспечивал праздничный салют над Москвой. С окончанием войны никаких изменений в судьбе Пе-8 не произошло. Машины продолжали стоять на земле, но их не торопились списывать и утилизировать. Учебно-летная работа в 45-й дивизии проводилась на восстановленных американских В-24 и В-17 (7685).</w:t>
      </w:r>
    </w:p>
    <w:p w14:paraId="0E1F150E" w14:textId="77777777" w:rsidR="00665165" w:rsidRPr="00925F26" w:rsidRDefault="00665165" w:rsidP="00925F26">
      <w:pPr>
        <w:autoSpaceDE w:val="0"/>
        <w:autoSpaceDN w:val="0"/>
        <w:adjustRightInd w:val="0"/>
        <w:jc w:val="both"/>
        <w:rPr>
          <w:color w:val="000000" w:themeColor="text1"/>
          <w:sz w:val="16"/>
          <w:szCs w:val="16"/>
        </w:rPr>
      </w:pPr>
    </w:p>
    <w:p w14:paraId="5977673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4BEA9FA" w14:textId="77777777" w:rsidR="00665165" w:rsidRPr="00925F26" w:rsidRDefault="00665165" w:rsidP="00925F26">
      <w:pPr>
        <w:autoSpaceDE w:val="0"/>
        <w:autoSpaceDN w:val="0"/>
        <w:adjustRightInd w:val="0"/>
        <w:jc w:val="both"/>
        <w:rPr>
          <w:iCs/>
          <w:color w:val="000000" w:themeColor="text1"/>
          <w:sz w:val="16"/>
          <w:szCs w:val="16"/>
        </w:rPr>
      </w:pPr>
    </w:p>
    <w:p w14:paraId="03F9BDFF" w14:textId="77777777" w:rsidR="00B35A1B" w:rsidRPr="00925F26" w:rsidRDefault="00B35A1B" w:rsidP="00925F26">
      <w:pPr>
        <w:jc w:val="both"/>
        <w:rPr>
          <w:color w:val="000000" w:themeColor="text1"/>
          <w:sz w:val="16"/>
          <w:szCs w:val="16"/>
        </w:rPr>
      </w:pPr>
      <w:r w:rsidRPr="00925F26">
        <w:rPr>
          <w:color w:val="000000" w:themeColor="text1"/>
          <w:sz w:val="16"/>
          <w:szCs w:val="16"/>
        </w:rPr>
        <w:t>9 мая 1945 года началось строительство макета самолета Douglas Model 558 HighSpeed Test Airplane, или просто D-588.</w:t>
      </w:r>
    </w:p>
    <w:p w14:paraId="1EFA8E78" w14:textId="77777777" w:rsidR="00B35A1B" w:rsidRPr="00925F26" w:rsidRDefault="00B35A1B" w:rsidP="00925F26">
      <w:pPr>
        <w:jc w:val="both"/>
        <w:rPr>
          <w:color w:val="000000" w:themeColor="text1"/>
          <w:sz w:val="16"/>
          <w:szCs w:val="16"/>
        </w:rPr>
      </w:pPr>
      <w:r w:rsidRPr="00925F26">
        <w:rPr>
          <w:color w:val="000000" w:themeColor="text1"/>
          <w:sz w:val="16"/>
          <w:szCs w:val="16"/>
        </w:rPr>
        <w:t>Машина имела небольшие размеры — длина 10,8 м, размах крыла 7,62 м. Практически весь объем фюзеляжа был занят турбореактивным двигателем. Воздухозаборники находились по бокам фюзеляжа, освобождая носовую часть для размещения кабины пилота и оборудования. Прямое крыло с относительной толщиной 10% пристыковывалось снизу к фюзеляжу. При такой компоновке возникли большие проблемы с размещением стоек основного шасси. Фюзеляж был занят, а консоли крыла являлись единственным местом, где можно было установить топливные баки. Стойки шасси решили убирать в тонкий центроплан. При этом, чтобы избежать появления нежелательных наплывов, инженерам пришлось разработать очень тонкие колеса и пневматики. Самолет рассчитывался на максимальную скорость М=0,9 в горизонтальном полете, а в пикировании, под углом 25 градусов с высоты 10668 м, он мог достигнуть скорости М=1. (22835).</w:t>
      </w:r>
    </w:p>
    <w:p w14:paraId="0D38593B" w14:textId="77777777" w:rsidR="00B35A1B" w:rsidRPr="00925F26" w:rsidRDefault="00B35A1B" w:rsidP="00925F26">
      <w:pPr>
        <w:jc w:val="both"/>
        <w:rPr>
          <w:color w:val="000000" w:themeColor="text1"/>
          <w:sz w:val="16"/>
          <w:szCs w:val="16"/>
        </w:rPr>
      </w:pPr>
    </w:p>
    <w:p w14:paraId="318BBA3B" w14:textId="77777777" w:rsidR="00665165" w:rsidRPr="00925F26" w:rsidRDefault="00665165" w:rsidP="00925F26">
      <w:pPr>
        <w:autoSpaceDE w:val="0"/>
        <w:autoSpaceDN w:val="0"/>
        <w:adjustRightInd w:val="0"/>
        <w:jc w:val="both"/>
        <w:rPr>
          <w:iCs/>
          <w:color w:val="000000" w:themeColor="text1"/>
          <w:sz w:val="16"/>
          <w:szCs w:val="16"/>
        </w:rPr>
      </w:pPr>
      <w:r w:rsidRPr="00925F26">
        <w:rPr>
          <w:iCs/>
          <w:color w:val="000000" w:themeColor="text1"/>
          <w:sz w:val="16"/>
          <w:szCs w:val="16"/>
        </w:rPr>
        <w:t>К 9 мая 1945:</w:t>
      </w:r>
    </w:p>
    <w:p w14:paraId="58743E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Динамика модельного ряда самолётов, выпускавшихся в Германии в 1940—1945 гг. (Крылья люфтваффе. М., 1994. Ч. </w:t>
      </w:r>
      <w:r w:rsidRPr="00925F26">
        <w:rPr>
          <w:color w:val="000000" w:themeColor="text1"/>
          <w:sz w:val="16"/>
          <w:szCs w:val="16"/>
          <w:lang w:val="en-US"/>
        </w:rPr>
        <w:t>I</w:t>
      </w:r>
      <w:r w:rsidRPr="00925F26">
        <w:rPr>
          <w:color w:val="000000" w:themeColor="text1"/>
          <w:sz w:val="16"/>
          <w:szCs w:val="16"/>
        </w:rPr>
        <w:t>—V)</w:t>
      </w:r>
    </w:p>
    <w:tbl>
      <w:tblPr>
        <w:tblW w:w="0" w:type="auto"/>
        <w:tblInd w:w="8" w:type="dxa"/>
        <w:tblLayout w:type="fixed"/>
        <w:tblCellMar>
          <w:left w:w="0" w:type="dxa"/>
          <w:right w:w="0" w:type="dxa"/>
        </w:tblCellMar>
        <w:tblLook w:val="0000" w:firstRow="0" w:lastRow="0" w:firstColumn="0" w:lastColumn="0" w:noHBand="0" w:noVBand="0"/>
      </w:tblPr>
      <w:tblGrid>
        <w:gridCol w:w="2530"/>
        <w:gridCol w:w="571"/>
        <w:gridCol w:w="566"/>
        <w:gridCol w:w="571"/>
        <w:gridCol w:w="571"/>
        <w:gridCol w:w="566"/>
        <w:gridCol w:w="590"/>
      </w:tblGrid>
      <w:tr w:rsidR="000F5689" w:rsidRPr="00925F26" w14:paraId="4341C5FE" w14:textId="77777777">
        <w:trPr>
          <w:trHeight w:val="235"/>
        </w:trPr>
        <w:tc>
          <w:tcPr>
            <w:tcW w:w="2530" w:type="dxa"/>
            <w:tcBorders>
              <w:top w:val="single" w:sz="6" w:space="0" w:color="auto"/>
              <w:left w:val="single" w:sz="6" w:space="0" w:color="auto"/>
              <w:bottom w:val="single" w:sz="6" w:space="0" w:color="auto"/>
              <w:right w:val="nil"/>
            </w:tcBorders>
            <w:shd w:val="clear" w:color="auto" w:fill="FFFFFF"/>
          </w:tcPr>
          <w:p w14:paraId="7E822EE4" w14:textId="77777777" w:rsidR="00665165" w:rsidRPr="00925F26" w:rsidRDefault="00665165" w:rsidP="00925F26">
            <w:pPr>
              <w:autoSpaceDE w:val="0"/>
              <w:autoSpaceDN w:val="0"/>
              <w:adjustRightInd w:val="0"/>
              <w:jc w:val="both"/>
              <w:rPr>
                <w:color w:val="000000" w:themeColor="text1"/>
                <w:sz w:val="16"/>
                <w:szCs w:val="16"/>
              </w:rPr>
            </w:pPr>
          </w:p>
        </w:tc>
        <w:tc>
          <w:tcPr>
            <w:tcW w:w="571" w:type="dxa"/>
            <w:tcBorders>
              <w:top w:val="single" w:sz="6" w:space="0" w:color="auto"/>
              <w:left w:val="nil"/>
              <w:bottom w:val="single" w:sz="6" w:space="0" w:color="auto"/>
              <w:right w:val="single" w:sz="6" w:space="0" w:color="auto"/>
            </w:tcBorders>
            <w:shd w:val="clear" w:color="auto" w:fill="FFFFFF"/>
          </w:tcPr>
          <w:p w14:paraId="634DEC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6DE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5A0F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571" w:type="dxa"/>
            <w:tcBorders>
              <w:top w:val="single" w:sz="6" w:space="0" w:color="auto"/>
              <w:left w:val="single" w:sz="6" w:space="0" w:color="auto"/>
              <w:bottom w:val="single" w:sz="6" w:space="0" w:color="auto"/>
              <w:right w:val="nil"/>
            </w:tcBorders>
            <w:shd w:val="clear" w:color="auto" w:fill="FFFFFF"/>
          </w:tcPr>
          <w:p w14:paraId="55164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566" w:type="dxa"/>
            <w:tcBorders>
              <w:top w:val="single" w:sz="6" w:space="0" w:color="auto"/>
              <w:left w:val="nil"/>
              <w:bottom w:val="single" w:sz="6" w:space="0" w:color="auto"/>
              <w:right w:val="single" w:sz="6" w:space="0" w:color="auto"/>
            </w:tcBorders>
            <w:shd w:val="clear" w:color="auto" w:fill="FFFFFF"/>
          </w:tcPr>
          <w:p w14:paraId="52FDBF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BB614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w:t>
            </w:r>
          </w:p>
        </w:tc>
      </w:tr>
      <w:tr w:rsidR="000F5689" w:rsidRPr="00925F26" w14:paraId="63CE144A" w14:textId="77777777">
        <w:trPr>
          <w:trHeight w:val="216"/>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4D557DF6"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Производилось моделей</w:t>
            </w:r>
          </w:p>
        </w:tc>
      </w:tr>
      <w:tr w:rsidR="000F5689" w:rsidRPr="00925F26" w14:paraId="31016116"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3ED57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Всего </w:t>
            </w:r>
            <w:proofErr w:type="gramStart"/>
            <w:r w:rsidRPr="00925F26">
              <w:rPr>
                <w:color w:val="000000" w:themeColor="text1"/>
                <w:sz w:val="16"/>
                <w:szCs w:val="16"/>
              </w:rPr>
              <w:t>самолётов</w:t>
            </w:r>
            <w:proofErr w:type="gramEnd"/>
            <w:r w:rsidRPr="00925F26">
              <w:rPr>
                <w:color w:val="000000" w:themeColor="text1"/>
                <w:sz w:val="16"/>
                <w:szCs w:val="16"/>
              </w:rPr>
              <w:t xml:space="preserve"> В тон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34232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DA674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5D1E9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0E8D7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A3EF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F1AC4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r>
      <w:tr w:rsidR="000F5689" w:rsidRPr="00925F26" w14:paraId="5300C82D"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CF64A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F88A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AC51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8AF7F0E"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FA9E9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463E3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72DCC3C"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г</w:t>
            </w:r>
          </w:p>
        </w:tc>
      </w:tr>
      <w:tr w:rsidR="000F5689" w:rsidRPr="00925F26" w14:paraId="2D67E332"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00C5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3884645"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DFCA0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99D9C1"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43A1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8AE9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12FA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34DB8227"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583CF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BD4A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4D1B6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6240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3F9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2E40926" w14:textId="77777777" w:rsidR="00665165" w:rsidRPr="00925F26" w:rsidRDefault="00665165" w:rsidP="00925F26">
            <w:pPr>
              <w:autoSpaceDE w:val="0"/>
              <w:autoSpaceDN w:val="0"/>
              <w:adjustRightInd w:val="0"/>
              <w:jc w:val="both"/>
              <w:rPr>
                <w:color w:val="000000" w:themeColor="text1"/>
                <w:sz w:val="16"/>
                <w:szCs w:val="16"/>
              </w:rPr>
            </w:pP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13FBA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51DD63B8"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41CEC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496DA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A455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C567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25CA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4CFEA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771BF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4E012AB9"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5475F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Трансноргаых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E36D8D1"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2890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44548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03C5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8BDFA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B502D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5798D02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DD0DB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07B74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B246E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A115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1D39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225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7A8F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1A99A3D4" w14:textId="77777777">
        <w:trPr>
          <w:trHeight w:val="226"/>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1C76F4CA"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В том числе—типов, снятых с производства е течение года</w:t>
            </w:r>
          </w:p>
        </w:tc>
      </w:tr>
      <w:tr w:rsidR="000F5689" w:rsidRPr="00925F26" w14:paraId="4B3B85FB"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32EC9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Всего </w:t>
            </w:r>
            <w:proofErr w:type="gramStart"/>
            <w:r w:rsidRPr="00925F26">
              <w:rPr>
                <w:color w:val="000000" w:themeColor="text1"/>
                <w:sz w:val="16"/>
                <w:szCs w:val="16"/>
              </w:rPr>
              <w:t>самолётов</w:t>
            </w:r>
            <w:proofErr w:type="gramEnd"/>
            <w:r w:rsidRPr="00925F26">
              <w:rPr>
                <w:color w:val="000000" w:themeColor="text1"/>
                <w:sz w:val="16"/>
                <w:szCs w:val="16"/>
              </w:rPr>
              <w:t xml:space="preserve">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4F799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C64E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7C81F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720A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1BE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EA3C14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C803749"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458FD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D0CA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FADD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1634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6FAFE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F367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5CB8A29"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92A9AB3"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DD5D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A78D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9F1EC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0FE50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75B0D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B2E94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4FA15F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2BF4F7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27D8E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5C93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398C5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6D789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5B467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4EF4E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B9809D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4EB2204"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0590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5F82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132E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FB33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EE913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EA5E6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D7D8F3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F6E2E87"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B84DD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3CE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3221B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E8DC2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722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EC96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467066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90EFDB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0FBF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D8AA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F086F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BAE2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97D84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4957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BAC38E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E657AAA" w14:textId="77777777">
        <w:trPr>
          <w:trHeight w:val="413"/>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7F28E1A5"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Поставлено на производство новых типов, не выпускавшихся в 1940</w:t>
            </w:r>
            <w:r w:rsidRPr="00925F26">
              <w:rPr>
                <w:color w:val="000000" w:themeColor="text1"/>
                <w:sz w:val="16"/>
                <w:szCs w:val="16"/>
              </w:rPr>
              <w:t xml:space="preserve"> г </w:t>
            </w:r>
            <w:r w:rsidRPr="00925F26">
              <w:rPr>
                <w:iCs/>
                <w:color w:val="000000" w:themeColor="text1"/>
                <w:sz w:val="16"/>
                <w:szCs w:val="16"/>
              </w:rPr>
              <w:t>/не выпускавшихся в предыдущем году</w:t>
            </w:r>
          </w:p>
        </w:tc>
      </w:tr>
      <w:tr w:rsidR="000F5689" w:rsidRPr="00925F26" w14:paraId="6F38FAD9"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61FB2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Всего </w:t>
            </w:r>
            <w:proofErr w:type="gramStart"/>
            <w:r w:rsidRPr="00925F26">
              <w:rPr>
                <w:color w:val="000000" w:themeColor="text1"/>
                <w:sz w:val="16"/>
                <w:szCs w:val="16"/>
              </w:rPr>
              <w:t>самолётов</w:t>
            </w:r>
            <w:proofErr w:type="gramEnd"/>
            <w:r w:rsidRPr="00925F26">
              <w:rPr>
                <w:color w:val="000000" w:themeColor="text1"/>
                <w:sz w:val="16"/>
                <w:szCs w:val="16"/>
              </w:rPr>
              <w:t xml:space="preserve">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039A87"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A4C04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6061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98539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F728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2D34C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r>
      <w:tr w:rsidR="000F5689" w:rsidRPr="00925F26" w14:paraId="39B89C6F"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7FC4F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595922D"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61586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C8CD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7FA1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61BA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B4463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1EBFEFBE"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A5625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5DCAA1A"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D768C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F40C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87F2C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1C828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46B4BC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7B457CD4"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445D0F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1E4803"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1BD85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B403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AFE1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FF960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D059C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53534614" w14:textId="77777777">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3D2D5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A4F3C0E"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CBFA9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FD920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7C58B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076D4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9C0C5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11F877FF"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CB451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CA276C3"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FB2F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57A3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D173A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1A3E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CEE6D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r w:rsidR="000F5689" w:rsidRPr="00925F26" w14:paraId="5C1F7CD6" w14:textId="77777777">
        <w:trPr>
          <w:trHeight w:val="240"/>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4202F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CF091A" w14:textId="77777777" w:rsidR="00665165" w:rsidRPr="00925F26" w:rsidRDefault="00665165" w:rsidP="00925F26">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9D02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6F79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970E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0233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4884D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r>
    </w:tbl>
    <w:p w14:paraId="3F04F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Какие выводы следуют из вышеприведённой таблицы? Во-первых, очевидно, что, в отличие от руководства НКАП, в «ведомстве Геринга» к проблеме сокращения номенкла</w:t>
      </w:r>
      <w:r w:rsidRPr="00925F26">
        <w:rPr>
          <w:color w:val="000000" w:themeColor="text1"/>
          <w:sz w:val="16"/>
          <w:szCs w:val="16"/>
        </w:rPr>
        <w:softHyphen/>
        <w:t>туры производимой авиатехники относились значительно более спокойно. Поэтому в советской авиапромышленно</w:t>
      </w:r>
      <w:r w:rsidRPr="00925F26">
        <w:rPr>
          <w:color w:val="000000" w:themeColor="text1"/>
          <w:sz w:val="16"/>
          <w:szCs w:val="16"/>
        </w:rPr>
        <w:softHyphen/>
        <w:t>сти с 1941 г. шёл процесс сокращения количества моделей в производстве, а в Германии это количество, наоборот, — возрастало. В плане модернизационных волн следует отме</w:t>
      </w:r>
      <w:r w:rsidRPr="00925F26">
        <w:rPr>
          <w:color w:val="000000" w:themeColor="text1"/>
          <w:sz w:val="16"/>
          <w:szCs w:val="16"/>
        </w:rPr>
        <w:softHyphen/>
        <w:t>тить, что, очевидно, в Германии новое поколение авиамоде</w:t>
      </w:r>
      <w:r w:rsidRPr="00925F26">
        <w:rPr>
          <w:color w:val="000000" w:themeColor="text1"/>
          <w:sz w:val="16"/>
          <w:szCs w:val="16"/>
        </w:rPr>
        <w:softHyphen/>
        <w:t>лей было поставлено «на поток» ранее, чем в СССР — это произошло приблизительно в 1937—1939 гг., поэтому на 1940—1941 гг. число новых моделей, вновь поставленных в серийное производство, было весьма невелико. Если в СССР в этот период на конвейер приходило по 5—4 новых моделей, то в Германии — по 1—2. Аналогично и распреде</w:t>
      </w:r>
      <w:r w:rsidRPr="00925F26">
        <w:rPr>
          <w:color w:val="000000" w:themeColor="text1"/>
          <w:sz w:val="16"/>
          <w:szCs w:val="16"/>
        </w:rPr>
        <w:softHyphen/>
        <w:t>ление снятых с производства типов — в СССР в 1940 г. был снят 1 тип, а в 1941 уже 6. В Германии в 1940 г. простились с 4 типами авиатехники, а в 1941 г. только с 1. Таким обра</w:t>
      </w:r>
      <w:r w:rsidRPr="00925F26">
        <w:rPr>
          <w:color w:val="000000" w:themeColor="text1"/>
          <w:sz w:val="16"/>
          <w:szCs w:val="16"/>
        </w:rPr>
        <w:softHyphen/>
        <w:t>зом, процессы обновления модельного ряда, уже завершив</w:t>
      </w:r>
      <w:r w:rsidRPr="00925F26">
        <w:rPr>
          <w:color w:val="000000" w:themeColor="text1"/>
          <w:sz w:val="16"/>
          <w:szCs w:val="16"/>
        </w:rPr>
        <w:softHyphen/>
        <w:t>шиеся в Германии в 1938—1940 гг., в СССР в 1940 г. только начинались и протекали в условиях уже идущих военных действий, эвакуации, разрыва производственных цепочек и т.д. Однако дальнейший анализ показывает, что в развитии модельного ряда авиапромышленности Германии так же ясно выделяется вторая волна, пришедшаяся, как и в СССР, на 1944 г. Причём в Германии масштабы подвижек в модельном ряду были намного более масштабными — если в СССР 3 новые модели были поставлены в серийное производство и б снято, то в Германии на 7 новых моделей пришлось 16 (!) снятых с конвейера. Очевидно, что, понадеявшись на результаты мо</w:t>
      </w:r>
      <w:r w:rsidRPr="00925F26">
        <w:rPr>
          <w:color w:val="000000" w:themeColor="text1"/>
          <w:sz w:val="16"/>
          <w:szCs w:val="16"/>
        </w:rPr>
        <w:softHyphen/>
        <w:t>дернизации 1938—1939 гг., руководство «ведомства Геринга» упустило время, для обновления модельного ряда и в 1944 г. было вынуждено навёрстывать упущенное в авральном по</w:t>
      </w:r>
      <w:r w:rsidRPr="00925F26">
        <w:rPr>
          <w:color w:val="000000" w:themeColor="text1"/>
          <w:sz w:val="16"/>
          <w:szCs w:val="16"/>
        </w:rPr>
        <w:softHyphen/>
        <w:t>рядке. К счастью, руководство советской авиапромышленно</w:t>
      </w:r>
      <w:r w:rsidRPr="00925F26">
        <w:rPr>
          <w:color w:val="000000" w:themeColor="text1"/>
          <w:sz w:val="16"/>
          <w:szCs w:val="16"/>
        </w:rPr>
        <w:softHyphen/>
        <w:t>сти такой ошибки не сделало (12011).</w:t>
      </w:r>
    </w:p>
    <w:p w14:paraId="3BEB88B1" w14:textId="77777777" w:rsidR="00665165" w:rsidRPr="00925F26" w:rsidRDefault="00665165" w:rsidP="00925F26">
      <w:pPr>
        <w:autoSpaceDE w:val="0"/>
        <w:autoSpaceDN w:val="0"/>
        <w:adjustRightInd w:val="0"/>
        <w:jc w:val="both"/>
        <w:rPr>
          <w:color w:val="000000" w:themeColor="text1"/>
          <w:sz w:val="16"/>
          <w:szCs w:val="16"/>
        </w:rPr>
      </w:pPr>
    </w:p>
    <w:p w14:paraId="55E7B68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в Австрии американцами схвачен лидер германских нацистов Герман Геринг (4962).</w:t>
      </w:r>
    </w:p>
    <w:p w14:paraId="35525D2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CC10D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в Копенгагене сдался последний немецкий военный корабль “Принц Евгений” (4962).</w:t>
      </w:r>
    </w:p>
    <w:p w14:paraId="36AEA4A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EF7C5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мая 1945 в Реймсе адмирал Г. фон Фридбург подписал капитуляцию немецкого военного флота (4962).</w:t>
      </w:r>
    </w:p>
    <w:p w14:paraId="5283435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BA6F78"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9 1945 Hermann Goring captured by members of U.S. 7th Army (1050).</w:t>
      </w:r>
    </w:p>
    <w:p w14:paraId="5B52F76E" w14:textId="77777777" w:rsidR="00665165" w:rsidRPr="00925F26" w:rsidRDefault="00665165" w:rsidP="00925F26">
      <w:pPr>
        <w:autoSpaceDE w:val="0"/>
        <w:autoSpaceDN w:val="0"/>
        <w:adjustRightInd w:val="0"/>
        <w:jc w:val="both"/>
        <w:rPr>
          <w:color w:val="000000" w:themeColor="text1"/>
          <w:sz w:val="16"/>
          <w:szCs w:val="16"/>
          <w:lang w:val="en-US"/>
        </w:rPr>
      </w:pPr>
    </w:p>
    <w:p w14:paraId="18EB10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американцами был захвачен Г.Геринг (1050).</w:t>
      </w:r>
    </w:p>
    <w:p w14:paraId="0CE7BA89" w14:textId="77777777" w:rsidR="00665165" w:rsidRPr="00925F26" w:rsidRDefault="00665165" w:rsidP="00925F26">
      <w:pPr>
        <w:autoSpaceDE w:val="0"/>
        <w:autoSpaceDN w:val="0"/>
        <w:adjustRightInd w:val="0"/>
        <w:jc w:val="both"/>
        <w:rPr>
          <w:color w:val="000000" w:themeColor="text1"/>
          <w:sz w:val="16"/>
          <w:szCs w:val="16"/>
        </w:rPr>
      </w:pPr>
    </w:p>
    <w:p w14:paraId="30EBD929"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9 1945 The U-249, the first German submarine to surrender after the cessation of hostilities in Europe, raised the black surrender flag to a PB4Y of Fleet Air Wing 7 near the Scilly Islands off Lands End, England (1090).</w:t>
      </w:r>
    </w:p>
    <w:p w14:paraId="62F6C6FE" w14:textId="77777777" w:rsidR="00665165" w:rsidRPr="00925F26" w:rsidRDefault="00665165" w:rsidP="00925F26">
      <w:pPr>
        <w:autoSpaceDE w:val="0"/>
        <w:autoSpaceDN w:val="0"/>
        <w:adjustRightInd w:val="0"/>
        <w:jc w:val="both"/>
        <w:rPr>
          <w:color w:val="000000" w:themeColor="text1"/>
          <w:sz w:val="16"/>
          <w:szCs w:val="16"/>
          <w:lang w:val="en-US"/>
        </w:rPr>
      </w:pPr>
    </w:p>
    <w:p w14:paraId="303CFAF5" w14:textId="77777777" w:rsidR="00A40B71" w:rsidRPr="00925F26" w:rsidRDefault="00A40B71" w:rsidP="00925F26">
      <w:pPr>
        <w:jc w:val="both"/>
        <w:rPr>
          <w:color w:val="000000" w:themeColor="text1"/>
          <w:sz w:val="16"/>
          <w:szCs w:val="16"/>
        </w:rPr>
      </w:pPr>
      <w:r w:rsidRPr="00925F26">
        <w:rPr>
          <w:color w:val="000000" w:themeColor="text1"/>
          <w:sz w:val="16"/>
          <w:szCs w:val="16"/>
        </w:rPr>
        <w:t>9 мая в 1945 году штаб союзного командования в Париже сообщил, что частями 7-й американской армии сегодня захвачены в плен Герман Геринг и бывший командующий германскими вооруженными силами на западе Альберт Кессельринг (14886).</w:t>
      </w:r>
    </w:p>
    <w:p w14:paraId="2E744612" w14:textId="77777777" w:rsidR="00A40B71" w:rsidRPr="00925F26" w:rsidRDefault="00A40B71" w:rsidP="00925F26">
      <w:pPr>
        <w:jc w:val="both"/>
        <w:rPr>
          <w:color w:val="000000" w:themeColor="text1"/>
          <w:sz w:val="16"/>
          <w:szCs w:val="16"/>
        </w:rPr>
      </w:pPr>
    </w:p>
    <w:p w14:paraId="3DB0FB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У-249 стала первой немецкой подлодкой, которая капитулировала перед самолетом PB4Y (1090).</w:t>
      </w:r>
    </w:p>
    <w:p w14:paraId="49B8CA74" w14:textId="77777777" w:rsidR="00665165" w:rsidRPr="00925F26" w:rsidRDefault="00665165" w:rsidP="00925F26">
      <w:pPr>
        <w:autoSpaceDE w:val="0"/>
        <w:autoSpaceDN w:val="0"/>
        <w:adjustRightInd w:val="0"/>
        <w:jc w:val="both"/>
        <w:rPr>
          <w:color w:val="000000" w:themeColor="text1"/>
          <w:sz w:val="16"/>
          <w:szCs w:val="16"/>
        </w:rPr>
      </w:pPr>
    </w:p>
    <w:p w14:paraId="513B9BF5"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9th, 1945: German forces in Kurland, the Greek islands and the still undefeated garrisons of St. Nazaire, La Rochelle, Lorient, La Pallice and the British Channel Islands surrender (3819).</w:t>
      </w:r>
    </w:p>
    <w:p w14:paraId="76DADB58" w14:textId="77777777" w:rsidR="00665165" w:rsidRPr="00925F26" w:rsidRDefault="00665165" w:rsidP="00925F26">
      <w:pPr>
        <w:autoSpaceDE w:val="0"/>
        <w:autoSpaceDN w:val="0"/>
        <w:adjustRightInd w:val="0"/>
        <w:jc w:val="both"/>
        <w:rPr>
          <w:color w:val="000000" w:themeColor="text1"/>
          <w:sz w:val="16"/>
          <w:szCs w:val="16"/>
          <w:lang w:val="en-US"/>
        </w:rPr>
      </w:pPr>
    </w:p>
    <w:p w14:paraId="451DBA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сдались немецкие части в Курляндии и на греческих островах, а также продолжавшие борьбу крепости Ст. Назар, ла Рошель, Лориент, Ла Паллисе и на британских островах в ла Манше (3819).</w:t>
      </w:r>
    </w:p>
    <w:p w14:paraId="2097F42E" w14:textId="77777777" w:rsidR="00665165" w:rsidRPr="00925F26" w:rsidRDefault="00665165" w:rsidP="00925F26">
      <w:pPr>
        <w:autoSpaceDE w:val="0"/>
        <w:autoSpaceDN w:val="0"/>
        <w:adjustRightInd w:val="0"/>
        <w:jc w:val="both"/>
        <w:rPr>
          <w:color w:val="000000" w:themeColor="text1"/>
          <w:sz w:val="16"/>
          <w:szCs w:val="16"/>
        </w:rPr>
      </w:pPr>
    </w:p>
    <w:p w14:paraId="007F4E66" w14:textId="77777777" w:rsidR="0025587C" w:rsidRPr="00925F26" w:rsidRDefault="0025587C" w:rsidP="00925F26">
      <w:pPr>
        <w:jc w:val="both"/>
        <w:rPr>
          <w:color w:val="000000" w:themeColor="text1"/>
          <w:sz w:val="16"/>
          <w:szCs w:val="16"/>
        </w:rPr>
      </w:pPr>
      <w:r w:rsidRPr="00925F26">
        <w:rPr>
          <w:color w:val="000000" w:themeColor="text1"/>
          <w:sz w:val="16"/>
          <w:szCs w:val="16"/>
        </w:rPr>
        <w:t>9 мая в 1945 году восстановление Королевства Норвегия (14886).</w:t>
      </w:r>
    </w:p>
    <w:p w14:paraId="2EEF4FAF" w14:textId="77777777" w:rsidR="0025587C" w:rsidRPr="00925F26" w:rsidRDefault="0025587C" w:rsidP="00925F26">
      <w:pPr>
        <w:jc w:val="both"/>
        <w:rPr>
          <w:color w:val="000000" w:themeColor="text1"/>
          <w:sz w:val="16"/>
          <w:szCs w:val="16"/>
        </w:rPr>
      </w:pPr>
    </w:p>
    <w:p w14:paraId="2DD0C1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мая 1945 года английские саперы заложили под недостроенный комплекс большого орудия на побережье Франции по 25 т взрывчатки и взорвали его. Подземные сооружения большей частью остались нетронутыми – лишь подходы к тоннелям завалило землей (11688).</w:t>
      </w:r>
    </w:p>
    <w:p w14:paraId="3CAF1550" w14:textId="77777777" w:rsidR="00665165" w:rsidRPr="00925F26" w:rsidRDefault="00665165" w:rsidP="00925F26">
      <w:pPr>
        <w:autoSpaceDE w:val="0"/>
        <w:autoSpaceDN w:val="0"/>
        <w:adjustRightInd w:val="0"/>
        <w:jc w:val="both"/>
        <w:rPr>
          <w:color w:val="000000" w:themeColor="text1"/>
          <w:sz w:val="16"/>
          <w:szCs w:val="16"/>
        </w:rPr>
      </w:pPr>
    </w:p>
    <w:p w14:paraId="23D16CB4" w14:textId="77777777" w:rsidR="00A40B71" w:rsidRPr="00925F26" w:rsidRDefault="00A40B71" w:rsidP="00925F26">
      <w:pPr>
        <w:jc w:val="both"/>
        <w:rPr>
          <w:color w:val="000000" w:themeColor="text1"/>
          <w:sz w:val="16"/>
          <w:szCs w:val="16"/>
        </w:rPr>
      </w:pPr>
      <w:r w:rsidRPr="00925F26">
        <w:rPr>
          <w:color w:val="000000" w:themeColor="text1"/>
          <w:sz w:val="16"/>
          <w:szCs w:val="16"/>
        </w:rPr>
        <w:t>9 мая в 1945 году югославские войска освободили Любляну (14886).</w:t>
      </w:r>
    </w:p>
    <w:p w14:paraId="3443EDE3" w14:textId="77777777" w:rsidR="00A40B71" w:rsidRPr="00925F26" w:rsidRDefault="00A40B71" w:rsidP="00925F26">
      <w:pPr>
        <w:jc w:val="both"/>
        <w:rPr>
          <w:color w:val="000000" w:themeColor="text1"/>
          <w:sz w:val="16"/>
          <w:szCs w:val="16"/>
        </w:rPr>
      </w:pPr>
    </w:p>
    <w:p w14:paraId="2D09F5A8" w14:textId="77777777" w:rsidR="0025587C" w:rsidRPr="00925F26" w:rsidRDefault="0025587C" w:rsidP="00925F26">
      <w:pPr>
        <w:jc w:val="both"/>
        <w:rPr>
          <w:color w:val="000000" w:themeColor="text1"/>
          <w:sz w:val="16"/>
          <w:szCs w:val="16"/>
        </w:rPr>
      </w:pPr>
      <w:r w:rsidRPr="00925F26">
        <w:rPr>
          <w:color w:val="000000" w:themeColor="text1"/>
          <w:sz w:val="16"/>
          <w:szCs w:val="16"/>
        </w:rPr>
        <w:lastRenderedPageBreak/>
        <w:t>9 мая в 1945 году попадание камикадзэ вблизи носового элеватора авианосца Иллюстрас вызвало пожар и повреждения. Второй камикадзэ врезался в палубную стоянку на корме, уничтожив 4 Корсара. Однако бронированная палуба сохранила корабль от серьезных повреждений. Полеты возобновились почти сразу, но позднее корабль ушел в Сидней для более основательного ремонта (14886).</w:t>
      </w:r>
    </w:p>
    <w:p w14:paraId="7221FFDA" w14:textId="77777777" w:rsidR="0025587C" w:rsidRPr="00925F26" w:rsidRDefault="0025587C" w:rsidP="00925F26">
      <w:pPr>
        <w:jc w:val="both"/>
        <w:rPr>
          <w:color w:val="000000" w:themeColor="text1"/>
          <w:sz w:val="16"/>
          <w:szCs w:val="16"/>
        </w:rPr>
      </w:pPr>
    </w:p>
    <w:p w14:paraId="07977BAD" w14:textId="77777777" w:rsidR="00B35A1B" w:rsidRPr="00925F26" w:rsidRDefault="00B35A1B" w:rsidP="00925F26">
      <w:pPr>
        <w:jc w:val="both"/>
        <w:rPr>
          <w:color w:val="000000" w:themeColor="text1"/>
          <w:sz w:val="16"/>
          <w:szCs w:val="16"/>
        </w:rPr>
      </w:pPr>
      <w:r w:rsidRPr="00925F26">
        <w:rPr>
          <w:color w:val="000000" w:themeColor="text1"/>
          <w:sz w:val="16"/>
          <w:szCs w:val="16"/>
        </w:rPr>
        <w:t>9 мая 1945 камикадзе поразили авианосцы HMS Formidable и HMS Victorious (29371).</w:t>
      </w:r>
    </w:p>
    <w:p w14:paraId="59704AFA" w14:textId="77777777" w:rsidR="00B35A1B" w:rsidRPr="00925F26" w:rsidRDefault="00B35A1B" w:rsidP="00925F26">
      <w:pPr>
        <w:jc w:val="both"/>
        <w:rPr>
          <w:color w:val="000000" w:themeColor="text1"/>
          <w:sz w:val="16"/>
          <w:szCs w:val="16"/>
        </w:rPr>
      </w:pPr>
    </w:p>
    <w:p w14:paraId="00D69A5B" w14:textId="77777777" w:rsidR="00B35A1B" w:rsidRPr="00925F26" w:rsidRDefault="00B35A1B" w:rsidP="00925F26">
      <w:pPr>
        <w:jc w:val="both"/>
        <w:rPr>
          <w:color w:val="000000" w:themeColor="text1"/>
          <w:sz w:val="16"/>
          <w:szCs w:val="16"/>
        </w:rPr>
      </w:pPr>
      <w:r w:rsidRPr="00925F26">
        <w:rPr>
          <w:color w:val="000000" w:themeColor="text1"/>
          <w:sz w:val="16"/>
          <w:szCs w:val="16"/>
        </w:rPr>
        <w:t>9 мая 1945 авианосец Британского Тихоокеанского флота наносит удар по Сакисима Гунто (20371).</w:t>
      </w:r>
    </w:p>
    <w:p w14:paraId="43EC3BDF" w14:textId="77777777" w:rsidR="00B35A1B" w:rsidRPr="00925F26" w:rsidRDefault="00B35A1B" w:rsidP="00925F26">
      <w:pPr>
        <w:jc w:val="both"/>
        <w:rPr>
          <w:color w:val="000000" w:themeColor="text1"/>
          <w:sz w:val="16"/>
          <w:szCs w:val="16"/>
        </w:rPr>
      </w:pPr>
    </w:p>
    <w:p w14:paraId="1D613586" w14:textId="77777777" w:rsidR="0025587C" w:rsidRPr="00925F26" w:rsidRDefault="0025587C" w:rsidP="00925F26">
      <w:pPr>
        <w:jc w:val="both"/>
        <w:rPr>
          <w:color w:val="000000" w:themeColor="text1"/>
          <w:sz w:val="16"/>
          <w:szCs w:val="16"/>
        </w:rPr>
      </w:pPr>
      <w:r w:rsidRPr="00925F26">
        <w:rPr>
          <w:color w:val="000000" w:themeColor="text1"/>
          <w:sz w:val="16"/>
          <w:szCs w:val="16"/>
        </w:rPr>
        <w:t>9 мая в 1945 году британские войска заняли Тандуэ (14886).</w:t>
      </w:r>
    </w:p>
    <w:p w14:paraId="354F1BBD" w14:textId="77777777" w:rsidR="0025587C" w:rsidRPr="00925F26" w:rsidRDefault="0025587C" w:rsidP="00925F26">
      <w:pPr>
        <w:jc w:val="both"/>
        <w:rPr>
          <w:color w:val="000000" w:themeColor="text1"/>
          <w:sz w:val="16"/>
          <w:szCs w:val="16"/>
        </w:rPr>
      </w:pPr>
    </w:p>
    <w:p w14:paraId="36E7F522" w14:textId="77777777" w:rsidR="00460695" w:rsidRPr="00925F26" w:rsidRDefault="00460695"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BB3DA29" w14:textId="77777777" w:rsidR="00460695" w:rsidRPr="00925F26" w:rsidRDefault="00460695" w:rsidP="00925F26">
      <w:pPr>
        <w:autoSpaceDE w:val="0"/>
        <w:autoSpaceDN w:val="0"/>
        <w:adjustRightInd w:val="0"/>
        <w:jc w:val="both"/>
        <w:rPr>
          <w:iCs/>
          <w:color w:val="000000" w:themeColor="text1"/>
          <w:sz w:val="16"/>
          <w:szCs w:val="16"/>
        </w:rPr>
      </w:pPr>
    </w:p>
    <w:p w14:paraId="3DC55BAB" w14:textId="77777777" w:rsidR="00460695" w:rsidRPr="00925F26" w:rsidRDefault="00460695" w:rsidP="00925F26">
      <w:pPr>
        <w:jc w:val="both"/>
        <w:rPr>
          <w:color w:val="000000" w:themeColor="text1"/>
          <w:sz w:val="16"/>
          <w:szCs w:val="16"/>
        </w:rPr>
      </w:pPr>
      <w:r w:rsidRPr="00925F26">
        <w:rPr>
          <w:color w:val="000000" w:themeColor="text1"/>
          <w:sz w:val="16"/>
          <w:szCs w:val="16"/>
          <w:shd w:val="clear" w:color="auto" w:fill="FFFFFF"/>
        </w:rPr>
        <w:t>В конце войны Ил-2 с крылом со стрелкой 3 ШАП Югославских ВВС (тактический номер 4077) был самолет завода №18, у которого оригинальную деревянную часть фюзеляжа заменили металлической, произведенной в Югославии. Остальные самолеты штурмового полка переделывать не стали (19206).</w:t>
      </w:r>
    </w:p>
    <w:p w14:paraId="575A83DD" w14:textId="77777777" w:rsidR="00460695" w:rsidRPr="00925F26" w:rsidRDefault="00460695" w:rsidP="00925F26">
      <w:pPr>
        <w:jc w:val="both"/>
        <w:rPr>
          <w:color w:val="000000" w:themeColor="text1"/>
          <w:sz w:val="16"/>
          <w:szCs w:val="16"/>
        </w:rPr>
      </w:pPr>
    </w:p>
    <w:p w14:paraId="46819FD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ходе войны, а тем более, накануне ее, руководство ВВС так до кон</w:t>
      </w:r>
      <w:r w:rsidRPr="00925F26">
        <w:rPr>
          <w:color w:val="000000" w:themeColor="text1"/>
          <w:sz w:val="16"/>
          <w:szCs w:val="16"/>
        </w:rPr>
        <w:softHyphen/>
        <w:t>ца и не поняло - что же на самом деле представляет собой авиационное ракетное вооружение и периодически выдвигало взаимоисключающие требования к его перспективным образцам. Более того, в этом вопросе они полностью положились на неверную оценку этого класса вооруже</w:t>
      </w:r>
      <w:r w:rsidRPr="00925F26">
        <w:rPr>
          <w:color w:val="000000" w:themeColor="text1"/>
          <w:sz w:val="16"/>
          <w:szCs w:val="16"/>
        </w:rPr>
        <w:softHyphen/>
        <w:t>ний со стороны главных авиаконструкторов, повторявших мнения, бы</w:t>
      </w:r>
      <w:r w:rsidRPr="00925F26">
        <w:rPr>
          <w:color w:val="000000" w:themeColor="text1"/>
          <w:sz w:val="16"/>
          <w:szCs w:val="16"/>
        </w:rPr>
        <w:softHyphen/>
        <w:t>товавшие в Артуправлении РККА накануне войны.</w:t>
      </w:r>
    </w:p>
    <w:p w14:paraId="75DD937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примеру, авиаторов устроили бы РС, по точности стрельбы сопос</w:t>
      </w:r>
      <w:r w:rsidRPr="00925F26">
        <w:rPr>
          <w:color w:val="000000" w:themeColor="text1"/>
          <w:sz w:val="16"/>
          <w:szCs w:val="16"/>
        </w:rPr>
        <w:softHyphen/>
        <w:t>тавимые с аналогичными показателями артсистем, но при этом они стремились сохранить или увеличить огневую мощь 82-мм боеприпасов. В то же время, при мизерном боезапасе, РС на борту должны были обес</w:t>
      </w:r>
      <w:r w:rsidRPr="00925F26">
        <w:rPr>
          <w:color w:val="000000" w:themeColor="text1"/>
          <w:sz w:val="16"/>
          <w:szCs w:val="16"/>
        </w:rPr>
        <w:softHyphen/>
        <w:t>печить высокую эффективность поражения целей минимальными по се</w:t>
      </w:r>
      <w:r w:rsidRPr="00925F26">
        <w:rPr>
          <w:color w:val="000000" w:themeColor="text1"/>
          <w:sz w:val="16"/>
          <w:szCs w:val="16"/>
        </w:rPr>
        <w:softHyphen/>
        <w:t>бестоимости неуправляемыми реактивными снарядами.</w:t>
      </w:r>
    </w:p>
    <w:p w14:paraId="506ECA9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Только теперь, ознакомившись с большим количеством документов и свидетельств очевидцев и участников событий читатель не без улыбки воспримет заверения В.И.Коваленко, приведенные в его книге «Крылья Севастополя» относительно авиационного ракетного вооружения: «К тому времени РС получили широкое применение не только на земле, где о «катюшах» уже ходили легенды, они стали грозным оружием и авиаторов. «Воздушные танки» - штурмовики Ил-2 - без РС не выхо</w:t>
      </w:r>
      <w:r w:rsidRPr="00925F26">
        <w:rPr>
          <w:color w:val="000000" w:themeColor="text1"/>
          <w:sz w:val="16"/>
          <w:szCs w:val="16"/>
        </w:rPr>
        <w:softHyphen/>
        <w:t>дили на задание, и немцы боялись «хвостатой смерти» пуще огня. Вслед за Ил-2 РС взяли на вооружение и другие самолеты - бомбардировщики, истребители. Их начали успешно применять не только при штурмовках наземных целей, но и в воздушных боях, особенно истребители при ата</w:t>
      </w:r>
      <w:r w:rsidRPr="00925F26">
        <w:rPr>
          <w:color w:val="000000" w:themeColor="text1"/>
          <w:sz w:val="16"/>
          <w:szCs w:val="16"/>
        </w:rPr>
        <w:softHyphen/>
        <w:t>ках боевых порядков вражеских бомбардировщиков. Достаточно было нашему истребителю послать один РС по плотному строю Ю-88 или Ю-87, как они после взрыва снаряда шарахались в разные стороны, как ошпаренные».</w:t>
      </w:r>
    </w:p>
    <w:p w14:paraId="455FE47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Комментировать эту «элегию авиационному ракетному оружию» нет смысла. Однако, последовательность этапов вооружения боевых машин различных родов авиации здесь отражает официальную версию развития событий, устоявшуюся к тому времени, когда уважаемый ветеран рабо</w:t>
      </w:r>
      <w:r w:rsidRPr="00925F26">
        <w:rPr>
          <w:color w:val="000000" w:themeColor="text1"/>
          <w:sz w:val="16"/>
          <w:szCs w:val="16"/>
        </w:rPr>
        <w:softHyphen/>
        <w:t>тал над своими мемуарами. Но, все же, она разительно отличается от ис</w:t>
      </w:r>
      <w:r w:rsidRPr="00925F26">
        <w:rPr>
          <w:color w:val="000000" w:themeColor="text1"/>
          <w:sz w:val="16"/>
          <w:szCs w:val="16"/>
        </w:rPr>
        <w:softHyphen/>
        <w:t>торической действительности, ведь сначала реактивными системами вооружили истребители, и лишь затем - РСЗО «катюша», а также штур</w:t>
      </w:r>
      <w:r w:rsidRPr="00925F26">
        <w:rPr>
          <w:color w:val="000000" w:themeColor="text1"/>
          <w:sz w:val="16"/>
          <w:szCs w:val="16"/>
        </w:rPr>
        <w:softHyphen/>
        <w:t>мовики и бомбардировщики...</w:t>
      </w:r>
    </w:p>
    <w:p w14:paraId="0ACBA31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А.И.Покрышкин в книге «Познать себя в бою» так говорит о стаби</w:t>
      </w:r>
      <w:r w:rsidRPr="00925F26">
        <w:rPr>
          <w:color w:val="000000" w:themeColor="text1"/>
          <w:sz w:val="16"/>
          <w:szCs w:val="16"/>
        </w:rPr>
        <w:softHyphen/>
        <w:t>лизаторах к РС: «Зенитная оборона в том районе, куда вылетал Карпо</w:t>
      </w:r>
      <w:r w:rsidRPr="00925F26">
        <w:rPr>
          <w:color w:val="000000" w:themeColor="text1"/>
          <w:sz w:val="16"/>
          <w:szCs w:val="16"/>
        </w:rPr>
        <w:softHyphen/>
        <w:t>вич, была мошной, и недооценивать ее было нельзя. Я сам испытал ее силу. Выполняя полет на разведку, я увидел ниже и впереди себя «хеншеля», идущего, видимо, от линии фронта на аэродром. Спикировав, зашел емуъ хвост и пустил РС. Но тот прошел мимо цели. Пустил второй - сно</w:t>
      </w:r>
      <w:r w:rsidRPr="00925F26">
        <w:rPr>
          <w:color w:val="000000" w:themeColor="text1"/>
          <w:sz w:val="16"/>
          <w:szCs w:val="16"/>
        </w:rPr>
        <w:softHyphen/>
        <w:t>ва неудача. Обозленный, стреляю в упор по кабине «хеншеля».</w:t>
      </w:r>
    </w:p>
    <w:p w14:paraId="413D3DC4"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Зарулив на стоянку, еще не сняв парашюта, обращаюсь к технику са</w:t>
      </w:r>
      <w:r w:rsidRPr="00925F26">
        <w:rPr>
          <w:color w:val="000000" w:themeColor="text1"/>
          <w:sz w:val="16"/>
          <w:szCs w:val="16"/>
        </w:rPr>
        <w:softHyphen/>
        <w:t>молета: «Чувашкин, почему РС уходят в сторону от линии прицелива</w:t>
      </w:r>
      <w:r w:rsidRPr="00925F26">
        <w:rPr>
          <w:color w:val="000000" w:themeColor="text1"/>
          <w:sz w:val="16"/>
          <w:szCs w:val="16"/>
        </w:rPr>
        <w:softHyphen/>
        <w:t>ния?». «Товарищ капитан, с ними в спешке порой обращаются как с дро</w:t>
      </w:r>
      <w:r w:rsidRPr="00925F26">
        <w:rPr>
          <w:color w:val="000000" w:themeColor="text1"/>
          <w:sz w:val="16"/>
          <w:szCs w:val="16"/>
        </w:rPr>
        <w:softHyphen/>
        <w:t>вами. Развозят навалом. Вот и сейчас, посмотрите: привезли из склада и побросали на землю!».</w:t>
      </w:r>
    </w:p>
    <w:p w14:paraId="657764D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 подошел, осмотрел снаряды. Невольно сжал до боли пальцы в ку</w:t>
      </w:r>
      <w:r w:rsidRPr="00925F26">
        <w:rPr>
          <w:color w:val="000000" w:themeColor="text1"/>
          <w:sz w:val="16"/>
          <w:szCs w:val="16"/>
        </w:rPr>
        <w:softHyphen/>
        <w:t>лаки. На многих РС стабилизаторы были погнуты. Так вот почему они проходят мимо цели! Приказал Чувашкину не подвешивать ни одного РС даже с небольшой деформацией стабилизаторов, а сам отправился искать виновных. Увидел инженера полка по вооружению и командира батальона аэродромного обслуживания.</w:t>
      </w:r>
    </w:p>
    <w:p w14:paraId="30636CE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вине оружейников сегодня чуть не упустил «хеншеля», - говорил я резко, с обидой. - Вижу, что некоторые считают, РС нужны, чтобы пу</w:t>
      </w:r>
      <w:r w:rsidRPr="00925F26">
        <w:rPr>
          <w:color w:val="000000" w:themeColor="text1"/>
          <w:sz w:val="16"/>
          <w:szCs w:val="16"/>
        </w:rPr>
        <w:softHyphen/>
        <w:t>гать противника. Разве снарядом с погнутыми стабилизаторами можно попасть в самолет?».</w:t>
      </w:r>
    </w:p>
    <w:p w14:paraId="7154F47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Офицеры сразу же поняли, в чем дело. «Не горячись, Александр, по</w:t>
      </w:r>
      <w:r w:rsidRPr="00925F26">
        <w:rPr>
          <w:color w:val="000000" w:themeColor="text1"/>
          <w:sz w:val="16"/>
          <w:szCs w:val="16"/>
        </w:rPr>
        <w:softHyphen/>
        <w:t>правим. Действительно, не следили за РС», - с горечью отозвался инже</w:t>
      </w:r>
      <w:r w:rsidRPr="00925F26">
        <w:rPr>
          <w:color w:val="000000" w:themeColor="text1"/>
          <w:sz w:val="16"/>
          <w:szCs w:val="16"/>
        </w:rPr>
        <w:softHyphen/>
        <w:t>нер. После этого оружейники и работники батальона аэродромного об</w:t>
      </w:r>
      <w:r w:rsidRPr="00925F26">
        <w:rPr>
          <w:color w:val="000000" w:themeColor="text1"/>
          <w:sz w:val="16"/>
          <w:szCs w:val="16"/>
        </w:rPr>
        <w:softHyphen/>
        <w:t>служивания стали серьезнее относиться к РС. И это сказалось, эффек</w:t>
      </w:r>
      <w:r w:rsidRPr="00925F26">
        <w:rPr>
          <w:color w:val="000000" w:themeColor="text1"/>
          <w:sz w:val="16"/>
          <w:szCs w:val="16"/>
        </w:rPr>
        <w:softHyphen/>
        <w:t>тивность стрельбы повысилась. Мне удалось уничтожить несколько ав</w:t>
      </w:r>
      <w:r w:rsidRPr="00925F26">
        <w:rPr>
          <w:color w:val="000000" w:themeColor="text1"/>
          <w:sz w:val="16"/>
          <w:szCs w:val="16"/>
        </w:rPr>
        <w:softHyphen/>
        <w:t>томашин и подбить паровоз на перегоне».</w:t>
      </w:r>
    </w:p>
    <w:p w14:paraId="6333555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самом деле, если РС разгружать столь грубо, но не вынимая из укупорки, снарядам ничего бы не было. Но доски ящиков изымали ужена складе для хозяйственных нужд, а к боеприпасам тыловики демонст</w:t>
      </w:r>
      <w:r w:rsidRPr="00925F26">
        <w:rPr>
          <w:color w:val="000000" w:themeColor="text1"/>
          <w:sz w:val="16"/>
          <w:szCs w:val="16"/>
        </w:rPr>
        <w:softHyphen/>
        <w:t>рировали просто недопустимое отношение. При этом люди даже не заду</w:t>
      </w:r>
      <w:r w:rsidRPr="00925F26">
        <w:rPr>
          <w:color w:val="000000" w:themeColor="text1"/>
          <w:sz w:val="16"/>
          <w:szCs w:val="16"/>
        </w:rPr>
        <w:softHyphen/>
        <w:t>мывались над тем, что пороховой воспламенитель снаряда от сильного соударения снарядов мог и сработать...</w:t>
      </w:r>
    </w:p>
    <w:p w14:paraId="435CE76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Таблица 5.9 Динамика производства реактивных снарядов в 1940-1945 гг., тыс. шт.</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440"/>
        <w:gridCol w:w="2813"/>
      </w:tblGrid>
      <w:tr w:rsidR="000F5689" w:rsidRPr="00925F26" w14:paraId="096D389D" w14:textId="77777777" w:rsidTr="00F0626F">
        <w:trPr>
          <w:trHeight w:val="509"/>
        </w:trPr>
        <w:tc>
          <w:tcPr>
            <w:tcW w:w="1690" w:type="dxa"/>
            <w:tcBorders>
              <w:top w:val="single" w:sz="6" w:space="0" w:color="auto"/>
              <w:left w:val="single" w:sz="6" w:space="0" w:color="auto"/>
              <w:bottom w:val="single" w:sz="6" w:space="0" w:color="auto"/>
              <w:right w:val="single" w:sz="6" w:space="0" w:color="auto"/>
            </w:tcBorders>
          </w:tcPr>
          <w:p w14:paraId="5E26589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 выпуска</w:t>
            </w:r>
          </w:p>
          <w:p w14:paraId="0021BAE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90CEBA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 (в том числе РС-82 и РОФС-82)</w:t>
            </w:r>
          </w:p>
          <w:p w14:paraId="6FB9C33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44839AE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М-13 (в том числе РОФС-132, РС-Ш, РХС-132, МХ-13иМ-13УК)</w:t>
            </w:r>
          </w:p>
          <w:p w14:paraId="07DB76E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418D513C" w14:textId="77777777" w:rsidTr="00F0626F">
        <w:trPr>
          <w:trHeight w:val="211"/>
        </w:trPr>
        <w:tc>
          <w:tcPr>
            <w:tcW w:w="1690" w:type="dxa"/>
            <w:tcBorders>
              <w:top w:val="single" w:sz="6" w:space="0" w:color="auto"/>
              <w:left w:val="single" w:sz="6" w:space="0" w:color="auto"/>
              <w:bottom w:val="single" w:sz="6" w:space="0" w:color="auto"/>
              <w:right w:val="single" w:sz="6" w:space="0" w:color="auto"/>
            </w:tcBorders>
          </w:tcPr>
          <w:p w14:paraId="3E21977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1940</w:t>
            </w:r>
          </w:p>
          <w:p w14:paraId="29BC34B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43F998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125,1</w:t>
            </w:r>
          </w:p>
          <w:p w14:paraId="06F11D8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B07270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31,68 из них 1 РОФС-132____</w:t>
            </w:r>
          </w:p>
          <w:p w14:paraId="0C700C1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78B09C5" w14:textId="77777777" w:rsidTr="00F0626F">
        <w:trPr>
          <w:trHeight w:val="230"/>
        </w:trPr>
        <w:tc>
          <w:tcPr>
            <w:tcW w:w="1690" w:type="dxa"/>
            <w:tcBorders>
              <w:top w:val="single" w:sz="6" w:space="0" w:color="auto"/>
              <w:left w:val="single" w:sz="6" w:space="0" w:color="auto"/>
              <w:bottom w:val="single" w:sz="6" w:space="0" w:color="auto"/>
              <w:right w:val="single" w:sz="6" w:space="0" w:color="auto"/>
            </w:tcBorders>
          </w:tcPr>
          <w:p w14:paraId="6572341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(I полугодие)</w:t>
            </w:r>
          </w:p>
          <w:p w14:paraId="6944AF7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B0C5E0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240,0</w:t>
            </w:r>
          </w:p>
          <w:p w14:paraId="747FADF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142003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34,0 из них 10,788 РОФС-Ш__</w:t>
            </w:r>
          </w:p>
          <w:p w14:paraId="3C0F71B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591BFCD5"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6C02A78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(II полугодие)</w:t>
            </w:r>
          </w:p>
          <w:p w14:paraId="3CE2B60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06DC9F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262,0</w:t>
            </w:r>
          </w:p>
          <w:p w14:paraId="6EE8DA2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605B51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278,1</w:t>
            </w:r>
          </w:p>
          <w:p w14:paraId="5401836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02ED4A9" w14:textId="77777777" w:rsidTr="00F0626F">
        <w:trPr>
          <w:trHeight w:val="202"/>
        </w:trPr>
        <w:tc>
          <w:tcPr>
            <w:tcW w:w="1690" w:type="dxa"/>
            <w:tcBorders>
              <w:top w:val="single" w:sz="6" w:space="0" w:color="auto"/>
              <w:left w:val="single" w:sz="6" w:space="0" w:color="auto"/>
              <w:bottom w:val="single" w:sz="6" w:space="0" w:color="auto"/>
              <w:right w:val="single" w:sz="6" w:space="0" w:color="auto"/>
            </w:tcBorders>
          </w:tcPr>
          <w:p w14:paraId="21BF6A7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w:t>
            </w:r>
          </w:p>
          <w:p w14:paraId="4764576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F7B0EF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1708,6</w:t>
            </w:r>
          </w:p>
          <w:p w14:paraId="5EFB260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3EEA8D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1655,3</w:t>
            </w:r>
          </w:p>
          <w:p w14:paraId="55D0393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E439763"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0FA1124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w:t>
            </w:r>
          </w:p>
          <w:p w14:paraId="314771E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CE8AC2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1324,4</w:t>
            </w:r>
          </w:p>
          <w:p w14:paraId="2520AE0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1C1314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1822,0</w:t>
            </w:r>
          </w:p>
          <w:p w14:paraId="1B8CA93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A191458" w14:textId="77777777" w:rsidTr="00F0626F">
        <w:trPr>
          <w:trHeight w:val="211"/>
        </w:trPr>
        <w:tc>
          <w:tcPr>
            <w:tcW w:w="1690" w:type="dxa"/>
            <w:tcBorders>
              <w:top w:val="single" w:sz="6" w:space="0" w:color="auto"/>
              <w:left w:val="single" w:sz="6" w:space="0" w:color="auto"/>
              <w:bottom w:val="single" w:sz="6" w:space="0" w:color="auto"/>
              <w:right w:val="single" w:sz="6" w:space="0" w:color="auto"/>
            </w:tcBorders>
          </w:tcPr>
          <w:p w14:paraId="0213A1F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w:t>
            </w:r>
          </w:p>
          <w:p w14:paraId="46390A8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5566ED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1270,0</w:t>
            </w:r>
          </w:p>
          <w:p w14:paraId="2FE6C74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4377F03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2190,0</w:t>
            </w:r>
          </w:p>
          <w:p w14:paraId="6B467C3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599BF6F3"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7F2E21E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w:t>
            </w:r>
          </w:p>
          <w:p w14:paraId="27D75BA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BE4137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520,6</w:t>
            </w:r>
          </w:p>
          <w:p w14:paraId="47CBE1D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3A31F7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959,5</w:t>
            </w:r>
          </w:p>
          <w:p w14:paraId="53FADA7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4558B944" w14:textId="77777777" w:rsidTr="00F0626F">
        <w:trPr>
          <w:trHeight w:val="240"/>
        </w:trPr>
        <w:tc>
          <w:tcPr>
            <w:tcW w:w="1690" w:type="dxa"/>
            <w:tcBorders>
              <w:top w:val="single" w:sz="6" w:space="0" w:color="auto"/>
              <w:left w:val="single" w:sz="6" w:space="0" w:color="auto"/>
              <w:bottom w:val="single" w:sz="6" w:space="0" w:color="auto"/>
              <w:right w:val="single" w:sz="6" w:space="0" w:color="auto"/>
            </w:tcBorders>
          </w:tcPr>
          <w:p w14:paraId="4F5D9B7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в военное время</w:t>
            </w:r>
          </w:p>
          <w:p w14:paraId="5521561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AF02C2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5085,0</w:t>
            </w:r>
          </w:p>
          <w:p w14:paraId="6ADAF42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CD4DB6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6904,9</w:t>
            </w:r>
          </w:p>
          <w:p w14:paraId="3CF2B00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bl>
    <w:p w14:paraId="77C837A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Несколько иначе обстояли дела с модернизацией снарядов М-13. </w:t>
      </w:r>
      <w:proofErr w:type="gramStart"/>
      <w:r w:rsidRPr="00925F26">
        <w:rPr>
          <w:color w:val="000000" w:themeColor="text1"/>
          <w:sz w:val="16"/>
          <w:szCs w:val="16"/>
        </w:rPr>
        <w:t>И</w:t>
      </w:r>
      <w:proofErr w:type="gramEnd"/>
      <w:r w:rsidRPr="00925F26">
        <w:rPr>
          <w:color w:val="000000" w:themeColor="text1"/>
          <w:sz w:val="16"/>
          <w:szCs w:val="16"/>
        </w:rPr>
        <w:t xml:space="preserve"> хотя им также не удалось избежать участи снаряжания БЧ эрзац-ВВ, этот этап отразился в их конструкции. Дело в том, что сплав ВВ на осно</w:t>
      </w:r>
      <w:r w:rsidRPr="00925F26">
        <w:rPr>
          <w:color w:val="000000" w:themeColor="text1"/>
          <w:sz w:val="16"/>
          <w:szCs w:val="16"/>
        </w:rPr>
        <w:softHyphen/>
        <w:t>ве аммиачной селитры в корпуса осколочных и фугасных артснарядов заливали через головное очко для взрывателя. Подобным образом БЧ от</w:t>
      </w:r>
      <w:r w:rsidRPr="00925F26">
        <w:rPr>
          <w:color w:val="000000" w:themeColor="text1"/>
          <w:sz w:val="16"/>
          <w:szCs w:val="16"/>
        </w:rPr>
        <w:softHyphen/>
        <w:t>носительно коротких РС М-8 с пристыкованными корпусами двигате</w:t>
      </w:r>
      <w:r w:rsidRPr="00925F26">
        <w:rPr>
          <w:color w:val="000000" w:themeColor="text1"/>
          <w:sz w:val="16"/>
          <w:szCs w:val="16"/>
        </w:rPr>
        <w:softHyphen/>
        <w:t>лей можно было снаряжать без больших проблем. При этом дно камеры двигателя являлось и дном БЧ. У снарядов М-13 первых моделей «такой номер уже не проходил» - пристыкованный корпус двигателя только ме</w:t>
      </w:r>
      <w:r w:rsidRPr="00925F26">
        <w:rPr>
          <w:color w:val="000000" w:themeColor="text1"/>
          <w:sz w:val="16"/>
          <w:szCs w:val="16"/>
        </w:rPr>
        <w:softHyphen/>
        <w:t>шал заливке ВВ в БЧ. Проблему сняли, использовав внешнее переход</w:t>
      </w:r>
      <w:r w:rsidRPr="00925F26">
        <w:rPr>
          <w:color w:val="000000" w:themeColor="text1"/>
          <w:sz w:val="16"/>
          <w:szCs w:val="16"/>
        </w:rPr>
        <w:softHyphen/>
        <w:t>ное дно БЧ - второй отличительный признак артиллерийских реактив</w:t>
      </w:r>
      <w:r w:rsidRPr="00925F26">
        <w:rPr>
          <w:color w:val="000000" w:themeColor="text1"/>
          <w:sz w:val="16"/>
          <w:szCs w:val="16"/>
        </w:rPr>
        <w:softHyphen/>
        <w:t>ных снарядов М-13.</w:t>
      </w:r>
    </w:p>
    <w:p w14:paraId="570CB6BF"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«Период эрзац-порохов и эрзац-ВВ» не повлек изменений габаритов снарядов М-13. В калибре 132 мм ГМЧ пришлось довольствоваться сна</w:t>
      </w:r>
      <w:r w:rsidRPr="00925F26">
        <w:rPr>
          <w:color w:val="000000" w:themeColor="text1"/>
          <w:sz w:val="16"/>
          <w:szCs w:val="16"/>
        </w:rPr>
        <w:softHyphen/>
        <w:t xml:space="preserve">рядами уменьшенной дальности и огневой мощи. Не в пример им, </w:t>
      </w:r>
    </w:p>
    <w:p w14:paraId="1DCBA191"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Некондиционные корпуса БЧ снарядов РОФС-132 и М-13 после об</w:t>
      </w:r>
      <w:r w:rsidRPr="00925F26">
        <w:rPr>
          <w:color w:val="000000" w:themeColor="text1"/>
          <w:sz w:val="16"/>
          <w:szCs w:val="16"/>
        </w:rPr>
        <w:softHyphen/>
        <w:t>точки, а также просто отливки и штамповки с трещинами заготовок ис</w:t>
      </w:r>
      <w:r w:rsidRPr="00925F26">
        <w:rPr>
          <w:color w:val="000000" w:themeColor="text1"/>
          <w:sz w:val="16"/>
          <w:szCs w:val="16"/>
        </w:rPr>
        <w:softHyphen/>
        <w:t>пользовали в качестве осколочных авиабомб АО-25М-13 нескольких мо</w:t>
      </w:r>
      <w:r w:rsidRPr="00925F26">
        <w:rPr>
          <w:color w:val="000000" w:themeColor="text1"/>
          <w:sz w:val="16"/>
          <w:szCs w:val="16"/>
        </w:rPr>
        <w:softHyphen/>
        <w:t>делей. Оперение было приварено к дну БЧ. По габаритам авиабомбы подходили к бомбоотсекам штурмовиков, не говоря уже о бомбардиров</w:t>
      </w:r>
      <w:r w:rsidRPr="00925F26">
        <w:rPr>
          <w:color w:val="000000" w:themeColor="text1"/>
          <w:sz w:val="16"/>
          <w:szCs w:val="16"/>
        </w:rPr>
        <w:softHyphen/>
        <w:t>щиках. Невостребованные корпуса БЧ опытных РОФС-140 также использовали в этих же целях. При этом у корпусов двигателем от РОФС-140 переднее и заднее центрирующие утолщения сточили до 132 мм и использовали для изготовления снарядов М-13.</w:t>
      </w:r>
    </w:p>
    <w:p w14:paraId="28020BE6"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На протяжении всей войны в производстве тротила ощущался ост</w:t>
      </w:r>
      <w:r w:rsidRPr="00925F26">
        <w:rPr>
          <w:color w:val="000000" w:themeColor="text1"/>
          <w:sz w:val="16"/>
          <w:szCs w:val="16"/>
        </w:rPr>
        <w:softHyphen/>
        <w:t>рый дефицит толуола, азотной и серной кислот, кальцинированной соды и каустика, а также ряда других необходимых химических продуктов. В связи с этим, мощности тротиловых производств не были загружены полностью, а выпуск тротила определялся поставками сырья. И хотя в 1943 г. он возрос, по сравнению с 1942 г., на 22% и оставался на этом Уровне в 1944 г., выпускаемые количества тротила не могли обеспечить резко возросшие потребности снаряжательных заводов и действующей армии. На всех снаряжательных заводах были проделаны большие рабо</w:t>
      </w:r>
      <w:r w:rsidRPr="00925F26">
        <w:rPr>
          <w:color w:val="000000" w:themeColor="text1"/>
          <w:sz w:val="16"/>
          <w:szCs w:val="16"/>
        </w:rPr>
        <w:softHyphen/>
        <w:t>ты по освоению производства аммиачно-селитренных ВВ с уменьшен</w:t>
      </w:r>
      <w:r w:rsidRPr="00925F26">
        <w:rPr>
          <w:color w:val="000000" w:themeColor="text1"/>
          <w:sz w:val="16"/>
          <w:szCs w:val="16"/>
        </w:rPr>
        <w:softHyphen/>
        <w:t>ным содержанием дефицитного тротила.</w:t>
      </w:r>
    </w:p>
    <w:p w14:paraId="718F305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годы войны для снаряжания боеприпасов использовали 23 взрыв</w:t>
      </w:r>
      <w:r w:rsidRPr="00925F26">
        <w:rPr>
          <w:color w:val="000000" w:themeColor="text1"/>
          <w:sz w:val="16"/>
          <w:szCs w:val="16"/>
        </w:rPr>
        <w:softHyphen/>
        <w:t>чатых состава. Из них лишь один тротил применяли в некоторых бое</w:t>
      </w:r>
      <w:r w:rsidRPr="00925F26">
        <w:rPr>
          <w:color w:val="000000" w:themeColor="text1"/>
          <w:sz w:val="16"/>
          <w:szCs w:val="16"/>
        </w:rPr>
        <w:softHyphen/>
        <w:t>припасах в чистом виде. Для формования разрывных зарядов чаще всего использовали способ шнекования порошкообразного тротила в камору изделия, реже - заливка расплавленного ВВ, иногда с добавкой твердых кусков или тротиловых шариков для улучшения качества заряда.</w:t>
      </w:r>
    </w:p>
    <w:p w14:paraId="1D3DBBB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Остальные 22 состава представляли собой смеси или сплавы несколь</w:t>
      </w:r>
      <w:r w:rsidRPr="00925F26">
        <w:rPr>
          <w:color w:val="000000" w:themeColor="text1"/>
          <w:sz w:val="16"/>
          <w:szCs w:val="16"/>
        </w:rPr>
        <w:softHyphen/>
        <w:t>ких ВВ. Широко использовали амматолы 40/60; 50/50; и даже амматол 90/10, содержавший всего 10% тротила. Применяли также взрывчатые составы, в которых часть тротила заменяли другими ВВ - сплавами К-2 и К-3. Во всех изделиях для обеспечения безотказного и наиболее эффе</w:t>
      </w:r>
      <w:r w:rsidRPr="00925F26">
        <w:rPr>
          <w:color w:val="000000" w:themeColor="text1"/>
          <w:sz w:val="16"/>
          <w:szCs w:val="16"/>
        </w:rPr>
        <w:softHyphen/>
        <w:t>ктивного взрыва разрывного заряда применяли мощные детонаторные шашки из прессованного тротила Таблица 5.10 Варианты вооружения боевых самолетов ВВС Красной Армии ракетными снарядами калибров 82 и 132 мм в период 1941-1945 гг.</w:t>
      </w:r>
    </w:p>
    <w:tbl>
      <w:tblPr>
        <w:tblW w:w="0" w:type="auto"/>
        <w:tblInd w:w="40" w:type="dxa"/>
        <w:tblLayout w:type="fixed"/>
        <w:tblCellMar>
          <w:left w:w="40" w:type="dxa"/>
          <w:right w:w="40" w:type="dxa"/>
        </w:tblCellMar>
        <w:tblLook w:val="0000" w:firstRow="0" w:lastRow="0" w:firstColumn="0" w:lastColumn="0" w:noHBand="0" w:noVBand="0"/>
      </w:tblPr>
      <w:tblGrid>
        <w:gridCol w:w="2333"/>
        <w:gridCol w:w="9"/>
        <w:gridCol w:w="855"/>
        <w:gridCol w:w="941"/>
        <w:gridCol w:w="9"/>
        <w:gridCol w:w="1808"/>
      </w:tblGrid>
      <w:tr w:rsidR="000F5689" w:rsidRPr="00925F26" w14:paraId="0C55AF0F" w14:textId="77777777" w:rsidTr="00F0626F">
        <w:trPr>
          <w:trHeight w:val="874"/>
        </w:trPr>
        <w:tc>
          <w:tcPr>
            <w:tcW w:w="2333" w:type="dxa"/>
            <w:tcBorders>
              <w:top w:val="single" w:sz="6" w:space="0" w:color="auto"/>
              <w:left w:val="single" w:sz="6" w:space="0" w:color="auto"/>
              <w:bottom w:val="single" w:sz="6" w:space="0" w:color="auto"/>
              <w:right w:val="single" w:sz="6" w:space="0" w:color="auto"/>
            </w:tcBorders>
          </w:tcPr>
          <w:p w14:paraId="6457341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Марка самолета, №заводской, № завода, месяц окончания госиспытаний</w:t>
            </w:r>
          </w:p>
          <w:p w14:paraId="00775E8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E72560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Калибр / боезапас</w:t>
            </w:r>
          </w:p>
          <w:p w14:paraId="035A52F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B2D6A4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 количество ракетных орудий</w:t>
            </w:r>
          </w:p>
          <w:p w14:paraId="5853078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4538DF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Место расположения^ пусковых и направление стрельбы</w:t>
            </w:r>
          </w:p>
          <w:p w14:paraId="14794B9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6BCAEFA"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4E2985B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Як-1 с М-105П (№3855 завода №292)</w:t>
            </w:r>
          </w:p>
          <w:p w14:paraId="29FB072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E4E6F4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/6</w:t>
            </w:r>
          </w:p>
          <w:p w14:paraId="4210109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D5A7A1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130A34B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9946C0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1E0025F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542F156A"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0F915C2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Як-1 с М-105П после 2 мая 1942 г.</w:t>
            </w:r>
          </w:p>
          <w:p w14:paraId="5689FC6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6A4849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/4</w:t>
            </w:r>
          </w:p>
          <w:p w14:paraId="707E41E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B43B7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3B598B8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549E72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2F3660D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F043930"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2D556B8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Як-7 М-105ПА №06-05 завода №301 (сентябрь 1941 г.)</w:t>
            </w:r>
          </w:p>
          <w:p w14:paraId="410A389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028BA1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6</w:t>
            </w:r>
          </w:p>
          <w:p w14:paraId="7577CCA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3541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04EE21B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E90532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ПГ1С~</w:t>
            </w:r>
          </w:p>
          <w:p w14:paraId="41D1F72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FC8646D" w14:textId="77777777" w:rsidTr="00F0626F">
        <w:trPr>
          <w:trHeight w:val="538"/>
        </w:trPr>
        <w:tc>
          <w:tcPr>
            <w:tcW w:w="2333" w:type="dxa"/>
            <w:tcBorders>
              <w:top w:val="single" w:sz="6" w:space="0" w:color="auto"/>
              <w:left w:val="single" w:sz="6" w:space="0" w:color="auto"/>
              <w:bottom w:val="single" w:sz="6" w:space="0" w:color="auto"/>
              <w:right w:val="single" w:sz="6" w:space="0" w:color="auto"/>
            </w:tcBorders>
          </w:tcPr>
          <w:p w14:paraId="5012B6F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Як-7БМ-105ПА №22-03 (июнь 1942 г.) перегрузочный вариант</w:t>
            </w:r>
          </w:p>
          <w:p w14:paraId="7902C58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A5FA52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/6</w:t>
            </w:r>
          </w:p>
          <w:p w14:paraId="42509BE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97A67D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57EEFC1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64A262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5A5415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48920289" w14:textId="77777777" w:rsidTr="00F0626F">
        <w:trPr>
          <w:trHeight w:val="528"/>
        </w:trPr>
        <w:tc>
          <w:tcPr>
            <w:tcW w:w="2333" w:type="dxa"/>
            <w:tcBorders>
              <w:top w:val="single" w:sz="6" w:space="0" w:color="auto"/>
              <w:left w:val="single" w:sz="6" w:space="0" w:color="auto"/>
              <w:bottom w:val="single" w:sz="6" w:space="0" w:color="auto"/>
              <w:right w:val="single" w:sz="6" w:space="0" w:color="auto"/>
            </w:tcBorders>
          </w:tcPr>
          <w:p w14:paraId="15C1577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Як-7-37 М- 105ПА завода №153 (апрель-май 1942 г.) перегрузочный вариант</w:t>
            </w:r>
          </w:p>
          <w:p w14:paraId="3544DD4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2DE9A1F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6</w:t>
            </w:r>
          </w:p>
          <w:p w14:paraId="76F865C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64D78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61AD799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71F438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56E03B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E041A47"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2478274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ЛаГГ-3 с М-105П (№3121422 завода №21)</w:t>
            </w:r>
          </w:p>
          <w:p w14:paraId="30886D2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CD0ED4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8</w:t>
            </w:r>
          </w:p>
          <w:p w14:paraId="762C854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01DA9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532CD9E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AB0727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5E235F1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11F48474"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4E70C14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ЛаГГ-3 с М-105П (№3121232 завода №21)</w:t>
            </w:r>
          </w:p>
          <w:p w14:paraId="56B29B9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D0742C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6</w:t>
            </w:r>
          </w:p>
          <w:p w14:paraId="3A988C4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9495E8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5EBCFEE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138B6F7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73FB44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1481D628"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6C8A1C7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МиГ-1 сАМ-35А(И-200) завода № 1</w:t>
            </w:r>
          </w:p>
          <w:p w14:paraId="0974237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781FC8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8</w:t>
            </w:r>
          </w:p>
          <w:p w14:paraId="60C18E8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C858F7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2ADD611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9E32E5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B7577C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316F4BA"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5401788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МиГ-3 с АМ-35А (№3943) завода № 1</w:t>
            </w:r>
          </w:p>
          <w:p w14:paraId="577A7FA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1801FF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/6</w:t>
            </w:r>
          </w:p>
          <w:p w14:paraId="7B57B2C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E71766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11D7EA4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234309F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5DE3469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434A28DE"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52B76B6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завода №39 (февраль-март 1941 г.)</w:t>
            </w:r>
          </w:p>
          <w:p w14:paraId="61A0DEC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38F829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8</w:t>
            </w:r>
          </w:p>
          <w:p w14:paraId="6392805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652C2E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300BF95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668C41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0C375F2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625201A2" w14:textId="77777777" w:rsidTr="00F0626F">
        <w:trPr>
          <w:trHeight w:val="355"/>
        </w:trPr>
        <w:tc>
          <w:tcPr>
            <w:tcW w:w="2333" w:type="dxa"/>
            <w:tcBorders>
              <w:top w:val="single" w:sz="6" w:space="0" w:color="auto"/>
              <w:left w:val="single" w:sz="6" w:space="0" w:color="auto"/>
              <w:bottom w:val="single" w:sz="6" w:space="0" w:color="auto"/>
              <w:right w:val="single" w:sz="6" w:space="0" w:color="auto"/>
            </w:tcBorders>
          </w:tcPr>
          <w:p w14:paraId="0F0EB45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завода №39 (февраль-март 1941 г.)</w:t>
            </w:r>
          </w:p>
          <w:p w14:paraId="4229A32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26513C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0AB5198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0A2290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480C3C6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1876B70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1D585F7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6DDBFB16"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7F159BA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завода №39 (сентябрь - октябрь 1941 г.)</w:t>
            </w:r>
          </w:p>
          <w:p w14:paraId="7B018D3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5945E4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27F108F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F25A7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4084E2B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44FB5B4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79E8AA5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66273941" w14:textId="77777777" w:rsidTr="00F0626F">
        <w:trPr>
          <w:trHeight w:val="557"/>
        </w:trPr>
        <w:tc>
          <w:tcPr>
            <w:tcW w:w="2333" w:type="dxa"/>
            <w:tcBorders>
              <w:top w:val="single" w:sz="6" w:space="0" w:color="auto"/>
              <w:left w:val="single" w:sz="6" w:space="0" w:color="auto"/>
              <w:bottom w:val="single" w:sz="6" w:space="0" w:color="auto"/>
              <w:right w:val="single" w:sz="6" w:space="0" w:color="auto"/>
            </w:tcBorders>
          </w:tcPr>
          <w:p w14:paraId="2B3C646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№0403 завода №381 (декабрь 1941 г. — январь 1942 г.)</w:t>
            </w:r>
          </w:p>
          <w:p w14:paraId="46E5263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FF8523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5477DFD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D2908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4A001E1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18FC41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03621E0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938120B"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09CC4CD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№1904 завода №18 (март — апрель 1942 г.)</w:t>
            </w:r>
          </w:p>
          <w:p w14:paraId="7DAD712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1D9FDB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22E64F2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76B16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7C80BC6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1C851D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2CF7CB1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5D1103C"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3719092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№1904 завода №18 (март - апрель 1942 г.)</w:t>
            </w:r>
          </w:p>
          <w:p w14:paraId="5681499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38F08AE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/8</w:t>
            </w:r>
          </w:p>
          <w:p w14:paraId="7F0CCAF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D2DE1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3C9EDE1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5BBDC7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0306C57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150D125"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3068B0A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№261 1 завода №1 (март - апрель 1942 г.)</w:t>
            </w:r>
          </w:p>
          <w:p w14:paraId="3B4CF15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1D49E0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/8</w:t>
            </w:r>
          </w:p>
          <w:p w14:paraId="24BF6E8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00E24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3FF67DF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6E4B25F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53FCB8F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6DAA3C52"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3474441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М-82 завода №18 (апрель 1942 г.)</w:t>
            </w:r>
          </w:p>
          <w:p w14:paraId="6B661E4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7A4221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7EBBE0A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A772B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1AE99C7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F2573D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2AD94EA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566D7AF"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36D8FAB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№161 2 завода №381 (июнь 1942 г.)</w:t>
            </w:r>
          </w:p>
          <w:p w14:paraId="3D17321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3DE9A6F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6</w:t>
            </w:r>
          </w:p>
          <w:p w14:paraId="47B779A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C28AF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16598E9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4BF98B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45533D6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6B7A97D"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756D0A7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АМ-38Ф №1872412 завода №18 (август 1942 г.)</w:t>
            </w:r>
          </w:p>
          <w:p w14:paraId="7336A84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2E1B4B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77DF522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D5FBBC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6CB35C7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7F0252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12CDA82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1ACCDEAB"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7EEE26C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№30341 завода №30 (июль 1942 г.)</w:t>
            </w:r>
          </w:p>
          <w:p w14:paraId="1151AE2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593DC2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/8</w:t>
            </w:r>
          </w:p>
          <w:p w14:paraId="1470810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B13D03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0228084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4D16E8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Под </w:t>
            </w:r>
            <w:proofErr w:type="gramStart"/>
            <w:r w:rsidRPr="00925F26">
              <w:rPr>
                <w:color w:val="000000" w:themeColor="text1"/>
                <w:sz w:val="16"/>
                <w:szCs w:val="16"/>
              </w:rPr>
              <w:t>крылом ,</w:t>
            </w:r>
            <w:proofErr w:type="gramEnd"/>
            <w:r w:rsidRPr="00925F26">
              <w:rPr>
                <w:color w:val="000000" w:themeColor="text1"/>
                <w:sz w:val="16"/>
                <w:szCs w:val="16"/>
              </w:rPr>
              <w:t xml:space="preserve"> для 11 1 1 &lt;~</w:t>
            </w:r>
          </w:p>
          <w:p w14:paraId="0189B40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164056FD" w14:textId="77777777" w:rsidTr="00F0626F">
        <w:trPr>
          <w:trHeight w:val="576"/>
        </w:trPr>
        <w:tc>
          <w:tcPr>
            <w:tcW w:w="2333" w:type="dxa"/>
            <w:tcBorders>
              <w:top w:val="single" w:sz="6" w:space="0" w:color="auto"/>
              <w:left w:val="single" w:sz="6" w:space="0" w:color="auto"/>
              <w:bottom w:val="single" w:sz="6" w:space="0" w:color="auto"/>
              <w:right w:val="single" w:sz="6" w:space="0" w:color="auto"/>
            </w:tcBorders>
          </w:tcPr>
          <w:p w14:paraId="4087035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(2-местный) №4434 завода № 1 (ноябрь 1942 г.)</w:t>
            </w:r>
          </w:p>
          <w:p w14:paraId="1697EEF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DB67CE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/8</w:t>
            </w:r>
          </w:p>
          <w:p w14:paraId="3CE26C3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55EE3C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3454588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22D4FEB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Под </w:t>
            </w:r>
            <w:proofErr w:type="gramStart"/>
            <w:r w:rsidRPr="00925F26">
              <w:rPr>
                <w:color w:val="000000" w:themeColor="text1"/>
                <w:sz w:val="16"/>
                <w:szCs w:val="16"/>
              </w:rPr>
              <w:t>крылом ,</w:t>
            </w:r>
            <w:proofErr w:type="gramEnd"/>
            <w:r w:rsidRPr="00925F26">
              <w:rPr>
                <w:color w:val="000000" w:themeColor="text1"/>
                <w:sz w:val="16"/>
                <w:szCs w:val="16"/>
              </w:rPr>
              <w:t xml:space="preserve"> для ЦП</w:t>
            </w:r>
            <w:r w:rsidRPr="00925F26">
              <w:rPr>
                <w:color w:val="000000" w:themeColor="text1"/>
                <w:sz w:val="16"/>
                <w:szCs w:val="16"/>
                <w:vertAlign w:val="superscript"/>
              </w:rPr>
              <w:t>1</w:t>
            </w:r>
            <w:r w:rsidRPr="00925F26">
              <w:rPr>
                <w:color w:val="000000" w:themeColor="text1"/>
                <w:sz w:val="16"/>
                <w:szCs w:val="16"/>
              </w:rPr>
              <w:t>-</w:t>
            </w:r>
          </w:p>
          <w:p w14:paraId="603CC43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8FEECEB" w14:textId="77777777" w:rsidTr="00F0626F">
        <w:trPr>
          <w:trHeight w:val="518"/>
        </w:trPr>
        <w:tc>
          <w:tcPr>
            <w:tcW w:w="2342" w:type="dxa"/>
            <w:gridSpan w:val="2"/>
            <w:tcBorders>
              <w:top w:val="single" w:sz="6" w:space="0" w:color="auto"/>
              <w:left w:val="single" w:sz="6" w:space="0" w:color="auto"/>
              <w:bottom w:val="single" w:sz="6" w:space="0" w:color="auto"/>
              <w:right w:val="single" w:sz="6" w:space="0" w:color="auto"/>
            </w:tcBorders>
          </w:tcPr>
          <w:p w14:paraId="3D55D5B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с АМ-38 (2-местный) №8330 завода №18 (ноябрь 1942 г.) нормальный вариант</w:t>
            </w:r>
          </w:p>
          <w:p w14:paraId="20F3C07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22B74E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/4</w:t>
            </w:r>
          </w:p>
          <w:p w14:paraId="18310D2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CD14F7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74E2E6C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BBD92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2487637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D1CA375" w14:textId="77777777" w:rsidTr="00F0626F">
        <w:trPr>
          <w:trHeight w:val="691"/>
        </w:trPr>
        <w:tc>
          <w:tcPr>
            <w:tcW w:w="2342" w:type="dxa"/>
            <w:gridSpan w:val="2"/>
            <w:tcBorders>
              <w:top w:val="single" w:sz="6" w:space="0" w:color="auto"/>
              <w:left w:val="single" w:sz="6" w:space="0" w:color="auto"/>
              <w:bottom w:val="single" w:sz="6" w:space="0" w:color="auto"/>
              <w:right w:val="single" w:sz="6" w:space="0" w:color="auto"/>
            </w:tcBorders>
          </w:tcPr>
          <w:p w14:paraId="66D3F1C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Ил-2 с АМ-38 (2-местный) №8330 завода №18 (ноябрь 1942 г.) перегрузочный вариант</w:t>
            </w:r>
          </w:p>
          <w:p w14:paraId="6BEF234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02844C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/8</w:t>
            </w:r>
          </w:p>
          <w:p w14:paraId="33E3BAA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427C2DC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30F5CD7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0D9213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04DBBE3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B258D34" w14:textId="77777777" w:rsidTr="00F0626F">
        <w:trPr>
          <w:trHeight w:val="365"/>
        </w:trPr>
        <w:tc>
          <w:tcPr>
            <w:tcW w:w="2342" w:type="dxa"/>
            <w:gridSpan w:val="2"/>
            <w:tcBorders>
              <w:top w:val="single" w:sz="6" w:space="0" w:color="auto"/>
              <w:left w:val="single" w:sz="6" w:space="0" w:color="auto"/>
              <w:bottom w:val="single" w:sz="6" w:space="0" w:color="auto"/>
              <w:right w:val="single" w:sz="6" w:space="0" w:color="auto"/>
            </w:tcBorders>
          </w:tcPr>
          <w:p w14:paraId="4EB7C62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Су-6сМ-71 завода №289 (февраль-апрель 1942 г.)</w:t>
            </w:r>
          </w:p>
          <w:p w14:paraId="7B39896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58257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/10</w:t>
            </w:r>
          </w:p>
          <w:p w14:paraId="75A1BD7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8EE4E6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4942AD0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DF560D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9916D9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D62E93B"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3AA6AD7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Су-6сМ-71 завода №289 (февраль-апрель 1942 г.)</w:t>
            </w:r>
          </w:p>
          <w:p w14:paraId="2759F3E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0EE521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132мм/ 10</w:t>
            </w:r>
          </w:p>
          <w:p w14:paraId="11D0E5A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607C7B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43863F6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03A3C0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251E104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347F719"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69A3ED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 с М-105 №16,32 завода №22 (август-сентябрь 1941 г.)</w:t>
            </w:r>
          </w:p>
          <w:p w14:paraId="0668D59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ED6800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132мм/ 10</w:t>
            </w:r>
          </w:p>
          <w:p w14:paraId="05FB8B8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E23956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РОБ-132-5</w:t>
            </w:r>
          </w:p>
          <w:p w14:paraId="56284DF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343CEA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3B5ABE6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E63EE42"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1ADF46F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«ЮЗУ» с АМ-37 завода №156 (июль 1941 г.)</w:t>
            </w:r>
          </w:p>
          <w:p w14:paraId="02B20CC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3A11E1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132мм/ 10</w:t>
            </w:r>
          </w:p>
          <w:p w14:paraId="570C0C2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043A528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4C7CDBF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D0F3AD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7C50449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1F2F35BE"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4AB823A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Ту-2 («103В</w:t>
            </w:r>
            <w:proofErr w:type="gramStart"/>
            <w:r w:rsidRPr="00925F26">
              <w:rPr>
                <w:color w:val="000000" w:themeColor="text1"/>
                <w:sz w:val="16"/>
                <w:szCs w:val="16"/>
              </w:rPr>
              <w:t>»)с</w:t>
            </w:r>
            <w:proofErr w:type="gramEnd"/>
            <w:r w:rsidRPr="00925F26">
              <w:rPr>
                <w:color w:val="000000" w:themeColor="text1"/>
                <w:sz w:val="16"/>
                <w:szCs w:val="16"/>
              </w:rPr>
              <w:t xml:space="preserve"> М-82А завода №166 (апрель 1942 г.)</w:t>
            </w:r>
          </w:p>
          <w:p w14:paraId="153BC68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13C309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132мм/ 10</w:t>
            </w:r>
          </w:p>
          <w:p w14:paraId="6D20DAE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079FBA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02B6F5C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FFA62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4D966F0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1F417AA"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712D82B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Ту-2 с М-82 завода №166 (август 1942 г.)</w:t>
            </w:r>
          </w:p>
          <w:p w14:paraId="79FC149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AE158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132мм/ 10 82 мм / 4</w:t>
            </w:r>
          </w:p>
          <w:p w14:paraId="6F7BE86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7F90936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 РО-82</w:t>
            </w:r>
          </w:p>
          <w:p w14:paraId="6873051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F984D1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 Кассета для ЗПС</w:t>
            </w:r>
          </w:p>
          <w:p w14:paraId="30D2CC4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532A75C6"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C3C940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Ту-2 с М-82 завода № 166 (июль 1942 г.)</w:t>
            </w:r>
          </w:p>
          <w:p w14:paraId="2B06832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3E2C0D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132мм/ 10</w:t>
            </w:r>
          </w:p>
          <w:p w14:paraId="1D0BF49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6EB3C09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00F12CD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52EE6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B91CB2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AE45833" w14:textId="77777777" w:rsidTr="00F0626F">
        <w:trPr>
          <w:trHeight w:val="365"/>
        </w:trPr>
        <w:tc>
          <w:tcPr>
            <w:tcW w:w="2342" w:type="dxa"/>
            <w:gridSpan w:val="2"/>
            <w:tcBorders>
              <w:top w:val="single" w:sz="6" w:space="0" w:color="auto"/>
              <w:left w:val="single" w:sz="6" w:space="0" w:color="auto"/>
              <w:bottom w:val="single" w:sz="6" w:space="0" w:color="auto"/>
              <w:right w:val="single" w:sz="6" w:space="0" w:color="auto"/>
            </w:tcBorders>
          </w:tcPr>
          <w:p w14:paraId="1EF4FD2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Су-2 с М-82 №15116 завода №135 (апрель 1942 г.)</w:t>
            </w:r>
          </w:p>
          <w:p w14:paraId="37A195C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CFC5C8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08772B7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ECC694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62F0715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D39ADB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8CA106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10AC93F"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15185E0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Су-2 с М-82 №151 16 завода №135 (май 1942 г.)</w:t>
            </w:r>
          </w:p>
          <w:p w14:paraId="62DB8FD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C2A743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мм/8</w:t>
            </w:r>
          </w:p>
          <w:p w14:paraId="23B9298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17B588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РО-132</w:t>
            </w:r>
          </w:p>
          <w:p w14:paraId="43FFA16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40E1053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13925D1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086656D" w14:textId="77777777" w:rsidTr="00F0626F">
        <w:trPr>
          <w:trHeight w:val="211"/>
        </w:trPr>
        <w:tc>
          <w:tcPr>
            <w:tcW w:w="2342" w:type="dxa"/>
            <w:gridSpan w:val="2"/>
            <w:tcBorders>
              <w:top w:val="single" w:sz="6" w:space="0" w:color="auto"/>
              <w:left w:val="single" w:sz="6" w:space="0" w:color="auto"/>
              <w:bottom w:val="single" w:sz="6" w:space="0" w:color="auto"/>
              <w:right w:val="single" w:sz="6" w:space="0" w:color="auto"/>
            </w:tcBorders>
          </w:tcPr>
          <w:p w14:paraId="45D75A1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По-2 (март 1942 г.)</w:t>
            </w:r>
          </w:p>
          <w:p w14:paraId="71A7127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17C6CB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/4</w:t>
            </w:r>
          </w:p>
          <w:p w14:paraId="0D62C01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070A4A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1C6A44A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3D8C9A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1EBC153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FF388FE" w14:textId="77777777" w:rsidTr="00F0626F">
        <w:trPr>
          <w:trHeight w:val="202"/>
        </w:trPr>
        <w:tc>
          <w:tcPr>
            <w:tcW w:w="2342" w:type="dxa"/>
            <w:gridSpan w:val="2"/>
            <w:tcBorders>
              <w:top w:val="single" w:sz="6" w:space="0" w:color="auto"/>
              <w:left w:val="single" w:sz="6" w:space="0" w:color="auto"/>
              <w:bottom w:val="single" w:sz="6" w:space="0" w:color="auto"/>
              <w:right w:val="single" w:sz="6" w:space="0" w:color="auto"/>
            </w:tcBorders>
          </w:tcPr>
          <w:p w14:paraId="2EEDD1E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По-2 (март 1942 г.)</w:t>
            </w:r>
          </w:p>
          <w:p w14:paraId="749A537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F80360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/8</w:t>
            </w:r>
          </w:p>
          <w:p w14:paraId="54A5568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65F5446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0D4EB2B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F2BA56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6875F2E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1BAF33C8" w14:textId="77777777" w:rsidTr="00F0626F">
        <w:trPr>
          <w:trHeight w:val="192"/>
        </w:trPr>
        <w:tc>
          <w:tcPr>
            <w:tcW w:w="2342" w:type="dxa"/>
            <w:gridSpan w:val="2"/>
            <w:tcBorders>
              <w:top w:val="single" w:sz="6" w:space="0" w:color="auto"/>
              <w:left w:val="single" w:sz="6" w:space="0" w:color="auto"/>
              <w:bottom w:val="single" w:sz="6" w:space="0" w:color="auto"/>
              <w:right w:val="single" w:sz="6" w:space="0" w:color="auto"/>
            </w:tcBorders>
          </w:tcPr>
          <w:p w14:paraId="0CDB374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По-2 (март 1942 г.)</w:t>
            </w:r>
          </w:p>
          <w:p w14:paraId="50E4E28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7D259C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 мм /8</w:t>
            </w:r>
          </w:p>
          <w:p w14:paraId="5BCB559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29ED56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426E751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228EB99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w:t>
            </w:r>
          </w:p>
          <w:p w14:paraId="5871AAB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8875887"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B62387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Ил-4</w:t>
            </w:r>
          </w:p>
          <w:p w14:paraId="721C87D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B942AC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2</w:t>
            </w:r>
          </w:p>
          <w:p w14:paraId="0E3B09A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09EE76A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1C4AD1D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7D60F18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обеим сторонам кабины пилота, для ППС</w:t>
            </w:r>
          </w:p>
          <w:p w14:paraId="0B1ED2B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2D485EE2"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3B5C11E7"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Ил-4</w:t>
            </w:r>
          </w:p>
          <w:p w14:paraId="5627A31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9A93AF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/2</w:t>
            </w:r>
          </w:p>
          <w:p w14:paraId="7C49099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9021EE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01695D1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4225F46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обеим сторонам киля, для ЗПС</w:t>
            </w:r>
          </w:p>
          <w:p w14:paraId="451E0F9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3B89B275" w14:textId="77777777" w:rsidTr="00F0626F">
        <w:trPr>
          <w:trHeight w:val="528"/>
        </w:trPr>
        <w:tc>
          <w:tcPr>
            <w:tcW w:w="2342" w:type="dxa"/>
            <w:gridSpan w:val="2"/>
            <w:tcBorders>
              <w:top w:val="single" w:sz="6" w:space="0" w:color="auto"/>
              <w:left w:val="single" w:sz="6" w:space="0" w:color="auto"/>
              <w:bottom w:val="single" w:sz="6" w:space="0" w:color="auto"/>
              <w:right w:val="single" w:sz="6" w:space="0" w:color="auto"/>
            </w:tcBorders>
          </w:tcPr>
          <w:p w14:paraId="4C6CCDD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w:t>
            </w:r>
          </w:p>
          <w:p w14:paraId="0521340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5D5CD9A"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/4</w:t>
            </w:r>
          </w:p>
          <w:p w14:paraId="563D7DB6"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00C971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РУБ-82-4</w:t>
            </w:r>
          </w:p>
          <w:p w14:paraId="4E0E383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290239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Сверху на блистере кормового стрелка, для ЗПС</w:t>
            </w:r>
          </w:p>
          <w:p w14:paraId="3EB186B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08DE3AD5" w14:textId="77777777" w:rsidTr="00F0626F">
        <w:trPr>
          <w:trHeight w:val="518"/>
        </w:trPr>
        <w:tc>
          <w:tcPr>
            <w:tcW w:w="2342" w:type="dxa"/>
            <w:gridSpan w:val="2"/>
            <w:tcBorders>
              <w:top w:val="single" w:sz="6" w:space="0" w:color="auto"/>
              <w:left w:val="single" w:sz="6" w:space="0" w:color="auto"/>
              <w:bottom w:val="single" w:sz="6" w:space="0" w:color="auto"/>
              <w:right w:val="single" w:sz="6" w:space="0" w:color="auto"/>
            </w:tcBorders>
          </w:tcPr>
          <w:p w14:paraId="2C901124"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w:t>
            </w:r>
          </w:p>
          <w:p w14:paraId="2DEE555D"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4DAEF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/2</w:t>
            </w:r>
          </w:p>
          <w:p w14:paraId="5E3E464B"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61BA22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РУБ-82-2</w:t>
            </w:r>
          </w:p>
          <w:p w14:paraId="3D28BC7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5ED3C6B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Снизу по бокам от пулемета кормового стрелка, для ЗПС</w:t>
            </w:r>
          </w:p>
          <w:p w14:paraId="7D7B93B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7F8A2507"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5083BA2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w:t>
            </w:r>
          </w:p>
          <w:p w14:paraId="68890331"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4C624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2</w:t>
            </w:r>
          </w:p>
          <w:p w14:paraId="6C62A10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EC8204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w:t>
            </w:r>
          </w:p>
          <w:p w14:paraId="7E89EC3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0C3830A9"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Сверху на фюзеляже, для ЗПС</w:t>
            </w:r>
          </w:p>
          <w:p w14:paraId="62AF70E0"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r w:rsidR="000F5689" w:rsidRPr="00925F26" w14:paraId="67F155E3" w14:textId="77777777" w:rsidTr="00F0626F">
        <w:trPr>
          <w:trHeight w:val="422"/>
        </w:trPr>
        <w:tc>
          <w:tcPr>
            <w:tcW w:w="2342" w:type="dxa"/>
            <w:gridSpan w:val="2"/>
            <w:tcBorders>
              <w:top w:val="single" w:sz="6" w:space="0" w:color="auto"/>
              <w:left w:val="single" w:sz="6" w:space="0" w:color="auto"/>
              <w:bottom w:val="single" w:sz="6" w:space="0" w:color="auto"/>
              <w:right w:val="single" w:sz="6" w:space="0" w:color="auto"/>
            </w:tcBorders>
          </w:tcPr>
          <w:p w14:paraId="71BB6DB5"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СБ</w:t>
            </w:r>
          </w:p>
          <w:p w14:paraId="3E6CB5C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87A62E"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 2 82 мм / 2</w:t>
            </w:r>
          </w:p>
          <w:p w14:paraId="4DFF26B3"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07C81C2"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РО-82 РО-82</w:t>
            </w:r>
          </w:p>
          <w:p w14:paraId="538ADC6C"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136F91F" w14:textId="77777777" w:rsidR="002A3A19" w:rsidRPr="00925F26" w:rsidRDefault="002A3A19"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 крылом, для ППС Под крылом, для ППС</w:t>
            </w:r>
          </w:p>
          <w:p w14:paraId="04FFE498" w14:textId="77777777" w:rsidR="002A3A19" w:rsidRPr="00925F26" w:rsidRDefault="002A3A19" w:rsidP="00925F26">
            <w:pPr>
              <w:shd w:val="clear" w:color="auto" w:fill="FFFFFF"/>
              <w:autoSpaceDE w:val="0"/>
              <w:autoSpaceDN w:val="0"/>
              <w:adjustRightInd w:val="0"/>
              <w:jc w:val="both"/>
              <w:rPr>
                <w:color w:val="000000" w:themeColor="text1"/>
                <w:sz w:val="16"/>
                <w:szCs w:val="16"/>
              </w:rPr>
            </w:pPr>
          </w:p>
        </w:tc>
      </w:tr>
    </w:tbl>
    <w:p w14:paraId="3078C7EC"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(11402).</w:t>
      </w:r>
    </w:p>
    <w:p w14:paraId="249A7623" w14:textId="77777777" w:rsidR="002A3A19" w:rsidRPr="00925F26" w:rsidRDefault="002A3A19" w:rsidP="00925F26">
      <w:pPr>
        <w:autoSpaceDE w:val="0"/>
        <w:autoSpaceDN w:val="0"/>
        <w:adjustRightInd w:val="0"/>
        <w:jc w:val="both"/>
        <w:rPr>
          <w:color w:val="000000" w:themeColor="text1"/>
          <w:sz w:val="16"/>
          <w:szCs w:val="16"/>
        </w:rPr>
      </w:pPr>
    </w:p>
    <w:p w14:paraId="2AD93BC9" w14:textId="77777777" w:rsidR="00AE1AD9" w:rsidRPr="001A0BAA" w:rsidRDefault="00AE1AD9" w:rsidP="00AE1AD9">
      <w:pPr>
        <w:jc w:val="both"/>
        <w:rPr>
          <w:color w:val="0070C0"/>
          <w:sz w:val="16"/>
          <w:szCs w:val="16"/>
        </w:rPr>
      </w:pPr>
      <w:r w:rsidRPr="001A0BAA">
        <w:rPr>
          <w:color w:val="0070C0"/>
          <w:sz w:val="16"/>
          <w:szCs w:val="16"/>
        </w:rPr>
        <w:t>К концу войны был принят на вооружение 82-мм снаряд М-8 с баллистическим индексом ТС-34 и дальностью стрельбы 5,5 км. Стандартная установка, с которой запускались эти снаряды, получила индекс БМ-8-48 (25435).</w:t>
      </w:r>
    </w:p>
    <w:p w14:paraId="6AD75FB0" w14:textId="77777777" w:rsidR="00AE1AD9" w:rsidRPr="001A0BAA" w:rsidRDefault="00AE1AD9" w:rsidP="00AE1AD9">
      <w:pPr>
        <w:jc w:val="both"/>
        <w:rPr>
          <w:color w:val="0070C0"/>
          <w:sz w:val="16"/>
          <w:szCs w:val="16"/>
        </w:rPr>
      </w:pPr>
    </w:p>
    <w:p w14:paraId="54B2E88B" w14:textId="77777777" w:rsidR="002A3A19" w:rsidRPr="00925F26" w:rsidRDefault="002A3A19"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E8FEF70" w14:textId="77777777" w:rsidR="002A3A19" w:rsidRPr="00925F26" w:rsidRDefault="002A3A19" w:rsidP="00925F26">
      <w:pPr>
        <w:autoSpaceDE w:val="0"/>
        <w:autoSpaceDN w:val="0"/>
        <w:adjustRightInd w:val="0"/>
        <w:jc w:val="both"/>
        <w:rPr>
          <w:iCs/>
          <w:color w:val="000000" w:themeColor="text1"/>
          <w:sz w:val="16"/>
          <w:szCs w:val="16"/>
        </w:rPr>
      </w:pPr>
    </w:p>
    <w:p w14:paraId="22E19ED0"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До конца ВОВ на Ил-10 перевооружили 12 шап, в т.ч. 26 и 37 шап ТОФ, которые воевали против Японии (1605,3).</w:t>
      </w:r>
    </w:p>
    <w:p w14:paraId="4496669B"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7 гшап получил Ил-10, но так и не сделал ни одного вылета (1605,3).</w:t>
      </w:r>
    </w:p>
    <w:p w14:paraId="58EB285E" w14:textId="77777777" w:rsidR="002A3A19" w:rsidRPr="00925F26" w:rsidRDefault="002A3A19" w:rsidP="00925F26">
      <w:pPr>
        <w:autoSpaceDE w:val="0"/>
        <w:autoSpaceDN w:val="0"/>
        <w:adjustRightInd w:val="0"/>
        <w:jc w:val="both"/>
        <w:rPr>
          <w:color w:val="000000" w:themeColor="text1"/>
          <w:sz w:val="16"/>
          <w:szCs w:val="16"/>
        </w:rPr>
      </w:pPr>
    </w:p>
    <w:p w14:paraId="507872BE"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На конец войны в Польской армии было 158 Ил-2 и 15 Ил-2УТ, а по состоянию на 1 октября - 202, включая 24 Ил-2УТ. В начале 1946 часть их была заменена на машины послевоенного выпуска ч металлическим фюзеляжем (241,37).</w:t>
      </w:r>
    </w:p>
    <w:p w14:paraId="37D6BFA3"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Считается, что польские Ил-2 за время их участия в войне уничтожили 25 танков, 1300 автомашин и 290 единиц подвижного состава, 29 паровозов, 400 позиций артиллерии (241,37).</w:t>
      </w:r>
    </w:p>
    <w:p w14:paraId="4482972C" w14:textId="77777777" w:rsidR="002A3A19" w:rsidRPr="00925F26" w:rsidRDefault="002A3A19" w:rsidP="00925F26">
      <w:pPr>
        <w:autoSpaceDE w:val="0"/>
        <w:autoSpaceDN w:val="0"/>
        <w:adjustRightInd w:val="0"/>
        <w:jc w:val="both"/>
        <w:rPr>
          <w:color w:val="000000" w:themeColor="text1"/>
          <w:sz w:val="16"/>
          <w:szCs w:val="16"/>
        </w:rPr>
      </w:pPr>
    </w:p>
    <w:p w14:paraId="60EE4D59"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конце войны большую часть "Киттихауков" сосредоточили в ПВО (за войну полки ПВО па "Киттихауках" сбили 255 самолетов противника) и в морской авиации. В ПВО насчитывалось 844 машины, но Р-40 постепенно вытеснялись Р-39, Р-63 и отечественными истребителями. В морской авиации также их стало меньше. Полностью переход 7-го и 62-го полков ЧМФ на современную технику завершился лишь в ноябре 1944 года, уже после того, как Болгария и Румыния перешли на сторону союзной коалиции. С потерей баз в этих странах немецкий флот уже не мог представлять угрозы на Черном море. После этого "Киттихауки" прослужили в ВВС Черноморского флота еще около двух лет. Па Северном флоте к началу 1945 года на "Киттихауках" летал в основном 78-й полк (32 машины). В боевых действиях против Японии Р-40 участия не принимали. В ВВС Тихоокеанского флота имелись всего две машины, прибывшие в июне 1945 года с 27-м полком с Северного флота. Они использовались как учебные. Выпуск самолетов семейства Р-40 в США прекратили в 1944 году. В том же году закончилась поставка их в Советский Союз. По советским данным в общей сложности было принято для ВВС и ПВО 247 "Томагауков" и 1887 "Киттихауков". К этому надо добавить морскую авиацию. Она получила 311 самолетов семейства Кертисс Р-40, из них около 90% "Киттихауков" разных модификаций. По другим данным, вместе с техникой, переданной из частей ВВС РККА, па флот поступил 321 самолет. Из них 211 воевали на севере, 109-на Черном море. По американским сводкам получается, что всего советской стороной принято 2097 Р-40. Остальное - реэкспорт "Томагауков" из Великобритании плюс неисправные машины, присланные англичанами на запасные части. Точная разбивка по </w:t>
      </w:r>
      <w:r w:rsidRPr="00925F26">
        <w:rPr>
          <w:color w:val="000000" w:themeColor="text1"/>
          <w:sz w:val="16"/>
          <w:szCs w:val="16"/>
        </w:rPr>
        <w:lastRenderedPageBreak/>
        <w:t>модификациям неизвестна, можно сказать только, что среди отгруженных из США было 313 Р-40К, 220 Р 40М и 980 Р 40N. "Киттихауки" и немногие сохранившиеся после войны "Томагауки" стали снимать с вооружения уже с 1946 года. Последние машины, использовавшиеся как учебные, дожили до конца 40-х годов (3457,68).</w:t>
      </w:r>
    </w:p>
    <w:p w14:paraId="311A2B6C"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10 самолетов имел 118-й разведывательный, семь-3-й учебный полк. Кроме того, истребители этого тина входили в два смешанных полка ВВС Беломорской военной флотилии-53-й (20 штук) и 54-й (восемь), располагавшиеся па аэродроме Холмовка. Эти машины служили до конца войны и даже в первые послевоенные годы. Так, к 574-м полку Р-40 состояли на вооружении до мая 1946 года, йотом их сменили "Аэрокобры" (3457,68).</w:t>
      </w:r>
    </w:p>
    <w:p w14:paraId="54008AC7" w14:textId="77777777" w:rsidR="002A3A19" w:rsidRPr="00925F26" w:rsidRDefault="002A3A19" w:rsidP="00925F26">
      <w:pPr>
        <w:autoSpaceDE w:val="0"/>
        <w:autoSpaceDN w:val="0"/>
        <w:adjustRightInd w:val="0"/>
        <w:jc w:val="both"/>
        <w:rPr>
          <w:color w:val="000000" w:themeColor="text1"/>
          <w:sz w:val="16"/>
          <w:szCs w:val="16"/>
        </w:rPr>
      </w:pPr>
    </w:p>
    <w:p w14:paraId="33D8C524"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 концу войны на одну потерянную "Азрокобру" приходилось 122 боевых вылета и четыре уничтоженных самолета противника. Многие летчики имели па своем счету более 20 сбитых вражеских машин. Рекордсменом считается Г.А.Речкалов, за которым числятся ровно 50 сбитых на "Кобре" самолетов (3457,77).</w:t>
      </w:r>
    </w:p>
    <w:p w14:paraId="1E0FCF8B" w14:textId="77777777" w:rsidR="002A3A19" w:rsidRPr="00925F26" w:rsidRDefault="002A3A19" w:rsidP="00925F26">
      <w:pPr>
        <w:autoSpaceDE w:val="0"/>
        <w:autoSpaceDN w:val="0"/>
        <w:adjustRightInd w:val="0"/>
        <w:jc w:val="both"/>
        <w:rPr>
          <w:color w:val="000000" w:themeColor="text1"/>
          <w:sz w:val="16"/>
          <w:szCs w:val="16"/>
        </w:rPr>
      </w:pPr>
    </w:p>
    <w:p w14:paraId="5F99DCB0"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Когда воина в Европе подошла к концу, в строю ВВС находились 497 "Митчеллов" (3457,97).</w:t>
      </w:r>
    </w:p>
    <w:p w14:paraId="2CB439EF" w14:textId="77777777" w:rsidR="002A3A19" w:rsidRPr="00925F26" w:rsidRDefault="002A3A19" w:rsidP="00925F26">
      <w:pPr>
        <w:autoSpaceDE w:val="0"/>
        <w:autoSpaceDN w:val="0"/>
        <w:adjustRightInd w:val="0"/>
        <w:jc w:val="both"/>
        <w:rPr>
          <w:color w:val="000000" w:themeColor="text1"/>
          <w:sz w:val="16"/>
          <w:szCs w:val="16"/>
        </w:rPr>
      </w:pPr>
    </w:p>
    <w:p w14:paraId="191F522E"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В Советском Союзе "Бостоны" успешно прослужили до самого конца войны. Они участвовали во всех крупных операциях завершающего периода Белорусской, Ясско- Кишиневской, Восточно-Прусской п многих других, воевали в небе Польши, Румынии, Чехословакии, Германии. Бомбы с A-20G помогли остановить немецкое контрнаступление в Венгрии: в том, что более половины всех танков было уничтожено авиацией, есть и их существенный вклад. Во время Венской операции одна только 244-я авиадивизия уничтожила 24 танка и бронетранспортера, 13 складов, 8 мостов и переправ, 886 автомашин п большое количество живой силы (3457,111).</w:t>
      </w:r>
    </w:p>
    <w:p w14:paraId="61A065B5" w14:textId="77777777" w:rsidR="002A3A19" w:rsidRPr="00925F26" w:rsidRDefault="002A3A19" w:rsidP="00925F26">
      <w:pPr>
        <w:autoSpaceDE w:val="0"/>
        <w:autoSpaceDN w:val="0"/>
        <w:adjustRightInd w:val="0"/>
        <w:jc w:val="both"/>
        <w:rPr>
          <w:color w:val="000000" w:themeColor="text1"/>
          <w:sz w:val="16"/>
          <w:szCs w:val="16"/>
        </w:rPr>
      </w:pPr>
    </w:p>
    <w:p w14:paraId="616AB708"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 концу войны в резерве и в частях ПВО, ВВС ВМФ и ВВС КА осталось 6262 ленд-лизовских самолета (4127). В последний период войны, когда советская авиация была оснащена в достаточном количестве отечественными истребителями с более высокими летно-тактическими данными, поставляемые по ленд-лизу истребители, по существу, уже были не нужны (наибольшая их часть поступила в 1944 г.). Поэтому, большое их количество различных типов было передано в ПВО страны, где они и как перехватчики не использовались (ЦАМО, ф.35, оп.11321, д.95, л.л.45, 46). Запасных авиамоторов к нам по ленд-лизу поступило за весь период поставок 7104 единицы, что составляет 14,4% от выпущенных моторов для боевых самолетов только в одном 1944 г. (4128) (3573).</w:t>
      </w:r>
    </w:p>
    <w:p w14:paraId="55FC856C" w14:textId="77777777" w:rsidR="002A3A19" w:rsidRPr="00925F26" w:rsidRDefault="002A3A19" w:rsidP="00925F26">
      <w:pPr>
        <w:autoSpaceDE w:val="0"/>
        <w:autoSpaceDN w:val="0"/>
        <w:adjustRightInd w:val="0"/>
        <w:jc w:val="both"/>
        <w:rPr>
          <w:color w:val="000000" w:themeColor="text1"/>
          <w:sz w:val="16"/>
          <w:szCs w:val="16"/>
        </w:rPr>
      </w:pPr>
    </w:p>
    <w:p w14:paraId="53976011"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В ходе Великой Отечественной войны наземными средствами ПВО сухопутных войск фронтов было сбито 21645 самолетов. Из них зенитной артиллерией калибра 76-85 мм - 4047 самолетов, зенитными автоматами калибра 25-37 мм - 14657 самолетов, зенитными пулеметами - 2401 самолет, ружейно-пулеметным огнем - 540 самолетов; при среднем расходе снарядов: 76-85-мм - 598 шт., 25-37-мм - 905 шт., патронов 7,62-12,7-мм - 7036 шт. на один сбитый самолет. Значительную роль играли зенитные автоматы и в войсках ПВО страны (3861).</w:t>
      </w:r>
    </w:p>
    <w:p w14:paraId="714D523A" w14:textId="77777777" w:rsidR="002A3A19" w:rsidRPr="00925F26" w:rsidRDefault="002A3A19" w:rsidP="00925F26">
      <w:pPr>
        <w:autoSpaceDE w:val="0"/>
        <w:autoSpaceDN w:val="0"/>
        <w:adjustRightInd w:val="0"/>
        <w:jc w:val="both"/>
        <w:rPr>
          <w:color w:val="000000" w:themeColor="text1"/>
          <w:sz w:val="16"/>
          <w:szCs w:val="16"/>
        </w:rPr>
      </w:pPr>
    </w:p>
    <w:p w14:paraId="3E58640C"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 концу войны в ПВО было орудий калибра 76-85 мм - 9800 шт.; автоматов калибра 25-37 мм - 8900 и зенитных пулеметов - 8100 шт. (3861).</w:t>
      </w:r>
    </w:p>
    <w:p w14:paraId="6002E644" w14:textId="77777777" w:rsidR="002A3A19" w:rsidRPr="00925F26" w:rsidRDefault="002A3A19" w:rsidP="00925F26">
      <w:pPr>
        <w:autoSpaceDE w:val="0"/>
        <w:autoSpaceDN w:val="0"/>
        <w:adjustRightInd w:val="0"/>
        <w:jc w:val="both"/>
        <w:rPr>
          <w:color w:val="000000" w:themeColor="text1"/>
          <w:sz w:val="16"/>
          <w:szCs w:val="16"/>
        </w:rPr>
      </w:pPr>
    </w:p>
    <w:p w14:paraId="6A48AA99"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 концу войны в Красной Армии насчитывалось 119 легких самоходно-артиллерийских. полков и 7 самоходно-артиллерийских бригад. Польской армии передали 130 штук СУ-76М (3862).</w:t>
      </w:r>
    </w:p>
    <w:p w14:paraId="00C59F01" w14:textId="77777777" w:rsidR="002A3A19" w:rsidRPr="00925F26" w:rsidRDefault="002A3A19" w:rsidP="00925F26">
      <w:pPr>
        <w:autoSpaceDE w:val="0"/>
        <w:autoSpaceDN w:val="0"/>
        <w:adjustRightInd w:val="0"/>
        <w:jc w:val="both"/>
        <w:rPr>
          <w:color w:val="000000" w:themeColor="text1"/>
          <w:sz w:val="16"/>
          <w:szCs w:val="16"/>
        </w:rPr>
      </w:pPr>
    </w:p>
    <w:p w14:paraId="3871A0A9"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 концу войны в Красной Армии насчитывалось 119 легких самоходно-артиллерийских. полков и 7 самоходно-артиллерийских бригад. Польской армии передали 130 штук СУ-76М. На базе СУ-76М создана ЗСУ-37, вооруженная 37-мм автоматической зенитной пушкой. Производилась она на заводе №40 в Мытищах. В войне участия принять не успела. В 1945-1946 годах было изготовлено 75 штук (3862).</w:t>
      </w:r>
    </w:p>
    <w:p w14:paraId="7A2D4F2E" w14:textId="77777777" w:rsidR="002A3A19" w:rsidRPr="00925F26" w:rsidRDefault="002A3A19" w:rsidP="00925F26">
      <w:pPr>
        <w:autoSpaceDE w:val="0"/>
        <w:autoSpaceDN w:val="0"/>
        <w:adjustRightInd w:val="0"/>
        <w:jc w:val="both"/>
        <w:rPr>
          <w:color w:val="000000" w:themeColor="text1"/>
          <w:sz w:val="16"/>
          <w:szCs w:val="16"/>
        </w:rPr>
      </w:pPr>
    </w:p>
    <w:p w14:paraId="37439092"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С окончанием Второй Мировой войны служба СУ-76М не закончилась. В Советской Армии они эксплуатировались до начала 50-х годов, 130 машин, переданных в период войны Войску Польскому, так же были списаны к середине 50-х, несколько десятков доставшихся КНДР приняли довольно активное участие в Корейской войне, но в большинстве своем ее не пережили (3862).</w:t>
      </w:r>
    </w:p>
    <w:p w14:paraId="360E0A6E" w14:textId="77777777" w:rsidR="002A3A19" w:rsidRPr="00925F26" w:rsidRDefault="002A3A19" w:rsidP="00925F26">
      <w:pPr>
        <w:autoSpaceDE w:val="0"/>
        <w:autoSpaceDN w:val="0"/>
        <w:adjustRightInd w:val="0"/>
        <w:jc w:val="both"/>
        <w:rPr>
          <w:color w:val="000000" w:themeColor="text1"/>
          <w:sz w:val="16"/>
          <w:szCs w:val="16"/>
        </w:rPr>
      </w:pPr>
    </w:p>
    <w:p w14:paraId="121BB931"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Всего за годы войны дирижабли совершили 1.473 полета, перевезли 194.580 куб. м водорода и 319.190 кг различных грузов. Проводились в Крыму экспериментальные полеты по обнаружению подводной лодки и фотографированию минных полей, но развития не получили. Дирижабли работали практически безотказно и были весьма живучи. Один из них - В-12 - на Калининском фронте был обстрелян, получил около сотни пробоин, но долетел в отряд, а затем вернулся на базу под Москвой (11328).</w:t>
      </w:r>
    </w:p>
    <w:p w14:paraId="4C9C58C7" w14:textId="77777777" w:rsidR="002A3A19" w:rsidRPr="00925F26" w:rsidRDefault="002A3A19" w:rsidP="00925F26">
      <w:pPr>
        <w:autoSpaceDE w:val="0"/>
        <w:autoSpaceDN w:val="0"/>
        <w:adjustRightInd w:val="0"/>
        <w:jc w:val="both"/>
        <w:rPr>
          <w:color w:val="000000" w:themeColor="text1"/>
          <w:sz w:val="16"/>
          <w:szCs w:val="16"/>
        </w:rPr>
      </w:pPr>
    </w:p>
    <w:p w14:paraId="2506AB2D"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В годы войны в системе ПВО широко применялись аэростаты заграждения (A3). В отличие от АН они были меньшего объема, не имели гондолы и могли подниматься на большую высоту - до 4-4,5 км. Внешне A3 напоминали небольшие дирижабли. Поднимались они обычно ночью по одному или по два на одном тросе (тандем) в шахматном порядке. Опасаясь встречи с ними, экипажи самолетов противника вынуждены были либо отказаться от налета, либо подниматься на большую высоту, что резко снижало точность прицельного бомбометания. Дивизия ПВО прикрывала A3 площадь в 75 кв. Км (11328).</w:t>
      </w:r>
    </w:p>
    <w:p w14:paraId="0BE1B1DF" w14:textId="77777777" w:rsidR="002A3A19" w:rsidRPr="00925F26" w:rsidRDefault="002A3A19" w:rsidP="00925F26">
      <w:pPr>
        <w:autoSpaceDE w:val="0"/>
        <w:autoSpaceDN w:val="0"/>
        <w:adjustRightInd w:val="0"/>
        <w:jc w:val="both"/>
        <w:rPr>
          <w:bCs/>
          <w:color w:val="000000" w:themeColor="text1"/>
          <w:sz w:val="16"/>
          <w:szCs w:val="16"/>
        </w:rPr>
      </w:pPr>
    </w:p>
    <w:p w14:paraId="6C71674A"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Всего за время Великой Отечественной войны частями аэростатов наблюдения произведено 19.985 подъемов общей продолжительностью 20.126 часов. При этом разведано 4.617 артбатарей, 155 танковых колонн, 506 скоплений пехоты. В результате 2.696 корректировок уничтожено и подавлено 1.716 артбатарей, рассеяно и частично уничтожено 103 скопления пехоты и танков. Противником сожжено в воздухе 110 наших аэростатов наблюдения.</w:t>
      </w:r>
    </w:p>
    <w:p w14:paraId="55947353"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Первые же бои с немцами показали, что средства наземной, визуальной и оптической разведки не могут работать на всю глубину обороны противника. Эта задача была возложена на самолеты корректировочной авиации и аэростаты артиллерийского наблюдения. Стреляющие батареи врага с них можно было наблюдать на расстоянии до 20 км, а колонны и железнодорожные составы - до 25 км. Иногда расчетам аэростатов наблюдения (АН) ставились задачи перспективного фотографирования местности, проверки маскировки своих войск и другие. Во время войны в нашей армии было девять воздухоплавательных дивизионов по 3-4 отряда в каждом.</w:t>
      </w:r>
    </w:p>
    <w:p w14:paraId="3B19114B"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Аэростат артиллерийского наблюдения состоял из оболочки (двухслойная прорезиненная материя с алюминированным покрытием), наполняемой водородом, такелажа и сплетенной из ивовых прутьев гондолы для двух наблюдателей. Поднимался и опускался аэростат на тросе с помощью лебедки, установленной на автомобиле. Боевая работа велась в основном ночью. Для маскировки и обмана противника устраивались ложные биваки.</w:t>
      </w:r>
    </w:p>
    <w:p w14:paraId="4BB9316D"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Поручали воздухоплавателям и не совсем обычные задачи. В целях маскировки на Адмиралтейский шпиль в августе 1941-го решено было надеть огромный брезентовый чехол. Несмотря на сильный ветер, поднявшийся в воздух на шаре-прыгуне, капитан Судаков разобрал чехол и набросил его на шпиль, после чего для альпинистов закрепил на вершине блок и перекинул через него канат. В июне 1942 года в пригороде Ленинграда Судаков продемонстрировал полет и. посадку на шаре-прыгуне. Таким способом предполагалось перебрасывать через линию фронта партизан и оперативных работников. К сожалению, идея не нашла поддержки. Не раз аэростатчики сталкивались с уловками пяротивнка. Очень долго, например, пришлось поискать кочующую дальнобойную батарею немцев - те вырубили в лесу просеку и проложили по ней узкоколейку. Дрезины выталкивали из укрытий орудия, а после нескольких выстрелов снова укрывали в лесу. Экипаж майора С. Джилкишева пошел на хитрость: в воздух подняли аэростат с манекеном. Немцы открыли стрельбу по нему. В это время в другом месте был поднят аэростат с наблюдателем...</w:t>
      </w:r>
    </w:p>
    <w:p w14:paraId="1AAA11DE"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Борясь с аэростатами, противник применял бризантные гранаты. Взрываясь, они нередко перебивали трос, и аэростат вместе с наблюдателем уходил в свободный полет.</w:t>
      </w:r>
    </w:p>
    <w:p w14:paraId="097C4160"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В наступлении боевые порядки аэростатчиков находились в 3-4 км от переднего края противника. Огромные эллипсоиды круглые сутки висели в воздухе, и уже одно это сковывало, по признанию пленных, действия артиллерии немцев. Они выделяли самолеты специально для борьбы с аэростатами. Не однажды воздухоплаватели горели в воздухе, когда содержимое оболочки - водород - вспыхивало факелом, выбрасывались с парашютом. Но аэростатчикам угрожала опасность не только с воздуха - подвергались позиции и налетам диверсионных групп, артобстрелам.</w:t>
      </w:r>
    </w:p>
    <w:p w14:paraId="7EE4BD8A" w14:textId="77777777" w:rsidR="002A3A19" w:rsidRPr="00925F26" w:rsidRDefault="002A3A19" w:rsidP="00925F26">
      <w:pPr>
        <w:autoSpaceDE w:val="0"/>
        <w:autoSpaceDN w:val="0"/>
        <w:adjustRightInd w:val="0"/>
        <w:jc w:val="both"/>
        <w:rPr>
          <w:color w:val="000000" w:themeColor="text1"/>
          <w:sz w:val="16"/>
          <w:szCs w:val="16"/>
        </w:rPr>
      </w:pPr>
      <w:r w:rsidRPr="00925F26">
        <w:rPr>
          <w:color w:val="000000" w:themeColor="text1"/>
          <w:sz w:val="16"/>
          <w:szCs w:val="16"/>
        </w:rPr>
        <w:t>Как правило, перед наступлением на направлении главного удара подъемы аэростатов в целях секретности не производились. Но однажды советское командование было вынуждено пренебречь мерами маскировки - в районе Сандомира появилось дальнобойное орудие «Берта». Оно находилось на железнодорожной платформе и после выстрела меняло позицию. Аэростатчики получили задачу вести наблюдение на участке железной дороги Цмелюв - Якубовице. Немцев подвел их педантизм: они производили по нескольку выстрелов утром и вечером, причем в одни и те же часы. Наблюдатели, поднявшись в воздух с опережением «графика», передали точные координаты 40-й пушечной бригаде (11328).</w:t>
      </w:r>
    </w:p>
    <w:p w14:paraId="284843C8" w14:textId="77777777" w:rsidR="002A3A19" w:rsidRPr="00925F26" w:rsidRDefault="002A3A19" w:rsidP="00925F26">
      <w:pPr>
        <w:autoSpaceDE w:val="0"/>
        <w:autoSpaceDN w:val="0"/>
        <w:adjustRightInd w:val="0"/>
        <w:jc w:val="both"/>
        <w:rPr>
          <w:color w:val="000000" w:themeColor="text1"/>
          <w:sz w:val="16"/>
          <w:szCs w:val="16"/>
        </w:rPr>
      </w:pPr>
    </w:p>
    <w:p w14:paraId="775D11D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88167AD" w14:textId="77777777" w:rsidR="00665165" w:rsidRPr="00925F26" w:rsidRDefault="00665165" w:rsidP="00925F26">
      <w:pPr>
        <w:autoSpaceDE w:val="0"/>
        <w:autoSpaceDN w:val="0"/>
        <w:adjustRightInd w:val="0"/>
        <w:jc w:val="both"/>
        <w:rPr>
          <w:iCs/>
          <w:color w:val="000000" w:themeColor="text1"/>
          <w:sz w:val="16"/>
          <w:szCs w:val="16"/>
        </w:rPr>
      </w:pPr>
    </w:p>
    <w:p w14:paraId="27732F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10 мая 1945 г. в составе воз</w:t>
      </w:r>
      <w:r w:rsidRPr="00925F26">
        <w:rPr>
          <w:color w:val="000000" w:themeColor="text1"/>
          <w:sz w:val="16"/>
          <w:szCs w:val="16"/>
        </w:rPr>
        <w:softHyphen/>
        <w:t xml:space="preserve">душных армий фронтов насчитывалось 3075 штурмовиков Ил-2 и УИл-2, 214 Ил-2КР. </w:t>
      </w:r>
      <w:proofErr w:type="gramStart"/>
      <w:r w:rsidRPr="00925F26">
        <w:rPr>
          <w:color w:val="000000" w:themeColor="text1"/>
          <w:sz w:val="16"/>
          <w:szCs w:val="16"/>
        </w:rPr>
        <w:t>Кроме этого</w:t>
      </w:r>
      <w:proofErr w:type="gramEnd"/>
      <w:r w:rsidRPr="00925F26">
        <w:rPr>
          <w:color w:val="000000" w:themeColor="text1"/>
          <w:sz w:val="16"/>
          <w:szCs w:val="16"/>
        </w:rPr>
        <w:t xml:space="preserve"> в ВВС ВМФ имелось еще 197 Ил-2. В общей сложности за годы войны было построено 34 943 Ил-2 и Ил-2КР и 1211 УИл-2. Боевой опыт показал, что Ил-2 и его модификации оказал</w:t>
      </w:r>
      <w:r w:rsidRPr="00925F26">
        <w:rPr>
          <w:color w:val="000000" w:themeColor="text1"/>
          <w:sz w:val="16"/>
          <w:szCs w:val="16"/>
        </w:rPr>
        <w:softHyphen/>
        <w:t xml:space="preserve">ся самым полезным самолетом для нашей пехоты и самым страшным самолетом для немецкой пехоты. Значение и роль Ил-2 в боях неуклонно возрастала. Соответственно, возрастал и </w:t>
      </w:r>
      <w:r w:rsidRPr="00925F26">
        <w:rPr>
          <w:color w:val="000000" w:themeColor="text1"/>
          <w:sz w:val="16"/>
          <w:szCs w:val="16"/>
        </w:rPr>
        <w:lastRenderedPageBreak/>
        <w:t>удельный его вес в составе ВВС КА. Если к началу войны Ил-2 имелось менее 0,2%, то к осени 1942 г. их удельный вес вырос до 31% и в дальнейшем удерживался на уровне 29—32% общего числа боевых самолетов фронтовой авиации. Удель</w:t>
      </w:r>
      <w:r w:rsidRPr="00925F26">
        <w:rPr>
          <w:color w:val="000000" w:themeColor="text1"/>
          <w:sz w:val="16"/>
          <w:szCs w:val="16"/>
        </w:rPr>
        <w:softHyphen/>
        <w:t>ный вес дневных бомбардировщиков никогда не превышал 14—15%. Таким образом, Ил-2 фактически был главной удар-Ной силой ВВС КА (11474,395).</w:t>
      </w:r>
    </w:p>
    <w:p w14:paraId="08EA02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47843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закончились заводские испытания Як-3 с ВК107А цельнометаллического 31 завода, которые проводились с 12 апреля 1945. Летали М.И.Иванов, ви по и А.М.Дружинин, м Н.П.Кобцов. Выполнили 13 полетов продолжительностью 4:36 (65,192).</w:t>
      </w:r>
    </w:p>
    <w:p w14:paraId="64C4AD8C" w14:textId="77777777" w:rsidR="00665165" w:rsidRPr="00925F26" w:rsidRDefault="00665165" w:rsidP="00925F26">
      <w:pPr>
        <w:autoSpaceDE w:val="0"/>
        <w:autoSpaceDN w:val="0"/>
        <w:adjustRightInd w:val="0"/>
        <w:jc w:val="both"/>
        <w:rPr>
          <w:color w:val="000000" w:themeColor="text1"/>
          <w:sz w:val="16"/>
          <w:szCs w:val="16"/>
        </w:rPr>
      </w:pPr>
    </w:p>
    <w:p w14:paraId="6842C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года закончились заводские испытания машины №7003 завода №31, которые шли с 12 апреля. На серийном Як-3 ВК-107А с мотор-пушкой Б-20М и одной синхронной Б-20С применили увеличенный маслорадиатор ОП- 622, стальные тяги управления заменили дюралюминиевыми, обшивка элеронов стала металлической. Успешно пройдя заводские испытания, самолет предъявили в НИИ ВВС.</w:t>
      </w:r>
    </w:p>
    <w:p w14:paraId="6455D7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Государственные испытания Як-3 ВК- Ю7А с металлическим крылом проходили с 21 мая по 9 июня 1945 года, и акт по их результатам утвердили 27 июня 1945 года.</w:t>
      </w:r>
    </w:p>
    <w:p w14:paraId="4C49DD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48C2F34E" w14:textId="77777777" w:rsidR="00665165" w:rsidRPr="00925F26" w:rsidRDefault="00665165" w:rsidP="00925F26">
      <w:pPr>
        <w:autoSpaceDE w:val="0"/>
        <w:autoSpaceDN w:val="0"/>
        <w:adjustRightInd w:val="0"/>
        <w:jc w:val="both"/>
        <w:rPr>
          <w:color w:val="000000" w:themeColor="text1"/>
          <w:sz w:val="16"/>
          <w:szCs w:val="16"/>
        </w:rPr>
      </w:pPr>
    </w:p>
    <w:p w14:paraId="79FCCA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 по 28 мая 1945 П.Я.Федрови проводил заводские испытания Як-9С ВК105ПФ2 и НС-23. Серии не было, так как на подходе был Як-9У (65,144).</w:t>
      </w:r>
    </w:p>
    <w:p w14:paraId="71F48866" w14:textId="77777777" w:rsidR="00665165" w:rsidRPr="00925F26" w:rsidRDefault="00665165" w:rsidP="00925F26">
      <w:pPr>
        <w:autoSpaceDE w:val="0"/>
        <w:autoSpaceDN w:val="0"/>
        <w:adjustRightInd w:val="0"/>
        <w:jc w:val="both"/>
        <w:rPr>
          <w:color w:val="000000" w:themeColor="text1"/>
          <w:sz w:val="16"/>
          <w:szCs w:val="16"/>
        </w:rPr>
      </w:pPr>
    </w:p>
    <w:p w14:paraId="4D219B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10 мая 1945 задел агрегатов на заводе N 39 составлял: по фюзеляжам - 57 единиц, крылу - 78 комплектов, оперению - 70 комплектов. Кроме того, на аэродроме простаивали десятка полтора планеров Ер-2, законченные производством в апреле. А вот моторы и маслорадиаторы на иркутском заводе отсутствовали вовсе (их приемку "тормознула" военная приемка предприятий-смежников). По-видимому, сказалось, что в апреле при облете самолетов с дизелями АЧ-ЗОБ завода N 500 произошли два случая обрыва шатунов и один случай заклинивания мотора в воздухе. Темпы выпуска боевой авиационной техники летом сорок пятого снизились незначительно, а что касается "Еров", то их ежемесячный выпуск планировали сохранить на уровне 40 машин. Реализовать эти планы не удалось. "Омоторивать", как тогда говорили, выпущенные бомбардировщики оказалось нечем - большая часть из того скудного количества АЧ-ЗОБ, что прибывало на завод N 39, еще на этапе наземных "прогонок" выходила из строя. Всего за май и три летних месяца военпреды ВВС приняли 35 машин - менее месячной нормы. Тогда же по заданию НКАПа с целью определения возможностей машины с хорошо доведенными серийными моторами, на Ер-2 (зав. N 1850405) установили ВК-105ПФ-2 мощностью 1290 л.с. Судя по номеру, это был последний уцелевший бомбардировщик, построенный на воронежском авиазаводе. Однако и его постигла печальная участь: в седьмом полете из-за пожара произошла катастрофа и весь экипаж во главе с летчиком-испытателем П.К.Маслюковым погиб (3322,50).</w:t>
      </w:r>
    </w:p>
    <w:p w14:paraId="1D69A774" w14:textId="77777777" w:rsidR="00665165" w:rsidRPr="00925F26" w:rsidRDefault="00665165" w:rsidP="00925F26">
      <w:pPr>
        <w:autoSpaceDE w:val="0"/>
        <w:autoSpaceDN w:val="0"/>
        <w:adjustRightInd w:val="0"/>
        <w:jc w:val="both"/>
        <w:rPr>
          <w:color w:val="000000" w:themeColor="text1"/>
          <w:sz w:val="16"/>
          <w:szCs w:val="16"/>
        </w:rPr>
      </w:pPr>
    </w:p>
    <w:p w14:paraId="7949DA9D" w14:textId="77777777" w:rsidR="0025587C" w:rsidRPr="00925F26" w:rsidRDefault="0025587C" w:rsidP="00925F26">
      <w:pPr>
        <w:pStyle w:val="a3"/>
        <w:rPr>
          <w:color w:val="000000" w:themeColor="text1"/>
          <w:lang w:val="ru-RU"/>
        </w:rPr>
      </w:pPr>
      <w:r w:rsidRPr="00925F26">
        <w:rPr>
          <w:color w:val="000000" w:themeColor="text1"/>
          <w:lang w:val="ru-RU"/>
        </w:rPr>
        <w:t>10 мая 1945 г. завершили постройку 4-го экземпляра Ер-20Н. По сводке на 1 июня 1946 г. на заводе № 39 находились два Ер-20Н и ещё два — на ЛИС завода № 134 (15810).</w:t>
      </w:r>
    </w:p>
    <w:p w14:paraId="2154B232" w14:textId="77777777" w:rsidR="0025587C" w:rsidRPr="00925F26" w:rsidRDefault="0025587C" w:rsidP="00925F26">
      <w:pPr>
        <w:pStyle w:val="a3"/>
        <w:rPr>
          <w:color w:val="000000" w:themeColor="text1"/>
          <w:lang w:val="ru-RU"/>
        </w:rPr>
      </w:pPr>
    </w:p>
    <w:p w14:paraId="4944F710" w14:textId="77777777" w:rsidR="00AA32F2" w:rsidRPr="00925F26" w:rsidRDefault="00AA32F2" w:rsidP="00925F26">
      <w:pPr>
        <w:shd w:val="clear" w:color="auto" w:fill="FFFFFF"/>
        <w:jc w:val="both"/>
        <w:rPr>
          <w:color w:val="000000" w:themeColor="text1"/>
          <w:sz w:val="16"/>
          <w:szCs w:val="16"/>
        </w:rPr>
      </w:pPr>
      <w:r w:rsidRPr="00925F26">
        <w:rPr>
          <w:color w:val="000000" w:themeColor="text1"/>
          <w:sz w:val="16"/>
          <w:szCs w:val="16"/>
        </w:rPr>
        <w:t>10 мая 1945 года после замены зажигания на химическое модифицированный двигатель РД-1ХЗ поступил на завод № 134 и к 15 мая его установили на самолет Су-7, но на следую щий день его отправили на завод № 16 (19586).</w:t>
      </w:r>
    </w:p>
    <w:p w14:paraId="75C704EA" w14:textId="77777777" w:rsidR="00AA32F2" w:rsidRPr="00925F26" w:rsidRDefault="00AA32F2" w:rsidP="00925F26">
      <w:pPr>
        <w:shd w:val="clear" w:color="auto" w:fill="FFFFFF"/>
        <w:jc w:val="both"/>
        <w:rPr>
          <w:color w:val="000000" w:themeColor="text1"/>
          <w:sz w:val="16"/>
          <w:szCs w:val="16"/>
        </w:rPr>
      </w:pPr>
    </w:p>
    <w:p w14:paraId="6F1478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мая 1945 г. модифицированный двигатель поступил на завод № 134 и к 15 мая был установлен на самолет, но на следующий день, по указанию ОКБ-СД, двигатель сняли и отправили на завод № 16 (10668).</w:t>
      </w:r>
    </w:p>
    <w:p w14:paraId="7F6450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ADFC1E4" w14:textId="77777777" w:rsidR="00023647" w:rsidRPr="001A0BAA" w:rsidRDefault="00023647" w:rsidP="00023647">
      <w:pPr>
        <w:jc w:val="both"/>
        <w:rPr>
          <w:color w:val="0070C0"/>
          <w:sz w:val="16"/>
          <w:szCs w:val="16"/>
        </w:rPr>
      </w:pPr>
      <w:r w:rsidRPr="001A0BAA">
        <w:rPr>
          <w:color w:val="0070C0"/>
          <w:sz w:val="16"/>
          <w:szCs w:val="16"/>
        </w:rPr>
        <w:t>10 мая 1945 года после замены зажигания на химическое модифицированный двигатель РД-1ХЗ поступил на завод № 134 и к 15 мая его установили на самолет Су-7, но на следую</w:t>
      </w:r>
      <w:r w:rsidRPr="001A0BAA">
        <w:rPr>
          <w:color w:val="0070C0"/>
          <w:sz w:val="16"/>
          <w:szCs w:val="16"/>
        </w:rPr>
        <w:softHyphen/>
        <w:t>щий день его отправили на завод № 16 (24920).</w:t>
      </w:r>
    </w:p>
    <w:p w14:paraId="251E433D" w14:textId="77777777" w:rsidR="00023647" w:rsidRPr="001A0BAA" w:rsidRDefault="00023647" w:rsidP="00023647">
      <w:pPr>
        <w:jc w:val="both"/>
        <w:rPr>
          <w:color w:val="0070C0"/>
          <w:sz w:val="16"/>
          <w:szCs w:val="16"/>
        </w:rPr>
      </w:pPr>
    </w:p>
    <w:p w14:paraId="466164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8457 О вывозе оборудования и материалов с немецких заводов и авиационного института, расположенных в г. Берлин и его окрестностях, на предприятия Наркомавиапрома. РГАНИР, Фонд ГКО, д. 414, лл. 63-66 (11012).</w:t>
      </w:r>
    </w:p>
    <w:p w14:paraId="215CAD6E" w14:textId="77777777" w:rsidR="00665165" w:rsidRPr="00925F26" w:rsidRDefault="00665165" w:rsidP="00925F26">
      <w:pPr>
        <w:autoSpaceDE w:val="0"/>
        <w:autoSpaceDN w:val="0"/>
        <w:adjustRightInd w:val="0"/>
        <w:jc w:val="both"/>
        <w:rPr>
          <w:color w:val="000000" w:themeColor="text1"/>
          <w:sz w:val="16"/>
          <w:szCs w:val="16"/>
        </w:rPr>
      </w:pPr>
    </w:p>
    <w:p w14:paraId="7B760D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8481 О вывозе оборудования и материалов с авиационных заводов, расположенных в районе г. Вена. РГАНИР, Фонд ГКО, д. 414, лл. 104-106 (11012).</w:t>
      </w:r>
    </w:p>
    <w:p w14:paraId="7AFA992D" w14:textId="77777777" w:rsidR="00665165" w:rsidRPr="00925F26" w:rsidRDefault="00665165" w:rsidP="00925F26">
      <w:pPr>
        <w:autoSpaceDE w:val="0"/>
        <w:autoSpaceDN w:val="0"/>
        <w:adjustRightInd w:val="0"/>
        <w:jc w:val="both"/>
        <w:rPr>
          <w:color w:val="000000" w:themeColor="text1"/>
          <w:sz w:val="16"/>
          <w:szCs w:val="16"/>
        </w:rPr>
      </w:pPr>
    </w:p>
    <w:p w14:paraId="7AD33B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8482 О вывозе двух комплектов радиоаппаратуры к самолетам-снарядам ФАУ-2 и технической документации из Высшей электротехнической школы в г. Вена. РГАНИР, Фонд ГКО, д. 414, лл. 107 (11012).</w:t>
      </w:r>
    </w:p>
    <w:p w14:paraId="14900422" w14:textId="77777777" w:rsidR="00665165" w:rsidRPr="00925F26" w:rsidRDefault="00665165" w:rsidP="00925F26">
      <w:pPr>
        <w:autoSpaceDE w:val="0"/>
        <w:autoSpaceDN w:val="0"/>
        <w:adjustRightInd w:val="0"/>
        <w:jc w:val="both"/>
        <w:rPr>
          <w:color w:val="000000" w:themeColor="text1"/>
          <w:sz w:val="16"/>
          <w:szCs w:val="16"/>
        </w:rPr>
      </w:pPr>
    </w:p>
    <w:p w14:paraId="73FB47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8483 О вывозе технической документации и опытных образцов реактивных самолетов Хейнкеля из г. Вена. РГАНИР, Фонд ГКО, д. 414, лл. 108-109 (11012).</w:t>
      </w:r>
    </w:p>
    <w:p w14:paraId="09E62D04" w14:textId="77777777" w:rsidR="00665165" w:rsidRPr="00925F26" w:rsidRDefault="00665165" w:rsidP="00925F26">
      <w:pPr>
        <w:autoSpaceDE w:val="0"/>
        <w:autoSpaceDN w:val="0"/>
        <w:adjustRightInd w:val="0"/>
        <w:jc w:val="both"/>
        <w:rPr>
          <w:color w:val="000000" w:themeColor="text1"/>
          <w:sz w:val="16"/>
          <w:szCs w:val="16"/>
        </w:rPr>
      </w:pPr>
    </w:p>
    <w:p w14:paraId="5E59B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8484 О вывозе оборудования, задела и полуфабрикатов приборной продукции с немецкого завода фирмы "Минерва-Радио" в г. Вена. РГАНИР, Фонд ГКО, д. 414, лл. 110-111 (11012).</w:t>
      </w:r>
    </w:p>
    <w:p w14:paraId="32E5CE9D" w14:textId="77777777" w:rsidR="00665165" w:rsidRPr="00925F26" w:rsidRDefault="00665165" w:rsidP="00925F26">
      <w:pPr>
        <w:autoSpaceDE w:val="0"/>
        <w:autoSpaceDN w:val="0"/>
        <w:adjustRightInd w:val="0"/>
        <w:jc w:val="both"/>
        <w:rPr>
          <w:color w:val="000000" w:themeColor="text1"/>
          <w:sz w:val="16"/>
          <w:szCs w:val="16"/>
        </w:rPr>
      </w:pPr>
    </w:p>
    <w:p w14:paraId="353428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8485 О вывозе оборудования с завода фирмы "Паукерверке" немецкого концерна "Герман Геринг" в г. Флоридсдорф (район г. Вена). РГАНИР, Фонд ГКО, д. 414, лл. 112-113 (11012).</w:t>
      </w:r>
    </w:p>
    <w:p w14:paraId="2D13591A" w14:textId="77777777" w:rsidR="00665165" w:rsidRPr="00925F26" w:rsidRDefault="00665165" w:rsidP="00925F26">
      <w:pPr>
        <w:autoSpaceDE w:val="0"/>
        <w:autoSpaceDN w:val="0"/>
        <w:adjustRightInd w:val="0"/>
        <w:jc w:val="both"/>
        <w:rPr>
          <w:color w:val="000000" w:themeColor="text1"/>
          <w:sz w:val="16"/>
          <w:szCs w:val="16"/>
        </w:rPr>
      </w:pPr>
    </w:p>
    <w:p w14:paraId="5A4E131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03F0844" w14:textId="77777777" w:rsidR="00665165" w:rsidRPr="00925F26" w:rsidRDefault="00665165" w:rsidP="00925F26">
      <w:pPr>
        <w:autoSpaceDE w:val="0"/>
        <w:autoSpaceDN w:val="0"/>
        <w:adjustRightInd w:val="0"/>
        <w:jc w:val="both"/>
        <w:rPr>
          <w:iCs/>
          <w:color w:val="000000" w:themeColor="text1"/>
          <w:sz w:val="16"/>
          <w:szCs w:val="16"/>
        </w:rPr>
      </w:pPr>
    </w:p>
    <w:p w14:paraId="0D2CC0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начались стрельбы 85-мм из противотанковой пушки ЗИС-Д-44 на Гороховецком полигоне. На испытаниях скорострельность пушки оказалась: с исправлением наводки при угле +20° - 15 выстр/мин; при угле 0° - 11ё13 выстр/мин; а максимальная скорострельность без исправления наводки 20 - 22 выстр/мин. Испытания обкаткой проводились за автомобилем "Студебеккер", а по бездорожью - за трактором "Я-12". Всего с 19 по 25 мая пройдено 1512 км. Из них по булыжной мостовой 810 км со средней скоростью 25,7 км/час, а максимальной - 33 км/час. По проселочной дороге - 426 км со средней скоростью 21,9 км/час и максимальной - 40 км/час. По асфальтовому шоссе - 220 км со средней скоростью 41,2 км/час, максимальной - 55 км/час. По бездорожью и пересеченной местности - 56 км со средней скоростью 11,7 км/час. Согласно заключению комиссии ЗИС-Д-44 полигонные испытания не выдержала, в том числе из-за неудовлетворительной экстракции гильз. Однако после повторных полигонных, а затем и войсковых испытаний пушка была принята на вооружение под названием "85-мм дивизионная пушка Д-44" (3861).</w:t>
      </w:r>
    </w:p>
    <w:p w14:paraId="08F2A5C9" w14:textId="77777777" w:rsidR="00665165" w:rsidRPr="00925F26" w:rsidRDefault="00665165" w:rsidP="00925F26">
      <w:pPr>
        <w:autoSpaceDE w:val="0"/>
        <w:autoSpaceDN w:val="0"/>
        <w:adjustRightInd w:val="0"/>
        <w:jc w:val="both"/>
        <w:rPr>
          <w:color w:val="000000" w:themeColor="text1"/>
          <w:sz w:val="16"/>
          <w:szCs w:val="16"/>
        </w:rPr>
      </w:pPr>
    </w:p>
    <w:p w14:paraId="5FCED5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г. на завод ГСНИИ-42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  г. Москва ш. Энтузиастов, 23 тел. 273-86-30/) из Германии вывезена опытная установка по производству зарина.</w:t>
      </w:r>
    </w:p>
    <w:p w14:paraId="1CEBB5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войны ГС НИИ-42 с опытным заводом был переименован в ГС НИИ-403. Позднее он получил название ГС НИИОХТ с опытным заводом, а затем - ГНИИОХТ.</w:t>
      </w:r>
    </w:p>
    <w:p w14:paraId="1995EE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1950-</w:t>
      </w:r>
      <w:proofErr w:type="gramStart"/>
      <w:r w:rsidRPr="00925F26">
        <w:rPr>
          <w:color w:val="000000" w:themeColor="text1"/>
          <w:sz w:val="16"/>
          <w:szCs w:val="16"/>
        </w:rPr>
        <w:t>х  г.</w:t>
      </w:r>
      <w:proofErr w:type="gramEnd"/>
      <w:r w:rsidRPr="00925F26">
        <w:rPr>
          <w:color w:val="000000" w:themeColor="text1"/>
          <w:sz w:val="16"/>
          <w:szCs w:val="16"/>
        </w:rPr>
        <w:t xml:space="preserve"> организовано два филиала ГС НИИОХТ: № 4 </w:t>
      </w:r>
      <w:proofErr w:type="gramStart"/>
      <w:r w:rsidRPr="00925F26">
        <w:rPr>
          <w:color w:val="000000" w:themeColor="text1"/>
          <w:sz w:val="16"/>
          <w:szCs w:val="16"/>
        </w:rPr>
        <w:t>в  г.</w:t>
      </w:r>
      <w:proofErr w:type="gramEnd"/>
      <w:r w:rsidRPr="00925F26">
        <w:rPr>
          <w:color w:val="000000" w:themeColor="text1"/>
          <w:sz w:val="16"/>
          <w:szCs w:val="16"/>
        </w:rPr>
        <w:t xml:space="preserve"> Вольске (далее - ГИТОС) и </w:t>
      </w:r>
      <w:proofErr w:type="gramStart"/>
      <w:r w:rsidRPr="00925F26">
        <w:rPr>
          <w:color w:val="000000" w:themeColor="text1"/>
          <w:sz w:val="16"/>
          <w:szCs w:val="16"/>
        </w:rPr>
        <w:t>в  г.</w:t>
      </w:r>
      <w:proofErr w:type="gramEnd"/>
      <w:r w:rsidRPr="00925F26">
        <w:rPr>
          <w:color w:val="000000" w:themeColor="text1"/>
          <w:sz w:val="16"/>
          <w:szCs w:val="16"/>
        </w:rPr>
        <w:t xml:space="preserve"> Волгограде (далее - НИЦ химической промышленности). Перед этим планировалось построить объект «И» во Владимирской обл., но месту в Шиханах было отдано предпочтение, т.к. туда переводился и военный ЦНИВТИ.</w:t>
      </w:r>
    </w:p>
    <w:p w14:paraId="27F288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территории института долгие годы существовал склад стойких ОВ, перебазированный в дальнейшем в Дзержинск.</w:t>
      </w:r>
    </w:p>
    <w:p w14:paraId="1E6BFA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и производство опытных партий ОВ. Головной институт МХП по разработке рецептур ОВ и боеприпасов для них.</w:t>
      </w:r>
    </w:p>
    <w:p w14:paraId="2F7EB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В 2004 г. назывался ГНЦ РФ «ГОСНИИОХТ». По Указу Президента РФ № 1009 от 4.08.2004 г. вошло в перечень стратегических оборонных предприятий.</w:t>
      </w:r>
    </w:p>
    <w:p w14:paraId="2C0EF8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соответствии с пост. СМ СССР № 103-43 от 31.01.1983 г. проводились работы по созданию ОВ 3-го поколения «А-232» (программа «Фолиант»). В соответствии с пост. № 844-186 от 6.10.1989 г. на базе А-232 создано бинарное ОВ. После всесторонних испытаний в соответствии с пост. СМ № 518-33 от 24.07.1992 г. все работы по нему были прекращены. Разработано боевое ОВ нервно-паралитического действия «Новичок». Разработана технология утилизации люизита.</w:t>
      </w:r>
    </w:p>
    <w:p w14:paraId="55560B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прозрачной авиационной брони.</w:t>
      </w:r>
    </w:p>
    <w:p w14:paraId="610FE1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(1931 г.)- 665 чел.,</w:t>
      </w:r>
      <w:r w:rsidRPr="00925F26">
        <w:rPr>
          <w:color w:val="000000" w:themeColor="text1"/>
          <w:sz w:val="16"/>
          <w:szCs w:val="16"/>
          <w:vertAlign w:val="superscript"/>
        </w:rPr>
        <w:t>71</w:t>
      </w:r>
      <w:r w:rsidRPr="00925F26">
        <w:rPr>
          <w:color w:val="000000" w:themeColor="text1"/>
          <w:sz w:val="16"/>
          <w:szCs w:val="16"/>
        </w:rPr>
        <w:t xml:space="preserve"> (2006 г.)- 1200 чел.</w:t>
      </w:r>
    </w:p>
    <w:p w14:paraId="394191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(-12 1936-1.02.1937 г.)- Б.С. Зубаровский, (1.02-30.12.1937 г.)- Н. Г. Гребельский, (30.12.1937- 03.1938 г.-)- К.Н. Смирнов, (1965 г.)- И. Мартынов,</w:t>
      </w:r>
      <w:r w:rsidRPr="00925F26">
        <w:rPr>
          <w:color w:val="000000" w:themeColor="text1"/>
          <w:sz w:val="16"/>
          <w:szCs w:val="16"/>
          <w:vertAlign w:val="superscript"/>
        </w:rPr>
        <w:t>71</w:t>
      </w:r>
      <w:r w:rsidRPr="00925F26">
        <w:rPr>
          <w:color w:val="000000" w:themeColor="text1"/>
          <w:sz w:val="16"/>
          <w:szCs w:val="16"/>
        </w:rPr>
        <w:t xml:space="preserve"> (-2000-06 г.-)- В.А. Петрунин;</w:t>
      </w:r>
      <w:r w:rsidRPr="00925F26">
        <w:rPr>
          <w:color w:val="000000" w:themeColor="text1"/>
          <w:sz w:val="16"/>
          <w:szCs w:val="16"/>
          <w:vertAlign w:val="superscript"/>
        </w:rPr>
        <w:t>72</w:t>
      </w:r>
      <w:r w:rsidRPr="00925F26">
        <w:rPr>
          <w:color w:val="000000" w:themeColor="text1"/>
          <w:sz w:val="16"/>
          <w:szCs w:val="16"/>
        </w:rPr>
        <w:t>' и.о. гендиректора (2008 г.)- В. Кондратьев.</w:t>
      </w:r>
    </w:p>
    <w:p w14:paraId="23810E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(-06-22.11.1937 г.)- Я.И. Коварский, (1938 г.)- Блинов. Помощник директора по найму и увольнению (06.1937 г.)- М.М. Федотов, (27.11,1938 г.-)</w:t>
      </w:r>
      <w:proofErr w:type="gramStart"/>
      <w:r w:rsidRPr="00925F26">
        <w:rPr>
          <w:color w:val="000000" w:themeColor="text1"/>
          <w:sz w:val="16"/>
          <w:szCs w:val="16"/>
        </w:rPr>
        <w:t>-  Г.Д.</w:t>
      </w:r>
      <w:proofErr w:type="gramEnd"/>
      <w:r w:rsidRPr="00925F26">
        <w:rPr>
          <w:color w:val="000000" w:themeColor="text1"/>
          <w:sz w:val="16"/>
          <w:szCs w:val="16"/>
        </w:rPr>
        <w:t xml:space="preserve"> Малышев.</w:t>
      </w:r>
    </w:p>
    <w:p w14:paraId="2903DA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(-12.1936-22.11.1937 г.)- Я.И. Коварский, (13.01-03.1938 г.-)- С.Д. Бесков, (1938 г.)- Варшавский.</w:t>
      </w:r>
    </w:p>
    <w:p w14:paraId="13E2C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Руководители: ЦНИЛ (12.1936 г.)- Лимоник; Проектного управления (12.1936 г.)- Бидинский; опытно- механической мастерской (-02.1937 г.)- Шихова (11982).</w:t>
      </w:r>
    </w:p>
    <w:p w14:paraId="7E15193C" w14:textId="77777777" w:rsidR="00665165" w:rsidRPr="00925F26" w:rsidRDefault="00665165" w:rsidP="00925F26">
      <w:pPr>
        <w:autoSpaceDE w:val="0"/>
        <w:autoSpaceDN w:val="0"/>
        <w:adjustRightInd w:val="0"/>
        <w:jc w:val="both"/>
        <w:rPr>
          <w:color w:val="000000" w:themeColor="text1"/>
          <w:sz w:val="16"/>
          <w:szCs w:val="16"/>
        </w:rPr>
      </w:pPr>
    </w:p>
    <w:p w14:paraId="0A761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8455 О предоставлении дополнительного займа Венгерскому правительству. РГАНИР, Фонд ГКО, д. 414, лл. 61 (11012).</w:t>
      </w:r>
    </w:p>
    <w:p w14:paraId="706485EB" w14:textId="77777777" w:rsidR="00665165" w:rsidRPr="00925F26" w:rsidRDefault="00665165" w:rsidP="00925F26">
      <w:pPr>
        <w:autoSpaceDE w:val="0"/>
        <w:autoSpaceDN w:val="0"/>
        <w:adjustRightInd w:val="0"/>
        <w:jc w:val="both"/>
        <w:rPr>
          <w:color w:val="000000" w:themeColor="text1"/>
          <w:sz w:val="16"/>
          <w:szCs w:val="16"/>
        </w:rPr>
      </w:pPr>
    </w:p>
    <w:p w14:paraId="5B72720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8456 О выделении Наркомрыбпрому СССР 5500 военнослужащих рядового и сержантского состава, бывших в немецком плену, для работы на предприятиях рыбной промышленности Дальнего Востока. (7338, 62).</w:t>
      </w:r>
    </w:p>
    <w:p w14:paraId="508D082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7E8D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8457 О вывозе оборудования и материалов с немецких заводов и авиационного института, расположенных в г. Берлин и его окрестностях, на предприятия Наркомавиапрома. РГАНИР, Фонд ГКО, д. 414, лл. 63-66 (11012).</w:t>
      </w:r>
    </w:p>
    <w:p w14:paraId="0B184539" w14:textId="77777777" w:rsidR="00665165" w:rsidRPr="00925F26" w:rsidRDefault="00665165" w:rsidP="00925F26">
      <w:pPr>
        <w:autoSpaceDE w:val="0"/>
        <w:autoSpaceDN w:val="0"/>
        <w:adjustRightInd w:val="0"/>
        <w:jc w:val="both"/>
        <w:rPr>
          <w:color w:val="000000" w:themeColor="text1"/>
          <w:sz w:val="16"/>
          <w:szCs w:val="16"/>
        </w:rPr>
      </w:pPr>
    </w:p>
    <w:p w14:paraId="3D245A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8458 О вывозе оборудования оружейного завода фирмы "Маузер" и артиллерийского завода фирмы "Фридрих Крейц" в г. Берлин. РГАНИР, Фонд ГКО, д. 414, лл. 67-68 (11012).</w:t>
      </w:r>
    </w:p>
    <w:p w14:paraId="369F5CFF" w14:textId="77777777" w:rsidR="00665165" w:rsidRPr="00925F26" w:rsidRDefault="00665165" w:rsidP="00925F26">
      <w:pPr>
        <w:autoSpaceDE w:val="0"/>
        <w:autoSpaceDN w:val="0"/>
        <w:adjustRightInd w:val="0"/>
        <w:jc w:val="both"/>
        <w:rPr>
          <w:color w:val="000000" w:themeColor="text1"/>
          <w:sz w:val="16"/>
          <w:szCs w:val="16"/>
        </w:rPr>
      </w:pPr>
    </w:p>
    <w:p w14:paraId="1ABF65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8459 О вывозе оборудования артиллерийского завода фирмы "Витенауер Машиненфабрик" в г. Берлин. РГАНИР, Фонд ГКО, д. 414, лл. 69 (11012).</w:t>
      </w:r>
    </w:p>
    <w:p w14:paraId="3BB5ECEB" w14:textId="77777777" w:rsidR="00665165" w:rsidRPr="00925F26" w:rsidRDefault="00665165" w:rsidP="00925F26">
      <w:pPr>
        <w:autoSpaceDE w:val="0"/>
        <w:autoSpaceDN w:val="0"/>
        <w:adjustRightInd w:val="0"/>
        <w:jc w:val="both"/>
        <w:rPr>
          <w:color w:val="000000" w:themeColor="text1"/>
          <w:sz w:val="16"/>
          <w:szCs w:val="16"/>
        </w:rPr>
      </w:pPr>
    </w:p>
    <w:p w14:paraId="4D4ED9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8460 О вывозе оборудования с двух немецких танкостроительных заводов фирмы "Алькот" в г. Берлин (район Борзигвальде). РГАНИР, Фонд ГКО, д. 414, лл. 70-71 (11012).</w:t>
      </w:r>
    </w:p>
    <w:p w14:paraId="64FDACF3" w14:textId="77777777" w:rsidR="00665165" w:rsidRPr="00925F26" w:rsidRDefault="00665165" w:rsidP="00925F26">
      <w:pPr>
        <w:autoSpaceDE w:val="0"/>
        <w:autoSpaceDN w:val="0"/>
        <w:adjustRightInd w:val="0"/>
        <w:jc w:val="both"/>
        <w:rPr>
          <w:color w:val="000000" w:themeColor="text1"/>
          <w:sz w:val="16"/>
          <w:szCs w:val="16"/>
        </w:rPr>
      </w:pPr>
    </w:p>
    <w:p w14:paraId="72E0CA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8461 О вывозе оборудования с немецкого танкоремонтного завода фирмы "Нартбант" в населенном пункте Шиновальде (район г. Берлин). РГАНИР, Фонд ГКО, д. 414, лл. 72-73 (11012).</w:t>
      </w:r>
    </w:p>
    <w:p w14:paraId="34BB1F1D" w14:textId="77777777" w:rsidR="00665165" w:rsidRPr="00925F26" w:rsidRDefault="00665165" w:rsidP="00925F26">
      <w:pPr>
        <w:autoSpaceDE w:val="0"/>
        <w:autoSpaceDN w:val="0"/>
        <w:adjustRightInd w:val="0"/>
        <w:jc w:val="both"/>
        <w:rPr>
          <w:color w:val="000000" w:themeColor="text1"/>
          <w:sz w:val="16"/>
          <w:szCs w:val="16"/>
        </w:rPr>
      </w:pPr>
    </w:p>
    <w:p w14:paraId="09A561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8462 О вывозе оборудования с заводов электротехнической промышленности в г. Берлин. РГАНИР, Фонд ГКО, д. 414, лл. 74-76 (11012).</w:t>
      </w:r>
    </w:p>
    <w:p w14:paraId="28A3976F" w14:textId="77777777" w:rsidR="00665165" w:rsidRPr="00925F26" w:rsidRDefault="00665165" w:rsidP="00925F26">
      <w:pPr>
        <w:autoSpaceDE w:val="0"/>
        <w:autoSpaceDN w:val="0"/>
        <w:adjustRightInd w:val="0"/>
        <w:jc w:val="both"/>
        <w:rPr>
          <w:color w:val="000000" w:themeColor="text1"/>
          <w:sz w:val="16"/>
          <w:szCs w:val="16"/>
        </w:rPr>
      </w:pPr>
    </w:p>
    <w:p w14:paraId="26F535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8463 О вывозе оборудования двух передающих радиоцентров из района г. Берлин. РГАНИР, Фонд ГКО, д. 414, лл. 77 (11012).</w:t>
      </w:r>
    </w:p>
    <w:p w14:paraId="2821715A" w14:textId="77777777" w:rsidR="00665165" w:rsidRPr="00925F26" w:rsidRDefault="00665165" w:rsidP="00925F26">
      <w:pPr>
        <w:autoSpaceDE w:val="0"/>
        <w:autoSpaceDN w:val="0"/>
        <w:adjustRightInd w:val="0"/>
        <w:jc w:val="both"/>
        <w:rPr>
          <w:color w:val="000000" w:themeColor="text1"/>
          <w:sz w:val="16"/>
          <w:szCs w:val="16"/>
        </w:rPr>
      </w:pPr>
    </w:p>
    <w:p w14:paraId="260657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8464 О вывозе оборудования подземного узла связи Ставки германской армии в г. Берлин для Наркомата обороны. РГАНИР, Фонд ГКО, д. 414, лл. 78 (11012).</w:t>
      </w:r>
    </w:p>
    <w:p w14:paraId="5C53A564" w14:textId="77777777" w:rsidR="00665165" w:rsidRPr="00925F26" w:rsidRDefault="00665165" w:rsidP="00925F26">
      <w:pPr>
        <w:autoSpaceDE w:val="0"/>
        <w:autoSpaceDN w:val="0"/>
        <w:adjustRightInd w:val="0"/>
        <w:jc w:val="both"/>
        <w:rPr>
          <w:color w:val="000000" w:themeColor="text1"/>
          <w:sz w:val="16"/>
          <w:szCs w:val="16"/>
        </w:rPr>
      </w:pPr>
    </w:p>
    <w:p w14:paraId="0FFCD6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8465 О вывозе оборудования с немецких машиностроительных заводов в г. Берлин и его районе на заводы Наркомсредмаша. РГАНИР, Фонд ГКО, д. 414, лл. 79-80, 81 (11012).</w:t>
      </w:r>
    </w:p>
    <w:p w14:paraId="71B0746D" w14:textId="77777777" w:rsidR="00665165" w:rsidRPr="00925F26" w:rsidRDefault="00665165" w:rsidP="00925F26">
      <w:pPr>
        <w:autoSpaceDE w:val="0"/>
        <w:autoSpaceDN w:val="0"/>
        <w:adjustRightInd w:val="0"/>
        <w:jc w:val="both"/>
        <w:rPr>
          <w:color w:val="000000" w:themeColor="text1"/>
          <w:sz w:val="16"/>
          <w:szCs w:val="16"/>
        </w:rPr>
      </w:pPr>
    </w:p>
    <w:p w14:paraId="196F66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8466 О вывозе оборудования с немецких заводов фирм "Бюссинг" и "Амби-Бад" в районе г. Берлин. РГАНИР, Фонд ГКО, д. 414, лл. 82 (11012).</w:t>
      </w:r>
    </w:p>
    <w:p w14:paraId="61C66011" w14:textId="77777777" w:rsidR="00665165" w:rsidRPr="00925F26" w:rsidRDefault="00665165" w:rsidP="00925F26">
      <w:pPr>
        <w:autoSpaceDE w:val="0"/>
        <w:autoSpaceDN w:val="0"/>
        <w:adjustRightInd w:val="0"/>
        <w:jc w:val="both"/>
        <w:rPr>
          <w:color w:val="000000" w:themeColor="text1"/>
          <w:sz w:val="16"/>
          <w:szCs w:val="16"/>
        </w:rPr>
      </w:pPr>
    </w:p>
    <w:p w14:paraId="126057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8467 О вывозе оборудования с немецкого завода фирмы "Альнофт" в г. Берлин (район Тегель). РГАНИР, Фонд ГКО, д. 414, лл. 83 (11012).</w:t>
      </w:r>
    </w:p>
    <w:p w14:paraId="15089AFF" w14:textId="77777777" w:rsidR="00665165" w:rsidRPr="00925F26" w:rsidRDefault="00665165" w:rsidP="00925F26">
      <w:pPr>
        <w:autoSpaceDE w:val="0"/>
        <w:autoSpaceDN w:val="0"/>
        <w:adjustRightInd w:val="0"/>
        <w:jc w:val="both"/>
        <w:rPr>
          <w:color w:val="000000" w:themeColor="text1"/>
          <w:sz w:val="16"/>
          <w:szCs w:val="16"/>
        </w:rPr>
      </w:pPr>
    </w:p>
    <w:p w14:paraId="062EDA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8468 О вывозе оборудования с немецкого завода фирмы "Демаг" в г. Берлин. РГАНИР, Фонд ГКО, д. 414, лл. 84-85 (11012).</w:t>
      </w:r>
    </w:p>
    <w:p w14:paraId="4E82B8EC" w14:textId="77777777" w:rsidR="00665165" w:rsidRPr="00925F26" w:rsidRDefault="00665165" w:rsidP="00925F26">
      <w:pPr>
        <w:autoSpaceDE w:val="0"/>
        <w:autoSpaceDN w:val="0"/>
        <w:adjustRightInd w:val="0"/>
        <w:jc w:val="both"/>
        <w:rPr>
          <w:color w:val="000000" w:themeColor="text1"/>
          <w:sz w:val="16"/>
          <w:szCs w:val="16"/>
        </w:rPr>
      </w:pPr>
    </w:p>
    <w:p w14:paraId="07FD18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8469 О вывозе оборудования с немецкого завода речного судостроения фирмы "Тальбов" в г. Фридрихсхаген (в 18 километрах от Берлина). РГАНИР, Фонд ГКО, д. 414, лл. 86 (11012).</w:t>
      </w:r>
    </w:p>
    <w:p w14:paraId="13B29BE9" w14:textId="77777777" w:rsidR="00665165" w:rsidRPr="00925F26" w:rsidRDefault="00665165" w:rsidP="00925F26">
      <w:pPr>
        <w:autoSpaceDE w:val="0"/>
        <w:autoSpaceDN w:val="0"/>
        <w:adjustRightInd w:val="0"/>
        <w:jc w:val="both"/>
        <w:rPr>
          <w:color w:val="000000" w:themeColor="text1"/>
          <w:sz w:val="16"/>
          <w:szCs w:val="16"/>
        </w:rPr>
      </w:pPr>
    </w:p>
    <w:p w14:paraId="461402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8470 О вывозе оборудования немецкого машиностроительного завода фирмы ОТИЗ (г. Берлин). РГАНИР, Фонд ГКО, д. 414, лл. 87 (11012).</w:t>
      </w:r>
    </w:p>
    <w:p w14:paraId="08B58AD2" w14:textId="77777777" w:rsidR="00665165" w:rsidRPr="00925F26" w:rsidRDefault="00665165" w:rsidP="00925F26">
      <w:pPr>
        <w:autoSpaceDE w:val="0"/>
        <w:autoSpaceDN w:val="0"/>
        <w:adjustRightInd w:val="0"/>
        <w:jc w:val="both"/>
        <w:rPr>
          <w:color w:val="000000" w:themeColor="text1"/>
          <w:sz w:val="16"/>
          <w:szCs w:val="16"/>
        </w:rPr>
      </w:pPr>
    </w:p>
    <w:p w14:paraId="379B53D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8471 О вывозе оборудования и технической литературы Военно-химического института "Кайзер Вильгельм", Военно-токсикологического института и центральной химической лаборатории германской армии в г. Берлин. (7338, 88).</w:t>
      </w:r>
    </w:p>
    <w:p w14:paraId="5CEBFF6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B1D0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8472 О вывозе из г. Берлин и его пригородов оборудования завода пластмассовых порошков фирмы "Ротершверке", химфабрики ДИВАГ, лакокрасочного завода фирмы "Зарнецке-Бойм", химзавода акционерного общества "Нитрит фабрик" и завод химических реак. РГАНИР, Фонд ГКО, д. 414, лл. (11012).</w:t>
      </w:r>
    </w:p>
    <w:p w14:paraId="14A840DB" w14:textId="77777777" w:rsidR="00665165" w:rsidRPr="00925F26" w:rsidRDefault="00665165" w:rsidP="00925F26">
      <w:pPr>
        <w:autoSpaceDE w:val="0"/>
        <w:autoSpaceDN w:val="0"/>
        <w:adjustRightInd w:val="0"/>
        <w:jc w:val="both"/>
        <w:rPr>
          <w:color w:val="000000" w:themeColor="text1"/>
          <w:sz w:val="16"/>
          <w:szCs w:val="16"/>
        </w:rPr>
      </w:pPr>
    </w:p>
    <w:p w14:paraId="15CCCC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8473 О вывозе оборудования с предприятий, расположенных в районе г. Берлин, для Наркомстроя. РГАНИР, Фонд ГКО, д. 414, лл. 91 (11012).</w:t>
      </w:r>
    </w:p>
    <w:p w14:paraId="6CD20EE1" w14:textId="77777777" w:rsidR="00665165" w:rsidRPr="00925F26" w:rsidRDefault="00665165" w:rsidP="00925F26">
      <w:pPr>
        <w:autoSpaceDE w:val="0"/>
        <w:autoSpaceDN w:val="0"/>
        <w:adjustRightInd w:val="0"/>
        <w:jc w:val="both"/>
        <w:rPr>
          <w:color w:val="000000" w:themeColor="text1"/>
          <w:sz w:val="16"/>
          <w:szCs w:val="16"/>
        </w:rPr>
      </w:pPr>
    </w:p>
    <w:p w14:paraId="5191AC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8474 О вывозе оборудования со станкостроительных заводов фирм ДНВ, "Шенефельдерверке", "Роберт Линдер", "Рабома", "Вертлейтис и Борер и К'" в г. Берлин и фирмы "Краузе и К'", "Инфранк и К'" в г. Вена. РГАНИР, Фонд ГКО, д. 414, лл. 92-93, 94 (11012).</w:t>
      </w:r>
    </w:p>
    <w:p w14:paraId="5CA2C167" w14:textId="77777777" w:rsidR="00665165" w:rsidRPr="00925F26" w:rsidRDefault="00665165" w:rsidP="00925F26">
      <w:pPr>
        <w:autoSpaceDE w:val="0"/>
        <w:autoSpaceDN w:val="0"/>
        <w:adjustRightInd w:val="0"/>
        <w:jc w:val="both"/>
        <w:rPr>
          <w:color w:val="000000" w:themeColor="text1"/>
          <w:sz w:val="16"/>
          <w:szCs w:val="16"/>
        </w:rPr>
      </w:pPr>
    </w:p>
    <w:p w14:paraId="6AE282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10 мая 1945 вышло Постановление ГКО № 8475 О вывозе оборудования фабрики </w:t>
      </w:r>
      <w:proofErr w:type="gramStart"/>
      <w:r w:rsidRPr="00925F26">
        <w:rPr>
          <w:color w:val="000000" w:themeColor="text1"/>
          <w:sz w:val="16"/>
          <w:szCs w:val="16"/>
        </w:rPr>
        <w:t>кино-фото-пленки</w:t>
      </w:r>
      <w:proofErr w:type="gramEnd"/>
      <w:r w:rsidRPr="00925F26">
        <w:rPr>
          <w:color w:val="000000" w:themeColor="text1"/>
          <w:sz w:val="16"/>
          <w:szCs w:val="16"/>
        </w:rPr>
        <w:t xml:space="preserve"> и фотобумаги немецкой фирмы "Кодак" в г. Берлин. РГАНИР, Фонд ГКО, д. 414, лл. 95 (11012).</w:t>
      </w:r>
    </w:p>
    <w:p w14:paraId="0EA433AC" w14:textId="77777777" w:rsidR="00665165" w:rsidRPr="00925F26" w:rsidRDefault="00665165" w:rsidP="00925F26">
      <w:pPr>
        <w:autoSpaceDE w:val="0"/>
        <w:autoSpaceDN w:val="0"/>
        <w:adjustRightInd w:val="0"/>
        <w:jc w:val="both"/>
        <w:rPr>
          <w:color w:val="000000" w:themeColor="text1"/>
          <w:sz w:val="16"/>
          <w:szCs w:val="16"/>
        </w:rPr>
      </w:pPr>
    </w:p>
    <w:p w14:paraId="4C5F0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8476 О вывозе оборудования химико-фармацевтического завода фирмы "Шеринг" в г. Берлин. РГАНИР, Фонд ГКО, д. 414, лл. 96 (11012).</w:t>
      </w:r>
    </w:p>
    <w:p w14:paraId="747DE5FC" w14:textId="77777777" w:rsidR="00665165" w:rsidRPr="00925F26" w:rsidRDefault="00665165" w:rsidP="00925F26">
      <w:pPr>
        <w:autoSpaceDE w:val="0"/>
        <w:autoSpaceDN w:val="0"/>
        <w:adjustRightInd w:val="0"/>
        <w:jc w:val="both"/>
        <w:rPr>
          <w:color w:val="000000" w:themeColor="text1"/>
          <w:sz w:val="16"/>
          <w:szCs w:val="16"/>
        </w:rPr>
      </w:pPr>
    </w:p>
    <w:p w14:paraId="1CECE0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8477 О вывозе оборудования научно-исследовательского артиллерийского полигона, расположенного в районе Куммерсдорфа южнее г. Берлин. РГАНИР, Фонд ГКО, д. 414, лл. 97 (11012).</w:t>
      </w:r>
    </w:p>
    <w:p w14:paraId="46685EAC" w14:textId="77777777" w:rsidR="00665165" w:rsidRPr="00925F26" w:rsidRDefault="00665165" w:rsidP="00925F26">
      <w:pPr>
        <w:autoSpaceDE w:val="0"/>
        <w:autoSpaceDN w:val="0"/>
        <w:adjustRightInd w:val="0"/>
        <w:jc w:val="both"/>
        <w:rPr>
          <w:color w:val="000000" w:themeColor="text1"/>
          <w:sz w:val="16"/>
          <w:szCs w:val="16"/>
        </w:rPr>
      </w:pPr>
    </w:p>
    <w:p w14:paraId="2D04D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8479 О вывозе 11 турбогенераторов на общую мощность 357,5 тысяч киловатт и 43 котлов с немецкой электростанции в районе г. Шпремберг и немецкой электростанции в районе г. Штеттин. РГАНИР, Фонд ГКО, д. 414, лл. 99-101 (11012).</w:t>
      </w:r>
    </w:p>
    <w:p w14:paraId="2D753617" w14:textId="77777777" w:rsidR="00665165" w:rsidRPr="00925F26" w:rsidRDefault="00665165" w:rsidP="00925F26">
      <w:pPr>
        <w:autoSpaceDE w:val="0"/>
        <w:autoSpaceDN w:val="0"/>
        <w:adjustRightInd w:val="0"/>
        <w:jc w:val="both"/>
        <w:rPr>
          <w:color w:val="000000" w:themeColor="text1"/>
          <w:sz w:val="16"/>
          <w:szCs w:val="16"/>
        </w:rPr>
      </w:pPr>
    </w:p>
    <w:p w14:paraId="04A8D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8480 О вывозе оборудования и материалов из района г. Вена на предприятия НКавиапрома. РГАНИР, Фонд ГКО, д. 414, лл. 102-103 (11012).</w:t>
      </w:r>
    </w:p>
    <w:p w14:paraId="5CF14B92" w14:textId="77777777" w:rsidR="00665165" w:rsidRPr="00925F26" w:rsidRDefault="00665165" w:rsidP="00925F26">
      <w:pPr>
        <w:autoSpaceDE w:val="0"/>
        <w:autoSpaceDN w:val="0"/>
        <w:adjustRightInd w:val="0"/>
        <w:jc w:val="both"/>
        <w:rPr>
          <w:color w:val="000000" w:themeColor="text1"/>
          <w:sz w:val="16"/>
          <w:szCs w:val="16"/>
        </w:rPr>
      </w:pPr>
    </w:p>
    <w:p w14:paraId="2FED07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8486 О вывозе оборудования, материалов и готовой продукции с арматурного завода "Машинен унд Дампфессель Арматурен Фабрик" фирмы "Шеффер и Буденберг" в г. Вена. РГАНИР, Фонд ГКО, д. 414, лл. 114-115 (11012).</w:t>
      </w:r>
    </w:p>
    <w:p w14:paraId="3354863A" w14:textId="77777777" w:rsidR="00665165" w:rsidRPr="00925F26" w:rsidRDefault="00665165" w:rsidP="00925F26">
      <w:pPr>
        <w:autoSpaceDE w:val="0"/>
        <w:autoSpaceDN w:val="0"/>
        <w:adjustRightInd w:val="0"/>
        <w:jc w:val="both"/>
        <w:rPr>
          <w:color w:val="000000" w:themeColor="text1"/>
          <w:sz w:val="16"/>
          <w:szCs w:val="16"/>
        </w:rPr>
      </w:pPr>
    </w:p>
    <w:p w14:paraId="4CAE35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8487 О вывозе оборудования с заводов электротехнической промышленности в г. г. Вена и Бромберг. РГАНИР, Фонд ГКО, д. 414, лл. 116-117 (11012).</w:t>
      </w:r>
    </w:p>
    <w:p w14:paraId="52377AE9" w14:textId="77777777" w:rsidR="00665165" w:rsidRPr="00925F26" w:rsidRDefault="00665165" w:rsidP="00925F26">
      <w:pPr>
        <w:autoSpaceDE w:val="0"/>
        <w:autoSpaceDN w:val="0"/>
        <w:adjustRightInd w:val="0"/>
        <w:jc w:val="both"/>
        <w:rPr>
          <w:color w:val="000000" w:themeColor="text1"/>
          <w:sz w:val="16"/>
          <w:szCs w:val="16"/>
        </w:rPr>
      </w:pPr>
    </w:p>
    <w:p w14:paraId="357328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8488 О вывозе оборудования с немецкой судостроительной верфи "Донау" акционерного общества "Гюттенхофнунгехюте" и с немецкого котлостроительного завода Альбрехт Франца в г. Вена. РГАНИР, Фонд ГКО, д. 414, лл. 118-119 (11012).</w:t>
      </w:r>
    </w:p>
    <w:p w14:paraId="1DE165D0" w14:textId="77777777" w:rsidR="00665165" w:rsidRPr="00925F26" w:rsidRDefault="00665165" w:rsidP="00925F26">
      <w:pPr>
        <w:autoSpaceDE w:val="0"/>
        <w:autoSpaceDN w:val="0"/>
        <w:adjustRightInd w:val="0"/>
        <w:jc w:val="both"/>
        <w:rPr>
          <w:color w:val="000000" w:themeColor="text1"/>
          <w:sz w:val="16"/>
          <w:szCs w:val="16"/>
        </w:rPr>
      </w:pPr>
    </w:p>
    <w:p w14:paraId="6B0B9C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8489 О вывозе оборудования и сырья с лакокрасочного завода немецкой фирмы "Эберсбергер" в районе г. Вена. РГАНИР, Фонд ГКО, д. 414, лл. 120-121 (11012).</w:t>
      </w:r>
    </w:p>
    <w:p w14:paraId="37706C7C" w14:textId="77777777" w:rsidR="00665165" w:rsidRPr="00925F26" w:rsidRDefault="00665165" w:rsidP="00925F26">
      <w:pPr>
        <w:autoSpaceDE w:val="0"/>
        <w:autoSpaceDN w:val="0"/>
        <w:adjustRightInd w:val="0"/>
        <w:jc w:val="both"/>
        <w:rPr>
          <w:color w:val="000000" w:themeColor="text1"/>
          <w:sz w:val="16"/>
          <w:szCs w:val="16"/>
        </w:rPr>
      </w:pPr>
    </w:p>
    <w:p w14:paraId="6EFE9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8490 О вывозе оборудования, аппаратуры и материалов киностудии художественных фильмов в г. Вена. РГАНИР, Фонд ГКО, д. 414, лл. 122 (11012).</w:t>
      </w:r>
    </w:p>
    <w:p w14:paraId="392E2C50" w14:textId="77777777" w:rsidR="00665165" w:rsidRPr="00925F26" w:rsidRDefault="00665165" w:rsidP="00925F26">
      <w:pPr>
        <w:autoSpaceDE w:val="0"/>
        <w:autoSpaceDN w:val="0"/>
        <w:adjustRightInd w:val="0"/>
        <w:jc w:val="both"/>
        <w:rPr>
          <w:color w:val="000000" w:themeColor="text1"/>
          <w:sz w:val="16"/>
          <w:szCs w:val="16"/>
        </w:rPr>
      </w:pPr>
    </w:p>
    <w:p w14:paraId="3B66C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8491 О вывозе оборудования с предприятий нефтяной промышленности и складов Австрии. РГАНИР, Фонд ГКО, д. 414, лл. 123-124 (11012).</w:t>
      </w:r>
    </w:p>
    <w:p w14:paraId="7145CA24" w14:textId="77777777" w:rsidR="00665165" w:rsidRPr="00925F26" w:rsidRDefault="00665165" w:rsidP="00925F26">
      <w:pPr>
        <w:autoSpaceDE w:val="0"/>
        <w:autoSpaceDN w:val="0"/>
        <w:adjustRightInd w:val="0"/>
        <w:jc w:val="both"/>
        <w:rPr>
          <w:color w:val="000000" w:themeColor="text1"/>
          <w:sz w:val="16"/>
          <w:szCs w:val="16"/>
        </w:rPr>
      </w:pPr>
    </w:p>
    <w:p w14:paraId="1D68BD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8492 О вывозе оборудования с прокатного завода "Шмидтштальверке" и с электрокраностроительного завода фирмы "Стефансвич" в г. Вена и пяти экскаваторов с карьера "Хаген" в районе г. Вена на предприятия Наркомчермета. РГАНИР, Фонд ГКО, д. 414, лл. 125-126 (11012).</w:t>
      </w:r>
    </w:p>
    <w:p w14:paraId="5630B83B" w14:textId="77777777" w:rsidR="00665165" w:rsidRPr="00925F26" w:rsidRDefault="00665165" w:rsidP="00925F26">
      <w:pPr>
        <w:autoSpaceDE w:val="0"/>
        <w:autoSpaceDN w:val="0"/>
        <w:adjustRightInd w:val="0"/>
        <w:jc w:val="both"/>
        <w:rPr>
          <w:color w:val="000000" w:themeColor="text1"/>
          <w:sz w:val="16"/>
          <w:szCs w:val="16"/>
        </w:rPr>
      </w:pPr>
    </w:p>
    <w:p w14:paraId="26189E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8493 О вывозе оборудования по производству патронов с немецкого завода фирмы "Теодор Бергман" в г. Вельтен (Германия). РГАНИР, Фонд ГКО, д. 414, лл. 127-128 (11012).</w:t>
      </w:r>
    </w:p>
    <w:p w14:paraId="1995CEBB" w14:textId="77777777" w:rsidR="00665165" w:rsidRPr="00925F26" w:rsidRDefault="00665165" w:rsidP="00925F26">
      <w:pPr>
        <w:autoSpaceDE w:val="0"/>
        <w:autoSpaceDN w:val="0"/>
        <w:adjustRightInd w:val="0"/>
        <w:jc w:val="both"/>
        <w:rPr>
          <w:color w:val="000000" w:themeColor="text1"/>
          <w:sz w:val="16"/>
          <w:szCs w:val="16"/>
        </w:rPr>
      </w:pPr>
    </w:p>
    <w:p w14:paraId="23288D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8494 О вывозе оборудования и материалов с оружейно-пулеметного завода, принадлежавшего германскому военному министерству в г. Вельтен (Германия). РГАНИР, Фонд ГКО, д. 414, лл. 129-130 (11012).</w:t>
      </w:r>
    </w:p>
    <w:p w14:paraId="65BF2491" w14:textId="77777777" w:rsidR="00665165" w:rsidRPr="00925F26" w:rsidRDefault="00665165" w:rsidP="00925F26">
      <w:pPr>
        <w:autoSpaceDE w:val="0"/>
        <w:autoSpaceDN w:val="0"/>
        <w:adjustRightInd w:val="0"/>
        <w:jc w:val="both"/>
        <w:rPr>
          <w:color w:val="000000" w:themeColor="text1"/>
          <w:sz w:val="16"/>
          <w:szCs w:val="16"/>
        </w:rPr>
      </w:pPr>
    </w:p>
    <w:p w14:paraId="70EAAC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8495 О вывозе оборудования немецкого завода точной механики, расположенного юго-восточнее г. Мюнхенберг. РГАНИР, Фонд ГКО, д. 414, лл. 131-132 (11012).</w:t>
      </w:r>
    </w:p>
    <w:p w14:paraId="75E7FAC5" w14:textId="77777777" w:rsidR="00665165" w:rsidRPr="00925F26" w:rsidRDefault="00665165" w:rsidP="00925F26">
      <w:pPr>
        <w:autoSpaceDE w:val="0"/>
        <w:autoSpaceDN w:val="0"/>
        <w:adjustRightInd w:val="0"/>
        <w:jc w:val="both"/>
        <w:rPr>
          <w:color w:val="000000" w:themeColor="text1"/>
          <w:sz w:val="16"/>
          <w:szCs w:val="16"/>
        </w:rPr>
      </w:pPr>
    </w:p>
    <w:p w14:paraId="5F8C3C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8496 О вывозе оборудования с немецкого завода фирмы "Шталь" (г. Бернау, Германия). РГАНИР, Фонд ГКО, д. 414, лл. 133-134 (11012).</w:t>
      </w:r>
    </w:p>
    <w:p w14:paraId="220520DF" w14:textId="77777777" w:rsidR="00665165" w:rsidRPr="00925F26" w:rsidRDefault="00665165" w:rsidP="00925F26">
      <w:pPr>
        <w:autoSpaceDE w:val="0"/>
        <w:autoSpaceDN w:val="0"/>
        <w:adjustRightInd w:val="0"/>
        <w:jc w:val="both"/>
        <w:rPr>
          <w:color w:val="000000" w:themeColor="text1"/>
          <w:sz w:val="16"/>
          <w:szCs w:val="16"/>
        </w:rPr>
      </w:pPr>
    </w:p>
    <w:p w14:paraId="39CADE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8497 О вывозе оборудования с немецкого механического завода "Вильгельм Хютте" в г. Шпроттау. РГАНИР, Фонд ГКО, д. 414, лл. 135 (11012).</w:t>
      </w:r>
    </w:p>
    <w:p w14:paraId="36D17B58" w14:textId="77777777" w:rsidR="00665165" w:rsidRPr="00925F26" w:rsidRDefault="00665165" w:rsidP="00925F26">
      <w:pPr>
        <w:autoSpaceDE w:val="0"/>
        <w:autoSpaceDN w:val="0"/>
        <w:adjustRightInd w:val="0"/>
        <w:jc w:val="both"/>
        <w:rPr>
          <w:color w:val="000000" w:themeColor="text1"/>
          <w:sz w:val="16"/>
          <w:szCs w:val="16"/>
        </w:rPr>
      </w:pPr>
    </w:p>
    <w:p w14:paraId="1D75A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8498 О вывозе оборудования с немецкого завода фирмы "Ардельтверке-Эберсвальде" в населенном пункте Гроссмазельвитц (район г. Бреслау). РГАНИР, Фонд ГКО, д. 414, лл. 136-137 (11012).</w:t>
      </w:r>
    </w:p>
    <w:p w14:paraId="4676A36F" w14:textId="77777777" w:rsidR="00665165" w:rsidRPr="00925F26" w:rsidRDefault="00665165" w:rsidP="00925F26">
      <w:pPr>
        <w:autoSpaceDE w:val="0"/>
        <w:autoSpaceDN w:val="0"/>
        <w:adjustRightInd w:val="0"/>
        <w:jc w:val="both"/>
        <w:rPr>
          <w:color w:val="000000" w:themeColor="text1"/>
          <w:sz w:val="16"/>
          <w:szCs w:val="16"/>
        </w:rPr>
      </w:pPr>
    </w:p>
    <w:p w14:paraId="5068B5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8499 О вывозе 250 вагонеток типа "Коппель" со склада в г. Эльбинг. РГАНИР, Фонд ГКО, д. 414, лл. 138 (11012).</w:t>
      </w:r>
    </w:p>
    <w:p w14:paraId="5C12BF67" w14:textId="77777777" w:rsidR="00665165" w:rsidRPr="00925F26" w:rsidRDefault="00665165" w:rsidP="00925F26">
      <w:pPr>
        <w:autoSpaceDE w:val="0"/>
        <w:autoSpaceDN w:val="0"/>
        <w:adjustRightInd w:val="0"/>
        <w:jc w:val="both"/>
        <w:rPr>
          <w:color w:val="000000" w:themeColor="text1"/>
          <w:sz w:val="16"/>
          <w:szCs w:val="16"/>
        </w:rPr>
      </w:pPr>
    </w:p>
    <w:p w14:paraId="5645B5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8500 О вывозе оборудования с машиностроительного завода фирмы "Мительдейч Штальверке Гессельшафт" в районе г. Лаухгаммер. РГАНИР, Фонд ГКО, д. 414, лл. 139 (11012).</w:t>
      </w:r>
    </w:p>
    <w:p w14:paraId="4B3E8284" w14:textId="77777777" w:rsidR="00665165" w:rsidRPr="00925F26" w:rsidRDefault="00665165" w:rsidP="00925F26">
      <w:pPr>
        <w:autoSpaceDE w:val="0"/>
        <w:autoSpaceDN w:val="0"/>
        <w:adjustRightInd w:val="0"/>
        <w:jc w:val="both"/>
        <w:rPr>
          <w:color w:val="000000" w:themeColor="text1"/>
          <w:sz w:val="16"/>
          <w:szCs w:val="16"/>
        </w:rPr>
      </w:pPr>
    </w:p>
    <w:p w14:paraId="3821EB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8501 О вывозе оборудования и материалов с трофейных баз фронтов Красной Армии на базы Наркомугля. РГАНИР, Фонд ГКО, д. 414, лл. 140-142 (11012).</w:t>
      </w:r>
    </w:p>
    <w:p w14:paraId="0863D09E" w14:textId="77777777" w:rsidR="00665165" w:rsidRPr="00925F26" w:rsidRDefault="00665165" w:rsidP="00925F26">
      <w:pPr>
        <w:autoSpaceDE w:val="0"/>
        <w:autoSpaceDN w:val="0"/>
        <w:adjustRightInd w:val="0"/>
        <w:jc w:val="both"/>
        <w:rPr>
          <w:color w:val="000000" w:themeColor="text1"/>
          <w:sz w:val="16"/>
          <w:szCs w:val="16"/>
        </w:rPr>
      </w:pPr>
    </w:p>
    <w:p w14:paraId="7846EC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8502 О вывозе оборудования с немецких лесопильных и деревообрабатывающих заводов в г. г. Бальденбург, Цопот и Бельгруд. РГАНИР, Фонд ГКО, д. 414, лл. 143-144 (11012).</w:t>
      </w:r>
    </w:p>
    <w:p w14:paraId="53F57A29" w14:textId="77777777" w:rsidR="00665165" w:rsidRPr="00925F26" w:rsidRDefault="00665165" w:rsidP="00925F26">
      <w:pPr>
        <w:autoSpaceDE w:val="0"/>
        <w:autoSpaceDN w:val="0"/>
        <w:adjustRightInd w:val="0"/>
        <w:jc w:val="both"/>
        <w:rPr>
          <w:color w:val="000000" w:themeColor="text1"/>
          <w:sz w:val="16"/>
          <w:szCs w:val="16"/>
        </w:rPr>
      </w:pPr>
    </w:p>
    <w:p w14:paraId="0B5C4C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8503 О вывозе электротехнических материалов, оборудования и кабельных изделий с немецких складов. РГАНИР, Фонд ГКО, д. 414, лл. 145-147 (11012).</w:t>
      </w:r>
    </w:p>
    <w:p w14:paraId="6EFC94B1" w14:textId="77777777" w:rsidR="00665165" w:rsidRPr="00925F26" w:rsidRDefault="00665165" w:rsidP="00925F26">
      <w:pPr>
        <w:autoSpaceDE w:val="0"/>
        <w:autoSpaceDN w:val="0"/>
        <w:adjustRightInd w:val="0"/>
        <w:jc w:val="both"/>
        <w:rPr>
          <w:color w:val="000000" w:themeColor="text1"/>
          <w:sz w:val="16"/>
          <w:szCs w:val="16"/>
        </w:rPr>
      </w:pPr>
    </w:p>
    <w:p w14:paraId="6AE13A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8504 О вывозе оборудования с немецкого алюминиевого завода фирмы "Ферейнигте алюминиум Верке близ ж.РГАНИР, Фонд ГКО, д. станции Шварцкольм в провинции Бранденбург. РГАНИР, Фонд ГКО, д. 414, лл. 148-150 (11012).</w:t>
      </w:r>
    </w:p>
    <w:p w14:paraId="5D8164CD" w14:textId="77777777" w:rsidR="00665165" w:rsidRPr="00925F26" w:rsidRDefault="00665165" w:rsidP="00925F26">
      <w:pPr>
        <w:autoSpaceDE w:val="0"/>
        <w:autoSpaceDN w:val="0"/>
        <w:adjustRightInd w:val="0"/>
        <w:jc w:val="both"/>
        <w:rPr>
          <w:color w:val="000000" w:themeColor="text1"/>
          <w:sz w:val="16"/>
          <w:szCs w:val="16"/>
        </w:rPr>
      </w:pPr>
    </w:p>
    <w:p w14:paraId="4804F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8505 О вывозе проката черных металлов с 3-го Белорусского фронта. РГАНИР, Фонд ГКО, д. 414, лл. 151 (11012).</w:t>
      </w:r>
    </w:p>
    <w:p w14:paraId="026875AF" w14:textId="77777777" w:rsidR="00665165" w:rsidRPr="00925F26" w:rsidRDefault="00665165" w:rsidP="00925F26">
      <w:pPr>
        <w:autoSpaceDE w:val="0"/>
        <w:autoSpaceDN w:val="0"/>
        <w:adjustRightInd w:val="0"/>
        <w:jc w:val="both"/>
        <w:rPr>
          <w:color w:val="000000" w:themeColor="text1"/>
          <w:sz w:val="16"/>
          <w:szCs w:val="16"/>
        </w:rPr>
      </w:pPr>
    </w:p>
    <w:p w14:paraId="7C775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8506 О вывозе оборудования с завода пластмасс немецкой фирмы "Прессштоффверке Реммлер Акциенгезельтшафт" в г. Шпремберг и его филиала завода "Прессверкцейгбау" в г. Мускау на предприятия Наркомхимп рома. РГАНИР, Фонд ГКО, д. 414, лл. 152-153 (11012).</w:t>
      </w:r>
    </w:p>
    <w:p w14:paraId="0A2AD867" w14:textId="77777777" w:rsidR="00665165" w:rsidRPr="00925F26" w:rsidRDefault="00665165" w:rsidP="00925F26">
      <w:pPr>
        <w:autoSpaceDE w:val="0"/>
        <w:autoSpaceDN w:val="0"/>
        <w:adjustRightInd w:val="0"/>
        <w:jc w:val="both"/>
        <w:rPr>
          <w:color w:val="000000" w:themeColor="text1"/>
          <w:sz w:val="16"/>
          <w:szCs w:val="16"/>
        </w:rPr>
      </w:pPr>
    </w:p>
    <w:p w14:paraId="28BCAE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8507 О вывозе оборудования шинного завода фирмы "Семперит" в г. Трайскирхен (Австрия). РГАНИР, Фонд ГКО, д. 414, лл. 154-155 (11012).</w:t>
      </w:r>
    </w:p>
    <w:p w14:paraId="698032FA" w14:textId="77777777" w:rsidR="00665165" w:rsidRPr="00925F26" w:rsidRDefault="00665165" w:rsidP="00925F26">
      <w:pPr>
        <w:autoSpaceDE w:val="0"/>
        <w:autoSpaceDN w:val="0"/>
        <w:adjustRightInd w:val="0"/>
        <w:jc w:val="both"/>
        <w:rPr>
          <w:color w:val="000000" w:themeColor="text1"/>
          <w:sz w:val="16"/>
          <w:szCs w:val="16"/>
        </w:rPr>
      </w:pPr>
    </w:p>
    <w:p w14:paraId="76309B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8508 О выполнении работ по демонтажу оборудования на судоверфях "Шихау" в г. Эльбинг. РГАНИР, Фонд ГКО, д. 414, лл. 156 (11012).</w:t>
      </w:r>
    </w:p>
    <w:p w14:paraId="41B83F33" w14:textId="77777777" w:rsidR="00665165" w:rsidRPr="00925F26" w:rsidRDefault="00665165" w:rsidP="00925F26">
      <w:pPr>
        <w:autoSpaceDE w:val="0"/>
        <w:autoSpaceDN w:val="0"/>
        <w:adjustRightInd w:val="0"/>
        <w:jc w:val="both"/>
        <w:rPr>
          <w:color w:val="000000" w:themeColor="text1"/>
          <w:sz w:val="16"/>
          <w:szCs w:val="16"/>
        </w:rPr>
      </w:pPr>
    </w:p>
    <w:p w14:paraId="545D5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8509 О вывозе оборудования с лесопильного завода в г. Ратибор-Гаммер для Наркомстроя. РГАНИР, Фонд ГКО, д. 414, лл. 157 (11012).</w:t>
      </w:r>
    </w:p>
    <w:p w14:paraId="1B0BC03D" w14:textId="77777777" w:rsidR="00665165" w:rsidRPr="00925F26" w:rsidRDefault="00665165" w:rsidP="00925F26">
      <w:pPr>
        <w:autoSpaceDE w:val="0"/>
        <w:autoSpaceDN w:val="0"/>
        <w:adjustRightInd w:val="0"/>
        <w:jc w:val="both"/>
        <w:rPr>
          <w:color w:val="000000" w:themeColor="text1"/>
          <w:sz w:val="16"/>
          <w:szCs w:val="16"/>
        </w:rPr>
      </w:pPr>
    </w:p>
    <w:p w14:paraId="2CDAB4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8510 О вывозе на предприятия Наркомстроя оборудования с немецких заводов в гор. Глейвиц. РГАНИР, Фонд ГКО, д. 414, лл. 158-159 (11012).</w:t>
      </w:r>
    </w:p>
    <w:p w14:paraId="5D592773" w14:textId="77777777" w:rsidR="00665165" w:rsidRPr="00925F26" w:rsidRDefault="00665165" w:rsidP="00925F26">
      <w:pPr>
        <w:autoSpaceDE w:val="0"/>
        <w:autoSpaceDN w:val="0"/>
        <w:adjustRightInd w:val="0"/>
        <w:jc w:val="both"/>
        <w:rPr>
          <w:color w:val="000000" w:themeColor="text1"/>
          <w:sz w:val="16"/>
          <w:szCs w:val="16"/>
        </w:rPr>
      </w:pPr>
    </w:p>
    <w:p w14:paraId="404B44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8511 О вывозе оборудования с немецких ремонтно-механических заводов в г. Глейвиц и с деревообделочного завода в г. Осьвенцим на предприятия Наркомстроя. РГАНИР, Фонд ГКО, д. 414, лл. 160-161 (11012).</w:t>
      </w:r>
    </w:p>
    <w:p w14:paraId="2284B8DD" w14:textId="77777777" w:rsidR="00665165" w:rsidRPr="00925F26" w:rsidRDefault="00665165" w:rsidP="00925F26">
      <w:pPr>
        <w:autoSpaceDE w:val="0"/>
        <w:autoSpaceDN w:val="0"/>
        <w:adjustRightInd w:val="0"/>
        <w:jc w:val="both"/>
        <w:rPr>
          <w:color w:val="000000" w:themeColor="text1"/>
          <w:sz w:val="16"/>
          <w:szCs w:val="16"/>
        </w:rPr>
      </w:pPr>
    </w:p>
    <w:p w14:paraId="58B4C9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8512 О вывозе оборудования с немецких деревообрабатывающих предприятий в г. г. Штольп и Прейс-Фридлянд. РГАНИР, Фонд ГКО, д. 414, лл. 162-163 (11012).</w:t>
      </w:r>
    </w:p>
    <w:p w14:paraId="2AA9F86C" w14:textId="77777777" w:rsidR="00665165" w:rsidRPr="00925F26" w:rsidRDefault="00665165" w:rsidP="00925F26">
      <w:pPr>
        <w:autoSpaceDE w:val="0"/>
        <w:autoSpaceDN w:val="0"/>
        <w:adjustRightInd w:val="0"/>
        <w:jc w:val="both"/>
        <w:rPr>
          <w:color w:val="000000" w:themeColor="text1"/>
          <w:sz w:val="16"/>
          <w:szCs w:val="16"/>
        </w:rPr>
      </w:pPr>
    </w:p>
    <w:p w14:paraId="55AC03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8513 О вывозе материалов, оборудования и инструмента, находящихся на санитарно-техническом складе, принадлежавшем немцу Ханедгзот, в г. Эльбинг для Наркомгражданстроя РСФСР. РГАНИР, Фонд ГКО, д. 414, лл. 164-165 (11012).</w:t>
      </w:r>
    </w:p>
    <w:p w14:paraId="430B5ACA" w14:textId="77777777" w:rsidR="00665165" w:rsidRPr="00925F26" w:rsidRDefault="00665165" w:rsidP="00925F26">
      <w:pPr>
        <w:autoSpaceDE w:val="0"/>
        <w:autoSpaceDN w:val="0"/>
        <w:adjustRightInd w:val="0"/>
        <w:jc w:val="both"/>
        <w:rPr>
          <w:color w:val="000000" w:themeColor="text1"/>
          <w:sz w:val="16"/>
          <w:szCs w:val="16"/>
        </w:rPr>
      </w:pPr>
    </w:p>
    <w:p w14:paraId="25A6BF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8514 О вывозе оборудования с немецкого рыбоконсервного завода в гор. Леба. РГАНИР, Фонд ГКО, д. 414, лл. 166 (11012).</w:t>
      </w:r>
    </w:p>
    <w:p w14:paraId="08FDA8AE" w14:textId="77777777" w:rsidR="00665165" w:rsidRPr="00925F26" w:rsidRDefault="00665165" w:rsidP="00925F26">
      <w:pPr>
        <w:autoSpaceDE w:val="0"/>
        <w:autoSpaceDN w:val="0"/>
        <w:adjustRightInd w:val="0"/>
        <w:jc w:val="both"/>
        <w:rPr>
          <w:color w:val="000000" w:themeColor="text1"/>
          <w:sz w:val="16"/>
          <w:szCs w:val="16"/>
        </w:rPr>
      </w:pPr>
    </w:p>
    <w:p w14:paraId="063CCE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10 мая 1945 вышло Постановление ГКО № 8515 О вывозе оборудования с 4 немецких керамических заводов в г. г. Дейч-Лисса Лигниц, Тилловиц и Ратибор. РГАНИР, Фонд ГКО, д. 414, лл. 167-168 (11012).</w:t>
      </w:r>
    </w:p>
    <w:p w14:paraId="65BB08A4" w14:textId="77777777" w:rsidR="00665165" w:rsidRPr="00925F26" w:rsidRDefault="00665165" w:rsidP="00925F26">
      <w:pPr>
        <w:autoSpaceDE w:val="0"/>
        <w:autoSpaceDN w:val="0"/>
        <w:adjustRightInd w:val="0"/>
        <w:jc w:val="both"/>
        <w:rPr>
          <w:color w:val="000000" w:themeColor="text1"/>
          <w:sz w:val="16"/>
          <w:szCs w:val="16"/>
        </w:rPr>
      </w:pPr>
    </w:p>
    <w:p w14:paraId="534775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8516 О вывозе оборудования с электростанции в районе г. Мускау. РГАНИР, Фонд ГКО, д. 414, лл. 169-170 (11012).</w:t>
      </w:r>
    </w:p>
    <w:p w14:paraId="7784436A" w14:textId="77777777" w:rsidR="00665165" w:rsidRPr="00925F26" w:rsidRDefault="00665165" w:rsidP="00925F26">
      <w:pPr>
        <w:autoSpaceDE w:val="0"/>
        <w:autoSpaceDN w:val="0"/>
        <w:adjustRightInd w:val="0"/>
        <w:jc w:val="both"/>
        <w:rPr>
          <w:color w:val="000000" w:themeColor="text1"/>
          <w:sz w:val="16"/>
          <w:szCs w:val="16"/>
        </w:rPr>
      </w:pPr>
    </w:p>
    <w:p w14:paraId="281B2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8517 О вывозе станочного оборудования с немецких авторемонтных заводов фирмы "В. Нишман и сыновья" и "К. Вальден" в г. Бреславль. РГАНИР, Фонд ГКО, д. 415, лл. 1-2 (11012).</w:t>
      </w:r>
    </w:p>
    <w:p w14:paraId="33DE76C4" w14:textId="77777777" w:rsidR="00665165" w:rsidRPr="00925F26" w:rsidRDefault="00665165" w:rsidP="00925F26">
      <w:pPr>
        <w:autoSpaceDE w:val="0"/>
        <w:autoSpaceDN w:val="0"/>
        <w:adjustRightInd w:val="0"/>
        <w:jc w:val="both"/>
        <w:rPr>
          <w:color w:val="000000" w:themeColor="text1"/>
          <w:sz w:val="16"/>
          <w:szCs w:val="16"/>
        </w:rPr>
      </w:pPr>
    </w:p>
    <w:p w14:paraId="787F16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8518 О частичных изменениях в постановлениях ГОКО о вывозе оборудования с трофейных предприятий. РГАНИР, Фонд ГКО, д. 415, лл. 3-4 (11012).</w:t>
      </w:r>
    </w:p>
    <w:p w14:paraId="3E7E7459" w14:textId="77777777" w:rsidR="00665165" w:rsidRPr="00925F26" w:rsidRDefault="00665165" w:rsidP="00925F26">
      <w:pPr>
        <w:autoSpaceDE w:val="0"/>
        <w:autoSpaceDN w:val="0"/>
        <w:adjustRightInd w:val="0"/>
        <w:jc w:val="both"/>
        <w:rPr>
          <w:color w:val="000000" w:themeColor="text1"/>
          <w:sz w:val="16"/>
          <w:szCs w:val="16"/>
        </w:rPr>
      </w:pPr>
    </w:p>
    <w:p w14:paraId="14426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8519 О вывозе оборудования с немецких заводов в городах Модлау и Гремсдорф на предприятия Наркомугля. РГАНИР, Фонд ГКО, д. 415, лл. 5-6 (11012).</w:t>
      </w:r>
    </w:p>
    <w:p w14:paraId="51DD140D" w14:textId="77777777" w:rsidR="00665165" w:rsidRPr="00925F26" w:rsidRDefault="00665165" w:rsidP="00925F26">
      <w:pPr>
        <w:autoSpaceDE w:val="0"/>
        <w:autoSpaceDN w:val="0"/>
        <w:adjustRightInd w:val="0"/>
        <w:jc w:val="both"/>
        <w:rPr>
          <w:color w:val="000000" w:themeColor="text1"/>
          <w:sz w:val="16"/>
          <w:szCs w:val="16"/>
        </w:rPr>
      </w:pPr>
    </w:p>
    <w:p w14:paraId="295705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8520 О частичных изменениях постановлений ГОКО о вывозе оборудования с территории Венгрии. РГАНИР, Фонд ГКО, д. 415, лл. 7-8 (11012).</w:t>
      </w:r>
    </w:p>
    <w:p w14:paraId="0A85489C" w14:textId="77777777" w:rsidR="00665165" w:rsidRPr="00925F26" w:rsidRDefault="00665165" w:rsidP="00925F26">
      <w:pPr>
        <w:autoSpaceDE w:val="0"/>
        <w:autoSpaceDN w:val="0"/>
        <w:adjustRightInd w:val="0"/>
        <w:jc w:val="both"/>
        <w:rPr>
          <w:color w:val="000000" w:themeColor="text1"/>
          <w:sz w:val="16"/>
          <w:szCs w:val="16"/>
        </w:rPr>
      </w:pPr>
    </w:p>
    <w:p w14:paraId="363F4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8521 О вывозе оборудования с немецких предприятий бумажной промышленности в г. г. Бунцлау, Поллнов, Кюстрин и Штеттин. РГАНИР, Фонд ГКО, д. 415, лл. 9-10 (11012).</w:t>
      </w:r>
    </w:p>
    <w:p w14:paraId="3593F137" w14:textId="77777777" w:rsidR="00665165" w:rsidRPr="00925F26" w:rsidRDefault="00665165" w:rsidP="00925F26">
      <w:pPr>
        <w:autoSpaceDE w:val="0"/>
        <w:autoSpaceDN w:val="0"/>
        <w:adjustRightInd w:val="0"/>
        <w:jc w:val="both"/>
        <w:rPr>
          <w:color w:val="000000" w:themeColor="text1"/>
          <w:sz w:val="16"/>
          <w:szCs w:val="16"/>
        </w:rPr>
      </w:pPr>
    </w:p>
    <w:p w14:paraId="07999F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8522 О вывозе оборудования электростанции снаряжательного завода в районе г. Голлнов. РГАНИР, Фонд ГКО, д. 415, лл. 11 (11012).</w:t>
      </w:r>
    </w:p>
    <w:p w14:paraId="2B7A67CB" w14:textId="77777777" w:rsidR="00665165" w:rsidRPr="00925F26" w:rsidRDefault="00665165" w:rsidP="00925F26">
      <w:pPr>
        <w:autoSpaceDE w:val="0"/>
        <w:autoSpaceDN w:val="0"/>
        <w:adjustRightInd w:val="0"/>
        <w:jc w:val="both"/>
        <w:rPr>
          <w:color w:val="000000" w:themeColor="text1"/>
          <w:sz w:val="16"/>
          <w:szCs w:val="16"/>
        </w:rPr>
      </w:pPr>
    </w:p>
    <w:p w14:paraId="11EC90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8523 О вывозе оборудования с немецкого металлообрабатывающего завода Августа Штеллинга на станции Езеритц. РГАНИР, Фонд ГКО, д. 415, лл. 12-13 (11012).</w:t>
      </w:r>
    </w:p>
    <w:p w14:paraId="3B5FB44B" w14:textId="77777777" w:rsidR="00665165" w:rsidRPr="00925F26" w:rsidRDefault="00665165" w:rsidP="00925F26">
      <w:pPr>
        <w:autoSpaceDE w:val="0"/>
        <w:autoSpaceDN w:val="0"/>
        <w:adjustRightInd w:val="0"/>
        <w:jc w:val="both"/>
        <w:rPr>
          <w:color w:val="000000" w:themeColor="text1"/>
          <w:sz w:val="16"/>
          <w:szCs w:val="16"/>
        </w:rPr>
      </w:pPr>
    </w:p>
    <w:p w14:paraId="61946C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8524 О вывозе оборудования с немецких машиностроительных заводов на заводы Наркомсредмаша. РГАНИР, Фонд ГКО, д. 415, лл. 14-15, 16 (11012).</w:t>
      </w:r>
    </w:p>
    <w:p w14:paraId="1603E688" w14:textId="77777777" w:rsidR="00665165" w:rsidRPr="00925F26" w:rsidRDefault="00665165" w:rsidP="00925F26">
      <w:pPr>
        <w:autoSpaceDE w:val="0"/>
        <w:autoSpaceDN w:val="0"/>
        <w:adjustRightInd w:val="0"/>
        <w:jc w:val="both"/>
        <w:rPr>
          <w:color w:val="000000" w:themeColor="text1"/>
          <w:sz w:val="16"/>
          <w:szCs w:val="16"/>
        </w:rPr>
      </w:pPr>
    </w:p>
    <w:p w14:paraId="2EAFB5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8525 О вывозе оборудования с немецких заводов в г. г. Котбус и Кенигсвальде. РГАНИР, Фонд ГКО, д. 415, лл. 17-18 (11012).</w:t>
      </w:r>
    </w:p>
    <w:p w14:paraId="25C02A7A" w14:textId="77777777" w:rsidR="00665165" w:rsidRPr="00925F26" w:rsidRDefault="00665165" w:rsidP="00925F26">
      <w:pPr>
        <w:autoSpaceDE w:val="0"/>
        <w:autoSpaceDN w:val="0"/>
        <w:adjustRightInd w:val="0"/>
        <w:jc w:val="both"/>
        <w:rPr>
          <w:color w:val="000000" w:themeColor="text1"/>
          <w:sz w:val="16"/>
          <w:szCs w:val="16"/>
        </w:rPr>
      </w:pPr>
    </w:p>
    <w:p w14:paraId="582A63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8526 О вывозе оборудования с немецких электротехнического, машиностроительного и литейно-механического заводов в г. г. Вена, Хиртенберг и Бунцлау на предприятия НКПС. РГАНИР, Фонд ГКО, д. 415, лл. 19-20 (11012).</w:t>
      </w:r>
    </w:p>
    <w:p w14:paraId="6D45CB15" w14:textId="77777777" w:rsidR="00665165" w:rsidRPr="00925F26" w:rsidRDefault="00665165" w:rsidP="00925F26">
      <w:pPr>
        <w:autoSpaceDE w:val="0"/>
        <w:autoSpaceDN w:val="0"/>
        <w:adjustRightInd w:val="0"/>
        <w:jc w:val="both"/>
        <w:rPr>
          <w:color w:val="000000" w:themeColor="text1"/>
          <w:sz w:val="16"/>
          <w:szCs w:val="16"/>
        </w:rPr>
      </w:pPr>
    </w:p>
    <w:p w14:paraId="298CC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8527 О вывозе оборудования с немецкого лесопильного завода фирмы "Финкельштейн" в г. Шенбург. РГАНИР, Фонд ГКО, д. 415, лл. 21 (11012).</w:t>
      </w:r>
    </w:p>
    <w:p w14:paraId="19DAF7AB" w14:textId="77777777" w:rsidR="00665165" w:rsidRPr="00925F26" w:rsidRDefault="00665165" w:rsidP="00925F26">
      <w:pPr>
        <w:autoSpaceDE w:val="0"/>
        <w:autoSpaceDN w:val="0"/>
        <w:adjustRightInd w:val="0"/>
        <w:jc w:val="both"/>
        <w:rPr>
          <w:color w:val="000000" w:themeColor="text1"/>
          <w:sz w:val="16"/>
          <w:szCs w:val="16"/>
        </w:rPr>
      </w:pPr>
    </w:p>
    <w:p w14:paraId="005C15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8528 О вывозе оборудования с 5 немецких суконных фабрик в г. Фалькенбург. РГАНИР, Фонд ГКО, д. 415, лл. 22 (11012).</w:t>
      </w:r>
    </w:p>
    <w:p w14:paraId="67B42939" w14:textId="77777777" w:rsidR="00665165" w:rsidRPr="00925F26" w:rsidRDefault="00665165" w:rsidP="00925F26">
      <w:pPr>
        <w:autoSpaceDE w:val="0"/>
        <w:autoSpaceDN w:val="0"/>
        <w:adjustRightInd w:val="0"/>
        <w:jc w:val="both"/>
        <w:rPr>
          <w:color w:val="000000" w:themeColor="text1"/>
          <w:sz w:val="16"/>
          <w:szCs w:val="16"/>
        </w:rPr>
      </w:pPr>
    </w:p>
    <w:p w14:paraId="059E6F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8529 О вывозе оборудования с немецких механических мастерских из района г. Берлин и с механического завода в г. Хоппенгартен на предприятия Гражданского воздушного флота. РГАНИР, Фонд ГКО, д. 415, лл. 23-24 (11012).</w:t>
      </w:r>
    </w:p>
    <w:p w14:paraId="2A353DD5" w14:textId="77777777" w:rsidR="00665165" w:rsidRPr="00925F26" w:rsidRDefault="00665165" w:rsidP="00925F26">
      <w:pPr>
        <w:autoSpaceDE w:val="0"/>
        <w:autoSpaceDN w:val="0"/>
        <w:adjustRightInd w:val="0"/>
        <w:jc w:val="both"/>
        <w:rPr>
          <w:color w:val="000000" w:themeColor="text1"/>
          <w:sz w:val="16"/>
          <w:szCs w:val="16"/>
        </w:rPr>
      </w:pPr>
    </w:p>
    <w:p w14:paraId="5791ED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8530 О вывозе мостовых кранов со складов в г. Циленцик (Германия). РГАНИР, Фонд ГКО, д. 415, лл. 25 (11012).</w:t>
      </w:r>
    </w:p>
    <w:p w14:paraId="14418DF5" w14:textId="77777777" w:rsidR="00665165" w:rsidRPr="00925F26" w:rsidRDefault="00665165" w:rsidP="00925F26">
      <w:pPr>
        <w:autoSpaceDE w:val="0"/>
        <w:autoSpaceDN w:val="0"/>
        <w:adjustRightInd w:val="0"/>
        <w:jc w:val="both"/>
        <w:rPr>
          <w:color w:val="000000" w:themeColor="text1"/>
          <w:sz w:val="16"/>
          <w:szCs w:val="16"/>
        </w:rPr>
      </w:pPr>
    </w:p>
    <w:p w14:paraId="31EFBA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8531 О вывозе портальных кранов с немецкого склада артиллерийского имущества в поселке Курциг (Германия). РГАНИР, Фонд ГКО, д. 415, лл. 26-27 (11012).</w:t>
      </w:r>
    </w:p>
    <w:p w14:paraId="54D1EFA7" w14:textId="77777777" w:rsidR="00665165" w:rsidRPr="00925F26" w:rsidRDefault="00665165" w:rsidP="00925F26">
      <w:pPr>
        <w:autoSpaceDE w:val="0"/>
        <w:autoSpaceDN w:val="0"/>
        <w:adjustRightInd w:val="0"/>
        <w:jc w:val="both"/>
        <w:rPr>
          <w:color w:val="000000" w:themeColor="text1"/>
          <w:sz w:val="16"/>
          <w:szCs w:val="16"/>
        </w:rPr>
      </w:pPr>
    </w:p>
    <w:p w14:paraId="14E3B3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8532 О вывозе оборудования по производству деталей машин для табачной промышленности и компрессоров завода фирмы "Табак ингук специалмашинненфабрик Гофнер-Шранц Гезельшафт МБГ" в г. Вена. РГАНИР, Фонд ГКО, д. 415, лл. 28-29 (11012).</w:t>
      </w:r>
    </w:p>
    <w:p w14:paraId="7E78B340" w14:textId="77777777" w:rsidR="00665165" w:rsidRPr="00925F26" w:rsidRDefault="00665165" w:rsidP="00925F26">
      <w:pPr>
        <w:autoSpaceDE w:val="0"/>
        <w:autoSpaceDN w:val="0"/>
        <w:adjustRightInd w:val="0"/>
        <w:jc w:val="both"/>
        <w:rPr>
          <w:color w:val="000000" w:themeColor="text1"/>
          <w:sz w:val="16"/>
          <w:szCs w:val="16"/>
        </w:rPr>
      </w:pPr>
    </w:p>
    <w:p w14:paraId="778189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8533 О вывозе оборудования немецких судостроительных и судоремонтных верфей, корабельного оборудования и плавучих технических средств из г. г. Данциг и Гдыня. РГАНИР, Фонд ГКО, д. 415, лл. 30-34 (11012).</w:t>
      </w:r>
    </w:p>
    <w:p w14:paraId="3F80DE4E" w14:textId="77777777" w:rsidR="00665165" w:rsidRPr="00925F26" w:rsidRDefault="00665165" w:rsidP="00925F26">
      <w:pPr>
        <w:autoSpaceDE w:val="0"/>
        <w:autoSpaceDN w:val="0"/>
        <w:adjustRightInd w:val="0"/>
        <w:jc w:val="both"/>
        <w:rPr>
          <w:color w:val="000000" w:themeColor="text1"/>
          <w:sz w:val="16"/>
          <w:szCs w:val="16"/>
        </w:rPr>
      </w:pPr>
    </w:p>
    <w:p w14:paraId="4DDD1E7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СНК № 1032 О поставке Центросоюзу ТШП и инструмента для нужд с/х. Воватывал НКСМ, НКТяжМ, НКМестпром и др. в т.ч. и оборонные - НКБ и НКВ (7543, 61).</w:t>
      </w:r>
    </w:p>
    <w:p w14:paraId="36E79E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B9FB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мая 1945 г. Совет Народных Комиссаров СССР принялПостановление № 1032</w:t>
      </w:r>
    </w:p>
    <w:p w14:paraId="6FDF64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682433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поставке Центросоюзу товаров широкого потребления и инструмента для нужд сельского хозяйства</w:t>
      </w:r>
    </w:p>
    <w:p w14:paraId="4FD2EC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Совет Народных Комиссаров Союза ССР ПОСТАНОВЛЯЕТ:</w:t>
      </w:r>
    </w:p>
    <w:p w14:paraId="69D408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Обязать Наркомсредмаш, Наркомтяжмаш, Нарком-местпром РСФСР, Наркомлес РСФСР и Управление промкооперации при Совнаркоме РСФСР изготовить сверх плана производства и поставить во П квартале 1945 г. Центросоюзу следующие товары широкого по</w:t>
      </w:r>
      <w:r w:rsidRPr="00925F26">
        <w:rPr>
          <w:color w:val="000000" w:themeColor="text1"/>
          <w:sz w:val="16"/>
          <w:szCs w:val="16"/>
        </w:rPr>
        <w:softHyphen/>
        <w:t>требления:</w:t>
      </w:r>
    </w:p>
    <w:p w14:paraId="064604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Наркомсредмаш</w:t>
      </w:r>
    </w:p>
    <w:p w14:paraId="471980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Железные копальные лопаты </w:t>
      </w:r>
      <w:proofErr w:type="gramStart"/>
      <w:r w:rsidRPr="00925F26">
        <w:rPr>
          <w:color w:val="000000" w:themeColor="text1"/>
          <w:sz w:val="16"/>
          <w:szCs w:val="16"/>
        </w:rPr>
        <w:t>тыс .шт</w:t>
      </w:r>
      <w:proofErr w:type="gramEnd"/>
      <w:r w:rsidRPr="00925F26">
        <w:rPr>
          <w:color w:val="000000" w:themeColor="text1"/>
          <w:sz w:val="16"/>
          <w:szCs w:val="16"/>
        </w:rPr>
        <w:t xml:space="preserve"> 80</w:t>
      </w:r>
    </w:p>
    <w:p w14:paraId="3868E9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Костоотбойные молотки и бабки —"— 40</w:t>
      </w:r>
    </w:p>
    <w:p w14:paraId="2BDEF9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Фонари -"- 20</w:t>
      </w:r>
    </w:p>
    <w:p w14:paraId="24201A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Наркомтяжмаш</w:t>
      </w:r>
    </w:p>
    <w:p w14:paraId="7E976C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Железные копальные лопаты тыс. шт. 6,0</w:t>
      </w:r>
    </w:p>
    <w:p w14:paraId="123BCE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Управление промкооперации при Совнаркоме РСФСР</w:t>
      </w:r>
    </w:p>
    <w:p w14:paraId="1B67C9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Веревка хозяйственная тонн 600</w:t>
      </w:r>
    </w:p>
    <w:p w14:paraId="77AF00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Ножницы для стрижки овец тыс.шт. 20</w:t>
      </w:r>
    </w:p>
    <w:p w14:paraId="0FA5A9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Наркомместром РСФСР</w:t>
      </w:r>
    </w:p>
    <w:p w14:paraId="616E96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Топоры плотничьи тыс.шт. 25</w:t>
      </w:r>
    </w:p>
    <w:p w14:paraId="6A982A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Веревка хозяйственная тонн 200</w:t>
      </w:r>
    </w:p>
    <w:p w14:paraId="6A9D39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Наркомлес РСФСР</w:t>
      </w:r>
    </w:p>
    <w:p w14:paraId="2CA935F2"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хомутовые </w:t>
      </w:r>
      <w:proofErr w:type="gramStart"/>
      <w:r w:rsidRPr="00925F26">
        <w:rPr>
          <w:color w:val="000000" w:themeColor="text1"/>
          <w:sz w:val="16"/>
          <w:szCs w:val="16"/>
        </w:rPr>
        <w:t>тыс.пар</w:t>
      </w:r>
      <w:proofErr w:type="gramEnd"/>
      <w:r w:rsidRPr="00925F26">
        <w:rPr>
          <w:color w:val="000000" w:themeColor="text1"/>
          <w:sz w:val="16"/>
          <w:szCs w:val="16"/>
        </w:rPr>
        <w:t xml:space="preserve"> 5</w:t>
      </w:r>
    </w:p>
    <w:p w14:paraId="728750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Обязать Наркомтекстиль СССР выделить во П квар</w:t>
      </w:r>
      <w:r w:rsidRPr="00925F26">
        <w:rPr>
          <w:color w:val="000000" w:themeColor="text1"/>
          <w:sz w:val="16"/>
          <w:szCs w:val="16"/>
        </w:rPr>
        <w:softHyphen/>
        <w:t>тале 1945 года:</w:t>
      </w:r>
    </w:p>
    <w:p w14:paraId="4C28BC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Наркомместпрому РСФСР 250 тонн и Управлению промкооперации при Совнаркоме РСФСР 1000 тонн ко</w:t>
      </w:r>
      <w:r w:rsidRPr="00925F26">
        <w:rPr>
          <w:color w:val="000000" w:themeColor="text1"/>
          <w:sz w:val="16"/>
          <w:szCs w:val="16"/>
        </w:rPr>
        <w:softHyphen/>
        <w:t>роткого льноволокна за счет остатков на льнозаводах для выработки хозяйственной веревки и поставки ее Центро</w:t>
      </w:r>
      <w:r w:rsidRPr="00925F26">
        <w:rPr>
          <w:color w:val="000000" w:themeColor="text1"/>
          <w:sz w:val="16"/>
          <w:szCs w:val="16"/>
        </w:rPr>
        <w:softHyphen/>
        <w:t>союзу;</w:t>
      </w:r>
    </w:p>
    <w:p w14:paraId="51CED8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Управлению промкооперации при Совнаркоме РСФСР за счет производства 4000 метров реставриро</w:t>
      </w:r>
      <w:r w:rsidRPr="00925F26">
        <w:rPr>
          <w:color w:val="000000" w:themeColor="text1"/>
          <w:sz w:val="16"/>
          <w:szCs w:val="16"/>
        </w:rPr>
        <w:softHyphen/>
        <w:t xml:space="preserve">ванной </w:t>
      </w:r>
      <w:proofErr w:type="gramStart"/>
      <w:r w:rsidRPr="00925F26">
        <w:rPr>
          <w:color w:val="000000" w:themeColor="text1"/>
          <w:sz w:val="16"/>
          <w:szCs w:val="16"/>
        </w:rPr>
        <w:t>кардо-ленты</w:t>
      </w:r>
      <w:proofErr w:type="gramEnd"/>
      <w:r w:rsidRPr="00925F26">
        <w:rPr>
          <w:color w:val="000000" w:themeColor="text1"/>
          <w:sz w:val="16"/>
          <w:szCs w:val="16"/>
        </w:rPr>
        <w:t>.</w:t>
      </w:r>
    </w:p>
    <w:p w14:paraId="074856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Обязать Наркомлегпром СССР выделить во П квар</w:t>
      </w:r>
      <w:r w:rsidRPr="00925F26">
        <w:rPr>
          <w:color w:val="000000" w:themeColor="text1"/>
          <w:sz w:val="16"/>
          <w:szCs w:val="16"/>
        </w:rPr>
        <w:softHyphen/>
        <w:t>тале 1945 года Центросоюзу за счет производства 5 тыс. метров шорно-седельного кожзаменителя, 20 тонн шор</w:t>
      </w:r>
      <w:r w:rsidRPr="00925F26">
        <w:rPr>
          <w:color w:val="000000" w:themeColor="text1"/>
          <w:sz w:val="16"/>
          <w:szCs w:val="16"/>
        </w:rPr>
        <w:softHyphen/>
        <w:t>ного войлока и 3 тонны сыромяти.</w:t>
      </w:r>
    </w:p>
    <w:p w14:paraId="7D3879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Обязать Управление промкооперации при Совнар</w:t>
      </w:r>
      <w:r w:rsidRPr="00925F26">
        <w:rPr>
          <w:color w:val="000000" w:themeColor="text1"/>
          <w:sz w:val="16"/>
          <w:szCs w:val="16"/>
        </w:rPr>
        <w:softHyphen/>
        <w:t>коме РСФСР изготовить и поставить во П квартале 1945 г. Центросоюзу 120 тонн подхомутного и шорного войлока.</w:t>
      </w:r>
    </w:p>
    <w:p w14:paraId="7A8CC1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5. Обязать Наркомчермет, Наркомтекстиль СССР, Нар-комстанкостроения и Главнефтеснаб при Совнарко</w:t>
      </w:r>
      <w:r w:rsidRPr="00925F26">
        <w:rPr>
          <w:color w:val="000000" w:themeColor="text1"/>
          <w:sz w:val="16"/>
          <w:szCs w:val="16"/>
        </w:rPr>
        <w:softHyphen/>
        <w:t>ме СССР поставить во П квартале 1945 г. Наркомсред-машу, Наркомтяжмашу, Наркомместпрому РСФСР и Управлению промкооперации при Совнаркоме РСФСР для изготовления товаров широкого потребления сырье и материалы согласно приложению № Г.</w:t>
      </w:r>
    </w:p>
    <w:p w14:paraId="04E67B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Обязать Наркомчермет, Наркомстанкостроения, Наркомбоеприпасов</w:t>
      </w:r>
      <w:r w:rsidRPr="00925F26">
        <w:rPr>
          <w:color w:val="000000" w:themeColor="text1"/>
          <w:sz w:val="16"/>
          <w:szCs w:val="16"/>
          <w:vertAlign w:val="superscript"/>
        </w:rPr>
        <w:t>4</w:t>
      </w:r>
      <w:r w:rsidRPr="00925F26">
        <w:rPr>
          <w:color w:val="000000" w:themeColor="text1"/>
          <w:sz w:val="16"/>
          <w:szCs w:val="16"/>
        </w:rPr>
        <w:t>, Управление промкооперации при Совнаркоме РСФСР и Укоопромсовет изготовить и по</w:t>
      </w:r>
      <w:r w:rsidRPr="00925F26">
        <w:rPr>
          <w:color w:val="000000" w:themeColor="text1"/>
          <w:sz w:val="16"/>
          <w:szCs w:val="16"/>
        </w:rPr>
        <w:softHyphen/>
        <w:t>ставить во П квартале 1945 г. Центросоюзу в счет его фондов товары широкого потребления и инструмент со</w:t>
      </w:r>
      <w:r w:rsidRPr="00925F26">
        <w:rPr>
          <w:color w:val="000000" w:themeColor="text1"/>
          <w:sz w:val="16"/>
          <w:szCs w:val="16"/>
        </w:rPr>
        <w:softHyphen/>
        <w:t>гласно приложению № 2**,</w:t>
      </w:r>
    </w:p>
    <w:p w14:paraId="19262A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Обязать Наркомместпром РСФСР и Управление промкооперации при Совнаркоме РСФСР изготовить во П квартале 1945 г. Центросоюзу по его спецификации</w:t>
      </w:r>
    </w:p>
    <w:p w14:paraId="684986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сверх плана производства слесарно-монтажного инстру</w:t>
      </w:r>
      <w:r w:rsidRPr="00925F26">
        <w:rPr>
          <w:color w:val="000000" w:themeColor="text1"/>
          <w:sz w:val="16"/>
          <w:szCs w:val="16"/>
        </w:rPr>
        <w:softHyphen/>
        <w:t>мента, напильников и фурнитуры на сумму 375 тыс. руб., в том числе: Наркомместпром РСФСР на 100 тыс. рублей и Управление промкооперации при Совнаркоме РСФСР на 275 тыс. рублей.</w:t>
      </w:r>
    </w:p>
    <w:p w14:paraId="67A9D8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Обязать Центросоюз совместно с Наркомземом СССР в декадный срок утвердить план завоза товаров широкого потребления в отдельные республики, края и области.</w:t>
      </w:r>
    </w:p>
    <w:p w14:paraId="79E29C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 Председателя Совета Народных Комиссаров Союза ССР</w:t>
      </w:r>
    </w:p>
    <w:p w14:paraId="0588C5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Управляющий Делами Совета народных комиссаров СССР</w:t>
      </w:r>
    </w:p>
    <w:p w14:paraId="6B0733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Н.Вознесенский</w:t>
      </w:r>
    </w:p>
    <w:p w14:paraId="0E4BFB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Я.Чадаев</w:t>
      </w:r>
    </w:p>
    <w:p w14:paraId="13F61B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ГАРФ. Ф. 5446. Оп. 1. Д. 252. Л. 1-3. Подлинник (11461).</w:t>
      </w:r>
    </w:p>
    <w:p w14:paraId="6387619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BB6D5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г. была отгружена трофейная опытная установка по выпуску фосфорорганического ОВ второго поколения - зарина - из Дихернфурта-на-Одере в Москву, в головной институт по разработке новейшего химического оружия (нынешний ГСНИИОХТ) (9067).</w:t>
      </w:r>
    </w:p>
    <w:p w14:paraId="10204029" w14:textId="77777777" w:rsidR="00665165" w:rsidRPr="00925F26" w:rsidRDefault="00665165" w:rsidP="00925F26">
      <w:pPr>
        <w:autoSpaceDE w:val="0"/>
        <w:autoSpaceDN w:val="0"/>
        <w:adjustRightInd w:val="0"/>
        <w:jc w:val="both"/>
        <w:rPr>
          <w:color w:val="000000" w:themeColor="text1"/>
          <w:sz w:val="16"/>
          <w:szCs w:val="16"/>
        </w:rPr>
      </w:pPr>
    </w:p>
    <w:p w14:paraId="404A30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мая 1945 г. ГКО принимает постановление о направлении имущества Физического института в Москву в адрес Лаборатории № 2. Одним из важнейших результатов деятельности группы явилось обнаружение и вывоз в СССР около 100 т урановых соединений (11254).</w:t>
      </w:r>
    </w:p>
    <w:p w14:paraId="79221D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CCB87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мая 1945 г. было Письмо немецкого физика М. фон Арденне И.В. Сталину о согласии работать «с научными учреждениями СССР»</w:t>
      </w:r>
    </w:p>
    <w:p w14:paraId="1729ED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Манфред фон Арденне</w:t>
      </w:r>
    </w:p>
    <w:p w14:paraId="3E8D25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Исследовательская лаборатория электронной физики</w:t>
      </w:r>
    </w:p>
    <w:p w14:paraId="47ED49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Берлин-Л ихтерфельде- Ост, Юнгфернштиг, 19.</w:t>
      </w:r>
    </w:p>
    <w:p w14:paraId="75211A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Г[осподи]ну председателю Совета Народных Комиссаров СССР Москва, Кремль</w:t>
      </w:r>
    </w:p>
    <w:p w14:paraId="1203C9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Ссылаясь на сегодняшний осмотр</w:t>
      </w:r>
      <w:r w:rsidRPr="00925F26">
        <w:rPr>
          <w:color w:val="000000" w:themeColor="text1"/>
          <w:sz w:val="16"/>
          <w:szCs w:val="16"/>
          <w:vertAlign w:val="superscript"/>
        </w:rPr>
        <w:t>1</w:t>
      </w:r>
      <w:r w:rsidRPr="00925F26">
        <w:rPr>
          <w:color w:val="000000" w:themeColor="text1"/>
          <w:sz w:val="16"/>
          <w:szCs w:val="16"/>
        </w:rPr>
        <w:t xml:space="preserve"> моего исследовательского института (Берлин-Лихтерфельде-Ост, Юнгферштиг, 19) и до сих пор руководимого мною бывшего института физики ядра при имперском министерстве почт, я приношу уверения, что буду с особой радостью приветствовать совместную работу моих, упомянутых выше и оставшихся вполне работоспособными, институтов с центральными научными учреждениями СССР.</w:t>
      </w:r>
    </w:p>
    <w:p w14:paraId="364D2B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Мои институты в настоящее время работают над следующими основны</w:t>
      </w:r>
      <w:r w:rsidRPr="00925F26">
        <w:rPr>
          <w:color w:val="000000" w:themeColor="text1"/>
          <w:sz w:val="16"/>
          <w:szCs w:val="16"/>
        </w:rPr>
        <w:softHyphen/>
        <w:t>ми вопросами:</w:t>
      </w:r>
    </w:p>
    <w:p w14:paraId="4981A9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Сверхмикроскопические исследования с двумя наиболее мощными сверхмикроскопами в мире;</w:t>
      </w:r>
    </w:p>
    <w:p w14:paraId="0E496B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Исследования в области физики ядра, особенно индикаторным мето</w:t>
      </w:r>
      <w:r w:rsidRPr="00925F26">
        <w:rPr>
          <w:color w:val="000000" w:themeColor="text1"/>
          <w:sz w:val="16"/>
          <w:szCs w:val="16"/>
        </w:rPr>
        <w:softHyphen/>
        <w:t>дом при помощи радиоактивных и стабильных изотопов (атомо-</w:t>
      </w:r>
      <w:proofErr w:type="gramStart"/>
      <w:r w:rsidRPr="00925F26">
        <w:rPr>
          <w:color w:val="000000" w:themeColor="text1"/>
          <w:sz w:val="16"/>
          <w:szCs w:val="16"/>
        </w:rPr>
        <w:t>преобразо-вательная</w:t>
      </w:r>
      <w:proofErr w:type="gramEnd"/>
      <w:r w:rsidRPr="00925F26">
        <w:rPr>
          <w:color w:val="000000" w:themeColor="text1"/>
          <w:sz w:val="16"/>
          <w:szCs w:val="16"/>
        </w:rPr>
        <w:t xml:space="preserve"> установка в 1 млн вольт, лаборатория счетных аппаратов, магнит</w:t>
      </w:r>
      <w:r w:rsidRPr="00925F26">
        <w:rPr>
          <w:color w:val="000000" w:themeColor="text1"/>
          <w:sz w:val="16"/>
          <w:szCs w:val="16"/>
        </w:rPr>
        <w:softHyphen/>
        <w:t>ный разобщитель изотопов, масс-спектрометр);</w:t>
      </w:r>
    </w:p>
    <w:p w14:paraId="31B00C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Регистрирующий масс-спектрометр для количественного химическо</w:t>
      </w:r>
      <w:r w:rsidRPr="00925F26">
        <w:rPr>
          <w:color w:val="000000" w:themeColor="text1"/>
          <w:sz w:val="16"/>
          <w:szCs w:val="16"/>
        </w:rPr>
        <w:softHyphen/>
        <w:t>го анализа газообразных, жидких и твердых тел;</w:t>
      </w:r>
    </w:p>
    <w:p w14:paraId="49D632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Окончание изготовления 60-тонной циклотронной установки.</w:t>
      </w:r>
    </w:p>
    <w:p w14:paraId="396420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Главные задачи:</w:t>
      </w:r>
    </w:p>
    <w:p w14:paraId="512F35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улучшение разрешающей силы у сверхмикроскопа с целью увидеть от</w:t>
      </w:r>
      <w:r w:rsidRPr="00925F26">
        <w:rPr>
          <w:color w:val="000000" w:themeColor="text1"/>
          <w:sz w:val="16"/>
          <w:szCs w:val="16"/>
        </w:rPr>
        <w:softHyphen/>
        <w:t>дельные атомы;</w:t>
      </w:r>
    </w:p>
    <w:p w14:paraId="1B3646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разделение изотопов в количествах, поддающихся взвешиванию;</w:t>
      </w:r>
    </w:p>
    <w:p w14:paraId="0C35F4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биохимические исследования по индикаторному методу;</w:t>
      </w:r>
    </w:p>
    <w:p w14:paraId="0CDFFB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соображения по радиолокации на больших расстояниях;</w:t>
      </w:r>
    </w:p>
    <w:p w14:paraId="07BE40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использование уже построенного большого стереоскопического аппара</w:t>
      </w:r>
      <w:r w:rsidRPr="00925F26">
        <w:rPr>
          <w:color w:val="000000" w:themeColor="text1"/>
          <w:sz w:val="16"/>
          <w:szCs w:val="16"/>
        </w:rPr>
        <w:softHyphen/>
        <w:t>та с поляризованным светом для обучения молодых научных кадров.</w:t>
      </w:r>
    </w:p>
    <w:p w14:paraId="28AEBA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сегодняшнего дня я представляю в распоряжение Советского прави</w:t>
      </w:r>
      <w:r w:rsidRPr="00925F26">
        <w:rPr>
          <w:color w:val="000000" w:themeColor="text1"/>
          <w:sz w:val="16"/>
          <w:szCs w:val="16"/>
        </w:rPr>
        <w:softHyphen/>
        <w:t>тельства мои институты и самого себя.</w:t>
      </w:r>
    </w:p>
    <w:p w14:paraId="524241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С совершенным почтением Манфред фон Арденне </w:t>
      </w:r>
    </w:p>
    <w:p w14:paraId="52D736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Перевел с немецкого Ал. Гумилев</w:t>
      </w:r>
    </w:p>
    <w:p w14:paraId="25536B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Публикуется по: Атомный проект в СССР: Док</w:t>
      </w:r>
      <w:proofErr w:type="gramStart"/>
      <w:r w:rsidRPr="00925F26">
        <w:rPr>
          <w:color w:val="000000" w:themeColor="text1"/>
          <w:sz w:val="16"/>
          <w:szCs w:val="16"/>
        </w:rPr>
        <w:t>.</w:t>
      </w:r>
      <w:proofErr w:type="gramEnd"/>
      <w:r w:rsidRPr="00925F26">
        <w:rPr>
          <w:color w:val="000000" w:themeColor="text1"/>
          <w:sz w:val="16"/>
          <w:szCs w:val="16"/>
        </w:rPr>
        <w:t xml:space="preserve"> и матер. Т. 1. Ч. 2. С. 288-289 (11419).</w:t>
      </w:r>
    </w:p>
    <w:p w14:paraId="0C51D4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A61126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90C08FB" w14:textId="77777777" w:rsidR="00665165" w:rsidRPr="00925F26" w:rsidRDefault="00665165" w:rsidP="00925F26">
      <w:pPr>
        <w:autoSpaceDE w:val="0"/>
        <w:autoSpaceDN w:val="0"/>
        <w:adjustRightInd w:val="0"/>
        <w:jc w:val="both"/>
        <w:rPr>
          <w:iCs/>
          <w:color w:val="000000" w:themeColor="text1"/>
          <w:sz w:val="16"/>
          <w:szCs w:val="16"/>
        </w:rPr>
      </w:pPr>
    </w:p>
    <w:p w14:paraId="1DC15FED" w14:textId="77777777" w:rsidR="0025587C" w:rsidRPr="00925F26" w:rsidRDefault="0025587C" w:rsidP="00925F26">
      <w:pPr>
        <w:jc w:val="both"/>
        <w:rPr>
          <w:color w:val="000000" w:themeColor="text1"/>
          <w:sz w:val="16"/>
          <w:szCs w:val="16"/>
        </w:rPr>
      </w:pPr>
      <w:r w:rsidRPr="00925F26">
        <w:rPr>
          <w:color w:val="000000" w:themeColor="text1"/>
          <w:sz w:val="16"/>
          <w:szCs w:val="16"/>
        </w:rPr>
        <w:t>10 мая в 1945 году оперативная сводка Совинформбюро:</w:t>
      </w:r>
    </w:p>
    <w:p w14:paraId="1E89B94D" w14:textId="77777777" w:rsidR="0025587C" w:rsidRPr="00925F26" w:rsidRDefault="0025587C" w:rsidP="00925F26">
      <w:pPr>
        <w:jc w:val="both"/>
        <w:rPr>
          <w:color w:val="000000" w:themeColor="text1"/>
          <w:sz w:val="16"/>
          <w:szCs w:val="16"/>
        </w:rPr>
      </w:pPr>
      <w:r w:rsidRPr="00925F26">
        <w:rPr>
          <w:color w:val="000000" w:themeColor="text1"/>
          <w:sz w:val="16"/>
          <w:szCs w:val="16"/>
        </w:rPr>
        <w:t>«В течение 10 мая войска Ленинградского фронта продолжали приём капитулировавших соединений и частей Курляндской группы немецких войск. К 8 часам утра 10 мая сдалось в плен 68.578 немецких солдат и унтер-офицеров, 1.982 офицера и 13 генералов. В числе генералов командующий Курляндской группой немецких армий генерал от инфантерии Гильперт, командующий 16 армией генерал-лейтенант Фолькамер, командующий 18 армией генерал-лейтенант Беге, командир 2 армейского корпуса генерал-лейтенант Гаусе, командир 122 пехотной дивизии генерал-майор</w:t>
      </w:r>
    </w:p>
    <w:p w14:paraId="24968D46" w14:textId="77777777" w:rsidR="0025587C" w:rsidRPr="00925F26" w:rsidRDefault="0025587C" w:rsidP="00925F26">
      <w:pPr>
        <w:jc w:val="both"/>
        <w:rPr>
          <w:color w:val="000000" w:themeColor="text1"/>
          <w:sz w:val="16"/>
          <w:szCs w:val="16"/>
        </w:rPr>
      </w:pPr>
      <w:r w:rsidRPr="00925F26">
        <w:rPr>
          <w:color w:val="000000" w:themeColor="text1"/>
          <w:sz w:val="16"/>
          <w:szCs w:val="16"/>
        </w:rPr>
        <w:t>Шатц, командир 126 пехотной дивизии генерал-майор Хелинг, командир 329 пехотной дивизии генерал-лейтенант Меннель. Учтены следующие трофеи: танков и самоходных орудий—143, самолётов—68, полевых орудий—532, миномётов—146, пулемётов—1.421, винтовок и автоматов—8.870, бронетранспортёров—50, автомашин— 1.112, тракторов и тягачей—106, радиостанций—104, повозок с военными грузами— 470, лошадей—3.313. Приём пленных и учёт трофеев продолжается.</w:t>
      </w:r>
    </w:p>
    <w:p w14:paraId="3EB68927" w14:textId="77777777" w:rsidR="0025587C" w:rsidRPr="00925F26" w:rsidRDefault="0025587C" w:rsidP="00925F26">
      <w:pPr>
        <w:jc w:val="both"/>
        <w:rPr>
          <w:color w:val="000000" w:themeColor="text1"/>
          <w:sz w:val="16"/>
          <w:szCs w:val="16"/>
        </w:rPr>
      </w:pPr>
      <w:r w:rsidRPr="00925F26">
        <w:rPr>
          <w:color w:val="000000" w:themeColor="text1"/>
          <w:sz w:val="16"/>
          <w:szCs w:val="16"/>
        </w:rPr>
        <w:t>Войсками фронта заняты города Виндава (Вэнтспилс), Талси, Кулдига.</w:t>
      </w:r>
    </w:p>
    <w:p w14:paraId="7BB86505" w14:textId="77777777" w:rsidR="0025587C" w:rsidRPr="00925F26" w:rsidRDefault="0025587C" w:rsidP="00925F26">
      <w:pPr>
        <w:jc w:val="both"/>
        <w:rPr>
          <w:color w:val="000000" w:themeColor="text1"/>
          <w:sz w:val="16"/>
          <w:szCs w:val="16"/>
        </w:rPr>
      </w:pPr>
      <w:r w:rsidRPr="00925F26">
        <w:rPr>
          <w:color w:val="000000" w:themeColor="text1"/>
          <w:sz w:val="16"/>
          <w:szCs w:val="16"/>
        </w:rPr>
        <w:t>Войска 3-го Белорусского фронта в районе устья реки Висла продолжали приём капитулировавших соединений и частей немецких войск. К вечеру 10 мая войскам фронта сдалось в плен более 20.000 немецких солдат и офицеров. В числе пленных командир 18 горно-стрелкового корпуса немцев — генерал от инфантерии Хохбаум, командир 7 пехотной дивизии генерал-лейтенант Раппарт, командир 28 пехотной дивизии генерал-майор Фергейм. Учтены следующие трофеи: самолётов—50, танков—20, полевых орудий—40, бронетранспортёров—30 и автомашин—500.</w:t>
      </w:r>
    </w:p>
    <w:p w14:paraId="6C08786F" w14:textId="77777777" w:rsidR="0025587C" w:rsidRPr="00925F26" w:rsidRDefault="0025587C" w:rsidP="00925F26">
      <w:pPr>
        <w:jc w:val="both"/>
        <w:rPr>
          <w:color w:val="000000" w:themeColor="text1"/>
          <w:sz w:val="16"/>
          <w:szCs w:val="16"/>
        </w:rPr>
      </w:pPr>
      <w:r w:rsidRPr="00925F26">
        <w:rPr>
          <w:color w:val="000000" w:themeColor="text1"/>
          <w:sz w:val="16"/>
          <w:szCs w:val="16"/>
        </w:rPr>
        <w:t>Войска 2-го Белорусского фронта в районе устья реки Вислы восточнее Данцига и на косе Путцигер-Нерунг северо-восточнее Гдыни продолжали приём капитулировавших немецких войск. К 11 часам утра 10 мая сдалось в плен 30.500 немецких солдат и офицеров. В числе пленных командующий 2 немецкой армией генерал танковых войск фон-Заукен, командир 23 пехотной дивизии генерал-лейтенант Ширмер, командир 31 пехотной дивизии генерал-лейтенант Бек, командир 35 пехотной дивизии генерал-лейтенант Рихард, командир 203 пехотной дивизии генерал-майор Гебоке, командир 558 гренадерской дивизии генерал-лейтенант Беркен.</w:t>
      </w:r>
    </w:p>
    <w:p w14:paraId="1C0131D6" w14:textId="77777777" w:rsidR="0025587C" w:rsidRPr="00925F26" w:rsidRDefault="0025587C" w:rsidP="00925F26">
      <w:pPr>
        <w:jc w:val="both"/>
        <w:rPr>
          <w:color w:val="000000" w:themeColor="text1"/>
          <w:sz w:val="16"/>
          <w:szCs w:val="16"/>
        </w:rPr>
      </w:pPr>
      <w:r w:rsidRPr="00925F26">
        <w:rPr>
          <w:color w:val="000000" w:themeColor="text1"/>
          <w:sz w:val="16"/>
          <w:szCs w:val="16"/>
        </w:rPr>
        <w:t>Войсками фронта полностью занята коса Путцигер-Нерунг с городом и портом Хель.</w:t>
      </w:r>
    </w:p>
    <w:p w14:paraId="74E1ADCA" w14:textId="77777777" w:rsidR="0025587C" w:rsidRPr="00925F26" w:rsidRDefault="0025587C" w:rsidP="00925F26">
      <w:pPr>
        <w:jc w:val="both"/>
        <w:rPr>
          <w:color w:val="000000" w:themeColor="text1"/>
          <w:sz w:val="16"/>
          <w:szCs w:val="16"/>
        </w:rPr>
      </w:pPr>
      <w:r w:rsidRPr="00925F26">
        <w:rPr>
          <w:color w:val="000000" w:themeColor="text1"/>
          <w:sz w:val="16"/>
          <w:szCs w:val="16"/>
        </w:rPr>
        <w:t>Немецкие войска под командованием генерал-фельдмаршала Шернера в нарушение акта капитуляции отказались остаться на месте и сложить оружие. Ввиду этого войска 1-го Украинского фронта атаковали войска генерал-фельдмаршала Шернера и, продвигаясь вперёд, заняли на территории Чехословакии города Подборжаны, Нове-Страшеци, Бероун, Горжовице, Добржиш, Кралупы, Роуднице, Литомержице, Ческа Липа, Либерец, Яблонец, Танвальд, Трутнов, Гостинне, Ческе Скалице. Ввиду угрозы окружения со стороны наших войск одна группа генерал-фельдмаршала Шернера стала беспорядочно сдаваться в плен. За 9 и 10 мая войсками 1-го Украинского фронта взято в плен более 35.000 немецких солдат и офицеров.</w:t>
      </w:r>
    </w:p>
    <w:p w14:paraId="10D5106D" w14:textId="77777777" w:rsidR="0025587C" w:rsidRPr="00925F26" w:rsidRDefault="0025587C" w:rsidP="00925F26">
      <w:pPr>
        <w:jc w:val="both"/>
        <w:rPr>
          <w:color w:val="000000" w:themeColor="text1"/>
          <w:sz w:val="16"/>
          <w:szCs w:val="16"/>
        </w:rPr>
      </w:pPr>
      <w:r w:rsidRPr="00925F26">
        <w:rPr>
          <w:color w:val="000000" w:themeColor="text1"/>
          <w:sz w:val="16"/>
          <w:szCs w:val="16"/>
        </w:rPr>
        <w:t>Другая группа немецких войск генерал-фельдмаршала Шернера также нарушила условия капитуляции и начала отход на запад, войска 4-го Украинского фронта, преследуя эту группу войск, заняли на территории Чехословакии города Рихнов, Костэлец, Жамберк, Кишперк, Усти, Литомишль, Цвиттау, Поличка, Боско-Вице, Тыниште, Градец Кралевски, Пардубице, Хрудим, Часлав. За 9 и 10 мая войсками фронта взято более 20.000 беспорядочно сдавшихся в плен немецких солдат и офицеров.</w:t>
      </w:r>
    </w:p>
    <w:p w14:paraId="58E3EAC1" w14:textId="77777777" w:rsidR="0025587C" w:rsidRPr="00925F26" w:rsidRDefault="0025587C" w:rsidP="00925F26">
      <w:pPr>
        <w:jc w:val="both"/>
        <w:rPr>
          <w:color w:val="000000" w:themeColor="text1"/>
          <w:sz w:val="16"/>
          <w:szCs w:val="16"/>
        </w:rPr>
      </w:pPr>
      <w:r w:rsidRPr="00925F26">
        <w:rPr>
          <w:color w:val="000000" w:themeColor="text1"/>
          <w:sz w:val="16"/>
          <w:szCs w:val="16"/>
        </w:rPr>
        <w:t>Перед войсками 2-го Украинского фронта немецкие войска под командованием генерал-полковника Велера также нарушили акт о капитуляции, отказались остаться на месте и сложить оружие. Ввиду этого войска фронта атаковали войска генерал-полковника Велера и, продвигаясь вперёд, заняли на территории Чехословакии Гумполец, Тржешт, Тельч, Дачице, Славонице, Йиндржихов-Градец, Весели Мезимости, Тржебонь, Ческе-Будеевице. За 9 и 10 мая войсками фронта взято в плен более 8.000 немецких солдат и офицеров.</w:t>
      </w:r>
    </w:p>
    <w:p w14:paraId="3AB1E10E" w14:textId="77777777" w:rsidR="0025587C" w:rsidRPr="00925F26" w:rsidRDefault="0025587C" w:rsidP="00925F26">
      <w:pPr>
        <w:jc w:val="both"/>
        <w:rPr>
          <w:color w:val="000000" w:themeColor="text1"/>
          <w:sz w:val="16"/>
          <w:szCs w:val="16"/>
        </w:rPr>
      </w:pPr>
      <w:r w:rsidRPr="00925F26">
        <w:rPr>
          <w:color w:val="000000" w:themeColor="text1"/>
          <w:sz w:val="16"/>
          <w:szCs w:val="16"/>
        </w:rPr>
        <w:t>Войска 3-го Украинского фронта на территории Австрии заняли города Ваидхофен, Леобен, Саннтмихаель и соединились с английскими войсками западнее города Грац. За 9 и 10 мая войска фронта взяли более 23.000 беспорядочно сдавшихся в плен немецких солдат и офицеров из войск генерал-полковника Велера, в том числе 4 генералов.» (14887).</w:t>
      </w:r>
    </w:p>
    <w:p w14:paraId="5513A1FD" w14:textId="77777777" w:rsidR="0025587C" w:rsidRPr="00925F26" w:rsidRDefault="0025587C" w:rsidP="00925F26">
      <w:pPr>
        <w:jc w:val="both"/>
        <w:rPr>
          <w:color w:val="000000" w:themeColor="text1"/>
          <w:sz w:val="16"/>
          <w:szCs w:val="16"/>
        </w:rPr>
      </w:pPr>
    </w:p>
    <w:p w14:paraId="6D3A40D2" w14:textId="60A3BE8B" w:rsidR="00AB4033" w:rsidRPr="00925F26" w:rsidRDefault="00AB4033" w:rsidP="00925F26">
      <w:pPr>
        <w:pStyle w:val="ae"/>
        <w:spacing w:before="0" w:after="0"/>
        <w:jc w:val="both"/>
        <w:textAlignment w:val="baseline"/>
        <w:rPr>
          <w:color w:val="000000" w:themeColor="text1"/>
          <w:sz w:val="16"/>
          <w:szCs w:val="16"/>
        </w:rPr>
      </w:pPr>
      <w:r w:rsidRPr="00925F26">
        <w:rPr>
          <w:color w:val="000000" w:themeColor="text1"/>
          <w:sz w:val="16"/>
          <w:szCs w:val="16"/>
        </w:rPr>
        <w:lastRenderedPageBreak/>
        <w:t xml:space="preserve">По состоянию на 10 мая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в составе ВВС РККА насчитывалось в общей сложности 3075 штурмовиков Ил-2 (19522).</w:t>
      </w:r>
    </w:p>
    <w:p w14:paraId="6ED5B74A" w14:textId="77777777" w:rsidR="00AB4033" w:rsidRPr="00925F26" w:rsidRDefault="00AB4033" w:rsidP="00925F26">
      <w:pPr>
        <w:pStyle w:val="ae"/>
        <w:spacing w:before="0" w:after="0"/>
        <w:jc w:val="both"/>
        <w:textAlignment w:val="baseline"/>
        <w:rPr>
          <w:color w:val="000000" w:themeColor="text1"/>
          <w:sz w:val="16"/>
          <w:szCs w:val="16"/>
        </w:rPr>
      </w:pPr>
    </w:p>
    <w:p w14:paraId="17E58D98" w14:textId="7E3210F7" w:rsidR="00AB4033" w:rsidRPr="00925F26" w:rsidRDefault="00AB4033"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По состоянию на 10 мая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ВВС</w:t>
      </w:r>
      <w:proofErr w:type="gramEnd"/>
      <w:r w:rsidRPr="00925F26">
        <w:rPr>
          <w:color w:val="000000" w:themeColor="text1"/>
          <w:sz w:val="16"/>
          <w:szCs w:val="16"/>
        </w:rPr>
        <w:t xml:space="preserve"> РККА числилось в общей сложности уже 450 Ил-10 (19522).</w:t>
      </w:r>
    </w:p>
    <w:p w14:paraId="5C75AF7F" w14:textId="77777777" w:rsidR="00AB4033" w:rsidRPr="00925F26" w:rsidRDefault="00AB4033" w:rsidP="00925F26">
      <w:pPr>
        <w:pStyle w:val="ae"/>
        <w:spacing w:before="0" w:after="0"/>
        <w:jc w:val="both"/>
        <w:textAlignment w:val="baseline"/>
        <w:rPr>
          <w:color w:val="000000" w:themeColor="text1"/>
          <w:sz w:val="16"/>
          <w:szCs w:val="16"/>
        </w:rPr>
      </w:pPr>
    </w:p>
    <w:p w14:paraId="29DA8C94" w14:textId="77777777" w:rsidR="00FF14E5" w:rsidRPr="00925F26" w:rsidRDefault="00FF14E5" w:rsidP="00925F26">
      <w:pPr>
        <w:jc w:val="both"/>
        <w:rPr>
          <w:color w:val="000000" w:themeColor="text1"/>
          <w:sz w:val="16"/>
          <w:szCs w:val="16"/>
        </w:rPr>
      </w:pPr>
      <w:r w:rsidRPr="00925F26">
        <w:rPr>
          <w:color w:val="000000" w:themeColor="text1"/>
          <w:sz w:val="16"/>
          <w:szCs w:val="16"/>
        </w:rPr>
        <w:t>К 10 мая 1945 года в составе воздушных армий фронтов насчитывалось 3075 штурмовиков Ил-2 и УИл-2, 214 Ил-2 КР, а также 146 Ил-10. Кроме этого, в ВВС ВМФ имелось 197 Ил-2 и 12 Ил-10.</w:t>
      </w:r>
    </w:p>
    <w:p w14:paraId="404FE3C1" w14:textId="7073CDC6" w:rsidR="00FF14E5" w:rsidRPr="00925F26" w:rsidRDefault="00FF14E5" w:rsidP="00925F26">
      <w:pPr>
        <w:jc w:val="both"/>
        <w:rPr>
          <w:color w:val="000000" w:themeColor="text1"/>
          <w:sz w:val="16"/>
          <w:szCs w:val="16"/>
        </w:rPr>
      </w:pPr>
      <w:r w:rsidRPr="00925F26">
        <w:rPr>
          <w:color w:val="000000" w:themeColor="text1"/>
          <w:sz w:val="16"/>
          <w:szCs w:val="16"/>
        </w:rPr>
        <w:t xml:space="preserve">В общей сложности за годы войны в штурмовые авиачасти ВВС КА поступило </w:t>
      </w:r>
      <w:proofErr w:type="gramStart"/>
      <w:r w:rsidRPr="00925F26">
        <w:rPr>
          <w:color w:val="000000" w:themeColor="text1"/>
          <w:sz w:val="16"/>
          <w:szCs w:val="16"/>
        </w:rPr>
        <w:t>33</w:t>
      </w:r>
      <w:r w:rsidR="00997EDF" w:rsidRPr="00925F26">
        <w:rPr>
          <w:color w:val="000000" w:themeColor="text1"/>
          <w:sz w:val="16"/>
          <w:szCs w:val="16"/>
        </w:rPr>
        <w:t xml:space="preserve">  </w:t>
      </w:r>
      <w:r w:rsidRPr="00925F26">
        <w:rPr>
          <w:color w:val="000000" w:themeColor="text1"/>
          <w:sz w:val="16"/>
          <w:szCs w:val="16"/>
        </w:rPr>
        <w:t>083</w:t>
      </w:r>
      <w:proofErr w:type="gramEnd"/>
      <w:r w:rsidRPr="00925F26">
        <w:rPr>
          <w:color w:val="000000" w:themeColor="text1"/>
          <w:sz w:val="16"/>
          <w:szCs w:val="16"/>
        </w:rPr>
        <w:t xml:space="preserve"> самолета Ил-2 всех типов и Ил-10 (в </w:t>
      </w:r>
      <w:proofErr w:type="gramStart"/>
      <w:r w:rsidRPr="00925F26">
        <w:rPr>
          <w:color w:val="000000" w:themeColor="text1"/>
          <w:sz w:val="16"/>
          <w:szCs w:val="16"/>
        </w:rPr>
        <w:t>1941</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1258, </w:t>
      </w:r>
      <w:proofErr w:type="gramStart"/>
      <w:r w:rsidRPr="00925F26">
        <w:rPr>
          <w:color w:val="000000" w:themeColor="text1"/>
          <w:sz w:val="16"/>
          <w:szCs w:val="16"/>
        </w:rPr>
        <w:t>1942</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7105, </w:t>
      </w:r>
      <w:proofErr w:type="gramStart"/>
      <w:r w:rsidRPr="00925F26">
        <w:rPr>
          <w:color w:val="000000" w:themeColor="text1"/>
          <w:sz w:val="16"/>
          <w:szCs w:val="16"/>
        </w:rPr>
        <w:t>1943</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10</w:t>
      </w:r>
      <w:r w:rsidR="00997EDF" w:rsidRPr="00925F26">
        <w:rPr>
          <w:color w:val="000000" w:themeColor="text1"/>
          <w:sz w:val="16"/>
          <w:szCs w:val="16"/>
        </w:rPr>
        <w:t xml:space="preserve">  </w:t>
      </w:r>
      <w:r w:rsidRPr="00925F26">
        <w:rPr>
          <w:color w:val="000000" w:themeColor="text1"/>
          <w:sz w:val="16"/>
          <w:szCs w:val="16"/>
        </w:rPr>
        <w:t>599</w:t>
      </w:r>
      <w:proofErr w:type="gramEnd"/>
      <w:r w:rsidRPr="00925F26">
        <w:rPr>
          <w:color w:val="000000" w:themeColor="text1"/>
          <w:sz w:val="16"/>
          <w:szCs w:val="16"/>
        </w:rPr>
        <w:t xml:space="preserve">, </w:t>
      </w:r>
      <w:proofErr w:type="gramStart"/>
      <w:r w:rsidRPr="00925F26">
        <w:rPr>
          <w:color w:val="000000" w:themeColor="text1"/>
          <w:sz w:val="16"/>
          <w:szCs w:val="16"/>
        </w:rPr>
        <w:t>1944</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10</w:t>
      </w:r>
      <w:r w:rsidR="00997EDF" w:rsidRPr="00925F26">
        <w:rPr>
          <w:color w:val="000000" w:themeColor="text1"/>
          <w:sz w:val="16"/>
          <w:szCs w:val="16"/>
        </w:rPr>
        <w:t xml:space="preserve">  </w:t>
      </w:r>
      <w:r w:rsidRPr="00925F26">
        <w:rPr>
          <w:color w:val="000000" w:themeColor="text1"/>
          <w:sz w:val="16"/>
          <w:szCs w:val="16"/>
        </w:rPr>
        <w:t>087</w:t>
      </w:r>
      <w:proofErr w:type="gramEnd"/>
      <w:r w:rsidRPr="00925F26">
        <w:rPr>
          <w:color w:val="000000" w:themeColor="text1"/>
          <w:sz w:val="16"/>
          <w:szCs w:val="16"/>
        </w:rPr>
        <w:t xml:space="preserve">, на </w:t>
      </w:r>
      <w:proofErr w:type="gramStart"/>
      <w:r w:rsidRPr="00925F26">
        <w:rPr>
          <w:color w:val="000000" w:themeColor="text1"/>
          <w:sz w:val="16"/>
          <w:szCs w:val="16"/>
        </w:rPr>
        <w:t>1.6.45</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4034), в том числе 8067 одноместных Ил-2, </w:t>
      </w:r>
      <w:proofErr w:type="gramStart"/>
      <w:r w:rsidRPr="00925F26">
        <w:rPr>
          <w:color w:val="000000" w:themeColor="text1"/>
          <w:sz w:val="16"/>
          <w:szCs w:val="16"/>
        </w:rPr>
        <w:t>23</w:t>
      </w:r>
      <w:r w:rsidR="00997EDF" w:rsidRPr="00925F26">
        <w:rPr>
          <w:color w:val="000000" w:themeColor="text1"/>
          <w:sz w:val="16"/>
          <w:szCs w:val="16"/>
        </w:rPr>
        <w:t xml:space="preserve">  </w:t>
      </w:r>
      <w:r w:rsidRPr="00925F26">
        <w:rPr>
          <w:color w:val="000000" w:themeColor="text1"/>
          <w:sz w:val="16"/>
          <w:szCs w:val="16"/>
        </w:rPr>
        <w:t>882</w:t>
      </w:r>
      <w:proofErr w:type="gramEnd"/>
      <w:r w:rsidRPr="00925F26">
        <w:rPr>
          <w:color w:val="000000" w:themeColor="text1"/>
          <w:sz w:val="16"/>
          <w:szCs w:val="16"/>
        </w:rPr>
        <w:t xml:space="preserve"> двухместных Ил-2, 1134 Ил-10.</w:t>
      </w:r>
    </w:p>
    <w:p w14:paraId="53E142B9" w14:textId="09EFB3DC" w:rsidR="00FF14E5" w:rsidRPr="00925F26" w:rsidRDefault="00FF14E5" w:rsidP="00925F26">
      <w:pPr>
        <w:jc w:val="both"/>
        <w:rPr>
          <w:color w:val="000000" w:themeColor="text1"/>
          <w:sz w:val="16"/>
          <w:szCs w:val="16"/>
        </w:rPr>
      </w:pPr>
      <w:r w:rsidRPr="00925F26">
        <w:rPr>
          <w:color w:val="000000" w:themeColor="text1"/>
          <w:sz w:val="16"/>
          <w:szCs w:val="16"/>
        </w:rPr>
        <w:t xml:space="preserve">На фронт отправлено 356 штурмовых авиаполков, из этого числа 140 полков проходили переформирование один раз, 103 </w:t>
      </w:r>
      <w:proofErr w:type="gramStart"/>
      <w:r w:rsidRPr="00925F26">
        <w:rPr>
          <w:color w:val="000000" w:themeColor="text1"/>
          <w:sz w:val="16"/>
          <w:szCs w:val="16"/>
        </w:rPr>
        <w:t>полка</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дважды, </w:t>
      </w:r>
      <w:proofErr w:type="gramStart"/>
      <w:r w:rsidRPr="00925F26">
        <w:rPr>
          <w:color w:val="000000" w:themeColor="text1"/>
          <w:sz w:val="16"/>
          <w:szCs w:val="16"/>
        </w:rPr>
        <w:t>61</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трижды, </w:t>
      </w:r>
      <w:proofErr w:type="gramStart"/>
      <w:r w:rsidRPr="00925F26">
        <w:rPr>
          <w:color w:val="000000" w:themeColor="text1"/>
          <w:sz w:val="16"/>
          <w:szCs w:val="16"/>
        </w:rPr>
        <w:t>31</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четыре раза и </w:t>
      </w:r>
      <w:proofErr w:type="gramStart"/>
      <w:r w:rsidRPr="00925F26">
        <w:rPr>
          <w:color w:val="000000" w:themeColor="text1"/>
          <w:sz w:val="16"/>
          <w:szCs w:val="16"/>
        </w:rPr>
        <w:t>21</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пять раз.</w:t>
      </w:r>
    </w:p>
    <w:p w14:paraId="03C9845C" w14:textId="45BF9344" w:rsidR="00FF14E5" w:rsidRPr="00925F26" w:rsidRDefault="00FF14E5" w:rsidP="00925F26">
      <w:pPr>
        <w:jc w:val="both"/>
        <w:rPr>
          <w:color w:val="000000" w:themeColor="text1"/>
          <w:sz w:val="16"/>
          <w:szCs w:val="16"/>
        </w:rPr>
      </w:pPr>
      <w:r w:rsidRPr="00925F26">
        <w:rPr>
          <w:color w:val="000000" w:themeColor="text1"/>
          <w:sz w:val="16"/>
          <w:szCs w:val="16"/>
        </w:rPr>
        <w:t xml:space="preserve">Боевые потери штурмовиков Ил-2 за годы войны составили </w:t>
      </w:r>
      <w:proofErr w:type="gramStart"/>
      <w:r w:rsidRPr="00925F26">
        <w:rPr>
          <w:color w:val="000000" w:themeColor="text1"/>
          <w:sz w:val="16"/>
          <w:szCs w:val="16"/>
        </w:rPr>
        <w:t>11</w:t>
      </w:r>
      <w:r w:rsidR="00997EDF" w:rsidRPr="00925F26">
        <w:rPr>
          <w:color w:val="000000" w:themeColor="text1"/>
          <w:sz w:val="16"/>
          <w:szCs w:val="16"/>
        </w:rPr>
        <w:t xml:space="preserve">  </w:t>
      </w:r>
      <w:r w:rsidRPr="00925F26">
        <w:rPr>
          <w:color w:val="000000" w:themeColor="text1"/>
          <w:sz w:val="16"/>
          <w:szCs w:val="16"/>
        </w:rPr>
        <w:t>448</w:t>
      </w:r>
      <w:proofErr w:type="gramEnd"/>
      <w:r w:rsidRPr="00925F26">
        <w:rPr>
          <w:color w:val="000000" w:themeColor="text1"/>
          <w:sz w:val="16"/>
          <w:szCs w:val="16"/>
        </w:rPr>
        <w:t xml:space="preserve"> самолетов (</w:t>
      </w:r>
      <w:proofErr w:type="gramStart"/>
      <w:r w:rsidRPr="00925F26">
        <w:rPr>
          <w:color w:val="000000" w:themeColor="text1"/>
          <w:sz w:val="16"/>
          <w:szCs w:val="16"/>
        </w:rPr>
        <w:t>1941</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503, </w:t>
      </w:r>
      <w:proofErr w:type="gramStart"/>
      <w:r w:rsidRPr="00925F26">
        <w:rPr>
          <w:color w:val="000000" w:themeColor="text1"/>
          <w:sz w:val="16"/>
          <w:szCs w:val="16"/>
        </w:rPr>
        <w:t>1942</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1676, </w:t>
      </w:r>
      <w:proofErr w:type="gramStart"/>
      <w:r w:rsidRPr="00925F26">
        <w:rPr>
          <w:color w:val="000000" w:themeColor="text1"/>
          <w:sz w:val="16"/>
          <w:szCs w:val="16"/>
        </w:rPr>
        <w:t>1943</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3649, </w:t>
      </w:r>
      <w:proofErr w:type="gramStart"/>
      <w:r w:rsidRPr="00925F26">
        <w:rPr>
          <w:color w:val="000000" w:themeColor="text1"/>
          <w:sz w:val="16"/>
          <w:szCs w:val="16"/>
        </w:rPr>
        <w:t>1944</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3727, на </w:t>
      </w:r>
      <w:proofErr w:type="gramStart"/>
      <w:r w:rsidRPr="00925F26">
        <w:rPr>
          <w:color w:val="000000" w:themeColor="text1"/>
          <w:sz w:val="16"/>
          <w:szCs w:val="16"/>
        </w:rPr>
        <w:t>1.6.45</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1893). Еще </w:t>
      </w:r>
      <w:proofErr w:type="gramStart"/>
      <w:r w:rsidRPr="00925F26">
        <w:rPr>
          <w:color w:val="000000" w:themeColor="text1"/>
          <w:sz w:val="16"/>
          <w:szCs w:val="16"/>
        </w:rPr>
        <w:t>11</w:t>
      </w:r>
      <w:r w:rsidR="00997EDF" w:rsidRPr="00925F26">
        <w:rPr>
          <w:color w:val="000000" w:themeColor="text1"/>
          <w:sz w:val="16"/>
          <w:szCs w:val="16"/>
        </w:rPr>
        <w:t xml:space="preserve">  </w:t>
      </w:r>
      <w:r w:rsidRPr="00925F26">
        <w:rPr>
          <w:color w:val="000000" w:themeColor="text1"/>
          <w:sz w:val="16"/>
          <w:szCs w:val="16"/>
        </w:rPr>
        <w:t>055</w:t>
      </w:r>
      <w:proofErr w:type="gramEnd"/>
      <w:r w:rsidRPr="00925F26">
        <w:rPr>
          <w:color w:val="000000" w:themeColor="text1"/>
          <w:sz w:val="16"/>
          <w:szCs w:val="16"/>
        </w:rPr>
        <w:t xml:space="preserve"> штурмовиков Ил-2 всех типов было списано по причине аварий, катастроф и износа материальной части (</w:t>
      </w:r>
      <w:proofErr w:type="gramStart"/>
      <w:r w:rsidRPr="00925F26">
        <w:rPr>
          <w:color w:val="000000" w:themeColor="text1"/>
          <w:sz w:val="16"/>
          <w:szCs w:val="16"/>
        </w:rPr>
        <w:t>1941</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523, </w:t>
      </w:r>
      <w:proofErr w:type="gramStart"/>
      <w:r w:rsidRPr="00925F26">
        <w:rPr>
          <w:color w:val="000000" w:themeColor="text1"/>
          <w:sz w:val="16"/>
          <w:szCs w:val="16"/>
        </w:rPr>
        <w:t>1942</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784, </w:t>
      </w:r>
      <w:proofErr w:type="gramStart"/>
      <w:r w:rsidRPr="00925F26">
        <w:rPr>
          <w:color w:val="000000" w:themeColor="text1"/>
          <w:sz w:val="16"/>
          <w:szCs w:val="16"/>
        </w:rPr>
        <w:t>1943</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3200, </w:t>
      </w:r>
      <w:proofErr w:type="gramStart"/>
      <w:r w:rsidRPr="00925F26">
        <w:rPr>
          <w:color w:val="000000" w:themeColor="text1"/>
          <w:sz w:val="16"/>
          <w:szCs w:val="16"/>
        </w:rPr>
        <w:t>1944</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xml:space="preserve">– 4748, на </w:t>
      </w:r>
      <w:proofErr w:type="gramStart"/>
      <w:r w:rsidRPr="00925F26">
        <w:rPr>
          <w:color w:val="000000" w:themeColor="text1"/>
          <w:sz w:val="16"/>
          <w:szCs w:val="16"/>
        </w:rPr>
        <w:t>1.6.45</w:t>
      </w:r>
      <w:r w:rsidR="00997EDF" w:rsidRPr="00925F26">
        <w:rPr>
          <w:color w:val="000000" w:themeColor="text1"/>
          <w:sz w:val="16"/>
          <w:szCs w:val="16"/>
        </w:rPr>
        <w:t xml:space="preserve">  </w:t>
      </w:r>
      <w:r w:rsidRPr="00925F26">
        <w:rPr>
          <w:color w:val="000000" w:themeColor="text1"/>
          <w:sz w:val="16"/>
          <w:szCs w:val="16"/>
        </w:rPr>
        <w:t>г.</w:t>
      </w:r>
      <w:proofErr w:type="gramEnd"/>
      <w:r w:rsidR="00997EDF" w:rsidRPr="00925F26">
        <w:rPr>
          <w:color w:val="000000" w:themeColor="text1"/>
          <w:sz w:val="16"/>
          <w:szCs w:val="16"/>
        </w:rPr>
        <w:t xml:space="preserve">  </w:t>
      </w:r>
      <w:r w:rsidRPr="00925F26">
        <w:rPr>
          <w:color w:val="000000" w:themeColor="text1"/>
          <w:sz w:val="16"/>
          <w:szCs w:val="16"/>
        </w:rPr>
        <w:t>– 1800).</w:t>
      </w:r>
    </w:p>
    <w:p w14:paraId="64E76608" w14:textId="3E77ACF6" w:rsidR="00FF14E5" w:rsidRPr="00925F26" w:rsidRDefault="00FF14E5" w:rsidP="00925F26">
      <w:pPr>
        <w:jc w:val="both"/>
        <w:rPr>
          <w:color w:val="000000" w:themeColor="text1"/>
          <w:sz w:val="16"/>
          <w:szCs w:val="16"/>
        </w:rPr>
      </w:pPr>
      <w:r w:rsidRPr="00925F26">
        <w:rPr>
          <w:color w:val="000000" w:themeColor="text1"/>
          <w:sz w:val="16"/>
          <w:szCs w:val="16"/>
        </w:rPr>
        <w:t xml:space="preserve">Средний налет Ил-2, приходящийся на одну боевую потерю, за годы войны не превысил 53,5 </w:t>
      </w:r>
      <w:proofErr w:type="gramStart"/>
      <w:r w:rsidRPr="00925F26">
        <w:rPr>
          <w:color w:val="000000" w:themeColor="text1"/>
          <w:sz w:val="16"/>
          <w:szCs w:val="16"/>
        </w:rPr>
        <w:t>самолето-вылета</w:t>
      </w:r>
      <w:proofErr w:type="gramEnd"/>
      <w:r w:rsidRPr="00925F26">
        <w:rPr>
          <w:color w:val="000000" w:themeColor="text1"/>
          <w:sz w:val="16"/>
          <w:szCs w:val="16"/>
        </w:rPr>
        <w:t xml:space="preserve">. Для сравнения: усредненная за период войны живучесть истребителей составила 104,5, а </w:t>
      </w:r>
      <w:proofErr w:type="gramStart"/>
      <w:r w:rsidRPr="00925F26">
        <w:rPr>
          <w:color w:val="000000" w:themeColor="text1"/>
          <w:sz w:val="16"/>
          <w:szCs w:val="16"/>
        </w:rPr>
        <w:t>бомбардировщиков</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80 боевых вылетов.</w:t>
      </w:r>
    </w:p>
    <w:p w14:paraId="1C422BFB" w14:textId="59B61CAB" w:rsidR="00FF14E5" w:rsidRPr="00925F26" w:rsidRDefault="00FF14E5" w:rsidP="00925F26">
      <w:pPr>
        <w:jc w:val="both"/>
        <w:rPr>
          <w:color w:val="000000" w:themeColor="text1"/>
          <w:sz w:val="16"/>
          <w:szCs w:val="16"/>
        </w:rPr>
      </w:pPr>
      <w:r w:rsidRPr="00925F26">
        <w:rPr>
          <w:color w:val="000000" w:themeColor="text1"/>
          <w:sz w:val="16"/>
          <w:szCs w:val="16"/>
        </w:rPr>
        <w:t xml:space="preserve">Боевые потери летного состава штурмовой авиации составили </w:t>
      </w:r>
      <w:proofErr w:type="gramStart"/>
      <w:r w:rsidRPr="00925F26">
        <w:rPr>
          <w:color w:val="000000" w:themeColor="text1"/>
          <w:sz w:val="16"/>
          <w:szCs w:val="16"/>
        </w:rPr>
        <w:t>12</w:t>
      </w:r>
      <w:r w:rsidR="00997EDF" w:rsidRPr="00925F26">
        <w:rPr>
          <w:color w:val="000000" w:themeColor="text1"/>
          <w:sz w:val="16"/>
          <w:szCs w:val="16"/>
        </w:rPr>
        <w:t xml:space="preserve">  </w:t>
      </w:r>
      <w:r w:rsidRPr="00925F26">
        <w:rPr>
          <w:color w:val="000000" w:themeColor="text1"/>
          <w:sz w:val="16"/>
          <w:szCs w:val="16"/>
        </w:rPr>
        <w:t>054</w:t>
      </w:r>
      <w:proofErr w:type="gramEnd"/>
      <w:r w:rsidRPr="00925F26">
        <w:rPr>
          <w:color w:val="000000" w:themeColor="text1"/>
          <w:sz w:val="16"/>
          <w:szCs w:val="16"/>
        </w:rPr>
        <w:t xml:space="preserve"> человека, или около </w:t>
      </w:r>
      <w:proofErr w:type="gramStart"/>
      <w:r w:rsidRPr="00925F26">
        <w:rPr>
          <w:color w:val="000000" w:themeColor="text1"/>
          <w:sz w:val="16"/>
          <w:szCs w:val="16"/>
        </w:rPr>
        <w:t>25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всех боевых потерь ВВС КА, в том числе: </w:t>
      </w:r>
      <w:proofErr w:type="gramStart"/>
      <w:r w:rsidRPr="00925F26">
        <w:rPr>
          <w:color w:val="000000" w:themeColor="text1"/>
          <w:sz w:val="16"/>
          <w:szCs w:val="16"/>
        </w:rPr>
        <w:t>7837</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летчиков, </w:t>
      </w:r>
      <w:proofErr w:type="gramStart"/>
      <w:r w:rsidRPr="00925F26">
        <w:rPr>
          <w:color w:val="000000" w:themeColor="text1"/>
          <w:sz w:val="16"/>
          <w:szCs w:val="16"/>
        </w:rPr>
        <w:t>221</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летнабов и </w:t>
      </w:r>
      <w:proofErr w:type="gramStart"/>
      <w:r w:rsidRPr="00925F26">
        <w:rPr>
          <w:color w:val="000000" w:themeColor="text1"/>
          <w:sz w:val="16"/>
          <w:szCs w:val="16"/>
        </w:rPr>
        <w:t>3996</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воздушных стрелков (17490).</w:t>
      </w:r>
    </w:p>
    <w:p w14:paraId="319E0551" w14:textId="77777777" w:rsidR="00FF14E5" w:rsidRPr="00925F26" w:rsidRDefault="00FF14E5" w:rsidP="00925F26">
      <w:pPr>
        <w:jc w:val="both"/>
        <w:rPr>
          <w:color w:val="000000" w:themeColor="text1"/>
          <w:sz w:val="16"/>
          <w:szCs w:val="16"/>
        </w:rPr>
      </w:pPr>
    </w:p>
    <w:p w14:paraId="163EB2B2" w14:textId="77777777" w:rsidR="0025587C" w:rsidRPr="00925F26" w:rsidRDefault="0025587C" w:rsidP="00925F26">
      <w:pPr>
        <w:jc w:val="both"/>
        <w:rPr>
          <w:color w:val="000000" w:themeColor="text1"/>
          <w:sz w:val="16"/>
          <w:szCs w:val="16"/>
        </w:rPr>
      </w:pPr>
      <w:r w:rsidRPr="00925F26">
        <w:rPr>
          <w:color w:val="000000" w:themeColor="text1"/>
          <w:sz w:val="16"/>
          <w:szCs w:val="16"/>
        </w:rPr>
        <w:t>10 мая в 1945 году морской десант моряков Балтийского флота разгромил 12-тысячный гарнизон военно-морской базы гитлеровцев на о. Борнхольм (Дания)– последний крупный очаг сопротивления фашистов уже после окончания Второй мировой войны (14887).</w:t>
      </w:r>
    </w:p>
    <w:p w14:paraId="7E5A07F7" w14:textId="77777777" w:rsidR="0025587C" w:rsidRPr="00925F26" w:rsidRDefault="0025587C" w:rsidP="00925F26">
      <w:pPr>
        <w:jc w:val="both"/>
        <w:rPr>
          <w:color w:val="000000" w:themeColor="text1"/>
          <w:sz w:val="16"/>
          <w:szCs w:val="16"/>
        </w:rPr>
      </w:pPr>
    </w:p>
    <w:p w14:paraId="5EF07C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 10 мая 1945 г. в составе воздушных армий фронтов насчитывалось 3075 штурмовиков Ил-2 и Ил-2У (450 из них были неси- правными), 214 Ил-2КР (из них 17 неисправных). </w:t>
      </w:r>
      <w:proofErr w:type="gramStart"/>
      <w:r w:rsidRPr="00925F26">
        <w:rPr>
          <w:color w:val="000000" w:themeColor="text1"/>
          <w:sz w:val="16"/>
          <w:szCs w:val="16"/>
        </w:rPr>
        <w:t>Кроме этого</w:t>
      </w:r>
      <w:proofErr w:type="gramEnd"/>
      <w:r w:rsidRPr="00925F26">
        <w:rPr>
          <w:color w:val="000000" w:themeColor="text1"/>
          <w:sz w:val="16"/>
          <w:szCs w:val="16"/>
        </w:rPr>
        <w:t xml:space="preserve"> в ВВС ВМФ имелось 197 Ил-2.</w:t>
      </w:r>
    </w:p>
    <w:p w14:paraId="4AE518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общей сложности за годы войны было построено 34943 Ил-2 и Ил-2КР и 1211 Ил-2У, отправлено на фронт 356 штурмовых авиаполков, из этого числа 140 полков проходили переформирование один раз, 103 полка - дважды, 61 - трижды, 31 - четыре раза и 21 - пять раз.</w:t>
      </w:r>
    </w:p>
    <w:p w14:paraId="51E558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потери штурмовиков Ил-2 за годы войны составили 10759 самолетов в ВВС КА и 807 машин из состава ВВС ВМФ КА.</w:t>
      </w:r>
    </w:p>
    <w:p w14:paraId="667916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Среднее налет Ил-2, приходящийся на одну боевую потерю за годы войны не превысил 53,5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Для сравнения усредненная за период войны живучесть истребителей составила 104,5 </w:t>
      </w:r>
      <w:proofErr w:type="gramStart"/>
      <w:r w:rsidRPr="00925F26">
        <w:rPr>
          <w:color w:val="000000" w:themeColor="text1"/>
          <w:sz w:val="16"/>
          <w:szCs w:val="16"/>
        </w:rPr>
        <w:t>самолето-вылетов</w:t>
      </w:r>
      <w:proofErr w:type="gramEnd"/>
      <w:r w:rsidRPr="00925F26">
        <w:rPr>
          <w:color w:val="000000" w:themeColor="text1"/>
          <w:sz w:val="16"/>
          <w:szCs w:val="16"/>
        </w:rPr>
        <w:t>, а бомбардировщиков - 80 боевых вылетов.</w:t>
      </w:r>
    </w:p>
    <w:p w14:paraId="4E5884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Боевые потери летчиков-штурмовиков составили 7837 человек, или 28,4% общих боевых потерь летного состава ВВС КА.</w:t>
      </w:r>
    </w:p>
    <w:p w14:paraId="34D658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Распределение боевых потерь по степени подготовки летчиков-штурмовиков показывает, что 27% всех потерь приходится на первые 10 боевых вылетов на фронте, 40% потерь составляли летчики, имевшие налет на фронте от 10 до 30 боевых вылетов, примерно 18% - летчики с налетом от 30 до 50 вылетов, около 10% - пилоты с налетом от 50 до 100 боевых вылетов, 4% - пилоты, имевшие налет от 100 до 150 вылетов, и 2% - летчики с налетом свыше 150 боевых вылетов. При этом потери комсостава (командиры полков, эскадрилий и звеньев, а также их заместители и старшие летчики) составили примерно 41% от общего числа потерь летчиков-штурмовиков, остальные потери пришлись на рядовых летчиков (12020).</w:t>
      </w:r>
    </w:p>
    <w:p w14:paraId="1E13CA7F" w14:textId="77777777" w:rsidR="00665165" w:rsidRPr="00925F26" w:rsidRDefault="00665165" w:rsidP="00925F26">
      <w:pPr>
        <w:autoSpaceDE w:val="0"/>
        <w:autoSpaceDN w:val="0"/>
        <w:adjustRightInd w:val="0"/>
        <w:jc w:val="both"/>
        <w:rPr>
          <w:color w:val="000000" w:themeColor="text1"/>
          <w:sz w:val="16"/>
          <w:szCs w:val="16"/>
        </w:rPr>
      </w:pPr>
    </w:p>
    <w:p w14:paraId="784C3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10 мая 1945 в составе воз</w:t>
      </w:r>
      <w:r w:rsidRPr="00925F26">
        <w:rPr>
          <w:color w:val="000000" w:themeColor="text1"/>
          <w:sz w:val="16"/>
          <w:szCs w:val="16"/>
        </w:rPr>
        <w:softHyphen/>
        <w:t>душных армий фронтов насчитывалось 120 исправных и 26 неисправных Ил-10. Кроме этого, дюжина «десяток» име</w:t>
      </w:r>
      <w:r w:rsidRPr="00925F26">
        <w:rPr>
          <w:color w:val="000000" w:themeColor="text1"/>
          <w:sz w:val="16"/>
          <w:szCs w:val="16"/>
        </w:rPr>
        <w:softHyphen/>
        <w:t>лась в морской авиации. Как следует из архивных документов, в боевых действиях против немцев успе</w:t>
      </w:r>
      <w:r w:rsidRPr="00925F26">
        <w:rPr>
          <w:color w:val="000000" w:themeColor="text1"/>
          <w:sz w:val="16"/>
          <w:szCs w:val="16"/>
        </w:rPr>
        <w:softHyphen/>
        <w:t>ли принять участие только три полка -571-й шап, 108-й и 118-й гшап. При этом дольше всех и интенсивнее всех воевал первый. Да и бои ему достались самые тяжелые (10681).</w:t>
      </w:r>
    </w:p>
    <w:p w14:paraId="1FD02B64" w14:textId="77777777" w:rsidR="00665165" w:rsidRPr="00925F26" w:rsidRDefault="00665165" w:rsidP="00925F26">
      <w:pPr>
        <w:autoSpaceDE w:val="0"/>
        <w:autoSpaceDN w:val="0"/>
        <w:adjustRightInd w:val="0"/>
        <w:jc w:val="both"/>
        <w:rPr>
          <w:color w:val="000000" w:themeColor="text1"/>
          <w:sz w:val="16"/>
          <w:szCs w:val="16"/>
        </w:rPr>
      </w:pPr>
    </w:p>
    <w:p w14:paraId="101D70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10 мая 1945 г. в составе воздушных армий фронтов насчитывалось 120 исправных и 26 неисправных самолетов Ил-10. Кроме этого, в ВВС ВМФ имелось 12 Ил-10 (7489).</w:t>
      </w:r>
    </w:p>
    <w:p w14:paraId="546CCC92" w14:textId="77777777" w:rsidR="00665165" w:rsidRPr="00925F26" w:rsidRDefault="00665165" w:rsidP="00925F26">
      <w:pPr>
        <w:autoSpaceDE w:val="0"/>
        <w:autoSpaceDN w:val="0"/>
        <w:adjustRightInd w:val="0"/>
        <w:jc w:val="both"/>
        <w:rPr>
          <w:color w:val="000000" w:themeColor="text1"/>
          <w:sz w:val="16"/>
          <w:szCs w:val="16"/>
        </w:rPr>
      </w:pPr>
    </w:p>
    <w:p w14:paraId="6CF0D1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w:t>
      </w:r>
      <w:r w:rsidRPr="00925F26">
        <w:rPr>
          <w:color w:val="000000" w:themeColor="text1"/>
          <w:sz w:val="16"/>
          <w:szCs w:val="16"/>
        </w:rPr>
        <w:softHyphen/>
        <w:t>янию на 10 мая 1945 г. в составе воз</w:t>
      </w:r>
      <w:r w:rsidRPr="00925F26">
        <w:rPr>
          <w:color w:val="000000" w:themeColor="text1"/>
          <w:sz w:val="16"/>
          <w:szCs w:val="16"/>
        </w:rPr>
        <w:softHyphen/>
        <w:t>душных армий фронтов насчитывалось 3075 штурмовиков Ил-2 и Ил-2У (450 из них были неисправными), 120 исправных и 26 неисправных самолетов Ил-10 и 214 Ил-2КР (из них 17 неисправные). Кроме этого, в ВВС ВМФ имелось 197 Ил-2 и 12 Ил-10.</w:t>
      </w:r>
    </w:p>
    <w:p w14:paraId="6DA710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3 чехословацкий шап перевели в Albrechticky в районе Pribor в Моравии (241,40).</w:t>
      </w:r>
    </w:p>
    <w:p w14:paraId="3D2F6C30" w14:textId="77777777" w:rsidR="00665165" w:rsidRPr="00925F26" w:rsidRDefault="00665165" w:rsidP="00925F26">
      <w:pPr>
        <w:autoSpaceDE w:val="0"/>
        <w:autoSpaceDN w:val="0"/>
        <w:adjustRightInd w:val="0"/>
        <w:jc w:val="both"/>
        <w:rPr>
          <w:color w:val="000000" w:themeColor="text1"/>
          <w:sz w:val="16"/>
          <w:szCs w:val="16"/>
        </w:rPr>
      </w:pPr>
    </w:p>
    <w:p w14:paraId="5F5647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10 мая 1945 г.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0F5689" w:rsidRPr="00925F26" w14:paraId="09B2AF6B" w14:textId="77777777">
        <w:tc>
          <w:tcPr>
            <w:tcW w:w="1019" w:type="dxa"/>
            <w:tcBorders>
              <w:top w:val="single" w:sz="12" w:space="0" w:color="auto"/>
            </w:tcBorders>
          </w:tcPr>
          <w:p w14:paraId="0C103F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Объединение</w:t>
            </w:r>
          </w:p>
        </w:tc>
        <w:tc>
          <w:tcPr>
            <w:tcW w:w="1019" w:type="dxa"/>
            <w:tcBorders>
              <w:top w:val="single" w:sz="12" w:space="0" w:color="auto"/>
            </w:tcBorders>
          </w:tcPr>
          <w:p w14:paraId="665E3D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c>
        <w:tc>
          <w:tcPr>
            <w:tcW w:w="1019" w:type="dxa"/>
            <w:tcBorders>
              <w:top w:val="single" w:sz="12" w:space="0" w:color="auto"/>
            </w:tcBorders>
          </w:tcPr>
          <w:p w14:paraId="4873999C"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Borders>
              <w:top w:val="single" w:sz="12" w:space="0" w:color="auto"/>
            </w:tcBorders>
          </w:tcPr>
          <w:p w14:paraId="15D8CB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Разведчики</w:t>
            </w:r>
          </w:p>
        </w:tc>
        <w:tc>
          <w:tcPr>
            <w:tcW w:w="1019" w:type="dxa"/>
            <w:tcBorders>
              <w:top w:val="single" w:sz="12" w:space="0" w:color="auto"/>
            </w:tcBorders>
          </w:tcPr>
          <w:p w14:paraId="39082CF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9282053" w14:textId="77777777">
        <w:tc>
          <w:tcPr>
            <w:tcW w:w="1019" w:type="dxa"/>
          </w:tcPr>
          <w:p w14:paraId="2700569E"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5307AE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019" w:type="dxa"/>
          </w:tcPr>
          <w:p w14:paraId="68BCAE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Неисправны</w:t>
            </w:r>
          </w:p>
        </w:tc>
        <w:tc>
          <w:tcPr>
            <w:tcW w:w="1019" w:type="dxa"/>
          </w:tcPr>
          <w:p w14:paraId="2971B4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019" w:type="dxa"/>
          </w:tcPr>
          <w:p w14:paraId="0A1380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Неисправны</w:t>
            </w:r>
          </w:p>
        </w:tc>
      </w:tr>
      <w:tr w:rsidR="000F5689" w:rsidRPr="00925F26" w14:paraId="754A65FC" w14:textId="77777777">
        <w:tc>
          <w:tcPr>
            <w:tcW w:w="1019" w:type="dxa"/>
          </w:tcPr>
          <w:p w14:paraId="036CE6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1-я ВА</w:t>
            </w:r>
          </w:p>
        </w:tc>
        <w:tc>
          <w:tcPr>
            <w:tcW w:w="1019" w:type="dxa"/>
          </w:tcPr>
          <w:p w14:paraId="03E3AC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316</w:t>
            </w:r>
          </w:p>
        </w:tc>
        <w:tc>
          <w:tcPr>
            <w:tcW w:w="1019" w:type="dxa"/>
          </w:tcPr>
          <w:p w14:paraId="5053D5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w:t>
            </w:r>
          </w:p>
        </w:tc>
        <w:tc>
          <w:tcPr>
            <w:tcW w:w="1019" w:type="dxa"/>
          </w:tcPr>
          <w:p w14:paraId="3B3D65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w:t>
            </w:r>
          </w:p>
        </w:tc>
        <w:tc>
          <w:tcPr>
            <w:tcW w:w="1019" w:type="dxa"/>
          </w:tcPr>
          <w:p w14:paraId="3D620A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r>
      <w:tr w:rsidR="000F5689" w:rsidRPr="00925F26" w14:paraId="4C16590E" w14:textId="77777777">
        <w:tc>
          <w:tcPr>
            <w:tcW w:w="1019" w:type="dxa"/>
          </w:tcPr>
          <w:p w14:paraId="42377B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2-я ВА</w:t>
            </w:r>
          </w:p>
        </w:tc>
        <w:tc>
          <w:tcPr>
            <w:tcW w:w="1019" w:type="dxa"/>
          </w:tcPr>
          <w:p w14:paraId="65920F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323</w:t>
            </w:r>
          </w:p>
        </w:tc>
        <w:tc>
          <w:tcPr>
            <w:tcW w:w="1019" w:type="dxa"/>
          </w:tcPr>
          <w:p w14:paraId="2F656F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w:t>
            </w:r>
          </w:p>
        </w:tc>
        <w:tc>
          <w:tcPr>
            <w:tcW w:w="1019" w:type="dxa"/>
          </w:tcPr>
          <w:p w14:paraId="6171A6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1019" w:type="dxa"/>
          </w:tcPr>
          <w:p w14:paraId="60021C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21DABD9C" w14:textId="77777777">
        <w:tc>
          <w:tcPr>
            <w:tcW w:w="1019" w:type="dxa"/>
          </w:tcPr>
          <w:p w14:paraId="10633D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3-я ВА</w:t>
            </w:r>
          </w:p>
        </w:tc>
        <w:tc>
          <w:tcPr>
            <w:tcW w:w="1019" w:type="dxa"/>
          </w:tcPr>
          <w:p w14:paraId="4A35D3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w:t>
            </w:r>
          </w:p>
        </w:tc>
        <w:tc>
          <w:tcPr>
            <w:tcW w:w="1019" w:type="dxa"/>
          </w:tcPr>
          <w:p w14:paraId="0DECAC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1019" w:type="dxa"/>
          </w:tcPr>
          <w:p w14:paraId="4B9D9E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019" w:type="dxa"/>
          </w:tcPr>
          <w:p w14:paraId="78DBC3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1AD338C7" w14:textId="77777777">
        <w:tc>
          <w:tcPr>
            <w:tcW w:w="1019" w:type="dxa"/>
          </w:tcPr>
          <w:p w14:paraId="5FA8C8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4-я ВА</w:t>
            </w:r>
          </w:p>
        </w:tc>
        <w:tc>
          <w:tcPr>
            <w:tcW w:w="1019" w:type="dxa"/>
          </w:tcPr>
          <w:p w14:paraId="6927D8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8ABD0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278DC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019" w:type="dxa"/>
          </w:tcPr>
          <w:p w14:paraId="61B293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r>
      <w:tr w:rsidR="000F5689" w:rsidRPr="00925F26" w14:paraId="52CB06B4" w14:textId="77777777">
        <w:tc>
          <w:tcPr>
            <w:tcW w:w="1019" w:type="dxa"/>
          </w:tcPr>
          <w:p w14:paraId="3435F8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5-я ВА</w:t>
            </w:r>
          </w:p>
        </w:tc>
        <w:tc>
          <w:tcPr>
            <w:tcW w:w="1019" w:type="dxa"/>
          </w:tcPr>
          <w:p w14:paraId="15947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ADA06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92C41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1019" w:type="dxa"/>
          </w:tcPr>
          <w:p w14:paraId="51D77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757149C7" w14:textId="77777777">
        <w:tc>
          <w:tcPr>
            <w:tcW w:w="1019" w:type="dxa"/>
          </w:tcPr>
          <w:p w14:paraId="51CCF8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6-я ВА'</w:t>
            </w:r>
          </w:p>
        </w:tc>
        <w:tc>
          <w:tcPr>
            <w:tcW w:w="1019" w:type="dxa"/>
          </w:tcPr>
          <w:p w14:paraId="3F5655E2"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6E299C89"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4D672104"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86A6A0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14EA262" w14:textId="77777777">
        <w:tc>
          <w:tcPr>
            <w:tcW w:w="1019" w:type="dxa"/>
          </w:tcPr>
          <w:p w14:paraId="162857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7-я ВАг</w:t>
            </w:r>
          </w:p>
        </w:tc>
        <w:tc>
          <w:tcPr>
            <w:tcW w:w="1019" w:type="dxa"/>
          </w:tcPr>
          <w:p w14:paraId="24C2B4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C845D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D0F74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019" w:type="dxa"/>
          </w:tcPr>
          <w:p w14:paraId="34E932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29B70B5" w14:textId="77777777">
        <w:tc>
          <w:tcPr>
            <w:tcW w:w="1019" w:type="dxa"/>
          </w:tcPr>
          <w:p w14:paraId="70B887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8-я ВА</w:t>
            </w:r>
          </w:p>
        </w:tc>
        <w:tc>
          <w:tcPr>
            <w:tcW w:w="1019" w:type="dxa"/>
          </w:tcPr>
          <w:p w14:paraId="72325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019" w:type="dxa"/>
          </w:tcPr>
          <w:p w14:paraId="10A10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0C0006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019" w:type="dxa"/>
          </w:tcPr>
          <w:p w14:paraId="77FDE7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r>
      <w:tr w:rsidR="000F5689" w:rsidRPr="00925F26" w14:paraId="5399EF7A" w14:textId="77777777">
        <w:tc>
          <w:tcPr>
            <w:tcW w:w="1019" w:type="dxa"/>
          </w:tcPr>
          <w:p w14:paraId="003FC0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13-я ВА</w:t>
            </w:r>
          </w:p>
        </w:tc>
        <w:tc>
          <w:tcPr>
            <w:tcW w:w="1019" w:type="dxa"/>
          </w:tcPr>
          <w:p w14:paraId="28BE16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F7ED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038F7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1019" w:type="dxa"/>
          </w:tcPr>
          <w:p w14:paraId="046FE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r>
      <w:tr w:rsidR="000F5689" w:rsidRPr="00925F26" w14:paraId="1668E552" w14:textId="77777777">
        <w:tc>
          <w:tcPr>
            <w:tcW w:w="1019" w:type="dxa"/>
          </w:tcPr>
          <w:p w14:paraId="5384ED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14-я ВА</w:t>
            </w:r>
          </w:p>
        </w:tc>
        <w:tc>
          <w:tcPr>
            <w:tcW w:w="1019" w:type="dxa"/>
          </w:tcPr>
          <w:p w14:paraId="2D9E8480"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354DF200"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A49B921"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494FD34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686F9A0" w14:textId="77777777">
        <w:tc>
          <w:tcPr>
            <w:tcW w:w="1019" w:type="dxa"/>
          </w:tcPr>
          <w:p w14:paraId="513239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15-я ВА</w:t>
            </w:r>
          </w:p>
        </w:tc>
        <w:tc>
          <w:tcPr>
            <w:tcW w:w="1019" w:type="dxa"/>
          </w:tcPr>
          <w:p w14:paraId="0EE06476"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517AC76D"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6E418227"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622AFF09"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DEC7A31" w14:textId="77777777">
        <w:tc>
          <w:tcPr>
            <w:tcW w:w="1019" w:type="dxa"/>
          </w:tcPr>
          <w:p w14:paraId="232344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16-я ВА</w:t>
            </w:r>
          </w:p>
        </w:tc>
        <w:tc>
          <w:tcPr>
            <w:tcW w:w="1019" w:type="dxa"/>
          </w:tcPr>
          <w:p w14:paraId="1B096509"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5275CA42"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BDD2477"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3DCC9E9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96154F1" w14:textId="77777777">
        <w:tc>
          <w:tcPr>
            <w:tcW w:w="1019" w:type="dxa"/>
          </w:tcPr>
          <w:p w14:paraId="24188F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17-я ВА</w:t>
            </w:r>
          </w:p>
        </w:tc>
        <w:tc>
          <w:tcPr>
            <w:tcW w:w="1019" w:type="dxa"/>
          </w:tcPr>
          <w:p w14:paraId="5D3C88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647D9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D6D51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1019" w:type="dxa"/>
          </w:tcPr>
          <w:p w14:paraId="25C9C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r>
      <w:tr w:rsidR="000F5689" w:rsidRPr="00925F26" w14:paraId="3436213E" w14:textId="77777777">
        <w:tc>
          <w:tcPr>
            <w:tcW w:w="1019" w:type="dxa"/>
            <w:tcBorders>
              <w:bottom w:val="single" w:sz="12" w:space="0" w:color="auto"/>
            </w:tcBorders>
          </w:tcPr>
          <w:p w14:paraId="36046A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c>
          <w:tcPr>
            <w:tcW w:w="1019" w:type="dxa"/>
            <w:tcBorders>
              <w:bottom w:val="single" w:sz="12" w:space="0" w:color="auto"/>
            </w:tcBorders>
          </w:tcPr>
          <w:p w14:paraId="628619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1129</w:t>
            </w:r>
          </w:p>
        </w:tc>
        <w:tc>
          <w:tcPr>
            <w:tcW w:w="1019" w:type="dxa"/>
            <w:tcBorders>
              <w:bottom w:val="single" w:sz="12" w:space="0" w:color="auto"/>
            </w:tcBorders>
          </w:tcPr>
          <w:p w14:paraId="4D8B4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019" w:type="dxa"/>
            <w:tcBorders>
              <w:bottom w:val="single" w:sz="12" w:space="0" w:color="auto"/>
            </w:tcBorders>
          </w:tcPr>
          <w:p w14:paraId="7280D7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303</w:t>
            </w:r>
          </w:p>
        </w:tc>
        <w:tc>
          <w:tcPr>
            <w:tcW w:w="1019" w:type="dxa"/>
            <w:tcBorders>
              <w:bottom w:val="single" w:sz="12" w:space="0" w:color="auto"/>
            </w:tcBorders>
          </w:tcPr>
          <w:p w14:paraId="53E932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r>
    </w:tbl>
    <w:p w14:paraId="1BA612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ВВС Войска Польского</w:t>
      </w:r>
    </w:p>
    <w:p w14:paraId="4D2FF7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Резерв Верховного Главнокомандования (12042).</w:t>
      </w:r>
    </w:p>
    <w:p w14:paraId="443392FF" w14:textId="77777777" w:rsidR="00665165" w:rsidRPr="00925F26" w:rsidRDefault="00665165" w:rsidP="00925F26">
      <w:pPr>
        <w:autoSpaceDE w:val="0"/>
        <w:autoSpaceDN w:val="0"/>
        <w:adjustRightInd w:val="0"/>
        <w:jc w:val="both"/>
        <w:rPr>
          <w:color w:val="000000" w:themeColor="text1"/>
          <w:sz w:val="16"/>
          <w:szCs w:val="16"/>
        </w:rPr>
      </w:pPr>
    </w:p>
    <w:p w14:paraId="099B13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 серийных самолетов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0F5689" w:rsidRPr="00925F26" w14:paraId="2D91560A" w14:textId="77777777">
        <w:tc>
          <w:tcPr>
            <w:tcW w:w="1121" w:type="dxa"/>
            <w:tcBorders>
              <w:top w:val="single" w:sz="12" w:space="0" w:color="auto"/>
            </w:tcBorders>
          </w:tcPr>
          <w:p w14:paraId="1D3F98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w:t>
            </w:r>
          </w:p>
        </w:tc>
        <w:tc>
          <w:tcPr>
            <w:tcW w:w="1121" w:type="dxa"/>
            <w:tcBorders>
              <w:top w:val="single" w:sz="12" w:space="0" w:color="auto"/>
            </w:tcBorders>
          </w:tcPr>
          <w:p w14:paraId="2BC6B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w:t>
            </w:r>
          </w:p>
        </w:tc>
        <w:tc>
          <w:tcPr>
            <w:tcW w:w="1121" w:type="dxa"/>
            <w:tcBorders>
              <w:top w:val="single" w:sz="12" w:space="0" w:color="auto"/>
            </w:tcBorders>
          </w:tcPr>
          <w:p w14:paraId="00D3FC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21" w:type="dxa"/>
            <w:tcBorders>
              <w:top w:val="single" w:sz="12" w:space="0" w:color="auto"/>
            </w:tcBorders>
          </w:tcPr>
          <w:p w14:paraId="5F8B3E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21" w:type="dxa"/>
            <w:tcBorders>
              <w:top w:val="single" w:sz="12" w:space="0" w:color="auto"/>
            </w:tcBorders>
          </w:tcPr>
          <w:p w14:paraId="7BF7F8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21" w:type="dxa"/>
            <w:tcBorders>
              <w:top w:val="single" w:sz="12" w:space="0" w:color="auto"/>
            </w:tcBorders>
          </w:tcPr>
          <w:p w14:paraId="7315BA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21" w:type="dxa"/>
            <w:tcBorders>
              <w:top w:val="single" w:sz="12" w:space="0" w:color="auto"/>
            </w:tcBorders>
          </w:tcPr>
          <w:p w14:paraId="23ABF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w:t>
            </w:r>
          </w:p>
        </w:tc>
        <w:tc>
          <w:tcPr>
            <w:tcW w:w="1121" w:type="dxa"/>
            <w:tcBorders>
              <w:top w:val="single" w:sz="12" w:space="0" w:color="auto"/>
            </w:tcBorders>
          </w:tcPr>
          <w:p w14:paraId="169C37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w:t>
            </w:r>
          </w:p>
        </w:tc>
        <w:tc>
          <w:tcPr>
            <w:tcW w:w="1121" w:type="dxa"/>
            <w:tcBorders>
              <w:top w:val="single" w:sz="12" w:space="0" w:color="auto"/>
            </w:tcBorders>
          </w:tcPr>
          <w:p w14:paraId="020FA7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w:t>
            </w:r>
          </w:p>
        </w:tc>
      </w:tr>
      <w:tr w:rsidR="000F5689" w:rsidRPr="00925F26" w14:paraId="47E300F0" w14:textId="77777777">
        <w:tc>
          <w:tcPr>
            <w:tcW w:w="1121" w:type="dxa"/>
          </w:tcPr>
          <w:p w14:paraId="3B9E92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22</w:t>
            </w:r>
          </w:p>
        </w:tc>
        <w:tc>
          <w:tcPr>
            <w:tcW w:w="1121" w:type="dxa"/>
          </w:tcPr>
          <w:p w14:paraId="4D59CE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1121" w:type="dxa"/>
          </w:tcPr>
          <w:p w14:paraId="095FE9F1"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3F9E7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1120</w:t>
            </w:r>
          </w:p>
        </w:tc>
        <w:tc>
          <w:tcPr>
            <w:tcW w:w="1121" w:type="dxa"/>
          </w:tcPr>
          <w:p w14:paraId="3D481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1937</w:t>
            </w:r>
          </w:p>
        </w:tc>
        <w:tc>
          <w:tcPr>
            <w:tcW w:w="1121" w:type="dxa"/>
          </w:tcPr>
          <w:p w14:paraId="122EC3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2423</w:t>
            </w:r>
          </w:p>
        </w:tc>
        <w:tc>
          <w:tcPr>
            <w:tcW w:w="1121" w:type="dxa"/>
          </w:tcPr>
          <w:p w14:paraId="272014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2944</w:t>
            </w:r>
          </w:p>
        </w:tc>
        <w:tc>
          <w:tcPr>
            <w:tcW w:w="1121" w:type="dxa"/>
          </w:tcPr>
          <w:p w14:paraId="14BA6B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1634</w:t>
            </w:r>
          </w:p>
        </w:tc>
        <w:tc>
          <w:tcPr>
            <w:tcW w:w="1121" w:type="dxa"/>
          </w:tcPr>
          <w:p w14:paraId="4EAFC3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10058</w:t>
            </w:r>
          </w:p>
        </w:tc>
      </w:tr>
      <w:tr w:rsidR="000F5689" w:rsidRPr="00925F26" w14:paraId="2BFC42CB" w14:textId="77777777">
        <w:tc>
          <w:tcPr>
            <w:tcW w:w="1121" w:type="dxa"/>
          </w:tcPr>
          <w:p w14:paraId="6AA7CCFA"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426F92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Пе-3</w:t>
            </w:r>
          </w:p>
        </w:tc>
        <w:tc>
          <w:tcPr>
            <w:tcW w:w="1121" w:type="dxa"/>
          </w:tcPr>
          <w:p w14:paraId="4D4880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16DDD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1EE25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C697F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265179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1121" w:type="dxa"/>
          </w:tcPr>
          <w:p w14:paraId="1EAD6C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E15F8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r>
      <w:tr w:rsidR="000F5689" w:rsidRPr="00925F26" w14:paraId="7875D58A" w14:textId="77777777">
        <w:tc>
          <w:tcPr>
            <w:tcW w:w="1121" w:type="dxa"/>
          </w:tcPr>
          <w:p w14:paraId="079B28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39</w:t>
            </w:r>
          </w:p>
        </w:tc>
        <w:tc>
          <w:tcPr>
            <w:tcW w:w="1121" w:type="dxa"/>
          </w:tcPr>
          <w:p w14:paraId="666817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1121" w:type="dxa"/>
          </w:tcPr>
          <w:p w14:paraId="4250FD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121" w:type="dxa"/>
          </w:tcPr>
          <w:p w14:paraId="381B8A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303</w:t>
            </w:r>
          </w:p>
        </w:tc>
        <w:tc>
          <w:tcPr>
            <w:tcW w:w="1121" w:type="dxa"/>
          </w:tcPr>
          <w:p w14:paraId="13A3C5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455</w:t>
            </w:r>
          </w:p>
        </w:tc>
        <w:tc>
          <w:tcPr>
            <w:tcW w:w="1121" w:type="dxa"/>
          </w:tcPr>
          <w:p w14:paraId="0CE6F5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1121" w:type="dxa"/>
          </w:tcPr>
          <w:p w14:paraId="13736E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4E5048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8FC0C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764</w:t>
            </w:r>
          </w:p>
        </w:tc>
      </w:tr>
      <w:tr w:rsidR="000F5689" w:rsidRPr="00925F26" w14:paraId="01A1273C" w14:textId="77777777">
        <w:tc>
          <w:tcPr>
            <w:tcW w:w="1121" w:type="dxa"/>
          </w:tcPr>
          <w:p w14:paraId="5B8DF974"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70A7CD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Пе-3</w:t>
            </w:r>
          </w:p>
        </w:tc>
        <w:tc>
          <w:tcPr>
            <w:tcW w:w="1121" w:type="dxa"/>
          </w:tcPr>
          <w:p w14:paraId="708D2D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30BA7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21" w:type="dxa"/>
          </w:tcPr>
          <w:p w14:paraId="2116D6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1121" w:type="dxa"/>
          </w:tcPr>
          <w:p w14:paraId="04238A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2736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005AE4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3A0C36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w:t>
            </w:r>
          </w:p>
        </w:tc>
      </w:tr>
      <w:tr w:rsidR="000F5689" w:rsidRPr="00925F26" w14:paraId="658973B9" w14:textId="77777777">
        <w:tc>
          <w:tcPr>
            <w:tcW w:w="1121" w:type="dxa"/>
          </w:tcPr>
          <w:p w14:paraId="1E6AE916"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067CC4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Пе-Збис</w:t>
            </w:r>
          </w:p>
        </w:tc>
        <w:tc>
          <w:tcPr>
            <w:tcW w:w="1121" w:type="dxa"/>
          </w:tcPr>
          <w:p w14:paraId="7B9DF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5BF07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3C9AA8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w:t>
            </w:r>
          </w:p>
        </w:tc>
        <w:tc>
          <w:tcPr>
            <w:tcW w:w="1121" w:type="dxa"/>
          </w:tcPr>
          <w:p w14:paraId="143661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1121" w:type="dxa"/>
          </w:tcPr>
          <w:p w14:paraId="055367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BB05B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7ACA6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w:t>
            </w:r>
          </w:p>
        </w:tc>
      </w:tr>
      <w:tr w:rsidR="000F5689" w:rsidRPr="00925F26" w14:paraId="1D5A20D0" w14:textId="77777777">
        <w:tc>
          <w:tcPr>
            <w:tcW w:w="1121" w:type="dxa"/>
          </w:tcPr>
          <w:p w14:paraId="652976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w:t>
            </w:r>
          </w:p>
        </w:tc>
        <w:tc>
          <w:tcPr>
            <w:tcW w:w="1121" w:type="dxa"/>
          </w:tcPr>
          <w:p w14:paraId="02B1BF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1121" w:type="dxa"/>
          </w:tcPr>
          <w:p w14:paraId="77F9E0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48341A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1043</w:t>
            </w:r>
          </w:p>
        </w:tc>
        <w:tc>
          <w:tcPr>
            <w:tcW w:w="1121" w:type="dxa"/>
          </w:tcPr>
          <w:p w14:paraId="11F096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55C4A7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46C0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FD77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379D01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w:t>
            </w:r>
          </w:p>
        </w:tc>
      </w:tr>
      <w:tr w:rsidR="000F5689" w:rsidRPr="00925F26" w14:paraId="317ADA85" w14:textId="77777777">
        <w:tc>
          <w:tcPr>
            <w:tcW w:w="1121" w:type="dxa"/>
          </w:tcPr>
          <w:p w14:paraId="25A986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1121" w:type="dxa"/>
          </w:tcPr>
          <w:p w14:paraId="738C88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w:t>
            </w:r>
          </w:p>
        </w:tc>
        <w:tc>
          <w:tcPr>
            <w:tcW w:w="1121" w:type="dxa"/>
          </w:tcPr>
          <w:p w14:paraId="714AF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44C4A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w:t>
            </w:r>
          </w:p>
        </w:tc>
        <w:tc>
          <w:tcPr>
            <w:tcW w:w="1121" w:type="dxa"/>
          </w:tcPr>
          <w:p w14:paraId="5DC1F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75539D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23C448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3C292B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126B1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w:t>
            </w:r>
          </w:p>
        </w:tc>
      </w:tr>
      <w:tr w:rsidR="000F5689" w:rsidRPr="00925F26" w14:paraId="5D26DC1F" w14:textId="77777777">
        <w:tc>
          <w:tcPr>
            <w:tcW w:w="1121" w:type="dxa"/>
            <w:tcBorders>
              <w:bottom w:val="single" w:sz="12" w:space="0" w:color="auto"/>
            </w:tcBorders>
          </w:tcPr>
          <w:p w14:paraId="511DFB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по годам</w:t>
            </w:r>
          </w:p>
        </w:tc>
        <w:tc>
          <w:tcPr>
            <w:tcW w:w="1121" w:type="dxa"/>
            <w:tcBorders>
              <w:bottom w:val="single" w:sz="12" w:space="0" w:color="auto"/>
            </w:tcBorders>
          </w:tcPr>
          <w:p w14:paraId="0654BF3C"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Borders>
              <w:bottom w:val="single" w:sz="12" w:space="0" w:color="auto"/>
            </w:tcBorders>
          </w:tcPr>
          <w:p w14:paraId="7C3901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121" w:type="dxa"/>
            <w:tcBorders>
              <w:bottom w:val="single" w:sz="12" w:space="0" w:color="auto"/>
            </w:tcBorders>
          </w:tcPr>
          <w:p w14:paraId="320593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1867</w:t>
            </w:r>
          </w:p>
        </w:tc>
        <w:tc>
          <w:tcPr>
            <w:tcW w:w="1121" w:type="dxa"/>
            <w:tcBorders>
              <w:bottom w:val="single" w:sz="12" w:space="0" w:color="auto"/>
            </w:tcBorders>
          </w:tcPr>
          <w:p w14:paraId="1AE6FA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2524</w:t>
            </w:r>
          </w:p>
        </w:tc>
        <w:tc>
          <w:tcPr>
            <w:tcW w:w="1121" w:type="dxa"/>
            <w:tcBorders>
              <w:bottom w:val="single" w:sz="12" w:space="0" w:color="auto"/>
            </w:tcBorders>
          </w:tcPr>
          <w:p w14:paraId="2A34CE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2441</w:t>
            </w:r>
          </w:p>
        </w:tc>
        <w:tc>
          <w:tcPr>
            <w:tcW w:w="1121" w:type="dxa"/>
            <w:tcBorders>
              <w:bottom w:val="single" w:sz="12" w:space="0" w:color="auto"/>
            </w:tcBorders>
          </w:tcPr>
          <w:p w14:paraId="46ECA3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2963</w:t>
            </w:r>
          </w:p>
        </w:tc>
        <w:tc>
          <w:tcPr>
            <w:tcW w:w="1121" w:type="dxa"/>
            <w:tcBorders>
              <w:bottom w:val="single" w:sz="12" w:space="0" w:color="auto"/>
            </w:tcBorders>
          </w:tcPr>
          <w:p w14:paraId="7F4CE4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1634</w:t>
            </w:r>
          </w:p>
        </w:tc>
        <w:tc>
          <w:tcPr>
            <w:tcW w:w="1121" w:type="dxa"/>
            <w:tcBorders>
              <w:bottom w:val="single" w:sz="12" w:space="0" w:color="auto"/>
            </w:tcBorders>
          </w:tcPr>
          <w:p w14:paraId="43D854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11430</w:t>
            </w:r>
          </w:p>
        </w:tc>
      </w:tr>
    </w:tbl>
    <w:p w14:paraId="36D77C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Таблица составлена на основании итогового отчета МАП с отдельными уточнениями по типам выпушенных самолетов</w:t>
      </w:r>
    </w:p>
    <w:p w14:paraId="03CC98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Поданным отчета военпреда завода № 22 в 1941 г. было изготовлено 1094 Пе-2</w:t>
      </w:r>
    </w:p>
    <w:p w14:paraId="5AF963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Поданным отчета военпреда завода № 124 в 1941 г. было изготовлено 103 Пе-2</w:t>
      </w:r>
    </w:p>
    <w:p w14:paraId="2C5901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4 Поданным отчета военпреда завода № 22 в 1942 г. было изготовлено 1934 Пе-2 (12042).</w:t>
      </w:r>
    </w:p>
    <w:p w14:paraId="6DAC8B29" w14:textId="77777777" w:rsidR="00665165" w:rsidRPr="00925F26" w:rsidRDefault="00665165" w:rsidP="00925F26">
      <w:pPr>
        <w:autoSpaceDE w:val="0"/>
        <w:autoSpaceDN w:val="0"/>
        <w:adjustRightInd w:val="0"/>
        <w:jc w:val="both"/>
        <w:rPr>
          <w:color w:val="000000" w:themeColor="text1"/>
          <w:sz w:val="16"/>
          <w:szCs w:val="16"/>
        </w:rPr>
      </w:pPr>
    </w:p>
    <w:p w14:paraId="0F6393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Распределение полученных самолетов Пе-2/Пе-З в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992"/>
        <w:gridCol w:w="1276"/>
        <w:gridCol w:w="709"/>
        <w:gridCol w:w="850"/>
        <w:gridCol w:w="1276"/>
        <w:gridCol w:w="1134"/>
        <w:gridCol w:w="851"/>
      </w:tblGrid>
      <w:tr w:rsidR="000F5689" w:rsidRPr="00925F26" w14:paraId="50CEEDC0" w14:textId="77777777">
        <w:tc>
          <w:tcPr>
            <w:tcW w:w="1101" w:type="dxa"/>
            <w:tcBorders>
              <w:top w:val="single" w:sz="12" w:space="0" w:color="auto"/>
            </w:tcBorders>
          </w:tcPr>
          <w:p w14:paraId="7A1D01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Фронтам </w:t>
            </w:r>
          </w:p>
        </w:tc>
        <w:tc>
          <w:tcPr>
            <w:tcW w:w="992" w:type="dxa"/>
            <w:tcBorders>
              <w:top w:val="single" w:sz="12" w:space="0" w:color="auto"/>
            </w:tcBorders>
          </w:tcPr>
          <w:p w14:paraId="45D0E5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Авиации</w:t>
            </w:r>
          </w:p>
        </w:tc>
        <w:tc>
          <w:tcPr>
            <w:tcW w:w="992" w:type="dxa"/>
            <w:tcBorders>
              <w:top w:val="single" w:sz="12" w:space="0" w:color="auto"/>
            </w:tcBorders>
          </w:tcPr>
          <w:p w14:paraId="7A06D4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ВВС</w:t>
            </w:r>
          </w:p>
        </w:tc>
        <w:tc>
          <w:tcPr>
            <w:tcW w:w="992" w:type="dxa"/>
            <w:tcBorders>
              <w:top w:val="single" w:sz="12" w:space="0" w:color="auto"/>
            </w:tcBorders>
          </w:tcPr>
          <w:p w14:paraId="7324E2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Развед.</w:t>
            </w:r>
          </w:p>
        </w:tc>
        <w:tc>
          <w:tcPr>
            <w:tcW w:w="1276" w:type="dxa"/>
            <w:tcBorders>
              <w:top w:val="single" w:sz="12" w:space="0" w:color="auto"/>
            </w:tcBorders>
          </w:tcPr>
          <w:p w14:paraId="690E0E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Дивизии</w:t>
            </w:r>
          </w:p>
        </w:tc>
        <w:tc>
          <w:tcPr>
            <w:tcW w:w="709" w:type="dxa"/>
            <w:tcBorders>
              <w:top w:val="single" w:sz="12" w:space="0" w:color="auto"/>
            </w:tcBorders>
          </w:tcPr>
          <w:p w14:paraId="5B4CBF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w:t>
            </w:r>
          </w:p>
        </w:tc>
        <w:tc>
          <w:tcPr>
            <w:tcW w:w="850" w:type="dxa"/>
            <w:tcBorders>
              <w:top w:val="single" w:sz="12" w:space="0" w:color="auto"/>
            </w:tcBorders>
          </w:tcPr>
          <w:p w14:paraId="2A4CD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Школам</w:t>
            </w:r>
          </w:p>
        </w:tc>
        <w:tc>
          <w:tcPr>
            <w:tcW w:w="1276" w:type="dxa"/>
            <w:tcBorders>
              <w:top w:val="single" w:sz="12" w:space="0" w:color="auto"/>
            </w:tcBorders>
          </w:tcPr>
          <w:p w14:paraId="613A80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Частям центра</w:t>
            </w:r>
          </w:p>
        </w:tc>
        <w:tc>
          <w:tcPr>
            <w:tcW w:w="1134" w:type="dxa"/>
            <w:tcBorders>
              <w:top w:val="single" w:sz="12" w:space="0" w:color="auto"/>
            </w:tcBorders>
          </w:tcPr>
          <w:p w14:paraId="1C56E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Другим (в том числе округам)</w:t>
            </w:r>
          </w:p>
        </w:tc>
        <w:tc>
          <w:tcPr>
            <w:tcW w:w="851" w:type="dxa"/>
            <w:tcBorders>
              <w:top w:val="single" w:sz="12" w:space="0" w:color="auto"/>
            </w:tcBorders>
          </w:tcPr>
          <w:p w14:paraId="4BDF4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Остаток</w:t>
            </w:r>
          </w:p>
        </w:tc>
      </w:tr>
      <w:tr w:rsidR="000F5689" w:rsidRPr="00925F26" w14:paraId="3DC229CE" w14:textId="77777777">
        <w:tc>
          <w:tcPr>
            <w:tcW w:w="1101" w:type="dxa"/>
          </w:tcPr>
          <w:p w14:paraId="2D83CB06"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4106A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ВМФ</w:t>
            </w:r>
          </w:p>
        </w:tc>
        <w:tc>
          <w:tcPr>
            <w:tcW w:w="992" w:type="dxa"/>
          </w:tcPr>
          <w:p w14:paraId="74DAB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Польши </w:t>
            </w:r>
          </w:p>
        </w:tc>
        <w:tc>
          <w:tcPr>
            <w:tcW w:w="992" w:type="dxa"/>
          </w:tcPr>
          <w:p w14:paraId="05BFE0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авиации</w:t>
            </w:r>
          </w:p>
        </w:tc>
        <w:tc>
          <w:tcPr>
            <w:tcW w:w="1276" w:type="dxa"/>
          </w:tcPr>
          <w:p w14:paraId="2D11B7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"Нормандия"</w:t>
            </w:r>
          </w:p>
        </w:tc>
        <w:tc>
          <w:tcPr>
            <w:tcW w:w="709" w:type="dxa"/>
          </w:tcPr>
          <w:p w14:paraId="1BC8C787" w14:textId="77777777" w:rsidR="00665165" w:rsidRPr="00925F26" w:rsidRDefault="00665165" w:rsidP="00925F26">
            <w:pPr>
              <w:autoSpaceDE w:val="0"/>
              <w:autoSpaceDN w:val="0"/>
              <w:adjustRightInd w:val="0"/>
              <w:jc w:val="both"/>
              <w:rPr>
                <w:color w:val="000000" w:themeColor="text1"/>
                <w:sz w:val="16"/>
                <w:szCs w:val="16"/>
              </w:rPr>
            </w:pPr>
          </w:p>
        </w:tc>
        <w:tc>
          <w:tcPr>
            <w:tcW w:w="850" w:type="dxa"/>
          </w:tcPr>
          <w:p w14:paraId="009B38C6" w14:textId="77777777" w:rsidR="00665165" w:rsidRPr="00925F26" w:rsidRDefault="00665165" w:rsidP="00925F26">
            <w:pPr>
              <w:autoSpaceDE w:val="0"/>
              <w:autoSpaceDN w:val="0"/>
              <w:adjustRightInd w:val="0"/>
              <w:jc w:val="both"/>
              <w:rPr>
                <w:color w:val="000000" w:themeColor="text1"/>
                <w:sz w:val="16"/>
                <w:szCs w:val="16"/>
              </w:rPr>
            </w:pPr>
          </w:p>
        </w:tc>
        <w:tc>
          <w:tcPr>
            <w:tcW w:w="1276" w:type="dxa"/>
          </w:tcPr>
          <w:p w14:paraId="5DDDB648"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1DA6C466" w14:textId="77777777" w:rsidR="00665165" w:rsidRPr="00925F26" w:rsidRDefault="00665165" w:rsidP="00925F26">
            <w:pPr>
              <w:autoSpaceDE w:val="0"/>
              <w:autoSpaceDN w:val="0"/>
              <w:adjustRightInd w:val="0"/>
              <w:jc w:val="both"/>
              <w:rPr>
                <w:color w:val="000000" w:themeColor="text1"/>
                <w:sz w:val="16"/>
                <w:szCs w:val="16"/>
              </w:rPr>
            </w:pPr>
          </w:p>
        </w:tc>
        <w:tc>
          <w:tcPr>
            <w:tcW w:w="851" w:type="dxa"/>
          </w:tcPr>
          <w:p w14:paraId="21C92C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w:t>
            </w:r>
          </w:p>
        </w:tc>
      </w:tr>
      <w:tr w:rsidR="000F5689" w:rsidRPr="00925F26" w14:paraId="65D85EE3" w14:textId="77777777">
        <w:tc>
          <w:tcPr>
            <w:tcW w:w="1101" w:type="dxa"/>
          </w:tcPr>
          <w:p w14:paraId="5CCA8D57"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619D23B6"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646FE68A"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33EC2BC7" w14:textId="77777777" w:rsidR="00665165" w:rsidRPr="00925F26" w:rsidRDefault="00665165" w:rsidP="00925F26">
            <w:pPr>
              <w:autoSpaceDE w:val="0"/>
              <w:autoSpaceDN w:val="0"/>
              <w:adjustRightInd w:val="0"/>
              <w:jc w:val="both"/>
              <w:rPr>
                <w:color w:val="000000" w:themeColor="text1"/>
                <w:sz w:val="16"/>
                <w:szCs w:val="16"/>
              </w:rPr>
            </w:pPr>
          </w:p>
        </w:tc>
        <w:tc>
          <w:tcPr>
            <w:tcW w:w="1276" w:type="dxa"/>
          </w:tcPr>
          <w:p w14:paraId="06583D80" w14:textId="77777777" w:rsidR="00665165" w:rsidRPr="00925F26" w:rsidRDefault="00665165" w:rsidP="00925F26">
            <w:pPr>
              <w:autoSpaceDE w:val="0"/>
              <w:autoSpaceDN w:val="0"/>
              <w:adjustRightInd w:val="0"/>
              <w:jc w:val="both"/>
              <w:rPr>
                <w:color w:val="000000" w:themeColor="text1"/>
                <w:sz w:val="16"/>
                <w:szCs w:val="16"/>
              </w:rPr>
            </w:pPr>
          </w:p>
        </w:tc>
        <w:tc>
          <w:tcPr>
            <w:tcW w:w="709" w:type="dxa"/>
          </w:tcPr>
          <w:p w14:paraId="023C0091" w14:textId="77777777" w:rsidR="00665165" w:rsidRPr="00925F26" w:rsidRDefault="00665165" w:rsidP="00925F26">
            <w:pPr>
              <w:autoSpaceDE w:val="0"/>
              <w:autoSpaceDN w:val="0"/>
              <w:adjustRightInd w:val="0"/>
              <w:jc w:val="both"/>
              <w:rPr>
                <w:color w:val="000000" w:themeColor="text1"/>
                <w:sz w:val="16"/>
                <w:szCs w:val="16"/>
              </w:rPr>
            </w:pPr>
          </w:p>
        </w:tc>
        <w:tc>
          <w:tcPr>
            <w:tcW w:w="850" w:type="dxa"/>
          </w:tcPr>
          <w:p w14:paraId="52EE5C78" w14:textId="77777777" w:rsidR="00665165" w:rsidRPr="00925F26" w:rsidRDefault="00665165" w:rsidP="00925F26">
            <w:pPr>
              <w:autoSpaceDE w:val="0"/>
              <w:autoSpaceDN w:val="0"/>
              <w:adjustRightInd w:val="0"/>
              <w:jc w:val="both"/>
              <w:rPr>
                <w:color w:val="000000" w:themeColor="text1"/>
                <w:sz w:val="16"/>
                <w:szCs w:val="16"/>
              </w:rPr>
            </w:pPr>
          </w:p>
        </w:tc>
        <w:tc>
          <w:tcPr>
            <w:tcW w:w="1276" w:type="dxa"/>
          </w:tcPr>
          <w:p w14:paraId="1D5E3E5E"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438B4D4D" w14:textId="77777777" w:rsidR="00665165" w:rsidRPr="00925F26" w:rsidRDefault="00665165" w:rsidP="00925F26">
            <w:pPr>
              <w:autoSpaceDE w:val="0"/>
              <w:autoSpaceDN w:val="0"/>
              <w:adjustRightInd w:val="0"/>
              <w:jc w:val="both"/>
              <w:rPr>
                <w:color w:val="000000" w:themeColor="text1"/>
                <w:sz w:val="16"/>
                <w:szCs w:val="16"/>
              </w:rPr>
            </w:pPr>
          </w:p>
        </w:tc>
        <w:tc>
          <w:tcPr>
            <w:tcW w:w="851" w:type="dxa"/>
          </w:tcPr>
          <w:p w14:paraId="522162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1945 г.</w:t>
            </w:r>
          </w:p>
        </w:tc>
      </w:tr>
      <w:tr w:rsidR="000F5689" w:rsidRPr="00925F26" w14:paraId="147A96FB" w14:textId="77777777">
        <w:tc>
          <w:tcPr>
            <w:tcW w:w="1101" w:type="dxa"/>
            <w:tcBorders>
              <w:bottom w:val="single" w:sz="12" w:space="0" w:color="auto"/>
            </w:tcBorders>
          </w:tcPr>
          <w:p w14:paraId="38BD13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6386 </w:t>
            </w:r>
          </w:p>
        </w:tc>
        <w:tc>
          <w:tcPr>
            <w:tcW w:w="992" w:type="dxa"/>
            <w:tcBorders>
              <w:bottom w:val="single" w:sz="12" w:space="0" w:color="auto"/>
            </w:tcBorders>
          </w:tcPr>
          <w:p w14:paraId="489F9B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782</w:t>
            </w:r>
          </w:p>
        </w:tc>
        <w:tc>
          <w:tcPr>
            <w:tcW w:w="992" w:type="dxa"/>
            <w:tcBorders>
              <w:bottom w:val="single" w:sz="12" w:space="0" w:color="auto"/>
            </w:tcBorders>
          </w:tcPr>
          <w:p w14:paraId="2E2C12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113</w:t>
            </w:r>
          </w:p>
        </w:tc>
        <w:tc>
          <w:tcPr>
            <w:tcW w:w="992" w:type="dxa"/>
            <w:tcBorders>
              <w:bottom w:val="single" w:sz="12" w:space="0" w:color="auto"/>
            </w:tcBorders>
          </w:tcPr>
          <w:p w14:paraId="6BBC8A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480</w:t>
            </w:r>
          </w:p>
        </w:tc>
        <w:tc>
          <w:tcPr>
            <w:tcW w:w="1276" w:type="dxa"/>
            <w:tcBorders>
              <w:bottom w:val="single" w:sz="12" w:space="0" w:color="auto"/>
            </w:tcBorders>
          </w:tcPr>
          <w:p w14:paraId="3B0A24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709" w:type="dxa"/>
            <w:tcBorders>
              <w:bottom w:val="single" w:sz="12" w:space="0" w:color="auto"/>
            </w:tcBorders>
          </w:tcPr>
          <w:p w14:paraId="0F3704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850" w:type="dxa"/>
            <w:tcBorders>
              <w:bottom w:val="single" w:sz="12" w:space="0" w:color="auto"/>
            </w:tcBorders>
          </w:tcPr>
          <w:p w14:paraId="4CB052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588</w:t>
            </w:r>
          </w:p>
        </w:tc>
        <w:tc>
          <w:tcPr>
            <w:tcW w:w="1276" w:type="dxa"/>
            <w:tcBorders>
              <w:bottom w:val="single" w:sz="12" w:space="0" w:color="auto"/>
            </w:tcBorders>
          </w:tcPr>
          <w:p w14:paraId="236A76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w:t>
            </w:r>
          </w:p>
        </w:tc>
        <w:tc>
          <w:tcPr>
            <w:tcW w:w="1134" w:type="dxa"/>
            <w:tcBorders>
              <w:bottom w:val="single" w:sz="12" w:space="0" w:color="auto"/>
            </w:tcBorders>
          </w:tcPr>
          <w:p w14:paraId="4643EC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1093</w:t>
            </w:r>
          </w:p>
        </w:tc>
        <w:tc>
          <w:tcPr>
            <w:tcW w:w="851" w:type="dxa"/>
            <w:tcBorders>
              <w:bottom w:val="single" w:sz="12" w:space="0" w:color="auto"/>
            </w:tcBorders>
          </w:tcPr>
          <w:p w14:paraId="36E1EE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909</w:t>
            </w:r>
          </w:p>
        </w:tc>
      </w:tr>
    </w:tbl>
    <w:p w14:paraId="3DFEC6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Еще 669 самолетов переоборудовано в разведывательный вариант в авиаполках (12042).</w:t>
      </w:r>
    </w:p>
    <w:p w14:paraId="72200883" w14:textId="77777777" w:rsidR="00665165" w:rsidRPr="00925F26" w:rsidRDefault="00665165" w:rsidP="00925F26">
      <w:pPr>
        <w:autoSpaceDE w:val="0"/>
        <w:autoSpaceDN w:val="0"/>
        <w:adjustRightInd w:val="0"/>
        <w:jc w:val="both"/>
        <w:rPr>
          <w:color w:val="000000" w:themeColor="text1"/>
          <w:sz w:val="16"/>
          <w:szCs w:val="16"/>
        </w:rPr>
      </w:pPr>
    </w:p>
    <w:p w14:paraId="51F38F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бомбардировщиков типа Пе-8 (ТБ-7) в ВВС Красной Армии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0F5689" w:rsidRPr="00925F26" w14:paraId="27A447F7" w14:textId="77777777">
        <w:tc>
          <w:tcPr>
            <w:tcW w:w="1019" w:type="dxa"/>
            <w:tcBorders>
              <w:top w:val="single" w:sz="12" w:space="0" w:color="auto"/>
            </w:tcBorders>
          </w:tcPr>
          <w:p w14:paraId="07E5B7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состоянию на: 22.06.41</w:t>
            </w:r>
          </w:p>
        </w:tc>
        <w:tc>
          <w:tcPr>
            <w:tcW w:w="1019" w:type="dxa"/>
            <w:tcBorders>
              <w:top w:val="single" w:sz="12" w:space="0" w:color="auto"/>
            </w:tcBorders>
          </w:tcPr>
          <w:p w14:paraId="12CC67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1.10.41</w:t>
            </w:r>
          </w:p>
        </w:tc>
        <w:tc>
          <w:tcPr>
            <w:tcW w:w="1019" w:type="dxa"/>
            <w:tcBorders>
              <w:top w:val="single" w:sz="12" w:space="0" w:color="auto"/>
            </w:tcBorders>
          </w:tcPr>
          <w:p w14:paraId="469E9F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18.03.42</w:t>
            </w:r>
          </w:p>
        </w:tc>
        <w:tc>
          <w:tcPr>
            <w:tcW w:w="1019" w:type="dxa"/>
            <w:tcBorders>
              <w:top w:val="single" w:sz="12" w:space="0" w:color="auto"/>
            </w:tcBorders>
          </w:tcPr>
          <w:p w14:paraId="4E49C6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1.05.42</w:t>
            </w:r>
          </w:p>
        </w:tc>
        <w:tc>
          <w:tcPr>
            <w:tcW w:w="1019" w:type="dxa"/>
            <w:tcBorders>
              <w:top w:val="single" w:sz="12" w:space="0" w:color="auto"/>
            </w:tcBorders>
          </w:tcPr>
          <w:p w14:paraId="7F5FDF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1.07.42</w:t>
            </w:r>
          </w:p>
        </w:tc>
        <w:tc>
          <w:tcPr>
            <w:tcW w:w="1019" w:type="dxa"/>
            <w:tcBorders>
              <w:top w:val="single" w:sz="12" w:space="0" w:color="auto"/>
            </w:tcBorders>
          </w:tcPr>
          <w:p w14:paraId="1C133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18.11.42</w:t>
            </w:r>
          </w:p>
        </w:tc>
        <w:tc>
          <w:tcPr>
            <w:tcW w:w="1019" w:type="dxa"/>
            <w:tcBorders>
              <w:top w:val="single" w:sz="12" w:space="0" w:color="auto"/>
            </w:tcBorders>
          </w:tcPr>
          <w:p w14:paraId="290A43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1.07.43</w:t>
            </w:r>
          </w:p>
        </w:tc>
        <w:tc>
          <w:tcPr>
            <w:tcW w:w="1019" w:type="dxa"/>
            <w:tcBorders>
              <w:top w:val="single" w:sz="12" w:space="0" w:color="auto"/>
            </w:tcBorders>
          </w:tcPr>
          <w:p w14:paraId="09DBFD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1.01.44</w:t>
            </w:r>
          </w:p>
        </w:tc>
        <w:tc>
          <w:tcPr>
            <w:tcW w:w="1019" w:type="dxa"/>
            <w:tcBorders>
              <w:top w:val="single" w:sz="12" w:space="0" w:color="auto"/>
            </w:tcBorders>
          </w:tcPr>
          <w:p w14:paraId="579689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1.06.44</w:t>
            </w:r>
          </w:p>
        </w:tc>
        <w:tc>
          <w:tcPr>
            <w:tcW w:w="1019" w:type="dxa"/>
            <w:tcBorders>
              <w:top w:val="single" w:sz="12" w:space="0" w:color="auto"/>
            </w:tcBorders>
          </w:tcPr>
          <w:p w14:paraId="4528C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1.05.45</w:t>
            </w:r>
          </w:p>
        </w:tc>
        <w:tc>
          <w:tcPr>
            <w:tcW w:w="1019" w:type="dxa"/>
            <w:tcBorders>
              <w:top w:val="single" w:sz="12" w:space="0" w:color="auto"/>
            </w:tcBorders>
          </w:tcPr>
          <w:p w14:paraId="499D03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10.05.45</w:t>
            </w:r>
          </w:p>
        </w:tc>
      </w:tr>
      <w:tr w:rsidR="000F5689" w:rsidRPr="00925F26" w14:paraId="41E593A0" w14:textId="77777777">
        <w:tc>
          <w:tcPr>
            <w:tcW w:w="1019" w:type="dxa"/>
            <w:tcBorders>
              <w:bottom w:val="single" w:sz="12" w:space="0" w:color="auto"/>
            </w:tcBorders>
          </w:tcPr>
          <w:p w14:paraId="6469A9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наличии всего: 9(4*)</w:t>
            </w:r>
          </w:p>
        </w:tc>
        <w:tc>
          <w:tcPr>
            <w:tcW w:w="1019" w:type="dxa"/>
            <w:tcBorders>
              <w:bottom w:val="single" w:sz="12" w:space="0" w:color="auto"/>
            </w:tcBorders>
          </w:tcPr>
          <w:p w14:paraId="449179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w:t>
            </w:r>
          </w:p>
        </w:tc>
        <w:tc>
          <w:tcPr>
            <w:tcW w:w="1019" w:type="dxa"/>
            <w:tcBorders>
              <w:bottom w:val="single" w:sz="12" w:space="0" w:color="auto"/>
            </w:tcBorders>
          </w:tcPr>
          <w:p w14:paraId="1BEBD4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w:t>
            </w:r>
          </w:p>
        </w:tc>
        <w:tc>
          <w:tcPr>
            <w:tcW w:w="1019" w:type="dxa"/>
            <w:tcBorders>
              <w:bottom w:val="single" w:sz="12" w:space="0" w:color="auto"/>
            </w:tcBorders>
          </w:tcPr>
          <w:p w14:paraId="4140B8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16(12)</w:t>
            </w:r>
          </w:p>
        </w:tc>
        <w:tc>
          <w:tcPr>
            <w:tcW w:w="1019" w:type="dxa"/>
            <w:tcBorders>
              <w:bottom w:val="single" w:sz="12" w:space="0" w:color="auto"/>
            </w:tcBorders>
          </w:tcPr>
          <w:p w14:paraId="6AF215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17(7)</w:t>
            </w:r>
          </w:p>
        </w:tc>
        <w:tc>
          <w:tcPr>
            <w:tcW w:w="1019" w:type="dxa"/>
            <w:tcBorders>
              <w:bottom w:val="single" w:sz="12" w:space="0" w:color="auto"/>
            </w:tcBorders>
          </w:tcPr>
          <w:p w14:paraId="6432D9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w:t>
            </w:r>
          </w:p>
        </w:tc>
        <w:tc>
          <w:tcPr>
            <w:tcW w:w="1019" w:type="dxa"/>
            <w:tcBorders>
              <w:bottom w:val="single" w:sz="12" w:space="0" w:color="auto"/>
            </w:tcBorders>
          </w:tcPr>
          <w:p w14:paraId="0DC4A0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019" w:type="dxa"/>
            <w:tcBorders>
              <w:bottom w:val="single" w:sz="12" w:space="0" w:color="auto"/>
            </w:tcBorders>
          </w:tcPr>
          <w:p w14:paraId="4B3CD0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20(1)</w:t>
            </w:r>
          </w:p>
        </w:tc>
        <w:tc>
          <w:tcPr>
            <w:tcW w:w="1019" w:type="dxa"/>
            <w:tcBorders>
              <w:bottom w:val="single" w:sz="12" w:space="0" w:color="auto"/>
            </w:tcBorders>
          </w:tcPr>
          <w:p w14:paraId="771BF2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019" w:type="dxa"/>
            <w:tcBorders>
              <w:bottom w:val="single" w:sz="12" w:space="0" w:color="auto"/>
            </w:tcBorders>
          </w:tcPr>
          <w:p w14:paraId="062850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31(8)</w:t>
            </w:r>
          </w:p>
        </w:tc>
        <w:tc>
          <w:tcPr>
            <w:tcW w:w="1019" w:type="dxa"/>
            <w:tcBorders>
              <w:bottom w:val="single" w:sz="12" w:space="0" w:color="auto"/>
            </w:tcBorders>
          </w:tcPr>
          <w:p w14:paraId="53AD7E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roofErr w:type="gramStart"/>
            <w:r w:rsidRPr="00925F26">
              <w:rPr>
                <w:color w:val="000000" w:themeColor="text1"/>
                <w:sz w:val="16"/>
                <w:szCs w:val="16"/>
              </w:rPr>
              <w:t>14)*</w:t>
            </w:r>
            <w:proofErr w:type="gramEnd"/>
            <w:r w:rsidRPr="00925F26">
              <w:rPr>
                <w:color w:val="000000" w:themeColor="text1"/>
                <w:sz w:val="16"/>
                <w:szCs w:val="16"/>
              </w:rPr>
              <w:t>*</w:t>
            </w:r>
          </w:p>
        </w:tc>
      </w:tr>
    </w:tbl>
    <w:p w14:paraId="1F5D3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 (в том числе неисправных)</w:t>
      </w:r>
    </w:p>
    <w:p w14:paraId="568F28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На 10 мая 1945 года в составе АДД все еше оставалось 39(!) ТБ-3 (12025).</w:t>
      </w:r>
    </w:p>
    <w:p w14:paraId="4D1910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самолетов ПЕ-8 (ТБ-7)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F5689" w:rsidRPr="00925F26" w14:paraId="4DAB7B70" w14:textId="77777777">
        <w:tc>
          <w:tcPr>
            <w:tcW w:w="2802" w:type="dxa"/>
            <w:tcBorders>
              <w:top w:val="single" w:sz="12" w:space="0" w:color="auto"/>
            </w:tcBorders>
          </w:tcPr>
          <w:p w14:paraId="55AA38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п/п</w:t>
            </w:r>
          </w:p>
        </w:tc>
        <w:tc>
          <w:tcPr>
            <w:tcW w:w="2802" w:type="dxa"/>
            <w:tcBorders>
              <w:top w:val="single" w:sz="12" w:space="0" w:color="auto"/>
            </w:tcBorders>
          </w:tcPr>
          <w:p w14:paraId="7E4269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 №</w:t>
            </w:r>
          </w:p>
        </w:tc>
        <w:tc>
          <w:tcPr>
            <w:tcW w:w="2802" w:type="dxa"/>
            <w:tcBorders>
              <w:top w:val="single" w:sz="12" w:space="0" w:color="auto"/>
            </w:tcBorders>
          </w:tcPr>
          <w:p w14:paraId="54DC5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Бортовой №</w:t>
            </w:r>
          </w:p>
        </w:tc>
        <w:tc>
          <w:tcPr>
            <w:tcW w:w="2802" w:type="dxa"/>
            <w:tcBorders>
              <w:top w:val="single" w:sz="12" w:space="0" w:color="auto"/>
            </w:tcBorders>
          </w:tcPr>
          <w:p w14:paraId="2359F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Двигатели (замена)</w:t>
            </w:r>
          </w:p>
        </w:tc>
      </w:tr>
      <w:tr w:rsidR="000F5689" w:rsidRPr="00925F26" w14:paraId="7EB1D0F1" w14:textId="77777777">
        <w:tc>
          <w:tcPr>
            <w:tcW w:w="2802" w:type="dxa"/>
          </w:tcPr>
          <w:p w14:paraId="46AB47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1936 г.</w:t>
            </w:r>
          </w:p>
        </w:tc>
        <w:tc>
          <w:tcPr>
            <w:tcW w:w="2802" w:type="dxa"/>
          </w:tcPr>
          <w:p w14:paraId="33EDCA87"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447F7515"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8BB90E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79C75CA" w14:textId="77777777">
        <w:tc>
          <w:tcPr>
            <w:tcW w:w="2802" w:type="dxa"/>
          </w:tcPr>
          <w:p w14:paraId="06A999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01 Прототип АНТ-42</w:t>
            </w:r>
          </w:p>
        </w:tc>
        <w:tc>
          <w:tcPr>
            <w:tcW w:w="2802" w:type="dxa"/>
          </w:tcPr>
          <w:p w14:paraId="33651A5A"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48B0B67A"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E55409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69DF0F5" w14:textId="77777777">
        <w:tc>
          <w:tcPr>
            <w:tcW w:w="2802" w:type="dxa"/>
          </w:tcPr>
          <w:p w14:paraId="785FA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1938 г.</w:t>
            </w:r>
          </w:p>
        </w:tc>
        <w:tc>
          <w:tcPr>
            <w:tcW w:w="2802" w:type="dxa"/>
          </w:tcPr>
          <w:p w14:paraId="098C659F"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A233B88"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4AFC82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76615C5" w14:textId="77777777">
        <w:tc>
          <w:tcPr>
            <w:tcW w:w="2802" w:type="dxa"/>
          </w:tcPr>
          <w:p w14:paraId="3431C5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02</w:t>
            </w:r>
          </w:p>
        </w:tc>
        <w:tc>
          <w:tcPr>
            <w:tcW w:w="2802" w:type="dxa"/>
          </w:tcPr>
          <w:p w14:paraId="747AC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Дублер АНТ-42</w:t>
            </w:r>
          </w:p>
        </w:tc>
        <w:tc>
          <w:tcPr>
            <w:tcW w:w="2802" w:type="dxa"/>
          </w:tcPr>
          <w:p w14:paraId="254D515D"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22371D2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92A295B" w14:textId="77777777">
        <w:tc>
          <w:tcPr>
            <w:tcW w:w="2802" w:type="dxa"/>
          </w:tcPr>
          <w:p w14:paraId="625DED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1939-1940 гг.</w:t>
            </w:r>
          </w:p>
        </w:tc>
        <w:tc>
          <w:tcPr>
            <w:tcW w:w="2802" w:type="dxa"/>
          </w:tcPr>
          <w:p w14:paraId="4873C7C9"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1CC43DDE"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2F862AF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A5B02A5" w14:textId="77777777">
        <w:tc>
          <w:tcPr>
            <w:tcW w:w="2802" w:type="dxa"/>
          </w:tcPr>
          <w:p w14:paraId="71815E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2802" w:type="dxa"/>
          </w:tcPr>
          <w:p w14:paraId="0B19EB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4211</w:t>
            </w:r>
          </w:p>
        </w:tc>
        <w:tc>
          <w:tcPr>
            <w:tcW w:w="2802" w:type="dxa"/>
          </w:tcPr>
          <w:p w14:paraId="7C776F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CF33C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АМ-34ФРНВ</w:t>
            </w:r>
          </w:p>
        </w:tc>
      </w:tr>
      <w:tr w:rsidR="000F5689" w:rsidRPr="00925F26" w14:paraId="19BE8C47" w14:textId="77777777">
        <w:tc>
          <w:tcPr>
            <w:tcW w:w="2802" w:type="dxa"/>
          </w:tcPr>
          <w:p w14:paraId="408151E7"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C2FDC37"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132006E5"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4EB53B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АЦН-2 (АМ-35А)</w:t>
            </w:r>
          </w:p>
        </w:tc>
      </w:tr>
      <w:tr w:rsidR="000F5689" w:rsidRPr="00925F26" w14:paraId="5D40FD7A" w14:textId="77777777">
        <w:tc>
          <w:tcPr>
            <w:tcW w:w="2802" w:type="dxa"/>
          </w:tcPr>
          <w:p w14:paraId="3E1837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
        </w:tc>
        <w:tc>
          <w:tcPr>
            <w:tcW w:w="2802" w:type="dxa"/>
          </w:tcPr>
          <w:p w14:paraId="420369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4212</w:t>
            </w:r>
          </w:p>
        </w:tc>
        <w:tc>
          <w:tcPr>
            <w:tcW w:w="2802" w:type="dxa"/>
          </w:tcPr>
          <w:p w14:paraId="17EA6D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"8"</w:t>
            </w:r>
          </w:p>
        </w:tc>
        <w:tc>
          <w:tcPr>
            <w:tcW w:w="2802" w:type="dxa"/>
          </w:tcPr>
          <w:p w14:paraId="177ACE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АМ-34ФРНВ</w:t>
            </w:r>
          </w:p>
        </w:tc>
      </w:tr>
      <w:tr w:rsidR="000F5689" w:rsidRPr="00925F26" w14:paraId="64054523" w14:textId="77777777">
        <w:tc>
          <w:tcPr>
            <w:tcW w:w="2802" w:type="dxa"/>
          </w:tcPr>
          <w:p w14:paraId="21492935"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0EBEA1B6"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424E7339"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56A71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АЦН-2 (АМ-35А)</w:t>
            </w:r>
          </w:p>
        </w:tc>
      </w:tr>
      <w:tr w:rsidR="000F5689" w:rsidRPr="00925F26" w14:paraId="73376A55" w14:textId="77777777">
        <w:tc>
          <w:tcPr>
            <w:tcW w:w="2802" w:type="dxa"/>
          </w:tcPr>
          <w:p w14:paraId="393A33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
        </w:tc>
        <w:tc>
          <w:tcPr>
            <w:tcW w:w="2802" w:type="dxa"/>
          </w:tcPr>
          <w:p w14:paraId="08D46D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4213</w:t>
            </w:r>
          </w:p>
        </w:tc>
        <w:tc>
          <w:tcPr>
            <w:tcW w:w="2802" w:type="dxa"/>
          </w:tcPr>
          <w:p w14:paraId="586D9C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02A56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АМ-34ФРНВ</w:t>
            </w:r>
          </w:p>
        </w:tc>
      </w:tr>
      <w:tr w:rsidR="000F5689" w:rsidRPr="00925F26" w14:paraId="305C84B3" w14:textId="77777777">
        <w:tc>
          <w:tcPr>
            <w:tcW w:w="2802" w:type="dxa"/>
          </w:tcPr>
          <w:p w14:paraId="2FF7351E"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9BD99E3"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9C57913"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7C29F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АЦН-2 (АМ-35А)</w:t>
            </w:r>
          </w:p>
        </w:tc>
      </w:tr>
      <w:tr w:rsidR="000F5689" w:rsidRPr="00925F26" w14:paraId="3E6EB7E2" w14:textId="77777777">
        <w:tc>
          <w:tcPr>
            <w:tcW w:w="2802" w:type="dxa"/>
          </w:tcPr>
          <w:p w14:paraId="685B8B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2802" w:type="dxa"/>
          </w:tcPr>
          <w:p w14:paraId="1B0C9A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4214</w:t>
            </w:r>
          </w:p>
        </w:tc>
        <w:tc>
          <w:tcPr>
            <w:tcW w:w="2802" w:type="dxa"/>
          </w:tcPr>
          <w:p w14:paraId="4D9B1C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28E7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АМ-34ФРНВ</w:t>
            </w:r>
          </w:p>
        </w:tc>
      </w:tr>
      <w:tr w:rsidR="000F5689" w:rsidRPr="00925F26" w14:paraId="084A7316" w14:textId="77777777">
        <w:tc>
          <w:tcPr>
            <w:tcW w:w="2802" w:type="dxa"/>
          </w:tcPr>
          <w:p w14:paraId="389136EA"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5F4725F"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7DD4654C"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583F1D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АЦН-2 (АМ-35А)</w:t>
            </w:r>
          </w:p>
        </w:tc>
      </w:tr>
      <w:tr w:rsidR="000F5689" w:rsidRPr="00925F26" w14:paraId="4645E488" w14:textId="77777777">
        <w:tc>
          <w:tcPr>
            <w:tcW w:w="2802" w:type="dxa"/>
          </w:tcPr>
          <w:p w14:paraId="2B2DD4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w:t>
            </w:r>
          </w:p>
        </w:tc>
        <w:tc>
          <w:tcPr>
            <w:tcW w:w="2802" w:type="dxa"/>
          </w:tcPr>
          <w:p w14:paraId="182C03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4215</w:t>
            </w:r>
          </w:p>
        </w:tc>
        <w:tc>
          <w:tcPr>
            <w:tcW w:w="2802" w:type="dxa"/>
          </w:tcPr>
          <w:p w14:paraId="6B9CD7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"3"</w:t>
            </w:r>
          </w:p>
        </w:tc>
        <w:tc>
          <w:tcPr>
            <w:tcW w:w="2802" w:type="dxa"/>
          </w:tcPr>
          <w:p w14:paraId="7AFC9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3758A1F8" w14:textId="77777777">
        <w:tc>
          <w:tcPr>
            <w:tcW w:w="2802" w:type="dxa"/>
          </w:tcPr>
          <w:p w14:paraId="025D00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2802" w:type="dxa"/>
          </w:tcPr>
          <w:p w14:paraId="44DA0F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4216</w:t>
            </w:r>
          </w:p>
        </w:tc>
        <w:tc>
          <w:tcPr>
            <w:tcW w:w="2802" w:type="dxa"/>
          </w:tcPr>
          <w:p w14:paraId="7C987A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09D8D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АМ-34ФРНВ</w:t>
            </w:r>
          </w:p>
        </w:tc>
      </w:tr>
      <w:tr w:rsidR="000F5689" w:rsidRPr="00925F26" w14:paraId="440677C1" w14:textId="77777777">
        <w:tc>
          <w:tcPr>
            <w:tcW w:w="2802" w:type="dxa"/>
          </w:tcPr>
          <w:p w14:paraId="5E4A6788"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772B9CD"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74ECECE"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5608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АЦН-2</w:t>
            </w:r>
          </w:p>
        </w:tc>
      </w:tr>
      <w:tr w:rsidR="000F5689" w:rsidRPr="00925F26" w14:paraId="7D07C35A" w14:textId="77777777">
        <w:tc>
          <w:tcPr>
            <w:tcW w:w="2802" w:type="dxa"/>
          </w:tcPr>
          <w:p w14:paraId="472CF4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w:t>
            </w:r>
          </w:p>
        </w:tc>
        <w:tc>
          <w:tcPr>
            <w:tcW w:w="2802" w:type="dxa"/>
          </w:tcPr>
          <w:p w14:paraId="22AA57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4217</w:t>
            </w:r>
          </w:p>
        </w:tc>
        <w:tc>
          <w:tcPr>
            <w:tcW w:w="2802" w:type="dxa"/>
          </w:tcPr>
          <w:p w14:paraId="7BFB5C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5208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2B15B2E7" w14:textId="77777777">
        <w:tc>
          <w:tcPr>
            <w:tcW w:w="2802" w:type="dxa"/>
          </w:tcPr>
          <w:p w14:paraId="2DDE4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
        </w:tc>
        <w:tc>
          <w:tcPr>
            <w:tcW w:w="2802" w:type="dxa"/>
          </w:tcPr>
          <w:p w14:paraId="428250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4218</w:t>
            </w:r>
          </w:p>
        </w:tc>
        <w:tc>
          <w:tcPr>
            <w:tcW w:w="2802" w:type="dxa"/>
          </w:tcPr>
          <w:p w14:paraId="1C4859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"1"</w:t>
            </w:r>
          </w:p>
        </w:tc>
        <w:tc>
          <w:tcPr>
            <w:tcW w:w="2802" w:type="dxa"/>
          </w:tcPr>
          <w:p w14:paraId="1E93E7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760644D3" w14:textId="77777777">
        <w:tc>
          <w:tcPr>
            <w:tcW w:w="2802" w:type="dxa"/>
          </w:tcPr>
          <w:p w14:paraId="7A7D1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802" w:type="dxa"/>
          </w:tcPr>
          <w:p w14:paraId="2BA7B6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4219</w:t>
            </w:r>
          </w:p>
        </w:tc>
        <w:tc>
          <w:tcPr>
            <w:tcW w:w="2802" w:type="dxa"/>
          </w:tcPr>
          <w:p w14:paraId="5C159E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446872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7F92697B" w14:textId="77777777">
        <w:tc>
          <w:tcPr>
            <w:tcW w:w="2802" w:type="dxa"/>
          </w:tcPr>
          <w:p w14:paraId="698B4B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802" w:type="dxa"/>
          </w:tcPr>
          <w:p w14:paraId="1FCE5A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4220</w:t>
            </w:r>
          </w:p>
        </w:tc>
        <w:tc>
          <w:tcPr>
            <w:tcW w:w="2802" w:type="dxa"/>
          </w:tcPr>
          <w:p w14:paraId="4A74AF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96DAC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7CDDDCD7" w14:textId="77777777">
        <w:tc>
          <w:tcPr>
            <w:tcW w:w="2802" w:type="dxa"/>
          </w:tcPr>
          <w:p w14:paraId="2EE592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w:t>
            </w:r>
          </w:p>
        </w:tc>
        <w:tc>
          <w:tcPr>
            <w:tcW w:w="2802" w:type="dxa"/>
          </w:tcPr>
          <w:p w14:paraId="382DB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4221</w:t>
            </w:r>
          </w:p>
        </w:tc>
        <w:tc>
          <w:tcPr>
            <w:tcW w:w="2802" w:type="dxa"/>
          </w:tcPr>
          <w:p w14:paraId="4E23DB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09B9C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02848F16" w14:textId="77777777">
        <w:tc>
          <w:tcPr>
            <w:tcW w:w="2802" w:type="dxa"/>
          </w:tcPr>
          <w:p w14:paraId="666E2F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2802" w:type="dxa"/>
          </w:tcPr>
          <w:p w14:paraId="2C1D29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4222</w:t>
            </w:r>
          </w:p>
        </w:tc>
        <w:tc>
          <w:tcPr>
            <w:tcW w:w="2802" w:type="dxa"/>
          </w:tcPr>
          <w:p w14:paraId="75C679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A3371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 (АМ-35А)</w:t>
            </w:r>
          </w:p>
        </w:tc>
      </w:tr>
      <w:tr w:rsidR="000F5689" w:rsidRPr="00925F26" w14:paraId="536052BF" w14:textId="77777777">
        <w:tc>
          <w:tcPr>
            <w:tcW w:w="2802" w:type="dxa"/>
          </w:tcPr>
          <w:p w14:paraId="3271FB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
        </w:tc>
        <w:tc>
          <w:tcPr>
            <w:tcW w:w="2802" w:type="dxa"/>
          </w:tcPr>
          <w:p w14:paraId="59CB87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4223</w:t>
            </w:r>
          </w:p>
        </w:tc>
        <w:tc>
          <w:tcPr>
            <w:tcW w:w="2802" w:type="dxa"/>
          </w:tcPr>
          <w:p w14:paraId="701EA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63411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6B90FE2F" w14:textId="77777777">
        <w:tc>
          <w:tcPr>
            <w:tcW w:w="2802" w:type="dxa"/>
          </w:tcPr>
          <w:p w14:paraId="31535C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w:t>
            </w:r>
          </w:p>
        </w:tc>
        <w:tc>
          <w:tcPr>
            <w:tcW w:w="2802" w:type="dxa"/>
          </w:tcPr>
          <w:p w14:paraId="65FE4E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4224</w:t>
            </w:r>
          </w:p>
        </w:tc>
        <w:tc>
          <w:tcPr>
            <w:tcW w:w="2802" w:type="dxa"/>
          </w:tcPr>
          <w:p w14:paraId="682711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3DCC8E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4D2C498F" w14:textId="77777777">
        <w:tc>
          <w:tcPr>
            <w:tcW w:w="2802" w:type="dxa"/>
          </w:tcPr>
          <w:p w14:paraId="34744B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2802" w:type="dxa"/>
          </w:tcPr>
          <w:p w14:paraId="6C8A2C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4225</w:t>
            </w:r>
          </w:p>
        </w:tc>
        <w:tc>
          <w:tcPr>
            <w:tcW w:w="2802" w:type="dxa"/>
          </w:tcPr>
          <w:p w14:paraId="0BCB0C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"6"</w:t>
            </w:r>
          </w:p>
        </w:tc>
        <w:tc>
          <w:tcPr>
            <w:tcW w:w="2802" w:type="dxa"/>
          </w:tcPr>
          <w:p w14:paraId="07AE84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 (АМ-35А)</w:t>
            </w:r>
          </w:p>
        </w:tc>
      </w:tr>
      <w:tr w:rsidR="000F5689" w:rsidRPr="00925F26" w14:paraId="584CF6F6" w14:textId="77777777">
        <w:tc>
          <w:tcPr>
            <w:tcW w:w="2802" w:type="dxa"/>
          </w:tcPr>
          <w:p w14:paraId="370ED8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w:t>
            </w:r>
          </w:p>
        </w:tc>
        <w:tc>
          <w:tcPr>
            <w:tcW w:w="2802" w:type="dxa"/>
          </w:tcPr>
          <w:p w14:paraId="4F825F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4226</w:t>
            </w:r>
          </w:p>
        </w:tc>
        <w:tc>
          <w:tcPr>
            <w:tcW w:w="2802" w:type="dxa"/>
          </w:tcPr>
          <w:p w14:paraId="579C85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AAA09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3AE8129F" w14:textId="77777777">
        <w:tc>
          <w:tcPr>
            <w:tcW w:w="2802" w:type="dxa"/>
          </w:tcPr>
          <w:p w14:paraId="1BAB17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w:t>
            </w:r>
          </w:p>
        </w:tc>
        <w:tc>
          <w:tcPr>
            <w:tcW w:w="2802" w:type="dxa"/>
          </w:tcPr>
          <w:p w14:paraId="0DC3B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4227</w:t>
            </w:r>
          </w:p>
        </w:tc>
        <w:tc>
          <w:tcPr>
            <w:tcW w:w="2802" w:type="dxa"/>
          </w:tcPr>
          <w:p w14:paraId="2988A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9CCA5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 (АМ-35А)</w:t>
            </w:r>
          </w:p>
        </w:tc>
      </w:tr>
      <w:tr w:rsidR="000F5689" w:rsidRPr="00925F26" w14:paraId="6E9A68CB" w14:textId="77777777">
        <w:tc>
          <w:tcPr>
            <w:tcW w:w="2802" w:type="dxa"/>
          </w:tcPr>
          <w:p w14:paraId="741F2E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2802" w:type="dxa"/>
          </w:tcPr>
          <w:p w14:paraId="6B4BF0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42015</w:t>
            </w:r>
          </w:p>
        </w:tc>
        <w:tc>
          <w:tcPr>
            <w:tcW w:w="2802" w:type="dxa"/>
          </w:tcPr>
          <w:p w14:paraId="5B484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"5"</w:t>
            </w:r>
          </w:p>
        </w:tc>
        <w:tc>
          <w:tcPr>
            <w:tcW w:w="2802" w:type="dxa"/>
          </w:tcPr>
          <w:p w14:paraId="7E67C9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1E382AC4" w14:textId="77777777">
        <w:tc>
          <w:tcPr>
            <w:tcW w:w="2802" w:type="dxa"/>
          </w:tcPr>
          <w:p w14:paraId="34B334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 г.</w:t>
            </w:r>
          </w:p>
        </w:tc>
        <w:tc>
          <w:tcPr>
            <w:tcW w:w="2802" w:type="dxa"/>
          </w:tcPr>
          <w:p w14:paraId="59E84281"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E4C451A"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0F03C20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180E5D0" w14:textId="77777777">
        <w:tc>
          <w:tcPr>
            <w:tcW w:w="2802" w:type="dxa"/>
          </w:tcPr>
          <w:p w14:paraId="6BCD63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w:t>
            </w:r>
          </w:p>
        </w:tc>
        <w:tc>
          <w:tcPr>
            <w:tcW w:w="2802" w:type="dxa"/>
          </w:tcPr>
          <w:p w14:paraId="4180CE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42025</w:t>
            </w:r>
          </w:p>
        </w:tc>
        <w:tc>
          <w:tcPr>
            <w:tcW w:w="2802" w:type="dxa"/>
          </w:tcPr>
          <w:p w14:paraId="057EE1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"2"</w:t>
            </w:r>
          </w:p>
        </w:tc>
        <w:tc>
          <w:tcPr>
            <w:tcW w:w="2802" w:type="dxa"/>
          </w:tcPr>
          <w:p w14:paraId="6F977C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 (АМ-35А)</w:t>
            </w:r>
          </w:p>
        </w:tc>
      </w:tr>
      <w:tr w:rsidR="000F5689" w:rsidRPr="00925F26" w14:paraId="4F891FD6" w14:textId="77777777">
        <w:tc>
          <w:tcPr>
            <w:tcW w:w="2802" w:type="dxa"/>
          </w:tcPr>
          <w:p w14:paraId="68FD13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2802" w:type="dxa"/>
          </w:tcPr>
          <w:p w14:paraId="4FE15B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42035</w:t>
            </w:r>
          </w:p>
        </w:tc>
        <w:tc>
          <w:tcPr>
            <w:tcW w:w="2802" w:type="dxa"/>
          </w:tcPr>
          <w:p w14:paraId="137A8D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"3"</w:t>
            </w:r>
          </w:p>
        </w:tc>
        <w:tc>
          <w:tcPr>
            <w:tcW w:w="2802" w:type="dxa"/>
          </w:tcPr>
          <w:p w14:paraId="5F9AC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 (АМ-35А)</w:t>
            </w:r>
          </w:p>
        </w:tc>
      </w:tr>
      <w:tr w:rsidR="000F5689" w:rsidRPr="00925F26" w14:paraId="16A7972C" w14:textId="77777777">
        <w:tc>
          <w:tcPr>
            <w:tcW w:w="2802" w:type="dxa"/>
          </w:tcPr>
          <w:p w14:paraId="5A972B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2802" w:type="dxa"/>
          </w:tcPr>
          <w:p w14:paraId="747E40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42045</w:t>
            </w:r>
          </w:p>
        </w:tc>
        <w:tc>
          <w:tcPr>
            <w:tcW w:w="2802" w:type="dxa"/>
          </w:tcPr>
          <w:p w14:paraId="2A76A6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"5"</w:t>
            </w:r>
          </w:p>
        </w:tc>
        <w:tc>
          <w:tcPr>
            <w:tcW w:w="2802" w:type="dxa"/>
          </w:tcPr>
          <w:p w14:paraId="24E595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r>
      <w:tr w:rsidR="000F5689" w:rsidRPr="00925F26" w14:paraId="59DEF6F8" w14:textId="77777777">
        <w:tc>
          <w:tcPr>
            <w:tcW w:w="2802" w:type="dxa"/>
          </w:tcPr>
          <w:p w14:paraId="365F2F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2802" w:type="dxa"/>
          </w:tcPr>
          <w:p w14:paraId="7C9AFF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42055</w:t>
            </w:r>
          </w:p>
        </w:tc>
        <w:tc>
          <w:tcPr>
            <w:tcW w:w="2802" w:type="dxa"/>
          </w:tcPr>
          <w:p w14:paraId="61540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белая "7"</w:t>
            </w:r>
          </w:p>
        </w:tc>
        <w:tc>
          <w:tcPr>
            <w:tcW w:w="2802" w:type="dxa"/>
          </w:tcPr>
          <w:p w14:paraId="6F52E3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r>
      <w:tr w:rsidR="000F5689" w:rsidRPr="00925F26" w14:paraId="7F33A961" w14:textId="77777777">
        <w:tc>
          <w:tcPr>
            <w:tcW w:w="2802" w:type="dxa"/>
          </w:tcPr>
          <w:p w14:paraId="59B56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2802" w:type="dxa"/>
          </w:tcPr>
          <w:p w14:paraId="203B4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42016</w:t>
            </w:r>
          </w:p>
        </w:tc>
        <w:tc>
          <w:tcPr>
            <w:tcW w:w="2802" w:type="dxa"/>
          </w:tcPr>
          <w:p w14:paraId="1DC56B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"1"</w:t>
            </w:r>
          </w:p>
        </w:tc>
        <w:tc>
          <w:tcPr>
            <w:tcW w:w="2802" w:type="dxa"/>
          </w:tcPr>
          <w:p w14:paraId="39B8B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r>
      <w:tr w:rsidR="000F5689" w:rsidRPr="00925F26" w14:paraId="5C29B2D5" w14:textId="77777777">
        <w:tc>
          <w:tcPr>
            <w:tcW w:w="2802" w:type="dxa"/>
          </w:tcPr>
          <w:p w14:paraId="7BF5E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2802" w:type="dxa"/>
          </w:tcPr>
          <w:p w14:paraId="23EBE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42026</w:t>
            </w:r>
          </w:p>
        </w:tc>
        <w:tc>
          <w:tcPr>
            <w:tcW w:w="2802" w:type="dxa"/>
          </w:tcPr>
          <w:p w14:paraId="2B1D16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601BF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r>
      <w:tr w:rsidR="000F5689" w:rsidRPr="00925F26" w14:paraId="2A0ED1C4" w14:textId="77777777">
        <w:tc>
          <w:tcPr>
            <w:tcW w:w="2802" w:type="dxa"/>
          </w:tcPr>
          <w:p w14:paraId="46BE8E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2802" w:type="dxa"/>
          </w:tcPr>
          <w:p w14:paraId="1777B2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42036</w:t>
            </w:r>
          </w:p>
        </w:tc>
        <w:tc>
          <w:tcPr>
            <w:tcW w:w="2802" w:type="dxa"/>
          </w:tcPr>
          <w:p w14:paraId="660A5B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"8"</w:t>
            </w:r>
          </w:p>
        </w:tc>
        <w:tc>
          <w:tcPr>
            <w:tcW w:w="2802" w:type="dxa"/>
          </w:tcPr>
          <w:p w14:paraId="36710D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r>
      <w:tr w:rsidR="000F5689" w:rsidRPr="00925F26" w14:paraId="6D03272A" w14:textId="77777777">
        <w:tc>
          <w:tcPr>
            <w:tcW w:w="2802" w:type="dxa"/>
          </w:tcPr>
          <w:p w14:paraId="15921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2802" w:type="dxa"/>
          </w:tcPr>
          <w:p w14:paraId="200165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42046</w:t>
            </w:r>
          </w:p>
        </w:tc>
        <w:tc>
          <w:tcPr>
            <w:tcW w:w="2802" w:type="dxa"/>
          </w:tcPr>
          <w:p w14:paraId="70A8F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"7"</w:t>
            </w:r>
          </w:p>
        </w:tc>
        <w:tc>
          <w:tcPr>
            <w:tcW w:w="2802" w:type="dxa"/>
          </w:tcPr>
          <w:p w14:paraId="1CE3DF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r>
      <w:tr w:rsidR="000F5689" w:rsidRPr="00925F26" w14:paraId="6474FA8C" w14:textId="77777777">
        <w:tc>
          <w:tcPr>
            <w:tcW w:w="2802" w:type="dxa"/>
          </w:tcPr>
          <w:p w14:paraId="2D0270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w:t>
            </w:r>
          </w:p>
        </w:tc>
        <w:tc>
          <w:tcPr>
            <w:tcW w:w="2802" w:type="dxa"/>
          </w:tcPr>
          <w:p w14:paraId="519E89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42056</w:t>
            </w:r>
          </w:p>
        </w:tc>
        <w:tc>
          <w:tcPr>
            <w:tcW w:w="2802" w:type="dxa"/>
          </w:tcPr>
          <w:p w14:paraId="4A00EC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06F2F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r>
      <w:tr w:rsidR="000F5689" w:rsidRPr="00925F26" w14:paraId="08F5292A" w14:textId="77777777">
        <w:tc>
          <w:tcPr>
            <w:tcW w:w="2802" w:type="dxa"/>
          </w:tcPr>
          <w:p w14:paraId="76BCCB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w:t>
            </w:r>
          </w:p>
        </w:tc>
        <w:tc>
          <w:tcPr>
            <w:tcW w:w="2802" w:type="dxa"/>
          </w:tcPr>
          <w:p w14:paraId="43DA33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42066</w:t>
            </w:r>
          </w:p>
        </w:tc>
        <w:tc>
          <w:tcPr>
            <w:tcW w:w="2802" w:type="dxa"/>
          </w:tcPr>
          <w:p w14:paraId="24E61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"1"</w:t>
            </w:r>
          </w:p>
        </w:tc>
        <w:tc>
          <w:tcPr>
            <w:tcW w:w="2802" w:type="dxa"/>
          </w:tcPr>
          <w:p w14:paraId="2A513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 (АМ-35А)</w:t>
            </w:r>
          </w:p>
        </w:tc>
      </w:tr>
      <w:tr w:rsidR="000F5689" w:rsidRPr="00925F26" w14:paraId="36B355D4" w14:textId="77777777">
        <w:tc>
          <w:tcPr>
            <w:tcW w:w="2802" w:type="dxa"/>
          </w:tcPr>
          <w:p w14:paraId="4038F3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2802" w:type="dxa"/>
          </w:tcPr>
          <w:p w14:paraId="63D2BA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42076</w:t>
            </w:r>
          </w:p>
        </w:tc>
        <w:tc>
          <w:tcPr>
            <w:tcW w:w="2802" w:type="dxa"/>
          </w:tcPr>
          <w:p w14:paraId="2647F3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3144C7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 (АМ-35А)</w:t>
            </w:r>
          </w:p>
        </w:tc>
      </w:tr>
      <w:tr w:rsidR="000F5689" w:rsidRPr="00925F26" w14:paraId="7A33E4EE" w14:textId="77777777">
        <w:tc>
          <w:tcPr>
            <w:tcW w:w="2802" w:type="dxa"/>
          </w:tcPr>
          <w:p w14:paraId="18F06D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2802" w:type="dxa"/>
          </w:tcPr>
          <w:p w14:paraId="5AB3E5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42086</w:t>
            </w:r>
          </w:p>
        </w:tc>
        <w:tc>
          <w:tcPr>
            <w:tcW w:w="2802" w:type="dxa"/>
          </w:tcPr>
          <w:p w14:paraId="426F5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44B8A2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 (АМ-35А)</w:t>
            </w:r>
          </w:p>
        </w:tc>
      </w:tr>
      <w:tr w:rsidR="000F5689" w:rsidRPr="00925F26" w14:paraId="35A8B8EB" w14:textId="77777777">
        <w:tc>
          <w:tcPr>
            <w:tcW w:w="2802" w:type="dxa"/>
          </w:tcPr>
          <w:p w14:paraId="33E26D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w:t>
            </w:r>
          </w:p>
        </w:tc>
        <w:tc>
          <w:tcPr>
            <w:tcW w:w="2802" w:type="dxa"/>
          </w:tcPr>
          <w:p w14:paraId="10844F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42096</w:t>
            </w:r>
          </w:p>
        </w:tc>
        <w:tc>
          <w:tcPr>
            <w:tcW w:w="2802" w:type="dxa"/>
          </w:tcPr>
          <w:p w14:paraId="3EF2E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6C459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 (АМ-35А)</w:t>
            </w:r>
          </w:p>
        </w:tc>
      </w:tr>
      <w:tr w:rsidR="000F5689" w:rsidRPr="00925F26" w14:paraId="5765CE82" w14:textId="77777777">
        <w:tc>
          <w:tcPr>
            <w:tcW w:w="2802" w:type="dxa"/>
          </w:tcPr>
          <w:p w14:paraId="24CAD9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w:t>
            </w:r>
          </w:p>
        </w:tc>
        <w:tc>
          <w:tcPr>
            <w:tcW w:w="2802" w:type="dxa"/>
          </w:tcPr>
          <w:p w14:paraId="151728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42106</w:t>
            </w:r>
          </w:p>
        </w:tc>
        <w:tc>
          <w:tcPr>
            <w:tcW w:w="2802" w:type="dxa"/>
          </w:tcPr>
          <w:p w14:paraId="348024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330810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 (АМ-35А)</w:t>
            </w:r>
          </w:p>
        </w:tc>
      </w:tr>
      <w:tr w:rsidR="000F5689" w:rsidRPr="00925F26" w14:paraId="6E9BBCF3" w14:textId="77777777">
        <w:tc>
          <w:tcPr>
            <w:tcW w:w="2802" w:type="dxa"/>
          </w:tcPr>
          <w:p w14:paraId="77B033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w:t>
            </w:r>
          </w:p>
        </w:tc>
        <w:tc>
          <w:tcPr>
            <w:tcW w:w="2802" w:type="dxa"/>
          </w:tcPr>
          <w:p w14:paraId="3DA48F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42017</w:t>
            </w:r>
          </w:p>
        </w:tc>
        <w:tc>
          <w:tcPr>
            <w:tcW w:w="2802" w:type="dxa"/>
          </w:tcPr>
          <w:p w14:paraId="6D0F2C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A2EC0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7A0BBF56" w14:textId="77777777">
        <w:tc>
          <w:tcPr>
            <w:tcW w:w="2802" w:type="dxa"/>
          </w:tcPr>
          <w:p w14:paraId="67AC97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2802" w:type="dxa"/>
          </w:tcPr>
          <w:p w14:paraId="632A14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42027</w:t>
            </w:r>
          </w:p>
        </w:tc>
        <w:tc>
          <w:tcPr>
            <w:tcW w:w="2802" w:type="dxa"/>
          </w:tcPr>
          <w:p w14:paraId="606AC8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B90B8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37633523" w14:textId="77777777">
        <w:tc>
          <w:tcPr>
            <w:tcW w:w="2802" w:type="dxa"/>
          </w:tcPr>
          <w:p w14:paraId="2FB84B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2802" w:type="dxa"/>
          </w:tcPr>
          <w:p w14:paraId="4C36C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42037</w:t>
            </w:r>
          </w:p>
        </w:tc>
        <w:tc>
          <w:tcPr>
            <w:tcW w:w="2802" w:type="dxa"/>
          </w:tcPr>
          <w:p w14:paraId="6D4B06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"2"</w:t>
            </w:r>
          </w:p>
        </w:tc>
        <w:tc>
          <w:tcPr>
            <w:tcW w:w="2802" w:type="dxa"/>
          </w:tcPr>
          <w:p w14:paraId="72516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1118BAE5" w14:textId="77777777">
        <w:tc>
          <w:tcPr>
            <w:tcW w:w="2802" w:type="dxa"/>
          </w:tcPr>
          <w:p w14:paraId="73FA6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 г.</w:t>
            </w:r>
          </w:p>
        </w:tc>
        <w:tc>
          <w:tcPr>
            <w:tcW w:w="2802" w:type="dxa"/>
          </w:tcPr>
          <w:p w14:paraId="677B208C"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799C8BC6"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05AB20D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E37F91B" w14:textId="77777777">
        <w:tc>
          <w:tcPr>
            <w:tcW w:w="2802" w:type="dxa"/>
          </w:tcPr>
          <w:p w14:paraId="7CC699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w:t>
            </w:r>
          </w:p>
        </w:tc>
        <w:tc>
          <w:tcPr>
            <w:tcW w:w="2802" w:type="dxa"/>
          </w:tcPr>
          <w:p w14:paraId="69F38B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42047</w:t>
            </w:r>
          </w:p>
        </w:tc>
        <w:tc>
          <w:tcPr>
            <w:tcW w:w="2802" w:type="dxa"/>
          </w:tcPr>
          <w:p w14:paraId="3F3292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2269B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38201A08" w14:textId="77777777">
        <w:tc>
          <w:tcPr>
            <w:tcW w:w="2802" w:type="dxa"/>
          </w:tcPr>
          <w:p w14:paraId="745C7B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2802" w:type="dxa"/>
          </w:tcPr>
          <w:p w14:paraId="1AF0CB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42057</w:t>
            </w:r>
          </w:p>
        </w:tc>
        <w:tc>
          <w:tcPr>
            <w:tcW w:w="2802" w:type="dxa"/>
          </w:tcPr>
          <w:p w14:paraId="22C9F5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"6"</w:t>
            </w:r>
          </w:p>
        </w:tc>
        <w:tc>
          <w:tcPr>
            <w:tcW w:w="2802" w:type="dxa"/>
          </w:tcPr>
          <w:p w14:paraId="38DAAC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16F1130E" w14:textId="77777777">
        <w:tc>
          <w:tcPr>
            <w:tcW w:w="2802" w:type="dxa"/>
          </w:tcPr>
          <w:p w14:paraId="429377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w:t>
            </w:r>
          </w:p>
        </w:tc>
        <w:tc>
          <w:tcPr>
            <w:tcW w:w="2802" w:type="dxa"/>
          </w:tcPr>
          <w:p w14:paraId="2E6CA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42067</w:t>
            </w:r>
          </w:p>
        </w:tc>
        <w:tc>
          <w:tcPr>
            <w:tcW w:w="2802" w:type="dxa"/>
          </w:tcPr>
          <w:p w14:paraId="18AF6F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"7"</w:t>
            </w:r>
          </w:p>
        </w:tc>
        <w:tc>
          <w:tcPr>
            <w:tcW w:w="2802" w:type="dxa"/>
          </w:tcPr>
          <w:p w14:paraId="1D606A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0CB7F0AE" w14:textId="77777777">
        <w:tc>
          <w:tcPr>
            <w:tcW w:w="2802" w:type="dxa"/>
          </w:tcPr>
          <w:p w14:paraId="3974C7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2802" w:type="dxa"/>
          </w:tcPr>
          <w:p w14:paraId="50104A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42077</w:t>
            </w:r>
          </w:p>
        </w:tc>
        <w:tc>
          <w:tcPr>
            <w:tcW w:w="2802" w:type="dxa"/>
          </w:tcPr>
          <w:p w14:paraId="1C140C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"10"</w:t>
            </w:r>
          </w:p>
        </w:tc>
        <w:tc>
          <w:tcPr>
            <w:tcW w:w="2802" w:type="dxa"/>
          </w:tcPr>
          <w:p w14:paraId="481FF2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74925F7E" w14:textId="77777777">
        <w:tc>
          <w:tcPr>
            <w:tcW w:w="2802" w:type="dxa"/>
          </w:tcPr>
          <w:p w14:paraId="0798F0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c>
          <w:tcPr>
            <w:tcW w:w="2802" w:type="dxa"/>
          </w:tcPr>
          <w:p w14:paraId="1153BA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42087</w:t>
            </w:r>
          </w:p>
        </w:tc>
        <w:tc>
          <w:tcPr>
            <w:tcW w:w="2802" w:type="dxa"/>
          </w:tcPr>
          <w:p w14:paraId="5416AB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4CE2C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2E97E662" w14:textId="77777777">
        <w:tc>
          <w:tcPr>
            <w:tcW w:w="2802" w:type="dxa"/>
          </w:tcPr>
          <w:p w14:paraId="2E666A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2802" w:type="dxa"/>
          </w:tcPr>
          <w:p w14:paraId="2A1153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42097</w:t>
            </w:r>
          </w:p>
        </w:tc>
        <w:tc>
          <w:tcPr>
            <w:tcW w:w="2802" w:type="dxa"/>
          </w:tcPr>
          <w:p w14:paraId="75A9E2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"9"</w:t>
            </w:r>
          </w:p>
        </w:tc>
        <w:tc>
          <w:tcPr>
            <w:tcW w:w="2802" w:type="dxa"/>
          </w:tcPr>
          <w:p w14:paraId="11741D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1C9C56B5" w14:textId="77777777">
        <w:tc>
          <w:tcPr>
            <w:tcW w:w="2802" w:type="dxa"/>
          </w:tcPr>
          <w:p w14:paraId="146E16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2802" w:type="dxa"/>
          </w:tcPr>
          <w:p w14:paraId="5E6C3C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42107</w:t>
            </w:r>
          </w:p>
        </w:tc>
        <w:tc>
          <w:tcPr>
            <w:tcW w:w="2802" w:type="dxa"/>
          </w:tcPr>
          <w:p w14:paraId="7968A8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"4"</w:t>
            </w:r>
          </w:p>
        </w:tc>
        <w:tc>
          <w:tcPr>
            <w:tcW w:w="2802" w:type="dxa"/>
          </w:tcPr>
          <w:p w14:paraId="3F182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4B11F17B" w14:textId="77777777">
        <w:tc>
          <w:tcPr>
            <w:tcW w:w="2802" w:type="dxa"/>
          </w:tcPr>
          <w:p w14:paraId="34B72A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w:t>
            </w:r>
          </w:p>
        </w:tc>
        <w:tc>
          <w:tcPr>
            <w:tcW w:w="2802" w:type="dxa"/>
          </w:tcPr>
          <w:p w14:paraId="71DFC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42018</w:t>
            </w:r>
          </w:p>
        </w:tc>
        <w:tc>
          <w:tcPr>
            <w:tcW w:w="2802" w:type="dxa"/>
          </w:tcPr>
          <w:p w14:paraId="317334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"5"</w:t>
            </w:r>
          </w:p>
        </w:tc>
        <w:tc>
          <w:tcPr>
            <w:tcW w:w="2802" w:type="dxa"/>
          </w:tcPr>
          <w:p w14:paraId="2BB49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572659E5" w14:textId="77777777">
        <w:tc>
          <w:tcPr>
            <w:tcW w:w="2802" w:type="dxa"/>
          </w:tcPr>
          <w:p w14:paraId="0A69CA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w:t>
            </w:r>
          </w:p>
        </w:tc>
        <w:tc>
          <w:tcPr>
            <w:tcW w:w="2802" w:type="dxa"/>
          </w:tcPr>
          <w:p w14:paraId="17821A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42028</w:t>
            </w:r>
          </w:p>
        </w:tc>
        <w:tc>
          <w:tcPr>
            <w:tcW w:w="2802" w:type="dxa"/>
          </w:tcPr>
          <w:p w14:paraId="75491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"9"</w:t>
            </w:r>
          </w:p>
        </w:tc>
        <w:tc>
          <w:tcPr>
            <w:tcW w:w="2802" w:type="dxa"/>
          </w:tcPr>
          <w:p w14:paraId="0FCA18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3E1E477F" w14:textId="77777777">
        <w:tc>
          <w:tcPr>
            <w:tcW w:w="2802" w:type="dxa"/>
          </w:tcPr>
          <w:p w14:paraId="75539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2802" w:type="dxa"/>
          </w:tcPr>
          <w:p w14:paraId="22A7FE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42038</w:t>
            </w:r>
          </w:p>
        </w:tc>
        <w:tc>
          <w:tcPr>
            <w:tcW w:w="2802" w:type="dxa"/>
          </w:tcPr>
          <w:p w14:paraId="21EC59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красная "11"</w:t>
            </w:r>
          </w:p>
        </w:tc>
        <w:tc>
          <w:tcPr>
            <w:tcW w:w="2802" w:type="dxa"/>
          </w:tcPr>
          <w:p w14:paraId="032F06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5CADE219" w14:textId="77777777">
        <w:tc>
          <w:tcPr>
            <w:tcW w:w="2802" w:type="dxa"/>
          </w:tcPr>
          <w:p w14:paraId="2AA9BA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2802" w:type="dxa"/>
          </w:tcPr>
          <w:p w14:paraId="4C6064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42048</w:t>
            </w:r>
          </w:p>
        </w:tc>
        <w:tc>
          <w:tcPr>
            <w:tcW w:w="2802" w:type="dxa"/>
          </w:tcPr>
          <w:p w14:paraId="28F67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17BFD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6001C7C7" w14:textId="77777777">
        <w:tc>
          <w:tcPr>
            <w:tcW w:w="2802" w:type="dxa"/>
          </w:tcPr>
          <w:p w14:paraId="15C7BE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47</w:t>
            </w:r>
          </w:p>
        </w:tc>
        <w:tc>
          <w:tcPr>
            <w:tcW w:w="2802" w:type="dxa"/>
          </w:tcPr>
          <w:p w14:paraId="2AF6A4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42058</w:t>
            </w:r>
          </w:p>
        </w:tc>
        <w:tc>
          <w:tcPr>
            <w:tcW w:w="2802" w:type="dxa"/>
          </w:tcPr>
          <w:p w14:paraId="5314DC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625E8A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5D3F4A52" w14:textId="77777777">
        <w:tc>
          <w:tcPr>
            <w:tcW w:w="2802" w:type="dxa"/>
          </w:tcPr>
          <w:p w14:paraId="3F59FD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2802" w:type="dxa"/>
          </w:tcPr>
          <w:p w14:paraId="7A5C1A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42068</w:t>
            </w:r>
          </w:p>
        </w:tc>
        <w:tc>
          <w:tcPr>
            <w:tcW w:w="2802" w:type="dxa"/>
          </w:tcPr>
          <w:p w14:paraId="3A646F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3A11F0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50F2085E" w14:textId="77777777">
        <w:tc>
          <w:tcPr>
            <w:tcW w:w="2802" w:type="dxa"/>
          </w:tcPr>
          <w:p w14:paraId="60131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w:t>
            </w:r>
          </w:p>
        </w:tc>
        <w:tc>
          <w:tcPr>
            <w:tcW w:w="2802" w:type="dxa"/>
          </w:tcPr>
          <w:p w14:paraId="572D27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42078</w:t>
            </w:r>
          </w:p>
        </w:tc>
        <w:tc>
          <w:tcPr>
            <w:tcW w:w="2802" w:type="dxa"/>
          </w:tcPr>
          <w:p w14:paraId="7A5A86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"6"</w:t>
            </w:r>
          </w:p>
        </w:tc>
        <w:tc>
          <w:tcPr>
            <w:tcW w:w="2802" w:type="dxa"/>
          </w:tcPr>
          <w:p w14:paraId="7DD78A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479DAC3A" w14:textId="77777777">
        <w:tc>
          <w:tcPr>
            <w:tcW w:w="2802" w:type="dxa"/>
          </w:tcPr>
          <w:p w14:paraId="7037CF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2802" w:type="dxa"/>
          </w:tcPr>
          <w:p w14:paraId="28186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42088</w:t>
            </w:r>
          </w:p>
        </w:tc>
        <w:tc>
          <w:tcPr>
            <w:tcW w:w="2802" w:type="dxa"/>
          </w:tcPr>
          <w:p w14:paraId="4AFDF0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AFA83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12C6B5EA" w14:textId="77777777">
        <w:tc>
          <w:tcPr>
            <w:tcW w:w="2802" w:type="dxa"/>
          </w:tcPr>
          <w:p w14:paraId="06E50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w:t>
            </w:r>
          </w:p>
        </w:tc>
        <w:tc>
          <w:tcPr>
            <w:tcW w:w="2802" w:type="dxa"/>
          </w:tcPr>
          <w:p w14:paraId="1B104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42098</w:t>
            </w:r>
          </w:p>
        </w:tc>
        <w:tc>
          <w:tcPr>
            <w:tcW w:w="2802" w:type="dxa"/>
          </w:tcPr>
          <w:p w14:paraId="5B5E22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"3"</w:t>
            </w:r>
          </w:p>
        </w:tc>
        <w:tc>
          <w:tcPr>
            <w:tcW w:w="2802" w:type="dxa"/>
          </w:tcPr>
          <w:p w14:paraId="456D72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170CB332" w14:textId="77777777">
        <w:tc>
          <w:tcPr>
            <w:tcW w:w="2802" w:type="dxa"/>
          </w:tcPr>
          <w:p w14:paraId="6C3D7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w:t>
            </w:r>
          </w:p>
        </w:tc>
        <w:tc>
          <w:tcPr>
            <w:tcW w:w="2802" w:type="dxa"/>
          </w:tcPr>
          <w:p w14:paraId="0E50C2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42108</w:t>
            </w:r>
          </w:p>
        </w:tc>
        <w:tc>
          <w:tcPr>
            <w:tcW w:w="2802" w:type="dxa"/>
          </w:tcPr>
          <w:p w14:paraId="4B31D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голубая "8"</w:t>
            </w:r>
          </w:p>
        </w:tc>
        <w:tc>
          <w:tcPr>
            <w:tcW w:w="2802" w:type="dxa"/>
          </w:tcPr>
          <w:p w14:paraId="510A66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663355DA" w14:textId="77777777">
        <w:tc>
          <w:tcPr>
            <w:tcW w:w="2802" w:type="dxa"/>
          </w:tcPr>
          <w:p w14:paraId="5D4350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w:t>
            </w:r>
          </w:p>
        </w:tc>
        <w:tc>
          <w:tcPr>
            <w:tcW w:w="2802" w:type="dxa"/>
          </w:tcPr>
          <w:p w14:paraId="7A7B73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42109</w:t>
            </w:r>
          </w:p>
        </w:tc>
        <w:tc>
          <w:tcPr>
            <w:tcW w:w="2802" w:type="dxa"/>
          </w:tcPr>
          <w:p w14:paraId="6D13E0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E9A08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r>
      <w:tr w:rsidR="000F5689" w:rsidRPr="00925F26" w14:paraId="44C98493" w14:textId="77777777">
        <w:tc>
          <w:tcPr>
            <w:tcW w:w="2802" w:type="dxa"/>
          </w:tcPr>
          <w:p w14:paraId="5A716D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w:t>
            </w:r>
          </w:p>
        </w:tc>
        <w:tc>
          <w:tcPr>
            <w:tcW w:w="2802" w:type="dxa"/>
          </w:tcPr>
          <w:p w14:paraId="4C80C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42029</w:t>
            </w:r>
          </w:p>
        </w:tc>
        <w:tc>
          <w:tcPr>
            <w:tcW w:w="2802" w:type="dxa"/>
          </w:tcPr>
          <w:p w14:paraId="042442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E0945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04E9B92D" w14:textId="77777777">
        <w:tc>
          <w:tcPr>
            <w:tcW w:w="2802" w:type="dxa"/>
          </w:tcPr>
          <w:p w14:paraId="01EFE7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w:t>
            </w:r>
          </w:p>
        </w:tc>
        <w:tc>
          <w:tcPr>
            <w:tcW w:w="2802" w:type="dxa"/>
          </w:tcPr>
          <w:p w14:paraId="6B865E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42039</w:t>
            </w:r>
          </w:p>
        </w:tc>
        <w:tc>
          <w:tcPr>
            <w:tcW w:w="2802" w:type="dxa"/>
          </w:tcPr>
          <w:p w14:paraId="1CD706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01A1D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5EAA66CE" w14:textId="77777777">
        <w:tc>
          <w:tcPr>
            <w:tcW w:w="2802" w:type="dxa"/>
          </w:tcPr>
          <w:p w14:paraId="15719D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 г.</w:t>
            </w:r>
          </w:p>
        </w:tc>
        <w:tc>
          <w:tcPr>
            <w:tcW w:w="2802" w:type="dxa"/>
          </w:tcPr>
          <w:p w14:paraId="42AF9CFE"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66268E81"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7035E54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D4CD862" w14:textId="77777777">
        <w:tc>
          <w:tcPr>
            <w:tcW w:w="2802" w:type="dxa"/>
          </w:tcPr>
          <w:p w14:paraId="4A36D0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c>
          <w:tcPr>
            <w:tcW w:w="2802" w:type="dxa"/>
          </w:tcPr>
          <w:p w14:paraId="33F1D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42049</w:t>
            </w:r>
          </w:p>
        </w:tc>
        <w:tc>
          <w:tcPr>
            <w:tcW w:w="2802" w:type="dxa"/>
          </w:tcPr>
          <w:p w14:paraId="6072B1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AFF40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615D698" w14:textId="77777777">
        <w:tc>
          <w:tcPr>
            <w:tcW w:w="2802" w:type="dxa"/>
          </w:tcPr>
          <w:p w14:paraId="2815F4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w:t>
            </w:r>
          </w:p>
        </w:tc>
        <w:tc>
          <w:tcPr>
            <w:tcW w:w="2802" w:type="dxa"/>
          </w:tcPr>
          <w:p w14:paraId="6D5693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42059</w:t>
            </w:r>
          </w:p>
        </w:tc>
        <w:tc>
          <w:tcPr>
            <w:tcW w:w="2802" w:type="dxa"/>
          </w:tcPr>
          <w:p w14:paraId="2D7260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7E4F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21AB0BDE" w14:textId="77777777">
        <w:tc>
          <w:tcPr>
            <w:tcW w:w="2802" w:type="dxa"/>
          </w:tcPr>
          <w:p w14:paraId="4ED669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w:t>
            </w:r>
          </w:p>
        </w:tc>
        <w:tc>
          <w:tcPr>
            <w:tcW w:w="2802" w:type="dxa"/>
          </w:tcPr>
          <w:p w14:paraId="129642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42069</w:t>
            </w:r>
          </w:p>
        </w:tc>
        <w:tc>
          <w:tcPr>
            <w:tcW w:w="2802" w:type="dxa"/>
          </w:tcPr>
          <w:p w14:paraId="297957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F210A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019CE09C" w14:textId="77777777">
        <w:tc>
          <w:tcPr>
            <w:tcW w:w="2802" w:type="dxa"/>
          </w:tcPr>
          <w:p w14:paraId="39F30A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w:t>
            </w:r>
          </w:p>
        </w:tc>
        <w:tc>
          <w:tcPr>
            <w:tcW w:w="2802" w:type="dxa"/>
          </w:tcPr>
          <w:p w14:paraId="3BF916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42079</w:t>
            </w:r>
          </w:p>
        </w:tc>
        <w:tc>
          <w:tcPr>
            <w:tcW w:w="2802" w:type="dxa"/>
          </w:tcPr>
          <w:p w14:paraId="5DCED2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625C14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7BE5C99" w14:textId="77777777">
        <w:tc>
          <w:tcPr>
            <w:tcW w:w="2802" w:type="dxa"/>
          </w:tcPr>
          <w:p w14:paraId="7A617F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w:t>
            </w:r>
          </w:p>
        </w:tc>
        <w:tc>
          <w:tcPr>
            <w:tcW w:w="2802" w:type="dxa"/>
          </w:tcPr>
          <w:p w14:paraId="097213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42089</w:t>
            </w:r>
          </w:p>
        </w:tc>
        <w:tc>
          <w:tcPr>
            <w:tcW w:w="2802" w:type="dxa"/>
          </w:tcPr>
          <w:p w14:paraId="785B5F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645FBC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5D3E2B41" w14:textId="77777777">
        <w:tc>
          <w:tcPr>
            <w:tcW w:w="2802" w:type="dxa"/>
          </w:tcPr>
          <w:p w14:paraId="6CF328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w:t>
            </w:r>
          </w:p>
        </w:tc>
        <w:tc>
          <w:tcPr>
            <w:tcW w:w="2802" w:type="dxa"/>
          </w:tcPr>
          <w:p w14:paraId="4767B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42099</w:t>
            </w:r>
          </w:p>
        </w:tc>
        <w:tc>
          <w:tcPr>
            <w:tcW w:w="2802" w:type="dxa"/>
          </w:tcPr>
          <w:p w14:paraId="7170AE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AE70F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159B7ACA" w14:textId="77777777">
        <w:tc>
          <w:tcPr>
            <w:tcW w:w="2802" w:type="dxa"/>
          </w:tcPr>
          <w:p w14:paraId="350E4A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w:t>
            </w:r>
          </w:p>
        </w:tc>
        <w:tc>
          <w:tcPr>
            <w:tcW w:w="2802" w:type="dxa"/>
          </w:tcPr>
          <w:p w14:paraId="0056CE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42109</w:t>
            </w:r>
          </w:p>
        </w:tc>
        <w:tc>
          <w:tcPr>
            <w:tcW w:w="2802" w:type="dxa"/>
          </w:tcPr>
          <w:p w14:paraId="1D470A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4963D2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ABF6E30" w14:textId="77777777">
        <w:tc>
          <w:tcPr>
            <w:tcW w:w="2802" w:type="dxa"/>
          </w:tcPr>
          <w:p w14:paraId="08C249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w:t>
            </w:r>
          </w:p>
        </w:tc>
        <w:tc>
          <w:tcPr>
            <w:tcW w:w="2802" w:type="dxa"/>
          </w:tcPr>
          <w:p w14:paraId="207F6E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42110</w:t>
            </w:r>
          </w:p>
        </w:tc>
        <w:tc>
          <w:tcPr>
            <w:tcW w:w="2802" w:type="dxa"/>
          </w:tcPr>
          <w:p w14:paraId="53BCA6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739AD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14FFEFA4" w14:textId="77777777">
        <w:tc>
          <w:tcPr>
            <w:tcW w:w="2802" w:type="dxa"/>
          </w:tcPr>
          <w:p w14:paraId="2CF312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w:t>
            </w:r>
          </w:p>
        </w:tc>
        <w:tc>
          <w:tcPr>
            <w:tcW w:w="2802" w:type="dxa"/>
          </w:tcPr>
          <w:p w14:paraId="042294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42210</w:t>
            </w:r>
          </w:p>
        </w:tc>
        <w:tc>
          <w:tcPr>
            <w:tcW w:w="2802" w:type="dxa"/>
          </w:tcPr>
          <w:p w14:paraId="3DA159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1E5B9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5EE2371D" w14:textId="77777777">
        <w:tc>
          <w:tcPr>
            <w:tcW w:w="2802" w:type="dxa"/>
          </w:tcPr>
          <w:p w14:paraId="39992C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w:t>
            </w:r>
          </w:p>
        </w:tc>
        <w:tc>
          <w:tcPr>
            <w:tcW w:w="2802" w:type="dxa"/>
          </w:tcPr>
          <w:p w14:paraId="445DBC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42310</w:t>
            </w:r>
          </w:p>
        </w:tc>
        <w:tc>
          <w:tcPr>
            <w:tcW w:w="2802" w:type="dxa"/>
          </w:tcPr>
          <w:p w14:paraId="5B089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32EA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F707CAF" w14:textId="77777777">
        <w:tc>
          <w:tcPr>
            <w:tcW w:w="2802" w:type="dxa"/>
          </w:tcPr>
          <w:p w14:paraId="276938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w:t>
            </w:r>
          </w:p>
        </w:tc>
        <w:tc>
          <w:tcPr>
            <w:tcW w:w="2802" w:type="dxa"/>
          </w:tcPr>
          <w:p w14:paraId="0AA7F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42410</w:t>
            </w:r>
          </w:p>
        </w:tc>
        <w:tc>
          <w:tcPr>
            <w:tcW w:w="2802" w:type="dxa"/>
          </w:tcPr>
          <w:p w14:paraId="693E45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4EC7C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759CB2FC" w14:textId="77777777">
        <w:tc>
          <w:tcPr>
            <w:tcW w:w="2802" w:type="dxa"/>
          </w:tcPr>
          <w:p w14:paraId="296C25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w:t>
            </w:r>
          </w:p>
        </w:tc>
        <w:tc>
          <w:tcPr>
            <w:tcW w:w="2802" w:type="dxa"/>
          </w:tcPr>
          <w:p w14:paraId="34D58D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42510</w:t>
            </w:r>
          </w:p>
        </w:tc>
        <w:tc>
          <w:tcPr>
            <w:tcW w:w="2802" w:type="dxa"/>
          </w:tcPr>
          <w:p w14:paraId="7FA17E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18E27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7156ED91" w14:textId="77777777">
        <w:tc>
          <w:tcPr>
            <w:tcW w:w="2802" w:type="dxa"/>
          </w:tcPr>
          <w:p w14:paraId="178B5C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w:t>
            </w:r>
          </w:p>
        </w:tc>
        <w:tc>
          <w:tcPr>
            <w:tcW w:w="2802" w:type="dxa"/>
          </w:tcPr>
          <w:p w14:paraId="5857CF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42610</w:t>
            </w:r>
          </w:p>
        </w:tc>
        <w:tc>
          <w:tcPr>
            <w:tcW w:w="2802" w:type="dxa"/>
          </w:tcPr>
          <w:p w14:paraId="3BADBA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2D0DA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AA5A13B" w14:textId="77777777">
        <w:tc>
          <w:tcPr>
            <w:tcW w:w="2802" w:type="dxa"/>
          </w:tcPr>
          <w:p w14:paraId="2EE4B9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w:t>
            </w:r>
          </w:p>
        </w:tc>
        <w:tc>
          <w:tcPr>
            <w:tcW w:w="2802" w:type="dxa"/>
          </w:tcPr>
          <w:p w14:paraId="17A1DE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42710</w:t>
            </w:r>
          </w:p>
        </w:tc>
        <w:tc>
          <w:tcPr>
            <w:tcW w:w="2802" w:type="dxa"/>
          </w:tcPr>
          <w:p w14:paraId="37E2A4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CC708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8C6EE17" w14:textId="77777777">
        <w:tc>
          <w:tcPr>
            <w:tcW w:w="2802" w:type="dxa"/>
          </w:tcPr>
          <w:p w14:paraId="4F2724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2802" w:type="dxa"/>
          </w:tcPr>
          <w:p w14:paraId="2BC295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42810</w:t>
            </w:r>
          </w:p>
        </w:tc>
        <w:tc>
          <w:tcPr>
            <w:tcW w:w="2802" w:type="dxa"/>
          </w:tcPr>
          <w:p w14:paraId="62E045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0D2F9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00C471FC" w14:textId="77777777">
        <w:tc>
          <w:tcPr>
            <w:tcW w:w="2802" w:type="dxa"/>
          </w:tcPr>
          <w:p w14:paraId="12A8CB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w:t>
            </w:r>
          </w:p>
        </w:tc>
        <w:tc>
          <w:tcPr>
            <w:tcW w:w="2802" w:type="dxa"/>
          </w:tcPr>
          <w:p w14:paraId="709059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42910</w:t>
            </w:r>
          </w:p>
        </w:tc>
        <w:tc>
          <w:tcPr>
            <w:tcW w:w="2802" w:type="dxa"/>
          </w:tcPr>
          <w:p w14:paraId="6CD6D0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8109F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3FB166C1" w14:textId="77777777">
        <w:tc>
          <w:tcPr>
            <w:tcW w:w="2802" w:type="dxa"/>
          </w:tcPr>
          <w:p w14:paraId="0B557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w:t>
            </w:r>
          </w:p>
        </w:tc>
        <w:tc>
          <w:tcPr>
            <w:tcW w:w="2802" w:type="dxa"/>
          </w:tcPr>
          <w:p w14:paraId="694F5C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421010</w:t>
            </w:r>
          </w:p>
        </w:tc>
        <w:tc>
          <w:tcPr>
            <w:tcW w:w="2802" w:type="dxa"/>
          </w:tcPr>
          <w:p w14:paraId="2489FA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C659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060E53CD" w14:textId="77777777">
        <w:tc>
          <w:tcPr>
            <w:tcW w:w="2802" w:type="dxa"/>
          </w:tcPr>
          <w:p w14:paraId="13BFCD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w:t>
            </w:r>
          </w:p>
        </w:tc>
        <w:tc>
          <w:tcPr>
            <w:tcW w:w="2802" w:type="dxa"/>
          </w:tcPr>
          <w:p w14:paraId="4038F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42111</w:t>
            </w:r>
          </w:p>
        </w:tc>
        <w:tc>
          <w:tcPr>
            <w:tcW w:w="2802" w:type="dxa"/>
          </w:tcPr>
          <w:p w14:paraId="640B1E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9AFBD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BF8093D" w14:textId="77777777">
        <w:tc>
          <w:tcPr>
            <w:tcW w:w="2802" w:type="dxa"/>
          </w:tcPr>
          <w:p w14:paraId="6EB1A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 г.</w:t>
            </w:r>
          </w:p>
        </w:tc>
        <w:tc>
          <w:tcPr>
            <w:tcW w:w="2802" w:type="dxa"/>
          </w:tcPr>
          <w:p w14:paraId="2F7BADA3"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36C11843" w14:textId="77777777" w:rsidR="00665165" w:rsidRPr="00925F26" w:rsidRDefault="00665165" w:rsidP="00925F26">
            <w:pPr>
              <w:autoSpaceDE w:val="0"/>
              <w:autoSpaceDN w:val="0"/>
              <w:adjustRightInd w:val="0"/>
              <w:jc w:val="both"/>
              <w:rPr>
                <w:color w:val="000000" w:themeColor="text1"/>
                <w:sz w:val="16"/>
                <w:szCs w:val="16"/>
              </w:rPr>
            </w:pPr>
          </w:p>
        </w:tc>
        <w:tc>
          <w:tcPr>
            <w:tcW w:w="2802" w:type="dxa"/>
          </w:tcPr>
          <w:p w14:paraId="28CC983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74DE08D" w14:textId="77777777">
        <w:tc>
          <w:tcPr>
            <w:tcW w:w="2802" w:type="dxa"/>
          </w:tcPr>
          <w:p w14:paraId="058736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w:t>
            </w:r>
          </w:p>
        </w:tc>
        <w:tc>
          <w:tcPr>
            <w:tcW w:w="2802" w:type="dxa"/>
          </w:tcPr>
          <w:p w14:paraId="2F4D9D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42211</w:t>
            </w:r>
          </w:p>
        </w:tc>
        <w:tc>
          <w:tcPr>
            <w:tcW w:w="2802" w:type="dxa"/>
          </w:tcPr>
          <w:p w14:paraId="4FA9B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3D927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7CFEDA2E" w14:textId="77777777">
        <w:tc>
          <w:tcPr>
            <w:tcW w:w="2802" w:type="dxa"/>
          </w:tcPr>
          <w:p w14:paraId="41AC62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w:t>
            </w:r>
          </w:p>
        </w:tc>
        <w:tc>
          <w:tcPr>
            <w:tcW w:w="2802" w:type="dxa"/>
          </w:tcPr>
          <w:p w14:paraId="0D423A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42311</w:t>
            </w:r>
          </w:p>
        </w:tc>
        <w:tc>
          <w:tcPr>
            <w:tcW w:w="2802" w:type="dxa"/>
          </w:tcPr>
          <w:p w14:paraId="40BA91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07D96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540D9988" w14:textId="77777777">
        <w:tc>
          <w:tcPr>
            <w:tcW w:w="2802" w:type="dxa"/>
          </w:tcPr>
          <w:p w14:paraId="580519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w:t>
            </w:r>
          </w:p>
        </w:tc>
        <w:tc>
          <w:tcPr>
            <w:tcW w:w="2802" w:type="dxa"/>
          </w:tcPr>
          <w:p w14:paraId="56BCFB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42411</w:t>
            </w:r>
          </w:p>
        </w:tc>
        <w:tc>
          <w:tcPr>
            <w:tcW w:w="2802" w:type="dxa"/>
          </w:tcPr>
          <w:p w14:paraId="2B142E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403889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1AF96713" w14:textId="77777777">
        <w:tc>
          <w:tcPr>
            <w:tcW w:w="2802" w:type="dxa"/>
          </w:tcPr>
          <w:p w14:paraId="28C7E3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w:t>
            </w:r>
          </w:p>
        </w:tc>
        <w:tc>
          <w:tcPr>
            <w:tcW w:w="2802" w:type="dxa"/>
          </w:tcPr>
          <w:p w14:paraId="177830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42511</w:t>
            </w:r>
          </w:p>
        </w:tc>
        <w:tc>
          <w:tcPr>
            <w:tcW w:w="2802" w:type="dxa"/>
          </w:tcPr>
          <w:p w14:paraId="78FA1C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E33F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3DCB80EF" w14:textId="77777777">
        <w:tc>
          <w:tcPr>
            <w:tcW w:w="2802" w:type="dxa"/>
          </w:tcPr>
          <w:p w14:paraId="6CF3F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w:t>
            </w:r>
          </w:p>
        </w:tc>
        <w:tc>
          <w:tcPr>
            <w:tcW w:w="2802" w:type="dxa"/>
          </w:tcPr>
          <w:p w14:paraId="6657B6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42611</w:t>
            </w:r>
          </w:p>
        </w:tc>
        <w:tc>
          <w:tcPr>
            <w:tcW w:w="2802" w:type="dxa"/>
          </w:tcPr>
          <w:p w14:paraId="4E035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70AD27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1D731CD4" w14:textId="77777777">
        <w:tc>
          <w:tcPr>
            <w:tcW w:w="2802" w:type="dxa"/>
          </w:tcPr>
          <w:p w14:paraId="431E37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w:t>
            </w:r>
          </w:p>
        </w:tc>
        <w:tc>
          <w:tcPr>
            <w:tcW w:w="2802" w:type="dxa"/>
          </w:tcPr>
          <w:p w14:paraId="7945F7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42711</w:t>
            </w:r>
          </w:p>
        </w:tc>
        <w:tc>
          <w:tcPr>
            <w:tcW w:w="2802" w:type="dxa"/>
          </w:tcPr>
          <w:p w14:paraId="0C28B3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07CC3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1EBE3B9C" w14:textId="77777777">
        <w:tc>
          <w:tcPr>
            <w:tcW w:w="2802" w:type="dxa"/>
          </w:tcPr>
          <w:p w14:paraId="6425AA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w:t>
            </w:r>
          </w:p>
        </w:tc>
        <w:tc>
          <w:tcPr>
            <w:tcW w:w="2802" w:type="dxa"/>
          </w:tcPr>
          <w:p w14:paraId="13FEB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42811</w:t>
            </w:r>
          </w:p>
        </w:tc>
        <w:tc>
          <w:tcPr>
            <w:tcW w:w="2802" w:type="dxa"/>
          </w:tcPr>
          <w:p w14:paraId="2EBD29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29EDB1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14CA8280" w14:textId="77777777">
        <w:tc>
          <w:tcPr>
            <w:tcW w:w="2802" w:type="dxa"/>
          </w:tcPr>
          <w:p w14:paraId="0301A2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w:t>
            </w:r>
          </w:p>
        </w:tc>
        <w:tc>
          <w:tcPr>
            <w:tcW w:w="2802" w:type="dxa"/>
          </w:tcPr>
          <w:p w14:paraId="70C584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42911</w:t>
            </w:r>
          </w:p>
        </w:tc>
        <w:tc>
          <w:tcPr>
            <w:tcW w:w="2802" w:type="dxa"/>
          </w:tcPr>
          <w:p w14:paraId="6470E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9E3D7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692C900" w14:textId="77777777">
        <w:tc>
          <w:tcPr>
            <w:tcW w:w="2802" w:type="dxa"/>
          </w:tcPr>
          <w:p w14:paraId="37FD2F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w:t>
            </w:r>
          </w:p>
        </w:tc>
        <w:tc>
          <w:tcPr>
            <w:tcW w:w="2802" w:type="dxa"/>
          </w:tcPr>
          <w:p w14:paraId="070CB6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421011</w:t>
            </w:r>
          </w:p>
        </w:tc>
        <w:tc>
          <w:tcPr>
            <w:tcW w:w="2802" w:type="dxa"/>
          </w:tcPr>
          <w:p w14:paraId="0DB3C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45F0EB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A138067" w14:textId="77777777">
        <w:tc>
          <w:tcPr>
            <w:tcW w:w="2802" w:type="dxa"/>
          </w:tcPr>
          <w:p w14:paraId="0835E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w:t>
            </w:r>
          </w:p>
        </w:tc>
        <w:tc>
          <w:tcPr>
            <w:tcW w:w="2802" w:type="dxa"/>
          </w:tcPr>
          <w:p w14:paraId="16118B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42112</w:t>
            </w:r>
          </w:p>
        </w:tc>
        <w:tc>
          <w:tcPr>
            <w:tcW w:w="2802" w:type="dxa"/>
          </w:tcPr>
          <w:p w14:paraId="3A21E5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415DE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5F8E2758" w14:textId="77777777">
        <w:tc>
          <w:tcPr>
            <w:tcW w:w="2802" w:type="dxa"/>
          </w:tcPr>
          <w:p w14:paraId="6931C5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w:t>
            </w:r>
          </w:p>
        </w:tc>
        <w:tc>
          <w:tcPr>
            <w:tcW w:w="2802" w:type="dxa"/>
          </w:tcPr>
          <w:p w14:paraId="358440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42212</w:t>
            </w:r>
          </w:p>
        </w:tc>
        <w:tc>
          <w:tcPr>
            <w:tcW w:w="2802" w:type="dxa"/>
          </w:tcPr>
          <w:p w14:paraId="2DA518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31A9F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28C20EE0" w14:textId="77777777">
        <w:tc>
          <w:tcPr>
            <w:tcW w:w="2802" w:type="dxa"/>
          </w:tcPr>
          <w:p w14:paraId="6B883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802" w:type="dxa"/>
          </w:tcPr>
          <w:p w14:paraId="64EE48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42312</w:t>
            </w:r>
          </w:p>
        </w:tc>
        <w:tc>
          <w:tcPr>
            <w:tcW w:w="2802" w:type="dxa"/>
          </w:tcPr>
          <w:p w14:paraId="246F55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E2767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987B8C1" w14:textId="77777777">
        <w:tc>
          <w:tcPr>
            <w:tcW w:w="2802" w:type="dxa"/>
          </w:tcPr>
          <w:p w14:paraId="37C180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w:t>
            </w:r>
          </w:p>
        </w:tc>
        <w:tc>
          <w:tcPr>
            <w:tcW w:w="2802" w:type="dxa"/>
          </w:tcPr>
          <w:p w14:paraId="15788D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42412</w:t>
            </w:r>
          </w:p>
        </w:tc>
        <w:tc>
          <w:tcPr>
            <w:tcW w:w="2802" w:type="dxa"/>
          </w:tcPr>
          <w:p w14:paraId="4CD18A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DBF28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4EA51627" w14:textId="77777777">
        <w:tc>
          <w:tcPr>
            <w:tcW w:w="2802" w:type="dxa"/>
          </w:tcPr>
          <w:p w14:paraId="76C7A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w:t>
            </w:r>
          </w:p>
        </w:tc>
        <w:tc>
          <w:tcPr>
            <w:tcW w:w="2802" w:type="dxa"/>
          </w:tcPr>
          <w:p w14:paraId="64E095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42512</w:t>
            </w:r>
          </w:p>
        </w:tc>
        <w:tc>
          <w:tcPr>
            <w:tcW w:w="2802" w:type="dxa"/>
          </w:tcPr>
          <w:p w14:paraId="16E15F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F11F3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r>
      <w:tr w:rsidR="000F5689" w:rsidRPr="00925F26" w14:paraId="0861EBD0" w14:textId="77777777">
        <w:tc>
          <w:tcPr>
            <w:tcW w:w="2802" w:type="dxa"/>
          </w:tcPr>
          <w:p w14:paraId="2E4FC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w:t>
            </w:r>
          </w:p>
        </w:tc>
        <w:tc>
          <w:tcPr>
            <w:tcW w:w="2802" w:type="dxa"/>
          </w:tcPr>
          <w:p w14:paraId="44E04E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42612</w:t>
            </w:r>
          </w:p>
        </w:tc>
        <w:tc>
          <w:tcPr>
            <w:tcW w:w="2802" w:type="dxa"/>
          </w:tcPr>
          <w:p w14:paraId="6C388F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50EBF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38DF6909" w14:textId="77777777">
        <w:tc>
          <w:tcPr>
            <w:tcW w:w="2802" w:type="dxa"/>
          </w:tcPr>
          <w:p w14:paraId="2FA046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w:t>
            </w:r>
          </w:p>
        </w:tc>
        <w:tc>
          <w:tcPr>
            <w:tcW w:w="2802" w:type="dxa"/>
          </w:tcPr>
          <w:p w14:paraId="32C928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42712</w:t>
            </w:r>
          </w:p>
        </w:tc>
        <w:tc>
          <w:tcPr>
            <w:tcW w:w="2802" w:type="dxa"/>
          </w:tcPr>
          <w:p w14:paraId="6A1709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10E4E9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4024B6D5" w14:textId="77777777">
        <w:tc>
          <w:tcPr>
            <w:tcW w:w="2802" w:type="dxa"/>
          </w:tcPr>
          <w:p w14:paraId="6DCD50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w:t>
            </w:r>
          </w:p>
        </w:tc>
        <w:tc>
          <w:tcPr>
            <w:tcW w:w="2802" w:type="dxa"/>
          </w:tcPr>
          <w:p w14:paraId="788F09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42812</w:t>
            </w:r>
          </w:p>
        </w:tc>
        <w:tc>
          <w:tcPr>
            <w:tcW w:w="2802" w:type="dxa"/>
          </w:tcPr>
          <w:p w14:paraId="226462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Pr>
          <w:p w14:paraId="001EFE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r w:rsidR="000F5689" w:rsidRPr="00925F26" w14:paraId="4B0C29D6" w14:textId="77777777">
        <w:tc>
          <w:tcPr>
            <w:tcW w:w="2802" w:type="dxa"/>
            <w:tcBorders>
              <w:bottom w:val="single" w:sz="12" w:space="0" w:color="auto"/>
            </w:tcBorders>
          </w:tcPr>
          <w:p w14:paraId="5B86F2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w:t>
            </w:r>
          </w:p>
        </w:tc>
        <w:tc>
          <w:tcPr>
            <w:tcW w:w="2802" w:type="dxa"/>
            <w:tcBorders>
              <w:bottom w:val="single" w:sz="12" w:space="0" w:color="auto"/>
            </w:tcBorders>
          </w:tcPr>
          <w:p w14:paraId="632360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42912</w:t>
            </w:r>
          </w:p>
        </w:tc>
        <w:tc>
          <w:tcPr>
            <w:tcW w:w="2802" w:type="dxa"/>
            <w:tcBorders>
              <w:bottom w:val="single" w:sz="12" w:space="0" w:color="auto"/>
            </w:tcBorders>
          </w:tcPr>
          <w:p w14:paraId="5F3010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802" w:type="dxa"/>
            <w:tcBorders>
              <w:bottom w:val="single" w:sz="12" w:space="0" w:color="auto"/>
            </w:tcBorders>
          </w:tcPr>
          <w:p w14:paraId="51E4A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r>
    </w:tbl>
    <w:p w14:paraId="2CADD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(12025).</w:t>
      </w:r>
    </w:p>
    <w:p w14:paraId="246C87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Поступление и убытие самолетов Пе-8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559"/>
        <w:gridCol w:w="1559"/>
        <w:gridCol w:w="1559"/>
        <w:gridCol w:w="1701"/>
        <w:gridCol w:w="1580"/>
        <w:gridCol w:w="1539"/>
      </w:tblGrid>
      <w:tr w:rsidR="000F5689" w:rsidRPr="00925F26" w14:paraId="50AE9419" w14:textId="77777777">
        <w:tc>
          <w:tcPr>
            <w:tcW w:w="1668" w:type="dxa"/>
            <w:tcBorders>
              <w:top w:val="single" w:sz="12" w:space="0" w:color="auto"/>
            </w:tcBorders>
          </w:tcPr>
          <w:p w14:paraId="728B10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 №</w:t>
            </w:r>
          </w:p>
        </w:tc>
        <w:tc>
          <w:tcPr>
            <w:tcW w:w="1559" w:type="dxa"/>
            <w:tcBorders>
              <w:top w:val="single" w:sz="12" w:space="0" w:color="auto"/>
            </w:tcBorders>
          </w:tcPr>
          <w:p w14:paraId="5C051D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хв. №</w:t>
            </w:r>
          </w:p>
        </w:tc>
        <w:tc>
          <w:tcPr>
            <w:tcW w:w="1559" w:type="dxa"/>
            <w:tcBorders>
              <w:top w:val="single" w:sz="12" w:space="0" w:color="auto"/>
            </w:tcBorders>
          </w:tcPr>
          <w:p w14:paraId="4B469C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Моторы</w:t>
            </w:r>
          </w:p>
        </w:tc>
        <w:tc>
          <w:tcPr>
            <w:tcW w:w="1559" w:type="dxa"/>
            <w:tcBorders>
              <w:top w:val="single" w:sz="12" w:space="0" w:color="auto"/>
            </w:tcBorders>
          </w:tcPr>
          <w:p w14:paraId="6EDFE3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Дата</w:t>
            </w:r>
          </w:p>
        </w:tc>
        <w:tc>
          <w:tcPr>
            <w:tcW w:w="1701" w:type="dxa"/>
            <w:tcBorders>
              <w:top w:val="single" w:sz="12" w:space="0" w:color="auto"/>
            </w:tcBorders>
          </w:tcPr>
          <w:p w14:paraId="1E1DB2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Командиры</w:t>
            </w:r>
          </w:p>
        </w:tc>
        <w:tc>
          <w:tcPr>
            <w:tcW w:w="1580" w:type="dxa"/>
            <w:tcBorders>
              <w:top w:val="single" w:sz="12" w:space="0" w:color="auto"/>
            </w:tcBorders>
          </w:tcPr>
          <w:p w14:paraId="7447E9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Дата</w:t>
            </w:r>
          </w:p>
        </w:tc>
        <w:tc>
          <w:tcPr>
            <w:tcW w:w="1539" w:type="dxa"/>
            <w:tcBorders>
              <w:top w:val="single" w:sz="12" w:space="0" w:color="auto"/>
            </w:tcBorders>
          </w:tcPr>
          <w:p w14:paraId="05CAD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Прочее</w:t>
            </w:r>
          </w:p>
        </w:tc>
      </w:tr>
      <w:tr w:rsidR="000F5689" w:rsidRPr="00925F26" w14:paraId="6994640C" w14:textId="77777777">
        <w:tc>
          <w:tcPr>
            <w:tcW w:w="1668" w:type="dxa"/>
          </w:tcPr>
          <w:p w14:paraId="547460BE"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0FB034D0"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стар./</w:t>
            </w:r>
            <w:proofErr w:type="gramEnd"/>
            <w:r w:rsidRPr="00925F26">
              <w:rPr>
                <w:color w:val="000000" w:themeColor="text1"/>
                <w:sz w:val="16"/>
                <w:szCs w:val="16"/>
              </w:rPr>
              <w:t>нов.</w:t>
            </w:r>
          </w:p>
        </w:tc>
        <w:tc>
          <w:tcPr>
            <w:tcW w:w="1559" w:type="dxa"/>
          </w:tcPr>
          <w:p w14:paraId="75E6D697"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стар./</w:t>
            </w:r>
            <w:proofErr w:type="gramEnd"/>
            <w:r w:rsidRPr="00925F26">
              <w:rPr>
                <w:color w:val="000000" w:themeColor="text1"/>
                <w:sz w:val="16"/>
                <w:szCs w:val="16"/>
              </w:rPr>
              <w:t>нов.</w:t>
            </w:r>
          </w:p>
        </w:tc>
        <w:tc>
          <w:tcPr>
            <w:tcW w:w="1559" w:type="dxa"/>
          </w:tcPr>
          <w:p w14:paraId="33C366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выпуска</w:t>
            </w:r>
          </w:p>
        </w:tc>
        <w:tc>
          <w:tcPr>
            <w:tcW w:w="1701" w:type="dxa"/>
          </w:tcPr>
          <w:p w14:paraId="6A4207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кораблей</w:t>
            </w:r>
          </w:p>
        </w:tc>
        <w:tc>
          <w:tcPr>
            <w:tcW w:w="1580" w:type="dxa"/>
          </w:tcPr>
          <w:p w14:paraId="021D7F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 полета</w:t>
            </w:r>
          </w:p>
        </w:tc>
        <w:tc>
          <w:tcPr>
            <w:tcW w:w="1539" w:type="dxa"/>
          </w:tcPr>
          <w:p w14:paraId="40B48D1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3F4BF63" w14:textId="77777777">
        <w:tc>
          <w:tcPr>
            <w:tcW w:w="1668" w:type="dxa"/>
          </w:tcPr>
          <w:p w14:paraId="7CCF0A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1. 4201</w:t>
            </w:r>
          </w:p>
        </w:tc>
        <w:tc>
          <w:tcPr>
            <w:tcW w:w="1559" w:type="dxa"/>
          </w:tcPr>
          <w:p w14:paraId="2DE24B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D71E3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w:t>
            </w:r>
          </w:p>
        </w:tc>
        <w:tc>
          <w:tcPr>
            <w:tcW w:w="1559" w:type="dxa"/>
          </w:tcPr>
          <w:p w14:paraId="7535B3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19.06.36</w:t>
            </w:r>
          </w:p>
        </w:tc>
        <w:tc>
          <w:tcPr>
            <w:tcW w:w="1701" w:type="dxa"/>
          </w:tcPr>
          <w:p w14:paraId="283B1C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80" w:type="dxa"/>
          </w:tcPr>
          <w:p w14:paraId="7EC1A2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658900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прототип</w:t>
            </w:r>
          </w:p>
        </w:tc>
      </w:tr>
      <w:tr w:rsidR="000F5689" w:rsidRPr="00925F26" w14:paraId="63982F23" w14:textId="77777777">
        <w:tc>
          <w:tcPr>
            <w:tcW w:w="1668" w:type="dxa"/>
          </w:tcPr>
          <w:p w14:paraId="6F5F23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2. 4202</w:t>
            </w:r>
          </w:p>
        </w:tc>
        <w:tc>
          <w:tcPr>
            <w:tcW w:w="1559" w:type="dxa"/>
          </w:tcPr>
          <w:p w14:paraId="2FE23D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-/1с</w:t>
            </w:r>
          </w:p>
        </w:tc>
        <w:tc>
          <w:tcPr>
            <w:tcW w:w="1559" w:type="dxa"/>
          </w:tcPr>
          <w:p w14:paraId="1564A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w:t>
            </w:r>
          </w:p>
        </w:tc>
        <w:tc>
          <w:tcPr>
            <w:tcW w:w="1559" w:type="dxa"/>
          </w:tcPr>
          <w:p w14:paraId="510046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06.38</w:t>
            </w:r>
          </w:p>
        </w:tc>
        <w:tc>
          <w:tcPr>
            <w:tcW w:w="1701" w:type="dxa"/>
          </w:tcPr>
          <w:p w14:paraId="12A590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Откидач, Кокорев,</w:t>
            </w:r>
          </w:p>
        </w:tc>
        <w:tc>
          <w:tcPr>
            <w:tcW w:w="1580" w:type="dxa"/>
          </w:tcPr>
          <w:p w14:paraId="74943E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761D78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дублер</w:t>
            </w:r>
          </w:p>
        </w:tc>
      </w:tr>
      <w:tr w:rsidR="000F5689" w:rsidRPr="00925F26" w14:paraId="6E5B1841" w14:textId="77777777">
        <w:tc>
          <w:tcPr>
            <w:tcW w:w="1668" w:type="dxa"/>
          </w:tcPr>
          <w:p w14:paraId="605534FE"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3FDEE7F7"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6575B3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6F777EEB"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564D00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Лавровский</w:t>
            </w:r>
          </w:p>
        </w:tc>
        <w:tc>
          <w:tcPr>
            <w:tcW w:w="1580" w:type="dxa"/>
          </w:tcPr>
          <w:p w14:paraId="630A7DC0" w14:textId="77777777" w:rsidR="00665165" w:rsidRPr="00925F26" w:rsidRDefault="00665165" w:rsidP="00925F26">
            <w:pPr>
              <w:autoSpaceDE w:val="0"/>
              <w:autoSpaceDN w:val="0"/>
              <w:adjustRightInd w:val="0"/>
              <w:jc w:val="both"/>
              <w:rPr>
                <w:color w:val="000000" w:themeColor="text1"/>
                <w:sz w:val="16"/>
                <w:szCs w:val="16"/>
              </w:rPr>
            </w:pPr>
          </w:p>
        </w:tc>
        <w:tc>
          <w:tcPr>
            <w:tcW w:w="1539" w:type="dxa"/>
          </w:tcPr>
          <w:p w14:paraId="24871C7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49458B3" w14:textId="77777777">
        <w:tc>
          <w:tcPr>
            <w:tcW w:w="1668" w:type="dxa"/>
          </w:tcPr>
          <w:p w14:paraId="37BE6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3. 4211</w:t>
            </w:r>
          </w:p>
        </w:tc>
        <w:tc>
          <w:tcPr>
            <w:tcW w:w="1559" w:type="dxa"/>
          </w:tcPr>
          <w:p w14:paraId="1DFA64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9EBC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М-34ФРНВ/АМ-35А</w:t>
            </w:r>
          </w:p>
        </w:tc>
        <w:tc>
          <w:tcPr>
            <w:tcW w:w="1559" w:type="dxa"/>
          </w:tcPr>
          <w:p w14:paraId="54B7E2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2D841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80" w:type="dxa"/>
          </w:tcPr>
          <w:p w14:paraId="3FA62A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22.6.41</w:t>
            </w:r>
          </w:p>
        </w:tc>
        <w:tc>
          <w:tcPr>
            <w:tcW w:w="1539" w:type="dxa"/>
          </w:tcPr>
          <w:p w14:paraId="64ABF9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ПЗ</w:t>
            </w:r>
          </w:p>
        </w:tc>
      </w:tr>
      <w:tr w:rsidR="000F5689" w:rsidRPr="00925F26" w14:paraId="5FF09175" w14:textId="77777777">
        <w:tc>
          <w:tcPr>
            <w:tcW w:w="1668" w:type="dxa"/>
          </w:tcPr>
          <w:p w14:paraId="3A1BA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4. 4212</w:t>
            </w:r>
          </w:p>
        </w:tc>
        <w:tc>
          <w:tcPr>
            <w:tcW w:w="1559" w:type="dxa"/>
          </w:tcPr>
          <w:p w14:paraId="512C0E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б/н (3.43)</w:t>
            </w:r>
          </w:p>
        </w:tc>
        <w:tc>
          <w:tcPr>
            <w:tcW w:w="1559" w:type="dxa"/>
          </w:tcPr>
          <w:p w14:paraId="22426B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М-34ФРНВ/АМ-35А</w:t>
            </w:r>
          </w:p>
        </w:tc>
        <w:tc>
          <w:tcPr>
            <w:tcW w:w="1559" w:type="dxa"/>
          </w:tcPr>
          <w:p w14:paraId="690FE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22FDC8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Канарский,</w:t>
            </w:r>
          </w:p>
        </w:tc>
        <w:tc>
          <w:tcPr>
            <w:tcW w:w="1580" w:type="dxa"/>
          </w:tcPr>
          <w:p w14:paraId="7CEF78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18.8.43</w:t>
            </w:r>
          </w:p>
        </w:tc>
        <w:tc>
          <w:tcPr>
            <w:tcW w:w="1539" w:type="dxa"/>
          </w:tcPr>
          <w:p w14:paraId="09FA3C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w:t>
            </w:r>
          </w:p>
        </w:tc>
      </w:tr>
      <w:tr w:rsidR="000F5689" w:rsidRPr="00925F26" w14:paraId="2E3160DC" w14:textId="77777777">
        <w:tc>
          <w:tcPr>
            <w:tcW w:w="1668" w:type="dxa"/>
          </w:tcPr>
          <w:p w14:paraId="2B0918DC"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170B84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8с/9с (5.43)</w:t>
            </w:r>
          </w:p>
        </w:tc>
        <w:tc>
          <w:tcPr>
            <w:tcW w:w="1559" w:type="dxa"/>
          </w:tcPr>
          <w:p w14:paraId="2FDC1915"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29BB1212"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08B115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Ремизов, Олейников</w:t>
            </w:r>
          </w:p>
        </w:tc>
        <w:tc>
          <w:tcPr>
            <w:tcW w:w="1580" w:type="dxa"/>
          </w:tcPr>
          <w:p w14:paraId="0C8EFA98" w14:textId="77777777" w:rsidR="00665165" w:rsidRPr="00925F26" w:rsidRDefault="00665165" w:rsidP="00925F26">
            <w:pPr>
              <w:autoSpaceDE w:val="0"/>
              <w:autoSpaceDN w:val="0"/>
              <w:adjustRightInd w:val="0"/>
              <w:jc w:val="both"/>
              <w:rPr>
                <w:color w:val="000000" w:themeColor="text1"/>
                <w:sz w:val="16"/>
                <w:szCs w:val="16"/>
              </w:rPr>
            </w:pPr>
          </w:p>
        </w:tc>
        <w:tc>
          <w:tcPr>
            <w:tcW w:w="1539" w:type="dxa"/>
          </w:tcPr>
          <w:p w14:paraId="64305B7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287D13F" w14:textId="77777777">
        <w:tc>
          <w:tcPr>
            <w:tcW w:w="1668" w:type="dxa"/>
          </w:tcPr>
          <w:p w14:paraId="375DAB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5. 4213</w:t>
            </w:r>
          </w:p>
        </w:tc>
        <w:tc>
          <w:tcPr>
            <w:tcW w:w="1559" w:type="dxa"/>
          </w:tcPr>
          <w:p w14:paraId="1F7983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13A445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М-34ФРНВ/АМ-35А</w:t>
            </w:r>
          </w:p>
        </w:tc>
        <w:tc>
          <w:tcPr>
            <w:tcW w:w="1559" w:type="dxa"/>
          </w:tcPr>
          <w:p w14:paraId="20132A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1A4D0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Додонов</w:t>
            </w:r>
          </w:p>
        </w:tc>
        <w:tc>
          <w:tcPr>
            <w:tcW w:w="1580" w:type="dxa"/>
          </w:tcPr>
          <w:p w14:paraId="17A177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22.6.41</w:t>
            </w:r>
          </w:p>
        </w:tc>
        <w:tc>
          <w:tcPr>
            <w:tcW w:w="1539" w:type="dxa"/>
          </w:tcPr>
          <w:p w14:paraId="288006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ПЗ</w:t>
            </w:r>
          </w:p>
        </w:tc>
      </w:tr>
      <w:tr w:rsidR="000F5689" w:rsidRPr="00925F26" w14:paraId="65960C6E" w14:textId="77777777">
        <w:tc>
          <w:tcPr>
            <w:tcW w:w="1668" w:type="dxa"/>
          </w:tcPr>
          <w:p w14:paraId="3F7334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6. 4214</w:t>
            </w:r>
          </w:p>
        </w:tc>
        <w:tc>
          <w:tcPr>
            <w:tcW w:w="1559" w:type="dxa"/>
          </w:tcPr>
          <w:p w14:paraId="41A0D2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2с (10.43)</w:t>
            </w:r>
          </w:p>
        </w:tc>
        <w:tc>
          <w:tcPr>
            <w:tcW w:w="1559" w:type="dxa"/>
          </w:tcPr>
          <w:p w14:paraId="51BB5B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М-34ФРНВ/АМ-35А</w:t>
            </w:r>
          </w:p>
        </w:tc>
        <w:tc>
          <w:tcPr>
            <w:tcW w:w="1559" w:type="dxa"/>
          </w:tcPr>
          <w:p w14:paraId="1BA94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15.3.40</w:t>
            </w:r>
          </w:p>
        </w:tc>
        <w:tc>
          <w:tcPr>
            <w:tcW w:w="1701" w:type="dxa"/>
          </w:tcPr>
          <w:p w14:paraId="48476A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Откидач, Иванов</w:t>
            </w:r>
          </w:p>
        </w:tc>
        <w:tc>
          <w:tcPr>
            <w:tcW w:w="1580" w:type="dxa"/>
          </w:tcPr>
          <w:p w14:paraId="76CC55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13.7.44</w:t>
            </w:r>
          </w:p>
        </w:tc>
        <w:tc>
          <w:tcPr>
            <w:tcW w:w="1539" w:type="dxa"/>
          </w:tcPr>
          <w:p w14:paraId="1803D1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w:t>
            </w:r>
          </w:p>
        </w:tc>
      </w:tr>
      <w:tr w:rsidR="000F5689" w:rsidRPr="00925F26" w14:paraId="71EFDE3A" w14:textId="77777777">
        <w:tc>
          <w:tcPr>
            <w:tcW w:w="1668" w:type="dxa"/>
          </w:tcPr>
          <w:p w14:paraId="4867C4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7. 4215</w:t>
            </w:r>
          </w:p>
        </w:tc>
        <w:tc>
          <w:tcPr>
            <w:tcW w:w="1559" w:type="dxa"/>
          </w:tcPr>
          <w:p w14:paraId="4FE2D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3с/7</w:t>
            </w:r>
            <w:proofErr w:type="gramStart"/>
            <w:r w:rsidRPr="00925F26">
              <w:rPr>
                <w:color w:val="000000" w:themeColor="text1"/>
                <w:sz w:val="16"/>
                <w:szCs w:val="16"/>
              </w:rPr>
              <w:t>с(</w:t>
            </w:r>
            <w:proofErr w:type="gramEnd"/>
            <w:r w:rsidRPr="00925F26">
              <w:rPr>
                <w:color w:val="000000" w:themeColor="text1"/>
                <w:sz w:val="16"/>
                <w:szCs w:val="16"/>
              </w:rPr>
              <w:t>2.43)</w:t>
            </w:r>
          </w:p>
        </w:tc>
        <w:tc>
          <w:tcPr>
            <w:tcW w:w="1559" w:type="dxa"/>
          </w:tcPr>
          <w:p w14:paraId="4C66AA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19B43E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2D5BE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Немков, Асямов</w:t>
            </w:r>
          </w:p>
        </w:tc>
        <w:tc>
          <w:tcPr>
            <w:tcW w:w="1580" w:type="dxa"/>
          </w:tcPr>
          <w:p w14:paraId="4CEEA9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3.5.43</w:t>
            </w:r>
          </w:p>
        </w:tc>
        <w:tc>
          <w:tcPr>
            <w:tcW w:w="1539" w:type="dxa"/>
          </w:tcPr>
          <w:p w14:paraId="7AF05B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w:t>
            </w:r>
          </w:p>
        </w:tc>
      </w:tr>
      <w:tr w:rsidR="000F5689" w:rsidRPr="00925F26" w14:paraId="23F46188" w14:textId="77777777">
        <w:tc>
          <w:tcPr>
            <w:tcW w:w="1668" w:type="dxa"/>
          </w:tcPr>
          <w:p w14:paraId="1A2D46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8. 4216</w:t>
            </w:r>
          </w:p>
        </w:tc>
        <w:tc>
          <w:tcPr>
            <w:tcW w:w="1559" w:type="dxa"/>
          </w:tcPr>
          <w:p w14:paraId="55F607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A7CF9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М-34ФРНВ/АМ-35А</w:t>
            </w:r>
          </w:p>
        </w:tc>
        <w:tc>
          <w:tcPr>
            <w:tcW w:w="1559" w:type="dxa"/>
          </w:tcPr>
          <w:p w14:paraId="0770DC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FC59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Тульной, Курбан,</w:t>
            </w:r>
          </w:p>
        </w:tc>
        <w:tc>
          <w:tcPr>
            <w:tcW w:w="1580" w:type="dxa"/>
          </w:tcPr>
          <w:p w14:paraId="2A2775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1.12.40.</w:t>
            </w:r>
          </w:p>
        </w:tc>
        <w:tc>
          <w:tcPr>
            <w:tcW w:w="1539" w:type="dxa"/>
          </w:tcPr>
          <w:p w14:paraId="46C58E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5AD8DF28" w14:textId="77777777">
        <w:tc>
          <w:tcPr>
            <w:tcW w:w="1668" w:type="dxa"/>
          </w:tcPr>
          <w:p w14:paraId="714E51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9. 4217</w:t>
            </w:r>
          </w:p>
        </w:tc>
        <w:tc>
          <w:tcPr>
            <w:tcW w:w="1559" w:type="dxa"/>
          </w:tcPr>
          <w:p w14:paraId="649F7D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59173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481154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29.10.41</w:t>
            </w:r>
          </w:p>
        </w:tc>
        <w:tc>
          <w:tcPr>
            <w:tcW w:w="1701" w:type="dxa"/>
          </w:tcPr>
          <w:p w14:paraId="5BDAF9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Лавровский, Угрюмов</w:t>
            </w:r>
          </w:p>
        </w:tc>
        <w:tc>
          <w:tcPr>
            <w:tcW w:w="1580" w:type="dxa"/>
          </w:tcPr>
          <w:p w14:paraId="7AB542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16CD3E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12C4568" w14:textId="77777777">
        <w:tc>
          <w:tcPr>
            <w:tcW w:w="1668" w:type="dxa"/>
          </w:tcPr>
          <w:p w14:paraId="4CF5E2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10. 4218</w:t>
            </w:r>
          </w:p>
        </w:tc>
        <w:tc>
          <w:tcPr>
            <w:tcW w:w="1559" w:type="dxa"/>
          </w:tcPr>
          <w:p w14:paraId="0FF331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с/10</w:t>
            </w:r>
            <w:proofErr w:type="gramStart"/>
            <w:r w:rsidRPr="00925F26">
              <w:rPr>
                <w:color w:val="000000" w:themeColor="text1"/>
                <w:sz w:val="16"/>
                <w:szCs w:val="16"/>
              </w:rPr>
              <w:t>с(</w:t>
            </w:r>
            <w:proofErr w:type="gramEnd"/>
            <w:r w:rsidRPr="00925F26">
              <w:rPr>
                <w:color w:val="000000" w:themeColor="text1"/>
                <w:sz w:val="16"/>
                <w:szCs w:val="16"/>
              </w:rPr>
              <w:t>5.43)</w:t>
            </w:r>
          </w:p>
        </w:tc>
        <w:tc>
          <w:tcPr>
            <w:tcW w:w="1559" w:type="dxa"/>
          </w:tcPr>
          <w:p w14:paraId="7FBB9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59CA3E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EDC2E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Дмитриев</w:t>
            </w:r>
          </w:p>
        </w:tc>
        <w:tc>
          <w:tcPr>
            <w:tcW w:w="1580" w:type="dxa"/>
          </w:tcPr>
          <w:p w14:paraId="200078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4D145C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DE82684" w14:textId="77777777">
        <w:tc>
          <w:tcPr>
            <w:tcW w:w="1668" w:type="dxa"/>
          </w:tcPr>
          <w:p w14:paraId="3A6F6A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11.4219</w:t>
            </w:r>
          </w:p>
        </w:tc>
        <w:tc>
          <w:tcPr>
            <w:tcW w:w="1559" w:type="dxa"/>
          </w:tcPr>
          <w:p w14:paraId="5F47CC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6072D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3075F9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8FFE6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Пахомчик</w:t>
            </w:r>
          </w:p>
        </w:tc>
        <w:tc>
          <w:tcPr>
            <w:tcW w:w="1580" w:type="dxa"/>
          </w:tcPr>
          <w:p w14:paraId="4C4664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22 6 41</w:t>
            </w:r>
          </w:p>
        </w:tc>
        <w:tc>
          <w:tcPr>
            <w:tcW w:w="1539" w:type="dxa"/>
          </w:tcPr>
          <w:p w14:paraId="438199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ПЗ</w:t>
            </w:r>
          </w:p>
        </w:tc>
      </w:tr>
      <w:tr w:rsidR="000F5689" w:rsidRPr="00925F26" w14:paraId="787ED437" w14:textId="77777777">
        <w:tc>
          <w:tcPr>
            <w:tcW w:w="1668" w:type="dxa"/>
          </w:tcPr>
          <w:p w14:paraId="2E1A85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12. 4220</w:t>
            </w:r>
          </w:p>
        </w:tc>
        <w:tc>
          <w:tcPr>
            <w:tcW w:w="1559" w:type="dxa"/>
          </w:tcPr>
          <w:p w14:paraId="4A6FEB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42B1AB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3501F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28332D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Макаренко</w:t>
            </w:r>
          </w:p>
        </w:tc>
        <w:tc>
          <w:tcPr>
            <w:tcW w:w="1580" w:type="dxa"/>
          </w:tcPr>
          <w:p w14:paraId="4E5AC1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22.6.41</w:t>
            </w:r>
          </w:p>
        </w:tc>
        <w:tc>
          <w:tcPr>
            <w:tcW w:w="1539" w:type="dxa"/>
          </w:tcPr>
          <w:p w14:paraId="0AB90E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ПЗ</w:t>
            </w:r>
          </w:p>
        </w:tc>
      </w:tr>
      <w:tr w:rsidR="000F5689" w:rsidRPr="00925F26" w14:paraId="0B3948AD" w14:textId="77777777">
        <w:tc>
          <w:tcPr>
            <w:tcW w:w="1668" w:type="dxa"/>
          </w:tcPr>
          <w:p w14:paraId="34A049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13. 4221</w:t>
            </w:r>
          </w:p>
        </w:tc>
        <w:tc>
          <w:tcPr>
            <w:tcW w:w="1559" w:type="dxa"/>
          </w:tcPr>
          <w:p w14:paraId="043749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w:t>
            </w:r>
          </w:p>
        </w:tc>
        <w:tc>
          <w:tcPr>
            <w:tcW w:w="1559" w:type="dxa"/>
          </w:tcPr>
          <w:p w14:paraId="581A73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АМ-35/АМ-35А/АШ-82</w:t>
            </w:r>
          </w:p>
        </w:tc>
        <w:tc>
          <w:tcPr>
            <w:tcW w:w="1559" w:type="dxa"/>
          </w:tcPr>
          <w:p w14:paraId="09D5FC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5.10.40</w:t>
            </w:r>
          </w:p>
        </w:tc>
        <w:tc>
          <w:tcPr>
            <w:tcW w:w="1701" w:type="dxa"/>
          </w:tcPr>
          <w:p w14:paraId="714BB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Лисачев</w:t>
            </w:r>
          </w:p>
        </w:tc>
        <w:tc>
          <w:tcPr>
            <w:tcW w:w="1580" w:type="dxa"/>
          </w:tcPr>
          <w:p w14:paraId="7FD8B8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382C014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CE6103A" w14:textId="77777777">
        <w:tc>
          <w:tcPr>
            <w:tcW w:w="1668" w:type="dxa"/>
          </w:tcPr>
          <w:p w14:paraId="2FA5C6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14.4222</w:t>
            </w:r>
          </w:p>
        </w:tc>
        <w:tc>
          <w:tcPr>
            <w:tcW w:w="1559" w:type="dxa"/>
          </w:tcPr>
          <w:p w14:paraId="05BB0D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3F0C5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АМ-35/АМ-35А</w:t>
            </w:r>
          </w:p>
        </w:tc>
        <w:tc>
          <w:tcPr>
            <w:tcW w:w="1559" w:type="dxa"/>
          </w:tcPr>
          <w:p w14:paraId="76E028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107137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Федоренко+</w:t>
            </w:r>
          </w:p>
        </w:tc>
        <w:tc>
          <w:tcPr>
            <w:tcW w:w="1580" w:type="dxa"/>
          </w:tcPr>
          <w:p w14:paraId="6263B5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18.10.41</w:t>
            </w:r>
          </w:p>
        </w:tc>
        <w:tc>
          <w:tcPr>
            <w:tcW w:w="1539" w:type="dxa"/>
          </w:tcPr>
          <w:p w14:paraId="26288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70417580" w14:textId="77777777">
        <w:tc>
          <w:tcPr>
            <w:tcW w:w="1668" w:type="dxa"/>
          </w:tcPr>
          <w:p w14:paraId="21097F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15. 4223</w:t>
            </w:r>
          </w:p>
        </w:tc>
        <w:tc>
          <w:tcPr>
            <w:tcW w:w="1559" w:type="dxa"/>
          </w:tcPr>
          <w:p w14:paraId="04638F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A888F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6400F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14E34B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80" w:type="dxa"/>
          </w:tcPr>
          <w:p w14:paraId="6EE5DC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22.6.41</w:t>
            </w:r>
          </w:p>
        </w:tc>
        <w:tc>
          <w:tcPr>
            <w:tcW w:w="1539" w:type="dxa"/>
          </w:tcPr>
          <w:p w14:paraId="033DAD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ПЗ</w:t>
            </w:r>
          </w:p>
        </w:tc>
      </w:tr>
      <w:tr w:rsidR="000F5689" w:rsidRPr="00925F26" w14:paraId="3EDC1CD1" w14:textId="77777777">
        <w:tc>
          <w:tcPr>
            <w:tcW w:w="1668" w:type="dxa"/>
          </w:tcPr>
          <w:p w14:paraId="1A459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16, 4224</w:t>
            </w:r>
          </w:p>
        </w:tc>
        <w:tc>
          <w:tcPr>
            <w:tcW w:w="1559" w:type="dxa"/>
          </w:tcPr>
          <w:p w14:paraId="7B8436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1A3AC7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5C13E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33F17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Тягунин</w:t>
            </w:r>
          </w:p>
        </w:tc>
        <w:tc>
          <w:tcPr>
            <w:tcW w:w="1580" w:type="dxa"/>
          </w:tcPr>
          <w:p w14:paraId="2680B5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11.10.41</w:t>
            </w:r>
          </w:p>
        </w:tc>
        <w:tc>
          <w:tcPr>
            <w:tcW w:w="1539" w:type="dxa"/>
          </w:tcPr>
          <w:p w14:paraId="32C807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w:t>
            </w:r>
          </w:p>
        </w:tc>
      </w:tr>
      <w:tr w:rsidR="000F5689" w:rsidRPr="00925F26" w14:paraId="272193EB" w14:textId="77777777">
        <w:tc>
          <w:tcPr>
            <w:tcW w:w="1668" w:type="dxa"/>
          </w:tcPr>
          <w:p w14:paraId="1D4A60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17. 4225</w:t>
            </w:r>
          </w:p>
        </w:tc>
        <w:tc>
          <w:tcPr>
            <w:tcW w:w="1559" w:type="dxa"/>
          </w:tcPr>
          <w:p w14:paraId="4951FD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6с/8к</w:t>
            </w:r>
          </w:p>
        </w:tc>
        <w:tc>
          <w:tcPr>
            <w:tcW w:w="1559" w:type="dxa"/>
          </w:tcPr>
          <w:p w14:paraId="697CA9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 АМ-35А</w:t>
            </w:r>
          </w:p>
        </w:tc>
        <w:tc>
          <w:tcPr>
            <w:tcW w:w="1559" w:type="dxa"/>
          </w:tcPr>
          <w:p w14:paraId="6E888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6F25C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Родных</w:t>
            </w:r>
          </w:p>
        </w:tc>
        <w:tc>
          <w:tcPr>
            <w:tcW w:w="1580" w:type="dxa"/>
          </w:tcPr>
          <w:p w14:paraId="1ACBE5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1B264B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F5B66E8" w14:textId="77777777">
        <w:tc>
          <w:tcPr>
            <w:tcW w:w="1668" w:type="dxa"/>
          </w:tcPr>
          <w:p w14:paraId="4E3464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18. 4226</w:t>
            </w:r>
          </w:p>
        </w:tc>
        <w:tc>
          <w:tcPr>
            <w:tcW w:w="1559" w:type="dxa"/>
          </w:tcPr>
          <w:p w14:paraId="4B0643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4A46D7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1AD1FF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54C9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Водопьянов</w:t>
            </w:r>
          </w:p>
        </w:tc>
        <w:tc>
          <w:tcPr>
            <w:tcW w:w="1580" w:type="dxa"/>
          </w:tcPr>
          <w:p w14:paraId="66A8B0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7.11.41</w:t>
            </w:r>
          </w:p>
        </w:tc>
        <w:tc>
          <w:tcPr>
            <w:tcW w:w="1539" w:type="dxa"/>
          </w:tcPr>
          <w:p w14:paraId="7084B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00CB806" w14:textId="77777777">
        <w:tc>
          <w:tcPr>
            <w:tcW w:w="1668" w:type="dxa"/>
          </w:tcPr>
          <w:p w14:paraId="6087A5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19. 4227</w:t>
            </w:r>
          </w:p>
        </w:tc>
        <w:tc>
          <w:tcPr>
            <w:tcW w:w="1559" w:type="dxa"/>
          </w:tcPr>
          <w:p w14:paraId="4EDA7E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F4086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М-30/АМ-35А</w:t>
            </w:r>
          </w:p>
        </w:tc>
        <w:tc>
          <w:tcPr>
            <w:tcW w:w="1559" w:type="dxa"/>
          </w:tcPr>
          <w:p w14:paraId="596BFD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20.9.41</w:t>
            </w:r>
          </w:p>
        </w:tc>
        <w:tc>
          <w:tcPr>
            <w:tcW w:w="1701" w:type="dxa"/>
          </w:tcPr>
          <w:p w14:paraId="1EEAE7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Ищенко, Курбан</w:t>
            </w:r>
          </w:p>
        </w:tc>
        <w:tc>
          <w:tcPr>
            <w:tcW w:w="1580" w:type="dxa"/>
          </w:tcPr>
          <w:p w14:paraId="34AF0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10.7.42</w:t>
            </w:r>
          </w:p>
        </w:tc>
        <w:tc>
          <w:tcPr>
            <w:tcW w:w="1539" w:type="dxa"/>
          </w:tcPr>
          <w:p w14:paraId="3991F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w:t>
            </w:r>
          </w:p>
        </w:tc>
      </w:tr>
      <w:tr w:rsidR="000F5689" w:rsidRPr="00925F26" w14:paraId="5DDF2251" w14:textId="77777777">
        <w:tc>
          <w:tcPr>
            <w:tcW w:w="1668" w:type="dxa"/>
          </w:tcPr>
          <w:p w14:paraId="72FC9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20. 42015</w:t>
            </w:r>
          </w:p>
        </w:tc>
        <w:tc>
          <w:tcPr>
            <w:tcW w:w="1559" w:type="dxa"/>
          </w:tcPr>
          <w:p w14:paraId="5F274C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к/-</w:t>
            </w:r>
          </w:p>
        </w:tc>
        <w:tc>
          <w:tcPr>
            <w:tcW w:w="1559" w:type="dxa"/>
          </w:tcPr>
          <w:p w14:paraId="019E54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320E97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74D26E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Пономаренко, Алексеев</w:t>
            </w:r>
          </w:p>
        </w:tc>
        <w:tc>
          <w:tcPr>
            <w:tcW w:w="1580" w:type="dxa"/>
          </w:tcPr>
          <w:p w14:paraId="47D9CF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28.10.42</w:t>
            </w:r>
          </w:p>
        </w:tc>
        <w:tc>
          <w:tcPr>
            <w:tcW w:w="1539" w:type="dxa"/>
          </w:tcPr>
          <w:p w14:paraId="09F6D8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 К</w:t>
            </w:r>
          </w:p>
        </w:tc>
      </w:tr>
      <w:tr w:rsidR="000F5689" w:rsidRPr="00925F26" w14:paraId="37FF11FA" w14:textId="77777777">
        <w:tc>
          <w:tcPr>
            <w:tcW w:w="1668" w:type="dxa"/>
          </w:tcPr>
          <w:p w14:paraId="54346F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21.42025</w:t>
            </w:r>
          </w:p>
        </w:tc>
        <w:tc>
          <w:tcPr>
            <w:tcW w:w="1559" w:type="dxa"/>
          </w:tcPr>
          <w:p w14:paraId="7AB932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2с</w:t>
            </w:r>
          </w:p>
        </w:tc>
        <w:tc>
          <w:tcPr>
            <w:tcW w:w="1559" w:type="dxa"/>
          </w:tcPr>
          <w:p w14:paraId="2DDAC5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 М-30</w:t>
            </w:r>
          </w:p>
        </w:tc>
        <w:tc>
          <w:tcPr>
            <w:tcW w:w="1559" w:type="dxa"/>
          </w:tcPr>
          <w:p w14:paraId="3CCB72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640468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Перегудов</w:t>
            </w:r>
          </w:p>
        </w:tc>
        <w:tc>
          <w:tcPr>
            <w:tcW w:w="1580" w:type="dxa"/>
          </w:tcPr>
          <w:p w14:paraId="183757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30.10.41</w:t>
            </w:r>
          </w:p>
        </w:tc>
        <w:tc>
          <w:tcPr>
            <w:tcW w:w="1539" w:type="dxa"/>
          </w:tcPr>
          <w:p w14:paraId="1E36D1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w:t>
            </w:r>
          </w:p>
        </w:tc>
      </w:tr>
      <w:tr w:rsidR="000F5689" w:rsidRPr="00925F26" w14:paraId="5112316D" w14:textId="77777777">
        <w:tc>
          <w:tcPr>
            <w:tcW w:w="1668" w:type="dxa"/>
          </w:tcPr>
          <w:p w14:paraId="4F6182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22.42035</w:t>
            </w:r>
          </w:p>
        </w:tc>
        <w:tc>
          <w:tcPr>
            <w:tcW w:w="1559" w:type="dxa"/>
          </w:tcPr>
          <w:p w14:paraId="6AD3A5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Зс</w:t>
            </w:r>
          </w:p>
        </w:tc>
        <w:tc>
          <w:tcPr>
            <w:tcW w:w="1559" w:type="dxa"/>
          </w:tcPr>
          <w:p w14:paraId="54910A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М-40Ф/АМ-35А</w:t>
            </w:r>
          </w:p>
        </w:tc>
        <w:tc>
          <w:tcPr>
            <w:tcW w:w="1559" w:type="dxa"/>
          </w:tcPr>
          <w:p w14:paraId="5B5374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2BAFE4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Видный, Курбан</w:t>
            </w:r>
          </w:p>
        </w:tc>
        <w:tc>
          <w:tcPr>
            <w:tcW w:w="1580" w:type="dxa"/>
          </w:tcPr>
          <w:p w14:paraId="15EDDD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27.6.42</w:t>
            </w:r>
          </w:p>
        </w:tc>
        <w:tc>
          <w:tcPr>
            <w:tcW w:w="1539" w:type="dxa"/>
          </w:tcPr>
          <w:p w14:paraId="6159E7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ЛС,А</w:t>
            </w:r>
          </w:p>
        </w:tc>
      </w:tr>
      <w:tr w:rsidR="000F5689" w:rsidRPr="00925F26" w14:paraId="3F63195C" w14:textId="77777777">
        <w:tc>
          <w:tcPr>
            <w:tcW w:w="1668" w:type="dxa"/>
          </w:tcPr>
          <w:p w14:paraId="41FEF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23. 42045</w:t>
            </w:r>
          </w:p>
        </w:tc>
        <w:tc>
          <w:tcPr>
            <w:tcW w:w="1559" w:type="dxa"/>
          </w:tcPr>
          <w:p w14:paraId="6C6F5A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5с</w:t>
            </w:r>
          </w:p>
        </w:tc>
        <w:tc>
          <w:tcPr>
            <w:tcW w:w="1559" w:type="dxa"/>
          </w:tcPr>
          <w:p w14:paraId="06E227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c>
          <w:tcPr>
            <w:tcW w:w="1559" w:type="dxa"/>
          </w:tcPr>
          <w:p w14:paraId="2D13BA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68F0BE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Тягунин</w:t>
            </w:r>
          </w:p>
        </w:tc>
        <w:tc>
          <w:tcPr>
            <w:tcW w:w="1580" w:type="dxa"/>
          </w:tcPr>
          <w:p w14:paraId="76CFEC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10.8.41</w:t>
            </w:r>
          </w:p>
        </w:tc>
        <w:tc>
          <w:tcPr>
            <w:tcW w:w="1539" w:type="dxa"/>
          </w:tcPr>
          <w:p w14:paraId="219DD7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34CCF3CC" w14:textId="77777777">
        <w:tc>
          <w:tcPr>
            <w:tcW w:w="1668" w:type="dxa"/>
          </w:tcPr>
          <w:p w14:paraId="57D0AF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24.42055</w:t>
            </w:r>
          </w:p>
        </w:tc>
        <w:tc>
          <w:tcPr>
            <w:tcW w:w="1559" w:type="dxa"/>
          </w:tcPr>
          <w:p w14:paraId="7BF4E2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9с</w:t>
            </w:r>
          </w:p>
        </w:tc>
        <w:tc>
          <w:tcPr>
            <w:tcW w:w="1559" w:type="dxa"/>
          </w:tcPr>
          <w:p w14:paraId="7CA6F2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c>
          <w:tcPr>
            <w:tcW w:w="1559" w:type="dxa"/>
          </w:tcPr>
          <w:p w14:paraId="2BBEC5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5.8.41</w:t>
            </w:r>
          </w:p>
        </w:tc>
        <w:tc>
          <w:tcPr>
            <w:tcW w:w="1701" w:type="dxa"/>
          </w:tcPr>
          <w:p w14:paraId="50BEA1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Угрюмов+</w:t>
            </w:r>
          </w:p>
        </w:tc>
        <w:tc>
          <w:tcPr>
            <w:tcW w:w="1580" w:type="dxa"/>
          </w:tcPr>
          <w:p w14:paraId="3C5116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31.3.42</w:t>
            </w:r>
          </w:p>
        </w:tc>
        <w:tc>
          <w:tcPr>
            <w:tcW w:w="1539" w:type="dxa"/>
          </w:tcPr>
          <w:p w14:paraId="0DD80F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472404E6" w14:textId="77777777">
        <w:tc>
          <w:tcPr>
            <w:tcW w:w="1668" w:type="dxa"/>
          </w:tcPr>
          <w:p w14:paraId="35B196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25. 42016</w:t>
            </w:r>
          </w:p>
        </w:tc>
        <w:tc>
          <w:tcPr>
            <w:tcW w:w="1559" w:type="dxa"/>
          </w:tcPr>
          <w:p w14:paraId="78F216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1с</w:t>
            </w:r>
          </w:p>
        </w:tc>
        <w:tc>
          <w:tcPr>
            <w:tcW w:w="1559" w:type="dxa"/>
          </w:tcPr>
          <w:p w14:paraId="7A58ED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c>
          <w:tcPr>
            <w:tcW w:w="1559" w:type="dxa"/>
          </w:tcPr>
          <w:p w14:paraId="40A6C6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590DB9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Курбан</w:t>
            </w:r>
          </w:p>
        </w:tc>
        <w:tc>
          <w:tcPr>
            <w:tcW w:w="1580" w:type="dxa"/>
          </w:tcPr>
          <w:p w14:paraId="7E8A1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10.8.41</w:t>
            </w:r>
          </w:p>
        </w:tc>
        <w:tc>
          <w:tcPr>
            <w:tcW w:w="1539" w:type="dxa"/>
          </w:tcPr>
          <w:p w14:paraId="12EA71FF"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ЗА,ВП</w:t>
            </w:r>
            <w:proofErr w:type="gramEnd"/>
          </w:p>
        </w:tc>
      </w:tr>
      <w:tr w:rsidR="000F5689" w:rsidRPr="00925F26" w14:paraId="7306B055" w14:textId="77777777">
        <w:tc>
          <w:tcPr>
            <w:tcW w:w="1668" w:type="dxa"/>
          </w:tcPr>
          <w:p w14:paraId="4BDCCD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26.42026</w:t>
            </w:r>
          </w:p>
        </w:tc>
        <w:tc>
          <w:tcPr>
            <w:tcW w:w="1559" w:type="dxa"/>
          </w:tcPr>
          <w:p w14:paraId="70C11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3AB05C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c>
          <w:tcPr>
            <w:tcW w:w="1559" w:type="dxa"/>
          </w:tcPr>
          <w:p w14:paraId="1AD884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7F571D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Панфилов+</w:t>
            </w:r>
          </w:p>
        </w:tc>
        <w:tc>
          <w:tcPr>
            <w:tcW w:w="1580" w:type="dxa"/>
          </w:tcPr>
          <w:p w14:paraId="4C18D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10.8.41</w:t>
            </w:r>
          </w:p>
        </w:tc>
        <w:tc>
          <w:tcPr>
            <w:tcW w:w="1539" w:type="dxa"/>
          </w:tcPr>
          <w:p w14:paraId="6FE9A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74CE5DBC" w14:textId="77777777">
        <w:tc>
          <w:tcPr>
            <w:tcW w:w="1668" w:type="dxa"/>
          </w:tcPr>
          <w:p w14:paraId="62A79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27.42036</w:t>
            </w:r>
          </w:p>
        </w:tc>
        <w:tc>
          <w:tcPr>
            <w:tcW w:w="1559" w:type="dxa"/>
          </w:tcPr>
          <w:p w14:paraId="526076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8с</w:t>
            </w:r>
          </w:p>
        </w:tc>
        <w:tc>
          <w:tcPr>
            <w:tcW w:w="1559" w:type="dxa"/>
          </w:tcPr>
          <w:p w14:paraId="59A10B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c>
          <w:tcPr>
            <w:tcW w:w="1559" w:type="dxa"/>
          </w:tcPr>
          <w:p w14:paraId="1235F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AD2B8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Водопьянов</w:t>
            </w:r>
          </w:p>
        </w:tc>
        <w:tc>
          <w:tcPr>
            <w:tcW w:w="1580" w:type="dxa"/>
          </w:tcPr>
          <w:p w14:paraId="40F524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11.8.41</w:t>
            </w:r>
          </w:p>
        </w:tc>
        <w:tc>
          <w:tcPr>
            <w:tcW w:w="1539" w:type="dxa"/>
          </w:tcPr>
          <w:p w14:paraId="177815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w:t>
            </w:r>
          </w:p>
        </w:tc>
      </w:tr>
      <w:tr w:rsidR="000F5689" w:rsidRPr="00925F26" w14:paraId="19204515" w14:textId="77777777">
        <w:tc>
          <w:tcPr>
            <w:tcW w:w="1668" w:type="dxa"/>
          </w:tcPr>
          <w:p w14:paraId="2BEEE6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28.42046</w:t>
            </w:r>
          </w:p>
        </w:tc>
        <w:tc>
          <w:tcPr>
            <w:tcW w:w="1559" w:type="dxa"/>
          </w:tcPr>
          <w:p w14:paraId="0710FA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7с</w:t>
            </w:r>
          </w:p>
        </w:tc>
        <w:tc>
          <w:tcPr>
            <w:tcW w:w="1559" w:type="dxa"/>
          </w:tcPr>
          <w:p w14:paraId="31767E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М-40Ф</w:t>
            </w:r>
          </w:p>
        </w:tc>
        <w:tc>
          <w:tcPr>
            <w:tcW w:w="1559" w:type="dxa"/>
          </w:tcPr>
          <w:p w14:paraId="29D1AE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6C29D1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Егоров+</w:t>
            </w:r>
          </w:p>
        </w:tc>
        <w:tc>
          <w:tcPr>
            <w:tcW w:w="1580" w:type="dxa"/>
          </w:tcPr>
          <w:p w14:paraId="1B613A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10.8.41</w:t>
            </w:r>
          </w:p>
        </w:tc>
        <w:tc>
          <w:tcPr>
            <w:tcW w:w="1539" w:type="dxa"/>
          </w:tcPr>
          <w:p w14:paraId="7BFFA315"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Т,К</w:t>
            </w:r>
            <w:proofErr w:type="gramEnd"/>
          </w:p>
        </w:tc>
      </w:tr>
      <w:tr w:rsidR="000F5689" w:rsidRPr="00925F26" w14:paraId="7425F413" w14:textId="77777777">
        <w:tc>
          <w:tcPr>
            <w:tcW w:w="1668" w:type="dxa"/>
          </w:tcPr>
          <w:p w14:paraId="0606F2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29. 42056</w:t>
            </w:r>
          </w:p>
        </w:tc>
        <w:tc>
          <w:tcPr>
            <w:tcW w:w="1559" w:type="dxa"/>
          </w:tcPr>
          <w:p w14:paraId="53865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62F1F7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w:t>
            </w:r>
          </w:p>
        </w:tc>
        <w:tc>
          <w:tcPr>
            <w:tcW w:w="1559" w:type="dxa"/>
          </w:tcPr>
          <w:p w14:paraId="77A7BC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78E527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80" w:type="dxa"/>
          </w:tcPr>
          <w:p w14:paraId="0A2CB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7180C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45E0638" w14:textId="77777777">
        <w:tc>
          <w:tcPr>
            <w:tcW w:w="1668" w:type="dxa"/>
          </w:tcPr>
          <w:p w14:paraId="6F1173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30.42066</w:t>
            </w:r>
          </w:p>
        </w:tc>
        <w:tc>
          <w:tcPr>
            <w:tcW w:w="1559" w:type="dxa"/>
          </w:tcPr>
          <w:p w14:paraId="0B94D6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к</w:t>
            </w:r>
          </w:p>
        </w:tc>
        <w:tc>
          <w:tcPr>
            <w:tcW w:w="1559" w:type="dxa"/>
          </w:tcPr>
          <w:p w14:paraId="67F94B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М-30/АМ-35А</w:t>
            </w:r>
          </w:p>
        </w:tc>
        <w:tc>
          <w:tcPr>
            <w:tcW w:w="1559" w:type="dxa"/>
          </w:tcPr>
          <w:p w14:paraId="61D535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4B7BB7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Пусэп, Зеленский</w:t>
            </w:r>
          </w:p>
        </w:tc>
        <w:tc>
          <w:tcPr>
            <w:tcW w:w="1580" w:type="dxa"/>
          </w:tcPr>
          <w:p w14:paraId="642B5A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17.10.43</w:t>
            </w:r>
          </w:p>
        </w:tc>
        <w:tc>
          <w:tcPr>
            <w:tcW w:w="1539" w:type="dxa"/>
          </w:tcPr>
          <w:p w14:paraId="6E2F37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w:t>
            </w:r>
          </w:p>
        </w:tc>
      </w:tr>
      <w:tr w:rsidR="000F5689" w:rsidRPr="00925F26" w14:paraId="4DA4EE41" w14:textId="77777777">
        <w:tc>
          <w:tcPr>
            <w:tcW w:w="1668" w:type="dxa"/>
          </w:tcPr>
          <w:p w14:paraId="462158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31.42076</w:t>
            </w:r>
          </w:p>
        </w:tc>
        <w:tc>
          <w:tcPr>
            <w:tcW w:w="1559" w:type="dxa"/>
          </w:tcPr>
          <w:p w14:paraId="0854BA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-/Зк</w:t>
            </w:r>
          </w:p>
        </w:tc>
        <w:tc>
          <w:tcPr>
            <w:tcW w:w="1559" w:type="dxa"/>
          </w:tcPr>
          <w:p w14:paraId="357EA5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М-30/АМ-35А</w:t>
            </w:r>
          </w:p>
        </w:tc>
        <w:tc>
          <w:tcPr>
            <w:tcW w:w="1559" w:type="dxa"/>
          </w:tcPr>
          <w:p w14:paraId="56949B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21.10.41</w:t>
            </w:r>
          </w:p>
        </w:tc>
        <w:tc>
          <w:tcPr>
            <w:tcW w:w="1701" w:type="dxa"/>
          </w:tcPr>
          <w:p w14:paraId="1E29CE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Макаренко, Адамов</w:t>
            </w:r>
          </w:p>
        </w:tc>
        <w:tc>
          <w:tcPr>
            <w:tcW w:w="1580" w:type="dxa"/>
          </w:tcPr>
          <w:p w14:paraId="44D5AC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5454A0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53B02B2" w14:textId="77777777">
        <w:tc>
          <w:tcPr>
            <w:tcW w:w="1668" w:type="dxa"/>
          </w:tcPr>
          <w:p w14:paraId="4B5512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32.42086</w:t>
            </w:r>
          </w:p>
        </w:tc>
        <w:tc>
          <w:tcPr>
            <w:tcW w:w="1559" w:type="dxa"/>
          </w:tcPr>
          <w:p w14:paraId="19B564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ECAE1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М-30/АМ-35А</w:t>
            </w:r>
          </w:p>
        </w:tc>
        <w:tc>
          <w:tcPr>
            <w:tcW w:w="1559" w:type="dxa"/>
          </w:tcPr>
          <w:p w14:paraId="283A6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64672B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Кирянов</w:t>
            </w:r>
          </w:p>
        </w:tc>
        <w:tc>
          <w:tcPr>
            <w:tcW w:w="1580" w:type="dxa"/>
          </w:tcPr>
          <w:p w14:paraId="64FC5F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24.8.43</w:t>
            </w:r>
          </w:p>
        </w:tc>
        <w:tc>
          <w:tcPr>
            <w:tcW w:w="1539" w:type="dxa"/>
          </w:tcPr>
          <w:p w14:paraId="40D6A3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9D5D71C" w14:textId="77777777">
        <w:tc>
          <w:tcPr>
            <w:tcW w:w="1668" w:type="dxa"/>
          </w:tcPr>
          <w:p w14:paraId="43E324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33. 42096</w:t>
            </w:r>
          </w:p>
        </w:tc>
        <w:tc>
          <w:tcPr>
            <w:tcW w:w="1559" w:type="dxa"/>
          </w:tcPr>
          <w:p w14:paraId="7C0116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0CE8F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М-30/АМ-35А</w:t>
            </w:r>
          </w:p>
        </w:tc>
        <w:tc>
          <w:tcPr>
            <w:tcW w:w="1559" w:type="dxa"/>
          </w:tcPr>
          <w:p w14:paraId="1F70BA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1.11.41</w:t>
            </w:r>
          </w:p>
        </w:tc>
        <w:tc>
          <w:tcPr>
            <w:tcW w:w="1701" w:type="dxa"/>
          </w:tcPr>
          <w:p w14:paraId="42B9C9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Бидный+</w:t>
            </w:r>
          </w:p>
        </w:tc>
        <w:tc>
          <w:tcPr>
            <w:tcW w:w="1580" w:type="dxa"/>
          </w:tcPr>
          <w:p w14:paraId="6C7899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22.8.42</w:t>
            </w:r>
          </w:p>
        </w:tc>
        <w:tc>
          <w:tcPr>
            <w:tcW w:w="1539" w:type="dxa"/>
          </w:tcPr>
          <w:p w14:paraId="69973B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0A31234B" w14:textId="77777777">
        <w:tc>
          <w:tcPr>
            <w:tcW w:w="1668" w:type="dxa"/>
          </w:tcPr>
          <w:p w14:paraId="4BAA43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34.420106</w:t>
            </w:r>
          </w:p>
        </w:tc>
        <w:tc>
          <w:tcPr>
            <w:tcW w:w="1559" w:type="dxa"/>
          </w:tcPr>
          <w:p w14:paraId="5DE8DE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49B629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М-30/АМ-35А</w:t>
            </w:r>
          </w:p>
        </w:tc>
        <w:tc>
          <w:tcPr>
            <w:tcW w:w="1559" w:type="dxa"/>
          </w:tcPr>
          <w:p w14:paraId="6C6E1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55EF35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Видный</w:t>
            </w:r>
          </w:p>
        </w:tc>
        <w:tc>
          <w:tcPr>
            <w:tcW w:w="1580" w:type="dxa"/>
          </w:tcPr>
          <w:p w14:paraId="54F754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21.7.42</w:t>
            </w:r>
          </w:p>
        </w:tc>
        <w:tc>
          <w:tcPr>
            <w:tcW w:w="1539" w:type="dxa"/>
          </w:tcPr>
          <w:p w14:paraId="2F7081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EE06C46" w14:textId="77777777">
        <w:tc>
          <w:tcPr>
            <w:tcW w:w="1668" w:type="dxa"/>
          </w:tcPr>
          <w:p w14:paraId="1A23A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35. 42017</w:t>
            </w:r>
          </w:p>
        </w:tc>
        <w:tc>
          <w:tcPr>
            <w:tcW w:w="1559" w:type="dxa"/>
          </w:tcPr>
          <w:p w14:paraId="656790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10E6F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31CD23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25D187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Егоров+</w:t>
            </w:r>
          </w:p>
        </w:tc>
        <w:tc>
          <w:tcPr>
            <w:tcW w:w="1580" w:type="dxa"/>
          </w:tcPr>
          <w:p w14:paraId="7241DA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3.5.42</w:t>
            </w:r>
          </w:p>
        </w:tc>
        <w:tc>
          <w:tcPr>
            <w:tcW w:w="1539" w:type="dxa"/>
          </w:tcPr>
          <w:p w14:paraId="63578043"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м,к</w:t>
            </w:r>
            <w:proofErr w:type="gramEnd"/>
          </w:p>
        </w:tc>
      </w:tr>
      <w:tr w:rsidR="000F5689" w:rsidRPr="00925F26" w14:paraId="39E6A1CC" w14:textId="77777777">
        <w:tc>
          <w:tcPr>
            <w:tcW w:w="1668" w:type="dxa"/>
          </w:tcPr>
          <w:p w14:paraId="72A67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36.42027</w:t>
            </w:r>
          </w:p>
        </w:tc>
        <w:tc>
          <w:tcPr>
            <w:tcW w:w="1559" w:type="dxa"/>
          </w:tcPr>
          <w:p w14:paraId="77FFD7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к/-</w:t>
            </w:r>
          </w:p>
        </w:tc>
        <w:tc>
          <w:tcPr>
            <w:tcW w:w="1559" w:type="dxa"/>
          </w:tcPr>
          <w:p w14:paraId="2CEEF6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66725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4B5BFF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Масалев</w:t>
            </w:r>
          </w:p>
        </w:tc>
        <w:tc>
          <w:tcPr>
            <w:tcW w:w="1580" w:type="dxa"/>
          </w:tcPr>
          <w:p w14:paraId="235BF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4.9.42</w:t>
            </w:r>
          </w:p>
        </w:tc>
        <w:tc>
          <w:tcPr>
            <w:tcW w:w="1539" w:type="dxa"/>
          </w:tcPr>
          <w:p w14:paraId="1ACCB273"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т,к</w:t>
            </w:r>
            <w:proofErr w:type="gramEnd"/>
          </w:p>
        </w:tc>
      </w:tr>
      <w:tr w:rsidR="000F5689" w:rsidRPr="00925F26" w14:paraId="6E5B6FAB" w14:textId="77777777">
        <w:tc>
          <w:tcPr>
            <w:tcW w:w="1668" w:type="dxa"/>
          </w:tcPr>
          <w:p w14:paraId="5FD9D5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37. 42037</w:t>
            </w:r>
          </w:p>
        </w:tc>
        <w:tc>
          <w:tcPr>
            <w:tcW w:w="1559" w:type="dxa"/>
          </w:tcPr>
          <w:p w14:paraId="42E205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w:t>
            </w:r>
          </w:p>
        </w:tc>
        <w:tc>
          <w:tcPr>
            <w:tcW w:w="1559" w:type="dxa"/>
          </w:tcPr>
          <w:p w14:paraId="73F7B8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01807B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91B5D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Сукоркин, Родных</w:t>
            </w:r>
          </w:p>
        </w:tc>
        <w:tc>
          <w:tcPr>
            <w:tcW w:w="1580" w:type="dxa"/>
          </w:tcPr>
          <w:p w14:paraId="69E241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13.5.43</w:t>
            </w:r>
          </w:p>
        </w:tc>
        <w:tc>
          <w:tcPr>
            <w:tcW w:w="1539" w:type="dxa"/>
          </w:tcPr>
          <w:p w14:paraId="27E74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08E48EAE" w14:textId="77777777">
        <w:tc>
          <w:tcPr>
            <w:tcW w:w="1668" w:type="dxa"/>
          </w:tcPr>
          <w:p w14:paraId="44D7F0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38. 42047</w:t>
            </w:r>
          </w:p>
        </w:tc>
        <w:tc>
          <w:tcPr>
            <w:tcW w:w="1559" w:type="dxa"/>
          </w:tcPr>
          <w:p w14:paraId="2B28A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опытный</w:t>
            </w:r>
          </w:p>
        </w:tc>
        <w:tc>
          <w:tcPr>
            <w:tcW w:w="1559" w:type="dxa"/>
          </w:tcPr>
          <w:p w14:paraId="52B2AA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М-82</w:t>
            </w:r>
          </w:p>
        </w:tc>
        <w:tc>
          <w:tcPr>
            <w:tcW w:w="1559" w:type="dxa"/>
          </w:tcPr>
          <w:p w14:paraId="2B3ACF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A3E7C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80" w:type="dxa"/>
          </w:tcPr>
          <w:p w14:paraId="1A442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4335FA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67EC9B0" w14:textId="77777777">
        <w:tc>
          <w:tcPr>
            <w:tcW w:w="1668" w:type="dxa"/>
          </w:tcPr>
          <w:p w14:paraId="43425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39. 42057</w:t>
            </w:r>
          </w:p>
        </w:tc>
        <w:tc>
          <w:tcPr>
            <w:tcW w:w="1559" w:type="dxa"/>
          </w:tcPr>
          <w:p w14:paraId="646078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2к/6к (3.43)</w:t>
            </w:r>
          </w:p>
        </w:tc>
        <w:tc>
          <w:tcPr>
            <w:tcW w:w="1559" w:type="dxa"/>
          </w:tcPr>
          <w:p w14:paraId="63F438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2B2B63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A8F48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Додонов, Ищенко</w:t>
            </w:r>
          </w:p>
        </w:tc>
        <w:tc>
          <w:tcPr>
            <w:tcW w:w="1580" w:type="dxa"/>
          </w:tcPr>
          <w:p w14:paraId="25DDBB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465FDB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55E9B0B" w14:textId="77777777">
        <w:tc>
          <w:tcPr>
            <w:tcW w:w="1668" w:type="dxa"/>
          </w:tcPr>
          <w:p w14:paraId="290C5C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40.42067</w:t>
            </w:r>
          </w:p>
        </w:tc>
        <w:tc>
          <w:tcPr>
            <w:tcW w:w="1559" w:type="dxa"/>
          </w:tcPr>
          <w:p w14:paraId="5A51D6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7к/-</w:t>
            </w:r>
          </w:p>
        </w:tc>
        <w:tc>
          <w:tcPr>
            <w:tcW w:w="1559" w:type="dxa"/>
          </w:tcPr>
          <w:p w14:paraId="108FA0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71048E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22.5.42</w:t>
            </w:r>
          </w:p>
        </w:tc>
        <w:tc>
          <w:tcPr>
            <w:tcW w:w="1701" w:type="dxa"/>
          </w:tcPr>
          <w:p w14:paraId="56E6FB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Обухов</w:t>
            </w:r>
          </w:p>
        </w:tc>
        <w:tc>
          <w:tcPr>
            <w:tcW w:w="1580" w:type="dxa"/>
          </w:tcPr>
          <w:p w14:paraId="763D04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1DEAD7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ED123B3" w14:textId="77777777">
        <w:tc>
          <w:tcPr>
            <w:tcW w:w="1668" w:type="dxa"/>
          </w:tcPr>
          <w:p w14:paraId="296EDC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41.42077</w:t>
            </w:r>
          </w:p>
        </w:tc>
        <w:tc>
          <w:tcPr>
            <w:tcW w:w="1559" w:type="dxa"/>
          </w:tcPr>
          <w:p w14:paraId="1D0442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10к/-</w:t>
            </w:r>
          </w:p>
        </w:tc>
        <w:tc>
          <w:tcPr>
            <w:tcW w:w="1559" w:type="dxa"/>
          </w:tcPr>
          <w:p w14:paraId="476EFB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07AC8A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139DC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Чурилин, Сумцов</w:t>
            </w:r>
          </w:p>
        </w:tc>
        <w:tc>
          <w:tcPr>
            <w:tcW w:w="1580" w:type="dxa"/>
          </w:tcPr>
          <w:p w14:paraId="23CB61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22.10.43</w:t>
            </w:r>
          </w:p>
        </w:tc>
        <w:tc>
          <w:tcPr>
            <w:tcW w:w="1539" w:type="dxa"/>
          </w:tcPr>
          <w:p w14:paraId="4C6376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8D1E4EB" w14:textId="77777777">
        <w:tc>
          <w:tcPr>
            <w:tcW w:w="1668" w:type="dxa"/>
          </w:tcPr>
          <w:p w14:paraId="585353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42.42087</w:t>
            </w:r>
          </w:p>
        </w:tc>
        <w:tc>
          <w:tcPr>
            <w:tcW w:w="1559" w:type="dxa"/>
          </w:tcPr>
          <w:p w14:paraId="0FA44A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с/-</w:t>
            </w:r>
          </w:p>
        </w:tc>
        <w:tc>
          <w:tcPr>
            <w:tcW w:w="1559" w:type="dxa"/>
          </w:tcPr>
          <w:p w14:paraId="2CC7C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07BB2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0F9DE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Шамрай, Илюхин</w:t>
            </w:r>
          </w:p>
        </w:tc>
        <w:tc>
          <w:tcPr>
            <w:tcW w:w="1580" w:type="dxa"/>
          </w:tcPr>
          <w:p w14:paraId="7CE9A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13.3.43</w:t>
            </w:r>
          </w:p>
        </w:tc>
        <w:tc>
          <w:tcPr>
            <w:tcW w:w="1539" w:type="dxa"/>
          </w:tcPr>
          <w:p w14:paraId="2A354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w:t>
            </w:r>
          </w:p>
        </w:tc>
      </w:tr>
      <w:tr w:rsidR="000F5689" w:rsidRPr="00925F26" w14:paraId="385D12C0" w14:textId="77777777">
        <w:tc>
          <w:tcPr>
            <w:tcW w:w="1668" w:type="dxa"/>
          </w:tcPr>
          <w:p w14:paraId="0747E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43.42097</w:t>
            </w:r>
          </w:p>
        </w:tc>
        <w:tc>
          <w:tcPr>
            <w:tcW w:w="1559" w:type="dxa"/>
          </w:tcPr>
          <w:p w14:paraId="6CFD31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9с/4</w:t>
            </w:r>
            <w:proofErr w:type="gramStart"/>
            <w:r w:rsidRPr="00925F26">
              <w:rPr>
                <w:color w:val="000000" w:themeColor="text1"/>
                <w:sz w:val="16"/>
                <w:szCs w:val="16"/>
              </w:rPr>
              <w:t>с(</w:t>
            </w:r>
            <w:proofErr w:type="gramEnd"/>
            <w:r w:rsidRPr="00925F26">
              <w:rPr>
                <w:color w:val="000000" w:themeColor="text1"/>
                <w:sz w:val="16"/>
                <w:szCs w:val="16"/>
              </w:rPr>
              <w:t>7.43)</w:t>
            </w:r>
          </w:p>
        </w:tc>
        <w:tc>
          <w:tcPr>
            <w:tcW w:w="1559" w:type="dxa"/>
          </w:tcPr>
          <w:p w14:paraId="4851C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035324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279AE4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Ермаков</w:t>
            </w:r>
          </w:p>
        </w:tc>
        <w:tc>
          <w:tcPr>
            <w:tcW w:w="1580" w:type="dxa"/>
          </w:tcPr>
          <w:p w14:paraId="7C4F5E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15.9.43</w:t>
            </w:r>
          </w:p>
        </w:tc>
        <w:tc>
          <w:tcPr>
            <w:tcW w:w="1539" w:type="dxa"/>
          </w:tcPr>
          <w:p w14:paraId="0BE3A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0DA291A2" w14:textId="77777777">
        <w:tc>
          <w:tcPr>
            <w:tcW w:w="1668" w:type="dxa"/>
          </w:tcPr>
          <w:p w14:paraId="65A513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44. 42107</w:t>
            </w:r>
          </w:p>
        </w:tc>
        <w:tc>
          <w:tcPr>
            <w:tcW w:w="1559" w:type="dxa"/>
          </w:tcPr>
          <w:p w14:paraId="08E39D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4к/-</w:t>
            </w:r>
          </w:p>
        </w:tc>
        <w:tc>
          <w:tcPr>
            <w:tcW w:w="1559" w:type="dxa"/>
          </w:tcPr>
          <w:p w14:paraId="1F2ED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62D0F7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Ищенко</w:t>
            </w:r>
          </w:p>
        </w:tc>
        <w:tc>
          <w:tcPr>
            <w:tcW w:w="1701" w:type="dxa"/>
          </w:tcPr>
          <w:p w14:paraId="05AD27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Зеленский, Ищенко</w:t>
            </w:r>
          </w:p>
        </w:tc>
        <w:tc>
          <w:tcPr>
            <w:tcW w:w="1580" w:type="dxa"/>
          </w:tcPr>
          <w:p w14:paraId="5ECCBA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9.2.43</w:t>
            </w:r>
          </w:p>
        </w:tc>
        <w:tc>
          <w:tcPr>
            <w:tcW w:w="1539" w:type="dxa"/>
          </w:tcPr>
          <w:p w14:paraId="6F1ED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сбит Як-7</w:t>
            </w:r>
          </w:p>
        </w:tc>
      </w:tr>
      <w:tr w:rsidR="000F5689" w:rsidRPr="00925F26" w14:paraId="3FC12980" w14:textId="77777777">
        <w:tc>
          <w:tcPr>
            <w:tcW w:w="1668" w:type="dxa"/>
          </w:tcPr>
          <w:p w14:paraId="30B9BA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45. 42018</w:t>
            </w:r>
          </w:p>
        </w:tc>
        <w:tc>
          <w:tcPr>
            <w:tcW w:w="1559" w:type="dxa"/>
          </w:tcPr>
          <w:p w14:paraId="6034F2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с/-</w:t>
            </w:r>
          </w:p>
        </w:tc>
        <w:tc>
          <w:tcPr>
            <w:tcW w:w="1559" w:type="dxa"/>
          </w:tcPr>
          <w:p w14:paraId="6A37D5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7B1354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Ищенко</w:t>
            </w:r>
          </w:p>
        </w:tc>
        <w:tc>
          <w:tcPr>
            <w:tcW w:w="1701" w:type="dxa"/>
          </w:tcPr>
          <w:p w14:paraId="2F9014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Кубышко</w:t>
            </w:r>
          </w:p>
        </w:tc>
        <w:tc>
          <w:tcPr>
            <w:tcW w:w="1580" w:type="dxa"/>
          </w:tcPr>
          <w:p w14:paraId="457875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30.8.42</w:t>
            </w:r>
          </w:p>
        </w:tc>
        <w:tc>
          <w:tcPr>
            <w:tcW w:w="1539" w:type="dxa"/>
          </w:tcPr>
          <w:p w14:paraId="394FA6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w:t>
            </w:r>
          </w:p>
        </w:tc>
      </w:tr>
      <w:tr w:rsidR="000F5689" w:rsidRPr="00925F26" w14:paraId="52977942" w14:textId="77777777">
        <w:tc>
          <w:tcPr>
            <w:tcW w:w="1668" w:type="dxa"/>
          </w:tcPr>
          <w:p w14:paraId="7061FC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46.42028</w:t>
            </w:r>
          </w:p>
        </w:tc>
        <w:tc>
          <w:tcPr>
            <w:tcW w:w="1559" w:type="dxa"/>
          </w:tcPr>
          <w:p w14:paraId="7A2839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9к/5к</w:t>
            </w:r>
          </w:p>
        </w:tc>
        <w:tc>
          <w:tcPr>
            <w:tcW w:w="1559" w:type="dxa"/>
          </w:tcPr>
          <w:p w14:paraId="743CEC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6056E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Ищенко</w:t>
            </w:r>
          </w:p>
        </w:tc>
        <w:tc>
          <w:tcPr>
            <w:tcW w:w="1701" w:type="dxa"/>
          </w:tcPr>
          <w:p w14:paraId="023AD4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Сугак, Симонов</w:t>
            </w:r>
          </w:p>
        </w:tc>
        <w:tc>
          <w:tcPr>
            <w:tcW w:w="1580" w:type="dxa"/>
          </w:tcPr>
          <w:p w14:paraId="25EBC0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27.7.44</w:t>
            </w:r>
          </w:p>
        </w:tc>
        <w:tc>
          <w:tcPr>
            <w:tcW w:w="1539" w:type="dxa"/>
          </w:tcPr>
          <w:p w14:paraId="603E56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479FED56" w14:textId="77777777">
        <w:tc>
          <w:tcPr>
            <w:tcW w:w="1668" w:type="dxa"/>
          </w:tcPr>
          <w:p w14:paraId="1813C76C"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49D64A08"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3CE2FFE8"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6B802971"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2EC2BC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Хорошилов</w:t>
            </w:r>
          </w:p>
        </w:tc>
        <w:tc>
          <w:tcPr>
            <w:tcW w:w="1580" w:type="dxa"/>
          </w:tcPr>
          <w:p w14:paraId="7FD1DBE9" w14:textId="77777777" w:rsidR="00665165" w:rsidRPr="00925F26" w:rsidRDefault="00665165" w:rsidP="00925F26">
            <w:pPr>
              <w:autoSpaceDE w:val="0"/>
              <w:autoSpaceDN w:val="0"/>
              <w:adjustRightInd w:val="0"/>
              <w:jc w:val="both"/>
              <w:rPr>
                <w:color w:val="000000" w:themeColor="text1"/>
                <w:sz w:val="16"/>
                <w:szCs w:val="16"/>
              </w:rPr>
            </w:pPr>
          </w:p>
        </w:tc>
        <w:tc>
          <w:tcPr>
            <w:tcW w:w="1539" w:type="dxa"/>
          </w:tcPr>
          <w:p w14:paraId="30EE78E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98C150C" w14:textId="77777777">
        <w:tc>
          <w:tcPr>
            <w:tcW w:w="1668" w:type="dxa"/>
          </w:tcPr>
          <w:p w14:paraId="5D60C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47 42038</w:t>
            </w:r>
          </w:p>
        </w:tc>
        <w:tc>
          <w:tcPr>
            <w:tcW w:w="1559" w:type="dxa"/>
          </w:tcPr>
          <w:p w14:paraId="658EE5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11к/-</w:t>
            </w:r>
          </w:p>
        </w:tc>
        <w:tc>
          <w:tcPr>
            <w:tcW w:w="1559" w:type="dxa"/>
          </w:tcPr>
          <w:p w14:paraId="3619C8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М-ЗОБ</w:t>
            </w:r>
          </w:p>
        </w:tc>
        <w:tc>
          <w:tcPr>
            <w:tcW w:w="1559" w:type="dxa"/>
          </w:tcPr>
          <w:p w14:paraId="162C67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Ищенко</w:t>
            </w:r>
          </w:p>
        </w:tc>
        <w:tc>
          <w:tcPr>
            <w:tcW w:w="1701" w:type="dxa"/>
          </w:tcPr>
          <w:p w14:paraId="409902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Лисачев</w:t>
            </w:r>
          </w:p>
        </w:tc>
        <w:tc>
          <w:tcPr>
            <w:tcW w:w="1580" w:type="dxa"/>
          </w:tcPr>
          <w:p w14:paraId="48F7D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39" w:type="dxa"/>
          </w:tcPr>
          <w:p w14:paraId="67AD2C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C6E6056" w14:textId="77777777">
        <w:tc>
          <w:tcPr>
            <w:tcW w:w="1668" w:type="dxa"/>
          </w:tcPr>
          <w:p w14:paraId="0E1053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48.42048</w:t>
            </w:r>
          </w:p>
        </w:tc>
        <w:tc>
          <w:tcPr>
            <w:tcW w:w="1559" w:type="dxa"/>
          </w:tcPr>
          <w:p w14:paraId="23684B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roofErr w:type="gramStart"/>
            <w:r w:rsidRPr="00925F26">
              <w:rPr>
                <w:color w:val="000000" w:themeColor="text1"/>
                <w:sz w:val="16"/>
                <w:szCs w:val="16"/>
              </w:rPr>
              <w:t>с(</w:t>
            </w:r>
            <w:proofErr w:type="gramEnd"/>
            <w:r w:rsidRPr="00925F26">
              <w:rPr>
                <w:color w:val="000000" w:themeColor="text1"/>
                <w:sz w:val="16"/>
                <w:szCs w:val="16"/>
              </w:rPr>
              <w:t>16.4.43)</w:t>
            </w:r>
          </w:p>
        </w:tc>
        <w:tc>
          <w:tcPr>
            <w:tcW w:w="1559" w:type="dxa"/>
          </w:tcPr>
          <w:p w14:paraId="732EEE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6A7C9D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18.8.42</w:t>
            </w:r>
          </w:p>
        </w:tc>
        <w:tc>
          <w:tcPr>
            <w:tcW w:w="1701" w:type="dxa"/>
          </w:tcPr>
          <w:p w14:paraId="49A913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Сушин, Пусэп</w:t>
            </w:r>
          </w:p>
        </w:tc>
        <w:tc>
          <w:tcPr>
            <w:tcW w:w="1580" w:type="dxa"/>
          </w:tcPr>
          <w:p w14:paraId="765B8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10.6.43</w:t>
            </w:r>
          </w:p>
        </w:tc>
        <w:tc>
          <w:tcPr>
            <w:tcW w:w="1539" w:type="dxa"/>
          </w:tcPr>
          <w:p w14:paraId="305EB5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166D39B9" w14:textId="77777777">
        <w:tc>
          <w:tcPr>
            <w:tcW w:w="1668" w:type="dxa"/>
          </w:tcPr>
          <w:p w14:paraId="71728C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49. 42058</w:t>
            </w:r>
          </w:p>
        </w:tc>
        <w:tc>
          <w:tcPr>
            <w:tcW w:w="1559" w:type="dxa"/>
          </w:tcPr>
          <w:p w14:paraId="52913C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14к/-</w:t>
            </w:r>
          </w:p>
        </w:tc>
        <w:tc>
          <w:tcPr>
            <w:tcW w:w="1559" w:type="dxa"/>
          </w:tcPr>
          <w:p w14:paraId="28C5A1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0C498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31.1.43</w:t>
            </w:r>
          </w:p>
        </w:tc>
        <w:tc>
          <w:tcPr>
            <w:tcW w:w="1701" w:type="dxa"/>
          </w:tcPr>
          <w:p w14:paraId="5129D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Пономаренко, Водопьянов</w:t>
            </w:r>
          </w:p>
        </w:tc>
        <w:tc>
          <w:tcPr>
            <w:tcW w:w="1580" w:type="dxa"/>
          </w:tcPr>
          <w:p w14:paraId="4DB666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20.7.43</w:t>
            </w:r>
          </w:p>
        </w:tc>
        <w:tc>
          <w:tcPr>
            <w:tcW w:w="1539" w:type="dxa"/>
          </w:tcPr>
          <w:p w14:paraId="69986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1EEBA3E5" w14:textId="77777777">
        <w:tc>
          <w:tcPr>
            <w:tcW w:w="1668" w:type="dxa"/>
          </w:tcPr>
          <w:p w14:paraId="774C3C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50. 42068</w:t>
            </w:r>
          </w:p>
        </w:tc>
        <w:tc>
          <w:tcPr>
            <w:tcW w:w="1559" w:type="dxa"/>
          </w:tcPr>
          <w:p w14:paraId="42BFD9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50F1B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3F8E2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4B24E8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Пахомчик</w:t>
            </w:r>
          </w:p>
        </w:tc>
        <w:tc>
          <w:tcPr>
            <w:tcW w:w="1580" w:type="dxa"/>
          </w:tcPr>
          <w:p w14:paraId="61EC5E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1.12.42</w:t>
            </w:r>
          </w:p>
        </w:tc>
        <w:tc>
          <w:tcPr>
            <w:tcW w:w="1539" w:type="dxa"/>
          </w:tcPr>
          <w:p w14:paraId="43FB68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010EAA4F" w14:textId="77777777">
        <w:tc>
          <w:tcPr>
            <w:tcW w:w="1668" w:type="dxa"/>
          </w:tcPr>
          <w:p w14:paraId="50FB43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51.42078</w:t>
            </w:r>
          </w:p>
        </w:tc>
        <w:tc>
          <w:tcPr>
            <w:tcW w:w="1559" w:type="dxa"/>
          </w:tcPr>
          <w:p w14:paraId="524694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6с/-</w:t>
            </w:r>
          </w:p>
        </w:tc>
        <w:tc>
          <w:tcPr>
            <w:tcW w:w="1559" w:type="dxa"/>
          </w:tcPr>
          <w:p w14:paraId="78AD2E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26DAB1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6.11.42</w:t>
            </w:r>
          </w:p>
        </w:tc>
        <w:tc>
          <w:tcPr>
            <w:tcW w:w="1701" w:type="dxa"/>
          </w:tcPr>
          <w:p w14:paraId="2EE444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Олейников, Марусиченю</w:t>
            </w:r>
          </w:p>
        </w:tc>
        <w:tc>
          <w:tcPr>
            <w:tcW w:w="1580" w:type="dxa"/>
          </w:tcPr>
          <w:p w14:paraId="062922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4.5.44</w:t>
            </w:r>
          </w:p>
        </w:tc>
        <w:tc>
          <w:tcPr>
            <w:tcW w:w="1539" w:type="dxa"/>
          </w:tcPr>
          <w:p w14:paraId="732C2E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2A43D1F2" w14:textId="77777777">
        <w:tc>
          <w:tcPr>
            <w:tcW w:w="1668" w:type="dxa"/>
          </w:tcPr>
          <w:p w14:paraId="2AA83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52. 42088</w:t>
            </w:r>
          </w:p>
        </w:tc>
        <w:tc>
          <w:tcPr>
            <w:tcW w:w="1559" w:type="dxa"/>
          </w:tcPr>
          <w:p w14:paraId="12C1CB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4к/-</w:t>
            </w:r>
          </w:p>
        </w:tc>
        <w:tc>
          <w:tcPr>
            <w:tcW w:w="1559" w:type="dxa"/>
          </w:tcPr>
          <w:p w14:paraId="2FABB3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690DAB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1.12.42</w:t>
            </w:r>
          </w:p>
        </w:tc>
        <w:tc>
          <w:tcPr>
            <w:tcW w:w="1701" w:type="dxa"/>
          </w:tcPr>
          <w:p w14:paraId="4C6BD2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Перегудов, Сугак</w:t>
            </w:r>
          </w:p>
        </w:tc>
        <w:tc>
          <w:tcPr>
            <w:tcW w:w="1580" w:type="dxa"/>
          </w:tcPr>
          <w:p w14:paraId="5F7BD8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28.7.44</w:t>
            </w:r>
          </w:p>
        </w:tc>
        <w:tc>
          <w:tcPr>
            <w:tcW w:w="1539" w:type="dxa"/>
          </w:tcPr>
          <w:p w14:paraId="2D3376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182FBF35" w14:textId="77777777">
        <w:tc>
          <w:tcPr>
            <w:tcW w:w="1668" w:type="dxa"/>
          </w:tcPr>
          <w:p w14:paraId="06D9FD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53. 42098</w:t>
            </w:r>
          </w:p>
        </w:tc>
        <w:tc>
          <w:tcPr>
            <w:tcW w:w="1559" w:type="dxa"/>
          </w:tcPr>
          <w:p w14:paraId="73ECF6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w:t>
            </w:r>
            <w:proofErr w:type="gramStart"/>
            <w:r w:rsidRPr="00925F26">
              <w:rPr>
                <w:color w:val="000000" w:themeColor="text1"/>
                <w:sz w:val="16"/>
                <w:szCs w:val="16"/>
              </w:rPr>
              <w:t>с(</w:t>
            </w:r>
            <w:proofErr w:type="gramEnd"/>
            <w:r w:rsidRPr="00925F26">
              <w:rPr>
                <w:color w:val="000000" w:themeColor="text1"/>
                <w:sz w:val="16"/>
                <w:szCs w:val="16"/>
              </w:rPr>
              <w:t>3.43)/-</w:t>
            </w:r>
          </w:p>
        </w:tc>
        <w:tc>
          <w:tcPr>
            <w:tcW w:w="1559" w:type="dxa"/>
          </w:tcPr>
          <w:p w14:paraId="64A756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Pr>
          <w:p w14:paraId="02A356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4F3CE9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Сушин, Кокорев</w:t>
            </w:r>
          </w:p>
        </w:tc>
        <w:tc>
          <w:tcPr>
            <w:tcW w:w="1580" w:type="dxa"/>
          </w:tcPr>
          <w:p w14:paraId="6EDD1B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30.3.44</w:t>
            </w:r>
          </w:p>
        </w:tc>
        <w:tc>
          <w:tcPr>
            <w:tcW w:w="1539" w:type="dxa"/>
          </w:tcPr>
          <w:p w14:paraId="337B31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561F31" w:rsidRPr="00925F26" w14:paraId="0897DBE3" w14:textId="77777777">
        <w:tc>
          <w:tcPr>
            <w:tcW w:w="1668" w:type="dxa"/>
            <w:tcBorders>
              <w:bottom w:val="single" w:sz="12" w:space="0" w:color="auto"/>
            </w:tcBorders>
          </w:tcPr>
          <w:p w14:paraId="7AC719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54. 420108</w:t>
            </w:r>
          </w:p>
        </w:tc>
        <w:tc>
          <w:tcPr>
            <w:tcW w:w="1559" w:type="dxa"/>
            <w:tcBorders>
              <w:bottom w:val="single" w:sz="12" w:space="0" w:color="auto"/>
            </w:tcBorders>
          </w:tcPr>
          <w:p w14:paraId="433523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8с/-</w:t>
            </w:r>
          </w:p>
        </w:tc>
        <w:tc>
          <w:tcPr>
            <w:tcW w:w="1559" w:type="dxa"/>
            <w:tcBorders>
              <w:bottom w:val="single" w:sz="12" w:space="0" w:color="auto"/>
            </w:tcBorders>
          </w:tcPr>
          <w:p w14:paraId="689D5D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Borders>
              <w:bottom w:val="single" w:sz="12" w:space="0" w:color="auto"/>
            </w:tcBorders>
          </w:tcPr>
          <w:p w14:paraId="7815DA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Borders>
              <w:bottom w:val="single" w:sz="12" w:space="0" w:color="auto"/>
            </w:tcBorders>
          </w:tcPr>
          <w:p w14:paraId="797F05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Дьяченко</w:t>
            </w:r>
          </w:p>
        </w:tc>
        <w:tc>
          <w:tcPr>
            <w:tcW w:w="1580" w:type="dxa"/>
            <w:tcBorders>
              <w:bottom w:val="single" w:sz="12" w:space="0" w:color="auto"/>
            </w:tcBorders>
          </w:tcPr>
          <w:p w14:paraId="18F6BD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5.4.43</w:t>
            </w:r>
          </w:p>
        </w:tc>
        <w:tc>
          <w:tcPr>
            <w:tcW w:w="1539" w:type="dxa"/>
            <w:tcBorders>
              <w:bottom w:val="single" w:sz="12" w:space="0" w:color="auto"/>
            </w:tcBorders>
          </w:tcPr>
          <w:p w14:paraId="4CDE56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bl>
    <w:p w14:paraId="44DB388E" w14:textId="77777777" w:rsidR="00665165" w:rsidRPr="00925F26" w:rsidRDefault="00665165" w:rsidP="00925F26">
      <w:pPr>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559"/>
        <w:gridCol w:w="1559"/>
        <w:gridCol w:w="1559"/>
        <w:gridCol w:w="1701"/>
        <w:gridCol w:w="1560"/>
        <w:gridCol w:w="1559"/>
      </w:tblGrid>
      <w:tr w:rsidR="000F5689" w:rsidRPr="00925F26" w14:paraId="52EA60CF" w14:textId="77777777">
        <w:tc>
          <w:tcPr>
            <w:tcW w:w="1668" w:type="dxa"/>
            <w:tcBorders>
              <w:top w:val="single" w:sz="12" w:space="0" w:color="auto"/>
            </w:tcBorders>
          </w:tcPr>
          <w:p w14:paraId="291576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55. 42019</w:t>
            </w:r>
          </w:p>
        </w:tc>
        <w:tc>
          <w:tcPr>
            <w:tcW w:w="1559" w:type="dxa"/>
            <w:tcBorders>
              <w:top w:val="single" w:sz="12" w:space="0" w:color="auto"/>
            </w:tcBorders>
          </w:tcPr>
          <w:p w14:paraId="375EC2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9с/11(5.43)</w:t>
            </w:r>
          </w:p>
        </w:tc>
        <w:tc>
          <w:tcPr>
            <w:tcW w:w="1559" w:type="dxa"/>
            <w:tcBorders>
              <w:top w:val="single" w:sz="12" w:space="0" w:color="auto"/>
            </w:tcBorders>
          </w:tcPr>
          <w:p w14:paraId="4948BF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АМ-35А</w:t>
            </w:r>
          </w:p>
        </w:tc>
        <w:tc>
          <w:tcPr>
            <w:tcW w:w="1559" w:type="dxa"/>
            <w:tcBorders>
              <w:top w:val="single" w:sz="12" w:space="0" w:color="auto"/>
            </w:tcBorders>
          </w:tcPr>
          <w:p w14:paraId="06E2A9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Borders>
              <w:top w:val="single" w:sz="12" w:space="0" w:color="auto"/>
            </w:tcBorders>
          </w:tcPr>
          <w:p w14:paraId="409170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Канарский, Немков</w:t>
            </w:r>
          </w:p>
        </w:tc>
        <w:tc>
          <w:tcPr>
            <w:tcW w:w="1560" w:type="dxa"/>
            <w:tcBorders>
              <w:top w:val="single" w:sz="12" w:space="0" w:color="auto"/>
            </w:tcBorders>
          </w:tcPr>
          <w:p w14:paraId="2685A8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23.7.43</w:t>
            </w:r>
          </w:p>
        </w:tc>
        <w:tc>
          <w:tcPr>
            <w:tcW w:w="1559" w:type="dxa"/>
            <w:tcBorders>
              <w:top w:val="single" w:sz="12" w:space="0" w:color="auto"/>
            </w:tcBorders>
          </w:tcPr>
          <w:p w14:paraId="708FAC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4FAEDC61" w14:textId="77777777">
        <w:tc>
          <w:tcPr>
            <w:tcW w:w="1668" w:type="dxa"/>
          </w:tcPr>
          <w:p w14:paraId="0490B527"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3E824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roofErr w:type="gramStart"/>
            <w:r w:rsidRPr="00925F26">
              <w:rPr>
                <w:color w:val="000000" w:themeColor="text1"/>
                <w:sz w:val="16"/>
                <w:szCs w:val="16"/>
              </w:rPr>
              <w:t>с(</w:t>
            </w:r>
            <w:proofErr w:type="gramEnd"/>
            <w:r w:rsidRPr="00925F26">
              <w:rPr>
                <w:color w:val="000000" w:themeColor="text1"/>
                <w:sz w:val="16"/>
                <w:szCs w:val="16"/>
              </w:rPr>
              <w:t>7.43)</w:t>
            </w:r>
          </w:p>
        </w:tc>
        <w:tc>
          <w:tcPr>
            <w:tcW w:w="1559" w:type="dxa"/>
          </w:tcPr>
          <w:p w14:paraId="26AC5429"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3C256C08"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02AE3F29" w14:textId="77777777" w:rsidR="00665165" w:rsidRPr="00925F26" w:rsidRDefault="00665165" w:rsidP="00925F26">
            <w:pPr>
              <w:autoSpaceDE w:val="0"/>
              <w:autoSpaceDN w:val="0"/>
              <w:adjustRightInd w:val="0"/>
              <w:jc w:val="both"/>
              <w:rPr>
                <w:color w:val="000000" w:themeColor="text1"/>
                <w:sz w:val="16"/>
                <w:szCs w:val="16"/>
              </w:rPr>
            </w:pPr>
          </w:p>
        </w:tc>
        <w:tc>
          <w:tcPr>
            <w:tcW w:w="1560" w:type="dxa"/>
          </w:tcPr>
          <w:p w14:paraId="71B9A99C"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7AACBBD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2E4727C" w14:textId="77777777">
        <w:tc>
          <w:tcPr>
            <w:tcW w:w="1668" w:type="dxa"/>
          </w:tcPr>
          <w:p w14:paraId="024954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56. 42029</w:t>
            </w:r>
          </w:p>
        </w:tc>
        <w:tc>
          <w:tcPr>
            <w:tcW w:w="1559" w:type="dxa"/>
          </w:tcPr>
          <w:p w14:paraId="5245FA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w:t>
            </w:r>
            <w:proofErr w:type="gramStart"/>
            <w:r w:rsidRPr="00925F26">
              <w:rPr>
                <w:color w:val="000000" w:themeColor="text1"/>
                <w:sz w:val="16"/>
                <w:szCs w:val="16"/>
              </w:rPr>
              <w:t>к(</w:t>
            </w:r>
            <w:proofErr w:type="gramEnd"/>
            <w:r w:rsidRPr="00925F26">
              <w:rPr>
                <w:color w:val="000000" w:themeColor="text1"/>
                <w:sz w:val="16"/>
                <w:szCs w:val="16"/>
              </w:rPr>
              <w:t>5.43)</w:t>
            </w:r>
          </w:p>
        </w:tc>
        <w:tc>
          <w:tcPr>
            <w:tcW w:w="1559" w:type="dxa"/>
          </w:tcPr>
          <w:p w14:paraId="6198D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М-ЗОБ</w:t>
            </w:r>
          </w:p>
        </w:tc>
        <w:tc>
          <w:tcPr>
            <w:tcW w:w="1559" w:type="dxa"/>
          </w:tcPr>
          <w:p w14:paraId="3F874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w:t>
            </w:r>
          </w:p>
        </w:tc>
        <w:tc>
          <w:tcPr>
            <w:tcW w:w="1701" w:type="dxa"/>
          </w:tcPr>
          <w:p w14:paraId="44B15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Лисачев, Перегудов</w:t>
            </w:r>
          </w:p>
        </w:tc>
        <w:tc>
          <w:tcPr>
            <w:tcW w:w="1560" w:type="dxa"/>
          </w:tcPr>
          <w:p w14:paraId="61B1B3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94D3B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62F4EEB" w14:textId="77777777">
        <w:tc>
          <w:tcPr>
            <w:tcW w:w="1668" w:type="dxa"/>
          </w:tcPr>
          <w:p w14:paraId="3108D4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57. 42039</w:t>
            </w:r>
          </w:p>
        </w:tc>
        <w:tc>
          <w:tcPr>
            <w:tcW w:w="1559" w:type="dxa"/>
          </w:tcPr>
          <w:p w14:paraId="3ADFD4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12к</w:t>
            </w:r>
          </w:p>
        </w:tc>
        <w:tc>
          <w:tcPr>
            <w:tcW w:w="1559" w:type="dxa"/>
          </w:tcPr>
          <w:p w14:paraId="37F5EB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М-ЗОБ</w:t>
            </w:r>
          </w:p>
        </w:tc>
        <w:tc>
          <w:tcPr>
            <w:tcW w:w="1559" w:type="dxa"/>
          </w:tcPr>
          <w:p w14:paraId="70638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19.4.43</w:t>
            </w:r>
          </w:p>
        </w:tc>
        <w:tc>
          <w:tcPr>
            <w:tcW w:w="1701" w:type="dxa"/>
          </w:tcPr>
          <w:p w14:paraId="3504F5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Сумцов,</w:t>
            </w:r>
          </w:p>
        </w:tc>
        <w:tc>
          <w:tcPr>
            <w:tcW w:w="1560" w:type="dxa"/>
          </w:tcPr>
          <w:p w14:paraId="1A57DC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26.12.45</w:t>
            </w:r>
          </w:p>
        </w:tc>
        <w:tc>
          <w:tcPr>
            <w:tcW w:w="1559" w:type="dxa"/>
          </w:tcPr>
          <w:p w14:paraId="37A37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списан</w:t>
            </w:r>
          </w:p>
        </w:tc>
      </w:tr>
      <w:tr w:rsidR="000F5689" w:rsidRPr="00925F26" w14:paraId="6B9C4599" w14:textId="77777777">
        <w:tc>
          <w:tcPr>
            <w:tcW w:w="1668" w:type="dxa"/>
          </w:tcPr>
          <w:p w14:paraId="2FF355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58. 42049</w:t>
            </w:r>
          </w:p>
        </w:tc>
        <w:tc>
          <w:tcPr>
            <w:tcW w:w="1559" w:type="dxa"/>
          </w:tcPr>
          <w:p w14:paraId="253352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15к/</w:t>
            </w:r>
          </w:p>
        </w:tc>
        <w:tc>
          <w:tcPr>
            <w:tcW w:w="1559" w:type="dxa"/>
          </w:tcPr>
          <w:p w14:paraId="3CE3E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0E3610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6.4.43</w:t>
            </w:r>
          </w:p>
        </w:tc>
        <w:tc>
          <w:tcPr>
            <w:tcW w:w="1701" w:type="dxa"/>
          </w:tcPr>
          <w:p w14:paraId="4B2FF5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Зеленский, Угрюмов</w:t>
            </w:r>
          </w:p>
        </w:tc>
        <w:tc>
          <w:tcPr>
            <w:tcW w:w="1560" w:type="dxa"/>
          </w:tcPr>
          <w:p w14:paraId="09EBCA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20.7.43</w:t>
            </w:r>
          </w:p>
        </w:tc>
        <w:tc>
          <w:tcPr>
            <w:tcW w:w="1559" w:type="dxa"/>
          </w:tcPr>
          <w:p w14:paraId="35C898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77CF6558" w14:textId="77777777">
        <w:tc>
          <w:tcPr>
            <w:tcW w:w="1668" w:type="dxa"/>
          </w:tcPr>
          <w:p w14:paraId="6526E2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59. 42059</w:t>
            </w:r>
          </w:p>
        </w:tc>
        <w:tc>
          <w:tcPr>
            <w:tcW w:w="1559" w:type="dxa"/>
          </w:tcPr>
          <w:p w14:paraId="1FBC48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proofErr w:type="gramStart"/>
            <w:r w:rsidRPr="00925F26">
              <w:rPr>
                <w:color w:val="000000" w:themeColor="text1"/>
                <w:sz w:val="16"/>
                <w:szCs w:val="16"/>
              </w:rPr>
              <w:t>к(</w:t>
            </w:r>
            <w:proofErr w:type="gramEnd"/>
            <w:r w:rsidRPr="00925F26">
              <w:rPr>
                <w:color w:val="000000" w:themeColor="text1"/>
                <w:sz w:val="16"/>
                <w:szCs w:val="16"/>
              </w:rPr>
              <w:t>6.43)</w:t>
            </w:r>
          </w:p>
        </w:tc>
        <w:tc>
          <w:tcPr>
            <w:tcW w:w="1559" w:type="dxa"/>
          </w:tcPr>
          <w:p w14:paraId="152B91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37C3F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27.4.43</w:t>
            </w:r>
          </w:p>
        </w:tc>
        <w:tc>
          <w:tcPr>
            <w:tcW w:w="1701" w:type="dxa"/>
          </w:tcPr>
          <w:p w14:paraId="10AAF9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Шатров</w:t>
            </w:r>
          </w:p>
        </w:tc>
        <w:tc>
          <w:tcPr>
            <w:tcW w:w="1560" w:type="dxa"/>
          </w:tcPr>
          <w:p w14:paraId="0A315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206BE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F84C478" w14:textId="77777777">
        <w:tc>
          <w:tcPr>
            <w:tcW w:w="1668" w:type="dxa"/>
          </w:tcPr>
          <w:p w14:paraId="6A6FCC44"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5DFC2A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w:t>
            </w:r>
            <w:proofErr w:type="gramStart"/>
            <w:r w:rsidRPr="00925F26">
              <w:rPr>
                <w:color w:val="000000" w:themeColor="text1"/>
                <w:sz w:val="16"/>
                <w:szCs w:val="16"/>
              </w:rPr>
              <w:t>к(</w:t>
            </w:r>
            <w:proofErr w:type="gramEnd"/>
            <w:r w:rsidRPr="00925F26">
              <w:rPr>
                <w:color w:val="000000" w:themeColor="text1"/>
                <w:sz w:val="16"/>
                <w:szCs w:val="16"/>
              </w:rPr>
              <w:t>8.44)</w:t>
            </w:r>
          </w:p>
        </w:tc>
        <w:tc>
          <w:tcPr>
            <w:tcW w:w="1559" w:type="dxa"/>
          </w:tcPr>
          <w:p w14:paraId="2E006CED"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615F98E3" w14:textId="77777777" w:rsidR="00665165" w:rsidRPr="00925F26" w:rsidRDefault="00665165" w:rsidP="00925F26">
            <w:pPr>
              <w:autoSpaceDE w:val="0"/>
              <w:autoSpaceDN w:val="0"/>
              <w:adjustRightInd w:val="0"/>
              <w:jc w:val="both"/>
              <w:rPr>
                <w:color w:val="000000" w:themeColor="text1"/>
                <w:sz w:val="16"/>
                <w:szCs w:val="16"/>
              </w:rPr>
            </w:pPr>
          </w:p>
        </w:tc>
        <w:tc>
          <w:tcPr>
            <w:tcW w:w="1701" w:type="dxa"/>
          </w:tcPr>
          <w:p w14:paraId="2B791FAC" w14:textId="77777777" w:rsidR="00665165" w:rsidRPr="00925F26" w:rsidRDefault="00665165" w:rsidP="00925F26">
            <w:pPr>
              <w:autoSpaceDE w:val="0"/>
              <w:autoSpaceDN w:val="0"/>
              <w:adjustRightInd w:val="0"/>
              <w:jc w:val="both"/>
              <w:rPr>
                <w:color w:val="000000" w:themeColor="text1"/>
                <w:sz w:val="16"/>
                <w:szCs w:val="16"/>
              </w:rPr>
            </w:pPr>
          </w:p>
        </w:tc>
        <w:tc>
          <w:tcPr>
            <w:tcW w:w="1560" w:type="dxa"/>
          </w:tcPr>
          <w:p w14:paraId="60C0CFD7"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5FF25A7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1A9EB49" w14:textId="77777777">
        <w:tc>
          <w:tcPr>
            <w:tcW w:w="1668" w:type="dxa"/>
          </w:tcPr>
          <w:p w14:paraId="53720F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60. 42069</w:t>
            </w:r>
          </w:p>
        </w:tc>
        <w:tc>
          <w:tcPr>
            <w:tcW w:w="1559" w:type="dxa"/>
          </w:tcPr>
          <w:p w14:paraId="59C98E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-/12с</w:t>
            </w:r>
          </w:p>
        </w:tc>
        <w:tc>
          <w:tcPr>
            <w:tcW w:w="1559" w:type="dxa"/>
          </w:tcPr>
          <w:p w14:paraId="246D6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146883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25.4.43</w:t>
            </w:r>
          </w:p>
        </w:tc>
        <w:tc>
          <w:tcPr>
            <w:tcW w:w="1701" w:type="dxa"/>
          </w:tcPr>
          <w:p w14:paraId="087DD0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Модестов, Сушин</w:t>
            </w:r>
          </w:p>
        </w:tc>
        <w:tc>
          <w:tcPr>
            <w:tcW w:w="1560" w:type="dxa"/>
          </w:tcPr>
          <w:p w14:paraId="5DA960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15.7.43</w:t>
            </w:r>
          </w:p>
        </w:tc>
        <w:tc>
          <w:tcPr>
            <w:tcW w:w="1559" w:type="dxa"/>
          </w:tcPr>
          <w:p w14:paraId="45DBF0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30751419" w14:textId="77777777">
        <w:tc>
          <w:tcPr>
            <w:tcW w:w="1668" w:type="dxa"/>
          </w:tcPr>
          <w:p w14:paraId="0EB41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61.42079</w:t>
            </w:r>
          </w:p>
        </w:tc>
        <w:tc>
          <w:tcPr>
            <w:tcW w:w="1559" w:type="dxa"/>
          </w:tcPr>
          <w:p w14:paraId="2CF78A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13с/-</w:t>
            </w:r>
          </w:p>
        </w:tc>
        <w:tc>
          <w:tcPr>
            <w:tcW w:w="1559" w:type="dxa"/>
          </w:tcPr>
          <w:p w14:paraId="2F84AF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105B78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11.5.43</w:t>
            </w:r>
          </w:p>
        </w:tc>
        <w:tc>
          <w:tcPr>
            <w:tcW w:w="1701" w:type="dxa"/>
          </w:tcPr>
          <w:p w14:paraId="201AFD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Шамрай</w:t>
            </w:r>
          </w:p>
        </w:tc>
        <w:tc>
          <w:tcPr>
            <w:tcW w:w="1560" w:type="dxa"/>
          </w:tcPr>
          <w:p w14:paraId="466E58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23.6.43</w:t>
            </w:r>
          </w:p>
        </w:tc>
        <w:tc>
          <w:tcPr>
            <w:tcW w:w="1559" w:type="dxa"/>
          </w:tcPr>
          <w:p w14:paraId="12505F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57046B3A" w14:textId="77777777">
        <w:tc>
          <w:tcPr>
            <w:tcW w:w="1668" w:type="dxa"/>
          </w:tcPr>
          <w:p w14:paraId="1690DF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62.42089</w:t>
            </w:r>
          </w:p>
        </w:tc>
        <w:tc>
          <w:tcPr>
            <w:tcW w:w="1559" w:type="dxa"/>
          </w:tcPr>
          <w:p w14:paraId="4ED6F7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11 </w:t>
            </w:r>
            <w:proofErr w:type="gramStart"/>
            <w:r w:rsidRPr="00925F26">
              <w:rPr>
                <w:color w:val="000000" w:themeColor="text1"/>
                <w:sz w:val="16"/>
                <w:szCs w:val="16"/>
              </w:rPr>
              <w:t>с(</w:t>
            </w:r>
            <w:proofErr w:type="gramEnd"/>
            <w:r w:rsidRPr="00925F26">
              <w:rPr>
                <w:color w:val="000000" w:themeColor="text1"/>
                <w:sz w:val="16"/>
                <w:szCs w:val="16"/>
              </w:rPr>
              <w:t>10.43)</w:t>
            </w:r>
          </w:p>
        </w:tc>
        <w:tc>
          <w:tcPr>
            <w:tcW w:w="1559" w:type="dxa"/>
          </w:tcPr>
          <w:p w14:paraId="27D3E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06F442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15.5.43</w:t>
            </w:r>
          </w:p>
        </w:tc>
        <w:tc>
          <w:tcPr>
            <w:tcW w:w="1701" w:type="dxa"/>
          </w:tcPr>
          <w:p w14:paraId="63B762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Архаров</w:t>
            </w:r>
          </w:p>
        </w:tc>
        <w:tc>
          <w:tcPr>
            <w:tcW w:w="1560" w:type="dxa"/>
          </w:tcPr>
          <w:p w14:paraId="0D4C6B68"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47C12064"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0854EFC" w14:textId="77777777">
        <w:tc>
          <w:tcPr>
            <w:tcW w:w="1668" w:type="dxa"/>
          </w:tcPr>
          <w:p w14:paraId="5F9274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63. 42099</w:t>
            </w:r>
          </w:p>
        </w:tc>
        <w:tc>
          <w:tcPr>
            <w:tcW w:w="1559" w:type="dxa"/>
          </w:tcPr>
          <w:p w14:paraId="107FAF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2к/14</w:t>
            </w:r>
            <w:proofErr w:type="gramStart"/>
            <w:r w:rsidRPr="00925F26">
              <w:rPr>
                <w:color w:val="000000" w:themeColor="text1"/>
                <w:sz w:val="16"/>
                <w:szCs w:val="16"/>
              </w:rPr>
              <w:t>к(</w:t>
            </w:r>
            <w:proofErr w:type="gramEnd"/>
            <w:r w:rsidRPr="00925F26">
              <w:rPr>
                <w:color w:val="000000" w:themeColor="text1"/>
                <w:sz w:val="16"/>
                <w:szCs w:val="16"/>
              </w:rPr>
              <w:t>12.43)</w:t>
            </w:r>
          </w:p>
        </w:tc>
        <w:tc>
          <w:tcPr>
            <w:tcW w:w="1559" w:type="dxa"/>
          </w:tcPr>
          <w:p w14:paraId="0D8064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11A940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19.5.43</w:t>
            </w:r>
          </w:p>
        </w:tc>
        <w:tc>
          <w:tcPr>
            <w:tcW w:w="1701" w:type="dxa"/>
          </w:tcPr>
          <w:p w14:paraId="252CC6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Макаренко</w:t>
            </w:r>
          </w:p>
        </w:tc>
        <w:tc>
          <w:tcPr>
            <w:tcW w:w="1560" w:type="dxa"/>
          </w:tcPr>
          <w:p w14:paraId="41C6EBE5" w14:textId="77777777" w:rsidR="00665165" w:rsidRPr="00925F26" w:rsidRDefault="00665165" w:rsidP="00925F26">
            <w:pPr>
              <w:autoSpaceDE w:val="0"/>
              <w:autoSpaceDN w:val="0"/>
              <w:adjustRightInd w:val="0"/>
              <w:jc w:val="both"/>
              <w:rPr>
                <w:color w:val="000000" w:themeColor="text1"/>
                <w:sz w:val="16"/>
                <w:szCs w:val="16"/>
              </w:rPr>
            </w:pPr>
          </w:p>
        </w:tc>
        <w:tc>
          <w:tcPr>
            <w:tcW w:w="1559" w:type="dxa"/>
          </w:tcPr>
          <w:p w14:paraId="0754852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92FDFE3" w14:textId="77777777">
        <w:tc>
          <w:tcPr>
            <w:tcW w:w="1668" w:type="dxa"/>
          </w:tcPr>
          <w:p w14:paraId="2533F2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64.420109</w:t>
            </w:r>
          </w:p>
        </w:tc>
        <w:tc>
          <w:tcPr>
            <w:tcW w:w="1559" w:type="dxa"/>
          </w:tcPr>
          <w:p w14:paraId="54E1D0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14с/-</w:t>
            </w:r>
          </w:p>
        </w:tc>
        <w:tc>
          <w:tcPr>
            <w:tcW w:w="1559" w:type="dxa"/>
          </w:tcPr>
          <w:p w14:paraId="760B8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3376A1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2.7.43</w:t>
            </w:r>
          </w:p>
        </w:tc>
        <w:tc>
          <w:tcPr>
            <w:tcW w:w="1701" w:type="dxa"/>
          </w:tcPr>
          <w:p w14:paraId="691E39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Вихорев</w:t>
            </w:r>
          </w:p>
        </w:tc>
        <w:tc>
          <w:tcPr>
            <w:tcW w:w="1560" w:type="dxa"/>
          </w:tcPr>
          <w:p w14:paraId="477FEF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21.7.43</w:t>
            </w:r>
          </w:p>
        </w:tc>
        <w:tc>
          <w:tcPr>
            <w:tcW w:w="1559" w:type="dxa"/>
          </w:tcPr>
          <w:p w14:paraId="12246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2750B93F" w14:textId="77777777">
        <w:tc>
          <w:tcPr>
            <w:tcW w:w="1668" w:type="dxa"/>
          </w:tcPr>
          <w:p w14:paraId="5CACBE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65. 42110</w:t>
            </w:r>
          </w:p>
        </w:tc>
        <w:tc>
          <w:tcPr>
            <w:tcW w:w="1559" w:type="dxa"/>
          </w:tcPr>
          <w:p w14:paraId="6A053B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7с/-</w:t>
            </w:r>
          </w:p>
        </w:tc>
        <w:tc>
          <w:tcPr>
            <w:tcW w:w="1559" w:type="dxa"/>
          </w:tcPr>
          <w:p w14:paraId="65D3A0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02C15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12.7.43</w:t>
            </w:r>
          </w:p>
        </w:tc>
        <w:tc>
          <w:tcPr>
            <w:tcW w:w="1701" w:type="dxa"/>
          </w:tcPr>
          <w:p w14:paraId="4D9339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Канарский+</w:t>
            </w:r>
          </w:p>
        </w:tc>
        <w:tc>
          <w:tcPr>
            <w:tcW w:w="1560" w:type="dxa"/>
          </w:tcPr>
          <w:p w14:paraId="2422F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29.7.43</w:t>
            </w:r>
          </w:p>
        </w:tc>
        <w:tc>
          <w:tcPr>
            <w:tcW w:w="1559" w:type="dxa"/>
          </w:tcPr>
          <w:p w14:paraId="6D31B7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3E688029" w14:textId="77777777">
        <w:tc>
          <w:tcPr>
            <w:tcW w:w="1668" w:type="dxa"/>
          </w:tcPr>
          <w:p w14:paraId="5EDF5E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66. 42210</w:t>
            </w:r>
          </w:p>
        </w:tc>
        <w:tc>
          <w:tcPr>
            <w:tcW w:w="1559" w:type="dxa"/>
          </w:tcPr>
          <w:p w14:paraId="3A264E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w:t>
            </w:r>
            <w:proofErr w:type="gramStart"/>
            <w:r w:rsidRPr="00925F26">
              <w:rPr>
                <w:color w:val="000000" w:themeColor="text1"/>
                <w:sz w:val="16"/>
                <w:szCs w:val="16"/>
              </w:rPr>
              <w:t>к(</w:t>
            </w:r>
            <w:proofErr w:type="gramEnd"/>
            <w:r w:rsidRPr="00925F26">
              <w:rPr>
                <w:color w:val="000000" w:themeColor="text1"/>
                <w:sz w:val="16"/>
                <w:szCs w:val="16"/>
              </w:rPr>
              <w:t>10.7.43)/-</w:t>
            </w:r>
          </w:p>
        </w:tc>
        <w:tc>
          <w:tcPr>
            <w:tcW w:w="1559" w:type="dxa"/>
          </w:tcPr>
          <w:p w14:paraId="6A9C05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7E7D0E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30.6.43</w:t>
            </w:r>
          </w:p>
        </w:tc>
        <w:tc>
          <w:tcPr>
            <w:tcW w:w="1701" w:type="dxa"/>
          </w:tcPr>
          <w:p w14:paraId="1EB4D7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Додонов, Зеленский</w:t>
            </w:r>
          </w:p>
        </w:tc>
        <w:tc>
          <w:tcPr>
            <w:tcW w:w="1560" w:type="dxa"/>
          </w:tcPr>
          <w:p w14:paraId="1ABC30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4098BB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774B15F" w14:textId="77777777">
        <w:tc>
          <w:tcPr>
            <w:tcW w:w="1668" w:type="dxa"/>
          </w:tcPr>
          <w:p w14:paraId="4A0967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67. 42310</w:t>
            </w:r>
          </w:p>
        </w:tc>
        <w:tc>
          <w:tcPr>
            <w:tcW w:w="1559" w:type="dxa"/>
          </w:tcPr>
          <w:p w14:paraId="65D78B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w:t>
            </w:r>
            <w:proofErr w:type="gramStart"/>
            <w:r w:rsidRPr="00925F26">
              <w:rPr>
                <w:color w:val="000000" w:themeColor="text1"/>
                <w:sz w:val="16"/>
                <w:szCs w:val="16"/>
              </w:rPr>
              <w:t>с(</w:t>
            </w:r>
            <w:proofErr w:type="gramEnd"/>
            <w:r w:rsidRPr="00925F26">
              <w:rPr>
                <w:color w:val="000000" w:themeColor="text1"/>
                <w:sz w:val="16"/>
                <w:szCs w:val="16"/>
              </w:rPr>
              <w:t>17.8.43)/-</w:t>
            </w:r>
          </w:p>
        </w:tc>
        <w:tc>
          <w:tcPr>
            <w:tcW w:w="1559" w:type="dxa"/>
          </w:tcPr>
          <w:p w14:paraId="19200A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7D36C6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5.7.43</w:t>
            </w:r>
          </w:p>
        </w:tc>
        <w:tc>
          <w:tcPr>
            <w:tcW w:w="1701" w:type="dxa"/>
          </w:tcPr>
          <w:p w14:paraId="396E75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0" w:type="dxa"/>
          </w:tcPr>
          <w:p w14:paraId="5D9197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27.8.43</w:t>
            </w:r>
          </w:p>
        </w:tc>
        <w:tc>
          <w:tcPr>
            <w:tcW w:w="1559" w:type="dxa"/>
          </w:tcPr>
          <w:p w14:paraId="355EF8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42ADFD8" w14:textId="77777777">
        <w:tc>
          <w:tcPr>
            <w:tcW w:w="1668" w:type="dxa"/>
          </w:tcPr>
          <w:p w14:paraId="72C559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68. 42410</w:t>
            </w:r>
          </w:p>
        </w:tc>
        <w:tc>
          <w:tcPr>
            <w:tcW w:w="1559" w:type="dxa"/>
          </w:tcPr>
          <w:p w14:paraId="1808B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1к/-</w:t>
            </w:r>
          </w:p>
        </w:tc>
        <w:tc>
          <w:tcPr>
            <w:tcW w:w="1559" w:type="dxa"/>
          </w:tcPr>
          <w:p w14:paraId="2146D0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34CA51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13.8.43</w:t>
            </w:r>
          </w:p>
        </w:tc>
        <w:tc>
          <w:tcPr>
            <w:tcW w:w="1701" w:type="dxa"/>
          </w:tcPr>
          <w:p w14:paraId="50ABD5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Ищенко</w:t>
            </w:r>
          </w:p>
        </w:tc>
        <w:tc>
          <w:tcPr>
            <w:tcW w:w="1560" w:type="dxa"/>
          </w:tcPr>
          <w:p w14:paraId="6B331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2975F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CED4183" w14:textId="77777777">
        <w:tc>
          <w:tcPr>
            <w:tcW w:w="1668" w:type="dxa"/>
          </w:tcPr>
          <w:p w14:paraId="1BDA38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69. 42510</w:t>
            </w:r>
          </w:p>
        </w:tc>
        <w:tc>
          <w:tcPr>
            <w:tcW w:w="1559" w:type="dxa"/>
          </w:tcPr>
          <w:p w14:paraId="1DB7BC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13с/-</w:t>
            </w:r>
          </w:p>
        </w:tc>
        <w:tc>
          <w:tcPr>
            <w:tcW w:w="1559" w:type="dxa"/>
          </w:tcPr>
          <w:p w14:paraId="2CBA22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7BDB8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8.43</w:t>
            </w:r>
          </w:p>
        </w:tc>
        <w:tc>
          <w:tcPr>
            <w:tcW w:w="1701" w:type="dxa"/>
          </w:tcPr>
          <w:p w14:paraId="2F7C62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Вихорев</w:t>
            </w:r>
          </w:p>
        </w:tc>
        <w:tc>
          <w:tcPr>
            <w:tcW w:w="1560" w:type="dxa"/>
          </w:tcPr>
          <w:p w14:paraId="51DD35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27.8.43</w:t>
            </w:r>
          </w:p>
        </w:tc>
        <w:tc>
          <w:tcPr>
            <w:tcW w:w="1559" w:type="dxa"/>
          </w:tcPr>
          <w:p w14:paraId="2E63FC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6F615E96" w14:textId="77777777">
        <w:tc>
          <w:tcPr>
            <w:tcW w:w="1668" w:type="dxa"/>
          </w:tcPr>
          <w:p w14:paraId="44F722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70. 42610</w:t>
            </w:r>
          </w:p>
        </w:tc>
        <w:tc>
          <w:tcPr>
            <w:tcW w:w="1559" w:type="dxa"/>
          </w:tcPr>
          <w:p w14:paraId="580653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Зж/-</w:t>
            </w:r>
          </w:p>
        </w:tc>
        <w:tc>
          <w:tcPr>
            <w:tcW w:w="1559" w:type="dxa"/>
          </w:tcPr>
          <w:p w14:paraId="05BA43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55C8D2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23.8.43</w:t>
            </w:r>
          </w:p>
        </w:tc>
        <w:tc>
          <w:tcPr>
            <w:tcW w:w="1701" w:type="dxa"/>
          </w:tcPr>
          <w:p w14:paraId="143A21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Сумцов</w:t>
            </w:r>
          </w:p>
        </w:tc>
        <w:tc>
          <w:tcPr>
            <w:tcW w:w="1560" w:type="dxa"/>
          </w:tcPr>
          <w:p w14:paraId="152534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4F61A0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55EC995" w14:textId="77777777">
        <w:tc>
          <w:tcPr>
            <w:tcW w:w="1668" w:type="dxa"/>
          </w:tcPr>
          <w:p w14:paraId="057683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71. 42710</w:t>
            </w:r>
          </w:p>
        </w:tc>
        <w:tc>
          <w:tcPr>
            <w:tcW w:w="1559" w:type="dxa"/>
          </w:tcPr>
          <w:p w14:paraId="2E9031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с/-</w:t>
            </w:r>
          </w:p>
        </w:tc>
        <w:tc>
          <w:tcPr>
            <w:tcW w:w="1559" w:type="dxa"/>
          </w:tcPr>
          <w:p w14:paraId="6CC4BF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52FFAE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29.9.43</w:t>
            </w:r>
          </w:p>
        </w:tc>
        <w:tc>
          <w:tcPr>
            <w:tcW w:w="1701" w:type="dxa"/>
          </w:tcPr>
          <w:p w14:paraId="35E8CF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Косяченко</w:t>
            </w:r>
          </w:p>
        </w:tc>
        <w:tc>
          <w:tcPr>
            <w:tcW w:w="1560" w:type="dxa"/>
          </w:tcPr>
          <w:p w14:paraId="3F6715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0B546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BE8FCAD" w14:textId="77777777">
        <w:tc>
          <w:tcPr>
            <w:tcW w:w="1668" w:type="dxa"/>
          </w:tcPr>
          <w:p w14:paraId="50684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72. 42810</w:t>
            </w:r>
          </w:p>
        </w:tc>
        <w:tc>
          <w:tcPr>
            <w:tcW w:w="1559" w:type="dxa"/>
          </w:tcPr>
          <w:p w14:paraId="4BE1FE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с/-</w:t>
            </w:r>
          </w:p>
        </w:tc>
        <w:tc>
          <w:tcPr>
            <w:tcW w:w="1559" w:type="dxa"/>
          </w:tcPr>
          <w:p w14:paraId="37EE48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B55A1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8.10.43</w:t>
            </w:r>
          </w:p>
        </w:tc>
        <w:tc>
          <w:tcPr>
            <w:tcW w:w="1701" w:type="dxa"/>
          </w:tcPr>
          <w:p w14:paraId="2F33C3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Олейников</w:t>
            </w:r>
          </w:p>
        </w:tc>
        <w:tc>
          <w:tcPr>
            <w:tcW w:w="1560" w:type="dxa"/>
          </w:tcPr>
          <w:p w14:paraId="6FE18F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3B4BF4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AE746EA" w14:textId="77777777">
        <w:tc>
          <w:tcPr>
            <w:tcW w:w="1668" w:type="dxa"/>
          </w:tcPr>
          <w:p w14:paraId="643261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73. 42910</w:t>
            </w:r>
          </w:p>
        </w:tc>
        <w:tc>
          <w:tcPr>
            <w:tcW w:w="1559" w:type="dxa"/>
          </w:tcPr>
          <w:p w14:paraId="7BD702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13с/-</w:t>
            </w:r>
          </w:p>
        </w:tc>
        <w:tc>
          <w:tcPr>
            <w:tcW w:w="1559" w:type="dxa"/>
          </w:tcPr>
          <w:p w14:paraId="02757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6FB185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8.10.43</w:t>
            </w:r>
          </w:p>
        </w:tc>
        <w:tc>
          <w:tcPr>
            <w:tcW w:w="1701" w:type="dxa"/>
          </w:tcPr>
          <w:p w14:paraId="08546A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Шамрай</w:t>
            </w:r>
          </w:p>
        </w:tc>
        <w:tc>
          <w:tcPr>
            <w:tcW w:w="1560" w:type="dxa"/>
          </w:tcPr>
          <w:p w14:paraId="29985D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557F8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9AD4CE8" w14:textId="77777777">
        <w:tc>
          <w:tcPr>
            <w:tcW w:w="1668" w:type="dxa"/>
          </w:tcPr>
          <w:p w14:paraId="05984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74. 421010</w:t>
            </w:r>
          </w:p>
        </w:tc>
        <w:tc>
          <w:tcPr>
            <w:tcW w:w="1559" w:type="dxa"/>
          </w:tcPr>
          <w:p w14:paraId="3D9B90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15к/-</w:t>
            </w:r>
          </w:p>
        </w:tc>
        <w:tc>
          <w:tcPr>
            <w:tcW w:w="1559" w:type="dxa"/>
          </w:tcPr>
          <w:p w14:paraId="140DE7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746C7A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15.10.43</w:t>
            </w:r>
          </w:p>
        </w:tc>
        <w:tc>
          <w:tcPr>
            <w:tcW w:w="1701" w:type="dxa"/>
          </w:tcPr>
          <w:p w14:paraId="009536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Угрюмов+</w:t>
            </w:r>
          </w:p>
        </w:tc>
        <w:tc>
          <w:tcPr>
            <w:tcW w:w="1560" w:type="dxa"/>
          </w:tcPr>
          <w:p w14:paraId="77484F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26.2 44</w:t>
            </w:r>
          </w:p>
        </w:tc>
        <w:tc>
          <w:tcPr>
            <w:tcW w:w="1559" w:type="dxa"/>
          </w:tcPr>
          <w:p w14:paraId="2C2BDC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4AA1168A" w14:textId="77777777">
        <w:tc>
          <w:tcPr>
            <w:tcW w:w="1668" w:type="dxa"/>
          </w:tcPr>
          <w:p w14:paraId="786C28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75. 42111</w:t>
            </w:r>
          </w:p>
        </w:tc>
        <w:tc>
          <w:tcPr>
            <w:tcW w:w="1559" w:type="dxa"/>
          </w:tcPr>
          <w:p w14:paraId="686C46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9с/-</w:t>
            </w:r>
          </w:p>
        </w:tc>
        <w:tc>
          <w:tcPr>
            <w:tcW w:w="1559" w:type="dxa"/>
          </w:tcPr>
          <w:p w14:paraId="1CDB59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25FEB7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19.10.43</w:t>
            </w:r>
          </w:p>
        </w:tc>
        <w:tc>
          <w:tcPr>
            <w:tcW w:w="1701" w:type="dxa"/>
          </w:tcPr>
          <w:p w14:paraId="37D7FD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Самохин</w:t>
            </w:r>
          </w:p>
        </w:tc>
        <w:tc>
          <w:tcPr>
            <w:tcW w:w="1560" w:type="dxa"/>
          </w:tcPr>
          <w:p w14:paraId="7420FE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30C9D9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082829A" w14:textId="77777777">
        <w:tc>
          <w:tcPr>
            <w:tcW w:w="1668" w:type="dxa"/>
          </w:tcPr>
          <w:p w14:paraId="20EA8A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76. 42211</w:t>
            </w:r>
          </w:p>
        </w:tc>
        <w:tc>
          <w:tcPr>
            <w:tcW w:w="1559" w:type="dxa"/>
          </w:tcPr>
          <w:p w14:paraId="60C64B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14с/-</w:t>
            </w:r>
          </w:p>
        </w:tc>
        <w:tc>
          <w:tcPr>
            <w:tcW w:w="1559" w:type="dxa"/>
          </w:tcPr>
          <w:p w14:paraId="325526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07A53D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18.11.43</w:t>
            </w:r>
          </w:p>
        </w:tc>
        <w:tc>
          <w:tcPr>
            <w:tcW w:w="1701" w:type="dxa"/>
          </w:tcPr>
          <w:p w14:paraId="6922D2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Невенчанный, Шамрай, Макаренко</w:t>
            </w:r>
          </w:p>
        </w:tc>
        <w:tc>
          <w:tcPr>
            <w:tcW w:w="1560" w:type="dxa"/>
          </w:tcPr>
          <w:p w14:paraId="77DFBE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28.6.44</w:t>
            </w:r>
          </w:p>
        </w:tc>
        <w:tc>
          <w:tcPr>
            <w:tcW w:w="1559" w:type="dxa"/>
          </w:tcPr>
          <w:p w14:paraId="5D9036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ИА</w:t>
            </w:r>
          </w:p>
        </w:tc>
      </w:tr>
      <w:tr w:rsidR="000F5689" w:rsidRPr="00925F26" w14:paraId="1BB75D83" w14:textId="77777777">
        <w:tc>
          <w:tcPr>
            <w:tcW w:w="1668" w:type="dxa"/>
          </w:tcPr>
          <w:p w14:paraId="29D90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77. 42311</w:t>
            </w:r>
          </w:p>
        </w:tc>
        <w:tc>
          <w:tcPr>
            <w:tcW w:w="1559" w:type="dxa"/>
          </w:tcPr>
          <w:p w14:paraId="061DF2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9к/СССР-Н562</w:t>
            </w:r>
          </w:p>
        </w:tc>
        <w:tc>
          <w:tcPr>
            <w:tcW w:w="1559" w:type="dxa"/>
          </w:tcPr>
          <w:p w14:paraId="45DF16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1A6461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26.12.43</w:t>
            </w:r>
          </w:p>
        </w:tc>
        <w:tc>
          <w:tcPr>
            <w:tcW w:w="1701" w:type="dxa"/>
          </w:tcPr>
          <w:p w14:paraId="17F5F8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Зеленский</w:t>
            </w:r>
          </w:p>
        </w:tc>
        <w:tc>
          <w:tcPr>
            <w:tcW w:w="1560" w:type="dxa"/>
          </w:tcPr>
          <w:p w14:paraId="5252E5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513C91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ABB3A71" w14:textId="77777777">
        <w:tc>
          <w:tcPr>
            <w:tcW w:w="1668" w:type="dxa"/>
          </w:tcPr>
          <w:p w14:paraId="648B1C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78. 42411</w:t>
            </w:r>
          </w:p>
        </w:tc>
        <w:tc>
          <w:tcPr>
            <w:tcW w:w="1559" w:type="dxa"/>
          </w:tcPr>
          <w:p w14:paraId="47CB2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5с/-</w:t>
            </w:r>
          </w:p>
        </w:tc>
        <w:tc>
          <w:tcPr>
            <w:tcW w:w="1559" w:type="dxa"/>
          </w:tcPr>
          <w:p w14:paraId="579D31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489E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2412.43</w:t>
            </w:r>
          </w:p>
        </w:tc>
        <w:tc>
          <w:tcPr>
            <w:tcW w:w="1701" w:type="dxa"/>
          </w:tcPr>
          <w:p w14:paraId="792D58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Романов</w:t>
            </w:r>
          </w:p>
        </w:tc>
        <w:tc>
          <w:tcPr>
            <w:tcW w:w="1560" w:type="dxa"/>
          </w:tcPr>
          <w:p w14:paraId="5B9943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1CE84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CFA21CC" w14:textId="77777777">
        <w:tc>
          <w:tcPr>
            <w:tcW w:w="1668" w:type="dxa"/>
          </w:tcPr>
          <w:p w14:paraId="4BBDC9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79. 42511</w:t>
            </w:r>
          </w:p>
        </w:tc>
        <w:tc>
          <w:tcPr>
            <w:tcW w:w="1559" w:type="dxa"/>
          </w:tcPr>
          <w:p w14:paraId="4AEE0C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СССР-Н396</w:t>
            </w:r>
          </w:p>
        </w:tc>
        <w:tc>
          <w:tcPr>
            <w:tcW w:w="1559" w:type="dxa"/>
          </w:tcPr>
          <w:p w14:paraId="29589B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74093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8.1.44</w:t>
            </w:r>
          </w:p>
        </w:tc>
        <w:tc>
          <w:tcPr>
            <w:tcW w:w="1701" w:type="dxa"/>
          </w:tcPr>
          <w:p w14:paraId="13643F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0" w:type="dxa"/>
          </w:tcPr>
          <w:p w14:paraId="07F6ED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70604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A62FFD0" w14:textId="77777777">
        <w:tc>
          <w:tcPr>
            <w:tcW w:w="1668" w:type="dxa"/>
          </w:tcPr>
          <w:p w14:paraId="12EF58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80. 42611</w:t>
            </w:r>
          </w:p>
        </w:tc>
        <w:tc>
          <w:tcPr>
            <w:tcW w:w="1559" w:type="dxa"/>
          </w:tcPr>
          <w:p w14:paraId="031BE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6/н</w:t>
            </w:r>
          </w:p>
        </w:tc>
        <w:tc>
          <w:tcPr>
            <w:tcW w:w="1559" w:type="dxa"/>
          </w:tcPr>
          <w:p w14:paraId="5F8686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6F393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19.12.43</w:t>
            </w:r>
          </w:p>
        </w:tc>
        <w:tc>
          <w:tcPr>
            <w:tcW w:w="1701" w:type="dxa"/>
          </w:tcPr>
          <w:p w14:paraId="096815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Каминский</w:t>
            </w:r>
          </w:p>
        </w:tc>
        <w:tc>
          <w:tcPr>
            <w:tcW w:w="1560" w:type="dxa"/>
          </w:tcPr>
          <w:p w14:paraId="790105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372B12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90EFECB" w14:textId="77777777">
        <w:tc>
          <w:tcPr>
            <w:tcW w:w="1668" w:type="dxa"/>
          </w:tcPr>
          <w:p w14:paraId="12FC8C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81. 42711</w:t>
            </w:r>
          </w:p>
        </w:tc>
        <w:tc>
          <w:tcPr>
            <w:tcW w:w="1559" w:type="dxa"/>
          </w:tcPr>
          <w:p w14:paraId="7D9999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roofErr w:type="gramStart"/>
            <w:r w:rsidRPr="00925F26">
              <w:rPr>
                <w:color w:val="000000" w:themeColor="text1"/>
                <w:sz w:val="16"/>
                <w:szCs w:val="16"/>
              </w:rPr>
              <w:t>с(</w:t>
            </w:r>
            <w:proofErr w:type="gramEnd"/>
            <w:r w:rsidRPr="00925F26">
              <w:rPr>
                <w:color w:val="000000" w:themeColor="text1"/>
                <w:sz w:val="16"/>
                <w:szCs w:val="16"/>
              </w:rPr>
              <w:t>4.44)</w:t>
            </w:r>
          </w:p>
        </w:tc>
        <w:tc>
          <w:tcPr>
            <w:tcW w:w="1559" w:type="dxa"/>
          </w:tcPr>
          <w:p w14:paraId="08AFDF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5E2FE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28.12.43</w:t>
            </w:r>
          </w:p>
        </w:tc>
        <w:tc>
          <w:tcPr>
            <w:tcW w:w="1701" w:type="dxa"/>
          </w:tcPr>
          <w:p w14:paraId="6DDE11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0" w:type="dxa"/>
          </w:tcPr>
          <w:p w14:paraId="7B58F8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27.6.4</w:t>
            </w:r>
          </w:p>
        </w:tc>
        <w:tc>
          <w:tcPr>
            <w:tcW w:w="1559" w:type="dxa"/>
          </w:tcPr>
          <w:p w14:paraId="1F4730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B64F2B4" w14:textId="77777777">
        <w:tc>
          <w:tcPr>
            <w:tcW w:w="1668" w:type="dxa"/>
          </w:tcPr>
          <w:p w14:paraId="1F5175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82. 42811</w:t>
            </w:r>
          </w:p>
        </w:tc>
        <w:tc>
          <w:tcPr>
            <w:tcW w:w="1559" w:type="dxa"/>
          </w:tcPr>
          <w:p w14:paraId="130951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16к/-</w:t>
            </w:r>
          </w:p>
        </w:tc>
        <w:tc>
          <w:tcPr>
            <w:tcW w:w="1559" w:type="dxa"/>
          </w:tcPr>
          <w:p w14:paraId="679536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625278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16.2.44</w:t>
            </w:r>
          </w:p>
        </w:tc>
        <w:tc>
          <w:tcPr>
            <w:tcW w:w="1701" w:type="dxa"/>
          </w:tcPr>
          <w:p w14:paraId="10F512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Пономаренко, Ищенко</w:t>
            </w:r>
          </w:p>
        </w:tc>
        <w:tc>
          <w:tcPr>
            <w:tcW w:w="1560" w:type="dxa"/>
          </w:tcPr>
          <w:p w14:paraId="24E031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12.9.45</w:t>
            </w:r>
          </w:p>
        </w:tc>
        <w:tc>
          <w:tcPr>
            <w:tcW w:w="1559" w:type="dxa"/>
          </w:tcPr>
          <w:p w14:paraId="47E51B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w:t>
            </w:r>
          </w:p>
        </w:tc>
      </w:tr>
      <w:tr w:rsidR="000F5689" w:rsidRPr="00925F26" w14:paraId="75C1F699" w14:textId="77777777">
        <w:tc>
          <w:tcPr>
            <w:tcW w:w="1668" w:type="dxa"/>
          </w:tcPr>
          <w:p w14:paraId="2ABFB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83. 42911</w:t>
            </w:r>
          </w:p>
        </w:tc>
        <w:tc>
          <w:tcPr>
            <w:tcW w:w="1559" w:type="dxa"/>
          </w:tcPr>
          <w:p w14:paraId="180ABA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10к/-</w:t>
            </w:r>
          </w:p>
        </w:tc>
        <w:tc>
          <w:tcPr>
            <w:tcW w:w="1559" w:type="dxa"/>
          </w:tcPr>
          <w:p w14:paraId="6EABF8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АШ-8216.2.44</w:t>
            </w:r>
          </w:p>
        </w:tc>
        <w:tc>
          <w:tcPr>
            <w:tcW w:w="1559" w:type="dxa"/>
          </w:tcPr>
          <w:p w14:paraId="566A08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3CC82B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Чурилин</w:t>
            </w:r>
          </w:p>
        </w:tc>
        <w:tc>
          <w:tcPr>
            <w:tcW w:w="1560" w:type="dxa"/>
          </w:tcPr>
          <w:p w14:paraId="662ED5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DCB92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D7DC897" w14:textId="77777777">
        <w:tc>
          <w:tcPr>
            <w:tcW w:w="1668" w:type="dxa"/>
          </w:tcPr>
          <w:p w14:paraId="2D1E41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84. 421011</w:t>
            </w:r>
          </w:p>
        </w:tc>
        <w:tc>
          <w:tcPr>
            <w:tcW w:w="1559" w:type="dxa"/>
          </w:tcPr>
          <w:p w14:paraId="7CC18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15с/-</w:t>
            </w:r>
          </w:p>
        </w:tc>
        <w:tc>
          <w:tcPr>
            <w:tcW w:w="1559" w:type="dxa"/>
          </w:tcPr>
          <w:p w14:paraId="26963D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6CC7EC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4CC644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Вихорев</w:t>
            </w:r>
          </w:p>
        </w:tc>
        <w:tc>
          <w:tcPr>
            <w:tcW w:w="1560" w:type="dxa"/>
          </w:tcPr>
          <w:p w14:paraId="6D2E80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C052C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0BB2E79" w14:textId="77777777">
        <w:tc>
          <w:tcPr>
            <w:tcW w:w="1668" w:type="dxa"/>
          </w:tcPr>
          <w:p w14:paraId="3D8532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85. 42112</w:t>
            </w:r>
          </w:p>
        </w:tc>
        <w:tc>
          <w:tcPr>
            <w:tcW w:w="1559" w:type="dxa"/>
          </w:tcPr>
          <w:p w14:paraId="39FADC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18к/-</w:t>
            </w:r>
          </w:p>
        </w:tc>
        <w:tc>
          <w:tcPr>
            <w:tcW w:w="1559" w:type="dxa"/>
          </w:tcPr>
          <w:p w14:paraId="67EB23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42AF54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13.5.44</w:t>
            </w:r>
          </w:p>
        </w:tc>
        <w:tc>
          <w:tcPr>
            <w:tcW w:w="1701" w:type="dxa"/>
          </w:tcPr>
          <w:p w14:paraId="5B5020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Симонов,Черевичный (УПА)</w:t>
            </w:r>
          </w:p>
        </w:tc>
        <w:tc>
          <w:tcPr>
            <w:tcW w:w="1560" w:type="dxa"/>
          </w:tcPr>
          <w:p w14:paraId="2BF5FC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7.6.47</w:t>
            </w:r>
          </w:p>
        </w:tc>
        <w:tc>
          <w:tcPr>
            <w:tcW w:w="1559" w:type="dxa"/>
          </w:tcPr>
          <w:p w14:paraId="16EB6C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ВП</w:t>
            </w:r>
          </w:p>
        </w:tc>
      </w:tr>
      <w:tr w:rsidR="000F5689" w:rsidRPr="00925F26" w14:paraId="18E0CA51" w14:textId="77777777">
        <w:tc>
          <w:tcPr>
            <w:tcW w:w="1668" w:type="dxa"/>
          </w:tcPr>
          <w:p w14:paraId="07F2C4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86. 42212</w:t>
            </w:r>
          </w:p>
        </w:tc>
        <w:tc>
          <w:tcPr>
            <w:tcW w:w="1559" w:type="dxa"/>
          </w:tcPr>
          <w:p w14:paraId="0778A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17к/-</w:t>
            </w:r>
          </w:p>
        </w:tc>
        <w:tc>
          <w:tcPr>
            <w:tcW w:w="1559" w:type="dxa"/>
          </w:tcPr>
          <w:p w14:paraId="3BFD3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7CF9F8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1CB711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Обухов</w:t>
            </w:r>
          </w:p>
        </w:tc>
        <w:tc>
          <w:tcPr>
            <w:tcW w:w="1560" w:type="dxa"/>
          </w:tcPr>
          <w:p w14:paraId="362104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BA94C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B5F06A4" w14:textId="77777777">
        <w:tc>
          <w:tcPr>
            <w:tcW w:w="1668" w:type="dxa"/>
          </w:tcPr>
          <w:p w14:paraId="02BE3C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87. 42312</w:t>
            </w:r>
          </w:p>
        </w:tc>
        <w:tc>
          <w:tcPr>
            <w:tcW w:w="1559" w:type="dxa"/>
          </w:tcPr>
          <w:p w14:paraId="5726A1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19к/-</w:t>
            </w:r>
          </w:p>
        </w:tc>
        <w:tc>
          <w:tcPr>
            <w:tcW w:w="1559" w:type="dxa"/>
          </w:tcPr>
          <w:p w14:paraId="00050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5C5941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672165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Бездольный</w:t>
            </w:r>
          </w:p>
        </w:tc>
        <w:tc>
          <w:tcPr>
            <w:tcW w:w="1560" w:type="dxa"/>
          </w:tcPr>
          <w:p w14:paraId="07461F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283604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8C592F4" w14:textId="77777777">
        <w:tc>
          <w:tcPr>
            <w:tcW w:w="1668" w:type="dxa"/>
          </w:tcPr>
          <w:p w14:paraId="478EA3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88. 42412</w:t>
            </w:r>
          </w:p>
        </w:tc>
        <w:tc>
          <w:tcPr>
            <w:tcW w:w="1559" w:type="dxa"/>
          </w:tcPr>
          <w:p w14:paraId="46267B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20к/-</w:t>
            </w:r>
          </w:p>
        </w:tc>
        <w:tc>
          <w:tcPr>
            <w:tcW w:w="1559" w:type="dxa"/>
          </w:tcPr>
          <w:p w14:paraId="4D5AA8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2A1102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3.6.44</w:t>
            </w:r>
          </w:p>
        </w:tc>
        <w:tc>
          <w:tcPr>
            <w:tcW w:w="1701" w:type="dxa"/>
          </w:tcPr>
          <w:p w14:paraId="69A4F1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Каминский</w:t>
            </w:r>
          </w:p>
        </w:tc>
        <w:tc>
          <w:tcPr>
            <w:tcW w:w="1560" w:type="dxa"/>
          </w:tcPr>
          <w:p w14:paraId="77C8E7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173F6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A05BA85" w14:textId="77777777">
        <w:tc>
          <w:tcPr>
            <w:tcW w:w="1668" w:type="dxa"/>
          </w:tcPr>
          <w:p w14:paraId="1EA362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89. 42512</w:t>
            </w:r>
          </w:p>
        </w:tc>
        <w:tc>
          <w:tcPr>
            <w:tcW w:w="1559" w:type="dxa"/>
          </w:tcPr>
          <w:p w14:paraId="7D0683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к/-</w:t>
            </w:r>
          </w:p>
        </w:tc>
        <w:tc>
          <w:tcPr>
            <w:tcW w:w="1559" w:type="dxa"/>
          </w:tcPr>
          <w:p w14:paraId="7DEB8A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w:t>
            </w:r>
          </w:p>
        </w:tc>
        <w:tc>
          <w:tcPr>
            <w:tcW w:w="1559" w:type="dxa"/>
          </w:tcPr>
          <w:p w14:paraId="503469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21.6.44</w:t>
            </w:r>
          </w:p>
        </w:tc>
        <w:tc>
          <w:tcPr>
            <w:tcW w:w="1701" w:type="dxa"/>
          </w:tcPr>
          <w:p w14:paraId="05BCDB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Грязнов</w:t>
            </w:r>
          </w:p>
        </w:tc>
        <w:tc>
          <w:tcPr>
            <w:tcW w:w="1560" w:type="dxa"/>
          </w:tcPr>
          <w:p w14:paraId="393DAF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2.8.44</w:t>
            </w:r>
          </w:p>
        </w:tc>
        <w:tc>
          <w:tcPr>
            <w:tcW w:w="1559" w:type="dxa"/>
          </w:tcPr>
          <w:p w14:paraId="0E72ED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w:t>
            </w:r>
          </w:p>
        </w:tc>
      </w:tr>
      <w:tr w:rsidR="000F5689" w:rsidRPr="00925F26" w14:paraId="64CB2977" w14:textId="77777777">
        <w:tc>
          <w:tcPr>
            <w:tcW w:w="1668" w:type="dxa"/>
          </w:tcPr>
          <w:p w14:paraId="78D178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90. 42612</w:t>
            </w:r>
          </w:p>
        </w:tc>
        <w:tc>
          <w:tcPr>
            <w:tcW w:w="1559" w:type="dxa"/>
          </w:tcPr>
          <w:p w14:paraId="170B8D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СССР-Н550</w:t>
            </w:r>
          </w:p>
        </w:tc>
        <w:tc>
          <w:tcPr>
            <w:tcW w:w="1559" w:type="dxa"/>
          </w:tcPr>
          <w:p w14:paraId="3147CD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c>
          <w:tcPr>
            <w:tcW w:w="1559" w:type="dxa"/>
          </w:tcPr>
          <w:p w14:paraId="2AB270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w:t>
            </w:r>
          </w:p>
        </w:tc>
        <w:tc>
          <w:tcPr>
            <w:tcW w:w="1701" w:type="dxa"/>
          </w:tcPr>
          <w:p w14:paraId="1A9A9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Агров, Додонов</w:t>
            </w:r>
          </w:p>
        </w:tc>
        <w:tc>
          <w:tcPr>
            <w:tcW w:w="1560" w:type="dxa"/>
          </w:tcPr>
          <w:p w14:paraId="36BFE8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B3614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77A6ABC" w14:textId="77777777">
        <w:tc>
          <w:tcPr>
            <w:tcW w:w="1668" w:type="dxa"/>
          </w:tcPr>
          <w:p w14:paraId="6102A9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91. 42712</w:t>
            </w:r>
          </w:p>
        </w:tc>
        <w:tc>
          <w:tcPr>
            <w:tcW w:w="1559" w:type="dxa"/>
          </w:tcPr>
          <w:p w14:paraId="3E3322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4AD13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c>
          <w:tcPr>
            <w:tcW w:w="1559" w:type="dxa"/>
          </w:tcPr>
          <w:p w14:paraId="57986A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0D34B9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0" w:type="dxa"/>
          </w:tcPr>
          <w:p w14:paraId="3AC386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7A144A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5B4EBCC" w14:textId="77777777">
        <w:tc>
          <w:tcPr>
            <w:tcW w:w="1668" w:type="dxa"/>
          </w:tcPr>
          <w:p w14:paraId="2E5D99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92. 42812</w:t>
            </w:r>
          </w:p>
        </w:tc>
        <w:tc>
          <w:tcPr>
            <w:tcW w:w="1559" w:type="dxa"/>
          </w:tcPr>
          <w:p w14:paraId="57D75A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СССР-Н395</w:t>
            </w:r>
          </w:p>
        </w:tc>
        <w:tc>
          <w:tcPr>
            <w:tcW w:w="1559" w:type="dxa"/>
          </w:tcPr>
          <w:p w14:paraId="7BB61D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c>
          <w:tcPr>
            <w:tcW w:w="1559" w:type="dxa"/>
          </w:tcPr>
          <w:p w14:paraId="14A455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7F6606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0" w:type="dxa"/>
          </w:tcPr>
          <w:p w14:paraId="08070A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Pr>
          <w:p w14:paraId="113B94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393AD7F" w14:textId="77777777">
        <w:tc>
          <w:tcPr>
            <w:tcW w:w="1668" w:type="dxa"/>
            <w:tcBorders>
              <w:bottom w:val="single" w:sz="12" w:space="0" w:color="auto"/>
            </w:tcBorders>
          </w:tcPr>
          <w:p w14:paraId="78C6AF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93. 42912</w:t>
            </w:r>
          </w:p>
        </w:tc>
        <w:tc>
          <w:tcPr>
            <w:tcW w:w="1559" w:type="dxa"/>
            <w:tcBorders>
              <w:bottom w:val="single" w:sz="12" w:space="0" w:color="auto"/>
            </w:tcBorders>
          </w:tcPr>
          <w:p w14:paraId="79540C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Borders>
              <w:bottom w:val="single" w:sz="12" w:space="0" w:color="auto"/>
            </w:tcBorders>
          </w:tcPr>
          <w:p w14:paraId="287A90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АЧ-ЗОБ</w:t>
            </w:r>
          </w:p>
        </w:tc>
        <w:tc>
          <w:tcPr>
            <w:tcW w:w="1559" w:type="dxa"/>
            <w:tcBorders>
              <w:bottom w:val="single" w:sz="12" w:space="0" w:color="auto"/>
            </w:tcBorders>
          </w:tcPr>
          <w:p w14:paraId="00FCA1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Borders>
              <w:bottom w:val="single" w:sz="12" w:space="0" w:color="auto"/>
            </w:tcBorders>
          </w:tcPr>
          <w:p w14:paraId="76BA18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60" w:type="dxa"/>
            <w:tcBorders>
              <w:bottom w:val="single" w:sz="12" w:space="0" w:color="auto"/>
            </w:tcBorders>
          </w:tcPr>
          <w:p w14:paraId="5C4619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559" w:type="dxa"/>
            <w:tcBorders>
              <w:bottom w:val="single" w:sz="12" w:space="0" w:color="auto"/>
            </w:tcBorders>
          </w:tcPr>
          <w:p w14:paraId="0855ED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bl>
    <w:p w14:paraId="3373DC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Пояснения:</w:t>
      </w:r>
    </w:p>
    <w:p w14:paraId="7EDAE0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Заводской номер самолета: две первые цифры - шифр изделия, следующие одна или две цифры - номер самолета в серии, оставшиеся цифры (одна или две) - номер серии. Например, номер 42066: 42 - шифр изделия (Пе-8), шестой самолет (06) шестой серии (6). Еше пример. 42510: Пе- 8 пятый самолет (5) десятой серии (10).</w:t>
      </w:r>
    </w:p>
    <w:p w14:paraId="2DEF68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Сокращения в колонке "Хв. №" означают: к - красного цвета, с - синего (голубого), ж - желтого.</w:t>
      </w:r>
    </w:p>
    <w:p w14:paraId="5484EC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колонке "Прочие сведения": А - авария. К - катастрофа, ЗА - потеря от зенитной артиллерии, ПЗ - потерян на земле от бомбардировок противника, ВП - вынужденная посадка, М - потерян по метеоусловиям, ЛС - потерян по вине личного состава. Т - потерян из-за технической неисправности, ИА - потеря от воздействия истребителей противника. В скобках указано число погибших членов экипажа.</w:t>
      </w:r>
    </w:p>
    <w:p w14:paraId="0A84A1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Таблица приведена с небольшими изменениями согласно публикации В.Раткина в журнале "Мир авиации" №2 1997 г. </w:t>
      </w:r>
    </w:p>
    <w:p w14:paraId="1D2AA0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Дополнения к списку поступления и убытия</w:t>
      </w:r>
    </w:p>
    <w:p w14:paraId="07607F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Приведены материалы по авариям и списанию отдельных экземпляров Пе-8 (ТБ-7).</w:t>
      </w:r>
    </w:p>
    <w:p w14:paraId="1C11C4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Подготовлено по материалам ЦАМО РФ:</w:t>
      </w:r>
    </w:p>
    <w:p w14:paraId="70BEE8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Фонд 45 ад дд, оп.1, д 158. Сведения, указания и переписка по технической эксплуатации.</w:t>
      </w:r>
    </w:p>
    <w:p w14:paraId="66E60C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Фонд 1 Гв ад дд, on. 1, д 131, 170. Аварийные материалы. Указания, распоряжения по ремонту матчасти и переписка АДД с заводами.</w:t>
      </w:r>
    </w:p>
    <w:p w14:paraId="228B07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№4224</w:t>
      </w:r>
    </w:p>
    <w:p w14:paraId="4A9CB8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октября 1941 г. после выполнения задания возвращался домой, потерпел аварию в районе деревни Гусево Ивановской области вследствие отказа двух правых моторов. Командир корабля майор Тягунин, штурман майор Торгман, борттехник Разумов. После осмотра аварийной комиссией 432-го авиаполка и последующего акта, утвержденного 15 октября 1941 г, признавалось, что самолет ремонту не подлежит и может быть использован на запасные части. Приборы, некоторое оборудование и вооружение передали в ремонтные мастерские, а крупные части отправили на завод № 124.</w:t>
      </w:r>
    </w:p>
    <w:p w14:paraId="7964C5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№42035</w:t>
      </w:r>
    </w:p>
    <w:p w14:paraId="2A010E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получен 2 марта 1942 г. 746-м ап на заводе №22. С начала эксплуатации налетал 100 часов 58 мин, совершил 32 посадки. 1 июня 1942 г. при выполнении тренировочного полета во время набора высоты на высоте 670 метров по очереди встали все двигатели, и самолет совершил вынужденную посадку на лес в районе Кратово. Причиной аварии стала недозаправка топливом: вместо 6000 кг было залито 3000 литров.</w:t>
      </w:r>
    </w:p>
    <w:p w14:paraId="05883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Комиссия постановила, что самолет восстановлению не подлежит. Подполковник Курбан ранее на этом самолете и с этим экипажем совершил 11 боевых вылетов.</w:t>
      </w:r>
    </w:p>
    <w:p w14:paraId="54ED49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ТБ-7 №4217</w:t>
      </w:r>
    </w:p>
    <w:p w14:paraId="2E2C2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Боевое донесение сообщало, что самолет №4217 под управлением командира корабля капитана Лавровского стартовал в 15.50 20 октября 1941 г. Цель - бомбардировка Орла. В 18.50 самолет вышел на цель и в 18.50 в условиях массивного противодействия ПВО противника с высоты 800 метров сбросил прицельно 8 ФАБ-250 и 16 ФАБ-100 одним заходом на цель в северной части города. При возвращении самолет вошел в сплошную облачность, штурман Галягин на приводную радиостанцию не настроился, в результате ориентировка была потеряна, и на свой аэродром самолет не вышел. Выйдя на Ярославль, принял его за Иваново. При посадке на аэродроме в Ярославле в 21.10 самолет потерпел аварию. Причина - плохой расчет на посадку капитана Лавровского. На пробеге самолет наскочил на препятствие с канавой. Самолет разбит, экипаж невредим.</w:t>
      </w:r>
    </w:p>
    <w:p w14:paraId="6E5CDD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Голованов на этом донесении, отправленном в штаб телеграфом и завизированном майором Иващенко написал: "Произвести расследование. Голованов".</w:t>
      </w:r>
    </w:p>
    <w:p w14:paraId="7BA276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Технический </w:t>
      </w:r>
      <w:proofErr w:type="gramStart"/>
      <w:r w:rsidRPr="00925F26">
        <w:rPr>
          <w:color w:val="000000" w:themeColor="text1"/>
          <w:sz w:val="16"/>
          <w:szCs w:val="16"/>
        </w:rPr>
        <w:t>акт</w:t>
      </w:r>
      <w:proofErr w:type="gramEnd"/>
      <w:r w:rsidRPr="00925F26">
        <w:rPr>
          <w:color w:val="000000" w:themeColor="text1"/>
          <w:sz w:val="16"/>
          <w:szCs w:val="16"/>
        </w:rPr>
        <w:t xml:space="preserve"> За подписью главного инженера авиадивизии И.В.Маркова</w:t>
      </w:r>
    </w:p>
    <w:p w14:paraId="22B6D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"Комиссия под председательством в/инженера I р(анга) т. Маркова и членов: воентехника I р(анга) т. Беленького и капитана Хуртак - 4-го ноября 1941 г. произвела осмотр самолета ТБ-7 № 4217 разбитого при посадке на аэродром в г. Ярославле 29-го октября 1941 г.</w:t>
      </w:r>
    </w:p>
    <w:p w14:paraId="5B4CDA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ТБ-7 № 4217 с моторами АМ-35А № 3045, 291942, 291921 и 29I94I получен на заводе № 124 25-го октября 1941 г. С момента выпуска с завода самолет имеет налет 10 часов,</w:t>
      </w:r>
    </w:p>
    <w:p w14:paraId="2E74D3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аварии самолет получил следующие повреждения:</w:t>
      </w:r>
    </w:p>
    <w:p w14:paraId="52E014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Сломан нижний пояс 2-го лонжерона левой плоскости.</w:t>
      </w:r>
    </w:p>
    <w:p w14:paraId="798FAC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Помято ребро встречи за 1-м мотором и порвана обшивка крыла.</w:t>
      </w:r>
    </w:p>
    <w:p w14:paraId="17D993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Разрушен Ф-1.</w:t>
      </w:r>
    </w:p>
    <w:p w14:paraId="110134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Центроплан деформирован, лонжероны поломаны.</w:t>
      </w:r>
    </w:p>
    <w:p w14:paraId="7659F1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Смята нижняя часть Ф-4.</w:t>
      </w:r>
    </w:p>
    <w:p w14:paraId="739C1C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Порван 9-й шпангоут Ф-3.</w:t>
      </w:r>
    </w:p>
    <w:p w14:paraId="47004A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Правая плоскость оторвана от центроплана. Оба лонжерона погнуты и имеют трещины, обшивка в передней кромке смята и порвана.</w:t>
      </w:r>
    </w:p>
    <w:p w14:paraId="712E65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Подмоторные рамы правой плоскости оторваны.</w:t>
      </w:r>
    </w:p>
    <w:p w14:paraId="1C035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Все 4 мотора выбыли из строя, повреждены редукторы, 3-й мотор разрушен полностью.</w:t>
      </w:r>
    </w:p>
    <w:p w14:paraId="464428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Все 4-е винта повреждены.</w:t>
      </w:r>
    </w:p>
    <w:p w14:paraId="3FC35A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Шасси самолета поломаны.</w:t>
      </w:r>
    </w:p>
    <w:p w14:paraId="446F8C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Повреждены бензобаки правой плоскости.</w:t>
      </w:r>
    </w:p>
    <w:p w14:paraId="0662E4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Вывод:</w:t>
      </w:r>
    </w:p>
    <w:p w14:paraId="1ADD8B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подлежит восстановительному заводскому ремонту: с заменой центроплана, шассийных установок, подмоторных рам и ремонтом крыльев.</w:t>
      </w:r>
    </w:p>
    <w:p w14:paraId="404667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Для восстановления самолет разобрать и направить на завод № 124.</w:t>
      </w:r>
    </w:p>
    <w:p w14:paraId="67F93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Просить 13-е управление самолет №4217 списать с лицевого счета 432 ап".</w:t>
      </w:r>
    </w:p>
    <w:p w14:paraId="5E68B5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№4227</w:t>
      </w:r>
    </w:p>
    <w:p w14:paraId="7211C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"Доношу об аварии корабля ТБ-7 №4227, произошедшей в 01 ч. 15 минут 10.7.42 г., вследствие вынужденной посадки на лес Ра- менского парка, что в 5-ти километрах восточнее аэродрома Раменское.</w:t>
      </w:r>
    </w:p>
    <w:p w14:paraId="2FEA17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Корабль ТБ-7 №4227, в ночь с 9.7 на 10.7.42 г. выполнял боевое задание в составе экипажа: командира корабля - ст. лейтенанта Ищенко, штурмана аэ - капитана Ушакова, второго летчика - ст. лейтенанта Хорошилова, старшего борттехника - в/техника 1 ранга Громова, пом(ощника) борттехника - ст.т/лейтенанта Зубрицкого.</w:t>
      </w:r>
    </w:p>
    <w:p w14:paraId="429F28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полете на основную цель - жел. дор. узел Курск, в районе г. Орел корабль был обстрелян ЗА противника. По докладу подшас- сийных стрелков один снаряд разорвался близко под левой плоскостью, после чего на моторе № 2 резко повысилась температура воды до 120° и (он) сбавил обороты до 1200 об/мин. Мотор № 2 был выключен.</w:t>
      </w:r>
    </w:p>
    <w:p w14:paraId="6EE93B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 корабля принял решение бомбить запасную цель - жел. дор. узел Орел, что и было выполнено. Выполнив бомбометание по ж.д. узлу Орел, корабль на трех моторах прилетел к своему аэродрому. По моему наблюдению со старта, командир корабля Ищенко, сделав круг над аэродромом, нормально зашел на посадку. Выйдя на прямую по "Т", включил обе фары, проплани- ровал по прямой 12-20 секунд, (затем) корабль на высоте около 150 метров резко с креном в 30° начал разворачиваться влево, с дальнейшим снижением. Когда корабль ТБ-7 развернулся влево на 160°-180", света фар я уже не видел и наблюдение за кораблем потерял.</w:t>
      </w:r>
    </w:p>
    <w:p w14:paraId="048C8F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Авария корабля ТБ-7 №4227 произошла по причине: отказа мотора № 2 еще при подходе к запасной цели. При планировании на прямой по "Т" отказал мотор № 1, вследствие чего корабль резко развернуло влево, а затем отказал мотор № 3,</w:t>
      </w:r>
    </w:p>
    <w:p w14:paraId="1F6D4A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Вероятной причиной отказа моторов послужило повреждение бензиновых магистралей от пожарных кранов до бензопомпы 1-го и 3-го моторов, в результате обстрела ЗА над целью.</w:t>
      </w:r>
    </w:p>
    <w:p w14:paraId="3EC39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 корабля Ишенко, как летчик сделал все возможное, чтобы по приборам вывести корабль из создавшегося разворота, сохранить скорость и нормально посадить корабль на лес, используя свет фар с тем, чтобы спасти жизнь членов экипажа.</w:t>
      </w:r>
    </w:p>
    <w:p w14:paraId="702A07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Командир 746 ап майор Егоров".</w:t>
      </w:r>
    </w:p>
    <w:p w14:paraId="176CEF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Донесение командира корабля ст. лейтенанта Н.А.Ишенко.</w:t>
      </w:r>
    </w:p>
    <w:p w14:paraId="493EB6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Кратово, 12.7. 1942 г.:</w:t>
      </w:r>
    </w:p>
    <w:p w14:paraId="05E318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"Доношу о полете на боевое задание в ночь с 9-го на 10-е июля 1942 года. Взлет был произведен 9.7.42 г. в 21 час 25 мин. После набора высоты 100 метров наддув был установлен 900 мм, с этим наддувом на скорости 220 км/ч по прибору производился набор высоты до 8500 метров (заданная высота бомбометания), моторы работали отлично. В воздухе было получено распоряжение всем самолетам ТБ-7 бомбить не Курский ж.д. узел, а ж.д. узел г. Орла. Штурман произвел новые расчеты, и курс был изменен на Орел, о чем было сообщено с борта.</w:t>
      </w:r>
    </w:p>
    <w:p w14:paraId="743E69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Не долетая до цели километров 20, нами было получено с земли, что распоряжение в отношении г. Орла нас не касается и что нам надлежит бомбить основную цель. Были также произведены новые расчеты, и курс был изменен на г. Курск. Пройдя этим курсом минут 5, мотор №2 резко сбавил обороты до 1000-1200 об/мин и стала резко подниматься температура воды, мотор был выключен. Штурману дано мною приказание бомбить запасную цель - ж.д. узел Орла, одновременно было сообщено на КП о принятии решения.</w:t>
      </w:r>
    </w:p>
    <w:p w14:paraId="19568D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Бомбометание было произведено с высоты 3.300 метров на скорости 220 км/час по прибору с одного захода. Сброшено 8 ФАБ-250 и 2 ФАБ-1000, после чего полет производился на следующем режиме: Ра всех моторов было установлено 800 мм, скорость по прибору 220 км/ч, остальные моторы работали отлично. Начиная </w:t>
      </w:r>
      <w:proofErr w:type="gramStart"/>
      <w:r w:rsidRPr="00925F26">
        <w:rPr>
          <w:color w:val="000000" w:themeColor="text1"/>
          <w:sz w:val="16"/>
          <w:szCs w:val="16"/>
        </w:rPr>
        <w:t>от Коломны (самолет)</w:t>
      </w:r>
      <w:proofErr w:type="gramEnd"/>
      <w:r w:rsidRPr="00925F26">
        <w:rPr>
          <w:color w:val="000000" w:themeColor="text1"/>
          <w:sz w:val="16"/>
          <w:szCs w:val="16"/>
        </w:rPr>
        <w:t xml:space="preserve"> все время держали прожектора, несмотря на дачу сигнала "я свой". Как потом выяснилось, сигнал был дан неверно. Так как шел дождь, аэродром увидел, когда подошел к нему вплотную. Были даны все сигналы о принадлежности самолета </w:t>
      </w:r>
      <w:proofErr w:type="gramStart"/>
      <w:r w:rsidRPr="00925F26">
        <w:rPr>
          <w:color w:val="000000" w:themeColor="text1"/>
          <w:sz w:val="16"/>
          <w:szCs w:val="16"/>
        </w:rPr>
        <w:t>Рамен- скому</w:t>
      </w:r>
      <w:proofErr w:type="gramEnd"/>
      <w:r w:rsidRPr="00925F26">
        <w:rPr>
          <w:color w:val="000000" w:themeColor="text1"/>
          <w:sz w:val="16"/>
          <w:szCs w:val="16"/>
        </w:rPr>
        <w:t xml:space="preserve"> аэродрому. Сделал круг над аэродромом и дважды сообщил о том, что находимся над аэродромом. Перед третьим разворотом начал выпуск шасси. Во время третьего разворота на аэродроме были зажжены посадочные прожектора, после разворота были потушены. Идя под углом 90° к "Т" </w:t>
      </w:r>
      <w:proofErr w:type="gramStart"/>
      <w:r w:rsidRPr="00925F26">
        <w:rPr>
          <w:color w:val="000000" w:themeColor="text1"/>
          <w:sz w:val="16"/>
          <w:szCs w:val="16"/>
        </w:rPr>
        <w:t>дважды правой фарой</w:t>
      </w:r>
      <w:proofErr w:type="gramEnd"/>
      <w:r w:rsidRPr="00925F26">
        <w:rPr>
          <w:color w:val="000000" w:themeColor="text1"/>
          <w:sz w:val="16"/>
          <w:szCs w:val="16"/>
        </w:rPr>
        <w:t xml:space="preserve"> просил старт, в это время была открыта пулеметная стрельба на </w:t>
      </w:r>
      <w:proofErr w:type="gramStart"/>
      <w:r w:rsidRPr="00925F26">
        <w:rPr>
          <w:color w:val="000000" w:themeColor="text1"/>
          <w:sz w:val="16"/>
          <w:szCs w:val="16"/>
        </w:rPr>
        <w:t>Рамен- ском</w:t>
      </w:r>
      <w:proofErr w:type="gramEnd"/>
      <w:r w:rsidRPr="00925F26">
        <w:rPr>
          <w:color w:val="000000" w:themeColor="text1"/>
          <w:sz w:val="16"/>
          <w:szCs w:val="16"/>
        </w:rPr>
        <w:t xml:space="preserve"> аэродроме. Последний разворот производил по времени, так как на аэродроме и в его районе световых точек не было видно, взлетных полос из-за дождя также не было видно.</w:t>
      </w:r>
    </w:p>
    <w:p w14:paraId="288D23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развороте были зажжены фары, в надежде на то, что будет дан старт. В конце разворота отказали все моторы. Высота в это время была 280-250 метров. Так как не было никаких световых точек, и земля также была плохо видна, то машину пришлось восстановить в нормальный режим планирования по приборам, высота в это время была 130-120 метров. Была дана команда убрать шасси, в это время штурман выпрыгнул, остальной экипаж ушел в Ф-2 и Ф-3 за исключением командира корабля, 2-го летчика и 1 -го б/техника, которые оставались до окончания посадки на своих местах. Посадка после восстановления нормального режима планирования производилась прямо перед собой на лес. Зажигание было выключено с 20 метров над лесом, до этого была попытка подкачки горючего ручным альвейером. Посадка произведена 10.7.42 г. в 01 час 15 минут.</w:t>
      </w:r>
    </w:p>
    <w:p w14:paraId="49A881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Что замечено при полете: перед отказом мотора №2 стрелками был замечен под плоскостью разрыв снаряда. В момент захода на посадку отказал мотор № 1, вследствие чего машину резко развернуло влево. Заметить это не было возможности, было такое ощущение, что будто бы все моторы сдали сразу в одно время".</w:t>
      </w:r>
    </w:p>
    <w:p w14:paraId="606BF2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техническому акту, подготовленному 15 июля 1942 г. признавалось, что повреждения самолета в результате аварии делают невозможным ремонт и что поэтому самолет подлежит разборке на утиль и запчасти. Для ремонта в ПАРМ может быть использовано:</w:t>
      </w:r>
    </w:p>
    <w:p w14:paraId="28390D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Вертикальное оперение.</w:t>
      </w:r>
    </w:p>
    <w:p w14:paraId="2FC938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Лонжероны руля высоты.</w:t>
      </w:r>
    </w:p>
    <w:p w14:paraId="5597F0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Кронштейны подвески руля поворота на 9-м шпангоуте.</w:t>
      </w:r>
    </w:p>
    <w:p w14:paraId="40E2B9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Верхняя надстройка центроплана.</w:t>
      </w:r>
    </w:p>
    <w:p w14:paraId="54E732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Фонарь летчиков и пол пилотов с арматурой.</w:t>
      </w:r>
    </w:p>
    <w:p w14:paraId="448BAD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Часть магистральной арматуры.</w:t>
      </w:r>
    </w:p>
    <w:p w14:paraId="3D7DBD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Часть вооружения и спецоборудования.</w:t>
      </w:r>
    </w:p>
    <w:p w14:paraId="1BE09F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№42068</w:t>
      </w:r>
    </w:p>
    <w:p w14:paraId="136265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техническом акте, подготовленном 13.12.42 г. указывалось: "Самолет Пе-8 №42068 выпущен заводом №22 НКАП 1 сентября 1942 г. с 4-мя моторами АМ-35А... получен с завода 890-м авиаполком дальнего </w:t>
      </w:r>
    </w:p>
    <w:p w14:paraId="40CEC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действия 4.11.42 г. С начала эксплуатации самолет налетал 15 час 55 мин, произвел 20 посадок...</w:t>
      </w:r>
    </w:p>
    <w:p w14:paraId="57AFA2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Пе-8 №42068 под управлением командира корабля майора Пахомчик и борттехника инженер-капитана Шатохина при возвращении с боевого задания 1.12.42 г. при подходе к аэродрому потерпел катастрофу. Самолет сгорел полностью со всем оборудованием, вооружением, бортинструмен- том и одиннадцатью парашютами".</w:t>
      </w:r>
    </w:p>
    <w:p w14:paraId="0809BF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№42097 и №42015</w:t>
      </w:r>
    </w:p>
    <w:p w14:paraId="78FCD4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Потерпели катастрофу на аэродроме Кра- тово 28 октября 1942 г. "Самолет 42097 и части самолета 42015 переданы в ПАМ-5 для производства восстановительного ремонта, при котором используются Ф-1 и центроплан самолета 42097, Ф-3 и плоскости с самолета 42015. Самолет восстанавливается под номером 42097".</w:t>
      </w:r>
    </w:p>
    <w:p w14:paraId="1660B4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№42015 был принят с завода №124 18 марта 1941 г.</w:t>
      </w:r>
    </w:p>
    <w:p w14:paraId="16F36C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№42028</w:t>
      </w:r>
    </w:p>
    <w:p w14:paraId="13A5F1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Выпущен заводом №22 с четырьмя двигателями АМ-35А 30 июля 1942 г. Налетал 271 ч. 31 мин, совершил 77 посадок, 1-й мотор заменялся 5 раз, 2-й - 2 раза, 3-й - 3 раза, 4-й - 3 раза. При выполнении боевого задания 24 февраля 1942 г. через 40 мин полета первый мотор начало трясти, далее обнаружилась течь масла - мотор был выключен. Не выполнив боевого задания, самолет произвел посадку с бомбами (полетный вес 31,5 т) на аэродроме Кратово. Посадка была произведена до посадочного "Т" за 200-300 м со сносом, с креном на левое Подъем аварийного Пе-8 крыло. При совершении посадки при силь- Ш42028 при помощи под- ном ударе стойки левого шасси подломи- ручных средств для уста- лись, и левая консоль зацепила за землю, за- новки на шасси тем последовало разрушение правой стойки и самолет развернуло влево. Экипаж: командир капитан Сугак, 2-й летчик майор Васильев, штурман ст. лейтенант Белоус, борт- техники - ст. техник-лейтенант Прудыус и ст. техник-лейтенант Корнеев.</w:t>
      </w:r>
    </w:p>
    <w:p w14:paraId="602BA0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февраля 1942 г. аварийная комиссия постановила, что самолет может быть отремонтирован силами авиаремонтных мастерских с помощью ремонтной бригады завода №22.</w:t>
      </w:r>
    </w:p>
    <w:p w14:paraId="04C156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№42076</w:t>
      </w:r>
    </w:p>
    <w:p w14:paraId="08152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Изготовлен на заводе №22 2 октября 1941 г. С начала эксплуатации налетал 189 ч 40 мин, посадок - 68. 14 марта 1943 г. после взлета на высоте 150 м поочередно встали два мотора: 2-й и 1-й. Командир корабля капитан Макаренко при двух работающих моторах принял решение садиться перед собой с убранным шасси. Самолет приземлился с бомбами на пересеченной местности, при посадке зацепил крылом два телеграфных столба, в конце пробега развернулся на 90°. Позднее №42076 был восстановлен.</w:t>
      </w:r>
    </w:p>
    <w:p w14:paraId="2E437E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№42087</w:t>
      </w:r>
    </w:p>
    <w:p w14:paraId="6E62EF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 с завода №22 29 июня 1942 г. налетал 207 час 59 мин, совершил 60 посадок. В ходе эксплуатации имел скоростной капот 6 июля 1942 г. на аэродроме Кратово, после чего прошел восстановительный ремонт. После ремонта налетал 190 часов 01 мин, совершил 47 посадок. После замены двигателей АМ-35А, выработавших моторесурс, 12 марта 1943 г. был выпущен в воздух для опробования новых двигателей на высоте 6300 метров. Командир корабля ст. лейтенант Кокорев, второй пилот лейтенант Романов, борттехник инженер-капитан Евлам- пиев. После выполнения набора заданной высоты, при снижении один за другим сдали 2-й, затем 1-й моторы. После отказа двух левых моторов самолет совершил вынужденную посадку с убранным шасси на лес в районе деревни Федоровка Виноградовского района Московской области. Несмотря на значительные повреждения, указывалось, что Пе-8 №42087 может быть восстановлен в ремонтных мастерских, с заменой Ф-4, левой плоскости, левого шасси, правой части горизонтального оперения.</w:t>
      </w:r>
    </w:p>
    <w:p w14:paraId="648EF5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№42038</w:t>
      </w:r>
    </w:p>
    <w:p w14:paraId="5B65B6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№42038 с М-30Б в 1943 г. находился в опытной эксплуатации в 45-й аддд. 10 апреля 1943 г. самолет, пилотируемый капитаном Перегудовым, борттехник ст. лейтенат Кищенко, взлетел с полетным весом 34,5 т для выполнения боевого задания. После выполнения боевого задания, при совершении посадки левая нога шасси сложилась, Пе-8 №42038 получил повреждения. Как оказалось, еше на взлете произошла поломка механизма фиксации ломающегося подкоса системы уборки основной левой стойки шасси. В дальнейшем рекомендовалось более тщательно осматривать самолеты перед вылетом, машины с большим полетным весом выводить на старт при помощи трактора.</w:t>
      </w:r>
    </w:p>
    <w:p w14:paraId="680545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№42098</w:t>
      </w:r>
    </w:p>
    <w:p w14:paraId="2D36A5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выпущен заводом №22 23 февраля 1943 г. С начала эксплуатации налетал 78 ч 49 мин, выполнил 17 посадок. При совершении взлета 5 апреля 1943 г. самолет с полетным весом 32.930 кг (бомбы 4.110 кг) во второй половине разбега развернуло влево. Летчик майор Сушин нажал на тормоз правого колеса, далее последовало разрушение правой, а затем и левой стоек шасси. Самолет после 600 метров пробега развернуло на 130-140°, и он лег на фюзеляж. Было принято решение отремонтировать самолет силами ремонтных мастерских.</w:t>
      </w:r>
    </w:p>
    <w:p w14:paraId="247E4F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№4215, №4218, №4225</w:t>
      </w:r>
    </w:p>
    <w:p w14:paraId="1CBB40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апреля 1943 г. командир 45-й авиадивизии Лебедев направил на имя командующего АДД Генерал-полковника Голованова письмо, в котором докладывал, что три самолета первых серий выпуска 1940 г. имеют значительный износ и требуют капитального ремонта. Эти три самолета: №4215 (налет 551 ч, 197 посадок), №4218 (налет 532 часа, 449 посадок) и №4225 (налет 230 часов, 832 посадки) предлагалось направить для ремонта на завод №22 с переоборудованием на двигатели М-82.</w:t>
      </w:r>
    </w:p>
    <w:p w14:paraId="56A658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Пока ожидали положительного решения, Пе-8 №4215 890-го ап продолжал тренировочные полеты. 31 мая 1943 г. самолет №4215 потерпел аварию на аэродроме Кратово. При взлете, во 2-й половине разбега в №4215 врезался истребитель Як-7Б (летчик сержант Сопик совершал вынужденную посадку под углом 45° к полосе по причине отказа двигателя). Признавалось, что вследствие больших разрушений, полученных при аварии, а также вследствие изношенности планера и оборудования самолет восстанавливать нецелесообразно. Отдельные части планера и оборудования предлагалось использовать для ремонта других самолетов. Пе-8 №4215 к этому времени уже налетал 622 часа 53 мин, совершил 246 посадок.</w:t>
      </w:r>
    </w:p>
    <w:p w14:paraId="46908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№42099</w:t>
      </w:r>
    </w:p>
    <w:p w14:paraId="31BDDB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Этот Пе-8 с моторами М-82, выпушенный заводом №22 14 мая 1943 г., налетал 63 часа 46 мин, выполнил 26 посадок. При совершении тренировочных полетов самолет на пробеге через 500-600 метров развернуло влево, после разрушения шасси он лег на фюзеляж. Самолетом управляли: 1-й летчик капитан Зеленский, 2-й летчик ст. лейтенант Викентьев. Признавалось, что Пе-8 №42099 можно отремонтировать в мастерских ПАМ-5.</w:t>
      </w:r>
    </w:p>
    <w:p w14:paraId="5B8BB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№42610</w:t>
      </w:r>
    </w:p>
    <w:p w14:paraId="1A21E1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Выпущен заводом №22 22 августа 1943 г., налетал 13 часов, совершил 8 посадок. 4 сентября 1943 г. вылетел на боевое задание, имея следующую нагрузку: горючего 5000 кг, бомб 5000 кг, экипаж 12 человек, полетный вес 32000 кг. При совершении взлета через 200 метров разбега попал в неуправляемый разворот и снес шасси. Техническая комиссия сделала заключение, что самолет может быть отремонтирован в ПАМ-5. Одновременно, комиссия указала, что подобные аварии уже были: "самолет имеет тенденцию к развороту влево при взлете и посадке, самовыключающийся стопор хвостового колеса не препятствует развороту и малейшее запаздывание в парировании разворота моторами не исключает ввода самолета в неуправляемый разворот, результатом чего в большинстве случаев является поломка шасси... Существующая прочность шасси недостаточная и особенно малым запасом прочности шасси обладают от боковых нагрузок".</w:t>
      </w:r>
    </w:p>
    <w:p w14:paraId="20D7F6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№42059</w:t>
      </w:r>
    </w:p>
    <w:p w14:paraId="182429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Списать в расход с 30 августа 1943 г, согласно техническому акту №01310 от 15 августа 1943 г.</w:t>
      </w:r>
    </w:p>
    <w:p w14:paraId="3E527C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№42108</w:t>
      </w:r>
    </w:p>
    <w:p w14:paraId="7D7812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Списать в расход с 27 сентября 1943 г. согласно техническому акту №0181 от 14 сентября 1943 г.</w:t>
      </w:r>
    </w:p>
    <w:p w14:paraId="0269D7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№42077</w:t>
      </w:r>
    </w:p>
    <w:p w14:paraId="317BE7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Списать в расход с 7 ноября 1943 г. согласно техническому акту №0216 от 30 ноября 1943 г. (12025).</w:t>
      </w:r>
    </w:p>
    <w:p w14:paraId="797BF2BD" w14:textId="77777777" w:rsidR="00665165" w:rsidRPr="00925F26" w:rsidRDefault="00665165" w:rsidP="00925F26">
      <w:pPr>
        <w:autoSpaceDE w:val="0"/>
        <w:autoSpaceDN w:val="0"/>
        <w:adjustRightInd w:val="0"/>
        <w:jc w:val="both"/>
        <w:rPr>
          <w:color w:val="000000" w:themeColor="text1"/>
          <w:sz w:val="16"/>
          <w:szCs w:val="16"/>
        </w:rPr>
      </w:pPr>
    </w:p>
    <w:p w14:paraId="1D40CBD1" w14:textId="77777777" w:rsidR="00023647" w:rsidRPr="001A0BAA" w:rsidRDefault="00023647" w:rsidP="00023647">
      <w:pPr>
        <w:jc w:val="both"/>
        <w:rPr>
          <w:color w:val="0070C0"/>
          <w:sz w:val="16"/>
          <w:szCs w:val="16"/>
        </w:rPr>
      </w:pPr>
      <w:r w:rsidRPr="001A0BAA">
        <w:rPr>
          <w:color w:val="0070C0"/>
          <w:sz w:val="16"/>
          <w:szCs w:val="16"/>
        </w:rPr>
        <w:t>По состоянию на 10 мая 1945 г. в составе АДД насчитывалось уже 19 полков на «Ли-2» — всего 593 самолета. «Ли-2» в этот момент являлся самым многочисленным совет</w:t>
      </w:r>
      <w:r w:rsidRPr="001A0BAA">
        <w:rPr>
          <w:color w:val="0070C0"/>
          <w:sz w:val="16"/>
          <w:szCs w:val="16"/>
        </w:rPr>
        <w:softHyphen/>
        <w:t>ским бомбардировщиком в Авиации дальнего действия (АДД), о чем свидетельствует сравни</w:t>
      </w:r>
      <w:r w:rsidRPr="001A0BAA">
        <w:rPr>
          <w:color w:val="0070C0"/>
          <w:sz w:val="16"/>
          <w:szCs w:val="16"/>
        </w:rPr>
        <w:softHyphen/>
        <w:t>тельная таблица:</w:t>
      </w:r>
    </w:p>
    <w:tbl>
      <w:tblPr>
        <w:tblOverlap w:val="never"/>
        <w:tblW w:w="0" w:type="auto"/>
        <w:tblLayout w:type="fixed"/>
        <w:tblCellMar>
          <w:left w:w="10" w:type="dxa"/>
          <w:right w:w="10" w:type="dxa"/>
        </w:tblCellMar>
        <w:tblLook w:val="04A0" w:firstRow="1" w:lastRow="0" w:firstColumn="1" w:lastColumn="0" w:noHBand="0" w:noVBand="1"/>
      </w:tblPr>
      <w:tblGrid>
        <w:gridCol w:w="1253"/>
        <w:gridCol w:w="1190"/>
        <w:gridCol w:w="1190"/>
        <w:gridCol w:w="1190"/>
        <w:gridCol w:w="1190"/>
        <w:gridCol w:w="1190"/>
        <w:gridCol w:w="1190"/>
        <w:gridCol w:w="1200"/>
      </w:tblGrid>
      <w:tr w:rsidR="00023647" w:rsidRPr="001A0BAA" w14:paraId="02F26A42" w14:textId="77777777" w:rsidTr="00B56A2A">
        <w:trPr>
          <w:trHeight w:hRule="exact" w:val="384"/>
          <w:tblHeader/>
        </w:trPr>
        <w:tc>
          <w:tcPr>
            <w:tcW w:w="1253" w:type="dxa"/>
            <w:tcBorders>
              <w:top w:val="single" w:sz="4" w:space="0" w:color="auto"/>
              <w:left w:val="single" w:sz="4" w:space="0" w:color="auto"/>
            </w:tcBorders>
            <w:shd w:val="clear" w:color="auto" w:fill="FFFFFF"/>
          </w:tcPr>
          <w:p w14:paraId="59D7D2C9" w14:textId="77777777" w:rsidR="00023647" w:rsidRPr="001A0BAA" w:rsidRDefault="00023647" w:rsidP="00B56A2A">
            <w:pPr>
              <w:jc w:val="both"/>
              <w:rPr>
                <w:color w:val="0070C0"/>
                <w:sz w:val="16"/>
                <w:szCs w:val="16"/>
              </w:rPr>
            </w:pPr>
          </w:p>
        </w:tc>
        <w:tc>
          <w:tcPr>
            <w:tcW w:w="1190" w:type="dxa"/>
            <w:tcBorders>
              <w:top w:val="single" w:sz="4" w:space="0" w:color="auto"/>
              <w:left w:val="single" w:sz="4" w:space="0" w:color="auto"/>
            </w:tcBorders>
            <w:shd w:val="clear" w:color="auto" w:fill="FFFFFF"/>
            <w:vAlign w:val="center"/>
          </w:tcPr>
          <w:p w14:paraId="47BE5C42"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«Ил-4»</w:t>
            </w:r>
          </w:p>
        </w:tc>
        <w:tc>
          <w:tcPr>
            <w:tcW w:w="1190" w:type="dxa"/>
            <w:tcBorders>
              <w:top w:val="single" w:sz="4" w:space="0" w:color="auto"/>
              <w:left w:val="single" w:sz="4" w:space="0" w:color="auto"/>
            </w:tcBorders>
            <w:shd w:val="clear" w:color="auto" w:fill="FFFFFF"/>
            <w:vAlign w:val="center"/>
          </w:tcPr>
          <w:p w14:paraId="6CE637C0"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«Ер-2»</w:t>
            </w:r>
          </w:p>
        </w:tc>
        <w:tc>
          <w:tcPr>
            <w:tcW w:w="1190" w:type="dxa"/>
            <w:tcBorders>
              <w:top w:val="single" w:sz="4" w:space="0" w:color="auto"/>
              <w:left w:val="single" w:sz="4" w:space="0" w:color="auto"/>
            </w:tcBorders>
            <w:shd w:val="clear" w:color="auto" w:fill="FFFFFF"/>
            <w:vAlign w:val="center"/>
          </w:tcPr>
          <w:p w14:paraId="56F5B08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«ТБ-3»</w:t>
            </w:r>
          </w:p>
        </w:tc>
        <w:tc>
          <w:tcPr>
            <w:tcW w:w="1190" w:type="dxa"/>
            <w:tcBorders>
              <w:top w:val="single" w:sz="4" w:space="0" w:color="auto"/>
              <w:left w:val="single" w:sz="4" w:space="0" w:color="auto"/>
            </w:tcBorders>
            <w:shd w:val="clear" w:color="auto" w:fill="FFFFFF"/>
            <w:vAlign w:val="center"/>
          </w:tcPr>
          <w:p w14:paraId="2A829EA3"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«Пе-8»</w:t>
            </w:r>
          </w:p>
        </w:tc>
        <w:tc>
          <w:tcPr>
            <w:tcW w:w="1190" w:type="dxa"/>
            <w:tcBorders>
              <w:top w:val="single" w:sz="4" w:space="0" w:color="auto"/>
              <w:left w:val="single" w:sz="4" w:space="0" w:color="auto"/>
            </w:tcBorders>
            <w:shd w:val="clear" w:color="auto" w:fill="FFFFFF"/>
            <w:vAlign w:val="center"/>
          </w:tcPr>
          <w:p w14:paraId="700C9A6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«Ли-2»</w:t>
            </w:r>
          </w:p>
        </w:tc>
        <w:tc>
          <w:tcPr>
            <w:tcW w:w="1190" w:type="dxa"/>
            <w:tcBorders>
              <w:top w:val="single" w:sz="4" w:space="0" w:color="auto"/>
              <w:left w:val="single" w:sz="4" w:space="0" w:color="auto"/>
            </w:tcBorders>
            <w:shd w:val="clear" w:color="auto" w:fill="FFFFFF"/>
            <w:vAlign w:val="center"/>
          </w:tcPr>
          <w:p w14:paraId="2E8C03F6"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«Б-25»</w:t>
            </w:r>
          </w:p>
        </w:tc>
        <w:tc>
          <w:tcPr>
            <w:tcW w:w="1200" w:type="dxa"/>
            <w:tcBorders>
              <w:top w:val="single" w:sz="4" w:space="0" w:color="auto"/>
              <w:left w:val="single" w:sz="4" w:space="0" w:color="auto"/>
              <w:right w:val="single" w:sz="4" w:space="0" w:color="auto"/>
            </w:tcBorders>
            <w:shd w:val="clear" w:color="auto" w:fill="FFFFFF"/>
            <w:vAlign w:val="center"/>
          </w:tcPr>
          <w:p w14:paraId="4C80C42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Всего</w:t>
            </w:r>
          </w:p>
        </w:tc>
      </w:tr>
      <w:tr w:rsidR="00023647" w:rsidRPr="001A0BAA" w14:paraId="271F029B"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28E3282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1-й гв. БАК</w:t>
            </w:r>
          </w:p>
        </w:tc>
        <w:tc>
          <w:tcPr>
            <w:tcW w:w="1190" w:type="dxa"/>
            <w:tcBorders>
              <w:top w:val="single" w:sz="4" w:space="0" w:color="auto"/>
              <w:left w:val="single" w:sz="4" w:space="0" w:color="auto"/>
            </w:tcBorders>
            <w:shd w:val="clear" w:color="auto" w:fill="FFFFFF"/>
            <w:vAlign w:val="center"/>
          </w:tcPr>
          <w:p w14:paraId="2D87AF78"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263/28</w:t>
            </w:r>
          </w:p>
        </w:tc>
        <w:tc>
          <w:tcPr>
            <w:tcW w:w="1190" w:type="dxa"/>
            <w:tcBorders>
              <w:top w:val="single" w:sz="4" w:space="0" w:color="auto"/>
              <w:left w:val="single" w:sz="4" w:space="0" w:color="auto"/>
            </w:tcBorders>
            <w:shd w:val="clear" w:color="auto" w:fill="FFFFFF"/>
            <w:vAlign w:val="center"/>
          </w:tcPr>
          <w:p w14:paraId="49635686"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10/4</w:t>
            </w:r>
          </w:p>
        </w:tc>
        <w:tc>
          <w:tcPr>
            <w:tcW w:w="1190" w:type="dxa"/>
            <w:tcBorders>
              <w:top w:val="single" w:sz="4" w:space="0" w:color="auto"/>
              <w:left w:val="single" w:sz="4" w:space="0" w:color="auto"/>
            </w:tcBorders>
            <w:shd w:val="clear" w:color="auto" w:fill="FFFFFF"/>
            <w:vAlign w:val="center"/>
          </w:tcPr>
          <w:p w14:paraId="02FB3AE9"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7B0FA328"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21F31D50"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06B84023"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17/2</w:t>
            </w:r>
          </w:p>
        </w:tc>
        <w:tc>
          <w:tcPr>
            <w:tcW w:w="1200" w:type="dxa"/>
            <w:tcBorders>
              <w:top w:val="single" w:sz="4" w:space="0" w:color="auto"/>
              <w:left w:val="single" w:sz="4" w:space="0" w:color="auto"/>
              <w:right w:val="single" w:sz="4" w:space="0" w:color="auto"/>
            </w:tcBorders>
            <w:shd w:val="clear" w:color="auto" w:fill="FFFFFF"/>
            <w:vAlign w:val="center"/>
          </w:tcPr>
          <w:p w14:paraId="6581296C"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290/34</w:t>
            </w:r>
          </w:p>
        </w:tc>
      </w:tr>
      <w:tr w:rsidR="00023647" w:rsidRPr="001A0BAA" w14:paraId="05FA7660"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6BB3BD23"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3-й гв. БАК</w:t>
            </w:r>
          </w:p>
        </w:tc>
        <w:tc>
          <w:tcPr>
            <w:tcW w:w="1190" w:type="dxa"/>
            <w:tcBorders>
              <w:top w:val="single" w:sz="4" w:space="0" w:color="auto"/>
              <w:left w:val="single" w:sz="4" w:space="0" w:color="auto"/>
            </w:tcBorders>
            <w:shd w:val="clear" w:color="auto" w:fill="FFFFFF"/>
            <w:vAlign w:val="center"/>
          </w:tcPr>
          <w:p w14:paraId="696BD6D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691D919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2E67B430"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5B7856D9"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32A8B2A0"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324/35</w:t>
            </w:r>
          </w:p>
        </w:tc>
        <w:tc>
          <w:tcPr>
            <w:tcW w:w="1190" w:type="dxa"/>
            <w:tcBorders>
              <w:top w:val="single" w:sz="4" w:space="0" w:color="auto"/>
              <w:left w:val="single" w:sz="4" w:space="0" w:color="auto"/>
            </w:tcBorders>
            <w:shd w:val="clear" w:color="auto" w:fill="FFFFFF"/>
            <w:vAlign w:val="center"/>
          </w:tcPr>
          <w:p w14:paraId="0CD97E4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63/10</w:t>
            </w:r>
          </w:p>
        </w:tc>
        <w:tc>
          <w:tcPr>
            <w:tcW w:w="1200" w:type="dxa"/>
            <w:tcBorders>
              <w:top w:val="single" w:sz="4" w:space="0" w:color="auto"/>
              <w:left w:val="single" w:sz="4" w:space="0" w:color="auto"/>
              <w:right w:val="single" w:sz="4" w:space="0" w:color="auto"/>
            </w:tcBorders>
            <w:shd w:val="clear" w:color="auto" w:fill="FFFFFF"/>
            <w:vAlign w:val="center"/>
          </w:tcPr>
          <w:p w14:paraId="0ECDBDE3"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387/45</w:t>
            </w:r>
          </w:p>
        </w:tc>
      </w:tr>
      <w:tr w:rsidR="00023647" w:rsidRPr="001A0BAA" w14:paraId="62EEA136"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749BEA3C"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45-я БАД</w:t>
            </w:r>
          </w:p>
        </w:tc>
        <w:tc>
          <w:tcPr>
            <w:tcW w:w="1190" w:type="dxa"/>
            <w:tcBorders>
              <w:top w:val="single" w:sz="4" w:space="0" w:color="auto"/>
              <w:left w:val="single" w:sz="4" w:space="0" w:color="auto"/>
            </w:tcBorders>
            <w:shd w:val="clear" w:color="auto" w:fill="FFFFFF"/>
            <w:vAlign w:val="center"/>
          </w:tcPr>
          <w:p w14:paraId="1C75E3D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71B2025F"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5511E5D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2AABD967"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32/14</w:t>
            </w:r>
          </w:p>
        </w:tc>
        <w:tc>
          <w:tcPr>
            <w:tcW w:w="1190" w:type="dxa"/>
            <w:tcBorders>
              <w:top w:val="single" w:sz="4" w:space="0" w:color="auto"/>
              <w:left w:val="single" w:sz="4" w:space="0" w:color="auto"/>
            </w:tcBorders>
            <w:shd w:val="clear" w:color="auto" w:fill="FFFFFF"/>
            <w:vAlign w:val="center"/>
          </w:tcPr>
          <w:p w14:paraId="1DC00BE7"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6B955B5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48/12</w:t>
            </w:r>
          </w:p>
        </w:tc>
        <w:tc>
          <w:tcPr>
            <w:tcW w:w="1200" w:type="dxa"/>
            <w:tcBorders>
              <w:top w:val="single" w:sz="4" w:space="0" w:color="auto"/>
              <w:left w:val="single" w:sz="4" w:space="0" w:color="auto"/>
              <w:right w:val="single" w:sz="4" w:space="0" w:color="auto"/>
            </w:tcBorders>
            <w:shd w:val="clear" w:color="auto" w:fill="FFFFFF"/>
            <w:vAlign w:val="center"/>
          </w:tcPr>
          <w:p w14:paraId="5BDDB17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80/26</w:t>
            </w:r>
          </w:p>
        </w:tc>
      </w:tr>
      <w:tr w:rsidR="00023647" w:rsidRPr="001A0BAA" w14:paraId="64F891A0"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77AB732C"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9-й гв. БАК</w:t>
            </w:r>
          </w:p>
        </w:tc>
        <w:tc>
          <w:tcPr>
            <w:tcW w:w="1190" w:type="dxa"/>
            <w:tcBorders>
              <w:top w:val="single" w:sz="4" w:space="0" w:color="auto"/>
              <w:left w:val="single" w:sz="4" w:space="0" w:color="auto"/>
            </w:tcBorders>
            <w:shd w:val="clear" w:color="auto" w:fill="FFFFFF"/>
            <w:vAlign w:val="center"/>
          </w:tcPr>
          <w:p w14:paraId="076E6808"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44/15</w:t>
            </w:r>
          </w:p>
        </w:tc>
        <w:tc>
          <w:tcPr>
            <w:tcW w:w="1190" w:type="dxa"/>
            <w:tcBorders>
              <w:top w:val="single" w:sz="4" w:space="0" w:color="auto"/>
              <w:left w:val="single" w:sz="4" w:space="0" w:color="auto"/>
            </w:tcBorders>
            <w:shd w:val="clear" w:color="auto" w:fill="FFFFFF"/>
            <w:vAlign w:val="center"/>
          </w:tcPr>
          <w:p w14:paraId="3199B6ED"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710B6887"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39</w:t>
            </w:r>
          </w:p>
        </w:tc>
        <w:tc>
          <w:tcPr>
            <w:tcW w:w="1190" w:type="dxa"/>
            <w:tcBorders>
              <w:top w:val="single" w:sz="4" w:space="0" w:color="auto"/>
              <w:left w:val="single" w:sz="4" w:space="0" w:color="auto"/>
            </w:tcBorders>
            <w:shd w:val="clear" w:color="auto" w:fill="FFFFFF"/>
            <w:vAlign w:val="center"/>
          </w:tcPr>
          <w:p w14:paraId="5DB5F95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292BEAB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44/8</w:t>
            </w:r>
          </w:p>
        </w:tc>
        <w:tc>
          <w:tcPr>
            <w:tcW w:w="1190" w:type="dxa"/>
            <w:tcBorders>
              <w:top w:val="single" w:sz="4" w:space="0" w:color="auto"/>
              <w:left w:val="single" w:sz="4" w:space="0" w:color="auto"/>
            </w:tcBorders>
            <w:shd w:val="clear" w:color="auto" w:fill="FFFFFF"/>
            <w:vAlign w:val="center"/>
          </w:tcPr>
          <w:p w14:paraId="14D7E2A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200" w:type="dxa"/>
            <w:tcBorders>
              <w:top w:val="single" w:sz="4" w:space="0" w:color="auto"/>
              <w:left w:val="single" w:sz="4" w:space="0" w:color="auto"/>
              <w:right w:val="single" w:sz="4" w:space="0" w:color="auto"/>
            </w:tcBorders>
            <w:shd w:val="clear" w:color="auto" w:fill="FFFFFF"/>
            <w:vAlign w:val="center"/>
          </w:tcPr>
          <w:p w14:paraId="391E92F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27/23</w:t>
            </w:r>
          </w:p>
        </w:tc>
      </w:tr>
      <w:tr w:rsidR="00023647" w:rsidRPr="001A0BAA" w14:paraId="4171019D"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2EF7920D"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4-й гв. БАК</w:t>
            </w:r>
          </w:p>
        </w:tc>
        <w:tc>
          <w:tcPr>
            <w:tcW w:w="1190" w:type="dxa"/>
            <w:tcBorders>
              <w:top w:val="single" w:sz="4" w:space="0" w:color="auto"/>
              <w:left w:val="single" w:sz="4" w:space="0" w:color="auto"/>
            </w:tcBorders>
            <w:shd w:val="clear" w:color="auto" w:fill="FFFFFF"/>
            <w:vAlign w:val="center"/>
          </w:tcPr>
          <w:p w14:paraId="6AAAB7E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325E78E1"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6D5026A7"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36E7C97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7529546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201/11</w:t>
            </w:r>
          </w:p>
        </w:tc>
        <w:tc>
          <w:tcPr>
            <w:tcW w:w="1190" w:type="dxa"/>
            <w:tcBorders>
              <w:top w:val="single" w:sz="4" w:space="0" w:color="auto"/>
              <w:left w:val="single" w:sz="4" w:space="0" w:color="auto"/>
            </w:tcBorders>
            <w:shd w:val="clear" w:color="auto" w:fill="FFFFFF"/>
            <w:vAlign w:val="center"/>
          </w:tcPr>
          <w:p w14:paraId="4D98537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229/7</w:t>
            </w:r>
          </w:p>
        </w:tc>
        <w:tc>
          <w:tcPr>
            <w:tcW w:w="1200" w:type="dxa"/>
            <w:tcBorders>
              <w:top w:val="single" w:sz="4" w:space="0" w:color="auto"/>
              <w:left w:val="single" w:sz="4" w:space="0" w:color="auto"/>
              <w:right w:val="single" w:sz="4" w:space="0" w:color="auto"/>
            </w:tcBorders>
            <w:shd w:val="clear" w:color="auto" w:fill="FFFFFF"/>
            <w:vAlign w:val="center"/>
          </w:tcPr>
          <w:p w14:paraId="67C6672C"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430/18</w:t>
            </w:r>
          </w:p>
        </w:tc>
      </w:tr>
      <w:tr w:rsidR="00023647" w:rsidRPr="001A0BAA" w14:paraId="42705E7D"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2757BCD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2-й гв. БАК</w:t>
            </w:r>
          </w:p>
        </w:tc>
        <w:tc>
          <w:tcPr>
            <w:tcW w:w="1190" w:type="dxa"/>
            <w:tcBorders>
              <w:top w:val="single" w:sz="4" w:space="0" w:color="auto"/>
              <w:left w:val="single" w:sz="4" w:space="0" w:color="auto"/>
            </w:tcBorders>
            <w:shd w:val="clear" w:color="auto" w:fill="FFFFFF"/>
            <w:vAlign w:val="center"/>
          </w:tcPr>
          <w:p w14:paraId="6BF3CDD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246/37</w:t>
            </w:r>
          </w:p>
        </w:tc>
        <w:tc>
          <w:tcPr>
            <w:tcW w:w="1190" w:type="dxa"/>
            <w:tcBorders>
              <w:top w:val="single" w:sz="4" w:space="0" w:color="auto"/>
              <w:left w:val="single" w:sz="4" w:space="0" w:color="auto"/>
            </w:tcBorders>
            <w:shd w:val="clear" w:color="auto" w:fill="FFFFFF"/>
            <w:vAlign w:val="center"/>
          </w:tcPr>
          <w:p w14:paraId="032D3749"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91/33</w:t>
            </w:r>
          </w:p>
        </w:tc>
        <w:tc>
          <w:tcPr>
            <w:tcW w:w="1190" w:type="dxa"/>
            <w:tcBorders>
              <w:top w:val="single" w:sz="4" w:space="0" w:color="auto"/>
              <w:left w:val="single" w:sz="4" w:space="0" w:color="auto"/>
            </w:tcBorders>
            <w:shd w:val="clear" w:color="auto" w:fill="FFFFFF"/>
            <w:vAlign w:val="center"/>
          </w:tcPr>
          <w:p w14:paraId="78AE8E3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5B928B47"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1FF615A9"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3EA9B95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200" w:type="dxa"/>
            <w:tcBorders>
              <w:top w:val="single" w:sz="4" w:space="0" w:color="auto"/>
              <w:left w:val="single" w:sz="4" w:space="0" w:color="auto"/>
              <w:right w:val="single" w:sz="4" w:space="0" w:color="auto"/>
            </w:tcBorders>
            <w:shd w:val="clear" w:color="auto" w:fill="FFFFFF"/>
            <w:vAlign w:val="center"/>
          </w:tcPr>
          <w:p w14:paraId="1037A98E"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337/70</w:t>
            </w:r>
          </w:p>
        </w:tc>
      </w:tr>
      <w:tr w:rsidR="00023647" w:rsidRPr="001A0BAA" w14:paraId="23AEF682" w14:textId="77777777" w:rsidTr="00B56A2A">
        <w:trPr>
          <w:trHeight w:hRule="exact" w:val="379"/>
        </w:trPr>
        <w:tc>
          <w:tcPr>
            <w:tcW w:w="1253" w:type="dxa"/>
            <w:tcBorders>
              <w:top w:val="single" w:sz="4" w:space="0" w:color="auto"/>
              <w:left w:val="single" w:sz="4" w:space="0" w:color="auto"/>
            </w:tcBorders>
            <w:shd w:val="clear" w:color="auto" w:fill="FFFFFF"/>
            <w:vAlign w:val="center"/>
          </w:tcPr>
          <w:p w14:paraId="6BE5BA33"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742-й РАП</w:t>
            </w:r>
          </w:p>
        </w:tc>
        <w:tc>
          <w:tcPr>
            <w:tcW w:w="1190" w:type="dxa"/>
            <w:tcBorders>
              <w:top w:val="single" w:sz="4" w:space="0" w:color="auto"/>
              <w:left w:val="single" w:sz="4" w:space="0" w:color="auto"/>
            </w:tcBorders>
            <w:shd w:val="clear" w:color="auto" w:fill="FFFFFF"/>
            <w:vAlign w:val="center"/>
          </w:tcPr>
          <w:p w14:paraId="672519B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155907A8"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1387810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506D26C8"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190" w:type="dxa"/>
            <w:tcBorders>
              <w:top w:val="single" w:sz="4" w:space="0" w:color="auto"/>
              <w:left w:val="single" w:sz="4" w:space="0" w:color="auto"/>
            </w:tcBorders>
            <w:shd w:val="clear" w:color="auto" w:fill="FFFFFF"/>
            <w:vAlign w:val="center"/>
          </w:tcPr>
          <w:p w14:paraId="0675A691"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24/5</w:t>
            </w:r>
          </w:p>
        </w:tc>
        <w:tc>
          <w:tcPr>
            <w:tcW w:w="1190" w:type="dxa"/>
            <w:tcBorders>
              <w:top w:val="single" w:sz="4" w:space="0" w:color="auto"/>
              <w:left w:val="single" w:sz="4" w:space="0" w:color="auto"/>
            </w:tcBorders>
            <w:shd w:val="clear" w:color="auto" w:fill="FFFFFF"/>
            <w:vAlign w:val="center"/>
          </w:tcPr>
          <w:p w14:paraId="6A83CF5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1200" w:type="dxa"/>
            <w:tcBorders>
              <w:top w:val="single" w:sz="4" w:space="0" w:color="auto"/>
              <w:left w:val="single" w:sz="4" w:space="0" w:color="auto"/>
              <w:right w:val="single" w:sz="4" w:space="0" w:color="auto"/>
            </w:tcBorders>
            <w:shd w:val="clear" w:color="auto" w:fill="FFFFFF"/>
            <w:vAlign w:val="center"/>
          </w:tcPr>
          <w:p w14:paraId="5DB5D4BB"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24/5</w:t>
            </w:r>
          </w:p>
        </w:tc>
      </w:tr>
      <w:tr w:rsidR="00023647" w:rsidRPr="001A0BAA" w14:paraId="3B355106" w14:textId="77777777" w:rsidTr="00B56A2A">
        <w:trPr>
          <w:trHeight w:hRule="exact" w:val="389"/>
        </w:trPr>
        <w:tc>
          <w:tcPr>
            <w:tcW w:w="1253" w:type="dxa"/>
            <w:tcBorders>
              <w:top w:val="single" w:sz="4" w:space="0" w:color="auto"/>
              <w:left w:val="single" w:sz="4" w:space="0" w:color="auto"/>
              <w:bottom w:val="single" w:sz="4" w:space="0" w:color="auto"/>
            </w:tcBorders>
            <w:shd w:val="clear" w:color="auto" w:fill="FFFFFF"/>
            <w:vAlign w:val="center"/>
          </w:tcPr>
          <w:p w14:paraId="0A339446"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Всего</w:t>
            </w:r>
          </w:p>
        </w:tc>
        <w:tc>
          <w:tcPr>
            <w:tcW w:w="1190" w:type="dxa"/>
            <w:tcBorders>
              <w:top w:val="single" w:sz="4" w:space="0" w:color="auto"/>
              <w:left w:val="single" w:sz="4" w:space="0" w:color="auto"/>
              <w:bottom w:val="single" w:sz="4" w:space="0" w:color="auto"/>
            </w:tcBorders>
            <w:shd w:val="clear" w:color="auto" w:fill="FFFFFF"/>
            <w:vAlign w:val="center"/>
          </w:tcPr>
          <w:p w14:paraId="77CBF9FF"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553/80</w:t>
            </w:r>
          </w:p>
        </w:tc>
        <w:tc>
          <w:tcPr>
            <w:tcW w:w="1190" w:type="dxa"/>
            <w:tcBorders>
              <w:top w:val="single" w:sz="4" w:space="0" w:color="auto"/>
              <w:left w:val="single" w:sz="4" w:space="0" w:color="auto"/>
              <w:bottom w:val="single" w:sz="4" w:space="0" w:color="auto"/>
            </w:tcBorders>
            <w:shd w:val="clear" w:color="auto" w:fill="FFFFFF"/>
            <w:vAlign w:val="center"/>
          </w:tcPr>
          <w:p w14:paraId="6742B128"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101/37</w:t>
            </w:r>
          </w:p>
        </w:tc>
        <w:tc>
          <w:tcPr>
            <w:tcW w:w="1190" w:type="dxa"/>
            <w:tcBorders>
              <w:top w:val="single" w:sz="4" w:space="0" w:color="auto"/>
              <w:left w:val="single" w:sz="4" w:space="0" w:color="auto"/>
              <w:bottom w:val="single" w:sz="4" w:space="0" w:color="auto"/>
            </w:tcBorders>
            <w:shd w:val="clear" w:color="auto" w:fill="FFFFFF"/>
            <w:vAlign w:val="center"/>
          </w:tcPr>
          <w:p w14:paraId="04933FC0"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39</w:t>
            </w:r>
          </w:p>
        </w:tc>
        <w:tc>
          <w:tcPr>
            <w:tcW w:w="1190" w:type="dxa"/>
            <w:tcBorders>
              <w:top w:val="single" w:sz="4" w:space="0" w:color="auto"/>
              <w:left w:val="single" w:sz="4" w:space="0" w:color="auto"/>
              <w:bottom w:val="single" w:sz="4" w:space="0" w:color="auto"/>
            </w:tcBorders>
            <w:shd w:val="clear" w:color="auto" w:fill="FFFFFF"/>
            <w:vAlign w:val="center"/>
          </w:tcPr>
          <w:p w14:paraId="200151A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32/14</w:t>
            </w:r>
          </w:p>
        </w:tc>
        <w:tc>
          <w:tcPr>
            <w:tcW w:w="1190" w:type="dxa"/>
            <w:tcBorders>
              <w:top w:val="single" w:sz="4" w:space="0" w:color="auto"/>
              <w:left w:val="single" w:sz="4" w:space="0" w:color="auto"/>
              <w:bottom w:val="single" w:sz="4" w:space="0" w:color="auto"/>
            </w:tcBorders>
            <w:shd w:val="clear" w:color="auto" w:fill="FFFFFF"/>
            <w:vAlign w:val="center"/>
          </w:tcPr>
          <w:p w14:paraId="6DA6A0FA"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593/59</w:t>
            </w:r>
          </w:p>
        </w:tc>
        <w:tc>
          <w:tcPr>
            <w:tcW w:w="1190" w:type="dxa"/>
            <w:tcBorders>
              <w:top w:val="single" w:sz="4" w:space="0" w:color="auto"/>
              <w:left w:val="single" w:sz="4" w:space="0" w:color="auto"/>
              <w:bottom w:val="single" w:sz="4" w:space="0" w:color="auto"/>
            </w:tcBorders>
            <w:shd w:val="clear" w:color="auto" w:fill="FFFFFF"/>
            <w:vAlign w:val="center"/>
          </w:tcPr>
          <w:p w14:paraId="2C7A75D5"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357/31</w:t>
            </w:r>
          </w:p>
        </w:tc>
        <w:tc>
          <w:tcPr>
            <w:tcW w:w="1200" w:type="dxa"/>
            <w:tcBorders>
              <w:top w:val="single" w:sz="4" w:space="0" w:color="auto"/>
              <w:left w:val="single" w:sz="4" w:space="0" w:color="auto"/>
              <w:bottom w:val="single" w:sz="4" w:space="0" w:color="auto"/>
              <w:right w:val="single" w:sz="4" w:space="0" w:color="auto"/>
            </w:tcBorders>
            <w:shd w:val="clear" w:color="auto" w:fill="FFFFFF"/>
            <w:vAlign w:val="center"/>
          </w:tcPr>
          <w:p w14:paraId="71072C24" w14:textId="77777777" w:rsidR="00023647" w:rsidRPr="001A0BAA" w:rsidRDefault="00023647"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1675/221</w:t>
            </w:r>
          </w:p>
        </w:tc>
      </w:tr>
    </w:tbl>
    <w:p w14:paraId="0772150C" w14:textId="77777777" w:rsidR="00023647" w:rsidRPr="001A0BAA" w:rsidRDefault="00023647" w:rsidP="00023647">
      <w:pPr>
        <w:jc w:val="both"/>
        <w:rPr>
          <w:color w:val="0070C0"/>
          <w:sz w:val="16"/>
          <w:szCs w:val="16"/>
        </w:rPr>
      </w:pPr>
      <w:r w:rsidRPr="001A0BAA">
        <w:rPr>
          <w:color w:val="0070C0"/>
          <w:sz w:val="16"/>
          <w:szCs w:val="16"/>
        </w:rPr>
        <w:t>(24982).</w:t>
      </w:r>
    </w:p>
    <w:p w14:paraId="3E9E13DF" w14:textId="77777777" w:rsidR="00023647" w:rsidRPr="001A0BAA" w:rsidRDefault="00023647" w:rsidP="00023647">
      <w:pPr>
        <w:jc w:val="both"/>
        <w:rPr>
          <w:color w:val="0070C0"/>
          <w:sz w:val="16"/>
          <w:szCs w:val="16"/>
        </w:rPr>
      </w:pPr>
    </w:p>
    <w:p w14:paraId="231C3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10 мая 1945 г. 18-я воздушная армия (в которую преобразовали АДД 6 декабря 1944 г.) имела 593 Ли-2, 553 Ил-4, 357 В-25, 101 Ер-2, 39 ТБ-3 и 32 Пе-8. Из 73 полков армии на Ил-4 летали 28 (7666).</w:t>
      </w:r>
    </w:p>
    <w:p w14:paraId="0C63671A" w14:textId="77777777" w:rsidR="00665165" w:rsidRPr="00925F26" w:rsidRDefault="00665165" w:rsidP="00925F26">
      <w:pPr>
        <w:autoSpaceDE w:val="0"/>
        <w:autoSpaceDN w:val="0"/>
        <w:adjustRightInd w:val="0"/>
        <w:jc w:val="both"/>
        <w:rPr>
          <w:color w:val="000000" w:themeColor="text1"/>
          <w:sz w:val="16"/>
          <w:szCs w:val="16"/>
        </w:rPr>
      </w:pPr>
    </w:p>
    <w:p w14:paraId="5C7716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 мая 1945 г. 18-я воздушная ар</w:t>
      </w:r>
      <w:r w:rsidRPr="00925F26">
        <w:rPr>
          <w:color w:val="000000" w:themeColor="text1"/>
          <w:sz w:val="16"/>
          <w:szCs w:val="16"/>
        </w:rPr>
        <w:softHyphen/>
        <w:t>мия (в которую преобразовали АДД 6 декабря 1944 г.) имела 593 Ли-2, 553 Ил-4, 357 В-25, 101 Ер-2, 39 ТБ-3 и 32 Пе-8. Из 73 полков армии на Ил-4 ле</w:t>
      </w:r>
      <w:r w:rsidRPr="00925F26">
        <w:rPr>
          <w:color w:val="000000" w:themeColor="text1"/>
          <w:sz w:val="16"/>
          <w:szCs w:val="16"/>
        </w:rPr>
        <w:softHyphen/>
        <w:t>тали 28 (10734,81).</w:t>
      </w:r>
    </w:p>
    <w:p w14:paraId="5FA446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C300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10 мая 1945 г. 18-я воздушная армия (в которую преобразовали АДД 6 декабря 1944 г.) имела 593 Ли-2, 553 Ил-4, 357 В-25, 101 Ер-2, 39 ТБ-3 и 32 Пе-8. Из 73 полков армии на Ил-4 летали 28 (12021).</w:t>
      </w:r>
    </w:p>
    <w:p w14:paraId="19B6114C" w14:textId="77777777" w:rsidR="00665165" w:rsidRPr="00925F26" w:rsidRDefault="00665165" w:rsidP="00925F26">
      <w:pPr>
        <w:autoSpaceDE w:val="0"/>
        <w:autoSpaceDN w:val="0"/>
        <w:adjustRightInd w:val="0"/>
        <w:jc w:val="both"/>
        <w:rPr>
          <w:color w:val="000000" w:themeColor="text1"/>
          <w:sz w:val="16"/>
          <w:szCs w:val="16"/>
        </w:rPr>
      </w:pPr>
    </w:p>
    <w:p w14:paraId="78C2428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F7E7461" w14:textId="77777777" w:rsidR="00665165" w:rsidRPr="00925F26" w:rsidRDefault="00665165" w:rsidP="00925F26">
      <w:pPr>
        <w:autoSpaceDE w:val="0"/>
        <w:autoSpaceDN w:val="0"/>
        <w:adjustRightInd w:val="0"/>
        <w:jc w:val="both"/>
        <w:rPr>
          <w:iCs/>
          <w:color w:val="000000" w:themeColor="text1"/>
          <w:sz w:val="16"/>
          <w:szCs w:val="16"/>
        </w:rPr>
      </w:pPr>
    </w:p>
    <w:p w14:paraId="414390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г. вышло Постановление СНК СССР “О поставке Центросоюзу товаров широкого потребления и инструмента для нужд сельского хозяйства” (7543).</w:t>
      </w:r>
    </w:p>
    <w:p w14:paraId="580C0BA4" w14:textId="77777777" w:rsidR="00665165" w:rsidRPr="00925F26" w:rsidRDefault="00665165" w:rsidP="00925F26">
      <w:pPr>
        <w:autoSpaceDE w:val="0"/>
        <w:autoSpaceDN w:val="0"/>
        <w:adjustRightInd w:val="0"/>
        <w:jc w:val="both"/>
        <w:rPr>
          <w:color w:val="000000" w:themeColor="text1"/>
          <w:sz w:val="16"/>
          <w:szCs w:val="16"/>
        </w:rPr>
      </w:pPr>
    </w:p>
    <w:p w14:paraId="61277DC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311F88A" w14:textId="77777777" w:rsidR="00665165" w:rsidRPr="00925F26" w:rsidRDefault="00665165" w:rsidP="00925F26">
      <w:pPr>
        <w:autoSpaceDE w:val="0"/>
        <w:autoSpaceDN w:val="0"/>
        <w:adjustRightInd w:val="0"/>
        <w:jc w:val="both"/>
        <w:rPr>
          <w:iCs/>
          <w:color w:val="000000" w:themeColor="text1"/>
          <w:sz w:val="16"/>
          <w:szCs w:val="16"/>
        </w:rPr>
      </w:pPr>
    </w:p>
    <w:p w14:paraId="2378A2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8455 О предоставлении дополнительного займа Венгерскому правительству. РГАНИР, Фонд ГКО, д. 414, лл. 61 (11012).</w:t>
      </w:r>
    </w:p>
    <w:p w14:paraId="65FFA0BB" w14:textId="77777777" w:rsidR="00665165" w:rsidRPr="00925F26" w:rsidRDefault="00665165" w:rsidP="00925F26">
      <w:pPr>
        <w:autoSpaceDE w:val="0"/>
        <w:autoSpaceDN w:val="0"/>
        <w:adjustRightInd w:val="0"/>
        <w:jc w:val="both"/>
        <w:rPr>
          <w:color w:val="000000" w:themeColor="text1"/>
          <w:sz w:val="16"/>
          <w:szCs w:val="16"/>
        </w:rPr>
      </w:pPr>
    </w:p>
    <w:p w14:paraId="1AC60CA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мая 1945 вышло Постановление ГКО № 8478 О передаче Польской республике речных судов и портового оборудования из числа захваченных Красной Армией в качестве трофеев. (7338, 98).</w:t>
      </w:r>
    </w:p>
    <w:p w14:paraId="3AE08A5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328B28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B55CD58" w14:textId="77777777" w:rsidR="00665165" w:rsidRPr="00925F26" w:rsidRDefault="00665165" w:rsidP="00925F26">
      <w:pPr>
        <w:autoSpaceDE w:val="0"/>
        <w:autoSpaceDN w:val="0"/>
        <w:adjustRightInd w:val="0"/>
        <w:jc w:val="both"/>
        <w:rPr>
          <w:iCs/>
          <w:color w:val="000000" w:themeColor="text1"/>
          <w:sz w:val="16"/>
          <w:szCs w:val="16"/>
        </w:rPr>
      </w:pPr>
    </w:p>
    <w:p w14:paraId="05B37CD1" w14:textId="77777777" w:rsidR="00235F2C" w:rsidRPr="00925F26" w:rsidRDefault="00235F2C" w:rsidP="00925F26">
      <w:pPr>
        <w:jc w:val="both"/>
        <w:rPr>
          <w:color w:val="000000" w:themeColor="text1"/>
          <w:sz w:val="16"/>
          <w:szCs w:val="16"/>
        </w:rPr>
      </w:pPr>
      <w:r w:rsidRPr="00925F26">
        <w:rPr>
          <w:color w:val="000000" w:themeColor="text1"/>
          <w:sz w:val="16"/>
          <w:szCs w:val="16"/>
        </w:rPr>
        <w:t>10 мая в 1945 году правительство Чехословакии переехало в Прагу (14887).</w:t>
      </w:r>
    </w:p>
    <w:p w14:paraId="51C81B37" w14:textId="77777777" w:rsidR="00235F2C" w:rsidRPr="00925F26" w:rsidRDefault="00235F2C" w:rsidP="00925F26">
      <w:pPr>
        <w:jc w:val="both"/>
        <w:rPr>
          <w:color w:val="000000" w:themeColor="text1"/>
          <w:sz w:val="16"/>
          <w:szCs w:val="16"/>
        </w:rPr>
      </w:pPr>
    </w:p>
    <w:p w14:paraId="04C8FD27" w14:textId="77777777" w:rsidR="00235F2C" w:rsidRPr="00925F26" w:rsidRDefault="00235F2C" w:rsidP="00925F26">
      <w:pPr>
        <w:jc w:val="both"/>
        <w:rPr>
          <w:color w:val="000000" w:themeColor="text1"/>
          <w:sz w:val="16"/>
          <w:szCs w:val="16"/>
        </w:rPr>
      </w:pPr>
      <w:r w:rsidRPr="00925F26">
        <w:rPr>
          <w:color w:val="000000" w:themeColor="text1"/>
          <w:sz w:val="16"/>
          <w:szCs w:val="16"/>
        </w:rPr>
        <w:t>10 мая в 1945 году американские войска вступили в Линц (14887).</w:t>
      </w:r>
    </w:p>
    <w:p w14:paraId="2DA4716C" w14:textId="77777777" w:rsidR="00235F2C" w:rsidRPr="00925F26" w:rsidRDefault="00235F2C" w:rsidP="00925F26">
      <w:pPr>
        <w:jc w:val="both"/>
        <w:rPr>
          <w:color w:val="000000" w:themeColor="text1"/>
          <w:sz w:val="16"/>
          <w:szCs w:val="16"/>
        </w:rPr>
      </w:pPr>
    </w:p>
    <w:p w14:paraId="18A0152D" w14:textId="77777777" w:rsidR="00235F2C" w:rsidRPr="00925F26" w:rsidRDefault="00235F2C" w:rsidP="00925F26">
      <w:pPr>
        <w:jc w:val="both"/>
        <w:rPr>
          <w:color w:val="000000" w:themeColor="text1"/>
          <w:sz w:val="16"/>
          <w:szCs w:val="16"/>
        </w:rPr>
      </w:pPr>
      <w:r w:rsidRPr="00925F26">
        <w:rPr>
          <w:color w:val="000000" w:themeColor="text1"/>
          <w:sz w:val="16"/>
          <w:szCs w:val="16"/>
        </w:rPr>
        <w:t>10 мая в 1945 году американские войска заняли Кагаян (14887).</w:t>
      </w:r>
    </w:p>
    <w:p w14:paraId="50592A20" w14:textId="77777777" w:rsidR="00235F2C" w:rsidRPr="00925F26" w:rsidRDefault="00235F2C" w:rsidP="00925F26">
      <w:pPr>
        <w:jc w:val="both"/>
        <w:rPr>
          <w:color w:val="000000" w:themeColor="text1"/>
          <w:sz w:val="16"/>
          <w:szCs w:val="16"/>
        </w:rPr>
      </w:pPr>
    </w:p>
    <w:p w14:paraId="07B1F21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мая 1945 арестован глава профашистского правительства Норвегии В. Квислинг (4962).</w:t>
      </w:r>
    </w:p>
    <w:p w14:paraId="50A1BF8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83DE0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10–11 мая 1945 началась очередная операция «Кикусуй-6». В ней приняли участие 150 самолетов-камикадзе (70 морских и 80 армейских). Их прикрывали 125 истребителей. 11 мая летчикам самолетов Ока Я. Мицуо и К. Кодзи было приказано повредить взлетную полосу северного аэродрома Окинавы. Морально не готовые пожертвовать своими жизнями, летчики все же подчинились приказу. Однако они не смогли выполнить задание.</w:t>
      </w:r>
    </w:p>
    <w:p w14:paraId="28E535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Один из бомбардировщиков вернулся из-за неисправности моторов, а пилот другого носителя не сумел ночью в условиях густой облачности обнаружить аэродром.</w:t>
      </w:r>
    </w:p>
    <w:p w14:paraId="7C4A9E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5 часов к Окинаве отправилась ударная группа японских самолетов, которая включала 30 морских и 40 армейских самолетов, а также 26 самолетов из «Эскадрильи Кэмму». В состав морских самолетов входило четыре бомбардировщика Бетти с самолетами Ока. В 6 часов 30 минут ударную группу, которая пыталась прорваться к якорным стоянкам Иэ и Хагуси, перехватили американские истребители. В считанные минуты 93 японских самолета было сбито, включая и три носителя самолетов Ока.</w:t>
      </w:r>
    </w:p>
    <w:p w14:paraId="55A5BE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Четвертый самолет-снаряд с близкой дистанции был запущен по дозорному эсминцу «Хью У. Хэддли». Этот корабль в течение более полутора часов отражал массированные атаки камикадзе и сбил 23 японских самолета. В корабль попало несколько бомб и самолетов-камикадзе. Реактивный снаряд Ока взорвался вблизи корабля, причинив «Хэддли» тяжкие повреждения. 28 моряков было убито и 67 ранено. Корабль был отправлен на слом.</w:t>
      </w:r>
    </w:p>
    <w:p w14:paraId="5298E8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операции «Кикусуй-6» Главный морской штаб объединил все оставшиеся самолеты в один воздушный флот, который назвали «Божественное воздушное объединение». Восновномэтобылитренировочныеиразведывательныесамолеты (11686).</w:t>
      </w:r>
    </w:p>
    <w:p w14:paraId="4F27CE3F" w14:textId="77777777" w:rsidR="00665165" w:rsidRPr="00925F26" w:rsidRDefault="00665165" w:rsidP="00925F26">
      <w:pPr>
        <w:autoSpaceDE w:val="0"/>
        <w:autoSpaceDN w:val="0"/>
        <w:adjustRightInd w:val="0"/>
        <w:jc w:val="both"/>
        <w:rPr>
          <w:color w:val="000000" w:themeColor="text1"/>
          <w:sz w:val="16"/>
          <w:szCs w:val="16"/>
        </w:rPr>
      </w:pPr>
    </w:p>
    <w:p w14:paraId="6D2756F1" w14:textId="77777777" w:rsidR="00B35A1B" w:rsidRPr="00925F26" w:rsidRDefault="00B35A1B" w:rsidP="00925F26">
      <w:pPr>
        <w:jc w:val="both"/>
        <w:rPr>
          <w:color w:val="000000" w:themeColor="text1"/>
          <w:sz w:val="16"/>
          <w:szCs w:val="16"/>
        </w:rPr>
      </w:pPr>
      <w:r w:rsidRPr="00925F26">
        <w:rPr>
          <w:color w:val="000000" w:themeColor="text1"/>
          <w:sz w:val="16"/>
          <w:szCs w:val="16"/>
        </w:rPr>
        <w:lastRenderedPageBreak/>
        <w:t>10–11 мая 1945 шестая атака японцев кикусуи у побережья Окинавы включает 150 камикадзе. Они повредили два эсминца и авианосец USS Bunker Hill, в результате чего 353 человека убиты, 43 пропали без вести и 264 ранены. Банкер-Хилл, один из наиболее сильно поврежденных авианосцев, переживших войну, не используется до конца Второй мировой войны (20371).</w:t>
      </w:r>
    </w:p>
    <w:p w14:paraId="193F5AB5" w14:textId="77777777" w:rsidR="00B35A1B" w:rsidRPr="00925F26" w:rsidRDefault="00B35A1B" w:rsidP="00925F26">
      <w:pPr>
        <w:jc w:val="both"/>
        <w:rPr>
          <w:color w:val="000000" w:themeColor="text1"/>
          <w:sz w:val="16"/>
          <w:szCs w:val="16"/>
        </w:rPr>
      </w:pPr>
    </w:p>
    <w:p w14:paraId="4520358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10 1945 In a crash program to counter the Japanese Baka (suicide) bomb, the Naval Aircraft Modification Unit was authorized to develop Little Joe, a ship-to-air guided missile powered with a standard JATO unit (1090).</w:t>
      </w:r>
    </w:p>
    <w:p w14:paraId="7FB36D49" w14:textId="77777777" w:rsidR="00665165" w:rsidRPr="00925F26" w:rsidRDefault="00665165" w:rsidP="00925F26">
      <w:pPr>
        <w:autoSpaceDE w:val="0"/>
        <w:autoSpaceDN w:val="0"/>
        <w:adjustRightInd w:val="0"/>
        <w:jc w:val="both"/>
        <w:rPr>
          <w:color w:val="000000" w:themeColor="text1"/>
          <w:sz w:val="16"/>
          <w:szCs w:val="16"/>
          <w:lang w:val="en-US"/>
        </w:rPr>
      </w:pPr>
    </w:p>
    <w:p w14:paraId="21748E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мая 1945 было выдано задание на разработку ракеты поверхность-воздух для уничтожения управляемых камикадзе бомб Бака (1090).</w:t>
      </w:r>
    </w:p>
    <w:p w14:paraId="0F8C47AE" w14:textId="77777777" w:rsidR="00665165" w:rsidRPr="00925F26" w:rsidRDefault="00665165" w:rsidP="00925F26">
      <w:pPr>
        <w:autoSpaceDE w:val="0"/>
        <w:autoSpaceDN w:val="0"/>
        <w:adjustRightInd w:val="0"/>
        <w:jc w:val="both"/>
        <w:rPr>
          <w:color w:val="000000" w:themeColor="text1"/>
          <w:sz w:val="16"/>
          <w:szCs w:val="16"/>
        </w:rPr>
      </w:pPr>
    </w:p>
    <w:p w14:paraId="4045D56C" w14:textId="77777777" w:rsidR="00B35A1B" w:rsidRPr="00925F26" w:rsidRDefault="00B35A1B" w:rsidP="00925F26">
      <w:pPr>
        <w:jc w:val="both"/>
        <w:rPr>
          <w:color w:val="000000" w:themeColor="text1"/>
          <w:sz w:val="16"/>
          <w:szCs w:val="16"/>
        </w:rPr>
      </w:pPr>
      <w:r w:rsidRPr="00925F26">
        <w:rPr>
          <w:color w:val="000000" w:themeColor="text1"/>
          <w:sz w:val="16"/>
          <w:szCs w:val="16"/>
        </w:rPr>
        <w:t>10 мая 1945 в ходен наблюдение за японским Kawasaki Ki-45, который летит высоко над Окинавой, старший лейтенант морской пехоты США Роберт Р. Клингман на F4U Corsair преследует более его 185 миль и перехватывает Ki-45 на высоте 38 000 футов (11583 м). Найдя орудия заморожен, он поднимается значительно выше предела потолка Corsair 41,600 футов (12680 м) и врезается в хвост Ки-</w:t>
      </w:r>
      <w:proofErr w:type="gramStart"/>
      <w:r w:rsidRPr="00925F26">
        <w:rPr>
          <w:color w:val="000000" w:themeColor="text1"/>
          <w:sz w:val="16"/>
          <w:szCs w:val="16"/>
        </w:rPr>
        <w:t>45 »</w:t>
      </w:r>
      <w:proofErr w:type="gramEnd"/>
      <w:r w:rsidRPr="00925F26">
        <w:rPr>
          <w:color w:val="000000" w:themeColor="text1"/>
          <w:sz w:val="16"/>
          <w:szCs w:val="16"/>
        </w:rPr>
        <w:t xml:space="preserve"> винтом за несколько проходов. Затем он благополучно приземляется на поле Кадена на Окинаве и получает Морской крест за это действие (20371).</w:t>
      </w:r>
    </w:p>
    <w:p w14:paraId="5219674D" w14:textId="77777777" w:rsidR="00B35A1B" w:rsidRPr="00925F26" w:rsidRDefault="00B35A1B" w:rsidP="00925F26">
      <w:pPr>
        <w:jc w:val="both"/>
        <w:rPr>
          <w:color w:val="000000" w:themeColor="text1"/>
          <w:sz w:val="16"/>
          <w:szCs w:val="16"/>
        </w:rPr>
      </w:pPr>
    </w:p>
    <w:p w14:paraId="13A69D0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9E1EB14" w14:textId="77777777" w:rsidR="00665165" w:rsidRPr="00925F26" w:rsidRDefault="00665165" w:rsidP="00925F26">
      <w:pPr>
        <w:autoSpaceDE w:val="0"/>
        <w:autoSpaceDN w:val="0"/>
        <w:adjustRightInd w:val="0"/>
        <w:jc w:val="both"/>
        <w:rPr>
          <w:iCs/>
          <w:color w:val="000000" w:themeColor="text1"/>
          <w:sz w:val="16"/>
          <w:szCs w:val="16"/>
        </w:rPr>
      </w:pPr>
    </w:p>
    <w:p w14:paraId="6B0455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мая 1945 Ил-8 № 1, на который 6 мая 1945 устано</w:t>
      </w:r>
      <w:r w:rsidRPr="00925F26">
        <w:rPr>
          <w:color w:val="000000" w:themeColor="text1"/>
          <w:sz w:val="16"/>
          <w:szCs w:val="16"/>
        </w:rPr>
        <w:softHyphen/>
        <w:t>вили другой мотор АМ-42 (зав. № 45733), завершил заводские испытания. В общей сложности было выполнено 68 полетов с налетом 34 ч 9 мин.</w:t>
      </w:r>
    </w:p>
    <w:p w14:paraId="2052E2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полетном весе 7540 кг (1 000 кг бомб) самолет показал мак</w:t>
      </w:r>
      <w:r w:rsidRPr="00925F26">
        <w:rPr>
          <w:color w:val="000000" w:themeColor="text1"/>
          <w:sz w:val="16"/>
          <w:szCs w:val="16"/>
        </w:rPr>
        <w:softHyphen/>
        <w:t>симальную скорость 473 км/ч у зем</w:t>
      </w:r>
      <w:r w:rsidRPr="00925F26">
        <w:rPr>
          <w:color w:val="000000" w:themeColor="text1"/>
          <w:sz w:val="16"/>
          <w:szCs w:val="16"/>
        </w:rPr>
        <w:softHyphen/>
        <w:t>ли и 516 км/ч на высоте 2720 м. Время подъема на высоту 1000 м со</w:t>
      </w:r>
      <w:r w:rsidRPr="00925F26">
        <w:rPr>
          <w:color w:val="000000" w:themeColor="text1"/>
          <w:sz w:val="16"/>
          <w:szCs w:val="16"/>
        </w:rPr>
        <w:softHyphen/>
        <w:t>ставило 2,2 минут. Разбег на фор</w:t>
      </w:r>
      <w:r w:rsidRPr="00925F26">
        <w:rPr>
          <w:color w:val="000000" w:themeColor="text1"/>
          <w:sz w:val="16"/>
          <w:szCs w:val="16"/>
        </w:rPr>
        <w:softHyphen/>
        <w:t>саже и с отклоненными на 17° щит</w:t>
      </w:r>
      <w:r w:rsidRPr="00925F26">
        <w:rPr>
          <w:color w:val="000000" w:themeColor="text1"/>
          <w:sz w:val="16"/>
          <w:szCs w:val="16"/>
        </w:rPr>
        <w:softHyphen/>
        <w:t>ками равнялся 526 м. С предельно возможной заправкой горючим и маслом (полетный вес 7830 кг) даль</w:t>
      </w:r>
      <w:r w:rsidRPr="00925F26">
        <w:rPr>
          <w:color w:val="000000" w:themeColor="text1"/>
          <w:sz w:val="16"/>
          <w:szCs w:val="16"/>
        </w:rPr>
        <w:softHyphen/>
        <w:t>ность полета на высоте 680 м при скорости по прибору 297 км/ч дос</w:t>
      </w:r>
      <w:r w:rsidRPr="00925F26">
        <w:rPr>
          <w:color w:val="000000" w:themeColor="text1"/>
          <w:sz w:val="16"/>
          <w:szCs w:val="16"/>
        </w:rPr>
        <w:softHyphen/>
        <w:t>тигала 1270 км.</w:t>
      </w:r>
    </w:p>
    <w:p w14:paraId="26CE18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Генерал В. К. Коккинаки дал хо</w:t>
      </w:r>
      <w:r w:rsidRPr="00925F26">
        <w:rPr>
          <w:color w:val="000000" w:themeColor="text1"/>
          <w:sz w:val="16"/>
          <w:szCs w:val="16"/>
        </w:rPr>
        <w:softHyphen/>
        <w:t>рошую оценку летным качествам са</w:t>
      </w:r>
      <w:r w:rsidRPr="00925F26">
        <w:rPr>
          <w:color w:val="000000" w:themeColor="text1"/>
          <w:sz w:val="16"/>
          <w:szCs w:val="16"/>
        </w:rPr>
        <w:softHyphen/>
        <w:t>молета, отметив простоту и легкость управления, а также устойчивость ма</w:t>
      </w:r>
      <w:r w:rsidRPr="00925F26">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925F26">
        <w:rPr>
          <w:color w:val="000000" w:themeColor="text1"/>
          <w:sz w:val="16"/>
          <w:szCs w:val="16"/>
        </w:rPr>
        <w:softHyphen/>
        <w:t>каких особенностей не имел. Посад</w:t>
      </w:r>
      <w:r w:rsidRPr="00925F26">
        <w:rPr>
          <w:color w:val="000000" w:themeColor="text1"/>
          <w:sz w:val="16"/>
          <w:szCs w:val="16"/>
        </w:rPr>
        <w:softHyphen/>
        <w:t>ка была простой, тенденций к свали</w:t>
      </w:r>
      <w:r w:rsidRPr="00925F26">
        <w:rPr>
          <w:color w:val="000000" w:themeColor="text1"/>
          <w:sz w:val="16"/>
          <w:szCs w:val="16"/>
        </w:rPr>
        <w:softHyphen/>
        <w:t>ванию при высоком выравнивании не наблюдалось. В качестве недостат</w:t>
      </w:r>
      <w:r w:rsidRPr="00925F26">
        <w:rPr>
          <w:color w:val="000000" w:themeColor="text1"/>
          <w:sz w:val="16"/>
          <w:szCs w:val="16"/>
        </w:rPr>
        <w:softHyphen/>
        <w:t>ков указывались отсутствие тримме</w:t>
      </w:r>
      <w:r w:rsidRPr="00925F26">
        <w:rPr>
          <w:color w:val="000000" w:themeColor="text1"/>
          <w:sz w:val="16"/>
          <w:szCs w:val="16"/>
        </w:rPr>
        <w:softHyphen/>
        <w:t>ра на элеронах и неравномерный обдув маслорадиатора.</w:t>
      </w:r>
    </w:p>
    <w:p w14:paraId="4B826BAF" w14:textId="77777777" w:rsidR="00665165" w:rsidRPr="00925F26" w:rsidRDefault="00665165" w:rsidP="00925F26">
      <w:pPr>
        <w:shd w:val="clear" w:color="auto" w:fill="FFFFFF"/>
        <w:autoSpaceDE w:val="0"/>
        <w:autoSpaceDN w:val="0"/>
        <w:adjustRightInd w:val="0"/>
        <w:jc w:val="both"/>
        <w:rPr>
          <w:iCs/>
          <w:color w:val="000000" w:themeColor="text1"/>
          <w:sz w:val="16"/>
          <w:szCs w:val="16"/>
        </w:rPr>
      </w:pPr>
      <w:r w:rsidRPr="00925F26">
        <w:rPr>
          <w:color w:val="000000" w:themeColor="text1"/>
          <w:sz w:val="16"/>
          <w:szCs w:val="16"/>
        </w:rPr>
        <w:t xml:space="preserve">В заключение отчета Ил-8 № 1 рекомендовался </w:t>
      </w:r>
      <w:r w:rsidRPr="00925F26">
        <w:rPr>
          <w:iCs/>
          <w:color w:val="000000" w:themeColor="text1"/>
          <w:sz w:val="16"/>
          <w:szCs w:val="16"/>
        </w:rPr>
        <w:t>"к внедрению в се</w:t>
      </w:r>
      <w:r w:rsidRPr="00925F26">
        <w:rPr>
          <w:iCs/>
          <w:color w:val="000000" w:themeColor="text1"/>
          <w:sz w:val="16"/>
          <w:szCs w:val="16"/>
        </w:rPr>
        <w:softHyphen/>
        <w:t>рийное производство в качестве штурмовика-бомбардировщика " (11431).</w:t>
      </w:r>
    </w:p>
    <w:p w14:paraId="656A03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1AC070" w14:textId="77777777" w:rsidR="005F32F4" w:rsidRPr="00925F26" w:rsidRDefault="005F32F4" w:rsidP="00925F26">
      <w:pPr>
        <w:jc w:val="both"/>
        <w:rPr>
          <w:color w:val="000000" w:themeColor="text1"/>
          <w:sz w:val="16"/>
          <w:szCs w:val="16"/>
        </w:rPr>
      </w:pPr>
      <w:r w:rsidRPr="00925F26">
        <w:rPr>
          <w:color w:val="000000" w:themeColor="text1"/>
          <w:sz w:val="16"/>
          <w:szCs w:val="16"/>
        </w:rPr>
        <w:t>11 мая 1945 г. решение комиссии было утверждено. К тому моменту в массовое про</w:t>
      </w:r>
      <w:r w:rsidRPr="00925F26">
        <w:rPr>
          <w:color w:val="000000" w:themeColor="text1"/>
          <w:sz w:val="16"/>
          <w:szCs w:val="16"/>
        </w:rPr>
        <w:softHyphen/>
        <w:t>изводство вместо АБ-2 была запущена авиационная броня АБ-3, которая удовлетвори</w:t>
      </w:r>
      <w:r w:rsidRPr="00925F26">
        <w:rPr>
          <w:color w:val="000000" w:themeColor="text1"/>
          <w:sz w:val="16"/>
          <w:szCs w:val="16"/>
        </w:rPr>
        <w:softHyphen/>
        <w:t>тельно прошла государственные испытания. Во II квартале 1945 г. металлургические заводы выплавили 400 т бронестали АБ-3 и отправили ее на заводы НКАП (№207 и 125) для изготов</w:t>
      </w:r>
      <w:r w:rsidRPr="00925F26">
        <w:rPr>
          <w:color w:val="000000" w:themeColor="text1"/>
          <w:sz w:val="16"/>
          <w:szCs w:val="16"/>
        </w:rPr>
        <w:softHyphen/>
        <w:t>ления бронекорпусов Ил-2.</w:t>
      </w:r>
    </w:p>
    <w:p w14:paraId="305546F4" w14:textId="77777777" w:rsidR="005F32F4" w:rsidRPr="00925F26" w:rsidRDefault="005F32F4" w:rsidP="00925F26">
      <w:pPr>
        <w:jc w:val="both"/>
        <w:rPr>
          <w:rStyle w:val="aff6"/>
          <w:rFonts w:ascii="Times New Roman" w:hAnsi="Times New Roman" w:cs="Times New Roman"/>
          <w:i w:val="0"/>
          <w:color w:val="000000" w:themeColor="text1"/>
        </w:rPr>
      </w:pPr>
      <w:r w:rsidRPr="00925F26">
        <w:rPr>
          <w:color w:val="000000" w:themeColor="text1"/>
          <w:sz w:val="16"/>
          <w:szCs w:val="16"/>
        </w:rPr>
        <w:t>Однако исполняющий обязанности на</w:t>
      </w:r>
      <w:r w:rsidRPr="00925F26">
        <w:rPr>
          <w:color w:val="000000" w:themeColor="text1"/>
          <w:sz w:val="16"/>
          <w:szCs w:val="16"/>
        </w:rPr>
        <w:softHyphen/>
        <w:t>чальника 5-го отдела УЗСиМ ГУЗ ВВС инженер-майор Ершов в мае запретил военпреду завода №207 инженер-капитану Близнюку принимать детали из брони АБ-3 по сущест</w:t>
      </w:r>
      <w:r w:rsidRPr="00925F26">
        <w:rPr>
          <w:color w:val="000000" w:themeColor="text1"/>
          <w:sz w:val="16"/>
          <w:szCs w:val="16"/>
        </w:rPr>
        <w:softHyphen/>
        <w:t>вующим техническим условиям,</w:t>
      </w:r>
      <w:r w:rsidRPr="00925F26">
        <w:rPr>
          <w:rStyle w:val="aff6"/>
          <w:rFonts w:ascii="Times New Roman" w:hAnsi="Times New Roman" w:cs="Times New Roman"/>
          <w:i w:val="0"/>
          <w:color w:val="000000" w:themeColor="text1"/>
        </w:rPr>
        <w:t xml:space="preserve"> «потребовав не предусмотренных ТУ испытаний снарядами крупного калибра» (17479).</w:t>
      </w:r>
    </w:p>
    <w:p w14:paraId="528FD64E" w14:textId="77777777" w:rsidR="005F32F4" w:rsidRPr="00925F26" w:rsidRDefault="005F32F4" w:rsidP="00925F26">
      <w:pPr>
        <w:jc w:val="both"/>
        <w:rPr>
          <w:color w:val="000000" w:themeColor="text1"/>
          <w:sz w:val="16"/>
          <w:szCs w:val="16"/>
        </w:rPr>
      </w:pPr>
    </w:p>
    <w:p w14:paraId="731D5C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мая 1945, после устранения дефекта, состоялся сле</w:t>
      </w:r>
      <w:r w:rsidRPr="00925F26">
        <w:rPr>
          <w:color w:val="000000" w:themeColor="text1"/>
          <w:sz w:val="16"/>
          <w:szCs w:val="16"/>
        </w:rPr>
        <w:softHyphen/>
        <w:t>дующий полет ДВБ-102 с моторами М-71 и турбокомпрессорами ТК-3 в подмосковной Чкаловской. При этом впервые удалось подняться на высоту 10 500 метров. Однако и в этот раз, несмот</w:t>
      </w:r>
      <w:r w:rsidRPr="00925F26">
        <w:rPr>
          <w:color w:val="000000" w:themeColor="text1"/>
          <w:sz w:val="16"/>
          <w:szCs w:val="16"/>
        </w:rPr>
        <w:softHyphen/>
        <w:t>ря на двойные стекла, их затягивала ледяная пленка. Вдобавок из подвижных соединений моторов выбива</w:t>
      </w:r>
      <w:r w:rsidRPr="00925F26">
        <w:rPr>
          <w:color w:val="000000" w:themeColor="text1"/>
          <w:sz w:val="16"/>
          <w:szCs w:val="16"/>
        </w:rPr>
        <w:softHyphen/>
        <w:t>ло газы, а из суфлера — масло. Уже после полета обна</w:t>
      </w:r>
      <w:r w:rsidRPr="00925F26">
        <w:rPr>
          <w:color w:val="000000" w:themeColor="text1"/>
          <w:sz w:val="16"/>
          <w:szCs w:val="16"/>
        </w:rPr>
        <w:softHyphen/>
        <w:t>ружили оборванный болт, крепивший одну из шесте</w:t>
      </w:r>
      <w:r w:rsidRPr="00925F26">
        <w:rPr>
          <w:color w:val="000000" w:themeColor="text1"/>
          <w:sz w:val="16"/>
          <w:szCs w:val="16"/>
        </w:rPr>
        <w:softHyphen/>
        <w:t xml:space="preserve">рен редуктора.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двигатель М-71Ф, развивав</w:t>
      </w:r>
      <w:r w:rsidRPr="00925F26">
        <w:rPr>
          <w:color w:val="000000" w:themeColor="text1"/>
          <w:sz w:val="16"/>
          <w:szCs w:val="16"/>
        </w:rPr>
        <w:softHyphen/>
        <w:t>ший взлетную мощность 2250 л.с., прошел 50-часовые стендовые испытания, его плохая работа постоянно проявлялась в полетах. Так, например, 20 июля 1945 го</w:t>
      </w:r>
      <w:r w:rsidRPr="00925F26">
        <w:rPr>
          <w:color w:val="000000" w:themeColor="text1"/>
          <w:sz w:val="16"/>
          <w:szCs w:val="16"/>
        </w:rPr>
        <w:softHyphen/>
        <w:t>да при выполнении полета с целью определения гра</w:t>
      </w:r>
      <w:r w:rsidRPr="00925F26">
        <w:rPr>
          <w:color w:val="000000" w:themeColor="text1"/>
          <w:sz w:val="16"/>
          <w:szCs w:val="16"/>
        </w:rPr>
        <w:softHyphen/>
        <w:t>ниц высотности двигателей на первой и второй скоро</w:t>
      </w:r>
      <w:r w:rsidRPr="00925F26">
        <w:rPr>
          <w:color w:val="000000" w:themeColor="text1"/>
          <w:sz w:val="16"/>
          <w:szCs w:val="16"/>
        </w:rPr>
        <w:softHyphen/>
        <w:t>стях вращения нагнетателя на высоте 4200 м из-за разрушения шатунов коленчатого вала отказал левый мотор.</w:t>
      </w:r>
    </w:p>
    <w:p w14:paraId="486355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итоге почти четырехлетней работы на ДВБ-102 получили максимальную скорость 570 км/ч, практиче</w:t>
      </w:r>
      <w:r w:rsidRPr="00925F26">
        <w:rPr>
          <w:color w:val="000000" w:themeColor="text1"/>
          <w:sz w:val="16"/>
          <w:szCs w:val="16"/>
        </w:rPr>
        <w:softHyphen/>
        <w:t>ский потолок 10 750 м и дальность 3740 км. К этому времени полным ходом шли работы по четырехмотор</w:t>
      </w:r>
      <w:r w:rsidRPr="00925F26">
        <w:rPr>
          <w:color w:val="000000" w:themeColor="text1"/>
          <w:sz w:val="16"/>
          <w:szCs w:val="16"/>
        </w:rPr>
        <w:softHyphen/>
        <w:t>ным дальним бомбардировщикам «64» Туполева и ДВБ-202/302 Мясищева с двигателями жидкостного охлаждения АМ-43ТК и АМ-46ТК, расчетные парамет</w:t>
      </w:r>
      <w:r w:rsidRPr="00925F26">
        <w:rPr>
          <w:color w:val="000000" w:themeColor="text1"/>
          <w:sz w:val="16"/>
          <w:szCs w:val="16"/>
        </w:rPr>
        <w:softHyphen/>
        <w:t>ры которых превосходили ДВБ-102 и наиболее полно отвечали требованиям ВВС конца 1940-х годов (11446).</w:t>
      </w:r>
    </w:p>
    <w:p w14:paraId="25D878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C8522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был получен двигатель РД-1ХЗ для Су-6 и начался его монтаж (2234,11).</w:t>
      </w:r>
    </w:p>
    <w:p w14:paraId="1A861E97" w14:textId="77777777" w:rsidR="00665165" w:rsidRPr="00925F26" w:rsidRDefault="00665165" w:rsidP="00925F26">
      <w:pPr>
        <w:autoSpaceDE w:val="0"/>
        <w:autoSpaceDN w:val="0"/>
        <w:adjustRightInd w:val="0"/>
        <w:jc w:val="both"/>
        <w:rPr>
          <w:color w:val="000000" w:themeColor="text1"/>
          <w:sz w:val="16"/>
          <w:szCs w:val="16"/>
        </w:rPr>
      </w:pPr>
    </w:p>
    <w:p w14:paraId="265057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на Як-3РД с включенным РД достигли скорость 782 км/час на высоте 7800 м, что превышало скорость 780 км/час., установленную постановлением ГКО (65,184).</w:t>
      </w:r>
    </w:p>
    <w:p w14:paraId="73472D98" w14:textId="77777777" w:rsidR="00665165" w:rsidRPr="00925F26" w:rsidRDefault="00665165" w:rsidP="00925F26">
      <w:pPr>
        <w:autoSpaceDE w:val="0"/>
        <w:autoSpaceDN w:val="0"/>
        <w:adjustRightInd w:val="0"/>
        <w:jc w:val="both"/>
        <w:rPr>
          <w:color w:val="000000" w:themeColor="text1"/>
          <w:sz w:val="16"/>
          <w:szCs w:val="16"/>
        </w:rPr>
      </w:pPr>
    </w:p>
    <w:p w14:paraId="0CAD13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на Як-3РД была зафиксирована скорость 782 км/ч на высоте 7800 метров. При этом отмечался неустойчивый запуск ЖРД. 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66D33739" w14:textId="77777777" w:rsidR="00665165" w:rsidRPr="00925F26" w:rsidRDefault="00665165" w:rsidP="00925F26">
      <w:pPr>
        <w:autoSpaceDE w:val="0"/>
        <w:autoSpaceDN w:val="0"/>
        <w:adjustRightInd w:val="0"/>
        <w:jc w:val="both"/>
        <w:rPr>
          <w:color w:val="000000" w:themeColor="text1"/>
          <w:sz w:val="16"/>
          <w:szCs w:val="16"/>
        </w:rPr>
      </w:pPr>
    </w:p>
    <w:p w14:paraId="4FFA7859" w14:textId="77777777" w:rsidR="00854708" w:rsidRPr="00925F26" w:rsidRDefault="00854708" w:rsidP="00925F26">
      <w:pPr>
        <w:jc w:val="both"/>
        <w:rPr>
          <w:color w:val="000000" w:themeColor="text1"/>
          <w:sz w:val="16"/>
          <w:szCs w:val="16"/>
        </w:rPr>
      </w:pPr>
      <w:r w:rsidRPr="00925F26">
        <w:rPr>
          <w:color w:val="000000" w:themeColor="text1"/>
          <w:sz w:val="16"/>
          <w:szCs w:val="16"/>
        </w:rPr>
        <w:t xml:space="preserve">11 мая в 1945 году на </w:t>
      </w:r>
      <w:hyperlink r:id="rId115" w:tgtFrame="_blank" w:history="1">
        <w:r w:rsidRPr="00925F26">
          <w:rPr>
            <w:color w:val="000000" w:themeColor="text1"/>
            <w:sz w:val="16"/>
            <w:szCs w:val="16"/>
          </w:rPr>
          <w:t xml:space="preserve">«Як-3Р» </w:t>
        </w:r>
      </w:hyperlink>
      <w:r w:rsidRPr="00925F26">
        <w:rPr>
          <w:color w:val="000000" w:themeColor="text1"/>
          <w:sz w:val="16"/>
          <w:szCs w:val="16"/>
        </w:rPr>
        <w:t>с включенным ЖРД на высоте 7800 м была достигнута скорость 782 км/ч (14888).</w:t>
      </w:r>
    </w:p>
    <w:p w14:paraId="56E7C4B9" w14:textId="77777777" w:rsidR="00854708" w:rsidRPr="00925F26" w:rsidRDefault="00854708" w:rsidP="00925F26">
      <w:pPr>
        <w:jc w:val="both"/>
        <w:rPr>
          <w:color w:val="000000" w:themeColor="text1"/>
          <w:sz w:val="16"/>
          <w:szCs w:val="16"/>
        </w:rPr>
      </w:pPr>
    </w:p>
    <w:p w14:paraId="1472D79C" w14:textId="77777777" w:rsidR="00AB4033" w:rsidRPr="00925F26" w:rsidRDefault="00AB4033" w:rsidP="00925F26">
      <w:pPr>
        <w:shd w:val="clear" w:color="auto" w:fill="FFFFFF"/>
        <w:jc w:val="both"/>
        <w:rPr>
          <w:color w:val="000000" w:themeColor="text1"/>
          <w:sz w:val="16"/>
          <w:szCs w:val="16"/>
        </w:rPr>
      </w:pPr>
      <w:r w:rsidRPr="00925F26">
        <w:rPr>
          <w:color w:val="000000" w:themeColor="text1"/>
          <w:sz w:val="16"/>
          <w:szCs w:val="16"/>
        </w:rPr>
        <w:t>11 мая 1945 г. при заданной постановлением ГКО скорос ти 780 км/ч на Як-3РД фактически была получена скорость 782 км/ч на высоте 7800 м.</w:t>
      </w:r>
    </w:p>
    <w:p w14:paraId="14C62C74" w14:textId="77777777" w:rsidR="00AB4033" w:rsidRPr="00925F26" w:rsidRDefault="00AB4033" w:rsidP="00925F26">
      <w:pPr>
        <w:shd w:val="clear" w:color="auto" w:fill="FFFFFF"/>
        <w:jc w:val="both"/>
        <w:rPr>
          <w:color w:val="000000" w:themeColor="text1"/>
          <w:sz w:val="16"/>
          <w:szCs w:val="16"/>
        </w:rPr>
      </w:pPr>
      <w:r w:rsidRPr="00925F26">
        <w:rPr>
          <w:color w:val="000000" w:themeColor="text1"/>
          <w:sz w:val="16"/>
          <w:szCs w:val="16"/>
        </w:rPr>
        <w:t>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(19586).</w:t>
      </w:r>
    </w:p>
    <w:p w14:paraId="11A41B23" w14:textId="77777777" w:rsidR="00AB4033" w:rsidRPr="00925F26" w:rsidRDefault="00AB4033" w:rsidP="00925F26">
      <w:pPr>
        <w:shd w:val="clear" w:color="auto" w:fill="FFFFFF"/>
        <w:jc w:val="both"/>
        <w:rPr>
          <w:color w:val="000000" w:themeColor="text1"/>
          <w:sz w:val="16"/>
          <w:szCs w:val="16"/>
        </w:rPr>
      </w:pPr>
    </w:p>
    <w:p w14:paraId="5FE68F91" w14:textId="77777777" w:rsidR="00031180" w:rsidRPr="001A0BAA" w:rsidRDefault="00031180" w:rsidP="00031180">
      <w:pPr>
        <w:jc w:val="both"/>
        <w:rPr>
          <w:color w:val="0070C0"/>
          <w:sz w:val="16"/>
          <w:szCs w:val="16"/>
        </w:rPr>
      </w:pPr>
      <w:r w:rsidRPr="001A0BAA">
        <w:rPr>
          <w:color w:val="0070C0"/>
          <w:sz w:val="16"/>
          <w:szCs w:val="16"/>
        </w:rPr>
        <w:t>11 мая 1945 г. при заданной постановлением ГКО скорос</w:t>
      </w:r>
      <w:r w:rsidRPr="001A0BAA">
        <w:rPr>
          <w:color w:val="0070C0"/>
          <w:sz w:val="16"/>
          <w:szCs w:val="16"/>
        </w:rPr>
        <w:softHyphen/>
        <w:t>ти 780 км/ч фактически на Як-ЗРД была получена скорость 782 км/ч на высоте 7800 м. 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(24920).</w:t>
      </w:r>
    </w:p>
    <w:p w14:paraId="2B1E9BAC" w14:textId="77777777" w:rsidR="00031180" w:rsidRPr="001A0BAA" w:rsidRDefault="00031180" w:rsidP="00031180">
      <w:pPr>
        <w:jc w:val="both"/>
        <w:rPr>
          <w:color w:val="0070C0"/>
          <w:sz w:val="16"/>
          <w:szCs w:val="16"/>
        </w:rPr>
      </w:pPr>
    </w:p>
    <w:p w14:paraId="5FB1BBA5" w14:textId="77777777" w:rsidR="00854708" w:rsidRPr="00925F26" w:rsidRDefault="00854708" w:rsidP="00925F26">
      <w:pPr>
        <w:jc w:val="both"/>
        <w:rPr>
          <w:color w:val="000000" w:themeColor="text1"/>
          <w:sz w:val="16"/>
          <w:szCs w:val="16"/>
        </w:rPr>
      </w:pPr>
      <w:r w:rsidRPr="00925F26">
        <w:rPr>
          <w:color w:val="000000" w:themeColor="text1"/>
          <w:sz w:val="16"/>
          <w:szCs w:val="16"/>
        </w:rPr>
        <w:t xml:space="preserve">11 мая в 1945 году поступил в HИИ ВВС на госиспытания самолет </w:t>
      </w:r>
      <w:hyperlink r:id="rId116" w:tgtFrame="_blank" w:history="1">
        <w:r w:rsidRPr="00925F26">
          <w:rPr>
            <w:color w:val="000000" w:themeColor="text1"/>
            <w:sz w:val="16"/>
            <w:szCs w:val="16"/>
          </w:rPr>
          <w:t xml:space="preserve">«Як-3» «ВК-107А», </w:t>
        </w:r>
      </w:hyperlink>
      <w:r w:rsidRPr="00925F26">
        <w:rPr>
          <w:color w:val="000000" w:themeColor="text1"/>
          <w:sz w:val="16"/>
          <w:szCs w:val="16"/>
        </w:rPr>
        <w:t>он проходил испытания с 25 мая по 9 июня 1945 года. По результатам госиспытаний было сделано следующее заключение: максимальные скорости удовлетворяют постановлению ГКО; остались неустраненными дефекты, выявленные на опытном «Як-З» «ВК-107А» смешанной конструкции, прошедшем госиспытания в мае 1944 г.; дефекты ВМГ не позволяют полностью использовать боевой режим двигателя в полете.Предлагалось устранить конструктивные и производственные дефекты до запуска самолета в серию. В 1945 году заводом N31 было выпущено 40 и в 1946 году -8 цельнометаллических «Як-З» «ВК-107А». С IV квартала 1945 года по III квартал 1946 года завод занимался доработкой выпущенных"по сборке" этих 48 самолетов для сдачи их заказчику (14888).</w:t>
      </w:r>
    </w:p>
    <w:p w14:paraId="4078900B" w14:textId="77777777" w:rsidR="00854708" w:rsidRPr="00925F26" w:rsidRDefault="00854708" w:rsidP="00925F26">
      <w:pPr>
        <w:jc w:val="both"/>
        <w:rPr>
          <w:color w:val="000000" w:themeColor="text1"/>
          <w:sz w:val="16"/>
          <w:szCs w:val="16"/>
        </w:rPr>
      </w:pPr>
    </w:p>
    <w:p w14:paraId="6C3ACD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11 мая 1945 в НИИ ВВС после заводских испытаний поступил Як-3 ВК-107А цельнометаллический (65,195).</w:t>
      </w:r>
    </w:p>
    <w:p w14:paraId="26E81A8E" w14:textId="77777777" w:rsidR="00665165" w:rsidRPr="00925F26" w:rsidRDefault="00665165" w:rsidP="00925F26">
      <w:pPr>
        <w:autoSpaceDE w:val="0"/>
        <w:autoSpaceDN w:val="0"/>
        <w:adjustRightInd w:val="0"/>
        <w:jc w:val="both"/>
        <w:rPr>
          <w:color w:val="000000" w:themeColor="text1"/>
          <w:sz w:val="16"/>
          <w:szCs w:val="16"/>
        </w:rPr>
      </w:pPr>
    </w:p>
    <w:p w14:paraId="314F7D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519034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Проходили с 23 апреля по 30 апреля 1945. 63 полета с налетом 8:35</w:t>
      </w:r>
    </w:p>
    <w:p w14:paraId="2428F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 В исп. Инж-м Черняев</w:t>
      </w:r>
    </w:p>
    <w:p w14:paraId="53B3C9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ли ГСС м И.М.Тимофеев</w:t>
      </w:r>
    </w:p>
    <w:p w14:paraId="3346DD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рез-ты испытаний и результаты предыдущих испытаний.</w:t>
      </w:r>
    </w:p>
    <w:p w14:paraId="40BD2C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серийном с-те Ла-7 установлены (в центроплане) 3 мягких протектированных б/б: один центральный и 2 крайних.</w:t>
      </w:r>
    </w:p>
    <w:p w14:paraId="3456D0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испытывающимся с-те № 9658 крайние металличские б/б заменены мягкими. Центральный бак остался металлическим.</w:t>
      </w:r>
    </w:p>
    <w:p w14:paraId="0194AA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Мягкие б/б разработаны т. С.А.Л. совместно с ВИАМ НКАП.</w:t>
      </w:r>
    </w:p>
    <w:p w14:paraId="3F6957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73BCE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5C5DBF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137D74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К настоящему времени приказ не реализован.</w:t>
      </w:r>
    </w:p>
    <w:p w14:paraId="4EF1E6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с-т является первым с-том з-да № 381, оборудованным мягкими б/б</w:t>
      </w:r>
    </w:p>
    <w:p w14:paraId="31271A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w:t>
      </w:r>
      <w:proofErr w:type="gramStart"/>
      <w:r w:rsidRPr="00925F26">
        <w:rPr>
          <w:color w:val="000000" w:themeColor="text1"/>
          <w:sz w:val="16"/>
          <w:szCs w:val="16"/>
        </w:rPr>
        <w:t>мм</w:t>
      </w:r>
      <w:proofErr w:type="gramEnd"/>
      <w:r w:rsidRPr="00925F26">
        <w:rPr>
          <w:color w:val="000000" w:themeColor="text1"/>
          <w:sz w:val="16"/>
          <w:szCs w:val="16"/>
        </w:rPr>
        <w:t xml:space="preserve"> За протектирующими элементами следует внешний силовой слой из облегченного кожезаменителя толщиной в 2,5-3 мм.</w:t>
      </w:r>
    </w:p>
    <w:p w14:paraId="443901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59EB15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Мягкие б/б расположены в центроплане в фанерных отсеках, в которых закреплен в 10 точках (9 штырей и заливная горловина).</w:t>
      </w:r>
    </w:p>
    <w:p w14:paraId="2AB373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мягких б/б 292 кг, а металлического протектированного - 296 кг. Вес двух баков - 26 кг, а металлических - 36 кг.</w:t>
      </w:r>
    </w:p>
    <w:p w14:paraId="41531A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2C1CAA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Модтфицированный с-т Ла-7 №... с крыльевыми мягкими б/б госиспытания прошел удовлетворительно.</w:t>
      </w:r>
    </w:p>
    <w:p w14:paraId="62D697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5D6E7E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Подписали 5 мая 1945 Лосюков, Сафронов, ... (475,1).</w:t>
      </w:r>
    </w:p>
    <w:p w14:paraId="72ED7E77" w14:textId="77777777" w:rsidR="00665165" w:rsidRPr="00925F26" w:rsidRDefault="00665165" w:rsidP="00925F26">
      <w:pPr>
        <w:autoSpaceDE w:val="0"/>
        <w:autoSpaceDN w:val="0"/>
        <w:adjustRightInd w:val="0"/>
        <w:jc w:val="both"/>
        <w:rPr>
          <w:color w:val="000000" w:themeColor="text1"/>
          <w:sz w:val="16"/>
          <w:szCs w:val="16"/>
        </w:rPr>
      </w:pPr>
    </w:p>
    <w:p w14:paraId="1C197DB0"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1945 на втором экземпляре МиГа с ТК-300Б достигли высоты — 13000 м, а в день катастрофы высотно</w:t>
      </w:r>
      <w:r w:rsidRPr="00925F26">
        <w:rPr>
          <w:color w:val="000000" w:themeColor="text1"/>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925F26">
        <w:rPr>
          <w:color w:val="000000" w:themeColor="text1"/>
          <w:sz w:val="16"/>
          <w:szCs w:val="16"/>
        </w:rPr>
        <w:softHyphen/>
        <w:t>ния расчётного потолка 14000 м. Первый экземпляр МиГа, хотя и летал, но значитель</w:t>
      </w:r>
      <w:r w:rsidRPr="00925F26">
        <w:rPr>
          <w:color w:val="000000" w:themeColor="text1"/>
          <w:sz w:val="16"/>
          <w:szCs w:val="16"/>
        </w:rPr>
        <w:softHyphen/>
        <w:t>ных результатов на нём не получили (15830).</w:t>
      </w:r>
    </w:p>
    <w:p w14:paraId="18F7967E" w14:textId="77777777" w:rsidR="00854708" w:rsidRPr="00925F26" w:rsidRDefault="00854708" w:rsidP="00925F26">
      <w:pPr>
        <w:jc w:val="both"/>
        <w:rPr>
          <w:color w:val="000000" w:themeColor="text1"/>
          <w:sz w:val="16"/>
          <w:szCs w:val="16"/>
        </w:rPr>
      </w:pPr>
    </w:p>
    <w:p w14:paraId="6D5513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C 11 по 25 мая 1944 в НИИ ВВС на а Чкаловская испытывали облегченный - FW-190D-9 (1145,20), захваченный в Мариенбурге в марте 1945 и летал В.Голофастов (2466,148).</w:t>
      </w:r>
    </w:p>
    <w:p w14:paraId="73CD700C" w14:textId="77777777" w:rsidR="00665165" w:rsidRPr="00925F26" w:rsidRDefault="00665165" w:rsidP="00925F26">
      <w:pPr>
        <w:autoSpaceDE w:val="0"/>
        <w:autoSpaceDN w:val="0"/>
        <w:adjustRightInd w:val="0"/>
        <w:jc w:val="both"/>
        <w:rPr>
          <w:color w:val="000000" w:themeColor="text1"/>
          <w:sz w:val="16"/>
          <w:szCs w:val="16"/>
        </w:rPr>
      </w:pPr>
    </w:p>
    <w:p w14:paraId="2B5080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25 мая 1945 г. на аэродроме «Чкаловская» испытывался облегченный вариант FW-190A-8 </w:t>
      </w:r>
      <w:proofErr w:type="gramStart"/>
      <w:r w:rsidRPr="00925F26">
        <w:rPr>
          <w:color w:val="000000" w:themeColor="text1"/>
          <w:sz w:val="16"/>
          <w:szCs w:val="16"/>
        </w:rPr>
        <w:t>и  -</w:t>
      </w:r>
      <w:proofErr w:type="gramEnd"/>
      <w:r w:rsidRPr="00925F26">
        <w:rPr>
          <w:color w:val="000000" w:themeColor="text1"/>
          <w:sz w:val="16"/>
          <w:szCs w:val="16"/>
        </w:rPr>
        <w:t xml:space="preserve">самолет FW-190D-9 (11860). FW-190D-9 отличался от своих предшественников, главным образом,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группой. Вместо звездообразного двигателя воздушного охлаждения BMW-801 использовали V-образный Jumo-213A водяного охлаждения с непосредственным впрыском топлива и винтом изменяемого шага VS-111, лопасти которого были деревянными. На двигателе устанавливались автоматический двухскоростной приводной центробежный нагнетатель и устройство для впрыска водо-</w:t>
      </w:r>
      <w:proofErr w:type="gramStart"/>
      <w:r w:rsidRPr="00925F26">
        <w:rPr>
          <w:color w:val="000000" w:themeColor="text1"/>
          <w:sz w:val="16"/>
          <w:szCs w:val="16"/>
        </w:rPr>
        <w:t>спир-товой</w:t>
      </w:r>
      <w:proofErr w:type="gramEnd"/>
      <w:r w:rsidRPr="00925F26">
        <w:rPr>
          <w:color w:val="000000" w:themeColor="text1"/>
          <w:sz w:val="16"/>
          <w:szCs w:val="16"/>
        </w:rPr>
        <w:t xml:space="preserve"> смеси, увеличивавшее мощность в чрезвычайных случаях с 1900 до 2100 л.с. Управление силовой установкой происходило с помощью центрального поста, позволявшего перемещением рычага управления двигателем задавать эксплуатационные параметры мотора и винта в их оптимальном сочетании.</w:t>
      </w:r>
    </w:p>
    <w:p w14:paraId="4A572B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размещалось в трех про-тектированных бензобаках общей емкостью 642 литра. Предусматривалась возможность установки еще и подвесного бензобака на 300 литров.</w:t>
      </w:r>
    </w:p>
    <w:p w14:paraId="0D3038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Защитные мероприятия включали в себя наличие бронестекла толщиной 45 мм в передней части козырька фонаря кабины пилота, бронеза-головника толщиной 12 мм, восьмимиллиметровой бронеспинки и четырех 5-мм бронеплит за сиденьем пилота.</w:t>
      </w:r>
    </w:p>
    <w:p w14:paraId="0DEE3E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самолета было таким же, как и на FW-190A-8. Оно состояло из двух синхронных пушек MG-151 калибра 20 мм и двух пулеметов MG-131 калибра 13 мм, общий боекомплект которых насчитывал 400 и 900 патронов соответственно. В отличие от советских истребителей синхронные пушки размещались в крыле, а пулеметы - над двигателями.</w:t>
      </w:r>
    </w:p>
    <w:p w14:paraId="07DE50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самолете имелась связная УКВ-радиостанция F и G - 16ZY и локационный ответчик «свой - чужой» F и G-25. Отличительной особенностью радиостанции было то, что ее приемник использовался в системе радиополукомпаса.</w:t>
      </w:r>
    </w:p>
    <w:p w14:paraId="76D2EF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борьбы с обледенением стекла фонаря опрыскивались бензином, а на переднем и левом боковом стеклах имелись еще и электротермические устройства.</w:t>
      </w:r>
    </w:p>
    <w:p w14:paraId="1527F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модернизации длина самолета FW-190А-9 возросла по сравнению с FW-190A-8 с 8,950 до 10,380 метра. Наибольший «вклад» в это внесла винтомоторная установка, удлинившая машину на 0,8 метра. Увеличились также длины хвостовой части фюзеляжа (на 0,5 м) и хорды вертикального оперения (на 0,130 м). Следует отметить, что применение нового двигателя не привело к значительным переделкам планера.</w:t>
      </w:r>
    </w:p>
    <w:p w14:paraId="3A1F5B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процессе государственных испытаний ведущими по машине были инженер В.О.Мельников и летчик В.Е.Голофастов. Облетали самолет А.Г.Кочетков, А.Г.Прошаков, В.И.Хомяков, Л.М.Кувшинов и В.Г.Масич.</w:t>
      </w:r>
    </w:p>
    <w:p w14:paraId="600729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Летчики-испытатели ГК НИИ ВВС в своих отчетах отмечали, что:</w:t>
      </w:r>
    </w:p>
    <w:p w14:paraId="0DDB7C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«Кабина самолета ФВ-190Д-9 по оборудованию и расположению рычагов управления самолета и мотора аналогична кабине ФВ-190А-8…»</w:t>
      </w:r>
    </w:p>
    <w:p w14:paraId="384640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Обзор передней полусферы хороший, обзор задней полусферы ограничен бронезаголовником.</w:t>
      </w:r>
    </w:p>
    <w:p w14:paraId="7A2C3F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разбеге самолет имеет тенденцию к развороту влево, особенно при резкой даче газа и энергичном подъеме хвоста.</w:t>
      </w:r>
    </w:p>
    <w:p w14:paraId="0E7AFE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Вертикальная скорость самолета по сравнению с отечественными истребителями мала.</w:t>
      </w:r>
    </w:p>
    <w:p w14:paraId="1F7CCA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сравнению с ФВ-190А-8 управление самолета стало более тяжелым.</w:t>
      </w:r>
    </w:p>
    <w:p w14:paraId="118435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Отсутствие регулируемых в полете триммеров на рулях управления значительно затрудняет пилотирование самолета. На малых скоростях машина имеет тенденцию к крену и развороту влево, а на больших скоростях (свыше 450 км/ч) - вправо.</w:t>
      </w:r>
    </w:p>
    <w:p w14:paraId="17FC0D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Пилотаж на самолете выполняется нормально: исключение составляют виражи. На виражах, главным образом на левых, наблюдается тряска хвостового оперения, возрастающая по мере увеличения крена.</w:t>
      </w:r>
    </w:p>
    <w:p w14:paraId="3BA48F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выполнения виража на высоте 1000 м составляет 22 - 23 секунды, на высоте 5000 м - 24-28 секунд.</w:t>
      </w:r>
    </w:p>
    <w:p w14:paraId="3334D2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боевой разворот с высоты 1000 м самолет набирает 1000 метров, а с высоты 5000м - 900 метров.</w:t>
      </w:r>
    </w:p>
    <w:p w14:paraId="0C758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пикировании самолет быстро набирает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регулируемым в полете стабилизатором. Перед посадкой его нужно устанавливать на минимальный угол.</w:t>
      </w:r>
    </w:p>
    <w:p w14:paraId="139C01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пробеге самолет рыскает.</w:t>
      </w:r>
    </w:p>
    <w:p w14:paraId="62EE1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пулеметно-пушечным вооружением удобное. При стрельбе с пикирования по наземной цели одновременно из всех огневых точек самолет ведет себя устойчиво - наводка на цель не сбивается. Силу отдачи оружия летчик почти не ощущает.</w:t>
      </w:r>
    </w:p>
    <w:p w14:paraId="631A59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Проведенный воздушный бой самолета ФВ-190Д-9 с отечественным скоростным двухмоторным бомбардировщиком «63» (имеется в виду самолет «СДБ» ОКБ А.Н.Туполева, модификация Ту-2 -прим. автора) показал, что из-за отсутствия преимущества в максимальной горизонтальной скорости и малого преимущества в вертикальной самолет ФВ-190Д-9 в горизонтальном полете и на наборе высоты имеет возможность производить атаки только под небольшими углами в задней полусфере.</w:t>
      </w:r>
    </w:p>
    <w:p w14:paraId="04DE52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снижении самолет ФВ-190Д-9 может производить атаки бомбардировщика «63» значительно свободнее и под большими углами, чем при горизонтальном полете, вследствии более быстрого набора скорости…</w:t>
      </w:r>
    </w:p>
    <w:p w14:paraId="600919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Проведенный воздушный бой самолета ФВ-190Д-9 с отечественным истребителем Ла-7 показал, что Ла-7 имеет значительные преимущества перед ним по максимальным скоростям, скороподъемности и маневренности в горизонтальной и вертикальной плоскостях.</w:t>
      </w:r>
    </w:p>
    <w:p w14:paraId="5830FE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горизонтальном маневре при встрече на скоростях 0,9 от максимальных, самолет Ла-7 заходит в хвост самолету ФВ-190Д-9 за 2-2,5 виража.</w:t>
      </w:r>
    </w:p>
    <w:p w14:paraId="6AAE0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вертикальном маневре при встрече на максиальных скоростях Ла-7 набирает за боевой разворот большую высоту и, имея превосходство в высоте, заходит в хвост самолету ФВ-190Д-9».</w:t>
      </w:r>
    </w:p>
    <w:p w14:paraId="31937F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заключительной части «Акта № 94 по результатам государственных испытаний самолетов ФВ-190» отмечалось следующее:</w:t>
      </w:r>
    </w:p>
    <w:p w14:paraId="028A71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Фокке-Вульф-190Д-9 с мотором жидкостного охлаждения ЮМО-213А уступает по летно-такти-ческим данным отечественным серийным истребителям Як-9У с ВК-107А, Як-3 с ВК-105ПФ2 и Ла-7 с АШ-82ФН. 2. Замена мотора БМВ-801 воздушного охлаждения на мотор ЮМО-213А жидкостного охлаждения привела к незначительному увеличения максимальных горизонтальных скоростей самолета» (11860).</w:t>
      </w:r>
    </w:p>
    <w:p w14:paraId="143E61DC" w14:textId="77777777" w:rsidR="00665165" w:rsidRPr="00925F26" w:rsidRDefault="00665165" w:rsidP="00925F26">
      <w:pPr>
        <w:autoSpaceDE w:val="0"/>
        <w:autoSpaceDN w:val="0"/>
        <w:adjustRightInd w:val="0"/>
        <w:jc w:val="both"/>
        <w:rPr>
          <w:color w:val="000000" w:themeColor="text1"/>
          <w:sz w:val="16"/>
          <w:szCs w:val="16"/>
        </w:rPr>
      </w:pPr>
    </w:p>
    <w:p w14:paraId="1CE0E296" w14:textId="77777777" w:rsidR="00031180" w:rsidRPr="001A0BAA" w:rsidRDefault="00031180" w:rsidP="00031180">
      <w:pPr>
        <w:jc w:val="both"/>
        <w:rPr>
          <w:color w:val="0070C0"/>
          <w:sz w:val="16"/>
          <w:szCs w:val="16"/>
        </w:rPr>
      </w:pPr>
      <w:r w:rsidRPr="001A0BAA">
        <w:rPr>
          <w:color w:val="0070C0"/>
          <w:sz w:val="16"/>
          <w:szCs w:val="16"/>
        </w:rPr>
        <w:t>С 11 по 25 мая 1945 г. последним вариантом самолета FW 190, испытывавшимся в Советском Со</w:t>
      </w:r>
      <w:r w:rsidRPr="001A0BAA">
        <w:rPr>
          <w:color w:val="0070C0"/>
          <w:sz w:val="16"/>
          <w:szCs w:val="16"/>
        </w:rPr>
        <w:softHyphen/>
        <w:t>юзе в НИИ ВВС, стал FW190D-9, захваченный на одном из аэродромов Германии весной 1945 года. Внешне самолет от</w:t>
      </w:r>
      <w:r w:rsidRPr="001A0BAA">
        <w:rPr>
          <w:color w:val="0070C0"/>
          <w:sz w:val="16"/>
          <w:szCs w:val="16"/>
        </w:rPr>
        <w:softHyphen/>
        <w:t>личался от своих предшественников глав</w:t>
      </w:r>
      <w:r w:rsidRPr="001A0BAA">
        <w:rPr>
          <w:color w:val="0070C0"/>
          <w:sz w:val="16"/>
          <w:szCs w:val="16"/>
        </w:rPr>
        <w:softHyphen/>
        <w:t>ным образом винтомоторной группой. Вместо звездообразного двигателя воз</w:t>
      </w:r>
      <w:r w:rsidRPr="001A0BAA">
        <w:rPr>
          <w:color w:val="0070C0"/>
          <w:sz w:val="16"/>
          <w:szCs w:val="16"/>
        </w:rPr>
        <w:softHyphen/>
        <w:t>душного охлаждения BMW-801 исполь</w:t>
      </w:r>
      <w:r w:rsidRPr="001A0BAA">
        <w:rPr>
          <w:color w:val="0070C0"/>
          <w:sz w:val="16"/>
          <w:szCs w:val="16"/>
        </w:rPr>
        <w:softHyphen/>
        <w:t>зовали V-образный Jumo-213A жидкост</w:t>
      </w:r>
      <w:r w:rsidRPr="001A0BAA">
        <w:rPr>
          <w:color w:val="0070C0"/>
          <w:sz w:val="16"/>
          <w:szCs w:val="16"/>
        </w:rPr>
        <w:softHyphen/>
        <w:t>ного охлаждения с непосредственным впрыском топлива и винтом изменяемого шага VS-111 (диаметром 3,5 метра), ло</w:t>
      </w:r>
      <w:r w:rsidRPr="001A0BAA">
        <w:rPr>
          <w:color w:val="0070C0"/>
          <w:sz w:val="16"/>
          <w:szCs w:val="16"/>
        </w:rPr>
        <w:softHyphen/>
        <w:t>пасти которого были деревянными. Из-за этого длина машины возросла с 8,95 до 10,38 метра. На моторе устанавливался двухскоростной приводной центробеж</w:t>
      </w:r>
      <w:r w:rsidRPr="001A0BAA">
        <w:rPr>
          <w:color w:val="0070C0"/>
          <w:sz w:val="16"/>
          <w:szCs w:val="16"/>
        </w:rPr>
        <w:softHyphen/>
        <w:t>ный нагнетатель и устройство для впры</w:t>
      </w:r>
      <w:r w:rsidRPr="001A0BAA">
        <w:rPr>
          <w:color w:val="0070C0"/>
          <w:sz w:val="16"/>
          <w:szCs w:val="16"/>
        </w:rPr>
        <w:softHyphen/>
        <w:t>ска водо-спиртовой смеси, увеличивав</w:t>
      </w:r>
      <w:r w:rsidRPr="001A0BAA">
        <w:rPr>
          <w:color w:val="0070C0"/>
          <w:sz w:val="16"/>
          <w:szCs w:val="16"/>
        </w:rPr>
        <w:softHyphen/>
        <w:t>шее мощность на чрезвычайном режиме работы с 1900 до 2100 л.с. Управление силовой установкой происходило с помо</w:t>
      </w:r>
      <w:r w:rsidRPr="001A0BAA">
        <w:rPr>
          <w:color w:val="0070C0"/>
          <w:sz w:val="16"/>
          <w:szCs w:val="16"/>
        </w:rPr>
        <w:softHyphen/>
        <w:t>щью центрального поста, позволявшего перемещением рычага управления дви</w:t>
      </w:r>
      <w:r w:rsidRPr="001A0BAA">
        <w:rPr>
          <w:color w:val="0070C0"/>
          <w:sz w:val="16"/>
          <w:szCs w:val="16"/>
        </w:rPr>
        <w:softHyphen/>
        <w:t>гателем регулировать эксплуатационные параметры мотора и винта в их оптималь</w:t>
      </w:r>
      <w:r w:rsidRPr="001A0BAA">
        <w:rPr>
          <w:color w:val="0070C0"/>
          <w:sz w:val="16"/>
          <w:szCs w:val="16"/>
        </w:rPr>
        <w:softHyphen/>
        <w:t>ном сочетании.</w:t>
      </w:r>
    </w:p>
    <w:p w14:paraId="7A615CCB" w14:textId="77777777" w:rsidR="00031180" w:rsidRPr="001A0BAA" w:rsidRDefault="00031180" w:rsidP="00031180">
      <w:pPr>
        <w:jc w:val="both"/>
        <w:rPr>
          <w:color w:val="0070C0"/>
          <w:sz w:val="16"/>
          <w:szCs w:val="16"/>
        </w:rPr>
      </w:pPr>
      <w:r w:rsidRPr="001A0BAA">
        <w:rPr>
          <w:color w:val="0070C0"/>
          <w:sz w:val="16"/>
          <w:szCs w:val="16"/>
        </w:rPr>
        <w:lastRenderedPageBreak/>
        <w:t>Регулирование температуры двига</w:t>
      </w:r>
      <w:r w:rsidRPr="001A0BAA">
        <w:rPr>
          <w:color w:val="0070C0"/>
          <w:sz w:val="16"/>
          <w:szCs w:val="16"/>
        </w:rPr>
        <w:softHyphen/>
        <w:t>теля осуществлялось автоматически. Однако на случай отказа автоматики (считавшейся вполне надежной) не было предусмотрено ручное управление юбкой капота, что могло привести к перегреву двигателя.</w:t>
      </w:r>
    </w:p>
    <w:p w14:paraId="0431E2D1" w14:textId="77777777" w:rsidR="00031180" w:rsidRPr="001A0BAA" w:rsidRDefault="00031180" w:rsidP="00031180">
      <w:pPr>
        <w:jc w:val="both"/>
        <w:rPr>
          <w:color w:val="0070C0"/>
          <w:sz w:val="16"/>
          <w:szCs w:val="16"/>
        </w:rPr>
      </w:pPr>
      <w:r w:rsidRPr="001A0BAA">
        <w:rPr>
          <w:color w:val="0070C0"/>
          <w:sz w:val="16"/>
          <w:szCs w:val="16"/>
        </w:rPr>
        <w:t>Горючее размещалось в трех про</w:t>
      </w:r>
      <w:r w:rsidRPr="001A0BAA">
        <w:rPr>
          <w:color w:val="0070C0"/>
          <w:sz w:val="16"/>
          <w:szCs w:val="16"/>
        </w:rPr>
        <w:softHyphen/>
        <w:t>тестированных баках общей емкостью 642 литра. Предусматривался подвеской 300-литровый топливный бак.</w:t>
      </w:r>
    </w:p>
    <w:p w14:paraId="08D72433" w14:textId="77777777" w:rsidR="00031180" w:rsidRPr="001A0BAA" w:rsidRDefault="00031180" w:rsidP="00031180">
      <w:pPr>
        <w:jc w:val="both"/>
        <w:rPr>
          <w:color w:val="0070C0"/>
          <w:sz w:val="16"/>
          <w:szCs w:val="16"/>
        </w:rPr>
      </w:pPr>
      <w:r w:rsidRPr="001A0BAA">
        <w:rPr>
          <w:color w:val="0070C0"/>
          <w:sz w:val="16"/>
          <w:szCs w:val="16"/>
        </w:rPr>
        <w:t>Бронезащита истребителя включа</w:t>
      </w:r>
      <w:r w:rsidRPr="001A0BAA">
        <w:rPr>
          <w:color w:val="0070C0"/>
          <w:sz w:val="16"/>
          <w:szCs w:val="16"/>
        </w:rPr>
        <w:softHyphen/>
        <w:t>ла 45-мм бронестекло передней части козырька фонаря кабины пилота, 12-мм бронезаголовник, 8-мм бронеспинку и че</w:t>
      </w:r>
      <w:r w:rsidRPr="001A0BAA">
        <w:rPr>
          <w:color w:val="0070C0"/>
          <w:sz w:val="16"/>
          <w:szCs w:val="16"/>
        </w:rPr>
        <w:softHyphen/>
        <w:t>тыре бронеплиты толщиной по 5 мм, рас</w:t>
      </w:r>
      <w:r w:rsidRPr="001A0BAA">
        <w:rPr>
          <w:color w:val="0070C0"/>
          <w:sz w:val="16"/>
          <w:szCs w:val="16"/>
        </w:rPr>
        <w:softHyphen/>
        <w:t>положенные за сиденьем летчика.</w:t>
      </w:r>
    </w:p>
    <w:p w14:paraId="40947BD0" w14:textId="77777777" w:rsidR="00031180" w:rsidRPr="001A0BAA" w:rsidRDefault="00031180" w:rsidP="00031180">
      <w:pPr>
        <w:jc w:val="both"/>
        <w:rPr>
          <w:color w:val="0070C0"/>
          <w:sz w:val="16"/>
          <w:szCs w:val="16"/>
        </w:rPr>
      </w:pPr>
      <w:r w:rsidRPr="001A0BAA">
        <w:rPr>
          <w:color w:val="0070C0"/>
          <w:sz w:val="16"/>
          <w:szCs w:val="16"/>
        </w:rPr>
        <w:t>Вооружение сохранилось, как и на FW190A-8, и состояло из синхронных двух пушек MG-151 калибра 20 мм и двух 13-мм пулеметов MG-131, общий боеком</w:t>
      </w:r>
      <w:r w:rsidRPr="001A0BAA">
        <w:rPr>
          <w:color w:val="0070C0"/>
          <w:sz w:val="16"/>
          <w:szCs w:val="16"/>
        </w:rPr>
        <w:softHyphen/>
        <w:t>плект которых составлял 400 и 900 патро</w:t>
      </w:r>
      <w:r w:rsidRPr="001A0BAA">
        <w:rPr>
          <w:color w:val="0070C0"/>
          <w:sz w:val="16"/>
          <w:szCs w:val="16"/>
        </w:rPr>
        <w:softHyphen/>
        <w:t>нов соответственно. В отличие от совет</w:t>
      </w:r>
      <w:r w:rsidRPr="001A0BAA">
        <w:rPr>
          <w:color w:val="0070C0"/>
          <w:sz w:val="16"/>
          <w:szCs w:val="16"/>
        </w:rPr>
        <w:softHyphen/>
        <w:t>ских истребителей, синхронные пушки располагались в крыле, а пулеметы — над мотором.</w:t>
      </w:r>
    </w:p>
    <w:p w14:paraId="1B5EB8C0" w14:textId="77777777" w:rsidR="00031180" w:rsidRPr="001A0BAA" w:rsidRDefault="00031180" w:rsidP="00031180">
      <w:pPr>
        <w:jc w:val="both"/>
        <w:rPr>
          <w:color w:val="0070C0"/>
          <w:sz w:val="16"/>
          <w:szCs w:val="16"/>
        </w:rPr>
      </w:pPr>
      <w:r w:rsidRPr="001A0BAA">
        <w:rPr>
          <w:color w:val="0070C0"/>
          <w:sz w:val="16"/>
          <w:szCs w:val="16"/>
        </w:rPr>
        <w:t>Кроме этого, допускалась подвеска под центропланом 250-кг бомбы.</w:t>
      </w:r>
    </w:p>
    <w:p w14:paraId="1BE25D97" w14:textId="77777777" w:rsidR="00031180" w:rsidRPr="001A0BAA" w:rsidRDefault="00031180" w:rsidP="00031180">
      <w:pPr>
        <w:jc w:val="both"/>
        <w:rPr>
          <w:color w:val="0070C0"/>
          <w:sz w:val="16"/>
          <w:szCs w:val="16"/>
        </w:rPr>
      </w:pPr>
      <w:r w:rsidRPr="001A0BAA">
        <w:rPr>
          <w:color w:val="0070C0"/>
          <w:sz w:val="16"/>
          <w:szCs w:val="16"/>
        </w:rPr>
        <w:t>На самолете имелась связная УКВ- радиостанция FUG-16ZY и радиолокаци</w:t>
      </w:r>
      <w:r w:rsidRPr="001A0BAA">
        <w:rPr>
          <w:color w:val="0070C0"/>
          <w:sz w:val="16"/>
          <w:szCs w:val="16"/>
        </w:rPr>
        <w:softHyphen/>
        <w:t>онный ответчик «свой — чужой» FUG-25. Отличительной особенностью радиостан</w:t>
      </w:r>
      <w:r w:rsidRPr="001A0BAA">
        <w:rPr>
          <w:color w:val="0070C0"/>
          <w:sz w:val="16"/>
          <w:szCs w:val="16"/>
        </w:rPr>
        <w:softHyphen/>
        <w:t>ции было то, что ее приемник использо</w:t>
      </w:r>
      <w:r w:rsidRPr="001A0BAA">
        <w:rPr>
          <w:color w:val="0070C0"/>
          <w:sz w:val="16"/>
          <w:szCs w:val="16"/>
        </w:rPr>
        <w:softHyphen/>
        <w:t>вался для работы радиокомпаса.</w:t>
      </w:r>
    </w:p>
    <w:p w14:paraId="562D3A67" w14:textId="77777777" w:rsidR="00031180" w:rsidRPr="001A0BAA" w:rsidRDefault="00031180" w:rsidP="00031180">
      <w:pPr>
        <w:jc w:val="both"/>
        <w:rPr>
          <w:color w:val="0070C0"/>
          <w:sz w:val="16"/>
          <w:szCs w:val="16"/>
        </w:rPr>
      </w:pPr>
      <w:r w:rsidRPr="001A0BAA">
        <w:rPr>
          <w:color w:val="0070C0"/>
          <w:sz w:val="16"/>
          <w:szCs w:val="16"/>
        </w:rPr>
        <w:t>Для борьбы с обледенением стекла фонаря опрыскивались бензином, а на лобовом и левом боковом стеклах козырь</w:t>
      </w:r>
      <w:r w:rsidRPr="001A0BAA">
        <w:rPr>
          <w:color w:val="0070C0"/>
          <w:sz w:val="16"/>
          <w:szCs w:val="16"/>
        </w:rPr>
        <w:softHyphen/>
        <w:t>ка имелись еще и электротермические устройства.</w:t>
      </w:r>
    </w:p>
    <w:p w14:paraId="20266560" w14:textId="77777777" w:rsidR="00031180" w:rsidRPr="001A0BAA" w:rsidRDefault="00031180" w:rsidP="00031180">
      <w:pPr>
        <w:jc w:val="both"/>
        <w:rPr>
          <w:color w:val="0070C0"/>
          <w:sz w:val="16"/>
          <w:szCs w:val="16"/>
        </w:rPr>
      </w:pPr>
      <w:r w:rsidRPr="001A0BAA">
        <w:rPr>
          <w:color w:val="0070C0"/>
          <w:sz w:val="16"/>
          <w:szCs w:val="16"/>
        </w:rPr>
        <w:t>Следует отметить, что серьезные из</w:t>
      </w:r>
      <w:r w:rsidRPr="001A0BAA">
        <w:rPr>
          <w:color w:val="0070C0"/>
          <w:sz w:val="16"/>
          <w:szCs w:val="16"/>
        </w:rPr>
        <w:softHyphen/>
        <w:t>менения претерпела и конструкция пла</w:t>
      </w:r>
      <w:r w:rsidRPr="001A0BAA">
        <w:rPr>
          <w:color w:val="0070C0"/>
          <w:sz w:val="16"/>
          <w:szCs w:val="16"/>
        </w:rPr>
        <w:softHyphen/>
        <w:t>нера.</w:t>
      </w:r>
    </w:p>
    <w:p w14:paraId="7C0BD330" w14:textId="77777777" w:rsidR="00031180" w:rsidRPr="001A0BAA" w:rsidRDefault="00031180" w:rsidP="00031180">
      <w:pPr>
        <w:jc w:val="both"/>
        <w:rPr>
          <w:color w:val="0070C0"/>
          <w:sz w:val="16"/>
          <w:szCs w:val="16"/>
        </w:rPr>
      </w:pPr>
      <w:r w:rsidRPr="001A0BAA">
        <w:rPr>
          <w:color w:val="0070C0"/>
          <w:sz w:val="16"/>
          <w:szCs w:val="16"/>
        </w:rPr>
        <w:t>Длина FW190D-9 по сравнению с вари</w:t>
      </w:r>
      <w:r w:rsidRPr="001A0BAA">
        <w:rPr>
          <w:color w:val="0070C0"/>
          <w:sz w:val="16"/>
          <w:szCs w:val="16"/>
        </w:rPr>
        <w:softHyphen/>
        <w:t>антом «А-8» возросла с 8,95 до 10,38 ме</w:t>
      </w:r>
      <w:r w:rsidRPr="001A0BAA">
        <w:rPr>
          <w:color w:val="0070C0"/>
          <w:sz w:val="16"/>
          <w:szCs w:val="16"/>
        </w:rPr>
        <w:softHyphen/>
        <w:t>тра. Наибольший вклад в это внесла си</w:t>
      </w:r>
      <w:r w:rsidRPr="001A0BAA">
        <w:rPr>
          <w:color w:val="0070C0"/>
          <w:sz w:val="16"/>
          <w:szCs w:val="16"/>
        </w:rPr>
        <w:softHyphen/>
        <w:t>ловая установка, удлинившая машину на 0,8 метра. Увеличились также длина хво</w:t>
      </w:r>
      <w:r w:rsidRPr="001A0BAA">
        <w:rPr>
          <w:color w:val="0070C0"/>
          <w:sz w:val="16"/>
          <w:szCs w:val="16"/>
        </w:rPr>
        <w:softHyphen/>
        <w:t>стовой части фюзеляжа и хорда верти</w:t>
      </w:r>
      <w:r w:rsidRPr="001A0BAA">
        <w:rPr>
          <w:color w:val="0070C0"/>
          <w:sz w:val="16"/>
          <w:szCs w:val="16"/>
        </w:rPr>
        <w:softHyphen/>
        <w:t>кального оперения.</w:t>
      </w:r>
    </w:p>
    <w:p w14:paraId="6CB1C4EE" w14:textId="77777777" w:rsidR="00031180" w:rsidRPr="001A0BAA" w:rsidRDefault="00031180" w:rsidP="00031180">
      <w:pPr>
        <w:jc w:val="both"/>
        <w:rPr>
          <w:color w:val="0070C0"/>
          <w:sz w:val="16"/>
          <w:szCs w:val="16"/>
        </w:rPr>
      </w:pPr>
      <w:r w:rsidRPr="001A0BAA">
        <w:rPr>
          <w:color w:val="0070C0"/>
          <w:sz w:val="16"/>
          <w:szCs w:val="16"/>
        </w:rPr>
        <w:t>Ведущими по машине были инженер В.О. Мельников и летчик В.Е. Голофастов. Облетали самолет А.Г. Кочетков, А.Г. Про- шаков, В.И. Хомяков, Л.М. Кувшинов и В.Г. Масич. В ходе испытаний FW-190D-9 провели показательный воздушный бой с истребителем Ла-7, показавший, в част</w:t>
      </w:r>
      <w:r w:rsidRPr="001A0BAA">
        <w:rPr>
          <w:color w:val="0070C0"/>
          <w:sz w:val="16"/>
          <w:szCs w:val="16"/>
        </w:rPr>
        <w:softHyphen/>
        <w:t>ности, что «лавочкин» имеет значительные преимущества перед «немцем» по скоро</w:t>
      </w:r>
      <w:r w:rsidRPr="001A0BAA">
        <w:rPr>
          <w:color w:val="0070C0"/>
          <w:sz w:val="16"/>
          <w:szCs w:val="16"/>
        </w:rPr>
        <w:softHyphen/>
        <w:t>сти полета, скороподъемности и манев</w:t>
      </w:r>
      <w:r w:rsidRPr="001A0BAA">
        <w:rPr>
          <w:color w:val="0070C0"/>
          <w:sz w:val="16"/>
          <w:szCs w:val="16"/>
        </w:rPr>
        <w:softHyphen/>
        <w:t>ренности.</w:t>
      </w:r>
    </w:p>
    <w:p w14:paraId="7ADCDF42" w14:textId="77777777" w:rsidR="00031180" w:rsidRPr="001A0BAA" w:rsidRDefault="00031180" w:rsidP="00031180">
      <w:pPr>
        <w:jc w:val="both"/>
        <w:rPr>
          <w:color w:val="0070C0"/>
          <w:sz w:val="16"/>
          <w:szCs w:val="16"/>
        </w:rPr>
      </w:pPr>
      <w:r w:rsidRPr="001A0BAA">
        <w:rPr>
          <w:color w:val="0070C0"/>
          <w:sz w:val="16"/>
          <w:szCs w:val="16"/>
        </w:rPr>
        <w:t>В горизонтальном маневре при встре</w:t>
      </w:r>
      <w:r w:rsidRPr="001A0BAA">
        <w:rPr>
          <w:color w:val="0070C0"/>
          <w:sz w:val="16"/>
          <w:szCs w:val="16"/>
        </w:rPr>
        <w:softHyphen/>
        <w:t>че на скоростях 0,9 от максимальных Ла-7 заходил в хвост «противнику» за два-три виража. В вертикальном маневре на мак</w:t>
      </w:r>
      <w:r w:rsidRPr="001A0BAA">
        <w:rPr>
          <w:color w:val="0070C0"/>
          <w:sz w:val="16"/>
          <w:szCs w:val="16"/>
        </w:rPr>
        <w:softHyphen/>
        <w:t>симальных скоростях Ла-7 набирал за боевой разворот большую высоту и, имея превосходство в высоте, заходил в хвост FW-190D-9. Уступал «Фокке-Вульф» и дру</w:t>
      </w:r>
      <w:r w:rsidRPr="001A0BAA">
        <w:rPr>
          <w:color w:val="0070C0"/>
          <w:sz w:val="16"/>
          <w:szCs w:val="16"/>
        </w:rPr>
        <w:softHyphen/>
        <w:t>гим отечественным истребителям с мото</w:t>
      </w:r>
      <w:r w:rsidRPr="001A0BAA">
        <w:rPr>
          <w:color w:val="0070C0"/>
          <w:sz w:val="16"/>
          <w:szCs w:val="16"/>
        </w:rPr>
        <w:softHyphen/>
        <w:t>рами жидкостного охлаждения, так что на</w:t>
      </w:r>
      <w:r w:rsidRPr="001A0BAA">
        <w:rPr>
          <w:color w:val="0070C0"/>
          <w:sz w:val="16"/>
          <w:szCs w:val="16"/>
        </w:rPr>
        <w:softHyphen/>
        <w:t>дежды Люфтваффе на этот истребитель не оправдались.</w:t>
      </w:r>
    </w:p>
    <w:p w14:paraId="066DF079" w14:textId="77777777" w:rsidR="00031180" w:rsidRPr="001A0BAA" w:rsidRDefault="00031180" w:rsidP="00031180">
      <w:pPr>
        <w:jc w:val="both"/>
        <w:rPr>
          <w:color w:val="0070C0"/>
          <w:sz w:val="16"/>
          <w:szCs w:val="16"/>
        </w:rPr>
      </w:pPr>
      <w:r w:rsidRPr="001A0BAA">
        <w:rPr>
          <w:color w:val="0070C0"/>
          <w:sz w:val="16"/>
          <w:szCs w:val="16"/>
        </w:rPr>
        <w:t>В Акте по результатам испытаний са</w:t>
      </w:r>
      <w:r w:rsidRPr="001A0BAA">
        <w:rPr>
          <w:color w:val="0070C0"/>
          <w:sz w:val="16"/>
          <w:szCs w:val="16"/>
        </w:rPr>
        <w:softHyphen/>
        <w:t>молета ФВ-190Д-9, утвержденном 4 июня 1945 года, летчики отмечали:</w:t>
      </w:r>
    </w:p>
    <w:p w14:paraId="42AF116C" w14:textId="77777777" w:rsidR="00031180" w:rsidRPr="001A0BAA" w:rsidRDefault="00031180" w:rsidP="00031180">
      <w:pPr>
        <w:jc w:val="both"/>
        <w:rPr>
          <w:color w:val="0070C0"/>
          <w:sz w:val="16"/>
          <w:szCs w:val="16"/>
        </w:rPr>
      </w:pPr>
      <w:r w:rsidRPr="001A0BAA">
        <w:rPr>
          <w:color w:val="0070C0"/>
          <w:sz w:val="16"/>
          <w:szCs w:val="16"/>
        </w:rPr>
        <w:t>«Кабина &lt;...&gt; ФВ-190Д-9 по оборудо</w:t>
      </w:r>
      <w:r w:rsidRPr="001A0BAA">
        <w:rPr>
          <w:color w:val="0070C0"/>
          <w:sz w:val="16"/>
          <w:szCs w:val="16"/>
        </w:rPr>
        <w:softHyphen/>
        <w:t>ванию и расположению рычагов управ</w:t>
      </w:r>
      <w:r w:rsidRPr="001A0BAA">
        <w:rPr>
          <w:color w:val="0070C0"/>
          <w:sz w:val="16"/>
          <w:szCs w:val="16"/>
        </w:rPr>
        <w:softHyphen/>
        <w:t>ления самолетом и мотором аналогична кабине ФВ- 190А-8...</w:t>
      </w:r>
    </w:p>
    <w:p w14:paraId="513C304E" w14:textId="77777777" w:rsidR="00031180" w:rsidRPr="001A0BAA" w:rsidRDefault="00031180" w:rsidP="00031180">
      <w:pPr>
        <w:jc w:val="both"/>
        <w:rPr>
          <w:color w:val="0070C0"/>
          <w:sz w:val="16"/>
          <w:szCs w:val="16"/>
        </w:rPr>
      </w:pPr>
      <w:r w:rsidRPr="001A0BAA">
        <w:rPr>
          <w:color w:val="0070C0"/>
          <w:sz w:val="16"/>
          <w:szCs w:val="16"/>
        </w:rPr>
        <w:t>Обзор передней полусферы хороший, обзор задней полусферы ограничен бро- незаголовником.</w:t>
      </w:r>
    </w:p>
    <w:p w14:paraId="0D15F289" w14:textId="77777777" w:rsidR="00031180" w:rsidRPr="001A0BAA" w:rsidRDefault="00031180" w:rsidP="00031180">
      <w:pPr>
        <w:jc w:val="both"/>
        <w:rPr>
          <w:color w:val="0070C0"/>
          <w:sz w:val="16"/>
          <w:szCs w:val="16"/>
        </w:rPr>
      </w:pPr>
      <w:r w:rsidRPr="001A0BAA">
        <w:rPr>
          <w:color w:val="0070C0"/>
          <w:sz w:val="16"/>
          <w:szCs w:val="16"/>
        </w:rPr>
        <w:t>На разбеге самолет имеет тенденцию к развороту влево, особенно при резкой даче газа и энергичном подъеме хвоста.</w:t>
      </w:r>
    </w:p>
    <w:p w14:paraId="1E062F37" w14:textId="77777777" w:rsidR="00031180" w:rsidRPr="001A0BAA" w:rsidRDefault="00031180" w:rsidP="00031180">
      <w:pPr>
        <w:jc w:val="both"/>
        <w:rPr>
          <w:color w:val="0070C0"/>
          <w:sz w:val="16"/>
          <w:szCs w:val="16"/>
        </w:rPr>
      </w:pPr>
      <w:r w:rsidRPr="001A0BAA">
        <w:rPr>
          <w:color w:val="0070C0"/>
          <w:sz w:val="16"/>
          <w:szCs w:val="16"/>
        </w:rPr>
        <w:t>Вертикальная скорость самолета по сравнению по сравнению с отечествен</w:t>
      </w:r>
      <w:r w:rsidRPr="001A0BAA">
        <w:rPr>
          <w:color w:val="0070C0"/>
          <w:sz w:val="16"/>
          <w:szCs w:val="16"/>
        </w:rPr>
        <w:softHyphen/>
        <w:t>ными истребителями мала.</w:t>
      </w:r>
    </w:p>
    <w:p w14:paraId="6E4E025B" w14:textId="77777777" w:rsidR="00031180" w:rsidRPr="001A0BAA" w:rsidRDefault="00031180" w:rsidP="00031180">
      <w:pPr>
        <w:jc w:val="both"/>
        <w:rPr>
          <w:color w:val="0070C0"/>
          <w:sz w:val="16"/>
          <w:szCs w:val="16"/>
        </w:rPr>
      </w:pPr>
      <w:r w:rsidRPr="001A0BAA">
        <w:rPr>
          <w:color w:val="0070C0"/>
          <w:sz w:val="16"/>
          <w:szCs w:val="16"/>
        </w:rPr>
        <w:t>По сравнению с ФВ-190А-8 управле</w:t>
      </w:r>
      <w:r w:rsidRPr="001A0BAA">
        <w:rPr>
          <w:color w:val="0070C0"/>
          <w:sz w:val="16"/>
          <w:szCs w:val="16"/>
        </w:rPr>
        <w:softHyphen/>
        <w:t>ние самолета стало более тяжелым.</w:t>
      </w:r>
    </w:p>
    <w:p w14:paraId="41BD51CC" w14:textId="77777777" w:rsidR="00031180" w:rsidRPr="001A0BAA" w:rsidRDefault="00031180" w:rsidP="00031180">
      <w:pPr>
        <w:jc w:val="both"/>
        <w:rPr>
          <w:color w:val="0070C0"/>
          <w:sz w:val="16"/>
          <w:szCs w:val="16"/>
        </w:rPr>
      </w:pPr>
      <w:r w:rsidRPr="001A0BAA">
        <w:rPr>
          <w:color w:val="0070C0"/>
          <w:sz w:val="16"/>
          <w:szCs w:val="16"/>
        </w:rPr>
        <w:t>Отсутствие регулируемых в полете триммеров на рулях &lt;...&gt; значительно затрудняет пилотирование самолета. На малых скоростях машина имеет тенден</w:t>
      </w:r>
      <w:r w:rsidRPr="001A0BAA">
        <w:rPr>
          <w:color w:val="0070C0"/>
          <w:sz w:val="16"/>
          <w:szCs w:val="16"/>
        </w:rPr>
        <w:softHyphen/>
        <w:t>цию к крену и развороту влево, а на боль</w:t>
      </w:r>
      <w:r w:rsidRPr="001A0BAA">
        <w:rPr>
          <w:color w:val="0070C0"/>
          <w:sz w:val="16"/>
          <w:szCs w:val="16"/>
        </w:rPr>
        <w:softHyphen/>
        <w:t>ших скоростях (свыше 450 км/ч) — вправо.</w:t>
      </w:r>
    </w:p>
    <w:p w14:paraId="16F7D8F4" w14:textId="77777777" w:rsidR="00031180" w:rsidRPr="001A0BAA" w:rsidRDefault="00031180" w:rsidP="00031180">
      <w:pPr>
        <w:jc w:val="both"/>
        <w:rPr>
          <w:color w:val="0070C0"/>
          <w:sz w:val="16"/>
          <w:szCs w:val="16"/>
        </w:rPr>
      </w:pPr>
      <w:r w:rsidRPr="001A0BAA">
        <w:rPr>
          <w:color w:val="0070C0"/>
          <w:sz w:val="16"/>
          <w:szCs w:val="16"/>
        </w:rPr>
        <w:t>Пилотаж на самолете выполняется нормально: исключение составляют ви</w:t>
      </w:r>
      <w:r w:rsidRPr="001A0BAA">
        <w:rPr>
          <w:color w:val="0070C0"/>
          <w:sz w:val="16"/>
          <w:szCs w:val="16"/>
        </w:rPr>
        <w:softHyphen/>
        <w:t>ражи. На виражах, главным образом на левых, наблюдается тряска хвостового оперения, возрастающая по мере увели</w:t>
      </w:r>
      <w:r w:rsidRPr="001A0BAA">
        <w:rPr>
          <w:color w:val="0070C0"/>
          <w:sz w:val="16"/>
          <w:szCs w:val="16"/>
        </w:rPr>
        <w:softHyphen/>
        <w:t>чения крена.</w:t>
      </w:r>
    </w:p>
    <w:p w14:paraId="3D4AB3F3" w14:textId="77777777" w:rsidR="00031180" w:rsidRPr="001A0BAA" w:rsidRDefault="00031180" w:rsidP="00031180">
      <w:pPr>
        <w:jc w:val="both"/>
        <w:rPr>
          <w:color w:val="0070C0"/>
          <w:sz w:val="16"/>
          <w:szCs w:val="16"/>
        </w:rPr>
      </w:pPr>
      <w:r w:rsidRPr="001A0BAA">
        <w:rPr>
          <w:color w:val="0070C0"/>
          <w:sz w:val="16"/>
          <w:szCs w:val="16"/>
        </w:rPr>
        <w:t>Время выполнения виража на высоте 1000 м составляет22 — 23 секунды, на вы</w:t>
      </w:r>
      <w:r w:rsidRPr="001A0BAA">
        <w:rPr>
          <w:color w:val="0070C0"/>
          <w:sz w:val="16"/>
          <w:szCs w:val="16"/>
        </w:rPr>
        <w:softHyphen/>
        <w:t>соте 5000 м — 24 —28 секунд.</w:t>
      </w:r>
    </w:p>
    <w:p w14:paraId="75E64AAA" w14:textId="77777777" w:rsidR="00031180" w:rsidRPr="001A0BAA" w:rsidRDefault="00031180" w:rsidP="00031180">
      <w:pPr>
        <w:jc w:val="both"/>
        <w:rPr>
          <w:color w:val="0070C0"/>
          <w:sz w:val="16"/>
          <w:szCs w:val="16"/>
        </w:rPr>
      </w:pPr>
      <w:r w:rsidRPr="001A0BAA">
        <w:rPr>
          <w:color w:val="0070C0"/>
          <w:sz w:val="16"/>
          <w:szCs w:val="16"/>
        </w:rPr>
        <w:t>За боевой разворот с высоты 1000 м самолет набирает 1000 м, а с 5000 м — 900 м.</w:t>
      </w:r>
    </w:p>
    <w:p w14:paraId="1ECB5059" w14:textId="77777777" w:rsidR="00031180" w:rsidRPr="001A0BAA" w:rsidRDefault="00031180" w:rsidP="00031180">
      <w:pPr>
        <w:jc w:val="both"/>
        <w:rPr>
          <w:color w:val="0070C0"/>
          <w:sz w:val="16"/>
          <w:szCs w:val="16"/>
        </w:rPr>
      </w:pPr>
      <w:r w:rsidRPr="001A0BAA">
        <w:rPr>
          <w:color w:val="0070C0"/>
          <w:sz w:val="16"/>
          <w:szCs w:val="16"/>
        </w:rPr>
        <w:t>На пикировании самолет быстро на</w:t>
      </w:r>
      <w:r w:rsidRPr="001A0BAA">
        <w:rPr>
          <w:color w:val="0070C0"/>
          <w:sz w:val="16"/>
          <w:szCs w:val="16"/>
        </w:rPr>
        <w:softHyphen/>
        <w:t>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w:t>
      </w:r>
      <w:r w:rsidRPr="001A0BAA">
        <w:rPr>
          <w:color w:val="0070C0"/>
          <w:sz w:val="16"/>
          <w:szCs w:val="16"/>
        </w:rPr>
        <w:softHyphen/>
        <w:t>руемым в полете стабилизатором. Перед посадкой его нужно устанавливать на минимальный угол. На пробеге самолет ры</w:t>
      </w:r>
      <w:r w:rsidRPr="001A0BAA">
        <w:rPr>
          <w:color w:val="0070C0"/>
          <w:sz w:val="16"/>
          <w:szCs w:val="16"/>
        </w:rPr>
        <w:softHyphen/>
        <w:t>скает.</w:t>
      </w:r>
    </w:p>
    <w:p w14:paraId="78D63215" w14:textId="77777777" w:rsidR="00031180" w:rsidRPr="001A0BAA" w:rsidRDefault="00031180" w:rsidP="00031180">
      <w:pPr>
        <w:jc w:val="both"/>
        <w:rPr>
          <w:color w:val="0070C0"/>
          <w:sz w:val="16"/>
          <w:szCs w:val="16"/>
        </w:rPr>
      </w:pPr>
      <w:r w:rsidRPr="001A0BAA">
        <w:rPr>
          <w:color w:val="0070C0"/>
          <w:sz w:val="16"/>
          <w:szCs w:val="16"/>
        </w:rPr>
        <w:t>Управление пулеметно-пушечным во</w:t>
      </w:r>
      <w:r w:rsidRPr="001A0BAA">
        <w:rPr>
          <w:color w:val="0070C0"/>
          <w:sz w:val="16"/>
          <w:szCs w:val="16"/>
        </w:rPr>
        <w:softHyphen/>
        <w:t>оружением удобное. При стрельбе с пики</w:t>
      </w:r>
      <w:r w:rsidRPr="001A0BAA">
        <w:rPr>
          <w:color w:val="0070C0"/>
          <w:sz w:val="16"/>
          <w:szCs w:val="16"/>
        </w:rPr>
        <w:softHyphen/>
        <w:t>рования по наземной цели одновременно из всех огневых точек самолет ведет се</w:t>
      </w:r>
      <w:r w:rsidRPr="001A0BAA">
        <w:rPr>
          <w:color w:val="0070C0"/>
          <w:sz w:val="16"/>
          <w:szCs w:val="16"/>
        </w:rPr>
        <w:softHyphen/>
        <w:t>бя устойчиво. Силу отдачи оружия летчик почти не ощущает.</w:t>
      </w:r>
    </w:p>
    <w:p w14:paraId="4C4C41F8" w14:textId="77777777" w:rsidR="00031180" w:rsidRPr="001A0BAA" w:rsidRDefault="00031180" w:rsidP="00031180">
      <w:pPr>
        <w:jc w:val="both"/>
        <w:rPr>
          <w:color w:val="0070C0"/>
          <w:sz w:val="16"/>
          <w:szCs w:val="16"/>
        </w:rPr>
      </w:pPr>
      <w:r w:rsidRPr="001A0BAA">
        <w:rPr>
          <w:color w:val="0070C0"/>
          <w:sz w:val="16"/>
          <w:szCs w:val="16"/>
        </w:rPr>
        <w:t>Проведенный воздушный бой самоле</w:t>
      </w:r>
      <w:r w:rsidRPr="001A0BAA">
        <w:rPr>
          <w:color w:val="0070C0"/>
          <w:sz w:val="16"/>
          <w:szCs w:val="16"/>
        </w:rPr>
        <w:softHyphen/>
        <w:t>та ФВ- 190Д-9 с отечественным скорост</w:t>
      </w:r>
      <w:r w:rsidRPr="001A0BAA">
        <w:rPr>
          <w:color w:val="0070C0"/>
          <w:sz w:val="16"/>
          <w:szCs w:val="16"/>
        </w:rPr>
        <w:softHyphen/>
        <w:t>ным бомбардировщиком «63» (имеется в виду самолет «СДБ» ОКБ А.Н.Туполева, модификация Ту-2</w:t>
      </w:r>
      <w:r w:rsidRPr="001A0BAA">
        <w:rPr>
          <w:b/>
          <w:bCs/>
          <w:color w:val="0070C0"/>
          <w:sz w:val="16"/>
          <w:szCs w:val="16"/>
        </w:rPr>
        <w:t xml:space="preserve">) </w:t>
      </w:r>
      <w:r w:rsidRPr="001A0BAA">
        <w:rPr>
          <w:color w:val="0070C0"/>
          <w:sz w:val="16"/>
          <w:szCs w:val="16"/>
        </w:rPr>
        <w:t>пока</w:t>
      </w:r>
      <w:r w:rsidRPr="001A0BAA">
        <w:rPr>
          <w:color w:val="0070C0"/>
          <w:sz w:val="16"/>
          <w:szCs w:val="16"/>
        </w:rPr>
        <w:softHyphen/>
        <w:t>зал, что из-за отсутствия преимущества в максимальной горизонтальной скоро</w:t>
      </w:r>
      <w:r w:rsidRPr="001A0BAA">
        <w:rPr>
          <w:color w:val="0070C0"/>
          <w:sz w:val="16"/>
          <w:szCs w:val="16"/>
        </w:rPr>
        <w:softHyphen/>
        <w:t>сти и малого преимущества в вертикаль</w:t>
      </w:r>
      <w:r w:rsidRPr="001A0BAA">
        <w:rPr>
          <w:color w:val="0070C0"/>
          <w:sz w:val="16"/>
          <w:szCs w:val="16"/>
        </w:rPr>
        <w:softHyphen/>
        <w:t>ной скорости ФВ-190Д-9 в горизонталь</w:t>
      </w:r>
      <w:r w:rsidRPr="001A0BAA">
        <w:rPr>
          <w:color w:val="0070C0"/>
          <w:sz w:val="16"/>
          <w:szCs w:val="16"/>
        </w:rPr>
        <w:softHyphen/>
        <w:t>ном полете и на наборе высоты имеет возможность производить атаки только под небольшими углами в задней полу</w:t>
      </w:r>
      <w:r w:rsidRPr="001A0BAA">
        <w:rPr>
          <w:color w:val="0070C0"/>
          <w:sz w:val="16"/>
          <w:szCs w:val="16"/>
        </w:rPr>
        <w:softHyphen/>
        <w:t>сфере.</w:t>
      </w:r>
    </w:p>
    <w:p w14:paraId="248BA821" w14:textId="77777777" w:rsidR="00031180" w:rsidRPr="001A0BAA" w:rsidRDefault="00031180" w:rsidP="00031180">
      <w:pPr>
        <w:jc w:val="both"/>
        <w:rPr>
          <w:color w:val="0070C0"/>
          <w:sz w:val="16"/>
          <w:szCs w:val="16"/>
        </w:rPr>
      </w:pPr>
      <w:r w:rsidRPr="001A0BAA">
        <w:rPr>
          <w:color w:val="0070C0"/>
          <w:sz w:val="16"/>
          <w:szCs w:val="16"/>
        </w:rPr>
        <w:t>При снижении самолет ФВ-190Д-9 мо</w:t>
      </w:r>
      <w:r w:rsidRPr="001A0BAA">
        <w:rPr>
          <w:color w:val="0070C0"/>
          <w:sz w:val="16"/>
          <w:szCs w:val="16"/>
        </w:rPr>
        <w:softHyphen/>
        <w:t>жет производить атаки бомбардировщика «63» значительно свободнее и под боль</w:t>
      </w:r>
      <w:r w:rsidRPr="001A0BAA">
        <w:rPr>
          <w:color w:val="0070C0"/>
          <w:sz w:val="16"/>
          <w:szCs w:val="16"/>
        </w:rPr>
        <w:softHyphen/>
        <w:t>шими углами, чем при горизонтальном полете, вследствие более быстрого набо</w:t>
      </w:r>
      <w:r w:rsidRPr="001A0BAA">
        <w:rPr>
          <w:color w:val="0070C0"/>
          <w:sz w:val="16"/>
          <w:szCs w:val="16"/>
        </w:rPr>
        <w:softHyphen/>
        <w:t>ра скорости.</w:t>
      </w:r>
    </w:p>
    <w:p w14:paraId="1CBDB615" w14:textId="77777777" w:rsidR="00031180" w:rsidRPr="001A0BAA" w:rsidRDefault="00031180" w:rsidP="00031180">
      <w:pPr>
        <w:jc w:val="both"/>
        <w:rPr>
          <w:color w:val="0070C0"/>
          <w:sz w:val="16"/>
          <w:szCs w:val="16"/>
        </w:rPr>
      </w:pPr>
      <w:r w:rsidRPr="001A0BAA">
        <w:rPr>
          <w:color w:val="0070C0"/>
          <w:sz w:val="16"/>
          <w:szCs w:val="16"/>
        </w:rPr>
        <w:t>Проведенный воздушный бой само</w:t>
      </w:r>
      <w:r w:rsidRPr="001A0BAA">
        <w:rPr>
          <w:color w:val="0070C0"/>
          <w:sz w:val="16"/>
          <w:szCs w:val="16"/>
        </w:rPr>
        <w:softHyphen/>
        <w:t>лета ФВ-190Д-9 с &lt;...&gt; Ла-7 показал, что Ла-7 имеет значительные преимущества перед ним по максимальным скоростям, скороподъемности и маневренности в го</w:t>
      </w:r>
      <w:r w:rsidRPr="001A0BAA">
        <w:rPr>
          <w:color w:val="0070C0"/>
          <w:sz w:val="16"/>
          <w:szCs w:val="16"/>
        </w:rPr>
        <w:softHyphen/>
        <w:t>ризонтальной и вертикальной плоскостях.</w:t>
      </w:r>
    </w:p>
    <w:p w14:paraId="34FF1108" w14:textId="77777777" w:rsidR="00031180" w:rsidRPr="001A0BAA" w:rsidRDefault="00031180" w:rsidP="00031180">
      <w:pPr>
        <w:jc w:val="both"/>
        <w:rPr>
          <w:color w:val="0070C0"/>
          <w:sz w:val="16"/>
          <w:szCs w:val="16"/>
        </w:rPr>
      </w:pPr>
      <w:r w:rsidRPr="001A0BAA">
        <w:rPr>
          <w:color w:val="0070C0"/>
          <w:sz w:val="16"/>
          <w:szCs w:val="16"/>
        </w:rPr>
        <w:t>В горизонтальном маневре при встре</w:t>
      </w:r>
      <w:r w:rsidRPr="001A0BAA">
        <w:rPr>
          <w:color w:val="0070C0"/>
          <w:sz w:val="16"/>
          <w:szCs w:val="16"/>
        </w:rPr>
        <w:softHyphen/>
        <w:t>че на скоростях 0,9 от максимальных &lt;...&gt; Ла-7 заходит в хвост &lt;...&gt; ФВ-190Д-9 за 2 — 2,5 виража.</w:t>
      </w:r>
    </w:p>
    <w:p w14:paraId="383D2BBC" w14:textId="77777777" w:rsidR="00031180" w:rsidRPr="001A0BAA" w:rsidRDefault="00031180" w:rsidP="00031180">
      <w:pPr>
        <w:jc w:val="both"/>
        <w:rPr>
          <w:color w:val="0070C0"/>
          <w:sz w:val="16"/>
          <w:szCs w:val="16"/>
        </w:rPr>
      </w:pPr>
      <w:r w:rsidRPr="001A0BAA">
        <w:rPr>
          <w:color w:val="0070C0"/>
          <w:sz w:val="16"/>
          <w:szCs w:val="16"/>
        </w:rPr>
        <w:t>В вертикальном маневре при встрече на максимальных скоростяхЛа-7 набира</w:t>
      </w:r>
      <w:r w:rsidRPr="001A0BAA">
        <w:rPr>
          <w:color w:val="0070C0"/>
          <w:sz w:val="16"/>
          <w:szCs w:val="16"/>
        </w:rPr>
        <w:softHyphen/>
        <w:t>ет за боевой разворот большую высоту и, имея превосходство в высоте, заходит в хвост самолету ФВ-190Д-9».</w:t>
      </w:r>
    </w:p>
    <w:p w14:paraId="1DC39E3F" w14:textId="77777777" w:rsidR="00031180" w:rsidRPr="001A0BAA" w:rsidRDefault="00031180" w:rsidP="00031180">
      <w:pPr>
        <w:jc w:val="both"/>
        <w:rPr>
          <w:color w:val="0070C0"/>
          <w:sz w:val="16"/>
          <w:szCs w:val="16"/>
        </w:rPr>
      </w:pPr>
      <w:r w:rsidRPr="001A0BAA">
        <w:rPr>
          <w:color w:val="0070C0"/>
          <w:sz w:val="16"/>
          <w:szCs w:val="16"/>
        </w:rPr>
        <w:t>В заключении Акта по результатам ис</w:t>
      </w:r>
      <w:r w:rsidRPr="001A0BAA">
        <w:rPr>
          <w:color w:val="0070C0"/>
          <w:sz w:val="16"/>
          <w:szCs w:val="16"/>
        </w:rPr>
        <w:softHyphen/>
        <w:t>пытаний отмечалось, в частности:</w:t>
      </w:r>
    </w:p>
    <w:p w14:paraId="749A8D48" w14:textId="77777777" w:rsidR="00031180" w:rsidRPr="001A0BAA" w:rsidRDefault="00031180" w:rsidP="00031180">
      <w:pPr>
        <w:jc w:val="both"/>
        <w:rPr>
          <w:color w:val="0070C0"/>
          <w:sz w:val="16"/>
          <w:szCs w:val="16"/>
        </w:rPr>
      </w:pPr>
      <w:r w:rsidRPr="001A0BAA">
        <w:rPr>
          <w:color w:val="0070C0"/>
          <w:sz w:val="16"/>
          <w:szCs w:val="16"/>
        </w:rPr>
        <w:t>«1. Самолет «Фокке-Вульф-190Д-9» с мотором жидкостного охлаждения ЮМО-213А уступает по летно-тактиче</w:t>
      </w:r>
      <w:r w:rsidRPr="001A0BAA">
        <w:rPr>
          <w:color w:val="0070C0"/>
          <w:sz w:val="16"/>
          <w:szCs w:val="16"/>
        </w:rPr>
        <w:softHyphen/>
        <w:t>ским данным отечественным серийным истребителям Як-9У с ВК-107А, Як-3 с ВК- 105ПФ-2 и Ла-7 с АШ-82ФН.</w:t>
      </w:r>
    </w:p>
    <w:p w14:paraId="682AFE69" w14:textId="77777777" w:rsidR="00031180" w:rsidRPr="001A0BAA" w:rsidRDefault="00031180" w:rsidP="00031180">
      <w:pPr>
        <w:jc w:val="both"/>
        <w:rPr>
          <w:color w:val="0070C0"/>
          <w:sz w:val="16"/>
          <w:szCs w:val="16"/>
        </w:rPr>
      </w:pPr>
      <w:r w:rsidRPr="001A0BAA">
        <w:rPr>
          <w:color w:val="0070C0"/>
          <w:sz w:val="16"/>
          <w:szCs w:val="16"/>
        </w:rPr>
        <w:t>2. Замена мотора &lt;...&gt; воздушного охлаждения на &lt;...&gt; ЮМО-213А привела к незначительному увеличению макси</w:t>
      </w:r>
      <w:r w:rsidRPr="001A0BAA">
        <w:rPr>
          <w:color w:val="0070C0"/>
          <w:sz w:val="16"/>
          <w:szCs w:val="16"/>
        </w:rPr>
        <w:softHyphen/>
        <w:t>мальных горизонтальных скоростей са</w:t>
      </w:r>
      <w:r w:rsidRPr="001A0BAA">
        <w:rPr>
          <w:color w:val="0070C0"/>
          <w:sz w:val="16"/>
          <w:szCs w:val="16"/>
        </w:rPr>
        <w:softHyphen/>
        <w:t>молета» (24988).</w:t>
      </w:r>
    </w:p>
    <w:p w14:paraId="546EFAB4" w14:textId="77777777" w:rsidR="00031180" w:rsidRPr="001A0BAA" w:rsidRDefault="00031180" w:rsidP="00031180">
      <w:pPr>
        <w:jc w:val="both"/>
        <w:rPr>
          <w:color w:val="0070C0"/>
          <w:sz w:val="16"/>
          <w:szCs w:val="16"/>
        </w:rPr>
      </w:pPr>
    </w:p>
    <w:p w14:paraId="383CE8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было подготовлено:</w:t>
      </w:r>
    </w:p>
    <w:p w14:paraId="13A0FA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21AD2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Письмо Завитаева народному комиссару авиационной промышленности т. А.И.Шахурину от 11.05.45 г. о состоянии работ по объектам г. Вены на 11.05.45 г. (8994).</w:t>
      </w:r>
    </w:p>
    <w:p w14:paraId="0A3F31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w:t>
      </w:r>
    </w:p>
    <w:p w14:paraId="354FE4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55073E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НАРОДНОМУ КОМИССАРУ АВИАЦИОННОЙ ПРОМЫШЛЕННОСТИ тов. ШАХУРИНУ А.И.</w:t>
      </w:r>
    </w:p>
    <w:p w14:paraId="11E5D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Докладываю о состоянии работ по объектам г. Вены на 11-ое мая т.г.</w:t>
      </w:r>
    </w:p>
    <w:p w14:paraId="394A73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выявлено станков - 5800</w:t>
      </w:r>
    </w:p>
    <w:p w14:paraId="783DC4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демонтировано станков - 5000</w:t>
      </w:r>
    </w:p>
    <w:p w14:paraId="74B2C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погружено станков - 4800</w:t>
      </w:r>
    </w:p>
    <w:p w14:paraId="089040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погружено вагонов - 1100</w:t>
      </w:r>
    </w:p>
    <w:p w14:paraId="210DF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отправлено станков - 3668</w:t>
      </w:r>
    </w:p>
    <w:p w14:paraId="2F4940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отправлено вагонов - 949</w:t>
      </w:r>
    </w:p>
    <w:p w14:paraId="283AA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отправлено эшелонов - 37</w:t>
      </w:r>
    </w:p>
    <w:p w14:paraId="6E0549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Список отправленных эшелонов прилагается. Из 39 выявленных авиазаводов полностью закончено демонтажем и погружено в вагоны оборудование 25-ти заводов; по 6-ти заводам работа заканчивается в течение ближайших 2 - 3-х дней.</w:t>
      </w:r>
    </w:p>
    <w:p w14:paraId="5BE2E4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Список выявленных и законченных демонтажем заводов прилагается.</w:t>
      </w:r>
    </w:p>
    <w:p w14:paraId="2A6B03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При дополнительной проверке нашими работниками машиностроительного завода в г. Вена, фирмы "Пихлер" (он же "Отто-Лернер") с филиалом выяснилось, что завод изготовлял только авиационную электро-механическую аппаратуру и никаких деталей для автомашин не производил. Указанный завод передан Наркомсредмашу неправильно. Представитель НКСМ т. Александров неправильно информировал т. Гамова, указав в паспорте, что завод изготовляет автодетали (см. прилагаемую копию паспорта).</w:t>
      </w:r>
    </w:p>
    <w:p w14:paraId="667CE8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внести изменения в решение ГОКО и передать этот завод Наркомавиапрому. Все оборудование в количестве 250 единиц демонтировано и погружено для направления Наркомавиапрому на завод N 283 г. Ленинград.</w:t>
      </w:r>
    </w:p>
    <w:p w14:paraId="60DFE1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Тоже по заводу фирмы "Штейер-Дамлер-Пух" в г. Вене дополнительным обследованием подтверждено, что завод изготовлял только шасси и костыльные установки для самолетов. Никаких деталей для автомашин завод не производил. Все оборудование в количестве 330 единиц демонтировано, погружено и отправлено в адрес завода N 135 г. Харьков.</w:t>
      </w:r>
    </w:p>
    <w:p w14:paraId="07D1C8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также внести изменения в решение ГОКО:</w:t>
      </w:r>
    </w:p>
    <w:p w14:paraId="160C0F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Оборудование самолетного завода в г. Нойкирхен, согласно телеграммы т. Дементьева И.В., должны отгрузить на агрегатный завод N 489 в г. Днепропетровск. Считаю это ошибкой, так как оборудование завода в Нойкирхен больше подходит к самолетному производству, поэтому целесообразнее отгрузить это самолетчикам на завод N 135 в г. Харьков. Тем более, что решением ГОКО от 19.IV.с.г. предусмотрена отгрузка заводу N 135 оборудования самолетного завода в Винермойштадте, тогда как этот завод полностью разгружен и оборудования там нет.</w:t>
      </w:r>
    </w:p>
    <w:p w14:paraId="67B10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Для завода N 489 в г. Днепропетровске подобран другой завод, имеющий 250 станков - завод табачных машин фирмы "Гофер-Шранц", изготовляющий авиамоторные агрегаты. Прошу этот завод оформить решением ГОКО и указать адрес отгрузки г. Днепропетровск, завод N 489.</w:t>
      </w:r>
    </w:p>
    <w:p w14:paraId="0E346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Для обеспечения и ускорения работ по демонтажу оборудования авиационного проката Акц. об-ва "Энцесфельдер-Металло-Верке" прошу выслать самолетом рабочих, бригадиров и мастеров, знакомых с демонтажем тяжелых прессов (10.000 тонн) в количестве 15 человек.</w:t>
      </w:r>
    </w:p>
    <w:p w14:paraId="0C2DC2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Нами произведено обследование авиазаводов, находящихся в Чехословакии в районе г. Брно. Выявлены четыре завода, принадлежавшие во время оккупации немцам. Владельцы этих заводов бежали в Германию.</w:t>
      </w:r>
    </w:p>
    <w:p w14:paraId="5293B0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Первый - агрегатный завод в г. Брно по производству насосов непосредственного впрыска для авиамоторов воздушного охлаждения. Фирма завода "Клинкер-Дейч". Завод имеет 17 металлорежущих станков и 14 прекрасно оборудованных стендов для испытания насосов НВ. Оборудование комплектно и в хорошем состоянии.</w:t>
      </w:r>
    </w:p>
    <w:p w14:paraId="06DEB7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Второй - агрегатный завод по производству масляных насосов фирмы "Бено-Верке". Завод расположен в пивных подвалах (подземный), имеет 140 станков в хорошем состоянии. Местонахождение завода - населенный пункт Тружаны, близ г. Брно.</w:t>
      </w:r>
    </w:p>
    <w:p w14:paraId="292492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Третий - завод по изготовлению бензо-, масло- и топливных насосов, фирма "Остмаркверке". Завод расположен в населенном пункте Лищен, близ г. Брно. На заводе имеется 180 станков. Станки универсальные, в хорошем состоянии. Завод на 50% разрушен.</w:t>
      </w:r>
    </w:p>
    <w:p w14:paraId="7B1B01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Четвертый - завод по производству коробок передач к нагнетателю фирмы "Моравий Райгерн", расположен в населенном пункте Рай-Град, близ г. Брно.</w:t>
      </w:r>
    </w:p>
    <w:p w14:paraId="562146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сожжен немцами. Из 800 имевшихся на заводе станков сохранилось (в пивном подвале) - 50 единиц, в том числе три координатно-расточных. Станки в хорошем состоянии (новые).</w:t>
      </w:r>
    </w:p>
    <w:p w14:paraId="55A14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Прошу оформить решением ГОКО демонтаж и вывоз указанных заводов в СССР для Наркомавиапрома.</w:t>
      </w:r>
    </w:p>
    <w:p w14:paraId="27C7AF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В связи с тем, что работа по демонтажу авиазаводов в г. Вене и его окрестностях заканчивается, прошу прекратить присылку людей. Освобождающихся отправляю в Москву.</w:t>
      </w:r>
    </w:p>
    <w:p w14:paraId="32941E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года (Завитаев)</w:t>
      </w:r>
    </w:p>
    <w:p w14:paraId="77621F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ВЕРНО: Секретариат НКАП: (подпись) (8987; 8994).</w:t>
      </w:r>
    </w:p>
    <w:p w14:paraId="0A5DD65A" w14:textId="77777777" w:rsidR="00665165" w:rsidRPr="00925F26" w:rsidRDefault="00665165" w:rsidP="00925F26">
      <w:pPr>
        <w:autoSpaceDE w:val="0"/>
        <w:autoSpaceDN w:val="0"/>
        <w:adjustRightInd w:val="0"/>
        <w:jc w:val="both"/>
        <w:rPr>
          <w:color w:val="000000" w:themeColor="text1"/>
          <w:sz w:val="16"/>
          <w:szCs w:val="16"/>
        </w:rPr>
      </w:pPr>
    </w:p>
    <w:p w14:paraId="4CF4DE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была подготовлена справка:</w:t>
      </w:r>
    </w:p>
    <w:p w14:paraId="68FABB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75F184D1"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Новая техника</w:t>
      </w:r>
    </w:p>
    <w:p w14:paraId="4D8137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Самолеты</w:t>
      </w:r>
    </w:p>
    <w:p w14:paraId="712A6B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Обнаруженные до сего времени материалы по новым самолетам относятся к деятельности фирмы "Хейнкель". Это объясняется тем, что эта фирма имела в Вене свой технический штаб, включая главное проектное бюро (личное бюро Эрнста Хейнкеля), опытное конструкторское бюро, серийное конструкторское бюро и т.д. В Вене и ее окрестностях были расположены также заводы, склады и большое число подсобных предприятий и учреждений (всего 62 точки, см. прилагаемый список и найденную в последние дни схему расположения предприятий Хейнкеля в Вене и ее окрестностях).</w:t>
      </w:r>
    </w:p>
    <w:p w14:paraId="03769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с 22.IV.45 г. по 10.V.45 г. большинство этих точек было обследовано и все оборудование и техническая документация, могущая представлять интерес - вывезена. В частности, вывезено сохранившееся оборудование всех заводов и, кроме того, вся найденная техническая документация из следующих учреждений фирмы:</w:t>
      </w:r>
    </w:p>
    <w:p w14:paraId="77523D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Главное проектное бюро (личное бюро Хейнкеля на его вилле) - Ангермайергассе 1.</w:t>
      </w:r>
    </w:p>
    <w:p w14:paraId="290B1D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Главное помещение технической дирекции и конструкторское бюро - Фихтегассе 11.</w:t>
      </w:r>
    </w:p>
    <w:p w14:paraId="2A7C18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Конструкторское бюро - Фихтегассе 11.</w:t>
      </w:r>
    </w:p>
    <w:p w14:paraId="75B2B8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Конструкторское бюро - Хегельгассе 1.</w:t>
      </w:r>
    </w:p>
    <w:p w14:paraId="64585A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Конструкторское бюро - Шубертринг 3.</w:t>
      </w:r>
    </w:p>
    <w:p w14:paraId="2C90C9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Конструкторское бюро - Форлауфштрассе 3.</w:t>
      </w:r>
    </w:p>
    <w:p w14:paraId="49A079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Конструкторское бюро - Голландштрассе 1.</w:t>
      </w:r>
    </w:p>
    <w:p w14:paraId="2C6B61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Технический архив - Рудольфплатц 6.</w:t>
      </w:r>
    </w:p>
    <w:p w14:paraId="2E8D8E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Помещение производственной дирекции - Мариахильферштрассе 18.</w:t>
      </w:r>
    </w:p>
    <w:p w14:paraId="079F6C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Помещение производственной дирекции - Гетрейдемаркт 1.</w:t>
      </w:r>
    </w:p>
    <w:p w14:paraId="0A1D10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Помещение коммерческой дирекции - Мархеттигассе 3.</w:t>
      </w:r>
    </w:p>
    <w:p w14:paraId="18154C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Фотолаборатория - Ротентурмштрассе 14.</w:t>
      </w:r>
    </w:p>
    <w:p w14:paraId="0413B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Отдел вибраций - Шёнбруннерштрассе 239.</w:t>
      </w:r>
    </w:p>
    <w:p w14:paraId="0263D1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Помещений конструкторских бюро лабораторий на опытном заводе в Хейтфельде и серийном заводе в Хинтербрюле.</w:t>
      </w:r>
    </w:p>
    <w:p w14:paraId="4A7AA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Вся эта документация вывозилась без разборки и обработки на месте; она имеет весьма </w:t>
      </w:r>
      <w:proofErr w:type="gramStart"/>
      <w:r w:rsidRPr="00925F26">
        <w:rPr>
          <w:color w:val="000000" w:themeColor="text1"/>
          <w:sz w:val="16"/>
          <w:szCs w:val="16"/>
        </w:rPr>
        <w:t>не систематических</w:t>
      </w:r>
      <w:proofErr w:type="gramEnd"/>
      <w:r w:rsidRPr="00925F26">
        <w:rPr>
          <w:color w:val="000000" w:themeColor="text1"/>
          <w:sz w:val="16"/>
          <w:szCs w:val="16"/>
        </w:rPr>
        <w:t xml:space="preserve"> характер, так как многое было увезено и уничтожено немцами при уходе, многое пострадало в обстановке военных действий. Тем не менее, даже самое беглое ознакомление с документами, изъятыми в указанных пунктах, позволило составить представление об опытных работах фирмы, изложенных в записках от 28.IV.45 года и 05.V.45 года, посланных с т. Григорьяном и со следующим самолетом. Весь этот материал отправлен со специальными вагонами: N 24662, сопровождающий - представитель НКАП майор Тарасутин при двух бойцах, отправлен 3 мая с.г. и N 131810 и 123054, сопровождающий - представитель НКАП капитан Егоров при двух бойцах, отправлен 9 мая с.г.</w:t>
      </w:r>
    </w:p>
    <w:p w14:paraId="5DCF38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вагоны адресованы ЦАГИ, ст. Быково Московской Казанской железной дороги.</w:t>
      </w:r>
    </w:p>
    <w:p w14:paraId="71C57E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технической документации на заводе Хейнкеля в Хинтербрюле была захвачена часть самолетов Не-162 с воздушнореактивным двигателем и самолеты в разных стадиях сборки (техническое описание самолета He-162 было отправлено с т. Григорьяном) 5 мая с.г. со ст. Мёдлинг транспортом N А174/3281 в адрес завода N 456 ст. Химки, отправлены: 7 фюзеляжей Не-162, 4 крыла, 7 оперений, обтекатель, 1 крыло с обрезанными концами для исследования конструкции и материала, приборная доска. На заводе в Хейтфельде были захвачены 3 частично поврежденных самолета Не-280 (двухмоторный реактивный самолет, краткая характеристика дана в записке от 28.IV.45 года, отправленной с т. Григорьяном). Два из этих самолетов отправлены 02.V.45 г. с транспортом N А174/3282 со ст. Винер-Нейштадт в адрес НИИ-1, ст. Лихоборы.</w:t>
      </w:r>
    </w:p>
    <w:p w14:paraId="40849D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демонтировано и грузится в адрес ЦАГИ оборудование лаборатории стат. испытаний в Хейтфельде; на этом же заводе 10.V.45 г. среди лома обнаружены части самолета Не-343 (4-х моторный реактивный бомбардировщик) и приспособления для сборки. Изучение их показывает, что самолет был в сборке в сентябре-октябре 1944 года. Найденные части (два куска фюзеляжа, лонжерон и головная часть самолета) будут отправлены в адрес ЦАГИ. Сведения о самолете Не-343 были сообщены в посланных ранее записках от 28.IV.45 г. и 5.V.45 года. На разрушенном бомбардировками заводе Хейнкеля в Цвёльфаксинге найдены части Не-177 (известный 4-х моторный бомбардировщик) и приспособления для сборки его.</w:t>
      </w:r>
    </w:p>
    <w:p w14:paraId="3AAA0E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п.п. А.Завитаев 11.V.45 года (8987).</w:t>
      </w:r>
    </w:p>
    <w:p w14:paraId="290928BA" w14:textId="77777777" w:rsidR="00665165" w:rsidRPr="00925F26" w:rsidRDefault="00665165" w:rsidP="00925F26">
      <w:pPr>
        <w:autoSpaceDE w:val="0"/>
        <w:autoSpaceDN w:val="0"/>
        <w:adjustRightInd w:val="0"/>
        <w:jc w:val="both"/>
        <w:rPr>
          <w:color w:val="000000" w:themeColor="text1"/>
          <w:sz w:val="16"/>
          <w:szCs w:val="16"/>
        </w:rPr>
      </w:pPr>
    </w:p>
    <w:p w14:paraId="5F6C256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2E31B2F" w14:textId="77777777" w:rsidR="00665165" w:rsidRPr="00925F26" w:rsidRDefault="00665165" w:rsidP="00925F26">
      <w:pPr>
        <w:autoSpaceDE w:val="0"/>
        <w:autoSpaceDN w:val="0"/>
        <w:adjustRightInd w:val="0"/>
        <w:jc w:val="both"/>
        <w:rPr>
          <w:iCs/>
          <w:color w:val="000000" w:themeColor="text1"/>
          <w:sz w:val="16"/>
          <w:szCs w:val="16"/>
        </w:rPr>
      </w:pPr>
    </w:p>
    <w:p w14:paraId="6D96BA34"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в 1945 году оперативная сводка Совинформбюро:</w:t>
      </w:r>
    </w:p>
    <w:p w14:paraId="4A725ED1" w14:textId="77777777" w:rsidR="00854708" w:rsidRPr="00925F26" w:rsidRDefault="00854708" w:rsidP="00925F26">
      <w:pPr>
        <w:jc w:val="both"/>
        <w:rPr>
          <w:color w:val="000000" w:themeColor="text1"/>
          <w:sz w:val="16"/>
          <w:szCs w:val="16"/>
        </w:rPr>
      </w:pPr>
      <w:r w:rsidRPr="00925F26">
        <w:rPr>
          <w:color w:val="000000" w:themeColor="text1"/>
          <w:sz w:val="16"/>
          <w:szCs w:val="16"/>
        </w:rPr>
        <w:t>«В течение 11 мая войска Ленинградского фронта продолжали приём капитулировавших соединений и частей Курляндской группы немецких войск. С 9 по 11 мая сдалось в плен 133.000 немецких солдат и офицеров и 14 генералов. В числе пленных генералов, кроме ранее объявленных, командир 563 пехотной дивизии генерал-лейтенант Нейман, командир 87 пехотной дивизии генерал-лейтенант Штрахвиц, командир 30 пехотной дивизии генерал-майор Хенце, командир 263 пехотной дивизии генерал-майор Хеман, командир 24 пехотной дивизии генерал-майор Шульц и командир боевой группы 21 авиаполевой дивизии генерал-майор Барт. Всего учтено трофеев: самолётов—75, танков и самоходных орудий—244, полевых орудий—948, миномётов—323, пулемётов—2.932, винтовок и автоматов—41.310, бронетранспортёров —130, автомашин—3.478, тракторов и тягачей—215, радиостанций—223, повозок с военными грузами—3.332, лошадей—11.280. Приём пленных и учёт трофеев продолжается.</w:t>
      </w:r>
    </w:p>
    <w:p w14:paraId="20AC5091" w14:textId="77777777" w:rsidR="00854708" w:rsidRPr="00925F26" w:rsidRDefault="00854708" w:rsidP="00925F26">
      <w:pPr>
        <w:jc w:val="both"/>
        <w:rPr>
          <w:color w:val="000000" w:themeColor="text1"/>
          <w:sz w:val="16"/>
          <w:szCs w:val="16"/>
        </w:rPr>
      </w:pPr>
      <w:r w:rsidRPr="00925F26">
        <w:rPr>
          <w:color w:val="000000" w:themeColor="text1"/>
          <w:sz w:val="16"/>
          <w:szCs w:val="16"/>
        </w:rPr>
        <w:t>Войска фронта полностью заняли Курляндский полуостров, выйдя на побережье Рижского залива и Балтийского моря.</w:t>
      </w:r>
    </w:p>
    <w:p w14:paraId="0D9B9FF3" w14:textId="77777777" w:rsidR="00854708" w:rsidRPr="00925F26" w:rsidRDefault="00854708" w:rsidP="00925F26">
      <w:pPr>
        <w:jc w:val="both"/>
        <w:rPr>
          <w:color w:val="000000" w:themeColor="text1"/>
          <w:sz w:val="16"/>
          <w:szCs w:val="16"/>
        </w:rPr>
      </w:pPr>
      <w:r w:rsidRPr="00925F26">
        <w:rPr>
          <w:color w:val="000000" w:themeColor="text1"/>
          <w:sz w:val="16"/>
          <w:szCs w:val="16"/>
        </w:rPr>
        <w:t>Войска 3-го Белорусского фронта закончили приём капитулировавших соединений и частей немецких войск в районе устья реки ВИСЛЫ и производили прочёсывание занятой территории, очищая её от оставшихся мелких групп и отдельных солдат противника. Всего принято более 20.000 пленный немецких солдат и офицеров и 3 генерала. Учтены следующие трофеи: самолётов—50, танков и самоходных орудий—20, полевых орудий—300, миномётов—134, пулемётов—2.500, винтовок и автоматов—15.000, бронетранспортёров—53, автомашин—5.912, радиостанций—30, лошадей—1.570.</w:t>
      </w:r>
    </w:p>
    <w:p w14:paraId="2653D584" w14:textId="77777777" w:rsidR="00854708" w:rsidRPr="00925F26" w:rsidRDefault="00854708" w:rsidP="00925F26">
      <w:pPr>
        <w:jc w:val="both"/>
        <w:rPr>
          <w:color w:val="000000" w:themeColor="text1"/>
          <w:sz w:val="16"/>
          <w:szCs w:val="16"/>
        </w:rPr>
      </w:pPr>
      <w:r w:rsidRPr="00925F26">
        <w:rPr>
          <w:color w:val="000000" w:themeColor="text1"/>
          <w:sz w:val="16"/>
          <w:szCs w:val="16"/>
        </w:rPr>
        <w:t>Войска 2-го Белорусского фронта в районе устья реки Вислы восточнее Данцига и на косе Путцигер-Нерунг северо-восточнее Гдыни продолжали приём капитулировавших немецких войск. С 9 по 11 мая сдалось в плен 35.000 немецких солдат и офицеров и 7 генералов. В числе пленных генералов, кроме ранее объявленных, командир 12 авиаполевой дивизии генерал-лейтенант Шлиппер. Кроме того, взято пленных на острове Борнхольм 12.000 человек во главе с начальником гарнизона генерал-лейтенантом Вутман. Всего по фронту взято 47.000 человек. Наши войска заняли остров Борнхольм.</w:t>
      </w:r>
    </w:p>
    <w:p w14:paraId="7932F12E" w14:textId="77777777" w:rsidR="00854708" w:rsidRPr="00925F26" w:rsidRDefault="00854708" w:rsidP="00925F26">
      <w:pPr>
        <w:jc w:val="both"/>
        <w:rPr>
          <w:color w:val="000000" w:themeColor="text1"/>
          <w:sz w:val="16"/>
          <w:szCs w:val="16"/>
        </w:rPr>
      </w:pPr>
      <w:r w:rsidRPr="00925F26">
        <w:rPr>
          <w:color w:val="000000" w:themeColor="text1"/>
          <w:sz w:val="16"/>
          <w:szCs w:val="16"/>
        </w:rPr>
        <w:lastRenderedPageBreak/>
        <w:t>Войска 1-го Украинского фронта в течение 11 мая преследовали отказавшиеся капитулировать немецкие войска генерал-фельдмаршала Шернера и, продвигаясь вперёд, заняли на территории Чехословакии города Жигле, Краловице, Раковник, Кладно, Брандис, Мельник, Лиса На Лабе, Млада Болеслав, Добровице, Боусов, Йичин, Горжице, Яромерж. Войска фронта в районах Хемница и Рокичаны (восточнее Пильзена) соединились с американскими войсками. С 9 по 11 мая войска фронта взяли в плен 121.660 беспорядочно сдавшихся немецких солдат м офицеров и 7 генералов. В числе пленных генералов командир 31 пехотной дивизии СС генерал-лейтенант Кемпф, начальник научно-исследовательского института ПВО генерал-лейтенант Штубенраух, комендант города Глатц генерал-майор Петш и начальник строительного отдела генерал-майор Герман Бахер. На пяти немецких аэродромах войска фронта захватили 272 самолёта.</w:t>
      </w:r>
    </w:p>
    <w:p w14:paraId="325B75D0" w14:textId="77777777" w:rsidR="00854708" w:rsidRPr="00925F26" w:rsidRDefault="00854708" w:rsidP="00925F26">
      <w:pPr>
        <w:jc w:val="both"/>
        <w:rPr>
          <w:color w:val="000000" w:themeColor="text1"/>
          <w:sz w:val="16"/>
          <w:szCs w:val="16"/>
        </w:rPr>
      </w:pPr>
      <w:r w:rsidRPr="00925F26">
        <w:rPr>
          <w:color w:val="000000" w:themeColor="text1"/>
          <w:sz w:val="16"/>
          <w:szCs w:val="16"/>
        </w:rPr>
        <w:t>Войска 4-го Украинского фронта, преследуя отходившую на запад группу немецких войск генерал-фельдмаршала Шернера, заняли на территории Чехословакии города Новый Биджов, Местец Кралеве, Хлумец, Колин, Кутна Гора. С 9 по 11 мая войска фронта взяли в плен более 35.000 беспорядочно сдавшихся немецких солдат и офицеров и захватили следующие трофеи: танков и самоходных орудий — 127, полевых орудий —820, миномётов —510, пулемётов—1.700, винтовок и автоматов—более 15.000, автомашин— 1.500, повозок с военными грузами — 6.000, паровозов —53, железнодорожных вагонов — 3.700, лошадей — 500.</w:t>
      </w:r>
    </w:p>
    <w:p w14:paraId="79C36907" w14:textId="77777777" w:rsidR="00854708" w:rsidRPr="00925F26" w:rsidRDefault="00854708" w:rsidP="00925F26">
      <w:pPr>
        <w:jc w:val="both"/>
        <w:rPr>
          <w:color w:val="000000" w:themeColor="text1"/>
          <w:sz w:val="16"/>
          <w:szCs w:val="16"/>
        </w:rPr>
      </w:pPr>
      <w:r w:rsidRPr="00925F26">
        <w:rPr>
          <w:color w:val="000000" w:themeColor="text1"/>
          <w:sz w:val="16"/>
          <w:szCs w:val="16"/>
        </w:rPr>
        <w:t>Войска 2-го Украинского фронта в течение 11 мая преследовали отказавшиеся капитулировать немецкие войска из группы генерал-фельдмаршала Шернера и генерал-полковника Велера и, успешно продвигаясь вперед, заняли на территории Чехословакии города Хотеборж, Ледеч, Влашим, Бистржице, Миличин, Йестебнице, Табор, Пельгржимов, Собеслав. Войска фронта в районе северо-западнее города Ческе Будеевице соединились с американскими войсками. Одновременно войска фронта юго-восточнее города Ческе Будеевице продвигались вперёд и на территории Австрии заняли города Гмюнд, Вейтра, Цветтль, Оттеншлаг, соединившись в районе юго-восточнее Линца с американскими войсками. С 9 по 11 мая войсками фронта взято в плен более 98.000 беспорядочно сдавшихся немецких солдат и офицеров, 8 генералов и захвачены следующие трофеи: самолётов—40, танков и самоходных орудий—107, полевых орудий — 175, автомашин — 468, повозок с военными грузами — 1.560, железнодорожных вагонов — 430.</w:t>
      </w:r>
    </w:p>
    <w:p w14:paraId="58A121C9" w14:textId="77777777" w:rsidR="00854708" w:rsidRPr="00925F26" w:rsidRDefault="00854708" w:rsidP="00925F26">
      <w:pPr>
        <w:jc w:val="both"/>
        <w:rPr>
          <w:color w:val="000000" w:themeColor="text1"/>
          <w:sz w:val="16"/>
          <w:szCs w:val="16"/>
        </w:rPr>
      </w:pPr>
      <w:r w:rsidRPr="00925F26">
        <w:rPr>
          <w:color w:val="000000" w:themeColor="text1"/>
          <w:sz w:val="16"/>
          <w:szCs w:val="16"/>
        </w:rPr>
        <w:t>Войска 3-го Украинского фронта в течение 11 мая преследовали отступавшие на запад немецкие войска и в результате успешных действий принудили большую часть войск противника сложить оружие. По предварительным данным, войсками фронта с 9 по 11 мая взято в плен более 106.000 немецких солдат и офицеров и 5 генералов. Захвачены следующие трофеи: самолётов—238, танков и самоходных орудий—214, полевых орудий—1.252, миномётов—212, пулемётов—12.000, винтовок и автоматов—25.000, автомашин—5.600, паровозов—214, железнодорожных вагонов—5.260, повозок |с военным грузом—2.570, лошадей—2.690.</w:t>
      </w:r>
    </w:p>
    <w:p w14:paraId="3899F9C1" w14:textId="77777777" w:rsidR="00854708" w:rsidRPr="00925F26" w:rsidRDefault="00854708" w:rsidP="00925F26">
      <w:pPr>
        <w:jc w:val="both"/>
        <w:rPr>
          <w:color w:val="000000" w:themeColor="text1"/>
          <w:sz w:val="16"/>
          <w:szCs w:val="16"/>
        </w:rPr>
      </w:pPr>
      <w:r w:rsidRPr="00925F26">
        <w:rPr>
          <w:color w:val="000000" w:themeColor="text1"/>
          <w:sz w:val="16"/>
          <w:szCs w:val="16"/>
        </w:rPr>
        <w:t>Всего, таким образом, с 9 по 11 мая на всех фронтах взято в плен более 560.000 немецких солдат и офицеров и 45 генералов.» (14888).</w:t>
      </w:r>
    </w:p>
    <w:p w14:paraId="060F43DF" w14:textId="77777777" w:rsidR="00854708" w:rsidRPr="00925F26" w:rsidRDefault="00854708" w:rsidP="00925F26">
      <w:pPr>
        <w:jc w:val="both"/>
        <w:rPr>
          <w:color w:val="000000" w:themeColor="text1"/>
          <w:sz w:val="16"/>
          <w:szCs w:val="16"/>
        </w:rPr>
      </w:pPr>
    </w:p>
    <w:p w14:paraId="12AB84ED"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в 1945 году советское правительство отдает распоряжение о создании сотни новых контрольных лагерей и фильтрационных пунктов, рассчитанных каждый на 10 тысяч мест. Вернувшиеся на родину советские военнопленные будут обязательно проверяться военной контрразведкой, гражданские люди - НКВД. За девять месяцев, с мая 1945 по февраль 1946, более 4,2 миллионов советских граждан вернутся на родину. 57,8% репатриированных, в основном женщинам и детям, будет разрешено вернуться домой; 19,1% будут отосланы в армию, 14,5% отправлены на 2 года в строительные батальоны, 8,6% (около 360 тысяч человек) оправлены в тюрьмы и лагеря (14888).</w:t>
      </w:r>
    </w:p>
    <w:p w14:paraId="59173371" w14:textId="77777777" w:rsidR="00854708" w:rsidRPr="00925F26" w:rsidRDefault="00854708" w:rsidP="00925F26">
      <w:pPr>
        <w:jc w:val="both"/>
        <w:rPr>
          <w:color w:val="000000" w:themeColor="text1"/>
          <w:sz w:val="16"/>
          <w:szCs w:val="16"/>
        </w:rPr>
      </w:pPr>
    </w:p>
    <w:p w14:paraId="6A1D4A7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мая 1945 в Чехословакии советским войскам сдались последние остатки группы армий “Центр” (4962).</w:t>
      </w:r>
    </w:p>
    <w:p w14:paraId="00BFB8D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621D2C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мая 1945 части 181-й советской танковой бригады пленили штаб Русской Освободительной Армии (РОА) и ее командующего бывшего советского генерал-лейтенанта А. А. Власова в районе немецкого города Хемниц (4963 ).</w:t>
      </w:r>
    </w:p>
    <w:p w14:paraId="6A9F5C7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AABCBB" w14:textId="77777777" w:rsidR="000C795D" w:rsidRPr="00925F26" w:rsidRDefault="000C795D" w:rsidP="00925F26">
      <w:pPr>
        <w:jc w:val="both"/>
        <w:rPr>
          <w:color w:val="000000" w:themeColor="text1"/>
          <w:sz w:val="16"/>
          <w:szCs w:val="16"/>
        </w:rPr>
      </w:pPr>
      <w:r w:rsidRPr="00925F26">
        <w:rPr>
          <w:color w:val="000000" w:themeColor="text1"/>
          <w:sz w:val="16"/>
          <w:szCs w:val="16"/>
        </w:rPr>
        <w:t>11 мая в 1945 году американские войска встретились с советскими в австрийском Лицене (14888).</w:t>
      </w:r>
    </w:p>
    <w:p w14:paraId="77175607" w14:textId="77777777" w:rsidR="000C795D" w:rsidRPr="00925F26" w:rsidRDefault="000C795D" w:rsidP="00925F26">
      <w:pPr>
        <w:jc w:val="both"/>
        <w:rPr>
          <w:color w:val="000000" w:themeColor="text1"/>
          <w:sz w:val="16"/>
          <w:szCs w:val="16"/>
        </w:rPr>
      </w:pPr>
    </w:p>
    <w:p w14:paraId="554C53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войска ЛФ полностью овладели Курляндским п/о и в плен взяли 133 тыс7 (3398,179).</w:t>
      </w:r>
    </w:p>
    <w:p w14:paraId="6C35439D" w14:textId="77777777" w:rsidR="00665165" w:rsidRPr="00925F26" w:rsidRDefault="00665165" w:rsidP="00925F26">
      <w:pPr>
        <w:autoSpaceDE w:val="0"/>
        <w:autoSpaceDN w:val="0"/>
        <w:adjustRightInd w:val="0"/>
        <w:jc w:val="both"/>
        <w:rPr>
          <w:color w:val="000000" w:themeColor="text1"/>
          <w:sz w:val="16"/>
          <w:szCs w:val="16"/>
        </w:rPr>
      </w:pPr>
    </w:p>
    <w:p w14:paraId="526FC29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11th, 1945: The Red Army launches a final assault against the remnants of Heeresgruppe Mitte (Schorner) still holding out in Moravia (3819).</w:t>
      </w:r>
    </w:p>
    <w:p w14:paraId="2488EBB5" w14:textId="77777777" w:rsidR="00665165" w:rsidRPr="00925F26" w:rsidRDefault="00665165" w:rsidP="00925F26">
      <w:pPr>
        <w:autoSpaceDE w:val="0"/>
        <w:autoSpaceDN w:val="0"/>
        <w:adjustRightInd w:val="0"/>
        <w:jc w:val="both"/>
        <w:rPr>
          <w:color w:val="000000" w:themeColor="text1"/>
          <w:sz w:val="16"/>
          <w:szCs w:val="16"/>
          <w:lang w:val="en-US"/>
        </w:rPr>
      </w:pPr>
    </w:p>
    <w:p w14:paraId="33C73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марта 1945 КА начала последние удары по остаткам Группы Центр в Моравии (3819).</w:t>
      </w:r>
    </w:p>
    <w:p w14:paraId="7BD073C0" w14:textId="77777777" w:rsidR="00665165" w:rsidRPr="00925F26" w:rsidRDefault="00665165" w:rsidP="00925F26">
      <w:pPr>
        <w:autoSpaceDE w:val="0"/>
        <w:autoSpaceDN w:val="0"/>
        <w:adjustRightInd w:val="0"/>
        <w:jc w:val="both"/>
        <w:rPr>
          <w:color w:val="000000" w:themeColor="text1"/>
          <w:sz w:val="16"/>
          <w:szCs w:val="16"/>
        </w:rPr>
      </w:pPr>
    </w:p>
    <w:p w14:paraId="06F57AC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мая 1945 по приказу президента США Г. Трумэна прекращены поставки в СССР по ленд-лизу (4962).</w:t>
      </w:r>
    </w:p>
    <w:p w14:paraId="1272BDB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6E5D90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AC37B18" w14:textId="77777777" w:rsidR="00665165" w:rsidRPr="00925F26" w:rsidRDefault="00665165" w:rsidP="00925F26">
      <w:pPr>
        <w:autoSpaceDE w:val="0"/>
        <w:autoSpaceDN w:val="0"/>
        <w:adjustRightInd w:val="0"/>
        <w:jc w:val="both"/>
        <w:rPr>
          <w:iCs/>
          <w:color w:val="000000" w:themeColor="text1"/>
          <w:sz w:val="16"/>
          <w:szCs w:val="16"/>
        </w:rPr>
      </w:pPr>
    </w:p>
    <w:p w14:paraId="48561F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11 мая 1945 первое послевоенное распределение заключенных (всего - 1 262 583 человека) по стройкам и предприятиям было следующим: УИТЛК ГУЛАГа - 587 119 человек, УЛЛП - 154 397, ГУЛГМП - 120 999, Главпромстрой - 93 007, ГУЛЖДС - 149 146, Дальстрой - 97 260, Особстрой (Безымянлаг) - 11 525, ГУШОСДОР - 19 615, ГУАС - 9082, “на работах НКВД/НКГБ” - 20 433 человека. Между производственными управлениями и главками НКВД лагеря распределялись так:</w:t>
      </w:r>
    </w:p>
    <w:p w14:paraId="2AF920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УИТК ГУЛАГа: Астраханский, Карагандинский, Среднебельский, Сибирский, Темниковский и Московский лесозаготовительный ИТЛ (последний был создан в декабре 1944-го на базе Ухринского лесозаготовительного района Волгостроя с дислокацией управления в Рыбинске);</w:t>
      </w:r>
    </w:p>
    <w:p w14:paraId="3265A6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УЛЛП: Устьвымский, Каргопольский, Унженский, Вятский, Усольский, Ныробский, Ивдельский, Североуральский, Восточноуральский, Красноярский ИТЛ;</w:t>
      </w:r>
    </w:p>
    <w:p w14:paraId="00B2E5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ГУЛГМП: Норильский, Джидинский лагеря, Красноярский аффинажный завод, Воркутинский, Интинский, Ухтоижемский, Тырныаузский ИТЛ;</w:t>
      </w:r>
    </w:p>
    <w:p w14:paraId="6A0C29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Главпромстрой: Соликамский, Ягринский, Тавдинский, Богословский лагеря, Челябметаллургстрой, Тагильский, Актюбинский, Понышский, Лобвинский, Широковский, Опокский ИТЛ, Волгострой, Закавказметаллургстрой;</w:t>
      </w:r>
    </w:p>
    <w:p w14:paraId="6F8DF0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ГУЛЖДС: Нижнеамурский, Восточный, Перевальный, Северодвинский, Северный железнодорожный, Печорский, Котласский лагеря;</w:t>
      </w:r>
    </w:p>
    <w:p w14:paraId="334845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Дальстрой: Северо-восточные лагеря;</w:t>
      </w:r>
    </w:p>
    <w:p w14:paraId="76ADEA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Особстрой: Безымянский лагерь;</w:t>
      </w:r>
    </w:p>
    <w:p w14:paraId="0915DC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ГУШОСДОР: ИТЛ и строительства №№ 2 и 3 (соответственно шоссе “Москва-Минск” и “Москва-Харьков”);</w:t>
      </w:r>
    </w:p>
    <w:p w14:paraId="26C335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ГУАС: Каспийский лагерь (Баку) (7560).</w:t>
      </w:r>
    </w:p>
    <w:p w14:paraId="29F4CBB3" w14:textId="77777777" w:rsidR="00665165" w:rsidRPr="00925F26" w:rsidRDefault="00665165" w:rsidP="00925F26">
      <w:pPr>
        <w:autoSpaceDE w:val="0"/>
        <w:autoSpaceDN w:val="0"/>
        <w:adjustRightInd w:val="0"/>
        <w:jc w:val="both"/>
        <w:rPr>
          <w:color w:val="000000" w:themeColor="text1"/>
          <w:sz w:val="16"/>
          <w:szCs w:val="16"/>
        </w:rPr>
      </w:pPr>
    </w:p>
    <w:p w14:paraId="2F37690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мая 1945 советское правительство постановило создать дополнительно 100 фильтрационных лагерей для проверки лиц, прибывающих из германского плена (4962).</w:t>
      </w:r>
    </w:p>
    <w:p w14:paraId="7BC4BA3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5296C5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12DDF4E" w14:textId="77777777" w:rsidR="00665165" w:rsidRPr="00925F26" w:rsidRDefault="00665165" w:rsidP="00925F26">
      <w:pPr>
        <w:autoSpaceDE w:val="0"/>
        <w:autoSpaceDN w:val="0"/>
        <w:adjustRightInd w:val="0"/>
        <w:jc w:val="both"/>
        <w:rPr>
          <w:iCs/>
          <w:color w:val="000000" w:themeColor="text1"/>
          <w:sz w:val="16"/>
          <w:szCs w:val="16"/>
        </w:rPr>
      </w:pPr>
    </w:p>
    <w:p w14:paraId="37DC98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мая 1945 Президент Гарри Трумэн внезапно распорядился прервать поставки СССР по ленд-лизу. И.В.С. обиделся и под угрозой оказалась конференция в Сан-Франциско. В Москву отправился Г.Гопкинс и постарался убедить Кремль в неизменности позиций США (3263,233).</w:t>
      </w:r>
    </w:p>
    <w:p w14:paraId="24DE54FA" w14:textId="77777777" w:rsidR="00665165" w:rsidRPr="00925F26" w:rsidRDefault="00665165" w:rsidP="00925F26">
      <w:pPr>
        <w:autoSpaceDE w:val="0"/>
        <w:autoSpaceDN w:val="0"/>
        <w:adjustRightInd w:val="0"/>
        <w:jc w:val="both"/>
        <w:rPr>
          <w:color w:val="000000" w:themeColor="text1"/>
          <w:sz w:val="16"/>
          <w:szCs w:val="16"/>
        </w:rPr>
      </w:pPr>
    </w:p>
    <w:p w14:paraId="006EBB43"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в 1945 году президент США Гарри Трумэн внезапно распоряжается прекратить поставки СССР по ленд-лизу. Резкая смена новым президентом США курса президента Рузвельта на продолжение сотрудничества с СССР и в мирное время вызвала соответствующую реакцию со стороны Сталина. Под угрозой оказались работа конференции в Сан-Франциско, разрабатывавшей Устав ООН, послевоенная встреча «большой тройки» и завершение войны с Японией. В Москву вскоре был направлен личный представитель президента США Гарри Гопкинс, который постарался убедить советское руководство в неизменности позиции США (14888).</w:t>
      </w:r>
    </w:p>
    <w:p w14:paraId="3312B4E9" w14:textId="77777777" w:rsidR="00854708" w:rsidRPr="00925F26" w:rsidRDefault="00854708" w:rsidP="00925F26">
      <w:pPr>
        <w:jc w:val="both"/>
        <w:rPr>
          <w:color w:val="000000" w:themeColor="text1"/>
          <w:sz w:val="16"/>
          <w:szCs w:val="16"/>
        </w:rPr>
      </w:pPr>
    </w:p>
    <w:p w14:paraId="6FB311A1" w14:textId="77777777" w:rsidR="0085470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3B841AA" w14:textId="77777777" w:rsidR="00854708" w:rsidRPr="00925F26" w:rsidRDefault="00854708" w:rsidP="00925F26">
      <w:pPr>
        <w:autoSpaceDE w:val="0"/>
        <w:autoSpaceDN w:val="0"/>
        <w:adjustRightInd w:val="0"/>
        <w:jc w:val="both"/>
        <w:rPr>
          <w:iCs/>
          <w:color w:val="000000" w:themeColor="text1"/>
          <w:sz w:val="16"/>
          <w:szCs w:val="16"/>
        </w:rPr>
      </w:pPr>
    </w:p>
    <w:p w14:paraId="0EBBF5D8"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в 1945 году американские войска заняли Пльзень (14888).</w:t>
      </w:r>
    </w:p>
    <w:p w14:paraId="5BD32633" w14:textId="77777777" w:rsidR="00854708" w:rsidRPr="00925F26" w:rsidRDefault="00854708" w:rsidP="00925F26">
      <w:pPr>
        <w:jc w:val="both"/>
        <w:rPr>
          <w:color w:val="000000" w:themeColor="text1"/>
          <w:sz w:val="16"/>
          <w:szCs w:val="16"/>
        </w:rPr>
      </w:pPr>
    </w:p>
    <w:p w14:paraId="4E6D5E59"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в 1945 году (11-14 мая) на заседаниях японского Высшего совета по руководству войной рассматривалась возможность посредничества Китая, Швейцарии, Швеции и Ватикана на возможных переговорах о мире с Великобританией и США. Высказывалось также мнение о возможности посредничества СССР. В обмен на благожелательную позицию японское руководство соглашалось передать СССР Южный Сахалин, Порт-Артур, Китайско-Восточную Железную Дорогу и в крайнем случае северную часть Курильских островов (14888).</w:t>
      </w:r>
    </w:p>
    <w:p w14:paraId="54C964C8" w14:textId="77777777" w:rsidR="00854708" w:rsidRPr="00925F26" w:rsidRDefault="00854708" w:rsidP="00925F26">
      <w:pPr>
        <w:jc w:val="both"/>
        <w:rPr>
          <w:color w:val="000000" w:themeColor="text1"/>
          <w:sz w:val="16"/>
          <w:szCs w:val="16"/>
        </w:rPr>
      </w:pPr>
    </w:p>
    <w:p w14:paraId="4D2C2E70" w14:textId="77777777" w:rsidR="00854708" w:rsidRPr="00925F26" w:rsidRDefault="00854708" w:rsidP="00925F26">
      <w:pPr>
        <w:jc w:val="both"/>
        <w:rPr>
          <w:color w:val="000000" w:themeColor="text1"/>
          <w:sz w:val="16"/>
          <w:szCs w:val="16"/>
        </w:rPr>
      </w:pPr>
      <w:r w:rsidRPr="00925F26">
        <w:rPr>
          <w:color w:val="000000" w:themeColor="text1"/>
          <w:sz w:val="16"/>
          <w:szCs w:val="16"/>
        </w:rPr>
        <w:t>11 мая в 1945 году (11-16 мая) рейд американского соединения «Task Force-38» и группы английских торпедоносцев на острова Рюкю (14888).</w:t>
      </w:r>
    </w:p>
    <w:p w14:paraId="32FE5A1A" w14:textId="77777777" w:rsidR="00854708" w:rsidRPr="00925F26" w:rsidRDefault="00854708" w:rsidP="00925F26">
      <w:pPr>
        <w:jc w:val="both"/>
        <w:rPr>
          <w:color w:val="000000" w:themeColor="text1"/>
          <w:sz w:val="16"/>
          <w:szCs w:val="16"/>
        </w:rPr>
      </w:pPr>
    </w:p>
    <w:p w14:paraId="58C5D81D" w14:textId="77777777" w:rsidR="009A3EFF" w:rsidRPr="00925F26" w:rsidRDefault="009A3EFF" w:rsidP="00925F26">
      <w:pPr>
        <w:jc w:val="both"/>
        <w:rPr>
          <w:color w:val="000000" w:themeColor="text1"/>
          <w:sz w:val="16"/>
          <w:szCs w:val="16"/>
        </w:rPr>
      </w:pPr>
      <w:r w:rsidRPr="00925F26">
        <w:rPr>
          <w:color w:val="000000" w:themeColor="text1"/>
          <w:sz w:val="16"/>
          <w:szCs w:val="16"/>
        </w:rPr>
        <w:lastRenderedPageBreak/>
        <w:t>11 мая 1945 спустя более трех лет после первого использования в Германии для спасения жизни летчика-испытателя Гельмута Шенка компания Martin-Baker проводит первые боевые стрельбы одного из катапультных кресел собственной конструкции (20371).</w:t>
      </w:r>
    </w:p>
    <w:p w14:paraId="3900B072" w14:textId="77777777" w:rsidR="009A3EFF" w:rsidRPr="00925F26" w:rsidRDefault="009A3EFF" w:rsidP="00925F26">
      <w:pPr>
        <w:jc w:val="both"/>
        <w:rPr>
          <w:color w:val="000000" w:themeColor="text1"/>
          <w:sz w:val="16"/>
          <w:szCs w:val="16"/>
        </w:rPr>
      </w:pPr>
    </w:p>
    <w:p w14:paraId="62D361F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2636992" w14:textId="77777777" w:rsidR="00665165" w:rsidRPr="00925F26" w:rsidRDefault="00665165" w:rsidP="00925F26">
      <w:pPr>
        <w:autoSpaceDE w:val="0"/>
        <w:autoSpaceDN w:val="0"/>
        <w:adjustRightInd w:val="0"/>
        <w:jc w:val="both"/>
        <w:rPr>
          <w:iCs/>
          <w:color w:val="000000" w:themeColor="text1"/>
          <w:sz w:val="16"/>
          <w:szCs w:val="16"/>
        </w:rPr>
      </w:pPr>
    </w:p>
    <w:p w14:paraId="1AD602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состоялся первый полет Як-3У с АШ-82ФН (65,198). Летал П.Я.Федрови (560,17).</w:t>
      </w:r>
    </w:p>
    <w:p w14:paraId="1F2A90AA" w14:textId="77777777" w:rsidR="00665165" w:rsidRPr="00925F26" w:rsidRDefault="00665165" w:rsidP="00925F26">
      <w:pPr>
        <w:autoSpaceDE w:val="0"/>
        <w:autoSpaceDN w:val="0"/>
        <w:adjustRightInd w:val="0"/>
        <w:jc w:val="both"/>
        <w:rPr>
          <w:color w:val="000000" w:themeColor="text1"/>
          <w:sz w:val="16"/>
          <w:szCs w:val="16"/>
        </w:rPr>
      </w:pPr>
    </w:p>
    <w:p w14:paraId="3EFC8B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12 мая 1945 года состоялся первый полет истребителя Як-3 с АШ-82ФН, пилотируемого П.Я. Федрови (ведущий инженер по испытаниям A.M. Дружинин). В ходе испытаний Федрови достиг скорости 682 км/ч на высоте 6000 метров. Время набора высоты 5000 метров не превышало 3,9 минуты. Несмотря на впечатляющие результаты испытаний, в середине июня самолет вернули с летно- испытательной станции на опытный завод ОКБ, для замены крыла металлическим. Одновременно сделали и другие доработки, включая увеличение проти </w:t>
      </w:r>
      <w:proofErr w:type="gramStart"/>
      <w:r w:rsidRPr="00925F26">
        <w:rPr>
          <w:color w:val="000000" w:themeColor="text1"/>
          <w:sz w:val="16"/>
          <w:szCs w:val="16"/>
        </w:rPr>
        <w:t>во капотажного угла</w:t>
      </w:r>
      <w:proofErr w:type="gramEnd"/>
      <w:r w:rsidRPr="00925F26">
        <w:rPr>
          <w:color w:val="000000" w:themeColor="text1"/>
          <w:sz w:val="16"/>
          <w:szCs w:val="16"/>
        </w:rPr>
        <w:t>. Однако, несмотря на высокие летные данные, самолет больше в воздух не поднимался, а на его базе создали учебно- тренировочный истребитель Як-11 (12047).</w:t>
      </w:r>
    </w:p>
    <w:p w14:paraId="796E20AB" w14:textId="77777777" w:rsidR="00665165" w:rsidRPr="00925F26" w:rsidRDefault="00665165" w:rsidP="00925F26">
      <w:pPr>
        <w:autoSpaceDE w:val="0"/>
        <w:autoSpaceDN w:val="0"/>
        <w:adjustRightInd w:val="0"/>
        <w:jc w:val="both"/>
        <w:rPr>
          <w:color w:val="000000" w:themeColor="text1"/>
          <w:sz w:val="16"/>
          <w:szCs w:val="16"/>
        </w:rPr>
      </w:pPr>
    </w:p>
    <w:p w14:paraId="655AE126" w14:textId="77777777" w:rsidR="009D2948" w:rsidRPr="001A0BAA" w:rsidRDefault="009D2948" w:rsidP="009D2948">
      <w:pPr>
        <w:jc w:val="both"/>
        <w:rPr>
          <w:color w:val="0070C0"/>
          <w:sz w:val="16"/>
          <w:szCs w:val="16"/>
        </w:rPr>
      </w:pPr>
      <w:r w:rsidRPr="001A0BAA">
        <w:rPr>
          <w:color w:val="0070C0"/>
          <w:sz w:val="16"/>
          <w:szCs w:val="16"/>
        </w:rPr>
        <w:t>12 мая 1945 г. Як-ЗУ с АШ-82ФН вышел на заводские испытания и совершил первый полёт. В ходе испытаний лётчик П.Я. Федрови достиг скорости 682 км/ч на высоте 6000 м. Самолёт в серию не пошёл, но элементы его конструкции использовали при разработке новой машины. В частности, именно от Як-ЗУ взяли крыло большего размаха, который увеличили с 9,2 до 9,4 м за счёт удли</w:t>
      </w:r>
      <w:r w:rsidRPr="001A0BAA">
        <w:rPr>
          <w:color w:val="0070C0"/>
          <w:sz w:val="16"/>
          <w:szCs w:val="16"/>
        </w:rPr>
        <w:softHyphen/>
        <w:t>нения стыковочных узлов лонжеронов, соединяющихся по осевой линии само</w:t>
      </w:r>
      <w:r w:rsidRPr="001A0BAA">
        <w:rPr>
          <w:color w:val="0070C0"/>
          <w:sz w:val="16"/>
          <w:szCs w:val="16"/>
        </w:rPr>
        <w:softHyphen/>
        <w:t>лёта (площадь крыла при этом возросла на 0,5 м</w:t>
      </w:r>
      <w:r w:rsidRPr="001A0BAA">
        <w:rPr>
          <w:color w:val="0070C0"/>
          <w:sz w:val="16"/>
          <w:szCs w:val="16"/>
          <w:vertAlign w:val="superscript"/>
        </w:rPr>
        <w:t>2</w:t>
      </w:r>
      <w:r w:rsidRPr="001A0BAA">
        <w:rPr>
          <w:color w:val="0070C0"/>
          <w:sz w:val="16"/>
          <w:szCs w:val="16"/>
        </w:rPr>
        <w:t>) (24958).</w:t>
      </w:r>
    </w:p>
    <w:p w14:paraId="6A7C674A" w14:textId="77777777" w:rsidR="009D2948" w:rsidRPr="001A0BAA" w:rsidRDefault="009D2948" w:rsidP="009D2948">
      <w:pPr>
        <w:jc w:val="both"/>
        <w:rPr>
          <w:color w:val="0070C0"/>
          <w:sz w:val="16"/>
          <w:szCs w:val="16"/>
        </w:rPr>
      </w:pPr>
    </w:p>
    <w:p w14:paraId="10E848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12 мая по 2 июля 1945 в ОКБ А.С.Я. дорабатывали после гос. испытаний, которые проходили с 17 февраля по 27 апреля 1945, Як-3Т, вооруженный Н-37 + 2 БС-20С. На самом деле все работы закончили к 24 мая и потом проверяли эффективность доделок, в т.ч. в 12 полетах (4:45). Летал М.И.Иванов, а ви был К.В.Синельников и м - Н.П.Кобцов (65,181).</w:t>
      </w:r>
    </w:p>
    <w:p w14:paraId="3A403328" w14:textId="77777777" w:rsidR="00665165" w:rsidRPr="00925F26" w:rsidRDefault="00665165" w:rsidP="00925F26">
      <w:pPr>
        <w:autoSpaceDE w:val="0"/>
        <w:autoSpaceDN w:val="0"/>
        <w:adjustRightInd w:val="0"/>
        <w:jc w:val="both"/>
        <w:rPr>
          <w:color w:val="000000" w:themeColor="text1"/>
          <w:sz w:val="16"/>
          <w:szCs w:val="16"/>
        </w:rPr>
      </w:pPr>
    </w:p>
    <w:p w14:paraId="4BF75C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при наземных огневых испытаниях Ла-7Р-2 разорвалась камера сгорания РД-1ХЗ (2234,9).</w:t>
      </w:r>
    </w:p>
    <w:p w14:paraId="6BA2763A" w14:textId="77777777" w:rsidR="00665165" w:rsidRPr="00925F26" w:rsidRDefault="00665165" w:rsidP="00925F26">
      <w:pPr>
        <w:autoSpaceDE w:val="0"/>
        <w:autoSpaceDN w:val="0"/>
        <w:adjustRightInd w:val="0"/>
        <w:jc w:val="both"/>
        <w:rPr>
          <w:color w:val="000000" w:themeColor="text1"/>
          <w:sz w:val="16"/>
          <w:szCs w:val="16"/>
        </w:rPr>
      </w:pPr>
    </w:p>
    <w:p w14:paraId="2594DBC4" w14:textId="77777777" w:rsidR="009D2948" w:rsidRPr="001A0BAA" w:rsidRDefault="009D2948" w:rsidP="009D2948">
      <w:pPr>
        <w:jc w:val="both"/>
        <w:rPr>
          <w:color w:val="0070C0"/>
          <w:sz w:val="16"/>
          <w:szCs w:val="16"/>
        </w:rPr>
      </w:pPr>
      <w:r w:rsidRPr="001A0BAA">
        <w:rPr>
          <w:color w:val="0070C0"/>
          <w:sz w:val="16"/>
          <w:szCs w:val="16"/>
        </w:rPr>
        <w:t>12 мая 1945 г. при наземных огневых испытани</w:t>
      </w:r>
      <w:r w:rsidRPr="001A0BAA">
        <w:rPr>
          <w:color w:val="0070C0"/>
          <w:sz w:val="16"/>
          <w:szCs w:val="16"/>
        </w:rPr>
        <w:softHyphen/>
        <w:t>ях на Ла-7Р-2 разорвалась камера сгорания РД-1ХЗ [27] (24920).</w:t>
      </w:r>
    </w:p>
    <w:p w14:paraId="5ABFB516" w14:textId="77777777" w:rsidR="009D2948" w:rsidRPr="001A0BAA" w:rsidRDefault="009D2948" w:rsidP="009D2948">
      <w:pPr>
        <w:jc w:val="both"/>
        <w:rPr>
          <w:color w:val="0070C0"/>
          <w:sz w:val="16"/>
          <w:szCs w:val="16"/>
        </w:rPr>
      </w:pPr>
    </w:p>
    <w:p w14:paraId="529E6F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при очередном испытательном полете Пе-2 с РД-1 произошел взрыв двигателя РД-1, но вся команда в составе А.Г.Васильченко, С.П.К. и Харламова благополучно приземлилась. В испытаниях принимал участие и заводской л А.С.Пальчиков. Прирост скорости был 68 км/час. Максимальная продолжительность работы РД-1 - 10 мин., а масса установки - 1050 кг. РД-1 включал л, а выключить мог и экспериментатор, находящийся в кабине радиста. (1847,71).</w:t>
      </w:r>
    </w:p>
    <w:p w14:paraId="233118B3" w14:textId="77777777" w:rsidR="00665165" w:rsidRPr="00925F26" w:rsidRDefault="00665165" w:rsidP="00925F26">
      <w:pPr>
        <w:autoSpaceDE w:val="0"/>
        <w:autoSpaceDN w:val="0"/>
        <w:adjustRightInd w:val="0"/>
        <w:jc w:val="both"/>
        <w:rPr>
          <w:color w:val="000000" w:themeColor="text1"/>
          <w:sz w:val="16"/>
          <w:szCs w:val="16"/>
        </w:rPr>
      </w:pPr>
    </w:p>
    <w:p w14:paraId="2D8D54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мая 1945 г. в ходе очередного полета на высоте 7 км произошел взрыв РД-1 на Пе-2. Пилоту А.Г. Васильченко с трудом удалось посадить самолет. Находившийся на борту С.П. Королев был обожжен (10675).</w:t>
      </w:r>
    </w:p>
    <w:p w14:paraId="21F3A6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B42E2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были закончены гос. испытания двухкамерного ЖРД Л.С.Душкина РД-2М3Ц с насосной подачей топлива, которые шли с 28 апреля 1945. Он был построен в феврале 1945 и в марте 1945 прошел заводские испытания. Макс. тяга была 1500 кг, номинальная - 1250, минимальная - 100 кг. Ресурс был 60 мин. вместо 35 мин. Отметили достоинства и дефекты. Рекомендовали изготовить малую серию для проведения летных испытаний. Сделали 20 и часть использовали на И-270 (2928,98).</w:t>
      </w:r>
    </w:p>
    <w:p w14:paraId="7007A7EF" w14:textId="77777777" w:rsidR="00665165" w:rsidRPr="00925F26" w:rsidRDefault="00665165" w:rsidP="00925F26">
      <w:pPr>
        <w:autoSpaceDE w:val="0"/>
        <w:autoSpaceDN w:val="0"/>
        <w:adjustRightInd w:val="0"/>
        <w:jc w:val="both"/>
        <w:rPr>
          <w:color w:val="000000" w:themeColor="text1"/>
          <w:sz w:val="16"/>
          <w:szCs w:val="16"/>
        </w:rPr>
      </w:pPr>
    </w:p>
    <w:p w14:paraId="70C26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12 мая 1945 года во время опытного высотного полета самолета со спецдвигателем на высоте 7000 метров при включении спецдвигателя произошел взрыв, разрушивший двигатель и повредивший хвостовое оперение самолета. Особо отмечаю четкую и умелую работу экипажа самолета во время аварии, блестяще справившегося со своей задачей в сложной обстановке и благополучно посадившего машину на аэродроме. В связи с этим объявляю благодарность экипажу самолета: </w:t>
      </w:r>
    </w:p>
    <w:p w14:paraId="6D8AA7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летчику-испытателю капитану Васильченко А.Г.</w:t>
      </w:r>
    </w:p>
    <w:p w14:paraId="7B5B20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инженеру-экспериментатору Королеву С.П.</w:t>
      </w:r>
    </w:p>
    <w:p w14:paraId="71F015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бортмеханику Харламову С.Ф.</w:t>
      </w:r>
    </w:p>
    <w:p w14:paraId="2263A4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Главный конструктор ОКБ В. Глушко" (10676).</w:t>
      </w:r>
    </w:p>
    <w:p w14:paraId="639D5AAF" w14:textId="77777777" w:rsidR="00665165" w:rsidRPr="00925F26" w:rsidRDefault="00665165" w:rsidP="00925F26">
      <w:pPr>
        <w:autoSpaceDE w:val="0"/>
        <w:autoSpaceDN w:val="0"/>
        <w:adjustRightInd w:val="0"/>
        <w:jc w:val="both"/>
        <w:rPr>
          <w:color w:val="000000" w:themeColor="text1"/>
          <w:sz w:val="16"/>
          <w:szCs w:val="16"/>
        </w:rPr>
      </w:pPr>
    </w:p>
    <w:p w14:paraId="26ACE8B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2682844" w14:textId="77777777" w:rsidR="00665165" w:rsidRPr="00925F26" w:rsidRDefault="00665165" w:rsidP="00925F26">
      <w:pPr>
        <w:autoSpaceDE w:val="0"/>
        <w:autoSpaceDN w:val="0"/>
        <w:adjustRightInd w:val="0"/>
        <w:jc w:val="both"/>
        <w:rPr>
          <w:iCs/>
          <w:color w:val="000000" w:themeColor="text1"/>
          <w:sz w:val="16"/>
          <w:szCs w:val="16"/>
        </w:rPr>
      </w:pPr>
    </w:p>
    <w:p w14:paraId="00DDA1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мая 1945 г. ыл подготовлен Протокол опроса научного руководителя фирмы «Ауэр» доктора Н. Риля начальником 5-го отдела НКВД СССР П.М. Сиденко</w:t>
      </w:r>
    </w:p>
    <w:p w14:paraId="518D76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Фридрихсхаген</w:t>
      </w:r>
    </w:p>
    <w:p w14:paraId="3AFB5F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Протокол опроса доктора Риля Николая Вильгельмовича</w:t>
      </w:r>
    </w:p>
    <w:p w14:paraId="5879B4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Риль Н.В., 43 лет, родился в Петербурге. В Германию прибыл в 1918 г. Окончил Берлинский университет в 1927 г. Получил звание доктора физи</w:t>
      </w:r>
      <w:r w:rsidRPr="00925F26">
        <w:rPr>
          <w:color w:val="000000" w:themeColor="text1"/>
          <w:sz w:val="16"/>
          <w:szCs w:val="16"/>
        </w:rPr>
        <w:softHyphen/>
        <w:t>ки. Занимался в разных местах физикой и химией. Около 8 лет является на</w:t>
      </w:r>
      <w:r w:rsidRPr="00925F26">
        <w:rPr>
          <w:color w:val="000000" w:themeColor="text1"/>
          <w:sz w:val="16"/>
          <w:szCs w:val="16"/>
        </w:rPr>
        <w:softHyphen/>
        <w:t>учным руководителем института «Ауэр» (Речь идет о фирме «Ауэргезелльшафт», при которой действовал научно-исследовате</w:t>
      </w:r>
      <w:r w:rsidRPr="00925F26">
        <w:rPr>
          <w:color w:val="000000" w:themeColor="text1"/>
          <w:sz w:val="16"/>
          <w:szCs w:val="16"/>
        </w:rPr>
        <w:softHyphen/>
        <w:t>льский отдел, возглавляемый доктором Н. Рилем).</w:t>
      </w:r>
    </w:p>
    <w:p w14:paraId="500FC4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w:t>
      </w:r>
      <w:proofErr w:type="gramStart"/>
      <w:r w:rsidRPr="00925F26">
        <w:rPr>
          <w:color w:val="000000" w:themeColor="text1"/>
          <w:sz w:val="16"/>
          <w:szCs w:val="16"/>
        </w:rPr>
        <w:t>: Чем</w:t>
      </w:r>
      <w:proofErr w:type="gramEnd"/>
      <w:r w:rsidRPr="00925F26">
        <w:rPr>
          <w:color w:val="000000" w:themeColor="text1"/>
          <w:sz w:val="16"/>
          <w:szCs w:val="16"/>
        </w:rPr>
        <w:t xml:space="preserve"> занимался институт «Ауэр»?</w:t>
      </w:r>
    </w:p>
    <w:p w14:paraId="07F485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 Институт «Ауэр» занимался радием и подобными веществами, люминисцитующими веществами и светотехникой. Институтом разрабо</w:t>
      </w:r>
      <w:r w:rsidRPr="00925F26">
        <w:rPr>
          <w:color w:val="000000" w:themeColor="text1"/>
          <w:sz w:val="16"/>
          <w:szCs w:val="16"/>
        </w:rPr>
        <w:softHyphen/>
        <w:t>тана и пущена в производство лампа с холодным светом. Институт занимал</w:t>
      </w:r>
      <w:r w:rsidRPr="00925F26">
        <w:rPr>
          <w:color w:val="000000" w:themeColor="text1"/>
          <w:sz w:val="16"/>
          <w:szCs w:val="16"/>
        </w:rPr>
        <w:softHyphen/>
        <w:t>ся химией урана, тория, церия и других редких элементов.</w:t>
      </w:r>
    </w:p>
    <w:p w14:paraId="4AA515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урану:</w:t>
      </w:r>
    </w:p>
    <w:p w14:paraId="3A4594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изготовлением химически-чистых препаратов окиси урана;</w:t>
      </w:r>
    </w:p>
    <w:p w14:paraId="1A6A9F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изготовлением металлического урана и переплавкой металлического</w:t>
      </w:r>
    </w:p>
    <w:p w14:paraId="0784CD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урана в различные формы.</w:t>
      </w:r>
    </w:p>
    <w:p w14:paraId="0CD592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w:t>
      </w:r>
      <w:proofErr w:type="gramStart"/>
      <w:r w:rsidRPr="00925F26">
        <w:rPr>
          <w:color w:val="000000" w:themeColor="text1"/>
          <w:sz w:val="16"/>
          <w:szCs w:val="16"/>
        </w:rPr>
        <w:t>: Для</w:t>
      </w:r>
      <w:proofErr w:type="gramEnd"/>
      <w:r w:rsidRPr="00925F26">
        <w:rPr>
          <w:color w:val="000000" w:themeColor="text1"/>
          <w:sz w:val="16"/>
          <w:szCs w:val="16"/>
        </w:rPr>
        <w:t xml:space="preserve"> кого и для какой цели изготовлялись чистые урановые пре</w:t>
      </w:r>
      <w:r w:rsidRPr="00925F26">
        <w:rPr>
          <w:color w:val="000000" w:themeColor="text1"/>
          <w:sz w:val="16"/>
          <w:szCs w:val="16"/>
        </w:rPr>
        <w:softHyphen/>
        <w:t>параты?</w:t>
      </w:r>
    </w:p>
    <w:p w14:paraId="785B12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 Чистые урановые препараты изготовлялись для получения силь</w:t>
      </w:r>
      <w:r w:rsidRPr="00925F26">
        <w:rPr>
          <w:color w:val="000000" w:themeColor="text1"/>
          <w:sz w:val="16"/>
          <w:szCs w:val="16"/>
        </w:rPr>
        <w:softHyphen/>
        <w:t>ных источников нейтронов и передавались Высшему государственному на</w:t>
      </w:r>
      <w:r w:rsidRPr="00925F26">
        <w:rPr>
          <w:color w:val="000000" w:themeColor="text1"/>
          <w:sz w:val="16"/>
          <w:szCs w:val="16"/>
        </w:rPr>
        <w:softHyphen/>
        <w:t>учному совету</w:t>
      </w:r>
    </w:p>
    <w:p w14:paraId="58D91A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 Кому отправлялась продукция? Ответ: Урановые препараты отправлялись:</w:t>
      </w:r>
    </w:p>
    <w:p w14:paraId="1BD543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Кайзер-Вильгельм институту в Далеме (ин[ститу]т Планка), административный] руководитель] ин[ститу]та проф. Герлах, научный руководитель проф. Гейзенберг.</w:t>
      </w:r>
    </w:p>
    <w:p w14:paraId="5F826D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Институту проф. Гана, тоже в Далеме.</w:t>
      </w:r>
    </w:p>
    <w:p w14:paraId="29B3AE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Физико-химическому институту Гамбургского университета (проф. Гартек).</w:t>
      </w:r>
    </w:p>
    <w:p w14:paraId="6D345A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Кайзер-Вильгельм институту медицинской физики в Гейдель-берге (проф. Боте).</w:t>
      </w:r>
    </w:p>
    <w:p w14:paraId="0C7D2B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 Сколько всего изготовлено чистых препаратов урана? Ответ</w:t>
      </w:r>
      <w:proofErr w:type="gramStart"/>
      <w:r w:rsidRPr="00925F26">
        <w:rPr>
          <w:color w:val="000000" w:themeColor="text1"/>
          <w:sz w:val="16"/>
          <w:szCs w:val="16"/>
        </w:rPr>
        <w:t>: Всего</w:t>
      </w:r>
      <w:proofErr w:type="gramEnd"/>
      <w:r w:rsidRPr="00925F26">
        <w:rPr>
          <w:color w:val="000000" w:themeColor="text1"/>
          <w:sz w:val="16"/>
          <w:szCs w:val="16"/>
        </w:rPr>
        <w:t xml:space="preserve"> изготовлено чистых препаратов урана приблизительно око</w:t>
      </w:r>
      <w:r w:rsidRPr="00925F26">
        <w:rPr>
          <w:color w:val="000000" w:themeColor="text1"/>
          <w:sz w:val="16"/>
          <w:szCs w:val="16"/>
        </w:rPr>
        <w:softHyphen/>
        <w:t>ло 20 тонн (за 2—2,5 года), в том числе:</w:t>
      </w:r>
    </w:p>
    <w:p w14:paraId="390C50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чистого металлического урана около 10 тонн;</w:t>
      </w:r>
    </w:p>
    <w:p w14:paraId="287F4A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разных препаратов урана — 10 тонн.</w:t>
      </w:r>
    </w:p>
    <w:p w14:paraId="3659C1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Главная часть металлического урана была отпущена институту Планка. По имеющимся сведениям, этот уран в настоящее время находится в городе Штадтильм около Эрфурта в Тюрингии. Там же находятся сотрудники Гер-лаха — доктор Дибнер и доктор Беркей</w:t>
      </w:r>
      <w:r w:rsidRPr="00925F26">
        <w:rPr>
          <w:color w:val="000000" w:themeColor="text1"/>
          <w:sz w:val="16"/>
          <w:szCs w:val="16"/>
          <w:vertAlign w:val="superscript"/>
        </w:rPr>
        <w:t>1</w:t>
      </w:r>
      <w:r w:rsidRPr="00925F26">
        <w:rPr>
          <w:color w:val="000000" w:themeColor="text1"/>
          <w:sz w:val="16"/>
          <w:szCs w:val="16"/>
        </w:rPr>
        <w:t>.</w:t>
      </w:r>
    </w:p>
    <w:p w14:paraId="2C6423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w:t>
      </w:r>
      <w:proofErr w:type="gramStart"/>
      <w:r w:rsidRPr="00925F26">
        <w:rPr>
          <w:color w:val="000000" w:themeColor="text1"/>
          <w:sz w:val="16"/>
          <w:szCs w:val="16"/>
        </w:rPr>
        <w:t>: Имеется</w:t>
      </w:r>
      <w:proofErr w:type="gramEnd"/>
      <w:r w:rsidRPr="00925F26">
        <w:rPr>
          <w:color w:val="000000" w:themeColor="text1"/>
          <w:sz w:val="16"/>
          <w:szCs w:val="16"/>
        </w:rPr>
        <w:t xml:space="preserve"> ли в наличии уран и его соединения?</w:t>
      </w:r>
    </w:p>
    <w:p w14:paraId="18B7C1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 В наличии имеется:</w:t>
      </w:r>
    </w:p>
    <w:p w14:paraId="5C8D58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около 0,5 тонны металлического урана в порошке в дер. Цехлин;</w:t>
      </w:r>
    </w:p>
    <w:p w14:paraId="359BF7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там же находится около 10 тонн очищенной окиси урана и 5—Ютонн, а, может быть, и больше сырья неочищенного;</w:t>
      </w:r>
    </w:p>
    <w:p w14:paraId="3B859E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имеется сырье в Берлине при главной конторе «Ауэр» — по адресу Горфштрассе и на фабрике в Грюнау.</w:t>
      </w:r>
    </w:p>
    <w:p w14:paraId="101C46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 Каковы общие запасы в Германии урана и урановых соедине</w:t>
      </w:r>
      <w:r w:rsidRPr="00925F26">
        <w:rPr>
          <w:color w:val="000000" w:themeColor="text1"/>
          <w:sz w:val="16"/>
          <w:szCs w:val="16"/>
        </w:rPr>
        <w:softHyphen/>
        <w:t>ний?</w:t>
      </w:r>
    </w:p>
    <w:p w14:paraId="27D1C9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 Ориентировочные запасы при пересчете на окись урана определя</w:t>
      </w:r>
      <w:r w:rsidRPr="00925F26">
        <w:rPr>
          <w:color w:val="000000" w:themeColor="text1"/>
          <w:sz w:val="16"/>
          <w:szCs w:val="16"/>
        </w:rPr>
        <w:softHyphen/>
        <w:t>ются в 500 тонн. Главная часть этих запасов находились в Штасфурте (неда</w:t>
      </w:r>
      <w:r w:rsidRPr="00925F26">
        <w:rPr>
          <w:color w:val="000000" w:themeColor="text1"/>
          <w:sz w:val="16"/>
          <w:szCs w:val="16"/>
        </w:rPr>
        <w:softHyphen/>
        <w:t>леко от Гарца) на складах — это северо-западная часть Германии.</w:t>
      </w:r>
    </w:p>
    <w:p w14:paraId="36273B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 меня в делах имеется точная справка о наличии и размещении урано</w:t>
      </w:r>
      <w:r w:rsidRPr="00925F26">
        <w:rPr>
          <w:color w:val="000000" w:themeColor="text1"/>
          <w:sz w:val="16"/>
          <w:szCs w:val="16"/>
        </w:rPr>
        <w:softHyphen/>
        <w:t>вых соединений.</w:t>
      </w:r>
    </w:p>
    <w:p w14:paraId="1A13E6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w:t>
      </w:r>
      <w:proofErr w:type="gramStart"/>
      <w:r w:rsidRPr="00925F26">
        <w:rPr>
          <w:color w:val="000000" w:themeColor="text1"/>
          <w:sz w:val="16"/>
          <w:szCs w:val="16"/>
        </w:rPr>
        <w:t>: Откуда</w:t>
      </w:r>
      <w:proofErr w:type="gramEnd"/>
      <w:r w:rsidRPr="00925F26">
        <w:rPr>
          <w:color w:val="000000" w:themeColor="text1"/>
          <w:sz w:val="16"/>
          <w:szCs w:val="16"/>
        </w:rPr>
        <w:t xml:space="preserve"> получено Германией это сырье?</w:t>
      </w:r>
    </w:p>
    <w:p w14:paraId="087FDA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 Сырье получено из Бельгии.</w:t>
      </w:r>
    </w:p>
    <w:p w14:paraId="2BE1EA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 Кто распоряжался всеми запасами урана?</w:t>
      </w:r>
    </w:p>
    <w:p w14:paraId="14E78D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Ответ: Всеми запасами урана распоряжался проф. Герлах (общество «Рогес»). Основная часть сырья находится, как указано выше, в Штасфурте, некоторое количество находится в Гольдберге (Восточная Герма</w:t>
      </w:r>
      <w:r w:rsidRPr="00925F26">
        <w:rPr>
          <w:color w:val="000000" w:themeColor="text1"/>
          <w:sz w:val="16"/>
          <w:szCs w:val="16"/>
        </w:rPr>
        <w:softHyphen/>
        <w:t>ния — 100—150 км от Берлина) на складе общества «Рогес».</w:t>
      </w:r>
    </w:p>
    <w:p w14:paraId="12312F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Вопрос: Какие известны Вам работы по урану?</w:t>
      </w:r>
    </w:p>
    <w:p w14:paraId="03FE15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Ответ</w:t>
      </w:r>
      <w:proofErr w:type="gramStart"/>
      <w:r w:rsidRPr="00925F26">
        <w:rPr>
          <w:color w:val="000000" w:themeColor="text1"/>
          <w:sz w:val="16"/>
          <w:szCs w:val="16"/>
        </w:rPr>
        <w:t>: Насколько</w:t>
      </w:r>
      <w:proofErr w:type="gramEnd"/>
      <w:r w:rsidRPr="00925F26">
        <w:rPr>
          <w:color w:val="000000" w:themeColor="text1"/>
          <w:sz w:val="16"/>
          <w:szCs w:val="16"/>
        </w:rPr>
        <w:t xml:space="preserve"> мне известно, в работах по урану большое внимание было обращено на разделение изотопов, так как один из изотопов с меньшим атомным весом является более активным, чем смесь изотопов, этого изотопа содержится в уране около 1%.</w:t>
      </w:r>
    </w:p>
    <w:p w14:paraId="458C99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Попытки разделения изотопов шли следующими путями:</w:t>
      </w:r>
    </w:p>
    <w:p w14:paraId="3DDD82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Гартек в Гамбурге —разделение изотопов в газообразном состоянии с помощью ультрацентрифуги (известно, что по этому методу велись работы и в Америке).</w:t>
      </w:r>
    </w:p>
    <w:p w14:paraId="75DCC9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Проф. Сведов— хроматографический метод.</w:t>
      </w:r>
    </w:p>
    <w:p w14:paraId="321F5B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Клузиус (Мюнхен) — термодиффузионный метод.</w:t>
      </w:r>
    </w:p>
    <w:p w14:paraId="780083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Метод фракционированного разделения в колоннах и др.</w:t>
      </w:r>
    </w:p>
    <w:p w14:paraId="46D315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Опросил Сиденко.</w:t>
      </w:r>
    </w:p>
    <w:p w14:paraId="2AFD5A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Отраслевой отдел фондов Федерального государственного унитарного предприятия — Центрального научно-исследовательского института управ</w:t>
      </w:r>
      <w:r w:rsidRPr="00925F26">
        <w:rPr>
          <w:color w:val="000000" w:themeColor="text1"/>
          <w:sz w:val="16"/>
          <w:szCs w:val="16"/>
        </w:rPr>
        <w:softHyphen/>
        <w:t>ления, экономики и информации Минатома России (далее: ООФ ФГУП ЦНИИА). Ф. 1. Д. 19207. Л. 80-82. Заверенная копия (11419).</w:t>
      </w:r>
    </w:p>
    <w:p w14:paraId="547471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36E2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8535. О создании НИИ полимеризационных пластмасс и экспериментального завода при нем на базе Ленинградского завода К-4. РГАНИР, Фонд ГКО, д. 415, лл. 36 (11012).</w:t>
      </w:r>
    </w:p>
    <w:p w14:paraId="5E96ACDA" w14:textId="77777777" w:rsidR="00665165" w:rsidRPr="00925F26" w:rsidRDefault="00665165" w:rsidP="00925F26">
      <w:pPr>
        <w:autoSpaceDE w:val="0"/>
        <w:autoSpaceDN w:val="0"/>
        <w:adjustRightInd w:val="0"/>
        <w:jc w:val="both"/>
        <w:rPr>
          <w:color w:val="000000" w:themeColor="text1"/>
          <w:sz w:val="16"/>
          <w:szCs w:val="16"/>
        </w:rPr>
      </w:pPr>
    </w:p>
    <w:p w14:paraId="5572015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8536 [О мерах по замене дефектных рельсов на основных магистральных железнодорожных путях.] (7339, 37).</w:t>
      </w:r>
    </w:p>
    <w:p w14:paraId="11AA076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2EBA98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8537 [Об изменении дислокации пунктов хранения угля госрезерва на некоторых железных дорогах.] (7339, 38-39).</w:t>
      </w:r>
    </w:p>
    <w:p w14:paraId="65D2899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8F523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8538. О мерах по разработке метода газопрессовой сварки стыков труб и рельсов. РГАНИР, Фонд ГКО, д. 415, лл. 40-41 (11012).</w:t>
      </w:r>
    </w:p>
    <w:p w14:paraId="4F6091F6" w14:textId="77777777" w:rsidR="00665165" w:rsidRPr="00925F26" w:rsidRDefault="00665165" w:rsidP="00925F26">
      <w:pPr>
        <w:autoSpaceDE w:val="0"/>
        <w:autoSpaceDN w:val="0"/>
        <w:adjustRightInd w:val="0"/>
        <w:jc w:val="both"/>
        <w:rPr>
          <w:color w:val="000000" w:themeColor="text1"/>
          <w:sz w:val="16"/>
          <w:szCs w:val="16"/>
        </w:rPr>
      </w:pPr>
    </w:p>
    <w:p w14:paraId="46CC72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8539. О мерах по обеспечению поставки древесины заводу № 367 НКВ. РГАНИР, Фонд ГКО, д. 415, лл. 42-43 (11012).</w:t>
      </w:r>
    </w:p>
    <w:p w14:paraId="2C5ABDD7" w14:textId="77777777" w:rsidR="00665165" w:rsidRPr="00925F26" w:rsidRDefault="00665165" w:rsidP="00925F26">
      <w:pPr>
        <w:autoSpaceDE w:val="0"/>
        <w:autoSpaceDN w:val="0"/>
        <w:adjustRightInd w:val="0"/>
        <w:jc w:val="both"/>
        <w:rPr>
          <w:color w:val="000000" w:themeColor="text1"/>
          <w:sz w:val="16"/>
          <w:szCs w:val="16"/>
        </w:rPr>
      </w:pPr>
    </w:p>
    <w:p w14:paraId="30319A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8540. О дополнительной поставке металла заводу № 199 НКСП. РГАНИР, Фонд ГКО, д. 415, лл. 44 (11012).</w:t>
      </w:r>
    </w:p>
    <w:p w14:paraId="79F85FF8" w14:textId="77777777" w:rsidR="00665165" w:rsidRPr="00925F26" w:rsidRDefault="00665165" w:rsidP="00925F26">
      <w:pPr>
        <w:autoSpaceDE w:val="0"/>
        <w:autoSpaceDN w:val="0"/>
        <w:adjustRightInd w:val="0"/>
        <w:jc w:val="both"/>
        <w:rPr>
          <w:color w:val="000000" w:themeColor="text1"/>
          <w:sz w:val="16"/>
          <w:szCs w:val="16"/>
        </w:rPr>
      </w:pPr>
    </w:p>
    <w:p w14:paraId="4886A68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8541 [О поставке топочного мазута Нижне-Амурскому пароходству НКРФ.] (7339, 45).</w:t>
      </w:r>
    </w:p>
    <w:p w14:paraId="70B059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8795F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8542. О дополнительном выделении угля спиртовым заводам НКПП. РГАНИР, Фонд ГКО, д. 415, лл. 46 (11012).</w:t>
      </w:r>
    </w:p>
    <w:p w14:paraId="234835BA" w14:textId="77777777" w:rsidR="00665165" w:rsidRPr="00925F26" w:rsidRDefault="00665165" w:rsidP="00925F26">
      <w:pPr>
        <w:autoSpaceDE w:val="0"/>
        <w:autoSpaceDN w:val="0"/>
        <w:adjustRightInd w:val="0"/>
        <w:jc w:val="both"/>
        <w:rPr>
          <w:color w:val="000000" w:themeColor="text1"/>
          <w:sz w:val="16"/>
          <w:szCs w:val="16"/>
        </w:rPr>
      </w:pPr>
    </w:p>
    <w:p w14:paraId="2441F6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8543. О дополнительном выделении топочного мазута Вольским цементным заводом. РГАНИР, Фонд ГКО, д. 415, лл. 47 (11012).</w:t>
      </w:r>
    </w:p>
    <w:p w14:paraId="11A38628" w14:textId="77777777" w:rsidR="00665165" w:rsidRPr="00925F26" w:rsidRDefault="00665165" w:rsidP="00925F26">
      <w:pPr>
        <w:autoSpaceDE w:val="0"/>
        <w:autoSpaceDN w:val="0"/>
        <w:adjustRightInd w:val="0"/>
        <w:jc w:val="both"/>
        <w:rPr>
          <w:color w:val="000000" w:themeColor="text1"/>
          <w:sz w:val="16"/>
          <w:szCs w:val="16"/>
        </w:rPr>
      </w:pPr>
    </w:p>
    <w:p w14:paraId="495E69A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8544 [О поставках оборудования Норильскому комбинату НКВД.] (7339, 48).</w:t>
      </w:r>
    </w:p>
    <w:p w14:paraId="4608CDB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AC8C4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8546. О поставках стройматериалов для строительства завода № 260 НКБ. РГАНИР, Фонд ГКО, д. 415, лл. 50 (11012).</w:t>
      </w:r>
    </w:p>
    <w:p w14:paraId="632115CB" w14:textId="77777777" w:rsidR="00665165" w:rsidRPr="00925F26" w:rsidRDefault="00665165" w:rsidP="00925F26">
      <w:pPr>
        <w:autoSpaceDE w:val="0"/>
        <w:autoSpaceDN w:val="0"/>
        <w:adjustRightInd w:val="0"/>
        <w:jc w:val="both"/>
        <w:rPr>
          <w:color w:val="000000" w:themeColor="text1"/>
          <w:sz w:val="16"/>
          <w:szCs w:val="16"/>
        </w:rPr>
      </w:pPr>
    </w:p>
    <w:p w14:paraId="074E04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8547. О мерах по обеспечению монтажа импортного оборудования на снарядных и гильзовых заводах НКБ. РГАНИР, Фонд ГКО, д. 415, лл. 51-52 (11012).</w:t>
      </w:r>
    </w:p>
    <w:p w14:paraId="572005C9" w14:textId="77777777" w:rsidR="00665165" w:rsidRPr="00925F26" w:rsidRDefault="00665165" w:rsidP="00925F26">
      <w:pPr>
        <w:autoSpaceDE w:val="0"/>
        <w:autoSpaceDN w:val="0"/>
        <w:adjustRightInd w:val="0"/>
        <w:jc w:val="both"/>
        <w:rPr>
          <w:color w:val="000000" w:themeColor="text1"/>
          <w:sz w:val="16"/>
          <w:szCs w:val="16"/>
        </w:rPr>
      </w:pPr>
    </w:p>
    <w:p w14:paraId="028ADC5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8548 [О выделении вагонов для перевозки импортного цветного металла для НКЭП.] (7339, 53).</w:t>
      </w:r>
    </w:p>
    <w:p w14:paraId="2434CEA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8E8A1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8549. О дополнительном выделении нефти для дизельной электростанции Тамбова. РГАНИР, Фонд ГКО, д. 415, лл. 54 (11012).</w:t>
      </w:r>
    </w:p>
    <w:p w14:paraId="2F8C85FC" w14:textId="77777777" w:rsidR="00665165" w:rsidRPr="00925F26" w:rsidRDefault="00665165" w:rsidP="00925F26">
      <w:pPr>
        <w:autoSpaceDE w:val="0"/>
        <w:autoSpaceDN w:val="0"/>
        <w:adjustRightInd w:val="0"/>
        <w:jc w:val="both"/>
        <w:rPr>
          <w:color w:val="000000" w:themeColor="text1"/>
          <w:sz w:val="16"/>
          <w:szCs w:val="16"/>
        </w:rPr>
      </w:pPr>
    </w:p>
    <w:p w14:paraId="3CFCE3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8550. О плане производства и распределения продукта переработки нефти на II кв. 1945 г. РГАНИР, Фонд ГКО, д. 415, лл. 55, 56-57 (11012).</w:t>
      </w:r>
    </w:p>
    <w:p w14:paraId="4CB9F000" w14:textId="77777777" w:rsidR="00665165" w:rsidRPr="00925F26" w:rsidRDefault="00665165" w:rsidP="00925F26">
      <w:pPr>
        <w:autoSpaceDE w:val="0"/>
        <w:autoSpaceDN w:val="0"/>
        <w:adjustRightInd w:val="0"/>
        <w:jc w:val="both"/>
        <w:rPr>
          <w:color w:val="000000" w:themeColor="text1"/>
          <w:sz w:val="16"/>
          <w:szCs w:val="16"/>
        </w:rPr>
      </w:pPr>
    </w:p>
    <w:p w14:paraId="143913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вышло Постановление ГКО № 8551 О восстановлении слюдяных рудников в КФССР и Мурманской обл., возобновлении выпуска слюды для НКЭП на Петрозаводской фабрике. РГАНИР, Фонд ГКО, д. 415, лл. 58-59 (11012).</w:t>
      </w:r>
    </w:p>
    <w:p w14:paraId="6C9FBEBD" w14:textId="77777777" w:rsidR="00665165" w:rsidRPr="00925F26" w:rsidRDefault="00665165" w:rsidP="00925F26">
      <w:pPr>
        <w:autoSpaceDE w:val="0"/>
        <w:autoSpaceDN w:val="0"/>
        <w:adjustRightInd w:val="0"/>
        <w:jc w:val="both"/>
        <w:rPr>
          <w:color w:val="000000" w:themeColor="text1"/>
          <w:sz w:val="16"/>
          <w:szCs w:val="16"/>
        </w:rPr>
      </w:pPr>
    </w:p>
    <w:p w14:paraId="47654C2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8552 [О мерах по обеспечению бурения нефтяных скважин тампонажным цементом.] (7339, 60-62).</w:t>
      </w:r>
    </w:p>
    <w:p w14:paraId="14263E0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2609D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054C756" w14:textId="77777777" w:rsidR="00665165" w:rsidRPr="00925F26" w:rsidRDefault="00665165" w:rsidP="00925F26">
      <w:pPr>
        <w:autoSpaceDE w:val="0"/>
        <w:autoSpaceDN w:val="0"/>
        <w:adjustRightInd w:val="0"/>
        <w:jc w:val="both"/>
        <w:rPr>
          <w:iCs/>
          <w:color w:val="000000" w:themeColor="text1"/>
          <w:sz w:val="16"/>
          <w:szCs w:val="16"/>
        </w:rPr>
      </w:pPr>
    </w:p>
    <w:p w14:paraId="0F70119A" w14:textId="77777777" w:rsidR="000C795D" w:rsidRPr="00925F26" w:rsidRDefault="000C795D" w:rsidP="00925F26">
      <w:pPr>
        <w:jc w:val="both"/>
        <w:rPr>
          <w:color w:val="000000" w:themeColor="text1"/>
          <w:sz w:val="16"/>
          <w:szCs w:val="16"/>
        </w:rPr>
      </w:pPr>
      <w:r w:rsidRPr="00925F26">
        <w:rPr>
          <w:color w:val="000000" w:themeColor="text1"/>
          <w:sz w:val="16"/>
          <w:szCs w:val="16"/>
        </w:rPr>
        <w:t>12 мая в 1945 году оперативная сводка Совинформбюро:</w:t>
      </w:r>
    </w:p>
    <w:p w14:paraId="595FEEE0" w14:textId="77777777" w:rsidR="000C795D" w:rsidRPr="00925F26" w:rsidRDefault="000C795D" w:rsidP="00925F26">
      <w:pPr>
        <w:jc w:val="both"/>
        <w:rPr>
          <w:color w:val="000000" w:themeColor="text1"/>
          <w:sz w:val="16"/>
          <w:szCs w:val="16"/>
        </w:rPr>
      </w:pPr>
      <w:r w:rsidRPr="00925F26">
        <w:rPr>
          <w:color w:val="000000" w:themeColor="text1"/>
          <w:sz w:val="16"/>
          <w:szCs w:val="16"/>
        </w:rPr>
        <w:t>«В течение 12 мая войска Ленинградского фронта продолжали приём капитулировавших соединений и частей Курляндской группы немецких войск. С 9 по 12 мая сдалось в плен 140.408 солдат и унтер-офицеров, 5.083 офицера и 28 генералов. В числе пленных генералов, кроме ранее объявленных, начальник штаба Курляндской группы немецких армий генерал-лейтенант Ферч, командир 38 армейского корпуса генерал артиллерии Герцог, командир 1 армейского корпуса генерал-лейтенант Узингер, командир 10 армейского корпуса генерал артиллерии Томашни, командир 205 пехотной дивизии генерал-майор Гизе, командир 132 пехотной дивизии генерал-майор Демме, командир 225 пехотной дивизии генерал-майор Риссе, командир 300 пехотной дивизии генерал-майор Эберт, командир 81 пехотной дивизии генерал-лейтенант Бен-цевени, командир 16 армейского корпуса генерал-лейтенант Вебер, командир 207 охранной дивизии генерал-майор Бауэр, комендант Курляндского укреплённого района генерал-лейтенант Банд, комендант города ЛИБАВЫ генерал-майор Мюллер, начальник тыла Курляндской группы армий генерал-майор Раузер, начальник ветеринарной службы Курляндской группы армий генерал-лейтенант Келер. За это же время приняты и учтены следующие трофеи: самолётов—75, танков и самоходных орудий—307, полевых орудий—1.427, миномётов—557, пулемётов—3.879, винтовок и автоматов—52.887, бронетранспортёров—219, радиостанций—310, автомашин — 4.281, тракторов и тягачей—240, повозок с военными грузами—3.442, лошадей— 14.056.</w:t>
      </w:r>
    </w:p>
    <w:p w14:paraId="505BEE7A"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2-го Белорусского фронта в районе устья реки Вислы восточнее Данцига, на косе Путцигер-Нерунг северо-восточнее Гдыни и на острове Борнхольм заканчивали приём капитулировавших немецких войск. С 9 по 12 мая сдалось в плен 59.106 солдат и унтер-офицеров, 1.728 офицеров и 12 генералов. В числе пленных генералов, кроме ранее объявленных, начальник штаба 2 немецкой армии генерал-майор Махер, начальник армейских курсов 2 армии генерал-лейтенант Ноак, командир 20 армейского корпуса генерал от инфантерии Шпек, заместитель командира 203 пехотной дивизии генерал-майор Гроттена.</w:t>
      </w:r>
    </w:p>
    <w:p w14:paraId="71D895C2" w14:textId="77777777" w:rsidR="000C795D" w:rsidRPr="00925F26" w:rsidRDefault="000C795D" w:rsidP="00925F26">
      <w:pPr>
        <w:jc w:val="both"/>
        <w:rPr>
          <w:color w:val="000000" w:themeColor="text1"/>
          <w:sz w:val="16"/>
          <w:szCs w:val="16"/>
        </w:rPr>
      </w:pPr>
      <w:r w:rsidRPr="00925F26">
        <w:rPr>
          <w:color w:val="000000" w:themeColor="text1"/>
          <w:sz w:val="16"/>
          <w:szCs w:val="16"/>
        </w:rPr>
        <w:t>В Чехословакии и Австрии войска 1, 4, 2 и 3-го Украинских фронтов очищали занятые районы от разрозненных немецких отрядов из группы войск генерал-фельдмаршала Шернера и генерал-полковника Велера.</w:t>
      </w:r>
    </w:p>
    <w:p w14:paraId="1CF632B5"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1-го Украинского фронта с 9 по 12 мая взяли в плен 168.000 беспорядочно сдавшихся немецких солдат и офицеров и 7 генералов. В число пленных генералов, кроме ранее объявленных, начальник инженерных войск 4 танковой армии генерал-лейтенант Бардин, генерал медицинской службы Янцон, для особых поручений при протекторате Чехии и Моравии генерал-лейтенант Хитцегр.</w:t>
      </w:r>
    </w:p>
    <w:p w14:paraId="2C040DB7"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4-го Украинского фронта с 9 по 12 мая взяли в плен 56.280 беспорядочно сдавшихся немецких солдат и офицеров.</w:t>
      </w:r>
    </w:p>
    <w:p w14:paraId="328EF5A8"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2-го Украинского фронта с 9 по 12 мая взяли в плен 135.000 беспорядочно сдавшихся немецких солдат и офицеров и 8 генералов. В число пленных генералов командир 49 горно-стрелкового корпуса немцев генерал-лейтенант Лезье, командир 72 армейского корпуса генерал-лейтенант Шмидт, командир 6 танковой дивизии генерал-лейтенант Вальденфельс, командир 76 пехотной дивизии генерал-майор Рернер, командир 320 пехотной дивизии генерал-майор Гилиан, начальник штаба 4 военного «круга генерал-майор Герлах, комендант аэродромного обслуживания. генерал-майор Нихус. За это же время войска фронта захватили следующие трофеи: самолетов—50, танков и самоходных орудий—291, полевых орудий—658, бронетранспортёров — 269, автомашин—2.100.</w:t>
      </w:r>
    </w:p>
    <w:p w14:paraId="3172EF25"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3-го Украинского фронта с 9 по 12 мая взяли в плен 114.766 беспорядочно сдавшихся немецких солдат и офицеров и 5 генералов.</w:t>
      </w:r>
    </w:p>
    <w:p w14:paraId="214D325D" w14:textId="77777777" w:rsidR="000C795D" w:rsidRPr="00925F26" w:rsidRDefault="000C795D" w:rsidP="00925F26">
      <w:pPr>
        <w:jc w:val="both"/>
        <w:rPr>
          <w:color w:val="000000" w:themeColor="text1"/>
          <w:sz w:val="16"/>
          <w:szCs w:val="16"/>
          <w:lang w:val="en-US"/>
        </w:rPr>
      </w:pPr>
      <w:r w:rsidRPr="00925F26">
        <w:rPr>
          <w:color w:val="000000" w:themeColor="text1"/>
          <w:sz w:val="16"/>
          <w:szCs w:val="16"/>
        </w:rPr>
        <w:lastRenderedPageBreak/>
        <w:t xml:space="preserve">Всего, таким образом, с 9 по 12 мая на всех фронтах взято в плен более 700.000 немецких солдат и офицеров и 63 генерала, считая и группу немецких солдат и офицеров, окончивших сдачу 11 мая войскам 3-го Белорусского фронта.» </w:t>
      </w:r>
      <w:r w:rsidRPr="00925F26">
        <w:rPr>
          <w:color w:val="000000" w:themeColor="text1"/>
          <w:sz w:val="16"/>
          <w:szCs w:val="16"/>
          <w:lang w:val="en-US"/>
        </w:rPr>
        <w:t>(14889).</w:t>
      </w:r>
    </w:p>
    <w:p w14:paraId="2991DE0C" w14:textId="77777777" w:rsidR="000C795D" w:rsidRPr="00925F26" w:rsidRDefault="000C795D" w:rsidP="00925F26">
      <w:pPr>
        <w:jc w:val="both"/>
        <w:rPr>
          <w:color w:val="000000" w:themeColor="text1"/>
          <w:sz w:val="16"/>
          <w:szCs w:val="16"/>
          <w:lang w:val="en-US"/>
        </w:rPr>
      </w:pPr>
    </w:p>
    <w:p w14:paraId="5C00380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12th, 1945: General Vlasov, commander of the anti-Bolshevist Russian Liberation Army (ROA) is handed over by the Americans to the Soviets to be tortured and executed for treason in August, 1946 (3819).</w:t>
      </w:r>
    </w:p>
    <w:p w14:paraId="0F72D4FE" w14:textId="77777777" w:rsidR="00665165" w:rsidRPr="00925F26" w:rsidRDefault="00665165" w:rsidP="00925F26">
      <w:pPr>
        <w:autoSpaceDE w:val="0"/>
        <w:autoSpaceDN w:val="0"/>
        <w:adjustRightInd w:val="0"/>
        <w:jc w:val="both"/>
        <w:rPr>
          <w:color w:val="000000" w:themeColor="text1"/>
          <w:sz w:val="16"/>
          <w:szCs w:val="16"/>
          <w:lang w:val="en-US"/>
        </w:rPr>
      </w:pPr>
    </w:p>
    <w:p w14:paraId="4361C3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мая 1945 американцы передали КА г Власова, который был казнен в августе 1946 (3819).</w:t>
      </w:r>
    </w:p>
    <w:p w14:paraId="188F4A0E" w14:textId="77777777" w:rsidR="00665165" w:rsidRPr="00925F26" w:rsidRDefault="00665165" w:rsidP="00925F26">
      <w:pPr>
        <w:autoSpaceDE w:val="0"/>
        <w:autoSpaceDN w:val="0"/>
        <w:adjustRightInd w:val="0"/>
        <w:jc w:val="both"/>
        <w:rPr>
          <w:color w:val="000000" w:themeColor="text1"/>
          <w:sz w:val="16"/>
          <w:szCs w:val="16"/>
        </w:rPr>
      </w:pPr>
    </w:p>
    <w:p w14:paraId="4C18BB13" w14:textId="77777777" w:rsidR="000C795D" w:rsidRPr="00925F26" w:rsidRDefault="000C795D"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американские власти отказали власовцам в пропуске их на американскую зону оккупации Германии (4962).</w:t>
      </w:r>
    </w:p>
    <w:p w14:paraId="6BCDA662" w14:textId="77777777" w:rsidR="000C795D" w:rsidRPr="00925F26" w:rsidRDefault="000C795D" w:rsidP="00925F26">
      <w:pPr>
        <w:tabs>
          <w:tab w:val="left" w:pos="11199"/>
        </w:tabs>
        <w:autoSpaceDE w:val="0"/>
        <w:autoSpaceDN w:val="0"/>
        <w:adjustRightInd w:val="0"/>
        <w:jc w:val="both"/>
        <w:rPr>
          <w:color w:val="000000" w:themeColor="text1"/>
          <w:sz w:val="16"/>
          <w:szCs w:val="16"/>
        </w:rPr>
      </w:pPr>
    </w:p>
    <w:p w14:paraId="4B74FFAD" w14:textId="77777777" w:rsidR="000C795D" w:rsidRPr="00925F26" w:rsidRDefault="000C795D" w:rsidP="00925F26">
      <w:pPr>
        <w:jc w:val="both"/>
        <w:rPr>
          <w:color w:val="000000" w:themeColor="text1"/>
          <w:sz w:val="16"/>
          <w:szCs w:val="16"/>
        </w:rPr>
      </w:pPr>
      <w:r w:rsidRPr="00925F26">
        <w:rPr>
          <w:color w:val="000000" w:themeColor="text1"/>
          <w:sz w:val="16"/>
          <w:szCs w:val="16"/>
        </w:rPr>
        <w:t>12 мая в 1945 году генерал Власов, которого несколько дней допрашивали американцы, вновь оказывается у русских. Широкое хождение получит явно сочиненная легенда о его задержании: якобы почти двухметрового генерала завернули в ковер и пытались провезти мимо советских постов. Власов, не скрываясь, едет в джипе с американцами и опознается одним из советских солдат. Американский офицер не решается заступиться за генерала, и на следующий день Власова транспортным самолетом отправят в Москву. Два интересных факта: еще в начале 1945 немцами было приказано Власову вылететь в Испанию, где он был бы в полной безопасности, но генерал отказался. Второе, при задержании Власов предъявил удостоверение командующего 2-й Ударной армией, подписанное Сталиным, и партийный билет, который всю войну хранил в нагрудном кармане френча. Похоже, что об истинной роли Власова во время войны нам еще ничего неизвестно (14889).</w:t>
      </w:r>
    </w:p>
    <w:p w14:paraId="62817646" w14:textId="77777777" w:rsidR="000C795D" w:rsidRPr="00925F26" w:rsidRDefault="000C795D" w:rsidP="00925F26">
      <w:pPr>
        <w:jc w:val="both"/>
        <w:rPr>
          <w:color w:val="000000" w:themeColor="text1"/>
          <w:sz w:val="16"/>
          <w:szCs w:val="16"/>
        </w:rPr>
      </w:pPr>
    </w:p>
    <w:p w14:paraId="1BA340E3" w14:textId="77777777" w:rsidR="002A359B" w:rsidRPr="00925F26" w:rsidRDefault="002A359B" w:rsidP="00925F26">
      <w:pPr>
        <w:jc w:val="both"/>
        <w:rPr>
          <w:color w:val="000000" w:themeColor="text1"/>
          <w:sz w:val="16"/>
          <w:szCs w:val="16"/>
        </w:rPr>
      </w:pPr>
      <w:r w:rsidRPr="00925F26">
        <w:rPr>
          <w:bCs/>
          <w:color w:val="000000" w:themeColor="text1"/>
          <w:sz w:val="16"/>
          <w:szCs w:val="16"/>
        </w:rPr>
        <w:t xml:space="preserve">Вплоть до 12 мая 1945 года 25-тысячный гарнизон датского острова Борнхольм продолжал боевые действия против Красной Армии. в Верховном командовании вермахта полагали, что капитуляцию всех частей Дании должны принять британцы. 10 мая командующему гарнизона капитану фон Кампцу рекомендовали не «уступать» остров. Война продолжалась, хотя Германия уже капитулировала. Это сражение закончилось бы полным уничтожением гарнизона, но трое армейских офицеров арестовали фон Кампца и капитулировали. Впрочем, далеко не все служащие гарнизона были согласны с подобным решением. Четыре тысячи человек продолжали воевать вплоть до </w:t>
      </w:r>
      <w:r w:rsidRPr="00925F26">
        <w:rPr>
          <w:color w:val="000000" w:themeColor="text1"/>
          <w:sz w:val="16"/>
          <w:szCs w:val="16"/>
        </w:rPr>
        <w:t>19 мая</w:t>
      </w:r>
      <w:r w:rsidRPr="00925F26">
        <w:rPr>
          <w:bCs/>
          <w:color w:val="000000" w:themeColor="text1"/>
          <w:sz w:val="16"/>
          <w:szCs w:val="16"/>
        </w:rPr>
        <w:t xml:space="preserve">. Между тем сам фон Кампц был передан советской оккупационной администрации, осужден и расстрелян в Кольберге.» «Уже после капитуляции Германии на судетских холмах еще несколько дней слышалась беспорядочная стрельба. Там остатки германских частей вели спорадические бои против чешских партизан и красноармейцев. Вплоть до </w:t>
      </w:r>
      <w:r w:rsidRPr="00925F26">
        <w:rPr>
          <w:color w:val="000000" w:themeColor="text1"/>
          <w:sz w:val="16"/>
          <w:szCs w:val="16"/>
        </w:rPr>
        <w:t>18 мая</w:t>
      </w:r>
      <w:r w:rsidRPr="00925F26">
        <w:rPr>
          <w:bCs/>
          <w:color w:val="000000" w:themeColor="text1"/>
          <w:sz w:val="16"/>
          <w:szCs w:val="16"/>
        </w:rPr>
        <w:t xml:space="preserve"> шоссе между Веной и Прагой фактически контролировалось разнообразными немецкими отрядами. В самой Праге, которая пала 9 мая, остатки эсэсовских формирований в различных частях города продолжали оказывать сопротивление вплоть до 20 мая (17459).</w:t>
      </w:r>
    </w:p>
    <w:p w14:paraId="60FCF5B1" w14:textId="77777777" w:rsidR="002A359B" w:rsidRPr="00925F26" w:rsidRDefault="002A359B" w:rsidP="00925F26">
      <w:pPr>
        <w:jc w:val="both"/>
        <w:rPr>
          <w:color w:val="000000" w:themeColor="text1"/>
          <w:sz w:val="16"/>
          <w:szCs w:val="16"/>
        </w:rPr>
      </w:pPr>
    </w:p>
    <w:p w14:paraId="636A6E1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50EBD61" w14:textId="77777777" w:rsidR="00665165" w:rsidRPr="00925F26" w:rsidRDefault="00665165" w:rsidP="00925F26">
      <w:pPr>
        <w:autoSpaceDE w:val="0"/>
        <w:autoSpaceDN w:val="0"/>
        <w:adjustRightInd w:val="0"/>
        <w:jc w:val="both"/>
        <w:rPr>
          <w:iCs/>
          <w:color w:val="000000" w:themeColor="text1"/>
          <w:sz w:val="16"/>
          <w:szCs w:val="16"/>
        </w:rPr>
      </w:pPr>
    </w:p>
    <w:p w14:paraId="2183F53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вышло Распоряжение ГКО № 8545 [О досрочном освобождении 1000 осужденных за самовольный уход с предприятий и бытовые преступления и направлении их в Распоряжение ГКО ГУСМП.] (7339, 49).</w:t>
      </w:r>
    </w:p>
    <w:p w14:paraId="5E63746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874A3E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DC18A26" w14:textId="77777777" w:rsidR="00665165" w:rsidRPr="00925F26" w:rsidRDefault="00665165" w:rsidP="00925F26">
      <w:pPr>
        <w:autoSpaceDE w:val="0"/>
        <w:autoSpaceDN w:val="0"/>
        <w:adjustRightInd w:val="0"/>
        <w:jc w:val="both"/>
        <w:rPr>
          <w:iCs/>
          <w:color w:val="000000" w:themeColor="text1"/>
          <w:sz w:val="16"/>
          <w:szCs w:val="16"/>
        </w:rPr>
      </w:pPr>
    </w:p>
    <w:p w14:paraId="24DD9F7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мая 1945 США прекратили поставки Советскому Союзу по ленд-лизу (4962).</w:t>
      </w:r>
    </w:p>
    <w:p w14:paraId="653C1D0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E338717" w14:textId="77777777" w:rsidR="00E74102" w:rsidRPr="00925F26" w:rsidRDefault="00E74102" w:rsidP="00925F26">
      <w:pPr>
        <w:jc w:val="both"/>
        <w:rPr>
          <w:color w:val="000000" w:themeColor="text1"/>
          <w:sz w:val="16"/>
          <w:szCs w:val="16"/>
        </w:rPr>
      </w:pPr>
      <w:r w:rsidRPr="00925F26">
        <w:rPr>
          <w:color w:val="000000" w:themeColor="text1"/>
          <w:sz w:val="16"/>
          <w:szCs w:val="16"/>
        </w:rPr>
        <w:t>12 мая 1945 г. в одностороннем порядке были прекращены поставки по ленд-лизу. 12 июля 1945 г. армейская разведка США предупреждала: «Мы достигли предела в санкционировании советской экспансии», и делала вывод о необходимости всемерной поддержки Британской империи в Турции, Средиземноморье и других регионах (18513).</w:t>
      </w:r>
    </w:p>
    <w:p w14:paraId="29D25180" w14:textId="77777777" w:rsidR="00E74102" w:rsidRPr="00925F26" w:rsidRDefault="00E74102" w:rsidP="00925F26">
      <w:pPr>
        <w:jc w:val="both"/>
        <w:rPr>
          <w:color w:val="000000" w:themeColor="text1"/>
          <w:sz w:val="16"/>
          <w:szCs w:val="16"/>
        </w:rPr>
      </w:pPr>
    </w:p>
    <w:p w14:paraId="048D74AB" w14:textId="77777777" w:rsidR="00E74102" w:rsidRPr="00925F26" w:rsidRDefault="00E74102" w:rsidP="00925F26">
      <w:pPr>
        <w:jc w:val="both"/>
        <w:rPr>
          <w:color w:val="000000" w:themeColor="text1"/>
          <w:sz w:val="16"/>
          <w:szCs w:val="16"/>
        </w:rPr>
      </w:pPr>
      <w:r w:rsidRPr="00925F26">
        <w:rPr>
          <w:color w:val="000000" w:themeColor="text1"/>
          <w:sz w:val="16"/>
          <w:szCs w:val="16"/>
        </w:rPr>
        <w:t>12 мая 1945 с окончанием войны с Германией союзнические поставки, в том числе и продовольственные, были неожиданно приостановлены до решения вопроса о вступлении Советского Союза в войну с Японией. По словам нового президента Г. Трумэна, он подписал это распоряжение со слов советников, не прочитав его. Поспешные действия президента вызвали бурю возмущения с советской стороны. И хотя через двое суток пароходы были вновь отправлены отлаженными маршрутами, в Москву срочно вынужден был вылететь Г. Гопкинс для улаживания инцидента. В ходе его бесед со Сталиным он не только получил подтверждение вступлению Советского Союза в войну на Дальнем Востоке, но и информацию о времени ее начала. Гопкинс заверил И. В. Сталина в том, что США также намерены выполнить свои обязательства по всем заявкам СССР. Правда, с этого времени большая часть грузов будет направляться в порты Дальнего Востока и по программе "Майлпоуст", заменившей программы по Протоколам.</w:t>
      </w:r>
    </w:p>
    <w:p w14:paraId="41C17D71" w14:textId="77777777" w:rsidR="00E74102" w:rsidRPr="00925F26" w:rsidRDefault="00E74102" w:rsidP="00925F26">
      <w:pPr>
        <w:jc w:val="both"/>
        <w:rPr>
          <w:color w:val="000000" w:themeColor="text1"/>
          <w:sz w:val="16"/>
          <w:szCs w:val="16"/>
        </w:rPr>
      </w:pPr>
    </w:p>
    <w:p w14:paraId="36F6302B" w14:textId="77777777" w:rsidR="000C795D" w:rsidRPr="00925F26" w:rsidRDefault="000C795D" w:rsidP="00925F26">
      <w:pPr>
        <w:jc w:val="both"/>
        <w:rPr>
          <w:color w:val="000000" w:themeColor="text1"/>
          <w:sz w:val="16"/>
          <w:szCs w:val="16"/>
        </w:rPr>
      </w:pPr>
      <w:r w:rsidRPr="00925F26">
        <w:rPr>
          <w:color w:val="000000" w:themeColor="text1"/>
          <w:sz w:val="16"/>
          <w:szCs w:val="16"/>
        </w:rPr>
        <w:t>12 мая в 1945 году У.Черчилль в послании Г.Трумэну предлагал заставить Советское правительство вывести войска из Центральной и Южной Европы в пределы границ СССР в течение 90 дней (14889).</w:t>
      </w:r>
    </w:p>
    <w:p w14:paraId="1DA2AC7A" w14:textId="77777777" w:rsidR="000C795D" w:rsidRPr="00925F26" w:rsidRDefault="000C795D" w:rsidP="00925F26">
      <w:pPr>
        <w:jc w:val="both"/>
        <w:rPr>
          <w:color w:val="000000" w:themeColor="text1"/>
          <w:sz w:val="16"/>
          <w:szCs w:val="16"/>
        </w:rPr>
      </w:pPr>
    </w:p>
    <w:p w14:paraId="2B0BC1E6" w14:textId="0682967A" w:rsidR="009A3EFF" w:rsidRPr="00925F26" w:rsidRDefault="009A3EFF"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755B404A" w14:textId="77777777" w:rsidR="009A3EFF" w:rsidRPr="00925F26" w:rsidRDefault="009A3EFF" w:rsidP="00925F26">
      <w:pPr>
        <w:autoSpaceDE w:val="0"/>
        <w:autoSpaceDN w:val="0"/>
        <w:adjustRightInd w:val="0"/>
        <w:jc w:val="both"/>
        <w:rPr>
          <w:i/>
          <w:iCs/>
          <w:color w:val="000000" w:themeColor="text1"/>
          <w:sz w:val="16"/>
          <w:szCs w:val="16"/>
        </w:rPr>
      </w:pPr>
    </w:p>
    <w:p w14:paraId="5AD388B5" w14:textId="77777777" w:rsidR="009A3EFF" w:rsidRPr="00925F26" w:rsidRDefault="009A3EFF" w:rsidP="00925F26">
      <w:pPr>
        <w:jc w:val="both"/>
        <w:rPr>
          <w:color w:val="000000" w:themeColor="text1"/>
          <w:sz w:val="16"/>
          <w:szCs w:val="16"/>
        </w:rPr>
      </w:pPr>
      <w:r w:rsidRPr="00925F26">
        <w:rPr>
          <w:color w:val="000000" w:themeColor="text1"/>
          <w:sz w:val="16"/>
          <w:szCs w:val="16"/>
        </w:rPr>
        <w:t>12 мая 1945 камикадзе поражает линкор USS New Mexico на якорной стоянке Хагуши, Окинава (20371).</w:t>
      </w:r>
    </w:p>
    <w:p w14:paraId="00305F0D" w14:textId="77777777" w:rsidR="009A3EFF" w:rsidRPr="00925F26" w:rsidRDefault="009A3EFF" w:rsidP="00925F26">
      <w:pPr>
        <w:jc w:val="both"/>
        <w:rPr>
          <w:color w:val="000000" w:themeColor="text1"/>
          <w:sz w:val="16"/>
          <w:szCs w:val="16"/>
        </w:rPr>
      </w:pPr>
    </w:p>
    <w:p w14:paraId="5ABB1A49" w14:textId="77777777" w:rsidR="009A3EFF" w:rsidRPr="00925F26" w:rsidRDefault="009A3EFF" w:rsidP="00925F26">
      <w:pPr>
        <w:jc w:val="both"/>
        <w:rPr>
          <w:color w:val="000000" w:themeColor="text1"/>
          <w:sz w:val="16"/>
          <w:szCs w:val="16"/>
        </w:rPr>
      </w:pPr>
      <w:r w:rsidRPr="00925F26">
        <w:rPr>
          <w:color w:val="000000" w:themeColor="text1"/>
          <w:sz w:val="16"/>
          <w:szCs w:val="16"/>
        </w:rPr>
        <w:t>12–13 мая 1945 самолеты-носители оперативной группы 58 наносят удары по целям на Кюсю и Сикоку (20371).</w:t>
      </w:r>
    </w:p>
    <w:p w14:paraId="56EC54EF" w14:textId="77777777" w:rsidR="009A3EFF" w:rsidRPr="00925F26" w:rsidRDefault="009A3EFF" w:rsidP="00925F26">
      <w:pPr>
        <w:jc w:val="both"/>
        <w:rPr>
          <w:color w:val="000000" w:themeColor="text1"/>
          <w:sz w:val="16"/>
          <w:szCs w:val="16"/>
        </w:rPr>
      </w:pPr>
    </w:p>
    <w:p w14:paraId="04BF8968" w14:textId="7D1A4F25"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3072064" w14:textId="77777777" w:rsidR="00665165" w:rsidRPr="00925F26" w:rsidRDefault="00665165" w:rsidP="00925F26">
      <w:pPr>
        <w:autoSpaceDE w:val="0"/>
        <w:autoSpaceDN w:val="0"/>
        <w:adjustRightInd w:val="0"/>
        <w:jc w:val="both"/>
        <w:rPr>
          <w:iCs/>
          <w:color w:val="000000" w:themeColor="text1"/>
          <w:sz w:val="16"/>
          <w:szCs w:val="16"/>
        </w:rPr>
      </w:pPr>
    </w:p>
    <w:p w14:paraId="03726C5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мая 1945 в полете И-250 с ВРД на 6700 достигли скорости 809 км/час и потом повторили 19 мая (6471, 7).</w:t>
      </w:r>
    </w:p>
    <w:p w14:paraId="57B3923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7F17B12" w14:textId="77777777" w:rsidR="004146AC" w:rsidRPr="00925F26" w:rsidRDefault="004146AC" w:rsidP="00925F26">
      <w:pPr>
        <w:jc w:val="both"/>
        <w:rPr>
          <w:color w:val="000000" w:themeColor="text1"/>
          <w:sz w:val="16"/>
          <w:szCs w:val="16"/>
        </w:rPr>
      </w:pPr>
      <w:r w:rsidRPr="00925F26">
        <w:rPr>
          <w:color w:val="000000" w:themeColor="text1"/>
          <w:sz w:val="16"/>
          <w:szCs w:val="16"/>
        </w:rPr>
        <w:t>13 мая 1945 г. в полете на определение мак</w:t>
      </w:r>
      <w:r w:rsidRPr="00925F26">
        <w:rPr>
          <w:color w:val="000000" w:themeColor="text1"/>
          <w:sz w:val="16"/>
          <w:szCs w:val="16"/>
        </w:rPr>
        <w:softHyphen/>
        <w:t>симальной скорости с работающим ВРДК на И-250 на высоте 6700 метров была достигнута истинная скорость 809 км/ч. Это, безус</w:t>
      </w:r>
      <w:r w:rsidRPr="00925F26">
        <w:rPr>
          <w:color w:val="000000" w:themeColor="text1"/>
          <w:sz w:val="16"/>
          <w:szCs w:val="16"/>
        </w:rPr>
        <w:softHyphen/>
        <w:t>ловно, стало большим достижением, но радость создателей машины омрачали все новые и новые дефекты машины, особен</w:t>
      </w:r>
      <w:r w:rsidRPr="00925F26">
        <w:rPr>
          <w:color w:val="000000" w:themeColor="text1"/>
          <w:sz w:val="16"/>
          <w:szCs w:val="16"/>
        </w:rPr>
        <w:softHyphen/>
        <w:t>но ее силовой установки (23462).</w:t>
      </w:r>
    </w:p>
    <w:p w14:paraId="060B68B7" w14:textId="77777777" w:rsidR="004146AC" w:rsidRPr="00925F26" w:rsidRDefault="004146AC" w:rsidP="00925F26">
      <w:pPr>
        <w:jc w:val="both"/>
        <w:rPr>
          <w:color w:val="000000" w:themeColor="text1"/>
          <w:sz w:val="16"/>
          <w:szCs w:val="16"/>
        </w:rPr>
      </w:pPr>
    </w:p>
    <w:p w14:paraId="33B054FE" w14:textId="77777777" w:rsidR="009D2948" w:rsidRPr="001A0BAA" w:rsidRDefault="009D2948" w:rsidP="009D2948">
      <w:pPr>
        <w:widowControl w:val="0"/>
        <w:tabs>
          <w:tab w:val="left" w:pos="350"/>
        </w:tabs>
        <w:jc w:val="both"/>
        <w:rPr>
          <w:color w:val="0070C0"/>
          <w:sz w:val="16"/>
          <w:szCs w:val="16"/>
        </w:rPr>
      </w:pPr>
      <w:r w:rsidRPr="001A0BAA">
        <w:rPr>
          <w:color w:val="0070C0"/>
          <w:sz w:val="16"/>
          <w:szCs w:val="16"/>
        </w:rPr>
        <w:t>13 мая 1945 г. в очередном полёте И-250 с включённым ВРДК на высоте 6700 м была достигнута максимальная скорость 809 км/ч, близкая к желаемой по заданию ГКО (24925).</w:t>
      </w:r>
    </w:p>
    <w:p w14:paraId="0EB950F8" w14:textId="77777777" w:rsidR="009D2948" w:rsidRPr="001A0BAA" w:rsidRDefault="009D2948" w:rsidP="009D2948">
      <w:pPr>
        <w:jc w:val="both"/>
        <w:rPr>
          <w:color w:val="0070C0"/>
          <w:sz w:val="16"/>
          <w:szCs w:val="16"/>
        </w:rPr>
      </w:pPr>
    </w:p>
    <w:p w14:paraId="1EFDE3F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D1F17E2" w14:textId="77777777" w:rsidR="00665165" w:rsidRPr="00925F26" w:rsidRDefault="00665165" w:rsidP="00925F26">
      <w:pPr>
        <w:autoSpaceDE w:val="0"/>
        <w:autoSpaceDN w:val="0"/>
        <w:adjustRightInd w:val="0"/>
        <w:jc w:val="both"/>
        <w:rPr>
          <w:iCs/>
          <w:color w:val="000000" w:themeColor="text1"/>
          <w:sz w:val="16"/>
          <w:szCs w:val="16"/>
        </w:rPr>
      </w:pPr>
    </w:p>
    <w:p w14:paraId="7CE3DF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мая 1945 г. была подготовлена СПРАВКА-ДОКЛАД НАЧАЛЬНИКА УСА ГБТУ КА ПО РЕЗУЛЬТАТАМ СРАВНИТЕЛЬНЫХ СТРЕЛЬБ ПО БРОНЕПЛИТАМ ОТЕЧЕСТВЕННЫМИ, АМЕРИКАНСКИМИ И НЕМЕЦКИМИ БРОНЕБОЙНЫМИ СНАРЯДАМИ</w:t>
      </w:r>
    </w:p>
    <w:p w14:paraId="4D00B2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Стрельбы на приведенных скоростях проводились на Главном артиллерийском полигоне ГАУ КА и Софринском артиллерийском полигоне НКБ.</w:t>
      </w:r>
    </w:p>
    <w:p w14:paraId="2EBC2E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Расчетные дальности сквозного пробития, полученные из приведенных скоростей, будут прове</w:t>
      </w:r>
      <w:r w:rsidRPr="00925F26">
        <w:rPr>
          <w:color w:val="000000" w:themeColor="text1"/>
          <w:sz w:val="16"/>
          <w:szCs w:val="16"/>
        </w:rPr>
        <w:softHyphen/>
        <w:t>рены стрельбой на действительных дальностях по танкам Тигр Н и Пантера на научно-испытатель</w:t>
      </w:r>
      <w:r w:rsidRPr="00925F26">
        <w:rPr>
          <w:color w:val="000000" w:themeColor="text1"/>
          <w:sz w:val="16"/>
          <w:szCs w:val="16"/>
        </w:rPr>
        <w:softHyphen/>
        <w:t>ном полигоне ГБТУ КА.</w:t>
      </w:r>
    </w:p>
    <w:p w14:paraId="044886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Результаты испытания снарядов на приведенных скоростях по бронеплитам (см. табицу).</w:t>
      </w:r>
    </w:p>
    <w:p w14:paraId="6D6B2F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1. 76-мм бронебойные снаряды по плитам 50 мм и 75 мм.</w:t>
      </w:r>
    </w:p>
    <w:p w14:paraId="44173D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Отечественный опытный снаряд стали «60X30» показал несомненные преимущества по сравне</w:t>
      </w:r>
      <w:r w:rsidRPr="00925F26">
        <w:rPr>
          <w:color w:val="000000" w:themeColor="text1"/>
          <w:sz w:val="16"/>
          <w:szCs w:val="16"/>
        </w:rPr>
        <w:softHyphen/>
        <w:t>нию со штатным и 75-мм американским снарядом.</w:t>
      </w:r>
    </w:p>
    <w:p w14:paraId="4AA2DF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2. 76-мм бронебойные снаряды по плитам 60 мм, 75 мм и 90 мм при начальных скоростях 800 м/с.</w:t>
      </w:r>
    </w:p>
    <w:p w14:paraId="65534E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Отечественный опытный снаряд стали «60X30» показал несомненные преимущества по сравне</w:t>
      </w:r>
      <w:r w:rsidRPr="00925F26">
        <w:rPr>
          <w:color w:val="000000" w:themeColor="text1"/>
          <w:sz w:val="16"/>
          <w:szCs w:val="16"/>
        </w:rPr>
        <w:softHyphen/>
        <w:t>нию со штатным 76-мм снарядом при углах 0°, равные при 30° и, уступая штатному, при 50°.</w:t>
      </w:r>
    </w:p>
    <w:p w14:paraId="480717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Последнее объясняется неправильной термической обработкой опытного снаряда.</w:t>
      </w:r>
    </w:p>
    <w:p w14:paraId="530B9E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Американский и немецкий снаряды при начальных скоростях 800 м/с имеют преимущество перед отечественным опытным снарядом.</w:t>
      </w:r>
    </w:p>
    <w:p w14:paraId="7FD2DD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3. 85-мм бронебойные отечественные и 88-мм немецкий бронебойный снаряды по плитам 75 мм, 80 мм и 100 мм.</w:t>
      </w:r>
    </w:p>
    <w:p w14:paraId="577F36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85-мм бронебойный опытный снаряд стали «60X30» имеет несомненные и отчетливые преиму</w:t>
      </w:r>
      <w:r w:rsidRPr="00925F26">
        <w:rPr>
          <w:color w:val="000000" w:themeColor="text1"/>
          <w:sz w:val="16"/>
          <w:szCs w:val="16"/>
        </w:rPr>
        <w:softHyphen/>
        <w:t>щества по сравнению со штатным и другим опытным, стали «35ХГС», снарядом.</w:t>
      </w:r>
    </w:p>
    <w:p w14:paraId="46621F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Превосходство по расчетной дальности 88-мм немецкого снаряда зависит в основном от его высокой начальной скорости.</w:t>
      </w:r>
    </w:p>
    <w:p w14:paraId="3D5043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Некоторое превосходство опытного, стали «35ХГС», снаряда по сравнению со снарядом стали «60X30» при углах 30° и 50° объясняется неудовлетворительной термической обработкой снарядов.</w:t>
      </w:r>
    </w:p>
    <w:p w14:paraId="4B47AB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4. 100-мм бронебойные отечественные и 88-мм немецкий бронебойный снаряды по плитам 90 мм, 100 мм и 130 мм.</w:t>
      </w:r>
    </w:p>
    <w:p w14:paraId="17792B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проводились при углах 30° и 50°.</w:t>
      </w:r>
    </w:p>
    <w:p w14:paraId="1E8770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100-мм тупоголовый снаряд с баллистическим наконечником показал несомненные преимущес</w:t>
      </w:r>
      <w:r w:rsidRPr="00925F26">
        <w:rPr>
          <w:color w:val="000000" w:themeColor="text1"/>
          <w:sz w:val="16"/>
          <w:szCs w:val="16"/>
        </w:rPr>
        <w:softHyphen/>
        <w:t>тва перед штатным остроголовым снарядом.</w:t>
      </w:r>
    </w:p>
    <w:p w14:paraId="4CF1AB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100-мм снаряды опытной стали не имеют преимуществ перед тупоголовым снарядом.</w:t>
      </w:r>
    </w:p>
    <w:p w14:paraId="6E405D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Некоторое превосходство немецкого снаряда относится за счет его высокой начальной скорости.</w:t>
      </w:r>
    </w:p>
    <w:p w14:paraId="365858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5. 122-мм бронебойные снарялы по плитам 90 мм и 130 мм.</w:t>
      </w:r>
    </w:p>
    <w:p w14:paraId="7648F0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испытании штатного и опытных снарядов несомненное преимущество имеет перед остро</w:t>
      </w:r>
      <w:r w:rsidRPr="00925F26">
        <w:rPr>
          <w:color w:val="000000" w:themeColor="text1"/>
          <w:sz w:val="16"/>
          <w:szCs w:val="16"/>
        </w:rPr>
        <w:softHyphen/>
        <w:t>головым снарядом тупоголовый снаряд.</w:t>
      </w:r>
    </w:p>
    <w:p w14:paraId="67303D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Выводы:</w:t>
      </w:r>
    </w:p>
    <w:p w14:paraId="40B1AE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76-мм бронебойный снаряд — опытный, стали «60X30».</w:t>
      </w:r>
    </w:p>
    <w:p w14:paraId="7B7E7D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85-мм бронебойный снаряд — опытный, стали «60X30».</w:t>
      </w:r>
    </w:p>
    <w:p w14:paraId="3EB087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Имеют несомненные преимущества перед соответствующими отечественными штатными сна</w:t>
      </w:r>
      <w:r w:rsidRPr="00925F26">
        <w:rPr>
          <w:color w:val="000000" w:themeColor="text1"/>
          <w:sz w:val="16"/>
          <w:szCs w:val="16"/>
        </w:rPr>
        <w:softHyphen/>
        <w:t>рядами, и сравниваясь, а в некоторых случаях превосходя американский бронебойный снаряд.</w:t>
      </w:r>
    </w:p>
    <w:p w14:paraId="15431E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более тщательной и правильной термической обработке опытной стали «60X30» снаряда он позволит повысить дальность сквозного пробития в два-три раза по сравнению со штатным снарядом.</w:t>
      </w:r>
    </w:p>
    <w:p w14:paraId="4AFB3D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100-мм и 122-мм тупоголовые снаряды превосходят соответственные им остроголовые сна</w:t>
      </w:r>
      <w:r w:rsidRPr="00925F26">
        <w:rPr>
          <w:color w:val="000000" w:themeColor="text1"/>
          <w:sz w:val="16"/>
          <w:szCs w:val="16"/>
        </w:rPr>
        <w:softHyphen/>
        <w:t>ряды и, не ожидая проведения стрельб на действительных дальностях, приняты к производству и снабжению Красной Армии.</w:t>
      </w:r>
    </w:p>
    <w:p w14:paraId="237787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100-мм и 122-мм снаряды опытных сталей требуют дальнейшей доработки.</w:t>
      </w:r>
    </w:p>
    <w:p w14:paraId="3B89AC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Готовность научно-испытательного полигона ГБТУ КА к проведению стрельб на действительных дальностях.</w:t>
      </w:r>
    </w:p>
    <w:p w14:paraId="2BB34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Схема мишенной обстановки при сем представляется.</w:t>
      </w:r>
    </w:p>
    <w:p w14:paraId="181EA5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стрельб намечено в следующей последовательности:</w:t>
      </w:r>
    </w:p>
    <w:p w14:paraId="6AC6B5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88-мм немецкий, 100-мм штатный, 100-мм опытный, 122-мм штатный, 122-мм опытный — по Пантере, дальность — 2 км.</w:t>
      </w:r>
    </w:p>
    <w:p w14:paraId="6425B0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122-мм штатный, 122-мм опытный, 100-мм штатный, 100-мм опытный и 88-мм немецкий — по другой Пантере, дальность — 2 км.</w:t>
      </w:r>
    </w:p>
    <w:p w14:paraId="14FA79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При получении сквозных пробитий на дальности 2 км переходят пробивающими снарядами на третью Пантеру на той же дальности для набора счетных выстрелов.</w:t>
      </w:r>
    </w:p>
    <w:p w14:paraId="681C0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В случае недостатка дальности для получения предела сквозного пробития переходят на Пантеры на дальности 2,5 км.</w:t>
      </w:r>
    </w:p>
    <w:p w14:paraId="16E9FD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85-мм снаряды отстреливаются по Тигру на дальности 2 км.</w:t>
      </w:r>
    </w:p>
    <w:p w14:paraId="29A986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При недостатке дальности для получения предела сквозного пробития переходят лучшими вариантами на Тигр на дальности 2,5 км.</w:t>
      </w:r>
    </w:p>
    <w:p w14:paraId="6793A2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76-мм зенитные снаряды отстреливаются с основной позиции по Тигру с дальности 2 км.</w:t>
      </w:r>
    </w:p>
    <w:p w14:paraId="25C377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76-мм дивизионные снаряды отстреливаются с позиции 1500 м (см. схему) по дальнему Тигру с дальности 1 км.</w:t>
      </w:r>
    </w:p>
    <w:p w14:paraId="56BD90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стрельб осложняется недостатком объектов, т.к. по программе, утвержденной НКБ, НКЧМ, Госпланом и ГАУ, не хватает на полигоне двух «Тигров Н» и одного «Королевского тигра».</w:t>
      </w:r>
    </w:p>
    <w:p w14:paraId="416C50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отгрузке их с фронта отказано ввиду занятости ж.д. транспорта другими перевозками.</w:t>
      </w:r>
    </w:p>
    <w:p w14:paraId="734F5D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w:t>
      </w:r>
    </w:p>
    <w:p w14:paraId="46BFDE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Таблицы расчетных дальностей сквозного пробития.</w:t>
      </w:r>
    </w:p>
    <w:p w14:paraId="49CAFF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Схема мишенной обстановки.</w:t>
      </w:r>
    </w:p>
    <w:p w14:paraId="0BAA58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Календарный план по испытанию снарядов на НИБТ полигоне.</w:t>
      </w:r>
    </w:p>
    <w:p w14:paraId="210953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УСА ГБТУ КА генерал-майор инженерно-танковой службы Алымов</w:t>
      </w:r>
    </w:p>
    <w:p w14:paraId="7DD994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11369. Д. 510. Л. 27-29. Подлинник (11420).</w:t>
      </w:r>
    </w:p>
    <w:p w14:paraId="1F18B8B6" w14:textId="77777777" w:rsidR="00665165" w:rsidRPr="00925F26" w:rsidRDefault="00665165" w:rsidP="00925F26">
      <w:pPr>
        <w:autoSpaceDE w:val="0"/>
        <w:autoSpaceDN w:val="0"/>
        <w:adjustRightInd w:val="0"/>
        <w:jc w:val="both"/>
        <w:rPr>
          <w:color w:val="000000" w:themeColor="text1"/>
          <w:sz w:val="16"/>
          <w:szCs w:val="16"/>
        </w:rPr>
      </w:pPr>
    </w:p>
    <w:p w14:paraId="1272DBC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мая 1945 вышло Распоряжение ГКО № 8553 [О запрещении отключать от электросетей в 1945 г. хлебофуражные базы ГУГМР.] (7339, 63).</w:t>
      </w:r>
    </w:p>
    <w:p w14:paraId="5B66744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488965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мая 1945 вышло Распоряжение ГКО № 8554 [О выделении угля НКПС из госрезерва.] (7339, 64).</w:t>
      </w:r>
    </w:p>
    <w:p w14:paraId="06FCAF2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6D7F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мая 1945 вышло Постановление ГКО № 8555 О т.т. Леонове. РГАНИР, Фонд ГКО, д. С. и Яковлеве Ф.П. РГАНИР, Фонд ГКО, д. 415, лл. 65 (11012).</w:t>
      </w:r>
    </w:p>
    <w:p w14:paraId="47372A00" w14:textId="77777777" w:rsidR="00665165" w:rsidRPr="00925F26" w:rsidRDefault="00665165" w:rsidP="00925F26">
      <w:pPr>
        <w:autoSpaceDE w:val="0"/>
        <w:autoSpaceDN w:val="0"/>
        <w:adjustRightInd w:val="0"/>
        <w:jc w:val="both"/>
        <w:rPr>
          <w:color w:val="000000" w:themeColor="text1"/>
          <w:sz w:val="16"/>
          <w:szCs w:val="16"/>
        </w:rPr>
      </w:pPr>
    </w:p>
    <w:p w14:paraId="2A53151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05D246A" w14:textId="77777777" w:rsidR="00665165" w:rsidRPr="00925F26" w:rsidRDefault="00665165" w:rsidP="00925F26">
      <w:pPr>
        <w:autoSpaceDE w:val="0"/>
        <w:autoSpaceDN w:val="0"/>
        <w:adjustRightInd w:val="0"/>
        <w:jc w:val="both"/>
        <w:rPr>
          <w:iCs/>
          <w:color w:val="000000" w:themeColor="text1"/>
          <w:sz w:val="16"/>
          <w:szCs w:val="16"/>
        </w:rPr>
      </w:pPr>
    </w:p>
    <w:p w14:paraId="204AE986" w14:textId="77777777" w:rsidR="000C795D" w:rsidRPr="00925F26" w:rsidRDefault="000C795D" w:rsidP="00925F26">
      <w:pPr>
        <w:jc w:val="both"/>
        <w:rPr>
          <w:color w:val="000000" w:themeColor="text1"/>
          <w:sz w:val="16"/>
          <w:szCs w:val="16"/>
        </w:rPr>
      </w:pPr>
      <w:r w:rsidRPr="00925F26">
        <w:rPr>
          <w:color w:val="000000" w:themeColor="text1"/>
          <w:sz w:val="16"/>
          <w:szCs w:val="16"/>
        </w:rPr>
        <w:t>13 мая в 1945 году оперативная сводка Совинформбюро:</w:t>
      </w:r>
    </w:p>
    <w:p w14:paraId="74ED8C8C" w14:textId="77777777" w:rsidR="000C795D" w:rsidRPr="00925F26" w:rsidRDefault="000C795D" w:rsidP="00925F26">
      <w:pPr>
        <w:jc w:val="both"/>
        <w:rPr>
          <w:color w:val="000000" w:themeColor="text1"/>
          <w:sz w:val="16"/>
          <w:szCs w:val="16"/>
        </w:rPr>
      </w:pPr>
      <w:r w:rsidRPr="00925F26">
        <w:rPr>
          <w:color w:val="000000" w:themeColor="text1"/>
          <w:sz w:val="16"/>
          <w:szCs w:val="16"/>
        </w:rPr>
        <w:t>«В течение 13 мая войска Ленинградского фронта продолжали прием капитулировавших соединений и частей Курляндской группы немецких войск. С 9 по 13 мая сдалось в плен 181.032 солдата и унтер-офицера, 8.038 офицеров т 42 генерала. В числе пленных генералов, кроме ранее объявленных, начальник инженерных войск Курляндской группы генерал-лейтенант Медем, начальник связи Курляндской группы армий генерал-майор Негенданг, начальник штаба 16 армии генерал-майор Герсдорф, начальник штаба 18 армии генерал-майор Мерк, начальник артиллерии 16 армии генерал-майор Бауермайстер, начальник штаба артиллерии 18 армии генерал-лейтенант Фишер, комендант Курляндского УР генерал-лейтенант Ван-Гиннель, начальник береговой обороны города Либава адмирал Эрневальд, командир 1 воздушного флота генерал-лейтенант Глюкбай, комендант береговой обороны генерал-майор Вертер, комендант укреплённого района города Сабиле генерал-майор Рупрехт, начальник связи 1 воздушного флота генерал-лейтенант Заттлер, главный ветеринар 16 армии генерал ветеринарной службы Бетке, генерал-майор Павель. За это же время приняты и учтены следующие трофеи: самолётов— 136, танков и самоходных орудий —325, полевых орудий—1.548, миномётов — 557, пулемётов — 4.363, винтовок и автоматов — 57.646, автомашин — 5.825, тракторов и тягачей —240, бронетранспортеров - 224, радиостанций — 310, подвод с военными грузами — 3.442, лошадей — 16.543.</w:t>
      </w:r>
    </w:p>
    <w:p w14:paraId="5835D304"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2-го Белорусского фронта в районе устья реки Вислы восточнее Данцига, на косе Путцигер-Нерунг северо-восточнее Гдыни и на острове Борн-Хольм заканчивали прием капитулировавших немецких войск. С 9 по 13 мая сдалось в плен 74.939 немецких солдат и офицеров и 12 генералов. За это же время приняты и учтены следующие трофеи: танков и самоходных орудий- 10, полевых орудий - 498, минометов - 46, пулеметов - 3.400, винтовок и автоматов - 28.000, бронетранспортеров - 13, автомашин - 2.000, радиостанций - 210, лошадей - 1.500, катеров и барж - 23.</w:t>
      </w:r>
    </w:p>
    <w:p w14:paraId="23ED198B" w14:textId="77777777" w:rsidR="000C795D" w:rsidRPr="00925F26" w:rsidRDefault="000C795D" w:rsidP="00925F26">
      <w:pPr>
        <w:jc w:val="both"/>
        <w:rPr>
          <w:color w:val="000000" w:themeColor="text1"/>
          <w:sz w:val="16"/>
          <w:szCs w:val="16"/>
        </w:rPr>
      </w:pPr>
      <w:r w:rsidRPr="00925F26">
        <w:rPr>
          <w:color w:val="000000" w:themeColor="text1"/>
          <w:sz w:val="16"/>
          <w:szCs w:val="16"/>
        </w:rPr>
        <w:t>В Чехословакии и Австрии войска 1-го, 4-го, 2-го и 3-го Украинских фронтов очищали занятые районы от разрозненных немецких отрядов из группы войск генерал-фельмаршала Шернера и генерал-полковника Велера.</w:t>
      </w:r>
    </w:p>
    <w:p w14:paraId="59F9C236"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1-го Украинского фронта, по уточнённым данным, с 9 по 12 мая взяли в плен 213.355 беспорядочно сдавшихся немецких солдат и офицеров и 14 генералов. В числе пленных генералов, кроме ранее объявленных, командир 40 танкового корпуса генерал танковых войск Хенрици, командир учебного корпуса генерал артиллерии Мозер, командир 59 армейского корпуса генерал-лейтенант Зилер, комендант тыла 17 армии генерал-лейтенант Гешен, командир 193 резервной дивизии генерал-майор Эргарт фон Гейзо, командир 304 пехотной дивизии генерал-майор Арнинг, командир 371 пехотной дивизии генерал-майор Шернсберг. За это же время войска фронта захватили следующие трофеи: самолётов — 780, танков и самоходных орудий — 649, полевых орудий — 3.100, миномётов —1.400, пулемётов — 6.700, бронетранспортёров— 480, винтовок и автоматов—120.000, автомашин — свыше 30.000, тракторов и тягачей — 954.</w:t>
      </w:r>
    </w:p>
    <w:p w14:paraId="5D9C6DDA"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4-го Украинского фронта с 9 по 13 мая взяли в плен 71.738 беспорядочно сдавшихся немецких солдат и офицеров и захватили следующие трофеи: танков и самоходных орудий — 127, полевых орудий — 900, миномётов — 510, пулемётов— 1.700, винтовок и автоматов—15.300, автомашин — 1.480, радиостанций — 100, лошадей — 2.000, повозок с военным имуществом — 5.000.</w:t>
      </w:r>
    </w:p>
    <w:p w14:paraId="552F3509"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2-го Украинского фронта с 9 по 13 мая взяли в плен 369.459 беспорядочно сдавшихся немецких солдат и офицеров и 16 генералов. В числе пленных генералов, кроме ранее объявленных, командир 3 танковой дивизии СС «Мёртвая голова» генерал-майор Бекер, командир 540 пехотной дивизии генерал-майор Готмальн, командир 602 пехотной дивизии генерал-лейтенант Шартов, командир 603 пехотной дивизии генерал-лейтенант Моллер, командир полицейской дивизии генерал-майор полиции Бааль, комендант города БРНО генерал-лейтенант Лидерманн, начальник штаба строительного участка генерал-майор Ангельштук, командующий артиллерией 21 танкового корпуса генерал-майор Камченкельн, начальник штаба строительного участка генерал-майор Готшильк. За это же время войска фронта захватили следующие трофеи: самолётов — 58, танков и самоходных орудий — 596, полевых орудий — 1.348, пулемётов—1.115, винтовок и автоматов — 40.570, бронетранспортёров — 422, автомашин— 16.154, повозок с военными грузами — 4.615, лошадей—12.000.</w:t>
      </w:r>
    </w:p>
    <w:p w14:paraId="0F12893E" w14:textId="77777777" w:rsidR="000C795D" w:rsidRPr="00925F26" w:rsidRDefault="000C795D" w:rsidP="00925F26">
      <w:pPr>
        <w:jc w:val="both"/>
        <w:rPr>
          <w:color w:val="000000" w:themeColor="text1"/>
          <w:sz w:val="16"/>
          <w:szCs w:val="16"/>
        </w:rPr>
      </w:pPr>
      <w:r w:rsidRPr="00925F26">
        <w:rPr>
          <w:color w:val="000000" w:themeColor="text1"/>
          <w:sz w:val="16"/>
          <w:szCs w:val="16"/>
        </w:rPr>
        <w:t>Войска 3-го Украинского фронта с 9 по 13 мая взяли в плен 126.070 беспорядочно сдавшихся немецких солдат и офицеров и 5 генералов. За это же время войска фронта захватили следующие трофеи: самолётов — 284, танков и самоходных орудий— 235, полевых орудий—1.224, миномётов — 530, пулемётов—12.473, винтовок и автоматов — 36.268, бронетранспортёров — 185, автомашин — 4.296, подвод с военными грузами — 5.355, лошадей — 8.914.</w:t>
      </w:r>
    </w:p>
    <w:p w14:paraId="5527C35F" w14:textId="77777777" w:rsidR="000C795D" w:rsidRPr="00925F26" w:rsidRDefault="000C795D" w:rsidP="00925F26">
      <w:pPr>
        <w:jc w:val="both"/>
        <w:rPr>
          <w:color w:val="000000" w:themeColor="text1"/>
          <w:sz w:val="16"/>
          <w:szCs w:val="16"/>
        </w:rPr>
      </w:pPr>
      <w:r w:rsidRPr="00925F26">
        <w:rPr>
          <w:color w:val="000000" w:themeColor="text1"/>
          <w:sz w:val="16"/>
          <w:szCs w:val="16"/>
        </w:rPr>
        <w:lastRenderedPageBreak/>
        <w:t>Всего, таким образом, с 9 по 13 мая на всех фронтах взято в плен более 1 миллиона 60 тысяч немецких солдат и офицеров и 91 генерал, считая и группу немецких солдат и офицеров, окончивших сдачу 11 мая войскам 3-го Белорусского фронта.» (14890).</w:t>
      </w:r>
    </w:p>
    <w:p w14:paraId="717F0806" w14:textId="77777777" w:rsidR="000C795D" w:rsidRPr="00925F26" w:rsidRDefault="000C795D" w:rsidP="00925F26">
      <w:pPr>
        <w:jc w:val="both"/>
        <w:rPr>
          <w:color w:val="000000" w:themeColor="text1"/>
          <w:sz w:val="16"/>
          <w:szCs w:val="16"/>
        </w:rPr>
      </w:pPr>
    </w:p>
    <w:p w14:paraId="3163B9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мая 1945 года, уже после окончания войны, советские летчики совершили последний боевой вылет: самолеты 449-го полка бомбили части 6-й и 8-й немецких армий в Австрии (3457,111).</w:t>
      </w:r>
    </w:p>
    <w:p w14:paraId="59C99BC3" w14:textId="77777777" w:rsidR="00665165" w:rsidRPr="00925F26" w:rsidRDefault="00665165" w:rsidP="00925F26">
      <w:pPr>
        <w:autoSpaceDE w:val="0"/>
        <w:autoSpaceDN w:val="0"/>
        <w:adjustRightInd w:val="0"/>
        <w:jc w:val="both"/>
        <w:rPr>
          <w:color w:val="000000" w:themeColor="text1"/>
          <w:sz w:val="16"/>
          <w:szCs w:val="16"/>
        </w:rPr>
      </w:pPr>
    </w:p>
    <w:p w14:paraId="2669764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6EB9E52" w14:textId="77777777" w:rsidR="00665165" w:rsidRPr="00925F26" w:rsidRDefault="00665165" w:rsidP="00925F26">
      <w:pPr>
        <w:autoSpaceDE w:val="0"/>
        <w:autoSpaceDN w:val="0"/>
        <w:adjustRightInd w:val="0"/>
        <w:jc w:val="both"/>
        <w:rPr>
          <w:iCs/>
          <w:color w:val="000000" w:themeColor="text1"/>
          <w:sz w:val="16"/>
          <w:szCs w:val="16"/>
        </w:rPr>
      </w:pPr>
    </w:p>
    <w:p w14:paraId="082574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мая 1945 был арестован Кейтель (2248,7).</w:t>
      </w:r>
    </w:p>
    <w:p w14:paraId="1FF03BC3" w14:textId="77777777" w:rsidR="00665165" w:rsidRPr="00925F26" w:rsidRDefault="00665165" w:rsidP="00925F26">
      <w:pPr>
        <w:autoSpaceDE w:val="0"/>
        <w:autoSpaceDN w:val="0"/>
        <w:adjustRightInd w:val="0"/>
        <w:jc w:val="both"/>
        <w:rPr>
          <w:color w:val="000000" w:themeColor="text1"/>
          <w:sz w:val="16"/>
          <w:szCs w:val="16"/>
        </w:rPr>
      </w:pPr>
    </w:p>
    <w:p w14:paraId="5E316A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мая 1945 Европа праздновала победу (3481).</w:t>
      </w:r>
    </w:p>
    <w:p w14:paraId="28C50A5D" w14:textId="77777777" w:rsidR="00665165" w:rsidRPr="00925F26" w:rsidRDefault="00665165" w:rsidP="00925F26">
      <w:pPr>
        <w:autoSpaceDE w:val="0"/>
        <w:autoSpaceDN w:val="0"/>
        <w:adjustRightInd w:val="0"/>
        <w:jc w:val="both"/>
        <w:rPr>
          <w:color w:val="000000" w:themeColor="text1"/>
          <w:sz w:val="16"/>
          <w:szCs w:val="16"/>
        </w:rPr>
      </w:pPr>
    </w:p>
    <w:p w14:paraId="2A2B5CB7" w14:textId="77777777" w:rsidR="000C795D" w:rsidRPr="00925F26" w:rsidRDefault="000C795D" w:rsidP="00925F26">
      <w:pPr>
        <w:jc w:val="both"/>
        <w:rPr>
          <w:color w:val="000000" w:themeColor="text1"/>
          <w:sz w:val="16"/>
          <w:szCs w:val="16"/>
        </w:rPr>
      </w:pPr>
      <w:r w:rsidRPr="00925F26">
        <w:rPr>
          <w:color w:val="000000" w:themeColor="text1"/>
          <w:sz w:val="16"/>
          <w:szCs w:val="16"/>
        </w:rPr>
        <w:t>13 мая в 1945 году (13 - 24 мая) крупные операции войск НКВД в Польше по ликвидации вооруженных отрядов Армии Крайовой (14890).</w:t>
      </w:r>
    </w:p>
    <w:p w14:paraId="5C90A488" w14:textId="77777777" w:rsidR="000C795D" w:rsidRPr="00925F26" w:rsidRDefault="000C795D" w:rsidP="00925F26">
      <w:pPr>
        <w:jc w:val="both"/>
        <w:rPr>
          <w:color w:val="000000" w:themeColor="text1"/>
          <w:sz w:val="16"/>
          <w:szCs w:val="16"/>
        </w:rPr>
      </w:pPr>
    </w:p>
    <w:p w14:paraId="3404DD42" w14:textId="77777777" w:rsidR="000C795D" w:rsidRPr="00925F26" w:rsidRDefault="000C795D" w:rsidP="00925F26">
      <w:pPr>
        <w:jc w:val="both"/>
        <w:rPr>
          <w:color w:val="000000" w:themeColor="text1"/>
          <w:sz w:val="16"/>
          <w:szCs w:val="16"/>
        </w:rPr>
      </w:pPr>
      <w:r w:rsidRPr="00925F26">
        <w:rPr>
          <w:color w:val="000000" w:themeColor="text1"/>
          <w:sz w:val="16"/>
          <w:szCs w:val="16"/>
        </w:rPr>
        <w:t>13 мая в 1945 году вступление англо-американских войск на территорию Норвегии (14890).</w:t>
      </w:r>
    </w:p>
    <w:p w14:paraId="39A8FD60" w14:textId="77777777" w:rsidR="000C795D" w:rsidRPr="00925F26" w:rsidRDefault="000C795D" w:rsidP="00925F26">
      <w:pPr>
        <w:jc w:val="both"/>
        <w:rPr>
          <w:color w:val="000000" w:themeColor="text1"/>
          <w:sz w:val="16"/>
          <w:szCs w:val="16"/>
        </w:rPr>
      </w:pPr>
    </w:p>
    <w:p w14:paraId="230D21E5" w14:textId="77777777" w:rsidR="000C795D" w:rsidRPr="00925F26" w:rsidRDefault="000C795D" w:rsidP="00925F26">
      <w:pPr>
        <w:jc w:val="both"/>
        <w:rPr>
          <w:color w:val="000000" w:themeColor="text1"/>
          <w:sz w:val="16"/>
          <w:szCs w:val="16"/>
        </w:rPr>
      </w:pPr>
      <w:r w:rsidRPr="00925F26">
        <w:rPr>
          <w:color w:val="000000" w:themeColor="text1"/>
          <w:sz w:val="16"/>
          <w:szCs w:val="16"/>
        </w:rPr>
        <w:t>13 мая в 1945 году британские войска заняли Гуа (14890).</w:t>
      </w:r>
    </w:p>
    <w:p w14:paraId="49DA15BF" w14:textId="77777777" w:rsidR="000C795D" w:rsidRPr="00925F26" w:rsidRDefault="000C795D" w:rsidP="00925F26">
      <w:pPr>
        <w:jc w:val="both"/>
        <w:rPr>
          <w:color w:val="000000" w:themeColor="text1"/>
          <w:sz w:val="16"/>
          <w:szCs w:val="16"/>
        </w:rPr>
      </w:pPr>
    </w:p>
    <w:p w14:paraId="4E812C2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C86F5D5" w14:textId="77777777" w:rsidR="00665165" w:rsidRPr="00925F26" w:rsidRDefault="00665165" w:rsidP="00925F26">
      <w:pPr>
        <w:autoSpaceDE w:val="0"/>
        <w:autoSpaceDN w:val="0"/>
        <w:adjustRightInd w:val="0"/>
        <w:jc w:val="both"/>
        <w:rPr>
          <w:iCs/>
          <w:color w:val="000000" w:themeColor="text1"/>
          <w:sz w:val="16"/>
          <w:szCs w:val="16"/>
        </w:rPr>
      </w:pPr>
    </w:p>
    <w:p w14:paraId="7091D2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в НИИ ВВС на гос. испытания прибыл Ил-8 N 1 (на самом деле 2 - переделанный) (2104).</w:t>
      </w:r>
    </w:p>
    <w:p w14:paraId="253CE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F5689" w:rsidRPr="00925F26" w14:paraId="1F8DFB11" w14:textId="77777777">
        <w:tc>
          <w:tcPr>
            <w:tcW w:w="3652" w:type="dxa"/>
          </w:tcPr>
          <w:p w14:paraId="2DB11F51"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7F0B2B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Ил-8</w:t>
            </w:r>
          </w:p>
        </w:tc>
        <w:tc>
          <w:tcPr>
            <w:tcW w:w="4394" w:type="dxa"/>
          </w:tcPr>
          <w:p w14:paraId="6A8586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w:t>
            </w:r>
          </w:p>
        </w:tc>
      </w:tr>
      <w:tr w:rsidR="000F5689" w:rsidRPr="00925F26" w14:paraId="38517ADB" w14:textId="77777777">
        <w:tc>
          <w:tcPr>
            <w:tcW w:w="3652" w:type="dxa"/>
          </w:tcPr>
          <w:p w14:paraId="24E57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Максимальная скорость у земли </w:t>
            </w:r>
          </w:p>
        </w:tc>
        <w:tc>
          <w:tcPr>
            <w:tcW w:w="2410" w:type="dxa"/>
          </w:tcPr>
          <w:p w14:paraId="119925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461 </w:t>
            </w:r>
          </w:p>
        </w:tc>
        <w:tc>
          <w:tcPr>
            <w:tcW w:w="4394" w:type="dxa"/>
          </w:tcPr>
          <w:p w14:paraId="3B3D43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507</w:t>
            </w:r>
          </w:p>
        </w:tc>
      </w:tr>
      <w:tr w:rsidR="000F5689" w:rsidRPr="00925F26" w14:paraId="7BA165CC" w14:textId="77777777">
        <w:tc>
          <w:tcPr>
            <w:tcW w:w="3652" w:type="dxa"/>
          </w:tcPr>
          <w:p w14:paraId="28E2E280"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231812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(418 с 2хФАБ-500)</w:t>
            </w:r>
          </w:p>
        </w:tc>
        <w:tc>
          <w:tcPr>
            <w:tcW w:w="4394" w:type="dxa"/>
          </w:tcPr>
          <w:p w14:paraId="6D7D513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85B8B57" w14:textId="77777777">
        <w:tc>
          <w:tcPr>
            <w:tcW w:w="3652" w:type="dxa"/>
          </w:tcPr>
          <w:p w14:paraId="79CB3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границе высотности</w:t>
            </w:r>
          </w:p>
        </w:tc>
        <w:tc>
          <w:tcPr>
            <w:tcW w:w="2410" w:type="dxa"/>
          </w:tcPr>
          <w:p w14:paraId="03868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509</w:t>
            </w:r>
          </w:p>
        </w:tc>
        <w:tc>
          <w:tcPr>
            <w:tcW w:w="4394" w:type="dxa"/>
          </w:tcPr>
          <w:p w14:paraId="5A0E79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551</w:t>
            </w:r>
          </w:p>
        </w:tc>
      </w:tr>
      <w:tr w:rsidR="000F5689" w:rsidRPr="00925F26" w14:paraId="284AD5F1" w14:textId="77777777">
        <w:tc>
          <w:tcPr>
            <w:tcW w:w="3652" w:type="dxa"/>
          </w:tcPr>
          <w:p w14:paraId="6AFD819D"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1A624B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 с 2хФАБ-500)</w:t>
            </w:r>
          </w:p>
        </w:tc>
        <w:tc>
          <w:tcPr>
            <w:tcW w:w="4394" w:type="dxa"/>
          </w:tcPr>
          <w:p w14:paraId="47F1F4D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A0E71D5" w14:textId="77777777">
        <w:tc>
          <w:tcPr>
            <w:tcW w:w="3652" w:type="dxa"/>
          </w:tcPr>
          <w:p w14:paraId="59FE3F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3000 м</w:t>
            </w:r>
          </w:p>
        </w:tc>
        <w:tc>
          <w:tcPr>
            <w:tcW w:w="2410" w:type="dxa"/>
          </w:tcPr>
          <w:p w14:paraId="09D1B1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w:t>
            </w:r>
          </w:p>
        </w:tc>
        <w:tc>
          <w:tcPr>
            <w:tcW w:w="4394" w:type="dxa"/>
          </w:tcPr>
          <w:p w14:paraId="4C879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r>
      <w:tr w:rsidR="000F5689" w:rsidRPr="00925F26" w14:paraId="00A0AD5F" w14:textId="77777777">
        <w:tc>
          <w:tcPr>
            <w:tcW w:w="3652" w:type="dxa"/>
          </w:tcPr>
          <w:p w14:paraId="6731B7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на 45 м</w:t>
            </w:r>
          </w:p>
        </w:tc>
        <w:tc>
          <w:tcPr>
            <w:tcW w:w="2410" w:type="dxa"/>
          </w:tcPr>
          <w:p w14:paraId="7949EE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520</w:t>
            </w:r>
          </w:p>
        </w:tc>
        <w:tc>
          <w:tcPr>
            <w:tcW w:w="4394" w:type="dxa"/>
          </w:tcPr>
          <w:p w14:paraId="245C36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2915415B" w14:textId="77777777">
        <w:tc>
          <w:tcPr>
            <w:tcW w:w="3652" w:type="dxa"/>
          </w:tcPr>
          <w:p w14:paraId="2F27CA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Нормальная нагрузка</w:t>
            </w:r>
          </w:p>
        </w:tc>
        <w:tc>
          <w:tcPr>
            <w:tcW w:w="2410" w:type="dxa"/>
          </w:tcPr>
          <w:p w14:paraId="249880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2500</w:t>
            </w:r>
          </w:p>
        </w:tc>
        <w:tc>
          <w:tcPr>
            <w:tcW w:w="4394" w:type="dxa"/>
          </w:tcPr>
          <w:p w14:paraId="098AB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1655</w:t>
            </w:r>
          </w:p>
        </w:tc>
      </w:tr>
      <w:tr w:rsidR="000F5689" w:rsidRPr="00925F26" w14:paraId="2A73647E" w14:textId="77777777">
        <w:tc>
          <w:tcPr>
            <w:tcW w:w="3652" w:type="dxa"/>
          </w:tcPr>
          <w:p w14:paraId="2F7907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2410" w:type="dxa"/>
          </w:tcPr>
          <w:p w14:paraId="5132ED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4394" w:type="dxa"/>
          </w:tcPr>
          <w:p w14:paraId="29C29F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r>
      <w:tr w:rsidR="00561F31" w:rsidRPr="00925F26" w14:paraId="6A629481" w14:textId="77777777">
        <w:tc>
          <w:tcPr>
            <w:tcW w:w="3652" w:type="dxa"/>
          </w:tcPr>
          <w:p w14:paraId="27E31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410" w:type="dxa"/>
          </w:tcPr>
          <w:p w14:paraId="4D030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1140</w:t>
            </w:r>
          </w:p>
        </w:tc>
        <w:tc>
          <w:tcPr>
            <w:tcW w:w="4394" w:type="dxa"/>
          </w:tcPr>
          <w:p w14:paraId="089F82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 (2104)</w:t>
            </w:r>
          </w:p>
        </w:tc>
      </w:tr>
    </w:tbl>
    <w:p w14:paraId="62E8000A" w14:textId="77777777" w:rsidR="00665165" w:rsidRPr="00925F26" w:rsidRDefault="00665165" w:rsidP="00925F26">
      <w:pPr>
        <w:autoSpaceDE w:val="0"/>
        <w:autoSpaceDN w:val="0"/>
        <w:adjustRightInd w:val="0"/>
        <w:jc w:val="both"/>
        <w:rPr>
          <w:color w:val="000000" w:themeColor="text1"/>
          <w:sz w:val="16"/>
          <w:szCs w:val="16"/>
        </w:rPr>
      </w:pPr>
    </w:p>
    <w:p w14:paraId="79565E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мая 1945 состоялась официальная передача Ил-8 № 1 в НИИ ВВС, но полеты по программе государствен</w:t>
      </w:r>
      <w:r w:rsidRPr="00925F26">
        <w:rPr>
          <w:color w:val="000000" w:themeColor="text1"/>
          <w:sz w:val="16"/>
          <w:szCs w:val="16"/>
        </w:rPr>
        <w:softHyphen/>
        <w:t>ных испытаний начались лишь 27 мая. Всего до 7 июля было выполнено 52 полета с налетом 36 ч 35 мин. Веду</w:t>
      </w:r>
      <w:r w:rsidRPr="00925F26">
        <w:rPr>
          <w:color w:val="000000" w:themeColor="text1"/>
          <w:sz w:val="16"/>
          <w:szCs w:val="16"/>
        </w:rPr>
        <w:softHyphen/>
        <w:t>щим летчиком-испытателем был под</w:t>
      </w:r>
      <w:r w:rsidRPr="00925F26">
        <w:rPr>
          <w:color w:val="000000" w:themeColor="text1"/>
          <w:sz w:val="16"/>
          <w:szCs w:val="16"/>
        </w:rPr>
        <w:softHyphen/>
        <w:t>полковник А. К. Долгов, а ведущим инженером — инженер-капитан С. Г. Фролов.</w:t>
      </w:r>
    </w:p>
    <w:p w14:paraId="0162A0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счет установки на самолет до</w:t>
      </w:r>
      <w:r w:rsidRPr="00925F26">
        <w:rPr>
          <w:color w:val="000000" w:themeColor="text1"/>
          <w:sz w:val="16"/>
          <w:szCs w:val="16"/>
        </w:rPr>
        <w:softHyphen/>
        <w:t>полнительного съемного оборудова</w:t>
      </w:r>
      <w:r w:rsidRPr="00925F26">
        <w:rPr>
          <w:color w:val="000000" w:themeColor="text1"/>
          <w:sz w:val="16"/>
          <w:szCs w:val="16"/>
        </w:rPr>
        <w:softHyphen/>
        <w:t>ния нормальный полетный вес уве</w:t>
      </w:r>
      <w:r w:rsidRPr="00925F26">
        <w:rPr>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925F26">
        <w:rPr>
          <w:color w:val="000000" w:themeColor="text1"/>
          <w:sz w:val="16"/>
          <w:szCs w:val="16"/>
        </w:rPr>
        <w:softHyphen/>
        <w:t>шая дальность полета на высоте 500 м при скорости по прибору 299 км/ч составила 1140 км.</w:t>
      </w:r>
    </w:p>
    <w:p w14:paraId="3FBD5D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материалах отчета отмечалось, что устойчивость и управляемость са</w:t>
      </w:r>
      <w:r w:rsidRPr="00925F26">
        <w:rPr>
          <w:color w:val="000000" w:themeColor="text1"/>
          <w:sz w:val="16"/>
          <w:szCs w:val="16"/>
        </w:rPr>
        <w:softHyphen/>
        <w:t>молета хорошие, по технике пилоти</w:t>
      </w:r>
      <w:r w:rsidRPr="00925F26">
        <w:rPr>
          <w:color w:val="000000" w:themeColor="text1"/>
          <w:sz w:val="16"/>
          <w:szCs w:val="16"/>
        </w:rPr>
        <w:softHyphen/>
        <w:t>рования самолет оказался простым и в целом был доступен летчикам средней квалификации. Никаких осо</w:t>
      </w:r>
      <w:r w:rsidRPr="00925F26">
        <w:rPr>
          <w:color w:val="000000" w:themeColor="text1"/>
          <w:sz w:val="16"/>
          <w:szCs w:val="16"/>
        </w:rPr>
        <w:softHyphen/>
        <w:t>бенностей, затрудняющих эксплуата</w:t>
      </w:r>
      <w:r w:rsidRPr="00925F26">
        <w:rPr>
          <w:color w:val="000000" w:themeColor="text1"/>
          <w:sz w:val="16"/>
          <w:szCs w:val="16"/>
        </w:rPr>
        <w:softHyphen/>
        <w:t>цию самолета, не наблюдалось.</w:t>
      </w:r>
    </w:p>
    <w:p w14:paraId="5EB07F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Пикировал самолет весьма устой</w:t>
      </w:r>
      <w:r w:rsidRPr="00925F26">
        <w:rPr>
          <w:color w:val="000000" w:themeColor="text1"/>
          <w:sz w:val="16"/>
          <w:szCs w:val="16"/>
        </w:rPr>
        <w:softHyphen/>
        <w:t>чиво вплоть до углов 45°. Отдача пу</w:t>
      </w:r>
      <w:r w:rsidRPr="00925F26">
        <w:rPr>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925F26">
        <w:rPr>
          <w:color w:val="000000" w:themeColor="text1"/>
          <w:sz w:val="16"/>
          <w:szCs w:val="16"/>
        </w:rPr>
        <w:softHyphen/>
        <w:t>не прицельной.</w:t>
      </w:r>
    </w:p>
    <w:p w14:paraId="340CD0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Однако указывались и существен</w:t>
      </w:r>
      <w:r w:rsidRPr="00925F26">
        <w:rPr>
          <w:color w:val="000000" w:themeColor="text1"/>
          <w:sz w:val="16"/>
          <w:szCs w:val="16"/>
        </w:rPr>
        <w:softHyphen/>
        <w:t xml:space="preserve">ные недостатки самолета, наличие которых </w:t>
      </w:r>
      <w:r w:rsidRPr="00925F26">
        <w:rPr>
          <w:iCs/>
          <w:color w:val="000000" w:themeColor="text1"/>
          <w:sz w:val="16"/>
          <w:szCs w:val="16"/>
        </w:rPr>
        <w:t>"не позволяет полностью ис</w:t>
      </w:r>
      <w:r w:rsidRPr="00925F26">
        <w:rPr>
          <w:iCs/>
          <w:color w:val="000000" w:themeColor="text1"/>
          <w:sz w:val="16"/>
          <w:szCs w:val="16"/>
        </w:rPr>
        <w:softHyphen/>
        <w:t xml:space="preserve">пользовать его боевые свойства". </w:t>
      </w:r>
      <w:r w:rsidRPr="00925F26">
        <w:rPr>
          <w:color w:val="000000" w:themeColor="text1"/>
          <w:sz w:val="16"/>
          <w:szCs w:val="16"/>
        </w:rPr>
        <w:t>В частности, бронирование Ил-8 со</w:t>
      </w:r>
      <w:r w:rsidRPr="00925F26">
        <w:rPr>
          <w:color w:val="000000" w:themeColor="text1"/>
          <w:sz w:val="16"/>
          <w:szCs w:val="16"/>
        </w:rPr>
        <w:softHyphen/>
        <w:t>чли не отвечающим современным требованиям, так как голова стрел</w:t>
      </w:r>
      <w:r w:rsidRPr="00925F26">
        <w:rPr>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925F26">
        <w:rPr>
          <w:color w:val="000000" w:themeColor="text1"/>
          <w:sz w:val="16"/>
          <w:szCs w:val="16"/>
        </w:rPr>
        <w:softHyphen/>
        <w:t>наря кабины стрелка, не была уста</w:t>
      </w:r>
      <w:r w:rsidRPr="00925F26">
        <w:rPr>
          <w:color w:val="000000" w:themeColor="text1"/>
          <w:sz w:val="16"/>
          <w:szCs w:val="16"/>
        </w:rPr>
        <w:softHyphen/>
        <w:t>новлена световая сигнализация выпуска и уборки шасси (только "сол</w:t>
      </w:r>
      <w:r w:rsidRPr="00925F26">
        <w:rPr>
          <w:color w:val="000000" w:themeColor="text1"/>
          <w:sz w:val="16"/>
          <w:szCs w:val="16"/>
        </w:rPr>
        <w:softHyphen/>
        <w:t>датики"), плохая вентиляция и жара в кабинах летчика и стрелка, недо</w:t>
      </w:r>
      <w:r w:rsidRPr="00925F26">
        <w:rPr>
          <w:color w:val="000000" w:themeColor="text1"/>
          <w:sz w:val="16"/>
          <w:szCs w:val="16"/>
        </w:rPr>
        <w:softHyphen/>
        <w:t>статочная эффективность тормозов и т.д.</w:t>
      </w:r>
    </w:p>
    <w:p w14:paraId="6AA1B3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925F26">
        <w:rPr>
          <w:iCs/>
          <w:color w:val="000000" w:themeColor="text1"/>
          <w:sz w:val="16"/>
          <w:szCs w:val="16"/>
        </w:rPr>
        <w:t>"...фонарь ка</w:t>
      </w:r>
      <w:r w:rsidRPr="00925F26">
        <w:rPr>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5878FF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Военные специалисты положи</w:t>
      </w:r>
      <w:r w:rsidRPr="00925F26">
        <w:rPr>
          <w:color w:val="000000" w:themeColor="text1"/>
          <w:sz w:val="16"/>
          <w:szCs w:val="16"/>
        </w:rPr>
        <w:softHyphen/>
        <w:t>тельно оценили подвижную оборо</w:t>
      </w:r>
      <w:r w:rsidRPr="00925F26">
        <w:rPr>
          <w:color w:val="000000" w:themeColor="text1"/>
          <w:sz w:val="16"/>
          <w:szCs w:val="16"/>
        </w:rPr>
        <w:softHyphen/>
        <w:t>нительную установку ВУ-9 с пушкой БТ-20, которая имела значительные преимущества перед ВУ-8 с пулеме</w:t>
      </w:r>
      <w:r w:rsidRPr="00925F26">
        <w:rPr>
          <w:color w:val="000000" w:themeColor="text1"/>
          <w:sz w:val="16"/>
          <w:szCs w:val="16"/>
        </w:rPr>
        <w:softHyphen/>
        <w:t>том УБК.</w:t>
      </w:r>
    </w:p>
    <w:p w14:paraId="34E041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925F26">
        <w:rPr>
          <w:color w:val="000000" w:themeColor="text1"/>
          <w:sz w:val="16"/>
          <w:szCs w:val="16"/>
        </w:rPr>
        <w:softHyphen/>
        <w:t>зор из второй кабины самолета по</w:t>
      </w:r>
      <w:r w:rsidRPr="00925F26">
        <w:rPr>
          <w:color w:val="000000" w:themeColor="text1"/>
          <w:sz w:val="16"/>
          <w:szCs w:val="16"/>
        </w:rPr>
        <w:softHyphen/>
        <w:t>чти исключал возможность точного бомбометания.</w:t>
      </w:r>
    </w:p>
    <w:p w14:paraId="1A405A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повышение скорос</w:t>
      </w:r>
      <w:r w:rsidRPr="00925F26">
        <w:rPr>
          <w:color w:val="000000" w:themeColor="text1"/>
          <w:sz w:val="16"/>
          <w:szCs w:val="16"/>
        </w:rPr>
        <w:softHyphen/>
        <w:t>тных качеств улучшенной "восьмер</w:t>
      </w:r>
      <w:r w:rsidRPr="00925F26">
        <w:rPr>
          <w:color w:val="000000" w:themeColor="text1"/>
          <w:sz w:val="16"/>
          <w:szCs w:val="16"/>
        </w:rPr>
        <w:softHyphen/>
        <w:t>ки", маневренные свойства самолета оказались хуже, чем у Ил-АМ-42, проходившего государственные испы</w:t>
      </w:r>
      <w:r w:rsidRPr="00925F26">
        <w:rPr>
          <w:color w:val="000000" w:themeColor="text1"/>
          <w:sz w:val="16"/>
          <w:szCs w:val="16"/>
        </w:rPr>
        <w:softHyphen/>
        <w:t>тания весной 1944 г., и даже серий</w:t>
      </w:r>
      <w:r w:rsidRPr="00925F26">
        <w:rPr>
          <w:color w:val="000000" w:themeColor="text1"/>
          <w:sz w:val="16"/>
          <w:szCs w:val="16"/>
        </w:rPr>
        <w:softHyphen/>
        <w:t>ной "двойки".</w:t>
      </w:r>
    </w:p>
    <w:p w14:paraId="31E83F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925F26">
        <w:rPr>
          <w:color w:val="000000" w:themeColor="text1"/>
          <w:sz w:val="16"/>
          <w:szCs w:val="16"/>
        </w:rPr>
        <w:softHyphen/>
        <w:t>ро нагонял Ил-8 и легко занимал выгодную позицию для атаки. Одна</w:t>
      </w:r>
      <w:r w:rsidRPr="00925F26">
        <w:rPr>
          <w:color w:val="000000" w:themeColor="text1"/>
          <w:sz w:val="16"/>
          <w:szCs w:val="16"/>
        </w:rPr>
        <w:softHyphen/>
        <w:t>ко считалось, что сочетание манев</w:t>
      </w:r>
      <w:r w:rsidRPr="00925F26">
        <w:rPr>
          <w:color w:val="000000" w:themeColor="text1"/>
          <w:sz w:val="16"/>
          <w:szCs w:val="16"/>
        </w:rPr>
        <w:softHyphen/>
        <w:t>ра и огня пушки БТ-20 вполне обес</w:t>
      </w:r>
      <w:r w:rsidRPr="00925F26">
        <w:rPr>
          <w:color w:val="000000" w:themeColor="text1"/>
          <w:sz w:val="16"/>
          <w:szCs w:val="16"/>
        </w:rPr>
        <w:softHyphen/>
        <w:t>печивает отражение атаки истреби</w:t>
      </w:r>
      <w:r w:rsidRPr="00925F26">
        <w:rPr>
          <w:color w:val="000000" w:themeColor="text1"/>
          <w:sz w:val="16"/>
          <w:szCs w:val="16"/>
        </w:rPr>
        <w:softHyphen/>
        <w:t>теля со стороны задней полусферы сверху. Атаки истребителя снизу сза</w:t>
      </w:r>
      <w:r w:rsidRPr="00925F26">
        <w:rPr>
          <w:color w:val="000000" w:themeColor="text1"/>
          <w:sz w:val="16"/>
          <w:szCs w:val="16"/>
        </w:rPr>
        <w:softHyphen/>
        <w:t>ди могли быть сорваны авиаграна</w:t>
      </w:r>
      <w:r w:rsidRPr="00925F26">
        <w:rPr>
          <w:color w:val="000000" w:themeColor="text1"/>
          <w:sz w:val="16"/>
          <w:szCs w:val="16"/>
        </w:rPr>
        <w:softHyphen/>
        <w:t>тами АГ-2, хотя вероятность этого со</w:t>
      </w:r>
      <w:r w:rsidRPr="00925F26">
        <w:rPr>
          <w:color w:val="000000" w:themeColor="text1"/>
          <w:sz w:val="16"/>
          <w:szCs w:val="16"/>
        </w:rPr>
        <w:softHyphen/>
        <w:t>бытия была небольшой.</w:t>
      </w:r>
    </w:p>
    <w:p w14:paraId="35D3CB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Значительную трудность пред</w:t>
      </w:r>
      <w:r w:rsidRPr="00925F26">
        <w:rPr>
          <w:color w:val="000000" w:themeColor="text1"/>
          <w:sz w:val="16"/>
          <w:szCs w:val="16"/>
        </w:rPr>
        <w:softHyphen/>
        <w:t>ставляли атаки истребителей сверху и с боков из-за недостаточного сек</w:t>
      </w:r>
      <w:r w:rsidRPr="00925F26">
        <w:rPr>
          <w:color w:val="000000" w:themeColor="text1"/>
          <w:sz w:val="16"/>
          <w:szCs w:val="16"/>
        </w:rPr>
        <w:softHyphen/>
        <w:t>тора обстрела установки ВУ-9.</w:t>
      </w:r>
    </w:p>
    <w:p w14:paraId="1929F2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горизонтальном маневре ис</w:t>
      </w:r>
      <w:r w:rsidRPr="00925F26">
        <w:rPr>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925F26">
        <w:rPr>
          <w:color w:val="000000" w:themeColor="text1"/>
          <w:sz w:val="16"/>
          <w:szCs w:val="16"/>
        </w:rPr>
        <w:softHyphen/>
        <w:t>руднительным.</w:t>
      </w:r>
    </w:p>
    <w:p w14:paraId="795863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то же время п-к Н. И. Шауров, давая тактическую оценку самолету, указывал: </w:t>
      </w:r>
      <w:r w:rsidRPr="00925F26">
        <w:rPr>
          <w:iCs/>
          <w:color w:val="000000" w:themeColor="text1"/>
          <w:sz w:val="16"/>
          <w:szCs w:val="16"/>
        </w:rPr>
        <w:t>"...недостаточная манев</w:t>
      </w:r>
      <w:r w:rsidRPr="00925F26">
        <w:rPr>
          <w:iCs/>
          <w:color w:val="000000" w:themeColor="text1"/>
          <w:sz w:val="16"/>
          <w:szCs w:val="16"/>
        </w:rPr>
        <w:softHyphen/>
        <w:t>ренность Ил-8 ограничивает ведение</w:t>
      </w:r>
    </w:p>
    <w:p w14:paraId="4EF8BD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огня в воздушном бою из передних огневых точек по истребителю".</w:t>
      </w:r>
    </w:p>
    <w:p w14:paraId="3790B3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вариант Ил-8-го в срав</w:t>
      </w:r>
      <w:r w:rsidRPr="00925F26">
        <w:rPr>
          <w:color w:val="000000" w:themeColor="text1"/>
          <w:sz w:val="16"/>
          <w:szCs w:val="16"/>
        </w:rPr>
        <w:softHyphen/>
        <w:t>нении с Ил-АМ-42 имел более раз</w:t>
      </w:r>
      <w:r w:rsidRPr="00925F26">
        <w:rPr>
          <w:color w:val="000000" w:themeColor="text1"/>
          <w:sz w:val="16"/>
          <w:szCs w:val="16"/>
        </w:rPr>
        <w:softHyphen/>
        <w:t>нообразное оборудование. В част</w:t>
      </w:r>
      <w:r w:rsidRPr="00925F26">
        <w:rPr>
          <w:color w:val="000000" w:themeColor="text1"/>
          <w:sz w:val="16"/>
          <w:szCs w:val="16"/>
        </w:rPr>
        <w:softHyphen/>
        <w:t>ности, самолет снабжался радиопе</w:t>
      </w:r>
      <w:r w:rsidRPr="00925F26">
        <w:rPr>
          <w:color w:val="000000" w:themeColor="text1"/>
          <w:sz w:val="16"/>
          <w:szCs w:val="16"/>
        </w:rPr>
        <w:softHyphen/>
        <w:t>редатчиком РСИ-ЗМГ и радиоприем</w:t>
      </w:r>
      <w:r w:rsidRPr="00925F26">
        <w:rPr>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453C09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обеспечения работы радио-и спецоборудования устанавливались две антенны: одна для СЧ-3, а дру</w:t>
      </w:r>
      <w:r w:rsidRPr="00925F26">
        <w:rPr>
          <w:color w:val="000000" w:themeColor="text1"/>
          <w:sz w:val="16"/>
          <w:szCs w:val="16"/>
        </w:rPr>
        <w:softHyphen/>
        <w:t>гая — для связной радиостанции и РПКО.</w:t>
      </w:r>
    </w:p>
    <w:p w14:paraId="2B4E4C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результатов бомбо</w:t>
      </w:r>
      <w:r w:rsidRPr="00925F26">
        <w:rPr>
          <w:color w:val="000000" w:themeColor="text1"/>
          <w:sz w:val="16"/>
          <w:szCs w:val="16"/>
        </w:rPr>
        <w:softHyphen/>
        <w:t>метания, а также проведение пла</w:t>
      </w:r>
      <w:r w:rsidRPr="00925F26">
        <w:rPr>
          <w:color w:val="000000" w:themeColor="text1"/>
          <w:sz w:val="16"/>
          <w:szCs w:val="16"/>
        </w:rPr>
        <w:softHyphen/>
        <w:t>новой аэрофотосъемки и съемки на</w:t>
      </w:r>
      <w:r w:rsidRPr="00925F26">
        <w:rPr>
          <w:color w:val="000000" w:themeColor="text1"/>
          <w:sz w:val="16"/>
          <w:szCs w:val="16"/>
        </w:rPr>
        <w:softHyphen/>
        <w:t>зад под углами 25° и 50° обеспечи</w:t>
      </w:r>
      <w:r w:rsidRPr="00925F26">
        <w:rPr>
          <w:color w:val="000000" w:themeColor="text1"/>
          <w:sz w:val="16"/>
          <w:szCs w:val="16"/>
        </w:rPr>
        <w:softHyphen/>
        <w:t>вался фотоаппаратом АФА-ИМ.</w:t>
      </w:r>
    </w:p>
    <w:p w14:paraId="75EA4C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Предъявляя Ил-8 на испытания, Ильюшин предусмотрел вариант уси</w:t>
      </w:r>
      <w:r w:rsidRPr="00925F26">
        <w:rPr>
          <w:color w:val="000000" w:themeColor="text1"/>
          <w:sz w:val="16"/>
          <w:szCs w:val="16"/>
        </w:rPr>
        <w:softHyphen/>
        <w:t>ления бронирования самолета в слу</w:t>
      </w:r>
      <w:r w:rsidRPr="00925F26">
        <w:rPr>
          <w:color w:val="000000" w:themeColor="text1"/>
          <w:sz w:val="16"/>
          <w:szCs w:val="16"/>
        </w:rPr>
        <w:softHyphen/>
        <w:t>чае его запуска в серийное произ</w:t>
      </w:r>
      <w:r w:rsidRPr="00925F26">
        <w:rPr>
          <w:color w:val="000000" w:themeColor="text1"/>
          <w:sz w:val="16"/>
          <w:szCs w:val="16"/>
        </w:rPr>
        <w:softHyphen/>
        <w:t>водство, что и было отражено в от</w:t>
      </w:r>
      <w:r w:rsidRPr="00925F26">
        <w:rPr>
          <w:color w:val="000000" w:themeColor="text1"/>
          <w:sz w:val="16"/>
          <w:szCs w:val="16"/>
        </w:rPr>
        <w:softHyphen/>
        <w:t>чете по испытаниям.</w:t>
      </w:r>
    </w:p>
    <w:p w14:paraId="387D4F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серии предполагалось улучшить защиту стрелка со стороны задней полусферы за счет установки двух разнесенных друг от друга </w:t>
      </w:r>
      <w:proofErr w:type="gramStart"/>
      <w:r w:rsidRPr="00925F26">
        <w:rPr>
          <w:color w:val="000000" w:themeColor="text1"/>
          <w:sz w:val="16"/>
          <w:szCs w:val="16"/>
        </w:rPr>
        <w:t>бронеп-лит</w:t>
      </w:r>
      <w:proofErr w:type="gramEnd"/>
      <w:r w:rsidRPr="00925F26">
        <w:rPr>
          <w:color w:val="000000" w:themeColor="text1"/>
          <w:sz w:val="16"/>
          <w:szCs w:val="16"/>
        </w:rPr>
        <w:t xml:space="preserve"> толщиной 4 мм и 12 мм. Броне-стойкость такой системы, как пока</w:t>
      </w:r>
      <w:r w:rsidRPr="00925F26">
        <w:rPr>
          <w:color w:val="000000" w:themeColor="text1"/>
          <w:sz w:val="16"/>
          <w:szCs w:val="16"/>
        </w:rPr>
        <w:softHyphen/>
        <w:t>зали полигонные испытания, оказа</w:t>
      </w:r>
      <w:r w:rsidRPr="00925F26">
        <w:rPr>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925F26">
        <w:rPr>
          <w:color w:val="000000" w:themeColor="text1"/>
          <w:sz w:val="16"/>
          <w:szCs w:val="16"/>
        </w:rPr>
        <w:softHyphen/>
        <w:t>новка нового бронекорпуса увеличи</w:t>
      </w:r>
      <w:r w:rsidRPr="00925F26">
        <w:rPr>
          <w:color w:val="000000" w:themeColor="text1"/>
          <w:sz w:val="16"/>
          <w:szCs w:val="16"/>
        </w:rPr>
        <w:softHyphen/>
        <w:t>вала вес пустого самолета на 63 кг.</w:t>
      </w:r>
    </w:p>
    <w:p w14:paraId="3A6890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заключение отчета самолет ре</w:t>
      </w:r>
      <w:r w:rsidRPr="00925F26">
        <w:rPr>
          <w:color w:val="000000" w:themeColor="text1"/>
          <w:sz w:val="16"/>
          <w:szCs w:val="16"/>
        </w:rPr>
        <w:softHyphen/>
        <w:t xml:space="preserve">комендовался </w:t>
      </w:r>
      <w:r w:rsidRPr="00925F26">
        <w:rPr>
          <w:iCs/>
          <w:color w:val="000000" w:themeColor="text1"/>
          <w:sz w:val="16"/>
          <w:szCs w:val="16"/>
        </w:rPr>
        <w:t>"к внедрению в серий</w:t>
      </w:r>
      <w:r w:rsidRPr="00925F26">
        <w:rPr>
          <w:iCs/>
          <w:color w:val="000000" w:themeColor="text1"/>
          <w:sz w:val="16"/>
          <w:szCs w:val="16"/>
        </w:rPr>
        <w:softHyphen/>
        <w:t>ное производство в качестве штур</w:t>
      </w:r>
      <w:r w:rsidRPr="00925F26">
        <w:rPr>
          <w:iCs/>
          <w:color w:val="000000" w:themeColor="text1"/>
          <w:sz w:val="16"/>
          <w:szCs w:val="16"/>
        </w:rPr>
        <w:softHyphen/>
        <w:t xml:space="preserve">мовика - бомбардировщика". </w:t>
      </w:r>
      <w:r w:rsidRPr="00925F26">
        <w:rPr>
          <w:color w:val="000000" w:themeColor="text1"/>
          <w:sz w:val="16"/>
          <w:szCs w:val="16"/>
        </w:rPr>
        <w:t>Одна</w:t>
      </w:r>
      <w:r w:rsidRPr="00925F26">
        <w:rPr>
          <w:color w:val="000000" w:themeColor="text1"/>
          <w:sz w:val="16"/>
          <w:szCs w:val="16"/>
        </w:rPr>
        <w:softHyphen/>
        <w:t>ко окончательное решение о целе</w:t>
      </w:r>
      <w:r w:rsidRPr="00925F26">
        <w:rPr>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925F26">
        <w:rPr>
          <w:color w:val="000000" w:themeColor="text1"/>
          <w:sz w:val="16"/>
          <w:szCs w:val="16"/>
        </w:rPr>
        <w:softHyphen/>
        <w:t>ных государственных испытаний. Акт по испытаниям был подписан началь</w:t>
      </w:r>
      <w:r w:rsidRPr="00925F26">
        <w:rPr>
          <w:color w:val="000000" w:themeColor="text1"/>
          <w:sz w:val="16"/>
          <w:szCs w:val="16"/>
        </w:rPr>
        <w:softHyphen/>
        <w:t>ником 1-го управления НИИ ВВС генералом Сафроновым 22 июля 1945 г. (11431).</w:t>
      </w:r>
    </w:p>
    <w:p w14:paraId="5871CB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моменту начала государствен</w:t>
      </w:r>
      <w:r w:rsidRPr="00925F26">
        <w:rPr>
          <w:color w:val="000000" w:themeColor="text1"/>
          <w:sz w:val="16"/>
          <w:szCs w:val="16"/>
        </w:rPr>
        <w:softHyphen/>
        <w:t>ных летных испытаний опытной "восьмерки" из действующей армии пришли неутешительные вести о низ</w:t>
      </w:r>
      <w:r w:rsidRPr="00925F26">
        <w:rPr>
          <w:color w:val="000000" w:themeColor="text1"/>
          <w:sz w:val="16"/>
          <w:szCs w:val="16"/>
        </w:rPr>
        <w:softHyphen/>
        <w:t>кой эксплуатационной надежности самолета Ил-10 и мотора АМ-42 в боевых условиях.</w:t>
      </w:r>
    </w:p>
    <w:p w14:paraId="20ABE8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известно, 108-й гвардейский и 571-й штурмовые авиаполки, пер</w:t>
      </w:r>
      <w:r w:rsidRPr="00925F26">
        <w:rPr>
          <w:color w:val="000000" w:themeColor="text1"/>
          <w:sz w:val="16"/>
          <w:szCs w:val="16"/>
        </w:rPr>
        <w:softHyphen/>
        <w:t>выми применившие новый штурмовик на фронте, менее чем за три недели боев фактически утратили боеспо</w:t>
      </w:r>
      <w:r w:rsidRPr="00925F26">
        <w:rPr>
          <w:color w:val="000000" w:themeColor="text1"/>
          <w:sz w:val="16"/>
          <w:szCs w:val="16"/>
        </w:rPr>
        <w:softHyphen/>
        <w:t>собность по причине серьезных де</w:t>
      </w:r>
      <w:r w:rsidRPr="00925F26">
        <w:rPr>
          <w:color w:val="000000" w:themeColor="text1"/>
          <w:sz w:val="16"/>
          <w:szCs w:val="16"/>
        </w:rPr>
        <w:softHyphen/>
        <w:t>фектов и недостатков винтомоторной группы и самого самолета.</w:t>
      </w:r>
    </w:p>
    <w:p w14:paraId="7DF222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Так, в 571-м </w:t>
      </w:r>
      <w:r w:rsidRPr="00925F26">
        <w:rPr>
          <w:iCs/>
          <w:color w:val="000000" w:themeColor="text1"/>
          <w:sz w:val="16"/>
          <w:szCs w:val="16"/>
        </w:rPr>
        <w:t xml:space="preserve">шап </w:t>
      </w:r>
      <w:r w:rsidRPr="00925F26">
        <w:rPr>
          <w:color w:val="000000" w:themeColor="text1"/>
          <w:sz w:val="16"/>
          <w:szCs w:val="16"/>
        </w:rPr>
        <w:t xml:space="preserve">к исходу 8 мая </w:t>
      </w:r>
      <w:r w:rsidRPr="00925F26">
        <w:rPr>
          <w:iCs/>
          <w:color w:val="000000" w:themeColor="text1"/>
          <w:sz w:val="16"/>
          <w:szCs w:val="16"/>
        </w:rPr>
        <w:t>"по причине производственно-конст</w:t>
      </w:r>
      <w:r w:rsidRPr="00925F26">
        <w:rPr>
          <w:iCs/>
          <w:color w:val="000000" w:themeColor="text1"/>
          <w:sz w:val="16"/>
          <w:szCs w:val="16"/>
        </w:rPr>
        <w:softHyphen/>
        <w:t xml:space="preserve">руктивных дефектов" </w:t>
      </w:r>
      <w:r w:rsidRPr="00925F26">
        <w:rPr>
          <w:color w:val="000000" w:themeColor="text1"/>
          <w:sz w:val="16"/>
          <w:szCs w:val="16"/>
        </w:rPr>
        <w:t>из строя выш</w:t>
      </w:r>
      <w:r w:rsidRPr="00925F26">
        <w:rPr>
          <w:color w:val="000000" w:themeColor="text1"/>
          <w:sz w:val="16"/>
          <w:szCs w:val="16"/>
        </w:rPr>
        <w:softHyphen/>
        <w:t>ло 13 машин — свыше 40% боевого состава к началу боевых действий. Позже выяснилось, что еще на 6 самолетах летать опасно. Как ука</w:t>
      </w:r>
      <w:r w:rsidRPr="00925F26">
        <w:rPr>
          <w:color w:val="000000" w:themeColor="text1"/>
          <w:sz w:val="16"/>
          <w:szCs w:val="16"/>
        </w:rPr>
        <w:softHyphen/>
        <w:t>зывалось в отчете ст. инженера пол</w:t>
      </w:r>
      <w:r w:rsidRPr="00925F26">
        <w:rPr>
          <w:color w:val="000000" w:themeColor="text1"/>
          <w:sz w:val="16"/>
          <w:szCs w:val="16"/>
        </w:rPr>
        <w:softHyphen/>
        <w:t xml:space="preserve">ка м-ра Жиленкова, </w:t>
      </w:r>
      <w:r w:rsidRPr="00925F26">
        <w:rPr>
          <w:iCs/>
          <w:color w:val="000000" w:themeColor="text1"/>
          <w:sz w:val="16"/>
          <w:szCs w:val="16"/>
        </w:rPr>
        <w:t>"для восстанов</w:t>
      </w:r>
      <w:r w:rsidRPr="00925F26">
        <w:rPr>
          <w:iCs/>
          <w:color w:val="000000" w:themeColor="text1"/>
          <w:sz w:val="16"/>
          <w:szCs w:val="16"/>
        </w:rPr>
        <w:softHyphen/>
        <w:t xml:space="preserve">ления всех самолетов </w:t>
      </w:r>
      <w:r w:rsidRPr="00925F26">
        <w:rPr>
          <w:iCs/>
          <w:color w:val="000000" w:themeColor="text1"/>
          <w:sz w:val="16"/>
          <w:szCs w:val="16"/>
        </w:rPr>
        <w:lastRenderedPageBreak/>
        <w:t>полку требу</w:t>
      </w:r>
      <w:r w:rsidRPr="00925F26">
        <w:rPr>
          <w:iCs/>
          <w:color w:val="000000" w:themeColor="text1"/>
          <w:sz w:val="16"/>
          <w:szCs w:val="16"/>
        </w:rPr>
        <w:softHyphen/>
        <w:t>ется 14 моторов АМ-42 и 18 нагне</w:t>
      </w:r>
      <w:r w:rsidRPr="00925F26">
        <w:rPr>
          <w:iCs/>
          <w:color w:val="000000" w:themeColor="text1"/>
          <w:sz w:val="16"/>
          <w:szCs w:val="16"/>
        </w:rPr>
        <w:softHyphen/>
        <w:t xml:space="preserve">тателей". </w:t>
      </w:r>
      <w:r w:rsidRPr="00925F26">
        <w:rPr>
          <w:color w:val="000000" w:themeColor="text1"/>
          <w:sz w:val="16"/>
          <w:szCs w:val="16"/>
        </w:rPr>
        <w:t xml:space="preserve">В 108-м гвардейском </w:t>
      </w:r>
      <w:r w:rsidRPr="00925F26">
        <w:rPr>
          <w:iCs/>
          <w:color w:val="000000" w:themeColor="text1"/>
          <w:sz w:val="16"/>
          <w:szCs w:val="16"/>
        </w:rPr>
        <w:t xml:space="preserve">шап </w:t>
      </w:r>
      <w:r w:rsidRPr="00925F26">
        <w:rPr>
          <w:color w:val="000000" w:themeColor="text1"/>
          <w:sz w:val="16"/>
          <w:szCs w:val="16"/>
        </w:rPr>
        <w:t>картина была такая же. К вечеру 30 апреля в полку насчитывалось всего 11 боеспособных самолетов. Осталь</w:t>
      </w:r>
      <w:r w:rsidRPr="00925F26">
        <w:rPr>
          <w:color w:val="000000" w:themeColor="text1"/>
          <w:sz w:val="16"/>
          <w:szCs w:val="16"/>
        </w:rPr>
        <w:softHyphen/>
        <w:t>ные 18 "десяток" требовали ремон</w:t>
      </w:r>
      <w:r w:rsidRPr="00925F26">
        <w:rPr>
          <w:color w:val="000000" w:themeColor="text1"/>
          <w:sz w:val="16"/>
          <w:szCs w:val="16"/>
        </w:rPr>
        <w:softHyphen/>
        <w:t>та. Еще одна неделя боев, и летать было бы не на чем.</w:t>
      </w:r>
    </w:p>
    <w:p w14:paraId="4D2531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тылу положение дел было не лучше. Например, в двух дивизиях 7-го </w:t>
      </w:r>
      <w:r w:rsidRPr="00925F26">
        <w:rPr>
          <w:iCs/>
          <w:color w:val="000000" w:themeColor="text1"/>
          <w:sz w:val="16"/>
          <w:szCs w:val="16"/>
        </w:rPr>
        <w:t xml:space="preserve">шак, </w:t>
      </w:r>
      <w:r w:rsidRPr="00925F26">
        <w:rPr>
          <w:color w:val="000000" w:themeColor="text1"/>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925F26">
        <w:rPr>
          <w:color w:val="000000" w:themeColor="text1"/>
          <w:sz w:val="16"/>
          <w:szCs w:val="16"/>
        </w:rPr>
        <w:softHyphen/>
        <w:t>исправными.</w:t>
      </w:r>
    </w:p>
    <w:p w14:paraId="26F45B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полках, эксплуатирующих Ил-10, имели место случаи дефор</w:t>
      </w:r>
      <w:r w:rsidRPr="00925F26">
        <w:rPr>
          <w:color w:val="000000" w:themeColor="text1"/>
          <w:sz w:val="16"/>
          <w:szCs w:val="16"/>
        </w:rPr>
        <w:softHyphen/>
        <w:t>мации верхней и нижней обшивки консольной части крыла, срез и от</w:t>
      </w:r>
      <w:r w:rsidRPr="00925F26">
        <w:rPr>
          <w:color w:val="000000" w:themeColor="text1"/>
          <w:sz w:val="16"/>
          <w:szCs w:val="16"/>
        </w:rPr>
        <w:softHyphen/>
        <w:t>рыв заклепок. На некоторых маши</w:t>
      </w:r>
      <w:r w:rsidRPr="00925F26">
        <w:rPr>
          <w:color w:val="000000" w:themeColor="text1"/>
          <w:sz w:val="16"/>
          <w:szCs w:val="16"/>
        </w:rPr>
        <w:softHyphen/>
        <w:t>нах наблюдалось отставание листов нижней обшивки центроплана, со</w:t>
      </w:r>
      <w:r w:rsidRPr="00925F26">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925F26">
        <w:rPr>
          <w:color w:val="000000" w:themeColor="text1"/>
          <w:sz w:val="16"/>
          <w:szCs w:val="16"/>
        </w:rPr>
        <w:softHyphen/>
        <w:t>лабления заклепочных швов обшив</w:t>
      </w:r>
      <w:r w:rsidRPr="00925F26">
        <w:rPr>
          <w:color w:val="000000" w:themeColor="text1"/>
          <w:sz w:val="16"/>
          <w:szCs w:val="16"/>
        </w:rPr>
        <w:softHyphen/>
        <w:t>ки фюзеляжа в области крепления костыльной установки, а также по листу перехода килевой части фю</w:t>
      </w:r>
      <w:r w:rsidRPr="00925F26">
        <w:rPr>
          <w:color w:val="000000" w:themeColor="text1"/>
          <w:sz w:val="16"/>
          <w:szCs w:val="16"/>
        </w:rPr>
        <w:softHyphen/>
        <w:t>зеляжа. Система шасси оказалась довольно слабой в прочностном от</w:t>
      </w:r>
      <w:r w:rsidRPr="00925F26">
        <w:rPr>
          <w:color w:val="000000" w:themeColor="text1"/>
          <w:sz w:val="16"/>
          <w:szCs w:val="16"/>
        </w:rPr>
        <w:softHyphen/>
        <w:t>ношении и ненадежной: ломались складывающиеся подкосы шасси и обтекатели хвостового колеса, на</w:t>
      </w:r>
      <w:r w:rsidRPr="00925F26">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076998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Много проблем было и с воору</w:t>
      </w:r>
      <w:r w:rsidRPr="00925F26">
        <w:rPr>
          <w:color w:val="000000" w:themeColor="text1"/>
          <w:sz w:val="16"/>
          <w:szCs w:val="16"/>
        </w:rPr>
        <w:softHyphen/>
        <w:t>жением. Постоянно рвались и зае</w:t>
      </w:r>
      <w:r w:rsidRPr="00925F26">
        <w:rPr>
          <w:color w:val="000000" w:themeColor="text1"/>
          <w:sz w:val="16"/>
          <w:szCs w:val="16"/>
        </w:rPr>
        <w:softHyphen/>
        <w:t>дали троса бомболюков, створки бомболюков деформировались при загрузке мелких бомб и поврежда</w:t>
      </w:r>
      <w:r w:rsidRPr="00925F26">
        <w:rPr>
          <w:color w:val="000000" w:themeColor="text1"/>
          <w:sz w:val="16"/>
          <w:szCs w:val="16"/>
        </w:rPr>
        <w:softHyphen/>
        <w:t>лись при сбросе бомб крупного ка</w:t>
      </w:r>
      <w:r w:rsidRPr="00925F26">
        <w:rPr>
          <w:color w:val="000000" w:themeColor="text1"/>
          <w:sz w:val="16"/>
          <w:szCs w:val="16"/>
        </w:rPr>
        <w:softHyphen/>
        <w:t>либра. Все это приводило к тому, что</w:t>
      </w:r>
    </w:p>
    <w:p w14:paraId="7900C4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 целью экипажи после сброса бомб зачастую продолжали выпол</w:t>
      </w:r>
      <w:r w:rsidRPr="00925F26">
        <w:rPr>
          <w:color w:val="000000" w:themeColor="text1"/>
          <w:sz w:val="16"/>
          <w:szCs w:val="16"/>
        </w:rPr>
        <w:softHyphen/>
        <w:t xml:space="preserve">нять атаки с открытыми </w:t>
      </w:r>
      <w:proofErr w:type="gramStart"/>
      <w:r w:rsidRPr="00925F26">
        <w:rPr>
          <w:color w:val="000000" w:themeColor="text1"/>
          <w:sz w:val="16"/>
          <w:szCs w:val="16"/>
        </w:rPr>
        <w:t>бомболюка-ми</w:t>
      </w:r>
      <w:proofErr w:type="gramEnd"/>
      <w:r w:rsidRPr="00925F26">
        <w:rPr>
          <w:color w:val="000000" w:themeColor="text1"/>
          <w:sz w:val="16"/>
          <w:szCs w:val="16"/>
        </w:rPr>
        <w:t xml:space="preserve">. В результате </w:t>
      </w:r>
      <w:r w:rsidRPr="00925F26">
        <w:rPr>
          <w:iCs/>
          <w:color w:val="000000" w:themeColor="text1"/>
          <w:sz w:val="16"/>
          <w:szCs w:val="16"/>
        </w:rPr>
        <w:t xml:space="preserve">"самолет терял в маневренности". </w:t>
      </w:r>
      <w:r w:rsidRPr="00925F26">
        <w:rPr>
          <w:color w:val="000000" w:themeColor="text1"/>
          <w:sz w:val="16"/>
          <w:szCs w:val="16"/>
        </w:rPr>
        <w:t>Кроме этого, име</w:t>
      </w:r>
      <w:r w:rsidRPr="00925F26">
        <w:rPr>
          <w:color w:val="000000" w:themeColor="text1"/>
          <w:sz w:val="16"/>
          <w:szCs w:val="16"/>
        </w:rPr>
        <w:softHyphen/>
        <w:t>лись случаи, когда створки бомбо</w:t>
      </w:r>
      <w:r w:rsidRPr="00925F26">
        <w:rPr>
          <w:color w:val="000000" w:themeColor="text1"/>
          <w:sz w:val="16"/>
          <w:szCs w:val="16"/>
        </w:rPr>
        <w:softHyphen/>
        <w:t>вых отсеков открывались не полнос</w:t>
      </w:r>
      <w:r w:rsidRPr="00925F26">
        <w:rPr>
          <w:color w:val="000000" w:themeColor="text1"/>
          <w:sz w:val="16"/>
          <w:szCs w:val="16"/>
        </w:rPr>
        <w:softHyphen/>
        <w:t>тью и бомбы зависали.</w:t>
      </w:r>
    </w:p>
    <w:p w14:paraId="2D71EE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Специальная комиссия ВВС в се</w:t>
      </w:r>
      <w:r w:rsidRPr="00925F26">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06C53E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судя по до</w:t>
      </w:r>
      <w:r w:rsidRPr="00925F26">
        <w:rPr>
          <w:color w:val="000000" w:themeColor="text1"/>
          <w:sz w:val="16"/>
          <w:szCs w:val="16"/>
        </w:rPr>
        <w:softHyphen/>
        <w:t>кументам, недостатки и дефекты мо</w:t>
      </w:r>
      <w:r w:rsidRPr="00925F26">
        <w:rPr>
          <w:color w:val="000000" w:themeColor="text1"/>
          <w:sz w:val="16"/>
          <w:szCs w:val="16"/>
        </w:rPr>
        <w:softHyphen/>
        <w:t>тора АМ-42 обуславливались не только объективными трудностями, но также и "особым" отношением мо</w:t>
      </w:r>
      <w:r w:rsidRPr="00925F26">
        <w:rPr>
          <w:color w:val="000000" w:themeColor="text1"/>
          <w:sz w:val="16"/>
          <w:szCs w:val="16"/>
        </w:rPr>
        <w:softHyphen/>
        <w:t>тористов к вопросу выяснения истин</w:t>
      </w:r>
      <w:r w:rsidRPr="00925F26">
        <w:rPr>
          <w:color w:val="000000" w:themeColor="text1"/>
          <w:sz w:val="16"/>
          <w:szCs w:val="16"/>
        </w:rPr>
        <w:softHyphen/>
        <w:t xml:space="preserve">ных причин </w:t>
      </w:r>
      <w:r w:rsidRPr="00925F26">
        <w:rPr>
          <w:iCs/>
          <w:color w:val="000000" w:themeColor="text1"/>
          <w:sz w:val="16"/>
          <w:szCs w:val="16"/>
        </w:rPr>
        <w:t xml:space="preserve">"летных происшествий, происходящих по причине отказа моторов". </w:t>
      </w:r>
      <w:r w:rsidRPr="00925F26">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925F26">
        <w:rPr>
          <w:iCs/>
          <w:color w:val="000000" w:themeColor="text1"/>
          <w:sz w:val="16"/>
          <w:szCs w:val="16"/>
        </w:rPr>
        <w:t>"...представители завода запу</w:t>
      </w:r>
      <w:r w:rsidRPr="00925F26">
        <w:rPr>
          <w:iCs/>
          <w:color w:val="000000" w:themeColor="text1"/>
          <w:sz w:val="16"/>
          <w:szCs w:val="16"/>
        </w:rPr>
        <w:softHyphen/>
        <w:t>тывают расследования причин отка</w:t>
      </w:r>
      <w:r w:rsidRPr="00925F26">
        <w:rPr>
          <w:iCs/>
          <w:color w:val="000000" w:themeColor="text1"/>
          <w:sz w:val="16"/>
          <w:szCs w:val="16"/>
        </w:rPr>
        <w:softHyphen/>
        <w:t>зов моторов, а значит, стремятся за</w:t>
      </w:r>
      <w:r w:rsidRPr="00925F26">
        <w:rPr>
          <w:iCs/>
          <w:color w:val="000000" w:themeColor="text1"/>
          <w:sz w:val="16"/>
          <w:szCs w:val="16"/>
        </w:rPr>
        <w:softHyphen/>
        <w:t>мазать их. Расследования затягива</w:t>
      </w:r>
      <w:r w:rsidRPr="00925F26">
        <w:rPr>
          <w:iCs/>
          <w:color w:val="000000" w:themeColor="text1"/>
          <w:sz w:val="16"/>
          <w:szCs w:val="16"/>
        </w:rPr>
        <w:softHyphen/>
        <w:t>ются на полгода и более. Такое "рас</w:t>
      </w:r>
      <w:r w:rsidRPr="00925F26">
        <w:rPr>
          <w:iCs/>
          <w:color w:val="000000" w:themeColor="text1"/>
          <w:sz w:val="16"/>
          <w:szCs w:val="16"/>
        </w:rPr>
        <w:softHyphen/>
        <w:t>следование" не может предупредить вовремя повторение летных проис</w:t>
      </w:r>
      <w:r w:rsidRPr="00925F26">
        <w:rPr>
          <w:iCs/>
          <w:color w:val="000000" w:themeColor="text1"/>
          <w:sz w:val="16"/>
          <w:szCs w:val="16"/>
        </w:rPr>
        <w:softHyphen/>
        <w:t>шествий по тем же причинам. Завя</w:t>
      </w:r>
      <w:r w:rsidRPr="00925F26">
        <w:rPr>
          <w:iCs/>
          <w:color w:val="000000" w:themeColor="text1"/>
          <w:sz w:val="16"/>
          <w:szCs w:val="16"/>
        </w:rPr>
        <w:softHyphen/>
        <w:t>зывается бессмысленная переписка, в результате которой все же Вам при</w:t>
      </w:r>
      <w:r w:rsidRPr="00925F26">
        <w:rPr>
          <w:iCs/>
          <w:color w:val="000000" w:themeColor="text1"/>
          <w:sz w:val="16"/>
          <w:szCs w:val="16"/>
        </w:rPr>
        <w:softHyphen/>
        <w:t>ходиться признавать вину за заво</w:t>
      </w:r>
      <w:r w:rsidRPr="00925F26">
        <w:rPr>
          <w:iCs/>
          <w:color w:val="000000" w:themeColor="text1"/>
          <w:sz w:val="16"/>
          <w:szCs w:val="16"/>
        </w:rPr>
        <w:softHyphen/>
        <w:t>дом. Нелогичность "особых" мнений и отсутствие в них обоснования го</w:t>
      </w:r>
      <w:r w:rsidRPr="00925F26">
        <w:rPr>
          <w:iCs/>
          <w:color w:val="000000" w:themeColor="text1"/>
          <w:sz w:val="16"/>
          <w:szCs w:val="16"/>
        </w:rPr>
        <w:softHyphen/>
        <w:t>ворит о чрезвычайно низкой техни</w:t>
      </w:r>
      <w:r w:rsidRPr="00925F26">
        <w:rPr>
          <w:iCs/>
          <w:color w:val="000000" w:themeColor="text1"/>
          <w:sz w:val="16"/>
          <w:szCs w:val="16"/>
        </w:rPr>
        <w:softHyphen/>
        <w:t>ческой грамотности представителей завода, работающих в бригаде..."</w:t>
      </w:r>
    </w:p>
    <w:p w14:paraId="5803A0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Забегая вперед, укажем, что до</w:t>
      </w:r>
      <w:r w:rsidRPr="00925F26">
        <w:rPr>
          <w:color w:val="000000" w:themeColor="text1"/>
          <w:sz w:val="16"/>
          <w:szCs w:val="16"/>
        </w:rPr>
        <w:softHyphen/>
        <w:t>водка АМ-42 затянулась фактически до середины 1947 г., когда были вне</w:t>
      </w:r>
      <w:r w:rsidRPr="00925F26">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925F26">
        <w:rPr>
          <w:color w:val="000000" w:themeColor="text1"/>
          <w:sz w:val="16"/>
          <w:szCs w:val="16"/>
        </w:rPr>
        <w:softHyphen/>
        <w:t>мени, недостаточная его надежность определяла и довольно высокую ава</w:t>
      </w:r>
      <w:r w:rsidRPr="00925F26">
        <w:rPr>
          <w:color w:val="000000" w:themeColor="text1"/>
          <w:sz w:val="16"/>
          <w:szCs w:val="16"/>
        </w:rPr>
        <w:softHyphen/>
        <w:t xml:space="preserve">рийность в частях ВВС. Например, в феврале-марте 1946 г. в частях 10-й </w:t>
      </w:r>
      <w:r w:rsidRPr="00925F26">
        <w:rPr>
          <w:iCs/>
          <w:color w:val="000000" w:themeColor="text1"/>
          <w:sz w:val="16"/>
          <w:szCs w:val="16"/>
        </w:rPr>
        <w:t xml:space="preserve">гшад </w:t>
      </w:r>
      <w:r w:rsidRPr="00925F26">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1E30A3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проблем с мотором, се</w:t>
      </w:r>
      <w:r w:rsidRPr="00925F26">
        <w:rPr>
          <w:color w:val="000000" w:themeColor="text1"/>
          <w:sz w:val="16"/>
          <w:szCs w:val="16"/>
        </w:rPr>
        <w:softHyphen/>
        <w:t>рийные Ил-10 характеризовались и пониженными летными данными в сравнении с опытной машиной. Ут</w:t>
      </w:r>
      <w:r w:rsidRPr="00925F26">
        <w:rPr>
          <w:color w:val="000000" w:themeColor="text1"/>
          <w:sz w:val="16"/>
          <w:szCs w:val="16"/>
        </w:rPr>
        <w:softHyphen/>
        <w:t>вержденные на совместном совеща</w:t>
      </w:r>
      <w:r w:rsidRPr="00925F26">
        <w:rPr>
          <w:color w:val="000000" w:themeColor="text1"/>
          <w:sz w:val="16"/>
          <w:szCs w:val="16"/>
        </w:rPr>
        <w:softHyphen/>
        <w:t>нии ВВС и НКАП в январе 1945 г. технические условия на самолет Ил-10 оказались для заводов высокими.</w:t>
      </w:r>
    </w:p>
    <w:p w14:paraId="4AEE89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Усиление конструкции самолета (кры</w:t>
      </w:r>
      <w:r w:rsidRPr="00925F26">
        <w:rPr>
          <w:color w:val="000000" w:themeColor="text1"/>
          <w:sz w:val="16"/>
          <w:szCs w:val="16"/>
        </w:rPr>
        <w:softHyphen/>
        <w:t>ло, фюзеляж, шасси и т.д.), внесение различного рода изменений и дора</w:t>
      </w:r>
      <w:r w:rsidRPr="00925F26">
        <w:rPr>
          <w:color w:val="000000" w:themeColor="text1"/>
          <w:sz w:val="16"/>
          <w:szCs w:val="16"/>
        </w:rPr>
        <w:softHyphen/>
        <w:t>ботки машины, естественно, сопро</w:t>
      </w:r>
      <w:r w:rsidRPr="00925F26">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25F26">
        <w:rPr>
          <w:color w:val="000000" w:themeColor="text1"/>
          <w:sz w:val="16"/>
          <w:szCs w:val="16"/>
        </w:rPr>
        <w:softHyphen/>
        <w:t>емности. Естественно, усилились тре</w:t>
      </w:r>
      <w:r w:rsidRPr="00925F26">
        <w:rPr>
          <w:color w:val="000000" w:themeColor="text1"/>
          <w:sz w:val="16"/>
          <w:szCs w:val="16"/>
        </w:rPr>
        <w:softHyphen/>
        <w:t>ния между заводами и военными представителями по вопросам при</w:t>
      </w:r>
      <w:r w:rsidRPr="00925F26">
        <w:rPr>
          <w:color w:val="000000" w:themeColor="text1"/>
          <w:sz w:val="16"/>
          <w:szCs w:val="16"/>
        </w:rPr>
        <w:softHyphen/>
        <w:t>емки самолетов и их оплаты. На мно</w:t>
      </w:r>
      <w:r w:rsidRPr="00925F26">
        <w:rPr>
          <w:color w:val="000000" w:themeColor="text1"/>
          <w:sz w:val="16"/>
          <w:szCs w:val="16"/>
        </w:rPr>
        <w:softHyphen/>
        <w:t>гочисленных совещаниях по устране</w:t>
      </w:r>
      <w:r w:rsidRPr="00925F26">
        <w:rPr>
          <w:color w:val="000000" w:themeColor="text1"/>
          <w:sz w:val="16"/>
          <w:szCs w:val="16"/>
        </w:rPr>
        <w:softHyphen/>
        <w:t>нию дефектов Ил-10 не всегда уда</w:t>
      </w:r>
      <w:r w:rsidRPr="00925F26">
        <w:rPr>
          <w:color w:val="000000" w:themeColor="text1"/>
          <w:sz w:val="16"/>
          <w:szCs w:val="16"/>
        </w:rPr>
        <w:softHyphen/>
        <w:t>валось прийти к соглашению. Пред</w:t>
      </w:r>
      <w:r w:rsidRPr="00925F26">
        <w:rPr>
          <w:color w:val="000000" w:themeColor="text1"/>
          <w:sz w:val="16"/>
          <w:szCs w:val="16"/>
        </w:rPr>
        <w:softHyphen/>
        <w:t>ставители промышленности каждый раз принимали на себя обязатель</w:t>
      </w:r>
      <w:r w:rsidRPr="00925F26">
        <w:rPr>
          <w:color w:val="000000" w:themeColor="text1"/>
          <w:sz w:val="16"/>
          <w:szCs w:val="16"/>
        </w:rPr>
        <w:softHyphen/>
        <w:t>ства по улучшению летных и эксплу</w:t>
      </w:r>
      <w:r w:rsidRPr="00925F26">
        <w:rPr>
          <w:color w:val="000000" w:themeColor="text1"/>
          <w:sz w:val="16"/>
          <w:szCs w:val="16"/>
        </w:rPr>
        <w:softHyphen/>
        <w:t>атационных качеств машины и вся</w:t>
      </w:r>
      <w:r w:rsidRPr="00925F26">
        <w:rPr>
          <w:color w:val="000000" w:themeColor="text1"/>
          <w:sz w:val="16"/>
          <w:szCs w:val="16"/>
        </w:rPr>
        <w:softHyphen/>
        <w:t>кий раз их не выдерживали. Соот</w:t>
      </w:r>
      <w:r w:rsidRPr="00925F26">
        <w:rPr>
          <w:color w:val="000000" w:themeColor="text1"/>
          <w:sz w:val="16"/>
          <w:szCs w:val="16"/>
        </w:rPr>
        <w:softHyphen/>
        <w:t>ветственно, военные делали офици</w:t>
      </w:r>
      <w:r w:rsidRPr="00925F26">
        <w:rPr>
          <w:color w:val="000000" w:themeColor="text1"/>
          <w:sz w:val="16"/>
          <w:szCs w:val="16"/>
        </w:rPr>
        <w:softHyphen/>
        <w:t xml:space="preserve">альные выводы: </w:t>
      </w:r>
      <w:r w:rsidRPr="00925F26">
        <w:rPr>
          <w:iCs/>
          <w:color w:val="000000" w:themeColor="text1"/>
          <w:sz w:val="16"/>
          <w:szCs w:val="16"/>
        </w:rPr>
        <w:t>"Со стороны НКАП сроки выполнения Постановлений ГОКО, СНК и приказов НКАП не вы</w:t>
      </w:r>
      <w:r w:rsidRPr="00925F26">
        <w:rPr>
          <w:iCs/>
          <w:color w:val="000000" w:themeColor="text1"/>
          <w:sz w:val="16"/>
          <w:szCs w:val="16"/>
        </w:rPr>
        <w:softHyphen/>
        <w:t xml:space="preserve">держиваются". </w:t>
      </w:r>
      <w:r w:rsidRPr="00925F26">
        <w:rPr>
          <w:color w:val="000000" w:themeColor="text1"/>
          <w:sz w:val="16"/>
          <w:szCs w:val="16"/>
        </w:rPr>
        <w:t>Напряженность во взаимоотношениях ВВС и НКАП на</w:t>
      </w:r>
      <w:r w:rsidRPr="00925F26">
        <w:rPr>
          <w:color w:val="000000" w:themeColor="text1"/>
          <w:sz w:val="16"/>
          <w:szCs w:val="16"/>
        </w:rPr>
        <w:softHyphen/>
        <w:t>растала с каждым месяцем (11431).</w:t>
      </w:r>
    </w:p>
    <w:p w14:paraId="3C1302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056F4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14 мая 1945 г. на госиспытания удалось предъявить обновленный Ил-8. К этому времени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w:t>
      </w:r>
      <w:proofErr w:type="gramStart"/>
      <w:r w:rsidRPr="00925F26">
        <w:rPr>
          <w:color w:val="000000" w:themeColor="text1"/>
          <w:sz w:val="16"/>
          <w:szCs w:val="16"/>
        </w:rPr>
        <w:t>обозначением.Интереса</w:t>
      </w:r>
      <w:proofErr w:type="gramEnd"/>
      <w:r w:rsidRPr="00925F26">
        <w:rPr>
          <w:color w:val="000000" w:themeColor="text1"/>
          <w:sz w:val="16"/>
          <w:szCs w:val="16"/>
        </w:rPr>
        <w:t xml:space="preserve"> у военных самолет не вызвал (12020).</w:t>
      </w:r>
    </w:p>
    <w:p w14:paraId="62F970A6" w14:textId="77777777" w:rsidR="00665165" w:rsidRPr="00925F26" w:rsidRDefault="00665165" w:rsidP="00925F26">
      <w:pPr>
        <w:autoSpaceDE w:val="0"/>
        <w:autoSpaceDN w:val="0"/>
        <w:adjustRightInd w:val="0"/>
        <w:jc w:val="both"/>
        <w:rPr>
          <w:color w:val="000000" w:themeColor="text1"/>
          <w:sz w:val="16"/>
          <w:szCs w:val="16"/>
        </w:rPr>
      </w:pPr>
    </w:p>
    <w:p w14:paraId="166381E6"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14 мая 1945 года Ил-8 № 1 официально был подан на госиспытания.</w:t>
      </w:r>
    </w:p>
    <w:p w14:paraId="027B161F" w14:textId="77777777" w:rsidR="00ED23B9" w:rsidRPr="00925F26" w:rsidRDefault="00ED23B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сопроводительном письме начальнику 3-го отделения института генерал-майору Сафронову Ильюшин указывал: «Направляю в Ваше распоряжение для производства государственных испытаний самолет бронированный штурмовик Ил-8 АМ-42.</w:t>
      </w:r>
    </w:p>
    <w:p w14:paraId="470C5444"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Полеты по программе государственных испытаний начались лишь 27 мая. Всего до 7 июля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3F09869A"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6B7DA0E1"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4D91B6E6"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6A226367"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444C5C0E" w14:textId="77777777" w:rsidR="00ED23B9" w:rsidRPr="00925F26" w:rsidRDefault="00ED23B9"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407465AB"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4C6D3021"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3DC481E"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04C7707B"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7232E065"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24D767FF"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76BD6B4A"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5BC9E4ED"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 xml:space="preserve">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w:t>
      </w:r>
      <w:r w:rsidRPr="00925F26">
        <w:rPr>
          <w:rStyle w:val="107"/>
          <w:rFonts w:eastAsiaTheme="minorHAnsi"/>
          <w:color w:val="000000" w:themeColor="text1"/>
          <w:sz w:val="16"/>
          <w:szCs w:val="16"/>
        </w:rPr>
        <w:lastRenderedPageBreak/>
        <w:t>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6B60396D"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658808ED"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2ECB4F87" w14:textId="77777777" w:rsidR="00ED23B9" w:rsidRPr="00925F26" w:rsidRDefault="00ED23B9"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Ил-8 № 1 рекомендовался «к внедрению в серийное производство в качестве штурмовика-бомбардировщика» (17490).</w:t>
      </w:r>
    </w:p>
    <w:p w14:paraId="48B6C94E" w14:textId="77777777" w:rsidR="00ED23B9" w:rsidRPr="00925F26" w:rsidRDefault="00ED23B9" w:rsidP="00925F26">
      <w:pPr>
        <w:jc w:val="both"/>
        <w:rPr>
          <w:color w:val="000000" w:themeColor="text1"/>
          <w:sz w:val="16"/>
          <w:szCs w:val="16"/>
        </w:rPr>
      </w:pPr>
    </w:p>
    <w:p w14:paraId="275598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года Шахурин писал письмо N Н-32/2176 зам. командующего ВВС маршалу авиации Фалалееву Ф.Я. и чл. военсовета ВВС генерал-полковнику авиации Шиманову Н.С.</w:t>
      </w:r>
    </w:p>
    <w:p w14:paraId="19C133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вопросу о дополнительном оборудовании самолетов командной радиостанцией, гл. конструкторам С.В.И. и Сухому дано указание об отработке установки радиостанции РСК-4 на самолетах Ил-4 и Ер-2 с передачей последних в ГК НИИ ВВС на испытания.</w:t>
      </w:r>
    </w:p>
    <w:p w14:paraId="23D7A6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Серийный выпуск самолетов Ил-4 и Ер-2 с данными радиостанциями будет начат в III квартале текущего года (1879,137).</w:t>
      </w:r>
    </w:p>
    <w:p w14:paraId="23296838" w14:textId="77777777" w:rsidR="00665165" w:rsidRPr="00925F26" w:rsidRDefault="00665165" w:rsidP="00925F26">
      <w:pPr>
        <w:autoSpaceDE w:val="0"/>
        <w:autoSpaceDN w:val="0"/>
        <w:adjustRightInd w:val="0"/>
        <w:jc w:val="both"/>
        <w:rPr>
          <w:color w:val="000000" w:themeColor="text1"/>
          <w:sz w:val="16"/>
          <w:szCs w:val="16"/>
        </w:rPr>
      </w:pPr>
    </w:p>
    <w:p w14:paraId="068FF0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года по просьбе главного конструктора радиатора Воронина были проведены испытания нового радиатора на Як-3Т.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21 мая, возвратив машину ОКБ-115 (12047).</w:t>
      </w:r>
    </w:p>
    <w:p w14:paraId="5B087040" w14:textId="77777777" w:rsidR="00665165" w:rsidRPr="00925F26" w:rsidRDefault="00665165" w:rsidP="00925F26">
      <w:pPr>
        <w:autoSpaceDE w:val="0"/>
        <w:autoSpaceDN w:val="0"/>
        <w:adjustRightInd w:val="0"/>
        <w:jc w:val="both"/>
        <w:rPr>
          <w:color w:val="000000" w:themeColor="text1"/>
          <w:sz w:val="16"/>
          <w:szCs w:val="16"/>
        </w:rPr>
      </w:pPr>
    </w:p>
    <w:p w14:paraId="6DC7267B" w14:textId="77777777" w:rsidR="000C795D" w:rsidRPr="00925F26" w:rsidRDefault="000C795D" w:rsidP="00925F26">
      <w:pPr>
        <w:jc w:val="both"/>
        <w:rPr>
          <w:color w:val="000000" w:themeColor="text1"/>
          <w:sz w:val="16"/>
          <w:szCs w:val="16"/>
        </w:rPr>
      </w:pPr>
      <w:r w:rsidRPr="00925F26">
        <w:rPr>
          <w:color w:val="000000" w:themeColor="text1"/>
          <w:sz w:val="16"/>
          <w:szCs w:val="16"/>
        </w:rPr>
        <w:t>14 мая 1945 полёты на Як-3 с ВК-105ПД и двухступенчатым нагнетателем Э-100, с передаточным числом 9,72с пришлось прекратить со</w:t>
      </w:r>
      <w:r w:rsidRPr="00925F26">
        <w:rPr>
          <w:color w:val="000000" w:themeColor="text1"/>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0C1C37B8" w14:textId="77777777" w:rsidR="000C795D" w:rsidRPr="00925F26" w:rsidRDefault="000C795D" w:rsidP="00925F26">
      <w:pPr>
        <w:jc w:val="both"/>
        <w:rPr>
          <w:color w:val="000000" w:themeColor="text1"/>
          <w:sz w:val="16"/>
          <w:szCs w:val="16"/>
        </w:rPr>
      </w:pPr>
      <w:r w:rsidRPr="00925F26">
        <w:rPr>
          <w:color w:val="000000" w:themeColor="text1"/>
          <w:sz w:val="16"/>
          <w:szCs w:val="16"/>
        </w:rPr>
        <w:t>Ощущения И.И. Шунейко в том полёте очень образно описал И.И. Шелест:</w:t>
      </w:r>
    </w:p>
    <w:p w14:paraId="31924B36" w14:textId="77777777" w:rsidR="000C795D" w:rsidRPr="00925F26" w:rsidRDefault="000C795D" w:rsidP="00925F26">
      <w:pPr>
        <w:jc w:val="both"/>
        <w:rPr>
          <w:color w:val="000000" w:themeColor="text1"/>
          <w:sz w:val="16"/>
          <w:szCs w:val="16"/>
        </w:rPr>
      </w:pPr>
      <w:r w:rsidRPr="00925F26">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925F26">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545C2764" w14:textId="77777777" w:rsidR="000C795D" w:rsidRPr="00925F26" w:rsidRDefault="000C795D" w:rsidP="00925F26">
      <w:pPr>
        <w:jc w:val="both"/>
        <w:rPr>
          <w:color w:val="000000" w:themeColor="text1"/>
          <w:sz w:val="16"/>
          <w:szCs w:val="16"/>
        </w:rPr>
      </w:pPr>
      <w:r w:rsidRPr="00925F26">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925F26">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6E5FF9D2" w14:textId="77777777" w:rsidR="000C795D" w:rsidRPr="00925F26" w:rsidRDefault="000C795D" w:rsidP="00925F26">
      <w:pPr>
        <w:jc w:val="both"/>
        <w:rPr>
          <w:color w:val="000000" w:themeColor="text1"/>
          <w:sz w:val="16"/>
          <w:szCs w:val="16"/>
        </w:rPr>
      </w:pPr>
      <w:r w:rsidRPr="00925F26">
        <w:rPr>
          <w:color w:val="000000" w:themeColor="text1"/>
          <w:sz w:val="16"/>
          <w:szCs w:val="16"/>
        </w:rPr>
        <w:t>«Видно, это будет наш общий потолок — и мотора и мой, — продолжал свою заме</w:t>
      </w:r>
      <w:r w:rsidRPr="00925F26">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72FFECF7" w14:textId="77777777" w:rsidR="000C795D" w:rsidRPr="00925F26" w:rsidRDefault="000C795D" w:rsidP="00925F26">
      <w:pPr>
        <w:jc w:val="both"/>
        <w:rPr>
          <w:color w:val="000000" w:themeColor="text1"/>
          <w:sz w:val="16"/>
          <w:szCs w:val="16"/>
        </w:rPr>
      </w:pPr>
      <w:r w:rsidRPr="00925F26">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925F26">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5F32AD59" w14:textId="77777777" w:rsidR="000C795D" w:rsidRPr="00925F26" w:rsidRDefault="000C795D" w:rsidP="00925F26">
      <w:pPr>
        <w:jc w:val="both"/>
        <w:rPr>
          <w:color w:val="000000" w:themeColor="text1"/>
          <w:sz w:val="16"/>
          <w:szCs w:val="16"/>
        </w:rPr>
      </w:pPr>
      <w:r w:rsidRPr="00925F26">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925F26">
        <w:rPr>
          <w:color w:val="000000" w:themeColor="text1"/>
          <w:sz w:val="16"/>
          <w:szCs w:val="16"/>
        </w:rPr>
        <w:softHyphen/>
        <w:t>лной грудью. И с этим вздохом в душу его влетела некая птица дотоле неведомой вели</w:t>
      </w:r>
      <w:r w:rsidRPr="00925F26">
        <w:rPr>
          <w:color w:val="000000" w:themeColor="text1"/>
          <w:sz w:val="16"/>
          <w:szCs w:val="16"/>
        </w:rPr>
        <w:softHyphen/>
        <w:t>кой радости. Он понял, что</w:t>
      </w:r>
      <w:r w:rsidRPr="00925F26">
        <w:rPr>
          <w:rStyle w:val="MSReferenceSansSerif85pt"/>
          <w:rFonts w:ascii="Times New Roman" w:hAnsi="Times New Roman" w:cs="Times New Roman"/>
          <w:b w:val="0"/>
          <w:i w:val="0"/>
          <w:color w:val="000000" w:themeColor="text1"/>
          <w:sz w:val="16"/>
          <w:szCs w:val="16"/>
        </w:rPr>
        <w:t xml:space="preserve"> этот день его.</w:t>
      </w:r>
      <w:r w:rsidRPr="00925F26">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363125A5" w14:textId="77777777" w:rsidR="000C795D" w:rsidRPr="00925F26" w:rsidRDefault="000C795D" w:rsidP="00925F26">
      <w:pPr>
        <w:jc w:val="both"/>
        <w:rPr>
          <w:color w:val="000000" w:themeColor="text1"/>
          <w:sz w:val="16"/>
          <w:szCs w:val="16"/>
        </w:rPr>
      </w:pPr>
      <w:r w:rsidRPr="00925F26">
        <w:rPr>
          <w:color w:val="000000" w:themeColor="text1"/>
          <w:sz w:val="16"/>
          <w:szCs w:val="16"/>
        </w:rPr>
        <w:t>Впоследствии начальник лётной части ЛИИ Даниил Степанович Зосим, сам инже</w:t>
      </w:r>
      <w:r w:rsidRPr="00925F26">
        <w:rPr>
          <w:color w:val="000000" w:themeColor="text1"/>
          <w:sz w:val="16"/>
          <w:szCs w:val="16"/>
        </w:rPr>
        <w:softHyphen/>
        <w:t>нер-лётчик, знакомый с высотными полётами (перед войной он принимал участие в ис</w:t>
      </w:r>
      <w:r w:rsidRPr="00925F26">
        <w:rPr>
          <w:color w:val="000000" w:themeColor="text1"/>
          <w:sz w:val="16"/>
          <w:szCs w:val="16"/>
        </w:rPr>
        <w:softHyphen/>
        <w:t>пытаниях одного из первых советских скафандров), спросил Шунейко:</w:t>
      </w:r>
    </w:p>
    <w:p w14:paraId="167DFD84" w14:textId="77777777" w:rsidR="000C795D" w:rsidRPr="00925F26" w:rsidRDefault="00832B68" w:rsidP="00925F26">
      <w:pPr>
        <w:tabs>
          <w:tab w:val="left" w:pos="423"/>
        </w:tabs>
        <w:jc w:val="both"/>
        <w:rPr>
          <w:color w:val="000000" w:themeColor="text1"/>
          <w:sz w:val="16"/>
          <w:szCs w:val="16"/>
        </w:rPr>
      </w:pPr>
      <w:r w:rsidRPr="00925F26">
        <w:rPr>
          <w:color w:val="000000" w:themeColor="text1"/>
          <w:sz w:val="16"/>
          <w:szCs w:val="16"/>
        </w:rPr>
        <w:t xml:space="preserve">- </w:t>
      </w:r>
      <w:r w:rsidR="000C795D" w:rsidRPr="00925F26">
        <w:rPr>
          <w:color w:val="000000" w:themeColor="text1"/>
          <w:sz w:val="16"/>
          <w:szCs w:val="16"/>
        </w:rPr>
        <w:t>Скажи, пожалуйста, Иван Иванович, будучи на моем месте, сколько бы ты запла</w:t>
      </w:r>
      <w:r w:rsidR="000C795D" w:rsidRPr="00925F26">
        <w:rPr>
          <w:color w:val="000000" w:themeColor="text1"/>
          <w:sz w:val="16"/>
          <w:szCs w:val="16"/>
        </w:rPr>
        <w:softHyphen/>
        <w:t>тил лётчику за риск таких полётов на высоту?</w:t>
      </w:r>
    </w:p>
    <w:p w14:paraId="7A736ADF" w14:textId="77777777" w:rsidR="000C795D" w:rsidRPr="00925F26" w:rsidRDefault="000C795D" w:rsidP="00925F26">
      <w:pPr>
        <w:jc w:val="both"/>
        <w:rPr>
          <w:color w:val="000000" w:themeColor="text1"/>
          <w:sz w:val="16"/>
          <w:szCs w:val="16"/>
        </w:rPr>
      </w:pPr>
      <w:r w:rsidRPr="00925F26">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38D7D683" w14:textId="77777777" w:rsidR="000C795D" w:rsidRPr="00925F26" w:rsidRDefault="00832B68" w:rsidP="00925F26">
      <w:pPr>
        <w:tabs>
          <w:tab w:val="left" w:pos="420"/>
        </w:tabs>
        <w:jc w:val="both"/>
        <w:rPr>
          <w:color w:val="000000" w:themeColor="text1"/>
          <w:sz w:val="16"/>
          <w:szCs w:val="16"/>
        </w:rPr>
      </w:pPr>
      <w:r w:rsidRPr="00925F26">
        <w:rPr>
          <w:color w:val="000000" w:themeColor="text1"/>
          <w:sz w:val="16"/>
          <w:szCs w:val="16"/>
        </w:rPr>
        <w:t xml:space="preserve">- </w:t>
      </w:r>
      <w:r w:rsidR="000C795D" w:rsidRPr="00925F26">
        <w:rPr>
          <w:color w:val="000000" w:themeColor="text1"/>
          <w:sz w:val="16"/>
          <w:szCs w:val="16"/>
        </w:rPr>
        <w:t>На мой взгляд... эти полёты стоят столько, сколько стоит моя жизнь» (15830).</w:t>
      </w:r>
    </w:p>
    <w:p w14:paraId="4B4D2FD6" w14:textId="77777777" w:rsidR="000C795D" w:rsidRPr="00925F26" w:rsidRDefault="000C795D" w:rsidP="00925F26">
      <w:pPr>
        <w:tabs>
          <w:tab w:val="left" w:pos="420"/>
        </w:tabs>
        <w:jc w:val="both"/>
        <w:rPr>
          <w:color w:val="000000" w:themeColor="text1"/>
          <w:sz w:val="16"/>
          <w:szCs w:val="16"/>
        </w:rPr>
      </w:pPr>
    </w:p>
    <w:p w14:paraId="6B31132F" w14:textId="77777777" w:rsidR="000C795D" w:rsidRPr="00925F26" w:rsidRDefault="000C795D" w:rsidP="00925F26">
      <w:pPr>
        <w:jc w:val="both"/>
        <w:rPr>
          <w:color w:val="000000" w:themeColor="text1"/>
          <w:sz w:val="16"/>
          <w:szCs w:val="16"/>
        </w:rPr>
      </w:pPr>
      <w:r w:rsidRPr="00925F26">
        <w:rPr>
          <w:color w:val="000000" w:themeColor="text1"/>
          <w:sz w:val="16"/>
          <w:szCs w:val="16"/>
        </w:rPr>
        <w:t xml:space="preserve">14 мая в 1945 году завершили первый этап испытаний </w:t>
      </w:r>
      <w:hyperlink r:id="rId117" w:tgtFrame="_blank" w:history="1">
        <w:r w:rsidRPr="00925F26">
          <w:rPr>
            <w:color w:val="000000" w:themeColor="text1"/>
            <w:sz w:val="16"/>
            <w:szCs w:val="16"/>
          </w:rPr>
          <w:t xml:space="preserve">«Як-ЗПД» </w:t>
        </w:r>
      </w:hyperlink>
      <w:r w:rsidRPr="00925F26">
        <w:rPr>
          <w:color w:val="000000" w:themeColor="text1"/>
          <w:sz w:val="16"/>
          <w:szCs w:val="16"/>
        </w:rPr>
        <w:t>с двигателем «ВК-105ПД» № 1012-43 завода №466 с двухступенчатым нагнетателем «Э-100» (передаточное число 9,72). Испытания часто прерывались из-за ненадежной работы двигателя и ВМГ. Ввиду невозможности установить нормальный режим работы двигателя и прервали испытания (14891).</w:t>
      </w:r>
    </w:p>
    <w:p w14:paraId="54B9E83C" w14:textId="77777777" w:rsidR="000C795D" w:rsidRPr="00925F26" w:rsidRDefault="000C795D" w:rsidP="00925F26">
      <w:pPr>
        <w:jc w:val="both"/>
        <w:rPr>
          <w:color w:val="000000" w:themeColor="text1"/>
          <w:sz w:val="16"/>
          <w:szCs w:val="16"/>
        </w:rPr>
      </w:pPr>
    </w:p>
    <w:p w14:paraId="7B0F30DE" w14:textId="77777777" w:rsidR="000C795D" w:rsidRPr="00925F26" w:rsidRDefault="000C795D" w:rsidP="00925F26">
      <w:pPr>
        <w:jc w:val="both"/>
        <w:rPr>
          <w:color w:val="000000" w:themeColor="text1"/>
          <w:sz w:val="16"/>
          <w:szCs w:val="16"/>
        </w:rPr>
      </w:pPr>
      <w:r w:rsidRPr="00925F26">
        <w:rPr>
          <w:color w:val="000000" w:themeColor="text1"/>
          <w:sz w:val="16"/>
          <w:szCs w:val="16"/>
        </w:rPr>
        <w:t xml:space="preserve">14 мая в 1945 году донесение летчика-испытателя майора Антипова: «Самолет «Як-3» легко догоняет и атакует </w:t>
      </w:r>
      <w:hyperlink r:id="rId118" w:tgtFrame="_blank" w:history="1">
        <w:r w:rsidRPr="00925F26">
          <w:rPr>
            <w:color w:val="000000" w:themeColor="text1"/>
            <w:sz w:val="16"/>
            <w:szCs w:val="16"/>
          </w:rPr>
          <w:t xml:space="preserve">«Me 410» </w:t>
        </w:r>
      </w:hyperlink>
      <w:r w:rsidRPr="00925F26">
        <w:rPr>
          <w:color w:val="000000" w:themeColor="text1"/>
          <w:sz w:val="16"/>
          <w:szCs w:val="16"/>
        </w:rPr>
        <w:t xml:space="preserve">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 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незамеченным стрелком. Выход из атаки, как правило, я делал с резким набором высоты над самолетом «Me 410» с таким расчетом, чтобы не дать стрелку и летчику вести огонь. В процессе боя Як-3 сохранял преимущество в высоте и скорости. При полете «Me 410» с максимальной скоростью на высоте 200-300 м самолет «Як-3», имея превышение в высоте, легко его </w:t>
      </w:r>
      <w:proofErr w:type="gramStart"/>
      <w:r w:rsidRPr="00925F26">
        <w:rPr>
          <w:color w:val="000000" w:themeColor="text1"/>
          <w:sz w:val="16"/>
          <w:szCs w:val="16"/>
        </w:rPr>
        <w:t>догоняет</w:t>
      </w:r>
      <w:proofErr w:type="gramEnd"/>
      <w:r w:rsidRPr="00925F26">
        <w:rPr>
          <w:color w:val="000000" w:themeColor="text1"/>
          <w:sz w:val="16"/>
          <w:szCs w:val="16"/>
        </w:rPr>
        <w:t xml:space="preserve"> Но атаки в этом случае возможно провести только сзади сбоку под ракурсом не более 2/ 4, почти все время находясь в поле зрения </w:t>
      </w:r>
      <w:proofErr w:type="gramStart"/>
      <w:r w:rsidRPr="00925F26">
        <w:rPr>
          <w:color w:val="000000" w:themeColor="text1"/>
          <w:sz w:val="16"/>
          <w:szCs w:val="16"/>
        </w:rPr>
        <w:t>стрелка</w:t>
      </w:r>
      <w:proofErr w:type="gramEnd"/>
      <w:r w:rsidRPr="00925F26">
        <w:rPr>
          <w:color w:val="000000" w:themeColor="text1"/>
          <w:sz w:val="16"/>
          <w:szCs w:val="16"/>
        </w:rPr>
        <w:t xml:space="preserve"> Атаковать сзади снизу трудно, можно врезаться в землю. 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 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 Летчику самолета «Me 410» не удалось ни разу прицелиться по самолету «Як-3». Выгоднее всего вести воздушный бой с «Ме-410» на средних высотах 1000-1400 метров Легче всего «Me 410» уйти от атак истребителя на низкой высоте». В Советском Союзе во время войны специалисты ГК НИИ ВВС КА испытали целый ряд трофейных самолётов Люфтваффе. Не стал исключением и «Me 410» "Шершень", облётанный на аэродроме института в самом конце Второй мировой. 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 (14891).</w:t>
      </w:r>
    </w:p>
    <w:p w14:paraId="10D2A425" w14:textId="77777777" w:rsidR="000C795D" w:rsidRPr="00925F26" w:rsidRDefault="000C795D" w:rsidP="00925F26">
      <w:pPr>
        <w:jc w:val="both"/>
        <w:rPr>
          <w:color w:val="000000" w:themeColor="text1"/>
          <w:sz w:val="16"/>
          <w:szCs w:val="16"/>
        </w:rPr>
      </w:pPr>
    </w:p>
    <w:p w14:paraId="7BEFDD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на Як-3 с РД произошел разрыв РД-1ХЗ по критическому сечению (2234,9).</w:t>
      </w:r>
    </w:p>
    <w:p w14:paraId="3C19406C" w14:textId="77777777" w:rsidR="00665165" w:rsidRPr="00925F26" w:rsidRDefault="00665165" w:rsidP="00925F26">
      <w:pPr>
        <w:autoSpaceDE w:val="0"/>
        <w:autoSpaceDN w:val="0"/>
        <w:adjustRightInd w:val="0"/>
        <w:jc w:val="both"/>
        <w:rPr>
          <w:color w:val="000000" w:themeColor="text1"/>
          <w:sz w:val="16"/>
          <w:szCs w:val="16"/>
        </w:rPr>
      </w:pPr>
    </w:p>
    <w:p w14:paraId="2FC936CB" w14:textId="77777777" w:rsidR="00E74102" w:rsidRPr="00925F26" w:rsidRDefault="00E74102" w:rsidP="00925F26">
      <w:pPr>
        <w:shd w:val="clear" w:color="auto" w:fill="FFFFFF"/>
        <w:jc w:val="both"/>
        <w:rPr>
          <w:color w:val="000000" w:themeColor="text1"/>
          <w:sz w:val="16"/>
          <w:szCs w:val="16"/>
        </w:rPr>
      </w:pPr>
      <w:r w:rsidRPr="00925F26">
        <w:rPr>
          <w:color w:val="000000" w:themeColor="text1"/>
          <w:sz w:val="16"/>
          <w:szCs w:val="16"/>
        </w:rPr>
        <w:t>14 мая 1945 в полете при пуске произошла вспышка, раз рушившая сопло двигателя Як-3РД. По заключению. В.П. Глушко, причиной явилось засорение пускового клапана стружкой, попавшей в двигатель при его сборке на заводе, и общая недо веденность пусковой химической системы. Плохо работала ав томатика РД, не раз приводившая к непроизвольному выклю чению двигателя.</w:t>
      </w:r>
    </w:p>
    <w:p w14:paraId="5547CF21" w14:textId="77777777" w:rsidR="00E74102" w:rsidRPr="00925F26" w:rsidRDefault="00E74102" w:rsidP="00925F26">
      <w:pPr>
        <w:shd w:val="clear" w:color="auto" w:fill="FFFFFF"/>
        <w:jc w:val="both"/>
        <w:rPr>
          <w:color w:val="000000" w:themeColor="text1"/>
          <w:sz w:val="16"/>
          <w:szCs w:val="16"/>
        </w:rPr>
      </w:pPr>
    </w:p>
    <w:p w14:paraId="3EE20678" w14:textId="77777777" w:rsidR="000C795D" w:rsidRPr="00925F26" w:rsidRDefault="000C795D" w:rsidP="00925F26">
      <w:pPr>
        <w:jc w:val="both"/>
        <w:rPr>
          <w:color w:val="000000" w:themeColor="text1"/>
          <w:sz w:val="16"/>
          <w:szCs w:val="16"/>
        </w:rPr>
      </w:pPr>
      <w:r w:rsidRPr="00925F26">
        <w:rPr>
          <w:color w:val="000000" w:themeColor="text1"/>
          <w:sz w:val="16"/>
          <w:szCs w:val="16"/>
        </w:rPr>
        <w:t xml:space="preserve">14 мая в 1945 году в ходе первого же полета взорвался ракетный ускоритель «РД-1» на самолете «Як-3РД». Одним из поршневых самолетов, оснащенных ракетным ускорителем, стал «Як-3». Работы над самолетом начались в декабре 1944 года, а к заводским испытаниям приступили 22 декабря 1944 года. Самолет совершил 21 полет, в том числе 8 с использованием ускорителя «РД-1» с тягой 300 кгсВ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 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«РД-1ХЗ». Химическое зажигание сработало, но не так как надо. Испытания показали, что с реактивным ускорителем самолет развивает скорость 732 км/ч на высоте 2700 м, 765 км/ч на высоте 6500 м и 782 км/ч на высоте 7800 м. Подсчеты показали, что на высоте 10000 метров ускоритель способен дать прирост к скорости до 840 км/ч. Постоянные проблемы с ускорителем привели к тому, что «Як-3РД» отправили в конструкторское бюро для доработки. Полеты возобновили 14 августа 1945 года, когда самолет участвовал в параде, посвященном дню советских ВВС. Спустя два дня произошла катастрофа. Набрав высоту </w:t>
      </w:r>
      <w:proofErr w:type="gramStart"/>
      <w:r w:rsidRPr="00925F26">
        <w:rPr>
          <w:color w:val="000000" w:themeColor="text1"/>
          <w:sz w:val="16"/>
          <w:szCs w:val="16"/>
        </w:rPr>
        <w:t>2500 метров</w:t>
      </w:r>
      <w:proofErr w:type="gramEnd"/>
      <w:r w:rsidRPr="00925F26">
        <w:rPr>
          <w:color w:val="000000" w:themeColor="text1"/>
          <w:sz w:val="16"/>
          <w:szCs w:val="16"/>
        </w:rPr>
        <w:t xml:space="preserve"> машина вдруг перешла в </w:t>
      </w:r>
      <w:r w:rsidRPr="00925F26">
        <w:rPr>
          <w:color w:val="000000" w:themeColor="text1"/>
          <w:sz w:val="16"/>
          <w:szCs w:val="16"/>
        </w:rPr>
        <w:lastRenderedPageBreak/>
        <w:t>пикирование, угол которого постоянно рос. В момент удара о землю самолет пикировал уже под углом 50 градусов. Летчик-испытатель В.Л.Расторгуев погиб, дальнейших работ над машиной не проводили (14891).</w:t>
      </w:r>
    </w:p>
    <w:p w14:paraId="001F0F80" w14:textId="77777777" w:rsidR="000C795D" w:rsidRPr="00925F26" w:rsidRDefault="000C795D" w:rsidP="00925F26">
      <w:pPr>
        <w:jc w:val="both"/>
        <w:rPr>
          <w:color w:val="000000" w:themeColor="text1"/>
          <w:sz w:val="16"/>
          <w:szCs w:val="16"/>
        </w:rPr>
      </w:pPr>
    </w:p>
    <w:p w14:paraId="42A25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года в первый же день испытания РД-1ХЗ №018 с химическим зажиганием на Як-3РД во время запуска произошел взрыв, разрушивший двигатель. РД-1 с электрическим зажиганием, наработавший 18 минут 50 секунд, заменили на РД-1ХЗ №018 с химическим зажиганием из-за низкой надежности первого.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68D0CA6C" w14:textId="77777777" w:rsidR="00665165" w:rsidRPr="00925F26" w:rsidRDefault="00665165" w:rsidP="00925F26">
      <w:pPr>
        <w:autoSpaceDE w:val="0"/>
        <w:autoSpaceDN w:val="0"/>
        <w:adjustRightInd w:val="0"/>
        <w:jc w:val="both"/>
        <w:rPr>
          <w:color w:val="000000" w:themeColor="text1"/>
          <w:sz w:val="16"/>
          <w:szCs w:val="16"/>
        </w:rPr>
      </w:pPr>
    </w:p>
    <w:p w14:paraId="6B554461" w14:textId="77777777" w:rsidR="00F226AF" w:rsidRPr="001A0BAA" w:rsidRDefault="00F226AF" w:rsidP="00F226AF">
      <w:pPr>
        <w:jc w:val="both"/>
        <w:rPr>
          <w:color w:val="0070C0"/>
          <w:sz w:val="16"/>
          <w:szCs w:val="16"/>
        </w:rPr>
      </w:pPr>
      <w:r w:rsidRPr="001A0BAA">
        <w:rPr>
          <w:color w:val="0070C0"/>
          <w:sz w:val="16"/>
          <w:szCs w:val="16"/>
        </w:rPr>
        <w:t>14 мая 1945 года в ходе первого же полета Як-3РД с химически зажиганием ускоритель РД</w:t>
      </w:r>
      <w:r w:rsidRPr="001A0BAA">
        <w:rPr>
          <w:color w:val="0070C0"/>
          <w:sz w:val="16"/>
          <w:szCs w:val="16"/>
        </w:rPr>
        <w:noBreakHyphen/>
        <w:t>1ХЗ взорвался.</w:t>
      </w:r>
    </w:p>
    <w:p w14:paraId="412D3ABE" w14:textId="77777777" w:rsidR="00F226AF" w:rsidRPr="001A0BAA" w:rsidRDefault="00F226AF" w:rsidP="00F226AF">
      <w:pPr>
        <w:jc w:val="both"/>
        <w:rPr>
          <w:color w:val="0070C0"/>
          <w:sz w:val="16"/>
          <w:szCs w:val="16"/>
        </w:rPr>
      </w:pPr>
      <w:r w:rsidRPr="001A0BAA">
        <w:rPr>
          <w:color w:val="0070C0"/>
          <w:sz w:val="16"/>
          <w:szCs w:val="16"/>
        </w:rPr>
        <w:t>Испытания показали, что с реактивным ускорителем самолет развивает скорость 732 км/ч на высоте 2700 м, 765 км/ ч на высоте 6500 м и 782 км/ч на высоте 7800 м. Подсчеты показали, что на высоте 10000 метров ускоритель способен дать прирост к скорости до 840 км/ч.</w:t>
      </w:r>
    </w:p>
    <w:p w14:paraId="7F336E73" w14:textId="77777777" w:rsidR="00F226AF" w:rsidRPr="001A0BAA" w:rsidRDefault="00F226AF" w:rsidP="00F226AF">
      <w:pPr>
        <w:jc w:val="both"/>
        <w:rPr>
          <w:color w:val="0070C0"/>
          <w:sz w:val="16"/>
          <w:szCs w:val="16"/>
        </w:rPr>
      </w:pPr>
      <w:r w:rsidRPr="001A0BAA">
        <w:rPr>
          <w:color w:val="0070C0"/>
          <w:sz w:val="16"/>
          <w:szCs w:val="16"/>
        </w:rPr>
        <w:t>Постоянные проблемы с ускорителем привели к тому, что Як</w:t>
      </w:r>
      <w:r w:rsidRPr="001A0BAA">
        <w:rPr>
          <w:color w:val="0070C0"/>
          <w:sz w:val="16"/>
          <w:szCs w:val="16"/>
        </w:rPr>
        <w:noBreakHyphen/>
        <w:t>3РД отправили в конструкторское бюро для доработки (25076).</w:t>
      </w:r>
    </w:p>
    <w:p w14:paraId="73213367" w14:textId="77777777" w:rsidR="00F226AF" w:rsidRPr="001A0BAA" w:rsidRDefault="00F226AF" w:rsidP="00F226AF">
      <w:pPr>
        <w:jc w:val="both"/>
        <w:rPr>
          <w:color w:val="0070C0"/>
          <w:sz w:val="16"/>
          <w:szCs w:val="16"/>
        </w:rPr>
      </w:pPr>
    </w:p>
    <w:p w14:paraId="5BBDD98C" w14:textId="77777777" w:rsidR="00F226AF" w:rsidRPr="00925F26" w:rsidRDefault="00F226AF" w:rsidP="00F226AF">
      <w:pPr>
        <w:autoSpaceDE w:val="0"/>
        <w:autoSpaceDN w:val="0"/>
        <w:adjustRightInd w:val="0"/>
        <w:jc w:val="both"/>
        <w:rPr>
          <w:color w:val="000000" w:themeColor="text1"/>
          <w:sz w:val="16"/>
          <w:szCs w:val="16"/>
        </w:rPr>
      </w:pPr>
      <w:r w:rsidRPr="00925F26">
        <w:rPr>
          <w:color w:val="000000" w:themeColor="text1"/>
          <w:sz w:val="16"/>
          <w:szCs w:val="16"/>
        </w:rPr>
        <w:t>14 мая 1945 С.П.К. участвовал в работе комиссии по определению причин аварии 12 мая 1945 г. двигателя РД-1 на самолете "Ла-7Р" № 02 (Там же, № 123) (10676).</w:t>
      </w:r>
    </w:p>
    <w:p w14:paraId="1D4FB5B0" w14:textId="77777777" w:rsidR="00F226AF" w:rsidRPr="00925F26" w:rsidRDefault="00F226AF" w:rsidP="00F226AF">
      <w:pPr>
        <w:autoSpaceDE w:val="0"/>
        <w:autoSpaceDN w:val="0"/>
        <w:adjustRightInd w:val="0"/>
        <w:jc w:val="both"/>
        <w:rPr>
          <w:color w:val="000000" w:themeColor="text1"/>
          <w:sz w:val="16"/>
          <w:szCs w:val="16"/>
        </w:rPr>
      </w:pPr>
    </w:p>
    <w:p w14:paraId="2CF283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вышел приказ НКАП N 207с "О подготовке производства пассажирских самолетов конструктора А.С.Я. на заводе 387"</w:t>
      </w:r>
    </w:p>
    <w:p w14:paraId="6EB71E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подготовки производства к выпуску пассажирского самолета с М-11 конструкции А.С.Я. (Як-14) на заводе 387:</w:t>
      </w:r>
    </w:p>
    <w:p w14:paraId="022925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387 И.В.Федину:</w:t>
      </w:r>
    </w:p>
    <w:p w14:paraId="7F988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приступить к подготовке производства по выпуску на заводе пассажирского самолета конструкции А.С.Я. (Як-14) со сроком окончания подготовки производства не позднее 15 августа с.г.</w:t>
      </w:r>
    </w:p>
    <w:p w14:paraId="1A8ADD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для отработки и </w:t>
      </w:r>
      <w:proofErr w:type="gramStart"/>
      <w:r w:rsidRPr="00925F26">
        <w:rPr>
          <w:color w:val="000000" w:themeColor="text1"/>
          <w:sz w:val="16"/>
          <w:szCs w:val="16"/>
        </w:rPr>
        <w:t>проверки</w:t>
      </w:r>
      <w:proofErr w:type="gramEnd"/>
      <w:r w:rsidRPr="00925F26">
        <w:rPr>
          <w:color w:val="000000" w:themeColor="text1"/>
          <w:sz w:val="16"/>
          <w:szCs w:val="16"/>
        </w:rPr>
        <w:t xml:space="preserve"> изготовленной тех. документации, оснастки, спецификаций изготовить 5 самолетов со сроками сдачи: 2-х к 25 августа, 3-х к 25 сентября (1898,57).</w:t>
      </w:r>
    </w:p>
    <w:p w14:paraId="5C6DC9B0" w14:textId="77777777" w:rsidR="00665165" w:rsidRPr="00925F26" w:rsidRDefault="00665165" w:rsidP="00925F26">
      <w:pPr>
        <w:autoSpaceDE w:val="0"/>
        <w:autoSpaceDN w:val="0"/>
        <w:adjustRightInd w:val="0"/>
        <w:jc w:val="both"/>
        <w:rPr>
          <w:color w:val="000000" w:themeColor="text1"/>
          <w:sz w:val="16"/>
          <w:szCs w:val="16"/>
        </w:rPr>
      </w:pPr>
    </w:p>
    <w:p w14:paraId="7ADF48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вышел приказ НКАП N 208с:</w:t>
      </w:r>
    </w:p>
    <w:p w14:paraId="62EAF9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подготовки производства к выпуску 2-х моторных пассажирских самолетов с М-11МФ конструкции А.С.Я. (Як-8) на заводе 135:</w:t>
      </w:r>
    </w:p>
    <w:p w14:paraId="6B6A1E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Нач. 11 ГУ И.В.Куликову и директору завода 135 И.М.Кузину:</w:t>
      </w:r>
    </w:p>
    <w:p w14:paraId="611137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приступить к подготовке производства по выпуску на заводе 2-х моторных пассажирских самолетов конструкции А.С.Я. (Як-8) со сроком окончания подготовки производства не позднее 10 августа с.г.</w:t>
      </w:r>
    </w:p>
    <w:p w14:paraId="6C8B90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для отработки и </w:t>
      </w:r>
      <w:proofErr w:type="gramStart"/>
      <w:r w:rsidRPr="00925F26">
        <w:rPr>
          <w:color w:val="000000" w:themeColor="text1"/>
          <w:sz w:val="16"/>
          <w:szCs w:val="16"/>
        </w:rPr>
        <w:t>проверки</w:t>
      </w:r>
      <w:proofErr w:type="gramEnd"/>
      <w:r w:rsidRPr="00925F26">
        <w:rPr>
          <w:color w:val="000000" w:themeColor="text1"/>
          <w:sz w:val="16"/>
          <w:szCs w:val="16"/>
        </w:rPr>
        <w:t xml:space="preserve"> изготовленной тех. документации, оснастки, спецификаций изготовить 5 самолетов со сроками сдачи: 1-го к 25 августа, 2-х к 15 сентября, 2-х к 25 сентября с.г. (1898,57).</w:t>
      </w:r>
    </w:p>
    <w:p w14:paraId="413EFE1C" w14:textId="77777777" w:rsidR="00665165" w:rsidRPr="00925F26" w:rsidRDefault="00665165" w:rsidP="00925F26">
      <w:pPr>
        <w:autoSpaceDE w:val="0"/>
        <w:autoSpaceDN w:val="0"/>
        <w:adjustRightInd w:val="0"/>
        <w:jc w:val="both"/>
        <w:rPr>
          <w:color w:val="000000" w:themeColor="text1"/>
          <w:sz w:val="16"/>
          <w:szCs w:val="16"/>
        </w:rPr>
      </w:pPr>
    </w:p>
    <w:p w14:paraId="28A75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было подготовлено донесение летчика-испытателя майора Антипова по испытаниям Ме-410:</w:t>
      </w:r>
    </w:p>
    <w:p w14:paraId="370A82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Як-3 легко догоняет и атакует Me 410 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w:t>
      </w:r>
    </w:p>
    <w:p w14:paraId="294B36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незамеченным стрелком.</w:t>
      </w:r>
    </w:p>
    <w:p w14:paraId="456A00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Выход из атаки, как правило, я делал с резким набором высоты над самолетом Me 410 с таким расчетом, чтобы не дать стрелку и летчику вести огонь.</w:t>
      </w:r>
    </w:p>
    <w:p w14:paraId="0E9ADE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процессе боя Як-3 сохранял преимущество в высоте и скорости.</w:t>
      </w:r>
    </w:p>
    <w:p w14:paraId="664721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полете Me 410 с максимальной скоростью на высоте 200-300 м самолет Як-3, имея превышение в высоте. легко его догоняет. Но атаки в этом случае возможно провести только сзади сбоку под ракурсом не более 2/ 4, почти все время находясь в поле зрения стрелка. Атаковать сзади снизу трудно, можно врезаться в землю.</w:t>
      </w:r>
    </w:p>
    <w:p w14:paraId="51D088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w:t>
      </w:r>
    </w:p>
    <w:p w14:paraId="481AF9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w:t>
      </w:r>
    </w:p>
    <w:p w14:paraId="4DE575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Летчику самолета Me 410 не удалось ни разу прицелиться по самолету Як-3.</w:t>
      </w:r>
    </w:p>
    <w:p w14:paraId="76E1A3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Выгоднее всего вести воздушный бой с Ме-410 на средних высотах 1000-1400 метров. Легче всего Me 410 уйти от атак истребителя на низкой высоте" (6407).</w:t>
      </w:r>
    </w:p>
    <w:p w14:paraId="4958C3A2" w14:textId="77777777" w:rsidR="00665165" w:rsidRPr="00925F26" w:rsidRDefault="00665165" w:rsidP="00925F26">
      <w:pPr>
        <w:autoSpaceDE w:val="0"/>
        <w:autoSpaceDN w:val="0"/>
        <w:adjustRightInd w:val="0"/>
        <w:jc w:val="both"/>
        <w:rPr>
          <w:color w:val="000000" w:themeColor="text1"/>
          <w:sz w:val="16"/>
          <w:szCs w:val="16"/>
        </w:rPr>
      </w:pPr>
    </w:p>
    <w:p w14:paraId="6D55F00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4E6E02B" w14:textId="77777777" w:rsidR="00665165" w:rsidRPr="00925F26" w:rsidRDefault="00665165" w:rsidP="00925F26">
      <w:pPr>
        <w:autoSpaceDE w:val="0"/>
        <w:autoSpaceDN w:val="0"/>
        <w:adjustRightInd w:val="0"/>
        <w:jc w:val="both"/>
        <w:rPr>
          <w:iCs/>
          <w:color w:val="000000" w:themeColor="text1"/>
          <w:sz w:val="16"/>
          <w:szCs w:val="16"/>
        </w:rPr>
      </w:pPr>
    </w:p>
    <w:p w14:paraId="783282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1941 Л. БЕРИЯ Г. МАЛЕНКОВ писали письмо № 552/</w:t>
      </w:r>
      <w:proofErr w:type="gramStart"/>
      <w:r w:rsidRPr="00925F26">
        <w:rPr>
          <w:color w:val="000000" w:themeColor="text1"/>
          <w:sz w:val="16"/>
          <w:szCs w:val="16"/>
        </w:rPr>
        <w:t>б Совершенно</w:t>
      </w:r>
      <w:proofErr w:type="gramEnd"/>
      <w:r w:rsidRPr="00925F26">
        <w:rPr>
          <w:color w:val="000000" w:themeColor="text1"/>
          <w:sz w:val="16"/>
          <w:szCs w:val="16"/>
        </w:rPr>
        <w:t xml:space="preserve"> секретно</w:t>
      </w:r>
    </w:p>
    <w:p w14:paraId="44D86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Экз. № 1</w:t>
      </w:r>
    </w:p>
    <w:p w14:paraId="3CB5ED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т.т. Берия, Маленкова.</w:t>
      </w:r>
    </w:p>
    <w:p w14:paraId="2A6D57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w:t>
      </w:r>
    </w:p>
    <w:p w14:paraId="3FB54C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товарищу СТАЛИНУ И. В.</w:t>
      </w:r>
    </w:p>
    <w:p w14:paraId="2946D8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Посланной, для обнаружения институтов, лабораторий и предприятий, имеющих отношение к разработке проблемы урана, комиссией НКВД СССР установлены следующие учреждения:</w:t>
      </w:r>
    </w:p>
    <w:p w14:paraId="1DE002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Берлинский физический институт имени кайзера Вильгельма, в котором имеется ценное оборудование - высоковольтная установка на полтора миллиона вольт, механическая мастерская и лаборатория низких температур для получения жидкого азота, водорода и гелия. Там же найдено 250 килограмм металлического урана, 3 тонны окиси урана, 20 литров тяжелой воды и 0,5 грамма радия.</w:t>
      </w:r>
    </w:p>
    <w:p w14:paraId="35BD6B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построен, главным образом, на деньги США и находится в районе предполагаемого расположения союзников.</w:t>
      </w:r>
    </w:p>
    <w:p w14:paraId="3ECEEF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Частный институт ученого фон Арденнэ, лаборатория которого является ведущей в области электронной микроскопии во всем мире.</w:t>
      </w:r>
    </w:p>
    <w:p w14:paraId="23B826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институте имеется оборудование - электронный микроскоп с силой увеличения в 300.000 раз (единственный в мире экземпляр), циклотрон с электромагнитом в 60 тонн, принадлежащий министерству связи, высоковольтная установка на 1 миллион вольт, прибор для передачи стереоскопических картин на большой экран и другое оборудование.</w:t>
      </w:r>
    </w:p>
    <w:p w14:paraId="6AA6AC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Фон Арденнэ является крупнейшим ученым, единственным в мире специалистом по электронной микроскопии - имеющий важное значение для физики, биологии и медицины. Имеются сведения, что фон Арденнэ занимался проблемой урана. </w:t>
      </w:r>
    </w:p>
    <w:p w14:paraId="17350F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Фон Арденнэ передал председателю комиссии тов. МАХНЕВУ заявление на имя Совета Народных Комиссаров Союза ССР с тем, что он хочет работать с русскими физиками и предоставляет институт и самого себя в распоряжение Советского Правительства.</w:t>
      </w:r>
    </w:p>
    <w:p w14:paraId="698E7F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Циклотронная лаборатория профессора ГЕРЦА в Берлине. Установка имеет полный комплект нового оборудования, вес электромагнита циклотрона - 70 тонн. Руководитель лаборатории профессор ГЕРЦ находится при лаборатории.</w:t>
      </w:r>
    </w:p>
    <w:p w14:paraId="1ACD53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Исследовательский институт Германского министерства связи по ядерной физике.</w:t>
      </w:r>
    </w:p>
    <w:p w14:paraId="5214B0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создан во время войны. Имеет циклотронную лабораторию, построенную в соответствии с последними требованиями науки и техники. Циклотрон с электромагнитным весом 60 тонн, высокочастотная установка и силовая подстанция к нему почти полностью смонтированные.</w:t>
      </w:r>
    </w:p>
    <w:p w14:paraId="7EC892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лаборатории имеется специальный зал высоковольтной установки, напряжением в 3 миллиона вольт, смонтированной на 50%.</w:t>
      </w:r>
    </w:p>
    <w:p w14:paraId="6FB221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Завод общества АУЭРА (размещен на химической фабрике концерна ДЕГУСА) по переработке окиси урана в металлический порошок, мощностью до 500 килограмм порошка в месяц, печи и другое оборудование в исправности.</w:t>
      </w:r>
    </w:p>
    <w:p w14:paraId="1FB702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Склад редких материалов на химической фабрике общество АУЭРА, на котором находятся редкие металлы: металлического урана в порошке - 570 килограмм, тоже не переработанного - 300 килограмм, металлического титана 19 кг., металлического тория - 40 килограмм и металлического циркония - 185 килограмм.</w:t>
      </w:r>
    </w:p>
    <w:p w14:paraId="4AF01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Указанные предприятия, оборудование и металл взяты, до решения вопроса об их вывозе, под охрану войск НКВД.</w:t>
      </w:r>
    </w:p>
    <w:p w14:paraId="76F53C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Учитывая исключительную важность для Советского Союза всего перечисленного оборудования и материалов, просим Вашего решения о демонтаже и вывозе оборудования в СССР и другого имущества институтов и предприятий.</w:t>
      </w:r>
    </w:p>
    <w:p w14:paraId="3925C9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считаем целесообразным использовать в Советском Союзе немецких специалистов: фон Арденнэ, Герца и других научных работников институтов и лабораторий.</w:t>
      </w:r>
    </w:p>
    <w:p w14:paraId="79A5DD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Проектов постановления Государственного Комитета Обороны прилагается.</w:t>
      </w:r>
    </w:p>
    <w:p w14:paraId="6B30A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Л. БЕРИЯ Г. МАЛЕНКОВ "14" мая 1945 г. № 552/б (11813).</w:t>
      </w:r>
    </w:p>
    <w:p w14:paraId="44DD16B1" w14:textId="77777777" w:rsidR="000C795D" w:rsidRPr="00925F26" w:rsidRDefault="000C795D" w:rsidP="00925F26">
      <w:pPr>
        <w:autoSpaceDE w:val="0"/>
        <w:autoSpaceDN w:val="0"/>
        <w:adjustRightInd w:val="0"/>
        <w:jc w:val="both"/>
        <w:rPr>
          <w:iCs/>
          <w:color w:val="000000" w:themeColor="text1"/>
          <w:sz w:val="16"/>
          <w:szCs w:val="16"/>
        </w:rPr>
      </w:pPr>
    </w:p>
    <w:p w14:paraId="70BC650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67CD0DB" w14:textId="77777777" w:rsidR="00665165" w:rsidRPr="00925F26" w:rsidRDefault="00665165" w:rsidP="00925F26">
      <w:pPr>
        <w:autoSpaceDE w:val="0"/>
        <w:autoSpaceDN w:val="0"/>
        <w:adjustRightInd w:val="0"/>
        <w:jc w:val="both"/>
        <w:rPr>
          <w:iCs/>
          <w:color w:val="000000" w:themeColor="text1"/>
          <w:sz w:val="16"/>
          <w:szCs w:val="16"/>
        </w:rPr>
      </w:pPr>
    </w:p>
    <w:p w14:paraId="7D65193A" w14:textId="77777777" w:rsidR="000C795D" w:rsidRPr="00925F26" w:rsidRDefault="000C795D" w:rsidP="00925F26">
      <w:pPr>
        <w:jc w:val="both"/>
        <w:rPr>
          <w:color w:val="000000" w:themeColor="text1"/>
          <w:sz w:val="16"/>
          <w:szCs w:val="16"/>
        </w:rPr>
      </w:pPr>
      <w:r w:rsidRPr="00925F26">
        <w:rPr>
          <w:color w:val="000000" w:themeColor="text1"/>
          <w:sz w:val="16"/>
          <w:szCs w:val="16"/>
        </w:rPr>
        <w:t>14 мая в 1945 году оперативная сводка Совинформбюро:</w:t>
      </w:r>
    </w:p>
    <w:p w14:paraId="2A85C4B3" w14:textId="77777777" w:rsidR="000C795D" w:rsidRPr="00925F26" w:rsidRDefault="000C795D" w:rsidP="00925F26">
      <w:pPr>
        <w:jc w:val="both"/>
        <w:rPr>
          <w:color w:val="000000" w:themeColor="text1"/>
          <w:sz w:val="16"/>
          <w:szCs w:val="16"/>
        </w:rPr>
      </w:pPr>
      <w:r w:rsidRPr="00925F26">
        <w:rPr>
          <w:color w:val="000000" w:themeColor="text1"/>
          <w:sz w:val="16"/>
          <w:szCs w:val="16"/>
        </w:rPr>
        <w:t>«Количество пленных, сообщённое в оперативной сводке Советского Информбюро за 13 мая, увеличилось за 14 мая по всем фронтам на 170 тысяч немецких солдат и офицеров и 10 генералов.</w:t>
      </w:r>
    </w:p>
    <w:p w14:paraId="68D7DFF7" w14:textId="77777777" w:rsidR="000C795D" w:rsidRPr="00925F26" w:rsidRDefault="000C795D" w:rsidP="00925F26">
      <w:pPr>
        <w:jc w:val="both"/>
        <w:rPr>
          <w:color w:val="000000" w:themeColor="text1"/>
          <w:sz w:val="16"/>
          <w:szCs w:val="16"/>
        </w:rPr>
      </w:pPr>
      <w:r w:rsidRPr="00925F26">
        <w:rPr>
          <w:color w:val="000000" w:themeColor="text1"/>
          <w:sz w:val="16"/>
          <w:szCs w:val="16"/>
        </w:rPr>
        <w:t>Всего, таким образом, с 9 по 14 мая на всех фронтах взято в плен более 1 миллиона 230 тысяч немецких солдат и офицеров и 101 генерал.» (14891).</w:t>
      </w:r>
    </w:p>
    <w:p w14:paraId="3CB7F7DF" w14:textId="77777777" w:rsidR="000C795D" w:rsidRPr="00925F26" w:rsidRDefault="000C795D" w:rsidP="00925F26">
      <w:pPr>
        <w:jc w:val="both"/>
        <w:rPr>
          <w:color w:val="000000" w:themeColor="text1"/>
          <w:sz w:val="16"/>
          <w:szCs w:val="16"/>
        </w:rPr>
      </w:pPr>
    </w:p>
    <w:p w14:paraId="78AD0A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14/15 мая 1945 255 иап, базировавшемуся на аэродроме Ваенга-1 поступили Тандерболты P-47D-22RE, пригнанные в сентябре 1944 из Ирана л 65 перегонного авиаполка ВМФ. Заменили Аэрокобры на год, а потом их передали на консервацию (1807,29).</w:t>
      </w:r>
    </w:p>
    <w:p w14:paraId="21784D81" w14:textId="77777777" w:rsidR="00665165" w:rsidRPr="00925F26" w:rsidRDefault="00665165" w:rsidP="00925F26">
      <w:pPr>
        <w:autoSpaceDE w:val="0"/>
        <w:autoSpaceDN w:val="0"/>
        <w:adjustRightInd w:val="0"/>
        <w:jc w:val="both"/>
        <w:rPr>
          <w:color w:val="000000" w:themeColor="text1"/>
          <w:sz w:val="16"/>
          <w:szCs w:val="16"/>
        </w:rPr>
      </w:pPr>
    </w:p>
    <w:p w14:paraId="1F421D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14 по 20 мая 3 чехословацкий шап базировался на аэродроме Кбелы (241,40).</w:t>
      </w:r>
    </w:p>
    <w:p w14:paraId="467307A7" w14:textId="77777777" w:rsidR="00665165" w:rsidRPr="00925F26" w:rsidRDefault="00665165" w:rsidP="00925F26">
      <w:pPr>
        <w:autoSpaceDE w:val="0"/>
        <w:autoSpaceDN w:val="0"/>
        <w:adjustRightInd w:val="0"/>
        <w:jc w:val="both"/>
        <w:rPr>
          <w:color w:val="000000" w:themeColor="text1"/>
          <w:sz w:val="16"/>
          <w:szCs w:val="16"/>
        </w:rPr>
      </w:pPr>
    </w:p>
    <w:p w14:paraId="45F95C1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A4E068B" w14:textId="77777777" w:rsidR="00665165" w:rsidRPr="00925F26" w:rsidRDefault="00665165" w:rsidP="00925F26">
      <w:pPr>
        <w:autoSpaceDE w:val="0"/>
        <w:autoSpaceDN w:val="0"/>
        <w:adjustRightInd w:val="0"/>
        <w:jc w:val="both"/>
        <w:rPr>
          <w:iCs/>
          <w:color w:val="000000" w:themeColor="text1"/>
          <w:sz w:val="16"/>
          <w:szCs w:val="16"/>
        </w:rPr>
      </w:pPr>
    </w:p>
    <w:p w14:paraId="6E5DBA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вышло Распоряжение ГКО № 8556. О мерах по обеспечению ввода в действие производственных мощностей на Подольском цементном заводе и на цементном заводе "Гигант" НКПСМ. РГАНИР, Фонд ГКО, д. 415, лл. 66-67 (11012).</w:t>
      </w:r>
    </w:p>
    <w:p w14:paraId="1CC75B5F" w14:textId="77777777" w:rsidR="00665165" w:rsidRPr="00925F26" w:rsidRDefault="00665165" w:rsidP="00925F26">
      <w:pPr>
        <w:autoSpaceDE w:val="0"/>
        <w:autoSpaceDN w:val="0"/>
        <w:adjustRightInd w:val="0"/>
        <w:jc w:val="both"/>
        <w:rPr>
          <w:color w:val="000000" w:themeColor="text1"/>
          <w:sz w:val="16"/>
          <w:szCs w:val="16"/>
        </w:rPr>
      </w:pPr>
    </w:p>
    <w:p w14:paraId="1303C722" w14:textId="336A3CC5" w:rsidR="009A3EFF" w:rsidRPr="00925F26" w:rsidRDefault="009A3EFF" w:rsidP="00925F26">
      <w:pPr>
        <w:autoSpaceDE w:val="0"/>
        <w:autoSpaceDN w:val="0"/>
        <w:adjustRightInd w:val="0"/>
        <w:jc w:val="both"/>
        <w:rPr>
          <w:i/>
          <w:iCs/>
          <w:color w:val="000000" w:themeColor="text1"/>
          <w:sz w:val="16"/>
          <w:szCs w:val="16"/>
        </w:rPr>
      </w:pPr>
      <w:r w:rsidRPr="00925F26">
        <w:rPr>
          <w:i/>
          <w:iCs/>
          <w:color w:val="000000" w:themeColor="text1"/>
          <w:sz w:val="16"/>
          <w:szCs w:val="16"/>
        </w:rPr>
        <w:t>Внешняя политика:</w:t>
      </w:r>
    </w:p>
    <w:p w14:paraId="47C3FC60" w14:textId="77777777" w:rsidR="009A3EFF" w:rsidRPr="00925F26" w:rsidRDefault="009A3EFF" w:rsidP="00925F26">
      <w:pPr>
        <w:autoSpaceDE w:val="0"/>
        <w:autoSpaceDN w:val="0"/>
        <w:adjustRightInd w:val="0"/>
        <w:jc w:val="both"/>
        <w:rPr>
          <w:i/>
          <w:iCs/>
          <w:color w:val="000000" w:themeColor="text1"/>
          <w:sz w:val="16"/>
          <w:szCs w:val="16"/>
        </w:rPr>
      </w:pPr>
    </w:p>
    <w:p w14:paraId="0DAA23D7" w14:textId="77777777" w:rsidR="009A3EFF" w:rsidRPr="00925F26" w:rsidRDefault="009A3EFF" w:rsidP="00925F26">
      <w:pPr>
        <w:jc w:val="both"/>
        <w:rPr>
          <w:color w:val="000000" w:themeColor="text1"/>
          <w:sz w:val="16"/>
          <w:szCs w:val="16"/>
        </w:rPr>
      </w:pPr>
      <w:r w:rsidRPr="00925F26">
        <w:rPr>
          <w:color w:val="000000" w:themeColor="text1"/>
          <w:sz w:val="16"/>
          <w:szCs w:val="16"/>
        </w:rPr>
        <w:t>14 мая 1945 г.</w:t>
      </w:r>
    </w:p>
    <w:p w14:paraId="532DB384" w14:textId="77777777" w:rsidR="009A3EFF" w:rsidRPr="00925F26" w:rsidRDefault="009A3EFF" w:rsidP="00925F26">
      <w:pPr>
        <w:jc w:val="both"/>
        <w:rPr>
          <w:color w:val="000000" w:themeColor="text1"/>
          <w:sz w:val="16"/>
          <w:szCs w:val="16"/>
        </w:rPr>
      </w:pPr>
      <w:r w:rsidRPr="00925F26">
        <w:rPr>
          <w:color w:val="000000" w:themeColor="text1"/>
          <w:sz w:val="16"/>
          <w:szCs w:val="16"/>
        </w:rPr>
        <w:t xml:space="preserve">ИЗ АКТА О ПЕРЕДАЧЕ МАТЕРИАЛЬНОЙ ЧАСТИ И ИМУЩЕСТВА ШТУРМОВОЙ, ИСТРЕБИТЕЛЬНОЙ АВИАЦИОННЫХ ДИВИЗИЙ И РАЙОНА АВИАЦИОННОГО БАЗИРОВАНИЯ ВОЕННО-ВОЗДУШНЫМ </w:t>
      </w:r>
    </w:p>
    <w:p w14:paraId="1B4CA293" w14:textId="77777777" w:rsidR="009A3EFF" w:rsidRPr="00925F26" w:rsidRDefault="009A3EFF" w:rsidP="00925F26">
      <w:pPr>
        <w:jc w:val="both"/>
        <w:rPr>
          <w:color w:val="000000" w:themeColor="text1"/>
          <w:sz w:val="16"/>
          <w:szCs w:val="16"/>
        </w:rPr>
      </w:pPr>
      <w:r w:rsidRPr="00925F26">
        <w:rPr>
          <w:color w:val="000000" w:themeColor="text1"/>
          <w:sz w:val="16"/>
          <w:szCs w:val="16"/>
        </w:rPr>
        <w:t>СИЛАМ ЮГОСЛАВИИ</w:t>
      </w:r>
    </w:p>
    <w:p w14:paraId="6605B026" w14:textId="77777777" w:rsidR="009A3EFF" w:rsidRPr="00925F26" w:rsidRDefault="009A3EFF" w:rsidP="00925F26">
      <w:pPr>
        <w:jc w:val="both"/>
        <w:rPr>
          <w:color w:val="000000" w:themeColor="text1"/>
          <w:sz w:val="16"/>
          <w:szCs w:val="16"/>
        </w:rPr>
      </w:pPr>
      <w:r w:rsidRPr="00925F26">
        <w:rPr>
          <w:color w:val="000000" w:themeColor="text1"/>
          <w:sz w:val="16"/>
          <w:szCs w:val="16"/>
        </w:rPr>
        <w:t>Не позднее 14 мая 1945 г.1</w:t>
      </w:r>
    </w:p>
    <w:p w14:paraId="03439E57" w14:textId="77777777" w:rsidR="009A3EFF" w:rsidRPr="00925F26" w:rsidRDefault="009A3EFF" w:rsidP="00925F26">
      <w:pPr>
        <w:jc w:val="both"/>
        <w:rPr>
          <w:color w:val="000000" w:themeColor="text1"/>
          <w:sz w:val="16"/>
          <w:szCs w:val="16"/>
        </w:rPr>
      </w:pPr>
      <w:r w:rsidRPr="00925F26">
        <w:rPr>
          <w:color w:val="000000" w:themeColor="text1"/>
          <w:sz w:val="16"/>
          <w:szCs w:val="16"/>
        </w:rPr>
        <w:t>На основании договора от 15.11.44 г., подписанного командующим войсками 3 Украинского фронта Маршалом Советского Союза Толбухиным и Верховным главнокомандующим югославской армией Иосипом Броз Тито, мы, нижеподписавшиеся — комиссия в составе: председателя — заместителя командующего 17 ВА генерал-лейтенанта авиации Златоцветова, членов — представителя политотдела 17 ВА полковника Симонова, начальника [отдела технического] снабжения 17 ВА полковника Прокопенко, заместителя] главного инженера 17 ВА инженерполковника Фролова, заместителя начальника оперотдела штаба 17 ВА подполковника Сергеева, 14.5.45 г. сдали материальную часть и имущество 10 гвардейской штурмовой авиационной Воронежско-Киевской Краснознаменной, орденов Суворова и Кутузова дивизии, 236 истребительной авиационной Львовской Краснознаменной дивизии и 9 района авиационного базирования уполномоченным Генерального штаба Югославской армии— командиру группы авиадивизий ВВС ЮА генерал-майору Лазаревичу, комиссару группы авиадивизий подполковнику Момчилову и начальнику штаба той же группы авиадивизий ЮА генерал-майору Улепичу.</w:t>
      </w:r>
    </w:p>
    <w:p w14:paraId="541E1EBC" w14:textId="77777777" w:rsidR="009A3EFF" w:rsidRPr="00925F26" w:rsidRDefault="009A3EFF" w:rsidP="00925F26">
      <w:pPr>
        <w:jc w:val="both"/>
        <w:rPr>
          <w:color w:val="000000" w:themeColor="text1"/>
          <w:sz w:val="16"/>
          <w:szCs w:val="16"/>
        </w:rPr>
      </w:pPr>
      <w:r w:rsidRPr="00925F26">
        <w:rPr>
          <w:color w:val="000000" w:themeColor="text1"/>
          <w:sz w:val="16"/>
          <w:szCs w:val="16"/>
        </w:rPr>
        <w:t>1. Авиагруппа [...]' с 1.10.44 по 10.5.45 вела интенсивную боевую работу в интересах партизанских, а затем регулярных югославских армий в районах: Радевце, Корбово, Кучево, Д[ольни]-Милановац, Жагубица, Парачин, Пожаревац, Смедерово, Аранджеловац, Белград, Земун, Обреновац, Нови-Сад, Шабац, Рума, Шид, Товарник, Вуковар, Осиек, Валпово, Дольнн-Михоляц, Нашице, Дьяково, Стриживойна, Брод, Бричко, Биелина, Янья, Зворник, Любовия, Жепче, Дервента, Подравска-Слатина, Плетерница, Славонска-Пожега, Вировитица, Вараждин, Загреб; вела разведку войск противника со штурмовкой в районах боевых действий.</w:t>
      </w:r>
    </w:p>
    <w:p w14:paraId="228DF5CE" w14:textId="77777777" w:rsidR="009A3EFF" w:rsidRPr="00925F26" w:rsidRDefault="009A3EFF" w:rsidP="00925F26">
      <w:pPr>
        <w:jc w:val="both"/>
        <w:rPr>
          <w:color w:val="000000" w:themeColor="text1"/>
          <w:sz w:val="16"/>
          <w:szCs w:val="16"/>
        </w:rPr>
      </w:pPr>
      <w:r w:rsidRPr="00925F26">
        <w:rPr>
          <w:color w:val="000000" w:themeColor="text1"/>
          <w:sz w:val="16"/>
          <w:szCs w:val="16"/>
        </w:rPr>
        <w:t>Одновременно с ведением боевой работы авиагруппа обучала летно-технический состав ВВС ЮА в учебных центрах, организованных при дивизиях авиагруппы, и других специалистов при 9 районе авиационного базирования.</w:t>
      </w:r>
    </w:p>
    <w:p w14:paraId="3B1BB2B5" w14:textId="77777777" w:rsidR="009A3EFF" w:rsidRPr="00925F26" w:rsidRDefault="009A3EFF" w:rsidP="00925F26">
      <w:pPr>
        <w:jc w:val="both"/>
        <w:rPr>
          <w:color w:val="000000" w:themeColor="text1"/>
          <w:sz w:val="16"/>
          <w:szCs w:val="16"/>
        </w:rPr>
      </w:pPr>
      <w:r w:rsidRPr="00925F26">
        <w:rPr>
          <w:color w:val="000000" w:themeColor="text1"/>
          <w:sz w:val="16"/>
          <w:szCs w:val="16"/>
        </w:rPr>
        <w:t xml:space="preserve">2. Всего с 1.10.44 по 10.5.45 произведено 31 690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с общим налетом 13 689 часов, из них на выполнение боевых задач — 7715 успешных боевых </w:t>
      </w:r>
      <w:proofErr w:type="gramStart"/>
      <w:r w:rsidRPr="00925F26">
        <w:rPr>
          <w:color w:val="000000" w:themeColor="text1"/>
          <w:sz w:val="16"/>
          <w:szCs w:val="16"/>
        </w:rPr>
        <w:t>самолето-вылетов</w:t>
      </w:r>
      <w:proofErr w:type="gramEnd"/>
      <w:r w:rsidRPr="00925F26">
        <w:rPr>
          <w:color w:val="000000" w:themeColor="text1"/>
          <w:sz w:val="16"/>
          <w:szCs w:val="16"/>
        </w:rPr>
        <w:t xml:space="preserve"> </w:t>
      </w:r>
      <w:proofErr w:type="gramStart"/>
      <w:r w:rsidRPr="00925F26">
        <w:rPr>
          <w:color w:val="000000" w:themeColor="text1"/>
          <w:sz w:val="16"/>
          <w:szCs w:val="16"/>
        </w:rPr>
        <w:t>[,..</w:t>
      </w:r>
      <w:proofErr w:type="gramEnd"/>
      <w:r w:rsidRPr="00925F26">
        <w:rPr>
          <w:color w:val="000000" w:themeColor="text1"/>
          <w:sz w:val="16"/>
          <w:szCs w:val="16"/>
        </w:rPr>
        <w:t>].</w:t>
      </w:r>
    </w:p>
    <w:p w14:paraId="30A39F8C" w14:textId="77777777" w:rsidR="009A3EFF" w:rsidRPr="00925F26" w:rsidRDefault="009A3EFF" w:rsidP="00925F26">
      <w:pPr>
        <w:jc w:val="both"/>
        <w:rPr>
          <w:color w:val="000000" w:themeColor="text1"/>
          <w:sz w:val="16"/>
          <w:szCs w:val="16"/>
        </w:rPr>
      </w:pPr>
      <w:r w:rsidRPr="00925F26">
        <w:rPr>
          <w:color w:val="000000" w:themeColor="text1"/>
          <w:sz w:val="16"/>
          <w:szCs w:val="16"/>
        </w:rPr>
        <w:t>3. Сформированы соединения и части ВВС Югославии: управление авиакорпуса, управление штурмовой и истребительной авиадивизий, три штурмовых авиаполка, три истребительных авиаполка, управление 9 воздухоплавательной базы, пять батальонов аэродромного обслуживания, головной авиационный склад, автомобильный батальон, пять аэродромно-технических рот, три отдельные роты связи, эвакуационная рота, зенитная рота, два метеобюро при дивизиях, пять амс при бао [...],</w:t>
      </w:r>
    </w:p>
    <w:p w14:paraId="102C96E1" w14:textId="77777777" w:rsidR="009A3EFF" w:rsidRPr="00925F26" w:rsidRDefault="009A3EFF" w:rsidP="00925F26">
      <w:pPr>
        <w:jc w:val="both"/>
        <w:rPr>
          <w:color w:val="000000" w:themeColor="text1"/>
          <w:sz w:val="16"/>
          <w:szCs w:val="16"/>
        </w:rPr>
      </w:pPr>
      <w:r w:rsidRPr="00925F26">
        <w:rPr>
          <w:color w:val="000000" w:themeColor="text1"/>
          <w:sz w:val="16"/>
          <w:szCs w:val="16"/>
        </w:rPr>
        <w:t>летчиков-штурмовиков..................138</w:t>
      </w:r>
    </w:p>
    <w:p w14:paraId="19A4E120" w14:textId="77777777" w:rsidR="009A3EFF" w:rsidRPr="00925F26" w:rsidRDefault="009A3EFF" w:rsidP="00925F26">
      <w:pPr>
        <w:jc w:val="both"/>
        <w:rPr>
          <w:color w:val="000000" w:themeColor="text1"/>
          <w:sz w:val="16"/>
          <w:szCs w:val="16"/>
        </w:rPr>
      </w:pPr>
      <w:r w:rsidRPr="00925F26">
        <w:rPr>
          <w:color w:val="000000" w:themeColor="text1"/>
          <w:sz w:val="16"/>
          <w:szCs w:val="16"/>
        </w:rPr>
        <w:t>летчиков-истребителей ................131</w:t>
      </w:r>
    </w:p>
    <w:p w14:paraId="655D429E" w14:textId="77777777" w:rsidR="009A3EFF" w:rsidRPr="00925F26" w:rsidRDefault="009A3EFF" w:rsidP="00925F26">
      <w:pPr>
        <w:jc w:val="both"/>
        <w:rPr>
          <w:color w:val="000000" w:themeColor="text1"/>
          <w:sz w:val="16"/>
          <w:szCs w:val="16"/>
        </w:rPr>
      </w:pPr>
      <w:r w:rsidRPr="00925F26">
        <w:rPr>
          <w:color w:val="000000" w:themeColor="text1"/>
          <w:sz w:val="16"/>
          <w:szCs w:val="16"/>
        </w:rPr>
        <w:t>воздушных стрелков....................130</w:t>
      </w:r>
    </w:p>
    <w:p w14:paraId="45D197DE" w14:textId="77777777" w:rsidR="009A3EFF" w:rsidRPr="00925F26" w:rsidRDefault="009A3EFF" w:rsidP="00925F26">
      <w:pPr>
        <w:jc w:val="both"/>
        <w:rPr>
          <w:color w:val="000000" w:themeColor="text1"/>
          <w:sz w:val="16"/>
          <w:szCs w:val="16"/>
        </w:rPr>
      </w:pPr>
      <w:r w:rsidRPr="00925F26">
        <w:rPr>
          <w:color w:val="000000" w:themeColor="text1"/>
          <w:sz w:val="16"/>
          <w:szCs w:val="16"/>
        </w:rPr>
        <w:t>инженерно-технического состава всех специальностей в полках ............ 1213</w:t>
      </w:r>
    </w:p>
    <w:p w14:paraId="14BBEBC7" w14:textId="77777777" w:rsidR="009A3EFF" w:rsidRPr="00925F26" w:rsidRDefault="009A3EFF" w:rsidP="00925F26">
      <w:pPr>
        <w:jc w:val="both"/>
        <w:rPr>
          <w:color w:val="000000" w:themeColor="text1"/>
          <w:sz w:val="16"/>
          <w:szCs w:val="16"/>
        </w:rPr>
      </w:pPr>
      <w:r w:rsidRPr="00925F26">
        <w:rPr>
          <w:color w:val="000000" w:themeColor="text1"/>
          <w:sz w:val="16"/>
          <w:szCs w:val="16"/>
        </w:rPr>
        <w:t>командиров отдельных частей ....</w:t>
      </w:r>
      <w:r w:rsidRPr="00925F26">
        <w:rPr>
          <w:color w:val="000000" w:themeColor="text1"/>
          <w:sz w:val="16"/>
          <w:szCs w:val="16"/>
        </w:rPr>
        <w:tab/>
        <w:t>21</w:t>
      </w:r>
    </w:p>
    <w:p w14:paraId="0850F9C1" w14:textId="77777777" w:rsidR="009A3EFF" w:rsidRPr="00925F26" w:rsidRDefault="009A3EFF" w:rsidP="00925F26">
      <w:pPr>
        <w:jc w:val="both"/>
        <w:rPr>
          <w:color w:val="000000" w:themeColor="text1"/>
          <w:sz w:val="16"/>
          <w:szCs w:val="16"/>
        </w:rPr>
      </w:pPr>
      <w:r w:rsidRPr="00925F26">
        <w:rPr>
          <w:color w:val="000000" w:themeColor="text1"/>
          <w:sz w:val="16"/>
          <w:szCs w:val="16"/>
        </w:rPr>
        <w:t>начальников отделов .................. 52</w:t>
      </w:r>
    </w:p>
    <w:p w14:paraId="258A0707" w14:textId="77777777" w:rsidR="009A3EFF" w:rsidRPr="00925F26" w:rsidRDefault="009A3EFF" w:rsidP="00925F26">
      <w:pPr>
        <w:jc w:val="both"/>
        <w:rPr>
          <w:color w:val="000000" w:themeColor="text1"/>
          <w:sz w:val="16"/>
          <w:szCs w:val="16"/>
        </w:rPr>
      </w:pPr>
      <w:r w:rsidRPr="00925F26">
        <w:rPr>
          <w:color w:val="000000" w:themeColor="text1"/>
          <w:sz w:val="16"/>
          <w:szCs w:val="16"/>
        </w:rPr>
        <w:t>штабных работников ................... 75</w:t>
      </w:r>
    </w:p>
    <w:p w14:paraId="3B3C6DF0" w14:textId="77777777" w:rsidR="009A3EFF" w:rsidRPr="00925F26" w:rsidRDefault="009A3EFF" w:rsidP="00925F26">
      <w:pPr>
        <w:jc w:val="both"/>
        <w:rPr>
          <w:color w:val="000000" w:themeColor="text1"/>
          <w:sz w:val="16"/>
          <w:szCs w:val="16"/>
        </w:rPr>
      </w:pPr>
      <w:r w:rsidRPr="00925F26">
        <w:rPr>
          <w:color w:val="000000" w:themeColor="text1"/>
          <w:sz w:val="16"/>
          <w:szCs w:val="16"/>
        </w:rPr>
        <w:t>интендантских работников ............. 36</w:t>
      </w:r>
    </w:p>
    <w:p w14:paraId="1852543A" w14:textId="77777777" w:rsidR="009A3EFF" w:rsidRPr="00925F26" w:rsidRDefault="009A3EFF" w:rsidP="00925F26">
      <w:pPr>
        <w:jc w:val="both"/>
        <w:rPr>
          <w:color w:val="000000" w:themeColor="text1"/>
          <w:sz w:val="16"/>
          <w:szCs w:val="16"/>
        </w:rPr>
      </w:pPr>
      <w:r w:rsidRPr="00925F26">
        <w:rPr>
          <w:color w:val="000000" w:themeColor="text1"/>
          <w:sz w:val="16"/>
          <w:szCs w:val="16"/>
        </w:rPr>
        <w:t>шоферов ..............................595</w:t>
      </w:r>
    </w:p>
    <w:p w14:paraId="2975E5DA" w14:textId="77777777" w:rsidR="009A3EFF" w:rsidRPr="00925F26" w:rsidRDefault="009A3EFF" w:rsidP="00925F26">
      <w:pPr>
        <w:jc w:val="both"/>
        <w:rPr>
          <w:color w:val="000000" w:themeColor="text1"/>
          <w:sz w:val="16"/>
          <w:szCs w:val="16"/>
        </w:rPr>
      </w:pPr>
      <w:r w:rsidRPr="00925F26">
        <w:rPr>
          <w:color w:val="000000" w:themeColor="text1"/>
          <w:sz w:val="16"/>
          <w:szCs w:val="16"/>
        </w:rPr>
        <w:t>трактористов ......................... 70</w:t>
      </w:r>
    </w:p>
    <w:p w14:paraId="2AFF9930" w14:textId="77777777" w:rsidR="009A3EFF" w:rsidRPr="00925F26" w:rsidRDefault="009A3EFF" w:rsidP="00925F26">
      <w:pPr>
        <w:jc w:val="both"/>
        <w:rPr>
          <w:color w:val="000000" w:themeColor="text1"/>
          <w:sz w:val="16"/>
          <w:szCs w:val="16"/>
        </w:rPr>
      </w:pPr>
      <w:r w:rsidRPr="00925F26">
        <w:rPr>
          <w:color w:val="000000" w:themeColor="text1"/>
          <w:sz w:val="16"/>
          <w:szCs w:val="16"/>
        </w:rPr>
        <w:t>связистов.............................344</w:t>
      </w:r>
    </w:p>
    <w:p w14:paraId="2AA49ABC" w14:textId="77777777" w:rsidR="009A3EFF" w:rsidRPr="00925F26" w:rsidRDefault="009A3EFF" w:rsidP="00925F26">
      <w:pPr>
        <w:jc w:val="both"/>
        <w:rPr>
          <w:color w:val="000000" w:themeColor="text1"/>
          <w:sz w:val="16"/>
          <w:szCs w:val="16"/>
        </w:rPr>
      </w:pPr>
      <w:r w:rsidRPr="00925F26">
        <w:rPr>
          <w:color w:val="000000" w:themeColor="text1"/>
          <w:sz w:val="16"/>
          <w:szCs w:val="16"/>
        </w:rPr>
        <w:t>метеоспециалистов......................64</w:t>
      </w:r>
    </w:p>
    <w:p w14:paraId="07D0DF0A" w14:textId="77777777" w:rsidR="009A3EFF" w:rsidRPr="00925F26" w:rsidRDefault="009A3EFF" w:rsidP="00925F26">
      <w:pPr>
        <w:jc w:val="both"/>
        <w:rPr>
          <w:color w:val="000000" w:themeColor="text1"/>
          <w:sz w:val="16"/>
          <w:szCs w:val="16"/>
        </w:rPr>
      </w:pPr>
      <w:r w:rsidRPr="00925F26">
        <w:rPr>
          <w:color w:val="000000" w:themeColor="text1"/>
          <w:sz w:val="16"/>
          <w:szCs w:val="16"/>
        </w:rPr>
        <w:t>минеров................................61</w:t>
      </w:r>
    </w:p>
    <w:p w14:paraId="730933B5" w14:textId="77777777" w:rsidR="009A3EFF" w:rsidRPr="00925F26" w:rsidRDefault="009A3EFF" w:rsidP="00925F26">
      <w:pPr>
        <w:jc w:val="both"/>
        <w:rPr>
          <w:color w:val="000000" w:themeColor="text1"/>
          <w:sz w:val="16"/>
          <w:szCs w:val="16"/>
        </w:rPr>
      </w:pPr>
      <w:r w:rsidRPr="00925F26">
        <w:rPr>
          <w:color w:val="000000" w:themeColor="text1"/>
          <w:sz w:val="16"/>
          <w:szCs w:val="16"/>
        </w:rPr>
        <w:t>саперов................................91</w:t>
      </w:r>
    </w:p>
    <w:p w14:paraId="4311A5FB" w14:textId="77777777" w:rsidR="009A3EFF" w:rsidRPr="00925F26" w:rsidRDefault="009A3EFF" w:rsidP="00925F26">
      <w:pPr>
        <w:jc w:val="both"/>
        <w:rPr>
          <w:color w:val="000000" w:themeColor="text1"/>
          <w:sz w:val="16"/>
          <w:szCs w:val="16"/>
        </w:rPr>
      </w:pPr>
      <w:r w:rsidRPr="00925F26">
        <w:rPr>
          <w:color w:val="000000" w:themeColor="text1"/>
          <w:sz w:val="16"/>
          <w:szCs w:val="16"/>
        </w:rPr>
        <w:t>маскировщиков..........................30</w:t>
      </w:r>
    </w:p>
    <w:p w14:paraId="17197882" w14:textId="77777777" w:rsidR="009A3EFF" w:rsidRPr="00925F26" w:rsidRDefault="009A3EFF" w:rsidP="00925F26">
      <w:pPr>
        <w:jc w:val="both"/>
        <w:rPr>
          <w:color w:val="000000" w:themeColor="text1"/>
          <w:sz w:val="16"/>
          <w:szCs w:val="16"/>
        </w:rPr>
      </w:pPr>
      <w:r w:rsidRPr="00925F26">
        <w:rPr>
          <w:color w:val="000000" w:themeColor="text1"/>
          <w:sz w:val="16"/>
          <w:szCs w:val="16"/>
        </w:rPr>
        <w:t>химиков................................35</w:t>
      </w:r>
    </w:p>
    <w:p w14:paraId="4730E366" w14:textId="77777777" w:rsidR="009A3EFF" w:rsidRPr="00925F26" w:rsidRDefault="009A3EFF" w:rsidP="00925F26">
      <w:pPr>
        <w:jc w:val="both"/>
        <w:rPr>
          <w:color w:val="000000" w:themeColor="text1"/>
          <w:sz w:val="16"/>
          <w:szCs w:val="16"/>
        </w:rPr>
      </w:pPr>
      <w:r w:rsidRPr="00925F26">
        <w:rPr>
          <w:color w:val="000000" w:themeColor="text1"/>
          <w:sz w:val="16"/>
          <w:szCs w:val="16"/>
        </w:rPr>
        <w:t>кладовщиков разных служб...............91</w:t>
      </w:r>
    </w:p>
    <w:p w14:paraId="3990A788" w14:textId="77777777" w:rsidR="009A3EFF" w:rsidRPr="00925F26" w:rsidRDefault="009A3EFF" w:rsidP="00925F26">
      <w:pPr>
        <w:jc w:val="both"/>
        <w:rPr>
          <w:color w:val="000000" w:themeColor="text1"/>
          <w:sz w:val="16"/>
          <w:szCs w:val="16"/>
        </w:rPr>
      </w:pPr>
      <w:r w:rsidRPr="00925F26">
        <w:rPr>
          <w:color w:val="000000" w:themeColor="text1"/>
          <w:sz w:val="16"/>
          <w:szCs w:val="16"/>
        </w:rPr>
        <w:t>стрелков ...........................  465</w:t>
      </w:r>
    </w:p>
    <w:p w14:paraId="7D77E053" w14:textId="77777777" w:rsidR="009A3EFF" w:rsidRPr="00925F26" w:rsidRDefault="009A3EFF" w:rsidP="00925F26">
      <w:pPr>
        <w:jc w:val="both"/>
        <w:rPr>
          <w:color w:val="000000" w:themeColor="text1"/>
          <w:sz w:val="16"/>
          <w:szCs w:val="16"/>
        </w:rPr>
      </w:pPr>
      <w:r w:rsidRPr="00925F26">
        <w:rPr>
          <w:color w:val="000000" w:themeColor="text1"/>
          <w:sz w:val="16"/>
          <w:szCs w:val="16"/>
        </w:rPr>
        <w:t>прожектористов........................ 17</w:t>
      </w:r>
    </w:p>
    <w:p w14:paraId="7AE5BAC6" w14:textId="77777777" w:rsidR="009A3EFF" w:rsidRPr="00925F26" w:rsidRDefault="009A3EFF" w:rsidP="00925F26">
      <w:pPr>
        <w:jc w:val="both"/>
        <w:rPr>
          <w:color w:val="000000" w:themeColor="text1"/>
          <w:sz w:val="16"/>
          <w:szCs w:val="16"/>
        </w:rPr>
      </w:pPr>
      <w:r w:rsidRPr="00925F26">
        <w:rPr>
          <w:color w:val="000000" w:themeColor="text1"/>
          <w:sz w:val="16"/>
          <w:szCs w:val="16"/>
        </w:rPr>
        <w:t>поваров...............................100</w:t>
      </w:r>
    </w:p>
    <w:p w14:paraId="5A3B2A0D" w14:textId="77777777" w:rsidR="009A3EFF" w:rsidRPr="00925F26" w:rsidRDefault="009A3EFF" w:rsidP="00925F26">
      <w:pPr>
        <w:jc w:val="both"/>
        <w:rPr>
          <w:color w:val="000000" w:themeColor="text1"/>
          <w:sz w:val="16"/>
          <w:szCs w:val="16"/>
        </w:rPr>
      </w:pPr>
      <w:r w:rsidRPr="00925F26">
        <w:rPr>
          <w:color w:val="000000" w:themeColor="text1"/>
          <w:sz w:val="16"/>
          <w:szCs w:val="16"/>
        </w:rPr>
        <w:t>других специальностей ............... 747</w:t>
      </w:r>
    </w:p>
    <w:p w14:paraId="2AC912C2" w14:textId="77777777" w:rsidR="009A3EFF" w:rsidRPr="00925F26" w:rsidRDefault="009A3EFF" w:rsidP="00925F26">
      <w:pPr>
        <w:jc w:val="both"/>
        <w:rPr>
          <w:color w:val="000000" w:themeColor="text1"/>
          <w:sz w:val="16"/>
          <w:szCs w:val="16"/>
        </w:rPr>
      </w:pPr>
      <w:r w:rsidRPr="00925F26">
        <w:rPr>
          <w:color w:val="000000" w:themeColor="text1"/>
          <w:sz w:val="16"/>
          <w:szCs w:val="16"/>
        </w:rPr>
        <w:t>[...].</w:t>
      </w:r>
    </w:p>
    <w:p w14:paraId="7EE174BD" w14:textId="77777777" w:rsidR="009A3EFF" w:rsidRPr="00925F26" w:rsidRDefault="009A3EFF" w:rsidP="00925F26">
      <w:pPr>
        <w:jc w:val="both"/>
        <w:rPr>
          <w:color w:val="000000" w:themeColor="text1"/>
          <w:sz w:val="16"/>
          <w:szCs w:val="16"/>
        </w:rPr>
      </w:pPr>
      <w:r w:rsidRPr="00925F26">
        <w:rPr>
          <w:color w:val="000000" w:themeColor="text1"/>
          <w:sz w:val="16"/>
          <w:szCs w:val="16"/>
        </w:rPr>
        <w:t>8. Авиагруппой на территории Югославии изыскано и вновь построено 24 аэродрома. Восстановлено 14 разрушенных аэродромов [...].</w:t>
      </w:r>
    </w:p>
    <w:p w14:paraId="2A4875D1" w14:textId="77777777" w:rsidR="009A3EFF" w:rsidRPr="00925F26" w:rsidRDefault="009A3EFF" w:rsidP="00925F26">
      <w:pPr>
        <w:jc w:val="both"/>
        <w:rPr>
          <w:color w:val="000000" w:themeColor="text1"/>
          <w:sz w:val="16"/>
          <w:szCs w:val="16"/>
        </w:rPr>
      </w:pPr>
      <w:r w:rsidRPr="00925F26">
        <w:rPr>
          <w:color w:val="000000" w:themeColor="text1"/>
          <w:sz w:val="16"/>
          <w:szCs w:val="16"/>
        </w:rPr>
        <w:t>На вновь построенных и восстановленных аэродромах силами аэродромного отдела сооружены: КП, [противохимические убежища, жилые и технические землянки, восстановлены капитальные сооружения на аэродромах Нови-Сад, Земун и другие.</w:t>
      </w:r>
    </w:p>
    <w:p w14:paraId="38DC8FD8" w14:textId="77777777" w:rsidR="009A3EFF" w:rsidRPr="00925F26" w:rsidRDefault="009A3EFF" w:rsidP="00925F26">
      <w:pPr>
        <w:jc w:val="both"/>
        <w:rPr>
          <w:color w:val="000000" w:themeColor="text1"/>
          <w:sz w:val="16"/>
          <w:szCs w:val="16"/>
        </w:rPr>
      </w:pPr>
      <w:r w:rsidRPr="00925F26">
        <w:rPr>
          <w:color w:val="000000" w:themeColor="text1"/>
          <w:sz w:val="16"/>
          <w:szCs w:val="16"/>
        </w:rPr>
        <w:t xml:space="preserve">9. </w:t>
      </w:r>
      <w:proofErr w:type="gramStart"/>
      <w:r w:rsidRPr="00925F26">
        <w:rPr>
          <w:color w:val="000000" w:themeColor="text1"/>
          <w:sz w:val="16"/>
          <w:szCs w:val="16"/>
        </w:rPr>
        <w:t>[,..</w:t>
      </w:r>
      <w:proofErr w:type="gramEnd"/>
      <w:r w:rsidRPr="00925F26">
        <w:rPr>
          <w:color w:val="000000" w:themeColor="text1"/>
          <w:sz w:val="16"/>
          <w:szCs w:val="16"/>
        </w:rPr>
        <w:t>].</w:t>
      </w:r>
    </w:p>
    <w:p w14:paraId="00871ECD" w14:textId="77777777" w:rsidR="009A3EFF" w:rsidRPr="00925F26" w:rsidRDefault="009A3EFF" w:rsidP="00925F26">
      <w:pPr>
        <w:jc w:val="both"/>
        <w:rPr>
          <w:color w:val="000000" w:themeColor="text1"/>
          <w:sz w:val="16"/>
          <w:szCs w:val="16"/>
        </w:rPr>
      </w:pPr>
      <w:r w:rsidRPr="00925F26">
        <w:rPr>
          <w:color w:val="000000" w:themeColor="text1"/>
          <w:sz w:val="16"/>
          <w:szCs w:val="16"/>
        </w:rPr>
        <w:t>Сдано самолетов частям ВВС ЮА</w:t>
      </w:r>
    </w:p>
    <w:p w14:paraId="5AB53CF8" w14:textId="77777777" w:rsidR="009A3EFF" w:rsidRPr="00925F26" w:rsidRDefault="009A3EFF" w:rsidP="00925F26">
      <w:pPr>
        <w:jc w:val="both"/>
        <w:rPr>
          <w:color w:val="000000" w:themeColor="text1"/>
          <w:sz w:val="16"/>
          <w:szCs w:val="16"/>
        </w:rPr>
      </w:pPr>
      <w:r w:rsidRPr="00925F26">
        <w:rPr>
          <w:color w:val="000000" w:themeColor="text1"/>
          <w:sz w:val="16"/>
          <w:szCs w:val="16"/>
        </w:rPr>
        <w:t>Наименование  части</w:t>
      </w:r>
      <w:r w:rsidRPr="00925F26">
        <w:rPr>
          <w:color w:val="000000" w:themeColor="text1"/>
          <w:sz w:val="16"/>
          <w:szCs w:val="16"/>
        </w:rPr>
        <w:tab/>
        <w:t>Ил-2</w:t>
      </w:r>
      <w:r w:rsidRPr="00925F26">
        <w:rPr>
          <w:color w:val="000000" w:themeColor="text1"/>
          <w:sz w:val="16"/>
          <w:szCs w:val="16"/>
        </w:rPr>
        <w:tab/>
        <w:t>Истр.</w:t>
      </w:r>
      <w:r w:rsidRPr="00925F26">
        <w:rPr>
          <w:color w:val="000000" w:themeColor="text1"/>
          <w:sz w:val="16"/>
          <w:szCs w:val="16"/>
        </w:rPr>
        <w:tab/>
        <w:t>УИл-2</w:t>
      </w:r>
      <w:r w:rsidRPr="00925F26">
        <w:rPr>
          <w:color w:val="000000" w:themeColor="text1"/>
          <w:sz w:val="16"/>
          <w:szCs w:val="16"/>
        </w:rPr>
        <w:tab/>
        <w:t>Як-7у  Як-9у</w:t>
      </w:r>
      <w:r w:rsidRPr="00925F26">
        <w:rPr>
          <w:color w:val="000000" w:themeColor="text1"/>
          <w:sz w:val="16"/>
          <w:szCs w:val="16"/>
        </w:rPr>
        <w:tab/>
        <w:t>По-2</w:t>
      </w:r>
      <w:r w:rsidRPr="00925F26">
        <w:rPr>
          <w:color w:val="000000" w:themeColor="text1"/>
          <w:sz w:val="16"/>
          <w:szCs w:val="16"/>
        </w:rPr>
        <w:tab/>
        <w:t>Ут-2</w:t>
      </w:r>
    </w:p>
    <w:p w14:paraId="75F0CD29" w14:textId="77777777" w:rsidR="009A3EFF" w:rsidRPr="00925F26" w:rsidRDefault="009A3EFF" w:rsidP="00925F26">
      <w:pPr>
        <w:jc w:val="both"/>
        <w:rPr>
          <w:color w:val="000000" w:themeColor="text1"/>
          <w:sz w:val="16"/>
          <w:szCs w:val="16"/>
        </w:rPr>
      </w:pPr>
      <w:r w:rsidRPr="00925F26">
        <w:rPr>
          <w:color w:val="000000" w:themeColor="text1"/>
          <w:sz w:val="16"/>
          <w:szCs w:val="16"/>
        </w:rPr>
        <w:t xml:space="preserve">10 гв. </w:t>
      </w:r>
      <w:proofErr w:type="gramStart"/>
      <w:r w:rsidRPr="00925F26">
        <w:rPr>
          <w:color w:val="000000" w:themeColor="text1"/>
          <w:sz w:val="16"/>
          <w:szCs w:val="16"/>
        </w:rPr>
        <w:t>шаш:кд</w:t>
      </w:r>
      <w:proofErr w:type="gramEnd"/>
      <w:r w:rsidRPr="00925F26">
        <w:rPr>
          <w:color w:val="000000" w:themeColor="text1"/>
          <w:sz w:val="16"/>
          <w:szCs w:val="16"/>
        </w:rPr>
        <w:tab/>
        <w:t>78</w:t>
      </w:r>
      <w:r w:rsidRPr="00925F26">
        <w:rPr>
          <w:color w:val="000000" w:themeColor="text1"/>
          <w:sz w:val="16"/>
          <w:szCs w:val="16"/>
        </w:rPr>
        <w:tab/>
      </w:r>
      <w:r w:rsidRPr="00925F26">
        <w:rPr>
          <w:color w:val="000000" w:themeColor="text1"/>
          <w:sz w:val="16"/>
          <w:szCs w:val="16"/>
        </w:rPr>
        <w:tab/>
        <w:t>4</w:t>
      </w:r>
      <w:r w:rsidRPr="00925F26">
        <w:rPr>
          <w:color w:val="000000" w:themeColor="text1"/>
          <w:sz w:val="16"/>
          <w:szCs w:val="16"/>
        </w:rPr>
        <w:tab/>
      </w:r>
      <w:r w:rsidRPr="00925F26">
        <w:rPr>
          <w:color w:val="000000" w:themeColor="text1"/>
          <w:sz w:val="16"/>
          <w:szCs w:val="16"/>
        </w:rPr>
        <w:tab/>
        <w:t>4</w:t>
      </w:r>
      <w:r w:rsidRPr="00925F26">
        <w:rPr>
          <w:color w:val="000000" w:themeColor="text1"/>
          <w:sz w:val="16"/>
          <w:szCs w:val="16"/>
        </w:rPr>
        <w:tab/>
        <w:t>___</w:t>
      </w:r>
    </w:p>
    <w:p w14:paraId="31FB85BF" w14:textId="77777777" w:rsidR="009A3EFF" w:rsidRPr="00925F26" w:rsidRDefault="009A3EFF" w:rsidP="00925F26">
      <w:pPr>
        <w:jc w:val="both"/>
        <w:rPr>
          <w:color w:val="000000" w:themeColor="text1"/>
          <w:sz w:val="16"/>
          <w:szCs w:val="16"/>
        </w:rPr>
      </w:pPr>
      <w:r w:rsidRPr="00925F26">
        <w:rPr>
          <w:color w:val="000000" w:themeColor="text1"/>
          <w:sz w:val="16"/>
          <w:szCs w:val="16"/>
        </w:rPr>
        <w:t>236 иалкд</w:t>
      </w:r>
      <w:r w:rsidRPr="00925F26">
        <w:rPr>
          <w:color w:val="000000" w:themeColor="text1"/>
          <w:sz w:val="16"/>
          <w:szCs w:val="16"/>
        </w:rPr>
        <w:tab/>
        <w:t>—</w:t>
      </w:r>
      <w:r w:rsidRPr="00925F26">
        <w:rPr>
          <w:color w:val="000000" w:themeColor="text1"/>
          <w:sz w:val="16"/>
          <w:szCs w:val="16"/>
        </w:rPr>
        <w:tab/>
        <w:t>102</w:t>
      </w:r>
      <w:r w:rsidRPr="00925F26">
        <w:rPr>
          <w:color w:val="000000" w:themeColor="text1"/>
          <w:sz w:val="16"/>
          <w:szCs w:val="16"/>
        </w:rPr>
        <w:tab/>
        <w:t>—</w:t>
      </w:r>
      <w:r w:rsidRPr="00925F26">
        <w:rPr>
          <w:color w:val="000000" w:themeColor="text1"/>
          <w:sz w:val="16"/>
          <w:szCs w:val="16"/>
        </w:rPr>
        <w:tab/>
        <w:t>5</w:t>
      </w:r>
      <w:r w:rsidRPr="00925F26">
        <w:rPr>
          <w:color w:val="000000" w:themeColor="text1"/>
          <w:sz w:val="16"/>
          <w:szCs w:val="16"/>
        </w:rPr>
        <w:tab/>
        <w:t>3</w:t>
      </w:r>
      <w:r w:rsidRPr="00925F26">
        <w:rPr>
          <w:color w:val="000000" w:themeColor="text1"/>
          <w:sz w:val="16"/>
          <w:szCs w:val="16"/>
        </w:rPr>
        <w:tab/>
        <w:t>1</w:t>
      </w:r>
    </w:p>
    <w:p w14:paraId="1946C0F0" w14:textId="77777777" w:rsidR="009A3EFF" w:rsidRPr="00925F26" w:rsidRDefault="009A3EFF" w:rsidP="00925F26">
      <w:pPr>
        <w:jc w:val="both"/>
        <w:rPr>
          <w:color w:val="000000" w:themeColor="text1"/>
          <w:sz w:val="16"/>
          <w:szCs w:val="16"/>
        </w:rPr>
      </w:pPr>
      <w:r w:rsidRPr="00925F26">
        <w:rPr>
          <w:color w:val="000000" w:themeColor="text1"/>
          <w:sz w:val="16"/>
          <w:szCs w:val="16"/>
        </w:rPr>
        <w:t>Итого. ,у*Т</w:t>
      </w:r>
      <w:r w:rsidRPr="00925F26">
        <w:rPr>
          <w:color w:val="000000" w:themeColor="text1"/>
          <w:sz w:val="16"/>
          <w:szCs w:val="16"/>
        </w:rPr>
        <w:tab/>
        <w:t>78</w:t>
      </w:r>
      <w:r w:rsidRPr="00925F26">
        <w:rPr>
          <w:color w:val="000000" w:themeColor="text1"/>
          <w:sz w:val="16"/>
          <w:szCs w:val="16"/>
        </w:rPr>
        <w:tab/>
        <w:t>102</w:t>
      </w:r>
      <w:r w:rsidRPr="00925F26">
        <w:rPr>
          <w:color w:val="000000" w:themeColor="text1"/>
          <w:sz w:val="16"/>
          <w:szCs w:val="16"/>
        </w:rPr>
        <w:tab/>
        <w:t>4</w:t>
      </w:r>
      <w:r w:rsidRPr="00925F26">
        <w:rPr>
          <w:color w:val="000000" w:themeColor="text1"/>
          <w:sz w:val="16"/>
          <w:szCs w:val="16"/>
        </w:rPr>
        <w:tab/>
        <w:t>5</w:t>
      </w:r>
      <w:r w:rsidRPr="00925F26">
        <w:rPr>
          <w:color w:val="000000" w:themeColor="text1"/>
          <w:sz w:val="16"/>
          <w:szCs w:val="16"/>
        </w:rPr>
        <w:tab/>
        <w:t>7</w:t>
      </w:r>
      <w:r w:rsidRPr="00925F26">
        <w:rPr>
          <w:color w:val="000000" w:themeColor="text1"/>
          <w:sz w:val="16"/>
          <w:szCs w:val="16"/>
        </w:rPr>
        <w:tab/>
        <w:t>1</w:t>
      </w:r>
    </w:p>
    <w:p w14:paraId="4A6474C7" w14:textId="77777777" w:rsidR="009A3EFF" w:rsidRPr="00925F26" w:rsidRDefault="009A3EFF" w:rsidP="00925F26">
      <w:pPr>
        <w:jc w:val="both"/>
        <w:rPr>
          <w:color w:val="000000" w:themeColor="text1"/>
          <w:sz w:val="16"/>
          <w:szCs w:val="16"/>
        </w:rPr>
      </w:pPr>
      <w:r w:rsidRPr="00925F26">
        <w:rPr>
          <w:color w:val="000000" w:themeColor="text1"/>
          <w:sz w:val="16"/>
          <w:szCs w:val="16"/>
        </w:rPr>
        <w:t>Примечание. Два самолета Ил-2 и три истребителя переделаны на учебные.</w:t>
      </w:r>
    </w:p>
    <w:p w14:paraId="0AE0DBF9" w14:textId="77777777" w:rsidR="009A3EFF" w:rsidRPr="00925F26" w:rsidRDefault="009A3EFF" w:rsidP="00925F26">
      <w:pPr>
        <w:jc w:val="both"/>
        <w:rPr>
          <w:color w:val="000000" w:themeColor="text1"/>
          <w:sz w:val="16"/>
          <w:szCs w:val="16"/>
        </w:rPr>
      </w:pPr>
      <w:r w:rsidRPr="00925F26">
        <w:rPr>
          <w:color w:val="000000" w:themeColor="text1"/>
          <w:sz w:val="16"/>
          <w:szCs w:val="16"/>
        </w:rPr>
        <w:t>Авиагруппа за период боевой работы на территории Югославии все материально-техническое обеспечение получала из 17 ВА через 9 район авиационного базирования и не имела случаев срыва боевой работы из-за [не]обеспечения.</w:t>
      </w:r>
    </w:p>
    <w:p w14:paraId="6F63A596" w14:textId="77777777" w:rsidR="009A3EFF" w:rsidRPr="00925F26" w:rsidRDefault="009A3EFF" w:rsidP="00925F26">
      <w:pPr>
        <w:jc w:val="both"/>
        <w:rPr>
          <w:color w:val="000000" w:themeColor="text1"/>
          <w:sz w:val="16"/>
          <w:szCs w:val="16"/>
        </w:rPr>
      </w:pPr>
      <w:r w:rsidRPr="00925F26">
        <w:rPr>
          <w:color w:val="000000" w:themeColor="text1"/>
          <w:sz w:val="16"/>
          <w:szCs w:val="16"/>
        </w:rPr>
        <w:t>Сдано частям ВЗС Югославской армии:</w:t>
      </w:r>
    </w:p>
    <w:p w14:paraId="5CD46C4B" w14:textId="77777777" w:rsidR="009A3EFF" w:rsidRPr="00925F26" w:rsidRDefault="009A3EFF" w:rsidP="00925F26">
      <w:pPr>
        <w:jc w:val="both"/>
        <w:rPr>
          <w:color w:val="000000" w:themeColor="text1"/>
          <w:sz w:val="16"/>
          <w:szCs w:val="16"/>
        </w:rPr>
      </w:pPr>
      <w:r w:rsidRPr="00925F26">
        <w:rPr>
          <w:color w:val="000000" w:themeColor="text1"/>
          <w:sz w:val="16"/>
          <w:szCs w:val="16"/>
        </w:rPr>
        <w:t>[шт.]</w:t>
      </w:r>
    </w:p>
    <w:p w14:paraId="5C4B5C60" w14:textId="77777777" w:rsidR="009A3EFF" w:rsidRPr="00925F26" w:rsidRDefault="009A3EFF" w:rsidP="00925F26">
      <w:pPr>
        <w:jc w:val="both"/>
        <w:rPr>
          <w:color w:val="000000" w:themeColor="text1"/>
          <w:sz w:val="16"/>
          <w:szCs w:val="16"/>
        </w:rPr>
      </w:pPr>
      <w:r w:rsidRPr="00925F26">
        <w:rPr>
          <w:color w:val="000000" w:themeColor="text1"/>
          <w:sz w:val="16"/>
          <w:szCs w:val="16"/>
        </w:rPr>
        <w:t>автомашин разных......................433</w:t>
      </w:r>
    </w:p>
    <w:p w14:paraId="5223B4A0" w14:textId="77777777" w:rsidR="009A3EFF" w:rsidRPr="00925F26" w:rsidRDefault="009A3EFF" w:rsidP="00925F26">
      <w:pPr>
        <w:jc w:val="both"/>
        <w:rPr>
          <w:color w:val="000000" w:themeColor="text1"/>
          <w:sz w:val="16"/>
          <w:szCs w:val="16"/>
        </w:rPr>
      </w:pPr>
      <w:r w:rsidRPr="00925F26">
        <w:rPr>
          <w:color w:val="000000" w:themeColor="text1"/>
          <w:sz w:val="16"/>
          <w:szCs w:val="16"/>
        </w:rPr>
        <w:t>тракторов..............................40</w:t>
      </w:r>
    </w:p>
    <w:p w14:paraId="3ED55197" w14:textId="77777777" w:rsidR="009A3EFF" w:rsidRPr="00925F26" w:rsidRDefault="009A3EFF" w:rsidP="00925F26">
      <w:pPr>
        <w:jc w:val="both"/>
        <w:rPr>
          <w:color w:val="000000" w:themeColor="text1"/>
          <w:sz w:val="16"/>
          <w:szCs w:val="16"/>
        </w:rPr>
      </w:pPr>
      <w:r w:rsidRPr="00925F26">
        <w:rPr>
          <w:color w:val="000000" w:themeColor="text1"/>
          <w:sz w:val="16"/>
          <w:szCs w:val="16"/>
        </w:rPr>
        <w:t>радиостанций ......................... 51</w:t>
      </w:r>
    </w:p>
    <w:p w14:paraId="18A7E42D" w14:textId="77777777" w:rsidR="009A3EFF" w:rsidRPr="00925F26" w:rsidRDefault="009A3EFF" w:rsidP="00925F26">
      <w:pPr>
        <w:jc w:val="both"/>
        <w:rPr>
          <w:color w:val="000000" w:themeColor="text1"/>
          <w:sz w:val="16"/>
          <w:szCs w:val="16"/>
        </w:rPr>
      </w:pPr>
      <w:r w:rsidRPr="00925F26">
        <w:rPr>
          <w:color w:val="000000" w:themeColor="text1"/>
          <w:sz w:val="16"/>
          <w:szCs w:val="16"/>
        </w:rPr>
        <w:t>компрессоров........................... 5</w:t>
      </w:r>
    </w:p>
    <w:p w14:paraId="7BE94F69" w14:textId="77777777" w:rsidR="009A3EFF" w:rsidRPr="00925F26" w:rsidRDefault="009A3EFF" w:rsidP="00925F26">
      <w:pPr>
        <w:jc w:val="both"/>
        <w:rPr>
          <w:color w:val="000000" w:themeColor="text1"/>
          <w:sz w:val="16"/>
          <w:szCs w:val="16"/>
        </w:rPr>
      </w:pPr>
      <w:r w:rsidRPr="00925F26">
        <w:rPr>
          <w:color w:val="000000" w:themeColor="text1"/>
          <w:sz w:val="16"/>
          <w:szCs w:val="16"/>
        </w:rPr>
        <w:lastRenderedPageBreak/>
        <w:t xml:space="preserve">зарядных </w:t>
      </w:r>
      <w:proofErr w:type="gramStart"/>
      <w:r w:rsidRPr="00925F26">
        <w:rPr>
          <w:color w:val="000000" w:themeColor="text1"/>
          <w:sz w:val="16"/>
          <w:szCs w:val="16"/>
        </w:rPr>
        <w:t>станций .</w:t>
      </w:r>
      <w:proofErr w:type="gramEnd"/>
      <w:r w:rsidRPr="00925F26">
        <w:rPr>
          <w:color w:val="000000" w:themeColor="text1"/>
          <w:sz w:val="16"/>
          <w:szCs w:val="16"/>
        </w:rPr>
        <w:tab/>
        <w:t xml:space="preserve">   6</w:t>
      </w:r>
    </w:p>
    <w:p w14:paraId="409870C5" w14:textId="77777777" w:rsidR="009A3EFF" w:rsidRPr="00925F26" w:rsidRDefault="009A3EFF" w:rsidP="00925F26">
      <w:pPr>
        <w:jc w:val="both"/>
        <w:rPr>
          <w:color w:val="000000" w:themeColor="text1"/>
          <w:sz w:val="16"/>
          <w:szCs w:val="16"/>
        </w:rPr>
      </w:pPr>
      <w:r w:rsidRPr="00925F26">
        <w:rPr>
          <w:color w:val="000000" w:themeColor="text1"/>
          <w:sz w:val="16"/>
          <w:szCs w:val="16"/>
        </w:rPr>
        <w:t>воздушных баллонов....................200</w:t>
      </w:r>
    </w:p>
    <w:p w14:paraId="332B18B3" w14:textId="77777777" w:rsidR="009A3EFF" w:rsidRPr="00925F26" w:rsidRDefault="009A3EFF" w:rsidP="00925F26">
      <w:pPr>
        <w:jc w:val="both"/>
        <w:rPr>
          <w:color w:val="000000" w:themeColor="text1"/>
          <w:sz w:val="16"/>
          <w:szCs w:val="16"/>
        </w:rPr>
      </w:pPr>
      <w:r w:rsidRPr="00925F26">
        <w:rPr>
          <w:color w:val="000000" w:themeColor="text1"/>
          <w:sz w:val="16"/>
          <w:szCs w:val="16"/>
        </w:rPr>
        <w:t>телефонных аппаратов..................190</w:t>
      </w:r>
    </w:p>
    <w:p w14:paraId="175F4A6B" w14:textId="77777777" w:rsidR="009A3EFF" w:rsidRPr="00925F26" w:rsidRDefault="009A3EFF" w:rsidP="00925F26">
      <w:pPr>
        <w:jc w:val="both"/>
        <w:rPr>
          <w:color w:val="000000" w:themeColor="text1"/>
          <w:sz w:val="16"/>
          <w:szCs w:val="16"/>
        </w:rPr>
      </w:pPr>
      <w:r w:rsidRPr="00925F26">
        <w:rPr>
          <w:color w:val="000000" w:themeColor="text1"/>
          <w:sz w:val="16"/>
          <w:szCs w:val="16"/>
        </w:rPr>
        <w:t>коммутаторов........................... 8</w:t>
      </w:r>
    </w:p>
    <w:p w14:paraId="3DB6B7F9" w14:textId="77777777" w:rsidR="009A3EFF" w:rsidRPr="00925F26" w:rsidRDefault="009A3EFF" w:rsidP="00925F26">
      <w:pPr>
        <w:jc w:val="both"/>
        <w:rPr>
          <w:color w:val="000000" w:themeColor="text1"/>
          <w:sz w:val="16"/>
          <w:szCs w:val="16"/>
        </w:rPr>
      </w:pPr>
      <w:r w:rsidRPr="00925F26">
        <w:rPr>
          <w:color w:val="000000" w:themeColor="text1"/>
          <w:sz w:val="16"/>
          <w:szCs w:val="16"/>
        </w:rPr>
        <w:t>номерников ............................ 2</w:t>
      </w:r>
    </w:p>
    <w:p w14:paraId="25BCA1C7" w14:textId="77777777" w:rsidR="009A3EFF" w:rsidRPr="00925F26" w:rsidRDefault="009A3EFF" w:rsidP="00925F26">
      <w:pPr>
        <w:jc w:val="both"/>
        <w:rPr>
          <w:color w:val="000000" w:themeColor="text1"/>
          <w:sz w:val="16"/>
          <w:szCs w:val="16"/>
        </w:rPr>
      </w:pPr>
      <w:r w:rsidRPr="00925F26">
        <w:rPr>
          <w:color w:val="000000" w:themeColor="text1"/>
          <w:sz w:val="16"/>
          <w:szCs w:val="16"/>
        </w:rPr>
        <w:t>аппаратов СТ-35 ....................... 7</w:t>
      </w:r>
    </w:p>
    <w:p w14:paraId="50970C5C" w14:textId="77777777" w:rsidR="009A3EFF" w:rsidRPr="00925F26" w:rsidRDefault="009A3EFF" w:rsidP="00925F26">
      <w:pPr>
        <w:jc w:val="both"/>
        <w:rPr>
          <w:color w:val="000000" w:themeColor="text1"/>
          <w:sz w:val="16"/>
          <w:szCs w:val="16"/>
        </w:rPr>
      </w:pPr>
      <w:r w:rsidRPr="00925F26">
        <w:rPr>
          <w:color w:val="000000" w:themeColor="text1"/>
          <w:sz w:val="16"/>
          <w:szCs w:val="16"/>
        </w:rPr>
        <w:t>[аппаратов] Морзе..................... 15</w:t>
      </w:r>
    </w:p>
    <w:p w14:paraId="4DC200AF" w14:textId="77777777" w:rsidR="009A3EFF" w:rsidRPr="00925F26" w:rsidRDefault="009A3EFF" w:rsidP="00925F26">
      <w:pPr>
        <w:jc w:val="both"/>
        <w:rPr>
          <w:color w:val="000000" w:themeColor="text1"/>
          <w:sz w:val="16"/>
          <w:szCs w:val="16"/>
        </w:rPr>
      </w:pPr>
      <w:r w:rsidRPr="00925F26">
        <w:rPr>
          <w:color w:val="000000" w:themeColor="text1"/>
          <w:sz w:val="16"/>
          <w:szCs w:val="16"/>
        </w:rPr>
        <w:t>телефонного кабеля .................. 270</w:t>
      </w:r>
    </w:p>
    <w:p w14:paraId="26A11C8E" w14:textId="77777777" w:rsidR="009A3EFF" w:rsidRPr="00925F26" w:rsidRDefault="009A3EFF" w:rsidP="00925F26">
      <w:pPr>
        <w:jc w:val="both"/>
        <w:rPr>
          <w:color w:val="000000" w:themeColor="text1"/>
          <w:sz w:val="16"/>
          <w:szCs w:val="16"/>
        </w:rPr>
      </w:pPr>
      <w:r w:rsidRPr="00925F26">
        <w:rPr>
          <w:color w:val="000000" w:themeColor="text1"/>
          <w:sz w:val="16"/>
          <w:szCs w:val="16"/>
        </w:rPr>
        <w:t>движков ............................... 3</w:t>
      </w:r>
    </w:p>
    <w:p w14:paraId="0DD14B68" w14:textId="77777777" w:rsidR="009A3EFF" w:rsidRPr="00925F26" w:rsidRDefault="009A3EFF" w:rsidP="00925F26">
      <w:pPr>
        <w:jc w:val="both"/>
        <w:rPr>
          <w:color w:val="000000" w:themeColor="text1"/>
          <w:sz w:val="16"/>
          <w:szCs w:val="16"/>
        </w:rPr>
      </w:pPr>
      <w:r w:rsidRPr="00925F26">
        <w:rPr>
          <w:color w:val="000000" w:themeColor="text1"/>
          <w:sz w:val="16"/>
          <w:szCs w:val="16"/>
        </w:rPr>
        <w:t>приемников ............................ 8</w:t>
      </w:r>
    </w:p>
    <w:p w14:paraId="314683C3" w14:textId="77777777" w:rsidR="009A3EFF" w:rsidRPr="00925F26" w:rsidRDefault="009A3EFF" w:rsidP="00925F26">
      <w:pPr>
        <w:jc w:val="both"/>
        <w:rPr>
          <w:color w:val="000000" w:themeColor="text1"/>
          <w:sz w:val="16"/>
          <w:szCs w:val="16"/>
        </w:rPr>
      </w:pPr>
      <w:r w:rsidRPr="00925F26">
        <w:rPr>
          <w:color w:val="000000" w:themeColor="text1"/>
          <w:sz w:val="16"/>
          <w:szCs w:val="16"/>
        </w:rPr>
        <w:t>аккумуляторов ........................ 50</w:t>
      </w:r>
    </w:p>
    <w:p w14:paraId="7939A568" w14:textId="77777777" w:rsidR="009A3EFF" w:rsidRPr="00925F26" w:rsidRDefault="009A3EFF" w:rsidP="00925F26">
      <w:pPr>
        <w:jc w:val="both"/>
        <w:rPr>
          <w:color w:val="000000" w:themeColor="text1"/>
          <w:sz w:val="16"/>
          <w:szCs w:val="16"/>
        </w:rPr>
      </w:pPr>
      <w:r w:rsidRPr="00925F26">
        <w:rPr>
          <w:color w:val="000000" w:themeColor="text1"/>
          <w:sz w:val="16"/>
          <w:szCs w:val="16"/>
        </w:rPr>
        <w:t>зенитных орудий 25-мм.................. 8</w:t>
      </w:r>
    </w:p>
    <w:p w14:paraId="338B7141" w14:textId="77777777" w:rsidR="009A3EFF" w:rsidRPr="00925F26" w:rsidRDefault="009A3EFF" w:rsidP="00925F26">
      <w:pPr>
        <w:jc w:val="both"/>
        <w:rPr>
          <w:color w:val="000000" w:themeColor="text1"/>
          <w:sz w:val="16"/>
          <w:szCs w:val="16"/>
        </w:rPr>
      </w:pPr>
      <w:r w:rsidRPr="00925F26">
        <w:rPr>
          <w:color w:val="000000" w:themeColor="text1"/>
          <w:sz w:val="16"/>
          <w:szCs w:val="16"/>
        </w:rPr>
        <w:t>(зенитных орудий) 20-мм............... 50</w:t>
      </w:r>
    </w:p>
    <w:p w14:paraId="0784A8CD" w14:textId="77777777" w:rsidR="009A3EFF" w:rsidRPr="00925F26" w:rsidRDefault="009A3EFF" w:rsidP="00925F26">
      <w:pPr>
        <w:jc w:val="both"/>
        <w:rPr>
          <w:color w:val="000000" w:themeColor="text1"/>
          <w:sz w:val="16"/>
          <w:szCs w:val="16"/>
        </w:rPr>
      </w:pPr>
      <w:r w:rsidRPr="00925F26">
        <w:rPr>
          <w:color w:val="000000" w:themeColor="text1"/>
          <w:sz w:val="16"/>
          <w:szCs w:val="16"/>
        </w:rPr>
        <w:t>(зенитных орудий) швак................. 1</w:t>
      </w:r>
    </w:p>
    <w:p w14:paraId="074C8051" w14:textId="77777777" w:rsidR="009A3EFF" w:rsidRPr="00925F26" w:rsidRDefault="009A3EFF" w:rsidP="00925F26">
      <w:pPr>
        <w:jc w:val="both"/>
        <w:rPr>
          <w:color w:val="000000" w:themeColor="text1"/>
          <w:sz w:val="16"/>
          <w:szCs w:val="16"/>
        </w:rPr>
      </w:pPr>
      <w:r w:rsidRPr="00925F26">
        <w:rPr>
          <w:color w:val="000000" w:themeColor="text1"/>
          <w:sz w:val="16"/>
          <w:szCs w:val="16"/>
        </w:rPr>
        <w:t>крупнокалиберных пулеметов 12,7-</w:t>
      </w:r>
      <w:proofErr w:type="gramStart"/>
      <w:r w:rsidRPr="00925F26">
        <w:rPr>
          <w:color w:val="000000" w:themeColor="text1"/>
          <w:sz w:val="16"/>
          <w:szCs w:val="16"/>
        </w:rPr>
        <w:t>мм .</w:t>
      </w:r>
      <w:proofErr w:type="gramEnd"/>
      <w:r w:rsidRPr="00925F26">
        <w:rPr>
          <w:color w:val="000000" w:themeColor="text1"/>
          <w:sz w:val="16"/>
          <w:szCs w:val="16"/>
        </w:rPr>
        <w:tab/>
        <w:t>4</w:t>
      </w:r>
    </w:p>
    <w:p w14:paraId="1CE34D9D" w14:textId="77777777" w:rsidR="009A3EFF" w:rsidRPr="00925F26" w:rsidRDefault="009A3EFF" w:rsidP="00925F26">
      <w:pPr>
        <w:jc w:val="both"/>
        <w:rPr>
          <w:color w:val="000000" w:themeColor="text1"/>
          <w:sz w:val="16"/>
          <w:szCs w:val="16"/>
        </w:rPr>
      </w:pPr>
      <w:r w:rsidRPr="00925F26">
        <w:rPr>
          <w:color w:val="000000" w:themeColor="text1"/>
          <w:sz w:val="16"/>
          <w:szCs w:val="16"/>
        </w:rPr>
        <w:t>Передано: Б-78 и Б-100 .............. 500</w:t>
      </w:r>
    </w:p>
    <w:p w14:paraId="57253DA0" w14:textId="77777777" w:rsidR="009A3EFF" w:rsidRPr="00925F26" w:rsidRDefault="009A3EFF" w:rsidP="00925F26">
      <w:pPr>
        <w:jc w:val="both"/>
        <w:rPr>
          <w:color w:val="000000" w:themeColor="text1"/>
          <w:sz w:val="16"/>
          <w:szCs w:val="16"/>
        </w:rPr>
      </w:pPr>
      <w:r w:rsidRPr="00925F26">
        <w:rPr>
          <w:color w:val="000000" w:themeColor="text1"/>
          <w:sz w:val="16"/>
          <w:szCs w:val="16"/>
        </w:rPr>
        <w:t>Б-70.......................120</w:t>
      </w:r>
    </w:p>
    <w:p w14:paraId="4ABA08CD" w14:textId="77777777" w:rsidR="009A3EFF" w:rsidRPr="00925F26" w:rsidRDefault="009A3EFF" w:rsidP="00925F26">
      <w:pPr>
        <w:jc w:val="both"/>
        <w:rPr>
          <w:color w:val="000000" w:themeColor="text1"/>
          <w:sz w:val="16"/>
          <w:szCs w:val="16"/>
        </w:rPr>
      </w:pPr>
      <w:r w:rsidRPr="00925F26">
        <w:rPr>
          <w:color w:val="000000" w:themeColor="text1"/>
          <w:sz w:val="16"/>
          <w:szCs w:val="16"/>
        </w:rPr>
        <w:t>авиамасла .......</w:t>
      </w:r>
      <w:r w:rsidRPr="00925F26">
        <w:rPr>
          <w:color w:val="000000" w:themeColor="text1"/>
          <w:sz w:val="16"/>
          <w:szCs w:val="16"/>
        </w:rPr>
        <w:tab/>
        <w:t>70</w:t>
      </w:r>
    </w:p>
    <w:p w14:paraId="5DF08CF8" w14:textId="77777777" w:rsidR="009A3EFF" w:rsidRPr="00925F26" w:rsidRDefault="009A3EFF" w:rsidP="00925F26">
      <w:pPr>
        <w:jc w:val="both"/>
        <w:rPr>
          <w:color w:val="000000" w:themeColor="text1"/>
          <w:sz w:val="16"/>
          <w:szCs w:val="16"/>
        </w:rPr>
      </w:pPr>
      <w:r w:rsidRPr="00925F26">
        <w:rPr>
          <w:color w:val="000000" w:themeColor="text1"/>
          <w:sz w:val="16"/>
          <w:szCs w:val="16"/>
        </w:rPr>
        <w:t>автогорючего ..............150</w:t>
      </w:r>
    </w:p>
    <w:p w14:paraId="705CE088" w14:textId="77777777" w:rsidR="009A3EFF" w:rsidRPr="00925F26" w:rsidRDefault="009A3EFF" w:rsidP="00925F26">
      <w:pPr>
        <w:jc w:val="both"/>
        <w:rPr>
          <w:color w:val="000000" w:themeColor="text1"/>
          <w:sz w:val="16"/>
          <w:szCs w:val="16"/>
        </w:rPr>
      </w:pPr>
      <w:r w:rsidRPr="00925F26">
        <w:rPr>
          <w:color w:val="000000" w:themeColor="text1"/>
          <w:sz w:val="16"/>
          <w:szCs w:val="16"/>
        </w:rPr>
        <w:t>продукта Р-9................ 5</w:t>
      </w:r>
    </w:p>
    <w:p w14:paraId="361EA476" w14:textId="77777777" w:rsidR="009A3EFF" w:rsidRPr="00925F26" w:rsidRDefault="009A3EFF" w:rsidP="00925F26">
      <w:pPr>
        <w:jc w:val="both"/>
        <w:rPr>
          <w:color w:val="000000" w:themeColor="text1"/>
          <w:sz w:val="16"/>
          <w:szCs w:val="16"/>
        </w:rPr>
      </w:pPr>
      <w:r w:rsidRPr="00925F26">
        <w:rPr>
          <w:color w:val="000000" w:themeColor="text1"/>
          <w:sz w:val="16"/>
          <w:szCs w:val="16"/>
        </w:rPr>
        <w:t xml:space="preserve">авиабомб разных калибров, снарядов и </w:t>
      </w:r>
      <w:proofErr w:type="gramStart"/>
      <w:r w:rsidRPr="00925F26">
        <w:rPr>
          <w:color w:val="000000" w:themeColor="text1"/>
          <w:sz w:val="16"/>
          <w:szCs w:val="16"/>
        </w:rPr>
        <w:t>патронов .</w:t>
      </w:r>
      <w:proofErr w:type="gramEnd"/>
      <w:r w:rsidRPr="00925F26">
        <w:rPr>
          <w:color w:val="000000" w:themeColor="text1"/>
          <w:sz w:val="16"/>
          <w:szCs w:val="16"/>
        </w:rPr>
        <w:tab/>
        <w:t>.</w:t>
      </w:r>
      <w:r w:rsidRPr="00925F26">
        <w:rPr>
          <w:color w:val="000000" w:themeColor="text1"/>
          <w:sz w:val="16"/>
          <w:szCs w:val="16"/>
        </w:rPr>
        <w:tab/>
        <w:t>. 2500</w:t>
      </w:r>
    </w:p>
    <w:p w14:paraId="509821CD" w14:textId="77777777" w:rsidR="009A3EFF" w:rsidRPr="00925F26" w:rsidRDefault="009A3EFF" w:rsidP="00925F26">
      <w:pPr>
        <w:jc w:val="both"/>
        <w:rPr>
          <w:color w:val="000000" w:themeColor="text1"/>
          <w:sz w:val="16"/>
          <w:szCs w:val="16"/>
        </w:rPr>
      </w:pPr>
      <w:r w:rsidRPr="00925F26">
        <w:rPr>
          <w:color w:val="000000" w:themeColor="text1"/>
          <w:sz w:val="16"/>
          <w:szCs w:val="16"/>
        </w:rPr>
        <w:t>авиамоторов, требующих ремонта:</w:t>
      </w:r>
    </w:p>
    <w:p w14:paraId="775594A1" w14:textId="77777777" w:rsidR="009A3EFF" w:rsidRPr="00925F26" w:rsidRDefault="009A3EFF" w:rsidP="00925F26">
      <w:pPr>
        <w:jc w:val="both"/>
        <w:rPr>
          <w:color w:val="000000" w:themeColor="text1"/>
          <w:sz w:val="16"/>
          <w:szCs w:val="16"/>
        </w:rPr>
      </w:pPr>
      <w:r w:rsidRPr="00925F26">
        <w:rPr>
          <w:color w:val="000000" w:themeColor="text1"/>
          <w:sz w:val="16"/>
          <w:szCs w:val="16"/>
        </w:rPr>
        <w:t>АМ-38ф .................... 33</w:t>
      </w:r>
    </w:p>
    <w:p w14:paraId="2933D88E" w14:textId="77777777" w:rsidR="009A3EFF" w:rsidRPr="00925F26" w:rsidRDefault="009A3EFF" w:rsidP="00925F26">
      <w:pPr>
        <w:jc w:val="both"/>
        <w:rPr>
          <w:color w:val="000000" w:themeColor="text1"/>
          <w:sz w:val="16"/>
          <w:szCs w:val="16"/>
        </w:rPr>
      </w:pPr>
      <w:r w:rsidRPr="00925F26">
        <w:rPr>
          <w:color w:val="000000" w:themeColor="text1"/>
          <w:sz w:val="16"/>
          <w:szCs w:val="16"/>
        </w:rPr>
        <w:t>ВК-105пф....................29</w:t>
      </w:r>
    </w:p>
    <w:p w14:paraId="45078100" w14:textId="77777777" w:rsidR="009A3EFF" w:rsidRPr="00925F26" w:rsidRDefault="009A3EFF" w:rsidP="00925F26">
      <w:pPr>
        <w:jc w:val="both"/>
        <w:rPr>
          <w:color w:val="000000" w:themeColor="text1"/>
          <w:sz w:val="16"/>
          <w:szCs w:val="16"/>
        </w:rPr>
      </w:pPr>
      <w:r w:rsidRPr="00925F26">
        <w:rPr>
          <w:color w:val="000000" w:themeColor="text1"/>
          <w:sz w:val="16"/>
          <w:szCs w:val="16"/>
        </w:rPr>
        <w:t>М-11д....................... 2</w:t>
      </w:r>
    </w:p>
    <w:p w14:paraId="4BECA66E" w14:textId="77777777" w:rsidR="009A3EFF" w:rsidRPr="00925F26" w:rsidRDefault="009A3EFF" w:rsidP="00925F26">
      <w:pPr>
        <w:jc w:val="both"/>
        <w:rPr>
          <w:color w:val="000000" w:themeColor="text1"/>
          <w:sz w:val="16"/>
          <w:szCs w:val="16"/>
        </w:rPr>
      </w:pPr>
      <w:r w:rsidRPr="00925F26">
        <w:rPr>
          <w:color w:val="000000" w:themeColor="text1"/>
          <w:sz w:val="16"/>
          <w:szCs w:val="16"/>
        </w:rPr>
        <w:t>шлемофонов.................266</w:t>
      </w:r>
    </w:p>
    <w:p w14:paraId="50B9A419" w14:textId="77777777" w:rsidR="009A3EFF" w:rsidRPr="00925F26" w:rsidRDefault="009A3EFF" w:rsidP="00925F26">
      <w:pPr>
        <w:jc w:val="both"/>
        <w:rPr>
          <w:color w:val="000000" w:themeColor="text1"/>
          <w:sz w:val="16"/>
          <w:szCs w:val="16"/>
        </w:rPr>
      </w:pPr>
      <w:r w:rsidRPr="00925F26">
        <w:rPr>
          <w:color w:val="000000" w:themeColor="text1"/>
          <w:sz w:val="16"/>
          <w:szCs w:val="16"/>
        </w:rPr>
        <w:t xml:space="preserve">За отличные боевые действия по освобождению территории Югославии от немецко-фашистских захватчиков орденами Югославии награждены 28 человек. Кроме того, оформлен материал и представлено к награждению 141 </w:t>
      </w:r>
      <w:proofErr w:type="gramStart"/>
      <w:r w:rsidRPr="00925F26">
        <w:rPr>
          <w:color w:val="000000" w:themeColor="text1"/>
          <w:sz w:val="16"/>
          <w:szCs w:val="16"/>
        </w:rPr>
        <w:t>чел</w:t>
      </w:r>
      <w:proofErr w:type="gramEnd"/>
      <w:r w:rsidRPr="00925F26">
        <w:rPr>
          <w:color w:val="000000" w:themeColor="text1"/>
          <w:sz w:val="16"/>
          <w:szCs w:val="16"/>
        </w:rPr>
        <w:t>[овек] руководящего, летного и технического состава авиагруппы.</w:t>
      </w:r>
    </w:p>
    <w:p w14:paraId="7CD940A0" w14:textId="77777777" w:rsidR="009A3EFF" w:rsidRPr="00925F26" w:rsidRDefault="009A3EFF" w:rsidP="00925F26">
      <w:pPr>
        <w:jc w:val="both"/>
        <w:rPr>
          <w:color w:val="000000" w:themeColor="text1"/>
          <w:sz w:val="16"/>
          <w:szCs w:val="16"/>
        </w:rPr>
      </w:pPr>
      <w:r w:rsidRPr="00925F26">
        <w:rPr>
          <w:color w:val="000000" w:themeColor="text1"/>
          <w:sz w:val="16"/>
          <w:szCs w:val="16"/>
        </w:rPr>
        <w:t>В помощь организации боевой работы и эксплуатации переданной материальной части в частях ВВС ЮА от авиагруппы до особого распоряжения оставлена группа руководящего офицерского состава в количестве 14 человек</w:t>
      </w:r>
    </w:p>
    <w:p w14:paraId="35912965" w14:textId="77777777" w:rsidR="009A3EFF" w:rsidRPr="00925F26" w:rsidRDefault="009A3EFF" w:rsidP="00925F26">
      <w:pPr>
        <w:jc w:val="both"/>
        <w:rPr>
          <w:color w:val="000000" w:themeColor="text1"/>
          <w:sz w:val="16"/>
          <w:szCs w:val="16"/>
        </w:rPr>
      </w:pPr>
      <w:r w:rsidRPr="00925F26">
        <w:rPr>
          <w:color w:val="000000" w:themeColor="text1"/>
          <w:sz w:val="16"/>
          <w:szCs w:val="16"/>
        </w:rPr>
        <w:t>Сдали:</w:t>
      </w:r>
    </w:p>
    <w:p w14:paraId="1CEDD77E" w14:textId="77777777" w:rsidR="009A3EFF" w:rsidRPr="00925F26" w:rsidRDefault="009A3EFF" w:rsidP="00925F26">
      <w:pPr>
        <w:jc w:val="both"/>
        <w:rPr>
          <w:color w:val="000000" w:themeColor="text1"/>
          <w:sz w:val="16"/>
          <w:szCs w:val="16"/>
        </w:rPr>
      </w:pPr>
      <w:r w:rsidRPr="00925F26">
        <w:rPr>
          <w:color w:val="000000" w:themeColor="text1"/>
          <w:sz w:val="16"/>
          <w:szCs w:val="16"/>
        </w:rPr>
        <w:t>Председатель комиссии — заместитель командующего 17 ВА генерал-лейтенант авиации Златоцветов</w:t>
      </w:r>
    </w:p>
    <w:p w14:paraId="6B70C168" w14:textId="77777777" w:rsidR="009A3EFF" w:rsidRPr="00925F26" w:rsidRDefault="009A3EFF" w:rsidP="00925F26">
      <w:pPr>
        <w:jc w:val="both"/>
        <w:rPr>
          <w:color w:val="000000" w:themeColor="text1"/>
          <w:sz w:val="16"/>
          <w:szCs w:val="16"/>
        </w:rPr>
      </w:pPr>
      <w:r w:rsidRPr="00925F26">
        <w:rPr>
          <w:color w:val="000000" w:themeColor="text1"/>
          <w:sz w:val="16"/>
          <w:szCs w:val="16"/>
        </w:rPr>
        <w:t>[Члены]:</w:t>
      </w:r>
    </w:p>
    <w:p w14:paraId="5FB89B4E" w14:textId="77777777" w:rsidR="009A3EFF" w:rsidRPr="00925F26" w:rsidRDefault="009A3EFF" w:rsidP="00925F26">
      <w:pPr>
        <w:jc w:val="both"/>
        <w:rPr>
          <w:color w:val="000000" w:themeColor="text1"/>
          <w:sz w:val="16"/>
          <w:szCs w:val="16"/>
        </w:rPr>
      </w:pPr>
      <w:r w:rsidRPr="00925F26">
        <w:rPr>
          <w:color w:val="000000" w:themeColor="text1"/>
          <w:sz w:val="16"/>
          <w:szCs w:val="16"/>
        </w:rPr>
        <w:t>Представитель политотдела 17 ВА полковник Симонов</w:t>
      </w:r>
    </w:p>
    <w:p w14:paraId="482AE829" w14:textId="77777777" w:rsidR="009A3EFF" w:rsidRPr="00925F26" w:rsidRDefault="009A3EFF" w:rsidP="00925F26">
      <w:pPr>
        <w:jc w:val="both"/>
        <w:rPr>
          <w:color w:val="000000" w:themeColor="text1"/>
          <w:sz w:val="16"/>
          <w:szCs w:val="16"/>
        </w:rPr>
      </w:pPr>
      <w:r w:rsidRPr="00925F26">
        <w:rPr>
          <w:color w:val="000000" w:themeColor="text1"/>
          <w:sz w:val="16"/>
          <w:szCs w:val="16"/>
        </w:rPr>
        <w:t>Начальник отдела технического снабжения 17 ВА полковник Прокопенко</w:t>
      </w:r>
    </w:p>
    <w:p w14:paraId="31194B28" w14:textId="77777777" w:rsidR="009A3EFF" w:rsidRPr="00925F26" w:rsidRDefault="009A3EFF" w:rsidP="00925F26">
      <w:pPr>
        <w:jc w:val="both"/>
        <w:rPr>
          <w:color w:val="000000" w:themeColor="text1"/>
          <w:sz w:val="16"/>
          <w:szCs w:val="16"/>
        </w:rPr>
      </w:pPr>
      <w:r w:rsidRPr="00925F26">
        <w:rPr>
          <w:color w:val="000000" w:themeColor="text1"/>
          <w:sz w:val="16"/>
          <w:szCs w:val="16"/>
        </w:rPr>
        <w:t>Заместитель главного инженера 17 ВА инженер-полковник Фролов</w:t>
      </w:r>
    </w:p>
    <w:p w14:paraId="32650457" w14:textId="77777777" w:rsidR="009A3EFF" w:rsidRPr="00925F26" w:rsidRDefault="009A3EFF" w:rsidP="00925F26">
      <w:pPr>
        <w:jc w:val="both"/>
        <w:rPr>
          <w:color w:val="000000" w:themeColor="text1"/>
          <w:sz w:val="16"/>
          <w:szCs w:val="16"/>
        </w:rPr>
      </w:pPr>
      <w:r w:rsidRPr="00925F26">
        <w:rPr>
          <w:color w:val="000000" w:themeColor="text1"/>
          <w:sz w:val="16"/>
          <w:szCs w:val="16"/>
        </w:rPr>
        <w:t>Заместитель начальника оперативного отдела штаба 17 ВА подполковник Сергеев</w:t>
      </w:r>
    </w:p>
    <w:p w14:paraId="68644A08" w14:textId="77777777" w:rsidR="009A3EFF" w:rsidRPr="00925F26" w:rsidRDefault="009A3EFF" w:rsidP="00925F26">
      <w:pPr>
        <w:jc w:val="both"/>
        <w:rPr>
          <w:color w:val="000000" w:themeColor="text1"/>
          <w:sz w:val="16"/>
          <w:szCs w:val="16"/>
        </w:rPr>
      </w:pPr>
      <w:r w:rsidRPr="00925F26">
        <w:rPr>
          <w:color w:val="000000" w:themeColor="text1"/>
          <w:sz w:val="16"/>
          <w:szCs w:val="16"/>
        </w:rPr>
        <w:t>Приняли:</w:t>
      </w:r>
    </w:p>
    <w:p w14:paraId="6A78F93C" w14:textId="77777777" w:rsidR="009A3EFF" w:rsidRPr="00925F26" w:rsidRDefault="009A3EFF" w:rsidP="00925F26">
      <w:pPr>
        <w:jc w:val="both"/>
        <w:rPr>
          <w:color w:val="000000" w:themeColor="text1"/>
          <w:sz w:val="16"/>
          <w:szCs w:val="16"/>
        </w:rPr>
      </w:pPr>
      <w:r w:rsidRPr="00925F26">
        <w:rPr>
          <w:color w:val="000000" w:themeColor="text1"/>
          <w:sz w:val="16"/>
          <w:szCs w:val="16"/>
        </w:rPr>
        <w:t>Командир группы авиадивизий ВВС ЮА генерал-майор Лазаревич Комиссар группы авиадивизий подполковник Момчилович</w:t>
      </w:r>
    </w:p>
    <w:p w14:paraId="3DFE54F4" w14:textId="77777777" w:rsidR="009A3EFF" w:rsidRPr="00925F26" w:rsidRDefault="009A3EFF" w:rsidP="00925F26">
      <w:pPr>
        <w:jc w:val="both"/>
        <w:rPr>
          <w:color w:val="000000" w:themeColor="text1"/>
          <w:sz w:val="16"/>
          <w:szCs w:val="16"/>
        </w:rPr>
      </w:pPr>
      <w:r w:rsidRPr="00925F26">
        <w:rPr>
          <w:color w:val="000000" w:themeColor="text1"/>
          <w:sz w:val="16"/>
          <w:szCs w:val="16"/>
        </w:rPr>
        <w:t>Начальник штаба группы авиадивизий ЮА генерал-майор Улепич</w:t>
      </w:r>
    </w:p>
    <w:p w14:paraId="610DEC88" w14:textId="77777777" w:rsidR="009A3EFF" w:rsidRPr="00925F26" w:rsidRDefault="009A3EFF" w:rsidP="00925F26">
      <w:pPr>
        <w:jc w:val="both"/>
        <w:rPr>
          <w:color w:val="000000" w:themeColor="text1"/>
          <w:sz w:val="16"/>
          <w:szCs w:val="16"/>
        </w:rPr>
      </w:pPr>
      <w:r w:rsidRPr="00925F26">
        <w:rPr>
          <w:color w:val="000000" w:themeColor="text1"/>
          <w:sz w:val="16"/>
          <w:szCs w:val="16"/>
        </w:rPr>
        <w:t>Печ, по архиву (20741).</w:t>
      </w:r>
    </w:p>
    <w:p w14:paraId="6E37F9B7" w14:textId="77777777" w:rsidR="009A3EFF" w:rsidRPr="00925F26" w:rsidRDefault="009A3EFF" w:rsidP="00925F26">
      <w:pPr>
        <w:jc w:val="both"/>
        <w:rPr>
          <w:color w:val="000000" w:themeColor="text1"/>
          <w:sz w:val="16"/>
          <w:szCs w:val="16"/>
        </w:rPr>
      </w:pPr>
    </w:p>
    <w:p w14:paraId="270913F8" w14:textId="12FB24EB"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24FDD5F" w14:textId="77777777" w:rsidR="00665165" w:rsidRPr="00925F26" w:rsidRDefault="00665165" w:rsidP="00925F26">
      <w:pPr>
        <w:autoSpaceDE w:val="0"/>
        <w:autoSpaceDN w:val="0"/>
        <w:adjustRightInd w:val="0"/>
        <w:jc w:val="both"/>
        <w:rPr>
          <w:iCs/>
          <w:color w:val="000000" w:themeColor="text1"/>
          <w:sz w:val="16"/>
          <w:szCs w:val="16"/>
        </w:rPr>
      </w:pPr>
    </w:p>
    <w:p w14:paraId="6CEC5BE7" w14:textId="77777777" w:rsidR="00AF535B" w:rsidRPr="00925F26" w:rsidRDefault="00AF535B" w:rsidP="00925F26">
      <w:pPr>
        <w:jc w:val="both"/>
        <w:rPr>
          <w:color w:val="000000" w:themeColor="text1"/>
          <w:sz w:val="16"/>
          <w:szCs w:val="16"/>
        </w:rPr>
      </w:pPr>
      <w:r w:rsidRPr="00925F26">
        <w:rPr>
          <w:color w:val="000000" w:themeColor="text1"/>
          <w:sz w:val="16"/>
          <w:szCs w:val="16"/>
        </w:rPr>
        <w:t xml:space="preserve">14 мая в 1945 году впервые поднялся в воздух с заводского аэродрома в Бэрбэнке и успешно завершил свой первый полет прототип «XP2V-1» самолета </w:t>
      </w:r>
      <w:hyperlink r:id="rId119" w:tgtFrame="_blank" w:history="1">
        <w:r w:rsidRPr="00925F26">
          <w:rPr>
            <w:color w:val="000000" w:themeColor="text1"/>
            <w:sz w:val="16"/>
            <w:szCs w:val="16"/>
          </w:rPr>
          <w:t xml:space="preserve">«P2V-1» «Neptune» </w:t>
        </w:r>
      </w:hyperlink>
      <w:r w:rsidRPr="00925F26">
        <w:rPr>
          <w:color w:val="000000" w:themeColor="text1"/>
          <w:sz w:val="16"/>
          <w:szCs w:val="16"/>
        </w:rPr>
        <w:t>с заводским номером 48237 под управлением летчиков-испытателей Д.Таула и Г.Джонсона. Прототип «XP2V-1» строился по проекту «V-146», отличавшемуся от «V-135» средним расположением крыла и измененным хвостовым оперением (14891).</w:t>
      </w:r>
    </w:p>
    <w:p w14:paraId="428E9751" w14:textId="77777777" w:rsidR="00AF535B" w:rsidRPr="00925F26" w:rsidRDefault="00AF535B" w:rsidP="00925F26">
      <w:pPr>
        <w:jc w:val="both"/>
        <w:rPr>
          <w:color w:val="000000" w:themeColor="text1"/>
          <w:sz w:val="16"/>
          <w:szCs w:val="16"/>
        </w:rPr>
      </w:pPr>
    </w:p>
    <w:p w14:paraId="734FD591"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14th, 1945: British troops ocupy the German island of Heligoland in the North Sea (3819).</w:t>
      </w:r>
    </w:p>
    <w:p w14:paraId="58C0FF08" w14:textId="77777777" w:rsidR="00665165" w:rsidRPr="00925F26" w:rsidRDefault="00665165" w:rsidP="00925F26">
      <w:pPr>
        <w:autoSpaceDE w:val="0"/>
        <w:autoSpaceDN w:val="0"/>
        <w:adjustRightInd w:val="0"/>
        <w:jc w:val="both"/>
        <w:rPr>
          <w:color w:val="000000" w:themeColor="text1"/>
          <w:sz w:val="16"/>
          <w:szCs w:val="16"/>
          <w:lang w:val="en-US"/>
        </w:rPr>
      </w:pPr>
    </w:p>
    <w:p w14:paraId="7F04AA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 мая 1945 британские войска заняли немецкий остров Хелиголданд в Северном море (3819).</w:t>
      </w:r>
    </w:p>
    <w:p w14:paraId="71080D5E" w14:textId="77777777" w:rsidR="00665165" w:rsidRPr="00925F26" w:rsidRDefault="00665165" w:rsidP="00925F26">
      <w:pPr>
        <w:autoSpaceDE w:val="0"/>
        <w:autoSpaceDN w:val="0"/>
        <w:adjustRightInd w:val="0"/>
        <w:jc w:val="both"/>
        <w:rPr>
          <w:color w:val="000000" w:themeColor="text1"/>
          <w:sz w:val="16"/>
          <w:szCs w:val="16"/>
        </w:rPr>
      </w:pPr>
    </w:p>
    <w:p w14:paraId="479CF134" w14:textId="77777777" w:rsidR="009A3EFF" w:rsidRPr="00925F26" w:rsidRDefault="009A3EFF" w:rsidP="00925F26">
      <w:pPr>
        <w:jc w:val="both"/>
        <w:rPr>
          <w:color w:val="000000" w:themeColor="text1"/>
          <w:sz w:val="16"/>
          <w:szCs w:val="16"/>
        </w:rPr>
      </w:pPr>
      <w:r w:rsidRPr="00925F26">
        <w:rPr>
          <w:color w:val="000000" w:themeColor="text1"/>
          <w:sz w:val="16"/>
          <w:szCs w:val="16"/>
        </w:rPr>
        <w:t>14 мая 1945 последний арктический конвой Второй мировой войны, Convoy JW 67, отправляется из Скапа-Флоу в Кольский залив в Советском Союзе в сопровождении британского авианосца HMS Queen. Он возвращается в Соединенное Королевство позже в этом же месяце как Конвой RA 67. Queen в качестве сопровождения считается необходимым в случае, если какие - либо немецкие подводные командиры предпочитают игнорировать капитуляции Германии и атаковать конвой (20371).</w:t>
      </w:r>
    </w:p>
    <w:p w14:paraId="6ADE2CDB" w14:textId="77777777" w:rsidR="009A3EFF" w:rsidRPr="00925F26" w:rsidRDefault="009A3EFF" w:rsidP="00925F26">
      <w:pPr>
        <w:jc w:val="both"/>
        <w:rPr>
          <w:color w:val="000000" w:themeColor="text1"/>
          <w:sz w:val="16"/>
          <w:szCs w:val="16"/>
        </w:rPr>
      </w:pPr>
    </w:p>
    <w:p w14:paraId="5CF5C4D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мая 1945 лидер югославских партизан И. Тито заявил, что югославы не отдадут союзникам Триест (4962).</w:t>
      </w:r>
    </w:p>
    <w:p w14:paraId="5B8E138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490C3B6" w14:textId="77777777" w:rsidR="00AF535B" w:rsidRPr="00925F26" w:rsidRDefault="00AF535B" w:rsidP="00925F26">
      <w:pPr>
        <w:jc w:val="both"/>
        <w:rPr>
          <w:color w:val="000000" w:themeColor="text1"/>
          <w:sz w:val="16"/>
          <w:szCs w:val="16"/>
        </w:rPr>
      </w:pPr>
      <w:r w:rsidRPr="00925F26">
        <w:rPr>
          <w:color w:val="000000" w:themeColor="text1"/>
          <w:sz w:val="16"/>
          <w:szCs w:val="16"/>
        </w:rPr>
        <w:t>14 мая в 1945 году завершение освобождения Югославии от немецко-фашистских войск (14891).</w:t>
      </w:r>
    </w:p>
    <w:p w14:paraId="70B125DC" w14:textId="77777777" w:rsidR="00AF535B" w:rsidRPr="00925F26" w:rsidRDefault="00AF535B" w:rsidP="00925F26">
      <w:pPr>
        <w:jc w:val="both"/>
        <w:rPr>
          <w:color w:val="000000" w:themeColor="text1"/>
          <w:sz w:val="16"/>
          <w:szCs w:val="16"/>
        </w:rPr>
      </w:pPr>
    </w:p>
    <w:p w14:paraId="6E21CEF1" w14:textId="77777777" w:rsidR="009A3EFF" w:rsidRPr="00925F26" w:rsidRDefault="009A3EFF" w:rsidP="00925F26">
      <w:pPr>
        <w:jc w:val="both"/>
        <w:rPr>
          <w:color w:val="000000" w:themeColor="text1"/>
          <w:sz w:val="16"/>
          <w:szCs w:val="16"/>
        </w:rPr>
      </w:pPr>
      <w:r w:rsidRPr="00925F26">
        <w:rPr>
          <w:color w:val="000000" w:themeColor="text1"/>
          <w:sz w:val="16"/>
          <w:szCs w:val="16"/>
        </w:rPr>
        <w:t>14 мая 1945 камикадзе падает на полетной палубе авианосца USS Enterprise, проьивает ее из строя до конца Второй мировой войны (20371).</w:t>
      </w:r>
    </w:p>
    <w:p w14:paraId="220CE046" w14:textId="77777777" w:rsidR="009A3EFF" w:rsidRPr="00925F26" w:rsidRDefault="009A3EFF" w:rsidP="00925F26">
      <w:pPr>
        <w:jc w:val="both"/>
        <w:rPr>
          <w:color w:val="000000" w:themeColor="text1"/>
          <w:sz w:val="16"/>
          <w:szCs w:val="16"/>
        </w:rPr>
      </w:pPr>
    </w:p>
    <w:p w14:paraId="570655CB" w14:textId="0083727B"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91623BD" w14:textId="77777777" w:rsidR="00665165" w:rsidRPr="00925F26" w:rsidRDefault="00665165" w:rsidP="00925F26">
      <w:pPr>
        <w:autoSpaceDE w:val="0"/>
        <w:autoSpaceDN w:val="0"/>
        <w:adjustRightInd w:val="0"/>
        <w:jc w:val="both"/>
        <w:rPr>
          <w:iCs/>
          <w:color w:val="000000" w:themeColor="text1"/>
          <w:sz w:val="16"/>
          <w:szCs w:val="16"/>
        </w:rPr>
      </w:pPr>
    </w:p>
    <w:p w14:paraId="5165D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закончились заводские испытания Як-3РД, которые начались с 22 декабря 1944. В.Л.Расторгуевым был выполнен 21 полет, в т.ч. 8 с включенным РД-1 В.П.Глушко. Ви был Б.С.Моторин, а м - Н.И.Макеев. Это была серийная машина N 18-20 и на ней стояли ВК-105ПФ2 и РД-1 N 009 В.П.Глушко, который потом заменили на РД-1ХЗ с тягой в 300 кгс и продолжительностью работы 3 мин. Вместо двух ШВАК поставили мотор-пушку НС-23 с боезапасом 60 снарядов. В мае машину передали в ОКБ, где был заменен РД. Полеты возобновились 14 августа 1945 (65,183).</w:t>
      </w:r>
    </w:p>
    <w:p w14:paraId="4C2BDECD" w14:textId="77777777" w:rsidR="00665165" w:rsidRPr="00925F26" w:rsidRDefault="00665165" w:rsidP="00925F26">
      <w:pPr>
        <w:autoSpaceDE w:val="0"/>
        <w:autoSpaceDN w:val="0"/>
        <w:adjustRightInd w:val="0"/>
        <w:jc w:val="both"/>
        <w:rPr>
          <w:color w:val="000000" w:themeColor="text1"/>
          <w:sz w:val="16"/>
          <w:szCs w:val="16"/>
        </w:rPr>
      </w:pPr>
    </w:p>
    <w:p w14:paraId="4A0F44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15 мая 1945 модифицированный РД был установлен на самолет Су-7, но на следующий день, по указанию ОКБ-СД, двигатель сняли и отправили на завод № 16 (10668).</w:t>
      </w:r>
    </w:p>
    <w:p w14:paraId="46D031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BF9E76D" w14:textId="77777777" w:rsidR="00E74102" w:rsidRPr="00925F26" w:rsidRDefault="00E74102" w:rsidP="00925F26">
      <w:pPr>
        <w:shd w:val="clear" w:color="auto" w:fill="FFFFFF"/>
        <w:jc w:val="both"/>
        <w:rPr>
          <w:color w:val="000000" w:themeColor="text1"/>
          <w:sz w:val="16"/>
          <w:szCs w:val="16"/>
        </w:rPr>
      </w:pPr>
      <w:r w:rsidRPr="00925F26">
        <w:rPr>
          <w:color w:val="000000" w:themeColor="text1"/>
          <w:sz w:val="16"/>
          <w:szCs w:val="16"/>
        </w:rPr>
        <w:t>К 15 мая 1945 двигатель РД-1ХЗ установили на самолет Су-7, но на следую щий день его отправили на завод № 16 (19586).</w:t>
      </w:r>
    </w:p>
    <w:p w14:paraId="7D302705" w14:textId="77777777" w:rsidR="00E74102" w:rsidRPr="00925F26" w:rsidRDefault="00E74102" w:rsidP="00925F26">
      <w:pPr>
        <w:shd w:val="clear" w:color="auto" w:fill="FFFFFF"/>
        <w:jc w:val="both"/>
        <w:rPr>
          <w:color w:val="000000" w:themeColor="text1"/>
          <w:sz w:val="16"/>
          <w:szCs w:val="16"/>
        </w:rPr>
      </w:pPr>
    </w:p>
    <w:p w14:paraId="3B55F6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года Дементьев писал письмо N Н-35/2189 зам. начальника и начальнику штаба ВВС ВМФ генерал-лейтенанту авиации Бартновскому.</w:t>
      </w:r>
    </w:p>
    <w:p w14:paraId="6BE37C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Ваш N 105025с от 22 марта 1945 года по вопросу доводочных работ - переоборудования истребителя "Спитфайр" для установки на крейсере "Молотов" сообщаю, что со стороны Наркомавиапрома нет возражения на производство заводом N 458 вышеуказанных работ.</w:t>
      </w:r>
    </w:p>
    <w:p w14:paraId="112FA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Вам надлежит заключить договор с заводом N 458 о сроках выполнения доводочных работ и соответственно их финансировать (2595).</w:t>
      </w:r>
    </w:p>
    <w:p w14:paraId="6B571E0E" w14:textId="77777777" w:rsidR="00665165" w:rsidRPr="00925F26" w:rsidRDefault="00665165" w:rsidP="00925F26">
      <w:pPr>
        <w:autoSpaceDE w:val="0"/>
        <w:autoSpaceDN w:val="0"/>
        <w:adjustRightInd w:val="0"/>
        <w:jc w:val="both"/>
        <w:rPr>
          <w:color w:val="000000" w:themeColor="text1"/>
          <w:sz w:val="16"/>
          <w:szCs w:val="16"/>
        </w:rPr>
      </w:pPr>
    </w:p>
    <w:p w14:paraId="0828F7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было подготовлено донесение летчика-испытателя капитана Пикуленко по испытаниям Ме-410:</w:t>
      </w:r>
    </w:p>
    <w:p w14:paraId="269D39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всех режимах полета, то есть на наборе высоты, при полете по горизонту на максимальной скорости и на снижении самолет Ла-7 догоняет Me 410, свободно атакует его.</w:t>
      </w:r>
    </w:p>
    <w:p w14:paraId="78BF49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Безопасно атаковать Me 410 сзади снизу под углами 60-70 градусов и выходить из атак ранверсманом. В этом случае стрелок не видит самолет противника.</w:t>
      </w:r>
    </w:p>
    <w:p w14:paraId="5D78B5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Атака сверху сзади под большими углами также безопасна.</w:t>
      </w:r>
    </w:p>
    <w:p w14:paraId="7AE06D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Удобно атаковать самолет Me 410 в том случае, если он делает разворот. Необходимо быть внутри разворота и атаку производить под ракурсом 4/4, с заходом из атаки вверх с разворотом в сторону Me 410. Это даст возможность занять исходное положение для новой атаки и не отстать от Me 410.</w:t>
      </w:r>
    </w:p>
    <w:p w14:paraId="0ED0B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случае, если истребитель Ла-7 после атаки проскочил вперед самолета Me 410, необходимо резко набрать высоту с разворотом в сторону -чтобы не попасть под огонь передних точек Me 410. Самолет резкой “горки” сделать не может. Истребитель после разворота на 90 градусов имеет возможность встать на параллельный с Me 410 курс и атаковать его сверху под углом 60 градусов и сбоку - под углом более 45 градусов.</w:t>
      </w:r>
    </w:p>
    <w:p w14:paraId="77EF35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Считаю, </w:t>
      </w:r>
      <w:proofErr w:type="gramStart"/>
      <w:r w:rsidRPr="00925F26">
        <w:rPr>
          <w:color w:val="000000" w:themeColor="text1"/>
          <w:sz w:val="16"/>
          <w:szCs w:val="16"/>
        </w:rPr>
        <w:t>что</w:t>
      </w:r>
      <w:proofErr w:type="gramEnd"/>
      <w:r w:rsidRPr="00925F26">
        <w:rPr>
          <w:color w:val="000000" w:themeColor="text1"/>
          <w:sz w:val="16"/>
          <w:szCs w:val="16"/>
        </w:rPr>
        <w:t xml:space="preserve"> если атака будет под углом менее 45 или даже 30 градусов, особенной опасности попасть под огонь стрелка нет, так как ему неудобно вести прицельный огонь под большими углами”.</w:t>
      </w:r>
    </w:p>
    <w:p w14:paraId="2EDE2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Будет правильным далее привести без всяких сокращений текст раздела “Тактическая оценка самолёта Me 410 Б-2” отчёта об испытаниях.</w:t>
      </w:r>
    </w:p>
    <w:p w14:paraId="1B261B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анализа вооружения, лётных свойств самолёта Me 410 Б-2 и проведённых в процессе испытаний воздушных боёв с самолётами Ту-2, Як-3 и Ла-7 установлено следующее:</w:t>
      </w:r>
    </w:p>
    <w:p w14:paraId="1FF4AA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Самолёт Me 410 Б-2, имея преимущество в скорости над серийными бомбардировщиками Пе-2 и Ту-2, может вести с ними активный воздушный бой.</w:t>
      </w:r>
    </w:p>
    <w:p w14:paraId="083385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1500 метров в воздушном бою с Ту-2 самолёт Me 410 Б-2 успешно выполнял атаки с задней полусферы под ракурсами от 0/4 до 3/4. На высотах более 2500 м преимущество Me 410 Б-2 над самолётом Ту-2 возрастает в связи с увеличением превосходства в скорости полёта до 65 км/ч.</w:t>
      </w:r>
    </w:p>
    <w:p w14:paraId="3B91B6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 истребителями Як-3 и Ла-7 самолёт Me 410 может вести только оборонительный воздушный бой с использованием манёвренных качеств огневых точек стрелка.</w:t>
      </w:r>
    </w:p>
    <w:p w14:paraId="601ED6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Уступая в скорости полёта и манёвренности истребителям Як-3 и Ла-7, самолёт Me 410 Б-2 не может использовать огонь переднего оружия, кроме случаев лобовой атаки, или когда атакующий истребитель после атаки окажется впереди на одной высоте с Me 410 Б-2.</w:t>
      </w:r>
    </w:p>
    <w:p w14:paraId="1A12FD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При полете Ме-410 Б-2 на режиме максимальной скорости, на наборе высоты и при уходе со снижением самолеты Як-3 и Ла-7 догоняют Ме-410 Б-2 и свободно атакуют его.</w:t>
      </w:r>
    </w:p>
    <w:p w14:paraId="65822C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маршруте длиною 25 км на высоте 1000-1500 метров при полёте Me 410 Б-2 на максимальной скорости, Як-3 смог произвести семь атак, Ла-7 произвёл пять атак. Атаки были произведены из задней полусферы под ракурсами от 0/4 до 4/4.</w:t>
      </w:r>
    </w:p>
    <w:p w14:paraId="4DE454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Атаки самолёта Me 410 Б-2, выполняемые истребителями из задней полусферы - снизу и с боков под углами до 50 градусов и сверху до 60 градусов - отражаются стрелком Me 410 Б-2 из дистанционных бортовых пулемётов. При этом для отражения атак под углами в конусе более 40 градусов Me 410 Б-2 вынужден применять довороты самолётом по команде стрелка.</w:t>
      </w:r>
    </w:p>
    <w:p w14:paraId="4B7DCF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Отражение атак истребителей сзади под углами в конусе меньше 40 градусов обеспечивается углами обстрела задних бортовых пулемётов Me 410 Б-2 без его маневра по курсу.</w:t>
      </w:r>
    </w:p>
    <w:p w14:paraId="348CB3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проведённых воздушных боях все атаки Як-3 и Ла-7, произведённые сзади под углами в конусе до 40 градусов к линии полёта, были зафиксированы кинопулемётом, установленном на оружии стрелка Me 410 Б-2.</w:t>
      </w:r>
    </w:p>
    <w:p w14:paraId="14D08E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Атаки истребителей снизу сзади, особенно строго в хвост, стрелку самолёта Me 410 Б-2 отражать затруднительно, и огонь в этих случаях чаще всего ведётся не прицельный.</w:t>
      </w:r>
    </w:p>
    <w:p w14:paraId="1FF87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конусе более 60 гр. Самолету Ме-410 практически невозможно отражать подвижным оружием - в силу недостаточности углов обстрела задних пулеметов и сравнительно недостаточной манёвренности самолёта Me 410 Б-2 по сравнению с истребителями Як-3 и Ла-7.</w:t>
      </w:r>
    </w:p>
    <w:p w14:paraId="1A4328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Наиболее безопасными и сравнительно несложными в выполнении являются атаки самолёта Me 410 Б- 2 под углами более 40 градусов снизу сзади. В этом случае стрелок Me 410 Б-2 чаще всего не замечает атакующего истребителя. При проскакивании атакующего истребителя после атаки Me 410 Б-2 вперёд выгоднее уходить с резким набором высоты и с разворотом в сторону, чтобы не попасть под огонь переднего оружия Me 410 Б-2.</w:t>
      </w:r>
    </w:p>
    <w:p w14:paraId="1D63AD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выхода из атаки целесообразно встать на параллельный курс и атаковать Me 410 вновь сверху сбоку, под углом 50-60 градусов.</w:t>
      </w:r>
    </w:p>
    <w:p w14:paraId="13FA2A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Воздушный наступательный бой против истребителей Як-3 и Ла-7 самолёт Me 410 Б-2 практически вести не может. Горизонтальная и вертикальная манёвренность Як-3 и Ла-7 значительно лучше. Это обеспечивает возможность всегда иметь необходимое превосходство в высоте, удерживать инициативу и производить атаки в мёртвых конусах оборонительного оружия Me 410 Б-2. Этот факт подтверждается проведёнными воздушными боями Як-3 и Ла-7 с Me 410, когда последний ни разу не смог осуществить атаку истребителей (6407).</w:t>
      </w:r>
    </w:p>
    <w:p w14:paraId="7F479C15" w14:textId="77777777" w:rsidR="00665165" w:rsidRPr="00925F26" w:rsidRDefault="00665165" w:rsidP="00925F26">
      <w:pPr>
        <w:autoSpaceDE w:val="0"/>
        <w:autoSpaceDN w:val="0"/>
        <w:adjustRightInd w:val="0"/>
        <w:jc w:val="both"/>
        <w:rPr>
          <w:color w:val="000000" w:themeColor="text1"/>
          <w:sz w:val="16"/>
          <w:szCs w:val="16"/>
        </w:rPr>
      </w:pPr>
    </w:p>
    <w:p w14:paraId="793BCD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были подписаны выводы по результатам госиспытаний Ме-410 Б-2:</w:t>
      </w:r>
    </w:p>
    <w:p w14:paraId="064CB1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Самолег Ме-410 Б-2, имея мощное переднее вооружение, включающее 50-мм пушку с фугасно-оско-лочным снарядом, и превосходство над серийными бомбардировщиками типа Пе-2 и Ту-2 в лётно-такти-ческих данных, может успешно вести с ними воздушный бой, а также осуществлять атаки наземных целей.</w:t>
      </w:r>
    </w:p>
    <w:p w14:paraId="473D44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Самолёт Me 410 Б-2 против истребителей Як-3 и Ла-7 может вести только воздушный оборонительный бой. Вертикальная и горизонтальная манёвренность истребителей Як-3 и Ла-7 обеспечивают им возможность иметь необходимое преимущество в высоте, удерживать инициативу боя и догонять Me 410 Б-2 на всех режимах его полёта" (6407).</w:t>
      </w:r>
    </w:p>
    <w:p w14:paraId="146D7B2B" w14:textId="77777777" w:rsidR="00665165" w:rsidRPr="00925F26" w:rsidRDefault="00665165" w:rsidP="00925F26">
      <w:pPr>
        <w:autoSpaceDE w:val="0"/>
        <w:autoSpaceDN w:val="0"/>
        <w:adjustRightInd w:val="0"/>
        <w:jc w:val="both"/>
        <w:rPr>
          <w:color w:val="000000" w:themeColor="text1"/>
          <w:sz w:val="16"/>
          <w:szCs w:val="16"/>
        </w:rPr>
      </w:pPr>
    </w:p>
    <w:p w14:paraId="471AEE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вышел приказ НКАП N 209:</w:t>
      </w:r>
    </w:p>
    <w:p w14:paraId="6F2A28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подготовки производства к выпуску пассажирского самолета с М-11МФ конструкции А.С.Я. (Як-14) на заводе 464:</w:t>
      </w:r>
    </w:p>
    <w:p w14:paraId="3F4DA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464 И.М.Шпакову:</w:t>
      </w:r>
    </w:p>
    <w:p w14:paraId="21264E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приступить к подготовке производства по выпуску на заводе пассажирского самолета конструкции А.С.Я. (Як-14) со сроком окончания подготовки производства не позднее 1 августа с.г.</w:t>
      </w:r>
    </w:p>
    <w:p w14:paraId="55977B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для отработки и </w:t>
      </w:r>
      <w:proofErr w:type="gramStart"/>
      <w:r w:rsidRPr="00925F26">
        <w:rPr>
          <w:color w:val="000000" w:themeColor="text1"/>
          <w:sz w:val="16"/>
          <w:szCs w:val="16"/>
        </w:rPr>
        <w:t>проверки</w:t>
      </w:r>
      <w:proofErr w:type="gramEnd"/>
      <w:r w:rsidRPr="00925F26">
        <w:rPr>
          <w:color w:val="000000" w:themeColor="text1"/>
          <w:sz w:val="16"/>
          <w:szCs w:val="16"/>
        </w:rPr>
        <w:t xml:space="preserve"> изготовленной тех. документации, оснастки, спецификаций изготовить 5 самолетов со сроками сдачи: 2-х к 20 августа, 3-х к 20 сентября (1898,57).</w:t>
      </w:r>
    </w:p>
    <w:p w14:paraId="2F6F83AB" w14:textId="77777777" w:rsidR="00665165" w:rsidRPr="00925F26" w:rsidRDefault="00665165" w:rsidP="00925F26">
      <w:pPr>
        <w:autoSpaceDE w:val="0"/>
        <w:autoSpaceDN w:val="0"/>
        <w:adjustRightInd w:val="0"/>
        <w:jc w:val="both"/>
        <w:rPr>
          <w:color w:val="000000" w:themeColor="text1"/>
          <w:sz w:val="16"/>
          <w:szCs w:val="16"/>
        </w:rPr>
      </w:pPr>
    </w:p>
    <w:p w14:paraId="641B14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была подготовлена:</w:t>
      </w:r>
    </w:p>
    <w:p w14:paraId="7DE7D9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428519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НАРОДНОМУ КОМИССАРУ АВИАЦИОННОЙ ПРОМЫШЛЕННОСТИ Генерал-полковнику тов. ШАХУРИНУ А.И.</w:t>
      </w:r>
    </w:p>
    <w:p w14:paraId="0720D9AF"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ДОКЛАДНАЯ ЗАПИСКА</w:t>
      </w:r>
    </w:p>
    <w:p w14:paraId="124BBC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работе специальной комиссии генерал-майора ИАС ПЕТРОВА Н.И. за время с 6 по 11 мая с.г. включительно.</w:t>
      </w:r>
    </w:p>
    <w:p w14:paraId="7E99E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Ваша шифровка от 11 мая с.г. была нами получена 13 мая. Она была задержана доставкой в штабе тыла 1 Белорусского фронта.</w:t>
      </w:r>
    </w:p>
    <w:p w14:paraId="714BF7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Комиссия в полном составе, с экспертами, еще до получения шифровки, 11 мая перебазировалась на территорию Института в Адлерсгоф и начала работу по подготовке Института к вывозу. Производится опись оборудования и технических материалов, подлежащих упаковке и оправке в Москву, с одновременным отбором наиболее ценных и актуальных материалов для отправки их самолетом.</w:t>
      </w:r>
    </w:p>
    <w:p w14:paraId="0A678F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выполнения работы по разбору оборудования и технических материалов, демонтажа оборудования, упаковки и погрузки, наличного состава людей в комиссии совершенно недостаточно; они просто теряются на территории и в корпусах этого огромного Института. Согласно Ваших указаний о вызове из институтов специалистов в целях обеспечения перевозки оборудования в Москву, нами составлены списки отдельно по каждому институту, которые просим утвердить и дать приказание о направлении специалистов в Адлерсгоф в возможно короткий срок.</w:t>
      </w:r>
    </w:p>
    <w:p w14:paraId="4206E9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Новую и, в особенности, реактивную технику мы свозим </w:t>
      </w:r>
      <w:proofErr w:type="gramStart"/>
      <w:r w:rsidRPr="00925F26">
        <w:rPr>
          <w:color w:val="000000" w:themeColor="text1"/>
          <w:sz w:val="16"/>
          <w:szCs w:val="16"/>
        </w:rPr>
        <w:t>в ,</w:t>
      </w:r>
      <w:proofErr w:type="gramEnd"/>
      <w:r w:rsidRPr="00925F26">
        <w:rPr>
          <w:color w:val="000000" w:themeColor="text1"/>
          <w:sz w:val="16"/>
          <w:szCs w:val="16"/>
        </w:rPr>
        <w:t xml:space="preserve"> где храним ее в отдельном ангаре. Член военного совета 1 Белорусского фронта генерал-лейтенант Телегин, по ходатайству Зам. Наркома тов. Кузнецова, приказал выделить эшелон в 25 вагонов для отправки в Москву всей собранной нами новой техники. К погрузке приступим, как только будут выданы вагоны. Перевалочный пункт с европейской колеи на широкую для этого назначен в Познани. Подача вагонов обещана начальником ВОСО фронта генерал-майором Черняковым в ближайшие дни.</w:t>
      </w:r>
    </w:p>
    <w:p w14:paraId="1E48FE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настоящему докладу прилагается перечень образцов новой техники, которые будут отправлены с эшелоном.</w:t>
      </w:r>
    </w:p>
    <w:p w14:paraId="71532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составлении описи оборудования и технических материалов, в скоростной трубе отобраны особо ценные для нас материалы продувок моделей крыльев, профилей и целях объектов. Эти материалы в значительной мере предвосхищают план работы ЦАГИ по аналогичной тематике на 1945 год. Материалы отправлены в Москву на самолете 16 мая: перечень их представляется Вам при настоящей докладной записке.</w:t>
      </w:r>
    </w:p>
    <w:p w14:paraId="1E9BCF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16-й воздушной армией генерал-полковник Руденко выделил БАО для обеспечения охраны, технического и хозяйственного обслуживания, с подчинением его непосредственно мне. Этот батальон используется нами для переброски новой техники.</w:t>
      </w:r>
    </w:p>
    <w:p w14:paraId="5A86A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Ваших указаний, данным нам в Москве, группа Абрамовича, после окончания работ по Берлину, 1 мая была отправлена на автомашине "Виллис" в Пеннемюнде. До настоящего времени связи с группой Абрамовича мы не имеем.</w:t>
      </w:r>
    </w:p>
    <w:p w14:paraId="7BCAF3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Нами был допрошен начальник моторной лаборатории "DV L Carobelli", проживающий в Адлерсгофе, в доме N 22 по улице Wimerlergum. Протокол допроса прилагаем к настоящему отчету.</w:t>
      </w:r>
    </w:p>
    <w:p w14:paraId="33DDFB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отчетный отрезок времени нами был обследован ряд предприятий, в том числе Всегерманский институт Испытания Материалов, расположенный в Далеме на улице Унтер ден Эйхен. Этот институт решением Сабурова передается НКАП. Шифровка о передаче этого Института НКАП послана в Москву.</w:t>
      </w:r>
    </w:p>
    <w:p w14:paraId="661588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Осмотрены следующие предприятия:</w:t>
      </w:r>
    </w:p>
    <w:p w14:paraId="631C26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Всегерманский институт Испытания Материалов в Далеме, ул. Унтер ден Эйхен.</w:t>
      </w:r>
    </w:p>
    <w:p w14:paraId="4A03C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Центральный опытный завод фирмы "Телефункен" в Целендорфе (г. Берлина), Жесковдаммштрассе.</w:t>
      </w:r>
    </w:p>
    <w:p w14:paraId="0DBFDB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Завод фирмы "Хеншель" в Шёнефельде, в юго-западной части Берлина.</w:t>
      </w:r>
    </w:p>
    <w:p w14:paraId="1443F1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Завод фирмы "BMW" в Басдорфе.</w:t>
      </w:r>
    </w:p>
    <w:p w14:paraId="0D8BB2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Лаборатория по радиолокации и автоматике фирмы Сименс в Фалькензее (в 10 км западнее Шпандау).</w:t>
      </w:r>
    </w:p>
    <w:p w14:paraId="434F32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Опытный завод фирмы "Асканиа" в Фриденау (ю.з. Берлина), ул. Кайзер Аллес.</w:t>
      </w:r>
    </w:p>
    <w:p w14:paraId="50507A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 Всегерманский Институт Испытания Материалов.</w:t>
      </w:r>
    </w:p>
    <w:p w14:paraId="3A79E2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состоит из следующих отделов:</w:t>
      </w:r>
    </w:p>
    <w:p w14:paraId="70F3A8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Отдел материалов:</w:t>
      </w:r>
    </w:p>
    <w:p w14:paraId="4E8FAD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Руководитель отдела - проф. доктор Зибель. Отдел состоит из трех секций - металловедения, металлических конструкций и измерений. Работы проводились в областях - металлофизики, металлохимии, коррозии, технологии обработки, машиностроения и котлостроения. В последнее время главными исследованиями отдела являлись:</w:t>
      </w:r>
    </w:p>
    <w:p w14:paraId="790FBC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влияние скорости и длительности нагружения на прочность материалов и конструкций;</w:t>
      </w:r>
    </w:p>
    <w:p w14:paraId="6BC53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спектральный анализ материалов;</w:t>
      </w:r>
    </w:p>
    <w:p w14:paraId="084BD1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испытания микроплотности сплавов.</w:t>
      </w:r>
    </w:p>
    <w:p w14:paraId="5FC043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Отдел органических веществ.</w:t>
      </w:r>
    </w:p>
    <w:p w14:paraId="6DDE72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Руководитель отдела - профессор, доктор химии Киндшер. Состоит из двух секций - синтетических веществ и покрытий, каучука и производимых угля и нефти. Области работы - синтетические вещества для пластиков, клеев, покрытий и резин. В последнее время главными исследованиями отдела являлись:</w:t>
      </w:r>
    </w:p>
    <w:p w14:paraId="09CB94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влияние содержания смолы на прочность пластмасс;</w:t>
      </w:r>
    </w:p>
    <w:p w14:paraId="620068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химическая стойкость пластмасс;</w:t>
      </w:r>
    </w:p>
    <w:p w14:paraId="44BA99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методы анализа и контроль синтетических веществ;</w:t>
      </w:r>
    </w:p>
    <w:p w14:paraId="45A508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влияние новых типов наполнителей для каучуков на прочность резин (силикагель);</w:t>
      </w:r>
    </w:p>
    <w:p w14:paraId="67408A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вопросы активности наполнителей каучука, битумов.</w:t>
      </w:r>
    </w:p>
    <w:p w14:paraId="320289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Радиолокатор ночного истребителя. Локатор определяет координаты бомбардировщика противника на дистанции до 10-15 км с точностью по углу места порядка 1 град. и по дальности порядка 5%. Длина волны - 9 см.</w:t>
      </w:r>
    </w:p>
    <w:p w14:paraId="2653EF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Наземная локационная установка - определитель координат самолета, снабженного радиолокационным радиоприцелом.</w:t>
      </w:r>
    </w:p>
    <w:p w14:paraId="7D27A2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Корабельный локатор, определяющий координаты корабля противника на дистанции до 15 км.</w:t>
      </w:r>
    </w:p>
    <w:p w14:paraId="7494AE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данный опытный завод кроме нас претендуют НКСП и НКЭП.</w:t>
      </w:r>
    </w:p>
    <w:p w14:paraId="06FA41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 а к л ю ч е н и е.</w:t>
      </w:r>
    </w:p>
    <w:p w14:paraId="49A42E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Опытный завод как выполняющий в основном авиационную тематику, следует передать НКАП и полностью вывезти его оборудование.</w:t>
      </w:r>
    </w:p>
    <w:p w14:paraId="3AA615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Образцы авиационной радиолокационной аппаратуры, как представляющие особую ценность, вывезти немедленно и отправить в Москву на самолете.</w:t>
      </w:r>
    </w:p>
    <w:p w14:paraId="1087FB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IV. Завод фирмы "Хеншель" в Шёнефельде.</w:t>
      </w:r>
    </w:p>
    <w:p w14:paraId="4BBEA9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расположен на территории около 1 х 2 км, радом с летным полем 1.4 х 1.6 км. Основные цеха размещены в зданиях ангарного типа размером 100 х 200 м. Продукция завода - тяжелые бомбардировщики Хейнкель.</w:t>
      </w:r>
    </w:p>
    <w:p w14:paraId="6C6C34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заводом выпускались малые серии опытных машин Хейнкель 177 и единичные экземпляры реактивных самолетов. На территории завода найдены несколько экземпляров -1 с двойным и одинарным управлением самолетного типа.</w:t>
      </w:r>
    </w:p>
    <w:p w14:paraId="0E2246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этих самолетах имеется посадочное приспособление в виде лыжи.</w:t>
      </w:r>
    </w:p>
    <w:p w14:paraId="53FF3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Находка этих самолетов свидетельствует о том, что доводка -1 производилась летчиком. В опытном цехе найден реактивный двигатель ЖРД, похожий на двигатель -2. В ящиках в опытном цехе найден ряд моделей реактивных самолетов, проходивших аэродинамические испытания.</w:t>
      </w:r>
    </w:p>
    <w:p w14:paraId="01C9C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причисленных заводов было обнаружено следующее:</w:t>
      </w:r>
    </w:p>
    <w:p w14:paraId="35EB81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1.Несколько незаконченных сборкой самолетов Хейнкель-177 с различными модификациями моторной группы и герметической кабиной.</w:t>
      </w:r>
    </w:p>
    <w:p w14:paraId="26DDCD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Два макета отсеков фюзеляжа этого самолета с герметическими кабинами.</w:t>
      </w:r>
    </w:p>
    <w:p w14:paraId="2624E9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Герметическая кабина, установленная в лаборатории для испытания на герметичность.</w:t>
      </w:r>
    </w:p>
    <w:p w14:paraId="712776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Фюзеляж реактивного самолета с двигателем ВРД-К марки BMW-003, с горизонтальным расположением летчика, с установкой двигателя на верхней части фюзеляжа.</w:t>
      </w:r>
    </w:p>
    <w:p w14:paraId="11FB4A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Стапель с заделом фюзеляжа того же типа.</w:t>
      </w:r>
    </w:p>
    <w:p w14:paraId="705963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Шесть моторов ЮМО-222, с непосредственным впрыском водяного охлаждения, 6-ти цилиндровая, 4-х рядная звезда.</w:t>
      </w:r>
    </w:p>
    <w:p w14:paraId="303BFC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Большое количество планирующих бомб, управляемых по радио (без автоматики).</w:t>
      </w:r>
    </w:p>
    <w:p w14:paraId="086386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 а к л ю ч е н и е.</w:t>
      </w:r>
    </w:p>
    <w:p w14:paraId="6D275F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Считаем необходимым вывезти с территории завода следующее:</w:t>
      </w:r>
    </w:p>
    <w:p w14:paraId="1A9416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Два комплекта самолета-снаряда - один с ручным управлением.</w:t>
      </w:r>
    </w:p>
    <w:p w14:paraId="3E1D74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модели реактивных самолетов.</w:t>
      </w:r>
    </w:p>
    <w:p w14:paraId="0B1455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 ЖРД.</w:t>
      </w:r>
    </w:p>
    <w:p w14:paraId="2632E6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Фюзеляж с ВРД-К.</w:t>
      </w:r>
    </w:p>
    <w:p w14:paraId="09CA73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Пять экземпляров планирующей бомбы.</w:t>
      </w:r>
    </w:p>
    <w:p w14:paraId="36B9AC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Три мотора ЮМО-222.</w:t>
      </w:r>
    </w:p>
    <w:p w14:paraId="0C2AF1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V. Завод фирмы BMW в Басдорфе.</w:t>
      </w:r>
    </w:p>
    <w:p w14:paraId="66718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изготовлял газотурбинные реактивные двигатели BMW-003 и производил сборку моторов BM-801.</w:t>
      </w:r>
    </w:p>
    <w:p w14:paraId="2DA1B006"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Кроме того</w:t>
      </w:r>
      <w:proofErr w:type="gramEnd"/>
      <w:r w:rsidRPr="00925F26">
        <w:rPr>
          <w:color w:val="000000" w:themeColor="text1"/>
          <w:sz w:val="16"/>
          <w:szCs w:val="16"/>
        </w:rPr>
        <w:t xml:space="preserve"> велись работы по жидкостным реактивным двигателям.</w:t>
      </w:r>
    </w:p>
    <w:p w14:paraId="2EEA97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Наличие конвейерной сборки обеспечивало выпуск 15-20 двигателей BMW-003 в день. Основные детали и агрегаты (корпуса, колеса компрессора, камеры сгорания, сопла) доставлялись с заводов-смежников. Колеса турбин завод изготовлял сам. По некоторым узлам сохранился задел свыше 150 шт.</w:t>
      </w:r>
    </w:p>
    <w:p w14:paraId="78BAE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производились контрольные испытания двигателей BMW-003, для чего имеется следующее оборудование:</w:t>
      </w:r>
    </w:p>
    <w:p w14:paraId="3602F1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Шесть испытательных стендов, оборудованных тепловыми динамометрами, пультом управления и контрольными приборами.</w:t>
      </w:r>
    </w:p>
    <w:p w14:paraId="2A0630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Хорошо оборудованная лаборатория для испытания топливных и масляных систем турбореактивных двигателей.</w:t>
      </w:r>
    </w:p>
    <w:p w14:paraId="4A8D45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Три электростенда для испытания колес компрессора мощностью до 300 кВт и один агрегат Леонарда к ним.</w:t>
      </w:r>
    </w:p>
    <w:p w14:paraId="28BEC0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Не смонтированный осевой компрессор мощностью 1.500 л.с., приспособленный для наддува ВРД.</w:t>
      </w:r>
    </w:p>
    <w:p w14:paraId="38E7E5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Девять различных стендов для испытания жидкостных реактивных двигателей.</w:t>
      </w:r>
    </w:p>
    <w:p w14:paraId="336E17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Четырнадцать сферических резервуаров, часть которых заполнена окислителем и топливом.</w:t>
      </w:r>
    </w:p>
    <w:p w14:paraId="218AB9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Топливо для ЖРД, в стендовых резервуарах и на складах.</w:t>
      </w:r>
    </w:p>
    <w:p w14:paraId="61EF6A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Некоторые агрегаты и детали ЖРД.</w:t>
      </w:r>
    </w:p>
    <w:p w14:paraId="38D12C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вывозится директором Авраменко.</w:t>
      </w:r>
    </w:p>
    <w:p w14:paraId="4BAFE6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VI. Лаборатории по радиолокации и автоматике Сименса.</w:t>
      </w:r>
    </w:p>
    <w:p w14:paraId="361E06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Фалькензее помещается научно-исследовательские лаборатории и обслуживающие их мастерские, переведенные из Сименс-штадта вследствие бомбардировок. В лабораториях велись работы по следующей тематике:</w:t>
      </w:r>
    </w:p>
    <w:p w14:paraId="38FD2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Импульсные радиолокационные приборы.</w:t>
      </w:r>
    </w:p>
    <w:p w14:paraId="62CF7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Осциллографические приборы.</w:t>
      </w:r>
    </w:p>
    <w:p w14:paraId="4CDAD5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Телеуправление электрическими станциями.</w:t>
      </w:r>
    </w:p>
    <w:p w14:paraId="024FFB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Лаборатории обеспечены стрелочными электроизмерительными приборами, имеются 2 осциллографа, 2 звуковых генератора и другая аппаратура. Станочный парк завода составляет около 200 единиц.</w:t>
      </w:r>
    </w:p>
    <w:p w14:paraId="515D93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лабораториях имеются образцы разработок, из которых наибольший интерес представляют следующие:</w:t>
      </w:r>
    </w:p>
    <w:p w14:paraId="0DEEC2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Малогабаритный самолетный генератор импульсов с мощностью в импульсе 500 кВт.</w:t>
      </w:r>
    </w:p>
    <w:p w14:paraId="1BA989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Генератор импульсов продолжительностью 2-3 микросекунды, с мощностью в импульсе 2000 кВт, для наземного радиолокатора.</w:t>
      </w:r>
    </w:p>
    <w:p w14:paraId="52096F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Осциллограф для измерений продолжительности импульсов с точностью 7 - 10 секунд.</w:t>
      </w:r>
    </w:p>
    <w:p w14:paraId="4EFC64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Индикатор расстояний для наземного радиолокатора с дальностью действия до 400 мм.</w:t>
      </w:r>
    </w:p>
    <w:p w14:paraId="43A0B7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Индикатор к самолетному радиолокатору.</w:t>
      </w:r>
    </w:p>
    <w:p w14:paraId="07A179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 а к л ю ч е н и е.</w:t>
      </w:r>
    </w:p>
    <w:p w14:paraId="58B620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Ввиду наличия широкой авиационной тематики выполняемых лабораториями работ по радиолокации и большого значения этих работ, предлагаем лаборатории вместе со станочным оборудованием и образцами разработок вывезти и передать НКАП и НКЭП.</w:t>
      </w:r>
    </w:p>
    <w:p w14:paraId="5DF8D1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VII. Опытный завод "Асканиа" в Фриденау.</w:t>
      </w:r>
    </w:p>
    <w:p w14:paraId="2D7854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опытном заводе разрабатывались образцы приборов фирмы, которые запускались затем в серийное производство на других заводах "Асканиа".</w:t>
      </w:r>
    </w:p>
    <w:p w14:paraId="7C50C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Тематика работ завода имела два четко выраженные направления:</w:t>
      </w:r>
    </w:p>
    <w:p w14:paraId="4247FA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Электрические авиационные и навигационные приборы. Дистанционные компасы, агрегаты автоматического управления самолетом, автопилоты.</w:t>
      </w:r>
    </w:p>
    <w:p w14:paraId="5E5B0A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 Оптические прецизионные приборы - теодолиты, пуадо. В соответствии с этим специализированы и </w:t>
      </w:r>
      <w:proofErr w:type="gramStart"/>
      <w:r w:rsidRPr="00925F26">
        <w:rPr>
          <w:color w:val="000000" w:themeColor="text1"/>
          <w:sz w:val="16"/>
          <w:szCs w:val="16"/>
        </w:rPr>
        <w:t>лаборатории</w:t>
      </w:r>
      <w:proofErr w:type="gramEnd"/>
      <w:r w:rsidRPr="00925F26">
        <w:rPr>
          <w:color w:val="000000" w:themeColor="text1"/>
          <w:sz w:val="16"/>
          <w:szCs w:val="16"/>
        </w:rPr>
        <w:t xml:space="preserve"> и производственные подразделения. Штат завода составляет 1100 человек, из которых 300 человек - файнмехаников. В составе предприятия имеются конструкторские бюро, исследовательские лаборатории и производственные мастерские. В лабораториях в большом количестве имеется:</w:t>
      </w:r>
    </w:p>
    <w:p w14:paraId="65A18F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Прецизионная оптическая аппаратура:</w:t>
      </w:r>
    </w:p>
    <w:p w14:paraId="02139B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спектрографы;</w:t>
      </w:r>
    </w:p>
    <w:p w14:paraId="453AA7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спектрометры;</w:t>
      </w:r>
    </w:p>
    <w:p w14:paraId="76312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приборы для испытания и юстировки объектов;</w:t>
      </w:r>
    </w:p>
    <w:p w14:paraId="55D54A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кинопроекционный аппарат;</w:t>
      </w:r>
    </w:p>
    <w:p w14:paraId="7294F7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приборы "Панфот" для измерения разрешающей способности фотоэмульсии;</w:t>
      </w:r>
    </w:p>
    <w:p w14:paraId="57EDF3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оптические компараторы.</w:t>
      </w:r>
    </w:p>
    <w:p w14:paraId="5EB0A3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электрических приборов имеются:</w:t>
      </w:r>
    </w:p>
    <w:p w14:paraId="39800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прецизионные многошкальные гальванометры-мультифлекс;</w:t>
      </w:r>
    </w:p>
    <w:p w14:paraId="00770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универсальные комбинированные приборы;</w:t>
      </w:r>
    </w:p>
    <w:p w14:paraId="717A12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нормальные лабораторные стрелочные приборы;</w:t>
      </w:r>
    </w:p>
    <w:p w14:paraId="731C35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магазины сопротивлений;</w:t>
      </w:r>
    </w:p>
    <w:p w14:paraId="1C485F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реостаты Рустрата.</w:t>
      </w:r>
    </w:p>
    <w:p w14:paraId="1F837D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имеются:</w:t>
      </w:r>
    </w:p>
    <w:p w14:paraId="127BEB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стенды для вибрационных испытаний, типа Лист;</w:t>
      </w:r>
    </w:p>
    <w:p w14:paraId="3709EC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ценные испытательные стенды для авиационных рулевых машин и, в частности, рулевых машин - 2;</w:t>
      </w:r>
    </w:p>
    <w:p w14:paraId="12C5B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установки для кондиционирования воздуха;</w:t>
      </w:r>
    </w:p>
    <w:p w14:paraId="456720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круговая делительная машина для шкал;</w:t>
      </w:r>
    </w:p>
    <w:p w14:paraId="20467F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линейная делительная машина;</w:t>
      </w:r>
    </w:p>
    <w:p w14:paraId="4B89A8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весьма совершенная коническая делительная машина;</w:t>
      </w:r>
    </w:p>
    <w:p w14:paraId="7AFF13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пантографы. Станочный парк завода состоит из около 250 металообрабатывающих и 30 оптических (для шлифовки линз) станков. Особо следует отметить наличие двух точных координатно-расточных станков.</w:t>
      </w:r>
    </w:p>
    <w:p w14:paraId="26911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 а к л ю ч е н и е.</w:t>
      </w:r>
    </w:p>
    <w:p w14:paraId="265B2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Цеха и оборудование, используемые при разработке и изготовлении авиационных приборов, вместе с технической документацией, следует передать НКАП и полностью вывезти.</w:t>
      </w:r>
    </w:p>
    <w:p w14:paraId="1341F2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Лабораторное и производственное оборудование, приспособленное для оптического производства, передать НКВ.</w:t>
      </w:r>
    </w:p>
    <w:p w14:paraId="63F902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VIII. Материалы скоростной </w:t>
      </w:r>
      <w:proofErr w:type="gramStart"/>
      <w:r w:rsidRPr="00925F26">
        <w:rPr>
          <w:color w:val="000000" w:themeColor="text1"/>
          <w:sz w:val="16"/>
          <w:szCs w:val="16"/>
        </w:rPr>
        <w:t>трубы ,</w:t>
      </w:r>
      <w:proofErr w:type="gramEnd"/>
      <w:r w:rsidRPr="00925F26">
        <w:rPr>
          <w:color w:val="000000" w:themeColor="text1"/>
          <w:sz w:val="16"/>
          <w:szCs w:val="16"/>
        </w:rPr>
        <w:t xml:space="preserve"> отправляемые в Москву 16.V.1945 г.</w:t>
      </w:r>
    </w:p>
    <w:p w14:paraId="62D978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нижнем этаже корпуса скоростной трубы обнаружен ящики с отчетами, содержащими результаты испытаний в трубе за период с 1939 по 1944 гг. Экспертами комиссии произведен просмотр этих материалов, в результате чего большинство этих материалов признано представляющими интерес для ЦАГИ. Материал, отобранный экспертами, направляется в распоряжение начальника ЦАГИ. В большинстве случаев - материал с изложением результатов испытаний первичная документация, обработка и результаты испытаний. В большинстве случаев имеется исчерпывающая геометрическая характеристика объекта, его фотографии, а в ряде случаев и описание. Благодаря своей полноте, материал этот с успехом может быть использован для всякого рода систематических обработок и т.п. По своей тематике все материалы близки к тематике скоростной трубы ЦАГИ. Направляемый в Москву материал состоит из 101 отчета по результатам испытаний в скоростной трубе. Он разделяется на исследование крыльев - прямоугольных и трапецевидных, испытания моделей самолетов и летающих бомб, исследования по методике эксперимента и различные другие отчеты. Все испытания проводятся при различных числах Маха вплоть до Ма = 0.86.</w:t>
      </w:r>
    </w:p>
    <w:p w14:paraId="4BF443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Наибольшее число материалов относится к исследованиям крыльев. Больше всего испытано прямоугольных крыльев с профилями WACA. Целый ряд этих профилей не был исследован у нас и был нам мало известен. В частности выяснилось, что фирма "Мессершмитт" применяла на своих самолетах профили новых американских серий. Во всех отчетах имеется подробная картина распределения давления на всех углах атаки при широком диапазоне чисел Маха. Обстоятельно представлен материал по изменению лобового сопротивления с ростом чисел Маха. Можно установить связь между критическим числом Маха и характером прироста лобового сопротивления вблизи кризисов. Много материала по характеристикам подъемной силы и момента. [71] -ЗАПИСКА ДОКЛАДНАЯ от 15.05.45 года (стр. 19-21)</w:t>
      </w:r>
    </w:p>
    <w:p w14:paraId="74CA74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числе отчетов по исследованиям крыльев довольно многие относятся к испытаниям с отклоненными закрылками и щитками.</w:t>
      </w:r>
    </w:p>
    <w:p w14:paraId="15DB8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Встречаются данные по тормозным щиткам разного рода. Этим вопросом много занималась фирма "Хейнкель". Обследованы тормозные щитки на ряде американских крыльев.</w:t>
      </w:r>
    </w:p>
    <w:p w14:paraId="21064C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Оценивая материал по крыльям, следует признать его очень интересным и чрезвычайно полезным для развития представлений о явлениях на больших числах Маха.</w:t>
      </w:r>
    </w:p>
    <w:p w14:paraId="09C2E5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в этих отчетах содержится большой фактический материал, необходимый для исследователей и конструкторов.</w:t>
      </w:r>
    </w:p>
    <w:p w14:paraId="14F446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отчетах содержится изложение испытаний моделей самолетов Ме-109, Ме-109В и Ме-262. Кроме того, имеются испытания мотогондолы BMW и Юнкерс. Самолетные испытания будут исключительно интересны для ЦАГИ, так как таких полных испытаний в ЦАГИ не было еще произведено. Результаты испытаний Ме-163В и Ме-262 помогут сделать ряд общих выводов для компоновки и расчета реактивных самолетов.</w:t>
      </w:r>
    </w:p>
    <w:p w14:paraId="7A4FB0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скоростной трубе много занимались испытаниями моделей летающих бомб. Из их числа можно назвать Хеншель 293, Блом и Фосс 143 и Юнкерс. Все они с реактивными двигателями, которые в трубе моделировались путем надставок. Испытания летающих бомб перечисленных типов также будут очень полезны для общей оценки этого типа объектов и дают большой фактический материал.</w:t>
      </w:r>
    </w:p>
    <w:p w14:paraId="5E288B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Методика эксперимента представлена сравнительно слабо в числе обнаруженных отчетов. Правда, в основном материале содержатся задачи методики, но </w:t>
      </w:r>
      <w:proofErr w:type="gramStart"/>
      <w:r w:rsidRPr="00925F26">
        <w:rPr>
          <w:color w:val="000000" w:themeColor="text1"/>
          <w:sz w:val="16"/>
          <w:szCs w:val="16"/>
        </w:rPr>
        <w:t>детальных материалов</w:t>
      </w:r>
      <w:proofErr w:type="gramEnd"/>
      <w:r w:rsidRPr="00925F26">
        <w:rPr>
          <w:color w:val="000000" w:themeColor="text1"/>
          <w:sz w:val="16"/>
          <w:szCs w:val="16"/>
        </w:rPr>
        <w:t xml:space="preserve"> специально посвященных методике немного.</w:t>
      </w:r>
    </w:p>
    <w:p w14:paraId="547871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Отчеты скоростной трубы, отправляемые в Москву, являются, безусловно, ценным материалом.</w:t>
      </w:r>
    </w:p>
    <w:p w14:paraId="2BB7F2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IX. Дополнительные сведения по германским авиационным двигателям.</w:t>
      </w:r>
    </w:p>
    <w:p w14:paraId="4AE400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дальнейшего изучения института , ознакомления с заводами "Даймлер-Бенц" в Мариендорфе, "BMW" в Басдорфе, "Хеншель" в Менефельде, а также с аэродромом в Дальгове, удалось выяснить следующие сведения по авиационным двигателям:</w:t>
      </w:r>
    </w:p>
    <w:p w14:paraId="27F9C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В материалах начальника отдела высотных установок Кароселли обнаружены основная схема и краткие данные о 6-ти рядном 36-ти цилиндровом моторе ДВ-630, Ж-образной конструкции, жидкостного охлаждения, с двумя соосными винтами. Основные данные мотора: мощность 4000 - 4700 л.с., литраж 88.2 л. Мотор имеет комбинированную систему наддува - двухступенчатую и трехступенчатую, что обеспечивает высотность мотора, в первом случае 8.5 - 9 км и во втором случае 13 - 14 км.</w:t>
      </w:r>
    </w:p>
    <w:p w14:paraId="34F931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Исследование элементов этого мотора началось в 1940 г., а проект мотора был закончен в 1942 г. Найденные материалы по этому мотору прилагаются к настоящему докладу.</w:t>
      </w:r>
    </w:p>
    <w:p w14:paraId="56ECBD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 На самолетном заводе "Хеншель" в Шёнефельде обнаружено несколько 4-х рядных, звездообразных, 24-х цилиндровых моторов жидкостного охлаждения, фирмы "Юнкерс", под маркой ЮМО-222 (6-ти цилиндровая, 4-х рядная звезда). Судя по внешнему виду, мотор имеет цилиндры небольшого диаметра 100-120 мм. Моторы блочной конструкции, очевидно, с бесклапанным распределением. Никаких данных по этому мотору обнаружить пока не удалось. Три мотора переведены </w:t>
      </w:r>
      <w:proofErr w:type="gramStart"/>
      <w:r w:rsidRPr="00925F26">
        <w:rPr>
          <w:color w:val="000000" w:themeColor="text1"/>
          <w:sz w:val="16"/>
          <w:szCs w:val="16"/>
        </w:rPr>
        <w:t>в для</w:t>
      </w:r>
      <w:proofErr w:type="gramEnd"/>
      <w:r w:rsidRPr="00925F26">
        <w:rPr>
          <w:color w:val="000000" w:themeColor="text1"/>
          <w:sz w:val="16"/>
          <w:szCs w:val="16"/>
        </w:rPr>
        <w:t xml:space="preserve"> отправки в Москву.</w:t>
      </w:r>
    </w:p>
    <w:p w14:paraId="533D8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В найдена фотография, снята с макета 24-х цилиндрового мотора оригинальной конструкции с соосными винтами. Никаких данных по этому мотору не обнаружено. Фотография прилагается.</w:t>
      </w:r>
    </w:p>
    <w:p w14:paraId="7A1AD1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При допросе начальника отдела Кароселли выяснилось, что в испытывался 12-ти цилиндровый мотор ДВ-603. Данные мотора:</w:t>
      </w:r>
    </w:p>
    <w:p w14:paraId="71E04E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взлетная мощность - 2000 л.с.</w:t>
      </w:r>
    </w:p>
    <w:p w14:paraId="453D29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высотная мощность- 1300 л.с.</w:t>
      </w:r>
    </w:p>
    <w:p w14:paraId="56666C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высотность - 9500 м</w:t>
      </w:r>
    </w:p>
    <w:p w14:paraId="3267E7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 имеет охлаждение воздуха за нагнетателем.</w:t>
      </w:r>
    </w:p>
    <w:p w14:paraId="571BD3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обнаружен мотор ЮМО-2ВА. По заявлению этот мотор имеет следующие данные:</w:t>
      </w:r>
    </w:p>
    <w:p w14:paraId="619588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взлетная мощность - 1750 л.с.</w:t>
      </w:r>
    </w:p>
    <w:p w14:paraId="40B541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высотная мощность - 1400 л.с.</w:t>
      </w:r>
    </w:p>
    <w:p w14:paraId="04A39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высотность - 5000 м</w:t>
      </w:r>
    </w:p>
    <w:p w14:paraId="11F16E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 имеет 2-х скоростной нагнетатель и 3 дросселя, что позволяет сохранить высотную характеристику без провалов и постоянную мощность от земли до пики 1-ой скорости (переменное Рк). Мотор будет направлен в ЦИАМ для изучения.</w:t>
      </w:r>
    </w:p>
    <w:p w14:paraId="76309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На аэродроме в г. Дальгов обнаружен опытный истребитель-модификация. Мессершмитт 109 с 12-ти цилиндровым мотором ЮМО, с 2-х ступенчатым нагнетателем и водо-воздушным радиатором. Самолет будет направлен в Москву.</w:t>
      </w:r>
    </w:p>
    <w:p w14:paraId="404CEE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По заявлению Кароселли, в Германии за последнее время авиационными дизелями не занимались. В 1942 г. он видел проект 24-х цилиндрового авиадизеля ромбообразной конструкции; о данных этого дизеля он ничего не сообщил.</w:t>
      </w:r>
    </w:p>
    <w:p w14:paraId="625AC6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В Мариенфельде, на заводе фирмы "Даймлер-Бенц" установлено: завод строил головные серии моторов в количестве 100 - 150 штук в месяц. ОКБ и лабораторий завод не имел. Завод почти полностью разрушен и, по заявлению инженеров, работавших на заводе, в 1944 году он был эвакуирован.</w:t>
      </w:r>
    </w:p>
    <w:p w14:paraId="4F7E5A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На заводе BMW в Басдорфе установлено: завод сократил производство моторов BMW-801 и с осени 1944 г. перешел на производство воздушно-реактивных двигателей BMW-003. Двигатель имеет 7-ми ступенчатый нагнетатель, одноступенчатую турбину с пустотелыми лопатками для воздушного охлаждения и общую камеру сгорания с 16-ю форсунками. На заводе найдена общая принципиальная схема двигателя, которая прилагается.</w:t>
      </w:r>
    </w:p>
    <w:p w14:paraId="3D74AB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Двигатель технологически доработан для </w:t>
      </w:r>
      <w:proofErr w:type="gramStart"/>
      <w:r w:rsidRPr="00925F26">
        <w:rPr>
          <w:color w:val="000000" w:themeColor="text1"/>
          <w:sz w:val="16"/>
          <w:szCs w:val="16"/>
        </w:rPr>
        <w:t>крупно-серийного</w:t>
      </w:r>
      <w:proofErr w:type="gramEnd"/>
      <w:r w:rsidRPr="00925F26">
        <w:rPr>
          <w:color w:val="000000" w:themeColor="text1"/>
          <w:sz w:val="16"/>
          <w:szCs w:val="16"/>
        </w:rPr>
        <w:t xml:space="preserve"> производства и сборка его производится на конвейере.</w:t>
      </w:r>
    </w:p>
    <w:p w14:paraId="3FE7B5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заводе имеется 6 испытательных стендов для реактивных двигателей, из них два полностью сохранились, а четыре незначительно повреждены. Часть готовых двигателей (из имеющихся 8 штук) и испытательные стенды необходимо вывезти в ЦИАМ и НИИ-1.</w:t>
      </w:r>
    </w:p>
    <w:p w14:paraId="3724C3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КОМИССИИ,</w:t>
      </w:r>
    </w:p>
    <w:p w14:paraId="187145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НИСО, генерал-майор ИАС - Н.И. Петров</w:t>
      </w:r>
    </w:p>
    <w:p w14:paraId="4C7BE6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ЧЛЕНЫ КОМИССИИ:</w:t>
      </w:r>
    </w:p>
    <w:p w14:paraId="4855D6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ЦИАМ - В.В. Владимиров</w:t>
      </w:r>
    </w:p>
    <w:p w14:paraId="200667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ЦАГИ - Суржин ЗАМ.</w:t>
      </w:r>
    </w:p>
    <w:p w14:paraId="30B4A3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НАЧАЛЬНИКА ВИАМ - Амбарцумян</w:t>
      </w:r>
    </w:p>
    <w:p w14:paraId="1CF5F7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ЛИИ - Зосим</w:t>
      </w:r>
    </w:p>
    <w:p w14:paraId="2329D8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15.V.45 г. (8987; 8994).</w:t>
      </w:r>
    </w:p>
    <w:p w14:paraId="176DCC05" w14:textId="77777777" w:rsidR="00665165" w:rsidRPr="00925F26" w:rsidRDefault="00665165" w:rsidP="00925F26">
      <w:pPr>
        <w:autoSpaceDE w:val="0"/>
        <w:autoSpaceDN w:val="0"/>
        <w:adjustRightInd w:val="0"/>
        <w:jc w:val="both"/>
        <w:rPr>
          <w:color w:val="000000" w:themeColor="text1"/>
          <w:sz w:val="16"/>
          <w:szCs w:val="16"/>
        </w:rPr>
      </w:pPr>
    </w:p>
    <w:p w14:paraId="6A38961C" w14:textId="77777777" w:rsidR="009B7AB9" w:rsidRPr="00925F26" w:rsidRDefault="009B7AB9" w:rsidP="00925F26">
      <w:pPr>
        <w:jc w:val="both"/>
        <w:rPr>
          <w:color w:val="000000" w:themeColor="text1"/>
          <w:sz w:val="16"/>
          <w:szCs w:val="16"/>
        </w:rPr>
      </w:pPr>
      <w:r w:rsidRPr="00925F26">
        <w:rPr>
          <w:color w:val="000000" w:themeColor="text1"/>
          <w:sz w:val="16"/>
          <w:szCs w:val="16"/>
        </w:rPr>
        <w:t>15 мая в 1945 году СНК СССР принял постановление о создании в районе села Капустин Яр Астраханской области испытательного ракетного полигона (14892).</w:t>
      </w:r>
    </w:p>
    <w:p w14:paraId="17E39627" w14:textId="77777777" w:rsidR="009B7AB9" w:rsidRPr="00925F26" w:rsidRDefault="009B7AB9" w:rsidP="00925F26">
      <w:pPr>
        <w:jc w:val="both"/>
        <w:rPr>
          <w:color w:val="000000" w:themeColor="text1"/>
          <w:sz w:val="16"/>
          <w:szCs w:val="16"/>
        </w:rPr>
      </w:pPr>
    </w:p>
    <w:p w14:paraId="110411D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42C2284" w14:textId="77777777" w:rsidR="00665165" w:rsidRPr="00925F26" w:rsidRDefault="00665165" w:rsidP="00925F26">
      <w:pPr>
        <w:autoSpaceDE w:val="0"/>
        <w:autoSpaceDN w:val="0"/>
        <w:adjustRightInd w:val="0"/>
        <w:jc w:val="both"/>
        <w:rPr>
          <w:iCs/>
          <w:color w:val="000000" w:themeColor="text1"/>
          <w:sz w:val="16"/>
          <w:szCs w:val="16"/>
        </w:rPr>
      </w:pPr>
    </w:p>
    <w:p w14:paraId="3051F27E" w14:textId="77777777" w:rsidR="004146AC" w:rsidRPr="00925F26" w:rsidRDefault="004146AC" w:rsidP="00925F26">
      <w:pPr>
        <w:jc w:val="both"/>
        <w:rPr>
          <w:color w:val="000000" w:themeColor="text1"/>
          <w:sz w:val="16"/>
          <w:szCs w:val="16"/>
        </w:rPr>
      </w:pPr>
      <w:r w:rsidRPr="00925F26">
        <w:rPr>
          <w:color w:val="000000" w:themeColor="text1"/>
          <w:sz w:val="16"/>
          <w:szCs w:val="16"/>
        </w:rPr>
        <w:t>15 мая 1945 года начальник НИБТ Полигона генерал-лейтенант И.К. Романов получил приказ от ГБТУ КА о проведении испытаний новых образцов зарубежных танков. В случае с Churchill VII Crocodile сначала требовалось изучить вопрос целесообразности проведения полноценных испытаний, поскольку имелся вопрос, насколько новый танк отличался от ранее прибывавших Churchill III/IV. Больше всего ГБТУ КА интересовала огнеметная установка, о ней уже сообщали наши военные из Англии. 31 января 1945 года на полигоне под Ипсвичем им провели демонстрацию такой машины. Дальность пуска на испытаниях составила 110 метров. По факту Churchill VII Crocodile мог плеваться еще дальше - до 140 метров. Это был рекорд для огнеметных танков. Надо сказать, что поначалу НИБТ Полигон отнесся к заданию довольно халтурно, поставив краткую характеристику машины и упустив ряд моментов. В результате генерал-лейтенант танковых войск Б.Г. Вершинин, начальник ГБТУ КА, подверг работу полигона острой критике. 2 июля 1945 года сверху спустили резолюцию провести работу нормально, а не спустя рукава. Случай не единичный, претензии к описаниям иностранных танков звучали и ранее.</w:t>
      </w:r>
    </w:p>
    <w:p w14:paraId="52D0A550" w14:textId="77777777" w:rsidR="004146AC" w:rsidRPr="00925F26" w:rsidRDefault="004146AC" w:rsidP="00925F26">
      <w:pPr>
        <w:jc w:val="both"/>
        <w:rPr>
          <w:color w:val="000000" w:themeColor="text1"/>
          <w:sz w:val="16"/>
          <w:szCs w:val="16"/>
        </w:rPr>
      </w:pPr>
      <w:r w:rsidRPr="00925F26">
        <w:rPr>
          <w:color w:val="000000" w:themeColor="text1"/>
          <w:sz w:val="16"/>
          <w:szCs w:val="16"/>
        </w:rPr>
        <w:t>До середины мая 1945 г. на Камчатке приземлились в общей сложности девять «Либерейторов» — все из 404-й эскадри</w:t>
      </w:r>
      <w:r w:rsidRPr="00925F26">
        <w:rPr>
          <w:color w:val="000000" w:themeColor="text1"/>
          <w:sz w:val="16"/>
          <w:szCs w:val="16"/>
        </w:rPr>
        <w:softHyphen/>
        <w:t>льи. Последним 16 мая 1945 г. садился У. Блейк на B-24D с вышедшим из строя мо</w:t>
      </w:r>
      <w:r w:rsidRPr="00925F26">
        <w:rPr>
          <w:color w:val="000000" w:themeColor="text1"/>
          <w:sz w:val="16"/>
          <w:szCs w:val="16"/>
        </w:rPr>
        <w:softHyphen/>
        <w:t>тором. Шесть бомбардировщиков в разное время находились на аэродромах 128-й сад. Самолеты, севшие в труднодоступных ме</w:t>
      </w:r>
      <w:r w:rsidRPr="00925F26">
        <w:rPr>
          <w:color w:val="000000" w:themeColor="text1"/>
          <w:sz w:val="16"/>
          <w:szCs w:val="16"/>
        </w:rPr>
        <w:softHyphen/>
        <w:t>стах, видимо, не эвакуировали. Полностью исправным, за исключением самолета, отправленного в Кратово, являлся толь</w:t>
      </w:r>
      <w:r w:rsidRPr="00925F26">
        <w:rPr>
          <w:color w:val="000000" w:themeColor="text1"/>
          <w:sz w:val="16"/>
          <w:szCs w:val="16"/>
        </w:rPr>
        <w:softHyphen/>
        <w:t>ко один бомбардировщик, № 42-63782, который забрало себе управление ВВС Дальневосточного фронта. Подробности его эксплуатации там неизвестны. Остальные значатся в списках с пометка</w:t>
      </w:r>
      <w:r w:rsidRPr="00925F26">
        <w:rPr>
          <w:color w:val="000000" w:themeColor="text1"/>
          <w:sz w:val="16"/>
          <w:szCs w:val="16"/>
        </w:rPr>
        <w:softHyphen/>
        <w:t>ми: «течь 2-х баков, 1-й и 3-й мотор ава</w:t>
      </w:r>
      <w:r w:rsidRPr="00925F26">
        <w:rPr>
          <w:color w:val="000000" w:themeColor="text1"/>
          <w:sz w:val="16"/>
          <w:szCs w:val="16"/>
        </w:rPr>
        <w:softHyphen/>
        <w:t>рийные», «неисправен 3-й мотор» и тому подобное. Впоследствии по крайней мере один «Либерейтор» с Камчатки передали в 45-ю дивизию. В период функциониро</w:t>
      </w:r>
      <w:r w:rsidRPr="00925F26">
        <w:rPr>
          <w:color w:val="000000" w:themeColor="text1"/>
          <w:sz w:val="16"/>
          <w:szCs w:val="16"/>
        </w:rPr>
        <w:softHyphen/>
        <w:t>вания американских баз на Украине В-24 появлялись там лишь эпизодически — как транспортные самолеты. Когда англичане проводили операцию «Параван» в сентя</w:t>
      </w:r>
      <w:r w:rsidRPr="00925F26">
        <w:rPr>
          <w:color w:val="000000" w:themeColor="text1"/>
          <w:sz w:val="16"/>
          <w:szCs w:val="16"/>
        </w:rPr>
        <w:softHyphen/>
        <w:t>бре 1944 г. (налет на линкор «Тирпиц»), они пригнали под Архангельск два грузо</w:t>
      </w:r>
      <w:r w:rsidRPr="00925F26">
        <w:rPr>
          <w:color w:val="000000" w:themeColor="text1"/>
          <w:sz w:val="16"/>
          <w:szCs w:val="16"/>
        </w:rPr>
        <w:softHyphen/>
        <w:t>вых «Либерейтора» с наземным составом и запчастями. Пробыли они там недолго и благополучно улетели.</w:t>
      </w:r>
    </w:p>
    <w:p w14:paraId="2962CA3A" w14:textId="77777777" w:rsidR="004146AC" w:rsidRPr="00925F26" w:rsidRDefault="004146AC" w:rsidP="00925F26">
      <w:pPr>
        <w:jc w:val="both"/>
        <w:rPr>
          <w:color w:val="000000" w:themeColor="text1"/>
          <w:sz w:val="16"/>
          <w:szCs w:val="16"/>
        </w:rPr>
      </w:pPr>
      <w:r w:rsidRPr="00925F26">
        <w:rPr>
          <w:color w:val="000000" w:themeColor="text1"/>
          <w:sz w:val="16"/>
          <w:szCs w:val="16"/>
        </w:rPr>
        <w:t>Зато при продвижении Советской ар</w:t>
      </w:r>
      <w:r w:rsidRPr="00925F26">
        <w:rPr>
          <w:color w:val="000000" w:themeColor="text1"/>
          <w:sz w:val="16"/>
          <w:szCs w:val="16"/>
        </w:rPr>
        <w:softHyphen/>
        <w:t>мии по Восточной Европе совершившие вынужденные посадки американские бомбардировщики встречались все чаще и чаще. К маю 1945 г. их нашли, в раз</w:t>
      </w:r>
      <w:r w:rsidRPr="00925F26">
        <w:rPr>
          <w:color w:val="000000" w:themeColor="text1"/>
          <w:sz w:val="16"/>
          <w:szCs w:val="16"/>
        </w:rPr>
        <w:softHyphen/>
        <w:t xml:space="preserve">личном состоянии, 73 штуки. Так </w:t>
      </w:r>
      <w:proofErr w:type="gramStart"/>
      <w:r w:rsidRPr="00925F26">
        <w:rPr>
          <w:color w:val="000000" w:themeColor="text1"/>
          <w:sz w:val="16"/>
          <w:szCs w:val="16"/>
        </w:rPr>
        <w:t>же</w:t>
      </w:r>
      <w:proofErr w:type="gramEnd"/>
      <w:r w:rsidRPr="00925F26">
        <w:rPr>
          <w:color w:val="000000" w:themeColor="text1"/>
          <w:sz w:val="16"/>
          <w:szCs w:val="16"/>
        </w:rPr>
        <w:t xml:space="preserve"> как и «Летающие крепости», первоначально их восстанавливали в порядке личной инициативы различные полки и дивизии. Так, в 17-й воздушной армии отремон</w:t>
      </w:r>
      <w:r w:rsidRPr="00925F26">
        <w:rPr>
          <w:color w:val="000000" w:themeColor="text1"/>
          <w:sz w:val="16"/>
          <w:szCs w:val="16"/>
        </w:rPr>
        <w:softHyphen/>
        <w:t>тировали по меньшей мере один В-24, в 16-й — три, в 15-й — один (23513).</w:t>
      </w:r>
    </w:p>
    <w:p w14:paraId="4DF4D695" w14:textId="77777777" w:rsidR="004146AC" w:rsidRPr="00925F26" w:rsidRDefault="004146AC" w:rsidP="00925F26">
      <w:pPr>
        <w:jc w:val="both"/>
        <w:rPr>
          <w:color w:val="000000" w:themeColor="text1"/>
          <w:sz w:val="16"/>
          <w:szCs w:val="16"/>
        </w:rPr>
      </w:pPr>
    </w:p>
    <w:p w14:paraId="0C35068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года вышел приказ № 181 сс НКБ</w:t>
      </w:r>
    </w:p>
    <w:p w14:paraId="694779E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Ввиду сосредоточения программы по авиабомбам на заводе № 67 ГЦКБ-1 разместить на филиале завода № 568 (бывший № 775); оборудование и кадры с завода № 568 передать на завод № 70.</w:t>
      </w:r>
    </w:p>
    <w:p w14:paraId="761D449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СТБ-1 ликвидировать и имущество СТБ-1 передать в распоряжение начальника ГЦКБ-1.</w:t>
      </w:r>
    </w:p>
    <w:p w14:paraId="5BDE8B8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Распределение личного состава СТБ-1 между ГЦКБ-1 и ГСПИ-4 поручить замнаркома по кадрам Приголкину и замнаркома Мартынову (5794, 29).</w:t>
      </w:r>
    </w:p>
    <w:p w14:paraId="039CDA4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6E63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8558. О дополнительном выделении электроэнергии цементным заводам НКПСМ в Донбассе в мае-июне 1945 г. РГАНИР, Фонд ГКО, д. 415, лл. 69 (11012).</w:t>
      </w:r>
    </w:p>
    <w:p w14:paraId="2CE94F0D" w14:textId="77777777" w:rsidR="00665165" w:rsidRPr="00925F26" w:rsidRDefault="00665165" w:rsidP="00925F26">
      <w:pPr>
        <w:autoSpaceDE w:val="0"/>
        <w:autoSpaceDN w:val="0"/>
        <w:adjustRightInd w:val="0"/>
        <w:jc w:val="both"/>
        <w:rPr>
          <w:color w:val="000000" w:themeColor="text1"/>
          <w:sz w:val="16"/>
          <w:szCs w:val="16"/>
        </w:rPr>
      </w:pPr>
    </w:p>
    <w:p w14:paraId="0D8A62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8559. О дополнительном выделении угля СНК КФ СССР для передвижной электростанции. РГАНИР, Фонд ГКО, д. 415, лл. 70 (11012).</w:t>
      </w:r>
    </w:p>
    <w:p w14:paraId="10E89B8E" w14:textId="77777777" w:rsidR="00665165" w:rsidRPr="00925F26" w:rsidRDefault="00665165" w:rsidP="00925F26">
      <w:pPr>
        <w:autoSpaceDE w:val="0"/>
        <w:autoSpaceDN w:val="0"/>
        <w:adjustRightInd w:val="0"/>
        <w:jc w:val="both"/>
        <w:rPr>
          <w:color w:val="000000" w:themeColor="text1"/>
          <w:sz w:val="16"/>
          <w:szCs w:val="16"/>
        </w:rPr>
      </w:pPr>
    </w:p>
    <w:p w14:paraId="46A449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8560. О размещении вывозимого из Австрии оборудования НКНП в Сталинграде. РГАНИР, Фонд ГКО, д. 415, лл. 71 (11012).</w:t>
      </w:r>
    </w:p>
    <w:p w14:paraId="27ABBA22" w14:textId="77777777" w:rsidR="00665165" w:rsidRPr="00925F26" w:rsidRDefault="00665165" w:rsidP="00925F26">
      <w:pPr>
        <w:autoSpaceDE w:val="0"/>
        <w:autoSpaceDN w:val="0"/>
        <w:adjustRightInd w:val="0"/>
        <w:jc w:val="both"/>
        <w:rPr>
          <w:color w:val="000000" w:themeColor="text1"/>
          <w:sz w:val="16"/>
          <w:szCs w:val="16"/>
        </w:rPr>
      </w:pPr>
    </w:p>
    <w:p w14:paraId="021071F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8561 [О выделении вагонов для перевозки оборудования сажевых заводов из Баку и Саратовской обл. в Львовскую обл.] (7339, 72).</w:t>
      </w:r>
    </w:p>
    <w:p w14:paraId="4BF19CE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F1D0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8562. О мерах по укреплению охраны завода № 202 НКСП. РГАНИР, Фонд ГКО, д. 415, лл. 73 (11012).</w:t>
      </w:r>
    </w:p>
    <w:p w14:paraId="66B90E49" w14:textId="77777777" w:rsidR="00665165" w:rsidRPr="00925F26" w:rsidRDefault="00665165" w:rsidP="00925F26">
      <w:pPr>
        <w:autoSpaceDE w:val="0"/>
        <w:autoSpaceDN w:val="0"/>
        <w:adjustRightInd w:val="0"/>
        <w:jc w:val="both"/>
        <w:rPr>
          <w:color w:val="000000" w:themeColor="text1"/>
          <w:sz w:val="16"/>
          <w:szCs w:val="16"/>
        </w:rPr>
      </w:pPr>
    </w:p>
    <w:p w14:paraId="6465FB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8563. Об организации Всесоюзного социалистического соревнования геологоразведочных и геофизических трестов, контор и экспедиций НКНП. РГАНИР, Фонд ГКО, д. 415, лл. 74 (11012).</w:t>
      </w:r>
    </w:p>
    <w:p w14:paraId="3767CC8A" w14:textId="77777777" w:rsidR="00665165" w:rsidRPr="00925F26" w:rsidRDefault="00665165" w:rsidP="00925F26">
      <w:pPr>
        <w:autoSpaceDE w:val="0"/>
        <w:autoSpaceDN w:val="0"/>
        <w:adjustRightInd w:val="0"/>
        <w:jc w:val="both"/>
        <w:rPr>
          <w:color w:val="000000" w:themeColor="text1"/>
          <w:sz w:val="16"/>
          <w:szCs w:val="16"/>
        </w:rPr>
      </w:pPr>
    </w:p>
    <w:p w14:paraId="241E89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Распоряжение ГКО № 8564. О выделении горючего для проведения весенних полевых работ в Закарпатской Украине. РГАНИР, Фонд ГКО, д. 415, лл. 75-76 (11012).</w:t>
      </w:r>
    </w:p>
    <w:p w14:paraId="42974665" w14:textId="77777777" w:rsidR="00665165" w:rsidRPr="00925F26" w:rsidRDefault="00665165" w:rsidP="00925F26">
      <w:pPr>
        <w:autoSpaceDE w:val="0"/>
        <w:autoSpaceDN w:val="0"/>
        <w:adjustRightInd w:val="0"/>
        <w:jc w:val="both"/>
        <w:rPr>
          <w:color w:val="000000" w:themeColor="text1"/>
          <w:sz w:val="16"/>
          <w:szCs w:val="16"/>
        </w:rPr>
      </w:pPr>
    </w:p>
    <w:p w14:paraId="40745A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8565 О неотложных мероприятиях по восстановлению Рижского завода ВЭФ Наркомэлектропрома. РГАНИР, Фонд ГКО, д. 415, лл. 77-79 (11012).</w:t>
      </w:r>
    </w:p>
    <w:p w14:paraId="4AC6507F" w14:textId="77777777" w:rsidR="00665165" w:rsidRPr="00925F26" w:rsidRDefault="00665165" w:rsidP="00925F26">
      <w:pPr>
        <w:autoSpaceDE w:val="0"/>
        <w:autoSpaceDN w:val="0"/>
        <w:adjustRightInd w:val="0"/>
        <w:jc w:val="both"/>
        <w:rPr>
          <w:color w:val="000000" w:themeColor="text1"/>
          <w:sz w:val="16"/>
          <w:szCs w:val="16"/>
        </w:rPr>
      </w:pPr>
    </w:p>
    <w:p w14:paraId="350AE8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8566 О неотложных мерах помощи тресту № 13 Наркомэлектропрома по увеличению добычи пьезокварца и агата. РГАНИР, Фонд ГКО, д. 415, лл. 80-83, 84-86 (11012).</w:t>
      </w:r>
    </w:p>
    <w:p w14:paraId="7E932544" w14:textId="77777777" w:rsidR="00665165" w:rsidRPr="00925F26" w:rsidRDefault="00665165" w:rsidP="00925F26">
      <w:pPr>
        <w:autoSpaceDE w:val="0"/>
        <w:autoSpaceDN w:val="0"/>
        <w:adjustRightInd w:val="0"/>
        <w:jc w:val="both"/>
        <w:rPr>
          <w:color w:val="000000" w:themeColor="text1"/>
          <w:sz w:val="16"/>
          <w:szCs w:val="16"/>
        </w:rPr>
      </w:pPr>
    </w:p>
    <w:p w14:paraId="6E09A58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8567 О завозе в г. Москву грузов речным транспортом в навигацию 1945 г. (7339, 87-88,89-91).</w:t>
      </w:r>
    </w:p>
    <w:p w14:paraId="031F0CD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93BAE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8568 О вывозе оборудования лабораторий, институтов, предприятий Германии, связанных с работой в области ядерной науки и техники об использовании соответствующих немецких специалистов в СССР. РГАНИР, Фонд ГКО, д. 415, лл. 92 (11012).</w:t>
      </w:r>
    </w:p>
    <w:p w14:paraId="61AAF8A0" w14:textId="77777777" w:rsidR="00665165" w:rsidRPr="00925F26" w:rsidRDefault="00665165" w:rsidP="00925F26">
      <w:pPr>
        <w:autoSpaceDE w:val="0"/>
        <w:autoSpaceDN w:val="0"/>
        <w:adjustRightInd w:val="0"/>
        <w:jc w:val="both"/>
        <w:rPr>
          <w:color w:val="000000" w:themeColor="text1"/>
          <w:sz w:val="16"/>
          <w:szCs w:val="16"/>
        </w:rPr>
      </w:pPr>
    </w:p>
    <w:p w14:paraId="771107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15 мая 1945 г. вышло:</w:t>
      </w:r>
    </w:p>
    <w:p w14:paraId="63696429" w14:textId="77777777" w:rsidR="009B7AB9" w:rsidRPr="00925F26" w:rsidRDefault="009B7AB9"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 ГОСУДАРСТВЕННОГО КОМИТЕТА ОБОРОНЫ № 8568сс</w:t>
      </w:r>
    </w:p>
    <w:p w14:paraId="5D347619" w14:textId="77777777" w:rsidR="009B7AB9" w:rsidRPr="00925F26" w:rsidRDefault="009B7AB9" w:rsidP="00925F26">
      <w:pPr>
        <w:autoSpaceDE w:val="0"/>
        <w:autoSpaceDN w:val="0"/>
        <w:adjustRightInd w:val="0"/>
        <w:jc w:val="both"/>
        <w:rPr>
          <w:color w:val="000000" w:themeColor="text1"/>
          <w:sz w:val="16"/>
          <w:szCs w:val="16"/>
        </w:rPr>
      </w:pPr>
      <w:r w:rsidRPr="00925F26">
        <w:rPr>
          <w:color w:val="000000" w:themeColor="text1"/>
          <w:sz w:val="16"/>
          <w:szCs w:val="16"/>
        </w:rPr>
        <w:t>[о вывозе в СССР для лаборатории № 2 АН СССР и Спецметуправления НКВД СССР оборудования институтов, лабораторий и предприятий, имеющих отношение к разработке проблемы урана.]</w:t>
      </w:r>
    </w:p>
    <w:p w14:paraId="40A38A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5D158A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Демонтировать и вывезти в Советский Союз для лаборатории № 2 Академии Наук и Спецметуправления НКВД СССР:</w:t>
      </w:r>
    </w:p>
    <w:p w14:paraId="1E7D98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все оборудование, материалы и библиотеку института имени кайзера Вильгельма в Берлине;</w:t>
      </w:r>
    </w:p>
    <w:p w14:paraId="536294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оборудование и другое имущество лаборатории фон Арденнэ в Берлине;</w:t>
      </w:r>
    </w:p>
    <w:p w14:paraId="07E1F8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все оборудование и имущество лаборатории профессора Герца в Берлине;</w:t>
      </w:r>
    </w:p>
    <w:p w14:paraId="03162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оборудование, библиотеку и материалы Берлинского института по ядерной физике министерства связи;</w:t>
      </w:r>
    </w:p>
    <w:p w14:paraId="03A9CE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Берлинский завод Ауэра по получению металлического порошка урана и завод из района Райнсберг-Цехлин по переплавке металлического порошка Урана в монолитный металл;</w:t>
      </w:r>
    </w:p>
    <w:p w14:paraId="24651D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 специальные металлы и материалы, обнаруженные в Берлине.</w:t>
      </w:r>
    </w:p>
    <w:p w14:paraId="561F71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Поручить товарищу Берия организовать демонтаж и вывоз всего указанного в п. 1 оборудования и материалов, разрешив командировать в Германию для этого необходимое количество специалистов спецметуправления НКВД, лаборатории № 2 Академии Наук и Наркомэлектропрома.</w:t>
      </w:r>
    </w:p>
    <w:p w14:paraId="0F5FE5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выделить по указанию товарища БЕРИЯ необходимое количество рабочей силы для демонтажа и транспортные средства для вывоза оборудования в СССР.</w:t>
      </w:r>
    </w:p>
    <w:p w14:paraId="6CE775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Товарищу БЕРИЯ внести в ГОКО предложение об использовании немецких специалистов, работавших в перечисленных в пункте 1 настоящего постановления институтах и заводах, на работе в Советском Союзе (11813).</w:t>
      </w:r>
    </w:p>
    <w:p w14:paraId="069338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ПРЕДСЕДАТЕЛЬ ГОСУДАРСТВЕННОГО КОМИТЕТА ОБОРОНЫ И. СТАЛИН </w:t>
      </w:r>
    </w:p>
    <w:p w14:paraId="58EDEB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Совершенно секретно</w:t>
      </w:r>
    </w:p>
    <w:p w14:paraId="3A7A96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Экз. № 1</w:t>
      </w:r>
    </w:p>
    <w:p w14:paraId="0BFC9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 т.т. Берия, Маленкова.</w:t>
      </w:r>
    </w:p>
    <w:p w14:paraId="736AD8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w:t>
      </w:r>
    </w:p>
    <w:p w14:paraId="64F318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товарищу СТАЛИНУ И. В.</w:t>
      </w:r>
    </w:p>
    <w:p w14:paraId="5D0A3E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Посланной, для обнаружения институтов, лабораторий и предприятий, имеющих отношение к разработке проблемы урана, комиссией НКВД СССР установлены следующие учреждения:</w:t>
      </w:r>
    </w:p>
    <w:p w14:paraId="6D01BF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Берлинский физический институт имени кайзера Вильгельма, в котором имеется ценное оборудование - высоковольтная установка на полтора миллиона вольт, механическая мастерская и лаборатория низких температур для получения жидкого азота, водорода и гелия. Там же найдено 250 килограмм металлического урана, 3 тонны окиси урана, 20 литров тяжелой воды и 0,5 грамма радия.</w:t>
      </w:r>
    </w:p>
    <w:p w14:paraId="771AF8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построен, главным образом, на деньги США и находится в районе предполагаемого расположения союзников.</w:t>
      </w:r>
    </w:p>
    <w:p w14:paraId="60CB39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Частный институт ученого фон Арденнэ, лаборатория которого является ведущей в области электронной микроскопии во всем мире.</w:t>
      </w:r>
    </w:p>
    <w:p w14:paraId="6F72EB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институте имеется оборудование - электронный микроскоп с силой увеличения в 300.000 раз (единственный в мире экземпляр), циклотрон с электромагнитом в 60 тонн, принадлежащий министерству связи, высоковольтная установка на 1 миллион вольт, прибор для передачи стереоскопических картин на большой экран и другое оборудование.</w:t>
      </w:r>
    </w:p>
    <w:p w14:paraId="26C8AB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Фон Арденнэ является крупнейшим ученым, единственным в мире специалистом по электронной микроскопии - имеющий важное значение для физики, биологии и медицины. Имеются сведения, что фон Арденнэ занимался проблемой урана. </w:t>
      </w:r>
    </w:p>
    <w:p w14:paraId="7B6B5B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Фон Арденнэ передал председателю комиссии тов. МАХНЕВУ заявление на имя Совета Народных Комиссаров Союза ССР с тем, что он хочет работать с русскими физиками и предоставляет институт и самого себя в распоряжение Советского Правительства.</w:t>
      </w:r>
    </w:p>
    <w:p w14:paraId="60A7FE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Циклотронная лаборатория профессора ГЕРЦА в Берлине. Установка имеет полный комплект нового оборудования, вес электромагнита циклотрона - 70 тонн. Руководитель лаборатории профессор ГЕРЦ находится при лаборатории.</w:t>
      </w:r>
    </w:p>
    <w:p w14:paraId="27D82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Исследовательский институт Германского министерства связи по ядерной физике.</w:t>
      </w:r>
    </w:p>
    <w:p w14:paraId="2A42A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создан во время войны. Имеет циклотронную лабораторию, построенную в соответствии с последними требованиями науки и техники. Циклотрон с электромагнитным весом 60 тонн, высокочастотная установка и силовая подстанция к нему почти полностью смонтированные.</w:t>
      </w:r>
    </w:p>
    <w:p w14:paraId="5997A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лаборатории имеется специальный зал высоковольтной установки, напряжением в 3 миллиона вольт, смонтированной на 50%.</w:t>
      </w:r>
    </w:p>
    <w:p w14:paraId="29AC30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Завод общества АУЭРА (размещен на химической фабрике концерна ДЕГУСА) по переработке окиси урана в металлический порошок, мощностью до 500 килограмм порошка в месяц, печи и другое оборудование в исправности.</w:t>
      </w:r>
    </w:p>
    <w:p w14:paraId="4DD3D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Склад редких материалов на химической фабрике общество АУЭРА, на котором находятся редкие металлы: металлического урана в порошке - 570 килограмм, тоже не переработанного - 300 килограмм, металлического титана 19 кг., металлического тория - 40 килограмм и металлического циркония - 185 килограмм.</w:t>
      </w:r>
    </w:p>
    <w:p w14:paraId="534AF0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Указанные предприятия, оборудование и металл взяты, до решения вопроса об их вывозе, под охрану войск НКВД.</w:t>
      </w:r>
    </w:p>
    <w:p w14:paraId="7CF8DD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Учитывая исключительную важность для Советского Союза всего перечисленного оборудования и материалов, просим Вашего решения о демонтаже и вывозе оборудования в СССР и другого имущества институтов и предприятий.</w:t>
      </w:r>
    </w:p>
    <w:p w14:paraId="724610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считаем целесообразным использовать в Советском Союзе немецких специалистов: фон Арденнэ, Герца и других научных работников институтов и лабораторий.</w:t>
      </w:r>
    </w:p>
    <w:p w14:paraId="04FF35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Проектов постановления Государственного Комитета Обороны прилагается.</w:t>
      </w:r>
    </w:p>
    <w:p w14:paraId="4DAEB6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 БЕРИЯ Г. МАЛЕНКОВ "14" мая 1945 г. № 552/б (11813).</w:t>
      </w:r>
    </w:p>
    <w:p w14:paraId="42987F29" w14:textId="77777777" w:rsidR="009B7AB9" w:rsidRPr="00925F26" w:rsidRDefault="009B7AB9" w:rsidP="00925F26">
      <w:pPr>
        <w:tabs>
          <w:tab w:val="left" w:pos="11199"/>
        </w:tabs>
        <w:autoSpaceDE w:val="0"/>
        <w:autoSpaceDN w:val="0"/>
        <w:adjustRightInd w:val="0"/>
        <w:jc w:val="both"/>
        <w:rPr>
          <w:color w:val="000000" w:themeColor="text1"/>
          <w:sz w:val="16"/>
          <w:szCs w:val="16"/>
        </w:rPr>
      </w:pPr>
    </w:p>
    <w:p w14:paraId="6F53176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8569 О командировании в Берлин работников по финансовым вопросам. (7339, 93).</w:t>
      </w:r>
    </w:p>
    <w:p w14:paraId="61B54CD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350C0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8570 О размещении в Швеции заказа на поставку оборудования для Сухумской ГЭС. РГАНИР, Фонд ГКО, д. 415, лл. 94 (11012).</w:t>
      </w:r>
    </w:p>
    <w:p w14:paraId="4BF8884A" w14:textId="77777777" w:rsidR="00665165" w:rsidRPr="00925F26" w:rsidRDefault="00665165" w:rsidP="00925F26">
      <w:pPr>
        <w:autoSpaceDE w:val="0"/>
        <w:autoSpaceDN w:val="0"/>
        <w:adjustRightInd w:val="0"/>
        <w:jc w:val="both"/>
        <w:rPr>
          <w:color w:val="000000" w:themeColor="text1"/>
          <w:sz w:val="16"/>
          <w:szCs w:val="16"/>
        </w:rPr>
      </w:pPr>
    </w:p>
    <w:p w14:paraId="189164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8571 О неотложных мероприятиях по подготовке площадок в г. г. Лисичанске, Кемерово и Сталинграде и приему оборудования, поступающего из Силезии. РГАНИР, Фонд ГКО, д. 415, лл. 95-96 (11012).</w:t>
      </w:r>
    </w:p>
    <w:p w14:paraId="1CC045F8" w14:textId="77777777" w:rsidR="00665165" w:rsidRPr="00925F26" w:rsidRDefault="00665165" w:rsidP="00925F26">
      <w:pPr>
        <w:autoSpaceDE w:val="0"/>
        <w:autoSpaceDN w:val="0"/>
        <w:adjustRightInd w:val="0"/>
        <w:jc w:val="both"/>
        <w:rPr>
          <w:color w:val="000000" w:themeColor="text1"/>
          <w:sz w:val="16"/>
          <w:szCs w:val="16"/>
        </w:rPr>
      </w:pPr>
    </w:p>
    <w:p w14:paraId="1748F69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8572 О вывозе военнопленных с фронтов и направлении их на работу в промышленность. (7339, 97-98,99-101).</w:t>
      </w:r>
    </w:p>
    <w:p w14:paraId="6528BAD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695E9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года в соответствии с постановлением ГКО от «О вывозе военнопленных с фронтов и направлении их на работу в промышленность», распоряжением Лаврентия Берии на предприятия и стройки наркомата вооружений в мае–июле 1945 года было направлено 20 000 военнопленных. Значительную часть рабочей силы получили артиллерийские заводы №№ 8 и 9 (Свердловск), 71 (Ижевск), 75 (Юрга Кемеровской области) и 92 (Горький). Позже заводы №№ 8, 75 и 92 были подключены к производству зенитных ракетных комплексов (11492).</w:t>
      </w:r>
    </w:p>
    <w:p w14:paraId="20377A26" w14:textId="77777777" w:rsidR="00665165" w:rsidRPr="00925F26" w:rsidRDefault="00665165" w:rsidP="00925F26">
      <w:pPr>
        <w:autoSpaceDE w:val="0"/>
        <w:autoSpaceDN w:val="0"/>
        <w:adjustRightInd w:val="0"/>
        <w:jc w:val="both"/>
        <w:rPr>
          <w:color w:val="000000" w:themeColor="text1"/>
          <w:sz w:val="16"/>
          <w:szCs w:val="16"/>
        </w:rPr>
      </w:pPr>
    </w:p>
    <w:p w14:paraId="0B55D6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8573 О мерах помощи строительству Алапаевского металлургического завода Наркомчермета. РГАНИР, Фонд ГКО, д. 415, лл. 102-104 (11012).</w:t>
      </w:r>
    </w:p>
    <w:p w14:paraId="770E0128" w14:textId="77777777" w:rsidR="00665165" w:rsidRPr="00925F26" w:rsidRDefault="00665165" w:rsidP="00925F26">
      <w:pPr>
        <w:autoSpaceDE w:val="0"/>
        <w:autoSpaceDN w:val="0"/>
        <w:adjustRightInd w:val="0"/>
        <w:jc w:val="both"/>
        <w:rPr>
          <w:color w:val="000000" w:themeColor="text1"/>
          <w:sz w:val="16"/>
          <w:szCs w:val="16"/>
        </w:rPr>
      </w:pPr>
    </w:p>
    <w:p w14:paraId="6F4F45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8574 О развертывании строительства Днепропетровского автомобильного завода Наркомсредмаша и обеспечении выпуска автомобилей. РГАНИР, Фонд ГКО, д. 415, лл. 105-121, 122-130 (11012).</w:t>
      </w:r>
    </w:p>
    <w:p w14:paraId="4F181427" w14:textId="77777777" w:rsidR="00665165" w:rsidRPr="00925F26" w:rsidRDefault="00665165" w:rsidP="00925F26">
      <w:pPr>
        <w:autoSpaceDE w:val="0"/>
        <w:autoSpaceDN w:val="0"/>
        <w:adjustRightInd w:val="0"/>
        <w:jc w:val="both"/>
        <w:rPr>
          <w:color w:val="000000" w:themeColor="text1"/>
          <w:sz w:val="16"/>
          <w:szCs w:val="16"/>
        </w:rPr>
      </w:pPr>
    </w:p>
    <w:p w14:paraId="69CA0A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8575 Об увеличении добычи угля во втором полугодии 1945 года в Восточной Сибири и на Дальнем Востоке. РГАНИР, Фонд ГКО, д. 415, лл. 131-162, 163-195 (11012).</w:t>
      </w:r>
    </w:p>
    <w:p w14:paraId="0708D8B5" w14:textId="77777777" w:rsidR="00665165" w:rsidRPr="00925F26" w:rsidRDefault="00665165" w:rsidP="00925F26">
      <w:pPr>
        <w:autoSpaceDE w:val="0"/>
        <w:autoSpaceDN w:val="0"/>
        <w:adjustRightInd w:val="0"/>
        <w:jc w:val="both"/>
        <w:rPr>
          <w:color w:val="000000" w:themeColor="text1"/>
          <w:sz w:val="16"/>
          <w:szCs w:val="16"/>
        </w:rPr>
      </w:pPr>
    </w:p>
    <w:p w14:paraId="796E58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8576 О мероприятиях по обеспечению производства геологоразведочных работ Наркомугля в 1945 г. (7339, 196-202,203-214).</w:t>
      </w:r>
    </w:p>
    <w:p w14:paraId="193D119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6D9262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8577 О распространении на сотрудников органов НКВД постановлений Государственного Комитета Обороны № ГОКО-1494 от 26 марта 1942 г., № ГОКО-2685 от 2 января 1943 г. и № ГОКО-2822 от 4 февраля 1943 г. (7340, 1).</w:t>
      </w:r>
    </w:p>
    <w:p w14:paraId="639A4F0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1D6D9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8578 О мерах по увеличению добычи нефти в объединении "Дальнефть" в 1945 г. РГАНИР, Фонд ГКО, д. 416, лл. 2-5, 6-9 (11012).</w:t>
      </w:r>
    </w:p>
    <w:p w14:paraId="1A526859" w14:textId="77777777" w:rsidR="00665165" w:rsidRPr="00925F26" w:rsidRDefault="00665165" w:rsidP="00925F26">
      <w:pPr>
        <w:autoSpaceDE w:val="0"/>
        <w:autoSpaceDN w:val="0"/>
        <w:adjustRightInd w:val="0"/>
        <w:jc w:val="both"/>
        <w:rPr>
          <w:color w:val="000000" w:themeColor="text1"/>
          <w:sz w:val="16"/>
          <w:szCs w:val="16"/>
        </w:rPr>
      </w:pPr>
    </w:p>
    <w:p w14:paraId="6679EB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8579 О плане научно-исследовательских работ лаборатории № 2 Академии наук СССР, штатном расписании, смете расходов на 1945 г. РГАНИР, Фонд ГКО, д. 416, лл. 10-15, 16-22 (11012).</w:t>
      </w:r>
    </w:p>
    <w:p w14:paraId="6E5B16DD" w14:textId="77777777" w:rsidR="00665165" w:rsidRPr="00925F26" w:rsidRDefault="00665165" w:rsidP="00925F26">
      <w:pPr>
        <w:autoSpaceDE w:val="0"/>
        <w:autoSpaceDN w:val="0"/>
        <w:adjustRightInd w:val="0"/>
        <w:jc w:val="both"/>
        <w:rPr>
          <w:color w:val="000000" w:themeColor="text1"/>
          <w:sz w:val="16"/>
          <w:szCs w:val="16"/>
        </w:rPr>
      </w:pPr>
    </w:p>
    <w:p w14:paraId="37890D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8580 О плане распределения радиолокационных изделий, изготовляемых во II квартале 1945 г. на заводах Наркомэлектропрома, Наркомсудпрома и Наркомавиапрома. РГАНИР, Фонд ГКО, д. 416, лл. 23, 24-25 (11012).</w:t>
      </w:r>
    </w:p>
    <w:p w14:paraId="1FD21348" w14:textId="77777777" w:rsidR="00665165" w:rsidRPr="00925F26" w:rsidRDefault="00665165" w:rsidP="00925F26">
      <w:pPr>
        <w:autoSpaceDE w:val="0"/>
        <w:autoSpaceDN w:val="0"/>
        <w:adjustRightInd w:val="0"/>
        <w:jc w:val="both"/>
        <w:rPr>
          <w:color w:val="000000" w:themeColor="text1"/>
          <w:sz w:val="16"/>
          <w:szCs w:val="16"/>
        </w:rPr>
      </w:pPr>
    </w:p>
    <w:p w14:paraId="593A85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8581 О строительстве установок при лаборатории № 2 Академии наук СССР. РГАНИР, Фонд ГКО, д. 416, лл. 26-39, 40-57 (11012).</w:t>
      </w:r>
    </w:p>
    <w:p w14:paraId="353292F9" w14:textId="77777777" w:rsidR="00665165" w:rsidRPr="00925F26" w:rsidRDefault="00665165" w:rsidP="00925F26">
      <w:pPr>
        <w:autoSpaceDE w:val="0"/>
        <w:autoSpaceDN w:val="0"/>
        <w:adjustRightInd w:val="0"/>
        <w:jc w:val="both"/>
        <w:rPr>
          <w:color w:val="000000" w:themeColor="text1"/>
          <w:sz w:val="16"/>
          <w:szCs w:val="16"/>
        </w:rPr>
      </w:pPr>
    </w:p>
    <w:p w14:paraId="703D3B6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8582 Об увеличении производственных мощностей предприятий 9-го управления НКВД СССР. (7340, 58-70,71-91).</w:t>
      </w:r>
    </w:p>
    <w:p w14:paraId="781D2CF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25404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г. пост. ГКО и 8 декабря 1944 г. решением ГКО был создан для добычи и обогащения урановой руды Комбинат № 6 НКВД, ПГУ, ВГУ, МСМ, Минатома, Ленинабадский горно</w:t>
      </w:r>
      <w:r w:rsidRPr="00925F26">
        <w:rPr>
          <w:color w:val="000000" w:themeColor="text1"/>
          <w:sz w:val="16"/>
          <w:szCs w:val="16"/>
        </w:rPr>
        <w:softHyphen/>
        <w:t>металлургический комбинат (ГМК), Ферганский горно-химический комбинат (ГХК), Чкаловский комбинат, ПО «Восточный комбинат редких металлов», ГУП «Востокредмет» /Таджикистан г. Ленинабад/ /Таджикистан 735730 г. Чкаловск ул. Опланчука, 10/. В 1946-47 г. комбинат выдал первые 86 т урана.</w:t>
      </w:r>
      <w:r w:rsidRPr="00925F26">
        <w:rPr>
          <w:color w:val="000000" w:themeColor="text1"/>
          <w:sz w:val="16"/>
          <w:szCs w:val="16"/>
          <w:vertAlign w:val="superscript"/>
        </w:rPr>
        <w:t>92</w:t>
      </w:r>
      <w:r w:rsidRPr="00925F26">
        <w:rPr>
          <w:color w:val="000000" w:themeColor="text1"/>
          <w:sz w:val="16"/>
          <w:szCs w:val="16"/>
        </w:rPr>
        <w:t xml:space="preserve"> Позднее передан в народное хозяйство.</w:t>
      </w:r>
      <w:r w:rsidRPr="00925F26">
        <w:rPr>
          <w:color w:val="000000" w:themeColor="text1"/>
          <w:sz w:val="16"/>
          <w:szCs w:val="16"/>
          <w:vertAlign w:val="superscript"/>
        </w:rPr>
        <w:t>70</w:t>
      </w:r>
    </w:p>
    <w:p w14:paraId="3C334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 комбината вошли (1945 г.): Ленинабадское заводуправление; рудоуправления: Табошарское № 11, Адрасманское № 12, Майлисуйское (№ 13 или № 14) и Тюя-Муюнское № 15;</w:t>
      </w:r>
      <w:r w:rsidRPr="00925F26">
        <w:rPr>
          <w:color w:val="000000" w:themeColor="text1"/>
          <w:sz w:val="16"/>
          <w:szCs w:val="16"/>
          <w:vertAlign w:val="superscript"/>
        </w:rPr>
        <w:t>92</w:t>
      </w:r>
      <w:r w:rsidRPr="00925F26">
        <w:rPr>
          <w:color w:val="000000" w:themeColor="text1"/>
          <w:sz w:val="16"/>
          <w:szCs w:val="16"/>
        </w:rPr>
        <w:t xml:space="preserve"> завод «В», несколько геологических партий, переданных из НКЦМ. В 1946 г. Создано Уйгурсайское рудоуправление, обогатительные фабрики в Ленинабаде и Табошаре (№ 1). В конце 1947 г. в составе комбината- 7 обогатительных фабрик (построены фабрики № 2 в Адрасмане, № 3 в Майлису, № 5 на рудоуправлении № 14) и 18 рудников. Первоначально заводоуправление базировалось в Ленинабаде, а затем в г. Чкаловске, построенном на окраине Ленинабада для работников Комбината. В 1951 г. на базе разведанных месторождений Алатаньга и Каттасай в Приташкентском р-не Узбекской ССР создано горнодобывающее предприятие № 22 (Рудоуправление № 2). В 1952-54 г. открыты урановые месторождения Чаули, Чаркасар-1, Чаркасар-2, Майликатин, Ризак и Джекиндек, на базе которых созданы горнодобывающие предприятия № 24 (Рудоуправление № 3), № 23 (Рудоуправление № 1) и новые рудники в составе предприятия № 22. В 1954 г. из состава Комбината были выведены предприятия: № 13 (Майлису), №18 (Шакоптар) и № 21 (Майлисай), расположенные в Северной Фергане, на базе которых был создан отдельный Комбинат № 5 МСМ.</w:t>
      </w:r>
    </w:p>
    <w:p w14:paraId="15CFCA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завершена первая очередь реконструкции Ленинабадского гидрометаллургического завода, введен в эксплуатацию цех экстракции. Мощность гидрометаллургического завода по переработке руды стала более 1 млн. т. в год.</w:t>
      </w:r>
    </w:p>
    <w:p w14:paraId="5F9ABD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926-303 от 3.10.1967 г. и приказом МСМ от 3.11.1967 г. Комбинату совместно с институтом «ПромНИИпроект» были поручены опытно-промышленные работы по подземному выщелачиванию урана из руд месторождения Букинай в Узбекистане, целях получения исходных данных для строительства горнодобывающего предприятия на базе этого и ещё двух других (Лявлякан и Бешкак), расположенных в 25 и 45 км на северо-восток от месторождения Северный Букинай. На базе этих месторождений создано Рудоуправление № 5, освоен промышленный способ добычи руды методом подземного выщелачивания. В 1988 г. (год самой высокой добычи на Комбинате) этим способом было добыто 90% урана.</w:t>
      </w:r>
    </w:p>
    <w:p w14:paraId="4E6759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обогащенного урана, золота, искусственных алмазов.</w:t>
      </w:r>
      <w:r w:rsidRPr="00925F26">
        <w:rPr>
          <w:color w:val="000000" w:themeColor="text1"/>
          <w:sz w:val="16"/>
          <w:szCs w:val="16"/>
          <w:vertAlign w:val="superscript"/>
        </w:rPr>
        <w:t>63</w:t>
      </w:r>
    </w:p>
    <w:p w14:paraId="6DF13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 ПО входили: Гидрометаллургический завод, Чкаловский машиностроительный завод (производство автобусов), Российско-Таджикское предприятие «Худжанд-ЗИЛ», НПЦ «Элта», НПЦ «Технология», рудники.</w:t>
      </w:r>
    </w:p>
    <w:p w14:paraId="590912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Объединение «Востокредмет» (2000-е) - в ведении Министерства промышленности Таджикистана, входило в состав российского АО «Концерн «Атомредметзолото», в Казахскую Государственную корпорацию предприятий атомной энергетики и промышленности.</w:t>
      </w:r>
    </w:p>
    <w:p w14:paraId="4C074C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(2.04.1945 г.)- 565 чел., (1949 г.)- 21120 чел.</w:t>
      </w:r>
    </w:p>
    <w:p w14:paraId="4EFC7C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(1945-49 г.-)- пп Б.Н. Чирков, (-2007 г.)- З.А. Разыков, (2007 г.-)- Ш. Бободжонов.</w:t>
      </w:r>
    </w:p>
    <w:p w14:paraId="4739E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по строительству (1945 г.-)- С.О. Гольман.</w:t>
      </w:r>
    </w:p>
    <w:p w14:paraId="132FC4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(1945 г.-)- А.Б. Драновский, (1949 г.)- А.А. Попов.</w:t>
      </w:r>
    </w:p>
    <w:p w14:paraId="2A98F7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(1949 г.)- С.Г. Михлин. Гл. геолог (1945-49 г.-)- А.А. Данильянц (11982).</w:t>
      </w:r>
    </w:p>
    <w:p w14:paraId="494C09D1" w14:textId="77777777" w:rsidR="00665165" w:rsidRPr="00925F26" w:rsidRDefault="00665165" w:rsidP="00925F26">
      <w:pPr>
        <w:autoSpaceDE w:val="0"/>
        <w:autoSpaceDN w:val="0"/>
        <w:adjustRightInd w:val="0"/>
        <w:jc w:val="both"/>
        <w:rPr>
          <w:color w:val="000000" w:themeColor="text1"/>
          <w:sz w:val="16"/>
          <w:szCs w:val="16"/>
        </w:rPr>
      </w:pPr>
    </w:p>
    <w:p w14:paraId="05217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8583 О строительстве приводных радиостанций и радиопеленгаторных пунктов ВВС Красной Армии. РГАНИР, Фонд ГКО, д. 416, лл. 92-95, 96-108 (11012).</w:t>
      </w:r>
    </w:p>
    <w:p w14:paraId="6FC4974D" w14:textId="77777777" w:rsidR="00665165" w:rsidRPr="00925F26" w:rsidRDefault="00665165" w:rsidP="00925F26">
      <w:pPr>
        <w:autoSpaceDE w:val="0"/>
        <w:autoSpaceDN w:val="0"/>
        <w:adjustRightInd w:val="0"/>
        <w:jc w:val="both"/>
        <w:rPr>
          <w:color w:val="000000" w:themeColor="text1"/>
          <w:sz w:val="16"/>
          <w:szCs w:val="16"/>
        </w:rPr>
      </w:pPr>
    </w:p>
    <w:p w14:paraId="63ED66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вышло Постановление ГКО № 8584 О плане производства радиолокационных станций во II квартале 1945 г. РГАНИР, Фонд ГКО, д. 416, лл. 109-119, 120-155 (11012).</w:t>
      </w:r>
    </w:p>
    <w:p w14:paraId="2588BE83" w14:textId="77777777" w:rsidR="00665165" w:rsidRPr="00925F26" w:rsidRDefault="00665165" w:rsidP="00925F26">
      <w:pPr>
        <w:autoSpaceDE w:val="0"/>
        <w:autoSpaceDN w:val="0"/>
        <w:adjustRightInd w:val="0"/>
        <w:jc w:val="both"/>
        <w:rPr>
          <w:color w:val="000000" w:themeColor="text1"/>
          <w:sz w:val="16"/>
          <w:szCs w:val="16"/>
        </w:rPr>
      </w:pPr>
    </w:p>
    <w:p w14:paraId="0A015BE5" w14:textId="77777777" w:rsidR="0008367D" w:rsidRPr="00925F26" w:rsidRDefault="0008367D" w:rsidP="00925F26">
      <w:pPr>
        <w:jc w:val="both"/>
        <w:rPr>
          <w:color w:val="000000" w:themeColor="text1"/>
          <w:sz w:val="16"/>
          <w:szCs w:val="16"/>
        </w:rPr>
      </w:pPr>
      <w:r w:rsidRPr="00925F26">
        <w:rPr>
          <w:color w:val="000000" w:themeColor="text1"/>
          <w:sz w:val="16"/>
          <w:szCs w:val="16"/>
        </w:rPr>
        <w:t>Не ранее 15 мая 1945 г. Из отчета о выполнении военных заказов заводом «Серп и Молот» за январь-апрель1945 г.</w:t>
      </w:r>
    </w:p>
    <w:tbl>
      <w:tblPr>
        <w:tblW w:w="8781"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0"/>
        <w:gridCol w:w="709"/>
        <w:gridCol w:w="1985"/>
        <w:gridCol w:w="1984"/>
        <w:gridCol w:w="1843"/>
      </w:tblGrid>
      <w:tr w:rsidR="000F5689" w:rsidRPr="00925F26" w14:paraId="65ABFE9A" w14:textId="77777777" w:rsidTr="00BE2FB1">
        <w:trPr>
          <w:tblCellSpacing w:w="0" w:type="dxa"/>
        </w:trPr>
        <w:tc>
          <w:tcPr>
            <w:tcW w:w="2260" w:type="dxa"/>
            <w:tcBorders>
              <w:top w:val="outset" w:sz="6" w:space="0" w:color="auto"/>
              <w:left w:val="outset" w:sz="6" w:space="0" w:color="auto"/>
              <w:bottom w:val="outset" w:sz="6" w:space="0" w:color="auto"/>
              <w:right w:val="outset" w:sz="6" w:space="0" w:color="auto"/>
            </w:tcBorders>
            <w:hideMark/>
          </w:tcPr>
          <w:p w14:paraId="712F0B6C" w14:textId="77777777" w:rsidR="0008367D" w:rsidRPr="00925F26" w:rsidRDefault="0008367D" w:rsidP="00925F26">
            <w:pPr>
              <w:jc w:val="both"/>
              <w:rPr>
                <w:color w:val="000000" w:themeColor="text1"/>
                <w:sz w:val="16"/>
                <w:szCs w:val="16"/>
              </w:rPr>
            </w:pPr>
            <w:r w:rsidRPr="00925F26">
              <w:rPr>
                <w:color w:val="000000" w:themeColor="text1"/>
                <w:sz w:val="16"/>
                <w:szCs w:val="16"/>
              </w:rPr>
              <w:t>Наименование</w:t>
            </w:r>
          </w:p>
        </w:tc>
        <w:tc>
          <w:tcPr>
            <w:tcW w:w="709" w:type="dxa"/>
            <w:tcBorders>
              <w:top w:val="outset" w:sz="6" w:space="0" w:color="auto"/>
              <w:left w:val="outset" w:sz="6" w:space="0" w:color="auto"/>
              <w:bottom w:val="outset" w:sz="6" w:space="0" w:color="auto"/>
              <w:right w:val="outset" w:sz="6" w:space="0" w:color="auto"/>
            </w:tcBorders>
            <w:hideMark/>
          </w:tcPr>
          <w:p w14:paraId="34D62705" w14:textId="77777777" w:rsidR="0008367D" w:rsidRPr="00925F26" w:rsidRDefault="0008367D" w:rsidP="00925F26">
            <w:pPr>
              <w:jc w:val="both"/>
              <w:rPr>
                <w:color w:val="000000" w:themeColor="text1"/>
                <w:sz w:val="16"/>
                <w:szCs w:val="16"/>
              </w:rPr>
            </w:pPr>
            <w:r w:rsidRPr="00925F26">
              <w:rPr>
                <w:color w:val="000000" w:themeColor="text1"/>
                <w:sz w:val="16"/>
                <w:szCs w:val="16"/>
              </w:rPr>
              <w:t>Ед.изм.</w:t>
            </w:r>
          </w:p>
        </w:tc>
        <w:tc>
          <w:tcPr>
            <w:tcW w:w="1985" w:type="dxa"/>
            <w:tcBorders>
              <w:top w:val="outset" w:sz="6" w:space="0" w:color="auto"/>
              <w:left w:val="outset" w:sz="6" w:space="0" w:color="auto"/>
              <w:bottom w:val="outset" w:sz="6" w:space="0" w:color="auto"/>
              <w:right w:val="outset" w:sz="6" w:space="0" w:color="auto"/>
            </w:tcBorders>
            <w:hideMark/>
          </w:tcPr>
          <w:p w14:paraId="16A3BD2A" w14:textId="77777777" w:rsidR="0008367D" w:rsidRPr="00925F26" w:rsidRDefault="0008367D" w:rsidP="00925F26">
            <w:pPr>
              <w:jc w:val="both"/>
              <w:rPr>
                <w:color w:val="000000" w:themeColor="text1"/>
                <w:sz w:val="16"/>
                <w:szCs w:val="16"/>
              </w:rPr>
            </w:pPr>
            <w:r w:rsidRPr="00925F26">
              <w:rPr>
                <w:color w:val="000000" w:themeColor="text1"/>
                <w:sz w:val="16"/>
                <w:szCs w:val="16"/>
              </w:rPr>
              <w:t>По заключенным договорам и обязательствам с начала года</w:t>
            </w:r>
          </w:p>
        </w:tc>
        <w:tc>
          <w:tcPr>
            <w:tcW w:w="1984" w:type="dxa"/>
            <w:tcBorders>
              <w:top w:val="outset" w:sz="6" w:space="0" w:color="auto"/>
              <w:left w:val="outset" w:sz="6" w:space="0" w:color="auto"/>
              <w:bottom w:val="outset" w:sz="6" w:space="0" w:color="auto"/>
              <w:right w:val="outset" w:sz="6" w:space="0" w:color="auto"/>
            </w:tcBorders>
            <w:hideMark/>
          </w:tcPr>
          <w:p w14:paraId="229CBFA3" w14:textId="77777777" w:rsidR="0008367D" w:rsidRPr="00925F26" w:rsidRDefault="0008367D" w:rsidP="00925F26">
            <w:pPr>
              <w:jc w:val="both"/>
              <w:rPr>
                <w:color w:val="000000" w:themeColor="text1"/>
                <w:sz w:val="16"/>
                <w:szCs w:val="16"/>
              </w:rPr>
            </w:pPr>
            <w:r w:rsidRPr="00925F26">
              <w:rPr>
                <w:color w:val="000000" w:themeColor="text1"/>
                <w:sz w:val="16"/>
                <w:szCs w:val="16"/>
              </w:rPr>
              <w:t>С начала года окончательно сдано военпреду после испытания и обстрела</w:t>
            </w:r>
          </w:p>
        </w:tc>
        <w:tc>
          <w:tcPr>
            <w:tcW w:w="1843" w:type="dxa"/>
            <w:tcBorders>
              <w:top w:val="outset" w:sz="6" w:space="0" w:color="auto"/>
              <w:left w:val="outset" w:sz="6" w:space="0" w:color="auto"/>
              <w:bottom w:val="outset" w:sz="6" w:space="0" w:color="auto"/>
              <w:right w:val="outset" w:sz="6" w:space="0" w:color="auto"/>
            </w:tcBorders>
            <w:hideMark/>
          </w:tcPr>
          <w:p w14:paraId="72709FB6" w14:textId="77777777" w:rsidR="0008367D" w:rsidRPr="00925F26" w:rsidRDefault="0008367D" w:rsidP="00925F26">
            <w:pPr>
              <w:jc w:val="both"/>
              <w:rPr>
                <w:color w:val="000000" w:themeColor="text1"/>
                <w:sz w:val="16"/>
                <w:szCs w:val="16"/>
              </w:rPr>
            </w:pPr>
            <w:r w:rsidRPr="00925F26">
              <w:rPr>
                <w:color w:val="000000" w:themeColor="text1"/>
                <w:sz w:val="16"/>
                <w:szCs w:val="16"/>
              </w:rPr>
              <w:t>Отгружено с начала года</w:t>
            </w:r>
          </w:p>
        </w:tc>
      </w:tr>
      <w:tr w:rsidR="000F5689" w:rsidRPr="00925F26" w14:paraId="50353B2A" w14:textId="77777777" w:rsidTr="00BE2FB1">
        <w:trPr>
          <w:tblCellSpacing w:w="0" w:type="dxa"/>
        </w:trPr>
        <w:tc>
          <w:tcPr>
            <w:tcW w:w="2260" w:type="dxa"/>
            <w:tcBorders>
              <w:top w:val="outset" w:sz="6" w:space="0" w:color="auto"/>
              <w:left w:val="outset" w:sz="6" w:space="0" w:color="auto"/>
              <w:bottom w:val="outset" w:sz="6" w:space="0" w:color="auto"/>
              <w:right w:val="outset" w:sz="6" w:space="0" w:color="auto"/>
            </w:tcBorders>
            <w:hideMark/>
          </w:tcPr>
          <w:p w14:paraId="125352F5" w14:textId="77777777" w:rsidR="0008367D" w:rsidRPr="00925F26" w:rsidRDefault="0008367D" w:rsidP="00925F26">
            <w:pPr>
              <w:jc w:val="both"/>
              <w:rPr>
                <w:color w:val="000000" w:themeColor="text1"/>
                <w:sz w:val="16"/>
                <w:szCs w:val="16"/>
              </w:rPr>
            </w:pPr>
            <w:r w:rsidRPr="00925F26">
              <w:rPr>
                <w:color w:val="000000" w:themeColor="text1"/>
                <w:sz w:val="16"/>
                <w:szCs w:val="16"/>
              </w:rPr>
              <w:t>Корпуса 82 мм мин</w:t>
            </w:r>
          </w:p>
        </w:tc>
        <w:tc>
          <w:tcPr>
            <w:tcW w:w="709" w:type="dxa"/>
            <w:tcBorders>
              <w:top w:val="outset" w:sz="6" w:space="0" w:color="auto"/>
              <w:left w:val="outset" w:sz="6" w:space="0" w:color="auto"/>
              <w:bottom w:val="outset" w:sz="6" w:space="0" w:color="auto"/>
              <w:right w:val="outset" w:sz="6" w:space="0" w:color="auto"/>
            </w:tcBorders>
            <w:hideMark/>
          </w:tcPr>
          <w:p w14:paraId="21A241E5" w14:textId="77777777" w:rsidR="0008367D" w:rsidRPr="00925F26" w:rsidRDefault="0008367D" w:rsidP="00925F26">
            <w:pPr>
              <w:jc w:val="both"/>
              <w:rPr>
                <w:color w:val="000000" w:themeColor="text1"/>
                <w:sz w:val="16"/>
                <w:szCs w:val="16"/>
              </w:rPr>
            </w:pPr>
            <w:r w:rsidRPr="00925F26">
              <w:rPr>
                <w:color w:val="000000" w:themeColor="text1"/>
                <w:sz w:val="16"/>
                <w:szCs w:val="16"/>
              </w:rPr>
              <w:t>шт.</w:t>
            </w:r>
          </w:p>
        </w:tc>
        <w:tc>
          <w:tcPr>
            <w:tcW w:w="1985" w:type="dxa"/>
            <w:tcBorders>
              <w:top w:val="outset" w:sz="6" w:space="0" w:color="auto"/>
              <w:left w:val="outset" w:sz="6" w:space="0" w:color="auto"/>
              <w:bottom w:val="outset" w:sz="6" w:space="0" w:color="auto"/>
              <w:right w:val="outset" w:sz="6" w:space="0" w:color="auto"/>
            </w:tcBorders>
            <w:hideMark/>
          </w:tcPr>
          <w:p w14:paraId="68C6AD34" w14:textId="77777777" w:rsidR="0008367D" w:rsidRPr="00925F26" w:rsidRDefault="0008367D" w:rsidP="00925F26">
            <w:pPr>
              <w:jc w:val="both"/>
              <w:rPr>
                <w:color w:val="000000" w:themeColor="text1"/>
                <w:sz w:val="16"/>
                <w:szCs w:val="16"/>
              </w:rPr>
            </w:pPr>
            <w:r w:rsidRPr="00925F26">
              <w:rPr>
                <w:color w:val="000000" w:themeColor="text1"/>
                <w:sz w:val="16"/>
                <w:szCs w:val="16"/>
              </w:rPr>
              <w:t>80000</w:t>
            </w:r>
          </w:p>
        </w:tc>
        <w:tc>
          <w:tcPr>
            <w:tcW w:w="1984" w:type="dxa"/>
            <w:tcBorders>
              <w:top w:val="outset" w:sz="6" w:space="0" w:color="auto"/>
              <w:left w:val="outset" w:sz="6" w:space="0" w:color="auto"/>
              <w:bottom w:val="outset" w:sz="6" w:space="0" w:color="auto"/>
              <w:right w:val="outset" w:sz="6" w:space="0" w:color="auto"/>
            </w:tcBorders>
            <w:hideMark/>
          </w:tcPr>
          <w:p w14:paraId="28EF9AE1" w14:textId="77777777" w:rsidR="0008367D" w:rsidRPr="00925F26" w:rsidRDefault="0008367D" w:rsidP="00925F26">
            <w:pPr>
              <w:jc w:val="both"/>
              <w:rPr>
                <w:color w:val="000000" w:themeColor="text1"/>
                <w:sz w:val="16"/>
                <w:szCs w:val="16"/>
              </w:rPr>
            </w:pPr>
            <w:r w:rsidRPr="00925F26">
              <w:rPr>
                <w:color w:val="000000" w:themeColor="text1"/>
                <w:sz w:val="16"/>
                <w:szCs w:val="16"/>
              </w:rPr>
              <w:t>85500</w:t>
            </w:r>
          </w:p>
        </w:tc>
        <w:tc>
          <w:tcPr>
            <w:tcW w:w="1843" w:type="dxa"/>
            <w:tcBorders>
              <w:top w:val="outset" w:sz="6" w:space="0" w:color="auto"/>
              <w:left w:val="outset" w:sz="6" w:space="0" w:color="auto"/>
              <w:bottom w:val="outset" w:sz="6" w:space="0" w:color="auto"/>
              <w:right w:val="outset" w:sz="6" w:space="0" w:color="auto"/>
            </w:tcBorders>
            <w:hideMark/>
          </w:tcPr>
          <w:p w14:paraId="0B156E4D" w14:textId="77777777" w:rsidR="0008367D" w:rsidRPr="00925F26" w:rsidRDefault="0008367D" w:rsidP="00925F26">
            <w:pPr>
              <w:jc w:val="both"/>
              <w:rPr>
                <w:color w:val="000000" w:themeColor="text1"/>
                <w:sz w:val="16"/>
                <w:szCs w:val="16"/>
              </w:rPr>
            </w:pPr>
            <w:r w:rsidRPr="00925F26">
              <w:rPr>
                <w:color w:val="000000" w:themeColor="text1"/>
                <w:sz w:val="16"/>
                <w:szCs w:val="16"/>
              </w:rPr>
              <w:t>90600 […]</w:t>
            </w:r>
            <w:hyperlink r:id="rId120" w:anchor="_ftn2" w:history="1">
              <w:r w:rsidRPr="00925F26">
                <w:rPr>
                  <w:color w:val="000000" w:themeColor="text1"/>
                  <w:sz w:val="16"/>
                  <w:szCs w:val="16"/>
                </w:rPr>
                <w:t>[2]</w:t>
              </w:r>
            </w:hyperlink>
          </w:p>
        </w:tc>
      </w:tr>
    </w:tbl>
    <w:p w14:paraId="252BA721" w14:textId="77777777" w:rsidR="0008367D" w:rsidRPr="00925F26" w:rsidRDefault="0008367D" w:rsidP="00925F26">
      <w:pPr>
        <w:jc w:val="both"/>
        <w:rPr>
          <w:color w:val="000000" w:themeColor="text1"/>
          <w:sz w:val="16"/>
          <w:szCs w:val="16"/>
        </w:rPr>
      </w:pPr>
      <w:r w:rsidRPr="00925F26">
        <w:rPr>
          <w:color w:val="000000" w:themeColor="text1"/>
          <w:sz w:val="16"/>
          <w:szCs w:val="16"/>
        </w:rPr>
        <w:t>Директор завода «Серп и Молот» Коробкин</w:t>
      </w:r>
    </w:p>
    <w:p w14:paraId="16B773E8" w14:textId="77777777" w:rsidR="0008367D" w:rsidRPr="00925F26" w:rsidRDefault="0008367D" w:rsidP="00925F26">
      <w:pPr>
        <w:jc w:val="both"/>
        <w:rPr>
          <w:color w:val="000000" w:themeColor="text1"/>
          <w:sz w:val="16"/>
          <w:szCs w:val="16"/>
        </w:rPr>
      </w:pPr>
      <w:r w:rsidRPr="00925F26">
        <w:rPr>
          <w:color w:val="000000" w:themeColor="text1"/>
          <w:sz w:val="16"/>
          <w:szCs w:val="16"/>
        </w:rPr>
        <w:t>Начальник планово-экономического отдела Яковлев</w:t>
      </w:r>
    </w:p>
    <w:p w14:paraId="16E659BC" w14:textId="77777777" w:rsidR="0008367D" w:rsidRPr="00925F26" w:rsidRDefault="0008367D" w:rsidP="00925F26">
      <w:pPr>
        <w:jc w:val="both"/>
        <w:rPr>
          <w:color w:val="000000" w:themeColor="text1"/>
          <w:sz w:val="16"/>
          <w:szCs w:val="16"/>
        </w:rPr>
      </w:pPr>
      <w:r w:rsidRPr="00925F26">
        <w:rPr>
          <w:color w:val="000000" w:themeColor="text1"/>
          <w:sz w:val="16"/>
          <w:szCs w:val="16"/>
        </w:rPr>
        <w:t>НА РТ. Ф. Р-665. Оп. 4. Д. 42. Л. 31. Отпуск (15484).</w:t>
      </w:r>
    </w:p>
    <w:p w14:paraId="1E0D3B98" w14:textId="77777777" w:rsidR="0008367D" w:rsidRPr="00925F26" w:rsidRDefault="0008367D" w:rsidP="00925F26">
      <w:pPr>
        <w:jc w:val="both"/>
        <w:rPr>
          <w:color w:val="000000" w:themeColor="text1"/>
          <w:sz w:val="16"/>
          <w:szCs w:val="16"/>
        </w:rPr>
      </w:pPr>
    </w:p>
    <w:p w14:paraId="7CB3F5D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НИИ-400 получил ТТЗ на проектирование и изготовление экспериментального образца 45-см реактивной торпеды на жидком топливе и в конце 1945 приступили к разработке экспериментального образца РТ-45-2 с ЖРД, который создавался в НИИ-1 МАП (ОКБ-2 НИИ-88) (7468, 39).</w:t>
      </w:r>
    </w:p>
    <w:p w14:paraId="1EEACE6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0FC75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года в соответствии с постановлением ГКО“О вывозе военнопленных с фронтов и направлении их на работу в промышленность”, распоряжением Лаврентия Берии на предприятия и стройки наркомата вооружений в мае–июле 1945 года было направлено 20 000 военнопленных. Значительную часть рабочей силы получили артиллерийские заводы №№ 8 и 9 (Свердловск), 71 (Ижевск), 75 (Юрга Кемеровской области) и 92 (Горький). Позже заводы №№ 8, 75 и 92 были подключены к производству зенитных ракетных комплексов (10109).</w:t>
      </w:r>
    </w:p>
    <w:p w14:paraId="60449CEC" w14:textId="77777777" w:rsidR="00665165" w:rsidRPr="00925F26" w:rsidRDefault="00665165" w:rsidP="00925F26">
      <w:pPr>
        <w:autoSpaceDE w:val="0"/>
        <w:autoSpaceDN w:val="0"/>
        <w:adjustRightInd w:val="0"/>
        <w:jc w:val="both"/>
        <w:rPr>
          <w:color w:val="000000" w:themeColor="text1"/>
          <w:sz w:val="16"/>
          <w:szCs w:val="16"/>
        </w:rPr>
      </w:pPr>
    </w:p>
    <w:p w14:paraId="434500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мая 1945 г. на базе завода «В» Главредмета, Табошарского, Адрасманского, Майлисуйского, Уйгурсайского и Тюямуюнского рудников в системе НКВД СССР организуется комбинат № 6, позднее Ленинабадский горно_металлургический комбинат, первенец уранодобывающей атомной промышленности СССР, начальник – Б.Н. Чирков, Герой Социалистического Труда (1949 г.) (11254).</w:t>
      </w:r>
    </w:p>
    <w:p w14:paraId="493C5D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BE113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года для добычи и переработки урановых руд в Средней Азии постановление ГОКО предписало создать комбинат No. 6 (с 1967 года Ленинабадский горно-химический комбинат). Первым директором Горно-химического комбината No. 6 был Б.Н. Чирков. Ленинабадский ГХК был первым объектом сырьевой базы атомной промышленности, на котором отрабатывались технологии добычи и переработки урановых руд, обучались кадры. Наряду с этим, комбинат разрабатывал месторождения флюорита и производил концентрат плавикового шпата (CaF2) для нужд атомной промышленности. Фтор являлся существенной компонентой для производства гексафторида и тетрафторида урана, необходимой для технологии изотопного обогащения урана. В конце 60-х годов на комбинате была освоена передовая технология добычи урана подземным выщелачиванием. В настоящее время Ленинабадский ГХК (ПО "Востокредмет") прекратил добычу урана в связи с распадом СССР. В 1954 году из состава комбината No. 6 был выведен ряд предприятий, расположенных в Северной Фергане, на базе которых был создан самостоятельный комбинат No. 5, который был закрыт в 1968 году в связи с выработкой запасов урана (10549).</w:t>
      </w:r>
    </w:p>
    <w:p w14:paraId="74BBB48C" w14:textId="77777777" w:rsidR="00665165" w:rsidRPr="00925F26" w:rsidRDefault="00665165" w:rsidP="00925F26">
      <w:pPr>
        <w:autoSpaceDE w:val="0"/>
        <w:autoSpaceDN w:val="0"/>
        <w:adjustRightInd w:val="0"/>
        <w:jc w:val="both"/>
        <w:rPr>
          <w:color w:val="000000" w:themeColor="text1"/>
          <w:sz w:val="16"/>
          <w:szCs w:val="16"/>
        </w:rPr>
      </w:pPr>
    </w:p>
    <w:p w14:paraId="600A589E" w14:textId="77777777" w:rsidR="0008367D" w:rsidRPr="00925F26" w:rsidRDefault="0008367D" w:rsidP="00925F26">
      <w:pPr>
        <w:jc w:val="both"/>
        <w:rPr>
          <w:color w:val="000000" w:themeColor="text1"/>
          <w:sz w:val="16"/>
          <w:szCs w:val="16"/>
        </w:rPr>
      </w:pPr>
      <w:r w:rsidRPr="00925F26">
        <w:rPr>
          <w:color w:val="000000" w:themeColor="text1"/>
          <w:sz w:val="16"/>
          <w:szCs w:val="16"/>
        </w:rPr>
        <w:lastRenderedPageBreak/>
        <w:t>15 мая в 1945 году постановлением ГКО № 8582сс/ов создан Горно-химический комбинат № 6 по добыче и переработке урановых руд на базе месторождений в Средней Азии. Это был первый отечественный комбинат по добыче атомного сырья, его организация явилась началом создания сырьевой отрасли атомной промышленности. Начальник – Герой Социалистического Труда (1949) Б.Н.Чирков (14892).</w:t>
      </w:r>
    </w:p>
    <w:p w14:paraId="07F685AF" w14:textId="77777777" w:rsidR="0008367D" w:rsidRPr="00925F26" w:rsidRDefault="0008367D" w:rsidP="00925F26">
      <w:pPr>
        <w:jc w:val="both"/>
        <w:rPr>
          <w:color w:val="000000" w:themeColor="text1"/>
          <w:sz w:val="16"/>
          <w:szCs w:val="16"/>
        </w:rPr>
      </w:pPr>
    </w:p>
    <w:p w14:paraId="17734DB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D790F5E" w14:textId="77777777" w:rsidR="00665165" w:rsidRPr="00925F26" w:rsidRDefault="00665165" w:rsidP="00925F26">
      <w:pPr>
        <w:autoSpaceDE w:val="0"/>
        <w:autoSpaceDN w:val="0"/>
        <w:adjustRightInd w:val="0"/>
        <w:jc w:val="both"/>
        <w:rPr>
          <w:iCs/>
          <w:color w:val="000000" w:themeColor="text1"/>
          <w:sz w:val="16"/>
          <w:szCs w:val="16"/>
        </w:rPr>
      </w:pPr>
    </w:p>
    <w:p w14:paraId="684F513A" w14:textId="77777777" w:rsidR="00AF535B" w:rsidRPr="00925F26" w:rsidRDefault="00AF535B" w:rsidP="00925F26">
      <w:pPr>
        <w:jc w:val="both"/>
        <w:rPr>
          <w:color w:val="000000" w:themeColor="text1"/>
          <w:sz w:val="16"/>
          <w:szCs w:val="16"/>
        </w:rPr>
      </w:pPr>
      <w:r w:rsidRPr="00925F26">
        <w:rPr>
          <w:color w:val="000000" w:themeColor="text1"/>
          <w:sz w:val="16"/>
          <w:szCs w:val="16"/>
        </w:rPr>
        <w:t>15 мая в 1945 году оперативная сводка Совинформбюро:</w:t>
      </w:r>
    </w:p>
    <w:p w14:paraId="45EC143B" w14:textId="77777777" w:rsidR="00AF535B" w:rsidRPr="00925F26" w:rsidRDefault="00AF535B" w:rsidP="00925F26">
      <w:pPr>
        <w:jc w:val="both"/>
        <w:rPr>
          <w:color w:val="000000" w:themeColor="text1"/>
          <w:sz w:val="16"/>
          <w:szCs w:val="16"/>
        </w:rPr>
      </w:pPr>
      <w:r w:rsidRPr="00925F26">
        <w:rPr>
          <w:color w:val="000000" w:themeColor="text1"/>
          <w:sz w:val="16"/>
          <w:szCs w:val="16"/>
        </w:rPr>
        <w:t>«Приём пленных немецких солдат и офицеров на всех фронтах закончен.» (14892).</w:t>
      </w:r>
    </w:p>
    <w:p w14:paraId="0CD1066F" w14:textId="77777777" w:rsidR="00AF535B" w:rsidRPr="00925F26" w:rsidRDefault="00AF535B" w:rsidP="00925F26">
      <w:pPr>
        <w:jc w:val="both"/>
        <w:rPr>
          <w:color w:val="000000" w:themeColor="text1"/>
          <w:sz w:val="16"/>
          <w:szCs w:val="16"/>
        </w:rPr>
      </w:pPr>
    </w:p>
    <w:p w14:paraId="49F092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советские войска нашли тела Геббельса и его семьи (2248,7).</w:t>
      </w:r>
    </w:p>
    <w:p w14:paraId="2D3087CC" w14:textId="77777777" w:rsidR="00665165" w:rsidRPr="00925F26" w:rsidRDefault="00665165" w:rsidP="00925F26">
      <w:pPr>
        <w:autoSpaceDE w:val="0"/>
        <w:autoSpaceDN w:val="0"/>
        <w:adjustRightInd w:val="0"/>
        <w:jc w:val="both"/>
        <w:rPr>
          <w:color w:val="000000" w:themeColor="text1"/>
          <w:sz w:val="16"/>
          <w:szCs w:val="16"/>
        </w:rPr>
      </w:pPr>
    </w:p>
    <w:p w14:paraId="39D67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1 Чехословацкий армейский корпус преобразовали в 1 Чехословацкую армию (3398,183).</w:t>
      </w:r>
    </w:p>
    <w:p w14:paraId="733C5E58" w14:textId="77777777" w:rsidR="00665165" w:rsidRPr="00925F26" w:rsidRDefault="00665165" w:rsidP="00925F26">
      <w:pPr>
        <w:autoSpaceDE w:val="0"/>
        <w:autoSpaceDN w:val="0"/>
        <w:adjustRightInd w:val="0"/>
        <w:jc w:val="both"/>
        <w:rPr>
          <w:color w:val="000000" w:themeColor="text1"/>
          <w:sz w:val="16"/>
          <w:szCs w:val="16"/>
        </w:rPr>
      </w:pPr>
    </w:p>
    <w:p w14:paraId="6DFC48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с аэродрома Фринов в 40 км на север от Берлина вылетели Р-39N-1 30 гиап 273 иад 6 иак 16ВА летали сопровождать Ил-2, базировавшиеся на том же аэродроме, которые штурмовала отходящие на запад части, не пожелавшие сдаться КА (4136,13).</w:t>
      </w:r>
    </w:p>
    <w:p w14:paraId="0271BF88" w14:textId="77777777" w:rsidR="00665165" w:rsidRPr="00925F26" w:rsidRDefault="00665165" w:rsidP="00925F26">
      <w:pPr>
        <w:autoSpaceDE w:val="0"/>
        <w:autoSpaceDN w:val="0"/>
        <w:adjustRightInd w:val="0"/>
        <w:jc w:val="both"/>
        <w:rPr>
          <w:color w:val="000000" w:themeColor="text1"/>
          <w:sz w:val="16"/>
          <w:szCs w:val="16"/>
        </w:rPr>
      </w:pPr>
    </w:p>
    <w:p w14:paraId="60CD757C" w14:textId="77777777" w:rsidR="00AF535B" w:rsidRPr="00925F26" w:rsidRDefault="00AF535B" w:rsidP="00925F26">
      <w:pPr>
        <w:widowControl w:val="0"/>
        <w:jc w:val="both"/>
        <w:rPr>
          <w:color w:val="000000" w:themeColor="text1"/>
          <w:sz w:val="16"/>
          <w:szCs w:val="16"/>
        </w:rPr>
      </w:pPr>
      <w:r w:rsidRPr="00925F26">
        <w:rPr>
          <w:color w:val="000000" w:themeColor="text1"/>
          <w:sz w:val="16"/>
          <w:szCs w:val="16"/>
        </w:rPr>
        <w:t>По состоянию на 15 мая 1945 года в частях Красной Армии числилось 3314 броневых автомобиля всех марок, из них более 300 составляли БА-64. А если учесть количество выпущенных БА-64, то можно заметить, что почти 2/3 машин были потеряны в боях (15218).</w:t>
      </w:r>
    </w:p>
    <w:p w14:paraId="4520EEEA" w14:textId="77777777" w:rsidR="00AF535B" w:rsidRPr="00925F26" w:rsidRDefault="00AF535B" w:rsidP="00925F26">
      <w:pPr>
        <w:widowControl w:val="0"/>
        <w:jc w:val="both"/>
        <w:rPr>
          <w:color w:val="000000" w:themeColor="text1"/>
          <w:sz w:val="16"/>
          <w:szCs w:val="16"/>
        </w:rPr>
      </w:pPr>
    </w:p>
    <w:p w14:paraId="1B7A61D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10794D3" w14:textId="77777777" w:rsidR="00665165" w:rsidRPr="00925F26" w:rsidRDefault="00665165" w:rsidP="00925F26">
      <w:pPr>
        <w:autoSpaceDE w:val="0"/>
        <w:autoSpaceDN w:val="0"/>
        <w:adjustRightInd w:val="0"/>
        <w:jc w:val="both"/>
        <w:rPr>
          <w:iCs/>
          <w:color w:val="000000" w:themeColor="text1"/>
          <w:sz w:val="16"/>
          <w:szCs w:val="16"/>
        </w:rPr>
      </w:pPr>
    </w:p>
    <w:p w14:paraId="5AE52C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московское радио передало последнюю оперативную сводку Совинформбюро (3960, 190).</w:t>
      </w:r>
    </w:p>
    <w:p w14:paraId="24F5BA7A" w14:textId="77777777" w:rsidR="00665165" w:rsidRPr="00925F26" w:rsidRDefault="00665165" w:rsidP="00925F26">
      <w:pPr>
        <w:autoSpaceDE w:val="0"/>
        <w:autoSpaceDN w:val="0"/>
        <w:adjustRightInd w:val="0"/>
        <w:jc w:val="both"/>
        <w:rPr>
          <w:color w:val="000000" w:themeColor="text1"/>
          <w:sz w:val="16"/>
          <w:szCs w:val="16"/>
        </w:rPr>
      </w:pPr>
    </w:p>
    <w:p w14:paraId="01FF9EA9" w14:textId="77777777" w:rsidR="00AF535B" w:rsidRPr="00925F26" w:rsidRDefault="00AF535B" w:rsidP="00925F26">
      <w:pPr>
        <w:jc w:val="both"/>
        <w:rPr>
          <w:color w:val="000000" w:themeColor="text1"/>
          <w:sz w:val="16"/>
          <w:szCs w:val="16"/>
        </w:rPr>
      </w:pPr>
      <w:r w:rsidRPr="00925F26">
        <w:rPr>
          <w:color w:val="000000" w:themeColor="text1"/>
          <w:sz w:val="16"/>
          <w:szCs w:val="16"/>
        </w:rPr>
        <w:t>15 мая в 1945 году Московское радио передало последнюю оперативную сводку Совинформбюро. Советское информационное бюро было образовано 24 июня 1941 года на основании постановления СНК СССР и ЦК ВКП(б) с целью «...освещать в печати и по радио международные события, военные действия на фронтах и жизнь страны». С первых дней Великой Отечественной войны Совинформбюро передавало официальную информацию о положении дел на фронтах, в тылу и на оккупированных территориях, о партизанском движении, руководило освещением военных событиях по радио, в газетах и журналах, а также деятельностью Всеславянского комитета, Антифашистского комитета советских женщин, Антифашистского комитета советской молодежи, Антифашистского комитета советских ученых, Еврейского антифашистского комитета. В 1944 году в составе Бюро был создан специальный отдел по пропаганде на зарубежные страны. Через 1171 газету, 523 журнала и 18 радиостанций в 23-х странах мира Совинформбюро знакомило читателей и слушателей зарубежных стран с борьбой Советской Армии и народа против фашизма, а в послевоенное время - с основными направлениями внутренней и внешней политики Советского Союза. Всего за годы войны Совинформбюро выслало зарубежным газетам, журналам, радиостанциям, в бюллетени советских посольств и миссий около 135 тысяч статей, по радио прозвучало более двух тысяч фронтовых сводок. Последняя оперативная сводка Совинформбюро вышла 15 мая 1945 года. Юрий Левитан сообщил: «Прием пленных немецких солдат на всех фронтах закончен» (14892).</w:t>
      </w:r>
    </w:p>
    <w:p w14:paraId="46765FAF" w14:textId="77777777" w:rsidR="00AF535B" w:rsidRPr="00925F26" w:rsidRDefault="00AF535B" w:rsidP="00925F26">
      <w:pPr>
        <w:jc w:val="both"/>
        <w:rPr>
          <w:color w:val="000000" w:themeColor="text1"/>
          <w:sz w:val="16"/>
          <w:szCs w:val="16"/>
        </w:rPr>
      </w:pPr>
    </w:p>
    <w:p w14:paraId="46418F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СНК принял постановление № 1077, которое объявило список промтоваров, предназначенных для свободной продажи населению: варежки детские и женские, головные уборы детские 9кроме меховых), абажуры, сумки и портфели из кожезаменителей, посуда, ложки, ножи кухонные, бритвы опасные и лезвия к безопасным, зажигалки и кремни, часы-ходики, электроплитки, гребни и расчетки (7543, 26).</w:t>
      </w:r>
    </w:p>
    <w:p w14:paraId="5C28F535" w14:textId="77777777" w:rsidR="00665165" w:rsidRPr="00925F26" w:rsidRDefault="00665165" w:rsidP="00925F26">
      <w:pPr>
        <w:autoSpaceDE w:val="0"/>
        <w:autoSpaceDN w:val="0"/>
        <w:adjustRightInd w:val="0"/>
        <w:jc w:val="both"/>
        <w:rPr>
          <w:color w:val="000000" w:themeColor="text1"/>
          <w:sz w:val="16"/>
          <w:szCs w:val="16"/>
        </w:rPr>
      </w:pPr>
    </w:p>
    <w:p w14:paraId="2A53E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г. Совнарком СССР принял постановление № 1077, объявлявшее список промтоваров, предназначенных для свободной продажи населению (7543).</w:t>
      </w:r>
    </w:p>
    <w:p w14:paraId="700DD53F" w14:textId="77777777" w:rsidR="00665165" w:rsidRPr="00925F26" w:rsidRDefault="00665165" w:rsidP="00925F26">
      <w:pPr>
        <w:autoSpaceDE w:val="0"/>
        <w:autoSpaceDN w:val="0"/>
        <w:adjustRightInd w:val="0"/>
        <w:jc w:val="both"/>
        <w:rPr>
          <w:color w:val="000000" w:themeColor="text1"/>
          <w:sz w:val="16"/>
          <w:szCs w:val="16"/>
        </w:rPr>
      </w:pPr>
    </w:p>
    <w:p w14:paraId="5DBAB22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E520532" w14:textId="77777777" w:rsidR="00665165" w:rsidRPr="00925F26" w:rsidRDefault="00665165" w:rsidP="00925F26">
      <w:pPr>
        <w:autoSpaceDE w:val="0"/>
        <w:autoSpaceDN w:val="0"/>
        <w:adjustRightInd w:val="0"/>
        <w:jc w:val="both"/>
        <w:rPr>
          <w:iCs/>
          <w:color w:val="000000" w:themeColor="text1"/>
          <w:sz w:val="16"/>
          <w:szCs w:val="16"/>
        </w:rPr>
      </w:pPr>
    </w:p>
    <w:p w14:paraId="0B9E2662" w14:textId="77777777" w:rsidR="0008367D" w:rsidRPr="00925F26" w:rsidRDefault="0008367D" w:rsidP="00925F26">
      <w:pPr>
        <w:jc w:val="both"/>
        <w:rPr>
          <w:color w:val="000000" w:themeColor="text1"/>
          <w:sz w:val="16"/>
          <w:szCs w:val="16"/>
        </w:rPr>
      </w:pPr>
      <w:r w:rsidRPr="00925F26">
        <w:rPr>
          <w:color w:val="000000" w:themeColor="text1"/>
          <w:sz w:val="16"/>
          <w:szCs w:val="16"/>
        </w:rPr>
        <w:t xml:space="preserve">15 мая в 1945 году поставили заказчику первый </w:t>
      </w:r>
      <w:hyperlink r:id="rId121" w:tgtFrame="_blank" w:history="1">
        <w:r w:rsidRPr="00925F26">
          <w:rPr>
            <w:color w:val="000000" w:themeColor="text1"/>
            <w:sz w:val="16"/>
            <w:szCs w:val="16"/>
          </w:rPr>
          <w:t xml:space="preserve">«F7F-3N». </w:t>
        </w:r>
      </w:hyperlink>
      <w:r w:rsidRPr="00925F26">
        <w:rPr>
          <w:color w:val="000000" w:themeColor="text1"/>
          <w:sz w:val="16"/>
          <w:szCs w:val="16"/>
        </w:rPr>
        <w:t>«F7F-3N» «Tigercat» - палубный ночной истребитель, разработанный американской фирмой «Grumman» на базе палубного истребителя «F7F-3». Как и предшественники, "тройка" имела ночной вариант – «F7F-3N». Все повторилось в обратном порядке: 300-литровый топливный бак демонтировали, он уступил место кабине оператора, а вместо носовых пулеметов установили РЛС «SCR-720». Из-за особенностей ее конструкции носовой обтекатель получил характерную "бородку". Другим внешним отличием "ночника" от дневного варианта стало отсутствие мачты радиоантенны за кабиной пилота (14892).</w:t>
      </w:r>
    </w:p>
    <w:p w14:paraId="4D334190" w14:textId="77777777" w:rsidR="0008367D" w:rsidRPr="00925F26" w:rsidRDefault="0008367D" w:rsidP="00925F26">
      <w:pPr>
        <w:jc w:val="both"/>
        <w:rPr>
          <w:color w:val="000000" w:themeColor="text1"/>
          <w:sz w:val="16"/>
          <w:szCs w:val="16"/>
        </w:rPr>
      </w:pPr>
    </w:p>
    <w:p w14:paraId="21118243" w14:textId="77777777" w:rsidR="00102C23" w:rsidRPr="00925F26" w:rsidRDefault="00102C23" w:rsidP="00925F26">
      <w:pPr>
        <w:jc w:val="both"/>
        <w:rPr>
          <w:color w:val="000000" w:themeColor="text1"/>
          <w:sz w:val="16"/>
          <w:szCs w:val="16"/>
        </w:rPr>
      </w:pPr>
      <w:r w:rsidRPr="00925F26">
        <w:rPr>
          <w:color w:val="000000" w:themeColor="text1"/>
          <w:sz w:val="16"/>
          <w:szCs w:val="16"/>
        </w:rPr>
        <w:t>15 мая 1945 первый опытный ХР-82 был передан на наземную отработку систем, а 25 мая 1945 г. летчик-испытатель Бартон попытался взлететь на нем с заводского аэродрома Майнз Филд. Хотя длины полосы 1372 м по расчетам хватало, он так и не смог оторваться. После многих неудачных попыток в субботу 12 июня летчики Бартон и Верджин смогли с частичной заправкой совершить подлет на 15 м. Проблема оказалась в том, что струи левого и правого воздушных винтов, направление вращения которых было выбрано из условия полета с одним отказавшим двигателем, «сходились» над центропланом, повышая давление над ним и снижая подъемную силу. Двигатели поменяли местами — и в таком виде самолет впервые взлетел 26 июня 1945 г. Моторы V-1650-23/25 мощностью по 1810 л.с. на высоте 6950 м разгоняли ХР-82 до 753 км/ч, тогда как лучшие советские истребители Як-3 послевоенного выпуска имели скорость лишь 706 км/ч на границе высотности 5100 м. Вскоре был облетан второй ХР-82, а 30 августа 1945 г. к полетам на первой машине приступили военные. Спешили очень, но не успели — через три дня война с Японией закончилась (23019).</w:t>
      </w:r>
    </w:p>
    <w:p w14:paraId="37BF16D6" w14:textId="77777777" w:rsidR="00102C23" w:rsidRPr="00925F26" w:rsidRDefault="00102C23" w:rsidP="00925F26">
      <w:pPr>
        <w:jc w:val="both"/>
        <w:rPr>
          <w:color w:val="000000" w:themeColor="text1"/>
          <w:sz w:val="16"/>
          <w:szCs w:val="16"/>
        </w:rPr>
      </w:pPr>
    </w:p>
    <w:p w14:paraId="4267017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завершено освобождение Югославии от фашистов (4962).</w:t>
      </w:r>
    </w:p>
    <w:p w14:paraId="04B0D98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F95BD9A" w14:textId="77777777" w:rsidR="00AF535B" w:rsidRPr="00925F26" w:rsidRDefault="00AF535B" w:rsidP="00925F26">
      <w:pPr>
        <w:autoSpaceDE w:val="0"/>
        <w:autoSpaceDN w:val="0"/>
        <w:adjustRightInd w:val="0"/>
        <w:jc w:val="both"/>
        <w:rPr>
          <w:color w:val="000000" w:themeColor="text1"/>
          <w:sz w:val="16"/>
          <w:szCs w:val="16"/>
        </w:rPr>
      </w:pPr>
      <w:r w:rsidRPr="00925F26">
        <w:rPr>
          <w:color w:val="000000" w:themeColor="text1"/>
          <w:sz w:val="16"/>
          <w:szCs w:val="16"/>
        </w:rPr>
        <w:t>15 мая 1945 прекратились военные действия на территории Югославии (2443,432).</w:t>
      </w:r>
    </w:p>
    <w:p w14:paraId="7E978134" w14:textId="77777777" w:rsidR="00AF535B" w:rsidRPr="00925F26" w:rsidRDefault="00AF535B" w:rsidP="00925F26">
      <w:pPr>
        <w:autoSpaceDE w:val="0"/>
        <w:autoSpaceDN w:val="0"/>
        <w:adjustRightInd w:val="0"/>
        <w:jc w:val="both"/>
        <w:rPr>
          <w:color w:val="000000" w:themeColor="text1"/>
          <w:sz w:val="16"/>
          <w:szCs w:val="16"/>
        </w:rPr>
      </w:pPr>
    </w:p>
    <w:p w14:paraId="154493F1" w14:textId="77777777" w:rsidR="009B7AB9" w:rsidRPr="00925F26" w:rsidRDefault="009B7AB9" w:rsidP="00925F26">
      <w:pPr>
        <w:jc w:val="both"/>
        <w:rPr>
          <w:color w:val="000000" w:themeColor="text1"/>
          <w:sz w:val="16"/>
          <w:szCs w:val="16"/>
        </w:rPr>
      </w:pPr>
      <w:r w:rsidRPr="00925F26">
        <w:rPr>
          <w:color w:val="000000" w:themeColor="text1"/>
          <w:sz w:val="16"/>
          <w:szCs w:val="16"/>
        </w:rPr>
        <w:t>15 мая в 1945 году правительства США и Великобритании потребовали от Югославии незамедлительно вывести войска из Триеста (14892).</w:t>
      </w:r>
    </w:p>
    <w:p w14:paraId="02EC3555" w14:textId="77777777" w:rsidR="009B7AB9" w:rsidRPr="00925F26" w:rsidRDefault="009B7AB9" w:rsidP="00925F26">
      <w:pPr>
        <w:jc w:val="both"/>
        <w:rPr>
          <w:color w:val="000000" w:themeColor="text1"/>
          <w:sz w:val="16"/>
          <w:szCs w:val="16"/>
        </w:rPr>
      </w:pPr>
    </w:p>
    <w:p w14:paraId="3AC6BA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было распущено правительстве Деница (2248,7).</w:t>
      </w:r>
    </w:p>
    <w:p w14:paraId="74FBD14E" w14:textId="77777777" w:rsidR="00665165" w:rsidRPr="00925F26" w:rsidRDefault="00665165" w:rsidP="00925F26">
      <w:pPr>
        <w:autoSpaceDE w:val="0"/>
        <w:autoSpaceDN w:val="0"/>
        <w:adjustRightInd w:val="0"/>
        <w:jc w:val="both"/>
        <w:rPr>
          <w:color w:val="000000" w:themeColor="text1"/>
          <w:sz w:val="16"/>
          <w:szCs w:val="16"/>
        </w:rPr>
      </w:pPr>
    </w:p>
    <w:p w14:paraId="7B999B70" w14:textId="77777777" w:rsidR="00AF535B" w:rsidRPr="00925F26" w:rsidRDefault="00AF535B" w:rsidP="00925F26">
      <w:pPr>
        <w:jc w:val="both"/>
        <w:rPr>
          <w:color w:val="000000" w:themeColor="text1"/>
          <w:sz w:val="16"/>
          <w:szCs w:val="16"/>
        </w:rPr>
      </w:pPr>
      <w:r w:rsidRPr="00925F26">
        <w:rPr>
          <w:color w:val="000000" w:themeColor="text1"/>
          <w:sz w:val="16"/>
          <w:szCs w:val="16"/>
        </w:rPr>
        <w:t>15 мая в 1945 году остатки группы армий "F" капитулировали на юге Австрии (14892).</w:t>
      </w:r>
    </w:p>
    <w:p w14:paraId="4EED0C80" w14:textId="77777777" w:rsidR="00AF535B" w:rsidRPr="00925F26" w:rsidRDefault="00AF535B" w:rsidP="00925F26">
      <w:pPr>
        <w:jc w:val="both"/>
        <w:rPr>
          <w:color w:val="000000" w:themeColor="text1"/>
          <w:sz w:val="16"/>
          <w:szCs w:val="16"/>
        </w:rPr>
      </w:pPr>
    </w:p>
    <w:p w14:paraId="77056B3B"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15th, 1945: The Axis-allied Croation forces that surrendered to British troops in Austria are handed over to Tito's partisans who without delay proceed to massacre them; they kill a total of 110,000, including women and children (3819).</w:t>
      </w:r>
    </w:p>
    <w:p w14:paraId="25EFA362" w14:textId="77777777" w:rsidR="00665165" w:rsidRPr="00925F26" w:rsidRDefault="00665165" w:rsidP="00925F26">
      <w:pPr>
        <w:autoSpaceDE w:val="0"/>
        <w:autoSpaceDN w:val="0"/>
        <w:adjustRightInd w:val="0"/>
        <w:jc w:val="both"/>
        <w:rPr>
          <w:color w:val="000000" w:themeColor="text1"/>
          <w:sz w:val="16"/>
          <w:szCs w:val="16"/>
          <w:lang w:val="en-US"/>
        </w:rPr>
      </w:pPr>
    </w:p>
    <w:p w14:paraId="755B9E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Хорватские войска, которые сдалась британским войскам в Австрии, были переданы партизанам Тито, которые их немедленно уничтожили, убив 110000 чел., включая женщин и детей (3819).</w:t>
      </w:r>
    </w:p>
    <w:p w14:paraId="56D3BBB2" w14:textId="77777777" w:rsidR="00665165" w:rsidRPr="00925F26" w:rsidRDefault="00665165" w:rsidP="00925F26">
      <w:pPr>
        <w:autoSpaceDE w:val="0"/>
        <w:autoSpaceDN w:val="0"/>
        <w:adjustRightInd w:val="0"/>
        <w:jc w:val="both"/>
        <w:rPr>
          <w:color w:val="000000" w:themeColor="text1"/>
          <w:sz w:val="16"/>
          <w:szCs w:val="16"/>
        </w:rPr>
      </w:pPr>
    </w:p>
    <w:p w14:paraId="13D474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 мая 1945 Япония аннулировала договора с Германией (2443,432).</w:t>
      </w:r>
    </w:p>
    <w:p w14:paraId="588A2916" w14:textId="77777777" w:rsidR="00665165" w:rsidRPr="00925F26" w:rsidRDefault="00665165" w:rsidP="00925F26">
      <w:pPr>
        <w:autoSpaceDE w:val="0"/>
        <w:autoSpaceDN w:val="0"/>
        <w:adjustRightInd w:val="0"/>
        <w:jc w:val="both"/>
        <w:rPr>
          <w:color w:val="000000" w:themeColor="text1"/>
          <w:sz w:val="16"/>
          <w:szCs w:val="16"/>
        </w:rPr>
      </w:pPr>
    </w:p>
    <w:p w14:paraId="47571579" w14:textId="77777777" w:rsidR="009B7AB9" w:rsidRPr="00925F26" w:rsidRDefault="009B7AB9" w:rsidP="00925F26">
      <w:pPr>
        <w:jc w:val="both"/>
        <w:rPr>
          <w:color w:val="000000" w:themeColor="text1"/>
          <w:sz w:val="16"/>
          <w:szCs w:val="16"/>
        </w:rPr>
      </w:pPr>
      <w:r w:rsidRPr="00925F26">
        <w:rPr>
          <w:color w:val="000000" w:themeColor="text1"/>
          <w:sz w:val="16"/>
          <w:szCs w:val="16"/>
        </w:rPr>
        <w:t>15 мая в 1945 году правительство Японии аннулировало все договоры и соглашения с Германией (14892).</w:t>
      </w:r>
    </w:p>
    <w:p w14:paraId="72DF8CAF" w14:textId="77777777" w:rsidR="009B7AB9" w:rsidRPr="00925F26" w:rsidRDefault="009B7AB9" w:rsidP="00925F26">
      <w:pPr>
        <w:jc w:val="both"/>
        <w:rPr>
          <w:color w:val="000000" w:themeColor="text1"/>
          <w:sz w:val="16"/>
          <w:szCs w:val="16"/>
        </w:rPr>
      </w:pPr>
    </w:p>
    <w:p w14:paraId="05250B9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мая 1945 в Индийском океане англичанами потоплен японский тяжелый крейсер “Хагуро” (4962).</w:t>
      </w:r>
    </w:p>
    <w:p w14:paraId="793A56A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0347E77" w14:textId="77777777" w:rsidR="009A3EFF" w:rsidRPr="00925F26" w:rsidRDefault="009A3EFF" w:rsidP="00925F26">
      <w:pPr>
        <w:jc w:val="both"/>
        <w:rPr>
          <w:color w:val="000000" w:themeColor="text1"/>
          <w:sz w:val="16"/>
          <w:szCs w:val="16"/>
        </w:rPr>
      </w:pPr>
      <w:r w:rsidRPr="00925F26">
        <w:rPr>
          <w:color w:val="000000" w:themeColor="text1"/>
          <w:sz w:val="16"/>
          <w:szCs w:val="16"/>
        </w:rPr>
        <w:t>15 мая 1945 самолеты с британского авианосца HMS Emperor атаковали японский тяжелый крейсер Haguro в Индийском океане, но совершили лишь одну близкую атаку (20371).</w:t>
      </w:r>
    </w:p>
    <w:p w14:paraId="58E48F12" w14:textId="77777777" w:rsidR="009A3EFF" w:rsidRPr="00925F26" w:rsidRDefault="009A3EFF" w:rsidP="00925F26">
      <w:pPr>
        <w:jc w:val="both"/>
        <w:rPr>
          <w:color w:val="000000" w:themeColor="text1"/>
          <w:sz w:val="16"/>
          <w:szCs w:val="16"/>
        </w:rPr>
      </w:pPr>
    </w:p>
    <w:p w14:paraId="4E1A2FD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DAAEEF3" w14:textId="77777777" w:rsidR="00665165" w:rsidRPr="00925F26" w:rsidRDefault="00665165" w:rsidP="00925F26">
      <w:pPr>
        <w:autoSpaceDE w:val="0"/>
        <w:autoSpaceDN w:val="0"/>
        <w:adjustRightInd w:val="0"/>
        <w:jc w:val="both"/>
        <w:rPr>
          <w:iCs/>
          <w:color w:val="000000" w:themeColor="text1"/>
          <w:sz w:val="16"/>
          <w:szCs w:val="16"/>
        </w:rPr>
      </w:pPr>
    </w:p>
    <w:p w14:paraId="019DCC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середине мая 1945 специальная комиссия ВВС запретила экс</w:t>
      </w:r>
      <w:r w:rsidRPr="00925F26">
        <w:rPr>
          <w:color w:val="000000" w:themeColor="text1"/>
          <w:sz w:val="16"/>
          <w:szCs w:val="16"/>
        </w:rPr>
        <w:softHyphen/>
        <w:t>плуатацию самолетов Ил-10 в строевых частях ВВС КА до про</w:t>
      </w:r>
      <w:r w:rsidRPr="00925F26">
        <w:rPr>
          <w:color w:val="000000" w:themeColor="text1"/>
          <w:sz w:val="16"/>
          <w:szCs w:val="16"/>
        </w:rPr>
        <w:softHyphen/>
        <w:t>ведения необходимых доработок машины.</w:t>
      </w:r>
    </w:p>
    <w:p w14:paraId="1DCB62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Надо сказать, что еще в марте 1945 г. на заводе № 18 нача</w:t>
      </w:r>
      <w:r w:rsidRPr="00925F26">
        <w:rPr>
          <w:color w:val="000000" w:themeColor="text1"/>
          <w:sz w:val="16"/>
          <w:szCs w:val="16"/>
        </w:rPr>
        <w:softHyphen/>
        <w:t>лись работы по отработке всасывающих патрубков с воздухо</w:t>
      </w:r>
      <w:r w:rsidRPr="00925F26">
        <w:rPr>
          <w:color w:val="000000" w:themeColor="text1"/>
          <w:sz w:val="16"/>
          <w:szCs w:val="16"/>
        </w:rPr>
        <w:softHyphen/>
        <w:t>очистительными фильтрами — заводского и полевого варианта установки. Полевой вариант мог монтироваться на ранее вы</w:t>
      </w:r>
      <w:r w:rsidRPr="00925F26">
        <w:rPr>
          <w:color w:val="000000" w:themeColor="text1"/>
          <w:sz w:val="16"/>
          <w:szCs w:val="16"/>
        </w:rPr>
        <w:softHyphen/>
        <w:t>пущенные самолеты и имел крепления к уже имеющимся от</w:t>
      </w:r>
      <w:r w:rsidRPr="00925F26">
        <w:rPr>
          <w:color w:val="000000" w:themeColor="text1"/>
          <w:sz w:val="16"/>
          <w:szCs w:val="16"/>
        </w:rPr>
        <w:softHyphen/>
        <w:t>верстиям в броне. Оба пылефильтра были конструктивно по</w:t>
      </w:r>
      <w:r w:rsidRPr="00925F26">
        <w:rPr>
          <w:color w:val="000000" w:themeColor="text1"/>
          <w:sz w:val="16"/>
          <w:szCs w:val="16"/>
        </w:rPr>
        <w:softHyphen/>
        <w:t>добными фильтру ЦАГИ, стоявшему на Ил-2.</w:t>
      </w:r>
    </w:p>
    <w:p w14:paraId="1E7FA6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Уже 16 апреля завершились заводские летные испытания серийного самолета Ил-10 (зав. № 1892105) с полевым вариан</w:t>
      </w:r>
      <w:r w:rsidRPr="00925F26">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2235FC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стандартный всасывающий патрубок «вживили» две дю</w:t>
      </w:r>
      <w:r w:rsidRPr="00925F26">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925F26">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925F26">
        <w:rPr>
          <w:color w:val="000000" w:themeColor="text1"/>
          <w:sz w:val="16"/>
          <w:szCs w:val="16"/>
        </w:rPr>
        <w:softHyphen/>
        <w:t>рекрывала входной канал патрубка, а внутренняя — перекры</w:t>
      </w:r>
      <w:r w:rsidRPr="00925F26">
        <w:rPr>
          <w:color w:val="000000" w:themeColor="text1"/>
          <w:sz w:val="16"/>
          <w:szCs w:val="16"/>
        </w:rPr>
        <w:softHyphen/>
        <w:t>вала канал патрубка неплотно, с зазором 20 мм между заслон</w:t>
      </w:r>
      <w:r w:rsidRPr="00925F26">
        <w:rPr>
          <w:color w:val="000000" w:themeColor="text1"/>
          <w:sz w:val="16"/>
          <w:szCs w:val="16"/>
        </w:rPr>
        <w:softHyphen/>
        <w:t>кой и задней внутренней стенкой патрубка. В этом случае воз</w:t>
      </w:r>
      <w:r w:rsidRPr="00925F26">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925F26">
        <w:rPr>
          <w:color w:val="000000" w:themeColor="text1"/>
          <w:sz w:val="16"/>
          <w:szCs w:val="16"/>
        </w:rPr>
        <w:softHyphen/>
        <w:t>лению полета. Воздух через входное отверстие патрубка начи</w:t>
      </w:r>
      <w:r w:rsidRPr="00925F26">
        <w:rPr>
          <w:color w:val="000000" w:themeColor="text1"/>
          <w:sz w:val="16"/>
          <w:szCs w:val="16"/>
        </w:rPr>
        <w:softHyphen/>
        <w:t>нал поступать в нагнетатель, минуя фильтрующую сетку.</w:t>
      </w:r>
    </w:p>
    <w:p w14:paraId="0C27B8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модифицированного всасывающего патрубка, на са</w:t>
      </w:r>
      <w:r w:rsidRPr="00925F26">
        <w:rPr>
          <w:color w:val="000000" w:themeColor="text1"/>
          <w:sz w:val="16"/>
          <w:szCs w:val="16"/>
        </w:rPr>
        <w:softHyphen/>
        <w:t>молете в тоннелях продувки водорадиатора со стороны капота сделаны вырезы общей площадью 560 см</w:t>
      </w:r>
      <w:r w:rsidRPr="00925F26">
        <w:rPr>
          <w:color w:val="000000" w:themeColor="text1"/>
          <w:sz w:val="16"/>
          <w:szCs w:val="16"/>
          <w:vertAlign w:val="superscript"/>
        </w:rPr>
        <w:t>2</w:t>
      </w:r>
      <w:r w:rsidRPr="00925F26">
        <w:rPr>
          <w:color w:val="000000" w:themeColor="text1"/>
          <w:sz w:val="16"/>
          <w:szCs w:val="16"/>
        </w:rPr>
        <w:t>, которые закрыва</w:t>
      </w:r>
      <w:r w:rsidRPr="00925F26">
        <w:rPr>
          <w:color w:val="000000" w:themeColor="text1"/>
          <w:sz w:val="16"/>
          <w:szCs w:val="16"/>
        </w:rPr>
        <w:softHyphen/>
        <w:t>лись сеткой «Дельбак» в один слой.</w:t>
      </w:r>
    </w:p>
    <w:p w14:paraId="6AEF62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925F26">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925F26">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925F26">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7CA313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20 апреля на серийный самолет Ил-10.(зав. № 1890404) был смонтирован всасывающий патрубок с воздухоочиститель</w:t>
      </w:r>
      <w:r w:rsidRPr="00925F26">
        <w:rPr>
          <w:color w:val="000000" w:themeColor="text1"/>
          <w:sz w:val="16"/>
          <w:szCs w:val="16"/>
        </w:rPr>
        <w:softHyphen/>
        <w:t>ным фильтром кассетной конструкции с сеткой типа «Дельбак» заводского варианта установки.</w:t>
      </w:r>
    </w:p>
    <w:p w14:paraId="171F62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Всасывающий патрубок с пылефильтром состоял из собст</w:t>
      </w:r>
      <w:r w:rsidRPr="00925F26">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925F26">
        <w:rPr>
          <w:color w:val="000000" w:themeColor="text1"/>
          <w:sz w:val="16"/>
          <w:szCs w:val="16"/>
        </w:rPr>
        <w:softHyphen/>
        <w:t>татель. При выпуске шасси заслонка поворачивается, перекры</w:t>
      </w:r>
      <w:r w:rsidRPr="00925F26">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925F26">
        <w:rPr>
          <w:color w:val="000000" w:themeColor="text1"/>
          <w:sz w:val="16"/>
          <w:szCs w:val="16"/>
        </w:rPr>
        <w:softHyphen/>
        <w:t>вающий патрубок снизу.</w:t>
      </w:r>
    </w:p>
    <w:p w14:paraId="2A1BFE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завершились к началу мая. Мотор на всех ре</w:t>
      </w:r>
      <w:r w:rsidRPr="00925F26">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925F26">
        <w:rPr>
          <w:color w:val="000000" w:themeColor="text1"/>
          <w:sz w:val="16"/>
          <w:szCs w:val="16"/>
        </w:rPr>
        <w:softHyphen/>
        <w:t>ла 525 км/ч, а на высоте 2500 м — 475 км/ч (11474,514).</w:t>
      </w:r>
    </w:p>
    <w:p w14:paraId="0F06CD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FA21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середине мая 1945 на ЦА им. Фрунзе произошла катастрофа И-250 ВК-107А + ВРД и погиб А.П.Деев (не успел раскрыться парашют). Потом летали ли А.П.Якимов из ЛИИ и А.Н.Чернобуров и И.Т.Иващенко от ОКБ. Одну из машин отдали в ЦИАМ для доработки зажигания. На нем </w:t>
      </w:r>
      <w:proofErr w:type="gramStart"/>
      <w:r w:rsidRPr="00925F26">
        <w:rPr>
          <w:color w:val="000000" w:themeColor="text1"/>
          <w:sz w:val="16"/>
          <w:szCs w:val="16"/>
        </w:rPr>
        <w:t>учились</w:t>
      </w:r>
      <w:proofErr w:type="gramEnd"/>
      <w:r w:rsidRPr="00925F26">
        <w:rPr>
          <w:color w:val="000000" w:themeColor="text1"/>
          <w:sz w:val="16"/>
          <w:szCs w:val="16"/>
        </w:rPr>
        <w:t xml:space="preserve"> и летчики иап под командованием П.Ф.Чупикова и именно эта группа приняла участие в параде 7 ноября 1946. И-250 потом испытывался в НИИ ВВС и в Риге в НИИ авиации ВМФ. Там летал И.М.Сухомлин. В частях И-250 стал МиГ-13 и летал до начала 1948 (1084,52).</w:t>
      </w:r>
    </w:p>
    <w:p w14:paraId="20DF14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это было 5 июля (742,79).</w:t>
      </w:r>
    </w:p>
    <w:p w14:paraId="2915D3F2" w14:textId="77777777" w:rsidR="00665165" w:rsidRPr="00925F26" w:rsidRDefault="00665165" w:rsidP="00925F26">
      <w:pPr>
        <w:autoSpaceDE w:val="0"/>
        <w:autoSpaceDN w:val="0"/>
        <w:adjustRightInd w:val="0"/>
        <w:jc w:val="both"/>
        <w:rPr>
          <w:color w:val="000000" w:themeColor="text1"/>
          <w:sz w:val="16"/>
          <w:szCs w:val="16"/>
        </w:rPr>
      </w:pPr>
    </w:p>
    <w:p w14:paraId="4570BD56" w14:textId="77777777" w:rsidR="0008367D" w:rsidRPr="00925F26" w:rsidRDefault="0008367D" w:rsidP="00925F26">
      <w:pPr>
        <w:jc w:val="both"/>
        <w:rPr>
          <w:color w:val="000000" w:themeColor="text1"/>
          <w:sz w:val="16"/>
          <w:szCs w:val="16"/>
        </w:rPr>
      </w:pPr>
      <w:r w:rsidRPr="00925F26">
        <w:rPr>
          <w:color w:val="000000" w:themeColor="text1"/>
          <w:sz w:val="16"/>
          <w:szCs w:val="16"/>
        </w:rPr>
        <w:t>До середины мая 1945 проектирование Утки велось параллельно с другими работами, но с 17 мая все силы конструкторского отдела сконцентрировали на машине «У». К этому времени оставались открытыми вопросы по общему виду крыла, стабилизатору, килю, мотораме управлению самолётом и мотором, капоту и ряду мелких агрегатов (15848).</w:t>
      </w:r>
    </w:p>
    <w:p w14:paraId="111C5E97" w14:textId="77777777" w:rsidR="0008367D" w:rsidRPr="00925F26" w:rsidRDefault="0008367D" w:rsidP="00925F26">
      <w:pPr>
        <w:jc w:val="both"/>
        <w:rPr>
          <w:color w:val="000000" w:themeColor="text1"/>
          <w:sz w:val="16"/>
          <w:szCs w:val="16"/>
        </w:rPr>
      </w:pPr>
    </w:p>
    <w:p w14:paraId="0865923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BA7D74C" w14:textId="77777777" w:rsidR="00665165" w:rsidRPr="00925F26" w:rsidRDefault="00665165" w:rsidP="00925F26">
      <w:pPr>
        <w:autoSpaceDE w:val="0"/>
        <w:autoSpaceDN w:val="0"/>
        <w:adjustRightInd w:val="0"/>
        <w:jc w:val="both"/>
        <w:rPr>
          <w:iCs/>
          <w:color w:val="000000" w:themeColor="text1"/>
          <w:sz w:val="16"/>
          <w:szCs w:val="16"/>
        </w:rPr>
      </w:pPr>
    </w:p>
    <w:p w14:paraId="30FB4D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середине мая 1945 на занятой нами территории Европы было выявлено 162 самолета союзников, включая 73 Б-17, 73 Б-24, 14 Мустангов, 1 Лайтнинг и 1 Галифакс. 68 были полностью разбитыми, 18 целых - вернули, некоторые - восстановили (544,15).</w:t>
      </w:r>
    </w:p>
    <w:p w14:paraId="33E1F7F2" w14:textId="77777777" w:rsidR="00665165" w:rsidRPr="00925F26" w:rsidRDefault="00665165" w:rsidP="00925F26">
      <w:pPr>
        <w:autoSpaceDE w:val="0"/>
        <w:autoSpaceDN w:val="0"/>
        <w:adjustRightInd w:val="0"/>
        <w:jc w:val="both"/>
        <w:rPr>
          <w:color w:val="000000" w:themeColor="text1"/>
          <w:sz w:val="16"/>
          <w:szCs w:val="16"/>
        </w:rPr>
      </w:pPr>
    </w:p>
    <w:p w14:paraId="7EF1BF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середине мая 1945 года на занятых советской армией территориях было обнаружено 162 самолета союзников (3457,89).</w:t>
      </w:r>
    </w:p>
    <w:p w14:paraId="1B5800DA" w14:textId="77777777" w:rsidR="00665165" w:rsidRPr="00925F26" w:rsidRDefault="00665165" w:rsidP="00925F26">
      <w:pPr>
        <w:autoSpaceDE w:val="0"/>
        <w:autoSpaceDN w:val="0"/>
        <w:adjustRightInd w:val="0"/>
        <w:jc w:val="both"/>
        <w:rPr>
          <w:color w:val="000000" w:themeColor="text1"/>
          <w:sz w:val="16"/>
          <w:szCs w:val="16"/>
        </w:rPr>
      </w:pPr>
    </w:p>
    <w:p w14:paraId="1A257B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середине мая 1945 по донесениям с мест в различных районах Польши, Румынии, Венгрии, Чехословакии и Югославии выявили 73 В-17 разных модификаций. Аппарат американского военного атташе в Москве знал о том, что наши собирают брошенную технику, но получил указание не вмешиваться. Интересно, что по оценкам американцев количество восстановленных советскими ВВС самолетов было более чем вдвое меньше, чем на самом деле. Один практически исправный B-17G, севший в Ясенках (Польша), вернули американцам. Четыре "Крепости" на указанных местах обнаружить не удалось. Остальные имели повреждения различной тяжести. Самолеты бились при посадке, секретное оборудование подрывалось пo инструкции экипажами, кое-что расхищалось местным населением и солдатами. Большинство В-17 находилось на территории Польши, где действовали отряды "Армии Крановой", нападавшие на советские войска (3457,112).</w:t>
      </w:r>
    </w:p>
    <w:p w14:paraId="2B0ECBB9" w14:textId="77777777" w:rsidR="00665165" w:rsidRPr="00925F26" w:rsidRDefault="00665165" w:rsidP="00925F26">
      <w:pPr>
        <w:autoSpaceDE w:val="0"/>
        <w:autoSpaceDN w:val="0"/>
        <w:adjustRightInd w:val="0"/>
        <w:jc w:val="both"/>
        <w:rPr>
          <w:color w:val="000000" w:themeColor="text1"/>
          <w:sz w:val="16"/>
          <w:szCs w:val="16"/>
        </w:rPr>
      </w:pPr>
    </w:p>
    <w:p w14:paraId="71AA2F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середины мая 1945 года на Камчатке приземлились в общей сложности девять "Либерейторов" - все из 404-й эскадрильи. Последним 16 мая 1945 года садился У.Блейк на B-24D с вышедшим из строя мотором. Шесть бомбардировщиков в разное время находились на аэродромах 128-й дивизии. Самолеты, севшие в труднодоступных местах, видимо, не звакуировали. Полностью исправным, за исключением самолета, отправленного в Кратово, являлся только один бомбардировщик, № 42-63782, который забрало себе управление ВВС Дальневосточного фронта. Подробности его эксплуатации там неизвестны. Остальные значатся в списках с пометками: "течь 2-х баков, 1-й и 3 -и мотор аварийные", "неисправен 3-й мотор" и т.п. Впоследствии по крайней мере один "Либерейтор" с Камчатки передали в 45-ю дивизию (3457,117).</w:t>
      </w:r>
    </w:p>
    <w:p w14:paraId="28E4A40A" w14:textId="77777777" w:rsidR="00665165" w:rsidRPr="00925F26" w:rsidRDefault="00665165" w:rsidP="00925F26">
      <w:pPr>
        <w:autoSpaceDE w:val="0"/>
        <w:autoSpaceDN w:val="0"/>
        <w:adjustRightInd w:val="0"/>
        <w:jc w:val="both"/>
        <w:rPr>
          <w:color w:val="000000" w:themeColor="text1"/>
          <w:sz w:val="16"/>
          <w:szCs w:val="16"/>
        </w:rPr>
      </w:pPr>
    </w:p>
    <w:p w14:paraId="6675E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середине мая 1945 года началась массовая перегонка американских истребителей P-47 на север. К 20 июня в 255 полку имелось уже 63 самолета (в том числе два неисправных). Надо сказать, что летчикам 255-го полка нелегко давалось освоение "Тандерболта". Переход с легких и довольно маневренных "Аэрокобр" на тяжеловесные Р-47, по отзывам пилотов, выглядел "как смена торпедного катера на линкор". Местные остряки присвоили истребителю прозвище "Дубовый". Действительно, на нем запретили выполнение практически всех фигур пилотажа - переворотов, петель, бочек, крутого пикирования. Тем не менее, эскадрилья успешно закончила переучивание и обрела боевую готовность. В период службы в 255-м полку "Тандерболты" даже приняли участие в съемках фильма "Остров Безымянный", где изображали немецкие "Фокке-Вульфы". Р-47 эксплуатировались на севере около года, потом их заменили находившимися на консервации "Аэрокобрами" и пустили на слом - раздавили трактором (3457,86).</w:t>
      </w:r>
    </w:p>
    <w:p w14:paraId="5432977E" w14:textId="77777777" w:rsidR="00665165" w:rsidRPr="00925F26" w:rsidRDefault="00665165" w:rsidP="00925F26">
      <w:pPr>
        <w:autoSpaceDE w:val="0"/>
        <w:autoSpaceDN w:val="0"/>
        <w:adjustRightInd w:val="0"/>
        <w:jc w:val="both"/>
        <w:rPr>
          <w:color w:val="000000" w:themeColor="text1"/>
          <w:sz w:val="16"/>
          <w:szCs w:val="16"/>
        </w:rPr>
      </w:pPr>
    </w:p>
    <w:p w14:paraId="33EA9710" w14:textId="77777777" w:rsidR="00665165"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49B215EE" w14:textId="77777777" w:rsidR="00665165" w:rsidRPr="00925F26" w:rsidRDefault="00665165" w:rsidP="00925F26">
      <w:pPr>
        <w:autoSpaceDE w:val="0"/>
        <w:autoSpaceDN w:val="0"/>
        <w:adjustRightInd w:val="0"/>
        <w:jc w:val="both"/>
        <w:rPr>
          <w:iCs/>
          <w:color w:val="000000" w:themeColor="text1"/>
          <w:sz w:val="16"/>
          <w:szCs w:val="16"/>
          <w:lang w:val="en-US"/>
        </w:rPr>
      </w:pPr>
    </w:p>
    <w:p w14:paraId="5000327D"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Mid-May, 1945 - Little Boy is ready for combat use, except for the U-235 core. It is estimated sufficient material will be available by 1 August (1039).</w:t>
      </w:r>
    </w:p>
    <w:p w14:paraId="329DB5E2" w14:textId="77777777" w:rsidR="00665165" w:rsidRPr="00925F26" w:rsidRDefault="00665165" w:rsidP="00925F26">
      <w:pPr>
        <w:autoSpaceDE w:val="0"/>
        <w:autoSpaceDN w:val="0"/>
        <w:adjustRightInd w:val="0"/>
        <w:jc w:val="both"/>
        <w:rPr>
          <w:color w:val="000000" w:themeColor="text1"/>
          <w:sz w:val="16"/>
          <w:szCs w:val="16"/>
          <w:lang w:val="en-US"/>
        </w:rPr>
      </w:pPr>
    </w:p>
    <w:p w14:paraId="67577C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середине мая 1945 урановая бомба Малыш была готова к испытаниям, за исключением У-235, который должен был быть готов к 1 августа (1039).</w:t>
      </w:r>
    </w:p>
    <w:p w14:paraId="224041CB" w14:textId="77777777" w:rsidR="00665165" w:rsidRPr="00925F26" w:rsidRDefault="00665165" w:rsidP="00925F26">
      <w:pPr>
        <w:autoSpaceDE w:val="0"/>
        <w:autoSpaceDN w:val="0"/>
        <w:adjustRightInd w:val="0"/>
        <w:jc w:val="both"/>
        <w:rPr>
          <w:color w:val="000000" w:themeColor="text1"/>
          <w:sz w:val="16"/>
          <w:szCs w:val="16"/>
        </w:rPr>
      </w:pPr>
    </w:p>
    <w:p w14:paraId="1628CE8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68708D3" w14:textId="77777777" w:rsidR="00665165" w:rsidRPr="00925F26" w:rsidRDefault="00665165" w:rsidP="00925F26">
      <w:pPr>
        <w:autoSpaceDE w:val="0"/>
        <w:autoSpaceDN w:val="0"/>
        <w:adjustRightInd w:val="0"/>
        <w:jc w:val="both"/>
        <w:rPr>
          <w:iCs/>
          <w:color w:val="000000" w:themeColor="text1"/>
          <w:sz w:val="16"/>
          <w:szCs w:val="16"/>
        </w:rPr>
      </w:pPr>
    </w:p>
    <w:p w14:paraId="756A57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мая 1945 г. один из первых УИл-10 прибыл в НИИ ВВС, через четыре дня начались его летные испытания. За</w:t>
      </w:r>
      <w:r w:rsidRPr="00925F26">
        <w:rPr>
          <w:color w:val="000000" w:themeColor="text1"/>
          <w:sz w:val="16"/>
          <w:szCs w:val="16"/>
        </w:rPr>
        <w:softHyphen/>
        <w:t>вершили их 7 июня, после выполнения 31 полета. Ведущим инженером и одно</w:t>
      </w:r>
      <w:r w:rsidRPr="00925F26">
        <w:rPr>
          <w:color w:val="000000" w:themeColor="text1"/>
          <w:sz w:val="16"/>
          <w:szCs w:val="16"/>
        </w:rPr>
        <w:softHyphen/>
        <w:t>временно ведущим летчиком был капи</w:t>
      </w:r>
      <w:r w:rsidRPr="00925F26">
        <w:rPr>
          <w:color w:val="000000" w:themeColor="text1"/>
          <w:sz w:val="16"/>
          <w:szCs w:val="16"/>
        </w:rPr>
        <w:softHyphen/>
        <w:t>тан С.Г. Фролов. При полетном весе 5680 кг (вес пусто</w:t>
      </w:r>
      <w:r w:rsidRPr="00925F26">
        <w:rPr>
          <w:color w:val="000000" w:themeColor="text1"/>
          <w:sz w:val="16"/>
          <w:szCs w:val="16"/>
        </w:rPr>
        <w:softHyphen/>
        <w:t>го 4571 кг) УИл-10 показал максималь</w:t>
      </w:r>
      <w:r w:rsidRPr="00925F26">
        <w:rPr>
          <w:color w:val="000000" w:themeColor="text1"/>
          <w:sz w:val="16"/>
          <w:szCs w:val="16"/>
        </w:rPr>
        <w:softHyphen/>
        <w:t>ную скорость полета у земли 502 км/ч, на высоте 2500 м - 560 км/ч. Время на</w:t>
      </w:r>
      <w:r w:rsidRPr="00925F26">
        <w:rPr>
          <w:color w:val="000000" w:themeColor="text1"/>
          <w:sz w:val="16"/>
          <w:szCs w:val="16"/>
        </w:rPr>
        <w:softHyphen/>
        <w:t>бора высоты 1000 м составило 1,5 мин, а 3000 м-4,8 мин. В выводах отчета по испытаниям ука</w:t>
      </w:r>
      <w:r w:rsidRPr="00925F26">
        <w:rPr>
          <w:color w:val="000000" w:themeColor="text1"/>
          <w:sz w:val="16"/>
          <w:szCs w:val="16"/>
        </w:rPr>
        <w:softHyphen/>
        <w:t>зывалось, что по технике пилотирования из передней кабины учебный штурмовик ничем не отличается от Ил-10, а из вто</w:t>
      </w:r>
      <w:r w:rsidRPr="00925F26">
        <w:rPr>
          <w:color w:val="000000" w:themeColor="text1"/>
          <w:sz w:val="16"/>
          <w:szCs w:val="16"/>
        </w:rPr>
        <w:softHyphen/>
        <w:t>рой кабины - от УИл-2. Однако обзор (особенно на посадке) у УИл-10 был ху</w:t>
      </w:r>
      <w:r w:rsidRPr="00925F26">
        <w:rPr>
          <w:color w:val="000000" w:themeColor="text1"/>
          <w:sz w:val="16"/>
          <w:szCs w:val="16"/>
        </w:rPr>
        <w:softHyphen/>
        <w:t>же, чем у боевого варианта. Поспешно оборудованное место инструктора име</w:t>
      </w:r>
      <w:r w:rsidRPr="00925F26">
        <w:rPr>
          <w:color w:val="000000" w:themeColor="text1"/>
          <w:sz w:val="16"/>
          <w:szCs w:val="16"/>
        </w:rPr>
        <w:softHyphen/>
        <w:t>ло много недостатков: «неудобно откры</w:t>
      </w:r>
      <w:r w:rsidRPr="00925F26">
        <w:rPr>
          <w:color w:val="000000" w:themeColor="text1"/>
          <w:sz w:val="16"/>
          <w:szCs w:val="16"/>
        </w:rPr>
        <w:softHyphen/>
        <w:t>вание и закрывание фонаря, нельзя от</w:t>
      </w:r>
      <w:r w:rsidRPr="00925F26">
        <w:rPr>
          <w:color w:val="000000" w:themeColor="text1"/>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roofErr w:type="gramStart"/>
      <w:r w:rsidRPr="00925F26">
        <w:rPr>
          <w:color w:val="000000" w:themeColor="text1"/>
          <w:sz w:val="16"/>
          <w:szCs w:val="16"/>
        </w:rPr>
        <w:t>»</w:t>
      </w:r>
      <w:proofErr w:type="gramEnd"/>
      <w:r w:rsidRPr="00925F26">
        <w:rPr>
          <w:color w:val="000000" w:themeColor="text1"/>
          <w:sz w:val="16"/>
          <w:szCs w:val="16"/>
        </w:rPr>
        <w:t xml:space="preserve">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925F26">
        <w:rPr>
          <w:color w:val="000000" w:themeColor="text1"/>
          <w:sz w:val="16"/>
          <w:szCs w:val="16"/>
        </w:rPr>
        <w:softHyphen/>
        <w:t xml:space="preserve">ны быть </w:t>
      </w:r>
      <w:proofErr w:type="gramStart"/>
      <w:r w:rsidRPr="00925F26">
        <w:rPr>
          <w:color w:val="000000" w:themeColor="text1"/>
          <w:sz w:val="16"/>
          <w:szCs w:val="16"/>
        </w:rPr>
        <w:t>реализованы....</w:t>
      </w:r>
      <w:proofErr w:type="gramEnd"/>
      <w:r w:rsidRPr="00925F26">
        <w:rPr>
          <w:color w:val="000000" w:themeColor="text1"/>
          <w:sz w:val="16"/>
          <w:szCs w:val="16"/>
        </w:rPr>
        <w:t>Учитывая боль</w:t>
      </w:r>
      <w:r w:rsidRPr="00925F26">
        <w:rPr>
          <w:color w:val="000000" w:themeColor="text1"/>
          <w:sz w:val="16"/>
          <w:szCs w:val="16"/>
        </w:rPr>
        <w:softHyphen/>
        <w:t>шую потребность в УИл-10, считать не</w:t>
      </w:r>
      <w:r w:rsidRPr="00925F26">
        <w:rPr>
          <w:color w:val="000000" w:themeColor="text1"/>
          <w:sz w:val="16"/>
          <w:szCs w:val="16"/>
        </w:rPr>
        <w:softHyphen/>
        <w:t xml:space="preserve">обходимым их выпуск </w:t>
      </w:r>
      <w:r w:rsidRPr="00925F26">
        <w:rPr>
          <w:color w:val="000000" w:themeColor="text1"/>
          <w:sz w:val="16"/>
          <w:szCs w:val="16"/>
        </w:rPr>
        <w:lastRenderedPageBreak/>
        <w:t>продолжать, по</w:t>
      </w:r>
      <w:r w:rsidRPr="00925F26">
        <w:rPr>
          <w:color w:val="000000" w:themeColor="text1"/>
          <w:sz w:val="16"/>
          <w:szCs w:val="16"/>
        </w:rPr>
        <w:softHyphen/>
        <w:t>требовав внесения всех изменений и устранения всех недостатков, после чего предъявить самолет на повторные испы</w:t>
      </w:r>
      <w:r w:rsidRPr="00925F26">
        <w:rPr>
          <w:color w:val="000000" w:themeColor="text1"/>
          <w:sz w:val="16"/>
          <w:szCs w:val="16"/>
        </w:rPr>
        <w:softHyphen/>
        <w:t>тания в ГК НИИ ВВС КА...» (10681).</w:t>
      </w:r>
    </w:p>
    <w:p w14:paraId="0BBCE2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83E2E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г. Учебный УИл-10 прибыл в ГК НИИ ВВС КА и 20 мая специалисты института приступили к его испытаниям. Уже 7 июня после выполнения 31 полета с общим налетом 15 часов испытания успешно завершились (7489).</w:t>
      </w:r>
    </w:p>
    <w:p w14:paraId="3481D6F2" w14:textId="77777777" w:rsidR="00665165" w:rsidRPr="00925F26" w:rsidRDefault="00665165" w:rsidP="00925F26">
      <w:pPr>
        <w:autoSpaceDE w:val="0"/>
        <w:autoSpaceDN w:val="0"/>
        <w:adjustRightInd w:val="0"/>
        <w:jc w:val="both"/>
        <w:rPr>
          <w:color w:val="000000" w:themeColor="text1"/>
          <w:sz w:val="16"/>
          <w:szCs w:val="16"/>
        </w:rPr>
      </w:pPr>
    </w:p>
    <w:p w14:paraId="741FDF7F" w14:textId="77777777" w:rsidR="00681972" w:rsidRPr="00925F26" w:rsidRDefault="00681972"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учебный </w:t>
      </w:r>
      <w:hyperlink r:id="rId122" w:tgtFrame="_blank" w:history="1">
        <w:r w:rsidRPr="00925F26">
          <w:rPr>
            <w:color w:val="000000" w:themeColor="text1"/>
            <w:sz w:val="16"/>
            <w:szCs w:val="16"/>
          </w:rPr>
          <w:t xml:space="preserve">«УИл-10» </w:t>
        </w:r>
      </w:hyperlink>
      <w:r w:rsidRPr="00925F26">
        <w:rPr>
          <w:color w:val="000000" w:themeColor="text1"/>
          <w:sz w:val="16"/>
          <w:szCs w:val="16"/>
        </w:rPr>
        <w:t>прибыл в ГК НИИ ВВС КА и 20 мая специалисты института приступили к его испытаниям. Уже 7 июня после выполнения 31 полета с общим налетом 15 часов испытания успешно завершились. Акт по результатам государственных испытаний учебного штурмовика был утвержден командующим ВВС КА главным маршалом А.А.Новиковым 4 июня 1945 года. Учебно-тренировочный вариант штурмовика «Ил-10В» создавался в соответствии с Постановлением ГОКО № 7560 от 21.02.45 года и приказом НКАП № 76 от 26.02.45 года на авиазаводе № 1. Технические требования к самолету «УИл-10» («Ил-10У») утверждены заместителем командующего ВВС КА маршалом Ф.Я.Фалалеевым 21 апреля 1945 года (14893).</w:t>
      </w:r>
    </w:p>
    <w:p w14:paraId="05CE0653" w14:textId="77777777" w:rsidR="00681972" w:rsidRPr="00925F26" w:rsidRDefault="00681972" w:rsidP="00925F26">
      <w:pPr>
        <w:jc w:val="both"/>
        <w:rPr>
          <w:color w:val="000000" w:themeColor="text1"/>
          <w:sz w:val="16"/>
          <w:szCs w:val="16"/>
        </w:rPr>
      </w:pPr>
    </w:p>
    <w:p w14:paraId="4BD542F1" w14:textId="77777777" w:rsidR="00752607" w:rsidRPr="00925F26" w:rsidRDefault="00752607" w:rsidP="00925F26">
      <w:pPr>
        <w:jc w:val="both"/>
        <w:rPr>
          <w:color w:val="000000" w:themeColor="text1"/>
          <w:sz w:val="16"/>
          <w:szCs w:val="16"/>
        </w:rPr>
      </w:pPr>
      <w:r w:rsidRPr="00925F26">
        <w:rPr>
          <w:rStyle w:val="107"/>
          <w:rFonts w:eastAsiaTheme="minorHAnsi"/>
          <w:color w:val="000000" w:themeColor="text1"/>
          <w:sz w:val="16"/>
          <w:szCs w:val="16"/>
        </w:rPr>
        <w:t>16 мая 1945 года один из первых УИл-10 (зав. № 106085) прибыл в НИИ ВВС. Спустя 10 дней начались его летные испытания. Завершили их 7 июня, после выполнения 31 полета (суммарный налет 15 ч).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4F75F882" w14:textId="77777777" w:rsidR="00752607" w:rsidRPr="00925F26" w:rsidRDefault="00752607" w:rsidP="00925F26">
      <w:pPr>
        <w:jc w:val="both"/>
        <w:rPr>
          <w:color w:val="000000" w:themeColor="text1"/>
          <w:sz w:val="16"/>
          <w:szCs w:val="16"/>
        </w:rPr>
      </w:pPr>
      <w:r w:rsidRPr="00925F26">
        <w:rPr>
          <w:rStyle w:val="107"/>
          <w:rFonts w:eastAsiaTheme="minorHAnsi"/>
          <w:color w:val="000000" w:themeColor="text1"/>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7BCB6EB6" w14:textId="77777777" w:rsidR="00752607" w:rsidRPr="00925F26" w:rsidRDefault="00752607" w:rsidP="00925F26">
      <w:pPr>
        <w:jc w:val="both"/>
        <w:rPr>
          <w:color w:val="000000" w:themeColor="text1"/>
          <w:sz w:val="16"/>
          <w:szCs w:val="16"/>
        </w:rPr>
      </w:pPr>
      <w:r w:rsidRPr="00925F26">
        <w:rPr>
          <w:rStyle w:val="107"/>
          <w:rFonts w:eastAsiaTheme="minorHAnsi"/>
          <w:color w:val="000000" w:themeColor="text1"/>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46633401" w14:textId="77777777" w:rsidR="00752607" w:rsidRPr="00925F26" w:rsidRDefault="00752607" w:rsidP="00925F26">
      <w:pPr>
        <w:jc w:val="both"/>
        <w:rPr>
          <w:color w:val="000000" w:themeColor="text1"/>
          <w:sz w:val="16"/>
          <w:szCs w:val="16"/>
        </w:rPr>
      </w:pPr>
      <w:r w:rsidRPr="00925F26">
        <w:rPr>
          <w:rStyle w:val="107"/>
          <w:rFonts w:eastAsiaTheme="minorHAnsi"/>
          <w:color w:val="000000" w:themeColor="text1"/>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66CED5D0" w14:textId="77777777" w:rsidR="00752607" w:rsidRPr="00925F26" w:rsidRDefault="00752607" w:rsidP="00925F26">
      <w:pPr>
        <w:jc w:val="both"/>
        <w:rPr>
          <w:color w:val="000000" w:themeColor="text1"/>
          <w:sz w:val="16"/>
          <w:szCs w:val="16"/>
        </w:rPr>
      </w:pPr>
      <w:r w:rsidRPr="00925F26">
        <w:rPr>
          <w:rStyle w:val="107"/>
          <w:rFonts w:eastAsiaTheme="minorHAnsi"/>
          <w:color w:val="000000" w:themeColor="text1"/>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27ED8965" w14:textId="77777777" w:rsidR="00752607" w:rsidRPr="00925F26" w:rsidRDefault="00752607" w:rsidP="00925F26">
      <w:pPr>
        <w:jc w:val="both"/>
        <w:rPr>
          <w:color w:val="000000" w:themeColor="text1"/>
          <w:sz w:val="16"/>
          <w:szCs w:val="16"/>
        </w:rPr>
      </w:pPr>
      <w:r w:rsidRPr="00925F26">
        <w:rPr>
          <w:rStyle w:val="107"/>
          <w:rFonts w:eastAsiaTheme="minorHAnsi"/>
          <w:color w:val="000000" w:themeColor="text1"/>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 (17490).</w:t>
      </w:r>
    </w:p>
    <w:p w14:paraId="5EBCB2B1" w14:textId="77777777" w:rsidR="00752607" w:rsidRPr="00925F26" w:rsidRDefault="00752607" w:rsidP="00925F26">
      <w:pPr>
        <w:jc w:val="both"/>
        <w:rPr>
          <w:rStyle w:val="107"/>
          <w:rFonts w:eastAsiaTheme="minorHAnsi"/>
          <w:color w:val="000000" w:themeColor="text1"/>
          <w:sz w:val="16"/>
          <w:szCs w:val="16"/>
        </w:rPr>
      </w:pPr>
    </w:p>
    <w:p w14:paraId="082029B0" w14:textId="77777777" w:rsidR="00681972" w:rsidRPr="00925F26" w:rsidRDefault="00681972"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завершились государственные испытания прототипа </w:t>
      </w:r>
      <w:hyperlink r:id="rId123" w:tgtFrame="_blank" w:history="1">
        <w:r w:rsidRPr="00925F26">
          <w:rPr>
            <w:color w:val="000000" w:themeColor="text1"/>
            <w:sz w:val="16"/>
            <w:szCs w:val="16"/>
          </w:rPr>
          <w:t xml:space="preserve">«63-2» </w:t>
        </w:r>
      </w:hyperlink>
      <w:r w:rsidRPr="00925F26">
        <w:rPr>
          <w:color w:val="000000" w:themeColor="text1"/>
          <w:sz w:val="16"/>
          <w:szCs w:val="16"/>
        </w:rPr>
        <w:t>скоростного дневного бомбардировщика ОКБ Туполева «СДБ». В отчете отмечалось, что машина по своим летным данным значительно превосходит однотипные отечественные и зарубежные самолеты, в том числе и "Москито". Был отмечен и ряд дефектов, наиболее серьезным из которых признали недостаточный обзор штурмана. Самолет не был рекомендован в серию, так как уже начинались испытания машины "68" («Ту-10»), от которой ждали еще более высоких характеристик (14893).</w:t>
      </w:r>
    </w:p>
    <w:p w14:paraId="54EC024E" w14:textId="77777777" w:rsidR="00681972" w:rsidRPr="00925F26" w:rsidRDefault="00681972" w:rsidP="00925F26">
      <w:pPr>
        <w:jc w:val="both"/>
        <w:rPr>
          <w:color w:val="000000" w:themeColor="text1"/>
          <w:sz w:val="16"/>
          <w:szCs w:val="16"/>
        </w:rPr>
      </w:pPr>
    </w:p>
    <w:p w14:paraId="7D213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закончились гос. испытания СДБ А.Н.Т. 63/2, которые проходили с 5 апреля 1945. Макс. скорость достигла 640 км/час и в заключении отмечалось, что удалось создать однотипную с Москито машину с лучшими ЛТД. Однако, в серию рекомендован не был из-за плохого обзора штурмана. В 1946 переделали в опытный истребитель-перехватчик 63П (1835,57).</w:t>
      </w:r>
    </w:p>
    <w:p w14:paraId="7EE573AA" w14:textId="77777777" w:rsidR="00665165" w:rsidRPr="00925F26" w:rsidRDefault="00665165" w:rsidP="00925F26">
      <w:pPr>
        <w:autoSpaceDE w:val="0"/>
        <w:autoSpaceDN w:val="0"/>
        <w:adjustRightInd w:val="0"/>
        <w:jc w:val="both"/>
        <w:rPr>
          <w:color w:val="000000" w:themeColor="text1"/>
          <w:sz w:val="16"/>
          <w:szCs w:val="16"/>
        </w:rPr>
      </w:pPr>
    </w:p>
    <w:p w14:paraId="439340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года первый серийный самолет Як-3 ВК-107А завода №292, вооруженный тремя пушками Б-20 и выпущенный на аэродром 30 апреля, впервые поднялся в воздух. В мае на ней планировалась отработка топливной и масляной систем двигателя, отстрел вооружения и испытания в воздухе. До конца мая на самолете выполнили три полета, показав максимальную скорость у земли 594 км/ч и 707 км/ч - на второй границы высотности.</w:t>
      </w:r>
    </w:p>
    <w:p w14:paraId="031EAF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4B4E90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00C39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0FF6AC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05457E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624FE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644B4C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37C0BF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78817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194C9798" w14:textId="77777777" w:rsidR="00665165" w:rsidRPr="00925F26" w:rsidRDefault="00665165" w:rsidP="00925F26">
      <w:pPr>
        <w:autoSpaceDE w:val="0"/>
        <w:autoSpaceDN w:val="0"/>
        <w:adjustRightInd w:val="0"/>
        <w:jc w:val="both"/>
        <w:rPr>
          <w:color w:val="000000" w:themeColor="text1"/>
          <w:sz w:val="16"/>
          <w:szCs w:val="16"/>
        </w:rPr>
      </w:pPr>
    </w:p>
    <w:p w14:paraId="2A606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8592 О мероприятиях по обеспечению сплава авиафанерной березы и авиационной сосны в навигацию 1945 г. РГАНИР, Фонд ГКО, д. 417, лл. 42-45, 46-86 (11012).</w:t>
      </w:r>
    </w:p>
    <w:p w14:paraId="4FBB3D31" w14:textId="77777777" w:rsidR="00665165" w:rsidRPr="00925F26" w:rsidRDefault="00665165" w:rsidP="00925F26">
      <w:pPr>
        <w:autoSpaceDE w:val="0"/>
        <w:autoSpaceDN w:val="0"/>
        <w:adjustRightInd w:val="0"/>
        <w:jc w:val="both"/>
        <w:rPr>
          <w:color w:val="000000" w:themeColor="text1"/>
          <w:sz w:val="16"/>
          <w:szCs w:val="16"/>
        </w:rPr>
      </w:pPr>
    </w:p>
    <w:p w14:paraId="5D2772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8596 О вывозе оборудования и материалов с заводов в районе г. Вена на предприятия Наркомавиапрома. РГАНИР, Фонд ГКО, д. 417, лл. 97-99 (11012).</w:t>
      </w:r>
    </w:p>
    <w:p w14:paraId="4D6AAD9B" w14:textId="77777777" w:rsidR="00665165" w:rsidRPr="00925F26" w:rsidRDefault="00665165" w:rsidP="00925F26">
      <w:pPr>
        <w:autoSpaceDE w:val="0"/>
        <w:autoSpaceDN w:val="0"/>
        <w:adjustRightInd w:val="0"/>
        <w:jc w:val="both"/>
        <w:rPr>
          <w:color w:val="000000" w:themeColor="text1"/>
          <w:sz w:val="16"/>
          <w:szCs w:val="16"/>
        </w:rPr>
      </w:pPr>
    </w:p>
    <w:p w14:paraId="1092FC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года Решением ГОКО № 8596 заводу № 283 НКАП передавалось 250 единиц оборудования с немецкого завода “Отто-Лернер” и его филиала в Вене (9487).</w:t>
      </w:r>
    </w:p>
    <w:p w14:paraId="71EB0217" w14:textId="77777777" w:rsidR="00665165" w:rsidRPr="00925F26" w:rsidRDefault="00665165" w:rsidP="00925F26">
      <w:pPr>
        <w:autoSpaceDE w:val="0"/>
        <w:autoSpaceDN w:val="0"/>
        <w:adjustRightInd w:val="0"/>
        <w:jc w:val="both"/>
        <w:rPr>
          <w:color w:val="000000" w:themeColor="text1"/>
          <w:sz w:val="16"/>
          <w:szCs w:val="16"/>
        </w:rPr>
      </w:pPr>
    </w:p>
    <w:p w14:paraId="5FBC2F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8612 О вывозе оборудования по производству авиационных бомб с завода "Карл Грау" в г. Фридрихсхаген. РГАНИР, Фонд ГКО, д. 417, лл. 128 (11012).</w:t>
      </w:r>
    </w:p>
    <w:p w14:paraId="517376C8" w14:textId="77777777" w:rsidR="00665165" w:rsidRPr="00925F26" w:rsidRDefault="00665165" w:rsidP="00925F26">
      <w:pPr>
        <w:autoSpaceDE w:val="0"/>
        <w:autoSpaceDN w:val="0"/>
        <w:adjustRightInd w:val="0"/>
        <w:jc w:val="both"/>
        <w:rPr>
          <w:color w:val="000000" w:themeColor="text1"/>
          <w:sz w:val="16"/>
          <w:szCs w:val="16"/>
        </w:rPr>
      </w:pPr>
    </w:p>
    <w:p w14:paraId="55A0B3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8646 О вывозе оборудования по производству узлов к снарядам ФАУ-2 с завода "Варкиц верке", расположенного в лесу, севернее Кривитц. РГАНИР, Фонд ГКО, д. 418, лл. 1-2 (11012).</w:t>
      </w:r>
    </w:p>
    <w:p w14:paraId="112123FE" w14:textId="77777777" w:rsidR="00665165" w:rsidRPr="00925F26" w:rsidRDefault="00665165" w:rsidP="00925F26">
      <w:pPr>
        <w:autoSpaceDE w:val="0"/>
        <w:autoSpaceDN w:val="0"/>
        <w:adjustRightInd w:val="0"/>
        <w:jc w:val="both"/>
        <w:rPr>
          <w:color w:val="000000" w:themeColor="text1"/>
          <w:sz w:val="16"/>
          <w:szCs w:val="16"/>
        </w:rPr>
      </w:pPr>
    </w:p>
    <w:p w14:paraId="3F6E80AB" w14:textId="77777777" w:rsidR="00665165" w:rsidRPr="00925F26" w:rsidRDefault="00665165" w:rsidP="00925F26">
      <w:pPr>
        <w:jc w:val="both"/>
        <w:rPr>
          <w:color w:val="000000" w:themeColor="text1"/>
          <w:sz w:val="16"/>
          <w:szCs w:val="16"/>
        </w:rPr>
      </w:pPr>
      <w:r w:rsidRPr="00925F26">
        <w:rPr>
          <w:color w:val="000000" w:themeColor="text1"/>
          <w:sz w:val="16"/>
          <w:szCs w:val="16"/>
        </w:rPr>
        <w:t>16 мая 1945 г. вышло:</w:t>
      </w:r>
    </w:p>
    <w:p w14:paraId="0D4AFF35" w14:textId="77777777" w:rsidR="00665165" w:rsidRPr="00925F26" w:rsidRDefault="00665165" w:rsidP="00925F26">
      <w:pPr>
        <w:jc w:val="both"/>
        <w:rPr>
          <w:color w:val="000000" w:themeColor="text1"/>
          <w:sz w:val="16"/>
          <w:szCs w:val="16"/>
        </w:rPr>
      </w:pPr>
      <w:r w:rsidRPr="00925F26">
        <w:rPr>
          <w:color w:val="000000" w:themeColor="text1"/>
          <w:sz w:val="16"/>
          <w:szCs w:val="16"/>
        </w:rPr>
        <w:t>ПОСТАНОВЛЕНИЕ ГОСУДАРСТВЕННОГО КОМИТЕТА ОБОРОНЫ № 8646сс</w:t>
      </w:r>
    </w:p>
    <w:p w14:paraId="112D5AFD" w14:textId="77777777" w:rsidR="00665165" w:rsidRPr="00925F26" w:rsidRDefault="00665165" w:rsidP="00925F26">
      <w:pPr>
        <w:jc w:val="both"/>
        <w:rPr>
          <w:color w:val="000000" w:themeColor="text1"/>
          <w:sz w:val="16"/>
          <w:szCs w:val="16"/>
        </w:rPr>
      </w:pPr>
      <w:r w:rsidRPr="00925F26">
        <w:rPr>
          <w:color w:val="000000" w:themeColor="text1"/>
          <w:sz w:val="16"/>
          <w:szCs w:val="16"/>
        </w:rPr>
        <w:t xml:space="preserve">О вывозе оборудования по производству узлов к снарядам ФАУ-2 с завода "Варкиц веерке", расположенного в лесу, севере Кривитц. </w:t>
      </w:r>
    </w:p>
    <w:p w14:paraId="140861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208C3B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Обязать Наркомбоеприпасов (т. Ванникова) вывезти на завод № 77 Наркомбоеприпасов в г. Ленинград с завода "Варкиц веерке", расположенного в лесу в одном километре севернее Кривитц, оборудование по производству узлов снарядов ФАУ-2 в количестве 45 металлообрабатывающих станков.</w:t>
      </w:r>
    </w:p>
    <w:p w14:paraId="3ED73E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Утвердить ответственным руководителем работ по демонтажу и вывозу оборудования завода "Варкиц веерке" главного инженера завода № 110 Наркомбоеприпасов т. Антонова В. С.</w:t>
      </w:r>
    </w:p>
    <w:p w14:paraId="628051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Тов. Ванникову командировать в распоряжение т. Антонова, для технического руководства демонтажем и погрузкой оборудования, 2 инженерно-технических работника.</w:t>
      </w:r>
    </w:p>
    <w:p w14:paraId="6FB7DC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Обязать Главное трофейное управление Красной Армии (т. Вахитова) приступить к демонтажу оборудования, указанного в пункте 1 настоящего постановления, не позднее 25 мая 1945 г. И закончить отгрузку его к 15 июня 1945 года, выделив для этой цели необходимое количество рабочей силы.</w:t>
      </w:r>
    </w:p>
    <w:p w14:paraId="7B82E1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 И. СТАЛИН (11813).</w:t>
      </w:r>
    </w:p>
    <w:p w14:paraId="67065E22" w14:textId="77777777" w:rsidR="00BB0525" w:rsidRPr="00925F26" w:rsidRDefault="00BB0525" w:rsidP="00925F26">
      <w:pPr>
        <w:autoSpaceDE w:val="0"/>
        <w:autoSpaceDN w:val="0"/>
        <w:adjustRightInd w:val="0"/>
        <w:jc w:val="both"/>
        <w:rPr>
          <w:iCs/>
          <w:color w:val="000000" w:themeColor="text1"/>
          <w:sz w:val="16"/>
          <w:szCs w:val="16"/>
        </w:rPr>
      </w:pPr>
    </w:p>
    <w:p w14:paraId="7A561AE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4525CD1" w14:textId="77777777" w:rsidR="00665165" w:rsidRPr="00925F26" w:rsidRDefault="00665165" w:rsidP="00925F26">
      <w:pPr>
        <w:autoSpaceDE w:val="0"/>
        <w:autoSpaceDN w:val="0"/>
        <w:adjustRightInd w:val="0"/>
        <w:jc w:val="both"/>
        <w:rPr>
          <w:iCs/>
          <w:color w:val="000000" w:themeColor="text1"/>
          <w:sz w:val="16"/>
          <w:szCs w:val="16"/>
        </w:rPr>
      </w:pPr>
    </w:p>
    <w:p w14:paraId="76BF9C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мая 1945 г. вышел Приказ НКВД СССР № 00539 «О вывозе специального оборудования и материалов из Германии для лаборатории № 2 Академии наук и Спецметуправления НКВД СССР»</w:t>
      </w:r>
    </w:p>
    <w:p w14:paraId="2FE603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Совершенно секретно</w:t>
      </w:r>
    </w:p>
    <w:p w14:paraId="2624E2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Государственного Комитета Обороны о вывозе специального оборудования из Германии для лаборатории № 2 Академии наук и Спецметуправления НКВД СССР приказываю:</w:t>
      </w:r>
    </w:p>
    <w:p w14:paraId="70221F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Демонтировать и вывезти для лаборатории № 2 Академии наук и Спецметуправления НКВД СССР:</w:t>
      </w:r>
    </w:p>
    <w:p w14:paraId="6811BD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оборудование, материалы и библиотеку института им. Кайзера Виль</w:t>
      </w:r>
      <w:r w:rsidRPr="00925F26">
        <w:rPr>
          <w:color w:val="000000" w:themeColor="text1"/>
          <w:sz w:val="16"/>
          <w:szCs w:val="16"/>
        </w:rPr>
        <w:softHyphen/>
        <w:t>гельма в Берлине;</w:t>
      </w:r>
    </w:p>
    <w:p w14:paraId="0B90BF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оборудование и другое имущество лаборатории фон Арденне в Берли</w:t>
      </w:r>
      <w:r w:rsidRPr="00925F26">
        <w:rPr>
          <w:color w:val="000000" w:themeColor="text1"/>
          <w:sz w:val="16"/>
          <w:szCs w:val="16"/>
        </w:rPr>
        <w:softHyphen/>
        <w:t>не;</w:t>
      </w:r>
    </w:p>
    <w:p w14:paraId="4B20B2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 оборудование и имущество лаборатории профессора Герца в Бер</w:t>
      </w:r>
      <w:r w:rsidRPr="00925F26">
        <w:rPr>
          <w:color w:val="000000" w:themeColor="text1"/>
          <w:sz w:val="16"/>
          <w:szCs w:val="16"/>
        </w:rPr>
        <w:softHyphen/>
        <w:t>лине;</w:t>
      </w:r>
    </w:p>
    <w:p w14:paraId="407B47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оборудование, библиотеку и материалы Берлинского института по ядерной физике министерства связи;</w:t>
      </w:r>
    </w:p>
    <w:p w14:paraId="5469DA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Берлинский завод «Ауэр» по получению металлического порошка урана и завод из района Райнсберг-Цехлин по переплавке металлического порошка урана в монолитный металл;</w:t>
      </w:r>
    </w:p>
    <w:p w14:paraId="7BE71F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циклотронную лабораторию концерна «Сименс»;</w:t>
      </w:r>
    </w:p>
    <w:p w14:paraId="6C9DE5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физическую лабораторию научно-исследовательского отдела Управ</w:t>
      </w:r>
      <w:r w:rsidRPr="00925F26">
        <w:rPr>
          <w:color w:val="000000" w:themeColor="text1"/>
          <w:sz w:val="16"/>
          <w:szCs w:val="16"/>
        </w:rPr>
        <w:softHyphen/>
        <w:t>ления вооружения армии в Готтове</w:t>
      </w:r>
      <w:r w:rsidRPr="00925F26">
        <w:rPr>
          <w:color w:val="000000" w:themeColor="text1"/>
          <w:sz w:val="16"/>
          <w:szCs w:val="16"/>
          <w:vertAlign w:val="superscript"/>
        </w:rPr>
        <w:t>1</w:t>
      </w:r>
      <w:r w:rsidRPr="00925F26">
        <w:rPr>
          <w:color w:val="000000" w:themeColor="text1"/>
          <w:sz w:val="16"/>
          <w:szCs w:val="16"/>
        </w:rPr>
        <w:t>;</w:t>
      </w:r>
    </w:p>
    <w:p w14:paraId="006BBC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специальные и строительные материалы.</w:t>
      </w:r>
    </w:p>
    <w:p w14:paraId="401B92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Организацию работ по демонтажу и отгрузке оборудования и материа</w:t>
      </w:r>
      <w:r w:rsidRPr="00925F26">
        <w:rPr>
          <w:color w:val="000000" w:themeColor="text1"/>
          <w:sz w:val="16"/>
          <w:szCs w:val="16"/>
        </w:rPr>
        <w:softHyphen/>
        <w:t>лов, перечисленных в п. 1 учреждений и предприятий, возложить на товари</w:t>
      </w:r>
      <w:r w:rsidRPr="00925F26">
        <w:rPr>
          <w:color w:val="000000" w:themeColor="text1"/>
          <w:sz w:val="16"/>
          <w:szCs w:val="16"/>
        </w:rPr>
        <w:softHyphen/>
        <w:t>щей Завенягина и Махнева, которым немедленно выехать в Берлин.</w:t>
      </w:r>
    </w:p>
    <w:p w14:paraId="7CD011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Товарищам Завенягину, Сафразьяну, начальнику лаборатории № 2 Академии наук тов. Курчатову командировать в Берлин для непосредствен</w:t>
      </w:r>
      <w:r w:rsidRPr="00925F26">
        <w:rPr>
          <w:color w:val="000000" w:themeColor="text1"/>
          <w:sz w:val="16"/>
          <w:szCs w:val="16"/>
        </w:rPr>
        <w:softHyphen/>
        <w:t>ного руководства работами по демонтажу начальника Спецметуправления НКВД комиссара госбезопасности тов. Егорова, директора Инспецмета НКВД СССР инженер-полковника тов. Шевченко, генерал-майора инже</w:t>
      </w:r>
      <w:r w:rsidRPr="00925F26">
        <w:rPr>
          <w:color w:val="000000" w:themeColor="text1"/>
          <w:sz w:val="16"/>
          <w:szCs w:val="16"/>
        </w:rPr>
        <w:softHyphen/>
        <w:t>нерно-технической службы тов. Кнорре.</w:t>
      </w:r>
    </w:p>
    <w:p w14:paraId="554291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Товарищам Завенягину, Махневу обеспечить полную сохранность и строгий учет оборудования при демонтаже и отгрузке в СССР учреждений и предприятий.</w:t>
      </w:r>
    </w:p>
    <w:p w14:paraId="75E441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Заместителю народного комиссара внутренних дел тов. Серову ока</w:t>
      </w:r>
      <w:r w:rsidRPr="00925F26">
        <w:rPr>
          <w:color w:val="000000" w:themeColor="text1"/>
          <w:sz w:val="16"/>
          <w:szCs w:val="16"/>
        </w:rPr>
        <w:softHyphen/>
        <w:t>зать содействие в выполнении мероприятий, предусмотренных настоящим приказом, и обеспечить строгую охрану демонтируемых учреждений и пред</w:t>
      </w:r>
      <w:r w:rsidRPr="00925F26">
        <w:rPr>
          <w:color w:val="000000" w:themeColor="text1"/>
          <w:sz w:val="16"/>
          <w:szCs w:val="16"/>
        </w:rPr>
        <w:softHyphen/>
        <w:t>приятий, оборудования и материалов.</w:t>
      </w:r>
    </w:p>
    <w:p w14:paraId="50B2C6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Товарищам Завенягину и Махневу о ходе работ регулярно доносить в НКВД СССР.</w:t>
      </w:r>
    </w:p>
    <w:p w14:paraId="757579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Народный комиссар внутренних дел Союза ССР</w:t>
      </w:r>
    </w:p>
    <w:p w14:paraId="36BD90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 Берия</w:t>
      </w:r>
    </w:p>
    <w:p w14:paraId="217040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Резолюция</w:t>
      </w:r>
      <w:proofErr w:type="gramStart"/>
      <w:r w:rsidRPr="00925F26">
        <w:rPr>
          <w:color w:val="000000" w:themeColor="text1"/>
          <w:sz w:val="16"/>
          <w:szCs w:val="16"/>
        </w:rPr>
        <w:t>: Никому</w:t>
      </w:r>
      <w:proofErr w:type="gramEnd"/>
      <w:r w:rsidRPr="00925F26">
        <w:rPr>
          <w:color w:val="000000" w:themeColor="text1"/>
          <w:sz w:val="16"/>
          <w:szCs w:val="16"/>
        </w:rPr>
        <w:t xml:space="preserve"> не рассылать. Л. Берия. 1 в/У.45. Помета: В. Махнев, Сафразъян, тт. Егор[ов], Шевченко и Кнорре озна</w:t>
      </w:r>
      <w:r w:rsidRPr="00925F26">
        <w:rPr>
          <w:color w:val="000000" w:themeColor="text1"/>
          <w:sz w:val="16"/>
          <w:szCs w:val="16"/>
        </w:rPr>
        <w:softHyphen/>
        <w:t>комлены.</w:t>
      </w:r>
    </w:p>
    <w:p w14:paraId="6A6F30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 РФ. Ф. Р-9401. Оп. 2. Д. 5. Л. 349-350. Подлинник.</w:t>
      </w:r>
    </w:p>
    <w:p w14:paraId="46B0FD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Опубл.: Атомный проект в СССР: Док. и матер. Т. 1. Ч. 2. С. 309 - 310 (11419).</w:t>
      </w:r>
    </w:p>
    <w:p w14:paraId="0EE798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5BF73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Распоряжение ГКО № 8585. Об увеличении перевозки мазута из Баку в Астрахань до 160 тыс. т. РГАНИР, Фонд ГКО, д. 417, лл. 1 (11012).</w:t>
      </w:r>
    </w:p>
    <w:p w14:paraId="7CCC0D9E" w14:textId="77777777" w:rsidR="00665165" w:rsidRPr="00925F26" w:rsidRDefault="00665165" w:rsidP="00925F26">
      <w:pPr>
        <w:autoSpaceDE w:val="0"/>
        <w:autoSpaceDN w:val="0"/>
        <w:adjustRightInd w:val="0"/>
        <w:jc w:val="both"/>
        <w:rPr>
          <w:color w:val="000000" w:themeColor="text1"/>
          <w:sz w:val="16"/>
          <w:szCs w:val="16"/>
        </w:rPr>
      </w:pPr>
    </w:p>
    <w:p w14:paraId="3B3352A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вышло Распоряжение ГКО № 8586 [О мерах по обеспечению стройматериалами строек и предприятий НКЧМ, НКЦМ, НКЭС, НКПС, НКУП и НКНП.] (7341, 2-3,4-14).</w:t>
      </w:r>
    </w:p>
    <w:p w14:paraId="3AF7561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AEA6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8587 О проведении работ по расчистке судовых ходов и восстановлению гидротехнических сооружений на р.р. Одер, Висла и каналах Восточной Пруссии. РГАНИР, Фонд ГКО, д. 417, лл. 15-17 (11012).</w:t>
      </w:r>
    </w:p>
    <w:p w14:paraId="703FA08F" w14:textId="77777777" w:rsidR="00665165" w:rsidRPr="00925F26" w:rsidRDefault="00665165" w:rsidP="00925F26">
      <w:pPr>
        <w:autoSpaceDE w:val="0"/>
        <w:autoSpaceDN w:val="0"/>
        <w:adjustRightInd w:val="0"/>
        <w:jc w:val="both"/>
        <w:rPr>
          <w:color w:val="000000" w:themeColor="text1"/>
          <w:sz w:val="16"/>
          <w:szCs w:val="16"/>
        </w:rPr>
      </w:pPr>
    </w:p>
    <w:p w14:paraId="53FF907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8588 О создании запасов угля на железных дорогах к зиме 1945-1946 гг. (7341, 18-19,20).</w:t>
      </w:r>
    </w:p>
    <w:p w14:paraId="0E565BF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21386D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8589 О материально-техническом обеспечении строительства железнодорожной линии Кировабад - Дашкесан. (7341, 21-24,25-28).</w:t>
      </w:r>
    </w:p>
    <w:p w14:paraId="6229046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A9BC2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8590 О мероприятиях по строительству Орского и Красноводского импортных нефтеперерабатывающих заводов. РГАНИР, Фонд ГКО, д. 417, лл. 29-31, 32-33 (11012).</w:t>
      </w:r>
    </w:p>
    <w:p w14:paraId="247CFBF3" w14:textId="77777777" w:rsidR="00665165" w:rsidRPr="00925F26" w:rsidRDefault="00665165" w:rsidP="00925F26">
      <w:pPr>
        <w:autoSpaceDE w:val="0"/>
        <w:autoSpaceDN w:val="0"/>
        <w:adjustRightInd w:val="0"/>
        <w:jc w:val="both"/>
        <w:rPr>
          <w:color w:val="000000" w:themeColor="text1"/>
          <w:sz w:val="16"/>
          <w:szCs w:val="16"/>
        </w:rPr>
      </w:pPr>
    </w:p>
    <w:p w14:paraId="69DA64A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8591 О мероприятиях по обеспечению строительства железнодорожной линии к месторождению коксующихся углей Хальмер-Ю Северо-Печорской ж.д. (7341, 34-37,38-41).</w:t>
      </w:r>
    </w:p>
    <w:p w14:paraId="7A54508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FA240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8593 О вывозе 19 турбогенераторов общей мощностью 299 тысяч киловатт и 34 котлов с немецких электростанций в районе городов Дрезден и Шеттин, провода и изоляторов с линии электропередачи Вена-Силезия и другого оборудования на предприятия Наркомата электростанций. РГАНИР, Фонд ГКО, д. 417, лл. 87-90 (11012).</w:t>
      </w:r>
    </w:p>
    <w:p w14:paraId="5E92740D" w14:textId="77777777" w:rsidR="00665165" w:rsidRPr="00925F26" w:rsidRDefault="00665165" w:rsidP="00925F26">
      <w:pPr>
        <w:autoSpaceDE w:val="0"/>
        <w:autoSpaceDN w:val="0"/>
        <w:adjustRightInd w:val="0"/>
        <w:jc w:val="both"/>
        <w:rPr>
          <w:color w:val="000000" w:themeColor="text1"/>
          <w:sz w:val="16"/>
          <w:szCs w:val="16"/>
        </w:rPr>
      </w:pPr>
    </w:p>
    <w:p w14:paraId="337AF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8594 О вывозе 23 турбогенераторов мощностью 588 тысяч киловатт и 35 котлов с электростанций г. Берлин. РГАНИР, Фонд ГКО, д. 417, лл. 91-94 (11012).</w:t>
      </w:r>
    </w:p>
    <w:p w14:paraId="106E1ED7" w14:textId="77777777" w:rsidR="00665165" w:rsidRPr="00925F26" w:rsidRDefault="00665165" w:rsidP="00925F26">
      <w:pPr>
        <w:autoSpaceDE w:val="0"/>
        <w:autoSpaceDN w:val="0"/>
        <w:adjustRightInd w:val="0"/>
        <w:jc w:val="both"/>
        <w:rPr>
          <w:color w:val="000000" w:themeColor="text1"/>
          <w:sz w:val="16"/>
          <w:szCs w:val="16"/>
        </w:rPr>
      </w:pPr>
    </w:p>
    <w:p w14:paraId="6BA1C8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8595 О вывозе оборудования и материалов с немецких заводов в районе г. Берлин на предприятия Наркомавиапрома. РГАНИР, Фонд ГКО, д. 417, лл. 95-96 (11012).</w:t>
      </w:r>
    </w:p>
    <w:p w14:paraId="389082B5" w14:textId="77777777" w:rsidR="00665165" w:rsidRPr="00925F26" w:rsidRDefault="00665165" w:rsidP="00925F26">
      <w:pPr>
        <w:autoSpaceDE w:val="0"/>
        <w:autoSpaceDN w:val="0"/>
        <w:adjustRightInd w:val="0"/>
        <w:jc w:val="both"/>
        <w:rPr>
          <w:color w:val="000000" w:themeColor="text1"/>
          <w:sz w:val="16"/>
          <w:szCs w:val="16"/>
        </w:rPr>
      </w:pPr>
    </w:p>
    <w:p w14:paraId="1AF33B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16 мая 1945 вышло Постановление ГКО № 8597 О вывозе оборудования с немецких машиностроительных заводов, расположенных в г. Берлин и его районах. РГАНИР, Фонд ГКО, д. 417, лл. 100-101 (11012).</w:t>
      </w:r>
    </w:p>
    <w:p w14:paraId="003A1272" w14:textId="77777777" w:rsidR="00665165" w:rsidRPr="00925F26" w:rsidRDefault="00665165" w:rsidP="00925F26">
      <w:pPr>
        <w:autoSpaceDE w:val="0"/>
        <w:autoSpaceDN w:val="0"/>
        <w:adjustRightInd w:val="0"/>
        <w:jc w:val="both"/>
        <w:rPr>
          <w:color w:val="000000" w:themeColor="text1"/>
          <w:sz w:val="16"/>
          <w:szCs w:val="16"/>
        </w:rPr>
      </w:pPr>
    </w:p>
    <w:p w14:paraId="4EE24B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8598 О вывозе оборудования с немецких станкостроительных заводов фирм "Людвиг Леве", "Кара Хассе Вреде" и станкостроительного завода "Фриц-Вернер" в г. Берлин. РГАНИР, Фонд ГКО, д. 417, лл. 102-103 (11012).</w:t>
      </w:r>
    </w:p>
    <w:p w14:paraId="5A8492A8" w14:textId="77777777" w:rsidR="00665165" w:rsidRPr="00925F26" w:rsidRDefault="00665165" w:rsidP="00925F26">
      <w:pPr>
        <w:autoSpaceDE w:val="0"/>
        <w:autoSpaceDN w:val="0"/>
        <w:adjustRightInd w:val="0"/>
        <w:jc w:val="both"/>
        <w:rPr>
          <w:color w:val="000000" w:themeColor="text1"/>
          <w:sz w:val="16"/>
          <w:szCs w:val="16"/>
        </w:rPr>
      </w:pPr>
    </w:p>
    <w:p w14:paraId="2AFB22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8599 О вывозе оборудования с берлинских заводов "Миттельдейтше Штальвальцверке", "Штальверке Индустри", фирмы "Гартух Якман" и фирмы "Каргер". РГАНИР, Фонд ГКО, д. 417, лл. 104-105 (11012).</w:t>
      </w:r>
    </w:p>
    <w:p w14:paraId="7F696E29" w14:textId="77777777" w:rsidR="00665165" w:rsidRPr="00925F26" w:rsidRDefault="00665165" w:rsidP="00925F26">
      <w:pPr>
        <w:autoSpaceDE w:val="0"/>
        <w:autoSpaceDN w:val="0"/>
        <w:adjustRightInd w:val="0"/>
        <w:jc w:val="both"/>
        <w:rPr>
          <w:color w:val="000000" w:themeColor="text1"/>
          <w:sz w:val="16"/>
          <w:szCs w:val="16"/>
        </w:rPr>
      </w:pPr>
    </w:p>
    <w:p w14:paraId="0AB40D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8600 О вывозе оборудования с завода по производству паровозных насосов и тормозов фирмы "Кнорр-Бремзе" и с кранового завода фирмы "Зейтлих", расположенных в г. Берлин. РГАНИР, Фонд ГКО, д. 417, лл. 106-107 (11012).</w:t>
      </w:r>
    </w:p>
    <w:p w14:paraId="3869B7E2" w14:textId="77777777" w:rsidR="00665165" w:rsidRPr="00925F26" w:rsidRDefault="00665165" w:rsidP="00925F26">
      <w:pPr>
        <w:autoSpaceDE w:val="0"/>
        <w:autoSpaceDN w:val="0"/>
        <w:adjustRightInd w:val="0"/>
        <w:jc w:val="both"/>
        <w:rPr>
          <w:color w:val="000000" w:themeColor="text1"/>
          <w:sz w:val="16"/>
          <w:szCs w:val="16"/>
        </w:rPr>
      </w:pPr>
    </w:p>
    <w:p w14:paraId="4AC038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8601 О вывозе оборудования и задела приборов управления артогнем и торпедной стрельбой с заводов фирм "Сименс Аппарате унд Машинен" и "Крайзель Герте" в г. Берлин. РГАНИР, Фонд ГКО, д. 417, лл. 108-109 (11012).</w:t>
      </w:r>
    </w:p>
    <w:p w14:paraId="4B4C6F44" w14:textId="77777777" w:rsidR="00665165" w:rsidRPr="00925F26" w:rsidRDefault="00665165" w:rsidP="00925F26">
      <w:pPr>
        <w:autoSpaceDE w:val="0"/>
        <w:autoSpaceDN w:val="0"/>
        <w:adjustRightInd w:val="0"/>
        <w:jc w:val="both"/>
        <w:rPr>
          <w:color w:val="000000" w:themeColor="text1"/>
          <w:sz w:val="16"/>
          <w:szCs w:val="16"/>
        </w:rPr>
      </w:pPr>
    </w:p>
    <w:p w14:paraId="4E5552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8602 О вывозе оборудования с немецких заводов, расположенных в районе г. Берлин на предприятия Наркомцветмета. РГАНИР, Фонд ГКО, д. 417, лл. 110-112 (11012).</w:t>
      </w:r>
    </w:p>
    <w:p w14:paraId="3A51A1EC" w14:textId="77777777" w:rsidR="00665165" w:rsidRPr="00925F26" w:rsidRDefault="00665165" w:rsidP="00925F26">
      <w:pPr>
        <w:autoSpaceDE w:val="0"/>
        <w:autoSpaceDN w:val="0"/>
        <w:adjustRightInd w:val="0"/>
        <w:jc w:val="both"/>
        <w:rPr>
          <w:color w:val="000000" w:themeColor="text1"/>
          <w:sz w:val="16"/>
          <w:szCs w:val="16"/>
        </w:rPr>
      </w:pPr>
    </w:p>
    <w:p w14:paraId="68BDA3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8603 О вывозе лабораторного оборудования и аппаратуры немецкого радиолокационного института фирмы "Гема" деревня Вальштадт (10 км юго-восточнее г. Лигниц). РГАНИР, Фонд ГКО, д. 417, лл. 113 (11012).</w:t>
      </w:r>
    </w:p>
    <w:p w14:paraId="4E4439EA" w14:textId="77777777" w:rsidR="00665165" w:rsidRPr="00925F26" w:rsidRDefault="00665165" w:rsidP="00925F26">
      <w:pPr>
        <w:autoSpaceDE w:val="0"/>
        <w:autoSpaceDN w:val="0"/>
        <w:adjustRightInd w:val="0"/>
        <w:jc w:val="both"/>
        <w:rPr>
          <w:color w:val="000000" w:themeColor="text1"/>
          <w:sz w:val="16"/>
          <w:szCs w:val="16"/>
        </w:rPr>
      </w:pPr>
    </w:p>
    <w:p w14:paraId="2A6E9D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8604 О вывозе опытных образцов немецких танковых дизельмоторов конструкции "Рудольф Валькер" из г. Вена. РГАНИР, Фонд ГКО, д. 417, лл. 114-115 (11012).</w:t>
      </w:r>
    </w:p>
    <w:p w14:paraId="70A3BD40" w14:textId="77777777" w:rsidR="00665165" w:rsidRPr="00925F26" w:rsidRDefault="00665165" w:rsidP="00925F26">
      <w:pPr>
        <w:autoSpaceDE w:val="0"/>
        <w:autoSpaceDN w:val="0"/>
        <w:adjustRightInd w:val="0"/>
        <w:jc w:val="both"/>
        <w:rPr>
          <w:color w:val="000000" w:themeColor="text1"/>
          <w:sz w:val="16"/>
          <w:szCs w:val="16"/>
        </w:rPr>
      </w:pPr>
    </w:p>
    <w:p w14:paraId="54A044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8605 О вывозе оборудования и специального судостроительного листового металла с судостроительных верфей в г. Штеттин. РГАНИР, Фонд ГКО, д. 417, лл. 116-117 (11012).</w:t>
      </w:r>
    </w:p>
    <w:p w14:paraId="236DCCF6" w14:textId="77777777" w:rsidR="00665165" w:rsidRPr="00925F26" w:rsidRDefault="00665165" w:rsidP="00925F26">
      <w:pPr>
        <w:autoSpaceDE w:val="0"/>
        <w:autoSpaceDN w:val="0"/>
        <w:adjustRightInd w:val="0"/>
        <w:jc w:val="both"/>
        <w:rPr>
          <w:color w:val="000000" w:themeColor="text1"/>
          <w:sz w:val="16"/>
          <w:szCs w:val="16"/>
        </w:rPr>
      </w:pPr>
    </w:p>
    <w:p w14:paraId="465CB8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8606 О вывозе оборудования по производству взрывателей к артиллерийским снарядам с немецкой фирмы акционерного общества "Пеллерми компания" в районе г. Нойштадт. РГАНИР, Фонд ГКО, д. 417, лл. 118 (11012).</w:t>
      </w:r>
    </w:p>
    <w:p w14:paraId="6E11B89C" w14:textId="77777777" w:rsidR="00665165" w:rsidRPr="00925F26" w:rsidRDefault="00665165" w:rsidP="00925F26">
      <w:pPr>
        <w:autoSpaceDE w:val="0"/>
        <w:autoSpaceDN w:val="0"/>
        <w:adjustRightInd w:val="0"/>
        <w:jc w:val="both"/>
        <w:rPr>
          <w:color w:val="000000" w:themeColor="text1"/>
          <w:sz w:val="16"/>
          <w:szCs w:val="16"/>
        </w:rPr>
      </w:pPr>
    </w:p>
    <w:p w14:paraId="38E42F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8607 О вывозе оборудования с немецких заводов на заводы Наркомсредмаша. РГАНИР, Фонд ГКО, д. 417, лл. 119-120, 121 (11012).</w:t>
      </w:r>
    </w:p>
    <w:p w14:paraId="2510AA70" w14:textId="77777777" w:rsidR="00665165" w:rsidRPr="00925F26" w:rsidRDefault="00665165" w:rsidP="00925F26">
      <w:pPr>
        <w:autoSpaceDE w:val="0"/>
        <w:autoSpaceDN w:val="0"/>
        <w:adjustRightInd w:val="0"/>
        <w:jc w:val="both"/>
        <w:rPr>
          <w:color w:val="000000" w:themeColor="text1"/>
          <w:sz w:val="16"/>
          <w:szCs w:val="16"/>
        </w:rPr>
      </w:pPr>
    </w:p>
    <w:p w14:paraId="0B675B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8608 О вывозе оборудования по обработке погона башен тяжелых танков с танкового завода фирмы "Рот Эрди" в г. Зорау. РГАНИР, Фонд ГКО, д. 417, лл. 122-123 (11012).</w:t>
      </w:r>
    </w:p>
    <w:p w14:paraId="17380FD9" w14:textId="77777777" w:rsidR="00665165" w:rsidRPr="00925F26" w:rsidRDefault="00665165" w:rsidP="00925F26">
      <w:pPr>
        <w:autoSpaceDE w:val="0"/>
        <w:autoSpaceDN w:val="0"/>
        <w:adjustRightInd w:val="0"/>
        <w:jc w:val="both"/>
        <w:rPr>
          <w:color w:val="000000" w:themeColor="text1"/>
          <w:sz w:val="16"/>
          <w:szCs w:val="16"/>
        </w:rPr>
      </w:pPr>
    </w:p>
    <w:p w14:paraId="5CC4C0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8609 О вывозе оборудования завода динитрогликолевых порохов, расположенного у поселка Шейно города Форст. РГАНИР, Фонд ГКО, д. 417, лл. 124-125 (11012).</w:t>
      </w:r>
    </w:p>
    <w:p w14:paraId="03200284" w14:textId="77777777" w:rsidR="00665165" w:rsidRPr="00925F26" w:rsidRDefault="00665165" w:rsidP="00925F26">
      <w:pPr>
        <w:autoSpaceDE w:val="0"/>
        <w:autoSpaceDN w:val="0"/>
        <w:adjustRightInd w:val="0"/>
        <w:jc w:val="both"/>
        <w:rPr>
          <w:color w:val="000000" w:themeColor="text1"/>
          <w:sz w:val="16"/>
          <w:szCs w:val="16"/>
        </w:rPr>
      </w:pPr>
    </w:p>
    <w:p w14:paraId="7E0D43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8610 О вывозе из г. Берлин оборудования узла связи Ставки германского верховного командования и узла связи Генерального штаба германской армии. РГАНИР, Фонд ГКО, д. 417, лл. 126 (11012).</w:t>
      </w:r>
    </w:p>
    <w:p w14:paraId="5DEC95EF" w14:textId="77777777" w:rsidR="00665165" w:rsidRPr="00925F26" w:rsidRDefault="00665165" w:rsidP="00925F26">
      <w:pPr>
        <w:autoSpaceDE w:val="0"/>
        <w:autoSpaceDN w:val="0"/>
        <w:adjustRightInd w:val="0"/>
        <w:jc w:val="both"/>
        <w:rPr>
          <w:color w:val="000000" w:themeColor="text1"/>
          <w:sz w:val="16"/>
          <w:szCs w:val="16"/>
        </w:rPr>
      </w:pPr>
    </w:p>
    <w:p w14:paraId="5840CE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8611 О вывозе немецкого нефтяного оборудования со склада Венского порта. РГАНИР, Фонд ГКО, д. 417, лл. 127 (11012).</w:t>
      </w:r>
    </w:p>
    <w:p w14:paraId="493985C6" w14:textId="77777777" w:rsidR="00665165" w:rsidRPr="00925F26" w:rsidRDefault="00665165" w:rsidP="00925F26">
      <w:pPr>
        <w:autoSpaceDE w:val="0"/>
        <w:autoSpaceDN w:val="0"/>
        <w:adjustRightInd w:val="0"/>
        <w:jc w:val="both"/>
        <w:rPr>
          <w:color w:val="000000" w:themeColor="text1"/>
          <w:sz w:val="16"/>
          <w:szCs w:val="16"/>
        </w:rPr>
      </w:pPr>
    </w:p>
    <w:p w14:paraId="3ECDDB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8613 О вывозе оборудования и материалов с комбината по выработке синтетических нефтепродуктов в населенном пункте Эркнер (близ г. Ферпфельде). РГАНИР, Фонд ГКО, д. 417, лл. 129-130 (11012).</w:t>
      </w:r>
    </w:p>
    <w:p w14:paraId="7A674D38" w14:textId="77777777" w:rsidR="00665165" w:rsidRPr="00925F26" w:rsidRDefault="00665165" w:rsidP="00925F26">
      <w:pPr>
        <w:autoSpaceDE w:val="0"/>
        <w:autoSpaceDN w:val="0"/>
        <w:adjustRightInd w:val="0"/>
        <w:jc w:val="both"/>
        <w:rPr>
          <w:color w:val="000000" w:themeColor="text1"/>
          <w:sz w:val="16"/>
          <w:szCs w:val="16"/>
        </w:rPr>
      </w:pPr>
    </w:p>
    <w:p w14:paraId="680A43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8614 О вывозе оборудования с немецкой электростанции в г. Шнайдемюль с завода фирмы "Шлягенхоф" в г. Бельгард и со складов г. Зоненбург на предприятия Наркомнефти. РГАНИР, Фонд ГКО, д. 417, лл. 131-132 (11012).</w:t>
      </w:r>
    </w:p>
    <w:p w14:paraId="6CD6C218" w14:textId="77777777" w:rsidR="00665165" w:rsidRPr="00925F26" w:rsidRDefault="00665165" w:rsidP="00925F26">
      <w:pPr>
        <w:autoSpaceDE w:val="0"/>
        <w:autoSpaceDN w:val="0"/>
        <w:adjustRightInd w:val="0"/>
        <w:jc w:val="both"/>
        <w:rPr>
          <w:color w:val="000000" w:themeColor="text1"/>
          <w:sz w:val="16"/>
          <w:szCs w:val="16"/>
        </w:rPr>
      </w:pPr>
    </w:p>
    <w:p w14:paraId="05E0F1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8615 О вывозе оборудования с электростанции мощностью 6 тысяч киловатт в г. Херцфельде. РГАНИР, Фонд ГКО, д. 417, лл. 133 (11012).</w:t>
      </w:r>
    </w:p>
    <w:p w14:paraId="219513A0" w14:textId="77777777" w:rsidR="00665165" w:rsidRPr="00925F26" w:rsidRDefault="00665165" w:rsidP="00925F26">
      <w:pPr>
        <w:autoSpaceDE w:val="0"/>
        <w:autoSpaceDN w:val="0"/>
        <w:adjustRightInd w:val="0"/>
        <w:jc w:val="both"/>
        <w:rPr>
          <w:color w:val="000000" w:themeColor="text1"/>
          <w:sz w:val="16"/>
          <w:szCs w:val="16"/>
        </w:rPr>
      </w:pPr>
    </w:p>
    <w:p w14:paraId="6F1EAB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8616 О вывозе оборудования с заводов электротехнической промышленности, расположенных в г. г. Берлин и Фюнстервальде, на заводы Наркомэлектропрома. РГАНИР, Фонд ГКО, д. 417, лл. 134-137 (11012).</w:t>
      </w:r>
    </w:p>
    <w:p w14:paraId="069322F4" w14:textId="77777777" w:rsidR="00665165" w:rsidRPr="00925F26" w:rsidRDefault="00665165" w:rsidP="00925F26">
      <w:pPr>
        <w:autoSpaceDE w:val="0"/>
        <w:autoSpaceDN w:val="0"/>
        <w:adjustRightInd w:val="0"/>
        <w:jc w:val="both"/>
        <w:rPr>
          <w:color w:val="000000" w:themeColor="text1"/>
          <w:sz w:val="16"/>
          <w:szCs w:val="16"/>
        </w:rPr>
      </w:pPr>
    </w:p>
    <w:p w14:paraId="55B09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8617 О вывозе оборудования с механического завода в г. Берлин, район Нейкелльн, Метропалайтен Бергштрассе на предприятия Наркомугля. РГАНИР, Фонд ГКО, д. 417, лл. 138-139 (11012).</w:t>
      </w:r>
    </w:p>
    <w:p w14:paraId="72F0FF1A" w14:textId="77777777" w:rsidR="00665165" w:rsidRPr="00925F26" w:rsidRDefault="00665165" w:rsidP="00925F26">
      <w:pPr>
        <w:autoSpaceDE w:val="0"/>
        <w:autoSpaceDN w:val="0"/>
        <w:adjustRightInd w:val="0"/>
        <w:jc w:val="both"/>
        <w:rPr>
          <w:color w:val="000000" w:themeColor="text1"/>
          <w:sz w:val="16"/>
          <w:szCs w:val="16"/>
        </w:rPr>
      </w:pPr>
    </w:p>
    <w:p w14:paraId="22778B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8618 О вывозе оборудования с немецкого станкостроительного завода фирмы "Нилес-Верке" в г. Берлин. РГАНИР, Фонд ГКО, д. 417, лл. 140-141 (11012).</w:t>
      </w:r>
    </w:p>
    <w:p w14:paraId="5F3514E0" w14:textId="77777777" w:rsidR="00665165" w:rsidRPr="00925F26" w:rsidRDefault="00665165" w:rsidP="00925F26">
      <w:pPr>
        <w:autoSpaceDE w:val="0"/>
        <w:autoSpaceDN w:val="0"/>
        <w:adjustRightInd w:val="0"/>
        <w:jc w:val="both"/>
        <w:rPr>
          <w:color w:val="000000" w:themeColor="text1"/>
          <w:sz w:val="16"/>
          <w:szCs w:val="16"/>
        </w:rPr>
      </w:pPr>
    </w:p>
    <w:p w14:paraId="126ED0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8619 О вывозе оборудования с судостроительной верфи "Нептун Верке" в г. Росток. РГАНИР, Фонд ГКО, д. 417, лл. 142-143 (11012).</w:t>
      </w:r>
    </w:p>
    <w:p w14:paraId="404988D8" w14:textId="77777777" w:rsidR="00665165" w:rsidRPr="00925F26" w:rsidRDefault="00665165" w:rsidP="00925F26">
      <w:pPr>
        <w:autoSpaceDE w:val="0"/>
        <w:autoSpaceDN w:val="0"/>
        <w:adjustRightInd w:val="0"/>
        <w:jc w:val="both"/>
        <w:rPr>
          <w:color w:val="000000" w:themeColor="text1"/>
          <w:sz w:val="16"/>
          <w:szCs w:val="16"/>
        </w:rPr>
      </w:pPr>
    </w:p>
    <w:p w14:paraId="60139F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8620 О вывозе оборудования с немецкого минно-торпедного завода фирмы "Юлиус Пинч" в г. Фюнстервальде. РГАНИР, Фонд ГКО, д. 417, лл. 144-145 (11012).</w:t>
      </w:r>
    </w:p>
    <w:p w14:paraId="6BCEAA4F" w14:textId="77777777" w:rsidR="00665165" w:rsidRPr="00925F26" w:rsidRDefault="00665165" w:rsidP="00925F26">
      <w:pPr>
        <w:autoSpaceDE w:val="0"/>
        <w:autoSpaceDN w:val="0"/>
        <w:adjustRightInd w:val="0"/>
        <w:jc w:val="both"/>
        <w:rPr>
          <w:color w:val="000000" w:themeColor="text1"/>
          <w:sz w:val="16"/>
          <w:szCs w:val="16"/>
        </w:rPr>
      </w:pPr>
    </w:p>
    <w:p w14:paraId="726889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8621 О вывозе в г. Москву лабораторного оборудования, физиологической и гигиенической аппаратуры и медицинских книг немецких институтов авиамедицины в г. г. Берлин и Адлерсдорф. РГАНИР, Фонд ГКО, д. 417, лл. 146-147 (11012).</w:t>
      </w:r>
    </w:p>
    <w:p w14:paraId="2F716241" w14:textId="77777777" w:rsidR="00665165" w:rsidRPr="00925F26" w:rsidRDefault="00665165" w:rsidP="00925F26">
      <w:pPr>
        <w:autoSpaceDE w:val="0"/>
        <w:autoSpaceDN w:val="0"/>
        <w:adjustRightInd w:val="0"/>
        <w:jc w:val="both"/>
        <w:rPr>
          <w:color w:val="000000" w:themeColor="text1"/>
          <w:sz w:val="16"/>
          <w:szCs w:val="16"/>
        </w:rPr>
      </w:pPr>
    </w:p>
    <w:p w14:paraId="2BD31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8622 О вывозе оборудования завода по изготовлению наркотических средств и глюкозы фирмы "Ридель и Хаен" и бактериологической станции фирмы "Азит" в г. Берлин. РГАНИР, Фонд ГКО, д. 417, лл. 148-149 (11012).</w:t>
      </w:r>
    </w:p>
    <w:p w14:paraId="5C852A32" w14:textId="77777777" w:rsidR="00665165" w:rsidRPr="00925F26" w:rsidRDefault="00665165" w:rsidP="00925F26">
      <w:pPr>
        <w:autoSpaceDE w:val="0"/>
        <w:autoSpaceDN w:val="0"/>
        <w:adjustRightInd w:val="0"/>
        <w:jc w:val="both"/>
        <w:rPr>
          <w:color w:val="000000" w:themeColor="text1"/>
          <w:sz w:val="16"/>
          <w:szCs w:val="16"/>
        </w:rPr>
      </w:pPr>
    </w:p>
    <w:p w14:paraId="7BB0A7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8623 О вывозе оборудования с немецкого завода "Карл Шипке" в г. Ратибор для Наркомстроя. РГАНИР, Фонд ГКО, д. 417, лл. 150 (11012).</w:t>
      </w:r>
    </w:p>
    <w:p w14:paraId="432791FB" w14:textId="77777777" w:rsidR="00665165" w:rsidRPr="00925F26" w:rsidRDefault="00665165" w:rsidP="00925F26">
      <w:pPr>
        <w:autoSpaceDE w:val="0"/>
        <w:autoSpaceDN w:val="0"/>
        <w:adjustRightInd w:val="0"/>
        <w:jc w:val="both"/>
        <w:rPr>
          <w:color w:val="000000" w:themeColor="text1"/>
          <w:sz w:val="16"/>
          <w:szCs w:val="16"/>
        </w:rPr>
      </w:pPr>
    </w:p>
    <w:p w14:paraId="601824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8624 О вывозе оборудования феррованадиевого производства с завода "Ферайнигте Алюминиумверке" в провинции Бранденбург. РГАНИР, Фонд ГКО, д. 417, лл. 151-152 (11012).</w:t>
      </w:r>
    </w:p>
    <w:p w14:paraId="19364B56" w14:textId="77777777" w:rsidR="00665165" w:rsidRPr="00925F26" w:rsidRDefault="00665165" w:rsidP="00925F26">
      <w:pPr>
        <w:autoSpaceDE w:val="0"/>
        <w:autoSpaceDN w:val="0"/>
        <w:adjustRightInd w:val="0"/>
        <w:jc w:val="both"/>
        <w:rPr>
          <w:color w:val="000000" w:themeColor="text1"/>
          <w:sz w:val="16"/>
          <w:szCs w:val="16"/>
        </w:rPr>
      </w:pPr>
    </w:p>
    <w:p w14:paraId="52F4EB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8625 О вывозе с завода фирмы "Дейче Муницион унд Ваффен" в пригороде г. Берлин - Витенау 1500 т алюминиевого сырья и 3000 т готовых алюминиевых изделий и с завода "Ферейнигте алюминиум Верке" в провинции Бранденб ург 3200 т алюминия и силумин. РГАНИР, Фонд ГКО, д. 417, лл. 153-154 (11012).</w:t>
      </w:r>
    </w:p>
    <w:p w14:paraId="18EDE088" w14:textId="77777777" w:rsidR="00665165" w:rsidRPr="00925F26" w:rsidRDefault="00665165" w:rsidP="00925F26">
      <w:pPr>
        <w:autoSpaceDE w:val="0"/>
        <w:autoSpaceDN w:val="0"/>
        <w:adjustRightInd w:val="0"/>
        <w:jc w:val="both"/>
        <w:rPr>
          <w:color w:val="000000" w:themeColor="text1"/>
          <w:sz w:val="16"/>
          <w:szCs w:val="16"/>
        </w:rPr>
      </w:pPr>
    </w:p>
    <w:p w14:paraId="78CB7F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16 мая 1945 вышло Постановление ГКО № 8626 О вывозе оборудования с прожекторного завода в г. Намслау и демонтированного химического оборудования и нефтезаводской аппаратуры со склада на станции Тарнау (17 км восточнее г. Оппельн). РГАНИР, Фонд ГКО, д. 417, лл. 155-156 (11012).</w:t>
      </w:r>
    </w:p>
    <w:p w14:paraId="31D6C230" w14:textId="77777777" w:rsidR="00665165" w:rsidRPr="00925F26" w:rsidRDefault="00665165" w:rsidP="00925F26">
      <w:pPr>
        <w:autoSpaceDE w:val="0"/>
        <w:autoSpaceDN w:val="0"/>
        <w:adjustRightInd w:val="0"/>
        <w:jc w:val="both"/>
        <w:rPr>
          <w:color w:val="000000" w:themeColor="text1"/>
          <w:sz w:val="16"/>
          <w:szCs w:val="16"/>
        </w:rPr>
      </w:pPr>
    </w:p>
    <w:p w14:paraId="16E46D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8627 О вывозе оборудования с завода по изготовлению металлических электродов для электросварки фирмы "Агил-Хемол" из г. Берлин для Наркомстроя. РГАНИР, Фонд ГКО, д. 417, лл. 157-158 (11012).</w:t>
      </w:r>
    </w:p>
    <w:p w14:paraId="544D6F55" w14:textId="77777777" w:rsidR="00665165" w:rsidRPr="00925F26" w:rsidRDefault="00665165" w:rsidP="00925F26">
      <w:pPr>
        <w:autoSpaceDE w:val="0"/>
        <w:autoSpaceDN w:val="0"/>
        <w:adjustRightInd w:val="0"/>
        <w:jc w:val="both"/>
        <w:rPr>
          <w:color w:val="000000" w:themeColor="text1"/>
          <w:sz w:val="16"/>
          <w:szCs w:val="16"/>
        </w:rPr>
      </w:pPr>
    </w:p>
    <w:p w14:paraId="39B4E7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8628 О вывозе трофейного оборудования связи из г. г. Кезлина, Штеттина и Франкфурт-на-Одере. РГАНИР, Фонд ГКО, д. 417, лл. 159-160 (11012).</w:t>
      </w:r>
    </w:p>
    <w:p w14:paraId="6C154DE9" w14:textId="77777777" w:rsidR="00665165" w:rsidRPr="00925F26" w:rsidRDefault="00665165" w:rsidP="00925F26">
      <w:pPr>
        <w:autoSpaceDE w:val="0"/>
        <w:autoSpaceDN w:val="0"/>
        <w:adjustRightInd w:val="0"/>
        <w:jc w:val="both"/>
        <w:rPr>
          <w:color w:val="000000" w:themeColor="text1"/>
          <w:sz w:val="16"/>
          <w:szCs w:val="16"/>
        </w:rPr>
      </w:pPr>
    </w:p>
    <w:p w14:paraId="085AD61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8629 О выводе оборудования с немецких предприятий в г. Ратибор (Силезия) на заводы НКПС. (7341, 161-162).</w:t>
      </w:r>
    </w:p>
    <w:p w14:paraId="1FD2E56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8B66B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8630 О вывозе оборудования, аппаратуры и материалов немецкой киностудии УФА в г. Берлин. РГАНИР, Фонд ГКО, д. 417, лл. 163-164 (11012).</w:t>
      </w:r>
    </w:p>
    <w:p w14:paraId="093CFB6C" w14:textId="77777777" w:rsidR="00665165" w:rsidRPr="00925F26" w:rsidRDefault="00665165" w:rsidP="00925F26">
      <w:pPr>
        <w:autoSpaceDE w:val="0"/>
        <w:autoSpaceDN w:val="0"/>
        <w:adjustRightInd w:val="0"/>
        <w:jc w:val="both"/>
        <w:rPr>
          <w:color w:val="000000" w:themeColor="text1"/>
          <w:sz w:val="16"/>
          <w:szCs w:val="16"/>
        </w:rPr>
      </w:pPr>
    </w:p>
    <w:p w14:paraId="03862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8631 О вывозе полиграфического оборудования с немецких типографий Германии. РГАНИР, Фонд ГКО, д. 417, лл. 165-167 (11012).</w:t>
      </w:r>
    </w:p>
    <w:p w14:paraId="4C75E15A" w14:textId="77777777" w:rsidR="00665165" w:rsidRPr="00925F26" w:rsidRDefault="00665165" w:rsidP="00925F26">
      <w:pPr>
        <w:autoSpaceDE w:val="0"/>
        <w:autoSpaceDN w:val="0"/>
        <w:adjustRightInd w:val="0"/>
        <w:jc w:val="both"/>
        <w:rPr>
          <w:color w:val="000000" w:themeColor="text1"/>
          <w:sz w:val="16"/>
          <w:szCs w:val="16"/>
        </w:rPr>
      </w:pPr>
    </w:p>
    <w:p w14:paraId="615328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8632 О вывозе электрооборудования, кабельных изделий и электроматериалов со складов трофейного имущества. РГАНИР, Фонд ГКО, д. 417, лл. 168-169 (11012).</w:t>
      </w:r>
    </w:p>
    <w:p w14:paraId="4E519BB6" w14:textId="77777777" w:rsidR="00665165" w:rsidRPr="00925F26" w:rsidRDefault="00665165" w:rsidP="00925F26">
      <w:pPr>
        <w:autoSpaceDE w:val="0"/>
        <w:autoSpaceDN w:val="0"/>
        <w:adjustRightInd w:val="0"/>
        <w:jc w:val="both"/>
        <w:rPr>
          <w:color w:val="000000" w:themeColor="text1"/>
          <w:sz w:val="16"/>
          <w:szCs w:val="16"/>
        </w:rPr>
      </w:pPr>
    </w:p>
    <w:p w14:paraId="2BCF81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8633 О вывозе части оборудования химкомбинатов в г. г. Хайдебрек и Осьвенцим на Сталиногорский азотно-туковый завод и Славянский содовый завод. РГАНИР, Фонд ГКО, д. 417, лл. 170 (11012).</w:t>
      </w:r>
    </w:p>
    <w:p w14:paraId="52A39EDC" w14:textId="77777777" w:rsidR="00665165" w:rsidRPr="00925F26" w:rsidRDefault="00665165" w:rsidP="00925F26">
      <w:pPr>
        <w:autoSpaceDE w:val="0"/>
        <w:autoSpaceDN w:val="0"/>
        <w:adjustRightInd w:val="0"/>
        <w:jc w:val="both"/>
        <w:rPr>
          <w:color w:val="000000" w:themeColor="text1"/>
          <w:sz w:val="16"/>
          <w:szCs w:val="16"/>
        </w:rPr>
      </w:pPr>
    </w:p>
    <w:p w14:paraId="6A124D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8634 О вывозе оборудования с немецких молоко и мясоперерабатывающих заводов в Восточной Пруссии и Померании. РГАНИР, Фонд ГКО, д. 417, лл. 171, 172-174 (11012).</w:t>
      </w:r>
    </w:p>
    <w:p w14:paraId="5B2DE044" w14:textId="77777777" w:rsidR="00665165" w:rsidRPr="00925F26" w:rsidRDefault="00665165" w:rsidP="00925F26">
      <w:pPr>
        <w:autoSpaceDE w:val="0"/>
        <w:autoSpaceDN w:val="0"/>
        <w:adjustRightInd w:val="0"/>
        <w:jc w:val="both"/>
        <w:rPr>
          <w:color w:val="000000" w:themeColor="text1"/>
          <w:sz w:val="16"/>
          <w:szCs w:val="16"/>
        </w:rPr>
      </w:pPr>
    </w:p>
    <w:p w14:paraId="0A016C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8635 О вывозе материалов и оборудования с немецких предприятий легкой промышленности. РГАНИР, Фонд ГКО, д. 417, лл. 175-176, 177 (11012).</w:t>
      </w:r>
    </w:p>
    <w:p w14:paraId="73ABE4CD" w14:textId="77777777" w:rsidR="00665165" w:rsidRPr="00925F26" w:rsidRDefault="00665165" w:rsidP="00925F26">
      <w:pPr>
        <w:autoSpaceDE w:val="0"/>
        <w:autoSpaceDN w:val="0"/>
        <w:adjustRightInd w:val="0"/>
        <w:jc w:val="both"/>
        <w:rPr>
          <w:color w:val="000000" w:themeColor="text1"/>
          <w:sz w:val="16"/>
          <w:szCs w:val="16"/>
        </w:rPr>
      </w:pPr>
    </w:p>
    <w:p w14:paraId="247594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8636 О переводе трофейного технического флота из немецких портов в г. г. Люгенвельде, Токельмюнде, Гроссендорф и Штокельмюнде в город Таллин. РГАНИР, Фонд ГКО, д. 417, лл. 178 (11012).</w:t>
      </w:r>
    </w:p>
    <w:p w14:paraId="4DC20DA9" w14:textId="77777777" w:rsidR="00665165" w:rsidRPr="00925F26" w:rsidRDefault="00665165" w:rsidP="00925F26">
      <w:pPr>
        <w:autoSpaceDE w:val="0"/>
        <w:autoSpaceDN w:val="0"/>
        <w:adjustRightInd w:val="0"/>
        <w:jc w:val="both"/>
        <w:rPr>
          <w:color w:val="000000" w:themeColor="text1"/>
          <w:sz w:val="16"/>
          <w:szCs w:val="16"/>
        </w:rPr>
      </w:pPr>
    </w:p>
    <w:p w14:paraId="2892F6A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8637 О разборке узкоколейных железнодорожных линий на территории Померании и Силезии. (7341, 179-180,181-185).</w:t>
      </w:r>
    </w:p>
    <w:p w14:paraId="290CE12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E2634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8638 О вывозе в резерв оборудования с немецких предприятий для создания машиностроительных и ремонтных баз в немашиностроительных наркоматах. РГАНИР, Фонд ГКО, д. 417, лл. 186-187 (11012).</w:t>
      </w:r>
    </w:p>
    <w:p w14:paraId="4AA7372D" w14:textId="77777777" w:rsidR="00665165" w:rsidRPr="00925F26" w:rsidRDefault="00665165" w:rsidP="00925F26">
      <w:pPr>
        <w:autoSpaceDE w:val="0"/>
        <w:autoSpaceDN w:val="0"/>
        <w:adjustRightInd w:val="0"/>
        <w:jc w:val="both"/>
        <w:rPr>
          <w:color w:val="000000" w:themeColor="text1"/>
          <w:sz w:val="16"/>
          <w:szCs w:val="16"/>
        </w:rPr>
      </w:pPr>
    </w:p>
    <w:p w14:paraId="0BFCA7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8639 О вывозе немецкого механического оборудования на Особую базу № 1. РГАНИР, Фонд ГКО, д. 417, лл. 188 (11012).</w:t>
      </w:r>
    </w:p>
    <w:p w14:paraId="76B546EE" w14:textId="77777777" w:rsidR="00665165" w:rsidRPr="00925F26" w:rsidRDefault="00665165" w:rsidP="00925F26">
      <w:pPr>
        <w:autoSpaceDE w:val="0"/>
        <w:autoSpaceDN w:val="0"/>
        <w:adjustRightInd w:val="0"/>
        <w:jc w:val="both"/>
        <w:rPr>
          <w:color w:val="000000" w:themeColor="text1"/>
          <w:sz w:val="16"/>
          <w:szCs w:val="16"/>
        </w:rPr>
      </w:pPr>
    </w:p>
    <w:p w14:paraId="236F0F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8640 О вывозе оборудования и готовой продукции с фабрики по изготовлению резиновых хирургических, технических и других изделий акционерного общества "С. Мюллер" в районе г. Берлин - Вейсензее. РГАНИР, Фонд ГКО, д. 417, лл. 189 (11012).</w:t>
      </w:r>
    </w:p>
    <w:p w14:paraId="76BED2C3" w14:textId="77777777" w:rsidR="00665165" w:rsidRPr="00925F26" w:rsidRDefault="00665165" w:rsidP="00925F26">
      <w:pPr>
        <w:autoSpaceDE w:val="0"/>
        <w:autoSpaceDN w:val="0"/>
        <w:adjustRightInd w:val="0"/>
        <w:jc w:val="both"/>
        <w:rPr>
          <w:color w:val="000000" w:themeColor="text1"/>
          <w:sz w:val="16"/>
          <w:szCs w:val="16"/>
        </w:rPr>
      </w:pPr>
    </w:p>
    <w:p w14:paraId="11A87D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8641 О неудовлетворительном вывозе оборудования с заводов по производству синтетического жидкого топлива в Блейхгамер и Одерталь. РГАНИР, Фонд ГКО, д. 417, лл. 190 (11012).</w:t>
      </w:r>
    </w:p>
    <w:p w14:paraId="07D4F8E3" w14:textId="77777777" w:rsidR="00665165" w:rsidRPr="00925F26" w:rsidRDefault="00665165" w:rsidP="00925F26">
      <w:pPr>
        <w:autoSpaceDE w:val="0"/>
        <w:autoSpaceDN w:val="0"/>
        <w:adjustRightInd w:val="0"/>
        <w:jc w:val="both"/>
        <w:rPr>
          <w:color w:val="000000" w:themeColor="text1"/>
          <w:sz w:val="16"/>
          <w:szCs w:val="16"/>
        </w:rPr>
      </w:pPr>
    </w:p>
    <w:p w14:paraId="105CE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8642 О вывозе оборудования с немецких заводов г. Берлин на заводы Наркомместпрома, Наркомавтотранспорта и Наркомхоза РСФСР. РГАНИР, Фонд ГКО, д. 417, лл. 191-193 (11012).</w:t>
      </w:r>
    </w:p>
    <w:p w14:paraId="565CA2CC" w14:textId="77777777" w:rsidR="00665165" w:rsidRPr="00925F26" w:rsidRDefault="00665165" w:rsidP="00925F26">
      <w:pPr>
        <w:autoSpaceDE w:val="0"/>
        <w:autoSpaceDN w:val="0"/>
        <w:adjustRightInd w:val="0"/>
        <w:jc w:val="both"/>
        <w:rPr>
          <w:color w:val="000000" w:themeColor="text1"/>
          <w:sz w:val="16"/>
          <w:szCs w:val="16"/>
        </w:rPr>
      </w:pPr>
    </w:p>
    <w:p w14:paraId="3ADE41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8643 О вывозе радиоприемников с фронтовых складов Трофейного управления Красной Армии. РГАНИР, Фонд ГКО, д. 417, лл. 194-195, 196 (11012).</w:t>
      </w:r>
    </w:p>
    <w:p w14:paraId="7B84B493" w14:textId="77777777" w:rsidR="00665165" w:rsidRPr="00925F26" w:rsidRDefault="00665165" w:rsidP="00925F26">
      <w:pPr>
        <w:autoSpaceDE w:val="0"/>
        <w:autoSpaceDN w:val="0"/>
        <w:adjustRightInd w:val="0"/>
        <w:jc w:val="both"/>
        <w:rPr>
          <w:color w:val="000000" w:themeColor="text1"/>
          <w:sz w:val="16"/>
          <w:szCs w:val="16"/>
        </w:rPr>
      </w:pPr>
    </w:p>
    <w:p w14:paraId="2D1078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8644 О вывозе оборудования научно-испытательного полигона ВВС Германии в г. Рехлин. РГАНИР, Фонд ГКО, д. 417, лл. 197 (11012).</w:t>
      </w:r>
    </w:p>
    <w:p w14:paraId="6BDCF588" w14:textId="77777777" w:rsidR="00665165" w:rsidRPr="00925F26" w:rsidRDefault="00665165" w:rsidP="00925F26">
      <w:pPr>
        <w:autoSpaceDE w:val="0"/>
        <w:autoSpaceDN w:val="0"/>
        <w:adjustRightInd w:val="0"/>
        <w:jc w:val="both"/>
        <w:rPr>
          <w:color w:val="000000" w:themeColor="text1"/>
          <w:sz w:val="16"/>
          <w:szCs w:val="16"/>
        </w:rPr>
      </w:pPr>
    </w:p>
    <w:p w14:paraId="16C44C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8645 О частичных изменениях в постановлениях ГОКО о вывозе оборудования немецких заводов с территории Польши. РГАНИР, Фонд ГКО, д. 417, лл. 198-200 (11012).</w:t>
      </w:r>
    </w:p>
    <w:p w14:paraId="03A6936D" w14:textId="77777777" w:rsidR="00665165" w:rsidRPr="00925F26" w:rsidRDefault="00665165" w:rsidP="00925F26">
      <w:pPr>
        <w:autoSpaceDE w:val="0"/>
        <w:autoSpaceDN w:val="0"/>
        <w:adjustRightInd w:val="0"/>
        <w:jc w:val="both"/>
        <w:rPr>
          <w:color w:val="000000" w:themeColor="text1"/>
          <w:sz w:val="16"/>
          <w:szCs w:val="16"/>
        </w:rPr>
      </w:pPr>
    </w:p>
    <w:p w14:paraId="28726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8647 О вывозе оборудования с немецких заводов строительных материалов в г. г. Краугивиц, Жилен, Херцфельде, Рюдерсдорф, Эльбинг, Мариенбург, Дейч-Айлау, Кенигсберг и Дренхфурт на заводы Наркомстройматериалов С ССР. РГАНИР, Фонд ГКО, д. 418, лл. 3-5, 6 (11012).</w:t>
      </w:r>
    </w:p>
    <w:p w14:paraId="47738F65" w14:textId="77777777" w:rsidR="00665165" w:rsidRPr="00925F26" w:rsidRDefault="00665165" w:rsidP="00925F26">
      <w:pPr>
        <w:autoSpaceDE w:val="0"/>
        <w:autoSpaceDN w:val="0"/>
        <w:adjustRightInd w:val="0"/>
        <w:jc w:val="both"/>
        <w:rPr>
          <w:color w:val="000000" w:themeColor="text1"/>
          <w:sz w:val="16"/>
          <w:szCs w:val="16"/>
        </w:rPr>
      </w:pPr>
    </w:p>
    <w:p w14:paraId="3750FA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8648 О вывозе оборудования с немецких текстильных предприятий. РГАНИР, Фонд ГКО, д. 418, лл. 7-8 (11012).</w:t>
      </w:r>
    </w:p>
    <w:p w14:paraId="38A2D354" w14:textId="77777777" w:rsidR="00665165" w:rsidRPr="00925F26" w:rsidRDefault="00665165" w:rsidP="00925F26">
      <w:pPr>
        <w:autoSpaceDE w:val="0"/>
        <w:autoSpaceDN w:val="0"/>
        <w:adjustRightInd w:val="0"/>
        <w:jc w:val="both"/>
        <w:rPr>
          <w:color w:val="000000" w:themeColor="text1"/>
          <w:sz w:val="16"/>
          <w:szCs w:val="16"/>
        </w:rPr>
      </w:pPr>
    </w:p>
    <w:p w14:paraId="599200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вышло Постановление ГКО № 8649 О перегоне неиспользуемых фронтами трофейных лошадей с территории Германии в районы Советского Союза, освобожденные от немецкой оккупации и передаче этих лошадей колхозам. РГАНИР, Фонд ГКО, д. 418, лл. 9-11, 12-13 (11012).</w:t>
      </w:r>
    </w:p>
    <w:p w14:paraId="513596A8" w14:textId="77777777" w:rsidR="00665165" w:rsidRPr="00925F26" w:rsidRDefault="00665165" w:rsidP="00925F26">
      <w:pPr>
        <w:autoSpaceDE w:val="0"/>
        <w:autoSpaceDN w:val="0"/>
        <w:adjustRightInd w:val="0"/>
        <w:jc w:val="both"/>
        <w:rPr>
          <w:color w:val="000000" w:themeColor="text1"/>
          <w:sz w:val="16"/>
          <w:szCs w:val="16"/>
        </w:rPr>
      </w:pPr>
    </w:p>
    <w:p w14:paraId="0FE1913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B8D7B58" w14:textId="77777777" w:rsidR="00665165" w:rsidRPr="00925F26" w:rsidRDefault="00665165" w:rsidP="00925F26">
      <w:pPr>
        <w:autoSpaceDE w:val="0"/>
        <w:autoSpaceDN w:val="0"/>
        <w:adjustRightInd w:val="0"/>
        <w:jc w:val="both"/>
        <w:rPr>
          <w:iCs/>
          <w:color w:val="000000" w:themeColor="text1"/>
          <w:sz w:val="16"/>
          <w:szCs w:val="16"/>
        </w:rPr>
      </w:pPr>
    </w:p>
    <w:p w14:paraId="5DC1C2E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опубликована последняя оперативная сводка Советского Информбюро (4962).</w:t>
      </w:r>
    </w:p>
    <w:p w14:paraId="6D5FBD6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CF251A5" w14:textId="77777777" w:rsidR="00681972" w:rsidRPr="00925F26" w:rsidRDefault="00681972"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самый удачливый ас третьего рейха Эрих Хартман (сбил 352 самолета), сдавшийся в плен американцам, передается ими советским оккупационным властям. Проведя 10 лет в лагере для военнопленных, Хартман будет освобожден. В 1959 он вступит во вновь созданные ВВС ФРГ и будет командовать 71-м полком истребительной авиации (14893).</w:t>
      </w:r>
    </w:p>
    <w:p w14:paraId="4732DB04" w14:textId="77777777" w:rsidR="00681972" w:rsidRPr="00925F26" w:rsidRDefault="00681972" w:rsidP="00925F26">
      <w:pPr>
        <w:jc w:val="both"/>
        <w:rPr>
          <w:color w:val="000000" w:themeColor="text1"/>
          <w:sz w:val="16"/>
          <w:szCs w:val="16"/>
        </w:rPr>
      </w:pPr>
    </w:p>
    <w:p w14:paraId="05090B8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70B5903" w14:textId="77777777" w:rsidR="00665165" w:rsidRPr="00925F26" w:rsidRDefault="00665165" w:rsidP="00925F26">
      <w:pPr>
        <w:autoSpaceDE w:val="0"/>
        <w:autoSpaceDN w:val="0"/>
        <w:adjustRightInd w:val="0"/>
        <w:jc w:val="both"/>
        <w:rPr>
          <w:iCs/>
          <w:color w:val="000000" w:themeColor="text1"/>
          <w:sz w:val="16"/>
          <w:szCs w:val="16"/>
        </w:rPr>
      </w:pPr>
    </w:p>
    <w:p w14:paraId="19629951" w14:textId="77777777" w:rsidR="00681972" w:rsidRPr="00925F26" w:rsidRDefault="00681972"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из информации НКВД "О политических настроениях трудящихся": "В связи с началом мирной жизни среди трудящихся появились разговоры о необходимости перехода на 8-часовой рабочий день, об отмене военного налога, создании лучших материально-бытовых условий в смысле снабжения продуктами питания и товарами широкого потребления" (14893).</w:t>
      </w:r>
    </w:p>
    <w:p w14:paraId="76A06801" w14:textId="77777777" w:rsidR="00681972" w:rsidRPr="00925F26" w:rsidRDefault="00681972" w:rsidP="00925F26">
      <w:pPr>
        <w:jc w:val="both"/>
        <w:rPr>
          <w:color w:val="000000" w:themeColor="text1"/>
          <w:sz w:val="16"/>
          <w:szCs w:val="16"/>
        </w:rPr>
      </w:pPr>
    </w:p>
    <w:p w14:paraId="02C2D5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Берия направил на имя Сталина сразу два ходатайства:</w:t>
      </w:r>
    </w:p>
    <w:p w14:paraId="077E4E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НКВД СССР Правительством возложено строительство и эксплуатация ряда горных и металлургических предприятий: Норильского комбината, добывающего никель, медь, платину, уголь; Печорского угольного бассейна, Тырны-Аузского и Джидинского вольфрамо-молибденовых комбинатов, Донских хромовых рудников в Актюбинской области, Волчанских угольных разрезов на Северном Урале. За период 1943-1944 гг. перечисленные предприятия значительно увеличили выпуск продукции и ввели крупные дополнительные мощности:</w:t>
      </w:r>
    </w:p>
    <w:p w14:paraId="13864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Норильский комбинат увеличил выпуск никеля с 500 тонн в 1942 году до 3.850 тонн в 1944 году, выплавку меди с 450 тонн до 3.610 тонн, добычу угля с 475 тысяч тонн до 690 тысяч тонн;</w:t>
      </w:r>
    </w:p>
    <w:p w14:paraId="20F782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Печорский угольный бассейн увеличил добычу угля с 757 тысяч тонн в 1942 году до 2.554 тысяч тонн в 1944 году;</w:t>
      </w:r>
    </w:p>
    <w:p w14:paraId="5264A3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добыча хромовой руды на Донских рудниках возросла с 220 тысяч тонн до 300 тысяч тонн;</w:t>
      </w:r>
    </w:p>
    <w:p w14:paraId="79DF7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в декабре 1944 года закончен строительством и сдан в эксплуатацию Волчанский угольный разрез на Северном Урале мощностью 2 млн. тонн угля в год;</w:t>
      </w:r>
    </w:p>
    <w:p w14:paraId="0C6627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в январе 1945 года вступил в эксплуатацию восстановленный Тырны-Аузский вольфрамово-молибденовый комбинат мощностью 1.000 тонн концентратов в год, взорванный и полностью разрушенный при немецкой оккупации (7560).</w:t>
      </w:r>
    </w:p>
    <w:p w14:paraId="460C80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 1944 года выполнен:</w:t>
      </w:r>
    </w:p>
    <w:p w14:paraId="68BD81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Норильским комбинатом НКВД по добыче никеля на 110%, по добыче меди на 103%, по добыче платины на 105%;</w:t>
      </w:r>
    </w:p>
    <w:p w14:paraId="490F24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Печорским угольным бассейном по добыче угля на 103% (7560).</w:t>
      </w:r>
    </w:p>
    <w:p w14:paraId="64F843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НКВД СССР ходатайствует о награждении лучших работников горных и металлургических предприятий НКВД СССР орденами и медалями СССР” (7560).</w:t>
      </w:r>
    </w:p>
    <w:p w14:paraId="233224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“ГКО возложил на НКВД СССР строительство крупнейших заводов черной и цветной металлургии: Тагильского металлургического завода с Высокогорским и Горноблагодатским рудниками, Челябинского металлургического завода с Бакальскими рудниками, Актюбинского ферросплавного завода с Донскими хромовыми рудниками, Закавказского металлургического завода с Дашкесанскими рудниками, Богословского алюминиевого и глиноземного заводов с собственной мощной электростанцией (7560).</w:t>
      </w:r>
    </w:p>
    <w:p w14:paraId="55ABE1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1943 - 1944 гг. на упомянутых стройках выполнен объем работ на 960 млн. рублей, сделано земляных работ - 6900 тыс. кбм, бетонных и железобетонных - 400 тыс. кбм., кирпичной и блочной кладки - 225 тыс. кбм., выстроено ж. д. путей - 250 километров, смонтировано металлоконструкций - 65 тыс. тонн (7560).</w:t>
      </w:r>
    </w:p>
    <w:p w14:paraId="3DFCBA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тот же срок введены в действие в Тагиле, Челябинске, Актюбинске и Богослове следующие новые мощности: по агломерации железных руд - 1.700 тыс. тонн (4 аглоленты), выжигу кокса - 1.740 тыс. тонн (4 коксовых батареи), выплавке чугуна - 1.080 тыс. тонн (3 доменных печи), выплавке стали - 300 тыс. тонн (2 мартеновских и 5 электропечей), прокат - 272 тыс. тонн (2 сортовых и 1 бандажный стан), феррохрому - 50 тыс. тонн (7 электропечей), глинозему - 50 тыс. тонн, электроэнергии - 152 тыс. квт (6 турбогенераторов) (7560).</w:t>
      </w:r>
    </w:p>
    <w:p w14:paraId="237D64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первом полугодии 1945 года полностью заканчивается строительство Актюбинского ферросплавного комбината. В апреле 1945 года Богословский алюминиевый завод выпустит металлический алюминий (7560).</w:t>
      </w:r>
    </w:p>
    <w:p w14:paraId="1C8534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НКВД СССР ходатайствует о награждении орденами и медалями СССР лучших работников перечисленных строек черной и цветной металлургии НКВД СССР” (7560).</w:t>
      </w:r>
    </w:p>
    <w:p w14:paraId="3D2F8C99" w14:textId="77777777" w:rsidR="00665165" w:rsidRPr="00925F26" w:rsidRDefault="00665165" w:rsidP="00925F26">
      <w:pPr>
        <w:autoSpaceDE w:val="0"/>
        <w:autoSpaceDN w:val="0"/>
        <w:adjustRightInd w:val="0"/>
        <w:jc w:val="both"/>
        <w:rPr>
          <w:color w:val="000000" w:themeColor="text1"/>
          <w:sz w:val="16"/>
          <w:szCs w:val="16"/>
        </w:rPr>
      </w:pPr>
    </w:p>
    <w:p w14:paraId="643192C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CD9149D" w14:textId="77777777" w:rsidR="00665165" w:rsidRPr="00925F26" w:rsidRDefault="00665165" w:rsidP="00925F26">
      <w:pPr>
        <w:autoSpaceDE w:val="0"/>
        <w:autoSpaceDN w:val="0"/>
        <w:adjustRightInd w:val="0"/>
        <w:jc w:val="both"/>
        <w:rPr>
          <w:iCs/>
          <w:color w:val="000000" w:themeColor="text1"/>
          <w:sz w:val="16"/>
          <w:szCs w:val="16"/>
        </w:rPr>
      </w:pPr>
    </w:p>
    <w:p w14:paraId="0EF8C4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 мая 1945 Вена. К.Реннер направил послание И.Сталину с выражением благодарности Красной Армии в деле "восстановления австрийской государственности" (7444).</w:t>
      </w:r>
    </w:p>
    <w:p w14:paraId="78A83FB1" w14:textId="77777777" w:rsidR="00665165" w:rsidRPr="00925F26" w:rsidRDefault="00665165" w:rsidP="00925F26">
      <w:pPr>
        <w:autoSpaceDE w:val="0"/>
        <w:autoSpaceDN w:val="0"/>
        <w:adjustRightInd w:val="0"/>
        <w:jc w:val="both"/>
        <w:rPr>
          <w:color w:val="000000" w:themeColor="text1"/>
          <w:sz w:val="16"/>
          <w:szCs w:val="16"/>
        </w:rPr>
      </w:pPr>
    </w:p>
    <w:p w14:paraId="69A069F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A0D8AD5" w14:textId="77777777" w:rsidR="00665165" w:rsidRPr="00925F26" w:rsidRDefault="00665165" w:rsidP="00925F26">
      <w:pPr>
        <w:autoSpaceDE w:val="0"/>
        <w:autoSpaceDN w:val="0"/>
        <w:adjustRightInd w:val="0"/>
        <w:jc w:val="both"/>
        <w:rPr>
          <w:iCs/>
          <w:color w:val="000000" w:themeColor="text1"/>
          <w:sz w:val="16"/>
          <w:szCs w:val="16"/>
        </w:rPr>
      </w:pPr>
    </w:p>
    <w:p w14:paraId="0493FB61" w14:textId="77777777" w:rsidR="00681972" w:rsidRPr="00925F26" w:rsidRDefault="00681972"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вступает в силу соглашение между Данией и США, заключенное еще в 1941, об обороне датской колонии Гренландия, по которому США получают право строить там военные базы, а американские военные корабли и самолеты право беспрепятственного доступа (14893).</w:t>
      </w:r>
    </w:p>
    <w:p w14:paraId="3C1F5E3A" w14:textId="77777777" w:rsidR="00681972" w:rsidRPr="00925F26" w:rsidRDefault="00681972" w:rsidP="00925F26">
      <w:pPr>
        <w:jc w:val="both"/>
        <w:rPr>
          <w:color w:val="000000" w:themeColor="text1"/>
          <w:sz w:val="16"/>
          <w:szCs w:val="16"/>
        </w:rPr>
      </w:pPr>
    </w:p>
    <w:p w14:paraId="1A6EB46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мая 1945 капитулировал немецкий гарнизон о. Борнхольм (Дания) (4962).</w:t>
      </w:r>
    </w:p>
    <w:p w14:paraId="240CC63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91DE9AE" w14:textId="77777777" w:rsidR="00BB0525" w:rsidRPr="00925F26" w:rsidRDefault="00BB0525"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капитулирует последний во 2-й мировой войне немецкий гарнизон на острове Борнхольм (Дания) (14893).</w:t>
      </w:r>
    </w:p>
    <w:p w14:paraId="2B9A71AF" w14:textId="77777777" w:rsidR="00BB0525" w:rsidRPr="00925F26" w:rsidRDefault="00BB0525" w:rsidP="00925F26">
      <w:pPr>
        <w:jc w:val="both"/>
        <w:rPr>
          <w:color w:val="000000" w:themeColor="text1"/>
          <w:sz w:val="16"/>
          <w:szCs w:val="16"/>
        </w:rPr>
      </w:pPr>
    </w:p>
    <w:p w14:paraId="5F080643" w14:textId="77777777" w:rsidR="00681972" w:rsidRPr="00925F26" w:rsidRDefault="00681972" w:rsidP="00925F26">
      <w:pPr>
        <w:jc w:val="both"/>
        <w:rPr>
          <w:color w:val="000000" w:themeColor="text1"/>
          <w:sz w:val="16"/>
          <w:szCs w:val="16"/>
        </w:rPr>
      </w:pPr>
      <w:r w:rsidRPr="00925F26">
        <w:rPr>
          <w:bCs/>
          <w:color w:val="000000" w:themeColor="text1"/>
          <w:sz w:val="16"/>
          <w:szCs w:val="16"/>
        </w:rPr>
        <w:t>16 мая</w:t>
      </w:r>
      <w:r w:rsidRPr="00925F26">
        <w:rPr>
          <w:color w:val="000000" w:themeColor="text1"/>
          <w:sz w:val="16"/>
          <w:szCs w:val="16"/>
        </w:rPr>
        <w:t xml:space="preserve"> в 1945 году японский крейсер «Хагуро» потоплен у Малаккского пролива четырьмя английскими миноносцами в результате классической торпедной атаки (14893).</w:t>
      </w:r>
    </w:p>
    <w:p w14:paraId="51E52150" w14:textId="77777777" w:rsidR="00681972" w:rsidRPr="00925F26" w:rsidRDefault="00681972" w:rsidP="00925F26">
      <w:pPr>
        <w:jc w:val="both"/>
        <w:rPr>
          <w:color w:val="000000" w:themeColor="text1"/>
          <w:sz w:val="16"/>
          <w:szCs w:val="16"/>
        </w:rPr>
      </w:pPr>
    </w:p>
    <w:p w14:paraId="515FCA25" w14:textId="77777777" w:rsidR="005F7535" w:rsidRPr="00925F26" w:rsidRDefault="005F7535" w:rsidP="00925F26">
      <w:pPr>
        <w:jc w:val="both"/>
        <w:rPr>
          <w:color w:val="000000" w:themeColor="text1"/>
          <w:sz w:val="16"/>
          <w:szCs w:val="16"/>
        </w:rPr>
      </w:pPr>
      <w:r w:rsidRPr="00925F26">
        <w:rPr>
          <w:color w:val="000000" w:themeColor="text1"/>
          <w:sz w:val="16"/>
          <w:szCs w:val="16"/>
        </w:rPr>
        <w:t>16–17 мая 1945 авианосцы Британского Тихоокеанского флота нанесли удар по японским аэродромам в районе Сакисима-Гунто (20371).</w:t>
      </w:r>
    </w:p>
    <w:p w14:paraId="62DABBBD" w14:textId="77777777" w:rsidR="005F7535" w:rsidRPr="00925F26" w:rsidRDefault="005F7535" w:rsidP="00925F26">
      <w:pPr>
        <w:jc w:val="both"/>
        <w:rPr>
          <w:color w:val="000000" w:themeColor="text1"/>
          <w:sz w:val="16"/>
          <w:szCs w:val="16"/>
        </w:rPr>
      </w:pPr>
    </w:p>
    <w:p w14:paraId="6525839B" w14:textId="77777777" w:rsidR="00F226AF" w:rsidRPr="001A0BAA" w:rsidRDefault="00F226AF" w:rsidP="00F226AF">
      <w:pPr>
        <w:jc w:val="both"/>
        <w:rPr>
          <w:color w:val="0070C0"/>
          <w:sz w:val="16"/>
          <w:szCs w:val="16"/>
        </w:rPr>
      </w:pPr>
      <w:r w:rsidRPr="001A0BAA">
        <w:rPr>
          <w:rStyle w:val="aff0"/>
          <w:rFonts w:ascii="Times New Roman" w:hAnsi="Times New Roman" w:cs="Times New Roman"/>
          <w:color w:val="0070C0"/>
          <w:spacing w:val="0"/>
          <w:sz w:val="16"/>
          <w:szCs w:val="16"/>
        </w:rPr>
        <w:t>16 мая 1945 г. из исландского Рейкьявика вылетел четырёхмоторный разведчик Авро «Ланкастер», пилотируемый подполковником Д. С. Маккинли, который достиг Север</w:t>
      </w:r>
      <w:r w:rsidRPr="001A0BAA">
        <w:rPr>
          <w:rStyle w:val="aff0"/>
          <w:rFonts w:ascii="Times New Roman" w:hAnsi="Times New Roman" w:cs="Times New Roman"/>
          <w:color w:val="0070C0"/>
          <w:spacing w:val="0"/>
          <w:sz w:val="16"/>
          <w:szCs w:val="16"/>
        </w:rPr>
        <w:softHyphen/>
        <w:t>ного полюса и благополучно вернулся на свой аэродром, преодолев в общей сложности 5728 км (25654).</w:t>
      </w:r>
    </w:p>
    <w:p w14:paraId="6B36CDC3" w14:textId="77777777" w:rsidR="00F226AF" w:rsidRPr="001A0BAA" w:rsidRDefault="00F226AF" w:rsidP="00F226AF">
      <w:pPr>
        <w:jc w:val="both"/>
        <w:rPr>
          <w:color w:val="0070C0"/>
          <w:sz w:val="16"/>
          <w:szCs w:val="16"/>
        </w:rPr>
      </w:pPr>
    </w:p>
    <w:p w14:paraId="5E3BE64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AFD56E8" w14:textId="77777777" w:rsidR="00665165" w:rsidRPr="00925F26" w:rsidRDefault="00665165" w:rsidP="00925F26">
      <w:pPr>
        <w:autoSpaceDE w:val="0"/>
        <w:autoSpaceDN w:val="0"/>
        <w:adjustRightInd w:val="0"/>
        <w:jc w:val="both"/>
        <w:rPr>
          <w:iCs/>
          <w:color w:val="000000" w:themeColor="text1"/>
          <w:sz w:val="16"/>
          <w:szCs w:val="16"/>
        </w:rPr>
      </w:pPr>
    </w:p>
    <w:p w14:paraId="23FBCF76" w14:textId="77777777" w:rsidR="00DF4EAD" w:rsidRPr="00925F26" w:rsidRDefault="00DF4EAD" w:rsidP="00925F26">
      <w:pPr>
        <w:jc w:val="both"/>
        <w:rPr>
          <w:color w:val="000000" w:themeColor="text1"/>
          <w:sz w:val="16"/>
          <w:szCs w:val="16"/>
        </w:rPr>
      </w:pPr>
      <w:r w:rsidRPr="00925F26">
        <w:rPr>
          <w:rStyle w:val="107"/>
          <w:rFonts w:eastAsiaTheme="minorHAnsi"/>
          <w:color w:val="000000" w:themeColor="text1"/>
          <w:sz w:val="16"/>
          <w:szCs w:val="16"/>
        </w:rPr>
        <w:t>17 мая 1945 начальник 1-го отдела ГУ ИАС ВВС КА инженер -полковник Подлесецкий «поставил вопрос перед УЗСиМ (т. Ковалевым) о необходимости срочной отправки самолета Ил-10 с пылефильтрами в НИИ ВВС КА на испытания». Однако не случилось. Серийный самолет Ил-10 с пылефильтром «начальником 1 -го отдела УЗСиМ был отправлен на испытания 20 мая 1945 года в Ногинск, так как на нем установлена ВУ-9 с пушкой УБ-20» (17490).</w:t>
      </w:r>
    </w:p>
    <w:p w14:paraId="0E5298CB" w14:textId="77777777" w:rsidR="00DF4EAD" w:rsidRPr="00925F26" w:rsidRDefault="00DF4EAD" w:rsidP="00925F26">
      <w:pPr>
        <w:jc w:val="both"/>
        <w:rPr>
          <w:color w:val="000000" w:themeColor="text1"/>
          <w:sz w:val="16"/>
          <w:szCs w:val="16"/>
        </w:rPr>
      </w:pPr>
    </w:p>
    <w:p w14:paraId="11BC5C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17 мая по 8 июня 1945 самолет 68 - фронтовой скоростной бомбардировщик с АМ-39ФНВ, сделанный на основе Ту-2, прошел заводские испытаний, которые провели л А.Д.Перелет и ви Б.Н.Гроздов (1835,58).</w:t>
      </w:r>
    </w:p>
    <w:p w14:paraId="023CCDF1" w14:textId="77777777" w:rsidR="00665165" w:rsidRPr="00925F26" w:rsidRDefault="00665165" w:rsidP="00925F26">
      <w:pPr>
        <w:autoSpaceDE w:val="0"/>
        <w:autoSpaceDN w:val="0"/>
        <w:adjustRightInd w:val="0"/>
        <w:jc w:val="both"/>
        <w:rPr>
          <w:color w:val="000000" w:themeColor="text1"/>
          <w:sz w:val="16"/>
          <w:szCs w:val="16"/>
        </w:rPr>
      </w:pPr>
    </w:p>
    <w:p w14:paraId="71B54FA5" w14:textId="77777777" w:rsidR="00681972" w:rsidRPr="00925F26" w:rsidRDefault="00681972"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С 17 мая по 8 июня 1945 прошли заводские испытания опытного ско</w:t>
      </w:r>
      <w:r w:rsidRPr="00925F26">
        <w:rPr>
          <w:rFonts w:ascii="Times New Roman" w:cs="Times New Roman"/>
          <w:color w:val="000000" w:themeColor="text1"/>
          <w:spacing w:val="0"/>
        </w:rPr>
        <w:softHyphen/>
        <w:t>ростного бомбардировщика «68» (Ту-10) с моторами АМ-39ФНВ, а государственные в ГК НИИ ВВС - с 26 июня по 30 июля 1945 г. По скорости, скороподъемности, взлетно-посадочным качествам «десят</w:t>
      </w:r>
      <w:r w:rsidRPr="00925F26">
        <w:rPr>
          <w:rFonts w:ascii="Times New Roman" w:cs="Times New Roman"/>
          <w:color w:val="000000" w:themeColor="text1"/>
          <w:spacing w:val="0"/>
        </w:rPr>
        <w:softHyphen/>
        <w:t>ка» оказалась хуже самолета «63/2». До</w:t>
      </w:r>
      <w:r w:rsidRPr="00925F26">
        <w:rPr>
          <w:rFonts w:ascii="Times New Roman" w:cs="Times New Roman"/>
          <w:color w:val="000000" w:themeColor="text1"/>
          <w:spacing w:val="0"/>
        </w:rPr>
        <w:softHyphen/>
        <w:t>водка машины до требуемых ВВС норм продолжалась вплоть до середины но</w:t>
      </w:r>
      <w:r w:rsidRPr="00925F26">
        <w:rPr>
          <w:rFonts w:ascii="Times New Roman" w:cs="Times New Roman"/>
          <w:color w:val="000000" w:themeColor="text1"/>
          <w:spacing w:val="0"/>
        </w:rPr>
        <w:softHyphen/>
        <w:t>ября 1946 г. После чего в начале 1947 г. Ту-10 с моторами АМ-39ФН2 выпустили небольшой серией в количестве 10 еди</w:t>
      </w:r>
      <w:r w:rsidRPr="00925F26">
        <w:rPr>
          <w:rFonts w:ascii="Times New Roman" w:cs="Times New Roman"/>
          <w:color w:val="000000" w:themeColor="text1"/>
          <w:spacing w:val="0"/>
        </w:rPr>
        <w:softHyphen/>
        <w:t>ниц на заводе №82 (15758).</w:t>
      </w:r>
    </w:p>
    <w:p w14:paraId="53BD5684" w14:textId="77777777" w:rsidR="00681972" w:rsidRPr="00925F26" w:rsidRDefault="00681972" w:rsidP="00925F26">
      <w:pPr>
        <w:pStyle w:val="27"/>
        <w:shd w:val="clear" w:color="auto" w:fill="auto"/>
        <w:spacing w:after="0" w:line="240" w:lineRule="auto"/>
        <w:ind w:firstLine="0"/>
        <w:rPr>
          <w:rFonts w:ascii="Times New Roman" w:cs="Times New Roman"/>
          <w:color w:val="000000" w:themeColor="text1"/>
          <w:spacing w:val="0"/>
        </w:rPr>
      </w:pPr>
    </w:p>
    <w:p w14:paraId="3191FB0F" w14:textId="77777777" w:rsidR="00F226AF" w:rsidRPr="001A0BAA" w:rsidRDefault="00F226AF" w:rsidP="00F226AF">
      <w:pPr>
        <w:jc w:val="both"/>
        <w:rPr>
          <w:color w:val="0070C0"/>
          <w:sz w:val="16"/>
          <w:szCs w:val="16"/>
        </w:rPr>
      </w:pPr>
      <w:r w:rsidRPr="001A0BAA">
        <w:rPr>
          <w:color w:val="0070C0"/>
          <w:sz w:val="16"/>
          <w:szCs w:val="16"/>
        </w:rPr>
        <w:t>С 17 мая по 8 июня 1945 года продолжались заводские испытания машины А.Н.Т. «68». Этот новый фронтовой бомбардировщик обозначался как Ту</w:t>
      </w:r>
      <w:r w:rsidRPr="001A0BAA">
        <w:rPr>
          <w:color w:val="0070C0"/>
          <w:sz w:val="16"/>
          <w:szCs w:val="16"/>
        </w:rPr>
        <w:noBreakHyphen/>
        <w:t>10 или Ту</w:t>
      </w:r>
      <w:r w:rsidRPr="001A0BAA">
        <w:rPr>
          <w:color w:val="0070C0"/>
          <w:sz w:val="16"/>
          <w:szCs w:val="16"/>
        </w:rPr>
        <w:noBreakHyphen/>
        <w:t>4.</w:t>
      </w:r>
    </w:p>
    <w:p w14:paraId="48594165" w14:textId="77777777" w:rsidR="00F226AF" w:rsidRPr="001A0BAA" w:rsidRDefault="00F226AF" w:rsidP="00F226AF">
      <w:pPr>
        <w:jc w:val="both"/>
        <w:rPr>
          <w:color w:val="0070C0"/>
          <w:sz w:val="16"/>
          <w:szCs w:val="16"/>
        </w:rPr>
      </w:pPr>
      <w:r w:rsidRPr="001A0BAA">
        <w:rPr>
          <w:color w:val="0070C0"/>
          <w:sz w:val="16"/>
          <w:szCs w:val="16"/>
        </w:rPr>
        <w:t>От серийного Ту</w:t>
      </w:r>
      <w:r w:rsidRPr="001A0BAA">
        <w:rPr>
          <w:color w:val="0070C0"/>
          <w:sz w:val="16"/>
          <w:szCs w:val="16"/>
        </w:rPr>
        <w:noBreakHyphen/>
        <w:t>2 он отличался в следующих деталях:</w:t>
      </w:r>
    </w:p>
    <w:p w14:paraId="232E9C74" w14:textId="77777777" w:rsidR="00F226AF" w:rsidRPr="001A0BAA" w:rsidRDefault="00F226AF" w:rsidP="00F226AF">
      <w:pPr>
        <w:jc w:val="both"/>
        <w:rPr>
          <w:color w:val="0070C0"/>
          <w:sz w:val="16"/>
          <w:szCs w:val="16"/>
        </w:rPr>
      </w:pPr>
      <w:r w:rsidRPr="001A0BAA">
        <w:rPr>
          <w:color w:val="0070C0"/>
          <w:sz w:val="16"/>
          <w:szCs w:val="16"/>
        </w:rPr>
        <w:t>Увеличенная площадь остекления в носовой части фюзеляжа, три бортовых окна заменены одним большим. В центроплан перенесли радиаторы;</w:t>
      </w:r>
    </w:p>
    <w:p w14:paraId="4E34E309" w14:textId="77777777" w:rsidR="00F226AF" w:rsidRPr="001A0BAA" w:rsidRDefault="00F226AF" w:rsidP="00F226AF">
      <w:pPr>
        <w:jc w:val="both"/>
        <w:rPr>
          <w:color w:val="0070C0"/>
          <w:sz w:val="16"/>
          <w:szCs w:val="16"/>
        </w:rPr>
      </w:pPr>
      <w:r w:rsidRPr="001A0BAA">
        <w:rPr>
          <w:color w:val="0070C0"/>
          <w:sz w:val="16"/>
          <w:szCs w:val="16"/>
        </w:rPr>
        <w:t>Установлены двигатели АМ</w:t>
      </w:r>
      <w:r w:rsidRPr="001A0BAA">
        <w:rPr>
          <w:color w:val="0070C0"/>
          <w:sz w:val="16"/>
          <w:szCs w:val="16"/>
        </w:rPr>
        <w:noBreakHyphen/>
        <w:t>39ФНВ;</w:t>
      </w:r>
    </w:p>
    <w:p w14:paraId="5DF6A264" w14:textId="77777777" w:rsidR="00F226AF" w:rsidRPr="001A0BAA" w:rsidRDefault="00F226AF" w:rsidP="00F226AF">
      <w:pPr>
        <w:jc w:val="both"/>
        <w:rPr>
          <w:color w:val="0070C0"/>
          <w:sz w:val="16"/>
          <w:szCs w:val="16"/>
        </w:rPr>
      </w:pPr>
      <w:r w:rsidRPr="001A0BAA">
        <w:rPr>
          <w:color w:val="0070C0"/>
          <w:sz w:val="16"/>
          <w:szCs w:val="16"/>
        </w:rPr>
        <w:t>Изменили планировку кабины штурмана и стрелка</w:t>
      </w:r>
      <w:r w:rsidRPr="001A0BAA">
        <w:rPr>
          <w:color w:val="0070C0"/>
          <w:sz w:val="16"/>
          <w:szCs w:val="16"/>
        </w:rPr>
        <w:noBreakHyphen/>
        <w:t>радиста, модифицировали огневую точку в нижней части фюзеляжа (25073).</w:t>
      </w:r>
    </w:p>
    <w:p w14:paraId="59C0B32A" w14:textId="77777777" w:rsidR="00F226AF" w:rsidRPr="001A0BAA" w:rsidRDefault="00F226AF" w:rsidP="00F226AF">
      <w:pPr>
        <w:jc w:val="both"/>
        <w:rPr>
          <w:color w:val="0070C0"/>
          <w:sz w:val="16"/>
          <w:szCs w:val="16"/>
        </w:rPr>
      </w:pPr>
    </w:p>
    <w:p w14:paraId="21ACF4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при контрольных испытаниях Як-3 на прочность в ЛИИ у л С.Н.Анохин на пятом режиме сломалось крыло и при приземлении с парашютом Анохин сильно разбился (5490, 30).</w:t>
      </w:r>
    </w:p>
    <w:p w14:paraId="03201D3F" w14:textId="77777777" w:rsidR="00665165" w:rsidRPr="00925F26" w:rsidRDefault="00665165" w:rsidP="00925F26">
      <w:pPr>
        <w:autoSpaceDE w:val="0"/>
        <w:autoSpaceDN w:val="0"/>
        <w:adjustRightInd w:val="0"/>
        <w:jc w:val="both"/>
        <w:rPr>
          <w:color w:val="000000" w:themeColor="text1"/>
          <w:sz w:val="16"/>
          <w:szCs w:val="16"/>
        </w:rPr>
      </w:pPr>
    </w:p>
    <w:p w14:paraId="020EA4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года в ходе контрольных испытаний Як-3 в ЛИИ произошла авария, едва не переросшая в катастрофу. Накануне летчик-испытатель И.В. Эйнис выполнил на Як-3 полет на высший пилотаж, а точнее, на проверку прочности в полном соответствии с заданием. Все прошло хорошо, если не считать, что основные опоры шасси выпустились не одновременно, а с большим интервалом. Причем "солдатик" - механический указатель положения шасси левой опоры - вышел не в своем месте, а рядом, пробив фанерную обшивку крыла. Но на это никто не обратил внимание. Следует учесть, что необходимые параметры полета самолета были зафиксированы бортовыми самописцами, и, судя по всему, перегрузки в том полете не превышали эксплуатационных значений.</w:t>
      </w:r>
    </w:p>
    <w:p w14:paraId="06CA69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Затем в кабину самолета сел С.Н. Анохин. Ему предстояло сделать 12 режимов с перегрузками. Первые два прошли благополучно, но на третьем Сергей Николаевич не включил самописец, и режим пришлось повторить. Позже Марк Лазаревич Галлай так описывал происшедшее: "Начав очередную фигуру, он (Анохин) услышал громкий треск, и в то же мгновение машина рванулась в сторону так резко, что летчика со страшной силой ударило виском о фонарь кабины, а рукой и плечом - об ее жесткий борт.</w:t>
      </w:r>
    </w:p>
    <w:p w14:paraId="1E469B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 самолета отлетело крыло!"</w:t>
      </w:r>
    </w:p>
    <w:p w14:paraId="15D398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Летчику стоило огромных усилий и самообладания сбросить фонарь и выпрыгнуть с парашютом из беспорядочно падающего к земле самолета. Анохин получил тяжелые ранения и потерял левый глаз...</w:t>
      </w:r>
    </w:p>
    <w:p w14:paraId="7199C0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контрольных испытаний Як-3 с мотором ВК-105ПФ2, выпущенных заводом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F5689" w:rsidRPr="00925F26" w14:paraId="50883AA8" w14:textId="77777777">
        <w:tc>
          <w:tcPr>
            <w:tcW w:w="1245" w:type="dxa"/>
            <w:tcBorders>
              <w:top w:val="single" w:sz="12" w:space="0" w:color="auto"/>
            </w:tcBorders>
          </w:tcPr>
          <w:p w14:paraId="32890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w:t>
            </w:r>
          </w:p>
        </w:tc>
        <w:tc>
          <w:tcPr>
            <w:tcW w:w="1245" w:type="dxa"/>
            <w:tcBorders>
              <w:top w:val="single" w:sz="12" w:space="0" w:color="auto"/>
            </w:tcBorders>
          </w:tcPr>
          <w:p w14:paraId="4CF957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Як-33&gt; №1112</w:t>
            </w:r>
          </w:p>
        </w:tc>
        <w:tc>
          <w:tcPr>
            <w:tcW w:w="1245" w:type="dxa"/>
            <w:tcBorders>
              <w:top w:val="single" w:sz="12" w:space="0" w:color="auto"/>
            </w:tcBorders>
          </w:tcPr>
          <w:p w14:paraId="149D35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№3721</w:t>
            </w:r>
          </w:p>
        </w:tc>
        <w:tc>
          <w:tcPr>
            <w:tcW w:w="1245" w:type="dxa"/>
            <w:tcBorders>
              <w:top w:val="single" w:sz="12" w:space="0" w:color="auto"/>
            </w:tcBorders>
          </w:tcPr>
          <w:p w14:paraId="6E1EA9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№7426</w:t>
            </w:r>
          </w:p>
        </w:tc>
        <w:tc>
          <w:tcPr>
            <w:tcW w:w="1245" w:type="dxa"/>
            <w:tcBorders>
              <w:top w:val="single" w:sz="12" w:space="0" w:color="auto"/>
            </w:tcBorders>
          </w:tcPr>
          <w:p w14:paraId="295A12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№9626</w:t>
            </w:r>
          </w:p>
        </w:tc>
        <w:tc>
          <w:tcPr>
            <w:tcW w:w="1245" w:type="dxa"/>
            <w:tcBorders>
              <w:top w:val="single" w:sz="12" w:space="0" w:color="auto"/>
            </w:tcBorders>
          </w:tcPr>
          <w:p w14:paraId="7F9236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№0538</w:t>
            </w:r>
          </w:p>
        </w:tc>
        <w:tc>
          <w:tcPr>
            <w:tcW w:w="1245" w:type="dxa"/>
            <w:tcBorders>
              <w:top w:val="single" w:sz="12" w:space="0" w:color="auto"/>
            </w:tcBorders>
          </w:tcPr>
          <w:p w14:paraId="274559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№2229</w:t>
            </w:r>
          </w:p>
        </w:tc>
        <w:tc>
          <w:tcPr>
            <w:tcW w:w="1245" w:type="dxa"/>
            <w:tcBorders>
              <w:top w:val="single" w:sz="12" w:space="0" w:color="auto"/>
            </w:tcBorders>
          </w:tcPr>
          <w:p w14:paraId="2A8D66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№4145</w:t>
            </w:r>
          </w:p>
        </w:tc>
        <w:tc>
          <w:tcPr>
            <w:tcW w:w="1245" w:type="dxa"/>
            <w:tcBorders>
              <w:top w:val="single" w:sz="12" w:space="0" w:color="auto"/>
            </w:tcBorders>
          </w:tcPr>
          <w:p w14:paraId="0D9CB9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№1630</w:t>
            </w:r>
          </w:p>
        </w:tc>
      </w:tr>
      <w:tr w:rsidR="000F5689" w:rsidRPr="00925F26" w14:paraId="03DC48B8" w14:textId="77777777">
        <w:tc>
          <w:tcPr>
            <w:tcW w:w="1245" w:type="dxa"/>
          </w:tcPr>
          <w:p w14:paraId="153F1B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Дата выпуска</w:t>
            </w:r>
          </w:p>
        </w:tc>
        <w:tc>
          <w:tcPr>
            <w:tcW w:w="1245" w:type="dxa"/>
          </w:tcPr>
          <w:p w14:paraId="3108D0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Август 1944 г.</w:t>
            </w:r>
          </w:p>
        </w:tc>
        <w:tc>
          <w:tcPr>
            <w:tcW w:w="1245" w:type="dxa"/>
          </w:tcPr>
          <w:p w14:paraId="3A305D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Сентябрь 1944 г.</w:t>
            </w:r>
          </w:p>
        </w:tc>
        <w:tc>
          <w:tcPr>
            <w:tcW w:w="1245" w:type="dxa"/>
          </w:tcPr>
          <w:p w14:paraId="6C7A4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Октябрь 1944 г.</w:t>
            </w:r>
          </w:p>
        </w:tc>
        <w:tc>
          <w:tcPr>
            <w:tcW w:w="1245" w:type="dxa"/>
          </w:tcPr>
          <w:p w14:paraId="29F518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Октябрь 1944 г.</w:t>
            </w:r>
          </w:p>
        </w:tc>
        <w:tc>
          <w:tcPr>
            <w:tcW w:w="1245" w:type="dxa"/>
          </w:tcPr>
          <w:p w14:paraId="3ACA5F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Ноябрь 1944 г.</w:t>
            </w:r>
          </w:p>
        </w:tc>
        <w:tc>
          <w:tcPr>
            <w:tcW w:w="1245" w:type="dxa"/>
          </w:tcPr>
          <w:p w14:paraId="00B96B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Ноябрь 1944 г.</w:t>
            </w:r>
          </w:p>
        </w:tc>
        <w:tc>
          <w:tcPr>
            <w:tcW w:w="1245" w:type="dxa"/>
          </w:tcPr>
          <w:p w14:paraId="644F5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Май 1945 г.</w:t>
            </w:r>
          </w:p>
        </w:tc>
        <w:tc>
          <w:tcPr>
            <w:tcW w:w="1245" w:type="dxa"/>
          </w:tcPr>
          <w:p w14:paraId="523630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Апрель 1945 г.</w:t>
            </w:r>
          </w:p>
        </w:tc>
      </w:tr>
      <w:tr w:rsidR="000F5689" w:rsidRPr="00925F26" w14:paraId="4C2CEA3A" w14:textId="77777777">
        <w:tc>
          <w:tcPr>
            <w:tcW w:w="1245" w:type="dxa"/>
          </w:tcPr>
          <w:p w14:paraId="34DE70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245" w:type="dxa"/>
          </w:tcPr>
          <w:p w14:paraId="54970D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2675</w:t>
            </w:r>
          </w:p>
        </w:tc>
        <w:tc>
          <w:tcPr>
            <w:tcW w:w="1245" w:type="dxa"/>
          </w:tcPr>
          <w:p w14:paraId="41E6F1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2655</w:t>
            </w:r>
          </w:p>
        </w:tc>
        <w:tc>
          <w:tcPr>
            <w:tcW w:w="1245" w:type="dxa"/>
          </w:tcPr>
          <w:p w14:paraId="53D579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2684</w:t>
            </w:r>
          </w:p>
        </w:tc>
        <w:tc>
          <w:tcPr>
            <w:tcW w:w="1245" w:type="dxa"/>
          </w:tcPr>
          <w:p w14:paraId="3FAA49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2678</w:t>
            </w:r>
          </w:p>
        </w:tc>
        <w:tc>
          <w:tcPr>
            <w:tcW w:w="1245" w:type="dxa"/>
          </w:tcPr>
          <w:p w14:paraId="02D0AB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2683</w:t>
            </w:r>
          </w:p>
        </w:tc>
        <w:tc>
          <w:tcPr>
            <w:tcW w:w="1245" w:type="dxa"/>
          </w:tcPr>
          <w:p w14:paraId="1A6073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245" w:type="dxa"/>
          </w:tcPr>
          <w:p w14:paraId="013025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2709</w:t>
            </w:r>
          </w:p>
        </w:tc>
        <w:tc>
          <w:tcPr>
            <w:tcW w:w="1245" w:type="dxa"/>
          </w:tcPr>
          <w:p w14:paraId="2F2226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2692</w:t>
            </w:r>
          </w:p>
        </w:tc>
      </w:tr>
      <w:tr w:rsidR="000F5689" w:rsidRPr="00925F26" w14:paraId="467CF40E" w14:textId="77777777">
        <w:tc>
          <w:tcPr>
            <w:tcW w:w="1245" w:type="dxa"/>
          </w:tcPr>
          <w:p w14:paraId="722288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245" w:type="dxa"/>
          </w:tcPr>
          <w:p w14:paraId="31DF4F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5F01FC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6A398B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3CA163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1681B2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2146</w:t>
            </w:r>
          </w:p>
        </w:tc>
        <w:tc>
          <w:tcPr>
            <w:tcW w:w="1245" w:type="dxa"/>
          </w:tcPr>
          <w:p w14:paraId="08A27F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2146</w:t>
            </w:r>
          </w:p>
        </w:tc>
        <w:tc>
          <w:tcPr>
            <w:tcW w:w="1245" w:type="dxa"/>
          </w:tcPr>
          <w:p w14:paraId="5CFE72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2141</w:t>
            </w:r>
          </w:p>
        </w:tc>
        <w:tc>
          <w:tcPr>
            <w:tcW w:w="1245" w:type="dxa"/>
          </w:tcPr>
          <w:p w14:paraId="286F07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E827080" w14:textId="77777777">
        <w:tc>
          <w:tcPr>
            <w:tcW w:w="1245" w:type="dxa"/>
          </w:tcPr>
          <w:p w14:paraId="42ABA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топлива, кг</w:t>
            </w:r>
          </w:p>
        </w:tc>
        <w:tc>
          <w:tcPr>
            <w:tcW w:w="1245" w:type="dxa"/>
          </w:tcPr>
          <w:p w14:paraId="4E7BB4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7AD14B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4A5286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5B0DC9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3B0173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w:t>
            </w:r>
          </w:p>
        </w:tc>
        <w:tc>
          <w:tcPr>
            <w:tcW w:w="1245" w:type="dxa"/>
          </w:tcPr>
          <w:p w14:paraId="41CA7A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w:t>
            </w:r>
          </w:p>
        </w:tc>
        <w:tc>
          <w:tcPr>
            <w:tcW w:w="1245" w:type="dxa"/>
          </w:tcPr>
          <w:p w14:paraId="0FC8CF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w:t>
            </w:r>
          </w:p>
        </w:tc>
        <w:tc>
          <w:tcPr>
            <w:tcW w:w="1245" w:type="dxa"/>
          </w:tcPr>
          <w:p w14:paraId="25C916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1CB19F2" w14:textId="77777777">
        <w:tc>
          <w:tcPr>
            <w:tcW w:w="1245" w:type="dxa"/>
          </w:tcPr>
          <w:p w14:paraId="5D229A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 у земли на высоте, км</w:t>
            </w:r>
          </w:p>
        </w:tc>
        <w:tc>
          <w:tcPr>
            <w:tcW w:w="1245" w:type="dxa"/>
          </w:tcPr>
          <w:p w14:paraId="138EA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555 631/4,2</w:t>
            </w:r>
          </w:p>
        </w:tc>
        <w:tc>
          <w:tcPr>
            <w:tcW w:w="1245" w:type="dxa"/>
          </w:tcPr>
          <w:p w14:paraId="629FE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567 641/3,75</w:t>
            </w:r>
          </w:p>
        </w:tc>
        <w:tc>
          <w:tcPr>
            <w:tcW w:w="1245" w:type="dxa"/>
          </w:tcPr>
          <w:p w14:paraId="2AEF1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571 615/1,75 642/3,75</w:t>
            </w:r>
          </w:p>
        </w:tc>
        <w:tc>
          <w:tcPr>
            <w:tcW w:w="1245" w:type="dxa"/>
          </w:tcPr>
          <w:p w14:paraId="3228F9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566 642/3,75</w:t>
            </w:r>
          </w:p>
        </w:tc>
        <w:tc>
          <w:tcPr>
            <w:tcW w:w="1245" w:type="dxa"/>
          </w:tcPr>
          <w:p w14:paraId="69067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570 615/2000 644/4100</w:t>
            </w:r>
          </w:p>
        </w:tc>
        <w:tc>
          <w:tcPr>
            <w:tcW w:w="1245" w:type="dxa"/>
          </w:tcPr>
          <w:p w14:paraId="38EDFB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560 613/2,1 639/4,15</w:t>
            </w:r>
          </w:p>
        </w:tc>
        <w:tc>
          <w:tcPr>
            <w:tcW w:w="1245" w:type="dxa"/>
          </w:tcPr>
          <w:p w14:paraId="1CCD4E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572 623/2,15 650/4,2</w:t>
            </w:r>
          </w:p>
        </w:tc>
        <w:tc>
          <w:tcPr>
            <w:tcW w:w="1245" w:type="dxa"/>
          </w:tcPr>
          <w:p w14:paraId="0B3BD7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545 635/3,85</w:t>
            </w:r>
          </w:p>
        </w:tc>
      </w:tr>
      <w:tr w:rsidR="000F5689" w:rsidRPr="00925F26" w14:paraId="59874EAF" w14:textId="77777777">
        <w:tc>
          <w:tcPr>
            <w:tcW w:w="1245" w:type="dxa"/>
          </w:tcPr>
          <w:p w14:paraId="37AF1B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245" w:type="dxa"/>
          </w:tcPr>
          <w:p w14:paraId="53AE9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245" w:type="dxa"/>
          </w:tcPr>
          <w:p w14:paraId="6AF02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245" w:type="dxa"/>
          </w:tcPr>
          <w:p w14:paraId="1B2001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245" w:type="dxa"/>
          </w:tcPr>
          <w:p w14:paraId="35DE8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35C71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245" w:type="dxa"/>
          </w:tcPr>
          <w:p w14:paraId="31D39C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c>
          <w:tcPr>
            <w:tcW w:w="1245" w:type="dxa"/>
          </w:tcPr>
          <w:p w14:paraId="1E1F72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1245" w:type="dxa"/>
          </w:tcPr>
          <w:p w14:paraId="3779DF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r>
      <w:tr w:rsidR="000F5689" w:rsidRPr="00925F26" w14:paraId="6DD15D7F" w14:textId="77777777">
        <w:tc>
          <w:tcPr>
            <w:tcW w:w="1245" w:type="dxa"/>
          </w:tcPr>
          <w:p w14:paraId="36E271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Практический </w:t>
            </w:r>
            <w:proofErr w:type="gramStart"/>
            <w:r w:rsidRPr="00925F26">
              <w:rPr>
                <w:color w:val="000000" w:themeColor="text1"/>
                <w:sz w:val="16"/>
                <w:szCs w:val="16"/>
              </w:rPr>
              <w:t>потолок,м</w:t>
            </w:r>
            <w:proofErr w:type="gramEnd"/>
          </w:p>
        </w:tc>
        <w:tc>
          <w:tcPr>
            <w:tcW w:w="1245" w:type="dxa"/>
          </w:tcPr>
          <w:p w14:paraId="28180B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10 400</w:t>
            </w:r>
          </w:p>
        </w:tc>
        <w:tc>
          <w:tcPr>
            <w:tcW w:w="1245" w:type="dxa"/>
          </w:tcPr>
          <w:p w14:paraId="3D90C3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75BA0F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7DEBD3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5B2C0C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43EEE3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3E92B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10 150</w:t>
            </w:r>
          </w:p>
        </w:tc>
        <w:tc>
          <w:tcPr>
            <w:tcW w:w="1245" w:type="dxa"/>
          </w:tcPr>
          <w:p w14:paraId="1DD0C9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10 300</w:t>
            </w:r>
          </w:p>
        </w:tc>
      </w:tr>
      <w:tr w:rsidR="000F5689" w:rsidRPr="00925F26" w14:paraId="4F66F601" w14:textId="77777777">
        <w:tc>
          <w:tcPr>
            <w:tcW w:w="1245" w:type="dxa"/>
          </w:tcPr>
          <w:p w14:paraId="13FCB6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1245" w:type="dxa"/>
          </w:tcPr>
          <w:p w14:paraId="60E737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213C48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20BB4A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4C30FC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0E4DE1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245" w:type="dxa"/>
          </w:tcPr>
          <w:p w14:paraId="5CDBB4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w:t>
            </w:r>
          </w:p>
        </w:tc>
        <w:tc>
          <w:tcPr>
            <w:tcW w:w="1245" w:type="dxa"/>
          </w:tcPr>
          <w:p w14:paraId="73B16C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5872)</w:t>
            </w:r>
          </w:p>
        </w:tc>
        <w:tc>
          <w:tcPr>
            <w:tcW w:w="1245" w:type="dxa"/>
          </w:tcPr>
          <w:p w14:paraId="789D8E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A688F59" w14:textId="77777777">
        <w:tc>
          <w:tcPr>
            <w:tcW w:w="1245" w:type="dxa"/>
            <w:tcBorders>
              <w:bottom w:val="single" w:sz="12" w:space="0" w:color="auto"/>
            </w:tcBorders>
          </w:tcPr>
          <w:p w14:paraId="3BF86C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количество х калибр</w:t>
            </w:r>
          </w:p>
        </w:tc>
        <w:tc>
          <w:tcPr>
            <w:tcW w:w="1245" w:type="dxa"/>
            <w:tcBorders>
              <w:bottom w:val="single" w:sz="12" w:space="0" w:color="auto"/>
            </w:tcBorders>
          </w:tcPr>
          <w:p w14:paraId="446AA9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4AFE52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19B7D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3D21AA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4F8389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04329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2423A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2x12,7</w:t>
            </w:r>
          </w:p>
        </w:tc>
        <w:tc>
          <w:tcPr>
            <w:tcW w:w="1245" w:type="dxa"/>
            <w:tcBorders>
              <w:bottom w:val="single" w:sz="12" w:space="0" w:color="auto"/>
            </w:tcBorders>
          </w:tcPr>
          <w:p w14:paraId="067A3C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3x20</w:t>
            </w:r>
          </w:p>
        </w:tc>
      </w:tr>
    </w:tbl>
    <w:p w14:paraId="38500B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Примечания: 1 - скорость 500 км/ч, высота 5000 м. Продолжительность полета - 1 час 10 минут; 2 -скорость 494 км/ч, высота 5000 м. Продолжительность полета - 1 час 13 минут. На наивыгоднейшем режиме: скорость 336 км/ч на высоте 1000 м, дальность - 717 км, продолжительность полета - 2 часа 8 минут; 3 - разбег/пробег - 280/425 м. </w:t>
      </w:r>
    </w:p>
    <w:p w14:paraId="71D009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Як-3 с мотором ВК-105ПФ2 продолжались до завершения серийного производства машины.</w:t>
      </w:r>
    </w:p>
    <w:p w14:paraId="55141D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контрольных испытаний Як-3 с мотором ВК-105ПФ2, пушкой МП-20 и двумя пулеметами БС завода №31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F5689" w:rsidRPr="00925F26" w14:paraId="3DA1965F" w14:textId="77777777">
        <w:tc>
          <w:tcPr>
            <w:tcW w:w="3736" w:type="dxa"/>
            <w:tcBorders>
              <w:top w:val="single" w:sz="12" w:space="0" w:color="auto"/>
            </w:tcBorders>
          </w:tcPr>
          <w:p w14:paraId="7FB0AB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w:t>
            </w:r>
          </w:p>
        </w:tc>
        <w:tc>
          <w:tcPr>
            <w:tcW w:w="3736" w:type="dxa"/>
            <w:tcBorders>
              <w:top w:val="single" w:sz="12" w:space="0" w:color="auto"/>
            </w:tcBorders>
          </w:tcPr>
          <w:p w14:paraId="379F12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c>
          <w:tcPr>
            <w:tcW w:w="3736" w:type="dxa"/>
            <w:tcBorders>
              <w:top w:val="single" w:sz="12" w:space="0" w:color="auto"/>
            </w:tcBorders>
          </w:tcPr>
          <w:p w14:paraId="6C8822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r>
      <w:tr w:rsidR="000F5689" w:rsidRPr="00925F26" w14:paraId="0DB67ED1" w14:textId="77777777">
        <w:tc>
          <w:tcPr>
            <w:tcW w:w="3736" w:type="dxa"/>
          </w:tcPr>
          <w:p w14:paraId="7B1281C4" w14:textId="77777777" w:rsidR="00665165" w:rsidRPr="00925F26" w:rsidRDefault="00665165" w:rsidP="00925F26">
            <w:pPr>
              <w:autoSpaceDE w:val="0"/>
              <w:autoSpaceDN w:val="0"/>
              <w:adjustRightInd w:val="0"/>
              <w:jc w:val="both"/>
              <w:rPr>
                <w:color w:val="000000" w:themeColor="text1"/>
                <w:sz w:val="16"/>
                <w:szCs w:val="16"/>
              </w:rPr>
            </w:pPr>
          </w:p>
        </w:tc>
        <w:tc>
          <w:tcPr>
            <w:tcW w:w="3736" w:type="dxa"/>
          </w:tcPr>
          <w:p w14:paraId="100932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№310001</w:t>
            </w:r>
          </w:p>
        </w:tc>
        <w:tc>
          <w:tcPr>
            <w:tcW w:w="3736" w:type="dxa"/>
          </w:tcPr>
          <w:p w14:paraId="4BE0E4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№310111</w:t>
            </w:r>
          </w:p>
        </w:tc>
      </w:tr>
      <w:tr w:rsidR="000F5689" w:rsidRPr="00925F26" w14:paraId="1EDB1FAD" w14:textId="77777777">
        <w:tc>
          <w:tcPr>
            <w:tcW w:w="3736" w:type="dxa"/>
          </w:tcPr>
          <w:p w14:paraId="2D2BD2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Дата выпуска</w:t>
            </w:r>
          </w:p>
        </w:tc>
        <w:tc>
          <w:tcPr>
            <w:tcW w:w="3736" w:type="dxa"/>
          </w:tcPr>
          <w:p w14:paraId="053533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апрель 1944 г.</w:t>
            </w:r>
          </w:p>
        </w:tc>
        <w:tc>
          <w:tcPr>
            <w:tcW w:w="3736" w:type="dxa"/>
          </w:tcPr>
          <w:p w14:paraId="65162D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октябрь 1944 г.</w:t>
            </w:r>
          </w:p>
        </w:tc>
      </w:tr>
      <w:tr w:rsidR="000F5689" w:rsidRPr="00925F26" w14:paraId="548E24A0" w14:textId="77777777">
        <w:tc>
          <w:tcPr>
            <w:tcW w:w="3736" w:type="dxa"/>
          </w:tcPr>
          <w:p w14:paraId="575AE3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3736" w:type="dxa"/>
          </w:tcPr>
          <w:p w14:paraId="54D57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2676,5</w:t>
            </w:r>
          </w:p>
        </w:tc>
        <w:tc>
          <w:tcPr>
            <w:tcW w:w="3736" w:type="dxa"/>
          </w:tcPr>
          <w:p w14:paraId="1C7F23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2697</w:t>
            </w:r>
          </w:p>
        </w:tc>
      </w:tr>
      <w:tr w:rsidR="000F5689" w:rsidRPr="00925F26" w14:paraId="1B2ACA10" w14:textId="77777777">
        <w:tc>
          <w:tcPr>
            <w:tcW w:w="3736" w:type="dxa"/>
          </w:tcPr>
          <w:p w14:paraId="6C1FF9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 у земли на высоте, км</w:t>
            </w:r>
          </w:p>
        </w:tc>
        <w:tc>
          <w:tcPr>
            <w:tcW w:w="3736" w:type="dxa"/>
          </w:tcPr>
          <w:p w14:paraId="21A7E2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570 619/2,1 658/4,15</w:t>
            </w:r>
          </w:p>
        </w:tc>
        <w:tc>
          <w:tcPr>
            <w:tcW w:w="3736" w:type="dxa"/>
          </w:tcPr>
          <w:p w14:paraId="40AF2B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567 646/4,1</w:t>
            </w:r>
          </w:p>
        </w:tc>
      </w:tr>
      <w:tr w:rsidR="000F5689" w:rsidRPr="00925F26" w14:paraId="0BB8C9FC" w14:textId="77777777">
        <w:tc>
          <w:tcPr>
            <w:tcW w:w="3736" w:type="dxa"/>
          </w:tcPr>
          <w:p w14:paraId="53968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мин: 5000 м</w:t>
            </w:r>
          </w:p>
        </w:tc>
        <w:tc>
          <w:tcPr>
            <w:tcW w:w="3736" w:type="dxa"/>
          </w:tcPr>
          <w:p w14:paraId="520135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3736" w:type="dxa"/>
          </w:tcPr>
          <w:p w14:paraId="13610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tc>
      </w:tr>
      <w:tr w:rsidR="000F5689" w:rsidRPr="00925F26" w14:paraId="229DCE06" w14:textId="77777777">
        <w:tc>
          <w:tcPr>
            <w:tcW w:w="3736" w:type="dxa"/>
          </w:tcPr>
          <w:p w14:paraId="4B2984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практического потолка</w:t>
            </w:r>
          </w:p>
        </w:tc>
        <w:tc>
          <w:tcPr>
            <w:tcW w:w="3736" w:type="dxa"/>
          </w:tcPr>
          <w:p w14:paraId="12C3F5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Pr>
          <w:p w14:paraId="02B2DB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r>
      <w:tr w:rsidR="000F5689" w:rsidRPr="00925F26" w14:paraId="49CA7DDF" w14:textId="77777777">
        <w:tc>
          <w:tcPr>
            <w:tcW w:w="3736" w:type="dxa"/>
            <w:tcBorders>
              <w:bottom w:val="single" w:sz="12" w:space="0" w:color="auto"/>
            </w:tcBorders>
          </w:tcPr>
          <w:p w14:paraId="1AF584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3736" w:type="dxa"/>
            <w:tcBorders>
              <w:bottom w:val="single" w:sz="12" w:space="0" w:color="auto"/>
            </w:tcBorders>
          </w:tcPr>
          <w:p w14:paraId="57DD0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Borders>
              <w:bottom w:val="single" w:sz="12" w:space="0" w:color="auto"/>
            </w:tcBorders>
          </w:tcPr>
          <w:p w14:paraId="55200E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10 400</w:t>
            </w:r>
          </w:p>
        </w:tc>
      </w:tr>
    </w:tbl>
    <w:p w14:paraId="784BC0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(12047).</w:t>
      </w:r>
    </w:p>
    <w:p w14:paraId="0D1996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истребителей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0F5689" w:rsidRPr="00925F26" w14:paraId="7E109E33" w14:textId="77777777">
        <w:tc>
          <w:tcPr>
            <w:tcW w:w="1401" w:type="dxa"/>
            <w:tcBorders>
              <w:top w:val="single" w:sz="12" w:space="0" w:color="auto"/>
            </w:tcBorders>
          </w:tcPr>
          <w:p w14:paraId="29A35654"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Borders>
              <w:top w:val="single" w:sz="12" w:space="0" w:color="auto"/>
            </w:tcBorders>
          </w:tcPr>
          <w:p w14:paraId="7A3392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Як-1М</w:t>
            </w:r>
          </w:p>
        </w:tc>
        <w:tc>
          <w:tcPr>
            <w:tcW w:w="1401" w:type="dxa"/>
            <w:tcBorders>
              <w:top w:val="single" w:sz="12" w:space="0" w:color="auto"/>
            </w:tcBorders>
          </w:tcPr>
          <w:p w14:paraId="27847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Як-IM"Дублер"</w:t>
            </w:r>
          </w:p>
        </w:tc>
        <w:tc>
          <w:tcPr>
            <w:tcW w:w="1401" w:type="dxa"/>
            <w:tcBorders>
              <w:top w:val="single" w:sz="12" w:space="0" w:color="auto"/>
            </w:tcBorders>
          </w:tcPr>
          <w:p w14:paraId="206E58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Як-ЗПД</w:t>
            </w:r>
          </w:p>
        </w:tc>
        <w:tc>
          <w:tcPr>
            <w:tcW w:w="2802" w:type="dxa"/>
            <w:gridSpan w:val="2"/>
            <w:tcBorders>
              <w:top w:val="single" w:sz="12" w:space="0" w:color="auto"/>
            </w:tcBorders>
          </w:tcPr>
          <w:p w14:paraId="4439BF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Як-ЗП5 №22-29 Серийный</w:t>
            </w:r>
          </w:p>
          <w:p w14:paraId="7678E13E"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Borders>
              <w:top w:val="single" w:sz="12" w:space="0" w:color="auto"/>
            </w:tcBorders>
          </w:tcPr>
          <w:p w14:paraId="166607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Як-ЗТ2"</w:t>
            </w:r>
          </w:p>
        </w:tc>
        <w:tc>
          <w:tcPr>
            <w:tcW w:w="1401" w:type="dxa"/>
            <w:tcBorders>
              <w:top w:val="single" w:sz="12" w:space="0" w:color="auto"/>
            </w:tcBorders>
          </w:tcPr>
          <w:p w14:paraId="6334D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w:t>
            </w:r>
          </w:p>
        </w:tc>
      </w:tr>
      <w:tr w:rsidR="000F5689" w:rsidRPr="00925F26" w14:paraId="32C7A796" w14:textId="77777777">
        <w:tc>
          <w:tcPr>
            <w:tcW w:w="1401" w:type="dxa"/>
          </w:tcPr>
          <w:p w14:paraId="5E91F500"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070DF30"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52EF447"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55E1858"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5D8A5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Заводские испытания</w:t>
            </w:r>
          </w:p>
        </w:tc>
        <w:tc>
          <w:tcPr>
            <w:tcW w:w="1401" w:type="dxa"/>
          </w:tcPr>
          <w:p w14:paraId="735444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Госиспытания</w:t>
            </w:r>
          </w:p>
        </w:tc>
        <w:tc>
          <w:tcPr>
            <w:tcW w:w="1401" w:type="dxa"/>
          </w:tcPr>
          <w:p w14:paraId="02D99AA0"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710DA03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9C9DF86" w14:textId="77777777">
        <w:tc>
          <w:tcPr>
            <w:tcW w:w="1401" w:type="dxa"/>
          </w:tcPr>
          <w:p w14:paraId="3074F4FE"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1E78367"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79A8B2B3"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7DC6447"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CFFDD52"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EDA7159"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D3B4603"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5F9C36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B3C971A" w14:textId="77777777">
        <w:tc>
          <w:tcPr>
            <w:tcW w:w="1401" w:type="dxa"/>
          </w:tcPr>
          <w:p w14:paraId="7090C5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w:t>
            </w:r>
          </w:p>
        </w:tc>
        <w:tc>
          <w:tcPr>
            <w:tcW w:w="1401" w:type="dxa"/>
          </w:tcPr>
          <w:p w14:paraId="7CF139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М-105ПФ2</w:t>
            </w:r>
          </w:p>
        </w:tc>
        <w:tc>
          <w:tcPr>
            <w:tcW w:w="1401" w:type="dxa"/>
          </w:tcPr>
          <w:p w14:paraId="4D2ABD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М-105ПФ2</w:t>
            </w:r>
          </w:p>
        </w:tc>
        <w:tc>
          <w:tcPr>
            <w:tcW w:w="1401" w:type="dxa"/>
          </w:tcPr>
          <w:p w14:paraId="7BBF33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М-105ПД</w:t>
            </w:r>
          </w:p>
        </w:tc>
        <w:tc>
          <w:tcPr>
            <w:tcW w:w="2802" w:type="dxa"/>
            <w:gridSpan w:val="2"/>
          </w:tcPr>
          <w:p w14:paraId="712FC4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ВК-105ПФ2</w:t>
            </w:r>
          </w:p>
          <w:p w14:paraId="509A0355"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F7EBA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вк-105ПФ2</w:t>
            </w:r>
          </w:p>
        </w:tc>
        <w:tc>
          <w:tcPr>
            <w:tcW w:w="1401" w:type="dxa"/>
          </w:tcPr>
          <w:p w14:paraId="7BD526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r>
      <w:tr w:rsidR="000F5689" w:rsidRPr="00925F26" w14:paraId="3376C474" w14:textId="77777777">
        <w:tc>
          <w:tcPr>
            <w:tcW w:w="1401" w:type="dxa"/>
          </w:tcPr>
          <w:p w14:paraId="1E7D83F5"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03C1ABB"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CDA51C6"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E7FEA9A"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C57EF56"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74858477"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137BB59"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21B116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191DEC1" w14:textId="77777777">
        <w:tc>
          <w:tcPr>
            <w:tcW w:w="1401" w:type="dxa"/>
          </w:tcPr>
          <w:p w14:paraId="6E5B6689"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3799227"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9E8A9BA"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DC409F4"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4BEB71F"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6384062A"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AED544B"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DC7B5A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6FC360A" w14:textId="77777777">
        <w:tc>
          <w:tcPr>
            <w:tcW w:w="1401" w:type="dxa"/>
          </w:tcPr>
          <w:p w14:paraId="641B66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Взлетная мощность, л.с.</w:t>
            </w:r>
          </w:p>
        </w:tc>
        <w:tc>
          <w:tcPr>
            <w:tcW w:w="1401" w:type="dxa"/>
          </w:tcPr>
          <w:p w14:paraId="0A31A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12905)</w:t>
            </w:r>
          </w:p>
        </w:tc>
        <w:tc>
          <w:tcPr>
            <w:tcW w:w="1401" w:type="dxa"/>
          </w:tcPr>
          <w:p w14:paraId="2E7A6D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12903)</w:t>
            </w:r>
          </w:p>
        </w:tc>
        <w:tc>
          <w:tcPr>
            <w:tcW w:w="1401" w:type="dxa"/>
          </w:tcPr>
          <w:p w14:paraId="29CD78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c>
          <w:tcPr>
            <w:tcW w:w="2802" w:type="dxa"/>
            <w:gridSpan w:val="2"/>
          </w:tcPr>
          <w:p w14:paraId="4A8784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12903)</w:t>
            </w:r>
          </w:p>
          <w:p w14:paraId="4BE87BE9"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0E687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1290 </w:t>
            </w:r>
          </w:p>
        </w:tc>
        <w:tc>
          <w:tcPr>
            <w:tcW w:w="1401" w:type="dxa"/>
          </w:tcPr>
          <w:p w14:paraId="16E8AB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r>
      <w:tr w:rsidR="000F5689" w:rsidRPr="00925F26" w14:paraId="2F4EBAB8" w14:textId="77777777">
        <w:tc>
          <w:tcPr>
            <w:tcW w:w="1401" w:type="dxa"/>
          </w:tcPr>
          <w:p w14:paraId="44B20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w:t>
            </w:r>
          </w:p>
        </w:tc>
        <w:tc>
          <w:tcPr>
            <w:tcW w:w="1401" w:type="dxa"/>
          </w:tcPr>
          <w:p w14:paraId="7C301A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ВИШ-61П</w:t>
            </w:r>
          </w:p>
        </w:tc>
        <w:tc>
          <w:tcPr>
            <w:tcW w:w="1401" w:type="dxa"/>
          </w:tcPr>
          <w:p w14:paraId="5C7696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w:t>
            </w:r>
          </w:p>
        </w:tc>
        <w:tc>
          <w:tcPr>
            <w:tcW w:w="1401" w:type="dxa"/>
          </w:tcPr>
          <w:p w14:paraId="4C7FE2A3"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612654FD"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6975C95"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7C77E78"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B4BA03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2EEA8C1" w14:textId="77777777">
        <w:tc>
          <w:tcPr>
            <w:tcW w:w="1401" w:type="dxa"/>
          </w:tcPr>
          <w:p w14:paraId="7A5E03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105СВ-01</w:t>
            </w:r>
          </w:p>
        </w:tc>
        <w:tc>
          <w:tcPr>
            <w:tcW w:w="1401" w:type="dxa"/>
          </w:tcPr>
          <w:p w14:paraId="03A709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w:t>
            </w:r>
          </w:p>
        </w:tc>
        <w:tc>
          <w:tcPr>
            <w:tcW w:w="1401" w:type="dxa"/>
          </w:tcPr>
          <w:p w14:paraId="3A2DB4EF"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068318C8"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6E5A6FF8"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E866998"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58DA04C"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54B404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34F0E6F" w14:textId="77777777">
        <w:tc>
          <w:tcPr>
            <w:tcW w:w="1401" w:type="dxa"/>
          </w:tcPr>
          <w:p w14:paraId="48CCE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105ТЛ-2</w:t>
            </w:r>
          </w:p>
        </w:tc>
        <w:tc>
          <w:tcPr>
            <w:tcW w:w="1401" w:type="dxa"/>
          </w:tcPr>
          <w:p w14:paraId="787B07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ВИШ-105СВ-01</w:t>
            </w:r>
          </w:p>
        </w:tc>
        <w:tc>
          <w:tcPr>
            <w:tcW w:w="1401" w:type="dxa"/>
          </w:tcPr>
          <w:p w14:paraId="22ED9C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ВИШ-105 Л-28</w:t>
            </w:r>
          </w:p>
        </w:tc>
        <w:tc>
          <w:tcPr>
            <w:tcW w:w="1401" w:type="dxa"/>
          </w:tcPr>
          <w:p w14:paraId="108842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w:t>
            </w:r>
          </w:p>
        </w:tc>
        <w:tc>
          <w:tcPr>
            <w:tcW w:w="1401" w:type="dxa"/>
          </w:tcPr>
          <w:p w14:paraId="56595C22"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D306589"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04B402CD"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08DC37A3"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5327A4E" w14:textId="77777777">
        <w:tc>
          <w:tcPr>
            <w:tcW w:w="1401" w:type="dxa"/>
          </w:tcPr>
          <w:p w14:paraId="0AE95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105СВ-01</w:t>
            </w:r>
          </w:p>
        </w:tc>
        <w:tc>
          <w:tcPr>
            <w:tcW w:w="1401" w:type="dxa"/>
          </w:tcPr>
          <w:p w14:paraId="35C2C134"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0B7AB12A"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7CEB552C"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6B2F6CAC"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568EDB6"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75740FE4"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0092A78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1C9DBFF" w14:textId="77777777">
        <w:tc>
          <w:tcPr>
            <w:tcW w:w="1401" w:type="dxa"/>
          </w:tcPr>
          <w:p w14:paraId="4C8AD1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1401" w:type="dxa"/>
          </w:tcPr>
          <w:p w14:paraId="04813A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401" w:type="dxa"/>
          </w:tcPr>
          <w:p w14:paraId="6CB93F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401" w:type="dxa"/>
          </w:tcPr>
          <w:p w14:paraId="19CCF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w:t>
            </w:r>
          </w:p>
        </w:tc>
        <w:tc>
          <w:tcPr>
            <w:tcW w:w="2802" w:type="dxa"/>
            <w:gridSpan w:val="2"/>
          </w:tcPr>
          <w:p w14:paraId="66301C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p w14:paraId="5EC610B7"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6F7C35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401" w:type="dxa"/>
          </w:tcPr>
          <w:p w14:paraId="0B172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r>
      <w:tr w:rsidR="000F5689" w:rsidRPr="00925F26" w14:paraId="5E486E71" w14:textId="77777777">
        <w:tc>
          <w:tcPr>
            <w:tcW w:w="1401" w:type="dxa"/>
          </w:tcPr>
          <w:p w14:paraId="08096F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1401" w:type="dxa"/>
          </w:tcPr>
          <w:p w14:paraId="6CF9D0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401" w:type="dxa"/>
          </w:tcPr>
          <w:p w14:paraId="46BD0A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401" w:type="dxa"/>
          </w:tcPr>
          <w:p w14:paraId="5D3C96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802" w:type="dxa"/>
            <w:gridSpan w:val="2"/>
          </w:tcPr>
          <w:p w14:paraId="785AF6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p w14:paraId="54A79E4B"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D709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401" w:type="dxa"/>
          </w:tcPr>
          <w:p w14:paraId="237518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r>
      <w:tr w:rsidR="000F5689" w:rsidRPr="00925F26" w14:paraId="482985BC" w14:textId="77777777">
        <w:tc>
          <w:tcPr>
            <w:tcW w:w="1401" w:type="dxa"/>
          </w:tcPr>
          <w:p w14:paraId="1BC1C4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м2</w:t>
            </w:r>
          </w:p>
        </w:tc>
        <w:tc>
          <w:tcPr>
            <w:tcW w:w="1401" w:type="dxa"/>
          </w:tcPr>
          <w:p w14:paraId="73A818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401" w:type="dxa"/>
          </w:tcPr>
          <w:p w14:paraId="12B86F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401" w:type="dxa"/>
          </w:tcPr>
          <w:p w14:paraId="4890D6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15,35</w:t>
            </w:r>
          </w:p>
        </w:tc>
        <w:tc>
          <w:tcPr>
            <w:tcW w:w="2802" w:type="dxa"/>
            <w:gridSpan w:val="2"/>
          </w:tcPr>
          <w:p w14:paraId="77715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p w14:paraId="526FC3B1"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4B338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401" w:type="dxa"/>
          </w:tcPr>
          <w:p w14:paraId="0A966E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r>
      <w:tr w:rsidR="000F5689" w:rsidRPr="00925F26" w14:paraId="0C2E74B1" w14:textId="77777777">
        <w:tc>
          <w:tcPr>
            <w:tcW w:w="1401" w:type="dxa"/>
          </w:tcPr>
          <w:p w14:paraId="7BFC53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401" w:type="dxa"/>
          </w:tcPr>
          <w:p w14:paraId="1A265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2655</w:t>
            </w:r>
          </w:p>
        </w:tc>
        <w:tc>
          <w:tcPr>
            <w:tcW w:w="1401" w:type="dxa"/>
          </w:tcPr>
          <w:p w14:paraId="4B0631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2660</w:t>
            </w:r>
          </w:p>
        </w:tc>
        <w:tc>
          <w:tcPr>
            <w:tcW w:w="1401" w:type="dxa"/>
          </w:tcPr>
          <w:p w14:paraId="47A00E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2616</w:t>
            </w:r>
          </w:p>
        </w:tc>
        <w:tc>
          <w:tcPr>
            <w:tcW w:w="1401" w:type="dxa"/>
          </w:tcPr>
          <w:p w14:paraId="624715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2683</w:t>
            </w:r>
          </w:p>
        </w:tc>
        <w:tc>
          <w:tcPr>
            <w:tcW w:w="1401" w:type="dxa"/>
          </w:tcPr>
          <w:p w14:paraId="5C12E1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2710</w:t>
            </w:r>
          </w:p>
        </w:tc>
        <w:tc>
          <w:tcPr>
            <w:tcW w:w="1401" w:type="dxa"/>
          </w:tcPr>
          <w:p w14:paraId="5B6E0B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2756</w:t>
            </w:r>
          </w:p>
        </w:tc>
        <w:tc>
          <w:tcPr>
            <w:tcW w:w="1401" w:type="dxa"/>
          </w:tcPr>
          <w:p w14:paraId="27ABFD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2984</w:t>
            </w:r>
          </w:p>
        </w:tc>
      </w:tr>
      <w:tr w:rsidR="000F5689" w:rsidRPr="00925F26" w14:paraId="0FDD5F17" w14:textId="77777777">
        <w:tc>
          <w:tcPr>
            <w:tcW w:w="1401" w:type="dxa"/>
          </w:tcPr>
          <w:p w14:paraId="6D3F6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401" w:type="dxa"/>
          </w:tcPr>
          <w:p w14:paraId="33F781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2133</w:t>
            </w:r>
          </w:p>
        </w:tc>
        <w:tc>
          <w:tcPr>
            <w:tcW w:w="1401" w:type="dxa"/>
          </w:tcPr>
          <w:p w14:paraId="393815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2105</w:t>
            </w:r>
          </w:p>
        </w:tc>
        <w:tc>
          <w:tcPr>
            <w:tcW w:w="1401" w:type="dxa"/>
          </w:tcPr>
          <w:p w14:paraId="37A4AA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2171</w:t>
            </w:r>
          </w:p>
        </w:tc>
        <w:tc>
          <w:tcPr>
            <w:tcW w:w="1401" w:type="dxa"/>
          </w:tcPr>
          <w:p w14:paraId="431A8A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6C32F7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2146</w:t>
            </w:r>
          </w:p>
        </w:tc>
        <w:tc>
          <w:tcPr>
            <w:tcW w:w="1401" w:type="dxa"/>
          </w:tcPr>
          <w:p w14:paraId="7A4605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2129,5</w:t>
            </w:r>
          </w:p>
        </w:tc>
        <w:tc>
          <w:tcPr>
            <w:tcW w:w="1401" w:type="dxa"/>
          </w:tcPr>
          <w:p w14:paraId="6B4D4F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2346</w:t>
            </w:r>
          </w:p>
        </w:tc>
      </w:tr>
      <w:tr w:rsidR="000F5689" w:rsidRPr="00925F26" w14:paraId="117BE576" w14:textId="77777777">
        <w:tc>
          <w:tcPr>
            <w:tcW w:w="1401" w:type="dxa"/>
          </w:tcPr>
          <w:p w14:paraId="3A95BA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топлива, кг</w:t>
            </w:r>
          </w:p>
        </w:tc>
        <w:tc>
          <w:tcPr>
            <w:tcW w:w="1401" w:type="dxa"/>
          </w:tcPr>
          <w:p w14:paraId="1D3265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1401" w:type="dxa"/>
          </w:tcPr>
          <w:p w14:paraId="317676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 (333)</w:t>
            </w:r>
          </w:p>
        </w:tc>
        <w:tc>
          <w:tcPr>
            <w:tcW w:w="1401" w:type="dxa"/>
          </w:tcPr>
          <w:p w14:paraId="28B2C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w:t>
            </w:r>
          </w:p>
        </w:tc>
        <w:tc>
          <w:tcPr>
            <w:tcW w:w="2802" w:type="dxa"/>
            <w:gridSpan w:val="2"/>
          </w:tcPr>
          <w:p w14:paraId="6C9C6E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267</w:t>
            </w:r>
          </w:p>
          <w:p w14:paraId="4856ED8E"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9E43A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266</w:t>
            </w:r>
          </w:p>
        </w:tc>
        <w:tc>
          <w:tcPr>
            <w:tcW w:w="1401" w:type="dxa"/>
          </w:tcPr>
          <w:p w14:paraId="53A239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r>
      <w:tr w:rsidR="000F5689" w:rsidRPr="00925F26" w14:paraId="5E454AAF" w14:textId="77777777">
        <w:tc>
          <w:tcPr>
            <w:tcW w:w="1401" w:type="dxa"/>
          </w:tcPr>
          <w:p w14:paraId="591E87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 у зем^и на высоте, км</w:t>
            </w:r>
          </w:p>
        </w:tc>
        <w:tc>
          <w:tcPr>
            <w:tcW w:w="1401" w:type="dxa"/>
          </w:tcPr>
          <w:p w14:paraId="0349DC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545 632/4,45</w:t>
            </w:r>
          </w:p>
        </w:tc>
        <w:tc>
          <w:tcPr>
            <w:tcW w:w="1401" w:type="dxa"/>
          </w:tcPr>
          <w:p w14:paraId="43A417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570 651/4,3</w:t>
            </w:r>
          </w:p>
        </w:tc>
        <w:tc>
          <w:tcPr>
            <w:tcW w:w="1401" w:type="dxa"/>
          </w:tcPr>
          <w:p w14:paraId="09364C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503 692/10,85</w:t>
            </w:r>
          </w:p>
        </w:tc>
        <w:tc>
          <w:tcPr>
            <w:tcW w:w="1401" w:type="dxa"/>
          </w:tcPr>
          <w:p w14:paraId="0330B2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572 650/4,1</w:t>
            </w:r>
          </w:p>
        </w:tc>
        <w:tc>
          <w:tcPr>
            <w:tcW w:w="1401" w:type="dxa"/>
          </w:tcPr>
          <w:p w14:paraId="7E36F3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560 639/4,15</w:t>
            </w:r>
          </w:p>
        </w:tc>
        <w:tc>
          <w:tcPr>
            <w:tcW w:w="1401" w:type="dxa"/>
          </w:tcPr>
          <w:p w14:paraId="1D1F90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560 629/4,1</w:t>
            </w:r>
          </w:p>
        </w:tc>
        <w:tc>
          <w:tcPr>
            <w:tcW w:w="1401" w:type="dxa"/>
          </w:tcPr>
          <w:p w14:paraId="5EF0FD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611</w:t>
            </w:r>
          </w:p>
        </w:tc>
      </w:tr>
      <w:tr w:rsidR="000F5689" w:rsidRPr="00925F26" w14:paraId="34BB58F0" w14:textId="77777777">
        <w:tc>
          <w:tcPr>
            <w:tcW w:w="1401" w:type="dxa"/>
          </w:tcPr>
          <w:p w14:paraId="234EF1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720/5,75</w:t>
            </w:r>
          </w:p>
        </w:tc>
        <w:tc>
          <w:tcPr>
            <w:tcW w:w="1401" w:type="dxa"/>
          </w:tcPr>
          <w:p w14:paraId="2699FBA6"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7C57D090"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FE92C88"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3F5E3FF0"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DC7AE8F"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10806BA9"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29AEDF5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C8700C5" w14:textId="77777777">
        <w:tc>
          <w:tcPr>
            <w:tcW w:w="1401" w:type="dxa"/>
          </w:tcPr>
          <w:p w14:paraId="124FAF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401" w:type="dxa"/>
          </w:tcPr>
          <w:p w14:paraId="160BAF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401" w:type="dxa"/>
          </w:tcPr>
          <w:p w14:paraId="595181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401" w:type="dxa"/>
          </w:tcPr>
          <w:p w14:paraId="26E7CB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w:t>
            </w:r>
          </w:p>
        </w:tc>
        <w:tc>
          <w:tcPr>
            <w:tcW w:w="2802" w:type="dxa"/>
            <w:gridSpan w:val="2"/>
          </w:tcPr>
          <w:p w14:paraId="257A5D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w:t>
            </w:r>
          </w:p>
          <w:p w14:paraId="62651563"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5AF265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w:t>
            </w:r>
          </w:p>
        </w:tc>
        <w:tc>
          <w:tcPr>
            <w:tcW w:w="1401" w:type="dxa"/>
          </w:tcPr>
          <w:p w14:paraId="20237D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r>
      <w:tr w:rsidR="000F5689" w:rsidRPr="00925F26" w14:paraId="5438917A" w14:textId="77777777">
        <w:tc>
          <w:tcPr>
            <w:tcW w:w="1401" w:type="dxa"/>
          </w:tcPr>
          <w:p w14:paraId="323546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401" w:type="dxa"/>
          </w:tcPr>
          <w:p w14:paraId="40F0D4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10 800</w:t>
            </w:r>
          </w:p>
        </w:tc>
        <w:tc>
          <w:tcPr>
            <w:tcW w:w="1401" w:type="dxa"/>
          </w:tcPr>
          <w:p w14:paraId="721965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10 300</w:t>
            </w:r>
          </w:p>
        </w:tc>
        <w:tc>
          <w:tcPr>
            <w:tcW w:w="1401" w:type="dxa"/>
          </w:tcPr>
          <w:p w14:paraId="534B36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13 000</w:t>
            </w:r>
          </w:p>
        </w:tc>
        <w:tc>
          <w:tcPr>
            <w:tcW w:w="1401" w:type="dxa"/>
          </w:tcPr>
          <w:p w14:paraId="0777C8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195234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10 159</w:t>
            </w:r>
          </w:p>
        </w:tc>
        <w:tc>
          <w:tcPr>
            <w:tcW w:w="1401" w:type="dxa"/>
          </w:tcPr>
          <w:p w14:paraId="01B5FA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10 400</w:t>
            </w:r>
          </w:p>
        </w:tc>
        <w:tc>
          <w:tcPr>
            <w:tcW w:w="1401" w:type="dxa"/>
          </w:tcPr>
          <w:p w14:paraId="3D6484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11 800</w:t>
            </w:r>
          </w:p>
        </w:tc>
      </w:tr>
      <w:tr w:rsidR="000F5689" w:rsidRPr="00925F26" w14:paraId="1FBEC859" w14:textId="77777777">
        <w:tc>
          <w:tcPr>
            <w:tcW w:w="1401" w:type="dxa"/>
          </w:tcPr>
          <w:p w14:paraId="1931E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высоте 1000 м, с</w:t>
            </w:r>
          </w:p>
        </w:tc>
        <w:tc>
          <w:tcPr>
            <w:tcW w:w="1401" w:type="dxa"/>
          </w:tcPr>
          <w:p w14:paraId="2A0FC5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16-17</w:t>
            </w:r>
          </w:p>
        </w:tc>
        <w:tc>
          <w:tcPr>
            <w:tcW w:w="1401" w:type="dxa"/>
          </w:tcPr>
          <w:p w14:paraId="3A091E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16-17</w:t>
            </w:r>
          </w:p>
        </w:tc>
        <w:tc>
          <w:tcPr>
            <w:tcW w:w="1401" w:type="dxa"/>
          </w:tcPr>
          <w:p w14:paraId="0AD9A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401" w:type="dxa"/>
          </w:tcPr>
          <w:p w14:paraId="5B252C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3C1E8D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19-20</w:t>
            </w:r>
          </w:p>
        </w:tc>
        <w:tc>
          <w:tcPr>
            <w:tcW w:w="1401" w:type="dxa"/>
          </w:tcPr>
          <w:p w14:paraId="7B2A3E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401" w:type="dxa"/>
          </w:tcPr>
          <w:p w14:paraId="1EB84F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17-18</w:t>
            </w:r>
          </w:p>
        </w:tc>
      </w:tr>
      <w:tr w:rsidR="000F5689" w:rsidRPr="00925F26" w14:paraId="0727941E" w14:textId="77777777">
        <w:tc>
          <w:tcPr>
            <w:tcW w:w="1401" w:type="dxa"/>
          </w:tcPr>
          <w:p w14:paraId="7518D1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Набор высоты при боевом развороте с 1000 м, м</w:t>
            </w:r>
          </w:p>
        </w:tc>
        <w:tc>
          <w:tcPr>
            <w:tcW w:w="1401" w:type="dxa"/>
          </w:tcPr>
          <w:p w14:paraId="542A0D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1250-1300</w:t>
            </w:r>
          </w:p>
        </w:tc>
        <w:tc>
          <w:tcPr>
            <w:tcW w:w="1401" w:type="dxa"/>
          </w:tcPr>
          <w:p w14:paraId="6C47F3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1250-1300</w:t>
            </w:r>
          </w:p>
        </w:tc>
        <w:tc>
          <w:tcPr>
            <w:tcW w:w="1401" w:type="dxa"/>
          </w:tcPr>
          <w:p w14:paraId="1F4AD2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147208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75C373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6629EE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71A2A1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F72EDA5" w14:textId="77777777">
        <w:tc>
          <w:tcPr>
            <w:tcW w:w="1401" w:type="dxa"/>
          </w:tcPr>
          <w:p w14:paraId="146A02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1401" w:type="dxa"/>
          </w:tcPr>
          <w:p w14:paraId="41F4FD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815</w:t>
            </w:r>
          </w:p>
        </w:tc>
        <w:tc>
          <w:tcPr>
            <w:tcW w:w="1401" w:type="dxa"/>
          </w:tcPr>
          <w:p w14:paraId="6EA7B4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815</w:t>
            </w:r>
          </w:p>
        </w:tc>
        <w:tc>
          <w:tcPr>
            <w:tcW w:w="1401" w:type="dxa"/>
          </w:tcPr>
          <w:p w14:paraId="32BD6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401" w:type="dxa"/>
          </w:tcPr>
          <w:p w14:paraId="28010B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4B2668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w:t>
            </w:r>
          </w:p>
        </w:tc>
        <w:tc>
          <w:tcPr>
            <w:tcW w:w="1401" w:type="dxa"/>
          </w:tcPr>
          <w:p w14:paraId="1B8530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595</w:t>
            </w:r>
          </w:p>
        </w:tc>
        <w:tc>
          <w:tcPr>
            <w:tcW w:w="1401" w:type="dxa"/>
          </w:tcPr>
          <w:p w14:paraId="5FB3CA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r w:rsidR="000F5689" w:rsidRPr="00925F26" w14:paraId="2C804BFE" w14:textId="77777777">
        <w:tc>
          <w:tcPr>
            <w:tcW w:w="1401" w:type="dxa"/>
          </w:tcPr>
          <w:p w14:paraId="47139F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Разбег/пробег, м</w:t>
            </w:r>
          </w:p>
        </w:tc>
        <w:tc>
          <w:tcPr>
            <w:tcW w:w="1401" w:type="dxa"/>
          </w:tcPr>
          <w:p w14:paraId="56DB7D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275/485</w:t>
            </w:r>
          </w:p>
        </w:tc>
        <w:tc>
          <w:tcPr>
            <w:tcW w:w="1401" w:type="dxa"/>
          </w:tcPr>
          <w:p w14:paraId="3D5FA7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401" w:type="dxa"/>
          </w:tcPr>
          <w:p w14:paraId="19A067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-295/485</w:t>
            </w:r>
          </w:p>
        </w:tc>
        <w:tc>
          <w:tcPr>
            <w:tcW w:w="1401" w:type="dxa"/>
          </w:tcPr>
          <w:p w14:paraId="39B3EDAB"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Pr>
          <w:p w14:paraId="46B187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295/550</w:t>
            </w:r>
          </w:p>
        </w:tc>
        <w:tc>
          <w:tcPr>
            <w:tcW w:w="1401" w:type="dxa"/>
          </w:tcPr>
          <w:p w14:paraId="23B08C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305/560</w:t>
            </w:r>
          </w:p>
        </w:tc>
        <w:tc>
          <w:tcPr>
            <w:tcW w:w="1401" w:type="dxa"/>
          </w:tcPr>
          <w:p w14:paraId="470882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345/590</w:t>
            </w:r>
          </w:p>
        </w:tc>
      </w:tr>
      <w:tr w:rsidR="000F5689" w:rsidRPr="00925F26" w14:paraId="26D24966" w14:textId="77777777">
        <w:tc>
          <w:tcPr>
            <w:tcW w:w="1401" w:type="dxa"/>
            <w:tcBorders>
              <w:bottom w:val="single" w:sz="12" w:space="0" w:color="auto"/>
            </w:tcBorders>
          </w:tcPr>
          <w:p w14:paraId="50F012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Вооружение: количество х </w:t>
            </w:r>
            <w:r w:rsidRPr="00925F26">
              <w:rPr>
                <w:color w:val="000000" w:themeColor="text1"/>
                <w:sz w:val="16"/>
                <w:szCs w:val="16"/>
              </w:rPr>
              <w:lastRenderedPageBreak/>
              <w:t>калибр, мм (патроны)</w:t>
            </w:r>
          </w:p>
        </w:tc>
        <w:tc>
          <w:tcPr>
            <w:tcW w:w="1401" w:type="dxa"/>
            <w:tcBorders>
              <w:bottom w:val="single" w:sz="12" w:space="0" w:color="auto"/>
            </w:tcBorders>
          </w:tcPr>
          <w:p w14:paraId="24F676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1x20 2x12,7</w:t>
            </w:r>
          </w:p>
        </w:tc>
        <w:tc>
          <w:tcPr>
            <w:tcW w:w="1401" w:type="dxa"/>
            <w:tcBorders>
              <w:bottom w:val="single" w:sz="12" w:space="0" w:color="auto"/>
            </w:tcBorders>
          </w:tcPr>
          <w:p w14:paraId="1E37AB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1x20(110) 2x12,7 (300)</w:t>
            </w:r>
          </w:p>
        </w:tc>
        <w:tc>
          <w:tcPr>
            <w:tcW w:w="1401" w:type="dxa"/>
            <w:tcBorders>
              <w:bottom w:val="single" w:sz="12" w:space="0" w:color="auto"/>
            </w:tcBorders>
          </w:tcPr>
          <w:p w14:paraId="58ABD3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1x23 (60)</w:t>
            </w:r>
          </w:p>
        </w:tc>
        <w:tc>
          <w:tcPr>
            <w:tcW w:w="2802" w:type="dxa"/>
            <w:gridSpan w:val="2"/>
            <w:tcBorders>
              <w:bottom w:val="single" w:sz="12" w:space="0" w:color="auto"/>
            </w:tcBorders>
          </w:tcPr>
          <w:p w14:paraId="52CF1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 (110) 2x12,7 (300)</w:t>
            </w:r>
          </w:p>
          <w:p w14:paraId="6E5D577B" w14:textId="77777777" w:rsidR="00665165" w:rsidRPr="00925F26" w:rsidRDefault="00665165" w:rsidP="00925F26">
            <w:pPr>
              <w:autoSpaceDE w:val="0"/>
              <w:autoSpaceDN w:val="0"/>
              <w:adjustRightInd w:val="0"/>
              <w:jc w:val="both"/>
              <w:rPr>
                <w:color w:val="000000" w:themeColor="text1"/>
                <w:sz w:val="16"/>
                <w:szCs w:val="16"/>
              </w:rPr>
            </w:pPr>
          </w:p>
        </w:tc>
        <w:tc>
          <w:tcPr>
            <w:tcW w:w="1401" w:type="dxa"/>
            <w:tcBorders>
              <w:bottom w:val="single" w:sz="12" w:space="0" w:color="auto"/>
            </w:tcBorders>
          </w:tcPr>
          <w:p w14:paraId="0DF1EC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1x37 (25) 2x20 (200)</w:t>
            </w:r>
          </w:p>
        </w:tc>
        <w:tc>
          <w:tcPr>
            <w:tcW w:w="1401" w:type="dxa"/>
            <w:tcBorders>
              <w:bottom w:val="single" w:sz="12" w:space="0" w:color="auto"/>
            </w:tcBorders>
          </w:tcPr>
          <w:p w14:paraId="1516CD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1x20(110) 2x12,7 (300)</w:t>
            </w:r>
          </w:p>
        </w:tc>
      </w:tr>
    </w:tbl>
    <w:p w14:paraId="6C56A0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Примечания: 1- смешанной конструкции; 2 - по результатам государственных испытаний; 3 - на 1-й границе высотности (200 м) - 1310 л.с., на 2-й границе высотности (2100 м) - 1240 л.с; 4 - на высоте 4750 м; 5 - по результатам заводских испытаний; 6 - скорость 500 км/ч, высота 5000 м. Продолжительность полета - 1 час 10 минут (12047).</w:t>
      </w:r>
    </w:p>
    <w:p w14:paraId="524E9B0E" w14:textId="77777777" w:rsidR="00665165" w:rsidRPr="00925F26" w:rsidRDefault="00665165" w:rsidP="00925F26">
      <w:pPr>
        <w:autoSpaceDE w:val="0"/>
        <w:autoSpaceDN w:val="0"/>
        <w:adjustRightInd w:val="0"/>
        <w:jc w:val="both"/>
        <w:rPr>
          <w:color w:val="000000" w:themeColor="text1"/>
          <w:sz w:val="16"/>
          <w:szCs w:val="16"/>
        </w:rPr>
      </w:pPr>
    </w:p>
    <w:p w14:paraId="11DACE81" w14:textId="77777777" w:rsidR="00102C23" w:rsidRPr="00925F26" w:rsidRDefault="00102C23" w:rsidP="00925F26">
      <w:pPr>
        <w:jc w:val="both"/>
        <w:rPr>
          <w:color w:val="000000" w:themeColor="text1"/>
          <w:sz w:val="16"/>
          <w:szCs w:val="16"/>
        </w:rPr>
      </w:pPr>
      <w:r w:rsidRPr="00925F26">
        <w:rPr>
          <w:color w:val="000000" w:themeColor="text1"/>
          <w:sz w:val="16"/>
          <w:szCs w:val="16"/>
        </w:rPr>
        <w:t>17 мая 1945 г. в ходе специальных испытаний для оценки прочности Як-3, которые проводил летчик НИИ ВВС Анохин, несмотря на точное соблюдение режима, у самолета разрушилось крыло. Летчик покинул машину с парашютом, но был тяжело ранен. Причиной такого положения дел была технология — невозможно сделать две деревянные детали с одинаковыми прочностью и массой. Переход на металл давно назрел, выпуск дюраля и его поставки по ленд-лизу увеличились, однако основная часть «крылатого металла» шла на бомбардировщики Ил-4, Ту-2 и Пе-2, а также на новые штурмовики Ил-10 и на металлические крылья, с которыми стали сдавать значительную часть Ил-2 (22751).</w:t>
      </w:r>
    </w:p>
    <w:p w14:paraId="1230E9F5" w14:textId="77777777" w:rsidR="00102C23" w:rsidRPr="00925F26" w:rsidRDefault="00102C23" w:rsidP="00925F26">
      <w:pPr>
        <w:jc w:val="both"/>
        <w:rPr>
          <w:color w:val="000000" w:themeColor="text1"/>
          <w:sz w:val="16"/>
          <w:szCs w:val="16"/>
        </w:rPr>
      </w:pPr>
    </w:p>
    <w:p w14:paraId="2C9F3FD4" w14:textId="77777777" w:rsidR="00637BF4" w:rsidRPr="00925F26" w:rsidRDefault="00637BF4" w:rsidP="00925F26">
      <w:pPr>
        <w:jc w:val="both"/>
        <w:rPr>
          <w:color w:val="000000" w:themeColor="text1"/>
          <w:sz w:val="16"/>
          <w:szCs w:val="16"/>
        </w:rPr>
      </w:pPr>
      <w:r w:rsidRPr="00925F26">
        <w:rPr>
          <w:color w:val="000000" w:themeColor="text1"/>
          <w:sz w:val="16"/>
          <w:szCs w:val="16"/>
        </w:rPr>
        <w:t xml:space="preserve">С 17 мая 1945 все силы конструкторского отдела сконцентрировали на машине «У». К этому времени оставались открытыми вопросы по общему виду крыла, стабилизатору, килю, мотораме управлению самолётом и мотором, капоту и ряду мелких </w:t>
      </w:r>
      <w:proofErr w:type="gramStart"/>
      <w:r w:rsidRPr="00925F26">
        <w:rPr>
          <w:color w:val="000000" w:themeColor="text1"/>
          <w:sz w:val="16"/>
          <w:szCs w:val="16"/>
        </w:rPr>
        <w:t>агрегатов.По</w:t>
      </w:r>
      <w:proofErr w:type="gramEnd"/>
      <w:r w:rsidRPr="00925F26">
        <w:rPr>
          <w:color w:val="000000" w:themeColor="text1"/>
          <w:sz w:val="16"/>
          <w:szCs w:val="16"/>
        </w:rPr>
        <w:t xml:space="preserve"> своей схеме экспериментальный самолёт «Утка» представлял подкосный высокоплан с трёхколёсным неубирающимся шасси с передней опорой. Его длина составляла </w:t>
      </w:r>
      <w:proofErr w:type="gramStart"/>
      <w:r w:rsidRPr="00925F26">
        <w:rPr>
          <w:color w:val="000000" w:themeColor="text1"/>
          <w:sz w:val="16"/>
          <w:szCs w:val="16"/>
        </w:rPr>
        <w:t>6,995 ,</w:t>
      </w:r>
      <w:proofErr w:type="gramEnd"/>
      <w:r w:rsidRPr="00925F26">
        <w:rPr>
          <w:color w:val="000000" w:themeColor="text1"/>
          <w:sz w:val="16"/>
          <w:szCs w:val="16"/>
        </w:rPr>
        <w:t xml:space="preserve"> высота - 2,79 м.</w:t>
      </w:r>
    </w:p>
    <w:p w14:paraId="74607663" w14:textId="77777777" w:rsidR="00637BF4" w:rsidRPr="00925F26" w:rsidRDefault="00637BF4" w:rsidP="00925F26">
      <w:pPr>
        <w:jc w:val="both"/>
        <w:rPr>
          <w:color w:val="000000" w:themeColor="text1"/>
          <w:sz w:val="16"/>
          <w:szCs w:val="16"/>
        </w:rPr>
      </w:pPr>
      <w:r w:rsidRPr="00925F26">
        <w:rPr>
          <w:color w:val="000000" w:themeColor="text1"/>
          <w:sz w:val="16"/>
          <w:szCs w:val="16"/>
        </w:rPr>
        <w:t xml:space="preserve">Каркас фюзеляжа был выполнен из сосновых брусков и имел фанерную обшивку. Пиле и пассажиры размещались в кабине закрытого типа. Она имела хорошее остекление, ко торое обеспечивало прекрасный обзор вперёд и в стороны. Сиденье пилота расположили по центру, а сиденья пассажиров справа и слева от оси самолёта со смещением относительно друг друга, что давало возможность наблюдателям следить за поведением машины в воздухе, не перекрывая друг другу обзор в стороны. Входная дверь находилась на левом борту. Носовая часть фюзеляжа заканчивалась балкой, предназначенной для установки горизонтального оперения. </w:t>
      </w:r>
      <w:proofErr w:type="gramStart"/>
      <w:r w:rsidRPr="00925F26">
        <w:rPr>
          <w:color w:val="000000" w:themeColor="text1"/>
          <w:sz w:val="16"/>
          <w:szCs w:val="16"/>
        </w:rPr>
        <w:t>Кроме этого</w:t>
      </w:r>
      <w:proofErr w:type="gramEnd"/>
      <w:r w:rsidRPr="00925F26">
        <w:rPr>
          <w:color w:val="000000" w:themeColor="text1"/>
          <w:sz w:val="16"/>
          <w:szCs w:val="16"/>
        </w:rPr>
        <w:t xml:space="preserve"> в балке расположили балансировочный груз массой 28 кг, а в её носовой части установили ПВД. Хвостовая часть фюзеляжа переходила вмоторный отсек, который заканчивался коком винта.</w:t>
      </w:r>
    </w:p>
    <w:p w14:paraId="33AAB405" w14:textId="77777777" w:rsidR="00637BF4" w:rsidRPr="00925F26" w:rsidRDefault="00637BF4" w:rsidP="00925F26">
      <w:pPr>
        <w:jc w:val="both"/>
        <w:rPr>
          <w:color w:val="000000" w:themeColor="text1"/>
          <w:sz w:val="16"/>
          <w:szCs w:val="16"/>
        </w:rPr>
      </w:pPr>
      <w:r w:rsidRPr="00925F26">
        <w:rPr>
          <w:color w:val="000000" w:themeColor="text1"/>
          <w:sz w:val="16"/>
          <w:szCs w:val="16"/>
        </w:rPr>
        <w:t xml:space="preserve">Двухлонжеронное крыло имело деревянный силовой набор и полотняную обшивку. Его стреловидность в плане составляла 20°, сужение - 1, удлинение - 6, угол установки +2*. Профиль «Кларк </w:t>
      </w:r>
      <w:r w:rsidRPr="00925F26">
        <w:rPr>
          <w:color w:val="000000" w:themeColor="text1"/>
          <w:sz w:val="16"/>
          <w:szCs w:val="16"/>
          <w:lang w:val="en-US"/>
        </w:rPr>
        <w:t>YH</w:t>
      </w:r>
      <w:r w:rsidRPr="00925F26">
        <w:rPr>
          <w:color w:val="000000" w:themeColor="text1"/>
          <w:sz w:val="16"/>
          <w:szCs w:val="16"/>
        </w:rPr>
        <w:t>» с постоянной относительной толщиной по размаху 12%. Размах крыла 9,5 м, а его площадь - 15 м</w:t>
      </w:r>
      <w:r w:rsidRPr="00925F26">
        <w:rPr>
          <w:color w:val="000000" w:themeColor="text1"/>
          <w:sz w:val="16"/>
          <w:szCs w:val="16"/>
          <w:vertAlign w:val="superscript"/>
        </w:rPr>
        <w:t>2</w:t>
      </w:r>
      <w:r w:rsidRPr="00925F26">
        <w:rPr>
          <w:color w:val="000000" w:themeColor="text1"/>
          <w:sz w:val="16"/>
          <w:szCs w:val="16"/>
        </w:rPr>
        <w:t xml:space="preserve">. Подкосы </w:t>
      </w:r>
      <w:r w:rsidRPr="00925F26">
        <w:rPr>
          <w:color w:val="000000" w:themeColor="text1"/>
          <w:sz w:val="16"/>
          <w:szCs w:val="16"/>
          <w:lang w:val="en-US"/>
        </w:rPr>
        <w:t>V</w:t>
      </w:r>
      <w:r w:rsidRPr="00925F26">
        <w:rPr>
          <w:color w:val="000000" w:themeColor="text1"/>
          <w:sz w:val="16"/>
          <w:szCs w:val="16"/>
        </w:rPr>
        <w:t>-образной формы сделали обтекаемыми.</w:t>
      </w:r>
    </w:p>
    <w:p w14:paraId="36C8E7A1" w14:textId="77777777" w:rsidR="00637BF4" w:rsidRPr="00925F26" w:rsidRDefault="00637BF4" w:rsidP="00925F26">
      <w:pPr>
        <w:jc w:val="both"/>
        <w:rPr>
          <w:color w:val="000000" w:themeColor="text1"/>
          <w:sz w:val="16"/>
          <w:szCs w:val="16"/>
        </w:rPr>
      </w:pPr>
      <w:r w:rsidRPr="00925F26">
        <w:rPr>
          <w:color w:val="000000" w:themeColor="text1"/>
          <w:sz w:val="16"/>
          <w:szCs w:val="16"/>
        </w:rPr>
        <w:t>Элероны типа «Фрайз» имели дюралевый каркас и полотняную обшивку. Их площадь составляла 1,2 м</w:t>
      </w:r>
      <w:r w:rsidRPr="00925F26">
        <w:rPr>
          <w:color w:val="000000" w:themeColor="text1"/>
          <w:sz w:val="16"/>
          <w:szCs w:val="16"/>
          <w:vertAlign w:val="superscript"/>
        </w:rPr>
        <w:t>2</w:t>
      </w:r>
      <w:r w:rsidRPr="00925F26">
        <w:rPr>
          <w:color w:val="000000" w:themeColor="text1"/>
          <w:sz w:val="16"/>
          <w:szCs w:val="16"/>
        </w:rPr>
        <w:t>. Предельное отклонение элеронов вверх 17°, вниз 15°.</w:t>
      </w:r>
    </w:p>
    <w:p w14:paraId="546ACDB9" w14:textId="77777777" w:rsidR="00637BF4" w:rsidRPr="00925F26" w:rsidRDefault="00637BF4" w:rsidP="00925F26">
      <w:pPr>
        <w:jc w:val="both"/>
        <w:rPr>
          <w:color w:val="000000" w:themeColor="text1"/>
          <w:sz w:val="16"/>
          <w:szCs w:val="16"/>
        </w:rPr>
      </w:pPr>
      <w:r w:rsidRPr="00925F26">
        <w:rPr>
          <w:color w:val="000000" w:themeColor="text1"/>
          <w:sz w:val="16"/>
          <w:szCs w:val="16"/>
        </w:rPr>
        <w:t>Вертикальное оперение установили на концах крыла в виде шайб высотой 1,65 м. Его общая площадь составляла 3 м</w:t>
      </w:r>
      <w:r w:rsidRPr="00925F26">
        <w:rPr>
          <w:color w:val="000000" w:themeColor="text1"/>
          <w:sz w:val="16"/>
          <w:szCs w:val="16"/>
          <w:vertAlign w:val="superscript"/>
        </w:rPr>
        <w:t>2</w:t>
      </w:r>
      <w:r w:rsidRPr="00925F26">
        <w:rPr>
          <w:color w:val="000000" w:themeColor="text1"/>
          <w:sz w:val="16"/>
          <w:szCs w:val="16"/>
        </w:rPr>
        <w:t xml:space="preserve">. Профиль </w:t>
      </w:r>
      <w:r w:rsidRPr="00925F26">
        <w:rPr>
          <w:color w:val="000000" w:themeColor="text1"/>
          <w:sz w:val="16"/>
          <w:szCs w:val="16"/>
          <w:lang w:val="en-US"/>
        </w:rPr>
        <w:t>NACA</w:t>
      </w:r>
      <w:r w:rsidRPr="00925F26">
        <w:rPr>
          <w:color w:val="000000" w:themeColor="text1"/>
          <w:sz w:val="16"/>
          <w:szCs w:val="16"/>
        </w:rPr>
        <w:t>-0012 с постоянной относительной толщиной 10%. Конструкция килей деревянная. Рули направления имели дюралевый каркас и полотняную обшивку. Их площадь составляла 1,2 м</w:t>
      </w:r>
      <w:r w:rsidRPr="00925F26">
        <w:rPr>
          <w:color w:val="000000" w:themeColor="text1"/>
          <w:sz w:val="16"/>
          <w:szCs w:val="16"/>
          <w:vertAlign w:val="superscript"/>
        </w:rPr>
        <w:t>2</w:t>
      </w:r>
      <w:r w:rsidRPr="00925F26">
        <w:rPr>
          <w:color w:val="000000" w:themeColor="text1"/>
          <w:sz w:val="16"/>
          <w:szCs w:val="16"/>
        </w:rPr>
        <w:t>. Предельное отклонение рулей вправо 21,5°, влево 25°.</w:t>
      </w:r>
    </w:p>
    <w:p w14:paraId="206321ED" w14:textId="77777777" w:rsidR="00637BF4" w:rsidRPr="00925F26" w:rsidRDefault="00637BF4" w:rsidP="00925F26">
      <w:pPr>
        <w:jc w:val="both"/>
        <w:rPr>
          <w:color w:val="000000" w:themeColor="text1"/>
          <w:sz w:val="16"/>
          <w:szCs w:val="16"/>
        </w:rPr>
      </w:pPr>
      <w:r w:rsidRPr="00925F26">
        <w:rPr>
          <w:color w:val="000000" w:themeColor="text1"/>
          <w:sz w:val="16"/>
          <w:szCs w:val="16"/>
        </w:rPr>
        <w:t>Размах горизонтального оперения 3,5 м, его площадь - 2,7 м</w:t>
      </w:r>
      <w:r w:rsidRPr="00925F26">
        <w:rPr>
          <w:color w:val="000000" w:themeColor="text1"/>
          <w:sz w:val="16"/>
          <w:szCs w:val="16"/>
          <w:vertAlign w:val="superscript"/>
        </w:rPr>
        <w:t>2</w:t>
      </w:r>
      <w:r w:rsidRPr="00925F26">
        <w:rPr>
          <w:color w:val="000000" w:themeColor="text1"/>
          <w:sz w:val="16"/>
          <w:szCs w:val="16"/>
        </w:rPr>
        <w:t xml:space="preserve">, удлинение - 4,5, угол установки ±5°. Профиль </w:t>
      </w:r>
      <w:r w:rsidRPr="00925F26">
        <w:rPr>
          <w:color w:val="000000" w:themeColor="text1"/>
          <w:sz w:val="16"/>
          <w:szCs w:val="16"/>
          <w:lang w:val="en-US"/>
        </w:rPr>
        <w:t>NACA</w:t>
      </w:r>
      <w:r w:rsidRPr="00925F26">
        <w:rPr>
          <w:color w:val="000000" w:themeColor="text1"/>
          <w:sz w:val="16"/>
          <w:szCs w:val="16"/>
        </w:rPr>
        <w:t>-0012 с относительной толщиной 12% в корне и 10% на кон</w:t>
      </w:r>
      <w:r w:rsidRPr="00925F26">
        <w:rPr>
          <w:color w:val="000000" w:themeColor="text1"/>
          <w:sz w:val="16"/>
          <w:szCs w:val="16"/>
        </w:rPr>
        <w:softHyphen/>
        <w:t>цах. Стабилизатор также имел деревянную конструкцию. Каркас руля высоты дюралевый, а обшивка полотняная. На правой половине руля находился неуправляемый триммер в виде! металлической пластины, которую при необходимости можно было отгибать на земле. Пло</w:t>
      </w:r>
      <w:r w:rsidRPr="00925F26">
        <w:rPr>
          <w:color w:val="000000" w:themeColor="text1"/>
          <w:sz w:val="16"/>
          <w:szCs w:val="16"/>
        </w:rPr>
        <w:softHyphen/>
        <w:t>щадь руля высоты составляла 1,05 м</w:t>
      </w:r>
      <w:r w:rsidRPr="00925F26">
        <w:rPr>
          <w:color w:val="000000" w:themeColor="text1"/>
          <w:sz w:val="16"/>
          <w:szCs w:val="16"/>
          <w:vertAlign w:val="superscript"/>
        </w:rPr>
        <w:t>2</w:t>
      </w:r>
      <w:r w:rsidRPr="00925F26">
        <w:rPr>
          <w:color w:val="000000" w:themeColor="text1"/>
          <w:sz w:val="16"/>
          <w:szCs w:val="16"/>
        </w:rPr>
        <w:t>. Предельное отклонение руля вверх 28°, вниз 29,5°.</w:t>
      </w:r>
    </w:p>
    <w:p w14:paraId="16195445" w14:textId="77777777" w:rsidR="00637BF4" w:rsidRPr="00925F26" w:rsidRDefault="00637BF4" w:rsidP="00925F26">
      <w:pPr>
        <w:jc w:val="both"/>
        <w:rPr>
          <w:color w:val="000000" w:themeColor="text1"/>
          <w:sz w:val="16"/>
          <w:szCs w:val="16"/>
        </w:rPr>
      </w:pPr>
      <w:r w:rsidRPr="00925F26">
        <w:rPr>
          <w:color w:val="000000" w:themeColor="text1"/>
          <w:sz w:val="16"/>
          <w:szCs w:val="16"/>
        </w:rPr>
        <w:t>Управление рулями направления и элеронами тросовое, управление рулём высоты - жёсткое. Рули и элероны имели осевую аэродинамическую компенсацию. Длина ручки управления самолётом составляла 0,52 м (15848).</w:t>
      </w:r>
    </w:p>
    <w:p w14:paraId="64C2A65E" w14:textId="77777777" w:rsidR="00637BF4" w:rsidRPr="00925F26" w:rsidRDefault="00637BF4" w:rsidP="00925F26">
      <w:pPr>
        <w:jc w:val="both"/>
        <w:rPr>
          <w:color w:val="000000" w:themeColor="text1"/>
          <w:sz w:val="16"/>
          <w:szCs w:val="16"/>
        </w:rPr>
      </w:pPr>
    </w:p>
    <w:p w14:paraId="1A75530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1FFA03E" w14:textId="77777777" w:rsidR="00665165" w:rsidRPr="00925F26" w:rsidRDefault="00665165" w:rsidP="00925F26">
      <w:pPr>
        <w:autoSpaceDE w:val="0"/>
        <w:autoSpaceDN w:val="0"/>
        <w:adjustRightInd w:val="0"/>
        <w:jc w:val="both"/>
        <w:rPr>
          <w:iCs/>
          <w:color w:val="000000" w:themeColor="text1"/>
          <w:sz w:val="16"/>
          <w:szCs w:val="16"/>
        </w:rPr>
      </w:pPr>
    </w:p>
    <w:p w14:paraId="66B33CCB" w14:textId="77777777" w:rsidR="00637BF4" w:rsidRPr="00925F26" w:rsidRDefault="00637BF4" w:rsidP="00925F26">
      <w:pPr>
        <w:shd w:val="clear" w:color="auto" w:fill="FFFFFF"/>
        <w:jc w:val="both"/>
        <w:rPr>
          <w:color w:val="000000" w:themeColor="text1"/>
          <w:sz w:val="16"/>
          <w:szCs w:val="16"/>
        </w:rPr>
      </w:pPr>
      <w:r w:rsidRPr="00925F26">
        <w:rPr>
          <w:color w:val="000000" w:themeColor="text1"/>
          <w:sz w:val="16"/>
          <w:szCs w:val="16"/>
        </w:rPr>
        <w:t>17 мая 1945 г. постановление ГОКО № 8650сс «О плане производства и поставки НКО СССР и Наркомвоенфлоту боеприпасов на июнь и июль 1945 года». Это постановление предписывало значительно сократить с июня 1945 г. производство боеприпасов и запрещало перевыполнять план по их производству (см. таблицу). Кроме того, оно поручало большой группе высокопоставленных советских руководителей (Вознесенскому Н.А., Швернику Н.М., Косыгину А.Н., Борисову Н.А., Ванникову Б.Л., Устинову Д.Ф., Паршину П.И., Первухину М.Г., Тевосяну И.Т., Ломако П.Ф., Кирпичникову П.И. и Александрову А.С.) «в 5-дневный срок разработать и представить в Оперативное Бюро ГОКО мероприятия по перестройке промышленности в связи с сокращением производства боеприпасов»</w:t>
      </w:r>
      <w:bookmarkStart w:id="23" w:name="_ednref7"/>
      <w:r w:rsidR="00A371FF" w:rsidRPr="00925F26">
        <w:rPr>
          <w:color w:val="000000" w:themeColor="text1"/>
          <w:sz w:val="16"/>
          <w:szCs w:val="16"/>
        </w:rPr>
        <w:fldChar w:fldCharType="begin"/>
      </w:r>
      <w:r w:rsidRPr="00925F26">
        <w:rPr>
          <w:color w:val="000000" w:themeColor="text1"/>
          <w:sz w:val="16"/>
          <w:szCs w:val="16"/>
        </w:rPr>
        <w:instrText xml:space="preserve"> HYPERLINK "http://ebookiriran.ru/index.php?view=article&amp;section=8&amp;id=184" \l "_edn7" \o "" </w:instrText>
      </w:r>
      <w:r w:rsidR="00A371FF" w:rsidRPr="00925F26">
        <w:rPr>
          <w:color w:val="000000" w:themeColor="text1"/>
          <w:sz w:val="16"/>
          <w:szCs w:val="16"/>
        </w:rPr>
      </w:r>
      <w:r w:rsidR="00A371FF" w:rsidRPr="00925F26">
        <w:rPr>
          <w:color w:val="000000" w:themeColor="text1"/>
          <w:sz w:val="16"/>
          <w:szCs w:val="16"/>
        </w:rPr>
        <w:fldChar w:fldCharType="separate"/>
      </w:r>
      <w:r w:rsidRPr="00925F26">
        <w:rPr>
          <w:rStyle w:val="a5"/>
          <w:color w:val="000000" w:themeColor="text1"/>
          <w:sz w:val="16"/>
          <w:szCs w:val="16"/>
        </w:rPr>
        <w:t>[7]</w:t>
      </w:r>
      <w:r w:rsidR="00A371FF" w:rsidRPr="00925F26">
        <w:rPr>
          <w:color w:val="000000" w:themeColor="text1"/>
          <w:sz w:val="16"/>
          <w:szCs w:val="16"/>
        </w:rPr>
        <w:fldChar w:fldCharType="end"/>
      </w:r>
      <w:bookmarkEnd w:id="23"/>
      <w:r w:rsidRPr="00925F26">
        <w:rPr>
          <w:color w:val="000000" w:themeColor="text1"/>
          <w:sz w:val="16"/>
          <w:szCs w:val="16"/>
        </w:rPr>
        <w:t xml:space="preserve">. </w:t>
      </w:r>
      <w:r w:rsidRPr="00925F26">
        <w:rPr>
          <w:rStyle w:val="a7"/>
          <w:b w:val="0"/>
          <w:color w:val="000000" w:themeColor="text1"/>
          <w:sz w:val="16"/>
          <w:szCs w:val="16"/>
        </w:rPr>
        <w:t>Сокращению производства некоторых видов боеприпасов по постановлениям ГОКО № 8650сс и 8804сс, в тыс. штук</w:t>
      </w:r>
    </w:p>
    <w:tbl>
      <w:tblPr>
        <w:tblW w:w="978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3"/>
        <w:gridCol w:w="2509"/>
        <w:gridCol w:w="2134"/>
        <w:gridCol w:w="2134"/>
      </w:tblGrid>
      <w:tr w:rsidR="000F5689" w:rsidRPr="00925F26" w14:paraId="1B64258E" w14:textId="77777777" w:rsidTr="00BE2FB1">
        <w:trPr>
          <w:trHeight w:val="66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5302286" w14:textId="77777777" w:rsidR="00637BF4" w:rsidRPr="00925F26" w:rsidRDefault="00637BF4" w:rsidP="00925F26">
            <w:pPr>
              <w:jc w:val="both"/>
              <w:rPr>
                <w:color w:val="000000" w:themeColor="text1"/>
                <w:sz w:val="16"/>
                <w:szCs w:val="16"/>
              </w:rPr>
            </w:pPr>
            <w:r w:rsidRPr="00925F26">
              <w:rPr>
                <w:rStyle w:val="a7"/>
                <w:b w:val="0"/>
                <w:color w:val="000000" w:themeColor="text1"/>
                <w:sz w:val="16"/>
                <w:szCs w:val="16"/>
              </w:rPr>
              <w:t>Вид боеприпаса</w:t>
            </w:r>
          </w:p>
        </w:tc>
        <w:tc>
          <w:tcPr>
            <w:tcW w:w="1605" w:type="dxa"/>
            <w:tcBorders>
              <w:top w:val="outset" w:sz="6" w:space="0" w:color="auto"/>
              <w:left w:val="outset" w:sz="6" w:space="0" w:color="auto"/>
              <w:bottom w:val="outset" w:sz="6" w:space="0" w:color="auto"/>
              <w:right w:val="outset" w:sz="6" w:space="0" w:color="auto"/>
            </w:tcBorders>
            <w:vAlign w:val="center"/>
            <w:hideMark/>
          </w:tcPr>
          <w:p w14:paraId="22A91BF0" w14:textId="77777777" w:rsidR="00637BF4" w:rsidRPr="00925F26" w:rsidRDefault="00637BF4" w:rsidP="00925F26">
            <w:pPr>
              <w:jc w:val="both"/>
              <w:rPr>
                <w:color w:val="000000" w:themeColor="text1"/>
                <w:sz w:val="16"/>
                <w:szCs w:val="16"/>
              </w:rPr>
            </w:pPr>
            <w:r w:rsidRPr="00925F26">
              <w:rPr>
                <w:rStyle w:val="a7"/>
                <w:b w:val="0"/>
                <w:color w:val="000000" w:themeColor="text1"/>
                <w:sz w:val="16"/>
                <w:szCs w:val="16"/>
              </w:rPr>
              <w:t>Первоначальный план на июнь</w:t>
            </w:r>
          </w:p>
        </w:tc>
        <w:tc>
          <w:tcPr>
            <w:tcW w:w="1365" w:type="dxa"/>
            <w:tcBorders>
              <w:top w:val="outset" w:sz="6" w:space="0" w:color="auto"/>
              <w:left w:val="outset" w:sz="6" w:space="0" w:color="auto"/>
              <w:bottom w:val="outset" w:sz="6" w:space="0" w:color="auto"/>
              <w:right w:val="outset" w:sz="6" w:space="0" w:color="auto"/>
            </w:tcBorders>
            <w:vAlign w:val="center"/>
            <w:hideMark/>
          </w:tcPr>
          <w:p w14:paraId="4CA194F0" w14:textId="77777777" w:rsidR="00637BF4" w:rsidRPr="00925F26" w:rsidRDefault="00637BF4" w:rsidP="00925F26">
            <w:pPr>
              <w:jc w:val="both"/>
              <w:rPr>
                <w:color w:val="000000" w:themeColor="text1"/>
                <w:sz w:val="16"/>
                <w:szCs w:val="16"/>
              </w:rPr>
            </w:pPr>
            <w:r w:rsidRPr="00925F26">
              <w:rPr>
                <w:rStyle w:val="a7"/>
                <w:b w:val="0"/>
                <w:color w:val="000000" w:themeColor="text1"/>
                <w:sz w:val="16"/>
                <w:szCs w:val="16"/>
              </w:rPr>
              <w:t>План на июнь по постановлению № 8650сс</w:t>
            </w:r>
          </w:p>
        </w:tc>
        <w:tc>
          <w:tcPr>
            <w:tcW w:w="1365" w:type="dxa"/>
            <w:tcBorders>
              <w:top w:val="outset" w:sz="6" w:space="0" w:color="auto"/>
              <w:left w:val="outset" w:sz="6" w:space="0" w:color="auto"/>
              <w:bottom w:val="outset" w:sz="6" w:space="0" w:color="auto"/>
              <w:right w:val="outset" w:sz="6" w:space="0" w:color="auto"/>
            </w:tcBorders>
            <w:vAlign w:val="center"/>
            <w:hideMark/>
          </w:tcPr>
          <w:p w14:paraId="6DDB915A" w14:textId="77777777" w:rsidR="00637BF4" w:rsidRPr="00925F26" w:rsidRDefault="00637BF4" w:rsidP="00925F26">
            <w:pPr>
              <w:jc w:val="both"/>
              <w:rPr>
                <w:color w:val="000000" w:themeColor="text1"/>
                <w:sz w:val="16"/>
                <w:szCs w:val="16"/>
              </w:rPr>
            </w:pPr>
            <w:r w:rsidRPr="00925F26">
              <w:rPr>
                <w:rStyle w:val="a7"/>
                <w:b w:val="0"/>
                <w:color w:val="000000" w:themeColor="text1"/>
                <w:sz w:val="16"/>
                <w:szCs w:val="16"/>
              </w:rPr>
              <w:t>План на июнь по постановлению № 8804сс</w:t>
            </w:r>
          </w:p>
        </w:tc>
      </w:tr>
      <w:tr w:rsidR="000F5689" w:rsidRPr="00925F26" w14:paraId="47A555BB" w14:textId="77777777" w:rsidTr="00BE2FB1">
        <w:trPr>
          <w:trHeight w:val="30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6C0175CD" w14:textId="77777777" w:rsidR="00637BF4" w:rsidRPr="00925F26" w:rsidRDefault="00637BF4" w:rsidP="00925F26">
            <w:pPr>
              <w:jc w:val="both"/>
              <w:rPr>
                <w:color w:val="000000" w:themeColor="text1"/>
                <w:sz w:val="16"/>
                <w:szCs w:val="16"/>
              </w:rPr>
            </w:pPr>
            <w:r w:rsidRPr="00925F26">
              <w:rPr>
                <w:color w:val="000000" w:themeColor="text1"/>
                <w:sz w:val="16"/>
                <w:szCs w:val="16"/>
              </w:rPr>
              <w:t>76-мм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0F1122AD" w14:textId="77777777" w:rsidR="00637BF4" w:rsidRPr="00925F26" w:rsidRDefault="00637BF4" w:rsidP="00925F26">
            <w:pPr>
              <w:jc w:val="both"/>
              <w:rPr>
                <w:color w:val="000000" w:themeColor="text1"/>
                <w:sz w:val="16"/>
                <w:szCs w:val="16"/>
              </w:rPr>
            </w:pPr>
            <w:r w:rsidRPr="00925F26">
              <w:rPr>
                <w:color w:val="000000" w:themeColor="text1"/>
                <w:sz w:val="16"/>
                <w:szCs w:val="16"/>
              </w:rPr>
              <w:t>3330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1F6BFB3A" w14:textId="77777777" w:rsidR="00637BF4" w:rsidRPr="00925F26" w:rsidRDefault="00637BF4" w:rsidP="00925F26">
            <w:pPr>
              <w:jc w:val="both"/>
              <w:rPr>
                <w:color w:val="000000" w:themeColor="text1"/>
                <w:sz w:val="16"/>
                <w:szCs w:val="16"/>
              </w:rPr>
            </w:pPr>
            <w:r w:rsidRPr="00925F26">
              <w:rPr>
                <w:color w:val="000000" w:themeColor="text1"/>
                <w:sz w:val="16"/>
                <w:szCs w:val="16"/>
              </w:rPr>
              <w:t>1020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C919247" w14:textId="77777777" w:rsidR="00637BF4" w:rsidRPr="00925F26" w:rsidRDefault="00637BF4" w:rsidP="00925F26">
            <w:pPr>
              <w:jc w:val="both"/>
              <w:rPr>
                <w:color w:val="000000" w:themeColor="text1"/>
                <w:sz w:val="16"/>
                <w:szCs w:val="16"/>
              </w:rPr>
            </w:pPr>
            <w:r w:rsidRPr="00925F26">
              <w:rPr>
                <w:color w:val="000000" w:themeColor="text1"/>
                <w:sz w:val="16"/>
                <w:szCs w:val="16"/>
              </w:rPr>
              <w:t>780</w:t>
            </w:r>
          </w:p>
        </w:tc>
      </w:tr>
      <w:tr w:rsidR="000F5689" w:rsidRPr="00925F26" w14:paraId="39476E4B" w14:textId="77777777" w:rsidTr="00BE2FB1">
        <w:trPr>
          <w:trHeight w:val="28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2CD6B9A8" w14:textId="77777777" w:rsidR="00637BF4" w:rsidRPr="00925F26" w:rsidRDefault="00637BF4" w:rsidP="00925F26">
            <w:pPr>
              <w:jc w:val="both"/>
              <w:rPr>
                <w:color w:val="000000" w:themeColor="text1"/>
                <w:sz w:val="16"/>
                <w:szCs w:val="16"/>
              </w:rPr>
            </w:pPr>
            <w:r w:rsidRPr="00925F26">
              <w:rPr>
                <w:color w:val="000000" w:themeColor="text1"/>
                <w:sz w:val="16"/>
                <w:szCs w:val="16"/>
              </w:rPr>
              <w:t>122-мм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449D29E3" w14:textId="77777777" w:rsidR="00637BF4" w:rsidRPr="00925F26" w:rsidRDefault="00637BF4" w:rsidP="00925F26">
            <w:pPr>
              <w:jc w:val="both"/>
              <w:rPr>
                <w:color w:val="000000" w:themeColor="text1"/>
                <w:sz w:val="16"/>
                <w:szCs w:val="16"/>
              </w:rPr>
            </w:pPr>
            <w:r w:rsidRPr="00925F26">
              <w:rPr>
                <w:color w:val="000000" w:themeColor="text1"/>
                <w:sz w:val="16"/>
                <w:szCs w:val="16"/>
              </w:rPr>
              <w:t>1065</w:t>
            </w:r>
          </w:p>
        </w:tc>
        <w:tc>
          <w:tcPr>
            <w:tcW w:w="1365" w:type="dxa"/>
            <w:tcBorders>
              <w:top w:val="outset" w:sz="6" w:space="0" w:color="auto"/>
              <w:left w:val="outset" w:sz="6" w:space="0" w:color="auto"/>
              <w:bottom w:val="outset" w:sz="6" w:space="0" w:color="auto"/>
              <w:right w:val="outset" w:sz="6" w:space="0" w:color="auto"/>
            </w:tcBorders>
            <w:vAlign w:val="center"/>
            <w:hideMark/>
          </w:tcPr>
          <w:p w14:paraId="5C5CCAB8" w14:textId="77777777" w:rsidR="00637BF4" w:rsidRPr="00925F26" w:rsidRDefault="00637BF4" w:rsidP="00925F26">
            <w:pPr>
              <w:jc w:val="both"/>
              <w:rPr>
                <w:color w:val="000000" w:themeColor="text1"/>
                <w:sz w:val="16"/>
                <w:szCs w:val="16"/>
              </w:rPr>
            </w:pPr>
            <w:r w:rsidRPr="00925F26">
              <w:rPr>
                <w:color w:val="000000" w:themeColor="text1"/>
                <w:sz w:val="16"/>
                <w:szCs w:val="16"/>
              </w:rPr>
              <w:t>685</w:t>
            </w:r>
          </w:p>
        </w:tc>
        <w:tc>
          <w:tcPr>
            <w:tcW w:w="1365" w:type="dxa"/>
            <w:tcBorders>
              <w:top w:val="outset" w:sz="6" w:space="0" w:color="auto"/>
              <w:left w:val="outset" w:sz="6" w:space="0" w:color="auto"/>
              <w:bottom w:val="outset" w:sz="6" w:space="0" w:color="auto"/>
              <w:right w:val="outset" w:sz="6" w:space="0" w:color="auto"/>
            </w:tcBorders>
            <w:vAlign w:val="center"/>
            <w:hideMark/>
          </w:tcPr>
          <w:p w14:paraId="6ED9EC34" w14:textId="77777777" w:rsidR="00637BF4" w:rsidRPr="00925F26" w:rsidRDefault="00637BF4" w:rsidP="00925F26">
            <w:pPr>
              <w:jc w:val="both"/>
              <w:rPr>
                <w:color w:val="000000" w:themeColor="text1"/>
                <w:sz w:val="16"/>
                <w:szCs w:val="16"/>
              </w:rPr>
            </w:pPr>
            <w:r w:rsidRPr="00925F26">
              <w:rPr>
                <w:color w:val="000000" w:themeColor="text1"/>
                <w:sz w:val="16"/>
                <w:szCs w:val="16"/>
              </w:rPr>
              <w:t>450</w:t>
            </w:r>
          </w:p>
        </w:tc>
      </w:tr>
      <w:tr w:rsidR="000F5689" w:rsidRPr="00925F26" w14:paraId="39E12431" w14:textId="77777777" w:rsidTr="00BE2FB1">
        <w:trPr>
          <w:trHeight w:val="27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45F0034" w14:textId="77777777" w:rsidR="00637BF4" w:rsidRPr="00925F26" w:rsidRDefault="00637BF4" w:rsidP="00925F26">
            <w:pPr>
              <w:jc w:val="both"/>
              <w:rPr>
                <w:color w:val="000000" w:themeColor="text1"/>
                <w:sz w:val="16"/>
                <w:szCs w:val="16"/>
              </w:rPr>
            </w:pPr>
            <w:r w:rsidRPr="00925F26">
              <w:rPr>
                <w:color w:val="000000" w:themeColor="text1"/>
                <w:sz w:val="16"/>
                <w:szCs w:val="16"/>
              </w:rPr>
              <w:t>152-мм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4B976CE8" w14:textId="77777777" w:rsidR="00637BF4" w:rsidRPr="00925F26" w:rsidRDefault="00637BF4" w:rsidP="00925F26">
            <w:pPr>
              <w:jc w:val="both"/>
              <w:rPr>
                <w:color w:val="000000" w:themeColor="text1"/>
                <w:sz w:val="16"/>
                <w:szCs w:val="16"/>
              </w:rPr>
            </w:pPr>
            <w:r w:rsidRPr="00925F26">
              <w:rPr>
                <w:color w:val="000000" w:themeColor="text1"/>
                <w:sz w:val="16"/>
                <w:szCs w:val="16"/>
              </w:rPr>
              <w:t>370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B39EBF5" w14:textId="77777777" w:rsidR="00637BF4" w:rsidRPr="00925F26" w:rsidRDefault="00637BF4" w:rsidP="00925F26">
            <w:pPr>
              <w:jc w:val="both"/>
              <w:rPr>
                <w:color w:val="000000" w:themeColor="text1"/>
                <w:sz w:val="16"/>
                <w:szCs w:val="16"/>
              </w:rPr>
            </w:pPr>
            <w:r w:rsidRPr="00925F26">
              <w:rPr>
                <w:color w:val="000000" w:themeColor="text1"/>
                <w:sz w:val="16"/>
                <w:szCs w:val="16"/>
              </w:rPr>
              <w:t>260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481DCA27" w14:textId="77777777" w:rsidR="00637BF4" w:rsidRPr="00925F26" w:rsidRDefault="00637BF4" w:rsidP="00925F26">
            <w:pPr>
              <w:jc w:val="both"/>
              <w:rPr>
                <w:color w:val="000000" w:themeColor="text1"/>
                <w:sz w:val="16"/>
                <w:szCs w:val="16"/>
              </w:rPr>
            </w:pPr>
            <w:r w:rsidRPr="00925F26">
              <w:rPr>
                <w:color w:val="000000" w:themeColor="text1"/>
                <w:sz w:val="16"/>
                <w:szCs w:val="16"/>
              </w:rPr>
              <w:t>203</w:t>
            </w:r>
          </w:p>
        </w:tc>
      </w:tr>
      <w:tr w:rsidR="000F5689" w:rsidRPr="00925F26" w14:paraId="6F1166A5" w14:textId="77777777" w:rsidTr="00BE2FB1">
        <w:trPr>
          <w:trHeight w:val="28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D364678" w14:textId="77777777" w:rsidR="00637BF4" w:rsidRPr="00925F26" w:rsidRDefault="00637BF4" w:rsidP="00925F26">
            <w:pPr>
              <w:jc w:val="both"/>
              <w:rPr>
                <w:color w:val="000000" w:themeColor="text1"/>
                <w:sz w:val="16"/>
                <w:szCs w:val="16"/>
              </w:rPr>
            </w:pPr>
            <w:r w:rsidRPr="00925F26">
              <w:rPr>
                <w:color w:val="000000" w:themeColor="text1"/>
                <w:sz w:val="16"/>
                <w:szCs w:val="16"/>
              </w:rPr>
              <w:t>Реактивные снаряды</w:t>
            </w:r>
            <w:bookmarkStart w:id="24" w:name="_ednref9"/>
            <w:r w:rsidR="00A371FF" w:rsidRPr="00925F26">
              <w:rPr>
                <w:color w:val="000000" w:themeColor="text1"/>
                <w:sz w:val="16"/>
                <w:szCs w:val="16"/>
              </w:rPr>
              <w:fldChar w:fldCharType="begin"/>
            </w:r>
            <w:r w:rsidRPr="00925F26">
              <w:rPr>
                <w:color w:val="000000" w:themeColor="text1"/>
                <w:sz w:val="16"/>
                <w:szCs w:val="16"/>
              </w:rPr>
              <w:instrText xml:space="preserve"> HYPERLINK "http://ebookiriran.ru/index.php?view=article&amp;section=8&amp;id=184" \l "_edn9" \o "" </w:instrText>
            </w:r>
            <w:r w:rsidR="00A371FF" w:rsidRPr="00925F26">
              <w:rPr>
                <w:color w:val="000000" w:themeColor="text1"/>
                <w:sz w:val="16"/>
                <w:szCs w:val="16"/>
              </w:rPr>
            </w:r>
            <w:r w:rsidR="00A371FF" w:rsidRPr="00925F26">
              <w:rPr>
                <w:color w:val="000000" w:themeColor="text1"/>
                <w:sz w:val="16"/>
                <w:szCs w:val="16"/>
              </w:rPr>
              <w:fldChar w:fldCharType="separate"/>
            </w:r>
            <w:r w:rsidRPr="00925F26">
              <w:rPr>
                <w:rStyle w:val="a5"/>
                <w:color w:val="000000" w:themeColor="text1"/>
                <w:sz w:val="16"/>
                <w:szCs w:val="16"/>
              </w:rPr>
              <w:t>[9]</w:t>
            </w:r>
            <w:r w:rsidR="00A371FF" w:rsidRPr="00925F26">
              <w:rPr>
                <w:color w:val="000000" w:themeColor="text1"/>
                <w:sz w:val="16"/>
                <w:szCs w:val="16"/>
              </w:rPr>
              <w:fldChar w:fldCharType="end"/>
            </w:r>
            <w:bookmarkEnd w:id="24"/>
          </w:p>
        </w:tc>
        <w:tc>
          <w:tcPr>
            <w:tcW w:w="1605" w:type="dxa"/>
            <w:tcBorders>
              <w:top w:val="outset" w:sz="6" w:space="0" w:color="auto"/>
              <w:left w:val="outset" w:sz="6" w:space="0" w:color="auto"/>
              <w:bottom w:val="outset" w:sz="6" w:space="0" w:color="auto"/>
              <w:right w:val="outset" w:sz="6" w:space="0" w:color="auto"/>
            </w:tcBorders>
            <w:vAlign w:val="center"/>
            <w:hideMark/>
          </w:tcPr>
          <w:p w14:paraId="763A14D3" w14:textId="77777777" w:rsidR="00637BF4" w:rsidRPr="00925F26" w:rsidRDefault="00637BF4" w:rsidP="00925F26">
            <w:pPr>
              <w:jc w:val="both"/>
              <w:rPr>
                <w:color w:val="000000" w:themeColor="text1"/>
                <w:sz w:val="16"/>
                <w:szCs w:val="16"/>
              </w:rPr>
            </w:pPr>
            <w:r w:rsidRPr="00925F26">
              <w:rPr>
                <w:color w:val="000000" w:themeColor="text1"/>
                <w:sz w:val="16"/>
                <w:szCs w:val="16"/>
              </w:rPr>
              <w:t>360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2D3DDB70" w14:textId="77777777" w:rsidR="00637BF4" w:rsidRPr="00925F26" w:rsidRDefault="00637BF4" w:rsidP="00925F26">
            <w:pPr>
              <w:jc w:val="both"/>
              <w:rPr>
                <w:color w:val="000000" w:themeColor="text1"/>
                <w:sz w:val="16"/>
                <w:szCs w:val="16"/>
              </w:rPr>
            </w:pPr>
            <w:r w:rsidRPr="00925F26">
              <w:rPr>
                <w:color w:val="000000" w:themeColor="text1"/>
                <w:sz w:val="16"/>
                <w:szCs w:val="16"/>
              </w:rPr>
              <w:t>10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39182A09" w14:textId="77777777" w:rsidR="00637BF4" w:rsidRPr="00925F26" w:rsidRDefault="00637BF4" w:rsidP="00925F26">
            <w:pPr>
              <w:jc w:val="both"/>
              <w:rPr>
                <w:color w:val="000000" w:themeColor="text1"/>
                <w:sz w:val="16"/>
                <w:szCs w:val="16"/>
              </w:rPr>
            </w:pPr>
            <w:r w:rsidRPr="00925F26">
              <w:rPr>
                <w:color w:val="000000" w:themeColor="text1"/>
                <w:sz w:val="16"/>
                <w:szCs w:val="16"/>
              </w:rPr>
              <w:t>10</w:t>
            </w:r>
          </w:p>
        </w:tc>
      </w:tr>
      <w:tr w:rsidR="000F5689" w:rsidRPr="00925F26" w14:paraId="25C1CF43" w14:textId="77777777" w:rsidTr="00BE2FB1">
        <w:trPr>
          <w:trHeight w:val="25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99BBDCF" w14:textId="77777777" w:rsidR="00637BF4" w:rsidRPr="00925F26" w:rsidRDefault="00637BF4" w:rsidP="00925F26">
            <w:pPr>
              <w:jc w:val="both"/>
              <w:rPr>
                <w:color w:val="000000" w:themeColor="text1"/>
                <w:sz w:val="16"/>
                <w:szCs w:val="16"/>
              </w:rPr>
            </w:pPr>
            <w:r w:rsidRPr="00925F26">
              <w:rPr>
                <w:color w:val="000000" w:themeColor="text1"/>
                <w:sz w:val="16"/>
                <w:szCs w:val="16"/>
              </w:rPr>
              <w:t>122-мм мины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36CD5709" w14:textId="77777777" w:rsidR="00637BF4" w:rsidRPr="00925F26" w:rsidRDefault="00637BF4" w:rsidP="00925F26">
            <w:pPr>
              <w:jc w:val="both"/>
              <w:rPr>
                <w:color w:val="000000" w:themeColor="text1"/>
                <w:sz w:val="16"/>
                <w:szCs w:val="16"/>
              </w:rPr>
            </w:pPr>
            <w:r w:rsidRPr="00925F26">
              <w:rPr>
                <w:color w:val="000000" w:themeColor="text1"/>
                <w:sz w:val="16"/>
                <w:szCs w:val="16"/>
              </w:rPr>
              <w:t>1850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7E90CDE1" w14:textId="77777777" w:rsidR="00637BF4" w:rsidRPr="00925F26" w:rsidRDefault="00637BF4" w:rsidP="00925F26">
            <w:pPr>
              <w:jc w:val="both"/>
              <w:rPr>
                <w:color w:val="000000" w:themeColor="text1"/>
                <w:sz w:val="16"/>
                <w:szCs w:val="16"/>
              </w:rPr>
            </w:pPr>
            <w:r w:rsidRPr="00925F26">
              <w:rPr>
                <w:color w:val="000000" w:themeColor="text1"/>
                <w:sz w:val="16"/>
                <w:szCs w:val="16"/>
              </w:rPr>
              <w:t>250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14373A3C" w14:textId="77777777" w:rsidR="00637BF4" w:rsidRPr="00925F26" w:rsidRDefault="00637BF4" w:rsidP="00925F26">
            <w:pPr>
              <w:jc w:val="both"/>
              <w:rPr>
                <w:color w:val="000000" w:themeColor="text1"/>
                <w:sz w:val="16"/>
                <w:szCs w:val="16"/>
              </w:rPr>
            </w:pPr>
            <w:r w:rsidRPr="00925F26">
              <w:rPr>
                <w:color w:val="000000" w:themeColor="text1"/>
                <w:sz w:val="16"/>
                <w:szCs w:val="16"/>
              </w:rPr>
              <w:t>185</w:t>
            </w:r>
          </w:p>
        </w:tc>
      </w:tr>
    </w:tbl>
    <w:p w14:paraId="1739116A" w14:textId="77777777" w:rsidR="00637BF4" w:rsidRPr="00925F26" w:rsidRDefault="00637BF4" w:rsidP="00925F26">
      <w:pPr>
        <w:shd w:val="clear" w:color="auto" w:fill="FFFFFF"/>
        <w:jc w:val="both"/>
        <w:rPr>
          <w:color w:val="000000" w:themeColor="text1"/>
          <w:sz w:val="16"/>
          <w:szCs w:val="16"/>
        </w:rPr>
      </w:pPr>
      <w:r w:rsidRPr="00925F26">
        <w:rPr>
          <w:rStyle w:val="af0"/>
          <w:i w:val="0"/>
          <w:color w:val="000000" w:themeColor="text1"/>
          <w:sz w:val="16"/>
          <w:szCs w:val="16"/>
        </w:rPr>
        <w:t xml:space="preserve">Источник: </w:t>
      </w:r>
      <w:r w:rsidRPr="00925F26">
        <w:rPr>
          <w:color w:val="000000" w:themeColor="text1"/>
          <w:sz w:val="16"/>
          <w:szCs w:val="16"/>
        </w:rPr>
        <w:t>РГАСПИ. — Ф. 644. — Оп. 1. — Д. 418. — Л. 19—23; Д. 420. — Л. 81—90 (15847).</w:t>
      </w:r>
    </w:p>
    <w:p w14:paraId="035DBB58" w14:textId="77777777" w:rsidR="00637BF4" w:rsidRPr="00925F26" w:rsidRDefault="00637BF4" w:rsidP="00925F26">
      <w:pPr>
        <w:shd w:val="clear" w:color="auto" w:fill="FFFFFF"/>
        <w:jc w:val="both"/>
        <w:rPr>
          <w:color w:val="000000" w:themeColor="text1"/>
          <w:sz w:val="16"/>
          <w:szCs w:val="16"/>
        </w:rPr>
      </w:pPr>
    </w:p>
    <w:p w14:paraId="3DE8DC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мая 1945 г. была подготовлена ДОКЛАДНАЯ ЗАПИСКА НАЧАЛЬНИКА ГАУ КА ЗАМЕСТИТЕЛЮ ПРЕДСЕДАТЕЛЯ ГКО СССР Л.П. БЕРИИ О РАБОТЕ ПО ПОВЫШЕНИЮ МОЩНОСТИ ВООРУЖЕНИЯ СРЕДНИХ ТАНКОВ Т-34, Т-44 и Т-54</w:t>
      </w:r>
      <w:r w:rsidRPr="00925F26">
        <w:rPr>
          <w:color w:val="000000" w:themeColor="text1"/>
          <w:sz w:val="16"/>
          <w:szCs w:val="16"/>
          <w:vertAlign w:val="superscript"/>
        </w:rPr>
        <w:t>1</w:t>
      </w:r>
    </w:p>
    <w:p w14:paraId="295C7F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о проведенной Наркоматом вооружения и заводами № 92 и 9 работе по повышению мощности вооружения средних танков типа Т-34, Т-44 и Т-54.</w:t>
      </w:r>
    </w:p>
    <w:p w14:paraId="5CA2F5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этих танков, с расширенным, до 1700 мм, погоном башни, были изготовлены два образца 100-мм танковых пушек:</w:t>
      </w:r>
    </w:p>
    <w:p w14:paraId="72BE12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- 100-мм пушка ЛБ-1 завода №92 (г. Горький);</w:t>
      </w:r>
    </w:p>
    <w:p w14:paraId="00E3DF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- 100-мм пушка Д-10-1 завода №9 (г. Свердловск, в основу которой положена самоходная пушка Д-10-С).</w:t>
      </w:r>
    </w:p>
    <w:p w14:paraId="410F43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Обе пушки были смонтированы поочередно в танк Т-34 с расширенным погоном башни и в пери</w:t>
      </w:r>
      <w:r w:rsidRPr="00925F26">
        <w:rPr>
          <w:color w:val="000000" w:themeColor="text1"/>
          <w:sz w:val="16"/>
          <w:szCs w:val="16"/>
        </w:rPr>
        <w:softHyphen/>
        <w:t>од 6-27 апреля с.г. испытаны на Гороховецком испытательном артиллерийском полигоне по общей программе, включающей в себя стрельбу 100 выстрелами и пробег 500 километров.</w:t>
      </w:r>
    </w:p>
    <w:p w14:paraId="018E09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проводила комиссия, назначенная совместным приказом народного комиссара воо</w:t>
      </w:r>
      <w:r w:rsidRPr="00925F26">
        <w:rPr>
          <w:color w:val="000000" w:themeColor="text1"/>
          <w:sz w:val="16"/>
          <w:szCs w:val="16"/>
        </w:rPr>
        <w:softHyphen/>
        <w:t>ружения, народного комиссара танковой промышленности, начальником ГАУ КА и командующего БТ и МВ КА.</w:t>
      </w:r>
    </w:p>
    <w:p w14:paraId="411F80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Обе пушки испытания выдержали:</w:t>
      </w:r>
    </w:p>
    <w:p w14:paraId="70A47D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- 100-мм пушка ЛБ-1 прошла испытания почти без существенных замечаний;</w:t>
      </w:r>
    </w:p>
    <w:p w14:paraId="716D56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- 100-мм пушка Д-10-Т прошла испытания, имея ряд замечаний по доработке, так, например:</w:t>
      </w:r>
    </w:p>
    <w:p w14:paraId="0A94CA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необходимо ввести в подъемный механизм сдающее (предохранительное) звено;</w:t>
      </w:r>
    </w:p>
    <w:p w14:paraId="0931F3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установить крепление по-походному;</w:t>
      </w:r>
    </w:p>
    <w:p w14:paraId="5C5EE1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изменить взаимное расположение рукоятей и ограждения для предохранения руки наводчика от ушибов;</w:t>
      </w:r>
    </w:p>
    <w:p w14:paraId="3EF85D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упрочнить лапки выбрасывателя.</w:t>
      </w:r>
    </w:p>
    <w:p w14:paraId="591EC1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боевом обслуживании этой пушки, кроме того, отмечены следующие недостатки:</w:t>
      </w:r>
    </w:p>
    <w:p w14:paraId="0BE60C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нет рычага для ручного сбрасывания лапок экстрактора;</w:t>
      </w:r>
    </w:p>
    <w:p w14:paraId="1387EC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нельзя открыть затвор вручную при углах склонения больше 15";</w:t>
      </w:r>
    </w:p>
    <w:p w14:paraId="609433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заряжание пушки, при углах возвышения больше 9", неудобно. Эти недостатки и другие, не указанные здесь, могут быть устранены и доработаны. Учитывая наличие двух пушек и результаты проведенных полигонных испытаний, ГАУ считает целесообразным следующие решение:</w:t>
      </w:r>
    </w:p>
    <w:p w14:paraId="308DD2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Если по боевым требованиям танк Т-34 целесообразно вооружить 100-мм танковой пушкой, -принять на вооружение этих танков 100-мм танковую пушку ЛБ-1.</w:t>
      </w:r>
    </w:p>
    <w:p w14:paraId="4BDBD8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 случае значительной потребности в 100-мм танковых пушках в течение ближайших месяцев, -временно допустить для вооружения танков Т-34 две пушки, т.е. ЛБ-1 и Д-10-Т с тем, чтобы по миновании напряженного момента с поставкой пушек, на вооружении этих танков осталась одна 100-мм пушка ЛБ-1.</w:t>
      </w:r>
    </w:p>
    <w:p w14:paraId="4C11BA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Исчерпывающим решением по усилению танкового вооружения было бы скорейшее рассмот</w:t>
      </w:r>
      <w:r w:rsidRPr="00925F26">
        <w:rPr>
          <w:color w:val="000000" w:themeColor="text1"/>
          <w:sz w:val="16"/>
          <w:szCs w:val="16"/>
        </w:rPr>
        <w:softHyphen/>
        <w:t>рение вопроса о танке Т-44, который с 100-мм танковой пушкой будет, судя по предварительным данным, образцом более приемлемым для войск, чем танк Т-34.</w:t>
      </w:r>
    </w:p>
    <w:p w14:paraId="5F3EEE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Начальник ГАУ КА маршал артиллерии Н. Яковлев</w:t>
      </w:r>
    </w:p>
    <w:p w14:paraId="0C562A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2732. Л. 80-81. Подлинник.</w:t>
      </w:r>
    </w:p>
    <w:p w14:paraId="60A477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vertAlign w:val="superscript"/>
        </w:rPr>
        <w:t>1</w:t>
      </w:r>
      <w:r w:rsidRPr="00925F26">
        <w:rPr>
          <w:color w:val="000000" w:themeColor="text1"/>
          <w:sz w:val="16"/>
          <w:szCs w:val="16"/>
        </w:rPr>
        <w:t xml:space="preserve"> Надокументе сделана надпись: «тт. Малышеву, Федоренко, Коробкову, Устинову, Петросьянцу, Яковлеву, Кирпичемкову. Представьте свои предложения. Л. Берия. 22.05.1945 г.» (11420).</w:t>
      </w:r>
    </w:p>
    <w:p w14:paraId="2078D159" w14:textId="77777777" w:rsidR="00665165" w:rsidRPr="00925F26" w:rsidRDefault="00665165" w:rsidP="00925F26">
      <w:pPr>
        <w:autoSpaceDE w:val="0"/>
        <w:autoSpaceDN w:val="0"/>
        <w:adjustRightInd w:val="0"/>
        <w:jc w:val="both"/>
        <w:rPr>
          <w:color w:val="000000" w:themeColor="text1"/>
          <w:sz w:val="16"/>
          <w:szCs w:val="16"/>
        </w:rPr>
      </w:pPr>
    </w:p>
    <w:p w14:paraId="5603F4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вышло Постановление ГКО № 8650 О плане производства и поставки НКО СССР и Наркомвоенморфлоту боеприпасов на июнь и июль 1945 года. РГАНИР, Фонд ГКО, д. 418, лл. 14-23 (11012).</w:t>
      </w:r>
    </w:p>
    <w:p w14:paraId="70CFB87D" w14:textId="77777777" w:rsidR="00665165" w:rsidRPr="00925F26" w:rsidRDefault="00665165" w:rsidP="00925F26">
      <w:pPr>
        <w:autoSpaceDE w:val="0"/>
        <w:autoSpaceDN w:val="0"/>
        <w:adjustRightInd w:val="0"/>
        <w:jc w:val="both"/>
        <w:rPr>
          <w:color w:val="000000" w:themeColor="text1"/>
          <w:sz w:val="16"/>
          <w:szCs w:val="16"/>
        </w:rPr>
      </w:pPr>
    </w:p>
    <w:p w14:paraId="6BE593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вышло Постановление ГКО № 8651 О плане производства и поставки артиллерийского, минометного, стрелкового вооружения и военных приборов НКО СССР в июне-июле 1945 г. РГАНИР, Фонд ГКО, д. 418, лл. 24-29, 30-32 (11012).</w:t>
      </w:r>
    </w:p>
    <w:p w14:paraId="6157000A" w14:textId="77777777" w:rsidR="00665165" w:rsidRPr="00925F26" w:rsidRDefault="00665165" w:rsidP="00925F26">
      <w:pPr>
        <w:autoSpaceDE w:val="0"/>
        <w:autoSpaceDN w:val="0"/>
        <w:adjustRightInd w:val="0"/>
        <w:jc w:val="both"/>
        <w:rPr>
          <w:color w:val="000000" w:themeColor="text1"/>
          <w:sz w:val="16"/>
          <w:szCs w:val="16"/>
        </w:rPr>
      </w:pPr>
    </w:p>
    <w:p w14:paraId="61A968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8652. О дополнительном выделении бензина НКГБ в мае 1945 г. РГАНИР, Фонд ГКО, д. 418, лл. 33 (11012).</w:t>
      </w:r>
    </w:p>
    <w:p w14:paraId="3B136F06" w14:textId="77777777" w:rsidR="00665165" w:rsidRPr="00925F26" w:rsidRDefault="00665165" w:rsidP="00925F26">
      <w:pPr>
        <w:autoSpaceDE w:val="0"/>
        <w:autoSpaceDN w:val="0"/>
        <w:adjustRightInd w:val="0"/>
        <w:jc w:val="both"/>
        <w:rPr>
          <w:color w:val="000000" w:themeColor="text1"/>
          <w:sz w:val="16"/>
          <w:szCs w:val="16"/>
        </w:rPr>
      </w:pPr>
    </w:p>
    <w:p w14:paraId="739708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8653. Об увеличении плана перевозок металла, метизов и сырья для НКНП в мае 1945 г. РГАНИР, Фонд ГКО, д. 418, лл. 34 (11012).</w:t>
      </w:r>
    </w:p>
    <w:p w14:paraId="04238B1D" w14:textId="77777777" w:rsidR="00665165" w:rsidRPr="00925F26" w:rsidRDefault="00665165" w:rsidP="00925F26">
      <w:pPr>
        <w:autoSpaceDE w:val="0"/>
        <w:autoSpaceDN w:val="0"/>
        <w:adjustRightInd w:val="0"/>
        <w:jc w:val="both"/>
        <w:rPr>
          <w:color w:val="000000" w:themeColor="text1"/>
          <w:sz w:val="16"/>
          <w:szCs w:val="16"/>
        </w:rPr>
      </w:pPr>
    </w:p>
    <w:p w14:paraId="629C9CB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8654 [Об уменьшении плана вывоза из Череповца нефтепродуктов речным транспортом для НКВМФ и НКРФ.] (7342, 35).</w:t>
      </w:r>
    </w:p>
    <w:p w14:paraId="2D34253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85876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8655 [О поставках металла, метизов, нефтебитума и цемента Соликамстрою НКВД и заводу № 577 НКБ.] (7342, 36-37,38-39).</w:t>
      </w:r>
    </w:p>
    <w:p w14:paraId="51A93A8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4368C3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8656 [О мерах по ускорению разработки отечественной системы каталитического крекинга и материально-техническом снабжении соответствующих промышленных объектов.] (7342, 40-42,43-45).</w:t>
      </w:r>
    </w:p>
    <w:p w14:paraId="1BAE88B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1BF2FF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8657 [О поставках нефтепродуктов НКВД для строительства газопровода Саратов - Москва.] (7342, 46,47-48).</w:t>
      </w:r>
    </w:p>
    <w:p w14:paraId="6EA0EB8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E779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вышло Распоряжение ГКО № 8658. О поставках оборудования для строительства электростанции треста "Туймазанефть". РГАНИР, Фонд ГКО, д. 418, лл. 49, 50-51 (11012).</w:t>
      </w:r>
    </w:p>
    <w:p w14:paraId="3C197D6A" w14:textId="77777777" w:rsidR="00665165" w:rsidRPr="00925F26" w:rsidRDefault="00665165" w:rsidP="00925F26">
      <w:pPr>
        <w:autoSpaceDE w:val="0"/>
        <w:autoSpaceDN w:val="0"/>
        <w:adjustRightInd w:val="0"/>
        <w:jc w:val="both"/>
        <w:rPr>
          <w:color w:val="000000" w:themeColor="text1"/>
          <w:sz w:val="16"/>
          <w:szCs w:val="16"/>
        </w:rPr>
      </w:pPr>
    </w:p>
    <w:p w14:paraId="38ED15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 мая 1945 вышло Постановление ГКО № 8659 О завозе в 1945 году угля в Литовскую и Латвийскую ССР. РГАНИР, Фонд ГКО, д. 418, лл. 52, 53 (11012).</w:t>
      </w:r>
    </w:p>
    <w:p w14:paraId="7A5A548C" w14:textId="77777777" w:rsidR="00665165" w:rsidRPr="00925F26" w:rsidRDefault="00665165" w:rsidP="00925F26">
      <w:pPr>
        <w:autoSpaceDE w:val="0"/>
        <w:autoSpaceDN w:val="0"/>
        <w:adjustRightInd w:val="0"/>
        <w:jc w:val="both"/>
        <w:rPr>
          <w:color w:val="000000" w:themeColor="text1"/>
          <w:sz w:val="16"/>
          <w:szCs w:val="16"/>
        </w:rPr>
      </w:pPr>
    </w:p>
    <w:p w14:paraId="766A7A0A" w14:textId="77777777" w:rsidR="00FC5427"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DD8C326" w14:textId="77777777" w:rsidR="00FC5427" w:rsidRPr="00925F26" w:rsidRDefault="00FC5427" w:rsidP="00925F26">
      <w:pPr>
        <w:autoSpaceDE w:val="0"/>
        <w:autoSpaceDN w:val="0"/>
        <w:adjustRightInd w:val="0"/>
        <w:jc w:val="both"/>
        <w:rPr>
          <w:iCs/>
          <w:color w:val="000000" w:themeColor="text1"/>
          <w:sz w:val="16"/>
          <w:szCs w:val="16"/>
        </w:rPr>
      </w:pPr>
    </w:p>
    <w:p w14:paraId="2FC369D7" w14:textId="77777777" w:rsidR="00FC5427" w:rsidRPr="00925F26" w:rsidRDefault="00FC5427" w:rsidP="00925F26">
      <w:pPr>
        <w:autoSpaceDE w:val="0"/>
        <w:autoSpaceDN w:val="0"/>
        <w:adjustRightInd w:val="0"/>
        <w:jc w:val="both"/>
        <w:rPr>
          <w:color w:val="000000" w:themeColor="text1"/>
          <w:sz w:val="16"/>
          <w:szCs w:val="16"/>
        </w:rPr>
      </w:pPr>
      <w:r w:rsidRPr="00925F26">
        <w:rPr>
          <w:color w:val="000000" w:themeColor="text1"/>
          <w:sz w:val="16"/>
          <w:szCs w:val="16"/>
        </w:rPr>
        <w:t xml:space="preserve">17 мая 1945 Завершена капитуляция отдельных немецких группировок бывшей ГР.А "Австрия" перед советскими войсками. В боях за освобождение Австрии (30.03-11.05.1945) советские войска потеряли около 26 </w:t>
      </w:r>
      <w:proofErr w:type="gramStart"/>
      <w:r w:rsidRPr="00925F26">
        <w:rPr>
          <w:color w:val="000000" w:themeColor="text1"/>
          <w:sz w:val="16"/>
          <w:szCs w:val="16"/>
        </w:rPr>
        <w:t>тыс.человек</w:t>
      </w:r>
      <w:proofErr w:type="gramEnd"/>
      <w:r w:rsidRPr="00925F26">
        <w:rPr>
          <w:color w:val="000000" w:themeColor="text1"/>
          <w:sz w:val="16"/>
          <w:szCs w:val="16"/>
        </w:rPr>
        <w:t xml:space="preserve"> (7444).</w:t>
      </w:r>
    </w:p>
    <w:p w14:paraId="76C01945" w14:textId="77777777" w:rsidR="00FC5427" w:rsidRPr="00925F26" w:rsidRDefault="00FC5427" w:rsidP="00925F26">
      <w:pPr>
        <w:autoSpaceDE w:val="0"/>
        <w:autoSpaceDN w:val="0"/>
        <w:adjustRightInd w:val="0"/>
        <w:jc w:val="both"/>
        <w:rPr>
          <w:color w:val="000000" w:themeColor="text1"/>
          <w:sz w:val="16"/>
          <w:szCs w:val="16"/>
        </w:rPr>
      </w:pPr>
    </w:p>
    <w:p w14:paraId="429666CD" w14:textId="77777777" w:rsidR="00FC5427" w:rsidRPr="00925F26" w:rsidRDefault="00FC5427" w:rsidP="00925F26">
      <w:pPr>
        <w:shd w:val="clear" w:color="auto" w:fill="FFFFFF"/>
        <w:jc w:val="both"/>
        <w:rPr>
          <w:color w:val="000000" w:themeColor="text1"/>
          <w:sz w:val="16"/>
          <w:szCs w:val="16"/>
        </w:rPr>
      </w:pPr>
      <w:r w:rsidRPr="00925F26">
        <w:rPr>
          <w:color w:val="000000" w:themeColor="text1"/>
          <w:sz w:val="16"/>
          <w:szCs w:val="16"/>
        </w:rPr>
        <w:t>17 мая 1945 г. Германия: в Берлин прилетел генерал Павел Мешик для проверки на месте данных и материалов о самоубийстве Гитлера, доклад результатов в Москву – вероятно Сталину – подписание актов</w:t>
      </w:r>
    </w:p>
    <w:p w14:paraId="1EF28E55" w14:textId="77777777" w:rsidR="00FC5427" w:rsidRPr="00925F26" w:rsidRDefault="00FC5427" w:rsidP="00925F26">
      <w:pPr>
        <w:shd w:val="clear" w:color="auto" w:fill="FFFFFF"/>
        <w:jc w:val="both"/>
        <w:rPr>
          <w:color w:val="000000" w:themeColor="text1"/>
          <w:sz w:val="16"/>
          <w:szCs w:val="16"/>
        </w:rPr>
      </w:pPr>
      <w:r w:rsidRPr="00925F26">
        <w:rPr>
          <w:bCs/>
          <w:iCs/>
          <w:color w:val="000000" w:themeColor="text1"/>
          <w:sz w:val="16"/>
          <w:szCs w:val="16"/>
        </w:rPr>
        <w:t>Елена Ржевская «Берлин, май 1945: Записки военного переводчика»:</w:t>
      </w:r>
    </w:p>
    <w:p w14:paraId="5A4B0DC5" w14:textId="77777777" w:rsidR="00FC5427" w:rsidRPr="00925F26" w:rsidRDefault="00FC5427" w:rsidP="00925F26">
      <w:pPr>
        <w:shd w:val="clear" w:color="auto" w:fill="FFFFFF"/>
        <w:jc w:val="both"/>
        <w:rPr>
          <w:color w:val="000000" w:themeColor="text1"/>
          <w:sz w:val="16"/>
          <w:szCs w:val="16"/>
        </w:rPr>
      </w:pPr>
      <w:r w:rsidRPr="00925F26">
        <w:rPr>
          <w:color w:val="000000" w:themeColor="text1"/>
          <w:sz w:val="16"/>
          <w:szCs w:val="16"/>
        </w:rPr>
        <w:t>18 мая 1945 года</w:t>
      </w:r>
      <w:r w:rsidRPr="00925F26">
        <w:rPr>
          <w:bCs/>
          <w:color w:val="000000" w:themeColor="text1"/>
          <w:sz w:val="16"/>
          <w:szCs w:val="16"/>
        </w:rPr>
        <w:t xml:space="preserve"> – к этому времени мы передислоцировались в небольшой городок неподалеку от Берлина – сюда прибыл из Москвы присланный Ставкой генерал, чтобы проверить на месте все данные о самоубийстве Гитлера и с личным докладом вернуться в Ставку. Началось переосвидетельствование. Заново опрашивались все главные свидетели. Я переводила. Генерал все изучал, задавал вопросы, внимательно слушал. Протоколы не подписывал, но в перерывах по аппарату ВЧ передавал в Ставку слово за словом текст протокола. На исходе второго дня этого ответственного расследования – кульминация. Представьте себе: маленький городок, мягкое освещение предвечернего часа. И странную процессию, двинувшуюся к окраинной черте города. На окраине, в реденьком леске в комендантский час, когда можно было не опасаться соглядатаев из здешних горожан, были преданы земле перевезенные из Буха ящики с останками и скрытно выставлен круглосуточный пост. Майор Быстров шел впереди, указывая путь. За ним – генерал – Верховная инспекция, так сказать. Это его глазами, доверенного лица, решил Верховный Главнокомандующий удостовериться во всем досконально. Дальше – несколько человек военных. Затем – дантисты Гитлера: Кете Хойзерман и зубной техник Фриц Эхтман, эсэсовец из личной охраны фюрера – Гарри Менгерсхаузен и другие. Почти не переговариваясь, мы медленно идем, испытывая гнет предстоящего, от сближения с таинственным, чем всегда обозначена смерть. Наконец входим в лесок. Ящики уже извлечены из земли. Составляется снова акт. Все мы, присутствующие, немцы и советские военные, кроме генерала, подписываем его. Акт, составленный в присутствии его посланца, предназначен для Сталина. Материал расследования и неопровержимое доказательство смерти Гитлера – челюсти – вскоре были отправлены в Москву (17459).</w:t>
      </w:r>
    </w:p>
    <w:p w14:paraId="0C5C35EE" w14:textId="77777777" w:rsidR="00FC5427" w:rsidRPr="00925F26" w:rsidRDefault="00FC5427" w:rsidP="00925F26">
      <w:pPr>
        <w:autoSpaceDE w:val="0"/>
        <w:autoSpaceDN w:val="0"/>
        <w:adjustRightInd w:val="0"/>
        <w:jc w:val="both"/>
        <w:rPr>
          <w:color w:val="000000" w:themeColor="text1"/>
          <w:sz w:val="16"/>
          <w:szCs w:val="16"/>
        </w:rPr>
      </w:pPr>
    </w:p>
    <w:p w14:paraId="488DAC80" w14:textId="77777777" w:rsidR="00747612" w:rsidRPr="00925F26" w:rsidRDefault="00747612" w:rsidP="00925F26">
      <w:pPr>
        <w:shd w:val="clear" w:color="auto" w:fill="FFFFFF"/>
        <w:jc w:val="both"/>
        <w:rPr>
          <w:color w:val="000000" w:themeColor="text1"/>
          <w:sz w:val="16"/>
          <w:szCs w:val="16"/>
        </w:rPr>
      </w:pPr>
      <w:r w:rsidRPr="00925F26">
        <w:rPr>
          <w:color w:val="000000" w:themeColor="text1"/>
          <w:sz w:val="16"/>
          <w:szCs w:val="16"/>
        </w:rPr>
        <w:t>17 мая</w:t>
      </w:r>
      <w:r w:rsidRPr="00925F26">
        <w:rPr>
          <w:bCs/>
          <w:color w:val="000000" w:themeColor="text1"/>
          <w:sz w:val="16"/>
          <w:szCs w:val="16"/>
        </w:rPr>
        <w:t xml:space="preserve"> 1945 в Берлин прибыл представитель в генеральском чине из Москвы, который занялся перепроверкой всех сведений. 18-го он прибыл в Финов, где находился отдел «СМЕРШ» 3-й ударной армии и были захоронены останки. Здесь была произведена частичная эксгумация. Одновременно в присутствии прибывшего генерала Вадис и Мирошниченко снова допросили Хойзермана и Эхтмана. 23 мая генерал уехал. Кто же это был? В документации 1-го Белорусского фронта его имя не упоминается. Однако о том, что Сталин поручил НКВД послать специального человека в Берлин, генерал Штеменко слышал собственными ушами. Мне удалось выяснить, что посланцем был генерал-лейтенант Петр Мешик, заместитель наркома внутренних дел, доверенное лицо Лаврентия Берия.</w:t>
      </w:r>
      <w:r w:rsidRPr="00925F26">
        <w:rPr>
          <w:bCs/>
          <w:iCs/>
          <w:color w:val="000000" w:themeColor="text1"/>
          <w:sz w:val="16"/>
          <w:szCs w:val="16"/>
        </w:rPr>
        <w:t xml:space="preserve"> (Л.Безыменский «Операция «Миф», или Сколько раз хоронили Гитлера», М., 1995) (17459):</w:t>
      </w:r>
    </w:p>
    <w:p w14:paraId="7E1F7773" w14:textId="77777777" w:rsidR="00747612" w:rsidRPr="00925F26" w:rsidRDefault="00747612" w:rsidP="00925F26">
      <w:pPr>
        <w:autoSpaceDE w:val="0"/>
        <w:autoSpaceDN w:val="0"/>
        <w:adjustRightInd w:val="0"/>
        <w:jc w:val="both"/>
        <w:rPr>
          <w:color w:val="000000" w:themeColor="text1"/>
          <w:sz w:val="16"/>
          <w:szCs w:val="16"/>
        </w:rPr>
      </w:pPr>
    </w:p>
    <w:p w14:paraId="18366586" w14:textId="77777777" w:rsidR="00902F8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9E18B23" w14:textId="77777777" w:rsidR="00902F85" w:rsidRPr="00925F26" w:rsidRDefault="00902F85" w:rsidP="00925F26">
      <w:pPr>
        <w:autoSpaceDE w:val="0"/>
        <w:autoSpaceDN w:val="0"/>
        <w:adjustRightInd w:val="0"/>
        <w:jc w:val="both"/>
        <w:rPr>
          <w:iCs/>
          <w:color w:val="000000" w:themeColor="text1"/>
          <w:sz w:val="16"/>
          <w:szCs w:val="16"/>
        </w:rPr>
      </w:pPr>
    </w:p>
    <w:p w14:paraId="5CA3A62A" w14:textId="77777777" w:rsidR="00902F85" w:rsidRPr="00925F26" w:rsidRDefault="00902F85" w:rsidP="00925F26">
      <w:pPr>
        <w:autoSpaceDE w:val="0"/>
        <w:autoSpaceDN w:val="0"/>
        <w:adjustRightInd w:val="0"/>
        <w:jc w:val="both"/>
        <w:rPr>
          <w:iCs/>
          <w:color w:val="000000" w:themeColor="text1"/>
          <w:sz w:val="16"/>
          <w:szCs w:val="16"/>
        </w:rPr>
      </w:pPr>
      <w:r w:rsidRPr="00925F26">
        <w:rPr>
          <w:color w:val="000000" w:themeColor="text1"/>
          <w:sz w:val="16"/>
          <w:szCs w:val="16"/>
        </w:rPr>
        <w:t>17 мая 1945 г.</w:t>
      </w:r>
      <w:r w:rsidRPr="00925F26">
        <w:rPr>
          <w:bCs/>
          <w:color w:val="000000" w:themeColor="text1"/>
          <w:sz w:val="16"/>
          <w:szCs w:val="16"/>
        </w:rPr>
        <w:t xml:space="preserve"> Уинстон Черчилль отдает секретный приказ об ускоренной разработке совместно с США плана «</w:t>
      </w:r>
      <w:r w:rsidRPr="00925F26">
        <w:rPr>
          <w:bCs/>
          <w:iCs/>
          <w:color w:val="000000" w:themeColor="text1"/>
          <w:sz w:val="16"/>
          <w:szCs w:val="16"/>
        </w:rPr>
        <w:t>Невероятное</w:t>
      </w:r>
      <w:r w:rsidRPr="00925F26">
        <w:rPr>
          <w:bCs/>
          <w:color w:val="000000" w:themeColor="text1"/>
          <w:sz w:val="16"/>
          <w:szCs w:val="16"/>
        </w:rPr>
        <w:t>» — по нападению и расчленению СССР. И уже к концу мая того же года этот план был в основном готов, а опирался он на соответствующие гитлеровские разработки и англо-франко-турецкие планы 1939— 1940 гг. по вторжению в Закавказье и Среднюю Азию. Причем в новом плане намечалось задействовать… и вроде бы разоружённые в Западной Германии, Норвегии, Дании, Голландии, Греции и Ливии германские войска, а также войска Турции, Японии, Канады и бывшие в составе СС эмигрантские военные формирования. Срок начала этой войны был назначен на 1 июля — в канун Потсдамской конференции, где намечалось окончательно определить сферы влияния союзников в Европе и Азии. Но советская контрразведка «обнаружила» этот план, и к концу июня 1945 г. советские войска в Германии, Австрии, Прибалтике и на Кавказе неожиданно для Запада передислоцировались на позиции для отражения намеченного нападения. Это повергло едва ли не в шок западных стратегов и штабистов, план пришлось «временно» отменить (17759).</w:t>
      </w:r>
    </w:p>
    <w:p w14:paraId="0D2A7B31" w14:textId="77777777" w:rsidR="00902F85" w:rsidRPr="00925F26" w:rsidRDefault="00902F85" w:rsidP="00925F26">
      <w:pPr>
        <w:autoSpaceDE w:val="0"/>
        <w:autoSpaceDN w:val="0"/>
        <w:adjustRightInd w:val="0"/>
        <w:jc w:val="both"/>
        <w:rPr>
          <w:iCs/>
          <w:color w:val="000000" w:themeColor="text1"/>
          <w:sz w:val="16"/>
          <w:szCs w:val="16"/>
        </w:rPr>
      </w:pPr>
    </w:p>
    <w:p w14:paraId="31C4C9CA" w14:textId="76E607B9" w:rsidR="00AD05DC" w:rsidRPr="00925F26" w:rsidRDefault="00AD05DC" w:rsidP="00925F26">
      <w:pPr>
        <w:shd w:val="clear" w:color="auto" w:fill="FFFFFF"/>
        <w:jc w:val="both"/>
        <w:rPr>
          <w:color w:val="000000" w:themeColor="text1"/>
          <w:sz w:val="16"/>
          <w:szCs w:val="16"/>
        </w:rPr>
      </w:pPr>
      <w:r w:rsidRPr="00925F26">
        <w:rPr>
          <w:color w:val="000000" w:themeColor="text1"/>
          <w:sz w:val="16"/>
          <w:szCs w:val="16"/>
        </w:rPr>
        <w:t>17 мая 1945 г. французы подавили восстание алжирского народа. С падением фашистской Германии с начала мая 1945 г. в Алжире начались стихийные выступления алжирцев против колониальной зависимости от Франции. Многие алжирцы считали французов союзниками фашистов (правительство Виши) и оставаться в подчинении</w:t>
      </w:r>
      <w:r w:rsidR="00997EDF" w:rsidRPr="00925F26">
        <w:rPr>
          <w:color w:val="000000" w:themeColor="text1"/>
          <w:sz w:val="16"/>
          <w:szCs w:val="16"/>
        </w:rPr>
        <w:t xml:space="preserve">  </w:t>
      </w:r>
      <w:r w:rsidRPr="00925F26">
        <w:rPr>
          <w:color w:val="000000" w:themeColor="text1"/>
          <w:sz w:val="16"/>
          <w:szCs w:val="16"/>
        </w:rPr>
        <w:t xml:space="preserve"> у них не желали. Французские власти бросили против народа войска, сенегальских стрелков, и потопили восстание в крови. 17 мая 1945 г. последние группы восставших сложили оружие. Были сожжены десятки селений, убиты тысячи алжирцев. </w:t>
      </w:r>
      <w:r w:rsidRPr="00925F26">
        <w:rPr>
          <w:bCs/>
          <w:iCs/>
          <w:color w:val="000000" w:themeColor="text1"/>
          <w:sz w:val="16"/>
          <w:szCs w:val="16"/>
        </w:rPr>
        <w:t>Р.Ланда «История Алжира. XX век», М., ИВ РАН, 1999:</w:t>
      </w:r>
    </w:p>
    <w:p w14:paraId="657E0CB1" w14:textId="77777777" w:rsidR="00AD05DC" w:rsidRPr="00925F26" w:rsidRDefault="00AD05DC" w:rsidP="00925F26">
      <w:pPr>
        <w:shd w:val="clear" w:color="auto" w:fill="FFFFFF"/>
        <w:jc w:val="both"/>
        <w:rPr>
          <w:color w:val="000000" w:themeColor="text1"/>
          <w:sz w:val="16"/>
          <w:szCs w:val="16"/>
        </w:rPr>
      </w:pPr>
      <w:r w:rsidRPr="00925F26">
        <w:rPr>
          <w:bCs/>
          <w:color w:val="000000" w:themeColor="text1"/>
          <w:sz w:val="16"/>
          <w:szCs w:val="16"/>
        </w:rPr>
        <w:t xml:space="preserve">«Схватки возмущенных демонстрантов с полицией и отдельные нападения на европейцев (в том числе — террор наемных провокаторов) привели к вспышке вооруженных столкновений по всей Малой (Баборской) Кабилии. Повстанцы, в основном — из крестьян, убивали или уродовали колонистов и их семьи, жгли их фермы, нападали на жандармов и чиновников, встречали огнем из охотничьих ружей или трофейных автоматов появлявшиеся войска. Восстание охватило около 20 городов и поселков, не считая горных деревень. В нем участвовало в общей сложности до 50 тыс. чел., главным образом — издольщиков, батраков и нищих горцев. Все они действовали под влиянием эмоций, спонтанно и несогласованно, что облегчило их быстрый разгром. </w:t>
      </w:r>
      <w:r w:rsidRPr="00925F26">
        <w:rPr>
          <w:color w:val="000000" w:themeColor="text1"/>
          <w:sz w:val="16"/>
          <w:szCs w:val="16"/>
        </w:rPr>
        <w:t>16-17 мая</w:t>
      </w:r>
      <w:r w:rsidRPr="00925F26">
        <w:rPr>
          <w:bCs/>
          <w:color w:val="000000" w:themeColor="text1"/>
          <w:sz w:val="16"/>
          <w:szCs w:val="16"/>
        </w:rPr>
        <w:t xml:space="preserve"> последние отряды повстанцев (до 6 тыс. чел.) вынуждены были прекратить борьбу (17459) </w:t>
      </w:r>
    </w:p>
    <w:p w14:paraId="2FB9D8FD" w14:textId="77777777" w:rsidR="00AD05DC" w:rsidRPr="00925F26" w:rsidRDefault="00AD05DC" w:rsidP="00925F26">
      <w:pPr>
        <w:autoSpaceDE w:val="0"/>
        <w:autoSpaceDN w:val="0"/>
        <w:adjustRightInd w:val="0"/>
        <w:jc w:val="both"/>
        <w:rPr>
          <w:iCs/>
          <w:color w:val="000000" w:themeColor="text1"/>
          <w:sz w:val="16"/>
          <w:szCs w:val="16"/>
        </w:rPr>
      </w:pPr>
    </w:p>
    <w:p w14:paraId="07C630F7" w14:textId="77777777" w:rsidR="0027332D" w:rsidRPr="00925F26" w:rsidRDefault="0027332D" w:rsidP="00925F26">
      <w:pPr>
        <w:shd w:val="clear" w:color="auto" w:fill="FFFFFF"/>
        <w:jc w:val="both"/>
        <w:rPr>
          <w:color w:val="000000" w:themeColor="text1"/>
          <w:sz w:val="16"/>
          <w:szCs w:val="16"/>
        </w:rPr>
      </w:pPr>
      <w:r w:rsidRPr="00925F26">
        <w:rPr>
          <w:color w:val="000000" w:themeColor="text1"/>
          <w:sz w:val="16"/>
          <w:szCs w:val="16"/>
        </w:rPr>
        <w:t xml:space="preserve">17 – 18 — 19 мая 1945 г. Франция высаживает войска в Ливане и предъявляет ультиматум Сирии. </w:t>
      </w:r>
      <w:r w:rsidRPr="00925F26">
        <w:rPr>
          <w:bCs/>
          <w:iCs/>
          <w:color w:val="000000" w:themeColor="text1"/>
          <w:sz w:val="16"/>
          <w:szCs w:val="16"/>
        </w:rPr>
        <w:t xml:space="preserve">А.Саид «Восстания арабов в XX веке», М., Прогресс, 1964: </w:t>
      </w:r>
      <w:r w:rsidRPr="00925F26">
        <w:rPr>
          <w:bCs/>
          <w:color w:val="000000" w:themeColor="text1"/>
          <w:sz w:val="16"/>
          <w:szCs w:val="16"/>
        </w:rPr>
        <w:t xml:space="preserve">«Франция поспешила послать в Ливан свои колониальные войска, которые </w:t>
      </w:r>
      <w:r w:rsidRPr="00925F26">
        <w:rPr>
          <w:color w:val="000000" w:themeColor="text1"/>
          <w:sz w:val="16"/>
          <w:szCs w:val="16"/>
        </w:rPr>
        <w:t>17 мая</w:t>
      </w:r>
      <w:r w:rsidRPr="00925F26">
        <w:rPr>
          <w:bCs/>
          <w:color w:val="000000" w:themeColor="text1"/>
          <w:sz w:val="16"/>
          <w:szCs w:val="16"/>
        </w:rPr>
        <w:t xml:space="preserve"> высадились в Бейруте. В дальнейшем к этим войскам прибыли </w:t>
      </w:r>
      <w:proofErr w:type="gramStart"/>
      <w:r w:rsidRPr="00925F26">
        <w:rPr>
          <w:bCs/>
          <w:color w:val="000000" w:themeColor="text1"/>
          <w:sz w:val="16"/>
          <w:szCs w:val="16"/>
        </w:rPr>
        <w:t>подкрепления, с тем, чтобы</w:t>
      </w:r>
      <w:proofErr w:type="gramEnd"/>
      <w:r w:rsidRPr="00925F26">
        <w:rPr>
          <w:bCs/>
          <w:color w:val="000000" w:themeColor="text1"/>
          <w:sz w:val="16"/>
          <w:szCs w:val="16"/>
        </w:rPr>
        <w:t xml:space="preserve"> осуществить военную оккупацию обеих стран и восстановить в них непосредственный французский контроль, как это было раньше. Но еще до прибытия этих войск французы начали, по существу, военные действия в Сирии и Ливане.» «</w:t>
      </w:r>
      <w:r w:rsidRPr="00925F26">
        <w:rPr>
          <w:color w:val="000000" w:themeColor="text1"/>
          <w:sz w:val="16"/>
          <w:szCs w:val="16"/>
        </w:rPr>
        <w:t>18 мая</w:t>
      </w:r>
      <w:r w:rsidRPr="00925F26">
        <w:rPr>
          <w:bCs/>
          <w:color w:val="000000" w:themeColor="text1"/>
          <w:sz w:val="16"/>
          <w:szCs w:val="16"/>
        </w:rPr>
        <w:t xml:space="preserve">, генеральный делегат Франции направил правительству Сирии ноту, в которой </w:t>
      </w:r>
      <w:r w:rsidRPr="00925F26">
        <w:rPr>
          <w:bCs/>
          <w:color w:val="000000" w:themeColor="text1"/>
          <w:sz w:val="16"/>
          <w:szCs w:val="16"/>
        </w:rPr>
        <w:lastRenderedPageBreak/>
        <w:t xml:space="preserve">потребовал проведения официальных переговоров по вопросу о признании особого статута Франции в стране. </w:t>
      </w:r>
      <w:r w:rsidRPr="00925F26">
        <w:rPr>
          <w:color w:val="000000" w:themeColor="text1"/>
          <w:sz w:val="16"/>
          <w:szCs w:val="16"/>
        </w:rPr>
        <w:t>19 мая</w:t>
      </w:r>
      <w:r w:rsidRPr="00925F26">
        <w:rPr>
          <w:bCs/>
          <w:color w:val="000000" w:themeColor="text1"/>
          <w:sz w:val="16"/>
          <w:szCs w:val="16"/>
        </w:rPr>
        <w:t xml:space="preserve"> члены правительств Сирии и Ливана во главе с президентами собрались для изучения французской ноты. В ходе обсуждения они решили отвергнутъ ее и составили соответствующий меморандум (17459).</w:t>
      </w:r>
    </w:p>
    <w:p w14:paraId="5951190B" w14:textId="77777777" w:rsidR="0027332D" w:rsidRPr="00925F26" w:rsidRDefault="0027332D" w:rsidP="00925F26">
      <w:pPr>
        <w:autoSpaceDE w:val="0"/>
        <w:autoSpaceDN w:val="0"/>
        <w:adjustRightInd w:val="0"/>
        <w:jc w:val="both"/>
        <w:rPr>
          <w:iCs/>
          <w:color w:val="000000" w:themeColor="text1"/>
          <w:sz w:val="16"/>
          <w:szCs w:val="16"/>
        </w:rPr>
      </w:pPr>
    </w:p>
    <w:p w14:paraId="3D29F609" w14:textId="77777777" w:rsidR="00102C23" w:rsidRPr="00925F26" w:rsidRDefault="00102C23"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15EB6A61" w14:textId="77777777" w:rsidR="00102C23" w:rsidRPr="00925F26" w:rsidRDefault="00102C23" w:rsidP="00925F26">
      <w:pPr>
        <w:autoSpaceDE w:val="0"/>
        <w:autoSpaceDN w:val="0"/>
        <w:adjustRightInd w:val="0"/>
        <w:jc w:val="both"/>
        <w:rPr>
          <w:i/>
          <w:iCs/>
          <w:color w:val="000000" w:themeColor="text1"/>
          <w:sz w:val="16"/>
          <w:szCs w:val="16"/>
        </w:rPr>
      </w:pPr>
    </w:p>
    <w:p w14:paraId="035CD665" w14:textId="77777777" w:rsidR="00102C23" w:rsidRPr="00925F26" w:rsidRDefault="00102C23" w:rsidP="00925F26">
      <w:pPr>
        <w:jc w:val="both"/>
        <w:rPr>
          <w:color w:val="000000" w:themeColor="text1"/>
          <w:sz w:val="16"/>
          <w:szCs w:val="16"/>
        </w:rPr>
      </w:pPr>
      <w:r w:rsidRPr="00925F26">
        <w:rPr>
          <w:color w:val="000000" w:themeColor="text1"/>
          <w:sz w:val="16"/>
          <w:szCs w:val="16"/>
        </w:rPr>
        <w:t>17 мая 1945 первый полет Lockheed XP2V-1 Bu48237, прототипа P2V Neptune (позже P-2 Neptune) (20371).</w:t>
      </w:r>
    </w:p>
    <w:p w14:paraId="1B999B4A" w14:textId="77777777" w:rsidR="00102C23" w:rsidRPr="00925F26" w:rsidRDefault="00102C23" w:rsidP="00925F26">
      <w:pPr>
        <w:jc w:val="both"/>
        <w:rPr>
          <w:color w:val="000000" w:themeColor="text1"/>
          <w:sz w:val="16"/>
          <w:szCs w:val="16"/>
        </w:rPr>
      </w:pPr>
    </w:p>
    <w:p w14:paraId="6EE71B01" w14:textId="69F38F99" w:rsidR="00102C23" w:rsidRPr="00925F26" w:rsidRDefault="00102C23" w:rsidP="00925F26">
      <w:pPr>
        <w:jc w:val="both"/>
        <w:rPr>
          <w:color w:val="000000" w:themeColor="text1"/>
          <w:sz w:val="16"/>
          <w:szCs w:val="16"/>
        </w:rPr>
      </w:pPr>
      <w:r w:rsidRPr="00925F26">
        <w:rPr>
          <w:color w:val="000000" w:themeColor="text1"/>
          <w:sz w:val="16"/>
          <w:szCs w:val="16"/>
        </w:rPr>
        <w:t xml:space="preserve">17 мая 1945 года — первый полёт патрульного </w:t>
      </w:r>
      <w:proofErr w:type="gramStart"/>
      <w:r w:rsidRPr="00925F26">
        <w:rPr>
          <w:color w:val="000000" w:themeColor="text1"/>
          <w:sz w:val="16"/>
          <w:szCs w:val="16"/>
        </w:rPr>
        <w:t>самолёта</w:t>
      </w:r>
      <w:r w:rsidR="00997EDF" w:rsidRPr="00925F26">
        <w:rPr>
          <w:color w:val="000000" w:themeColor="text1"/>
          <w:sz w:val="16"/>
          <w:szCs w:val="16"/>
        </w:rPr>
        <w:t xml:space="preserve">  </w:t>
      </w:r>
      <w:r w:rsidRPr="00925F26">
        <w:rPr>
          <w:color w:val="000000" w:themeColor="text1"/>
          <w:sz w:val="16"/>
          <w:szCs w:val="16"/>
        </w:rPr>
        <w:t>Lockheed</w:t>
      </w:r>
      <w:proofErr w:type="gramEnd"/>
      <w:r w:rsidRPr="00925F26">
        <w:rPr>
          <w:color w:val="000000" w:themeColor="text1"/>
          <w:sz w:val="16"/>
          <w:szCs w:val="16"/>
        </w:rPr>
        <w:t xml:space="preserve"> P-2 Neptune. /США/</w:t>
      </w:r>
    </w:p>
    <w:p w14:paraId="3303ED40" w14:textId="7734FBBB" w:rsidR="00102C23" w:rsidRPr="00925F26" w:rsidRDefault="00102C23" w:rsidP="00925F26">
      <w:pPr>
        <w:jc w:val="both"/>
        <w:rPr>
          <w:color w:val="000000" w:themeColor="text1"/>
          <w:sz w:val="16"/>
          <w:szCs w:val="16"/>
        </w:rPr>
      </w:pPr>
      <w:r w:rsidRPr="00925F26">
        <w:rPr>
          <w:color w:val="000000" w:themeColor="text1"/>
          <w:sz w:val="16"/>
          <w:szCs w:val="16"/>
        </w:rPr>
        <w:t xml:space="preserve">Работы над патрульным бомбардировщиком для флота начались в США ещё в декабре 1941 года. </w:t>
      </w:r>
      <w:proofErr w:type="gramStart"/>
      <w:r w:rsidRPr="00925F26">
        <w:rPr>
          <w:color w:val="000000" w:themeColor="text1"/>
          <w:sz w:val="16"/>
          <w:szCs w:val="16"/>
        </w:rPr>
        <w:t>Проект</w:t>
      </w:r>
      <w:r w:rsidR="00997EDF" w:rsidRPr="00925F26">
        <w:rPr>
          <w:color w:val="000000" w:themeColor="text1"/>
          <w:sz w:val="16"/>
          <w:szCs w:val="16"/>
        </w:rPr>
        <w:t xml:space="preserve">  </w:t>
      </w:r>
      <w:r w:rsidRPr="00925F26">
        <w:rPr>
          <w:color w:val="000000" w:themeColor="text1"/>
          <w:sz w:val="16"/>
          <w:szCs w:val="16"/>
        </w:rPr>
        <w:t>V</w:t>
      </w:r>
      <w:proofErr w:type="gramEnd"/>
      <w:r w:rsidRPr="00925F26">
        <w:rPr>
          <w:color w:val="000000" w:themeColor="text1"/>
          <w:sz w:val="16"/>
          <w:szCs w:val="16"/>
        </w:rPr>
        <w:t xml:space="preserve">-135, будущий P-2 Neptune, </w:t>
      </w:r>
      <w:proofErr w:type="gramStart"/>
      <w:r w:rsidRPr="00925F26">
        <w:rPr>
          <w:color w:val="000000" w:themeColor="text1"/>
          <w:sz w:val="16"/>
          <w:szCs w:val="16"/>
        </w:rPr>
        <w:t>разрабатывался</w:t>
      </w:r>
      <w:r w:rsidR="00997EDF" w:rsidRPr="00925F26">
        <w:rPr>
          <w:color w:val="000000" w:themeColor="text1"/>
          <w:sz w:val="16"/>
          <w:szCs w:val="16"/>
        </w:rPr>
        <w:t xml:space="preserve">  </w:t>
      </w:r>
      <w:r w:rsidRPr="00925F26">
        <w:rPr>
          <w:color w:val="000000" w:themeColor="text1"/>
          <w:sz w:val="16"/>
          <w:szCs w:val="16"/>
        </w:rPr>
        <w:t>Vega</w:t>
      </w:r>
      <w:proofErr w:type="gramEnd"/>
      <w:r w:rsidRPr="00925F26">
        <w:rPr>
          <w:color w:val="000000" w:themeColor="text1"/>
          <w:sz w:val="16"/>
          <w:szCs w:val="16"/>
        </w:rPr>
        <w:t xml:space="preserve"> Aircraft Corporation, дочерней </w:t>
      </w:r>
      <w:proofErr w:type="gramStart"/>
      <w:r w:rsidRPr="00925F26">
        <w:rPr>
          <w:color w:val="000000" w:themeColor="text1"/>
          <w:sz w:val="16"/>
          <w:szCs w:val="16"/>
        </w:rPr>
        <w:t>компанией</w:t>
      </w:r>
      <w:r w:rsidR="00997EDF" w:rsidRPr="00925F26">
        <w:rPr>
          <w:color w:val="000000" w:themeColor="text1"/>
          <w:sz w:val="16"/>
          <w:szCs w:val="16"/>
        </w:rPr>
        <w:t xml:space="preserve">  </w:t>
      </w:r>
      <w:r w:rsidRPr="00925F26">
        <w:rPr>
          <w:color w:val="000000" w:themeColor="text1"/>
          <w:sz w:val="16"/>
          <w:szCs w:val="16"/>
        </w:rPr>
        <w:t>Lockheed</w:t>
      </w:r>
      <w:proofErr w:type="gramEnd"/>
      <w:r w:rsidRPr="00925F26">
        <w:rPr>
          <w:color w:val="000000" w:themeColor="text1"/>
          <w:sz w:val="16"/>
          <w:szCs w:val="16"/>
        </w:rPr>
        <w:t xml:space="preserve"> Aircraft. Руководил проектом главный конструктор </w:t>
      </w:r>
      <w:proofErr w:type="gramStart"/>
      <w:r w:rsidRPr="00925F26">
        <w:rPr>
          <w:color w:val="000000" w:themeColor="text1"/>
          <w:sz w:val="16"/>
          <w:szCs w:val="16"/>
        </w:rPr>
        <w:t>Vega</w:t>
      </w:r>
      <w:r w:rsidR="00997EDF" w:rsidRPr="00925F26">
        <w:rPr>
          <w:color w:val="000000" w:themeColor="text1"/>
          <w:sz w:val="16"/>
          <w:szCs w:val="16"/>
        </w:rPr>
        <w:t xml:space="preserve">  </w:t>
      </w:r>
      <w:r w:rsidRPr="00925F26">
        <w:rPr>
          <w:color w:val="000000" w:themeColor="text1"/>
          <w:sz w:val="16"/>
          <w:szCs w:val="16"/>
        </w:rPr>
        <w:t>Джон</w:t>
      </w:r>
      <w:proofErr w:type="gramEnd"/>
      <w:r w:rsidRPr="00925F26">
        <w:rPr>
          <w:color w:val="000000" w:themeColor="text1"/>
          <w:sz w:val="16"/>
          <w:szCs w:val="16"/>
        </w:rPr>
        <w:t xml:space="preserve"> </w:t>
      </w:r>
      <w:proofErr w:type="gramStart"/>
      <w:r w:rsidRPr="00925F26">
        <w:rPr>
          <w:color w:val="000000" w:themeColor="text1"/>
          <w:sz w:val="16"/>
          <w:szCs w:val="16"/>
        </w:rPr>
        <w:t>Уэссэйл</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John B. Wassall).</w:t>
      </w:r>
    </w:p>
    <w:p w14:paraId="38B17BB4" w14:textId="77777777" w:rsidR="00102C23" w:rsidRPr="00925F26" w:rsidRDefault="00102C23" w:rsidP="00925F26">
      <w:pPr>
        <w:jc w:val="both"/>
        <w:rPr>
          <w:color w:val="000000" w:themeColor="text1"/>
          <w:sz w:val="16"/>
          <w:szCs w:val="16"/>
        </w:rPr>
      </w:pPr>
      <w:r w:rsidRPr="00925F26">
        <w:rPr>
          <w:color w:val="000000" w:themeColor="text1"/>
          <w:sz w:val="16"/>
          <w:szCs w:val="16"/>
        </w:rPr>
        <w:t>P-2 Neptune представлял собой цельнометаллический среднеплан с убираемым шасси. Силовая установка и вооружение зависели от модификации. На P2V-3 устанавливались 2 × двигателя Wright R-3350-26W Cyclone-18 (3200 л.с.) Максимальная скорость — 515 км/ч. Дальность полёта — 6400 км. Экипаж — 7 человек. Мог нести до 3630 кг ракет/бомб/глубинных бомб/торпед.</w:t>
      </w:r>
    </w:p>
    <w:p w14:paraId="0BE37EDD" w14:textId="0B608A7B" w:rsidR="00102C23" w:rsidRPr="00925F26" w:rsidRDefault="00102C23" w:rsidP="00925F26">
      <w:pPr>
        <w:jc w:val="both"/>
        <w:rPr>
          <w:color w:val="000000" w:themeColor="text1"/>
          <w:sz w:val="16"/>
          <w:szCs w:val="16"/>
        </w:rPr>
      </w:pPr>
      <w:r w:rsidRPr="00925F26">
        <w:rPr>
          <w:color w:val="000000" w:themeColor="text1"/>
          <w:sz w:val="16"/>
          <w:szCs w:val="16"/>
        </w:rPr>
        <w:t>В 1947 году P-2 Neptune приняли на вооружение ВМФ США.</w:t>
      </w:r>
      <w:r w:rsidR="00997EDF" w:rsidRPr="00925F26">
        <w:rPr>
          <w:color w:val="000000" w:themeColor="text1"/>
          <w:sz w:val="16"/>
          <w:szCs w:val="16"/>
        </w:rPr>
        <w:t xml:space="preserve">  </w:t>
      </w:r>
      <w:r w:rsidRPr="00925F26">
        <w:rPr>
          <w:color w:val="000000" w:themeColor="text1"/>
          <w:sz w:val="16"/>
          <w:szCs w:val="16"/>
        </w:rPr>
        <w:t>Почти 40 лет он служил на флоте и «ушёл на пенсию» лишь в 1984 году. Некоторое число Lockheed P-2 Neptune ещё эксплуатируется в других странах. Было выпущено более 1200 самолётов различных модификаций (22300).</w:t>
      </w:r>
    </w:p>
    <w:p w14:paraId="318688ED" w14:textId="77777777" w:rsidR="00102C23" w:rsidRPr="00925F26" w:rsidRDefault="00102C23" w:rsidP="00925F26">
      <w:pPr>
        <w:jc w:val="both"/>
        <w:rPr>
          <w:color w:val="000000" w:themeColor="text1"/>
          <w:sz w:val="16"/>
          <w:szCs w:val="16"/>
        </w:rPr>
      </w:pPr>
    </w:p>
    <w:p w14:paraId="173AA65F" w14:textId="0DD094DC"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00D4927" w14:textId="77777777" w:rsidR="00665165" w:rsidRPr="00925F26" w:rsidRDefault="00665165" w:rsidP="00925F26">
      <w:pPr>
        <w:autoSpaceDE w:val="0"/>
        <w:autoSpaceDN w:val="0"/>
        <w:adjustRightInd w:val="0"/>
        <w:jc w:val="both"/>
        <w:rPr>
          <w:iCs/>
          <w:color w:val="000000" w:themeColor="text1"/>
          <w:sz w:val="16"/>
          <w:szCs w:val="16"/>
        </w:rPr>
      </w:pPr>
    </w:p>
    <w:p w14:paraId="58BC3150" w14:textId="77777777" w:rsidR="00637BF4" w:rsidRPr="00925F26" w:rsidRDefault="00637BF4" w:rsidP="00925F26">
      <w:pPr>
        <w:autoSpaceDE w:val="0"/>
        <w:autoSpaceDN w:val="0"/>
        <w:adjustRightInd w:val="0"/>
        <w:jc w:val="both"/>
        <w:rPr>
          <w:color w:val="000000" w:themeColor="text1"/>
          <w:sz w:val="16"/>
          <w:szCs w:val="16"/>
        </w:rPr>
      </w:pPr>
      <w:r w:rsidRPr="00925F26">
        <w:rPr>
          <w:color w:val="000000" w:themeColor="text1"/>
          <w:sz w:val="16"/>
          <w:szCs w:val="16"/>
        </w:rPr>
        <w:t>18 мая 1945 самолет Ту-2 N 716 с улучшениями - АШ-83ФН 1900 нр, новыми капотами, новыми патрубками и т.п. был передан на испытания в ЛЭС и в тот же день А.Д.Перелет и ви М.М.Егоров выполнили на нем первый полет. В ходе заводских испытаний при взлетной массе 10500 кг получили скорость 505 км/час на 6780 м (1835,34).</w:t>
      </w:r>
    </w:p>
    <w:p w14:paraId="46BCA33A" w14:textId="77777777" w:rsidR="00637BF4" w:rsidRPr="00925F26" w:rsidRDefault="00637BF4" w:rsidP="00925F26">
      <w:pPr>
        <w:autoSpaceDE w:val="0"/>
        <w:autoSpaceDN w:val="0"/>
        <w:adjustRightInd w:val="0"/>
        <w:jc w:val="both"/>
        <w:rPr>
          <w:color w:val="000000" w:themeColor="text1"/>
          <w:sz w:val="16"/>
          <w:szCs w:val="16"/>
        </w:rPr>
      </w:pPr>
    </w:p>
    <w:p w14:paraId="4DCEC7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мая 1945 НИИ представил в Главное управление ГВФ доклад, в ко</w:t>
      </w:r>
      <w:r w:rsidRPr="00925F26">
        <w:rPr>
          <w:color w:val="000000" w:themeColor="text1"/>
          <w:sz w:val="16"/>
          <w:szCs w:val="16"/>
        </w:rPr>
        <w:softHyphen/>
        <w:t>тором практически напрочь отмел целе</w:t>
      </w:r>
      <w:r w:rsidRPr="00925F26">
        <w:rPr>
          <w:color w:val="000000" w:themeColor="text1"/>
          <w:sz w:val="16"/>
          <w:szCs w:val="16"/>
        </w:rPr>
        <w:softHyphen/>
        <w:t>сообразность получения бомбардиров</w:t>
      </w:r>
      <w:r w:rsidRPr="00925F26">
        <w:rPr>
          <w:color w:val="000000" w:themeColor="text1"/>
          <w:sz w:val="16"/>
          <w:szCs w:val="16"/>
        </w:rPr>
        <w:softHyphen/>
        <w:t>щиков Ильюшина. Мотивировалось это малым полезным объемом (6 кубомет</w:t>
      </w:r>
      <w:r w:rsidRPr="00925F26">
        <w:rPr>
          <w:color w:val="000000" w:themeColor="text1"/>
          <w:sz w:val="16"/>
          <w:szCs w:val="16"/>
        </w:rPr>
        <w:softHyphen/>
        <w:t>ров) и потенциальной коммерческой нагрузкой, не превышающей 1200 кг. Все это при большом расходе горючего и трудностях длительного пилотирова</w:t>
      </w:r>
      <w:r w:rsidRPr="00925F26">
        <w:rPr>
          <w:color w:val="000000" w:themeColor="text1"/>
          <w:sz w:val="16"/>
          <w:szCs w:val="16"/>
        </w:rPr>
        <w:softHyphen/>
        <w:t>ния (один летчик, нет автопилота и не</w:t>
      </w:r>
      <w:r w:rsidRPr="00925F26">
        <w:rPr>
          <w:color w:val="000000" w:themeColor="text1"/>
          <w:sz w:val="16"/>
          <w:szCs w:val="16"/>
        </w:rPr>
        <w:softHyphen/>
        <w:t>достаточная устойчивость). Единствен</w:t>
      </w:r>
      <w:r w:rsidRPr="00925F26">
        <w:rPr>
          <w:color w:val="000000" w:themeColor="text1"/>
          <w:sz w:val="16"/>
          <w:szCs w:val="16"/>
        </w:rPr>
        <w:softHyphen/>
        <w:t>ной «экологической нишей» для Ил-4 в ГВФ в докладе оставили буксировку грузовых планеров. В итоге после завершения боевых действий ни одного Ил-4 в гражданский воздушный флот не поступило. Неболь</w:t>
      </w:r>
      <w:r w:rsidRPr="00925F26">
        <w:rPr>
          <w:color w:val="000000" w:themeColor="text1"/>
          <w:sz w:val="16"/>
          <w:szCs w:val="16"/>
        </w:rPr>
        <w:softHyphen/>
        <w:t>шое количество их попало в ведомст</w:t>
      </w:r>
      <w:r w:rsidRPr="00925F26">
        <w:rPr>
          <w:color w:val="000000" w:themeColor="text1"/>
          <w:sz w:val="16"/>
          <w:szCs w:val="16"/>
        </w:rPr>
        <w:softHyphen/>
        <w:t>венную авиацию. Больше всего бывших дальних бомбардировщиков, семь, взя</w:t>
      </w:r>
      <w:r w:rsidRPr="00925F26">
        <w:rPr>
          <w:color w:val="000000" w:themeColor="text1"/>
          <w:sz w:val="16"/>
          <w:szCs w:val="16"/>
        </w:rPr>
        <w:softHyphen/>
        <w:t>ло себе Министерство геологии. Они служили для аэрофотосъемки и реже как грузовою. Все их разоружили и на</w:t>
      </w:r>
      <w:r w:rsidRPr="00925F26">
        <w:rPr>
          <w:color w:val="000000" w:themeColor="text1"/>
          <w:sz w:val="16"/>
          <w:szCs w:val="16"/>
        </w:rPr>
        <w:softHyphen/>
        <w:t>несли^ обозначения, начинавшиеся с буквы «Г». Один разбили в 1946 г., в конце 1947 г. оставалось шесть, к сере</w:t>
      </w:r>
      <w:r w:rsidRPr="00925F26">
        <w:rPr>
          <w:color w:val="000000" w:themeColor="text1"/>
          <w:sz w:val="16"/>
          <w:szCs w:val="16"/>
        </w:rPr>
        <w:softHyphen/>
        <w:t>дине 1949 г. — четыре. Эти четыре ма</w:t>
      </w:r>
      <w:r w:rsidRPr="00925F26">
        <w:rPr>
          <w:color w:val="000000" w:themeColor="text1"/>
          <w:sz w:val="16"/>
          <w:szCs w:val="16"/>
        </w:rPr>
        <w:softHyphen/>
        <w:t>шины эксплуатировались вплоть до ликвидации авиации этого ведомства в начале 50-х годов. Шесть Ил-4 имело Министерство внутренних дел. Они входили в авиа</w:t>
      </w:r>
      <w:r w:rsidRPr="00925F26">
        <w:rPr>
          <w:color w:val="000000" w:themeColor="text1"/>
          <w:sz w:val="16"/>
          <w:szCs w:val="16"/>
        </w:rPr>
        <w:softHyphen/>
        <w:t>парк «Дальстроя» — лагерной импе</w:t>
      </w:r>
      <w:r w:rsidRPr="00925F26">
        <w:rPr>
          <w:color w:val="000000" w:themeColor="text1"/>
          <w:sz w:val="16"/>
          <w:szCs w:val="16"/>
        </w:rPr>
        <w:softHyphen/>
        <w:t>рии на востоке страны. Их тоже исполь</w:t>
      </w:r>
      <w:r w:rsidRPr="00925F26">
        <w:rPr>
          <w:color w:val="000000" w:themeColor="text1"/>
          <w:sz w:val="16"/>
          <w:szCs w:val="16"/>
        </w:rPr>
        <w:softHyphen/>
        <w:t>зовали в основном для аэрофотосъем</w:t>
      </w:r>
      <w:r w:rsidRPr="00925F26">
        <w:rPr>
          <w:color w:val="000000" w:themeColor="text1"/>
          <w:sz w:val="16"/>
          <w:szCs w:val="16"/>
        </w:rPr>
        <w:softHyphen/>
        <w:t>ки, списав к началу 1949 г. Один Ил-4 числился за Министерством сельхозмашиностроения. Он эксплуатировался на Софринском полигоне, где испытывали отнюдь не сеялки и не плуги, а разраба</w:t>
      </w:r>
      <w:r w:rsidRPr="00925F26">
        <w:rPr>
          <w:color w:val="000000" w:themeColor="text1"/>
          <w:sz w:val="16"/>
          <w:szCs w:val="16"/>
        </w:rPr>
        <w:softHyphen/>
        <w:t>тывавшиеся секретными конструктор</w:t>
      </w:r>
      <w:r w:rsidRPr="00925F26">
        <w:rPr>
          <w:color w:val="000000" w:themeColor="text1"/>
          <w:sz w:val="16"/>
          <w:szCs w:val="16"/>
        </w:rPr>
        <w:softHyphen/>
        <w:t>скими бюро этого ведомства управляе</w:t>
      </w:r>
      <w:r w:rsidRPr="00925F26">
        <w:rPr>
          <w:color w:val="000000" w:themeColor="text1"/>
          <w:sz w:val="16"/>
          <w:szCs w:val="16"/>
        </w:rPr>
        <w:softHyphen/>
        <w:t>мые боеприпасы. Наконец, последним бывшим бомбардировщиком обладало Министерство промышленности сред</w:t>
      </w:r>
      <w:r w:rsidRPr="00925F26">
        <w:rPr>
          <w:color w:val="000000" w:themeColor="text1"/>
          <w:sz w:val="16"/>
          <w:szCs w:val="16"/>
        </w:rPr>
        <w:softHyphen/>
        <w:t>ств связи — он являлся летающей ла</w:t>
      </w:r>
      <w:r w:rsidRPr="00925F26">
        <w:rPr>
          <w:color w:val="000000" w:themeColor="text1"/>
          <w:sz w:val="16"/>
          <w:szCs w:val="16"/>
        </w:rPr>
        <w:softHyphen/>
        <w:t>бораторией для опробования авиацион</w:t>
      </w:r>
      <w:r w:rsidRPr="00925F26">
        <w:rPr>
          <w:color w:val="000000" w:themeColor="text1"/>
          <w:sz w:val="16"/>
          <w:szCs w:val="16"/>
        </w:rPr>
        <w:softHyphen/>
        <w:t>ного радиооборудования. Оба этих самолета пошли на слом в конце 40-х годов (10734,91).</w:t>
      </w:r>
    </w:p>
    <w:p w14:paraId="10D20F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Данные различных вариантов ДБ-3/Ил-4</w:t>
      </w:r>
    </w:p>
    <w:tbl>
      <w:tblPr>
        <w:tblW w:w="0" w:type="auto"/>
        <w:tblInd w:w="40" w:type="dxa"/>
        <w:tblLayout w:type="fixed"/>
        <w:tblCellMar>
          <w:left w:w="40" w:type="dxa"/>
          <w:right w:w="40" w:type="dxa"/>
        </w:tblCellMar>
        <w:tblLook w:val="0000" w:firstRow="0" w:lastRow="0" w:firstColumn="0" w:lastColumn="0" w:noHBand="0" w:noVBand="0"/>
      </w:tblPr>
      <w:tblGrid>
        <w:gridCol w:w="1584"/>
        <w:gridCol w:w="902"/>
        <w:gridCol w:w="845"/>
        <w:gridCol w:w="643"/>
        <w:gridCol w:w="605"/>
        <w:gridCol w:w="509"/>
        <w:gridCol w:w="768"/>
        <w:gridCol w:w="499"/>
        <w:gridCol w:w="691"/>
        <w:gridCol w:w="509"/>
        <w:gridCol w:w="576"/>
        <w:gridCol w:w="701"/>
        <w:gridCol w:w="730"/>
        <w:gridCol w:w="643"/>
        <w:gridCol w:w="778"/>
        <w:gridCol w:w="509"/>
        <w:gridCol w:w="605"/>
        <w:gridCol w:w="614"/>
        <w:gridCol w:w="595"/>
        <w:gridCol w:w="518"/>
        <w:gridCol w:w="518"/>
      </w:tblGrid>
      <w:tr w:rsidR="000F5689" w:rsidRPr="00925F26" w14:paraId="659949DF" w14:textId="77777777">
        <w:trPr>
          <w:trHeight w:val="787"/>
        </w:trPr>
        <w:tc>
          <w:tcPr>
            <w:tcW w:w="1584" w:type="dxa"/>
            <w:tcBorders>
              <w:top w:val="single" w:sz="6" w:space="0" w:color="auto"/>
              <w:left w:val="single" w:sz="6" w:space="0" w:color="auto"/>
              <w:bottom w:val="single" w:sz="6" w:space="0" w:color="auto"/>
              <w:right w:val="single" w:sz="6" w:space="0" w:color="auto"/>
            </w:tcBorders>
          </w:tcPr>
          <w:p w14:paraId="659F15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007C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ББ-2. (задание)</w:t>
            </w:r>
          </w:p>
        </w:tc>
        <w:tc>
          <w:tcPr>
            <w:tcW w:w="845" w:type="dxa"/>
            <w:tcBorders>
              <w:top w:val="single" w:sz="6" w:space="0" w:color="auto"/>
              <w:left w:val="single" w:sz="6" w:space="0" w:color="auto"/>
              <w:bottom w:val="single" w:sz="6" w:space="0" w:color="auto"/>
              <w:right w:val="single" w:sz="6" w:space="0" w:color="auto"/>
            </w:tcBorders>
          </w:tcPr>
          <w:p w14:paraId="64C6FB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ВБ-2 (пасс, проект)</w:t>
            </w:r>
          </w:p>
        </w:tc>
        <w:tc>
          <w:tcPr>
            <w:tcW w:w="643" w:type="dxa"/>
            <w:tcBorders>
              <w:top w:val="single" w:sz="6" w:space="0" w:color="auto"/>
              <w:left w:val="single" w:sz="6" w:space="0" w:color="auto"/>
              <w:bottom w:val="single" w:sz="6" w:space="0" w:color="auto"/>
              <w:right w:val="single" w:sz="6" w:space="0" w:color="auto"/>
            </w:tcBorders>
          </w:tcPr>
          <w:p w14:paraId="40B2F8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ЦКБ-26</w:t>
            </w:r>
          </w:p>
        </w:tc>
        <w:tc>
          <w:tcPr>
            <w:tcW w:w="605" w:type="dxa"/>
            <w:tcBorders>
              <w:top w:val="single" w:sz="6" w:space="0" w:color="auto"/>
              <w:left w:val="single" w:sz="6" w:space="0" w:color="auto"/>
              <w:bottom w:val="single" w:sz="6" w:space="0" w:color="auto"/>
              <w:right w:val="single" w:sz="6" w:space="0" w:color="auto"/>
            </w:tcBorders>
          </w:tcPr>
          <w:p w14:paraId="2CF0D4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ЦКБ-30</w:t>
            </w:r>
          </w:p>
        </w:tc>
        <w:tc>
          <w:tcPr>
            <w:tcW w:w="509" w:type="dxa"/>
            <w:tcBorders>
              <w:top w:val="single" w:sz="6" w:space="0" w:color="auto"/>
              <w:left w:val="single" w:sz="6" w:space="0" w:color="auto"/>
              <w:bottom w:val="single" w:sz="6" w:space="0" w:color="auto"/>
              <w:right w:val="single" w:sz="6" w:space="0" w:color="auto"/>
            </w:tcBorders>
          </w:tcPr>
          <w:p w14:paraId="2E03AC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w:t>
            </w:r>
          </w:p>
        </w:tc>
        <w:tc>
          <w:tcPr>
            <w:tcW w:w="768" w:type="dxa"/>
            <w:tcBorders>
              <w:top w:val="single" w:sz="6" w:space="0" w:color="auto"/>
              <w:left w:val="single" w:sz="6" w:space="0" w:color="auto"/>
              <w:bottom w:val="single" w:sz="6" w:space="0" w:color="auto"/>
              <w:right w:val="single" w:sz="6" w:space="0" w:color="auto"/>
            </w:tcBorders>
          </w:tcPr>
          <w:p w14:paraId="5DFE54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w:t>
            </w:r>
          </w:p>
        </w:tc>
        <w:tc>
          <w:tcPr>
            <w:tcW w:w="499" w:type="dxa"/>
            <w:tcBorders>
              <w:top w:val="single" w:sz="6" w:space="0" w:color="auto"/>
              <w:left w:val="single" w:sz="6" w:space="0" w:color="auto"/>
              <w:bottom w:val="single" w:sz="6" w:space="0" w:color="auto"/>
              <w:right w:val="single" w:sz="6" w:space="0" w:color="auto"/>
            </w:tcBorders>
          </w:tcPr>
          <w:p w14:paraId="00F0A8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ДБ-3Т</w:t>
            </w:r>
          </w:p>
        </w:tc>
        <w:tc>
          <w:tcPr>
            <w:tcW w:w="691" w:type="dxa"/>
            <w:tcBorders>
              <w:top w:val="single" w:sz="6" w:space="0" w:color="auto"/>
              <w:left w:val="single" w:sz="6" w:space="0" w:color="auto"/>
              <w:bottom w:val="single" w:sz="6" w:space="0" w:color="auto"/>
              <w:right w:val="single" w:sz="6" w:space="0" w:color="auto"/>
            </w:tcBorders>
          </w:tcPr>
          <w:p w14:paraId="2B7E1C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ДБ-3ПТ</w:t>
            </w:r>
          </w:p>
        </w:tc>
        <w:tc>
          <w:tcPr>
            <w:tcW w:w="509" w:type="dxa"/>
            <w:tcBorders>
              <w:top w:val="single" w:sz="6" w:space="0" w:color="auto"/>
              <w:left w:val="single" w:sz="6" w:space="0" w:color="auto"/>
              <w:bottom w:val="single" w:sz="6" w:space="0" w:color="auto"/>
              <w:right w:val="single" w:sz="6" w:space="0" w:color="auto"/>
            </w:tcBorders>
          </w:tcPr>
          <w:p w14:paraId="2026DB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ДБ-3Б</w:t>
            </w:r>
          </w:p>
        </w:tc>
        <w:tc>
          <w:tcPr>
            <w:tcW w:w="576" w:type="dxa"/>
            <w:tcBorders>
              <w:top w:val="single" w:sz="6" w:space="0" w:color="auto"/>
              <w:left w:val="single" w:sz="6" w:space="0" w:color="auto"/>
              <w:bottom w:val="single" w:sz="6" w:space="0" w:color="auto"/>
              <w:right w:val="single" w:sz="6" w:space="0" w:color="auto"/>
            </w:tcBorders>
          </w:tcPr>
          <w:p w14:paraId="0DCA1F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w:t>
            </w:r>
          </w:p>
        </w:tc>
        <w:tc>
          <w:tcPr>
            <w:tcW w:w="701" w:type="dxa"/>
            <w:tcBorders>
              <w:top w:val="single" w:sz="6" w:space="0" w:color="auto"/>
              <w:left w:val="single" w:sz="6" w:space="0" w:color="auto"/>
              <w:bottom w:val="single" w:sz="6" w:space="0" w:color="auto"/>
              <w:right w:val="single" w:sz="6" w:space="0" w:color="auto"/>
            </w:tcBorders>
          </w:tcPr>
          <w:p w14:paraId="1E3398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ДБ-3Б</w:t>
            </w:r>
          </w:p>
        </w:tc>
        <w:tc>
          <w:tcPr>
            <w:tcW w:w="730" w:type="dxa"/>
            <w:tcBorders>
              <w:top w:val="single" w:sz="6" w:space="0" w:color="auto"/>
              <w:left w:val="single" w:sz="6" w:space="0" w:color="auto"/>
              <w:bottom w:val="single" w:sz="6" w:space="0" w:color="auto"/>
              <w:right w:val="single" w:sz="6" w:space="0" w:color="auto"/>
            </w:tcBorders>
          </w:tcPr>
          <w:p w14:paraId="3C614F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ДБ-3Б</w:t>
            </w:r>
          </w:p>
        </w:tc>
        <w:tc>
          <w:tcPr>
            <w:tcW w:w="643" w:type="dxa"/>
            <w:tcBorders>
              <w:top w:val="single" w:sz="6" w:space="0" w:color="auto"/>
              <w:left w:val="single" w:sz="6" w:space="0" w:color="auto"/>
              <w:bottom w:val="single" w:sz="6" w:space="0" w:color="auto"/>
              <w:right w:val="single" w:sz="6" w:space="0" w:color="auto"/>
            </w:tcBorders>
          </w:tcPr>
          <w:p w14:paraId="7C30C1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ДБ-3М</w:t>
            </w:r>
          </w:p>
        </w:tc>
        <w:tc>
          <w:tcPr>
            <w:tcW w:w="778" w:type="dxa"/>
            <w:tcBorders>
              <w:top w:val="single" w:sz="6" w:space="0" w:color="auto"/>
              <w:left w:val="single" w:sz="6" w:space="0" w:color="auto"/>
              <w:bottom w:val="single" w:sz="6" w:space="0" w:color="auto"/>
              <w:right w:val="single" w:sz="6" w:space="0" w:color="auto"/>
            </w:tcBorders>
          </w:tcPr>
          <w:p w14:paraId="75769D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ДБ-3Ф</w:t>
            </w:r>
          </w:p>
        </w:tc>
        <w:tc>
          <w:tcPr>
            <w:tcW w:w="509" w:type="dxa"/>
            <w:tcBorders>
              <w:top w:val="single" w:sz="6" w:space="0" w:color="auto"/>
              <w:left w:val="single" w:sz="6" w:space="0" w:color="auto"/>
              <w:bottom w:val="single" w:sz="6" w:space="0" w:color="auto"/>
              <w:right w:val="single" w:sz="6" w:space="0" w:color="auto"/>
            </w:tcBorders>
          </w:tcPr>
          <w:p w14:paraId="6281F8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ДБ-3Ф</w:t>
            </w:r>
          </w:p>
        </w:tc>
        <w:tc>
          <w:tcPr>
            <w:tcW w:w="605" w:type="dxa"/>
            <w:tcBorders>
              <w:top w:val="single" w:sz="6" w:space="0" w:color="auto"/>
              <w:left w:val="single" w:sz="6" w:space="0" w:color="auto"/>
              <w:bottom w:val="single" w:sz="6" w:space="0" w:color="auto"/>
              <w:right w:val="single" w:sz="6" w:space="0" w:color="auto"/>
            </w:tcBorders>
          </w:tcPr>
          <w:p w14:paraId="2F1F61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Ил-4</w:t>
            </w:r>
          </w:p>
        </w:tc>
        <w:tc>
          <w:tcPr>
            <w:tcW w:w="614" w:type="dxa"/>
            <w:tcBorders>
              <w:top w:val="single" w:sz="6" w:space="0" w:color="auto"/>
              <w:left w:val="single" w:sz="6" w:space="0" w:color="auto"/>
              <w:bottom w:val="single" w:sz="6" w:space="0" w:color="auto"/>
              <w:right w:val="single" w:sz="6" w:space="0" w:color="auto"/>
            </w:tcBorders>
          </w:tcPr>
          <w:p w14:paraId="61DE5A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Ил-4</w:t>
            </w:r>
            <w:r w:rsidRPr="00925F26">
              <w:rPr>
                <w:color w:val="000000" w:themeColor="text1"/>
                <w:sz w:val="16"/>
                <w:szCs w:val="16"/>
                <w:vertAlign w:val="superscript"/>
              </w:rPr>
              <w:t>1)</w:t>
            </w:r>
          </w:p>
        </w:tc>
        <w:tc>
          <w:tcPr>
            <w:tcW w:w="595" w:type="dxa"/>
            <w:tcBorders>
              <w:top w:val="single" w:sz="6" w:space="0" w:color="auto"/>
              <w:left w:val="single" w:sz="6" w:space="0" w:color="auto"/>
              <w:bottom w:val="single" w:sz="6" w:space="0" w:color="auto"/>
              <w:right w:val="single" w:sz="6" w:space="0" w:color="auto"/>
            </w:tcBorders>
          </w:tcPr>
          <w:p w14:paraId="2A3A12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ДБ-3Ф</w:t>
            </w:r>
          </w:p>
        </w:tc>
        <w:tc>
          <w:tcPr>
            <w:tcW w:w="518" w:type="dxa"/>
            <w:tcBorders>
              <w:top w:val="single" w:sz="6" w:space="0" w:color="auto"/>
              <w:left w:val="single" w:sz="6" w:space="0" w:color="auto"/>
              <w:bottom w:val="single" w:sz="6" w:space="0" w:color="auto"/>
              <w:right w:val="single" w:sz="6" w:space="0" w:color="auto"/>
            </w:tcBorders>
          </w:tcPr>
          <w:p w14:paraId="10D59E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Ия-4</w:t>
            </w:r>
          </w:p>
        </w:tc>
        <w:tc>
          <w:tcPr>
            <w:tcW w:w="518" w:type="dxa"/>
            <w:tcBorders>
              <w:top w:val="single" w:sz="6" w:space="0" w:color="auto"/>
              <w:left w:val="single" w:sz="6" w:space="0" w:color="auto"/>
              <w:bottom w:val="single" w:sz="6" w:space="0" w:color="auto"/>
              <w:right w:val="single" w:sz="6" w:space="0" w:color="auto"/>
            </w:tcBorders>
          </w:tcPr>
          <w:p w14:paraId="6E2D94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Ил-4</w:t>
            </w:r>
          </w:p>
        </w:tc>
      </w:tr>
      <w:tr w:rsidR="000F5689" w:rsidRPr="00925F26" w14:paraId="5502A417" w14:textId="77777777">
        <w:trPr>
          <w:trHeight w:val="557"/>
        </w:trPr>
        <w:tc>
          <w:tcPr>
            <w:tcW w:w="1584" w:type="dxa"/>
            <w:tcBorders>
              <w:top w:val="single" w:sz="6" w:space="0" w:color="auto"/>
              <w:left w:val="single" w:sz="6" w:space="0" w:color="auto"/>
              <w:bottom w:val="single" w:sz="6" w:space="0" w:color="auto"/>
              <w:right w:val="single" w:sz="6" w:space="0" w:color="auto"/>
            </w:tcBorders>
          </w:tcPr>
          <w:p w14:paraId="44B3E8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w:t>
            </w:r>
          </w:p>
        </w:tc>
        <w:tc>
          <w:tcPr>
            <w:tcW w:w="902" w:type="dxa"/>
            <w:tcBorders>
              <w:top w:val="single" w:sz="6" w:space="0" w:color="auto"/>
              <w:left w:val="single" w:sz="6" w:space="0" w:color="auto"/>
              <w:bottom w:val="single" w:sz="6" w:space="0" w:color="auto"/>
              <w:right w:val="single" w:sz="6" w:space="0" w:color="auto"/>
            </w:tcBorders>
          </w:tcPr>
          <w:p w14:paraId="44F3CC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57FC65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08E190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605" w:type="dxa"/>
            <w:tcBorders>
              <w:top w:val="single" w:sz="6" w:space="0" w:color="auto"/>
              <w:left w:val="single" w:sz="6" w:space="0" w:color="auto"/>
              <w:bottom w:val="single" w:sz="6" w:space="0" w:color="auto"/>
              <w:right w:val="single" w:sz="6" w:space="0" w:color="auto"/>
            </w:tcBorders>
          </w:tcPr>
          <w:p w14:paraId="506D6B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509" w:type="dxa"/>
            <w:tcBorders>
              <w:top w:val="single" w:sz="6" w:space="0" w:color="auto"/>
              <w:left w:val="single" w:sz="6" w:space="0" w:color="auto"/>
              <w:bottom w:val="single" w:sz="6" w:space="0" w:color="auto"/>
              <w:right w:val="single" w:sz="6" w:space="0" w:color="auto"/>
            </w:tcBorders>
          </w:tcPr>
          <w:p w14:paraId="10C999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768" w:type="dxa"/>
            <w:tcBorders>
              <w:top w:val="single" w:sz="6" w:space="0" w:color="auto"/>
              <w:left w:val="single" w:sz="6" w:space="0" w:color="auto"/>
              <w:bottom w:val="single" w:sz="6" w:space="0" w:color="auto"/>
              <w:right w:val="single" w:sz="6" w:space="0" w:color="auto"/>
            </w:tcBorders>
          </w:tcPr>
          <w:p w14:paraId="210A1E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w:t>
            </w:r>
          </w:p>
        </w:tc>
        <w:tc>
          <w:tcPr>
            <w:tcW w:w="499" w:type="dxa"/>
            <w:tcBorders>
              <w:top w:val="single" w:sz="6" w:space="0" w:color="auto"/>
              <w:left w:val="single" w:sz="6" w:space="0" w:color="auto"/>
              <w:bottom w:val="single" w:sz="6" w:space="0" w:color="auto"/>
              <w:right w:val="single" w:sz="6" w:space="0" w:color="auto"/>
            </w:tcBorders>
          </w:tcPr>
          <w:p w14:paraId="1C344E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691" w:type="dxa"/>
            <w:tcBorders>
              <w:top w:val="single" w:sz="6" w:space="0" w:color="auto"/>
              <w:left w:val="single" w:sz="6" w:space="0" w:color="auto"/>
              <w:bottom w:val="single" w:sz="6" w:space="0" w:color="auto"/>
              <w:right w:val="single" w:sz="6" w:space="0" w:color="auto"/>
            </w:tcBorders>
          </w:tcPr>
          <w:p w14:paraId="1DB87B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509" w:type="dxa"/>
            <w:tcBorders>
              <w:top w:val="single" w:sz="6" w:space="0" w:color="auto"/>
              <w:left w:val="single" w:sz="6" w:space="0" w:color="auto"/>
              <w:bottom w:val="single" w:sz="6" w:space="0" w:color="auto"/>
              <w:right w:val="single" w:sz="6" w:space="0" w:color="auto"/>
            </w:tcBorders>
          </w:tcPr>
          <w:p w14:paraId="495C67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576" w:type="dxa"/>
            <w:tcBorders>
              <w:top w:val="single" w:sz="6" w:space="0" w:color="auto"/>
              <w:left w:val="single" w:sz="6" w:space="0" w:color="auto"/>
              <w:bottom w:val="single" w:sz="6" w:space="0" w:color="auto"/>
              <w:right w:val="single" w:sz="6" w:space="0" w:color="auto"/>
            </w:tcBorders>
          </w:tcPr>
          <w:p w14:paraId="790E41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w:t>
            </w:r>
          </w:p>
        </w:tc>
        <w:tc>
          <w:tcPr>
            <w:tcW w:w="701" w:type="dxa"/>
            <w:tcBorders>
              <w:top w:val="single" w:sz="6" w:space="0" w:color="auto"/>
              <w:left w:val="single" w:sz="6" w:space="0" w:color="auto"/>
              <w:bottom w:val="single" w:sz="6" w:space="0" w:color="auto"/>
              <w:right w:val="single" w:sz="6" w:space="0" w:color="auto"/>
            </w:tcBorders>
          </w:tcPr>
          <w:p w14:paraId="32FE6C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730" w:type="dxa"/>
            <w:tcBorders>
              <w:top w:val="single" w:sz="6" w:space="0" w:color="auto"/>
              <w:left w:val="single" w:sz="6" w:space="0" w:color="auto"/>
              <w:bottom w:val="single" w:sz="6" w:space="0" w:color="auto"/>
              <w:right w:val="single" w:sz="6" w:space="0" w:color="auto"/>
            </w:tcBorders>
          </w:tcPr>
          <w:p w14:paraId="659811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w:t>
            </w:r>
          </w:p>
        </w:tc>
        <w:tc>
          <w:tcPr>
            <w:tcW w:w="643" w:type="dxa"/>
            <w:tcBorders>
              <w:top w:val="single" w:sz="6" w:space="0" w:color="auto"/>
              <w:left w:val="single" w:sz="6" w:space="0" w:color="auto"/>
              <w:bottom w:val="single" w:sz="6" w:space="0" w:color="auto"/>
              <w:right w:val="single" w:sz="6" w:space="0" w:color="auto"/>
            </w:tcBorders>
          </w:tcPr>
          <w:p w14:paraId="15F1B8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778" w:type="dxa"/>
            <w:tcBorders>
              <w:top w:val="single" w:sz="6" w:space="0" w:color="auto"/>
              <w:left w:val="single" w:sz="6" w:space="0" w:color="auto"/>
              <w:bottom w:val="single" w:sz="6" w:space="0" w:color="auto"/>
              <w:right w:val="single" w:sz="6" w:space="0" w:color="auto"/>
            </w:tcBorders>
          </w:tcPr>
          <w:p w14:paraId="754D69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w:t>
            </w:r>
          </w:p>
        </w:tc>
        <w:tc>
          <w:tcPr>
            <w:tcW w:w="509" w:type="dxa"/>
            <w:tcBorders>
              <w:top w:val="single" w:sz="6" w:space="0" w:color="auto"/>
              <w:left w:val="single" w:sz="6" w:space="0" w:color="auto"/>
              <w:bottom w:val="single" w:sz="6" w:space="0" w:color="auto"/>
              <w:right w:val="single" w:sz="6" w:space="0" w:color="auto"/>
            </w:tcBorders>
          </w:tcPr>
          <w:p w14:paraId="35C89E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tc>
        <w:tc>
          <w:tcPr>
            <w:tcW w:w="605" w:type="dxa"/>
            <w:tcBorders>
              <w:top w:val="single" w:sz="6" w:space="0" w:color="auto"/>
              <w:left w:val="single" w:sz="6" w:space="0" w:color="auto"/>
              <w:bottom w:val="single" w:sz="6" w:space="0" w:color="auto"/>
              <w:right w:val="single" w:sz="6" w:space="0" w:color="auto"/>
            </w:tcBorders>
          </w:tcPr>
          <w:p w14:paraId="6C8840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w:t>
            </w:r>
          </w:p>
        </w:tc>
        <w:tc>
          <w:tcPr>
            <w:tcW w:w="614" w:type="dxa"/>
            <w:tcBorders>
              <w:top w:val="single" w:sz="6" w:space="0" w:color="auto"/>
              <w:left w:val="single" w:sz="6" w:space="0" w:color="auto"/>
              <w:bottom w:val="single" w:sz="6" w:space="0" w:color="auto"/>
              <w:right w:val="single" w:sz="6" w:space="0" w:color="auto"/>
            </w:tcBorders>
          </w:tcPr>
          <w:p w14:paraId="4214D5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tc>
        <w:tc>
          <w:tcPr>
            <w:tcW w:w="595" w:type="dxa"/>
            <w:tcBorders>
              <w:top w:val="single" w:sz="6" w:space="0" w:color="auto"/>
              <w:left w:val="single" w:sz="6" w:space="0" w:color="auto"/>
              <w:bottom w:val="single" w:sz="6" w:space="0" w:color="auto"/>
              <w:right w:val="single" w:sz="6" w:space="0" w:color="auto"/>
            </w:tcBorders>
          </w:tcPr>
          <w:p w14:paraId="34542B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w:t>
            </w:r>
          </w:p>
        </w:tc>
        <w:tc>
          <w:tcPr>
            <w:tcW w:w="518" w:type="dxa"/>
            <w:tcBorders>
              <w:top w:val="single" w:sz="6" w:space="0" w:color="auto"/>
              <w:left w:val="single" w:sz="6" w:space="0" w:color="auto"/>
              <w:bottom w:val="single" w:sz="6" w:space="0" w:color="auto"/>
              <w:right w:val="single" w:sz="6" w:space="0" w:color="auto"/>
            </w:tcBorders>
          </w:tcPr>
          <w:p w14:paraId="1C27C8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w:t>
            </w:r>
          </w:p>
        </w:tc>
        <w:tc>
          <w:tcPr>
            <w:tcW w:w="518" w:type="dxa"/>
            <w:tcBorders>
              <w:top w:val="single" w:sz="6" w:space="0" w:color="auto"/>
              <w:left w:val="single" w:sz="6" w:space="0" w:color="auto"/>
              <w:bottom w:val="single" w:sz="6" w:space="0" w:color="auto"/>
              <w:right w:val="single" w:sz="6" w:space="0" w:color="auto"/>
            </w:tcBorders>
          </w:tcPr>
          <w:p w14:paraId="3D53DA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w:t>
            </w:r>
          </w:p>
        </w:tc>
      </w:tr>
      <w:tr w:rsidR="000F5689" w:rsidRPr="00925F26" w14:paraId="7E291987" w14:textId="77777777">
        <w:trPr>
          <w:trHeight w:val="624"/>
        </w:trPr>
        <w:tc>
          <w:tcPr>
            <w:tcW w:w="1584" w:type="dxa"/>
            <w:tcBorders>
              <w:top w:val="single" w:sz="6" w:space="0" w:color="auto"/>
              <w:left w:val="single" w:sz="6" w:space="0" w:color="auto"/>
              <w:bottom w:val="single" w:sz="6" w:space="0" w:color="auto"/>
              <w:right w:val="single" w:sz="6" w:space="0" w:color="auto"/>
            </w:tcBorders>
          </w:tcPr>
          <w:p w14:paraId="615DF9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Моторы</w:t>
            </w:r>
          </w:p>
        </w:tc>
        <w:tc>
          <w:tcPr>
            <w:tcW w:w="902" w:type="dxa"/>
            <w:tcBorders>
              <w:top w:val="single" w:sz="6" w:space="0" w:color="auto"/>
              <w:left w:val="single" w:sz="6" w:space="0" w:color="auto"/>
              <w:bottom w:val="single" w:sz="6" w:space="0" w:color="auto"/>
              <w:right w:val="single" w:sz="6" w:space="0" w:color="auto"/>
            </w:tcBorders>
          </w:tcPr>
          <w:p w14:paraId="6D2904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59ADD1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Райт "Циклон"</w:t>
            </w:r>
          </w:p>
        </w:tc>
        <w:tc>
          <w:tcPr>
            <w:tcW w:w="643" w:type="dxa"/>
            <w:tcBorders>
              <w:top w:val="single" w:sz="6" w:space="0" w:color="auto"/>
              <w:left w:val="single" w:sz="6" w:space="0" w:color="auto"/>
              <w:bottom w:val="single" w:sz="6" w:space="0" w:color="auto"/>
              <w:right w:val="single" w:sz="6" w:space="0" w:color="auto"/>
            </w:tcBorders>
          </w:tcPr>
          <w:p w14:paraId="7C57AF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GR14К</w:t>
            </w:r>
          </w:p>
        </w:tc>
        <w:tc>
          <w:tcPr>
            <w:tcW w:w="605" w:type="dxa"/>
            <w:tcBorders>
              <w:top w:val="single" w:sz="6" w:space="0" w:color="auto"/>
              <w:left w:val="single" w:sz="6" w:space="0" w:color="auto"/>
              <w:bottom w:val="single" w:sz="6" w:space="0" w:color="auto"/>
              <w:right w:val="single" w:sz="6" w:space="0" w:color="auto"/>
            </w:tcBorders>
          </w:tcPr>
          <w:p w14:paraId="4B06A3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GR14К</w:t>
            </w:r>
          </w:p>
        </w:tc>
        <w:tc>
          <w:tcPr>
            <w:tcW w:w="509" w:type="dxa"/>
            <w:tcBorders>
              <w:top w:val="single" w:sz="6" w:space="0" w:color="auto"/>
              <w:left w:val="single" w:sz="6" w:space="0" w:color="auto"/>
              <w:bottom w:val="single" w:sz="6" w:space="0" w:color="auto"/>
              <w:right w:val="single" w:sz="6" w:space="0" w:color="auto"/>
            </w:tcBorders>
          </w:tcPr>
          <w:p w14:paraId="58CA6A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М-85</w:t>
            </w:r>
          </w:p>
        </w:tc>
        <w:tc>
          <w:tcPr>
            <w:tcW w:w="768" w:type="dxa"/>
            <w:tcBorders>
              <w:top w:val="single" w:sz="6" w:space="0" w:color="auto"/>
              <w:left w:val="single" w:sz="6" w:space="0" w:color="auto"/>
              <w:bottom w:val="single" w:sz="6" w:space="0" w:color="auto"/>
              <w:right w:val="single" w:sz="6" w:space="0" w:color="auto"/>
            </w:tcBorders>
          </w:tcPr>
          <w:p w14:paraId="685610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М-85</w:t>
            </w:r>
          </w:p>
        </w:tc>
        <w:tc>
          <w:tcPr>
            <w:tcW w:w="499" w:type="dxa"/>
            <w:tcBorders>
              <w:top w:val="single" w:sz="6" w:space="0" w:color="auto"/>
              <w:left w:val="single" w:sz="6" w:space="0" w:color="auto"/>
              <w:bottom w:val="single" w:sz="6" w:space="0" w:color="auto"/>
              <w:right w:val="single" w:sz="6" w:space="0" w:color="auto"/>
            </w:tcBorders>
          </w:tcPr>
          <w:p w14:paraId="48C819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М-86</w:t>
            </w:r>
          </w:p>
        </w:tc>
        <w:tc>
          <w:tcPr>
            <w:tcW w:w="691" w:type="dxa"/>
            <w:tcBorders>
              <w:top w:val="single" w:sz="6" w:space="0" w:color="auto"/>
              <w:left w:val="single" w:sz="6" w:space="0" w:color="auto"/>
              <w:bottom w:val="single" w:sz="6" w:space="0" w:color="auto"/>
              <w:right w:val="single" w:sz="6" w:space="0" w:color="auto"/>
            </w:tcBorders>
          </w:tcPr>
          <w:p w14:paraId="3F813B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М-86</w:t>
            </w:r>
          </w:p>
        </w:tc>
        <w:tc>
          <w:tcPr>
            <w:tcW w:w="509" w:type="dxa"/>
            <w:tcBorders>
              <w:top w:val="single" w:sz="6" w:space="0" w:color="auto"/>
              <w:left w:val="single" w:sz="6" w:space="0" w:color="auto"/>
              <w:bottom w:val="single" w:sz="6" w:space="0" w:color="auto"/>
              <w:right w:val="single" w:sz="6" w:space="0" w:color="auto"/>
            </w:tcBorders>
          </w:tcPr>
          <w:p w14:paraId="5BDA6B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М-86</w:t>
            </w:r>
          </w:p>
        </w:tc>
        <w:tc>
          <w:tcPr>
            <w:tcW w:w="576" w:type="dxa"/>
            <w:tcBorders>
              <w:top w:val="single" w:sz="6" w:space="0" w:color="auto"/>
              <w:left w:val="single" w:sz="6" w:space="0" w:color="auto"/>
              <w:bottom w:val="single" w:sz="6" w:space="0" w:color="auto"/>
              <w:right w:val="single" w:sz="6" w:space="0" w:color="auto"/>
            </w:tcBorders>
          </w:tcPr>
          <w:p w14:paraId="654AD0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М-87А</w:t>
            </w:r>
          </w:p>
        </w:tc>
        <w:tc>
          <w:tcPr>
            <w:tcW w:w="701" w:type="dxa"/>
            <w:tcBorders>
              <w:top w:val="single" w:sz="6" w:space="0" w:color="auto"/>
              <w:left w:val="single" w:sz="6" w:space="0" w:color="auto"/>
              <w:bottom w:val="single" w:sz="6" w:space="0" w:color="auto"/>
              <w:right w:val="single" w:sz="6" w:space="0" w:color="auto"/>
            </w:tcBorders>
          </w:tcPr>
          <w:p w14:paraId="02262B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w:t>
            </w:r>
          </w:p>
        </w:tc>
        <w:tc>
          <w:tcPr>
            <w:tcW w:w="730" w:type="dxa"/>
            <w:tcBorders>
              <w:top w:val="single" w:sz="6" w:space="0" w:color="auto"/>
              <w:left w:val="single" w:sz="6" w:space="0" w:color="auto"/>
              <w:bottom w:val="single" w:sz="6" w:space="0" w:color="auto"/>
              <w:right w:val="single" w:sz="6" w:space="0" w:color="auto"/>
            </w:tcBorders>
          </w:tcPr>
          <w:p w14:paraId="0D67A3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М-87Б</w:t>
            </w:r>
          </w:p>
        </w:tc>
        <w:tc>
          <w:tcPr>
            <w:tcW w:w="643" w:type="dxa"/>
            <w:tcBorders>
              <w:top w:val="single" w:sz="6" w:space="0" w:color="auto"/>
              <w:left w:val="single" w:sz="6" w:space="0" w:color="auto"/>
              <w:bottom w:val="single" w:sz="6" w:space="0" w:color="auto"/>
              <w:right w:val="single" w:sz="6" w:space="0" w:color="auto"/>
            </w:tcBorders>
          </w:tcPr>
          <w:p w14:paraId="5C021D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М-88Б</w:t>
            </w:r>
          </w:p>
        </w:tc>
        <w:tc>
          <w:tcPr>
            <w:tcW w:w="778" w:type="dxa"/>
            <w:tcBorders>
              <w:top w:val="single" w:sz="6" w:space="0" w:color="auto"/>
              <w:left w:val="single" w:sz="6" w:space="0" w:color="auto"/>
              <w:bottom w:val="single" w:sz="6" w:space="0" w:color="auto"/>
              <w:right w:val="single" w:sz="6" w:space="0" w:color="auto"/>
            </w:tcBorders>
          </w:tcPr>
          <w:p w14:paraId="58374C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М-87Б</w:t>
            </w:r>
          </w:p>
        </w:tc>
        <w:tc>
          <w:tcPr>
            <w:tcW w:w="509" w:type="dxa"/>
            <w:tcBorders>
              <w:top w:val="single" w:sz="6" w:space="0" w:color="auto"/>
              <w:left w:val="single" w:sz="6" w:space="0" w:color="auto"/>
              <w:bottom w:val="single" w:sz="6" w:space="0" w:color="auto"/>
              <w:right w:val="single" w:sz="6" w:space="0" w:color="auto"/>
            </w:tcBorders>
          </w:tcPr>
          <w:p w14:paraId="5C8F1D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М-88Б</w:t>
            </w:r>
          </w:p>
        </w:tc>
        <w:tc>
          <w:tcPr>
            <w:tcW w:w="605" w:type="dxa"/>
            <w:tcBorders>
              <w:top w:val="single" w:sz="6" w:space="0" w:color="auto"/>
              <w:left w:val="single" w:sz="6" w:space="0" w:color="auto"/>
              <w:bottom w:val="single" w:sz="6" w:space="0" w:color="auto"/>
              <w:right w:val="single" w:sz="6" w:space="0" w:color="auto"/>
            </w:tcBorders>
          </w:tcPr>
          <w:p w14:paraId="795B61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М-88Б</w:t>
            </w:r>
          </w:p>
        </w:tc>
        <w:tc>
          <w:tcPr>
            <w:tcW w:w="614" w:type="dxa"/>
            <w:tcBorders>
              <w:top w:val="single" w:sz="6" w:space="0" w:color="auto"/>
              <w:left w:val="single" w:sz="6" w:space="0" w:color="auto"/>
              <w:bottom w:val="single" w:sz="6" w:space="0" w:color="auto"/>
              <w:right w:val="single" w:sz="6" w:space="0" w:color="auto"/>
            </w:tcBorders>
          </w:tcPr>
          <w:p w14:paraId="41ACF9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М-88Б</w:t>
            </w:r>
          </w:p>
        </w:tc>
        <w:tc>
          <w:tcPr>
            <w:tcW w:w="595" w:type="dxa"/>
            <w:tcBorders>
              <w:top w:val="single" w:sz="6" w:space="0" w:color="auto"/>
              <w:left w:val="single" w:sz="6" w:space="0" w:color="auto"/>
              <w:bottom w:val="single" w:sz="6" w:space="0" w:color="auto"/>
              <w:right w:val="single" w:sz="6" w:space="0" w:color="auto"/>
            </w:tcBorders>
          </w:tcPr>
          <w:p w14:paraId="23DA8C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М-82</w:t>
            </w:r>
          </w:p>
        </w:tc>
        <w:tc>
          <w:tcPr>
            <w:tcW w:w="518" w:type="dxa"/>
            <w:tcBorders>
              <w:top w:val="single" w:sz="6" w:space="0" w:color="auto"/>
              <w:left w:val="single" w:sz="6" w:space="0" w:color="auto"/>
              <w:bottom w:val="single" w:sz="6" w:space="0" w:color="auto"/>
              <w:right w:val="single" w:sz="6" w:space="0" w:color="auto"/>
            </w:tcBorders>
          </w:tcPr>
          <w:p w14:paraId="124E3B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М-88Б</w:t>
            </w:r>
          </w:p>
        </w:tc>
        <w:tc>
          <w:tcPr>
            <w:tcW w:w="518" w:type="dxa"/>
            <w:tcBorders>
              <w:top w:val="single" w:sz="6" w:space="0" w:color="auto"/>
              <w:left w:val="single" w:sz="6" w:space="0" w:color="auto"/>
              <w:bottom w:val="single" w:sz="6" w:space="0" w:color="auto"/>
              <w:right w:val="single" w:sz="6" w:space="0" w:color="auto"/>
            </w:tcBorders>
          </w:tcPr>
          <w:p w14:paraId="5E4AFF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М-88Б</w:t>
            </w:r>
          </w:p>
        </w:tc>
      </w:tr>
      <w:tr w:rsidR="000F5689" w:rsidRPr="00925F26" w14:paraId="43E5F430" w14:textId="77777777">
        <w:trPr>
          <w:trHeight w:val="710"/>
        </w:trPr>
        <w:tc>
          <w:tcPr>
            <w:tcW w:w="1584" w:type="dxa"/>
            <w:tcBorders>
              <w:top w:val="single" w:sz="6" w:space="0" w:color="auto"/>
              <w:left w:val="single" w:sz="6" w:space="0" w:color="auto"/>
              <w:bottom w:val="single" w:sz="6" w:space="0" w:color="auto"/>
              <w:right w:val="single" w:sz="6" w:space="0" w:color="auto"/>
            </w:tcBorders>
          </w:tcPr>
          <w:p w14:paraId="09C539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Время испытаний</w:t>
            </w:r>
          </w:p>
        </w:tc>
        <w:tc>
          <w:tcPr>
            <w:tcW w:w="902" w:type="dxa"/>
            <w:tcBorders>
              <w:top w:val="single" w:sz="6" w:space="0" w:color="auto"/>
              <w:left w:val="single" w:sz="6" w:space="0" w:color="auto"/>
              <w:bottom w:val="single" w:sz="6" w:space="0" w:color="auto"/>
              <w:right w:val="single" w:sz="6" w:space="0" w:color="auto"/>
            </w:tcBorders>
          </w:tcPr>
          <w:p w14:paraId="6E45F9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0D7EDA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567E72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июль-август 1935 г.</w:t>
            </w:r>
          </w:p>
        </w:tc>
        <w:tc>
          <w:tcPr>
            <w:tcW w:w="605" w:type="dxa"/>
            <w:tcBorders>
              <w:top w:val="single" w:sz="6" w:space="0" w:color="auto"/>
              <w:left w:val="single" w:sz="6" w:space="0" w:color="auto"/>
              <w:bottom w:val="single" w:sz="6" w:space="0" w:color="auto"/>
              <w:right w:val="single" w:sz="6" w:space="0" w:color="auto"/>
            </w:tcBorders>
          </w:tcPr>
          <w:p w14:paraId="4BE9D8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651EC6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 1937 г.</w:t>
            </w:r>
          </w:p>
        </w:tc>
        <w:tc>
          <w:tcPr>
            <w:tcW w:w="768" w:type="dxa"/>
            <w:tcBorders>
              <w:top w:val="single" w:sz="6" w:space="0" w:color="auto"/>
              <w:left w:val="single" w:sz="6" w:space="0" w:color="auto"/>
              <w:bottom w:val="single" w:sz="6" w:space="0" w:color="auto"/>
              <w:right w:val="single" w:sz="6" w:space="0" w:color="auto"/>
            </w:tcBorders>
          </w:tcPr>
          <w:p w14:paraId="68B3C3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сентябрь-октябрь 1937 г.</w:t>
            </w:r>
          </w:p>
        </w:tc>
        <w:tc>
          <w:tcPr>
            <w:tcW w:w="499" w:type="dxa"/>
            <w:tcBorders>
              <w:top w:val="single" w:sz="6" w:space="0" w:color="auto"/>
              <w:left w:val="single" w:sz="6" w:space="0" w:color="auto"/>
              <w:bottom w:val="single" w:sz="6" w:space="0" w:color="auto"/>
              <w:right w:val="single" w:sz="6" w:space="0" w:color="auto"/>
            </w:tcBorders>
          </w:tcPr>
          <w:p w14:paraId="535AFD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весна 1938 г.</w:t>
            </w:r>
          </w:p>
        </w:tc>
        <w:tc>
          <w:tcPr>
            <w:tcW w:w="691" w:type="dxa"/>
            <w:tcBorders>
              <w:top w:val="single" w:sz="6" w:space="0" w:color="auto"/>
              <w:left w:val="single" w:sz="6" w:space="0" w:color="auto"/>
              <w:bottom w:val="single" w:sz="6" w:space="0" w:color="auto"/>
              <w:right w:val="single" w:sz="6" w:space="0" w:color="auto"/>
            </w:tcBorders>
          </w:tcPr>
          <w:p w14:paraId="64BD4B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июль-октябрь 1938 г.</w:t>
            </w:r>
          </w:p>
        </w:tc>
        <w:tc>
          <w:tcPr>
            <w:tcW w:w="509" w:type="dxa"/>
            <w:tcBorders>
              <w:top w:val="single" w:sz="6" w:space="0" w:color="auto"/>
              <w:left w:val="single" w:sz="6" w:space="0" w:color="auto"/>
              <w:bottom w:val="single" w:sz="6" w:space="0" w:color="auto"/>
              <w:right w:val="single" w:sz="6" w:space="0" w:color="auto"/>
            </w:tcBorders>
          </w:tcPr>
          <w:p w14:paraId="4D03B2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лето 1938 г.</w:t>
            </w:r>
          </w:p>
        </w:tc>
        <w:tc>
          <w:tcPr>
            <w:tcW w:w="576" w:type="dxa"/>
            <w:tcBorders>
              <w:top w:val="single" w:sz="6" w:space="0" w:color="auto"/>
              <w:left w:val="single" w:sz="6" w:space="0" w:color="auto"/>
              <w:bottom w:val="single" w:sz="6" w:space="0" w:color="auto"/>
              <w:right w:val="single" w:sz="6" w:space="0" w:color="auto"/>
            </w:tcBorders>
          </w:tcPr>
          <w:p w14:paraId="21F3DA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весна 1939 г.</w:t>
            </w:r>
          </w:p>
        </w:tc>
        <w:tc>
          <w:tcPr>
            <w:tcW w:w="701" w:type="dxa"/>
            <w:tcBorders>
              <w:top w:val="single" w:sz="6" w:space="0" w:color="auto"/>
              <w:left w:val="single" w:sz="6" w:space="0" w:color="auto"/>
              <w:bottom w:val="single" w:sz="6" w:space="0" w:color="auto"/>
              <w:right w:val="single" w:sz="6" w:space="0" w:color="auto"/>
            </w:tcBorders>
          </w:tcPr>
          <w:p w14:paraId="230502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июль-сентябрь 1939 г.</w:t>
            </w:r>
          </w:p>
        </w:tc>
        <w:tc>
          <w:tcPr>
            <w:tcW w:w="730" w:type="dxa"/>
            <w:tcBorders>
              <w:top w:val="single" w:sz="6" w:space="0" w:color="auto"/>
              <w:left w:val="single" w:sz="6" w:space="0" w:color="auto"/>
              <w:bottom w:val="single" w:sz="6" w:space="0" w:color="auto"/>
              <w:right w:val="single" w:sz="6" w:space="0" w:color="auto"/>
            </w:tcBorders>
          </w:tcPr>
          <w:p w14:paraId="124C3D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июль-сентябрь 1939 г.</w:t>
            </w:r>
          </w:p>
        </w:tc>
        <w:tc>
          <w:tcPr>
            <w:tcW w:w="643" w:type="dxa"/>
            <w:tcBorders>
              <w:top w:val="single" w:sz="6" w:space="0" w:color="auto"/>
              <w:left w:val="single" w:sz="6" w:space="0" w:color="auto"/>
              <w:bottom w:val="single" w:sz="6" w:space="0" w:color="auto"/>
              <w:right w:val="single" w:sz="6" w:space="0" w:color="auto"/>
            </w:tcBorders>
          </w:tcPr>
          <w:p w14:paraId="11D177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апрель-май 1940 г.</w:t>
            </w:r>
          </w:p>
        </w:tc>
        <w:tc>
          <w:tcPr>
            <w:tcW w:w="778" w:type="dxa"/>
            <w:tcBorders>
              <w:top w:val="single" w:sz="6" w:space="0" w:color="auto"/>
              <w:left w:val="single" w:sz="6" w:space="0" w:color="auto"/>
              <w:bottom w:val="single" w:sz="6" w:space="0" w:color="auto"/>
              <w:right w:val="single" w:sz="6" w:space="0" w:color="auto"/>
            </w:tcBorders>
          </w:tcPr>
          <w:p w14:paraId="2BDE53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сентябрь-октябрь 1940 г.</w:t>
            </w:r>
          </w:p>
        </w:tc>
        <w:tc>
          <w:tcPr>
            <w:tcW w:w="509" w:type="dxa"/>
            <w:tcBorders>
              <w:top w:val="single" w:sz="6" w:space="0" w:color="auto"/>
              <w:left w:val="single" w:sz="6" w:space="0" w:color="auto"/>
              <w:bottom w:val="single" w:sz="6" w:space="0" w:color="auto"/>
              <w:right w:val="single" w:sz="6" w:space="0" w:color="auto"/>
            </w:tcBorders>
          </w:tcPr>
          <w:p w14:paraId="0B29DE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w:t>
            </w:r>
          </w:p>
        </w:tc>
        <w:tc>
          <w:tcPr>
            <w:tcW w:w="605" w:type="dxa"/>
            <w:tcBorders>
              <w:top w:val="single" w:sz="6" w:space="0" w:color="auto"/>
              <w:left w:val="single" w:sz="6" w:space="0" w:color="auto"/>
              <w:bottom w:val="single" w:sz="6" w:space="0" w:color="auto"/>
              <w:right w:val="single" w:sz="6" w:space="0" w:color="auto"/>
            </w:tcBorders>
          </w:tcPr>
          <w:p w14:paraId="604430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w:t>
            </w:r>
          </w:p>
        </w:tc>
        <w:tc>
          <w:tcPr>
            <w:tcW w:w="614" w:type="dxa"/>
            <w:tcBorders>
              <w:top w:val="single" w:sz="6" w:space="0" w:color="auto"/>
              <w:left w:val="single" w:sz="6" w:space="0" w:color="auto"/>
              <w:bottom w:val="single" w:sz="6" w:space="0" w:color="auto"/>
              <w:right w:val="single" w:sz="6" w:space="0" w:color="auto"/>
            </w:tcBorders>
          </w:tcPr>
          <w:p w14:paraId="32FE2C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w:t>
            </w:r>
          </w:p>
        </w:tc>
        <w:tc>
          <w:tcPr>
            <w:tcW w:w="595" w:type="dxa"/>
            <w:tcBorders>
              <w:top w:val="single" w:sz="6" w:space="0" w:color="auto"/>
              <w:left w:val="single" w:sz="6" w:space="0" w:color="auto"/>
              <w:bottom w:val="single" w:sz="6" w:space="0" w:color="auto"/>
              <w:right w:val="single" w:sz="6" w:space="0" w:color="auto"/>
            </w:tcBorders>
          </w:tcPr>
          <w:p w14:paraId="5BEDCB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май-июнь 1942 г.</w:t>
            </w:r>
          </w:p>
        </w:tc>
        <w:tc>
          <w:tcPr>
            <w:tcW w:w="518" w:type="dxa"/>
            <w:tcBorders>
              <w:top w:val="single" w:sz="6" w:space="0" w:color="auto"/>
              <w:left w:val="single" w:sz="6" w:space="0" w:color="auto"/>
              <w:bottom w:val="single" w:sz="6" w:space="0" w:color="auto"/>
              <w:right w:val="single" w:sz="6" w:space="0" w:color="auto"/>
            </w:tcBorders>
          </w:tcPr>
          <w:p w14:paraId="4CB3AE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tc>
        <w:tc>
          <w:tcPr>
            <w:tcW w:w="518" w:type="dxa"/>
            <w:tcBorders>
              <w:top w:val="single" w:sz="6" w:space="0" w:color="auto"/>
              <w:left w:val="single" w:sz="6" w:space="0" w:color="auto"/>
              <w:bottom w:val="single" w:sz="6" w:space="0" w:color="auto"/>
              <w:right w:val="single" w:sz="6" w:space="0" w:color="auto"/>
            </w:tcBorders>
          </w:tcPr>
          <w:p w14:paraId="2435ED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tc>
      </w:tr>
      <w:tr w:rsidR="000F5689" w:rsidRPr="00925F26" w14:paraId="2C009C51" w14:textId="77777777">
        <w:trPr>
          <w:trHeight w:val="509"/>
        </w:trPr>
        <w:tc>
          <w:tcPr>
            <w:tcW w:w="1584" w:type="dxa"/>
            <w:tcBorders>
              <w:top w:val="single" w:sz="6" w:space="0" w:color="auto"/>
              <w:left w:val="single" w:sz="6" w:space="0" w:color="auto"/>
              <w:bottom w:val="single" w:sz="6" w:space="0" w:color="auto"/>
              <w:right w:val="single" w:sz="6" w:space="0" w:color="auto"/>
            </w:tcBorders>
          </w:tcPr>
          <w:p w14:paraId="67D5AC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 пустгого, кг</w:t>
            </w:r>
          </w:p>
        </w:tc>
        <w:tc>
          <w:tcPr>
            <w:tcW w:w="902" w:type="dxa"/>
            <w:tcBorders>
              <w:top w:val="single" w:sz="6" w:space="0" w:color="auto"/>
              <w:left w:val="single" w:sz="6" w:space="0" w:color="auto"/>
              <w:bottom w:val="single" w:sz="6" w:space="0" w:color="auto"/>
              <w:right w:val="single" w:sz="6" w:space="0" w:color="auto"/>
            </w:tcBorders>
          </w:tcPr>
          <w:p w14:paraId="0B41ED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7B4174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192DE8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tc>
        <w:tc>
          <w:tcPr>
            <w:tcW w:w="605" w:type="dxa"/>
            <w:tcBorders>
              <w:top w:val="single" w:sz="6" w:space="0" w:color="auto"/>
              <w:left w:val="single" w:sz="6" w:space="0" w:color="auto"/>
              <w:bottom w:val="single" w:sz="6" w:space="0" w:color="auto"/>
              <w:right w:val="single" w:sz="6" w:space="0" w:color="auto"/>
            </w:tcBorders>
          </w:tcPr>
          <w:p w14:paraId="112D29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4365</w:t>
            </w:r>
          </w:p>
        </w:tc>
        <w:tc>
          <w:tcPr>
            <w:tcW w:w="509" w:type="dxa"/>
            <w:tcBorders>
              <w:top w:val="single" w:sz="6" w:space="0" w:color="auto"/>
              <w:left w:val="single" w:sz="6" w:space="0" w:color="auto"/>
              <w:bottom w:val="single" w:sz="6" w:space="0" w:color="auto"/>
              <w:right w:val="single" w:sz="6" w:space="0" w:color="auto"/>
            </w:tcBorders>
          </w:tcPr>
          <w:p w14:paraId="0C980C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4563</w:t>
            </w:r>
          </w:p>
        </w:tc>
        <w:tc>
          <w:tcPr>
            <w:tcW w:w="768" w:type="dxa"/>
            <w:tcBorders>
              <w:top w:val="single" w:sz="6" w:space="0" w:color="auto"/>
              <w:left w:val="single" w:sz="6" w:space="0" w:color="auto"/>
              <w:bottom w:val="single" w:sz="6" w:space="0" w:color="auto"/>
              <w:right w:val="single" w:sz="6" w:space="0" w:color="auto"/>
            </w:tcBorders>
          </w:tcPr>
          <w:p w14:paraId="401AFA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4446</w:t>
            </w:r>
          </w:p>
        </w:tc>
        <w:tc>
          <w:tcPr>
            <w:tcW w:w="499" w:type="dxa"/>
            <w:tcBorders>
              <w:top w:val="single" w:sz="6" w:space="0" w:color="auto"/>
              <w:left w:val="single" w:sz="6" w:space="0" w:color="auto"/>
              <w:bottom w:val="single" w:sz="6" w:space="0" w:color="auto"/>
              <w:right w:val="single" w:sz="6" w:space="0" w:color="auto"/>
            </w:tcBorders>
          </w:tcPr>
          <w:p w14:paraId="65F76F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4298</w:t>
            </w:r>
          </w:p>
        </w:tc>
        <w:tc>
          <w:tcPr>
            <w:tcW w:w="691" w:type="dxa"/>
            <w:tcBorders>
              <w:top w:val="single" w:sz="6" w:space="0" w:color="auto"/>
              <w:left w:val="single" w:sz="6" w:space="0" w:color="auto"/>
              <w:bottom w:val="single" w:sz="6" w:space="0" w:color="auto"/>
              <w:right w:val="single" w:sz="6" w:space="0" w:color="auto"/>
            </w:tcBorders>
          </w:tcPr>
          <w:p w14:paraId="607ABD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4677</w:t>
            </w:r>
          </w:p>
        </w:tc>
        <w:tc>
          <w:tcPr>
            <w:tcW w:w="509" w:type="dxa"/>
            <w:tcBorders>
              <w:top w:val="single" w:sz="6" w:space="0" w:color="auto"/>
              <w:left w:val="single" w:sz="6" w:space="0" w:color="auto"/>
              <w:bottom w:val="single" w:sz="6" w:space="0" w:color="auto"/>
              <w:right w:val="single" w:sz="6" w:space="0" w:color="auto"/>
            </w:tcBorders>
          </w:tcPr>
          <w:p w14:paraId="5FBE2E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5630</w:t>
            </w:r>
          </w:p>
        </w:tc>
        <w:tc>
          <w:tcPr>
            <w:tcW w:w="576" w:type="dxa"/>
            <w:tcBorders>
              <w:top w:val="single" w:sz="6" w:space="0" w:color="auto"/>
              <w:left w:val="single" w:sz="6" w:space="0" w:color="auto"/>
              <w:bottom w:val="single" w:sz="6" w:space="0" w:color="auto"/>
              <w:right w:val="single" w:sz="6" w:space="0" w:color="auto"/>
            </w:tcBorders>
          </w:tcPr>
          <w:p w14:paraId="1E12C4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4954</w:t>
            </w:r>
          </w:p>
        </w:tc>
        <w:tc>
          <w:tcPr>
            <w:tcW w:w="701" w:type="dxa"/>
            <w:tcBorders>
              <w:top w:val="single" w:sz="6" w:space="0" w:color="auto"/>
              <w:left w:val="single" w:sz="6" w:space="0" w:color="auto"/>
              <w:bottom w:val="single" w:sz="6" w:space="0" w:color="auto"/>
              <w:right w:val="single" w:sz="6" w:space="0" w:color="auto"/>
            </w:tcBorders>
          </w:tcPr>
          <w:p w14:paraId="511787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5080</w:t>
            </w:r>
          </w:p>
        </w:tc>
        <w:tc>
          <w:tcPr>
            <w:tcW w:w="730" w:type="dxa"/>
            <w:tcBorders>
              <w:top w:val="single" w:sz="6" w:space="0" w:color="auto"/>
              <w:left w:val="single" w:sz="6" w:space="0" w:color="auto"/>
              <w:bottom w:val="single" w:sz="6" w:space="0" w:color="auto"/>
              <w:right w:val="single" w:sz="6" w:space="0" w:color="auto"/>
            </w:tcBorders>
          </w:tcPr>
          <w:p w14:paraId="0EA91C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5100</w:t>
            </w:r>
          </w:p>
        </w:tc>
        <w:tc>
          <w:tcPr>
            <w:tcW w:w="643" w:type="dxa"/>
            <w:tcBorders>
              <w:top w:val="single" w:sz="6" w:space="0" w:color="auto"/>
              <w:left w:val="single" w:sz="6" w:space="0" w:color="auto"/>
              <w:bottom w:val="single" w:sz="6" w:space="0" w:color="auto"/>
              <w:right w:val="single" w:sz="6" w:space="0" w:color="auto"/>
            </w:tcBorders>
          </w:tcPr>
          <w:p w14:paraId="08AA63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5590</w:t>
            </w:r>
          </w:p>
        </w:tc>
        <w:tc>
          <w:tcPr>
            <w:tcW w:w="778" w:type="dxa"/>
            <w:tcBorders>
              <w:top w:val="single" w:sz="6" w:space="0" w:color="auto"/>
              <w:left w:val="single" w:sz="6" w:space="0" w:color="auto"/>
              <w:bottom w:val="single" w:sz="6" w:space="0" w:color="auto"/>
              <w:right w:val="single" w:sz="6" w:space="0" w:color="auto"/>
            </w:tcBorders>
          </w:tcPr>
          <w:p w14:paraId="0BAABE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5564</w:t>
            </w:r>
          </w:p>
        </w:tc>
        <w:tc>
          <w:tcPr>
            <w:tcW w:w="509" w:type="dxa"/>
            <w:tcBorders>
              <w:top w:val="single" w:sz="6" w:space="0" w:color="auto"/>
              <w:left w:val="single" w:sz="6" w:space="0" w:color="auto"/>
              <w:bottom w:val="single" w:sz="6" w:space="0" w:color="auto"/>
              <w:right w:val="single" w:sz="6" w:space="0" w:color="auto"/>
            </w:tcBorders>
          </w:tcPr>
          <w:p w14:paraId="305E5E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5701</w:t>
            </w:r>
          </w:p>
        </w:tc>
        <w:tc>
          <w:tcPr>
            <w:tcW w:w="605" w:type="dxa"/>
            <w:tcBorders>
              <w:top w:val="single" w:sz="6" w:space="0" w:color="auto"/>
              <w:left w:val="single" w:sz="6" w:space="0" w:color="auto"/>
              <w:bottom w:val="single" w:sz="6" w:space="0" w:color="auto"/>
              <w:right w:val="single" w:sz="6" w:space="0" w:color="auto"/>
            </w:tcBorders>
          </w:tcPr>
          <w:p w14:paraId="2F4ED9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5800</w:t>
            </w:r>
          </w:p>
        </w:tc>
        <w:tc>
          <w:tcPr>
            <w:tcW w:w="614" w:type="dxa"/>
            <w:tcBorders>
              <w:top w:val="single" w:sz="6" w:space="0" w:color="auto"/>
              <w:left w:val="single" w:sz="6" w:space="0" w:color="auto"/>
              <w:bottom w:val="single" w:sz="6" w:space="0" w:color="auto"/>
              <w:right w:val="single" w:sz="6" w:space="0" w:color="auto"/>
            </w:tcBorders>
          </w:tcPr>
          <w:p w14:paraId="7F0C53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6421</w:t>
            </w:r>
          </w:p>
        </w:tc>
        <w:tc>
          <w:tcPr>
            <w:tcW w:w="595" w:type="dxa"/>
            <w:tcBorders>
              <w:top w:val="single" w:sz="6" w:space="0" w:color="auto"/>
              <w:left w:val="single" w:sz="6" w:space="0" w:color="auto"/>
              <w:bottom w:val="single" w:sz="6" w:space="0" w:color="auto"/>
              <w:right w:val="single" w:sz="6" w:space="0" w:color="auto"/>
            </w:tcBorders>
          </w:tcPr>
          <w:p w14:paraId="16DA61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52DF28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5800</w:t>
            </w:r>
          </w:p>
        </w:tc>
        <w:tc>
          <w:tcPr>
            <w:tcW w:w="518" w:type="dxa"/>
            <w:tcBorders>
              <w:top w:val="single" w:sz="6" w:space="0" w:color="auto"/>
              <w:left w:val="single" w:sz="6" w:space="0" w:color="auto"/>
              <w:bottom w:val="single" w:sz="6" w:space="0" w:color="auto"/>
              <w:right w:val="single" w:sz="6" w:space="0" w:color="auto"/>
            </w:tcBorders>
          </w:tcPr>
          <w:p w14:paraId="563435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13E68C1" w14:textId="77777777">
        <w:trPr>
          <w:trHeight w:val="547"/>
        </w:trPr>
        <w:tc>
          <w:tcPr>
            <w:tcW w:w="1584" w:type="dxa"/>
            <w:tcBorders>
              <w:top w:val="single" w:sz="6" w:space="0" w:color="auto"/>
              <w:left w:val="single" w:sz="6" w:space="0" w:color="auto"/>
              <w:bottom w:val="single" w:sz="6" w:space="0" w:color="auto"/>
              <w:right w:val="single" w:sz="6" w:space="0" w:color="auto"/>
            </w:tcBorders>
          </w:tcPr>
          <w:p w14:paraId="2E7994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 взлетный кг.</w:t>
            </w:r>
          </w:p>
        </w:tc>
        <w:tc>
          <w:tcPr>
            <w:tcW w:w="902" w:type="dxa"/>
            <w:tcBorders>
              <w:top w:val="single" w:sz="6" w:space="0" w:color="auto"/>
              <w:left w:val="single" w:sz="6" w:space="0" w:color="auto"/>
              <w:bottom w:val="single" w:sz="6" w:space="0" w:color="auto"/>
              <w:right w:val="single" w:sz="6" w:space="0" w:color="auto"/>
            </w:tcBorders>
          </w:tcPr>
          <w:p w14:paraId="0948EA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4D69E7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72DC82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6000</w:t>
            </w:r>
          </w:p>
        </w:tc>
        <w:tc>
          <w:tcPr>
            <w:tcW w:w="605" w:type="dxa"/>
            <w:tcBorders>
              <w:top w:val="single" w:sz="6" w:space="0" w:color="auto"/>
              <w:left w:val="single" w:sz="6" w:space="0" w:color="auto"/>
              <w:bottom w:val="single" w:sz="6" w:space="0" w:color="auto"/>
              <w:right w:val="single" w:sz="6" w:space="0" w:color="auto"/>
            </w:tcBorders>
          </w:tcPr>
          <w:p w14:paraId="107A80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6648</w:t>
            </w:r>
          </w:p>
        </w:tc>
        <w:tc>
          <w:tcPr>
            <w:tcW w:w="509" w:type="dxa"/>
            <w:tcBorders>
              <w:top w:val="single" w:sz="6" w:space="0" w:color="auto"/>
              <w:left w:val="single" w:sz="6" w:space="0" w:color="auto"/>
              <w:bottom w:val="single" w:sz="6" w:space="0" w:color="auto"/>
              <w:right w:val="single" w:sz="6" w:space="0" w:color="auto"/>
            </w:tcBorders>
          </w:tcPr>
          <w:p w14:paraId="46A9B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6940</w:t>
            </w:r>
          </w:p>
        </w:tc>
        <w:tc>
          <w:tcPr>
            <w:tcW w:w="768" w:type="dxa"/>
            <w:tcBorders>
              <w:top w:val="single" w:sz="6" w:space="0" w:color="auto"/>
              <w:left w:val="single" w:sz="6" w:space="0" w:color="auto"/>
              <w:bottom w:val="single" w:sz="6" w:space="0" w:color="auto"/>
              <w:right w:val="single" w:sz="6" w:space="0" w:color="auto"/>
            </w:tcBorders>
          </w:tcPr>
          <w:p w14:paraId="784565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6802</w:t>
            </w:r>
          </w:p>
        </w:tc>
        <w:tc>
          <w:tcPr>
            <w:tcW w:w="499" w:type="dxa"/>
            <w:tcBorders>
              <w:top w:val="single" w:sz="6" w:space="0" w:color="auto"/>
              <w:left w:val="single" w:sz="6" w:space="0" w:color="auto"/>
              <w:bottom w:val="single" w:sz="6" w:space="0" w:color="auto"/>
              <w:right w:val="single" w:sz="6" w:space="0" w:color="auto"/>
            </w:tcBorders>
          </w:tcPr>
          <w:p w14:paraId="19504A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6494</w:t>
            </w:r>
          </w:p>
        </w:tc>
        <w:tc>
          <w:tcPr>
            <w:tcW w:w="691" w:type="dxa"/>
            <w:tcBorders>
              <w:top w:val="single" w:sz="6" w:space="0" w:color="auto"/>
              <w:left w:val="single" w:sz="6" w:space="0" w:color="auto"/>
              <w:bottom w:val="single" w:sz="6" w:space="0" w:color="auto"/>
              <w:right w:val="single" w:sz="6" w:space="0" w:color="auto"/>
            </w:tcBorders>
          </w:tcPr>
          <w:p w14:paraId="3838BD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6978</w:t>
            </w:r>
          </w:p>
        </w:tc>
        <w:tc>
          <w:tcPr>
            <w:tcW w:w="509" w:type="dxa"/>
            <w:tcBorders>
              <w:top w:val="single" w:sz="6" w:space="0" w:color="auto"/>
              <w:left w:val="single" w:sz="6" w:space="0" w:color="auto"/>
              <w:bottom w:val="single" w:sz="6" w:space="0" w:color="auto"/>
              <w:right w:val="single" w:sz="6" w:space="0" w:color="auto"/>
            </w:tcBorders>
          </w:tcPr>
          <w:p w14:paraId="73D894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7590</w:t>
            </w:r>
          </w:p>
        </w:tc>
        <w:tc>
          <w:tcPr>
            <w:tcW w:w="576" w:type="dxa"/>
            <w:tcBorders>
              <w:top w:val="single" w:sz="6" w:space="0" w:color="auto"/>
              <w:left w:val="single" w:sz="6" w:space="0" w:color="auto"/>
              <w:bottom w:val="single" w:sz="6" w:space="0" w:color="auto"/>
              <w:right w:val="single" w:sz="6" w:space="0" w:color="auto"/>
            </w:tcBorders>
          </w:tcPr>
          <w:p w14:paraId="56B310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7296</w:t>
            </w:r>
          </w:p>
        </w:tc>
        <w:tc>
          <w:tcPr>
            <w:tcW w:w="701" w:type="dxa"/>
            <w:tcBorders>
              <w:top w:val="single" w:sz="6" w:space="0" w:color="auto"/>
              <w:left w:val="single" w:sz="6" w:space="0" w:color="auto"/>
              <w:bottom w:val="single" w:sz="6" w:space="0" w:color="auto"/>
              <w:right w:val="single" w:sz="6" w:space="0" w:color="auto"/>
            </w:tcBorders>
          </w:tcPr>
          <w:p w14:paraId="2E9D4C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7443</w:t>
            </w:r>
          </w:p>
        </w:tc>
        <w:tc>
          <w:tcPr>
            <w:tcW w:w="730" w:type="dxa"/>
            <w:tcBorders>
              <w:top w:val="single" w:sz="6" w:space="0" w:color="auto"/>
              <w:left w:val="single" w:sz="6" w:space="0" w:color="auto"/>
              <w:bottom w:val="single" w:sz="6" w:space="0" w:color="auto"/>
              <w:right w:val="single" w:sz="6" w:space="0" w:color="auto"/>
            </w:tcBorders>
          </w:tcPr>
          <w:p w14:paraId="63816D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7465</w:t>
            </w:r>
          </w:p>
        </w:tc>
        <w:tc>
          <w:tcPr>
            <w:tcW w:w="643" w:type="dxa"/>
            <w:tcBorders>
              <w:top w:val="single" w:sz="6" w:space="0" w:color="auto"/>
              <w:left w:val="single" w:sz="6" w:space="0" w:color="auto"/>
              <w:bottom w:val="single" w:sz="6" w:space="0" w:color="auto"/>
              <w:right w:val="single" w:sz="6" w:space="0" w:color="auto"/>
            </w:tcBorders>
          </w:tcPr>
          <w:p w14:paraId="7756EA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7933</w:t>
            </w:r>
          </w:p>
        </w:tc>
        <w:tc>
          <w:tcPr>
            <w:tcW w:w="778" w:type="dxa"/>
            <w:tcBorders>
              <w:top w:val="single" w:sz="6" w:space="0" w:color="auto"/>
              <w:left w:val="single" w:sz="6" w:space="0" w:color="auto"/>
              <w:bottom w:val="single" w:sz="6" w:space="0" w:color="auto"/>
              <w:right w:val="single" w:sz="6" w:space="0" w:color="auto"/>
            </w:tcBorders>
          </w:tcPr>
          <w:p w14:paraId="5C6133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7956</w:t>
            </w:r>
          </w:p>
        </w:tc>
        <w:tc>
          <w:tcPr>
            <w:tcW w:w="509" w:type="dxa"/>
            <w:tcBorders>
              <w:top w:val="single" w:sz="6" w:space="0" w:color="auto"/>
              <w:left w:val="single" w:sz="6" w:space="0" w:color="auto"/>
              <w:bottom w:val="single" w:sz="6" w:space="0" w:color="auto"/>
              <w:right w:val="single" w:sz="6" w:space="0" w:color="auto"/>
            </w:tcBorders>
          </w:tcPr>
          <w:p w14:paraId="17F640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8033</w:t>
            </w:r>
          </w:p>
        </w:tc>
        <w:tc>
          <w:tcPr>
            <w:tcW w:w="605" w:type="dxa"/>
            <w:tcBorders>
              <w:top w:val="single" w:sz="6" w:space="0" w:color="auto"/>
              <w:left w:val="single" w:sz="6" w:space="0" w:color="auto"/>
              <w:bottom w:val="single" w:sz="6" w:space="0" w:color="auto"/>
              <w:right w:val="single" w:sz="6" w:space="0" w:color="auto"/>
            </w:tcBorders>
          </w:tcPr>
          <w:p w14:paraId="5D1D52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9139</w:t>
            </w:r>
          </w:p>
        </w:tc>
        <w:tc>
          <w:tcPr>
            <w:tcW w:w="614" w:type="dxa"/>
            <w:tcBorders>
              <w:top w:val="single" w:sz="6" w:space="0" w:color="auto"/>
              <w:left w:val="single" w:sz="6" w:space="0" w:color="auto"/>
              <w:bottom w:val="single" w:sz="6" w:space="0" w:color="auto"/>
              <w:right w:val="single" w:sz="6" w:space="0" w:color="auto"/>
            </w:tcBorders>
          </w:tcPr>
          <w:p w14:paraId="48EEC3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10035</w:t>
            </w:r>
          </w:p>
        </w:tc>
        <w:tc>
          <w:tcPr>
            <w:tcW w:w="595" w:type="dxa"/>
            <w:tcBorders>
              <w:top w:val="single" w:sz="6" w:space="0" w:color="auto"/>
              <w:left w:val="single" w:sz="6" w:space="0" w:color="auto"/>
              <w:bottom w:val="single" w:sz="6" w:space="0" w:color="auto"/>
              <w:right w:val="single" w:sz="6" w:space="0" w:color="auto"/>
            </w:tcBorders>
          </w:tcPr>
          <w:p w14:paraId="0ABEE7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11500</w:t>
            </w:r>
          </w:p>
        </w:tc>
        <w:tc>
          <w:tcPr>
            <w:tcW w:w="518" w:type="dxa"/>
            <w:tcBorders>
              <w:top w:val="single" w:sz="6" w:space="0" w:color="auto"/>
              <w:left w:val="single" w:sz="6" w:space="0" w:color="auto"/>
              <w:bottom w:val="single" w:sz="6" w:space="0" w:color="auto"/>
              <w:right w:val="single" w:sz="6" w:space="0" w:color="auto"/>
            </w:tcBorders>
          </w:tcPr>
          <w:p w14:paraId="58B1CE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9470</w:t>
            </w:r>
          </w:p>
        </w:tc>
        <w:tc>
          <w:tcPr>
            <w:tcW w:w="518" w:type="dxa"/>
            <w:tcBorders>
              <w:top w:val="single" w:sz="6" w:space="0" w:color="auto"/>
              <w:left w:val="single" w:sz="6" w:space="0" w:color="auto"/>
              <w:bottom w:val="single" w:sz="6" w:space="0" w:color="auto"/>
              <w:right w:val="single" w:sz="6" w:space="0" w:color="auto"/>
            </w:tcBorders>
          </w:tcPr>
          <w:p w14:paraId="3852F2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9290</w:t>
            </w:r>
          </w:p>
        </w:tc>
      </w:tr>
      <w:tr w:rsidR="000F5689" w:rsidRPr="00925F26" w14:paraId="2C33FF8D" w14:textId="77777777">
        <w:trPr>
          <w:trHeight w:val="806"/>
        </w:trPr>
        <w:tc>
          <w:tcPr>
            <w:tcW w:w="1584" w:type="dxa"/>
            <w:tcBorders>
              <w:top w:val="single" w:sz="6" w:space="0" w:color="auto"/>
              <w:left w:val="single" w:sz="6" w:space="0" w:color="auto"/>
              <w:bottom w:val="single" w:sz="6" w:space="0" w:color="auto"/>
              <w:right w:val="single" w:sz="6" w:space="0" w:color="auto"/>
            </w:tcBorders>
          </w:tcPr>
          <w:p w14:paraId="32459B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 км/час.</w:t>
            </w:r>
          </w:p>
        </w:tc>
        <w:tc>
          <w:tcPr>
            <w:tcW w:w="902" w:type="dxa"/>
            <w:tcBorders>
              <w:top w:val="single" w:sz="6" w:space="0" w:color="auto"/>
              <w:left w:val="single" w:sz="6" w:space="0" w:color="auto"/>
              <w:bottom w:val="single" w:sz="6" w:space="0" w:color="auto"/>
              <w:right w:val="single" w:sz="6" w:space="0" w:color="auto"/>
            </w:tcBorders>
          </w:tcPr>
          <w:p w14:paraId="336064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13F95C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604F15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330</w:t>
            </w:r>
          </w:p>
        </w:tc>
        <w:tc>
          <w:tcPr>
            <w:tcW w:w="605" w:type="dxa"/>
            <w:tcBorders>
              <w:top w:val="single" w:sz="6" w:space="0" w:color="auto"/>
              <w:left w:val="single" w:sz="6" w:space="0" w:color="auto"/>
              <w:bottom w:val="single" w:sz="6" w:space="0" w:color="auto"/>
              <w:right w:val="single" w:sz="6" w:space="0" w:color="auto"/>
            </w:tcBorders>
          </w:tcPr>
          <w:p w14:paraId="54EF47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329</w:t>
            </w:r>
          </w:p>
        </w:tc>
        <w:tc>
          <w:tcPr>
            <w:tcW w:w="509" w:type="dxa"/>
            <w:tcBorders>
              <w:top w:val="single" w:sz="6" w:space="0" w:color="auto"/>
              <w:left w:val="single" w:sz="6" w:space="0" w:color="auto"/>
              <w:bottom w:val="single" w:sz="6" w:space="0" w:color="auto"/>
              <w:right w:val="single" w:sz="6" w:space="0" w:color="auto"/>
            </w:tcBorders>
          </w:tcPr>
          <w:p w14:paraId="7A8BD2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325</w:t>
            </w:r>
          </w:p>
        </w:tc>
        <w:tc>
          <w:tcPr>
            <w:tcW w:w="768" w:type="dxa"/>
            <w:tcBorders>
              <w:top w:val="single" w:sz="6" w:space="0" w:color="auto"/>
              <w:left w:val="single" w:sz="6" w:space="0" w:color="auto"/>
              <w:bottom w:val="single" w:sz="6" w:space="0" w:color="auto"/>
              <w:right w:val="single" w:sz="6" w:space="0" w:color="auto"/>
            </w:tcBorders>
          </w:tcPr>
          <w:p w14:paraId="611100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311</w:t>
            </w:r>
          </w:p>
        </w:tc>
        <w:tc>
          <w:tcPr>
            <w:tcW w:w="499" w:type="dxa"/>
            <w:tcBorders>
              <w:top w:val="single" w:sz="6" w:space="0" w:color="auto"/>
              <w:left w:val="single" w:sz="6" w:space="0" w:color="auto"/>
              <w:bottom w:val="single" w:sz="6" w:space="0" w:color="auto"/>
              <w:right w:val="single" w:sz="6" w:space="0" w:color="auto"/>
            </w:tcBorders>
          </w:tcPr>
          <w:p w14:paraId="6449AD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320</w:t>
            </w:r>
          </w:p>
        </w:tc>
        <w:tc>
          <w:tcPr>
            <w:tcW w:w="691" w:type="dxa"/>
            <w:tcBorders>
              <w:top w:val="single" w:sz="6" w:space="0" w:color="auto"/>
              <w:left w:val="single" w:sz="6" w:space="0" w:color="auto"/>
              <w:bottom w:val="single" w:sz="6" w:space="0" w:color="auto"/>
              <w:right w:val="single" w:sz="6" w:space="0" w:color="auto"/>
            </w:tcBorders>
          </w:tcPr>
          <w:p w14:paraId="79A38C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331</w:t>
            </w:r>
          </w:p>
        </w:tc>
        <w:tc>
          <w:tcPr>
            <w:tcW w:w="509" w:type="dxa"/>
            <w:tcBorders>
              <w:top w:val="single" w:sz="6" w:space="0" w:color="auto"/>
              <w:left w:val="single" w:sz="6" w:space="0" w:color="auto"/>
              <w:bottom w:val="single" w:sz="6" w:space="0" w:color="auto"/>
              <w:right w:val="single" w:sz="6" w:space="0" w:color="auto"/>
            </w:tcBorders>
          </w:tcPr>
          <w:p w14:paraId="125EB8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292</w:t>
            </w:r>
          </w:p>
        </w:tc>
        <w:tc>
          <w:tcPr>
            <w:tcW w:w="576" w:type="dxa"/>
            <w:tcBorders>
              <w:top w:val="single" w:sz="6" w:space="0" w:color="auto"/>
              <w:left w:val="single" w:sz="6" w:space="0" w:color="auto"/>
              <w:bottom w:val="single" w:sz="6" w:space="0" w:color="auto"/>
              <w:right w:val="single" w:sz="6" w:space="0" w:color="auto"/>
            </w:tcBorders>
          </w:tcPr>
          <w:p w14:paraId="56E24A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352</w:t>
            </w:r>
          </w:p>
        </w:tc>
        <w:tc>
          <w:tcPr>
            <w:tcW w:w="701" w:type="dxa"/>
            <w:tcBorders>
              <w:top w:val="single" w:sz="6" w:space="0" w:color="auto"/>
              <w:left w:val="single" w:sz="6" w:space="0" w:color="auto"/>
              <w:bottom w:val="single" w:sz="6" w:space="0" w:color="auto"/>
              <w:right w:val="single" w:sz="6" w:space="0" w:color="auto"/>
            </w:tcBorders>
          </w:tcPr>
          <w:p w14:paraId="42503B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345</w:t>
            </w:r>
          </w:p>
        </w:tc>
        <w:tc>
          <w:tcPr>
            <w:tcW w:w="730" w:type="dxa"/>
            <w:tcBorders>
              <w:top w:val="single" w:sz="6" w:space="0" w:color="auto"/>
              <w:left w:val="single" w:sz="6" w:space="0" w:color="auto"/>
              <w:bottom w:val="single" w:sz="6" w:space="0" w:color="auto"/>
              <w:right w:val="single" w:sz="6" w:space="0" w:color="auto"/>
            </w:tcBorders>
          </w:tcPr>
          <w:p w14:paraId="1B02EB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344</w:t>
            </w:r>
          </w:p>
        </w:tc>
        <w:tc>
          <w:tcPr>
            <w:tcW w:w="643" w:type="dxa"/>
            <w:tcBorders>
              <w:top w:val="single" w:sz="6" w:space="0" w:color="auto"/>
              <w:left w:val="single" w:sz="6" w:space="0" w:color="auto"/>
              <w:bottom w:val="single" w:sz="6" w:space="0" w:color="auto"/>
              <w:right w:val="single" w:sz="6" w:space="0" w:color="auto"/>
            </w:tcBorders>
          </w:tcPr>
          <w:p w14:paraId="5A07EF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362</w:t>
            </w:r>
          </w:p>
        </w:tc>
        <w:tc>
          <w:tcPr>
            <w:tcW w:w="778" w:type="dxa"/>
            <w:tcBorders>
              <w:top w:val="single" w:sz="6" w:space="0" w:color="auto"/>
              <w:left w:val="single" w:sz="6" w:space="0" w:color="auto"/>
              <w:bottom w:val="single" w:sz="6" w:space="0" w:color="auto"/>
              <w:right w:val="single" w:sz="6" w:space="0" w:color="auto"/>
            </w:tcBorders>
          </w:tcPr>
          <w:p w14:paraId="7D7B3D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332</w:t>
            </w:r>
          </w:p>
        </w:tc>
        <w:tc>
          <w:tcPr>
            <w:tcW w:w="509" w:type="dxa"/>
            <w:tcBorders>
              <w:top w:val="single" w:sz="6" w:space="0" w:color="auto"/>
              <w:left w:val="single" w:sz="6" w:space="0" w:color="auto"/>
              <w:bottom w:val="single" w:sz="6" w:space="0" w:color="auto"/>
              <w:right w:val="single" w:sz="6" w:space="0" w:color="auto"/>
            </w:tcBorders>
          </w:tcPr>
          <w:p w14:paraId="7C003A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345</w:t>
            </w:r>
          </w:p>
        </w:tc>
        <w:tc>
          <w:tcPr>
            <w:tcW w:w="605" w:type="dxa"/>
            <w:tcBorders>
              <w:top w:val="single" w:sz="6" w:space="0" w:color="auto"/>
              <w:left w:val="single" w:sz="6" w:space="0" w:color="auto"/>
              <w:bottom w:val="single" w:sz="6" w:space="0" w:color="auto"/>
              <w:right w:val="single" w:sz="6" w:space="0" w:color="auto"/>
            </w:tcBorders>
          </w:tcPr>
          <w:p w14:paraId="2FC289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335</w:t>
            </w:r>
          </w:p>
        </w:tc>
        <w:tc>
          <w:tcPr>
            <w:tcW w:w="614" w:type="dxa"/>
            <w:tcBorders>
              <w:top w:val="single" w:sz="6" w:space="0" w:color="auto"/>
              <w:left w:val="single" w:sz="6" w:space="0" w:color="auto"/>
              <w:bottom w:val="single" w:sz="6" w:space="0" w:color="auto"/>
              <w:right w:val="single" w:sz="6" w:space="0" w:color="auto"/>
            </w:tcBorders>
          </w:tcPr>
          <w:p w14:paraId="550EF2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396CDF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379</w:t>
            </w:r>
          </w:p>
        </w:tc>
        <w:tc>
          <w:tcPr>
            <w:tcW w:w="518" w:type="dxa"/>
            <w:tcBorders>
              <w:top w:val="single" w:sz="6" w:space="0" w:color="auto"/>
              <w:left w:val="single" w:sz="6" w:space="0" w:color="auto"/>
              <w:bottom w:val="single" w:sz="6" w:space="0" w:color="auto"/>
              <w:right w:val="single" w:sz="6" w:space="0" w:color="auto"/>
            </w:tcBorders>
          </w:tcPr>
          <w:p w14:paraId="20D8F5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340</w:t>
            </w:r>
          </w:p>
        </w:tc>
        <w:tc>
          <w:tcPr>
            <w:tcW w:w="518" w:type="dxa"/>
            <w:tcBorders>
              <w:top w:val="single" w:sz="6" w:space="0" w:color="auto"/>
              <w:left w:val="single" w:sz="6" w:space="0" w:color="auto"/>
              <w:bottom w:val="single" w:sz="6" w:space="0" w:color="auto"/>
              <w:right w:val="single" w:sz="6" w:space="0" w:color="auto"/>
            </w:tcBorders>
          </w:tcPr>
          <w:p w14:paraId="3E3FAF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340</w:t>
            </w:r>
          </w:p>
        </w:tc>
      </w:tr>
      <w:tr w:rsidR="000F5689" w:rsidRPr="00925F26" w14:paraId="33EA83B8" w14:textId="77777777">
        <w:trPr>
          <w:trHeight w:val="374"/>
        </w:trPr>
        <w:tc>
          <w:tcPr>
            <w:tcW w:w="1584" w:type="dxa"/>
            <w:tcBorders>
              <w:top w:val="single" w:sz="6" w:space="0" w:color="auto"/>
              <w:left w:val="single" w:sz="6" w:space="0" w:color="auto"/>
              <w:bottom w:val="nil"/>
              <w:right w:val="single" w:sz="6" w:space="0" w:color="auto"/>
            </w:tcBorders>
          </w:tcPr>
          <w:p w14:paraId="61DF86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км/ч на высоте, м</w:t>
            </w:r>
          </w:p>
        </w:tc>
        <w:tc>
          <w:tcPr>
            <w:tcW w:w="902" w:type="dxa"/>
            <w:tcBorders>
              <w:top w:val="single" w:sz="6" w:space="0" w:color="auto"/>
              <w:left w:val="single" w:sz="6" w:space="0" w:color="auto"/>
              <w:bottom w:val="nil"/>
              <w:right w:val="single" w:sz="6" w:space="0" w:color="auto"/>
            </w:tcBorders>
          </w:tcPr>
          <w:p w14:paraId="5724E6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350</w:t>
            </w:r>
          </w:p>
        </w:tc>
        <w:tc>
          <w:tcPr>
            <w:tcW w:w="845" w:type="dxa"/>
            <w:tcBorders>
              <w:top w:val="single" w:sz="6" w:space="0" w:color="auto"/>
              <w:left w:val="single" w:sz="6" w:space="0" w:color="auto"/>
              <w:bottom w:val="nil"/>
              <w:right w:val="single" w:sz="6" w:space="0" w:color="auto"/>
            </w:tcBorders>
          </w:tcPr>
          <w:p w14:paraId="3DBEB0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375</w:t>
            </w:r>
          </w:p>
        </w:tc>
        <w:tc>
          <w:tcPr>
            <w:tcW w:w="643" w:type="dxa"/>
            <w:tcBorders>
              <w:top w:val="single" w:sz="6" w:space="0" w:color="auto"/>
              <w:left w:val="single" w:sz="6" w:space="0" w:color="auto"/>
              <w:bottom w:val="nil"/>
              <w:right w:val="single" w:sz="6" w:space="0" w:color="auto"/>
            </w:tcBorders>
          </w:tcPr>
          <w:p w14:paraId="578740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390/3250</w:t>
            </w:r>
          </w:p>
        </w:tc>
        <w:tc>
          <w:tcPr>
            <w:tcW w:w="605" w:type="dxa"/>
            <w:tcBorders>
              <w:top w:val="single" w:sz="6" w:space="0" w:color="auto"/>
              <w:left w:val="single" w:sz="6" w:space="0" w:color="auto"/>
              <w:bottom w:val="nil"/>
              <w:right w:val="single" w:sz="6" w:space="0" w:color="auto"/>
            </w:tcBorders>
          </w:tcPr>
          <w:p w14:paraId="7ACEBC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407/4800</w:t>
            </w:r>
          </w:p>
        </w:tc>
        <w:tc>
          <w:tcPr>
            <w:tcW w:w="509" w:type="dxa"/>
            <w:tcBorders>
              <w:top w:val="single" w:sz="6" w:space="0" w:color="auto"/>
              <w:left w:val="single" w:sz="6" w:space="0" w:color="auto"/>
              <w:bottom w:val="nil"/>
              <w:right w:val="single" w:sz="6" w:space="0" w:color="auto"/>
            </w:tcBorders>
          </w:tcPr>
          <w:p w14:paraId="681B24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390/4600</w:t>
            </w:r>
          </w:p>
        </w:tc>
        <w:tc>
          <w:tcPr>
            <w:tcW w:w="768" w:type="dxa"/>
            <w:tcBorders>
              <w:top w:val="single" w:sz="6" w:space="0" w:color="auto"/>
              <w:left w:val="single" w:sz="6" w:space="0" w:color="auto"/>
              <w:bottom w:val="nil"/>
              <w:right w:val="single" w:sz="6" w:space="0" w:color="auto"/>
            </w:tcBorders>
          </w:tcPr>
          <w:p w14:paraId="746186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380/4400</w:t>
            </w:r>
          </w:p>
        </w:tc>
        <w:tc>
          <w:tcPr>
            <w:tcW w:w="499" w:type="dxa"/>
            <w:tcBorders>
              <w:top w:val="single" w:sz="6" w:space="0" w:color="auto"/>
              <w:left w:val="single" w:sz="6" w:space="0" w:color="auto"/>
              <w:bottom w:val="nil"/>
              <w:right w:val="single" w:sz="6" w:space="0" w:color="auto"/>
            </w:tcBorders>
          </w:tcPr>
          <w:p w14:paraId="5C6A20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395/4000</w:t>
            </w:r>
          </w:p>
        </w:tc>
        <w:tc>
          <w:tcPr>
            <w:tcW w:w="691" w:type="dxa"/>
            <w:tcBorders>
              <w:top w:val="single" w:sz="6" w:space="0" w:color="auto"/>
              <w:left w:val="single" w:sz="6" w:space="0" w:color="auto"/>
              <w:bottom w:val="nil"/>
              <w:right w:val="single" w:sz="6" w:space="0" w:color="auto"/>
            </w:tcBorders>
          </w:tcPr>
          <w:p w14:paraId="6E64F1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395/4000</w:t>
            </w:r>
          </w:p>
        </w:tc>
        <w:tc>
          <w:tcPr>
            <w:tcW w:w="509" w:type="dxa"/>
            <w:tcBorders>
              <w:top w:val="single" w:sz="6" w:space="0" w:color="auto"/>
              <w:left w:val="single" w:sz="6" w:space="0" w:color="auto"/>
              <w:bottom w:val="nil"/>
              <w:right w:val="single" w:sz="6" w:space="0" w:color="auto"/>
            </w:tcBorders>
          </w:tcPr>
          <w:p w14:paraId="3188EE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343/3900</w:t>
            </w:r>
          </w:p>
        </w:tc>
        <w:tc>
          <w:tcPr>
            <w:tcW w:w="576" w:type="dxa"/>
            <w:tcBorders>
              <w:top w:val="single" w:sz="6" w:space="0" w:color="auto"/>
              <w:left w:val="single" w:sz="6" w:space="0" w:color="auto"/>
              <w:bottom w:val="nil"/>
              <w:right w:val="single" w:sz="6" w:space="0" w:color="auto"/>
            </w:tcBorders>
          </w:tcPr>
          <w:p w14:paraId="6D228B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417/6000</w:t>
            </w:r>
          </w:p>
        </w:tc>
        <w:tc>
          <w:tcPr>
            <w:tcW w:w="701" w:type="dxa"/>
            <w:tcBorders>
              <w:top w:val="single" w:sz="6" w:space="0" w:color="auto"/>
              <w:left w:val="single" w:sz="6" w:space="0" w:color="auto"/>
              <w:bottom w:val="nil"/>
              <w:right w:val="single" w:sz="6" w:space="0" w:color="auto"/>
            </w:tcBorders>
          </w:tcPr>
          <w:p w14:paraId="615FA7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428/4000</w:t>
            </w:r>
          </w:p>
        </w:tc>
        <w:tc>
          <w:tcPr>
            <w:tcW w:w="730" w:type="dxa"/>
            <w:tcBorders>
              <w:top w:val="single" w:sz="6" w:space="0" w:color="auto"/>
              <w:left w:val="single" w:sz="6" w:space="0" w:color="auto"/>
              <w:bottom w:val="nil"/>
              <w:right w:val="single" w:sz="6" w:space="0" w:color="auto"/>
            </w:tcBorders>
          </w:tcPr>
          <w:p w14:paraId="2DA877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427/6000</w:t>
            </w:r>
          </w:p>
        </w:tc>
        <w:tc>
          <w:tcPr>
            <w:tcW w:w="643" w:type="dxa"/>
            <w:tcBorders>
              <w:top w:val="single" w:sz="6" w:space="0" w:color="auto"/>
              <w:left w:val="single" w:sz="6" w:space="0" w:color="auto"/>
              <w:bottom w:val="nil"/>
              <w:right w:val="single" w:sz="6" w:space="0" w:color="auto"/>
            </w:tcBorders>
          </w:tcPr>
          <w:p w14:paraId="32FB03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425/6200</w:t>
            </w:r>
          </w:p>
        </w:tc>
        <w:tc>
          <w:tcPr>
            <w:tcW w:w="778" w:type="dxa"/>
            <w:tcBorders>
              <w:top w:val="single" w:sz="6" w:space="0" w:color="auto"/>
              <w:left w:val="single" w:sz="6" w:space="0" w:color="auto"/>
              <w:bottom w:val="nil"/>
              <w:right w:val="single" w:sz="6" w:space="0" w:color="auto"/>
            </w:tcBorders>
          </w:tcPr>
          <w:p w14:paraId="62C2B4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405/4900</w:t>
            </w:r>
          </w:p>
        </w:tc>
        <w:tc>
          <w:tcPr>
            <w:tcW w:w="509" w:type="dxa"/>
            <w:tcBorders>
              <w:top w:val="single" w:sz="6" w:space="0" w:color="auto"/>
              <w:left w:val="single" w:sz="6" w:space="0" w:color="auto"/>
              <w:bottom w:val="nil"/>
              <w:right w:val="single" w:sz="6" w:space="0" w:color="auto"/>
            </w:tcBorders>
          </w:tcPr>
          <w:p w14:paraId="6285DD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428/6400</w:t>
            </w:r>
          </w:p>
        </w:tc>
        <w:tc>
          <w:tcPr>
            <w:tcW w:w="605" w:type="dxa"/>
            <w:tcBorders>
              <w:top w:val="single" w:sz="6" w:space="0" w:color="auto"/>
              <w:left w:val="single" w:sz="6" w:space="0" w:color="auto"/>
              <w:bottom w:val="nil"/>
              <w:right w:val="single" w:sz="6" w:space="0" w:color="auto"/>
            </w:tcBorders>
          </w:tcPr>
          <w:p w14:paraId="448CDE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406/6250</w:t>
            </w:r>
          </w:p>
        </w:tc>
        <w:tc>
          <w:tcPr>
            <w:tcW w:w="614" w:type="dxa"/>
            <w:tcBorders>
              <w:top w:val="single" w:sz="6" w:space="0" w:color="auto"/>
              <w:left w:val="single" w:sz="6" w:space="0" w:color="auto"/>
              <w:bottom w:val="nil"/>
              <w:right w:val="single" w:sz="6" w:space="0" w:color="auto"/>
            </w:tcBorders>
          </w:tcPr>
          <w:p w14:paraId="6B2F02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412/5400</w:t>
            </w:r>
          </w:p>
        </w:tc>
        <w:tc>
          <w:tcPr>
            <w:tcW w:w="595" w:type="dxa"/>
            <w:tcBorders>
              <w:top w:val="single" w:sz="6" w:space="0" w:color="auto"/>
              <w:left w:val="single" w:sz="6" w:space="0" w:color="auto"/>
              <w:bottom w:val="nil"/>
              <w:right w:val="single" w:sz="6" w:space="0" w:color="auto"/>
            </w:tcBorders>
          </w:tcPr>
          <w:p w14:paraId="0592B0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437/5300</w:t>
            </w:r>
          </w:p>
        </w:tc>
        <w:tc>
          <w:tcPr>
            <w:tcW w:w="518" w:type="dxa"/>
            <w:tcBorders>
              <w:top w:val="single" w:sz="6" w:space="0" w:color="auto"/>
              <w:left w:val="single" w:sz="6" w:space="0" w:color="auto"/>
              <w:bottom w:val="nil"/>
              <w:right w:val="single" w:sz="6" w:space="0" w:color="auto"/>
            </w:tcBorders>
          </w:tcPr>
          <w:p w14:paraId="678BE8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463/6000</w:t>
            </w:r>
          </w:p>
        </w:tc>
        <w:tc>
          <w:tcPr>
            <w:tcW w:w="518" w:type="dxa"/>
            <w:tcBorders>
              <w:top w:val="single" w:sz="6" w:space="0" w:color="auto"/>
              <w:left w:val="single" w:sz="6" w:space="0" w:color="auto"/>
              <w:bottom w:val="single" w:sz="6" w:space="0" w:color="auto"/>
              <w:right w:val="single" w:sz="6" w:space="0" w:color="auto"/>
            </w:tcBorders>
          </w:tcPr>
          <w:p w14:paraId="7D6F5A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406/6400</w:t>
            </w:r>
          </w:p>
        </w:tc>
      </w:tr>
      <w:tr w:rsidR="000F5689" w:rsidRPr="00925F26" w14:paraId="1B3FD6CA" w14:textId="77777777">
        <w:trPr>
          <w:trHeight w:val="557"/>
        </w:trPr>
        <w:tc>
          <w:tcPr>
            <w:tcW w:w="1584" w:type="dxa"/>
            <w:tcBorders>
              <w:top w:val="single" w:sz="6" w:space="0" w:color="auto"/>
              <w:left w:val="single" w:sz="6" w:space="0" w:color="auto"/>
              <w:bottom w:val="single" w:sz="6" w:space="0" w:color="auto"/>
              <w:right w:val="single" w:sz="6" w:space="0" w:color="auto"/>
            </w:tcBorders>
          </w:tcPr>
          <w:p w14:paraId="46CBEC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902" w:type="dxa"/>
            <w:tcBorders>
              <w:top w:val="single" w:sz="6" w:space="0" w:color="auto"/>
              <w:left w:val="single" w:sz="6" w:space="0" w:color="auto"/>
              <w:bottom w:val="single" w:sz="6" w:space="0" w:color="auto"/>
              <w:right w:val="single" w:sz="6" w:space="0" w:color="auto"/>
            </w:tcBorders>
          </w:tcPr>
          <w:p w14:paraId="184C49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8000</w:t>
            </w:r>
          </w:p>
        </w:tc>
        <w:tc>
          <w:tcPr>
            <w:tcW w:w="845" w:type="dxa"/>
            <w:tcBorders>
              <w:top w:val="single" w:sz="6" w:space="0" w:color="auto"/>
              <w:left w:val="single" w:sz="6" w:space="0" w:color="auto"/>
              <w:bottom w:val="single" w:sz="6" w:space="0" w:color="auto"/>
              <w:right w:val="single" w:sz="6" w:space="0" w:color="auto"/>
            </w:tcBorders>
          </w:tcPr>
          <w:p w14:paraId="41AEE5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6500</w:t>
            </w:r>
          </w:p>
        </w:tc>
        <w:tc>
          <w:tcPr>
            <w:tcW w:w="643" w:type="dxa"/>
            <w:tcBorders>
              <w:top w:val="single" w:sz="6" w:space="0" w:color="auto"/>
              <w:left w:val="single" w:sz="6" w:space="0" w:color="auto"/>
              <w:bottom w:val="single" w:sz="6" w:space="0" w:color="auto"/>
              <w:right w:val="single" w:sz="6" w:space="0" w:color="auto"/>
            </w:tcBorders>
          </w:tcPr>
          <w:p w14:paraId="6DA7C8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58BEF9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8920</w:t>
            </w:r>
          </w:p>
        </w:tc>
        <w:tc>
          <w:tcPr>
            <w:tcW w:w="509" w:type="dxa"/>
            <w:tcBorders>
              <w:top w:val="single" w:sz="6" w:space="0" w:color="auto"/>
              <w:left w:val="single" w:sz="6" w:space="0" w:color="auto"/>
              <w:bottom w:val="single" w:sz="6" w:space="0" w:color="auto"/>
              <w:right w:val="single" w:sz="6" w:space="0" w:color="auto"/>
            </w:tcBorders>
          </w:tcPr>
          <w:p w14:paraId="31726E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8400</w:t>
            </w:r>
          </w:p>
        </w:tc>
        <w:tc>
          <w:tcPr>
            <w:tcW w:w="768" w:type="dxa"/>
            <w:tcBorders>
              <w:top w:val="single" w:sz="6" w:space="0" w:color="auto"/>
              <w:left w:val="single" w:sz="6" w:space="0" w:color="auto"/>
              <w:bottom w:val="single" w:sz="6" w:space="0" w:color="auto"/>
              <w:right w:val="single" w:sz="6" w:space="0" w:color="auto"/>
            </w:tcBorders>
          </w:tcPr>
          <w:p w14:paraId="0E0745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8400</w:t>
            </w:r>
          </w:p>
        </w:tc>
        <w:tc>
          <w:tcPr>
            <w:tcW w:w="499" w:type="dxa"/>
            <w:tcBorders>
              <w:top w:val="single" w:sz="6" w:space="0" w:color="auto"/>
              <w:left w:val="single" w:sz="6" w:space="0" w:color="auto"/>
              <w:bottom w:val="single" w:sz="6" w:space="0" w:color="auto"/>
              <w:right w:val="single" w:sz="6" w:space="0" w:color="auto"/>
            </w:tcBorders>
          </w:tcPr>
          <w:p w14:paraId="47F88D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8800</w:t>
            </w:r>
          </w:p>
        </w:tc>
        <w:tc>
          <w:tcPr>
            <w:tcW w:w="691" w:type="dxa"/>
            <w:tcBorders>
              <w:top w:val="single" w:sz="6" w:space="0" w:color="auto"/>
              <w:left w:val="single" w:sz="6" w:space="0" w:color="auto"/>
              <w:bottom w:val="single" w:sz="6" w:space="0" w:color="auto"/>
              <w:right w:val="single" w:sz="6" w:space="0" w:color="auto"/>
            </w:tcBorders>
          </w:tcPr>
          <w:p w14:paraId="25472B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8300</w:t>
            </w:r>
          </w:p>
        </w:tc>
        <w:tc>
          <w:tcPr>
            <w:tcW w:w="509" w:type="dxa"/>
            <w:tcBorders>
              <w:top w:val="single" w:sz="6" w:space="0" w:color="auto"/>
              <w:left w:val="single" w:sz="6" w:space="0" w:color="auto"/>
              <w:bottom w:val="single" w:sz="6" w:space="0" w:color="auto"/>
              <w:right w:val="single" w:sz="6" w:space="0" w:color="auto"/>
            </w:tcBorders>
          </w:tcPr>
          <w:p w14:paraId="364F0F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7570</w:t>
            </w:r>
          </w:p>
        </w:tc>
        <w:tc>
          <w:tcPr>
            <w:tcW w:w="576" w:type="dxa"/>
            <w:tcBorders>
              <w:top w:val="single" w:sz="6" w:space="0" w:color="auto"/>
              <w:left w:val="single" w:sz="6" w:space="0" w:color="auto"/>
              <w:bottom w:val="single" w:sz="6" w:space="0" w:color="auto"/>
              <w:right w:val="single" w:sz="6" w:space="0" w:color="auto"/>
            </w:tcBorders>
          </w:tcPr>
          <w:p w14:paraId="12247B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9300</w:t>
            </w:r>
          </w:p>
        </w:tc>
        <w:tc>
          <w:tcPr>
            <w:tcW w:w="701" w:type="dxa"/>
            <w:tcBorders>
              <w:top w:val="single" w:sz="6" w:space="0" w:color="auto"/>
              <w:left w:val="single" w:sz="6" w:space="0" w:color="auto"/>
              <w:bottom w:val="single" w:sz="6" w:space="0" w:color="auto"/>
              <w:right w:val="single" w:sz="6" w:space="0" w:color="auto"/>
            </w:tcBorders>
          </w:tcPr>
          <w:p w14:paraId="1CA898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9600</w:t>
            </w:r>
          </w:p>
        </w:tc>
        <w:tc>
          <w:tcPr>
            <w:tcW w:w="730" w:type="dxa"/>
            <w:tcBorders>
              <w:top w:val="single" w:sz="6" w:space="0" w:color="auto"/>
              <w:left w:val="single" w:sz="6" w:space="0" w:color="auto"/>
              <w:bottom w:val="single" w:sz="6" w:space="0" w:color="auto"/>
              <w:right w:val="single" w:sz="6" w:space="0" w:color="auto"/>
            </w:tcBorders>
          </w:tcPr>
          <w:p w14:paraId="0AE970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9300</w:t>
            </w:r>
          </w:p>
        </w:tc>
        <w:tc>
          <w:tcPr>
            <w:tcW w:w="643" w:type="dxa"/>
            <w:tcBorders>
              <w:top w:val="single" w:sz="6" w:space="0" w:color="auto"/>
              <w:left w:val="single" w:sz="6" w:space="0" w:color="auto"/>
              <w:bottom w:val="single" w:sz="6" w:space="0" w:color="auto"/>
              <w:right w:val="single" w:sz="6" w:space="0" w:color="auto"/>
            </w:tcBorders>
          </w:tcPr>
          <w:p w14:paraId="389303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10050</w:t>
            </w:r>
          </w:p>
        </w:tc>
        <w:tc>
          <w:tcPr>
            <w:tcW w:w="778" w:type="dxa"/>
            <w:tcBorders>
              <w:top w:val="single" w:sz="6" w:space="0" w:color="auto"/>
              <w:left w:val="single" w:sz="6" w:space="0" w:color="auto"/>
              <w:bottom w:val="single" w:sz="6" w:space="0" w:color="auto"/>
              <w:right w:val="single" w:sz="6" w:space="0" w:color="auto"/>
            </w:tcBorders>
          </w:tcPr>
          <w:p w14:paraId="7AE891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9000</w:t>
            </w:r>
          </w:p>
        </w:tc>
        <w:tc>
          <w:tcPr>
            <w:tcW w:w="509" w:type="dxa"/>
            <w:tcBorders>
              <w:top w:val="single" w:sz="6" w:space="0" w:color="auto"/>
              <w:left w:val="single" w:sz="6" w:space="0" w:color="auto"/>
              <w:bottom w:val="single" w:sz="6" w:space="0" w:color="auto"/>
              <w:right w:val="single" w:sz="6" w:space="0" w:color="auto"/>
            </w:tcBorders>
          </w:tcPr>
          <w:p w14:paraId="47120B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8900</w:t>
            </w:r>
          </w:p>
        </w:tc>
        <w:tc>
          <w:tcPr>
            <w:tcW w:w="605" w:type="dxa"/>
            <w:tcBorders>
              <w:top w:val="single" w:sz="6" w:space="0" w:color="auto"/>
              <w:left w:val="single" w:sz="6" w:space="0" w:color="auto"/>
              <w:bottom w:val="single" w:sz="6" w:space="0" w:color="auto"/>
              <w:right w:val="single" w:sz="6" w:space="0" w:color="auto"/>
            </w:tcBorders>
          </w:tcPr>
          <w:p w14:paraId="1A4B1F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9400</w:t>
            </w:r>
          </w:p>
        </w:tc>
        <w:tc>
          <w:tcPr>
            <w:tcW w:w="614" w:type="dxa"/>
            <w:tcBorders>
              <w:top w:val="single" w:sz="6" w:space="0" w:color="auto"/>
              <w:left w:val="single" w:sz="6" w:space="0" w:color="auto"/>
              <w:bottom w:val="single" w:sz="6" w:space="0" w:color="auto"/>
              <w:right w:val="single" w:sz="6" w:space="0" w:color="auto"/>
            </w:tcBorders>
          </w:tcPr>
          <w:p w14:paraId="4F001E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8300</w:t>
            </w:r>
          </w:p>
        </w:tc>
        <w:tc>
          <w:tcPr>
            <w:tcW w:w="595" w:type="dxa"/>
            <w:tcBorders>
              <w:top w:val="single" w:sz="6" w:space="0" w:color="auto"/>
              <w:left w:val="single" w:sz="6" w:space="0" w:color="auto"/>
              <w:bottom w:val="single" w:sz="6" w:space="0" w:color="auto"/>
              <w:right w:val="single" w:sz="6" w:space="0" w:color="auto"/>
            </w:tcBorders>
          </w:tcPr>
          <w:p w14:paraId="528D2F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0D72F1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8700</w:t>
            </w:r>
          </w:p>
        </w:tc>
        <w:tc>
          <w:tcPr>
            <w:tcW w:w="518" w:type="dxa"/>
            <w:tcBorders>
              <w:top w:val="single" w:sz="6" w:space="0" w:color="auto"/>
              <w:left w:val="single" w:sz="6" w:space="0" w:color="auto"/>
              <w:bottom w:val="single" w:sz="6" w:space="0" w:color="auto"/>
              <w:right w:val="single" w:sz="6" w:space="0" w:color="auto"/>
            </w:tcBorders>
          </w:tcPr>
          <w:p w14:paraId="0DA8AE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8750</w:t>
            </w:r>
          </w:p>
        </w:tc>
      </w:tr>
      <w:tr w:rsidR="000F5689" w:rsidRPr="00925F26" w14:paraId="645E7CBB" w14:textId="77777777">
        <w:trPr>
          <w:trHeight w:val="778"/>
        </w:trPr>
        <w:tc>
          <w:tcPr>
            <w:tcW w:w="1584" w:type="dxa"/>
            <w:tcBorders>
              <w:top w:val="single" w:sz="6" w:space="0" w:color="auto"/>
              <w:left w:val="single" w:sz="6" w:space="0" w:color="auto"/>
              <w:bottom w:val="single" w:sz="6" w:space="0" w:color="auto"/>
              <w:right w:val="single" w:sz="6" w:space="0" w:color="auto"/>
            </w:tcBorders>
          </w:tcPr>
          <w:p w14:paraId="7B1FD2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Время набора высоты 1000 м, мин</w:t>
            </w:r>
          </w:p>
        </w:tc>
        <w:tc>
          <w:tcPr>
            <w:tcW w:w="902" w:type="dxa"/>
            <w:tcBorders>
              <w:top w:val="single" w:sz="6" w:space="0" w:color="auto"/>
              <w:left w:val="single" w:sz="6" w:space="0" w:color="auto"/>
              <w:bottom w:val="single" w:sz="6" w:space="0" w:color="auto"/>
              <w:right w:val="single" w:sz="6" w:space="0" w:color="auto"/>
            </w:tcBorders>
          </w:tcPr>
          <w:p w14:paraId="0EE437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64316B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56E5F9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4F90E5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tc>
        <w:tc>
          <w:tcPr>
            <w:tcW w:w="509" w:type="dxa"/>
            <w:tcBorders>
              <w:top w:val="single" w:sz="6" w:space="0" w:color="auto"/>
              <w:left w:val="single" w:sz="6" w:space="0" w:color="auto"/>
              <w:bottom w:val="single" w:sz="6" w:space="0" w:color="auto"/>
              <w:right w:val="single" w:sz="6" w:space="0" w:color="auto"/>
            </w:tcBorders>
          </w:tcPr>
          <w:p w14:paraId="04BBA8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w:t>
            </w:r>
          </w:p>
        </w:tc>
        <w:tc>
          <w:tcPr>
            <w:tcW w:w="768" w:type="dxa"/>
            <w:tcBorders>
              <w:top w:val="single" w:sz="6" w:space="0" w:color="auto"/>
              <w:left w:val="single" w:sz="6" w:space="0" w:color="auto"/>
              <w:bottom w:val="single" w:sz="6" w:space="0" w:color="auto"/>
              <w:right w:val="single" w:sz="6" w:space="0" w:color="auto"/>
            </w:tcBorders>
          </w:tcPr>
          <w:p w14:paraId="2E338B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tc>
        <w:tc>
          <w:tcPr>
            <w:tcW w:w="499" w:type="dxa"/>
            <w:tcBorders>
              <w:top w:val="single" w:sz="6" w:space="0" w:color="auto"/>
              <w:left w:val="single" w:sz="6" w:space="0" w:color="auto"/>
              <w:bottom w:val="single" w:sz="6" w:space="0" w:color="auto"/>
              <w:right w:val="single" w:sz="6" w:space="0" w:color="auto"/>
            </w:tcBorders>
          </w:tcPr>
          <w:p w14:paraId="0A8BDE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tc>
        <w:tc>
          <w:tcPr>
            <w:tcW w:w="691" w:type="dxa"/>
            <w:tcBorders>
              <w:top w:val="single" w:sz="6" w:space="0" w:color="auto"/>
              <w:left w:val="single" w:sz="6" w:space="0" w:color="auto"/>
              <w:bottom w:val="single" w:sz="6" w:space="0" w:color="auto"/>
              <w:right w:val="single" w:sz="6" w:space="0" w:color="auto"/>
            </w:tcBorders>
          </w:tcPr>
          <w:p w14:paraId="32E9D1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w:t>
            </w:r>
          </w:p>
        </w:tc>
        <w:tc>
          <w:tcPr>
            <w:tcW w:w="509" w:type="dxa"/>
            <w:tcBorders>
              <w:top w:val="single" w:sz="6" w:space="0" w:color="auto"/>
              <w:left w:val="single" w:sz="6" w:space="0" w:color="auto"/>
              <w:bottom w:val="single" w:sz="6" w:space="0" w:color="auto"/>
              <w:right w:val="single" w:sz="6" w:space="0" w:color="auto"/>
            </w:tcBorders>
          </w:tcPr>
          <w:p w14:paraId="4F25B8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tc>
        <w:tc>
          <w:tcPr>
            <w:tcW w:w="576" w:type="dxa"/>
            <w:tcBorders>
              <w:top w:val="single" w:sz="6" w:space="0" w:color="auto"/>
              <w:left w:val="single" w:sz="6" w:space="0" w:color="auto"/>
              <w:bottom w:val="single" w:sz="6" w:space="0" w:color="auto"/>
              <w:right w:val="single" w:sz="6" w:space="0" w:color="auto"/>
            </w:tcBorders>
          </w:tcPr>
          <w:p w14:paraId="752F40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2,08</w:t>
            </w:r>
          </w:p>
        </w:tc>
        <w:tc>
          <w:tcPr>
            <w:tcW w:w="701" w:type="dxa"/>
            <w:tcBorders>
              <w:top w:val="single" w:sz="6" w:space="0" w:color="auto"/>
              <w:left w:val="single" w:sz="6" w:space="0" w:color="auto"/>
              <w:bottom w:val="single" w:sz="6" w:space="0" w:color="auto"/>
              <w:right w:val="single" w:sz="6" w:space="0" w:color="auto"/>
            </w:tcBorders>
          </w:tcPr>
          <w:p w14:paraId="30DB98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w:t>
            </w:r>
          </w:p>
        </w:tc>
        <w:tc>
          <w:tcPr>
            <w:tcW w:w="730" w:type="dxa"/>
            <w:tcBorders>
              <w:top w:val="single" w:sz="6" w:space="0" w:color="auto"/>
              <w:left w:val="single" w:sz="6" w:space="0" w:color="auto"/>
              <w:bottom w:val="single" w:sz="6" w:space="0" w:color="auto"/>
              <w:right w:val="single" w:sz="6" w:space="0" w:color="auto"/>
            </w:tcBorders>
          </w:tcPr>
          <w:p w14:paraId="7367C2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w:t>
            </w:r>
          </w:p>
        </w:tc>
        <w:tc>
          <w:tcPr>
            <w:tcW w:w="643" w:type="dxa"/>
            <w:tcBorders>
              <w:top w:val="single" w:sz="6" w:space="0" w:color="auto"/>
              <w:left w:val="single" w:sz="6" w:space="0" w:color="auto"/>
              <w:bottom w:val="single" w:sz="6" w:space="0" w:color="auto"/>
              <w:right w:val="single" w:sz="6" w:space="0" w:color="auto"/>
            </w:tcBorders>
          </w:tcPr>
          <w:p w14:paraId="6E919E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38CBA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28D23C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247877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14" w:type="dxa"/>
            <w:tcBorders>
              <w:top w:val="single" w:sz="6" w:space="0" w:color="auto"/>
              <w:left w:val="single" w:sz="6" w:space="0" w:color="auto"/>
              <w:bottom w:val="single" w:sz="6" w:space="0" w:color="auto"/>
              <w:right w:val="single" w:sz="6" w:space="0" w:color="auto"/>
            </w:tcBorders>
          </w:tcPr>
          <w:p w14:paraId="3C8148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6C81F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06708E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271179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5D15D5A0" w14:textId="77777777">
        <w:trPr>
          <w:trHeight w:val="768"/>
        </w:trPr>
        <w:tc>
          <w:tcPr>
            <w:tcW w:w="1584" w:type="dxa"/>
            <w:tcBorders>
              <w:top w:val="single" w:sz="6" w:space="0" w:color="auto"/>
              <w:left w:val="single" w:sz="6" w:space="0" w:color="auto"/>
              <w:bottom w:val="single" w:sz="6" w:space="0" w:color="auto"/>
              <w:right w:val="single" w:sz="6" w:space="0" w:color="auto"/>
            </w:tcBorders>
          </w:tcPr>
          <w:p w14:paraId="17E3FF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5000м, мин</w:t>
            </w:r>
          </w:p>
        </w:tc>
        <w:tc>
          <w:tcPr>
            <w:tcW w:w="902" w:type="dxa"/>
            <w:tcBorders>
              <w:top w:val="single" w:sz="6" w:space="0" w:color="auto"/>
              <w:left w:val="single" w:sz="6" w:space="0" w:color="auto"/>
              <w:bottom w:val="single" w:sz="6" w:space="0" w:color="auto"/>
              <w:right w:val="single" w:sz="6" w:space="0" w:color="auto"/>
            </w:tcBorders>
          </w:tcPr>
          <w:p w14:paraId="20DE19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03911D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7135CD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15,1</w:t>
            </w:r>
          </w:p>
        </w:tc>
        <w:tc>
          <w:tcPr>
            <w:tcW w:w="605" w:type="dxa"/>
            <w:tcBorders>
              <w:top w:val="single" w:sz="6" w:space="0" w:color="auto"/>
              <w:left w:val="single" w:sz="6" w:space="0" w:color="auto"/>
              <w:bottom w:val="single" w:sz="6" w:space="0" w:color="auto"/>
              <w:right w:val="single" w:sz="6" w:space="0" w:color="auto"/>
            </w:tcBorders>
          </w:tcPr>
          <w:p w14:paraId="3806C3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768AF1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15,1</w:t>
            </w:r>
          </w:p>
        </w:tc>
        <w:tc>
          <w:tcPr>
            <w:tcW w:w="768" w:type="dxa"/>
            <w:tcBorders>
              <w:top w:val="single" w:sz="6" w:space="0" w:color="auto"/>
              <w:left w:val="single" w:sz="6" w:space="0" w:color="auto"/>
              <w:bottom w:val="single" w:sz="6" w:space="0" w:color="auto"/>
              <w:right w:val="single" w:sz="6" w:space="0" w:color="auto"/>
            </w:tcBorders>
          </w:tcPr>
          <w:p w14:paraId="4B51D8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499" w:type="dxa"/>
            <w:tcBorders>
              <w:top w:val="single" w:sz="6" w:space="0" w:color="auto"/>
              <w:left w:val="single" w:sz="6" w:space="0" w:color="auto"/>
              <w:bottom w:val="single" w:sz="6" w:space="0" w:color="auto"/>
              <w:right w:val="single" w:sz="6" w:space="0" w:color="auto"/>
            </w:tcBorders>
          </w:tcPr>
          <w:p w14:paraId="1DDD53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13,0</w:t>
            </w:r>
          </w:p>
        </w:tc>
        <w:tc>
          <w:tcPr>
            <w:tcW w:w="691" w:type="dxa"/>
            <w:tcBorders>
              <w:top w:val="single" w:sz="6" w:space="0" w:color="auto"/>
              <w:left w:val="single" w:sz="6" w:space="0" w:color="auto"/>
              <w:bottom w:val="single" w:sz="6" w:space="0" w:color="auto"/>
              <w:right w:val="single" w:sz="6" w:space="0" w:color="auto"/>
            </w:tcBorders>
          </w:tcPr>
          <w:p w14:paraId="4ECA53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12,85</w:t>
            </w:r>
          </w:p>
        </w:tc>
        <w:tc>
          <w:tcPr>
            <w:tcW w:w="509" w:type="dxa"/>
            <w:tcBorders>
              <w:top w:val="single" w:sz="6" w:space="0" w:color="auto"/>
              <w:left w:val="single" w:sz="6" w:space="0" w:color="auto"/>
              <w:bottom w:val="single" w:sz="6" w:space="0" w:color="auto"/>
              <w:right w:val="single" w:sz="6" w:space="0" w:color="auto"/>
            </w:tcBorders>
          </w:tcPr>
          <w:p w14:paraId="42EAB4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76" w:type="dxa"/>
            <w:tcBorders>
              <w:top w:val="single" w:sz="6" w:space="0" w:color="auto"/>
              <w:left w:val="single" w:sz="6" w:space="0" w:color="auto"/>
              <w:bottom w:val="single" w:sz="6" w:space="0" w:color="auto"/>
              <w:right w:val="single" w:sz="6" w:space="0" w:color="auto"/>
            </w:tcBorders>
          </w:tcPr>
          <w:p w14:paraId="410918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w:t>
            </w:r>
          </w:p>
        </w:tc>
        <w:tc>
          <w:tcPr>
            <w:tcW w:w="701" w:type="dxa"/>
            <w:tcBorders>
              <w:top w:val="single" w:sz="6" w:space="0" w:color="auto"/>
              <w:left w:val="single" w:sz="6" w:space="0" w:color="auto"/>
              <w:bottom w:val="single" w:sz="6" w:space="0" w:color="auto"/>
              <w:right w:val="single" w:sz="6" w:space="0" w:color="auto"/>
            </w:tcBorders>
          </w:tcPr>
          <w:p w14:paraId="14EE9A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12,1</w:t>
            </w:r>
          </w:p>
        </w:tc>
        <w:tc>
          <w:tcPr>
            <w:tcW w:w="730" w:type="dxa"/>
            <w:tcBorders>
              <w:top w:val="single" w:sz="6" w:space="0" w:color="auto"/>
              <w:left w:val="single" w:sz="6" w:space="0" w:color="auto"/>
              <w:bottom w:val="single" w:sz="6" w:space="0" w:color="auto"/>
              <w:right w:val="single" w:sz="6" w:space="0" w:color="auto"/>
            </w:tcBorders>
          </w:tcPr>
          <w:p w14:paraId="2098C1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10,6</w:t>
            </w:r>
          </w:p>
        </w:tc>
        <w:tc>
          <w:tcPr>
            <w:tcW w:w="643" w:type="dxa"/>
            <w:tcBorders>
              <w:top w:val="single" w:sz="6" w:space="0" w:color="auto"/>
              <w:left w:val="single" w:sz="6" w:space="0" w:color="auto"/>
              <w:bottom w:val="single" w:sz="6" w:space="0" w:color="auto"/>
              <w:right w:val="single" w:sz="6" w:space="0" w:color="auto"/>
            </w:tcBorders>
          </w:tcPr>
          <w:p w14:paraId="1F3807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10,25</w:t>
            </w:r>
          </w:p>
        </w:tc>
        <w:tc>
          <w:tcPr>
            <w:tcW w:w="778" w:type="dxa"/>
            <w:tcBorders>
              <w:top w:val="single" w:sz="6" w:space="0" w:color="auto"/>
              <w:left w:val="single" w:sz="6" w:space="0" w:color="auto"/>
              <w:bottom w:val="single" w:sz="6" w:space="0" w:color="auto"/>
              <w:right w:val="single" w:sz="6" w:space="0" w:color="auto"/>
            </w:tcBorders>
          </w:tcPr>
          <w:p w14:paraId="4382F6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12,8</w:t>
            </w:r>
          </w:p>
        </w:tc>
        <w:tc>
          <w:tcPr>
            <w:tcW w:w="509" w:type="dxa"/>
            <w:tcBorders>
              <w:top w:val="single" w:sz="6" w:space="0" w:color="auto"/>
              <w:left w:val="single" w:sz="6" w:space="0" w:color="auto"/>
              <w:bottom w:val="single" w:sz="6" w:space="0" w:color="auto"/>
              <w:right w:val="single" w:sz="6" w:space="0" w:color="auto"/>
            </w:tcBorders>
          </w:tcPr>
          <w:p w14:paraId="12286B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33B144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13,0</w:t>
            </w:r>
          </w:p>
        </w:tc>
        <w:tc>
          <w:tcPr>
            <w:tcW w:w="614" w:type="dxa"/>
            <w:tcBorders>
              <w:top w:val="single" w:sz="6" w:space="0" w:color="auto"/>
              <w:left w:val="single" w:sz="6" w:space="0" w:color="auto"/>
              <w:bottom w:val="single" w:sz="6" w:space="0" w:color="auto"/>
              <w:right w:val="single" w:sz="6" w:space="0" w:color="auto"/>
            </w:tcBorders>
          </w:tcPr>
          <w:p w14:paraId="329146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0A38E9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446AE3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17,5</w:t>
            </w:r>
          </w:p>
        </w:tc>
        <w:tc>
          <w:tcPr>
            <w:tcW w:w="518" w:type="dxa"/>
            <w:tcBorders>
              <w:top w:val="single" w:sz="6" w:space="0" w:color="auto"/>
              <w:left w:val="single" w:sz="6" w:space="0" w:color="auto"/>
              <w:bottom w:val="single" w:sz="6" w:space="0" w:color="auto"/>
              <w:right w:val="single" w:sz="6" w:space="0" w:color="auto"/>
            </w:tcBorders>
          </w:tcPr>
          <w:p w14:paraId="53A78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16,1</w:t>
            </w:r>
          </w:p>
        </w:tc>
      </w:tr>
      <w:tr w:rsidR="000F5689" w:rsidRPr="00925F26" w14:paraId="505DBF4F" w14:textId="77777777">
        <w:trPr>
          <w:trHeight w:val="547"/>
        </w:trPr>
        <w:tc>
          <w:tcPr>
            <w:tcW w:w="1584" w:type="dxa"/>
            <w:tcBorders>
              <w:top w:val="single" w:sz="6" w:space="0" w:color="auto"/>
              <w:left w:val="single" w:sz="6" w:space="0" w:color="auto"/>
              <w:bottom w:val="single" w:sz="6" w:space="0" w:color="auto"/>
              <w:right w:val="single" w:sz="6" w:space="0" w:color="auto"/>
            </w:tcBorders>
          </w:tcPr>
          <w:p w14:paraId="29B14F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Дальность, км</w:t>
            </w:r>
          </w:p>
        </w:tc>
        <w:tc>
          <w:tcPr>
            <w:tcW w:w="902" w:type="dxa"/>
            <w:tcBorders>
              <w:top w:val="single" w:sz="6" w:space="0" w:color="auto"/>
              <w:left w:val="single" w:sz="6" w:space="0" w:color="auto"/>
              <w:bottom w:val="single" w:sz="6" w:space="0" w:color="auto"/>
              <w:right w:val="single" w:sz="6" w:space="0" w:color="auto"/>
            </w:tcBorders>
          </w:tcPr>
          <w:p w14:paraId="1234EC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1500</w:t>
            </w:r>
          </w:p>
        </w:tc>
        <w:tc>
          <w:tcPr>
            <w:tcW w:w="845" w:type="dxa"/>
            <w:tcBorders>
              <w:top w:val="single" w:sz="6" w:space="0" w:color="auto"/>
              <w:left w:val="single" w:sz="6" w:space="0" w:color="auto"/>
              <w:bottom w:val="single" w:sz="6" w:space="0" w:color="auto"/>
              <w:right w:val="single" w:sz="6" w:space="0" w:color="auto"/>
            </w:tcBorders>
          </w:tcPr>
          <w:p w14:paraId="1358D9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1500</w:t>
            </w:r>
          </w:p>
        </w:tc>
        <w:tc>
          <w:tcPr>
            <w:tcW w:w="643" w:type="dxa"/>
            <w:tcBorders>
              <w:top w:val="single" w:sz="6" w:space="0" w:color="auto"/>
              <w:left w:val="single" w:sz="6" w:space="0" w:color="auto"/>
              <w:bottom w:val="single" w:sz="6" w:space="0" w:color="auto"/>
              <w:right w:val="single" w:sz="6" w:space="0" w:color="auto"/>
            </w:tcBorders>
          </w:tcPr>
          <w:p w14:paraId="52A293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tc>
        <w:tc>
          <w:tcPr>
            <w:tcW w:w="605" w:type="dxa"/>
            <w:tcBorders>
              <w:top w:val="single" w:sz="6" w:space="0" w:color="auto"/>
              <w:left w:val="single" w:sz="6" w:space="0" w:color="auto"/>
              <w:bottom w:val="single" w:sz="6" w:space="0" w:color="auto"/>
              <w:right w:val="single" w:sz="6" w:space="0" w:color="auto"/>
            </w:tcBorders>
          </w:tcPr>
          <w:p w14:paraId="41F589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tc>
        <w:tc>
          <w:tcPr>
            <w:tcW w:w="509" w:type="dxa"/>
            <w:tcBorders>
              <w:top w:val="single" w:sz="6" w:space="0" w:color="auto"/>
              <w:left w:val="single" w:sz="6" w:space="0" w:color="auto"/>
              <w:bottom w:val="single" w:sz="6" w:space="0" w:color="auto"/>
              <w:right w:val="single" w:sz="6" w:space="0" w:color="auto"/>
            </w:tcBorders>
          </w:tcPr>
          <w:p w14:paraId="039A98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tc>
        <w:tc>
          <w:tcPr>
            <w:tcW w:w="768" w:type="dxa"/>
            <w:tcBorders>
              <w:top w:val="single" w:sz="6" w:space="0" w:color="auto"/>
              <w:left w:val="single" w:sz="6" w:space="0" w:color="auto"/>
              <w:bottom w:val="single" w:sz="6" w:space="0" w:color="auto"/>
              <w:right w:val="single" w:sz="6" w:space="0" w:color="auto"/>
            </w:tcBorders>
          </w:tcPr>
          <w:p w14:paraId="5CC6DA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tc>
        <w:tc>
          <w:tcPr>
            <w:tcW w:w="499" w:type="dxa"/>
            <w:tcBorders>
              <w:top w:val="single" w:sz="6" w:space="0" w:color="auto"/>
              <w:left w:val="single" w:sz="6" w:space="0" w:color="auto"/>
              <w:bottom w:val="single" w:sz="6" w:space="0" w:color="auto"/>
              <w:right w:val="single" w:sz="6" w:space="0" w:color="auto"/>
            </w:tcBorders>
          </w:tcPr>
          <w:p w14:paraId="53B07C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1800</w:t>
            </w:r>
          </w:p>
        </w:tc>
        <w:tc>
          <w:tcPr>
            <w:tcW w:w="691" w:type="dxa"/>
            <w:tcBorders>
              <w:top w:val="single" w:sz="6" w:space="0" w:color="auto"/>
              <w:left w:val="single" w:sz="6" w:space="0" w:color="auto"/>
              <w:bottom w:val="single" w:sz="6" w:space="0" w:color="auto"/>
              <w:right w:val="single" w:sz="6" w:space="0" w:color="auto"/>
            </w:tcBorders>
          </w:tcPr>
          <w:p w14:paraId="34B1C3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229A9B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1400</w:t>
            </w:r>
          </w:p>
        </w:tc>
        <w:tc>
          <w:tcPr>
            <w:tcW w:w="576" w:type="dxa"/>
            <w:tcBorders>
              <w:top w:val="single" w:sz="6" w:space="0" w:color="auto"/>
              <w:left w:val="single" w:sz="6" w:space="0" w:color="auto"/>
              <w:bottom w:val="single" w:sz="6" w:space="0" w:color="auto"/>
              <w:right w:val="single" w:sz="6" w:space="0" w:color="auto"/>
            </w:tcBorders>
          </w:tcPr>
          <w:p w14:paraId="2040D0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71837B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4200</w:t>
            </w:r>
          </w:p>
        </w:tc>
        <w:tc>
          <w:tcPr>
            <w:tcW w:w="730" w:type="dxa"/>
            <w:tcBorders>
              <w:top w:val="single" w:sz="6" w:space="0" w:color="auto"/>
              <w:left w:val="single" w:sz="6" w:space="0" w:color="auto"/>
              <w:bottom w:val="single" w:sz="6" w:space="0" w:color="auto"/>
              <w:right w:val="single" w:sz="6" w:space="0" w:color="auto"/>
            </w:tcBorders>
          </w:tcPr>
          <w:p w14:paraId="5C3053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4200</w:t>
            </w:r>
          </w:p>
        </w:tc>
        <w:tc>
          <w:tcPr>
            <w:tcW w:w="643" w:type="dxa"/>
            <w:tcBorders>
              <w:top w:val="single" w:sz="6" w:space="0" w:color="auto"/>
              <w:left w:val="single" w:sz="6" w:space="0" w:color="auto"/>
              <w:bottom w:val="single" w:sz="6" w:space="0" w:color="auto"/>
              <w:right w:val="single" w:sz="6" w:space="0" w:color="auto"/>
            </w:tcBorders>
          </w:tcPr>
          <w:p w14:paraId="44FCE6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351D99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3000</w:t>
            </w:r>
          </w:p>
        </w:tc>
        <w:tc>
          <w:tcPr>
            <w:tcW w:w="509" w:type="dxa"/>
            <w:tcBorders>
              <w:top w:val="single" w:sz="6" w:space="0" w:color="auto"/>
              <w:left w:val="single" w:sz="6" w:space="0" w:color="auto"/>
              <w:bottom w:val="single" w:sz="6" w:space="0" w:color="auto"/>
              <w:right w:val="single" w:sz="6" w:space="0" w:color="auto"/>
            </w:tcBorders>
          </w:tcPr>
          <w:p w14:paraId="4BA34E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3300</w:t>
            </w:r>
          </w:p>
        </w:tc>
        <w:tc>
          <w:tcPr>
            <w:tcW w:w="605" w:type="dxa"/>
            <w:tcBorders>
              <w:top w:val="single" w:sz="6" w:space="0" w:color="auto"/>
              <w:left w:val="single" w:sz="6" w:space="0" w:color="auto"/>
              <w:bottom w:val="single" w:sz="6" w:space="0" w:color="auto"/>
              <w:right w:val="single" w:sz="6" w:space="0" w:color="auto"/>
            </w:tcBorders>
          </w:tcPr>
          <w:p w14:paraId="5302BC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3300</w:t>
            </w:r>
            <w:r w:rsidRPr="00925F26">
              <w:rPr>
                <w:color w:val="000000" w:themeColor="text1"/>
                <w:sz w:val="16"/>
                <w:szCs w:val="16"/>
                <w:vertAlign w:val="superscript"/>
              </w:rPr>
              <w:t>2)</w:t>
            </w:r>
          </w:p>
        </w:tc>
        <w:tc>
          <w:tcPr>
            <w:tcW w:w="614" w:type="dxa"/>
            <w:tcBorders>
              <w:top w:val="single" w:sz="6" w:space="0" w:color="auto"/>
              <w:left w:val="single" w:sz="6" w:space="0" w:color="auto"/>
              <w:bottom w:val="single" w:sz="6" w:space="0" w:color="auto"/>
              <w:right w:val="single" w:sz="6" w:space="0" w:color="auto"/>
            </w:tcBorders>
          </w:tcPr>
          <w:p w14:paraId="2B0460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4265</w:t>
            </w:r>
          </w:p>
        </w:tc>
        <w:tc>
          <w:tcPr>
            <w:tcW w:w="595" w:type="dxa"/>
            <w:tcBorders>
              <w:top w:val="single" w:sz="6" w:space="0" w:color="auto"/>
              <w:left w:val="single" w:sz="6" w:space="0" w:color="auto"/>
              <w:bottom w:val="single" w:sz="6" w:space="0" w:color="auto"/>
              <w:right w:val="single" w:sz="6" w:space="0" w:color="auto"/>
            </w:tcBorders>
          </w:tcPr>
          <w:p w14:paraId="61E83E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2540</w:t>
            </w:r>
          </w:p>
        </w:tc>
        <w:tc>
          <w:tcPr>
            <w:tcW w:w="518" w:type="dxa"/>
            <w:tcBorders>
              <w:top w:val="single" w:sz="6" w:space="0" w:color="auto"/>
              <w:left w:val="single" w:sz="6" w:space="0" w:color="auto"/>
              <w:bottom w:val="single" w:sz="6" w:space="0" w:color="auto"/>
              <w:right w:val="single" w:sz="6" w:space="0" w:color="auto"/>
            </w:tcBorders>
          </w:tcPr>
          <w:p w14:paraId="25B892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34CA4F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3145</w:t>
            </w:r>
          </w:p>
        </w:tc>
      </w:tr>
    </w:tbl>
    <w:p w14:paraId="378122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 деревянной носовой частью фюзеляжа с фанерной обшивкой крыла</w:t>
      </w:r>
    </w:p>
    <w:p w14:paraId="7007ED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с подвесными баками — 3800 км (10734,95)</w:t>
      </w:r>
    </w:p>
    <w:p w14:paraId="7B326E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D584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 мая 1945 НИИ ГВФ представил в Главное управление ГВФ доклад, в котором практически напрочь отмел целесообразность получения бомбардировщиков Ильюшина. Мотивировалось это малым полезным объемом (6 кубометров) и потенциальной коммерческой нагрузкой, не превышающей 1200 кг. Все это при большом расходе горючего и трудностях длительного пилотирования (один летчик, нет автопилота и недостаточная устойчивость). Единственной "экологической нишей" для Ил-4 в ГВФ в докладе оставили буксировку грузовых планеров.</w:t>
      </w:r>
    </w:p>
    <w:p w14:paraId="1255D5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итоге после завершения боевых действий ни одного Ил-4 в гражданский воздушный флот не поступило. Небольшое количество их попало в ведомственную авиацию. Больше всего бывших дальних бомбардировщиков, семь, взяло себе Министерство геологии. Они служили для аэрофотосъемки и реже как грузовые. Все их разоружили и нанесли обозначения, начинавшиеся с буквы "Г". Один разбили в 1946 г., в конце 1947 г. оставалось шесть, к середине 1949 г. - четыре. Эти четыре машины эксплуатировались вплоть до ликвидации авиации этого ведомства в начале 50-х годов.</w:t>
      </w:r>
    </w:p>
    <w:p w14:paraId="01E83A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Шесть Ил-4 имело Министерство внутренних дел. Они входили в авиапарк "Дальстроя" - лагерной империи на востоке страны. Их тоже использовали в основном для аэрофотосъемки. Один из них разбили 14 января 1948 г. Пилот Крылов должен был перелететь на временную площадку в Наяка- не. Однако оказалось, что места для посадки Ил-4 не хватило: самолет выкатился за пределы поляны и получил повреждения. Там его и бросили. Все "дальстроевские" Ил-4 были списаны к началу 1949 г.</w:t>
      </w:r>
    </w:p>
    <w:p w14:paraId="4514D8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Один Ил-4 числился за Министерством сельхозмашиностроения. Он эксплуатировался на Софринском полигоне, где испытывали отнюдь не сеялки и не плуги, а разрабатывавшиеся секретными конструкторскими бюро этого ведомства управляемые боеприпасы. Наконец, последним бывшим бомбардировщиком обладало Министерство промышленности средств связи - он являлся летающей лабораторией для опробования авиационного радиооборудования. Оба этих самолета пошли на слом в конце 40-х годов (12021).</w:t>
      </w:r>
    </w:p>
    <w:p w14:paraId="4BCB6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Данные различных вариантов ДБ-З/Ил-4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0F5689" w:rsidRPr="00925F26" w14:paraId="671C1148" w14:textId="77777777">
        <w:tc>
          <w:tcPr>
            <w:tcW w:w="1019" w:type="dxa"/>
            <w:tcBorders>
              <w:top w:val="single" w:sz="12" w:space="0" w:color="auto"/>
            </w:tcBorders>
          </w:tcPr>
          <w:p w14:paraId="55127729"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Borders>
              <w:top w:val="single" w:sz="12" w:space="0" w:color="auto"/>
            </w:tcBorders>
          </w:tcPr>
          <w:p w14:paraId="40724A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ББ-2 (задание)</w:t>
            </w:r>
          </w:p>
        </w:tc>
        <w:tc>
          <w:tcPr>
            <w:tcW w:w="1019" w:type="dxa"/>
            <w:tcBorders>
              <w:top w:val="single" w:sz="12" w:space="0" w:color="auto"/>
            </w:tcBorders>
          </w:tcPr>
          <w:p w14:paraId="7BB2D5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ББ-2 (пасс. проект)</w:t>
            </w:r>
          </w:p>
        </w:tc>
        <w:tc>
          <w:tcPr>
            <w:tcW w:w="1019" w:type="dxa"/>
            <w:tcBorders>
              <w:top w:val="single" w:sz="12" w:space="0" w:color="auto"/>
            </w:tcBorders>
          </w:tcPr>
          <w:p w14:paraId="16AAD0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ЦКБ- 26</w:t>
            </w:r>
          </w:p>
        </w:tc>
        <w:tc>
          <w:tcPr>
            <w:tcW w:w="1019" w:type="dxa"/>
            <w:tcBorders>
              <w:top w:val="single" w:sz="12" w:space="0" w:color="auto"/>
            </w:tcBorders>
          </w:tcPr>
          <w:p w14:paraId="32074A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ЦКБ- 30</w:t>
            </w:r>
          </w:p>
        </w:tc>
        <w:tc>
          <w:tcPr>
            <w:tcW w:w="1019" w:type="dxa"/>
            <w:tcBorders>
              <w:top w:val="single" w:sz="12" w:space="0" w:color="auto"/>
            </w:tcBorders>
          </w:tcPr>
          <w:p w14:paraId="5CD47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ДБ-3</w:t>
            </w:r>
          </w:p>
        </w:tc>
        <w:tc>
          <w:tcPr>
            <w:tcW w:w="1019" w:type="dxa"/>
            <w:tcBorders>
              <w:top w:val="single" w:sz="12" w:space="0" w:color="auto"/>
            </w:tcBorders>
          </w:tcPr>
          <w:p w14:paraId="5D6FF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ДБ-3</w:t>
            </w:r>
          </w:p>
        </w:tc>
        <w:tc>
          <w:tcPr>
            <w:tcW w:w="1019" w:type="dxa"/>
            <w:tcBorders>
              <w:top w:val="single" w:sz="12" w:space="0" w:color="auto"/>
            </w:tcBorders>
          </w:tcPr>
          <w:p w14:paraId="2C805F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ДБ-ЗТ</w:t>
            </w:r>
          </w:p>
        </w:tc>
        <w:tc>
          <w:tcPr>
            <w:tcW w:w="1019" w:type="dxa"/>
            <w:tcBorders>
              <w:top w:val="single" w:sz="12" w:space="0" w:color="auto"/>
            </w:tcBorders>
          </w:tcPr>
          <w:p w14:paraId="53D621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ДБ-3</w:t>
            </w:r>
          </w:p>
        </w:tc>
        <w:tc>
          <w:tcPr>
            <w:tcW w:w="1019" w:type="dxa"/>
            <w:tcBorders>
              <w:top w:val="single" w:sz="12" w:space="0" w:color="auto"/>
            </w:tcBorders>
          </w:tcPr>
          <w:p w14:paraId="58D06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ДБ-ЗПТ</w:t>
            </w:r>
          </w:p>
        </w:tc>
        <w:tc>
          <w:tcPr>
            <w:tcW w:w="1019" w:type="dxa"/>
            <w:tcBorders>
              <w:top w:val="single" w:sz="12" w:space="0" w:color="auto"/>
            </w:tcBorders>
          </w:tcPr>
          <w:p w14:paraId="4ECE9A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ДБ-3</w:t>
            </w:r>
          </w:p>
        </w:tc>
      </w:tr>
      <w:tr w:rsidR="000F5689" w:rsidRPr="00925F26" w14:paraId="6126850D" w14:textId="77777777">
        <w:tc>
          <w:tcPr>
            <w:tcW w:w="1019" w:type="dxa"/>
          </w:tcPr>
          <w:p w14:paraId="3ACFD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w:t>
            </w:r>
          </w:p>
        </w:tc>
        <w:tc>
          <w:tcPr>
            <w:tcW w:w="1019" w:type="dxa"/>
          </w:tcPr>
          <w:p w14:paraId="521012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4DA71B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ECE51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6C198C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2B2134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33F9A8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019" w:type="dxa"/>
          </w:tcPr>
          <w:p w14:paraId="0BB27B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593FAF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7B438E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69BF0B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r>
      <w:tr w:rsidR="000F5689" w:rsidRPr="00925F26" w14:paraId="2D10B2E7" w14:textId="77777777">
        <w:tc>
          <w:tcPr>
            <w:tcW w:w="1019" w:type="dxa"/>
          </w:tcPr>
          <w:p w14:paraId="1DCB3A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Моторы</w:t>
            </w:r>
          </w:p>
        </w:tc>
        <w:tc>
          <w:tcPr>
            <w:tcW w:w="1019" w:type="dxa"/>
          </w:tcPr>
          <w:p w14:paraId="189DDC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B1DCE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Райт "Циклон"</w:t>
            </w:r>
          </w:p>
        </w:tc>
        <w:tc>
          <w:tcPr>
            <w:tcW w:w="1019" w:type="dxa"/>
          </w:tcPr>
          <w:p w14:paraId="417BCE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GR14K</w:t>
            </w:r>
          </w:p>
        </w:tc>
        <w:tc>
          <w:tcPr>
            <w:tcW w:w="1019" w:type="dxa"/>
          </w:tcPr>
          <w:p w14:paraId="45B552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GR14K</w:t>
            </w:r>
          </w:p>
        </w:tc>
        <w:tc>
          <w:tcPr>
            <w:tcW w:w="1019" w:type="dxa"/>
          </w:tcPr>
          <w:p w14:paraId="582F23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М-85</w:t>
            </w:r>
          </w:p>
        </w:tc>
        <w:tc>
          <w:tcPr>
            <w:tcW w:w="1019" w:type="dxa"/>
          </w:tcPr>
          <w:p w14:paraId="2375D1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М-85</w:t>
            </w:r>
          </w:p>
        </w:tc>
        <w:tc>
          <w:tcPr>
            <w:tcW w:w="1019" w:type="dxa"/>
          </w:tcPr>
          <w:p w14:paraId="79F677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М-85</w:t>
            </w:r>
          </w:p>
        </w:tc>
        <w:tc>
          <w:tcPr>
            <w:tcW w:w="1019" w:type="dxa"/>
          </w:tcPr>
          <w:p w14:paraId="7F4DAE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М-86</w:t>
            </w:r>
          </w:p>
        </w:tc>
        <w:tc>
          <w:tcPr>
            <w:tcW w:w="1019" w:type="dxa"/>
          </w:tcPr>
          <w:p w14:paraId="6224D4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М-86</w:t>
            </w:r>
          </w:p>
        </w:tc>
        <w:tc>
          <w:tcPr>
            <w:tcW w:w="1019" w:type="dxa"/>
          </w:tcPr>
          <w:p w14:paraId="3A06AC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М-87А</w:t>
            </w:r>
          </w:p>
        </w:tc>
      </w:tr>
      <w:tr w:rsidR="000F5689" w:rsidRPr="00925F26" w14:paraId="6782EF95" w14:textId="77777777">
        <w:tc>
          <w:tcPr>
            <w:tcW w:w="1019" w:type="dxa"/>
          </w:tcPr>
          <w:p w14:paraId="74AC06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испытаний</w:t>
            </w:r>
          </w:p>
        </w:tc>
        <w:tc>
          <w:tcPr>
            <w:tcW w:w="1019" w:type="dxa"/>
          </w:tcPr>
          <w:p w14:paraId="067BD0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6F9E4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4BB4CA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июль- август 1935г.</w:t>
            </w:r>
          </w:p>
        </w:tc>
        <w:tc>
          <w:tcPr>
            <w:tcW w:w="1019" w:type="dxa"/>
          </w:tcPr>
          <w:p w14:paraId="71BD03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B2A05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июль 1937г.</w:t>
            </w:r>
          </w:p>
        </w:tc>
        <w:tc>
          <w:tcPr>
            <w:tcW w:w="1019" w:type="dxa"/>
          </w:tcPr>
          <w:p w14:paraId="162F3B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сентябрь- октябрь 1937г.</w:t>
            </w:r>
          </w:p>
        </w:tc>
        <w:tc>
          <w:tcPr>
            <w:tcW w:w="1019" w:type="dxa"/>
          </w:tcPr>
          <w:p w14:paraId="2D1096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весна 1938г.</w:t>
            </w:r>
          </w:p>
        </w:tc>
        <w:tc>
          <w:tcPr>
            <w:tcW w:w="1019" w:type="dxa"/>
          </w:tcPr>
          <w:p w14:paraId="706C05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июль- октябрь 1938г.</w:t>
            </w:r>
          </w:p>
        </w:tc>
        <w:tc>
          <w:tcPr>
            <w:tcW w:w="1019" w:type="dxa"/>
          </w:tcPr>
          <w:p w14:paraId="7B1414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лето 1938г.</w:t>
            </w:r>
          </w:p>
        </w:tc>
        <w:tc>
          <w:tcPr>
            <w:tcW w:w="1019" w:type="dxa"/>
          </w:tcPr>
          <w:p w14:paraId="4C5B59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весна 1939г.</w:t>
            </w:r>
          </w:p>
        </w:tc>
      </w:tr>
      <w:tr w:rsidR="000F5689" w:rsidRPr="00925F26" w14:paraId="14BF22B7" w14:textId="77777777">
        <w:tc>
          <w:tcPr>
            <w:tcW w:w="1019" w:type="dxa"/>
          </w:tcPr>
          <w:p w14:paraId="252E15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019" w:type="dxa"/>
          </w:tcPr>
          <w:p w14:paraId="73F8B8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27C953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19E87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19" w:type="dxa"/>
          </w:tcPr>
          <w:p w14:paraId="69D24C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4365</w:t>
            </w:r>
          </w:p>
        </w:tc>
        <w:tc>
          <w:tcPr>
            <w:tcW w:w="1019" w:type="dxa"/>
          </w:tcPr>
          <w:p w14:paraId="43D327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4563</w:t>
            </w:r>
          </w:p>
        </w:tc>
        <w:tc>
          <w:tcPr>
            <w:tcW w:w="1019" w:type="dxa"/>
          </w:tcPr>
          <w:p w14:paraId="16B1EA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4446</w:t>
            </w:r>
          </w:p>
        </w:tc>
        <w:tc>
          <w:tcPr>
            <w:tcW w:w="1019" w:type="dxa"/>
          </w:tcPr>
          <w:p w14:paraId="4288B4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4298</w:t>
            </w:r>
          </w:p>
        </w:tc>
        <w:tc>
          <w:tcPr>
            <w:tcW w:w="1019" w:type="dxa"/>
          </w:tcPr>
          <w:p w14:paraId="1178D5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4677</w:t>
            </w:r>
          </w:p>
        </w:tc>
        <w:tc>
          <w:tcPr>
            <w:tcW w:w="1019" w:type="dxa"/>
          </w:tcPr>
          <w:p w14:paraId="63A04A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5630</w:t>
            </w:r>
          </w:p>
        </w:tc>
        <w:tc>
          <w:tcPr>
            <w:tcW w:w="1019" w:type="dxa"/>
          </w:tcPr>
          <w:p w14:paraId="175AE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4954</w:t>
            </w:r>
          </w:p>
        </w:tc>
      </w:tr>
      <w:tr w:rsidR="000F5689" w:rsidRPr="00925F26" w14:paraId="4743B76F" w14:textId="77777777">
        <w:tc>
          <w:tcPr>
            <w:tcW w:w="1019" w:type="dxa"/>
          </w:tcPr>
          <w:p w14:paraId="03A390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взлетный кг.</w:t>
            </w:r>
          </w:p>
        </w:tc>
        <w:tc>
          <w:tcPr>
            <w:tcW w:w="1019" w:type="dxa"/>
          </w:tcPr>
          <w:p w14:paraId="34F736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0AE857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0E809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19" w:type="dxa"/>
          </w:tcPr>
          <w:p w14:paraId="759D0A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6648</w:t>
            </w:r>
          </w:p>
        </w:tc>
        <w:tc>
          <w:tcPr>
            <w:tcW w:w="1019" w:type="dxa"/>
          </w:tcPr>
          <w:p w14:paraId="249F7F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6940</w:t>
            </w:r>
          </w:p>
        </w:tc>
        <w:tc>
          <w:tcPr>
            <w:tcW w:w="1019" w:type="dxa"/>
          </w:tcPr>
          <w:p w14:paraId="15E2F0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6802</w:t>
            </w:r>
          </w:p>
        </w:tc>
        <w:tc>
          <w:tcPr>
            <w:tcW w:w="1019" w:type="dxa"/>
          </w:tcPr>
          <w:p w14:paraId="3E2BAE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6494</w:t>
            </w:r>
          </w:p>
        </w:tc>
        <w:tc>
          <w:tcPr>
            <w:tcW w:w="1019" w:type="dxa"/>
          </w:tcPr>
          <w:p w14:paraId="2CE261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6978</w:t>
            </w:r>
          </w:p>
        </w:tc>
        <w:tc>
          <w:tcPr>
            <w:tcW w:w="1019" w:type="dxa"/>
          </w:tcPr>
          <w:p w14:paraId="03CC46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7590</w:t>
            </w:r>
          </w:p>
        </w:tc>
        <w:tc>
          <w:tcPr>
            <w:tcW w:w="1019" w:type="dxa"/>
          </w:tcPr>
          <w:p w14:paraId="4EB9C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7296</w:t>
            </w:r>
          </w:p>
        </w:tc>
      </w:tr>
      <w:tr w:rsidR="000F5689" w:rsidRPr="00925F26" w14:paraId="55ADC6A1" w14:textId="77777777">
        <w:tc>
          <w:tcPr>
            <w:tcW w:w="1019" w:type="dxa"/>
          </w:tcPr>
          <w:p w14:paraId="0BE0FC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 км/ч</w:t>
            </w:r>
          </w:p>
        </w:tc>
        <w:tc>
          <w:tcPr>
            <w:tcW w:w="1019" w:type="dxa"/>
          </w:tcPr>
          <w:p w14:paraId="51400E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218793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926CD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w:t>
            </w:r>
          </w:p>
        </w:tc>
        <w:tc>
          <w:tcPr>
            <w:tcW w:w="1019" w:type="dxa"/>
          </w:tcPr>
          <w:p w14:paraId="10AAE1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329</w:t>
            </w:r>
          </w:p>
        </w:tc>
        <w:tc>
          <w:tcPr>
            <w:tcW w:w="1019" w:type="dxa"/>
          </w:tcPr>
          <w:p w14:paraId="06A5EA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325</w:t>
            </w:r>
          </w:p>
        </w:tc>
        <w:tc>
          <w:tcPr>
            <w:tcW w:w="1019" w:type="dxa"/>
          </w:tcPr>
          <w:p w14:paraId="261BD6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311</w:t>
            </w:r>
          </w:p>
        </w:tc>
        <w:tc>
          <w:tcPr>
            <w:tcW w:w="1019" w:type="dxa"/>
          </w:tcPr>
          <w:p w14:paraId="14F3B2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320</w:t>
            </w:r>
          </w:p>
        </w:tc>
        <w:tc>
          <w:tcPr>
            <w:tcW w:w="1019" w:type="dxa"/>
          </w:tcPr>
          <w:p w14:paraId="64127B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331</w:t>
            </w:r>
          </w:p>
        </w:tc>
        <w:tc>
          <w:tcPr>
            <w:tcW w:w="1019" w:type="dxa"/>
          </w:tcPr>
          <w:p w14:paraId="341FDD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292</w:t>
            </w:r>
          </w:p>
        </w:tc>
        <w:tc>
          <w:tcPr>
            <w:tcW w:w="1019" w:type="dxa"/>
          </w:tcPr>
          <w:p w14:paraId="457FD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352</w:t>
            </w:r>
          </w:p>
        </w:tc>
      </w:tr>
      <w:tr w:rsidR="000F5689" w:rsidRPr="00925F26" w14:paraId="50D519A9" w14:textId="77777777">
        <w:tc>
          <w:tcPr>
            <w:tcW w:w="1019" w:type="dxa"/>
          </w:tcPr>
          <w:p w14:paraId="06A9F0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км/ч на высоте, м</w:t>
            </w:r>
          </w:p>
        </w:tc>
        <w:tc>
          <w:tcPr>
            <w:tcW w:w="1019" w:type="dxa"/>
          </w:tcPr>
          <w:p w14:paraId="408A61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019" w:type="dxa"/>
          </w:tcPr>
          <w:p w14:paraId="17C922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375</w:t>
            </w:r>
          </w:p>
        </w:tc>
        <w:tc>
          <w:tcPr>
            <w:tcW w:w="1019" w:type="dxa"/>
          </w:tcPr>
          <w:p w14:paraId="1A381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390 3250</w:t>
            </w:r>
          </w:p>
        </w:tc>
        <w:tc>
          <w:tcPr>
            <w:tcW w:w="1019" w:type="dxa"/>
          </w:tcPr>
          <w:p w14:paraId="75A4AF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407 4800</w:t>
            </w:r>
          </w:p>
        </w:tc>
        <w:tc>
          <w:tcPr>
            <w:tcW w:w="1019" w:type="dxa"/>
          </w:tcPr>
          <w:p w14:paraId="49E786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390 4600</w:t>
            </w:r>
          </w:p>
        </w:tc>
        <w:tc>
          <w:tcPr>
            <w:tcW w:w="1019" w:type="dxa"/>
          </w:tcPr>
          <w:p w14:paraId="52108A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380 4400</w:t>
            </w:r>
          </w:p>
        </w:tc>
        <w:tc>
          <w:tcPr>
            <w:tcW w:w="1019" w:type="dxa"/>
          </w:tcPr>
          <w:p w14:paraId="5F8D29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395 4000</w:t>
            </w:r>
          </w:p>
        </w:tc>
        <w:tc>
          <w:tcPr>
            <w:tcW w:w="1019" w:type="dxa"/>
          </w:tcPr>
          <w:p w14:paraId="457F1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395 4000</w:t>
            </w:r>
          </w:p>
        </w:tc>
        <w:tc>
          <w:tcPr>
            <w:tcW w:w="1019" w:type="dxa"/>
          </w:tcPr>
          <w:p w14:paraId="3783B3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343 3900</w:t>
            </w:r>
          </w:p>
        </w:tc>
        <w:tc>
          <w:tcPr>
            <w:tcW w:w="1019" w:type="dxa"/>
          </w:tcPr>
          <w:p w14:paraId="5298F3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417 6000</w:t>
            </w:r>
          </w:p>
        </w:tc>
      </w:tr>
      <w:tr w:rsidR="000F5689" w:rsidRPr="00925F26" w14:paraId="21E17863" w14:textId="77777777">
        <w:tc>
          <w:tcPr>
            <w:tcW w:w="1019" w:type="dxa"/>
          </w:tcPr>
          <w:p w14:paraId="1A463F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019" w:type="dxa"/>
          </w:tcPr>
          <w:p w14:paraId="14060D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19" w:type="dxa"/>
          </w:tcPr>
          <w:p w14:paraId="474EC9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6500</w:t>
            </w:r>
          </w:p>
        </w:tc>
        <w:tc>
          <w:tcPr>
            <w:tcW w:w="1019" w:type="dxa"/>
          </w:tcPr>
          <w:p w14:paraId="349CBF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C79EB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8920</w:t>
            </w:r>
          </w:p>
        </w:tc>
        <w:tc>
          <w:tcPr>
            <w:tcW w:w="1019" w:type="dxa"/>
          </w:tcPr>
          <w:p w14:paraId="6C3E73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8400</w:t>
            </w:r>
          </w:p>
        </w:tc>
        <w:tc>
          <w:tcPr>
            <w:tcW w:w="1019" w:type="dxa"/>
          </w:tcPr>
          <w:p w14:paraId="32EABA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8400</w:t>
            </w:r>
          </w:p>
        </w:tc>
        <w:tc>
          <w:tcPr>
            <w:tcW w:w="1019" w:type="dxa"/>
          </w:tcPr>
          <w:p w14:paraId="720F29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8800</w:t>
            </w:r>
          </w:p>
        </w:tc>
        <w:tc>
          <w:tcPr>
            <w:tcW w:w="1019" w:type="dxa"/>
          </w:tcPr>
          <w:p w14:paraId="4AA566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8300</w:t>
            </w:r>
          </w:p>
        </w:tc>
        <w:tc>
          <w:tcPr>
            <w:tcW w:w="1019" w:type="dxa"/>
          </w:tcPr>
          <w:p w14:paraId="46698D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7570</w:t>
            </w:r>
          </w:p>
        </w:tc>
        <w:tc>
          <w:tcPr>
            <w:tcW w:w="1019" w:type="dxa"/>
          </w:tcPr>
          <w:p w14:paraId="5A73A7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r>
      <w:tr w:rsidR="000F5689" w:rsidRPr="00925F26" w14:paraId="0F5186D6" w14:textId="77777777">
        <w:tc>
          <w:tcPr>
            <w:tcW w:w="1019" w:type="dxa"/>
          </w:tcPr>
          <w:p w14:paraId="61D43E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1000 м, мин</w:t>
            </w:r>
          </w:p>
        </w:tc>
        <w:tc>
          <w:tcPr>
            <w:tcW w:w="1019" w:type="dxa"/>
          </w:tcPr>
          <w:p w14:paraId="26666B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42477B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4B59C8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4E7BF8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019" w:type="dxa"/>
          </w:tcPr>
          <w:p w14:paraId="04E685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019" w:type="dxa"/>
          </w:tcPr>
          <w:p w14:paraId="1AA01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019" w:type="dxa"/>
          </w:tcPr>
          <w:p w14:paraId="0ABBDA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w:t>
            </w:r>
          </w:p>
        </w:tc>
        <w:tc>
          <w:tcPr>
            <w:tcW w:w="1019" w:type="dxa"/>
          </w:tcPr>
          <w:p w14:paraId="63A9BC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1019" w:type="dxa"/>
          </w:tcPr>
          <w:p w14:paraId="01B743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019" w:type="dxa"/>
          </w:tcPr>
          <w:p w14:paraId="6EB420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2,08</w:t>
            </w:r>
          </w:p>
        </w:tc>
      </w:tr>
      <w:tr w:rsidR="000F5689" w:rsidRPr="00925F26" w14:paraId="624F0A48" w14:textId="77777777">
        <w:tc>
          <w:tcPr>
            <w:tcW w:w="1019" w:type="dxa"/>
          </w:tcPr>
          <w:p w14:paraId="45AE80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019" w:type="dxa"/>
          </w:tcPr>
          <w:p w14:paraId="5280E6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60E2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8385F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w:t>
            </w:r>
          </w:p>
        </w:tc>
        <w:tc>
          <w:tcPr>
            <w:tcW w:w="1019" w:type="dxa"/>
          </w:tcPr>
          <w:p w14:paraId="05AFF8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4AD7BF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15,1</w:t>
            </w:r>
          </w:p>
        </w:tc>
        <w:tc>
          <w:tcPr>
            <w:tcW w:w="1019" w:type="dxa"/>
          </w:tcPr>
          <w:p w14:paraId="51D5E3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594CB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1019" w:type="dxa"/>
          </w:tcPr>
          <w:p w14:paraId="084E77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12,85</w:t>
            </w:r>
          </w:p>
        </w:tc>
        <w:tc>
          <w:tcPr>
            <w:tcW w:w="1019" w:type="dxa"/>
          </w:tcPr>
          <w:p w14:paraId="453A6A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D1BE5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w:t>
            </w:r>
          </w:p>
        </w:tc>
      </w:tr>
      <w:tr w:rsidR="000F5689" w:rsidRPr="00925F26" w14:paraId="1442E130" w14:textId="77777777">
        <w:tc>
          <w:tcPr>
            <w:tcW w:w="1019" w:type="dxa"/>
          </w:tcPr>
          <w:p w14:paraId="0D4A5D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км</w:t>
            </w:r>
          </w:p>
        </w:tc>
        <w:tc>
          <w:tcPr>
            <w:tcW w:w="1019" w:type="dxa"/>
          </w:tcPr>
          <w:p w14:paraId="78F870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c>
          <w:tcPr>
            <w:tcW w:w="1019" w:type="dxa"/>
          </w:tcPr>
          <w:p w14:paraId="6DFE7A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1500</w:t>
            </w:r>
          </w:p>
        </w:tc>
        <w:tc>
          <w:tcPr>
            <w:tcW w:w="1019" w:type="dxa"/>
          </w:tcPr>
          <w:p w14:paraId="56AFD1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19" w:type="dxa"/>
          </w:tcPr>
          <w:p w14:paraId="320DC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19" w:type="dxa"/>
          </w:tcPr>
          <w:p w14:paraId="555BE6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19" w:type="dxa"/>
          </w:tcPr>
          <w:p w14:paraId="419DF9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19" w:type="dxa"/>
          </w:tcPr>
          <w:p w14:paraId="646837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1800</w:t>
            </w:r>
          </w:p>
        </w:tc>
        <w:tc>
          <w:tcPr>
            <w:tcW w:w="1019" w:type="dxa"/>
          </w:tcPr>
          <w:p w14:paraId="0D29B4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3F253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1400</w:t>
            </w:r>
          </w:p>
        </w:tc>
        <w:tc>
          <w:tcPr>
            <w:tcW w:w="1019" w:type="dxa"/>
          </w:tcPr>
          <w:p w14:paraId="527958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7670C973" w14:textId="77777777">
        <w:tc>
          <w:tcPr>
            <w:tcW w:w="1019" w:type="dxa"/>
          </w:tcPr>
          <w:p w14:paraId="64C5A4C2"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D4E9AC5"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1B942773"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1DBA1CE1"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7F29CC3"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174A116"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72547DF7"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2E7156AF"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4D173072"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0DAA5A16"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5B4EBB3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6A45171" w14:textId="77777777">
        <w:tc>
          <w:tcPr>
            <w:tcW w:w="1019" w:type="dxa"/>
          </w:tcPr>
          <w:p w14:paraId="5FED41E1" w14:textId="77777777" w:rsidR="00665165" w:rsidRPr="00925F26" w:rsidRDefault="00665165" w:rsidP="00925F26">
            <w:pPr>
              <w:autoSpaceDE w:val="0"/>
              <w:autoSpaceDN w:val="0"/>
              <w:adjustRightInd w:val="0"/>
              <w:jc w:val="both"/>
              <w:rPr>
                <w:color w:val="000000" w:themeColor="text1"/>
                <w:sz w:val="16"/>
                <w:szCs w:val="16"/>
              </w:rPr>
            </w:pPr>
          </w:p>
        </w:tc>
        <w:tc>
          <w:tcPr>
            <w:tcW w:w="1019" w:type="dxa"/>
          </w:tcPr>
          <w:p w14:paraId="2C052D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ДБ-ЗБ</w:t>
            </w:r>
          </w:p>
        </w:tc>
        <w:tc>
          <w:tcPr>
            <w:tcW w:w="1019" w:type="dxa"/>
          </w:tcPr>
          <w:p w14:paraId="5DAAB7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ДБ-ЗБ</w:t>
            </w:r>
          </w:p>
        </w:tc>
        <w:tc>
          <w:tcPr>
            <w:tcW w:w="1019" w:type="dxa"/>
          </w:tcPr>
          <w:p w14:paraId="794EC4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ДБ-ЗМ</w:t>
            </w:r>
          </w:p>
        </w:tc>
        <w:tc>
          <w:tcPr>
            <w:tcW w:w="1019" w:type="dxa"/>
          </w:tcPr>
          <w:p w14:paraId="5DE1C1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 ЗФ</w:t>
            </w:r>
          </w:p>
        </w:tc>
        <w:tc>
          <w:tcPr>
            <w:tcW w:w="1019" w:type="dxa"/>
          </w:tcPr>
          <w:p w14:paraId="38BF6B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 ЗФ</w:t>
            </w:r>
          </w:p>
        </w:tc>
        <w:tc>
          <w:tcPr>
            <w:tcW w:w="1019" w:type="dxa"/>
          </w:tcPr>
          <w:p w14:paraId="229095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1019" w:type="dxa"/>
          </w:tcPr>
          <w:p w14:paraId="1FC4D2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1019" w:type="dxa"/>
          </w:tcPr>
          <w:p w14:paraId="5CC1DC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ДБ-ЗФ</w:t>
            </w:r>
          </w:p>
        </w:tc>
        <w:tc>
          <w:tcPr>
            <w:tcW w:w="1019" w:type="dxa"/>
          </w:tcPr>
          <w:p w14:paraId="143F92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c>
          <w:tcPr>
            <w:tcW w:w="1019" w:type="dxa"/>
          </w:tcPr>
          <w:p w14:paraId="65ED2B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w:t>
            </w:r>
          </w:p>
        </w:tc>
      </w:tr>
      <w:tr w:rsidR="000F5689" w:rsidRPr="00925F26" w14:paraId="5DD1ECA3" w14:textId="77777777">
        <w:tc>
          <w:tcPr>
            <w:tcW w:w="1019" w:type="dxa"/>
          </w:tcPr>
          <w:p w14:paraId="78D535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w:t>
            </w:r>
          </w:p>
        </w:tc>
        <w:tc>
          <w:tcPr>
            <w:tcW w:w="1019" w:type="dxa"/>
          </w:tcPr>
          <w:p w14:paraId="26789D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7C4DF3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019" w:type="dxa"/>
          </w:tcPr>
          <w:p w14:paraId="557B58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77F7ED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w:t>
            </w:r>
          </w:p>
        </w:tc>
        <w:tc>
          <w:tcPr>
            <w:tcW w:w="1019" w:type="dxa"/>
          </w:tcPr>
          <w:p w14:paraId="7D6990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019" w:type="dxa"/>
          </w:tcPr>
          <w:p w14:paraId="55D1F6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w:t>
            </w:r>
          </w:p>
        </w:tc>
        <w:tc>
          <w:tcPr>
            <w:tcW w:w="1019" w:type="dxa"/>
          </w:tcPr>
          <w:p w14:paraId="72E491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019" w:type="dxa"/>
          </w:tcPr>
          <w:p w14:paraId="45AD79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w:t>
            </w:r>
          </w:p>
        </w:tc>
        <w:tc>
          <w:tcPr>
            <w:tcW w:w="1019" w:type="dxa"/>
          </w:tcPr>
          <w:p w14:paraId="2B2CDC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w:t>
            </w:r>
          </w:p>
        </w:tc>
        <w:tc>
          <w:tcPr>
            <w:tcW w:w="1019" w:type="dxa"/>
          </w:tcPr>
          <w:p w14:paraId="731DEB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126</w:t>
            </w:r>
          </w:p>
        </w:tc>
      </w:tr>
      <w:tr w:rsidR="000F5689" w:rsidRPr="00925F26" w14:paraId="7FA320F7" w14:textId="77777777">
        <w:tc>
          <w:tcPr>
            <w:tcW w:w="1019" w:type="dxa"/>
          </w:tcPr>
          <w:p w14:paraId="597004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Моторы</w:t>
            </w:r>
          </w:p>
        </w:tc>
        <w:tc>
          <w:tcPr>
            <w:tcW w:w="1019" w:type="dxa"/>
          </w:tcPr>
          <w:p w14:paraId="395A3F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М-87А</w:t>
            </w:r>
          </w:p>
        </w:tc>
        <w:tc>
          <w:tcPr>
            <w:tcW w:w="1019" w:type="dxa"/>
          </w:tcPr>
          <w:p w14:paraId="565413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М-87А</w:t>
            </w:r>
          </w:p>
        </w:tc>
        <w:tc>
          <w:tcPr>
            <w:tcW w:w="1019" w:type="dxa"/>
          </w:tcPr>
          <w:p w14:paraId="72769D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w:t>
            </w:r>
          </w:p>
        </w:tc>
        <w:tc>
          <w:tcPr>
            <w:tcW w:w="1019" w:type="dxa"/>
          </w:tcPr>
          <w:p w14:paraId="4B8D36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М-87Б</w:t>
            </w:r>
          </w:p>
        </w:tc>
        <w:tc>
          <w:tcPr>
            <w:tcW w:w="1019" w:type="dxa"/>
          </w:tcPr>
          <w:p w14:paraId="0368B9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c>
          <w:tcPr>
            <w:tcW w:w="1019" w:type="dxa"/>
          </w:tcPr>
          <w:p w14:paraId="63AA1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c>
          <w:tcPr>
            <w:tcW w:w="1019" w:type="dxa"/>
          </w:tcPr>
          <w:p w14:paraId="0F339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c>
          <w:tcPr>
            <w:tcW w:w="1019" w:type="dxa"/>
          </w:tcPr>
          <w:p w14:paraId="4A4F61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М-82</w:t>
            </w:r>
          </w:p>
        </w:tc>
        <w:tc>
          <w:tcPr>
            <w:tcW w:w="1019" w:type="dxa"/>
          </w:tcPr>
          <w:p w14:paraId="626028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c>
          <w:tcPr>
            <w:tcW w:w="1019" w:type="dxa"/>
          </w:tcPr>
          <w:p w14:paraId="1DFFF6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М-88Б</w:t>
            </w:r>
          </w:p>
        </w:tc>
      </w:tr>
      <w:tr w:rsidR="000F5689" w:rsidRPr="00925F26" w14:paraId="6336DC21" w14:textId="77777777">
        <w:tc>
          <w:tcPr>
            <w:tcW w:w="1019" w:type="dxa"/>
          </w:tcPr>
          <w:p w14:paraId="3034B3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испытаний</w:t>
            </w:r>
          </w:p>
        </w:tc>
        <w:tc>
          <w:tcPr>
            <w:tcW w:w="1019" w:type="dxa"/>
          </w:tcPr>
          <w:p w14:paraId="70D4DE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июль-сентябрь 1939г.</w:t>
            </w:r>
          </w:p>
        </w:tc>
        <w:tc>
          <w:tcPr>
            <w:tcW w:w="1019" w:type="dxa"/>
          </w:tcPr>
          <w:p w14:paraId="317715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июль-сентябрь 1939г.</w:t>
            </w:r>
          </w:p>
        </w:tc>
        <w:tc>
          <w:tcPr>
            <w:tcW w:w="1019" w:type="dxa"/>
          </w:tcPr>
          <w:p w14:paraId="4085D5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апрель- май 1940г.</w:t>
            </w:r>
          </w:p>
        </w:tc>
        <w:tc>
          <w:tcPr>
            <w:tcW w:w="1019" w:type="dxa"/>
          </w:tcPr>
          <w:p w14:paraId="694FD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сентябрь- октябрь 1940г.</w:t>
            </w:r>
          </w:p>
        </w:tc>
        <w:tc>
          <w:tcPr>
            <w:tcW w:w="1019" w:type="dxa"/>
          </w:tcPr>
          <w:p w14:paraId="366BD9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1941г.</w:t>
            </w:r>
          </w:p>
        </w:tc>
        <w:tc>
          <w:tcPr>
            <w:tcW w:w="1019" w:type="dxa"/>
          </w:tcPr>
          <w:p w14:paraId="6280C0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1942г.</w:t>
            </w:r>
          </w:p>
        </w:tc>
        <w:tc>
          <w:tcPr>
            <w:tcW w:w="1019" w:type="dxa"/>
          </w:tcPr>
          <w:p w14:paraId="007063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1942г.</w:t>
            </w:r>
          </w:p>
        </w:tc>
        <w:tc>
          <w:tcPr>
            <w:tcW w:w="1019" w:type="dxa"/>
          </w:tcPr>
          <w:p w14:paraId="729835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май-июнь 1942г.</w:t>
            </w:r>
          </w:p>
        </w:tc>
        <w:tc>
          <w:tcPr>
            <w:tcW w:w="1019" w:type="dxa"/>
          </w:tcPr>
          <w:p w14:paraId="544AEA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1943г.</w:t>
            </w:r>
          </w:p>
        </w:tc>
        <w:tc>
          <w:tcPr>
            <w:tcW w:w="1019" w:type="dxa"/>
          </w:tcPr>
          <w:p w14:paraId="591A5B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1944г.</w:t>
            </w:r>
          </w:p>
        </w:tc>
      </w:tr>
      <w:tr w:rsidR="000F5689" w:rsidRPr="00925F26" w14:paraId="1C01848B" w14:textId="77777777">
        <w:tc>
          <w:tcPr>
            <w:tcW w:w="1019" w:type="dxa"/>
          </w:tcPr>
          <w:p w14:paraId="4AA7C8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019" w:type="dxa"/>
          </w:tcPr>
          <w:p w14:paraId="21CDB4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5080</w:t>
            </w:r>
          </w:p>
        </w:tc>
        <w:tc>
          <w:tcPr>
            <w:tcW w:w="1019" w:type="dxa"/>
          </w:tcPr>
          <w:p w14:paraId="6B90E1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5100</w:t>
            </w:r>
          </w:p>
        </w:tc>
        <w:tc>
          <w:tcPr>
            <w:tcW w:w="1019" w:type="dxa"/>
          </w:tcPr>
          <w:p w14:paraId="302C40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5590</w:t>
            </w:r>
          </w:p>
        </w:tc>
        <w:tc>
          <w:tcPr>
            <w:tcW w:w="1019" w:type="dxa"/>
          </w:tcPr>
          <w:p w14:paraId="2CB5D0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5564</w:t>
            </w:r>
          </w:p>
        </w:tc>
        <w:tc>
          <w:tcPr>
            <w:tcW w:w="1019" w:type="dxa"/>
          </w:tcPr>
          <w:p w14:paraId="5605A4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5701</w:t>
            </w:r>
          </w:p>
        </w:tc>
        <w:tc>
          <w:tcPr>
            <w:tcW w:w="1019" w:type="dxa"/>
          </w:tcPr>
          <w:p w14:paraId="3192B2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5800</w:t>
            </w:r>
          </w:p>
        </w:tc>
        <w:tc>
          <w:tcPr>
            <w:tcW w:w="1019" w:type="dxa"/>
          </w:tcPr>
          <w:p w14:paraId="63DBF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6421</w:t>
            </w:r>
          </w:p>
        </w:tc>
        <w:tc>
          <w:tcPr>
            <w:tcW w:w="1019" w:type="dxa"/>
          </w:tcPr>
          <w:p w14:paraId="0898CD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91C00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5800</w:t>
            </w:r>
          </w:p>
        </w:tc>
        <w:tc>
          <w:tcPr>
            <w:tcW w:w="1019" w:type="dxa"/>
          </w:tcPr>
          <w:p w14:paraId="724A00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180D2D3" w14:textId="77777777">
        <w:tc>
          <w:tcPr>
            <w:tcW w:w="1019" w:type="dxa"/>
          </w:tcPr>
          <w:p w14:paraId="014686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взлетный кг.</w:t>
            </w:r>
          </w:p>
        </w:tc>
        <w:tc>
          <w:tcPr>
            <w:tcW w:w="1019" w:type="dxa"/>
          </w:tcPr>
          <w:p w14:paraId="09ACBE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7443</w:t>
            </w:r>
          </w:p>
        </w:tc>
        <w:tc>
          <w:tcPr>
            <w:tcW w:w="1019" w:type="dxa"/>
          </w:tcPr>
          <w:p w14:paraId="431548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7465</w:t>
            </w:r>
          </w:p>
        </w:tc>
        <w:tc>
          <w:tcPr>
            <w:tcW w:w="1019" w:type="dxa"/>
          </w:tcPr>
          <w:p w14:paraId="229058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7933</w:t>
            </w:r>
          </w:p>
        </w:tc>
        <w:tc>
          <w:tcPr>
            <w:tcW w:w="1019" w:type="dxa"/>
          </w:tcPr>
          <w:p w14:paraId="169315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7956</w:t>
            </w:r>
          </w:p>
        </w:tc>
        <w:tc>
          <w:tcPr>
            <w:tcW w:w="1019" w:type="dxa"/>
          </w:tcPr>
          <w:p w14:paraId="23A247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8033</w:t>
            </w:r>
          </w:p>
        </w:tc>
        <w:tc>
          <w:tcPr>
            <w:tcW w:w="1019" w:type="dxa"/>
          </w:tcPr>
          <w:p w14:paraId="23976B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9139</w:t>
            </w:r>
          </w:p>
        </w:tc>
        <w:tc>
          <w:tcPr>
            <w:tcW w:w="1019" w:type="dxa"/>
          </w:tcPr>
          <w:p w14:paraId="03166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10035</w:t>
            </w:r>
          </w:p>
        </w:tc>
        <w:tc>
          <w:tcPr>
            <w:tcW w:w="1019" w:type="dxa"/>
          </w:tcPr>
          <w:p w14:paraId="0ECBC9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11500</w:t>
            </w:r>
          </w:p>
        </w:tc>
        <w:tc>
          <w:tcPr>
            <w:tcW w:w="1019" w:type="dxa"/>
          </w:tcPr>
          <w:p w14:paraId="3AF8CF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9470</w:t>
            </w:r>
          </w:p>
        </w:tc>
        <w:tc>
          <w:tcPr>
            <w:tcW w:w="1019" w:type="dxa"/>
          </w:tcPr>
          <w:p w14:paraId="764F7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9290</w:t>
            </w:r>
          </w:p>
        </w:tc>
      </w:tr>
      <w:tr w:rsidR="000F5689" w:rsidRPr="00925F26" w14:paraId="572C6D4D" w14:textId="77777777">
        <w:tc>
          <w:tcPr>
            <w:tcW w:w="1019" w:type="dxa"/>
          </w:tcPr>
          <w:p w14:paraId="2624E4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 км/ч</w:t>
            </w:r>
          </w:p>
        </w:tc>
        <w:tc>
          <w:tcPr>
            <w:tcW w:w="1019" w:type="dxa"/>
          </w:tcPr>
          <w:p w14:paraId="707071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c>
          <w:tcPr>
            <w:tcW w:w="1019" w:type="dxa"/>
          </w:tcPr>
          <w:p w14:paraId="24D08D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344</w:t>
            </w:r>
          </w:p>
        </w:tc>
        <w:tc>
          <w:tcPr>
            <w:tcW w:w="1019" w:type="dxa"/>
          </w:tcPr>
          <w:p w14:paraId="6FD195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362</w:t>
            </w:r>
          </w:p>
        </w:tc>
        <w:tc>
          <w:tcPr>
            <w:tcW w:w="1019" w:type="dxa"/>
          </w:tcPr>
          <w:p w14:paraId="565DA7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332</w:t>
            </w:r>
          </w:p>
        </w:tc>
        <w:tc>
          <w:tcPr>
            <w:tcW w:w="1019" w:type="dxa"/>
          </w:tcPr>
          <w:p w14:paraId="61E32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c>
          <w:tcPr>
            <w:tcW w:w="1019" w:type="dxa"/>
          </w:tcPr>
          <w:p w14:paraId="637BFD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w:t>
            </w:r>
          </w:p>
        </w:tc>
        <w:tc>
          <w:tcPr>
            <w:tcW w:w="1019" w:type="dxa"/>
          </w:tcPr>
          <w:p w14:paraId="26C493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E649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379</w:t>
            </w:r>
          </w:p>
        </w:tc>
        <w:tc>
          <w:tcPr>
            <w:tcW w:w="1019" w:type="dxa"/>
          </w:tcPr>
          <w:p w14:paraId="537E4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340</w:t>
            </w:r>
          </w:p>
        </w:tc>
        <w:tc>
          <w:tcPr>
            <w:tcW w:w="1019" w:type="dxa"/>
          </w:tcPr>
          <w:p w14:paraId="2E7846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340</w:t>
            </w:r>
          </w:p>
        </w:tc>
      </w:tr>
      <w:tr w:rsidR="000F5689" w:rsidRPr="00925F26" w14:paraId="07210A4D" w14:textId="77777777">
        <w:tc>
          <w:tcPr>
            <w:tcW w:w="1019" w:type="dxa"/>
          </w:tcPr>
          <w:p w14:paraId="5E6A11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км/ч на высоте, м</w:t>
            </w:r>
          </w:p>
        </w:tc>
        <w:tc>
          <w:tcPr>
            <w:tcW w:w="1019" w:type="dxa"/>
          </w:tcPr>
          <w:p w14:paraId="2630C5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428 4000</w:t>
            </w:r>
          </w:p>
        </w:tc>
        <w:tc>
          <w:tcPr>
            <w:tcW w:w="1019" w:type="dxa"/>
          </w:tcPr>
          <w:p w14:paraId="38122F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427 6000</w:t>
            </w:r>
          </w:p>
        </w:tc>
        <w:tc>
          <w:tcPr>
            <w:tcW w:w="1019" w:type="dxa"/>
          </w:tcPr>
          <w:p w14:paraId="2CC473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425 6200</w:t>
            </w:r>
          </w:p>
        </w:tc>
        <w:tc>
          <w:tcPr>
            <w:tcW w:w="1019" w:type="dxa"/>
          </w:tcPr>
          <w:p w14:paraId="079C6D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405 4900</w:t>
            </w:r>
          </w:p>
        </w:tc>
        <w:tc>
          <w:tcPr>
            <w:tcW w:w="1019" w:type="dxa"/>
          </w:tcPr>
          <w:p w14:paraId="172A26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428 6400</w:t>
            </w:r>
          </w:p>
        </w:tc>
        <w:tc>
          <w:tcPr>
            <w:tcW w:w="1019" w:type="dxa"/>
          </w:tcPr>
          <w:p w14:paraId="4719A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406 6250</w:t>
            </w:r>
          </w:p>
        </w:tc>
        <w:tc>
          <w:tcPr>
            <w:tcW w:w="1019" w:type="dxa"/>
          </w:tcPr>
          <w:p w14:paraId="3D9C36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412 5400</w:t>
            </w:r>
          </w:p>
        </w:tc>
        <w:tc>
          <w:tcPr>
            <w:tcW w:w="1019" w:type="dxa"/>
          </w:tcPr>
          <w:p w14:paraId="2CD6E9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437 5300</w:t>
            </w:r>
          </w:p>
        </w:tc>
        <w:tc>
          <w:tcPr>
            <w:tcW w:w="1019" w:type="dxa"/>
          </w:tcPr>
          <w:p w14:paraId="4BBE85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463 6000</w:t>
            </w:r>
          </w:p>
        </w:tc>
        <w:tc>
          <w:tcPr>
            <w:tcW w:w="1019" w:type="dxa"/>
          </w:tcPr>
          <w:p w14:paraId="6724BA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406 6400</w:t>
            </w:r>
          </w:p>
        </w:tc>
      </w:tr>
      <w:tr w:rsidR="000F5689" w:rsidRPr="00925F26" w14:paraId="449F95A8" w14:textId="77777777">
        <w:tc>
          <w:tcPr>
            <w:tcW w:w="1019" w:type="dxa"/>
          </w:tcPr>
          <w:p w14:paraId="1994DB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Практический </w:t>
            </w:r>
            <w:proofErr w:type="gramStart"/>
            <w:r w:rsidRPr="00925F26">
              <w:rPr>
                <w:color w:val="000000" w:themeColor="text1"/>
                <w:sz w:val="16"/>
                <w:szCs w:val="16"/>
              </w:rPr>
              <w:t>потолок,м</w:t>
            </w:r>
            <w:proofErr w:type="gramEnd"/>
          </w:p>
        </w:tc>
        <w:tc>
          <w:tcPr>
            <w:tcW w:w="1019" w:type="dxa"/>
          </w:tcPr>
          <w:p w14:paraId="7EC5F6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9600</w:t>
            </w:r>
          </w:p>
        </w:tc>
        <w:tc>
          <w:tcPr>
            <w:tcW w:w="1019" w:type="dxa"/>
          </w:tcPr>
          <w:p w14:paraId="0B8F74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1019" w:type="dxa"/>
          </w:tcPr>
          <w:p w14:paraId="196DB7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10050</w:t>
            </w:r>
          </w:p>
        </w:tc>
        <w:tc>
          <w:tcPr>
            <w:tcW w:w="1019" w:type="dxa"/>
          </w:tcPr>
          <w:p w14:paraId="212435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9000</w:t>
            </w:r>
          </w:p>
        </w:tc>
        <w:tc>
          <w:tcPr>
            <w:tcW w:w="1019" w:type="dxa"/>
          </w:tcPr>
          <w:p w14:paraId="0537D1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8900</w:t>
            </w:r>
          </w:p>
        </w:tc>
        <w:tc>
          <w:tcPr>
            <w:tcW w:w="1019" w:type="dxa"/>
          </w:tcPr>
          <w:p w14:paraId="4972A3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9400</w:t>
            </w:r>
          </w:p>
        </w:tc>
        <w:tc>
          <w:tcPr>
            <w:tcW w:w="1019" w:type="dxa"/>
          </w:tcPr>
          <w:p w14:paraId="4DFBEE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8300</w:t>
            </w:r>
          </w:p>
        </w:tc>
        <w:tc>
          <w:tcPr>
            <w:tcW w:w="1019" w:type="dxa"/>
          </w:tcPr>
          <w:p w14:paraId="54EDA9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3C7BAD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8700</w:t>
            </w:r>
          </w:p>
        </w:tc>
        <w:tc>
          <w:tcPr>
            <w:tcW w:w="1019" w:type="dxa"/>
          </w:tcPr>
          <w:p w14:paraId="6FC71C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8750</w:t>
            </w:r>
          </w:p>
        </w:tc>
      </w:tr>
      <w:tr w:rsidR="000F5689" w:rsidRPr="00925F26" w14:paraId="5B089FD0" w14:textId="77777777">
        <w:tc>
          <w:tcPr>
            <w:tcW w:w="1019" w:type="dxa"/>
          </w:tcPr>
          <w:p w14:paraId="393D23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1000 м, мин</w:t>
            </w:r>
          </w:p>
        </w:tc>
        <w:tc>
          <w:tcPr>
            <w:tcW w:w="1019" w:type="dxa"/>
          </w:tcPr>
          <w:p w14:paraId="798E6E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w:t>
            </w:r>
          </w:p>
        </w:tc>
        <w:tc>
          <w:tcPr>
            <w:tcW w:w="1019" w:type="dxa"/>
          </w:tcPr>
          <w:p w14:paraId="684254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w:t>
            </w:r>
          </w:p>
        </w:tc>
        <w:tc>
          <w:tcPr>
            <w:tcW w:w="1019" w:type="dxa"/>
          </w:tcPr>
          <w:p w14:paraId="53A0AF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68057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4BB69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74CE64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2CF547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8BFFD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587F19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F13F0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F77035A" w14:textId="77777777">
        <w:tc>
          <w:tcPr>
            <w:tcW w:w="1019" w:type="dxa"/>
          </w:tcPr>
          <w:p w14:paraId="74E7DE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019" w:type="dxa"/>
          </w:tcPr>
          <w:p w14:paraId="7E4183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12,1</w:t>
            </w:r>
          </w:p>
        </w:tc>
        <w:tc>
          <w:tcPr>
            <w:tcW w:w="1019" w:type="dxa"/>
          </w:tcPr>
          <w:p w14:paraId="3261E5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w:t>
            </w:r>
          </w:p>
        </w:tc>
        <w:tc>
          <w:tcPr>
            <w:tcW w:w="1019" w:type="dxa"/>
          </w:tcPr>
          <w:p w14:paraId="709C78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10,25</w:t>
            </w:r>
          </w:p>
        </w:tc>
        <w:tc>
          <w:tcPr>
            <w:tcW w:w="1019" w:type="dxa"/>
          </w:tcPr>
          <w:p w14:paraId="3DC734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12,8</w:t>
            </w:r>
          </w:p>
        </w:tc>
        <w:tc>
          <w:tcPr>
            <w:tcW w:w="1019" w:type="dxa"/>
          </w:tcPr>
          <w:p w14:paraId="1E3C55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0BA007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1019" w:type="dxa"/>
          </w:tcPr>
          <w:p w14:paraId="153AF5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11F0E9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Pr>
          <w:p w14:paraId="624967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17,5</w:t>
            </w:r>
          </w:p>
        </w:tc>
        <w:tc>
          <w:tcPr>
            <w:tcW w:w="1019" w:type="dxa"/>
          </w:tcPr>
          <w:p w14:paraId="351D48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16,1</w:t>
            </w:r>
          </w:p>
        </w:tc>
      </w:tr>
      <w:tr w:rsidR="000F5689" w:rsidRPr="00925F26" w14:paraId="6DDF38D6" w14:textId="77777777">
        <w:tc>
          <w:tcPr>
            <w:tcW w:w="1019" w:type="dxa"/>
            <w:tcBorders>
              <w:bottom w:val="single" w:sz="12" w:space="0" w:color="auto"/>
            </w:tcBorders>
          </w:tcPr>
          <w:p w14:paraId="53C871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км</w:t>
            </w:r>
          </w:p>
        </w:tc>
        <w:tc>
          <w:tcPr>
            <w:tcW w:w="1019" w:type="dxa"/>
            <w:tcBorders>
              <w:bottom w:val="single" w:sz="12" w:space="0" w:color="auto"/>
            </w:tcBorders>
          </w:tcPr>
          <w:p w14:paraId="4BB74B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4200</w:t>
            </w:r>
          </w:p>
        </w:tc>
        <w:tc>
          <w:tcPr>
            <w:tcW w:w="1019" w:type="dxa"/>
            <w:tcBorders>
              <w:bottom w:val="single" w:sz="12" w:space="0" w:color="auto"/>
            </w:tcBorders>
          </w:tcPr>
          <w:p w14:paraId="51DB9E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4200</w:t>
            </w:r>
          </w:p>
        </w:tc>
        <w:tc>
          <w:tcPr>
            <w:tcW w:w="1019" w:type="dxa"/>
            <w:tcBorders>
              <w:bottom w:val="single" w:sz="12" w:space="0" w:color="auto"/>
            </w:tcBorders>
          </w:tcPr>
          <w:p w14:paraId="716202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Borders>
              <w:bottom w:val="single" w:sz="12" w:space="0" w:color="auto"/>
            </w:tcBorders>
          </w:tcPr>
          <w:p w14:paraId="57F471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19" w:type="dxa"/>
            <w:tcBorders>
              <w:bottom w:val="single" w:sz="12" w:space="0" w:color="auto"/>
            </w:tcBorders>
          </w:tcPr>
          <w:p w14:paraId="57A3D2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3300</w:t>
            </w:r>
          </w:p>
        </w:tc>
        <w:tc>
          <w:tcPr>
            <w:tcW w:w="1019" w:type="dxa"/>
            <w:tcBorders>
              <w:bottom w:val="single" w:sz="12" w:space="0" w:color="auto"/>
            </w:tcBorders>
          </w:tcPr>
          <w:p w14:paraId="42DDD2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3300**</w:t>
            </w:r>
          </w:p>
        </w:tc>
        <w:tc>
          <w:tcPr>
            <w:tcW w:w="1019" w:type="dxa"/>
            <w:tcBorders>
              <w:bottom w:val="single" w:sz="12" w:space="0" w:color="auto"/>
            </w:tcBorders>
          </w:tcPr>
          <w:p w14:paraId="52ED3D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4265</w:t>
            </w:r>
          </w:p>
        </w:tc>
        <w:tc>
          <w:tcPr>
            <w:tcW w:w="1019" w:type="dxa"/>
            <w:tcBorders>
              <w:bottom w:val="single" w:sz="12" w:space="0" w:color="auto"/>
            </w:tcBorders>
          </w:tcPr>
          <w:p w14:paraId="725FD2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2540</w:t>
            </w:r>
          </w:p>
        </w:tc>
        <w:tc>
          <w:tcPr>
            <w:tcW w:w="1019" w:type="dxa"/>
            <w:tcBorders>
              <w:bottom w:val="single" w:sz="12" w:space="0" w:color="auto"/>
            </w:tcBorders>
          </w:tcPr>
          <w:p w14:paraId="61297D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019" w:type="dxa"/>
            <w:tcBorders>
              <w:bottom w:val="single" w:sz="12" w:space="0" w:color="auto"/>
            </w:tcBorders>
          </w:tcPr>
          <w:p w14:paraId="0FCAB0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3145</w:t>
            </w:r>
          </w:p>
        </w:tc>
      </w:tr>
    </w:tbl>
    <w:p w14:paraId="279451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с деревянной носовой частью фюзеляжа с фанерной обшивкой крыла **с подвесными баками - 3800км (12021).</w:t>
      </w:r>
    </w:p>
    <w:p w14:paraId="000824D3" w14:textId="77777777" w:rsidR="00665165" w:rsidRPr="00925F26" w:rsidRDefault="00665165" w:rsidP="00925F26">
      <w:pPr>
        <w:autoSpaceDE w:val="0"/>
        <w:autoSpaceDN w:val="0"/>
        <w:adjustRightInd w:val="0"/>
        <w:jc w:val="both"/>
        <w:rPr>
          <w:color w:val="000000" w:themeColor="text1"/>
          <w:sz w:val="16"/>
          <w:szCs w:val="16"/>
        </w:rPr>
      </w:pPr>
    </w:p>
    <w:p w14:paraId="53796D65" w14:textId="77777777" w:rsidR="00BD3ED4" w:rsidRPr="00925F26" w:rsidRDefault="00BD3ED4" w:rsidP="00925F26">
      <w:pPr>
        <w:jc w:val="both"/>
        <w:rPr>
          <w:color w:val="000000" w:themeColor="text1"/>
          <w:sz w:val="16"/>
          <w:szCs w:val="16"/>
        </w:rPr>
      </w:pPr>
      <w:r w:rsidRPr="00925F26">
        <w:rPr>
          <w:color w:val="000000" w:themeColor="text1"/>
          <w:sz w:val="16"/>
          <w:szCs w:val="16"/>
        </w:rPr>
        <w:t>18 мая 1946 г.</w:t>
      </w:r>
    </w:p>
    <w:p w14:paraId="7466A51D" w14:textId="77777777" w:rsidR="00BD3ED4" w:rsidRPr="00925F26" w:rsidRDefault="00BD3ED4" w:rsidP="00925F26">
      <w:pPr>
        <w:jc w:val="both"/>
        <w:rPr>
          <w:color w:val="000000" w:themeColor="text1"/>
          <w:sz w:val="16"/>
          <w:szCs w:val="16"/>
        </w:rPr>
      </w:pPr>
      <w:r w:rsidRPr="00925F26">
        <w:rPr>
          <w:color w:val="000000" w:themeColor="text1"/>
          <w:sz w:val="16"/>
          <w:szCs w:val="16"/>
        </w:rPr>
        <w:t xml:space="preserve">Письмо министра внутренних дел СССР С.Н.Круглова </w:t>
      </w:r>
      <w:proofErr w:type="gramStart"/>
      <w:r w:rsidRPr="00925F26">
        <w:rPr>
          <w:color w:val="000000" w:themeColor="text1"/>
          <w:sz w:val="16"/>
          <w:szCs w:val="16"/>
        </w:rPr>
        <w:t>И.В</w:t>
      </w:r>
      <w:proofErr w:type="gramEnd"/>
      <w:r w:rsidRPr="00925F26">
        <w:rPr>
          <w:color w:val="000000" w:themeColor="text1"/>
          <w:sz w:val="16"/>
          <w:szCs w:val="16"/>
        </w:rPr>
        <w:t>.Сталину о проектировании в Четвертом спецотделе МВД СССР турбореактивного двигателя и необходимости организации конструкторского бюро для его постройки</w:t>
      </w:r>
    </w:p>
    <w:p w14:paraId="20D946D1"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18 мая 1946 г.</w:t>
      </w:r>
    </w:p>
    <w:p w14:paraId="4A7E8E60"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Совершенно секретно</w:t>
      </w:r>
    </w:p>
    <w:p w14:paraId="7428D988"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 2047/к</w:t>
      </w:r>
    </w:p>
    <w:p w14:paraId="5E2E1C62"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Товарищу Сталину И.В.</w:t>
      </w:r>
    </w:p>
    <w:p w14:paraId="2A03BDAF"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Группа заключенных специалистов 4-го Спецотдела Министерства внут</w:t>
      </w:r>
      <w:r w:rsidRPr="00925F26">
        <w:rPr>
          <w:color w:val="000000" w:themeColor="text1"/>
          <w:sz w:val="16"/>
          <w:szCs w:val="16"/>
        </w:rPr>
        <w:softHyphen/>
        <w:t>ренних дел СССР, под руководством заключенного специалиста профессора Страховича К.И., профессора Винблад А.Ю. и инженера Тейфель Г.К., про</w:t>
      </w:r>
      <w:r w:rsidRPr="00925F26">
        <w:rPr>
          <w:color w:val="000000" w:themeColor="text1"/>
          <w:sz w:val="16"/>
          <w:szCs w:val="16"/>
        </w:rPr>
        <w:softHyphen/>
        <w:t>должительное время работали над созданием отечественного турбореактивного двигателя</w:t>
      </w:r>
      <w:r w:rsidRPr="00925F26">
        <w:rPr>
          <w:color w:val="000000" w:themeColor="text1"/>
          <w:sz w:val="16"/>
          <w:szCs w:val="16"/>
          <w:vertAlign w:val="superscript"/>
        </w:rPr>
        <w:t>325</w:t>
      </w:r>
      <w:r w:rsidRPr="00925F26">
        <w:rPr>
          <w:color w:val="000000" w:themeColor="text1"/>
          <w:sz w:val="16"/>
          <w:szCs w:val="16"/>
        </w:rPr>
        <w:t>.</w:t>
      </w:r>
    </w:p>
    <w:p w14:paraId="6C90B37F"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Основываясь на результатах своих теоретических исследований ряда воз</w:t>
      </w:r>
      <w:r w:rsidRPr="00925F26">
        <w:rPr>
          <w:color w:val="000000" w:themeColor="text1"/>
          <w:sz w:val="16"/>
          <w:szCs w:val="16"/>
        </w:rPr>
        <w:softHyphen/>
        <w:t>можных схем воздушно-реактивных двигателей, группа выдвигает предложе</w:t>
      </w:r>
      <w:r w:rsidRPr="00925F26">
        <w:rPr>
          <w:color w:val="000000" w:themeColor="text1"/>
          <w:sz w:val="16"/>
          <w:szCs w:val="16"/>
        </w:rPr>
        <w:softHyphen/>
        <w:t>ние по созданию турбореактивных двигателей «ТРД-7Б» со следующими так</w:t>
      </w:r>
      <w:r w:rsidRPr="00925F26">
        <w:rPr>
          <w:color w:val="000000" w:themeColor="text1"/>
          <w:sz w:val="16"/>
          <w:szCs w:val="16"/>
        </w:rPr>
        <w:softHyphen/>
        <w:t>тико-техническими данными:</w:t>
      </w:r>
    </w:p>
    <w:p w14:paraId="0642EF93" w14:textId="77777777" w:rsidR="00BD3ED4" w:rsidRPr="00925F26" w:rsidRDefault="00BD3ED4" w:rsidP="00925F26">
      <w:pPr>
        <w:pStyle w:val="216"/>
        <w:numPr>
          <w:ilvl w:val="9"/>
          <w:numId w:val="2"/>
        </w:numPr>
        <w:shd w:val="clear" w:color="auto" w:fill="auto"/>
        <w:tabs>
          <w:tab w:val="left" w:pos="984"/>
          <w:tab w:val="left" w:pos="6032"/>
        </w:tabs>
        <w:spacing w:before="0" w:after="0" w:line="240" w:lineRule="auto"/>
        <w:ind w:firstLine="0"/>
        <w:jc w:val="both"/>
        <w:rPr>
          <w:color w:val="000000" w:themeColor="text1"/>
          <w:sz w:val="16"/>
          <w:szCs w:val="16"/>
        </w:rPr>
      </w:pPr>
      <w:r w:rsidRPr="00925F26">
        <w:rPr>
          <w:color w:val="000000" w:themeColor="text1"/>
          <w:sz w:val="16"/>
          <w:szCs w:val="16"/>
        </w:rPr>
        <w:t>Тяга на старте: без форсировки</w:t>
      </w:r>
      <w:r w:rsidRPr="00925F26">
        <w:rPr>
          <w:color w:val="000000" w:themeColor="text1"/>
          <w:sz w:val="16"/>
          <w:szCs w:val="16"/>
        </w:rPr>
        <w:tab/>
        <w:t>3000 кг</w:t>
      </w:r>
    </w:p>
    <w:p w14:paraId="50ED8530" w14:textId="77777777" w:rsidR="00BD3ED4" w:rsidRPr="00925F26" w:rsidRDefault="00BD3ED4" w:rsidP="00925F26">
      <w:pPr>
        <w:pStyle w:val="216"/>
        <w:shd w:val="clear" w:color="auto" w:fill="auto"/>
        <w:tabs>
          <w:tab w:val="right" w:pos="6880"/>
        </w:tabs>
        <w:spacing w:before="0" w:after="0" w:line="240" w:lineRule="auto"/>
        <w:ind w:firstLine="0"/>
        <w:jc w:val="both"/>
        <w:rPr>
          <w:color w:val="000000" w:themeColor="text1"/>
          <w:sz w:val="16"/>
          <w:szCs w:val="16"/>
        </w:rPr>
      </w:pPr>
      <w:r w:rsidRPr="00925F26">
        <w:rPr>
          <w:color w:val="000000" w:themeColor="text1"/>
          <w:sz w:val="16"/>
          <w:szCs w:val="16"/>
        </w:rPr>
        <w:t>с форсировкой</w:t>
      </w:r>
      <w:r w:rsidRPr="00925F26">
        <w:rPr>
          <w:color w:val="000000" w:themeColor="text1"/>
          <w:sz w:val="16"/>
          <w:szCs w:val="16"/>
        </w:rPr>
        <w:tab/>
        <w:t>3500 кг</w:t>
      </w:r>
    </w:p>
    <w:p w14:paraId="431B5169" w14:textId="77777777" w:rsidR="00BD3ED4" w:rsidRPr="00925F26" w:rsidRDefault="00BD3ED4" w:rsidP="00925F26">
      <w:pPr>
        <w:pStyle w:val="216"/>
        <w:shd w:val="clear" w:color="auto" w:fill="auto"/>
        <w:tabs>
          <w:tab w:val="right" w:pos="6887"/>
        </w:tabs>
        <w:spacing w:before="0" w:after="0" w:line="240" w:lineRule="auto"/>
        <w:ind w:firstLine="0"/>
        <w:jc w:val="both"/>
        <w:rPr>
          <w:color w:val="000000" w:themeColor="text1"/>
          <w:sz w:val="16"/>
          <w:szCs w:val="16"/>
        </w:rPr>
      </w:pPr>
      <w:r w:rsidRPr="00925F26">
        <w:rPr>
          <w:color w:val="000000" w:themeColor="text1"/>
          <w:sz w:val="16"/>
          <w:szCs w:val="16"/>
        </w:rPr>
        <w:t>Тяга у земли при скорости 800 км/час</w:t>
      </w:r>
      <w:r w:rsidRPr="00925F26">
        <w:rPr>
          <w:color w:val="000000" w:themeColor="text1"/>
          <w:sz w:val="16"/>
          <w:szCs w:val="16"/>
        </w:rPr>
        <w:tab/>
        <w:t>2540 кг</w:t>
      </w:r>
    </w:p>
    <w:p w14:paraId="0A0F1438" w14:textId="77777777" w:rsidR="00BD3ED4" w:rsidRPr="00925F26" w:rsidRDefault="00BD3ED4" w:rsidP="00925F26">
      <w:pPr>
        <w:pStyle w:val="216"/>
        <w:shd w:val="clear" w:color="auto" w:fill="auto"/>
        <w:tabs>
          <w:tab w:val="right" w:pos="6890"/>
        </w:tabs>
        <w:spacing w:before="0" w:after="0" w:line="240" w:lineRule="auto"/>
        <w:ind w:firstLine="0"/>
        <w:jc w:val="both"/>
        <w:rPr>
          <w:color w:val="000000" w:themeColor="text1"/>
          <w:sz w:val="16"/>
          <w:szCs w:val="16"/>
        </w:rPr>
      </w:pPr>
      <w:r w:rsidRPr="00925F26">
        <w:rPr>
          <w:color w:val="000000" w:themeColor="text1"/>
          <w:sz w:val="16"/>
          <w:szCs w:val="16"/>
        </w:rPr>
        <w:t>Тяга на высоте 10 000 м при скорости 800</w:t>
      </w:r>
      <w:r w:rsidRPr="00925F26">
        <w:rPr>
          <w:color w:val="000000" w:themeColor="text1"/>
          <w:sz w:val="16"/>
          <w:szCs w:val="16"/>
        </w:rPr>
        <w:tab/>
        <w:t>км/час:</w:t>
      </w:r>
    </w:p>
    <w:p w14:paraId="7F877178" w14:textId="77777777" w:rsidR="00BD3ED4" w:rsidRPr="00925F26" w:rsidRDefault="00BD3ED4" w:rsidP="00925F26">
      <w:pPr>
        <w:pStyle w:val="216"/>
        <w:shd w:val="clear" w:color="auto" w:fill="auto"/>
        <w:tabs>
          <w:tab w:val="right" w:pos="6884"/>
        </w:tabs>
        <w:spacing w:before="0" w:after="0" w:line="240" w:lineRule="auto"/>
        <w:ind w:firstLine="0"/>
        <w:jc w:val="both"/>
        <w:rPr>
          <w:color w:val="000000" w:themeColor="text1"/>
          <w:sz w:val="16"/>
          <w:szCs w:val="16"/>
        </w:rPr>
      </w:pPr>
      <w:r w:rsidRPr="00925F26">
        <w:rPr>
          <w:color w:val="000000" w:themeColor="text1"/>
          <w:sz w:val="16"/>
          <w:szCs w:val="16"/>
        </w:rPr>
        <w:t>без форсировки</w:t>
      </w:r>
      <w:r w:rsidRPr="00925F26">
        <w:rPr>
          <w:color w:val="000000" w:themeColor="text1"/>
          <w:sz w:val="16"/>
          <w:szCs w:val="16"/>
        </w:rPr>
        <w:tab/>
        <w:t>950 кг</w:t>
      </w:r>
    </w:p>
    <w:p w14:paraId="0A191397" w14:textId="77777777" w:rsidR="00BD3ED4" w:rsidRPr="00925F26" w:rsidRDefault="00BD3ED4" w:rsidP="00925F26">
      <w:pPr>
        <w:pStyle w:val="216"/>
        <w:shd w:val="clear" w:color="auto" w:fill="auto"/>
        <w:tabs>
          <w:tab w:val="right" w:pos="6884"/>
        </w:tabs>
        <w:spacing w:before="0" w:after="0" w:line="240" w:lineRule="auto"/>
        <w:ind w:firstLine="0"/>
        <w:jc w:val="both"/>
        <w:rPr>
          <w:color w:val="000000" w:themeColor="text1"/>
          <w:sz w:val="16"/>
          <w:szCs w:val="16"/>
        </w:rPr>
      </w:pPr>
      <w:r w:rsidRPr="00925F26">
        <w:rPr>
          <w:color w:val="000000" w:themeColor="text1"/>
          <w:sz w:val="16"/>
          <w:szCs w:val="16"/>
        </w:rPr>
        <w:t>с форсировкой</w:t>
      </w:r>
      <w:r w:rsidRPr="00925F26">
        <w:rPr>
          <w:color w:val="000000" w:themeColor="text1"/>
          <w:sz w:val="16"/>
          <w:szCs w:val="16"/>
        </w:rPr>
        <w:tab/>
        <w:t>1110 кг</w:t>
      </w:r>
    </w:p>
    <w:p w14:paraId="7F11393B" w14:textId="77777777" w:rsidR="00BD3ED4" w:rsidRPr="00925F26" w:rsidRDefault="00BD3ED4" w:rsidP="00925F26">
      <w:pPr>
        <w:pStyle w:val="216"/>
        <w:numPr>
          <w:ilvl w:val="9"/>
          <w:numId w:val="2"/>
        </w:numPr>
        <w:shd w:val="clear" w:color="auto" w:fill="auto"/>
        <w:tabs>
          <w:tab w:val="left" w:pos="1016"/>
          <w:tab w:val="right" w:pos="6847"/>
        </w:tabs>
        <w:spacing w:before="0" w:after="0" w:line="240" w:lineRule="auto"/>
        <w:ind w:firstLine="0"/>
        <w:jc w:val="both"/>
        <w:rPr>
          <w:color w:val="000000" w:themeColor="text1"/>
          <w:sz w:val="16"/>
          <w:szCs w:val="16"/>
        </w:rPr>
      </w:pPr>
      <w:r w:rsidRPr="00925F26">
        <w:rPr>
          <w:color w:val="000000" w:themeColor="text1"/>
          <w:sz w:val="16"/>
          <w:szCs w:val="16"/>
        </w:rPr>
        <w:t>Расход топлива на 1 кг тяги в час</w:t>
      </w:r>
      <w:r w:rsidRPr="00925F26">
        <w:rPr>
          <w:color w:val="000000" w:themeColor="text1"/>
          <w:sz w:val="16"/>
          <w:szCs w:val="16"/>
        </w:rPr>
        <w:tab/>
        <w:t>1,04—1,27</w:t>
      </w:r>
    </w:p>
    <w:p w14:paraId="52CD812C" w14:textId="77777777" w:rsidR="00BD3ED4" w:rsidRPr="00925F26" w:rsidRDefault="00BD3ED4" w:rsidP="00925F26">
      <w:pPr>
        <w:pStyle w:val="216"/>
        <w:numPr>
          <w:ilvl w:val="9"/>
          <w:numId w:val="2"/>
        </w:numPr>
        <w:shd w:val="clear" w:color="auto" w:fill="auto"/>
        <w:tabs>
          <w:tab w:val="left" w:pos="1008"/>
          <w:tab w:val="right" w:pos="6843"/>
        </w:tabs>
        <w:spacing w:before="0" w:after="0" w:line="240" w:lineRule="auto"/>
        <w:ind w:firstLine="0"/>
        <w:jc w:val="both"/>
        <w:rPr>
          <w:color w:val="000000" w:themeColor="text1"/>
          <w:sz w:val="16"/>
          <w:szCs w:val="16"/>
        </w:rPr>
      </w:pPr>
      <w:r w:rsidRPr="00925F26">
        <w:rPr>
          <w:color w:val="000000" w:themeColor="text1"/>
          <w:sz w:val="16"/>
          <w:szCs w:val="16"/>
        </w:rPr>
        <w:t>Вес двигателя</w:t>
      </w:r>
      <w:r w:rsidRPr="00925F26">
        <w:rPr>
          <w:color w:val="000000" w:themeColor="text1"/>
          <w:sz w:val="16"/>
          <w:szCs w:val="16"/>
        </w:rPr>
        <w:tab/>
        <w:t>1400 кг</w:t>
      </w:r>
    </w:p>
    <w:p w14:paraId="30E14ED3" w14:textId="77777777" w:rsidR="00BD3ED4" w:rsidRPr="00925F26" w:rsidRDefault="00BD3ED4" w:rsidP="00925F26">
      <w:pPr>
        <w:pStyle w:val="216"/>
        <w:numPr>
          <w:ilvl w:val="9"/>
          <w:numId w:val="2"/>
        </w:numPr>
        <w:shd w:val="clear" w:color="auto" w:fill="auto"/>
        <w:tabs>
          <w:tab w:val="left" w:pos="1000"/>
          <w:tab w:val="right" w:pos="6854"/>
        </w:tabs>
        <w:spacing w:before="0" w:after="0" w:line="240" w:lineRule="auto"/>
        <w:ind w:firstLine="0"/>
        <w:jc w:val="both"/>
        <w:rPr>
          <w:color w:val="000000" w:themeColor="text1"/>
          <w:sz w:val="16"/>
          <w:szCs w:val="16"/>
        </w:rPr>
      </w:pPr>
      <w:r w:rsidRPr="00925F26">
        <w:rPr>
          <w:color w:val="000000" w:themeColor="text1"/>
          <w:sz w:val="16"/>
          <w:szCs w:val="16"/>
        </w:rPr>
        <w:t>Диаметр двигателя</w:t>
      </w:r>
      <w:r w:rsidRPr="00925F26">
        <w:rPr>
          <w:color w:val="000000" w:themeColor="text1"/>
          <w:sz w:val="16"/>
          <w:szCs w:val="16"/>
        </w:rPr>
        <w:tab/>
        <w:t>1250 мм</w:t>
      </w:r>
    </w:p>
    <w:p w14:paraId="4E99C653" w14:textId="77777777" w:rsidR="00BD3ED4" w:rsidRPr="00925F26" w:rsidRDefault="00BD3ED4" w:rsidP="00925F26">
      <w:pPr>
        <w:pStyle w:val="216"/>
        <w:numPr>
          <w:ilvl w:val="9"/>
          <w:numId w:val="2"/>
        </w:numPr>
        <w:shd w:val="clear" w:color="auto" w:fill="auto"/>
        <w:tabs>
          <w:tab w:val="left" w:pos="992"/>
          <w:tab w:val="right" w:pos="6847"/>
        </w:tabs>
        <w:spacing w:before="0" w:after="0" w:line="240" w:lineRule="auto"/>
        <w:ind w:firstLine="0"/>
        <w:jc w:val="both"/>
        <w:rPr>
          <w:color w:val="000000" w:themeColor="text1"/>
          <w:sz w:val="16"/>
          <w:szCs w:val="16"/>
        </w:rPr>
      </w:pPr>
      <w:r w:rsidRPr="00925F26">
        <w:rPr>
          <w:color w:val="000000" w:themeColor="text1"/>
          <w:sz w:val="16"/>
          <w:szCs w:val="16"/>
        </w:rPr>
        <w:t>Длина двигателя</w:t>
      </w:r>
      <w:r w:rsidRPr="00925F26">
        <w:rPr>
          <w:color w:val="000000" w:themeColor="text1"/>
          <w:sz w:val="16"/>
          <w:szCs w:val="16"/>
        </w:rPr>
        <w:tab/>
        <w:t>3990 мм</w:t>
      </w:r>
    </w:p>
    <w:p w14:paraId="7C5A378A"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По заключению специалистов, анализ сравнительных данных свидетельст</w:t>
      </w:r>
      <w:r w:rsidRPr="00925F26">
        <w:rPr>
          <w:color w:val="000000" w:themeColor="text1"/>
          <w:sz w:val="16"/>
          <w:szCs w:val="16"/>
        </w:rPr>
        <w:softHyphen/>
        <w:t>вует о ряде преимуществ двигателя ТРД-7Б по отношению к немецким двига</w:t>
      </w:r>
      <w:r w:rsidRPr="00925F26">
        <w:rPr>
          <w:color w:val="000000" w:themeColor="text1"/>
          <w:sz w:val="16"/>
          <w:szCs w:val="16"/>
        </w:rPr>
        <w:softHyphen/>
        <w:t>телям ЮМО—004 и —003 и американским двигателям —180 и —40.</w:t>
      </w:r>
    </w:p>
    <w:p w14:paraId="2C119DB9"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Министерством внутренних дел СССР предложение по турбореактивному двигателю вместе с эскизным проектом было направлено на рассмотрение и заключение в Государственный научно-испытательный институт Военно-воз</w:t>
      </w:r>
      <w:r w:rsidRPr="00925F26">
        <w:rPr>
          <w:color w:val="000000" w:themeColor="text1"/>
          <w:sz w:val="16"/>
          <w:szCs w:val="16"/>
        </w:rPr>
        <w:softHyphen/>
        <w:t>душных Сил, который в своем заключении рекомендовал ТРД-7Б для оконча</w:t>
      </w:r>
      <w:r w:rsidRPr="00925F26">
        <w:rPr>
          <w:color w:val="000000" w:themeColor="text1"/>
          <w:sz w:val="16"/>
          <w:szCs w:val="16"/>
        </w:rPr>
        <w:softHyphen/>
        <w:t>тельной разработки и практической реализации.</w:t>
      </w:r>
    </w:p>
    <w:p w14:paraId="3ADC8DF6"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Для создания двигателя ТРД-7Б в короткие сроки необходима организация конструкторского бюро с мощной производственно-экспериментальной базой при кооперировании с крупным авиамоторным заводом.</w:t>
      </w:r>
    </w:p>
    <w:p w14:paraId="3A3EE258"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Докладывая Вам о проделанной работе по турбореактивному двигателю, полагал бы целесообразным поручить совместно Специальному комитету по реактивной технике при Совете Министров Союза ССР и Министерству внут</w:t>
      </w:r>
      <w:r w:rsidRPr="00925F26">
        <w:rPr>
          <w:color w:val="000000" w:themeColor="text1"/>
          <w:sz w:val="16"/>
          <w:szCs w:val="16"/>
        </w:rPr>
        <w:softHyphen/>
        <w:t>ренних дел Союза ССР рассмотреть предложение по двигателю ТРД-7Б и под</w:t>
      </w:r>
      <w:r w:rsidRPr="00925F26">
        <w:rPr>
          <w:color w:val="000000" w:themeColor="text1"/>
          <w:sz w:val="16"/>
          <w:szCs w:val="16"/>
        </w:rPr>
        <w:softHyphen/>
        <w:t>готовить проект решения Совета министров Союза ССР по его практической реализации.</w:t>
      </w:r>
    </w:p>
    <w:p w14:paraId="197E2ADB" w14:textId="77777777" w:rsidR="00BD3ED4" w:rsidRPr="00925F26" w:rsidRDefault="00BD3ED4" w:rsidP="00925F26">
      <w:pPr>
        <w:pStyle w:val="216"/>
        <w:shd w:val="clear" w:color="auto" w:fill="auto"/>
        <w:spacing w:before="0" w:after="0" w:line="240" w:lineRule="auto"/>
        <w:ind w:firstLine="0"/>
        <w:jc w:val="both"/>
        <w:rPr>
          <w:color w:val="000000" w:themeColor="text1"/>
          <w:sz w:val="16"/>
          <w:szCs w:val="16"/>
        </w:rPr>
      </w:pPr>
      <w:r w:rsidRPr="00925F26">
        <w:rPr>
          <w:rStyle w:val="16"/>
          <w:rFonts w:ascii="Times New Roman" w:cs="Times New Roman"/>
          <w:color w:val="000000" w:themeColor="text1"/>
          <w:spacing w:val="0"/>
        </w:rPr>
        <w:t>ПРИЛОЖЕНИЕ</w:t>
      </w:r>
      <w:r w:rsidRPr="00925F26">
        <w:rPr>
          <w:color w:val="000000" w:themeColor="text1"/>
          <w:sz w:val="16"/>
          <w:szCs w:val="16"/>
        </w:rPr>
        <w:t>: Альбом с описанием и характеристиками ТРД-7Б.</w:t>
      </w:r>
    </w:p>
    <w:p w14:paraId="183EC1B8" w14:textId="77777777" w:rsidR="00BD3ED4" w:rsidRPr="00925F26" w:rsidRDefault="00BD3ED4" w:rsidP="00925F26">
      <w:pPr>
        <w:pStyle w:val="216"/>
        <w:shd w:val="clear" w:color="auto" w:fill="auto"/>
        <w:tabs>
          <w:tab w:val="left" w:pos="6961"/>
        </w:tabs>
        <w:spacing w:before="0" w:after="0" w:line="240" w:lineRule="auto"/>
        <w:ind w:firstLine="0"/>
        <w:jc w:val="both"/>
        <w:rPr>
          <w:color w:val="000000" w:themeColor="text1"/>
          <w:sz w:val="16"/>
          <w:szCs w:val="16"/>
        </w:rPr>
      </w:pPr>
      <w:r w:rsidRPr="00925F26">
        <w:rPr>
          <w:color w:val="000000" w:themeColor="text1"/>
          <w:sz w:val="16"/>
          <w:szCs w:val="16"/>
        </w:rPr>
        <w:t>Министр внутренних дел СССР</w:t>
      </w:r>
      <w:r w:rsidRPr="00925F26">
        <w:rPr>
          <w:color w:val="000000" w:themeColor="text1"/>
          <w:sz w:val="16"/>
          <w:szCs w:val="16"/>
        </w:rPr>
        <w:tab/>
        <w:t>С.Круглов</w:t>
      </w:r>
    </w:p>
    <w:p w14:paraId="3A9A5F20" w14:textId="77777777" w:rsidR="00BD3ED4" w:rsidRPr="00925F26" w:rsidRDefault="00BD3ED4" w:rsidP="00925F26">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925F26">
        <w:rPr>
          <w:rFonts w:ascii="Times New Roman" w:hAnsi="Times New Roman" w:cs="Times New Roman"/>
          <w:color w:val="000000" w:themeColor="text1"/>
          <w:spacing w:val="0"/>
          <w:sz w:val="16"/>
          <w:szCs w:val="16"/>
        </w:rPr>
        <w:t xml:space="preserve">ГА РФ. Ф. Р-9401. </w:t>
      </w:r>
      <w:r w:rsidRPr="00925F26">
        <w:rPr>
          <w:rFonts w:ascii="Times New Roman" w:hAnsi="Times New Roman" w:cs="Times New Roman"/>
          <w:color w:val="000000" w:themeColor="text1"/>
          <w:spacing w:val="0"/>
          <w:sz w:val="16"/>
          <w:szCs w:val="16"/>
          <w:lang w:val="en-US"/>
        </w:rPr>
        <w:t>On</w:t>
      </w:r>
      <w:r w:rsidRPr="00925F26">
        <w:rPr>
          <w:rFonts w:ascii="Times New Roman" w:hAnsi="Times New Roman" w:cs="Times New Roman"/>
          <w:color w:val="000000" w:themeColor="text1"/>
          <w:spacing w:val="0"/>
          <w:sz w:val="16"/>
          <w:szCs w:val="16"/>
        </w:rPr>
        <w:t>. 2. Д. 136. Л. 204-205. Заверенная копия (19097).</w:t>
      </w:r>
    </w:p>
    <w:p w14:paraId="4F4019B4" w14:textId="77777777" w:rsidR="00BD3ED4" w:rsidRPr="00925F26" w:rsidRDefault="00BD3ED4" w:rsidP="00925F26">
      <w:pPr>
        <w:pStyle w:val="281"/>
        <w:shd w:val="clear" w:color="auto" w:fill="auto"/>
        <w:spacing w:after="0" w:line="240" w:lineRule="auto"/>
        <w:jc w:val="both"/>
        <w:rPr>
          <w:rFonts w:ascii="Times New Roman" w:hAnsi="Times New Roman" w:cs="Times New Roman"/>
          <w:color w:val="000000" w:themeColor="text1"/>
          <w:spacing w:val="0"/>
          <w:sz w:val="16"/>
          <w:szCs w:val="16"/>
        </w:rPr>
      </w:pPr>
    </w:p>
    <w:p w14:paraId="6926E86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4ADB0DA" w14:textId="77777777" w:rsidR="00665165" w:rsidRPr="00925F26" w:rsidRDefault="00665165" w:rsidP="00925F26">
      <w:pPr>
        <w:autoSpaceDE w:val="0"/>
        <w:autoSpaceDN w:val="0"/>
        <w:adjustRightInd w:val="0"/>
        <w:jc w:val="both"/>
        <w:rPr>
          <w:iCs/>
          <w:color w:val="000000" w:themeColor="text1"/>
          <w:sz w:val="16"/>
          <w:szCs w:val="16"/>
        </w:rPr>
      </w:pPr>
    </w:p>
    <w:p w14:paraId="666645F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мая 1945 вышло Распоряжение ГКО № 8660 [О мерах по обеспечению погрузки угля в каменноугольных бассейнах.] (7342, 54-55).</w:t>
      </w:r>
    </w:p>
    <w:p w14:paraId="7C977D2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AA9529A" w14:textId="77777777" w:rsidR="00BD3ED4" w:rsidRPr="00925F26" w:rsidRDefault="00BD3ED4" w:rsidP="00925F26">
      <w:pPr>
        <w:jc w:val="both"/>
        <w:rPr>
          <w:color w:val="000000" w:themeColor="text1"/>
          <w:sz w:val="16"/>
          <w:szCs w:val="16"/>
        </w:rPr>
      </w:pPr>
      <w:r w:rsidRPr="00925F26">
        <w:rPr>
          <w:color w:val="000000" w:themeColor="text1"/>
          <w:sz w:val="16"/>
          <w:szCs w:val="16"/>
        </w:rPr>
        <w:t>18 мая 1945 в уже побежденную Германию выехала вторая группа под началом первого заместителя наркома боеприпасов П. Н. Горемыкина (19800).</w:t>
      </w:r>
    </w:p>
    <w:p w14:paraId="2CD2CD84" w14:textId="77777777" w:rsidR="00BD3ED4" w:rsidRPr="00925F26" w:rsidRDefault="00BD3ED4" w:rsidP="00925F26">
      <w:pPr>
        <w:jc w:val="both"/>
        <w:rPr>
          <w:color w:val="000000" w:themeColor="text1"/>
          <w:sz w:val="16"/>
          <w:szCs w:val="16"/>
        </w:rPr>
      </w:pPr>
    </w:p>
    <w:p w14:paraId="4F07E77B" w14:textId="77777777" w:rsidR="004146AC" w:rsidRPr="00925F26" w:rsidRDefault="004146AC" w:rsidP="00925F26">
      <w:pPr>
        <w:jc w:val="both"/>
        <w:rPr>
          <w:color w:val="000000" w:themeColor="text1"/>
          <w:sz w:val="16"/>
          <w:szCs w:val="16"/>
        </w:rPr>
      </w:pPr>
      <w:r w:rsidRPr="00925F26">
        <w:rPr>
          <w:color w:val="000000" w:themeColor="text1"/>
          <w:sz w:val="16"/>
          <w:szCs w:val="16"/>
        </w:rPr>
        <w:t>18 мая 1945 г. СПРАВКА М.С. КРИВЕНКО НА ИМЯ Л.П. БЕРИИ О КОЛИЧЕСТВЕ РАБОЧЕЙ СИЛЫ ИЗ ЧИСЛА ВОЕННОПЛЕННЫХ, МОБИЛИЗОВАННЫХ И АРЕСТОВАННЫХ НЕМЦЕВ, РАСПРЕДЕЛЕННОЙ ПО ПРЕДПРИЯТИЯМ ПРОМЫШЛЕННЫХ НАРКОМАТОВ ПО СОСТОЯНИЮ НА 17 мая 1945 г.</w:t>
      </w:r>
    </w:p>
    <w:p w14:paraId="7D482B5A" w14:textId="77777777" w:rsidR="004146AC" w:rsidRPr="00925F26" w:rsidRDefault="004146AC" w:rsidP="00925F26">
      <w:pPr>
        <w:jc w:val="both"/>
        <w:rPr>
          <w:color w:val="000000" w:themeColor="text1"/>
          <w:sz w:val="16"/>
          <w:szCs w:val="16"/>
        </w:rPr>
      </w:pPr>
      <w:r w:rsidRPr="00925F26">
        <w:rPr>
          <w:color w:val="000000" w:themeColor="text1"/>
          <w:sz w:val="16"/>
          <w:szCs w:val="16"/>
        </w:rPr>
        <w:t>Москва</w:t>
      </w:r>
    </w:p>
    <w:p w14:paraId="54B41B72" w14:textId="77777777" w:rsidR="004146AC" w:rsidRPr="00925F26" w:rsidRDefault="004146AC" w:rsidP="00925F26">
      <w:pPr>
        <w:jc w:val="both"/>
        <w:rPr>
          <w:color w:val="000000" w:themeColor="text1"/>
          <w:sz w:val="16"/>
          <w:szCs w:val="16"/>
        </w:rPr>
      </w:pPr>
      <w:r w:rsidRPr="00925F26">
        <w:rPr>
          <w:color w:val="000000" w:themeColor="text1"/>
          <w:sz w:val="16"/>
          <w:szCs w:val="16"/>
        </w:rPr>
        <w:t>Сое. секретно</w:t>
      </w:r>
    </w:p>
    <w:p w14:paraId="1C8DD914" w14:textId="77777777" w:rsidR="004146AC" w:rsidRPr="00925F26" w:rsidRDefault="004146AC" w:rsidP="00925F26">
      <w:pPr>
        <w:jc w:val="both"/>
        <w:rPr>
          <w:color w:val="000000" w:themeColor="text1"/>
          <w:sz w:val="16"/>
          <w:szCs w:val="16"/>
        </w:rPr>
      </w:pPr>
      <w:r w:rsidRPr="00925F26">
        <w:rPr>
          <w:color w:val="000000" w:themeColor="text1"/>
          <w:sz w:val="16"/>
          <w:szCs w:val="16"/>
        </w:rPr>
        <w:t>Сведения о количестве рабочей силы, представляемой наркоматам из числа военнопленных, мобилизованных (интернированных) и арестованных немцев по состоянию на 17 мая 1945 г.</w:t>
      </w:r>
    </w:p>
    <w:p w14:paraId="08CDA6FD" w14:textId="77777777" w:rsidR="004146AC" w:rsidRPr="00925F26" w:rsidRDefault="004146AC" w:rsidP="00925F26">
      <w:pPr>
        <w:jc w:val="both"/>
        <w:rPr>
          <w:color w:val="000000" w:themeColor="text1"/>
          <w:sz w:val="16"/>
          <w:szCs w:val="16"/>
        </w:rPr>
      </w:pPr>
      <w:r w:rsidRPr="00925F26">
        <w:rPr>
          <w:color w:val="000000" w:themeColor="text1"/>
          <w:sz w:val="16"/>
          <w:szCs w:val="16"/>
        </w:rPr>
        <w:t>Наименование наркоматов</w:t>
      </w:r>
      <w:r w:rsidRPr="00925F26">
        <w:rPr>
          <w:color w:val="000000" w:themeColor="text1"/>
          <w:sz w:val="16"/>
          <w:szCs w:val="16"/>
        </w:rPr>
        <w:tab/>
        <w:t>Военнопленные</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Моби</w:t>
      </w:r>
      <w:proofErr w:type="gramStart"/>
      <w:r w:rsidRPr="00925F26">
        <w:rPr>
          <w:color w:val="000000" w:themeColor="text1"/>
          <w:sz w:val="16"/>
          <w:szCs w:val="16"/>
        </w:rPr>
        <w:t>-  лизованные</w:t>
      </w:r>
      <w:proofErr w:type="gramEnd"/>
      <w:r w:rsidRPr="00925F26">
        <w:rPr>
          <w:color w:val="000000" w:themeColor="text1"/>
          <w:sz w:val="16"/>
          <w:szCs w:val="16"/>
        </w:rPr>
        <w:tab/>
        <w:t>Арес</w:t>
      </w:r>
      <w:proofErr w:type="gramStart"/>
      <w:r w:rsidRPr="00925F26">
        <w:rPr>
          <w:color w:val="000000" w:themeColor="text1"/>
          <w:sz w:val="16"/>
          <w:szCs w:val="16"/>
        </w:rPr>
        <w:t>-  тованные</w:t>
      </w:r>
      <w:proofErr w:type="gramEnd"/>
      <w:r w:rsidRPr="00925F26">
        <w:rPr>
          <w:color w:val="000000" w:themeColor="text1"/>
          <w:sz w:val="16"/>
          <w:szCs w:val="16"/>
        </w:rPr>
        <w:tab/>
        <w:t>Всего</w:t>
      </w:r>
    </w:p>
    <w:p w14:paraId="548BFFC4" w14:textId="77777777" w:rsidR="004146AC" w:rsidRPr="00925F26" w:rsidRDefault="004146AC" w:rsidP="00925F26">
      <w:pPr>
        <w:jc w:val="both"/>
        <w:rPr>
          <w:color w:val="000000" w:themeColor="text1"/>
          <w:sz w:val="16"/>
          <w:szCs w:val="16"/>
        </w:rPr>
      </w:pPr>
      <w:r w:rsidRPr="00925F26">
        <w:rPr>
          <w:color w:val="000000" w:themeColor="text1"/>
          <w:sz w:val="16"/>
          <w:szCs w:val="16"/>
        </w:rPr>
        <w:tab/>
        <w:t xml:space="preserve">Наличие на 17 </w:t>
      </w:r>
      <w:proofErr w:type="gramStart"/>
      <w:r w:rsidRPr="00925F26">
        <w:rPr>
          <w:color w:val="000000" w:themeColor="text1"/>
          <w:sz w:val="16"/>
          <w:szCs w:val="16"/>
        </w:rPr>
        <w:t>мая</w:t>
      </w:r>
      <w:r w:rsidRPr="00925F26">
        <w:rPr>
          <w:color w:val="000000" w:themeColor="text1"/>
          <w:sz w:val="16"/>
          <w:szCs w:val="16"/>
        </w:rPr>
        <w:tab/>
        <w:t>Завозятся</w:t>
      </w:r>
      <w:proofErr w:type="gramEnd"/>
      <w:r w:rsidRPr="00925F26">
        <w:rPr>
          <w:color w:val="000000" w:themeColor="text1"/>
          <w:sz w:val="16"/>
          <w:szCs w:val="16"/>
        </w:rPr>
        <w:t xml:space="preserve"> до 1 </w:t>
      </w:r>
      <w:proofErr w:type="gramStart"/>
      <w:r w:rsidRPr="00925F26">
        <w:rPr>
          <w:color w:val="000000" w:themeColor="text1"/>
          <w:sz w:val="16"/>
          <w:szCs w:val="16"/>
        </w:rPr>
        <w:t>августа</w:t>
      </w:r>
      <w:proofErr w:type="gramEnd"/>
      <w:r w:rsidRPr="00925F26">
        <w:rPr>
          <w:color w:val="000000" w:themeColor="text1"/>
          <w:sz w:val="16"/>
          <w:szCs w:val="16"/>
        </w:rPr>
        <w:tab/>
        <w:t>Всего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19DFE376" w14:textId="77777777" w:rsidR="004146AC" w:rsidRPr="00925F26" w:rsidRDefault="004146AC" w:rsidP="00925F26">
      <w:pPr>
        <w:jc w:val="both"/>
        <w:rPr>
          <w:color w:val="000000" w:themeColor="text1"/>
          <w:sz w:val="16"/>
          <w:szCs w:val="16"/>
        </w:rPr>
      </w:pPr>
      <w:r w:rsidRPr="00925F26">
        <w:rPr>
          <w:color w:val="000000" w:themeColor="text1"/>
          <w:sz w:val="16"/>
          <w:szCs w:val="16"/>
        </w:rPr>
        <w:t>Наркомуголь</w:t>
      </w:r>
      <w:r w:rsidRPr="00925F26">
        <w:rPr>
          <w:color w:val="000000" w:themeColor="text1"/>
          <w:sz w:val="16"/>
          <w:szCs w:val="16"/>
        </w:rPr>
        <w:tab/>
        <w:t>105300</w:t>
      </w:r>
      <w:r w:rsidRPr="00925F26">
        <w:rPr>
          <w:color w:val="000000" w:themeColor="text1"/>
          <w:sz w:val="16"/>
          <w:szCs w:val="16"/>
        </w:rPr>
        <w:tab/>
        <w:t>200 000</w:t>
      </w:r>
      <w:r w:rsidRPr="00925F26">
        <w:rPr>
          <w:color w:val="000000" w:themeColor="text1"/>
          <w:sz w:val="16"/>
          <w:szCs w:val="16"/>
        </w:rPr>
        <w:tab/>
        <w:t>305 300</w:t>
      </w:r>
      <w:r w:rsidRPr="00925F26">
        <w:rPr>
          <w:color w:val="000000" w:themeColor="text1"/>
          <w:sz w:val="16"/>
          <w:szCs w:val="16"/>
        </w:rPr>
        <w:tab/>
        <w:t>93684</w:t>
      </w:r>
      <w:r w:rsidRPr="00925F26">
        <w:rPr>
          <w:color w:val="000000" w:themeColor="text1"/>
          <w:sz w:val="16"/>
          <w:szCs w:val="16"/>
        </w:rPr>
        <w:tab/>
        <w:t>46587</w:t>
      </w:r>
      <w:r w:rsidRPr="00925F26">
        <w:rPr>
          <w:color w:val="000000" w:themeColor="text1"/>
          <w:sz w:val="16"/>
          <w:szCs w:val="16"/>
        </w:rPr>
        <w:tab/>
        <w:t>445 571</w:t>
      </w:r>
    </w:p>
    <w:p w14:paraId="3D25F6DD" w14:textId="77777777" w:rsidR="004146AC" w:rsidRPr="00925F26" w:rsidRDefault="004146AC" w:rsidP="00925F26">
      <w:pPr>
        <w:jc w:val="both"/>
        <w:rPr>
          <w:color w:val="000000" w:themeColor="text1"/>
          <w:sz w:val="16"/>
          <w:szCs w:val="16"/>
        </w:rPr>
      </w:pPr>
      <w:r w:rsidRPr="00925F26">
        <w:rPr>
          <w:color w:val="000000" w:themeColor="text1"/>
          <w:sz w:val="16"/>
          <w:szCs w:val="16"/>
        </w:rPr>
        <w:t>Наркомстрой</w:t>
      </w:r>
      <w:r w:rsidRPr="00925F26">
        <w:rPr>
          <w:color w:val="000000" w:themeColor="text1"/>
          <w:sz w:val="16"/>
          <w:szCs w:val="16"/>
        </w:rPr>
        <w:tab/>
        <w:t>56700</w:t>
      </w:r>
      <w:r w:rsidRPr="00925F26">
        <w:rPr>
          <w:color w:val="000000" w:themeColor="text1"/>
          <w:sz w:val="16"/>
          <w:szCs w:val="16"/>
        </w:rPr>
        <w:tab/>
        <w:t>153000*</w:t>
      </w:r>
      <w:r w:rsidRPr="00925F26">
        <w:rPr>
          <w:color w:val="000000" w:themeColor="text1"/>
          <w:sz w:val="16"/>
          <w:szCs w:val="16"/>
        </w:rPr>
        <w:tab/>
        <w:t>209 700**</w:t>
      </w:r>
      <w:r w:rsidRPr="00925F26">
        <w:rPr>
          <w:color w:val="000000" w:themeColor="text1"/>
          <w:sz w:val="16"/>
          <w:szCs w:val="16"/>
        </w:rPr>
        <w:tab/>
        <w:t>6790</w:t>
      </w:r>
      <w:r w:rsidRPr="00925F26">
        <w:rPr>
          <w:color w:val="000000" w:themeColor="text1"/>
          <w:sz w:val="16"/>
          <w:szCs w:val="16"/>
        </w:rPr>
        <w:tab/>
        <w:t>—</w:t>
      </w:r>
      <w:r w:rsidRPr="00925F26">
        <w:rPr>
          <w:color w:val="000000" w:themeColor="text1"/>
          <w:sz w:val="16"/>
          <w:szCs w:val="16"/>
        </w:rPr>
        <w:tab/>
        <w:t>2164901</w:t>
      </w:r>
    </w:p>
    <w:p w14:paraId="747C63AF" w14:textId="77777777" w:rsidR="004146AC" w:rsidRPr="00925F26" w:rsidRDefault="004146AC" w:rsidP="00925F26">
      <w:pPr>
        <w:jc w:val="both"/>
        <w:rPr>
          <w:color w:val="000000" w:themeColor="text1"/>
          <w:sz w:val="16"/>
          <w:szCs w:val="16"/>
        </w:rPr>
      </w:pPr>
      <w:r w:rsidRPr="00925F26">
        <w:rPr>
          <w:color w:val="000000" w:themeColor="text1"/>
          <w:sz w:val="16"/>
          <w:szCs w:val="16"/>
        </w:rPr>
        <w:t>НКВД</w:t>
      </w:r>
      <w:r w:rsidRPr="00925F26">
        <w:rPr>
          <w:color w:val="000000" w:themeColor="text1"/>
          <w:sz w:val="16"/>
          <w:szCs w:val="16"/>
        </w:rPr>
        <w:tab/>
        <w:t>51 000</w:t>
      </w:r>
      <w:r w:rsidRPr="00925F26">
        <w:rPr>
          <w:color w:val="000000" w:themeColor="text1"/>
          <w:sz w:val="16"/>
          <w:szCs w:val="16"/>
        </w:rPr>
        <w:tab/>
        <w:t>60000</w:t>
      </w:r>
      <w:r w:rsidRPr="00925F26">
        <w:rPr>
          <w:color w:val="000000" w:themeColor="text1"/>
          <w:sz w:val="16"/>
          <w:szCs w:val="16"/>
        </w:rPr>
        <w:tab/>
        <w:t>1 1 1 000</w:t>
      </w:r>
      <w:r w:rsidRPr="00925F26">
        <w:rPr>
          <w:color w:val="000000" w:themeColor="text1"/>
          <w:sz w:val="16"/>
          <w:szCs w:val="16"/>
        </w:rPr>
        <w:tab/>
        <w:t>—</w:t>
      </w:r>
      <w:r w:rsidRPr="00925F26">
        <w:rPr>
          <w:color w:val="000000" w:themeColor="text1"/>
          <w:sz w:val="16"/>
          <w:szCs w:val="16"/>
        </w:rPr>
        <w:tab/>
        <w:t>21928</w:t>
      </w:r>
      <w:r w:rsidRPr="00925F26">
        <w:rPr>
          <w:color w:val="000000" w:themeColor="text1"/>
          <w:sz w:val="16"/>
          <w:szCs w:val="16"/>
        </w:rPr>
        <w:tab/>
        <w:t>132928</w:t>
      </w:r>
    </w:p>
    <w:p w14:paraId="630923E3" w14:textId="77777777" w:rsidR="004146AC" w:rsidRPr="00925F26" w:rsidRDefault="004146AC" w:rsidP="00925F26">
      <w:pPr>
        <w:jc w:val="both"/>
        <w:rPr>
          <w:color w:val="000000" w:themeColor="text1"/>
          <w:sz w:val="16"/>
          <w:szCs w:val="16"/>
        </w:rPr>
      </w:pPr>
      <w:r w:rsidRPr="00925F26">
        <w:rPr>
          <w:color w:val="000000" w:themeColor="text1"/>
          <w:sz w:val="16"/>
          <w:szCs w:val="16"/>
        </w:rPr>
        <w:t>нко</w:t>
      </w:r>
      <w:r w:rsidRPr="00925F26">
        <w:rPr>
          <w:color w:val="000000" w:themeColor="text1"/>
          <w:sz w:val="16"/>
          <w:szCs w:val="16"/>
        </w:rPr>
        <w:tab/>
        <w:t>33000</w:t>
      </w:r>
      <w:r w:rsidRPr="00925F26">
        <w:rPr>
          <w:color w:val="000000" w:themeColor="text1"/>
          <w:sz w:val="16"/>
          <w:szCs w:val="16"/>
        </w:rPr>
        <w:tab/>
        <w:t>80000</w:t>
      </w:r>
      <w:r w:rsidRPr="00925F26">
        <w:rPr>
          <w:color w:val="000000" w:themeColor="text1"/>
          <w:sz w:val="16"/>
          <w:szCs w:val="16"/>
        </w:rPr>
        <w:tab/>
        <w:t>113000</w:t>
      </w:r>
      <w:r w:rsidRPr="00925F26">
        <w:rPr>
          <w:color w:val="000000" w:themeColor="text1"/>
          <w:sz w:val="16"/>
          <w:szCs w:val="16"/>
        </w:rPr>
        <w:tab/>
        <w:t>550</w:t>
      </w:r>
      <w:r w:rsidRPr="00925F26">
        <w:rPr>
          <w:color w:val="000000" w:themeColor="text1"/>
          <w:sz w:val="16"/>
          <w:szCs w:val="16"/>
        </w:rPr>
        <w:tab/>
        <w:t>—</w:t>
      </w:r>
      <w:r w:rsidRPr="00925F26">
        <w:rPr>
          <w:color w:val="000000" w:themeColor="text1"/>
          <w:sz w:val="16"/>
          <w:szCs w:val="16"/>
        </w:rPr>
        <w:tab/>
        <w:t>113550</w:t>
      </w:r>
    </w:p>
    <w:p w14:paraId="70B2AA48" w14:textId="77777777" w:rsidR="004146AC" w:rsidRPr="00925F26" w:rsidRDefault="004146AC" w:rsidP="00925F26">
      <w:pPr>
        <w:jc w:val="both"/>
        <w:rPr>
          <w:color w:val="000000" w:themeColor="text1"/>
          <w:sz w:val="16"/>
          <w:szCs w:val="16"/>
        </w:rPr>
      </w:pPr>
      <w:r w:rsidRPr="00925F26">
        <w:rPr>
          <w:color w:val="000000" w:themeColor="text1"/>
          <w:sz w:val="16"/>
          <w:szCs w:val="16"/>
        </w:rPr>
        <w:t>Наркомцелбумпром</w:t>
      </w:r>
      <w:r w:rsidRPr="00925F26">
        <w:rPr>
          <w:color w:val="000000" w:themeColor="text1"/>
          <w:sz w:val="16"/>
          <w:szCs w:val="16"/>
        </w:rPr>
        <w:tab/>
        <w:t>26000</w:t>
      </w:r>
      <w:r w:rsidRPr="00925F26">
        <w:rPr>
          <w:color w:val="000000" w:themeColor="text1"/>
          <w:sz w:val="16"/>
          <w:szCs w:val="16"/>
        </w:rPr>
        <w:tab/>
        <w:t>30000</w:t>
      </w:r>
      <w:r w:rsidRPr="00925F26">
        <w:rPr>
          <w:color w:val="000000" w:themeColor="text1"/>
          <w:sz w:val="16"/>
          <w:szCs w:val="16"/>
        </w:rPr>
        <w:tab/>
        <w:t>56000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56000</w:t>
      </w:r>
    </w:p>
    <w:p w14:paraId="113B7ECD" w14:textId="77777777" w:rsidR="004146AC" w:rsidRPr="00925F26" w:rsidRDefault="004146AC" w:rsidP="00925F26">
      <w:pPr>
        <w:jc w:val="both"/>
        <w:rPr>
          <w:color w:val="000000" w:themeColor="text1"/>
          <w:sz w:val="16"/>
          <w:szCs w:val="16"/>
        </w:rPr>
      </w:pPr>
      <w:r w:rsidRPr="00925F26">
        <w:rPr>
          <w:color w:val="000000" w:themeColor="text1"/>
          <w:sz w:val="16"/>
          <w:szCs w:val="16"/>
        </w:rPr>
        <w:t>Наркомпром-стройматерилов</w:t>
      </w:r>
      <w:r w:rsidRPr="00925F26">
        <w:rPr>
          <w:color w:val="000000" w:themeColor="text1"/>
          <w:sz w:val="16"/>
          <w:szCs w:val="16"/>
        </w:rPr>
        <w:tab/>
        <w:t>23000</w:t>
      </w:r>
      <w:r w:rsidRPr="00925F26">
        <w:rPr>
          <w:color w:val="000000" w:themeColor="text1"/>
          <w:sz w:val="16"/>
          <w:szCs w:val="16"/>
        </w:rPr>
        <w:tab/>
        <w:t>35000</w:t>
      </w:r>
      <w:r w:rsidRPr="00925F26">
        <w:rPr>
          <w:color w:val="000000" w:themeColor="text1"/>
          <w:sz w:val="16"/>
          <w:szCs w:val="16"/>
        </w:rPr>
        <w:tab/>
        <w:t>58000</w:t>
      </w:r>
      <w:r w:rsidRPr="00925F26">
        <w:rPr>
          <w:color w:val="000000" w:themeColor="text1"/>
          <w:sz w:val="16"/>
          <w:szCs w:val="16"/>
        </w:rPr>
        <w:tab/>
        <w:t>1000</w:t>
      </w:r>
      <w:r w:rsidRPr="00925F26">
        <w:rPr>
          <w:color w:val="000000" w:themeColor="text1"/>
          <w:sz w:val="16"/>
          <w:szCs w:val="16"/>
        </w:rPr>
        <w:tab/>
        <w:t>—</w:t>
      </w:r>
      <w:r w:rsidRPr="00925F26">
        <w:rPr>
          <w:color w:val="000000" w:themeColor="text1"/>
          <w:sz w:val="16"/>
          <w:szCs w:val="16"/>
        </w:rPr>
        <w:tab/>
        <w:t>59000</w:t>
      </w:r>
    </w:p>
    <w:p w14:paraId="327C2EA7" w14:textId="77777777" w:rsidR="004146AC" w:rsidRPr="00925F26" w:rsidRDefault="004146AC" w:rsidP="00925F26">
      <w:pPr>
        <w:jc w:val="both"/>
        <w:rPr>
          <w:color w:val="000000" w:themeColor="text1"/>
          <w:sz w:val="16"/>
          <w:szCs w:val="16"/>
        </w:rPr>
      </w:pPr>
      <w:r w:rsidRPr="00925F26">
        <w:rPr>
          <w:color w:val="000000" w:themeColor="text1"/>
          <w:sz w:val="16"/>
          <w:szCs w:val="16"/>
        </w:rPr>
        <w:t>НКчермет</w:t>
      </w:r>
      <w:r w:rsidRPr="00925F26">
        <w:rPr>
          <w:color w:val="000000" w:themeColor="text1"/>
          <w:sz w:val="16"/>
          <w:szCs w:val="16"/>
        </w:rPr>
        <w:tab/>
        <w:t>21 000</w:t>
      </w:r>
      <w:r w:rsidRPr="00925F26">
        <w:rPr>
          <w:color w:val="000000" w:themeColor="text1"/>
          <w:sz w:val="16"/>
          <w:szCs w:val="16"/>
        </w:rPr>
        <w:tab/>
        <w:t>60000</w:t>
      </w:r>
      <w:r w:rsidRPr="00925F26">
        <w:rPr>
          <w:color w:val="000000" w:themeColor="text1"/>
          <w:sz w:val="16"/>
          <w:szCs w:val="16"/>
        </w:rPr>
        <w:tab/>
        <w:t>81 000</w:t>
      </w:r>
      <w:r w:rsidRPr="00925F26">
        <w:rPr>
          <w:color w:val="000000" w:themeColor="text1"/>
          <w:sz w:val="16"/>
          <w:szCs w:val="16"/>
        </w:rPr>
        <w:tab/>
        <w:t>49830</w:t>
      </w:r>
      <w:r w:rsidRPr="00925F26">
        <w:rPr>
          <w:color w:val="000000" w:themeColor="text1"/>
          <w:sz w:val="16"/>
          <w:szCs w:val="16"/>
        </w:rPr>
        <w:tab/>
        <w:t>4519</w:t>
      </w:r>
      <w:r w:rsidRPr="00925F26">
        <w:rPr>
          <w:color w:val="000000" w:themeColor="text1"/>
          <w:sz w:val="16"/>
          <w:szCs w:val="16"/>
        </w:rPr>
        <w:tab/>
        <w:t>145 349</w:t>
      </w:r>
    </w:p>
    <w:p w14:paraId="61168EA3" w14:textId="77777777" w:rsidR="004146AC" w:rsidRPr="00925F26" w:rsidRDefault="004146AC" w:rsidP="00925F26">
      <w:pPr>
        <w:jc w:val="both"/>
        <w:rPr>
          <w:color w:val="000000" w:themeColor="text1"/>
          <w:sz w:val="16"/>
          <w:szCs w:val="16"/>
        </w:rPr>
      </w:pPr>
      <w:r w:rsidRPr="00925F26">
        <w:rPr>
          <w:color w:val="000000" w:themeColor="text1"/>
          <w:sz w:val="16"/>
          <w:szCs w:val="16"/>
        </w:rPr>
        <w:t>нкпс</w:t>
      </w:r>
      <w:r w:rsidRPr="00925F26">
        <w:rPr>
          <w:color w:val="000000" w:themeColor="text1"/>
          <w:sz w:val="16"/>
          <w:szCs w:val="16"/>
        </w:rPr>
        <w:tab/>
        <w:t>20600</w:t>
      </w:r>
      <w:r w:rsidRPr="00925F26">
        <w:rPr>
          <w:color w:val="000000" w:themeColor="text1"/>
          <w:sz w:val="16"/>
          <w:szCs w:val="16"/>
        </w:rPr>
        <w:tab/>
        <w:t>115000</w:t>
      </w:r>
      <w:r w:rsidRPr="00925F26">
        <w:rPr>
          <w:color w:val="000000" w:themeColor="text1"/>
          <w:sz w:val="16"/>
          <w:szCs w:val="16"/>
        </w:rPr>
        <w:tab/>
        <w:t>135600</w:t>
      </w:r>
      <w:r w:rsidRPr="00925F26">
        <w:rPr>
          <w:color w:val="000000" w:themeColor="text1"/>
          <w:sz w:val="16"/>
          <w:szCs w:val="16"/>
        </w:rPr>
        <w:tab/>
        <w:t>5933</w:t>
      </w:r>
      <w:r w:rsidRPr="00925F26">
        <w:rPr>
          <w:color w:val="000000" w:themeColor="text1"/>
          <w:sz w:val="16"/>
          <w:szCs w:val="16"/>
        </w:rPr>
        <w:tab/>
        <w:t>1000</w:t>
      </w:r>
      <w:r w:rsidRPr="00925F26">
        <w:rPr>
          <w:color w:val="000000" w:themeColor="text1"/>
          <w:sz w:val="16"/>
          <w:szCs w:val="16"/>
        </w:rPr>
        <w:tab/>
        <w:t>142 533</w:t>
      </w:r>
    </w:p>
    <w:p w14:paraId="396AF87A" w14:textId="77777777" w:rsidR="004146AC" w:rsidRPr="00925F26" w:rsidRDefault="004146AC" w:rsidP="00925F26">
      <w:pPr>
        <w:jc w:val="both"/>
        <w:rPr>
          <w:color w:val="000000" w:themeColor="text1"/>
          <w:sz w:val="16"/>
          <w:szCs w:val="16"/>
        </w:rPr>
      </w:pPr>
      <w:r w:rsidRPr="00925F26">
        <w:rPr>
          <w:color w:val="000000" w:themeColor="text1"/>
          <w:sz w:val="16"/>
          <w:szCs w:val="16"/>
        </w:rPr>
        <w:t>НКАП</w:t>
      </w:r>
      <w:r w:rsidRPr="00925F26">
        <w:rPr>
          <w:color w:val="000000" w:themeColor="text1"/>
          <w:sz w:val="16"/>
          <w:szCs w:val="16"/>
        </w:rPr>
        <w:tab/>
        <w:t>19000</w:t>
      </w:r>
      <w:r w:rsidRPr="00925F26">
        <w:rPr>
          <w:color w:val="000000" w:themeColor="text1"/>
          <w:sz w:val="16"/>
          <w:szCs w:val="16"/>
        </w:rPr>
        <w:tab/>
        <w:t>40 000</w:t>
      </w:r>
      <w:r w:rsidRPr="00925F26">
        <w:rPr>
          <w:color w:val="000000" w:themeColor="text1"/>
          <w:sz w:val="16"/>
          <w:szCs w:val="16"/>
        </w:rPr>
        <w:tab/>
        <w:t>59000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59000</w:t>
      </w:r>
    </w:p>
    <w:p w14:paraId="57CB446C" w14:textId="77777777" w:rsidR="004146AC" w:rsidRPr="00925F26" w:rsidRDefault="004146AC" w:rsidP="00925F26">
      <w:pPr>
        <w:jc w:val="both"/>
        <w:rPr>
          <w:color w:val="000000" w:themeColor="text1"/>
          <w:sz w:val="16"/>
          <w:szCs w:val="16"/>
        </w:rPr>
      </w:pPr>
      <w:r w:rsidRPr="00925F26">
        <w:rPr>
          <w:color w:val="000000" w:themeColor="text1"/>
          <w:sz w:val="16"/>
          <w:szCs w:val="16"/>
        </w:rPr>
        <w:t>НКБ-</w:t>
      </w:r>
      <w:r w:rsidRPr="00925F26">
        <w:rPr>
          <w:color w:val="000000" w:themeColor="text1"/>
          <w:sz w:val="16"/>
          <w:szCs w:val="16"/>
        </w:rPr>
        <w:tab/>
        <w:t>19000</w:t>
      </w:r>
      <w:r w:rsidRPr="00925F26">
        <w:rPr>
          <w:color w:val="000000" w:themeColor="text1"/>
          <w:sz w:val="16"/>
          <w:szCs w:val="16"/>
        </w:rPr>
        <w:tab/>
        <w:t>25000</w:t>
      </w:r>
      <w:r w:rsidRPr="00925F26">
        <w:rPr>
          <w:color w:val="000000" w:themeColor="text1"/>
          <w:sz w:val="16"/>
          <w:szCs w:val="16"/>
        </w:rPr>
        <w:tab/>
        <w:t>44 000</w:t>
      </w:r>
      <w:r w:rsidRPr="00925F26">
        <w:rPr>
          <w:color w:val="000000" w:themeColor="text1"/>
          <w:sz w:val="16"/>
          <w:szCs w:val="16"/>
        </w:rPr>
        <w:tab/>
        <w:t>500</w:t>
      </w:r>
      <w:r w:rsidRPr="00925F26">
        <w:rPr>
          <w:color w:val="000000" w:themeColor="text1"/>
          <w:sz w:val="16"/>
          <w:szCs w:val="16"/>
        </w:rPr>
        <w:tab/>
        <w:t>968</w:t>
      </w:r>
      <w:r w:rsidRPr="00925F26">
        <w:rPr>
          <w:color w:val="000000" w:themeColor="text1"/>
          <w:sz w:val="16"/>
          <w:szCs w:val="16"/>
        </w:rPr>
        <w:tab/>
        <w:t>45468</w:t>
      </w:r>
    </w:p>
    <w:p w14:paraId="2C0CD6DA" w14:textId="77777777" w:rsidR="004146AC" w:rsidRPr="00925F26" w:rsidRDefault="004146AC" w:rsidP="00925F26">
      <w:pPr>
        <w:jc w:val="both"/>
        <w:rPr>
          <w:color w:val="000000" w:themeColor="text1"/>
          <w:sz w:val="16"/>
          <w:szCs w:val="16"/>
        </w:rPr>
      </w:pPr>
      <w:r w:rsidRPr="00925F26">
        <w:rPr>
          <w:color w:val="000000" w:themeColor="text1"/>
          <w:sz w:val="16"/>
          <w:szCs w:val="16"/>
        </w:rPr>
        <w:t>Наркоматы гражданжилстрой</w:t>
      </w:r>
      <w:r w:rsidRPr="00925F26">
        <w:rPr>
          <w:color w:val="000000" w:themeColor="text1"/>
          <w:sz w:val="16"/>
          <w:szCs w:val="16"/>
        </w:rPr>
        <w:tab/>
        <w:t>37400</w:t>
      </w:r>
      <w:r w:rsidRPr="00925F26">
        <w:rPr>
          <w:color w:val="000000" w:themeColor="text1"/>
          <w:sz w:val="16"/>
          <w:szCs w:val="16"/>
        </w:rPr>
        <w:tab/>
        <w:t>70000 •</w:t>
      </w:r>
      <w:r w:rsidRPr="00925F26">
        <w:rPr>
          <w:color w:val="000000" w:themeColor="text1"/>
          <w:sz w:val="16"/>
          <w:szCs w:val="16"/>
        </w:rPr>
        <w:tab/>
        <w:t>107400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107400</w:t>
      </w:r>
    </w:p>
    <w:p w14:paraId="039B2717" w14:textId="77777777" w:rsidR="004146AC" w:rsidRPr="00925F26" w:rsidRDefault="004146AC" w:rsidP="00925F26">
      <w:pPr>
        <w:jc w:val="both"/>
        <w:rPr>
          <w:color w:val="000000" w:themeColor="text1"/>
          <w:sz w:val="16"/>
          <w:szCs w:val="16"/>
        </w:rPr>
      </w:pPr>
      <w:r w:rsidRPr="00925F26">
        <w:rPr>
          <w:color w:val="000000" w:themeColor="text1"/>
          <w:sz w:val="16"/>
          <w:szCs w:val="16"/>
        </w:rPr>
        <w:t>нкцм</w:t>
      </w:r>
      <w:r w:rsidRPr="00925F26">
        <w:rPr>
          <w:color w:val="000000" w:themeColor="text1"/>
          <w:sz w:val="16"/>
          <w:szCs w:val="16"/>
        </w:rPr>
        <w:tab/>
        <w:t>14600</w:t>
      </w:r>
      <w:r w:rsidRPr="00925F26">
        <w:rPr>
          <w:color w:val="000000" w:themeColor="text1"/>
          <w:sz w:val="16"/>
          <w:szCs w:val="16"/>
        </w:rPr>
        <w:tab/>
        <w:t>30000</w:t>
      </w:r>
      <w:r w:rsidRPr="00925F26">
        <w:rPr>
          <w:color w:val="000000" w:themeColor="text1"/>
          <w:sz w:val="16"/>
          <w:szCs w:val="16"/>
        </w:rPr>
        <w:tab/>
        <w:t>44600</w:t>
      </w:r>
      <w:r w:rsidRPr="00925F26">
        <w:rPr>
          <w:color w:val="000000" w:themeColor="text1"/>
          <w:sz w:val="16"/>
          <w:szCs w:val="16"/>
        </w:rPr>
        <w:tab/>
        <w:t>10018</w:t>
      </w:r>
      <w:r w:rsidRPr="00925F26">
        <w:rPr>
          <w:color w:val="000000" w:themeColor="text1"/>
          <w:sz w:val="16"/>
          <w:szCs w:val="16"/>
        </w:rPr>
        <w:tab/>
        <w:t>8549</w:t>
      </w:r>
      <w:r w:rsidRPr="00925F26">
        <w:rPr>
          <w:color w:val="000000" w:themeColor="text1"/>
          <w:sz w:val="16"/>
          <w:szCs w:val="16"/>
        </w:rPr>
        <w:tab/>
        <w:t>63167</w:t>
      </w:r>
    </w:p>
    <w:p w14:paraId="7237522D" w14:textId="77777777" w:rsidR="004146AC" w:rsidRPr="00925F26" w:rsidRDefault="004146AC" w:rsidP="00925F26">
      <w:pPr>
        <w:jc w:val="both"/>
        <w:rPr>
          <w:color w:val="000000" w:themeColor="text1"/>
          <w:sz w:val="16"/>
          <w:szCs w:val="16"/>
        </w:rPr>
      </w:pPr>
      <w:r w:rsidRPr="00925F26">
        <w:rPr>
          <w:color w:val="000000" w:themeColor="text1"/>
          <w:sz w:val="16"/>
          <w:szCs w:val="16"/>
        </w:rPr>
        <w:t>Главвоенпромстрой2</w:t>
      </w:r>
      <w:r w:rsidRPr="00925F26">
        <w:rPr>
          <w:color w:val="000000" w:themeColor="text1"/>
          <w:sz w:val="16"/>
          <w:szCs w:val="16"/>
        </w:rPr>
        <w:tab/>
        <w:t>14000</w:t>
      </w:r>
      <w:r w:rsidRPr="00925F26">
        <w:rPr>
          <w:color w:val="000000" w:themeColor="text1"/>
          <w:sz w:val="16"/>
          <w:szCs w:val="16"/>
        </w:rPr>
        <w:tab/>
        <w:t>30000</w:t>
      </w:r>
      <w:r w:rsidRPr="00925F26">
        <w:rPr>
          <w:color w:val="000000" w:themeColor="text1"/>
          <w:sz w:val="16"/>
          <w:szCs w:val="16"/>
        </w:rPr>
        <w:tab/>
        <w:t>44000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44000</w:t>
      </w:r>
    </w:p>
    <w:p w14:paraId="4F588AB9" w14:textId="77777777" w:rsidR="004146AC" w:rsidRPr="00925F26" w:rsidRDefault="004146AC" w:rsidP="00925F26">
      <w:pPr>
        <w:jc w:val="both"/>
        <w:rPr>
          <w:color w:val="000000" w:themeColor="text1"/>
          <w:sz w:val="16"/>
          <w:szCs w:val="16"/>
        </w:rPr>
      </w:pPr>
      <w:r w:rsidRPr="00925F26">
        <w:rPr>
          <w:color w:val="000000" w:themeColor="text1"/>
          <w:sz w:val="16"/>
          <w:szCs w:val="16"/>
        </w:rPr>
        <w:t>НШФ</w:t>
      </w:r>
      <w:r w:rsidRPr="00925F26">
        <w:rPr>
          <w:color w:val="000000" w:themeColor="text1"/>
          <w:sz w:val="16"/>
          <w:szCs w:val="16"/>
        </w:rPr>
        <w:tab/>
        <w:t>14000</w:t>
      </w:r>
      <w:r w:rsidRPr="00925F26">
        <w:rPr>
          <w:color w:val="000000" w:themeColor="text1"/>
          <w:sz w:val="16"/>
          <w:szCs w:val="16"/>
        </w:rPr>
        <w:tab/>
        <w:t>25000</w:t>
      </w:r>
      <w:r w:rsidRPr="00925F26">
        <w:rPr>
          <w:color w:val="000000" w:themeColor="text1"/>
          <w:sz w:val="16"/>
          <w:szCs w:val="16"/>
        </w:rPr>
        <w:tab/>
        <w:t>39000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39000</w:t>
      </w:r>
    </w:p>
    <w:p w14:paraId="12CEB726" w14:textId="77777777" w:rsidR="004146AC" w:rsidRPr="00925F26" w:rsidRDefault="004146AC" w:rsidP="00925F26">
      <w:pPr>
        <w:jc w:val="both"/>
        <w:rPr>
          <w:color w:val="000000" w:themeColor="text1"/>
          <w:sz w:val="16"/>
          <w:szCs w:val="16"/>
        </w:rPr>
      </w:pPr>
      <w:r w:rsidRPr="00925F26">
        <w:rPr>
          <w:color w:val="000000" w:themeColor="text1"/>
          <w:sz w:val="16"/>
          <w:szCs w:val="16"/>
        </w:rPr>
        <w:t>нктм</w:t>
      </w:r>
      <w:r w:rsidRPr="00925F26">
        <w:rPr>
          <w:color w:val="000000" w:themeColor="text1"/>
          <w:sz w:val="16"/>
          <w:szCs w:val="16"/>
        </w:rPr>
        <w:tab/>
        <w:t>13000</w:t>
      </w:r>
      <w:r w:rsidRPr="00925F26">
        <w:rPr>
          <w:color w:val="000000" w:themeColor="text1"/>
          <w:sz w:val="16"/>
          <w:szCs w:val="16"/>
        </w:rPr>
        <w:tab/>
        <w:t>9000</w:t>
      </w:r>
      <w:r w:rsidRPr="00925F26">
        <w:rPr>
          <w:color w:val="000000" w:themeColor="text1"/>
          <w:sz w:val="16"/>
          <w:szCs w:val="16"/>
        </w:rPr>
        <w:tab/>
        <w:t>22000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22000</w:t>
      </w:r>
    </w:p>
    <w:p w14:paraId="1F54DB6A" w14:textId="77777777" w:rsidR="004146AC" w:rsidRPr="00925F26" w:rsidRDefault="004146AC" w:rsidP="00925F26">
      <w:pPr>
        <w:jc w:val="both"/>
        <w:rPr>
          <w:color w:val="000000" w:themeColor="text1"/>
          <w:sz w:val="16"/>
          <w:szCs w:val="16"/>
        </w:rPr>
      </w:pPr>
      <w:proofErr w:type="gramStart"/>
      <w:r w:rsidRPr="00925F26">
        <w:rPr>
          <w:color w:val="000000" w:themeColor="text1"/>
          <w:sz w:val="16"/>
          <w:szCs w:val="16"/>
        </w:rPr>
        <w:t>Наименование  наркоматов</w:t>
      </w:r>
      <w:proofErr w:type="gramEnd"/>
      <w:r w:rsidRPr="00925F26">
        <w:rPr>
          <w:color w:val="000000" w:themeColor="text1"/>
          <w:sz w:val="16"/>
          <w:szCs w:val="16"/>
        </w:rPr>
        <w:tab/>
        <w:t>Военнопленные</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Моби</w:t>
      </w:r>
      <w:proofErr w:type="gramStart"/>
      <w:r w:rsidRPr="00925F26">
        <w:rPr>
          <w:color w:val="000000" w:themeColor="text1"/>
          <w:sz w:val="16"/>
          <w:szCs w:val="16"/>
        </w:rPr>
        <w:t>-  лизованные</w:t>
      </w:r>
      <w:proofErr w:type="gramEnd"/>
      <w:r w:rsidRPr="00925F26">
        <w:rPr>
          <w:color w:val="000000" w:themeColor="text1"/>
          <w:sz w:val="16"/>
          <w:szCs w:val="16"/>
        </w:rPr>
        <w:tab/>
        <w:t>Арес</w:t>
      </w:r>
      <w:proofErr w:type="gramStart"/>
      <w:r w:rsidRPr="00925F26">
        <w:rPr>
          <w:color w:val="000000" w:themeColor="text1"/>
          <w:sz w:val="16"/>
          <w:szCs w:val="16"/>
        </w:rPr>
        <w:t>-  тованные</w:t>
      </w:r>
      <w:proofErr w:type="gramEnd"/>
      <w:r w:rsidRPr="00925F26">
        <w:rPr>
          <w:color w:val="000000" w:themeColor="text1"/>
          <w:sz w:val="16"/>
          <w:szCs w:val="16"/>
        </w:rPr>
        <w:tab/>
        <w:t>Всего</w:t>
      </w:r>
    </w:p>
    <w:p w14:paraId="1572243D" w14:textId="77777777" w:rsidR="004146AC" w:rsidRPr="00925F26" w:rsidRDefault="004146AC" w:rsidP="00925F26">
      <w:pPr>
        <w:jc w:val="both"/>
        <w:rPr>
          <w:color w:val="000000" w:themeColor="text1"/>
          <w:sz w:val="16"/>
          <w:szCs w:val="16"/>
        </w:rPr>
      </w:pPr>
      <w:r w:rsidRPr="00925F26">
        <w:rPr>
          <w:color w:val="000000" w:themeColor="text1"/>
          <w:sz w:val="16"/>
          <w:szCs w:val="16"/>
        </w:rPr>
        <w:tab/>
        <w:t xml:space="preserve">Наличие на 17 </w:t>
      </w:r>
      <w:proofErr w:type="gramStart"/>
      <w:r w:rsidRPr="00925F26">
        <w:rPr>
          <w:color w:val="000000" w:themeColor="text1"/>
          <w:sz w:val="16"/>
          <w:szCs w:val="16"/>
        </w:rPr>
        <w:t>мая</w:t>
      </w:r>
      <w:r w:rsidRPr="00925F26">
        <w:rPr>
          <w:color w:val="000000" w:themeColor="text1"/>
          <w:sz w:val="16"/>
          <w:szCs w:val="16"/>
        </w:rPr>
        <w:tab/>
        <w:t>Завозятся</w:t>
      </w:r>
      <w:proofErr w:type="gramEnd"/>
      <w:r w:rsidRPr="00925F26">
        <w:rPr>
          <w:color w:val="000000" w:themeColor="text1"/>
          <w:sz w:val="16"/>
          <w:szCs w:val="16"/>
        </w:rPr>
        <w:t xml:space="preserve"> до 1 </w:t>
      </w:r>
      <w:proofErr w:type="gramStart"/>
      <w:r w:rsidRPr="00925F26">
        <w:rPr>
          <w:color w:val="000000" w:themeColor="text1"/>
          <w:sz w:val="16"/>
          <w:szCs w:val="16"/>
        </w:rPr>
        <w:t>августа</w:t>
      </w:r>
      <w:proofErr w:type="gramEnd"/>
      <w:r w:rsidRPr="00925F26">
        <w:rPr>
          <w:color w:val="000000" w:themeColor="text1"/>
          <w:sz w:val="16"/>
          <w:szCs w:val="16"/>
        </w:rPr>
        <w:tab/>
        <w:t>Всего</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56E4EA83" w14:textId="77777777" w:rsidR="004146AC" w:rsidRPr="00925F26" w:rsidRDefault="004146AC" w:rsidP="00925F26">
      <w:pPr>
        <w:jc w:val="both"/>
        <w:rPr>
          <w:color w:val="000000" w:themeColor="text1"/>
          <w:sz w:val="16"/>
          <w:szCs w:val="16"/>
        </w:rPr>
      </w:pP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27057FD4" w14:textId="77777777" w:rsidR="004146AC" w:rsidRPr="00925F26" w:rsidRDefault="004146AC" w:rsidP="00925F26">
      <w:pPr>
        <w:jc w:val="both"/>
        <w:rPr>
          <w:color w:val="000000" w:themeColor="text1"/>
          <w:sz w:val="16"/>
          <w:szCs w:val="16"/>
        </w:rPr>
      </w:pPr>
      <w:r w:rsidRPr="00925F26">
        <w:rPr>
          <w:color w:val="000000" w:themeColor="text1"/>
          <w:sz w:val="16"/>
          <w:szCs w:val="16"/>
        </w:rPr>
        <w:t>НКЭС</w:t>
      </w:r>
      <w:r w:rsidRPr="00925F26">
        <w:rPr>
          <w:color w:val="000000" w:themeColor="text1"/>
          <w:sz w:val="16"/>
          <w:szCs w:val="16"/>
        </w:rPr>
        <w:tab/>
        <w:t>9600</w:t>
      </w:r>
      <w:r w:rsidRPr="00925F26">
        <w:rPr>
          <w:color w:val="000000" w:themeColor="text1"/>
          <w:sz w:val="16"/>
          <w:szCs w:val="16"/>
        </w:rPr>
        <w:tab/>
        <w:t>25 000</w:t>
      </w:r>
      <w:r w:rsidRPr="00925F26">
        <w:rPr>
          <w:color w:val="000000" w:themeColor="text1"/>
          <w:sz w:val="16"/>
          <w:szCs w:val="16"/>
        </w:rPr>
        <w:tab/>
        <w:t>34 600</w:t>
      </w:r>
      <w:r w:rsidRPr="00925F26">
        <w:rPr>
          <w:color w:val="000000" w:themeColor="text1"/>
          <w:sz w:val="16"/>
          <w:szCs w:val="16"/>
        </w:rPr>
        <w:tab/>
        <w:t>1000</w:t>
      </w:r>
      <w:r w:rsidRPr="00925F26">
        <w:rPr>
          <w:color w:val="000000" w:themeColor="text1"/>
          <w:sz w:val="16"/>
          <w:szCs w:val="16"/>
        </w:rPr>
        <w:tab/>
        <w:t>8784</w:t>
      </w:r>
      <w:r w:rsidRPr="00925F26">
        <w:rPr>
          <w:color w:val="000000" w:themeColor="text1"/>
          <w:sz w:val="16"/>
          <w:szCs w:val="16"/>
        </w:rPr>
        <w:tab/>
        <w:t>44 384</w:t>
      </w:r>
    </w:p>
    <w:p w14:paraId="1905B27F" w14:textId="77777777" w:rsidR="004146AC" w:rsidRPr="00925F26" w:rsidRDefault="004146AC" w:rsidP="00925F26">
      <w:pPr>
        <w:jc w:val="both"/>
        <w:rPr>
          <w:color w:val="000000" w:themeColor="text1"/>
          <w:sz w:val="16"/>
          <w:szCs w:val="16"/>
        </w:rPr>
      </w:pPr>
      <w:r w:rsidRPr="00925F26">
        <w:rPr>
          <w:color w:val="000000" w:themeColor="text1"/>
          <w:sz w:val="16"/>
          <w:szCs w:val="16"/>
        </w:rPr>
        <w:t>НКВ</w:t>
      </w:r>
      <w:r w:rsidRPr="00925F26">
        <w:rPr>
          <w:color w:val="000000" w:themeColor="text1"/>
          <w:sz w:val="16"/>
          <w:szCs w:val="16"/>
        </w:rPr>
        <w:tab/>
        <w:t>9500</w:t>
      </w:r>
      <w:r w:rsidRPr="00925F26">
        <w:rPr>
          <w:color w:val="000000" w:themeColor="text1"/>
          <w:sz w:val="16"/>
          <w:szCs w:val="16"/>
        </w:rPr>
        <w:tab/>
        <w:t>20 000</w:t>
      </w:r>
      <w:r w:rsidRPr="00925F26">
        <w:rPr>
          <w:color w:val="000000" w:themeColor="text1"/>
          <w:sz w:val="16"/>
          <w:szCs w:val="16"/>
        </w:rPr>
        <w:tab/>
        <w:t>29 500</w:t>
      </w:r>
      <w:r w:rsidRPr="00925F26">
        <w:rPr>
          <w:color w:val="000000" w:themeColor="text1"/>
          <w:sz w:val="16"/>
          <w:szCs w:val="16"/>
        </w:rPr>
        <w:tab/>
        <w:t>248</w:t>
      </w:r>
      <w:r w:rsidRPr="00925F26">
        <w:rPr>
          <w:color w:val="000000" w:themeColor="text1"/>
          <w:sz w:val="16"/>
          <w:szCs w:val="16"/>
        </w:rPr>
        <w:tab/>
        <w:t>994</w:t>
      </w:r>
      <w:r w:rsidRPr="00925F26">
        <w:rPr>
          <w:color w:val="000000" w:themeColor="text1"/>
          <w:sz w:val="16"/>
          <w:szCs w:val="16"/>
        </w:rPr>
        <w:tab/>
        <w:t>30 742</w:t>
      </w:r>
    </w:p>
    <w:p w14:paraId="0A9D7ABF" w14:textId="77777777" w:rsidR="004146AC" w:rsidRPr="00925F26" w:rsidRDefault="004146AC" w:rsidP="00925F26">
      <w:pPr>
        <w:jc w:val="both"/>
        <w:rPr>
          <w:color w:val="000000" w:themeColor="text1"/>
          <w:sz w:val="16"/>
          <w:szCs w:val="16"/>
        </w:rPr>
      </w:pPr>
      <w:r w:rsidRPr="00925F26">
        <w:rPr>
          <w:color w:val="000000" w:themeColor="text1"/>
          <w:sz w:val="16"/>
          <w:szCs w:val="16"/>
        </w:rPr>
        <w:t>НКнефть</w:t>
      </w:r>
      <w:r w:rsidRPr="00925F26">
        <w:rPr>
          <w:color w:val="000000" w:themeColor="text1"/>
          <w:sz w:val="16"/>
          <w:szCs w:val="16"/>
        </w:rPr>
        <w:tab/>
        <w:t>8700</w:t>
      </w:r>
      <w:r w:rsidRPr="00925F26">
        <w:rPr>
          <w:color w:val="000000" w:themeColor="text1"/>
          <w:sz w:val="16"/>
          <w:szCs w:val="16"/>
        </w:rPr>
        <w:tab/>
        <w:t>20 000</w:t>
      </w:r>
      <w:r w:rsidRPr="00925F26">
        <w:rPr>
          <w:color w:val="000000" w:themeColor="text1"/>
          <w:sz w:val="16"/>
          <w:szCs w:val="16"/>
        </w:rPr>
        <w:tab/>
        <w:t>28 700</w:t>
      </w:r>
      <w:r w:rsidRPr="00925F26">
        <w:rPr>
          <w:color w:val="000000" w:themeColor="text1"/>
          <w:sz w:val="16"/>
          <w:szCs w:val="16"/>
        </w:rPr>
        <w:tab/>
        <w:t>5567</w:t>
      </w:r>
      <w:r w:rsidRPr="00925F26">
        <w:rPr>
          <w:color w:val="000000" w:themeColor="text1"/>
          <w:sz w:val="16"/>
          <w:szCs w:val="16"/>
        </w:rPr>
        <w:tab/>
        <w:t>3255</w:t>
      </w:r>
      <w:r w:rsidRPr="00925F26">
        <w:rPr>
          <w:color w:val="000000" w:themeColor="text1"/>
          <w:sz w:val="16"/>
          <w:szCs w:val="16"/>
        </w:rPr>
        <w:tab/>
        <w:t>37 522</w:t>
      </w:r>
    </w:p>
    <w:p w14:paraId="567AA53C" w14:textId="77777777" w:rsidR="004146AC" w:rsidRPr="00925F26" w:rsidRDefault="004146AC" w:rsidP="00925F26">
      <w:pPr>
        <w:jc w:val="both"/>
        <w:rPr>
          <w:color w:val="000000" w:themeColor="text1"/>
          <w:sz w:val="16"/>
          <w:szCs w:val="16"/>
        </w:rPr>
      </w:pPr>
      <w:r w:rsidRPr="00925F26">
        <w:rPr>
          <w:color w:val="000000" w:themeColor="text1"/>
          <w:sz w:val="16"/>
          <w:szCs w:val="16"/>
        </w:rPr>
        <w:t>НКХП</w:t>
      </w:r>
      <w:r w:rsidRPr="00925F26">
        <w:rPr>
          <w:color w:val="000000" w:themeColor="text1"/>
          <w:sz w:val="16"/>
          <w:szCs w:val="16"/>
        </w:rPr>
        <w:tab/>
        <w:t>8100</w:t>
      </w:r>
      <w:r w:rsidRPr="00925F26">
        <w:rPr>
          <w:color w:val="000000" w:themeColor="text1"/>
          <w:sz w:val="16"/>
          <w:szCs w:val="16"/>
        </w:rPr>
        <w:tab/>
        <w:t>16 000</w:t>
      </w:r>
      <w:r w:rsidRPr="00925F26">
        <w:rPr>
          <w:color w:val="000000" w:themeColor="text1"/>
          <w:sz w:val="16"/>
          <w:szCs w:val="16"/>
        </w:rPr>
        <w:tab/>
        <w:t>24 100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24 100</w:t>
      </w:r>
    </w:p>
    <w:p w14:paraId="3A21E350" w14:textId="77777777" w:rsidR="004146AC" w:rsidRPr="00925F26" w:rsidRDefault="004146AC" w:rsidP="00925F26">
      <w:pPr>
        <w:jc w:val="both"/>
        <w:rPr>
          <w:color w:val="000000" w:themeColor="text1"/>
          <w:sz w:val="16"/>
          <w:szCs w:val="16"/>
        </w:rPr>
      </w:pPr>
      <w:r w:rsidRPr="00925F26">
        <w:rPr>
          <w:color w:val="000000" w:themeColor="text1"/>
          <w:sz w:val="16"/>
          <w:szCs w:val="16"/>
        </w:rPr>
        <w:t>НКлес</w:t>
      </w:r>
      <w:r w:rsidRPr="00925F26">
        <w:rPr>
          <w:color w:val="000000" w:themeColor="text1"/>
          <w:sz w:val="16"/>
          <w:szCs w:val="16"/>
        </w:rPr>
        <w:tab/>
        <w:t>7000</w:t>
      </w:r>
      <w:r w:rsidRPr="00925F26">
        <w:rPr>
          <w:color w:val="000000" w:themeColor="text1"/>
          <w:sz w:val="16"/>
          <w:szCs w:val="16"/>
        </w:rPr>
        <w:tab/>
        <w:t>50 000</w:t>
      </w:r>
      <w:r w:rsidRPr="00925F26">
        <w:rPr>
          <w:color w:val="000000" w:themeColor="text1"/>
          <w:sz w:val="16"/>
          <w:szCs w:val="16"/>
        </w:rPr>
        <w:tab/>
        <w:t>57 000</w:t>
      </w:r>
      <w:r w:rsidRPr="00925F26">
        <w:rPr>
          <w:color w:val="000000" w:themeColor="text1"/>
          <w:sz w:val="16"/>
          <w:szCs w:val="16"/>
        </w:rPr>
        <w:tab/>
        <w:t>1500</w:t>
      </w:r>
      <w:r w:rsidRPr="00925F26">
        <w:rPr>
          <w:color w:val="000000" w:themeColor="text1"/>
          <w:sz w:val="16"/>
          <w:szCs w:val="16"/>
        </w:rPr>
        <w:tab/>
        <w:t>2000</w:t>
      </w:r>
      <w:r w:rsidRPr="00925F26">
        <w:rPr>
          <w:color w:val="000000" w:themeColor="text1"/>
          <w:sz w:val="16"/>
          <w:szCs w:val="16"/>
        </w:rPr>
        <w:tab/>
        <w:t>60 500</w:t>
      </w:r>
    </w:p>
    <w:p w14:paraId="411A38D9" w14:textId="77777777" w:rsidR="004146AC" w:rsidRPr="00925F26" w:rsidRDefault="004146AC" w:rsidP="00925F26">
      <w:pPr>
        <w:jc w:val="both"/>
        <w:rPr>
          <w:color w:val="000000" w:themeColor="text1"/>
          <w:sz w:val="16"/>
          <w:szCs w:val="16"/>
        </w:rPr>
      </w:pPr>
      <w:r w:rsidRPr="00925F26">
        <w:rPr>
          <w:color w:val="000000" w:themeColor="text1"/>
          <w:sz w:val="16"/>
          <w:szCs w:val="16"/>
        </w:rPr>
        <w:t>НКтанкпром</w:t>
      </w:r>
      <w:r w:rsidRPr="00925F26">
        <w:rPr>
          <w:color w:val="000000" w:themeColor="text1"/>
          <w:sz w:val="16"/>
          <w:szCs w:val="16"/>
        </w:rPr>
        <w:tab/>
        <w:t>7000</w:t>
      </w:r>
      <w:r w:rsidRPr="00925F26">
        <w:rPr>
          <w:color w:val="000000" w:themeColor="text1"/>
          <w:sz w:val="16"/>
          <w:szCs w:val="16"/>
        </w:rPr>
        <w:tab/>
        <w:t>22 000</w:t>
      </w:r>
      <w:r w:rsidRPr="00925F26">
        <w:rPr>
          <w:color w:val="000000" w:themeColor="text1"/>
          <w:sz w:val="16"/>
          <w:szCs w:val="16"/>
        </w:rPr>
        <w:tab/>
        <w:t>29 000</w:t>
      </w:r>
      <w:r w:rsidRPr="00925F26">
        <w:rPr>
          <w:color w:val="000000" w:themeColor="text1"/>
          <w:sz w:val="16"/>
          <w:szCs w:val="16"/>
        </w:rPr>
        <w:tab/>
        <w:t>2000</w:t>
      </w:r>
      <w:r w:rsidRPr="00925F26">
        <w:rPr>
          <w:color w:val="000000" w:themeColor="text1"/>
          <w:sz w:val="16"/>
          <w:szCs w:val="16"/>
        </w:rPr>
        <w:tab/>
        <w:t>—</w:t>
      </w:r>
      <w:r w:rsidRPr="00925F26">
        <w:rPr>
          <w:color w:val="000000" w:themeColor="text1"/>
          <w:sz w:val="16"/>
          <w:szCs w:val="16"/>
        </w:rPr>
        <w:tab/>
        <w:t>31 000</w:t>
      </w:r>
    </w:p>
    <w:p w14:paraId="2603ACEF" w14:textId="77777777" w:rsidR="004146AC" w:rsidRPr="00925F26" w:rsidRDefault="004146AC" w:rsidP="00925F26">
      <w:pPr>
        <w:jc w:val="both"/>
        <w:rPr>
          <w:color w:val="000000" w:themeColor="text1"/>
          <w:sz w:val="16"/>
          <w:szCs w:val="16"/>
        </w:rPr>
      </w:pPr>
      <w:r w:rsidRPr="00925F26">
        <w:rPr>
          <w:color w:val="000000" w:themeColor="text1"/>
          <w:sz w:val="16"/>
          <w:szCs w:val="16"/>
        </w:rPr>
        <w:t>НКСС</w:t>
      </w:r>
      <w:r w:rsidRPr="00925F26">
        <w:rPr>
          <w:color w:val="000000" w:themeColor="text1"/>
          <w:sz w:val="16"/>
          <w:szCs w:val="16"/>
        </w:rPr>
        <w:tab/>
        <w:t>6800</w:t>
      </w:r>
      <w:r w:rsidRPr="00925F26">
        <w:rPr>
          <w:color w:val="000000" w:themeColor="text1"/>
          <w:sz w:val="16"/>
          <w:szCs w:val="16"/>
        </w:rPr>
        <w:tab/>
        <w:t>15 000</w:t>
      </w:r>
      <w:r w:rsidRPr="00925F26">
        <w:rPr>
          <w:color w:val="000000" w:themeColor="text1"/>
          <w:sz w:val="16"/>
          <w:szCs w:val="16"/>
        </w:rPr>
        <w:tab/>
        <w:t>21 800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21 800</w:t>
      </w:r>
    </w:p>
    <w:p w14:paraId="760E06F7" w14:textId="77777777" w:rsidR="004146AC" w:rsidRPr="00925F26" w:rsidRDefault="004146AC" w:rsidP="00925F26">
      <w:pPr>
        <w:jc w:val="both"/>
        <w:rPr>
          <w:color w:val="000000" w:themeColor="text1"/>
          <w:sz w:val="16"/>
          <w:szCs w:val="16"/>
        </w:rPr>
      </w:pPr>
      <w:r w:rsidRPr="00925F26">
        <w:rPr>
          <w:color w:val="000000" w:themeColor="text1"/>
          <w:sz w:val="16"/>
          <w:szCs w:val="16"/>
        </w:rPr>
        <w:t>НКтоппром</w:t>
      </w:r>
      <w:r w:rsidRPr="00925F26">
        <w:rPr>
          <w:color w:val="000000" w:themeColor="text1"/>
          <w:sz w:val="16"/>
          <w:szCs w:val="16"/>
        </w:rPr>
        <w:tab/>
        <w:t>5500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3750</w:t>
      </w:r>
      <w:r w:rsidRPr="00925F26">
        <w:rPr>
          <w:color w:val="000000" w:themeColor="text1"/>
          <w:sz w:val="16"/>
          <w:szCs w:val="16"/>
        </w:rPr>
        <w:tab/>
        <w:t>—</w:t>
      </w:r>
      <w:r w:rsidRPr="00925F26">
        <w:rPr>
          <w:color w:val="000000" w:themeColor="text1"/>
          <w:sz w:val="16"/>
          <w:szCs w:val="16"/>
        </w:rPr>
        <w:tab/>
        <w:t>9250</w:t>
      </w:r>
    </w:p>
    <w:p w14:paraId="132E3023" w14:textId="77777777" w:rsidR="004146AC" w:rsidRPr="00925F26" w:rsidRDefault="004146AC" w:rsidP="00925F26">
      <w:pPr>
        <w:jc w:val="both"/>
        <w:rPr>
          <w:color w:val="000000" w:themeColor="text1"/>
          <w:sz w:val="16"/>
          <w:szCs w:val="16"/>
        </w:rPr>
      </w:pPr>
      <w:r w:rsidRPr="00925F26">
        <w:rPr>
          <w:color w:val="000000" w:themeColor="text1"/>
          <w:sz w:val="16"/>
          <w:szCs w:val="16"/>
        </w:rPr>
        <w:t>НКтекстиль</w:t>
      </w:r>
      <w:r w:rsidRPr="00925F26">
        <w:rPr>
          <w:color w:val="000000" w:themeColor="text1"/>
          <w:sz w:val="16"/>
          <w:szCs w:val="16"/>
        </w:rPr>
        <w:tab/>
        <w:t>4000</w:t>
      </w:r>
      <w:r w:rsidRPr="00925F26">
        <w:rPr>
          <w:color w:val="000000" w:themeColor="text1"/>
          <w:sz w:val="16"/>
          <w:szCs w:val="16"/>
        </w:rPr>
        <w:tab/>
        <w:t>5000</w:t>
      </w:r>
      <w:r w:rsidRPr="00925F26">
        <w:rPr>
          <w:color w:val="000000" w:themeColor="text1"/>
          <w:sz w:val="16"/>
          <w:szCs w:val="16"/>
        </w:rPr>
        <w:tab/>
        <w:t>9000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9000</w:t>
      </w:r>
    </w:p>
    <w:p w14:paraId="6DF972AC" w14:textId="77777777" w:rsidR="004146AC" w:rsidRPr="00925F26" w:rsidRDefault="004146AC" w:rsidP="00925F26">
      <w:pPr>
        <w:jc w:val="both"/>
        <w:rPr>
          <w:color w:val="000000" w:themeColor="text1"/>
          <w:sz w:val="16"/>
          <w:szCs w:val="16"/>
        </w:rPr>
      </w:pPr>
      <w:r w:rsidRPr="00925F26">
        <w:rPr>
          <w:color w:val="000000" w:themeColor="text1"/>
          <w:sz w:val="16"/>
          <w:szCs w:val="16"/>
        </w:rPr>
        <w:t>НКПП</w:t>
      </w:r>
      <w:r w:rsidRPr="00925F26">
        <w:rPr>
          <w:color w:val="000000" w:themeColor="text1"/>
          <w:sz w:val="16"/>
          <w:szCs w:val="16"/>
        </w:rPr>
        <w:tab/>
        <w:t>4000</w:t>
      </w:r>
      <w:r w:rsidRPr="00925F26">
        <w:rPr>
          <w:color w:val="000000" w:themeColor="text1"/>
          <w:sz w:val="16"/>
          <w:szCs w:val="16"/>
        </w:rPr>
        <w:tab/>
        <w:t>—</w:t>
      </w:r>
      <w:r w:rsidRPr="00925F26">
        <w:rPr>
          <w:color w:val="000000" w:themeColor="text1"/>
          <w:sz w:val="16"/>
          <w:szCs w:val="16"/>
        </w:rPr>
        <w:tab/>
        <w:t>4000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4000</w:t>
      </w:r>
    </w:p>
    <w:p w14:paraId="15B12706" w14:textId="77777777" w:rsidR="004146AC" w:rsidRPr="00925F26" w:rsidRDefault="004146AC" w:rsidP="00925F26">
      <w:pPr>
        <w:jc w:val="both"/>
        <w:rPr>
          <w:color w:val="000000" w:themeColor="text1"/>
          <w:sz w:val="16"/>
          <w:szCs w:val="16"/>
        </w:rPr>
      </w:pPr>
      <w:r w:rsidRPr="00925F26">
        <w:rPr>
          <w:color w:val="000000" w:themeColor="text1"/>
          <w:sz w:val="16"/>
          <w:szCs w:val="16"/>
        </w:rPr>
        <w:t>НКсовхозов</w:t>
      </w:r>
      <w:r w:rsidRPr="00925F26">
        <w:rPr>
          <w:color w:val="000000" w:themeColor="text1"/>
          <w:sz w:val="16"/>
          <w:szCs w:val="16"/>
        </w:rPr>
        <w:tab/>
        <w:t>4000</w:t>
      </w:r>
      <w:r w:rsidRPr="00925F26">
        <w:rPr>
          <w:color w:val="000000" w:themeColor="text1"/>
          <w:sz w:val="16"/>
          <w:szCs w:val="16"/>
        </w:rPr>
        <w:tab/>
        <w:t>15 000</w:t>
      </w:r>
      <w:r w:rsidRPr="00925F26">
        <w:rPr>
          <w:color w:val="000000" w:themeColor="text1"/>
          <w:sz w:val="16"/>
          <w:szCs w:val="16"/>
        </w:rPr>
        <w:tab/>
        <w:t>19 000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19 000</w:t>
      </w:r>
    </w:p>
    <w:p w14:paraId="4832D271" w14:textId="77777777" w:rsidR="004146AC" w:rsidRPr="00925F26" w:rsidRDefault="004146AC" w:rsidP="00925F26">
      <w:pPr>
        <w:jc w:val="both"/>
        <w:rPr>
          <w:color w:val="000000" w:themeColor="text1"/>
          <w:sz w:val="16"/>
          <w:szCs w:val="16"/>
        </w:rPr>
      </w:pPr>
      <w:r w:rsidRPr="00925F26">
        <w:rPr>
          <w:color w:val="000000" w:themeColor="text1"/>
          <w:sz w:val="16"/>
          <w:szCs w:val="16"/>
        </w:rPr>
        <w:t>НКСП</w:t>
      </w:r>
      <w:r w:rsidRPr="00925F26">
        <w:rPr>
          <w:color w:val="000000" w:themeColor="text1"/>
          <w:sz w:val="16"/>
          <w:szCs w:val="16"/>
        </w:rPr>
        <w:tab/>
        <w:t>3300</w:t>
      </w:r>
      <w:r w:rsidRPr="00925F26">
        <w:rPr>
          <w:color w:val="000000" w:themeColor="text1"/>
          <w:sz w:val="16"/>
          <w:szCs w:val="16"/>
        </w:rPr>
        <w:tab/>
        <w:t>—</w:t>
      </w:r>
      <w:r w:rsidRPr="00925F26">
        <w:rPr>
          <w:color w:val="000000" w:themeColor="text1"/>
          <w:sz w:val="16"/>
          <w:szCs w:val="16"/>
        </w:rPr>
        <w:tab/>
        <w:t>3300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3300</w:t>
      </w:r>
    </w:p>
    <w:p w14:paraId="60C01AE8" w14:textId="77777777" w:rsidR="004146AC" w:rsidRPr="00925F26" w:rsidRDefault="004146AC" w:rsidP="00925F26">
      <w:pPr>
        <w:jc w:val="both"/>
        <w:rPr>
          <w:color w:val="000000" w:themeColor="text1"/>
          <w:sz w:val="16"/>
          <w:szCs w:val="16"/>
        </w:rPr>
      </w:pPr>
      <w:r w:rsidRPr="00925F26">
        <w:rPr>
          <w:color w:val="000000" w:themeColor="text1"/>
          <w:sz w:val="16"/>
          <w:szCs w:val="16"/>
        </w:rPr>
        <w:t>НКРФ</w:t>
      </w:r>
      <w:r w:rsidRPr="00925F26">
        <w:rPr>
          <w:color w:val="000000" w:themeColor="text1"/>
          <w:sz w:val="16"/>
          <w:szCs w:val="16"/>
        </w:rPr>
        <w:tab/>
        <w:t>3800</w:t>
      </w:r>
      <w:r w:rsidRPr="00925F26">
        <w:rPr>
          <w:color w:val="000000" w:themeColor="text1"/>
          <w:sz w:val="16"/>
          <w:szCs w:val="16"/>
        </w:rPr>
        <w:tab/>
        <w:t>20 000</w:t>
      </w:r>
      <w:r w:rsidRPr="00925F26">
        <w:rPr>
          <w:color w:val="000000" w:themeColor="text1"/>
          <w:sz w:val="16"/>
          <w:szCs w:val="16"/>
        </w:rPr>
        <w:tab/>
        <w:t>23 800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23 800</w:t>
      </w:r>
    </w:p>
    <w:p w14:paraId="44D518AA" w14:textId="77777777" w:rsidR="004146AC" w:rsidRPr="00925F26" w:rsidRDefault="004146AC" w:rsidP="00925F26">
      <w:pPr>
        <w:jc w:val="both"/>
        <w:rPr>
          <w:color w:val="000000" w:themeColor="text1"/>
          <w:sz w:val="16"/>
          <w:szCs w:val="16"/>
        </w:rPr>
      </w:pPr>
      <w:r w:rsidRPr="00925F26">
        <w:rPr>
          <w:color w:val="000000" w:themeColor="text1"/>
          <w:sz w:val="16"/>
          <w:szCs w:val="16"/>
        </w:rPr>
        <w:t>НКСМ</w:t>
      </w:r>
      <w:r w:rsidRPr="00925F26">
        <w:rPr>
          <w:color w:val="000000" w:themeColor="text1"/>
          <w:sz w:val="16"/>
          <w:szCs w:val="16"/>
        </w:rPr>
        <w:tab/>
        <w:t>1500</w:t>
      </w:r>
      <w:r w:rsidRPr="00925F26">
        <w:rPr>
          <w:color w:val="000000" w:themeColor="text1"/>
          <w:sz w:val="16"/>
          <w:szCs w:val="16"/>
        </w:rPr>
        <w:tab/>
        <w:t>10 000</w:t>
      </w:r>
      <w:r w:rsidRPr="00925F26">
        <w:rPr>
          <w:color w:val="000000" w:themeColor="text1"/>
          <w:sz w:val="16"/>
          <w:szCs w:val="16"/>
        </w:rPr>
        <w:tab/>
        <w:t>11 500</w:t>
      </w:r>
      <w:r w:rsidRPr="00925F26">
        <w:rPr>
          <w:color w:val="000000" w:themeColor="text1"/>
          <w:sz w:val="16"/>
          <w:szCs w:val="16"/>
        </w:rPr>
        <w:tab/>
        <w:t>—</w:t>
      </w:r>
      <w:r w:rsidRPr="00925F26">
        <w:rPr>
          <w:color w:val="000000" w:themeColor="text1"/>
          <w:sz w:val="16"/>
          <w:szCs w:val="16"/>
        </w:rPr>
        <w:tab/>
        <w:t>1460</w:t>
      </w:r>
      <w:r w:rsidRPr="00925F26">
        <w:rPr>
          <w:color w:val="000000" w:themeColor="text1"/>
          <w:sz w:val="16"/>
          <w:szCs w:val="16"/>
        </w:rPr>
        <w:tab/>
        <w:t>12 960</w:t>
      </w:r>
    </w:p>
    <w:p w14:paraId="3E1FF831" w14:textId="77777777" w:rsidR="004146AC" w:rsidRPr="00925F26" w:rsidRDefault="004146AC" w:rsidP="00925F26">
      <w:pPr>
        <w:jc w:val="both"/>
        <w:rPr>
          <w:color w:val="000000" w:themeColor="text1"/>
          <w:sz w:val="16"/>
          <w:szCs w:val="16"/>
        </w:rPr>
      </w:pPr>
      <w:r w:rsidRPr="00925F26">
        <w:rPr>
          <w:color w:val="000000" w:themeColor="text1"/>
          <w:sz w:val="16"/>
          <w:szCs w:val="16"/>
        </w:rPr>
        <w:t>НКМВ</w:t>
      </w:r>
      <w:r w:rsidRPr="00925F26">
        <w:rPr>
          <w:color w:val="000000" w:themeColor="text1"/>
          <w:sz w:val="16"/>
          <w:szCs w:val="16"/>
        </w:rPr>
        <w:tab/>
        <w:t>1600</w:t>
      </w:r>
      <w:r w:rsidRPr="00925F26">
        <w:rPr>
          <w:color w:val="000000" w:themeColor="text1"/>
          <w:sz w:val="16"/>
          <w:szCs w:val="16"/>
        </w:rPr>
        <w:tab/>
        <w:t>3000</w:t>
      </w:r>
      <w:r w:rsidRPr="00925F26">
        <w:rPr>
          <w:color w:val="000000" w:themeColor="text1"/>
          <w:sz w:val="16"/>
          <w:szCs w:val="16"/>
        </w:rPr>
        <w:tab/>
        <w:t>4600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4600</w:t>
      </w:r>
    </w:p>
    <w:p w14:paraId="6B813FBF" w14:textId="77777777" w:rsidR="004146AC" w:rsidRPr="00925F26" w:rsidRDefault="004146AC" w:rsidP="00925F26">
      <w:pPr>
        <w:jc w:val="both"/>
        <w:rPr>
          <w:color w:val="000000" w:themeColor="text1"/>
          <w:sz w:val="16"/>
          <w:szCs w:val="16"/>
        </w:rPr>
      </w:pPr>
      <w:r w:rsidRPr="00925F26">
        <w:rPr>
          <w:color w:val="000000" w:themeColor="text1"/>
          <w:sz w:val="16"/>
          <w:szCs w:val="16"/>
        </w:rPr>
        <w:t>НКрыбпром</w:t>
      </w:r>
      <w:r w:rsidRPr="00925F26">
        <w:rPr>
          <w:color w:val="000000" w:themeColor="text1"/>
          <w:sz w:val="16"/>
          <w:szCs w:val="16"/>
        </w:rPr>
        <w:tab/>
        <w:t>—</w:t>
      </w:r>
      <w:r w:rsidRPr="00925F26">
        <w:rPr>
          <w:color w:val="000000" w:themeColor="text1"/>
          <w:sz w:val="16"/>
          <w:szCs w:val="16"/>
        </w:rPr>
        <w:tab/>
        <w:t>20 000</w:t>
      </w:r>
      <w:r w:rsidRPr="00925F26">
        <w:rPr>
          <w:color w:val="000000" w:themeColor="text1"/>
          <w:sz w:val="16"/>
          <w:szCs w:val="16"/>
        </w:rPr>
        <w:tab/>
        <w:t>20 000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20 000</w:t>
      </w:r>
    </w:p>
    <w:p w14:paraId="58777B52" w14:textId="77777777" w:rsidR="004146AC" w:rsidRPr="00925F26" w:rsidRDefault="004146AC" w:rsidP="00925F26">
      <w:pPr>
        <w:jc w:val="both"/>
        <w:rPr>
          <w:color w:val="000000" w:themeColor="text1"/>
          <w:sz w:val="16"/>
          <w:szCs w:val="16"/>
        </w:rPr>
      </w:pPr>
      <w:r w:rsidRPr="00925F26">
        <w:rPr>
          <w:color w:val="000000" w:themeColor="text1"/>
          <w:sz w:val="16"/>
          <w:szCs w:val="16"/>
        </w:rPr>
        <w:t>ГУГВФ3</w:t>
      </w:r>
      <w:r w:rsidRPr="00925F26">
        <w:rPr>
          <w:color w:val="000000" w:themeColor="text1"/>
          <w:sz w:val="16"/>
          <w:szCs w:val="16"/>
        </w:rPr>
        <w:tab/>
        <w:t>—</w:t>
      </w:r>
      <w:r w:rsidRPr="00925F26">
        <w:rPr>
          <w:color w:val="000000" w:themeColor="text1"/>
          <w:sz w:val="16"/>
          <w:szCs w:val="16"/>
        </w:rPr>
        <w:tab/>
        <w:t>5000</w:t>
      </w:r>
      <w:r w:rsidRPr="00925F26">
        <w:rPr>
          <w:color w:val="000000" w:themeColor="text1"/>
          <w:sz w:val="16"/>
          <w:szCs w:val="16"/>
        </w:rPr>
        <w:tab/>
        <w:t>5000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5000</w:t>
      </w:r>
    </w:p>
    <w:p w14:paraId="7AC2D938" w14:textId="77777777" w:rsidR="004146AC" w:rsidRPr="00925F26" w:rsidRDefault="004146AC" w:rsidP="00925F26">
      <w:pPr>
        <w:jc w:val="both"/>
        <w:rPr>
          <w:color w:val="000000" w:themeColor="text1"/>
          <w:sz w:val="16"/>
          <w:szCs w:val="16"/>
        </w:rPr>
      </w:pPr>
      <w:r w:rsidRPr="00925F26">
        <w:rPr>
          <w:color w:val="000000" w:themeColor="text1"/>
          <w:sz w:val="16"/>
          <w:szCs w:val="16"/>
        </w:rPr>
        <w:lastRenderedPageBreak/>
        <w:t>НКВМФ</w:t>
      </w:r>
      <w:r w:rsidRPr="00925F26">
        <w:rPr>
          <w:color w:val="000000" w:themeColor="text1"/>
          <w:sz w:val="16"/>
          <w:szCs w:val="16"/>
        </w:rPr>
        <w:tab/>
        <w:t>—</w:t>
      </w:r>
      <w:r w:rsidRPr="00925F26">
        <w:rPr>
          <w:color w:val="000000" w:themeColor="text1"/>
          <w:sz w:val="16"/>
          <w:szCs w:val="16"/>
        </w:rPr>
        <w:tab/>
        <w:t>4000</w:t>
      </w:r>
      <w:r w:rsidRPr="00925F26">
        <w:rPr>
          <w:color w:val="000000" w:themeColor="text1"/>
          <w:sz w:val="16"/>
          <w:szCs w:val="16"/>
        </w:rPr>
        <w:tab/>
        <w:t>4000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4000</w:t>
      </w:r>
    </w:p>
    <w:p w14:paraId="201430C8" w14:textId="77777777" w:rsidR="004146AC" w:rsidRPr="00925F26" w:rsidRDefault="004146AC" w:rsidP="00925F26">
      <w:pPr>
        <w:jc w:val="both"/>
        <w:rPr>
          <w:color w:val="000000" w:themeColor="text1"/>
          <w:sz w:val="16"/>
          <w:szCs w:val="16"/>
        </w:rPr>
      </w:pPr>
      <w:r w:rsidRPr="00925F26">
        <w:rPr>
          <w:color w:val="000000" w:themeColor="text1"/>
          <w:sz w:val="16"/>
          <w:szCs w:val="16"/>
        </w:rPr>
        <w:t>Другие наркоматы</w:t>
      </w:r>
      <w:r w:rsidRPr="00925F26">
        <w:rPr>
          <w:color w:val="000000" w:themeColor="text1"/>
          <w:sz w:val="16"/>
          <w:szCs w:val="16"/>
        </w:rPr>
        <w:tab/>
        <w:t>17 600</w:t>
      </w:r>
      <w:r w:rsidRPr="00925F26">
        <w:rPr>
          <w:color w:val="000000" w:themeColor="text1"/>
          <w:sz w:val="16"/>
          <w:szCs w:val="16"/>
        </w:rPr>
        <w:tab/>
        <w:t>48 000</w:t>
      </w:r>
      <w:r w:rsidRPr="00925F26">
        <w:rPr>
          <w:color w:val="000000" w:themeColor="text1"/>
          <w:sz w:val="16"/>
          <w:szCs w:val="16"/>
        </w:rPr>
        <w:tab/>
        <w:t>65 600</w:t>
      </w:r>
      <w:r w:rsidRPr="00925F26">
        <w:rPr>
          <w:color w:val="000000" w:themeColor="text1"/>
          <w:sz w:val="16"/>
          <w:szCs w:val="16"/>
        </w:rPr>
        <w:tab/>
        <w:t>—</w:t>
      </w:r>
      <w:r w:rsidRPr="00925F26">
        <w:rPr>
          <w:color w:val="000000" w:themeColor="text1"/>
          <w:sz w:val="16"/>
          <w:szCs w:val="16"/>
        </w:rPr>
        <w:tab/>
        <w:t>—</w:t>
      </w:r>
      <w:r w:rsidRPr="00925F26">
        <w:rPr>
          <w:color w:val="000000" w:themeColor="text1"/>
          <w:sz w:val="16"/>
          <w:szCs w:val="16"/>
        </w:rPr>
        <w:tab/>
        <w:t>65 600</w:t>
      </w:r>
    </w:p>
    <w:p w14:paraId="41A030D0" w14:textId="77777777" w:rsidR="004146AC" w:rsidRPr="00925F26" w:rsidRDefault="004146AC" w:rsidP="00925F26">
      <w:pPr>
        <w:jc w:val="both"/>
        <w:rPr>
          <w:color w:val="000000" w:themeColor="text1"/>
          <w:sz w:val="16"/>
          <w:szCs w:val="16"/>
        </w:rPr>
      </w:pPr>
      <w:r w:rsidRPr="00925F26">
        <w:rPr>
          <w:color w:val="000000" w:themeColor="text1"/>
          <w:sz w:val="16"/>
          <w:szCs w:val="16"/>
        </w:rPr>
        <w:t>Всего</w:t>
      </w:r>
      <w:r w:rsidRPr="00925F26">
        <w:rPr>
          <w:color w:val="000000" w:themeColor="text1"/>
          <w:sz w:val="16"/>
          <w:szCs w:val="16"/>
        </w:rPr>
        <w:tab/>
        <w:t>555 300</w:t>
      </w:r>
      <w:r w:rsidRPr="00925F26">
        <w:rPr>
          <w:color w:val="000000" w:themeColor="text1"/>
          <w:sz w:val="16"/>
          <w:szCs w:val="16"/>
        </w:rPr>
        <w:tab/>
        <w:t>1 250 000</w:t>
      </w:r>
      <w:r w:rsidRPr="00925F26">
        <w:rPr>
          <w:color w:val="000000" w:themeColor="text1"/>
          <w:sz w:val="16"/>
          <w:szCs w:val="16"/>
        </w:rPr>
        <w:tab/>
        <w:t>1 805 300</w:t>
      </w:r>
      <w:r w:rsidRPr="00925F26">
        <w:rPr>
          <w:color w:val="000000" w:themeColor="text1"/>
          <w:sz w:val="16"/>
          <w:szCs w:val="16"/>
        </w:rPr>
        <w:tab/>
        <w:t>187 619</w:t>
      </w:r>
      <w:r w:rsidRPr="00925F26">
        <w:rPr>
          <w:color w:val="000000" w:themeColor="text1"/>
          <w:sz w:val="16"/>
          <w:szCs w:val="16"/>
        </w:rPr>
        <w:tab/>
        <w:t>100 043</w:t>
      </w:r>
      <w:r w:rsidRPr="00925F26">
        <w:rPr>
          <w:color w:val="000000" w:themeColor="text1"/>
          <w:sz w:val="16"/>
          <w:szCs w:val="16"/>
        </w:rPr>
        <w:tab/>
        <w:t>2 090 661</w:t>
      </w:r>
    </w:p>
    <w:p w14:paraId="397D7255" w14:textId="77777777" w:rsidR="004146AC" w:rsidRPr="00925F26" w:rsidRDefault="004146AC" w:rsidP="00925F26">
      <w:pPr>
        <w:jc w:val="both"/>
        <w:rPr>
          <w:color w:val="000000" w:themeColor="text1"/>
          <w:sz w:val="16"/>
          <w:szCs w:val="16"/>
        </w:rPr>
      </w:pPr>
      <w:r w:rsidRPr="00925F26">
        <w:rPr>
          <w:color w:val="000000" w:themeColor="text1"/>
          <w:sz w:val="16"/>
          <w:szCs w:val="16"/>
        </w:rPr>
        <w:t xml:space="preserve">Нач[альник] Главного управления НКВД СССР по делам о военнопленных и интернированных генерал-лейтенант </w:t>
      </w:r>
    </w:p>
    <w:p w14:paraId="1C97E765" w14:textId="77777777" w:rsidR="004146AC" w:rsidRPr="00925F26" w:rsidRDefault="004146AC" w:rsidP="00925F26">
      <w:pPr>
        <w:jc w:val="both"/>
        <w:rPr>
          <w:color w:val="000000" w:themeColor="text1"/>
          <w:sz w:val="16"/>
          <w:szCs w:val="16"/>
        </w:rPr>
      </w:pPr>
      <w:r w:rsidRPr="00925F26">
        <w:rPr>
          <w:color w:val="000000" w:themeColor="text1"/>
          <w:sz w:val="16"/>
          <w:szCs w:val="16"/>
        </w:rPr>
        <w:t>Кривенко</w:t>
      </w:r>
    </w:p>
    <w:p w14:paraId="0A94D03B" w14:textId="77777777" w:rsidR="004146AC" w:rsidRPr="00925F26" w:rsidRDefault="004146AC" w:rsidP="00925F26">
      <w:pPr>
        <w:jc w:val="both"/>
        <w:rPr>
          <w:color w:val="000000" w:themeColor="text1"/>
          <w:sz w:val="16"/>
          <w:szCs w:val="16"/>
        </w:rPr>
      </w:pPr>
      <w:r w:rsidRPr="00925F26">
        <w:rPr>
          <w:color w:val="000000" w:themeColor="text1"/>
          <w:sz w:val="16"/>
          <w:szCs w:val="16"/>
        </w:rPr>
        <w:t>Приложение № 1</w:t>
      </w:r>
    </w:p>
    <w:p w14:paraId="0A05264D" w14:textId="77777777" w:rsidR="004146AC" w:rsidRPr="00925F26" w:rsidRDefault="004146AC" w:rsidP="00925F26">
      <w:pPr>
        <w:jc w:val="both"/>
        <w:rPr>
          <w:color w:val="000000" w:themeColor="text1"/>
          <w:sz w:val="16"/>
          <w:szCs w:val="16"/>
        </w:rPr>
      </w:pPr>
      <w:r w:rsidRPr="00925F26">
        <w:rPr>
          <w:color w:val="000000" w:themeColor="text1"/>
          <w:sz w:val="16"/>
          <w:szCs w:val="16"/>
        </w:rPr>
        <w:t>Трудовое использование военнопленных</w:t>
      </w:r>
    </w:p>
    <w:p w14:paraId="029B1AAA" w14:textId="77777777" w:rsidR="004146AC" w:rsidRPr="00925F26" w:rsidRDefault="004146AC" w:rsidP="00925F26">
      <w:pPr>
        <w:jc w:val="both"/>
        <w:rPr>
          <w:color w:val="000000" w:themeColor="text1"/>
          <w:sz w:val="16"/>
          <w:szCs w:val="16"/>
        </w:rPr>
      </w:pPr>
      <w:r w:rsidRPr="00925F26">
        <w:rPr>
          <w:color w:val="000000" w:themeColor="text1"/>
          <w:sz w:val="16"/>
          <w:szCs w:val="16"/>
        </w:rPr>
        <w:t>По состоянию на 10 мая 1945 г. выделено наркоматам для работ</w:t>
      </w:r>
    </w:p>
    <w:p w14:paraId="135A9233" w14:textId="77777777" w:rsidR="004146AC" w:rsidRPr="00925F26" w:rsidRDefault="004146AC" w:rsidP="00925F26">
      <w:pPr>
        <w:jc w:val="both"/>
        <w:rPr>
          <w:color w:val="000000" w:themeColor="text1"/>
          <w:sz w:val="16"/>
          <w:szCs w:val="16"/>
        </w:rPr>
      </w:pPr>
      <w:r w:rsidRPr="00925F26">
        <w:rPr>
          <w:color w:val="000000" w:themeColor="text1"/>
          <w:sz w:val="16"/>
          <w:szCs w:val="16"/>
        </w:rPr>
        <w:t>Всего...................................................... 555 300 чел.</w:t>
      </w:r>
    </w:p>
    <w:p w14:paraId="14A768FA" w14:textId="77777777" w:rsidR="004146AC" w:rsidRPr="00925F26" w:rsidRDefault="004146AC" w:rsidP="00925F26">
      <w:pPr>
        <w:jc w:val="both"/>
        <w:rPr>
          <w:color w:val="000000" w:themeColor="text1"/>
          <w:sz w:val="16"/>
          <w:szCs w:val="16"/>
        </w:rPr>
      </w:pPr>
      <w:r w:rsidRPr="00925F26">
        <w:rPr>
          <w:color w:val="000000" w:themeColor="text1"/>
          <w:sz w:val="16"/>
          <w:szCs w:val="16"/>
        </w:rPr>
        <w:t>В том числе:</w:t>
      </w:r>
    </w:p>
    <w:p w14:paraId="7572FD02" w14:textId="77777777" w:rsidR="004146AC" w:rsidRPr="00925F26" w:rsidRDefault="004146AC" w:rsidP="00925F26">
      <w:pPr>
        <w:jc w:val="both"/>
        <w:rPr>
          <w:color w:val="000000" w:themeColor="text1"/>
          <w:sz w:val="16"/>
          <w:szCs w:val="16"/>
        </w:rPr>
      </w:pPr>
      <w:r w:rsidRPr="00925F26">
        <w:rPr>
          <w:color w:val="000000" w:themeColor="text1"/>
          <w:sz w:val="16"/>
          <w:szCs w:val="16"/>
        </w:rPr>
        <w:t>1.</w:t>
      </w:r>
      <w:r w:rsidRPr="00925F26">
        <w:rPr>
          <w:color w:val="000000" w:themeColor="text1"/>
          <w:sz w:val="16"/>
          <w:szCs w:val="16"/>
        </w:rPr>
        <w:tab/>
        <w:t>Наркомуголь ............................................ 105 300 чел.</w:t>
      </w:r>
    </w:p>
    <w:p w14:paraId="57612CC9"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46000CFC" w14:textId="77777777" w:rsidR="004146AC" w:rsidRPr="00925F26" w:rsidRDefault="004146AC" w:rsidP="00925F26">
      <w:pPr>
        <w:jc w:val="both"/>
        <w:rPr>
          <w:color w:val="000000" w:themeColor="text1"/>
          <w:sz w:val="16"/>
          <w:szCs w:val="16"/>
        </w:rPr>
      </w:pPr>
      <w:r w:rsidRPr="00925F26">
        <w:rPr>
          <w:color w:val="000000" w:themeColor="text1"/>
          <w:sz w:val="16"/>
          <w:szCs w:val="16"/>
        </w:rPr>
        <w:t>Донбасс .............................................. 82</w:t>
      </w:r>
      <w:r w:rsidRPr="00925F26">
        <w:rPr>
          <w:color w:val="000000" w:themeColor="text1"/>
          <w:sz w:val="16"/>
          <w:szCs w:val="16"/>
        </w:rPr>
        <w:tab/>
        <w:t>600</w:t>
      </w:r>
      <w:r w:rsidRPr="00925F26">
        <w:rPr>
          <w:color w:val="000000" w:themeColor="text1"/>
          <w:sz w:val="16"/>
          <w:szCs w:val="16"/>
        </w:rPr>
        <w:tab/>
        <w:t>чел.</w:t>
      </w:r>
    </w:p>
    <w:p w14:paraId="0AFF03F4" w14:textId="77777777" w:rsidR="004146AC" w:rsidRPr="00925F26" w:rsidRDefault="004146AC" w:rsidP="00925F26">
      <w:pPr>
        <w:jc w:val="both"/>
        <w:rPr>
          <w:color w:val="000000" w:themeColor="text1"/>
          <w:sz w:val="16"/>
          <w:szCs w:val="16"/>
        </w:rPr>
      </w:pPr>
      <w:r w:rsidRPr="00925F26">
        <w:rPr>
          <w:color w:val="000000" w:themeColor="text1"/>
          <w:sz w:val="16"/>
          <w:szCs w:val="16"/>
        </w:rPr>
        <w:t>Карагандауголь........................................ 14</w:t>
      </w:r>
      <w:r w:rsidRPr="00925F26">
        <w:rPr>
          <w:color w:val="000000" w:themeColor="text1"/>
          <w:sz w:val="16"/>
          <w:szCs w:val="16"/>
        </w:rPr>
        <w:tab/>
        <w:t>500</w:t>
      </w:r>
    </w:p>
    <w:p w14:paraId="74476A66" w14:textId="77777777" w:rsidR="004146AC" w:rsidRPr="00925F26" w:rsidRDefault="004146AC" w:rsidP="00925F26">
      <w:pPr>
        <w:jc w:val="both"/>
        <w:rPr>
          <w:color w:val="000000" w:themeColor="text1"/>
          <w:sz w:val="16"/>
          <w:szCs w:val="16"/>
        </w:rPr>
      </w:pPr>
      <w:r w:rsidRPr="00925F26">
        <w:rPr>
          <w:color w:val="000000" w:themeColor="text1"/>
          <w:sz w:val="16"/>
          <w:szCs w:val="16"/>
        </w:rPr>
        <w:t>Ленинградуголь ......................................... 4000</w:t>
      </w:r>
    </w:p>
    <w:p w14:paraId="72C9C52F" w14:textId="77777777" w:rsidR="004146AC" w:rsidRPr="00925F26" w:rsidRDefault="004146AC" w:rsidP="00925F26">
      <w:pPr>
        <w:jc w:val="both"/>
        <w:rPr>
          <w:color w:val="000000" w:themeColor="text1"/>
          <w:sz w:val="16"/>
          <w:szCs w:val="16"/>
        </w:rPr>
      </w:pPr>
      <w:r w:rsidRPr="00925F26">
        <w:rPr>
          <w:color w:val="000000" w:themeColor="text1"/>
          <w:sz w:val="16"/>
          <w:szCs w:val="16"/>
        </w:rPr>
        <w:t>Челябуголь.............................................. 4200</w:t>
      </w:r>
    </w:p>
    <w:p w14:paraId="419E9F46" w14:textId="77777777" w:rsidR="004146AC" w:rsidRPr="00925F26" w:rsidRDefault="004146AC" w:rsidP="00925F26">
      <w:pPr>
        <w:jc w:val="both"/>
        <w:rPr>
          <w:color w:val="000000" w:themeColor="text1"/>
          <w:sz w:val="16"/>
          <w:szCs w:val="16"/>
        </w:rPr>
      </w:pPr>
      <w:r w:rsidRPr="00925F26">
        <w:rPr>
          <w:color w:val="000000" w:themeColor="text1"/>
          <w:sz w:val="16"/>
          <w:szCs w:val="16"/>
        </w:rPr>
        <w:t>2. Наркомстрой .............................................. 56</w:t>
      </w:r>
      <w:r w:rsidRPr="00925F26">
        <w:rPr>
          <w:color w:val="000000" w:themeColor="text1"/>
          <w:sz w:val="16"/>
          <w:szCs w:val="16"/>
        </w:rPr>
        <w:tab/>
        <w:t>700</w:t>
      </w:r>
      <w:r w:rsidRPr="00925F26">
        <w:rPr>
          <w:color w:val="000000" w:themeColor="text1"/>
          <w:sz w:val="16"/>
          <w:szCs w:val="16"/>
        </w:rPr>
        <w:tab/>
        <w:t>чел.</w:t>
      </w:r>
    </w:p>
    <w:p w14:paraId="7D511C5D"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2BBA171E" w14:textId="77777777" w:rsidR="004146AC" w:rsidRPr="00925F26" w:rsidRDefault="004146AC" w:rsidP="00925F26">
      <w:pPr>
        <w:jc w:val="both"/>
        <w:rPr>
          <w:color w:val="000000" w:themeColor="text1"/>
          <w:sz w:val="16"/>
          <w:szCs w:val="16"/>
        </w:rPr>
      </w:pPr>
      <w:r w:rsidRPr="00925F26">
        <w:rPr>
          <w:color w:val="000000" w:themeColor="text1"/>
          <w:sz w:val="16"/>
          <w:szCs w:val="16"/>
        </w:rPr>
        <w:t>Севастопольский порт................................... 15</w:t>
      </w:r>
      <w:r w:rsidRPr="00925F26">
        <w:rPr>
          <w:color w:val="000000" w:themeColor="text1"/>
          <w:sz w:val="16"/>
          <w:szCs w:val="16"/>
        </w:rPr>
        <w:tab/>
        <w:t>300</w:t>
      </w:r>
      <w:r w:rsidRPr="00925F26">
        <w:rPr>
          <w:color w:val="000000" w:themeColor="text1"/>
          <w:sz w:val="16"/>
          <w:szCs w:val="16"/>
        </w:rPr>
        <w:tab/>
        <w:t>чел.</w:t>
      </w:r>
    </w:p>
    <w:p w14:paraId="1D15B324" w14:textId="77777777" w:rsidR="004146AC" w:rsidRPr="00925F26" w:rsidRDefault="004146AC" w:rsidP="00925F26">
      <w:pPr>
        <w:jc w:val="both"/>
        <w:rPr>
          <w:color w:val="000000" w:themeColor="text1"/>
          <w:sz w:val="16"/>
          <w:szCs w:val="16"/>
        </w:rPr>
      </w:pPr>
      <w:r w:rsidRPr="00925F26">
        <w:rPr>
          <w:color w:val="000000" w:themeColor="text1"/>
          <w:sz w:val="16"/>
          <w:szCs w:val="16"/>
        </w:rPr>
        <w:t>Николаевские судоремонтные заводы ....................... 9500</w:t>
      </w:r>
    </w:p>
    <w:p w14:paraId="64862C5D" w14:textId="77777777" w:rsidR="004146AC" w:rsidRPr="00925F26" w:rsidRDefault="004146AC" w:rsidP="00925F26">
      <w:pPr>
        <w:jc w:val="both"/>
        <w:rPr>
          <w:color w:val="000000" w:themeColor="text1"/>
          <w:sz w:val="16"/>
          <w:szCs w:val="16"/>
        </w:rPr>
      </w:pPr>
      <w:r w:rsidRPr="00925F26">
        <w:rPr>
          <w:color w:val="000000" w:themeColor="text1"/>
          <w:sz w:val="16"/>
          <w:szCs w:val="16"/>
        </w:rPr>
        <w:t>Запорожсталь............................................. 4400</w:t>
      </w:r>
    </w:p>
    <w:p w14:paraId="0A60E626" w14:textId="77777777" w:rsidR="004146AC" w:rsidRPr="00925F26" w:rsidRDefault="004146AC" w:rsidP="00925F26">
      <w:pPr>
        <w:jc w:val="both"/>
        <w:rPr>
          <w:color w:val="000000" w:themeColor="text1"/>
          <w:sz w:val="16"/>
          <w:szCs w:val="16"/>
        </w:rPr>
      </w:pPr>
      <w:r w:rsidRPr="00925F26">
        <w:rPr>
          <w:color w:val="000000" w:themeColor="text1"/>
          <w:sz w:val="16"/>
          <w:szCs w:val="16"/>
        </w:rPr>
        <w:t>Новотроицкий металлургический] з[аво]д .............. 3300</w:t>
      </w:r>
    </w:p>
    <w:p w14:paraId="4269E4AB" w14:textId="77777777" w:rsidR="004146AC" w:rsidRPr="00925F26" w:rsidRDefault="004146AC" w:rsidP="00925F26">
      <w:pPr>
        <w:jc w:val="both"/>
        <w:rPr>
          <w:color w:val="000000" w:themeColor="text1"/>
          <w:sz w:val="16"/>
          <w:szCs w:val="16"/>
        </w:rPr>
      </w:pPr>
      <w:r w:rsidRPr="00925F26">
        <w:rPr>
          <w:color w:val="000000" w:themeColor="text1"/>
          <w:sz w:val="16"/>
          <w:szCs w:val="16"/>
        </w:rPr>
        <w:t>Орский металлургический з[аво]д .......................... 1900</w:t>
      </w:r>
    </w:p>
    <w:p w14:paraId="73765C0B"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Кирова в Челябинске ............................ 800</w:t>
      </w:r>
    </w:p>
    <w:p w14:paraId="1EB60FBA" w14:textId="77777777" w:rsidR="004146AC" w:rsidRPr="00925F26" w:rsidRDefault="004146AC" w:rsidP="00925F26">
      <w:pPr>
        <w:jc w:val="both"/>
        <w:rPr>
          <w:color w:val="000000" w:themeColor="text1"/>
          <w:sz w:val="16"/>
          <w:szCs w:val="16"/>
        </w:rPr>
      </w:pPr>
      <w:r w:rsidRPr="00925F26">
        <w:rPr>
          <w:color w:val="000000" w:themeColor="text1"/>
          <w:sz w:val="16"/>
          <w:szCs w:val="16"/>
        </w:rPr>
        <w:t>Владимирский тракторный з[аво]д .......................... 1900</w:t>
      </w:r>
    </w:p>
    <w:p w14:paraId="4986249E" w14:textId="77777777" w:rsidR="004146AC" w:rsidRPr="00925F26" w:rsidRDefault="004146AC" w:rsidP="00925F26">
      <w:pPr>
        <w:jc w:val="both"/>
        <w:rPr>
          <w:color w:val="000000" w:themeColor="text1"/>
          <w:sz w:val="16"/>
          <w:szCs w:val="16"/>
        </w:rPr>
      </w:pPr>
      <w:r w:rsidRPr="00925F26">
        <w:rPr>
          <w:color w:val="000000" w:themeColor="text1"/>
          <w:sz w:val="16"/>
          <w:szCs w:val="16"/>
        </w:rPr>
        <w:t>Сталинградский з[аво]д.................................... 1700</w:t>
      </w:r>
    </w:p>
    <w:p w14:paraId="3A379744" w14:textId="77777777" w:rsidR="004146AC" w:rsidRPr="00925F26" w:rsidRDefault="004146AC" w:rsidP="00925F26">
      <w:pPr>
        <w:jc w:val="both"/>
        <w:rPr>
          <w:color w:val="000000" w:themeColor="text1"/>
          <w:sz w:val="16"/>
          <w:szCs w:val="16"/>
        </w:rPr>
      </w:pPr>
      <w:r w:rsidRPr="00925F26">
        <w:rPr>
          <w:color w:val="000000" w:themeColor="text1"/>
          <w:sz w:val="16"/>
          <w:szCs w:val="16"/>
        </w:rPr>
        <w:t>Танкодром в г. Горьком ................................... 1600</w:t>
      </w:r>
    </w:p>
    <w:p w14:paraId="01B2EBB1" w14:textId="77777777" w:rsidR="004146AC" w:rsidRPr="00925F26" w:rsidRDefault="004146AC" w:rsidP="00925F26">
      <w:pPr>
        <w:jc w:val="both"/>
        <w:rPr>
          <w:color w:val="000000" w:themeColor="text1"/>
          <w:sz w:val="16"/>
          <w:szCs w:val="16"/>
        </w:rPr>
      </w:pPr>
      <w:r w:rsidRPr="00925F26">
        <w:rPr>
          <w:color w:val="000000" w:themeColor="text1"/>
          <w:sz w:val="16"/>
          <w:szCs w:val="16"/>
        </w:rPr>
        <w:t>Миасский автозавод в г. Челябинске........................ 1000</w:t>
      </w:r>
    </w:p>
    <w:p w14:paraId="48088C90"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тяжелого машиностроения в г. Новосибирске...... 1100</w:t>
      </w:r>
    </w:p>
    <w:p w14:paraId="0B05510D"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Стр[оительст]во заводов в г. Саратове ............... 1400</w:t>
      </w:r>
    </w:p>
    <w:p w14:paraId="660316F1" w14:textId="77777777" w:rsidR="004146AC" w:rsidRPr="00925F26" w:rsidRDefault="004146AC" w:rsidP="00925F26">
      <w:pPr>
        <w:jc w:val="both"/>
        <w:rPr>
          <w:color w:val="000000" w:themeColor="text1"/>
          <w:sz w:val="16"/>
          <w:szCs w:val="16"/>
        </w:rPr>
      </w:pPr>
      <w:r w:rsidRPr="00925F26">
        <w:rPr>
          <w:color w:val="000000" w:themeColor="text1"/>
          <w:sz w:val="16"/>
          <w:szCs w:val="16"/>
        </w:rPr>
        <w:t>Автозавод в г. Ульяновске ........................... 1300</w:t>
      </w:r>
    </w:p>
    <w:p w14:paraId="1F9416BC" w14:textId="77777777" w:rsidR="004146AC" w:rsidRPr="00925F26" w:rsidRDefault="004146AC" w:rsidP="00925F26">
      <w:pPr>
        <w:jc w:val="both"/>
        <w:rPr>
          <w:color w:val="000000" w:themeColor="text1"/>
          <w:sz w:val="16"/>
          <w:szCs w:val="16"/>
        </w:rPr>
      </w:pPr>
      <w:r w:rsidRPr="00925F26">
        <w:rPr>
          <w:color w:val="000000" w:themeColor="text1"/>
          <w:sz w:val="16"/>
          <w:szCs w:val="16"/>
        </w:rPr>
        <w:t>Автострой в г. Днепропетровске....................... 1200</w:t>
      </w:r>
    </w:p>
    <w:p w14:paraId="0F38F574"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Восстановление комбината № 100 в Алексино ........... 1500</w:t>
      </w:r>
    </w:p>
    <w:p w14:paraId="172D1DBD" w14:textId="77777777" w:rsidR="004146AC" w:rsidRPr="00925F26" w:rsidRDefault="004146AC" w:rsidP="00925F26">
      <w:pPr>
        <w:jc w:val="both"/>
        <w:rPr>
          <w:color w:val="000000" w:themeColor="text1"/>
          <w:sz w:val="16"/>
          <w:szCs w:val="16"/>
        </w:rPr>
      </w:pPr>
      <w:r w:rsidRPr="00925F26">
        <w:rPr>
          <w:color w:val="000000" w:themeColor="text1"/>
          <w:sz w:val="16"/>
          <w:szCs w:val="16"/>
        </w:rPr>
        <w:t xml:space="preserve">Прочие восстановительные и строительные работы (Киев, Сталинград, Одесса, Воронеж, Минск, Горловка, </w:t>
      </w:r>
    </w:p>
    <w:p w14:paraId="38DA90C9" w14:textId="77777777" w:rsidR="004146AC" w:rsidRPr="00925F26" w:rsidRDefault="004146AC" w:rsidP="00925F26">
      <w:pPr>
        <w:jc w:val="both"/>
        <w:rPr>
          <w:color w:val="000000" w:themeColor="text1"/>
          <w:sz w:val="16"/>
          <w:szCs w:val="16"/>
        </w:rPr>
      </w:pPr>
      <w:r w:rsidRPr="00925F26">
        <w:rPr>
          <w:color w:val="000000" w:themeColor="text1"/>
          <w:sz w:val="16"/>
          <w:szCs w:val="16"/>
        </w:rPr>
        <w:t>Горький, Саратов) ........................................ 8900</w:t>
      </w:r>
    </w:p>
    <w:p w14:paraId="33F1408B" w14:textId="77777777" w:rsidR="004146AC" w:rsidRPr="00925F26" w:rsidRDefault="004146AC" w:rsidP="00925F26">
      <w:pPr>
        <w:jc w:val="both"/>
        <w:rPr>
          <w:color w:val="000000" w:themeColor="text1"/>
          <w:sz w:val="16"/>
          <w:szCs w:val="16"/>
        </w:rPr>
      </w:pPr>
      <w:r w:rsidRPr="00925F26">
        <w:rPr>
          <w:color w:val="000000" w:themeColor="text1"/>
          <w:sz w:val="16"/>
          <w:szCs w:val="16"/>
        </w:rPr>
        <w:t>3. НКВД.................................................... 51 000 чел.</w:t>
      </w:r>
    </w:p>
    <w:p w14:paraId="4945DFF3"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18AD43BF" w14:textId="77777777" w:rsidR="004146AC" w:rsidRPr="00925F26" w:rsidRDefault="004146AC" w:rsidP="00925F26">
      <w:pPr>
        <w:jc w:val="both"/>
        <w:rPr>
          <w:color w:val="000000" w:themeColor="text1"/>
          <w:sz w:val="16"/>
          <w:szCs w:val="16"/>
        </w:rPr>
      </w:pPr>
      <w:r w:rsidRPr="00925F26">
        <w:rPr>
          <w:color w:val="000000" w:themeColor="text1"/>
          <w:sz w:val="16"/>
          <w:szCs w:val="16"/>
        </w:rPr>
        <w:t>Тагилстрой................................................ 9500</w:t>
      </w:r>
      <w:r w:rsidRPr="00925F26">
        <w:rPr>
          <w:color w:val="000000" w:themeColor="text1"/>
          <w:sz w:val="16"/>
          <w:szCs w:val="16"/>
        </w:rPr>
        <w:tab/>
        <w:t>чел.</w:t>
      </w:r>
    </w:p>
    <w:p w14:paraId="4A0CC164" w14:textId="77777777" w:rsidR="004146AC" w:rsidRPr="00925F26" w:rsidRDefault="004146AC" w:rsidP="00925F26">
      <w:pPr>
        <w:jc w:val="both"/>
        <w:rPr>
          <w:color w:val="000000" w:themeColor="text1"/>
          <w:sz w:val="16"/>
          <w:szCs w:val="16"/>
        </w:rPr>
      </w:pPr>
      <w:r w:rsidRPr="00925F26">
        <w:rPr>
          <w:color w:val="000000" w:themeColor="text1"/>
          <w:sz w:val="16"/>
          <w:szCs w:val="16"/>
        </w:rPr>
        <w:t>Челябметаллургстрой ...................................... 8300</w:t>
      </w:r>
    </w:p>
    <w:p w14:paraId="6663EC59"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Стр[оительст]во № 108 — Ханлар ...................... 6500</w:t>
      </w:r>
    </w:p>
    <w:p w14:paraId="226EF610" w14:textId="77777777" w:rsidR="004146AC" w:rsidRPr="00925F26" w:rsidRDefault="004146AC" w:rsidP="00925F26">
      <w:pPr>
        <w:jc w:val="both"/>
        <w:rPr>
          <w:color w:val="000000" w:themeColor="text1"/>
          <w:sz w:val="16"/>
          <w:szCs w:val="16"/>
        </w:rPr>
      </w:pPr>
      <w:r w:rsidRPr="00925F26">
        <w:rPr>
          <w:color w:val="000000" w:themeColor="text1"/>
          <w:sz w:val="16"/>
          <w:szCs w:val="16"/>
        </w:rPr>
        <w:t>Закавказметаллургстрой ................................... 3500</w:t>
      </w:r>
    </w:p>
    <w:p w14:paraId="15E29497" w14:textId="77777777" w:rsidR="004146AC" w:rsidRPr="00925F26" w:rsidRDefault="004146AC" w:rsidP="00925F26">
      <w:pPr>
        <w:jc w:val="both"/>
        <w:rPr>
          <w:color w:val="000000" w:themeColor="text1"/>
          <w:sz w:val="16"/>
          <w:szCs w:val="16"/>
        </w:rPr>
      </w:pPr>
      <w:r w:rsidRPr="00925F26">
        <w:rPr>
          <w:color w:val="000000" w:themeColor="text1"/>
          <w:sz w:val="16"/>
          <w:szCs w:val="16"/>
        </w:rPr>
        <w:t>Богословский алюмин[иевый] завод ......................... 2300</w:t>
      </w:r>
    </w:p>
    <w:p w14:paraId="306B10FD" w14:textId="77777777" w:rsidR="004146AC" w:rsidRPr="00925F26" w:rsidRDefault="004146AC" w:rsidP="00925F26">
      <w:pPr>
        <w:jc w:val="both"/>
        <w:rPr>
          <w:color w:val="000000" w:themeColor="text1"/>
          <w:sz w:val="16"/>
          <w:szCs w:val="16"/>
        </w:rPr>
      </w:pPr>
      <w:r w:rsidRPr="00925F26">
        <w:rPr>
          <w:color w:val="000000" w:themeColor="text1"/>
          <w:sz w:val="16"/>
          <w:szCs w:val="16"/>
        </w:rPr>
        <w:t>Волгострой ............................................... 1900</w:t>
      </w:r>
    </w:p>
    <w:p w14:paraId="1677933A"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Стр[оительст]во № 203 в Архангельске...................... 1700</w:t>
      </w:r>
    </w:p>
    <w:p w14:paraId="0457DF55"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(восстановление зданий, подсобное хозяйство и мастерские) ................... 17 300 чел.</w:t>
      </w:r>
    </w:p>
    <w:p w14:paraId="3A1F6964" w14:textId="77777777" w:rsidR="004146AC" w:rsidRPr="00925F26" w:rsidRDefault="004146AC" w:rsidP="00925F26">
      <w:pPr>
        <w:jc w:val="both"/>
        <w:rPr>
          <w:color w:val="000000" w:themeColor="text1"/>
          <w:sz w:val="16"/>
          <w:szCs w:val="16"/>
        </w:rPr>
      </w:pPr>
      <w:r w:rsidRPr="00925F26">
        <w:rPr>
          <w:color w:val="000000" w:themeColor="text1"/>
          <w:sz w:val="16"/>
          <w:szCs w:val="16"/>
        </w:rPr>
        <w:t>4. НКО..................................................... 33 000 чел.</w:t>
      </w:r>
    </w:p>
    <w:p w14:paraId="621AECEE"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3E004ADE" w14:textId="77777777" w:rsidR="004146AC" w:rsidRPr="00925F26" w:rsidRDefault="004146AC" w:rsidP="00925F26">
      <w:pPr>
        <w:jc w:val="both"/>
        <w:rPr>
          <w:color w:val="000000" w:themeColor="text1"/>
          <w:sz w:val="16"/>
          <w:szCs w:val="16"/>
        </w:rPr>
      </w:pPr>
      <w:r w:rsidRPr="00925F26">
        <w:rPr>
          <w:color w:val="000000" w:themeColor="text1"/>
          <w:sz w:val="16"/>
          <w:szCs w:val="16"/>
        </w:rPr>
        <w:t>На работах 3-го Белорусского] фронта ................ 13 800 чел.</w:t>
      </w:r>
    </w:p>
    <w:p w14:paraId="2C44E969" w14:textId="77777777" w:rsidR="004146AC" w:rsidRPr="00925F26" w:rsidRDefault="004146AC" w:rsidP="00925F26">
      <w:pPr>
        <w:jc w:val="both"/>
        <w:rPr>
          <w:color w:val="000000" w:themeColor="text1"/>
          <w:sz w:val="16"/>
          <w:szCs w:val="16"/>
        </w:rPr>
      </w:pPr>
      <w:r w:rsidRPr="00925F26">
        <w:rPr>
          <w:color w:val="000000" w:themeColor="text1"/>
          <w:sz w:val="16"/>
          <w:szCs w:val="16"/>
        </w:rPr>
        <w:t>На работах 2-го "</w:t>
      </w:r>
      <w:r w:rsidRPr="00925F26">
        <w:rPr>
          <w:color w:val="000000" w:themeColor="text1"/>
          <w:sz w:val="16"/>
          <w:szCs w:val="16"/>
        </w:rPr>
        <w:tab/>
        <w:t>"....................... 1900</w:t>
      </w:r>
    </w:p>
    <w:p w14:paraId="6ABB34E9" w14:textId="77777777" w:rsidR="004146AC" w:rsidRPr="00925F26" w:rsidRDefault="004146AC" w:rsidP="00925F26">
      <w:pPr>
        <w:jc w:val="both"/>
        <w:rPr>
          <w:color w:val="000000" w:themeColor="text1"/>
          <w:sz w:val="16"/>
          <w:szCs w:val="16"/>
        </w:rPr>
      </w:pPr>
      <w:r w:rsidRPr="00925F26">
        <w:rPr>
          <w:color w:val="000000" w:themeColor="text1"/>
          <w:sz w:val="16"/>
          <w:szCs w:val="16"/>
        </w:rPr>
        <w:t>На работах 1-го Украинск[ого] фронта....................... 900</w:t>
      </w:r>
    </w:p>
    <w:p w14:paraId="2AE9D1B2" w14:textId="77777777" w:rsidR="004146AC" w:rsidRPr="00925F26" w:rsidRDefault="004146AC" w:rsidP="00925F26">
      <w:pPr>
        <w:jc w:val="both"/>
        <w:rPr>
          <w:color w:val="000000" w:themeColor="text1"/>
          <w:sz w:val="16"/>
          <w:szCs w:val="16"/>
        </w:rPr>
      </w:pPr>
      <w:r w:rsidRPr="00925F26">
        <w:rPr>
          <w:color w:val="000000" w:themeColor="text1"/>
          <w:sz w:val="16"/>
          <w:szCs w:val="16"/>
        </w:rPr>
        <w:t>На работах 2-го</w:t>
      </w:r>
      <w:r w:rsidRPr="00925F26">
        <w:rPr>
          <w:color w:val="000000" w:themeColor="text1"/>
          <w:sz w:val="16"/>
          <w:szCs w:val="16"/>
        </w:rPr>
        <w:tab/>
        <w:t>"</w:t>
      </w:r>
      <w:r w:rsidRPr="00925F26">
        <w:rPr>
          <w:color w:val="000000" w:themeColor="text1"/>
          <w:sz w:val="16"/>
          <w:szCs w:val="16"/>
        </w:rPr>
        <w:tab/>
        <w:t>" ...................... 4000</w:t>
      </w:r>
    </w:p>
    <w:p w14:paraId="671E6796" w14:textId="77777777" w:rsidR="004146AC" w:rsidRPr="00925F26" w:rsidRDefault="004146AC" w:rsidP="00925F26">
      <w:pPr>
        <w:jc w:val="both"/>
        <w:rPr>
          <w:color w:val="000000" w:themeColor="text1"/>
          <w:sz w:val="16"/>
          <w:szCs w:val="16"/>
        </w:rPr>
      </w:pPr>
      <w:r w:rsidRPr="00925F26">
        <w:rPr>
          <w:color w:val="000000" w:themeColor="text1"/>
          <w:sz w:val="16"/>
          <w:szCs w:val="16"/>
        </w:rPr>
        <w:t>На работах 3-го</w:t>
      </w:r>
      <w:r w:rsidRPr="00925F26">
        <w:rPr>
          <w:color w:val="000000" w:themeColor="text1"/>
          <w:sz w:val="16"/>
          <w:szCs w:val="16"/>
        </w:rPr>
        <w:tab/>
        <w:t>"</w:t>
      </w:r>
      <w:r w:rsidRPr="00925F26">
        <w:rPr>
          <w:color w:val="000000" w:themeColor="text1"/>
          <w:sz w:val="16"/>
          <w:szCs w:val="16"/>
        </w:rPr>
        <w:tab/>
        <w:t>" ...................... 2000</w:t>
      </w:r>
    </w:p>
    <w:p w14:paraId="1478E21A" w14:textId="77777777" w:rsidR="004146AC" w:rsidRPr="00925F26" w:rsidRDefault="004146AC" w:rsidP="00925F26">
      <w:pPr>
        <w:jc w:val="both"/>
        <w:rPr>
          <w:color w:val="000000" w:themeColor="text1"/>
          <w:sz w:val="16"/>
          <w:szCs w:val="16"/>
        </w:rPr>
      </w:pPr>
      <w:r w:rsidRPr="00925F26">
        <w:rPr>
          <w:color w:val="000000" w:themeColor="text1"/>
          <w:sz w:val="16"/>
          <w:szCs w:val="16"/>
        </w:rPr>
        <w:t>На стр[оительст]ве Ново-Тверецкого канала................. 6000</w:t>
      </w:r>
    </w:p>
    <w:p w14:paraId="7C86B58A" w14:textId="77777777" w:rsidR="004146AC" w:rsidRPr="00925F26" w:rsidRDefault="004146AC" w:rsidP="00925F26">
      <w:pPr>
        <w:jc w:val="both"/>
        <w:rPr>
          <w:color w:val="000000" w:themeColor="text1"/>
          <w:sz w:val="16"/>
          <w:szCs w:val="16"/>
        </w:rPr>
      </w:pPr>
      <w:r w:rsidRPr="00925F26">
        <w:rPr>
          <w:color w:val="000000" w:themeColor="text1"/>
          <w:sz w:val="16"/>
          <w:szCs w:val="16"/>
        </w:rPr>
        <w:t>На бронетанковом з[аводе]де № 8 в Киеве</w:t>
      </w:r>
      <w:r w:rsidRPr="00925F26">
        <w:rPr>
          <w:color w:val="000000" w:themeColor="text1"/>
          <w:sz w:val="16"/>
          <w:szCs w:val="16"/>
        </w:rPr>
        <w:tab/>
        <w:t>........... 2500</w:t>
      </w:r>
    </w:p>
    <w:p w14:paraId="56EF74E1"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(Киев, Асбест, Бежица, Бобруйск, Куйбышев, Минск)........................................... 1900</w:t>
      </w:r>
    </w:p>
    <w:p w14:paraId="3B63BE6B" w14:textId="77777777" w:rsidR="004146AC" w:rsidRPr="00925F26" w:rsidRDefault="004146AC" w:rsidP="00925F26">
      <w:pPr>
        <w:jc w:val="both"/>
        <w:rPr>
          <w:color w:val="000000" w:themeColor="text1"/>
          <w:sz w:val="16"/>
          <w:szCs w:val="16"/>
        </w:rPr>
      </w:pPr>
      <w:r w:rsidRPr="00925F26">
        <w:rPr>
          <w:color w:val="000000" w:themeColor="text1"/>
          <w:sz w:val="16"/>
          <w:szCs w:val="16"/>
        </w:rPr>
        <w:t>5. Наркомцелбумпром ....................................... 26 000 чел.</w:t>
      </w:r>
    </w:p>
    <w:p w14:paraId="7C8CF12C"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460D312D" w14:textId="77777777" w:rsidR="004146AC" w:rsidRPr="00925F26" w:rsidRDefault="004146AC" w:rsidP="00925F26">
      <w:pPr>
        <w:jc w:val="both"/>
        <w:rPr>
          <w:color w:val="000000" w:themeColor="text1"/>
          <w:sz w:val="16"/>
          <w:szCs w:val="16"/>
        </w:rPr>
      </w:pPr>
      <w:r w:rsidRPr="00925F26">
        <w:rPr>
          <w:color w:val="000000" w:themeColor="text1"/>
          <w:sz w:val="16"/>
          <w:szCs w:val="16"/>
        </w:rPr>
        <w:t>Комбинаты им. Куйбышева и Свердлова в</w:t>
      </w:r>
      <w:r w:rsidRPr="00925F26">
        <w:rPr>
          <w:color w:val="000000" w:themeColor="text1"/>
          <w:sz w:val="16"/>
          <w:szCs w:val="16"/>
        </w:rPr>
        <w:tab/>
        <w:t>г. Архангельске</w:t>
      </w:r>
      <w:proofErr w:type="gramStart"/>
      <w:r w:rsidRPr="00925F26">
        <w:rPr>
          <w:color w:val="000000" w:themeColor="text1"/>
          <w:sz w:val="16"/>
          <w:szCs w:val="16"/>
        </w:rPr>
        <w:t xml:space="preserve"> ..</w:t>
      </w:r>
      <w:proofErr w:type="gramEnd"/>
      <w:r w:rsidRPr="00925F26">
        <w:rPr>
          <w:color w:val="000000" w:themeColor="text1"/>
          <w:sz w:val="16"/>
          <w:szCs w:val="16"/>
        </w:rPr>
        <w:tab/>
        <w:t>5000</w:t>
      </w:r>
      <w:r w:rsidRPr="00925F26">
        <w:rPr>
          <w:color w:val="000000" w:themeColor="text1"/>
          <w:sz w:val="16"/>
          <w:szCs w:val="16"/>
        </w:rPr>
        <w:tab/>
        <w:t>чел.</w:t>
      </w:r>
    </w:p>
    <w:p w14:paraId="03245F7F" w14:textId="77777777" w:rsidR="004146AC" w:rsidRPr="00925F26" w:rsidRDefault="004146AC" w:rsidP="00925F26">
      <w:pPr>
        <w:jc w:val="both"/>
        <w:rPr>
          <w:color w:val="000000" w:themeColor="text1"/>
          <w:sz w:val="16"/>
          <w:szCs w:val="16"/>
        </w:rPr>
      </w:pPr>
      <w:r w:rsidRPr="00925F26">
        <w:rPr>
          <w:color w:val="000000" w:themeColor="text1"/>
          <w:sz w:val="16"/>
          <w:szCs w:val="16"/>
        </w:rPr>
        <w:t>Краснокамский и Соликамский бумкомб[инаты] ................ 3800</w:t>
      </w:r>
    </w:p>
    <w:p w14:paraId="25703DF1" w14:textId="77777777" w:rsidR="004146AC" w:rsidRPr="00925F26" w:rsidRDefault="004146AC" w:rsidP="00925F26">
      <w:pPr>
        <w:jc w:val="both"/>
        <w:rPr>
          <w:color w:val="000000" w:themeColor="text1"/>
          <w:sz w:val="16"/>
          <w:szCs w:val="16"/>
        </w:rPr>
      </w:pPr>
      <w:r w:rsidRPr="00925F26">
        <w:rPr>
          <w:color w:val="000000" w:themeColor="text1"/>
          <w:sz w:val="16"/>
          <w:szCs w:val="16"/>
        </w:rPr>
        <w:t>Сегежский комбинат ....................................... 3700</w:t>
      </w:r>
    </w:p>
    <w:p w14:paraId="5E04FFDF" w14:textId="77777777" w:rsidR="004146AC" w:rsidRPr="00925F26" w:rsidRDefault="004146AC" w:rsidP="00925F26">
      <w:pPr>
        <w:jc w:val="both"/>
        <w:rPr>
          <w:color w:val="000000" w:themeColor="text1"/>
          <w:sz w:val="16"/>
          <w:szCs w:val="16"/>
        </w:rPr>
      </w:pPr>
      <w:r w:rsidRPr="00925F26">
        <w:rPr>
          <w:color w:val="000000" w:themeColor="text1"/>
          <w:sz w:val="16"/>
          <w:szCs w:val="16"/>
        </w:rPr>
        <w:t>Соломбальский бумкомбинат................................. 2600</w:t>
      </w:r>
    </w:p>
    <w:p w14:paraId="00D8FD22" w14:textId="77777777" w:rsidR="004146AC" w:rsidRPr="00925F26" w:rsidRDefault="004146AC" w:rsidP="00925F26">
      <w:pPr>
        <w:jc w:val="both"/>
        <w:rPr>
          <w:color w:val="000000" w:themeColor="text1"/>
          <w:sz w:val="16"/>
          <w:szCs w:val="16"/>
        </w:rPr>
      </w:pPr>
      <w:r w:rsidRPr="00925F26">
        <w:rPr>
          <w:color w:val="000000" w:themeColor="text1"/>
          <w:sz w:val="16"/>
          <w:szCs w:val="16"/>
        </w:rPr>
        <w:t>Архангельский бумкомбинат ................................ 2500</w:t>
      </w:r>
    </w:p>
    <w:p w14:paraId="1F73C324" w14:textId="77777777" w:rsidR="004146AC" w:rsidRPr="00925F26" w:rsidRDefault="004146AC" w:rsidP="00925F26">
      <w:pPr>
        <w:jc w:val="both"/>
        <w:rPr>
          <w:color w:val="000000" w:themeColor="text1"/>
          <w:sz w:val="16"/>
          <w:szCs w:val="16"/>
        </w:rPr>
      </w:pPr>
      <w:r w:rsidRPr="00925F26">
        <w:rPr>
          <w:color w:val="000000" w:themeColor="text1"/>
          <w:sz w:val="16"/>
          <w:szCs w:val="16"/>
        </w:rPr>
        <w:t>Антропшинская бумфабрика ................................. 2700</w:t>
      </w:r>
    </w:p>
    <w:p w14:paraId="371201FD" w14:textId="77777777" w:rsidR="004146AC" w:rsidRPr="00925F26" w:rsidRDefault="004146AC" w:rsidP="00925F26">
      <w:pPr>
        <w:jc w:val="both"/>
        <w:rPr>
          <w:color w:val="000000" w:themeColor="text1"/>
          <w:sz w:val="16"/>
          <w:szCs w:val="16"/>
        </w:rPr>
      </w:pPr>
      <w:r w:rsidRPr="00925F26">
        <w:rPr>
          <w:color w:val="000000" w:themeColor="text1"/>
          <w:sz w:val="16"/>
          <w:szCs w:val="16"/>
        </w:rPr>
        <w:t>Окуловский бумкомбинат..................................... 1500</w:t>
      </w:r>
    </w:p>
    <w:p w14:paraId="48E317F2" w14:textId="77777777" w:rsidR="004146AC" w:rsidRPr="00925F26" w:rsidRDefault="004146AC" w:rsidP="00925F26">
      <w:pPr>
        <w:jc w:val="both"/>
        <w:rPr>
          <w:color w:val="000000" w:themeColor="text1"/>
          <w:sz w:val="16"/>
          <w:szCs w:val="16"/>
        </w:rPr>
      </w:pPr>
      <w:r w:rsidRPr="00925F26">
        <w:rPr>
          <w:color w:val="000000" w:themeColor="text1"/>
          <w:sz w:val="16"/>
          <w:szCs w:val="16"/>
        </w:rPr>
        <w:t>Марийский бумкомбинат ..................................... 1200</w:t>
      </w:r>
    </w:p>
    <w:p w14:paraId="4B1A7694" w14:textId="77777777" w:rsidR="004146AC" w:rsidRPr="00925F26" w:rsidRDefault="004146AC" w:rsidP="00925F26">
      <w:pPr>
        <w:jc w:val="both"/>
        <w:rPr>
          <w:color w:val="000000" w:themeColor="text1"/>
          <w:sz w:val="16"/>
          <w:szCs w:val="16"/>
        </w:rPr>
      </w:pPr>
      <w:r w:rsidRPr="00925F26">
        <w:rPr>
          <w:color w:val="000000" w:themeColor="text1"/>
          <w:sz w:val="16"/>
          <w:szCs w:val="16"/>
        </w:rPr>
        <w:t>Каменская бумфабрика....................................... 1100</w:t>
      </w:r>
    </w:p>
    <w:p w14:paraId="5143F989" w14:textId="77777777" w:rsidR="004146AC" w:rsidRPr="00925F26" w:rsidRDefault="004146AC" w:rsidP="00925F26">
      <w:pPr>
        <w:jc w:val="both"/>
        <w:rPr>
          <w:color w:val="000000" w:themeColor="text1"/>
          <w:sz w:val="16"/>
          <w:szCs w:val="16"/>
        </w:rPr>
      </w:pPr>
      <w:r w:rsidRPr="00925F26">
        <w:rPr>
          <w:color w:val="000000" w:themeColor="text1"/>
          <w:sz w:val="16"/>
          <w:szCs w:val="16"/>
        </w:rPr>
        <w:t>Сясьский бумкомбинат....................................... 1100</w:t>
      </w:r>
    </w:p>
    <w:p w14:paraId="37C8DA95" w14:textId="77777777" w:rsidR="004146AC" w:rsidRPr="00925F26" w:rsidRDefault="004146AC" w:rsidP="00925F26">
      <w:pPr>
        <w:jc w:val="both"/>
        <w:rPr>
          <w:color w:val="000000" w:themeColor="text1"/>
          <w:sz w:val="16"/>
          <w:szCs w:val="16"/>
        </w:rPr>
      </w:pPr>
      <w:r w:rsidRPr="00925F26">
        <w:rPr>
          <w:color w:val="000000" w:themeColor="text1"/>
          <w:sz w:val="16"/>
          <w:szCs w:val="16"/>
        </w:rPr>
        <w:t>Балахнинская бумфабрика ................................... 800</w:t>
      </w:r>
    </w:p>
    <w:p w14:paraId="2F76497E" w14:textId="77777777" w:rsidR="004146AC" w:rsidRPr="00925F26" w:rsidRDefault="004146AC" w:rsidP="00925F26">
      <w:pPr>
        <w:jc w:val="both"/>
        <w:rPr>
          <w:color w:val="000000" w:themeColor="text1"/>
          <w:sz w:val="16"/>
          <w:szCs w:val="16"/>
        </w:rPr>
      </w:pPr>
      <w:r w:rsidRPr="00925F26">
        <w:rPr>
          <w:color w:val="000000" w:themeColor="text1"/>
          <w:sz w:val="16"/>
          <w:szCs w:val="16"/>
        </w:rPr>
        <w:t>6. Наркомпромстройматериалов .............................. 23 000 чел.</w:t>
      </w:r>
    </w:p>
    <w:p w14:paraId="67EE2590"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3623E765" w14:textId="77777777" w:rsidR="004146AC" w:rsidRPr="00925F26" w:rsidRDefault="004146AC" w:rsidP="00925F26">
      <w:pPr>
        <w:jc w:val="both"/>
        <w:rPr>
          <w:color w:val="000000" w:themeColor="text1"/>
          <w:sz w:val="16"/>
          <w:szCs w:val="16"/>
        </w:rPr>
      </w:pPr>
      <w:r w:rsidRPr="00925F26">
        <w:rPr>
          <w:color w:val="000000" w:themeColor="text1"/>
          <w:sz w:val="16"/>
          <w:szCs w:val="16"/>
        </w:rPr>
        <w:t>Союзасбест .......................................... 10 800 чел.</w:t>
      </w:r>
    </w:p>
    <w:p w14:paraId="1A70DE9E" w14:textId="77777777" w:rsidR="004146AC" w:rsidRPr="00925F26" w:rsidRDefault="004146AC" w:rsidP="00925F26">
      <w:pPr>
        <w:jc w:val="both"/>
        <w:rPr>
          <w:color w:val="000000" w:themeColor="text1"/>
          <w:sz w:val="16"/>
          <w:szCs w:val="16"/>
        </w:rPr>
      </w:pPr>
      <w:r w:rsidRPr="00925F26">
        <w:rPr>
          <w:color w:val="000000" w:themeColor="text1"/>
          <w:sz w:val="16"/>
          <w:szCs w:val="16"/>
        </w:rPr>
        <w:t>Вольские цементные заводы................................. 1800</w:t>
      </w:r>
    </w:p>
    <w:p w14:paraId="77190D77" w14:textId="77777777" w:rsidR="004146AC" w:rsidRPr="00925F26" w:rsidRDefault="004146AC" w:rsidP="00925F26">
      <w:pPr>
        <w:jc w:val="both"/>
        <w:rPr>
          <w:color w:val="000000" w:themeColor="text1"/>
          <w:sz w:val="16"/>
          <w:szCs w:val="16"/>
        </w:rPr>
      </w:pPr>
      <w:r w:rsidRPr="00925F26">
        <w:rPr>
          <w:color w:val="000000" w:themeColor="text1"/>
          <w:sz w:val="16"/>
          <w:szCs w:val="16"/>
        </w:rPr>
        <w:t>Мезиновское торфпредприятие ............................... 1500</w:t>
      </w:r>
    </w:p>
    <w:p w14:paraId="172685AB" w14:textId="77777777" w:rsidR="004146AC" w:rsidRPr="00925F26" w:rsidRDefault="004146AC" w:rsidP="00925F26">
      <w:pPr>
        <w:jc w:val="both"/>
        <w:rPr>
          <w:color w:val="000000" w:themeColor="text1"/>
          <w:sz w:val="16"/>
          <w:szCs w:val="16"/>
        </w:rPr>
      </w:pPr>
      <w:r w:rsidRPr="00925F26">
        <w:rPr>
          <w:color w:val="000000" w:themeColor="text1"/>
          <w:sz w:val="16"/>
          <w:szCs w:val="16"/>
        </w:rPr>
        <w:t>Кыштымский каолинский комбинат ........................... 1200</w:t>
      </w:r>
    </w:p>
    <w:p w14:paraId="3BE2B947"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(Борисоглебск, Чагода, Гусь-Хрустальный, Бежица и др.)............................ 7700</w:t>
      </w:r>
    </w:p>
    <w:p w14:paraId="03EAAF90" w14:textId="77777777" w:rsidR="004146AC" w:rsidRPr="00925F26" w:rsidRDefault="004146AC" w:rsidP="00925F26">
      <w:pPr>
        <w:jc w:val="both"/>
        <w:rPr>
          <w:color w:val="000000" w:themeColor="text1"/>
          <w:sz w:val="16"/>
          <w:szCs w:val="16"/>
        </w:rPr>
      </w:pPr>
      <w:r w:rsidRPr="00925F26">
        <w:rPr>
          <w:color w:val="000000" w:themeColor="text1"/>
          <w:sz w:val="16"/>
          <w:szCs w:val="16"/>
        </w:rPr>
        <w:t>7. Наркомчермет ........................................... 21 000 чел.</w:t>
      </w:r>
    </w:p>
    <w:p w14:paraId="5D5DE7D3"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7693728D" w14:textId="77777777" w:rsidR="004146AC" w:rsidRPr="00925F26" w:rsidRDefault="004146AC" w:rsidP="00925F26">
      <w:pPr>
        <w:jc w:val="both"/>
        <w:rPr>
          <w:color w:val="000000" w:themeColor="text1"/>
          <w:sz w:val="16"/>
          <w:szCs w:val="16"/>
        </w:rPr>
      </w:pPr>
      <w:r w:rsidRPr="00925F26">
        <w:rPr>
          <w:color w:val="000000" w:themeColor="text1"/>
          <w:sz w:val="16"/>
          <w:szCs w:val="16"/>
        </w:rPr>
        <w:t>Магнитогорский комбинат ................................... 3100</w:t>
      </w:r>
      <w:r w:rsidRPr="00925F26">
        <w:rPr>
          <w:color w:val="000000" w:themeColor="text1"/>
          <w:sz w:val="16"/>
          <w:szCs w:val="16"/>
        </w:rPr>
        <w:tab/>
        <w:t>чел.</w:t>
      </w:r>
    </w:p>
    <w:p w14:paraId="119E7074"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«Красный Керамик» в Боровичах................... 3300</w:t>
      </w:r>
    </w:p>
    <w:p w14:paraId="064CD4E8" w14:textId="77777777" w:rsidR="004146AC" w:rsidRPr="00925F26" w:rsidRDefault="004146AC" w:rsidP="00925F26">
      <w:pPr>
        <w:jc w:val="both"/>
        <w:rPr>
          <w:color w:val="000000" w:themeColor="text1"/>
          <w:sz w:val="16"/>
          <w:szCs w:val="16"/>
        </w:rPr>
      </w:pPr>
      <w:r w:rsidRPr="00925F26">
        <w:rPr>
          <w:color w:val="000000" w:themeColor="text1"/>
          <w:sz w:val="16"/>
          <w:szCs w:val="16"/>
        </w:rPr>
        <w:t>Запорожсталь.......................................... 2600</w:t>
      </w:r>
    </w:p>
    <w:p w14:paraId="4C9075B0"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им.Фрунзе в Константиновке ..................... 1600</w:t>
      </w:r>
    </w:p>
    <w:p w14:paraId="5CFFBD9F"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«Красный Октябрь» в Сталинграде ................ 1500</w:t>
      </w:r>
    </w:p>
    <w:p w14:paraId="5A1A710D" w14:textId="77777777" w:rsidR="004146AC" w:rsidRPr="00925F26" w:rsidRDefault="004146AC" w:rsidP="00925F26">
      <w:pPr>
        <w:jc w:val="both"/>
        <w:rPr>
          <w:color w:val="000000" w:themeColor="text1"/>
          <w:sz w:val="16"/>
          <w:szCs w:val="16"/>
        </w:rPr>
      </w:pPr>
      <w:r w:rsidRPr="00925F26">
        <w:rPr>
          <w:color w:val="000000" w:themeColor="text1"/>
          <w:sz w:val="16"/>
          <w:szCs w:val="16"/>
        </w:rPr>
        <w:t>Ашинский леспромхоз .................................... 1500</w:t>
      </w:r>
    </w:p>
    <w:p w14:paraId="436FD5F7" w14:textId="77777777" w:rsidR="004146AC" w:rsidRPr="00925F26" w:rsidRDefault="004146AC" w:rsidP="00925F26">
      <w:pPr>
        <w:jc w:val="both"/>
        <w:rPr>
          <w:color w:val="000000" w:themeColor="text1"/>
          <w:sz w:val="16"/>
          <w:szCs w:val="16"/>
        </w:rPr>
      </w:pPr>
      <w:r w:rsidRPr="00925F26">
        <w:rPr>
          <w:color w:val="000000" w:themeColor="text1"/>
          <w:sz w:val="16"/>
          <w:szCs w:val="16"/>
        </w:rPr>
        <w:t>Ворошиловградский завод................................. 1400</w:t>
      </w:r>
    </w:p>
    <w:p w14:paraId="34704131" w14:textId="77777777" w:rsidR="004146AC" w:rsidRPr="00925F26" w:rsidRDefault="004146AC" w:rsidP="00925F26">
      <w:pPr>
        <w:jc w:val="both"/>
        <w:rPr>
          <w:color w:val="000000" w:themeColor="text1"/>
          <w:sz w:val="16"/>
          <w:szCs w:val="16"/>
        </w:rPr>
      </w:pPr>
      <w:r w:rsidRPr="00925F26">
        <w:rPr>
          <w:color w:val="000000" w:themeColor="text1"/>
          <w:sz w:val="16"/>
          <w:szCs w:val="16"/>
        </w:rPr>
        <w:t>Енакиевский завод....................................... 1300</w:t>
      </w:r>
    </w:p>
    <w:p w14:paraId="5181D42F" w14:textId="77777777" w:rsidR="004146AC" w:rsidRPr="00925F26" w:rsidRDefault="004146AC" w:rsidP="00925F26">
      <w:pPr>
        <w:jc w:val="both"/>
        <w:rPr>
          <w:color w:val="000000" w:themeColor="text1"/>
          <w:sz w:val="16"/>
          <w:szCs w:val="16"/>
        </w:rPr>
      </w:pPr>
      <w:r w:rsidRPr="00925F26">
        <w:rPr>
          <w:color w:val="000000" w:themeColor="text1"/>
          <w:sz w:val="16"/>
          <w:szCs w:val="16"/>
        </w:rPr>
        <w:lastRenderedPageBreak/>
        <w:t>Макеевский завод ....................................... 1200</w:t>
      </w:r>
    </w:p>
    <w:p w14:paraId="7CB5F1AD" w14:textId="77777777" w:rsidR="004146AC" w:rsidRPr="00925F26" w:rsidRDefault="004146AC" w:rsidP="00925F26">
      <w:pPr>
        <w:jc w:val="both"/>
        <w:rPr>
          <w:color w:val="000000" w:themeColor="text1"/>
          <w:sz w:val="16"/>
          <w:szCs w:val="16"/>
        </w:rPr>
      </w:pPr>
      <w:r w:rsidRPr="00925F26">
        <w:rPr>
          <w:color w:val="000000" w:themeColor="text1"/>
          <w:sz w:val="16"/>
          <w:szCs w:val="16"/>
        </w:rPr>
        <w:t>Азовсталь ............................................... 800</w:t>
      </w:r>
    </w:p>
    <w:p w14:paraId="6B057B8C"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Куйбышева...................................... 800</w:t>
      </w:r>
    </w:p>
    <w:p w14:paraId="4C6193E2"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(Горловка, Часов-Яр, Аша, Первоуральск) .......................................... 1900</w:t>
      </w:r>
    </w:p>
    <w:p w14:paraId="56731FD7" w14:textId="77777777" w:rsidR="004146AC" w:rsidRPr="00925F26" w:rsidRDefault="004146AC" w:rsidP="00925F26">
      <w:pPr>
        <w:jc w:val="both"/>
        <w:rPr>
          <w:color w:val="000000" w:themeColor="text1"/>
          <w:sz w:val="16"/>
          <w:szCs w:val="16"/>
        </w:rPr>
      </w:pPr>
      <w:r w:rsidRPr="00925F26">
        <w:rPr>
          <w:color w:val="000000" w:themeColor="text1"/>
          <w:sz w:val="16"/>
          <w:szCs w:val="16"/>
        </w:rPr>
        <w:t>8.</w:t>
      </w:r>
      <w:r w:rsidRPr="00925F26">
        <w:rPr>
          <w:color w:val="000000" w:themeColor="text1"/>
          <w:sz w:val="16"/>
          <w:szCs w:val="16"/>
        </w:rPr>
        <w:tab/>
        <w:t>НКПС .................................................... 20 600 чел.</w:t>
      </w:r>
    </w:p>
    <w:p w14:paraId="199953AC"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2A2BBBC9" w14:textId="77777777" w:rsidR="004146AC" w:rsidRPr="00925F26" w:rsidRDefault="004146AC" w:rsidP="00925F26">
      <w:pPr>
        <w:jc w:val="both"/>
        <w:rPr>
          <w:color w:val="000000" w:themeColor="text1"/>
          <w:sz w:val="16"/>
          <w:szCs w:val="16"/>
        </w:rPr>
      </w:pPr>
      <w:r w:rsidRPr="00925F26">
        <w:rPr>
          <w:color w:val="000000" w:themeColor="text1"/>
          <w:sz w:val="16"/>
          <w:szCs w:val="16"/>
        </w:rPr>
        <w:t>Сосьва-Алапаевск........................................ 3200</w:t>
      </w:r>
      <w:r w:rsidRPr="00925F26">
        <w:rPr>
          <w:color w:val="000000" w:themeColor="text1"/>
          <w:sz w:val="16"/>
          <w:szCs w:val="16"/>
        </w:rPr>
        <w:tab/>
        <w:t>чел.</w:t>
      </w:r>
    </w:p>
    <w:p w14:paraId="6ACFE0BD"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Строительство № 61 в Череповце ......................... 3100</w:t>
      </w:r>
    </w:p>
    <w:p w14:paraId="43EDA0E1"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Строительство в Закавказье (Сюссерский лагерь № 146) ....</w:t>
      </w:r>
      <w:r w:rsidRPr="00925F26">
        <w:rPr>
          <w:color w:val="000000" w:themeColor="text1"/>
          <w:sz w:val="16"/>
          <w:szCs w:val="16"/>
        </w:rPr>
        <w:tab/>
        <w:t>2000</w:t>
      </w:r>
    </w:p>
    <w:p w14:paraId="0E41B913"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Стройучасток Батайск-Ростов ............................ 2300</w:t>
      </w:r>
    </w:p>
    <w:p w14:paraId="0A65BF82"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Строительство в Дарнице ................................ 2100</w:t>
      </w:r>
    </w:p>
    <w:p w14:paraId="7C709B24" w14:textId="77777777" w:rsidR="004146AC" w:rsidRPr="00925F26" w:rsidRDefault="004146AC" w:rsidP="00925F26">
      <w:pPr>
        <w:jc w:val="both"/>
        <w:rPr>
          <w:color w:val="000000" w:themeColor="text1"/>
          <w:sz w:val="16"/>
          <w:szCs w:val="16"/>
        </w:rPr>
      </w:pPr>
      <w:r w:rsidRPr="00925F26">
        <w:rPr>
          <w:color w:val="000000" w:themeColor="text1"/>
          <w:sz w:val="16"/>
          <w:szCs w:val="16"/>
        </w:rPr>
        <w:t>Одесская ж.д............................................ 1500</w:t>
      </w:r>
    </w:p>
    <w:p w14:paraId="06FCA7C5"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1 Мая в г. Кирове........................... 1500</w:t>
      </w:r>
    </w:p>
    <w:p w14:paraId="25BCF56D" w14:textId="77777777" w:rsidR="004146AC" w:rsidRPr="00925F26" w:rsidRDefault="004146AC" w:rsidP="00925F26">
      <w:pPr>
        <w:jc w:val="both"/>
        <w:rPr>
          <w:color w:val="000000" w:themeColor="text1"/>
          <w:sz w:val="16"/>
          <w:szCs w:val="16"/>
        </w:rPr>
      </w:pPr>
      <w:r w:rsidRPr="00925F26">
        <w:rPr>
          <w:color w:val="000000" w:themeColor="text1"/>
          <w:sz w:val="16"/>
          <w:szCs w:val="16"/>
        </w:rPr>
        <w:t>Запорожье ПРЗ .......................................... 1000</w:t>
      </w:r>
    </w:p>
    <w:p w14:paraId="5D202DAA" w14:textId="77777777" w:rsidR="004146AC" w:rsidRPr="00925F26" w:rsidRDefault="004146AC" w:rsidP="00925F26">
      <w:pPr>
        <w:jc w:val="both"/>
        <w:rPr>
          <w:color w:val="000000" w:themeColor="text1"/>
          <w:sz w:val="16"/>
          <w:szCs w:val="16"/>
        </w:rPr>
      </w:pPr>
      <w:r w:rsidRPr="00925F26">
        <w:rPr>
          <w:color w:val="000000" w:themeColor="text1"/>
          <w:sz w:val="16"/>
          <w:szCs w:val="16"/>
        </w:rPr>
        <w:t>Отрожка ПРЗ ............................................ 1000</w:t>
      </w:r>
    </w:p>
    <w:p w14:paraId="3684AF25" w14:textId="77777777" w:rsidR="004146AC" w:rsidRPr="00925F26" w:rsidRDefault="004146AC" w:rsidP="00925F26">
      <w:pPr>
        <w:jc w:val="both"/>
        <w:rPr>
          <w:color w:val="000000" w:themeColor="text1"/>
          <w:sz w:val="16"/>
          <w:szCs w:val="16"/>
        </w:rPr>
      </w:pPr>
      <w:r w:rsidRPr="00925F26">
        <w:rPr>
          <w:color w:val="000000" w:themeColor="text1"/>
          <w:sz w:val="16"/>
          <w:szCs w:val="16"/>
        </w:rPr>
        <w:t>Новочеркасск ПРЗ ........................................ 700</w:t>
      </w:r>
    </w:p>
    <w:p w14:paraId="1B3FF6DC"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(Бобруйск, Попасная, Авчалы и др.) . 2200</w:t>
      </w:r>
    </w:p>
    <w:p w14:paraId="7FEE1648" w14:textId="77777777" w:rsidR="004146AC" w:rsidRPr="00925F26" w:rsidRDefault="004146AC" w:rsidP="00925F26">
      <w:pPr>
        <w:jc w:val="both"/>
        <w:rPr>
          <w:color w:val="000000" w:themeColor="text1"/>
          <w:sz w:val="16"/>
          <w:szCs w:val="16"/>
        </w:rPr>
      </w:pPr>
      <w:r w:rsidRPr="00925F26">
        <w:rPr>
          <w:color w:val="000000" w:themeColor="text1"/>
          <w:sz w:val="16"/>
          <w:szCs w:val="16"/>
        </w:rPr>
        <w:t>9. Наркомавиапром .......................................... 19 000 чел.</w:t>
      </w:r>
    </w:p>
    <w:p w14:paraId="6BD9C97B"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1D13614E"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«Красный Октябрь» в Сталинграде .................. 2400</w:t>
      </w:r>
      <w:r w:rsidRPr="00925F26">
        <w:rPr>
          <w:color w:val="000000" w:themeColor="text1"/>
          <w:sz w:val="16"/>
          <w:szCs w:val="16"/>
        </w:rPr>
        <w:tab/>
        <w:t>чел.</w:t>
      </w:r>
    </w:p>
    <w:p w14:paraId="0B88BD4A"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в г. Воронеже .................................... 2100</w:t>
      </w:r>
    </w:p>
    <w:p w14:paraId="17D26C18"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Стройтрест № 16 в г. Рыбинске ........................ 2000</w:t>
      </w:r>
    </w:p>
    <w:p w14:paraId="7E898EA3"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478 в Запорожье ................................ 2000</w:t>
      </w:r>
    </w:p>
    <w:p w14:paraId="7E31ECB6" w14:textId="77777777" w:rsidR="004146AC" w:rsidRPr="00925F26" w:rsidRDefault="004146AC" w:rsidP="00925F26">
      <w:pPr>
        <w:jc w:val="both"/>
        <w:rPr>
          <w:color w:val="000000" w:themeColor="text1"/>
          <w:sz w:val="16"/>
          <w:szCs w:val="16"/>
        </w:rPr>
      </w:pPr>
      <w:r w:rsidRPr="00925F26">
        <w:rPr>
          <w:color w:val="000000" w:themeColor="text1"/>
          <w:sz w:val="16"/>
          <w:szCs w:val="16"/>
        </w:rPr>
        <w:t>Авиазавод в г. Днепропетровске ......................... 1500</w:t>
      </w:r>
    </w:p>
    <w:p w14:paraId="5C52F8BA"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31 в г. Тбилиси ................................ 1100</w:t>
      </w:r>
    </w:p>
    <w:p w14:paraId="761CE616"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в г. Таганроге ................................... 1100</w:t>
      </w:r>
    </w:p>
    <w:p w14:paraId="4DB3D71F"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119 в Горьком................................... 1000</w:t>
      </w:r>
    </w:p>
    <w:p w14:paraId="0750A74B"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266 в Кирове .................................... 900</w:t>
      </w:r>
    </w:p>
    <w:p w14:paraId="3C2E925B"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473 в Киеве ..................................... 800</w:t>
      </w:r>
    </w:p>
    <w:p w14:paraId="61B18A0B"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в Саратове ........................................ 700</w:t>
      </w:r>
    </w:p>
    <w:p w14:paraId="7309B1CB" w14:textId="77777777" w:rsidR="004146AC" w:rsidRPr="00925F26" w:rsidRDefault="004146AC" w:rsidP="00925F26">
      <w:pPr>
        <w:jc w:val="both"/>
        <w:rPr>
          <w:color w:val="000000" w:themeColor="text1"/>
          <w:sz w:val="16"/>
          <w:szCs w:val="16"/>
        </w:rPr>
      </w:pPr>
      <w:r w:rsidRPr="00925F26">
        <w:rPr>
          <w:color w:val="000000" w:themeColor="text1"/>
          <w:sz w:val="16"/>
          <w:szCs w:val="16"/>
        </w:rPr>
        <w:t xml:space="preserve">На прочих работах (Тушино, Куйбышев, Балашиха, и др.)  </w:t>
      </w:r>
      <w:r w:rsidRPr="00925F26">
        <w:rPr>
          <w:color w:val="000000" w:themeColor="text1"/>
          <w:sz w:val="16"/>
          <w:szCs w:val="16"/>
        </w:rPr>
        <w:tab/>
        <w:t>3400</w:t>
      </w:r>
    </w:p>
    <w:p w14:paraId="55F6A4DE" w14:textId="77777777" w:rsidR="004146AC" w:rsidRPr="00925F26" w:rsidRDefault="004146AC" w:rsidP="00925F26">
      <w:pPr>
        <w:jc w:val="both"/>
        <w:rPr>
          <w:color w:val="000000" w:themeColor="text1"/>
          <w:sz w:val="16"/>
          <w:szCs w:val="16"/>
        </w:rPr>
      </w:pPr>
      <w:r w:rsidRPr="00925F26">
        <w:rPr>
          <w:color w:val="000000" w:themeColor="text1"/>
          <w:sz w:val="16"/>
          <w:szCs w:val="16"/>
        </w:rPr>
        <w:t>10. Наркомат боеприпасов ................................... 19 000 чел.</w:t>
      </w:r>
    </w:p>
    <w:p w14:paraId="721FB6AE"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45B02FD7" w14:textId="77777777" w:rsidR="004146AC" w:rsidRPr="00925F26" w:rsidRDefault="004146AC" w:rsidP="00925F26">
      <w:pPr>
        <w:jc w:val="both"/>
        <w:rPr>
          <w:color w:val="000000" w:themeColor="text1"/>
          <w:sz w:val="16"/>
          <w:szCs w:val="16"/>
        </w:rPr>
      </w:pPr>
      <w:r w:rsidRPr="00925F26">
        <w:rPr>
          <w:color w:val="000000" w:themeColor="text1"/>
          <w:sz w:val="16"/>
          <w:szCs w:val="16"/>
        </w:rPr>
        <w:t>Комбинат № 179 в г. Новосибирске ..................... 2600</w:t>
      </w:r>
    </w:p>
    <w:p w14:paraId="1328240C"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78 в г. Челябинске ............................. 2500</w:t>
      </w:r>
    </w:p>
    <w:p w14:paraId="05FBAB24"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68 в Невьянске ................................. 1900</w:t>
      </w:r>
    </w:p>
    <w:p w14:paraId="22E14232"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107 в г. Сталино ............................... 1900</w:t>
      </w:r>
    </w:p>
    <w:p w14:paraId="36B541E5"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110 в г. Сталино ............................... 1400</w:t>
      </w:r>
    </w:p>
    <w:p w14:paraId="62ADBDD7"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65 в Новосибирске .............................. 1500</w:t>
      </w:r>
    </w:p>
    <w:p w14:paraId="3E58BE2B"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81 в г. Таганроге............................. 1200</w:t>
      </w:r>
    </w:p>
    <w:p w14:paraId="6D844206"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121 в Бежице ............................... 1000</w:t>
      </w:r>
    </w:p>
    <w:p w14:paraId="05E5C82F"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324 в г. Кирове ............................ 1100</w:t>
      </w:r>
    </w:p>
    <w:p w14:paraId="5B3D6B0B"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56 в г. Реж................................. 1700</w:t>
      </w:r>
    </w:p>
    <w:p w14:paraId="5E407922" w14:textId="77777777" w:rsidR="004146AC" w:rsidRPr="00925F26" w:rsidRDefault="004146AC" w:rsidP="00925F26">
      <w:pPr>
        <w:jc w:val="both"/>
        <w:rPr>
          <w:color w:val="000000" w:themeColor="text1"/>
          <w:sz w:val="16"/>
          <w:szCs w:val="16"/>
        </w:rPr>
      </w:pPr>
      <w:r w:rsidRPr="00925F26">
        <w:rPr>
          <w:color w:val="000000" w:themeColor="text1"/>
          <w:sz w:val="16"/>
          <w:szCs w:val="16"/>
        </w:rPr>
        <w:t xml:space="preserve">На прочих работах (Верхняя Тура, Нижний Тагил, Молотов и </w:t>
      </w:r>
      <w:proofErr w:type="gramStart"/>
      <w:r w:rsidRPr="00925F26">
        <w:rPr>
          <w:color w:val="000000" w:themeColor="text1"/>
          <w:sz w:val="16"/>
          <w:szCs w:val="16"/>
        </w:rPr>
        <w:t>др.)...........................................</w:t>
      </w:r>
      <w:proofErr w:type="gramEnd"/>
      <w:r w:rsidRPr="00925F26">
        <w:rPr>
          <w:color w:val="000000" w:themeColor="text1"/>
          <w:sz w:val="16"/>
          <w:szCs w:val="16"/>
        </w:rPr>
        <w:t xml:space="preserve"> 2200</w:t>
      </w:r>
    </w:p>
    <w:p w14:paraId="6A73FC05" w14:textId="77777777" w:rsidR="004146AC" w:rsidRPr="00925F26" w:rsidRDefault="004146AC" w:rsidP="00925F26">
      <w:pPr>
        <w:jc w:val="both"/>
        <w:rPr>
          <w:color w:val="000000" w:themeColor="text1"/>
          <w:sz w:val="16"/>
          <w:szCs w:val="16"/>
        </w:rPr>
      </w:pPr>
      <w:r w:rsidRPr="00925F26">
        <w:rPr>
          <w:color w:val="000000" w:themeColor="text1"/>
          <w:sz w:val="16"/>
          <w:szCs w:val="16"/>
        </w:rPr>
        <w:t>11. Наркомгражданжилстрой ............................... 18 700 чел.</w:t>
      </w:r>
    </w:p>
    <w:p w14:paraId="7E983084"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2F8A3CF4"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Восстановительные работы в</w:t>
      </w:r>
      <w:r w:rsidRPr="00925F26">
        <w:rPr>
          <w:color w:val="000000" w:themeColor="text1"/>
          <w:sz w:val="16"/>
          <w:szCs w:val="16"/>
        </w:rPr>
        <w:tab/>
        <w:t>г. Вильнюсе .................. 5000</w:t>
      </w:r>
      <w:r w:rsidRPr="00925F26">
        <w:rPr>
          <w:color w:val="000000" w:themeColor="text1"/>
          <w:sz w:val="16"/>
          <w:szCs w:val="16"/>
        </w:rPr>
        <w:tab/>
        <w:t>чел.</w:t>
      </w:r>
    </w:p>
    <w:p w14:paraId="65512000"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Восстановительные работы в</w:t>
      </w:r>
      <w:r w:rsidRPr="00925F26">
        <w:rPr>
          <w:color w:val="000000" w:themeColor="text1"/>
          <w:sz w:val="16"/>
          <w:szCs w:val="16"/>
        </w:rPr>
        <w:tab/>
        <w:t>г. Минске .................... 3000</w:t>
      </w:r>
    </w:p>
    <w:p w14:paraId="74458526"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Восстановительные работы в</w:t>
      </w:r>
      <w:r w:rsidRPr="00925F26">
        <w:rPr>
          <w:color w:val="000000" w:themeColor="text1"/>
          <w:sz w:val="16"/>
          <w:szCs w:val="16"/>
        </w:rPr>
        <w:tab/>
        <w:t>г. Риге ...................... 3000</w:t>
      </w:r>
    </w:p>
    <w:p w14:paraId="2A120B40"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Восстановительные работы в</w:t>
      </w:r>
      <w:r w:rsidRPr="00925F26">
        <w:rPr>
          <w:color w:val="000000" w:themeColor="text1"/>
          <w:sz w:val="16"/>
          <w:szCs w:val="16"/>
        </w:rPr>
        <w:tab/>
        <w:t>г. Петрозаводске.............. 4000</w:t>
      </w:r>
    </w:p>
    <w:p w14:paraId="11466740"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Восстановление г. Орла................................... 1800</w:t>
      </w:r>
    </w:p>
    <w:p w14:paraId="54F3C349" w14:textId="77777777" w:rsidR="004146AC" w:rsidRPr="00925F26" w:rsidRDefault="004146AC" w:rsidP="00925F26">
      <w:pPr>
        <w:jc w:val="both"/>
        <w:rPr>
          <w:color w:val="000000" w:themeColor="text1"/>
          <w:sz w:val="16"/>
          <w:szCs w:val="16"/>
        </w:rPr>
      </w:pPr>
      <w:r w:rsidRPr="00925F26">
        <w:rPr>
          <w:color w:val="000000" w:themeColor="text1"/>
          <w:sz w:val="16"/>
          <w:szCs w:val="16"/>
        </w:rPr>
        <w:t>Восстановление г. Чернигова</w:t>
      </w:r>
      <w:r w:rsidRPr="00925F26">
        <w:rPr>
          <w:color w:val="000000" w:themeColor="text1"/>
          <w:sz w:val="16"/>
          <w:szCs w:val="16"/>
        </w:rPr>
        <w:tab/>
        <w:t>.............. 1300</w:t>
      </w:r>
    </w:p>
    <w:p w14:paraId="2697BAD6"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 600</w:t>
      </w:r>
    </w:p>
    <w:p w14:paraId="25E76C20" w14:textId="77777777" w:rsidR="004146AC" w:rsidRPr="00925F26" w:rsidRDefault="004146AC" w:rsidP="00925F26">
      <w:pPr>
        <w:jc w:val="both"/>
        <w:rPr>
          <w:color w:val="000000" w:themeColor="text1"/>
          <w:sz w:val="16"/>
          <w:szCs w:val="16"/>
        </w:rPr>
      </w:pPr>
      <w:r w:rsidRPr="00925F26">
        <w:rPr>
          <w:color w:val="000000" w:themeColor="text1"/>
          <w:sz w:val="16"/>
          <w:szCs w:val="16"/>
        </w:rPr>
        <w:t>12. Наркомцветмет........................................ 14 600 чел.</w:t>
      </w:r>
    </w:p>
    <w:p w14:paraId="3A2BCCEF"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3D61C757" w14:textId="77777777" w:rsidR="004146AC" w:rsidRPr="00925F26" w:rsidRDefault="004146AC" w:rsidP="00925F26">
      <w:pPr>
        <w:jc w:val="both"/>
        <w:rPr>
          <w:color w:val="000000" w:themeColor="text1"/>
          <w:sz w:val="16"/>
          <w:szCs w:val="16"/>
        </w:rPr>
      </w:pPr>
      <w:r w:rsidRPr="00925F26">
        <w:rPr>
          <w:color w:val="000000" w:themeColor="text1"/>
          <w:sz w:val="16"/>
          <w:szCs w:val="16"/>
        </w:rPr>
        <w:t>Севзапалюминьстрой ...................................... 3600</w:t>
      </w:r>
      <w:r w:rsidRPr="00925F26">
        <w:rPr>
          <w:color w:val="000000" w:themeColor="text1"/>
          <w:sz w:val="16"/>
          <w:szCs w:val="16"/>
        </w:rPr>
        <w:tab/>
        <w:t>чел.</w:t>
      </w:r>
    </w:p>
    <w:p w14:paraId="6B291843" w14:textId="77777777" w:rsidR="004146AC" w:rsidRPr="00925F26" w:rsidRDefault="004146AC" w:rsidP="00925F26">
      <w:pPr>
        <w:jc w:val="both"/>
        <w:rPr>
          <w:color w:val="000000" w:themeColor="text1"/>
          <w:sz w:val="16"/>
          <w:szCs w:val="16"/>
        </w:rPr>
      </w:pPr>
      <w:r w:rsidRPr="00925F26">
        <w:rPr>
          <w:color w:val="000000" w:themeColor="text1"/>
          <w:sz w:val="16"/>
          <w:szCs w:val="16"/>
        </w:rPr>
        <w:t>Дегтярьмедьруда ......................................... 2200</w:t>
      </w:r>
    </w:p>
    <w:p w14:paraId="2294C35E" w14:textId="77777777" w:rsidR="004146AC" w:rsidRPr="00925F26" w:rsidRDefault="004146AC" w:rsidP="00925F26">
      <w:pPr>
        <w:jc w:val="both"/>
        <w:rPr>
          <w:color w:val="000000" w:themeColor="text1"/>
          <w:sz w:val="16"/>
          <w:szCs w:val="16"/>
        </w:rPr>
      </w:pPr>
      <w:r w:rsidRPr="00925F26">
        <w:rPr>
          <w:color w:val="000000" w:themeColor="text1"/>
          <w:sz w:val="16"/>
          <w:szCs w:val="16"/>
        </w:rPr>
        <w:t>Красноуральскмедьруда ................................... 1400</w:t>
      </w:r>
    </w:p>
    <w:p w14:paraId="4017BEE5" w14:textId="77777777" w:rsidR="004146AC" w:rsidRPr="00925F26" w:rsidRDefault="004146AC" w:rsidP="00925F26">
      <w:pPr>
        <w:jc w:val="both"/>
        <w:rPr>
          <w:color w:val="000000" w:themeColor="text1"/>
          <w:sz w:val="16"/>
          <w:szCs w:val="16"/>
        </w:rPr>
      </w:pPr>
      <w:r w:rsidRPr="00925F26">
        <w:rPr>
          <w:color w:val="000000" w:themeColor="text1"/>
          <w:sz w:val="16"/>
          <w:szCs w:val="16"/>
        </w:rPr>
        <w:t>Алюминьстрой — Ереван.................................... 1500</w:t>
      </w:r>
    </w:p>
    <w:p w14:paraId="6A03378C" w14:textId="77777777" w:rsidR="004146AC" w:rsidRPr="00925F26" w:rsidRDefault="004146AC" w:rsidP="00925F26">
      <w:pPr>
        <w:jc w:val="both"/>
        <w:rPr>
          <w:color w:val="000000" w:themeColor="text1"/>
          <w:sz w:val="16"/>
          <w:szCs w:val="16"/>
        </w:rPr>
      </w:pPr>
      <w:r w:rsidRPr="00925F26">
        <w:rPr>
          <w:color w:val="000000" w:themeColor="text1"/>
          <w:sz w:val="16"/>
          <w:szCs w:val="16"/>
        </w:rPr>
        <w:t>Кировоградмедьруда ...................................... 1400</w:t>
      </w:r>
    </w:p>
    <w:p w14:paraId="1876E654" w14:textId="77777777" w:rsidR="004146AC" w:rsidRPr="00925F26" w:rsidRDefault="004146AC" w:rsidP="00925F26">
      <w:pPr>
        <w:jc w:val="both"/>
        <w:rPr>
          <w:color w:val="000000" w:themeColor="text1"/>
          <w:sz w:val="16"/>
          <w:szCs w:val="16"/>
        </w:rPr>
      </w:pPr>
      <w:r w:rsidRPr="00925F26">
        <w:rPr>
          <w:color w:val="000000" w:themeColor="text1"/>
          <w:sz w:val="16"/>
          <w:szCs w:val="16"/>
        </w:rPr>
        <w:t>Карабажское рудоуправление .............................. 1100</w:t>
      </w:r>
    </w:p>
    <w:p w14:paraId="246EF0A5" w14:textId="77777777" w:rsidR="004146AC" w:rsidRPr="00925F26" w:rsidRDefault="004146AC" w:rsidP="00925F26">
      <w:pPr>
        <w:jc w:val="both"/>
        <w:rPr>
          <w:color w:val="000000" w:themeColor="text1"/>
          <w:sz w:val="16"/>
          <w:szCs w:val="16"/>
        </w:rPr>
      </w:pPr>
      <w:r w:rsidRPr="00925F26">
        <w:rPr>
          <w:color w:val="000000" w:themeColor="text1"/>
          <w:sz w:val="16"/>
          <w:szCs w:val="16"/>
        </w:rPr>
        <w:t>Электролитный завод в Кыштыме ............................ 700</w:t>
      </w:r>
    </w:p>
    <w:p w14:paraId="4F12B265" w14:textId="77777777" w:rsidR="004146AC" w:rsidRPr="00925F26" w:rsidRDefault="004146AC" w:rsidP="00925F26">
      <w:pPr>
        <w:jc w:val="both"/>
        <w:rPr>
          <w:color w:val="000000" w:themeColor="text1"/>
          <w:sz w:val="16"/>
          <w:szCs w:val="16"/>
        </w:rPr>
      </w:pPr>
      <w:r w:rsidRPr="00925F26">
        <w:rPr>
          <w:color w:val="000000" w:themeColor="text1"/>
          <w:sz w:val="16"/>
          <w:szCs w:val="16"/>
        </w:rPr>
        <w:t>Средьуралмедьзавод ....................................... 800</w:t>
      </w:r>
    </w:p>
    <w:p w14:paraId="1B52BF56" w14:textId="77777777" w:rsidR="004146AC" w:rsidRPr="00925F26" w:rsidRDefault="004146AC" w:rsidP="00925F26">
      <w:pPr>
        <w:jc w:val="both"/>
        <w:rPr>
          <w:color w:val="000000" w:themeColor="text1"/>
          <w:sz w:val="16"/>
          <w:szCs w:val="16"/>
        </w:rPr>
      </w:pPr>
      <w:r w:rsidRPr="00925F26">
        <w:rPr>
          <w:color w:val="000000" w:themeColor="text1"/>
          <w:sz w:val="16"/>
          <w:szCs w:val="16"/>
        </w:rPr>
        <w:t>13. Главвоенпромстрой при СНК СССР....................... 14 600 чел.</w:t>
      </w:r>
    </w:p>
    <w:p w14:paraId="5082F645"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4B2E9F77"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гипса в г. Куйбышеве .............................. 2000</w:t>
      </w:r>
      <w:r w:rsidRPr="00925F26">
        <w:rPr>
          <w:color w:val="000000" w:themeColor="text1"/>
          <w:sz w:val="16"/>
          <w:szCs w:val="16"/>
        </w:rPr>
        <w:tab/>
        <w:t>чел.</w:t>
      </w:r>
    </w:p>
    <w:p w14:paraId="56A86F5F" w14:textId="77777777" w:rsidR="004146AC" w:rsidRPr="00925F26" w:rsidRDefault="004146AC" w:rsidP="00925F26">
      <w:pPr>
        <w:jc w:val="both"/>
        <w:rPr>
          <w:color w:val="000000" w:themeColor="text1"/>
          <w:sz w:val="16"/>
          <w:szCs w:val="16"/>
        </w:rPr>
      </w:pPr>
      <w:r w:rsidRPr="00925F26">
        <w:rPr>
          <w:color w:val="000000" w:themeColor="text1"/>
          <w:sz w:val="16"/>
          <w:szCs w:val="16"/>
        </w:rPr>
        <w:t>УВСР Дарница............................................. 1800</w:t>
      </w:r>
    </w:p>
    <w:p w14:paraId="16C572DF" w14:textId="77777777" w:rsidR="004146AC" w:rsidRPr="00925F26" w:rsidRDefault="004146AC" w:rsidP="00925F26">
      <w:pPr>
        <w:jc w:val="both"/>
        <w:rPr>
          <w:color w:val="000000" w:themeColor="text1"/>
          <w:sz w:val="16"/>
          <w:szCs w:val="16"/>
        </w:rPr>
      </w:pPr>
      <w:r w:rsidRPr="00925F26">
        <w:rPr>
          <w:color w:val="000000" w:themeColor="text1"/>
          <w:sz w:val="16"/>
          <w:szCs w:val="16"/>
        </w:rPr>
        <w:t>УВСР-67 в Бежице ........................................ 1600</w:t>
      </w:r>
    </w:p>
    <w:p w14:paraId="2FD482F2"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Войкова в Запорожье............................ 1800</w:t>
      </w:r>
    </w:p>
    <w:p w14:paraId="06B03EA8" w14:textId="77777777" w:rsidR="004146AC" w:rsidRPr="00925F26" w:rsidRDefault="004146AC" w:rsidP="00925F26">
      <w:pPr>
        <w:jc w:val="both"/>
        <w:rPr>
          <w:color w:val="000000" w:themeColor="text1"/>
          <w:sz w:val="16"/>
          <w:szCs w:val="16"/>
        </w:rPr>
      </w:pPr>
      <w:r w:rsidRPr="00925F26">
        <w:rPr>
          <w:color w:val="000000" w:themeColor="text1"/>
          <w:sz w:val="16"/>
          <w:szCs w:val="16"/>
        </w:rPr>
        <w:t>УВСР-18 в г. Воронеже.................................... 1800</w:t>
      </w:r>
    </w:p>
    <w:p w14:paraId="3260641C"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«Коммунар» в Запорожье ............................ 1100</w:t>
      </w:r>
    </w:p>
    <w:p w14:paraId="36ED5F0A" w14:textId="77777777" w:rsidR="004146AC" w:rsidRPr="00925F26" w:rsidRDefault="004146AC" w:rsidP="00925F26">
      <w:pPr>
        <w:jc w:val="both"/>
        <w:rPr>
          <w:color w:val="000000" w:themeColor="text1"/>
          <w:sz w:val="16"/>
          <w:szCs w:val="16"/>
        </w:rPr>
      </w:pPr>
      <w:r w:rsidRPr="00925F26">
        <w:rPr>
          <w:color w:val="000000" w:themeColor="text1"/>
          <w:sz w:val="16"/>
          <w:szCs w:val="16"/>
        </w:rPr>
        <w:t>УВСР-175 в г. Одессе ..................................... 800</w:t>
      </w:r>
    </w:p>
    <w:p w14:paraId="4B63C671" w14:textId="77777777" w:rsidR="004146AC" w:rsidRPr="00925F26" w:rsidRDefault="004146AC" w:rsidP="00925F26">
      <w:pPr>
        <w:jc w:val="both"/>
        <w:rPr>
          <w:color w:val="000000" w:themeColor="text1"/>
          <w:sz w:val="16"/>
          <w:szCs w:val="16"/>
        </w:rPr>
      </w:pPr>
      <w:r w:rsidRPr="00925F26">
        <w:rPr>
          <w:color w:val="000000" w:themeColor="text1"/>
          <w:sz w:val="16"/>
          <w:szCs w:val="16"/>
        </w:rPr>
        <w:t>Лесокомбинат в Асбесте ................................... 800</w:t>
      </w:r>
    </w:p>
    <w:p w14:paraId="4DC0C5A6"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(Киев, Юрьевец, Бобруйск, Саратов, Ростов и др.) .................................. 2500</w:t>
      </w:r>
    </w:p>
    <w:p w14:paraId="776B6105" w14:textId="77777777" w:rsidR="004146AC" w:rsidRPr="00925F26" w:rsidRDefault="004146AC" w:rsidP="00925F26">
      <w:pPr>
        <w:jc w:val="both"/>
        <w:rPr>
          <w:color w:val="000000" w:themeColor="text1"/>
          <w:sz w:val="16"/>
          <w:szCs w:val="16"/>
        </w:rPr>
      </w:pPr>
      <w:r w:rsidRPr="00925F26">
        <w:rPr>
          <w:color w:val="000000" w:themeColor="text1"/>
          <w:sz w:val="16"/>
          <w:szCs w:val="16"/>
        </w:rPr>
        <w:t>14. Наркомморфлот ....................................... 14 000 чел.</w:t>
      </w:r>
    </w:p>
    <w:p w14:paraId="6D75F659"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178A625" w14:textId="77777777" w:rsidR="004146AC" w:rsidRPr="00925F26" w:rsidRDefault="004146AC" w:rsidP="00925F26">
      <w:pPr>
        <w:jc w:val="both"/>
        <w:rPr>
          <w:color w:val="000000" w:themeColor="text1"/>
          <w:sz w:val="16"/>
          <w:szCs w:val="16"/>
        </w:rPr>
      </w:pPr>
      <w:r w:rsidRPr="00925F26">
        <w:rPr>
          <w:color w:val="000000" w:themeColor="text1"/>
          <w:sz w:val="16"/>
          <w:szCs w:val="16"/>
        </w:rPr>
        <w:t>Одесский порт ........................................... 7800</w:t>
      </w:r>
      <w:r w:rsidRPr="00925F26">
        <w:rPr>
          <w:color w:val="000000" w:themeColor="text1"/>
          <w:sz w:val="16"/>
          <w:szCs w:val="16"/>
        </w:rPr>
        <w:tab/>
        <w:t>чел.</w:t>
      </w:r>
    </w:p>
    <w:p w14:paraId="6C8AD658" w14:textId="77777777" w:rsidR="004146AC" w:rsidRPr="00925F26" w:rsidRDefault="004146AC" w:rsidP="00925F26">
      <w:pPr>
        <w:jc w:val="both"/>
        <w:rPr>
          <w:color w:val="000000" w:themeColor="text1"/>
          <w:sz w:val="16"/>
          <w:szCs w:val="16"/>
        </w:rPr>
      </w:pPr>
      <w:r w:rsidRPr="00925F26">
        <w:rPr>
          <w:color w:val="000000" w:themeColor="text1"/>
          <w:sz w:val="16"/>
          <w:szCs w:val="16"/>
        </w:rPr>
        <w:t>Порт в г. Таллине ....................................... 2000</w:t>
      </w:r>
    </w:p>
    <w:p w14:paraId="254DE64E" w14:textId="77777777" w:rsidR="004146AC" w:rsidRPr="00925F26" w:rsidRDefault="004146AC" w:rsidP="00925F26">
      <w:pPr>
        <w:jc w:val="both"/>
        <w:rPr>
          <w:color w:val="000000" w:themeColor="text1"/>
          <w:sz w:val="16"/>
          <w:szCs w:val="16"/>
        </w:rPr>
      </w:pPr>
      <w:r w:rsidRPr="00925F26">
        <w:rPr>
          <w:color w:val="000000" w:themeColor="text1"/>
          <w:sz w:val="16"/>
          <w:szCs w:val="16"/>
        </w:rPr>
        <w:t>Главморстрой в г. Новороссийске.......................... 1700</w:t>
      </w:r>
    </w:p>
    <w:p w14:paraId="38890D63" w14:textId="77777777" w:rsidR="004146AC" w:rsidRPr="00925F26" w:rsidRDefault="004146AC" w:rsidP="00925F26">
      <w:pPr>
        <w:jc w:val="both"/>
        <w:rPr>
          <w:color w:val="000000" w:themeColor="text1"/>
          <w:sz w:val="16"/>
          <w:szCs w:val="16"/>
        </w:rPr>
      </w:pPr>
      <w:r w:rsidRPr="00925F26">
        <w:rPr>
          <w:color w:val="000000" w:themeColor="text1"/>
          <w:sz w:val="16"/>
          <w:szCs w:val="16"/>
        </w:rPr>
        <w:t>Порт в г. Феодосии....................................... 1400</w:t>
      </w:r>
    </w:p>
    <w:p w14:paraId="7CD35AA4" w14:textId="77777777" w:rsidR="004146AC" w:rsidRPr="00925F26" w:rsidRDefault="004146AC" w:rsidP="00925F26">
      <w:pPr>
        <w:jc w:val="both"/>
        <w:rPr>
          <w:color w:val="000000" w:themeColor="text1"/>
          <w:sz w:val="16"/>
          <w:szCs w:val="16"/>
        </w:rPr>
      </w:pPr>
      <w:r w:rsidRPr="00925F26">
        <w:rPr>
          <w:color w:val="000000" w:themeColor="text1"/>
          <w:sz w:val="16"/>
          <w:szCs w:val="16"/>
        </w:rPr>
        <w:t>Порт в Керчи ............................................. 800</w:t>
      </w:r>
    </w:p>
    <w:p w14:paraId="534930F3"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300</w:t>
      </w:r>
    </w:p>
    <w:p w14:paraId="39E7BF5B" w14:textId="77777777" w:rsidR="004146AC" w:rsidRPr="00925F26" w:rsidRDefault="004146AC" w:rsidP="00925F26">
      <w:pPr>
        <w:jc w:val="both"/>
        <w:rPr>
          <w:color w:val="000000" w:themeColor="text1"/>
          <w:sz w:val="16"/>
          <w:szCs w:val="16"/>
        </w:rPr>
      </w:pPr>
      <w:r w:rsidRPr="00925F26">
        <w:rPr>
          <w:color w:val="000000" w:themeColor="text1"/>
          <w:sz w:val="16"/>
          <w:szCs w:val="16"/>
        </w:rPr>
        <w:t>15. Наркомтяжмаш ........................................ 13 000 чел.</w:t>
      </w:r>
    </w:p>
    <w:p w14:paraId="0AA4E12D"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725F2A06"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Сталина в Краматорске ......................... 3100</w:t>
      </w:r>
      <w:r w:rsidRPr="00925F26">
        <w:rPr>
          <w:color w:val="000000" w:themeColor="text1"/>
          <w:sz w:val="16"/>
          <w:szCs w:val="16"/>
        </w:rPr>
        <w:tab/>
        <w:t>чел.</w:t>
      </w:r>
    </w:p>
    <w:p w14:paraId="47DC2E9A" w14:textId="77777777" w:rsidR="004146AC" w:rsidRPr="00925F26" w:rsidRDefault="004146AC" w:rsidP="00925F26">
      <w:pPr>
        <w:jc w:val="both"/>
        <w:rPr>
          <w:color w:val="000000" w:themeColor="text1"/>
          <w:sz w:val="16"/>
          <w:szCs w:val="16"/>
        </w:rPr>
      </w:pPr>
      <w:r w:rsidRPr="00925F26">
        <w:rPr>
          <w:color w:val="000000" w:themeColor="text1"/>
          <w:sz w:val="16"/>
          <w:szCs w:val="16"/>
        </w:rPr>
        <w:lastRenderedPageBreak/>
        <w:t>Завод «Красный Профинтерн» в Бежице...................... 6500</w:t>
      </w:r>
    </w:p>
    <w:p w14:paraId="64F49EB0" w14:textId="77777777" w:rsidR="004146AC" w:rsidRPr="00925F26" w:rsidRDefault="004146AC" w:rsidP="00925F26">
      <w:pPr>
        <w:jc w:val="both"/>
        <w:rPr>
          <w:color w:val="000000" w:themeColor="text1"/>
          <w:sz w:val="16"/>
          <w:szCs w:val="16"/>
        </w:rPr>
      </w:pPr>
      <w:r w:rsidRPr="00925F26">
        <w:rPr>
          <w:color w:val="000000" w:themeColor="text1"/>
          <w:sz w:val="16"/>
          <w:szCs w:val="16"/>
        </w:rPr>
        <w:t>Трест № 1 в г. Орске..................................... 1800</w:t>
      </w:r>
    </w:p>
    <w:p w14:paraId="1778B07D" w14:textId="77777777" w:rsidR="004146AC" w:rsidRPr="00925F26" w:rsidRDefault="004146AC" w:rsidP="00925F26">
      <w:pPr>
        <w:jc w:val="both"/>
        <w:rPr>
          <w:color w:val="000000" w:themeColor="text1"/>
          <w:sz w:val="16"/>
          <w:szCs w:val="16"/>
        </w:rPr>
      </w:pPr>
      <w:r w:rsidRPr="00925F26">
        <w:rPr>
          <w:color w:val="000000" w:themeColor="text1"/>
          <w:sz w:val="16"/>
          <w:szCs w:val="16"/>
        </w:rPr>
        <w:t>На прочих работах (Краматорск, Лисичанск и др.) ......... 1600</w:t>
      </w:r>
    </w:p>
    <w:p w14:paraId="0C176A21" w14:textId="77777777" w:rsidR="004146AC" w:rsidRPr="00925F26" w:rsidRDefault="004146AC" w:rsidP="00925F26">
      <w:pPr>
        <w:jc w:val="both"/>
        <w:rPr>
          <w:color w:val="000000" w:themeColor="text1"/>
          <w:sz w:val="16"/>
          <w:szCs w:val="16"/>
        </w:rPr>
      </w:pPr>
      <w:r w:rsidRPr="00925F26">
        <w:rPr>
          <w:color w:val="000000" w:themeColor="text1"/>
          <w:sz w:val="16"/>
          <w:szCs w:val="16"/>
        </w:rPr>
        <w:t>16. Наркомат электростанций .................................. 9600</w:t>
      </w:r>
      <w:r w:rsidRPr="00925F26">
        <w:rPr>
          <w:color w:val="000000" w:themeColor="text1"/>
          <w:sz w:val="16"/>
          <w:szCs w:val="16"/>
        </w:rPr>
        <w:tab/>
        <w:t>чел.</w:t>
      </w:r>
    </w:p>
    <w:p w14:paraId="794F28BC"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CDAAFB4" w14:textId="77777777" w:rsidR="004146AC" w:rsidRPr="00925F26" w:rsidRDefault="004146AC" w:rsidP="00925F26">
      <w:pPr>
        <w:jc w:val="both"/>
        <w:rPr>
          <w:color w:val="000000" w:themeColor="text1"/>
          <w:sz w:val="16"/>
          <w:szCs w:val="16"/>
        </w:rPr>
      </w:pPr>
      <w:r w:rsidRPr="00925F26">
        <w:rPr>
          <w:color w:val="000000" w:themeColor="text1"/>
          <w:sz w:val="16"/>
          <w:szCs w:val="16"/>
        </w:rPr>
        <w:t>Кураховгрэс ............................................. 3500</w:t>
      </w:r>
      <w:r w:rsidRPr="00925F26">
        <w:rPr>
          <w:color w:val="000000" w:themeColor="text1"/>
          <w:sz w:val="16"/>
          <w:szCs w:val="16"/>
        </w:rPr>
        <w:tab/>
        <w:t>чел.</w:t>
      </w:r>
    </w:p>
    <w:p w14:paraId="1C936C87" w14:textId="77777777" w:rsidR="004146AC" w:rsidRPr="00925F26" w:rsidRDefault="004146AC" w:rsidP="00925F26">
      <w:pPr>
        <w:jc w:val="both"/>
        <w:rPr>
          <w:color w:val="000000" w:themeColor="text1"/>
          <w:sz w:val="16"/>
          <w:szCs w:val="16"/>
        </w:rPr>
      </w:pPr>
      <w:r w:rsidRPr="00925F26">
        <w:rPr>
          <w:color w:val="000000" w:themeColor="text1"/>
          <w:sz w:val="16"/>
          <w:szCs w:val="16"/>
        </w:rPr>
        <w:t>Зуевгрэс................................................. 1500</w:t>
      </w:r>
    </w:p>
    <w:p w14:paraId="5EB72C51" w14:textId="77777777" w:rsidR="004146AC" w:rsidRPr="00925F26" w:rsidRDefault="004146AC" w:rsidP="00925F26">
      <w:pPr>
        <w:jc w:val="both"/>
        <w:rPr>
          <w:color w:val="000000" w:themeColor="text1"/>
          <w:sz w:val="16"/>
          <w:szCs w:val="16"/>
        </w:rPr>
      </w:pPr>
      <w:r w:rsidRPr="00925F26">
        <w:rPr>
          <w:color w:val="000000" w:themeColor="text1"/>
          <w:sz w:val="16"/>
          <w:szCs w:val="16"/>
        </w:rPr>
        <w:t>Днепрогэс ............................................... 1000</w:t>
      </w:r>
    </w:p>
    <w:p w14:paraId="342BFEE3" w14:textId="77777777" w:rsidR="004146AC" w:rsidRPr="00925F26" w:rsidRDefault="004146AC" w:rsidP="00925F26">
      <w:pPr>
        <w:jc w:val="both"/>
        <w:rPr>
          <w:color w:val="000000" w:themeColor="text1"/>
          <w:sz w:val="16"/>
          <w:szCs w:val="16"/>
        </w:rPr>
      </w:pPr>
      <w:r w:rsidRPr="00925F26">
        <w:rPr>
          <w:color w:val="000000" w:themeColor="text1"/>
          <w:sz w:val="16"/>
          <w:szCs w:val="16"/>
        </w:rPr>
        <w:t>Астрахангрэс ............................................. 800</w:t>
      </w:r>
    </w:p>
    <w:p w14:paraId="16DE0DAE" w14:textId="77777777" w:rsidR="004146AC" w:rsidRPr="00925F26" w:rsidRDefault="004146AC" w:rsidP="00925F26">
      <w:pPr>
        <w:jc w:val="both"/>
        <w:rPr>
          <w:color w:val="000000" w:themeColor="text1"/>
          <w:sz w:val="16"/>
          <w:szCs w:val="16"/>
        </w:rPr>
      </w:pPr>
      <w:r w:rsidRPr="00925F26">
        <w:rPr>
          <w:color w:val="000000" w:themeColor="text1"/>
          <w:sz w:val="16"/>
          <w:szCs w:val="16"/>
        </w:rPr>
        <w:t>Штергрэс.................................................. 600</w:t>
      </w:r>
    </w:p>
    <w:p w14:paraId="5FBF7D10" w14:textId="77777777" w:rsidR="004146AC" w:rsidRPr="00925F26" w:rsidRDefault="004146AC" w:rsidP="00925F26">
      <w:pPr>
        <w:jc w:val="both"/>
        <w:rPr>
          <w:color w:val="000000" w:themeColor="text1"/>
          <w:sz w:val="16"/>
          <w:szCs w:val="16"/>
        </w:rPr>
      </w:pPr>
      <w:r w:rsidRPr="00925F26">
        <w:rPr>
          <w:color w:val="000000" w:themeColor="text1"/>
          <w:sz w:val="16"/>
          <w:szCs w:val="16"/>
        </w:rPr>
        <w:t>Сталгрэс ................................................. 500</w:t>
      </w:r>
    </w:p>
    <w:p w14:paraId="502DB923" w14:textId="77777777" w:rsidR="004146AC" w:rsidRPr="00925F26" w:rsidRDefault="004146AC" w:rsidP="00925F26">
      <w:pPr>
        <w:jc w:val="both"/>
        <w:rPr>
          <w:color w:val="000000" w:themeColor="text1"/>
          <w:sz w:val="16"/>
          <w:szCs w:val="16"/>
        </w:rPr>
      </w:pPr>
      <w:r w:rsidRPr="00925F26">
        <w:rPr>
          <w:color w:val="000000" w:themeColor="text1"/>
          <w:sz w:val="16"/>
          <w:szCs w:val="16"/>
        </w:rPr>
        <w:t>Алексинская ТЭЦ .......................................... 500</w:t>
      </w:r>
    </w:p>
    <w:p w14:paraId="052443E4"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(Егоршино, Цна-строй, Свирь-3 и др.) ...... 1200</w:t>
      </w:r>
    </w:p>
    <w:p w14:paraId="5B4D42F1" w14:textId="77777777" w:rsidR="004146AC" w:rsidRPr="00925F26" w:rsidRDefault="004146AC" w:rsidP="00925F26">
      <w:pPr>
        <w:jc w:val="both"/>
        <w:rPr>
          <w:color w:val="000000" w:themeColor="text1"/>
          <w:sz w:val="16"/>
          <w:szCs w:val="16"/>
        </w:rPr>
      </w:pPr>
      <w:r w:rsidRPr="00925F26">
        <w:rPr>
          <w:color w:val="000000" w:themeColor="text1"/>
          <w:sz w:val="16"/>
          <w:szCs w:val="16"/>
        </w:rPr>
        <w:t>17. Наркомат вооружения....................................... 9500</w:t>
      </w:r>
      <w:r w:rsidRPr="00925F26">
        <w:rPr>
          <w:color w:val="000000" w:themeColor="text1"/>
          <w:sz w:val="16"/>
          <w:szCs w:val="16"/>
        </w:rPr>
        <w:tab/>
        <w:t>чел.</w:t>
      </w:r>
    </w:p>
    <w:p w14:paraId="3E0DEB79"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370F4538"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75 в Юрге........................................ 2300</w:t>
      </w:r>
      <w:r w:rsidRPr="00925F26">
        <w:rPr>
          <w:color w:val="000000" w:themeColor="text1"/>
          <w:sz w:val="16"/>
          <w:szCs w:val="16"/>
        </w:rPr>
        <w:tab/>
        <w:t>чел.</w:t>
      </w:r>
    </w:p>
    <w:p w14:paraId="5FDF3B07"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221 в Сталинграде ............................... 1800</w:t>
      </w:r>
    </w:p>
    <w:p w14:paraId="11E8528A" w14:textId="77777777" w:rsidR="004146AC" w:rsidRPr="00925F26" w:rsidRDefault="004146AC" w:rsidP="00925F26">
      <w:pPr>
        <w:jc w:val="both"/>
        <w:rPr>
          <w:color w:val="000000" w:themeColor="text1"/>
          <w:sz w:val="16"/>
          <w:szCs w:val="16"/>
        </w:rPr>
      </w:pPr>
      <w:r w:rsidRPr="00925F26">
        <w:rPr>
          <w:color w:val="000000" w:themeColor="text1"/>
          <w:sz w:val="16"/>
          <w:szCs w:val="16"/>
        </w:rPr>
        <w:t>Торфопредприятие Дзякино ................................ 1500</w:t>
      </w:r>
    </w:p>
    <w:p w14:paraId="18B32731" w14:textId="77777777" w:rsidR="004146AC" w:rsidRPr="00925F26" w:rsidRDefault="004146AC" w:rsidP="00925F26">
      <w:pPr>
        <w:jc w:val="both"/>
        <w:rPr>
          <w:color w:val="000000" w:themeColor="text1"/>
          <w:sz w:val="16"/>
          <w:szCs w:val="16"/>
        </w:rPr>
      </w:pPr>
      <w:r w:rsidRPr="00925F26">
        <w:rPr>
          <w:color w:val="000000" w:themeColor="text1"/>
          <w:sz w:val="16"/>
          <w:szCs w:val="16"/>
        </w:rPr>
        <w:t>Ижторф Удмуртской АССР .................................. 1400</w:t>
      </w:r>
    </w:p>
    <w:p w14:paraId="2BF338FA" w14:textId="77777777" w:rsidR="004146AC" w:rsidRPr="00925F26" w:rsidRDefault="004146AC" w:rsidP="00925F26">
      <w:pPr>
        <w:jc w:val="both"/>
        <w:rPr>
          <w:color w:val="000000" w:themeColor="text1"/>
          <w:sz w:val="16"/>
          <w:szCs w:val="16"/>
        </w:rPr>
      </w:pPr>
      <w:r w:rsidRPr="00925F26">
        <w:rPr>
          <w:color w:val="000000" w:themeColor="text1"/>
          <w:sz w:val="16"/>
          <w:szCs w:val="16"/>
        </w:rPr>
        <w:t>Трест № 24 в Златоусте ............................. 900</w:t>
      </w:r>
    </w:p>
    <w:p w14:paraId="2CDD8ED0"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525 в г. Куйбышеве ....................... 900</w:t>
      </w:r>
    </w:p>
    <w:p w14:paraId="4ABC79AF"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363 в г. Изюме ........................... 700</w:t>
      </w:r>
    </w:p>
    <w:p w14:paraId="3B950A49" w14:textId="77777777" w:rsidR="004146AC" w:rsidRPr="00925F26" w:rsidRDefault="004146AC" w:rsidP="00925F26">
      <w:pPr>
        <w:jc w:val="both"/>
        <w:rPr>
          <w:color w:val="000000" w:themeColor="text1"/>
          <w:sz w:val="16"/>
          <w:szCs w:val="16"/>
        </w:rPr>
      </w:pPr>
      <w:r w:rsidRPr="00925F26">
        <w:rPr>
          <w:color w:val="000000" w:themeColor="text1"/>
          <w:sz w:val="16"/>
          <w:szCs w:val="16"/>
        </w:rPr>
        <w:t>18. Наркомнефть............................................... 8700</w:t>
      </w:r>
      <w:r w:rsidRPr="00925F26">
        <w:rPr>
          <w:color w:val="000000" w:themeColor="text1"/>
          <w:sz w:val="16"/>
          <w:szCs w:val="16"/>
        </w:rPr>
        <w:tab/>
        <w:t>чел.</w:t>
      </w:r>
    </w:p>
    <w:p w14:paraId="5FB878F2"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4304C15E" w14:textId="77777777" w:rsidR="004146AC" w:rsidRPr="00925F26" w:rsidRDefault="004146AC" w:rsidP="00925F26">
      <w:pPr>
        <w:jc w:val="both"/>
        <w:rPr>
          <w:color w:val="000000" w:themeColor="text1"/>
          <w:sz w:val="16"/>
          <w:szCs w:val="16"/>
        </w:rPr>
      </w:pPr>
      <w:r w:rsidRPr="00925F26">
        <w:rPr>
          <w:color w:val="000000" w:themeColor="text1"/>
          <w:sz w:val="16"/>
          <w:szCs w:val="16"/>
        </w:rPr>
        <w:t>Орский нефтезавод ....................................... 2600</w:t>
      </w:r>
      <w:r w:rsidRPr="00925F26">
        <w:rPr>
          <w:color w:val="000000" w:themeColor="text1"/>
          <w:sz w:val="16"/>
          <w:szCs w:val="16"/>
        </w:rPr>
        <w:tab/>
        <w:t>чел.</w:t>
      </w:r>
    </w:p>
    <w:p w14:paraId="287B0ABE" w14:textId="77777777" w:rsidR="004146AC" w:rsidRPr="00925F26" w:rsidRDefault="004146AC" w:rsidP="00925F26">
      <w:pPr>
        <w:jc w:val="both"/>
        <w:rPr>
          <w:color w:val="000000" w:themeColor="text1"/>
          <w:sz w:val="16"/>
          <w:szCs w:val="16"/>
        </w:rPr>
      </w:pPr>
      <w:r w:rsidRPr="00925F26">
        <w:rPr>
          <w:color w:val="000000" w:themeColor="text1"/>
          <w:sz w:val="16"/>
          <w:szCs w:val="16"/>
        </w:rPr>
        <w:t>Нефтебаза в Рени ........................................ 2000</w:t>
      </w:r>
    </w:p>
    <w:p w14:paraId="1357DB77" w14:textId="77777777" w:rsidR="004146AC" w:rsidRPr="00925F26" w:rsidRDefault="004146AC" w:rsidP="00925F26">
      <w:pPr>
        <w:jc w:val="both"/>
        <w:rPr>
          <w:color w:val="000000" w:themeColor="text1"/>
          <w:sz w:val="16"/>
          <w:szCs w:val="16"/>
        </w:rPr>
      </w:pPr>
      <w:r w:rsidRPr="00925F26">
        <w:rPr>
          <w:color w:val="000000" w:themeColor="text1"/>
          <w:sz w:val="16"/>
          <w:szCs w:val="16"/>
        </w:rPr>
        <w:t>Туапсе .................................................. 1400</w:t>
      </w:r>
    </w:p>
    <w:p w14:paraId="2C8B1FCD" w14:textId="77777777" w:rsidR="004146AC" w:rsidRPr="00925F26" w:rsidRDefault="004146AC" w:rsidP="00925F26">
      <w:pPr>
        <w:jc w:val="both"/>
        <w:rPr>
          <w:color w:val="000000" w:themeColor="text1"/>
          <w:sz w:val="16"/>
          <w:szCs w:val="16"/>
        </w:rPr>
      </w:pPr>
      <w:r w:rsidRPr="00925F26">
        <w:rPr>
          <w:color w:val="000000" w:themeColor="text1"/>
          <w:sz w:val="16"/>
          <w:szCs w:val="16"/>
        </w:rPr>
        <w:t>Нефтеспецстрой в г. Киеве ................................ 800</w:t>
      </w:r>
    </w:p>
    <w:p w14:paraId="704FBE75" w14:textId="77777777" w:rsidR="004146AC" w:rsidRPr="00925F26" w:rsidRDefault="004146AC" w:rsidP="00925F26">
      <w:pPr>
        <w:jc w:val="both"/>
        <w:rPr>
          <w:color w:val="000000" w:themeColor="text1"/>
          <w:sz w:val="16"/>
          <w:szCs w:val="16"/>
        </w:rPr>
      </w:pPr>
      <w:r w:rsidRPr="00925F26">
        <w:rPr>
          <w:color w:val="000000" w:themeColor="text1"/>
          <w:sz w:val="16"/>
          <w:szCs w:val="16"/>
        </w:rPr>
        <w:t>Апшеронская .............................................. 800</w:t>
      </w:r>
    </w:p>
    <w:p w14:paraId="3E4A772E" w14:textId="77777777" w:rsidR="004146AC" w:rsidRPr="00925F26" w:rsidRDefault="004146AC" w:rsidP="00925F26">
      <w:pPr>
        <w:jc w:val="both"/>
        <w:rPr>
          <w:color w:val="000000" w:themeColor="text1"/>
          <w:sz w:val="16"/>
          <w:szCs w:val="16"/>
        </w:rPr>
      </w:pPr>
      <w:r w:rsidRPr="00925F26">
        <w:rPr>
          <w:color w:val="000000" w:themeColor="text1"/>
          <w:sz w:val="16"/>
          <w:szCs w:val="16"/>
        </w:rPr>
        <w:t>Малгобекнефть ............................................ 600</w:t>
      </w:r>
    </w:p>
    <w:p w14:paraId="49CAF01C" w14:textId="77777777" w:rsidR="004146AC" w:rsidRPr="00925F26" w:rsidRDefault="004146AC" w:rsidP="00925F26">
      <w:pPr>
        <w:jc w:val="both"/>
        <w:rPr>
          <w:color w:val="000000" w:themeColor="text1"/>
          <w:sz w:val="16"/>
          <w:szCs w:val="16"/>
        </w:rPr>
      </w:pPr>
      <w:r w:rsidRPr="00925F26">
        <w:rPr>
          <w:color w:val="000000" w:themeColor="text1"/>
          <w:sz w:val="16"/>
          <w:szCs w:val="16"/>
        </w:rPr>
        <w:t>Стройконтора в Новороссийске.............................. 500</w:t>
      </w:r>
    </w:p>
    <w:p w14:paraId="096A3831" w14:textId="77777777" w:rsidR="004146AC" w:rsidRPr="00925F26" w:rsidRDefault="004146AC" w:rsidP="00925F26">
      <w:pPr>
        <w:jc w:val="both"/>
        <w:rPr>
          <w:color w:val="000000" w:themeColor="text1"/>
          <w:sz w:val="16"/>
          <w:szCs w:val="16"/>
        </w:rPr>
      </w:pPr>
      <w:r w:rsidRPr="00925F26">
        <w:rPr>
          <w:color w:val="000000" w:themeColor="text1"/>
          <w:sz w:val="16"/>
          <w:szCs w:val="16"/>
        </w:rPr>
        <w:t>19. Наркомхимпром............................................. 8100</w:t>
      </w:r>
      <w:r w:rsidRPr="00925F26">
        <w:rPr>
          <w:color w:val="000000" w:themeColor="text1"/>
          <w:sz w:val="16"/>
          <w:szCs w:val="16"/>
        </w:rPr>
        <w:tab/>
        <w:t>чел.</w:t>
      </w:r>
    </w:p>
    <w:p w14:paraId="4AFA775B"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05C1C9CF" w14:textId="77777777" w:rsidR="004146AC" w:rsidRPr="00925F26" w:rsidRDefault="004146AC" w:rsidP="00925F26">
      <w:pPr>
        <w:jc w:val="both"/>
        <w:rPr>
          <w:color w:val="000000" w:themeColor="text1"/>
          <w:sz w:val="16"/>
          <w:szCs w:val="16"/>
        </w:rPr>
      </w:pPr>
      <w:r w:rsidRPr="00925F26">
        <w:rPr>
          <w:color w:val="000000" w:themeColor="text1"/>
          <w:sz w:val="16"/>
          <w:szCs w:val="16"/>
        </w:rPr>
        <w:t>Азотно-Туковый завод в Днепродзержинске ................. 2000</w:t>
      </w:r>
      <w:r w:rsidRPr="00925F26">
        <w:rPr>
          <w:color w:val="000000" w:themeColor="text1"/>
          <w:sz w:val="16"/>
          <w:szCs w:val="16"/>
        </w:rPr>
        <w:tab/>
        <w:t>чел.</w:t>
      </w:r>
    </w:p>
    <w:p w14:paraId="7667C551" w14:textId="77777777" w:rsidR="004146AC" w:rsidRPr="00925F26" w:rsidRDefault="004146AC" w:rsidP="00925F26">
      <w:pPr>
        <w:jc w:val="both"/>
        <w:rPr>
          <w:color w:val="000000" w:themeColor="text1"/>
          <w:sz w:val="16"/>
          <w:szCs w:val="16"/>
        </w:rPr>
      </w:pPr>
      <w:r w:rsidRPr="00925F26">
        <w:rPr>
          <w:color w:val="000000" w:themeColor="text1"/>
          <w:sz w:val="16"/>
          <w:szCs w:val="16"/>
        </w:rPr>
        <w:t>Донсода ................................................. 1800</w:t>
      </w:r>
    </w:p>
    <w:p w14:paraId="06099A55" w14:textId="77777777" w:rsidR="004146AC" w:rsidRPr="00925F26" w:rsidRDefault="004146AC" w:rsidP="00925F26">
      <w:pPr>
        <w:jc w:val="both"/>
        <w:rPr>
          <w:color w:val="000000" w:themeColor="text1"/>
          <w:sz w:val="16"/>
          <w:szCs w:val="16"/>
        </w:rPr>
      </w:pPr>
      <w:r w:rsidRPr="00925F26">
        <w:rPr>
          <w:color w:val="000000" w:themeColor="text1"/>
          <w:sz w:val="16"/>
          <w:szCs w:val="16"/>
        </w:rPr>
        <w:t>Перекопский Бромный з[аво]д .............................. 800</w:t>
      </w:r>
    </w:p>
    <w:p w14:paraId="3972638E"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91 в г. Сталинграде ...................... 800</w:t>
      </w:r>
    </w:p>
    <w:p w14:paraId="74620CA9" w14:textId="77777777" w:rsidR="004146AC" w:rsidRPr="00925F26" w:rsidRDefault="004146AC" w:rsidP="00925F26">
      <w:pPr>
        <w:jc w:val="both"/>
        <w:rPr>
          <w:color w:val="000000" w:themeColor="text1"/>
          <w:sz w:val="16"/>
          <w:szCs w:val="16"/>
        </w:rPr>
      </w:pPr>
      <w:r w:rsidRPr="00925F26">
        <w:rPr>
          <w:color w:val="000000" w:themeColor="text1"/>
          <w:sz w:val="16"/>
          <w:szCs w:val="16"/>
        </w:rPr>
        <w:t>Сакский химзавод ......................................... 700</w:t>
      </w:r>
    </w:p>
    <w:p w14:paraId="708C9392" w14:textId="77777777" w:rsidR="004146AC" w:rsidRPr="00925F26" w:rsidRDefault="004146AC" w:rsidP="00925F26">
      <w:pPr>
        <w:jc w:val="both"/>
        <w:rPr>
          <w:color w:val="000000" w:themeColor="text1"/>
          <w:sz w:val="16"/>
          <w:szCs w:val="16"/>
        </w:rPr>
      </w:pPr>
      <w:r w:rsidRPr="00925F26">
        <w:rPr>
          <w:color w:val="000000" w:themeColor="text1"/>
          <w:sz w:val="16"/>
          <w:szCs w:val="16"/>
        </w:rPr>
        <w:t>Коксохимзавод № 4 Донбасса ............................... 700</w:t>
      </w:r>
    </w:p>
    <w:p w14:paraId="5C0642B2" w14:textId="77777777" w:rsidR="004146AC" w:rsidRPr="00925F26" w:rsidRDefault="004146AC" w:rsidP="00925F26">
      <w:pPr>
        <w:jc w:val="both"/>
        <w:rPr>
          <w:color w:val="000000" w:themeColor="text1"/>
          <w:sz w:val="16"/>
          <w:szCs w:val="16"/>
        </w:rPr>
      </w:pPr>
      <w:r w:rsidRPr="00925F26">
        <w:rPr>
          <w:color w:val="000000" w:themeColor="text1"/>
          <w:sz w:val="16"/>
          <w:szCs w:val="16"/>
        </w:rPr>
        <w:t>Соликамский калийный комбинат ............................ 500</w:t>
      </w:r>
    </w:p>
    <w:p w14:paraId="77398DD6"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 800</w:t>
      </w:r>
    </w:p>
    <w:p w14:paraId="76034F83" w14:textId="77777777" w:rsidR="004146AC" w:rsidRPr="00925F26" w:rsidRDefault="004146AC" w:rsidP="00925F26">
      <w:pPr>
        <w:jc w:val="both"/>
        <w:rPr>
          <w:color w:val="000000" w:themeColor="text1"/>
          <w:sz w:val="16"/>
          <w:szCs w:val="16"/>
        </w:rPr>
      </w:pPr>
      <w:r w:rsidRPr="00925F26">
        <w:rPr>
          <w:color w:val="000000" w:themeColor="text1"/>
          <w:sz w:val="16"/>
          <w:szCs w:val="16"/>
        </w:rPr>
        <w:t>20. Наркомлес ................................................ 7000</w:t>
      </w:r>
      <w:r w:rsidRPr="00925F26">
        <w:rPr>
          <w:color w:val="000000" w:themeColor="text1"/>
          <w:sz w:val="16"/>
          <w:szCs w:val="16"/>
        </w:rPr>
        <w:tab/>
        <w:t>чел.</w:t>
      </w:r>
    </w:p>
    <w:p w14:paraId="780E4FB2"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58144A49" w14:textId="77777777" w:rsidR="004146AC" w:rsidRPr="00925F26" w:rsidRDefault="004146AC" w:rsidP="00925F26">
      <w:pPr>
        <w:jc w:val="both"/>
        <w:rPr>
          <w:color w:val="000000" w:themeColor="text1"/>
          <w:sz w:val="16"/>
          <w:szCs w:val="16"/>
        </w:rPr>
      </w:pPr>
      <w:r w:rsidRPr="00925F26">
        <w:rPr>
          <w:color w:val="000000" w:themeColor="text1"/>
          <w:sz w:val="16"/>
          <w:szCs w:val="16"/>
        </w:rPr>
        <w:t>Лесокомбинат в г. Борисове .............................. 2000</w:t>
      </w:r>
      <w:r w:rsidRPr="00925F26">
        <w:rPr>
          <w:color w:val="000000" w:themeColor="text1"/>
          <w:sz w:val="16"/>
          <w:szCs w:val="16"/>
        </w:rPr>
        <w:tab/>
        <w:t>чел.</w:t>
      </w:r>
    </w:p>
    <w:p w14:paraId="1D72BEA5" w14:textId="77777777" w:rsidR="004146AC" w:rsidRPr="00925F26" w:rsidRDefault="004146AC" w:rsidP="00925F26">
      <w:pPr>
        <w:jc w:val="both"/>
        <w:rPr>
          <w:color w:val="000000" w:themeColor="text1"/>
          <w:sz w:val="16"/>
          <w:szCs w:val="16"/>
        </w:rPr>
      </w:pPr>
      <w:r w:rsidRPr="00925F26">
        <w:rPr>
          <w:color w:val="000000" w:themeColor="text1"/>
          <w:sz w:val="16"/>
          <w:szCs w:val="16"/>
        </w:rPr>
        <w:t>Авиафанерокомбинат в Тюмени ............................. 1500</w:t>
      </w:r>
    </w:p>
    <w:p w14:paraId="5608778A" w14:textId="77777777" w:rsidR="004146AC" w:rsidRPr="00925F26" w:rsidRDefault="004146AC" w:rsidP="00925F26">
      <w:pPr>
        <w:jc w:val="both"/>
        <w:rPr>
          <w:color w:val="000000" w:themeColor="text1"/>
          <w:sz w:val="16"/>
          <w:szCs w:val="16"/>
        </w:rPr>
      </w:pPr>
      <w:r w:rsidRPr="00925F26">
        <w:rPr>
          <w:color w:val="000000" w:themeColor="text1"/>
          <w:sz w:val="16"/>
          <w:szCs w:val="16"/>
        </w:rPr>
        <w:t>Лесокомбинат в г. Аше ................................... 1000</w:t>
      </w:r>
    </w:p>
    <w:p w14:paraId="1DDEBA6F" w14:textId="77777777" w:rsidR="004146AC" w:rsidRPr="00925F26" w:rsidRDefault="004146AC" w:rsidP="00925F26">
      <w:pPr>
        <w:jc w:val="both"/>
        <w:rPr>
          <w:color w:val="000000" w:themeColor="text1"/>
          <w:sz w:val="16"/>
          <w:szCs w:val="16"/>
        </w:rPr>
      </w:pPr>
      <w:r w:rsidRPr="00925F26">
        <w:rPr>
          <w:color w:val="000000" w:themeColor="text1"/>
          <w:sz w:val="16"/>
          <w:szCs w:val="16"/>
        </w:rPr>
        <w:t>Лесокомбинат в Кировской обл............................. 1000</w:t>
      </w:r>
    </w:p>
    <w:p w14:paraId="04A2EAE0" w14:textId="77777777" w:rsidR="004146AC" w:rsidRPr="00925F26" w:rsidRDefault="004146AC" w:rsidP="00925F26">
      <w:pPr>
        <w:jc w:val="both"/>
        <w:rPr>
          <w:color w:val="000000" w:themeColor="text1"/>
          <w:sz w:val="16"/>
          <w:szCs w:val="16"/>
        </w:rPr>
      </w:pPr>
      <w:r w:rsidRPr="00925F26">
        <w:rPr>
          <w:color w:val="000000" w:themeColor="text1"/>
          <w:sz w:val="16"/>
          <w:szCs w:val="16"/>
        </w:rPr>
        <w:t>Лесозавод им. Ермана в Сталинграде........................ 800</w:t>
      </w:r>
    </w:p>
    <w:p w14:paraId="79194FD7" w14:textId="77777777" w:rsidR="004146AC" w:rsidRPr="00925F26" w:rsidRDefault="004146AC" w:rsidP="00925F26">
      <w:pPr>
        <w:jc w:val="both"/>
        <w:rPr>
          <w:color w:val="000000" w:themeColor="text1"/>
          <w:sz w:val="16"/>
          <w:szCs w:val="16"/>
        </w:rPr>
      </w:pPr>
      <w:r w:rsidRPr="00925F26">
        <w:rPr>
          <w:color w:val="000000" w:themeColor="text1"/>
          <w:sz w:val="16"/>
          <w:szCs w:val="16"/>
        </w:rPr>
        <w:t>Лесозавод им. Куйбышева в Сталинграде .................... 500</w:t>
      </w:r>
    </w:p>
    <w:p w14:paraId="5B18DB59"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 200</w:t>
      </w:r>
    </w:p>
    <w:p w14:paraId="63A3C311" w14:textId="77777777" w:rsidR="004146AC" w:rsidRPr="00925F26" w:rsidRDefault="004146AC" w:rsidP="00925F26">
      <w:pPr>
        <w:jc w:val="both"/>
        <w:rPr>
          <w:color w:val="000000" w:themeColor="text1"/>
          <w:sz w:val="16"/>
          <w:szCs w:val="16"/>
        </w:rPr>
      </w:pPr>
      <w:r w:rsidRPr="00925F26">
        <w:rPr>
          <w:color w:val="000000" w:themeColor="text1"/>
          <w:sz w:val="16"/>
          <w:szCs w:val="16"/>
        </w:rPr>
        <w:t>21. Наркомтанкопром........................................... 7000</w:t>
      </w:r>
      <w:r w:rsidRPr="00925F26">
        <w:rPr>
          <w:color w:val="000000" w:themeColor="text1"/>
          <w:sz w:val="16"/>
          <w:szCs w:val="16"/>
        </w:rPr>
        <w:tab/>
        <w:t>чел.</w:t>
      </w:r>
    </w:p>
    <w:p w14:paraId="1C7F45EF"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59AAA4BC"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183 в г. Тагиле............................. 3200 чел.</w:t>
      </w:r>
    </w:p>
    <w:p w14:paraId="027EA202"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Кирова в г. Челябинске.................... 2000</w:t>
      </w:r>
    </w:p>
    <w:p w14:paraId="4F19D4CF"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264 в Сталинграде................................ 1800</w:t>
      </w:r>
    </w:p>
    <w:p w14:paraId="2D05D7E1" w14:textId="77777777" w:rsidR="004146AC" w:rsidRPr="00925F26" w:rsidRDefault="004146AC" w:rsidP="00925F26">
      <w:pPr>
        <w:jc w:val="both"/>
        <w:rPr>
          <w:color w:val="000000" w:themeColor="text1"/>
          <w:sz w:val="16"/>
          <w:szCs w:val="16"/>
        </w:rPr>
      </w:pPr>
      <w:r w:rsidRPr="00925F26">
        <w:rPr>
          <w:color w:val="000000" w:themeColor="text1"/>
          <w:sz w:val="16"/>
          <w:szCs w:val="16"/>
        </w:rPr>
        <w:t>22. Наркомстанкострой ........................................ 6800</w:t>
      </w:r>
      <w:r w:rsidRPr="00925F26">
        <w:rPr>
          <w:color w:val="000000" w:themeColor="text1"/>
          <w:sz w:val="16"/>
          <w:szCs w:val="16"/>
        </w:rPr>
        <w:tab/>
        <w:t>чел.</w:t>
      </w:r>
    </w:p>
    <w:p w14:paraId="54379294"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72FF0850" w14:textId="77777777" w:rsidR="004146AC" w:rsidRPr="00925F26" w:rsidRDefault="004146AC" w:rsidP="00925F26">
      <w:pPr>
        <w:jc w:val="both"/>
        <w:rPr>
          <w:color w:val="000000" w:themeColor="text1"/>
          <w:sz w:val="16"/>
          <w:szCs w:val="16"/>
        </w:rPr>
      </w:pPr>
      <w:r w:rsidRPr="00925F26">
        <w:rPr>
          <w:color w:val="000000" w:themeColor="text1"/>
          <w:sz w:val="16"/>
          <w:szCs w:val="16"/>
        </w:rPr>
        <w:t>Краматорский завод ...................................... 2300</w:t>
      </w:r>
      <w:r w:rsidRPr="00925F26">
        <w:rPr>
          <w:color w:val="000000" w:themeColor="text1"/>
          <w:sz w:val="16"/>
          <w:szCs w:val="16"/>
        </w:rPr>
        <w:tab/>
        <w:t>чел.</w:t>
      </w:r>
    </w:p>
    <w:p w14:paraId="3CEEC904" w14:textId="77777777" w:rsidR="004146AC" w:rsidRPr="00925F26" w:rsidRDefault="004146AC" w:rsidP="00925F26">
      <w:pPr>
        <w:jc w:val="both"/>
        <w:rPr>
          <w:color w:val="000000" w:themeColor="text1"/>
          <w:sz w:val="16"/>
          <w:szCs w:val="16"/>
        </w:rPr>
      </w:pPr>
      <w:r w:rsidRPr="00925F26">
        <w:rPr>
          <w:color w:val="000000" w:themeColor="text1"/>
          <w:sz w:val="16"/>
          <w:szCs w:val="16"/>
        </w:rPr>
        <w:t>Сестрорецкий з[аво]д .................................... 1600</w:t>
      </w:r>
    </w:p>
    <w:p w14:paraId="2FA28448" w14:textId="77777777" w:rsidR="004146AC" w:rsidRPr="00925F26" w:rsidRDefault="004146AC" w:rsidP="00925F26">
      <w:pPr>
        <w:jc w:val="both"/>
        <w:rPr>
          <w:color w:val="000000" w:themeColor="text1"/>
          <w:sz w:val="16"/>
          <w:szCs w:val="16"/>
        </w:rPr>
      </w:pPr>
      <w:r w:rsidRPr="00925F26">
        <w:rPr>
          <w:color w:val="000000" w:themeColor="text1"/>
          <w:sz w:val="16"/>
          <w:szCs w:val="16"/>
        </w:rPr>
        <w:t>Алапаевский з[аво]д ...................................... 800</w:t>
      </w:r>
    </w:p>
    <w:p w14:paraId="08B9923B" w14:textId="77777777" w:rsidR="004146AC" w:rsidRPr="00925F26" w:rsidRDefault="004146AC" w:rsidP="00925F26">
      <w:pPr>
        <w:jc w:val="both"/>
        <w:rPr>
          <w:color w:val="000000" w:themeColor="text1"/>
          <w:sz w:val="16"/>
          <w:szCs w:val="16"/>
        </w:rPr>
      </w:pPr>
      <w:r w:rsidRPr="00925F26">
        <w:rPr>
          <w:color w:val="000000" w:themeColor="text1"/>
          <w:sz w:val="16"/>
          <w:szCs w:val="16"/>
        </w:rPr>
        <w:t>Сибстанкострой в г. Новосибирске ......................... 600</w:t>
      </w:r>
    </w:p>
    <w:p w14:paraId="522B8D44"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им. Калинина в г. Воронеже.................... 600</w:t>
      </w:r>
    </w:p>
    <w:p w14:paraId="6BD74D81"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в г. Горьком ....................................... 500</w:t>
      </w:r>
    </w:p>
    <w:p w14:paraId="3DC54BF8"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 400</w:t>
      </w:r>
    </w:p>
    <w:p w14:paraId="5500378B" w14:textId="77777777" w:rsidR="004146AC" w:rsidRPr="00925F26" w:rsidRDefault="004146AC" w:rsidP="00925F26">
      <w:pPr>
        <w:jc w:val="both"/>
        <w:rPr>
          <w:color w:val="000000" w:themeColor="text1"/>
          <w:sz w:val="16"/>
          <w:szCs w:val="16"/>
        </w:rPr>
      </w:pPr>
      <w:r w:rsidRPr="00925F26">
        <w:rPr>
          <w:color w:val="000000" w:themeColor="text1"/>
          <w:sz w:val="16"/>
          <w:szCs w:val="16"/>
        </w:rPr>
        <w:t>23. Наркомтоппром ............................................ 5500</w:t>
      </w:r>
      <w:r w:rsidRPr="00925F26">
        <w:rPr>
          <w:color w:val="000000" w:themeColor="text1"/>
          <w:sz w:val="16"/>
          <w:szCs w:val="16"/>
        </w:rPr>
        <w:tab/>
        <w:t>чел.</w:t>
      </w:r>
    </w:p>
    <w:p w14:paraId="045FB028"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5F5AE25" w14:textId="77777777" w:rsidR="004146AC" w:rsidRPr="00925F26" w:rsidRDefault="004146AC" w:rsidP="00925F26">
      <w:pPr>
        <w:jc w:val="both"/>
        <w:rPr>
          <w:color w:val="000000" w:themeColor="text1"/>
          <w:sz w:val="16"/>
          <w:szCs w:val="16"/>
        </w:rPr>
      </w:pPr>
      <w:r w:rsidRPr="00925F26">
        <w:rPr>
          <w:color w:val="000000" w:themeColor="text1"/>
          <w:sz w:val="16"/>
          <w:szCs w:val="16"/>
        </w:rPr>
        <w:t>Торфопредприятия в г. Риге .............................. 5000</w:t>
      </w:r>
      <w:r w:rsidRPr="00925F26">
        <w:rPr>
          <w:color w:val="000000" w:themeColor="text1"/>
          <w:sz w:val="16"/>
          <w:szCs w:val="16"/>
        </w:rPr>
        <w:tab/>
        <w:t>чел.</w:t>
      </w:r>
    </w:p>
    <w:p w14:paraId="1D26A373" w14:textId="77777777" w:rsidR="004146AC" w:rsidRPr="00925F26" w:rsidRDefault="004146AC" w:rsidP="00925F26">
      <w:pPr>
        <w:jc w:val="both"/>
        <w:rPr>
          <w:color w:val="000000" w:themeColor="text1"/>
          <w:sz w:val="16"/>
          <w:szCs w:val="16"/>
        </w:rPr>
      </w:pPr>
      <w:r w:rsidRPr="00925F26">
        <w:rPr>
          <w:color w:val="000000" w:themeColor="text1"/>
          <w:sz w:val="16"/>
          <w:szCs w:val="16"/>
        </w:rPr>
        <w:t>Торфозавод в г. Бобруйске ................................ 500</w:t>
      </w:r>
    </w:p>
    <w:p w14:paraId="6E593CBB" w14:textId="77777777" w:rsidR="004146AC" w:rsidRPr="00925F26" w:rsidRDefault="004146AC" w:rsidP="00925F26">
      <w:pPr>
        <w:jc w:val="both"/>
        <w:rPr>
          <w:color w:val="000000" w:themeColor="text1"/>
          <w:sz w:val="16"/>
          <w:szCs w:val="16"/>
        </w:rPr>
      </w:pPr>
      <w:r w:rsidRPr="00925F26">
        <w:rPr>
          <w:color w:val="000000" w:themeColor="text1"/>
          <w:sz w:val="16"/>
          <w:szCs w:val="16"/>
        </w:rPr>
        <w:t>24. Наркомтекстильпром ....................................... 4000</w:t>
      </w:r>
      <w:r w:rsidRPr="00925F26">
        <w:rPr>
          <w:color w:val="000000" w:themeColor="text1"/>
          <w:sz w:val="16"/>
          <w:szCs w:val="16"/>
        </w:rPr>
        <w:tab/>
        <w:t>чел.</w:t>
      </w:r>
    </w:p>
    <w:p w14:paraId="707BB67C"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5514AA42" w14:textId="77777777" w:rsidR="004146AC" w:rsidRPr="00925F26" w:rsidRDefault="004146AC" w:rsidP="00925F26">
      <w:pPr>
        <w:jc w:val="both"/>
        <w:rPr>
          <w:color w:val="000000" w:themeColor="text1"/>
          <w:sz w:val="16"/>
          <w:szCs w:val="16"/>
        </w:rPr>
      </w:pPr>
      <w:r w:rsidRPr="00925F26">
        <w:rPr>
          <w:color w:val="000000" w:themeColor="text1"/>
          <w:sz w:val="16"/>
          <w:szCs w:val="16"/>
        </w:rPr>
        <w:t>Текстильный комбинат в Вышнем Волочке ................... 2000</w:t>
      </w:r>
      <w:r w:rsidRPr="00925F26">
        <w:rPr>
          <w:color w:val="000000" w:themeColor="text1"/>
          <w:sz w:val="16"/>
          <w:szCs w:val="16"/>
        </w:rPr>
        <w:tab/>
        <w:t>чел.</w:t>
      </w:r>
    </w:p>
    <w:p w14:paraId="14D47F85"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512 в г. Киеве ................................... 500</w:t>
      </w:r>
    </w:p>
    <w:p w14:paraId="372CC71E" w14:textId="77777777" w:rsidR="004146AC" w:rsidRPr="00925F26" w:rsidRDefault="004146AC" w:rsidP="00925F26">
      <w:pPr>
        <w:jc w:val="both"/>
        <w:rPr>
          <w:color w:val="000000" w:themeColor="text1"/>
          <w:sz w:val="16"/>
          <w:szCs w:val="16"/>
        </w:rPr>
      </w:pPr>
      <w:r w:rsidRPr="00925F26">
        <w:rPr>
          <w:color w:val="000000" w:themeColor="text1"/>
          <w:sz w:val="16"/>
          <w:szCs w:val="16"/>
        </w:rPr>
        <w:t>Хлопкотрест в Андижане.................................... 500</w:t>
      </w:r>
    </w:p>
    <w:p w14:paraId="4BDF8D69" w14:textId="77777777" w:rsidR="004146AC" w:rsidRPr="00925F26" w:rsidRDefault="004146AC" w:rsidP="00925F26">
      <w:pPr>
        <w:jc w:val="both"/>
        <w:rPr>
          <w:color w:val="000000" w:themeColor="text1"/>
          <w:sz w:val="16"/>
          <w:szCs w:val="16"/>
        </w:rPr>
      </w:pPr>
      <w:r w:rsidRPr="00925F26">
        <w:rPr>
          <w:color w:val="000000" w:themeColor="text1"/>
          <w:sz w:val="16"/>
          <w:szCs w:val="16"/>
        </w:rPr>
        <w:t>Фабрика в Раде........................................... 400</w:t>
      </w:r>
    </w:p>
    <w:p w14:paraId="5A40C1DF"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 600</w:t>
      </w:r>
    </w:p>
    <w:p w14:paraId="015A61DB" w14:textId="77777777" w:rsidR="004146AC" w:rsidRPr="00925F26" w:rsidRDefault="004146AC" w:rsidP="00925F26">
      <w:pPr>
        <w:jc w:val="both"/>
        <w:rPr>
          <w:color w:val="000000" w:themeColor="text1"/>
          <w:sz w:val="16"/>
          <w:szCs w:val="16"/>
        </w:rPr>
      </w:pPr>
      <w:r w:rsidRPr="00925F26">
        <w:rPr>
          <w:color w:val="000000" w:themeColor="text1"/>
          <w:sz w:val="16"/>
          <w:szCs w:val="16"/>
        </w:rPr>
        <w:t>25. Наркомгражданжилстрой УССР .............................. 4400</w:t>
      </w:r>
    </w:p>
    <w:p w14:paraId="0368B9DF"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3AF530A" w14:textId="77777777" w:rsidR="004146AC" w:rsidRPr="00925F26" w:rsidRDefault="004146AC" w:rsidP="00925F26">
      <w:pPr>
        <w:jc w:val="both"/>
        <w:rPr>
          <w:color w:val="000000" w:themeColor="text1"/>
          <w:sz w:val="16"/>
          <w:szCs w:val="16"/>
        </w:rPr>
      </w:pPr>
      <w:r w:rsidRPr="00925F26">
        <w:rPr>
          <w:color w:val="000000" w:themeColor="text1"/>
          <w:sz w:val="16"/>
          <w:szCs w:val="16"/>
        </w:rPr>
        <w:t>Крещатикстрой .......................................... 4400</w:t>
      </w:r>
    </w:p>
    <w:p w14:paraId="5811805B" w14:textId="77777777" w:rsidR="004146AC" w:rsidRPr="00925F26" w:rsidRDefault="004146AC" w:rsidP="00925F26">
      <w:pPr>
        <w:jc w:val="both"/>
        <w:rPr>
          <w:color w:val="000000" w:themeColor="text1"/>
          <w:sz w:val="16"/>
          <w:szCs w:val="16"/>
        </w:rPr>
      </w:pPr>
      <w:r w:rsidRPr="00925F26">
        <w:rPr>
          <w:color w:val="000000" w:themeColor="text1"/>
          <w:sz w:val="16"/>
          <w:szCs w:val="16"/>
        </w:rPr>
        <w:t>26. Наркомпищепром .......................................... 4000</w:t>
      </w:r>
    </w:p>
    <w:p w14:paraId="3275F5DB"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7265A161" w14:textId="77777777" w:rsidR="004146AC" w:rsidRPr="00925F26" w:rsidRDefault="004146AC" w:rsidP="00925F26">
      <w:pPr>
        <w:jc w:val="both"/>
        <w:rPr>
          <w:color w:val="000000" w:themeColor="text1"/>
          <w:sz w:val="16"/>
          <w:szCs w:val="16"/>
        </w:rPr>
      </w:pPr>
      <w:r w:rsidRPr="00925F26">
        <w:rPr>
          <w:color w:val="000000" w:themeColor="text1"/>
          <w:sz w:val="16"/>
          <w:szCs w:val="16"/>
        </w:rPr>
        <w:t>Амалинский сахарный завод Армения ...................... 1000</w:t>
      </w:r>
    </w:p>
    <w:p w14:paraId="3FED09BD" w14:textId="77777777" w:rsidR="004146AC" w:rsidRPr="00925F26" w:rsidRDefault="004146AC" w:rsidP="00925F26">
      <w:pPr>
        <w:jc w:val="both"/>
        <w:rPr>
          <w:color w:val="000000" w:themeColor="text1"/>
          <w:sz w:val="16"/>
          <w:szCs w:val="16"/>
        </w:rPr>
      </w:pPr>
      <w:r w:rsidRPr="00925F26">
        <w:rPr>
          <w:color w:val="000000" w:themeColor="text1"/>
          <w:sz w:val="16"/>
          <w:szCs w:val="16"/>
        </w:rPr>
        <w:t>Сахарный завод в Курске................................. 1400</w:t>
      </w:r>
    </w:p>
    <w:p w14:paraId="039B691C" w14:textId="77777777" w:rsidR="004146AC" w:rsidRPr="00925F26" w:rsidRDefault="004146AC" w:rsidP="00925F26">
      <w:pPr>
        <w:jc w:val="both"/>
        <w:rPr>
          <w:color w:val="000000" w:themeColor="text1"/>
          <w:sz w:val="16"/>
          <w:szCs w:val="16"/>
        </w:rPr>
      </w:pPr>
      <w:r w:rsidRPr="00925F26">
        <w:rPr>
          <w:color w:val="000000" w:themeColor="text1"/>
          <w:sz w:val="16"/>
          <w:szCs w:val="16"/>
        </w:rPr>
        <w:t>Мясохладпром в г. Киеве ................................. 500</w:t>
      </w:r>
    </w:p>
    <w:p w14:paraId="7C1C1BA7" w14:textId="77777777" w:rsidR="004146AC" w:rsidRPr="00925F26" w:rsidRDefault="004146AC" w:rsidP="00925F26">
      <w:pPr>
        <w:jc w:val="both"/>
        <w:rPr>
          <w:color w:val="000000" w:themeColor="text1"/>
          <w:sz w:val="16"/>
          <w:szCs w:val="16"/>
        </w:rPr>
      </w:pPr>
      <w:r w:rsidRPr="00925F26">
        <w:rPr>
          <w:color w:val="000000" w:themeColor="text1"/>
          <w:sz w:val="16"/>
          <w:szCs w:val="16"/>
        </w:rPr>
        <w:t xml:space="preserve">Прочие работы (Калуга, Запорожье, Рада, </w:t>
      </w:r>
      <w:proofErr w:type="gramStart"/>
      <w:r w:rsidRPr="00925F26">
        <w:rPr>
          <w:color w:val="000000" w:themeColor="text1"/>
          <w:sz w:val="16"/>
          <w:szCs w:val="16"/>
        </w:rPr>
        <w:t>Лебедянь).......</w:t>
      </w:r>
      <w:proofErr w:type="gramEnd"/>
      <w:r w:rsidRPr="00925F26">
        <w:rPr>
          <w:color w:val="000000" w:themeColor="text1"/>
          <w:sz w:val="16"/>
          <w:szCs w:val="16"/>
        </w:rPr>
        <w:t xml:space="preserve"> 1100</w:t>
      </w:r>
    </w:p>
    <w:p w14:paraId="5D5DD69E" w14:textId="77777777" w:rsidR="004146AC" w:rsidRPr="00925F26" w:rsidRDefault="004146AC" w:rsidP="00925F26">
      <w:pPr>
        <w:jc w:val="both"/>
        <w:rPr>
          <w:color w:val="000000" w:themeColor="text1"/>
          <w:sz w:val="16"/>
          <w:szCs w:val="16"/>
        </w:rPr>
      </w:pPr>
      <w:r w:rsidRPr="00925F26">
        <w:rPr>
          <w:color w:val="000000" w:themeColor="text1"/>
          <w:sz w:val="16"/>
          <w:szCs w:val="16"/>
        </w:rPr>
        <w:t>27. Наркомсовхозов .......................................... 4000</w:t>
      </w:r>
    </w:p>
    <w:p w14:paraId="73FF5C76" w14:textId="77777777" w:rsidR="004146AC" w:rsidRPr="00925F26" w:rsidRDefault="004146AC" w:rsidP="00925F26">
      <w:pPr>
        <w:jc w:val="both"/>
        <w:rPr>
          <w:color w:val="000000" w:themeColor="text1"/>
          <w:sz w:val="16"/>
          <w:szCs w:val="16"/>
        </w:rPr>
      </w:pPr>
      <w:r w:rsidRPr="00925F26">
        <w:rPr>
          <w:color w:val="000000" w:themeColor="text1"/>
          <w:sz w:val="16"/>
          <w:szCs w:val="16"/>
        </w:rPr>
        <w:lastRenderedPageBreak/>
        <w:t>Из них:</w:t>
      </w:r>
    </w:p>
    <w:p w14:paraId="268B1EBE" w14:textId="77777777" w:rsidR="004146AC" w:rsidRPr="00925F26" w:rsidRDefault="004146AC" w:rsidP="00925F26">
      <w:pPr>
        <w:jc w:val="both"/>
        <w:rPr>
          <w:color w:val="000000" w:themeColor="text1"/>
          <w:sz w:val="16"/>
          <w:szCs w:val="16"/>
        </w:rPr>
      </w:pPr>
      <w:r w:rsidRPr="00925F26">
        <w:rPr>
          <w:color w:val="000000" w:themeColor="text1"/>
          <w:sz w:val="16"/>
          <w:szCs w:val="16"/>
        </w:rPr>
        <w:t>Совхоз Пахта-Арал ...................................... 3500</w:t>
      </w:r>
    </w:p>
    <w:p w14:paraId="42272CE0" w14:textId="77777777" w:rsidR="004146AC" w:rsidRPr="00925F26" w:rsidRDefault="004146AC" w:rsidP="00925F26">
      <w:pPr>
        <w:jc w:val="both"/>
        <w:rPr>
          <w:color w:val="000000" w:themeColor="text1"/>
          <w:sz w:val="16"/>
          <w:szCs w:val="16"/>
        </w:rPr>
      </w:pPr>
      <w:r w:rsidRPr="00925F26">
        <w:rPr>
          <w:color w:val="000000" w:themeColor="text1"/>
          <w:sz w:val="16"/>
          <w:szCs w:val="16"/>
        </w:rPr>
        <w:t>Семеновский совхоз ...................................... 500</w:t>
      </w:r>
    </w:p>
    <w:p w14:paraId="73F15CA5" w14:textId="77777777" w:rsidR="004146AC" w:rsidRPr="00925F26" w:rsidRDefault="004146AC" w:rsidP="00925F26">
      <w:pPr>
        <w:jc w:val="both"/>
        <w:rPr>
          <w:color w:val="000000" w:themeColor="text1"/>
          <w:sz w:val="16"/>
          <w:szCs w:val="16"/>
        </w:rPr>
      </w:pPr>
      <w:r w:rsidRPr="00925F26">
        <w:rPr>
          <w:color w:val="000000" w:themeColor="text1"/>
          <w:sz w:val="16"/>
          <w:szCs w:val="16"/>
        </w:rPr>
        <w:t>28. Наркомсудпром ........................................... 3300</w:t>
      </w:r>
    </w:p>
    <w:p w14:paraId="0D7C2CE4"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FD2DF8C"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340 в Зеленодольске ............................ 2300</w:t>
      </w:r>
    </w:p>
    <w:p w14:paraId="07D6EAF5"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 532 в Крыму..................................... 1000</w:t>
      </w:r>
    </w:p>
    <w:p w14:paraId="5B007E76" w14:textId="77777777" w:rsidR="004146AC" w:rsidRPr="00925F26" w:rsidRDefault="004146AC" w:rsidP="00925F26">
      <w:pPr>
        <w:jc w:val="both"/>
        <w:rPr>
          <w:color w:val="000000" w:themeColor="text1"/>
          <w:sz w:val="16"/>
          <w:szCs w:val="16"/>
        </w:rPr>
      </w:pPr>
      <w:r w:rsidRPr="00925F26">
        <w:rPr>
          <w:color w:val="000000" w:themeColor="text1"/>
          <w:sz w:val="16"/>
          <w:szCs w:val="16"/>
        </w:rPr>
        <w:t>29. Наркомречфлот............................................ 3800</w:t>
      </w:r>
    </w:p>
    <w:p w14:paraId="3D005D51"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5208CE35" w14:textId="77777777" w:rsidR="004146AC" w:rsidRPr="00925F26" w:rsidRDefault="004146AC" w:rsidP="00925F26">
      <w:pPr>
        <w:jc w:val="both"/>
        <w:rPr>
          <w:color w:val="000000" w:themeColor="text1"/>
          <w:sz w:val="16"/>
          <w:szCs w:val="16"/>
        </w:rPr>
      </w:pPr>
      <w:r w:rsidRPr="00925F26">
        <w:rPr>
          <w:color w:val="000000" w:themeColor="text1"/>
          <w:sz w:val="16"/>
          <w:szCs w:val="16"/>
        </w:rPr>
        <w:t>Астраханречстрой ....................................... 2800</w:t>
      </w:r>
    </w:p>
    <w:p w14:paraId="36DBA2AB" w14:textId="77777777" w:rsidR="004146AC" w:rsidRPr="00925F26" w:rsidRDefault="004146AC" w:rsidP="00925F26">
      <w:pPr>
        <w:jc w:val="both"/>
        <w:rPr>
          <w:color w:val="000000" w:themeColor="text1"/>
          <w:sz w:val="16"/>
          <w:szCs w:val="16"/>
        </w:rPr>
      </w:pPr>
      <w:r w:rsidRPr="00925F26">
        <w:rPr>
          <w:color w:val="000000" w:themeColor="text1"/>
          <w:sz w:val="16"/>
          <w:szCs w:val="16"/>
        </w:rPr>
        <w:t>Судоверфь им. Кирова в г. Астрахани ..................... 800</w:t>
      </w:r>
    </w:p>
    <w:p w14:paraId="22FC44AD"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 200</w:t>
      </w:r>
    </w:p>
    <w:p w14:paraId="42E3706C" w14:textId="77777777" w:rsidR="004146AC" w:rsidRPr="00925F26" w:rsidRDefault="004146AC" w:rsidP="00925F26">
      <w:pPr>
        <w:jc w:val="both"/>
        <w:rPr>
          <w:color w:val="000000" w:themeColor="text1"/>
          <w:sz w:val="16"/>
          <w:szCs w:val="16"/>
        </w:rPr>
      </w:pPr>
      <w:r w:rsidRPr="00925F26">
        <w:rPr>
          <w:color w:val="000000" w:themeColor="text1"/>
          <w:sz w:val="16"/>
          <w:szCs w:val="16"/>
        </w:rPr>
        <w:t>30. Наркомлегпром ........................................... 2600</w:t>
      </w:r>
    </w:p>
    <w:p w14:paraId="2A5CB554"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41A5260A" w14:textId="77777777" w:rsidR="004146AC" w:rsidRPr="00925F26" w:rsidRDefault="004146AC" w:rsidP="00925F26">
      <w:pPr>
        <w:jc w:val="both"/>
        <w:rPr>
          <w:color w:val="000000" w:themeColor="text1"/>
          <w:sz w:val="16"/>
          <w:szCs w:val="16"/>
        </w:rPr>
      </w:pPr>
      <w:r w:rsidRPr="00925F26">
        <w:rPr>
          <w:color w:val="000000" w:themeColor="text1"/>
          <w:sz w:val="16"/>
          <w:szCs w:val="16"/>
        </w:rPr>
        <w:t>Мехкомбинат в г. Казани ................................ 1100</w:t>
      </w:r>
    </w:p>
    <w:p w14:paraId="77B13541" w14:textId="77777777" w:rsidR="004146AC" w:rsidRPr="00925F26" w:rsidRDefault="004146AC" w:rsidP="00925F26">
      <w:pPr>
        <w:jc w:val="both"/>
        <w:rPr>
          <w:color w:val="000000" w:themeColor="text1"/>
          <w:sz w:val="16"/>
          <w:szCs w:val="16"/>
        </w:rPr>
      </w:pPr>
      <w:r w:rsidRPr="00925F26">
        <w:rPr>
          <w:color w:val="000000" w:themeColor="text1"/>
          <w:sz w:val="16"/>
          <w:szCs w:val="16"/>
        </w:rPr>
        <w:t>Кожзавод в Осташкове .................................... 400</w:t>
      </w:r>
    </w:p>
    <w:p w14:paraId="645506D5"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«Пионер» в Вольске ................................ 400</w:t>
      </w:r>
    </w:p>
    <w:p w14:paraId="2CF3FBE9" w14:textId="77777777" w:rsidR="004146AC" w:rsidRPr="00925F26" w:rsidRDefault="004146AC" w:rsidP="00925F26">
      <w:pPr>
        <w:jc w:val="both"/>
        <w:rPr>
          <w:color w:val="000000" w:themeColor="text1"/>
          <w:sz w:val="16"/>
          <w:szCs w:val="16"/>
        </w:rPr>
      </w:pPr>
      <w:r w:rsidRPr="00925F26">
        <w:rPr>
          <w:color w:val="000000" w:themeColor="text1"/>
          <w:sz w:val="16"/>
          <w:szCs w:val="16"/>
        </w:rPr>
        <w:t>Предприятия в Орше ...................................... 700</w:t>
      </w:r>
    </w:p>
    <w:p w14:paraId="2713EE04" w14:textId="77777777" w:rsidR="004146AC" w:rsidRPr="00925F26" w:rsidRDefault="004146AC" w:rsidP="00925F26">
      <w:pPr>
        <w:jc w:val="both"/>
        <w:rPr>
          <w:color w:val="000000" w:themeColor="text1"/>
          <w:sz w:val="16"/>
          <w:szCs w:val="16"/>
        </w:rPr>
      </w:pPr>
      <w:r w:rsidRPr="00925F26">
        <w:rPr>
          <w:color w:val="000000" w:themeColor="text1"/>
          <w:sz w:val="16"/>
          <w:szCs w:val="16"/>
        </w:rPr>
        <w:t>31. Наркомат минометного вооружения ......................... 1600</w:t>
      </w:r>
    </w:p>
    <w:p w14:paraId="429ED729"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2B11337"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в Прилуках ........................................ 800</w:t>
      </w:r>
    </w:p>
    <w:p w14:paraId="3E3AFE38" w14:textId="77777777" w:rsidR="004146AC" w:rsidRPr="00925F26" w:rsidRDefault="004146AC" w:rsidP="00925F26">
      <w:pPr>
        <w:jc w:val="both"/>
        <w:rPr>
          <w:color w:val="000000" w:themeColor="text1"/>
          <w:sz w:val="16"/>
          <w:szCs w:val="16"/>
        </w:rPr>
      </w:pPr>
      <w:r w:rsidRPr="00925F26">
        <w:rPr>
          <w:color w:val="000000" w:themeColor="text1"/>
          <w:sz w:val="16"/>
          <w:szCs w:val="16"/>
        </w:rPr>
        <w:t>Завод в Рязани .......................................... 600</w:t>
      </w:r>
    </w:p>
    <w:p w14:paraId="783790FE" w14:textId="77777777" w:rsidR="004146AC" w:rsidRPr="00925F26" w:rsidRDefault="004146AC" w:rsidP="00925F26">
      <w:pPr>
        <w:jc w:val="both"/>
        <w:rPr>
          <w:color w:val="000000" w:themeColor="text1"/>
          <w:sz w:val="16"/>
          <w:szCs w:val="16"/>
        </w:rPr>
      </w:pPr>
      <w:r w:rsidRPr="00925F26">
        <w:rPr>
          <w:color w:val="000000" w:themeColor="text1"/>
          <w:sz w:val="16"/>
          <w:szCs w:val="16"/>
        </w:rPr>
        <w:t>Прочие работы ........................................... 200</w:t>
      </w:r>
    </w:p>
    <w:p w14:paraId="06C25AA3" w14:textId="77777777" w:rsidR="004146AC" w:rsidRPr="00925F26" w:rsidRDefault="004146AC" w:rsidP="00925F26">
      <w:pPr>
        <w:jc w:val="both"/>
        <w:rPr>
          <w:color w:val="000000" w:themeColor="text1"/>
          <w:sz w:val="16"/>
          <w:szCs w:val="16"/>
        </w:rPr>
      </w:pPr>
      <w:r w:rsidRPr="00925F26">
        <w:rPr>
          <w:color w:val="000000" w:themeColor="text1"/>
          <w:sz w:val="16"/>
          <w:szCs w:val="16"/>
        </w:rPr>
        <w:t>32. Наркомсредмаш ........................................... 1500</w:t>
      </w:r>
    </w:p>
    <w:p w14:paraId="691BC427" w14:textId="77777777" w:rsidR="004146AC" w:rsidRPr="00925F26" w:rsidRDefault="004146AC" w:rsidP="00925F26">
      <w:pPr>
        <w:jc w:val="both"/>
        <w:rPr>
          <w:color w:val="000000" w:themeColor="text1"/>
          <w:sz w:val="16"/>
          <w:szCs w:val="16"/>
        </w:rPr>
      </w:pPr>
      <w:r w:rsidRPr="00925F26">
        <w:rPr>
          <w:color w:val="000000" w:themeColor="text1"/>
          <w:sz w:val="16"/>
          <w:szCs w:val="16"/>
        </w:rPr>
        <w:t>Из них:</w:t>
      </w:r>
    </w:p>
    <w:p w14:paraId="6940FB0F" w14:textId="77777777" w:rsidR="004146AC" w:rsidRPr="00925F26" w:rsidRDefault="004146AC" w:rsidP="00925F26">
      <w:pPr>
        <w:jc w:val="both"/>
        <w:rPr>
          <w:color w:val="000000" w:themeColor="text1"/>
          <w:sz w:val="16"/>
          <w:szCs w:val="16"/>
        </w:rPr>
      </w:pPr>
      <w:r w:rsidRPr="00925F26">
        <w:rPr>
          <w:color w:val="000000" w:themeColor="text1"/>
          <w:sz w:val="16"/>
          <w:szCs w:val="16"/>
        </w:rPr>
        <w:t>Владимирский тракторный завод .......................... 1000</w:t>
      </w:r>
    </w:p>
    <w:p w14:paraId="7CEC680E" w14:textId="77777777" w:rsidR="004146AC" w:rsidRPr="00925F26" w:rsidRDefault="004146AC" w:rsidP="00925F26">
      <w:pPr>
        <w:jc w:val="both"/>
        <w:rPr>
          <w:color w:val="000000" w:themeColor="text1"/>
          <w:sz w:val="16"/>
          <w:szCs w:val="16"/>
        </w:rPr>
      </w:pPr>
      <w:r w:rsidRPr="00925F26">
        <w:rPr>
          <w:color w:val="000000" w:themeColor="text1"/>
          <w:sz w:val="16"/>
          <w:szCs w:val="16"/>
        </w:rPr>
        <w:t>Подшипниковский з[аво]д в Саратове ...................... 500</w:t>
      </w:r>
    </w:p>
    <w:p w14:paraId="1460D9B9" w14:textId="77777777" w:rsidR="004146AC" w:rsidRPr="00925F26" w:rsidRDefault="004146AC" w:rsidP="00925F26">
      <w:pPr>
        <w:jc w:val="both"/>
        <w:rPr>
          <w:color w:val="000000" w:themeColor="text1"/>
          <w:sz w:val="16"/>
          <w:szCs w:val="16"/>
        </w:rPr>
      </w:pPr>
      <w:r w:rsidRPr="00925F26">
        <w:rPr>
          <w:color w:val="000000" w:themeColor="text1"/>
          <w:sz w:val="16"/>
          <w:szCs w:val="16"/>
        </w:rPr>
        <w:t>33. Разные наркоматы и хозорганы (Наркомэлектропром, Наркомместпром, Наркомместтоппром, Главные управления при СНК и др.) ....................... 15 000</w:t>
      </w:r>
    </w:p>
    <w:p w14:paraId="628D52C4" w14:textId="77777777" w:rsidR="004146AC" w:rsidRPr="00925F26" w:rsidRDefault="004146AC" w:rsidP="00925F26">
      <w:pPr>
        <w:jc w:val="both"/>
        <w:rPr>
          <w:color w:val="000000" w:themeColor="text1"/>
          <w:sz w:val="16"/>
          <w:szCs w:val="16"/>
        </w:rPr>
      </w:pPr>
      <w:r w:rsidRPr="00925F26">
        <w:rPr>
          <w:color w:val="000000" w:themeColor="text1"/>
          <w:sz w:val="16"/>
          <w:szCs w:val="16"/>
        </w:rPr>
        <w:t>! ГА РФ. Ф. 9401, оп. 1, д. 2227, л. 31-42. Подлинник.</w:t>
      </w:r>
    </w:p>
    <w:p w14:paraId="62AD0AC2" w14:textId="77777777" w:rsidR="004146AC" w:rsidRPr="00925F26" w:rsidRDefault="004146AC" w:rsidP="00925F26">
      <w:pPr>
        <w:jc w:val="both"/>
        <w:rPr>
          <w:color w:val="000000" w:themeColor="text1"/>
          <w:sz w:val="16"/>
          <w:szCs w:val="16"/>
        </w:rPr>
      </w:pPr>
      <w:r w:rsidRPr="00925F26">
        <w:rPr>
          <w:color w:val="000000" w:themeColor="text1"/>
          <w:sz w:val="16"/>
          <w:szCs w:val="16"/>
        </w:rPr>
        <w:t>Начальник ГУПВИ НКВД СССР генерал-лейтенант (24934).</w:t>
      </w:r>
    </w:p>
    <w:p w14:paraId="2382A159" w14:textId="77777777" w:rsidR="004146AC" w:rsidRPr="00925F26" w:rsidRDefault="004146AC" w:rsidP="00925F26">
      <w:pPr>
        <w:jc w:val="both"/>
        <w:rPr>
          <w:color w:val="000000" w:themeColor="text1"/>
          <w:sz w:val="16"/>
          <w:szCs w:val="16"/>
        </w:rPr>
      </w:pPr>
    </w:p>
    <w:p w14:paraId="2E230630" w14:textId="77777777" w:rsidR="00007B5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0B132FC" w14:textId="77777777" w:rsidR="00007B5B" w:rsidRPr="00925F26" w:rsidRDefault="00007B5B" w:rsidP="00925F26">
      <w:pPr>
        <w:autoSpaceDE w:val="0"/>
        <w:autoSpaceDN w:val="0"/>
        <w:adjustRightInd w:val="0"/>
        <w:jc w:val="both"/>
        <w:rPr>
          <w:iCs/>
          <w:color w:val="000000" w:themeColor="text1"/>
          <w:sz w:val="16"/>
          <w:szCs w:val="16"/>
        </w:rPr>
      </w:pPr>
    </w:p>
    <w:p w14:paraId="78FDB553" w14:textId="77777777" w:rsidR="00007B5B" w:rsidRPr="00925F26" w:rsidRDefault="00007B5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 19 мая (1945)</w:t>
      </w:r>
      <w:r w:rsidRPr="00925F26">
        <w:rPr>
          <w:bCs/>
          <w:color w:val="000000" w:themeColor="text1"/>
          <w:sz w:val="16"/>
          <w:szCs w:val="16"/>
        </w:rPr>
        <w:t xml:space="preserve"> около 8 тыс. власовцев маршевой колонной с сохранением батальонно-ротной организации погнали на восток. При этом конвоирами беспощадно отбирались все мало-мальски ценные вещи, продукты питания и медикаменты, власовцы избивались пьяными красноармейцами и командирами Красной армии, периодически устраивались расстрелы «землячков» (17459).</w:t>
      </w:r>
    </w:p>
    <w:p w14:paraId="382231CE" w14:textId="77777777" w:rsidR="00007B5B" w:rsidRPr="00925F26" w:rsidRDefault="00007B5B" w:rsidP="00925F26">
      <w:pPr>
        <w:tabs>
          <w:tab w:val="left" w:pos="11199"/>
        </w:tabs>
        <w:autoSpaceDE w:val="0"/>
        <w:autoSpaceDN w:val="0"/>
        <w:adjustRightInd w:val="0"/>
        <w:jc w:val="both"/>
        <w:rPr>
          <w:color w:val="000000" w:themeColor="text1"/>
          <w:sz w:val="16"/>
          <w:szCs w:val="16"/>
        </w:rPr>
      </w:pPr>
    </w:p>
    <w:p w14:paraId="12DD8108" w14:textId="77777777" w:rsidR="00FC5427"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6ABD789" w14:textId="77777777" w:rsidR="00FC5427" w:rsidRPr="00925F26" w:rsidRDefault="00FC5427" w:rsidP="00925F26">
      <w:pPr>
        <w:autoSpaceDE w:val="0"/>
        <w:autoSpaceDN w:val="0"/>
        <w:adjustRightInd w:val="0"/>
        <w:jc w:val="both"/>
        <w:rPr>
          <w:iCs/>
          <w:color w:val="000000" w:themeColor="text1"/>
          <w:sz w:val="16"/>
          <w:szCs w:val="16"/>
        </w:rPr>
      </w:pPr>
    </w:p>
    <w:p w14:paraId="1978957D" w14:textId="77777777" w:rsidR="00FC5427" w:rsidRPr="00925F26" w:rsidRDefault="00FC5427" w:rsidP="00925F26">
      <w:pPr>
        <w:shd w:val="clear" w:color="auto" w:fill="FFFFFF"/>
        <w:jc w:val="both"/>
        <w:rPr>
          <w:color w:val="000000" w:themeColor="text1"/>
          <w:sz w:val="16"/>
          <w:szCs w:val="16"/>
        </w:rPr>
      </w:pPr>
      <w:r w:rsidRPr="00925F26">
        <w:rPr>
          <w:color w:val="000000" w:themeColor="text1"/>
          <w:sz w:val="16"/>
          <w:szCs w:val="16"/>
        </w:rPr>
        <w:t>18 мая 1945 года</w:t>
      </w:r>
      <w:r w:rsidRPr="00925F26">
        <w:rPr>
          <w:bCs/>
          <w:color w:val="000000" w:themeColor="text1"/>
          <w:sz w:val="16"/>
          <w:szCs w:val="16"/>
        </w:rPr>
        <w:t xml:space="preserve"> (</w:t>
      </w:r>
      <w:r w:rsidRPr="00925F26">
        <w:rPr>
          <w:bCs/>
          <w:iCs/>
          <w:color w:val="000000" w:themeColor="text1"/>
          <w:sz w:val="16"/>
          <w:szCs w:val="16"/>
        </w:rPr>
        <w:t>Елена Ржевская «Берлин, май 1945: Записки военного переводчика»):</w:t>
      </w:r>
    </w:p>
    <w:p w14:paraId="420B9368" w14:textId="77777777" w:rsidR="00FC5427" w:rsidRPr="00925F26" w:rsidRDefault="00FC5427" w:rsidP="00925F26">
      <w:pPr>
        <w:shd w:val="clear" w:color="auto" w:fill="FFFFFF"/>
        <w:jc w:val="both"/>
        <w:rPr>
          <w:color w:val="000000" w:themeColor="text1"/>
          <w:sz w:val="16"/>
          <w:szCs w:val="16"/>
        </w:rPr>
      </w:pPr>
      <w:r w:rsidRPr="00925F26">
        <w:rPr>
          <w:bCs/>
          <w:color w:val="000000" w:themeColor="text1"/>
          <w:sz w:val="16"/>
          <w:szCs w:val="16"/>
        </w:rPr>
        <w:t>…к этому времени мы передислоцировались в небольшой городок неподалеку от Берлина – сюда прибыл из Москвы присланный Ставкой генерал, чтобы проверить на месте все данные о самоубийстве Гитлера и с личным докладом вернуться в Ставку. Началось переосвидетельствование. Заново опрашивались все главные свидетели. Я переводила. Генерал все изучал, задавал вопросы, внимательно слушал. Протоколы не подписывал, но в перерывах по аппарату ВЧ передавал в Ставку слово за словом текст протокола. На исходе второго дня этого ответственного расследования – кульминация. Представьте себе: маленький городок, мягкое освещение предвечернего часа. И странную процессию, двинувшуюся к окраинной черте города. На окраине, в реденьком леске в комендантский час, когда можно было не опасаться соглядатаев из здешних горожан, были преданы земле перевезенные из Буха ящики с останками и скрытно выставлен круглосуточный пост. Майор Быстров шел впереди, указывая путь. За ним – генерал – Верховная инспекция, так сказать. Это его глазами, доверенного лица, решил Верховный Главнокомандующий удостовериться во всем досконально. Дальше – несколько человек военных. Затем – дантисты Гитлера: Кете Хойзерман и зубной техник Фриц Эхтман, эсэсовец из личной охраны фюрера – Гарри Менгерсхаузен и другие. Почти не переговариваясь, мы медленно идем, испытывая гнет предстоящего, от сближения с таинственным, чем всегда обозначена смерть. Наконец входим в лесок. Ящики уже извлечены из земли. Составляется снова акт. Все мы, присутствующие, немцы и советские военные, кроме генерала, подписываем его. Акт, составленный в присутствии его посланца, предназначен для Сталина. Материал расследования и неопровержимое доказательство смерти Гитлера – челюсти – вскоре были отправлены в Москву (17459).</w:t>
      </w:r>
    </w:p>
    <w:p w14:paraId="5122E30F" w14:textId="77777777" w:rsidR="00FC5427" w:rsidRPr="00925F26" w:rsidRDefault="00FC5427" w:rsidP="00925F26">
      <w:pPr>
        <w:autoSpaceDE w:val="0"/>
        <w:autoSpaceDN w:val="0"/>
        <w:adjustRightInd w:val="0"/>
        <w:jc w:val="both"/>
        <w:rPr>
          <w:color w:val="000000" w:themeColor="text1"/>
          <w:sz w:val="16"/>
          <w:szCs w:val="16"/>
        </w:rPr>
      </w:pPr>
    </w:p>
    <w:p w14:paraId="426D8DF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FEC1C8F" w14:textId="77777777" w:rsidR="00665165" w:rsidRPr="00925F26" w:rsidRDefault="00665165" w:rsidP="00925F26">
      <w:pPr>
        <w:autoSpaceDE w:val="0"/>
        <w:autoSpaceDN w:val="0"/>
        <w:adjustRightInd w:val="0"/>
        <w:jc w:val="both"/>
        <w:rPr>
          <w:iCs/>
          <w:color w:val="000000" w:themeColor="text1"/>
          <w:sz w:val="16"/>
          <w:szCs w:val="16"/>
        </w:rPr>
      </w:pPr>
    </w:p>
    <w:p w14:paraId="01300EA2" w14:textId="77777777" w:rsidR="00102C23" w:rsidRPr="00925F26" w:rsidRDefault="00102C23" w:rsidP="00925F26">
      <w:pPr>
        <w:jc w:val="both"/>
        <w:rPr>
          <w:color w:val="000000" w:themeColor="text1"/>
          <w:sz w:val="16"/>
          <w:szCs w:val="16"/>
        </w:rPr>
      </w:pPr>
      <w:r w:rsidRPr="00925F26">
        <w:rPr>
          <w:color w:val="000000" w:themeColor="text1"/>
          <w:sz w:val="16"/>
          <w:szCs w:val="16"/>
        </w:rPr>
        <w:t>18 мая 1945 на британском авианосце случился случайный пожар в ангаре. Корсар ударил Avenger, который взрывается, вызывая пожар, уничтожающий 28 самолетов (20371).</w:t>
      </w:r>
    </w:p>
    <w:p w14:paraId="2BAE0218" w14:textId="77777777" w:rsidR="00102C23" w:rsidRPr="00925F26" w:rsidRDefault="00102C23" w:rsidP="00925F26">
      <w:pPr>
        <w:jc w:val="both"/>
        <w:rPr>
          <w:color w:val="000000" w:themeColor="text1"/>
          <w:sz w:val="16"/>
          <w:szCs w:val="16"/>
        </w:rPr>
      </w:pPr>
    </w:p>
    <w:p w14:paraId="2010A65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мая 1945 немецкий адмирал Дениц издал декрет, в котором заявил о непричастности германской армии к зверствам в концлагерях (4962).</w:t>
      </w:r>
    </w:p>
    <w:p w14:paraId="39CB26E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1A08C6A" w14:textId="77777777" w:rsidR="00007B5B" w:rsidRPr="00925F26" w:rsidRDefault="00007B5B"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мая 1945 г. в Прагу из изгнания вернулся президент Чехословакии Эдуард Бенеш. На следующий день 19 мая 1945 г. он декретом президента национализировал собственность немецких и венгерских компаний, а также собственность чехословацких предпринимателей, сотрудничавших с немцами (17459).</w:t>
      </w:r>
    </w:p>
    <w:p w14:paraId="47379B32" w14:textId="77777777" w:rsidR="00007B5B" w:rsidRPr="00925F26" w:rsidRDefault="00007B5B" w:rsidP="00925F26">
      <w:pPr>
        <w:tabs>
          <w:tab w:val="left" w:pos="11199"/>
        </w:tabs>
        <w:autoSpaceDE w:val="0"/>
        <w:autoSpaceDN w:val="0"/>
        <w:adjustRightInd w:val="0"/>
        <w:jc w:val="both"/>
        <w:rPr>
          <w:color w:val="000000" w:themeColor="text1"/>
          <w:sz w:val="16"/>
          <w:szCs w:val="16"/>
        </w:rPr>
      </w:pPr>
    </w:p>
    <w:p w14:paraId="3B499B1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1CF979A" w14:textId="77777777" w:rsidR="00665165" w:rsidRPr="00925F26" w:rsidRDefault="00665165" w:rsidP="00925F26">
      <w:pPr>
        <w:autoSpaceDE w:val="0"/>
        <w:autoSpaceDN w:val="0"/>
        <w:adjustRightInd w:val="0"/>
        <w:jc w:val="both"/>
        <w:rPr>
          <w:iCs/>
          <w:color w:val="000000" w:themeColor="text1"/>
          <w:sz w:val="16"/>
          <w:szCs w:val="16"/>
        </w:rPr>
      </w:pPr>
    </w:p>
    <w:p w14:paraId="7B40A2BA" w14:textId="77777777" w:rsidR="00102C23" w:rsidRPr="00925F26" w:rsidRDefault="00102C23" w:rsidP="00925F26">
      <w:pPr>
        <w:jc w:val="both"/>
        <w:rPr>
          <w:color w:val="000000" w:themeColor="text1"/>
          <w:sz w:val="16"/>
          <w:szCs w:val="16"/>
        </w:rPr>
      </w:pPr>
      <w:r w:rsidRPr="00925F26">
        <w:rPr>
          <w:color w:val="000000" w:themeColor="text1"/>
          <w:sz w:val="16"/>
          <w:szCs w:val="16"/>
        </w:rPr>
        <w:t>19 мая 1945 сотрудники НИИ ГВФ докладывали начальнику Главно</w:t>
      </w:r>
      <w:r w:rsidRPr="00925F26">
        <w:rPr>
          <w:color w:val="000000" w:themeColor="text1"/>
          <w:sz w:val="16"/>
          <w:szCs w:val="16"/>
        </w:rPr>
        <w:softHyphen/>
        <w:t>го управления ГВФ Ф. А. Астахову:</w:t>
      </w:r>
    </w:p>
    <w:p w14:paraId="79AFB4D3" w14:textId="77777777" w:rsidR="00102C23" w:rsidRPr="00925F26" w:rsidRDefault="00102C23" w:rsidP="00925F26">
      <w:pPr>
        <w:jc w:val="both"/>
        <w:rPr>
          <w:color w:val="000000" w:themeColor="text1"/>
          <w:sz w:val="16"/>
          <w:szCs w:val="16"/>
        </w:rPr>
      </w:pPr>
      <w:r w:rsidRPr="00925F26">
        <w:rPr>
          <w:color w:val="000000" w:themeColor="text1"/>
          <w:sz w:val="16"/>
          <w:szCs w:val="16"/>
        </w:rPr>
        <w:t>«Ил-4 из условий центровки по</w:t>
      </w:r>
      <w:r w:rsidRPr="00925F26">
        <w:rPr>
          <w:color w:val="000000" w:themeColor="text1"/>
          <w:sz w:val="16"/>
          <w:szCs w:val="16"/>
        </w:rPr>
        <w:softHyphen/>
        <w:t>зволяет использовать для загрузки только 6 кубических метров получен</w:t>
      </w:r>
      <w:r w:rsidRPr="00925F26">
        <w:rPr>
          <w:color w:val="000000" w:themeColor="text1"/>
          <w:sz w:val="16"/>
          <w:szCs w:val="16"/>
        </w:rPr>
        <w:softHyphen/>
        <w:t>ного объема, вследствие чего ком</w:t>
      </w:r>
      <w:r w:rsidRPr="00925F26">
        <w:rPr>
          <w:color w:val="000000" w:themeColor="text1"/>
          <w:sz w:val="16"/>
          <w:szCs w:val="16"/>
        </w:rPr>
        <w:softHyphen/>
        <w:t>мерческая нагрузка может быть уста</w:t>
      </w:r>
      <w:r w:rsidRPr="00925F26">
        <w:rPr>
          <w:color w:val="000000" w:themeColor="text1"/>
          <w:sz w:val="16"/>
          <w:szCs w:val="16"/>
        </w:rPr>
        <w:softHyphen/>
        <w:t>новлена не свыше 1800 кг.</w:t>
      </w:r>
    </w:p>
    <w:p w14:paraId="64B8FB36" w14:textId="77777777" w:rsidR="00102C23" w:rsidRPr="00925F26" w:rsidRDefault="00102C23" w:rsidP="00925F26">
      <w:pPr>
        <w:jc w:val="both"/>
        <w:rPr>
          <w:color w:val="000000" w:themeColor="text1"/>
          <w:sz w:val="16"/>
          <w:szCs w:val="16"/>
        </w:rPr>
      </w:pPr>
      <w:r w:rsidRPr="00925F26">
        <w:rPr>
          <w:color w:val="000000" w:themeColor="text1"/>
          <w:sz w:val="16"/>
          <w:szCs w:val="16"/>
        </w:rPr>
        <w:t>Поэтому производительность самолета в тонно-километрах сравнительно невелика при очень высо</w:t>
      </w:r>
      <w:r w:rsidRPr="00925F26">
        <w:rPr>
          <w:color w:val="000000" w:themeColor="text1"/>
          <w:sz w:val="16"/>
          <w:szCs w:val="16"/>
        </w:rPr>
        <w:softHyphen/>
        <w:t>ком расходе горючего.</w:t>
      </w:r>
    </w:p>
    <w:p w14:paraId="278A2A80" w14:textId="77777777" w:rsidR="00102C23" w:rsidRPr="00925F26" w:rsidRDefault="00102C23" w:rsidP="00925F26">
      <w:pPr>
        <w:jc w:val="both"/>
        <w:rPr>
          <w:color w:val="000000" w:themeColor="text1"/>
          <w:sz w:val="16"/>
          <w:szCs w:val="16"/>
        </w:rPr>
      </w:pPr>
      <w:r w:rsidRPr="00925F26">
        <w:rPr>
          <w:color w:val="000000" w:themeColor="text1"/>
          <w:sz w:val="16"/>
          <w:szCs w:val="16"/>
        </w:rPr>
        <w:t>Кроме этого, пилотировать самолет затрудни</w:t>
      </w:r>
      <w:r w:rsidRPr="00925F26">
        <w:rPr>
          <w:color w:val="000000" w:themeColor="text1"/>
          <w:sz w:val="16"/>
          <w:szCs w:val="16"/>
        </w:rPr>
        <w:softHyphen/>
        <w:t>тельно из-за недостаточной устойчивости его, что является причиной большого количества катастроф, моторная группа самолета несовершенна — ресурс моторов не превышает 100 часов из-за его дефектов.</w:t>
      </w:r>
    </w:p>
    <w:p w14:paraId="7A8D28D8" w14:textId="77777777" w:rsidR="00102C23" w:rsidRPr="00925F26" w:rsidRDefault="00102C23" w:rsidP="00925F26">
      <w:pPr>
        <w:jc w:val="both"/>
        <w:rPr>
          <w:color w:val="000000" w:themeColor="text1"/>
          <w:sz w:val="16"/>
          <w:szCs w:val="16"/>
        </w:rPr>
      </w:pPr>
      <w:r w:rsidRPr="00925F26">
        <w:rPr>
          <w:color w:val="000000" w:themeColor="text1"/>
          <w:sz w:val="16"/>
          <w:szCs w:val="16"/>
        </w:rPr>
        <w:t>Использование Ил-4 в ГВФ нецелесообразно» (23188).</w:t>
      </w:r>
    </w:p>
    <w:p w14:paraId="1464D717" w14:textId="77777777" w:rsidR="00102C23" w:rsidRPr="00925F26" w:rsidRDefault="00102C23" w:rsidP="00925F26">
      <w:pPr>
        <w:jc w:val="both"/>
        <w:rPr>
          <w:color w:val="000000" w:themeColor="text1"/>
          <w:sz w:val="16"/>
          <w:szCs w:val="16"/>
        </w:rPr>
      </w:pPr>
    </w:p>
    <w:p w14:paraId="63F7A5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А.Д.Перелет выполнил первый полет Ту-10 (68) с АМ-39ФНВ и заводские шли до 8 июня 1945 и летал Ф.Ф.Опадчий (4,182).</w:t>
      </w:r>
    </w:p>
    <w:p w14:paraId="2E837662" w14:textId="77777777" w:rsidR="00665165" w:rsidRPr="00925F26" w:rsidRDefault="00665165" w:rsidP="00925F26">
      <w:pPr>
        <w:autoSpaceDE w:val="0"/>
        <w:autoSpaceDN w:val="0"/>
        <w:adjustRightInd w:val="0"/>
        <w:jc w:val="both"/>
        <w:rPr>
          <w:color w:val="000000" w:themeColor="text1"/>
          <w:sz w:val="16"/>
          <w:szCs w:val="16"/>
        </w:rPr>
      </w:pPr>
    </w:p>
    <w:p w14:paraId="046149D9" w14:textId="77777777" w:rsidR="00637BF4" w:rsidRPr="00925F26" w:rsidRDefault="00637BF4" w:rsidP="00925F26">
      <w:pPr>
        <w:jc w:val="both"/>
        <w:rPr>
          <w:color w:val="000000" w:themeColor="text1"/>
          <w:sz w:val="16"/>
          <w:szCs w:val="16"/>
        </w:rPr>
      </w:pPr>
      <w:r w:rsidRPr="00925F26">
        <w:rPr>
          <w:bCs/>
          <w:color w:val="000000" w:themeColor="text1"/>
          <w:sz w:val="16"/>
          <w:szCs w:val="16"/>
        </w:rPr>
        <w:t>19 мая</w:t>
      </w:r>
      <w:r w:rsidRPr="00925F26">
        <w:rPr>
          <w:color w:val="000000" w:themeColor="text1"/>
          <w:sz w:val="16"/>
          <w:szCs w:val="16"/>
        </w:rPr>
        <w:t xml:space="preserve"> в 1945 году первый полет самолета </w:t>
      </w:r>
      <w:hyperlink r:id="rId124" w:tgtFrame="_blank" w:history="1">
        <w:r w:rsidRPr="00925F26">
          <w:rPr>
            <w:color w:val="000000" w:themeColor="text1"/>
            <w:sz w:val="16"/>
            <w:szCs w:val="16"/>
          </w:rPr>
          <w:t xml:space="preserve">«Ту-10» («АНТ-68») </w:t>
        </w:r>
      </w:hyperlink>
      <w:r w:rsidRPr="00925F26">
        <w:rPr>
          <w:color w:val="000000" w:themeColor="text1"/>
          <w:sz w:val="16"/>
          <w:szCs w:val="16"/>
        </w:rPr>
        <w:t>с двигателями «АМ-39ФНВ». Вобрав в себя все изменения, серийный «Ту-2» №16/20 превратился в середине мая в самолет "68" 2хАМ-39ФНВ. Летчик-испытатель А.Д.Перелет и ведущий инженер по испытаниям Б Н Гроздов впервые подняли машину в воздух Заводские испытания продолжались до 8 июня. Неделю на самолете устраняли выявленные дефекты, а 16 июня сдали НИИ ВВС на государственные испытания (14896).</w:t>
      </w:r>
    </w:p>
    <w:p w14:paraId="235ABECF" w14:textId="77777777" w:rsidR="00637BF4" w:rsidRPr="00925F26" w:rsidRDefault="00637BF4" w:rsidP="00925F26">
      <w:pPr>
        <w:jc w:val="both"/>
        <w:rPr>
          <w:color w:val="000000" w:themeColor="text1"/>
          <w:sz w:val="16"/>
          <w:szCs w:val="16"/>
        </w:rPr>
      </w:pPr>
    </w:p>
    <w:p w14:paraId="6B56CEC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мая 1945 в полете И-250 с ВРД на 6700 опять достигли скорости 809 км/час (первый раз 13 мая) и начали заводские испытания И-250 № 2 - с желто-красными полосами на борту (6471, 7).</w:t>
      </w:r>
    </w:p>
    <w:p w14:paraId="7C47C8B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2BFCD14" w14:textId="77777777" w:rsidR="00F226AF" w:rsidRPr="001A0BAA" w:rsidRDefault="00F226AF" w:rsidP="00F226AF">
      <w:pPr>
        <w:widowControl w:val="0"/>
        <w:tabs>
          <w:tab w:val="left" w:pos="350"/>
        </w:tabs>
        <w:jc w:val="both"/>
        <w:rPr>
          <w:color w:val="0070C0"/>
          <w:sz w:val="16"/>
          <w:szCs w:val="16"/>
        </w:rPr>
      </w:pPr>
      <w:r w:rsidRPr="001A0BAA">
        <w:rPr>
          <w:color w:val="0070C0"/>
          <w:sz w:val="16"/>
          <w:szCs w:val="16"/>
        </w:rPr>
        <w:t>19 мая 1945 г. к испытаниям приступает второй экземпляр И-250 № 02, а И-250 № 01 удалось повторить достижение той же скорости на 7000 м (24925).</w:t>
      </w:r>
    </w:p>
    <w:p w14:paraId="432B7D0A" w14:textId="77777777" w:rsidR="00F226AF" w:rsidRPr="001A0BAA" w:rsidRDefault="00F226AF" w:rsidP="00F226AF">
      <w:pPr>
        <w:jc w:val="both"/>
        <w:rPr>
          <w:color w:val="0070C0"/>
          <w:sz w:val="16"/>
          <w:szCs w:val="16"/>
        </w:rPr>
      </w:pPr>
    </w:p>
    <w:p w14:paraId="3647754F" w14:textId="77777777" w:rsidR="00F226AF" w:rsidRPr="001A0BAA" w:rsidRDefault="00F226AF" w:rsidP="00F226AF">
      <w:pPr>
        <w:jc w:val="both"/>
        <w:rPr>
          <w:color w:val="0070C0"/>
          <w:sz w:val="16"/>
          <w:szCs w:val="16"/>
        </w:rPr>
      </w:pPr>
      <w:r w:rsidRPr="001A0BAA">
        <w:rPr>
          <w:color w:val="0070C0"/>
          <w:sz w:val="16"/>
          <w:szCs w:val="16"/>
        </w:rPr>
        <w:lastRenderedPageBreak/>
        <w:t>19 мая 1945 г. начальник ГУГВФ издал приказ № 0117 о создании комендатуры на аэродроме Берлин-Адлерсхоф. Личный состав этой комендатуры – 6 человек плюс радиостанция РАФ с персоналом. В том же приказе предписывалось, что все самолеты ГВФ, направляющиеся в Берлин, должны призем</w:t>
      </w:r>
      <w:r w:rsidRPr="001A0BAA">
        <w:rPr>
          <w:color w:val="0070C0"/>
          <w:sz w:val="16"/>
          <w:szCs w:val="16"/>
        </w:rPr>
        <w:softHyphen/>
        <w:t>литься только в Адлерсхофе. 5 июня 1945 года 62-й полк ГВФ получил приказ № 0137 ГУГВФ о передисло</w:t>
      </w:r>
      <w:r w:rsidRPr="001A0BAA">
        <w:rPr>
          <w:color w:val="0070C0"/>
          <w:sz w:val="16"/>
          <w:szCs w:val="16"/>
        </w:rPr>
        <w:softHyphen/>
        <w:t>кации своего штаба на аэродром Берлин-Адлерсхоф. В конце войны 69-й отдельный полк ГВФ распола</w:t>
      </w:r>
      <w:r w:rsidRPr="001A0BAA">
        <w:rPr>
          <w:color w:val="0070C0"/>
          <w:sz w:val="16"/>
          <w:szCs w:val="16"/>
        </w:rPr>
        <w:softHyphen/>
        <w:t>гался к северо-востоку от Берлина в Мекленбурге и Померании. Оба полка в конечном итоге стали отправной точкой для присутствия Аэрофлота в совет</w:t>
      </w:r>
      <w:r w:rsidRPr="001A0BAA">
        <w:rPr>
          <w:color w:val="0070C0"/>
          <w:sz w:val="16"/>
          <w:szCs w:val="16"/>
        </w:rPr>
        <w:softHyphen/>
        <w:t>ской оккупационной зоне</w:t>
      </w:r>
    </w:p>
    <w:p w14:paraId="6E6C2CF7" w14:textId="77777777" w:rsidR="00F226AF" w:rsidRPr="001A0BAA" w:rsidRDefault="00F226AF" w:rsidP="00F226AF">
      <w:pPr>
        <w:jc w:val="both"/>
        <w:rPr>
          <w:color w:val="0070C0"/>
          <w:sz w:val="16"/>
          <w:szCs w:val="16"/>
        </w:rPr>
      </w:pPr>
      <w:r w:rsidRPr="001A0BAA">
        <w:rPr>
          <w:color w:val="0070C0"/>
          <w:sz w:val="16"/>
          <w:szCs w:val="16"/>
        </w:rPr>
        <w:t>Первоначально 62-й полк получил от Совет</w:t>
      </w:r>
      <w:r w:rsidRPr="001A0BAA">
        <w:rPr>
          <w:color w:val="0070C0"/>
          <w:sz w:val="16"/>
          <w:szCs w:val="16"/>
        </w:rPr>
        <w:softHyphen/>
        <w:t>ской Военной Администрации в Германии (СВАГ) приказ наладить стабильные полеты из Адлерс</w:t>
      </w:r>
      <w:r w:rsidRPr="001A0BAA">
        <w:rPr>
          <w:color w:val="0070C0"/>
          <w:sz w:val="16"/>
          <w:szCs w:val="16"/>
        </w:rPr>
        <w:softHyphen/>
        <w:t>хофа в дальние уголки оккупационной зоны и с этой целью также был непосредственно подчинен СВАГ.</w:t>
      </w:r>
    </w:p>
    <w:p w14:paraId="4705F4B2" w14:textId="77777777" w:rsidR="00F226AF" w:rsidRPr="001A0BAA" w:rsidRDefault="00F226AF" w:rsidP="00F226AF">
      <w:pPr>
        <w:jc w:val="both"/>
        <w:rPr>
          <w:color w:val="0070C0"/>
          <w:sz w:val="16"/>
          <w:szCs w:val="16"/>
        </w:rPr>
      </w:pPr>
      <w:r w:rsidRPr="001A0BAA">
        <w:rPr>
          <w:color w:val="0070C0"/>
          <w:sz w:val="16"/>
          <w:szCs w:val="16"/>
        </w:rPr>
        <w:t>Для выполнения этой задачи полк был усилен 10 Ли-2 из полков ГВФ № 87 и 120. По этой маршрутной сети в СОЗ 62-й полк ежедневно перевозил курьеров, печатную продукцию и т.п. в соответствии с планом полетов (25659).</w:t>
      </w:r>
    </w:p>
    <w:p w14:paraId="4A8918F8" w14:textId="77777777" w:rsidR="00F226AF" w:rsidRPr="001A0BAA" w:rsidRDefault="00F226AF" w:rsidP="00F226AF">
      <w:pPr>
        <w:jc w:val="both"/>
        <w:rPr>
          <w:color w:val="0070C0"/>
          <w:sz w:val="16"/>
          <w:szCs w:val="16"/>
        </w:rPr>
      </w:pPr>
    </w:p>
    <w:p w14:paraId="68EBEA4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D875885" w14:textId="77777777" w:rsidR="00665165" w:rsidRPr="00925F26" w:rsidRDefault="00665165" w:rsidP="00925F26">
      <w:pPr>
        <w:autoSpaceDE w:val="0"/>
        <w:autoSpaceDN w:val="0"/>
        <w:adjustRightInd w:val="0"/>
        <w:jc w:val="both"/>
        <w:rPr>
          <w:iCs/>
          <w:color w:val="000000" w:themeColor="text1"/>
          <w:sz w:val="16"/>
          <w:szCs w:val="16"/>
        </w:rPr>
      </w:pPr>
    </w:p>
    <w:p w14:paraId="0C5BBF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г. приказом Наркомата тяжелого машиностроения СССР создан Государственный союзный институт по внедрению высокопроизводительной технологии и организации производства "Оргтяжмаш". Приказом Министерства транспортного и тяжелого машиностроения СССР от 30 сентября 1953 г. объединен с институтом Оргтрансмаш, ОТБ -6, отделами ВНИИСтройдормаш и ЦНИИ-138 в ВПТИ (12102).</w:t>
      </w:r>
    </w:p>
    <w:p w14:paraId="36BC7225" w14:textId="77777777" w:rsidR="00637BF4" w:rsidRPr="00925F26" w:rsidRDefault="00637BF4" w:rsidP="00925F26">
      <w:pPr>
        <w:autoSpaceDE w:val="0"/>
        <w:autoSpaceDN w:val="0"/>
        <w:adjustRightInd w:val="0"/>
        <w:jc w:val="both"/>
        <w:rPr>
          <w:color w:val="000000" w:themeColor="text1"/>
          <w:sz w:val="16"/>
          <w:szCs w:val="16"/>
        </w:rPr>
      </w:pPr>
    </w:p>
    <w:p w14:paraId="7673BF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8661. О дополнительном выделении бензина Главвоенпромстрою при СНК СССР во II кв. 1945 г. РГАНИР, Фонд ГКО, д. 418, лл. 56 (11012).</w:t>
      </w:r>
    </w:p>
    <w:p w14:paraId="51968957" w14:textId="77777777" w:rsidR="00665165" w:rsidRPr="00925F26" w:rsidRDefault="00665165" w:rsidP="00925F26">
      <w:pPr>
        <w:autoSpaceDE w:val="0"/>
        <w:autoSpaceDN w:val="0"/>
        <w:adjustRightInd w:val="0"/>
        <w:jc w:val="both"/>
        <w:rPr>
          <w:color w:val="000000" w:themeColor="text1"/>
          <w:sz w:val="16"/>
          <w:szCs w:val="16"/>
        </w:rPr>
      </w:pPr>
    </w:p>
    <w:p w14:paraId="171FA8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8662. О дополнительном выделении бензина ОГИЗ РСФСР во II кв. 1945 г. РГАНИР, Фонд ГКО, д. 418, лл. 57 (11012).</w:t>
      </w:r>
    </w:p>
    <w:p w14:paraId="349F2E50" w14:textId="77777777" w:rsidR="00665165" w:rsidRPr="00925F26" w:rsidRDefault="00665165" w:rsidP="00925F26">
      <w:pPr>
        <w:autoSpaceDE w:val="0"/>
        <w:autoSpaceDN w:val="0"/>
        <w:adjustRightInd w:val="0"/>
        <w:jc w:val="both"/>
        <w:rPr>
          <w:color w:val="000000" w:themeColor="text1"/>
          <w:sz w:val="16"/>
          <w:szCs w:val="16"/>
        </w:rPr>
      </w:pPr>
    </w:p>
    <w:p w14:paraId="59C073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8663. О размещении КБ № 1 НКБ и опытного производства на площадях бывшего завода № 775 НКБ. РГАНИР, Фонд ГКО, д. 418, лл. 58 (11012).</w:t>
      </w:r>
    </w:p>
    <w:p w14:paraId="4724770B" w14:textId="77777777" w:rsidR="00665165" w:rsidRPr="00925F26" w:rsidRDefault="00665165" w:rsidP="00925F26">
      <w:pPr>
        <w:autoSpaceDE w:val="0"/>
        <w:autoSpaceDN w:val="0"/>
        <w:adjustRightInd w:val="0"/>
        <w:jc w:val="both"/>
        <w:rPr>
          <w:color w:val="000000" w:themeColor="text1"/>
          <w:sz w:val="16"/>
          <w:szCs w:val="16"/>
        </w:rPr>
      </w:pPr>
    </w:p>
    <w:p w14:paraId="5CF7B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8664. О реэвакуации в Ленинград ОКБ № 43 НКВ. РГАНИР, Фонд ГКО, д. 418, лл. 59 (11012).</w:t>
      </w:r>
    </w:p>
    <w:p w14:paraId="27402FFC" w14:textId="77777777" w:rsidR="00665165" w:rsidRPr="00925F26" w:rsidRDefault="00665165" w:rsidP="00925F26">
      <w:pPr>
        <w:autoSpaceDE w:val="0"/>
        <w:autoSpaceDN w:val="0"/>
        <w:adjustRightInd w:val="0"/>
        <w:jc w:val="both"/>
        <w:rPr>
          <w:color w:val="000000" w:themeColor="text1"/>
          <w:sz w:val="16"/>
          <w:szCs w:val="16"/>
        </w:rPr>
      </w:pPr>
    </w:p>
    <w:p w14:paraId="647D9C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8665. Об изготовлении и поставке понтонов для НКВМФ в июне и июле 1945 г. РГАНИР, Фонд ГКО, д. 418, лл. 60 (11012).</w:t>
      </w:r>
    </w:p>
    <w:p w14:paraId="41E23A4C" w14:textId="77777777" w:rsidR="00665165" w:rsidRPr="00925F26" w:rsidRDefault="00665165" w:rsidP="00925F26">
      <w:pPr>
        <w:autoSpaceDE w:val="0"/>
        <w:autoSpaceDN w:val="0"/>
        <w:adjustRightInd w:val="0"/>
        <w:jc w:val="both"/>
        <w:rPr>
          <w:color w:val="000000" w:themeColor="text1"/>
          <w:sz w:val="16"/>
          <w:szCs w:val="16"/>
        </w:rPr>
      </w:pPr>
    </w:p>
    <w:p w14:paraId="1EE346E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8666 [О передаче треста "Чкаловуголь" НКМТП РСФСР.] (7342, 61).</w:t>
      </w:r>
    </w:p>
    <w:p w14:paraId="10240F3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267ADA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мая 1945 вышло Распоряжение ГКО № 8667 [Об обеспечении жилищного строительства в Подмосковном угольном бассейне железнодорожным транспортом и лошадьми.] (7342, 62).</w:t>
      </w:r>
    </w:p>
    <w:p w14:paraId="6E7CE9B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91F88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1945 вышло Постановление ГКО № 8668 Об изготовлении опытной и серийной партии ручных противотанковых гранатометов и гранат к ним. РГАНИР, Фонд ГКО, д. 418, лл. 63-65, 66 (11012).</w:t>
      </w:r>
    </w:p>
    <w:p w14:paraId="59C52B35" w14:textId="77777777" w:rsidR="00665165" w:rsidRPr="00925F26" w:rsidRDefault="00665165" w:rsidP="00925F26">
      <w:pPr>
        <w:autoSpaceDE w:val="0"/>
        <w:autoSpaceDN w:val="0"/>
        <w:adjustRightInd w:val="0"/>
        <w:jc w:val="both"/>
        <w:rPr>
          <w:color w:val="000000" w:themeColor="text1"/>
          <w:sz w:val="16"/>
          <w:szCs w:val="16"/>
        </w:rPr>
      </w:pPr>
    </w:p>
    <w:p w14:paraId="7C1788B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мая 1945 вышло Постановление ГКО № 8669 Об отгрузке угля в госрезерв для закладки на железных дорогах Востока. (7342, 67-68,69-70).</w:t>
      </w:r>
    </w:p>
    <w:p w14:paraId="2DE5977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BF1BF1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43C10DF" w14:textId="77777777" w:rsidR="00665165" w:rsidRPr="00925F26" w:rsidRDefault="00665165" w:rsidP="00925F26">
      <w:pPr>
        <w:autoSpaceDE w:val="0"/>
        <w:autoSpaceDN w:val="0"/>
        <w:adjustRightInd w:val="0"/>
        <w:jc w:val="both"/>
        <w:rPr>
          <w:iCs/>
          <w:color w:val="000000" w:themeColor="text1"/>
          <w:sz w:val="16"/>
          <w:szCs w:val="16"/>
        </w:rPr>
      </w:pPr>
    </w:p>
    <w:p w14:paraId="6F60141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мая 1945 дебютировал в большом футболе Всеволод Бобров (4962).</w:t>
      </w:r>
    </w:p>
    <w:p w14:paraId="53F0022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98FBB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 мая 1944 НКВД в соответствии с постановлением ГКО N 7946 сс от 29 марта 1945 издал приказ N 00540 и увеличили калорийность на 524-775 кал. (3428).</w:t>
      </w:r>
    </w:p>
    <w:p w14:paraId="5A0AD1D4" w14:textId="77777777" w:rsidR="00665165" w:rsidRPr="00925F26" w:rsidRDefault="00665165" w:rsidP="00925F26">
      <w:pPr>
        <w:autoSpaceDE w:val="0"/>
        <w:autoSpaceDN w:val="0"/>
        <w:adjustRightInd w:val="0"/>
        <w:jc w:val="both"/>
        <w:rPr>
          <w:color w:val="000000" w:themeColor="text1"/>
          <w:sz w:val="16"/>
          <w:szCs w:val="16"/>
        </w:rPr>
      </w:pPr>
    </w:p>
    <w:p w14:paraId="6C20A0F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ACCBDC3" w14:textId="77777777" w:rsidR="00665165" w:rsidRPr="00925F26" w:rsidRDefault="00665165" w:rsidP="00925F26">
      <w:pPr>
        <w:autoSpaceDE w:val="0"/>
        <w:autoSpaceDN w:val="0"/>
        <w:adjustRightInd w:val="0"/>
        <w:jc w:val="both"/>
        <w:rPr>
          <w:iCs/>
          <w:color w:val="000000" w:themeColor="text1"/>
          <w:sz w:val="16"/>
          <w:szCs w:val="16"/>
        </w:rPr>
      </w:pPr>
    </w:p>
    <w:p w14:paraId="5B98AFF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мая 1945 во Фленсбурге арестован идеолог нацистов Альфред Розенберг (4962).</w:t>
      </w:r>
    </w:p>
    <w:p w14:paraId="0BA46810"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38D78C" w14:textId="77777777" w:rsidR="00637BF4" w:rsidRPr="00925F26" w:rsidRDefault="00637BF4" w:rsidP="00925F26">
      <w:pPr>
        <w:jc w:val="both"/>
        <w:rPr>
          <w:color w:val="000000" w:themeColor="text1"/>
          <w:sz w:val="16"/>
          <w:szCs w:val="16"/>
        </w:rPr>
      </w:pPr>
      <w:r w:rsidRPr="00925F26">
        <w:rPr>
          <w:bCs/>
          <w:color w:val="000000" w:themeColor="text1"/>
          <w:sz w:val="16"/>
          <w:szCs w:val="16"/>
        </w:rPr>
        <w:t>19 мая</w:t>
      </w:r>
      <w:r w:rsidRPr="00925F26">
        <w:rPr>
          <w:color w:val="000000" w:themeColor="text1"/>
          <w:sz w:val="16"/>
          <w:szCs w:val="16"/>
        </w:rPr>
        <w:t xml:space="preserve"> в 1945 году президент Чехословакии Э.Бенеш издает декрет о введении национального управления промышленными предприятиями и банками, принадлежащих "немецким и венгерским промышленникам и предателям родины". Этот декрет - первый в целом ряду мероприятий, направленный на депортацию главных национальных меньшинств Чехословакии и конфискацию их собственности (14896).</w:t>
      </w:r>
    </w:p>
    <w:p w14:paraId="48B1F65E" w14:textId="77777777" w:rsidR="00637BF4" w:rsidRPr="00925F26" w:rsidRDefault="00637BF4" w:rsidP="00925F26">
      <w:pPr>
        <w:jc w:val="both"/>
        <w:rPr>
          <w:color w:val="000000" w:themeColor="text1"/>
          <w:sz w:val="16"/>
          <w:szCs w:val="16"/>
        </w:rPr>
      </w:pPr>
    </w:p>
    <w:p w14:paraId="3B71FC8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EF1A3E2" w14:textId="77777777" w:rsidR="00665165" w:rsidRPr="00925F26" w:rsidRDefault="00665165" w:rsidP="00925F26">
      <w:pPr>
        <w:autoSpaceDE w:val="0"/>
        <w:autoSpaceDN w:val="0"/>
        <w:adjustRightInd w:val="0"/>
        <w:jc w:val="both"/>
        <w:rPr>
          <w:iCs/>
          <w:color w:val="000000" w:themeColor="text1"/>
          <w:sz w:val="16"/>
          <w:szCs w:val="16"/>
        </w:rPr>
      </w:pPr>
    </w:p>
    <w:p w14:paraId="3728CA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мая 1945 г. начались летные испытания УИл-10 в НИИ ВВС, через четыре дня после поступления. За</w:t>
      </w:r>
      <w:r w:rsidRPr="00925F26">
        <w:rPr>
          <w:color w:val="000000" w:themeColor="text1"/>
          <w:sz w:val="16"/>
          <w:szCs w:val="16"/>
        </w:rPr>
        <w:softHyphen/>
        <w:t>вершили их 7 июня, после выполнения 31 полета. Ведущим инженером и одно</w:t>
      </w:r>
      <w:r w:rsidRPr="00925F26">
        <w:rPr>
          <w:color w:val="000000" w:themeColor="text1"/>
          <w:sz w:val="16"/>
          <w:szCs w:val="16"/>
        </w:rPr>
        <w:softHyphen/>
        <w:t>временно ведущим летчиком был капи</w:t>
      </w:r>
      <w:r w:rsidRPr="00925F26">
        <w:rPr>
          <w:color w:val="000000" w:themeColor="text1"/>
          <w:sz w:val="16"/>
          <w:szCs w:val="16"/>
        </w:rPr>
        <w:softHyphen/>
        <w:t>тан С.Г. Фролов. При полетном весе 5680 кг (вес пусто</w:t>
      </w:r>
      <w:r w:rsidRPr="00925F26">
        <w:rPr>
          <w:color w:val="000000" w:themeColor="text1"/>
          <w:sz w:val="16"/>
          <w:szCs w:val="16"/>
        </w:rPr>
        <w:softHyphen/>
        <w:t>го 4571 кг) УИл-10 показал максималь</w:t>
      </w:r>
      <w:r w:rsidRPr="00925F26">
        <w:rPr>
          <w:color w:val="000000" w:themeColor="text1"/>
          <w:sz w:val="16"/>
          <w:szCs w:val="16"/>
        </w:rPr>
        <w:softHyphen/>
        <w:t>ную скорость полета у земли 502 км/ч, на высоте 2500 м - 560 км/ч. Время на</w:t>
      </w:r>
      <w:r w:rsidRPr="00925F26">
        <w:rPr>
          <w:color w:val="000000" w:themeColor="text1"/>
          <w:sz w:val="16"/>
          <w:szCs w:val="16"/>
        </w:rPr>
        <w:softHyphen/>
        <w:t>бора высоты 1000 м составило 1,5 мин, а 3000 м-4,8 мин. В выводах отчета по испытаниям ука</w:t>
      </w:r>
      <w:r w:rsidRPr="00925F26">
        <w:rPr>
          <w:color w:val="000000" w:themeColor="text1"/>
          <w:sz w:val="16"/>
          <w:szCs w:val="16"/>
        </w:rPr>
        <w:softHyphen/>
        <w:t>зывалось, что по технике пилотирования из передней кабины учебный штурмовик ничем не отличается от Ил-10, а из вто</w:t>
      </w:r>
      <w:r w:rsidRPr="00925F26">
        <w:rPr>
          <w:color w:val="000000" w:themeColor="text1"/>
          <w:sz w:val="16"/>
          <w:szCs w:val="16"/>
        </w:rPr>
        <w:softHyphen/>
        <w:t>рой кабины - от УИл-2. Однако обзор (особенно на посадке) у УИл-10 был ху</w:t>
      </w:r>
      <w:r w:rsidRPr="00925F26">
        <w:rPr>
          <w:color w:val="000000" w:themeColor="text1"/>
          <w:sz w:val="16"/>
          <w:szCs w:val="16"/>
        </w:rPr>
        <w:softHyphen/>
        <w:t>же, чем у боевого варианта. Поспешно оборудованное место инструктора име</w:t>
      </w:r>
      <w:r w:rsidRPr="00925F26">
        <w:rPr>
          <w:color w:val="000000" w:themeColor="text1"/>
          <w:sz w:val="16"/>
          <w:szCs w:val="16"/>
        </w:rPr>
        <w:softHyphen/>
        <w:t>ло много недостатков: «неудобно откры</w:t>
      </w:r>
      <w:r w:rsidRPr="00925F26">
        <w:rPr>
          <w:color w:val="000000" w:themeColor="text1"/>
          <w:sz w:val="16"/>
          <w:szCs w:val="16"/>
        </w:rPr>
        <w:softHyphen/>
        <w:t>вание и закрывание фонаря, нельзя от</w:t>
      </w:r>
      <w:r w:rsidRPr="00925F26">
        <w:rPr>
          <w:color w:val="000000" w:themeColor="text1"/>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roofErr w:type="gramStart"/>
      <w:r w:rsidRPr="00925F26">
        <w:rPr>
          <w:color w:val="000000" w:themeColor="text1"/>
          <w:sz w:val="16"/>
          <w:szCs w:val="16"/>
        </w:rPr>
        <w:t>»</w:t>
      </w:r>
      <w:proofErr w:type="gramEnd"/>
      <w:r w:rsidRPr="00925F26">
        <w:rPr>
          <w:color w:val="000000" w:themeColor="text1"/>
          <w:sz w:val="16"/>
          <w:szCs w:val="16"/>
        </w:rPr>
        <w:t xml:space="preserve">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925F26">
        <w:rPr>
          <w:color w:val="000000" w:themeColor="text1"/>
          <w:sz w:val="16"/>
          <w:szCs w:val="16"/>
        </w:rPr>
        <w:softHyphen/>
        <w:t xml:space="preserve">ны быть </w:t>
      </w:r>
      <w:proofErr w:type="gramStart"/>
      <w:r w:rsidRPr="00925F26">
        <w:rPr>
          <w:color w:val="000000" w:themeColor="text1"/>
          <w:sz w:val="16"/>
          <w:szCs w:val="16"/>
        </w:rPr>
        <w:t>реализованы....</w:t>
      </w:r>
      <w:proofErr w:type="gramEnd"/>
      <w:r w:rsidRPr="00925F26">
        <w:rPr>
          <w:color w:val="000000" w:themeColor="text1"/>
          <w:sz w:val="16"/>
          <w:szCs w:val="16"/>
        </w:rPr>
        <w:t>Учитывая боль</w:t>
      </w:r>
      <w:r w:rsidRPr="00925F26">
        <w:rPr>
          <w:color w:val="000000" w:themeColor="text1"/>
          <w:sz w:val="16"/>
          <w:szCs w:val="16"/>
        </w:rPr>
        <w:softHyphen/>
        <w:t>шую потребность в УИл-10, считать не</w:t>
      </w:r>
      <w:r w:rsidRPr="00925F26">
        <w:rPr>
          <w:color w:val="000000" w:themeColor="text1"/>
          <w:sz w:val="16"/>
          <w:szCs w:val="16"/>
        </w:rPr>
        <w:softHyphen/>
        <w:t>обходимым их выпуск продолжать, по</w:t>
      </w:r>
      <w:r w:rsidRPr="00925F26">
        <w:rPr>
          <w:color w:val="000000" w:themeColor="text1"/>
          <w:sz w:val="16"/>
          <w:szCs w:val="16"/>
        </w:rPr>
        <w:softHyphen/>
        <w:t>требовав внесения всех изменений и устранения всех недостатков, после чего предъявить самолет на повторные испы</w:t>
      </w:r>
      <w:r w:rsidRPr="00925F26">
        <w:rPr>
          <w:color w:val="000000" w:themeColor="text1"/>
          <w:sz w:val="16"/>
          <w:szCs w:val="16"/>
        </w:rPr>
        <w:softHyphen/>
        <w:t>тания в ГК НИИ ВВС КА...» (10681).</w:t>
      </w:r>
    </w:p>
    <w:p w14:paraId="32F143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CC878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20 мая по 7 июня 1945 в НИИ ВВС проходили гос. испытания учебного УИл-10 (7489).</w:t>
      </w:r>
    </w:p>
    <w:p w14:paraId="61B53BF7" w14:textId="77777777" w:rsidR="00665165" w:rsidRPr="00925F26" w:rsidRDefault="00665165" w:rsidP="00925F26">
      <w:pPr>
        <w:autoSpaceDE w:val="0"/>
        <w:autoSpaceDN w:val="0"/>
        <w:adjustRightInd w:val="0"/>
        <w:jc w:val="both"/>
        <w:rPr>
          <w:color w:val="000000" w:themeColor="text1"/>
          <w:sz w:val="16"/>
          <w:szCs w:val="16"/>
        </w:rPr>
      </w:pPr>
    </w:p>
    <w:p w14:paraId="00CA5291" w14:textId="77777777" w:rsidR="00637BF4" w:rsidRPr="00925F26" w:rsidRDefault="00637BF4" w:rsidP="00925F26">
      <w:pPr>
        <w:jc w:val="both"/>
        <w:rPr>
          <w:color w:val="000000" w:themeColor="text1"/>
          <w:sz w:val="16"/>
          <w:szCs w:val="16"/>
        </w:rPr>
      </w:pPr>
      <w:r w:rsidRPr="00925F26">
        <w:rPr>
          <w:bCs/>
          <w:color w:val="000000" w:themeColor="text1"/>
          <w:sz w:val="16"/>
          <w:szCs w:val="16"/>
        </w:rPr>
        <w:t>20 мая</w:t>
      </w:r>
      <w:r w:rsidRPr="00925F26">
        <w:rPr>
          <w:color w:val="000000" w:themeColor="text1"/>
          <w:sz w:val="16"/>
          <w:szCs w:val="16"/>
        </w:rPr>
        <w:t xml:space="preserve"> в 1945 году в ГК НИИ ВВС КА для проведения испытаний прибыл учебно-тренировочный самолёт </w:t>
      </w:r>
      <w:hyperlink r:id="rId125" w:tgtFrame="_blank" w:history="1">
        <w:r w:rsidRPr="00925F26">
          <w:rPr>
            <w:color w:val="000000" w:themeColor="text1"/>
            <w:sz w:val="16"/>
            <w:szCs w:val="16"/>
          </w:rPr>
          <w:t>«УИл-10» (14897).</w:t>
        </w:r>
      </w:hyperlink>
    </w:p>
    <w:p w14:paraId="6CCE445D" w14:textId="77777777" w:rsidR="00637BF4" w:rsidRPr="00925F26" w:rsidRDefault="00637BF4" w:rsidP="00925F26">
      <w:pPr>
        <w:jc w:val="both"/>
        <w:rPr>
          <w:color w:val="000000" w:themeColor="text1"/>
          <w:sz w:val="16"/>
          <w:szCs w:val="16"/>
        </w:rPr>
      </w:pPr>
    </w:p>
    <w:p w14:paraId="40218CC3"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20 мая 1945 года серийный самолет Ил-10 с пылефильтром «начальником 1 -го отдела УЗСиМ был отправлен на испытания в Ногинск, так как на нем установлена ВУ-9 с пушкой УБ-20» (17490).</w:t>
      </w:r>
    </w:p>
    <w:p w14:paraId="6221E649" w14:textId="77777777" w:rsidR="003605FA" w:rsidRPr="00925F26" w:rsidRDefault="003605FA" w:rsidP="00925F26">
      <w:pPr>
        <w:jc w:val="both"/>
        <w:rPr>
          <w:color w:val="000000" w:themeColor="text1"/>
          <w:sz w:val="16"/>
          <w:szCs w:val="16"/>
        </w:rPr>
      </w:pPr>
    </w:p>
    <w:p w14:paraId="498C69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мая 1945 года Н.М.Олехнович, Антон Иванович Исаев, его заместителем Ф.Г.Квасов прибыли в Германию. До этого Олехнович работал старшим научным сотрудником, начальником отдела в ЦИАМе. Его заместителем был назначен, а затем и исполняющим обязанности начальника, майор Алексей Евдокимович Свешников, работавший ранее на заводе №26 начальником отдела ОКБ. До своего прибытия в Германию А.И.Исаев работал начальником цеха на заводе №500 (8987).</w:t>
      </w:r>
    </w:p>
    <w:p w14:paraId="2AB315BD" w14:textId="77777777" w:rsidR="00665165" w:rsidRPr="00925F26" w:rsidRDefault="00665165" w:rsidP="00925F26">
      <w:pPr>
        <w:autoSpaceDE w:val="0"/>
        <w:autoSpaceDN w:val="0"/>
        <w:adjustRightInd w:val="0"/>
        <w:jc w:val="both"/>
        <w:rPr>
          <w:color w:val="000000" w:themeColor="text1"/>
          <w:sz w:val="16"/>
          <w:szCs w:val="16"/>
        </w:rPr>
      </w:pPr>
    </w:p>
    <w:p w14:paraId="3355BE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мая 1945 года на основании приказа ГКО от № 9694сс при заводе № 290 было организовано ОКБ-290 (9515).</w:t>
      </w:r>
    </w:p>
    <w:p w14:paraId="7B71F36C" w14:textId="77777777" w:rsidR="00665165" w:rsidRPr="00925F26" w:rsidRDefault="00665165" w:rsidP="00925F26">
      <w:pPr>
        <w:autoSpaceDE w:val="0"/>
        <w:autoSpaceDN w:val="0"/>
        <w:adjustRightInd w:val="0"/>
        <w:jc w:val="both"/>
        <w:rPr>
          <w:color w:val="000000" w:themeColor="text1"/>
          <w:sz w:val="16"/>
          <w:szCs w:val="16"/>
        </w:rPr>
      </w:pPr>
    </w:p>
    <w:p w14:paraId="2AA56F3A" w14:textId="77777777" w:rsidR="007C4BB0" w:rsidRPr="00925F26" w:rsidRDefault="007C4BB0"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7A8D478" w14:textId="77777777" w:rsidR="007C4BB0" w:rsidRPr="00925F26" w:rsidRDefault="007C4BB0" w:rsidP="00925F26">
      <w:pPr>
        <w:autoSpaceDE w:val="0"/>
        <w:autoSpaceDN w:val="0"/>
        <w:adjustRightInd w:val="0"/>
        <w:jc w:val="both"/>
        <w:rPr>
          <w:iCs/>
          <w:color w:val="000000" w:themeColor="text1"/>
          <w:sz w:val="16"/>
          <w:szCs w:val="16"/>
        </w:rPr>
      </w:pPr>
    </w:p>
    <w:p w14:paraId="12EBD59D"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 20-м числам мая 1945 года наработки КБ опытного завода № 100 по новому танку, получившему шифр 257 (Объект 257) и индекс ИС-7, стали приобретать законченную форму. За основу для него коллектив инженеров под руководством ведущего конструктора П.П. Исакова взял проект модернизации ИС-6, который, впрочем, подвергся очень серьезной переработке. От ИС-6 остались сильно измененные корпус и башня, а также форма командирской башенки, люк механика-водителя и переработанный механизм поворота башни. С объекта 253 была позаимствована, несмотря на фиаско (на первом же выезде танка произошел пожар), электромеханическая трансмиссия (17209).</w:t>
      </w:r>
    </w:p>
    <w:p w14:paraId="7C6EAF97"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Едва ли не главной задачей при разработке Объекта 257 коллектив завода №100 наметил значительное усиление бронирования. В виду того, что тактико-технические </w:t>
      </w:r>
      <w:r w:rsidRPr="00925F26">
        <w:rPr>
          <w:color w:val="000000" w:themeColor="text1"/>
          <w:sz w:val="16"/>
          <w:szCs w:val="16"/>
        </w:rPr>
        <w:lastRenderedPageBreak/>
        <w:t>требования по массе оставались в пределах Объекта 701 (55 тонн), инженерам пришлось пойти на нестандартные решения. Основной движущей силой проекта были конструкторы Г. Н. Москвин и В. И. Таротько, те самые, которые придумали «щучий нос» и многие другие технические решения, оказавшие впоследствии влияние не только на советское, но на мировое танкостроение.</w:t>
      </w:r>
    </w:p>
    <w:p w14:paraId="3D531F9A"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Толщина лобового листа корпуса выросла до 150 мм, при этом форма лба несколько изменилась. Исчезла маленькая ступенька в районе люка механика-водителя, которая была уязвимым местом. Ликвидировать ее удалось за счет небольшого изменения угла наклона листа, но поскольку толщина брони выросла, характеристики стойкости брони только улучшились. Корпус танка стал короче, что позволило скомпенсировать по весу утолщение брони. Масса корпуса, по сравнению с ИС-6, выросла с 21 всего до 23 тонн, а бронирование при этом стало значительно более мощным. Согласно расчетам, лоб корпуса нового танка не пробивался 122-мм пушкой БЛ-13 в упор.</w:t>
      </w:r>
    </w:p>
    <w:p w14:paraId="38F03894"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 xml:space="preserve">Сравнение конструкций корпусов тяжелых танков. Даже Объект 701 и Объект 703 выглядели на фоне 257-го вчерашним днем </w:t>
      </w:r>
    </w:p>
    <w:p w14:paraId="72B7533D"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Еще большим изменениям оказалась подвергнута нижняя часть корпуса. Использование ходовой части с элементами, находящимися внутри корпуса, вынуждало инженеров делать как минимум часть бортовых листов прямыми. Это сильно усложняло форму бортов в районе ходовой части и снижало снарядостойскость. На Объекте 257 было принято решение ходовую часть из корпуса убрать, а за счет этого нижние бортовые листы установить под рациональными углами. Это позволило сделать невозможным пробитие бортов нового танка немецкой 105-мм зенитной пушкой Flak 39 даже при стрельбе в упор, а заодно увеличило стойкость днища танка при подрыве на противотанковых минах. Правда, при этом усложнилась компоновка боевого отделения и моторно-трансмиссионного отделений.</w:t>
      </w:r>
    </w:p>
    <w:p w14:paraId="7E014451"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Еще большей проблемой стало то, что использовавшаяся на тот момент в советских тяжелых танках торсионная подвеска в танк с такой формой корпуса не вставлялась никак. Решением проблемы стало использование тележечной подвески на буферных пружинах в качестве упругих элементов. Это решение было подсмотрено на американском среднем танке M4A2. Правда, советская конструкция от оригинала отличалась довольно сильно.</w:t>
      </w:r>
    </w:p>
    <w:p w14:paraId="11A6CCB1"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качестве вооружения на Объекте 257 использовалась 122-мм пушка БЛ-13–1. От исходного варианта орудие отличалось тем, что в его конструкцию был введен механический досылатель. Согласно расчетам, применение досылателя должно было увеличить скорострельность до 8–10 выстрелов в минуту. В июне 1945 года досылатель для БЛ-13–1 прошел испытания, на которых показал безотказную работу. В реальности орудие с ним достигло темпа стрельбы в 7–8 выстрелов в минуту.</w:t>
      </w:r>
    </w:p>
    <w:p w14:paraId="4707601E"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Башня, в которую ставилась эта пушка, вела свою родословную от ИС-6, но при этом и ее конструкция подверглась серьезным изменениям. Бронирование было усилено до уровня корпуса Объекта 257. Кроме того, несколько изменилась ее форма. Как и в ИС-6, снаряды находились в кормовой нише, но теперь их разместили так, что укладка из 30 снарядов располагались максимально удобно для заряжающего.</w:t>
      </w:r>
    </w:p>
    <w:p w14:paraId="00FF331F" w14:textId="77777777" w:rsidR="007C4BB0" w:rsidRPr="00925F26" w:rsidRDefault="007C4BB0" w:rsidP="00925F26">
      <w:pPr>
        <w:pStyle w:val="ae"/>
        <w:shd w:val="clear" w:color="auto" w:fill="FFFFFF"/>
        <w:spacing w:before="0" w:after="0"/>
        <w:jc w:val="both"/>
        <w:rPr>
          <w:color w:val="000000" w:themeColor="text1"/>
          <w:sz w:val="16"/>
          <w:szCs w:val="16"/>
        </w:rPr>
      </w:pPr>
      <w:r w:rsidRPr="00925F26">
        <w:rPr>
          <w:color w:val="000000" w:themeColor="text1"/>
          <w:sz w:val="16"/>
          <w:szCs w:val="16"/>
        </w:rPr>
        <w:t>Согласно расчетам, танк с боевой массой около 55 тонн должен был развивать максимальную скорость 50 км/ч. Приводить его в движение должен был двигатель В-16, разработанный заводом №77. Это была попытка модернизации двигателя В-2, причем работы по нему шли как минимум с 1944 года. Подобно Объекту 253, двигатель был сблокирован с электромеханической трансмиссией. К слову, мощность мотора в проекте указана не была, судя по всему, от него ожидали примерно тех же характеристик, что и от В-12, устанавливавшийся в ИС-6 и Объект 701 (17209).</w:t>
      </w:r>
    </w:p>
    <w:p w14:paraId="5958E608" w14:textId="77777777" w:rsidR="007C4BB0" w:rsidRPr="00925F26" w:rsidRDefault="007C4BB0" w:rsidP="00925F26">
      <w:pPr>
        <w:pStyle w:val="ae"/>
        <w:shd w:val="clear" w:color="auto" w:fill="FFFFFF"/>
        <w:spacing w:before="0" w:after="0"/>
        <w:jc w:val="both"/>
        <w:rPr>
          <w:color w:val="000000" w:themeColor="text1"/>
          <w:sz w:val="16"/>
          <w:szCs w:val="16"/>
        </w:rPr>
      </w:pPr>
    </w:p>
    <w:p w14:paraId="427D9C78"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К 20-м числам мая 1945 года наработки по новому танку, получившему шифр 257 (Объект 257) и индекс ИС-7 на заводе № 100, стали приобретать законченную форму. За основу для него коллектив инженеров под руководством ведущего конструктора П. П. Исакова взял проект модернизации ИС-6, который, впрочем, подвергся очень серьёзной переработке. От ИС-6 остались сильно изменённые корпус и башня, а также форма командирской башенки, люк механика-водителя и переработанный механизм поворота башни. С объекта 253 была позаимствована, несмотря на фиаско (на первом же выезде танка произошёл пожар), электромеханическая трансмиссия.</w:t>
      </w:r>
    </w:p>
    <w:p w14:paraId="67E88B8C"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Едва ли не главной задачей при разработке Объекта 257 коллектив завода №100 наметил значительное усиление бронирования. Ввиду того, что тактико-технические требования по массе оставались в пределах Объекта 701 (55 тонн), инженерам пришлось пойти на нестандартные решения. Основной движущей силой проекта были конструкторы Г. Н. Москвин и В. И. Таротько, те самые, которые придумали «щучий нос» и многие другие технические решения, оказавшие впоследствии влияние не только на советское, но на мировое танкостроение.</w:t>
      </w:r>
    </w:p>
    <w:p w14:paraId="5F3E5F89"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Толщина лобового листа корпуса выросла до 150 мм, при этом форма лба несколько изменилась. Исчезла маленькая ступенька в районе люка механика-водителя, которая была уязвимым местом. Ликвидировать её удалось за счёт небольшого изменения угла наклона листа, но поскольку толщина брони выросла, характеристики стойкости брони только улучшились. Корпус танка стал короче, что позволило скомпенсировать по весу утолщение брони. Масса корпуса, по сравнению с ИС-6, выросла с 21 всего до 23 тонн, а бронирование при этом стало значительно более мощным. Согласно расчётам, лоб корпуса нового танка не пробивался 122-мм пушкой БЛ-13 в упор.</w:t>
      </w:r>
    </w:p>
    <w:p w14:paraId="76E3F743"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Ещё б</w:t>
      </w:r>
      <w:r w:rsidRPr="00925F26">
        <w:rPr>
          <w:bCs/>
          <w:iCs/>
          <w:color w:val="000000" w:themeColor="text1"/>
          <w:sz w:val="16"/>
          <w:szCs w:val="16"/>
        </w:rPr>
        <w:t>о</w:t>
      </w:r>
      <w:r w:rsidRPr="00925F26">
        <w:rPr>
          <w:color w:val="000000" w:themeColor="text1"/>
          <w:sz w:val="16"/>
          <w:szCs w:val="16"/>
        </w:rPr>
        <w:t>льшим изменениям оказалась подвергнута нижняя часть корпуса. Использование ходовой части с элементами, находящимися внутри корпуса, вынуждало инженеров делать как минимум часть бортовых листов прямыми. Это сильно усложняло форму бортов в районе ходовой части и снижало снарядостойкость. На Объекте 257 было принято решение ходовую часть из корпуса убрать, а за счёт этого нижние бортовые листы установить под рациональными углами. Это позволило сделать невозможным пробитие бортов нового танка немецкой 105-мм зенитной пушкой Flak 39 даже при стрельбе в упор, а заодно увеличило стойкость днища танка при подрыве на противотанковых минах. Правда, при этом усложнилась компоновка боевого отделения и моторно-трансмиссионного отделений.</w:t>
      </w:r>
    </w:p>
    <w:p w14:paraId="2291C625"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Ещё большей проблемой стало то, что использовавшаяся на тот момент в советских тяжёлых танках торсионная подвеска в танк с такой формой корпуса не вставлялась никак. Решением проблемы стало использование тележечной подвески на буферных пружинах в качестве упругих элементов. Это решение было подсмотрено на американском среднем танке M4A2. Правда, советская конструкция от оригинала отличалась довольно сильно.</w:t>
      </w:r>
    </w:p>
    <w:p w14:paraId="4D6B3635"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В качестве вооружения на Объекте 257 использовалась 122-мм пушка БЛ-13–1. От исходного варианта орудие отличалось тем, что в его конструкцию был введён механический досылатель. Согласно расчётам, применение досылателя должно было увеличить скорострельность до 8–10 выстрелов в минуту. В июне 1945 года досылатель для БЛ-13–1 прошёл испытания, на которых показал безотказную работу. В реальности орудие с ним достигло темпа стрельбы в 7–8 выстрелов в минуту.</w:t>
      </w:r>
    </w:p>
    <w:p w14:paraId="250B7502"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Башня, в которую ставилась эта пушка, вела свою родословную от ИС-6, но при этом и её конструкция подверглась серьёзным изменениям. Бронирование было усилено до уровня корпуса Объекта 257. Кроме того, несколько изменилась её форма. Как и в ИС-6, снаряды находились в кормовой нише, но теперь их разместили так, что укладка из 30 снарядов располагались максимально удобно для заряжающего.</w:t>
      </w:r>
    </w:p>
    <w:p w14:paraId="43949AD4" w14:textId="77777777" w:rsidR="007C4BB0" w:rsidRPr="00925F26" w:rsidRDefault="007C4BB0" w:rsidP="00925F26">
      <w:pPr>
        <w:shd w:val="clear" w:color="auto" w:fill="FFFFFF"/>
        <w:jc w:val="both"/>
        <w:rPr>
          <w:color w:val="000000" w:themeColor="text1"/>
          <w:sz w:val="16"/>
          <w:szCs w:val="16"/>
        </w:rPr>
      </w:pPr>
      <w:r w:rsidRPr="00925F26">
        <w:rPr>
          <w:color w:val="000000" w:themeColor="text1"/>
          <w:sz w:val="16"/>
          <w:szCs w:val="16"/>
        </w:rPr>
        <w:t>Согласно расчётам, танк с боевой массой около 55 тонн должен был развивать максимальную скорость 50 км/ч. Приводить его в движение должен был двигатель В-16, разработанный заводом №77. Это была попытка модернизации двигателя В-2, причём работы по нему шли как минимум с 1944 года. Подобно Объекту 253, двигатель был сблокирован с электромеханической трансмиссией. К слову, мощность мотора в проекте указана не была, судя по всему, от него ожидали примерно тех же характеристик, что и от В-12, устанавливавшийся в ИС-6 и Объект 701 (16735).</w:t>
      </w:r>
    </w:p>
    <w:p w14:paraId="37048D55" w14:textId="77777777" w:rsidR="007C4BB0" w:rsidRPr="00925F26" w:rsidRDefault="007C4BB0" w:rsidP="00925F26">
      <w:pPr>
        <w:jc w:val="both"/>
        <w:rPr>
          <w:color w:val="000000" w:themeColor="text1"/>
          <w:sz w:val="16"/>
          <w:szCs w:val="16"/>
        </w:rPr>
      </w:pPr>
    </w:p>
    <w:p w14:paraId="44AED94F" w14:textId="77777777" w:rsidR="007C4BB0" w:rsidRPr="00925F26" w:rsidRDefault="007C4BB0" w:rsidP="00925F26">
      <w:pPr>
        <w:jc w:val="both"/>
        <w:rPr>
          <w:color w:val="000000" w:themeColor="text1"/>
          <w:sz w:val="16"/>
          <w:szCs w:val="16"/>
        </w:rPr>
      </w:pPr>
      <w:r w:rsidRPr="00925F26">
        <w:rPr>
          <w:color w:val="000000" w:themeColor="text1"/>
          <w:sz w:val="16"/>
          <w:szCs w:val="16"/>
        </w:rPr>
        <w:t>20 мая 1945 г., когда Гер</w:t>
      </w:r>
      <w:r w:rsidRPr="00925F26">
        <w:rPr>
          <w:color w:val="000000" w:themeColor="text1"/>
          <w:sz w:val="16"/>
          <w:szCs w:val="16"/>
        </w:rPr>
        <w:softHyphen/>
        <w:t>мания уже капитулировала, последний конвой JW 67 пришел в Кольский залив. Отдельные суда, перевозившие самолеты из Англии, приходили в наши северные порты летом того же года.</w:t>
      </w:r>
    </w:p>
    <w:p w14:paraId="02D386F7" w14:textId="77777777" w:rsidR="007C4BB0" w:rsidRPr="00925F26" w:rsidRDefault="007C4BB0" w:rsidP="00925F26">
      <w:pPr>
        <w:jc w:val="both"/>
        <w:rPr>
          <w:color w:val="000000" w:themeColor="text1"/>
          <w:sz w:val="16"/>
          <w:szCs w:val="16"/>
        </w:rPr>
      </w:pPr>
      <w:r w:rsidRPr="00925F26">
        <w:rPr>
          <w:color w:val="000000" w:themeColor="text1"/>
          <w:sz w:val="16"/>
          <w:szCs w:val="16"/>
        </w:rPr>
        <w:t>Всего через северные порты доставили 4790 самолетов. Значение этого пути для перевозки авиатехники постепенно умень</w:t>
      </w:r>
      <w:r w:rsidRPr="00925F26">
        <w:rPr>
          <w:color w:val="000000" w:themeColor="text1"/>
          <w:sz w:val="16"/>
          <w:szCs w:val="16"/>
        </w:rPr>
        <w:softHyphen/>
        <w:t>шалось. Если за 1941-42 годы по нему про</w:t>
      </w:r>
      <w:r w:rsidRPr="00925F26">
        <w:rPr>
          <w:color w:val="000000" w:themeColor="text1"/>
          <w:sz w:val="16"/>
          <w:szCs w:val="16"/>
        </w:rPr>
        <w:softHyphen/>
        <w:t>следовали 2 532 машины, то в 1943 г. — 804, в 1944 г. — 766 и в 1945 г. — 688 (23513).</w:t>
      </w:r>
    </w:p>
    <w:p w14:paraId="07ED6E5A" w14:textId="77777777" w:rsidR="007C4BB0" w:rsidRPr="00925F26" w:rsidRDefault="007C4BB0" w:rsidP="00925F26">
      <w:pPr>
        <w:jc w:val="both"/>
        <w:rPr>
          <w:color w:val="000000" w:themeColor="text1"/>
          <w:sz w:val="16"/>
          <w:szCs w:val="16"/>
        </w:rPr>
      </w:pPr>
    </w:p>
    <w:p w14:paraId="3D8A8C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20 мая 1945 г. в соответствии с постановлением ГКО были упразднены НКТП и НКМВ. Указом Президиума ВС СССР от 15.03.1946 г. СНК был реорганизован в СМ СССР, Наркоматы преобразованы в Министерства. В 1946-5 7 г. «кадровые» военные заводы сосредотачиваются в МАП, </w:t>
      </w:r>
      <w:r w:rsidRPr="00925F26">
        <w:rPr>
          <w:color w:val="000000" w:themeColor="text1"/>
          <w:sz w:val="16"/>
          <w:szCs w:val="16"/>
          <w:lang w:val="en-US"/>
        </w:rPr>
        <w:t>MB</w:t>
      </w:r>
      <w:r w:rsidRPr="00925F26">
        <w:rPr>
          <w:color w:val="000000" w:themeColor="text1"/>
          <w:sz w:val="16"/>
          <w:szCs w:val="16"/>
        </w:rPr>
        <w:t>, МОП (с 1953 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 г. создается Спецкомитет при СМ СССР и 111 У в его подчинении. Постановлением СМ № 5744-2162 от 27.12.1949 г. образовано ВГУ при СМ СССР для руководства сырьевой базой атомной промышленности. Затем Указом Президиума ВС СССР от 2.04.1953 г. 111У и ВГУ объединены в МСМ, которому подчинены все предприятия атомной промышленности. В соответствии с постановлением СМ СССР № 1017-419сс от 13.05.1946 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 г. при СМ создается Комитет по радиолокации, головным министерством определено МПСС. Для координации работ по созданию системы ПВО в ~ 1950 г. образуется ТГУ. Постановлением № 3516-1465сс от 15.08.1949 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 г. и постановлением СМ № 134-74сс от 26.01.1954 г. создано МРТП, в котором сосредоточены заводы по радиоэлектронике. В 1950 г. в области радиоэлектроники работают 98 заводов, в 1955 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 г. Бюро по военно-промышленным и военным вопросам при СМ СССР, а затем созданная в 12.1957 г. на базе Спецкомитетов Комиссия Президиума СМ СССР по военно-промышленным вопросам (ВПК). В 1956 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072AFA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Период с 1958 по 1965 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 г. и постановлением СМ </w:t>
      </w:r>
      <w:r w:rsidRPr="00925F26">
        <w:rPr>
          <w:color w:val="000000" w:themeColor="text1"/>
          <w:sz w:val="16"/>
          <w:szCs w:val="16"/>
        </w:rPr>
        <w:lastRenderedPageBreak/>
        <w:t>СССР от 12.1957 г. в конце 1957-начале 1958 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w:t>
      </w:r>
      <w:proofErr w:type="gramStart"/>
      <w:r w:rsidRPr="00925F26">
        <w:rPr>
          <w:color w:val="000000" w:themeColor="text1"/>
          <w:sz w:val="16"/>
          <w:szCs w:val="16"/>
        </w:rPr>
        <w:t>1 )</w:t>
      </w:r>
      <w:proofErr w:type="gramEnd"/>
      <w:r w:rsidRPr="00925F26">
        <w:rPr>
          <w:color w:val="000000" w:themeColor="text1"/>
          <w:sz w:val="16"/>
          <w:szCs w:val="16"/>
        </w:rPr>
        <w:t>г. создан ГК по электронной технике. «Кадровые» серийные заводы переданы в ведение совнархозов (СНХ) 105 экономических административных районов. На 1.07.1960 г. в области радиоэлектроники работали 246 заводов в ведении Совнархозов, а также 34 опытных завода и 60 НИИ в ведении ГКРЭ.</w:t>
      </w:r>
    </w:p>
    <w:p w14:paraId="16D05A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 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 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 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 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 г. в состав данного комплекса входили 120 серийных заводов по выпуску ракетного вооружения и 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23818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 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4D074E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постановлением СМ СССР № 126-47 от 2.03.1965 г. «Об улучшении руководства оборонными отраслями промышленности» вновь были созданы союзные оборонные министерства. В 1965 г. действовало 1132 оборонных завода, в т.ч. в составе МАП - 192, МОП - 196, </w:t>
      </w:r>
      <w:r w:rsidRPr="00925F26">
        <w:rPr>
          <w:color w:val="000000" w:themeColor="text1"/>
          <w:sz w:val="16"/>
          <w:szCs w:val="16"/>
          <w:lang w:val="en-US"/>
        </w:rPr>
        <w:t>MOM</w:t>
      </w:r>
      <w:r w:rsidRPr="00925F26">
        <w:rPr>
          <w:color w:val="000000" w:themeColor="text1"/>
          <w:sz w:val="16"/>
          <w:szCs w:val="16"/>
        </w:rPr>
        <w:t xml:space="preserve"> - 62, МСП - 188, МРТП - 290, МЭП - 204.</w:t>
      </w:r>
      <w:r w:rsidRPr="00925F26">
        <w:rPr>
          <w:color w:val="000000" w:themeColor="text1"/>
          <w:sz w:val="16"/>
          <w:szCs w:val="16"/>
          <w:vertAlign w:val="superscript"/>
        </w:rPr>
        <w:t>92-99</w:t>
      </w:r>
    </w:p>
    <w:p w14:paraId="2C6607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1966 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614CD9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 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w:t>
      </w:r>
      <w:r w:rsidRPr="00925F26">
        <w:rPr>
          <w:color w:val="000000" w:themeColor="text1"/>
          <w:sz w:val="16"/>
          <w:szCs w:val="16"/>
          <w:vertAlign w:val="superscript"/>
        </w:rPr>
        <w:t>101</w:t>
      </w:r>
    </w:p>
    <w:p w14:paraId="5C5197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Далее предприятия ВПК были сосредоточены в 9 министерствах, т.н. «девятке»: МАП, </w:t>
      </w:r>
      <w:r w:rsidRPr="00925F26">
        <w:rPr>
          <w:color w:val="000000" w:themeColor="text1"/>
          <w:sz w:val="16"/>
          <w:szCs w:val="16"/>
          <w:lang w:val="en-US"/>
        </w:rPr>
        <w:t>MM</w:t>
      </w:r>
      <w:r w:rsidRPr="00925F26">
        <w:rPr>
          <w:color w:val="000000" w:themeColor="text1"/>
          <w:sz w:val="16"/>
          <w:szCs w:val="16"/>
        </w:rPr>
        <w:t xml:space="preserve">, </w:t>
      </w:r>
      <w:r w:rsidRPr="00925F26">
        <w:rPr>
          <w:color w:val="000000" w:themeColor="text1"/>
          <w:sz w:val="16"/>
          <w:szCs w:val="16"/>
          <w:lang w:val="en-US"/>
        </w:rPr>
        <w:t>MOM</w:t>
      </w:r>
      <w:r w:rsidRPr="00925F26">
        <w:rPr>
          <w:color w:val="000000" w:themeColor="text1"/>
          <w:sz w:val="16"/>
          <w:szCs w:val="16"/>
        </w:rPr>
        <w:t xml:space="preserve">, МОП, МПСС, МРП, МСМ, МСП, МЭП. К концу 1970-х г. в их ведении находилось 1770 предприятий, около 450 НИИ и 250 ОКБ. В 1988 г. в ВПК передано 240 предприятий легкой и пищевой промышленности. К концу 1991 г. в системе МАП был 131 серийный завод и 133 предприятия по разработке и испытаниям </w:t>
      </w:r>
      <w:r w:rsidRPr="00925F26">
        <w:rPr>
          <w:color w:val="000000" w:themeColor="text1"/>
          <w:sz w:val="16"/>
          <w:szCs w:val="16"/>
          <w:lang w:val="en-US"/>
        </w:rPr>
        <w:t>J</w:t>
      </w:r>
      <w:r w:rsidRPr="00925F26">
        <w:rPr>
          <w:color w:val="000000" w:themeColor="text1"/>
          <w:sz w:val="16"/>
          <w:szCs w:val="16"/>
        </w:rPr>
        <w:t>1</w:t>
      </w:r>
      <w:r w:rsidRPr="00925F26">
        <w:rPr>
          <w:color w:val="000000" w:themeColor="text1"/>
          <w:sz w:val="16"/>
          <w:szCs w:val="16"/>
          <w:lang w:val="en-US"/>
        </w:rPr>
        <w:t>A</w:t>
      </w:r>
      <w:r w:rsidRPr="00925F26">
        <w:rPr>
          <w:color w:val="000000" w:themeColor="text1"/>
          <w:sz w:val="16"/>
          <w:szCs w:val="16"/>
        </w:rPr>
        <w:t>.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 г. в ведении МЭП находилось 816 предприятий, в т.ч. 584 завода и 232 НИИ и КБ. В том числе: Россия - 521 (359 заводов, 162 НИИ и КБ); Украина - 140 (105 и 35); Белоруссия - 27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411C46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правительства в 03.1989 г. упразднены условные обозначения предприятий - почтовые ящики («п/я»).</w:t>
      </w:r>
    </w:p>
    <w:p w14:paraId="74B959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6.11.1991 г. сформирован Совет Министров РФ, в 12.1993 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 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 г. и постановлению правительства от 28.06.2002 г. создан Концерн ПВО «Алмаз-Антей». Указом президента № 84 от 24.01.2004 г. создана Корпорация «Тактическое ракетное вооружение»; Указом № 569 от 28.04.2004 г. -</w:t>
      </w:r>
    </w:p>
    <w:p w14:paraId="05A149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Концерн радиостроения «Вега»; Указом № 993 от 29.07.2004 г. - Концерн «Созвездие». Указом президента № 140 от 20.02.2006 г. создана Объединенная авиастроительная корпорация; Указом № 394 от 21.03.2007 г. создана Объединенная судостроительная корпорация. В соответствии с Федеральным законом № 270-ФЗ от 23.11.2007 г. создана госкорпорация «Ростехнологии», Указом президента № 1052 от 10.07.2008 г. в ее состав передано 426 предприятий.</w:t>
      </w:r>
    </w:p>
    <w:p w14:paraId="178169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25.02.1992 г. из состава Минэкономики выделено самостоятельное Российское космическое агентство (РКА), 23.04.1999 г. оно преобразовано в Российское авиационно-космическое агентство (РАКА) в составе Минэкономики. 20.05.2004 г. из состава Минпромэнерго вновь выделено самостоятельное Федеральное космическое агентство. 17.11.1992 г. создан Комитет РФ по оборонным отраслям промышленности, 1.09.1993 г. он преобразован в Госкомитет по оборонным отраслям промышленности, 18.07.1996 г. преобразован в Министерство оборонных отраслей промышленности (МОП). 17.03.1997 г. МОП упразднено, его функции переданы Минэкономики. 22.05.1999 г. организованы Российские агентства по обычным вооружениям, по судостроению и по системам управления, 25.05.1999 г. - Российское агентство по боеприпасам. В 03.2004 г. они влиты в состав Федерального агентства промышленности (ФАП) в составе Минпромэнерго (с 05.2008 г. - Министерство промышленности и торговли). 9.03.2004 г. Минатом преобразовано в Федеральное агентство по атомной энергии Минпромэнерго. На начало 1998 г. в авиационной промышленности действовало 336 предприятий (в т.ч. 136 серийных заводов, 134 ОКБ, 15 НИИ и 6 ГНЦ), в космической отрасли - 141 предприятие; на 02.2000 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 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w:t>
      </w:r>
      <w:r w:rsidRPr="00925F26">
        <w:rPr>
          <w:color w:val="000000" w:themeColor="text1"/>
          <w:sz w:val="16"/>
          <w:szCs w:val="16"/>
          <w:vertAlign w:val="superscript"/>
        </w:rPr>
        <w:t>вш</w:t>
      </w:r>
      <w:r w:rsidRPr="00925F26">
        <w:rPr>
          <w:color w:val="000000" w:themeColor="text1"/>
          <w:sz w:val="16"/>
          <w:szCs w:val="16"/>
        </w:rPr>
        <w:t>"</w:t>
      </w:r>
      <w:r w:rsidRPr="00925F26">
        <w:rPr>
          <w:color w:val="000000" w:themeColor="text1"/>
          <w:sz w:val="16"/>
          <w:szCs w:val="16"/>
          <w:vertAlign w:val="superscript"/>
        </w:rPr>
        <w:t>100805</w:t>
      </w:r>
      <w:r w:rsidRPr="00925F26">
        <w:rPr>
          <w:color w:val="000000" w:themeColor="text1"/>
          <w:sz w:val="16"/>
          <w:szCs w:val="16"/>
        </w:rPr>
        <w:t xml:space="preserve"> В 2005 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 г. </w:t>
      </w:r>
      <w:r w:rsidRPr="00925F26">
        <w:rPr>
          <w:bCs/>
          <w:iCs/>
          <w:color w:val="000000" w:themeColor="text1"/>
          <w:sz w:val="16"/>
          <w:szCs w:val="16"/>
        </w:rPr>
        <w:t>был</w:t>
      </w:r>
      <w:r w:rsidRPr="00925F26">
        <w:rPr>
          <w:color w:val="000000" w:themeColor="text1"/>
          <w:sz w:val="16"/>
          <w:szCs w:val="16"/>
        </w:rPr>
        <w:t xml:space="preserve"> утвержден перечень стратегических предприятий, в который вошло 1064 организации (514 ФГУП и 550 ОАО). На конец июня 2010 г. в перечень стратегических предприятий входило 213 организаций (165 ФГУП и 48 ОАО) (11982).</w:t>
      </w:r>
    </w:p>
    <w:p w14:paraId="5ABD8832" w14:textId="77777777" w:rsidR="00665165" w:rsidRPr="00925F26" w:rsidRDefault="00665165" w:rsidP="00925F26">
      <w:pPr>
        <w:autoSpaceDE w:val="0"/>
        <w:autoSpaceDN w:val="0"/>
        <w:adjustRightInd w:val="0"/>
        <w:jc w:val="both"/>
        <w:rPr>
          <w:color w:val="000000" w:themeColor="text1"/>
          <w:sz w:val="16"/>
          <w:szCs w:val="16"/>
        </w:rPr>
      </w:pPr>
    </w:p>
    <w:p w14:paraId="341ED00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D1FDC5D" w14:textId="77777777" w:rsidR="00665165" w:rsidRPr="00925F26" w:rsidRDefault="00665165" w:rsidP="00925F26">
      <w:pPr>
        <w:autoSpaceDE w:val="0"/>
        <w:autoSpaceDN w:val="0"/>
        <w:adjustRightInd w:val="0"/>
        <w:jc w:val="both"/>
        <w:rPr>
          <w:iCs/>
          <w:color w:val="000000" w:themeColor="text1"/>
          <w:sz w:val="16"/>
          <w:szCs w:val="16"/>
        </w:rPr>
      </w:pPr>
    </w:p>
    <w:p w14:paraId="6A558F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мая 1945 зенитной артиллерией ТОФ в районе Камчатки были обстреляны 2 В-24 ВВС США (3021).</w:t>
      </w:r>
    </w:p>
    <w:p w14:paraId="6F65CF02" w14:textId="77777777" w:rsidR="00665165" w:rsidRPr="00925F26" w:rsidRDefault="00665165" w:rsidP="00925F26">
      <w:pPr>
        <w:autoSpaceDE w:val="0"/>
        <w:autoSpaceDN w:val="0"/>
        <w:adjustRightInd w:val="0"/>
        <w:jc w:val="both"/>
        <w:rPr>
          <w:color w:val="000000" w:themeColor="text1"/>
          <w:sz w:val="16"/>
          <w:szCs w:val="16"/>
        </w:rPr>
      </w:pPr>
    </w:p>
    <w:p w14:paraId="2FC37F7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9FE5FFB" w14:textId="77777777" w:rsidR="00665165" w:rsidRPr="00925F26" w:rsidRDefault="00665165" w:rsidP="00925F26">
      <w:pPr>
        <w:autoSpaceDE w:val="0"/>
        <w:autoSpaceDN w:val="0"/>
        <w:adjustRightInd w:val="0"/>
        <w:jc w:val="both"/>
        <w:rPr>
          <w:iCs/>
          <w:color w:val="000000" w:themeColor="text1"/>
          <w:sz w:val="16"/>
          <w:szCs w:val="16"/>
        </w:rPr>
      </w:pPr>
    </w:p>
    <w:p w14:paraId="2EB519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мая 1945 заместитель наркома Чернышов направил на имя Берии следующую докладную записку:</w:t>
      </w:r>
    </w:p>
    <w:p w14:paraId="749733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“НКВД СССР получено на заключение письмо секретаря ЦК КП(б)У тов. Хрущева и проект Указа Президиума Верховного Совета СССР “О применении каторжных работ в качестве меры наказания”. Тов. Хрущев в своем письме пишет, что есть такие случаи в судебной практике, когда лишение свободы на 10 лет является слишком мягким наказанием и суды в этих случаях вынуждены применять расстрел, не имея в своем распоряжении иного более сурового наказания, чем 10 лет лишения свободы. В связи с этим тов. Хрущев предлагает почти по всем статьям Уголовного Кодекса, предусматривающим в виде предельной санкции высшую меру наказания, дополнительно ввести осуждение к каторжным работам на срок от 15 до 20 лет (7560).</w:t>
      </w:r>
    </w:p>
    <w:p w14:paraId="67AFC5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Эта мера наказания тов. Хрущевым мотивируется также желанием сохранить физически здоровых людей для использования на работах в отдаленных и особотяжелых местностях Советского Союза (7560).</w:t>
      </w:r>
    </w:p>
    <w:p w14:paraId="5D4B72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Докладываю наши соображения:</w:t>
      </w:r>
    </w:p>
    <w:p w14:paraId="32716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Каторжные работы, как специальная мера наказания, введена Указом Президиума Верховного Совета СССР от 19 апреля 1943 года за преступления, совершенные в военное время, применяются к лицам, - пособникам врагу в расправах и насилиях над гражданским населением и пленными красноармейцами (7560).</w:t>
      </w:r>
    </w:p>
    <w:p w14:paraId="43B7A4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все время применения данного Указа осуждено к каторжным работам немного более 29.000 человек (7560).</w:t>
      </w:r>
    </w:p>
    <w:p w14:paraId="7727F3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Широкое распространение новой тяжелой санкции наказания в виде каторжных работ к концу победоносной войны вряд ли явится целесообразным. Тем более, что фактическое применение высшей меры наказания за последние годы было очень незначительным и в случаях действительно крайней нужды (7560).</w:t>
      </w:r>
    </w:p>
    <w:p w14:paraId="52BAE5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Опыт присуждения к каторжным работам, проводившийся до настоящего времени, показывает, что большое количество осужденных каторжников являются нетрудоспособными (из 29.000 человек почти 10.000 нетрудоспособных) и не могут быть привлечены ни к каким работам, а тем более к каторжным. В целях реальности наказания пришлось бы в законе “О введении каторжных работ” делать оговорку о применении этой санкции только к физически здоровым людям, что осложнило бы на практике работу судов, а закон сделало бы менее устойчивым (7560).</w:t>
      </w:r>
    </w:p>
    <w:p w14:paraId="6705E9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Применение труда каторжников в условиях лагерей НКВД СССР является сложным, так как из одних каторжников, как правило, укомплектовать производственный лагерь невозможно и приходится добавлять специалистов из вольнонаемных или осужденных к другим мерам наказания (7560).</w:t>
      </w:r>
    </w:p>
    <w:p w14:paraId="68E66C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 работы с каторжниками в Воркутинском угольном лагере показывает, что осужденные к каторжным работам на 15-20 лет в условиях специального режима для каторжников теряют перспективу выдержать до конца срока, 15-20 лет, режим и условия каторжных работ. Отсюда моральная подавленность и полное отсутствие стимула для труда, а в результате труд каторжников значительно менее эффективен, чем труд обычных лагерников, при этом, потеря трудоспособности через 5-6 лет почти обязательна (7560).</w:t>
      </w:r>
    </w:p>
    <w:p w14:paraId="6ACB48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Исходя из вышеизложенного, считал бы целесообразным предложение тов. Хрущева не принимать” (7560).</w:t>
      </w:r>
    </w:p>
    <w:p w14:paraId="13ACD952" w14:textId="77777777" w:rsidR="00665165" w:rsidRPr="00925F26" w:rsidRDefault="00665165" w:rsidP="00925F26">
      <w:pPr>
        <w:autoSpaceDE w:val="0"/>
        <w:autoSpaceDN w:val="0"/>
        <w:adjustRightInd w:val="0"/>
        <w:jc w:val="both"/>
        <w:rPr>
          <w:color w:val="000000" w:themeColor="text1"/>
          <w:sz w:val="16"/>
          <w:szCs w:val="16"/>
        </w:rPr>
      </w:pPr>
    </w:p>
    <w:p w14:paraId="6919DA0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FCF3EED" w14:textId="77777777" w:rsidR="00665165" w:rsidRPr="00925F26" w:rsidRDefault="00665165" w:rsidP="00925F26">
      <w:pPr>
        <w:autoSpaceDE w:val="0"/>
        <w:autoSpaceDN w:val="0"/>
        <w:adjustRightInd w:val="0"/>
        <w:jc w:val="both"/>
        <w:rPr>
          <w:iCs/>
          <w:color w:val="000000" w:themeColor="text1"/>
          <w:sz w:val="16"/>
          <w:szCs w:val="16"/>
        </w:rPr>
      </w:pPr>
    </w:p>
    <w:p w14:paraId="6CADDCE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мая 1945 советские оккупационные власти назначили обер-бургомистра Берлина (4962).</w:t>
      </w:r>
    </w:p>
    <w:p w14:paraId="65000C0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DD9D297" w14:textId="77777777" w:rsidR="00637BF4"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870BC3A" w14:textId="77777777" w:rsidR="00637BF4" w:rsidRPr="00925F26" w:rsidRDefault="00637BF4" w:rsidP="00925F26">
      <w:pPr>
        <w:autoSpaceDE w:val="0"/>
        <w:autoSpaceDN w:val="0"/>
        <w:adjustRightInd w:val="0"/>
        <w:jc w:val="both"/>
        <w:rPr>
          <w:iCs/>
          <w:color w:val="000000" w:themeColor="text1"/>
          <w:sz w:val="16"/>
          <w:szCs w:val="16"/>
        </w:rPr>
      </w:pPr>
    </w:p>
    <w:p w14:paraId="57F1E0F3" w14:textId="77777777" w:rsidR="00637BF4" w:rsidRPr="00925F26" w:rsidRDefault="00637BF4" w:rsidP="00925F26">
      <w:pPr>
        <w:jc w:val="both"/>
        <w:rPr>
          <w:color w:val="000000" w:themeColor="text1"/>
          <w:sz w:val="16"/>
          <w:szCs w:val="16"/>
        </w:rPr>
      </w:pPr>
      <w:r w:rsidRPr="00925F26">
        <w:rPr>
          <w:bCs/>
          <w:color w:val="000000" w:themeColor="text1"/>
          <w:sz w:val="16"/>
          <w:szCs w:val="16"/>
        </w:rPr>
        <w:t>20 мая</w:t>
      </w:r>
      <w:r w:rsidRPr="00925F26">
        <w:rPr>
          <w:color w:val="000000" w:themeColor="text1"/>
          <w:sz w:val="16"/>
          <w:szCs w:val="16"/>
        </w:rPr>
        <w:t xml:space="preserve"> в 1945 году все часы в Берлине переведены на 2 часа вперед - на московское время. 23 сентября стрелки переведут назад на один час (14897).</w:t>
      </w:r>
    </w:p>
    <w:p w14:paraId="754FA8FC" w14:textId="77777777" w:rsidR="00637BF4" w:rsidRPr="00925F26" w:rsidRDefault="00637BF4" w:rsidP="00925F26">
      <w:pPr>
        <w:jc w:val="both"/>
        <w:rPr>
          <w:color w:val="000000" w:themeColor="text1"/>
          <w:sz w:val="16"/>
          <w:szCs w:val="16"/>
        </w:rPr>
      </w:pPr>
    </w:p>
    <w:p w14:paraId="00655CD4" w14:textId="77777777" w:rsidR="00102C23" w:rsidRPr="00925F26" w:rsidRDefault="00102C23" w:rsidP="00925F26">
      <w:pPr>
        <w:jc w:val="both"/>
        <w:rPr>
          <w:color w:val="000000" w:themeColor="text1"/>
          <w:sz w:val="16"/>
          <w:szCs w:val="16"/>
        </w:rPr>
      </w:pPr>
      <w:r w:rsidRPr="00925F26">
        <w:rPr>
          <w:color w:val="000000" w:themeColor="text1"/>
          <w:sz w:val="16"/>
          <w:szCs w:val="16"/>
        </w:rPr>
        <w:t>20–29 мая 1945 самолеты британских авианосцев HMS Ameer, HMS Khedive и HMS Stalker наносят сокрушительные удары по японским кораблям, аэродромам и коммуникациям в южной Бирме и Суматре (20371).</w:t>
      </w:r>
    </w:p>
    <w:p w14:paraId="4BA6E850" w14:textId="77777777" w:rsidR="00102C23" w:rsidRPr="00925F26" w:rsidRDefault="00102C23" w:rsidP="00925F26">
      <w:pPr>
        <w:jc w:val="both"/>
        <w:rPr>
          <w:color w:val="000000" w:themeColor="text1"/>
          <w:sz w:val="16"/>
          <w:szCs w:val="16"/>
        </w:rPr>
      </w:pPr>
    </w:p>
    <w:p w14:paraId="0C12BC2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5C97166" w14:textId="77777777" w:rsidR="00665165" w:rsidRPr="00925F26" w:rsidRDefault="00665165" w:rsidP="00925F26">
      <w:pPr>
        <w:autoSpaceDE w:val="0"/>
        <w:autoSpaceDN w:val="0"/>
        <w:adjustRightInd w:val="0"/>
        <w:jc w:val="both"/>
        <w:rPr>
          <w:iCs/>
          <w:color w:val="000000" w:themeColor="text1"/>
          <w:sz w:val="16"/>
          <w:szCs w:val="16"/>
        </w:rPr>
      </w:pPr>
    </w:p>
    <w:p w14:paraId="5C101D3C"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 xml:space="preserve">21 мая 1941 в 571 полку работала комиссия ВВС КА, для которой были сняты наугад еще два мотора («десятки» с зав. № 1892903 и № 1891404). Осмотр моторов показал, что оба АМ-42 имеют «большой люфт между основной крыльчаткой и направляющей в самих </w:t>
      </w:r>
      <w:proofErr w:type="gramStart"/>
      <w:r w:rsidRPr="00925F26">
        <w:rPr>
          <w:rStyle w:val="107"/>
          <w:rFonts w:eastAsiaTheme="minorHAnsi"/>
          <w:color w:val="000000" w:themeColor="text1"/>
          <w:sz w:val="16"/>
          <w:szCs w:val="16"/>
        </w:rPr>
        <w:t>шлицах,/..</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в нагнетателях также много пыли». Выводы те же: самолеты к эксплуатации допускать нельзя.</w:t>
      </w:r>
    </w:p>
    <w:p w14:paraId="713E7610"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Всего же «по причине производственно-конструктивных дефектов нагнетателя» из строя вышли 17 моторов АМ-42. Как указывалось в отчете старшего инженера 571 шап майора Жиленкова, «для восстановления всех самолетов полку требуется 14 моторов АМ-42 и 18 нагнетателей». Фактически 571 шап утратил боеспособность (17490).</w:t>
      </w:r>
    </w:p>
    <w:p w14:paraId="044439E7" w14:textId="77777777" w:rsidR="003605FA" w:rsidRPr="00925F26" w:rsidRDefault="003605FA" w:rsidP="00925F26">
      <w:pPr>
        <w:jc w:val="both"/>
        <w:rPr>
          <w:color w:val="000000" w:themeColor="text1"/>
          <w:sz w:val="16"/>
          <w:szCs w:val="16"/>
        </w:rPr>
      </w:pPr>
    </w:p>
    <w:p w14:paraId="486E10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мая 1945 в 571-м шап 8-й воздушной армии прибыла комиссия ВВС КА, для которой бы</w:t>
      </w:r>
      <w:r w:rsidRPr="00925F26">
        <w:rPr>
          <w:color w:val="000000" w:themeColor="text1"/>
          <w:sz w:val="16"/>
          <w:szCs w:val="16"/>
        </w:rPr>
        <w:softHyphen/>
        <w:t>ли сняты наугад еще два мотора («десятки» с зав. №№ 1892903 и 1891404). Осмотр моторов показал, что оба АМ-42 имеют «большой люфт между основной крыльчаткой и направляю</w:t>
      </w:r>
      <w:r w:rsidRPr="00925F26">
        <w:rPr>
          <w:color w:val="000000" w:themeColor="text1"/>
          <w:sz w:val="16"/>
          <w:szCs w:val="16"/>
        </w:rPr>
        <w:softHyphen/>
        <w:t>щей в самих шлицах &lt;...&gt; в нагнетателях также много пыли». Выводы те же: самолеты к эксплуатации допускать нельзя.</w:t>
      </w:r>
    </w:p>
    <w:p w14:paraId="417F10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указывалось в отчете старшего инженера полка майора Жиленкова, «для восстановления всех самолетов полку требу</w:t>
      </w:r>
      <w:r w:rsidRPr="00925F26">
        <w:rPr>
          <w:color w:val="000000" w:themeColor="text1"/>
          <w:sz w:val="16"/>
          <w:szCs w:val="16"/>
        </w:rPr>
        <w:softHyphen/>
        <w:t>ется 14 моторов АМ-42 и 18 нагнетателей». С учетом потерь, понесенных в ходе боевых действий, 571-й шап фактически ут</w:t>
      </w:r>
      <w:r w:rsidRPr="00925F26">
        <w:rPr>
          <w:color w:val="000000" w:themeColor="text1"/>
          <w:sz w:val="16"/>
          <w:szCs w:val="16"/>
        </w:rPr>
        <w:softHyphen/>
        <w:t>ратил боеспособность и, слава богу, что 9 мая 1945 г. был днем нашей Победы...</w:t>
      </w:r>
    </w:p>
    <w:p w14:paraId="42B364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Специальная комиссия ВВС в середине мая запретила экс</w:t>
      </w:r>
      <w:r w:rsidRPr="00925F26">
        <w:rPr>
          <w:color w:val="000000" w:themeColor="text1"/>
          <w:sz w:val="16"/>
          <w:szCs w:val="16"/>
        </w:rPr>
        <w:softHyphen/>
        <w:t>плуатацию самолетов Ил-10 в строевых частях ВВС КА до про</w:t>
      </w:r>
      <w:r w:rsidRPr="00925F26">
        <w:rPr>
          <w:color w:val="000000" w:themeColor="text1"/>
          <w:sz w:val="16"/>
          <w:szCs w:val="16"/>
        </w:rPr>
        <w:softHyphen/>
        <w:t>ведения необходимых доработок машины.</w:t>
      </w:r>
    </w:p>
    <w:p w14:paraId="771BDF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Надо сказать, что еще в марте 1945 г. на заводе № 18 нача</w:t>
      </w:r>
      <w:r w:rsidRPr="00925F26">
        <w:rPr>
          <w:color w:val="000000" w:themeColor="text1"/>
          <w:sz w:val="16"/>
          <w:szCs w:val="16"/>
        </w:rPr>
        <w:softHyphen/>
        <w:t>лись работы по отработке всасывающих патрубков с воздухо</w:t>
      </w:r>
      <w:r w:rsidRPr="00925F26">
        <w:rPr>
          <w:color w:val="000000" w:themeColor="text1"/>
          <w:sz w:val="16"/>
          <w:szCs w:val="16"/>
        </w:rPr>
        <w:softHyphen/>
        <w:t>очистительными фильтрами — заводского и полевого варианта установки. Полевой вариант мог монтироваться на ранее вы</w:t>
      </w:r>
      <w:r w:rsidRPr="00925F26">
        <w:rPr>
          <w:color w:val="000000" w:themeColor="text1"/>
          <w:sz w:val="16"/>
          <w:szCs w:val="16"/>
        </w:rPr>
        <w:softHyphen/>
        <w:t>пущенные самолеты и имел крепления к уже имеющимся от</w:t>
      </w:r>
      <w:r w:rsidRPr="00925F26">
        <w:rPr>
          <w:color w:val="000000" w:themeColor="text1"/>
          <w:sz w:val="16"/>
          <w:szCs w:val="16"/>
        </w:rPr>
        <w:softHyphen/>
        <w:t>верстиям в броне. Оба пылефильтра были конструктивно по</w:t>
      </w:r>
      <w:r w:rsidRPr="00925F26">
        <w:rPr>
          <w:color w:val="000000" w:themeColor="text1"/>
          <w:sz w:val="16"/>
          <w:szCs w:val="16"/>
        </w:rPr>
        <w:softHyphen/>
        <w:t>добными фильтру ЦАГИ, стоявшему на Ил-2.</w:t>
      </w:r>
    </w:p>
    <w:p w14:paraId="034C94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Уже 16 апреля завершились заводские летные испытания серийного самолета Ил-10 (зав. № 1892105) с полевым вариан</w:t>
      </w:r>
      <w:r w:rsidRPr="00925F26">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2BE397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стандартный всасывающий патрубок «вживили» две дю</w:t>
      </w:r>
      <w:r w:rsidRPr="00925F26">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925F26">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925F26">
        <w:rPr>
          <w:color w:val="000000" w:themeColor="text1"/>
          <w:sz w:val="16"/>
          <w:szCs w:val="16"/>
        </w:rPr>
        <w:softHyphen/>
        <w:t>рекрывала входной канал патрубка, а внутренняя — перекры</w:t>
      </w:r>
      <w:r w:rsidRPr="00925F26">
        <w:rPr>
          <w:color w:val="000000" w:themeColor="text1"/>
          <w:sz w:val="16"/>
          <w:szCs w:val="16"/>
        </w:rPr>
        <w:softHyphen/>
        <w:t>вала канал патрубка неплотно, с зазором 20 мм между заслон</w:t>
      </w:r>
      <w:r w:rsidRPr="00925F26">
        <w:rPr>
          <w:color w:val="000000" w:themeColor="text1"/>
          <w:sz w:val="16"/>
          <w:szCs w:val="16"/>
        </w:rPr>
        <w:softHyphen/>
        <w:t>кой и задней внутренней стенкой патрубка. В этом случае воз</w:t>
      </w:r>
      <w:r w:rsidRPr="00925F26">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925F26">
        <w:rPr>
          <w:color w:val="000000" w:themeColor="text1"/>
          <w:sz w:val="16"/>
          <w:szCs w:val="16"/>
        </w:rPr>
        <w:softHyphen/>
        <w:t>лению полета. Воздух через входное отверстие патрубка начи</w:t>
      </w:r>
      <w:r w:rsidRPr="00925F26">
        <w:rPr>
          <w:color w:val="000000" w:themeColor="text1"/>
          <w:sz w:val="16"/>
          <w:szCs w:val="16"/>
        </w:rPr>
        <w:softHyphen/>
        <w:t>нал поступать в нагнетатель, минуя фильтрующую сетку.</w:t>
      </w:r>
    </w:p>
    <w:p w14:paraId="5545AC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модифицированного всасывающего патрубка, на са</w:t>
      </w:r>
      <w:r w:rsidRPr="00925F26">
        <w:rPr>
          <w:color w:val="000000" w:themeColor="text1"/>
          <w:sz w:val="16"/>
          <w:szCs w:val="16"/>
        </w:rPr>
        <w:softHyphen/>
        <w:t>молете в тоннелях продувки водорадиатора со стороны капота сделаны вырезы общей площадью 560 см</w:t>
      </w:r>
      <w:r w:rsidRPr="00925F26">
        <w:rPr>
          <w:color w:val="000000" w:themeColor="text1"/>
          <w:sz w:val="16"/>
          <w:szCs w:val="16"/>
          <w:vertAlign w:val="superscript"/>
        </w:rPr>
        <w:t>2</w:t>
      </w:r>
      <w:r w:rsidRPr="00925F26">
        <w:rPr>
          <w:color w:val="000000" w:themeColor="text1"/>
          <w:sz w:val="16"/>
          <w:szCs w:val="16"/>
        </w:rPr>
        <w:t>, которые закрыва</w:t>
      </w:r>
      <w:r w:rsidRPr="00925F26">
        <w:rPr>
          <w:color w:val="000000" w:themeColor="text1"/>
          <w:sz w:val="16"/>
          <w:szCs w:val="16"/>
        </w:rPr>
        <w:softHyphen/>
        <w:t>лись сеткой «Дельбак» в один слой.</w:t>
      </w:r>
    </w:p>
    <w:p w14:paraId="6D0A3D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925F26">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925F26">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925F26">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3CD7DE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20 апреля на серийный самолет Ил-10.(зав. № 1890404) был смонтирован всасывающий патрубок с воздухоочиститель</w:t>
      </w:r>
      <w:r w:rsidRPr="00925F26">
        <w:rPr>
          <w:color w:val="000000" w:themeColor="text1"/>
          <w:sz w:val="16"/>
          <w:szCs w:val="16"/>
        </w:rPr>
        <w:softHyphen/>
        <w:t>ным фильтром кассетной конструкции с сеткой типа «Дельбак» заводского варианта установки.</w:t>
      </w:r>
    </w:p>
    <w:p w14:paraId="4090E0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Всасывающий патрубок с пылефильтром состоял из собст</w:t>
      </w:r>
      <w:r w:rsidRPr="00925F26">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925F26">
        <w:rPr>
          <w:color w:val="000000" w:themeColor="text1"/>
          <w:sz w:val="16"/>
          <w:szCs w:val="16"/>
        </w:rPr>
        <w:softHyphen/>
        <w:t>татель. При выпуске шасси заслонка поворачивается, перекры</w:t>
      </w:r>
      <w:r w:rsidRPr="00925F26">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925F26">
        <w:rPr>
          <w:color w:val="000000" w:themeColor="text1"/>
          <w:sz w:val="16"/>
          <w:szCs w:val="16"/>
        </w:rPr>
        <w:softHyphen/>
        <w:t>вающий патрубок снизу.</w:t>
      </w:r>
    </w:p>
    <w:p w14:paraId="110263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Испытания завершились к началу мая. Мотор на всех ре</w:t>
      </w:r>
      <w:r w:rsidRPr="00925F26">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925F26">
        <w:rPr>
          <w:color w:val="000000" w:themeColor="text1"/>
          <w:sz w:val="16"/>
          <w:szCs w:val="16"/>
        </w:rPr>
        <w:softHyphen/>
        <w:t>ла 525 км/ч, а на высоте 2500 м — 475 км/ч (11474,514).</w:t>
      </w:r>
    </w:p>
    <w:p w14:paraId="23A192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87B24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мая 1945 были прерваны испытания И-250 № 1, т.к. силовая установка полностью выработала ресурс (6471, 7).</w:t>
      </w:r>
    </w:p>
    <w:p w14:paraId="7729D3F5" w14:textId="77777777" w:rsidR="00665165" w:rsidRPr="00925F26" w:rsidRDefault="00665165" w:rsidP="00925F26">
      <w:pPr>
        <w:autoSpaceDE w:val="0"/>
        <w:autoSpaceDN w:val="0"/>
        <w:adjustRightInd w:val="0"/>
        <w:jc w:val="both"/>
        <w:rPr>
          <w:color w:val="000000" w:themeColor="text1"/>
          <w:sz w:val="16"/>
          <w:szCs w:val="16"/>
        </w:rPr>
      </w:pPr>
    </w:p>
    <w:p w14:paraId="1AB546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21 мая по 9 июня 1945 года проходили государственные испытания Як-3 ВК- 107А с металлическим крылом, и акт по их результатам утвердили 27 июня 1945 года.</w:t>
      </w:r>
    </w:p>
    <w:p w14:paraId="37683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3341ED74" w14:textId="77777777" w:rsidR="00665165" w:rsidRPr="00925F26" w:rsidRDefault="00665165" w:rsidP="00925F26">
      <w:pPr>
        <w:autoSpaceDE w:val="0"/>
        <w:autoSpaceDN w:val="0"/>
        <w:adjustRightInd w:val="0"/>
        <w:jc w:val="both"/>
        <w:rPr>
          <w:color w:val="000000" w:themeColor="text1"/>
          <w:sz w:val="16"/>
          <w:szCs w:val="16"/>
        </w:rPr>
      </w:pPr>
    </w:p>
    <w:p w14:paraId="033F3E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11 по 21 мая 1945 в ОКБ занимались доводкой машины Як-3Т и 24 мая 1945 года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2C5ED8E1" w14:textId="77777777" w:rsidR="00665165" w:rsidRPr="00925F26" w:rsidRDefault="00665165" w:rsidP="00925F26">
      <w:pPr>
        <w:autoSpaceDE w:val="0"/>
        <w:autoSpaceDN w:val="0"/>
        <w:adjustRightInd w:val="0"/>
        <w:jc w:val="both"/>
        <w:rPr>
          <w:color w:val="000000" w:themeColor="text1"/>
          <w:sz w:val="16"/>
          <w:szCs w:val="16"/>
        </w:rPr>
      </w:pPr>
    </w:p>
    <w:p w14:paraId="4DB2F918" w14:textId="77777777" w:rsidR="00637BF4" w:rsidRPr="00925F26" w:rsidRDefault="00637BF4" w:rsidP="00925F26">
      <w:pPr>
        <w:jc w:val="both"/>
        <w:rPr>
          <w:color w:val="000000" w:themeColor="text1"/>
          <w:sz w:val="16"/>
          <w:szCs w:val="16"/>
        </w:rPr>
      </w:pPr>
      <w:r w:rsidRPr="00925F26">
        <w:rPr>
          <w:bCs/>
          <w:color w:val="000000" w:themeColor="text1"/>
          <w:sz w:val="16"/>
          <w:szCs w:val="16"/>
        </w:rPr>
        <w:t>21 мая</w:t>
      </w:r>
      <w:r w:rsidRPr="00925F26">
        <w:rPr>
          <w:color w:val="000000" w:themeColor="text1"/>
          <w:sz w:val="16"/>
          <w:szCs w:val="16"/>
        </w:rPr>
        <w:t xml:space="preserve"> в 1945 году состоялся первый полет бомбардировщика «Ту-1» («АНТ-63») с двигателями «АМ-39», Перелет А.Д (14898).</w:t>
      </w:r>
    </w:p>
    <w:p w14:paraId="660AF7E4" w14:textId="77777777" w:rsidR="00637BF4" w:rsidRPr="00925F26" w:rsidRDefault="00637BF4" w:rsidP="00925F26">
      <w:pPr>
        <w:jc w:val="both"/>
        <w:rPr>
          <w:color w:val="000000" w:themeColor="text1"/>
          <w:sz w:val="16"/>
          <w:szCs w:val="16"/>
        </w:rPr>
      </w:pPr>
    </w:p>
    <w:p w14:paraId="14AE7847" w14:textId="77777777" w:rsidR="00F226AF" w:rsidRPr="001A0BAA" w:rsidRDefault="00F226AF" w:rsidP="00F226AF">
      <w:pPr>
        <w:jc w:val="both"/>
        <w:rPr>
          <w:color w:val="0070C0"/>
          <w:sz w:val="16"/>
          <w:szCs w:val="16"/>
        </w:rPr>
      </w:pPr>
      <w:r w:rsidRPr="001A0BAA">
        <w:rPr>
          <w:color w:val="0070C0"/>
          <w:sz w:val="16"/>
          <w:szCs w:val="16"/>
        </w:rPr>
        <w:t>С 21 мая 1945 года по 6 мая 1946 года самолет «65» проходил заводские испытания, а вели испытания пилот Ф.Ф. Опадчий и инженер Н.А. Генов. Хотя испытания начались в мае, первый полет самолет совершил 1 июля. Испытания длились год, но характеристик самолета определить не удалось из</w:t>
      </w:r>
      <w:r w:rsidRPr="001A0BAA">
        <w:rPr>
          <w:color w:val="0070C0"/>
          <w:sz w:val="16"/>
          <w:szCs w:val="16"/>
        </w:rPr>
        <w:noBreakHyphen/>
        <w:t>за ненадежности работы двигателей и турбонаддувов. Устранить эти неполадки не удалось и работы над проектом «65» свернули (25073).</w:t>
      </w:r>
    </w:p>
    <w:p w14:paraId="0448F1BF" w14:textId="77777777" w:rsidR="00F226AF" w:rsidRPr="001A0BAA" w:rsidRDefault="00F226AF" w:rsidP="00F226AF">
      <w:pPr>
        <w:jc w:val="both"/>
        <w:rPr>
          <w:color w:val="0070C0"/>
          <w:sz w:val="16"/>
          <w:szCs w:val="16"/>
        </w:rPr>
      </w:pPr>
    </w:p>
    <w:p w14:paraId="19280393" w14:textId="77777777" w:rsidR="00102C23" w:rsidRPr="00925F26" w:rsidRDefault="00102C23" w:rsidP="00925F26">
      <w:pPr>
        <w:jc w:val="both"/>
        <w:rPr>
          <w:color w:val="000000" w:themeColor="text1"/>
          <w:sz w:val="16"/>
          <w:szCs w:val="16"/>
        </w:rPr>
      </w:pPr>
      <w:r w:rsidRPr="00925F26">
        <w:rPr>
          <w:color w:val="000000" w:themeColor="text1"/>
          <w:sz w:val="16"/>
          <w:szCs w:val="16"/>
        </w:rPr>
        <w:t>На 21 мая 1945 г. в Управлении по</w:t>
      </w:r>
      <w:r w:rsidRPr="00925F26">
        <w:rPr>
          <w:color w:val="000000" w:themeColor="text1"/>
          <w:sz w:val="16"/>
          <w:szCs w:val="16"/>
        </w:rPr>
        <w:softHyphen/>
        <w:t>лярной авиации числились два Г-2. Это были Н172 и Н333, имевшие по тем вре</w:t>
      </w:r>
      <w:r w:rsidRPr="00925F26">
        <w:rPr>
          <w:color w:val="000000" w:themeColor="text1"/>
          <w:sz w:val="16"/>
          <w:szCs w:val="16"/>
        </w:rPr>
        <w:softHyphen/>
        <w:t>менам достаточно преклонный возраст и почти выработавшие ресурс. Обе машины списали в 1946 г. (21697).</w:t>
      </w:r>
    </w:p>
    <w:p w14:paraId="2F1DDE64" w14:textId="77777777" w:rsidR="00102C23" w:rsidRPr="00925F26" w:rsidRDefault="00102C23" w:rsidP="00925F26">
      <w:pPr>
        <w:jc w:val="both"/>
        <w:rPr>
          <w:color w:val="000000" w:themeColor="text1"/>
          <w:sz w:val="16"/>
          <w:szCs w:val="16"/>
        </w:rPr>
      </w:pPr>
    </w:p>
    <w:p w14:paraId="5C577E7C" w14:textId="77777777" w:rsidR="00306988" w:rsidRPr="00925F26" w:rsidRDefault="00306988" w:rsidP="00925F26">
      <w:pPr>
        <w:jc w:val="both"/>
        <w:rPr>
          <w:color w:val="000000" w:themeColor="text1"/>
          <w:sz w:val="16"/>
          <w:szCs w:val="16"/>
        </w:rPr>
      </w:pPr>
      <w:r w:rsidRPr="00925F26">
        <w:rPr>
          <w:color w:val="000000" w:themeColor="text1"/>
          <w:sz w:val="16"/>
          <w:szCs w:val="16"/>
        </w:rPr>
        <w:t>21 мая 1945 г. в ЦИАМ завершили испытания двигателей «Сентаурус» VII, которые шли с конца марта 1941. 13 сентября англичане вновь предложили лицензию. Но по мере продвижения с доводкой АШ-73ТК интерес к «Сентаурусу» уменьшался и в конце концов пропал совсем (23356).</w:t>
      </w:r>
    </w:p>
    <w:p w14:paraId="239C3B55" w14:textId="77777777" w:rsidR="00306988" w:rsidRPr="00925F26" w:rsidRDefault="00306988" w:rsidP="00925F26">
      <w:pPr>
        <w:jc w:val="both"/>
        <w:rPr>
          <w:color w:val="000000" w:themeColor="text1"/>
          <w:sz w:val="16"/>
          <w:szCs w:val="16"/>
        </w:rPr>
      </w:pPr>
    </w:p>
    <w:p w14:paraId="4DD4CE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мая 1945 года Шахурин писал письмо наркому ВМФ адмиралу флота Кузнецову Н.Г.</w:t>
      </w:r>
    </w:p>
    <w:p w14:paraId="78001B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проведения ряда работ по исследованию характеристик гребных винтов и ускоренных испытаний опытных аэростатов заграждения методом их буксировки скоростным катером на воде, прошу Вашего распоряжения о выделении из имеющихся у Вас фондов одного скоростного катера типа Г-5, без вооружения и передаче его ЦАГИ к 1 июня 1945 года (2595).</w:t>
      </w:r>
    </w:p>
    <w:p w14:paraId="3724C599" w14:textId="77777777" w:rsidR="00665165" w:rsidRPr="00925F26" w:rsidRDefault="00665165" w:rsidP="00925F26">
      <w:pPr>
        <w:autoSpaceDE w:val="0"/>
        <w:autoSpaceDN w:val="0"/>
        <w:adjustRightInd w:val="0"/>
        <w:jc w:val="both"/>
        <w:rPr>
          <w:color w:val="000000" w:themeColor="text1"/>
          <w:sz w:val="16"/>
          <w:szCs w:val="16"/>
        </w:rPr>
      </w:pPr>
    </w:p>
    <w:p w14:paraId="18BD4A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мая 1945 г. приказом Шахурин в целях наиболее бы</w:t>
      </w:r>
      <w:r w:rsidRPr="00925F26">
        <w:rPr>
          <w:color w:val="000000" w:themeColor="text1"/>
          <w:sz w:val="16"/>
          <w:szCs w:val="16"/>
        </w:rPr>
        <w:softHyphen/>
        <w:t>строго перебазирования и рационального распределения и использо</w:t>
      </w:r>
      <w:r w:rsidRPr="00925F26">
        <w:rPr>
          <w:color w:val="000000" w:themeColor="text1"/>
          <w:sz w:val="16"/>
          <w:szCs w:val="16"/>
        </w:rPr>
        <w:softHyphen/>
        <w:t>вания оборудования германских НИИ, опытных заводов, а также лучшей обработки немецких технических материалов, их перевода, размножения и распределения по организациям НКАП создает комиссию под председательством А.С. Яковлева (10781).</w:t>
      </w:r>
    </w:p>
    <w:p w14:paraId="30CE11BD" w14:textId="77777777" w:rsidR="00665165" w:rsidRPr="00925F26" w:rsidRDefault="00665165" w:rsidP="00925F26">
      <w:pPr>
        <w:autoSpaceDE w:val="0"/>
        <w:autoSpaceDN w:val="0"/>
        <w:adjustRightInd w:val="0"/>
        <w:jc w:val="both"/>
        <w:rPr>
          <w:color w:val="000000" w:themeColor="text1"/>
          <w:sz w:val="16"/>
          <w:szCs w:val="16"/>
        </w:rPr>
      </w:pPr>
    </w:p>
    <w:p w14:paraId="6C8B4AA9" w14:textId="77777777" w:rsidR="00637BF4" w:rsidRPr="00925F26" w:rsidRDefault="00637BF4"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21 мая 1945 г. приказом Шахурин предписывал: «В целях наиболее быстрого перебазирования и рационального распределения и исполь</w:t>
      </w:r>
      <w:r w:rsidRPr="00925F26">
        <w:rPr>
          <w:rFonts w:ascii="Times New Roman" w:cs="Times New Roman"/>
          <w:color w:val="000000" w:themeColor="text1"/>
          <w:spacing w:val="0"/>
          <w:sz w:val="16"/>
          <w:szCs w:val="16"/>
        </w:rPr>
        <w:softHyphen/>
        <w:t>зования оборудования германских НИИ, опытных заводов, а также лучшей обработки не</w:t>
      </w:r>
      <w:r w:rsidRPr="00925F26">
        <w:rPr>
          <w:rFonts w:ascii="Times New Roman" w:cs="Times New Roman"/>
          <w:color w:val="000000" w:themeColor="text1"/>
          <w:spacing w:val="0"/>
          <w:sz w:val="16"/>
          <w:szCs w:val="16"/>
        </w:rPr>
        <w:softHyphen/>
        <w:t>мецких технических материалов, их перевода, размножения и распределения по организациям, НКАП создает комиссию под председательством А.С. Яковлева».</w:t>
      </w:r>
    </w:p>
    <w:p w14:paraId="36BC2EC7" w14:textId="77777777" w:rsidR="00637BF4" w:rsidRPr="00925F26" w:rsidRDefault="00637BF4"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Как видно из текста приказа, до руководства страны ещё не дошло, что главная цен</w:t>
      </w:r>
      <w:r w:rsidRPr="00925F26">
        <w:rPr>
          <w:rFonts w:ascii="Times New Roman" w:cs="Times New Roman"/>
          <w:color w:val="000000" w:themeColor="text1"/>
          <w:spacing w:val="0"/>
          <w:sz w:val="16"/>
          <w:szCs w:val="16"/>
        </w:rPr>
        <w:softHyphen/>
        <w:t>ность, которую может получить победитель — не оборудование, а интеллект германской авиационной промышленности (15791).</w:t>
      </w:r>
    </w:p>
    <w:p w14:paraId="6C5B6C05" w14:textId="77777777" w:rsidR="00637BF4" w:rsidRPr="00925F26" w:rsidRDefault="00637BF4" w:rsidP="00925F26">
      <w:pPr>
        <w:pStyle w:val="36"/>
        <w:shd w:val="clear" w:color="auto" w:fill="auto"/>
        <w:spacing w:after="0" w:line="240" w:lineRule="auto"/>
        <w:jc w:val="both"/>
        <w:rPr>
          <w:rFonts w:ascii="Times New Roman" w:cs="Times New Roman"/>
          <w:color w:val="000000" w:themeColor="text1"/>
          <w:spacing w:val="0"/>
          <w:sz w:val="16"/>
          <w:szCs w:val="16"/>
        </w:rPr>
      </w:pPr>
    </w:p>
    <w:p w14:paraId="0A4BF2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мая 1945 вышел приказ НКАП N 218сс:</w:t>
      </w:r>
    </w:p>
    <w:p w14:paraId="1EB44D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целях наиболее быстрого перебазирования и рационального распределения и использования оборудования германских НИИ, лабораторий и опытных заводов, а также для лучшей обработки немецких технических материалов, их перевода, размножения и распределения по организациям НКАП - ПРИКАЗЫВАЮ:</w:t>
      </w:r>
    </w:p>
    <w:p w14:paraId="0605D0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Назначить комиссию НКАП в следующем составе:</w:t>
      </w:r>
    </w:p>
    <w:p w14:paraId="2826FA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 А.С.Я.</w:t>
      </w:r>
    </w:p>
    <w:p w14:paraId="7A75E6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председателя - С.Н.Шишкин</w:t>
      </w:r>
    </w:p>
    <w:p w14:paraId="181A00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Члены комиссии:</w:t>
      </w:r>
    </w:p>
    <w:p w14:paraId="389967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С.А.Христианович - Зам. нач. ЦАГИ</w:t>
      </w:r>
    </w:p>
    <w:p w14:paraId="703509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С.В.И. - ГК</w:t>
      </w:r>
    </w:p>
    <w:p w14:paraId="3DB2A1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В.И.Поликовский - Нач. ЦИАМ</w:t>
      </w:r>
    </w:p>
    <w:p w14:paraId="08F4D1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А.В.Чесалов - Нач. ЛИИ</w:t>
      </w:r>
    </w:p>
    <w:p w14:paraId="3314A6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Я.Л.Бибиков - Нач. НИИ 1</w:t>
      </w:r>
    </w:p>
    <w:p w14:paraId="3A3DFE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А.Т.Туманов - Нач. ВИАМ</w:t>
      </w:r>
    </w:p>
    <w:p w14:paraId="77590C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Н.И.Петров - Нач. НИСО</w:t>
      </w:r>
    </w:p>
    <w:p w14:paraId="2E2F43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С.А.Шумовский - Нач. БНТ</w:t>
      </w:r>
    </w:p>
    <w:p w14:paraId="66463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М.Г.Бендерский - Нач. отдела 7 ГУ</w:t>
      </w:r>
    </w:p>
    <w:p w14:paraId="2F0657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Г.Д.Волчков - Зам. нач. 8 ГУ (вписано А.И.Ш.).</w:t>
      </w:r>
    </w:p>
    <w:p w14:paraId="216025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Для практического руководства всей работой и подготовки материалов создать при председателе комиссии аппарат в составе 10 чел. из числа работников опытных и НИО НКАП, прикомандировав их на период работы комиссии.</w:t>
      </w:r>
    </w:p>
    <w:p w14:paraId="007A6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Установить след. порядок прохождения НИ материалов, прибывающих из Германии:</w:t>
      </w:r>
    </w:p>
    <w:p w14:paraId="7249ED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все материалы по прибытию поступают (на рассмотрение - А.И.Ш) в аппарат (зачеркнуто А.И.Ш.) комиссии т. А.С.Я. для предварительного (зачеркнуто А.И.Ш.) распределения по институтам НКАП для дальнейшей обработки.</w:t>
      </w:r>
    </w:p>
    <w:p w14:paraId="1925E9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Нач. НИИ НКАП и БНТ по получении от комиссии материалов по специальности института - производить немедленную обработку полученных материалов: перевод, реферирование, составление ТО и альбомов.</w:t>
      </w:r>
    </w:p>
    <w:p w14:paraId="5E7BD1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 институтов, по изготовлении переводов, рефератов, ТО и альбомов - 1 экз. каждого материала докладывать комиссии для решения вопроса о порядке размножения и рассылки (было - направлять БНТ, а Нач. БНТ в самом срочном порядке размножать их для рассылки - А.И.Ш.) конструкторам, институтам и руководящему составу НКАП и ВВС (зачеркнуто - по разнарядкам, составленным институтом-исполнителем.</w:t>
      </w:r>
    </w:p>
    <w:p w14:paraId="4F2AB5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Очередность размножения материалов, поступивших в БНТ, устанавливать комиссии (зачеркнуто А.И.Ш.).</w:t>
      </w:r>
    </w:p>
    <w:p w14:paraId="347EE8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Нач. Особого ГУ т. Гришину работу по организации демонтажа и вывоза оборудования и материалов германских НИИ и ОО вести (вычеркнуто - обычным порядком - А.И.Ш.) по согласованию с комиссией А.С.Я." (1869,133).</w:t>
      </w:r>
    </w:p>
    <w:p w14:paraId="0398D8D9" w14:textId="77777777" w:rsidR="00665165" w:rsidRPr="00925F26" w:rsidRDefault="00665165" w:rsidP="00925F26">
      <w:pPr>
        <w:autoSpaceDE w:val="0"/>
        <w:autoSpaceDN w:val="0"/>
        <w:adjustRightInd w:val="0"/>
        <w:jc w:val="both"/>
        <w:rPr>
          <w:color w:val="000000" w:themeColor="text1"/>
          <w:sz w:val="16"/>
          <w:szCs w:val="16"/>
        </w:rPr>
      </w:pPr>
    </w:p>
    <w:p w14:paraId="19C3B10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36C5715" w14:textId="77777777" w:rsidR="00665165" w:rsidRPr="00925F26" w:rsidRDefault="00665165" w:rsidP="00925F26">
      <w:pPr>
        <w:autoSpaceDE w:val="0"/>
        <w:autoSpaceDN w:val="0"/>
        <w:adjustRightInd w:val="0"/>
        <w:jc w:val="both"/>
        <w:rPr>
          <w:iCs/>
          <w:color w:val="000000" w:themeColor="text1"/>
          <w:sz w:val="16"/>
          <w:szCs w:val="16"/>
        </w:rPr>
      </w:pPr>
    </w:p>
    <w:p w14:paraId="6E5570CE"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На 21 мая 1945 ни одной машины ИС-2 майской программы не сдали. 100 штук, положенных по плану, удалось сдать к 1 июня, из них один танк (серийный номер 703-18073) направили на НИБТ Полигон. Главной причиной задержки стала лихорадочная работа завода по устранению конструктивных недостатков. Главной проблемой оставалась система охлаждения, доработанную конструкцию планировали внедрить с 10 июня.</w:t>
      </w:r>
    </w:p>
    <w:p w14:paraId="5ED5872B"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Проблемным оставался и башенный вентилятор. Параллельно вводились дополнительные улучшения, за май ввели 7 пунктов. В их числе были новая укладка лент дымовых шашек, переделка вентилятора, а также планка для облегчения демонтажа верхних топливных баков. Общий же список изменений, который планировался внести в ИС-3, просто огромен — 177 пунктов. Ещё более проблемным стал июнь. К 1 июля из 250 машин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40AF7209"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w:t>
      </w:r>
      <w:r w:rsidRPr="00925F26">
        <w:rPr>
          <w:color w:val="000000" w:themeColor="text1"/>
          <w:sz w:val="16"/>
          <w:szCs w:val="16"/>
        </w:rPr>
        <w:lastRenderedPageBreak/>
        <w:t>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25B68EF3"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6796C549"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1E1B6686"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1C38F6D4"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5061D5D1" w14:textId="77777777" w:rsidR="00BD3ED4" w:rsidRPr="00925F26" w:rsidRDefault="00BD3ED4" w:rsidP="00925F26">
      <w:pPr>
        <w:pStyle w:val="ae"/>
        <w:shd w:val="clear" w:color="auto" w:fill="FFFFFF"/>
        <w:spacing w:before="0" w:after="0"/>
        <w:jc w:val="both"/>
        <w:textAlignment w:val="baseline"/>
        <w:rPr>
          <w:i/>
          <w:iCs/>
          <w:color w:val="000000" w:themeColor="text1"/>
          <w:sz w:val="16"/>
          <w:szCs w:val="16"/>
        </w:rPr>
      </w:pPr>
      <w:r w:rsidRPr="00925F26">
        <w:rPr>
          <w:i/>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5454929C"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B8942CA" w14:textId="77777777" w:rsidR="00BD3ED4" w:rsidRPr="00925F26" w:rsidRDefault="00BD3ED4" w:rsidP="00925F26">
      <w:pPr>
        <w:pStyle w:val="ae"/>
        <w:shd w:val="clear" w:color="auto" w:fill="FFFFFF"/>
        <w:spacing w:before="0" w:after="0"/>
        <w:jc w:val="both"/>
        <w:textAlignment w:val="baseline"/>
        <w:rPr>
          <w:color w:val="000000" w:themeColor="text1"/>
          <w:sz w:val="16"/>
          <w:szCs w:val="16"/>
        </w:rPr>
      </w:pPr>
    </w:p>
    <w:p w14:paraId="1DB3ED94" w14:textId="77777777" w:rsidR="00736BA6" w:rsidRPr="001A0BAA" w:rsidRDefault="00736BA6" w:rsidP="00736BA6">
      <w:pPr>
        <w:jc w:val="both"/>
        <w:rPr>
          <w:color w:val="0070C0"/>
          <w:sz w:val="16"/>
          <w:szCs w:val="16"/>
        </w:rPr>
      </w:pPr>
      <w:r w:rsidRPr="001A0BAA">
        <w:rPr>
          <w:color w:val="0070C0"/>
          <w:sz w:val="16"/>
          <w:szCs w:val="16"/>
        </w:rPr>
        <w:t>21 мая 1945 года - уже после окончания войны - начальником Технического управления ГБТУ А.И.Благонравовым - 21 мая 1945 года был подписан Приказ «Об утверждении технической документации на танк ИС3», фактически да</w:t>
      </w:r>
      <w:r w:rsidRPr="001A0BAA">
        <w:rPr>
          <w:color w:val="0070C0"/>
          <w:sz w:val="16"/>
          <w:szCs w:val="16"/>
        </w:rPr>
        <w:softHyphen/>
        <w:t>вавший старт серийному производству (25001).</w:t>
      </w:r>
    </w:p>
    <w:p w14:paraId="1AAE1A2A" w14:textId="77777777" w:rsidR="00736BA6" w:rsidRPr="001A0BAA" w:rsidRDefault="00736BA6" w:rsidP="00736BA6">
      <w:pPr>
        <w:jc w:val="both"/>
        <w:rPr>
          <w:color w:val="0070C0"/>
          <w:sz w:val="16"/>
          <w:szCs w:val="16"/>
        </w:rPr>
      </w:pPr>
    </w:p>
    <w:p w14:paraId="6BD40A3C" w14:textId="77777777" w:rsidR="00637BF4" w:rsidRPr="00925F26" w:rsidRDefault="00637BF4" w:rsidP="00925F26">
      <w:pPr>
        <w:autoSpaceDE w:val="0"/>
        <w:autoSpaceDN w:val="0"/>
        <w:adjustRightInd w:val="0"/>
        <w:jc w:val="both"/>
        <w:rPr>
          <w:color w:val="000000" w:themeColor="text1"/>
          <w:sz w:val="16"/>
          <w:szCs w:val="16"/>
        </w:rPr>
      </w:pPr>
      <w:r w:rsidRPr="00925F26">
        <w:rPr>
          <w:color w:val="000000" w:themeColor="text1"/>
          <w:sz w:val="16"/>
          <w:szCs w:val="16"/>
        </w:rPr>
        <w:t>21 мая 1945 г. вышло распоряжение Совнаркома СССР, которым Государственный союзный завод № 527 (бывш. Люберецкий завод силикатного кирпича) со всем оборудованием, инвентарем, карьером, подъездными путями, транспортными средствами, жилфондом, ОРСом и подсобным хозяйством был передан из ведения Наркомата боеприпасов СССР в ведение Наркомата стройматериалов РСФСР (7543).</w:t>
      </w:r>
    </w:p>
    <w:p w14:paraId="40998B3F" w14:textId="77777777" w:rsidR="00637BF4" w:rsidRPr="00925F26" w:rsidRDefault="00637BF4" w:rsidP="00925F26">
      <w:pPr>
        <w:autoSpaceDE w:val="0"/>
        <w:autoSpaceDN w:val="0"/>
        <w:adjustRightInd w:val="0"/>
        <w:jc w:val="both"/>
        <w:rPr>
          <w:color w:val="000000" w:themeColor="text1"/>
          <w:sz w:val="16"/>
          <w:szCs w:val="16"/>
        </w:rPr>
      </w:pPr>
    </w:p>
    <w:p w14:paraId="5D7FB5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мая 1945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w:t>
      </w:r>
      <w:proofErr w:type="gramStart"/>
      <w:r w:rsidRPr="00925F26">
        <w:rPr>
          <w:color w:val="000000" w:themeColor="text1"/>
          <w:sz w:val="16"/>
          <w:szCs w:val="16"/>
        </w:rPr>
        <w:t>...(</w:t>
      </w:r>
      <w:proofErr w:type="gramEnd"/>
      <w:r w:rsidRPr="00925F26">
        <w:rPr>
          <w:color w:val="000000" w:themeColor="text1"/>
          <w:sz w:val="16"/>
          <w:szCs w:val="16"/>
        </w:rPr>
        <w:t>11135).</w:t>
      </w:r>
    </w:p>
    <w:p w14:paraId="076858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9276737" w14:textId="77777777" w:rsidR="00637BF4" w:rsidRPr="00925F26" w:rsidRDefault="00637BF4" w:rsidP="00925F26">
      <w:pPr>
        <w:jc w:val="both"/>
        <w:rPr>
          <w:color w:val="000000" w:themeColor="text1"/>
          <w:sz w:val="16"/>
          <w:szCs w:val="16"/>
        </w:rPr>
      </w:pPr>
      <w:r w:rsidRPr="00925F26">
        <w:rPr>
          <w:bCs/>
          <w:color w:val="000000" w:themeColor="text1"/>
          <w:sz w:val="16"/>
          <w:szCs w:val="16"/>
        </w:rPr>
        <w:t>21 мая</w:t>
      </w:r>
      <w:r w:rsidRPr="00925F26">
        <w:rPr>
          <w:color w:val="000000" w:themeColor="text1"/>
          <w:sz w:val="16"/>
          <w:szCs w:val="16"/>
        </w:rPr>
        <w:t xml:space="preserve"> в 1945 году основан Львовский автобусный завод (с августа 1994 г. ОАО «ЛАЗ») – одно из крупнейших автобусостроительных предприятий СНГ (14898).</w:t>
      </w:r>
    </w:p>
    <w:p w14:paraId="07AF85E5" w14:textId="77777777" w:rsidR="00637BF4" w:rsidRPr="00925F26" w:rsidRDefault="00637BF4" w:rsidP="00925F26">
      <w:pPr>
        <w:jc w:val="both"/>
        <w:rPr>
          <w:color w:val="000000" w:themeColor="text1"/>
          <w:sz w:val="16"/>
          <w:szCs w:val="16"/>
        </w:rPr>
      </w:pPr>
    </w:p>
    <w:p w14:paraId="73B05EA8" w14:textId="77777777" w:rsidR="0049598A" w:rsidRPr="00925F26" w:rsidRDefault="0049598A" w:rsidP="00925F26">
      <w:pPr>
        <w:jc w:val="both"/>
        <w:rPr>
          <w:color w:val="000000" w:themeColor="text1"/>
          <w:sz w:val="16"/>
          <w:szCs w:val="16"/>
        </w:rPr>
      </w:pPr>
      <w:r w:rsidRPr="00925F26">
        <w:rPr>
          <w:color w:val="000000" w:themeColor="text1"/>
          <w:sz w:val="16"/>
          <w:szCs w:val="16"/>
        </w:rPr>
        <w:t xml:space="preserve">21 мая 1945 года начался серийный выпуск нового отечественного лимузина ЗИС-110. Задание на производство этого автомобиля было выдано Заводу имени Сталина в 1942 году, когда тот находился в эвакуации в Миассе, и заводским специалистам пришлось самостоятельно изготавливать оснастку для производства кузовов. Если для ЗиС-101 штампы для кузовных панелей, лонжеронов рамы, а также кондукторы для сварки кузовов были заказаны в США фирме Badd, и на их изготовление было затрачено шестнадцать месяцев и полтора миллиона тогдашних долларов, то теперь на это не было ни валюты, ни времени. Есть также версия, автором которой является британский автоисторик Майкл Седжвик, состоящая в том, что СССР действительно обратился </w:t>
      </w:r>
      <w:proofErr w:type="gramStart"/>
      <w:r w:rsidRPr="00925F26">
        <w:rPr>
          <w:color w:val="000000" w:themeColor="text1"/>
          <w:sz w:val="16"/>
          <w:szCs w:val="16"/>
        </w:rPr>
        <w:t>к фирма</w:t>
      </w:r>
      <w:proofErr w:type="gramEnd"/>
      <w:r w:rsidRPr="00925F26">
        <w:rPr>
          <w:color w:val="000000" w:themeColor="text1"/>
          <w:sz w:val="16"/>
          <w:szCs w:val="16"/>
        </w:rPr>
        <w:t xml:space="preserve"> Паккард с просьбой продать кузовные штампы несостоявшейся модели, но фирмачи ответили, что эти штампы уже уничтожены, так как возобновление выпуска Паккарда-180 не планируется. В конце концов, штампы были отлиты на нашем заводе из цинко-алюминиевого сплаваи показали достаточную долговечность в расчете на мелкосерийное производство.</w:t>
      </w:r>
    </w:p>
    <w:p w14:paraId="502C4346" w14:textId="77777777" w:rsidR="0049598A" w:rsidRPr="00925F26" w:rsidRDefault="0049598A" w:rsidP="00925F26">
      <w:pPr>
        <w:jc w:val="both"/>
        <w:rPr>
          <w:color w:val="000000" w:themeColor="text1"/>
          <w:sz w:val="16"/>
          <w:szCs w:val="16"/>
        </w:rPr>
      </w:pPr>
      <w:r w:rsidRPr="00925F26">
        <w:rPr>
          <w:color w:val="000000" w:themeColor="text1"/>
          <w:sz w:val="16"/>
          <w:szCs w:val="16"/>
        </w:rPr>
        <w:t>Несмотря на то, что за основу была взята внешность Паккарда-180, это была самостоятельная советская разработка, похожая на американский автомобиль лишь декором, при этом имевшая существенные отличия в размерах, форме кузова и конструкции. Так, автор кузова художник-дизайнер Герман сделал все возможное, дабы внешность автомобиля как можно дальше ушла от нелюбимого им американца. Он убрал подножки, придал передним крыльям большую округлость и обтекаемость, изъял из конструкции ниши для размещения в открытую запасных колес, а заднюю часть кузова сделал более покатой. Получившийся в итоге кузов ЗИСа, за вычетом декора, по форме напоминал скорее кузова ручной работы ателье «Фишер», поставлявшиеся для автомобилей «Бьюик-Лимитед» или «Кадиллак» последних довоенных моделей.</w:t>
      </w:r>
    </w:p>
    <w:p w14:paraId="4D1DB22A" w14:textId="77777777" w:rsidR="0049598A" w:rsidRPr="00925F26" w:rsidRDefault="0049598A" w:rsidP="00925F26">
      <w:pPr>
        <w:jc w:val="both"/>
        <w:rPr>
          <w:color w:val="000000" w:themeColor="text1"/>
          <w:sz w:val="16"/>
          <w:szCs w:val="16"/>
        </w:rPr>
      </w:pPr>
      <w:r w:rsidRPr="00925F26">
        <w:rPr>
          <w:color w:val="000000" w:themeColor="text1"/>
          <w:sz w:val="16"/>
          <w:szCs w:val="16"/>
        </w:rPr>
        <w:t>Длина автомобиля при 3760-миллиметровой колёсной базе составляла ровно шесть метров. Ширина равнялась 1960 миллиметрам, а высота при 200-миллиметровом клиренсе достигала 1730 миллиметров.</w:t>
      </w:r>
    </w:p>
    <w:p w14:paraId="0748D804" w14:textId="77777777" w:rsidR="0049598A" w:rsidRPr="00925F26" w:rsidRDefault="0049598A" w:rsidP="00925F26">
      <w:pPr>
        <w:jc w:val="both"/>
        <w:rPr>
          <w:color w:val="000000" w:themeColor="text1"/>
          <w:sz w:val="16"/>
          <w:szCs w:val="16"/>
        </w:rPr>
      </w:pPr>
      <w:r w:rsidRPr="00925F26">
        <w:rPr>
          <w:color w:val="000000" w:themeColor="text1"/>
          <w:sz w:val="16"/>
          <w:szCs w:val="16"/>
        </w:rPr>
        <w:t xml:space="preserve">На автомобиле стоял рядный восьмицилиндровый двигатель, почти полностью скопированный с Паккарда. Все цилиндры были отлиты из специального чугуна в одном блоке вместе с картером. Снизу к картеру был присоединен стальной штампованный поддон. Диаметр его цилиндра составлял 88,9 мм (3,5 дюйма), а ход поршня – 116,84 мм (4,6 дюйма). Поршни были изготовлены из алюминиевого сплава. На юбке поршня был сделан сквозной косой разрез. </w:t>
      </w:r>
    </w:p>
    <w:p w14:paraId="1093D45E" w14:textId="77777777" w:rsidR="0049598A" w:rsidRPr="00925F26" w:rsidRDefault="0049598A" w:rsidP="00925F26">
      <w:pPr>
        <w:jc w:val="both"/>
        <w:rPr>
          <w:color w:val="000000" w:themeColor="text1"/>
          <w:sz w:val="16"/>
          <w:szCs w:val="16"/>
        </w:rPr>
      </w:pPr>
      <w:r w:rsidRPr="00925F26">
        <w:rPr>
          <w:color w:val="000000" w:themeColor="text1"/>
          <w:sz w:val="16"/>
          <w:szCs w:val="16"/>
        </w:rPr>
        <w:t>Впервые в практике советского автомобилестроения двигатель имел гидравлические толкатели клапанов и привод распредвала бесшумной пластинчатой цепью Морзе – ранее такая устанавливалась на автомобили Русско-Балтийского завода. Двигатель ЗиС-110 работал столь тихо и плавно, что на приборной панели имелась контрольная лампа работающего зажигания, иначе было невозможно определить, заведен мотор или нет. Единственное, что пришлось тогда изменить, это степень сжатия. Дело в том, что самым высокооктановым бензином был тогда в СССР бензин Б-70. С 1945 года на Гурьевском НПЗ начали выпускать А-72, но для степени сжатия в 7,4 требовался 74-й. Такой бензин под маркой А-74 освоили на Московском и Рязанском НПЗ лишь к 1950 году, а пока было решено снизить степень сжатия до 6,85 единиц. Такое решение повлекло за собой падение мощности со 162 до 140 л.с. при тех же 3600 оборотах.</w:t>
      </w:r>
    </w:p>
    <w:p w14:paraId="1246D57F" w14:textId="77777777" w:rsidR="0049598A" w:rsidRPr="00925F26" w:rsidRDefault="0049598A" w:rsidP="00925F26">
      <w:pPr>
        <w:jc w:val="both"/>
        <w:rPr>
          <w:color w:val="000000" w:themeColor="text1"/>
          <w:sz w:val="16"/>
          <w:szCs w:val="16"/>
        </w:rPr>
      </w:pPr>
      <w:r w:rsidRPr="00925F26">
        <w:rPr>
          <w:color w:val="000000" w:themeColor="text1"/>
          <w:sz w:val="16"/>
          <w:szCs w:val="16"/>
        </w:rPr>
        <w:t>На ЗиС-101 установили ту же самую трехступенчатую коробку передач, что была на «Победе», на ЗиМе, а потом и на 21-й «Волге». Трогался автомобиль, как правило, со второй передачи и, разогнавшись до 30 км/ч, водитель включал третью. Педаль сцепления при этом переключении он не выжимал.</w:t>
      </w:r>
    </w:p>
    <w:p w14:paraId="42791738" w14:textId="77777777" w:rsidR="0049598A" w:rsidRPr="00925F26" w:rsidRDefault="0049598A" w:rsidP="00925F26">
      <w:pPr>
        <w:jc w:val="both"/>
        <w:rPr>
          <w:color w:val="000000" w:themeColor="text1"/>
          <w:sz w:val="16"/>
          <w:szCs w:val="16"/>
        </w:rPr>
      </w:pPr>
      <w:r w:rsidRPr="00925F26">
        <w:rPr>
          <w:color w:val="000000" w:themeColor="text1"/>
          <w:sz w:val="16"/>
          <w:szCs w:val="16"/>
        </w:rPr>
        <w:t>На ЗиС-110 впервые применялась герметизированная система охлаждения. И еще одна интересная подробность. В верхнем бачке радиатора размещался термостат, который автоматически открывал или закрывал жалюзи, ускоряя прогрев или регулируя охлаждения двигателя.</w:t>
      </w:r>
    </w:p>
    <w:p w14:paraId="3A7C8E05" w14:textId="77777777" w:rsidR="0049598A" w:rsidRPr="00925F26" w:rsidRDefault="0049598A" w:rsidP="00925F26">
      <w:pPr>
        <w:jc w:val="both"/>
        <w:rPr>
          <w:color w:val="000000" w:themeColor="text1"/>
          <w:sz w:val="16"/>
          <w:szCs w:val="16"/>
        </w:rPr>
      </w:pPr>
      <w:r w:rsidRPr="00925F26">
        <w:rPr>
          <w:color w:val="000000" w:themeColor="text1"/>
          <w:sz w:val="16"/>
          <w:szCs w:val="16"/>
        </w:rPr>
        <w:t>ЗиС-110 стал первым в СССР автомобилем с независимой подвеской передних колес. Шасси автомобиля было оснащено стабилизаторами поперечной устойчивости спереди и сзади. Впервые после автомобиля АМО-2 был применен гидропривод тормозов.</w:t>
      </w:r>
    </w:p>
    <w:p w14:paraId="57612504" w14:textId="77777777" w:rsidR="0049598A" w:rsidRPr="00925F26" w:rsidRDefault="0049598A" w:rsidP="00925F26">
      <w:pPr>
        <w:jc w:val="both"/>
        <w:rPr>
          <w:color w:val="000000" w:themeColor="text1"/>
          <w:sz w:val="16"/>
          <w:szCs w:val="16"/>
        </w:rPr>
      </w:pPr>
      <w:r w:rsidRPr="00925F26">
        <w:rPr>
          <w:color w:val="000000" w:themeColor="text1"/>
          <w:sz w:val="16"/>
          <w:szCs w:val="16"/>
        </w:rPr>
        <w:t>Автомобиль отличали хорошая шумоизоляция, эффективная система вентиляции и отопления, серийно устанавливаемый радиоприемник, мягкие сиденья с набивкой из гагачьего пуха и обшивка из бежевого драпа – материала, из которого тогда шили пальто. Поворотная форточка на ЗиС-110 ставилась только в передних дверях. Заднее же боковое стекло могло поворачиваться относительно вертикальной оси, проходившей примерно по его середине. Кроме того, ЗиС-110 стал первым отечественным автомобилем, стёкла которого поднимались автоматически. Но поднимаются они не с помощью обычных электромоторов, как это делается в современных автомобилях, а с помощью гидравлических домкратов. Сделано это для того, чтобы можно было осуществлять подъём довольно тяжелых 75-</w:t>
      </w:r>
      <w:r w:rsidRPr="00925F26">
        <w:rPr>
          <w:color w:val="000000" w:themeColor="text1"/>
          <w:sz w:val="16"/>
          <w:szCs w:val="16"/>
        </w:rPr>
        <w:lastRenderedPageBreak/>
        <w:t>миллиметровых бронированных стёкол. Кстати, о броне: из 2100 выпущенных экземпляров в броню одели только 43 штуки, но первым выпущенным экземпляром была именно бронированная версия – этот экземпляр в итоге и достался Сталину.</w:t>
      </w:r>
    </w:p>
    <w:p w14:paraId="44D5E411" w14:textId="77777777" w:rsidR="0049598A" w:rsidRPr="00925F26" w:rsidRDefault="0049598A" w:rsidP="00925F26">
      <w:pPr>
        <w:jc w:val="both"/>
        <w:rPr>
          <w:color w:val="000000" w:themeColor="text1"/>
          <w:sz w:val="16"/>
          <w:szCs w:val="16"/>
        </w:rPr>
      </w:pPr>
      <w:r w:rsidRPr="00925F26">
        <w:rPr>
          <w:color w:val="000000" w:themeColor="text1"/>
          <w:sz w:val="16"/>
          <w:szCs w:val="16"/>
        </w:rPr>
        <w:t>Масса такой конструкции вместо 2500 кг составляла около 7,5 тонн. Чтобы шасси выдерживало такую нагрузку, задний мост с полностью разгруженными полуосями пришлось позаимствовать у грузовика ЗиС-150. Даже передаточное отношение в главной передаче оставили грузовым – 6,67 вместо 4,36 у серийной модели. Однако именно на этой модификации, названной ЗиС-115, оставили высокую степень сжатия, и первое время такие автомобили заправляли импортным бензином. Несмотря на увеличенную мощность, скорость «броневика» не превышала 100 км/ч, в то время как серийная 140-сильная модель разгонялась до 140, набирая 100-километровую скорость за 28 секунд.</w:t>
      </w:r>
    </w:p>
    <w:p w14:paraId="5C9B434E" w14:textId="77777777" w:rsidR="0049598A" w:rsidRPr="00925F26" w:rsidRDefault="0049598A" w:rsidP="00925F26">
      <w:pPr>
        <w:jc w:val="both"/>
        <w:rPr>
          <w:color w:val="000000" w:themeColor="text1"/>
          <w:sz w:val="16"/>
          <w:szCs w:val="16"/>
        </w:rPr>
      </w:pPr>
      <w:r w:rsidRPr="00925F26">
        <w:rPr>
          <w:color w:val="000000" w:themeColor="text1"/>
          <w:sz w:val="16"/>
          <w:szCs w:val="16"/>
        </w:rPr>
        <w:t xml:space="preserve">Автомобиль имел множество модификаций. В 1952 году, например, было построено несколько спортивных автомобилей ЗИС-112 с форсированным двигателем мощностью в 192 л.с., которые могли разгоняться до 200 км/час. А тремя годами раньше сталинский завод изготовил несколько автомобилей ЗИС-110 в модификациях «Такси» и «Скорая помощь». Внешние отличия Скорой Помощи от базовой модели состояли в специальной медицинской окраске, которая была бежевая или светло-серая, фонаре с красным крестом на крыше и измененной форме багажника: последний стал доходить до крыши, что было связано с использованием штатных носилок, которыми комплектовался автомобиль. </w:t>
      </w:r>
    </w:p>
    <w:p w14:paraId="4B71ED17" w14:textId="77777777" w:rsidR="0049598A" w:rsidRPr="00925F26" w:rsidRDefault="0049598A" w:rsidP="00925F26">
      <w:pPr>
        <w:jc w:val="both"/>
        <w:rPr>
          <w:color w:val="000000" w:themeColor="text1"/>
          <w:sz w:val="16"/>
          <w:szCs w:val="16"/>
        </w:rPr>
      </w:pPr>
      <w:r w:rsidRPr="00925F26">
        <w:rPr>
          <w:color w:val="000000" w:themeColor="text1"/>
          <w:sz w:val="16"/>
          <w:szCs w:val="16"/>
        </w:rPr>
        <w:t>В том же году впервые увидел свет автомобиль ЗИС-110Б с открытым кузовом типа фаэтон. Фаэтоны ЗИС-110Б начиная с 1955 года сменили коней, которыми пользовались командующие парадами и принимающие парад на Красной площади в Москве, на Дворцовой площади в Ленинграде.</w:t>
      </w:r>
    </w:p>
    <w:p w14:paraId="6CA15874" w14:textId="292F9048" w:rsidR="0049598A" w:rsidRPr="00925F26" w:rsidRDefault="0049598A" w:rsidP="00925F26">
      <w:pPr>
        <w:jc w:val="both"/>
        <w:rPr>
          <w:color w:val="000000" w:themeColor="text1"/>
          <w:sz w:val="16"/>
          <w:szCs w:val="16"/>
        </w:rPr>
      </w:pPr>
      <w:r w:rsidRPr="00925F26">
        <w:rPr>
          <w:color w:val="000000" w:themeColor="text1"/>
          <w:sz w:val="16"/>
          <w:szCs w:val="16"/>
        </w:rPr>
        <w:t>Одной из самых необычных вариантов был полноприводной ЗИС-110Ш, появившийся в 1949 году.</w:t>
      </w:r>
      <w:r w:rsidR="00997EDF" w:rsidRPr="00925F26">
        <w:rPr>
          <w:color w:val="000000" w:themeColor="text1"/>
          <w:sz w:val="16"/>
          <w:szCs w:val="16"/>
        </w:rPr>
        <w:t xml:space="preserve">      </w:t>
      </w:r>
      <w:r w:rsidRPr="00925F26">
        <w:rPr>
          <w:color w:val="000000" w:themeColor="text1"/>
          <w:sz w:val="16"/>
          <w:szCs w:val="16"/>
        </w:rPr>
        <w:t>Главной особенностью этого автомобиля был полный привод. Его обеспечили два ведущих моста от автомобиля «додж WC51», причём передний мост имел карданные шарниры типа «вейс». В послевоенное время осталось немалое количество старой, оставшейся с войны лендлизовской техники. Чтобы не конструировать новые агрегаты, приняли решение подобрать их из ассортимента имеющихся американских. С раздаточной коробкой соединение обеспечивалось двумя удлинёнными карданными валами от ЗИС-110. Сама же раздаточная коробка, принадлежавшая также «доджу» и имевшая передаточное отношение 1:1, приводилась в движение от коробки передач специальным коротким промежуточным карданным валом. Сердцем нового вездехода стал самый мощный и лучший легковой двигатель от автомобиля «ЗИС-115», обладающий к тому же более совершенной системой охлаждения масла и заново спроектированным радиатором.</w:t>
      </w:r>
    </w:p>
    <w:p w14:paraId="04CB56D3" w14:textId="77777777" w:rsidR="0049598A" w:rsidRPr="00925F26" w:rsidRDefault="0049598A" w:rsidP="00925F26">
      <w:pPr>
        <w:jc w:val="both"/>
        <w:rPr>
          <w:color w:val="000000" w:themeColor="text1"/>
          <w:sz w:val="16"/>
          <w:szCs w:val="16"/>
        </w:rPr>
      </w:pPr>
      <w:r w:rsidRPr="00925F26">
        <w:rPr>
          <w:color w:val="000000" w:themeColor="text1"/>
          <w:sz w:val="16"/>
          <w:szCs w:val="16"/>
        </w:rPr>
        <w:t>Этот довольно удачный образец был выпущен всего в 47 экземплярах, ни один из которых до наших дней, к сожалению, не дожил (17452).</w:t>
      </w:r>
    </w:p>
    <w:p w14:paraId="07CE99B9" w14:textId="77777777" w:rsidR="0049598A" w:rsidRPr="00925F26" w:rsidRDefault="0049598A" w:rsidP="00925F26">
      <w:pPr>
        <w:widowControl w:val="0"/>
        <w:tabs>
          <w:tab w:val="left" w:pos="11199"/>
        </w:tabs>
        <w:autoSpaceDE w:val="0"/>
        <w:autoSpaceDN w:val="0"/>
        <w:adjustRightInd w:val="0"/>
        <w:jc w:val="both"/>
        <w:rPr>
          <w:color w:val="000000" w:themeColor="text1"/>
          <w:sz w:val="16"/>
          <w:szCs w:val="16"/>
        </w:rPr>
      </w:pPr>
    </w:p>
    <w:p w14:paraId="1BEC03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мая 1945 г. Совет Народных Комиссаров СССР выпустил Распоряжение № 8035р</w:t>
      </w:r>
    </w:p>
    <w:p w14:paraId="484005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5B2AEE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Обязать Наркомбоеприпасов (т. Ванникова) передать по балансу на 15 мая 1945 г. Наркомстройматериалов РСФСР завод, № 527 (быв.Люберецкий завод силикатно</w:t>
      </w:r>
      <w:r w:rsidRPr="00925F26">
        <w:rPr>
          <w:color w:val="000000" w:themeColor="text1"/>
          <w:sz w:val="16"/>
          <w:szCs w:val="16"/>
        </w:rPr>
        <w:softHyphen/>
        <w:t>го кирпича) со всем оборудованием, инвентарем, карье</w:t>
      </w:r>
      <w:r w:rsidRPr="00925F26">
        <w:rPr>
          <w:color w:val="000000" w:themeColor="text1"/>
          <w:sz w:val="16"/>
          <w:szCs w:val="16"/>
        </w:rPr>
        <w:softHyphen/>
        <w:t>ром, подъездными путями, транспортными средствами, жилфондом, орсом и подсобным хозяйством.</w:t>
      </w:r>
    </w:p>
    <w:p w14:paraId="1900EF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Обязать Совнарком РСФСР (т. Косыгина) в месяч</w:t>
      </w:r>
      <w:r w:rsidRPr="00925F26">
        <w:rPr>
          <w:color w:val="000000" w:themeColor="text1"/>
          <w:sz w:val="16"/>
          <w:szCs w:val="16"/>
        </w:rPr>
        <w:softHyphen/>
        <w:t>ный срок представить в Совнарком СССР мероприятия по обеспечению выпуска силикатного кирпича на Любе</w:t>
      </w:r>
      <w:r w:rsidRPr="00925F26">
        <w:rPr>
          <w:color w:val="000000" w:themeColor="text1"/>
          <w:sz w:val="16"/>
          <w:szCs w:val="16"/>
        </w:rPr>
        <w:softHyphen/>
        <w:t>рецком заводе.</w:t>
      </w:r>
    </w:p>
    <w:p w14:paraId="53FF13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Разрешить Наркомстройматериалов РСФСР передать Люберецкому заводу силикатного кирпича оборудование разрушенного Павловского завода силикатного кирпича.</w:t>
      </w:r>
    </w:p>
    <w:p w14:paraId="7B9EFF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Сохранить для руководящих, инженерно-технических работников, рабочих и служащих Люберецкого завода си</w:t>
      </w:r>
      <w:r w:rsidRPr="00925F26">
        <w:rPr>
          <w:color w:val="000000" w:themeColor="text1"/>
          <w:sz w:val="16"/>
          <w:szCs w:val="16"/>
        </w:rPr>
        <w:softHyphen/>
        <w:t>ликатного кирпича Наркомстройматериалов РСФСР нормы продовольственного и промтоварного снабжения, а также условия оплаты труда, действовавшие на этом заводе во время нахождения его в системе Наркомбоеприпасов.</w:t>
      </w:r>
    </w:p>
    <w:p w14:paraId="1DB2A5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 Председателя Совета Народных Комиссаров Союза СССР</w:t>
      </w:r>
    </w:p>
    <w:p w14:paraId="697B27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Молотов)</w:t>
      </w:r>
    </w:p>
    <w:p w14:paraId="349F89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ГАРФ. Ф. 5446. Оп. 2. Д. 124. Л. 98. Подлинник (11461).</w:t>
      </w:r>
    </w:p>
    <w:p w14:paraId="67703C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7C0B3B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6BBE7AD" w14:textId="77777777" w:rsidR="00665165" w:rsidRPr="00925F26" w:rsidRDefault="00665165" w:rsidP="00925F26">
      <w:pPr>
        <w:autoSpaceDE w:val="0"/>
        <w:autoSpaceDN w:val="0"/>
        <w:adjustRightInd w:val="0"/>
        <w:jc w:val="both"/>
        <w:rPr>
          <w:iCs/>
          <w:color w:val="000000" w:themeColor="text1"/>
          <w:sz w:val="16"/>
          <w:szCs w:val="16"/>
        </w:rPr>
      </w:pPr>
    </w:p>
    <w:p w14:paraId="41B38A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мая 1945 в 571 шап прибыла комиссия ВВС КА, для которой были сняты на</w:t>
      </w:r>
      <w:r w:rsidRPr="00925F26">
        <w:rPr>
          <w:color w:val="000000" w:themeColor="text1"/>
          <w:sz w:val="16"/>
          <w:szCs w:val="16"/>
        </w:rPr>
        <w:softHyphen/>
        <w:t>угад еще два мотора («десятки» с зав. №№ 1892903 и 1891404). Осмотр мо</w:t>
      </w:r>
      <w:r w:rsidRPr="00925F26">
        <w:rPr>
          <w:color w:val="000000" w:themeColor="text1"/>
          <w:sz w:val="16"/>
          <w:szCs w:val="16"/>
        </w:rPr>
        <w:softHyphen/>
        <w:t>торов показал, что оба АМ-42 имеют «большой люфт между основной крыльчаткой и направляющей в самих шлицах, ...в нагнетателях также много пыли». Выводы те же: самолеты к экс</w:t>
      </w:r>
      <w:r w:rsidRPr="00925F26">
        <w:rPr>
          <w:color w:val="000000" w:themeColor="text1"/>
          <w:sz w:val="16"/>
          <w:szCs w:val="16"/>
        </w:rPr>
        <w:softHyphen/>
        <w:t>плуатации допускать нельзя.</w:t>
      </w:r>
    </w:p>
    <w:p w14:paraId="1FC3E3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же «по причине производ</w:t>
      </w:r>
      <w:r w:rsidRPr="00925F26">
        <w:rPr>
          <w:color w:val="000000" w:themeColor="text1"/>
          <w:sz w:val="16"/>
          <w:szCs w:val="16"/>
        </w:rPr>
        <w:softHyphen/>
        <w:t>ственно-конструктивных дефектов нагнетателя» из строя вышли 17 мото</w:t>
      </w:r>
      <w:r w:rsidRPr="00925F26">
        <w:rPr>
          <w:color w:val="000000" w:themeColor="text1"/>
          <w:sz w:val="16"/>
          <w:szCs w:val="16"/>
        </w:rPr>
        <w:softHyphen/>
        <w:t>ров АМ- 42. Как указывалось в отчете ст. инженера 571-го шап м-ра Жилен-кова, «для восстановления всех само</w:t>
      </w:r>
      <w:r w:rsidRPr="00925F26">
        <w:rPr>
          <w:color w:val="000000" w:themeColor="text1"/>
          <w:sz w:val="16"/>
          <w:szCs w:val="16"/>
        </w:rPr>
        <w:softHyphen/>
        <w:t>летов полку требуется 14 моторов АМ-42 и 18 нагнетателей». Фактически 571-й шап утратил боеспособность и, слава богу, что 9 мая 1945 г. был днем нашей Победы</w:t>
      </w:r>
      <w:proofErr w:type="gramStart"/>
      <w:r w:rsidRPr="00925F26">
        <w:rPr>
          <w:color w:val="000000" w:themeColor="text1"/>
          <w:sz w:val="16"/>
          <w:szCs w:val="16"/>
        </w:rPr>
        <w:t>...(</w:t>
      </w:r>
      <w:proofErr w:type="gramEnd"/>
      <w:r w:rsidRPr="00925F26">
        <w:rPr>
          <w:color w:val="000000" w:themeColor="text1"/>
          <w:sz w:val="16"/>
          <w:szCs w:val="16"/>
        </w:rPr>
        <w:t>11157).</w:t>
      </w:r>
    </w:p>
    <w:p w14:paraId="38E92F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4DF78C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C29252F" w14:textId="77777777" w:rsidR="00665165" w:rsidRPr="00925F26" w:rsidRDefault="00665165" w:rsidP="00925F26">
      <w:pPr>
        <w:autoSpaceDE w:val="0"/>
        <w:autoSpaceDN w:val="0"/>
        <w:adjustRightInd w:val="0"/>
        <w:jc w:val="both"/>
        <w:rPr>
          <w:iCs/>
          <w:color w:val="000000" w:themeColor="text1"/>
          <w:sz w:val="16"/>
          <w:szCs w:val="16"/>
        </w:rPr>
      </w:pPr>
    </w:p>
    <w:p w14:paraId="0184737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мая 1945 Сирия и Ливан провозгласили свою независимость от Франции (4962).</w:t>
      </w:r>
    </w:p>
    <w:p w14:paraId="514D50C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E219C6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A799E6B" w14:textId="77777777" w:rsidR="00665165" w:rsidRPr="00925F26" w:rsidRDefault="00665165" w:rsidP="00925F26">
      <w:pPr>
        <w:autoSpaceDE w:val="0"/>
        <w:autoSpaceDN w:val="0"/>
        <w:adjustRightInd w:val="0"/>
        <w:jc w:val="both"/>
        <w:rPr>
          <w:iCs/>
          <w:color w:val="000000" w:themeColor="text1"/>
          <w:sz w:val="16"/>
          <w:szCs w:val="16"/>
        </w:rPr>
      </w:pPr>
    </w:p>
    <w:p w14:paraId="76BF2C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 ГК НИИ ВВС прибыл для прохождения гос. испытаний модифицированный самолет УИл-2 с мотором АМ-38Ф (самолет N 18841133 производства 18 завода, апрель 1945) (тема 2 - 1945). Испытания проходили с 31 мая по 8 июня 1945. Среди отличий (1969,11):</w:t>
      </w:r>
    </w:p>
    <w:p w14:paraId="1F1C70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самолету:</w:t>
      </w:r>
    </w:p>
    <w:p w14:paraId="21117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Улучшена вторая кабина, проведены следующие изменения</w:t>
      </w:r>
    </w:p>
    <w:p w14:paraId="36A9CA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установлен пол</w:t>
      </w:r>
    </w:p>
    <w:p w14:paraId="2AD06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заменены боковые фанерные щитки на прозрачные в подвижной части фонаря</w:t>
      </w:r>
    </w:p>
    <w:p w14:paraId="17F249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установлено ограждение на тяги и тросы управления</w:t>
      </w:r>
    </w:p>
    <w:p w14:paraId="44EA76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установлены мягкие подушки на подголовнике и спинке сидения</w:t>
      </w:r>
    </w:p>
    <w:p w14:paraId="71D7D9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 изменены габариты приборной доски</w:t>
      </w:r>
    </w:p>
    <w:p w14:paraId="00AF0B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Установлено в первой кабине управление фиксатором замка подъемника щитков для постановки последних во взлетное положение</w:t>
      </w:r>
    </w:p>
    <w:p w14:paraId="564DEC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Установлены бронестекла в козырьке фонаря первой кабины</w:t>
      </w:r>
    </w:p>
    <w:p w14:paraId="067ED0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Установлен стандартный зарядный штуцер</w:t>
      </w:r>
    </w:p>
    <w:p w14:paraId="4A1716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спецоборудованию</w:t>
      </w:r>
    </w:p>
    <w:p w14:paraId="72CD77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Установлено СПУ-2ММ вместо СПУФ-2</w:t>
      </w:r>
    </w:p>
    <w:p w14:paraId="4F7FEA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Установлен передатчик РСИ-3М1 с укороченной антенной</w:t>
      </w:r>
    </w:p>
    <w:p w14:paraId="79425B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Установлена кнопка управления передатчиком на секторе нормального газа</w:t>
      </w:r>
    </w:p>
    <w:p w14:paraId="01B083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Установлены фильтры СФ-1 в электросети и АПФ-1 в цепи системы зажигания</w:t>
      </w:r>
    </w:p>
    <w:p w14:paraId="6BA40C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Установлен аккумулятор типа 12А-10 С/3</w:t>
      </w:r>
    </w:p>
    <w:p w14:paraId="0F7F0B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установлены аптечки в обеих кабинах</w:t>
      </w:r>
    </w:p>
    <w:p w14:paraId="17F838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вооружению</w:t>
      </w:r>
    </w:p>
    <w:p w14:paraId="28AA6C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Самолет оборудован новой конусной установкой</w:t>
      </w:r>
    </w:p>
    <w:p w14:paraId="2D235B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Сняты гашетки перезярядки пушек (1969,10).</w:t>
      </w:r>
    </w:p>
    <w:p w14:paraId="407A55E8" w14:textId="77777777" w:rsidR="00665165" w:rsidRPr="00925F26" w:rsidRDefault="00665165" w:rsidP="00925F26">
      <w:pPr>
        <w:autoSpaceDE w:val="0"/>
        <w:autoSpaceDN w:val="0"/>
        <w:adjustRightInd w:val="0"/>
        <w:jc w:val="both"/>
        <w:rPr>
          <w:color w:val="000000" w:themeColor="text1"/>
          <w:sz w:val="16"/>
          <w:szCs w:val="16"/>
        </w:rPr>
      </w:pPr>
    </w:p>
    <w:p w14:paraId="303E6A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г. вышел приказ НКАП о производстве на заводе № 22 деталей двигателя РД-20 для завода № 16. А по приказу НКАП от 16 июня 1945 г. на завод № 16 передаются чертежи и проектная документация по двигателю РД-20. 14 августа 1945 г. из города Ораниенбурга в Казань вылетел самолет Ли-2 (командир экипажа Чугунов), загруженный двумя комплектами двигателей БМВ-003 и аппаратурой. На заводе был составлен очень напряженный план-график постановки производства РД-20:</w:t>
      </w:r>
    </w:p>
    <w:p w14:paraId="65807DE2"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Получение документации – 13.06.45 г.; </w:t>
      </w:r>
    </w:p>
    <w:p w14:paraId="0D6A419D"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Получение образцов – 20.06.45 г.; </w:t>
      </w:r>
    </w:p>
    <w:p w14:paraId="4063D6D6"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Составление узлов спецификации – 28.06.45 г.; </w:t>
      </w:r>
    </w:p>
    <w:p w14:paraId="5135AF6D"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Сварка первых образцов – сентябрь; </w:t>
      </w:r>
    </w:p>
    <w:p w14:paraId="1397C0B7"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Испытание первых образцов – сентябрь; </w:t>
      </w:r>
    </w:p>
    <w:p w14:paraId="3FC8F756"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lastRenderedPageBreak/>
        <w:t xml:space="preserve">Сварка первой серии – сентябрь; </w:t>
      </w:r>
    </w:p>
    <w:p w14:paraId="1BC56354"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Сдача первой серии – конец сентября. </w:t>
      </w:r>
    </w:p>
    <w:p w14:paraId="7E8053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освоением реактивных двигателей шла реконструкция завода. Появились новые производства – компрессорное, турбинное, камер сгорания. Руководство завода попыталось усилить инженерно-конструкторский коллектив за счет репрессированных специалистов, работавших в заводском КБ-НКВД. На имя Шахурина поступила докладная записка:</w:t>
      </w:r>
    </w:p>
    <w:p w14:paraId="1C01C2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1941 г. руководство 4 специального отдела НКВД СССР оказывало заводу № 16 непосредственную помощь в разрешении задач, поставленных перед заводом во время Великой Отечественной войны. Группа квалифицированных специалистов 4 спец. Отдела своей добросовестной работой помогали коллективу завода выполнять задания правительства. В области серийного производства с их помощью проводилась организация поточного производства с совершенствованием технологического процесса, механизация и модификация оборудования.</w:t>
      </w:r>
    </w:p>
    <w:p w14:paraId="0A9533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области опытно-конструкторских работ специалисты работали по созданию:</w:t>
      </w:r>
    </w:p>
    <w:p w14:paraId="18F2C1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Мощного двухвального авиационного мотора. Мотор в первом варианте прошел совместные летные испытания на Ер-2 в 1945 г. Мотор форсируется до номинальной мощности 3600 л.с. (Речь, видимо, идет об опытных 24-цилиндровых МБ-100 конструктора Добротворского А.М. – авт.)</w:t>
      </w:r>
    </w:p>
    <w:p w14:paraId="33FB27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Форкамерного зажигания мотора.</w:t>
      </w:r>
    </w:p>
    <w:p w14:paraId="4521E7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Форсирования серийного мотора на высоте 2000 м (ВК-105 ПВ).</w:t>
      </w:r>
    </w:p>
    <w:p w14:paraId="40BB66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Впрыска воды.</w:t>
      </w:r>
    </w:p>
    <w:p w14:paraId="70555B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Перед заводом поставлена ответственная задача – освоение производства воздушно-реактивного двигателя, для решения которой понадобится помощь специалистов 4 спец. отдела:</w:t>
      </w:r>
    </w:p>
    <w:p w14:paraId="15A92F3E"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Млынарш С.М. – руководитель винтомоторной группы ОКБ; </w:t>
      </w:r>
    </w:p>
    <w:p w14:paraId="16862BD4"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Филин Н.И. – зам. нач. опытно-испытательной станции ОКБ; </w:t>
      </w:r>
    </w:p>
    <w:p w14:paraId="344C1060"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Храпко М.А. – зам. нач. опытно-механического цеха ОКБ; </w:t>
      </w:r>
    </w:p>
    <w:p w14:paraId="651CFABB"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Местунин А.В. – зам. нач. инструментального отдела завода; </w:t>
      </w:r>
    </w:p>
    <w:p w14:paraId="23CBB931"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Чугунов В.В. – зам. нач. термического цеха; </w:t>
      </w:r>
    </w:p>
    <w:p w14:paraId="598C5DCC"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Ольховский П.Г. – зам. главного механика завода; </w:t>
      </w:r>
    </w:p>
    <w:p w14:paraId="78F74282" w14:textId="77777777" w:rsidR="00665165" w:rsidRPr="00925F26" w:rsidRDefault="00665165" w:rsidP="00925F26">
      <w:pPr>
        <w:tabs>
          <w:tab w:val="left" w:pos="720"/>
        </w:tabs>
        <w:autoSpaceDE w:val="0"/>
        <w:autoSpaceDN w:val="0"/>
        <w:adjustRightInd w:val="0"/>
        <w:jc w:val="both"/>
        <w:rPr>
          <w:color w:val="000000" w:themeColor="text1"/>
          <w:sz w:val="16"/>
          <w:szCs w:val="16"/>
        </w:rPr>
      </w:pPr>
      <w:r w:rsidRPr="00925F26">
        <w:rPr>
          <w:color w:val="000000" w:themeColor="text1"/>
          <w:sz w:val="16"/>
          <w:szCs w:val="16"/>
        </w:rPr>
        <w:t xml:space="preserve">Юткевич Т.К. – зам. нач. производства. </w:t>
      </w:r>
    </w:p>
    <w:p w14:paraId="40BF68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Просим Вашего ходатайства об освобождении их со снятием судимости и направления их для дальнейшей работы на завод № 16.</w:t>
      </w:r>
    </w:p>
    <w:p w14:paraId="0A1A64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завода М. Лукин</w:t>
      </w:r>
    </w:p>
    <w:p w14:paraId="319FB0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Парторг ЦК ВКП(б) И. Максимов</w:t>
      </w:r>
    </w:p>
    <w:p w14:paraId="5652F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Главный конструктор С. Колосов»</w:t>
      </w:r>
    </w:p>
    <w:p w14:paraId="48DE0C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сожалению, положительного решения по этому вопросу добиться не удалось (12049).</w:t>
      </w:r>
    </w:p>
    <w:p w14:paraId="0988574E" w14:textId="77777777" w:rsidR="00665165" w:rsidRPr="00925F26" w:rsidRDefault="00665165" w:rsidP="00925F26">
      <w:pPr>
        <w:autoSpaceDE w:val="0"/>
        <w:autoSpaceDN w:val="0"/>
        <w:adjustRightInd w:val="0"/>
        <w:jc w:val="both"/>
        <w:rPr>
          <w:color w:val="000000" w:themeColor="text1"/>
          <w:sz w:val="16"/>
          <w:szCs w:val="16"/>
        </w:rPr>
      </w:pPr>
    </w:p>
    <w:p w14:paraId="4E8A08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СНК принял постановление "О восстановлении и строительстве аэропортов ГВФ" (442,184).</w:t>
      </w:r>
    </w:p>
    <w:p w14:paraId="206E52D0" w14:textId="77777777" w:rsidR="00665165" w:rsidRPr="00925F26" w:rsidRDefault="00665165" w:rsidP="00925F26">
      <w:pPr>
        <w:autoSpaceDE w:val="0"/>
        <w:autoSpaceDN w:val="0"/>
        <w:adjustRightInd w:val="0"/>
        <w:jc w:val="both"/>
        <w:rPr>
          <w:color w:val="000000" w:themeColor="text1"/>
          <w:sz w:val="16"/>
          <w:szCs w:val="16"/>
        </w:rPr>
      </w:pPr>
    </w:p>
    <w:p w14:paraId="436BB6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8671 О вывозе оборудования и материалов с немецких авиационных заводов, лаборатории, института испытания материалов в г. Берлин на предприятия Наркомавиапрома. РГАНИР, Фонд ГКО, д. 418, лл. 72-74 (11012).</w:t>
      </w:r>
    </w:p>
    <w:p w14:paraId="163D7F6B" w14:textId="77777777" w:rsidR="00665165" w:rsidRPr="00925F26" w:rsidRDefault="00665165" w:rsidP="00925F26">
      <w:pPr>
        <w:autoSpaceDE w:val="0"/>
        <w:autoSpaceDN w:val="0"/>
        <w:adjustRightInd w:val="0"/>
        <w:jc w:val="both"/>
        <w:rPr>
          <w:color w:val="000000" w:themeColor="text1"/>
          <w:sz w:val="16"/>
          <w:szCs w:val="16"/>
        </w:rPr>
      </w:pPr>
    </w:p>
    <w:p w14:paraId="504DDE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8673 О вывозе оборудования с немецких авиазаводов из г. Берлин и с авиамоторного завода в г. Гонсхаген на предприятия Наркомавиапрома. РГАНИР, Фонд ГКО, д. 418, лл. 80-82 (11012).</w:t>
      </w:r>
    </w:p>
    <w:p w14:paraId="5658CCAF" w14:textId="77777777" w:rsidR="00665165" w:rsidRPr="00925F26" w:rsidRDefault="00665165" w:rsidP="00925F26">
      <w:pPr>
        <w:autoSpaceDE w:val="0"/>
        <w:autoSpaceDN w:val="0"/>
        <w:adjustRightInd w:val="0"/>
        <w:jc w:val="both"/>
        <w:rPr>
          <w:color w:val="000000" w:themeColor="text1"/>
          <w:sz w:val="16"/>
          <w:szCs w:val="16"/>
        </w:rPr>
      </w:pPr>
    </w:p>
    <w:p w14:paraId="27B13E2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5AB0DB4" w14:textId="77777777" w:rsidR="00665165" w:rsidRPr="00925F26" w:rsidRDefault="00665165" w:rsidP="00925F26">
      <w:pPr>
        <w:autoSpaceDE w:val="0"/>
        <w:autoSpaceDN w:val="0"/>
        <w:adjustRightInd w:val="0"/>
        <w:jc w:val="both"/>
        <w:rPr>
          <w:iCs/>
          <w:color w:val="000000" w:themeColor="text1"/>
          <w:sz w:val="16"/>
          <w:szCs w:val="16"/>
        </w:rPr>
      </w:pPr>
    </w:p>
    <w:p w14:paraId="1E3985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22 мая 1945 г. по приказу НКБ № 192 завод № 562 (ГС Завод № 562 НКБ, ГС завод НИИ № 6, п/я 368 /г. Москва 9 п/я 368 «Иншесть» (1943 г.)/) был ликвидирован, часть рабочих (700 чел.) переведены на завод № 70 им. Владимира Ильича. С 26 мая 1945 г. на заводе НИИ-6 прекращен выпуск всех </w:t>
      </w:r>
      <w:proofErr w:type="gramStart"/>
      <w:r w:rsidRPr="00925F26">
        <w:rPr>
          <w:color w:val="000000" w:themeColor="text1"/>
          <w:sz w:val="16"/>
          <w:szCs w:val="16"/>
        </w:rPr>
        <w:t>боеприпасов.По</w:t>
      </w:r>
      <w:proofErr w:type="gramEnd"/>
      <w:r w:rsidRPr="00925F26">
        <w:rPr>
          <w:color w:val="000000" w:themeColor="text1"/>
          <w:sz w:val="16"/>
          <w:szCs w:val="16"/>
        </w:rPr>
        <w:t xml:space="preserve"> распоряжению СНК СССР № 9646/р от 21.06.1945 г. правопреемником завода № 562 стал НИИ-6, куда были переведены основные кадры.</w:t>
      </w:r>
    </w:p>
    <w:p w14:paraId="1FC5B0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(12.1942 г.)- 1707 чел., (конец 1943 г.)- 1574 чел.</w:t>
      </w:r>
    </w:p>
    <w:p w14:paraId="7E1565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производственная- 5760 м</w:t>
      </w:r>
      <w:r w:rsidRPr="00925F26">
        <w:rPr>
          <w:color w:val="000000" w:themeColor="text1"/>
          <w:sz w:val="16"/>
          <w:szCs w:val="16"/>
          <w:vertAlign w:val="superscript"/>
        </w:rPr>
        <w:t>2</w:t>
      </w:r>
      <w:r w:rsidRPr="00925F26">
        <w:rPr>
          <w:color w:val="000000" w:themeColor="text1"/>
          <w:sz w:val="16"/>
          <w:szCs w:val="16"/>
        </w:rPr>
        <w:t>; вспомогательная- 65 м</w:t>
      </w:r>
      <w:r w:rsidRPr="00925F26">
        <w:rPr>
          <w:color w:val="000000" w:themeColor="text1"/>
          <w:sz w:val="16"/>
          <w:szCs w:val="16"/>
          <w:vertAlign w:val="superscript"/>
        </w:rPr>
        <w:t>2</w:t>
      </w:r>
      <w:r w:rsidRPr="00925F26">
        <w:rPr>
          <w:color w:val="000000" w:themeColor="text1"/>
          <w:sz w:val="16"/>
          <w:szCs w:val="16"/>
        </w:rPr>
        <w:t>.</w:t>
      </w:r>
    </w:p>
    <w:p w14:paraId="15F42E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(26.11.1941 -28.09.1942 г.)- М.З. Тененбаум, (09.1942-44 г.-)- А.П. Закощиков (одновременно был директором НИИ-6).</w:t>
      </w:r>
    </w:p>
    <w:p w14:paraId="53B0A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(1941 г.)- А.Н. Рабинович, (-1942-44 г.-&gt; С.М. Голубков.</w:t>
      </w:r>
    </w:p>
    <w:p w14:paraId="3B2DB8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w:t>
      </w:r>
      <w:r w:rsidRPr="00925F26">
        <w:rPr>
          <w:color w:val="000000" w:themeColor="text1"/>
          <w:sz w:val="16"/>
          <w:szCs w:val="16"/>
          <w:lang w:val="en-US"/>
        </w:rPr>
        <w:t>BOB</w:t>
      </w:r>
      <w:r w:rsidRPr="00925F26">
        <w:rPr>
          <w:color w:val="000000" w:themeColor="text1"/>
          <w:sz w:val="16"/>
          <w:szCs w:val="16"/>
        </w:rPr>
        <w:t xml:space="preserve">)-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A</w:t>
      </w:r>
      <w:r w:rsidRPr="00925F26">
        <w:rPr>
          <w:color w:val="000000" w:themeColor="text1"/>
          <w:sz w:val="16"/>
          <w:szCs w:val="16"/>
        </w:rPr>
        <w:t>. Смирнов.</w:t>
      </w:r>
    </w:p>
    <w:p w14:paraId="641846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 1 (1944 г.)- А. Сидоров; № 6- ДА. Смирнов, (1944 г.)- И.Н. Кузнецов; № 9 (1944 г.)- П.П. Вахрушев; баллиститного пороха (</w:t>
      </w:r>
      <w:r w:rsidRPr="00925F26">
        <w:rPr>
          <w:color w:val="000000" w:themeColor="text1"/>
          <w:sz w:val="16"/>
          <w:szCs w:val="16"/>
          <w:lang w:val="en-US"/>
        </w:rPr>
        <w:t>BOB</w:t>
      </w:r>
      <w:r w:rsidRPr="00925F26">
        <w:rPr>
          <w:color w:val="000000" w:themeColor="text1"/>
          <w:sz w:val="16"/>
          <w:szCs w:val="16"/>
        </w:rPr>
        <w:t xml:space="preserve">)-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Дерновой.</w:t>
      </w:r>
    </w:p>
    <w:p w14:paraId="12481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цеха: баллиститного пороха (ВОВ)- Н.П. Сазонов.</w:t>
      </w:r>
    </w:p>
    <w:p w14:paraId="7265B0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КБ (ВОВ)- А.Н. Сладкое.</w:t>
      </w:r>
    </w:p>
    <w:p w14:paraId="424002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2-го (04.1943 г.)- Гинзбур г.</w:t>
      </w:r>
    </w:p>
    <w:p w14:paraId="2C9C9ECC"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заряды: к </w:t>
      </w:r>
      <w:r w:rsidRPr="00925F26">
        <w:rPr>
          <w:color w:val="000000" w:themeColor="text1"/>
          <w:sz w:val="16"/>
          <w:szCs w:val="16"/>
          <w:lang w:val="en-US"/>
        </w:rPr>
        <w:t>PC</w:t>
      </w:r>
      <w:r w:rsidRPr="00925F26">
        <w:rPr>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925F26">
        <w:rPr>
          <w:iCs/>
          <w:color w:val="000000" w:themeColor="text1"/>
          <w:sz w:val="16"/>
          <w:szCs w:val="16"/>
        </w:rPr>
        <w:t xml:space="preserve"> порох:</w:t>
      </w:r>
      <w:r w:rsidRPr="00925F26">
        <w:rPr>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0F84B04F" w14:textId="77777777" w:rsidR="00665165" w:rsidRPr="00925F26" w:rsidRDefault="00665165" w:rsidP="00925F26">
      <w:pPr>
        <w:autoSpaceDE w:val="0"/>
        <w:autoSpaceDN w:val="0"/>
        <w:adjustRightInd w:val="0"/>
        <w:jc w:val="both"/>
        <w:rPr>
          <w:color w:val="000000" w:themeColor="text1"/>
          <w:sz w:val="16"/>
          <w:szCs w:val="16"/>
        </w:rPr>
      </w:pPr>
    </w:p>
    <w:p w14:paraId="706C8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г. вышло Постановление Государственного комитета обороны о сокращении производства средств химического вооружения (9067).</w:t>
      </w:r>
    </w:p>
    <w:p w14:paraId="0DEB12C3" w14:textId="77777777" w:rsidR="00665165" w:rsidRPr="00925F26" w:rsidRDefault="00665165" w:rsidP="00925F26">
      <w:pPr>
        <w:autoSpaceDE w:val="0"/>
        <w:autoSpaceDN w:val="0"/>
        <w:adjustRightInd w:val="0"/>
        <w:jc w:val="both"/>
        <w:rPr>
          <w:color w:val="000000" w:themeColor="text1"/>
          <w:sz w:val="16"/>
          <w:szCs w:val="16"/>
        </w:rPr>
      </w:pPr>
    </w:p>
    <w:p w14:paraId="0E3B82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8672 О возврате вывезенных немцами турбогенераторов с электростанций Донбасса и Кривого Рога, а также вывозе 25 турбогенераторов общей мощностью 733 тысячи киловатт и 44 котлов с немецких электростанций в районе г. Дрезден и 13 готовых турбогенераторов общей мощностью 213 тысяч киловатт со склада турбогенераторного завода фирмы "АЕГ" в г. Берлине.РГАНИР, Фонд ГКО, д. 418, лл. 75-79 (11012).</w:t>
      </w:r>
    </w:p>
    <w:p w14:paraId="1C02BE68" w14:textId="77777777" w:rsidR="00665165" w:rsidRPr="00925F26" w:rsidRDefault="00665165" w:rsidP="00925F26">
      <w:pPr>
        <w:autoSpaceDE w:val="0"/>
        <w:autoSpaceDN w:val="0"/>
        <w:adjustRightInd w:val="0"/>
        <w:jc w:val="both"/>
        <w:rPr>
          <w:color w:val="000000" w:themeColor="text1"/>
          <w:sz w:val="16"/>
          <w:szCs w:val="16"/>
        </w:rPr>
      </w:pPr>
    </w:p>
    <w:p w14:paraId="304F6D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8672 О возврате вывезенных немцами турбогенераторов с электростанций Донбасса и Кривого Рога, а также вывозе 25 турбогенераторов общей мощностью 733 тысячи киловатт и 44 котлов с немецких электростанций в районе г. Дрезден и 13 готовых турбогенераторов общей мощностью 213 тысяч киловатт со склада турбогенераторного завода фирмы "АЕГ" в г. Берлине.РГАНИР, Фонд ГКО, д. 418, лл. 75-79 (11012).</w:t>
      </w:r>
    </w:p>
    <w:p w14:paraId="723AF39F" w14:textId="77777777" w:rsidR="00665165" w:rsidRPr="00925F26" w:rsidRDefault="00665165" w:rsidP="00925F26">
      <w:pPr>
        <w:autoSpaceDE w:val="0"/>
        <w:autoSpaceDN w:val="0"/>
        <w:adjustRightInd w:val="0"/>
        <w:jc w:val="both"/>
        <w:rPr>
          <w:color w:val="000000" w:themeColor="text1"/>
          <w:sz w:val="16"/>
          <w:szCs w:val="16"/>
        </w:rPr>
      </w:pPr>
    </w:p>
    <w:p w14:paraId="5AA11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8674 О вывозе оборудования с военно-промышленного комбината фирмы ДВМ в районе г. Берлин. РГАНИР, Фонд ГКО, д. 418, лл. 83-84 (11012).</w:t>
      </w:r>
    </w:p>
    <w:p w14:paraId="7143CB18" w14:textId="77777777" w:rsidR="00665165" w:rsidRPr="00925F26" w:rsidRDefault="00665165" w:rsidP="00925F26">
      <w:pPr>
        <w:autoSpaceDE w:val="0"/>
        <w:autoSpaceDN w:val="0"/>
        <w:adjustRightInd w:val="0"/>
        <w:jc w:val="both"/>
        <w:rPr>
          <w:color w:val="000000" w:themeColor="text1"/>
          <w:sz w:val="16"/>
          <w:szCs w:val="16"/>
        </w:rPr>
      </w:pPr>
    </w:p>
    <w:p w14:paraId="50D35E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8675 О вывозе оборудования артиллерийских заводов "Магет" и "Арсенал" в г. Берлин. РГАНИР, Фонд ГКО, д. 418, лл. 85-86 (11012).</w:t>
      </w:r>
    </w:p>
    <w:p w14:paraId="57E65EC9" w14:textId="77777777" w:rsidR="00665165" w:rsidRPr="00925F26" w:rsidRDefault="00665165" w:rsidP="00925F26">
      <w:pPr>
        <w:autoSpaceDE w:val="0"/>
        <w:autoSpaceDN w:val="0"/>
        <w:adjustRightInd w:val="0"/>
        <w:jc w:val="both"/>
        <w:rPr>
          <w:color w:val="000000" w:themeColor="text1"/>
          <w:sz w:val="16"/>
          <w:szCs w:val="16"/>
        </w:rPr>
      </w:pPr>
    </w:p>
    <w:p w14:paraId="3BCF34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8676 О вывозе оборудования артиллерийских заводов "Густав Апель" и "Дойчиндустриал верке" в г. Берлин. РГАНИР, Фонд ГКО, д. 418, лл. 87 (11012).</w:t>
      </w:r>
    </w:p>
    <w:p w14:paraId="172FA972" w14:textId="77777777" w:rsidR="00665165" w:rsidRPr="00925F26" w:rsidRDefault="00665165" w:rsidP="00925F26">
      <w:pPr>
        <w:autoSpaceDE w:val="0"/>
        <w:autoSpaceDN w:val="0"/>
        <w:adjustRightInd w:val="0"/>
        <w:jc w:val="both"/>
        <w:rPr>
          <w:color w:val="000000" w:themeColor="text1"/>
          <w:sz w:val="16"/>
          <w:szCs w:val="16"/>
        </w:rPr>
      </w:pPr>
    </w:p>
    <w:p w14:paraId="1A8439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8677 О вывозе оборудования с танкового завода фирмы "Даймлер-Бенц" в г. Берлин (район Мариенфельде). РГАНИР, Фонд ГКО, д. 418, лл. 88-89 (11012).</w:t>
      </w:r>
    </w:p>
    <w:p w14:paraId="5D9921B6" w14:textId="77777777" w:rsidR="00665165" w:rsidRPr="00925F26" w:rsidRDefault="00665165" w:rsidP="00925F26">
      <w:pPr>
        <w:autoSpaceDE w:val="0"/>
        <w:autoSpaceDN w:val="0"/>
        <w:adjustRightInd w:val="0"/>
        <w:jc w:val="both"/>
        <w:rPr>
          <w:color w:val="000000" w:themeColor="text1"/>
          <w:sz w:val="16"/>
          <w:szCs w:val="16"/>
        </w:rPr>
      </w:pPr>
    </w:p>
    <w:p w14:paraId="56AF32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8678 О вывозе оборудования с немецких станкостроительных заводов фирм "Фриц Вернер", "Хассе Вреде", "Юнг", "Хартек", "Кергер" и инструментальных заводов фирм "Фриц Вернер" и "Шток" в г. Берлин. РГАНИР, Фонд ГКО, д. 418, лл. 90-92, 93 (11012).</w:t>
      </w:r>
    </w:p>
    <w:p w14:paraId="1A243014" w14:textId="77777777" w:rsidR="00665165" w:rsidRPr="00925F26" w:rsidRDefault="00665165" w:rsidP="00925F26">
      <w:pPr>
        <w:autoSpaceDE w:val="0"/>
        <w:autoSpaceDN w:val="0"/>
        <w:adjustRightInd w:val="0"/>
        <w:jc w:val="both"/>
        <w:rPr>
          <w:color w:val="000000" w:themeColor="text1"/>
          <w:sz w:val="16"/>
          <w:szCs w:val="16"/>
        </w:rPr>
      </w:pPr>
    </w:p>
    <w:p w14:paraId="795539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8679 О вывозе оборудования с завода по производству вентиляторов фирмы "Коблер" в г. Берлин. РГАНИР, Фонд ГКО, д. 418, лл. 94 (11012).</w:t>
      </w:r>
    </w:p>
    <w:p w14:paraId="5583DDC4" w14:textId="77777777" w:rsidR="00665165" w:rsidRPr="00925F26" w:rsidRDefault="00665165" w:rsidP="00925F26">
      <w:pPr>
        <w:autoSpaceDE w:val="0"/>
        <w:autoSpaceDN w:val="0"/>
        <w:adjustRightInd w:val="0"/>
        <w:jc w:val="both"/>
        <w:rPr>
          <w:color w:val="000000" w:themeColor="text1"/>
          <w:sz w:val="16"/>
          <w:szCs w:val="16"/>
        </w:rPr>
      </w:pPr>
    </w:p>
    <w:p w14:paraId="3EDF9B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8680 О вывозе оборудования с заводов электротехнической промышленности в г. Берлин. РГАНИР, Фонд ГКО, д. 418, лл. 95-97 (11012).</w:t>
      </w:r>
    </w:p>
    <w:p w14:paraId="23528637" w14:textId="77777777" w:rsidR="00665165" w:rsidRPr="00925F26" w:rsidRDefault="00665165" w:rsidP="00925F26">
      <w:pPr>
        <w:autoSpaceDE w:val="0"/>
        <w:autoSpaceDN w:val="0"/>
        <w:adjustRightInd w:val="0"/>
        <w:jc w:val="both"/>
        <w:rPr>
          <w:color w:val="000000" w:themeColor="text1"/>
          <w:sz w:val="16"/>
          <w:szCs w:val="16"/>
        </w:rPr>
      </w:pPr>
    </w:p>
    <w:p w14:paraId="2FF3C1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8681 О вывозе оборудования турбинного завода фирмы "Вумаг" в г. Герлиц. РГАНИР, Фонд ГКО, д. 418, лл. 98 (11012).</w:t>
      </w:r>
    </w:p>
    <w:p w14:paraId="355DA1F2" w14:textId="77777777" w:rsidR="00665165" w:rsidRPr="00925F26" w:rsidRDefault="00665165" w:rsidP="00925F26">
      <w:pPr>
        <w:autoSpaceDE w:val="0"/>
        <w:autoSpaceDN w:val="0"/>
        <w:adjustRightInd w:val="0"/>
        <w:jc w:val="both"/>
        <w:rPr>
          <w:color w:val="000000" w:themeColor="text1"/>
          <w:sz w:val="16"/>
          <w:szCs w:val="16"/>
        </w:rPr>
      </w:pPr>
    </w:p>
    <w:p w14:paraId="641A92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8682 О вывозе оборудования с четырех машиностроительных заводов в г. Берлин на предприятия Наркомугля. РГАНИР, Фонд ГКО, д. 418, лл. 99-100 (11012).</w:t>
      </w:r>
    </w:p>
    <w:p w14:paraId="6A793DC0" w14:textId="77777777" w:rsidR="00665165" w:rsidRPr="00925F26" w:rsidRDefault="00665165" w:rsidP="00925F26">
      <w:pPr>
        <w:autoSpaceDE w:val="0"/>
        <w:autoSpaceDN w:val="0"/>
        <w:adjustRightInd w:val="0"/>
        <w:jc w:val="both"/>
        <w:rPr>
          <w:color w:val="000000" w:themeColor="text1"/>
          <w:sz w:val="16"/>
          <w:szCs w:val="16"/>
        </w:rPr>
      </w:pPr>
    </w:p>
    <w:p w14:paraId="4842D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8683 О вывозе оборудования с немецких предприятий в районе Берлина на заводы НКПС. РГАНИР, Фонд ГКО, д. 418, лл. 101-102 (11012).</w:t>
      </w:r>
    </w:p>
    <w:p w14:paraId="487A3379" w14:textId="77777777" w:rsidR="00665165" w:rsidRPr="00925F26" w:rsidRDefault="00665165" w:rsidP="00925F26">
      <w:pPr>
        <w:autoSpaceDE w:val="0"/>
        <w:autoSpaceDN w:val="0"/>
        <w:adjustRightInd w:val="0"/>
        <w:jc w:val="both"/>
        <w:rPr>
          <w:color w:val="000000" w:themeColor="text1"/>
          <w:sz w:val="16"/>
          <w:szCs w:val="16"/>
        </w:rPr>
      </w:pPr>
    </w:p>
    <w:p w14:paraId="131571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8684 О вывозе оборудования прокатных заводов фирмы "Дейче Муницион унд Ваффен" и "Карл Эвенинг" (в районе Берлина) на заводы Наркомавиапрома и Наркомцветмета. РГАНИР, Фонд ГКО, д. 418, лл. 103-104 (11012).</w:t>
      </w:r>
    </w:p>
    <w:p w14:paraId="38ACBBC9" w14:textId="77777777" w:rsidR="00665165" w:rsidRPr="00925F26" w:rsidRDefault="00665165" w:rsidP="00925F26">
      <w:pPr>
        <w:autoSpaceDE w:val="0"/>
        <w:autoSpaceDN w:val="0"/>
        <w:adjustRightInd w:val="0"/>
        <w:jc w:val="both"/>
        <w:rPr>
          <w:color w:val="000000" w:themeColor="text1"/>
          <w:sz w:val="16"/>
          <w:szCs w:val="16"/>
        </w:rPr>
      </w:pPr>
    </w:p>
    <w:p w14:paraId="55ACE4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8685 О вывозе оборудования с заводов резиновой промышленности в г. Берлин на предприятия Наркомрезинпрома. РГАНИР, Фонд ГКО, д. 418, лл. 105-107 (11012).</w:t>
      </w:r>
    </w:p>
    <w:p w14:paraId="64C37A8A" w14:textId="77777777" w:rsidR="00665165" w:rsidRPr="00925F26" w:rsidRDefault="00665165" w:rsidP="00925F26">
      <w:pPr>
        <w:autoSpaceDE w:val="0"/>
        <w:autoSpaceDN w:val="0"/>
        <w:adjustRightInd w:val="0"/>
        <w:jc w:val="both"/>
        <w:rPr>
          <w:color w:val="000000" w:themeColor="text1"/>
          <w:sz w:val="16"/>
          <w:szCs w:val="16"/>
        </w:rPr>
      </w:pPr>
    </w:p>
    <w:p w14:paraId="3A40F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8686 О вывозе оборудования немецкого оптико-механического завода "Аскания верке" в г. Берлин. РГАНИР, Фонд ГКО, д. 418, лл. 108-109 (11012).</w:t>
      </w:r>
    </w:p>
    <w:p w14:paraId="6A4F3991" w14:textId="77777777" w:rsidR="00665165" w:rsidRPr="00925F26" w:rsidRDefault="00665165" w:rsidP="00925F26">
      <w:pPr>
        <w:autoSpaceDE w:val="0"/>
        <w:autoSpaceDN w:val="0"/>
        <w:adjustRightInd w:val="0"/>
        <w:jc w:val="both"/>
        <w:rPr>
          <w:color w:val="000000" w:themeColor="text1"/>
          <w:sz w:val="16"/>
          <w:szCs w:val="16"/>
        </w:rPr>
      </w:pPr>
    </w:p>
    <w:p w14:paraId="7C606A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8687 О вывозе оборудования двух оптических заводов германского акционерного общества "Цейс Икон" в г. Берлин. РГАНИР, Фонд ГКО, д. 418, лл. 110 (11012).</w:t>
      </w:r>
    </w:p>
    <w:p w14:paraId="19DC25FC" w14:textId="77777777" w:rsidR="00665165" w:rsidRPr="00925F26" w:rsidRDefault="00665165" w:rsidP="00925F26">
      <w:pPr>
        <w:autoSpaceDE w:val="0"/>
        <w:autoSpaceDN w:val="0"/>
        <w:adjustRightInd w:val="0"/>
        <w:jc w:val="both"/>
        <w:rPr>
          <w:color w:val="000000" w:themeColor="text1"/>
          <w:sz w:val="16"/>
          <w:szCs w:val="16"/>
        </w:rPr>
      </w:pPr>
    </w:p>
    <w:p w14:paraId="2DA9E5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8688 О вывозе оборудования опытного оптического завода немецкого акционерного общества "Аскания верке" в г. Берлин. РГАНИР, Фонд ГКО, д. 418, лл. 111 (11012).</w:t>
      </w:r>
    </w:p>
    <w:p w14:paraId="69DB03FD" w14:textId="77777777" w:rsidR="00665165" w:rsidRPr="00925F26" w:rsidRDefault="00665165" w:rsidP="00925F26">
      <w:pPr>
        <w:autoSpaceDE w:val="0"/>
        <w:autoSpaceDN w:val="0"/>
        <w:adjustRightInd w:val="0"/>
        <w:jc w:val="both"/>
        <w:rPr>
          <w:color w:val="000000" w:themeColor="text1"/>
          <w:sz w:val="16"/>
          <w:szCs w:val="16"/>
        </w:rPr>
      </w:pPr>
    </w:p>
    <w:p w14:paraId="1234EB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8689 О вывозе электрооборудования, цветных металлов и других материалов со склада в помещении кирпичного завода в г. Цеденик на базы Главного управления государственных материальных резервов при СНК СССР и Главэлектросбыта Наркомэлектропром. РГАНИР, Фонд ГКО, д. 418 (11012).</w:t>
      </w:r>
    </w:p>
    <w:p w14:paraId="132B6D3B" w14:textId="77777777" w:rsidR="00665165" w:rsidRPr="00925F26" w:rsidRDefault="00665165" w:rsidP="00925F26">
      <w:pPr>
        <w:autoSpaceDE w:val="0"/>
        <w:autoSpaceDN w:val="0"/>
        <w:adjustRightInd w:val="0"/>
        <w:jc w:val="both"/>
        <w:rPr>
          <w:color w:val="000000" w:themeColor="text1"/>
          <w:sz w:val="16"/>
          <w:szCs w:val="16"/>
        </w:rPr>
      </w:pPr>
    </w:p>
    <w:p w14:paraId="040A39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8690 О вывозе оборудования с завода кассовых аппаратов фирмы "Националь-Крупп" в г. Берлин район Нейкельн. РГАНИР, Фонд ГКО, д. 418, лл. 114 (11012).</w:t>
      </w:r>
    </w:p>
    <w:p w14:paraId="1757CD8E" w14:textId="77777777" w:rsidR="00665165" w:rsidRPr="00925F26" w:rsidRDefault="00665165" w:rsidP="00925F26">
      <w:pPr>
        <w:autoSpaceDE w:val="0"/>
        <w:autoSpaceDN w:val="0"/>
        <w:adjustRightInd w:val="0"/>
        <w:jc w:val="both"/>
        <w:rPr>
          <w:color w:val="000000" w:themeColor="text1"/>
          <w:sz w:val="16"/>
          <w:szCs w:val="16"/>
        </w:rPr>
      </w:pPr>
    </w:p>
    <w:p w14:paraId="1E758B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8691 О вывозе оборудования с немецких цементных заводов фирм "Тиссен", "Прейсише Берг унд Гюртен-прейсак" и Восточного и Среднегерманского акционерного общества в г. Берлин район Рюдесдорф и цементного завода немецкого металлургического акционерного общества в с. Штольценхайт (в районе г. Штеттен). РГАНИР, Фонд ГКО, д. 418, лл. 115-116 (11012).</w:t>
      </w:r>
    </w:p>
    <w:p w14:paraId="1E84725C" w14:textId="77777777" w:rsidR="00665165" w:rsidRPr="00925F26" w:rsidRDefault="00665165" w:rsidP="00925F26">
      <w:pPr>
        <w:autoSpaceDE w:val="0"/>
        <w:autoSpaceDN w:val="0"/>
        <w:adjustRightInd w:val="0"/>
        <w:jc w:val="both"/>
        <w:rPr>
          <w:color w:val="000000" w:themeColor="text1"/>
          <w:sz w:val="16"/>
          <w:szCs w:val="16"/>
        </w:rPr>
      </w:pPr>
    </w:p>
    <w:p w14:paraId="5A2406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8692 О вывозе оборудования и готовой продукции с химических предприятий г. Берлин и его пригородов на предприятия Наркомхимпрома. РГАНИР, Фонд ГКО, д. 418, лл. 117-118 (11012).</w:t>
      </w:r>
    </w:p>
    <w:p w14:paraId="3320A065" w14:textId="77777777" w:rsidR="00665165" w:rsidRPr="00925F26" w:rsidRDefault="00665165" w:rsidP="00925F26">
      <w:pPr>
        <w:autoSpaceDE w:val="0"/>
        <w:autoSpaceDN w:val="0"/>
        <w:adjustRightInd w:val="0"/>
        <w:jc w:val="both"/>
        <w:rPr>
          <w:color w:val="000000" w:themeColor="text1"/>
          <w:sz w:val="16"/>
          <w:szCs w:val="16"/>
        </w:rPr>
      </w:pPr>
    </w:p>
    <w:p w14:paraId="05B607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8693 О вывозе оборудования лабораторий и книжного фонда из Высшей артиллерийской технической школы в г. Берлин. РГАНИР, Фонд ГКО, д. 418, лл. 119 (11012).</w:t>
      </w:r>
    </w:p>
    <w:p w14:paraId="333B4411" w14:textId="77777777" w:rsidR="00665165" w:rsidRPr="00925F26" w:rsidRDefault="00665165" w:rsidP="00925F26">
      <w:pPr>
        <w:autoSpaceDE w:val="0"/>
        <w:autoSpaceDN w:val="0"/>
        <w:adjustRightInd w:val="0"/>
        <w:jc w:val="both"/>
        <w:rPr>
          <w:color w:val="000000" w:themeColor="text1"/>
          <w:sz w:val="16"/>
          <w:szCs w:val="16"/>
        </w:rPr>
      </w:pPr>
    </w:p>
    <w:p w14:paraId="03AF0E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8694 О вывозе оборудования типографий и заводов по производству полиграфических красок "Братья Шмидт" в г. Берлин. РГАНИР, Фонд ГКО, д. 418, лл. 120-121 (11012).</w:t>
      </w:r>
    </w:p>
    <w:p w14:paraId="6DDC7043" w14:textId="77777777" w:rsidR="00665165" w:rsidRPr="00925F26" w:rsidRDefault="00665165" w:rsidP="00925F26">
      <w:pPr>
        <w:autoSpaceDE w:val="0"/>
        <w:autoSpaceDN w:val="0"/>
        <w:adjustRightInd w:val="0"/>
        <w:jc w:val="both"/>
        <w:rPr>
          <w:color w:val="000000" w:themeColor="text1"/>
          <w:sz w:val="16"/>
          <w:szCs w:val="16"/>
        </w:rPr>
      </w:pPr>
    </w:p>
    <w:p w14:paraId="3CCBB6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8695 О вывозе корабельного, водолазного и судоподъемного имущества со складов в г. Шнайдемюль (Германия). РГАНИР, Фонд ГКО, д. 418, лл. 122 (11012).</w:t>
      </w:r>
    </w:p>
    <w:p w14:paraId="6E197FBE" w14:textId="77777777" w:rsidR="00665165" w:rsidRPr="00925F26" w:rsidRDefault="00665165" w:rsidP="00925F26">
      <w:pPr>
        <w:autoSpaceDE w:val="0"/>
        <w:autoSpaceDN w:val="0"/>
        <w:adjustRightInd w:val="0"/>
        <w:jc w:val="both"/>
        <w:rPr>
          <w:color w:val="000000" w:themeColor="text1"/>
          <w:sz w:val="16"/>
          <w:szCs w:val="16"/>
        </w:rPr>
      </w:pPr>
    </w:p>
    <w:p w14:paraId="634685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8696 О вывозе из г. Берлин оборудования фабрики искусственного шелка германского концерна "И.Г.Фарбениндустри". РГАНИР, Фонд ГКО, д. 418, лл. 123 (11012).</w:t>
      </w:r>
    </w:p>
    <w:p w14:paraId="2371B672" w14:textId="77777777" w:rsidR="00665165" w:rsidRPr="00925F26" w:rsidRDefault="00665165" w:rsidP="00925F26">
      <w:pPr>
        <w:autoSpaceDE w:val="0"/>
        <w:autoSpaceDN w:val="0"/>
        <w:adjustRightInd w:val="0"/>
        <w:jc w:val="both"/>
        <w:rPr>
          <w:color w:val="000000" w:themeColor="text1"/>
          <w:sz w:val="16"/>
          <w:szCs w:val="16"/>
        </w:rPr>
      </w:pPr>
    </w:p>
    <w:p w14:paraId="5C710B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8697 О вывозе завода металлоконструкций "Стеффен и Ноле Штальбау" в г. Берлин для Наркомстроя. РГАНИР, Фонд ГКО, д. 418, лл. 124 (11012).</w:t>
      </w:r>
    </w:p>
    <w:p w14:paraId="77E56A7B" w14:textId="77777777" w:rsidR="00665165" w:rsidRPr="00925F26" w:rsidRDefault="00665165" w:rsidP="00925F26">
      <w:pPr>
        <w:autoSpaceDE w:val="0"/>
        <w:autoSpaceDN w:val="0"/>
        <w:adjustRightInd w:val="0"/>
        <w:jc w:val="both"/>
        <w:rPr>
          <w:color w:val="000000" w:themeColor="text1"/>
          <w:sz w:val="16"/>
          <w:szCs w:val="16"/>
        </w:rPr>
      </w:pPr>
    </w:p>
    <w:p w14:paraId="3732E9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8698 О мерах по ускорению демонтажа немецких предприятий и вывозе оборудования. РГАНИР, Фонд ГКО, д. 418, лл. 125 (11012).</w:t>
      </w:r>
    </w:p>
    <w:p w14:paraId="373EF26C" w14:textId="77777777" w:rsidR="00665165" w:rsidRPr="00925F26" w:rsidRDefault="00665165" w:rsidP="00925F26">
      <w:pPr>
        <w:autoSpaceDE w:val="0"/>
        <w:autoSpaceDN w:val="0"/>
        <w:adjustRightInd w:val="0"/>
        <w:jc w:val="both"/>
        <w:rPr>
          <w:color w:val="000000" w:themeColor="text1"/>
          <w:sz w:val="16"/>
          <w:szCs w:val="16"/>
        </w:rPr>
      </w:pPr>
    </w:p>
    <w:p w14:paraId="04E6FA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8699 О вывозе оборудования с завода газовой, водяной и паровой арматуры фирмы "Вейхброд и Фридрих" в г. Берлин. РГАНИР, Фонд ГКО, д. 418, лл. 126 (11012).</w:t>
      </w:r>
    </w:p>
    <w:p w14:paraId="2C2484C6" w14:textId="77777777" w:rsidR="00665165" w:rsidRPr="00925F26" w:rsidRDefault="00665165" w:rsidP="00925F26">
      <w:pPr>
        <w:autoSpaceDE w:val="0"/>
        <w:autoSpaceDN w:val="0"/>
        <w:adjustRightInd w:val="0"/>
        <w:jc w:val="both"/>
        <w:rPr>
          <w:color w:val="000000" w:themeColor="text1"/>
          <w:sz w:val="16"/>
          <w:szCs w:val="16"/>
        </w:rPr>
      </w:pPr>
    </w:p>
    <w:p w14:paraId="100660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8700 О вывозе станочного оборудования и материалов на Особые базы. РГАНИР, Фонд ГКО, д. 418, лл. 127-128 (11012).</w:t>
      </w:r>
    </w:p>
    <w:p w14:paraId="5FC2D70B" w14:textId="77777777" w:rsidR="00665165" w:rsidRPr="00925F26" w:rsidRDefault="00665165" w:rsidP="00925F26">
      <w:pPr>
        <w:autoSpaceDE w:val="0"/>
        <w:autoSpaceDN w:val="0"/>
        <w:adjustRightInd w:val="0"/>
        <w:jc w:val="both"/>
        <w:rPr>
          <w:color w:val="000000" w:themeColor="text1"/>
          <w:sz w:val="16"/>
          <w:szCs w:val="16"/>
        </w:rPr>
      </w:pPr>
    </w:p>
    <w:p w14:paraId="50C0AF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8701 Об изменении ранее вынесенных постановлений ГОКО о вывозе оборудования промышленных предприятий, расположенных на территории Венгрии. РГАНИР, Фонд ГКО, д. 418, лл. 129 (11012).</w:t>
      </w:r>
    </w:p>
    <w:p w14:paraId="0B22D156" w14:textId="77777777" w:rsidR="00665165" w:rsidRPr="00925F26" w:rsidRDefault="00665165" w:rsidP="00925F26">
      <w:pPr>
        <w:autoSpaceDE w:val="0"/>
        <w:autoSpaceDN w:val="0"/>
        <w:adjustRightInd w:val="0"/>
        <w:jc w:val="both"/>
        <w:rPr>
          <w:color w:val="000000" w:themeColor="text1"/>
          <w:sz w:val="16"/>
          <w:szCs w:val="16"/>
        </w:rPr>
      </w:pPr>
    </w:p>
    <w:p w14:paraId="51C584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8702 О вывозе оборудования завода нитроглицериновых порохов акционерного общества "Немецкая взрывная химия" в районе г. Торгелов (Германия). РГАНИР, Фонд ГКО, д. 418, лл. 130-131 (11012).</w:t>
      </w:r>
    </w:p>
    <w:p w14:paraId="2174DA5B" w14:textId="77777777" w:rsidR="00665165" w:rsidRPr="00925F26" w:rsidRDefault="00665165" w:rsidP="00925F26">
      <w:pPr>
        <w:autoSpaceDE w:val="0"/>
        <w:autoSpaceDN w:val="0"/>
        <w:adjustRightInd w:val="0"/>
        <w:jc w:val="both"/>
        <w:rPr>
          <w:color w:val="000000" w:themeColor="text1"/>
          <w:sz w:val="16"/>
          <w:szCs w:val="16"/>
        </w:rPr>
      </w:pPr>
    </w:p>
    <w:p w14:paraId="1AE989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8703 О вывозе оборудования завода по производству коллоксилина в районе г. Юкермюнде. РГАНИР, Фонд ГКО, д. 418, лл. 132 (11012).</w:t>
      </w:r>
    </w:p>
    <w:p w14:paraId="0C476006" w14:textId="77777777" w:rsidR="00665165" w:rsidRPr="00925F26" w:rsidRDefault="00665165" w:rsidP="00925F26">
      <w:pPr>
        <w:autoSpaceDE w:val="0"/>
        <w:autoSpaceDN w:val="0"/>
        <w:adjustRightInd w:val="0"/>
        <w:jc w:val="both"/>
        <w:rPr>
          <w:color w:val="000000" w:themeColor="text1"/>
          <w:sz w:val="16"/>
          <w:szCs w:val="16"/>
        </w:rPr>
      </w:pPr>
    </w:p>
    <w:p w14:paraId="293B72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8704 О вывозе оборудования и материалов с немецких предприятий бумажной промышленности в городах Мускау, Грос-Зерхен и Эберсвальде. РГАНИР, Фонд ГКО, д. 418, лл. 133-134 (11012).</w:t>
      </w:r>
    </w:p>
    <w:p w14:paraId="689A6081" w14:textId="77777777" w:rsidR="00665165" w:rsidRPr="00925F26" w:rsidRDefault="00665165" w:rsidP="00925F26">
      <w:pPr>
        <w:autoSpaceDE w:val="0"/>
        <w:autoSpaceDN w:val="0"/>
        <w:adjustRightInd w:val="0"/>
        <w:jc w:val="both"/>
        <w:rPr>
          <w:color w:val="000000" w:themeColor="text1"/>
          <w:sz w:val="16"/>
          <w:szCs w:val="16"/>
        </w:rPr>
      </w:pPr>
    </w:p>
    <w:p w14:paraId="057526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8705 О вывозе цветных металлов из г. Берлин с завода выплавки цинка и антифрикционных сплавов фирмы "Георг-Гешше". РГАНИР, Фонд ГКО, д. 418, лл. 135-136 (11012).</w:t>
      </w:r>
    </w:p>
    <w:p w14:paraId="7A56D7CE" w14:textId="77777777" w:rsidR="00665165" w:rsidRPr="00925F26" w:rsidRDefault="00665165" w:rsidP="00925F26">
      <w:pPr>
        <w:autoSpaceDE w:val="0"/>
        <w:autoSpaceDN w:val="0"/>
        <w:adjustRightInd w:val="0"/>
        <w:jc w:val="both"/>
        <w:rPr>
          <w:color w:val="000000" w:themeColor="text1"/>
          <w:sz w:val="16"/>
          <w:szCs w:val="16"/>
        </w:rPr>
      </w:pPr>
    </w:p>
    <w:p w14:paraId="70A1EF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8706 О вывозе оборудования с немецких механических заводов на заводы Наркомсредмаша. РГАНИР, Фонд ГКО, д. 418, лл. 137-138 (11012).</w:t>
      </w:r>
    </w:p>
    <w:p w14:paraId="0F6715CD" w14:textId="77777777" w:rsidR="00665165" w:rsidRPr="00925F26" w:rsidRDefault="00665165" w:rsidP="00925F26">
      <w:pPr>
        <w:autoSpaceDE w:val="0"/>
        <w:autoSpaceDN w:val="0"/>
        <w:adjustRightInd w:val="0"/>
        <w:jc w:val="both"/>
        <w:rPr>
          <w:color w:val="000000" w:themeColor="text1"/>
          <w:sz w:val="16"/>
          <w:szCs w:val="16"/>
        </w:rPr>
      </w:pPr>
    </w:p>
    <w:p w14:paraId="00BC1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8707 О сокращении производства и поставок средств химического вооружения. РГАНИР, Фонд ГКО, д. 418, лл. 139, 140-149 (11012).</w:t>
      </w:r>
    </w:p>
    <w:p w14:paraId="4B4F00AC" w14:textId="77777777" w:rsidR="00665165" w:rsidRPr="00925F26" w:rsidRDefault="00665165" w:rsidP="00925F26">
      <w:pPr>
        <w:autoSpaceDE w:val="0"/>
        <w:autoSpaceDN w:val="0"/>
        <w:adjustRightInd w:val="0"/>
        <w:jc w:val="both"/>
        <w:rPr>
          <w:color w:val="000000" w:themeColor="text1"/>
          <w:sz w:val="16"/>
          <w:szCs w:val="16"/>
        </w:rPr>
      </w:pPr>
    </w:p>
    <w:p w14:paraId="30D992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22 мая 1945 вышло Постановление ГКО № 8708 О плане производства и поставки НКО СССР, Наркомвоенморфлоту и войскам НКВД СССР военно-технического имущества на июнь и июль 1945 года. РГАНИР, Фонд ГКО, д. 418, лл. 150, 151-162 (11012).</w:t>
      </w:r>
    </w:p>
    <w:p w14:paraId="25E8C44F" w14:textId="77777777" w:rsidR="00665165" w:rsidRPr="00925F26" w:rsidRDefault="00665165" w:rsidP="00925F26">
      <w:pPr>
        <w:autoSpaceDE w:val="0"/>
        <w:autoSpaceDN w:val="0"/>
        <w:adjustRightInd w:val="0"/>
        <w:jc w:val="both"/>
        <w:rPr>
          <w:color w:val="000000" w:themeColor="text1"/>
          <w:sz w:val="16"/>
          <w:szCs w:val="16"/>
        </w:rPr>
      </w:pPr>
    </w:p>
    <w:p w14:paraId="6DBFE0B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мая 1945 года вышел приказ № 191сс НКБ</w:t>
      </w:r>
    </w:p>
    <w:p w14:paraId="751CBA6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целях организации производства корпусов ручных гранат Ф-1 приказываю:</w:t>
      </w:r>
    </w:p>
    <w:p w14:paraId="6A27C6E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Начальнику 4 Гл. управления Иванову передать 6 Гл. управлению завод № 552 (5794, 75).</w:t>
      </w:r>
    </w:p>
    <w:p w14:paraId="130567E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6FCB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22 мая 1945 г. по приказу НКБ № 192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 </w:t>
      </w:r>
    </w:p>
    <w:p w14:paraId="48D746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(26.11.1941-28.09.1942 г.) - М.З. Тененбаум, (09.1942-44 г.-) - А.П. Закощиков (одновременно был директором НИИ-6). </w:t>
      </w:r>
    </w:p>
    <w:p w14:paraId="05BD59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инженер (1941 г.) - А.Н. Рабинович, (1942-44 г.) - С.М. Голубков. </w:t>
      </w:r>
    </w:p>
    <w:p w14:paraId="4C1C29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конструктор (ВОВ) - Л.А. Смирнов.55,56 </w:t>
      </w:r>
    </w:p>
    <w:p w14:paraId="6F812A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ГС Завод № 562 НКБ, ГС завод НИИ № 6 </w:t>
      </w:r>
    </w:p>
    <w:p w14:paraId="494B8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Москва (10776)</w:t>
      </w:r>
    </w:p>
    <w:p w14:paraId="7268DCEB" w14:textId="77777777" w:rsidR="00665165" w:rsidRPr="00925F26" w:rsidRDefault="00665165" w:rsidP="00925F26">
      <w:pPr>
        <w:autoSpaceDE w:val="0"/>
        <w:autoSpaceDN w:val="0"/>
        <w:adjustRightInd w:val="0"/>
        <w:jc w:val="both"/>
        <w:rPr>
          <w:color w:val="000000" w:themeColor="text1"/>
          <w:sz w:val="16"/>
          <w:szCs w:val="16"/>
        </w:rPr>
      </w:pPr>
    </w:p>
    <w:p w14:paraId="3BF01843" w14:textId="77777777" w:rsidR="00637BF4" w:rsidRPr="00925F26" w:rsidRDefault="00637BF4" w:rsidP="00925F26">
      <w:pPr>
        <w:shd w:val="clear" w:color="auto" w:fill="FFFFFF"/>
        <w:jc w:val="both"/>
        <w:rPr>
          <w:color w:val="000000" w:themeColor="text1"/>
          <w:sz w:val="16"/>
          <w:szCs w:val="16"/>
        </w:rPr>
      </w:pPr>
      <w:r w:rsidRPr="00925F26">
        <w:rPr>
          <w:bCs/>
          <w:iCs/>
          <w:color w:val="000000" w:themeColor="text1"/>
          <w:sz w:val="16"/>
          <w:szCs w:val="16"/>
        </w:rPr>
        <w:t>22 мая 1945 г</w:t>
      </w:r>
      <w:r w:rsidRPr="00925F26">
        <w:rPr>
          <w:color w:val="000000" w:themeColor="text1"/>
          <w:sz w:val="16"/>
          <w:szCs w:val="16"/>
        </w:rPr>
        <w:t>. Постановление ГОКО СССР о сокращении производства средств химического вооружения. В годы второй мировой войны производство в СССР средств химического вооружения и средств химической защиты велось на 301 предприятии 43 министерств и ведомств. В 1941-1945 гг. было произведено 122 400 тонн различных ОВ, в том числе иприта — 76 700 тонн, люизита — 20 200 тонн, фосгена — 8300 тонн, синильной кислоты — 11 100 тонн, адамсита — 6100 тонн. Было произведено 4 573 600 химических боеприпасов, снаряженных ипритом, люизитом и их смесями, в том числе авиабомб ХАБ-500 с иприт-люизитной смесью — 52 000, авиабомб ХАБ-200 с ипритом и иприт-люизитной смесью — 62 500, авиабомб ХАБ-100 с иприт-люизитной смесью — 123 000, авиабомб ХАБ-25 с иприт-люизитной смесью — 80 600, артснарядов АХС-76 с ипритом — 698 200, артснарядов АХС-122 с ипритом, вязким люизитом, иприт-люизитной смесью и вязкой иприт-люизитной смесью — 648 600, артснарядов АХС-152 с ипритом, вязким люизитом, иприт-люизитной смесью и вязкой иприт-люизитной смесью — 211 700, химмин М-82 с ипритом и иприт-люизитной смесью — 1 423 000, химмин М-107 с иприт-люизитной смесью — 2000, химмин М-120 с иприт-люизитной смесью — 175 000, реактивных химснарядов МХ-13 для гвардейских минометов — 97 000 (17133).</w:t>
      </w:r>
    </w:p>
    <w:p w14:paraId="04DF839B" w14:textId="77777777" w:rsidR="00637BF4" w:rsidRPr="00925F26" w:rsidRDefault="00637BF4" w:rsidP="00925F26">
      <w:pPr>
        <w:shd w:val="clear" w:color="auto" w:fill="FFFFFF"/>
        <w:jc w:val="both"/>
        <w:rPr>
          <w:color w:val="000000" w:themeColor="text1"/>
          <w:sz w:val="16"/>
          <w:szCs w:val="16"/>
        </w:rPr>
      </w:pPr>
    </w:p>
    <w:p w14:paraId="0DC88CC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1CE76DA" w14:textId="77777777" w:rsidR="00665165" w:rsidRPr="00925F26" w:rsidRDefault="00665165" w:rsidP="00925F26">
      <w:pPr>
        <w:autoSpaceDE w:val="0"/>
        <w:autoSpaceDN w:val="0"/>
        <w:adjustRightInd w:val="0"/>
        <w:jc w:val="both"/>
        <w:rPr>
          <w:iCs/>
          <w:color w:val="000000" w:themeColor="text1"/>
          <w:sz w:val="16"/>
          <w:szCs w:val="16"/>
        </w:rPr>
      </w:pPr>
    </w:p>
    <w:p w14:paraId="48B275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мая 1945 г. была подготовлена ДОКЛАДНАЯ ЗАПИСКА НАЧАЛЬНИКА ГАВТУ КА НАЧАЛЬНИКУ ТЫЛА КА ГЕНЕРАЛУ АРМИИ А.В. ХРУЛЕВУ О РЕЗУЛЬТАТАХ ПЕРЕУЧЕТА АВТОПАРКА КРАСНОЙ АРМИИ №1352692</w:t>
      </w:r>
    </w:p>
    <w:p w14:paraId="016561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что Ваш приказ №221 от 26 декабря 1944 г. «О переучете автопарка Красной Армии» выполнен.</w:t>
      </w:r>
    </w:p>
    <w:p w14:paraId="294F9A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переучета выявлено:</w:t>
      </w:r>
    </w:p>
    <w:p w14:paraId="6DDE76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Наличие автопарка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334"/>
        <w:gridCol w:w="1382"/>
        <w:gridCol w:w="1488"/>
        <w:gridCol w:w="1382"/>
        <w:gridCol w:w="1402"/>
      </w:tblGrid>
      <w:tr w:rsidR="000F5689" w:rsidRPr="00925F26" w14:paraId="78D4A1ED" w14:textId="77777777">
        <w:trPr>
          <w:trHeight w:val="250"/>
        </w:trPr>
        <w:tc>
          <w:tcPr>
            <w:tcW w:w="1642" w:type="dxa"/>
            <w:tcBorders>
              <w:top w:val="single" w:sz="6" w:space="0" w:color="auto"/>
              <w:left w:val="single" w:sz="6" w:space="0" w:color="auto"/>
              <w:bottom w:val="nil"/>
              <w:right w:val="single" w:sz="6" w:space="0" w:color="auto"/>
            </w:tcBorders>
          </w:tcPr>
          <w:p w14:paraId="0A64AB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53239B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181ED9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Состояло по списку</w:t>
            </w:r>
          </w:p>
          <w:p w14:paraId="728545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252" w:type="dxa"/>
            <w:gridSpan w:val="3"/>
            <w:tcBorders>
              <w:top w:val="single" w:sz="6" w:space="0" w:color="auto"/>
              <w:left w:val="single" w:sz="6" w:space="0" w:color="auto"/>
              <w:bottom w:val="single" w:sz="6" w:space="0" w:color="auto"/>
              <w:right w:val="single" w:sz="6" w:space="0" w:color="auto"/>
            </w:tcBorders>
          </w:tcPr>
          <w:p w14:paraId="7DD20B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Оказалось</w:t>
            </w:r>
          </w:p>
          <w:p w14:paraId="7E03A6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nil"/>
              <w:right w:val="single" w:sz="6" w:space="0" w:color="auto"/>
            </w:tcBorders>
          </w:tcPr>
          <w:p w14:paraId="6D0AC4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Разница</w:t>
            </w:r>
          </w:p>
          <w:p w14:paraId="511A4B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54110D2" w14:textId="77777777">
        <w:trPr>
          <w:trHeight w:val="240"/>
        </w:trPr>
        <w:tc>
          <w:tcPr>
            <w:tcW w:w="1642" w:type="dxa"/>
            <w:tcBorders>
              <w:top w:val="nil"/>
              <w:left w:val="single" w:sz="6" w:space="0" w:color="auto"/>
              <w:bottom w:val="single" w:sz="6" w:space="0" w:color="auto"/>
              <w:right w:val="single" w:sz="6" w:space="0" w:color="auto"/>
            </w:tcBorders>
          </w:tcPr>
          <w:p w14:paraId="1054E8A7" w14:textId="77777777" w:rsidR="00665165" w:rsidRPr="00925F26" w:rsidRDefault="00665165" w:rsidP="00925F26">
            <w:pPr>
              <w:autoSpaceDE w:val="0"/>
              <w:autoSpaceDN w:val="0"/>
              <w:adjustRightInd w:val="0"/>
              <w:jc w:val="both"/>
              <w:rPr>
                <w:color w:val="000000" w:themeColor="text1"/>
                <w:sz w:val="16"/>
                <w:szCs w:val="16"/>
              </w:rPr>
            </w:pPr>
          </w:p>
          <w:p w14:paraId="246E0358" w14:textId="77777777" w:rsidR="00665165" w:rsidRPr="00925F26" w:rsidRDefault="00665165" w:rsidP="00925F26">
            <w:pPr>
              <w:autoSpaceDE w:val="0"/>
              <w:autoSpaceDN w:val="0"/>
              <w:adjustRightInd w:val="0"/>
              <w:jc w:val="both"/>
              <w:rPr>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2B83150C" w14:textId="77777777" w:rsidR="00665165" w:rsidRPr="00925F26" w:rsidRDefault="00665165" w:rsidP="00925F26">
            <w:pPr>
              <w:autoSpaceDE w:val="0"/>
              <w:autoSpaceDN w:val="0"/>
              <w:adjustRightInd w:val="0"/>
              <w:jc w:val="both"/>
              <w:rPr>
                <w:color w:val="000000" w:themeColor="text1"/>
                <w:sz w:val="16"/>
                <w:szCs w:val="16"/>
              </w:rPr>
            </w:pPr>
          </w:p>
          <w:p w14:paraId="5ECB2B2C" w14:textId="77777777" w:rsidR="00665165" w:rsidRPr="00925F26" w:rsidRDefault="00665165" w:rsidP="00925F26">
            <w:pPr>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34431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налицо</w:t>
            </w:r>
          </w:p>
          <w:p w14:paraId="5A2E67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1514B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командировке</w:t>
            </w:r>
          </w:p>
          <w:p w14:paraId="66D450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A1A94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68B4B2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02" w:type="dxa"/>
            <w:tcBorders>
              <w:top w:val="nil"/>
              <w:left w:val="single" w:sz="6" w:space="0" w:color="auto"/>
              <w:bottom w:val="single" w:sz="6" w:space="0" w:color="auto"/>
              <w:right w:val="single" w:sz="6" w:space="0" w:color="auto"/>
            </w:tcBorders>
          </w:tcPr>
          <w:p w14:paraId="772F20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5FBBA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91D9C9E"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2C2EEF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Отечественных</w:t>
            </w:r>
          </w:p>
          <w:p w14:paraId="1FA315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E71AD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396442</w:t>
            </w:r>
          </w:p>
          <w:p w14:paraId="7A2594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ED0E5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388249</w:t>
            </w:r>
          </w:p>
          <w:p w14:paraId="7F0DDA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172C4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7274</w:t>
            </w:r>
          </w:p>
          <w:p w14:paraId="3AEEB0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1E6BE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395523</w:t>
            </w:r>
          </w:p>
          <w:p w14:paraId="3C1B5B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09062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-919</w:t>
            </w:r>
          </w:p>
          <w:p w14:paraId="3E1FE8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B1D999D" w14:textId="77777777">
        <w:trPr>
          <w:trHeight w:val="230"/>
        </w:trPr>
        <w:tc>
          <w:tcPr>
            <w:tcW w:w="1642" w:type="dxa"/>
            <w:tcBorders>
              <w:top w:val="single" w:sz="6" w:space="0" w:color="auto"/>
              <w:left w:val="single" w:sz="6" w:space="0" w:color="auto"/>
              <w:bottom w:val="single" w:sz="6" w:space="0" w:color="auto"/>
              <w:right w:val="single" w:sz="6" w:space="0" w:color="auto"/>
            </w:tcBorders>
          </w:tcPr>
          <w:p w14:paraId="300E35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Импортных</w:t>
            </w:r>
          </w:p>
          <w:p w14:paraId="2C2C78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11F0D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198408</w:t>
            </w:r>
          </w:p>
          <w:p w14:paraId="5F4CEA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4C49A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194802</w:t>
            </w:r>
          </w:p>
          <w:p w14:paraId="25608D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4209E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2159</w:t>
            </w:r>
          </w:p>
          <w:p w14:paraId="725FD1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1062F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196961</w:t>
            </w:r>
          </w:p>
          <w:p w14:paraId="455220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ABF35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-1447</w:t>
            </w:r>
          </w:p>
          <w:p w14:paraId="148486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AE73426"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799AE7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Трофейных</w:t>
            </w:r>
          </w:p>
          <w:p w14:paraId="46A6DD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A8351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45971</w:t>
            </w:r>
          </w:p>
          <w:p w14:paraId="6ACCD1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E8687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46677</w:t>
            </w:r>
          </w:p>
          <w:p w14:paraId="1A096E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76F064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367</w:t>
            </w:r>
          </w:p>
          <w:p w14:paraId="7F426D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2726C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47044</w:t>
            </w:r>
          </w:p>
          <w:p w14:paraId="6AAC06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48569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+1073</w:t>
            </w:r>
          </w:p>
          <w:p w14:paraId="6D3F92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51C233A" w14:textId="77777777">
        <w:trPr>
          <w:trHeight w:val="259"/>
        </w:trPr>
        <w:tc>
          <w:tcPr>
            <w:tcW w:w="1642" w:type="dxa"/>
            <w:tcBorders>
              <w:top w:val="single" w:sz="6" w:space="0" w:color="auto"/>
              <w:left w:val="single" w:sz="6" w:space="0" w:color="auto"/>
              <w:bottom w:val="single" w:sz="6" w:space="0" w:color="auto"/>
              <w:right w:val="single" w:sz="6" w:space="0" w:color="auto"/>
            </w:tcBorders>
          </w:tcPr>
          <w:p w14:paraId="52C85D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6BB27E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99F19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640821</w:t>
            </w:r>
          </w:p>
          <w:p w14:paraId="2792E0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8B871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629728</w:t>
            </w:r>
          </w:p>
          <w:p w14:paraId="66DD21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C5A29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9800</w:t>
            </w:r>
          </w:p>
          <w:p w14:paraId="3A0547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7846F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639528</w:t>
            </w:r>
          </w:p>
          <w:p w14:paraId="2EB3AC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DE98C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-1293</w:t>
            </w:r>
          </w:p>
          <w:p w14:paraId="43AD29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03804A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приведенной таблицы видно, что переучетом выявлено — 1073 трофейных автомашин, не состоявших на учете. Отечественных и импортных машин оказалось менее на 2366 штук против списочного количества.</w:t>
      </w:r>
    </w:p>
    <w:p w14:paraId="6BC929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итоге общее списочное количество уменьшилось на 1293 машины.</w:t>
      </w:r>
    </w:p>
    <w:p w14:paraId="1F505E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таблице не указаны 5841 автомашина резерва ГАВТУ КА, находящиеся на центральных авторе</w:t>
      </w:r>
      <w:r w:rsidRPr="00925F26">
        <w:rPr>
          <w:color w:val="000000" w:themeColor="text1"/>
          <w:sz w:val="16"/>
          <w:szCs w:val="16"/>
        </w:rPr>
        <w:softHyphen/>
        <w:t>монтных заводах в СПАМах, требующие капитального ремонта и в значительной части совершенно негодные.</w:t>
      </w:r>
    </w:p>
    <w:p w14:paraId="694975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Техническое состояние автопарка Красной Армии</w:t>
      </w:r>
    </w:p>
    <w:p w14:paraId="423A68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Наличие ходового автопарка на отдельных фронтах (2-й Украинский, 1-й Белорусский и др.), независимо от переучета, проверялось специальными комиссиями, которыми установлено:</w:t>
      </w:r>
    </w:p>
    <w:p w14:paraId="55C08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что действительное наличие машин, готовых выполнять задание, в проверенных частях соот</w:t>
      </w:r>
      <w:r w:rsidRPr="00925F26">
        <w:rPr>
          <w:color w:val="000000" w:themeColor="text1"/>
          <w:sz w:val="16"/>
          <w:szCs w:val="16"/>
        </w:rPr>
        <w:softHyphen/>
        <w:t>ветствовало списочному наличию ходового парка, показываемому в срочных донесениях по форме №3.</w:t>
      </w:r>
    </w:p>
    <w:p w14:paraId="565B3B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что среди ходового парка имеется значительное количество машин с техническими неисправ</w:t>
      </w:r>
      <w:r w:rsidRPr="00925F26">
        <w:rPr>
          <w:color w:val="000000" w:themeColor="text1"/>
          <w:sz w:val="16"/>
          <w:szCs w:val="16"/>
        </w:rPr>
        <w:softHyphen/>
        <w:t>ностями, которые не препятствуют использованию машин в данный момент, но для устранения этих неисправностей требуется производство текущего, среднего, а иногда и капитального ремонта.</w:t>
      </w:r>
    </w:p>
    <w:p w14:paraId="04F6E6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проведенного переучета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267"/>
        <w:gridCol w:w="1488"/>
        <w:gridCol w:w="1306"/>
        <w:gridCol w:w="1306"/>
        <w:gridCol w:w="1306"/>
        <w:gridCol w:w="1229"/>
      </w:tblGrid>
      <w:tr w:rsidR="000F5689" w:rsidRPr="00925F26" w14:paraId="79CDF01D" w14:textId="77777777">
        <w:trPr>
          <w:trHeight w:val="250"/>
        </w:trPr>
        <w:tc>
          <w:tcPr>
            <w:tcW w:w="1690" w:type="dxa"/>
            <w:tcBorders>
              <w:top w:val="single" w:sz="6" w:space="0" w:color="auto"/>
              <w:left w:val="single" w:sz="6" w:space="0" w:color="auto"/>
              <w:bottom w:val="nil"/>
              <w:right w:val="single" w:sz="6" w:space="0" w:color="auto"/>
            </w:tcBorders>
          </w:tcPr>
          <w:p w14:paraId="0F06F3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18B101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598AE9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 осмотренных машин</w:t>
            </w:r>
          </w:p>
          <w:p w14:paraId="413F90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5406" w:type="dxa"/>
            <w:gridSpan w:val="4"/>
            <w:tcBorders>
              <w:top w:val="single" w:sz="6" w:space="0" w:color="auto"/>
              <w:left w:val="single" w:sz="6" w:space="0" w:color="auto"/>
              <w:bottom w:val="single" w:sz="6" w:space="0" w:color="auto"/>
              <w:right w:val="single" w:sz="6" w:space="0" w:color="auto"/>
            </w:tcBorders>
          </w:tcPr>
          <w:p w14:paraId="3E849B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 оказалось</w:t>
            </w:r>
          </w:p>
          <w:p w14:paraId="00544A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nil"/>
              <w:right w:val="single" w:sz="6" w:space="0" w:color="auto"/>
            </w:tcBorders>
          </w:tcPr>
          <w:p w14:paraId="3CB471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машин капи</w:t>
            </w:r>
            <w:r w:rsidRPr="00925F26">
              <w:rPr>
                <w:color w:val="000000" w:themeColor="text1"/>
                <w:sz w:val="16"/>
                <w:szCs w:val="16"/>
              </w:rPr>
              <w:softHyphen/>
              <w:t>тального и сред</w:t>
            </w:r>
            <w:r w:rsidRPr="00925F26">
              <w:rPr>
                <w:color w:val="000000" w:themeColor="text1"/>
                <w:sz w:val="16"/>
                <w:szCs w:val="16"/>
              </w:rPr>
              <w:softHyphen/>
              <w:t>него ремонта</w:t>
            </w:r>
          </w:p>
          <w:p w14:paraId="7176E8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4B24183" w14:textId="77777777">
        <w:trPr>
          <w:trHeight w:val="413"/>
        </w:trPr>
        <w:tc>
          <w:tcPr>
            <w:tcW w:w="1690" w:type="dxa"/>
            <w:tcBorders>
              <w:top w:val="nil"/>
              <w:left w:val="single" w:sz="6" w:space="0" w:color="auto"/>
              <w:bottom w:val="single" w:sz="6" w:space="0" w:color="auto"/>
              <w:right w:val="single" w:sz="6" w:space="0" w:color="auto"/>
            </w:tcBorders>
          </w:tcPr>
          <w:p w14:paraId="6C817B3F" w14:textId="77777777" w:rsidR="00665165" w:rsidRPr="00925F26" w:rsidRDefault="00665165" w:rsidP="00925F26">
            <w:pPr>
              <w:autoSpaceDE w:val="0"/>
              <w:autoSpaceDN w:val="0"/>
              <w:adjustRightInd w:val="0"/>
              <w:jc w:val="both"/>
              <w:rPr>
                <w:color w:val="000000" w:themeColor="text1"/>
                <w:sz w:val="16"/>
                <w:szCs w:val="16"/>
              </w:rPr>
            </w:pPr>
          </w:p>
          <w:p w14:paraId="3E6223B0" w14:textId="77777777" w:rsidR="00665165" w:rsidRPr="00925F26" w:rsidRDefault="00665165" w:rsidP="00925F26">
            <w:pPr>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55FFDDE5" w14:textId="77777777" w:rsidR="00665165" w:rsidRPr="00925F26" w:rsidRDefault="00665165" w:rsidP="00925F26">
            <w:pPr>
              <w:autoSpaceDE w:val="0"/>
              <w:autoSpaceDN w:val="0"/>
              <w:adjustRightInd w:val="0"/>
              <w:jc w:val="both"/>
              <w:rPr>
                <w:color w:val="000000" w:themeColor="text1"/>
                <w:sz w:val="16"/>
                <w:szCs w:val="16"/>
              </w:rPr>
            </w:pPr>
          </w:p>
          <w:p w14:paraId="53F0748E" w14:textId="77777777" w:rsidR="00665165" w:rsidRPr="00925F26" w:rsidRDefault="00665165" w:rsidP="00925F26">
            <w:pPr>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B447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исправных и теку</w:t>
            </w:r>
            <w:r w:rsidRPr="00925F26">
              <w:rPr>
                <w:color w:val="000000" w:themeColor="text1"/>
                <w:sz w:val="16"/>
                <w:szCs w:val="16"/>
              </w:rPr>
              <w:softHyphen/>
              <w:t>щих ремонтов</w:t>
            </w:r>
          </w:p>
          <w:p w14:paraId="012E74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E33F1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капитального ремонта</w:t>
            </w:r>
          </w:p>
          <w:p w14:paraId="59B824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86920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среднего ремонта</w:t>
            </w:r>
          </w:p>
          <w:p w14:paraId="4408CA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4197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негодных</w:t>
            </w:r>
          </w:p>
          <w:p w14:paraId="0F6505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29" w:type="dxa"/>
            <w:tcBorders>
              <w:top w:val="nil"/>
              <w:left w:val="single" w:sz="6" w:space="0" w:color="auto"/>
              <w:bottom w:val="single" w:sz="6" w:space="0" w:color="auto"/>
              <w:right w:val="single" w:sz="6" w:space="0" w:color="auto"/>
            </w:tcBorders>
          </w:tcPr>
          <w:p w14:paraId="3187E2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51228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ACA92DA" w14:textId="77777777">
        <w:trPr>
          <w:trHeight w:val="230"/>
        </w:trPr>
        <w:tc>
          <w:tcPr>
            <w:tcW w:w="1690" w:type="dxa"/>
            <w:tcBorders>
              <w:top w:val="single" w:sz="6" w:space="0" w:color="auto"/>
              <w:left w:val="single" w:sz="6" w:space="0" w:color="auto"/>
              <w:bottom w:val="single" w:sz="6" w:space="0" w:color="auto"/>
              <w:right w:val="single" w:sz="6" w:space="0" w:color="auto"/>
            </w:tcBorders>
          </w:tcPr>
          <w:p w14:paraId="258830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Отечественные</w:t>
            </w:r>
          </w:p>
          <w:p w14:paraId="74C43B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2F5F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388249</w:t>
            </w:r>
          </w:p>
          <w:p w14:paraId="5F7777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53BAD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305165</w:t>
            </w:r>
          </w:p>
          <w:p w14:paraId="5D6F1F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B0D5D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27047</w:t>
            </w:r>
          </w:p>
          <w:p w14:paraId="1ACC57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C3933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50953</w:t>
            </w:r>
          </w:p>
          <w:p w14:paraId="2981A9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E4512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5084</w:t>
            </w:r>
          </w:p>
          <w:p w14:paraId="6AEEEC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054C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21,4%</w:t>
            </w:r>
          </w:p>
          <w:p w14:paraId="45564C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4E3FBAB" w14:textId="77777777">
        <w:trPr>
          <w:trHeight w:val="240"/>
        </w:trPr>
        <w:tc>
          <w:tcPr>
            <w:tcW w:w="1690" w:type="dxa"/>
            <w:tcBorders>
              <w:top w:val="single" w:sz="6" w:space="0" w:color="auto"/>
              <w:left w:val="single" w:sz="6" w:space="0" w:color="auto"/>
              <w:bottom w:val="single" w:sz="6" w:space="0" w:color="auto"/>
              <w:right w:val="single" w:sz="6" w:space="0" w:color="auto"/>
            </w:tcBorders>
          </w:tcPr>
          <w:p w14:paraId="687084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Импортные</w:t>
            </w:r>
          </w:p>
          <w:p w14:paraId="3FA24F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0D6D4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194802</w:t>
            </w:r>
          </w:p>
          <w:p w14:paraId="5CB322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F5272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164942</w:t>
            </w:r>
          </w:p>
          <w:p w14:paraId="78FF2E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09A7A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7263</w:t>
            </w:r>
          </w:p>
          <w:p w14:paraId="716C25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CEE56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21059</w:t>
            </w:r>
          </w:p>
          <w:p w14:paraId="3E86F6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BA28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1538</w:t>
            </w:r>
          </w:p>
          <w:p w14:paraId="32AE90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DE1DF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15,4%</w:t>
            </w:r>
          </w:p>
          <w:p w14:paraId="0D3853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E5C181A" w14:textId="77777777">
        <w:trPr>
          <w:trHeight w:val="240"/>
        </w:trPr>
        <w:tc>
          <w:tcPr>
            <w:tcW w:w="1690" w:type="dxa"/>
            <w:tcBorders>
              <w:top w:val="single" w:sz="6" w:space="0" w:color="auto"/>
              <w:left w:val="single" w:sz="6" w:space="0" w:color="auto"/>
              <w:bottom w:val="single" w:sz="6" w:space="0" w:color="auto"/>
              <w:right w:val="single" w:sz="6" w:space="0" w:color="auto"/>
            </w:tcBorders>
          </w:tcPr>
          <w:p w14:paraId="793AAE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Трофейные</w:t>
            </w:r>
          </w:p>
          <w:p w14:paraId="5B53CC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581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46677</w:t>
            </w:r>
          </w:p>
          <w:p w14:paraId="57A458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6DC19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36056</w:t>
            </w:r>
          </w:p>
          <w:p w14:paraId="54CDFE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DAB8B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2879</w:t>
            </w:r>
          </w:p>
          <w:p w14:paraId="392093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C441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7649</w:t>
            </w:r>
          </w:p>
          <w:p w14:paraId="510AAB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5977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993</w:t>
            </w:r>
          </w:p>
          <w:p w14:paraId="0037C5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69E7C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22,8%</w:t>
            </w:r>
          </w:p>
          <w:p w14:paraId="392C94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5BB7065" w14:textId="77777777">
        <w:trPr>
          <w:trHeight w:val="259"/>
        </w:trPr>
        <w:tc>
          <w:tcPr>
            <w:tcW w:w="1690" w:type="dxa"/>
            <w:tcBorders>
              <w:top w:val="single" w:sz="6" w:space="0" w:color="auto"/>
              <w:left w:val="single" w:sz="6" w:space="0" w:color="auto"/>
              <w:bottom w:val="single" w:sz="6" w:space="0" w:color="auto"/>
              <w:right w:val="single" w:sz="6" w:space="0" w:color="auto"/>
            </w:tcBorders>
          </w:tcPr>
          <w:p w14:paraId="2E15A3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0F1F91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F14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629728</w:t>
            </w:r>
          </w:p>
          <w:p w14:paraId="4857DE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6E0537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506163</w:t>
            </w:r>
          </w:p>
          <w:p w14:paraId="5921E3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42F18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37189</w:t>
            </w:r>
          </w:p>
          <w:p w14:paraId="1DD785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020EA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78761</w:t>
            </w:r>
          </w:p>
          <w:p w14:paraId="39E27D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0FABE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7615</w:t>
            </w:r>
          </w:p>
          <w:p w14:paraId="6E7441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CFE30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w:t>
            </w:r>
          </w:p>
          <w:p w14:paraId="3E9503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32D3BD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Указанные в этой таблице результаты переучета показывают, что количество машин, требую</w:t>
      </w:r>
      <w:r w:rsidRPr="00925F26">
        <w:rPr>
          <w:color w:val="000000" w:themeColor="text1"/>
          <w:sz w:val="16"/>
          <w:szCs w:val="16"/>
        </w:rPr>
        <w:softHyphen/>
        <w:t>щих капитального и среднего ремонта, повышено по сравнению с данными по донесениям формы №3 на 1.05.1945 г., а именно:</w:t>
      </w:r>
    </w:p>
    <w:tbl>
      <w:tblPr>
        <w:tblW w:w="0" w:type="auto"/>
        <w:tblInd w:w="40" w:type="dxa"/>
        <w:tblLayout w:type="fixed"/>
        <w:tblCellMar>
          <w:left w:w="40" w:type="dxa"/>
          <w:right w:w="40" w:type="dxa"/>
        </w:tblCellMar>
        <w:tblLook w:val="0000" w:firstRow="0" w:lastRow="0" w:firstColumn="0" w:lastColumn="0" w:noHBand="0" w:noVBand="0"/>
      </w:tblPr>
      <w:tblGrid>
        <w:gridCol w:w="2256"/>
        <w:gridCol w:w="2736"/>
        <w:gridCol w:w="2006"/>
        <w:gridCol w:w="2582"/>
      </w:tblGrid>
      <w:tr w:rsidR="000F5689" w:rsidRPr="00925F26" w14:paraId="34934D2A" w14:textId="77777777">
        <w:trPr>
          <w:trHeight w:val="250"/>
        </w:trPr>
        <w:tc>
          <w:tcPr>
            <w:tcW w:w="2256" w:type="dxa"/>
            <w:tcBorders>
              <w:top w:val="single" w:sz="6" w:space="0" w:color="auto"/>
              <w:left w:val="single" w:sz="6" w:space="0" w:color="auto"/>
              <w:bottom w:val="nil"/>
              <w:right w:val="single" w:sz="6" w:space="0" w:color="auto"/>
            </w:tcBorders>
          </w:tcPr>
          <w:p w14:paraId="001571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51C27D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4742" w:type="dxa"/>
            <w:gridSpan w:val="2"/>
            <w:tcBorders>
              <w:top w:val="single" w:sz="6" w:space="0" w:color="auto"/>
              <w:left w:val="single" w:sz="6" w:space="0" w:color="auto"/>
              <w:bottom w:val="single" w:sz="6" w:space="0" w:color="auto"/>
              <w:right w:val="single" w:sz="6" w:space="0" w:color="auto"/>
            </w:tcBorders>
          </w:tcPr>
          <w:p w14:paraId="2D4457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машин среднего и капитального ремонтов</w:t>
            </w:r>
          </w:p>
          <w:p w14:paraId="31EC39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nil"/>
              <w:right w:val="single" w:sz="6" w:space="0" w:color="auto"/>
            </w:tcBorders>
          </w:tcPr>
          <w:p w14:paraId="4E6285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Разница по переучету</w:t>
            </w:r>
          </w:p>
          <w:p w14:paraId="34A18C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C56CB4D" w14:textId="77777777">
        <w:trPr>
          <w:trHeight w:val="240"/>
        </w:trPr>
        <w:tc>
          <w:tcPr>
            <w:tcW w:w="2256" w:type="dxa"/>
            <w:tcBorders>
              <w:top w:val="nil"/>
              <w:left w:val="single" w:sz="6" w:space="0" w:color="auto"/>
              <w:bottom w:val="single" w:sz="6" w:space="0" w:color="auto"/>
              <w:right w:val="single" w:sz="6" w:space="0" w:color="auto"/>
            </w:tcBorders>
          </w:tcPr>
          <w:p w14:paraId="12041BA1" w14:textId="77777777" w:rsidR="00665165" w:rsidRPr="00925F26" w:rsidRDefault="00665165" w:rsidP="00925F26">
            <w:pPr>
              <w:autoSpaceDE w:val="0"/>
              <w:autoSpaceDN w:val="0"/>
              <w:adjustRightInd w:val="0"/>
              <w:jc w:val="both"/>
              <w:rPr>
                <w:color w:val="000000" w:themeColor="text1"/>
                <w:sz w:val="16"/>
                <w:szCs w:val="16"/>
              </w:rPr>
            </w:pPr>
          </w:p>
          <w:p w14:paraId="42A49B06" w14:textId="77777777" w:rsidR="00665165" w:rsidRPr="00925F26" w:rsidRDefault="00665165" w:rsidP="00925F26">
            <w:pPr>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3FDBFD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1945 г.</w:t>
            </w:r>
          </w:p>
          <w:p w14:paraId="758A03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4AB12C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данным переучета</w:t>
            </w:r>
          </w:p>
          <w:p w14:paraId="0A158E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82" w:type="dxa"/>
            <w:tcBorders>
              <w:top w:val="nil"/>
              <w:left w:val="single" w:sz="6" w:space="0" w:color="auto"/>
              <w:bottom w:val="single" w:sz="6" w:space="0" w:color="auto"/>
              <w:right w:val="single" w:sz="6" w:space="0" w:color="auto"/>
            </w:tcBorders>
          </w:tcPr>
          <w:p w14:paraId="780443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697E5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D726522"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48C211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Отечественные</w:t>
            </w:r>
          </w:p>
          <w:p w14:paraId="5831D4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0AB58D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13,9%</w:t>
            </w:r>
          </w:p>
          <w:p w14:paraId="71EF4B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043571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21,4%</w:t>
            </w:r>
          </w:p>
          <w:p w14:paraId="11599B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5BB0B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63B4E2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5979D31" w14:textId="77777777">
        <w:trPr>
          <w:trHeight w:val="230"/>
        </w:trPr>
        <w:tc>
          <w:tcPr>
            <w:tcW w:w="2256" w:type="dxa"/>
            <w:tcBorders>
              <w:top w:val="single" w:sz="6" w:space="0" w:color="auto"/>
              <w:left w:val="single" w:sz="6" w:space="0" w:color="auto"/>
              <w:bottom w:val="single" w:sz="6" w:space="0" w:color="auto"/>
              <w:right w:val="single" w:sz="6" w:space="0" w:color="auto"/>
            </w:tcBorders>
          </w:tcPr>
          <w:p w14:paraId="189E84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Импортные</w:t>
            </w:r>
          </w:p>
          <w:p w14:paraId="144715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061A70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11,5%</w:t>
            </w:r>
          </w:p>
          <w:p w14:paraId="3F56A0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945A4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15,4%</w:t>
            </w:r>
          </w:p>
          <w:p w14:paraId="7FCB5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6F888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w:t>
            </w:r>
          </w:p>
          <w:p w14:paraId="779B22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77F0DF5"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747612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Трофейные</w:t>
            </w:r>
          </w:p>
          <w:p w14:paraId="70A43D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67C84E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w:t>
            </w:r>
          </w:p>
          <w:p w14:paraId="0A8513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E3B92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22,8%</w:t>
            </w:r>
          </w:p>
          <w:p w14:paraId="3E8297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300AD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w:t>
            </w:r>
          </w:p>
          <w:p w14:paraId="3C1833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AC99215"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304720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Средний %</w:t>
            </w:r>
          </w:p>
          <w:p w14:paraId="33A4BD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51FF30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w:t>
            </w:r>
          </w:p>
          <w:p w14:paraId="45F39B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DA810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w:t>
            </w:r>
          </w:p>
          <w:p w14:paraId="23801C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04C5E8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w:t>
            </w:r>
          </w:p>
          <w:p w14:paraId="3767F9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11F5F1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Расхождение в 6,4% в количестве машин, требующих капитального и среднего ремонта, объяс</w:t>
      </w:r>
      <w:r w:rsidRPr="00925F26">
        <w:rPr>
          <w:color w:val="000000" w:themeColor="text1"/>
          <w:sz w:val="16"/>
          <w:szCs w:val="16"/>
        </w:rPr>
        <w:softHyphen/>
        <w:t>няется тем, что в срочных донесениях по форме №3 указывается какое количество машин может эксплуатироваться в данный момент без ущерба для самих машин (т.е. находится в состоянии «на ходу»), а при производстве переучета ставилась задача определить техническое состояние машин, независимо от нахождения их в эксплуатации, в ремонте или в ожидании ремонта, т.е. определить степень технической изношенности.</w:t>
      </w:r>
    </w:p>
    <w:p w14:paraId="234C9B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Произведенный переучет еще раз подтверждает, что в военных округах техническое состояние автопарка значительно хуже, чем на фронтах:</w:t>
      </w:r>
    </w:p>
    <w:tbl>
      <w:tblPr>
        <w:tblW w:w="0" w:type="auto"/>
        <w:tblInd w:w="40" w:type="dxa"/>
        <w:tblLayout w:type="fixed"/>
        <w:tblCellMar>
          <w:left w:w="40" w:type="dxa"/>
          <w:right w:w="40" w:type="dxa"/>
        </w:tblCellMar>
        <w:tblLook w:val="0000" w:firstRow="0" w:lastRow="0" w:firstColumn="0" w:lastColumn="0" w:noHBand="0" w:noVBand="0"/>
      </w:tblPr>
      <w:tblGrid>
        <w:gridCol w:w="3869"/>
        <w:gridCol w:w="3235"/>
      </w:tblGrid>
      <w:tr w:rsidR="000F5689" w:rsidRPr="00925F26" w14:paraId="6D5B044F" w14:textId="77777777">
        <w:trPr>
          <w:trHeight w:val="250"/>
        </w:trPr>
        <w:tc>
          <w:tcPr>
            <w:tcW w:w="3869" w:type="dxa"/>
            <w:tcBorders>
              <w:top w:val="single" w:sz="6" w:space="0" w:color="auto"/>
              <w:left w:val="single" w:sz="6" w:space="0" w:color="auto"/>
              <w:bottom w:val="single" w:sz="6" w:space="0" w:color="auto"/>
              <w:right w:val="single" w:sz="6" w:space="0" w:color="auto"/>
            </w:tcBorders>
          </w:tcPr>
          <w:p w14:paraId="4CE348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46627B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4B1850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машин среднего и капитального ремонта</w:t>
            </w:r>
          </w:p>
          <w:p w14:paraId="7ED285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B82C9B3" w14:textId="77777777">
        <w:trPr>
          <w:trHeight w:val="240"/>
        </w:trPr>
        <w:tc>
          <w:tcPr>
            <w:tcW w:w="3869" w:type="dxa"/>
            <w:tcBorders>
              <w:top w:val="single" w:sz="6" w:space="0" w:color="auto"/>
              <w:left w:val="single" w:sz="6" w:space="0" w:color="auto"/>
              <w:bottom w:val="single" w:sz="6" w:space="0" w:color="auto"/>
              <w:right w:val="single" w:sz="6" w:space="0" w:color="auto"/>
            </w:tcBorders>
          </w:tcPr>
          <w:p w14:paraId="57C135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военных округах</w:t>
            </w:r>
          </w:p>
          <w:p w14:paraId="2A32F6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00234E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32,3%</w:t>
            </w:r>
          </w:p>
          <w:p w14:paraId="657A9A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94DA518" w14:textId="77777777">
        <w:trPr>
          <w:trHeight w:val="230"/>
        </w:trPr>
        <w:tc>
          <w:tcPr>
            <w:tcW w:w="3869" w:type="dxa"/>
            <w:tcBorders>
              <w:top w:val="single" w:sz="6" w:space="0" w:color="auto"/>
              <w:left w:val="single" w:sz="6" w:space="0" w:color="auto"/>
              <w:bottom w:val="single" w:sz="6" w:space="0" w:color="auto"/>
              <w:right w:val="single" w:sz="6" w:space="0" w:color="auto"/>
            </w:tcBorders>
          </w:tcPr>
          <w:p w14:paraId="53809D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недействующих фронтах</w:t>
            </w:r>
          </w:p>
          <w:p w14:paraId="081B07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0FE8F0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19,5%</w:t>
            </w:r>
          </w:p>
          <w:p w14:paraId="7659AC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443793C" w14:textId="77777777">
        <w:trPr>
          <w:trHeight w:val="240"/>
        </w:trPr>
        <w:tc>
          <w:tcPr>
            <w:tcW w:w="3869" w:type="dxa"/>
            <w:tcBorders>
              <w:top w:val="single" w:sz="6" w:space="0" w:color="auto"/>
              <w:left w:val="single" w:sz="6" w:space="0" w:color="auto"/>
              <w:bottom w:val="single" w:sz="6" w:space="0" w:color="auto"/>
              <w:right w:val="single" w:sz="6" w:space="0" w:color="auto"/>
            </w:tcBorders>
          </w:tcPr>
          <w:p w14:paraId="62C385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действующих фронтах</w:t>
            </w:r>
          </w:p>
          <w:p w14:paraId="01E27C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68C241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17,8%</w:t>
            </w:r>
          </w:p>
          <w:p w14:paraId="7F6081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400CB66" w14:textId="77777777">
        <w:trPr>
          <w:trHeight w:val="250"/>
        </w:trPr>
        <w:tc>
          <w:tcPr>
            <w:tcW w:w="3869" w:type="dxa"/>
            <w:tcBorders>
              <w:top w:val="single" w:sz="6" w:space="0" w:color="auto"/>
              <w:left w:val="single" w:sz="6" w:space="0" w:color="auto"/>
              <w:bottom w:val="single" w:sz="6" w:space="0" w:color="auto"/>
              <w:right w:val="single" w:sz="6" w:space="0" w:color="auto"/>
            </w:tcBorders>
          </w:tcPr>
          <w:p w14:paraId="1B8EBE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Средний %</w:t>
            </w:r>
          </w:p>
          <w:p w14:paraId="4E30F3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46EECC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w:t>
            </w:r>
          </w:p>
          <w:p w14:paraId="5224AC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0D87F9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Общие результаты</w:t>
      </w:r>
    </w:p>
    <w:p w14:paraId="347B57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Проведение переучета машин и одновременная выдача новых паспортов дали возможность:</w:t>
      </w:r>
    </w:p>
    <w:p w14:paraId="7ACA46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выявить неучтенные ранее машины, а также машины, утраченные по разным причинам, но продолжавшие состоять на учете;</w:t>
      </w:r>
    </w:p>
    <w:p w14:paraId="3CF53C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уточнить техническое состояние машин, независимо от состояния их «на ходу» или «не на ходу»;</w:t>
      </w:r>
    </w:p>
    <w:p w14:paraId="272FDE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наладить учет работы, проделанной каждой машиной, и учет резины путем соответствующих записей в паспортах;</w:t>
      </w:r>
    </w:p>
    <w:p w14:paraId="728975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 течение подготовительного периода улучшить общее состояние автомобильного парка путем устранения многих мелких неисправностей непосредственно в войсковых частях;</w:t>
      </w:r>
    </w:p>
    <w:p w14:paraId="1E6A02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упорядочить пользование машинами (особенно трофейными) в связи с введением твердого порядка в выдаче новых (постоянных) паспортов;</w:t>
      </w:r>
    </w:p>
    <w:p w14:paraId="63E17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установить индивидуальный учет машин (по контрольным талонам) в автоуправлениях фрон</w:t>
      </w:r>
      <w:r w:rsidRPr="00925F26">
        <w:rPr>
          <w:color w:val="000000" w:themeColor="text1"/>
          <w:sz w:val="16"/>
          <w:szCs w:val="16"/>
        </w:rPr>
        <w:softHyphen/>
        <w:t>тов и округов;</w:t>
      </w:r>
    </w:p>
    <w:p w14:paraId="5BA887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привести в должный порядок всю систему учета машин в Красной Армии, а особенно — непос</w:t>
      </w:r>
      <w:r w:rsidRPr="00925F26">
        <w:rPr>
          <w:color w:val="000000" w:themeColor="text1"/>
          <w:sz w:val="16"/>
          <w:szCs w:val="16"/>
        </w:rPr>
        <w:softHyphen/>
        <w:t>редственно в частях.</w:t>
      </w:r>
    </w:p>
    <w:p w14:paraId="6B4FE0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целом, проведенный переучет автомашин Красной Армии дал весьма положительные резуль</w:t>
      </w:r>
      <w:r w:rsidRPr="00925F26">
        <w:rPr>
          <w:color w:val="000000" w:themeColor="text1"/>
          <w:sz w:val="16"/>
          <w:szCs w:val="16"/>
        </w:rPr>
        <w:softHyphen/>
        <w:t>таты и послужил основой для дальнейшего улучшения основных отраслей автомобильной службы и, в первую очередь, эксплуатации и технического обслуживания автомашин.</w:t>
      </w:r>
    </w:p>
    <w:p w14:paraId="7252E6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ГАВТУ КА генерал-лейтенант технических войск Тягунов</w:t>
      </w:r>
    </w:p>
    <w:p w14:paraId="71507B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41. Оп. 11584. Д. 213. Л. 22-25. Копия (11420).</w:t>
      </w:r>
    </w:p>
    <w:p w14:paraId="37AB5E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45A7F56" w14:textId="77777777" w:rsidR="00E0115C"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ED3E433" w14:textId="77777777" w:rsidR="00E0115C" w:rsidRPr="00925F26" w:rsidRDefault="00E0115C" w:rsidP="00925F26">
      <w:pPr>
        <w:autoSpaceDE w:val="0"/>
        <w:autoSpaceDN w:val="0"/>
        <w:adjustRightInd w:val="0"/>
        <w:jc w:val="both"/>
        <w:rPr>
          <w:iCs/>
          <w:color w:val="000000" w:themeColor="text1"/>
          <w:sz w:val="16"/>
          <w:szCs w:val="16"/>
        </w:rPr>
      </w:pPr>
    </w:p>
    <w:p w14:paraId="01E67031" w14:textId="77777777" w:rsidR="00E0115C" w:rsidRPr="00925F26" w:rsidRDefault="00E0115C" w:rsidP="00925F26">
      <w:pPr>
        <w:jc w:val="both"/>
        <w:rPr>
          <w:color w:val="000000" w:themeColor="text1"/>
          <w:sz w:val="16"/>
          <w:szCs w:val="16"/>
        </w:rPr>
      </w:pPr>
      <w:r w:rsidRPr="00925F26">
        <w:rPr>
          <w:bCs/>
          <w:color w:val="000000" w:themeColor="text1"/>
          <w:sz w:val="16"/>
          <w:szCs w:val="16"/>
        </w:rPr>
        <w:t>22 мая</w:t>
      </w:r>
      <w:r w:rsidRPr="00925F26">
        <w:rPr>
          <w:color w:val="000000" w:themeColor="text1"/>
          <w:sz w:val="16"/>
          <w:szCs w:val="16"/>
        </w:rPr>
        <w:t xml:space="preserve"> в 1945 году впервые в истории Русской Церкви Патриарх Московский отправился в паломничество на Святую Землю (14899).</w:t>
      </w:r>
    </w:p>
    <w:p w14:paraId="006ABE5A" w14:textId="77777777" w:rsidR="00E0115C" w:rsidRPr="00925F26" w:rsidRDefault="00E0115C" w:rsidP="00925F26">
      <w:pPr>
        <w:jc w:val="both"/>
        <w:rPr>
          <w:color w:val="000000" w:themeColor="text1"/>
          <w:sz w:val="16"/>
          <w:szCs w:val="16"/>
        </w:rPr>
      </w:pPr>
    </w:p>
    <w:p w14:paraId="1A153F2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мая 1945 вышло Постановление ГКО № 8670 [О мерах по ускорению проверки репатриируемых советских граждан.] (7342, 71).</w:t>
      </w:r>
    </w:p>
    <w:p w14:paraId="3C250F2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4C2731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2C6CA78" w14:textId="77777777" w:rsidR="00665165" w:rsidRPr="00925F26" w:rsidRDefault="00665165" w:rsidP="00925F26">
      <w:pPr>
        <w:autoSpaceDE w:val="0"/>
        <w:autoSpaceDN w:val="0"/>
        <w:adjustRightInd w:val="0"/>
        <w:jc w:val="both"/>
        <w:rPr>
          <w:iCs/>
          <w:color w:val="000000" w:themeColor="text1"/>
          <w:sz w:val="16"/>
          <w:szCs w:val="16"/>
        </w:rPr>
      </w:pPr>
    </w:p>
    <w:p w14:paraId="7F523A94" w14:textId="1E9175ED" w:rsidR="00816E1B" w:rsidRPr="00925F26" w:rsidRDefault="00816E1B" w:rsidP="00925F26">
      <w:pPr>
        <w:tabs>
          <w:tab w:val="left" w:pos="11199"/>
        </w:tabs>
        <w:autoSpaceDE w:val="0"/>
        <w:autoSpaceDN w:val="0"/>
        <w:adjustRightInd w:val="0"/>
        <w:jc w:val="both"/>
        <w:rPr>
          <w:color w:val="000000" w:themeColor="text1"/>
          <w:sz w:val="16"/>
          <w:szCs w:val="16"/>
        </w:rPr>
      </w:pPr>
      <w:proofErr w:type="gramStart"/>
      <w:r w:rsidRPr="00925F26">
        <w:rPr>
          <w:color w:val="000000" w:themeColor="text1"/>
          <w:sz w:val="16"/>
          <w:szCs w:val="16"/>
        </w:rPr>
        <w:t>22</w:t>
      </w:r>
      <w:r w:rsidR="00997EDF" w:rsidRPr="00925F26">
        <w:rPr>
          <w:color w:val="000000" w:themeColor="text1"/>
          <w:sz w:val="16"/>
          <w:szCs w:val="16"/>
        </w:rPr>
        <w:t xml:space="preserve">  </w:t>
      </w:r>
      <w:r w:rsidRPr="00925F26">
        <w:rPr>
          <w:color w:val="000000" w:themeColor="text1"/>
          <w:sz w:val="16"/>
          <w:szCs w:val="16"/>
        </w:rPr>
        <w:t>мая</w:t>
      </w:r>
      <w:proofErr w:type="gramEnd"/>
      <w:r w:rsidRPr="00925F26">
        <w:rPr>
          <w:color w:val="000000" w:themeColor="text1"/>
          <w:sz w:val="16"/>
          <w:szCs w:val="16"/>
        </w:rPr>
        <w:t xml:space="preserve"> </w:t>
      </w:r>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г. на стол Черчилля лег план «Немыслимое». Это была первая подробная разработка войны против СССР. Набор целей для атомной бомбардировки Советского Союза подготовил Объединенный разведывательный штаб при Объединенном комитете начальников штабов </w:t>
      </w:r>
      <w:proofErr w:type="gramStart"/>
      <w:r w:rsidRPr="00925F26">
        <w:rPr>
          <w:color w:val="000000" w:themeColor="text1"/>
          <w:sz w:val="16"/>
          <w:szCs w:val="16"/>
        </w:rPr>
        <w:t>3</w:t>
      </w:r>
      <w:r w:rsidR="00997EDF" w:rsidRPr="00925F26">
        <w:rPr>
          <w:color w:val="000000" w:themeColor="text1"/>
          <w:sz w:val="16"/>
          <w:szCs w:val="16"/>
        </w:rPr>
        <w:t xml:space="preserve">  </w:t>
      </w:r>
      <w:r w:rsidRPr="00925F26">
        <w:rPr>
          <w:color w:val="000000" w:themeColor="text1"/>
          <w:sz w:val="16"/>
          <w:szCs w:val="16"/>
        </w:rPr>
        <w:t>ноября</w:t>
      </w:r>
      <w:proofErr w:type="gramEnd"/>
      <w:r w:rsidRPr="00925F26">
        <w:rPr>
          <w:color w:val="000000" w:themeColor="text1"/>
          <w:sz w:val="16"/>
          <w:szCs w:val="16"/>
        </w:rPr>
        <w:t xml:space="preserve"> </w:t>
      </w:r>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 (17449).</w:t>
      </w:r>
    </w:p>
    <w:p w14:paraId="109E2991" w14:textId="77777777" w:rsidR="00816E1B" w:rsidRPr="00925F26" w:rsidRDefault="00816E1B" w:rsidP="00925F26">
      <w:pPr>
        <w:tabs>
          <w:tab w:val="left" w:pos="11199"/>
        </w:tabs>
        <w:autoSpaceDE w:val="0"/>
        <w:autoSpaceDN w:val="0"/>
        <w:adjustRightInd w:val="0"/>
        <w:jc w:val="both"/>
        <w:rPr>
          <w:color w:val="000000" w:themeColor="text1"/>
          <w:sz w:val="16"/>
          <w:szCs w:val="16"/>
        </w:rPr>
      </w:pPr>
    </w:p>
    <w:p w14:paraId="1EAD6570" w14:textId="77777777" w:rsidR="00AF408C" w:rsidRPr="00925F26" w:rsidRDefault="00AF408C" w:rsidP="00925F26">
      <w:pPr>
        <w:jc w:val="both"/>
        <w:rPr>
          <w:color w:val="000000" w:themeColor="text1"/>
          <w:sz w:val="16"/>
          <w:szCs w:val="16"/>
        </w:rPr>
      </w:pPr>
      <w:r w:rsidRPr="00925F26">
        <w:rPr>
          <w:bCs/>
          <w:color w:val="000000" w:themeColor="text1"/>
          <w:sz w:val="16"/>
          <w:szCs w:val="16"/>
        </w:rPr>
        <w:t>22 мая</w:t>
      </w:r>
      <w:r w:rsidRPr="00925F26">
        <w:rPr>
          <w:color w:val="000000" w:themeColor="text1"/>
          <w:sz w:val="16"/>
          <w:szCs w:val="16"/>
        </w:rPr>
        <w:t xml:space="preserve"> в 1945 году под Гамбургом британский патруль арестовал рейхсфюрера СС Генриха Гиммлера, пытавшегося скрыться в толпе беженцев (14899).</w:t>
      </w:r>
    </w:p>
    <w:p w14:paraId="7D193148" w14:textId="77777777" w:rsidR="00AF408C" w:rsidRPr="00925F26" w:rsidRDefault="00AF408C" w:rsidP="00925F26">
      <w:pPr>
        <w:jc w:val="both"/>
        <w:rPr>
          <w:color w:val="000000" w:themeColor="text1"/>
          <w:sz w:val="16"/>
          <w:szCs w:val="16"/>
        </w:rPr>
      </w:pPr>
    </w:p>
    <w:p w14:paraId="4A848ED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мая 1945 в Лондоне впервые на восстановительных работах задействованы немецкие военнопленные (4962).</w:t>
      </w:r>
    </w:p>
    <w:p w14:paraId="5A67C4E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9FA087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822C32C" w14:textId="77777777" w:rsidR="00665165" w:rsidRPr="00925F26" w:rsidRDefault="00665165" w:rsidP="00925F26">
      <w:pPr>
        <w:autoSpaceDE w:val="0"/>
        <w:autoSpaceDN w:val="0"/>
        <w:adjustRightInd w:val="0"/>
        <w:jc w:val="both"/>
        <w:rPr>
          <w:iCs/>
          <w:color w:val="000000" w:themeColor="text1"/>
          <w:sz w:val="16"/>
          <w:szCs w:val="16"/>
        </w:rPr>
      </w:pPr>
    </w:p>
    <w:p w14:paraId="18A64C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года Шахурин писал письмо N Н-35/2308 наркому ВМФ адмиралу флота Кузнецову Н.Г.</w:t>
      </w:r>
    </w:p>
    <w:p w14:paraId="3EE2B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проведения ряда работ по исследованию характеристик гребных винтов и ускоренных испытаний аэростатов заграждения методом их буксировки катером на воде, прошу Вашего распоряжения о выделении из имеющихся у вас фондов одного скоростного катера типа "Г-5" без вооружения и передаче его ЦАГИ к 1 июня 1945 года (2595,54).</w:t>
      </w:r>
    </w:p>
    <w:p w14:paraId="19B54188" w14:textId="77777777" w:rsidR="00665165" w:rsidRPr="00925F26" w:rsidRDefault="00665165" w:rsidP="00925F26">
      <w:pPr>
        <w:autoSpaceDE w:val="0"/>
        <w:autoSpaceDN w:val="0"/>
        <w:adjustRightInd w:val="0"/>
        <w:jc w:val="both"/>
        <w:rPr>
          <w:color w:val="000000" w:themeColor="text1"/>
          <w:sz w:val="16"/>
          <w:szCs w:val="16"/>
        </w:rPr>
      </w:pPr>
    </w:p>
    <w:p w14:paraId="599FBADF" w14:textId="77777777" w:rsidR="00E0115C" w:rsidRPr="00925F26" w:rsidRDefault="00E0115C" w:rsidP="00925F26">
      <w:pPr>
        <w:pStyle w:val="3a"/>
        <w:shd w:val="clear" w:color="auto" w:fill="auto"/>
        <w:spacing w:before="0" w:after="0" w:line="240" w:lineRule="auto"/>
        <w:jc w:val="both"/>
        <w:rPr>
          <w:color w:val="000000" w:themeColor="text1"/>
          <w:spacing w:val="0"/>
          <w:sz w:val="16"/>
          <w:szCs w:val="16"/>
        </w:rPr>
      </w:pPr>
      <w:r w:rsidRPr="00925F26">
        <w:rPr>
          <w:color w:val="000000" w:themeColor="text1"/>
          <w:spacing w:val="0"/>
          <w:sz w:val="16"/>
          <w:szCs w:val="16"/>
        </w:rPr>
        <w:t>23 марта 1945 г. Из материалов Управления делами СНК СССР о перспективах развития малообъемных дирижаблей и их применения в народном хозяйстве</w:t>
      </w:r>
    </w:p>
    <w:p w14:paraId="5FD0ED41" w14:textId="77777777" w:rsidR="00E0115C" w:rsidRPr="00925F26" w:rsidRDefault="00E0115C" w:rsidP="00925F26">
      <w:pPr>
        <w:pStyle w:val="3a"/>
        <w:shd w:val="clear" w:color="auto" w:fill="auto"/>
        <w:spacing w:before="0" w:after="0" w:line="240" w:lineRule="auto"/>
        <w:jc w:val="both"/>
        <w:rPr>
          <w:color w:val="000000" w:themeColor="text1"/>
          <w:spacing w:val="0"/>
          <w:sz w:val="16"/>
          <w:szCs w:val="16"/>
        </w:rPr>
      </w:pPr>
      <w:bookmarkStart w:id="25" w:name="bookmark15"/>
      <w:r w:rsidRPr="00925F26">
        <w:rPr>
          <w:color w:val="000000" w:themeColor="text1"/>
          <w:spacing w:val="0"/>
          <w:sz w:val="16"/>
          <w:szCs w:val="16"/>
        </w:rPr>
        <w:t>Перспективы развития дирижаблестроения</w:t>
      </w:r>
      <w:bookmarkEnd w:id="25"/>
    </w:p>
    <w:p w14:paraId="6D2AB432" w14:textId="77777777" w:rsidR="00E0115C" w:rsidRPr="00925F26" w:rsidRDefault="00E0115C" w:rsidP="00925F26">
      <w:pPr>
        <w:tabs>
          <w:tab w:val="left" w:pos="783"/>
        </w:tabs>
        <w:jc w:val="both"/>
        <w:rPr>
          <w:color w:val="000000" w:themeColor="text1"/>
          <w:sz w:val="16"/>
          <w:szCs w:val="16"/>
        </w:rPr>
      </w:pPr>
      <w:r w:rsidRPr="00925F26">
        <w:rPr>
          <w:color w:val="000000" w:themeColor="text1"/>
          <w:sz w:val="16"/>
          <w:szCs w:val="16"/>
        </w:rPr>
        <w:t>1. Дирижабль обладает рядом специфических свойств, отличных от свойств других летательных аппаратов и обуславливающих рацио</w:t>
      </w:r>
      <w:r w:rsidRPr="00925F26">
        <w:rPr>
          <w:color w:val="000000" w:themeColor="text1"/>
          <w:sz w:val="16"/>
          <w:szCs w:val="16"/>
        </w:rPr>
        <w:softHyphen/>
        <w:t>нальность строительства и эксплуатации этого вида воздушного транс</w:t>
      </w:r>
      <w:r w:rsidRPr="00925F26">
        <w:rPr>
          <w:color w:val="000000" w:themeColor="text1"/>
          <w:sz w:val="16"/>
          <w:szCs w:val="16"/>
        </w:rPr>
        <w:softHyphen/>
        <w:t>порта.</w:t>
      </w:r>
    </w:p>
    <w:p w14:paraId="1A4FDD59" w14:textId="77777777" w:rsidR="00E0115C" w:rsidRPr="00925F26" w:rsidRDefault="00E0115C" w:rsidP="00925F26">
      <w:pPr>
        <w:jc w:val="both"/>
        <w:rPr>
          <w:color w:val="000000" w:themeColor="text1"/>
          <w:sz w:val="16"/>
          <w:szCs w:val="16"/>
        </w:rPr>
      </w:pPr>
      <w:r w:rsidRPr="00925F26">
        <w:rPr>
          <w:color w:val="000000" w:themeColor="text1"/>
          <w:sz w:val="16"/>
          <w:szCs w:val="16"/>
        </w:rPr>
        <w:t>Сюда относятся:</w:t>
      </w:r>
    </w:p>
    <w:p w14:paraId="04EB6A7D" w14:textId="77777777" w:rsidR="00E0115C" w:rsidRPr="00925F26" w:rsidRDefault="00E0115C" w:rsidP="00925F26">
      <w:pPr>
        <w:tabs>
          <w:tab w:val="left" w:pos="786"/>
        </w:tabs>
        <w:jc w:val="both"/>
        <w:rPr>
          <w:color w:val="000000" w:themeColor="text1"/>
          <w:sz w:val="16"/>
          <w:szCs w:val="16"/>
        </w:rPr>
      </w:pPr>
      <w:r w:rsidRPr="00925F26">
        <w:rPr>
          <w:color w:val="000000" w:themeColor="text1"/>
          <w:sz w:val="16"/>
          <w:szCs w:val="16"/>
        </w:rPr>
        <w:t>а) способность менять скорость от нуля до Ушах;</w:t>
      </w:r>
    </w:p>
    <w:p w14:paraId="5660F801" w14:textId="77777777" w:rsidR="00E0115C" w:rsidRPr="00925F26" w:rsidRDefault="00E0115C" w:rsidP="00925F26">
      <w:pPr>
        <w:tabs>
          <w:tab w:val="left" w:pos="822"/>
        </w:tabs>
        <w:jc w:val="both"/>
        <w:rPr>
          <w:color w:val="000000" w:themeColor="text1"/>
          <w:sz w:val="16"/>
          <w:szCs w:val="16"/>
        </w:rPr>
      </w:pPr>
      <w:r w:rsidRPr="00925F26">
        <w:rPr>
          <w:color w:val="000000" w:themeColor="text1"/>
          <w:sz w:val="16"/>
          <w:szCs w:val="16"/>
        </w:rPr>
        <w:t>б) способность держаться в воздухе на одном месте с минималь</w:t>
      </w:r>
      <w:r w:rsidRPr="00925F26">
        <w:rPr>
          <w:color w:val="000000" w:themeColor="text1"/>
          <w:sz w:val="16"/>
          <w:szCs w:val="16"/>
        </w:rPr>
        <w:softHyphen/>
        <w:t>ной затратой мощности, что дает ему преимущество по сравнению с ге</w:t>
      </w:r>
      <w:r w:rsidRPr="00925F26">
        <w:rPr>
          <w:color w:val="000000" w:themeColor="text1"/>
          <w:sz w:val="16"/>
          <w:szCs w:val="16"/>
        </w:rPr>
        <w:softHyphen/>
        <w:t>ликоптером;</w:t>
      </w:r>
    </w:p>
    <w:p w14:paraId="611719D9" w14:textId="77777777" w:rsidR="00E0115C" w:rsidRPr="00925F26" w:rsidRDefault="00E0115C" w:rsidP="00925F26">
      <w:pPr>
        <w:jc w:val="both"/>
        <w:rPr>
          <w:color w:val="000000" w:themeColor="text1"/>
          <w:sz w:val="16"/>
          <w:szCs w:val="16"/>
        </w:rPr>
      </w:pPr>
      <w:r w:rsidRPr="00925F26">
        <w:rPr>
          <w:color w:val="000000" w:themeColor="text1"/>
          <w:sz w:val="16"/>
          <w:szCs w:val="16"/>
        </w:rPr>
        <w:t>в) автономия и радиус действия значительно больше, чем у круп</w:t>
      </w:r>
      <w:r w:rsidRPr="00925F26">
        <w:rPr>
          <w:color w:val="000000" w:themeColor="text1"/>
          <w:sz w:val="16"/>
          <w:szCs w:val="16"/>
        </w:rPr>
        <w:softHyphen/>
        <w:t>ных современных самолетов;</w:t>
      </w:r>
    </w:p>
    <w:p w14:paraId="4E4791B7" w14:textId="77777777" w:rsidR="00E0115C" w:rsidRPr="00925F26" w:rsidRDefault="00E0115C" w:rsidP="00925F26">
      <w:pPr>
        <w:tabs>
          <w:tab w:val="left" w:pos="783"/>
        </w:tabs>
        <w:jc w:val="both"/>
        <w:rPr>
          <w:color w:val="000000" w:themeColor="text1"/>
          <w:sz w:val="16"/>
          <w:szCs w:val="16"/>
        </w:rPr>
      </w:pPr>
      <w:r w:rsidRPr="00925F26">
        <w:rPr>
          <w:color w:val="000000" w:themeColor="text1"/>
          <w:sz w:val="16"/>
          <w:szCs w:val="16"/>
        </w:rPr>
        <w:t>г) возможность посадки на воду, на неприспособленную площад</w:t>
      </w:r>
      <w:r w:rsidRPr="00925F26">
        <w:rPr>
          <w:color w:val="000000" w:themeColor="text1"/>
          <w:sz w:val="16"/>
          <w:szCs w:val="16"/>
        </w:rPr>
        <w:softHyphen/>
        <w:t>ку, возможность причала к мачте, установленной на земле, на палубе контроля;</w:t>
      </w:r>
    </w:p>
    <w:p w14:paraId="2AAE0B4C" w14:textId="77777777" w:rsidR="00E0115C" w:rsidRPr="00925F26" w:rsidRDefault="00E0115C" w:rsidP="00925F26">
      <w:pPr>
        <w:tabs>
          <w:tab w:val="left" w:pos="793"/>
        </w:tabs>
        <w:jc w:val="both"/>
        <w:rPr>
          <w:color w:val="000000" w:themeColor="text1"/>
          <w:sz w:val="16"/>
          <w:szCs w:val="16"/>
        </w:rPr>
      </w:pPr>
      <w:r w:rsidRPr="00925F26">
        <w:rPr>
          <w:color w:val="000000" w:themeColor="text1"/>
          <w:sz w:val="16"/>
          <w:szCs w:val="16"/>
        </w:rPr>
        <w:t>д) возможность полета в метеоусловиях, неблагоприятных для ра</w:t>
      </w:r>
      <w:r w:rsidRPr="00925F26">
        <w:rPr>
          <w:color w:val="000000" w:themeColor="text1"/>
          <w:sz w:val="16"/>
          <w:szCs w:val="16"/>
        </w:rPr>
        <w:softHyphen/>
        <w:t>боты авиации (туман, низкая облачность);</w:t>
      </w:r>
    </w:p>
    <w:p w14:paraId="71F43913" w14:textId="77777777" w:rsidR="00E0115C" w:rsidRPr="00925F26" w:rsidRDefault="00E0115C" w:rsidP="00925F26">
      <w:pPr>
        <w:tabs>
          <w:tab w:val="left" w:pos="791"/>
        </w:tabs>
        <w:jc w:val="both"/>
        <w:rPr>
          <w:color w:val="000000" w:themeColor="text1"/>
          <w:sz w:val="16"/>
          <w:szCs w:val="16"/>
        </w:rPr>
      </w:pPr>
      <w:r w:rsidRPr="00925F26">
        <w:rPr>
          <w:color w:val="000000" w:themeColor="text1"/>
          <w:sz w:val="16"/>
          <w:szCs w:val="16"/>
        </w:rPr>
        <w:t>е) возможность перевозки грузов большого объема.</w:t>
      </w:r>
    </w:p>
    <w:p w14:paraId="413E7F45" w14:textId="77777777" w:rsidR="00E0115C" w:rsidRPr="00925F26" w:rsidRDefault="00E0115C" w:rsidP="00925F26">
      <w:pPr>
        <w:tabs>
          <w:tab w:val="left" w:pos="764"/>
        </w:tabs>
        <w:jc w:val="both"/>
        <w:rPr>
          <w:color w:val="000000" w:themeColor="text1"/>
          <w:sz w:val="16"/>
          <w:szCs w:val="16"/>
        </w:rPr>
      </w:pPr>
      <w:r w:rsidRPr="00925F26">
        <w:rPr>
          <w:color w:val="000000" w:themeColor="text1"/>
          <w:sz w:val="16"/>
          <w:szCs w:val="16"/>
        </w:rPr>
        <w:t>2. Дирижабли малой кубатуры могут с успехом эксплуатироваться в следующих областях народного хозяйства:</w:t>
      </w:r>
    </w:p>
    <w:p w14:paraId="15A54D2A" w14:textId="77777777" w:rsidR="00E0115C" w:rsidRPr="00925F26" w:rsidRDefault="00E0115C" w:rsidP="00925F26">
      <w:pPr>
        <w:tabs>
          <w:tab w:val="left" w:pos="798"/>
        </w:tabs>
        <w:jc w:val="both"/>
        <w:rPr>
          <w:color w:val="000000" w:themeColor="text1"/>
          <w:sz w:val="16"/>
          <w:szCs w:val="16"/>
        </w:rPr>
      </w:pPr>
      <w:r w:rsidRPr="00925F26">
        <w:rPr>
          <w:color w:val="000000" w:themeColor="text1"/>
          <w:sz w:val="16"/>
          <w:szCs w:val="16"/>
        </w:rPr>
        <w:t>а) в системе Военно-Морского Флота по конвоированию карава</w:t>
      </w:r>
      <w:r w:rsidRPr="00925F26">
        <w:rPr>
          <w:color w:val="000000" w:themeColor="text1"/>
          <w:sz w:val="16"/>
          <w:szCs w:val="16"/>
        </w:rPr>
        <w:softHyphen/>
        <w:t>нов морских судов, борьбе с подводными лодками, обнаружению и устра</w:t>
      </w:r>
      <w:r w:rsidRPr="00925F26">
        <w:rPr>
          <w:color w:val="000000" w:themeColor="text1"/>
          <w:sz w:val="16"/>
          <w:szCs w:val="16"/>
        </w:rPr>
        <w:softHyphen/>
        <w:t>нению минных полей и мин, обнаружению затонувших судов. Богатый опыт эксплуатации дирижаблей в Военно-Морском Флоте США под</w:t>
      </w:r>
      <w:r w:rsidRPr="00925F26">
        <w:rPr>
          <w:color w:val="000000" w:themeColor="text1"/>
          <w:sz w:val="16"/>
          <w:szCs w:val="16"/>
        </w:rPr>
        <w:softHyphen/>
        <w:t>тверждает эффективность использования дирижаблей для этих целей.</w:t>
      </w:r>
    </w:p>
    <w:p w14:paraId="018E0899" w14:textId="77777777" w:rsidR="00E0115C" w:rsidRPr="00925F26" w:rsidRDefault="00E0115C" w:rsidP="00925F26">
      <w:pPr>
        <w:tabs>
          <w:tab w:val="left" w:pos="812"/>
        </w:tabs>
        <w:jc w:val="both"/>
        <w:rPr>
          <w:color w:val="000000" w:themeColor="text1"/>
          <w:sz w:val="16"/>
          <w:szCs w:val="16"/>
        </w:rPr>
      </w:pPr>
      <w:r w:rsidRPr="00925F26">
        <w:rPr>
          <w:color w:val="000000" w:themeColor="text1"/>
          <w:sz w:val="16"/>
          <w:szCs w:val="16"/>
        </w:rPr>
        <w:t>б) по перевозке газа (водорода) для снабжения отрядов АН и АЗ. Перевозка газа дирижаблем значительно рациональнее, чем другими средствами, что доказывается практикой эксплуатации.</w:t>
      </w:r>
    </w:p>
    <w:p w14:paraId="40EC7BDF" w14:textId="77777777" w:rsidR="00E0115C" w:rsidRPr="00925F26" w:rsidRDefault="00E0115C" w:rsidP="00925F26">
      <w:pPr>
        <w:tabs>
          <w:tab w:val="left" w:pos="796"/>
        </w:tabs>
        <w:jc w:val="both"/>
        <w:rPr>
          <w:color w:val="000000" w:themeColor="text1"/>
          <w:sz w:val="16"/>
          <w:szCs w:val="16"/>
        </w:rPr>
      </w:pPr>
      <w:r w:rsidRPr="00925F26">
        <w:rPr>
          <w:color w:val="000000" w:themeColor="text1"/>
          <w:sz w:val="16"/>
          <w:szCs w:val="16"/>
        </w:rPr>
        <w:t>в) в системе Наркоматов лесной промышленности — по таксации лесов.</w:t>
      </w:r>
    </w:p>
    <w:p w14:paraId="4B58ECE2" w14:textId="77777777" w:rsidR="00E0115C" w:rsidRPr="00925F26" w:rsidRDefault="00E0115C" w:rsidP="00925F26">
      <w:pPr>
        <w:tabs>
          <w:tab w:val="left" w:pos="841"/>
        </w:tabs>
        <w:jc w:val="both"/>
        <w:rPr>
          <w:color w:val="000000" w:themeColor="text1"/>
          <w:sz w:val="16"/>
          <w:szCs w:val="16"/>
        </w:rPr>
      </w:pPr>
      <w:r w:rsidRPr="00925F26">
        <w:rPr>
          <w:color w:val="000000" w:themeColor="text1"/>
          <w:sz w:val="16"/>
          <w:szCs w:val="16"/>
        </w:rPr>
        <w:t>г) в системе Наркомата рыбной промышленности — по про</w:t>
      </w:r>
      <w:r w:rsidRPr="00925F26">
        <w:rPr>
          <w:color w:val="000000" w:themeColor="text1"/>
          <w:sz w:val="16"/>
          <w:szCs w:val="16"/>
        </w:rPr>
        <w:softHyphen/>
        <w:t>мышленной разведке рыбных косяков и решению отдельных научно- исследовательских проблем.</w:t>
      </w:r>
    </w:p>
    <w:p w14:paraId="2D847B5C" w14:textId="77777777" w:rsidR="00E0115C" w:rsidRPr="00925F26" w:rsidRDefault="00E0115C" w:rsidP="00925F26">
      <w:pPr>
        <w:jc w:val="both"/>
        <w:rPr>
          <w:color w:val="000000" w:themeColor="text1"/>
          <w:sz w:val="16"/>
          <w:szCs w:val="16"/>
        </w:rPr>
      </w:pPr>
      <w:r w:rsidRPr="00925F26">
        <w:rPr>
          <w:color w:val="000000" w:themeColor="text1"/>
          <w:sz w:val="16"/>
          <w:szCs w:val="16"/>
        </w:rPr>
        <w:t>д) по транспорту пассажиров и грузов в тех районах, где отсут</w:t>
      </w:r>
      <w:r w:rsidRPr="00925F26">
        <w:rPr>
          <w:color w:val="000000" w:themeColor="text1"/>
          <w:sz w:val="16"/>
          <w:szCs w:val="16"/>
        </w:rPr>
        <w:softHyphen/>
        <w:t>ствуют посадочные площадки для самолетов, и постройка их является нерентабельной.</w:t>
      </w:r>
    </w:p>
    <w:p w14:paraId="4E7D496B" w14:textId="77777777" w:rsidR="00E0115C" w:rsidRPr="00925F26" w:rsidRDefault="00E0115C" w:rsidP="00925F26">
      <w:pPr>
        <w:jc w:val="both"/>
        <w:rPr>
          <w:color w:val="000000" w:themeColor="text1"/>
          <w:sz w:val="16"/>
          <w:szCs w:val="16"/>
        </w:rPr>
      </w:pPr>
      <w:r w:rsidRPr="00925F26">
        <w:rPr>
          <w:color w:val="000000" w:themeColor="text1"/>
          <w:sz w:val="16"/>
          <w:szCs w:val="16"/>
        </w:rPr>
        <w:t>Дирижабль большой кубатуры является экономически выгодным и совершенным средством транспорта на больших расстояниях.</w:t>
      </w:r>
    </w:p>
    <w:p w14:paraId="37767546" w14:textId="77777777" w:rsidR="00E0115C" w:rsidRPr="00925F26" w:rsidRDefault="00E0115C" w:rsidP="00925F26">
      <w:pPr>
        <w:tabs>
          <w:tab w:val="left" w:pos="798"/>
        </w:tabs>
        <w:jc w:val="both"/>
        <w:rPr>
          <w:color w:val="000000" w:themeColor="text1"/>
          <w:sz w:val="16"/>
          <w:szCs w:val="16"/>
        </w:rPr>
      </w:pPr>
      <w:r w:rsidRPr="00925F26">
        <w:rPr>
          <w:color w:val="000000" w:themeColor="text1"/>
          <w:sz w:val="16"/>
          <w:szCs w:val="16"/>
        </w:rPr>
        <w:t>3. В Советском Союзе освоено опытное строительство малообъ</w:t>
      </w:r>
      <w:r w:rsidRPr="00925F26">
        <w:rPr>
          <w:color w:val="000000" w:themeColor="text1"/>
          <w:sz w:val="16"/>
          <w:szCs w:val="16"/>
        </w:rPr>
        <w:softHyphen/>
        <w:t>емных дирижаблей.</w:t>
      </w:r>
    </w:p>
    <w:p w14:paraId="567DCB61" w14:textId="77777777" w:rsidR="00E0115C" w:rsidRPr="00925F26" w:rsidRDefault="00E0115C" w:rsidP="00925F26">
      <w:pPr>
        <w:jc w:val="both"/>
        <w:rPr>
          <w:color w:val="000000" w:themeColor="text1"/>
          <w:sz w:val="16"/>
          <w:szCs w:val="16"/>
        </w:rPr>
      </w:pPr>
      <w:r w:rsidRPr="00925F26">
        <w:rPr>
          <w:color w:val="000000" w:themeColor="text1"/>
          <w:sz w:val="16"/>
          <w:szCs w:val="16"/>
        </w:rPr>
        <w:t>В США строительство малообъемных дирижаблей получило осо</w:t>
      </w:r>
      <w:r w:rsidRPr="00925F26">
        <w:rPr>
          <w:color w:val="000000" w:themeColor="text1"/>
          <w:sz w:val="16"/>
          <w:szCs w:val="16"/>
        </w:rPr>
        <w:softHyphen/>
        <w:t>бо широкое развитие в 1942—1944 гг., когда была построена серия в 200 дирижаблей. Американские дирижабли полумягкого типа интенсивно эксплуатировались на море по конвоированию морских судов. Эта экс</w:t>
      </w:r>
      <w:r w:rsidRPr="00925F26">
        <w:rPr>
          <w:color w:val="000000" w:themeColor="text1"/>
          <w:sz w:val="16"/>
          <w:szCs w:val="16"/>
        </w:rPr>
        <w:softHyphen/>
        <w:t>плуатация дала блестящие результаты.</w:t>
      </w:r>
    </w:p>
    <w:p w14:paraId="32F036FC" w14:textId="77777777" w:rsidR="00E0115C" w:rsidRPr="00925F26" w:rsidRDefault="00E0115C" w:rsidP="00925F26">
      <w:pPr>
        <w:tabs>
          <w:tab w:val="left" w:pos="807"/>
        </w:tabs>
        <w:jc w:val="both"/>
        <w:rPr>
          <w:color w:val="000000" w:themeColor="text1"/>
          <w:sz w:val="16"/>
          <w:szCs w:val="16"/>
        </w:rPr>
      </w:pPr>
      <w:r w:rsidRPr="00925F26">
        <w:rPr>
          <w:color w:val="000000" w:themeColor="text1"/>
          <w:sz w:val="16"/>
          <w:szCs w:val="16"/>
        </w:rPr>
        <w:t>4. Анализ конструктивных и летно-эксплуатационных характе</w:t>
      </w:r>
      <w:r w:rsidRPr="00925F26">
        <w:rPr>
          <w:color w:val="000000" w:themeColor="text1"/>
          <w:sz w:val="16"/>
          <w:szCs w:val="16"/>
        </w:rPr>
        <w:softHyphen/>
        <w:t>ристик различных типов дирижаблей показывает, что в настоящее вре</w:t>
      </w:r>
      <w:r w:rsidRPr="00925F26">
        <w:rPr>
          <w:color w:val="000000" w:themeColor="text1"/>
          <w:sz w:val="16"/>
          <w:szCs w:val="16"/>
        </w:rPr>
        <w:softHyphen/>
        <w:t>мя наиболее рациональными являются 2 конструктивные схемы:</w:t>
      </w:r>
    </w:p>
    <w:p w14:paraId="447A26DB" w14:textId="77777777" w:rsidR="00E0115C" w:rsidRPr="00925F26" w:rsidRDefault="00E0115C" w:rsidP="00925F26">
      <w:pPr>
        <w:tabs>
          <w:tab w:val="left" w:pos="812"/>
        </w:tabs>
        <w:jc w:val="both"/>
        <w:rPr>
          <w:color w:val="000000" w:themeColor="text1"/>
          <w:sz w:val="16"/>
          <w:szCs w:val="16"/>
        </w:rPr>
      </w:pPr>
      <w:r w:rsidRPr="00925F26">
        <w:rPr>
          <w:rStyle w:val="1pt"/>
          <w:rFonts w:ascii="Times New Roman" w:cs="Times New Roman"/>
          <w:color w:val="000000" w:themeColor="text1"/>
          <w:spacing w:val="0"/>
          <w:sz w:val="16"/>
          <w:szCs w:val="16"/>
        </w:rPr>
        <w:t>а) полумягкая схема -</w:t>
      </w:r>
      <w:r w:rsidRPr="00925F26">
        <w:rPr>
          <w:color w:val="000000" w:themeColor="text1"/>
          <w:sz w:val="16"/>
          <w:szCs w:val="16"/>
        </w:rPr>
        <w:t xml:space="preserve"> для дирижаблей малой и средней кубатуры (до 20000 м</w:t>
      </w:r>
      <w:r w:rsidRPr="00925F26">
        <w:rPr>
          <w:color w:val="000000" w:themeColor="text1"/>
          <w:sz w:val="16"/>
          <w:szCs w:val="16"/>
          <w:vertAlign w:val="superscript"/>
        </w:rPr>
        <w:t>3</w:t>
      </w:r>
      <w:r w:rsidRPr="00925F26">
        <w:rPr>
          <w:color w:val="000000" w:themeColor="text1"/>
          <w:sz w:val="16"/>
          <w:szCs w:val="16"/>
        </w:rPr>
        <w:t xml:space="preserve"> для спецприменения);</w:t>
      </w:r>
    </w:p>
    <w:p w14:paraId="1D317A13" w14:textId="77777777" w:rsidR="00E0115C" w:rsidRPr="00925F26" w:rsidRDefault="00E0115C" w:rsidP="00925F26">
      <w:pPr>
        <w:tabs>
          <w:tab w:val="left" w:pos="822"/>
        </w:tabs>
        <w:jc w:val="both"/>
        <w:rPr>
          <w:color w:val="000000" w:themeColor="text1"/>
          <w:sz w:val="16"/>
          <w:szCs w:val="16"/>
        </w:rPr>
      </w:pPr>
      <w:r w:rsidRPr="00925F26">
        <w:rPr>
          <w:rStyle w:val="1pt"/>
          <w:rFonts w:ascii="Times New Roman" w:cs="Times New Roman"/>
          <w:color w:val="000000" w:themeColor="text1"/>
          <w:spacing w:val="0"/>
          <w:sz w:val="16"/>
          <w:szCs w:val="16"/>
        </w:rPr>
        <w:t>б) жесткая схема —</w:t>
      </w:r>
      <w:r w:rsidRPr="00925F26">
        <w:rPr>
          <w:color w:val="000000" w:themeColor="text1"/>
          <w:sz w:val="16"/>
          <w:szCs w:val="16"/>
        </w:rPr>
        <w:t xml:space="preserve"> для дирижаблей большой кубатуры, слу</w:t>
      </w:r>
      <w:r w:rsidRPr="00925F26">
        <w:rPr>
          <w:color w:val="000000" w:themeColor="text1"/>
          <w:sz w:val="16"/>
          <w:szCs w:val="16"/>
        </w:rPr>
        <w:softHyphen/>
        <w:t>жащих для перевозки грузов и пассажиров на большое расстояние.</w:t>
      </w:r>
    </w:p>
    <w:p w14:paraId="0E24EE91" w14:textId="77777777" w:rsidR="00E0115C" w:rsidRPr="00925F26" w:rsidRDefault="00E0115C" w:rsidP="00925F26">
      <w:pPr>
        <w:tabs>
          <w:tab w:val="left" w:pos="802"/>
        </w:tabs>
        <w:jc w:val="both"/>
        <w:rPr>
          <w:color w:val="000000" w:themeColor="text1"/>
          <w:sz w:val="16"/>
          <w:szCs w:val="16"/>
        </w:rPr>
      </w:pPr>
      <w:r w:rsidRPr="00925F26">
        <w:rPr>
          <w:color w:val="000000" w:themeColor="text1"/>
          <w:sz w:val="16"/>
          <w:szCs w:val="16"/>
        </w:rPr>
        <w:lastRenderedPageBreak/>
        <w:t>5. Дирижаблестроение не стоит на месте, а развивается и совер</w:t>
      </w:r>
      <w:r w:rsidRPr="00925F26">
        <w:rPr>
          <w:color w:val="000000" w:themeColor="text1"/>
          <w:sz w:val="16"/>
          <w:szCs w:val="16"/>
        </w:rPr>
        <w:softHyphen/>
        <w:t>шенствуется с каждым годом. Достигнуты большие результаты в обла</w:t>
      </w:r>
      <w:r w:rsidRPr="00925F26">
        <w:rPr>
          <w:color w:val="000000" w:themeColor="text1"/>
          <w:sz w:val="16"/>
          <w:szCs w:val="16"/>
        </w:rPr>
        <w:softHyphen/>
        <w:t>сти улучшения и упрощения эксплуатации, например, механизация ввода и вывода из эллингов, разработка автоматических причалов. Ди</w:t>
      </w:r>
      <w:r w:rsidRPr="00925F26">
        <w:rPr>
          <w:color w:val="000000" w:themeColor="text1"/>
          <w:sz w:val="16"/>
          <w:szCs w:val="16"/>
        </w:rPr>
        <w:softHyphen/>
        <w:t>рижабли малых кубатур могут эксплуатироваться в условиях бивачной стоянки. Намечаются пути дальнейшей механизации и эксплуатации дирижабля.</w:t>
      </w:r>
    </w:p>
    <w:p w14:paraId="39E0E4FA" w14:textId="77777777" w:rsidR="00E0115C" w:rsidRPr="00925F26" w:rsidRDefault="00E0115C" w:rsidP="00925F26">
      <w:pPr>
        <w:jc w:val="both"/>
        <w:rPr>
          <w:color w:val="000000" w:themeColor="text1"/>
          <w:sz w:val="16"/>
          <w:szCs w:val="16"/>
        </w:rPr>
      </w:pPr>
      <w:r w:rsidRPr="00925F26">
        <w:rPr>
          <w:color w:val="000000" w:themeColor="text1"/>
          <w:sz w:val="16"/>
          <w:szCs w:val="16"/>
        </w:rPr>
        <w:t>Конструкция и летные качества дирижабля также совершенству</w:t>
      </w:r>
      <w:r w:rsidRPr="00925F26">
        <w:rPr>
          <w:color w:val="000000" w:themeColor="text1"/>
          <w:sz w:val="16"/>
          <w:szCs w:val="16"/>
        </w:rPr>
        <w:softHyphen/>
        <w:t>ются. Переход на дизели позволяет увеличить автономию и уменьшить пожарную опасность. Имеются реальные возможности перехода на ге</w:t>
      </w:r>
      <w:r w:rsidRPr="00925F26">
        <w:rPr>
          <w:color w:val="000000" w:themeColor="text1"/>
          <w:sz w:val="16"/>
          <w:szCs w:val="16"/>
        </w:rPr>
        <w:softHyphen/>
        <w:t>лий вместо водорода для наполнения дирижаблей.</w:t>
      </w:r>
    </w:p>
    <w:p w14:paraId="03BD1C6C" w14:textId="77777777" w:rsidR="00E0115C" w:rsidRPr="00925F26" w:rsidRDefault="00E0115C" w:rsidP="00925F26">
      <w:pPr>
        <w:jc w:val="both"/>
        <w:rPr>
          <w:color w:val="000000" w:themeColor="text1"/>
          <w:sz w:val="16"/>
          <w:szCs w:val="16"/>
        </w:rPr>
      </w:pPr>
      <w:r w:rsidRPr="00925F26">
        <w:rPr>
          <w:color w:val="000000" w:themeColor="text1"/>
          <w:sz w:val="16"/>
          <w:szCs w:val="16"/>
        </w:rPr>
        <w:t>Употребление водорода для питания моторов позволяет резко со</w:t>
      </w:r>
      <w:r w:rsidRPr="00925F26">
        <w:rPr>
          <w:color w:val="000000" w:themeColor="text1"/>
          <w:sz w:val="16"/>
          <w:szCs w:val="16"/>
        </w:rPr>
        <w:softHyphen/>
        <w:t>кратить эксплуатационный расход газа. Анализ летно-эксплуатационных характеристик современного дирижабля показывает, что этот вид воз</w:t>
      </w:r>
      <w:r w:rsidRPr="00925F26">
        <w:rPr>
          <w:color w:val="000000" w:themeColor="text1"/>
          <w:sz w:val="16"/>
          <w:szCs w:val="16"/>
        </w:rPr>
        <w:softHyphen/>
        <w:t>душного транспорта имеет большие возможности для дальнейшего раз</w:t>
      </w:r>
      <w:r w:rsidRPr="00925F26">
        <w:rPr>
          <w:color w:val="000000" w:themeColor="text1"/>
          <w:sz w:val="16"/>
          <w:szCs w:val="16"/>
        </w:rPr>
        <w:softHyphen/>
        <w:t>вития и совершенствования.</w:t>
      </w:r>
    </w:p>
    <w:p w14:paraId="08F8074C" w14:textId="77777777" w:rsidR="00E0115C" w:rsidRPr="00925F26" w:rsidRDefault="00E0115C" w:rsidP="00925F26">
      <w:pPr>
        <w:tabs>
          <w:tab w:val="left" w:pos="5569"/>
        </w:tabs>
        <w:jc w:val="both"/>
        <w:rPr>
          <w:color w:val="000000" w:themeColor="text1"/>
          <w:sz w:val="16"/>
          <w:szCs w:val="16"/>
        </w:rPr>
      </w:pPr>
      <w:r w:rsidRPr="00925F26">
        <w:rPr>
          <w:color w:val="000000" w:themeColor="text1"/>
          <w:sz w:val="16"/>
          <w:szCs w:val="16"/>
        </w:rPr>
        <w:t>Инженер-капитан Б.А. Гарф (15633).</w:t>
      </w:r>
    </w:p>
    <w:p w14:paraId="2E3C9A98" w14:textId="77777777" w:rsidR="00E0115C" w:rsidRPr="00925F26" w:rsidRDefault="00E0115C" w:rsidP="00925F26">
      <w:pPr>
        <w:jc w:val="both"/>
        <w:rPr>
          <w:color w:val="000000" w:themeColor="text1"/>
          <w:sz w:val="16"/>
          <w:szCs w:val="16"/>
        </w:rPr>
      </w:pPr>
    </w:p>
    <w:p w14:paraId="66038498"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002B115" w14:textId="77777777" w:rsidR="00665165" w:rsidRPr="00925F26" w:rsidRDefault="00665165" w:rsidP="00925F26">
      <w:pPr>
        <w:autoSpaceDE w:val="0"/>
        <w:autoSpaceDN w:val="0"/>
        <w:adjustRightInd w:val="0"/>
        <w:jc w:val="both"/>
        <w:rPr>
          <w:iCs/>
          <w:color w:val="000000" w:themeColor="text1"/>
          <w:sz w:val="16"/>
          <w:szCs w:val="16"/>
        </w:rPr>
      </w:pPr>
    </w:p>
    <w:p w14:paraId="725041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 мая 1945 г. была подготовлена ДОКЛАДНАЯ ЗАПИСКА КОМАНДУЮЩЕГО БТ и МВ КА ЗАМЕСТИТЕЛЮ НАРКОМА ОБОРОНЫ СССР ГЕНЕРАЛУ АРМИИ Н.А. БУЛГАНИНУ О РЕМОНТЕ УСТАРЕВШИХ МАРОК ТАНКОВ №0859140</w:t>
      </w:r>
    </w:p>
    <w:p w14:paraId="0BF75B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бронетанковых и механизированных частях Дальневосточного и Забайкальского фронтов, а также в танковых училищах и учебных частях имеется в исправном состоянии 1600 танков старых марок - Т-27, Т-37-38, Т-30-40-60, МК-2, МК-4, МЗ-л, МЗ-с. Кроме того, в частях и на ремзаводах имеется 1167 танков этих же марок, требующих капитального ремонта.</w:t>
      </w:r>
    </w:p>
    <w:p w14:paraId="2B8808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Выпуск этих танков и запасных частей к ним давно прекращен. К старым импортным танкам запчасти тоже не завозятся.</w:t>
      </w:r>
    </w:p>
    <w:p w14:paraId="1CC68C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поддержания имеющихся в частях танков указанных выше марок в исправном состоянии необходимы запасные части. Налаживать производство их нецелесообразно. Поэтому прошу Вашего разрешения все танки Т-27, Т-37-38, Т-30-40-60, МК-2, МК-4, МЗ-л, МЗ-с, требующих капитального ремонта, разобрать и снять с них исправные и требующие ремонта детали, использовать как запас</w:t>
      </w:r>
      <w:r w:rsidRPr="00925F26">
        <w:rPr>
          <w:color w:val="000000" w:themeColor="text1"/>
          <w:sz w:val="16"/>
          <w:szCs w:val="16"/>
        </w:rPr>
        <w:softHyphen/>
        <w:t>ные части на поддержание в исправном состоянии танков этих марок, находящихся в эксплуата</w:t>
      </w:r>
      <w:r w:rsidRPr="00925F26">
        <w:rPr>
          <w:color w:val="000000" w:themeColor="text1"/>
          <w:sz w:val="16"/>
          <w:szCs w:val="16"/>
        </w:rPr>
        <w:softHyphen/>
        <w:t>ции.</w:t>
      </w:r>
    </w:p>
    <w:p w14:paraId="081520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справка о наличии и состоянии танков старых марок на 1 листе.</w:t>
      </w:r>
    </w:p>
    <w:p w14:paraId="2D97D0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342D81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Справка о наличии и состоянии танков старых марок на 20 мая 1945 года</w:t>
      </w:r>
    </w:p>
    <w:p w14:paraId="50C426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w:t>
      </w:r>
    </w:p>
    <w:tbl>
      <w:tblPr>
        <w:tblW w:w="0" w:type="auto"/>
        <w:tblInd w:w="40" w:type="dxa"/>
        <w:tblLayout w:type="fixed"/>
        <w:tblCellMar>
          <w:left w:w="40" w:type="dxa"/>
          <w:right w:w="40" w:type="dxa"/>
        </w:tblCellMar>
        <w:tblLook w:val="0000" w:firstRow="0" w:lastRow="0" w:firstColumn="0" w:lastColumn="0" w:noHBand="0" w:noVBand="0"/>
      </w:tblPr>
      <w:tblGrid>
        <w:gridCol w:w="1560"/>
        <w:gridCol w:w="1134"/>
        <w:gridCol w:w="1134"/>
        <w:gridCol w:w="1275"/>
        <w:gridCol w:w="46"/>
        <w:gridCol w:w="1230"/>
        <w:gridCol w:w="1418"/>
        <w:gridCol w:w="1701"/>
      </w:tblGrid>
      <w:tr w:rsidR="000F5689" w:rsidRPr="00925F26" w14:paraId="0EF26484" w14:textId="77777777">
        <w:trPr>
          <w:trHeight w:val="259"/>
        </w:trPr>
        <w:tc>
          <w:tcPr>
            <w:tcW w:w="1560" w:type="dxa"/>
            <w:tcBorders>
              <w:top w:val="single" w:sz="6" w:space="0" w:color="auto"/>
              <w:left w:val="single" w:sz="6" w:space="0" w:color="auto"/>
              <w:bottom w:val="nil"/>
              <w:right w:val="single" w:sz="6" w:space="0" w:color="auto"/>
            </w:tcBorders>
          </w:tcPr>
          <w:p w14:paraId="0FF87E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Марки танков</w:t>
            </w:r>
          </w:p>
          <w:p w14:paraId="4B2B60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5A16BD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танков</w:t>
            </w:r>
          </w:p>
          <w:p w14:paraId="3582E8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7A29D7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323046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119" w:type="dxa"/>
            <w:gridSpan w:val="2"/>
            <w:tcBorders>
              <w:top w:val="single" w:sz="6" w:space="0" w:color="auto"/>
              <w:left w:val="single" w:sz="6" w:space="0" w:color="auto"/>
              <w:bottom w:val="single" w:sz="6" w:space="0" w:color="auto"/>
              <w:right w:val="single" w:sz="6" w:space="0" w:color="auto"/>
            </w:tcBorders>
          </w:tcPr>
          <w:p w14:paraId="0100A6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w:t>
            </w:r>
          </w:p>
          <w:p w14:paraId="10F7D6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4622678" w14:textId="77777777">
        <w:trPr>
          <w:trHeight w:val="403"/>
        </w:trPr>
        <w:tc>
          <w:tcPr>
            <w:tcW w:w="1560" w:type="dxa"/>
            <w:tcBorders>
              <w:top w:val="nil"/>
              <w:left w:val="single" w:sz="6" w:space="0" w:color="auto"/>
              <w:bottom w:val="single" w:sz="6" w:space="0" w:color="auto"/>
              <w:right w:val="single" w:sz="6" w:space="0" w:color="auto"/>
            </w:tcBorders>
          </w:tcPr>
          <w:p w14:paraId="0406E281" w14:textId="77777777" w:rsidR="00665165" w:rsidRPr="00925F26" w:rsidRDefault="00665165" w:rsidP="00925F26">
            <w:pPr>
              <w:autoSpaceDE w:val="0"/>
              <w:autoSpaceDN w:val="0"/>
              <w:adjustRightInd w:val="0"/>
              <w:jc w:val="both"/>
              <w:rPr>
                <w:color w:val="000000" w:themeColor="text1"/>
                <w:sz w:val="16"/>
                <w:szCs w:val="16"/>
              </w:rPr>
            </w:pPr>
          </w:p>
          <w:p w14:paraId="172C0FB9"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1063E56B" w14:textId="77777777" w:rsidR="00665165" w:rsidRPr="00925F26" w:rsidRDefault="00665165" w:rsidP="00925F26">
            <w:pPr>
              <w:autoSpaceDE w:val="0"/>
              <w:autoSpaceDN w:val="0"/>
              <w:adjustRightInd w:val="0"/>
              <w:jc w:val="both"/>
              <w:rPr>
                <w:color w:val="000000" w:themeColor="text1"/>
                <w:sz w:val="16"/>
                <w:szCs w:val="16"/>
              </w:rPr>
            </w:pPr>
          </w:p>
          <w:p w14:paraId="6364F45A"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FF04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в/ч</w:t>
            </w:r>
          </w:p>
          <w:p w14:paraId="7C6C49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14C41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в учил.</w:t>
            </w:r>
            <w:proofErr w:type="gramEnd"/>
            <w:r w:rsidRPr="00925F26">
              <w:rPr>
                <w:color w:val="000000" w:themeColor="text1"/>
                <w:sz w:val="16"/>
                <w:szCs w:val="16"/>
              </w:rPr>
              <w:t xml:space="preserve"> и учеб</w:t>
            </w:r>
            <w:r w:rsidRPr="00925F26">
              <w:rPr>
                <w:color w:val="000000" w:themeColor="text1"/>
                <w:sz w:val="16"/>
                <w:szCs w:val="16"/>
              </w:rPr>
              <w:softHyphen/>
              <w:t>ных частях</w:t>
            </w:r>
          </w:p>
          <w:p w14:paraId="457457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1B4D33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ремзаводах</w:t>
            </w:r>
          </w:p>
          <w:p w14:paraId="7BCDB2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D48F3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исправных</w:t>
            </w:r>
          </w:p>
          <w:p w14:paraId="12BC86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5916B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треб, капит. ремонта</w:t>
            </w:r>
          </w:p>
          <w:p w14:paraId="16E042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EFAE299"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346AAA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Т-27</w:t>
            </w:r>
          </w:p>
          <w:p w14:paraId="7B209E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7087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234</w:t>
            </w:r>
          </w:p>
          <w:p w14:paraId="510C38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D908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227</w:t>
            </w:r>
          </w:p>
          <w:p w14:paraId="0D2C47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6C68D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3A2086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0CD4A4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C357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50227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227</w:t>
            </w:r>
          </w:p>
          <w:p w14:paraId="1EBC73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EB550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4CD97F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5143DB0"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09D3EB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Т-37-38</w:t>
            </w:r>
          </w:p>
          <w:p w14:paraId="21FFCC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531D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726</w:t>
            </w:r>
          </w:p>
          <w:p w14:paraId="28AF4E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535E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689</w:t>
            </w:r>
          </w:p>
          <w:p w14:paraId="61671E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BFF8A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w:t>
            </w:r>
          </w:p>
          <w:p w14:paraId="257280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34A8AF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w:t>
            </w:r>
          </w:p>
          <w:p w14:paraId="465E9D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CCF4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537</w:t>
            </w:r>
          </w:p>
          <w:p w14:paraId="6FBDFA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64813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199</w:t>
            </w:r>
          </w:p>
          <w:p w14:paraId="762D5B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3432C29" w14:textId="77777777">
        <w:trPr>
          <w:trHeight w:val="230"/>
        </w:trPr>
        <w:tc>
          <w:tcPr>
            <w:tcW w:w="1560" w:type="dxa"/>
            <w:tcBorders>
              <w:top w:val="single" w:sz="6" w:space="0" w:color="auto"/>
              <w:left w:val="single" w:sz="6" w:space="0" w:color="auto"/>
              <w:bottom w:val="single" w:sz="6" w:space="0" w:color="auto"/>
              <w:right w:val="single" w:sz="6" w:space="0" w:color="auto"/>
            </w:tcBorders>
          </w:tcPr>
          <w:p w14:paraId="348F63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Т-30-40-60</w:t>
            </w:r>
          </w:p>
          <w:p w14:paraId="7BD8BD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E8AD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1237</w:t>
            </w:r>
          </w:p>
          <w:p w14:paraId="2D5BE2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0841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431</w:t>
            </w:r>
          </w:p>
          <w:p w14:paraId="0CC600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317AE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369</w:t>
            </w:r>
          </w:p>
          <w:p w14:paraId="5E8E3B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1198A5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437</w:t>
            </w:r>
          </w:p>
          <w:p w14:paraId="2818A9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53AC4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590</w:t>
            </w:r>
          </w:p>
          <w:p w14:paraId="4A8D9A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560AC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647</w:t>
            </w:r>
          </w:p>
          <w:p w14:paraId="58CF49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FFA31AE"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6301DC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МК-2</w:t>
            </w:r>
          </w:p>
          <w:p w14:paraId="596244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FD9F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222</w:t>
            </w:r>
          </w:p>
          <w:p w14:paraId="01D58E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BAB8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p w14:paraId="2E53FD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72D9C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5BD428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752371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175</w:t>
            </w:r>
          </w:p>
          <w:p w14:paraId="6BD466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5A27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w:t>
            </w:r>
          </w:p>
          <w:p w14:paraId="739A07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7264B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177</w:t>
            </w:r>
          </w:p>
          <w:p w14:paraId="13228F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3C77BC7"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2C509B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МК-4</w:t>
            </w:r>
          </w:p>
          <w:p w14:paraId="2B5B2B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3AC65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w:t>
            </w:r>
          </w:p>
          <w:p w14:paraId="67B4A2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BBFA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2195CE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B26C3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692F7A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5D7104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w:t>
            </w:r>
          </w:p>
          <w:p w14:paraId="53B704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3B59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12EA6E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69265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w:t>
            </w:r>
          </w:p>
          <w:p w14:paraId="795C44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B96FD69"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76E47A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МЗ-л</w:t>
            </w:r>
          </w:p>
          <w:p w14:paraId="3634C3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3247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203</w:t>
            </w:r>
          </w:p>
          <w:p w14:paraId="20E3A7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9830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w:t>
            </w:r>
          </w:p>
          <w:p w14:paraId="6192A4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1CF7D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p w14:paraId="2010AB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3A7DB1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w:t>
            </w:r>
          </w:p>
          <w:p w14:paraId="02FCA3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285F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164</w:t>
            </w:r>
          </w:p>
          <w:p w14:paraId="74F522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B2DEF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w:t>
            </w:r>
          </w:p>
          <w:p w14:paraId="2C3F18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16B2D07" w14:textId="77777777">
        <w:trPr>
          <w:trHeight w:val="250"/>
        </w:trPr>
        <w:tc>
          <w:tcPr>
            <w:tcW w:w="1560" w:type="dxa"/>
            <w:tcBorders>
              <w:top w:val="single" w:sz="6" w:space="0" w:color="auto"/>
              <w:left w:val="single" w:sz="6" w:space="0" w:color="auto"/>
              <w:bottom w:val="single" w:sz="6" w:space="0" w:color="auto"/>
              <w:right w:val="single" w:sz="6" w:space="0" w:color="auto"/>
            </w:tcBorders>
          </w:tcPr>
          <w:p w14:paraId="3A8453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 МЗ-с</w:t>
            </w:r>
          </w:p>
          <w:p w14:paraId="0176C6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B852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71</w:t>
            </w:r>
          </w:p>
          <w:p w14:paraId="6E494F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D8B43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w:t>
            </w:r>
          </w:p>
          <w:p w14:paraId="32977C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8893D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440E8C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7D4328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w:t>
            </w:r>
          </w:p>
          <w:p w14:paraId="148567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CE1B4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w:t>
            </w:r>
          </w:p>
          <w:p w14:paraId="59C478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159B3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493D58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2FEC0FD" w14:textId="77777777">
        <w:trPr>
          <w:trHeight w:val="259"/>
        </w:trPr>
        <w:tc>
          <w:tcPr>
            <w:tcW w:w="1560" w:type="dxa"/>
            <w:tcBorders>
              <w:top w:val="single" w:sz="6" w:space="0" w:color="auto"/>
              <w:left w:val="single" w:sz="6" w:space="0" w:color="auto"/>
              <w:bottom w:val="single" w:sz="6" w:space="0" w:color="auto"/>
              <w:right w:val="single" w:sz="6" w:space="0" w:color="auto"/>
            </w:tcBorders>
          </w:tcPr>
          <w:p w14:paraId="17AB38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1E9490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848B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2777</w:t>
            </w:r>
          </w:p>
          <w:p w14:paraId="2BE5A4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F1E0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1549</w:t>
            </w:r>
          </w:p>
          <w:p w14:paraId="114E40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321" w:type="dxa"/>
            <w:gridSpan w:val="2"/>
            <w:tcBorders>
              <w:top w:val="single" w:sz="6" w:space="0" w:color="auto"/>
              <w:left w:val="single" w:sz="6" w:space="0" w:color="auto"/>
              <w:bottom w:val="single" w:sz="6" w:space="0" w:color="auto"/>
              <w:right w:val="single" w:sz="6" w:space="0" w:color="auto"/>
            </w:tcBorders>
          </w:tcPr>
          <w:p w14:paraId="021909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425</w:t>
            </w:r>
          </w:p>
          <w:p w14:paraId="159B18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30" w:type="dxa"/>
            <w:tcBorders>
              <w:top w:val="single" w:sz="6" w:space="0" w:color="auto"/>
              <w:left w:val="single" w:sz="6" w:space="0" w:color="auto"/>
              <w:bottom w:val="single" w:sz="6" w:space="0" w:color="auto"/>
              <w:right w:val="single" w:sz="6" w:space="0" w:color="auto"/>
            </w:tcBorders>
          </w:tcPr>
          <w:p w14:paraId="7A173E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w:t>
            </w:r>
          </w:p>
          <w:p w14:paraId="68CC14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380E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1610</w:t>
            </w:r>
          </w:p>
          <w:p w14:paraId="199A0F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644F2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1167</w:t>
            </w:r>
          </w:p>
          <w:p w14:paraId="5E27AC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723E71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60A22D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ГУРТ КА генерал-майор инженерно-танковой службы Мельник</w:t>
      </w:r>
    </w:p>
    <w:p w14:paraId="48B1E2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11380. Д. 290. Л. 23-24. Копия.</w:t>
      </w:r>
    </w:p>
    <w:p w14:paraId="6B57CDC2" w14:textId="77777777" w:rsidR="00665165" w:rsidRPr="00925F26" w:rsidRDefault="00665165" w:rsidP="00925F26">
      <w:pPr>
        <w:autoSpaceDE w:val="0"/>
        <w:autoSpaceDN w:val="0"/>
        <w:adjustRightInd w:val="0"/>
        <w:jc w:val="both"/>
        <w:rPr>
          <w:color w:val="000000" w:themeColor="text1"/>
          <w:sz w:val="16"/>
          <w:szCs w:val="16"/>
        </w:rPr>
      </w:pPr>
    </w:p>
    <w:p w14:paraId="227D77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г. по приказу № 231с все помещения завода № 794 по ул. Слуцкого, 39 (площадка № 1) переданы в распоряжение завода № 523 НКСМ для производства вентилей (Завод № 523 НКреЗИНПрома, НКСМ, Завод «Металл» НКХП, Завод «Автоарматура» НКСМ /г. Ленинград/).</w:t>
      </w:r>
    </w:p>
    <w:p w14:paraId="4250C7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11.06.1945 г. завод № 523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2FFE38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газовых рулей для ЗУР Р-101 (1948 г.).</w:t>
      </w:r>
      <w:r w:rsidRPr="00925F26">
        <w:rPr>
          <w:color w:val="000000" w:themeColor="text1"/>
          <w:sz w:val="16"/>
          <w:szCs w:val="16"/>
          <w:vertAlign w:val="superscript"/>
        </w:rPr>
        <w:t>57</w:t>
      </w:r>
    </w:p>
    <w:p w14:paraId="46C378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1969 г. завод «Автоарматура» вошел в состав ПО «Ленинградский карбюраторный завод им. В.В. Куйбышева».</w:t>
      </w:r>
      <w:r w:rsidRPr="00925F26">
        <w:rPr>
          <w:color w:val="000000" w:themeColor="text1"/>
          <w:sz w:val="16"/>
          <w:szCs w:val="16"/>
          <w:vertAlign w:val="superscript"/>
        </w:rPr>
        <w:t>131</w:t>
      </w:r>
    </w:p>
    <w:p w14:paraId="53EC26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259B48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Государственный завод «Знамя труда </w:t>
      </w:r>
      <w:proofErr w:type="gramStart"/>
      <w:r w:rsidRPr="00925F26">
        <w:rPr>
          <w:color w:val="000000" w:themeColor="text1"/>
          <w:sz w:val="16"/>
          <w:szCs w:val="16"/>
        </w:rPr>
        <w:t>« №</w:t>
      </w:r>
      <w:proofErr w:type="gramEnd"/>
      <w:r w:rsidRPr="00925F26">
        <w:rPr>
          <w:color w:val="000000" w:themeColor="text1"/>
          <w:sz w:val="16"/>
          <w:szCs w:val="16"/>
        </w:rPr>
        <w:t xml:space="preserve">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5129A4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карбюраторов (1932 г.).</w:t>
      </w:r>
    </w:p>
    <w:p w14:paraId="45A4FF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925F26">
        <w:rPr>
          <w:color w:val="000000" w:themeColor="text1"/>
          <w:sz w:val="16"/>
          <w:szCs w:val="16"/>
          <w:vertAlign w:val="superscript"/>
        </w:rPr>
        <w:t>65</w:t>
      </w:r>
    </w:p>
    <w:p w14:paraId="65FA25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4870E4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2DEE47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294CDD93" w14:textId="77777777" w:rsidR="00665165" w:rsidRPr="00925F26" w:rsidRDefault="00665165" w:rsidP="00925F26">
      <w:pPr>
        <w:autoSpaceDE w:val="0"/>
        <w:autoSpaceDN w:val="0"/>
        <w:adjustRightInd w:val="0"/>
        <w:jc w:val="both"/>
        <w:rPr>
          <w:color w:val="000000" w:themeColor="text1"/>
          <w:sz w:val="16"/>
          <w:szCs w:val="16"/>
        </w:rPr>
      </w:pPr>
    </w:p>
    <w:p w14:paraId="04DD2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23 мая 1945 г. по приказу № 231с все помещения завода № 794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925F26">
        <w:rPr>
          <w:color w:val="000000" w:themeColor="text1"/>
          <w:sz w:val="16"/>
          <w:szCs w:val="16"/>
          <w:lang w:val="en-US"/>
        </w:rPr>
        <w:t>PJI</w:t>
      </w:r>
      <w:r w:rsidRPr="00925F26">
        <w:rPr>
          <w:color w:val="000000" w:themeColor="text1"/>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32EF86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НИР «Прима» (работы по РЛС обеспечения безопасности полета низколетящего бомбардировщика).</w:t>
      </w:r>
    </w:p>
    <w:p w14:paraId="2A0B9A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1A3921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1CCC0E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МРП № 680 от 20.07.1990 г. было создано ГП «Завод «Радиоприбор», 20.09.1993 г. ГП преобразовано в АООТ, с 12.08.1996 г.- ОАО.</w:t>
      </w:r>
    </w:p>
    <w:p w14:paraId="5B4E9B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71AFBE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Производственные площади (2003 г.)- более 60 тыс. м</w:t>
      </w:r>
      <w:r w:rsidRPr="00925F26">
        <w:rPr>
          <w:color w:val="000000" w:themeColor="text1"/>
          <w:sz w:val="16"/>
          <w:szCs w:val="16"/>
          <w:vertAlign w:val="superscript"/>
        </w:rPr>
        <w:t>2</w:t>
      </w:r>
      <w:r w:rsidRPr="00925F26">
        <w:rPr>
          <w:color w:val="000000" w:themeColor="text1"/>
          <w:sz w:val="16"/>
          <w:szCs w:val="16"/>
        </w:rPr>
        <w:t>.</w:t>
      </w:r>
    </w:p>
    <w:p w14:paraId="7E22DE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w:t>
      </w:r>
      <w:proofErr w:type="gramStart"/>
      <w:r w:rsidRPr="00925F26">
        <w:rPr>
          <w:color w:val="000000" w:themeColor="text1"/>
          <w:sz w:val="16"/>
          <w:szCs w:val="16"/>
        </w:rPr>
        <w:t>2003  г.</w:t>
      </w:r>
      <w:proofErr w:type="gramEnd"/>
      <w:r w:rsidRPr="00925F26">
        <w:rPr>
          <w:color w:val="000000" w:themeColor="text1"/>
          <w:sz w:val="16"/>
          <w:szCs w:val="16"/>
        </w:rPr>
        <w:t>)- около 1000 чел.</w:t>
      </w:r>
    </w:p>
    <w:p w14:paraId="1ABE4C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(02.1945-57 г.)- А.П. Петров, (1957-63 г.)- А.П. Зубов, (1963-68 г.)- В.Т. Бедняков, (1968-72 г.)- Ю.Т. Машенков, (08,1991-93 г.)- А.О. Бураков. Гендиректор (1993-2007 г.-)- А.О. Бураков.</w:t>
      </w:r>
    </w:p>
    <w:p w14:paraId="118EB9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гендиректора: по производству (-1991 г.)- А.О. Бураков; по коммерческим вопросам (2003 г.)- А.Н. Окунев.</w:t>
      </w:r>
    </w:p>
    <w:p w14:paraId="2B8228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(-1972 г.)- О.Ф. Бураков, (2003 г.)- Б.К. Румянцев.</w:t>
      </w:r>
    </w:p>
    <w:p w14:paraId="3B5D7C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инженера- А.О. Бураков.</w:t>
      </w:r>
    </w:p>
    <w:p w14:paraId="0C88EB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производства (1983 г.-)- А.О. Бураков.</w:t>
      </w:r>
    </w:p>
    <w:p w14:paraId="7BC948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ОМТС (2003 г.)- А.З. Ялышев; ОВКиК (2003 г.)-  Г.В. Кузнецова; кадров (2003 г.)- В.В. Макаров; маркетинга (2003 г.)- Ю.В. Дженчако.</w:t>
      </w:r>
    </w:p>
    <w:p w14:paraId="73FF383C"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РЛ бомбоприцел «Кобальт-1М, -2М» для Ту-4, -16 (1950-е);</w:t>
      </w:r>
      <w:r w:rsidRPr="00925F26">
        <w:rPr>
          <w:iCs/>
          <w:color w:val="000000" w:themeColor="text1"/>
          <w:sz w:val="16"/>
          <w:szCs w:val="16"/>
          <w:lang w:val="en-US"/>
        </w:rPr>
        <w:t>PJI</w:t>
      </w:r>
      <w:r w:rsidRPr="00925F26">
        <w:rPr>
          <w:iCs/>
          <w:color w:val="000000" w:themeColor="text1"/>
          <w:sz w:val="16"/>
          <w:szCs w:val="16"/>
        </w:rPr>
        <w:t>- дальномеры:</w:t>
      </w:r>
      <w:r w:rsidRPr="00925F26">
        <w:rPr>
          <w:color w:val="000000" w:themeColor="text1"/>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925F26">
        <w:rPr>
          <w:iCs/>
          <w:color w:val="000000" w:themeColor="text1"/>
          <w:sz w:val="16"/>
          <w:szCs w:val="16"/>
        </w:rPr>
        <w:t>); телевизоры:</w:t>
      </w:r>
      <w:r w:rsidRPr="00925F26">
        <w:rPr>
          <w:color w:val="000000" w:themeColor="text1"/>
          <w:sz w:val="16"/>
          <w:szCs w:val="16"/>
        </w:rPr>
        <w:t xml:space="preserve"> «Сигнал» (1963-), «Балтика», «Атлант»;</w:t>
      </w:r>
      <w:r w:rsidRPr="00925F26">
        <w:rPr>
          <w:iCs/>
          <w:color w:val="000000" w:themeColor="text1"/>
          <w:sz w:val="16"/>
          <w:szCs w:val="16"/>
        </w:rPr>
        <w:t xml:space="preserve"> радиоприемники:</w:t>
      </w:r>
      <w:r w:rsidRPr="00925F26">
        <w:rPr>
          <w:color w:val="000000" w:themeColor="text1"/>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925F26">
        <w:rPr>
          <w:color w:val="000000" w:themeColor="text1"/>
          <w:sz w:val="16"/>
          <w:szCs w:val="16"/>
          <w:lang w:val="en-US"/>
        </w:rPr>
        <w:t>l</w:t>
      </w:r>
      <w:r w:rsidRPr="00925F26">
        <w:rPr>
          <w:color w:val="000000" w:themeColor="text1"/>
          <w:sz w:val="16"/>
          <w:szCs w:val="16"/>
        </w:rPr>
        <w:t>-).</w:t>
      </w:r>
    </w:p>
    <w:p w14:paraId="211D40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ОКБ-794 МАП, ГКАТ, ГКРЭ /г. Ленинград/</w:t>
      </w:r>
    </w:p>
    <w:p w14:paraId="7A31B5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w:t>
      </w:r>
      <w:r w:rsidRPr="00925F26">
        <w:rPr>
          <w:color w:val="000000" w:themeColor="text1"/>
          <w:sz w:val="16"/>
          <w:szCs w:val="16"/>
          <w:lang w:val="en-US"/>
        </w:rPr>
        <w:t>PJI</w:t>
      </w:r>
      <w:r w:rsidRPr="00925F26">
        <w:rPr>
          <w:color w:val="000000" w:themeColor="text1"/>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925F26">
        <w:rPr>
          <w:color w:val="000000" w:themeColor="text1"/>
          <w:sz w:val="16"/>
          <w:szCs w:val="16"/>
          <w:lang w:val="en-US"/>
        </w:rPr>
        <w:t>PJIC</w:t>
      </w:r>
      <w:r w:rsidRPr="00925F26">
        <w:rPr>
          <w:color w:val="000000" w:themeColor="text1"/>
          <w:sz w:val="16"/>
          <w:szCs w:val="16"/>
        </w:rPr>
        <w:t xml:space="preserve"> «Изумруд», аппаратуры управления К-1 ракетой «КС», радиодальномера СРД-1М.</w:t>
      </w:r>
    </w:p>
    <w:p w14:paraId="600D2A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1950-</w:t>
      </w:r>
      <w:proofErr w:type="gramStart"/>
      <w:r w:rsidRPr="00925F26">
        <w:rPr>
          <w:color w:val="000000" w:themeColor="text1"/>
          <w:sz w:val="16"/>
          <w:szCs w:val="16"/>
        </w:rPr>
        <w:t>х  г.</w:t>
      </w:r>
      <w:proofErr w:type="gramEnd"/>
      <w:r w:rsidRPr="00925F26">
        <w:rPr>
          <w:color w:val="000000" w:themeColor="text1"/>
          <w:sz w:val="16"/>
          <w:szCs w:val="16"/>
        </w:rPr>
        <w:t xml:space="preserve">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742AD8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2ABDEC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08.1957 г. ОКБ- в ведении 4ГУ ГКАТ. Для концентрации работ по радиоэлектронике в 12.1958 г. ОКБ передано во вновь образованный ГКРЭ.</w:t>
      </w:r>
    </w:p>
    <w:p w14:paraId="5335E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56E9E4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(04.1946 г.-)- А.А. Котов.</w:t>
      </w:r>
    </w:p>
    <w:p w14:paraId="65E44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Ю. Г. Комедатов, (-1956-59 г.)- Е. А. Зазорин (затем- руководитель СКБ-3 НИИ-131).</w:t>
      </w:r>
    </w:p>
    <w:p w14:paraId="008C90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(1947 г.-)- А.С. Чефранов («Залив»), (1950-е)- Е.А. Зазорин (радиодальномеры, ДИСС), (- 1959 г.)- В.Л. Коблов («Эмблема»).</w:t>
      </w:r>
    </w:p>
    <w:p w14:paraId="2B942CB4"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6E83B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СЛ-П (СЛ-11) при заводе № 794 МАП</w:t>
      </w:r>
    </w:p>
    <w:p w14:paraId="4E1731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Специальная лаборатория СЛ-П (СЛ-11) создана в 1956 г.</w:t>
      </w:r>
    </w:p>
    <w:p w14:paraId="6AC446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06D39C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1959 г. на базе СЛ-П создано СКБ-2 НИИ-131 (11982).</w:t>
      </w:r>
    </w:p>
    <w:p w14:paraId="7F2EE360" w14:textId="77777777" w:rsidR="00665165" w:rsidRPr="00925F26" w:rsidRDefault="00665165" w:rsidP="00925F26">
      <w:pPr>
        <w:autoSpaceDE w:val="0"/>
        <w:autoSpaceDN w:val="0"/>
        <w:adjustRightInd w:val="0"/>
        <w:jc w:val="both"/>
        <w:rPr>
          <w:color w:val="000000" w:themeColor="text1"/>
          <w:sz w:val="16"/>
          <w:szCs w:val="16"/>
        </w:rPr>
      </w:pPr>
    </w:p>
    <w:p w14:paraId="44D5D9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8709. О выделении танковых двигателей ГУРТ КА. РГАНИР, Фонд ГКО, д. 418, лл. 163 (11012).</w:t>
      </w:r>
    </w:p>
    <w:p w14:paraId="5AF6A4C4" w14:textId="77777777" w:rsidR="00665165" w:rsidRPr="00925F26" w:rsidRDefault="00665165" w:rsidP="00925F26">
      <w:pPr>
        <w:autoSpaceDE w:val="0"/>
        <w:autoSpaceDN w:val="0"/>
        <w:adjustRightInd w:val="0"/>
        <w:jc w:val="both"/>
        <w:rPr>
          <w:color w:val="000000" w:themeColor="text1"/>
          <w:sz w:val="16"/>
          <w:szCs w:val="16"/>
        </w:rPr>
      </w:pPr>
    </w:p>
    <w:p w14:paraId="431BE9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8710. О выделении угля СНК БМАССР для Чикайского кожевенного завода. РГАНИР, Фонд ГКО, д. 418, лл. 164 (11012).</w:t>
      </w:r>
    </w:p>
    <w:p w14:paraId="20E2DF23" w14:textId="77777777" w:rsidR="00665165" w:rsidRPr="00925F26" w:rsidRDefault="00665165" w:rsidP="00925F26">
      <w:pPr>
        <w:autoSpaceDE w:val="0"/>
        <w:autoSpaceDN w:val="0"/>
        <w:adjustRightInd w:val="0"/>
        <w:jc w:val="both"/>
        <w:rPr>
          <w:color w:val="000000" w:themeColor="text1"/>
          <w:sz w:val="16"/>
          <w:szCs w:val="16"/>
        </w:rPr>
      </w:pPr>
    </w:p>
    <w:p w14:paraId="3A9715A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8711 [О дополнительном выделении электросварочной проволоки НКМФ во II кв. 1945 г. для строительства барж байкальской переправы.] (7342, 165).</w:t>
      </w:r>
    </w:p>
    <w:p w14:paraId="5125D27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08580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8712 [Об отпуске ГСМ для автотранспорта НКВД, занятого на строительных работах в объединениях "Краснодарнефть" и "Куйбышевнефть".] (7342, 166).</w:t>
      </w:r>
    </w:p>
    <w:p w14:paraId="6224F55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EE57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8713. О мерах по сдаче монитора "Сиваш". РГАНИР, Фонд ГКО, д. 418, лл. 167-168 (11012).</w:t>
      </w:r>
    </w:p>
    <w:p w14:paraId="047219DC" w14:textId="77777777" w:rsidR="00665165" w:rsidRPr="00925F26" w:rsidRDefault="00665165" w:rsidP="00925F26">
      <w:pPr>
        <w:autoSpaceDE w:val="0"/>
        <w:autoSpaceDN w:val="0"/>
        <w:adjustRightInd w:val="0"/>
        <w:jc w:val="both"/>
        <w:rPr>
          <w:color w:val="000000" w:themeColor="text1"/>
          <w:sz w:val="16"/>
          <w:szCs w:val="16"/>
        </w:rPr>
      </w:pPr>
    </w:p>
    <w:p w14:paraId="2856C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8714. О мерах по созданию запасов зеленого масла на зиму 1945/46 гг. на сажевых заводах НКРП. РГАНИР, Фонд ГКО, д. 418, лл. 169-170 (11012).</w:t>
      </w:r>
    </w:p>
    <w:p w14:paraId="24FFE522" w14:textId="77777777" w:rsidR="00665165" w:rsidRPr="00925F26" w:rsidRDefault="00665165" w:rsidP="00925F26">
      <w:pPr>
        <w:autoSpaceDE w:val="0"/>
        <w:autoSpaceDN w:val="0"/>
        <w:adjustRightInd w:val="0"/>
        <w:jc w:val="both"/>
        <w:rPr>
          <w:color w:val="000000" w:themeColor="text1"/>
          <w:sz w:val="16"/>
          <w:szCs w:val="16"/>
        </w:rPr>
      </w:pPr>
    </w:p>
    <w:p w14:paraId="0805FE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8715. О поставках импортных материалов ТОФ во II кв. 1945 г. РГАНИР, Фонд ГКО, д. 418, лл. 171, 172 (11012).</w:t>
      </w:r>
    </w:p>
    <w:p w14:paraId="6908FF74" w14:textId="77777777" w:rsidR="00665165" w:rsidRPr="00925F26" w:rsidRDefault="00665165" w:rsidP="00925F26">
      <w:pPr>
        <w:autoSpaceDE w:val="0"/>
        <w:autoSpaceDN w:val="0"/>
        <w:adjustRightInd w:val="0"/>
        <w:jc w:val="both"/>
        <w:rPr>
          <w:color w:val="000000" w:themeColor="text1"/>
          <w:sz w:val="16"/>
          <w:szCs w:val="16"/>
        </w:rPr>
      </w:pPr>
    </w:p>
    <w:p w14:paraId="193CEA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Постановление ГКО № 8716 Об организации добычи нефти в Татарской АССР. РГАНИР, Фонд ГКО, д. 418, лл. 173-177, 178-179 (11012).</w:t>
      </w:r>
    </w:p>
    <w:p w14:paraId="5100A0CF" w14:textId="77777777" w:rsidR="00665165" w:rsidRPr="00925F26" w:rsidRDefault="00665165" w:rsidP="00925F26">
      <w:pPr>
        <w:autoSpaceDE w:val="0"/>
        <w:autoSpaceDN w:val="0"/>
        <w:adjustRightInd w:val="0"/>
        <w:jc w:val="both"/>
        <w:rPr>
          <w:color w:val="000000" w:themeColor="text1"/>
          <w:sz w:val="16"/>
          <w:szCs w:val="16"/>
        </w:rPr>
      </w:pPr>
    </w:p>
    <w:p w14:paraId="20260C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Распоряжение ГКО № 8717. О мерах по обеспечению выпуска электробуров в 1945 г. РГАНИР, Фонд ГКО, д. 418, лл. 180-181 (11012).</w:t>
      </w:r>
    </w:p>
    <w:p w14:paraId="6EA73DEE" w14:textId="77777777" w:rsidR="00665165" w:rsidRPr="00925F26" w:rsidRDefault="00665165" w:rsidP="00925F26">
      <w:pPr>
        <w:autoSpaceDE w:val="0"/>
        <w:autoSpaceDN w:val="0"/>
        <w:adjustRightInd w:val="0"/>
        <w:jc w:val="both"/>
        <w:rPr>
          <w:color w:val="000000" w:themeColor="text1"/>
          <w:sz w:val="16"/>
          <w:szCs w:val="16"/>
        </w:rPr>
      </w:pPr>
    </w:p>
    <w:p w14:paraId="20FFBCD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мая 1945 вышло Постановление ГКО № 8718 О самозаготовке шпал силами служб и дистанций пути железных дорог в 1945 г. (7342, 182-184,185-192).</w:t>
      </w:r>
    </w:p>
    <w:p w14:paraId="0DFB3A0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9EDD67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23/24 мая 1945 вышел приказ НКБ и НКСтройматериалов № 213/157 о передаче согласно постановлению СНК от 21 мая 1945 ГСЗ № 527 (б. Люберецкий з-д силикатного кирпича (7543, 23).</w:t>
      </w:r>
    </w:p>
    <w:p w14:paraId="344873D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A918B6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C9E9989" w14:textId="77777777" w:rsidR="00665165" w:rsidRPr="00925F26" w:rsidRDefault="00665165" w:rsidP="00925F26">
      <w:pPr>
        <w:autoSpaceDE w:val="0"/>
        <w:autoSpaceDN w:val="0"/>
        <w:adjustRightInd w:val="0"/>
        <w:jc w:val="both"/>
        <w:rPr>
          <w:iCs/>
          <w:color w:val="000000" w:themeColor="text1"/>
          <w:sz w:val="16"/>
          <w:szCs w:val="16"/>
        </w:rPr>
      </w:pPr>
    </w:p>
    <w:p w14:paraId="0B74D4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Постановление ГКО № 8720 О назначении генерал-полковника Курасова В.В. заместителем начальника Генерального штаба Красной Армии. РГАНИР, Фонд ГКО, д. 418, лл. 195 (11012).</w:t>
      </w:r>
    </w:p>
    <w:p w14:paraId="1C06CB52" w14:textId="77777777" w:rsidR="00665165" w:rsidRPr="00925F26" w:rsidRDefault="00665165" w:rsidP="00925F26">
      <w:pPr>
        <w:autoSpaceDE w:val="0"/>
        <w:autoSpaceDN w:val="0"/>
        <w:adjustRightInd w:val="0"/>
        <w:jc w:val="both"/>
        <w:rPr>
          <w:color w:val="000000" w:themeColor="text1"/>
          <w:sz w:val="16"/>
          <w:szCs w:val="16"/>
        </w:rPr>
      </w:pPr>
    </w:p>
    <w:p w14:paraId="4BB2BB3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2C51030" w14:textId="77777777" w:rsidR="00665165" w:rsidRPr="00925F26" w:rsidRDefault="00665165" w:rsidP="00925F26">
      <w:pPr>
        <w:autoSpaceDE w:val="0"/>
        <w:autoSpaceDN w:val="0"/>
        <w:adjustRightInd w:val="0"/>
        <w:jc w:val="both"/>
        <w:rPr>
          <w:iCs/>
          <w:color w:val="000000" w:themeColor="text1"/>
          <w:sz w:val="16"/>
          <w:szCs w:val="16"/>
        </w:rPr>
      </w:pPr>
    </w:p>
    <w:p w14:paraId="7D0AC7C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мая 1945 СССР принял решение об оказании продовольственной помощи населению Венгрии (4962).</w:t>
      </w:r>
    </w:p>
    <w:p w14:paraId="219FA61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4B397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вышло Постановление ГКО № 8719 Об оказании помощи в снабжении продовольствием населения г. Вена. РГАНИР, Фонд ГКО, д. 418, лл. 193-194 (11012).</w:t>
      </w:r>
    </w:p>
    <w:p w14:paraId="78BC4701" w14:textId="77777777" w:rsidR="00665165" w:rsidRPr="00925F26" w:rsidRDefault="00665165" w:rsidP="00925F26">
      <w:pPr>
        <w:autoSpaceDE w:val="0"/>
        <w:autoSpaceDN w:val="0"/>
        <w:adjustRightInd w:val="0"/>
        <w:jc w:val="both"/>
        <w:rPr>
          <w:color w:val="000000" w:themeColor="text1"/>
          <w:sz w:val="16"/>
          <w:szCs w:val="16"/>
        </w:rPr>
      </w:pPr>
    </w:p>
    <w:p w14:paraId="69FCFC8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96FC68B" w14:textId="77777777" w:rsidR="00665165" w:rsidRPr="00925F26" w:rsidRDefault="00665165" w:rsidP="00925F26">
      <w:pPr>
        <w:autoSpaceDE w:val="0"/>
        <w:autoSpaceDN w:val="0"/>
        <w:adjustRightInd w:val="0"/>
        <w:jc w:val="both"/>
        <w:rPr>
          <w:iCs/>
          <w:color w:val="000000" w:themeColor="text1"/>
          <w:sz w:val="16"/>
          <w:szCs w:val="16"/>
        </w:rPr>
      </w:pPr>
    </w:p>
    <w:p w14:paraId="402088A1" w14:textId="77777777" w:rsidR="0038610C" w:rsidRPr="00925F26" w:rsidRDefault="0038610C" w:rsidP="00925F26">
      <w:pPr>
        <w:jc w:val="both"/>
        <w:rPr>
          <w:color w:val="000000" w:themeColor="text1"/>
          <w:sz w:val="16"/>
          <w:szCs w:val="16"/>
          <w:shd w:val="clear" w:color="auto" w:fill="FFFFFF"/>
        </w:rPr>
      </w:pPr>
      <w:r w:rsidRPr="00925F26">
        <w:rPr>
          <w:color w:val="000000" w:themeColor="text1"/>
          <w:sz w:val="16"/>
          <w:szCs w:val="16"/>
          <w:shd w:val="clear" w:color="auto" w:fill="FFFFFF"/>
        </w:rPr>
        <w:t>До 23 мая 1945 на севере Германии, в Шлезвиг-Гольштейне, в британской зоне функционировало последнее правительство Третьего рейха во главе с гросс-адмиралом Дёницем. Там же англичане держали в интернированном состоянии, при полном вооружении, включая танки, несколько дивизий вермахта. По плану войны с Советским Союзом «Немыслимое», одобренному британским премьером Черчиллем 22 мая 1945 года, предусматривалось использование этих немецких дивизий (в количестве 10-12) в Третьей мировой войне против СССР. После ареста, по настоянию СССР и США, правительства Дёница, в июне 1945 года англичане были вынуждены разоружить эти дивизии и обратить их технику в трофеи (19688).</w:t>
      </w:r>
    </w:p>
    <w:p w14:paraId="3B2662ED" w14:textId="77777777" w:rsidR="0038610C" w:rsidRPr="00925F26" w:rsidRDefault="0038610C" w:rsidP="00925F26">
      <w:pPr>
        <w:jc w:val="both"/>
        <w:rPr>
          <w:color w:val="000000" w:themeColor="text1"/>
          <w:sz w:val="16"/>
          <w:szCs w:val="16"/>
          <w:shd w:val="clear" w:color="auto" w:fill="FFFFFF"/>
        </w:rPr>
      </w:pPr>
    </w:p>
    <w:p w14:paraId="4AAE01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мая 1945 при аресте на границе Германии и Дании покончил с собой глава СС Генрих Гиммлер (4962).</w:t>
      </w:r>
    </w:p>
    <w:p w14:paraId="106F13F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05D48DE"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23 1945 SS Reichsfuhrer Himmler commits suicide; German High Command and Provisional Government imprisoned (1050).</w:t>
      </w:r>
    </w:p>
    <w:p w14:paraId="65C11C3A" w14:textId="77777777" w:rsidR="00665165" w:rsidRPr="00925F26" w:rsidRDefault="00665165" w:rsidP="00925F26">
      <w:pPr>
        <w:autoSpaceDE w:val="0"/>
        <w:autoSpaceDN w:val="0"/>
        <w:adjustRightInd w:val="0"/>
        <w:jc w:val="both"/>
        <w:rPr>
          <w:color w:val="000000" w:themeColor="text1"/>
          <w:sz w:val="16"/>
          <w:szCs w:val="16"/>
          <w:lang w:val="en-US"/>
        </w:rPr>
      </w:pPr>
    </w:p>
    <w:p w14:paraId="3C64C4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1943 Райхсфюрер СС Г.Гимлер совершил самоубийство (1050). По другим данным это было 24 мая и при аресте он успел принять яд (2248,7).</w:t>
      </w:r>
    </w:p>
    <w:p w14:paraId="00C0E3B0" w14:textId="77777777" w:rsidR="00665165" w:rsidRPr="00925F26" w:rsidRDefault="00665165" w:rsidP="00925F26">
      <w:pPr>
        <w:autoSpaceDE w:val="0"/>
        <w:autoSpaceDN w:val="0"/>
        <w:adjustRightInd w:val="0"/>
        <w:jc w:val="both"/>
        <w:rPr>
          <w:color w:val="000000" w:themeColor="text1"/>
          <w:sz w:val="16"/>
          <w:szCs w:val="16"/>
        </w:rPr>
      </w:pPr>
    </w:p>
    <w:p w14:paraId="02EB91AF"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23rd, 1945: By order of SHAEF, British troops arrest the members of the post-Hitler government of Grossadmiral Donitz as well as of the OKW at Flensburg; they are flown to a secret American camp in Luxemburg and held there pending their indictment in an Allied war crimes trial scheduled to be held at Nuremberg (3819).</w:t>
      </w:r>
    </w:p>
    <w:p w14:paraId="2240A9A3" w14:textId="77777777" w:rsidR="00665165" w:rsidRPr="00925F26" w:rsidRDefault="00665165" w:rsidP="00925F26">
      <w:pPr>
        <w:autoSpaceDE w:val="0"/>
        <w:autoSpaceDN w:val="0"/>
        <w:adjustRightInd w:val="0"/>
        <w:jc w:val="both"/>
        <w:rPr>
          <w:color w:val="000000" w:themeColor="text1"/>
          <w:sz w:val="16"/>
          <w:szCs w:val="16"/>
          <w:lang w:val="en-US"/>
        </w:rPr>
      </w:pPr>
    </w:p>
    <w:p w14:paraId="25B8A6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высшее немецкое командование и правительство Деница были арестованы (1050).</w:t>
      </w:r>
    </w:p>
    <w:p w14:paraId="37EB487C" w14:textId="77777777" w:rsidR="00665165" w:rsidRPr="00925F26" w:rsidRDefault="00665165" w:rsidP="00925F26">
      <w:pPr>
        <w:autoSpaceDE w:val="0"/>
        <w:autoSpaceDN w:val="0"/>
        <w:adjustRightInd w:val="0"/>
        <w:jc w:val="both"/>
        <w:rPr>
          <w:color w:val="000000" w:themeColor="text1"/>
          <w:sz w:val="16"/>
          <w:szCs w:val="16"/>
        </w:rPr>
      </w:pPr>
    </w:p>
    <w:p w14:paraId="584895F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мая 1945 во Фленсбурге союзники взяли в плен последнего рейхсканцлера Германии адмирала К. Деница (4962).</w:t>
      </w:r>
    </w:p>
    <w:p w14:paraId="73AD65C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E26E068" w14:textId="77777777" w:rsidR="007E3239" w:rsidRPr="00925F26" w:rsidRDefault="007E3239" w:rsidP="00925F26">
      <w:pPr>
        <w:jc w:val="both"/>
        <w:rPr>
          <w:color w:val="000000" w:themeColor="text1"/>
          <w:sz w:val="16"/>
          <w:szCs w:val="16"/>
        </w:rPr>
      </w:pPr>
      <w:r w:rsidRPr="00925F26">
        <w:rPr>
          <w:bCs/>
          <w:color w:val="000000" w:themeColor="text1"/>
          <w:sz w:val="16"/>
          <w:szCs w:val="16"/>
        </w:rPr>
        <w:t>23 мая</w:t>
      </w:r>
      <w:r w:rsidRPr="00925F26">
        <w:rPr>
          <w:color w:val="000000" w:themeColor="text1"/>
          <w:sz w:val="16"/>
          <w:szCs w:val="16"/>
        </w:rPr>
        <w:t xml:space="preserve"> в 1945 году во Фленсбурге союзники взяли в плен последнего рейхсканцлера Германии адмирала К.Деница. Немецкий рейхсканцлер Карл Дёниц приговорен Международным военным трибуналом в Нюрнберге к 10 годам тюрьмы как военный преступник (14900).</w:t>
      </w:r>
    </w:p>
    <w:p w14:paraId="147BD086" w14:textId="77777777" w:rsidR="007E3239" w:rsidRPr="00925F26" w:rsidRDefault="007E3239" w:rsidP="00925F26">
      <w:pPr>
        <w:jc w:val="both"/>
        <w:rPr>
          <w:color w:val="000000" w:themeColor="text1"/>
          <w:sz w:val="16"/>
          <w:szCs w:val="16"/>
        </w:rPr>
      </w:pPr>
    </w:p>
    <w:p w14:paraId="6CFB56E1" w14:textId="3CB3E882"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23 мая 1945 премьер Англии Уинстон Черчилль ушел в отставку, объявив первые за десять лет </w:t>
      </w:r>
      <w:r w:rsidR="00247854" w:rsidRPr="00925F26">
        <w:rPr>
          <w:color w:val="000000" w:themeColor="text1"/>
          <w:sz w:val="16"/>
          <w:szCs w:val="16"/>
        </w:rPr>
        <w:t xml:space="preserve">выборы </w:t>
      </w:r>
      <w:r w:rsidRPr="00925F26">
        <w:rPr>
          <w:color w:val="000000" w:themeColor="text1"/>
          <w:sz w:val="16"/>
          <w:szCs w:val="16"/>
        </w:rPr>
        <w:t>(4962).</w:t>
      </w:r>
    </w:p>
    <w:p w14:paraId="0140EA6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26D4437" w14:textId="77777777" w:rsidR="007E3239" w:rsidRPr="00925F26" w:rsidRDefault="007E3239" w:rsidP="00925F26">
      <w:pPr>
        <w:jc w:val="both"/>
        <w:rPr>
          <w:color w:val="000000" w:themeColor="text1"/>
          <w:sz w:val="16"/>
          <w:szCs w:val="16"/>
        </w:rPr>
      </w:pPr>
      <w:r w:rsidRPr="00925F26">
        <w:rPr>
          <w:bCs/>
          <w:color w:val="000000" w:themeColor="text1"/>
          <w:sz w:val="16"/>
          <w:szCs w:val="16"/>
        </w:rPr>
        <w:t>23 мая</w:t>
      </w:r>
      <w:r w:rsidRPr="00925F26">
        <w:rPr>
          <w:color w:val="000000" w:themeColor="text1"/>
          <w:sz w:val="16"/>
          <w:szCs w:val="16"/>
        </w:rPr>
        <w:t xml:space="preserve"> в 1945 году эмигрантское правительство Королевства Нидерландов во главе с П.Гербрандом переехало из Лондона в Амстердам (14900).</w:t>
      </w:r>
    </w:p>
    <w:p w14:paraId="24DEC0CF" w14:textId="77777777" w:rsidR="007E3239" w:rsidRPr="00925F26" w:rsidRDefault="007E3239" w:rsidP="00925F26">
      <w:pPr>
        <w:jc w:val="both"/>
        <w:rPr>
          <w:color w:val="000000" w:themeColor="text1"/>
          <w:sz w:val="16"/>
          <w:szCs w:val="16"/>
        </w:rPr>
      </w:pPr>
    </w:p>
    <w:p w14:paraId="109787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 мая 1945 на Токио летало 564 В-29 - вроде бы больше не было никогда (1051,28).</w:t>
      </w:r>
    </w:p>
    <w:p w14:paraId="20350CFB" w14:textId="77777777" w:rsidR="00665165" w:rsidRPr="00925F26" w:rsidRDefault="00665165" w:rsidP="00925F26">
      <w:pPr>
        <w:autoSpaceDE w:val="0"/>
        <w:autoSpaceDN w:val="0"/>
        <w:adjustRightInd w:val="0"/>
        <w:jc w:val="both"/>
        <w:rPr>
          <w:color w:val="000000" w:themeColor="text1"/>
          <w:sz w:val="16"/>
          <w:szCs w:val="16"/>
        </w:rPr>
      </w:pPr>
    </w:p>
    <w:p w14:paraId="4B1517EE" w14:textId="77777777" w:rsidR="00247854" w:rsidRPr="00925F26" w:rsidRDefault="00247854" w:rsidP="00925F26">
      <w:pPr>
        <w:jc w:val="both"/>
        <w:rPr>
          <w:color w:val="000000" w:themeColor="text1"/>
          <w:sz w:val="16"/>
          <w:szCs w:val="16"/>
        </w:rPr>
      </w:pPr>
      <w:r w:rsidRPr="00925F26">
        <w:rPr>
          <w:color w:val="000000" w:themeColor="text1"/>
          <w:sz w:val="16"/>
          <w:szCs w:val="16"/>
        </w:rPr>
        <w:t>23–25 мая 1945 в седьмой атаке Кикусуи у Окинавы участвуют 165 камикадзе. 25 мая они потопили транспорт и два меньших корабля и повредили эсминец и транспорт (20371).</w:t>
      </w:r>
    </w:p>
    <w:p w14:paraId="0343E453" w14:textId="77777777" w:rsidR="00247854" w:rsidRPr="00925F26" w:rsidRDefault="00247854" w:rsidP="00925F26">
      <w:pPr>
        <w:jc w:val="both"/>
        <w:rPr>
          <w:color w:val="000000" w:themeColor="text1"/>
          <w:sz w:val="16"/>
          <w:szCs w:val="16"/>
        </w:rPr>
      </w:pPr>
    </w:p>
    <w:p w14:paraId="59102C9C" w14:textId="77777777" w:rsidR="00306988" w:rsidRPr="00925F26" w:rsidRDefault="00306988" w:rsidP="00925F26">
      <w:pPr>
        <w:jc w:val="both"/>
        <w:rPr>
          <w:color w:val="000000" w:themeColor="text1"/>
          <w:sz w:val="16"/>
          <w:szCs w:val="16"/>
        </w:rPr>
      </w:pPr>
      <w:r w:rsidRPr="00925F26">
        <w:rPr>
          <w:color w:val="000000" w:themeColor="text1"/>
          <w:sz w:val="16"/>
          <w:szCs w:val="16"/>
        </w:rPr>
        <w:t xml:space="preserve">23 мая 1945 г. поднялся в воздух </w:t>
      </w:r>
      <w:proofErr w:type="gramStart"/>
      <w:r w:rsidRPr="00925F26">
        <w:rPr>
          <w:color w:val="000000" w:themeColor="text1"/>
          <w:sz w:val="16"/>
          <w:szCs w:val="16"/>
        </w:rPr>
        <w:t>первый</w:t>
      </w:r>
      <w:proofErr w:type="gramEnd"/>
      <w:r w:rsidRPr="00925F26">
        <w:rPr>
          <w:color w:val="000000" w:themeColor="text1"/>
          <w:sz w:val="16"/>
          <w:szCs w:val="16"/>
        </w:rPr>
        <w:t xml:space="preserve"> Не 111, выпущенный в Испании - С-2.111А.</w:t>
      </w:r>
    </w:p>
    <w:p w14:paraId="5C8C512F" w14:textId="77777777" w:rsidR="00306988" w:rsidRPr="00925F26" w:rsidRDefault="00306988" w:rsidP="00925F26">
      <w:pPr>
        <w:jc w:val="both"/>
        <w:rPr>
          <w:color w:val="000000" w:themeColor="text1"/>
          <w:sz w:val="16"/>
          <w:szCs w:val="16"/>
        </w:rPr>
      </w:pPr>
      <w:r w:rsidRPr="00925F26">
        <w:rPr>
          <w:color w:val="000000" w:themeColor="text1"/>
          <w:sz w:val="16"/>
          <w:szCs w:val="16"/>
        </w:rPr>
        <w:t>В 1941 г. франкистское правитель</w:t>
      </w:r>
      <w:r w:rsidRPr="00925F26">
        <w:rPr>
          <w:color w:val="000000" w:themeColor="text1"/>
          <w:sz w:val="16"/>
          <w:szCs w:val="16"/>
        </w:rPr>
        <w:softHyphen/>
        <w:t>ство приступило к переговорам с Германи</w:t>
      </w:r>
      <w:r w:rsidRPr="00925F26">
        <w:rPr>
          <w:color w:val="000000" w:themeColor="text1"/>
          <w:sz w:val="16"/>
          <w:szCs w:val="16"/>
        </w:rPr>
        <w:softHyphen/>
        <w:t>ей о приобретении лицензии. Первоначаль</w:t>
      </w:r>
      <w:r w:rsidRPr="00925F26">
        <w:rPr>
          <w:color w:val="000000" w:themeColor="text1"/>
          <w:sz w:val="16"/>
          <w:szCs w:val="16"/>
        </w:rPr>
        <w:softHyphen/>
        <w:t>но речь шла о модификации Р, но позже ос</w:t>
      </w:r>
      <w:r w:rsidRPr="00925F26">
        <w:rPr>
          <w:color w:val="000000" w:themeColor="text1"/>
          <w:sz w:val="16"/>
          <w:szCs w:val="16"/>
        </w:rPr>
        <w:softHyphen/>
        <w:t>тановились на Н-3. Развернуть производство на заводе CASA намеревались в 1942 г., за</w:t>
      </w:r>
      <w:r w:rsidRPr="00925F26">
        <w:rPr>
          <w:color w:val="000000" w:themeColor="text1"/>
          <w:sz w:val="16"/>
          <w:szCs w:val="16"/>
        </w:rPr>
        <w:softHyphen/>
        <w:t>кончить — в 1946 г. Первая серия должна бы</w:t>
      </w:r>
      <w:r w:rsidRPr="00925F26">
        <w:rPr>
          <w:color w:val="000000" w:themeColor="text1"/>
          <w:sz w:val="16"/>
          <w:szCs w:val="16"/>
        </w:rPr>
        <w:softHyphen/>
        <w:t>ла включать половину узлов немецкого изго</w:t>
      </w:r>
      <w:r w:rsidRPr="00925F26">
        <w:rPr>
          <w:color w:val="000000" w:themeColor="text1"/>
          <w:sz w:val="16"/>
          <w:szCs w:val="16"/>
        </w:rPr>
        <w:softHyphen/>
        <w:t>товления, далее их доля должна была посте</w:t>
      </w:r>
      <w:r w:rsidRPr="00925F26">
        <w:rPr>
          <w:color w:val="000000" w:themeColor="text1"/>
          <w:sz w:val="16"/>
          <w:szCs w:val="16"/>
        </w:rPr>
        <w:softHyphen/>
        <w:t>пенно снижаться.</w:t>
      </w:r>
    </w:p>
    <w:p w14:paraId="0E13633A" w14:textId="77777777" w:rsidR="00306988" w:rsidRPr="00925F26" w:rsidRDefault="00306988" w:rsidP="00925F26">
      <w:pPr>
        <w:jc w:val="both"/>
        <w:rPr>
          <w:color w:val="000000" w:themeColor="text1"/>
          <w:sz w:val="16"/>
          <w:szCs w:val="16"/>
        </w:rPr>
      </w:pPr>
      <w:r w:rsidRPr="00925F26">
        <w:rPr>
          <w:color w:val="000000" w:themeColor="text1"/>
          <w:sz w:val="16"/>
          <w:szCs w:val="16"/>
        </w:rPr>
        <w:t>Реально от немцев в 1943 г. получили ком</w:t>
      </w:r>
      <w:r w:rsidRPr="00925F26">
        <w:rPr>
          <w:color w:val="000000" w:themeColor="text1"/>
          <w:sz w:val="16"/>
          <w:szCs w:val="16"/>
        </w:rPr>
        <w:softHyphen/>
        <w:t>плект документации на бомбардировщик ти- паН-16иодинсамолет-образец. В июле 1944 г. на родину вернулись испанские инженеры и рабочие, обучавшиеся в Ростоке. С ними прибыл немецкий консультант, инженер Зеелигер. Испанский вариант «хейнкеля» име</w:t>
      </w:r>
      <w:r w:rsidRPr="00925F26">
        <w:rPr>
          <w:color w:val="000000" w:themeColor="text1"/>
          <w:sz w:val="16"/>
          <w:szCs w:val="16"/>
        </w:rPr>
        <w:softHyphen/>
        <w:t>новался сначала H-16L, а затем С-2.111.</w:t>
      </w:r>
    </w:p>
    <w:p w14:paraId="18D251CF" w14:textId="77777777" w:rsidR="00306988" w:rsidRPr="00925F26" w:rsidRDefault="00306988" w:rsidP="00925F26">
      <w:pPr>
        <w:jc w:val="both"/>
        <w:rPr>
          <w:color w:val="000000" w:themeColor="text1"/>
          <w:sz w:val="16"/>
          <w:szCs w:val="16"/>
        </w:rPr>
      </w:pPr>
      <w:r w:rsidRPr="00925F26">
        <w:rPr>
          <w:color w:val="000000" w:themeColor="text1"/>
          <w:sz w:val="16"/>
          <w:szCs w:val="16"/>
        </w:rPr>
        <w:t>Когда испанцы принялись осваивать про</w:t>
      </w:r>
      <w:r w:rsidRPr="00925F26">
        <w:rPr>
          <w:color w:val="000000" w:themeColor="text1"/>
          <w:sz w:val="16"/>
          <w:szCs w:val="16"/>
        </w:rPr>
        <w:softHyphen/>
        <w:t>изводство, Германия уже была отрезана ар</w:t>
      </w:r>
      <w:r w:rsidRPr="00925F26">
        <w:rPr>
          <w:color w:val="000000" w:themeColor="text1"/>
          <w:sz w:val="16"/>
          <w:szCs w:val="16"/>
        </w:rPr>
        <w:softHyphen/>
        <w:t>миями союзников. Успели получить некото</w:t>
      </w:r>
      <w:r w:rsidRPr="00925F26">
        <w:rPr>
          <w:color w:val="000000" w:themeColor="text1"/>
          <w:sz w:val="16"/>
          <w:szCs w:val="16"/>
        </w:rPr>
        <w:softHyphen/>
        <w:t>рое количество моторов Jumo 211F-2 и вин</w:t>
      </w:r>
      <w:r w:rsidRPr="00925F26">
        <w:rPr>
          <w:color w:val="000000" w:themeColor="text1"/>
          <w:sz w:val="16"/>
          <w:szCs w:val="16"/>
        </w:rPr>
        <w:softHyphen/>
        <w:t>тов VS-11. Этого хватало примерно на дюжи</w:t>
      </w:r>
      <w:r w:rsidRPr="00925F26">
        <w:rPr>
          <w:color w:val="000000" w:themeColor="text1"/>
          <w:sz w:val="16"/>
          <w:szCs w:val="16"/>
        </w:rPr>
        <w:softHyphen/>
        <w:t>ну бомбардировщиков. Надежды на помощь немцев уже не оставалось, все пришлось де</w:t>
      </w:r>
      <w:r w:rsidRPr="00925F26">
        <w:rPr>
          <w:color w:val="000000" w:themeColor="text1"/>
          <w:sz w:val="16"/>
          <w:szCs w:val="16"/>
        </w:rPr>
        <w:softHyphen/>
        <w:t>лать самим. Из-за этого темпы выпуска ока</w:t>
      </w:r>
      <w:r w:rsidRPr="00925F26">
        <w:rPr>
          <w:color w:val="000000" w:themeColor="text1"/>
          <w:sz w:val="16"/>
          <w:szCs w:val="16"/>
        </w:rPr>
        <w:softHyphen/>
        <w:t>зались весьма невысокими. Часть узлов изго</w:t>
      </w:r>
      <w:r w:rsidRPr="00925F26">
        <w:rPr>
          <w:color w:val="000000" w:themeColor="text1"/>
          <w:sz w:val="16"/>
          <w:szCs w:val="16"/>
        </w:rPr>
        <w:softHyphen/>
        <w:t>товляли в Кадисе, часть — в Табладе, где и ве</w:t>
      </w:r>
      <w:r w:rsidRPr="00925F26">
        <w:rPr>
          <w:color w:val="000000" w:themeColor="text1"/>
          <w:sz w:val="16"/>
          <w:szCs w:val="16"/>
        </w:rPr>
        <w:softHyphen/>
        <w:t>ли сборку.</w:t>
      </w:r>
    </w:p>
    <w:p w14:paraId="57992C58" w14:textId="77777777" w:rsidR="00306988" w:rsidRPr="00925F26" w:rsidRDefault="00306988" w:rsidP="00925F26">
      <w:pPr>
        <w:jc w:val="both"/>
        <w:rPr>
          <w:color w:val="000000" w:themeColor="text1"/>
          <w:sz w:val="16"/>
          <w:szCs w:val="16"/>
        </w:rPr>
      </w:pPr>
      <w:r w:rsidRPr="00925F26">
        <w:rPr>
          <w:color w:val="000000" w:themeColor="text1"/>
          <w:sz w:val="16"/>
          <w:szCs w:val="16"/>
        </w:rPr>
        <w:t>Еще шесть машин сделали в 1946 г. и три — в 1947 г. В апреле 1948 г. первые десять само</w:t>
      </w:r>
      <w:r w:rsidRPr="00925F26">
        <w:rPr>
          <w:color w:val="000000" w:themeColor="text1"/>
          <w:sz w:val="16"/>
          <w:szCs w:val="16"/>
        </w:rPr>
        <w:softHyphen/>
        <w:t>летов сдали ВВС. В общей сложности к на</w:t>
      </w:r>
      <w:r w:rsidRPr="00925F26">
        <w:rPr>
          <w:color w:val="000000" w:themeColor="text1"/>
          <w:sz w:val="16"/>
          <w:szCs w:val="16"/>
        </w:rPr>
        <w:softHyphen/>
        <w:t>чалу 1950 г. собрали около 50 бомбардиров</w:t>
      </w:r>
      <w:r w:rsidRPr="00925F26">
        <w:rPr>
          <w:color w:val="000000" w:themeColor="text1"/>
          <w:sz w:val="16"/>
          <w:szCs w:val="16"/>
        </w:rPr>
        <w:softHyphen/>
        <w:t>щиков, большая часть которых так и стояла на заводском аэродроме без двигателей. Ис</w:t>
      </w:r>
      <w:r w:rsidRPr="00925F26">
        <w:rPr>
          <w:color w:val="000000" w:themeColor="text1"/>
          <w:sz w:val="16"/>
          <w:szCs w:val="16"/>
        </w:rPr>
        <w:softHyphen/>
        <w:t>панские самолеты отличались от немецких усиленными моторамами, металлическими (вместо фибровых) бензобаками и вооруже</w:t>
      </w:r>
      <w:r w:rsidRPr="00925F26">
        <w:rPr>
          <w:color w:val="000000" w:themeColor="text1"/>
          <w:sz w:val="16"/>
          <w:szCs w:val="16"/>
        </w:rPr>
        <w:softHyphen/>
        <w:t>нием из двух пулеметов MG 15 (в верхней и нижней огневых точках) и одного итальян</w:t>
      </w:r>
      <w:r w:rsidRPr="00925F26">
        <w:rPr>
          <w:color w:val="000000" w:themeColor="text1"/>
          <w:sz w:val="16"/>
          <w:szCs w:val="16"/>
        </w:rPr>
        <w:softHyphen/>
        <w:t>ского 12,7-мм пулемета «Бреда-SAFAT» — в носовой. Последние снимали со списанных итальянских бомбардировщиков. По сравне</w:t>
      </w:r>
      <w:r w:rsidRPr="00925F26">
        <w:rPr>
          <w:color w:val="000000" w:themeColor="text1"/>
          <w:sz w:val="16"/>
          <w:szCs w:val="16"/>
        </w:rPr>
        <w:softHyphen/>
        <w:t>нию с оригиналом вес пустого самолета уве</w:t>
      </w:r>
      <w:r w:rsidRPr="00925F26">
        <w:rPr>
          <w:color w:val="000000" w:themeColor="text1"/>
          <w:sz w:val="16"/>
          <w:szCs w:val="16"/>
        </w:rPr>
        <w:softHyphen/>
        <w:t>личился (в частности, за счет худшего качест</w:t>
      </w:r>
      <w:r w:rsidRPr="00925F26">
        <w:rPr>
          <w:color w:val="000000" w:themeColor="text1"/>
          <w:sz w:val="16"/>
          <w:szCs w:val="16"/>
        </w:rPr>
        <w:softHyphen/>
        <w:t>ва испанских алюминиевых сплавов), бомбо</w:t>
      </w:r>
      <w:r w:rsidRPr="00925F26">
        <w:rPr>
          <w:color w:val="000000" w:themeColor="text1"/>
          <w:sz w:val="16"/>
          <w:szCs w:val="16"/>
        </w:rPr>
        <w:softHyphen/>
        <w:t>вая нагрузка упала примерно на треть.</w:t>
      </w:r>
    </w:p>
    <w:p w14:paraId="2A470403" w14:textId="77777777" w:rsidR="00306988" w:rsidRPr="00925F26" w:rsidRDefault="00306988" w:rsidP="00925F26">
      <w:pPr>
        <w:jc w:val="both"/>
        <w:rPr>
          <w:color w:val="000000" w:themeColor="text1"/>
          <w:sz w:val="16"/>
          <w:szCs w:val="16"/>
        </w:rPr>
      </w:pPr>
      <w:r w:rsidRPr="00925F26">
        <w:rPr>
          <w:color w:val="000000" w:themeColor="text1"/>
          <w:sz w:val="16"/>
          <w:szCs w:val="16"/>
        </w:rPr>
        <w:t>Моторы и винты испанцы искали повсю</w:t>
      </w:r>
      <w:r w:rsidRPr="00925F26">
        <w:rPr>
          <w:color w:val="000000" w:themeColor="text1"/>
          <w:sz w:val="16"/>
          <w:szCs w:val="16"/>
        </w:rPr>
        <w:softHyphen/>
        <w:t>ду. В 1948 г. приобрели трофейные двигате</w:t>
      </w:r>
      <w:r w:rsidRPr="00925F26">
        <w:rPr>
          <w:color w:val="000000" w:themeColor="text1"/>
          <w:sz w:val="16"/>
          <w:szCs w:val="16"/>
        </w:rPr>
        <w:softHyphen/>
        <w:t>ли со складов в Польше; в качестве посредника выступила шведская фирма. Годом поз</w:t>
      </w:r>
      <w:r w:rsidRPr="00925F26">
        <w:rPr>
          <w:color w:val="000000" w:themeColor="text1"/>
          <w:sz w:val="16"/>
          <w:szCs w:val="16"/>
        </w:rPr>
        <w:softHyphen/>
        <w:t>же удалось купить кое-что во Франции. Все</w:t>
      </w:r>
      <w:r w:rsidRPr="00925F26">
        <w:rPr>
          <w:color w:val="000000" w:themeColor="text1"/>
          <w:sz w:val="16"/>
          <w:szCs w:val="16"/>
        </w:rPr>
        <w:softHyphen/>
        <w:t>го к 1955 г. в Испанию поступило 334 мотора Jumo211F-2. К этому времени выпустили 130 самолетов, из них немецкие двигатели уста</w:t>
      </w:r>
      <w:r w:rsidRPr="00925F26">
        <w:rPr>
          <w:color w:val="000000" w:themeColor="text1"/>
          <w:sz w:val="16"/>
          <w:szCs w:val="16"/>
        </w:rPr>
        <w:softHyphen/>
        <w:t>новили на 117.</w:t>
      </w:r>
    </w:p>
    <w:p w14:paraId="0171AAFB" w14:textId="77777777" w:rsidR="00306988" w:rsidRPr="00925F26" w:rsidRDefault="00306988" w:rsidP="00925F26">
      <w:pPr>
        <w:jc w:val="both"/>
        <w:rPr>
          <w:color w:val="000000" w:themeColor="text1"/>
          <w:sz w:val="16"/>
          <w:szCs w:val="16"/>
        </w:rPr>
      </w:pPr>
      <w:r w:rsidRPr="00925F26">
        <w:rPr>
          <w:color w:val="000000" w:themeColor="text1"/>
          <w:sz w:val="16"/>
          <w:szCs w:val="16"/>
        </w:rPr>
        <w:t>В начале 1950 г. запас импортных пропел</w:t>
      </w:r>
      <w:r w:rsidRPr="00925F26">
        <w:rPr>
          <w:color w:val="000000" w:themeColor="text1"/>
          <w:sz w:val="16"/>
          <w:szCs w:val="16"/>
        </w:rPr>
        <w:softHyphen/>
        <w:t>леров иссяк, и вместо них стали монтировать отечественные HL.302.644, тоже трехлопас</w:t>
      </w:r>
      <w:r w:rsidRPr="00925F26">
        <w:rPr>
          <w:color w:val="000000" w:themeColor="text1"/>
          <w:sz w:val="16"/>
          <w:szCs w:val="16"/>
        </w:rPr>
        <w:softHyphen/>
        <w:t>тные, но с деревянными лопастями. Втул</w:t>
      </w:r>
      <w:r w:rsidRPr="00925F26">
        <w:rPr>
          <w:color w:val="000000" w:themeColor="text1"/>
          <w:sz w:val="16"/>
          <w:szCs w:val="16"/>
        </w:rPr>
        <w:softHyphen/>
        <w:t>ка этого винта изготавливалась по лицен</w:t>
      </w:r>
      <w:r w:rsidRPr="00925F26">
        <w:rPr>
          <w:color w:val="000000" w:themeColor="text1"/>
          <w:sz w:val="16"/>
          <w:szCs w:val="16"/>
        </w:rPr>
        <w:softHyphen/>
        <w:t>зии фирмы «Гамильтон»; в старый кок она не умещалась. Сначала машины отправляли вообще без коков винтов, затем появились новые коки конической формы. Постепен</w:t>
      </w:r>
      <w:r w:rsidRPr="00925F26">
        <w:rPr>
          <w:color w:val="000000" w:themeColor="text1"/>
          <w:sz w:val="16"/>
          <w:szCs w:val="16"/>
        </w:rPr>
        <w:softHyphen/>
        <w:t>но менялась и комплектация радиооборудо</w:t>
      </w:r>
      <w:r w:rsidRPr="00925F26">
        <w:rPr>
          <w:color w:val="000000" w:themeColor="text1"/>
          <w:sz w:val="16"/>
          <w:szCs w:val="16"/>
        </w:rPr>
        <w:softHyphen/>
        <w:t>вания. Если на первых машинах стояла толь</w:t>
      </w:r>
      <w:r w:rsidRPr="00925F26">
        <w:rPr>
          <w:color w:val="000000" w:themeColor="text1"/>
          <w:sz w:val="16"/>
          <w:szCs w:val="16"/>
        </w:rPr>
        <w:softHyphen/>
        <w:t>ко одна радиостанция и единственная ра</w:t>
      </w:r>
      <w:r w:rsidRPr="00925F26">
        <w:rPr>
          <w:color w:val="000000" w:themeColor="text1"/>
          <w:sz w:val="16"/>
          <w:szCs w:val="16"/>
        </w:rPr>
        <w:softHyphen/>
        <w:t>диомачта, то позже добавили вторую рацию и радиокомпас, соответственно антенн стало больше. По оборудованию бомбардировщи</w:t>
      </w:r>
      <w:r w:rsidRPr="00925F26">
        <w:rPr>
          <w:color w:val="000000" w:themeColor="text1"/>
          <w:sz w:val="16"/>
          <w:szCs w:val="16"/>
        </w:rPr>
        <w:softHyphen/>
        <w:t>ки разделялись на варианты А-1, А-2 и А-3.</w:t>
      </w:r>
    </w:p>
    <w:p w14:paraId="00B90208" w14:textId="77777777" w:rsidR="00306988" w:rsidRPr="00925F26" w:rsidRDefault="00306988" w:rsidP="00925F26">
      <w:pPr>
        <w:jc w:val="both"/>
        <w:rPr>
          <w:color w:val="000000" w:themeColor="text1"/>
          <w:sz w:val="16"/>
          <w:szCs w:val="16"/>
        </w:rPr>
      </w:pPr>
      <w:r w:rsidRPr="00925F26">
        <w:rPr>
          <w:color w:val="000000" w:themeColor="text1"/>
          <w:sz w:val="16"/>
          <w:szCs w:val="16"/>
        </w:rPr>
        <w:t>Послевоенные бомбардировщики испан</w:t>
      </w:r>
      <w:r w:rsidRPr="00925F26">
        <w:rPr>
          <w:color w:val="000000" w:themeColor="text1"/>
          <w:sz w:val="16"/>
          <w:szCs w:val="16"/>
        </w:rPr>
        <w:softHyphen/>
        <w:t>ского производства несли старый немецкий камуфляж с остроугольными пятнами ко</w:t>
      </w:r>
      <w:r w:rsidRPr="00925F26">
        <w:rPr>
          <w:color w:val="000000" w:themeColor="text1"/>
          <w:sz w:val="16"/>
          <w:szCs w:val="16"/>
        </w:rPr>
        <w:softHyphen/>
        <w:t>ричневого, зеленого или серо-</w:t>
      </w:r>
      <w:proofErr w:type="gramStart"/>
      <w:r w:rsidRPr="00925F26">
        <w:rPr>
          <w:color w:val="000000" w:themeColor="text1"/>
          <w:sz w:val="16"/>
          <w:szCs w:val="16"/>
        </w:rPr>
        <w:t>зеленовато- го</w:t>
      </w:r>
      <w:proofErr w:type="gramEnd"/>
      <w:r w:rsidRPr="00925F26">
        <w:rPr>
          <w:color w:val="000000" w:themeColor="text1"/>
          <w:sz w:val="16"/>
          <w:szCs w:val="16"/>
        </w:rPr>
        <w:t xml:space="preserve"> цвета. Позже перешли на однотонную се</w:t>
      </w:r>
      <w:r w:rsidRPr="00925F26">
        <w:rPr>
          <w:color w:val="000000" w:themeColor="text1"/>
          <w:sz w:val="16"/>
          <w:szCs w:val="16"/>
        </w:rPr>
        <w:softHyphen/>
        <w:t>ребристую, светло-серую или светлую жел</w:t>
      </w:r>
      <w:r w:rsidRPr="00925F26">
        <w:rPr>
          <w:color w:val="000000" w:themeColor="text1"/>
          <w:sz w:val="16"/>
          <w:szCs w:val="16"/>
        </w:rPr>
        <w:softHyphen/>
        <w:t>то-зеленоватую окраску верхних поверх</w:t>
      </w:r>
      <w:r w:rsidRPr="00925F26">
        <w:rPr>
          <w:color w:val="000000" w:themeColor="text1"/>
          <w:sz w:val="16"/>
          <w:szCs w:val="16"/>
        </w:rPr>
        <w:softHyphen/>
        <w:t>ностей. Низ во всех случаях оставался свет</w:t>
      </w:r>
      <w:r w:rsidRPr="00925F26">
        <w:rPr>
          <w:color w:val="000000" w:themeColor="text1"/>
          <w:sz w:val="16"/>
          <w:szCs w:val="16"/>
        </w:rPr>
        <w:softHyphen/>
        <w:t>ло-голубым. Руль направления обязательно был белым, с косым черным крестом. Опоз</w:t>
      </w:r>
      <w:r w:rsidRPr="00925F26">
        <w:rPr>
          <w:color w:val="000000" w:themeColor="text1"/>
          <w:sz w:val="16"/>
          <w:szCs w:val="16"/>
        </w:rPr>
        <w:softHyphen/>
        <w:t>навательные знаки, красно-желто-красные кокарды, располагались на крыльях сверху и снизу и на хвостовой части фюзеляжа. На фюзеляже слева от кокарды наносили номер части, справа — номер самолета.</w:t>
      </w:r>
    </w:p>
    <w:p w14:paraId="548F8BC7" w14:textId="77777777" w:rsidR="00306988" w:rsidRPr="00925F26" w:rsidRDefault="00306988" w:rsidP="00925F26">
      <w:pPr>
        <w:jc w:val="both"/>
        <w:rPr>
          <w:color w:val="000000" w:themeColor="text1"/>
          <w:sz w:val="16"/>
          <w:szCs w:val="16"/>
        </w:rPr>
      </w:pPr>
      <w:r w:rsidRPr="00925F26">
        <w:rPr>
          <w:color w:val="000000" w:themeColor="text1"/>
          <w:sz w:val="16"/>
          <w:szCs w:val="16"/>
        </w:rPr>
        <w:t>Кроме бомбардировщиков С-2.111А (по системе обозначений ВВС — В.7, с февра</w:t>
      </w:r>
      <w:r w:rsidRPr="00925F26">
        <w:rPr>
          <w:color w:val="000000" w:themeColor="text1"/>
          <w:sz w:val="16"/>
          <w:szCs w:val="16"/>
        </w:rPr>
        <w:softHyphen/>
        <w:t>ля 1951 г. — В.2Н), с декабря 1950 г. выпус</w:t>
      </w:r>
      <w:r w:rsidRPr="00925F26">
        <w:rPr>
          <w:color w:val="000000" w:themeColor="text1"/>
          <w:sz w:val="16"/>
          <w:szCs w:val="16"/>
        </w:rPr>
        <w:softHyphen/>
        <w:t>кали транспортные С-2.11 IT (Т.8) без воору</w:t>
      </w:r>
      <w:r w:rsidRPr="00925F26">
        <w:rPr>
          <w:color w:val="000000" w:themeColor="text1"/>
          <w:sz w:val="16"/>
          <w:szCs w:val="16"/>
        </w:rPr>
        <w:softHyphen/>
        <w:t>жения, подфюзеляжной гондолы, но с вход</w:t>
      </w:r>
      <w:r w:rsidRPr="00925F26">
        <w:rPr>
          <w:color w:val="000000" w:themeColor="text1"/>
          <w:sz w:val="16"/>
          <w:szCs w:val="16"/>
        </w:rPr>
        <w:softHyphen/>
        <w:t>ной дверью на левом борту. Кресла для шес</w:t>
      </w:r>
      <w:r w:rsidRPr="00925F26">
        <w:rPr>
          <w:color w:val="000000" w:themeColor="text1"/>
          <w:sz w:val="16"/>
          <w:szCs w:val="16"/>
        </w:rPr>
        <w:softHyphen/>
        <w:t>ти пассажиров стояли двумя рядами вдоль бортов. В сентябре 1951 г. выпустили единс</w:t>
      </w:r>
      <w:r w:rsidRPr="00925F26">
        <w:rPr>
          <w:color w:val="000000" w:themeColor="text1"/>
          <w:sz w:val="16"/>
          <w:szCs w:val="16"/>
        </w:rPr>
        <w:softHyphen/>
        <w:t>твенный разведчик С-2.111С (B.2HR). Фото</w:t>
      </w:r>
      <w:r w:rsidRPr="00925F26">
        <w:rPr>
          <w:color w:val="000000" w:themeColor="text1"/>
          <w:sz w:val="16"/>
          <w:szCs w:val="16"/>
        </w:rPr>
        <w:softHyphen/>
        <w:t>камеры располагались в бомбоотсеке, бом</w:t>
      </w:r>
      <w:r w:rsidRPr="00925F26">
        <w:rPr>
          <w:color w:val="000000" w:themeColor="text1"/>
          <w:sz w:val="16"/>
          <w:szCs w:val="16"/>
        </w:rPr>
        <w:softHyphen/>
        <w:t>бовое вооружение отсутствовало. Позже со</w:t>
      </w:r>
      <w:r w:rsidRPr="00925F26">
        <w:rPr>
          <w:color w:val="000000" w:themeColor="text1"/>
          <w:sz w:val="16"/>
          <w:szCs w:val="16"/>
        </w:rPr>
        <w:softHyphen/>
        <w:t>бирали три варианта разведчика-бомбарди</w:t>
      </w:r>
      <w:r w:rsidRPr="00925F26">
        <w:rPr>
          <w:color w:val="000000" w:themeColor="text1"/>
          <w:sz w:val="16"/>
          <w:szCs w:val="16"/>
        </w:rPr>
        <w:softHyphen/>
        <w:t>ровщика (С-1, С-2 и С-3), отличавшиеся ти</w:t>
      </w:r>
      <w:r w:rsidRPr="00925F26">
        <w:rPr>
          <w:color w:val="000000" w:themeColor="text1"/>
          <w:sz w:val="16"/>
          <w:szCs w:val="16"/>
        </w:rPr>
        <w:softHyphen/>
        <w:t>пом винтов и комплектацией оборудования. У них предусматривалась возможность несе</w:t>
      </w:r>
      <w:r w:rsidRPr="00925F26">
        <w:rPr>
          <w:color w:val="000000" w:themeColor="text1"/>
          <w:sz w:val="16"/>
          <w:szCs w:val="16"/>
        </w:rPr>
        <w:softHyphen/>
        <w:t>ния уменьшенной бомбовой нагрузки. Всего изготовили 18 экземпляров. С марта 1952 г. строили также учебно-тренировочные само</w:t>
      </w:r>
      <w:r w:rsidRPr="00925F26">
        <w:rPr>
          <w:color w:val="000000" w:themeColor="text1"/>
          <w:sz w:val="16"/>
          <w:szCs w:val="16"/>
        </w:rPr>
        <w:softHyphen/>
        <w:t>леты С-2.111Е (в ВВС — тоже Т.8) с двойным управлением (24186).</w:t>
      </w:r>
    </w:p>
    <w:p w14:paraId="21F23057" w14:textId="77777777" w:rsidR="00306988" w:rsidRPr="00925F26" w:rsidRDefault="00306988" w:rsidP="00925F26">
      <w:pPr>
        <w:jc w:val="both"/>
        <w:rPr>
          <w:color w:val="000000" w:themeColor="text1"/>
          <w:sz w:val="16"/>
          <w:szCs w:val="16"/>
        </w:rPr>
      </w:pPr>
    </w:p>
    <w:p w14:paraId="2E3FB71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D609F06" w14:textId="77777777" w:rsidR="00665165" w:rsidRPr="00925F26" w:rsidRDefault="00665165" w:rsidP="00925F26">
      <w:pPr>
        <w:autoSpaceDE w:val="0"/>
        <w:autoSpaceDN w:val="0"/>
        <w:adjustRightInd w:val="0"/>
        <w:jc w:val="both"/>
        <w:rPr>
          <w:iCs/>
          <w:color w:val="000000" w:themeColor="text1"/>
          <w:sz w:val="16"/>
          <w:szCs w:val="16"/>
        </w:rPr>
      </w:pPr>
    </w:p>
    <w:p w14:paraId="5EC196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 мая 1945 го</w:t>
      </w:r>
      <w:r w:rsidRPr="00925F26">
        <w:rPr>
          <w:color w:val="000000" w:themeColor="text1"/>
          <w:sz w:val="16"/>
          <w:szCs w:val="16"/>
        </w:rPr>
        <w:softHyphen/>
        <w:t>да А.Н. Туполева писал наркому А.И. Шахурину:</w:t>
      </w:r>
    </w:p>
    <w:p w14:paraId="43B057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организации серийного производства тяжелых бомбардировщиков должен быть выделен специальный завод. Наиболее подходящим для этой цели как по своей мощности, так и по предшествующему опыту является за</w:t>
      </w:r>
      <w:r w:rsidRPr="00925F26">
        <w:rPr>
          <w:color w:val="000000" w:themeColor="text1"/>
          <w:sz w:val="16"/>
          <w:szCs w:val="16"/>
        </w:rPr>
        <w:softHyphen/>
        <w:t>вод № 22.</w:t>
      </w:r>
    </w:p>
    <w:p w14:paraId="5F0F0F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22 освобождается от постройки самолетов Пе-2 и его модификаций и на первое время полностью пе</w:t>
      </w:r>
      <w:r w:rsidRPr="00925F26">
        <w:rPr>
          <w:color w:val="000000" w:themeColor="text1"/>
          <w:sz w:val="16"/>
          <w:szCs w:val="16"/>
        </w:rPr>
        <w:softHyphen/>
        <w:t>реводится на постройку четырехмоторных Пе-8 в послед</w:t>
      </w:r>
      <w:r w:rsidRPr="00925F26">
        <w:rPr>
          <w:color w:val="000000" w:themeColor="text1"/>
          <w:sz w:val="16"/>
          <w:szCs w:val="16"/>
        </w:rPr>
        <w:softHyphen/>
        <w:t>нем их варианте с моторами АШ-82. Вся опытная база за</w:t>
      </w:r>
      <w:r w:rsidRPr="00925F26">
        <w:rPr>
          <w:color w:val="000000" w:themeColor="text1"/>
          <w:sz w:val="16"/>
          <w:szCs w:val="16"/>
        </w:rPr>
        <w:softHyphen/>
        <w:t>вода переходит на выполнение задач тяжелого самолето</w:t>
      </w:r>
      <w:r w:rsidRPr="00925F26">
        <w:rPr>
          <w:color w:val="000000" w:themeColor="text1"/>
          <w:sz w:val="16"/>
          <w:szCs w:val="16"/>
        </w:rPr>
        <w:softHyphen/>
        <w:t>строения.</w:t>
      </w:r>
    </w:p>
    <w:p w14:paraId="5FD593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Опытное конструкторское бюро тов. Незваля и конст</w:t>
      </w:r>
      <w:r w:rsidRPr="00925F26">
        <w:rPr>
          <w:color w:val="000000" w:themeColor="text1"/>
          <w:sz w:val="16"/>
          <w:szCs w:val="16"/>
        </w:rPr>
        <w:softHyphen/>
        <w:t>рукторское бюро, занимавшееся ранее самолетом Пе-2 в Казани (В.М. Мясищев), включаются в состав конструк</w:t>
      </w:r>
      <w:r w:rsidRPr="00925F26">
        <w:rPr>
          <w:color w:val="000000" w:themeColor="text1"/>
          <w:sz w:val="16"/>
          <w:szCs w:val="16"/>
        </w:rPr>
        <w:softHyphen/>
        <w:t>торского бюро Туполева. Обслуживая серийный выпуск самолетов Пе-8, эти бюро одновременно занимаются пе</w:t>
      </w:r>
      <w:r w:rsidRPr="00925F26">
        <w:rPr>
          <w:color w:val="000000" w:themeColor="text1"/>
          <w:sz w:val="16"/>
          <w:szCs w:val="16"/>
        </w:rPr>
        <w:softHyphen/>
        <w:t>реводом самолета на другие моторы. Наиболее подходя</w:t>
      </w:r>
      <w:r w:rsidRPr="00925F26">
        <w:rPr>
          <w:color w:val="000000" w:themeColor="text1"/>
          <w:sz w:val="16"/>
          <w:szCs w:val="16"/>
        </w:rPr>
        <w:softHyphen/>
        <w:t>щим является, по моему мнению, перевод на моторы АМ-42с ТК-ЗООБ. Помимо целесообразности постановки этих моторов с точки зрения улучшения летных данных самоле</w:t>
      </w:r>
      <w:r w:rsidRPr="00925F26">
        <w:rPr>
          <w:color w:val="000000" w:themeColor="text1"/>
          <w:sz w:val="16"/>
          <w:szCs w:val="16"/>
        </w:rPr>
        <w:softHyphen/>
        <w:t>та Пе-8, использование их позволит заранее проверить работу винтомоторной группы нового четырехмоторного самолета «64»...».</w:t>
      </w:r>
    </w:p>
    <w:p w14:paraId="1F9612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Интересно, что в документе нет и упоминания о ко</w:t>
      </w:r>
      <w:r w:rsidRPr="00925F26">
        <w:rPr>
          <w:color w:val="000000" w:themeColor="text1"/>
          <w:sz w:val="16"/>
          <w:szCs w:val="16"/>
        </w:rPr>
        <w:softHyphen/>
        <w:t>пировании американского бомбардировщика В-29 «Сверхкрепость». Первый намек на историю будущего Б-4 (бомбардировщик четырехмоторный) можно об</w:t>
      </w:r>
      <w:r w:rsidRPr="00925F26">
        <w:rPr>
          <w:color w:val="000000" w:themeColor="text1"/>
          <w:sz w:val="16"/>
          <w:szCs w:val="16"/>
        </w:rPr>
        <w:softHyphen/>
        <w:t>наружить в письме В.М. Мясищева А.И. Шахурину от 25 мая, т.е. на следующий день после письма Туполе</w:t>
      </w:r>
      <w:r w:rsidRPr="00925F26">
        <w:rPr>
          <w:color w:val="000000" w:themeColor="text1"/>
          <w:sz w:val="16"/>
          <w:szCs w:val="16"/>
        </w:rPr>
        <w:softHyphen/>
        <w:t>ва, где он сообщает:</w:t>
      </w:r>
    </w:p>
    <w:p w14:paraId="5B4CA4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«Вся работа по выпуску чертежей (самолета В-29. — Прим, авт.) может быть выполнена ОКБ тов. Незваля, се</w:t>
      </w:r>
      <w:r w:rsidRPr="00925F26">
        <w:rPr>
          <w:color w:val="000000" w:themeColor="text1"/>
          <w:sz w:val="16"/>
          <w:szCs w:val="16"/>
        </w:rPr>
        <w:softHyphen/>
        <w:t>рийно-конструкторским отделом и частью конструкторов нашего ОКБ, находящимися на 22-м заводе, освобожден</w:t>
      </w:r>
      <w:r w:rsidRPr="00925F26">
        <w:rPr>
          <w:color w:val="000000" w:themeColor="text1"/>
          <w:sz w:val="16"/>
          <w:szCs w:val="16"/>
        </w:rPr>
        <w:softHyphen/>
        <w:t>ными от работы по серийному Пе-2».</w:t>
      </w:r>
    </w:p>
    <w:p w14:paraId="26584C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этого, ОКБ-482 рекомендовало установить на будущий Б-4 отечественные двигатели АШ-72 и пушки Б-20 (11446).</w:t>
      </w:r>
    </w:p>
    <w:p w14:paraId="248D47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B005DF8" w14:textId="77777777" w:rsidR="006979C2" w:rsidRPr="00925F26" w:rsidRDefault="006979C2"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24 мая 1945 года А.Н. Туполева писал наркому А.И. Шахурину:</w:t>
      </w:r>
    </w:p>
    <w:p w14:paraId="3821E56F" w14:textId="77777777" w:rsidR="006979C2" w:rsidRPr="00925F26" w:rsidRDefault="006979C2" w:rsidP="00925F26">
      <w:pPr>
        <w:pStyle w:val="16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«Для организации серийного производст</w:t>
      </w:r>
      <w:r w:rsidRPr="00925F26">
        <w:rPr>
          <w:rFonts w:ascii="Times New Roman" w:hAnsi="Times New Roman"/>
          <w:color w:val="000000" w:themeColor="text1"/>
          <w:sz w:val="16"/>
          <w:szCs w:val="16"/>
        </w:rPr>
        <w:softHyphen/>
        <w:t>ва тяжелых бомбардировщиков должен быть выделен специальный завод. Наиболее подхо</w:t>
      </w:r>
      <w:r w:rsidRPr="00925F26">
        <w:rPr>
          <w:rFonts w:ascii="Times New Roman" w:hAnsi="Times New Roman"/>
          <w:color w:val="000000" w:themeColor="text1"/>
          <w:sz w:val="16"/>
          <w:szCs w:val="16"/>
        </w:rPr>
        <w:softHyphen/>
        <w:t>дящим для этой цели как по своей мощности, так и по предшествующему опыту является завод № 22.</w:t>
      </w:r>
    </w:p>
    <w:p w14:paraId="076BB436" w14:textId="77777777" w:rsidR="006979C2" w:rsidRPr="00925F26" w:rsidRDefault="006979C2" w:rsidP="00925F26">
      <w:pPr>
        <w:pStyle w:val="16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Завод № 22 освобождается от построй</w:t>
      </w:r>
      <w:r w:rsidRPr="00925F26">
        <w:rPr>
          <w:rFonts w:ascii="Times New Roman" w:hAnsi="Times New Roman"/>
          <w:color w:val="000000" w:themeColor="text1"/>
          <w:sz w:val="16"/>
          <w:szCs w:val="16"/>
        </w:rPr>
        <w:softHyphen/>
        <w:t>ки самолетов Пе-2 и его модификаций и на первое время полностью переводится на по</w:t>
      </w:r>
      <w:r w:rsidRPr="00925F26">
        <w:rPr>
          <w:rFonts w:ascii="Times New Roman" w:hAnsi="Times New Roman"/>
          <w:color w:val="000000" w:themeColor="text1"/>
          <w:sz w:val="16"/>
          <w:szCs w:val="16"/>
        </w:rPr>
        <w:softHyphen/>
        <w:t>стройку четырехмоторных Пе-8 в последнем их варианте с моторами ЛШ-82. Вся опыт</w:t>
      </w:r>
      <w:r w:rsidRPr="00925F26">
        <w:rPr>
          <w:rFonts w:ascii="Times New Roman" w:hAnsi="Times New Roman"/>
          <w:color w:val="000000" w:themeColor="text1"/>
          <w:sz w:val="16"/>
          <w:szCs w:val="16"/>
        </w:rPr>
        <w:softHyphen/>
        <w:t>ная база завода переходит на выполнение за</w:t>
      </w:r>
      <w:r w:rsidRPr="00925F26">
        <w:rPr>
          <w:rFonts w:ascii="Times New Roman" w:hAnsi="Times New Roman"/>
          <w:color w:val="000000" w:themeColor="text1"/>
          <w:sz w:val="16"/>
          <w:szCs w:val="16"/>
        </w:rPr>
        <w:softHyphen/>
        <w:t>дач тяжелого самолетостроения.</w:t>
      </w:r>
    </w:p>
    <w:p w14:paraId="49ED29C6" w14:textId="77777777" w:rsidR="006979C2" w:rsidRPr="00925F26" w:rsidRDefault="006979C2" w:rsidP="00925F26">
      <w:pPr>
        <w:pStyle w:val="161"/>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Опытное конструкторское бюро тов. Незвал</w:t>
      </w:r>
      <w:r w:rsidRPr="00925F26">
        <w:rPr>
          <w:rStyle w:val="16Candara"/>
          <w:rFonts w:ascii="Times New Roman" w:hAnsi="Times New Roman"/>
          <w:color w:val="000000" w:themeColor="text1"/>
          <w:sz w:val="16"/>
          <w:szCs w:val="16"/>
        </w:rPr>
        <w:t>ь</w:t>
      </w:r>
      <w:r w:rsidRPr="00925F26">
        <w:rPr>
          <w:rFonts w:ascii="Times New Roman" w:hAnsi="Times New Roman"/>
          <w:color w:val="000000" w:themeColor="text1"/>
          <w:sz w:val="16"/>
          <w:szCs w:val="16"/>
        </w:rPr>
        <w:t xml:space="preserve"> и конструкторское бюро, занимавшееся ранее самолетом Пе-2 в Казани (В.М. Мясищев), вкл</w:t>
      </w:r>
      <w:r w:rsidRPr="00925F26">
        <w:rPr>
          <w:rStyle w:val="16Candara"/>
          <w:rFonts w:ascii="Times New Roman" w:hAnsi="Times New Roman"/>
          <w:color w:val="000000" w:themeColor="text1"/>
          <w:sz w:val="16"/>
          <w:szCs w:val="16"/>
        </w:rPr>
        <w:t>ючаются</w:t>
      </w:r>
      <w:r w:rsidRPr="00925F26">
        <w:rPr>
          <w:rFonts w:ascii="Times New Roman" w:hAnsi="Times New Roman"/>
          <w:color w:val="000000" w:themeColor="text1"/>
          <w:sz w:val="16"/>
          <w:szCs w:val="16"/>
        </w:rPr>
        <w:t xml:space="preserve"> в состав конструкторско</w:t>
      </w:r>
      <w:r w:rsidRPr="00925F26">
        <w:rPr>
          <w:rFonts w:ascii="Times New Roman" w:hAnsi="Times New Roman"/>
          <w:color w:val="000000" w:themeColor="text1"/>
          <w:sz w:val="16"/>
          <w:szCs w:val="16"/>
        </w:rPr>
        <w:softHyphen/>
        <w:t>го бюро Туполева. Обслуживая серийный вы</w:t>
      </w:r>
      <w:r w:rsidRPr="00925F26">
        <w:rPr>
          <w:rFonts w:ascii="Times New Roman" w:hAnsi="Times New Roman"/>
          <w:color w:val="000000" w:themeColor="text1"/>
          <w:sz w:val="16"/>
          <w:szCs w:val="16"/>
        </w:rPr>
        <w:softHyphen/>
        <w:t xml:space="preserve">пуск самолетов Пе-8, эти бюро одновременно занимаются переводом самолета на другие моторы. </w:t>
      </w:r>
      <w:r w:rsidRPr="00925F26">
        <w:rPr>
          <w:rFonts w:ascii="Times New Roman" w:hAnsi="Times New Roman"/>
          <w:color w:val="000000" w:themeColor="text1"/>
          <w:sz w:val="16"/>
          <w:szCs w:val="16"/>
        </w:rPr>
        <w:lastRenderedPageBreak/>
        <w:t>Наиболее подходящим является, по моему мнению, перевод на моторы ЛМ-42 с ТК-300Б. Помимо целесообразности поста</w:t>
      </w:r>
      <w:r w:rsidRPr="00925F26">
        <w:rPr>
          <w:rFonts w:ascii="Times New Roman" w:hAnsi="Times New Roman"/>
          <w:color w:val="000000" w:themeColor="text1"/>
          <w:sz w:val="16"/>
          <w:szCs w:val="16"/>
        </w:rPr>
        <w:softHyphen/>
        <w:t>новки этих моторов с точки зрения улучше</w:t>
      </w:r>
      <w:r w:rsidRPr="00925F26">
        <w:rPr>
          <w:rFonts w:ascii="Times New Roman" w:hAnsi="Times New Roman"/>
          <w:color w:val="000000" w:themeColor="text1"/>
          <w:sz w:val="16"/>
          <w:szCs w:val="16"/>
        </w:rPr>
        <w:softHyphen/>
        <w:t>ния летных данных самолета Пе-8, использо</w:t>
      </w:r>
      <w:r w:rsidRPr="00925F26">
        <w:rPr>
          <w:rFonts w:ascii="Times New Roman" w:hAnsi="Times New Roman"/>
          <w:color w:val="000000" w:themeColor="text1"/>
          <w:sz w:val="16"/>
          <w:szCs w:val="16"/>
        </w:rPr>
        <w:softHyphen/>
        <w:t>вание их позволит заранее проверить работу винтомоторной группы нового четырехмо</w:t>
      </w:r>
      <w:r w:rsidRPr="00925F26">
        <w:rPr>
          <w:rFonts w:ascii="Times New Roman" w:hAnsi="Times New Roman"/>
          <w:color w:val="000000" w:themeColor="text1"/>
          <w:sz w:val="16"/>
          <w:szCs w:val="16"/>
        </w:rPr>
        <w:softHyphen/>
        <w:t>торного самолета «64»...».</w:t>
      </w:r>
    </w:p>
    <w:p w14:paraId="2A686693" w14:textId="77777777" w:rsidR="006979C2" w:rsidRPr="00925F26" w:rsidRDefault="006979C2"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Интересно, что в документе нет и упо</w:t>
      </w:r>
      <w:r w:rsidRPr="00925F26">
        <w:rPr>
          <w:color w:val="000000" w:themeColor="text1"/>
          <w:sz w:val="16"/>
          <w:szCs w:val="16"/>
        </w:rPr>
        <w:softHyphen/>
        <w:t>минания о копировании американского бомбардировщика В-29 «Сверхкрепость». Первый намек на историю будущего Б-4 (бомбардировщик-четырехмоторный) мож</w:t>
      </w:r>
      <w:r w:rsidRPr="00925F26">
        <w:rPr>
          <w:color w:val="000000" w:themeColor="text1"/>
          <w:sz w:val="16"/>
          <w:szCs w:val="16"/>
        </w:rPr>
        <w:softHyphen/>
        <w:t>но обнаружить в письме В.М. Мясишева на</w:t>
      </w:r>
      <w:r w:rsidRPr="00925F26">
        <w:rPr>
          <w:color w:val="000000" w:themeColor="text1"/>
          <w:sz w:val="16"/>
          <w:szCs w:val="16"/>
        </w:rPr>
        <w:softHyphen/>
        <w:t>ркому А.И. Шахурину от 25 мая (12292).</w:t>
      </w:r>
    </w:p>
    <w:p w14:paraId="0233E07C" w14:textId="77777777" w:rsidR="006979C2" w:rsidRPr="00925F26" w:rsidRDefault="006979C2" w:rsidP="00925F26">
      <w:pPr>
        <w:pStyle w:val="92"/>
        <w:shd w:val="clear" w:color="auto" w:fill="auto"/>
        <w:spacing w:after="0" w:line="240" w:lineRule="auto"/>
        <w:ind w:firstLine="0"/>
        <w:jc w:val="both"/>
        <w:rPr>
          <w:color w:val="000000" w:themeColor="text1"/>
          <w:sz w:val="16"/>
          <w:szCs w:val="16"/>
        </w:rPr>
      </w:pPr>
    </w:p>
    <w:p w14:paraId="1B37A8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24 мая 1945 </w:t>
      </w:r>
      <w:proofErr w:type="gramStart"/>
      <w:r w:rsidRPr="00925F26">
        <w:rPr>
          <w:color w:val="000000" w:themeColor="text1"/>
          <w:sz w:val="16"/>
          <w:szCs w:val="16"/>
        </w:rPr>
        <w:t>года, после того, как</w:t>
      </w:r>
      <w:proofErr w:type="gramEnd"/>
      <w:r w:rsidRPr="00925F26">
        <w:rPr>
          <w:color w:val="000000" w:themeColor="text1"/>
          <w:sz w:val="16"/>
          <w:szCs w:val="16"/>
        </w:rPr>
        <w:t xml:space="preserve"> с 11 по 21 мая 1945 в ОКБ занимались доводкой машины Як-3Т, приступили к заводским летным испытаниям.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414EAE18" w14:textId="77777777" w:rsidR="00665165" w:rsidRPr="00925F26" w:rsidRDefault="00665165" w:rsidP="00925F26">
      <w:pPr>
        <w:autoSpaceDE w:val="0"/>
        <w:autoSpaceDN w:val="0"/>
        <w:adjustRightInd w:val="0"/>
        <w:jc w:val="both"/>
        <w:rPr>
          <w:color w:val="000000" w:themeColor="text1"/>
          <w:sz w:val="16"/>
          <w:szCs w:val="16"/>
        </w:rPr>
      </w:pPr>
    </w:p>
    <w:p w14:paraId="3A94A34C" w14:textId="77777777" w:rsidR="00736BA6" w:rsidRPr="001A0BAA" w:rsidRDefault="00736BA6" w:rsidP="00736BA6">
      <w:pPr>
        <w:jc w:val="both"/>
        <w:rPr>
          <w:color w:val="0070C0"/>
          <w:sz w:val="16"/>
          <w:szCs w:val="16"/>
        </w:rPr>
      </w:pPr>
      <w:r w:rsidRPr="001A0BAA">
        <w:rPr>
          <w:color w:val="0070C0"/>
          <w:sz w:val="16"/>
          <w:szCs w:val="16"/>
        </w:rPr>
        <w:t>24 мая 1945 г. группа Победоносцева приехала в Пенемюнде. Среди её членов был зам. начальника НИИ-1 профессор Генрих Абрамович. Задачей комиссии был сбор информации о ракетопланах, реактивных самолетах, управляемых авиабомбах с ракетными ускорителями (24989).</w:t>
      </w:r>
    </w:p>
    <w:p w14:paraId="7349798A" w14:textId="77777777" w:rsidR="00736BA6" w:rsidRPr="001A0BAA" w:rsidRDefault="00736BA6" w:rsidP="00736BA6">
      <w:pPr>
        <w:jc w:val="both"/>
        <w:rPr>
          <w:color w:val="0070C0"/>
          <w:sz w:val="16"/>
          <w:szCs w:val="16"/>
        </w:rPr>
      </w:pPr>
    </w:p>
    <w:p w14:paraId="0279B6E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2694EEC" w14:textId="77777777" w:rsidR="00665165" w:rsidRPr="00925F26" w:rsidRDefault="00665165" w:rsidP="00925F26">
      <w:pPr>
        <w:autoSpaceDE w:val="0"/>
        <w:autoSpaceDN w:val="0"/>
        <w:adjustRightInd w:val="0"/>
        <w:jc w:val="both"/>
        <w:rPr>
          <w:iCs/>
          <w:color w:val="000000" w:themeColor="text1"/>
          <w:sz w:val="16"/>
          <w:szCs w:val="16"/>
        </w:rPr>
      </w:pPr>
    </w:p>
    <w:p w14:paraId="5EC62FCD" w14:textId="77777777" w:rsidR="00736BA6" w:rsidRPr="001A0BAA" w:rsidRDefault="00736BA6" w:rsidP="00736BA6">
      <w:pPr>
        <w:jc w:val="both"/>
        <w:rPr>
          <w:color w:val="0070C0"/>
          <w:sz w:val="16"/>
          <w:szCs w:val="16"/>
        </w:rPr>
      </w:pPr>
      <w:r w:rsidRPr="001A0BAA">
        <w:rPr>
          <w:color w:val="0070C0"/>
          <w:sz w:val="16"/>
          <w:szCs w:val="16"/>
        </w:rPr>
        <w:t>По состоянию на 24 мая на ЧКЗ были изготовлены 29 танков ИС-3, из которых только 17 машин прошли заводскую обкатку.</w:t>
      </w:r>
    </w:p>
    <w:p w14:paraId="7424B232" w14:textId="77777777" w:rsidR="00736BA6" w:rsidRPr="001A0BAA" w:rsidRDefault="00736BA6" w:rsidP="00736BA6">
      <w:pPr>
        <w:jc w:val="both"/>
        <w:rPr>
          <w:color w:val="0070C0"/>
          <w:sz w:val="16"/>
          <w:szCs w:val="16"/>
        </w:rPr>
      </w:pPr>
      <w:r w:rsidRPr="001A0BAA">
        <w:rPr>
          <w:color w:val="0070C0"/>
          <w:sz w:val="16"/>
          <w:szCs w:val="16"/>
        </w:rPr>
        <w:t>Танк ИС-3 находился в серийном производ</w:t>
      </w:r>
      <w:r w:rsidRPr="001A0BAA">
        <w:rPr>
          <w:color w:val="0070C0"/>
          <w:sz w:val="16"/>
          <w:szCs w:val="16"/>
        </w:rPr>
        <w:softHyphen/>
        <w:t>стве до середины 1946 года (в 1945 году какое-то время вместе с ИС-2).</w:t>
      </w:r>
    </w:p>
    <w:p w14:paraId="3ED5297E" w14:textId="77777777" w:rsidR="00736BA6" w:rsidRPr="001A0BAA" w:rsidRDefault="00736BA6" w:rsidP="00736BA6">
      <w:pPr>
        <w:pStyle w:val="45"/>
        <w:spacing w:before="0" w:line="240" w:lineRule="auto"/>
        <w:jc w:val="both"/>
        <w:rPr>
          <w:rFonts w:ascii="Times New Roman" w:cs="Times New Roman"/>
          <w:color w:val="0070C0"/>
          <w:sz w:val="16"/>
          <w:szCs w:val="16"/>
        </w:rPr>
      </w:pPr>
      <w:r w:rsidRPr="001A0BAA">
        <w:rPr>
          <w:rFonts w:ascii="Times New Roman" w:cs="Times New Roman"/>
          <w:color w:val="0070C0"/>
          <w:sz w:val="16"/>
          <w:szCs w:val="16"/>
        </w:rPr>
        <w:t>Производство танка ИС-3 в 1945 — 1946 годах</w:t>
      </w:r>
    </w:p>
    <w:tbl>
      <w:tblPr>
        <w:tblOverlap w:val="never"/>
        <w:tblW w:w="0" w:type="auto"/>
        <w:tblLayout w:type="fixed"/>
        <w:tblCellMar>
          <w:left w:w="10" w:type="dxa"/>
          <w:right w:w="10" w:type="dxa"/>
        </w:tblCellMar>
        <w:tblLook w:val="0000" w:firstRow="0" w:lastRow="0" w:firstColumn="0" w:lastColumn="0" w:noHBand="0" w:noVBand="0"/>
      </w:tblPr>
      <w:tblGrid>
        <w:gridCol w:w="403"/>
        <w:gridCol w:w="422"/>
        <w:gridCol w:w="427"/>
        <w:gridCol w:w="422"/>
        <w:gridCol w:w="427"/>
        <w:gridCol w:w="427"/>
        <w:gridCol w:w="422"/>
        <w:gridCol w:w="427"/>
        <w:gridCol w:w="422"/>
        <w:gridCol w:w="427"/>
        <w:gridCol w:w="427"/>
        <w:gridCol w:w="422"/>
        <w:gridCol w:w="427"/>
        <w:gridCol w:w="422"/>
        <w:gridCol w:w="427"/>
        <w:gridCol w:w="422"/>
        <w:gridCol w:w="749"/>
      </w:tblGrid>
      <w:tr w:rsidR="00736BA6" w:rsidRPr="001A0BAA" w14:paraId="245D5475" w14:textId="77777777" w:rsidTr="00736BA6">
        <w:trPr>
          <w:trHeight w:hRule="exact" w:val="206"/>
        </w:trPr>
        <w:tc>
          <w:tcPr>
            <w:tcW w:w="3799" w:type="dxa"/>
            <w:gridSpan w:val="9"/>
            <w:tcBorders>
              <w:top w:val="single" w:sz="4" w:space="0" w:color="auto"/>
              <w:left w:val="single" w:sz="4" w:space="0" w:color="auto"/>
            </w:tcBorders>
            <w:shd w:val="clear" w:color="auto" w:fill="FFFFFF"/>
            <w:vAlign w:val="bottom"/>
          </w:tcPr>
          <w:p w14:paraId="12A58E09"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1945</w:t>
            </w:r>
          </w:p>
        </w:tc>
        <w:tc>
          <w:tcPr>
            <w:tcW w:w="2974" w:type="dxa"/>
            <w:gridSpan w:val="7"/>
            <w:tcBorders>
              <w:top w:val="single" w:sz="4" w:space="0" w:color="auto"/>
              <w:left w:val="single" w:sz="4" w:space="0" w:color="auto"/>
            </w:tcBorders>
            <w:shd w:val="clear" w:color="auto" w:fill="FFFFFF"/>
            <w:vAlign w:val="bottom"/>
          </w:tcPr>
          <w:p w14:paraId="744698C7"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1946</w:t>
            </w:r>
          </w:p>
        </w:tc>
        <w:tc>
          <w:tcPr>
            <w:tcW w:w="749" w:type="dxa"/>
            <w:vMerge w:val="restart"/>
            <w:tcBorders>
              <w:top w:val="single" w:sz="4" w:space="0" w:color="auto"/>
              <w:left w:val="single" w:sz="4" w:space="0" w:color="auto"/>
              <w:right w:val="single" w:sz="4" w:space="0" w:color="auto"/>
            </w:tcBorders>
            <w:shd w:val="clear" w:color="auto" w:fill="FFFFFF"/>
            <w:vAlign w:val="center"/>
          </w:tcPr>
          <w:p w14:paraId="535FFC42" w14:textId="77777777" w:rsidR="00736BA6" w:rsidRPr="001A0BAA" w:rsidRDefault="00736BA6" w:rsidP="00B56A2A">
            <w:pPr>
              <w:pStyle w:val="afff8"/>
              <w:ind w:right="200"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Всего</w:t>
            </w:r>
          </w:p>
        </w:tc>
      </w:tr>
      <w:tr w:rsidR="00736BA6" w:rsidRPr="001A0BAA" w14:paraId="2C1E8E6D" w14:textId="77777777" w:rsidTr="00736BA6">
        <w:trPr>
          <w:trHeight w:hRule="exact" w:val="226"/>
        </w:trPr>
        <w:tc>
          <w:tcPr>
            <w:tcW w:w="403" w:type="dxa"/>
            <w:tcBorders>
              <w:top w:val="single" w:sz="4" w:space="0" w:color="auto"/>
              <w:left w:val="single" w:sz="4" w:space="0" w:color="auto"/>
            </w:tcBorders>
            <w:shd w:val="clear" w:color="auto" w:fill="FFFFFF"/>
            <w:vAlign w:val="bottom"/>
          </w:tcPr>
          <w:p w14:paraId="2B7DD63C"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IV</w:t>
            </w:r>
          </w:p>
        </w:tc>
        <w:tc>
          <w:tcPr>
            <w:tcW w:w="422" w:type="dxa"/>
            <w:tcBorders>
              <w:top w:val="single" w:sz="4" w:space="0" w:color="auto"/>
              <w:left w:val="single" w:sz="4" w:space="0" w:color="auto"/>
            </w:tcBorders>
            <w:shd w:val="clear" w:color="auto" w:fill="FFFFFF"/>
            <w:vAlign w:val="bottom"/>
          </w:tcPr>
          <w:p w14:paraId="15908B73"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w:t>
            </w:r>
          </w:p>
        </w:tc>
        <w:tc>
          <w:tcPr>
            <w:tcW w:w="427" w:type="dxa"/>
            <w:tcBorders>
              <w:top w:val="single" w:sz="4" w:space="0" w:color="auto"/>
              <w:left w:val="single" w:sz="4" w:space="0" w:color="auto"/>
            </w:tcBorders>
            <w:shd w:val="clear" w:color="auto" w:fill="FFFFFF"/>
            <w:vAlign w:val="bottom"/>
          </w:tcPr>
          <w:p w14:paraId="65427179"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VI</w:t>
            </w:r>
          </w:p>
        </w:tc>
        <w:tc>
          <w:tcPr>
            <w:tcW w:w="422" w:type="dxa"/>
            <w:tcBorders>
              <w:top w:val="single" w:sz="4" w:space="0" w:color="auto"/>
              <w:left w:val="single" w:sz="4" w:space="0" w:color="auto"/>
            </w:tcBorders>
            <w:shd w:val="clear" w:color="auto" w:fill="FFFFFF"/>
            <w:vAlign w:val="bottom"/>
          </w:tcPr>
          <w:p w14:paraId="41081FB9"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VII</w:t>
            </w:r>
          </w:p>
        </w:tc>
        <w:tc>
          <w:tcPr>
            <w:tcW w:w="427" w:type="dxa"/>
            <w:tcBorders>
              <w:top w:val="single" w:sz="4" w:space="0" w:color="auto"/>
              <w:left w:val="single" w:sz="4" w:space="0" w:color="auto"/>
            </w:tcBorders>
            <w:shd w:val="clear" w:color="auto" w:fill="FFFFFF"/>
            <w:vAlign w:val="bottom"/>
          </w:tcPr>
          <w:p w14:paraId="6FB5E434"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VIII</w:t>
            </w:r>
          </w:p>
        </w:tc>
        <w:tc>
          <w:tcPr>
            <w:tcW w:w="427" w:type="dxa"/>
            <w:tcBorders>
              <w:top w:val="single" w:sz="4" w:space="0" w:color="auto"/>
              <w:left w:val="single" w:sz="4" w:space="0" w:color="auto"/>
            </w:tcBorders>
            <w:shd w:val="clear" w:color="auto" w:fill="FFFFFF"/>
            <w:vAlign w:val="bottom"/>
          </w:tcPr>
          <w:p w14:paraId="3000A397"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IX</w:t>
            </w:r>
          </w:p>
        </w:tc>
        <w:tc>
          <w:tcPr>
            <w:tcW w:w="422" w:type="dxa"/>
            <w:tcBorders>
              <w:top w:val="single" w:sz="4" w:space="0" w:color="auto"/>
              <w:left w:val="single" w:sz="4" w:space="0" w:color="auto"/>
            </w:tcBorders>
            <w:shd w:val="clear" w:color="auto" w:fill="FFFFFF"/>
            <w:vAlign w:val="bottom"/>
          </w:tcPr>
          <w:p w14:paraId="2390A5B5"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X</w:t>
            </w:r>
          </w:p>
        </w:tc>
        <w:tc>
          <w:tcPr>
            <w:tcW w:w="427" w:type="dxa"/>
            <w:tcBorders>
              <w:top w:val="single" w:sz="4" w:space="0" w:color="auto"/>
              <w:left w:val="single" w:sz="4" w:space="0" w:color="auto"/>
            </w:tcBorders>
            <w:shd w:val="clear" w:color="auto" w:fill="FFFFFF"/>
            <w:vAlign w:val="bottom"/>
          </w:tcPr>
          <w:p w14:paraId="7F31E006"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XI</w:t>
            </w:r>
          </w:p>
        </w:tc>
        <w:tc>
          <w:tcPr>
            <w:tcW w:w="422" w:type="dxa"/>
            <w:tcBorders>
              <w:top w:val="single" w:sz="4" w:space="0" w:color="auto"/>
              <w:left w:val="single" w:sz="4" w:space="0" w:color="auto"/>
            </w:tcBorders>
            <w:shd w:val="clear" w:color="auto" w:fill="FFFFFF"/>
            <w:vAlign w:val="bottom"/>
          </w:tcPr>
          <w:p w14:paraId="376C4D20"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XII</w:t>
            </w:r>
          </w:p>
        </w:tc>
        <w:tc>
          <w:tcPr>
            <w:tcW w:w="427" w:type="dxa"/>
            <w:tcBorders>
              <w:top w:val="single" w:sz="4" w:space="0" w:color="auto"/>
              <w:left w:val="single" w:sz="4" w:space="0" w:color="auto"/>
            </w:tcBorders>
            <w:shd w:val="clear" w:color="auto" w:fill="FFFFFF"/>
            <w:vAlign w:val="bottom"/>
          </w:tcPr>
          <w:p w14:paraId="50D7A3B5"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I</w:t>
            </w:r>
          </w:p>
        </w:tc>
        <w:tc>
          <w:tcPr>
            <w:tcW w:w="427" w:type="dxa"/>
            <w:tcBorders>
              <w:top w:val="single" w:sz="4" w:space="0" w:color="auto"/>
              <w:left w:val="single" w:sz="4" w:space="0" w:color="auto"/>
            </w:tcBorders>
            <w:shd w:val="clear" w:color="auto" w:fill="FFFFFF"/>
            <w:vAlign w:val="bottom"/>
          </w:tcPr>
          <w:p w14:paraId="7BB043D9"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II</w:t>
            </w:r>
          </w:p>
        </w:tc>
        <w:tc>
          <w:tcPr>
            <w:tcW w:w="422" w:type="dxa"/>
            <w:tcBorders>
              <w:top w:val="single" w:sz="4" w:space="0" w:color="auto"/>
              <w:left w:val="single" w:sz="4" w:space="0" w:color="auto"/>
            </w:tcBorders>
            <w:shd w:val="clear" w:color="auto" w:fill="FFFFFF"/>
            <w:vAlign w:val="bottom"/>
          </w:tcPr>
          <w:p w14:paraId="3427C7A8"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III</w:t>
            </w:r>
          </w:p>
        </w:tc>
        <w:tc>
          <w:tcPr>
            <w:tcW w:w="427" w:type="dxa"/>
            <w:tcBorders>
              <w:top w:val="single" w:sz="4" w:space="0" w:color="auto"/>
              <w:left w:val="single" w:sz="4" w:space="0" w:color="auto"/>
            </w:tcBorders>
            <w:shd w:val="clear" w:color="auto" w:fill="FFFFFF"/>
            <w:vAlign w:val="bottom"/>
          </w:tcPr>
          <w:p w14:paraId="75233A31"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IV</w:t>
            </w:r>
          </w:p>
        </w:tc>
        <w:tc>
          <w:tcPr>
            <w:tcW w:w="422" w:type="dxa"/>
            <w:tcBorders>
              <w:top w:val="single" w:sz="4" w:space="0" w:color="auto"/>
              <w:left w:val="single" w:sz="4" w:space="0" w:color="auto"/>
            </w:tcBorders>
            <w:shd w:val="clear" w:color="auto" w:fill="FFFFFF"/>
            <w:vAlign w:val="bottom"/>
          </w:tcPr>
          <w:p w14:paraId="637C528C"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w:t>
            </w:r>
          </w:p>
        </w:tc>
        <w:tc>
          <w:tcPr>
            <w:tcW w:w="427" w:type="dxa"/>
            <w:tcBorders>
              <w:top w:val="single" w:sz="4" w:space="0" w:color="auto"/>
              <w:left w:val="single" w:sz="4" w:space="0" w:color="auto"/>
            </w:tcBorders>
            <w:shd w:val="clear" w:color="auto" w:fill="FFFFFF"/>
            <w:vAlign w:val="bottom"/>
          </w:tcPr>
          <w:p w14:paraId="3377C2AA"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VI</w:t>
            </w:r>
          </w:p>
        </w:tc>
        <w:tc>
          <w:tcPr>
            <w:tcW w:w="422" w:type="dxa"/>
            <w:tcBorders>
              <w:top w:val="single" w:sz="4" w:space="0" w:color="auto"/>
              <w:left w:val="single" w:sz="4" w:space="0" w:color="auto"/>
            </w:tcBorders>
            <w:shd w:val="clear" w:color="auto" w:fill="FFFFFF"/>
            <w:vAlign w:val="bottom"/>
          </w:tcPr>
          <w:p w14:paraId="1473CCA0"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VII</w:t>
            </w:r>
          </w:p>
        </w:tc>
        <w:tc>
          <w:tcPr>
            <w:tcW w:w="749" w:type="dxa"/>
            <w:vMerge/>
            <w:tcBorders>
              <w:left w:val="single" w:sz="4" w:space="0" w:color="auto"/>
              <w:right w:val="single" w:sz="4" w:space="0" w:color="auto"/>
            </w:tcBorders>
            <w:shd w:val="clear" w:color="auto" w:fill="FFFFFF"/>
            <w:vAlign w:val="center"/>
          </w:tcPr>
          <w:p w14:paraId="397DD9F0" w14:textId="77777777" w:rsidR="00736BA6" w:rsidRPr="001A0BAA" w:rsidRDefault="00736BA6" w:rsidP="00B56A2A">
            <w:pPr>
              <w:jc w:val="both"/>
              <w:rPr>
                <w:color w:val="0070C0"/>
                <w:sz w:val="16"/>
                <w:szCs w:val="16"/>
              </w:rPr>
            </w:pPr>
          </w:p>
        </w:tc>
      </w:tr>
      <w:tr w:rsidR="00736BA6" w:rsidRPr="001A0BAA" w14:paraId="76C24628" w14:textId="77777777" w:rsidTr="00736BA6">
        <w:trPr>
          <w:trHeight w:hRule="exact" w:val="235"/>
        </w:trPr>
        <w:tc>
          <w:tcPr>
            <w:tcW w:w="403" w:type="dxa"/>
            <w:tcBorders>
              <w:top w:val="single" w:sz="4" w:space="0" w:color="auto"/>
              <w:left w:val="single" w:sz="4" w:space="0" w:color="auto"/>
              <w:bottom w:val="single" w:sz="4" w:space="0" w:color="auto"/>
            </w:tcBorders>
            <w:shd w:val="clear" w:color="auto" w:fill="FFFFFF"/>
            <w:vAlign w:val="bottom"/>
          </w:tcPr>
          <w:p w14:paraId="2B4AB4F4"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25</w:t>
            </w:r>
          </w:p>
        </w:tc>
        <w:tc>
          <w:tcPr>
            <w:tcW w:w="422" w:type="dxa"/>
            <w:tcBorders>
              <w:top w:val="single" w:sz="4" w:space="0" w:color="auto"/>
              <w:left w:val="single" w:sz="4" w:space="0" w:color="auto"/>
              <w:bottom w:val="single" w:sz="4" w:space="0" w:color="auto"/>
            </w:tcBorders>
            <w:shd w:val="clear" w:color="auto" w:fill="FFFFFF"/>
            <w:vAlign w:val="bottom"/>
          </w:tcPr>
          <w:p w14:paraId="6C0CC7CF"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100</w:t>
            </w:r>
          </w:p>
        </w:tc>
        <w:tc>
          <w:tcPr>
            <w:tcW w:w="427" w:type="dxa"/>
            <w:tcBorders>
              <w:top w:val="single" w:sz="4" w:space="0" w:color="auto"/>
              <w:left w:val="single" w:sz="4" w:space="0" w:color="auto"/>
              <w:bottom w:val="single" w:sz="4" w:space="0" w:color="auto"/>
            </w:tcBorders>
            <w:shd w:val="clear" w:color="auto" w:fill="FFFFFF"/>
            <w:vAlign w:val="bottom"/>
          </w:tcPr>
          <w:p w14:paraId="415A41DE"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250</w:t>
            </w:r>
          </w:p>
        </w:tc>
        <w:tc>
          <w:tcPr>
            <w:tcW w:w="422" w:type="dxa"/>
            <w:tcBorders>
              <w:top w:val="single" w:sz="4" w:space="0" w:color="auto"/>
              <w:left w:val="single" w:sz="4" w:space="0" w:color="auto"/>
              <w:bottom w:val="single" w:sz="4" w:space="0" w:color="auto"/>
            </w:tcBorders>
            <w:shd w:val="clear" w:color="auto" w:fill="FFFFFF"/>
            <w:vAlign w:val="bottom"/>
          </w:tcPr>
          <w:p w14:paraId="3E9DAA41"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250</w:t>
            </w:r>
          </w:p>
        </w:tc>
        <w:tc>
          <w:tcPr>
            <w:tcW w:w="427" w:type="dxa"/>
            <w:tcBorders>
              <w:top w:val="single" w:sz="4" w:space="0" w:color="auto"/>
              <w:left w:val="single" w:sz="4" w:space="0" w:color="auto"/>
              <w:bottom w:val="single" w:sz="4" w:space="0" w:color="auto"/>
            </w:tcBorders>
            <w:shd w:val="clear" w:color="auto" w:fill="FFFFFF"/>
            <w:vAlign w:val="bottom"/>
          </w:tcPr>
          <w:p w14:paraId="419959D4"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250</w:t>
            </w:r>
          </w:p>
        </w:tc>
        <w:tc>
          <w:tcPr>
            <w:tcW w:w="427" w:type="dxa"/>
            <w:tcBorders>
              <w:top w:val="single" w:sz="4" w:space="0" w:color="auto"/>
              <w:left w:val="single" w:sz="4" w:space="0" w:color="auto"/>
              <w:bottom w:val="single" w:sz="4" w:space="0" w:color="auto"/>
            </w:tcBorders>
            <w:shd w:val="clear" w:color="auto" w:fill="FFFFFF"/>
            <w:vAlign w:val="bottom"/>
          </w:tcPr>
          <w:p w14:paraId="3317E82B"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230</w:t>
            </w:r>
          </w:p>
        </w:tc>
        <w:tc>
          <w:tcPr>
            <w:tcW w:w="422" w:type="dxa"/>
            <w:tcBorders>
              <w:top w:val="single" w:sz="4" w:space="0" w:color="auto"/>
              <w:left w:val="single" w:sz="4" w:space="0" w:color="auto"/>
              <w:bottom w:val="single" w:sz="4" w:space="0" w:color="auto"/>
            </w:tcBorders>
            <w:shd w:val="clear" w:color="auto" w:fill="FFFFFF"/>
            <w:vAlign w:val="bottom"/>
          </w:tcPr>
          <w:p w14:paraId="37327E68"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200</w:t>
            </w:r>
          </w:p>
        </w:tc>
        <w:tc>
          <w:tcPr>
            <w:tcW w:w="427" w:type="dxa"/>
            <w:tcBorders>
              <w:top w:val="single" w:sz="4" w:space="0" w:color="auto"/>
              <w:left w:val="single" w:sz="4" w:space="0" w:color="auto"/>
              <w:bottom w:val="single" w:sz="4" w:space="0" w:color="auto"/>
            </w:tcBorders>
            <w:shd w:val="clear" w:color="auto" w:fill="FFFFFF"/>
            <w:vAlign w:val="bottom"/>
          </w:tcPr>
          <w:p w14:paraId="27282BE2"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125</w:t>
            </w:r>
          </w:p>
        </w:tc>
        <w:tc>
          <w:tcPr>
            <w:tcW w:w="422" w:type="dxa"/>
            <w:tcBorders>
              <w:top w:val="single" w:sz="4" w:space="0" w:color="auto"/>
              <w:left w:val="single" w:sz="4" w:space="0" w:color="auto"/>
              <w:bottom w:val="single" w:sz="4" w:space="0" w:color="auto"/>
            </w:tcBorders>
            <w:shd w:val="clear" w:color="auto" w:fill="FFFFFF"/>
            <w:vAlign w:val="bottom"/>
          </w:tcPr>
          <w:p w14:paraId="4B28373F"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275</w:t>
            </w:r>
          </w:p>
        </w:tc>
        <w:tc>
          <w:tcPr>
            <w:tcW w:w="427" w:type="dxa"/>
            <w:tcBorders>
              <w:top w:val="single" w:sz="4" w:space="0" w:color="auto"/>
              <w:left w:val="single" w:sz="4" w:space="0" w:color="auto"/>
              <w:bottom w:val="single" w:sz="4" w:space="0" w:color="auto"/>
            </w:tcBorders>
            <w:shd w:val="clear" w:color="auto" w:fill="FFFFFF"/>
            <w:vAlign w:val="bottom"/>
          </w:tcPr>
          <w:p w14:paraId="60DC43ED"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100</w:t>
            </w:r>
          </w:p>
        </w:tc>
        <w:tc>
          <w:tcPr>
            <w:tcW w:w="427" w:type="dxa"/>
            <w:tcBorders>
              <w:top w:val="single" w:sz="4" w:space="0" w:color="auto"/>
              <w:left w:val="single" w:sz="4" w:space="0" w:color="auto"/>
              <w:bottom w:val="single" w:sz="4" w:space="0" w:color="auto"/>
            </w:tcBorders>
            <w:shd w:val="clear" w:color="auto" w:fill="FFFFFF"/>
            <w:vAlign w:val="bottom"/>
          </w:tcPr>
          <w:p w14:paraId="7D26C558"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120</w:t>
            </w:r>
          </w:p>
        </w:tc>
        <w:tc>
          <w:tcPr>
            <w:tcW w:w="422" w:type="dxa"/>
            <w:tcBorders>
              <w:top w:val="single" w:sz="4" w:space="0" w:color="auto"/>
              <w:left w:val="single" w:sz="4" w:space="0" w:color="auto"/>
              <w:bottom w:val="single" w:sz="4" w:space="0" w:color="auto"/>
            </w:tcBorders>
            <w:shd w:val="clear" w:color="auto" w:fill="FFFFFF"/>
            <w:vAlign w:val="bottom"/>
          </w:tcPr>
          <w:p w14:paraId="536DB089"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130</w:t>
            </w:r>
          </w:p>
        </w:tc>
        <w:tc>
          <w:tcPr>
            <w:tcW w:w="427" w:type="dxa"/>
            <w:tcBorders>
              <w:top w:val="single" w:sz="4" w:space="0" w:color="auto"/>
              <w:left w:val="single" w:sz="4" w:space="0" w:color="auto"/>
              <w:bottom w:val="single" w:sz="4" w:space="0" w:color="auto"/>
            </w:tcBorders>
            <w:shd w:val="clear" w:color="auto" w:fill="FFFFFF"/>
            <w:vAlign w:val="bottom"/>
          </w:tcPr>
          <w:p w14:paraId="321A6371"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60</w:t>
            </w:r>
          </w:p>
        </w:tc>
        <w:tc>
          <w:tcPr>
            <w:tcW w:w="422" w:type="dxa"/>
            <w:tcBorders>
              <w:top w:val="single" w:sz="4" w:space="0" w:color="auto"/>
              <w:left w:val="single" w:sz="4" w:space="0" w:color="auto"/>
              <w:bottom w:val="single" w:sz="4" w:space="0" w:color="auto"/>
            </w:tcBorders>
            <w:shd w:val="clear" w:color="auto" w:fill="FFFFFF"/>
            <w:vAlign w:val="bottom"/>
          </w:tcPr>
          <w:p w14:paraId="3965C091"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90</w:t>
            </w:r>
          </w:p>
        </w:tc>
        <w:tc>
          <w:tcPr>
            <w:tcW w:w="427" w:type="dxa"/>
            <w:tcBorders>
              <w:top w:val="single" w:sz="4" w:space="0" w:color="auto"/>
              <w:left w:val="single" w:sz="4" w:space="0" w:color="auto"/>
              <w:bottom w:val="single" w:sz="4" w:space="0" w:color="auto"/>
            </w:tcBorders>
            <w:shd w:val="clear" w:color="auto" w:fill="FFFFFF"/>
            <w:vAlign w:val="bottom"/>
          </w:tcPr>
          <w:p w14:paraId="0F993E57"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75</w:t>
            </w:r>
          </w:p>
        </w:tc>
        <w:tc>
          <w:tcPr>
            <w:tcW w:w="422" w:type="dxa"/>
            <w:tcBorders>
              <w:top w:val="single" w:sz="4" w:space="0" w:color="auto"/>
              <w:left w:val="single" w:sz="4" w:space="0" w:color="auto"/>
              <w:bottom w:val="single" w:sz="4" w:space="0" w:color="auto"/>
            </w:tcBorders>
            <w:shd w:val="clear" w:color="auto" w:fill="FFFFFF"/>
            <w:vAlign w:val="bottom"/>
          </w:tcPr>
          <w:p w14:paraId="04F943E9" w14:textId="77777777" w:rsidR="00736BA6" w:rsidRPr="001A0BAA" w:rsidRDefault="00736BA6" w:rsidP="00B56A2A">
            <w:pPr>
              <w:pStyle w:val="afff8"/>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25</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69AEECE0" w14:textId="77777777" w:rsidR="00736BA6" w:rsidRPr="001A0BAA" w:rsidRDefault="00736BA6" w:rsidP="00B56A2A">
            <w:pPr>
              <w:pStyle w:val="afff8"/>
              <w:ind w:right="200" w:firstLine="0"/>
              <w:jc w:val="both"/>
              <w:rPr>
                <w:rFonts w:ascii="Times New Roman" w:hAnsi="Times New Roman" w:cs="Times New Roman"/>
                <w:color w:val="0070C0"/>
                <w:sz w:val="16"/>
                <w:szCs w:val="16"/>
              </w:rPr>
            </w:pPr>
            <w:r w:rsidRPr="001A0BAA">
              <w:rPr>
                <w:rFonts w:ascii="Times New Roman" w:eastAsia="Times New Roman" w:hAnsi="Times New Roman" w:cs="Times New Roman"/>
                <w:color w:val="0070C0"/>
                <w:sz w:val="16"/>
                <w:szCs w:val="16"/>
              </w:rPr>
              <w:t>2305</w:t>
            </w:r>
          </w:p>
        </w:tc>
      </w:tr>
    </w:tbl>
    <w:p w14:paraId="160A653E" w14:textId="77777777" w:rsidR="00736BA6" w:rsidRPr="001A0BAA" w:rsidRDefault="00736BA6" w:rsidP="00736BA6">
      <w:pPr>
        <w:jc w:val="both"/>
        <w:rPr>
          <w:color w:val="0070C0"/>
          <w:sz w:val="16"/>
          <w:szCs w:val="16"/>
        </w:rPr>
      </w:pPr>
      <w:r w:rsidRPr="001A0BAA">
        <w:rPr>
          <w:color w:val="0070C0"/>
          <w:sz w:val="16"/>
          <w:szCs w:val="16"/>
        </w:rPr>
        <w:t>Стоимость одной машины в ценах тех лет составляла 350 000 рублей.</w:t>
      </w:r>
    </w:p>
    <w:p w14:paraId="27DAC6FA" w14:textId="77777777" w:rsidR="00736BA6" w:rsidRPr="001A0BAA" w:rsidRDefault="00736BA6" w:rsidP="00736BA6">
      <w:pPr>
        <w:jc w:val="both"/>
        <w:rPr>
          <w:color w:val="0070C0"/>
          <w:sz w:val="16"/>
          <w:szCs w:val="16"/>
        </w:rPr>
      </w:pPr>
      <w:r w:rsidRPr="001A0BAA">
        <w:rPr>
          <w:color w:val="0070C0"/>
          <w:sz w:val="16"/>
          <w:szCs w:val="16"/>
        </w:rPr>
        <w:t>В некоторых источниках приводится другое число изготовленных танков ИС-3 - 2310 или 2311. В этом случае учитываются предсерийные танки, выпущенные до апреля 1945 года (25001).</w:t>
      </w:r>
    </w:p>
    <w:p w14:paraId="0F103B4A" w14:textId="77777777" w:rsidR="00736BA6" w:rsidRPr="001A0BAA" w:rsidRDefault="00736BA6" w:rsidP="00736BA6">
      <w:pPr>
        <w:jc w:val="both"/>
        <w:rPr>
          <w:color w:val="0070C0"/>
          <w:sz w:val="16"/>
          <w:szCs w:val="16"/>
        </w:rPr>
      </w:pPr>
    </w:p>
    <w:p w14:paraId="6D0579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24/23 мая 1945 г. совместным приказом Наркоматов НКБ и НКСтройМат № 213/157 была оформлена передача Государственного союзного завода № 527 (бывш. Люберецкий завод силикатного кирпича) со всем оборудованием, инвентарем, карьером, подъездными путями, транспортными средствами, жилфондом, ОРСом и подсобным хозяйством был передан из ведения Наркомата боеприпасов СССР в ведение Наркомата стройматериалов РСФСР (7543).</w:t>
      </w:r>
    </w:p>
    <w:p w14:paraId="060A2C21" w14:textId="77777777" w:rsidR="00665165" w:rsidRPr="00925F26" w:rsidRDefault="00665165" w:rsidP="00925F26">
      <w:pPr>
        <w:autoSpaceDE w:val="0"/>
        <w:autoSpaceDN w:val="0"/>
        <w:adjustRightInd w:val="0"/>
        <w:jc w:val="both"/>
        <w:rPr>
          <w:color w:val="000000" w:themeColor="text1"/>
          <w:sz w:val="16"/>
          <w:szCs w:val="16"/>
        </w:rPr>
      </w:pPr>
    </w:p>
    <w:p w14:paraId="4F4B9C5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2BAACB3" w14:textId="77777777" w:rsidR="00665165" w:rsidRPr="00925F26" w:rsidRDefault="00665165" w:rsidP="00925F26">
      <w:pPr>
        <w:autoSpaceDE w:val="0"/>
        <w:autoSpaceDN w:val="0"/>
        <w:adjustRightInd w:val="0"/>
        <w:jc w:val="both"/>
        <w:rPr>
          <w:iCs/>
          <w:color w:val="000000" w:themeColor="text1"/>
          <w:sz w:val="16"/>
          <w:szCs w:val="16"/>
        </w:rPr>
      </w:pPr>
    </w:p>
    <w:p w14:paraId="6E800DB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мая 1945 на приеме военных руководителей СССР Сталин поднял тост “за терпение русского народа” (4962).</w:t>
      </w:r>
    </w:p>
    <w:p w14:paraId="419C0D2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AB0CC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мая 1945 было принято решение о проведении Парада Победы. От каждого из 10 фронтов взяли сводный полк в 1000 чел. - наиболее отличившихся, плюс моряки, саперы, санитары и др. специалисты (1836,46).</w:t>
      </w:r>
    </w:p>
    <w:p w14:paraId="0BAC0E8A" w14:textId="77777777" w:rsidR="00665165" w:rsidRPr="00925F26" w:rsidRDefault="00665165" w:rsidP="00925F26">
      <w:pPr>
        <w:autoSpaceDE w:val="0"/>
        <w:autoSpaceDN w:val="0"/>
        <w:adjustRightInd w:val="0"/>
        <w:jc w:val="both"/>
        <w:rPr>
          <w:color w:val="000000" w:themeColor="text1"/>
          <w:sz w:val="16"/>
          <w:szCs w:val="16"/>
        </w:rPr>
      </w:pPr>
    </w:p>
    <w:p w14:paraId="62B672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мая 1945 И.В.С. выступил с Речью Победы (3481).</w:t>
      </w:r>
    </w:p>
    <w:p w14:paraId="0C4E3666" w14:textId="77777777" w:rsidR="00665165" w:rsidRPr="00925F26" w:rsidRDefault="00665165" w:rsidP="00925F26">
      <w:pPr>
        <w:autoSpaceDE w:val="0"/>
        <w:autoSpaceDN w:val="0"/>
        <w:adjustRightInd w:val="0"/>
        <w:jc w:val="both"/>
        <w:rPr>
          <w:color w:val="000000" w:themeColor="text1"/>
          <w:sz w:val="16"/>
          <w:szCs w:val="16"/>
        </w:rPr>
      </w:pPr>
    </w:p>
    <w:p w14:paraId="2F89AE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 мая 1945 года ЦК ВКП(б) и СНК СССР приняли Постановление № 1167-278с «О достройке Московского завода малолитражных автомобилей» (МЗМА). Возрождаемое предприятие в очередной раз поменяло своё наименование и объект производства. На правительственном уровне было принято решение за прототип будущей малолитражки взять автомобиль Опель-Кадет К-38, имевший более прогрессивную конструкцию, чем устаревший КИМ-10 (в частности, несущий кузов без отдельной рамы, гидравлический привод тормозов вместо механического и оригинальную независимую подвеску передних колес вместо зависимой у КИМ-10). При этом руководство страны рассчитывало по максимуму использовать трофейные техдокументацию, оснастку и оборудование, которые предполагалось вывезти по репарации из американской оккупационной зоны Германии, где располагался производивший эти автомобили завод Опеля. С этой целью уже в начале июня того же 1945 года Управлением Автопрома в Германию была командирована большая группа специалистов МЗМА (46 человек). 16 июня 1945 года в Кремле состоялся большой смотр перспективных образцов отечественной автомобильной техники, где в числе прочих образцов руководству Партии и Правительства были предъявлены образцы модернизированного КИМ-10-52 и трофейного Опель-Кадет К-38. В процессе осмотра этих образцов И.В. Сталиным было окончательно принято и озвучено решение о постановке на производство на МЗМА автомобиля Опель-Кадет в его существующем виде, несмотря на уже выявленный ряд слабых мест в конструкции его двигателя и трансмиссии. 20 июня 1945 года все работы по модернизации автомобилей КИМ-10-52 и подготовке их производства были свернуты. 26 августа 1945 года Постановлением Государственного Комитета Обороны СССР № 9905 были утверждены опытный образец и техническая характеристика нового объекта производства. Завод приступил к освоению производства своего первого послевоенного автомобиля модели М-400, которому было присвоено имя «Москвич». В процессе подготовки его производства из Германии было вывезено в Москву 539 единиц репарационного оборудования. 26 августа 1945 года Постановлением Государственного Комитета Обороны СССР № 9905 были утверждены опытный образец и техническая характеристика нового автомобиля. В соответствии с Приказом Наркома Среднего Машиностроения №541 от 23 октября 1945 года «О подготовке и обслуживании производства и выпуска малолитражных автомобилей «Москвич» в 1946 году заводу предписывалось в срок до 1 ноября 1945 года сдать в подготовку производства чертежи шасси, в срок до 20 января 1946 года – чертежи заново разработанного четырехдверного кузова, а в срок до 25 декабря 1945 года – завершить разработку технологического процесса. Выпуск первых пяти автомобилей по графику подготовки производства намечался на июль 1946 года. Однако, в связи с многочисленными задержками подготовки производства на заводах-смежниках и в связи со сложностями в организации ремонта крайне разнотипного (в том числе репарационного) заводского оборудования Приказом Министра Автотракторной промышленности СССР №368 от 17 августа 1946 года начало производства было перенесено на VI-й квартал 1946 года (10766).</w:t>
      </w:r>
    </w:p>
    <w:p w14:paraId="4FE58374" w14:textId="77777777" w:rsidR="00665165" w:rsidRPr="00925F26" w:rsidRDefault="00665165" w:rsidP="00925F26">
      <w:pPr>
        <w:autoSpaceDE w:val="0"/>
        <w:autoSpaceDN w:val="0"/>
        <w:adjustRightInd w:val="0"/>
        <w:jc w:val="both"/>
        <w:rPr>
          <w:color w:val="000000" w:themeColor="text1"/>
          <w:sz w:val="16"/>
          <w:szCs w:val="16"/>
        </w:rPr>
      </w:pPr>
    </w:p>
    <w:p w14:paraId="32F0D53B" w14:textId="77777777" w:rsidR="0038610C" w:rsidRPr="00925F26" w:rsidRDefault="0038610C"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5C30F4F9" w14:textId="77777777" w:rsidR="0038610C" w:rsidRPr="00925F26" w:rsidRDefault="0038610C" w:rsidP="00925F26">
      <w:pPr>
        <w:autoSpaceDE w:val="0"/>
        <w:autoSpaceDN w:val="0"/>
        <w:adjustRightInd w:val="0"/>
        <w:jc w:val="both"/>
        <w:rPr>
          <w:iCs/>
          <w:color w:val="000000" w:themeColor="text1"/>
          <w:sz w:val="16"/>
          <w:szCs w:val="16"/>
        </w:rPr>
      </w:pPr>
    </w:p>
    <w:p w14:paraId="5D32EBAB" w14:textId="77777777" w:rsidR="0038610C" w:rsidRPr="00925F26" w:rsidRDefault="0038610C" w:rsidP="00925F26">
      <w:pPr>
        <w:jc w:val="both"/>
        <w:rPr>
          <w:color w:val="000000" w:themeColor="text1"/>
          <w:sz w:val="16"/>
          <w:szCs w:val="16"/>
        </w:rPr>
      </w:pPr>
      <w:r w:rsidRPr="00925F26">
        <w:rPr>
          <w:color w:val="000000" w:themeColor="text1"/>
          <w:sz w:val="16"/>
          <w:szCs w:val="16"/>
        </w:rPr>
        <w:t>24 мая 1945. В Георгиевском зале Большого Кремлевского дворца состоялся прием командующих соединениями Советской Армии. Сталин поднял тост "за здоровье нашего советского народа и, прежде всего, русского народа... Я пью, прежде всего, за здоровье русского народа потому, что он является наиболее выдающейся нацией ив всех наций, входящих в состав Советского Союза. Я поднимаю тост за здоровье русского народа потому, что он заслужил в этой войне общее признание, как руководящей силы Советского Союза среди всех народов нашей страны. Я поднимаю тост за здоровье русского народа не только потому, что он - руководящий народ, но и потому, что у него имеется ясный ум, стойкий характер и терпение" (18688).</w:t>
      </w:r>
    </w:p>
    <w:p w14:paraId="0587D897" w14:textId="77777777" w:rsidR="0038610C" w:rsidRPr="00925F26" w:rsidRDefault="0038610C" w:rsidP="00925F26">
      <w:pPr>
        <w:jc w:val="both"/>
        <w:rPr>
          <w:color w:val="000000" w:themeColor="text1"/>
          <w:sz w:val="16"/>
          <w:szCs w:val="16"/>
        </w:rPr>
      </w:pPr>
    </w:p>
    <w:p w14:paraId="478CC7A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ED57291" w14:textId="77777777" w:rsidR="00665165" w:rsidRPr="00925F26" w:rsidRDefault="00665165" w:rsidP="00925F26">
      <w:pPr>
        <w:autoSpaceDE w:val="0"/>
        <w:autoSpaceDN w:val="0"/>
        <w:adjustRightInd w:val="0"/>
        <w:jc w:val="both"/>
        <w:rPr>
          <w:iCs/>
          <w:color w:val="000000" w:themeColor="text1"/>
          <w:sz w:val="16"/>
          <w:szCs w:val="16"/>
        </w:rPr>
      </w:pPr>
    </w:p>
    <w:p w14:paraId="5D99176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мая 1945 покончил с собой немецкий фельдмаршал Риттер фон Грейм, командующий Люфтваффе в последние дни войны (4962).</w:t>
      </w:r>
    </w:p>
    <w:p w14:paraId="552334C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2AC0A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24–25 мая 1945 началась операция «Кикусуй-7». В ней было задействовано 65 морских и 100 армейских самолетов, а также 150 истребителей прикрытия. Среди самолетов-камикадзе были и бомбардировщики-носители реактивных снарядов Ока. Особенностью этой операции было то, что ее решили провести ночью. Цели предполагалось освещать посадочными фарами.</w:t>
      </w:r>
    </w:p>
    <w:p w14:paraId="5D0BC1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ночь на 25 мая японские самолеты, пытавшиеся атаковать якорную стоянку, были встречены стеной огня. Тем не менее три корабля было потоплено, пять из-за повреждений исключено из списков и один вышел из строя на срок более месяца.</w:t>
      </w:r>
    </w:p>
    <w:p w14:paraId="2706D3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 американских моряков погибли, 60 пропали без вести, 183 получили ранения. Полной неудачей закончился вылет 12 бомбардировщиков Бетти с самолетами Ока: три самолета пропали без вести, а остальные вернулись, так и не найдя цели из-за плотной облачности.</w:t>
      </w:r>
    </w:p>
    <w:p w14:paraId="4BE021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проведении операции «Кикусуй-8» впервые отказались от привлечения корпуса «Боги грома». Их берегли для защиты Японских островов. Эта операция оказалась последней, в которой участвовало более ста самолетов.</w:t>
      </w:r>
    </w:p>
    <w:p w14:paraId="707299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Операции «Кикусуй» и другие самоубийственные атаки летчиков японской армии детально описаны в книге Ю. Иванова «Камикадзе: пилоты-смертники». На обложке книги на переднем плане изображен самолет-снаряд Ока, атакующий американский авианосец.</w:t>
      </w:r>
    </w:p>
    <w:p w14:paraId="7770CC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боях за Окинаву из 74 бомб, покидавших базу, 56 были либо сброшены не на цель, либо сбиты вместе с носителями (Хорикоши Д., Окумия М., Кайдин М. Японская авиация во Второй мировой войне. М.: АСТ, 2001.). Самолеты-снаряды Ока наносили американским кораблям серьезные повреждения, одно их появление в воздухе уже оказывало самое негативное влияние на дух американцев. Тем не менее даже если бы боевое применение самолетов-снарядов состоялось намного раньше апреля 1945 г., то это все равно бы не спасло Японию от поражения.</w:t>
      </w:r>
    </w:p>
    <w:p w14:paraId="3D6FE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продвижение американских ВМС к метрополии, японцы продолжали совершенствование самолета-снаряда. Вариант Окамодель 43 Оцу («модель 43В») предназначался для защиты побережья в случае высадки противника на Японские острова. Окамодель 43B была похожа на «модель 43А». Самолетснаряд предполагалось запускать из пещер с помощью катапульты. Интересно, что по замыслу Окамодель 43 Оцу мог летать как в качестве легкого истребителя, так и в качестве человекоуправляемой бомбы. Для этого планировалось установить на Ока две 30-миллиметровые пушки «тип 5» (Иванов Ю.Г. Камикадзе: пилоты-смертники. Смоленск: Русич, 2001.) (по другим данным (Хорикоши Д., Окумия М., Кайдин М. Японская авиация во Второй мировой войне. М.: АСТ, 2001.) – одну 20-мм пушку). Кроме того, Окамодель 43 Оцу снабжалась катапультируемым креслом и посадочной лыжей. После запуска с катапульты Окамодель 43B для достижения максимальной скоpости могла сбpасывать законцовки кpыльев. Конструкторам морской авиационной исследовательской лаборатории и специалистам фирмы «Аити» японским командованием было объявлено, что этот самолет станет ключевым оружием в сражении за Японские острова и принесет империи победу.</w:t>
      </w:r>
    </w:p>
    <w:p w14:paraId="0909EE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Боевое применение такого самолета-снаряда мыслилось следующим образом: его прототипы рассредоточиваются по пещерам вдоль всего побережья. Когда противник, думая, что уничтожены все японские самолеты, начинает высадку десанта, самолеты Окамодель 43 Оцу одновременно запускаются с катапульт, чтобы похоронить врага в морской могиле. Проект, однако, не был реализован, хотя к концу войны первый образец боевой «модели 43B» был уже в сборке.</w:t>
      </w:r>
    </w:p>
    <w:p w14:paraId="5D177F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Японцы успели собрать два экземпляра двухместного учебного варианта Окамодель 43 – К1 Кай Вакадзакура («Свежая вишня»). Эта модель имела закрылки и выпускающиеся лыжные шасси для посадки. Hа них боевая часть заменялась второй кабиной. Для получения пpостейших навыков мотоpного полета в хвостовой части монтировался один pакетный ускоpитель «тип 4 маpка 1 модель 20».</w:t>
      </w:r>
    </w:p>
    <w:p w14:paraId="6979B0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Hа аpсенале в Гидзицусо было выпущено 45 учебно-тренировочных Ока К1 – без pакетных ускоpителей и с водяным балластом вместо взрывчатки. Эти самолеты использовались для подготовки молодых пилотов. Пеpед посадкой на подфюзеляжную лыжу сливался водяной балласт, что позволяло снизить посадочную скоpость до 220 км/ч (11686).</w:t>
      </w:r>
    </w:p>
    <w:p w14:paraId="7C82D65D" w14:textId="77777777" w:rsidR="00665165" w:rsidRPr="00925F26" w:rsidRDefault="00665165" w:rsidP="00925F26">
      <w:pPr>
        <w:autoSpaceDE w:val="0"/>
        <w:autoSpaceDN w:val="0"/>
        <w:adjustRightInd w:val="0"/>
        <w:jc w:val="both"/>
        <w:rPr>
          <w:color w:val="000000" w:themeColor="text1"/>
          <w:sz w:val="16"/>
          <w:szCs w:val="16"/>
        </w:rPr>
      </w:pPr>
    </w:p>
    <w:p w14:paraId="26175039" w14:textId="77777777" w:rsidR="00247854" w:rsidRPr="00925F26" w:rsidRDefault="00247854" w:rsidP="00925F26">
      <w:pPr>
        <w:jc w:val="both"/>
        <w:rPr>
          <w:color w:val="000000" w:themeColor="text1"/>
          <w:sz w:val="16"/>
          <w:szCs w:val="16"/>
        </w:rPr>
      </w:pPr>
      <w:r w:rsidRPr="00925F26">
        <w:rPr>
          <w:color w:val="000000" w:themeColor="text1"/>
          <w:sz w:val="16"/>
          <w:szCs w:val="16"/>
        </w:rPr>
        <w:t>24/25 мая (ночь) 1945 пять бомбардировщиков японской императорской армии Mitsubishi Ki-21 (союзники называют Салли), на борту которых находятся специальные воздушно-десантные войска Гирецу Кутейтай, совершают нападение террористов-смертников на аэродромы Кадена и Йонтан на Окинаве. Четыре из них сбиты, но пятые приземлился на основной взлетно - посадочной полосе в Yontan и выпустил десять giretsu, которые разрушают семь и повреждают 26 самолетов, взрывают два топливных склада и убивают два американца (20371).</w:t>
      </w:r>
    </w:p>
    <w:p w14:paraId="676D748B" w14:textId="77777777" w:rsidR="00247854" w:rsidRPr="00925F26" w:rsidRDefault="00247854" w:rsidP="00925F26">
      <w:pPr>
        <w:jc w:val="both"/>
        <w:rPr>
          <w:color w:val="000000" w:themeColor="text1"/>
          <w:sz w:val="16"/>
          <w:szCs w:val="16"/>
        </w:rPr>
      </w:pPr>
    </w:p>
    <w:p w14:paraId="2B53334B" w14:textId="77777777" w:rsidR="00247854" w:rsidRPr="00925F26" w:rsidRDefault="00247854" w:rsidP="00925F26">
      <w:pPr>
        <w:jc w:val="both"/>
        <w:rPr>
          <w:color w:val="000000" w:themeColor="text1"/>
          <w:sz w:val="16"/>
          <w:szCs w:val="16"/>
        </w:rPr>
      </w:pPr>
      <w:r w:rsidRPr="00925F26">
        <w:rPr>
          <w:color w:val="000000" w:themeColor="text1"/>
          <w:sz w:val="16"/>
          <w:szCs w:val="16"/>
        </w:rPr>
        <w:t>24–25 мая 1945 авианосцы Британского Тихоокеанского флота наносят последние удары в войне против Сакисима Гунто, где теперь выбиты все японские аэродромы (20371).</w:t>
      </w:r>
    </w:p>
    <w:p w14:paraId="31E38E6D" w14:textId="77777777" w:rsidR="00247854" w:rsidRPr="00925F26" w:rsidRDefault="00247854" w:rsidP="00925F26">
      <w:pPr>
        <w:jc w:val="both"/>
        <w:rPr>
          <w:color w:val="000000" w:themeColor="text1"/>
          <w:sz w:val="16"/>
          <w:szCs w:val="16"/>
        </w:rPr>
      </w:pPr>
    </w:p>
    <w:p w14:paraId="4266A3F2"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6AC65FC" w14:textId="77777777" w:rsidR="00665165" w:rsidRPr="00925F26" w:rsidRDefault="00665165" w:rsidP="00925F26">
      <w:pPr>
        <w:autoSpaceDE w:val="0"/>
        <w:autoSpaceDN w:val="0"/>
        <w:adjustRightInd w:val="0"/>
        <w:jc w:val="both"/>
        <w:rPr>
          <w:iCs/>
          <w:color w:val="000000" w:themeColor="text1"/>
          <w:sz w:val="16"/>
          <w:szCs w:val="16"/>
        </w:rPr>
      </w:pPr>
    </w:p>
    <w:p w14:paraId="4ED164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мая 1945 г. С. В. Ильюшин, направил командующему ВВС главному мар</w:t>
      </w:r>
      <w:r w:rsidRPr="00925F26">
        <w:rPr>
          <w:color w:val="000000" w:themeColor="text1"/>
          <w:sz w:val="16"/>
          <w:szCs w:val="16"/>
        </w:rPr>
        <w:softHyphen/>
        <w:t>шалу А. А. Новикову письмо, в кото</w:t>
      </w:r>
      <w:r w:rsidRPr="00925F26">
        <w:rPr>
          <w:color w:val="000000" w:themeColor="text1"/>
          <w:sz w:val="16"/>
          <w:szCs w:val="16"/>
        </w:rPr>
        <w:softHyphen/>
        <w:t>ром информировал его о заплани</w:t>
      </w:r>
      <w:r w:rsidRPr="00925F26">
        <w:rPr>
          <w:color w:val="000000" w:themeColor="text1"/>
          <w:sz w:val="16"/>
          <w:szCs w:val="16"/>
        </w:rPr>
        <w:softHyphen/>
        <w:t>рованном на 30 июня первом поле</w:t>
      </w:r>
      <w:r w:rsidRPr="00925F26">
        <w:rPr>
          <w:color w:val="000000" w:themeColor="text1"/>
          <w:sz w:val="16"/>
          <w:szCs w:val="16"/>
        </w:rPr>
        <w:softHyphen/>
        <w:t>те нового штурмовика Ил-16 с мо</w:t>
      </w:r>
      <w:r w:rsidRPr="00925F26">
        <w:rPr>
          <w:color w:val="000000" w:themeColor="text1"/>
          <w:sz w:val="16"/>
          <w:szCs w:val="16"/>
        </w:rPr>
        <w:softHyphen/>
        <w:t xml:space="preserve">тором АМ-43 и предлагал </w:t>
      </w:r>
      <w:r w:rsidRPr="00925F26">
        <w:rPr>
          <w:iCs/>
          <w:color w:val="000000" w:themeColor="text1"/>
          <w:sz w:val="16"/>
          <w:szCs w:val="16"/>
        </w:rPr>
        <w:t>"з-д № 30 ...ориентировать на серийную по</w:t>
      </w:r>
      <w:r w:rsidRPr="00925F26">
        <w:rPr>
          <w:iCs/>
          <w:color w:val="000000" w:themeColor="text1"/>
          <w:sz w:val="16"/>
          <w:szCs w:val="16"/>
        </w:rPr>
        <w:softHyphen/>
        <w:t>стройку этого самолета".</w:t>
      </w:r>
    </w:p>
    <w:p w14:paraId="51F7B843" w14:textId="77777777" w:rsidR="00665165" w:rsidRPr="00925F26" w:rsidRDefault="00665165" w:rsidP="00925F26">
      <w:pPr>
        <w:numPr>
          <w:ilvl w:val="12"/>
          <w:numId w:val="0"/>
        </w:numPr>
        <w:autoSpaceDE w:val="0"/>
        <w:autoSpaceDN w:val="0"/>
        <w:adjustRightInd w:val="0"/>
        <w:jc w:val="both"/>
        <w:rPr>
          <w:color w:val="000000" w:themeColor="text1"/>
          <w:sz w:val="16"/>
          <w:szCs w:val="16"/>
        </w:rPr>
      </w:pPr>
      <w:r w:rsidRPr="00925F26">
        <w:rPr>
          <w:color w:val="000000" w:themeColor="text1"/>
          <w:sz w:val="16"/>
          <w:szCs w:val="16"/>
        </w:rPr>
        <w:t>Военные отреагировали быстро и вполне адекватно. Главный инже</w:t>
      </w:r>
      <w:r w:rsidRPr="00925F26">
        <w:rPr>
          <w:color w:val="000000" w:themeColor="text1"/>
          <w:sz w:val="16"/>
          <w:szCs w:val="16"/>
        </w:rPr>
        <w:softHyphen/>
        <w:t>нер ВВС КА генерал-полковник А. К. Репин, давая Новикову пояснения по данному вопросу, обратил внимание командующего на следующие обсто</w:t>
      </w:r>
      <w:r w:rsidRPr="00925F26">
        <w:rPr>
          <w:color w:val="000000" w:themeColor="text1"/>
          <w:sz w:val="16"/>
          <w:szCs w:val="16"/>
        </w:rPr>
        <w:softHyphen/>
        <w:t xml:space="preserve">ятельства, сопутствующие постройке Ил-16: </w:t>
      </w:r>
      <w:r w:rsidRPr="00925F26">
        <w:rPr>
          <w:iCs/>
          <w:color w:val="000000" w:themeColor="text1"/>
          <w:sz w:val="16"/>
          <w:szCs w:val="16"/>
        </w:rPr>
        <w:t>"...ЛТД ...являются проектны</w:t>
      </w:r>
      <w:r w:rsidRPr="00925F26">
        <w:rPr>
          <w:iCs/>
          <w:color w:val="000000" w:themeColor="text1"/>
          <w:sz w:val="16"/>
          <w:szCs w:val="16"/>
        </w:rPr>
        <w:softHyphen/>
        <w:t>ми. Эскизный проект и макет само</w:t>
      </w:r>
      <w:r w:rsidRPr="00925F26">
        <w:rPr>
          <w:iCs/>
          <w:color w:val="000000" w:themeColor="text1"/>
          <w:sz w:val="16"/>
          <w:szCs w:val="16"/>
        </w:rPr>
        <w:softHyphen/>
        <w:t>лета на заключение в ГК НИИ ВВС не представлялся, самолет строится без ТТТ. При постройке самолета не учтены выявленные при войсковых ис</w:t>
      </w:r>
      <w:r w:rsidRPr="00925F26">
        <w:rPr>
          <w:iCs/>
          <w:color w:val="000000" w:themeColor="text1"/>
          <w:sz w:val="16"/>
          <w:szCs w:val="16"/>
        </w:rPr>
        <w:softHyphen/>
        <w:t>пытаниях конструктивные недостатки однотипного самолета Ил-10. Основ</w:t>
      </w:r>
      <w:r w:rsidRPr="00925F26">
        <w:rPr>
          <w:iCs/>
          <w:color w:val="000000" w:themeColor="text1"/>
          <w:sz w:val="16"/>
          <w:szCs w:val="16"/>
        </w:rPr>
        <w:softHyphen/>
        <w:t>ными из этих оставшихся на самоле</w:t>
      </w:r>
      <w:r w:rsidRPr="00925F26">
        <w:rPr>
          <w:iCs/>
          <w:color w:val="000000" w:themeColor="text1"/>
          <w:sz w:val="16"/>
          <w:szCs w:val="16"/>
        </w:rPr>
        <w:softHyphen/>
        <w:t>те Ил-16, являются: расчет прочнос</w:t>
      </w:r>
      <w:r w:rsidRPr="00925F26">
        <w:rPr>
          <w:iCs/>
          <w:color w:val="000000" w:themeColor="text1"/>
          <w:sz w:val="16"/>
          <w:szCs w:val="16"/>
        </w:rPr>
        <w:softHyphen/>
        <w:t>ти самолета по классу "Б" (ограни</w:t>
      </w:r>
      <w:r w:rsidRPr="00925F26">
        <w:rPr>
          <w:iCs/>
          <w:color w:val="000000" w:themeColor="text1"/>
          <w:sz w:val="16"/>
          <w:szCs w:val="16"/>
        </w:rPr>
        <w:softHyphen/>
        <w:t>ченно маневренные самолеты), в то время как он должен быть отнесен к классу "А" (маневренные самолеты); ослабление бронирования по срав</w:t>
      </w:r>
      <w:r w:rsidRPr="00925F26">
        <w:rPr>
          <w:iCs/>
          <w:color w:val="000000" w:themeColor="text1"/>
          <w:sz w:val="16"/>
          <w:szCs w:val="16"/>
        </w:rPr>
        <w:softHyphen/>
        <w:t>нению с самолетов Ил-10; ...слож</w:t>
      </w:r>
      <w:r w:rsidRPr="00925F26">
        <w:rPr>
          <w:iCs/>
          <w:color w:val="000000" w:themeColor="text1"/>
          <w:sz w:val="16"/>
          <w:szCs w:val="16"/>
        </w:rPr>
        <w:softHyphen/>
        <w:t>ная и громоздкая система подвески наружных бомб; ...отсутствие систе</w:t>
      </w:r>
      <w:r w:rsidRPr="00925F26">
        <w:rPr>
          <w:iCs/>
          <w:color w:val="000000" w:themeColor="text1"/>
          <w:sz w:val="16"/>
          <w:szCs w:val="16"/>
        </w:rPr>
        <w:softHyphen/>
        <w:t xml:space="preserve">мы нейтральных газов и пылефильтров " </w:t>
      </w:r>
      <w:r w:rsidRPr="00925F26">
        <w:rPr>
          <w:color w:val="000000" w:themeColor="text1"/>
          <w:sz w:val="16"/>
          <w:szCs w:val="16"/>
        </w:rPr>
        <w:t>(11431).</w:t>
      </w:r>
    </w:p>
    <w:p w14:paraId="2764BA02" w14:textId="77777777" w:rsidR="00665165" w:rsidRPr="00925F26" w:rsidRDefault="00665165" w:rsidP="00925F26">
      <w:pPr>
        <w:numPr>
          <w:ilvl w:val="12"/>
          <w:numId w:val="0"/>
        </w:numPr>
        <w:autoSpaceDE w:val="0"/>
        <w:autoSpaceDN w:val="0"/>
        <w:adjustRightInd w:val="0"/>
        <w:jc w:val="both"/>
        <w:rPr>
          <w:color w:val="000000" w:themeColor="text1"/>
          <w:sz w:val="16"/>
          <w:szCs w:val="16"/>
        </w:rPr>
      </w:pPr>
    </w:p>
    <w:p w14:paraId="5E40A622"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25 мая 1945 года государственная комиссия от 2 ВА в заключении отчета констатировала: «1. По летно -тактическим данным самолет Ил-10 с мотором АМ-42 является вполне современным бронированным штурмовиком, обладающим явным преимуществом в сравнении с самолетом Ил-2 с мотором АМ-38ф</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 xml:space="preserve">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3. При устранении отмеченных конструктивных и производственных недостатков самолет Ил-10 с АМ-42 будет более прост в эксплуатации и явится более эффективным вооружением штурмовых частей ВВС Красной Армии».</w:t>
      </w:r>
    </w:p>
    <w:p w14:paraId="71324429"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Составленное отдельно заключение ГК НИИ ВВС по результатам войсковых испытаний самолета Ил-10 с АМ-42 главный инженер ВВС КА генерал-полковник А. К. Репин подписал 20 июня.</w:t>
      </w:r>
    </w:p>
    <w:p w14:paraId="306DC29F"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Согласно рассылке, отчет и заключение были направлены: командующему ВВС КА главному маршалу авиации А. А. Новикову, наркому авиапромышленности А. И. Шахурину, в УК ЦК ВКП(б) генерал-полковнику Н С. Шиманову, начальнику ГУЗ ВВС генерал-лейтенанту Н. П. Селезневу, начальнику УТЭ ГУ ИАС ВВС генерал-лейтенанту Ф. Н. Шульговскому, С. В. Ильюшину, начальнику 1-го ГУ НКАП, директорам заводов 1, 18 и 24, а также старшим военпредам на этих заводах.</w:t>
      </w:r>
    </w:p>
    <w:p w14:paraId="7DD00CA0"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К сожалению, ряд вопросов боевого применения самолета Ил-10 в материалах отчета по войсковым испытаниям отражены не были, в том числе не дана оценка реальной боевой эффективности «десятки» в сравнении с самолетом Ил-2. Между тем простейший анализ показывает, что Ил-10 все же не в полной мере отвечал требованиям войны и кардинально проблему повышения боевой эффективности штурмовой авиации ВВС КА в то время не решил.</w:t>
      </w:r>
    </w:p>
    <w:p w14:paraId="31813F2D"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Действительно, при одинаковом стрелково -пушечном вооружении Ил-10 заметно уступал Ил-2 по весу бомбовой нагрузки при загрузке самолета бомбами наиболее ходовых калибров - АО-2,5, АО-25, ПТАБ-2,5-1,5 и ФАБ-50. Тогда как именно количество сброшенных бомб при прочих равных условиях определяет величину вероятности попадания по цели (поражения цели). Нормальная бомбовая нагрузка в 400 кг на Ил-10 обеспечивалась лишь при подвеске четырех бомб ФАБ-100 и АО-2,5 сч. При использовании других калибров «десятка» оказывалась недогруженной до нормального варианта.</w:t>
      </w:r>
    </w:p>
    <w:p w14:paraId="46616E4D"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Соответственно, по средней бомбовой нагрузке, приходящейся на один боевой вылет по опыту боев апреля - мая 1945 года, Ил-2 превзошел Ил-10 - 400 кг против 304 кг.</w:t>
      </w:r>
    </w:p>
    <w:p w14:paraId="22D1485B"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Прицельный комплект Ил-10 фактически ничем не отличался от такового на Ил-2. На «десятке» имелись все тот же оптический стрелковый прицел ПБП-1б, разметка и визирные штыри на бронекапоте и крыле, метки и прицельные линии на лобовом и боковых бронестеклах фонаря кабины, а также временной механизм штурмовика ВМШ-10.</w:t>
      </w:r>
    </w:p>
    <w:p w14:paraId="51D1905E"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Обзор летчику вперед-вниз оказался даже меньше, чем на Ил-2 - 7° против 8°. Обзор назад и вовсе отсутствовал (летчики предлагали «в бронеспинке сделать проставки из прозрачного бронестекла по типу самолета Ил-2»).</w:t>
      </w:r>
    </w:p>
    <w:p w14:paraId="6F9C40A9"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По мнению фронтовиков-летчиков, временным механизмом штурмовика ВМШ-10 на Ил-10 пользоваться в бою было так же невозможно, как и ВМШ-2 на самолете Ил-2.</w:t>
      </w:r>
    </w:p>
    <w:p w14:paraId="58697D6B"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Основные методы бомбометания в боевых условиях на самолете Ил-10 были приняты те же, что и для самолета Ил -2, с той лишь разницей, что улучшилась маневренность самолета, возросли рабочие углы пикирования - до 50°, скорость ввода в пикирование - 350 км/ч и вывода из пикирования - 500-600 км/ч.</w:t>
      </w:r>
    </w:p>
    <w:p w14:paraId="61FD4C9C"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К числу серьезных недостатков Ил-10 летный состав относил сильную вибрацию прицела ПБП-1б в полете, что ухудшает «точность прицельной стрельбы».</w:t>
      </w:r>
    </w:p>
    <w:p w14:paraId="4D70D53D"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В то же время прицеливаться при атаке на самолете Ил-10 было легче, чем на Ил-2. Однако излишняя путевая устойчивость Ил-10 при пикировании усложняла введение поправок в прицеливание при стрельбе. Летчики жаловались, что «довороты, даже незначительные, необходимо делать заваливанием самолета в крен». Это приводило к затратам времени на устранение последующего скольжения самолета. К тому же «управление на скоростях более 400 км/ч становится тяжелым, особенно управление элеронами».</w:t>
      </w:r>
    </w:p>
    <w:p w14:paraId="7CB15375"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Пневмоэлектрическое управление огнем из пушек и пулеметов на Ил-10 оценивалось положительно: «исключительно удобное, облегчает работу летчика и сделано удачно».</w:t>
      </w:r>
    </w:p>
    <w:p w14:paraId="39DBA897"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Средний расход боекомплекта к пушкам и пулеметам в одном боевом вылете у Ил-2 в 2-3 раза был выше, чем у самолетов Ил-10.</w:t>
      </w:r>
    </w:p>
    <w:p w14:paraId="3ADF70B6"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Этот результат объясняется меньшей скоростью при пикировании Ил-2 в сравнении с Ил-10, что позволяло летчику «двойки» в одном заходе совершенно свободно отстрелять из пушек и пулеметов две прицельные очереди продолжительностью 1-2 секунды. Тогда как летчик «десятки» за один заход прицельно успевал отстрелять только одну очередь.</w:t>
      </w:r>
    </w:p>
    <w:p w14:paraId="28F3D760"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К тому же на Ил-2 стояли четыре ракетных орудия РО-82, а это также повышало боевые возможности самолета.</w:t>
      </w:r>
    </w:p>
    <w:p w14:paraId="2D9A4EE0"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Безвозвратные боевые потери 571-го шап, 118-го и 108-го гшап, по официальным данным, составили 12 самолетов Ил-10, погибли 5 летчиков и 8 воздушных стрелков. Небоевые потери составили 11 самолетов. Налет на одну боевую потерю «десятки» составил 85 самолето -вылетов.</w:t>
      </w:r>
    </w:p>
    <w:p w14:paraId="13D0A86A"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lastRenderedPageBreak/>
        <w:t>Оказывается, что по всем этим показателям самолет Ил-2 в апреле - мае 1945 года оказался даже несколько лучше самолета Ил-10. Налет на одну безвозвратную потерю Ил-2 в среднем достигал 90 боевых вылетов.</w:t>
      </w:r>
    </w:p>
    <w:p w14:paraId="46D9B776"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 xml:space="preserve">Инженеры полков отмечали, что, несмотря на цельнометаллическую конструкцию, Ил-10 «держал удар» хуже, чем Ил-2. Виной тому примененный на Ил-10 скоростной профиль крыла типа </w:t>
      </w:r>
      <w:r w:rsidRPr="00925F26">
        <w:rPr>
          <w:rStyle w:val="107"/>
          <w:rFonts w:eastAsiaTheme="minorHAnsi"/>
          <w:color w:val="000000" w:themeColor="text1"/>
          <w:sz w:val="16"/>
          <w:szCs w:val="16"/>
          <w:lang w:val="en-US"/>
        </w:rPr>
        <w:t>NACA</w:t>
      </w:r>
      <w:r w:rsidRPr="00925F26">
        <w:rPr>
          <w:rStyle w:val="107"/>
          <w:rFonts w:eastAsiaTheme="minorHAnsi"/>
          <w:color w:val="000000" w:themeColor="text1"/>
          <w:sz w:val="16"/>
          <w:szCs w:val="16"/>
        </w:rPr>
        <w:t xml:space="preserve">. Даже при небольших повреждениях крыла «десятка» теряла управляемость, и на вынужденных посадках самолеты бились. Здесь следует напомнить, что Ил-10 изначально создавался как бронированный истребитель и только затем по инициативе С. В. Ильюшина был переделан в двухместный штурмовик. В то же время крыло «чистого» штурмовика Ил-2, где использовался профиль </w:t>
      </w:r>
      <w:r w:rsidRPr="00925F26">
        <w:rPr>
          <w:rStyle w:val="107"/>
          <w:rFonts w:eastAsiaTheme="minorHAnsi"/>
          <w:color w:val="000000" w:themeColor="text1"/>
          <w:sz w:val="16"/>
          <w:szCs w:val="16"/>
          <w:lang w:val="en-US"/>
        </w:rPr>
        <w:t>Clark</w:t>
      </w:r>
      <w:r w:rsidRPr="00925F26">
        <w:rPr>
          <w:rStyle w:val="107"/>
          <w:rFonts w:eastAsiaTheme="minorHAnsi"/>
          <w:color w:val="000000" w:themeColor="text1"/>
          <w:sz w:val="16"/>
          <w:szCs w:val="16"/>
        </w:rPr>
        <w:t>-</w:t>
      </w:r>
      <w:r w:rsidRPr="00925F26">
        <w:rPr>
          <w:rStyle w:val="107"/>
          <w:rFonts w:eastAsiaTheme="minorHAnsi"/>
          <w:color w:val="000000" w:themeColor="text1"/>
          <w:sz w:val="16"/>
          <w:szCs w:val="16"/>
          <w:lang w:val="en-US"/>
        </w:rPr>
        <w:t>YH</w:t>
      </w:r>
      <w:r w:rsidRPr="00925F26">
        <w:rPr>
          <w:rStyle w:val="107"/>
          <w:rFonts w:eastAsiaTheme="minorHAnsi"/>
          <w:color w:val="000000" w:themeColor="text1"/>
          <w:sz w:val="16"/>
          <w:szCs w:val="16"/>
        </w:rPr>
        <w:t>, не теряло несущих свойств при значительном разрушении обшивки. Как следствие, процент списанных Ил-10, поврежденных в бою и совершивших вынужденные посадки, был в 2-2,5 раза выше, чем самолетов Ил-2.</w:t>
      </w:r>
    </w:p>
    <w:p w14:paraId="295FF240"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В отличие от «десятки» на Ил-2 имелась надежно работающая система заполнения бензобаков нейтральным газом.</w:t>
      </w:r>
    </w:p>
    <w:p w14:paraId="60DD468F"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При оценке боевой живучести необходимо учитывать ограниченность статистики боевых действий Ил-10 в сравнении с Ил-2. Например, налет на одну боевую потерю в 571 шап достигал 207 вылетов, тогда как в 108 гшап - 75, а в 118 гшап - всего 20 боевых вылетов. Это говорит о том, что летный состав 571 шап сумел более полно использовать высокую маневренность Ил-10 в сравнении с экипажами 108 и 118 гшап.</w:t>
      </w:r>
    </w:p>
    <w:p w14:paraId="23E8B677" w14:textId="77777777" w:rsidR="003605FA" w:rsidRPr="00925F26" w:rsidRDefault="003605FA"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Самолет Ил-2 уступал Ил-10 только в подвижности над полем боя. На высоте 1000 м «десятка» превосходила «двойку» по скорости горизонтального полета в 1,3 раза, по диапазону рабочих скоростей - более чем в 1,4 раза, по вертикальной скорости - в 1,4-1,7 раза, по величине маневренной перегрузки - на 11,5 %</w:t>
      </w:r>
    </w:p>
    <w:p w14:paraId="31ACB6E4"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Как отмечали боевые летчики, «вследствие легкости управления и повышенной скорости легко замыкается круг, эффективно выполняется противозенитный маневр». Маневрирование одиночными самолетами выполнялось одновременно и по высоте, и по курсу, применялись боевые развороты, змейка, уход от цели на бреющем полете и т. д. Особенно был выгоден маневр по высоте ввиду высокой вертикальной скорости Ил-10. За один боевой разворот Ил-10 с боевой нагрузкой набирал до 600-800 м высоты. После пикирования (и сброса бомб) Ил-10 мог легко «производить вертикальную горку и резкие эволюции, делающие его похожим на истребителя». В отличие от самолета Ил-2, «при заваливании на спину Ил-10 легко выходит в нормальный полет». При плавном выводе из пикирования даже под углом 45-50° большой просадки не дает. При выполнении экипажами противозенитного маневра разрывы наблюдались позади группы, так как немецкие зенитные расчеты ориентировались на летные данные Ил-2.</w:t>
      </w:r>
    </w:p>
    <w:p w14:paraId="49F1237E"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Повышенное значение маневренной перегрузки в сочетании с высокой вертикальной скоростью позволяло летчикам Ил-10 более энергично и за меньшее время выполнять боевые развороты и проходить участок ввода самолета в пикирование. Благодаря этому пространственный размах круга, например, эскадрильи Ил-10 при атаке цели с пикирования под углом 35-40° находился в пределах 2500-2700 км (дальность до цели в точке 3-го разворота), что было сравнимо с Ил-2. Одновременно с этим затруднялось ведение прицельного огня зенитными расчетами противника.</w:t>
      </w:r>
    </w:p>
    <w:p w14:paraId="42EB6A5F"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Высокая вертикальная маневренность Ил-10 позволяла штурмовикам при полете к цели и обратно эшелонировать боевой порядок групп (четверок или шестерок) по высоте. В этом случае «превышение двух эшелонов позволяет пикированием догнать и отбить атаку противника на первую группу сзади снизу, в то время как стрелки первой группы своим огнем имеют возможность отбить атаки истребителей, атакующих замыкающих снизу-сзади».</w:t>
      </w:r>
    </w:p>
    <w:p w14:paraId="5C5C90EE"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При появлении истребителей противника экипажи Ил-10 становились в оборонительный круг. Атаки пилотов люфтваффе отражались ведомыми, которые энергично отворачивали в сторону истребителей, обстреливали их и затем легко занимали свое место в круге за счет «запаса скорости, маневренности и легкости в управлении».</w:t>
      </w:r>
    </w:p>
    <w:p w14:paraId="6630F32B"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В отчетных документах указывалось, что Ил-10 более скоростной и маневренный, чем Ил-2, поэтому борьбу с истребителями противника вести легче.</w:t>
      </w:r>
    </w:p>
    <w:p w14:paraId="7EEDAA5C"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В то же время, несмотря на высокую маневренность Ил-10, полет на больших скоростях при построении круга приводил к большому радиусу. По этой причине «группа из 6 самолетов Ил-10 плохо замыкает круг, а лучшей группой для работы в круге является группа 8-10 самолетов Ил-10».</w:t>
      </w:r>
    </w:p>
    <w:p w14:paraId="7EAD8148"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Между тем возросшие скорости полета и боевого маневрирования Ил-10 затрудняли ориентировку при полете по маршруту, поиск целей на поле боя и визирование цели при атаке.</w:t>
      </w:r>
    </w:p>
    <w:p w14:paraId="61459CB8"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Из-за недостаточного обзора летчику вперед и вниз ведущий группы Ил-10 при подходе к цели, как правило, оставлял цель слева от себя, «визируя» ее с доворотом на 90° и последующим пикированием под углом 30-40°.</w:t>
      </w:r>
    </w:p>
    <w:p w14:paraId="469A1888"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Летный состав констатировал, что «самолет Ил-10 при пикировании не терпит резкостей в выводе, не допускает перегрузки 5,5 единицы».</w:t>
      </w:r>
    </w:p>
    <w:p w14:paraId="20AC0382"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 xml:space="preserve">По общему мнению, для успешного боевого применения и эксплуатации Ил-10 требуется только хорошая и отличная подготовка летного состава в технике пилотирования самолетом, а также отличные знания материальной части. При этом летчики особо отмечали, что «десятка» «совершенно не терпит летного состава, недостаточно оттренированного во взлете и посадке»: «Самолет требует исключительно низкого истребительного подхода, а на взлете в первой половине разбега имеет тенденцию к рысканию, в большинстве случаев с отклонением вправо./.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/Самолет требует исключительного внимания, так как рулит неустойчиво. При невнимательном или неграмотном действии возможно вращение на 360°, и неоднократно».</w:t>
      </w:r>
    </w:p>
    <w:p w14:paraId="020F4D80"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Тенденция к развороту вправо обуславливалась сильным реактивным моментом вращающегося винта и узкой колеей шасси. Последнее в совокупности с недостаточным обзором вперед приводило к тому, что даже летчик с хорошей техникой пилотирования не всегда мог выдержать направление взлета, особенно с сильным боковым ветром. Чтобы взлететь при сильном боковом ветре, опытные летчики зачастую сознательно шли на нарушение инструкции: для парирования разворота самолета вследствие сильного ветра кратковременно нажимали на тормоз. «Молодые» же подобных вольностей позволить себе не могли - в результате их разворачивало поперек полосы, и они прекращали взлет. С подобной особенностью Ил-10 столкнулись абсолютно во всех штурмовых авиаполках.</w:t>
      </w:r>
    </w:p>
    <w:p w14:paraId="201CCE9D"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Именно по этой причине лейтенант Г. А. Веселов из 571 шап 15 апреля разбил свой самолет при взлете на боевое задание.</w:t>
      </w:r>
    </w:p>
    <w:p w14:paraId="0C2F2FD6"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25 апреля на взлете потерпел аварию командир звена 108 гшап лейтенант Е. А. Молтаков. В начале разбега самолет развернулся вправо на 7-8°, своевременно парировать разворот летчик не смог. Самолет, выйдя с укатанной полосы правым колесом, развернулся вправо еще больше. Однако Молтаков взлет не прекратил, «дал форсаж и подорвал машину». Самолет свалился на правое крыло и скапотировал. Экипаж получил ранения и отправлен в госпиталь, а Ил-10 зав. N° 103051 - списан.</w:t>
      </w:r>
    </w:p>
    <w:p w14:paraId="094AE436"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При вылете на боевое задание 12 экипажей 118 гшап 8 мая из -за сильного бокового ветра взлететь смогли только шестерка Верещинского и пара из состава шестерки капитана Свищева - сам Свищев и помощник командира полка по воздушно-стрелковой службе майор Шагинов. Остальные прервали взлет и на боевое задание не пошли.</w:t>
      </w:r>
    </w:p>
    <w:p w14:paraId="19219953"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Что касается вопросов эксплуатации Ил-10, то выявилось весьма много конструктивных дефектов. При этом ряд из них были очень и очень серьезными. Об этом говорилось выше. Конечно, это все были «детские болезни» Ил -10, как у всякого нового самолета. Здесь следует учитывать, что Ил-2 «стоял» в массовом производстве уже четыре года, соответственно его конструкция и технология изготовления были вполне доведены.</w:t>
      </w:r>
    </w:p>
    <w:p w14:paraId="3903D759"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Разумеется, при обработке статистики военного времени необходимо делать скидку на недостаточное освоение Ил-10 как летно-техническим составом, так и серийными заводами. Однако можно сделать вывод, что при переходе от Ил-2 к Ил-10 отечественная авиация выбрала «количество за счет качества». То есть в серию запустили не самый эффективный в боевом отношении самолет, а самый удобный с точки зрения быстроты налаживания массового выпуска, хотя развитие самолета штурмового типа в сторону повышения подвижности, а не пассивного наращивания брони, в целом было правильным (17490).</w:t>
      </w:r>
    </w:p>
    <w:p w14:paraId="63695522" w14:textId="77777777" w:rsidR="003605FA" w:rsidRPr="00925F26" w:rsidRDefault="003605FA" w:rsidP="00925F26">
      <w:pPr>
        <w:jc w:val="both"/>
        <w:rPr>
          <w:rStyle w:val="107"/>
          <w:rFonts w:eastAsiaTheme="minorHAnsi"/>
          <w:color w:val="000000" w:themeColor="text1"/>
          <w:sz w:val="16"/>
          <w:szCs w:val="16"/>
        </w:rPr>
      </w:pPr>
    </w:p>
    <w:p w14:paraId="5AF3F774" w14:textId="77777777" w:rsidR="007E3239" w:rsidRPr="00925F26" w:rsidRDefault="007E3239" w:rsidP="00925F26">
      <w:pPr>
        <w:pStyle w:val="a3"/>
        <w:rPr>
          <w:color w:val="000000" w:themeColor="text1"/>
          <w:lang w:val="ru-RU"/>
        </w:rPr>
      </w:pPr>
      <w:r w:rsidRPr="00925F26">
        <w:rPr>
          <w:color w:val="000000" w:themeColor="text1"/>
          <w:lang w:val="ru-RU"/>
        </w:rPr>
        <w:t>25 мая 1945 письмом Ильюшин ин</w:t>
      </w:r>
      <w:r w:rsidRPr="00925F26">
        <w:rPr>
          <w:color w:val="000000" w:themeColor="text1"/>
          <w:lang w:val="ru-RU"/>
        </w:rPr>
        <w:softHyphen/>
        <w:t>формировал командующего ВВС главного маршала А.А. Новикова о запланированном на 10 июня первом полёте нового штурмовика Ил-16 с мотором АМ-43 и предлагал «з-д</w:t>
      </w:r>
      <w:r w:rsidRPr="00925F26">
        <w:rPr>
          <w:rStyle w:val="164"/>
          <w:rFonts w:ascii="Times New Roman" w:hAnsi="Times New Roman" w:cs="Times New Roman"/>
          <w:i w:val="0"/>
          <w:color w:val="000000" w:themeColor="text1"/>
          <w:sz w:val="16"/>
          <w:szCs w:val="16"/>
          <w:lang w:val="ru-RU"/>
        </w:rPr>
        <w:t xml:space="preserve"> № 30 /.../ ориентировать на серийную постройку этого самолёта».</w:t>
      </w:r>
    </w:p>
    <w:p w14:paraId="5C6911E1" w14:textId="77777777" w:rsidR="007E3239" w:rsidRPr="00925F26" w:rsidRDefault="007E3239"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140"/>
          <w:rFonts w:ascii="Times New Roman" w:eastAsia="Arial Unicode MS" w:hAnsi="Times New Roman" w:cs="Times New Roman"/>
          <w:i w:val="0"/>
          <w:iCs w:val="0"/>
          <w:color w:val="000000" w:themeColor="text1"/>
        </w:rPr>
        <w:t>Главный инженер ВВС генерал-полковник Репин в докладе Новикову по этому вопросу отме</w:t>
      </w:r>
      <w:r w:rsidRPr="00925F26">
        <w:rPr>
          <w:rStyle w:val="2140"/>
          <w:rFonts w:ascii="Times New Roman" w:eastAsia="Arial Unicode MS" w:hAnsi="Times New Roman" w:cs="Times New Roman"/>
          <w:i w:val="0"/>
          <w:iCs w:val="0"/>
          <w:color w:val="000000" w:themeColor="text1"/>
        </w:rPr>
        <w:softHyphen/>
        <w:t>чал: «...</w:t>
      </w:r>
      <w:r w:rsidRPr="00925F26">
        <w:rPr>
          <w:rFonts w:ascii="Times New Roman" w:hAnsi="Times New Roman" w:cs="Times New Roman"/>
          <w:i w:val="0"/>
          <w:color w:val="000000" w:themeColor="text1"/>
          <w:sz w:val="16"/>
          <w:szCs w:val="16"/>
        </w:rPr>
        <w:t>ЛТД /.../ являются проектными. /.../ Эскизный проект и макет самолёта на заключение в ГК НИИ ВВС не представлялся, самолёт строится без ТТТ. При постройке самолёта не учтены выявленные при войсковых испытаниях конструктивные недостатки однотипного самолёта Ил- 10. Основными из этих оставшихся на самолёте Ил-16,</w:t>
      </w:r>
      <w:r w:rsidRPr="00925F26">
        <w:rPr>
          <w:rStyle w:val="2140"/>
          <w:rFonts w:ascii="Times New Roman" w:eastAsia="Arial Unicode MS" w:hAnsi="Times New Roman" w:cs="Times New Roman"/>
          <w:i w:val="0"/>
          <w:iCs w:val="0"/>
          <w:color w:val="000000" w:themeColor="text1"/>
        </w:rPr>
        <w:t xml:space="preserve"> являются:</w:t>
      </w:r>
      <w:r w:rsidRPr="00925F26">
        <w:rPr>
          <w:rFonts w:ascii="Times New Roman" w:hAnsi="Times New Roman" w:cs="Times New Roman"/>
          <w:i w:val="0"/>
          <w:color w:val="000000" w:themeColor="text1"/>
          <w:sz w:val="16"/>
          <w:szCs w:val="16"/>
        </w:rPr>
        <w:t xml:space="preserve"> расчёт прочности самолёта по классу «Б» (ограниченно маневренные самолёты), в то время как он должен быть отнесён к классу «А» (маневренные самолёты); ослабление бронирования по сравнению</w:t>
      </w:r>
      <w:r w:rsidRPr="00925F26">
        <w:rPr>
          <w:rStyle w:val="2140"/>
          <w:rFonts w:ascii="Times New Roman" w:eastAsia="Arial Unicode MS" w:hAnsi="Times New Roman" w:cs="Times New Roman"/>
          <w:i w:val="0"/>
          <w:iCs w:val="0"/>
          <w:color w:val="000000" w:themeColor="text1"/>
        </w:rPr>
        <w:t xml:space="preserve"> с</w:t>
      </w:r>
      <w:r w:rsidRPr="00925F26">
        <w:rPr>
          <w:rFonts w:ascii="Times New Roman" w:hAnsi="Times New Roman" w:cs="Times New Roman"/>
          <w:i w:val="0"/>
          <w:color w:val="000000" w:themeColor="text1"/>
          <w:sz w:val="16"/>
          <w:szCs w:val="16"/>
        </w:rPr>
        <w:t xml:space="preserve"> самолётом Ил-10; вес брони снизился на 230 кг; /.../ сложная и громоздкая система подвески наружных бомб; невозможность в сложных метеоусловиях летать с открытым фонарём; отсутствие систе</w:t>
      </w:r>
      <w:r w:rsidRPr="00925F26">
        <w:rPr>
          <w:rFonts w:ascii="Times New Roman" w:hAnsi="Times New Roman" w:cs="Times New Roman"/>
          <w:i w:val="0"/>
          <w:color w:val="000000" w:themeColor="text1"/>
          <w:sz w:val="16"/>
          <w:szCs w:val="16"/>
        </w:rPr>
        <w:softHyphen/>
        <w:t>мы нейтральных газов и пылефильтров».</w:t>
      </w:r>
    </w:p>
    <w:p w14:paraId="45DFBE6D" w14:textId="77777777" w:rsidR="007E3239" w:rsidRPr="00925F26" w:rsidRDefault="007E3239" w:rsidP="00925F26">
      <w:pPr>
        <w:pStyle w:val="a3"/>
        <w:rPr>
          <w:rStyle w:val="164"/>
          <w:rFonts w:ascii="Times New Roman" w:hAnsi="Times New Roman" w:cs="Times New Roman"/>
          <w:i w:val="0"/>
          <w:color w:val="000000" w:themeColor="text1"/>
          <w:sz w:val="16"/>
          <w:szCs w:val="16"/>
          <w:lang w:val="ru-RU"/>
        </w:rPr>
      </w:pPr>
      <w:r w:rsidRPr="00925F26">
        <w:rPr>
          <w:color w:val="000000" w:themeColor="text1"/>
          <w:lang w:val="ru-RU"/>
        </w:rPr>
        <w:t>Командующему ВВС главному маршалу А.А. Новикову пришлось пояснять главному кон</w:t>
      </w:r>
      <w:r w:rsidRPr="00925F26">
        <w:rPr>
          <w:color w:val="000000" w:themeColor="text1"/>
          <w:lang w:val="ru-RU"/>
        </w:rPr>
        <w:softHyphen/>
        <w:t>структору, что «до</w:t>
      </w:r>
      <w:r w:rsidRPr="00925F26">
        <w:rPr>
          <w:rStyle w:val="164"/>
          <w:rFonts w:ascii="Times New Roman" w:hAnsi="Times New Roman" w:cs="Times New Roman"/>
          <w:i w:val="0"/>
          <w:color w:val="000000" w:themeColor="text1"/>
          <w:sz w:val="16"/>
          <w:szCs w:val="16"/>
          <w:lang w:val="ru-RU"/>
        </w:rPr>
        <w:t xml:space="preserve"> запуска в серию Ил-16 с М-43 должен пройти Госиспытания».</w:t>
      </w:r>
    </w:p>
    <w:p w14:paraId="339945B2" w14:textId="77777777" w:rsidR="007E3239" w:rsidRPr="00925F26" w:rsidRDefault="007E3239" w:rsidP="00925F26">
      <w:pPr>
        <w:pStyle w:val="a3"/>
        <w:rPr>
          <w:rStyle w:val="164"/>
          <w:rFonts w:ascii="Times New Roman" w:hAnsi="Times New Roman" w:cs="Times New Roman"/>
          <w:i w:val="0"/>
          <w:color w:val="000000" w:themeColor="text1"/>
          <w:sz w:val="16"/>
          <w:szCs w:val="16"/>
          <w:lang w:val="ru-RU"/>
        </w:rPr>
      </w:pPr>
      <w:r w:rsidRPr="00925F26">
        <w:rPr>
          <w:color w:val="000000" w:themeColor="text1"/>
          <w:lang w:val="ru-RU"/>
        </w:rPr>
        <w:t>Ильюшин был вынужден официально снять свое предложение по серийному производству Ил-1 6. В конечном итоге мотор АМ-43 так и не довели, поэтому летом 1 946 г. работы по Ил- 16 прекратили</w:t>
      </w:r>
      <w:r w:rsidRPr="00925F26">
        <w:rPr>
          <w:rStyle w:val="164"/>
          <w:rFonts w:ascii="Times New Roman" w:hAnsi="Times New Roman" w:cs="Times New Roman"/>
          <w:i w:val="0"/>
          <w:color w:val="000000" w:themeColor="text1"/>
          <w:sz w:val="16"/>
          <w:szCs w:val="16"/>
          <w:lang w:val="ru-RU"/>
        </w:rPr>
        <w:t xml:space="preserve"> (15978).</w:t>
      </w:r>
    </w:p>
    <w:p w14:paraId="1A139F4C" w14:textId="77777777" w:rsidR="007E3239" w:rsidRPr="00925F26" w:rsidRDefault="007E3239" w:rsidP="00925F26">
      <w:pPr>
        <w:pStyle w:val="a3"/>
        <w:rPr>
          <w:color w:val="000000" w:themeColor="text1"/>
          <w:lang w:val="ru-RU"/>
        </w:rPr>
      </w:pPr>
    </w:p>
    <w:p w14:paraId="7DD2F415"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25 мая 1945 г., практически сразу же после отрицатель</w:t>
      </w:r>
      <w:r w:rsidRPr="00925F26">
        <w:rPr>
          <w:rFonts w:ascii="Times New Roman" w:hAnsi="Times New Roman" w:cs="Times New Roman"/>
          <w:color w:val="000000" w:themeColor="text1"/>
          <w:sz w:val="16"/>
          <w:szCs w:val="16"/>
        </w:rPr>
        <w:softHyphen/>
        <w:t>ного заключения по самолету Ил-8 АМ- 42, С.В. Ильюшин направил командую</w:t>
      </w:r>
      <w:r w:rsidRPr="00925F26">
        <w:rPr>
          <w:rFonts w:ascii="Times New Roman" w:hAnsi="Times New Roman" w:cs="Times New Roman"/>
          <w:color w:val="000000" w:themeColor="text1"/>
          <w:sz w:val="16"/>
          <w:szCs w:val="16"/>
        </w:rPr>
        <w:softHyphen/>
        <w:t>щему ВВС главному маршалу А.А. Нови</w:t>
      </w:r>
      <w:r w:rsidRPr="00925F26">
        <w:rPr>
          <w:rFonts w:ascii="Times New Roman" w:hAnsi="Times New Roman" w:cs="Times New Roman"/>
          <w:color w:val="000000" w:themeColor="text1"/>
          <w:sz w:val="16"/>
          <w:szCs w:val="16"/>
        </w:rPr>
        <w:softHyphen/>
        <w:t>кову письмо, в котором предлагал «з-д №30 /.../ ориентировать на серийную постройку» самолета Ил-16 АМ-43.</w:t>
      </w:r>
    </w:p>
    <w:p w14:paraId="20EAC2C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Мотив такого шага был понятен. За</w:t>
      </w:r>
      <w:r w:rsidRPr="00925F26">
        <w:rPr>
          <w:rFonts w:ascii="Times New Roman" w:hAnsi="Times New Roman" w:cs="Times New Roman"/>
          <w:color w:val="000000" w:themeColor="text1"/>
          <w:sz w:val="16"/>
          <w:szCs w:val="16"/>
        </w:rPr>
        <w:softHyphen/>
        <w:t>вод №30 прекращал серийное произ</w:t>
      </w:r>
      <w:r w:rsidRPr="00925F26">
        <w:rPr>
          <w:rFonts w:ascii="Times New Roman" w:hAnsi="Times New Roman" w:cs="Times New Roman"/>
          <w:color w:val="000000" w:themeColor="text1"/>
          <w:sz w:val="16"/>
          <w:szCs w:val="16"/>
        </w:rPr>
        <w:softHyphen/>
        <w:t>водство устаревших штурмовиков Ил-2 и обсуждался вопрос о загрузке его са</w:t>
      </w:r>
      <w:r w:rsidRPr="00925F26">
        <w:rPr>
          <w:rFonts w:ascii="Times New Roman" w:hAnsi="Times New Roman" w:cs="Times New Roman"/>
          <w:color w:val="000000" w:themeColor="text1"/>
          <w:sz w:val="16"/>
          <w:szCs w:val="16"/>
        </w:rPr>
        <w:softHyphen/>
        <w:t>молетами других ОКБ. Но такого разви</w:t>
      </w:r>
      <w:r w:rsidRPr="00925F26">
        <w:rPr>
          <w:rFonts w:ascii="Times New Roman" w:hAnsi="Times New Roman" w:cs="Times New Roman"/>
          <w:color w:val="000000" w:themeColor="text1"/>
          <w:sz w:val="16"/>
          <w:szCs w:val="16"/>
        </w:rPr>
        <w:softHyphen/>
        <w:t>тия событий допустить было нельзя.</w:t>
      </w:r>
    </w:p>
    <w:p w14:paraId="693F8E48"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Военные отреагировали быстро и вполне адекватно. Главный инженер ВВС КА генерал-полковник А.К. Репин, давая А.А. Новикову пояснения по данному во</w:t>
      </w:r>
      <w:r w:rsidRPr="00925F26">
        <w:rPr>
          <w:rFonts w:ascii="Times New Roman" w:hAnsi="Times New Roman" w:cs="Times New Roman"/>
          <w:color w:val="000000" w:themeColor="text1"/>
          <w:sz w:val="16"/>
          <w:szCs w:val="16"/>
        </w:rPr>
        <w:softHyphen/>
        <w:t>просу, обратил внимание командующе</w:t>
      </w:r>
      <w:r w:rsidRPr="00925F26">
        <w:rPr>
          <w:rFonts w:ascii="Times New Roman" w:hAnsi="Times New Roman" w:cs="Times New Roman"/>
          <w:color w:val="000000" w:themeColor="text1"/>
          <w:sz w:val="16"/>
          <w:szCs w:val="16"/>
        </w:rPr>
        <w:softHyphen/>
        <w:t>го на следующие обстоятельства, сопут</w:t>
      </w:r>
      <w:r w:rsidRPr="00925F26">
        <w:rPr>
          <w:rFonts w:ascii="Times New Roman" w:hAnsi="Times New Roman" w:cs="Times New Roman"/>
          <w:color w:val="000000" w:themeColor="text1"/>
          <w:sz w:val="16"/>
          <w:szCs w:val="16"/>
        </w:rPr>
        <w:softHyphen/>
        <w:t>ствующие постройке Ил-16: «...ЛТД/.../ являются проектными. При получении этих данных Ил-16 по сравнению с са</w:t>
      </w:r>
      <w:r w:rsidRPr="00925F26">
        <w:rPr>
          <w:rFonts w:ascii="Times New Roman" w:hAnsi="Times New Roman" w:cs="Times New Roman"/>
          <w:color w:val="000000" w:themeColor="text1"/>
          <w:sz w:val="16"/>
          <w:szCs w:val="16"/>
        </w:rPr>
        <w:softHyphen/>
        <w:t>молетом Ил-10 будет иметь преимуще</w:t>
      </w:r>
      <w:r w:rsidRPr="00925F26">
        <w:rPr>
          <w:rFonts w:ascii="Times New Roman" w:hAnsi="Times New Roman" w:cs="Times New Roman"/>
          <w:color w:val="000000" w:themeColor="text1"/>
          <w:sz w:val="16"/>
          <w:szCs w:val="16"/>
        </w:rPr>
        <w:softHyphen/>
        <w:t xml:space="preserve">ство по максимальной скорости у земли на 53 км/ч, на границе высотности - 74 км/ч. /.../ Эскизный проект и макет самолета на заключение в ГК НИИ ВВС не представлялся, самолет строится без </w:t>
      </w:r>
      <w:r w:rsidRPr="00925F26">
        <w:rPr>
          <w:rFonts w:ascii="Times New Roman" w:hAnsi="Times New Roman" w:cs="Times New Roman"/>
          <w:color w:val="000000" w:themeColor="text1"/>
          <w:sz w:val="16"/>
          <w:szCs w:val="16"/>
          <w:lang w:val="en-US"/>
        </w:rPr>
        <w:t>TTT</w:t>
      </w:r>
      <w:r w:rsidRPr="00925F26">
        <w:rPr>
          <w:rFonts w:ascii="Times New Roman" w:hAnsi="Times New Roman" w:cs="Times New Roman"/>
          <w:color w:val="000000" w:themeColor="text1"/>
          <w:sz w:val="16"/>
          <w:szCs w:val="16"/>
        </w:rPr>
        <w:t xml:space="preserve">. При постройке самолета не учтены выявленные при войсковых </w:t>
      </w:r>
      <w:r w:rsidRPr="00925F26">
        <w:rPr>
          <w:rFonts w:ascii="Times New Roman" w:hAnsi="Times New Roman" w:cs="Times New Roman"/>
          <w:color w:val="000000" w:themeColor="text1"/>
          <w:sz w:val="16"/>
          <w:szCs w:val="16"/>
        </w:rPr>
        <w:lastRenderedPageBreak/>
        <w:t>испытаниях конструктивные недостатки однотипно</w:t>
      </w:r>
      <w:r w:rsidRPr="00925F26">
        <w:rPr>
          <w:rFonts w:ascii="Times New Roman" w:hAnsi="Times New Roman" w:cs="Times New Roman"/>
          <w:color w:val="000000" w:themeColor="text1"/>
          <w:sz w:val="16"/>
          <w:szCs w:val="16"/>
        </w:rPr>
        <w:softHyphen/>
        <w:t>го самолета Ил-10. Основными из этих недостатков, оставшихся на самолете Ил-16, являются: расчет прочности са</w:t>
      </w:r>
      <w:r w:rsidRPr="00925F26">
        <w:rPr>
          <w:rFonts w:ascii="Times New Roman" w:hAnsi="Times New Roman" w:cs="Times New Roman"/>
          <w:color w:val="000000" w:themeColor="text1"/>
          <w:sz w:val="16"/>
          <w:szCs w:val="16"/>
        </w:rPr>
        <w:softHyphen/>
        <w:t>молета по классу «Б» (ограниченно ма</w:t>
      </w:r>
      <w:r w:rsidRPr="00925F26">
        <w:rPr>
          <w:rFonts w:ascii="Times New Roman" w:hAnsi="Times New Roman" w:cs="Times New Roman"/>
          <w:color w:val="000000" w:themeColor="text1"/>
          <w:sz w:val="16"/>
          <w:szCs w:val="16"/>
        </w:rPr>
        <w:softHyphen/>
        <w:t>невренные самолеты), в то время как он должен быть отнесен к классу «А» (ма</w:t>
      </w:r>
      <w:r w:rsidRPr="00925F26">
        <w:rPr>
          <w:rFonts w:ascii="Times New Roman" w:hAnsi="Times New Roman" w:cs="Times New Roman"/>
          <w:color w:val="000000" w:themeColor="text1"/>
          <w:sz w:val="16"/>
          <w:szCs w:val="16"/>
        </w:rPr>
        <w:softHyphen/>
        <w:t>невренные самолеты); ослабление бро</w:t>
      </w:r>
      <w:r w:rsidRPr="00925F26">
        <w:rPr>
          <w:rFonts w:ascii="Times New Roman" w:hAnsi="Times New Roman" w:cs="Times New Roman"/>
          <w:color w:val="000000" w:themeColor="text1"/>
          <w:sz w:val="16"/>
          <w:szCs w:val="16"/>
        </w:rPr>
        <w:softHyphen/>
        <w:t>нирования по сравнению с самолетом Ил-10 (вес брони снизился на 230 кг); сложная и громоздкая система подве</w:t>
      </w:r>
      <w:r w:rsidRPr="00925F26">
        <w:rPr>
          <w:rFonts w:ascii="Times New Roman" w:hAnsi="Times New Roman" w:cs="Times New Roman"/>
          <w:color w:val="000000" w:themeColor="text1"/>
          <w:sz w:val="16"/>
          <w:szCs w:val="16"/>
        </w:rPr>
        <w:softHyphen/>
        <w:t>ски наружных бомб; /.../ отсутствие си</w:t>
      </w:r>
      <w:r w:rsidRPr="00925F26">
        <w:rPr>
          <w:rFonts w:ascii="Times New Roman" w:hAnsi="Times New Roman" w:cs="Times New Roman"/>
          <w:color w:val="000000" w:themeColor="text1"/>
          <w:sz w:val="16"/>
          <w:szCs w:val="16"/>
        </w:rPr>
        <w:softHyphen/>
        <w:t>стемы нейтральных газов и пылефиль- тров».</w:t>
      </w:r>
    </w:p>
    <w:p w14:paraId="46424443"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Командующий ВВС маршал А.А. Но</w:t>
      </w:r>
      <w:r w:rsidRPr="00925F26">
        <w:rPr>
          <w:rFonts w:ascii="Times New Roman" w:hAnsi="Times New Roman" w:cs="Times New Roman"/>
          <w:color w:val="000000" w:themeColor="text1"/>
          <w:sz w:val="16"/>
          <w:szCs w:val="16"/>
        </w:rPr>
        <w:softHyphen/>
        <w:t>виков в своем ответе вежливо пояснил Главному конструктору, что «до запуска в серию Ил-16 с М-43 должен пройти Госиспытания».</w:t>
      </w:r>
    </w:p>
    <w:p w14:paraId="77418B96"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Ильюшин был вынужден официаль</w:t>
      </w:r>
      <w:r w:rsidRPr="00925F26">
        <w:rPr>
          <w:rFonts w:ascii="Times New Roman" w:hAnsi="Times New Roman" w:cs="Times New Roman"/>
          <w:color w:val="000000" w:themeColor="text1"/>
          <w:sz w:val="16"/>
          <w:szCs w:val="16"/>
        </w:rPr>
        <w:softHyphen/>
        <w:t>но снять свое предложение о запуске в серийное производство Ил-16 на заво</w:t>
      </w:r>
      <w:r w:rsidRPr="00925F26">
        <w:rPr>
          <w:rFonts w:ascii="Times New Roman" w:hAnsi="Times New Roman" w:cs="Times New Roman"/>
          <w:color w:val="000000" w:themeColor="text1"/>
          <w:sz w:val="16"/>
          <w:szCs w:val="16"/>
        </w:rPr>
        <w:softHyphen/>
        <w:t>де №30 (17469).</w:t>
      </w:r>
    </w:p>
    <w:p w14:paraId="2895041C"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7CB8182"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25 мая 1945 года, практически сразу же после отрицательного заключения по самолету Ил-8 АМ-42, С. В. Ильюшин направил командующему ВВС главному маршалу А. А. Новикову письмо, в котором предлагал «з-д № 30/... /ориентировать на серийную постройку» самолета Ил-16 АМ-43.</w:t>
      </w:r>
    </w:p>
    <w:p w14:paraId="5534422D"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Мотив такого шага был понятен. Завод № 30 прекращал серийное производство устаревших штурмовиков Ил-2, и обсуждался вопрос о загрузке его самолетами других ОКБ. Но такого развития событий допустить было нельзя.</w:t>
      </w:r>
    </w:p>
    <w:p w14:paraId="50DB8C31"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 xml:space="preserve">Военные отреагировали быстро и вполне адекватно. Главный инженер ВВС КА генерал-полковник А. К. Репин, давая А. А. Новикову пояснения по данному вопросу, обратил внимание командующего на следующие обстоятельства, сопутствующие постройке Ил-16: «... ЛТД/.../являются проектными. При получении этих данных Ил-16 по сравнению с самолетом Ил-10 будет иметь преимущество по максимальной скорости у земли на 53 км/ч, на границе высотности - 74 км/ч./. </w:t>
      </w:r>
      <w:proofErr w:type="gramStart"/>
      <w:r w:rsidRPr="00925F26">
        <w:rPr>
          <w:rStyle w:val="107"/>
          <w:rFonts w:eastAsiaTheme="minorHAnsi"/>
          <w:color w:val="000000" w:themeColor="text1"/>
          <w:sz w:val="16"/>
          <w:szCs w:val="16"/>
        </w:rPr>
        <w:t>..</w:t>
      </w:r>
      <w:proofErr w:type="gramEnd"/>
      <w:r w:rsidRPr="00925F26">
        <w:rPr>
          <w:rStyle w:val="107"/>
          <w:rFonts w:eastAsiaTheme="minorHAnsi"/>
          <w:color w:val="000000" w:themeColor="text1"/>
          <w:sz w:val="16"/>
          <w:szCs w:val="16"/>
        </w:rPr>
        <w:t>/Эскизный проект и макет самолета на заключение в ГК НИИ ВВС не представлялся, самолет строится без ТТТ. При постройке самолета не учтены выявленные при войсковых испытаниях конструктивные недостатки однотипного самолета Ил-10. Основными из этих недостатков, оставшихся на самолете Ил-16, являются: расчет прочности самолета по классу «Б» (ограниченно маневренные самолеты), в то время как он должен быть отнесен к классу «А» (маневренные самолеты); ослабление бронирования по сравнению с самолетом</w:t>
      </w:r>
    </w:p>
    <w:p w14:paraId="119E1775"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Ил-10 (вес брони снизился на 230 кг); сложная и громоздкая система подвески наружных бомб;/.../отсутствие системы нейтральных газов и пылефильтров».</w:t>
      </w:r>
    </w:p>
    <w:p w14:paraId="78F6AD4E"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Командующий ВВС главный маршал А. А. Новиков в своем ответе вежливо пояснил главному конструктору, что «до запуска в серию Ил-16 с М-43 должен пройти госиспытания».</w:t>
      </w:r>
    </w:p>
    <w:p w14:paraId="2A638651" w14:textId="77777777" w:rsidR="003605FA" w:rsidRPr="00925F26" w:rsidRDefault="003605FA" w:rsidP="00925F26">
      <w:pPr>
        <w:jc w:val="both"/>
        <w:rPr>
          <w:color w:val="000000" w:themeColor="text1"/>
          <w:sz w:val="16"/>
          <w:szCs w:val="16"/>
        </w:rPr>
      </w:pPr>
      <w:r w:rsidRPr="00925F26">
        <w:rPr>
          <w:rStyle w:val="107"/>
          <w:rFonts w:eastAsiaTheme="minorHAnsi"/>
          <w:color w:val="000000" w:themeColor="text1"/>
          <w:sz w:val="16"/>
          <w:szCs w:val="16"/>
        </w:rPr>
        <w:t>Ильюшин был вынужден официально снять свое предложение о запуске в серийное производство Ил-16 на заводе № 30 (17490).</w:t>
      </w:r>
    </w:p>
    <w:p w14:paraId="4724AA5E" w14:textId="77777777" w:rsidR="003605FA" w:rsidRPr="00925F26" w:rsidRDefault="003605FA" w:rsidP="00925F26">
      <w:pPr>
        <w:jc w:val="both"/>
        <w:rPr>
          <w:rStyle w:val="107"/>
          <w:rFonts w:eastAsiaTheme="minorHAnsi"/>
          <w:color w:val="000000" w:themeColor="text1"/>
          <w:sz w:val="16"/>
          <w:szCs w:val="16"/>
        </w:rPr>
      </w:pPr>
    </w:p>
    <w:p w14:paraId="64A8A2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года в письме авиаконструктора В. М. Мясищева наркому авиапромышленности А.И.Шхурину первый раз в документах НКАП появилось упоминание о копировании В-29. В нем, в частности, говорилось: "Вся работа но выпуску чертежей (В-29) может быть выполнена ОКБ тов. Незваля, серийно-конструкторским отделом и частью конструкторов нашею ОКБ, находящегося на 22-м заводе, освобожденными от работы но серийному Пе-2". В этом же письме рекомендовалось использовать отечественные моторы АШ-72 и пушки Б-20 вместо американских пулеметов (3457,120).</w:t>
      </w:r>
    </w:p>
    <w:p w14:paraId="347F4294" w14:textId="77777777" w:rsidR="00665165" w:rsidRPr="00925F26" w:rsidRDefault="00665165" w:rsidP="00925F26">
      <w:pPr>
        <w:autoSpaceDE w:val="0"/>
        <w:autoSpaceDN w:val="0"/>
        <w:adjustRightInd w:val="0"/>
        <w:jc w:val="both"/>
        <w:rPr>
          <w:color w:val="000000" w:themeColor="text1"/>
          <w:sz w:val="16"/>
          <w:szCs w:val="16"/>
        </w:rPr>
      </w:pPr>
    </w:p>
    <w:p w14:paraId="1129F1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мая 1945, т.е. на следующий день после письма Туполе</w:t>
      </w:r>
      <w:r w:rsidRPr="00925F26">
        <w:rPr>
          <w:color w:val="000000" w:themeColor="text1"/>
          <w:sz w:val="16"/>
          <w:szCs w:val="16"/>
        </w:rPr>
        <w:softHyphen/>
        <w:t>ва, В.М. Мясищева сообщает А.И. Шахурину:</w:t>
      </w:r>
    </w:p>
    <w:p w14:paraId="112264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«Вся работа по выпуску чертежей (самолета В-29. — Прим, авт.) может быть выполнена ОКБ тов. Незваля, се</w:t>
      </w:r>
      <w:r w:rsidRPr="00925F26">
        <w:rPr>
          <w:color w:val="000000" w:themeColor="text1"/>
          <w:sz w:val="16"/>
          <w:szCs w:val="16"/>
        </w:rPr>
        <w:softHyphen/>
        <w:t>рийно-конструкторским отделом и частью конструкторов нашего ОКБ, находящимися на 22-м заводе, освобожден</w:t>
      </w:r>
      <w:r w:rsidRPr="00925F26">
        <w:rPr>
          <w:color w:val="000000" w:themeColor="text1"/>
          <w:sz w:val="16"/>
          <w:szCs w:val="16"/>
        </w:rPr>
        <w:softHyphen/>
        <w:t>ными от работы по серийному Пе-2».</w:t>
      </w:r>
    </w:p>
    <w:p w14:paraId="6F8150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этого, ОКБ-482 рекомендовало установить на будущий Б-4 отечественные двигатели АШ-72 и пушки Б-20 (11446).</w:t>
      </w:r>
    </w:p>
    <w:p w14:paraId="4EEA00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2101A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В.М.М. писал письмо НКАП А.И.Ш. с предложением скопировать В-29. "Вся работа по выпуску чертежей может быть выполнена ОКБ Незваля, серийно-конструкторским отделом и частью конструкторов нашего ОКБ, находящейся на заводе 22, освобожденными от работы по серийному Пе-2." Рекомендовал использовать АШ-72 и Б-20 вместо американских (2645,25).</w:t>
      </w:r>
    </w:p>
    <w:p w14:paraId="3EE7F47D" w14:textId="77777777" w:rsidR="00665165" w:rsidRPr="00925F26" w:rsidRDefault="00665165" w:rsidP="00925F26">
      <w:pPr>
        <w:autoSpaceDE w:val="0"/>
        <w:autoSpaceDN w:val="0"/>
        <w:adjustRightInd w:val="0"/>
        <w:jc w:val="both"/>
        <w:rPr>
          <w:color w:val="000000" w:themeColor="text1"/>
          <w:sz w:val="16"/>
          <w:szCs w:val="16"/>
        </w:rPr>
      </w:pPr>
    </w:p>
    <w:p w14:paraId="639B2911" w14:textId="77777777" w:rsidR="006979C2" w:rsidRPr="00925F26" w:rsidRDefault="006979C2"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25 мая 1945, на сле</w:t>
      </w:r>
      <w:r w:rsidRPr="00925F26">
        <w:rPr>
          <w:color w:val="000000" w:themeColor="text1"/>
          <w:sz w:val="16"/>
          <w:szCs w:val="16"/>
        </w:rPr>
        <w:softHyphen/>
        <w:t>дующий день после доклада ТуполеваВ.М. Мясишева сообщает на</w:t>
      </w:r>
      <w:r w:rsidRPr="00925F26">
        <w:rPr>
          <w:color w:val="000000" w:themeColor="text1"/>
          <w:sz w:val="16"/>
          <w:szCs w:val="16"/>
        </w:rPr>
        <w:softHyphen/>
        <w:t>ркому А.И. Шахурину:</w:t>
      </w:r>
    </w:p>
    <w:p w14:paraId="528350DC" w14:textId="77777777" w:rsidR="006979C2" w:rsidRPr="00925F26" w:rsidRDefault="006979C2" w:rsidP="00925F26">
      <w:pPr>
        <w:pStyle w:val="92"/>
        <w:shd w:val="clear" w:color="auto" w:fill="auto"/>
        <w:spacing w:after="0" w:line="240" w:lineRule="auto"/>
        <w:ind w:firstLine="0"/>
        <w:jc w:val="both"/>
        <w:rPr>
          <w:color w:val="000000" w:themeColor="text1"/>
          <w:sz w:val="16"/>
          <w:szCs w:val="16"/>
        </w:rPr>
      </w:pPr>
      <w:r w:rsidRPr="00925F26">
        <w:rPr>
          <w:rStyle w:val="aff6"/>
          <w:rFonts w:ascii="Times New Roman" w:hAnsi="Times New Roman" w:cs="Times New Roman"/>
          <w:i w:val="0"/>
          <w:color w:val="000000" w:themeColor="text1"/>
        </w:rPr>
        <w:t>«Вся работа по выпуску чертежей (самоле</w:t>
      </w:r>
      <w:r w:rsidRPr="00925F26">
        <w:rPr>
          <w:rStyle w:val="aff6"/>
          <w:rFonts w:ascii="Times New Roman" w:hAnsi="Times New Roman" w:cs="Times New Roman"/>
          <w:i w:val="0"/>
          <w:color w:val="000000" w:themeColor="text1"/>
        </w:rPr>
        <w:softHyphen/>
        <w:t>та В-29) может быть выполне</w:t>
      </w:r>
      <w:r w:rsidRPr="00925F26">
        <w:rPr>
          <w:rStyle w:val="aff6"/>
          <w:rFonts w:ascii="Times New Roman" w:hAnsi="Times New Roman" w:cs="Times New Roman"/>
          <w:i w:val="0"/>
          <w:color w:val="000000" w:themeColor="text1"/>
        </w:rPr>
        <w:softHyphen/>
        <w:t>на ОКБ тов. Незваля, серийно-конструктор- ким отделом и частью конструкторов нашего ОКБ, находящимися на 22-м заводе, освобо</w:t>
      </w:r>
      <w:r w:rsidRPr="00925F26">
        <w:rPr>
          <w:rStyle w:val="aff6"/>
          <w:rFonts w:ascii="Times New Roman" w:hAnsi="Times New Roman" w:cs="Times New Roman"/>
          <w:i w:val="0"/>
          <w:color w:val="000000" w:themeColor="text1"/>
        </w:rPr>
        <w:softHyphen/>
        <w:t xml:space="preserve">жденными от работы по серийному Пе-2». </w:t>
      </w:r>
      <w:r w:rsidRPr="00925F26">
        <w:rPr>
          <w:color w:val="000000" w:themeColor="text1"/>
          <w:sz w:val="16"/>
          <w:szCs w:val="16"/>
        </w:rPr>
        <w:t>На будущем Б-4 конструкторы ОКБ-482 рекомендовали установить отечественные двигатели АШ-72 и пушки Б-20. Но уси</w:t>
      </w:r>
      <w:r w:rsidRPr="00925F26">
        <w:rPr>
          <w:color w:val="000000" w:themeColor="text1"/>
          <w:sz w:val="16"/>
          <w:szCs w:val="16"/>
        </w:rPr>
        <w:softHyphen/>
        <w:t>лия Мясишева оказались тщетны (12292).</w:t>
      </w:r>
    </w:p>
    <w:p w14:paraId="12C1E00A" w14:textId="77777777" w:rsidR="006979C2" w:rsidRPr="00925F26" w:rsidRDefault="006979C2" w:rsidP="00925F26">
      <w:pPr>
        <w:pStyle w:val="92"/>
        <w:shd w:val="clear" w:color="auto" w:fill="auto"/>
        <w:spacing w:after="0" w:line="240" w:lineRule="auto"/>
        <w:ind w:firstLine="0"/>
        <w:jc w:val="both"/>
        <w:rPr>
          <w:color w:val="000000" w:themeColor="text1"/>
          <w:sz w:val="16"/>
          <w:szCs w:val="16"/>
        </w:rPr>
      </w:pPr>
    </w:p>
    <w:p w14:paraId="32BCAA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закончили строительство ДБ-108 с усиленным вооружением с ЛУ и УБ на шкворне (2471,42).</w:t>
      </w:r>
    </w:p>
    <w:p w14:paraId="0AE5427F" w14:textId="77777777" w:rsidR="00665165" w:rsidRPr="00925F26" w:rsidRDefault="00665165" w:rsidP="00925F26">
      <w:pPr>
        <w:autoSpaceDE w:val="0"/>
        <w:autoSpaceDN w:val="0"/>
        <w:adjustRightInd w:val="0"/>
        <w:jc w:val="both"/>
        <w:rPr>
          <w:color w:val="000000" w:themeColor="text1"/>
          <w:sz w:val="16"/>
          <w:szCs w:val="16"/>
        </w:rPr>
      </w:pPr>
    </w:p>
    <w:p w14:paraId="1834C7BF" w14:textId="77777777" w:rsidR="00BE2FB1" w:rsidRPr="00925F26" w:rsidRDefault="00BE2FB1" w:rsidP="00925F26">
      <w:pPr>
        <w:jc w:val="both"/>
        <w:rPr>
          <w:color w:val="000000" w:themeColor="text1"/>
          <w:sz w:val="16"/>
          <w:szCs w:val="16"/>
        </w:rPr>
      </w:pPr>
      <w:r w:rsidRPr="00925F26">
        <w:rPr>
          <w:bCs/>
          <w:color w:val="000000" w:themeColor="text1"/>
          <w:sz w:val="16"/>
          <w:szCs w:val="16"/>
        </w:rPr>
        <w:t>25 мая</w:t>
      </w:r>
      <w:r w:rsidRPr="00925F26">
        <w:rPr>
          <w:color w:val="000000" w:themeColor="text1"/>
          <w:sz w:val="16"/>
          <w:szCs w:val="16"/>
        </w:rPr>
        <w:t xml:space="preserve"> в 1945 году завершена постройка второго опытного </w:t>
      </w:r>
      <w:hyperlink r:id="rId126" w:tgtFrame="_blank" w:history="1">
        <w:r w:rsidRPr="00925F26">
          <w:rPr>
            <w:color w:val="000000" w:themeColor="text1"/>
            <w:sz w:val="16"/>
            <w:szCs w:val="16"/>
          </w:rPr>
          <w:t xml:space="preserve">«ДБ-108» </w:t>
        </w:r>
      </w:hyperlink>
      <w:r w:rsidRPr="00925F26">
        <w:rPr>
          <w:color w:val="000000" w:themeColor="text1"/>
          <w:sz w:val="16"/>
          <w:szCs w:val="16"/>
        </w:rPr>
        <w:t>с усиленным вариантом вооружения", дополнительно включавшим люковую пушечную установку и пулемет «УБТ» на шкворне у третьего члена экипажа - стрелка-радиста, во исполнение приказа НКАП № 42 от 5 февраля 1945 года (14902).</w:t>
      </w:r>
    </w:p>
    <w:p w14:paraId="3BDFBA69" w14:textId="77777777" w:rsidR="00BE2FB1" w:rsidRPr="00925F26" w:rsidRDefault="00BE2FB1" w:rsidP="00925F26">
      <w:pPr>
        <w:jc w:val="both"/>
        <w:rPr>
          <w:color w:val="000000" w:themeColor="text1"/>
          <w:sz w:val="16"/>
          <w:szCs w:val="16"/>
        </w:rPr>
      </w:pPr>
    </w:p>
    <w:p w14:paraId="10FF27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г. была завершена постройка второго экз. ДВБ-108. При всем несовершенстве сделанных на скорую руку новых подвижных установок их внедрение диктовалось жестокой необходимостью. Довести страдающую хроническими дефектами хвостовую ДЭУ по-прежнему не удавалось. Окончательно решить задачу создания дистанционно управляемой пушечной установки советская авиапромышленность сумела лишь спустя несколько лет, после ознакомления с трофейными немецкими разработками и подвижными башнями американского бомбардировщика В-29 (4476).</w:t>
      </w:r>
    </w:p>
    <w:p w14:paraId="27A240BD" w14:textId="77777777" w:rsidR="00665165" w:rsidRPr="00925F26" w:rsidRDefault="00665165" w:rsidP="00925F26">
      <w:pPr>
        <w:autoSpaceDE w:val="0"/>
        <w:autoSpaceDN w:val="0"/>
        <w:adjustRightInd w:val="0"/>
        <w:jc w:val="both"/>
        <w:rPr>
          <w:color w:val="000000" w:themeColor="text1"/>
          <w:sz w:val="16"/>
          <w:szCs w:val="16"/>
        </w:rPr>
      </w:pPr>
    </w:p>
    <w:p w14:paraId="169A56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г. была завершена постройка второго ДБ-108, построеннного в соответствии с приказот НКАП № 42 от 5 февраля 1945, в котором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стрелка радиста. При всем несовершенстве сделанных на скорую руку новых подвижных установок их внедрение диктовалось крайней необходимостью. Довести страдающую хроническими дефектами хвостовую ДЭУ по-прежнему не удавалось.</w:t>
      </w:r>
    </w:p>
    <w:p w14:paraId="39E8A2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первых дней летных испытаний прототипа ДБ-108 стало очевидно, что новые моторы являются еще более "сырыми" и капризными, чем ВК-107А. Доводка машины оказалась исключительно сложным и опасным делом. В одном из испытательных полетов 5 июня 1945 г. произошла катастрофа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2CB6F9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029FF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4ED3AF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29F685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716809B8" w14:textId="77777777" w:rsidR="00665165" w:rsidRPr="00925F26" w:rsidRDefault="00665165" w:rsidP="00925F26">
      <w:pPr>
        <w:autoSpaceDE w:val="0"/>
        <w:autoSpaceDN w:val="0"/>
        <w:adjustRightInd w:val="0"/>
        <w:jc w:val="both"/>
        <w:rPr>
          <w:color w:val="000000" w:themeColor="text1"/>
          <w:sz w:val="16"/>
          <w:szCs w:val="16"/>
        </w:rPr>
      </w:pPr>
    </w:p>
    <w:p w14:paraId="3F49C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25 мая 1945 г. Решением ГОКО № 8004 от Ер-2 с производства был снят, однако продолжались работы над его VIР-вариантом - самолетом Ер-20Н, которые, учитывая его "особое" назначение, контролировались лично наркомом авиационной промышленности. Достаточно сказать, что ход строительства Ер-20Н дважды обсуждался на коллегии Наркомата - в октябре и ноябре 1945 г.</w:t>
      </w:r>
    </w:p>
    <w:p w14:paraId="0B827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Всего на 39-м авиазаводе с 1943 по 1945 гг. был построен 391 экземпляр Ер-2 (2 - в 1943 г., 148 - в 1944 г., 241 - в 1945 г.). В 1943 г. завод построил рекордное количество самолетов - 882!</w:t>
      </w:r>
    </w:p>
    <w:p w14:paraId="281C57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истории отечественной авиации Ер-2 остался как единственный полноценный дальний бомбардировщик с дизельными двигателями, который выпускался в СССР серийно и принимал активное участие в боевых действиях (12037).</w:t>
      </w:r>
    </w:p>
    <w:p w14:paraId="625A5FAD" w14:textId="77777777" w:rsidR="00665165" w:rsidRPr="00925F26" w:rsidRDefault="00665165" w:rsidP="00925F26">
      <w:pPr>
        <w:autoSpaceDE w:val="0"/>
        <w:autoSpaceDN w:val="0"/>
        <w:adjustRightInd w:val="0"/>
        <w:jc w:val="both"/>
        <w:rPr>
          <w:color w:val="000000" w:themeColor="text1"/>
          <w:sz w:val="16"/>
          <w:szCs w:val="16"/>
        </w:rPr>
      </w:pPr>
    </w:p>
    <w:p w14:paraId="401565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25 мая по 9 июля 1945 Ю.А.Антипов проводил гос. испытания Як-3 ВК107А цельнометаллического. Было 44 полета продолжительностью 25:50 и запустили в серию, но не очень удачно. И - И.А.Колосов, и по ВМГ А.И.Хвостовский, и по вооружению А.Г.Аронов, и по спецоборудованию А.И.Красовский, т В.Ф.Сбитнев. В облете приняли участие А.Г.Кочетков, А.Г.Прошаков, Г.А.Седов, В.Г.Иванов, А.А.Манучаров и др. Остались те же дефекты, что и на машине смешанной конструкции и дефекты ВМГ не позволяли полностью использовать боевой режим двигателя в полете. Хотели устранить до запуска в серию (65,195).</w:t>
      </w:r>
    </w:p>
    <w:p w14:paraId="0FEEA61E" w14:textId="77777777" w:rsidR="00665165" w:rsidRPr="00925F26" w:rsidRDefault="00665165" w:rsidP="00925F26">
      <w:pPr>
        <w:autoSpaceDE w:val="0"/>
        <w:autoSpaceDN w:val="0"/>
        <w:adjustRightInd w:val="0"/>
        <w:jc w:val="both"/>
        <w:rPr>
          <w:color w:val="000000" w:themeColor="text1"/>
          <w:sz w:val="16"/>
          <w:szCs w:val="16"/>
        </w:rPr>
      </w:pPr>
    </w:p>
    <w:p w14:paraId="5167750F" w14:textId="77777777" w:rsidR="007E3239" w:rsidRPr="00925F26" w:rsidRDefault="007E3239" w:rsidP="00925F26">
      <w:pPr>
        <w:jc w:val="both"/>
        <w:rPr>
          <w:color w:val="000000" w:themeColor="text1"/>
          <w:sz w:val="16"/>
          <w:szCs w:val="16"/>
        </w:rPr>
      </w:pPr>
      <w:r w:rsidRPr="00925F26">
        <w:rPr>
          <w:bCs/>
          <w:color w:val="000000" w:themeColor="text1"/>
          <w:sz w:val="16"/>
          <w:szCs w:val="16"/>
        </w:rPr>
        <w:t>25 мая</w:t>
      </w:r>
      <w:r w:rsidRPr="00925F26">
        <w:rPr>
          <w:color w:val="000000" w:themeColor="text1"/>
          <w:sz w:val="16"/>
          <w:szCs w:val="16"/>
        </w:rPr>
        <w:t xml:space="preserve"> в 1945 году в HИИ ВВС начались (по 9 июня) госиспытания цельнометаллического </w:t>
      </w:r>
      <w:hyperlink r:id="rId127" w:tgtFrame="_blank" w:history="1">
        <w:r w:rsidRPr="00925F26">
          <w:rPr>
            <w:color w:val="000000" w:themeColor="text1"/>
            <w:sz w:val="16"/>
            <w:szCs w:val="16"/>
          </w:rPr>
          <w:t xml:space="preserve">«Як-З» «ВК-107А». </w:t>
        </w:r>
      </w:hyperlink>
      <w:r w:rsidRPr="00925F26">
        <w:rPr>
          <w:color w:val="000000" w:themeColor="text1"/>
          <w:sz w:val="16"/>
          <w:szCs w:val="16"/>
        </w:rPr>
        <w:t>По результатам госиспытаний было сделано следующее заключение: максимальные скорости удовлетворяют постановлению ГКО; остались неустраненными дефекты, выявленные на опытном «Як-З» «ВК-107А»</w:t>
      </w:r>
      <w:proofErr w:type="gramStart"/>
      <w:r w:rsidRPr="00925F26">
        <w:rPr>
          <w:color w:val="000000" w:themeColor="text1"/>
          <w:sz w:val="16"/>
          <w:szCs w:val="16"/>
        </w:rPr>
        <w:t>.</w:t>
      </w:r>
      <w:proofErr w:type="gramEnd"/>
      <w:r w:rsidRPr="00925F26">
        <w:rPr>
          <w:color w:val="000000" w:themeColor="text1"/>
          <w:sz w:val="16"/>
          <w:szCs w:val="16"/>
        </w:rPr>
        <w:t xml:space="preserve"> смешанной конструкции, прошедшем госиспытания в мае 1944 г.; дефекты ВМГ не позволяют полностью использовать боевой режим двигателя в полете. Предлагалось устранить конструктивные и производственные дефекты до запуска самолета в серию. В 1945 году заводом N31 было выпущено 40 и в 1946 году - 8 цельнометаллических «Як-З» «ВК-107А</w:t>
      </w:r>
      <w:proofErr w:type="gramStart"/>
      <w:r w:rsidRPr="00925F26">
        <w:rPr>
          <w:color w:val="000000" w:themeColor="text1"/>
          <w:sz w:val="16"/>
          <w:szCs w:val="16"/>
        </w:rPr>
        <w:t>»..</w:t>
      </w:r>
      <w:proofErr w:type="gramEnd"/>
      <w:r w:rsidRPr="00925F26">
        <w:rPr>
          <w:color w:val="000000" w:themeColor="text1"/>
          <w:sz w:val="16"/>
          <w:szCs w:val="16"/>
        </w:rPr>
        <w:t xml:space="preserve"> С IV квартала 1945 года по III квартал 1946 года завод занимался доработкой выпущенных "по сборке" этих 48 самолетов для сдачи их заказчику. Все работы по цельнометаллическому «Як-З» в конце 1946 г. были прекращены. Было решено двигатель «ВК-107А» ставить лишь на более приспособленный для этого «Як-9У» (14902).</w:t>
      </w:r>
    </w:p>
    <w:p w14:paraId="0902A814" w14:textId="77777777" w:rsidR="007E3239" w:rsidRPr="00925F26" w:rsidRDefault="007E3239" w:rsidP="00925F26">
      <w:pPr>
        <w:jc w:val="both"/>
        <w:rPr>
          <w:color w:val="000000" w:themeColor="text1"/>
          <w:sz w:val="16"/>
          <w:szCs w:val="16"/>
        </w:rPr>
      </w:pPr>
    </w:p>
    <w:p w14:paraId="574A7BCF" w14:textId="77777777" w:rsidR="00736BA6" w:rsidRPr="001A0BAA" w:rsidRDefault="00736BA6" w:rsidP="00736BA6">
      <w:pPr>
        <w:jc w:val="both"/>
        <w:rPr>
          <w:color w:val="0070C0"/>
          <w:sz w:val="16"/>
          <w:szCs w:val="16"/>
        </w:rPr>
      </w:pPr>
      <w:r w:rsidRPr="001A0BAA">
        <w:rPr>
          <w:color w:val="0070C0"/>
          <w:sz w:val="16"/>
          <w:szCs w:val="16"/>
        </w:rPr>
        <w:t>С 25 мая по 9 июня 1945 года продолжались государственные испытания прототипа цельнометаллического самолета Як-3 с ВК-107А, изготовленного на заводе № 31 в Тбилиси 31 марта. Самолет совершил 44 полета и получил рекомендацию к серийному производству. Завод № 31 в Тбилиси в 1945 году выпустил 40 цельнометаллических Яка</w:t>
      </w:r>
      <w:r w:rsidRPr="001A0BAA">
        <w:rPr>
          <w:color w:val="0070C0"/>
          <w:sz w:val="16"/>
          <w:szCs w:val="16"/>
        </w:rPr>
        <w:noBreakHyphen/>
        <w:t>3, еще восемь машин собрали в 1946 году. Потом было решено прекратить выпуск Як</w:t>
      </w:r>
      <w:r w:rsidRPr="001A0BAA">
        <w:rPr>
          <w:color w:val="0070C0"/>
          <w:sz w:val="16"/>
          <w:szCs w:val="16"/>
        </w:rPr>
        <w:noBreakHyphen/>
        <w:t>3 с двигателем ВК</w:t>
      </w:r>
      <w:r w:rsidRPr="001A0BAA">
        <w:rPr>
          <w:color w:val="0070C0"/>
          <w:sz w:val="16"/>
          <w:szCs w:val="16"/>
        </w:rPr>
        <w:noBreakHyphen/>
        <w:t>107А, переключившись на выпуск Як</w:t>
      </w:r>
      <w:r w:rsidRPr="001A0BAA">
        <w:rPr>
          <w:color w:val="0070C0"/>
          <w:sz w:val="16"/>
          <w:szCs w:val="16"/>
        </w:rPr>
        <w:noBreakHyphen/>
        <w:t>9У, которые лучше соответствовали новому мотору (25076).</w:t>
      </w:r>
    </w:p>
    <w:p w14:paraId="5F7C8CB0" w14:textId="77777777" w:rsidR="00736BA6" w:rsidRPr="001A0BAA" w:rsidRDefault="00736BA6" w:rsidP="00736BA6">
      <w:pPr>
        <w:jc w:val="both"/>
        <w:rPr>
          <w:color w:val="0070C0"/>
          <w:sz w:val="16"/>
          <w:szCs w:val="16"/>
        </w:rPr>
      </w:pPr>
    </w:p>
    <w:p w14:paraId="45F6C2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25 мая 1945 г. на аэродроме «Чкаловская» закончились испытания облегченного варианта FW-190A-8 </w:t>
      </w:r>
      <w:proofErr w:type="gramStart"/>
      <w:r w:rsidRPr="00925F26">
        <w:rPr>
          <w:color w:val="000000" w:themeColor="text1"/>
          <w:sz w:val="16"/>
          <w:szCs w:val="16"/>
        </w:rPr>
        <w:t>и  -</w:t>
      </w:r>
      <w:proofErr w:type="gramEnd"/>
      <w:r w:rsidRPr="00925F26">
        <w:rPr>
          <w:color w:val="000000" w:themeColor="text1"/>
          <w:sz w:val="16"/>
          <w:szCs w:val="16"/>
        </w:rPr>
        <w:t xml:space="preserve">самолета FW-190D-9 (11860), которые шли с 11 мая. FW-190D-9 отличался от своих предшественников, главным образом,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группой. Вместо звездообразного двигателя воздушного охлаждения BMW-801 использовали V-образный Jumo-213A водяного охлаждения с непосредственным впрыском топлива и винтом изменяемого шага VS-111, лопасти которого были деревянными. На двигателе устанавливались автоматический двухскоростной приводной центробежный нагнетатель и устройство для впрыска водо-</w:t>
      </w:r>
      <w:proofErr w:type="gramStart"/>
      <w:r w:rsidRPr="00925F26">
        <w:rPr>
          <w:color w:val="000000" w:themeColor="text1"/>
          <w:sz w:val="16"/>
          <w:szCs w:val="16"/>
        </w:rPr>
        <w:t>спир-товой</w:t>
      </w:r>
      <w:proofErr w:type="gramEnd"/>
      <w:r w:rsidRPr="00925F26">
        <w:rPr>
          <w:color w:val="000000" w:themeColor="text1"/>
          <w:sz w:val="16"/>
          <w:szCs w:val="16"/>
        </w:rPr>
        <w:t xml:space="preserve"> смеси, увеличивавшее мощность в чрезвычайных случаях с 1900 до 2100 л.с. Управление силовой установкой происходило с помощью центрального поста, позволявшего перемещением рычага управления двигателем задавать эксплуатационные параметры мотора и винта в их оптимальном сочетании.</w:t>
      </w:r>
    </w:p>
    <w:p w14:paraId="269A6E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Горючее размещалось в трех про-тектированных бензобаках общей емкостью 642 литра. Предусматривалась возможность установки еще и подвесного бензобака на 300 литров.</w:t>
      </w:r>
    </w:p>
    <w:p w14:paraId="0D9BB4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Защитные мероприятия включали в себя наличие бронестекла толщиной 45 мм в передней части козырька фонаря кабины пилота, бронеза-головника толщиной 12 мм, восьмимиллиметровой бронеспинки и четырех 5-мм бронеплит за сиденьем пилота.</w:t>
      </w:r>
    </w:p>
    <w:p w14:paraId="2962D7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самолета было таким же, как и на FW-190A-8. Оно состояло из двух синхронных пушек MG-151 калибра 20 мм и двух пулеметов MG-131 калибра 13 мм, общий боекомплект которых насчитывал 400 и 900 патронов соответственно. В отличие от советских истребителей синхронные пушки размещались в крыле, а пулеметы - над двигателями.</w:t>
      </w:r>
    </w:p>
    <w:p w14:paraId="4FDF3A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самолете имелась связная УКВ-радиостанция F и G - 16ZY и локационный ответчик «свой - чужой» F и G-25. Отличительной особенностью радиостанции было то, что ее приемник использовался в системе радиополукомпаса.</w:t>
      </w:r>
    </w:p>
    <w:p w14:paraId="41CC55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борьбы с обледенением стекла фонаря опрыскивались бензином, а на переднем и левом боковом стеклах имелись еще и электротермические устройства.</w:t>
      </w:r>
    </w:p>
    <w:p w14:paraId="5707F5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результате модернизации длина самолета FW-190А-9 возросла по сравнению с FW-190A-8 с 8,950 до 10,380 метра. Наибольший «вклад» в это внесла винтомоторная установка, удлинившая машину на 0,8 метра. Увеличились также длины хвостовой части фюзеляжа (на 0,5 м) и хорды вертикального оперения (на 0,130 м). Следует отметить, что применение нового двигателя не привело к значительным переделкам планера.</w:t>
      </w:r>
    </w:p>
    <w:p w14:paraId="675B67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процессе государственных испытаний ведущими по машине были инженер В.О.Мельников и летчик В.Е.Голофастов. Облетали самолет А.Г.Кочетков, А.Г.Прошаков, В.И.Хомяков, Л.М.Кувшинов и В.Г.Масич.</w:t>
      </w:r>
    </w:p>
    <w:p w14:paraId="38A892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Летчики-испытатели ГК НИИ ВВС в своих отчетах отмечали, что:</w:t>
      </w:r>
    </w:p>
    <w:p w14:paraId="3600CA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«Кабина самолета ФВ-190Д-9 по оборудованию и расположению рычагов управления самолета и мотора аналогична кабине ФВ-190А-8…»</w:t>
      </w:r>
    </w:p>
    <w:p w14:paraId="575E70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Обзор передней полусферы хороший, обзор задней полусферы ограничен бронезаголовником.</w:t>
      </w:r>
    </w:p>
    <w:p w14:paraId="5D0BC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разбеге самолет имеет тенденцию к развороту влево, особенно при резкой даче газа и энергичном подъеме хвоста.</w:t>
      </w:r>
    </w:p>
    <w:p w14:paraId="27FB46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Вертикальная скорость самолета по сравнению с отечественными истребителями мала.</w:t>
      </w:r>
    </w:p>
    <w:p w14:paraId="6DC1F6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сравнению с ФВ-190А-8 управление самолета стало более тяжелым.</w:t>
      </w:r>
    </w:p>
    <w:p w14:paraId="451518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Отсутствие регулируемых в полете триммеров на рулях управления значительно затрудняет пилотирование самолета. На малых скоростях машина имеет тенденцию к крену и развороту влево, а на больших скоростях (свыше 450 км/ч) - вправо.</w:t>
      </w:r>
    </w:p>
    <w:p w14:paraId="5561F0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Пилотаж на самолете выполняется нормально: исключение составляют виражи. На виражах, главным образом на левых, наблюдается тряска хвостового оперения, возрастающая по мере увеличения крена.</w:t>
      </w:r>
    </w:p>
    <w:p w14:paraId="295579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выполнения виража на высоте 1000 м составляет 22 - 23 секунды, на высоте 5000 м - 24-28 секунд.</w:t>
      </w:r>
    </w:p>
    <w:p w14:paraId="4F19A9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боевой разворот с высоты 1000 м самолет набирает 1000 метров, а с высоты 5000м - 900 метров.</w:t>
      </w:r>
    </w:p>
    <w:p w14:paraId="26839D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пикировании самолет быстро набирает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регулируемым в полете стабилизатором. Перед посадкой его нужно устанавливать на минимальный угол.</w:t>
      </w:r>
    </w:p>
    <w:p w14:paraId="224D21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пробеге самолет рыскает.</w:t>
      </w:r>
    </w:p>
    <w:p w14:paraId="04148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Управление пулеметно-пушечным вооружением удобное. При стрельбе с пикирования по наземной цели одновременно из всех огневых точек самолет ведет себя устойчиво - наводка на цель не сбивается. Силу отдачи оружия летчик почти не ощущает.</w:t>
      </w:r>
    </w:p>
    <w:p w14:paraId="22B761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Проведенный воздушный бой самолета ФВ-190Д-9 с отечественным скоростным двухмоторным бомбардировщиком «63» (имеется в виду самолет «СДБ» ОКБ А.Н.Туполева, модификация Ту-2 -прим. автора) показал, что из-за отсутствия преимущества в максимальной горизонтальной скорости и малого преимущества в вертикальной самолет ФВ-190Д-9 в горизонтальном полете и на наборе высоты имеет возможность производить атаки только под небольшими углами в задней полусфере.</w:t>
      </w:r>
    </w:p>
    <w:p w14:paraId="70310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снижении самолет ФВ-190Д-9 может производить атаки бомбардировщика «63» значительно свободнее и под большими углами, чем при горизонтальном полете, вследствии более быстрого набора скорости…</w:t>
      </w:r>
    </w:p>
    <w:p w14:paraId="24FDBB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Проведенный воздушный бой самолета ФВ-190Д-9 с отечественным истребителем Ла-7 показал, что Ла-7 имеет значительные преимущества перед ним по максимальным скоростям, скороподъемности и маневренности в горизонтальной и вертикальной плоскостях.</w:t>
      </w:r>
    </w:p>
    <w:p w14:paraId="35033B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горизонтальном маневре при встрече на скоростях 0,9 от максимальных, самолет Ла-7 заходит в хвост самолету ФВ-190Д-9 за 2-2,5 виража.</w:t>
      </w:r>
    </w:p>
    <w:p w14:paraId="580757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вертикальном маневре при встрече на максиальных скоростях Ла-7 набирает за боевой разворот большую высоту и, имея превосходство в высоте, заходит в хвост самолету ФВ-190Д-9».</w:t>
      </w:r>
    </w:p>
    <w:p w14:paraId="2CA982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заключительной части «Акта № 94 по результатам государственных испытаний самолетов ФВ-190» отмечалось следующее:</w:t>
      </w:r>
    </w:p>
    <w:p w14:paraId="7E088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Фокке-Вульф-190Д-9 с мотором жидкостного охлаждения ЮМО-213А уступает по летно-такти-ческим данным отечественным серийным истребителям Як-9У с ВК-107А, Як-3 с ВК-105ПФ2 и Ла-7 с АШ-82ФН. 2. Замена мотора БМВ-801 воздушного охлаждения на мотор ЮМО-213А жидкостного охлаждения привела к незначительному увеличения максимальных горизонтальных скоростей самолета» (11860).</w:t>
      </w:r>
    </w:p>
    <w:p w14:paraId="282F6FF4" w14:textId="77777777" w:rsidR="00665165" w:rsidRPr="00925F26" w:rsidRDefault="00665165" w:rsidP="00925F26">
      <w:pPr>
        <w:autoSpaceDE w:val="0"/>
        <w:autoSpaceDN w:val="0"/>
        <w:adjustRightInd w:val="0"/>
        <w:jc w:val="both"/>
        <w:rPr>
          <w:color w:val="000000" w:themeColor="text1"/>
          <w:sz w:val="16"/>
          <w:szCs w:val="16"/>
        </w:rPr>
      </w:pPr>
    </w:p>
    <w:p w14:paraId="3EE6A7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было написано:</w:t>
      </w:r>
    </w:p>
    <w:p w14:paraId="31B88F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105759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Письмо народного комиссара авиационной промышленности т. А.И.Шахурина председателю Особого комитета при ГОКО т. Г.М.Маленкову от 25.05.45 г. об обнаруженных в районе Берлина авиаприборных и радиолокационных заводах, представляющих интерес для Наркомавиапрома, с приложением проекта </w:t>
      </w:r>
      <w:r w:rsidRPr="00925F26">
        <w:rPr>
          <w:color w:val="000000" w:themeColor="text1"/>
          <w:sz w:val="16"/>
          <w:szCs w:val="16"/>
        </w:rPr>
        <w:lastRenderedPageBreak/>
        <w:t>постановления Государственного Комитета Обороны по вывозу этого оборудования и материалов с завода №1 фирмы "Аскания Верке" в г. Берлин Мариендорф, Опытного приборного завода фирмы "Аскания Верке" в г. Берлине Фриденау и научно-исследовательских лабораторий и мастерских фирмы "Сименс" в Фалькензее (район Берлина) на предприятия Наркомавиапрома (машиноп. копия) (8994).</w:t>
      </w:r>
    </w:p>
    <w:p w14:paraId="020C8BCC" w14:textId="77777777" w:rsidR="00665165" w:rsidRPr="00925F26" w:rsidRDefault="00665165" w:rsidP="00925F26">
      <w:pPr>
        <w:autoSpaceDE w:val="0"/>
        <w:autoSpaceDN w:val="0"/>
        <w:adjustRightInd w:val="0"/>
        <w:jc w:val="both"/>
        <w:rPr>
          <w:color w:val="000000" w:themeColor="text1"/>
          <w:sz w:val="16"/>
          <w:szCs w:val="16"/>
        </w:rPr>
      </w:pPr>
    </w:p>
    <w:p w14:paraId="365BD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был подготовлен:</w:t>
      </w:r>
    </w:p>
    <w:p w14:paraId="7C1563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 секретно</w:t>
      </w:r>
    </w:p>
    <w:p w14:paraId="5B8B6328"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ДОКЛАД ОБ ОБНАРУЖЕНИИ В БЕРЛИНЕ НЕМЕЦКИХ ЗАВОДОВ ПРЕДСЕДАТЕЛЮ ОСОБОГО КОМИТЕТА ПРИ ГОКО товарищу МАЛЕНКОВУ Г.М.</w:t>
      </w:r>
    </w:p>
    <w:p w14:paraId="0D67E8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сообщениями представителей Наркомавиапрома т.т. Петрова и Романова, в районе Берлина обнаружены авиаприборные и радиолокационные заводы, представляющие исключительный интерес для Наркомавиапрома:</w:t>
      </w:r>
    </w:p>
    <w:p w14:paraId="66459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Завод N 1 фирмы "Аскания-Верке" в г. Берлин Мериендорф, имеющий 1000 единиц металлообрабатывающего оборудования. 75% мощности этого завода было занято производством авиаприборов, 15% - составляло производство морских приборов и 10% - оптическое производство.</w:t>
      </w:r>
    </w:p>
    <w:p w14:paraId="16A1D5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Опытный завод по производству приборов автоматического управления самолетом, оптических прецизионных приборов, дистанционных компасов и электрических приборов фирмы "Асканиа-Верке" в г. Берлин Фриденау, имеющий 250 металлообрабатывающих станков, аппаратуру и приборы, а также 30 станков для шлифовки линз.</w:t>
      </w:r>
    </w:p>
    <w:p w14:paraId="597B83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Опытный завод "Асканиа-Верке" имеет 2 профиля производства (авиаприборное и оптическое) и в соответствии с этим специализированы его производственные подразделения и лаборатории.</w:t>
      </w:r>
    </w:p>
    <w:p w14:paraId="727B22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Научно-исследовательские лаборатории и мастерские по разработке новых типов радиолокационной аппаратуры и приборов телеуправления электрическими станциями фирмы "Сименс" в Фалькензее (район Берлина), имеющие 200 станков.</w:t>
      </w:r>
    </w:p>
    <w:p w14:paraId="78F178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Уполномоченный Особого Комитета тов. Сабуров намечает передать оборудование этих заводов другим Наркоматам.</w:t>
      </w:r>
    </w:p>
    <w:p w14:paraId="62B7AB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Учитывая, что по характеру своего производства заводы "Асканиа-Верке" являются авиаприборными, а лаборатории и мастерские фирмы "Сименс" в Фалькензее радиолокационными, а так же необходимость укомплектования авиаприборных и радиолокационных заводов Наркомавиапрома, прошу Вашего решения о вывозе оборудования и материалов:</w:t>
      </w:r>
    </w:p>
    <w:p w14:paraId="3B4C83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 завода N 1 фирмы "Асканиа-Верке" в г. Берлин Мариендорф - на завод N 122 Наркомавиапрома в г. Москве;</w:t>
      </w:r>
    </w:p>
    <w:p w14:paraId="015D0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 опытного завода "Аскания-Верке" в г. Берлин Фриденау - на завод N 149 Наркомавиапрома в г. Раменское Московской области;</w:t>
      </w:r>
    </w:p>
    <w:p w14:paraId="6A3036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из научно-исследовательских лабораторий и мастерских фирмы "Сименс" - на завод N 483 Наркомавиапрома в г. Киев.</w:t>
      </w:r>
    </w:p>
    <w:p w14:paraId="569BF2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Проект постановления Государственного Комитета Обороны по этому вопросу представляю.</w:t>
      </w:r>
    </w:p>
    <w:p w14:paraId="37BDC7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ВЕРНО: п.п. (А. Шахурин) (подпись) (8987; 8994).</w:t>
      </w:r>
    </w:p>
    <w:p w14:paraId="068A7394" w14:textId="77777777" w:rsidR="00665165" w:rsidRPr="00925F26" w:rsidRDefault="00665165" w:rsidP="00925F26">
      <w:pPr>
        <w:autoSpaceDE w:val="0"/>
        <w:autoSpaceDN w:val="0"/>
        <w:adjustRightInd w:val="0"/>
        <w:jc w:val="both"/>
        <w:rPr>
          <w:color w:val="000000" w:themeColor="text1"/>
          <w:sz w:val="16"/>
          <w:szCs w:val="16"/>
        </w:rPr>
      </w:pPr>
    </w:p>
    <w:p w14:paraId="0880A22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9DA4EAC" w14:textId="77777777" w:rsidR="00665165" w:rsidRPr="00925F26" w:rsidRDefault="00665165" w:rsidP="00925F26">
      <w:pPr>
        <w:autoSpaceDE w:val="0"/>
        <w:autoSpaceDN w:val="0"/>
        <w:adjustRightInd w:val="0"/>
        <w:jc w:val="both"/>
        <w:rPr>
          <w:iCs/>
          <w:color w:val="000000" w:themeColor="text1"/>
          <w:sz w:val="16"/>
          <w:szCs w:val="16"/>
        </w:rPr>
      </w:pPr>
    </w:p>
    <w:p w14:paraId="5708E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25 мая 1945 года приказом наркома танковой промышленности № 254с от. В. А. Малышев распорядился в этом приказе собрать и представить материалы о деятельности заводов в годы войны. Предполагалось использовать эти материалы в общей сводной работе, посвященной истории Наркомата танковой промышленности. Формулировка была достаточно расплывчатой, и появившиеся в итоге через несколько лет работы документы носят очень разнообразный характер. Некоторые из них являются очень подробными историями заводов, в которых освещены все важные стороны их жизнедеятельности. Наилучшей работой была, на мой взгляд, «История танкостроения на заводе № 183». Это объемное сочинение заняло три толстых дела. Создавал его большой коллектив авторов под редакцией директора завода Ю. Е. Максарева и главного конструктора А. А. Морозова. В этом труде содержится огромный фактический материал, освещающий все стороны деятельности завода: работу конструкторского бюро (написано лично А. А. Морозовым), технологические усовершенствования, методы организации производства, работу ОТК и даже ОРС. Заслуживает внимания раздел, посвященный пополнению и убыли рабочей силы. Есть сведения и о работе подсобных производств завода. Близка по содержанию к «Истории танкостроения на заводе № 183» другая работа - «Танкостроение на заводах № 38 и № 75» под редакцией Л. JL Терентьева. Широкий круг вопросов, связанных с организацией танкового и бронекорпусного производства, освещен также в материалах, представленных УЗТМ Менее подробно, но все же с достаточно широким охватом материалов, написана работа «Материалы по истории танкового производства в годы войны </w:t>
      </w:r>
      <w:proofErr w:type="gramStart"/>
      <w:r w:rsidRPr="00925F26">
        <w:rPr>
          <w:color w:val="000000" w:themeColor="text1"/>
          <w:sz w:val="16"/>
          <w:szCs w:val="16"/>
        </w:rPr>
        <w:t>( на</w:t>
      </w:r>
      <w:proofErr w:type="gramEnd"/>
      <w:r w:rsidRPr="00925F26">
        <w:rPr>
          <w:color w:val="000000" w:themeColor="text1"/>
          <w:sz w:val="16"/>
          <w:szCs w:val="16"/>
        </w:rPr>
        <w:t xml:space="preserve"> заводе № </w:t>
      </w:r>
      <w:proofErr w:type="gramStart"/>
      <w:r w:rsidRPr="00925F26">
        <w:rPr>
          <w:color w:val="000000" w:themeColor="text1"/>
          <w:sz w:val="16"/>
          <w:szCs w:val="16"/>
        </w:rPr>
        <w:t>50 )</w:t>
      </w:r>
      <w:proofErr w:type="gramEnd"/>
      <w:r w:rsidRPr="00925F26">
        <w:rPr>
          <w:color w:val="000000" w:themeColor="text1"/>
          <w:sz w:val="16"/>
          <w:szCs w:val="16"/>
        </w:rPr>
        <w:t xml:space="preserve">». Интересные факты об организации эвакуации содержит работа «Отчет об истории производства танковой брони на заводе имени Ильича». Любопытна также «История танкового дизелестроения на заводе № 76», в которой затронуты разные аспекты жизни завода. Не все заводы представили такие содержательные материалы. Порой собранные сведения освещали только отдельные направления деятельности предприятий. Очень многое, видимо, зависело от того, кто брался за их составление. Кировский завод прислал фактически историю своего конструкторского бюро </w:t>
      </w:r>
      <w:proofErr w:type="gramStart"/>
      <w:r w:rsidRPr="00925F26">
        <w:rPr>
          <w:color w:val="000000" w:themeColor="text1"/>
          <w:sz w:val="16"/>
          <w:szCs w:val="16"/>
        </w:rPr>
        <w:t>( девять</w:t>
      </w:r>
      <w:proofErr w:type="gramEnd"/>
      <w:r w:rsidRPr="00925F26">
        <w:rPr>
          <w:color w:val="000000" w:themeColor="text1"/>
          <w:sz w:val="16"/>
          <w:szCs w:val="16"/>
        </w:rPr>
        <w:t xml:space="preserve"> десятых информации - о его </w:t>
      </w:r>
      <w:proofErr w:type="gramStart"/>
      <w:r w:rsidRPr="00925F26">
        <w:rPr>
          <w:color w:val="000000" w:themeColor="text1"/>
          <w:sz w:val="16"/>
          <w:szCs w:val="16"/>
        </w:rPr>
        <w:t>деятельности )</w:t>
      </w:r>
      <w:proofErr w:type="gramEnd"/>
      <w:r w:rsidRPr="00925F26">
        <w:rPr>
          <w:color w:val="000000" w:themeColor="text1"/>
          <w:sz w:val="16"/>
          <w:szCs w:val="16"/>
        </w:rPr>
        <w:t xml:space="preserve">. Завод № 180 представил произведение, озаглавленное «Вторая жизнь танка Т-34», в котором подробно рассматриваются методики ремонта бронекорпусов, существовавшие на заводе, методы сортировки их по степени поврежденности, производство комплектов для полевого ремонта танков и т. д. Главный металлург завода № 178 И. А. Фрумкин совместно с несколькими </w:t>
      </w:r>
    </w:p>
    <w:p w14:paraId="0C1594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соавторами написал «Производство брони, качественного проката и готовых бронекорпусов заводом № 178 в период Великой Отечественной войны». Эта работа посвящена технологиям, используемым заводом. Значение материалов, собранных заводами после войны, сильно различается. К сожалению, план создать на их основе обобщающую работу так и не был реализован, возможно, в том числе и из-за разнородности собранного материала (11788).</w:t>
      </w:r>
    </w:p>
    <w:p w14:paraId="32EA766D" w14:textId="77777777" w:rsidR="00665165" w:rsidRPr="00925F26" w:rsidRDefault="00665165" w:rsidP="00925F26">
      <w:pPr>
        <w:autoSpaceDE w:val="0"/>
        <w:autoSpaceDN w:val="0"/>
        <w:adjustRightInd w:val="0"/>
        <w:jc w:val="both"/>
        <w:rPr>
          <w:color w:val="000000" w:themeColor="text1"/>
          <w:sz w:val="16"/>
          <w:szCs w:val="16"/>
        </w:rPr>
      </w:pPr>
    </w:p>
    <w:p w14:paraId="67CE12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мая 1945 г. ГКО постановил перевести часть оборон</w:t>
      </w:r>
      <w:r w:rsidRPr="00925F26">
        <w:rPr>
          <w:color w:val="000000" w:themeColor="text1"/>
          <w:sz w:val="16"/>
          <w:szCs w:val="16"/>
        </w:rPr>
        <w:softHyphen/>
        <w:t>ных предприятий на выпуск товаров для населения. Чуть позже принят закон о демобилизации тринадцати возрастов личного состава армии. 29 августа 1945 г. было принято реше</w:t>
      </w:r>
      <w:r w:rsidRPr="00925F26">
        <w:rPr>
          <w:color w:val="000000" w:themeColor="text1"/>
          <w:sz w:val="16"/>
          <w:szCs w:val="16"/>
        </w:rPr>
        <w:softHyphen/>
        <w:t>ние о подготовке пятилетнего плана восстановления и разви</w:t>
      </w:r>
      <w:r w:rsidRPr="00925F26">
        <w:rPr>
          <w:color w:val="000000" w:themeColor="text1"/>
          <w:sz w:val="16"/>
          <w:szCs w:val="16"/>
        </w:rPr>
        <w:softHyphen/>
        <w:t>тия народного хозяйства. 9 февраля 1946 г. И. Сталин подчер</w:t>
      </w:r>
      <w:r w:rsidRPr="00925F26">
        <w:rPr>
          <w:color w:val="000000" w:themeColor="text1"/>
          <w:sz w:val="16"/>
          <w:szCs w:val="16"/>
        </w:rPr>
        <w:softHyphen/>
        <w:t>кивал, что задачи плана сводились к тому, чтобы «восстано</w:t>
      </w:r>
      <w:r w:rsidRPr="00925F26">
        <w:rPr>
          <w:color w:val="000000" w:themeColor="text1"/>
          <w:sz w:val="16"/>
          <w:szCs w:val="16"/>
        </w:rPr>
        <w:softHyphen/>
        <w:t>вить пострадавшие районы страны, восстановить довоенный уровень промышленности и сельского хозяйствуй затем пре</w:t>
      </w:r>
      <w:r w:rsidRPr="00925F26">
        <w:rPr>
          <w:color w:val="000000" w:themeColor="text1"/>
          <w:sz w:val="16"/>
          <w:szCs w:val="16"/>
        </w:rPr>
        <w:softHyphen/>
        <w:t>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(11135).</w:t>
      </w:r>
    </w:p>
    <w:p w14:paraId="67BB09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D7365B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F122DCB" w14:textId="77777777" w:rsidR="00665165" w:rsidRPr="00925F26" w:rsidRDefault="00665165" w:rsidP="00925F26">
      <w:pPr>
        <w:autoSpaceDE w:val="0"/>
        <w:autoSpaceDN w:val="0"/>
        <w:adjustRightInd w:val="0"/>
        <w:jc w:val="both"/>
        <w:rPr>
          <w:iCs/>
          <w:color w:val="000000" w:themeColor="text1"/>
          <w:sz w:val="16"/>
          <w:szCs w:val="16"/>
        </w:rPr>
      </w:pPr>
    </w:p>
    <w:p w14:paraId="177398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на В-24Н нилота Козырева 45 ад при взлете отказал одни из моторов. Самолет сел на поле за аэродромом, сильно ударившись о землю. Фюзеляж раскололся надвое, были жертвы (3457,117).</w:t>
      </w:r>
    </w:p>
    <w:p w14:paraId="48ABFCC5" w14:textId="77777777" w:rsidR="00665165" w:rsidRPr="00925F26" w:rsidRDefault="00665165" w:rsidP="00925F26">
      <w:pPr>
        <w:autoSpaceDE w:val="0"/>
        <w:autoSpaceDN w:val="0"/>
        <w:adjustRightInd w:val="0"/>
        <w:jc w:val="both"/>
        <w:rPr>
          <w:color w:val="000000" w:themeColor="text1"/>
          <w:sz w:val="16"/>
          <w:szCs w:val="16"/>
        </w:rPr>
      </w:pPr>
    </w:p>
    <w:p w14:paraId="090CE39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E84D3E7" w14:textId="77777777" w:rsidR="00665165" w:rsidRPr="00925F26" w:rsidRDefault="00665165" w:rsidP="00925F26">
      <w:pPr>
        <w:autoSpaceDE w:val="0"/>
        <w:autoSpaceDN w:val="0"/>
        <w:adjustRightInd w:val="0"/>
        <w:jc w:val="both"/>
        <w:rPr>
          <w:iCs/>
          <w:color w:val="000000" w:themeColor="text1"/>
          <w:sz w:val="16"/>
          <w:szCs w:val="16"/>
        </w:rPr>
      </w:pPr>
    </w:p>
    <w:p w14:paraId="58C224E6" w14:textId="77777777" w:rsidR="00BE2FB1" w:rsidRPr="00925F26" w:rsidRDefault="00BE2FB1" w:rsidP="00925F26">
      <w:pPr>
        <w:jc w:val="both"/>
        <w:rPr>
          <w:color w:val="000000" w:themeColor="text1"/>
          <w:sz w:val="16"/>
          <w:szCs w:val="16"/>
        </w:rPr>
      </w:pPr>
      <w:r w:rsidRPr="00925F26">
        <w:rPr>
          <w:bCs/>
          <w:color w:val="000000" w:themeColor="text1"/>
          <w:sz w:val="16"/>
          <w:szCs w:val="16"/>
        </w:rPr>
        <w:t>25 мая</w:t>
      </w:r>
      <w:r w:rsidRPr="00925F26">
        <w:rPr>
          <w:color w:val="000000" w:themeColor="text1"/>
          <w:sz w:val="16"/>
          <w:szCs w:val="16"/>
        </w:rPr>
        <w:t xml:space="preserve"> в 1945 году совершил свой первый полет на аэродроме в Мариньяне первый прототип автожира </w:t>
      </w:r>
      <w:hyperlink r:id="rId128" w:tgtFrame="_blank" w:history="1">
        <w:r w:rsidRPr="00925F26">
          <w:rPr>
            <w:color w:val="000000" w:themeColor="text1"/>
            <w:sz w:val="16"/>
            <w:szCs w:val="16"/>
          </w:rPr>
          <w:t xml:space="preserve">«SE.700», </w:t>
        </w:r>
      </w:hyperlink>
      <w:r w:rsidRPr="00925F26">
        <w:rPr>
          <w:color w:val="000000" w:themeColor="text1"/>
          <w:sz w:val="16"/>
          <w:szCs w:val="16"/>
        </w:rPr>
        <w:t>управлял автожиром пилот Стакенбург. Замена двигателя повлияла на характеристики автожира не самым лучшим образом, но даже с ним у «SE.700» были большие перспективы. Испытания автожира неожиданно завершились 6 января 1946 года, когда при неудачной посадке аппарат был сильно поврежден. Его решили не восстанавливать и сосредоточить усилия на доводке улучшенного «SE.700А», однако по причине неготовности двигателя «Bearn» «6D-07» второй прототип так никогда и не летал. Программу «SE.700» решили закрыть, посчитав, что с функциями связи отлично справятся обычные легкомоторные самолёты и вертолеты, которых с каждым годом становилось всё больше (14902).</w:t>
      </w:r>
    </w:p>
    <w:p w14:paraId="2B0E7F8C" w14:textId="77777777" w:rsidR="00BE2FB1" w:rsidRPr="00925F26" w:rsidRDefault="00BE2FB1" w:rsidP="00925F26">
      <w:pPr>
        <w:jc w:val="both"/>
        <w:rPr>
          <w:color w:val="000000" w:themeColor="text1"/>
          <w:sz w:val="16"/>
          <w:szCs w:val="16"/>
        </w:rPr>
      </w:pPr>
    </w:p>
    <w:p w14:paraId="15497361" w14:textId="550D128D" w:rsidR="00247854" w:rsidRPr="00925F26" w:rsidRDefault="00247854" w:rsidP="00925F26">
      <w:pPr>
        <w:jc w:val="both"/>
        <w:rPr>
          <w:color w:val="000000" w:themeColor="text1"/>
          <w:sz w:val="16"/>
          <w:szCs w:val="16"/>
        </w:rPr>
      </w:pPr>
      <w:r w:rsidRPr="00925F26">
        <w:rPr>
          <w:color w:val="000000" w:themeColor="text1"/>
          <w:sz w:val="16"/>
          <w:szCs w:val="16"/>
        </w:rPr>
        <w:t xml:space="preserve">25 мая 1945 года — первый полёт </w:t>
      </w:r>
      <w:proofErr w:type="gramStart"/>
      <w:r w:rsidRPr="00925F26">
        <w:rPr>
          <w:color w:val="000000" w:themeColor="text1"/>
          <w:sz w:val="16"/>
          <w:szCs w:val="16"/>
        </w:rPr>
        <w:t>автожира</w:t>
      </w:r>
      <w:r w:rsidR="00997EDF" w:rsidRPr="00925F26">
        <w:rPr>
          <w:color w:val="000000" w:themeColor="text1"/>
          <w:sz w:val="16"/>
          <w:szCs w:val="16"/>
        </w:rPr>
        <w:t xml:space="preserve">  </w:t>
      </w:r>
      <w:r w:rsidRPr="00925F26">
        <w:rPr>
          <w:color w:val="000000" w:themeColor="text1"/>
          <w:sz w:val="16"/>
          <w:szCs w:val="16"/>
        </w:rPr>
        <w:t>SNCASE</w:t>
      </w:r>
      <w:proofErr w:type="gramEnd"/>
      <w:r w:rsidRPr="00925F26">
        <w:rPr>
          <w:color w:val="000000" w:themeColor="text1"/>
          <w:sz w:val="16"/>
          <w:szCs w:val="16"/>
        </w:rPr>
        <w:t xml:space="preserve"> SE-700. /Франция/</w:t>
      </w:r>
    </w:p>
    <w:p w14:paraId="3DDC1D31" w14:textId="0B2ADD0F" w:rsidR="00247854" w:rsidRPr="00925F26" w:rsidRDefault="00247854" w:rsidP="00925F26">
      <w:pPr>
        <w:jc w:val="both"/>
        <w:rPr>
          <w:color w:val="000000" w:themeColor="text1"/>
          <w:sz w:val="16"/>
          <w:szCs w:val="16"/>
        </w:rPr>
      </w:pPr>
      <w:r w:rsidRPr="00925F26">
        <w:rPr>
          <w:color w:val="000000" w:themeColor="text1"/>
          <w:sz w:val="16"/>
          <w:szCs w:val="16"/>
        </w:rPr>
        <w:t xml:space="preserve">В 1939 году в </w:t>
      </w:r>
      <w:proofErr w:type="gramStart"/>
      <w:r w:rsidRPr="00925F26">
        <w:rPr>
          <w:color w:val="000000" w:themeColor="text1"/>
          <w:sz w:val="16"/>
          <w:szCs w:val="16"/>
        </w:rPr>
        <w:t>компании</w:t>
      </w:r>
      <w:r w:rsidR="00997EDF" w:rsidRPr="00925F26">
        <w:rPr>
          <w:color w:val="000000" w:themeColor="text1"/>
          <w:sz w:val="16"/>
          <w:szCs w:val="16"/>
        </w:rPr>
        <w:t xml:space="preserve">  </w:t>
      </w:r>
      <w:r w:rsidRPr="00925F26">
        <w:rPr>
          <w:color w:val="000000" w:themeColor="text1"/>
          <w:sz w:val="16"/>
          <w:szCs w:val="16"/>
        </w:rPr>
        <w:t>Société</w:t>
      </w:r>
      <w:proofErr w:type="gramEnd"/>
      <w:r w:rsidRPr="00925F26">
        <w:rPr>
          <w:color w:val="000000" w:themeColor="text1"/>
          <w:sz w:val="16"/>
          <w:szCs w:val="16"/>
        </w:rPr>
        <w:t xml:space="preserve"> Nationale de Constructions Aéronautiques du Sud-</w:t>
      </w:r>
      <w:proofErr w:type="gramStart"/>
      <w:r w:rsidRPr="00925F26">
        <w:rPr>
          <w:color w:val="000000" w:themeColor="text1"/>
          <w:sz w:val="16"/>
          <w:szCs w:val="16"/>
        </w:rPr>
        <w:t>Est</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SNCASE) начались работы над многоцелевым автожиром. Проект, получивший обозначение SE-700, возглавил </w:t>
      </w:r>
      <w:proofErr w:type="gramStart"/>
      <w:r w:rsidRPr="00925F26">
        <w:rPr>
          <w:color w:val="000000" w:themeColor="text1"/>
          <w:sz w:val="16"/>
          <w:szCs w:val="16"/>
        </w:rPr>
        <w:t>инженер</w:t>
      </w:r>
      <w:r w:rsidR="00997EDF" w:rsidRPr="00925F26">
        <w:rPr>
          <w:color w:val="000000" w:themeColor="text1"/>
          <w:sz w:val="16"/>
          <w:szCs w:val="16"/>
        </w:rPr>
        <w:t xml:space="preserve">  </w:t>
      </w:r>
      <w:r w:rsidRPr="00925F26">
        <w:rPr>
          <w:color w:val="000000" w:themeColor="text1"/>
          <w:sz w:val="16"/>
          <w:szCs w:val="16"/>
        </w:rPr>
        <w:t>Пьер</w:t>
      </w:r>
      <w:proofErr w:type="gramEnd"/>
      <w:r w:rsidRPr="00925F26">
        <w:rPr>
          <w:color w:val="000000" w:themeColor="text1"/>
          <w:sz w:val="16"/>
          <w:szCs w:val="16"/>
        </w:rPr>
        <w:t xml:space="preserve"> </w:t>
      </w:r>
      <w:proofErr w:type="gramStart"/>
      <w:r w:rsidRPr="00925F26">
        <w:rPr>
          <w:color w:val="000000" w:themeColor="text1"/>
          <w:sz w:val="16"/>
          <w:szCs w:val="16"/>
        </w:rPr>
        <w:t>Мерсье</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Pierre Mercier).</w:t>
      </w:r>
    </w:p>
    <w:p w14:paraId="4058A92F" w14:textId="77777777" w:rsidR="00247854" w:rsidRPr="00925F26" w:rsidRDefault="00247854" w:rsidP="00925F26">
      <w:pPr>
        <w:jc w:val="both"/>
        <w:rPr>
          <w:color w:val="000000" w:themeColor="text1"/>
          <w:sz w:val="16"/>
          <w:szCs w:val="16"/>
        </w:rPr>
      </w:pPr>
      <w:r w:rsidRPr="00925F26">
        <w:rPr>
          <w:color w:val="000000" w:themeColor="text1"/>
          <w:sz w:val="16"/>
          <w:szCs w:val="16"/>
        </w:rPr>
        <w:t>SE-700 выглядел весьма футуристично. Аэродинамически чистый фюзеляж без выступов в основном был выполнен из дерева. Шасси было сделано убирающимся (впервые на винтокрылых летательных аппаратах). Устанавливался двигатель Renault 6Q-01 (220 л.с.) Крейсерская скорость — 159 км/ч, дальность полёта 660 км. Брал на борт 2 пассажиров.</w:t>
      </w:r>
    </w:p>
    <w:p w14:paraId="245F3563" w14:textId="4EE4A603" w:rsidR="00247854" w:rsidRPr="00925F26" w:rsidRDefault="00247854" w:rsidP="00925F26">
      <w:pPr>
        <w:jc w:val="both"/>
        <w:rPr>
          <w:color w:val="000000" w:themeColor="text1"/>
          <w:sz w:val="16"/>
          <w:szCs w:val="16"/>
        </w:rPr>
      </w:pPr>
      <w:r w:rsidRPr="00925F26">
        <w:rPr>
          <w:color w:val="000000" w:themeColor="text1"/>
          <w:sz w:val="16"/>
          <w:szCs w:val="16"/>
        </w:rPr>
        <w:t>Немецкая оккупация затормозила развитие проекта. Но к 1945 году прототип был готов.</w:t>
      </w:r>
      <w:r w:rsidR="00997EDF" w:rsidRPr="00925F26">
        <w:rPr>
          <w:color w:val="000000" w:themeColor="text1"/>
          <w:sz w:val="16"/>
          <w:szCs w:val="16"/>
        </w:rPr>
        <w:t xml:space="preserve">  </w:t>
      </w:r>
      <w:r w:rsidRPr="00925F26">
        <w:rPr>
          <w:color w:val="000000" w:themeColor="text1"/>
          <w:sz w:val="16"/>
          <w:szCs w:val="16"/>
        </w:rPr>
        <w:t xml:space="preserve">Испытания выявили проблемы с охлаждением двигателя, но также показали, что у SE-700 хорошие лётные характеристики. Но 6 января 1946 </w:t>
      </w:r>
      <w:proofErr w:type="gramStart"/>
      <w:r w:rsidRPr="00925F26">
        <w:rPr>
          <w:color w:val="000000" w:themeColor="text1"/>
          <w:sz w:val="16"/>
          <w:szCs w:val="16"/>
        </w:rPr>
        <w:t>года</w:t>
      </w:r>
      <w:r w:rsidR="00997EDF" w:rsidRPr="00925F26">
        <w:rPr>
          <w:color w:val="000000" w:themeColor="text1"/>
          <w:sz w:val="16"/>
          <w:szCs w:val="16"/>
        </w:rPr>
        <w:t xml:space="preserve">  </w:t>
      </w:r>
      <w:r w:rsidRPr="00925F26">
        <w:rPr>
          <w:color w:val="000000" w:themeColor="text1"/>
          <w:sz w:val="16"/>
          <w:szCs w:val="16"/>
        </w:rPr>
        <w:t>автожир</w:t>
      </w:r>
      <w:proofErr w:type="gramEnd"/>
      <w:r w:rsidRPr="00925F26">
        <w:rPr>
          <w:color w:val="000000" w:themeColor="text1"/>
          <w:sz w:val="16"/>
          <w:szCs w:val="16"/>
        </w:rPr>
        <w:t xml:space="preserve"> сильно повредили при посадке. Восстанавливать его не стали — ВВС Франции сделали выбор в пользу лёгких самолётов и вертолётов (22300).</w:t>
      </w:r>
    </w:p>
    <w:p w14:paraId="738FCB1D" w14:textId="77777777" w:rsidR="00247854" w:rsidRPr="00925F26" w:rsidRDefault="00247854" w:rsidP="00925F26">
      <w:pPr>
        <w:jc w:val="both"/>
        <w:rPr>
          <w:color w:val="000000" w:themeColor="text1"/>
          <w:sz w:val="16"/>
          <w:szCs w:val="16"/>
        </w:rPr>
      </w:pPr>
    </w:p>
    <w:p w14:paraId="663FD83A" w14:textId="77777777" w:rsidR="00BE2FB1" w:rsidRPr="00925F26" w:rsidRDefault="00BE2FB1" w:rsidP="00925F26">
      <w:pPr>
        <w:jc w:val="both"/>
        <w:rPr>
          <w:color w:val="000000" w:themeColor="text1"/>
          <w:sz w:val="16"/>
          <w:szCs w:val="16"/>
        </w:rPr>
      </w:pPr>
      <w:r w:rsidRPr="00925F26">
        <w:rPr>
          <w:bCs/>
          <w:color w:val="000000" w:themeColor="text1"/>
          <w:sz w:val="16"/>
          <w:szCs w:val="16"/>
        </w:rPr>
        <w:t>25 мая</w:t>
      </w:r>
      <w:r w:rsidRPr="00925F26">
        <w:rPr>
          <w:color w:val="000000" w:themeColor="text1"/>
          <w:sz w:val="16"/>
          <w:szCs w:val="16"/>
        </w:rPr>
        <w:t xml:space="preserve"> в 1945 году впервые поднялся в воздух первый серийный небо английский палубный многоцелевой истребитель </w:t>
      </w:r>
      <w:hyperlink r:id="rId129" w:tgtFrame="_blank" w:history="1">
        <w:r w:rsidRPr="00925F26">
          <w:rPr>
            <w:color w:val="000000" w:themeColor="text1"/>
            <w:sz w:val="16"/>
            <w:szCs w:val="16"/>
          </w:rPr>
          <w:t xml:space="preserve">«Firefly» «Mk.IV», </w:t>
        </w:r>
      </w:hyperlink>
      <w:r w:rsidRPr="00925F26">
        <w:rPr>
          <w:color w:val="000000" w:themeColor="text1"/>
          <w:sz w:val="16"/>
          <w:szCs w:val="16"/>
        </w:rPr>
        <w:t xml:space="preserve">но с внедрением его в строевых частях не спешили: война кончалась, а самолетов хватало. Лишь к 1947 году на "четверки" полностью перешли две эскадрильи, затем еще три. Одну из этих эскадрилий, 825-ю, передали Канаде. Она оперировала с авианосца "Уорриор". «40 Mk.IV» собрали по заказу голландского флота. Именно они первыми из "четверок" вступили в бой. С июля 1947-го их вместе с F.Mk.I начали использовать для борьбы с партизанами в Голландской Ост-Индии (ныне Индонезия). Они в основном </w:t>
      </w:r>
      <w:r w:rsidRPr="00925F26">
        <w:rPr>
          <w:color w:val="000000" w:themeColor="text1"/>
          <w:sz w:val="16"/>
          <w:szCs w:val="16"/>
        </w:rPr>
        <w:lastRenderedPageBreak/>
        <w:t>поддерживали десантные операции морской пехоты, действуя как разведчики и штурмовики. "Файрфлаи" воевали на Яве до мая 1949-го. За это время индонезийцам удалось сбить четыре машины. Впоследствии часть «F.Mk.IV» голландцы разместили на Антильских островах в Карибском море (14902).</w:t>
      </w:r>
    </w:p>
    <w:p w14:paraId="3A571604" w14:textId="77777777" w:rsidR="00BE2FB1" w:rsidRPr="00925F26" w:rsidRDefault="00BE2FB1" w:rsidP="00925F26">
      <w:pPr>
        <w:jc w:val="both"/>
        <w:rPr>
          <w:color w:val="000000" w:themeColor="text1"/>
          <w:sz w:val="16"/>
          <w:szCs w:val="16"/>
        </w:rPr>
      </w:pPr>
    </w:p>
    <w:p w14:paraId="39F4755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May 25, 1945 464 B-29s raid Tokyo again, burning out nearly 16 square miles of the remaining city. Only a few thousand are killed, urban inhabitants have learned to flee fire bomb attacks quickly and escape the flames (1039).</w:t>
      </w:r>
    </w:p>
    <w:p w14:paraId="724654EE" w14:textId="77777777" w:rsidR="00665165" w:rsidRPr="00925F26" w:rsidRDefault="00665165" w:rsidP="00925F26">
      <w:pPr>
        <w:autoSpaceDE w:val="0"/>
        <w:autoSpaceDN w:val="0"/>
        <w:adjustRightInd w:val="0"/>
        <w:jc w:val="both"/>
        <w:rPr>
          <w:color w:val="000000" w:themeColor="text1"/>
          <w:sz w:val="16"/>
          <w:szCs w:val="16"/>
          <w:lang w:val="en-US"/>
        </w:rPr>
      </w:pPr>
    </w:p>
    <w:p w14:paraId="0F3535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464 B-29 совершили рейд на Токио. Погибло не много людей, так как с зажигательными бомбами научились бороться (1039).</w:t>
      </w:r>
    </w:p>
    <w:p w14:paraId="075FF518" w14:textId="77777777" w:rsidR="00665165" w:rsidRPr="00925F26" w:rsidRDefault="00665165" w:rsidP="00925F26">
      <w:pPr>
        <w:autoSpaceDE w:val="0"/>
        <w:autoSpaceDN w:val="0"/>
        <w:adjustRightInd w:val="0"/>
        <w:jc w:val="both"/>
        <w:rPr>
          <w:color w:val="000000" w:themeColor="text1"/>
          <w:sz w:val="16"/>
          <w:szCs w:val="16"/>
        </w:rPr>
      </w:pPr>
    </w:p>
    <w:p w14:paraId="074A47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 мая 1945 был одобрен план американского вторжения в Японию 1 ноября 1945 с захватом Токио к лету 1946 (2248,7).</w:t>
      </w:r>
    </w:p>
    <w:p w14:paraId="47AE7247" w14:textId="77777777" w:rsidR="00665165" w:rsidRPr="00925F26" w:rsidRDefault="00665165" w:rsidP="00925F26">
      <w:pPr>
        <w:autoSpaceDE w:val="0"/>
        <w:autoSpaceDN w:val="0"/>
        <w:adjustRightInd w:val="0"/>
        <w:jc w:val="both"/>
        <w:rPr>
          <w:color w:val="000000" w:themeColor="text1"/>
          <w:sz w:val="16"/>
          <w:szCs w:val="16"/>
        </w:rPr>
      </w:pPr>
    </w:p>
    <w:p w14:paraId="0A62E11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E62EEC7" w14:textId="77777777" w:rsidR="00665165" w:rsidRPr="00925F26" w:rsidRDefault="00665165" w:rsidP="00925F26">
      <w:pPr>
        <w:autoSpaceDE w:val="0"/>
        <w:autoSpaceDN w:val="0"/>
        <w:adjustRightInd w:val="0"/>
        <w:jc w:val="both"/>
        <w:rPr>
          <w:iCs/>
          <w:color w:val="000000" w:themeColor="text1"/>
          <w:sz w:val="16"/>
          <w:szCs w:val="16"/>
        </w:rPr>
      </w:pPr>
    </w:p>
    <w:p w14:paraId="046F0896"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26 мая 1945 года начались летные испытания одного из первых УИл-10 (зав. № 106085), который прибыл в НИИ ВВС 16 мая. Завершили их 7 июня, после выполнения 31 полета (суммарный налет 15 ч).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32A91020"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1ADC66DB"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1462A120"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26CBF9A1"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7A346762"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 (17490).</w:t>
      </w:r>
    </w:p>
    <w:p w14:paraId="476F08E5" w14:textId="77777777" w:rsidR="00B81DD0" w:rsidRPr="00925F26" w:rsidRDefault="00B81DD0" w:rsidP="00925F26">
      <w:pPr>
        <w:jc w:val="both"/>
        <w:rPr>
          <w:rStyle w:val="107"/>
          <w:rFonts w:eastAsiaTheme="minorHAnsi"/>
          <w:color w:val="000000" w:themeColor="text1"/>
          <w:sz w:val="16"/>
          <w:szCs w:val="16"/>
        </w:rPr>
      </w:pPr>
    </w:p>
    <w:p w14:paraId="09B521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26 мая 1945 г. второй экземпляр истребителя И-250 под управлением А.П.Деева совершил первый </w:t>
      </w:r>
      <w:proofErr w:type="gramStart"/>
      <w:r w:rsidRPr="00925F26">
        <w:rPr>
          <w:color w:val="000000" w:themeColor="text1"/>
          <w:sz w:val="16"/>
          <w:szCs w:val="16"/>
        </w:rPr>
        <w:t>полет(</w:t>
      </w:r>
      <w:proofErr w:type="gramEnd"/>
      <w:r w:rsidRPr="00925F26">
        <w:rPr>
          <w:color w:val="000000" w:themeColor="text1"/>
          <w:sz w:val="16"/>
          <w:szCs w:val="16"/>
        </w:rPr>
        <w:t>6000).</w:t>
      </w:r>
    </w:p>
    <w:p w14:paraId="04CFD2C0" w14:textId="77777777" w:rsidR="00665165" w:rsidRPr="00925F26" w:rsidRDefault="00665165" w:rsidP="00925F26">
      <w:pPr>
        <w:autoSpaceDE w:val="0"/>
        <w:autoSpaceDN w:val="0"/>
        <w:adjustRightInd w:val="0"/>
        <w:jc w:val="both"/>
        <w:rPr>
          <w:color w:val="000000" w:themeColor="text1"/>
          <w:sz w:val="16"/>
          <w:szCs w:val="16"/>
        </w:rPr>
      </w:pPr>
    </w:p>
    <w:p w14:paraId="5AE65D80" w14:textId="0F6E4E23" w:rsidR="0017108B" w:rsidRPr="00925F26" w:rsidRDefault="0017108B" w:rsidP="00925F26">
      <w:pPr>
        <w:jc w:val="both"/>
        <w:rPr>
          <w:color w:val="000000" w:themeColor="text1"/>
          <w:sz w:val="16"/>
          <w:szCs w:val="16"/>
        </w:rPr>
      </w:pPr>
      <w:r w:rsidRPr="00925F26">
        <w:rPr>
          <w:color w:val="000000" w:themeColor="text1"/>
          <w:sz w:val="16"/>
          <w:szCs w:val="16"/>
        </w:rPr>
        <w:t>26 мая 1945 г. лётчик-испытатель А.П. Деев выполнил первый полёт на второй опытной машине И-250 № 02 под управлением. В сен</w:t>
      </w:r>
      <w:r w:rsidRPr="00925F26">
        <w:rPr>
          <w:color w:val="000000" w:themeColor="text1"/>
          <w:sz w:val="16"/>
          <w:szCs w:val="16"/>
        </w:rPr>
        <w:softHyphen/>
        <w:t>тябре эстафету испытаний принял новый лётчик- испытатель ОКБ-155 А.Н. Чернобуров, пришедший с авиазавода № 163. Вскоре компанию ему составил ещё один «новичок» — лётчик-испытатель И.Т. Ива</w:t>
      </w:r>
      <w:r w:rsidRPr="00925F26">
        <w:rPr>
          <w:color w:val="000000" w:themeColor="text1"/>
          <w:sz w:val="16"/>
          <w:szCs w:val="16"/>
        </w:rPr>
        <w:softHyphen/>
        <w:t>щенко, которого перевели с авиазавода № 301. Одна</w:t>
      </w:r>
      <w:r w:rsidRPr="00925F26">
        <w:rPr>
          <w:color w:val="000000" w:themeColor="text1"/>
          <w:sz w:val="16"/>
          <w:szCs w:val="16"/>
        </w:rPr>
        <w:softHyphen/>
        <w:t>ко после катастрофы первого И-250 ко второй машине стали относиться осторожнее и на подобные скорост</w:t>
      </w:r>
      <w:r w:rsidRPr="00925F26">
        <w:rPr>
          <w:color w:val="000000" w:themeColor="text1"/>
          <w:sz w:val="16"/>
          <w:szCs w:val="16"/>
        </w:rPr>
        <w:softHyphen/>
        <w:t>ные режимы не выходили (23379).</w:t>
      </w:r>
    </w:p>
    <w:p w14:paraId="529DEA70" w14:textId="77777777" w:rsidR="0017108B" w:rsidRPr="00925F26" w:rsidRDefault="0017108B" w:rsidP="00925F26">
      <w:pPr>
        <w:jc w:val="both"/>
        <w:rPr>
          <w:color w:val="000000" w:themeColor="text1"/>
          <w:sz w:val="16"/>
          <w:szCs w:val="16"/>
        </w:rPr>
      </w:pPr>
    </w:p>
    <w:p w14:paraId="33D4D1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года вышел приказ НКАП:</w:t>
      </w:r>
    </w:p>
    <w:p w14:paraId="066901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Утвердить Кононенко М.Л. директором завода № 500, освободив Петрова А.П. (8958)</w:t>
      </w:r>
    </w:p>
    <w:p w14:paraId="05729715" w14:textId="77777777" w:rsidR="00665165" w:rsidRPr="00925F26" w:rsidRDefault="00665165" w:rsidP="00925F26">
      <w:pPr>
        <w:autoSpaceDE w:val="0"/>
        <w:autoSpaceDN w:val="0"/>
        <w:adjustRightInd w:val="0"/>
        <w:jc w:val="both"/>
        <w:rPr>
          <w:color w:val="000000" w:themeColor="text1"/>
          <w:sz w:val="16"/>
          <w:szCs w:val="16"/>
        </w:rPr>
      </w:pPr>
    </w:p>
    <w:p w14:paraId="181AA173" w14:textId="77777777" w:rsidR="00F37105" w:rsidRPr="00925F26" w:rsidRDefault="00F37105" w:rsidP="00925F26">
      <w:pPr>
        <w:jc w:val="both"/>
        <w:rPr>
          <w:color w:val="000000" w:themeColor="text1"/>
          <w:sz w:val="16"/>
          <w:szCs w:val="16"/>
        </w:rPr>
      </w:pPr>
      <w:r w:rsidRPr="00925F26">
        <w:rPr>
          <w:bCs/>
          <w:color w:val="000000" w:themeColor="text1"/>
          <w:sz w:val="16"/>
          <w:szCs w:val="16"/>
        </w:rPr>
        <w:t>26 мая</w:t>
      </w:r>
      <w:r w:rsidRPr="00925F26">
        <w:rPr>
          <w:color w:val="000000" w:themeColor="text1"/>
          <w:sz w:val="16"/>
          <w:szCs w:val="16"/>
        </w:rPr>
        <w:t xml:space="preserve"> в 1945 году истребитель </w:t>
      </w:r>
      <w:hyperlink r:id="rId130" w:tgtFrame="_blank" w:history="1">
        <w:r w:rsidRPr="00925F26">
          <w:rPr>
            <w:color w:val="000000" w:themeColor="text1"/>
            <w:sz w:val="16"/>
            <w:szCs w:val="16"/>
          </w:rPr>
          <w:t xml:space="preserve">«МиГ-13» </w:t>
        </w:r>
      </w:hyperlink>
      <w:r w:rsidRPr="00925F26">
        <w:rPr>
          <w:color w:val="000000" w:themeColor="text1"/>
          <w:sz w:val="16"/>
          <w:szCs w:val="16"/>
        </w:rPr>
        <w:t>(</w:t>
      </w:r>
      <w:hyperlink r:id="rId131" w:tgtFrame="_blank" w:history="1">
        <w:r w:rsidRPr="00925F26">
          <w:rPr>
            <w:color w:val="000000" w:themeColor="text1"/>
            <w:sz w:val="16"/>
            <w:szCs w:val="16"/>
          </w:rPr>
          <w:t xml:space="preserve"> «И-250» </w:t>
        </w:r>
      </w:hyperlink>
      <w:r w:rsidRPr="00925F26">
        <w:rPr>
          <w:color w:val="000000" w:themeColor="text1"/>
          <w:sz w:val="16"/>
          <w:szCs w:val="16"/>
        </w:rPr>
        <w:t>№02) впервые поднялся в небо и достиг высоты 1300 метров. В тот период А.П.Деев был единственным летчиком-испытателем «ОКБ-155», поэтому и вторую машину пришлось поднимать ему (14903).</w:t>
      </w:r>
    </w:p>
    <w:p w14:paraId="50B081AF" w14:textId="77777777" w:rsidR="00F37105" w:rsidRPr="00925F26" w:rsidRDefault="00F37105" w:rsidP="00925F26">
      <w:pPr>
        <w:jc w:val="both"/>
        <w:rPr>
          <w:color w:val="000000" w:themeColor="text1"/>
          <w:sz w:val="16"/>
          <w:szCs w:val="16"/>
        </w:rPr>
      </w:pPr>
    </w:p>
    <w:p w14:paraId="357111AD" w14:textId="77777777" w:rsidR="00736BA6" w:rsidRPr="001A0BAA" w:rsidRDefault="00736BA6" w:rsidP="00736BA6">
      <w:pPr>
        <w:jc w:val="both"/>
        <w:rPr>
          <w:color w:val="0070C0"/>
          <w:sz w:val="16"/>
          <w:szCs w:val="16"/>
        </w:rPr>
      </w:pPr>
      <w:bookmarkStart w:id="26" w:name="bookmark17"/>
      <w:r w:rsidRPr="001A0BAA">
        <w:rPr>
          <w:color w:val="0070C0"/>
          <w:sz w:val="16"/>
          <w:szCs w:val="16"/>
        </w:rPr>
        <w:t>26 мая 1945 г. летчик-ис</w:t>
      </w:r>
      <w:r w:rsidRPr="001A0BAA">
        <w:rPr>
          <w:color w:val="0070C0"/>
          <w:sz w:val="16"/>
          <w:szCs w:val="16"/>
        </w:rPr>
        <w:softHyphen/>
        <w:t>пытатель ЛИИ А.П. Якимов выполнил первый полет на втором опытном экземпляре И-250 (Н-2). Самолет отличался от первого прототипа увеличенной площадью вертикального оперения и измененной схемой уборки хвостового колеса. В целях безопасности скорость полета И-250 была ограничена 800 км/ч. Испытания Н-2 подтвердили высокие летные характеристики самолета, и в июле 1945 г. было принято решение о запуске его в серийное производство на авиационном заводе № 381, В декабре 1945 г. второй опытный экземпляр потерпел ава</w:t>
      </w:r>
      <w:r w:rsidRPr="001A0BAA">
        <w:rPr>
          <w:color w:val="0070C0"/>
          <w:sz w:val="16"/>
          <w:szCs w:val="16"/>
        </w:rPr>
        <w:softHyphen/>
        <w:t>рию на посадке, пилотировавший его летчик-испытатель ОКБ-155 А.Н. Чернобуров почти не пострадал [46].</w:t>
      </w:r>
    </w:p>
    <w:p w14:paraId="4DBFF14A" w14:textId="77777777" w:rsidR="00736BA6" w:rsidRPr="001A0BAA" w:rsidRDefault="00736BA6" w:rsidP="00736BA6">
      <w:pPr>
        <w:jc w:val="both"/>
        <w:rPr>
          <w:color w:val="0070C0"/>
          <w:sz w:val="16"/>
          <w:szCs w:val="16"/>
        </w:rPr>
      </w:pPr>
      <w:r w:rsidRPr="001A0BAA">
        <w:rPr>
          <w:color w:val="0070C0"/>
          <w:sz w:val="16"/>
          <w:szCs w:val="16"/>
          <w:shd w:val="clear" w:color="auto" w:fill="FFFFFF"/>
        </w:rPr>
        <w:t>В 1946 г. завод № 381 выпустил малую серию из 8 истре</w:t>
      </w:r>
      <w:r w:rsidRPr="001A0BAA">
        <w:rPr>
          <w:color w:val="0070C0"/>
          <w:sz w:val="16"/>
          <w:szCs w:val="16"/>
          <w:shd w:val="clear" w:color="auto" w:fill="FFFFFF"/>
        </w:rPr>
        <w:softHyphen/>
        <w:t xml:space="preserve">бителей И-250. На воздушном параде 7 ноября 1946 г. они были продемонстрированы зрителям. Полет выполнялся на высоте </w:t>
      </w:r>
      <w:bookmarkStart w:id="27" w:name="bookmark275"/>
      <w:bookmarkEnd w:id="27"/>
      <w:r w:rsidRPr="001A0BAA">
        <w:rPr>
          <w:color w:val="0070C0"/>
          <w:sz w:val="16"/>
          <w:szCs w:val="16"/>
        </w:rPr>
        <w:t>.300 м со скоростью более 700 км/ч, однако низкая об</w:t>
      </w:r>
      <w:r w:rsidRPr="001A0BAA">
        <w:rPr>
          <w:color w:val="0070C0"/>
          <w:sz w:val="16"/>
          <w:szCs w:val="16"/>
        </w:rPr>
        <w:softHyphen/>
        <w:t>лачность в тот день не позволила москвичам как следует рас</w:t>
      </w:r>
      <w:r w:rsidRPr="001A0BAA">
        <w:rPr>
          <w:color w:val="0070C0"/>
          <w:sz w:val="16"/>
          <w:szCs w:val="16"/>
        </w:rPr>
        <w:softHyphen/>
        <w:t>смотреть новинку. Все, что они смогли увидеть — это длин</w:t>
      </w:r>
      <w:r w:rsidRPr="001A0BAA">
        <w:rPr>
          <w:color w:val="0070C0"/>
          <w:sz w:val="16"/>
          <w:szCs w:val="16"/>
        </w:rPr>
        <w:softHyphen/>
        <w:t>ный, почти пятиметровый огненный хвост, тянувшийся за со</w:t>
      </w:r>
      <w:r w:rsidRPr="001A0BAA">
        <w:rPr>
          <w:color w:val="0070C0"/>
          <w:sz w:val="16"/>
          <w:szCs w:val="16"/>
        </w:rPr>
        <w:softHyphen/>
        <w:t>плом ВРДК этих необычных самолетов. В следующем году серийные самолеты были представлены на государственные ис</w:t>
      </w:r>
      <w:r w:rsidRPr="001A0BAA">
        <w:rPr>
          <w:color w:val="0070C0"/>
          <w:sz w:val="16"/>
          <w:szCs w:val="16"/>
        </w:rPr>
        <w:softHyphen/>
        <w:t>пытания. Они проходили в период с 9 октября 1947 г. по 8 ап</w:t>
      </w:r>
      <w:r w:rsidRPr="001A0BAA">
        <w:rPr>
          <w:color w:val="0070C0"/>
          <w:sz w:val="16"/>
          <w:szCs w:val="16"/>
        </w:rPr>
        <w:softHyphen/>
        <w:t>реля 1948 г., ведущим летчиком испытателем был И.М. Сухо</w:t>
      </w:r>
      <w:r w:rsidRPr="001A0BAA">
        <w:rPr>
          <w:color w:val="0070C0"/>
          <w:sz w:val="16"/>
          <w:szCs w:val="16"/>
        </w:rPr>
        <w:softHyphen/>
        <w:t>млинов. По результатам госиспытаний в мае 1948 г. И-250 был принят на вооружение под обозначением МиГ-13 (рис. 2.71). Незначительное количество построенных самолетов поступи</w:t>
      </w:r>
      <w:r w:rsidRPr="001A0BAA">
        <w:rPr>
          <w:color w:val="0070C0"/>
          <w:sz w:val="16"/>
          <w:szCs w:val="16"/>
        </w:rPr>
        <w:softHyphen/>
        <w:t>ло в полки авиации ВМФ (Северный и Балтийский флоты). Эксплуатация их продолжалась недолго: к началу 50-х гг. в СССР уже было развернуто массовое производство значитель</w:t>
      </w:r>
      <w:r w:rsidRPr="001A0BAA">
        <w:rPr>
          <w:color w:val="0070C0"/>
          <w:sz w:val="16"/>
          <w:szCs w:val="16"/>
        </w:rPr>
        <w:softHyphen/>
        <w:t>но более совершенных истребителей с реактивными двигате</w:t>
      </w:r>
      <w:r w:rsidRPr="001A0BAA">
        <w:rPr>
          <w:color w:val="0070C0"/>
          <w:sz w:val="16"/>
          <w:szCs w:val="16"/>
        </w:rPr>
        <w:softHyphen/>
        <w:t>лями [46] (24920).</w:t>
      </w:r>
    </w:p>
    <w:p w14:paraId="57987CBF" w14:textId="77777777" w:rsidR="00736BA6" w:rsidRPr="001A0BAA" w:rsidRDefault="00736BA6" w:rsidP="00736BA6">
      <w:pPr>
        <w:jc w:val="both"/>
        <w:rPr>
          <w:color w:val="0070C0"/>
          <w:sz w:val="16"/>
          <w:szCs w:val="16"/>
        </w:rPr>
      </w:pPr>
    </w:p>
    <w:p w14:paraId="0FF69590" w14:textId="77777777" w:rsidR="00736BA6" w:rsidRPr="001A0BAA" w:rsidRDefault="00736BA6" w:rsidP="00736BA6">
      <w:pPr>
        <w:jc w:val="both"/>
        <w:rPr>
          <w:color w:val="0070C0"/>
          <w:sz w:val="16"/>
          <w:szCs w:val="16"/>
        </w:rPr>
      </w:pPr>
      <w:r w:rsidRPr="001A0BAA">
        <w:rPr>
          <w:color w:val="0070C0"/>
          <w:sz w:val="16"/>
          <w:szCs w:val="16"/>
        </w:rPr>
        <w:t>26 мая 1945 г. под управлением А.П.Деева И-250 совершил первый полет. Однако 5 июля 1945 г. при выполнении очередного испытательного полета первый экземпляр И-250 потерпел катастрофу. Из-за большой перегрузки разрушился стабилизатор. Летчик-испытатель А.П.Деев покинул самолет, но из-за малой высоты купол парашюта наполнился слишком поздно (24925).</w:t>
      </w:r>
    </w:p>
    <w:p w14:paraId="01D4778E" w14:textId="77777777" w:rsidR="00736BA6" w:rsidRPr="001A0BAA" w:rsidRDefault="00736BA6" w:rsidP="00736BA6">
      <w:pPr>
        <w:jc w:val="both"/>
        <w:rPr>
          <w:color w:val="0070C0"/>
          <w:sz w:val="16"/>
          <w:szCs w:val="16"/>
        </w:rPr>
      </w:pPr>
    </w:p>
    <w:p w14:paraId="4EFB2594" w14:textId="77777777" w:rsidR="00736BA6" w:rsidRPr="001A0BAA" w:rsidRDefault="00736BA6" w:rsidP="00736BA6">
      <w:pPr>
        <w:jc w:val="both"/>
        <w:rPr>
          <w:color w:val="0070C0"/>
          <w:sz w:val="16"/>
          <w:szCs w:val="16"/>
        </w:rPr>
      </w:pPr>
      <w:r w:rsidRPr="001A0BAA">
        <w:rPr>
          <w:color w:val="0070C0"/>
          <w:sz w:val="16"/>
          <w:szCs w:val="16"/>
        </w:rPr>
        <w:t xml:space="preserve">26 мая 1945 г. летчик-испытатель А. П. Деев совершил первый полет на втором опытном прототипе И-250-2. В течении следующего месяца испытания шли с переменным успехом. </w:t>
      </w:r>
      <w:proofErr w:type="gramStart"/>
      <w:r w:rsidRPr="001A0BAA">
        <w:rPr>
          <w:color w:val="0070C0"/>
          <w:sz w:val="16"/>
          <w:szCs w:val="16"/>
        </w:rPr>
        <w:t>Отмечается</w:t>
      </w:r>
      <w:proofErr w:type="gramEnd"/>
      <w:r w:rsidRPr="001A0BAA">
        <w:rPr>
          <w:color w:val="0070C0"/>
          <w:sz w:val="16"/>
          <w:szCs w:val="16"/>
        </w:rPr>
        <w:t xml:space="preserve"> что очень часто возникали различные проблемы с силовой установкой и сопутствующими функциональными системами, которые требовали внесения доработок и осуществления мелкого ремонта. Нельзя не сказать и о полученных результатах. Во время очередного полета удалось достичь максимальной скорости в 820 км/ч. Это были хорошие показатели. Не обошлось и без серьезных инцидентов. 5 июля 1945 года, согласно программе испытаний, требовалось осуществить полет на малых высотах с включенным ВРДК. Во время полета произошел отрыв левой половины стабилизатора и первый прототип И-250-1 был потерян (25216).</w:t>
      </w:r>
    </w:p>
    <w:p w14:paraId="13DD71F1" w14:textId="77777777" w:rsidR="00736BA6" w:rsidRPr="001A0BAA" w:rsidRDefault="00736BA6" w:rsidP="00736BA6">
      <w:pPr>
        <w:jc w:val="both"/>
        <w:rPr>
          <w:color w:val="0070C0"/>
          <w:sz w:val="16"/>
          <w:szCs w:val="16"/>
        </w:rPr>
      </w:pPr>
    </w:p>
    <w:p w14:paraId="1E6BE64D" w14:textId="77777777" w:rsidR="00F37105" w:rsidRPr="00925F26" w:rsidRDefault="00F37105" w:rsidP="00925F26">
      <w:pPr>
        <w:pStyle w:val="3a"/>
        <w:shd w:val="clear" w:color="auto" w:fill="auto"/>
        <w:spacing w:before="0" w:after="0" w:line="240" w:lineRule="auto"/>
        <w:jc w:val="both"/>
        <w:rPr>
          <w:color w:val="000000" w:themeColor="text1"/>
          <w:spacing w:val="0"/>
          <w:sz w:val="16"/>
          <w:szCs w:val="16"/>
        </w:rPr>
      </w:pPr>
      <w:r w:rsidRPr="00925F26">
        <w:rPr>
          <w:color w:val="000000" w:themeColor="text1"/>
          <w:spacing w:val="0"/>
          <w:sz w:val="16"/>
          <w:szCs w:val="16"/>
        </w:rPr>
        <w:t>26 мая 1945 г. Решение Бюро изобретений Госплана СССР по заявке М.Л. Миля № 8631/313495 НКАП СССР с приоритетом от 19 ноября 1942 г.</w:t>
      </w:r>
      <w:bookmarkEnd w:id="26"/>
    </w:p>
    <w:p w14:paraId="2C6ED5A4" w14:textId="77777777" w:rsidR="00F37105" w:rsidRPr="00925F26" w:rsidRDefault="00F37105" w:rsidP="00925F26">
      <w:pPr>
        <w:pStyle w:val="3a"/>
        <w:shd w:val="clear" w:color="auto" w:fill="auto"/>
        <w:spacing w:before="0" w:after="0" w:line="240" w:lineRule="auto"/>
        <w:jc w:val="both"/>
        <w:rPr>
          <w:color w:val="000000" w:themeColor="text1"/>
          <w:spacing w:val="0"/>
          <w:sz w:val="16"/>
          <w:szCs w:val="16"/>
        </w:rPr>
      </w:pPr>
      <w:r w:rsidRPr="00925F26">
        <w:rPr>
          <w:color w:val="000000" w:themeColor="text1"/>
          <w:spacing w:val="0"/>
          <w:sz w:val="16"/>
          <w:szCs w:val="16"/>
        </w:rPr>
        <w:t>«Реактивный воздушный винт»</w:t>
      </w:r>
    </w:p>
    <w:p w14:paraId="3306BADD" w14:textId="77777777" w:rsidR="00F37105" w:rsidRPr="00925F26" w:rsidRDefault="00F37105" w:rsidP="00925F26">
      <w:pPr>
        <w:jc w:val="both"/>
        <w:rPr>
          <w:color w:val="000000" w:themeColor="text1"/>
          <w:sz w:val="16"/>
          <w:szCs w:val="16"/>
        </w:rPr>
      </w:pPr>
      <w:r w:rsidRPr="00925F26">
        <w:rPr>
          <w:color w:val="000000" w:themeColor="text1"/>
          <w:sz w:val="16"/>
          <w:szCs w:val="16"/>
        </w:rPr>
        <w:t>Принимая во внимание, что использование ракетных установок на роторах автожира для его раскрутки в момент взлета, как указыва</w:t>
      </w:r>
      <w:r w:rsidRPr="00925F26">
        <w:rPr>
          <w:color w:val="000000" w:themeColor="text1"/>
          <w:sz w:val="16"/>
          <w:szCs w:val="16"/>
        </w:rPr>
        <w:softHyphen/>
        <w:t>ет и сам заявитель, общеизвестно и что известны и устройства реактив</w:t>
      </w:r>
      <w:r w:rsidRPr="00925F26">
        <w:rPr>
          <w:color w:val="000000" w:themeColor="text1"/>
          <w:sz w:val="16"/>
          <w:szCs w:val="16"/>
        </w:rPr>
        <w:softHyphen/>
        <w:t>ных воздушных винтов, В которых рабочая среда подается под давле</w:t>
      </w:r>
      <w:r w:rsidRPr="00925F26">
        <w:rPr>
          <w:color w:val="000000" w:themeColor="text1"/>
          <w:sz w:val="16"/>
          <w:szCs w:val="16"/>
        </w:rPr>
        <w:softHyphen/>
        <w:t>нием в камеры горения, расположенные на концах лопастей за счет центробежных сил (см. германский патент № 462238 кл[асс] 62в, 37/04 от 1925г.) и, усматривая новизну в расположении питательных бачков с горючим и окислителем непосредственно в лопастях винта, Бюро изо</w:t>
      </w:r>
      <w:r w:rsidRPr="00925F26">
        <w:rPr>
          <w:color w:val="000000" w:themeColor="text1"/>
          <w:sz w:val="16"/>
          <w:szCs w:val="16"/>
        </w:rPr>
        <w:softHyphen/>
        <w:t>бретений Госплана СССР находит возможным выдать авторское свиде</w:t>
      </w:r>
      <w:r w:rsidRPr="00925F26">
        <w:rPr>
          <w:color w:val="000000" w:themeColor="text1"/>
          <w:sz w:val="16"/>
          <w:szCs w:val="16"/>
        </w:rPr>
        <w:softHyphen/>
        <w:t>тельство на РЕАКТИВНЫЙ ВОЗДУШНЫЙ ВИНТ, формулируя пред</w:t>
      </w:r>
      <w:r w:rsidRPr="00925F26">
        <w:rPr>
          <w:color w:val="000000" w:themeColor="text1"/>
          <w:sz w:val="16"/>
          <w:szCs w:val="16"/>
        </w:rPr>
        <w:softHyphen/>
        <w:t>мет лишь в следующей редакции:</w:t>
      </w:r>
    </w:p>
    <w:p w14:paraId="243B724D" w14:textId="77777777" w:rsidR="00F37105" w:rsidRPr="00925F26" w:rsidRDefault="00F37105" w:rsidP="00925F26">
      <w:pPr>
        <w:jc w:val="both"/>
        <w:rPr>
          <w:color w:val="000000" w:themeColor="text1"/>
          <w:sz w:val="16"/>
          <w:szCs w:val="16"/>
        </w:rPr>
      </w:pPr>
      <w:r w:rsidRPr="00925F26">
        <w:rPr>
          <w:color w:val="000000" w:themeColor="text1"/>
          <w:sz w:val="16"/>
          <w:szCs w:val="16"/>
        </w:rPr>
        <w:t>Реактивный воздушный винт с дюзами и запальными устрой</w:t>
      </w:r>
      <w:r w:rsidRPr="00925F26">
        <w:rPr>
          <w:color w:val="000000" w:themeColor="text1"/>
          <w:sz w:val="16"/>
          <w:szCs w:val="16"/>
        </w:rPr>
        <w:softHyphen/>
        <w:t>ствами, размещенными на концах лопастей, снабженный для переда</w:t>
      </w:r>
      <w:r w:rsidRPr="00925F26">
        <w:rPr>
          <w:color w:val="000000" w:themeColor="text1"/>
          <w:sz w:val="16"/>
          <w:szCs w:val="16"/>
        </w:rPr>
        <w:softHyphen/>
        <w:t>чи горючего и окислителя к камерам горения трубопроводами, распо</w:t>
      </w:r>
      <w:r w:rsidRPr="00925F26">
        <w:rPr>
          <w:color w:val="000000" w:themeColor="text1"/>
          <w:sz w:val="16"/>
          <w:szCs w:val="16"/>
        </w:rPr>
        <w:softHyphen/>
        <w:t>ложенными внутри полых лопастей, отличающийся тем, что питатель</w:t>
      </w:r>
      <w:r w:rsidRPr="00925F26">
        <w:rPr>
          <w:color w:val="000000" w:themeColor="text1"/>
          <w:sz w:val="16"/>
          <w:szCs w:val="16"/>
        </w:rPr>
        <w:softHyphen/>
        <w:t>ные бачки с горючим и окислителем размещены внутри каждой из ло</w:t>
      </w:r>
      <w:r w:rsidRPr="00925F26">
        <w:rPr>
          <w:color w:val="000000" w:themeColor="text1"/>
          <w:sz w:val="16"/>
          <w:szCs w:val="16"/>
        </w:rPr>
        <w:softHyphen/>
        <w:t>пастей.</w:t>
      </w:r>
    </w:p>
    <w:p w14:paraId="179CA86D" w14:textId="77777777" w:rsidR="00F37105" w:rsidRPr="00925F26" w:rsidRDefault="00F37105" w:rsidP="00925F26">
      <w:pPr>
        <w:jc w:val="both"/>
        <w:rPr>
          <w:color w:val="000000" w:themeColor="text1"/>
          <w:sz w:val="16"/>
          <w:szCs w:val="16"/>
        </w:rPr>
      </w:pPr>
      <w:r w:rsidRPr="00925F26">
        <w:rPr>
          <w:color w:val="000000" w:themeColor="text1"/>
          <w:sz w:val="16"/>
          <w:szCs w:val="16"/>
        </w:rPr>
        <w:t>Начальник Бюро изобретений Госплана СССР Д. Михайлов</w:t>
      </w:r>
    </w:p>
    <w:p w14:paraId="6FF616C4" w14:textId="77777777" w:rsidR="00F37105" w:rsidRPr="00925F26" w:rsidRDefault="00F37105" w:rsidP="00925F26">
      <w:pPr>
        <w:jc w:val="both"/>
        <w:rPr>
          <w:color w:val="000000" w:themeColor="text1"/>
          <w:sz w:val="16"/>
          <w:szCs w:val="16"/>
        </w:rPr>
      </w:pPr>
      <w:r w:rsidRPr="00925F26">
        <w:rPr>
          <w:color w:val="000000" w:themeColor="text1"/>
          <w:sz w:val="16"/>
          <w:szCs w:val="16"/>
        </w:rPr>
        <w:t>Филиал РГАНТД. Ф. Р-1. Оп. 50-5. Д 2279. Л. 11. Зав. Копия (15633).</w:t>
      </w:r>
    </w:p>
    <w:p w14:paraId="4ED44DBF" w14:textId="77777777" w:rsidR="00F37105" w:rsidRPr="00925F26" w:rsidRDefault="00F37105" w:rsidP="00925F26">
      <w:pPr>
        <w:pStyle w:val="343"/>
        <w:shd w:val="clear" w:color="auto" w:fill="auto"/>
        <w:spacing w:line="240" w:lineRule="auto"/>
        <w:jc w:val="both"/>
        <w:outlineLvl w:val="9"/>
        <w:rPr>
          <w:rStyle w:val="341pt"/>
          <w:color w:val="000000" w:themeColor="text1"/>
          <w:spacing w:val="0"/>
          <w:sz w:val="16"/>
          <w:szCs w:val="16"/>
        </w:rPr>
      </w:pPr>
    </w:p>
    <w:p w14:paraId="41B76B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года была подготовлена справка:</w:t>
      </w:r>
    </w:p>
    <w:p w14:paraId="34A8F8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Завод № 473 НКАП расположен на трех промплощадках на расстоянии до 12 км между ними (8973).</w:t>
      </w:r>
    </w:p>
    <w:p w14:paraId="5143A809" w14:textId="77777777" w:rsidR="00665165" w:rsidRPr="00925F26" w:rsidRDefault="00665165" w:rsidP="00925F26">
      <w:pPr>
        <w:autoSpaceDE w:val="0"/>
        <w:autoSpaceDN w:val="0"/>
        <w:adjustRightInd w:val="0"/>
        <w:jc w:val="both"/>
        <w:rPr>
          <w:color w:val="000000" w:themeColor="text1"/>
          <w:sz w:val="16"/>
          <w:szCs w:val="16"/>
        </w:rPr>
      </w:pPr>
    </w:p>
    <w:p w14:paraId="2B9234E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303DD94" w14:textId="77777777" w:rsidR="00665165" w:rsidRPr="00925F26" w:rsidRDefault="00665165" w:rsidP="00925F26">
      <w:pPr>
        <w:autoSpaceDE w:val="0"/>
        <w:autoSpaceDN w:val="0"/>
        <w:adjustRightInd w:val="0"/>
        <w:jc w:val="both"/>
        <w:rPr>
          <w:iCs/>
          <w:color w:val="000000" w:themeColor="text1"/>
          <w:sz w:val="16"/>
          <w:szCs w:val="16"/>
        </w:rPr>
      </w:pPr>
    </w:p>
    <w:p w14:paraId="66584CEE" w14:textId="77777777" w:rsidR="00BE2FB1" w:rsidRPr="00925F26" w:rsidRDefault="00BE2FB1" w:rsidP="00925F26">
      <w:pPr>
        <w:jc w:val="both"/>
        <w:rPr>
          <w:color w:val="000000" w:themeColor="text1"/>
          <w:sz w:val="16"/>
          <w:szCs w:val="16"/>
        </w:rPr>
      </w:pPr>
      <w:r w:rsidRPr="00925F26">
        <w:rPr>
          <w:bCs/>
          <w:color w:val="000000" w:themeColor="text1"/>
          <w:sz w:val="16"/>
          <w:szCs w:val="16"/>
        </w:rPr>
        <w:t>26 мая</w:t>
      </w:r>
      <w:r w:rsidRPr="00925F26">
        <w:rPr>
          <w:color w:val="000000" w:themeColor="text1"/>
          <w:sz w:val="16"/>
          <w:szCs w:val="16"/>
        </w:rPr>
        <w:t xml:space="preserve"> в 1945 году в СССР объявлено о начале перехода промышленности к мирному производству (14902).</w:t>
      </w:r>
    </w:p>
    <w:p w14:paraId="648C4251" w14:textId="77777777" w:rsidR="00BE2FB1" w:rsidRPr="00925F26" w:rsidRDefault="00BE2FB1" w:rsidP="00925F26">
      <w:pPr>
        <w:jc w:val="both"/>
        <w:rPr>
          <w:color w:val="000000" w:themeColor="text1"/>
          <w:sz w:val="16"/>
          <w:szCs w:val="16"/>
        </w:rPr>
      </w:pPr>
    </w:p>
    <w:p w14:paraId="73D900ED"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26 мая 1945 г., ГОКО принимает постановление № 8804 «О мероприятиях по перестройке промышленности в связи с сокращением производства боеприпасов».</w:t>
      </w:r>
    </w:p>
    <w:p w14:paraId="67058CB1"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Это постановление еще больше снижает объемы производства боеприпасов. Кроме того, в нем наконец появляется некая концепция того, что нужно делать с отраслью (планом это назвать все еще нельзя). Постановление предусматривало: «освободить полностью от производства элементов боеприпасов с июня 1945 г. предприятия согласно приложению № 16 и перевести их на выпуск гражданской продукции». Все ведомства, ру</w:t>
      </w:r>
      <w:r w:rsidRPr="00925F26">
        <w:rPr>
          <w:rStyle w:val="a7"/>
          <w:b w:val="0"/>
          <w:color w:val="000000" w:themeColor="text1"/>
          <w:sz w:val="16"/>
          <w:szCs w:val="16"/>
        </w:rPr>
        <w:t>[236]</w:t>
      </w:r>
      <w:r w:rsidRPr="00925F26">
        <w:rPr>
          <w:color w:val="000000" w:themeColor="text1"/>
          <w:sz w:val="16"/>
          <w:szCs w:val="16"/>
        </w:rPr>
        <w:t>ководившие освобождаемыми от производства боеприпасов предприятиями, должны были «предоставить в Совнарком СССР и Госплан СССР свои предложения о номенклатуре и размерах производства гражданской продукции на освобождаемых мощностях от производства боеприпасов в пятидневный срок — на III квартал 1945 г., а также графики восстановления и освоения этой продукции».</w:t>
      </w:r>
    </w:p>
    <w:p w14:paraId="5AF3413C"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В приложении № 16 было перечислено 739 предприятий и организаций, входящих в состав 53 ведомств. Видимо, постановление коснулось всех или почти всех предприятий, не входивших в состав наркомата боеприпасов. ГОКО своим постановлением предоставило руководителям их ведомств возможность решать судьбу этих предприятий самостоятельно (сохранив за собой общий контроль за ситуацией и право вето в тех случаях, когда решения отраслевого руководства покажутся ошибочными). Можно предполагать, что отраслевые руководители имели представление и даже какие-либо проработанные планы по использованию высвобожденных производственных мощностей.</w:t>
      </w:r>
    </w:p>
    <w:p w14:paraId="411A79F5"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Постановление предусматривало сохранения способности быстро мобилизовать отрасль в случае возникновения новой военной угрозы:</w:t>
      </w:r>
    </w:p>
    <w:p w14:paraId="2FC579B5" w14:textId="77777777" w:rsidR="00BE2FB1" w:rsidRPr="00925F26" w:rsidRDefault="00BE2FB1" w:rsidP="00925F26">
      <w:pPr>
        <w:shd w:val="clear" w:color="auto" w:fill="FFFFFF"/>
        <w:jc w:val="both"/>
        <w:rPr>
          <w:color w:val="000000" w:themeColor="text1"/>
          <w:sz w:val="16"/>
          <w:szCs w:val="16"/>
        </w:rPr>
      </w:pPr>
      <w:r w:rsidRPr="00925F26">
        <w:rPr>
          <w:rStyle w:val="af0"/>
          <w:i w:val="0"/>
          <w:color w:val="000000" w:themeColor="text1"/>
          <w:sz w:val="16"/>
          <w:szCs w:val="16"/>
        </w:rPr>
        <w:t>«</w:t>
      </w:r>
      <w:r w:rsidRPr="00925F26">
        <w:rPr>
          <w:color w:val="000000" w:themeColor="text1"/>
          <w:sz w:val="16"/>
          <w:szCs w:val="16"/>
        </w:rPr>
        <w:t>В целях сохранения мобилизационных мощностей по производству элементов боеприпасов на предприятиях вне системы НКБ и на предприятиях НКБ по производству элементов боеприпасов, временно прекращены производством:</w:t>
      </w:r>
    </w:p>
    <w:p w14:paraId="45DAD617"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 xml:space="preserve">а) обязать Наркомбоеприпасов (т. Ванникова), Наркомминвооружения (т. Паршина), Наркомчермет (т. Тевосяна), Наркомсредмаш </w:t>
      </w:r>
      <w:r w:rsidRPr="00925F26">
        <w:rPr>
          <w:rStyle w:val="a7"/>
          <w:b w:val="0"/>
          <w:color w:val="000000" w:themeColor="text1"/>
          <w:sz w:val="16"/>
          <w:szCs w:val="16"/>
        </w:rPr>
        <w:t xml:space="preserve">[237] </w:t>
      </w:r>
      <w:r w:rsidRPr="00925F26">
        <w:rPr>
          <w:color w:val="000000" w:themeColor="text1"/>
          <w:sz w:val="16"/>
          <w:szCs w:val="16"/>
        </w:rPr>
        <w:t>(т. Акопова), Наркомвооружения (т. Устинова), Наркомтекстиль (т. Седина), Наркомтанкопром (т. Малышева), НКВД СССР (т. Чернышева) и Наркомбумпром (т. Орлова) сохранить цехи по производству элементов боеприпасов мощностью на выпуск согласно приложению № 18.</w:t>
      </w:r>
    </w:p>
    <w:p w14:paraId="7754192D"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Предложить указанным наркоматам содержать эти цехи в полной готовности к возобновлению производства элементов боеприпасов, перечисленных в приложении;</w:t>
      </w:r>
    </w:p>
    <w:p w14:paraId="7056D7F8"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б) обязать все наркоматы и ведомства, перечисленные в пункте 2 настоящего постановления, а также директоров предприятий полностью и частично освобождаемых от производства боеприпасов, заложить до 1 июля с.г. в мобрезерв специальное оборудование (операционные станки, пресса для испытания мин, снарядов и др.), приспособления и специальный инструмент, полуфабрикаты, специальные материалы и сырье, пригодное для производства боеприпасов, а также сохранить на освобождаемых предприятиях всю техническую документацию по производству боеприпасов, приведя ее в полное соответствие с действующим технологическим процессом к моменту окончания производства их;</w:t>
      </w:r>
    </w:p>
    <w:p w14:paraId="4EA8326A"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в) предупредить всех директоров предприятий, частично и полностью освобождаемых от производства боеприпасов, об их персональной ответственности за сохранность и содержание в исправном состоянии мобилизационных резервов оборудования и имущества, запретив использование их без специального разрешения правительства».</w:t>
      </w:r>
    </w:p>
    <w:p w14:paraId="25A2E6F3"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Принципиально решив вопрос с производственными мощностями вне системы НКБ, постановление оставило без ответа не менее сложную проблему: что делать с самим гигантским наркоматом боеприпасов? Простых решений в этом вопросе не существовало. Казалось бы, логичным в этой ситуации было решение о «возврате к состоянию на 1941 год», но это было бы результатом поверхностного взгляда. На деле такое возвращение было невозможным. Во-первых, произошли значительные территориальные перемещения и организационные перераспределения производственных мощностей. В результате облик многих предприятий изменился, и их возвращение к прежнему профилю производства было не рациональным. Во-вторых, уровень милитаризации предвоенной промышленности был довольно высок, так как страна готовилась к войне. В новых послевоенных условиях необходимости в столь высокой милитаризации не было. В результате не ясно было, что делать с теми предприятиями, которые за свою историю никогда или почти никогда не производили гражданской продукции, а с самого начала были построены как заводы по производству боеприпасов или же перепрофилированы с мирной продукции на военную почти сразу после завершения своего строительства. Фактически эти предприятия оказались в подвешенном состоянии: боеприпасы в прежнем количестве производить нельзя, а что производить вместо них — не понятно.</w:t>
      </w:r>
    </w:p>
    <w:p w14:paraId="7582B4F7"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Это неясное положение производственных мощностей НКБ породило обострение межведомственной борьбы, которую вели другие ведомства с промышленностью боеприпасов. При этом предмет борьбы изменился. Если раньше целью было снять или хотя бы уменьшить нагрузку, падавшую на предприятия своих ведомств, то теперь руководство других отраслей стремилось к перераспределению производственных мощностей отрасли в свою пользу. Ведомства, которые ранее руководили этими предприятиями, требовали их передачи в прежнее подчинение для восстановления там прежнего производства. Фактически они хотели реализации варианта «возврата в 1941 год», что, как было указано выше, было на самом деле невозможно.</w:t>
      </w:r>
    </w:p>
    <w:p w14:paraId="32656CE1"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Эта борьба разворачивалась в рамках примерно того же самого состава участников и примерно по тем же правилам. Были инициаторы (как и ранее, отраслевые и региональные руководители), которые обращались за поддержкой к влиятельным фигурам в руководстве (все те же Берия, Маленков, Вознесенский). Наркомат боеприпасов и отдел боеприпасов Госплана, как и ранее, пытался отражать эти нападения, подбирая собственные контраргументы. И в итоге этой борьбы принималось (или не принималось) решение о передачи предприятия из состава НКБ в другое ведомство.</w:t>
      </w:r>
    </w:p>
    <w:p w14:paraId="780EC508" w14:textId="77777777" w:rsidR="00BE2FB1" w:rsidRPr="00925F26" w:rsidRDefault="00BE2FB1" w:rsidP="00925F26">
      <w:pPr>
        <w:shd w:val="clear" w:color="auto" w:fill="FFFFFF"/>
        <w:jc w:val="both"/>
        <w:rPr>
          <w:color w:val="000000" w:themeColor="text1"/>
          <w:sz w:val="16"/>
          <w:szCs w:val="16"/>
        </w:rPr>
      </w:pPr>
      <w:r w:rsidRPr="00925F26">
        <w:rPr>
          <w:color w:val="000000" w:themeColor="text1"/>
          <w:sz w:val="16"/>
          <w:szCs w:val="16"/>
        </w:rPr>
        <w:t>Новым в этой, уже изложенной выше совокупности процедур стали некоторые приемы оборонительной аргументации, используемой защитниками отрасли. Поразительным образом они быстро осваивают новую систему защиты. Если раньше их основным доводом была необходимость сохранения комплектной поставки боеприпасов в прежних объемах, то теперь, после постановлений ГОКО, такого рода аргументы более не могли иметь прежней силы. В этих условиях руководство отрасли начало действовать по принципу «если чтото нельзя предотвратить, это надо возглавить». Не имея возможности предотвратить осуществление конверсии и желая сохранить хотя бы отчасти свое прежнее влияние на советскую экономику, руководство отрасли быстро осознало, что добиться этого можно только самому став активным проводником политики конверсии. Тогда в ответ на запросы о передаче предприятий ранее управлявшим ими ведомствам для проведения конверсии можно будет возражать, что на этих предприятиях под руководством НКБ уже началась подготовка к производству гражданской продукции. При этом подобранный наркоматом новый профиль продукции более соответствует изменившейся производственной базе и накопленному предприятием опыту (15847).</w:t>
      </w:r>
    </w:p>
    <w:p w14:paraId="69A9C72E" w14:textId="77777777" w:rsidR="00BE2FB1" w:rsidRPr="00925F26" w:rsidRDefault="00BE2FB1" w:rsidP="00925F26">
      <w:pPr>
        <w:jc w:val="both"/>
        <w:rPr>
          <w:iCs/>
          <w:color w:val="000000" w:themeColor="text1"/>
          <w:sz w:val="16"/>
          <w:szCs w:val="16"/>
        </w:rPr>
      </w:pPr>
    </w:p>
    <w:p w14:paraId="314B12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8844сс “О мероприятиях по перестройке промышленности в связи с сокращением производства боеприпасов” - 8 стр. По уменьшению поставок в июне-июле 1945 и переключении высвобождавшихся ресурсов на выпуск мирной прродукции + 18 приложений (7543, 10).</w:t>
      </w:r>
    </w:p>
    <w:p w14:paraId="28132861" w14:textId="77777777" w:rsidR="00665165" w:rsidRPr="00925F26" w:rsidRDefault="00665165" w:rsidP="00925F26">
      <w:pPr>
        <w:autoSpaceDE w:val="0"/>
        <w:autoSpaceDN w:val="0"/>
        <w:adjustRightInd w:val="0"/>
        <w:jc w:val="both"/>
        <w:rPr>
          <w:color w:val="000000" w:themeColor="text1"/>
          <w:sz w:val="16"/>
          <w:szCs w:val="16"/>
        </w:rPr>
      </w:pPr>
    </w:p>
    <w:p w14:paraId="0200C8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26 мая 1945 г. вышло постановление № ГОКО-8844 “О мероприятиях по перестройке промышленности в связи с сокращением производства боеприпасов”. Сам текст постановления уместился на восьми машинописных страницах. Прежде всего, шла речь об уменьшении плана поставки боеприпасов Наркомату обороны и Наркомвоенморфлоту в июне-июле 1945 г., в т.ч. корпусов 23 мм, 37 мм, 76 мм и др. снарядов, а также ручных противотанковых гранат, противотанковых мин и корпусов авиамбомб. </w:t>
      </w:r>
      <w:proofErr w:type="gramStart"/>
      <w:r w:rsidRPr="00925F26">
        <w:rPr>
          <w:color w:val="000000" w:themeColor="text1"/>
          <w:sz w:val="16"/>
          <w:szCs w:val="16"/>
        </w:rPr>
        <w:t>Высвобождавшиеся</w:t>
      </w:r>
      <w:proofErr w:type="gramEnd"/>
      <w:r w:rsidRPr="00925F26">
        <w:rPr>
          <w:color w:val="000000" w:themeColor="text1"/>
          <w:sz w:val="16"/>
          <w:szCs w:val="16"/>
        </w:rPr>
        <w:t xml:space="preserve"> в связи с этим металлы, материалы, инструменты, химикаты и топливо передавались для выпуска мирной продукции. Однако специальным пунктом требовалось сохранение мобилизационных мощностей по производству боеприпасов. Госплану СССР разрешалось создавать в отделе боеприпасов мобилизационный сектор.</w:t>
      </w:r>
    </w:p>
    <w:p w14:paraId="73172B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Народный комиссар боеприпасов Б.Л.Ванников обязывался совместно с Госпланом разработать и внести на утверждение Совнаркома СССР предложения о постепенном переводе рабочих, инженерно-технических работников и служащих на нормальный рабочий день и об отмене обязательных сверхурочных работ на заводах НКБ; разрешалось восстановить с 1 июня 1945 г. для всех работающих выходные дни и очередные отпуска. Специальные пункты постановления посвящались регулированию вопросов премирования, повышения отпускных цен, поправкам к планам на 2-й квартал 1945 г. и другим конкретным вопросам, связанным с переходом к работе в мирных условиях.</w:t>
      </w:r>
    </w:p>
    <w:p w14:paraId="5AF3CA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ГОКО поручил председателю Госплана СССР Вознесенскому Н.А. (созыв), председателю ВЦСПС Кузнецову В. В., Наркому финансов Звереву А. Г. и Наркому боеприпасов Ванникову Б.Л. в 10-дневный срок внести в оперативное бюро ГОКО свои предложения о сохранении и поощрении кадров на заводах НКБ, предусмотрев особые преимущества для рабочих, инженерно-технических работников и служащих восточных заводов. Определялся порядок передачи некоторых заводов другим наркоматам. Особым пунктом Наркомбоеприпасов обязывался принять необходимые меры по проведению ремонта зданий и оборудования взрывоопасных заводов.</w:t>
      </w:r>
    </w:p>
    <w:p w14:paraId="559CCC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Приложения к Постановлению (их 18) занимали свыше шестидесяти машинописных страниц. Одним из наиболее важных нам представляется приложение № 16:</w:t>
      </w:r>
    </w:p>
    <w:p w14:paraId="7B5711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“Список предприятий, полностью освобождаемых с 1 июня 1945 г. от производства боеприпасов и спецукупорки для них, на которых освобождаемые мощности по производству боеприпасов переводятся на выпуск гражданской продукции”. В списке - 740 предприятий (!), из которых 483 завода, остальные - строительные организации, мастерские, артели, фабрики, ателье, а также 43 исправительно-трудовых колонии. По ведомственной принадлежности предприятия относились к 33 союзным наркоматам (более всего: лесной промышленности - 49, строительства - 36, путей сообщения - 35, черной металлургии -27 и т.д.), 6 главкам (более всего Главному управлению трудовых резервов - 12) и 3 комитетам - (по делам геологии, кинематографии, искусств); учреждениям РСФСР (более всего: наркомату местной </w:t>
      </w:r>
      <w:r w:rsidRPr="00925F26">
        <w:rPr>
          <w:color w:val="000000" w:themeColor="text1"/>
          <w:sz w:val="16"/>
          <w:szCs w:val="16"/>
        </w:rPr>
        <w:lastRenderedPageBreak/>
        <w:t>промышленности - 39, Управлению промкооперации - 58) и некоторых других республик (Узбекистана, Грузии, Туркмении), а также Моссовета (26 различных предприятий, в том числе 3 парка культуры и отдыха), Всекоопинсоюза. Заметим: в примечании указывается, что это не полный перечень (7543).</w:t>
      </w:r>
    </w:p>
    <w:p w14:paraId="5654842D" w14:textId="77777777" w:rsidR="00665165" w:rsidRPr="00925F26" w:rsidRDefault="00665165" w:rsidP="00925F26">
      <w:pPr>
        <w:autoSpaceDE w:val="0"/>
        <w:autoSpaceDN w:val="0"/>
        <w:adjustRightInd w:val="0"/>
        <w:jc w:val="both"/>
        <w:rPr>
          <w:color w:val="000000" w:themeColor="text1"/>
          <w:sz w:val="16"/>
          <w:szCs w:val="16"/>
        </w:rPr>
      </w:pPr>
    </w:p>
    <w:p w14:paraId="035FA4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г. - вышло постановление ГОКО “О мероприятиях по перестройке промышленности в связи с сокращением производства вооружения”. Количество предприятий, полностью освобожденных от производства предметов вооружения и подлежащих загрузке производством гражданской продукции, значительно меньше: 17 заводов, подчиненных союзным наркоматам, и 15 предприятий (заводов, фабрик, артелей) республиканского подчинения. Так, завод № 718 наркомата минометного вооружения освобождался с 1 июля от выпуска минометов (до войны в основном выпускал дизеля и запчасти к ним); завод № 828 того же наркомата освобождался от производства пистолетов - пулеметов ПР-43 (довоенный профиль - счетно-аналитические машины); завод № 197 наркомата электропромышленности, выпускавший ранее крупные войсковые и авиационные радиостанции, с 1 августа переставал изготовлять детали артиллерии; завод № 12 Наркомтекстиля, специализировавшийся до войны на изготовлении запчастей к текстильным машинам, прекращал выпуск прицелов к пулеметам; артель “Спайка” управления промкооперации при СНК РСФСР возвращалась к производству металлогалан-тереи взамен пулеметных лент “Максима” и т.д. (7543)</w:t>
      </w:r>
    </w:p>
    <w:p w14:paraId="0729B5B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662D6B92" w14:textId="77777777" w:rsidR="00BE2FB1" w:rsidRPr="00925F26" w:rsidRDefault="00BE2FB1" w:rsidP="00925F26">
      <w:pPr>
        <w:autoSpaceDE w:val="0"/>
        <w:autoSpaceDN w:val="0"/>
        <w:adjustRightInd w:val="0"/>
        <w:jc w:val="both"/>
        <w:rPr>
          <w:color w:val="000000" w:themeColor="text1"/>
          <w:sz w:val="16"/>
          <w:szCs w:val="16"/>
        </w:rPr>
      </w:pPr>
      <w:r w:rsidRPr="00925F26">
        <w:rPr>
          <w:color w:val="000000" w:themeColor="text1"/>
          <w:sz w:val="16"/>
          <w:szCs w:val="16"/>
        </w:rPr>
        <w:t>26 мая 1945 г. по приказу НКМВ СКБ-3 реорганизовано в НИИ-3 НКМВ (СКБ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7784B96B" w14:textId="77777777" w:rsidR="00BE2FB1" w:rsidRPr="00925F26" w:rsidRDefault="00BE2FB1" w:rsidP="00925F26">
      <w:pPr>
        <w:autoSpaceDE w:val="0"/>
        <w:autoSpaceDN w:val="0"/>
        <w:adjustRightInd w:val="0"/>
        <w:jc w:val="both"/>
        <w:rPr>
          <w:color w:val="000000" w:themeColor="text1"/>
          <w:sz w:val="16"/>
          <w:szCs w:val="16"/>
        </w:rPr>
      </w:pPr>
      <w:r w:rsidRPr="00925F26">
        <w:rPr>
          <w:color w:val="000000" w:themeColor="text1"/>
          <w:sz w:val="16"/>
          <w:szCs w:val="16"/>
        </w:rPr>
        <w:t>Имел филиалы: Ленинградский, Рыбинский (Щербаковский).</w:t>
      </w:r>
    </w:p>
    <w:p w14:paraId="39CA47F7" w14:textId="77777777" w:rsidR="00BE2FB1" w:rsidRPr="00925F26" w:rsidRDefault="00BE2FB1" w:rsidP="00925F26">
      <w:pPr>
        <w:autoSpaceDE w:val="0"/>
        <w:autoSpaceDN w:val="0"/>
        <w:adjustRightInd w:val="0"/>
        <w:jc w:val="both"/>
        <w:rPr>
          <w:color w:val="000000" w:themeColor="text1"/>
          <w:sz w:val="16"/>
          <w:szCs w:val="16"/>
        </w:rPr>
      </w:pPr>
      <w:r w:rsidRPr="00925F26">
        <w:rPr>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20379F95" w14:textId="77777777" w:rsidR="00BE2FB1" w:rsidRPr="00925F26" w:rsidRDefault="00BE2FB1" w:rsidP="00925F26">
      <w:pPr>
        <w:autoSpaceDE w:val="0"/>
        <w:autoSpaceDN w:val="0"/>
        <w:adjustRightInd w:val="0"/>
        <w:jc w:val="both"/>
        <w:rPr>
          <w:color w:val="000000" w:themeColor="text1"/>
          <w:sz w:val="16"/>
          <w:szCs w:val="16"/>
        </w:rPr>
      </w:pPr>
      <w:r w:rsidRPr="00925F26">
        <w:rPr>
          <w:color w:val="000000" w:themeColor="text1"/>
          <w:sz w:val="16"/>
          <w:szCs w:val="16"/>
        </w:rPr>
        <w:t xml:space="preserve">Гендиректор (1999 г.)-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Присяжный (11982).</w:t>
      </w:r>
    </w:p>
    <w:p w14:paraId="10F1CA3C" w14:textId="77777777" w:rsidR="00BE2FB1" w:rsidRPr="00925F26" w:rsidRDefault="00BE2FB1" w:rsidP="00925F26">
      <w:pPr>
        <w:autoSpaceDE w:val="0"/>
        <w:autoSpaceDN w:val="0"/>
        <w:adjustRightInd w:val="0"/>
        <w:jc w:val="both"/>
        <w:rPr>
          <w:color w:val="000000" w:themeColor="text1"/>
          <w:sz w:val="16"/>
          <w:szCs w:val="16"/>
        </w:rPr>
      </w:pPr>
    </w:p>
    <w:p w14:paraId="26E80EA1" w14:textId="77777777" w:rsidR="00BE2FB1" w:rsidRPr="00925F26" w:rsidRDefault="00BE2FB1" w:rsidP="00925F26">
      <w:pPr>
        <w:autoSpaceDE w:val="0"/>
        <w:autoSpaceDN w:val="0"/>
        <w:adjustRightInd w:val="0"/>
        <w:jc w:val="both"/>
        <w:rPr>
          <w:color w:val="000000" w:themeColor="text1"/>
          <w:sz w:val="16"/>
          <w:szCs w:val="16"/>
        </w:rPr>
      </w:pPr>
      <w:r w:rsidRPr="00925F26">
        <w:rPr>
          <w:color w:val="000000" w:themeColor="text1"/>
          <w:sz w:val="16"/>
          <w:szCs w:val="16"/>
        </w:rPr>
        <w:t>26 мая 1945 г. 35-ти тысячный танк, сошедший с конвейера завода №183</w:t>
      </w:r>
      <w:proofErr w:type="gramStart"/>
      <w:r w:rsidRPr="00925F26">
        <w:rPr>
          <w:color w:val="000000" w:themeColor="text1"/>
          <w:sz w:val="16"/>
          <w:szCs w:val="16"/>
        </w:rPr>
        <w:t>, ,</w:t>
      </w:r>
      <w:proofErr w:type="gramEnd"/>
      <w:r w:rsidRPr="00925F26">
        <w:rPr>
          <w:color w:val="000000" w:themeColor="text1"/>
          <w:sz w:val="16"/>
          <w:szCs w:val="16"/>
        </w:rPr>
        <w:t xml:space="preserve"> так и не покинул завод - он стал первым танком-памятником (3905).</w:t>
      </w:r>
    </w:p>
    <w:p w14:paraId="2F85FE1F" w14:textId="77777777" w:rsidR="00BE2FB1" w:rsidRPr="00925F26" w:rsidRDefault="00BE2FB1" w:rsidP="00925F26">
      <w:pPr>
        <w:autoSpaceDE w:val="0"/>
        <w:autoSpaceDN w:val="0"/>
        <w:adjustRightInd w:val="0"/>
        <w:jc w:val="both"/>
        <w:rPr>
          <w:color w:val="000000" w:themeColor="text1"/>
          <w:sz w:val="16"/>
          <w:szCs w:val="16"/>
        </w:rPr>
      </w:pPr>
    </w:p>
    <w:p w14:paraId="4272B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8721. О ликвидации завода № 398 НКБ в Москве. РГАНИР, Фонд ГКО, д. 419, лл. 1 (11012).</w:t>
      </w:r>
    </w:p>
    <w:p w14:paraId="45FADF65" w14:textId="77777777" w:rsidR="00665165" w:rsidRPr="00925F26" w:rsidRDefault="00665165" w:rsidP="00925F26">
      <w:pPr>
        <w:autoSpaceDE w:val="0"/>
        <w:autoSpaceDN w:val="0"/>
        <w:adjustRightInd w:val="0"/>
        <w:jc w:val="both"/>
        <w:rPr>
          <w:color w:val="000000" w:themeColor="text1"/>
          <w:sz w:val="16"/>
          <w:szCs w:val="16"/>
        </w:rPr>
      </w:pPr>
    </w:p>
    <w:p w14:paraId="44590BF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8722 [О сохранении в системе НКсовхозов СССР Старо-Сенакского свиносовхоза в Грузинской ССР.] (7343, 2).</w:t>
      </w:r>
    </w:p>
    <w:p w14:paraId="272D009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47D40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8723. О дополнительном выделении бензина ГУГК при СНК СССР. РГАНИР, Фонд ГКО, д. 419, лл. 3 (11012).</w:t>
      </w:r>
    </w:p>
    <w:p w14:paraId="54207AEA" w14:textId="77777777" w:rsidR="00665165" w:rsidRPr="00925F26" w:rsidRDefault="00665165" w:rsidP="00925F26">
      <w:pPr>
        <w:autoSpaceDE w:val="0"/>
        <w:autoSpaceDN w:val="0"/>
        <w:adjustRightInd w:val="0"/>
        <w:jc w:val="both"/>
        <w:rPr>
          <w:color w:val="000000" w:themeColor="text1"/>
          <w:sz w:val="16"/>
          <w:szCs w:val="16"/>
        </w:rPr>
      </w:pPr>
    </w:p>
    <w:p w14:paraId="7D184B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8724. Об организации социалистического соревнования на строительстве газопровода Саратов-Москва. РГАНИР, Фонд ГКО, д. 419, лл. 4 (11012).</w:t>
      </w:r>
    </w:p>
    <w:p w14:paraId="2827C862" w14:textId="77777777" w:rsidR="00665165" w:rsidRPr="00925F26" w:rsidRDefault="00665165" w:rsidP="00925F26">
      <w:pPr>
        <w:autoSpaceDE w:val="0"/>
        <w:autoSpaceDN w:val="0"/>
        <w:adjustRightInd w:val="0"/>
        <w:jc w:val="both"/>
        <w:rPr>
          <w:color w:val="000000" w:themeColor="text1"/>
          <w:sz w:val="16"/>
          <w:szCs w:val="16"/>
        </w:rPr>
      </w:pPr>
    </w:p>
    <w:p w14:paraId="193F162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8725 [О дополнительном выделении угля НКВД для Широклага во II кв. 1945 г.] (7343, 5).</w:t>
      </w:r>
    </w:p>
    <w:p w14:paraId="24423CC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C233B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8726. О дополнительном выделении угля Главвоенпромстрою при СНК СССР во П кв.1945 г. РГАНИР, Фонд ГКО, д. 419, лл. 6 (11012).</w:t>
      </w:r>
    </w:p>
    <w:p w14:paraId="0EAA7101" w14:textId="77777777" w:rsidR="00665165" w:rsidRPr="00925F26" w:rsidRDefault="00665165" w:rsidP="00925F26">
      <w:pPr>
        <w:autoSpaceDE w:val="0"/>
        <w:autoSpaceDN w:val="0"/>
        <w:adjustRightInd w:val="0"/>
        <w:jc w:val="both"/>
        <w:rPr>
          <w:color w:val="000000" w:themeColor="text1"/>
          <w:sz w:val="16"/>
          <w:szCs w:val="16"/>
        </w:rPr>
      </w:pPr>
    </w:p>
    <w:p w14:paraId="3BBDE8A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8727 [О дополнительном выделении угля Управлению делами ЦК ВКП(б) для высших партийных школ и курсов.] (7343, 7).</w:t>
      </w:r>
    </w:p>
    <w:p w14:paraId="7F9294A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55E7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8728. О дополнительном выделении бензина Донбассэнерго в мае 1945 г. РГАНИР, Фонд ГКО, д. 419, лл. 8 (11012).</w:t>
      </w:r>
    </w:p>
    <w:p w14:paraId="03973ABF" w14:textId="77777777" w:rsidR="00665165" w:rsidRPr="00925F26" w:rsidRDefault="00665165" w:rsidP="00925F26">
      <w:pPr>
        <w:autoSpaceDE w:val="0"/>
        <w:autoSpaceDN w:val="0"/>
        <w:adjustRightInd w:val="0"/>
        <w:jc w:val="both"/>
        <w:rPr>
          <w:color w:val="000000" w:themeColor="text1"/>
          <w:sz w:val="16"/>
          <w:szCs w:val="16"/>
        </w:rPr>
      </w:pPr>
    </w:p>
    <w:p w14:paraId="5BB555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8729 О мерах помощи строительству Сухумской гидроэлектростанции Наркомэлектростанций. РГАНИР, Фонд ГКО, д. 419, лл. 9-10 (11012).</w:t>
      </w:r>
    </w:p>
    <w:p w14:paraId="56AF3DB1" w14:textId="77777777" w:rsidR="00665165" w:rsidRPr="00925F26" w:rsidRDefault="00665165" w:rsidP="00925F26">
      <w:pPr>
        <w:autoSpaceDE w:val="0"/>
        <w:autoSpaceDN w:val="0"/>
        <w:adjustRightInd w:val="0"/>
        <w:jc w:val="both"/>
        <w:rPr>
          <w:color w:val="000000" w:themeColor="text1"/>
          <w:sz w:val="16"/>
          <w:szCs w:val="16"/>
        </w:rPr>
      </w:pPr>
    </w:p>
    <w:p w14:paraId="1BDE972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8730 Об обеспечении промышленности и транспорта топочным мазутом в мае 1945 г. (7343, 11).</w:t>
      </w:r>
    </w:p>
    <w:p w14:paraId="45598391"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1927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8731 О вывозе трех турбогенераторов общей мощности 60 тысяч киловатт с электростанций г. г. Росток и Финов, провода и изоляторов с высоковольтных линий электропередач района Штеттин-Пазевальк. РГАНИР, Фонд ГКО, д. 419, лл. 12-13 (11012).</w:t>
      </w:r>
    </w:p>
    <w:p w14:paraId="5E149F38" w14:textId="77777777" w:rsidR="00665165" w:rsidRPr="00925F26" w:rsidRDefault="00665165" w:rsidP="00925F26">
      <w:pPr>
        <w:autoSpaceDE w:val="0"/>
        <w:autoSpaceDN w:val="0"/>
        <w:adjustRightInd w:val="0"/>
        <w:jc w:val="both"/>
        <w:rPr>
          <w:color w:val="000000" w:themeColor="text1"/>
          <w:sz w:val="16"/>
          <w:szCs w:val="16"/>
        </w:rPr>
      </w:pPr>
    </w:p>
    <w:p w14:paraId="582D131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8732 О дополнительной разборке железнодорожных линий на территории Германии. (7343, 14-15,16-17).</w:t>
      </w:r>
    </w:p>
    <w:p w14:paraId="54423AD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BD809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8733 О вывозе оборудования с немецкого паровозосборочного и ремонтного завода фирмы "Берлинермашиненбау" (бывший "Шварцкопф") в населенном пункте Вильдау (в районе г. Берлин). РГАНИР, Фонд ГКО, д. 419, лл. 18 (11012).</w:t>
      </w:r>
    </w:p>
    <w:p w14:paraId="79F6D9FA" w14:textId="77777777" w:rsidR="00665165" w:rsidRPr="00925F26" w:rsidRDefault="00665165" w:rsidP="00925F26">
      <w:pPr>
        <w:autoSpaceDE w:val="0"/>
        <w:autoSpaceDN w:val="0"/>
        <w:adjustRightInd w:val="0"/>
        <w:jc w:val="both"/>
        <w:rPr>
          <w:color w:val="000000" w:themeColor="text1"/>
          <w:sz w:val="16"/>
          <w:szCs w:val="16"/>
        </w:rPr>
      </w:pPr>
    </w:p>
    <w:p w14:paraId="0E1540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8734 О вывозе оборудования с немецкого паровозовагоноремонтного завода в г. Котбус. РГАНИР, Фонд ГКО, д. 419, лл. 19-20 (11012).</w:t>
      </w:r>
    </w:p>
    <w:p w14:paraId="604F084E" w14:textId="77777777" w:rsidR="00665165" w:rsidRPr="00925F26" w:rsidRDefault="00665165" w:rsidP="00925F26">
      <w:pPr>
        <w:autoSpaceDE w:val="0"/>
        <w:autoSpaceDN w:val="0"/>
        <w:adjustRightInd w:val="0"/>
        <w:jc w:val="both"/>
        <w:rPr>
          <w:color w:val="000000" w:themeColor="text1"/>
          <w:sz w:val="16"/>
          <w:szCs w:val="16"/>
        </w:rPr>
      </w:pPr>
    </w:p>
    <w:p w14:paraId="52FE7A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8735 О вывозе оборудования по производству деталей к подводным лодкам с немецкого завода фирмы "Флер" в г. Берлин на завод № 497 НКСП в г. Севастополь. РГАНИР, Фонд ГКО, д. 419, лл. 21-22 (11012).</w:t>
      </w:r>
    </w:p>
    <w:p w14:paraId="07AE0BAB" w14:textId="77777777" w:rsidR="00665165" w:rsidRPr="00925F26" w:rsidRDefault="00665165" w:rsidP="00925F26">
      <w:pPr>
        <w:autoSpaceDE w:val="0"/>
        <w:autoSpaceDN w:val="0"/>
        <w:adjustRightInd w:val="0"/>
        <w:jc w:val="both"/>
        <w:rPr>
          <w:color w:val="000000" w:themeColor="text1"/>
          <w:sz w:val="16"/>
          <w:szCs w:val="16"/>
        </w:rPr>
      </w:pPr>
    </w:p>
    <w:p w14:paraId="3B0255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8736 О вывозе оборудования машиностроительных заводов в г. Берлин на заводы Наркомтяжмаша. РГАНИР, Фонд ГКО, д. 419, лл. 23-24 (11012).</w:t>
      </w:r>
    </w:p>
    <w:p w14:paraId="638664FC" w14:textId="77777777" w:rsidR="00665165" w:rsidRPr="00925F26" w:rsidRDefault="00665165" w:rsidP="00925F26">
      <w:pPr>
        <w:autoSpaceDE w:val="0"/>
        <w:autoSpaceDN w:val="0"/>
        <w:adjustRightInd w:val="0"/>
        <w:jc w:val="both"/>
        <w:rPr>
          <w:color w:val="000000" w:themeColor="text1"/>
          <w:sz w:val="16"/>
          <w:szCs w:val="16"/>
        </w:rPr>
      </w:pPr>
    </w:p>
    <w:p w14:paraId="35DD0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8737 О вывозе оборудования завода подземно-транспортного оборудования фирмы "Беккер" в г. Берлин. РГАНИР, Фонд ГКО, д. 419, лл. 25 (11012).</w:t>
      </w:r>
    </w:p>
    <w:p w14:paraId="7AB1B747" w14:textId="77777777" w:rsidR="00665165" w:rsidRPr="00925F26" w:rsidRDefault="00665165" w:rsidP="00925F26">
      <w:pPr>
        <w:autoSpaceDE w:val="0"/>
        <w:autoSpaceDN w:val="0"/>
        <w:adjustRightInd w:val="0"/>
        <w:jc w:val="both"/>
        <w:rPr>
          <w:color w:val="000000" w:themeColor="text1"/>
          <w:sz w:val="16"/>
          <w:szCs w:val="16"/>
        </w:rPr>
      </w:pPr>
    </w:p>
    <w:p w14:paraId="0ED10F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8738 О частичном изменении постановления ГОКО № 8099 от 12.IV.1945 года. РГАНИР, Фонд ГКО, д. 419, лл. 26 (11012).</w:t>
      </w:r>
    </w:p>
    <w:p w14:paraId="05576891" w14:textId="77777777" w:rsidR="00665165" w:rsidRPr="00925F26" w:rsidRDefault="00665165" w:rsidP="00925F26">
      <w:pPr>
        <w:autoSpaceDE w:val="0"/>
        <w:autoSpaceDN w:val="0"/>
        <w:adjustRightInd w:val="0"/>
        <w:jc w:val="both"/>
        <w:rPr>
          <w:color w:val="000000" w:themeColor="text1"/>
          <w:sz w:val="16"/>
          <w:szCs w:val="16"/>
        </w:rPr>
      </w:pPr>
    </w:p>
    <w:p w14:paraId="05532E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8739 О вывозе оборудования немецких машиностроительных заводов на заводы Наркомсредмаша. РГАНИР, Фонд ГКО, д. 419, лл. 27-28 (11012).</w:t>
      </w:r>
    </w:p>
    <w:p w14:paraId="6323756B" w14:textId="77777777" w:rsidR="00665165" w:rsidRPr="00925F26" w:rsidRDefault="00665165" w:rsidP="00925F26">
      <w:pPr>
        <w:autoSpaceDE w:val="0"/>
        <w:autoSpaceDN w:val="0"/>
        <w:adjustRightInd w:val="0"/>
        <w:jc w:val="both"/>
        <w:rPr>
          <w:color w:val="000000" w:themeColor="text1"/>
          <w:sz w:val="16"/>
          <w:szCs w:val="16"/>
        </w:rPr>
      </w:pPr>
    </w:p>
    <w:p w14:paraId="625C6D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8740 О вывозе оборудования немецкого механического завода фирмы "Вильгельм Бюрл" г. Берлин на завод № 141 НКСП г. Таганрог. РГАНИР, Фонд ГКО, д. 419, лл. 29 (11012).</w:t>
      </w:r>
    </w:p>
    <w:p w14:paraId="0EF3DD13" w14:textId="77777777" w:rsidR="00665165" w:rsidRPr="00925F26" w:rsidRDefault="00665165" w:rsidP="00925F26">
      <w:pPr>
        <w:autoSpaceDE w:val="0"/>
        <w:autoSpaceDN w:val="0"/>
        <w:adjustRightInd w:val="0"/>
        <w:jc w:val="both"/>
        <w:rPr>
          <w:color w:val="000000" w:themeColor="text1"/>
          <w:sz w:val="16"/>
          <w:szCs w:val="16"/>
        </w:rPr>
      </w:pPr>
    </w:p>
    <w:p w14:paraId="3C74DF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8741 О вывозе оборудования завода по производству корпусов снарядов акционерного общества "Зигефельдер Индустрия" в г. Берлин. РГАНИР, Фонд ГКО, д. 419, лл. 30 (11012).</w:t>
      </w:r>
    </w:p>
    <w:p w14:paraId="6ABA49EE" w14:textId="77777777" w:rsidR="00665165" w:rsidRPr="00925F26" w:rsidRDefault="00665165" w:rsidP="00925F26">
      <w:pPr>
        <w:autoSpaceDE w:val="0"/>
        <w:autoSpaceDN w:val="0"/>
        <w:adjustRightInd w:val="0"/>
        <w:jc w:val="both"/>
        <w:rPr>
          <w:color w:val="000000" w:themeColor="text1"/>
          <w:sz w:val="16"/>
          <w:szCs w:val="16"/>
        </w:rPr>
      </w:pPr>
    </w:p>
    <w:p w14:paraId="07B331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8742 О вывозе оборудования машиностроительного завода фирмы "Борзиг" в г. Берлин. РГАНИР, Фонд ГКО, д. 419, лл. 31-32 (11012).</w:t>
      </w:r>
    </w:p>
    <w:p w14:paraId="008BBAAF" w14:textId="77777777" w:rsidR="00665165" w:rsidRPr="00925F26" w:rsidRDefault="00665165" w:rsidP="00925F26">
      <w:pPr>
        <w:autoSpaceDE w:val="0"/>
        <w:autoSpaceDN w:val="0"/>
        <w:adjustRightInd w:val="0"/>
        <w:jc w:val="both"/>
        <w:rPr>
          <w:color w:val="000000" w:themeColor="text1"/>
          <w:sz w:val="16"/>
          <w:szCs w:val="16"/>
        </w:rPr>
      </w:pPr>
    </w:p>
    <w:p w14:paraId="0B857A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26 мая 1945 вышло Постановление ГКО № 8743 О вывозе оборудования радиолокационного научно-исследовательского института фирмы "Телефункен" в г. Берлин. РГАНИР, Фонд ГКО, д. 419, лл. 33 (11012).</w:t>
      </w:r>
    </w:p>
    <w:p w14:paraId="1AAD0FCE" w14:textId="77777777" w:rsidR="00665165" w:rsidRPr="00925F26" w:rsidRDefault="00665165" w:rsidP="00925F26">
      <w:pPr>
        <w:autoSpaceDE w:val="0"/>
        <w:autoSpaceDN w:val="0"/>
        <w:adjustRightInd w:val="0"/>
        <w:jc w:val="both"/>
        <w:rPr>
          <w:color w:val="000000" w:themeColor="text1"/>
          <w:sz w:val="16"/>
          <w:szCs w:val="16"/>
        </w:rPr>
      </w:pPr>
    </w:p>
    <w:p w14:paraId="7C440F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8744 О вывозе оборудования с немецкого завода фирмы "Ардельт" в г. Эберсвальде. РГАНИР, Фонд ГКО, д. 419, лл. 34-35 (11012).</w:t>
      </w:r>
    </w:p>
    <w:p w14:paraId="5A1ABDD2" w14:textId="77777777" w:rsidR="00665165" w:rsidRPr="00925F26" w:rsidRDefault="00665165" w:rsidP="00925F26">
      <w:pPr>
        <w:autoSpaceDE w:val="0"/>
        <w:autoSpaceDN w:val="0"/>
        <w:adjustRightInd w:val="0"/>
        <w:jc w:val="both"/>
        <w:rPr>
          <w:color w:val="000000" w:themeColor="text1"/>
          <w:sz w:val="16"/>
          <w:szCs w:val="16"/>
        </w:rPr>
      </w:pPr>
    </w:p>
    <w:p w14:paraId="4EF112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8745 О вывозе оборудования оптико-механического завода немецкой фирмы "Эмиль Буш" в г. Ратенов (Германия). РГАНИР, Фонд ГКО, д. 419, лл. 36-37 (11012).</w:t>
      </w:r>
    </w:p>
    <w:p w14:paraId="11658A0E" w14:textId="77777777" w:rsidR="00665165" w:rsidRPr="00925F26" w:rsidRDefault="00665165" w:rsidP="00925F26">
      <w:pPr>
        <w:autoSpaceDE w:val="0"/>
        <w:autoSpaceDN w:val="0"/>
        <w:adjustRightInd w:val="0"/>
        <w:jc w:val="both"/>
        <w:rPr>
          <w:color w:val="000000" w:themeColor="text1"/>
          <w:sz w:val="16"/>
          <w:szCs w:val="16"/>
        </w:rPr>
      </w:pPr>
    </w:p>
    <w:p w14:paraId="7F6DF8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8746 О вывозе оборудования артиллерийского завода фирмы "Борзиг" и его филиала в г. Губен (Германия). РГАНИР, Фонд ГКО, д. 419, лл. 38-39 (11012).</w:t>
      </w:r>
    </w:p>
    <w:p w14:paraId="38E14AEA" w14:textId="77777777" w:rsidR="00665165" w:rsidRPr="00925F26" w:rsidRDefault="00665165" w:rsidP="00925F26">
      <w:pPr>
        <w:autoSpaceDE w:val="0"/>
        <w:autoSpaceDN w:val="0"/>
        <w:adjustRightInd w:val="0"/>
        <w:jc w:val="both"/>
        <w:rPr>
          <w:color w:val="000000" w:themeColor="text1"/>
          <w:sz w:val="16"/>
          <w:szCs w:val="16"/>
        </w:rPr>
      </w:pPr>
    </w:p>
    <w:p w14:paraId="3603C5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8747 О вывозе оборудования немецкого завода фирмы "Геншель" г. Форст на завод № 302 НКСП г. Киев. РГАНИР, Фонд ГКО, д. 419, лл. 40-41 (11012).</w:t>
      </w:r>
    </w:p>
    <w:p w14:paraId="49C27EEB" w14:textId="77777777" w:rsidR="00665165" w:rsidRPr="00925F26" w:rsidRDefault="00665165" w:rsidP="00925F26">
      <w:pPr>
        <w:autoSpaceDE w:val="0"/>
        <w:autoSpaceDN w:val="0"/>
        <w:adjustRightInd w:val="0"/>
        <w:jc w:val="both"/>
        <w:rPr>
          <w:color w:val="000000" w:themeColor="text1"/>
          <w:sz w:val="16"/>
          <w:szCs w:val="16"/>
        </w:rPr>
      </w:pPr>
    </w:p>
    <w:p w14:paraId="458BE2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8748 О вывозе оборудования с немецкого завода "Братьев Дауст" г. Грейфсвальд на завод № 190 НКСП г. ЛенинграРГАНИР, Фонд ГКО, д. РГАНИР, Фонд ГКО, д. 419, лл. 42 (11012).</w:t>
      </w:r>
    </w:p>
    <w:p w14:paraId="2286B060" w14:textId="77777777" w:rsidR="00665165" w:rsidRPr="00925F26" w:rsidRDefault="00665165" w:rsidP="00925F26">
      <w:pPr>
        <w:autoSpaceDE w:val="0"/>
        <w:autoSpaceDN w:val="0"/>
        <w:adjustRightInd w:val="0"/>
        <w:jc w:val="both"/>
        <w:rPr>
          <w:color w:val="000000" w:themeColor="text1"/>
          <w:sz w:val="16"/>
          <w:szCs w:val="16"/>
        </w:rPr>
      </w:pPr>
    </w:p>
    <w:p w14:paraId="242917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8749 Об укомплектовании заводов Наркомсудпрома станочным оборудованием. РГАНИР, Фонд ГКО, д. 419, лл. 43 (11012).</w:t>
      </w:r>
    </w:p>
    <w:p w14:paraId="5774DEE1" w14:textId="77777777" w:rsidR="00665165" w:rsidRPr="00925F26" w:rsidRDefault="00665165" w:rsidP="00925F26">
      <w:pPr>
        <w:autoSpaceDE w:val="0"/>
        <w:autoSpaceDN w:val="0"/>
        <w:adjustRightInd w:val="0"/>
        <w:jc w:val="both"/>
        <w:rPr>
          <w:color w:val="000000" w:themeColor="text1"/>
          <w:sz w:val="16"/>
          <w:szCs w:val="16"/>
        </w:rPr>
      </w:pPr>
    </w:p>
    <w:p w14:paraId="39974A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8750 О вывозе оборудования с завода акционерного общества "Машиненбау и Банбедар" в г. Подстдам. РГАНИР, Фонд ГКО, д. 419, лл. 44-45 (11012).</w:t>
      </w:r>
    </w:p>
    <w:p w14:paraId="7C161996" w14:textId="77777777" w:rsidR="00665165" w:rsidRPr="00925F26" w:rsidRDefault="00665165" w:rsidP="00925F26">
      <w:pPr>
        <w:autoSpaceDE w:val="0"/>
        <w:autoSpaceDN w:val="0"/>
        <w:adjustRightInd w:val="0"/>
        <w:jc w:val="both"/>
        <w:rPr>
          <w:color w:val="000000" w:themeColor="text1"/>
          <w:sz w:val="16"/>
          <w:szCs w:val="16"/>
        </w:rPr>
      </w:pPr>
    </w:p>
    <w:p w14:paraId="76E084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8751 О вывозе из г. г. Мительштейн, Рокерс и Вюншенберг технической документации и реле управления ФАЦ-2 в г. Москва. РГАНИР, Фонд ГКО, д. 419, лл. 46 (11012).</w:t>
      </w:r>
    </w:p>
    <w:p w14:paraId="1E408512" w14:textId="77777777" w:rsidR="00665165" w:rsidRPr="00925F26" w:rsidRDefault="00665165" w:rsidP="00925F26">
      <w:pPr>
        <w:autoSpaceDE w:val="0"/>
        <w:autoSpaceDN w:val="0"/>
        <w:adjustRightInd w:val="0"/>
        <w:jc w:val="both"/>
        <w:rPr>
          <w:color w:val="000000" w:themeColor="text1"/>
          <w:sz w:val="16"/>
          <w:szCs w:val="16"/>
        </w:rPr>
      </w:pPr>
    </w:p>
    <w:p w14:paraId="2C3DCA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8752 О вывозе оборудования с немецкиого инструментального завода фирмы "Вильгельм Зассе", станкостроительного завода фирмы "Гее и Компания", абразивного завода фирмы "Омега" и литейного завода фирмы "Гартунгяхман" в г. Берлин. РГАНИР, Фонд ГКО, д. 419 (11012).</w:t>
      </w:r>
    </w:p>
    <w:p w14:paraId="5982C504" w14:textId="77777777" w:rsidR="00665165" w:rsidRPr="00925F26" w:rsidRDefault="00665165" w:rsidP="00925F26">
      <w:pPr>
        <w:autoSpaceDE w:val="0"/>
        <w:autoSpaceDN w:val="0"/>
        <w:adjustRightInd w:val="0"/>
        <w:jc w:val="both"/>
        <w:rPr>
          <w:color w:val="000000" w:themeColor="text1"/>
          <w:sz w:val="16"/>
          <w:szCs w:val="16"/>
        </w:rPr>
      </w:pPr>
    </w:p>
    <w:p w14:paraId="08CD17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8753 О вывозе оборудования с завода металлоконструкций "Берлинер Штальбау" в районе г. Берлин Лихтенберг и из цеха по производству компрессоров завода фирмы "Берлинермашиненбау" в районе г. Берлин Вильдау на предприятия Наркомнефти. РГАНИР, Фонд ГКО, д. 419 (11012).</w:t>
      </w:r>
    </w:p>
    <w:p w14:paraId="3EF92296" w14:textId="77777777" w:rsidR="00665165" w:rsidRPr="00925F26" w:rsidRDefault="00665165" w:rsidP="00925F26">
      <w:pPr>
        <w:autoSpaceDE w:val="0"/>
        <w:autoSpaceDN w:val="0"/>
        <w:adjustRightInd w:val="0"/>
        <w:jc w:val="both"/>
        <w:rPr>
          <w:color w:val="000000" w:themeColor="text1"/>
          <w:sz w:val="16"/>
          <w:szCs w:val="16"/>
        </w:rPr>
      </w:pPr>
    </w:p>
    <w:p w14:paraId="76B0B3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8754 О вывозе оборудования с мнталлургического завода "Айзенверке крафт" в г. Штеттин. РГАНИР, Фонд ГКО, д. 419, лл. 51-52 (11012).</w:t>
      </w:r>
    </w:p>
    <w:p w14:paraId="73E03BC1" w14:textId="77777777" w:rsidR="00665165" w:rsidRPr="00925F26" w:rsidRDefault="00665165" w:rsidP="00925F26">
      <w:pPr>
        <w:autoSpaceDE w:val="0"/>
        <w:autoSpaceDN w:val="0"/>
        <w:adjustRightInd w:val="0"/>
        <w:jc w:val="both"/>
        <w:rPr>
          <w:color w:val="000000" w:themeColor="text1"/>
          <w:sz w:val="16"/>
          <w:szCs w:val="16"/>
        </w:rPr>
      </w:pPr>
    </w:p>
    <w:p w14:paraId="7C614F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8755 О вывозе оборудования с машиностроительной фабрики "Штейбунг и К'", с завода подъемных машин фирмы "К.Флор" концерна "Демаг", из механической мастерской немца Гетцеля и из механической мастерской фирмы "Юлиус Мюллер" в г. Берлин на предприятия Наркомчермета.РГАНИР, Фонд ГКО, д. 419, лл. 53-54 (11012).</w:t>
      </w:r>
    </w:p>
    <w:p w14:paraId="3C2D18DE" w14:textId="77777777" w:rsidR="00665165" w:rsidRPr="00925F26" w:rsidRDefault="00665165" w:rsidP="00925F26">
      <w:pPr>
        <w:autoSpaceDE w:val="0"/>
        <w:autoSpaceDN w:val="0"/>
        <w:adjustRightInd w:val="0"/>
        <w:jc w:val="both"/>
        <w:rPr>
          <w:color w:val="000000" w:themeColor="text1"/>
          <w:sz w:val="16"/>
          <w:szCs w:val="16"/>
        </w:rPr>
      </w:pPr>
    </w:p>
    <w:p w14:paraId="291FBD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8756 О вывозе телефонно-телеграфного оборудования и звукозаписывающих аппаратов из г. Берлин. РГАНИР, Фонд ГКО, д. 419, лл. 55 (11012).</w:t>
      </w:r>
    </w:p>
    <w:p w14:paraId="41C57580" w14:textId="77777777" w:rsidR="00665165" w:rsidRPr="00925F26" w:rsidRDefault="00665165" w:rsidP="00925F26">
      <w:pPr>
        <w:autoSpaceDE w:val="0"/>
        <w:autoSpaceDN w:val="0"/>
        <w:adjustRightInd w:val="0"/>
        <w:jc w:val="both"/>
        <w:rPr>
          <w:color w:val="000000" w:themeColor="text1"/>
          <w:sz w:val="16"/>
          <w:szCs w:val="16"/>
        </w:rPr>
      </w:pPr>
    </w:p>
    <w:p w14:paraId="4F3991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8757 О передаче Главному артиллерийскому управлению Красной Армии окружного артиллерийского арсенала в г. Кенигсберг. РГАНИР, Фонд ГКО, д. 419, лл. 56 (11012).</w:t>
      </w:r>
    </w:p>
    <w:p w14:paraId="6E9E5188" w14:textId="77777777" w:rsidR="00665165" w:rsidRPr="00925F26" w:rsidRDefault="00665165" w:rsidP="00925F26">
      <w:pPr>
        <w:autoSpaceDE w:val="0"/>
        <w:autoSpaceDN w:val="0"/>
        <w:adjustRightInd w:val="0"/>
        <w:jc w:val="both"/>
        <w:rPr>
          <w:color w:val="000000" w:themeColor="text1"/>
          <w:sz w:val="16"/>
          <w:szCs w:val="16"/>
        </w:rPr>
      </w:pPr>
    </w:p>
    <w:p w14:paraId="4AAAC4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8758 О вывозе немецких металлообрабатывающих станков на Особую базу № 2. РГАНИР, Фонд ГКО, д. 419, лл. 57 (11012).</w:t>
      </w:r>
    </w:p>
    <w:p w14:paraId="1449997E" w14:textId="77777777" w:rsidR="00665165" w:rsidRPr="00925F26" w:rsidRDefault="00665165" w:rsidP="00925F26">
      <w:pPr>
        <w:autoSpaceDE w:val="0"/>
        <w:autoSpaceDN w:val="0"/>
        <w:adjustRightInd w:val="0"/>
        <w:jc w:val="both"/>
        <w:rPr>
          <w:color w:val="000000" w:themeColor="text1"/>
          <w:sz w:val="16"/>
          <w:szCs w:val="16"/>
        </w:rPr>
      </w:pPr>
    </w:p>
    <w:p w14:paraId="669237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8759 О вывозе оборудования обсерваторий и двух заводов метеорологических приборов фирмы ФУСС в г. г. Берлин, Потсдам и Линденберг. РГАНИР, Фонд ГКО, д. 419, лл. 58-59 (11012).</w:t>
      </w:r>
    </w:p>
    <w:p w14:paraId="126E33C7" w14:textId="77777777" w:rsidR="00665165" w:rsidRPr="00925F26" w:rsidRDefault="00665165" w:rsidP="00925F26">
      <w:pPr>
        <w:autoSpaceDE w:val="0"/>
        <w:autoSpaceDN w:val="0"/>
        <w:adjustRightInd w:val="0"/>
        <w:jc w:val="both"/>
        <w:rPr>
          <w:color w:val="000000" w:themeColor="text1"/>
          <w:sz w:val="16"/>
          <w:szCs w:val="16"/>
        </w:rPr>
      </w:pPr>
    </w:p>
    <w:p w14:paraId="28C50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8760 О передаче Наркомсредмашу Главным трофейным управлениям автомобилей, мотоциклов и велосипедов новейших иномарок. РГАНИР, Фонд ГКО, д. 419, лл. 60 (11012).</w:t>
      </w:r>
    </w:p>
    <w:p w14:paraId="29262326" w14:textId="77777777" w:rsidR="00665165" w:rsidRPr="00925F26" w:rsidRDefault="00665165" w:rsidP="00925F26">
      <w:pPr>
        <w:autoSpaceDE w:val="0"/>
        <w:autoSpaceDN w:val="0"/>
        <w:adjustRightInd w:val="0"/>
        <w:jc w:val="both"/>
        <w:rPr>
          <w:color w:val="000000" w:themeColor="text1"/>
          <w:sz w:val="16"/>
          <w:szCs w:val="16"/>
        </w:rPr>
      </w:pPr>
    </w:p>
    <w:p w14:paraId="371F24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8761 О вывозе с фронтовых складов Трофейного управления Красной Армии швейных машин и пишущих машинок. РГАНИР, Фонд ГКО, д. 419, лл. 61, 62 (11012).</w:t>
      </w:r>
    </w:p>
    <w:p w14:paraId="40B4DA82" w14:textId="77777777" w:rsidR="00665165" w:rsidRPr="00925F26" w:rsidRDefault="00665165" w:rsidP="00925F26">
      <w:pPr>
        <w:autoSpaceDE w:val="0"/>
        <w:autoSpaceDN w:val="0"/>
        <w:adjustRightInd w:val="0"/>
        <w:jc w:val="both"/>
        <w:rPr>
          <w:color w:val="000000" w:themeColor="text1"/>
          <w:sz w:val="16"/>
          <w:szCs w:val="16"/>
        </w:rPr>
      </w:pPr>
    </w:p>
    <w:p w14:paraId="752F84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8762 О вывозе оборудования с немецких машиностроительных заводов фирм "Рошар" и "Раупах" в г. Берлин и завода асбо-цементных изделий "Дейтше Асбостцемент" в г. Берлин. РГАНИР, Фонд ГКО, д. 419, лл. 63-64 (11012).</w:t>
      </w:r>
    </w:p>
    <w:p w14:paraId="3AED4DE4" w14:textId="77777777" w:rsidR="00665165" w:rsidRPr="00925F26" w:rsidRDefault="00665165" w:rsidP="00925F26">
      <w:pPr>
        <w:autoSpaceDE w:val="0"/>
        <w:autoSpaceDN w:val="0"/>
        <w:adjustRightInd w:val="0"/>
        <w:jc w:val="both"/>
        <w:rPr>
          <w:color w:val="000000" w:themeColor="text1"/>
          <w:sz w:val="16"/>
          <w:szCs w:val="16"/>
        </w:rPr>
      </w:pPr>
    </w:p>
    <w:p w14:paraId="3CD204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8763 О вывозе оборудования из г. Берлин с немецких заводов, мастерских и фабрик для Главвоенпромстроя при СНК СССР. РГАНИР, Фонд ГКО, д. 419, лл. 65-66 (11012).</w:t>
      </w:r>
    </w:p>
    <w:p w14:paraId="6005CEE5" w14:textId="77777777" w:rsidR="00665165" w:rsidRPr="00925F26" w:rsidRDefault="00665165" w:rsidP="00925F26">
      <w:pPr>
        <w:autoSpaceDE w:val="0"/>
        <w:autoSpaceDN w:val="0"/>
        <w:adjustRightInd w:val="0"/>
        <w:jc w:val="both"/>
        <w:rPr>
          <w:color w:val="000000" w:themeColor="text1"/>
          <w:sz w:val="16"/>
          <w:szCs w:val="16"/>
        </w:rPr>
      </w:pPr>
    </w:p>
    <w:p w14:paraId="59DF05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8764 О вывозе оборудования фабрик по производству стандартных домов в г. Берлин для Наркомгражданстроя РСФСР. РГАНИР, Фонд ГКО, д. 419, лл. 67 (11012).</w:t>
      </w:r>
    </w:p>
    <w:p w14:paraId="5BD29A98" w14:textId="77777777" w:rsidR="00665165" w:rsidRPr="00925F26" w:rsidRDefault="00665165" w:rsidP="00925F26">
      <w:pPr>
        <w:autoSpaceDE w:val="0"/>
        <w:autoSpaceDN w:val="0"/>
        <w:adjustRightInd w:val="0"/>
        <w:jc w:val="both"/>
        <w:rPr>
          <w:color w:val="000000" w:themeColor="text1"/>
          <w:sz w:val="16"/>
          <w:szCs w:val="16"/>
        </w:rPr>
      </w:pPr>
    </w:p>
    <w:p w14:paraId="39819A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8765 О вывозе торгового оборудования с трофейных складов 3-го Украинского фронта. РГАНИР, Фонд ГКО, д. 419, лл. 68 (11012).</w:t>
      </w:r>
    </w:p>
    <w:p w14:paraId="3C076BB5" w14:textId="77777777" w:rsidR="00665165" w:rsidRPr="00925F26" w:rsidRDefault="00665165" w:rsidP="00925F26">
      <w:pPr>
        <w:autoSpaceDE w:val="0"/>
        <w:autoSpaceDN w:val="0"/>
        <w:adjustRightInd w:val="0"/>
        <w:jc w:val="both"/>
        <w:rPr>
          <w:color w:val="000000" w:themeColor="text1"/>
          <w:sz w:val="16"/>
          <w:szCs w:val="16"/>
        </w:rPr>
      </w:pPr>
    </w:p>
    <w:p w14:paraId="03BBCC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8766 О вывозе оборудования с немецкой радиостанции в г. Адлерсхоф. РГАНИР, Фонд ГКО, д. 419, лл. 69 (11012).</w:t>
      </w:r>
    </w:p>
    <w:p w14:paraId="5693E65C" w14:textId="77777777" w:rsidR="00665165" w:rsidRPr="00925F26" w:rsidRDefault="00665165" w:rsidP="00925F26">
      <w:pPr>
        <w:autoSpaceDE w:val="0"/>
        <w:autoSpaceDN w:val="0"/>
        <w:adjustRightInd w:val="0"/>
        <w:jc w:val="both"/>
        <w:rPr>
          <w:color w:val="000000" w:themeColor="text1"/>
          <w:sz w:val="16"/>
          <w:szCs w:val="16"/>
        </w:rPr>
      </w:pPr>
    </w:p>
    <w:p w14:paraId="02F92A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8767 О вывозе 250 тонн листового металла из г. Кенигсберг. РГАНИР, Фонд ГКО, д. 419, лл. 70 (11012).</w:t>
      </w:r>
    </w:p>
    <w:p w14:paraId="2BDB34E9" w14:textId="77777777" w:rsidR="00665165" w:rsidRPr="00925F26" w:rsidRDefault="00665165" w:rsidP="00925F26">
      <w:pPr>
        <w:autoSpaceDE w:val="0"/>
        <w:autoSpaceDN w:val="0"/>
        <w:adjustRightInd w:val="0"/>
        <w:jc w:val="both"/>
        <w:rPr>
          <w:color w:val="000000" w:themeColor="text1"/>
          <w:sz w:val="16"/>
          <w:szCs w:val="16"/>
        </w:rPr>
      </w:pPr>
    </w:p>
    <w:p w14:paraId="1389A3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8768 О поручении Наркомстрою демонтажа и отгрузки оборудования с немецкого целлюлозно-бумажного комбината в г. Штеттин. РГАНИР, Фонд ГКО, д. 419, лл. 71 (11012).</w:t>
      </w:r>
    </w:p>
    <w:p w14:paraId="2253CE42" w14:textId="77777777" w:rsidR="00665165" w:rsidRPr="00925F26" w:rsidRDefault="00665165" w:rsidP="00925F26">
      <w:pPr>
        <w:autoSpaceDE w:val="0"/>
        <w:autoSpaceDN w:val="0"/>
        <w:adjustRightInd w:val="0"/>
        <w:jc w:val="both"/>
        <w:rPr>
          <w:color w:val="000000" w:themeColor="text1"/>
          <w:sz w:val="16"/>
          <w:szCs w:val="16"/>
        </w:rPr>
      </w:pPr>
    </w:p>
    <w:p w14:paraId="041C8D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8769 О вывозе оборудование завода по производству зубоврачебных приборов и инструментов фирмы "Кальтенбах и Фойгт" в г. Подстам (Германия). РГАНИР, Фонд ГКО, д. 419, лл. 72 (11012).</w:t>
      </w:r>
    </w:p>
    <w:p w14:paraId="5676B512" w14:textId="77777777" w:rsidR="00665165" w:rsidRPr="00925F26" w:rsidRDefault="00665165" w:rsidP="00925F26">
      <w:pPr>
        <w:autoSpaceDE w:val="0"/>
        <w:autoSpaceDN w:val="0"/>
        <w:adjustRightInd w:val="0"/>
        <w:jc w:val="both"/>
        <w:rPr>
          <w:color w:val="000000" w:themeColor="text1"/>
          <w:sz w:val="16"/>
          <w:szCs w:val="16"/>
        </w:rPr>
      </w:pPr>
    </w:p>
    <w:p w14:paraId="230D67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8770 О вывозе оборудования двух фабрик по производству оправ и стекол для очков в г. Ратенов (Германия). РГАНИР, Фонд ГКО, д. 419, лл. 73 (11012).</w:t>
      </w:r>
    </w:p>
    <w:p w14:paraId="54550642" w14:textId="77777777" w:rsidR="00665165" w:rsidRPr="00925F26" w:rsidRDefault="00665165" w:rsidP="00925F26">
      <w:pPr>
        <w:autoSpaceDE w:val="0"/>
        <w:autoSpaceDN w:val="0"/>
        <w:adjustRightInd w:val="0"/>
        <w:jc w:val="both"/>
        <w:rPr>
          <w:color w:val="000000" w:themeColor="text1"/>
          <w:sz w:val="16"/>
          <w:szCs w:val="16"/>
        </w:rPr>
      </w:pPr>
    </w:p>
    <w:p w14:paraId="5CDDEE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8771 О вывозе со склада в г. Инстенбург 50 штук бензозаправочных колонок. РГАНИР, Фонд ГКО, д. 419, лл. 74 (11012).</w:t>
      </w:r>
    </w:p>
    <w:p w14:paraId="49111E12" w14:textId="77777777" w:rsidR="00665165" w:rsidRPr="00925F26" w:rsidRDefault="00665165" w:rsidP="00925F26">
      <w:pPr>
        <w:autoSpaceDE w:val="0"/>
        <w:autoSpaceDN w:val="0"/>
        <w:adjustRightInd w:val="0"/>
        <w:jc w:val="both"/>
        <w:rPr>
          <w:color w:val="000000" w:themeColor="text1"/>
          <w:sz w:val="16"/>
          <w:szCs w:val="16"/>
        </w:rPr>
      </w:pPr>
    </w:p>
    <w:p w14:paraId="30BB7B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8772 О вывозе 495 тонн трофейной ртути. РГАНИР, Фонд ГКО, д. 419, лл. 75 (11012).</w:t>
      </w:r>
    </w:p>
    <w:p w14:paraId="237015C8" w14:textId="77777777" w:rsidR="00665165" w:rsidRPr="00925F26" w:rsidRDefault="00665165" w:rsidP="00925F26">
      <w:pPr>
        <w:autoSpaceDE w:val="0"/>
        <w:autoSpaceDN w:val="0"/>
        <w:adjustRightInd w:val="0"/>
        <w:jc w:val="both"/>
        <w:rPr>
          <w:color w:val="000000" w:themeColor="text1"/>
          <w:sz w:val="16"/>
          <w:szCs w:val="16"/>
        </w:rPr>
      </w:pPr>
    </w:p>
    <w:p w14:paraId="1E005D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26 мая 1945 вышло Постановление ГКО № 8773 О вывозе оборудования механической мастерской фирмы "Альберт" в г. Бернау для Наркомгражданстроя РСФСР. РГАНИР, Фонд ГКО, д. 419, лл. 76-77 (11012).</w:t>
      </w:r>
    </w:p>
    <w:p w14:paraId="0F05E739" w14:textId="77777777" w:rsidR="00665165" w:rsidRPr="00925F26" w:rsidRDefault="00665165" w:rsidP="00925F26">
      <w:pPr>
        <w:autoSpaceDE w:val="0"/>
        <w:autoSpaceDN w:val="0"/>
        <w:adjustRightInd w:val="0"/>
        <w:jc w:val="both"/>
        <w:rPr>
          <w:color w:val="000000" w:themeColor="text1"/>
          <w:sz w:val="16"/>
          <w:szCs w:val="16"/>
        </w:rPr>
      </w:pPr>
    </w:p>
    <w:p w14:paraId="708425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8774 О вывозе оборудования с немецких судостроительных мастерских в г. Мюльрозе. РГАНИР, Фонд ГКО, д. 419, лл. 78-79 (11012).</w:t>
      </w:r>
    </w:p>
    <w:p w14:paraId="188EA8DD" w14:textId="77777777" w:rsidR="00665165" w:rsidRPr="00925F26" w:rsidRDefault="00665165" w:rsidP="00925F26">
      <w:pPr>
        <w:autoSpaceDE w:val="0"/>
        <w:autoSpaceDN w:val="0"/>
        <w:adjustRightInd w:val="0"/>
        <w:jc w:val="both"/>
        <w:rPr>
          <w:color w:val="000000" w:themeColor="text1"/>
          <w:sz w:val="16"/>
          <w:szCs w:val="16"/>
        </w:rPr>
      </w:pPr>
    </w:p>
    <w:p w14:paraId="33F0D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8775 О вывозе оборудования с немецкого завода "Вернер-Верке" г. Фюрстенберг на завод № 287 НКАП г. ЛенинграРГАНИР, Фонд ГКО, д. РГАНИР, Фонд ГКО, д. 419, лл. 80 (11012).</w:t>
      </w:r>
    </w:p>
    <w:p w14:paraId="3949663D" w14:textId="77777777" w:rsidR="00665165" w:rsidRPr="00925F26" w:rsidRDefault="00665165" w:rsidP="00925F26">
      <w:pPr>
        <w:autoSpaceDE w:val="0"/>
        <w:autoSpaceDN w:val="0"/>
        <w:adjustRightInd w:val="0"/>
        <w:jc w:val="both"/>
        <w:rPr>
          <w:color w:val="000000" w:themeColor="text1"/>
          <w:sz w:val="16"/>
          <w:szCs w:val="16"/>
        </w:rPr>
      </w:pPr>
    </w:p>
    <w:p w14:paraId="4FE3FB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8776 О вывозе оборудования двух пороховых заводов в г. Дреетц (Германия). РГАНИР, Фонд ГКО, д. 419, лл. 81 (11012).</w:t>
      </w:r>
    </w:p>
    <w:p w14:paraId="783A89DD" w14:textId="77777777" w:rsidR="00665165" w:rsidRPr="00925F26" w:rsidRDefault="00665165" w:rsidP="00925F26">
      <w:pPr>
        <w:autoSpaceDE w:val="0"/>
        <w:autoSpaceDN w:val="0"/>
        <w:adjustRightInd w:val="0"/>
        <w:jc w:val="both"/>
        <w:rPr>
          <w:color w:val="000000" w:themeColor="text1"/>
          <w:sz w:val="16"/>
          <w:szCs w:val="16"/>
        </w:rPr>
      </w:pPr>
    </w:p>
    <w:p w14:paraId="78C7CC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8777 О вывозе оборудования с завода фирмы "Орион" в г. Кремен (Германия). РГАНИР, Фонд ГКО, д. 419, лл. 82 (11012).</w:t>
      </w:r>
    </w:p>
    <w:p w14:paraId="24052B79" w14:textId="77777777" w:rsidR="00665165" w:rsidRPr="00925F26" w:rsidRDefault="00665165" w:rsidP="00925F26">
      <w:pPr>
        <w:autoSpaceDE w:val="0"/>
        <w:autoSpaceDN w:val="0"/>
        <w:adjustRightInd w:val="0"/>
        <w:jc w:val="both"/>
        <w:rPr>
          <w:color w:val="000000" w:themeColor="text1"/>
          <w:sz w:val="16"/>
          <w:szCs w:val="16"/>
        </w:rPr>
      </w:pPr>
    </w:p>
    <w:p w14:paraId="756194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8778 О вывозе оборудования и материалов комбината искусственного шелка фирмы "И.Г.Фарбениндустри" в г. Приемниц (близ г. Бранденбург). РГАНИР, Фонд ГКО, д. 419, лл. 83-84 (11012).</w:t>
      </w:r>
    </w:p>
    <w:p w14:paraId="3B7F612A" w14:textId="77777777" w:rsidR="00665165" w:rsidRPr="00925F26" w:rsidRDefault="00665165" w:rsidP="00925F26">
      <w:pPr>
        <w:autoSpaceDE w:val="0"/>
        <w:autoSpaceDN w:val="0"/>
        <w:adjustRightInd w:val="0"/>
        <w:jc w:val="both"/>
        <w:rPr>
          <w:color w:val="000000" w:themeColor="text1"/>
          <w:sz w:val="16"/>
          <w:szCs w:val="16"/>
        </w:rPr>
      </w:pPr>
    </w:p>
    <w:p w14:paraId="20BF4C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8779 О вывозе оборудования с завода по ремонту шкивов фирмы "Адольф Гослау" в г. Шпремберг. РГАНИР, Фонд ГКО, д. 419, лл. 85 (11012).</w:t>
      </w:r>
    </w:p>
    <w:p w14:paraId="65F2CF7B" w14:textId="77777777" w:rsidR="00665165" w:rsidRPr="00925F26" w:rsidRDefault="00665165" w:rsidP="00925F26">
      <w:pPr>
        <w:autoSpaceDE w:val="0"/>
        <w:autoSpaceDN w:val="0"/>
        <w:adjustRightInd w:val="0"/>
        <w:jc w:val="both"/>
        <w:rPr>
          <w:color w:val="000000" w:themeColor="text1"/>
          <w:sz w:val="16"/>
          <w:szCs w:val="16"/>
        </w:rPr>
      </w:pPr>
    </w:p>
    <w:p w14:paraId="2F0E8E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8780 О вывозе оборудования кинопленочной и кинокопировальной фабрики в г. Берлин. РГАНИР, Фонд ГКО, д. 419, лл. 86-87 (11012).</w:t>
      </w:r>
    </w:p>
    <w:p w14:paraId="5C7FB480" w14:textId="77777777" w:rsidR="00665165" w:rsidRPr="00925F26" w:rsidRDefault="00665165" w:rsidP="00925F26">
      <w:pPr>
        <w:autoSpaceDE w:val="0"/>
        <w:autoSpaceDN w:val="0"/>
        <w:adjustRightInd w:val="0"/>
        <w:jc w:val="both"/>
        <w:rPr>
          <w:color w:val="000000" w:themeColor="text1"/>
          <w:sz w:val="16"/>
          <w:szCs w:val="16"/>
        </w:rPr>
      </w:pPr>
    </w:p>
    <w:p w14:paraId="2A3C8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8781 О частичном изменении постановления ГОКО № 8398сс от 4 мая 1945 г. о вывозе оборудования с завода резинотехнических изделий фирмы "Семперит" в г. Вимпассинг (Австрия). РГАНИР, Фонд ГКО, д. 419, лл. 88 (11012).</w:t>
      </w:r>
    </w:p>
    <w:p w14:paraId="6F1FE8B8" w14:textId="77777777" w:rsidR="00665165" w:rsidRPr="00925F26" w:rsidRDefault="00665165" w:rsidP="00925F26">
      <w:pPr>
        <w:autoSpaceDE w:val="0"/>
        <w:autoSpaceDN w:val="0"/>
        <w:adjustRightInd w:val="0"/>
        <w:jc w:val="both"/>
        <w:rPr>
          <w:color w:val="000000" w:themeColor="text1"/>
          <w:sz w:val="16"/>
          <w:szCs w:val="16"/>
        </w:rPr>
      </w:pPr>
    </w:p>
    <w:p w14:paraId="362FC0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8782 О вывозе оборудования немецких предприятий в г. Берлин на предприятия Наркомлегпрома СССР. РГАНИР, Фонд ГКО, д. 419, лл. 89-90 (11012).</w:t>
      </w:r>
    </w:p>
    <w:p w14:paraId="61051A5E" w14:textId="77777777" w:rsidR="00665165" w:rsidRPr="00925F26" w:rsidRDefault="00665165" w:rsidP="00925F26">
      <w:pPr>
        <w:autoSpaceDE w:val="0"/>
        <w:autoSpaceDN w:val="0"/>
        <w:adjustRightInd w:val="0"/>
        <w:jc w:val="both"/>
        <w:rPr>
          <w:color w:val="000000" w:themeColor="text1"/>
          <w:sz w:val="16"/>
          <w:szCs w:val="16"/>
        </w:rPr>
      </w:pPr>
    </w:p>
    <w:p w14:paraId="1BD17F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8783 О вывозе оборудования с немецкого завода фирмы "Берлинер Машинен Бау А.Г. Формальс Шварц-Копф" в г. Берлин. РГАНИР, Фонд ГКО, д. 419, лл. 91-92 (11012).</w:t>
      </w:r>
    </w:p>
    <w:p w14:paraId="4F12A5C2" w14:textId="77777777" w:rsidR="00665165" w:rsidRPr="00925F26" w:rsidRDefault="00665165" w:rsidP="00925F26">
      <w:pPr>
        <w:autoSpaceDE w:val="0"/>
        <w:autoSpaceDN w:val="0"/>
        <w:adjustRightInd w:val="0"/>
        <w:jc w:val="both"/>
        <w:rPr>
          <w:color w:val="000000" w:themeColor="text1"/>
          <w:sz w:val="16"/>
          <w:szCs w:val="16"/>
        </w:rPr>
      </w:pPr>
    </w:p>
    <w:p w14:paraId="196DD4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8784 О вывозе оборудования с заводов электротехнической промышленности в г. г. Дрезден, Берлин и Фюнстервальде. РГАНИР, Фонд ГКО, д. 419, лл. 93-94 (11012).</w:t>
      </w:r>
    </w:p>
    <w:p w14:paraId="257FED3B" w14:textId="77777777" w:rsidR="00665165" w:rsidRPr="00925F26" w:rsidRDefault="00665165" w:rsidP="00925F26">
      <w:pPr>
        <w:autoSpaceDE w:val="0"/>
        <w:autoSpaceDN w:val="0"/>
        <w:adjustRightInd w:val="0"/>
        <w:jc w:val="both"/>
        <w:rPr>
          <w:color w:val="000000" w:themeColor="text1"/>
          <w:sz w:val="16"/>
          <w:szCs w:val="16"/>
        </w:rPr>
      </w:pPr>
    </w:p>
    <w:p w14:paraId="37BCB9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8785 О вывозе оборудования с немецкого самолетостроительного завода фирмы "Хейнкель" и с его филиалов в г. г. Росток, Бард, Любц (станция Гафель), Гюстров, Краков и в местечке Реверсхаген и с авиационного факультета Высшего технического училища в г. Берлин на предприятия Наркомавиапрома. РГАНИР, Фонд ГКО, д. 419, лл. 95-96 (11012).</w:t>
      </w:r>
    </w:p>
    <w:p w14:paraId="5E1C2E75" w14:textId="77777777" w:rsidR="00665165" w:rsidRPr="00925F26" w:rsidRDefault="00665165" w:rsidP="00925F26">
      <w:pPr>
        <w:autoSpaceDE w:val="0"/>
        <w:autoSpaceDN w:val="0"/>
        <w:adjustRightInd w:val="0"/>
        <w:jc w:val="both"/>
        <w:rPr>
          <w:color w:val="000000" w:themeColor="text1"/>
          <w:sz w:val="16"/>
          <w:szCs w:val="16"/>
        </w:rPr>
      </w:pPr>
    </w:p>
    <w:p w14:paraId="7A2F26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8786 О перегонке неиспользуемых фронтами трофейных лошадей с территории Германии на территорию СССР и передачи этих лошадей колхозам и наркоматам. РГАНИР, Фонд ГКО, д. 419, лл. 97-100, 101-102 (11012).</w:t>
      </w:r>
    </w:p>
    <w:p w14:paraId="7DEAC0F0" w14:textId="77777777" w:rsidR="00665165" w:rsidRPr="00925F26" w:rsidRDefault="00665165" w:rsidP="00925F26">
      <w:pPr>
        <w:autoSpaceDE w:val="0"/>
        <w:autoSpaceDN w:val="0"/>
        <w:adjustRightInd w:val="0"/>
        <w:jc w:val="both"/>
        <w:rPr>
          <w:color w:val="000000" w:themeColor="text1"/>
          <w:sz w:val="16"/>
          <w:szCs w:val="16"/>
        </w:rPr>
      </w:pPr>
    </w:p>
    <w:p w14:paraId="31F8A3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8787 Вопросы Праги. РГАНИР, Фонд ГКО, д. 419, лл. 103-104 (11012).</w:t>
      </w:r>
    </w:p>
    <w:p w14:paraId="2A982BFF" w14:textId="77777777" w:rsidR="00665165" w:rsidRPr="00925F26" w:rsidRDefault="00665165" w:rsidP="00925F26">
      <w:pPr>
        <w:autoSpaceDE w:val="0"/>
        <w:autoSpaceDN w:val="0"/>
        <w:adjustRightInd w:val="0"/>
        <w:jc w:val="both"/>
        <w:rPr>
          <w:color w:val="000000" w:themeColor="text1"/>
          <w:sz w:val="16"/>
          <w:szCs w:val="16"/>
        </w:rPr>
      </w:pPr>
    </w:p>
    <w:p w14:paraId="2ADC8F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8788 О дополнительном выделении горючего для нужд сельского хозяйства. РГАНИР, Фонд ГКО, д. 419, лл. 105-106 (11012).</w:t>
      </w:r>
    </w:p>
    <w:p w14:paraId="6A84C3B2" w14:textId="77777777" w:rsidR="00665165" w:rsidRPr="00925F26" w:rsidRDefault="00665165" w:rsidP="00925F26">
      <w:pPr>
        <w:autoSpaceDE w:val="0"/>
        <w:autoSpaceDN w:val="0"/>
        <w:adjustRightInd w:val="0"/>
        <w:jc w:val="both"/>
        <w:rPr>
          <w:color w:val="000000" w:themeColor="text1"/>
          <w:sz w:val="16"/>
          <w:szCs w:val="16"/>
        </w:rPr>
      </w:pPr>
    </w:p>
    <w:p w14:paraId="02546D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8789. О дополнительном выделении импортных оборудования, автомашин и материалов Дальневосточным предприятиям НКУП. РГАНИР, Фонд ГКО, д. 419, лл. 107, 108 (11012).</w:t>
      </w:r>
    </w:p>
    <w:p w14:paraId="7C097336" w14:textId="77777777" w:rsidR="00665165" w:rsidRPr="00925F26" w:rsidRDefault="00665165" w:rsidP="00925F26">
      <w:pPr>
        <w:autoSpaceDE w:val="0"/>
        <w:autoSpaceDN w:val="0"/>
        <w:adjustRightInd w:val="0"/>
        <w:jc w:val="both"/>
        <w:rPr>
          <w:color w:val="000000" w:themeColor="text1"/>
          <w:sz w:val="16"/>
          <w:szCs w:val="16"/>
        </w:rPr>
      </w:pPr>
    </w:p>
    <w:p w14:paraId="1195CA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8790. Об изменениях в постановлении ГКО № 8111 от 13 апреля 1945 г. относительно закладки в госрезерв топочного мазута. РГАНИР, Фонд ГКО, д. 419, лл. 109 (11012).</w:t>
      </w:r>
    </w:p>
    <w:p w14:paraId="3A7B8A9B" w14:textId="77777777" w:rsidR="00665165" w:rsidRPr="00925F26" w:rsidRDefault="00665165" w:rsidP="00925F26">
      <w:pPr>
        <w:autoSpaceDE w:val="0"/>
        <w:autoSpaceDN w:val="0"/>
        <w:adjustRightInd w:val="0"/>
        <w:jc w:val="both"/>
        <w:rPr>
          <w:color w:val="000000" w:themeColor="text1"/>
          <w:sz w:val="16"/>
          <w:szCs w:val="16"/>
        </w:rPr>
      </w:pPr>
    </w:p>
    <w:p w14:paraId="308121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8791. О мерах по приему оборудования на заводе № 727 НКРП. РГАНИР, Фонд ГКО, д. 419, лл. 110-112 (11012).</w:t>
      </w:r>
    </w:p>
    <w:p w14:paraId="6501E443" w14:textId="77777777" w:rsidR="00665165" w:rsidRPr="00925F26" w:rsidRDefault="00665165" w:rsidP="00925F26">
      <w:pPr>
        <w:autoSpaceDE w:val="0"/>
        <w:autoSpaceDN w:val="0"/>
        <w:adjustRightInd w:val="0"/>
        <w:jc w:val="both"/>
        <w:rPr>
          <w:color w:val="000000" w:themeColor="text1"/>
          <w:sz w:val="16"/>
          <w:szCs w:val="16"/>
        </w:rPr>
      </w:pPr>
    </w:p>
    <w:p w14:paraId="149EDA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Распоряжение ГКО № 8792. О передаче металлообрабатывающих станков на восстановление авторемонтного завода в Казани. РГАНИР, Фонд ГКО, д. 419, лл. 113 (11012).</w:t>
      </w:r>
    </w:p>
    <w:p w14:paraId="2D22B3CD" w14:textId="77777777" w:rsidR="00665165" w:rsidRPr="00925F26" w:rsidRDefault="00665165" w:rsidP="00925F26">
      <w:pPr>
        <w:autoSpaceDE w:val="0"/>
        <w:autoSpaceDN w:val="0"/>
        <w:adjustRightInd w:val="0"/>
        <w:jc w:val="both"/>
        <w:rPr>
          <w:color w:val="000000" w:themeColor="text1"/>
          <w:sz w:val="16"/>
          <w:szCs w:val="16"/>
        </w:rPr>
      </w:pPr>
    </w:p>
    <w:p w14:paraId="27587F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8793 Об утверждении перечня гражданских судов, подлежащих передаче в состав Тихоокеанского флота для военных нужРГАНИР, Фонд ГКО, д. РГАНИР, Фонд ГКО, д. 419, лл. 114, 115-120 (11012).</w:t>
      </w:r>
    </w:p>
    <w:p w14:paraId="091EB05B" w14:textId="77777777" w:rsidR="00665165" w:rsidRPr="00925F26" w:rsidRDefault="00665165" w:rsidP="00925F26">
      <w:pPr>
        <w:autoSpaceDE w:val="0"/>
        <w:autoSpaceDN w:val="0"/>
        <w:adjustRightInd w:val="0"/>
        <w:jc w:val="both"/>
        <w:rPr>
          <w:color w:val="000000" w:themeColor="text1"/>
          <w:sz w:val="16"/>
          <w:szCs w:val="16"/>
        </w:rPr>
      </w:pPr>
    </w:p>
    <w:p w14:paraId="796048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8794 О строительстве блюминга и рельсо-балочного стана на металлургическом заводе "Азовсталь" в г. Мариуполь. РГАНИР, Фонд ГКО, д. 419, лл. 121 (11012).</w:t>
      </w:r>
    </w:p>
    <w:p w14:paraId="7DC6A434" w14:textId="77777777" w:rsidR="00665165" w:rsidRPr="00925F26" w:rsidRDefault="00665165" w:rsidP="00925F26">
      <w:pPr>
        <w:autoSpaceDE w:val="0"/>
        <w:autoSpaceDN w:val="0"/>
        <w:adjustRightInd w:val="0"/>
        <w:jc w:val="both"/>
        <w:rPr>
          <w:color w:val="000000" w:themeColor="text1"/>
          <w:sz w:val="16"/>
          <w:szCs w:val="16"/>
        </w:rPr>
      </w:pPr>
    </w:p>
    <w:p w14:paraId="48966AC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8795 О восстановлении автомобильной дороги Ленинград - Псков - Остров. (7343, 122-124).</w:t>
      </w:r>
    </w:p>
    <w:p w14:paraId="4D8B594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ED55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8796 О расширении Подмосковной станции подземной газификации углей и строительстве газопровода для подачи газа заводу № 535 Наркомвооружения. РГАНИР, Фонд ГКО, д. 419, лл. 125-127, 128-129 (11012).</w:t>
      </w:r>
    </w:p>
    <w:p w14:paraId="2CF72098" w14:textId="77777777" w:rsidR="00665165" w:rsidRPr="00925F26" w:rsidRDefault="00665165" w:rsidP="00925F26">
      <w:pPr>
        <w:autoSpaceDE w:val="0"/>
        <w:autoSpaceDN w:val="0"/>
        <w:adjustRightInd w:val="0"/>
        <w:jc w:val="both"/>
        <w:rPr>
          <w:color w:val="000000" w:themeColor="text1"/>
          <w:sz w:val="16"/>
          <w:szCs w:val="16"/>
        </w:rPr>
      </w:pPr>
    </w:p>
    <w:p w14:paraId="1FAA27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8797 О плане производства гражданской продукции Уралмашзавода Наркомтанкопрома на II квартал 1945 г. РГАНИР, Фонд ГКО, д. 419, лл. 130-131, 132-135 (11012).</w:t>
      </w:r>
    </w:p>
    <w:p w14:paraId="5DAC1ADE" w14:textId="77777777" w:rsidR="00665165" w:rsidRPr="00925F26" w:rsidRDefault="00665165" w:rsidP="00925F26">
      <w:pPr>
        <w:autoSpaceDE w:val="0"/>
        <w:autoSpaceDN w:val="0"/>
        <w:adjustRightInd w:val="0"/>
        <w:jc w:val="both"/>
        <w:rPr>
          <w:color w:val="000000" w:themeColor="text1"/>
          <w:sz w:val="16"/>
          <w:szCs w:val="16"/>
        </w:rPr>
      </w:pPr>
    </w:p>
    <w:p w14:paraId="2E8F967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8798 Об увеличении производства редких металлов предприятиями Наркомцветмета. (7343, 136-139,140-158).</w:t>
      </w:r>
    </w:p>
    <w:p w14:paraId="558CD2BC"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67D5F4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8799 О мероприятиях по обеспечению временной эксплуатации железнодорожной линии Комсомольск - Совгавань. (7343, 159-162,163-165).</w:t>
      </w:r>
    </w:p>
    <w:p w14:paraId="62BCC64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F0EDD4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8800 О мероприятиях по обеспечению временной эксплуатации порта в бухте Ванино. (7343, 166-168,169).</w:t>
      </w:r>
    </w:p>
    <w:p w14:paraId="784B6D3D"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0AAC0F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8801 О мероприятиях по обеспечению эксплуатации паромной переправы через р. Амур на железнодорожной линии Комсомольск - Совгавань. (7343, 170-173).</w:t>
      </w:r>
    </w:p>
    <w:p w14:paraId="31B9645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04A9E8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8802 О материально-техническом обеспечении строительства № 500 НКВД СССР. (7344, 1-4,5-19).</w:t>
      </w:r>
    </w:p>
    <w:p w14:paraId="39B015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33740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8803 О мероприятиях по перестройке промышленности в связи с сокращением производства вооружения. РГАНИР, Фонд ГКО, д. 420, лл. 20-30, 31-80 (11012).</w:t>
      </w:r>
    </w:p>
    <w:p w14:paraId="69B97128" w14:textId="77777777" w:rsidR="00665165" w:rsidRPr="00925F26" w:rsidRDefault="00665165" w:rsidP="00925F26">
      <w:pPr>
        <w:autoSpaceDE w:val="0"/>
        <w:autoSpaceDN w:val="0"/>
        <w:adjustRightInd w:val="0"/>
        <w:jc w:val="both"/>
        <w:rPr>
          <w:color w:val="000000" w:themeColor="text1"/>
          <w:sz w:val="16"/>
          <w:szCs w:val="16"/>
        </w:rPr>
      </w:pPr>
    </w:p>
    <w:p w14:paraId="0A3707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мая 1945 г. вышло Постановление ГОКО № 8803сс</w:t>
      </w:r>
    </w:p>
    <w:p w14:paraId="7C3483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05AD0D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мероприятиях по перестройке промышленности в связи с сокращением производства вооружения</w:t>
      </w:r>
    </w:p>
    <w:p w14:paraId="5ADF0B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39D4A7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 соответствии с постановлением ГОКО от 17 мая 1945 г. № 8651 ее, установить план производства воору</w:t>
      </w:r>
      <w:r w:rsidRPr="00925F26">
        <w:rPr>
          <w:color w:val="000000" w:themeColor="text1"/>
          <w:sz w:val="16"/>
          <w:szCs w:val="16"/>
        </w:rPr>
        <w:softHyphen/>
        <w:t>жения в июне и июле 1945 г. по нижеследующим издели</w:t>
      </w:r>
      <w:r w:rsidRPr="00925F26">
        <w:rPr>
          <w:color w:val="000000" w:themeColor="text1"/>
          <w:sz w:val="16"/>
          <w:szCs w:val="16"/>
        </w:rPr>
        <w:softHyphen/>
        <w:t>ям и заводам: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85"/>
        <w:gridCol w:w="2185"/>
        <w:gridCol w:w="30"/>
        <w:gridCol w:w="903"/>
        <w:gridCol w:w="851"/>
      </w:tblGrid>
      <w:tr w:rsidR="000F5689" w:rsidRPr="00925F26" w14:paraId="6AA8FAB1" w14:textId="77777777">
        <w:trPr>
          <w:trHeight w:val="221"/>
        </w:trPr>
        <w:tc>
          <w:tcPr>
            <w:tcW w:w="1985" w:type="dxa"/>
            <w:tcBorders>
              <w:top w:val="single" w:sz="12" w:space="0" w:color="auto"/>
            </w:tcBorders>
          </w:tcPr>
          <w:p w14:paraId="2E38B4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507D35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Borders>
              <w:top w:val="single" w:sz="12" w:space="0" w:color="auto"/>
            </w:tcBorders>
          </w:tcPr>
          <w:p w14:paraId="6E84DF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Наркомат и завод-поставщик</w:t>
            </w:r>
          </w:p>
          <w:p w14:paraId="7A735B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82" w:type="dxa"/>
            <w:gridSpan w:val="3"/>
            <w:tcBorders>
              <w:top w:val="single" w:sz="12" w:space="0" w:color="auto"/>
            </w:tcBorders>
          </w:tcPr>
          <w:p w14:paraId="3679E6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 на</w:t>
            </w:r>
          </w:p>
          <w:p w14:paraId="7D9C27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1D54016" w14:textId="77777777">
        <w:trPr>
          <w:trHeight w:val="202"/>
        </w:trPr>
        <w:tc>
          <w:tcPr>
            <w:tcW w:w="1985" w:type="dxa"/>
          </w:tcPr>
          <w:p w14:paraId="6FA642EC" w14:textId="77777777" w:rsidR="00665165" w:rsidRPr="00925F26" w:rsidRDefault="00665165" w:rsidP="00925F26">
            <w:pPr>
              <w:autoSpaceDE w:val="0"/>
              <w:autoSpaceDN w:val="0"/>
              <w:adjustRightInd w:val="0"/>
              <w:jc w:val="both"/>
              <w:rPr>
                <w:color w:val="000000" w:themeColor="text1"/>
                <w:sz w:val="16"/>
                <w:szCs w:val="16"/>
              </w:rPr>
            </w:pPr>
          </w:p>
          <w:p w14:paraId="586243C8" w14:textId="77777777" w:rsidR="00665165" w:rsidRPr="00925F26" w:rsidRDefault="00665165" w:rsidP="00925F26">
            <w:pPr>
              <w:autoSpaceDE w:val="0"/>
              <w:autoSpaceDN w:val="0"/>
              <w:adjustRightInd w:val="0"/>
              <w:jc w:val="both"/>
              <w:rPr>
                <w:color w:val="000000" w:themeColor="text1"/>
                <w:sz w:val="16"/>
                <w:szCs w:val="16"/>
              </w:rPr>
            </w:pPr>
          </w:p>
        </w:tc>
        <w:tc>
          <w:tcPr>
            <w:tcW w:w="2185" w:type="dxa"/>
          </w:tcPr>
          <w:p w14:paraId="4CCF26CC" w14:textId="77777777" w:rsidR="00665165" w:rsidRPr="00925F26" w:rsidRDefault="00665165" w:rsidP="00925F26">
            <w:pPr>
              <w:autoSpaceDE w:val="0"/>
              <w:autoSpaceDN w:val="0"/>
              <w:adjustRightInd w:val="0"/>
              <w:jc w:val="both"/>
              <w:rPr>
                <w:color w:val="000000" w:themeColor="text1"/>
                <w:sz w:val="16"/>
                <w:szCs w:val="16"/>
              </w:rPr>
            </w:pPr>
          </w:p>
          <w:p w14:paraId="42104377" w14:textId="77777777" w:rsidR="00665165" w:rsidRPr="00925F26" w:rsidRDefault="00665165" w:rsidP="00925F26">
            <w:pPr>
              <w:autoSpaceDE w:val="0"/>
              <w:autoSpaceDN w:val="0"/>
              <w:adjustRightInd w:val="0"/>
              <w:jc w:val="both"/>
              <w:rPr>
                <w:color w:val="000000" w:themeColor="text1"/>
                <w:sz w:val="16"/>
                <w:szCs w:val="16"/>
              </w:rPr>
            </w:pPr>
          </w:p>
        </w:tc>
        <w:tc>
          <w:tcPr>
            <w:tcW w:w="933" w:type="dxa"/>
            <w:gridSpan w:val="2"/>
          </w:tcPr>
          <w:p w14:paraId="04F900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июнь</w:t>
            </w:r>
          </w:p>
          <w:p w14:paraId="5F95FB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17E8FF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w:t>
            </w:r>
          </w:p>
          <w:p w14:paraId="608F3A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611A751" w14:textId="77777777">
        <w:trPr>
          <w:trHeight w:val="211"/>
        </w:trPr>
        <w:tc>
          <w:tcPr>
            <w:tcW w:w="1985" w:type="dxa"/>
          </w:tcPr>
          <w:p w14:paraId="1D0874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686DB4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53B53E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6B2E58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6C0DE0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6B6223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2F02E8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1DA034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E043B37" w14:textId="77777777">
        <w:trPr>
          <w:trHeight w:val="317"/>
        </w:trPr>
        <w:tc>
          <w:tcPr>
            <w:tcW w:w="1985" w:type="dxa"/>
          </w:tcPr>
          <w:p w14:paraId="0E4C99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 мм. Полковые пушки</w:t>
            </w:r>
          </w:p>
          <w:p w14:paraId="2BA6E3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3C84F7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НКВ з-ды № 172, 106</w:t>
            </w:r>
          </w:p>
          <w:p w14:paraId="54279C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0EB677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0905EC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434E18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260738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178FF7A" w14:textId="77777777">
        <w:trPr>
          <w:trHeight w:val="221"/>
        </w:trPr>
        <w:tc>
          <w:tcPr>
            <w:tcW w:w="1985" w:type="dxa"/>
          </w:tcPr>
          <w:p w14:paraId="0360B7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 мм дивизионные пушки</w:t>
            </w:r>
          </w:p>
          <w:p w14:paraId="307603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3A718C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 № 92</w:t>
            </w:r>
          </w:p>
          <w:p w14:paraId="312282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13E63A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024FA7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44D2F7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6C7221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DC0DCD7" w14:textId="77777777">
        <w:trPr>
          <w:trHeight w:val="240"/>
        </w:trPr>
        <w:tc>
          <w:tcPr>
            <w:tcW w:w="1985" w:type="dxa"/>
          </w:tcPr>
          <w:p w14:paraId="49EDE4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 мм дивизионные пушки</w:t>
            </w:r>
          </w:p>
          <w:p w14:paraId="4651D2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4BFFE9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 № 235</w:t>
            </w:r>
          </w:p>
          <w:p w14:paraId="33BC9A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658CB0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p w14:paraId="61581C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0C551B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8180D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C783DAF" w14:textId="77777777">
        <w:trPr>
          <w:trHeight w:val="240"/>
        </w:trPr>
        <w:tc>
          <w:tcPr>
            <w:tcW w:w="1985" w:type="dxa"/>
          </w:tcPr>
          <w:p w14:paraId="3AE4EB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 мм противотан ковые пушки</w:t>
            </w:r>
          </w:p>
          <w:p w14:paraId="7B261E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007305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з-ды № 235, 92</w:t>
            </w:r>
          </w:p>
          <w:p w14:paraId="57938F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52E63B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658A6A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0A286A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4B9D4B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7466BFC" w14:textId="77777777">
        <w:trPr>
          <w:trHeight w:val="221"/>
        </w:trPr>
        <w:tc>
          <w:tcPr>
            <w:tcW w:w="1985" w:type="dxa"/>
          </w:tcPr>
          <w:p w14:paraId="5BE365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 мм пушки С-53</w:t>
            </w:r>
          </w:p>
          <w:p w14:paraId="3DBB99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60F054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 № 13</w:t>
            </w:r>
          </w:p>
          <w:p w14:paraId="7ED638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7B5524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410</w:t>
            </w:r>
          </w:p>
          <w:p w14:paraId="0C7236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14AC23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410</w:t>
            </w:r>
          </w:p>
          <w:p w14:paraId="2AD98E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960D820" w14:textId="77777777">
        <w:trPr>
          <w:trHeight w:val="211"/>
        </w:trPr>
        <w:tc>
          <w:tcPr>
            <w:tcW w:w="1985" w:type="dxa"/>
          </w:tcPr>
          <w:p w14:paraId="63A995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 мм пушки С-53</w:t>
            </w:r>
          </w:p>
          <w:p w14:paraId="7BDE68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1E4AB2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 № 92</w:t>
            </w:r>
          </w:p>
          <w:p w14:paraId="32B896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6E5FF3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930</w:t>
            </w:r>
          </w:p>
          <w:p w14:paraId="7211B7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2CC932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930</w:t>
            </w:r>
          </w:p>
          <w:p w14:paraId="3DA120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1884AFB" w14:textId="77777777">
        <w:trPr>
          <w:trHeight w:val="221"/>
        </w:trPr>
        <w:tc>
          <w:tcPr>
            <w:tcW w:w="1985" w:type="dxa"/>
          </w:tcPr>
          <w:p w14:paraId="43503F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 мм пушки Д-10с</w:t>
            </w:r>
          </w:p>
          <w:p w14:paraId="78A5F4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11B228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 № 9</w:t>
            </w:r>
          </w:p>
          <w:p w14:paraId="7AC6A3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3179BD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w:t>
            </w:r>
          </w:p>
          <w:p w14:paraId="267A37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39AC2F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w:t>
            </w:r>
          </w:p>
          <w:p w14:paraId="1DA72D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0533A02" w14:textId="77777777">
        <w:trPr>
          <w:trHeight w:val="230"/>
        </w:trPr>
        <w:tc>
          <w:tcPr>
            <w:tcW w:w="1985" w:type="dxa"/>
          </w:tcPr>
          <w:p w14:paraId="54B158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 мм пушки Д-10с</w:t>
            </w:r>
          </w:p>
          <w:p w14:paraId="32A58D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142D39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 № 8</w:t>
            </w:r>
          </w:p>
          <w:p w14:paraId="25F167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392C09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p w14:paraId="6966BB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254499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p w14:paraId="53B6A1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DCD3F80" w14:textId="77777777">
        <w:trPr>
          <w:trHeight w:val="230"/>
        </w:trPr>
        <w:tc>
          <w:tcPr>
            <w:tcW w:w="1985" w:type="dxa"/>
          </w:tcPr>
          <w:p w14:paraId="33E52A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122 мм пушки Д-25т</w:t>
            </w:r>
          </w:p>
          <w:p w14:paraId="79A41C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27DD7D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НКВ з-д № 9</w:t>
            </w:r>
          </w:p>
          <w:p w14:paraId="7735A8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609E30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w:t>
            </w:r>
          </w:p>
          <w:p w14:paraId="2FC375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788741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w:t>
            </w:r>
          </w:p>
          <w:p w14:paraId="77EB6D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00F5B5C" w14:textId="77777777">
        <w:trPr>
          <w:trHeight w:val="230"/>
        </w:trPr>
        <w:tc>
          <w:tcPr>
            <w:tcW w:w="1985" w:type="dxa"/>
          </w:tcPr>
          <w:p w14:paraId="6609D6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_"_</w:t>
            </w:r>
          </w:p>
          <w:p w14:paraId="226B9E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15B5EA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75</w:t>
            </w:r>
          </w:p>
          <w:p w14:paraId="7EDF73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5D5033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68DB05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355BE8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21E242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C1669BF" w14:textId="77777777">
        <w:trPr>
          <w:trHeight w:val="192"/>
        </w:trPr>
        <w:tc>
          <w:tcPr>
            <w:tcW w:w="1985" w:type="dxa"/>
          </w:tcPr>
          <w:p w14:paraId="68307F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27969D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582C96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221</w:t>
            </w:r>
          </w:p>
          <w:p w14:paraId="418CCD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51C3B0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5B5003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279E15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76A111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21F8CFF" w14:textId="77777777">
        <w:trPr>
          <w:trHeight w:val="250"/>
        </w:trPr>
        <w:tc>
          <w:tcPr>
            <w:tcW w:w="1985" w:type="dxa"/>
          </w:tcPr>
          <w:p w14:paraId="22E38D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7,62 мм ручные пулеметы</w:t>
            </w:r>
          </w:p>
          <w:p w14:paraId="0EAA86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3EEC4B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2</w:t>
            </w:r>
          </w:p>
          <w:p w14:paraId="0A1334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1DD201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w:t>
            </w:r>
          </w:p>
          <w:p w14:paraId="1CA072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524378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w:t>
            </w:r>
          </w:p>
          <w:p w14:paraId="017A0B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FDC0917" w14:textId="77777777">
        <w:trPr>
          <w:trHeight w:val="240"/>
        </w:trPr>
        <w:tc>
          <w:tcPr>
            <w:tcW w:w="1985" w:type="dxa"/>
          </w:tcPr>
          <w:p w14:paraId="4F70EA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7,62 мм танковые пулеметы</w:t>
            </w:r>
          </w:p>
          <w:p w14:paraId="39E504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21F1BF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2</w:t>
            </w:r>
          </w:p>
          <w:p w14:paraId="52509E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79D15B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p w14:paraId="6FA0A8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017679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4000</w:t>
            </w:r>
          </w:p>
          <w:p w14:paraId="3911ED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F9E7034" w14:textId="77777777">
        <w:trPr>
          <w:trHeight w:val="221"/>
        </w:trPr>
        <w:tc>
          <w:tcPr>
            <w:tcW w:w="1985" w:type="dxa"/>
          </w:tcPr>
          <w:p w14:paraId="3755B1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7,62 мм пистолеты- пулеметы</w:t>
            </w:r>
          </w:p>
          <w:p w14:paraId="6D7B65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185" w:type="dxa"/>
          </w:tcPr>
          <w:p w14:paraId="31FBD6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367</w:t>
            </w:r>
          </w:p>
          <w:p w14:paraId="2554BC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33" w:type="dxa"/>
            <w:gridSpan w:val="2"/>
          </w:tcPr>
          <w:p w14:paraId="3EC091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30000</w:t>
            </w:r>
          </w:p>
          <w:p w14:paraId="7C9033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48" w:type="dxa"/>
          </w:tcPr>
          <w:p w14:paraId="43227E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30000</w:t>
            </w:r>
          </w:p>
          <w:p w14:paraId="1D5421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88693D3" w14:textId="77777777">
        <w:trPr>
          <w:trHeight w:val="394"/>
        </w:trPr>
        <w:tc>
          <w:tcPr>
            <w:tcW w:w="1985" w:type="dxa"/>
          </w:tcPr>
          <w:p w14:paraId="3C4344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7,62 мм -"-</w:t>
            </w:r>
          </w:p>
          <w:p w14:paraId="7BBAB6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450245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r w:rsidRPr="00925F26">
              <w:rPr>
                <w:color w:val="000000" w:themeColor="text1"/>
                <w:sz w:val="16"/>
                <w:szCs w:val="16"/>
                <w:vertAlign w:val="superscript"/>
              </w:rPr>
              <w:t>2</w:t>
            </w:r>
            <w:r w:rsidRPr="00925F26">
              <w:rPr>
                <w:color w:val="000000" w:themeColor="text1"/>
                <w:sz w:val="16"/>
                <w:szCs w:val="16"/>
              </w:rPr>
              <w:t>" 828</w:t>
            </w:r>
          </w:p>
          <w:p w14:paraId="033730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7755EC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20000</w:t>
            </w:r>
          </w:p>
          <w:p w14:paraId="366841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58AC05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A534B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E7DD030" w14:textId="77777777">
        <w:trPr>
          <w:trHeight w:val="269"/>
        </w:trPr>
        <w:tc>
          <w:tcPr>
            <w:tcW w:w="1985" w:type="dxa"/>
          </w:tcPr>
          <w:p w14:paraId="6DE1EE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 мм полковые минометы</w:t>
            </w:r>
          </w:p>
          <w:p w14:paraId="0F897C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287830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718</w:t>
            </w:r>
          </w:p>
          <w:p w14:paraId="25F8E1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57F6F9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p w14:paraId="38D33D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1AD9F1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6246D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43D47C0" w14:textId="77777777">
        <w:trPr>
          <w:trHeight w:val="288"/>
        </w:trPr>
        <w:tc>
          <w:tcPr>
            <w:tcW w:w="1985" w:type="dxa"/>
          </w:tcPr>
          <w:p w14:paraId="2BA87D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9EA57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2E2D7F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720</w:t>
            </w:r>
          </w:p>
          <w:p w14:paraId="228CFC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15AE15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528171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4AEB05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3541B1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AFC96B6" w14:textId="77777777">
        <w:trPr>
          <w:trHeight w:val="202"/>
        </w:trPr>
        <w:tc>
          <w:tcPr>
            <w:tcW w:w="1985" w:type="dxa"/>
          </w:tcPr>
          <w:p w14:paraId="2DF64E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D3C64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70E3AC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746</w:t>
            </w:r>
          </w:p>
          <w:p w14:paraId="696C5D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7D4CCE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069E93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0C803B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2E81F7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BF334B5" w14:textId="77777777">
        <w:trPr>
          <w:trHeight w:val="518"/>
        </w:trPr>
        <w:tc>
          <w:tcPr>
            <w:tcW w:w="1985" w:type="dxa"/>
          </w:tcPr>
          <w:p w14:paraId="572EA6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160 мм минометы </w:t>
            </w:r>
          </w:p>
          <w:p w14:paraId="33BEE2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3D05D8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НКВ з-д № 535</w:t>
            </w:r>
          </w:p>
          <w:p w14:paraId="244D61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79344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77C6B0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1C7C57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692BC5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4F4A99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F395094" w14:textId="77777777">
        <w:trPr>
          <w:trHeight w:val="518"/>
        </w:trPr>
        <w:tc>
          <w:tcPr>
            <w:tcW w:w="1985" w:type="dxa"/>
          </w:tcPr>
          <w:p w14:paraId="3C39F1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Передки к 45 мм п/т пушкам</w:t>
            </w:r>
          </w:p>
        </w:tc>
        <w:tc>
          <w:tcPr>
            <w:tcW w:w="2215" w:type="dxa"/>
            <w:gridSpan w:val="2"/>
          </w:tcPr>
          <w:p w14:paraId="15F09F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79</w:t>
            </w:r>
          </w:p>
        </w:tc>
        <w:tc>
          <w:tcPr>
            <w:tcW w:w="903" w:type="dxa"/>
          </w:tcPr>
          <w:p w14:paraId="4B285E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tc>
        <w:tc>
          <w:tcPr>
            <w:tcW w:w="851" w:type="dxa"/>
          </w:tcPr>
          <w:p w14:paraId="66B455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tc>
      </w:tr>
      <w:tr w:rsidR="000F5689" w:rsidRPr="00925F26" w14:paraId="1CACD4E1" w14:textId="77777777">
        <w:trPr>
          <w:trHeight w:val="182"/>
        </w:trPr>
        <w:tc>
          <w:tcPr>
            <w:tcW w:w="1985" w:type="dxa"/>
          </w:tcPr>
          <w:p w14:paraId="44D4FC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Передки к 76 мм пушкам ОБ-25</w:t>
            </w:r>
          </w:p>
          <w:p w14:paraId="39F815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7D4B43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B6941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200071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4C1D98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267C0F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p w14:paraId="006779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34ABBD2" w14:textId="77777777">
        <w:trPr>
          <w:trHeight w:val="413"/>
        </w:trPr>
        <w:tc>
          <w:tcPr>
            <w:tcW w:w="1985" w:type="dxa"/>
          </w:tcPr>
          <w:p w14:paraId="2D6F8A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Передки к 76 мм дивизионным пуш кам</w:t>
            </w:r>
          </w:p>
          <w:p w14:paraId="2B1262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7B5DDF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НКТП " № 183</w:t>
            </w:r>
          </w:p>
          <w:p w14:paraId="5B6643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7D3768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800</w:t>
            </w:r>
          </w:p>
          <w:p w14:paraId="51A089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16B6A4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600</w:t>
            </w:r>
          </w:p>
          <w:p w14:paraId="77C3F2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0B439A6" w14:textId="77777777">
        <w:trPr>
          <w:trHeight w:val="576"/>
        </w:trPr>
        <w:tc>
          <w:tcPr>
            <w:tcW w:w="1985" w:type="dxa"/>
          </w:tcPr>
          <w:p w14:paraId="551445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т.ч. для ЗИС-2 </w:t>
            </w:r>
          </w:p>
          <w:p w14:paraId="05C598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087DB2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183</w:t>
            </w:r>
          </w:p>
          <w:p w14:paraId="5922B5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23A5EA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300 </w:t>
            </w:r>
          </w:p>
          <w:p w14:paraId="2F22B0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60E3BE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300 </w:t>
            </w:r>
          </w:p>
          <w:p w14:paraId="1BFE95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8A7C428" w14:textId="77777777">
        <w:trPr>
          <w:trHeight w:val="576"/>
        </w:trPr>
        <w:tc>
          <w:tcPr>
            <w:tcW w:w="1985" w:type="dxa"/>
          </w:tcPr>
          <w:p w14:paraId="6D143F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Передки к 120 мм пушкам М- 30</w:t>
            </w:r>
          </w:p>
        </w:tc>
        <w:tc>
          <w:tcPr>
            <w:tcW w:w="2215" w:type="dxa"/>
            <w:gridSpan w:val="2"/>
          </w:tcPr>
          <w:p w14:paraId="3CCBE2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74C6D1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360</w:t>
            </w:r>
          </w:p>
        </w:tc>
        <w:tc>
          <w:tcPr>
            <w:tcW w:w="851" w:type="dxa"/>
          </w:tcPr>
          <w:p w14:paraId="0A6DFD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360</w:t>
            </w:r>
          </w:p>
        </w:tc>
      </w:tr>
      <w:tr w:rsidR="000F5689" w:rsidRPr="00925F26" w14:paraId="3981EEFF" w14:textId="77777777">
        <w:trPr>
          <w:trHeight w:val="816"/>
        </w:trPr>
        <w:tc>
          <w:tcPr>
            <w:tcW w:w="1985" w:type="dxa"/>
          </w:tcPr>
          <w:p w14:paraId="171D14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ПУАЗО № 3</w:t>
            </w:r>
          </w:p>
          <w:p w14:paraId="51BAFB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0D47F7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НКМВ з-д № 807 </w:t>
            </w:r>
          </w:p>
          <w:p w14:paraId="1CFDB8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4CA660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25D83B3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7363BF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54AE30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A207F50" w14:textId="77777777">
        <w:trPr>
          <w:trHeight w:val="816"/>
        </w:trPr>
        <w:tc>
          <w:tcPr>
            <w:tcW w:w="1985" w:type="dxa"/>
          </w:tcPr>
          <w:p w14:paraId="48BA81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ПУАЗО №</w:t>
            </w:r>
          </w:p>
        </w:tc>
        <w:tc>
          <w:tcPr>
            <w:tcW w:w="2215" w:type="dxa"/>
            <w:gridSpan w:val="2"/>
          </w:tcPr>
          <w:p w14:paraId="360AF0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 № 192</w:t>
            </w:r>
          </w:p>
        </w:tc>
        <w:tc>
          <w:tcPr>
            <w:tcW w:w="903" w:type="dxa"/>
          </w:tcPr>
          <w:p w14:paraId="5CB551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tc>
        <w:tc>
          <w:tcPr>
            <w:tcW w:w="851" w:type="dxa"/>
          </w:tcPr>
          <w:p w14:paraId="330ECE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tc>
      </w:tr>
      <w:tr w:rsidR="000F5689" w:rsidRPr="00925F26" w14:paraId="22F98359" w14:textId="77777777">
        <w:trPr>
          <w:trHeight w:val="816"/>
        </w:trPr>
        <w:tc>
          <w:tcPr>
            <w:tcW w:w="1985" w:type="dxa"/>
          </w:tcPr>
          <w:p w14:paraId="2BC10F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Прицепы к ПУАЗО№ 3</w:t>
            </w:r>
          </w:p>
        </w:tc>
        <w:tc>
          <w:tcPr>
            <w:tcW w:w="2215" w:type="dxa"/>
            <w:gridSpan w:val="2"/>
          </w:tcPr>
          <w:p w14:paraId="286A80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НКУП Александр з-д</w:t>
            </w:r>
          </w:p>
        </w:tc>
        <w:tc>
          <w:tcPr>
            <w:tcW w:w="903" w:type="dxa"/>
          </w:tcPr>
          <w:p w14:paraId="18C1F3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tc>
        <w:tc>
          <w:tcPr>
            <w:tcW w:w="851" w:type="dxa"/>
          </w:tcPr>
          <w:p w14:paraId="63A3EE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tc>
      </w:tr>
      <w:tr w:rsidR="000F5689" w:rsidRPr="00925F26" w14:paraId="7E91729C" w14:textId="77777777">
        <w:trPr>
          <w:trHeight w:val="384"/>
        </w:trPr>
        <w:tc>
          <w:tcPr>
            <w:tcW w:w="1985" w:type="dxa"/>
          </w:tcPr>
          <w:p w14:paraId="5930A7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к ПУАЗО № 4</w:t>
            </w:r>
          </w:p>
          <w:p w14:paraId="3A95CB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1FA772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НКСМ Ирбитский з-д</w:t>
            </w:r>
          </w:p>
          <w:p w14:paraId="75E6F9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3905C0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2CB81B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2DFCBA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53805D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CA05CCF" w14:textId="77777777">
        <w:trPr>
          <w:trHeight w:val="288"/>
        </w:trPr>
        <w:tc>
          <w:tcPr>
            <w:tcW w:w="1985" w:type="dxa"/>
          </w:tcPr>
          <w:p w14:paraId="2CE6D8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Принимающие к ПУАЗО № 3</w:t>
            </w:r>
          </w:p>
          <w:p w14:paraId="2EFBAE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085CE3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 з-д № 708</w:t>
            </w:r>
          </w:p>
          <w:p w14:paraId="6E8BBF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024070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7D311D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603D36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2755AB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BE3BA2D" w14:textId="77777777">
        <w:trPr>
          <w:trHeight w:val="403"/>
        </w:trPr>
        <w:tc>
          <w:tcPr>
            <w:tcW w:w="1985" w:type="dxa"/>
          </w:tcPr>
          <w:p w14:paraId="4F1543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Принимающие к ПУАЗО № 4</w:t>
            </w:r>
          </w:p>
        </w:tc>
        <w:tc>
          <w:tcPr>
            <w:tcW w:w="2215" w:type="dxa"/>
            <w:gridSpan w:val="2"/>
          </w:tcPr>
          <w:p w14:paraId="7DD89C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703</w:t>
            </w:r>
          </w:p>
          <w:p w14:paraId="7A0124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18D76F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1BD9B4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09E9F8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6FDC27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188BACC" w14:textId="77777777">
        <w:trPr>
          <w:trHeight w:val="605"/>
        </w:trPr>
        <w:tc>
          <w:tcPr>
            <w:tcW w:w="1985" w:type="dxa"/>
          </w:tcPr>
          <w:p w14:paraId="1A6A53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Прожзвук С- 2 </w:t>
            </w:r>
          </w:p>
          <w:p w14:paraId="7C13FD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25FC50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192</w:t>
            </w:r>
          </w:p>
          <w:p w14:paraId="5B98E8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41C83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24EE32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61255F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71CDBF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7D437F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E9987C5" w14:textId="77777777">
        <w:trPr>
          <w:trHeight w:val="605"/>
        </w:trPr>
        <w:tc>
          <w:tcPr>
            <w:tcW w:w="1985" w:type="dxa"/>
          </w:tcPr>
          <w:p w14:paraId="1572FA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Посты управления С-2</w:t>
            </w:r>
          </w:p>
        </w:tc>
        <w:tc>
          <w:tcPr>
            <w:tcW w:w="2215" w:type="dxa"/>
            <w:gridSpan w:val="2"/>
          </w:tcPr>
          <w:p w14:paraId="76EFAB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252</w:t>
            </w:r>
          </w:p>
        </w:tc>
        <w:tc>
          <w:tcPr>
            <w:tcW w:w="903" w:type="dxa"/>
          </w:tcPr>
          <w:p w14:paraId="6399D5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tc>
        <w:tc>
          <w:tcPr>
            <w:tcW w:w="851" w:type="dxa"/>
          </w:tcPr>
          <w:p w14:paraId="1F9ABE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tc>
      </w:tr>
      <w:tr w:rsidR="000F5689" w:rsidRPr="00925F26" w14:paraId="1C9BFFD6" w14:textId="77777777">
        <w:trPr>
          <w:trHeight w:val="422"/>
        </w:trPr>
        <w:tc>
          <w:tcPr>
            <w:tcW w:w="1985" w:type="dxa"/>
          </w:tcPr>
          <w:p w14:paraId="32FA55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Звукометрия, станции СЧЗМ-36</w:t>
            </w:r>
          </w:p>
          <w:p w14:paraId="48B78D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44AEB6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707</w:t>
            </w:r>
          </w:p>
          <w:p w14:paraId="7DA417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1B2CD3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21C4B5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1267A1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2CB0FB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44117C6" w14:textId="77777777">
        <w:trPr>
          <w:trHeight w:val="422"/>
        </w:trPr>
        <w:tc>
          <w:tcPr>
            <w:tcW w:w="1985" w:type="dxa"/>
          </w:tcPr>
          <w:p w14:paraId="27B26D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Прожстанации 3-15-11 3-15-12</w:t>
            </w:r>
          </w:p>
          <w:p w14:paraId="0323F4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156F80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НКЭП з-д № 644</w:t>
            </w:r>
          </w:p>
          <w:p w14:paraId="71B393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112695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1054DA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22517D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2B35A6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238EFF5" w14:textId="77777777">
        <w:trPr>
          <w:trHeight w:val="422"/>
        </w:trPr>
        <w:tc>
          <w:tcPr>
            <w:tcW w:w="1985" w:type="dxa"/>
          </w:tcPr>
          <w:p w14:paraId="1039E5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181D2F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686</w:t>
            </w:r>
          </w:p>
          <w:p w14:paraId="32B349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232A53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29D68C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26DF65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635014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E761082" w14:textId="77777777">
        <w:trPr>
          <w:trHeight w:val="605"/>
        </w:trPr>
        <w:tc>
          <w:tcPr>
            <w:tcW w:w="1985" w:type="dxa"/>
          </w:tcPr>
          <w:p w14:paraId="2D5A34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Зарядные агрегаты АЗ-1</w:t>
            </w:r>
          </w:p>
          <w:p w14:paraId="7890F9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Pr>
          <w:p w14:paraId="6CBC57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686</w:t>
            </w:r>
          </w:p>
          <w:p w14:paraId="1062AD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Pr>
          <w:p w14:paraId="34B78B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p w14:paraId="006815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Pr>
          <w:p w14:paraId="3403A0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p w14:paraId="0A2592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DF14F10" w14:textId="77777777">
        <w:trPr>
          <w:trHeight w:val="298"/>
        </w:trPr>
        <w:tc>
          <w:tcPr>
            <w:tcW w:w="1985" w:type="dxa"/>
            <w:tcBorders>
              <w:bottom w:val="single" w:sz="12" w:space="0" w:color="auto"/>
            </w:tcBorders>
          </w:tcPr>
          <w:p w14:paraId="726441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Кинжал-ножи ар мейские</w:t>
            </w:r>
          </w:p>
          <w:p w14:paraId="0B1EFE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215" w:type="dxa"/>
            <w:gridSpan w:val="2"/>
            <w:tcBorders>
              <w:bottom w:val="single" w:sz="12" w:space="0" w:color="auto"/>
            </w:tcBorders>
          </w:tcPr>
          <w:p w14:paraId="3F1A7D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НКБ " № 391</w:t>
            </w:r>
          </w:p>
          <w:p w14:paraId="764DF8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03" w:type="dxa"/>
            <w:tcBorders>
              <w:bottom w:val="single" w:sz="12" w:space="0" w:color="auto"/>
            </w:tcBorders>
          </w:tcPr>
          <w:p w14:paraId="28409F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10000</w:t>
            </w:r>
          </w:p>
          <w:p w14:paraId="52248E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851" w:type="dxa"/>
            <w:tcBorders>
              <w:bottom w:val="single" w:sz="12" w:space="0" w:color="auto"/>
            </w:tcBorders>
          </w:tcPr>
          <w:p w14:paraId="5F6D27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99B1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3D72F7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 связи с сокращением производства и поставок во</w:t>
      </w:r>
      <w:r w:rsidRPr="00925F26">
        <w:rPr>
          <w:color w:val="000000" w:themeColor="text1"/>
          <w:sz w:val="16"/>
          <w:szCs w:val="16"/>
        </w:rPr>
        <w:softHyphen/>
        <w:t>оружения по НКВ в июне 1945 года уменьшить поставку Наркомвооружения в июне следующих основных матери</w:t>
      </w:r>
      <w:r w:rsidRPr="00925F26">
        <w:rPr>
          <w:color w:val="000000" w:themeColor="text1"/>
          <w:sz w:val="16"/>
          <w:szCs w:val="16"/>
        </w:rPr>
        <w:softHyphen/>
        <w:t>алов и оборудования.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152"/>
        <w:gridCol w:w="1747"/>
        <w:gridCol w:w="1219"/>
      </w:tblGrid>
      <w:tr w:rsidR="000F5689" w:rsidRPr="00925F26" w14:paraId="668A643E" w14:textId="77777777">
        <w:trPr>
          <w:trHeight w:val="259"/>
        </w:trPr>
        <w:tc>
          <w:tcPr>
            <w:tcW w:w="2064" w:type="dxa"/>
            <w:tcBorders>
              <w:top w:val="single" w:sz="12" w:space="0" w:color="auto"/>
            </w:tcBorders>
          </w:tcPr>
          <w:p w14:paraId="7E9739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A877D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tcBorders>
          </w:tcPr>
          <w:p w14:paraId="0AE8BE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Единица измерения</w:t>
            </w:r>
          </w:p>
          <w:p w14:paraId="1DE9AF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966" w:type="dxa"/>
            <w:gridSpan w:val="2"/>
            <w:tcBorders>
              <w:top w:val="single" w:sz="12" w:space="0" w:color="auto"/>
            </w:tcBorders>
          </w:tcPr>
          <w:p w14:paraId="28EB6D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Июнь 1945 года</w:t>
            </w:r>
          </w:p>
          <w:p w14:paraId="6AC6C5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F193E7F" w14:textId="77777777">
        <w:trPr>
          <w:trHeight w:val="384"/>
        </w:trPr>
        <w:tc>
          <w:tcPr>
            <w:tcW w:w="2064" w:type="dxa"/>
          </w:tcPr>
          <w:p w14:paraId="663494AF" w14:textId="77777777" w:rsidR="00665165" w:rsidRPr="00925F26" w:rsidRDefault="00665165" w:rsidP="00925F26">
            <w:pPr>
              <w:autoSpaceDE w:val="0"/>
              <w:autoSpaceDN w:val="0"/>
              <w:adjustRightInd w:val="0"/>
              <w:jc w:val="both"/>
              <w:rPr>
                <w:color w:val="000000" w:themeColor="text1"/>
                <w:sz w:val="16"/>
                <w:szCs w:val="16"/>
              </w:rPr>
            </w:pPr>
          </w:p>
          <w:p w14:paraId="0A38E893" w14:textId="77777777" w:rsidR="00665165" w:rsidRPr="00925F26" w:rsidRDefault="00665165" w:rsidP="00925F26">
            <w:pPr>
              <w:autoSpaceDE w:val="0"/>
              <w:autoSpaceDN w:val="0"/>
              <w:adjustRightInd w:val="0"/>
              <w:jc w:val="both"/>
              <w:rPr>
                <w:color w:val="000000" w:themeColor="text1"/>
                <w:sz w:val="16"/>
                <w:szCs w:val="16"/>
              </w:rPr>
            </w:pPr>
          </w:p>
        </w:tc>
        <w:tc>
          <w:tcPr>
            <w:tcW w:w="1152" w:type="dxa"/>
          </w:tcPr>
          <w:p w14:paraId="443F1190" w14:textId="77777777" w:rsidR="00665165" w:rsidRPr="00925F26" w:rsidRDefault="00665165" w:rsidP="00925F26">
            <w:pPr>
              <w:autoSpaceDE w:val="0"/>
              <w:autoSpaceDN w:val="0"/>
              <w:adjustRightInd w:val="0"/>
              <w:jc w:val="both"/>
              <w:rPr>
                <w:color w:val="000000" w:themeColor="text1"/>
                <w:sz w:val="16"/>
                <w:szCs w:val="16"/>
              </w:rPr>
            </w:pPr>
          </w:p>
          <w:p w14:paraId="4291AA10" w14:textId="77777777" w:rsidR="00665165" w:rsidRPr="00925F26" w:rsidRDefault="00665165" w:rsidP="00925F26">
            <w:pPr>
              <w:autoSpaceDE w:val="0"/>
              <w:autoSpaceDN w:val="0"/>
              <w:adjustRightInd w:val="0"/>
              <w:jc w:val="both"/>
              <w:rPr>
                <w:color w:val="000000" w:themeColor="text1"/>
                <w:sz w:val="16"/>
                <w:szCs w:val="16"/>
              </w:rPr>
            </w:pPr>
          </w:p>
        </w:tc>
        <w:tc>
          <w:tcPr>
            <w:tcW w:w="1747" w:type="dxa"/>
          </w:tcPr>
          <w:p w14:paraId="6935FF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Подлежало поставке</w:t>
            </w:r>
          </w:p>
          <w:p w14:paraId="578879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29B313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поставить</w:t>
            </w:r>
          </w:p>
          <w:p w14:paraId="560814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B887837" w14:textId="77777777">
        <w:trPr>
          <w:trHeight w:val="230"/>
        </w:trPr>
        <w:tc>
          <w:tcPr>
            <w:tcW w:w="2064" w:type="dxa"/>
          </w:tcPr>
          <w:p w14:paraId="567F3D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Прокат черных металлов (горячекатанный)</w:t>
            </w:r>
          </w:p>
          <w:p w14:paraId="6A725C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404BE1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тонн</w:t>
            </w:r>
          </w:p>
          <w:p w14:paraId="3A1F31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59B423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4500</w:t>
            </w:r>
          </w:p>
          <w:p w14:paraId="6EB1AB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30FEB8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37400</w:t>
            </w:r>
          </w:p>
          <w:p w14:paraId="37008F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32980F3" w14:textId="77777777">
        <w:trPr>
          <w:trHeight w:val="240"/>
        </w:trPr>
        <w:tc>
          <w:tcPr>
            <w:tcW w:w="2064" w:type="dxa"/>
          </w:tcPr>
          <w:p w14:paraId="2D78AD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Калибровка углеродистая У-12-А</w:t>
            </w:r>
          </w:p>
          <w:p w14:paraId="09B320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37EBE1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F3A95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358377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1600</w:t>
            </w:r>
          </w:p>
          <w:p w14:paraId="0F8E26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5B782F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1100</w:t>
            </w:r>
          </w:p>
          <w:p w14:paraId="2CC741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55651E0" w14:textId="77777777">
        <w:trPr>
          <w:trHeight w:val="250"/>
        </w:trPr>
        <w:tc>
          <w:tcPr>
            <w:tcW w:w="2064" w:type="dxa"/>
          </w:tcPr>
          <w:p w14:paraId="1A44F1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Лента стальная х/катанная П-П</w:t>
            </w:r>
          </w:p>
          <w:p w14:paraId="61E6F6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749690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F3184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39A741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608C99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0CF118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85739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1EB0348" w14:textId="77777777">
        <w:trPr>
          <w:trHeight w:val="230"/>
        </w:trPr>
        <w:tc>
          <w:tcPr>
            <w:tcW w:w="2064" w:type="dxa"/>
          </w:tcPr>
          <w:p w14:paraId="3B8FE6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Лента стальная х/катанная Г- 18</w:t>
            </w:r>
          </w:p>
          <w:p w14:paraId="1A800F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3DDE44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FB02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429F46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600</w:t>
            </w:r>
          </w:p>
          <w:p w14:paraId="736463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6D4732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F6933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3914BFB" w14:textId="77777777">
        <w:trPr>
          <w:trHeight w:val="202"/>
        </w:trPr>
        <w:tc>
          <w:tcPr>
            <w:tcW w:w="2064" w:type="dxa"/>
          </w:tcPr>
          <w:p w14:paraId="0FE9CC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Лента латунная 2,54</w:t>
            </w:r>
          </w:p>
          <w:p w14:paraId="174F9C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64312E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DDE79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6AE4E8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3100</w:t>
            </w:r>
          </w:p>
          <w:p w14:paraId="6AA9B6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0BC9DE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5A791E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7124687" w14:textId="77777777">
        <w:trPr>
          <w:trHeight w:val="221"/>
        </w:trPr>
        <w:tc>
          <w:tcPr>
            <w:tcW w:w="2064" w:type="dxa"/>
          </w:tcPr>
          <w:p w14:paraId="281CDD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Лента латунная 8,15</w:t>
            </w:r>
          </w:p>
          <w:p w14:paraId="765F32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3D1BFA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55827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51F7B1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266A13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4E73259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32753F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90DB7F3" w14:textId="77777777">
        <w:trPr>
          <w:trHeight w:val="202"/>
        </w:trPr>
        <w:tc>
          <w:tcPr>
            <w:tcW w:w="2064" w:type="dxa"/>
          </w:tcPr>
          <w:p w14:paraId="73287C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Победитовая смесь для бронебойных сердечников</w:t>
            </w:r>
          </w:p>
          <w:p w14:paraId="734BF4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43E113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CAB09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389C7D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p w14:paraId="66813A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069B62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22DFB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21ED1E5" w14:textId="77777777">
        <w:trPr>
          <w:trHeight w:val="240"/>
        </w:trPr>
        <w:tc>
          <w:tcPr>
            <w:tcW w:w="2064" w:type="dxa"/>
          </w:tcPr>
          <w:p w14:paraId="6E56A0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Победитовые сердеч ники</w:t>
            </w:r>
          </w:p>
          <w:p w14:paraId="0C6B27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05D979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тыс.шт.</w:t>
            </w:r>
          </w:p>
          <w:p w14:paraId="031275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763935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p w14:paraId="0BD3DB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59946B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2DDFE9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825AC50" w14:textId="77777777">
        <w:trPr>
          <w:trHeight w:val="230"/>
        </w:trPr>
        <w:tc>
          <w:tcPr>
            <w:tcW w:w="2064" w:type="dxa"/>
          </w:tcPr>
          <w:p w14:paraId="7366DD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Трубы латунные</w:t>
            </w:r>
          </w:p>
          <w:p w14:paraId="4C5281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143831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тонн</w:t>
            </w:r>
          </w:p>
          <w:p w14:paraId="4AC95E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2A2BC5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w:t>
            </w:r>
          </w:p>
          <w:p w14:paraId="6C39AA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7B506E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w:t>
            </w:r>
          </w:p>
          <w:p w14:paraId="57BEA7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6B2FF8D" w14:textId="77777777">
        <w:trPr>
          <w:trHeight w:val="221"/>
        </w:trPr>
        <w:tc>
          <w:tcPr>
            <w:tcW w:w="2064" w:type="dxa"/>
          </w:tcPr>
          <w:p w14:paraId="685043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Прутки латунные</w:t>
            </w:r>
          </w:p>
          <w:p w14:paraId="6A3634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3C838F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E3378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3794C8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130</w:t>
            </w:r>
          </w:p>
          <w:p w14:paraId="61EC3F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3F4270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w:t>
            </w:r>
          </w:p>
          <w:p w14:paraId="72EF70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94DF494" w14:textId="77777777">
        <w:trPr>
          <w:trHeight w:val="211"/>
        </w:trPr>
        <w:tc>
          <w:tcPr>
            <w:tcW w:w="2064" w:type="dxa"/>
          </w:tcPr>
          <w:p w14:paraId="7C02A1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Автоавиапровода</w:t>
            </w:r>
          </w:p>
          <w:p w14:paraId="0BE998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1B8503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клм</w:t>
            </w:r>
          </w:p>
          <w:p w14:paraId="58D919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1BBE44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w:t>
            </w:r>
          </w:p>
          <w:p w14:paraId="6D4F1E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0F512C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w:t>
            </w:r>
          </w:p>
          <w:p w14:paraId="382D9F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95EB7FB" w14:textId="77777777">
        <w:trPr>
          <w:trHeight w:val="211"/>
        </w:trPr>
        <w:tc>
          <w:tcPr>
            <w:tcW w:w="2064" w:type="dxa"/>
          </w:tcPr>
          <w:p w14:paraId="4EACB9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Брезент</w:t>
            </w:r>
          </w:p>
          <w:p w14:paraId="534B53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0BCD00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тыс.м</w:t>
            </w:r>
            <w:proofErr w:type="gramEnd"/>
          </w:p>
          <w:p w14:paraId="529FB2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5390E2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180</w:t>
            </w:r>
          </w:p>
          <w:p w14:paraId="784A38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526556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p w14:paraId="14B406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A4F1C43" w14:textId="77777777">
        <w:trPr>
          <w:trHeight w:val="202"/>
        </w:trPr>
        <w:tc>
          <w:tcPr>
            <w:tcW w:w="2064" w:type="dxa"/>
          </w:tcPr>
          <w:p w14:paraId="21C4EF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Тесьма ременная тканная</w:t>
            </w:r>
          </w:p>
          <w:p w14:paraId="1B2F65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045E98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тыс.м</w:t>
            </w:r>
            <w:proofErr w:type="gramEnd"/>
          </w:p>
          <w:p w14:paraId="3C1B3F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7C6512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430</w:t>
            </w:r>
          </w:p>
          <w:p w14:paraId="4C8495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156306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12F19E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97B12B3" w14:textId="77777777">
        <w:trPr>
          <w:trHeight w:val="202"/>
        </w:trPr>
        <w:tc>
          <w:tcPr>
            <w:tcW w:w="2064" w:type="dxa"/>
          </w:tcPr>
          <w:p w14:paraId="27FC1B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Бумага оберточная</w:t>
            </w:r>
          </w:p>
          <w:p w14:paraId="0DB1D3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79FCD8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тонн</w:t>
            </w:r>
          </w:p>
          <w:p w14:paraId="74122A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77FD60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w:t>
            </w:r>
          </w:p>
          <w:p w14:paraId="4E6488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01D91D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p w14:paraId="0150F2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9F9992B" w14:textId="77777777">
        <w:trPr>
          <w:trHeight w:val="211"/>
        </w:trPr>
        <w:tc>
          <w:tcPr>
            <w:tcW w:w="2064" w:type="dxa"/>
          </w:tcPr>
          <w:p w14:paraId="21890F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Мыло хозяйственное</w:t>
            </w:r>
          </w:p>
          <w:p w14:paraId="22227E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20697F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тонн</w:t>
            </w:r>
          </w:p>
          <w:p w14:paraId="0A5DCE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4BCD22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17BAE9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78AD22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p w14:paraId="25138C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61864AA" w14:textId="77777777">
        <w:trPr>
          <w:trHeight w:val="211"/>
        </w:trPr>
        <w:tc>
          <w:tcPr>
            <w:tcW w:w="2064" w:type="dxa"/>
          </w:tcPr>
          <w:p w14:paraId="7775FF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Серная кислота</w:t>
            </w:r>
          </w:p>
          <w:p w14:paraId="04E54A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6B67F7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E8FC6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3CBF93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1500</w:t>
            </w:r>
          </w:p>
          <w:p w14:paraId="1C7AAA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28F485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550</w:t>
            </w:r>
          </w:p>
          <w:p w14:paraId="47B06B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AE9C582" w14:textId="77777777">
        <w:trPr>
          <w:trHeight w:val="230"/>
        </w:trPr>
        <w:tc>
          <w:tcPr>
            <w:tcW w:w="2064" w:type="dxa"/>
          </w:tcPr>
          <w:p w14:paraId="00DAA7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Спецукупорка</w:t>
            </w:r>
          </w:p>
          <w:p w14:paraId="5F6509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423856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тыс.компл</w:t>
            </w:r>
            <w:proofErr w:type="gramEnd"/>
            <w:r w:rsidRPr="00925F26">
              <w:rPr>
                <w:color w:val="000000" w:themeColor="text1"/>
                <w:sz w:val="16"/>
                <w:szCs w:val="16"/>
              </w:rPr>
              <w:t>.</w:t>
            </w:r>
          </w:p>
          <w:p w14:paraId="066205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798003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1000</w:t>
            </w:r>
          </w:p>
          <w:p w14:paraId="3F238B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51B0E5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w:t>
            </w:r>
          </w:p>
          <w:p w14:paraId="0A6DA1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90E4BE5" w14:textId="77777777">
        <w:trPr>
          <w:trHeight w:val="230"/>
        </w:trPr>
        <w:tc>
          <w:tcPr>
            <w:tcW w:w="2064" w:type="dxa"/>
          </w:tcPr>
          <w:p w14:paraId="654ADF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Шины «</w:t>
            </w:r>
            <w:proofErr w:type="gramStart"/>
            <w:r w:rsidRPr="00925F26">
              <w:rPr>
                <w:color w:val="000000" w:themeColor="text1"/>
                <w:sz w:val="16"/>
                <w:szCs w:val="16"/>
              </w:rPr>
              <w:t>ГК«</w:t>
            </w:r>
            <w:proofErr w:type="gramEnd"/>
          </w:p>
          <w:p w14:paraId="047A56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645868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штук</w:t>
            </w:r>
          </w:p>
          <w:p w14:paraId="2EA6011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318525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9800</w:t>
            </w:r>
          </w:p>
          <w:p w14:paraId="5C0DBD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162C03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2800</w:t>
            </w:r>
          </w:p>
          <w:p w14:paraId="317F3B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EAF73FD" w14:textId="77777777">
        <w:trPr>
          <w:trHeight w:val="211"/>
        </w:trPr>
        <w:tc>
          <w:tcPr>
            <w:tcW w:w="2064" w:type="dxa"/>
          </w:tcPr>
          <w:p w14:paraId="348277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Станки металлорежущие</w:t>
            </w:r>
          </w:p>
          <w:p w14:paraId="0C2FEF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25FF09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штук</w:t>
            </w:r>
          </w:p>
          <w:p w14:paraId="44165C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28D9D5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320</w:t>
            </w:r>
          </w:p>
          <w:p w14:paraId="47EDE0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0BDB41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w:t>
            </w:r>
          </w:p>
          <w:p w14:paraId="7575AE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109A309" w14:textId="77777777">
        <w:trPr>
          <w:trHeight w:val="672"/>
        </w:trPr>
        <w:tc>
          <w:tcPr>
            <w:tcW w:w="2064" w:type="dxa"/>
          </w:tcPr>
          <w:p w14:paraId="6C0185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Шарикоподшипники </w:t>
            </w:r>
          </w:p>
          <w:p w14:paraId="117CC1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Pr>
          <w:p w14:paraId="7A1FC4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тыс.шт.</w:t>
            </w:r>
          </w:p>
          <w:p w14:paraId="2FCCA4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Pr>
          <w:p w14:paraId="58C0D1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165</w:t>
            </w:r>
          </w:p>
          <w:p w14:paraId="783C0E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Pr>
          <w:p w14:paraId="33140D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p w14:paraId="235BBA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FC016A7" w14:textId="77777777">
        <w:trPr>
          <w:trHeight w:val="250"/>
        </w:trPr>
        <w:tc>
          <w:tcPr>
            <w:tcW w:w="2064" w:type="dxa"/>
            <w:tcBorders>
              <w:bottom w:val="single" w:sz="12" w:space="0" w:color="auto"/>
            </w:tcBorders>
          </w:tcPr>
          <w:p w14:paraId="39C03F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Аккумуляторы щелочные </w:t>
            </w:r>
          </w:p>
          <w:p w14:paraId="1F52CF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152" w:type="dxa"/>
            <w:tcBorders>
              <w:bottom w:val="single" w:sz="12" w:space="0" w:color="auto"/>
            </w:tcBorders>
          </w:tcPr>
          <w:p w14:paraId="46E796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тыс.амп</w:t>
            </w:r>
            <w:proofErr w:type="gramEnd"/>
            <w:r w:rsidRPr="00925F26">
              <w:rPr>
                <w:color w:val="000000" w:themeColor="text1"/>
                <w:sz w:val="16"/>
                <w:szCs w:val="16"/>
              </w:rPr>
              <w:t>/ час</w:t>
            </w:r>
          </w:p>
          <w:p w14:paraId="3D973A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47" w:type="dxa"/>
            <w:tcBorders>
              <w:bottom w:val="single" w:sz="12" w:space="0" w:color="auto"/>
            </w:tcBorders>
          </w:tcPr>
          <w:p w14:paraId="6DBE59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416</w:t>
            </w:r>
          </w:p>
          <w:p w14:paraId="3A8E4E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219" w:type="dxa"/>
            <w:tcBorders>
              <w:bottom w:val="single" w:sz="12" w:space="0" w:color="auto"/>
            </w:tcBorders>
          </w:tcPr>
          <w:p w14:paraId="0055CD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336</w:t>
            </w:r>
          </w:p>
          <w:p w14:paraId="76B599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7731C52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 Обязать ГУГМР (т. Данченко), Главснабуголь при СССР (т. Курмашева) и Наркомцветмет (т. Ломако) ить в июне с. г. в госрезерв на заводах НКВ угля — * тыс. тонн и свинца — 2,5 тыс. тонн за счет уменьше-Фондов НКВ по П кварталу 1945 года.</w:t>
      </w:r>
    </w:p>
    <w:p w14:paraId="4B665E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Освободить полностью от производства предметов вооружения и агрегатов к ним следующие предприятия, согласно приложению № 1 и перевести их на выпуск гражданской продукции.</w:t>
      </w:r>
    </w:p>
    <w:p w14:paraId="31486B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Обязать Наркомвооружения (т. Устинова), Наркоммин-вооружения (т. Паршина), Наркомэлектропром (т. Каба</w:t>
      </w:r>
      <w:r w:rsidRPr="00925F26">
        <w:rPr>
          <w:color w:val="000000" w:themeColor="text1"/>
          <w:sz w:val="16"/>
          <w:szCs w:val="16"/>
        </w:rPr>
        <w:softHyphen/>
        <w:t>нова), Наркомсредмаш (т. Акопова), Наркомтекстиль СССР (т. Седина), Наркомнефть (т. Байбакова), НКПС (т. Ковалева), Наркомстанкостроения (т. Ефремова), Нар-комместпром РСФСР (т. Смиряева), Управление промко</w:t>
      </w:r>
      <w:r w:rsidRPr="00925F26">
        <w:rPr>
          <w:color w:val="000000" w:themeColor="text1"/>
          <w:sz w:val="16"/>
          <w:szCs w:val="16"/>
        </w:rPr>
        <w:softHyphen/>
        <w:t>операции при СНК РСФСР (т. Кравчука), НКСудпром (т. Носенко), НКТМ (т. Казакова), НКЛП СССР (т. Лу-кина) представить в СНК СССР и Госплан СССР свои предложения о номенклатуре и размерах производства гражданской продукции на освобождаемых мощностях от производства вооружения, агрегатов и комплектующих изделий к ним в пятидневный срок на июнь и в десяти</w:t>
      </w:r>
      <w:r w:rsidRPr="00925F26">
        <w:rPr>
          <w:color w:val="000000" w:themeColor="text1"/>
          <w:sz w:val="16"/>
          <w:szCs w:val="16"/>
        </w:rPr>
        <w:softHyphen/>
        <w:t xml:space="preserve">дневный срок на </w:t>
      </w:r>
      <w:r w:rsidRPr="00925F26">
        <w:rPr>
          <w:color w:val="000000" w:themeColor="text1"/>
          <w:sz w:val="16"/>
          <w:szCs w:val="16"/>
          <w:lang w:val="en-US"/>
        </w:rPr>
        <w:t>III</w:t>
      </w:r>
      <w:r w:rsidRPr="00925F26">
        <w:rPr>
          <w:color w:val="000000" w:themeColor="text1"/>
          <w:sz w:val="16"/>
          <w:szCs w:val="16"/>
        </w:rPr>
        <w:t xml:space="preserve"> квартал 1945 г., а также графики вос</w:t>
      </w:r>
      <w:r w:rsidRPr="00925F26">
        <w:rPr>
          <w:color w:val="000000" w:themeColor="text1"/>
          <w:sz w:val="16"/>
          <w:szCs w:val="16"/>
        </w:rPr>
        <w:softHyphen/>
        <w:t>становления и освоения этой продукции.</w:t>
      </w:r>
    </w:p>
    <w:p w14:paraId="42603F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Ввиду сокращения производства предметов вооруже</w:t>
      </w:r>
      <w:r w:rsidRPr="00925F26">
        <w:rPr>
          <w:color w:val="000000" w:themeColor="text1"/>
          <w:sz w:val="16"/>
          <w:szCs w:val="16"/>
        </w:rPr>
        <w:softHyphen/>
        <w:t>ния и в целях сохранения мобилизационных мощностей:</w:t>
      </w:r>
    </w:p>
    <w:p w14:paraId="0174EA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обязать наркоматы сохранить мобилизационные мощности на уровне достигнутого выпуска предметов воо.-ружения и патронов: по Наркомату Вооружения по всем заводам, а Наркомату Минометного Вооружения, Нарком-судпрому, Наркомсредмашу, Наркомэлектропрому, Нар-комрезинпрому, Наркомтройматериалов, Наркомтанкоп-рому, Наркомтяжмашу согласно приложению № 2.</w:t>
      </w:r>
    </w:p>
    <w:p w14:paraId="7D4614F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Мощности этих заводов и цехов содержать в готовнос</w:t>
      </w:r>
      <w:r w:rsidRPr="00925F26">
        <w:rPr>
          <w:color w:val="000000" w:themeColor="text1"/>
          <w:sz w:val="16"/>
          <w:szCs w:val="16"/>
        </w:rPr>
        <w:softHyphen/>
        <w:t>ти к возобновлению выпуска военной продукции.</w:t>
      </w:r>
    </w:p>
    <w:p w14:paraId="049FAE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Поручить НКВ (т. Устинову) и ГУТМР (т. Данченко) по согласованию с Госпланом СССР в месячный срок разработать и внести на утверждение Оперативного Бюро ГОКО инструкцию о порядке содержания мобилизаци</w:t>
      </w:r>
      <w:r w:rsidRPr="00925F26">
        <w:rPr>
          <w:color w:val="000000" w:themeColor="text1"/>
          <w:sz w:val="16"/>
          <w:szCs w:val="16"/>
        </w:rPr>
        <w:softHyphen/>
        <w:t>онных мощностей на заводах и цехах для производства вооружения:</w:t>
      </w:r>
    </w:p>
    <w:p w14:paraId="7CFF47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обязать Наркомвооружения, Наркомминвооруже-ния, Наркомэлектропром, Наркомсредмаш, Наркомре-зинпром, Наркомстройматериалов и Наркомтанкопром, а также директоров предприятий, полностью и частично освобождаемых от производства предметов вооружения, заложить до 1 июня 1945 г. в мобрезерв пригодное для производства: специальное оборудование, приспособле</w:t>
      </w:r>
      <w:r w:rsidRPr="00925F26">
        <w:rPr>
          <w:color w:val="000000" w:themeColor="text1"/>
          <w:sz w:val="16"/>
          <w:szCs w:val="16"/>
        </w:rPr>
        <w:softHyphen/>
        <w:t>ния, специальный инструмент, полуфабрикаты, специ</w:t>
      </w:r>
      <w:r w:rsidRPr="00925F26">
        <w:rPr>
          <w:color w:val="000000" w:themeColor="text1"/>
          <w:sz w:val="16"/>
          <w:szCs w:val="16"/>
        </w:rPr>
        <w:softHyphen/>
        <w:t>альные материалы и сырье, а также сохранить на пред</w:t>
      </w:r>
      <w:r w:rsidRPr="00925F26">
        <w:rPr>
          <w:color w:val="000000" w:themeColor="text1"/>
          <w:sz w:val="16"/>
          <w:szCs w:val="16"/>
        </w:rPr>
        <w:softHyphen/>
        <w:t>приятиях всю техническую документацию на производ</w:t>
      </w:r>
      <w:r w:rsidRPr="00925F26">
        <w:rPr>
          <w:color w:val="000000" w:themeColor="text1"/>
          <w:sz w:val="16"/>
          <w:szCs w:val="16"/>
        </w:rPr>
        <w:softHyphen/>
        <w:t>ство вооружения, приведя ее в полное соответствие с действующим технологическим процессом к моменту прекращения производства;</w:t>
      </w:r>
    </w:p>
    <w:p w14:paraId="686D88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предупредить всех директоров вышеупомянутых предприятий об их персональной ответственности за со</w:t>
      </w:r>
      <w:r w:rsidRPr="00925F26">
        <w:rPr>
          <w:color w:val="000000" w:themeColor="text1"/>
          <w:sz w:val="16"/>
          <w:szCs w:val="16"/>
        </w:rPr>
        <w:softHyphen/>
        <w:t>хранность и содержание в исправном состоянии мобили</w:t>
      </w:r>
      <w:r w:rsidRPr="00925F26">
        <w:rPr>
          <w:color w:val="000000" w:themeColor="text1"/>
          <w:sz w:val="16"/>
          <w:szCs w:val="16"/>
        </w:rPr>
        <w:softHyphen/>
        <w:t>зационных резервов заводов и цехов, специального обо</w:t>
      </w:r>
      <w:r w:rsidRPr="00925F26">
        <w:rPr>
          <w:color w:val="000000" w:themeColor="text1"/>
          <w:sz w:val="16"/>
          <w:szCs w:val="16"/>
        </w:rPr>
        <w:softHyphen/>
        <w:t>рудования и имущества.</w:t>
      </w:r>
    </w:p>
    <w:p w14:paraId="4D194E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Наркомам и руководителям ведомств отчет представить ГОКО, а также Госплану СССР к 15 августа 1945 года о выполнении настоящего задания по форме Госплана СССР;</w:t>
      </w:r>
    </w:p>
    <w:p w14:paraId="5EE5FF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разрешить Госплану СССР создать в отделе воору</w:t>
      </w:r>
      <w:r w:rsidRPr="00925F26">
        <w:rPr>
          <w:color w:val="000000" w:themeColor="text1"/>
          <w:sz w:val="16"/>
          <w:szCs w:val="16"/>
        </w:rPr>
        <w:softHyphen/>
        <w:t>жения мобилизационный сектор, возложив на него зада</w:t>
      </w:r>
      <w:r w:rsidRPr="00925F26">
        <w:rPr>
          <w:color w:val="000000" w:themeColor="text1"/>
          <w:sz w:val="16"/>
          <w:szCs w:val="16"/>
        </w:rPr>
        <w:softHyphen/>
        <w:t>чу планирования и проверки выполнения мобилизаци</w:t>
      </w:r>
      <w:r w:rsidRPr="00925F26">
        <w:rPr>
          <w:color w:val="000000" w:themeColor="text1"/>
          <w:sz w:val="16"/>
          <w:szCs w:val="16"/>
        </w:rPr>
        <w:softHyphen/>
        <w:t>онного плана по вооружению и смежных с ним отраслей промышленности.</w:t>
      </w:r>
    </w:p>
    <w:p w14:paraId="38880B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Госплан СССР обязывается периодически докладывать о состоянии мобилизационного дела непосредственно Правительству.</w:t>
      </w:r>
    </w:p>
    <w:p w14:paraId="561E94F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6. Обязать Наркомвооружения (т. Устинова) вместе с Госпланом СССР разработать и внести на утверждение Совнаркома СССР предложения о постепенном переводе рабочих, инженерно-технических работников и служащих нормальный рабочий день и об отмене обязательных сверхурочных работ на заводах Наркомата Вооружения.</w:t>
      </w:r>
    </w:p>
    <w:p w14:paraId="6E46EF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Разрешить Наркомвооружения (т. Устинову) восста</w:t>
      </w:r>
      <w:r w:rsidRPr="00925F26">
        <w:rPr>
          <w:color w:val="000000" w:themeColor="text1"/>
          <w:sz w:val="16"/>
          <w:szCs w:val="16"/>
        </w:rPr>
        <w:softHyphen/>
        <w:t>новить и с 1 июня 1945 г. для рабочих, инженерно-технических работников и служащих заводов Наркомвоо</w:t>
      </w:r>
      <w:r w:rsidRPr="00925F26">
        <w:rPr>
          <w:color w:val="000000" w:themeColor="text1"/>
          <w:sz w:val="16"/>
          <w:szCs w:val="16"/>
        </w:rPr>
        <w:softHyphen/>
        <w:t>ружения выходные дни и очередные отпуска, руковод</w:t>
      </w:r>
      <w:r w:rsidRPr="00925F26">
        <w:rPr>
          <w:color w:val="000000" w:themeColor="text1"/>
          <w:sz w:val="16"/>
          <w:szCs w:val="16"/>
        </w:rPr>
        <w:softHyphen/>
        <w:t>ствуясь при этом Кодексом законов о труде.</w:t>
      </w:r>
    </w:p>
    <w:p w14:paraId="325CEF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В связи с частичным переводом промышленности с военной на гражданскую продукцию, разрешить народ</w:t>
      </w:r>
      <w:r w:rsidRPr="00925F26">
        <w:rPr>
          <w:color w:val="000000" w:themeColor="text1"/>
          <w:sz w:val="16"/>
          <w:szCs w:val="16"/>
        </w:rPr>
        <w:softHyphen/>
        <w:t>ным комиссарам и директорам предприятий на период освоения новых видов производства выплачивать рабо</w:t>
      </w:r>
      <w:r w:rsidRPr="00925F26">
        <w:rPr>
          <w:color w:val="000000" w:themeColor="text1"/>
          <w:sz w:val="16"/>
          <w:szCs w:val="16"/>
        </w:rPr>
        <w:softHyphen/>
        <w:t>чим в течение 1-2 месяцев по решению Народного Ко</w:t>
      </w:r>
      <w:r w:rsidRPr="00925F26">
        <w:rPr>
          <w:color w:val="000000" w:themeColor="text1"/>
          <w:sz w:val="16"/>
          <w:szCs w:val="16"/>
        </w:rPr>
        <w:softHyphen/>
        <w:t>миссара, в зависимости от сложности нового производ</w:t>
      </w:r>
      <w:r w:rsidRPr="00925F26">
        <w:rPr>
          <w:color w:val="000000" w:themeColor="text1"/>
          <w:sz w:val="16"/>
          <w:szCs w:val="16"/>
        </w:rPr>
        <w:softHyphen/>
        <w:t>ства (где это необходимо) среднюю заработную плату по фактическому заработку за последние три месяца.</w:t>
      </w:r>
    </w:p>
    <w:p w14:paraId="325A5B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Отменить, начиная с 1 июня 1945 г., практику вып</w:t>
      </w:r>
      <w:r w:rsidRPr="00925F26">
        <w:rPr>
          <w:color w:val="000000" w:themeColor="text1"/>
          <w:sz w:val="16"/>
          <w:szCs w:val="16"/>
        </w:rPr>
        <w:softHyphen/>
        <w:t xml:space="preserve">латы всех видов премий за своевременную поставку </w:t>
      </w:r>
      <w:proofErr w:type="gramStart"/>
      <w:r w:rsidRPr="00925F26">
        <w:rPr>
          <w:color w:val="000000" w:themeColor="text1"/>
          <w:sz w:val="16"/>
          <w:szCs w:val="16"/>
        </w:rPr>
        <w:t>фон-дируемых</w:t>
      </w:r>
      <w:proofErr w:type="gramEnd"/>
      <w:r w:rsidRPr="00925F26">
        <w:rPr>
          <w:color w:val="000000" w:themeColor="text1"/>
          <w:sz w:val="16"/>
          <w:szCs w:val="16"/>
        </w:rPr>
        <w:t>, планируемых и изготовляемых в порядке коо</w:t>
      </w:r>
      <w:r w:rsidRPr="00925F26">
        <w:rPr>
          <w:color w:val="000000" w:themeColor="text1"/>
          <w:sz w:val="16"/>
          <w:szCs w:val="16"/>
        </w:rPr>
        <w:softHyphen/>
        <w:t>перации готовых изделий, полуфабрикатов и материалов заводами и наркоматами - заказчиками - заводам и наркоматам-поставщикам по всем отраслям народного</w:t>
      </w:r>
    </w:p>
    <w:p w14:paraId="4F733A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хозяйства.</w:t>
      </w:r>
    </w:p>
    <w:p w14:paraId="12A08C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Поручить Госплану СССР (т. Вознесенскому) со</w:t>
      </w:r>
      <w:r w:rsidRPr="00925F26">
        <w:rPr>
          <w:color w:val="000000" w:themeColor="text1"/>
          <w:sz w:val="16"/>
          <w:szCs w:val="16"/>
        </w:rPr>
        <w:softHyphen/>
        <w:t>вместно с Наркомфином СССР (т. Зверевым) рассмот</w:t>
      </w:r>
      <w:r w:rsidRPr="00925F26">
        <w:rPr>
          <w:color w:val="000000" w:themeColor="text1"/>
          <w:sz w:val="16"/>
          <w:szCs w:val="16"/>
        </w:rPr>
        <w:softHyphen/>
        <w:t>реть предложения Наркомата Вооружения о частичном повышении отпускных цен на вооружение в связи с уменьшением их производства и представить в Совнар</w:t>
      </w:r>
      <w:r w:rsidRPr="00925F26">
        <w:rPr>
          <w:color w:val="000000" w:themeColor="text1"/>
          <w:sz w:val="16"/>
          <w:szCs w:val="16"/>
        </w:rPr>
        <w:softHyphen/>
        <w:t>ком СССР свое заключение, имея в виду необходимость применения новых цен с 1 июня 1945 г.</w:t>
      </w:r>
    </w:p>
    <w:p w14:paraId="344AF8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Поручить Госплану СССР рассмотреть представ</w:t>
      </w:r>
      <w:r w:rsidRPr="00925F26">
        <w:rPr>
          <w:color w:val="000000" w:themeColor="text1"/>
          <w:sz w:val="16"/>
          <w:szCs w:val="16"/>
        </w:rPr>
        <w:softHyphen/>
        <w:t>ленные НКВ, НКСМ и НКМВ поправки к плану П квартала с.г., в связи с сокращением производства предметов вооружения и внести необходимые изменения, а также совместно с Наркомфином СССР внести пред</w:t>
      </w:r>
      <w:r w:rsidRPr="00925F26">
        <w:rPr>
          <w:color w:val="000000" w:themeColor="text1"/>
          <w:sz w:val="16"/>
          <w:szCs w:val="16"/>
        </w:rPr>
        <w:softHyphen/>
        <w:t xml:space="preserve">ложения в СНК СССР об изменении финансовых планов на </w:t>
      </w:r>
      <w:r w:rsidRPr="00925F26">
        <w:rPr>
          <w:color w:val="000000" w:themeColor="text1"/>
          <w:sz w:val="16"/>
          <w:szCs w:val="16"/>
          <w:lang w:val="en-US"/>
        </w:rPr>
        <w:t>II</w:t>
      </w:r>
      <w:r w:rsidRPr="00925F26">
        <w:rPr>
          <w:color w:val="000000" w:themeColor="text1"/>
          <w:sz w:val="16"/>
          <w:szCs w:val="16"/>
        </w:rPr>
        <w:t xml:space="preserve"> квартал с.г. по этим наркоматам.</w:t>
      </w:r>
    </w:p>
    <w:p w14:paraId="3B32CE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Разрешить, как исключение, Наркомвооружения по согласованию с Госпланом СССР план мая считать по фактическому выполнению по продукции, программа производства которой в июне с.г. сокращается.</w:t>
      </w:r>
    </w:p>
    <w:p w14:paraId="2728F3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Обязать:</w:t>
      </w:r>
    </w:p>
    <w:p w14:paraId="6913FC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ГАУ КА (т. Яковлева), ВВСКА (т. Новикова) и Наркомвоенморфлот (т. Кузнецова) принять на свои склады до 1 июля 1945 г. всю готовую продукцию и зап</w:t>
      </w:r>
      <w:r w:rsidRPr="00925F26">
        <w:rPr>
          <w:color w:val="000000" w:themeColor="text1"/>
          <w:sz w:val="16"/>
          <w:szCs w:val="16"/>
        </w:rPr>
        <w:softHyphen/>
        <w:t>части, принятую военпредами по действующим техни</w:t>
      </w:r>
      <w:r w:rsidRPr="00925F26">
        <w:rPr>
          <w:color w:val="000000" w:themeColor="text1"/>
          <w:sz w:val="16"/>
          <w:szCs w:val="16"/>
        </w:rPr>
        <w:softHyphen/>
        <w:t>ческим условиям;</w:t>
      </w:r>
    </w:p>
    <w:p w14:paraId="3ED169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Наркомат Вооружения (т. Устинова) принять и оп</w:t>
      </w:r>
      <w:r w:rsidRPr="00925F26">
        <w:rPr>
          <w:color w:val="000000" w:themeColor="text1"/>
          <w:sz w:val="16"/>
          <w:szCs w:val="16"/>
        </w:rPr>
        <w:softHyphen/>
        <w:t>латить до 1 июля 1945 г. комплектующие изделия, полу</w:t>
      </w:r>
      <w:r w:rsidRPr="00925F26">
        <w:rPr>
          <w:color w:val="000000" w:themeColor="text1"/>
          <w:sz w:val="16"/>
          <w:szCs w:val="16"/>
        </w:rPr>
        <w:softHyphen/>
        <w:t>фабрикаты и специальные материалы и сырье, изготов</w:t>
      </w:r>
      <w:r w:rsidRPr="00925F26">
        <w:rPr>
          <w:color w:val="000000" w:themeColor="text1"/>
          <w:sz w:val="16"/>
          <w:szCs w:val="16"/>
        </w:rPr>
        <w:softHyphen/>
        <w:t>ленные на заводах-смежниках, принятые военпредом по действующим техническим условиям.</w:t>
      </w:r>
    </w:p>
    <w:p w14:paraId="02BF34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Наркомфину СССР (т. Звереву) профинансировать принятые НКВ изделия, полуфабрикаты и сырье.</w:t>
      </w:r>
    </w:p>
    <w:p w14:paraId="7C54EA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Предложить т. Устинову представить отчет в Совнар</w:t>
      </w:r>
      <w:r w:rsidRPr="00925F26">
        <w:rPr>
          <w:color w:val="000000" w:themeColor="text1"/>
          <w:sz w:val="16"/>
          <w:szCs w:val="16"/>
        </w:rPr>
        <w:softHyphen/>
        <w:t>ком СССР и Госплан СССР о количестве и номенклату</w:t>
      </w:r>
      <w:r w:rsidRPr="00925F26">
        <w:rPr>
          <w:color w:val="000000" w:themeColor="text1"/>
          <w:sz w:val="16"/>
          <w:szCs w:val="16"/>
        </w:rPr>
        <w:softHyphen/>
        <w:t>ре принятых изделий, полуфабрикатов специального сы</w:t>
      </w:r>
      <w:r w:rsidRPr="00925F26">
        <w:rPr>
          <w:color w:val="000000" w:themeColor="text1"/>
          <w:sz w:val="16"/>
          <w:szCs w:val="16"/>
        </w:rPr>
        <w:softHyphen/>
        <w:t>рья и материалов, а также свои предложения о закладке их в мобрезерв. Установить срок представления отчета — 15 августа 1945 г.</w:t>
      </w:r>
    </w:p>
    <w:p w14:paraId="60A7A6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Поручить тт. Вознесенскому (созыв), Кузнецо</w:t>
      </w:r>
      <w:r w:rsidRPr="00925F26">
        <w:rPr>
          <w:color w:val="000000" w:themeColor="text1"/>
          <w:sz w:val="16"/>
          <w:szCs w:val="16"/>
        </w:rPr>
        <w:softHyphen/>
        <w:t>ву В.В., Звереву и Устинову в 10-дневный срок внести в Оперативное Бюро ГОКО свои предложения о сохране</w:t>
      </w:r>
      <w:r w:rsidRPr="00925F26">
        <w:rPr>
          <w:color w:val="000000" w:themeColor="text1"/>
          <w:sz w:val="16"/>
          <w:szCs w:val="16"/>
        </w:rPr>
        <w:softHyphen/>
        <w:t>нии и поощрении кадров на заводах Наркомата Воору</w:t>
      </w:r>
      <w:r w:rsidRPr="00925F26">
        <w:rPr>
          <w:color w:val="000000" w:themeColor="text1"/>
          <w:sz w:val="16"/>
          <w:szCs w:val="16"/>
        </w:rPr>
        <w:softHyphen/>
        <w:t>жения, предусмотрев особые преимущества для рабочих, инженерно-технических работников и служащих восточ</w:t>
      </w:r>
      <w:r w:rsidRPr="00925F26">
        <w:rPr>
          <w:color w:val="000000" w:themeColor="text1"/>
          <w:sz w:val="16"/>
          <w:szCs w:val="16"/>
        </w:rPr>
        <w:softHyphen/>
        <w:t>ных заводов.</w:t>
      </w:r>
    </w:p>
    <w:p w14:paraId="1A9AF1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Обязать наркоматы и ведомства:</w:t>
      </w:r>
    </w:p>
    <w:p w14:paraId="452DE514"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 провести на предприятиях, ранее изготовлявших и изготовляющих предметы вооружения, по состоянию на 1 июля с.г. бухгалтерскую инвентаризацию готовой про-ДУКЦии и незавершенного производства предметов воо-РУЖения, материалов, инструмента, приспособлений и ДРУгах ценностей, предназначенных для производства вооружения, а также всех товароматериальных ценностей по приостановленным и аннулированным заказам;</w:t>
      </w:r>
    </w:p>
    <w:p w14:paraId="0CBA06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представить в Госплан СССР и Наркомфин СССР к 15 августа с.г. отчет о результатах инвентаризации.</w:t>
      </w:r>
    </w:p>
    <w:p w14:paraId="5792C5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Обязать Наркомат Вооружения (т. Устинова) отре</w:t>
      </w:r>
      <w:r w:rsidRPr="00925F26">
        <w:rPr>
          <w:color w:val="000000" w:themeColor="text1"/>
          <w:sz w:val="16"/>
          <w:szCs w:val="16"/>
        </w:rPr>
        <w:softHyphen/>
        <w:t>монтировать и восстановить для ГАУ КА орудия большой и особой мощности на заводах — НКВ и укомплектовать их положенным ЗИПом:</w:t>
      </w:r>
    </w:p>
    <w:p w14:paraId="34C0BC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152 мм пушка Бр-2 - 29 штук</w:t>
      </w:r>
    </w:p>
    <w:p w14:paraId="610DDB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203 мм гаубица Б-4 - 800</w:t>
      </w:r>
    </w:p>
    <w:p w14:paraId="6BBD5B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210 мм пушка Бр-17 - 9</w:t>
      </w:r>
    </w:p>
    <w:p w14:paraId="5A6412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280 мм мортира Бр-5 и обр. 14-15 г. — 63 шт.</w:t>
      </w:r>
    </w:p>
    <w:p w14:paraId="4C2D6D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 мм гаубица обр. 1915 г. - 60 шт.</w:t>
      </w:r>
    </w:p>
    <w:p w14:paraId="05C190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Порядок передачи артсистем на ремонт в месячный срок согласовать с ГАУ КА (т. Яковлевым).</w:t>
      </w:r>
    </w:p>
    <w:p w14:paraId="6DD005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В целях скорейшего приведения в боеспособное со</w:t>
      </w:r>
      <w:r w:rsidRPr="00925F26">
        <w:rPr>
          <w:color w:val="000000" w:themeColor="text1"/>
          <w:sz w:val="16"/>
          <w:szCs w:val="16"/>
        </w:rPr>
        <w:softHyphen/>
        <w:t>стояние материальной части полевой и зенитной артил</w:t>
      </w:r>
      <w:r w:rsidRPr="00925F26">
        <w:rPr>
          <w:color w:val="000000" w:themeColor="text1"/>
          <w:sz w:val="16"/>
          <w:szCs w:val="16"/>
        </w:rPr>
        <w:softHyphen/>
        <w:t>лерии, возвращающейся с фронта, обязать Наркомвоо-ружения (т. Устинова) произвести капитальный ремонт и укомплектовать положенным ЗиПом:</w:t>
      </w:r>
    </w:p>
    <w:p w14:paraId="60705C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152 мм гаубицы - пушки обр. 1937 года</w:t>
      </w:r>
    </w:p>
    <w:p w14:paraId="5189AE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122 мм пушки обр. 1931/37 гг.</w:t>
      </w:r>
    </w:p>
    <w:p w14:paraId="29FC38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 мм зенитные пушки обр. 1939 года</w:t>
      </w:r>
    </w:p>
    <w:p w14:paraId="4C0C24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 мм зенитные пушки обр. 1939 года</w:t>
      </w:r>
    </w:p>
    <w:p w14:paraId="08D2CA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7,62 мм ручные пулеметы «ДП»</w:t>
      </w:r>
    </w:p>
    <w:p w14:paraId="19B41E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7,62 мм станковые пулеметы «Максима»</w:t>
      </w:r>
    </w:p>
    <w:p w14:paraId="2DFABF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Порядок подачи и количество вооружения в месячный срок согласовать с ГАУ КА (т. Яковлевым) и представить на утверждение ГОКО.</w:t>
      </w:r>
    </w:p>
    <w:p w14:paraId="078891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Обязать Наркомат Вооружения (т. Устинова) подго</w:t>
      </w:r>
      <w:r w:rsidRPr="00925F26">
        <w:rPr>
          <w:color w:val="000000" w:themeColor="text1"/>
          <w:sz w:val="16"/>
          <w:szCs w:val="16"/>
        </w:rPr>
        <w:softHyphen/>
        <w:t>товить по согласованию с ГАУ КА (т. Яковлевым) заводы для разбраковки и переукупорки винтовочных, пистолет</w:t>
      </w:r>
      <w:r w:rsidRPr="00925F26">
        <w:rPr>
          <w:color w:val="000000" w:themeColor="text1"/>
          <w:sz w:val="16"/>
          <w:szCs w:val="16"/>
        </w:rPr>
        <w:softHyphen/>
        <w:t>ных и крупнокалиберных патронов, прибывающих с фронта в бумажной укупорке.</w:t>
      </w:r>
    </w:p>
    <w:p w14:paraId="1D3D41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В целях укрупнения патронных заводов и освобож</w:t>
      </w:r>
      <w:r w:rsidRPr="00925F26">
        <w:rPr>
          <w:color w:val="000000" w:themeColor="text1"/>
          <w:sz w:val="16"/>
          <w:szCs w:val="16"/>
        </w:rPr>
        <w:softHyphen/>
        <w:t>дения временно занятых ими предприятий и учреждений</w:t>
      </w:r>
    </w:p>
    <w:p w14:paraId="5200E5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разрешить Наркомвооружения (т. Устинову) перебазиро</w:t>
      </w:r>
      <w:r w:rsidRPr="00925F26">
        <w:rPr>
          <w:color w:val="000000" w:themeColor="text1"/>
          <w:sz w:val="16"/>
          <w:szCs w:val="16"/>
        </w:rPr>
        <w:softHyphen/>
        <w:t>вать в течение июня-июля 1945 г. патронные заводы НКВ:</w:t>
      </w:r>
    </w:p>
    <w:p w14:paraId="077AB8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529 (г. Новая Ляля, Свердловской области) на заво</w:t>
      </w:r>
      <w:r w:rsidRPr="00925F26">
        <w:rPr>
          <w:color w:val="000000" w:themeColor="text1"/>
          <w:sz w:val="16"/>
          <w:szCs w:val="16"/>
        </w:rPr>
        <w:softHyphen/>
        <w:t>ды № 710 и 711 (г. Подольск, Московской области);</w:t>
      </w:r>
    </w:p>
    <w:p w14:paraId="09FACC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540 (г. Челябинск) на заводы № 539 (г. Тула) и № 270 (г. Ворошиловград);</w:t>
      </w:r>
    </w:p>
    <w:p w14:paraId="75865F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545 (г. Чкалов) на завод № 270 (г. Ворошиловград). Освобождаемые помещения передать: в г. Новая Ляля — Наркомбумпрому СССР, в гг. Иркутске, Челябинске и Чкалове — учебным и научно-исследовательским заведе</w:t>
      </w:r>
      <w:r w:rsidRPr="00925F26">
        <w:rPr>
          <w:color w:val="000000" w:themeColor="text1"/>
          <w:sz w:val="16"/>
          <w:szCs w:val="16"/>
        </w:rPr>
        <w:softHyphen/>
        <w:t>ниям, ранее принадлежавшим ведомствам.</w:t>
      </w:r>
    </w:p>
    <w:p w14:paraId="3F1C74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Разрешить Наркомвооружения (т. Устинову):</w:t>
      </w:r>
    </w:p>
    <w:p w14:paraId="41B3F0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завод № 350 НКВ (г. Новосибирск) объединить с 1.</w:t>
      </w:r>
      <w:r w:rsidRPr="00925F26">
        <w:rPr>
          <w:color w:val="000000" w:themeColor="text1"/>
          <w:sz w:val="16"/>
          <w:szCs w:val="16"/>
          <w:lang w:val="en-US"/>
        </w:rPr>
        <w:t>VI</w:t>
      </w:r>
      <w:r w:rsidRPr="00925F26">
        <w:rPr>
          <w:color w:val="000000" w:themeColor="text1"/>
          <w:sz w:val="16"/>
          <w:szCs w:val="16"/>
        </w:rPr>
        <w:t xml:space="preserve"> 1.1945 г. с заводом № 69 НКВ (г. Новосибирск), при</w:t>
      </w:r>
      <w:r w:rsidRPr="00925F26">
        <w:rPr>
          <w:color w:val="000000" w:themeColor="text1"/>
          <w:sz w:val="16"/>
          <w:szCs w:val="16"/>
        </w:rPr>
        <w:softHyphen/>
        <w:t>своив объединенному заводу № 69.</w:t>
      </w:r>
    </w:p>
    <w:p w14:paraId="2F0FE4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приборов для Военно-Морского Флота с 1.</w:t>
      </w:r>
      <w:r w:rsidRPr="00925F26">
        <w:rPr>
          <w:color w:val="000000" w:themeColor="text1"/>
          <w:sz w:val="16"/>
          <w:szCs w:val="16"/>
          <w:lang w:val="en-US"/>
        </w:rPr>
        <w:t>VII</w:t>
      </w:r>
      <w:r w:rsidRPr="00925F26">
        <w:rPr>
          <w:color w:val="000000" w:themeColor="text1"/>
          <w:sz w:val="16"/>
          <w:szCs w:val="16"/>
        </w:rPr>
        <w:t>. 1945 г. передать с завода № 350 НКВ на завод № 349 НКВ (г. Ленинград) со всем незавершенным про</w:t>
      </w:r>
      <w:r w:rsidRPr="00925F26">
        <w:rPr>
          <w:color w:val="000000" w:themeColor="text1"/>
          <w:sz w:val="16"/>
          <w:szCs w:val="16"/>
        </w:rPr>
        <w:softHyphen/>
        <w:t>изводством, оборудованием и рабочей силой;</w:t>
      </w:r>
    </w:p>
    <w:p w14:paraId="0FAD8E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реорганизовать завод оптического стекла № 588 НКВ (г. Ленинск-Кузнецкий) в цех и включить его в со</w:t>
      </w:r>
      <w:r w:rsidRPr="00925F26">
        <w:rPr>
          <w:color w:val="000000" w:themeColor="text1"/>
          <w:sz w:val="16"/>
          <w:szCs w:val="16"/>
        </w:rPr>
        <w:softHyphen/>
        <w:t>став завода № 69 НКВ.</w:t>
      </w:r>
    </w:p>
    <w:p w14:paraId="1047AA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Обязать НКПС (т. Ковалева) в течение июня-июля 1945 г. выделить вагоны по заявкам Наркомата Вооруже</w:t>
      </w:r>
      <w:r w:rsidRPr="00925F26">
        <w:rPr>
          <w:color w:val="000000" w:themeColor="text1"/>
          <w:sz w:val="16"/>
          <w:szCs w:val="16"/>
        </w:rPr>
        <w:softHyphen/>
        <w:t>ния и обеспечить перевозку рабочей силы (вместе с се</w:t>
      </w:r>
      <w:r w:rsidRPr="00925F26">
        <w:rPr>
          <w:color w:val="000000" w:themeColor="text1"/>
          <w:sz w:val="16"/>
          <w:szCs w:val="16"/>
        </w:rPr>
        <w:softHyphen/>
        <w:t>мьями), незавершенного производства, оборудования и материалов по перебазируемым заводам НКВ № 529, 540, 541, 545 и частично № 350.</w:t>
      </w:r>
    </w:p>
    <w:p w14:paraId="287776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 Обязать Наркомторг СССР (т. Любимова) обеспе</w:t>
      </w:r>
      <w:r w:rsidRPr="00925F26">
        <w:rPr>
          <w:color w:val="000000" w:themeColor="text1"/>
          <w:sz w:val="16"/>
          <w:szCs w:val="16"/>
        </w:rPr>
        <w:softHyphen/>
        <w:t>чить питание в пути работников и их семьи по перебази</w:t>
      </w:r>
      <w:r w:rsidRPr="00925F26">
        <w:rPr>
          <w:color w:val="000000" w:themeColor="text1"/>
          <w:sz w:val="16"/>
          <w:szCs w:val="16"/>
        </w:rPr>
        <w:softHyphen/>
        <w:t>руемым заводам НКВ.</w:t>
      </w:r>
    </w:p>
    <w:p w14:paraId="0A0882CF"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24. Обязать Наркомвнешторг (т. Крутикова): а) для обеспечения сдачи патронов в цинковой укупорке поста</w:t>
      </w:r>
      <w:r w:rsidRPr="00925F26">
        <w:rPr>
          <w:color w:val="000000" w:themeColor="text1"/>
          <w:sz w:val="16"/>
          <w:szCs w:val="16"/>
        </w:rPr>
        <w:softHyphen/>
        <w:t>вить патронным заводам НКВ в июне 1945 г. оцинкован</w:t>
      </w:r>
      <w:r w:rsidRPr="00925F26">
        <w:rPr>
          <w:color w:val="000000" w:themeColor="text1"/>
          <w:sz w:val="16"/>
          <w:szCs w:val="16"/>
        </w:rPr>
        <w:softHyphen/>
        <w:t xml:space="preserve">ное железо сверх выделенного фонда на </w:t>
      </w:r>
      <w:r w:rsidRPr="00925F26">
        <w:rPr>
          <w:color w:val="000000" w:themeColor="text1"/>
          <w:sz w:val="16"/>
          <w:szCs w:val="16"/>
          <w:lang w:val="en-US"/>
        </w:rPr>
        <w:t>II</w:t>
      </w:r>
      <w:r w:rsidRPr="00925F26">
        <w:rPr>
          <w:color w:val="000000" w:themeColor="text1"/>
          <w:sz w:val="16"/>
          <w:szCs w:val="16"/>
        </w:rPr>
        <w:t xml:space="preserve"> квартал 1945 г. в количестве 1000 тонн;</w:t>
      </w:r>
    </w:p>
    <w:p w14:paraId="038EEE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в связи с уменьшением плана производства патро</w:t>
      </w:r>
      <w:r w:rsidRPr="00925F26">
        <w:rPr>
          <w:color w:val="000000" w:themeColor="text1"/>
          <w:sz w:val="16"/>
          <w:szCs w:val="16"/>
        </w:rPr>
        <w:softHyphen/>
        <w:t>нов пересмотреть заявки и заказы на импорт спецметал</w:t>
      </w:r>
      <w:r w:rsidRPr="00925F26">
        <w:rPr>
          <w:color w:val="000000" w:themeColor="text1"/>
          <w:sz w:val="16"/>
          <w:szCs w:val="16"/>
        </w:rPr>
        <w:softHyphen/>
        <w:t>лов для производства патронов.</w:t>
      </w:r>
    </w:p>
    <w:p w14:paraId="1D70EE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 Обязать наркоматы-поставщики, перечисленные в приложениях №№ 3-27*:</w:t>
      </w:r>
    </w:p>
    <w:p w14:paraId="108D21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обеспечить в июне-июле 1945 г. своевременную по</w:t>
      </w:r>
      <w:r w:rsidRPr="00925F26">
        <w:rPr>
          <w:color w:val="000000" w:themeColor="text1"/>
          <w:sz w:val="16"/>
          <w:szCs w:val="16"/>
        </w:rPr>
        <w:softHyphen/>
        <w:t>ставку заводам, производящим предметы вооружения, кооперированных изделий и материалов в количествах и сроки, согласно приложениям №№ 3-27*;</w:t>
      </w:r>
    </w:p>
    <w:p w14:paraId="113E76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представлять в Госплан СССР ежемесячно отчеты о выполнении планов вышеуказанных поставок.</w:t>
      </w:r>
    </w:p>
    <w:p w14:paraId="2461F8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Продлить до особого распоряжения действие по</w:t>
      </w:r>
      <w:r w:rsidRPr="00925F26">
        <w:rPr>
          <w:color w:val="000000" w:themeColor="text1"/>
          <w:sz w:val="16"/>
          <w:szCs w:val="16"/>
        </w:rPr>
        <w:softHyphen/>
        <w:t>становления ГОКО от 10 декабря 1943 г. № 4764 ее в части запрещения наркоматам, ведомствам, учреждениям и предприятиям до конца войны выселять с принадле</w:t>
      </w:r>
      <w:r w:rsidRPr="00925F26">
        <w:rPr>
          <w:color w:val="000000" w:themeColor="text1"/>
          <w:sz w:val="16"/>
          <w:szCs w:val="16"/>
        </w:rPr>
        <w:softHyphen/>
        <w:t>жащей им жилой площади рабочих, ИТР и служащих, работающих на предприятиях, учреждениях и организа</w:t>
      </w:r>
      <w:r w:rsidRPr="00925F26">
        <w:rPr>
          <w:color w:val="000000" w:themeColor="text1"/>
          <w:sz w:val="16"/>
          <w:szCs w:val="16"/>
        </w:rPr>
        <w:softHyphen/>
        <w:t>циях системы Наркомата Вооружения, а также их семьи.</w:t>
      </w:r>
    </w:p>
    <w:p w14:paraId="5D8699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 И.Сталин</w:t>
      </w:r>
    </w:p>
    <w:p w14:paraId="0FC8C3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Круглая печать: «Государственный Комитет Обороны. № </w:t>
      </w:r>
      <w:r w:rsidRPr="00925F26">
        <w:rPr>
          <w:color w:val="000000" w:themeColor="text1"/>
          <w:sz w:val="16"/>
          <w:szCs w:val="16"/>
          <w:lang w:val="en-US"/>
        </w:rPr>
        <w:t>I</w:t>
      </w:r>
      <w:r w:rsidRPr="00925F26">
        <w:rPr>
          <w:color w:val="000000" w:themeColor="text1"/>
          <w:sz w:val="16"/>
          <w:szCs w:val="16"/>
        </w:rPr>
        <w:t>. Протокольная часть ГОКО»</w:t>
      </w:r>
    </w:p>
    <w:p w14:paraId="23FDB2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Послано: тт. Берия (ГОКО), Вознесенскому, Швернику, Булганину, Устинову, Яковлеву, Кирпичникову, Чаадаеву - всем наркомам, директорам заводов, обкомам — соответственно.</w:t>
      </w:r>
    </w:p>
    <w:p w14:paraId="56B3795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РЦХИДНИ. Ф. 644. Оп.1. Д. 420. Л. 20-30; Заверенная копия.</w:t>
      </w:r>
    </w:p>
    <w:p w14:paraId="3E429B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Сов.секретно</w:t>
      </w:r>
    </w:p>
    <w:p w14:paraId="1C4FA8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 1</w:t>
      </w:r>
    </w:p>
    <w:p w14:paraId="36FF8B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постановлению ГОКО № 8803сс от 26 мая 1945 г.</w:t>
      </w:r>
    </w:p>
    <w:p w14:paraId="049730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СПИСОК</w:t>
      </w:r>
    </w:p>
    <w:p w14:paraId="372F3C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предприятий, полностью освобожденных от производства предметов вооружения и подлежащих загрузке производством гражданской продукции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992"/>
        <w:gridCol w:w="1559"/>
        <w:gridCol w:w="993"/>
        <w:gridCol w:w="1701"/>
      </w:tblGrid>
      <w:tr w:rsidR="000F5689" w:rsidRPr="00925F26" w14:paraId="57D7E96E" w14:textId="77777777">
        <w:trPr>
          <w:trHeight w:val="634"/>
        </w:trPr>
        <w:tc>
          <w:tcPr>
            <w:tcW w:w="851" w:type="dxa"/>
            <w:tcBorders>
              <w:top w:val="single" w:sz="12" w:space="0" w:color="auto"/>
            </w:tcBorders>
          </w:tcPr>
          <w:p w14:paraId="2A1F0D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Наркомат</w:t>
            </w:r>
          </w:p>
          <w:p w14:paraId="04610D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Borders>
              <w:top w:val="single" w:sz="12" w:space="0" w:color="auto"/>
            </w:tcBorders>
          </w:tcPr>
          <w:p w14:paraId="1A4F98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Предприятие (завод)</w:t>
            </w:r>
          </w:p>
          <w:p w14:paraId="7A977E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Borders>
              <w:top w:val="single" w:sz="12" w:space="0" w:color="auto"/>
            </w:tcBorders>
          </w:tcPr>
          <w:p w14:paraId="20EBBC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 каких предметов вооружения освобождается</w:t>
            </w:r>
          </w:p>
          <w:p w14:paraId="0EB9EB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Borders>
              <w:top w:val="single" w:sz="12" w:space="0" w:color="auto"/>
            </w:tcBorders>
          </w:tcPr>
          <w:p w14:paraId="0D92B0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какого времени освобожда</w:t>
            </w:r>
            <w:r w:rsidRPr="00925F26">
              <w:rPr>
                <w:color w:val="000000" w:themeColor="text1"/>
                <w:sz w:val="16"/>
                <w:szCs w:val="16"/>
              </w:rPr>
              <w:softHyphen/>
              <w:t>ется</w:t>
            </w:r>
          </w:p>
          <w:p w14:paraId="4F7B8D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top w:val="single" w:sz="12" w:space="0" w:color="auto"/>
            </w:tcBorders>
          </w:tcPr>
          <w:p w14:paraId="51F115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Довоенный профиль (основная продукция)</w:t>
            </w:r>
          </w:p>
          <w:p w14:paraId="28D6E9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8136B11" w14:textId="77777777">
        <w:trPr>
          <w:trHeight w:val="202"/>
        </w:trPr>
        <w:tc>
          <w:tcPr>
            <w:tcW w:w="851" w:type="dxa"/>
          </w:tcPr>
          <w:p w14:paraId="112308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081304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5C90C0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38358F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79C805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098F4D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5998B2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5217A6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706B6D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645E133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36D5016" w14:textId="77777777">
        <w:trPr>
          <w:trHeight w:val="202"/>
        </w:trPr>
        <w:tc>
          <w:tcPr>
            <w:tcW w:w="851" w:type="dxa"/>
          </w:tcPr>
          <w:p w14:paraId="6BFF0E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tc>
        <w:tc>
          <w:tcPr>
            <w:tcW w:w="992" w:type="dxa"/>
          </w:tcPr>
          <w:p w14:paraId="32EEF9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760</w:t>
            </w:r>
          </w:p>
        </w:tc>
        <w:tc>
          <w:tcPr>
            <w:tcW w:w="1559" w:type="dxa"/>
          </w:tcPr>
          <w:p w14:paraId="14E175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минометы</w:t>
            </w:r>
          </w:p>
          <w:p w14:paraId="2875B2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46481B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июня 1945 г.</w:t>
            </w:r>
          </w:p>
          <w:p w14:paraId="575FAA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C17AD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Организован во время войны</w:t>
            </w:r>
          </w:p>
        </w:tc>
      </w:tr>
      <w:tr w:rsidR="000F5689" w:rsidRPr="00925F26" w14:paraId="003121A4" w14:textId="77777777">
        <w:trPr>
          <w:trHeight w:val="202"/>
        </w:trPr>
        <w:tc>
          <w:tcPr>
            <w:tcW w:w="851" w:type="dxa"/>
          </w:tcPr>
          <w:p w14:paraId="13A617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65EE31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718</w:t>
            </w:r>
          </w:p>
        </w:tc>
        <w:tc>
          <w:tcPr>
            <w:tcW w:w="1559" w:type="dxa"/>
          </w:tcPr>
          <w:p w14:paraId="7DF89D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минометного вооружения</w:t>
            </w:r>
          </w:p>
          <w:p w14:paraId="45CC5F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4C7E70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29C1AC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6081C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Дизеля и запчасти к ним</w:t>
            </w:r>
          </w:p>
        </w:tc>
      </w:tr>
      <w:tr w:rsidR="000F5689" w:rsidRPr="00925F26" w14:paraId="1CC807BC" w14:textId="77777777">
        <w:trPr>
          <w:trHeight w:val="202"/>
        </w:trPr>
        <w:tc>
          <w:tcPr>
            <w:tcW w:w="851" w:type="dxa"/>
          </w:tcPr>
          <w:p w14:paraId="77E448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BB497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828</w:t>
            </w:r>
          </w:p>
        </w:tc>
        <w:tc>
          <w:tcPr>
            <w:tcW w:w="1559" w:type="dxa"/>
          </w:tcPr>
          <w:p w14:paraId="2A258A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Пистолеты- пулеметы ПП-43</w:t>
            </w:r>
          </w:p>
        </w:tc>
        <w:tc>
          <w:tcPr>
            <w:tcW w:w="993" w:type="dxa"/>
          </w:tcPr>
          <w:p w14:paraId="7D30F2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1701" w:type="dxa"/>
          </w:tcPr>
          <w:p w14:paraId="59D007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Счетно-аналити</w:t>
            </w:r>
            <w:r w:rsidRPr="00925F26">
              <w:rPr>
                <w:color w:val="000000" w:themeColor="text1"/>
                <w:sz w:val="16"/>
                <w:szCs w:val="16"/>
              </w:rPr>
              <w:softHyphen/>
              <w:t>ческие маш</w:t>
            </w:r>
          </w:p>
        </w:tc>
      </w:tr>
      <w:tr w:rsidR="000F5689" w:rsidRPr="00925F26" w14:paraId="2897660B" w14:textId="77777777">
        <w:trPr>
          <w:trHeight w:val="307"/>
        </w:trPr>
        <w:tc>
          <w:tcPr>
            <w:tcW w:w="851" w:type="dxa"/>
          </w:tcPr>
          <w:p w14:paraId="40DD7C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C1080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701213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847</w:t>
            </w:r>
          </w:p>
          <w:p w14:paraId="008D22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417A93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Спецтара для ПП-43</w:t>
            </w:r>
          </w:p>
          <w:p w14:paraId="166998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6C0A30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DF24A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331C3C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Укупорка и дере водетали для часового произ водства</w:t>
            </w:r>
          </w:p>
          <w:p w14:paraId="5D4B30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C588B4E" w14:textId="77777777">
        <w:trPr>
          <w:trHeight w:val="173"/>
        </w:trPr>
        <w:tc>
          <w:tcPr>
            <w:tcW w:w="851" w:type="dxa"/>
          </w:tcPr>
          <w:p w14:paraId="53327D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нксм</w:t>
            </w:r>
          </w:p>
          <w:p w14:paraId="5313D7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B50CD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«зис»</w:t>
            </w:r>
          </w:p>
          <w:p w14:paraId="25DC75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159802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Пистолеты-пуле меты (ППШ)</w:t>
            </w:r>
          </w:p>
          <w:p w14:paraId="03B0C1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2EEAE1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июня 1945 г.</w:t>
            </w:r>
          </w:p>
          <w:p w14:paraId="03CFF9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5C9D55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автомобилей</w:t>
            </w:r>
          </w:p>
          <w:p w14:paraId="1AD584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BD202FD" w14:textId="77777777">
        <w:trPr>
          <w:trHeight w:val="173"/>
        </w:trPr>
        <w:tc>
          <w:tcPr>
            <w:tcW w:w="851" w:type="dxa"/>
          </w:tcPr>
          <w:p w14:paraId="3BE4EC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85986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7D7CCB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Им. Бу денного </w:t>
            </w:r>
          </w:p>
        </w:tc>
        <w:tc>
          <w:tcPr>
            <w:tcW w:w="1559" w:type="dxa"/>
          </w:tcPr>
          <w:p w14:paraId="37A184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Детали пистоле тов-пулеметов, пружины</w:t>
            </w:r>
          </w:p>
          <w:p w14:paraId="4A6237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34ED2F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июля 1945 г.</w:t>
            </w:r>
          </w:p>
          <w:p w14:paraId="0A3942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51CA22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автотракторных запасных частей'</w:t>
            </w:r>
          </w:p>
          <w:p w14:paraId="529366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8188E55" w14:textId="77777777">
        <w:trPr>
          <w:trHeight w:val="173"/>
        </w:trPr>
        <w:tc>
          <w:tcPr>
            <w:tcW w:w="851" w:type="dxa"/>
          </w:tcPr>
          <w:p w14:paraId="42C9A6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НКСМ</w:t>
            </w:r>
          </w:p>
          <w:p w14:paraId="4D16F9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56968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Мотозавод</w:t>
            </w:r>
          </w:p>
          <w:p w14:paraId="37D569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11473D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Детали пистоле тов-пулеметов (ППШ)</w:t>
            </w:r>
          </w:p>
          <w:p w14:paraId="7512F5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736767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июня1945 г.</w:t>
            </w:r>
          </w:p>
          <w:p w14:paraId="610802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B423B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w:t>
            </w:r>
            <w:proofErr w:type="gramStart"/>
            <w:r w:rsidRPr="00925F26">
              <w:rPr>
                <w:color w:val="000000" w:themeColor="text1"/>
                <w:sz w:val="16"/>
                <w:szCs w:val="16"/>
              </w:rPr>
              <w:t>мотоциклов }</w:t>
            </w:r>
            <w:proofErr w:type="gramEnd"/>
          </w:p>
          <w:p w14:paraId="0703CE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1BF1A15" w14:textId="77777777">
        <w:trPr>
          <w:trHeight w:val="173"/>
        </w:trPr>
        <w:tc>
          <w:tcPr>
            <w:tcW w:w="851" w:type="dxa"/>
          </w:tcPr>
          <w:p w14:paraId="21191D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B995A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252831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Московс кий кар бюратор ный завод</w:t>
            </w:r>
          </w:p>
          <w:p w14:paraId="11F082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52D86E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Детали пистоле тов-пулеметов (ППШ)</w:t>
            </w:r>
          </w:p>
          <w:p w14:paraId="541378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0A1487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509E34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605C82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деталей карбюрации</w:t>
            </w:r>
          </w:p>
          <w:p w14:paraId="58027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B095BC0" w14:textId="77777777">
        <w:trPr>
          <w:trHeight w:val="173"/>
        </w:trPr>
        <w:tc>
          <w:tcPr>
            <w:tcW w:w="851" w:type="dxa"/>
          </w:tcPr>
          <w:p w14:paraId="4B587B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нксм</w:t>
            </w:r>
          </w:p>
          <w:p w14:paraId="1C9288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C8B30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«ГАЗ»</w:t>
            </w:r>
          </w:p>
          <w:p w14:paraId="42DED8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7A30A2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Колеса</w:t>
            </w:r>
          </w:p>
          <w:p w14:paraId="36E209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189575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 1945 г.</w:t>
            </w:r>
          </w:p>
          <w:p w14:paraId="38C05B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468957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автомобилей и колес</w:t>
            </w:r>
          </w:p>
          <w:p w14:paraId="1DFA6B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CE5C601" w14:textId="77777777">
        <w:trPr>
          <w:trHeight w:val="182"/>
        </w:trPr>
        <w:tc>
          <w:tcPr>
            <w:tcW w:w="851" w:type="dxa"/>
          </w:tcPr>
          <w:p w14:paraId="211193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НКАП</w:t>
            </w:r>
          </w:p>
          <w:p w14:paraId="3A5037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26CF6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w:t>
            </w:r>
          </w:p>
          <w:p w14:paraId="192AE2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1D5136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Пистолеты- пулеметы (ППШ)</w:t>
            </w:r>
          </w:p>
          <w:p w14:paraId="4F929B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466E4C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июня 1945 г.</w:t>
            </w:r>
          </w:p>
          <w:p w14:paraId="1089E5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53E20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B7C4B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Авиапроизводство</w:t>
            </w:r>
          </w:p>
          <w:p w14:paraId="3A7606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5409B66" w14:textId="77777777">
        <w:trPr>
          <w:trHeight w:val="173"/>
        </w:trPr>
        <w:tc>
          <w:tcPr>
            <w:tcW w:w="851" w:type="dxa"/>
          </w:tcPr>
          <w:p w14:paraId="75EA07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нкэп</w:t>
            </w:r>
          </w:p>
          <w:p w14:paraId="2E2CC6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6DA5C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197</w:t>
            </w:r>
          </w:p>
          <w:p w14:paraId="022BF6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6BA8A0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Детали артиллерии</w:t>
            </w:r>
          </w:p>
          <w:p w14:paraId="3F1E0E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7F2B6D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авгус та 1945 г.</w:t>
            </w:r>
          </w:p>
          <w:p w14:paraId="402101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4D501B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крупных войско вых и </w:t>
            </w:r>
            <w:proofErr w:type="gramStart"/>
            <w:r w:rsidRPr="00925F26">
              <w:rPr>
                <w:color w:val="000000" w:themeColor="text1"/>
                <w:sz w:val="16"/>
                <w:szCs w:val="16"/>
              </w:rPr>
              <w:t>авиацион ных</w:t>
            </w:r>
            <w:proofErr w:type="gramEnd"/>
            <w:r w:rsidRPr="00925F26">
              <w:rPr>
                <w:color w:val="000000" w:themeColor="text1"/>
                <w:sz w:val="16"/>
                <w:szCs w:val="16"/>
              </w:rPr>
              <w:t xml:space="preserve"> радиостанций</w:t>
            </w:r>
          </w:p>
        </w:tc>
      </w:tr>
      <w:tr w:rsidR="000F5689" w:rsidRPr="00925F26" w14:paraId="469BC4CA" w14:textId="77777777">
        <w:trPr>
          <w:trHeight w:val="173"/>
        </w:trPr>
        <w:tc>
          <w:tcPr>
            <w:tcW w:w="851" w:type="dxa"/>
          </w:tcPr>
          <w:p w14:paraId="6A965C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Наркомте кстиль</w:t>
            </w:r>
          </w:p>
          <w:p w14:paraId="256614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583ABD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12</w:t>
            </w:r>
          </w:p>
          <w:p w14:paraId="6095C3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6C69D2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Прицепы к пу леметам </w:t>
            </w:r>
          </w:p>
          <w:p w14:paraId="32AED2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77D88B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авгус та 1945 г.</w:t>
            </w:r>
          </w:p>
          <w:p w14:paraId="496A00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295E3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Запчасти к тек стильным маши нам</w:t>
            </w:r>
          </w:p>
          <w:p w14:paraId="4B4239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771DF71" w14:textId="77777777">
        <w:trPr>
          <w:trHeight w:val="182"/>
        </w:trPr>
        <w:tc>
          <w:tcPr>
            <w:tcW w:w="851" w:type="dxa"/>
          </w:tcPr>
          <w:p w14:paraId="60D957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НКПС</w:t>
            </w:r>
          </w:p>
          <w:p w14:paraId="0CEFFC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6DBC7B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Кировский машзавод</w:t>
            </w:r>
          </w:p>
          <w:p w14:paraId="72EBAE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5688EE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Насосы НДЦ</w:t>
            </w:r>
          </w:p>
          <w:p w14:paraId="5E2F73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5D8160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авгус та 1945 г.</w:t>
            </w:r>
          </w:p>
          <w:p w14:paraId="476821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0EC30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Железнодорож ные краны и домкраты </w:t>
            </w:r>
          </w:p>
          <w:p w14:paraId="001F2F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6422CBB" w14:textId="77777777">
        <w:trPr>
          <w:trHeight w:val="182"/>
        </w:trPr>
        <w:tc>
          <w:tcPr>
            <w:tcW w:w="851" w:type="dxa"/>
          </w:tcPr>
          <w:p w14:paraId="7695D5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НКнефть</w:t>
            </w:r>
          </w:p>
          <w:p w14:paraId="6D35A6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E3C8E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№424</w:t>
            </w:r>
          </w:p>
          <w:p w14:paraId="342C5A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24864C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4F255C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6765E1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октяб ря 1945 г.</w:t>
            </w:r>
          </w:p>
          <w:p w14:paraId="4A7627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31CE8E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Нефтяное обору дование (</w:t>
            </w:r>
            <w:proofErr w:type="gramStart"/>
            <w:r w:rsidRPr="00925F26">
              <w:rPr>
                <w:color w:val="000000" w:themeColor="text1"/>
                <w:sz w:val="16"/>
                <w:szCs w:val="16"/>
              </w:rPr>
              <w:t>реж.комлекты</w:t>
            </w:r>
            <w:proofErr w:type="gramEnd"/>
            <w:r w:rsidRPr="00925F26">
              <w:rPr>
                <w:color w:val="000000" w:themeColor="text1"/>
                <w:sz w:val="16"/>
                <w:szCs w:val="16"/>
              </w:rPr>
              <w:t>)</w:t>
            </w:r>
          </w:p>
          <w:p w14:paraId="5C3B33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006B9F0" w14:textId="77777777">
        <w:trPr>
          <w:trHeight w:val="173"/>
        </w:trPr>
        <w:tc>
          <w:tcPr>
            <w:tcW w:w="851" w:type="dxa"/>
          </w:tcPr>
          <w:p w14:paraId="13BAF4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w:t>
            </w:r>
          </w:p>
          <w:p w14:paraId="064861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21D79D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340</w:t>
            </w:r>
          </w:p>
          <w:p w14:paraId="67B039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6EA5B3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Поковки к опти ческим приборам </w:t>
            </w:r>
          </w:p>
          <w:p w14:paraId="65F1983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006A92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137050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56DAE4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Паровые кора бельные машины</w:t>
            </w:r>
          </w:p>
          <w:p w14:paraId="26810E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FC440D7" w14:textId="77777777">
        <w:trPr>
          <w:trHeight w:val="192"/>
        </w:trPr>
        <w:tc>
          <w:tcPr>
            <w:tcW w:w="851" w:type="dxa"/>
          </w:tcPr>
          <w:p w14:paraId="5D17F2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НКСС</w:t>
            </w:r>
          </w:p>
          <w:p w14:paraId="7ABAEE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704D14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113</w:t>
            </w:r>
          </w:p>
          <w:p w14:paraId="5805BC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6F2480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Детали артиллерии</w:t>
            </w:r>
          </w:p>
          <w:p w14:paraId="66697D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780A60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412CC2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6D2C36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Металлорежущие станки</w:t>
            </w:r>
          </w:p>
          <w:p w14:paraId="54208C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514A5CB" w14:textId="77777777">
        <w:trPr>
          <w:trHeight w:val="173"/>
        </w:trPr>
        <w:tc>
          <w:tcPr>
            <w:tcW w:w="851" w:type="dxa"/>
          </w:tcPr>
          <w:p w14:paraId="26F886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НКТМ</w:t>
            </w:r>
          </w:p>
          <w:p w14:paraId="275CC7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2D56BE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 Ленина</w:t>
            </w:r>
          </w:p>
          <w:p w14:paraId="73D038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1612FD8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7195FF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227CDB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2B0CA5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1F303A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турбовоздуходувок и паротурбин</w:t>
            </w:r>
          </w:p>
          <w:p w14:paraId="18385B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B452D42" w14:textId="77777777">
        <w:trPr>
          <w:trHeight w:val="173"/>
        </w:trPr>
        <w:tc>
          <w:tcPr>
            <w:tcW w:w="851" w:type="dxa"/>
          </w:tcPr>
          <w:p w14:paraId="442935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НКМП РСФСР</w:t>
            </w:r>
          </w:p>
          <w:p w14:paraId="7BF1EC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B0088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Красный штам повщик -</w:t>
            </w:r>
          </w:p>
          <w:p w14:paraId="2E7D79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1EA5A3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Магазины к ППШ</w:t>
            </w:r>
          </w:p>
          <w:p w14:paraId="536FE1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06218A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4FCFFA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78C28E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Эмалированная посуда</w:t>
            </w:r>
          </w:p>
          <w:p w14:paraId="5AF104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9C9ED7C" w14:textId="77777777">
        <w:trPr>
          <w:trHeight w:val="211"/>
        </w:trPr>
        <w:tc>
          <w:tcPr>
            <w:tcW w:w="851" w:type="dxa"/>
          </w:tcPr>
          <w:p w14:paraId="57E629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3D7A1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725356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«Точмех» Сокольни ческого - РПТ</w:t>
            </w:r>
          </w:p>
          <w:p w14:paraId="02216C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5746D0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Детали к писто летам-пулеметам ППШ </w:t>
            </w:r>
          </w:p>
          <w:p w14:paraId="52B6B8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46D580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07A160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54EEF2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Сборка и ремонт часов</w:t>
            </w:r>
          </w:p>
          <w:p w14:paraId="6DE448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2DC362B" w14:textId="77777777">
        <w:trPr>
          <w:trHeight w:val="182"/>
        </w:trPr>
        <w:tc>
          <w:tcPr>
            <w:tcW w:w="851" w:type="dxa"/>
          </w:tcPr>
          <w:p w14:paraId="02A8A8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_"_</w:t>
            </w:r>
          </w:p>
          <w:p w14:paraId="1B5728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79C32D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Металло- изделий</w:t>
            </w:r>
            <w:proofErr w:type="gramEnd"/>
            <w:r w:rsidRPr="00925F26">
              <w:rPr>
                <w:color w:val="000000" w:themeColor="text1"/>
                <w:sz w:val="16"/>
                <w:szCs w:val="16"/>
              </w:rPr>
              <w:t xml:space="preserve"> </w:t>
            </w:r>
            <w:proofErr w:type="gramStart"/>
            <w:r w:rsidRPr="00925F26">
              <w:rPr>
                <w:color w:val="000000" w:themeColor="text1"/>
                <w:sz w:val="16"/>
                <w:szCs w:val="16"/>
              </w:rPr>
              <w:t>Железно дорожного</w:t>
            </w:r>
            <w:proofErr w:type="gramEnd"/>
            <w:r w:rsidRPr="00925F26">
              <w:rPr>
                <w:color w:val="000000" w:themeColor="text1"/>
                <w:sz w:val="16"/>
                <w:szCs w:val="16"/>
              </w:rPr>
              <w:t xml:space="preserve"> РПТ </w:t>
            </w:r>
          </w:p>
          <w:p w14:paraId="4FB2EA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1DD8D9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Принадлежности к ППШ</w:t>
            </w:r>
          </w:p>
          <w:p w14:paraId="231445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5BC198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2D1378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5F1535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Организован в1942 г.</w:t>
            </w:r>
          </w:p>
          <w:p w14:paraId="4BB968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AFED05F" w14:textId="77777777">
        <w:trPr>
          <w:trHeight w:val="182"/>
        </w:trPr>
        <w:tc>
          <w:tcPr>
            <w:tcW w:w="851" w:type="dxa"/>
          </w:tcPr>
          <w:p w14:paraId="7516DF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98317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Металло изделий</w:t>
            </w:r>
          </w:p>
          <w:p w14:paraId="051621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Сталинско</w:t>
            </w:r>
          </w:p>
          <w:p w14:paraId="3D0A8F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 РПТ</w:t>
            </w:r>
          </w:p>
        </w:tc>
        <w:tc>
          <w:tcPr>
            <w:tcW w:w="1559" w:type="dxa"/>
          </w:tcPr>
          <w:p w14:paraId="592C39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1097C7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29BD37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Организован в 1941-42 гг.</w:t>
            </w:r>
          </w:p>
        </w:tc>
      </w:tr>
      <w:tr w:rsidR="000F5689" w:rsidRPr="00925F26" w14:paraId="14C564F0" w14:textId="77777777">
        <w:trPr>
          <w:trHeight w:val="182"/>
        </w:trPr>
        <w:tc>
          <w:tcPr>
            <w:tcW w:w="851" w:type="dxa"/>
          </w:tcPr>
          <w:p w14:paraId="7C8CB9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DA53C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Штампо- механич. з-д № 2 Таганского РПТ</w:t>
            </w:r>
          </w:p>
        </w:tc>
        <w:tc>
          <w:tcPr>
            <w:tcW w:w="1559" w:type="dxa"/>
          </w:tcPr>
          <w:p w14:paraId="06FD04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33971E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4768A6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Кроватей</w:t>
            </w:r>
          </w:p>
        </w:tc>
      </w:tr>
      <w:tr w:rsidR="000F5689" w:rsidRPr="00925F26" w14:paraId="635435E5" w14:textId="77777777">
        <w:trPr>
          <w:trHeight w:val="182"/>
        </w:trPr>
        <w:tc>
          <w:tcPr>
            <w:tcW w:w="851" w:type="dxa"/>
          </w:tcPr>
          <w:p w14:paraId="73BE0D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5D1E77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Ремонтно- механичсс кий з-д Комин терн. РПТ </w:t>
            </w:r>
          </w:p>
        </w:tc>
        <w:tc>
          <w:tcPr>
            <w:tcW w:w="1559" w:type="dxa"/>
          </w:tcPr>
          <w:p w14:paraId="74DDBC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Принадлежности к ППШ</w:t>
            </w:r>
          </w:p>
        </w:tc>
        <w:tc>
          <w:tcPr>
            <w:tcW w:w="993" w:type="dxa"/>
          </w:tcPr>
          <w:p w14:paraId="799A6D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345CB3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Пневматическое детское ружье</w:t>
            </w:r>
          </w:p>
        </w:tc>
      </w:tr>
      <w:tr w:rsidR="000F5689" w:rsidRPr="00925F26" w14:paraId="2825DA7A" w14:textId="77777777">
        <w:trPr>
          <w:trHeight w:val="182"/>
        </w:trPr>
        <w:tc>
          <w:tcPr>
            <w:tcW w:w="851" w:type="dxa"/>
          </w:tcPr>
          <w:p w14:paraId="30A488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30730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Механи ческий з-д -№ 1 Мос кворецко-го РПТ</w:t>
            </w:r>
          </w:p>
        </w:tc>
        <w:tc>
          <w:tcPr>
            <w:tcW w:w="1559" w:type="dxa"/>
          </w:tcPr>
          <w:p w14:paraId="35CC64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7D2B13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78A334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кроватей</w:t>
            </w:r>
          </w:p>
        </w:tc>
      </w:tr>
      <w:tr w:rsidR="000F5689" w:rsidRPr="00925F26" w14:paraId="6DC2B235" w14:textId="77777777">
        <w:trPr>
          <w:trHeight w:val="221"/>
        </w:trPr>
        <w:tc>
          <w:tcPr>
            <w:tcW w:w="851" w:type="dxa"/>
          </w:tcPr>
          <w:p w14:paraId="4F3B4E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14983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6C551D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ДОЗ № 8</w:t>
            </w:r>
          </w:p>
          <w:p w14:paraId="186A59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4303F09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Ложа к ППШ</w:t>
            </w:r>
          </w:p>
          <w:p w14:paraId="093229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647685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1DE19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307DA8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стульев</w:t>
            </w:r>
          </w:p>
          <w:p w14:paraId="5FC042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7549108" w14:textId="77777777">
        <w:trPr>
          <w:trHeight w:val="182"/>
        </w:trPr>
        <w:tc>
          <w:tcPr>
            <w:tcW w:w="851" w:type="dxa"/>
          </w:tcPr>
          <w:p w14:paraId="613B99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67A0CA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5344D1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ДОЗ № 1 1</w:t>
            </w:r>
          </w:p>
          <w:p w14:paraId="122D37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6BB395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6371BD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1D8D02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45A8AB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72D96E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мебели</w:t>
            </w:r>
          </w:p>
          <w:p w14:paraId="1A6B74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C223411" w14:textId="77777777">
        <w:trPr>
          <w:trHeight w:val="182"/>
        </w:trPr>
        <w:tc>
          <w:tcPr>
            <w:tcW w:w="851" w:type="dxa"/>
          </w:tcPr>
          <w:p w14:paraId="724C99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УПК при СНКРСФСР</w:t>
            </w:r>
          </w:p>
          <w:p w14:paraId="7FAD7D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3DB5F3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Вачмет союз </w:t>
            </w:r>
          </w:p>
          <w:p w14:paraId="08578D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21D42D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Кинжал-ножи</w:t>
            </w:r>
          </w:p>
          <w:p w14:paraId="63D2CA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289E81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июня 1945 г.</w:t>
            </w:r>
          </w:p>
        </w:tc>
        <w:tc>
          <w:tcPr>
            <w:tcW w:w="1701" w:type="dxa"/>
          </w:tcPr>
          <w:p w14:paraId="63CFAD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Поковки для инструментального и ножевого производства</w:t>
            </w:r>
          </w:p>
          <w:p w14:paraId="3139A9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7223B88" w14:textId="77777777">
        <w:trPr>
          <w:trHeight w:val="173"/>
        </w:trPr>
        <w:tc>
          <w:tcPr>
            <w:tcW w:w="851" w:type="dxa"/>
          </w:tcPr>
          <w:p w14:paraId="173432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487916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68527E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Артель«Велос порт»</w:t>
            </w:r>
          </w:p>
          <w:p w14:paraId="3FD27D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0921A7F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Масленки к стрелковому оружию</w:t>
            </w:r>
          </w:p>
          <w:p w14:paraId="6B3691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277391A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17A85B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30BC23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запчастей к вело сипедам</w:t>
            </w:r>
          </w:p>
          <w:p w14:paraId="3C98A5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313B952" w14:textId="77777777">
        <w:trPr>
          <w:trHeight w:val="173"/>
        </w:trPr>
        <w:tc>
          <w:tcPr>
            <w:tcW w:w="851" w:type="dxa"/>
          </w:tcPr>
          <w:p w14:paraId="0752A0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07DE95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11F21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Артель «Спайка»</w:t>
            </w:r>
          </w:p>
          <w:p w14:paraId="225F6C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41C198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Пулеметные ленты «Максима»</w:t>
            </w:r>
          </w:p>
          <w:p w14:paraId="3B0161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3EFA00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17E37A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CCC62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металло галантереи </w:t>
            </w:r>
          </w:p>
          <w:p w14:paraId="17FB69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AD787AF" w14:textId="77777777">
        <w:trPr>
          <w:trHeight w:val="182"/>
        </w:trPr>
        <w:tc>
          <w:tcPr>
            <w:tcW w:w="851" w:type="dxa"/>
          </w:tcPr>
          <w:p w14:paraId="46B953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D1F2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674E87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AA8B1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44B899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8E684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3E6476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F12E6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0325C6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B3C7E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C893136" w14:textId="77777777">
        <w:trPr>
          <w:trHeight w:val="154"/>
        </w:trPr>
        <w:tc>
          <w:tcPr>
            <w:tcW w:w="851" w:type="dxa"/>
          </w:tcPr>
          <w:p w14:paraId="797D1F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03577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2E48B8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36D3D6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77EB80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0A9B6C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29D4BA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10720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697E57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EFB5F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CAEDCC2" w14:textId="77777777">
        <w:trPr>
          <w:trHeight w:val="163"/>
        </w:trPr>
        <w:tc>
          <w:tcPr>
            <w:tcW w:w="851" w:type="dxa"/>
          </w:tcPr>
          <w:p w14:paraId="3631E9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УПК при СНКРСФСР </w:t>
            </w:r>
          </w:p>
        </w:tc>
        <w:tc>
          <w:tcPr>
            <w:tcW w:w="992" w:type="dxa"/>
          </w:tcPr>
          <w:p w14:paraId="33D935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Артель «Шомпол»</w:t>
            </w:r>
          </w:p>
          <w:p w14:paraId="2EF80E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7D5554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Принадлежности к ППШ</w:t>
            </w:r>
          </w:p>
          <w:p w14:paraId="4D8E3C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64BF29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июля1945 г.</w:t>
            </w:r>
          </w:p>
          <w:p w14:paraId="149ED04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2BA9CF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охотничьих шом полов, протирок и ершиков</w:t>
            </w:r>
          </w:p>
          <w:p w14:paraId="2C7AC3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AAB68FA" w14:textId="77777777">
        <w:trPr>
          <w:trHeight w:val="173"/>
        </w:trPr>
        <w:tc>
          <w:tcPr>
            <w:tcW w:w="851" w:type="dxa"/>
          </w:tcPr>
          <w:p w14:paraId="5B57FB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нклп</w:t>
            </w:r>
          </w:p>
          <w:p w14:paraId="5950D0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Pr>
          <w:p w14:paraId="0C691C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Ф-ка им. Розы Люк сембург</w:t>
            </w:r>
          </w:p>
          <w:p w14:paraId="3769DF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Pr>
          <w:p w14:paraId="73B601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Пулеметные ленты «Максима»</w:t>
            </w:r>
          </w:p>
          <w:p w14:paraId="286670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Pr>
          <w:p w14:paraId="7CE5062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июня1945 г.</w:t>
            </w:r>
          </w:p>
          <w:p w14:paraId="792ABE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Pr>
          <w:p w14:paraId="77D41E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швейной продук ции (одежда)</w:t>
            </w:r>
          </w:p>
          <w:p w14:paraId="1FAFE9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2FCD43C" w14:textId="77777777">
        <w:trPr>
          <w:trHeight w:val="182"/>
        </w:trPr>
        <w:tc>
          <w:tcPr>
            <w:tcW w:w="851" w:type="dxa"/>
            <w:tcBorders>
              <w:bottom w:val="single" w:sz="12" w:space="0" w:color="auto"/>
            </w:tcBorders>
          </w:tcPr>
          <w:p w14:paraId="5CE700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w:t>
            </w:r>
          </w:p>
          <w:p w14:paraId="2503A7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2" w:type="dxa"/>
            <w:tcBorders>
              <w:bottom w:val="single" w:sz="12" w:space="0" w:color="auto"/>
            </w:tcBorders>
          </w:tcPr>
          <w:p w14:paraId="182E40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205</w:t>
            </w:r>
          </w:p>
          <w:p w14:paraId="415DED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559" w:type="dxa"/>
            <w:tcBorders>
              <w:bottom w:val="single" w:sz="12" w:space="0" w:color="auto"/>
            </w:tcBorders>
          </w:tcPr>
          <w:p w14:paraId="4B5A04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ПУАЗО № 3</w:t>
            </w:r>
          </w:p>
          <w:p w14:paraId="5774F4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993" w:type="dxa"/>
            <w:tcBorders>
              <w:bottom w:val="single" w:sz="12" w:space="0" w:color="auto"/>
            </w:tcBorders>
          </w:tcPr>
          <w:p w14:paraId="3CE2CE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 июля 1945 г.</w:t>
            </w:r>
          </w:p>
          <w:p w14:paraId="641AD24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7401226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приборов управ ления огнем артиллерии</w:t>
            </w:r>
          </w:p>
          <w:p w14:paraId="6A9220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3866C2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РЦХИДНИ. Ф. 644. Оп.</w:t>
      </w:r>
    </w:p>
    <w:p w14:paraId="5941D93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ВЕРНО: Феоктистова </w:t>
      </w:r>
      <w:r w:rsidRPr="00925F26">
        <w:rPr>
          <w:color w:val="000000" w:themeColor="text1"/>
          <w:sz w:val="16"/>
          <w:szCs w:val="16"/>
          <w:lang w:val="en-US"/>
        </w:rPr>
        <w:t>I</w:t>
      </w:r>
      <w:r w:rsidRPr="00925F26">
        <w:rPr>
          <w:color w:val="000000" w:themeColor="text1"/>
          <w:sz w:val="16"/>
          <w:szCs w:val="16"/>
        </w:rPr>
        <w:t>. Д. 420. Л. 31-34. Заверенная копия</w:t>
      </w:r>
    </w:p>
    <w:p w14:paraId="4E36DC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Секретно</w:t>
      </w:r>
    </w:p>
    <w:p w14:paraId="29B562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 2</w:t>
      </w:r>
    </w:p>
    <w:p w14:paraId="2E835B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к постановлению ГОКО № 8803сс от 26 мая 1945 г.</w:t>
      </w:r>
    </w:p>
    <w:p w14:paraId="005D9F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СПИСОК</w:t>
      </w:r>
    </w:p>
    <w:p w14:paraId="22BCBD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заводов, по которым должна быть сохранена мобилизационная мощность по выпуску предметов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08"/>
        <w:gridCol w:w="1670"/>
        <w:gridCol w:w="1939"/>
        <w:gridCol w:w="1824"/>
      </w:tblGrid>
      <w:tr w:rsidR="000F5689" w:rsidRPr="00925F26" w14:paraId="7822B9F8" w14:textId="77777777">
        <w:trPr>
          <w:trHeight w:val="422"/>
        </w:trPr>
        <w:tc>
          <w:tcPr>
            <w:tcW w:w="2678" w:type="dxa"/>
            <w:gridSpan w:val="2"/>
            <w:tcBorders>
              <w:top w:val="single" w:sz="12" w:space="0" w:color="auto"/>
            </w:tcBorders>
          </w:tcPr>
          <w:p w14:paraId="3DC671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Где сохраняется мобилизационная мощность</w:t>
            </w:r>
          </w:p>
          <w:p w14:paraId="010935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3763" w:type="dxa"/>
            <w:gridSpan w:val="2"/>
            <w:tcBorders>
              <w:top w:val="single" w:sz="12" w:space="0" w:color="auto"/>
            </w:tcBorders>
          </w:tcPr>
          <w:p w14:paraId="59550E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Сохраняется мобилизационная мощность (в шт.)</w:t>
            </w:r>
          </w:p>
          <w:p w14:paraId="2F1C9F9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2B4F8E5" w14:textId="77777777">
        <w:trPr>
          <w:trHeight w:val="432"/>
        </w:trPr>
        <w:tc>
          <w:tcPr>
            <w:tcW w:w="1008" w:type="dxa"/>
          </w:tcPr>
          <w:p w14:paraId="67454A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Наркомат</w:t>
            </w:r>
          </w:p>
          <w:p w14:paraId="684F3BD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42B7BB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w:t>
            </w:r>
          </w:p>
          <w:p w14:paraId="1DA550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6A07554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Наименования изделий, подлежащих выпуску 3</w:t>
            </w:r>
          </w:p>
          <w:p w14:paraId="365F1F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7A38AC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 в месяц 4</w:t>
            </w:r>
          </w:p>
          <w:p w14:paraId="6B32B0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C890A50" w14:textId="77777777">
        <w:trPr>
          <w:trHeight w:val="403"/>
        </w:trPr>
        <w:tc>
          <w:tcPr>
            <w:tcW w:w="1008" w:type="dxa"/>
          </w:tcPr>
          <w:p w14:paraId="43BD35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НКСМ</w:t>
            </w:r>
          </w:p>
          <w:p w14:paraId="4CCD32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77071D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Завод им. Сталина</w:t>
            </w:r>
          </w:p>
          <w:p w14:paraId="66F747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377DDE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Пистолет-пулемет ППШ</w:t>
            </w:r>
          </w:p>
          <w:p w14:paraId="72C129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775F4C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50000</w:t>
            </w:r>
          </w:p>
          <w:p w14:paraId="1E173C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1448800" w14:textId="77777777">
        <w:trPr>
          <w:trHeight w:val="250"/>
        </w:trPr>
        <w:tc>
          <w:tcPr>
            <w:tcW w:w="1008" w:type="dxa"/>
          </w:tcPr>
          <w:p w14:paraId="305DA4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p w14:paraId="137A1C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4EA257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828</w:t>
            </w:r>
          </w:p>
          <w:p w14:paraId="450C15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7BB1BD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Пистолет-пулемет ПП-43</w:t>
            </w:r>
          </w:p>
          <w:p w14:paraId="6CC65F8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114AA0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25000</w:t>
            </w:r>
          </w:p>
          <w:p w14:paraId="7700B5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28C13EA" w14:textId="77777777">
        <w:trPr>
          <w:trHeight w:val="259"/>
        </w:trPr>
        <w:tc>
          <w:tcPr>
            <w:tcW w:w="1008" w:type="dxa"/>
          </w:tcPr>
          <w:p w14:paraId="6D224F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p w14:paraId="58610E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1E779D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760 и</w:t>
            </w:r>
          </w:p>
          <w:p w14:paraId="6DD1AC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1FDA73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 мм минометы</w:t>
            </w:r>
          </w:p>
          <w:p w14:paraId="1A95171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64A43D6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w:t>
            </w:r>
          </w:p>
          <w:p w14:paraId="0BD557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62EB4B3" w14:textId="77777777">
        <w:trPr>
          <w:trHeight w:val="374"/>
        </w:trPr>
        <w:tc>
          <w:tcPr>
            <w:tcW w:w="1008" w:type="dxa"/>
          </w:tcPr>
          <w:p w14:paraId="22E4B6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p w14:paraId="3B2BB3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168C79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805 Заводы № 720, 746 и 718</w:t>
            </w:r>
          </w:p>
          <w:p w14:paraId="2625F1D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18BAA9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 мм минометы</w:t>
            </w:r>
          </w:p>
          <w:p w14:paraId="4BFEE3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0C6B1D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750</w:t>
            </w:r>
          </w:p>
          <w:p w14:paraId="044F6D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2CEDBCA" w14:textId="77777777">
        <w:trPr>
          <w:trHeight w:val="202"/>
        </w:trPr>
        <w:tc>
          <w:tcPr>
            <w:tcW w:w="1008" w:type="dxa"/>
          </w:tcPr>
          <w:p w14:paraId="78D71B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w:t>
            </w:r>
          </w:p>
          <w:p w14:paraId="6F4FB3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5FA8AB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205, 192</w:t>
            </w:r>
          </w:p>
          <w:p w14:paraId="64C44D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59D5AC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ПУАЗО № 4</w:t>
            </w:r>
          </w:p>
          <w:p w14:paraId="753C3A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228C0B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71B11D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D1436E8" w14:textId="77777777">
        <w:trPr>
          <w:trHeight w:val="192"/>
        </w:trPr>
        <w:tc>
          <w:tcPr>
            <w:tcW w:w="1008" w:type="dxa"/>
          </w:tcPr>
          <w:p w14:paraId="44D29F3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w:t>
            </w:r>
          </w:p>
          <w:p w14:paraId="5F33AC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5C63B2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192</w:t>
            </w:r>
          </w:p>
          <w:p w14:paraId="77C382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226538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Прожзвук С-2</w:t>
            </w:r>
          </w:p>
          <w:p w14:paraId="2032D6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595E1C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p w14:paraId="0A8360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E6EE893" w14:textId="77777777">
        <w:trPr>
          <w:trHeight w:val="173"/>
        </w:trPr>
        <w:tc>
          <w:tcPr>
            <w:tcW w:w="1008" w:type="dxa"/>
          </w:tcPr>
          <w:p w14:paraId="3B8B56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w:t>
            </w:r>
          </w:p>
          <w:p w14:paraId="6B8D94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3198C5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708 и703</w:t>
            </w:r>
          </w:p>
          <w:p w14:paraId="4CD092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788E6C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Принимающие к ПУАЗО</w:t>
            </w:r>
          </w:p>
          <w:p w14:paraId="0ADE17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053A31A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w:t>
            </w:r>
          </w:p>
          <w:p w14:paraId="248F74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57E53A0" w14:textId="77777777">
        <w:trPr>
          <w:trHeight w:val="192"/>
        </w:trPr>
        <w:tc>
          <w:tcPr>
            <w:tcW w:w="1008" w:type="dxa"/>
          </w:tcPr>
          <w:p w14:paraId="6FDD275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нксп</w:t>
            </w:r>
          </w:p>
          <w:p w14:paraId="123C24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284E5D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707</w:t>
            </w:r>
          </w:p>
          <w:p w14:paraId="616084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4ECC4D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Звукометр. Станции«С43М-36»</w:t>
            </w:r>
          </w:p>
          <w:p w14:paraId="0ED872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20BE82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w:t>
            </w:r>
          </w:p>
          <w:p w14:paraId="47AD11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FAE3E4E" w14:textId="77777777">
        <w:trPr>
          <w:trHeight w:val="240"/>
        </w:trPr>
        <w:tc>
          <w:tcPr>
            <w:tcW w:w="1008" w:type="dxa"/>
          </w:tcPr>
          <w:p w14:paraId="6A5AFCF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p w14:paraId="3FA843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35421E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807</w:t>
            </w:r>
          </w:p>
          <w:p w14:paraId="44A68F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44EB4A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ПУАЗО № 3-4</w:t>
            </w:r>
          </w:p>
          <w:p w14:paraId="118EBE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2C217E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w:t>
            </w:r>
          </w:p>
          <w:p w14:paraId="1C0039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7100F4B" w14:textId="77777777">
        <w:trPr>
          <w:trHeight w:val="202"/>
        </w:trPr>
        <w:tc>
          <w:tcPr>
            <w:tcW w:w="1008" w:type="dxa"/>
          </w:tcPr>
          <w:p w14:paraId="6A99181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нкэп</w:t>
            </w:r>
          </w:p>
          <w:p w14:paraId="0E3F12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24AE51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686</w:t>
            </w:r>
          </w:p>
          <w:p w14:paraId="4E7DE9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4F85CB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Зарядные </w:t>
            </w:r>
            <w:proofErr w:type="gramStart"/>
            <w:r w:rsidRPr="00925F26">
              <w:rPr>
                <w:color w:val="000000" w:themeColor="text1"/>
                <w:sz w:val="16"/>
                <w:szCs w:val="16"/>
              </w:rPr>
              <w:t>агрегаты«</w:t>
            </w:r>
            <w:proofErr w:type="gramEnd"/>
            <w:r w:rsidRPr="00925F26">
              <w:rPr>
                <w:color w:val="000000" w:themeColor="text1"/>
                <w:sz w:val="16"/>
                <w:szCs w:val="16"/>
              </w:rPr>
              <w:t>АЗ-1»</w:t>
            </w:r>
          </w:p>
          <w:p w14:paraId="5ADEAEB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2BE2BD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3479FD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0E0471D" w14:textId="77777777">
        <w:trPr>
          <w:trHeight w:val="230"/>
        </w:trPr>
        <w:tc>
          <w:tcPr>
            <w:tcW w:w="1008" w:type="dxa"/>
          </w:tcPr>
          <w:p w14:paraId="4E279D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нкэп</w:t>
            </w:r>
          </w:p>
          <w:p w14:paraId="60C07E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53D2DC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686 и 644</w:t>
            </w:r>
          </w:p>
          <w:p w14:paraId="5B6161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41DFBD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Прохстанции 3-15-11 и 3-15-12</w:t>
            </w:r>
          </w:p>
          <w:p w14:paraId="3F6312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56D14B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w:t>
            </w:r>
          </w:p>
          <w:p w14:paraId="364930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1802294" w14:textId="77777777">
        <w:trPr>
          <w:trHeight w:val="221"/>
        </w:trPr>
        <w:tc>
          <w:tcPr>
            <w:tcW w:w="1008" w:type="dxa"/>
          </w:tcPr>
          <w:p w14:paraId="2714E5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нкпсм</w:t>
            </w:r>
          </w:p>
          <w:p w14:paraId="67BCC6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5014A7C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233 и 450</w:t>
            </w:r>
          </w:p>
          <w:p w14:paraId="43762E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27DEF1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Отражатели </w:t>
            </w:r>
            <w:proofErr w:type="gramStart"/>
            <w:r w:rsidRPr="00925F26">
              <w:rPr>
                <w:color w:val="000000" w:themeColor="text1"/>
                <w:sz w:val="16"/>
                <w:szCs w:val="16"/>
              </w:rPr>
              <w:t>зеркаль ные</w:t>
            </w:r>
            <w:proofErr w:type="gramEnd"/>
            <w:r w:rsidRPr="00925F26">
              <w:rPr>
                <w:color w:val="000000" w:themeColor="text1"/>
                <w:sz w:val="16"/>
                <w:szCs w:val="16"/>
              </w:rPr>
              <w:t xml:space="preserve"> 150 см </w:t>
            </w:r>
          </w:p>
        </w:tc>
        <w:tc>
          <w:tcPr>
            <w:tcW w:w="1824" w:type="dxa"/>
          </w:tcPr>
          <w:p w14:paraId="2EE270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p w14:paraId="400095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0120504" w14:textId="77777777">
        <w:trPr>
          <w:trHeight w:val="259"/>
        </w:trPr>
        <w:tc>
          <w:tcPr>
            <w:tcW w:w="1008" w:type="dxa"/>
          </w:tcPr>
          <w:p w14:paraId="5BBB75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НКРП</w:t>
            </w:r>
          </w:p>
          <w:p w14:paraId="419EA6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7E6259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736 и 735</w:t>
            </w:r>
          </w:p>
          <w:p w14:paraId="1E029BD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6522226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шин «ГК»</w:t>
            </w:r>
          </w:p>
          <w:p w14:paraId="698EE7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2A5A56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20000</w:t>
            </w:r>
          </w:p>
          <w:p w14:paraId="66B81B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E9F0FCE" w14:textId="77777777">
        <w:trPr>
          <w:trHeight w:val="230"/>
        </w:trPr>
        <w:tc>
          <w:tcPr>
            <w:tcW w:w="1008" w:type="dxa"/>
          </w:tcPr>
          <w:p w14:paraId="0E573D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нктп</w:t>
            </w:r>
          </w:p>
          <w:p w14:paraId="43DE2E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670" w:type="dxa"/>
          </w:tcPr>
          <w:p w14:paraId="3DB1E6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183</w:t>
            </w:r>
          </w:p>
          <w:p w14:paraId="6CECA6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939" w:type="dxa"/>
          </w:tcPr>
          <w:p w14:paraId="4DC0AE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Артиллерийские передки -</w:t>
            </w:r>
          </w:p>
          <w:p w14:paraId="73ED79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824" w:type="dxa"/>
          </w:tcPr>
          <w:p w14:paraId="786C55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1700</w:t>
            </w:r>
          </w:p>
          <w:p w14:paraId="6F1974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F638F3D" w14:textId="77777777">
        <w:trPr>
          <w:trHeight w:val="230"/>
        </w:trPr>
        <w:tc>
          <w:tcPr>
            <w:tcW w:w="1008" w:type="dxa"/>
          </w:tcPr>
          <w:p w14:paraId="772E39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tc>
        <w:tc>
          <w:tcPr>
            <w:tcW w:w="1670" w:type="dxa"/>
          </w:tcPr>
          <w:p w14:paraId="436AC5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702</w:t>
            </w:r>
          </w:p>
        </w:tc>
        <w:tc>
          <w:tcPr>
            <w:tcW w:w="1939" w:type="dxa"/>
          </w:tcPr>
          <w:p w14:paraId="721C54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Артиллерийские передки</w:t>
            </w:r>
          </w:p>
        </w:tc>
        <w:tc>
          <w:tcPr>
            <w:tcW w:w="1824" w:type="dxa"/>
          </w:tcPr>
          <w:p w14:paraId="43DAE3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w:t>
            </w:r>
          </w:p>
        </w:tc>
      </w:tr>
      <w:tr w:rsidR="000F5689" w:rsidRPr="00925F26" w14:paraId="6D1D692F" w14:textId="77777777">
        <w:trPr>
          <w:trHeight w:val="230"/>
        </w:trPr>
        <w:tc>
          <w:tcPr>
            <w:tcW w:w="1008" w:type="dxa"/>
          </w:tcPr>
          <w:p w14:paraId="697AF2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НКМБ</w:t>
            </w:r>
          </w:p>
        </w:tc>
        <w:tc>
          <w:tcPr>
            <w:tcW w:w="1670" w:type="dxa"/>
          </w:tcPr>
          <w:p w14:paraId="2CBE7B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Заводы № 702 и 718</w:t>
            </w:r>
          </w:p>
        </w:tc>
        <w:tc>
          <w:tcPr>
            <w:tcW w:w="1939" w:type="dxa"/>
          </w:tcPr>
          <w:p w14:paraId="229C495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Минометные хода</w:t>
            </w:r>
          </w:p>
        </w:tc>
        <w:tc>
          <w:tcPr>
            <w:tcW w:w="1824" w:type="dxa"/>
          </w:tcPr>
          <w:p w14:paraId="60B725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750</w:t>
            </w:r>
          </w:p>
        </w:tc>
      </w:tr>
      <w:tr w:rsidR="000F5689" w:rsidRPr="00925F26" w14:paraId="0549B0D1" w14:textId="77777777">
        <w:trPr>
          <w:trHeight w:val="230"/>
        </w:trPr>
        <w:tc>
          <w:tcPr>
            <w:tcW w:w="1008" w:type="dxa"/>
          </w:tcPr>
          <w:p w14:paraId="1C5914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нкмв</w:t>
            </w:r>
          </w:p>
        </w:tc>
        <w:tc>
          <w:tcPr>
            <w:tcW w:w="1670" w:type="dxa"/>
          </w:tcPr>
          <w:p w14:paraId="2081D4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 702</w:t>
            </w:r>
          </w:p>
        </w:tc>
        <w:tc>
          <w:tcPr>
            <w:tcW w:w="1939" w:type="dxa"/>
          </w:tcPr>
          <w:p w14:paraId="2FD05B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Передки к минометам</w:t>
            </w:r>
          </w:p>
        </w:tc>
        <w:tc>
          <w:tcPr>
            <w:tcW w:w="1824" w:type="dxa"/>
          </w:tcPr>
          <w:p w14:paraId="675364A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w:t>
            </w:r>
          </w:p>
        </w:tc>
      </w:tr>
      <w:tr w:rsidR="000F5689" w:rsidRPr="00925F26" w14:paraId="65C09F24" w14:textId="77777777">
        <w:trPr>
          <w:trHeight w:val="230"/>
        </w:trPr>
        <w:tc>
          <w:tcPr>
            <w:tcW w:w="1008" w:type="dxa"/>
            <w:tcBorders>
              <w:bottom w:val="single" w:sz="12" w:space="0" w:color="auto"/>
            </w:tcBorders>
          </w:tcPr>
          <w:p w14:paraId="7710FA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нктм</w:t>
            </w:r>
          </w:p>
        </w:tc>
        <w:tc>
          <w:tcPr>
            <w:tcW w:w="1670" w:type="dxa"/>
            <w:tcBorders>
              <w:bottom w:val="single" w:sz="12" w:space="0" w:color="auto"/>
            </w:tcBorders>
          </w:tcPr>
          <w:p w14:paraId="6160F9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 им. Куйбышева (Иркутск)</w:t>
            </w:r>
          </w:p>
        </w:tc>
        <w:tc>
          <w:tcPr>
            <w:tcW w:w="1939" w:type="dxa"/>
            <w:tcBorders>
              <w:bottom w:val="single" w:sz="12" w:space="0" w:color="auto"/>
            </w:tcBorders>
          </w:tcPr>
          <w:p w14:paraId="605292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горный миномет</w:t>
            </w:r>
          </w:p>
        </w:tc>
        <w:tc>
          <w:tcPr>
            <w:tcW w:w="1824" w:type="dxa"/>
            <w:tcBorders>
              <w:bottom w:val="single" w:sz="12" w:space="0" w:color="auto"/>
            </w:tcBorders>
          </w:tcPr>
          <w:p w14:paraId="5ACC2B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r>
    </w:tbl>
    <w:p w14:paraId="29A609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Верно: Феоктистова РЦХИДНИ. Ф. 644. Оп. 1. Д. 420. Л. 35-36. Заверенная копия.</w:t>
      </w:r>
    </w:p>
    <w:p w14:paraId="61BB39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Далее помещены приложения: № 3 — План производ</w:t>
      </w:r>
      <w:r w:rsidRPr="00925F26">
        <w:rPr>
          <w:color w:val="000000" w:themeColor="text1"/>
          <w:sz w:val="16"/>
          <w:szCs w:val="16"/>
        </w:rPr>
        <w:softHyphen/>
        <w:t>ства и поставки узловых сборок и деталей к ППШ пред</w:t>
      </w:r>
      <w:r w:rsidRPr="00925F26">
        <w:rPr>
          <w:color w:val="000000" w:themeColor="text1"/>
          <w:sz w:val="16"/>
          <w:szCs w:val="16"/>
        </w:rPr>
        <w:softHyphen/>
        <w:t>приятиям, изготовляющим их в июне-июле 1945 г. для ремонтного управления ГАУ КА; № 4 — Ведомость коо</w:t>
      </w:r>
      <w:r w:rsidRPr="00925F26">
        <w:rPr>
          <w:color w:val="000000" w:themeColor="text1"/>
          <w:sz w:val="16"/>
          <w:szCs w:val="16"/>
        </w:rPr>
        <w:softHyphen/>
        <w:t>перированных изделий и материалов, надлежащих по</w:t>
      </w:r>
      <w:r w:rsidRPr="00925F26">
        <w:rPr>
          <w:color w:val="000000" w:themeColor="text1"/>
          <w:sz w:val="16"/>
          <w:szCs w:val="16"/>
        </w:rPr>
        <w:softHyphen/>
        <w:t>ставке заводам, производящим предметы вооружения в июне-июле 1945 г.; № 5 — Ведомости кооперированных изделий и материалов, подлежащих поставке заводам Наркомата Вооружения в июне-июле 1945 г. Поставщи</w:t>
      </w:r>
      <w:r w:rsidRPr="00925F26">
        <w:rPr>
          <w:color w:val="000000" w:themeColor="text1"/>
          <w:sz w:val="16"/>
          <w:szCs w:val="16"/>
        </w:rPr>
        <w:softHyphen/>
        <w:t>ки: Наркомтанкопром, Наркомрезинпром, Наркомэлект-ропром, Наркомавиапром, Наркомбоеприпасов, Нар</w:t>
      </w:r>
      <w:r w:rsidRPr="00925F26">
        <w:rPr>
          <w:color w:val="000000" w:themeColor="text1"/>
          <w:sz w:val="16"/>
          <w:szCs w:val="16"/>
        </w:rPr>
        <w:softHyphen/>
        <w:t>ком.мином.вооружения; далее — ведомость поставки кис</w:t>
      </w:r>
      <w:r w:rsidRPr="00925F26">
        <w:rPr>
          <w:color w:val="000000" w:themeColor="text1"/>
          <w:sz w:val="16"/>
          <w:szCs w:val="16"/>
        </w:rPr>
        <w:softHyphen/>
        <w:t>лорода и ацетилена заводам по производству вооружений и ведомости по различным другим видам поставок.</w:t>
      </w:r>
    </w:p>
    <w:p w14:paraId="6699ACC7"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РЦХИДНИ. Ф. 644. Оп. 1. Д. 420. Л. 37-80. Заверенные копии (11461).</w:t>
      </w:r>
    </w:p>
    <w:p w14:paraId="308640DC" w14:textId="77777777" w:rsidR="00665165" w:rsidRPr="00925F26" w:rsidRDefault="00665165" w:rsidP="00925F26">
      <w:pPr>
        <w:widowControl w:val="0"/>
        <w:autoSpaceDE w:val="0"/>
        <w:autoSpaceDN w:val="0"/>
        <w:adjustRightInd w:val="0"/>
        <w:jc w:val="both"/>
        <w:rPr>
          <w:color w:val="000000" w:themeColor="text1"/>
          <w:sz w:val="16"/>
          <w:szCs w:val="16"/>
        </w:rPr>
      </w:pPr>
    </w:p>
    <w:p w14:paraId="297307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8804 О мероприятиях по перестройке промышленности в связи с сокращением производства боеприпасов. РГАНИР, Фонд ГКО, д. 420, лл. 81-89, 90-156 (11012).</w:t>
      </w:r>
    </w:p>
    <w:p w14:paraId="3CEDA97D" w14:textId="77777777" w:rsidR="00665165" w:rsidRPr="00925F26" w:rsidRDefault="00665165" w:rsidP="00925F26">
      <w:pPr>
        <w:autoSpaceDE w:val="0"/>
        <w:autoSpaceDN w:val="0"/>
        <w:adjustRightInd w:val="0"/>
        <w:jc w:val="both"/>
        <w:rPr>
          <w:color w:val="000000" w:themeColor="text1"/>
          <w:sz w:val="16"/>
          <w:szCs w:val="16"/>
        </w:rPr>
      </w:pPr>
    </w:p>
    <w:p w14:paraId="048BF7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 мая 1945 г. вышло Постановление ГОКО №-</w:t>
      </w:r>
      <w:proofErr w:type="gramStart"/>
      <w:r w:rsidRPr="00925F26">
        <w:rPr>
          <w:color w:val="000000" w:themeColor="text1"/>
          <w:sz w:val="16"/>
          <w:szCs w:val="16"/>
        </w:rPr>
        <w:t>8804сс О</w:t>
      </w:r>
      <w:proofErr w:type="gramEnd"/>
      <w:r w:rsidRPr="00925F26">
        <w:rPr>
          <w:color w:val="000000" w:themeColor="text1"/>
          <w:sz w:val="16"/>
          <w:szCs w:val="16"/>
        </w:rPr>
        <w:t xml:space="preserve"> мероприятиях по перестройке промышленности в связи с сокращением производства боеприпасов</w:t>
      </w:r>
    </w:p>
    <w:p w14:paraId="089660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Строго секретно</w:t>
      </w:r>
    </w:p>
    <w:p w14:paraId="0BF653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03F246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0088DE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В связи с уменьшением плана поставки боеприпасов Наркомату Обороны и Наркомвоенморфлоту утвердить план производства элементов боеприпасов на июнь и июль 1945 г. позаводно и в количестве согласно прило</w:t>
      </w:r>
      <w:r w:rsidRPr="00925F26">
        <w:rPr>
          <w:color w:val="000000" w:themeColor="text1"/>
          <w:sz w:val="16"/>
          <w:szCs w:val="16"/>
        </w:rPr>
        <w:softHyphen/>
        <w:t>жениям № 1-15, в том числе (в тыс.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1581"/>
        <w:gridCol w:w="1581"/>
      </w:tblGrid>
      <w:tr w:rsidR="000F5689" w:rsidRPr="00925F26" w14:paraId="4051951D" w14:textId="77777777">
        <w:tc>
          <w:tcPr>
            <w:tcW w:w="8046" w:type="dxa"/>
            <w:tcBorders>
              <w:top w:val="single" w:sz="12" w:space="0" w:color="auto"/>
            </w:tcBorders>
          </w:tcPr>
          <w:p w14:paraId="1DD8EB18" w14:textId="77777777" w:rsidR="00665165" w:rsidRPr="00925F26" w:rsidRDefault="00665165" w:rsidP="00925F26">
            <w:pPr>
              <w:autoSpaceDE w:val="0"/>
              <w:autoSpaceDN w:val="0"/>
              <w:adjustRightInd w:val="0"/>
              <w:jc w:val="both"/>
              <w:rPr>
                <w:color w:val="000000" w:themeColor="text1"/>
                <w:sz w:val="16"/>
                <w:szCs w:val="16"/>
              </w:rPr>
            </w:pPr>
          </w:p>
        </w:tc>
        <w:tc>
          <w:tcPr>
            <w:tcW w:w="1581" w:type="dxa"/>
            <w:tcBorders>
              <w:top w:val="single" w:sz="12" w:space="0" w:color="auto"/>
            </w:tcBorders>
          </w:tcPr>
          <w:p w14:paraId="25BFB2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 на июнь</w:t>
            </w:r>
          </w:p>
        </w:tc>
        <w:tc>
          <w:tcPr>
            <w:tcW w:w="1581" w:type="dxa"/>
            <w:tcBorders>
              <w:top w:val="single" w:sz="12" w:space="0" w:color="auto"/>
            </w:tcBorders>
          </w:tcPr>
          <w:p w14:paraId="4622CE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План на июль</w:t>
            </w:r>
          </w:p>
        </w:tc>
      </w:tr>
      <w:tr w:rsidR="000F5689" w:rsidRPr="00925F26" w14:paraId="3DD22488" w14:textId="77777777">
        <w:tc>
          <w:tcPr>
            <w:tcW w:w="8046" w:type="dxa"/>
          </w:tcPr>
          <w:p w14:paraId="14D244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Корпусов 20 мм снарядов</w:t>
            </w:r>
          </w:p>
        </w:tc>
        <w:tc>
          <w:tcPr>
            <w:tcW w:w="1581" w:type="dxa"/>
          </w:tcPr>
          <w:p w14:paraId="619F15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w:t>
            </w:r>
          </w:p>
        </w:tc>
        <w:tc>
          <w:tcPr>
            <w:tcW w:w="1581" w:type="dxa"/>
          </w:tcPr>
          <w:p w14:paraId="2EF666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w:t>
            </w:r>
          </w:p>
        </w:tc>
      </w:tr>
      <w:tr w:rsidR="000F5689" w:rsidRPr="00925F26" w14:paraId="43DB926E" w14:textId="77777777">
        <w:tc>
          <w:tcPr>
            <w:tcW w:w="8046" w:type="dxa"/>
          </w:tcPr>
          <w:p w14:paraId="41D044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Корпусов 23 мм снарядов</w:t>
            </w:r>
          </w:p>
        </w:tc>
        <w:tc>
          <w:tcPr>
            <w:tcW w:w="1581" w:type="dxa"/>
          </w:tcPr>
          <w:p w14:paraId="6DDC28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2050</w:t>
            </w:r>
          </w:p>
        </w:tc>
        <w:tc>
          <w:tcPr>
            <w:tcW w:w="1581" w:type="dxa"/>
          </w:tcPr>
          <w:p w14:paraId="32034E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1950</w:t>
            </w:r>
          </w:p>
        </w:tc>
      </w:tr>
      <w:tr w:rsidR="000F5689" w:rsidRPr="00925F26" w14:paraId="3B1A2CB9" w14:textId="77777777">
        <w:tc>
          <w:tcPr>
            <w:tcW w:w="8046" w:type="dxa"/>
          </w:tcPr>
          <w:p w14:paraId="598D5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 мм</w:t>
            </w:r>
          </w:p>
        </w:tc>
        <w:tc>
          <w:tcPr>
            <w:tcW w:w="1581" w:type="dxa"/>
          </w:tcPr>
          <w:p w14:paraId="1F4DB0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1581" w:type="dxa"/>
          </w:tcPr>
          <w:p w14:paraId="02881F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r>
      <w:tr w:rsidR="000F5689" w:rsidRPr="00925F26" w14:paraId="4C43B1E3" w14:textId="77777777">
        <w:tc>
          <w:tcPr>
            <w:tcW w:w="8046" w:type="dxa"/>
          </w:tcPr>
          <w:p w14:paraId="76329A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581" w:type="dxa"/>
          </w:tcPr>
          <w:p w14:paraId="0E58B4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1581" w:type="dxa"/>
          </w:tcPr>
          <w:p w14:paraId="7C11A7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r>
      <w:tr w:rsidR="000F5689" w:rsidRPr="00925F26" w14:paraId="7EF4AC99" w14:textId="77777777">
        <w:tc>
          <w:tcPr>
            <w:tcW w:w="8046" w:type="dxa"/>
          </w:tcPr>
          <w:p w14:paraId="5C0C22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w:t>
            </w:r>
          </w:p>
        </w:tc>
        <w:tc>
          <w:tcPr>
            <w:tcW w:w="1581" w:type="dxa"/>
          </w:tcPr>
          <w:p w14:paraId="5898B0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c>
          <w:tcPr>
            <w:tcW w:w="1581" w:type="dxa"/>
          </w:tcPr>
          <w:p w14:paraId="74A527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w:t>
            </w:r>
          </w:p>
        </w:tc>
      </w:tr>
      <w:tr w:rsidR="000F5689" w:rsidRPr="00925F26" w14:paraId="3878DBC4" w14:textId="77777777">
        <w:tc>
          <w:tcPr>
            <w:tcW w:w="8046" w:type="dxa"/>
          </w:tcPr>
          <w:p w14:paraId="0B8E74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w:t>
            </w:r>
          </w:p>
        </w:tc>
        <w:tc>
          <w:tcPr>
            <w:tcW w:w="1581" w:type="dxa"/>
          </w:tcPr>
          <w:p w14:paraId="731B03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780</w:t>
            </w:r>
          </w:p>
        </w:tc>
        <w:tc>
          <w:tcPr>
            <w:tcW w:w="1581" w:type="dxa"/>
          </w:tcPr>
          <w:p w14:paraId="6E5470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765</w:t>
            </w:r>
          </w:p>
        </w:tc>
      </w:tr>
      <w:tr w:rsidR="000F5689" w:rsidRPr="00925F26" w14:paraId="1937E5EB" w14:textId="77777777">
        <w:tc>
          <w:tcPr>
            <w:tcW w:w="8046" w:type="dxa"/>
          </w:tcPr>
          <w:p w14:paraId="0F93BF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581" w:type="dxa"/>
          </w:tcPr>
          <w:p w14:paraId="3237A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w:t>
            </w:r>
          </w:p>
        </w:tc>
        <w:tc>
          <w:tcPr>
            <w:tcW w:w="1581" w:type="dxa"/>
          </w:tcPr>
          <w:p w14:paraId="1D0D10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303</w:t>
            </w:r>
          </w:p>
        </w:tc>
      </w:tr>
      <w:tr w:rsidR="000F5689" w:rsidRPr="00925F26" w14:paraId="59AE079D" w14:textId="77777777">
        <w:tc>
          <w:tcPr>
            <w:tcW w:w="8046" w:type="dxa"/>
          </w:tcPr>
          <w:p w14:paraId="107C30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Корпусов 100 мм снарядов</w:t>
            </w:r>
          </w:p>
        </w:tc>
        <w:tc>
          <w:tcPr>
            <w:tcW w:w="1581" w:type="dxa"/>
          </w:tcPr>
          <w:p w14:paraId="076A01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c>
          <w:tcPr>
            <w:tcW w:w="1581" w:type="dxa"/>
          </w:tcPr>
          <w:p w14:paraId="08C070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w:t>
            </w:r>
          </w:p>
        </w:tc>
      </w:tr>
      <w:tr w:rsidR="000F5689" w:rsidRPr="00925F26" w14:paraId="475B8FC0" w14:textId="77777777">
        <w:tc>
          <w:tcPr>
            <w:tcW w:w="8046" w:type="dxa"/>
          </w:tcPr>
          <w:p w14:paraId="0466E92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w:t>
            </w:r>
          </w:p>
        </w:tc>
        <w:tc>
          <w:tcPr>
            <w:tcW w:w="1581" w:type="dxa"/>
          </w:tcPr>
          <w:p w14:paraId="7B0C46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450</w:t>
            </w:r>
          </w:p>
        </w:tc>
        <w:tc>
          <w:tcPr>
            <w:tcW w:w="1581" w:type="dxa"/>
          </w:tcPr>
          <w:p w14:paraId="21013B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450</w:t>
            </w:r>
          </w:p>
        </w:tc>
      </w:tr>
      <w:tr w:rsidR="000F5689" w:rsidRPr="00925F26" w14:paraId="41982D11" w14:textId="77777777">
        <w:tc>
          <w:tcPr>
            <w:tcW w:w="8046" w:type="dxa"/>
          </w:tcPr>
          <w:p w14:paraId="1EA697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152</w:t>
            </w:r>
          </w:p>
        </w:tc>
        <w:tc>
          <w:tcPr>
            <w:tcW w:w="1581" w:type="dxa"/>
          </w:tcPr>
          <w:p w14:paraId="7801D4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203</w:t>
            </w:r>
          </w:p>
        </w:tc>
        <w:tc>
          <w:tcPr>
            <w:tcW w:w="1581" w:type="dxa"/>
          </w:tcPr>
          <w:p w14:paraId="79475B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203</w:t>
            </w:r>
          </w:p>
        </w:tc>
      </w:tr>
      <w:tr w:rsidR="000F5689" w:rsidRPr="00925F26" w14:paraId="32A1000B" w14:textId="77777777">
        <w:tc>
          <w:tcPr>
            <w:tcW w:w="8046" w:type="dxa"/>
          </w:tcPr>
          <w:p w14:paraId="0605CE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203</w:t>
            </w:r>
          </w:p>
        </w:tc>
        <w:tc>
          <w:tcPr>
            <w:tcW w:w="1581" w:type="dxa"/>
          </w:tcPr>
          <w:p w14:paraId="27C833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c>
          <w:tcPr>
            <w:tcW w:w="1581" w:type="dxa"/>
          </w:tcPr>
          <w:p w14:paraId="4675DC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r>
      <w:tr w:rsidR="000F5689" w:rsidRPr="00925F26" w14:paraId="14D8E10D" w14:textId="77777777">
        <w:tc>
          <w:tcPr>
            <w:tcW w:w="8046" w:type="dxa"/>
          </w:tcPr>
          <w:p w14:paraId="658B7C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снарядов М-13ДЛ</w:t>
            </w:r>
          </w:p>
        </w:tc>
        <w:tc>
          <w:tcPr>
            <w:tcW w:w="1581" w:type="dxa"/>
          </w:tcPr>
          <w:p w14:paraId="332A0C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w:t>
            </w:r>
          </w:p>
        </w:tc>
        <w:tc>
          <w:tcPr>
            <w:tcW w:w="1581" w:type="dxa"/>
          </w:tcPr>
          <w:p w14:paraId="6F330F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58E447BA" w14:textId="77777777">
        <w:tc>
          <w:tcPr>
            <w:tcW w:w="8046" w:type="dxa"/>
          </w:tcPr>
          <w:p w14:paraId="5F3E64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М-31</w:t>
            </w:r>
          </w:p>
        </w:tc>
        <w:tc>
          <w:tcPr>
            <w:tcW w:w="1581" w:type="dxa"/>
          </w:tcPr>
          <w:p w14:paraId="77A9EA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c>
          <w:tcPr>
            <w:tcW w:w="1581" w:type="dxa"/>
          </w:tcPr>
          <w:p w14:paraId="4C9A5C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1305676C" w14:textId="77777777">
        <w:tc>
          <w:tcPr>
            <w:tcW w:w="8046" w:type="dxa"/>
          </w:tcPr>
          <w:p w14:paraId="48A083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w:t>
            </w:r>
          </w:p>
        </w:tc>
        <w:tc>
          <w:tcPr>
            <w:tcW w:w="1581" w:type="dxa"/>
          </w:tcPr>
          <w:p w14:paraId="50E4E3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c>
          <w:tcPr>
            <w:tcW w:w="1581" w:type="dxa"/>
          </w:tcPr>
          <w:p w14:paraId="77EE7B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w:t>
            </w:r>
          </w:p>
        </w:tc>
      </w:tr>
      <w:tr w:rsidR="000F5689" w:rsidRPr="00925F26" w14:paraId="27175312" w14:textId="77777777">
        <w:tc>
          <w:tcPr>
            <w:tcW w:w="8046" w:type="dxa"/>
          </w:tcPr>
          <w:p w14:paraId="515D66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120</w:t>
            </w:r>
          </w:p>
        </w:tc>
        <w:tc>
          <w:tcPr>
            <w:tcW w:w="1581" w:type="dxa"/>
          </w:tcPr>
          <w:p w14:paraId="072FA6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w:t>
            </w:r>
          </w:p>
        </w:tc>
        <w:tc>
          <w:tcPr>
            <w:tcW w:w="1581" w:type="dxa"/>
          </w:tcPr>
          <w:p w14:paraId="4A046E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155</w:t>
            </w:r>
          </w:p>
        </w:tc>
      </w:tr>
      <w:tr w:rsidR="000F5689" w:rsidRPr="00925F26" w14:paraId="14C79FF6" w14:textId="77777777">
        <w:tc>
          <w:tcPr>
            <w:tcW w:w="8046" w:type="dxa"/>
          </w:tcPr>
          <w:p w14:paraId="44DA9A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w:t>
            </w:r>
          </w:p>
        </w:tc>
        <w:tc>
          <w:tcPr>
            <w:tcW w:w="1581" w:type="dxa"/>
          </w:tcPr>
          <w:p w14:paraId="1154C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w:t>
            </w:r>
          </w:p>
        </w:tc>
        <w:tc>
          <w:tcPr>
            <w:tcW w:w="1581" w:type="dxa"/>
          </w:tcPr>
          <w:p w14:paraId="7D6131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w:t>
            </w:r>
          </w:p>
        </w:tc>
      </w:tr>
      <w:tr w:rsidR="000F5689" w:rsidRPr="00925F26" w14:paraId="22A223C3" w14:textId="77777777">
        <w:tc>
          <w:tcPr>
            <w:tcW w:w="8046" w:type="dxa"/>
          </w:tcPr>
          <w:p w14:paraId="49506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Корпусов авиабомб ФАБ-2000</w:t>
            </w:r>
          </w:p>
        </w:tc>
        <w:tc>
          <w:tcPr>
            <w:tcW w:w="1581" w:type="dxa"/>
          </w:tcPr>
          <w:p w14:paraId="2D7EAB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шт.</w:t>
            </w:r>
          </w:p>
        </w:tc>
        <w:tc>
          <w:tcPr>
            <w:tcW w:w="1581" w:type="dxa"/>
          </w:tcPr>
          <w:p w14:paraId="6F797C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шт.</w:t>
            </w:r>
          </w:p>
        </w:tc>
      </w:tr>
      <w:tr w:rsidR="000F5689" w:rsidRPr="00925F26" w14:paraId="5C385FFA" w14:textId="77777777">
        <w:tc>
          <w:tcPr>
            <w:tcW w:w="8046" w:type="dxa"/>
          </w:tcPr>
          <w:p w14:paraId="4142B3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ФАБ-1000</w:t>
            </w:r>
          </w:p>
        </w:tc>
        <w:tc>
          <w:tcPr>
            <w:tcW w:w="1581" w:type="dxa"/>
          </w:tcPr>
          <w:p w14:paraId="36ED10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шт.</w:t>
            </w:r>
          </w:p>
        </w:tc>
        <w:tc>
          <w:tcPr>
            <w:tcW w:w="1581" w:type="dxa"/>
          </w:tcPr>
          <w:p w14:paraId="3F91EC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 шт.</w:t>
            </w:r>
          </w:p>
        </w:tc>
      </w:tr>
      <w:tr w:rsidR="000F5689" w:rsidRPr="00925F26" w14:paraId="3B8D392F" w14:textId="77777777">
        <w:tc>
          <w:tcPr>
            <w:tcW w:w="8046" w:type="dxa"/>
          </w:tcPr>
          <w:p w14:paraId="79C6F2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ФАБ-250</w:t>
            </w:r>
          </w:p>
        </w:tc>
        <w:tc>
          <w:tcPr>
            <w:tcW w:w="1581" w:type="dxa"/>
          </w:tcPr>
          <w:p w14:paraId="605316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шт.</w:t>
            </w:r>
          </w:p>
        </w:tc>
        <w:tc>
          <w:tcPr>
            <w:tcW w:w="1581" w:type="dxa"/>
          </w:tcPr>
          <w:p w14:paraId="6E9DEC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 шт.</w:t>
            </w:r>
          </w:p>
        </w:tc>
      </w:tr>
      <w:tr w:rsidR="000F5689" w:rsidRPr="00925F26" w14:paraId="7CB023E1" w14:textId="77777777">
        <w:tc>
          <w:tcPr>
            <w:tcW w:w="8046" w:type="dxa"/>
          </w:tcPr>
          <w:p w14:paraId="33D78A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ручных противопехотных гранат</w:t>
            </w:r>
          </w:p>
        </w:tc>
        <w:tc>
          <w:tcPr>
            <w:tcW w:w="1581" w:type="dxa"/>
          </w:tcPr>
          <w:p w14:paraId="6EEE12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750</w:t>
            </w:r>
          </w:p>
        </w:tc>
        <w:tc>
          <w:tcPr>
            <w:tcW w:w="1581" w:type="dxa"/>
          </w:tcPr>
          <w:p w14:paraId="3E37C5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725</w:t>
            </w:r>
          </w:p>
        </w:tc>
      </w:tr>
      <w:tr w:rsidR="000F5689" w:rsidRPr="00925F26" w14:paraId="48420ECF" w14:textId="77777777">
        <w:tc>
          <w:tcPr>
            <w:tcW w:w="8046" w:type="dxa"/>
            <w:tcBorders>
              <w:bottom w:val="single" w:sz="12" w:space="0" w:color="auto"/>
            </w:tcBorders>
          </w:tcPr>
          <w:p w14:paraId="0C5D5D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противотанковых мин</w:t>
            </w:r>
          </w:p>
        </w:tc>
        <w:tc>
          <w:tcPr>
            <w:tcW w:w="1581" w:type="dxa"/>
            <w:tcBorders>
              <w:bottom w:val="single" w:sz="12" w:space="0" w:color="auto"/>
            </w:tcBorders>
          </w:tcPr>
          <w:p w14:paraId="74D263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145</w:t>
            </w:r>
          </w:p>
        </w:tc>
        <w:tc>
          <w:tcPr>
            <w:tcW w:w="1581" w:type="dxa"/>
            <w:tcBorders>
              <w:bottom w:val="single" w:sz="12" w:space="0" w:color="auto"/>
            </w:tcBorders>
          </w:tcPr>
          <w:p w14:paraId="464460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w:t>
            </w:r>
          </w:p>
        </w:tc>
      </w:tr>
    </w:tbl>
    <w:p w14:paraId="293EE4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Освободить полностью от производства элементов боеприпасов с июня 1945 г. предприятия согласно при</w:t>
      </w:r>
      <w:r w:rsidRPr="00925F26">
        <w:rPr>
          <w:color w:val="000000" w:themeColor="text1"/>
          <w:sz w:val="16"/>
          <w:szCs w:val="16"/>
        </w:rPr>
        <w:softHyphen/>
        <w:t>ложению № 16 и перевести их на выпуск гражданской продукции.</w:t>
      </w:r>
    </w:p>
    <w:p w14:paraId="6CD00EE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Обязать Наркомбоеприпасов (т. Ванникова), Нарком-вооружения (т. Устинова), Наркомтанкопром (т. Малы</w:t>
      </w:r>
      <w:r w:rsidRPr="00925F26">
        <w:rPr>
          <w:color w:val="000000" w:themeColor="text1"/>
          <w:sz w:val="16"/>
          <w:szCs w:val="16"/>
        </w:rPr>
        <w:softHyphen/>
        <w:t>шева), Наркомавиапром (т. Шахурина), Наркомсредмаш (т. Акопова), Наркомсудпром (т. Носенко), Наркоммин-вооружения (т. Паршина), Наркомчермет (т. Тевосяна), Наркомцветмет (т. Ломако), Наркомэлектростанций (т. Жмерина), Наркомэлектропром (т. Кабанова), Нарком-станкостроения (т. Ефремова), Наркомтяжмаш (т. Казако</w:t>
      </w:r>
      <w:r w:rsidRPr="00925F26">
        <w:rPr>
          <w:color w:val="000000" w:themeColor="text1"/>
          <w:sz w:val="16"/>
          <w:szCs w:val="16"/>
        </w:rPr>
        <w:softHyphen/>
        <w:t>ва), НКПС (т. Ковалева), Наркомхимпром (т. Первухина), Наркомтекстиль СССР (т. Седина), Наркомлегпром СССР (т. Лукина), Наркоммясомолпром СССР (т.Смирнова), Наркомторг СССР (т. Любимова); Наркомлес СССР (т. Салтыкова), Наркомуголь (т. Вахрушева), Наркомнефть (т. Байбакова), Управление промкооперации при СНК РСФСР (т. Кравчук), Мосгорисполком (т. Попова), Нар-комместпром РСФСР (т. Смиряева), Наркомпищепром СССР (т. Зотова), Наркомстрой (т. Гинзбурга), Наркомст-ройматериалов СССР (т. Сочнина), Наркомхоз РСФСР (т. Макарова), Наркомбумпром (т. Орлова), Наркомрезин-пром (т. Митрохина), Наркомморфлот (т. Ширшова) и Наркомречфлот (т. Шашкова) представить в Совнарком СССР и Госплан СССР свои предложения о номенклатуре и размерах производства гражданской продукции на осво</w:t>
      </w:r>
      <w:r w:rsidRPr="00925F26">
        <w:rPr>
          <w:color w:val="000000" w:themeColor="text1"/>
          <w:sz w:val="16"/>
          <w:szCs w:val="16"/>
        </w:rPr>
        <w:softHyphen/>
        <w:t>бождаемых мощностях от производства боеприпасов в пя</w:t>
      </w:r>
      <w:r w:rsidRPr="00925F26">
        <w:rPr>
          <w:color w:val="000000" w:themeColor="text1"/>
          <w:sz w:val="16"/>
          <w:szCs w:val="16"/>
        </w:rPr>
        <w:softHyphen/>
        <w:t xml:space="preserve">тидневных срок — на июнь и в декадных срок — </w:t>
      </w:r>
      <w:r w:rsidRPr="00925F26">
        <w:rPr>
          <w:color w:val="000000" w:themeColor="text1"/>
          <w:sz w:val="16"/>
          <w:szCs w:val="16"/>
          <w:lang w:val="en-US"/>
        </w:rPr>
        <w:t>III</w:t>
      </w:r>
      <w:r w:rsidRPr="00925F26">
        <w:rPr>
          <w:color w:val="000000" w:themeColor="text1"/>
          <w:sz w:val="16"/>
          <w:szCs w:val="16"/>
        </w:rPr>
        <w:t xml:space="preserve"> квартал 1945 г., а также графики восстановления и освоения этой продукции.</w:t>
      </w:r>
    </w:p>
    <w:p w14:paraId="04D7E9E5"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 Ввиду сокращения производства элементов боепри</w:t>
      </w:r>
      <w:r w:rsidRPr="00925F26">
        <w:rPr>
          <w:color w:val="000000" w:themeColor="text1"/>
          <w:sz w:val="16"/>
          <w:szCs w:val="16"/>
        </w:rPr>
        <w:softHyphen/>
        <w:t xml:space="preserve">пасов уменьшить фонды на </w:t>
      </w:r>
      <w:r w:rsidRPr="00925F26">
        <w:rPr>
          <w:color w:val="000000" w:themeColor="text1"/>
          <w:sz w:val="16"/>
          <w:szCs w:val="16"/>
          <w:lang w:val="en-US"/>
        </w:rPr>
        <w:t>II</w:t>
      </w:r>
      <w:r w:rsidRPr="00925F26">
        <w:rPr>
          <w:color w:val="000000" w:themeColor="text1"/>
          <w:sz w:val="16"/>
          <w:szCs w:val="16"/>
        </w:rPr>
        <w:t xml:space="preserve"> квартал 1945 г. металлов, Инструмента, спецукупорки, химикатов и топлива и утвердить поставку их в июне в количествах и по наркома-</w:t>
      </w:r>
      <w:r w:rsidRPr="00925F26">
        <w:rPr>
          <w:color w:val="000000" w:themeColor="text1"/>
          <w:sz w:val="16"/>
          <w:szCs w:val="16"/>
          <w:vertAlign w:val="superscript"/>
        </w:rPr>
        <w:t>&lt;1а</w:t>
      </w:r>
      <w:r w:rsidRPr="00925F26">
        <w:rPr>
          <w:color w:val="000000" w:themeColor="text1"/>
          <w:sz w:val="16"/>
          <w:szCs w:val="16"/>
        </w:rPr>
        <w:t>М согласно приложению № 17, в том числе: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30"/>
        <w:gridCol w:w="1066"/>
        <w:gridCol w:w="1469"/>
        <w:gridCol w:w="2026"/>
      </w:tblGrid>
      <w:tr w:rsidR="000F5689" w:rsidRPr="00925F26" w14:paraId="1ACD957B" w14:textId="77777777">
        <w:trPr>
          <w:trHeight w:val="384"/>
        </w:trPr>
        <w:tc>
          <w:tcPr>
            <w:tcW w:w="1930" w:type="dxa"/>
            <w:tcBorders>
              <w:top w:val="single" w:sz="12" w:space="0" w:color="auto"/>
            </w:tcBorders>
          </w:tcPr>
          <w:p w14:paraId="6A3497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EB775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top w:val="single" w:sz="12" w:space="0" w:color="auto"/>
            </w:tcBorders>
          </w:tcPr>
          <w:p w14:paraId="5F1C64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Единица измерения</w:t>
            </w:r>
          </w:p>
          <w:p w14:paraId="5F5934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Borders>
              <w:top w:val="single" w:sz="12" w:space="0" w:color="auto"/>
            </w:tcBorders>
          </w:tcPr>
          <w:p w14:paraId="7C32F5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Уменьшаются фонды на </w:t>
            </w:r>
            <w:r w:rsidRPr="00925F26">
              <w:rPr>
                <w:color w:val="000000" w:themeColor="text1"/>
                <w:sz w:val="16"/>
                <w:szCs w:val="16"/>
                <w:lang w:val="en-US"/>
              </w:rPr>
              <w:t>II</w:t>
            </w:r>
            <w:r w:rsidRPr="00925F26">
              <w:rPr>
                <w:color w:val="000000" w:themeColor="text1"/>
                <w:sz w:val="16"/>
                <w:szCs w:val="16"/>
              </w:rPr>
              <w:t xml:space="preserve"> кв.</w:t>
            </w:r>
          </w:p>
          <w:p w14:paraId="49F158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Borders>
              <w:top w:val="single" w:sz="12" w:space="0" w:color="auto"/>
            </w:tcBorders>
          </w:tcPr>
          <w:p w14:paraId="4AD4B5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Устанавливаются поставки в июне</w:t>
            </w:r>
          </w:p>
          <w:p w14:paraId="5D4E2A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912A159" w14:textId="77777777">
        <w:trPr>
          <w:trHeight w:val="211"/>
        </w:trPr>
        <w:tc>
          <w:tcPr>
            <w:tcW w:w="1930" w:type="dxa"/>
          </w:tcPr>
          <w:p w14:paraId="5BEC45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22CA9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67B8B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5CB2A9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4D1507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3ADBD2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1E1DAB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351ED8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DEF078A" w14:textId="77777777">
        <w:trPr>
          <w:trHeight w:val="336"/>
        </w:trPr>
        <w:tc>
          <w:tcPr>
            <w:tcW w:w="1930" w:type="dxa"/>
          </w:tcPr>
          <w:p w14:paraId="4AC4A1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Прокат черных металлов</w:t>
            </w:r>
          </w:p>
          <w:p w14:paraId="7473D6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1B0579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тыс. тонн</w:t>
            </w:r>
          </w:p>
          <w:p w14:paraId="3C121D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1E1205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w:t>
            </w:r>
          </w:p>
          <w:p w14:paraId="347A3B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503EE9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w:t>
            </w:r>
          </w:p>
          <w:p w14:paraId="18966D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7B75F0D" w14:textId="77777777">
        <w:trPr>
          <w:trHeight w:val="240"/>
        </w:trPr>
        <w:tc>
          <w:tcPr>
            <w:tcW w:w="1930" w:type="dxa"/>
          </w:tcPr>
          <w:p w14:paraId="3601292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Трубы катаные</w:t>
            </w:r>
          </w:p>
          <w:p w14:paraId="659485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0DDFB7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A7CDE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037000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w:t>
            </w:r>
          </w:p>
          <w:p w14:paraId="7AC4BD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68B3604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448184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0287DA4" w14:textId="77777777">
        <w:trPr>
          <w:trHeight w:val="211"/>
        </w:trPr>
        <w:tc>
          <w:tcPr>
            <w:tcW w:w="1930" w:type="dxa"/>
          </w:tcPr>
          <w:p w14:paraId="10C646E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Чугун литейный</w:t>
            </w:r>
          </w:p>
          <w:p w14:paraId="2199A7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1ECE59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w:t>
            </w:r>
          </w:p>
          <w:p w14:paraId="6D50F1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555C9C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w:t>
            </w:r>
          </w:p>
          <w:p w14:paraId="5CEB0C3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40419B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2FEE33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6D440B2" w14:textId="77777777">
        <w:trPr>
          <w:trHeight w:val="211"/>
        </w:trPr>
        <w:tc>
          <w:tcPr>
            <w:tcW w:w="1930" w:type="dxa"/>
          </w:tcPr>
          <w:p w14:paraId="0C68DE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Аммиак</w:t>
            </w:r>
          </w:p>
          <w:p w14:paraId="2E218B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7E1EA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0EE98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2C67E7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2926385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3A4BF8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0,7</w:t>
            </w:r>
          </w:p>
          <w:p w14:paraId="0F9309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3ECB63D4" w14:textId="77777777">
        <w:trPr>
          <w:trHeight w:val="259"/>
        </w:trPr>
        <w:tc>
          <w:tcPr>
            <w:tcW w:w="1930" w:type="dxa"/>
          </w:tcPr>
          <w:p w14:paraId="67C2A0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Крепкая азотная кислота</w:t>
            </w:r>
          </w:p>
          <w:p w14:paraId="308EF6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778E1A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A76C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2F0A0E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w:t>
            </w:r>
          </w:p>
          <w:p w14:paraId="2FD24E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322A961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w:t>
            </w:r>
          </w:p>
          <w:p w14:paraId="26CDC3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C2AB8C5" w14:textId="77777777">
        <w:trPr>
          <w:trHeight w:val="240"/>
        </w:trPr>
        <w:tc>
          <w:tcPr>
            <w:tcW w:w="1930" w:type="dxa"/>
          </w:tcPr>
          <w:p w14:paraId="1BC18E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Олеум</w:t>
            </w:r>
          </w:p>
          <w:p w14:paraId="6B87F0C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92CC56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_”_</w:t>
            </w:r>
          </w:p>
          <w:p w14:paraId="259EDD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5A9928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w:t>
            </w:r>
          </w:p>
          <w:p w14:paraId="40BB2A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6766CB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20,6</w:t>
            </w:r>
          </w:p>
          <w:p w14:paraId="6D9F87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480C0AD0" w14:textId="77777777">
        <w:trPr>
          <w:trHeight w:val="221"/>
        </w:trPr>
        <w:tc>
          <w:tcPr>
            <w:tcW w:w="1930" w:type="dxa"/>
          </w:tcPr>
          <w:p w14:paraId="2DFF0E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Аммиачная селитра</w:t>
            </w:r>
          </w:p>
          <w:p w14:paraId="2CE1A8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6815D1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80022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2831B9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w:t>
            </w:r>
          </w:p>
          <w:p w14:paraId="16B473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23B39D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3CA95A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28424A9F" w14:textId="77777777">
        <w:trPr>
          <w:trHeight w:val="221"/>
        </w:trPr>
        <w:tc>
          <w:tcPr>
            <w:tcW w:w="1930" w:type="dxa"/>
          </w:tcPr>
          <w:p w14:paraId="11079F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Целлюлоза</w:t>
            </w:r>
          </w:p>
          <w:p w14:paraId="6C8B99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427F40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__ » __</w:t>
            </w:r>
          </w:p>
          <w:p w14:paraId="26E554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46D972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w:t>
            </w:r>
          </w:p>
          <w:p w14:paraId="1F0B2D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0AE941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318A78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0D7244BA" w14:textId="77777777">
        <w:trPr>
          <w:trHeight w:val="240"/>
        </w:trPr>
        <w:tc>
          <w:tcPr>
            <w:tcW w:w="1930" w:type="dxa"/>
          </w:tcPr>
          <w:p w14:paraId="12358DF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Патронная бумага</w:t>
            </w:r>
          </w:p>
          <w:p w14:paraId="2B939B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8BFE5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ТОНН</w:t>
            </w:r>
          </w:p>
          <w:p w14:paraId="54C875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2942FF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170</w:t>
            </w:r>
          </w:p>
          <w:p w14:paraId="0A493E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36F4AA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w:t>
            </w:r>
          </w:p>
          <w:p w14:paraId="634C9E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4AB3698" w14:textId="77777777">
        <w:trPr>
          <w:trHeight w:val="202"/>
        </w:trPr>
        <w:tc>
          <w:tcPr>
            <w:tcW w:w="1930" w:type="dxa"/>
          </w:tcPr>
          <w:p w14:paraId="73C350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Картон</w:t>
            </w:r>
          </w:p>
          <w:p w14:paraId="26F0B8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7BF0E5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 » _</w:t>
            </w:r>
          </w:p>
          <w:p w14:paraId="63A908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66A6B6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460</w:t>
            </w:r>
          </w:p>
          <w:p w14:paraId="24BA465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192A36E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540</w:t>
            </w:r>
          </w:p>
          <w:p w14:paraId="038808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C1A7A31" w14:textId="77777777">
        <w:trPr>
          <w:trHeight w:val="221"/>
        </w:trPr>
        <w:tc>
          <w:tcPr>
            <w:tcW w:w="1930" w:type="dxa"/>
          </w:tcPr>
          <w:p w14:paraId="075A2F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Глицерин</w:t>
            </w:r>
          </w:p>
          <w:p w14:paraId="29E4AE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450C57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574F5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72F45C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350</w:t>
            </w:r>
          </w:p>
          <w:p w14:paraId="2385C61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5E0C811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350 </w:t>
            </w:r>
          </w:p>
          <w:p w14:paraId="20C2614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77B330BA" w14:textId="77777777">
        <w:trPr>
          <w:trHeight w:val="221"/>
        </w:trPr>
        <w:tc>
          <w:tcPr>
            <w:tcW w:w="1930" w:type="dxa"/>
          </w:tcPr>
          <w:p w14:paraId="7ECE99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Спирт</w:t>
            </w:r>
          </w:p>
          <w:p w14:paraId="56ECF6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BAA02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т.дкл</w:t>
            </w:r>
            <w:proofErr w:type="gramEnd"/>
          </w:p>
          <w:p w14:paraId="242D39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76035B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w:t>
            </w:r>
          </w:p>
          <w:p w14:paraId="79D3AD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48B168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350 </w:t>
            </w:r>
          </w:p>
          <w:p w14:paraId="58FCDC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5823F792" w14:textId="77777777">
        <w:trPr>
          <w:trHeight w:val="240"/>
        </w:trPr>
        <w:tc>
          <w:tcPr>
            <w:tcW w:w="1930" w:type="dxa"/>
          </w:tcPr>
          <w:p w14:paraId="306153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Хлопчатобумажные ткани</w:t>
            </w:r>
          </w:p>
          <w:p w14:paraId="20C26A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D8544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т.мтр</w:t>
            </w:r>
            <w:proofErr w:type="gramEnd"/>
          </w:p>
          <w:p w14:paraId="5C954D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66D21C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800</w:t>
            </w:r>
          </w:p>
          <w:p w14:paraId="259D14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16237C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1560 </w:t>
            </w:r>
          </w:p>
          <w:p w14:paraId="6A6FA5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60EAA8E" w14:textId="77777777">
        <w:trPr>
          <w:trHeight w:val="278"/>
        </w:trPr>
        <w:tc>
          <w:tcPr>
            <w:tcW w:w="1930" w:type="dxa"/>
          </w:tcPr>
          <w:p w14:paraId="76DD7C0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Пиломатериалы для спецукупорки</w:t>
            </w:r>
          </w:p>
          <w:p w14:paraId="29EBBF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542A22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т.куб</w:t>
            </w:r>
            <w:proofErr w:type="gramEnd"/>
            <w:r w:rsidRPr="00925F26">
              <w:rPr>
                <w:color w:val="000000" w:themeColor="text1"/>
                <w:sz w:val="16"/>
                <w:szCs w:val="16"/>
              </w:rPr>
              <w:t>.м</w:t>
            </w:r>
          </w:p>
          <w:p w14:paraId="6F7D019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29B40E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195</w:t>
            </w:r>
          </w:p>
          <w:p w14:paraId="7BA2C0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2DC7C7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120 !</w:t>
            </w:r>
            <w:proofErr w:type="gramEnd"/>
          </w:p>
          <w:p w14:paraId="644715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682FFA30" w14:textId="77777777">
        <w:trPr>
          <w:trHeight w:val="211"/>
        </w:trPr>
        <w:tc>
          <w:tcPr>
            <w:tcW w:w="1930" w:type="dxa"/>
          </w:tcPr>
          <w:p w14:paraId="4BB1D1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Мазут</w:t>
            </w:r>
          </w:p>
          <w:p w14:paraId="7FCDFC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Pr>
          <w:p w14:paraId="1C5DCC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тыс.тонн</w:t>
            </w:r>
            <w:proofErr w:type="gramEnd"/>
          </w:p>
          <w:p w14:paraId="556985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Pr>
          <w:p w14:paraId="4C2DD9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15F2CE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Pr>
          <w:p w14:paraId="1EF079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15,6 |</w:t>
            </w:r>
          </w:p>
          <w:p w14:paraId="0A833F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r w:rsidR="000F5689" w:rsidRPr="00925F26" w14:paraId="1123CAAF" w14:textId="77777777">
        <w:trPr>
          <w:trHeight w:val="365"/>
        </w:trPr>
        <w:tc>
          <w:tcPr>
            <w:tcW w:w="1930" w:type="dxa"/>
            <w:tcBorders>
              <w:bottom w:val="single" w:sz="12" w:space="0" w:color="auto"/>
            </w:tcBorders>
          </w:tcPr>
          <w:p w14:paraId="139DF1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Каменный уголь</w:t>
            </w:r>
          </w:p>
          <w:p w14:paraId="2D525B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066" w:type="dxa"/>
            <w:tcBorders>
              <w:bottom w:val="single" w:sz="12" w:space="0" w:color="auto"/>
            </w:tcBorders>
          </w:tcPr>
          <w:p w14:paraId="4B7B0A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__ „ __</w:t>
            </w:r>
          </w:p>
          <w:p w14:paraId="4A54DD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1469" w:type="dxa"/>
            <w:tcBorders>
              <w:bottom w:val="single" w:sz="12" w:space="0" w:color="auto"/>
            </w:tcBorders>
          </w:tcPr>
          <w:p w14:paraId="34C409C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w:t>
            </w:r>
          </w:p>
          <w:p w14:paraId="5FB790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c>
          <w:tcPr>
            <w:tcW w:w="2026" w:type="dxa"/>
            <w:tcBorders>
              <w:bottom w:val="single" w:sz="12" w:space="0" w:color="auto"/>
            </w:tcBorders>
          </w:tcPr>
          <w:p w14:paraId="201FFE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p w14:paraId="067352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tc>
      </w:tr>
    </w:tbl>
    <w:p w14:paraId="252362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Госплану СССР (т. Вознесенскому) в 2-дневный срок представить в ГОКО предложения об использовании металлов, материалов и топлива, снимаемых с производства боеприпасов.</w:t>
      </w:r>
    </w:p>
    <w:p w14:paraId="598AB5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В целях сохранения мобилизационных мощностей по производству элементов боеприпасов на предприятиях вне системы НКБ и на предприятиях НКБ по производ ству элементов боеприпасов, временно прекращенных производством:</w:t>
      </w:r>
    </w:p>
    <w:p w14:paraId="39672C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обязать Наркомбоеприпасов (т. Ванникова), Нар комминвооружения (т. Паршина), Наркомчермет (т. Те восяна), Наркомсредмаш (т. Акопова), Наркомвооруже ния (т. Устинова), Наркомтекстиль СССР (т. Седина), Наркомтанкопром (т. Малышева), НКВД СССР (т. Чер нышева) и Наркомбумпром (т. Орлова) сохранить цехи по производству элементов боеприпасов мощностью на выпуск согласно приложению № 18.</w:t>
      </w:r>
    </w:p>
    <w:p w14:paraId="4624B3C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Предложить указанным наркоматам содержать эти це</w:t>
      </w:r>
      <w:r w:rsidRPr="00925F26">
        <w:rPr>
          <w:color w:val="000000" w:themeColor="text1"/>
          <w:sz w:val="16"/>
          <w:szCs w:val="16"/>
        </w:rPr>
        <w:softHyphen/>
        <w:t>хи в полной готовности к возобновлению производства элементов боеприпасов, перечисленных в приложении;</w:t>
      </w:r>
    </w:p>
    <w:p w14:paraId="0911A6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обязать все Наркоматы и ведомства, перечисленные в пункте 2 настоящего постановления, а также директо</w:t>
      </w:r>
      <w:r w:rsidRPr="00925F26">
        <w:rPr>
          <w:color w:val="000000" w:themeColor="text1"/>
          <w:sz w:val="16"/>
          <w:szCs w:val="16"/>
        </w:rPr>
        <w:softHyphen/>
        <w:t>ров предприятий, полностью или частично освобождае</w:t>
      </w:r>
      <w:r w:rsidRPr="00925F26">
        <w:rPr>
          <w:color w:val="000000" w:themeColor="text1"/>
          <w:sz w:val="16"/>
          <w:szCs w:val="16"/>
        </w:rPr>
        <w:softHyphen/>
        <w:t>мых от производства боеприпасов, заложить до 1 июля с.г. в мобрезерв специальное оборудование (операцион</w:t>
      </w:r>
      <w:r w:rsidRPr="00925F26">
        <w:rPr>
          <w:color w:val="000000" w:themeColor="text1"/>
          <w:sz w:val="16"/>
          <w:szCs w:val="16"/>
        </w:rPr>
        <w:softHyphen/>
        <w:t>ные станки, прессы для испытания мин, снарядов и др.), приспособления и специальный инструмент, полуфабри</w:t>
      </w:r>
      <w:r w:rsidRPr="00925F26">
        <w:rPr>
          <w:color w:val="000000" w:themeColor="text1"/>
          <w:sz w:val="16"/>
          <w:szCs w:val="16"/>
        </w:rPr>
        <w:softHyphen/>
        <w:t>каты, специальные материалы и сырье, пригодное для производства боеприпасов, а также сохранить на осво</w:t>
      </w:r>
      <w:r w:rsidRPr="00925F26">
        <w:rPr>
          <w:color w:val="000000" w:themeColor="text1"/>
          <w:sz w:val="16"/>
          <w:szCs w:val="16"/>
        </w:rPr>
        <w:softHyphen/>
        <w:t>бождаемых предприятиях всю техническую документа</w:t>
      </w:r>
      <w:r w:rsidRPr="00925F26">
        <w:rPr>
          <w:color w:val="000000" w:themeColor="text1"/>
          <w:sz w:val="16"/>
          <w:szCs w:val="16"/>
        </w:rPr>
        <w:softHyphen/>
        <w:t>цию по производству боеприпасов, приведя ее в полное соответствие с действующим технологическим процессом к моменту окончания производства их;</w:t>
      </w:r>
    </w:p>
    <w:p w14:paraId="0531E6A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предупредить всех директоров предприятий, частично и полностью освобождаемых от производства боеприпа</w:t>
      </w:r>
      <w:r w:rsidRPr="00925F26">
        <w:rPr>
          <w:color w:val="000000" w:themeColor="text1"/>
          <w:sz w:val="16"/>
          <w:szCs w:val="16"/>
        </w:rPr>
        <w:softHyphen/>
        <w:t>сов, об их персональной ответственности за сохранность и сохранение в исправном состоянии мобилизационных резервов оборудования и имущества, запретив использова</w:t>
      </w:r>
      <w:r w:rsidRPr="00925F26">
        <w:rPr>
          <w:color w:val="000000" w:themeColor="text1"/>
          <w:sz w:val="16"/>
          <w:szCs w:val="16"/>
        </w:rPr>
        <w:softHyphen/>
        <w:t>ние их без специального разрешения Правительства;</w:t>
      </w:r>
    </w:p>
    <w:p w14:paraId="666938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разрешить Госплану СССР создать в отделе боепри</w:t>
      </w:r>
      <w:r w:rsidRPr="00925F26">
        <w:rPr>
          <w:color w:val="000000" w:themeColor="text1"/>
          <w:sz w:val="16"/>
          <w:szCs w:val="16"/>
        </w:rPr>
        <w:softHyphen/>
        <w:t>пасов мобилизационный сектор, возложив на него со</w:t>
      </w:r>
      <w:r w:rsidRPr="00925F26">
        <w:rPr>
          <w:color w:val="000000" w:themeColor="text1"/>
          <w:sz w:val="16"/>
          <w:szCs w:val="16"/>
        </w:rPr>
        <w:softHyphen/>
        <w:t>ставление и проверку выполнения мобилизационных планов по боеприпасам.</w:t>
      </w:r>
    </w:p>
    <w:p w14:paraId="6DB5F9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Наркомам и руководителям ведомств представить в ГОКО и в Госплан СССР к 15 августа 1945 года отчет о закладке в мобрезерв оборудования, инструмента, при</w:t>
      </w:r>
      <w:r w:rsidRPr="00925F26">
        <w:rPr>
          <w:color w:val="000000" w:themeColor="text1"/>
          <w:sz w:val="16"/>
          <w:szCs w:val="16"/>
        </w:rPr>
        <w:softHyphen/>
        <w:t>способлений, материалов и полуфабрикатов по форме Госплана СССР.</w:t>
      </w:r>
    </w:p>
    <w:p w14:paraId="792DBC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Обязать Наркомбоеприпасов (т. Ванникова) вместе с Госпланом СССР разработать и внести на утверждение Совнаркома СССР предложения о постепенном переводе рабочих, инженерно-технических работников и служащих на нормальный рабочий день и об отмене обязательных сверхурочных работ на заводах Наркомата Боеприпасов.</w:t>
      </w:r>
    </w:p>
    <w:p w14:paraId="6AB21E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Разрешить Наркомбоеприпасов (т. Ванникову) вос</w:t>
      </w:r>
      <w:r w:rsidRPr="00925F26">
        <w:rPr>
          <w:color w:val="000000" w:themeColor="text1"/>
          <w:sz w:val="16"/>
          <w:szCs w:val="16"/>
        </w:rPr>
        <w:softHyphen/>
        <w:t>становить с 1 июня 1945 г. для рабочих, инженерно-технических работников и служащих заводов НКБ вы</w:t>
      </w:r>
      <w:r w:rsidRPr="00925F26">
        <w:rPr>
          <w:color w:val="000000" w:themeColor="text1"/>
          <w:sz w:val="16"/>
          <w:szCs w:val="16"/>
        </w:rPr>
        <w:softHyphen/>
        <w:t>ходные дни и очередные отпуска, руководствуясь при этом Кодексом законов о труде.</w:t>
      </w:r>
    </w:p>
    <w:p w14:paraId="4E39CCD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7. В связи с частичным переводом промышленности с военной на гражданскую продукцию, разрешить Народ</w:t>
      </w:r>
      <w:r w:rsidRPr="00925F26">
        <w:rPr>
          <w:color w:val="000000" w:themeColor="text1"/>
          <w:sz w:val="16"/>
          <w:szCs w:val="16"/>
        </w:rPr>
        <w:softHyphen/>
        <w:t>ным Комиссарам и директорам предприятий на период освоения новых видов производства выплачивать рабо</w:t>
      </w:r>
      <w:r w:rsidRPr="00925F26">
        <w:rPr>
          <w:color w:val="000000" w:themeColor="text1"/>
          <w:sz w:val="16"/>
          <w:szCs w:val="16"/>
        </w:rPr>
        <w:softHyphen/>
        <w:t>чим в течение 1-2 месяцев по решению Народного Ко</w:t>
      </w:r>
      <w:r w:rsidRPr="00925F26">
        <w:rPr>
          <w:color w:val="000000" w:themeColor="text1"/>
          <w:sz w:val="16"/>
          <w:szCs w:val="16"/>
        </w:rPr>
        <w:softHyphen/>
        <w:t>миссара, в зависимости от сложности нового производ</w:t>
      </w:r>
      <w:r w:rsidRPr="00925F26">
        <w:rPr>
          <w:color w:val="000000" w:themeColor="text1"/>
          <w:sz w:val="16"/>
          <w:szCs w:val="16"/>
        </w:rPr>
        <w:softHyphen/>
        <w:t>ства (где это необходимо) среднюю месячную плату по фактическому заработку за последние три месяца.</w:t>
      </w:r>
    </w:p>
    <w:p w14:paraId="1A746E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Отменить, начиная с июня 1945 г., практику выплаты всех видов премий за своевременную поставку фондируе-мых, планируемых и изготовляемых в порядке кооперации готовых изделий, полуфабрикатов и материалов заводами и наркоматами-заказчиками — заводам и наркоматам-поставщикам по всем отраслям народного хозяйства.</w:t>
      </w:r>
    </w:p>
    <w:p w14:paraId="7FCF9E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Поручить Госплану СССР (т. Вознесенскому) совме</w:t>
      </w:r>
      <w:r w:rsidRPr="00925F26">
        <w:rPr>
          <w:color w:val="000000" w:themeColor="text1"/>
          <w:sz w:val="16"/>
          <w:szCs w:val="16"/>
        </w:rPr>
        <w:softHyphen/>
        <w:t>стно с Наркомфином СССР (т. Зверевым) рассмотреть предложения Наркомата Боеприпасов о частичном по</w:t>
      </w:r>
      <w:r w:rsidRPr="00925F26">
        <w:rPr>
          <w:color w:val="000000" w:themeColor="text1"/>
          <w:sz w:val="16"/>
          <w:szCs w:val="16"/>
        </w:rPr>
        <w:softHyphen/>
        <w:t>вышении отпускных цен на боеприпасы в связи с уменьшением их производства и представить в Совнар</w:t>
      </w:r>
      <w:r w:rsidRPr="00925F26">
        <w:rPr>
          <w:color w:val="000000" w:themeColor="text1"/>
          <w:sz w:val="16"/>
          <w:szCs w:val="16"/>
        </w:rPr>
        <w:softHyphen/>
        <w:t>ком СССР свое заключение, имея в виду необходимость применения новых цен с 1 июня 1945 г.</w:t>
      </w:r>
    </w:p>
    <w:p w14:paraId="5AFEE9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Разрешить, в виде исключения, всем народным ко</w:t>
      </w:r>
      <w:r w:rsidRPr="00925F26">
        <w:rPr>
          <w:color w:val="000000" w:themeColor="text1"/>
          <w:sz w:val="16"/>
          <w:szCs w:val="16"/>
        </w:rPr>
        <w:softHyphen/>
        <w:t>миссарам и руководителям ведомств, по согласованию с Госпланом СССР, план мая по элементам боеприпасов считать на уровне фактического выполнения.</w:t>
      </w:r>
    </w:p>
    <w:p w14:paraId="0040D1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Поручить Госплану СССР (т. Вознесенскому) в свя</w:t>
      </w:r>
      <w:r w:rsidRPr="00925F26">
        <w:rPr>
          <w:color w:val="000000" w:themeColor="text1"/>
          <w:sz w:val="16"/>
          <w:szCs w:val="16"/>
        </w:rPr>
        <w:softHyphen/>
        <w:t>зи с сокращением производства боеприпасов рассмотреть предложения наркоматов и ведомств о поправках к пла</w:t>
      </w:r>
      <w:r w:rsidRPr="00925F26">
        <w:rPr>
          <w:color w:val="000000" w:themeColor="text1"/>
          <w:sz w:val="16"/>
          <w:szCs w:val="16"/>
        </w:rPr>
        <w:softHyphen/>
        <w:t>нам на П квартал 1945 г. по валовой и товарной продукции, а также об изменениях финансовых планов и со</w:t>
      </w:r>
      <w:r w:rsidRPr="00925F26">
        <w:rPr>
          <w:color w:val="000000" w:themeColor="text1"/>
          <w:sz w:val="16"/>
          <w:szCs w:val="16"/>
        </w:rPr>
        <w:softHyphen/>
        <w:t>вместно с Наркомфином СССР (т. Зверевым) внести в Совнарком СССР соответствующие предложения.</w:t>
      </w:r>
    </w:p>
    <w:p w14:paraId="51A3943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Поручить комиссии в составе тт. Зверева (созыв), Новикова (ВВС), Аборенкова, Воробьева, Кузнецова (НКВМФ)</w:t>
      </w:r>
      <w:r w:rsidRPr="00925F26">
        <w:rPr>
          <w:color w:val="000000" w:themeColor="text1"/>
          <w:sz w:val="16"/>
          <w:szCs w:val="16"/>
          <w:vertAlign w:val="superscript"/>
        </w:rPr>
        <w:t>2</w:t>
      </w:r>
      <w:r w:rsidRPr="00925F26">
        <w:rPr>
          <w:color w:val="000000" w:themeColor="text1"/>
          <w:sz w:val="16"/>
          <w:szCs w:val="16"/>
        </w:rPr>
        <w:t>, Яковлева, Ванникова и Борисова рассмот</w:t>
      </w:r>
      <w:r w:rsidRPr="00925F26">
        <w:rPr>
          <w:color w:val="000000" w:themeColor="text1"/>
          <w:sz w:val="16"/>
          <w:szCs w:val="16"/>
        </w:rPr>
        <w:softHyphen/>
        <w:t>реть к 15.</w:t>
      </w:r>
      <w:r w:rsidRPr="00925F26">
        <w:rPr>
          <w:color w:val="000000" w:themeColor="text1"/>
          <w:sz w:val="16"/>
          <w:szCs w:val="16"/>
          <w:lang w:val="en-US"/>
        </w:rPr>
        <w:t>VIII</w:t>
      </w:r>
      <w:r w:rsidRPr="00925F26">
        <w:rPr>
          <w:color w:val="000000" w:themeColor="text1"/>
          <w:sz w:val="16"/>
          <w:szCs w:val="16"/>
        </w:rPr>
        <w:t>-1945 года вопрос об укомплектовании не</w:t>
      </w:r>
      <w:r w:rsidRPr="00925F26">
        <w:rPr>
          <w:color w:val="000000" w:themeColor="text1"/>
          <w:sz w:val="16"/>
          <w:szCs w:val="16"/>
        </w:rPr>
        <w:softHyphen/>
        <w:t>комплектных элементов боеприпасов, имеющихся на базах НКО СССР и НКВМФ по состоянию на 1 июня 1945 г.; а также о расчетах за некомплектные элементы боеприпасов.</w:t>
      </w:r>
    </w:p>
    <w:p w14:paraId="0B78CD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Обязать Наркомбоеприпасов (т. Ванникова) при</w:t>
      </w:r>
      <w:r w:rsidRPr="00925F26">
        <w:rPr>
          <w:color w:val="000000" w:themeColor="text1"/>
          <w:sz w:val="16"/>
          <w:szCs w:val="16"/>
        </w:rPr>
        <w:softHyphen/>
        <w:t>нять на снаряжательные заводы и оплатить все корпуса снарядов, мин, авиабомб и других элементов и детали боеприпасов, изготовленные на механических заводах и принятые военпредами на 1 июня 1945 года, по действу</w:t>
      </w:r>
      <w:r w:rsidRPr="00925F26">
        <w:rPr>
          <w:color w:val="000000" w:themeColor="text1"/>
          <w:sz w:val="16"/>
          <w:szCs w:val="16"/>
        </w:rPr>
        <w:softHyphen/>
        <w:t>ющим техническим условия, а также разрешить НКБ элементы боеприпасов, по согласованию с Госпланом СССР, заложить в мобрезерв.</w:t>
      </w:r>
    </w:p>
    <w:p w14:paraId="3480F92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Предложить т. Ванникову представить к 15 июля 1945 г. в Совнарком СССР и Госплан СССР отчет о ко</w:t>
      </w:r>
      <w:r w:rsidRPr="00925F26">
        <w:rPr>
          <w:color w:val="000000" w:themeColor="text1"/>
          <w:sz w:val="16"/>
          <w:szCs w:val="16"/>
        </w:rPr>
        <w:softHyphen/>
        <w:t>личестве и номенклатуре закладываемых в мобрезерв элементов боеприпасов.</w:t>
      </w:r>
    </w:p>
    <w:p w14:paraId="52E42BC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Наркомфину СССР профинансировать принятые НКБ элементы боеприпасов с заводов и предприятий других наркоматов.</w:t>
      </w:r>
    </w:p>
    <w:p w14:paraId="166F87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Поручить тт. Вознесенскому (созыв), Кузнецо</w:t>
      </w:r>
      <w:r w:rsidRPr="00925F26">
        <w:rPr>
          <w:color w:val="000000" w:themeColor="text1"/>
          <w:sz w:val="16"/>
          <w:szCs w:val="16"/>
        </w:rPr>
        <w:softHyphen/>
        <w:t>ву В.В., Звереву и Ванникову в 10-дневный срок внести в Оперативное бюро ГОКО свои предложения о сохране</w:t>
      </w:r>
      <w:r w:rsidRPr="00925F26">
        <w:rPr>
          <w:color w:val="000000" w:themeColor="text1"/>
          <w:sz w:val="16"/>
          <w:szCs w:val="16"/>
        </w:rPr>
        <w:softHyphen/>
        <w:t>нии и поощрении кадров на заводах Наркомата Боепри</w:t>
      </w:r>
      <w:r w:rsidRPr="00925F26">
        <w:rPr>
          <w:color w:val="000000" w:themeColor="text1"/>
          <w:sz w:val="16"/>
          <w:szCs w:val="16"/>
        </w:rPr>
        <w:softHyphen/>
        <w:t>пасов, предусмотрев особые преимущества для рабочих, инженерно-технических работников и служащих восточ</w:t>
      </w:r>
      <w:r w:rsidRPr="00925F26">
        <w:rPr>
          <w:color w:val="000000" w:themeColor="text1"/>
          <w:sz w:val="16"/>
          <w:szCs w:val="16"/>
        </w:rPr>
        <w:softHyphen/>
        <w:t>ных заводов.</w:t>
      </w:r>
    </w:p>
    <w:p w14:paraId="4FA81A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Обязать наркоматы, ведомства и совнаркомы союз</w:t>
      </w:r>
      <w:r w:rsidRPr="00925F26">
        <w:rPr>
          <w:color w:val="000000" w:themeColor="text1"/>
          <w:sz w:val="16"/>
          <w:szCs w:val="16"/>
        </w:rPr>
        <w:softHyphen/>
        <w:t>ных республик:</w:t>
      </w:r>
    </w:p>
    <w:p w14:paraId="7F1ED043"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а) провести на предприятиях, изготовлявших и изго</w:t>
      </w:r>
      <w:r w:rsidRPr="00925F26">
        <w:rPr>
          <w:color w:val="000000" w:themeColor="text1"/>
          <w:sz w:val="16"/>
          <w:szCs w:val="16"/>
        </w:rPr>
        <w:softHyphen/>
        <w:t>товляющих элементы боеприпасов по состоянию на</w:t>
      </w:r>
    </w:p>
    <w:p w14:paraId="5C28A16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 июля 1945 г. бухгалтерскую инвентаризацию готовой продукции и незавершенного производства боеприпасов, материалов, инструмента, штампов, приспособлений и других ценностей, предназначенных для производства боеприпасов, а также всех </w:t>
      </w:r>
      <w:proofErr w:type="gramStart"/>
      <w:r w:rsidRPr="00925F26">
        <w:rPr>
          <w:color w:val="000000" w:themeColor="text1"/>
          <w:sz w:val="16"/>
          <w:szCs w:val="16"/>
        </w:rPr>
        <w:t>товаро-материальных</w:t>
      </w:r>
      <w:proofErr w:type="gramEnd"/>
      <w:r w:rsidRPr="00925F26">
        <w:rPr>
          <w:color w:val="000000" w:themeColor="text1"/>
          <w:sz w:val="16"/>
          <w:szCs w:val="16"/>
        </w:rPr>
        <w:t xml:space="preserve"> ценнос</w:t>
      </w:r>
      <w:r w:rsidRPr="00925F26">
        <w:rPr>
          <w:color w:val="000000" w:themeColor="text1"/>
          <w:sz w:val="16"/>
          <w:szCs w:val="16"/>
        </w:rPr>
        <w:softHyphen/>
        <w:t>тей по приостановленным и аннулированным заказам;</w:t>
      </w:r>
    </w:p>
    <w:p w14:paraId="1DC60C5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представить к 15 августа 1945 г. в Госплан СССР и Наркомфин СССР отчет о результатах инвентаризации.</w:t>
      </w:r>
    </w:p>
    <w:p w14:paraId="51D470D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 Обязать Наркомбоеприпасов (т. Ванникова):</w:t>
      </w:r>
    </w:p>
    <w:p w14:paraId="5DF914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организовать на своих заводах производство всех не</w:t>
      </w:r>
      <w:r w:rsidRPr="00925F26">
        <w:rPr>
          <w:color w:val="000000" w:themeColor="text1"/>
          <w:sz w:val="16"/>
          <w:szCs w:val="16"/>
        </w:rPr>
        <w:softHyphen/>
        <w:t>обходимых для сдачи комплекта элементов боеприпасов (спецукупорки, арматуры к ней, пламягасителей и других элементов), не предусмотренных к поставке со стороны;</w:t>
      </w:r>
    </w:p>
    <w:p w14:paraId="37A21D5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организовать на снаряжательных заводах мастерские по окраске и другим работам, связанным с необходимос</w:t>
      </w:r>
      <w:r w:rsidRPr="00925F26">
        <w:rPr>
          <w:color w:val="000000" w:themeColor="text1"/>
          <w:sz w:val="16"/>
          <w:szCs w:val="16"/>
        </w:rPr>
        <w:softHyphen/>
        <w:t>тью длительного хранения боеприпасов;</w:t>
      </w:r>
    </w:p>
    <w:p w14:paraId="614BFE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передать заводы по состоянию на 1 июня 1945 года:</w:t>
      </w:r>
    </w:p>
    <w:p w14:paraId="3B6D60F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143 (г.Москва) — Наркомсобесу РСФСР, разрешив НКБ часть специального технологического оборудования перевести на завод № 58 НКБ;</w:t>
      </w:r>
    </w:p>
    <w:p w14:paraId="6E2CA4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13 (г. Кемерово) - Наркомстрою, разрешив НКБ переадресовать оборудование на этот завод для авиабомб;</w:t>
      </w:r>
    </w:p>
    <w:p w14:paraId="41BE802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401 (г. Аша) — Наркомлесу СССР, разрешив НКБ специальное оборудование вывезти на завод № 254 НКБ.</w:t>
      </w:r>
    </w:p>
    <w:p w14:paraId="4447B4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 Обязать Наркомбоеприпасов (т. Ванникова), ГАУ КА (т. Яковлева) и Госплан СССР (т. Борисова) в десятиднев</w:t>
      </w:r>
      <w:r w:rsidRPr="00925F26">
        <w:rPr>
          <w:color w:val="000000" w:themeColor="text1"/>
          <w:sz w:val="16"/>
          <w:szCs w:val="16"/>
        </w:rPr>
        <w:softHyphen/>
        <w:t>ный срок представить в ГОКО совместные предложения об использовании и хранении импортных порохов.</w:t>
      </w:r>
    </w:p>
    <w:p w14:paraId="0DD467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 В связи с сокращением фондов на металл для про</w:t>
      </w:r>
      <w:r w:rsidRPr="00925F26">
        <w:rPr>
          <w:color w:val="000000" w:themeColor="text1"/>
          <w:sz w:val="16"/>
          <w:szCs w:val="16"/>
        </w:rPr>
        <w:softHyphen/>
        <w:t>изводства боеприпасов, разрешить НКБ (т. Ванникову) заказать в счет снарядной заготовки в июне 1945 г. ме</w:t>
      </w:r>
      <w:r w:rsidRPr="00925F26">
        <w:rPr>
          <w:color w:val="000000" w:themeColor="text1"/>
          <w:sz w:val="16"/>
          <w:szCs w:val="16"/>
        </w:rPr>
        <w:softHyphen/>
        <w:t>талл, необходимый для выполнения заказов по гражданс</w:t>
      </w:r>
      <w:r w:rsidRPr="00925F26">
        <w:rPr>
          <w:color w:val="000000" w:themeColor="text1"/>
          <w:sz w:val="16"/>
          <w:szCs w:val="16"/>
        </w:rPr>
        <w:softHyphen/>
        <w:t>кой продукции в количествах по согласованию с Госпла</w:t>
      </w:r>
      <w:r w:rsidRPr="00925F26">
        <w:rPr>
          <w:color w:val="000000" w:themeColor="text1"/>
          <w:sz w:val="16"/>
          <w:szCs w:val="16"/>
        </w:rPr>
        <w:softHyphen/>
        <w:t>ном СССР.</w:t>
      </w:r>
    </w:p>
    <w:p w14:paraId="28A25C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Разрешить Наркомбоеприпасов (т. Ванникову) за</w:t>
      </w:r>
      <w:r w:rsidRPr="00925F26">
        <w:rPr>
          <w:color w:val="000000" w:themeColor="text1"/>
          <w:sz w:val="16"/>
          <w:szCs w:val="16"/>
        </w:rPr>
        <w:softHyphen/>
        <w:t>ложить в мобрезерв в июне и Ш квартале 1945 г. гексо-гена</w:t>
      </w:r>
      <w:r w:rsidRPr="00925F26">
        <w:rPr>
          <w:color w:val="000000" w:themeColor="text1"/>
          <w:sz w:val="16"/>
          <w:szCs w:val="16"/>
          <w:vertAlign w:val="superscript"/>
        </w:rPr>
        <w:t>3</w:t>
      </w:r>
      <w:r w:rsidRPr="00925F26">
        <w:rPr>
          <w:color w:val="000000" w:themeColor="text1"/>
          <w:sz w:val="16"/>
          <w:szCs w:val="16"/>
        </w:rPr>
        <w:t xml:space="preserve"> 300 тонн, тротила</w:t>
      </w:r>
      <w:r w:rsidRPr="00925F26">
        <w:rPr>
          <w:color w:val="000000" w:themeColor="text1"/>
          <w:sz w:val="16"/>
          <w:szCs w:val="16"/>
          <w:vertAlign w:val="superscript"/>
        </w:rPr>
        <w:t>4</w:t>
      </w:r>
      <w:r w:rsidRPr="00925F26">
        <w:rPr>
          <w:color w:val="000000" w:themeColor="text1"/>
          <w:sz w:val="16"/>
          <w:szCs w:val="16"/>
        </w:rPr>
        <w:t xml:space="preserve"> - 5000 тонн.</w:t>
      </w:r>
    </w:p>
    <w:p w14:paraId="77C8A5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 Обязать Наркомбоеприпасов (т. Ванникова) при</w:t>
      </w:r>
      <w:r w:rsidRPr="00925F26">
        <w:rPr>
          <w:color w:val="000000" w:themeColor="text1"/>
          <w:sz w:val="16"/>
          <w:szCs w:val="16"/>
        </w:rPr>
        <w:softHyphen/>
        <w:t>нять необходимые меры по проведению ремонта зданий и оборудования взрывоопасных заводов.</w:t>
      </w:r>
    </w:p>
    <w:p w14:paraId="678768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w:t>
      </w:r>
    </w:p>
    <w:p w14:paraId="50D06E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И.Сталин</w:t>
      </w:r>
    </w:p>
    <w:p w14:paraId="672C767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Круглая печать: «Государственный Комитет Обороны. № 1 Протокольная часть ГОКО»</w:t>
      </w:r>
    </w:p>
    <w:p w14:paraId="2FC8F1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Послано тт. Берия (ГОКО), Вознесенскому, Булганину, Швернику, Ванникову, Яковлеву, Борисову, Александрову (ГОКО), Чадаеву -все; наркомам — соотв. т. Микояну.</w:t>
      </w:r>
    </w:p>
    <w:p w14:paraId="4AF788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Приложения: № 1 - План производства и поставки корпусов артснарядов, литья и штамповки для них на июнь-июль 1945 г.; № 2 - План производства и поставки корпусов авиабомб, литья и штамповки для них на июнь-июль; № 3 - 13 тоже по разным видам боеприпасов; № 14 - Ведомость элементов боеприпасов, поставляемых в июне-июле; № 15 - о спецукупорке; № 16-18 упоминаются в тексте.</w:t>
      </w:r>
    </w:p>
    <w:p w14:paraId="154C6056"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РЦХИДНИ. Ф. 644. Оп. 1. Д. 420. </w:t>
      </w:r>
      <w:proofErr w:type="gramStart"/>
      <w:r w:rsidRPr="00925F26">
        <w:rPr>
          <w:color w:val="000000" w:themeColor="text1"/>
          <w:sz w:val="16"/>
          <w:szCs w:val="16"/>
        </w:rPr>
        <w:t>Л .</w:t>
      </w:r>
      <w:proofErr w:type="gramEnd"/>
      <w:r w:rsidRPr="00925F26">
        <w:rPr>
          <w:color w:val="000000" w:themeColor="text1"/>
          <w:sz w:val="16"/>
          <w:szCs w:val="16"/>
        </w:rPr>
        <w:t xml:space="preserve"> 81-89. Заверенная копия (11461).</w:t>
      </w:r>
    </w:p>
    <w:p w14:paraId="2E18893A" w14:textId="77777777" w:rsidR="00665165" w:rsidRPr="00925F26" w:rsidRDefault="00665165" w:rsidP="00925F26">
      <w:pPr>
        <w:widowControl w:val="0"/>
        <w:autoSpaceDE w:val="0"/>
        <w:autoSpaceDN w:val="0"/>
        <w:adjustRightInd w:val="0"/>
        <w:jc w:val="both"/>
        <w:rPr>
          <w:color w:val="000000" w:themeColor="text1"/>
          <w:sz w:val="16"/>
          <w:szCs w:val="16"/>
        </w:rPr>
      </w:pPr>
    </w:p>
    <w:p w14:paraId="7E55429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8805 Об обеспечении бесперебойной работы узкоколейных линий Забайкальской железной дороги. (7344, 157-158,159-162).</w:t>
      </w:r>
    </w:p>
    <w:p w14:paraId="27E7C65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1B0AF4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8806 О мероприятиях по восстановлению железных дорог в 1945 г. (7344, 163-172,173-175).</w:t>
      </w:r>
    </w:p>
    <w:p w14:paraId="72410F0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44EB8B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8807 О строительстве Хинганского оловянного комбината и предприятия № 501 Наркомцветмета. РГАНИР, Фонд ГКО, д. 420, лл. 176-181, 182-190 (11012).</w:t>
      </w:r>
    </w:p>
    <w:p w14:paraId="1B499D5F" w14:textId="77777777" w:rsidR="00665165" w:rsidRPr="00925F26" w:rsidRDefault="00665165" w:rsidP="00925F26">
      <w:pPr>
        <w:autoSpaceDE w:val="0"/>
        <w:autoSpaceDN w:val="0"/>
        <w:adjustRightInd w:val="0"/>
        <w:jc w:val="both"/>
        <w:rPr>
          <w:color w:val="000000" w:themeColor="text1"/>
          <w:sz w:val="16"/>
          <w:szCs w:val="16"/>
        </w:rPr>
      </w:pPr>
    </w:p>
    <w:p w14:paraId="722702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8808 О неотложных мерах по обеспечению дровами ижевских заводов Наркомвооружения. РГАНИР, Фонд ГКО, д. 420, лл. 191-200, 201-204 (11012).</w:t>
      </w:r>
    </w:p>
    <w:p w14:paraId="5DA362A4" w14:textId="77777777" w:rsidR="00665165" w:rsidRPr="00925F26" w:rsidRDefault="00665165" w:rsidP="00925F26">
      <w:pPr>
        <w:autoSpaceDE w:val="0"/>
        <w:autoSpaceDN w:val="0"/>
        <w:adjustRightInd w:val="0"/>
        <w:jc w:val="both"/>
        <w:rPr>
          <w:color w:val="000000" w:themeColor="text1"/>
          <w:sz w:val="16"/>
          <w:szCs w:val="16"/>
        </w:rPr>
      </w:pPr>
    </w:p>
    <w:p w14:paraId="600C044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мая 1945 в СССР объявлено о начале перехода промышленности к мирному производству (4962).</w:t>
      </w:r>
    </w:p>
    <w:p w14:paraId="480CAAF9"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907FF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вышло постановление ГКО № № 8803 "О мероприятиях по перестройке промышленности в связи с сокращением производства вооружений" (1566,194).</w:t>
      </w:r>
    </w:p>
    <w:p w14:paraId="32E0D02D" w14:textId="77777777" w:rsidR="00665165" w:rsidRPr="00925F26" w:rsidRDefault="00665165" w:rsidP="00925F26">
      <w:pPr>
        <w:autoSpaceDE w:val="0"/>
        <w:autoSpaceDN w:val="0"/>
        <w:adjustRightInd w:val="0"/>
        <w:jc w:val="both"/>
        <w:rPr>
          <w:color w:val="000000" w:themeColor="text1"/>
          <w:sz w:val="16"/>
          <w:szCs w:val="16"/>
        </w:rPr>
      </w:pPr>
    </w:p>
    <w:p w14:paraId="759F14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 мая 1945 г. по приказу ГКО производство мин на заводе № 264 было прекращено. Вместо этого Наркомат транспортного машиностроения (НКТМ), в ведении которого находился завод, обязал его подготовиться к выпуску в IV квартале 1945 г. бронекорпусов «Т-44» в сборе, новых типов башен и бронещитов.</w:t>
      </w:r>
    </w:p>
    <w:p w14:paraId="72E46C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этого же времени, согласно постановлениям СНК СССР от 26 октября и НКТМ от 10 ноября 1945 г., ССЗ должен был осваивать производство необходимой для региона продукции — нефтекачалок «СНК-5».</w:t>
      </w:r>
    </w:p>
    <w:p w14:paraId="40362B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Частичное изменение профиля завода сопровождалось переменами в его производственной базе. Уменьшилось общее число станков в связи с консервацией снятого с производства специального оборудования для изготовления боеприпасов. Возрос станочный парк отдельных цехов, как за счет универсальных станков, освободившихся после выпуска боеприпасов, так и в связи с поступлением отечественного и репарационного оборудования.</w:t>
      </w:r>
    </w:p>
    <w:p w14:paraId="79246F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Большинство немецких станков было установлено в инструментальном цехе, мощность которого заметно возросла. Если в целом по заводу общее количество металлорежущих станков сократилось с 576 до 495, то есть на 14 %, то в инструментальном цехе увеличилось с 67 до 77 (на 13 %). Поскольку перестройка производства была незначительной, завод выполнил план 1945 г. по валовой продукции на 103,2 %, по товарной — на 104,4 %72.</w:t>
      </w:r>
    </w:p>
    <w:p w14:paraId="05D5E3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программе 1946 г. удельный вес бронекорпусного производства на ССЗ снизился до 73 %, его структура осталась прежней.</w:t>
      </w:r>
    </w:p>
    <w:p w14:paraId="797559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начал изготовление нефтекачалок и штамповку вагонных деталей. Наряду с этим шла подготовка к восстановлению судостроения. В отличие от 1945 г. план 1946 г. по валовой продукции был выполнен всего на 79,2 % (в целом по предприятиям Министерства транспортного машиностроения — на 81 %). Сказывалось несколько причин: недопоставки броневого листа и деталей со смежных предприятий, ограниченное снабжение завода мазутом и кислородом, недостаток оборудования и нехватка квалифицированной рабочей силы (11616).</w:t>
      </w:r>
    </w:p>
    <w:p w14:paraId="260A5C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687FACA" w14:textId="77777777" w:rsidR="00BE2FB1"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9ACFEA2" w14:textId="77777777" w:rsidR="00BE2FB1" w:rsidRPr="00925F26" w:rsidRDefault="00BE2FB1" w:rsidP="00925F26">
      <w:pPr>
        <w:autoSpaceDE w:val="0"/>
        <w:autoSpaceDN w:val="0"/>
        <w:adjustRightInd w:val="0"/>
        <w:jc w:val="both"/>
        <w:rPr>
          <w:iCs/>
          <w:color w:val="000000" w:themeColor="text1"/>
          <w:sz w:val="16"/>
          <w:szCs w:val="16"/>
        </w:rPr>
      </w:pPr>
    </w:p>
    <w:p w14:paraId="5CB17261" w14:textId="77777777" w:rsidR="00BE2FB1" w:rsidRPr="00925F26" w:rsidRDefault="00BE2FB1" w:rsidP="00925F26">
      <w:pPr>
        <w:jc w:val="both"/>
        <w:rPr>
          <w:color w:val="000000" w:themeColor="text1"/>
          <w:sz w:val="16"/>
          <w:szCs w:val="16"/>
        </w:rPr>
      </w:pPr>
      <w:r w:rsidRPr="00925F26">
        <w:rPr>
          <w:bCs/>
          <w:color w:val="000000" w:themeColor="text1"/>
          <w:sz w:val="16"/>
          <w:szCs w:val="16"/>
        </w:rPr>
        <w:t>26 мая</w:t>
      </w:r>
      <w:r w:rsidRPr="00925F26">
        <w:rPr>
          <w:color w:val="000000" w:themeColor="text1"/>
          <w:sz w:val="16"/>
          <w:szCs w:val="16"/>
        </w:rPr>
        <w:t xml:space="preserve"> в 1945 году в Москве начались переговоры (26 мая - 6 июня) личного представителя президента США Г.Гопкинса с членами Советского правительства. Обсуждались проблемы послевоенного урегулирования (в частности, организации контроля над Германией), вопросы репараций раздела германского флота, положения в Польше, вступления СССР в войну с Японией (14903).</w:t>
      </w:r>
    </w:p>
    <w:p w14:paraId="1E7DD1CD" w14:textId="77777777" w:rsidR="00BE2FB1" w:rsidRPr="00925F26" w:rsidRDefault="00BE2FB1" w:rsidP="00925F26">
      <w:pPr>
        <w:jc w:val="both"/>
        <w:rPr>
          <w:color w:val="000000" w:themeColor="text1"/>
          <w:sz w:val="16"/>
          <w:szCs w:val="16"/>
        </w:rPr>
      </w:pPr>
    </w:p>
    <w:p w14:paraId="5BE661CA"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04264B1" w14:textId="77777777" w:rsidR="00665165" w:rsidRPr="00925F26" w:rsidRDefault="00665165" w:rsidP="00925F26">
      <w:pPr>
        <w:autoSpaceDE w:val="0"/>
        <w:autoSpaceDN w:val="0"/>
        <w:adjustRightInd w:val="0"/>
        <w:jc w:val="both"/>
        <w:rPr>
          <w:iCs/>
          <w:color w:val="000000" w:themeColor="text1"/>
          <w:sz w:val="16"/>
          <w:szCs w:val="16"/>
        </w:rPr>
      </w:pPr>
    </w:p>
    <w:p w14:paraId="7E1D99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Гос. испытания Ил-8-2 начались уже после войны (173,134), 27 мая 1945. Скорость при массе 7610 кг на высоте 2800 м составила 509 км/ч. Отмечена хорошая устойчивость и управляемость, большая грузоподъемность, мощное вооружение, значительную дальность и скорость, удобство и простоту эксплуатации. Однако, подчеркивалось, что по скорости, скороподъемности, маневренности, разбегу и пробегу - уступает серийным Ил-10. Учитывая, что война закончилась, а Ил-10 уже в серии, Ил-8 в серию не передавали (5,132).</w:t>
      </w:r>
    </w:p>
    <w:p w14:paraId="50A0C8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шли до 7 июля - 41 календарный день, из которых летных - 11, нелетных - 12, 18 - доводка и ремонт машины (2104).</w:t>
      </w:r>
    </w:p>
    <w:p w14:paraId="432FF7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F5689" w:rsidRPr="00925F26" w14:paraId="36845822" w14:textId="77777777">
        <w:tc>
          <w:tcPr>
            <w:tcW w:w="3652" w:type="dxa"/>
          </w:tcPr>
          <w:p w14:paraId="224158AC"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3FF38D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Ил-8</w:t>
            </w:r>
          </w:p>
        </w:tc>
        <w:tc>
          <w:tcPr>
            <w:tcW w:w="4394" w:type="dxa"/>
          </w:tcPr>
          <w:p w14:paraId="7D9AC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w:t>
            </w:r>
          </w:p>
        </w:tc>
      </w:tr>
      <w:tr w:rsidR="000F5689" w:rsidRPr="00925F26" w14:paraId="479C133D" w14:textId="77777777">
        <w:tc>
          <w:tcPr>
            <w:tcW w:w="3652" w:type="dxa"/>
          </w:tcPr>
          <w:p w14:paraId="0E35D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Максимальная скорость у земли </w:t>
            </w:r>
          </w:p>
        </w:tc>
        <w:tc>
          <w:tcPr>
            <w:tcW w:w="2410" w:type="dxa"/>
          </w:tcPr>
          <w:p w14:paraId="41ABD6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461 </w:t>
            </w:r>
          </w:p>
        </w:tc>
        <w:tc>
          <w:tcPr>
            <w:tcW w:w="4394" w:type="dxa"/>
          </w:tcPr>
          <w:p w14:paraId="784D4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507</w:t>
            </w:r>
          </w:p>
        </w:tc>
      </w:tr>
      <w:tr w:rsidR="000F5689" w:rsidRPr="00925F26" w14:paraId="40CD3FF5" w14:textId="77777777">
        <w:tc>
          <w:tcPr>
            <w:tcW w:w="3652" w:type="dxa"/>
          </w:tcPr>
          <w:p w14:paraId="499AE932"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56F0FB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(418 с 2хФАБ-500)</w:t>
            </w:r>
          </w:p>
        </w:tc>
        <w:tc>
          <w:tcPr>
            <w:tcW w:w="4394" w:type="dxa"/>
          </w:tcPr>
          <w:p w14:paraId="75EA83B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BBDCA1A" w14:textId="77777777">
        <w:tc>
          <w:tcPr>
            <w:tcW w:w="3652" w:type="dxa"/>
          </w:tcPr>
          <w:p w14:paraId="1D1B60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границе высотности</w:t>
            </w:r>
          </w:p>
        </w:tc>
        <w:tc>
          <w:tcPr>
            <w:tcW w:w="2410" w:type="dxa"/>
          </w:tcPr>
          <w:p w14:paraId="3E4C9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509</w:t>
            </w:r>
          </w:p>
        </w:tc>
        <w:tc>
          <w:tcPr>
            <w:tcW w:w="4394" w:type="dxa"/>
          </w:tcPr>
          <w:p w14:paraId="1B8D6D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551</w:t>
            </w:r>
          </w:p>
        </w:tc>
      </w:tr>
      <w:tr w:rsidR="000F5689" w:rsidRPr="00925F26" w14:paraId="7E04B61D" w14:textId="77777777">
        <w:tc>
          <w:tcPr>
            <w:tcW w:w="3652" w:type="dxa"/>
          </w:tcPr>
          <w:p w14:paraId="5AFF0E1A"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05CCE0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 с 2хФАБ-500)</w:t>
            </w:r>
          </w:p>
        </w:tc>
        <w:tc>
          <w:tcPr>
            <w:tcW w:w="4394" w:type="dxa"/>
          </w:tcPr>
          <w:p w14:paraId="1FC5B02F"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03CECF8" w14:textId="77777777">
        <w:tc>
          <w:tcPr>
            <w:tcW w:w="3652" w:type="dxa"/>
          </w:tcPr>
          <w:p w14:paraId="15CB7B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3000 м</w:t>
            </w:r>
          </w:p>
        </w:tc>
        <w:tc>
          <w:tcPr>
            <w:tcW w:w="2410" w:type="dxa"/>
          </w:tcPr>
          <w:p w14:paraId="3A5A79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w:t>
            </w:r>
          </w:p>
        </w:tc>
        <w:tc>
          <w:tcPr>
            <w:tcW w:w="4394" w:type="dxa"/>
          </w:tcPr>
          <w:p w14:paraId="3BF850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r>
      <w:tr w:rsidR="000F5689" w:rsidRPr="00925F26" w14:paraId="7C06CCB4" w14:textId="77777777">
        <w:tc>
          <w:tcPr>
            <w:tcW w:w="3652" w:type="dxa"/>
          </w:tcPr>
          <w:p w14:paraId="7C5BCF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на 45 м</w:t>
            </w:r>
          </w:p>
        </w:tc>
        <w:tc>
          <w:tcPr>
            <w:tcW w:w="2410" w:type="dxa"/>
          </w:tcPr>
          <w:p w14:paraId="692C4A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520</w:t>
            </w:r>
          </w:p>
        </w:tc>
        <w:tc>
          <w:tcPr>
            <w:tcW w:w="4394" w:type="dxa"/>
          </w:tcPr>
          <w:p w14:paraId="63457E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6E6BD30B" w14:textId="77777777">
        <w:tc>
          <w:tcPr>
            <w:tcW w:w="3652" w:type="dxa"/>
          </w:tcPr>
          <w:p w14:paraId="2BE80A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Нормальная нагрузка</w:t>
            </w:r>
          </w:p>
        </w:tc>
        <w:tc>
          <w:tcPr>
            <w:tcW w:w="2410" w:type="dxa"/>
          </w:tcPr>
          <w:p w14:paraId="7FE20D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2500</w:t>
            </w:r>
          </w:p>
        </w:tc>
        <w:tc>
          <w:tcPr>
            <w:tcW w:w="4394" w:type="dxa"/>
          </w:tcPr>
          <w:p w14:paraId="1E278D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1655</w:t>
            </w:r>
          </w:p>
        </w:tc>
      </w:tr>
      <w:tr w:rsidR="000F5689" w:rsidRPr="00925F26" w14:paraId="13161C59" w14:textId="77777777">
        <w:tc>
          <w:tcPr>
            <w:tcW w:w="3652" w:type="dxa"/>
          </w:tcPr>
          <w:p w14:paraId="398C3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2410" w:type="dxa"/>
          </w:tcPr>
          <w:p w14:paraId="531936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4394" w:type="dxa"/>
          </w:tcPr>
          <w:p w14:paraId="09440F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r>
      <w:tr w:rsidR="00561F31" w:rsidRPr="00925F26" w14:paraId="57806E0B" w14:textId="77777777">
        <w:tc>
          <w:tcPr>
            <w:tcW w:w="3652" w:type="dxa"/>
          </w:tcPr>
          <w:p w14:paraId="524A40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410" w:type="dxa"/>
          </w:tcPr>
          <w:p w14:paraId="059FE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1140</w:t>
            </w:r>
          </w:p>
        </w:tc>
        <w:tc>
          <w:tcPr>
            <w:tcW w:w="4394" w:type="dxa"/>
          </w:tcPr>
          <w:p w14:paraId="622599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 (2104)</w:t>
            </w:r>
          </w:p>
        </w:tc>
      </w:tr>
    </w:tbl>
    <w:p w14:paraId="750A8232" w14:textId="77777777" w:rsidR="00665165" w:rsidRPr="00925F26" w:rsidRDefault="00665165" w:rsidP="00925F26">
      <w:pPr>
        <w:autoSpaceDE w:val="0"/>
        <w:autoSpaceDN w:val="0"/>
        <w:adjustRightInd w:val="0"/>
        <w:jc w:val="both"/>
        <w:rPr>
          <w:color w:val="000000" w:themeColor="text1"/>
          <w:sz w:val="16"/>
          <w:szCs w:val="16"/>
        </w:rPr>
      </w:pPr>
    </w:p>
    <w:p w14:paraId="2F31AF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мая 1945 начались гос. испытания второго опытного Ил-8 (3846,21).</w:t>
      </w:r>
    </w:p>
    <w:p w14:paraId="20164FEF" w14:textId="77777777" w:rsidR="00665165" w:rsidRPr="00925F26" w:rsidRDefault="00665165" w:rsidP="00925F26">
      <w:pPr>
        <w:autoSpaceDE w:val="0"/>
        <w:autoSpaceDN w:val="0"/>
        <w:adjustRightInd w:val="0"/>
        <w:jc w:val="both"/>
        <w:rPr>
          <w:color w:val="000000" w:themeColor="text1"/>
          <w:sz w:val="16"/>
          <w:szCs w:val="16"/>
        </w:rPr>
      </w:pPr>
    </w:p>
    <w:p w14:paraId="13054A1C" w14:textId="77777777" w:rsidR="00F37105" w:rsidRPr="00925F26" w:rsidRDefault="00F37105" w:rsidP="00925F26">
      <w:pPr>
        <w:jc w:val="both"/>
        <w:rPr>
          <w:color w:val="000000" w:themeColor="text1"/>
          <w:sz w:val="16"/>
          <w:szCs w:val="16"/>
        </w:rPr>
      </w:pPr>
      <w:r w:rsidRPr="00925F26">
        <w:rPr>
          <w:bCs/>
          <w:color w:val="000000" w:themeColor="text1"/>
          <w:sz w:val="16"/>
          <w:szCs w:val="16"/>
        </w:rPr>
        <w:t>27 мая</w:t>
      </w:r>
      <w:r w:rsidRPr="00925F26">
        <w:rPr>
          <w:color w:val="000000" w:themeColor="text1"/>
          <w:sz w:val="16"/>
          <w:szCs w:val="16"/>
        </w:rPr>
        <w:t xml:space="preserve"> в 1945 году начались Государственные испытания </w:t>
      </w:r>
      <w:hyperlink r:id="rId132" w:tgtFrame="_blank" w:history="1">
        <w:r w:rsidRPr="00925F26">
          <w:rPr>
            <w:color w:val="000000" w:themeColor="text1"/>
            <w:sz w:val="16"/>
            <w:szCs w:val="16"/>
          </w:rPr>
          <w:t xml:space="preserve">«Ил-8» </w:t>
        </w:r>
      </w:hyperlink>
      <w:r w:rsidRPr="00925F26">
        <w:rPr>
          <w:color w:val="000000" w:themeColor="text1"/>
          <w:sz w:val="16"/>
          <w:szCs w:val="16"/>
        </w:rPr>
        <w:t>с «АМ-42» (второй опытный экземпляр). При полетном весе 7610 кг штурмовик показал максимальную скорость у земли - 461 км/ч, и на высоте 2800 м -509 км/ч, практический потолок -6900 м, длину разбега - 520 м, наибольшую дальность полета - 1140 км. В заключение отчета по испытаниям отмечалось: "Самолет обладает хорошей устойчивостью, большой грузоподъемностью, мощным вооружением, удобный в эксплуатации и имеет значительную дальность и скорость полета, что позволяет рекомендовать его к внедрению в серийное производство в качестве штурмовика - бомбардировщика". Учитывая окончание войны и наличие в серийном производстве штурмовика «Ил-10», которому «Ил-8» уступал по максимальной скорости, скороподъемности, маневренности, длине разбега при взлете и длине пробега после посадки, запуск последнего в серию был признан нецелесообразным (14904).</w:t>
      </w:r>
    </w:p>
    <w:p w14:paraId="4CF8D62F" w14:textId="77777777" w:rsidR="00F37105" w:rsidRPr="00925F26" w:rsidRDefault="00F37105" w:rsidP="00925F26">
      <w:pPr>
        <w:jc w:val="both"/>
        <w:rPr>
          <w:color w:val="000000" w:themeColor="text1"/>
          <w:sz w:val="16"/>
          <w:szCs w:val="16"/>
        </w:rPr>
      </w:pPr>
    </w:p>
    <w:p w14:paraId="013DA3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мая 1945-го после окончания Великой Отечественной войны начались Госиспытания второго опытного Ил-8. Новое размещение радиаторов системы охлаждения и смазки двигателя такое же, как и на Ил-10, более обтекаемый и аэродинамически чистый бронекорпус, улучшенная форма фонаря кабины пилота и значительно меньший, чем на первом опытном самолете, мидель обтекателя шасси - позволили получить на втором опытном Ил-8 более высокие лет-но-технические данные.</w:t>
      </w:r>
    </w:p>
    <w:p w14:paraId="34C51B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Была достигнута максимальная скорость горизонтального полета 509 км/ч на высоте 2800 м. Испытания отмечали хорошую устойчивость и управляемость, большую грузоподъемность, мощное вооружение, значительные дальность и скорость, удобство и простоту в эксплуатации нового штурмовика, но одновременно подчеркивали, что по максимальной скорости, скороподъемности, маневренности, длине разбега при взлете и пробеге после посадки штурмовик Ил-8 уступает серийному Ил-10.</w:t>
      </w:r>
    </w:p>
    <w:p w14:paraId="08A999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Учитывая окончание войны и наличие в производстве штурмовика Ил-10, обладающего лучшими данными, признали, что запуск в серию Ил-8 нецелесообразен (9532,6).</w:t>
      </w:r>
    </w:p>
    <w:p w14:paraId="6D66584E" w14:textId="77777777" w:rsidR="00665165" w:rsidRPr="00925F26" w:rsidRDefault="00665165" w:rsidP="00925F26">
      <w:pPr>
        <w:autoSpaceDE w:val="0"/>
        <w:autoSpaceDN w:val="0"/>
        <w:adjustRightInd w:val="0"/>
        <w:jc w:val="both"/>
        <w:rPr>
          <w:color w:val="000000" w:themeColor="text1"/>
          <w:sz w:val="16"/>
          <w:szCs w:val="16"/>
        </w:rPr>
      </w:pPr>
    </w:p>
    <w:p w14:paraId="0A56A1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мая 1945 г. начались госиспытания второго опытного самолета Ил-8 (9528). Летно-технические данные улучшились за счет нового размещения водяных и масляных радиаторов системы охлаждения и смазки (по типу Ил-10), более обтекаемого и аэродинамически чистого бронекорпуса, улучшенной формы фонаря кабины пилота и значительно меньшего, по сравнению с первым опытным самолетом, миделя обтекателей шасси. С нормальным полетным весом 7610 кг Ил-8 развил максимальную скорость 509 км/ч на высоте 2800 м. Испытатели отмечали хорошую устойчивость и управляемость, большую грузоподъемность, мощное вооружение, значительные дальность и скорость, удобство и простоту в эксплуатации нового штурмовика, но одновременно подчеркивали, что по максимальной скорости, скороподъемности, маневренности, длине разбега и пробега Ил-8 уступает серийному Ил-10. Учитывая окончание войны и наличие на вооружении штурмовика Ил-10 с лучшими летно-тактическими данными, запуск в серию самолета Ил-8 признали нецелесообразным (9528).</w:t>
      </w:r>
    </w:p>
    <w:p w14:paraId="388583AD" w14:textId="77777777" w:rsidR="00665165" w:rsidRPr="00925F26" w:rsidRDefault="00665165" w:rsidP="00925F26">
      <w:pPr>
        <w:autoSpaceDE w:val="0"/>
        <w:autoSpaceDN w:val="0"/>
        <w:adjustRightInd w:val="0"/>
        <w:jc w:val="both"/>
        <w:rPr>
          <w:color w:val="000000" w:themeColor="text1"/>
          <w:sz w:val="16"/>
          <w:szCs w:val="16"/>
        </w:rPr>
      </w:pPr>
    </w:p>
    <w:p w14:paraId="75195A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27 мая 1945 проходили государственные испытания Ил-8 с АМ-42 (второй опытный экземпляр)</w:t>
      </w:r>
    </w:p>
    <w:p w14:paraId="68A4E0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полетном весе 7610 кг штурмовик показал максимальную скорость у земли - 461 км/ч, и на высоте 2800 м -509 км/ч, практический потолок -6900 м, длину разбега - 520 м, наибольшую дальность полета - 1140 км.</w:t>
      </w:r>
    </w:p>
    <w:p w14:paraId="184C9B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заключение отчета по испытаниям отмечалось: “Самолет обладает хорошей устойчивостью, большой грузоподъемностью, мощным вооружением, удобный в эксплуатации и имеет значительную дальность и скорость полета, что позволяет рекомендовать его к внедрению в серийное производство в качестве штурмовика - бомбардировщика” (9649).</w:t>
      </w:r>
    </w:p>
    <w:p w14:paraId="4DEDB661" w14:textId="77777777" w:rsidR="00665165" w:rsidRPr="00925F26" w:rsidRDefault="00665165" w:rsidP="00925F26">
      <w:pPr>
        <w:autoSpaceDE w:val="0"/>
        <w:autoSpaceDN w:val="0"/>
        <w:adjustRightInd w:val="0"/>
        <w:jc w:val="both"/>
        <w:rPr>
          <w:color w:val="000000" w:themeColor="text1"/>
          <w:sz w:val="16"/>
          <w:szCs w:val="16"/>
        </w:rPr>
      </w:pPr>
    </w:p>
    <w:p w14:paraId="337A7AE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 мая 1945 начались полеты по программе государствен</w:t>
      </w:r>
      <w:r w:rsidRPr="00925F26">
        <w:rPr>
          <w:color w:val="000000" w:themeColor="text1"/>
          <w:sz w:val="16"/>
          <w:szCs w:val="16"/>
        </w:rPr>
        <w:softHyphen/>
        <w:t>ных испытаний Ил-8 № 1, хотя официальная передача Ил-8 № 1 в НИИ ВВС состоялась еще 14 мая 1945. Всего до 7 июля было выполнено 52 полета с налетом 36 ч 35 мин. Веду</w:t>
      </w:r>
      <w:r w:rsidRPr="00925F26">
        <w:rPr>
          <w:color w:val="000000" w:themeColor="text1"/>
          <w:sz w:val="16"/>
          <w:szCs w:val="16"/>
        </w:rPr>
        <w:softHyphen/>
        <w:t>щим летчиком-испытателем был под</w:t>
      </w:r>
      <w:r w:rsidRPr="00925F26">
        <w:rPr>
          <w:color w:val="000000" w:themeColor="text1"/>
          <w:sz w:val="16"/>
          <w:szCs w:val="16"/>
        </w:rPr>
        <w:softHyphen/>
        <w:t>полковник А. К. Долгов, а ведущим инженером — инженер-капитан С. Г. Фролов.</w:t>
      </w:r>
    </w:p>
    <w:p w14:paraId="7CCAF8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счет установки на самолет до</w:t>
      </w:r>
      <w:r w:rsidRPr="00925F26">
        <w:rPr>
          <w:color w:val="000000" w:themeColor="text1"/>
          <w:sz w:val="16"/>
          <w:szCs w:val="16"/>
        </w:rPr>
        <w:softHyphen/>
        <w:t>полнительного съемного оборудова</w:t>
      </w:r>
      <w:r w:rsidRPr="00925F26">
        <w:rPr>
          <w:color w:val="000000" w:themeColor="text1"/>
          <w:sz w:val="16"/>
          <w:szCs w:val="16"/>
        </w:rPr>
        <w:softHyphen/>
        <w:t>ния нормальный полетный вес уве</w:t>
      </w:r>
      <w:r w:rsidRPr="00925F26">
        <w:rPr>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925F26">
        <w:rPr>
          <w:color w:val="000000" w:themeColor="text1"/>
          <w:sz w:val="16"/>
          <w:szCs w:val="16"/>
        </w:rPr>
        <w:softHyphen/>
        <w:t>шая дальность полета на высоте 500 м при скорости по прибору 299 км/ч составила 1140 км.</w:t>
      </w:r>
    </w:p>
    <w:p w14:paraId="11ADBE8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материалах отчета отмечалось, что устойчивость и управляемость са</w:t>
      </w:r>
      <w:r w:rsidRPr="00925F26">
        <w:rPr>
          <w:color w:val="000000" w:themeColor="text1"/>
          <w:sz w:val="16"/>
          <w:szCs w:val="16"/>
        </w:rPr>
        <w:softHyphen/>
        <w:t>молета хорошие, по технике пилоти</w:t>
      </w:r>
      <w:r w:rsidRPr="00925F26">
        <w:rPr>
          <w:color w:val="000000" w:themeColor="text1"/>
          <w:sz w:val="16"/>
          <w:szCs w:val="16"/>
        </w:rPr>
        <w:softHyphen/>
        <w:t>рования самолет оказался простым и в целом был доступен летчикам средней квалификации. Никаких осо</w:t>
      </w:r>
      <w:r w:rsidRPr="00925F26">
        <w:rPr>
          <w:color w:val="000000" w:themeColor="text1"/>
          <w:sz w:val="16"/>
          <w:szCs w:val="16"/>
        </w:rPr>
        <w:softHyphen/>
        <w:t>бенностей, затрудняющих эксплуата</w:t>
      </w:r>
      <w:r w:rsidRPr="00925F26">
        <w:rPr>
          <w:color w:val="000000" w:themeColor="text1"/>
          <w:sz w:val="16"/>
          <w:szCs w:val="16"/>
        </w:rPr>
        <w:softHyphen/>
        <w:t>цию самолета, не наблюдалось.</w:t>
      </w:r>
    </w:p>
    <w:p w14:paraId="5173B0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Пикировал самолет весьма устой</w:t>
      </w:r>
      <w:r w:rsidRPr="00925F26">
        <w:rPr>
          <w:color w:val="000000" w:themeColor="text1"/>
          <w:sz w:val="16"/>
          <w:szCs w:val="16"/>
        </w:rPr>
        <w:softHyphen/>
        <w:t>чиво вплоть до углов 45°. Отдача пу</w:t>
      </w:r>
      <w:r w:rsidRPr="00925F26">
        <w:rPr>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925F26">
        <w:rPr>
          <w:color w:val="000000" w:themeColor="text1"/>
          <w:sz w:val="16"/>
          <w:szCs w:val="16"/>
        </w:rPr>
        <w:softHyphen/>
        <w:t>не прицельной.</w:t>
      </w:r>
    </w:p>
    <w:p w14:paraId="5E449F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Однако указывались и существен</w:t>
      </w:r>
      <w:r w:rsidRPr="00925F26">
        <w:rPr>
          <w:color w:val="000000" w:themeColor="text1"/>
          <w:sz w:val="16"/>
          <w:szCs w:val="16"/>
        </w:rPr>
        <w:softHyphen/>
        <w:t xml:space="preserve">ные недостатки самолета, наличие которых </w:t>
      </w:r>
      <w:r w:rsidRPr="00925F26">
        <w:rPr>
          <w:iCs/>
          <w:color w:val="000000" w:themeColor="text1"/>
          <w:sz w:val="16"/>
          <w:szCs w:val="16"/>
        </w:rPr>
        <w:t>"не позволяет полностью ис</w:t>
      </w:r>
      <w:r w:rsidRPr="00925F26">
        <w:rPr>
          <w:iCs/>
          <w:color w:val="000000" w:themeColor="text1"/>
          <w:sz w:val="16"/>
          <w:szCs w:val="16"/>
        </w:rPr>
        <w:softHyphen/>
        <w:t xml:space="preserve">пользовать его боевые свойства". </w:t>
      </w:r>
      <w:r w:rsidRPr="00925F26">
        <w:rPr>
          <w:color w:val="000000" w:themeColor="text1"/>
          <w:sz w:val="16"/>
          <w:szCs w:val="16"/>
        </w:rPr>
        <w:t>В частности, бронирование Ил-8 со</w:t>
      </w:r>
      <w:r w:rsidRPr="00925F26">
        <w:rPr>
          <w:color w:val="000000" w:themeColor="text1"/>
          <w:sz w:val="16"/>
          <w:szCs w:val="16"/>
        </w:rPr>
        <w:softHyphen/>
        <w:t>чли не отвечающим современным требованиям, так как голова стрел</w:t>
      </w:r>
      <w:r w:rsidRPr="00925F26">
        <w:rPr>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925F26">
        <w:rPr>
          <w:color w:val="000000" w:themeColor="text1"/>
          <w:sz w:val="16"/>
          <w:szCs w:val="16"/>
        </w:rPr>
        <w:softHyphen/>
        <w:t>наря кабины стрелка, не была уста</w:t>
      </w:r>
      <w:r w:rsidRPr="00925F26">
        <w:rPr>
          <w:color w:val="000000" w:themeColor="text1"/>
          <w:sz w:val="16"/>
          <w:szCs w:val="16"/>
        </w:rPr>
        <w:softHyphen/>
        <w:t>новлена световая сигнализация выпуска и уборки шасси (только "сол</w:t>
      </w:r>
      <w:r w:rsidRPr="00925F26">
        <w:rPr>
          <w:color w:val="000000" w:themeColor="text1"/>
          <w:sz w:val="16"/>
          <w:szCs w:val="16"/>
        </w:rPr>
        <w:softHyphen/>
        <w:t>датики"), плохая вентиляция и жара в кабинах летчика и стрелка, недо</w:t>
      </w:r>
      <w:r w:rsidRPr="00925F26">
        <w:rPr>
          <w:color w:val="000000" w:themeColor="text1"/>
          <w:sz w:val="16"/>
          <w:szCs w:val="16"/>
        </w:rPr>
        <w:softHyphen/>
        <w:t>статочная эффективность тормозов и т.д.</w:t>
      </w:r>
    </w:p>
    <w:p w14:paraId="09AD20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925F26">
        <w:rPr>
          <w:iCs/>
          <w:color w:val="000000" w:themeColor="text1"/>
          <w:sz w:val="16"/>
          <w:szCs w:val="16"/>
        </w:rPr>
        <w:t>"...фонарь ка</w:t>
      </w:r>
      <w:r w:rsidRPr="00925F26">
        <w:rPr>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51B4A6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Военные специалисты положи</w:t>
      </w:r>
      <w:r w:rsidRPr="00925F26">
        <w:rPr>
          <w:color w:val="000000" w:themeColor="text1"/>
          <w:sz w:val="16"/>
          <w:szCs w:val="16"/>
        </w:rPr>
        <w:softHyphen/>
        <w:t>тельно оценили подвижную оборо</w:t>
      </w:r>
      <w:r w:rsidRPr="00925F26">
        <w:rPr>
          <w:color w:val="000000" w:themeColor="text1"/>
          <w:sz w:val="16"/>
          <w:szCs w:val="16"/>
        </w:rPr>
        <w:softHyphen/>
        <w:t>нительную установку ВУ-9 с пушкой БТ-20, которая имела значительные преимущества перед ВУ-8 с пулеме</w:t>
      </w:r>
      <w:r w:rsidRPr="00925F26">
        <w:rPr>
          <w:color w:val="000000" w:themeColor="text1"/>
          <w:sz w:val="16"/>
          <w:szCs w:val="16"/>
        </w:rPr>
        <w:softHyphen/>
        <w:t>том УБК.</w:t>
      </w:r>
    </w:p>
    <w:p w14:paraId="1A6D63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925F26">
        <w:rPr>
          <w:color w:val="000000" w:themeColor="text1"/>
          <w:sz w:val="16"/>
          <w:szCs w:val="16"/>
        </w:rPr>
        <w:softHyphen/>
        <w:t>зор из второй кабины самолета по</w:t>
      </w:r>
      <w:r w:rsidRPr="00925F26">
        <w:rPr>
          <w:color w:val="000000" w:themeColor="text1"/>
          <w:sz w:val="16"/>
          <w:szCs w:val="16"/>
        </w:rPr>
        <w:softHyphen/>
        <w:t>чти исключал возможность точного бомбометания.</w:t>
      </w:r>
    </w:p>
    <w:p w14:paraId="719779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повышение скорос</w:t>
      </w:r>
      <w:r w:rsidRPr="00925F26">
        <w:rPr>
          <w:color w:val="000000" w:themeColor="text1"/>
          <w:sz w:val="16"/>
          <w:szCs w:val="16"/>
        </w:rPr>
        <w:softHyphen/>
        <w:t>тных качеств улучшенной "восьмер</w:t>
      </w:r>
      <w:r w:rsidRPr="00925F26">
        <w:rPr>
          <w:color w:val="000000" w:themeColor="text1"/>
          <w:sz w:val="16"/>
          <w:szCs w:val="16"/>
        </w:rPr>
        <w:softHyphen/>
        <w:t>ки", маневренные свойства самолета оказались хуже, чем у Ил-АМ-42, проходившего государственные испы</w:t>
      </w:r>
      <w:r w:rsidRPr="00925F26">
        <w:rPr>
          <w:color w:val="000000" w:themeColor="text1"/>
          <w:sz w:val="16"/>
          <w:szCs w:val="16"/>
        </w:rPr>
        <w:softHyphen/>
        <w:t>тания весной 1944 г., и даже серий</w:t>
      </w:r>
      <w:r w:rsidRPr="00925F26">
        <w:rPr>
          <w:color w:val="000000" w:themeColor="text1"/>
          <w:sz w:val="16"/>
          <w:szCs w:val="16"/>
        </w:rPr>
        <w:softHyphen/>
        <w:t>ной "двойки".</w:t>
      </w:r>
    </w:p>
    <w:p w14:paraId="5B1C7C9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925F26">
        <w:rPr>
          <w:color w:val="000000" w:themeColor="text1"/>
          <w:sz w:val="16"/>
          <w:szCs w:val="16"/>
        </w:rPr>
        <w:softHyphen/>
        <w:t>ро нагонял Ил-8 и легко занимал выгодную позицию для атаки. Одна</w:t>
      </w:r>
      <w:r w:rsidRPr="00925F26">
        <w:rPr>
          <w:color w:val="000000" w:themeColor="text1"/>
          <w:sz w:val="16"/>
          <w:szCs w:val="16"/>
        </w:rPr>
        <w:softHyphen/>
        <w:t>ко считалось, что сочетание манев</w:t>
      </w:r>
      <w:r w:rsidRPr="00925F26">
        <w:rPr>
          <w:color w:val="000000" w:themeColor="text1"/>
          <w:sz w:val="16"/>
          <w:szCs w:val="16"/>
        </w:rPr>
        <w:softHyphen/>
        <w:t>ра и огня пушки БТ-20 вполне обес</w:t>
      </w:r>
      <w:r w:rsidRPr="00925F26">
        <w:rPr>
          <w:color w:val="000000" w:themeColor="text1"/>
          <w:sz w:val="16"/>
          <w:szCs w:val="16"/>
        </w:rPr>
        <w:softHyphen/>
        <w:t>печивает отражение атаки истреби</w:t>
      </w:r>
      <w:r w:rsidRPr="00925F26">
        <w:rPr>
          <w:color w:val="000000" w:themeColor="text1"/>
          <w:sz w:val="16"/>
          <w:szCs w:val="16"/>
        </w:rPr>
        <w:softHyphen/>
        <w:t>теля со стороны задней полусферы сверху. Атаки истребителя снизу сза</w:t>
      </w:r>
      <w:r w:rsidRPr="00925F26">
        <w:rPr>
          <w:color w:val="000000" w:themeColor="text1"/>
          <w:sz w:val="16"/>
          <w:szCs w:val="16"/>
        </w:rPr>
        <w:softHyphen/>
        <w:t>ди могли быть сорваны авиаграна</w:t>
      </w:r>
      <w:r w:rsidRPr="00925F26">
        <w:rPr>
          <w:color w:val="000000" w:themeColor="text1"/>
          <w:sz w:val="16"/>
          <w:szCs w:val="16"/>
        </w:rPr>
        <w:softHyphen/>
        <w:t>тами АГ-2, хотя вероятность этого со</w:t>
      </w:r>
      <w:r w:rsidRPr="00925F26">
        <w:rPr>
          <w:color w:val="000000" w:themeColor="text1"/>
          <w:sz w:val="16"/>
          <w:szCs w:val="16"/>
        </w:rPr>
        <w:softHyphen/>
        <w:t>бытия была небольшой.</w:t>
      </w:r>
    </w:p>
    <w:p w14:paraId="6EE562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Значительную трудность пред</w:t>
      </w:r>
      <w:r w:rsidRPr="00925F26">
        <w:rPr>
          <w:color w:val="000000" w:themeColor="text1"/>
          <w:sz w:val="16"/>
          <w:szCs w:val="16"/>
        </w:rPr>
        <w:softHyphen/>
        <w:t>ставляли атаки истребителей сверху и с боков из-за недостаточного сек</w:t>
      </w:r>
      <w:r w:rsidRPr="00925F26">
        <w:rPr>
          <w:color w:val="000000" w:themeColor="text1"/>
          <w:sz w:val="16"/>
          <w:szCs w:val="16"/>
        </w:rPr>
        <w:softHyphen/>
        <w:t>тора обстрела установки ВУ-9.</w:t>
      </w:r>
    </w:p>
    <w:p w14:paraId="7101F0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горизонтальном маневре ис</w:t>
      </w:r>
      <w:r w:rsidRPr="00925F26">
        <w:rPr>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925F26">
        <w:rPr>
          <w:color w:val="000000" w:themeColor="text1"/>
          <w:sz w:val="16"/>
          <w:szCs w:val="16"/>
        </w:rPr>
        <w:softHyphen/>
        <w:t>руднительным.</w:t>
      </w:r>
    </w:p>
    <w:p w14:paraId="728353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то же время п-к Н. И. Шауров, давая тактическую оценку самолету, указывал: </w:t>
      </w:r>
      <w:r w:rsidRPr="00925F26">
        <w:rPr>
          <w:iCs/>
          <w:color w:val="000000" w:themeColor="text1"/>
          <w:sz w:val="16"/>
          <w:szCs w:val="16"/>
        </w:rPr>
        <w:t>"...недостаточная манев</w:t>
      </w:r>
      <w:r w:rsidRPr="00925F26">
        <w:rPr>
          <w:iCs/>
          <w:color w:val="000000" w:themeColor="text1"/>
          <w:sz w:val="16"/>
          <w:szCs w:val="16"/>
        </w:rPr>
        <w:softHyphen/>
        <w:t>ренность Ил-8 ограничивает ведение</w:t>
      </w:r>
    </w:p>
    <w:p w14:paraId="333420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iCs/>
          <w:color w:val="000000" w:themeColor="text1"/>
          <w:sz w:val="16"/>
          <w:szCs w:val="16"/>
        </w:rPr>
        <w:t>огня в воздушном бою из передних огневых точек по истребителю".</w:t>
      </w:r>
    </w:p>
    <w:p w14:paraId="71BF18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Новый вариант Ил-8-го в срав</w:t>
      </w:r>
      <w:r w:rsidRPr="00925F26">
        <w:rPr>
          <w:color w:val="000000" w:themeColor="text1"/>
          <w:sz w:val="16"/>
          <w:szCs w:val="16"/>
        </w:rPr>
        <w:softHyphen/>
        <w:t>нении с Ил-АМ-42 имел более раз</w:t>
      </w:r>
      <w:r w:rsidRPr="00925F26">
        <w:rPr>
          <w:color w:val="000000" w:themeColor="text1"/>
          <w:sz w:val="16"/>
          <w:szCs w:val="16"/>
        </w:rPr>
        <w:softHyphen/>
        <w:t>нообразное оборудование. В част</w:t>
      </w:r>
      <w:r w:rsidRPr="00925F26">
        <w:rPr>
          <w:color w:val="000000" w:themeColor="text1"/>
          <w:sz w:val="16"/>
          <w:szCs w:val="16"/>
        </w:rPr>
        <w:softHyphen/>
        <w:t>ности, самолет снабжался радиопе</w:t>
      </w:r>
      <w:r w:rsidRPr="00925F26">
        <w:rPr>
          <w:color w:val="000000" w:themeColor="text1"/>
          <w:sz w:val="16"/>
          <w:szCs w:val="16"/>
        </w:rPr>
        <w:softHyphen/>
        <w:t>редатчиком РСИ-ЗМГ и радиоприем</w:t>
      </w:r>
      <w:r w:rsidRPr="00925F26">
        <w:rPr>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4B1F79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обеспечения работы радио-и спецоборудования устанавливались две антенны: одна для СЧ-3, а дру</w:t>
      </w:r>
      <w:r w:rsidRPr="00925F26">
        <w:rPr>
          <w:color w:val="000000" w:themeColor="text1"/>
          <w:sz w:val="16"/>
          <w:szCs w:val="16"/>
        </w:rPr>
        <w:softHyphen/>
        <w:t>гая — для связной радиостанции и РПКО.</w:t>
      </w:r>
    </w:p>
    <w:p w14:paraId="1173CF0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 результатов бомбо</w:t>
      </w:r>
      <w:r w:rsidRPr="00925F26">
        <w:rPr>
          <w:color w:val="000000" w:themeColor="text1"/>
          <w:sz w:val="16"/>
          <w:szCs w:val="16"/>
        </w:rPr>
        <w:softHyphen/>
        <w:t>метания, а также проведение пла</w:t>
      </w:r>
      <w:r w:rsidRPr="00925F26">
        <w:rPr>
          <w:color w:val="000000" w:themeColor="text1"/>
          <w:sz w:val="16"/>
          <w:szCs w:val="16"/>
        </w:rPr>
        <w:softHyphen/>
        <w:t>новой аэрофотосъемки и съемки на</w:t>
      </w:r>
      <w:r w:rsidRPr="00925F26">
        <w:rPr>
          <w:color w:val="000000" w:themeColor="text1"/>
          <w:sz w:val="16"/>
          <w:szCs w:val="16"/>
        </w:rPr>
        <w:softHyphen/>
        <w:t>зад под углами 25° и 50° обеспечи</w:t>
      </w:r>
      <w:r w:rsidRPr="00925F26">
        <w:rPr>
          <w:color w:val="000000" w:themeColor="text1"/>
          <w:sz w:val="16"/>
          <w:szCs w:val="16"/>
        </w:rPr>
        <w:softHyphen/>
        <w:t>вался фотоаппаратом АФА-ИМ.</w:t>
      </w:r>
    </w:p>
    <w:p w14:paraId="22DAEB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Предъявляя Ил-8 на испытания, Ильюшин предусмотрел вариант уси</w:t>
      </w:r>
      <w:r w:rsidRPr="00925F26">
        <w:rPr>
          <w:color w:val="000000" w:themeColor="text1"/>
          <w:sz w:val="16"/>
          <w:szCs w:val="16"/>
        </w:rPr>
        <w:softHyphen/>
        <w:t>ления бронирования самолета в слу</w:t>
      </w:r>
      <w:r w:rsidRPr="00925F26">
        <w:rPr>
          <w:color w:val="000000" w:themeColor="text1"/>
          <w:sz w:val="16"/>
          <w:szCs w:val="16"/>
        </w:rPr>
        <w:softHyphen/>
        <w:t>чае его запуска в серийное произ</w:t>
      </w:r>
      <w:r w:rsidRPr="00925F26">
        <w:rPr>
          <w:color w:val="000000" w:themeColor="text1"/>
          <w:sz w:val="16"/>
          <w:szCs w:val="16"/>
        </w:rPr>
        <w:softHyphen/>
        <w:t>водство, что и было отражено в от</w:t>
      </w:r>
      <w:r w:rsidRPr="00925F26">
        <w:rPr>
          <w:color w:val="000000" w:themeColor="text1"/>
          <w:sz w:val="16"/>
          <w:szCs w:val="16"/>
        </w:rPr>
        <w:softHyphen/>
        <w:t>чете по испытаниям.</w:t>
      </w:r>
    </w:p>
    <w:p w14:paraId="43914B4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серии предполагалось улучшить защиту стрелка со стороны задней полусферы за счет установки двух разнесенных друг от друга </w:t>
      </w:r>
      <w:proofErr w:type="gramStart"/>
      <w:r w:rsidRPr="00925F26">
        <w:rPr>
          <w:color w:val="000000" w:themeColor="text1"/>
          <w:sz w:val="16"/>
          <w:szCs w:val="16"/>
        </w:rPr>
        <w:t>бронеп-лит</w:t>
      </w:r>
      <w:proofErr w:type="gramEnd"/>
      <w:r w:rsidRPr="00925F26">
        <w:rPr>
          <w:color w:val="000000" w:themeColor="text1"/>
          <w:sz w:val="16"/>
          <w:szCs w:val="16"/>
        </w:rPr>
        <w:t xml:space="preserve"> толщиной 4 мм и 12 мм. Броне-стойкость такой системы, как пока</w:t>
      </w:r>
      <w:r w:rsidRPr="00925F26">
        <w:rPr>
          <w:color w:val="000000" w:themeColor="text1"/>
          <w:sz w:val="16"/>
          <w:szCs w:val="16"/>
        </w:rPr>
        <w:softHyphen/>
        <w:t>зали полигонные испытания, оказа</w:t>
      </w:r>
      <w:r w:rsidRPr="00925F26">
        <w:rPr>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925F26">
        <w:rPr>
          <w:color w:val="000000" w:themeColor="text1"/>
          <w:sz w:val="16"/>
          <w:szCs w:val="16"/>
        </w:rPr>
        <w:softHyphen/>
        <w:t>новка нового бронекорпуса увеличи</w:t>
      </w:r>
      <w:r w:rsidRPr="00925F26">
        <w:rPr>
          <w:color w:val="000000" w:themeColor="text1"/>
          <w:sz w:val="16"/>
          <w:szCs w:val="16"/>
        </w:rPr>
        <w:softHyphen/>
        <w:t>вала вес пустого самолета на 63 кг.</w:t>
      </w:r>
    </w:p>
    <w:p w14:paraId="3800E7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заключение отчета самолет ре</w:t>
      </w:r>
      <w:r w:rsidRPr="00925F26">
        <w:rPr>
          <w:color w:val="000000" w:themeColor="text1"/>
          <w:sz w:val="16"/>
          <w:szCs w:val="16"/>
        </w:rPr>
        <w:softHyphen/>
        <w:t xml:space="preserve">комендовался </w:t>
      </w:r>
      <w:r w:rsidRPr="00925F26">
        <w:rPr>
          <w:iCs/>
          <w:color w:val="000000" w:themeColor="text1"/>
          <w:sz w:val="16"/>
          <w:szCs w:val="16"/>
        </w:rPr>
        <w:t>"к внедрению в серий</w:t>
      </w:r>
      <w:r w:rsidRPr="00925F26">
        <w:rPr>
          <w:iCs/>
          <w:color w:val="000000" w:themeColor="text1"/>
          <w:sz w:val="16"/>
          <w:szCs w:val="16"/>
        </w:rPr>
        <w:softHyphen/>
        <w:t>ное производство в качестве штур</w:t>
      </w:r>
      <w:r w:rsidRPr="00925F26">
        <w:rPr>
          <w:iCs/>
          <w:color w:val="000000" w:themeColor="text1"/>
          <w:sz w:val="16"/>
          <w:szCs w:val="16"/>
        </w:rPr>
        <w:softHyphen/>
        <w:t xml:space="preserve">мовика - бомбардировщика". </w:t>
      </w:r>
      <w:r w:rsidRPr="00925F26">
        <w:rPr>
          <w:color w:val="000000" w:themeColor="text1"/>
          <w:sz w:val="16"/>
          <w:szCs w:val="16"/>
        </w:rPr>
        <w:t>Одна</w:t>
      </w:r>
      <w:r w:rsidRPr="00925F26">
        <w:rPr>
          <w:color w:val="000000" w:themeColor="text1"/>
          <w:sz w:val="16"/>
          <w:szCs w:val="16"/>
        </w:rPr>
        <w:softHyphen/>
        <w:t>ко окончательное решение о целе</w:t>
      </w:r>
      <w:r w:rsidRPr="00925F26">
        <w:rPr>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925F26">
        <w:rPr>
          <w:color w:val="000000" w:themeColor="text1"/>
          <w:sz w:val="16"/>
          <w:szCs w:val="16"/>
        </w:rPr>
        <w:softHyphen/>
        <w:t>ных государственных испытаний. Акт по испытаниям был подписан началь</w:t>
      </w:r>
      <w:r w:rsidRPr="00925F26">
        <w:rPr>
          <w:color w:val="000000" w:themeColor="text1"/>
          <w:sz w:val="16"/>
          <w:szCs w:val="16"/>
        </w:rPr>
        <w:softHyphen/>
        <w:t>ником 1-го управления НИИ ВВС генералом Сафроновым 22 июля 1945 г. (11431).</w:t>
      </w:r>
    </w:p>
    <w:p w14:paraId="15CDB3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F72F27B"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27 мая 1945 начались полеты Ил-8 № 1 по программе государственных испытаний лишь. Всего до 7 июля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47CD0B1C"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20301461"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6F8A9398"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324D1D90"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5373F427" w14:textId="77777777" w:rsidR="00B81DD0" w:rsidRPr="00925F26" w:rsidRDefault="00B81DD0"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226A6A04"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6771D9DE"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5BFFF41"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01B01FC8"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5CBFF3DA"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4AFAD4E1"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13C58EB0"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1CFFAC57"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17833424"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1F73F4D7"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3E849294" w14:textId="77777777" w:rsidR="00B81DD0" w:rsidRPr="00925F26" w:rsidRDefault="00B81DD0"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Ил-8 № 1 рекомендовался «к внедрению в серийное производство в качестве штурмовика-бомбардировщика» (17490).</w:t>
      </w:r>
    </w:p>
    <w:p w14:paraId="7EF813A0" w14:textId="77777777" w:rsidR="00B81DD0" w:rsidRPr="00925F26" w:rsidRDefault="00B81DD0" w:rsidP="00925F26">
      <w:pPr>
        <w:jc w:val="both"/>
        <w:rPr>
          <w:color w:val="000000" w:themeColor="text1"/>
          <w:sz w:val="16"/>
          <w:szCs w:val="16"/>
        </w:rPr>
      </w:pPr>
    </w:p>
    <w:p w14:paraId="0E15D57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6ABF9B1" w14:textId="77777777" w:rsidR="00665165" w:rsidRPr="00925F26" w:rsidRDefault="00665165" w:rsidP="00925F26">
      <w:pPr>
        <w:autoSpaceDE w:val="0"/>
        <w:autoSpaceDN w:val="0"/>
        <w:adjustRightInd w:val="0"/>
        <w:jc w:val="both"/>
        <w:rPr>
          <w:iCs/>
          <w:color w:val="000000" w:themeColor="text1"/>
          <w:sz w:val="16"/>
          <w:szCs w:val="16"/>
        </w:rPr>
      </w:pPr>
    </w:p>
    <w:p w14:paraId="3E9700F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мая 1945 вышло Распоряжение ГКО № 8809 [О материально-техническом снабжении Физико-технического института АН УССР.] (7345, 1-2,3-5).</w:t>
      </w:r>
    </w:p>
    <w:p w14:paraId="420D2C18"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E61742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BB2CBEC" w14:textId="77777777" w:rsidR="00665165" w:rsidRPr="00925F26" w:rsidRDefault="00665165" w:rsidP="00925F26">
      <w:pPr>
        <w:autoSpaceDE w:val="0"/>
        <w:autoSpaceDN w:val="0"/>
        <w:adjustRightInd w:val="0"/>
        <w:jc w:val="both"/>
        <w:rPr>
          <w:iCs/>
          <w:color w:val="000000" w:themeColor="text1"/>
          <w:sz w:val="16"/>
          <w:szCs w:val="16"/>
        </w:rPr>
      </w:pPr>
    </w:p>
    <w:p w14:paraId="2545F3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мая 1945 г. вышел приказ НКО № 23 НОРМЫ ОПЛАТЫ ЛИТЕРАТУРНЫХ РАБОТ ПО ИЗДАНИЯМ ГЕНШТАБА КРАСНОЙ АРМИИ, ГЛАВНЫХ (ЦЕНТРАЛЬНЫХ) УПРАВЛЕНИЙ НКО</w:t>
      </w:r>
    </w:p>
    <w:p w14:paraId="07AC9B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 Ставки авторского гонорара за один авторский лист (40 000 типографских знаков):</w:t>
      </w:r>
    </w:p>
    <w:p w14:paraId="03DA33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рублях</w:t>
      </w:r>
    </w:p>
    <w:p w14:paraId="64E7ED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Военно-теоретические и исследовательские работы по вопросам: стратегии, оперативного искусства, оперативного использования родов войск и служб, военной истории и географии, а также по обобщению опыта иностранных армий по этим вопросам......................... 1500—3000</w:t>
      </w:r>
    </w:p>
    <w:p w14:paraId="308A4F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Военно-теоретические и исследовательские работы по вопросам тактики всех родов войск и служб, а также тактики иностранных армий................. 1000—2500</w:t>
      </w:r>
    </w:p>
    <w:p w14:paraId="452409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Научно-исследовательские работы по вопросам военной техники и оружия..................... 1000—2500</w:t>
      </w:r>
    </w:p>
    <w:p w14:paraId="12884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Описание боевой техники................ 1000—2000</w:t>
      </w:r>
    </w:p>
    <w:p w14:paraId="112020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Составление баллистических таблиц, если это является самостоятельным творчеством составителя...... 1000—2000</w:t>
      </w:r>
    </w:p>
    <w:p w14:paraId="187E73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Учебники.......................... 1500—2500</w:t>
      </w:r>
    </w:p>
    <w:p w14:paraId="46330D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Учебные пособия и руководства............ 1000—2500</w:t>
      </w:r>
    </w:p>
    <w:p w14:paraId="2FA5CA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Методические указания для занятий в военных академиях и институтах...................... 1000—2000</w:t>
      </w:r>
    </w:p>
    <w:p w14:paraId="066651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 Конспекты лекций, руководства к лабораторным работам, руководства к практике, курсы на правах рукописи 1000—2000</w:t>
      </w:r>
    </w:p>
    <w:p w14:paraId="1E512A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Переводы:</w:t>
      </w:r>
    </w:p>
    <w:p w14:paraId="2AD7BD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с </w:t>
      </w:r>
      <w:proofErr w:type="gramStart"/>
      <w:r w:rsidRPr="00925F26">
        <w:rPr>
          <w:color w:val="000000" w:themeColor="text1"/>
          <w:sz w:val="16"/>
          <w:szCs w:val="16"/>
        </w:rPr>
        <w:t>западно-европейских</w:t>
      </w:r>
      <w:proofErr w:type="gramEnd"/>
      <w:r w:rsidRPr="00925F26">
        <w:rPr>
          <w:color w:val="000000" w:themeColor="text1"/>
          <w:sz w:val="16"/>
          <w:szCs w:val="16"/>
        </w:rPr>
        <w:t xml:space="preserve"> языков и языков балканских стран................................ 400—700</w:t>
      </w:r>
    </w:p>
    <w:p w14:paraId="318CB0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с языков азиатских народностей............ 500-800</w:t>
      </w:r>
    </w:p>
    <w:p w14:paraId="7D5883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 языков народностей СССР.............. 400—600</w:t>
      </w:r>
    </w:p>
    <w:p w14:paraId="47C2AA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с русского на языки народностей СССР....... 400—700</w:t>
      </w:r>
    </w:p>
    <w:p w14:paraId="12046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 Размер авторского гонорара, в пределах объявленных норм, устанавливается начальниками соответствующих управлений в зависимости от ценности издаваемых работ.</w:t>
      </w:r>
    </w:p>
    <w:p w14:paraId="4D5753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III. Указанные ставки выплачиваются независимо от тиража издания.</w:t>
      </w:r>
    </w:p>
    <w:p w14:paraId="2A28D8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IV. При переиздании литературных работ авторский гонорар выплачивается в размере не свыше 60% ставки за первое издание.</w:t>
      </w:r>
    </w:p>
    <w:p w14:paraId="7C0138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V. За редактирование и рецензирование литературных работ, в том числе нештатными членами редколлегий военных и политических журналов, выплачивается вознаграждение в следующих размерах:</w:t>
      </w:r>
    </w:p>
    <w:p w14:paraId="55D259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за редактирование — не свыше 15% авторского гонорара;</w:t>
      </w:r>
    </w:p>
    <w:p w14:paraId="01B5AB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за рецензирование — не свыше 7% авторского гонорара (9844).</w:t>
      </w:r>
    </w:p>
    <w:p w14:paraId="317F99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 4, оп. 12, д. 111, л. 369—371. Подлинник.</w:t>
      </w:r>
    </w:p>
    <w:p w14:paraId="073DD45B" w14:textId="77777777" w:rsidR="00665165" w:rsidRPr="00925F26" w:rsidRDefault="00665165" w:rsidP="00925F26">
      <w:pPr>
        <w:autoSpaceDE w:val="0"/>
        <w:autoSpaceDN w:val="0"/>
        <w:adjustRightInd w:val="0"/>
        <w:jc w:val="both"/>
        <w:rPr>
          <w:iCs/>
          <w:color w:val="000000" w:themeColor="text1"/>
          <w:sz w:val="16"/>
          <w:szCs w:val="16"/>
        </w:rPr>
      </w:pPr>
    </w:p>
    <w:p w14:paraId="6A086C37"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02C6CEB" w14:textId="77777777" w:rsidR="00665165" w:rsidRPr="00925F26" w:rsidRDefault="00665165" w:rsidP="00925F26">
      <w:pPr>
        <w:autoSpaceDE w:val="0"/>
        <w:autoSpaceDN w:val="0"/>
        <w:adjustRightInd w:val="0"/>
        <w:jc w:val="both"/>
        <w:rPr>
          <w:iCs/>
          <w:color w:val="000000" w:themeColor="text1"/>
          <w:sz w:val="16"/>
          <w:szCs w:val="16"/>
        </w:rPr>
      </w:pPr>
    </w:p>
    <w:p w14:paraId="235B65A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мая 1945 англичане в Австрии передали советским властям русский казачий корпус, созданный фашистами и шедший на соединение с власовцами (4962). Близ Линца в Австрии англичане передали советским войскам 15-й казачий кавалерийский корпус СС , первоначально шедший из Италии на соединение с РОА (37 генералов (среди них Шкуро и Краснов), 2200 офицеров, 30 000 казаков) (4963 ).</w:t>
      </w:r>
    </w:p>
    <w:p w14:paraId="0456F82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1779E2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 мая 1945 близ Линца в Австрии англичане передали советским союзникам казачий корпус, шедший из Италии на соединение с РОА - армией Власова. 37 генералов, 2200 офицеров, 30000 казаков. Все отправились в ГУЛАГ (3481).</w:t>
      </w:r>
    </w:p>
    <w:p w14:paraId="39F80FC2" w14:textId="77777777" w:rsidR="00665165" w:rsidRPr="00925F26" w:rsidRDefault="00665165" w:rsidP="00925F26">
      <w:pPr>
        <w:autoSpaceDE w:val="0"/>
        <w:autoSpaceDN w:val="0"/>
        <w:adjustRightInd w:val="0"/>
        <w:jc w:val="both"/>
        <w:rPr>
          <w:color w:val="000000" w:themeColor="text1"/>
          <w:sz w:val="16"/>
          <w:szCs w:val="16"/>
        </w:rPr>
      </w:pPr>
    </w:p>
    <w:p w14:paraId="7C815413" w14:textId="77777777" w:rsidR="00F3710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8834B80" w14:textId="77777777" w:rsidR="00F37105" w:rsidRPr="00925F26" w:rsidRDefault="00F37105" w:rsidP="00925F26">
      <w:pPr>
        <w:autoSpaceDE w:val="0"/>
        <w:autoSpaceDN w:val="0"/>
        <w:adjustRightInd w:val="0"/>
        <w:jc w:val="both"/>
        <w:rPr>
          <w:iCs/>
          <w:color w:val="000000" w:themeColor="text1"/>
          <w:sz w:val="16"/>
          <w:szCs w:val="16"/>
        </w:rPr>
      </w:pPr>
    </w:p>
    <w:p w14:paraId="2FF424E0" w14:textId="77777777" w:rsidR="00F37105" w:rsidRPr="00925F26" w:rsidRDefault="00F37105" w:rsidP="00925F26">
      <w:pPr>
        <w:jc w:val="both"/>
        <w:rPr>
          <w:color w:val="000000" w:themeColor="text1"/>
          <w:sz w:val="16"/>
          <w:szCs w:val="16"/>
        </w:rPr>
      </w:pPr>
      <w:r w:rsidRPr="00925F26">
        <w:rPr>
          <w:bCs/>
          <w:color w:val="000000" w:themeColor="text1"/>
          <w:sz w:val="16"/>
          <w:szCs w:val="16"/>
        </w:rPr>
        <w:t>27 мая</w:t>
      </w:r>
      <w:r w:rsidRPr="00925F26">
        <w:rPr>
          <w:color w:val="000000" w:themeColor="text1"/>
          <w:sz w:val="16"/>
          <w:szCs w:val="16"/>
        </w:rPr>
        <w:t xml:space="preserve"> в 1945 году во время авиашоу, когда он выполнял медленную "бочку", разбился третий «ХР-55». Пилот получил смертельные ранения. Второй прототип в настоящее время находится в Национальном музее авиации и космонавтики США в Вашингтоне (14904).</w:t>
      </w:r>
    </w:p>
    <w:p w14:paraId="443761C4" w14:textId="77777777" w:rsidR="00F37105" w:rsidRPr="00925F26" w:rsidRDefault="00F37105" w:rsidP="00925F26">
      <w:pPr>
        <w:jc w:val="both"/>
        <w:rPr>
          <w:color w:val="000000" w:themeColor="text1"/>
          <w:sz w:val="16"/>
          <w:szCs w:val="16"/>
        </w:rPr>
      </w:pPr>
    </w:p>
    <w:p w14:paraId="7848D641" w14:textId="77777777" w:rsidR="00247854" w:rsidRPr="00925F26" w:rsidRDefault="00247854" w:rsidP="00925F26">
      <w:pPr>
        <w:jc w:val="both"/>
        <w:rPr>
          <w:color w:val="000000" w:themeColor="text1"/>
          <w:sz w:val="16"/>
          <w:szCs w:val="16"/>
        </w:rPr>
      </w:pPr>
      <w:r w:rsidRPr="00925F26">
        <w:rPr>
          <w:color w:val="000000" w:themeColor="text1"/>
          <w:sz w:val="16"/>
          <w:szCs w:val="16"/>
        </w:rPr>
        <w:t>27 мая 1945 во время авиашоу Бонда на Ярмарке ВВС в Райт-Филд в Дейтоне, штат Огайо, пилот прототипа истребителя ВВС США Curtiss XP-55 Ascender (серийный номер 42-78847 ) пытается медленно лететь во время показательного полета после низкого прохода совместно с P-38 Lightning и P-51 Mustang, но теряет высоту и разбивается, рассыпая горящие обломки на гражданскими наземные транспортные средства на шоссе рядом с аэродромом. Крушение убивает пилота XP-55 и 2-4 гражданских лица (источники отличаются) на земле (20371).</w:t>
      </w:r>
    </w:p>
    <w:p w14:paraId="1D5084BC" w14:textId="77777777" w:rsidR="00247854" w:rsidRPr="00925F26" w:rsidRDefault="00247854" w:rsidP="00925F26">
      <w:pPr>
        <w:jc w:val="both"/>
        <w:rPr>
          <w:color w:val="000000" w:themeColor="text1"/>
          <w:sz w:val="16"/>
          <w:szCs w:val="16"/>
        </w:rPr>
      </w:pPr>
    </w:p>
    <w:p w14:paraId="3500E35C" w14:textId="77777777" w:rsidR="00247854" w:rsidRPr="00925F26" w:rsidRDefault="00247854" w:rsidP="00925F26">
      <w:pPr>
        <w:jc w:val="both"/>
        <w:rPr>
          <w:color w:val="000000" w:themeColor="text1"/>
          <w:sz w:val="16"/>
          <w:szCs w:val="16"/>
        </w:rPr>
      </w:pPr>
      <w:r w:rsidRPr="00925F26">
        <w:rPr>
          <w:color w:val="000000" w:themeColor="text1"/>
          <w:sz w:val="16"/>
          <w:szCs w:val="16"/>
        </w:rPr>
        <w:t xml:space="preserve">27–29 мая 1945 в восьмой атаке японцев кикусуи у Окинавы участвуют 110 </w:t>
      </w:r>
      <w:proofErr w:type="gramStart"/>
      <w:r w:rsidRPr="00925F26">
        <w:rPr>
          <w:color w:val="000000" w:themeColor="text1"/>
          <w:sz w:val="16"/>
          <w:szCs w:val="16"/>
        </w:rPr>
        <w:t>камикадзе .</w:t>
      </w:r>
      <w:proofErr w:type="gramEnd"/>
      <w:r w:rsidRPr="00925F26">
        <w:rPr>
          <w:color w:val="000000" w:themeColor="text1"/>
          <w:sz w:val="16"/>
          <w:szCs w:val="16"/>
        </w:rPr>
        <w:t xml:space="preserve"> Они потопили эсминец и повредили два эсминца, три торговых корабля и боевой транспорт (20371).</w:t>
      </w:r>
    </w:p>
    <w:p w14:paraId="7E1F09B3" w14:textId="77777777" w:rsidR="00247854" w:rsidRPr="00925F26" w:rsidRDefault="00247854" w:rsidP="00925F26">
      <w:pPr>
        <w:jc w:val="both"/>
        <w:rPr>
          <w:color w:val="000000" w:themeColor="text1"/>
          <w:sz w:val="16"/>
          <w:szCs w:val="16"/>
        </w:rPr>
      </w:pPr>
    </w:p>
    <w:p w14:paraId="1BAE857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1437B08" w14:textId="77777777" w:rsidR="00665165" w:rsidRPr="00925F26" w:rsidRDefault="00665165" w:rsidP="00925F26">
      <w:pPr>
        <w:autoSpaceDE w:val="0"/>
        <w:autoSpaceDN w:val="0"/>
        <w:adjustRightInd w:val="0"/>
        <w:jc w:val="both"/>
        <w:rPr>
          <w:iCs/>
          <w:color w:val="000000" w:themeColor="text1"/>
          <w:sz w:val="16"/>
          <w:szCs w:val="16"/>
        </w:rPr>
      </w:pPr>
    </w:p>
    <w:p w14:paraId="64D38FFC" w14:textId="77777777" w:rsidR="0038610C" w:rsidRPr="00925F26" w:rsidRDefault="0038610C" w:rsidP="00925F26">
      <w:pPr>
        <w:jc w:val="both"/>
        <w:rPr>
          <w:color w:val="000000" w:themeColor="text1"/>
          <w:sz w:val="16"/>
          <w:szCs w:val="16"/>
        </w:rPr>
      </w:pPr>
      <w:r w:rsidRPr="00925F26">
        <w:rPr>
          <w:color w:val="000000" w:themeColor="text1"/>
          <w:sz w:val="16"/>
          <w:szCs w:val="16"/>
        </w:rPr>
        <w:t>28 мая 1945 г. после доклада предварительных ре</w:t>
      </w:r>
      <w:r w:rsidRPr="00925F26">
        <w:rPr>
          <w:color w:val="000000" w:themeColor="text1"/>
          <w:sz w:val="16"/>
          <w:szCs w:val="16"/>
        </w:rPr>
        <w:softHyphen/>
        <w:t>зультатов расследований причин ава</w:t>
      </w:r>
      <w:r w:rsidRPr="00925F26">
        <w:rPr>
          <w:color w:val="000000" w:themeColor="text1"/>
          <w:sz w:val="16"/>
          <w:szCs w:val="16"/>
        </w:rPr>
        <w:softHyphen/>
        <w:t>рий и катастроф самолетов Ил-2 тремя комиссиями секре</w:t>
      </w:r>
      <w:r w:rsidRPr="00925F26">
        <w:rPr>
          <w:color w:val="000000" w:themeColor="text1"/>
          <w:sz w:val="16"/>
          <w:szCs w:val="16"/>
        </w:rPr>
        <w:softHyphen/>
        <w:t>тарю ЦК ВКП(б) Маленкову состоялось рассмотрения вопроса у Ста</w:t>
      </w:r>
      <w:r w:rsidRPr="00925F26">
        <w:rPr>
          <w:color w:val="000000" w:themeColor="text1"/>
          <w:sz w:val="16"/>
          <w:szCs w:val="16"/>
        </w:rPr>
        <w:softHyphen/>
        <w:t>лина и вышло постановление Государственного Комитета Обороны «О заводе №30 (Наркомата авиационной промышленности)». В нем указывалось:</w:t>
      </w:r>
    </w:p>
    <w:p w14:paraId="2347AB96" w14:textId="77777777" w:rsidR="0038610C" w:rsidRPr="00925F26" w:rsidRDefault="0038610C" w:rsidP="00925F26">
      <w:pPr>
        <w:jc w:val="both"/>
        <w:rPr>
          <w:color w:val="000000" w:themeColor="text1"/>
          <w:sz w:val="16"/>
          <w:szCs w:val="16"/>
        </w:rPr>
      </w:pPr>
      <w:r w:rsidRPr="00925F26">
        <w:rPr>
          <w:rStyle w:val="81"/>
          <w:rFonts w:ascii="Times New Roman" w:hAnsi="Times New Roman" w:cs="Times New Roman"/>
          <w:color w:val="000000" w:themeColor="text1"/>
        </w:rPr>
        <w:t>«В связи с тем, что на заводе №50 НКАП, где директором является т. Шапиро, глав</w:t>
      </w:r>
      <w:r w:rsidRPr="00925F26">
        <w:rPr>
          <w:rStyle w:val="81"/>
          <w:rFonts w:ascii="Times New Roman" w:hAnsi="Times New Roman" w:cs="Times New Roman"/>
          <w:color w:val="000000" w:themeColor="text1"/>
        </w:rPr>
        <w:softHyphen/>
        <w:t>ным инженером т. Бродянский, старшим военпредом т. Фалалеев, начальником от</w:t>
      </w:r>
      <w:r w:rsidRPr="00925F26">
        <w:rPr>
          <w:rStyle w:val="81"/>
          <w:rFonts w:ascii="Times New Roman" w:hAnsi="Times New Roman" w:cs="Times New Roman"/>
          <w:color w:val="000000" w:themeColor="text1"/>
        </w:rPr>
        <w:softHyphen/>
        <w:t>дела технического контроля т. Маргулис за последние</w:t>
      </w:r>
      <w:r w:rsidRPr="00925F26">
        <w:rPr>
          <w:rStyle w:val="885pt100"/>
          <w:rFonts w:ascii="Times New Roman" w:hAnsi="Times New Roman" w:cs="Times New Roman"/>
          <w:i w:val="0"/>
          <w:iCs w:val="0"/>
          <w:color w:val="000000" w:themeColor="text1"/>
          <w:sz w:val="16"/>
          <w:szCs w:val="16"/>
        </w:rPr>
        <w:t xml:space="preserve"> 5</w:t>
      </w:r>
      <w:r w:rsidRPr="00925F26">
        <w:rPr>
          <w:rStyle w:val="81"/>
          <w:rFonts w:ascii="Times New Roman" w:hAnsi="Times New Roman" w:cs="Times New Roman"/>
          <w:color w:val="000000" w:themeColor="text1"/>
        </w:rPr>
        <w:t xml:space="preserve"> месяца допустили по</w:t>
      </w:r>
      <w:r w:rsidRPr="00925F26">
        <w:rPr>
          <w:rStyle w:val="81"/>
          <w:rFonts w:ascii="Times New Roman" w:hAnsi="Times New Roman" w:cs="Times New Roman"/>
          <w:color w:val="000000" w:themeColor="text1"/>
        </w:rPr>
        <w:softHyphen/>
        <w:t>ставку недоброкачественных крыльев на нескольких самолетах Ил-2, в резуль</w:t>
      </w:r>
      <w:r w:rsidRPr="00925F26">
        <w:rPr>
          <w:rStyle w:val="81"/>
          <w:rFonts w:ascii="Times New Roman" w:hAnsi="Times New Roman" w:cs="Times New Roman"/>
          <w:color w:val="000000" w:themeColor="text1"/>
        </w:rPr>
        <w:softHyphen/>
        <w:t>тате чего на фронте имели место ката</w:t>
      </w:r>
      <w:r w:rsidRPr="00925F26">
        <w:rPr>
          <w:rStyle w:val="81"/>
          <w:rFonts w:ascii="Times New Roman" w:hAnsi="Times New Roman" w:cs="Times New Roman"/>
          <w:color w:val="000000" w:themeColor="text1"/>
        </w:rPr>
        <w:softHyphen/>
        <w:t>строфы, ГКО постановляет:</w:t>
      </w:r>
    </w:p>
    <w:p w14:paraId="0F8E68B2" w14:textId="77777777" w:rsidR="0038610C" w:rsidRPr="00925F26" w:rsidRDefault="0038610C" w:rsidP="00925F26">
      <w:pPr>
        <w:pStyle w:val="80"/>
        <w:shd w:val="clear" w:color="auto" w:fill="auto"/>
        <w:tabs>
          <w:tab w:val="left" w:pos="462"/>
        </w:tabs>
        <w:spacing w:line="240" w:lineRule="auto"/>
        <w:jc w:val="both"/>
        <w:rPr>
          <w:rFonts w:ascii="Times New Roman" w:hAnsi="Times New Roman" w:cs="Times New Roman"/>
          <w:color w:val="000000" w:themeColor="text1"/>
        </w:rPr>
      </w:pPr>
      <w:r w:rsidRPr="00925F26">
        <w:rPr>
          <w:rFonts w:ascii="Times New Roman" w:hAnsi="Times New Roman" w:cs="Times New Roman"/>
          <w:color w:val="000000" w:themeColor="text1"/>
        </w:rPr>
        <w:t>1. Отдать под суд начальника ОТК за</w:t>
      </w:r>
      <w:r w:rsidRPr="00925F26">
        <w:rPr>
          <w:rFonts w:ascii="Times New Roman" w:hAnsi="Times New Roman" w:cs="Times New Roman"/>
          <w:color w:val="000000" w:themeColor="text1"/>
        </w:rPr>
        <w:softHyphen/>
        <w:t>вода №50 НКАП т. Маргулиса.</w:t>
      </w:r>
    </w:p>
    <w:p w14:paraId="655327EA" w14:textId="77777777" w:rsidR="0038610C" w:rsidRPr="00925F26" w:rsidRDefault="0038610C" w:rsidP="00925F26">
      <w:pPr>
        <w:pStyle w:val="80"/>
        <w:shd w:val="clear" w:color="auto" w:fill="auto"/>
        <w:tabs>
          <w:tab w:val="left" w:pos="466"/>
        </w:tabs>
        <w:spacing w:line="240" w:lineRule="auto"/>
        <w:jc w:val="both"/>
        <w:rPr>
          <w:rFonts w:ascii="Times New Roman" w:hAnsi="Times New Roman" w:cs="Times New Roman"/>
          <w:color w:val="000000" w:themeColor="text1"/>
        </w:rPr>
      </w:pPr>
      <w:r w:rsidRPr="00925F26">
        <w:rPr>
          <w:rFonts w:ascii="Times New Roman" w:hAnsi="Times New Roman" w:cs="Times New Roman"/>
          <w:color w:val="000000" w:themeColor="text1"/>
        </w:rPr>
        <w:t>2. Объявить директору завода №50 НКАП т. Шапиро, главному инженеру за</w:t>
      </w:r>
      <w:r w:rsidRPr="00925F26">
        <w:rPr>
          <w:rFonts w:ascii="Times New Roman" w:hAnsi="Times New Roman" w:cs="Times New Roman"/>
          <w:color w:val="000000" w:themeColor="text1"/>
        </w:rPr>
        <w:softHyphen/>
        <w:t>вода №50 НКАП и старшему военпреду за</w:t>
      </w:r>
      <w:r w:rsidRPr="00925F26">
        <w:rPr>
          <w:rFonts w:ascii="Times New Roman" w:hAnsi="Times New Roman" w:cs="Times New Roman"/>
          <w:color w:val="000000" w:themeColor="text1"/>
        </w:rPr>
        <w:softHyphen/>
        <w:t>вода №50 НКАП строгий выговор с преду</w:t>
      </w:r>
      <w:r w:rsidRPr="00925F26">
        <w:rPr>
          <w:rFonts w:ascii="Times New Roman" w:hAnsi="Times New Roman" w:cs="Times New Roman"/>
          <w:color w:val="000000" w:themeColor="text1"/>
        </w:rPr>
        <w:softHyphen/>
        <w:t>преждением...</w:t>
      </w:r>
    </w:p>
    <w:p w14:paraId="422F1F23" w14:textId="77777777" w:rsidR="0038610C" w:rsidRPr="00925F26" w:rsidRDefault="0038610C" w:rsidP="00925F26">
      <w:pPr>
        <w:jc w:val="both"/>
        <w:rPr>
          <w:rStyle w:val="9pt80"/>
          <w:rFonts w:ascii="Times New Roman" w:hAnsi="Times New Roman" w:cs="Times New Roman"/>
          <w:color w:val="000000" w:themeColor="text1"/>
          <w:w w:val="100"/>
          <w:sz w:val="16"/>
          <w:szCs w:val="16"/>
        </w:rPr>
      </w:pPr>
      <w:r w:rsidRPr="00925F26">
        <w:rPr>
          <w:color w:val="000000" w:themeColor="text1"/>
          <w:sz w:val="16"/>
          <w:szCs w:val="16"/>
        </w:rPr>
        <w:t>5. Обязать Наркома авиационной про</w:t>
      </w:r>
      <w:r w:rsidRPr="00925F26">
        <w:rPr>
          <w:color w:val="000000" w:themeColor="text1"/>
          <w:sz w:val="16"/>
          <w:szCs w:val="16"/>
        </w:rPr>
        <w:softHyphen/>
        <w:t>мышленности т. Шахурина лично навести должный порядок на заводе, обеспечив вы</w:t>
      </w:r>
      <w:r w:rsidRPr="00925F26">
        <w:rPr>
          <w:color w:val="000000" w:themeColor="text1"/>
          <w:sz w:val="16"/>
          <w:szCs w:val="16"/>
        </w:rPr>
        <w:softHyphen/>
        <w:t>пуск заводом №50 вполне доброкачествен</w:t>
      </w:r>
      <w:r w:rsidRPr="00925F26">
        <w:rPr>
          <w:color w:val="000000" w:themeColor="text1"/>
          <w:sz w:val="16"/>
          <w:szCs w:val="16"/>
        </w:rPr>
        <w:softHyphen/>
        <w:t>ных самолетов".</w:t>
      </w:r>
    </w:p>
    <w:p w14:paraId="24CA6778" w14:textId="77777777" w:rsidR="0038610C" w:rsidRPr="00925F26" w:rsidRDefault="0038610C" w:rsidP="00925F26">
      <w:pPr>
        <w:pStyle w:val="250"/>
        <w:shd w:val="clear" w:color="auto" w:fill="auto"/>
        <w:spacing w:after="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Следствием решения ГКО стал приказ наркома Шахурина, согласно которому, по</w:t>
      </w:r>
      <w:r w:rsidRPr="00925F26">
        <w:rPr>
          <w:rFonts w:ascii="Times New Roman" w:cs="Times New Roman"/>
          <w:color w:val="000000" w:themeColor="text1"/>
          <w:sz w:val="16"/>
          <w:szCs w:val="16"/>
        </w:rPr>
        <w:softHyphen/>
        <w:t>мимо прочего, директорам заводов №№1 и 18 Третьякову и Белянскому объявлялось по выговору с предупреждением.</w:t>
      </w:r>
    </w:p>
    <w:p w14:paraId="03F033B3" w14:textId="77777777" w:rsidR="0038610C" w:rsidRPr="00925F26" w:rsidRDefault="0038610C" w:rsidP="00925F26">
      <w:pPr>
        <w:pStyle w:val="250"/>
        <w:shd w:val="clear" w:color="auto" w:fill="auto"/>
        <w:spacing w:after="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Одновременно военная прокура</w:t>
      </w:r>
      <w:r w:rsidRPr="00925F26">
        <w:rPr>
          <w:rFonts w:ascii="Times New Roman" w:cs="Times New Roman"/>
          <w:color w:val="000000" w:themeColor="text1"/>
          <w:sz w:val="16"/>
          <w:szCs w:val="16"/>
        </w:rPr>
        <w:softHyphen/>
        <w:t>тура провела свое расследование фак</w:t>
      </w:r>
      <w:r w:rsidRPr="00925F26">
        <w:rPr>
          <w:rFonts w:ascii="Times New Roman" w:cs="Times New Roman"/>
          <w:color w:val="000000" w:themeColor="text1"/>
          <w:sz w:val="16"/>
          <w:szCs w:val="16"/>
        </w:rPr>
        <w:softHyphen/>
        <w:t>тов нарушений при производстве само</w:t>
      </w:r>
      <w:r w:rsidRPr="00925F26">
        <w:rPr>
          <w:rFonts w:ascii="Times New Roman" w:cs="Times New Roman"/>
          <w:color w:val="000000" w:themeColor="text1"/>
          <w:sz w:val="16"/>
          <w:szCs w:val="16"/>
        </w:rPr>
        <w:softHyphen/>
        <w:t>летов Ил-2 на заводе №30. В результате несколько начальников цехов и работни</w:t>
      </w:r>
      <w:r w:rsidRPr="00925F26">
        <w:rPr>
          <w:rFonts w:ascii="Times New Roman" w:cs="Times New Roman"/>
          <w:color w:val="000000" w:themeColor="text1"/>
          <w:sz w:val="16"/>
          <w:szCs w:val="16"/>
        </w:rPr>
        <w:softHyphen/>
        <w:t xml:space="preserve">ков ОТК завода №30 были приговорены </w:t>
      </w:r>
      <w:r w:rsidRPr="00925F26">
        <w:rPr>
          <w:rStyle w:val="Impact7pt"/>
          <w:rFonts w:ascii="Times New Roman" w:hAnsi="Times New Roman" w:cs="Times New Roman"/>
          <w:color w:val="000000" w:themeColor="text1"/>
          <w:sz w:val="16"/>
          <w:szCs w:val="16"/>
        </w:rPr>
        <w:t>к</w:t>
      </w:r>
      <w:r w:rsidRPr="00925F26">
        <w:rPr>
          <w:rFonts w:ascii="Times New Roman" w:cs="Times New Roman"/>
          <w:color w:val="000000" w:themeColor="text1"/>
          <w:sz w:val="16"/>
          <w:szCs w:val="16"/>
        </w:rPr>
        <w:t xml:space="preserve"> различным срокам заключения (от трех до восьми лет) (19557).</w:t>
      </w:r>
    </w:p>
    <w:p w14:paraId="30FC09FC" w14:textId="77777777" w:rsidR="0038610C" w:rsidRPr="00925F26" w:rsidRDefault="0038610C" w:rsidP="00925F26">
      <w:pPr>
        <w:pStyle w:val="250"/>
        <w:shd w:val="clear" w:color="auto" w:fill="auto"/>
        <w:spacing w:after="0" w:line="240" w:lineRule="auto"/>
        <w:jc w:val="both"/>
        <w:rPr>
          <w:rFonts w:ascii="Times New Roman" w:cs="Times New Roman"/>
          <w:color w:val="000000" w:themeColor="text1"/>
          <w:sz w:val="16"/>
          <w:szCs w:val="16"/>
        </w:rPr>
      </w:pPr>
    </w:p>
    <w:p w14:paraId="5017C5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закончились заводские испытания Як-9С ВК105ПФ2 и НС-23, которые начались 10 мая 1945 (65,144).</w:t>
      </w:r>
    </w:p>
    <w:p w14:paraId="3B04F34C" w14:textId="77777777" w:rsidR="00665165" w:rsidRPr="00925F26" w:rsidRDefault="00665165" w:rsidP="00925F26">
      <w:pPr>
        <w:autoSpaceDE w:val="0"/>
        <w:autoSpaceDN w:val="0"/>
        <w:adjustRightInd w:val="0"/>
        <w:jc w:val="both"/>
        <w:rPr>
          <w:color w:val="000000" w:themeColor="text1"/>
          <w:sz w:val="16"/>
          <w:szCs w:val="16"/>
        </w:rPr>
      </w:pPr>
    </w:p>
    <w:p w14:paraId="47F68D97" w14:textId="77777777" w:rsidR="00F37105" w:rsidRPr="00925F26" w:rsidRDefault="00F37105" w:rsidP="00925F26">
      <w:pPr>
        <w:jc w:val="both"/>
        <w:rPr>
          <w:color w:val="000000" w:themeColor="text1"/>
          <w:sz w:val="16"/>
          <w:szCs w:val="16"/>
        </w:rPr>
      </w:pPr>
      <w:r w:rsidRPr="00925F26">
        <w:rPr>
          <w:bCs/>
          <w:color w:val="000000" w:themeColor="text1"/>
          <w:sz w:val="16"/>
          <w:szCs w:val="16"/>
        </w:rPr>
        <w:t>28 мая</w:t>
      </w:r>
      <w:r w:rsidRPr="00925F26">
        <w:rPr>
          <w:color w:val="000000" w:themeColor="text1"/>
          <w:sz w:val="16"/>
          <w:szCs w:val="16"/>
        </w:rPr>
        <w:t xml:space="preserve"> в 1945 году завершились (с 10 мая) заводские испытания </w:t>
      </w:r>
      <w:hyperlink r:id="rId133" w:tgtFrame="_blank" w:history="1">
        <w:r w:rsidRPr="00925F26">
          <w:rPr>
            <w:color w:val="000000" w:themeColor="text1"/>
            <w:sz w:val="16"/>
            <w:szCs w:val="16"/>
          </w:rPr>
          <w:t xml:space="preserve">«Як-9С» </w:t>
        </w:r>
      </w:hyperlink>
      <w:r w:rsidRPr="00925F26">
        <w:rPr>
          <w:color w:val="000000" w:themeColor="text1"/>
          <w:sz w:val="16"/>
          <w:szCs w:val="16"/>
        </w:rPr>
        <w:t xml:space="preserve">(летчик П.Я.Федрови) и государственные испытания с 28 августа по 14 сентября 1945 г. (летчики В.Г.Иванов и А.А.Манучаров, инженер по самолету И.А.Колосов, по вооружению - А.Г.Аронов). «Як-9С» с двигателем «ВК-105ПФ2» и винтом «ВИШ-105СВ-01» являлся модификацией серийного «Як-9М» и отличался от него вооружением, а также винтом, обладавшим более высоким КПД благодаря профилированию комлевых частей лопастей. Буква "С" в наименовании самолета </w:t>
      </w:r>
      <w:proofErr w:type="gramStart"/>
      <w:r w:rsidRPr="00925F26">
        <w:rPr>
          <w:color w:val="000000" w:themeColor="text1"/>
          <w:sz w:val="16"/>
          <w:szCs w:val="16"/>
        </w:rPr>
        <w:t>- это</w:t>
      </w:r>
      <w:proofErr w:type="gramEnd"/>
      <w:r w:rsidRPr="00925F26">
        <w:rPr>
          <w:color w:val="000000" w:themeColor="text1"/>
          <w:sz w:val="16"/>
          <w:szCs w:val="16"/>
        </w:rPr>
        <w:t xml:space="preserve"> заводской индекс, не несущий какой-либо смысловой нагрузки. Вместо установленных на «Як-9М» мотор-пушки «ШВАК» с боезапасом 120 снарядов и пулемета «УБС» с боезапасом 200 патронов на «Як-9С» были установлены мотор-пушка 2HС-23» калибра 23 мм с боезапасом 60 снарядов и две синхронные пушки «Б-20С» калибра 20 мм с боезапасом по 120 снарядов (14905).</w:t>
      </w:r>
    </w:p>
    <w:p w14:paraId="58A2B1AC" w14:textId="77777777" w:rsidR="00F37105" w:rsidRPr="00925F26" w:rsidRDefault="00F37105" w:rsidP="00925F26">
      <w:pPr>
        <w:jc w:val="both"/>
        <w:rPr>
          <w:color w:val="000000" w:themeColor="text1"/>
          <w:sz w:val="16"/>
          <w:szCs w:val="16"/>
        </w:rPr>
      </w:pPr>
    </w:p>
    <w:p w14:paraId="7E4D8C59" w14:textId="77777777" w:rsidR="008A6626" w:rsidRPr="00925F26" w:rsidRDefault="008A6626" w:rsidP="00925F26">
      <w:pPr>
        <w:jc w:val="both"/>
        <w:rPr>
          <w:color w:val="000000" w:themeColor="text1"/>
          <w:sz w:val="16"/>
          <w:szCs w:val="16"/>
        </w:rPr>
      </w:pPr>
      <w:r w:rsidRPr="00925F26">
        <w:rPr>
          <w:color w:val="000000" w:themeColor="text1"/>
          <w:sz w:val="16"/>
          <w:szCs w:val="16"/>
        </w:rPr>
        <w:t>28 мая 1945 г. СССР попросил о поставке по ленд-лизу уже 120 самолетов В-29 для использова</w:t>
      </w:r>
      <w:r w:rsidRPr="00925F26">
        <w:rPr>
          <w:color w:val="000000" w:themeColor="text1"/>
          <w:sz w:val="16"/>
          <w:szCs w:val="16"/>
        </w:rPr>
        <w:softHyphen/>
        <w:t>ния в кампании против Японии. Но ни од</w:t>
      </w:r>
      <w:r w:rsidRPr="00925F26">
        <w:rPr>
          <w:color w:val="000000" w:themeColor="text1"/>
          <w:sz w:val="16"/>
          <w:szCs w:val="16"/>
        </w:rPr>
        <w:softHyphen/>
        <w:t>ной машины опять из США не получили.</w:t>
      </w:r>
    </w:p>
    <w:p w14:paraId="000E3C34" w14:textId="77777777" w:rsidR="008A6626" w:rsidRPr="00925F26" w:rsidRDefault="008A6626" w:rsidP="00925F26">
      <w:pPr>
        <w:jc w:val="both"/>
        <w:rPr>
          <w:color w:val="000000" w:themeColor="text1"/>
          <w:sz w:val="16"/>
          <w:szCs w:val="16"/>
        </w:rPr>
      </w:pPr>
      <w:r w:rsidRPr="00925F26">
        <w:rPr>
          <w:color w:val="000000" w:themeColor="text1"/>
          <w:sz w:val="16"/>
          <w:szCs w:val="16"/>
        </w:rPr>
        <w:t>Однако к этому времени в Советском Союзе уже имелись три бомбардиров</w:t>
      </w:r>
      <w:r w:rsidRPr="00925F26">
        <w:rPr>
          <w:color w:val="000000" w:themeColor="text1"/>
          <w:sz w:val="16"/>
          <w:szCs w:val="16"/>
        </w:rPr>
        <w:softHyphen/>
        <w:t>щика данного типа. Всего же советскую границу пересекли пять В-29. Все они участвовали в американских налетах на Манчжурию или Японию. Первый самолет (№ 42-6256) сел на аэродром морской ави</w:t>
      </w:r>
      <w:r w:rsidRPr="00925F26">
        <w:rPr>
          <w:color w:val="000000" w:themeColor="text1"/>
          <w:sz w:val="16"/>
          <w:szCs w:val="16"/>
        </w:rPr>
        <w:softHyphen/>
        <w:t>ации Центральная-Угловая в 30 км к се</w:t>
      </w:r>
      <w:r w:rsidRPr="00925F26">
        <w:rPr>
          <w:color w:val="000000" w:themeColor="text1"/>
          <w:sz w:val="16"/>
          <w:szCs w:val="16"/>
        </w:rPr>
        <w:softHyphen/>
        <w:t>веру от Владивостока 29 июля 1944 г. Он принадлежал 771-й эскадрилье и нес обо</w:t>
      </w:r>
      <w:r w:rsidRPr="00925F26">
        <w:rPr>
          <w:color w:val="000000" w:themeColor="text1"/>
          <w:sz w:val="16"/>
          <w:szCs w:val="16"/>
        </w:rPr>
        <w:softHyphen/>
        <w:t>значение «Рэмп Трэмп». Этот B-29-5-BW был подбит японскими зенитчиками над Аньшанем в Манчжурии. Вышел из строя один мотор и командир капитан Джарелл решил садиться у союзников. В советском воздушном пространстве машину пере</w:t>
      </w:r>
      <w:r w:rsidRPr="00925F26">
        <w:rPr>
          <w:color w:val="000000" w:themeColor="text1"/>
          <w:sz w:val="16"/>
          <w:szCs w:val="16"/>
        </w:rPr>
        <w:softHyphen/>
        <w:t>хватили истребители ВВС Тихоокеанского флота и привели на аэродром.</w:t>
      </w:r>
    </w:p>
    <w:p w14:paraId="3D2852C2" w14:textId="77777777" w:rsidR="008A6626" w:rsidRPr="00925F26" w:rsidRDefault="008A6626" w:rsidP="00925F26">
      <w:pPr>
        <w:jc w:val="both"/>
        <w:rPr>
          <w:color w:val="000000" w:themeColor="text1"/>
          <w:sz w:val="16"/>
          <w:szCs w:val="16"/>
        </w:rPr>
      </w:pPr>
      <w:r w:rsidRPr="00925F26">
        <w:rPr>
          <w:color w:val="000000" w:themeColor="text1"/>
          <w:sz w:val="16"/>
          <w:szCs w:val="16"/>
        </w:rPr>
        <w:t>Согласно действовавшему в то время советско-японскому договору о нейтра</w:t>
      </w:r>
      <w:r w:rsidRPr="00925F26">
        <w:rPr>
          <w:color w:val="000000" w:themeColor="text1"/>
          <w:sz w:val="16"/>
          <w:szCs w:val="16"/>
        </w:rPr>
        <w:softHyphen/>
        <w:t>литете, самолет и экипаж интернировали. «Рэмп Трэмп» остался на Центральной- Угловой, а Джарелл с товарищами отпра</w:t>
      </w:r>
      <w:r w:rsidRPr="00925F26">
        <w:rPr>
          <w:color w:val="000000" w:themeColor="text1"/>
          <w:sz w:val="16"/>
          <w:szCs w:val="16"/>
        </w:rPr>
        <w:softHyphen/>
        <w:t>вился в сборный лагерь в Средней Азии, контролировавшийся представителями японского посольства. Однако американ</w:t>
      </w:r>
      <w:r w:rsidRPr="00925F26">
        <w:rPr>
          <w:color w:val="000000" w:themeColor="text1"/>
          <w:sz w:val="16"/>
          <w:szCs w:val="16"/>
        </w:rPr>
        <w:softHyphen/>
        <w:t>цы затем благополучно «бежали» в Иран.</w:t>
      </w:r>
    </w:p>
    <w:p w14:paraId="4EFBBB56" w14:textId="77777777" w:rsidR="008A6626" w:rsidRPr="00925F26" w:rsidRDefault="008A6626" w:rsidP="00925F26">
      <w:pPr>
        <w:jc w:val="both"/>
        <w:rPr>
          <w:color w:val="000000" w:themeColor="text1"/>
          <w:sz w:val="16"/>
          <w:szCs w:val="16"/>
        </w:rPr>
      </w:pPr>
      <w:r w:rsidRPr="00925F26">
        <w:rPr>
          <w:color w:val="000000" w:themeColor="text1"/>
          <w:sz w:val="16"/>
          <w:szCs w:val="16"/>
        </w:rPr>
        <w:lastRenderedPageBreak/>
        <w:t>20 августа Амур пересек еще один под</w:t>
      </w:r>
      <w:r w:rsidRPr="00925F26">
        <w:rPr>
          <w:color w:val="000000" w:themeColor="text1"/>
          <w:sz w:val="16"/>
          <w:szCs w:val="16"/>
        </w:rPr>
        <w:softHyphen/>
        <w:t>битый самолет — B-29A-1-BN (№ 42-93829, по другому документу — 42-9329) из 395-й эскадрильи. Он получил сильные повреждения при бомбежке сталелитей</w:t>
      </w:r>
      <w:r w:rsidRPr="00925F26">
        <w:rPr>
          <w:color w:val="000000" w:themeColor="text1"/>
          <w:sz w:val="16"/>
          <w:szCs w:val="16"/>
        </w:rPr>
        <w:softHyphen/>
        <w:t>ных заводов в Явате. Командир самолета Мак-Глинн, перетянув через реку, при</w:t>
      </w:r>
      <w:r w:rsidRPr="00925F26">
        <w:rPr>
          <w:color w:val="000000" w:themeColor="text1"/>
          <w:sz w:val="16"/>
          <w:szCs w:val="16"/>
        </w:rPr>
        <w:softHyphen/>
        <w:t>казал всем прыгать. Весь экипаж бла</w:t>
      </w:r>
      <w:r w:rsidRPr="00925F26">
        <w:rPr>
          <w:color w:val="000000" w:themeColor="text1"/>
          <w:sz w:val="16"/>
          <w:szCs w:val="16"/>
        </w:rPr>
        <w:softHyphen/>
        <w:t>гополучно приземлился на парашютах. Неуправляемый «боинг» врезался в сопку в районе Хабаровска. Его изуродованные обломки по большей части до сих пор ле</w:t>
      </w:r>
      <w:r w:rsidRPr="00925F26">
        <w:rPr>
          <w:color w:val="000000" w:themeColor="text1"/>
          <w:sz w:val="16"/>
          <w:szCs w:val="16"/>
        </w:rPr>
        <w:softHyphen/>
        <w:t>жат в тайге.</w:t>
      </w:r>
    </w:p>
    <w:p w14:paraId="2A4EB812" w14:textId="77777777" w:rsidR="008A6626" w:rsidRPr="00925F26" w:rsidRDefault="008A6626" w:rsidP="00925F26">
      <w:pPr>
        <w:jc w:val="both"/>
        <w:rPr>
          <w:color w:val="000000" w:themeColor="text1"/>
          <w:sz w:val="16"/>
          <w:szCs w:val="16"/>
        </w:rPr>
      </w:pPr>
      <w:r w:rsidRPr="00925F26">
        <w:rPr>
          <w:color w:val="000000" w:themeColor="text1"/>
          <w:sz w:val="16"/>
          <w:szCs w:val="16"/>
        </w:rPr>
        <w:t>Следующим стал В-29-15-BW № 42-6365 капитана Прайса, «Генерал X. Арнольд спешиэл» из 794-й эскадрильи. 11 ноября 1944 г. при налете на Японию он попал в тайфун и был поражен молнией. Экипаж потеряд ориентировку и в результате ока</w:t>
      </w:r>
      <w:r w:rsidRPr="00925F26">
        <w:rPr>
          <w:color w:val="000000" w:themeColor="text1"/>
          <w:sz w:val="16"/>
          <w:szCs w:val="16"/>
        </w:rPr>
        <w:softHyphen/>
        <w:t>зался у побережья советского Дальнего Востока. Прайс сел на Центральной- Угловой, найдя площадку чисто случайно.</w:t>
      </w:r>
    </w:p>
    <w:p w14:paraId="28F85E9C" w14:textId="77777777" w:rsidR="008A6626" w:rsidRPr="00925F26" w:rsidRDefault="008A6626" w:rsidP="00925F26">
      <w:pPr>
        <w:jc w:val="both"/>
        <w:rPr>
          <w:color w:val="000000" w:themeColor="text1"/>
          <w:sz w:val="16"/>
          <w:szCs w:val="16"/>
        </w:rPr>
      </w:pPr>
      <w:r w:rsidRPr="00925F26">
        <w:rPr>
          <w:color w:val="000000" w:themeColor="text1"/>
          <w:sz w:val="16"/>
          <w:szCs w:val="16"/>
        </w:rPr>
        <w:t>Четвертая машина, B-29-15-BW № 42- 6358 лейтенанта Микиша (по другому до</w:t>
      </w:r>
      <w:r w:rsidRPr="00925F26">
        <w:rPr>
          <w:color w:val="000000" w:themeColor="text1"/>
          <w:sz w:val="16"/>
          <w:szCs w:val="16"/>
        </w:rPr>
        <w:softHyphen/>
        <w:t>кументу — Миклиша), бомбила Омуру и после атаки японских истребителей ушла на трех моторах. Лететь назад Микиш по</w:t>
      </w:r>
      <w:r w:rsidRPr="00925F26">
        <w:rPr>
          <w:color w:val="000000" w:themeColor="text1"/>
          <w:sz w:val="16"/>
          <w:szCs w:val="16"/>
        </w:rPr>
        <w:softHyphen/>
        <w:t>боялся и двинулся к Владивостоку. У по</w:t>
      </w:r>
      <w:r w:rsidRPr="00925F26">
        <w:rPr>
          <w:color w:val="000000" w:themeColor="text1"/>
          <w:sz w:val="16"/>
          <w:szCs w:val="16"/>
        </w:rPr>
        <w:softHyphen/>
        <w:t>бережья его встретили советские истре</w:t>
      </w:r>
      <w:r w:rsidRPr="00925F26">
        <w:rPr>
          <w:color w:val="000000" w:themeColor="text1"/>
          <w:sz w:val="16"/>
          <w:szCs w:val="16"/>
        </w:rPr>
        <w:softHyphen/>
        <w:t>бители и привели на аэродром. На борту этого бомбардировщика имелась надпись «Динг Хао».</w:t>
      </w:r>
    </w:p>
    <w:p w14:paraId="5B5258DE" w14:textId="77777777" w:rsidR="008A6626" w:rsidRPr="00925F26" w:rsidRDefault="008A6626" w:rsidP="00925F26">
      <w:pPr>
        <w:jc w:val="both"/>
        <w:rPr>
          <w:color w:val="000000" w:themeColor="text1"/>
          <w:sz w:val="16"/>
          <w:szCs w:val="16"/>
        </w:rPr>
      </w:pPr>
      <w:r w:rsidRPr="00925F26">
        <w:rPr>
          <w:color w:val="000000" w:themeColor="text1"/>
          <w:sz w:val="16"/>
          <w:szCs w:val="16"/>
        </w:rPr>
        <w:t>Значительно позже, 29 августа 1945 г., в районе аэродрома Канко, где базировал</w:t>
      </w:r>
      <w:r w:rsidRPr="00925F26">
        <w:rPr>
          <w:color w:val="000000" w:themeColor="text1"/>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925F26">
        <w:rPr>
          <w:color w:val="000000" w:themeColor="text1"/>
          <w:sz w:val="16"/>
          <w:szCs w:val="16"/>
        </w:rPr>
        <w:softHyphen/>
        <w:t>ний мотор, машина в Канко и приземли</w:t>
      </w:r>
      <w:r w:rsidRPr="00925F26">
        <w:rPr>
          <w:color w:val="000000" w:themeColor="text1"/>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01282075" w14:textId="77777777" w:rsidR="008A6626" w:rsidRPr="00925F26" w:rsidRDefault="008A6626" w:rsidP="00925F26">
      <w:pPr>
        <w:jc w:val="both"/>
        <w:rPr>
          <w:color w:val="000000" w:themeColor="text1"/>
          <w:sz w:val="16"/>
          <w:szCs w:val="16"/>
        </w:rPr>
      </w:pPr>
    </w:p>
    <w:p w14:paraId="7E273D01" w14:textId="77777777" w:rsidR="000B5D98" w:rsidRPr="001A0BAA" w:rsidRDefault="000B5D98" w:rsidP="000B5D98">
      <w:pPr>
        <w:jc w:val="both"/>
        <w:rPr>
          <w:color w:val="0070C0"/>
          <w:sz w:val="16"/>
          <w:szCs w:val="16"/>
        </w:rPr>
      </w:pPr>
      <w:r w:rsidRPr="001A0BAA">
        <w:rPr>
          <w:color w:val="0070C0"/>
          <w:sz w:val="16"/>
          <w:szCs w:val="16"/>
        </w:rPr>
        <w:t>28 мая 1945 г. СССР запросил 120 В-29 для использования на Дальнем Востоке против Японии. Однако американцы вновь ответили отказом (25184).</w:t>
      </w:r>
    </w:p>
    <w:p w14:paraId="425C5B54" w14:textId="77777777" w:rsidR="000B5D98" w:rsidRPr="001A0BAA" w:rsidRDefault="000B5D98" w:rsidP="000B5D98">
      <w:pPr>
        <w:jc w:val="both"/>
        <w:rPr>
          <w:color w:val="0070C0"/>
          <w:sz w:val="16"/>
          <w:szCs w:val="16"/>
        </w:rPr>
      </w:pPr>
    </w:p>
    <w:p w14:paraId="7486E8D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69EE295" w14:textId="77777777" w:rsidR="00665165" w:rsidRPr="00925F26" w:rsidRDefault="00665165" w:rsidP="00925F26">
      <w:pPr>
        <w:autoSpaceDE w:val="0"/>
        <w:autoSpaceDN w:val="0"/>
        <w:adjustRightInd w:val="0"/>
        <w:jc w:val="both"/>
        <w:rPr>
          <w:iCs/>
          <w:color w:val="000000" w:themeColor="text1"/>
          <w:sz w:val="16"/>
          <w:szCs w:val="16"/>
        </w:rPr>
      </w:pPr>
    </w:p>
    <w:p w14:paraId="486758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вышло Распоряжение ГКО № 8810. Об увеличении лимита отпуска электроэнергии заводу № 702 НКЧМ в мае-июне 1945 г. РГАНИР, Фонд ГКО, д. 421, лл. 6 (11012).</w:t>
      </w:r>
    </w:p>
    <w:p w14:paraId="3FC4A9DF" w14:textId="77777777" w:rsidR="00665165" w:rsidRPr="00925F26" w:rsidRDefault="00665165" w:rsidP="00925F26">
      <w:pPr>
        <w:autoSpaceDE w:val="0"/>
        <w:autoSpaceDN w:val="0"/>
        <w:adjustRightInd w:val="0"/>
        <w:jc w:val="both"/>
        <w:rPr>
          <w:color w:val="000000" w:themeColor="text1"/>
          <w:sz w:val="16"/>
          <w:szCs w:val="16"/>
        </w:rPr>
      </w:pPr>
    </w:p>
    <w:p w14:paraId="76B5AD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вышло Распоряжение ГКО № 8811. О дополнительной поставке Ярославскому сажевому заводу НКРП зеленого масла. РГАНИР, Фонд ГКО, д. 421, лл. 7 (11012).</w:t>
      </w:r>
    </w:p>
    <w:p w14:paraId="32DFFAC1" w14:textId="77777777" w:rsidR="00665165" w:rsidRPr="00925F26" w:rsidRDefault="00665165" w:rsidP="00925F26">
      <w:pPr>
        <w:autoSpaceDE w:val="0"/>
        <w:autoSpaceDN w:val="0"/>
        <w:adjustRightInd w:val="0"/>
        <w:jc w:val="both"/>
        <w:rPr>
          <w:color w:val="000000" w:themeColor="text1"/>
          <w:sz w:val="16"/>
          <w:szCs w:val="16"/>
        </w:rPr>
      </w:pPr>
    </w:p>
    <w:p w14:paraId="55A39B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вышло Распоряжение ГКО № 8812. О дополнительном выделении угля СНК Казахской ССР в июне-июле 1945 г. для коммунально-бытовых нужд Петропавловска. РГАНИР, Фонд ГКО, д. 421, лл. 8 (11012).</w:t>
      </w:r>
    </w:p>
    <w:p w14:paraId="0081F7E3" w14:textId="77777777" w:rsidR="00665165" w:rsidRPr="00925F26" w:rsidRDefault="00665165" w:rsidP="00925F26">
      <w:pPr>
        <w:autoSpaceDE w:val="0"/>
        <w:autoSpaceDN w:val="0"/>
        <w:adjustRightInd w:val="0"/>
        <w:jc w:val="both"/>
        <w:rPr>
          <w:color w:val="000000" w:themeColor="text1"/>
          <w:sz w:val="16"/>
          <w:szCs w:val="16"/>
        </w:rPr>
      </w:pPr>
    </w:p>
    <w:p w14:paraId="150F5E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вышло Распоряжение ГКО № 8813. О восстановлении военизированной пожарной охраны на кинопленочной фабрике № 3 в Шостке Сумской обл. УССР. РГАНИР, Фонд ГКО, д. 421, лл. 9 (11012).</w:t>
      </w:r>
    </w:p>
    <w:p w14:paraId="09B6FBE3" w14:textId="77777777" w:rsidR="00665165" w:rsidRPr="00925F26" w:rsidRDefault="00665165" w:rsidP="00925F26">
      <w:pPr>
        <w:autoSpaceDE w:val="0"/>
        <w:autoSpaceDN w:val="0"/>
        <w:adjustRightInd w:val="0"/>
        <w:jc w:val="both"/>
        <w:rPr>
          <w:color w:val="000000" w:themeColor="text1"/>
          <w:sz w:val="16"/>
          <w:szCs w:val="16"/>
        </w:rPr>
      </w:pPr>
    </w:p>
    <w:p w14:paraId="4BE9E9E6" w14:textId="77777777" w:rsidR="00F3710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7BF081D" w14:textId="77777777" w:rsidR="00F37105" w:rsidRPr="00925F26" w:rsidRDefault="00F37105" w:rsidP="00925F26">
      <w:pPr>
        <w:autoSpaceDE w:val="0"/>
        <w:autoSpaceDN w:val="0"/>
        <w:adjustRightInd w:val="0"/>
        <w:jc w:val="both"/>
        <w:rPr>
          <w:iCs/>
          <w:color w:val="000000" w:themeColor="text1"/>
          <w:sz w:val="16"/>
          <w:szCs w:val="16"/>
        </w:rPr>
      </w:pPr>
    </w:p>
    <w:p w14:paraId="26A723BE" w14:textId="77777777" w:rsidR="00F37105" w:rsidRPr="00925F26" w:rsidRDefault="00F37105" w:rsidP="00925F26">
      <w:pPr>
        <w:jc w:val="both"/>
        <w:rPr>
          <w:color w:val="000000" w:themeColor="text1"/>
          <w:sz w:val="16"/>
          <w:szCs w:val="16"/>
        </w:rPr>
      </w:pPr>
      <w:r w:rsidRPr="00925F26">
        <w:rPr>
          <w:bCs/>
          <w:color w:val="000000" w:themeColor="text1"/>
          <w:sz w:val="16"/>
          <w:szCs w:val="16"/>
        </w:rPr>
        <w:t>28 мая</w:t>
      </w:r>
      <w:r w:rsidRPr="00925F26">
        <w:rPr>
          <w:color w:val="000000" w:themeColor="text1"/>
          <w:sz w:val="16"/>
          <w:szCs w:val="16"/>
        </w:rPr>
        <w:t xml:space="preserve"> в 1945 году впервые за всю историю России Патриарх Московский Алексий отправился в паломничество в Палестину (14905).</w:t>
      </w:r>
    </w:p>
    <w:p w14:paraId="7512F661" w14:textId="77777777" w:rsidR="00F37105" w:rsidRPr="00925F26" w:rsidRDefault="00F37105" w:rsidP="00925F26">
      <w:pPr>
        <w:jc w:val="both"/>
        <w:rPr>
          <w:color w:val="000000" w:themeColor="text1"/>
          <w:sz w:val="16"/>
          <w:szCs w:val="16"/>
        </w:rPr>
      </w:pPr>
    </w:p>
    <w:p w14:paraId="7382D69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D6EE8F8" w14:textId="77777777" w:rsidR="00665165" w:rsidRPr="00925F26" w:rsidRDefault="00665165" w:rsidP="00925F26">
      <w:pPr>
        <w:autoSpaceDE w:val="0"/>
        <w:autoSpaceDN w:val="0"/>
        <w:adjustRightInd w:val="0"/>
        <w:jc w:val="both"/>
        <w:rPr>
          <w:iCs/>
          <w:color w:val="000000" w:themeColor="text1"/>
          <w:sz w:val="16"/>
          <w:szCs w:val="16"/>
        </w:rPr>
      </w:pPr>
    </w:p>
    <w:p w14:paraId="22EC60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года СССР попросил уже 120 В-29 для использования на Дальнем Востоке против Японии. Однако американцы не дали ни одного. Но к этому времени у Советского Союза уже имелось три бомбардировщика этого тина. Всего же границу с СССР пересекли пять В-29. Все они участвовали в налетах на Японию, проводившихся "Сверхкрепостями" с июня 1944 года (3457,119).</w:t>
      </w:r>
    </w:p>
    <w:p w14:paraId="612C3EE9" w14:textId="77777777" w:rsidR="00665165" w:rsidRPr="00925F26" w:rsidRDefault="00665165" w:rsidP="00925F26">
      <w:pPr>
        <w:autoSpaceDE w:val="0"/>
        <w:autoSpaceDN w:val="0"/>
        <w:adjustRightInd w:val="0"/>
        <w:jc w:val="both"/>
        <w:rPr>
          <w:color w:val="000000" w:themeColor="text1"/>
          <w:sz w:val="16"/>
          <w:szCs w:val="16"/>
        </w:rPr>
      </w:pPr>
    </w:p>
    <w:p w14:paraId="797659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28 мая 1945 СССР запросил в США по ленд-лизу 120 В-29 для использования на ДВ. К этому времени в стране уже было 3 В-29 (2645,24).</w:t>
      </w:r>
    </w:p>
    <w:p w14:paraId="4C44CF80" w14:textId="77777777" w:rsidR="00665165" w:rsidRPr="00925F26" w:rsidRDefault="00665165" w:rsidP="00925F26">
      <w:pPr>
        <w:autoSpaceDE w:val="0"/>
        <w:autoSpaceDN w:val="0"/>
        <w:adjustRightInd w:val="0"/>
        <w:jc w:val="both"/>
        <w:rPr>
          <w:color w:val="000000" w:themeColor="text1"/>
          <w:sz w:val="16"/>
          <w:szCs w:val="16"/>
        </w:rPr>
      </w:pPr>
    </w:p>
    <w:p w14:paraId="06D93CFE" w14:textId="77777777" w:rsidR="005B62C6" w:rsidRPr="00925F26" w:rsidRDefault="005B62C6" w:rsidP="00925F26">
      <w:pPr>
        <w:jc w:val="both"/>
        <w:rPr>
          <w:color w:val="000000" w:themeColor="text1"/>
          <w:sz w:val="16"/>
          <w:szCs w:val="16"/>
        </w:rPr>
      </w:pPr>
      <w:r w:rsidRPr="00925F26">
        <w:rPr>
          <w:color w:val="000000" w:themeColor="text1"/>
          <w:sz w:val="16"/>
          <w:szCs w:val="16"/>
        </w:rPr>
        <w:t>28 мая 1945 В. М. Молотов и сопровождавший его нарком внешней торговли А. И. Микоян вручили послу США А. Гарриману памятную записку с заявкой на новые поставки на период с 1 июля по 31 декабря 1945 г. Наряду с этими грузами Соединенные Штаты должны были также в полной мере завезти все, что не было отгружено по Четвертому Протоколу и "спецпрограмме от 17 октября 1944 года". Значительную часть в общем объеме грузов по-прежнему занимало продовольствие. Помимо 1,4 млн. т продовольственных грузов, завезенных союзниками по Четвертому Протоколу на 12 мая, Соединенные Штаты до 2 сентября поставили в СССР дополнительно около 270 тыс. т по программе "Майлпоуст". Эти продукты были ощутимой добавкой к рациону русского солдата, вступившего в августе 1945 г. на землю Маньчжурии (19582).</w:t>
      </w:r>
    </w:p>
    <w:p w14:paraId="5705876E" w14:textId="77777777" w:rsidR="005B62C6" w:rsidRPr="00925F26" w:rsidRDefault="005B62C6" w:rsidP="00925F26">
      <w:pPr>
        <w:jc w:val="both"/>
        <w:rPr>
          <w:color w:val="000000" w:themeColor="text1"/>
          <w:sz w:val="16"/>
          <w:szCs w:val="16"/>
        </w:rPr>
      </w:pPr>
      <w:r w:rsidRPr="00925F26">
        <w:rPr>
          <w:color w:val="000000" w:themeColor="text1"/>
          <w:sz w:val="16"/>
          <w:szCs w:val="16"/>
        </w:rPr>
        <w:t>Таблица 1</w:t>
      </w:r>
    </w:p>
    <w:p w14:paraId="0A2978C8" w14:textId="77777777" w:rsidR="005B62C6" w:rsidRPr="00925F26" w:rsidRDefault="005B62C6" w:rsidP="00925F26">
      <w:pPr>
        <w:jc w:val="both"/>
        <w:rPr>
          <w:color w:val="000000" w:themeColor="text1"/>
          <w:sz w:val="16"/>
          <w:szCs w:val="16"/>
        </w:rPr>
      </w:pPr>
      <w:r w:rsidRPr="00925F26">
        <w:rPr>
          <w:color w:val="000000" w:themeColor="text1"/>
          <w:sz w:val="16"/>
          <w:szCs w:val="16"/>
        </w:rPr>
        <w:t>Энергетическая ценность продовольствия, поставленного в СССР Соединенными Штатами Америки в 1941-1945 гг. *</w:t>
      </w:r>
    </w:p>
    <w:p w14:paraId="740B40C2" w14:textId="77777777" w:rsidR="005B62C6" w:rsidRPr="00925F26" w:rsidRDefault="005B62C6" w:rsidP="00925F26">
      <w:pPr>
        <w:jc w:val="both"/>
        <w:rPr>
          <w:color w:val="000000" w:themeColor="text1"/>
          <w:sz w:val="16"/>
          <w:szCs w:val="16"/>
        </w:rPr>
      </w:pPr>
      <w:r w:rsidRPr="00925F26">
        <w:rPr>
          <w:color w:val="000000" w:themeColor="text1"/>
          <w:sz w:val="16"/>
          <w:szCs w:val="16"/>
        </w:rPr>
        <w:t>Вид продовольствия Вес нетто Калорийность, ккал на 100 г Суммарная калорийность, в млн. ккал в длинных тоннах в тоннах</w:t>
      </w:r>
    </w:p>
    <w:p w14:paraId="6EC043D7" w14:textId="77777777" w:rsidR="005B62C6" w:rsidRPr="00925F26" w:rsidRDefault="005B62C6" w:rsidP="00925F26">
      <w:pPr>
        <w:jc w:val="both"/>
        <w:rPr>
          <w:color w:val="000000" w:themeColor="text1"/>
          <w:sz w:val="16"/>
          <w:szCs w:val="16"/>
        </w:rPr>
      </w:pPr>
      <w:r w:rsidRPr="00925F26">
        <w:rPr>
          <w:color w:val="000000" w:themeColor="text1"/>
          <w:sz w:val="16"/>
          <w:szCs w:val="16"/>
        </w:rPr>
        <w:t>Поставки из США (с 1 октября 1941 г. по 1 июля 1945 г.)</w:t>
      </w:r>
    </w:p>
    <w:p w14:paraId="60F78890" w14:textId="77777777" w:rsidR="005B62C6" w:rsidRPr="00925F26" w:rsidRDefault="005B62C6" w:rsidP="00925F26">
      <w:pPr>
        <w:jc w:val="both"/>
        <w:rPr>
          <w:color w:val="000000" w:themeColor="text1"/>
          <w:sz w:val="16"/>
          <w:szCs w:val="16"/>
        </w:rPr>
      </w:pPr>
      <w:r w:rsidRPr="00925F26">
        <w:rPr>
          <w:color w:val="000000" w:themeColor="text1"/>
          <w:sz w:val="16"/>
          <w:szCs w:val="16"/>
        </w:rPr>
        <w:t>Пшеница 49535 50328 320 16 104 960</w:t>
      </w:r>
    </w:p>
    <w:p w14:paraId="133EE717" w14:textId="77777777" w:rsidR="005B62C6" w:rsidRPr="00925F26" w:rsidRDefault="005B62C6" w:rsidP="00925F26">
      <w:pPr>
        <w:jc w:val="both"/>
        <w:rPr>
          <w:color w:val="000000" w:themeColor="text1"/>
          <w:sz w:val="16"/>
          <w:szCs w:val="16"/>
        </w:rPr>
      </w:pPr>
      <w:r w:rsidRPr="00925F26">
        <w:rPr>
          <w:color w:val="000000" w:themeColor="text1"/>
          <w:sz w:val="16"/>
          <w:szCs w:val="16"/>
        </w:rPr>
        <w:t>Мука ржаная и 584 899 594 257 327 194 322 039</w:t>
      </w:r>
    </w:p>
    <w:p w14:paraId="6F340A9C" w14:textId="77777777" w:rsidR="005B62C6" w:rsidRPr="00925F26" w:rsidRDefault="005B62C6" w:rsidP="00925F26">
      <w:pPr>
        <w:jc w:val="both"/>
        <w:rPr>
          <w:color w:val="000000" w:themeColor="text1"/>
          <w:sz w:val="16"/>
          <w:szCs w:val="16"/>
        </w:rPr>
      </w:pPr>
      <w:r w:rsidRPr="00925F26">
        <w:rPr>
          <w:color w:val="000000" w:themeColor="text1"/>
          <w:sz w:val="16"/>
          <w:szCs w:val="16"/>
        </w:rPr>
        <w:t>Сухие бобы и горох 241 857 245 728 250 61 432 000</w:t>
      </w:r>
    </w:p>
    <w:p w14:paraId="3A87F7C9"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Крупа разная </w:t>
      </w:r>
      <w:proofErr w:type="gramStart"/>
      <w:r w:rsidRPr="00925F26">
        <w:rPr>
          <w:color w:val="000000" w:themeColor="text1"/>
          <w:sz w:val="16"/>
          <w:szCs w:val="16"/>
        </w:rPr>
        <w:t>( в</w:t>
      </w:r>
      <w:proofErr w:type="gramEnd"/>
      <w:r w:rsidRPr="00925F26">
        <w:rPr>
          <w:color w:val="000000" w:themeColor="text1"/>
          <w:sz w:val="16"/>
          <w:szCs w:val="16"/>
        </w:rPr>
        <w:t xml:space="preserve"> т. ч. рис) 131 962 134073 325 43 573 725</w:t>
      </w:r>
    </w:p>
    <w:p w14:paraId="0D39B044" w14:textId="77777777" w:rsidR="005B62C6" w:rsidRPr="00925F26" w:rsidRDefault="005B62C6" w:rsidP="00925F26">
      <w:pPr>
        <w:jc w:val="both"/>
        <w:rPr>
          <w:color w:val="000000" w:themeColor="text1"/>
          <w:sz w:val="16"/>
          <w:szCs w:val="16"/>
        </w:rPr>
      </w:pPr>
      <w:r w:rsidRPr="00925F26">
        <w:rPr>
          <w:color w:val="000000" w:themeColor="text1"/>
          <w:sz w:val="16"/>
          <w:szCs w:val="16"/>
        </w:rPr>
        <w:t>Сахар 621 000 630 936 375 236 601 000</w:t>
      </w:r>
    </w:p>
    <w:p w14:paraId="792BD6CC" w14:textId="77777777" w:rsidR="005B62C6" w:rsidRPr="00925F26" w:rsidRDefault="005B62C6" w:rsidP="00925F26">
      <w:pPr>
        <w:jc w:val="both"/>
        <w:rPr>
          <w:color w:val="000000" w:themeColor="text1"/>
          <w:sz w:val="16"/>
          <w:szCs w:val="16"/>
        </w:rPr>
      </w:pPr>
      <w:r w:rsidRPr="00925F26">
        <w:rPr>
          <w:color w:val="000000" w:themeColor="text1"/>
          <w:sz w:val="16"/>
          <w:szCs w:val="16"/>
        </w:rPr>
        <w:t>Мясные консервы 676 125 686 943 1000 686 943 000</w:t>
      </w:r>
    </w:p>
    <w:p w14:paraId="21DC55DC" w14:textId="77777777" w:rsidR="005B62C6" w:rsidRPr="00925F26" w:rsidRDefault="005B62C6" w:rsidP="00925F26">
      <w:pPr>
        <w:jc w:val="both"/>
        <w:rPr>
          <w:color w:val="000000" w:themeColor="text1"/>
          <w:sz w:val="16"/>
          <w:szCs w:val="16"/>
        </w:rPr>
      </w:pPr>
      <w:r w:rsidRPr="00925F26">
        <w:rPr>
          <w:color w:val="000000" w:themeColor="text1"/>
          <w:sz w:val="16"/>
          <w:szCs w:val="16"/>
        </w:rPr>
        <w:t>Мясоовощные консервы 22228 22584 1500 33 876 000</w:t>
      </w:r>
    </w:p>
    <w:p w14:paraId="1CD6953E" w14:textId="77777777" w:rsidR="005B62C6" w:rsidRPr="00925F26" w:rsidRDefault="005B62C6" w:rsidP="00925F26">
      <w:pPr>
        <w:jc w:val="both"/>
        <w:rPr>
          <w:color w:val="000000" w:themeColor="text1"/>
          <w:sz w:val="16"/>
          <w:szCs w:val="16"/>
        </w:rPr>
      </w:pPr>
      <w:r w:rsidRPr="00925F26">
        <w:rPr>
          <w:color w:val="000000" w:themeColor="text1"/>
          <w:sz w:val="16"/>
          <w:szCs w:val="16"/>
        </w:rPr>
        <w:t>Мясо соленое и копченое 55932 56827 1500 85 240 500</w:t>
      </w:r>
    </w:p>
    <w:p w14:paraId="6F282777" w14:textId="77777777" w:rsidR="005B62C6" w:rsidRPr="00925F26" w:rsidRDefault="005B62C6" w:rsidP="00925F26">
      <w:pPr>
        <w:jc w:val="both"/>
        <w:rPr>
          <w:color w:val="000000" w:themeColor="text1"/>
          <w:sz w:val="16"/>
          <w:szCs w:val="16"/>
        </w:rPr>
      </w:pPr>
      <w:r w:rsidRPr="00925F26">
        <w:rPr>
          <w:color w:val="000000" w:themeColor="text1"/>
          <w:sz w:val="16"/>
          <w:szCs w:val="16"/>
        </w:rPr>
        <w:t>Шпиг 226 087 229 704 3500 803 964 000</w:t>
      </w:r>
    </w:p>
    <w:p w14:paraId="727EE60E" w14:textId="77777777" w:rsidR="005B62C6" w:rsidRPr="00925F26" w:rsidRDefault="005B62C6" w:rsidP="00925F26">
      <w:pPr>
        <w:jc w:val="both"/>
        <w:rPr>
          <w:color w:val="000000" w:themeColor="text1"/>
          <w:sz w:val="16"/>
          <w:szCs w:val="16"/>
        </w:rPr>
      </w:pPr>
      <w:r w:rsidRPr="00925F26">
        <w:rPr>
          <w:color w:val="000000" w:themeColor="text1"/>
          <w:sz w:val="16"/>
          <w:szCs w:val="16"/>
        </w:rPr>
        <w:t>Лярд 283 143 287 673 3500 1 006 855 500</w:t>
      </w:r>
    </w:p>
    <w:p w14:paraId="094CA199" w14:textId="77777777" w:rsidR="005B62C6" w:rsidRPr="00925F26" w:rsidRDefault="005B62C6" w:rsidP="00925F26">
      <w:pPr>
        <w:jc w:val="both"/>
        <w:rPr>
          <w:color w:val="000000" w:themeColor="text1"/>
          <w:sz w:val="16"/>
          <w:szCs w:val="16"/>
        </w:rPr>
      </w:pPr>
      <w:r w:rsidRPr="00925F26">
        <w:rPr>
          <w:color w:val="000000" w:themeColor="text1"/>
          <w:sz w:val="16"/>
          <w:szCs w:val="16"/>
        </w:rPr>
        <w:t>Баранье и говяжье сало 21 396 21 738 3700 80 430 600</w:t>
      </w:r>
    </w:p>
    <w:p w14:paraId="5BE01D75" w14:textId="77777777" w:rsidR="005B62C6" w:rsidRPr="00925F26" w:rsidRDefault="005B62C6" w:rsidP="00925F26">
      <w:pPr>
        <w:jc w:val="both"/>
        <w:rPr>
          <w:color w:val="000000" w:themeColor="text1"/>
          <w:sz w:val="16"/>
          <w:szCs w:val="16"/>
        </w:rPr>
      </w:pPr>
      <w:r w:rsidRPr="00925F26">
        <w:rPr>
          <w:color w:val="000000" w:themeColor="text1"/>
          <w:sz w:val="16"/>
          <w:szCs w:val="16"/>
        </w:rPr>
        <w:t>Масло сливочное 67721 68 805 3130 215 359 650</w:t>
      </w:r>
    </w:p>
    <w:p w14:paraId="3FD6F828" w14:textId="77777777" w:rsidR="005B62C6" w:rsidRPr="00925F26" w:rsidRDefault="005B62C6" w:rsidP="00925F26">
      <w:pPr>
        <w:jc w:val="both"/>
        <w:rPr>
          <w:color w:val="000000" w:themeColor="text1"/>
          <w:sz w:val="16"/>
          <w:szCs w:val="16"/>
        </w:rPr>
      </w:pPr>
      <w:r w:rsidRPr="00925F26">
        <w:rPr>
          <w:color w:val="000000" w:themeColor="text1"/>
          <w:sz w:val="16"/>
          <w:szCs w:val="16"/>
        </w:rPr>
        <w:t>Картер спред 21752 22 100 3000 66 300 000</w:t>
      </w:r>
    </w:p>
    <w:p w14:paraId="34FAEA87" w14:textId="77777777" w:rsidR="005B62C6" w:rsidRPr="00925F26" w:rsidRDefault="005B62C6" w:rsidP="00925F26">
      <w:pPr>
        <w:jc w:val="both"/>
        <w:rPr>
          <w:color w:val="000000" w:themeColor="text1"/>
          <w:sz w:val="16"/>
          <w:szCs w:val="16"/>
        </w:rPr>
      </w:pPr>
      <w:r w:rsidRPr="00925F26">
        <w:rPr>
          <w:color w:val="000000" w:themeColor="text1"/>
          <w:sz w:val="16"/>
          <w:szCs w:val="16"/>
        </w:rPr>
        <w:t>Растительное масло 399 852 406 250 3760 1 527 500 000</w:t>
      </w:r>
    </w:p>
    <w:p w14:paraId="19040846" w14:textId="77777777" w:rsidR="005B62C6" w:rsidRPr="00925F26" w:rsidRDefault="005B62C6" w:rsidP="00925F26">
      <w:pPr>
        <w:jc w:val="both"/>
        <w:rPr>
          <w:color w:val="000000" w:themeColor="text1"/>
          <w:sz w:val="16"/>
          <w:szCs w:val="16"/>
        </w:rPr>
      </w:pPr>
      <w:r w:rsidRPr="00925F26">
        <w:rPr>
          <w:color w:val="000000" w:themeColor="text1"/>
          <w:sz w:val="16"/>
          <w:szCs w:val="16"/>
        </w:rPr>
        <w:t>Шартенинг 18915 19 218 3000 57 654 000</w:t>
      </w:r>
    </w:p>
    <w:p w14:paraId="4ABE26FE" w14:textId="77777777" w:rsidR="005B62C6" w:rsidRPr="00925F26" w:rsidRDefault="005B62C6" w:rsidP="00925F26">
      <w:pPr>
        <w:jc w:val="both"/>
        <w:rPr>
          <w:color w:val="000000" w:themeColor="text1"/>
          <w:sz w:val="16"/>
          <w:szCs w:val="16"/>
        </w:rPr>
      </w:pPr>
      <w:r w:rsidRPr="00925F26">
        <w:rPr>
          <w:color w:val="000000" w:themeColor="text1"/>
          <w:sz w:val="16"/>
          <w:szCs w:val="16"/>
        </w:rPr>
        <w:t>Маргарин 46042 46779 3130 146 418 270</w:t>
      </w:r>
    </w:p>
    <w:p w14:paraId="7BEAB5A3" w14:textId="77777777" w:rsidR="005B62C6" w:rsidRPr="00925F26" w:rsidRDefault="005B62C6" w:rsidP="00925F26">
      <w:pPr>
        <w:jc w:val="both"/>
        <w:rPr>
          <w:color w:val="000000" w:themeColor="text1"/>
          <w:sz w:val="16"/>
          <w:szCs w:val="16"/>
        </w:rPr>
      </w:pPr>
      <w:r w:rsidRPr="00925F26">
        <w:rPr>
          <w:color w:val="000000" w:themeColor="text1"/>
          <w:sz w:val="16"/>
          <w:szCs w:val="16"/>
        </w:rPr>
        <w:t>Молоко сухое 67059 68 132 1700 115 824 400</w:t>
      </w:r>
    </w:p>
    <w:p w14:paraId="76472679" w14:textId="77777777" w:rsidR="005B62C6" w:rsidRPr="00925F26" w:rsidRDefault="005B62C6" w:rsidP="00925F26">
      <w:pPr>
        <w:jc w:val="both"/>
        <w:rPr>
          <w:color w:val="000000" w:themeColor="text1"/>
          <w:sz w:val="16"/>
          <w:szCs w:val="16"/>
        </w:rPr>
      </w:pPr>
      <w:r w:rsidRPr="00925F26">
        <w:rPr>
          <w:color w:val="000000" w:themeColor="text1"/>
          <w:sz w:val="16"/>
          <w:szCs w:val="16"/>
        </w:rPr>
        <w:t>Молоко сгущ. 27 186 27621 1200 33 145 200</w:t>
      </w:r>
    </w:p>
    <w:p w14:paraId="229BDE54" w14:textId="77777777" w:rsidR="005B62C6" w:rsidRPr="00925F26" w:rsidRDefault="005B62C6" w:rsidP="00925F26">
      <w:pPr>
        <w:jc w:val="both"/>
        <w:rPr>
          <w:color w:val="000000" w:themeColor="text1"/>
          <w:sz w:val="16"/>
          <w:szCs w:val="16"/>
        </w:rPr>
      </w:pPr>
      <w:r w:rsidRPr="00925F26">
        <w:rPr>
          <w:color w:val="000000" w:themeColor="text1"/>
          <w:sz w:val="16"/>
          <w:szCs w:val="16"/>
        </w:rPr>
        <w:t>Яичный порошок 107 028 108 740 2268 246 622 320</w:t>
      </w:r>
    </w:p>
    <w:p w14:paraId="50AD056C" w14:textId="77777777" w:rsidR="005B62C6" w:rsidRPr="00925F26" w:rsidRDefault="005B62C6" w:rsidP="00925F26">
      <w:pPr>
        <w:jc w:val="both"/>
        <w:rPr>
          <w:color w:val="000000" w:themeColor="text1"/>
          <w:sz w:val="16"/>
          <w:szCs w:val="16"/>
        </w:rPr>
      </w:pPr>
      <w:r w:rsidRPr="00925F26">
        <w:rPr>
          <w:color w:val="000000" w:themeColor="text1"/>
          <w:sz w:val="16"/>
          <w:szCs w:val="16"/>
        </w:rPr>
        <w:t>Соевая мука и крупа 63086 64095 1500 96 142500</w:t>
      </w:r>
    </w:p>
    <w:p w14:paraId="18B5CFF6" w14:textId="77777777" w:rsidR="005B62C6" w:rsidRPr="00925F26" w:rsidRDefault="005B62C6" w:rsidP="00925F26">
      <w:pPr>
        <w:jc w:val="both"/>
        <w:rPr>
          <w:color w:val="000000" w:themeColor="text1"/>
          <w:sz w:val="16"/>
          <w:szCs w:val="16"/>
        </w:rPr>
      </w:pPr>
      <w:r w:rsidRPr="00925F26">
        <w:rPr>
          <w:color w:val="000000" w:themeColor="text1"/>
          <w:sz w:val="16"/>
          <w:szCs w:val="16"/>
        </w:rPr>
        <w:t>Сыр 29550 30023 1300 39 029 900</w:t>
      </w:r>
    </w:p>
    <w:p w14:paraId="11F7CE09" w14:textId="77777777" w:rsidR="005B62C6" w:rsidRPr="00925F26" w:rsidRDefault="005B62C6" w:rsidP="00925F26">
      <w:pPr>
        <w:jc w:val="both"/>
        <w:rPr>
          <w:color w:val="000000" w:themeColor="text1"/>
          <w:sz w:val="16"/>
          <w:szCs w:val="16"/>
        </w:rPr>
      </w:pPr>
      <w:r w:rsidRPr="00925F26">
        <w:rPr>
          <w:color w:val="000000" w:themeColor="text1"/>
          <w:sz w:val="16"/>
          <w:szCs w:val="16"/>
        </w:rPr>
        <w:t>Сухие овощи 10844 11018 1200 13 221 600</w:t>
      </w:r>
    </w:p>
    <w:p w14:paraId="6AA7F58D" w14:textId="77777777" w:rsidR="005B62C6" w:rsidRPr="00925F26" w:rsidRDefault="005B62C6" w:rsidP="00925F26">
      <w:pPr>
        <w:jc w:val="both"/>
        <w:rPr>
          <w:color w:val="000000" w:themeColor="text1"/>
          <w:sz w:val="16"/>
          <w:szCs w:val="16"/>
        </w:rPr>
      </w:pPr>
      <w:r w:rsidRPr="00925F26">
        <w:rPr>
          <w:color w:val="000000" w:themeColor="text1"/>
          <w:sz w:val="16"/>
          <w:szCs w:val="16"/>
        </w:rPr>
        <w:t>Томатная паста 8203 8334 402 3 350 268</w:t>
      </w:r>
    </w:p>
    <w:p w14:paraId="48840A99" w14:textId="77777777" w:rsidR="005B62C6" w:rsidRPr="00925F26" w:rsidRDefault="005B62C6" w:rsidP="00925F26">
      <w:pPr>
        <w:jc w:val="both"/>
        <w:rPr>
          <w:color w:val="000000" w:themeColor="text1"/>
          <w:sz w:val="16"/>
          <w:szCs w:val="16"/>
        </w:rPr>
      </w:pPr>
      <w:r w:rsidRPr="00925F26">
        <w:rPr>
          <w:color w:val="000000" w:themeColor="text1"/>
          <w:sz w:val="16"/>
          <w:szCs w:val="16"/>
        </w:rPr>
        <w:t>Фруктовые соки 1 244 1 264 202 255 328</w:t>
      </w:r>
    </w:p>
    <w:p w14:paraId="0C976A66" w14:textId="77777777" w:rsidR="005B62C6" w:rsidRPr="00925F26" w:rsidRDefault="005B62C6" w:rsidP="00925F26">
      <w:pPr>
        <w:jc w:val="both"/>
        <w:rPr>
          <w:color w:val="000000" w:themeColor="text1"/>
          <w:sz w:val="16"/>
          <w:szCs w:val="16"/>
        </w:rPr>
      </w:pPr>
      <w:r w:rsidRPr="00925F26">
        <w:rPr>
          <w:color w:val="000000" w:themeColor="text1"/>
          <w:sz w:val="16"/>
          <w:szCs w:val="16"/>
        </w:rPr>
        <w:t>Супы-концентраты 6024 6 120 1500 9 180 000</w:t>
      </w:r>
    </w:p>
    <w:p w14:paraId="27D9843A" w14:textId="77777777" w:rsidR="005B62C6" w:rsidRPr="00925F26" w:rsidRDefault="005B62C6" w:rsidP="00925F26">
      <w:pPr>
        <w:jc w:val="both"/>
        <w:rPr>
          <w:color w:val="000000" w:themeColor="text1"/>
          <w:sz w:val="16"/>
          <w:szCs w:val="16"/>
        </w:rPr>
      </w:pPr>
      <w:r w:rsidRPr="00925F26">
        <w:rPr>
          <w:color w:val="000000" w:themeColor="text1"/>
          <w:sz w:val="16"/>
          <w:szCs w:val="16"/>
        </w:rPr>
        <w:t>Разные пищевые 56286 57187 1000 57 187 000</w:t>
      </w:r>
    </w:p>
    <w:p w14:paraId="5EB26F3F"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Семена 33846 </w:t>
      </w:r>
      <w:proofErr w:type="gramStart"/>
      <w:r w:rsidRPr="00925F26">
        <w:rPr>
          <w:color w:val="000000" w:themeColor="text1"/>
          <w:sz w:val="16"/>
          <w:szCs w:val="16"/>
        </w:rPr>
        <w:t>34388 ?</w:t>
      </w:r>
      <w:proofErr w:type="gramEnd"/>
      <w:r w:rsidRPr="00925F26">
        <w:rPr>
          <w:color w:val="000000" w:themeColor="text1"/>
          <w:sz w:val="16"/>
          <w:szCs w:val="16"/>
        </w:rPr>
        <w:t xml:space="preserve"> ?</w:t>
      </w:r>
    </w:p>
    <w:p w14:paraId="7E62BD58"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Дрожжи 264 </w:t>
      </w:r>
      <w:proofErr w:type="gramStart"/>
      <w:r w:rsidRPr="00925F26">
        <w:rPr>
          <w:color w:val="000000" w:themeColor="text1"/>
          <w:sz w:val="16"/>
          <w:szCs w:val="16"/>
        </w:rPr>
        <w:t>268 ?</w:t>
      </w:r>
      <w:proofErr w:type="gramEnd"/>
      <w:r w:rsidRPr="00925F26">
        <w:rPr>
          <w:color w:val="000000" w:themeColor="text1"/>
          <w:sz w:val="16"/>
          <w:szCs w:val="16"/>
        </w:rPr>
        <w:t xml:space="preserve"> ?</w:t>
      </w:r>
    </w:p>
    <w:p w14:paraId="2D06C3AB"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Витамины 654 </w:t>
      </w:r>
      <w:proofErr w:type="gramStart"/>
      <w:r w:rsidRPr="00925F26">
        <w:rPr>
          <w:color w:val="000000" w:themeColor="text1"/>
          <w:sz w:val="16"/>
          <w:szCs w:val="16"/>
        </w:rPr>
        <w:t>664 ?</w:t>
      </w:r>
      <w:proofErr w:type="gramEnd"/>
      <w:r w:rsidRPr="00925F26">
        <w:rPr>
          <w:color w:val="000000" w:themeColor="text1"/>
          <w:sz w:val="16"/>
          <w:szCs w:val="16"/>
        </w:rPr>
        <w:t xml:space="preserve"> ?</w:t>
      </w:r>
    </w:p>
    <w:p w14:paraId="778D43C5" w14:textId="77777777" w:rsidR="005B62C6" w:rsidRPr="00925F26" w:rsidRDefault="005B62C6" w:rsidP="00925F26">
      <w:pPr>
        <w:jc w:val="both"/>
        <w:rPr>
          <w:color w:val="000000" w:themeColor="text1"/>
          <w:sz w:val="16"/>
          <w:szCs w:val="16"/>
        </w:rPr>
      </w:pPr>
      <w:r w:rsidRPr="00925F26">
        <w:rPr>
          <w:color w:val="000000" w:themeColor="text1"/>
          <w:sz w:val="16"/>
          <w:szCs w:val="16"/>
        </w:rPr>
        <w:t>И т о г о ... 3 879 720 б 3 941 796 1651 в 58 765 338</w:t>
      </w:r>
    </w:p>
    <w:p w14:paraId="016DD5CE"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Спирт 337 674 343 077 </w:t>
      </w:r>
      <w:proofErr w:type="gramStart"/>
      <w:r w:rsidRPr="00925F26">
        <w:rPr>
          <w:color w:val="000000" w:themeColor="text1"/>
          <w:sz w:val="16"/>
          <w:szCs w:val="16"/>
        </w:rPr>
        <w:t>2000 ?</w:t>
      </w:r>
      <w:proofErr w:type="gramEnd"/>
    </w:p>
    <w:p w14:paraId="6DAFEF6A"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Сахарин 641 </w:t>
      </w:r>
      <w:proofErr w:type="gramStart"/>
      <w:r w:rsidRPr="00925F26">
        <w:rPr>
          <w:color w:val="000000" w:themeColor="text1"/>
          <w:sz w:val="16"/>
          <w:szCs w:val="16"/>
        </w:rPr>
        <w:t>651 ?</w:t>
      </w:r>
      <w:proofErr w:type="gramEnd"/>
      <w:r w:rsidRPr="00925F26">
        <w:rPr>
          <w:color w:val="000000" w:themeColor="text1"/>
          <w:sz w:val="16"/>
          <w:szCs w:val="16"/>
        </w:rPr>
        <w:t xml:space="preserve"> ?</w:t>
      </w:r>
    </w:p>
    <w:p w14:paraId="11809C77" w14:textId="77777777" w:rsidR="005B62C6" w:rsidRPr="00925F26" w:rsidRDefault="005B62C6" w:rsidP="00925F26">
      <w:pPr>
        <w:jc w:val="both"/>
        <w:rPr>
          <w:color w:val="000000" w:themeColor="text1"/>
          <w:sz w:val="16"/>
          <w:szCs w:val="16"/>
        </w:rPr>
      </w:pPr>
      <w:r w:rsidRPr="00925F26">
        <w:rPr>
          <w:color w:val="000000" w:themeColor="text1"/>
          <w:sz w:val="16"/>
          <w:szCs w:val="16"/>
        </w:rPr>
        <w:t>Поставки США в счет Великобритании с 1 октября 1941 г. по 1 июля 1945 г.</w:t>
      </w:r>
    </w:p>
    <w:p w14:paraId="0DFF2FEA" w14:textId="77777777" w:rsidR="005B62C6" w:rsidRPr="00925F26" w:rsidRDefault="005B62C6" w:rsidP="00925F26">
      <w:pPr>
        <w:jc w:val="both"/>
        <w:rPr>
          <w:color w:val="000000" w:themeColor="text1"/>
          <w:sz w:val="16"/>
          <w:szCs w:val="16"/>
        </w:rPr>
      </w:pPr>
      <w:r w:rsidRPr="00925F26">
        <w:rPr>
          <w:color w:val="000000" w:themeColor="text1"/>
          <w:sz w:val="16"/>
          <w:szCs w:val="16"/>
        </w:rPr>
        <w:t>Пшеница 11 007 11 183 320 3 578 560</w:t>
      </w:r>
    </w:p>
    <w:p w14:paraId="11DDDDB5" w14:textId="77777777" w:rsidR="005B62C6" w:rsidRPr="00925F26" w:rsidRDefault="005B62C6" w:rsidP="00925F26">
      <w:pPr>
        <w:jc w:val="both"/>
        <w:rPr>
          <w:color w:val="000000" w:themeColor="text1"/>
          <w:sz w:val="16"/>
          <w:szCs w:val="16"/>
        </w:rPr>
      </w:pPr>
      <w:r w:rsidRPr="00925F26">
        <w:rPr>
          <w:color w:val="000000" w:themeColor="text1"/>
          <w:sz w:val="16"/>
          <w:szCs w:val="16"/>
        </w:rPr>
        <w:lastRenderedPageBreak/>
        <w:t>Мука 99576 101 169 327 33 082 263</w:t>
      </w:r>
    </w:p>
    <w:p w14:paraId="078F16FD" w14:textId="77777777" w:rsidR="005B62C6" w:rsidRPr="00925F26" w:rsidRDefault="005B62C6" w:rsidP="00925F26">
      <w:pPr>
        <w:jc w:val="both"/>
        <w:rPr>
          <w:color w:val="000000" w:themeColor="text1"/>
          <w:sz w:val="16"/>
          <w:szCs w:val="16"/>
        </w:rPr>
      </w:pPr>
      <w:r w:rsidRPr="00925F26">
        <w:rPr>
          <w:color w:val="000000" w:themeColor="text1"/>
          <w:sz w:val="16"/>
          <w:szCs w:val="16"/>
        </w:rPr>
        <w:t>Всего... 110 583 112 352 36 660 823</w:t>
      </w:r>
    </w:p>
    <w:p w14:paraId="17719E29" w14:textId="77777777" w:rsidR="005B62C6" w:rsidRPr="00925F26" w:rsidRDefault="005B62C6" w:rsidP="00925F26">
      <w:pPr>
        <w:jc w:val="both"/>
        <w:rPr>
          <w:color w:val="000000" w:themeColor="text1"/>
          <w:sz w:val="16"/>
          <w:szCs w:val="16"/>
        </w:rPr>
      </w:pPr>
      <w:r w:rsidRPr="00925F26">
        <w:rPr>
          <w:color w:val="000000" w:themeColor="text1"/>
          <w:sz w:val="16"/>
          <w:szCs w:val="16"/>
        </w:rPr>
        <w:t>Поставки США с 13 мая по 20 сентября 1945г.</w:t>
      </w:r>
    </w:p>
    <w:p w14:paraId="7CCD51D9" w14:textId="77777777" w:rsidR="005B62C6" w:rsidRPr="00925F26" w:rsidRDefault="005B62C6" w:rsidP="00925F26">
      <w:pPr>
        <w:jc w:val="both"/>
        <w:rPr>
          <w:color w:val="000000" w:themeColor="text1"/>
          <w:sz w:val="16"/>
          <w:szCs w:val="16"/>
        </w:rPr>
      </w:pPr>
      <w:proofErr w:type="gramStart"/>
      <w:r w:rsidRPr="00925F26">
        <w:rPr>
          <w:color w:val="000000" w:themeColor="text1"/>
          <w:sz w:val="16"/>
          <w:szCs w:val="16"/>
        </w:rPr>
        <w:t>Продовольствие</w:t>
      </w:r>
      <w:proofErr w:type="gramEnd"/>
      <w:r w:rsidRPr="00925F26">
        <w:rPr>
          <w:color w:val="000000" w:themeColor="text1"/>
          <w:sz w:val="16"/>
          <w:szCs w:val="16"/>
        </w:rPr>
        <w:t xml:space="preserve"> Всего из США 297 993 г 270 280 4 324 429 1651 д 4 462 323 63 594 269</w:t>
      </w:r>
    </w:p>
    <w:p w14:paraId="6BC9F28E" w14:textId="77777777" w:rsidR="005B62C6" w:rsidRPr="00925F26" w:rsidRDefault="005B62C6" w:rsidP="00925F26">
      <w:pPr>
        <w:jc w:val="both"/>
        <w:rPr>
          <w:color w:val="000000" w:themeColor="text1"/>
          <w:sz w:val="16"/>
          <w:szCs w:val="16"/>
        </w:rPr>
      </w:pPr>
      <w:r w:rsidRPr="00925F26">
        <w:rPr>
          <w:color w:val="000000" w:themeColor="text1"/>
          <w:sz w:val="16"/>
          <w:szCs w:val="16"/>
        </w:rPr>
        <w:t>(РГАЭ, ф. 413, on. 9, д. 438, л. 1, 14, 15;</w:t>
      </w:r>
    </w:p>
    <w:p w14:paraId="3D6B3430" w14:textId="77777777" w:rsidR="005B62C6" w:rsidRPr="00925F26" w:rsidRDefault="005B62C6" w:rsidP="00925F26">
      <w:pPr>
        <w:jc w:val="both"/>
        <w:rPr>
          <w:color w:val="000000" w:themeColor="text1"/>
          <w:sz w:val="16"/>
          <w:szCs w:val="16"/>
          <w:lang w:val="en-US"/>
        </w:rPr>
      </w:pPr>
      <w:r w:rsidRPr="00925F26">
        <w:rPr>
          <w:color w:val="000000" w:themeColor="text1"/>
          <w:sz w:val="16"/>
          <w:szCs w:val="16"/>
        </w:rPr>
        <w:t>Химический состав пищевых продуктов/Под ред. А</w:t>
      </w:r>
      <w:r w:rsidRPr="00925F26">
        <w:rPr>
          <w:color w:val="000000" w:themeColor="text1"/>
          <w:sz w:val="16"/>
          <w:szCs w:val="16"/>
          <w:lang w:val="en-US"/>
        </w:rPr>
        <w:t xml:space="preserve">. </w:t>
      </w:r>
      <w:r w:rsidRPr="00925F26">
        <w:rPr>
          <w:color w:val="000000" w:themeColor="text1"/>
          <w:sz w:val="16"/>
          <w:szCs w:val="16"/>
        </w:rPr>
        <w:t>А</w:t>
      </w:r>
      <w:r w:rsidRPr="00925F26">
        <w:rPr>
          <w:color w:val="000000" w:themeColor="text1"/>
          <w:sz w:val="16"/>
          <w:szCs w:val="16"/>
          <w:lang w:val="en-US"/>
        </w:rPr>
        <w:t xml:space="preserve">. </w:t>
      </w:r>
      <w:r w:rsidRPr="00925F26">
        <w:rPr>
          <w:color w:val="000000" w:themeColor="text1"/>
          <w:sz w:val="16"/>
          <w:szCs w:val="16"/>
        </w:rPr>
        <w:t>Покровского</w:t>
      </w:r>
      <w:r w:rsidRPr="00925F26">
        <w:rPr>
          <w:color w:val="000000" w:themeColor="text1"/>
          <w:sz w:val="16"/>
          <w:szCs w:val="16"/>
          <w:lang w:val="en-US"/>
        </w:rPr>
        <w:t xml:space="preserve">. </w:t>
      </w:r>
      <w:r w:rsidRPr="00925F26">
        <w:rPr>
          <w:color w:val="000000" w:themeColor="text1"/>
          <w:sz w:val="16"/>
          <w:szCs w:val="16"/>
        </w:rPr>
        <w:t>М</w:t>
      </w:r>
      <w:r w:rsidRPr="00925F26">
        <w:rPr>
          <w:color w:val="000000" w:themeColor="text1"/>
          <w:sz w:val="16"/>
          <w:szCs w:val="16"/>
          <w:lang w:val="en-US"/>
        </w:rPr>
        <w:t>. 1976;</w:t>
      </w:r>
    </w:p>
    <w:p w14:paraId="54BDDFFD" w14:textId="77777777" w:rsidR="005B62C6" w:rsidRPr="00925F26" w:rsidRDefault="005B62C6" w:rsidP="00925F26">
      <w:pPr>
        <w:jc w:val="both"/>
        <w:rPr>
          <w:color w:val="000000" w:themeColor="text1"/>
          <w:sz w:val="16"/>
          <w:szCs w:val="16"/>
        </w:rPr>
      </w:pPr>
      <w:r w:rsidRPr="00925F26">
        <w:rPr>
          <w:color w:val="000000" w:themeColor="text1"/>
          <w:sz w:val="16"/>
          <w:szCs w:val="16"/>
        </w:rPr>
        <w:t>Т</w:t>
      </w:r>
      <w:r w:rsidRPr="00925F26">
        <w:rPr>
          <w:color w:val="000000" w:themeColor="text1"/>
          <w:sz w:val="16"/>
          <w:szCs w:val="16"/>
          <w:lang w:val="en-US"/>
        </w:rPr>
        <w:t xml:space="preserve"> u y l l v a n H. Feeding the Bear. American Aid to the Soviet Union, 1941 - 1945. </w:t>
      </w:r>
      <w:r w:rsidRPr="00925F26">
        <w:rPr>
          <w:color w:val="000000" w:themeColor="text1"/>
          <w:sz w:val="16"/>
          <w:szCs w:val="16"/>
        </w:rPr>
        <w:t>N. Y.: Westpoint; L. 1989. P. 174.)</w:t>
      </w:r>
    </w:p>
    <w:p w14:paraId="1346E2DA" w14:textId="77777777" w:rsidR="005B62C6" w:rsidRPr="00925F26" w:rsidRDefault="005B62C6" w:rsidP="00925F26">
      <w:pPr>
        <w:jc w:val="both"/>
        <w:rPr>
          <w:color w:val="000000" w:themeColor="text1"/>
          <w:sz w:val="16"/>
          <w:szCs w:val="16"/>
        </w:rPr>
      </w:pPr>
      <w:r w:rsidRPr="00925F26">
        <w:rPr>
          <w:color w:val="000000" w:themeColor="text1"/>
          <w:sz w:val="16"/>
          <w:szCs w:val="16"/>
        </w:rPr>
        <w:t>a Поскольку в различных источниках данные приведены либо в длинных, либо в коротких тоннах, расчет калорийности продовольствия осуществлялся после приведения данных мер веса в единую систему: 1 длинная тонна (англо-тонна) = 1016 кг = 1,016 т; 1 короткая тонна = 907 кг = 0,907 т.</w:t>
      </w:r>
    </w:p>
    <w:p w14:paraId="217974ED"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б документе (РГАЭ, ф. 413, оп. 9, д. 438, л. 15), по данным которого составлена таблица, приводится цифра 3 887 223 - раскрыть ее не удалось. </w:t>
      </w:r>
    </w:p>
    <w:p w14:paraId="4B87769F" w14:textId="77777777" w:rsidR="005B62C6" w:rsidRPr="00925F26" w:rsidRDefault="005B62C6" w:rsidP="00925F26">
      <w:pPr>
        <w:jc w:val="both"/>
        <w:rPr>
          <w:color w:val="000000" w:themeColor="text1"/>
          <w:sz w:val="16"/>
          <w:szCs w:val="16"/>
        </w:rPr>
      </w:pPr>
      <w:r w:rsidRPr="00925F26">
        <w:rPr>
          <w:color w:val="000000" w:themeColor="text1"/>
          <w:sz w:val="16"/>
          <w:szCs w:val="16"/>
        </w:rPr>
        <w:t xml:space="preserve">в Средняя калорийность. </w:t>
      </w:r>
    </w:p>
    <w:p w14:paraId="26DE9964" w14:textId="77777777" w:rsidR="005B62C6" w:rsidRPr="00925F26" w:rsidRDefault="005B62C6" w:rsidP="00925F26">
      <w:pPr>
        <w:jc w:val="both"/>
        <w:rPr>
          <w:color w:val="000000" w:themeColor="text1"/>
          <w:sz w:val="16"/>
          <w:szCs w:val="16"/>
        </w:rPr>
      </w:pPr>
      <w:r w:rsidRPr="00925F26">
        <w:rPr>
          <w:color w:val="000000" w:themeColor="text1"/>
          <w:sz w:val="16"/>
          <w:szCs w:val="16"/>
        </w:rPr>
        <w:t>г Вес в коротких тоннах.</w:t>
      </w:r>
    </w:p>
    <w:p w14:paraId="44AF4CD2" w14:textId="77777777" w:rsidR="005B62C6" w:rsidRPr="00925F26" w:rsidRDefault="005B62C6" w:rsidP="00925F26">
      <w:pPr>
        <w:jc w:val="both"/>
        <w:rPr>
          <w:color w:val="000000" w:themeColor="text1"/>
          <w:sz w:val="16"/>
          <w:szCs w:val="16"/>
        </w:rPr>
      </w:pPr>
      <w:proofErr w:type="gramStart"/>
      <w:r w:rsidRPr="00925F26">
        <w:rPr>
          <w:color w:val="000000" w:themeColor="text1"/>
          <w:sz w:val="16"/>
          <w:szCs w:val="16"/>
        </w:rPr>
        <w:t>д</w:t>
      </w:r>
      <w:proofErr w:type="gramEnd"/>
      <w:r w:rsidRPr="00925F26">
        <w:rPr>
          <w:color w:val="000000" w:themeColor="text1"/>
          <w:sz w:val="16"/>
          <w:szCs w:val="16"/>
        </w:rPr>
        <w:t xml:space="preserve"> Ввиду того, что номенклатуру поставок за этот период уточнить не удалось, расчеты калорийности продовольствия сделаны по среднеарифметической калорийности продуктов из США (1651 ккал) (19582).</w:t>
      </w:r>
    </w:p>
    <w:p w14:paraId="1422F6AC" w14:textId="77777777" w:rsidR="005B62C6" w:rsidRPr="00925F26" w:rsidRDefault="005B62C6" w:rsidP="00925F26">
      <w:pPr>
        <w:jc w:val="both"/>
        <w:rPr>
          <w:color w:val="000000" w:themeColor="text1"/>
          <w:sz w:val="16"/>
          <w:szCs w:val="16"/>
        </w:rPr>
      </w:pPr>
    </w:p>
    <w:p w14:paraId="1C5DEAEB"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A0A0951" w14:textId="77777777" w:rsidR="00665165" w:rsidRPr="00925F26" w:rsidRDefault="00665165" w:rsidP="00925F26">
      <w:pPr>
        <w:autoSpaceDE w:val="0"/>
        <w:autoSpaceDN w:val="0"/>
        <w:adjustRightInd w:val="0"/>
        <w:jc w:val="both"/>
        <w:rPr>
          <w:iCs/>
          <w:color w:val="000000" w:themeColor="text1"/>
          <w:sz w:val="16"/>
          <w:szCs w:val="16"/>
        </w:rPr>
      </w:pPr>
    </w:p>
    <w:p w14:paraId="4E14615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мая 1945 в лесах возле Дании английскими войсками арестован английский лорд Уильям Джойс, в течение всех лет войны ведший фашистскую пропаганду по радио из Германии (4962).</w:t>
      </w:r>
    </w:p>
    <w:p w14:paraId="7EE7E6B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18A70E4"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As discussions about use of the bomb continued, US authorities made preparations for the decision that seemed most likely. On May 28, a special committee in Washington nominated four urban industrial centers -- Kokura, Hiroshima, Niigata, and Kyoto -- as targets. On May 29, however, Secretary of War Stimson struck Kyoto (Japan's capital for more than 1,000 years) from the list. Nagasaki was eventually picked as the fourth potential target (1287).</w:t>
      </w:r>
    </w:p>
    <w:p w14:paraId="5719AB13" w14:textId="77777777" w:rsidR="00665165" w:rsidRPr="00925F26" w:rsidRDefault="00665165" w:rsidP="00925F26">
      <w:pPr>
        <w:autoSpaceDE w:val="0"/>
        <w:autoSpaceDN w:val="0"/>
        <w:adjustRightInd w:val="0"/>
        <w:jc w:val="both"/>
        <w:rPr>
          <w:color w:val="000000" w:themeColor="text1"/>
          <w:sz w:val="16"/>
          <w:szCs w:val="16"/>
          <w:lang w:val="en-US"/>
        </w:rPr>
      </w:pPr>
    </w:p>
    <w:p w14:paraId="0EC4E65A"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28 </w:t>
      </w:r>
      <w:r w:rsidRPr="00925F26">
        <w:rPr>
          <w:color w:val="000000" w:themeColor="text1"/>
          <w:sz w:val="16"/>
          <w:szCs w:val="16"/>
        </w:rPr>
        <w:t>мая</w:t>
      </w:r>
      <w:r w:rsidRPr="00925F26">
        <w:rPr>
          <w:color w:val="000000" w:themeColor="text1"/>
          <w:sz w:val="16"/>
          <w:szCs w:val="16"/>
          <w:lang w:val="en-US"/>
        </w:rPr>
        <w:t xml:space="preserve"> 1945 </w:t>
      </w:r>
      <w:r w:rsidRPr="00925F26">
        <w:rPr>
          <w:color w:val="000000" w:themeColor="text1"/>
          <w:sz w:val="16"/>
          <w:szCs w:val="16"/>
        </w:rPr>
        <w:t>специальныйкомитетвВашингтонеопределил</w:t>
      </w:r>
      <w:r w:rsidRPr="00925F26">
        <w:rPr>
          <w:color w:val="000000" w:themeColor="text1"/>
          <w:sz w:val="16"/>
          <w:szCs w:val="16"/>
          <w:lang w:val="en-US"/>
        </w:rPr>
        <w:t xml:space="preserve"> 4 </w:t>
      </w:r>
      <w:r w:rsidRPr="00925F26">
        <w:rPr>
          <w:color w:val="000000" w:themeColor="text1"/>
          <w:sz w:val="16"/>
          <w:szCs w:val="16"/>
        </w:rPr>
        <w:t>целидляатомнойбомбардировкиЯпонии</w:t>
      </w:r>
      <w:r w:rsidRPr="00925F26">
        <w:rPr>
          <w:color w:val="000000" w:themeColor="text1"/>
          <w:sz w:val="16"/>
          <w:szCs w:val="16"/>
          <w:lang w:val="en-US"/>
        </w:rPr>
        <w:t xml:space="preserve"> - </w:t>
      </w:r>
      <w:r w:rsidRPr="00925F26">
        <w:rPr>
          <w:color w:val="000000" w:themeColor="text1"/>
          <w:sz w:val="16"/>
          <w:szCs w:val="16"/>
        </w:rPr>
        <w:t>Кокуру</w:t>
      </w:r>
      <w:r w:rsidRPr="00925F26">
        <w:rPr>
          <w:color w:val="000000" w:themeColor="text1"/>
          <w:sz w:val="16"/>
          <w:szCs w:val="16"/>
          <w:lang w:val="en-US"/>
        </w:rPr>
        <w:t xml:space="preserve">, </w:t>
      </w:r>
      <w:r w:rsidRPr="00925F26">
        <w:rPr>
          <w:color w:val="000000" w:themeColor="text1"/>
          <w:sz w:val="16"/>
          <w:szCs w:val="16"/>
        </w:rPr>
        <w:t>Хиросиму</w:t>
      </w:r>
      <w:r w:rsidRPr="00925F26">
        <w:rPr>
          <w:color w:val="000000" w:themeColor="text1"/>
          <w:sz w:val="16"/>
          <w:szCs w:val="16"/>
          <w:lang w:val="en-US"/>
        </w:rPr>
        <w:t xml:space="preserve">, </w:t>
      </w:r>
      <w:r w:rsidRPr="00925F26">
        <w:rPr>
          <w:color w:val="000000" w:themeColor="text1"/>
          <w:sz w:val="16"/>
          <w:szCs w:val="16"/>
        </w:rPr>
        <w:t>НиигатуиКиото</w:t>
      </w:r>
      <w:r w:rsidRPr="00925F26">
        <w:rPr>
          <w:color w:val="000000" w:themeColor="text1"/>
          <w:sz w:val="16"/>
          <w:szCs w:val="16"/>
          <w:lang w:val="en-US"/>
        </w:rPr>
        <w:t xml:space="preserve">, </w:t>
      </w:r>
      <w:r w:rsidRPr="00925F26">
        <w:rPr>
          <w:color w:val="000000" w:themeColor="text1"/>
          <w:sz w:val="16"/>
          <w:szCs w:val="16"/>
        </w:rPr>
        <w:t>а</w:t>
      </w:r>
      <w:r w:rsidRPr="00925F26">
        <w:rPr>
          <w:color w:val="000000" w:themeColor="text1"/>
          <w:sz w:val="16"/>
          <w:szCs w:val="16"/>
          <w:lang w:val="en-US"/>
        </w:rPr>
        <w:t xml:space="preserve"> 29 </w:t>
      </w:r>
      <w:r w:rsidRPr="00925F26">
        <w:rPr>
          <w:color w:val="000000" w:themeColor="text1"/>
          <w:sz w:val="16"/>
          <w:szCs w:val="16"/>
        </w:rPr>
        <w:t>маяКиотозаменилинаНагасаки</w:t>
      </w:r>
      <w:r w:rsidRPr="00925F26">
        <w:rPr>
          <w:color w:val="000000" w:themeColor="text1"/>
          <w:sz w:val="16"/>
          <w:szCs w:val="16"/>
          <w:lang w:val="en-US"/>
        </w:rPr>
        <w:t xml:space="preserve"> (1287).</w:t>
      </w:r>
    </w:p>
    <w:p w14:paraId="32C5B422" w14:textId="77777777" w:rsidR="00665165" w:rsidRPr="00925F26" w:rsidRDefault="00665165" w:rsidP="00925F26">
      <w:pPr>
        <w:autoSpaceDE w:val="0"/>
        <w:autoSpaceDN w:val="0"/>
        <w:adjustRightInd w:val="0"/>
        <w:jc w:val="both"/>
        <w:rPr>
          <w:color w:val="000000" w:themeColor="text1"/>
          <w:sz w:val="16"/>
          <w:szCs w:val="16"/>
          <w:lang w:val="en-US"/>
        </w:rPr>
      </w:pPr>
    </w:p>
    <w:p w14:paraId="659C40F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675EC13" w14:textId="77777777" w:rsidR="00665165" w:rsidRPr="00925F26" w:rsidRDefault="00665165" w:rsidP="00925F26">
      <w:pPr>
        <w:autoSpaceDE w:val="0"/>
        <w:autoSpaceDN w:val="0"/>
        <w:adjustRightInd w:val="0"/>
        <w:jc w:val="both"/>
        <w:rPr>
          <w:iCs/>
          <w:color w:val="000000" w:themeColor="text1"/>
          <w:sz w:val="16"/>
          <w:szCs w:val="16"/>
        </w:rPr>
      </w:pPr>
    </w:p>
    <w:p w14:paraId="64EE57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взорвался РД-1ХЗ на Пе-2 N 15/185 (2471,42).</w:t>
      </w:r>
    </w:p>
    <w:p w14:paraId="2697892D" w14:textId="77777777" w:rsidR="00665165" w:rsidRPr="00925F26" w:rsidRDefault="00665165" w:rsidP="00925F26">
      <w:pPr>
        <w:autoSpaceDE w:val="0"/>
        <w:autoSpaceDN w:val="0"/>
        <w:adjustRightInd w:val="0"/>
        <w:jc w:val="both"/>
        <w:rPr>
          <w:color w:val="000000" w:themeColor="text1"/>
          <w:sz w:val="16"/>
          <w:szCs w:val="16"/>
        </w:rPr>
      </w:pPr>
    </w:p>
    <w:p w14:paraId="1E764E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произошел взрыв ракетного двигателя РД-1ХЗ на опытном самолете Пе-2 (4476).</w:t>
      </w:r>
    </w:p>
    <w:p w14:paraId="3BA5C5D9" w14:textId="77777777" w:rsidR="00665165" w:rsidRPr="00925F26" w:rsidRDefault="00665165" w:rsidP="00925F26">
      <w:pPr>
        <w:autoSpaceDE w:val="0"/>
        <w:autoSpaceDN w:val="0"/>
        <w:adjustRightInd w:val="0"/>
        <w:jc w:val="both"/>
        <w:rPr>
          <w:color w:val="000000" w:themeColor="text1"/>
          <w:sz w:val="16"/>
          <w:szCs w:val="16"/>
        </w:rPr>
      </w:pPr>
    </w:p>
    <w:p w14:paraId="61A3D7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58835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356D48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C8178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4DE7C332" w14:textId="77777777" w:rsidR="00665165" w:rsidRPr="00925F26" w:rsidRDefault="00665165" w:rsidP="00925F26">
      <w:pPr>
        <w:autoSpaceDE w:val="0"/>
        <w:autoSpaceDN w:val="0"/>
        <w:adjustRightInd w:val="0"/>
        <w:jc w:val="both"/>
        <w:rPr>
          <w:color w:val="000000" w:themeColor="text1"/>
          <w:sz w:val="16"/>
          <w:szCs w:val="16"/>
        </w:rPr>
      </w:pPr>
    </w:p>
    <w:p w14:paraId="4F3836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л М.К.Байкалов на БИ-7 с РД-1 Исаева вместо Д-1-А-1100 Л.С.Душкина выполнил 3-й полет, а 1-й и 2-й были 24 января и 9 марта 1945. Существенных отличий от БИ-2 и Би-3 не было, но вес вырос до 1757 кг, а баки - до 555 кг. Задание: проверка тряски при планировании без включения РД с взлетом и посадкой на буксире за В-25 На тряску машина не реагировала. С выпущенным шасси самолет тянуло в пикирование. В июне 1945 машину сняли с испытаний в связи с появлением активной коррозии (2928,21).</w:t>
      </w:r>
    </w:p>
    <w:p w14:paraId="3A953DD8" w14:textId="77777777" w:rsidR="00665165" w:rsidRPr="00925F26" w:rsidRDefault="00665165" w:rsidP="00925F26">
      <w:pPr>
        <w:autoSpaceDE w:val="0"/>
        <w:autoSpaceDN w:val="0"/>
        <w:adjustRightInd w:val="0"/>
        <w:jc w:val="both"/>
        <w:rPr>
          <w:color w:val="000000" w:themeColor="text1"/>
          <w:sz w:val="16"/>
          <w:szCs w:val="16"/>
        </w:rPr>
      </w:pPr>
    </w:p>
    <w:p w14:paraId="0A72628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139E34D" w14:textId="77777777" w:rsidR="00665165" w:rsidRPr="00925F26" w:rsidRDefault="00665165" w:rsidP="00925F26">
      <w:pPr>
        <w:autoSpaceDE w:val="0"/>
        <w:autoSpaceDN w:val="0"/>
        <w:adjustRightInd w:val="0"/>
        <w:jc w:val="both"/>
        <w:rPr>
          <w:iCs/>
          <w:color w:val="000000" w:themeColor="text1"/>
          <w:sz w:val="16"/>
          <w:szCs w:val="16"/>
        </w:rPr>
      </w:pPr>
    </w:p>
    <w:p w14:paraId="04D1E5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года в Демблине партизанами Армии крайовой был взорван В-17, восстанавливавшийся группой специалистов 45-й дивизии (3457,112).</w:t>
      </w:r>
    </w:p>
    <w:p w14:paraId="0350DD64" w14:textId="77777777" w:rsidR="00665165" w:rsidRPr="00925F26" w:rsidRDefault="00665165" w:rsidP="00925F26">
      <w:pPr>
        <w:autoSpaceDE w:val="0"/>
        <w:autoSpaceDN w:val="0"/>
        <w:adjustRightInd w:val="0"/>
        <w:jc w:val="both"/>
        <w:rPr>
          <w:color w:val="000000" w:themeColor="text1"/>
          <w:sz w:val="16"/>
          <w:szCs w:val="16"/>
        </w:rPr>
      </w:pPr>
    </w:p>
    <w:p w14:paraId="5049FF1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41CC3DA6" w14:textId="77777777" w:rsidR="00665165" w:rsidRPr="00925F26" w:rsidRDefault="00665165" w:rsidP="00925F26">
      <w:pPr>
        <w:autoSpaceDE w:val="0"/>
        <w:autoSpaceDN w:val="0"/>
        <w:adjustRightInd w:val="0"/>
        <w:jc w:val="both"/>
        <w:rPr>
          <w:iCs/>
          <w:color w:val="000000" w:themeColor="text1"/>
          <w:sz w:val="16"/>
          <w:szCs w:val="16"/>
        </w:rPr>
      </w:pPr>
    </w:p>
    <w:p w14:paraId="5365D2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года в НКВД подготовили проект письма заместителя наркома Чернышова и начальника ГУЛАГа Наседкина на имя Берии, в котором говорилось:</w:t>
      </w:r>
    </w:p>
    <w:p w14:paraId="0446D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окончанием военных действий, возникла необходимость в пересмотре директив НКВД и Прокурора СССР № 221 от 22 июня 1941 года и № 185 от 29 апреля 1942 года (7560).</w:t>
      </w:r>
    </w:p>
    <w:p w14:paraId="2BCAF8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 этим директивам до конца войны было прекращено освобождение из мест </w:t>
      </w:r>
      <w:proofErr w:type="gramStart"/>
      <w:r w:rsidRPr="00925F26">
        <w:rPr>
          <w:color w:val="000000" w:themeColor="text1"/>
          <w:sz w:val="16"/>
          <w:szCs w:val="16"/>
        </w:rPr>
        <w:t>заключения</w:t>
      </w:r>
      <w:proofErr w:type="gramEnd"/>
      <w:r w:rsidRPr="00925F26">
        <w:rPr>
          <w:color w:val="000000" w:themeColor="text1"/>
          <w:sz w:val="16"/>
          <w:szCs w:val="16"/>
        </w:rPr>
        <w:t xml:space="preserve"> отбывших сроки наказания осужденных за контрреволюционные и другие особо-опасные преступления (7560).</w:t>
      </w:r>
    </w:p>
    <w:p w14:paraId="24A4B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годы войны задержано и содержится </w:t>
      </w:r>
      <w:proofErr w:type="gramStart"/>
      <w:r w:rsidRPr="00925F26">
        <w:rPr>
          <w:color w:val="000000" w:themeColor="text1"/>
          <w:sz w:val="16"/>
          <w:szCs w:val="16"/>
        </w:rPr>
        <w:t>в исправительно-трудовых лагерях</w:t>
      </w:r>
      <w:proofErr w:type="gramEnd"/>
      <w:r w:rsidRPr="00925F26">
        <w:rPr>
          <w:color w:val="000000" w:themeColor="text1"/>
          <w:sz w:val="16"/>
          <w:szCs w:val="16"/>
        </w:rPr>
        <w:t xml:space="preserve"> отбывших сроки наказания:</w:t>
      </w:r>
    </w:p>
    <w:p w14:paraId="5DEB07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 положении заключенных:</w:t>
      </w:r>
    </w:p>
    <w:p w14:paraId="1C9022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граждан СССР, осужденных за измену Родине, террор, шпионаж, диверсию, троцкистов, правых и бандитов - 20.634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6079E4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подданных, воевавших с СССР государств: Германии, Румынии, Италии, Финляндии, Венгрии, независимо от состава преступления, а также подданных союзных и нейтральных государств, осужденных за особоопасные к/р преступления - 1.850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3F3C98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внеподданных [лиц без гражданства], независимо от статей осуждения - 1.213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12B6A9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положении вольнонаемных, с закреплением до конца войны за лагерями НКВД, без права выезда за пределы районов работ лагерей, осужденных за другие контрреволюционные и особоопасные преступления (кроме перечисленных в п. 1) и уголовников-рецидивистов - 72.600 чел. (в том числе на Дальстрое - 44.200 чел) (7560).</w:t>
      </w:r>
    </w:p>
    <w:p w14:paraId="049C17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Полагали бы целесообразным отбывших сроки наказания:</w:t>
      </w:r>
    </w:p>
    <w:p w14:paraId="73470B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Осужденных за измену Родине, террор, шпионаж, диверсию, троцкистов, правых, бандитов, а также всех внеподданных из мест заключения освободить, определив им проживание в отдельных районах Советского Союза, применительно к предусмотренным в списке № 3 приказа НКВД СССР от 1 июня 1939 года № 0143 (с правом приезда к ним на жительство членов семей) (7560).</w:t>
      </w:r>
    </w:p>
    <w:p w14:paraId="079680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Установить, что в дальнейшем эти категории осужденных по отбытии сроков наказания - могут проживать только в отдаленных районах (7560).</w:t>
      </w:r>
    </w:p>
    <w:p w14:paraId="33DDB3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Подданных воевавших с СССР государств из мест заключения освободить и передать для дальнейшего содержания в лагеря для интернированных (7560).</w:t>
      </w:r>
    </w:p>
    <w:p w14:paraId="5B2FE1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Подданных союзных и нейтральных государств из мест заключения освободить и выдворить за пределы Советского Союза (7560).</w:t>
      </w:r>
    </w:p>
    <w:p w14:paraId="56F633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 Бывшим заключенным, закрепленным за лагерями на правах вольнонаемных до конца войны в порядке п. 2 директивы № 185, разрешить отъезд и проживание по месту избранного жительства, с соблюдением установленных режимных ограничений (7560).</w:t>
      </w:r>
    </w:p>
    <w:p w14:paraId="3E14B2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Директивы НКВД и Прокурора СССР №№ 221 и 185 считать утратившими силу (7560).</w:t>
      </w:r>
    </w:p>
    <w:p w14:paraId="3B0B5B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строительству Дальнего Севера сохранить существовавшее до войны положение, предоставляющее право начальнику Дальстроя оставлять на Колыме, в порядке вольного найма, лиц, отбывших сроки наказания, необходимых Дальстрою (7560).</w:t>
      </w:r>
    </w:p>
    <w:p w14:paraId="3DCD7B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рассмотрения этих предложений просим назначить комиссию НКВД-НКГБ в составе по вашему усмотрению” (7560).</w:t>
      </w:r>
    </w:p>
    <w:p w14:paraId="0F17EC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Комиссия предложела:</w:t>
      </w:r>
    </w:p>
    <w:p w14:paraId="23CFDD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“Отменить директивы НКВД и Прокурора СССР № 221 от 22 июня 1941 года и № 185 от 29 апреля 1942 года и все последующие к ним дополнения о задержке освобождения из мест заключения некоторых категорий осужденных (7560).</w:t>
      </w:r>
    </w:p>
    <w:p w14:paraId="78678C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Для рассмотрения материалов на заключенных, задержанных освобождением, образовать комиссии:</w:t>
      </w:r>
    </w:p>
    <w:p w14:paraId="379863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в отношении заключенных, содержащихся в исправительно-трудовых лагерях МВД, - в составе начальника лагеря, начальника оперативно-чекистского отдела лагеря, прокурора лагеря и представителя Управления Министерства государственной безопасности - по территориальности (7560).</w:t>
      </w:r>
    </w:p>
    <w:p w14:paraId="6C3CA1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б) в отношении заключенных, содержащихся в исправительно-трудовых колониях и тюрьмах МВД, - в составе заместителя министра внутренних дел автономной республики (зам. начальника УМВД), представителя от УМГБ и Прокуратуры республики, края, </w:t>
      </w:r>
      <w:proofErr w:type="gramStart"/>
      <w:r w:rsidRPr="00925F26">
        <w:rPr>
          <w:color w:val="000000" w:themeColor="text1"/>
          <w:sz w:val="16"/>
          <w:szCs w:val="16"/>
        </w:rPr>
        <w:t>области..</w:t>
      </w:r>
      <w:proofErr w:type="gramEnd"/>
      <w:r w:rsidRPr="00925F26">
        <w:rPr>
          <w:color w:val="000000" w:themeColor="text1"/>
          <w:sz w:val="16"/>
          <w:szCs w:val="16"/>
        </w:rPr>
        <w:t xml:space="preserve"> (7560).</w:t>
      </w:r>
    </w:p>
    <w:p w14:paraId="6D163B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Комиссиям в месячный срок рассмотреть имеющиеся материалы на заключенных, задержанных освобождением, руководствуясь при этом следующим:</w:t>
      </w:r>
    </w:p>
    <w:p w14:paraId="090808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лиц, в отношении которых имеются данные об их практической антисоветской или иной преступной деятельности за время нахождения в заключении, - арестовать, оформив арест в установленном законом порядке. Дела по окончании следствия направить на рассмотрение в лагерные суды и Особое совещание при МВД СССР (7560).</w:t>
      </w:r>
    </w:p>
    <w:p w14:paraId="143A8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на заключенных, в отношении которых не имеется данных о проведении ими антисоветской работы в период нахождения в заключении, но являющихся социально-опасными по своей прошлой антисоветской деятельности и по тяжести совершенных ими преступлений (руководители шпионских резидентур и установленные агенты иностранных разведок, руководители антисоветских организаций, террористы, диверсанты, осужденные в совершении террористических и диверсионных актов, кадровые троцкисты, меньшевики, эсеры, а также бандиты), - завести учетные дела и с заключением комиссии представить их на рассмотрение Особого совещания при МВД СССР для направления таких осужденных в ссылку; до получения решения Особого совещания этих заключенных содержать в лагерях;</w:t>
      </w:r>
    </w:p>
    <w:p w14:paraId="24DDBB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остальных заключенных по решениям комиссии освободить из заключения с применением к ним существующих режимных ограничений, согласно положению о паспортах (7560).</w:t>
      </w:r>
    </w:p>
    <w:p w14:paraId="6961F0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Лиц, отбывших сроки наказания и прикрепленных для работы к лагерю (колонии) на положении вольнонаемных в порядке пункта 2 директивы НКВД и прокурора СССР № 185 1942 года, освободить от работы, применив к ним ограничения </w:t>
      </w:r>
      <w:proofErr w:type="gramStart"/>
      <w:r w:rsidRPr="00925F26">
        <w:rPr>
          <w:color w:val="000000" w:themeColor="text1"/>
          <w:sz w:val="16"/>
          <w:szCs w:val="16"/>
        </w:rPr>
        <w:t>согласно положения</w:t>
      </w:r>
      <w:proofErr w:type="gramEnd"/>
      <w:r w:rsidRPr="00925F26">
        <w:rPr>
          <w:color w:val="000000" w:themeColor="text1"/>
          <w:sz w:val="16"/>
          <w:szCs w:val="16"/>
        </w:rPr>
        <w:t xml:space="preserve"> о паспортах (7560).</w:t>
      </w:r>
    </w:p>
    <w:p w14:paraId="6D62D1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Объявить этим лицам под расписку в личном деле, что им разрешено проживать в любом районе СССР, кроме режимных местностей; при выезде выдать соответствующие документы, проездные билеты (7560).</w:t>
      </w:r>
    </w:p>
    <w:p w14:paraId="030D60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Освобождение заключенных, отбывших срок наказания, задержанных в исправительно-трудовых лагерях, колониях и тюрьмах до окончания войны на положении заключенных и вольнонаемных, - производить постепенно и закончить к 1 октября 1946 года” (7560).</w:t>
      </w:r>
    </w:p>
    <w:p w14:paraId="334AE8DD" w14:textId="77777777" w:rsidR="00665165" w:rsidRPr="00925F26" w:rsidRDefault="00665165" w:rsidP="00925F26">
      <w:pPr>
        <w:autoSpaceDE w:val="0"/>
        <w:autoSpaceDN w:val="0"/>
        <w:adjustRightInd w:val="0"/>
        <w:jc w:val="both"/>
        <w:rPr>
          <w:color w:val="000000" w:themeColor="text1"/>
          <w:sz w:val="16"/>
          <w:szCs w:val="16"/>
        </w:rPr>
      </w:pPr>
    </w:p>
    <w:p w14:paraId="5BD43E8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8709703" w14:textId="77777777" w:rsidR="00665165" w:rsidRPr="00925F26" w:rsidRDefault="00665165" w:rsidP="00925F26">
      <w:pPr>
        <w:autoSpaceDE w:val="0"/>
        <w:autoSpaceDN w:val="0"/>
        <w:adjustRightInd w:val="0"/>
        <w:jc w:val="both"/>
        <w:rPr>
          <w:iCs/>
          <w:color w:val="000000" w:themeColor="text1"/>
          <w:sz w:val="16"/>
          <w:szCs w:val="16"/>
        </w:rPr>
      </w:pPr>
    </w:p>
    <w:p w14:paraId="125E4E9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мая 1945 в Норвегии за сотрудничество с фашистами арестован писатель, Нобелевский лауреат Кнут Гамсун (4962).</w:t>
      </w:r>
    </w:p>
    <w:p w14:paraId="46F9E47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BBEEC31" w14:textId="77777777" w:rsidR="003605FA" w:rsidRPr="00925F26" w:rsidRDefault="003605FA"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67805C4" w14:textId="77777777" w:rsidR="003605FA" w:rsidRPr="00925F26" w:rsidRDefault="003605FA" w:rsidP="00925F26">
      <w:pPr>
        <w:autoSpaceDE w:val="0"/>
        <w:autoSpaceDN w:val="0"/>
        <w:adjustRightInd w:val="0"/>
        <w:jc w:val="both"/>
        <w:rPr>
          <w:iCs/>
          <w:color w:val="000000" w:themeColor="text1"/>
          <w:sz w:val="16"/>
          <w:szCs w:val="16"/>
        </w:rPr>
      </w:pPr>
    </w:p>
    <w:p w14:paraId="0631A642" w14:textId="77777777" w:rsidR="00F27BE3" w:rsidRPr="001A0BAA" w:rsidRDefault="00F27BE3" w:rsidP="00F27BE3">
      <w:pPr>
        <w:jc w:val="both"/>
        <w:rPr>
          <w:color w:val="0070C0"/>
          <w:sz w:val="16"/>
          <w:szCs w:val="16"/>
        </w:rPr>
      </w:pPr>
      <w:r w:rsidRPr="001A0BAA">
        <w:rPr>
          <w:color w:val="0070C0"/>
          <w:sz w:val="16"/>
          <w:szCs w:val="16"/>
        </w:rPr>
        <w:t>В 20-х числах мая 1945 года был подготовлен эскизный проект ИС-7, который являлся прямым развитием идей ИС-6. Причем танк, аналогично предшественнику, прорабатывался в двух вариантах исполнения — с планетарной КПП и электромеханической трансмиссией. В зависимости от исполнения, танк имел боевую массу 54-56 тонн. Впрочем, от ИС-6 в новом танке осталось не так много. Корпус очень сильно переработали, особенно бросается в глаза V-образная форма днища. Толщина лобового листа корпуса выросла до 150 мм, но за счет рациональных углов наклона масса корпуса выросла всего на 2 тонны (до 23 тонн).</w:t>
      </w:r>
    </w:p>
    <w:p w14:paraId="39C3E3F4" w14:textId="77777777" w:rsidR="00F27BE3" w:rsidRPr="001A0BAA" w:rsidRDefault="00F27BE3" w:rsidP="00F27BE3">
      <w:pPr>
        <w:jc w:val="both"/>
        <w:rPr>
          <w:color w:val="0070C0"/>
          <w:sz w:val="16"/>
          <w:szCs w:val="16"/>
        </w:rPr>
      </w:pPr>
      <w:r w:rsidRPr="001A0BAA">
        <w:rPr>
          <w:color w:val="0070C0"/>
          <w:sz w:val="16"/>
          <w:szCs w:val="16"/>
        </w:rPr>
        <w:t>За счет принципиально новой конструкции корпуса и переработанной башни, Объект 257 должен был «держать» в упор бронебойные снаряды собственного орудия. Правда, возникла одна проблема. Новая форма корпуса не позволяла использовать торсионную подвеску, поскольку для нее попросту не нашлось места. Поэтому танк получал блокированную подвеску с цельнометаллическими катками малого диаметра и вертикальными буферными пружинами как упругие элементы. Решение весьма спорное, особенно с точки зрения того, как эта ходовая часть могла обеспечивать высокую скорость передвижения (25507).</w:t>
      </w:r>
    </w:p>
    <w:p w14:paraId="2B0CE767" w14:textId="77777777" w:rsidR="00F27BE3" w:rsidRPr="001A0BAA" w:rsidRDefault="00F27BE3" w:rsidP="00F27BE3">
      <w:pPr>
        <w:jc w:val="both"/>
        <w:rPr>
          <w:color w:val="0070C0"/>
          <w:sz w:val="16"/>
          <w:szCs w:val="16"/>
        </w:rPr>
      </w:pPr>
    </w:p>
    <w:p w14:paraId="258214AF"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 20-х числах мая 1945 на НИБТ Полигон в подмосковной Кубинке прибыл тяжёлый танк T26E3. Была составлена программа испытаний, которая традиционно включала в себя изучение машины, тестирование её ходовых качеств, а также испытание вооружения. С последним пунктом, впрочем, как это часто бывало с иностранными танками, произошла заминка. Дело в том, что танк прибыл без боекомплекта. Хотя в СССР имелись зенитные орудия M1, снаряды от которых подходили к 90-мм танковой пушке M3, понадобилось время для их получения. Жалоба на отсутствие боеприпасов поступила 24 мая, и, судя по тому, что испытания вооружения удалось завершить до июля 1945 года, проблему удалось оперативно решить.</w:t>
      </w:r>
    </w:p>
    <w:p w14:paraId="0A60474F"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Вполне традиционно для подобных испытаний первым их этапом стало изучение нового танка. Этот процесс заметно облегчался тем, что вместе с танком прибыл большой объём технической литературы, включая инструкцию по эксплуатации танка и его орудия. Было подготовлено два варианта технического описания машины: краткий, который вошел в отчёт, и полный.</w:t>
      </w:r>
    </w:p>
    <w:p w14:paraId="2A9C4AFD"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Высокий интерес советских специалистов к T26E3 можно легко объяснить. Во-первых, это был первый серийный тяжёлый танк американской разработки, пусть даже тяжёлым он оказался лишь по боевой массе. Во-вторых, с точки зрения компоновки T26E3, как и другие машины семейства T20, разительно отличался от других американских средних и тяжёлых танков. От компоновки по типу Vickers Mk.E здесь было решено отказаться, вернувшись к классической схеме с размещением трансмиссии в кормовой части. К такой концепции американские конструкторы пришли в 1942 году. Забавно, что через год после американцев Генрих Книпкамп ту же самую концепцию решил использовать на Е-50, E-75 и других машинах E-серии. Использование классической схемы на T26E3 привело к тому, что танк получился на 20 см ниже, чем M4A2(</w:t>
      </w:r>
      <w:proofErr w:type="gramStart"/>
      <w:r w:rsidRPr="00925F26">
        <w:rPr>
          <w:color w:val="000000" w:themeColor="text1"/>
          <w:sz w:val="16"/>
          <w:szCs w:val="16"/>
        </w:rPr>
        <w:t>76)W.</w:t>
      </w:r>
      <w:proofErr w:type="gramEnd"/>
      <w:r w:rsidRPr="00925F26">
        <w:rPr>
          <w:color w:val="000000" w:themeColor="text1"/>
          <w:sz w:val="16"/>
          <w:szCs w:val="16"/>
        </w:rPr>
        <w:t xml:space="preserve"> Толщина его брони при этом получилась больше, удалось поставить и башню с более мощным вооружением.</w:t>
      </w:r>
    </w:p>
    <w:p w14:paraId="48F5829C"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Специалисты НИБТ Полигона в ходе изучения предположили, что T26E3 по конструкции основных агрегатов близок к GMC T70. Это предположение было отчасти верным, особенно в отношении конструкции ходовой части. Дело в том, что именно на GMC T70 американцы обкатали конструкцию торсионной подвески, позже использовавшейся на целом ряде американских танков и САУ на их базе. На T26E3 это сходство было уже не столь очевидным, чего не скажешь о T20E3 и T23E3, на которых использовались такие же, как у GMC T70 траки, катки и ведущие колёса. Сходство объяснялось просто: проектирование всех перечисленных машин велось в Tank-automotive Center, располагавшемся в Детройте. Также перешла с САУ на танк, пусть и в сильно измененном виде, система крепления ленивца, которая позволяла поддерживать постоянный уровень натяжения гусеничных лент.</w:t>
      </w:r>
    </w:p>
    <w:p w14:paraId="0DA06514"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Большой интерес вызвала компоновка агрегатов в моторно-трансмиссионном отделении. Между собой моторное и трансмиссионное отделения разделялись блоком, на котором устанавливалась система охлаждения. Испытатели отмечали наличие удобного доступа к агрегатам для обслуживания. Также стоит отметить, что двигатель и блок трансмиссии были объединены в единый узел. Это упрощало установку агрегатного блока в моторно-трансмиссионном отделении. Имелся у подобного решения и ряд недостатков. Во-первых, масса агрегатного блока составляла больше двух тонн, что в полевых условиях усложняло демонтаж. Во-вторых, по отдельности агрегаты вынуть не представлялось возможным, что также усложняло ремонт в поле.</w:t>
      </w:r>
    </w:p>
    <w:p w14:paraId="5D5271E7"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Еще одной вещью, которая роднила T26E3 и GMC T70, была схема трансмиссии. На обеих машинах использовалась коробка переключения передач (КПП) Torqmatic Model 900-T, а также гидротрансформатор. КПП, гидротрансформатор и двойной дифференциал были точно также объединены в один агрегат. Главным отличием от трансмиссии GMC T70 было то, что появился планетарный редуктор, расположенный между двигателем и гидротрансформатором. Установили его неспроста: проблемы, которые испытывала САУ на бездорожье, явно были известны не только советским испытателям. Появление планетарного редуктора позволило устранить проблему проворачивания гидротрансформатора.</w:t>
      </w:r>
    </w:p>
    <w:p w14:paraId="3EE88941"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Существенным отличием стала компоновка отделения управления. За счёт переноса трансмиссии назад здесь стало гораздо просторнее. Кроме того, управление стало сдвоенным, благодаря чему помощник механика-водителя стал таковым в полной мере. Дополнительным плюсом было наличие у механика-водителя регулировок сиденья в четырёх положениях.</w:t>
      </w:r>
    </w:p>
    <w:p w14:paraId="79E65063"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 целом обеспечивалось удобное управление и хороший обзор, но с одним нюансом. Уже после того, как были проведены ходовые испытания, в октябре 1945 года прошли сравнительные испытания, целью которых был замер усилий на рычагах управления. При развороте танка с минимальным радиусом на 1-й передаче усилие составило 35 килограмм на правом рычаге. При плавном развороте на левом рычаге необходимо было приложить усилие в 32 килограмма. Большими подобные показатели были только у ИС-3. Впрочем, у M4A2(76)W усилия оказались ненамного меньшими.</w:t>
      </w:r>
    </w:p>
    <w:p w14:paraId="13A6D4A3"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lastRenderedPageBreak/>
        <w:t>Конструкция корпуса вызвала у советских инженеров смешанные чувства. Во многом это связано с тем, что танк позиционировался как тяжёлый. Сама конструкция корпуса, в которой совместно использовались крупные катаные и литые элементы, вызвала интерес. К её плюсам относились большие люки моторного отделения, которые обеспечивали лёгкий доступ к агрегатам, а также внутренние перегородки, увеличивавшие жёсткость корпуса. Главным недостатком корпуса назвали толщину брони, составлявшей в лобовой части 101,6 мм. Для тяжёлого танка в 1945 году этого было явно недостаточно, да и защита новых советских средних танков, которые испытывались в этот момент, уже была выше. Минусом также назвали выступающий кожух вентилятора между люками механика-водителя и его помощника. Неудачной была признана конструкция крепления бортовых передач, выступавших за габариты корпуса. Существовал высокий риск повредить их на минах или при преодолении препятствий.</w:t>
      </w:r>
    </w:p>
    <w:p w14:paraId="02382FA2"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Башня также не могла похвастаться большой толщиной брони, составлявшей всё те же 101,6 мм в лобовой части. Её конструкция стала логичным развитием башни среднего танка T23, которая также устанавливалась и на M4A2(</w:t>
      </w:r>
      <w:proofErr w:type="gramStart"/>
      <w:r w:rsidRPr="00925F26">
        <w:rPr>
          <w:color w:val="000000" w:themeColor="text1"/>
          <w:sz w:val="16"/>
          <w:szCs w:val="16"/>
        </w:rPr>
        <w:t>76)W.</w:t>
      </w:r>
      <w:proofErr w:type="gramEnd"/>
      <w:r w:rsidRPr="00925F26">
        <w:rPr>
          <w:color w:val="000000" w:themeColor="text1"/>
          <w:sz w:val="16"/>
          <w:szCs w:val="16"/>
        </w:rPr>
        <w:t xml:space="preserve"> Развитая кормовая ниша позволила свободно разметить радиооборудование. Также башня традиционно для американских танков выгодно выделялась хорошим обзором. Несмотря на немного увеличившиеся размеры башни, место командира советские специалисты назвали несколько стеснённым. Зато очень удобным получилось место наводчика. Удачно были проработаны механизмы наведения орудия. Испытания показали, что при помощи ручного привода поворота башни полный оборот осуществлялся за 100 секунд, а с гидравлическим приводом — за 17.</w:t>
      </w:r>
    </w:p>
    <w:p w14:paraId="40881917"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Одно из немногих нареканий по месту наводчика вызвали прицелы. Дело в том, что на них была нанесена шкала только для бронебойных снарядов. Стрелять из пушки осколочно-фугасными снарядами, а также вести огонь из пулемёта с помощью этих прицелов оказалось неудобно. Претензии имелись и к малому оптическому увеличению. Место заряжающего в целом признали неплохо проработанным, но не без недостатков. Укладки снарядов, находящиеся на полу, заставляли заряжающего выполнять дополнительные движения, а это несколько снижало скорострельность орудия.</w:t>
      </w:r>
    </w:p>
    <w:p w14:paraId="40376CE3"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Первоначально предполагалось, что танк пройдёт стандартный цикл ходовых испытаний, включающий в себя езду по асфальтовому шоссе, по просёлку и по целине. Перед самым началом испытаний был получен приказ от начальника Главного бронетанкового управления Красной армии (ГБТУ КА) Федоренко о сокращении программы испытаний. В результате вместо 1000 километров дистанцию сократили до 500. Из программы вычеркнули определение максимальной скорости, а также езду по шоссе и по целине.</w:t>
      </w:r>
    </w:p>
    <w:p w14:paraId="29590FAA"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Движение осуществлялось по лесным дорогам, которые были изрядно разбиты. Это существенно повлияло на среднюю скорость движения, составившую 18,9 км/ч. Её признали хорошей, поскольку в более щадящих дорожных условиях скорость была бы явно больше. Ориентиром стали средние скорости движения других танков, которые примерно в это же время испытывались на тех же самых лесных дорогах. Речь идет прежде всего о тяжёлом танке ИС-3 и среднем танке Т-44. Для ИС-3 средняя скорость чистого движения в этих условиях составила 14,6 км/ч, а техническая — 11,1 км/ч. У Т-44 те же самые показатели составили 17,5 и 15,5 км/ч соответственно. Также проводилось сравнение с американским средним танком M4A4, для которого аналогичные показатели составили 16,5 и 14,8 км/ч, и с немецким средним танком Pz.Kpfw.Panther, по совокупности характеристик наиболее близким аналогом T26E3. Для немецкого танка аналогичные показатели составили 15,8 и 11,4 км/ч.</w:t>
      </w:r>
    </w:p>
    <w:p w14:paraId="58BAC65F"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Большим плюсом американского танка испытатели назвали наличие гидротрансформатора. Благодаря ему наблюдалась высокая приёмистость машины, которая особенно ощущалась на лесных дорогах. Танк быстро набирал скорость. Также отмечалась высокая плавность хода, которая обеспечивалась торсионной подвеской с телескопическими амортизаторами. Подвеска буквально проглатывала небольшие ухабы, благодаря чему средняя скорость движения увеличивалась. До 30 км/ч машина разгонялась по проселку за 15 секунд, проехав 68 метров.</w:t>
      </w:r>
    </w:p>
    <w:p w14:paraId="10590DA5"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Платой за использование гидротрансформатора стал рекордный для танков такой весовой категории расход топлива. На 100 километров пути T26E3 потреблял 585 литров бензина. Для сравнения, ИС-3 в тех же условиях потреблял 373 литра, а Т-44 378 литров. Надо, впрочем, учитывать тот факт, что у ИС-3 и Т-44 стояли дизельные двигатели. Оснащённые бензиновыми моторами M4A4 и Pz.Kpfw.Panther на той же дистанции потребляли 503 и 595 литров соответственно. Испытатели объяснили рекордный расход топлива у T26E3 низким КПД гидротрансформатора, а также тем, что двигатель работал на постоянных, соответствующих максимальной мощности, оборотах.</w:t>
      </w:r>
    </w:p>
    <w:p w14:paraId="436D3255"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Похожие проблемы испытывала и САУ GMC T70, но там вдобавок возникали принципиальные проблемы с преодолением ряда препятствий. Проведённые испытания T26E3 на трогание с места показали, что установка планетарного редуктора в значительной степени решила эти проблемы.</w:t>
      </w:r>
    </w:p>
    <w:p w14:paraId="4F30B3FB"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Повлияли улучшения в трансмиссии и на результаты преодоления подъёмов и спусков, а также на преодоление косогоров. Выяснилось, что танк успешно преодолевает подъёмы крутизной 31–32 градуса, как и указывалось в его инструкции. Также соответствовали действительности указанные американцами данные по максимальному углу спуска — 31 градус. Преодолел танк и косогор крутизной 35 градусов. Не вызвала проблем буксировка американским танком тяжёлого танка ИС-2, правда, расход топлива при этом вырастал до 160 литров в час.</w:t>
      </w:r>
    </w:p>
    <w:p w14:paraId="1A757A81"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 ходе испытаний танк продемонстрировал высокую надёжность. Единственная проблема с мотором случилась на 126-м километре пробега, да и то потому, что была допущена ошибка при монтаже шкива привода ремня вентилятора. На 54-м километре произошла единственная поломка трансмиссии: сломался валик привода масляного насоса. После его починки валик ломался ещё раз, по месту сварки. Тогда его заменили, сделав такую же деталь. Наибольшие проблемы выявились с ходовой частью. Во-первых, наблюдался большой износ зубьев ведущих колес. Во-вторых, ближе к концу ходовых испытаний разрушился бандаж одного из опорных катков. В дальнейшем началось частичное разрушение и бандажей других опорных катков.</w:t>
      </w:r>
    </w:p>
    <w:p w14:paraId="27E963EE"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Следующим этапом стало испытание вооружения. На Heavy Tank T26E3 была установлена 90-мм пушка M3, имевшая баллистику зенитного орудия M1. К моменту начала испытаний удалось получить оба типа бронебойных снарядов к ней, а также осколочно-фугасные. По итогам испытаний на скорострельность удалось добиться показателя в 6–7 выстрелов в минуту. В ходе стрельбы с коротких остановок удалось добиться скорострельности 1 выстрел в 11 секунд. Столь долгие промежутки между выстрелами стали результатом того, что при остановке танк некоторое время раскачивался. Точность стрельбы с коротких остановок была признана хорошей.</w:t>
      </w:r>
    </w:p>
    <w:p w14:paraId="3FAB7CB9"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 ходе стрельбы с хода удалось добиться 40–50% попаданий при движении на скорости 12–13 км/ч, и 10–20% при движении на скорости 24–26 км/ч. В отличие от M4A2(76)W, на танке отсутствовал гироскопический стабилизатор орудия, что очень сильно сказалось на результатах стрельбы. Испытания на устойчивость корпуса при стрельбе дали вполне удовлетворительные результаты.</w:t>
      </w:r>
    </w:p>
    <w:p w14:paraId="30DCA830"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Совсем другая картина вырисовалась в ходе определения загазованности боевого отделения при стрельбе. Выяснилось, что уровень загазованности значительно превышает нормы. При включении вентилятора и двигателя уровень загазованности падал, но всё равно оставался на высоком уровне.</w:t>
      </w:r>
    </w:p>
    <w:p w14:paraId="1C2D1142"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Весьма неоднозначными оказались и результаты испытаний орудия на пробиваемость. При стрельбе использовалось два типа бронебойных снарядов: остроголовый M77 без бронебойного наконечника и остроголовый M82 с бронебойным и баллистическим наконечником. Для отстрела использовались отдельные плиты немецкого тяжёлого танка Pz.Kpfw.Tiger Ausf.E, установленные под разными углами наклона. По итогам испытаний выяснилось, что снаряд M77 пробивает плиту толщиной 82 мм под углом наклона 50 градусов на дистанции 1300 м. В целом этот результат признали схожим с данными немецкой 88-мм пушки KwK 36. Результаты хорошие, но дело в том, что на немецких танках, особенно тяжёлых, стояли куда более мощные орудия. Также американское орудие оказалось немного лучшим 85-мм советского орудия С-53, но было хуже 100-мм пушки Д-10.</w:t>
      </w:r>
    </w:p>
    <w:p w14:paraId="07FBBFF6"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 xml:space="preserve">Не совсем заслуженный статус тяжёлого танка и крайне </w:t>
      </w:r>
      <w:proofErr w:type="gramStart"/>
      <w:r w:rsidRPr="00925F26">
        <w:rPr>
          <w:color w:val="000000" w:themeColor="text1"/>
          <w:sz w:val="16"/>
          <w:szCs w:val="16"/>
        </w:rPr>
        <w:t>неоднозначные</w:t>
      </w:r>
      <w:proofErr w:type="gramEnd"/>
      <w:r w:rsidRPr="00925F26">
        <w:rPr>
          <w:color w:val="000000" w:themeColor="text1"/>
          <w:sz w:val="16"/>
          <w:szCs w:val="16"/>
        </w:rPr>
        <w:t xml:space="preserve"> в связи с этим результаты испытаний стали причиной достаточно сурового вердикта. Признавая ряд положительных качеств T26E3, испытатели посчитали T26E3 не отвечающим современным требованиям. Но ведь на деле T26E3 был не тяжёлым танком, а средним. Да и заключение советских специалистов о том, что это опытный танк, оказалось большой ошибкой. Heavy Tank T26E3 вполне успешно воевал в последние месяцы Второй мировой войны. Вместе с тем вердикт о слабости его брони по итогам боёв подтвердился.</w:t>
      </w:r>
    </w:p>
    <w:p w14:paraId="5FFFEF92" w14:textId="77777777" w:rsidR="003605FA" w:rsidRPr="00925F26" w:rsidRDefault="003605FA" w:rsidP="00925F26">
      <w:pPr>
        <w:shd w:val="clear" w:color="auto" w:fill="FFFFFF"/>
        <w:jc w:val="both"/>
        <w:rPr>
          <w:color w:val="000000" w:themeColor="text1"/>
          <w:sz w:val="16"/>
          <w:szCs w:val="16"/>
        </w:rPr>
      </w:pPr>
      <w:r w:rsidRPr="00925F26">
        <w:rPr>
          <w:color w:val="000000" w:themeColor="text1"/>
          <w:sz w:val="16"/>
          <w:szCs w:val="16"/>
        </w:rPr>
        <w:t>Спустя 5 лет M26 Pershing, уже в статусе среднего танка, воевал в Корее. Там его противниками оказались Т-34–85, которые он значительно превосходил. Как бы то ни было, обвинять испытателей в недооценке американского танка не стоит. Формально он значился тяжёлым, поэтому советские специалисты и сравнивали его с немецкими тяжёлыми танками, а также с ИС-3. До наших дней испытывавшийся в СССР танк не дожил: по окончании испытаний он отправился в Ленинград, откуда уже не вернулся (17693).</w:t>
      </w:r>
    </w:p>
    <w:p w14:paraId="78969E82" w14:textId="77777777" w:rsidR="003605FA" w:rsidRPr="00925F26" w:rsidRDefault="003605FA" w:rsidP="00925F26">
      <w:pPr>
        <w:jc w:val="both"/>
        <w:rPr>
          <w:color w:val="000000" w:themeColor="text1"/>
          <w:sz w:val="16"/>
          <w:szCs w:val="16"/>
        </w:rPr>
      </w:pPr>
    </w:p>
    <w:p w14:paraId="454BE5B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BB7E344" w14:textId="77777777" w:rsidR="00665165" w:rsidRPr="00925F26" w:rsidRDefault="00665165" w:rsidP="00925F26">
      <w:pPr>
        <w:autoSpaceDE w:val="0"/>
        <w:autoSpaceDN w:val="0"/>
        <w:adjustRightInd w:val="0"/>
        <w:jc w:val="both"/>
        <w:rPr>
          <w:iCs/>
          <w:color w:val="000000" w:themeColor="text1"/>
          <w:sz w:val="16"/>
          <w:szCs w:val="16"/>
        </w:rPr>
      </w:pPr>
    </w:p>
    <w:p w14:paraId="289656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30 мая по 15 июня 1945, пока первый летный экземпляр готовился к полету, второй построенный Ил-16 находился в ЦИАМ, где исследовались причины появления тряски на самолете, ко</w:t>
      </w:r>
      <w:r w:rsidRPr="00925F26">
        <w:rPr>
          <w:color w:val="000000" w:themeColor="text1"/>
          <w:sz w:val="16"/>
          <w:szCs w:val="16"/>
        </w:rPr>
        <w:softHyphen/>
        <w:t>торые обнаружились еще при первых рулежках и пробежках по аэродрому. Одновременно с Ил-16 (экз. № 2) в институте ис</w:t>
      </w:r>
      <w:r w:rsidRPr="00925F26">
        <w:rPr>
          <w:color w:val="000000" w:themeColor="text1"/>
          <w:sz w:val="16"/>
          <w:szCs w:val="16"/>
        </w:rPr>
        <w:softHyphen/>
        <w:t>следовался и серийный самолет Ил-10 с мотором АМ-42.</w:t>
      </w:r>
    </w:p>
    <w:p w14:paraId="2A6E6E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Работа проводилась в 14-м отделе, начальником которого был Р.С. Кисаношвили. Непосредственно руководил этими работами старший научный сотрудник В.К. Житомирский. Отчет утвердил начальник ЦИАМ профессор доктор техниче</w:t>
      </w:r>
      <w:r w:rsidRPr="00925F26">
        <w:rPr>
          <w:color w:val="000000" w:themeColor="text1"/>
          <w:sz w:val="16"/>
          <w:szCs w:val="16"/>
        </w:rPr>
        <w:softHyphen/>
        <w:t>ских наук В.И. Поликовский.</w:t>
      </w:r>
    </w:p>
    <w:p w14:paraId="698A8F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Оказалось, что основной причиной тряски на самолете Ил-16 является резонанс подмоторной рамы под действием 1,0 гармоники крутящего момента мотора АМ-43, наступающий при оборотах 1910 об/мин.</w:t>
      </w:r>
    </w:p>
    <w:p w14:paraId="03B155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452A34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самолете Ил-10 с АМ-42 также наблюдался резонанс подмоторной рамы, но на более низких оборотах мотора — 1810 об/мин.</w:t>
      </w:r>
    </w:p>
    <w:p w14:paraId="7F381E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этом амплитуда колебаний на самолете Ил-10 по абсо</w:t>
      </w:r>
      <w:r w:rsidRPr="00925F26">
        <w:rPr>
          <w:color w:val="000000" w:themeColor="text1"/>
          <w:sz w:val="16"/>
          <w:szCs w:val="16"/>
        </w:rPr>
        <w:softHyphen/>
        <w:t>лютной величине в 1,5 раза была меньше, чем на Ил-16. Это объясняется тем, «что при более высоких оборотах 1,0 гармо</w:t>
      </w:r>
      <w:r w:rsidRPr="00925F26">
        <w:rPr>
          <w:color w:val="000000" w:themeColor="text1"/>
          <w:sz w:val="16"/>
          <w:szCs w:val="16"/>
        </w:rPr>
        <w:softHyphen/>
        <w:t>ника вообще несколько сильнее, и тем, что мотор АМ-43 мощ</w:t>
      </w:r>
      <w:r w:rsidRPr="00925F26">
        <w:rPr>
          <w:color w:val="000000" w:themeColor="text1"/>
          <w:sz w:val="16"/>
          <w:szCs w:val="16"/>
        </w:rPr>
        <w:softHyphen/>
        <w:t>нее АМ-42».</w:t>
      </w:r>
    </w:p>
    <w:p w14:paraId="26E5851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выводах отчета указывалось, что: «1,0 гармоника сильна на моторе АМ-43 и устранение ее из рабочего диапазона прак</w:t>
      </w:r>
      <w:r w:rsidRPr="00925F26">
        <w:rPr>
          <w:color w:val="000000" w:themeColor="text1"/>
          <w:sz w:val="16"/>
          <w:szCs w:val="16"/>
        </w:rPr>
        <w:softHyphen/>
        <w:t>тически невозможно. Вследствие различия в нагрузке цилинд</w:t>
      </w:r>
      <w:r w:rsidRPr="00925F26">
        <w:rPr>
          <w:color w:val="000000" w:themeColor="text1"/>
          <w:sz w:val="16"/>
          <w:szCs w:val="16"/>
        </w:rPr>
        <w:softHyphen/>
        <w:t>ров 1,0 гармоника на одних моторах может сказываться силь</w:t>
      </w:r>
      <w:r w:rsidRPr="00925F26">
        <w:rPr>
          <w:color w:val="000000" w:themeColor="text1"/>
          <w:sz w:val="16"/>
          <w:szCs w:val="16"/>
        </w:rPr>
        <w:softHyphen/>
        <w:t>нее, чем на других».</w:t>
      </w:r>
    </w:p>
    <w:p w14:paraId="4E2F3E7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уменьшения тряски на самолете Ил-16 рекомендова</w:t>
      </w:r>
      <w:r w:rsidRPr="00925F26">
        <w:rPr>
          <w:color w:val="000000" w:themeColor="text1"/>
          <w:sz w:val="16"/>
          <w:szCs w:val="16"/>
        </w:rPr>
        <w:softHyphen/>
        <w:t>лось «уменьшить жесткость подвески мотора, чтобы сдвинуть резонанс в область низких оборотов мотора» (11474,532).</w:t>
      </w:r>
    </w:p>
    <w:p w14:paraId="057CFC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6E80D56" w14:textId="77777777" w:rsidR="005F32F4" w:rsidRPr="00925F26" w:rsidRDefault="005F32F4" w:rsidP="00925F26">
      <w:pPr>
        <w:jc w:val="both"/>
        <w:rPr>
          <w:color w:val="000000" w:themeColor="text1"/>
          <w:sz w:val="16"/>
          <w:szCs w:val="16"/>
        </w:rPr>
      </w:pPr>
      <w:r w:rsidRPr="00925F26">
        <w:rPr>
          <w:color w:val="000000" w:themeColor="text1"/>
          <w:sz w:val="16"/>
          <w:szCs w:val="16"/>
        </w:rPr>
        <w:t>На 30 мая 1945, как следует из доклада старшего военпреда УЗСиМ ГУЗ ВВС на заводе №30 инженер-подполковника Г.И. Фалалеева, первый летный экзем</w:t>
      </w:r>
      <w:r w:rsidRPr="00925F26">
        <w:rPr>
          <w:color w:val="000000" w:themeColor="text1"/>
          <w:sz w:val="16"/>
          <w:szCs w:val="16"/>
        </w:rPr>
        <w:softHyphen/>
        <w:t>пляр Ил-16 находился в стадии оконча</w:t>
      </w:r>
      <w:r w:rsidRPr="00925F26">
        <w:rPr>
          <w:color w:val="000000" w:themeColor="text1"/>
          <w:sz w:val="16"/>
          <w:szCs w:val="16"/>
        </w:rPr>
        <w:softHyphen/>
        <w:t>ния монтажей в сборочном цехе завода №30. Предъявление готовых монтажей ожидалось 2-3 июня, после чего маши</w:t>
      </w:r>
      <w:r w:rsidRPr="00925F26">
        <w:rPr>
          <w:color w:val="000000" w:themeColor="text1"/>
          <w:sz w:val="16"/>
          <w:szCs w:val="16"/>
        </w:rPr>
        <w:softHyphen/>
        <w:t>на должна была перейти на площадку для проверки работы шасси и отстрела вооружения в тире.</w:t>
      </w:r>
    </w:p>
    <w:p w14:paraId="2F545D48"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втором экземпляре состыковали бронекорпус с центропланом и хвосто</w:t>
      </w:r>
      <w:r w:rsidRPr="00925F26">
        <w:rPr>
          <w:rFonts w:ascii="Times New Roman" w:hAnsi="Times New Roman" w:cs="Times New Roman"/>
          <w:color w:val="000000" w:themeColor="text1"/>
          <w:sz w:val="16"/>
          <w:szCs w:val="16"/>
        </w:rPr>
        <w:softHyphen/>
        <w:t>вой частью и вместе с крылом самолет передали в цех №19 для подготовки к статическим испытаниям, которые пла</w:t>
      </w:r>
      <w:r w:rsidRPr="00925F26">
        <w:rPr>
          <w:rFonts w:ascii="Times New Roman" w:hAnsi="Times New Roman" w:cs="Times New Roman"/>
          <w:color w:val="000000" w:themeColor="text1"/>
          <w:sz w:val="16"/>
          <w:szCs w:val="16"/>
        </w:rPr>
        <w:softHyphen/>
        <w:t>нировались провести 6 июня.</w:t>
      </w:r>
    </w:p>
    <w:p w14:paraId="528B601B"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Для третьего экземпляра изготовили центроплан и хвостовую часть. Сборку консолей крыла предполагалось завер</w:t>
      </w:r>
      <w:r w:rsidRPr="00925F26">
        <w:rPr>
          <w:rFonts w:ascii="Times New Roman" w:hAnsi="Times New Roman" w:cs="Times New Roman"/>
          <w:color w:val="000000" w:themeColor="text1"/>
          <w:sz w:val="16"/>
          <w:szCs w:val="16"/>
        </w:rPr>
        <w:softHyphen/>
        <w:t>шить 3-4 июня.</w:t>
      </w:r>
    </w:p>
    <w:p w14:paraId="47F2DA8D"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Тем временем в ЦИАМ прошел тор</w:t>
      </w:r>
      <w:r w:rsidRPr="00925F26">
        <w:rPr>
          <w:rFonts w:ascii="Times New Roman" w:hAnsi="Times New Roman" w:cs="Times New Roman"/>
          <w:color w:val="000000" w:themeColor="text1"/>
          <w:sz w:val="16"/>
          <w:szCs w:val="16"/>
        </w:rPr>
        <w:softHyphen/>
        <w:t>сиографирование мотор М-43 зав. №4302, на котором были смонтирова</w:t>
      </w:r>
      <w:r w:rsidRPr="00925F26">
        <w:rPr>
          <w:rFonts w:ascii="Times New Roman" w:hAnsi="Times New Roman" w:cs="Times New Roman"/>
          <w:color w:val="000000" w:themeColor="text1"/>
          <w:sz w:val="16"/>
          <w:szCs w:val="16"/>
        </w:rPr>
        <w:softHyphen/>
        <w:t>ны два демпфера: «один роликовый, в большой шестерне редуктора, настро</w:t>
      </w:r>
      <w:r w:rsidRPr="00925F26">
        <w:rPr>
          <w:rFonts w:ascii="Times New Roman" w:hAnsi="Times New Roman" w:cs="Times New Roman"/>
          <w:color w:val="000000" w:themeColor="text1"/>
          <w:sz w:val="16"/>
          <w:szCs w:val="16"/>
        </w:rPr>
        <w:softHyphen/>
        <w:t>енный на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гармонику, другой с кача</w:t>
      </w:r>
      <w:r w:rsidRPr="00925F26">
        <w:rPr>
          <w:rFonts w:ascii="Times New Roman" w:hAnsi="Times New Roman" w:cs="Times New Roman"/>
          <w:color w:val="000000" w:themeColor="text1"/>
          <w:sz w:val="16"/>
          <w:szCs w:val="16"/>
        </w:rPr>
        <w:softHyphen/>
        <w:t>ющимися грузами, с бифилярным под</w:t>
      </w:r>
      <w:r w:rsidRPr="00925F26">
        <w:rPr>
          <w:rFonts w:ascii="Times New Roman" w:hAnsi="Times New Roman" w:cs="Times New Roman"/>
          <w:color w:val="000000" w:themeColor="text1"/>
          <w:sz w:val="16"/>
          <w:szCs w:val="16"/>
        </w:rPr>
        <w:softHyphen/>
        <w:t>весом, настроенный на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гармонику, и расположенный на вале рядом с малой шестерней редуктора». Расчет дем</w:t>
      </w:r>
      <w:r w:rsidRPr="00925F26">
        <w:rPr>
          <w:rFonts w:ascii="Times New Roman" w:hAnsi="Times New Roman" w:cs="Times New Roman"/>
          <w:color w:val="000000" w:themeColor="text1"/>
          <w:sz w:val="16"/>
          <w:szCs w:val="16"/>
        </w:rPr>
        <w:softHyphen/>
        <w:t>пферов был выполнен специалистами ЦИАМ, а конструированием и их изго</w:t>
      </w:r>
      <w:r w:rsidRPr="00925F26">
        <w:rPr>
          <w:rFonts w:ascii="Times New Roman" w:hAnsi="Times New Roman" w:cs="Times New Roman"/>
          <w:color w:val="000000" w:themeColor="text1"/>
          <w:sz w:val="16"/>
          <w:szCs w:val="16"/>
        </w:rPr>
        <w:softHyphen/>
        <w:t>товлением занимался завод №24.</w:t>
      </w:r>
    </w:p>
    <w:p w14:paraId="4AB73EE5" w14:textId="77777777" w:rsidR="005F32F4" w:rsidRPr="00925F26" w:rsidRDefault="005F32F4" w:rsidP="00925F26">
      <w:pPr>
        <w:jc w:val="both"/>
        <w:rPr>
          <w:color w:val="000000" w:themeColor="text1"/>
          <w:sz w:val="16"/>
          <w:szCs w:val="16"/>
        </w:rPr>
      </w:pPr>
      <w:r w:rsidRPr="00925F26">
        <w:rPr>
          <w:color w:val="000000" w:themeColor="text1"/>
          <w:sz w:val="16"/>
          <w:szCs w:val="16"/>
        </w:rPr>
        <w:t>Дело в том, что мотор М-43 имел коленчатый вал тех же размеров, что и мотор АМ-42 в варианте с усиленным валом и жесткой шестерней редукто</w:t>
      </w:r>
      <w:r w:rsidRPr="00925F26">
        <w:rPr>
          <w:color w:val="000000" w:themeColor="text1"/>
          <w:sz w:val="16"/>
          <w:szCs w:val="16"/>
        </w:rPr>
        <w:softHyphen/>
        <w:t>ра. Поэтому при неизменившихся весах поршней и шатунов система вала М-43 имела те же числа собственных колеба</w:t>
      </w:r>
      <w:r w:rsidRPr="00925F26">
        <w:rPr>
          <w:color w:val="000000" w:themeColor="text1"/>
          <w:sz w:val="16"/>
          <w:szCs w:val="16"/>
        </w:rPr>
        <w:softHyphen/>
        <w:t>ний, что и система вала АМ-42. Однако вследствие изменения номинального и взлетного режимов (повышенные обо</w:t>
      </w:r>
      <w:r w:rsidRPr="00925F26">
        <w:rPr>
          <w:color w:val="000000" w:themeColor="text1"/>
          <w:sz w:val="16"/>
          <w:szCs w:val="16"/>
        </w:rPr>
        <w:softHyphen/>
        <w:t>роты) и увеличения мощности мотора М-43, усилились те резонансы, которые на АМ-42 были еще не опасны.</w:t>
      </w:r>
    </w:p>
    <w:p w14:paraId="72F4B1B4" w14:textId="77777777" w:rsidR="005F32F4" w:rsidRPr="00925F26" w:rsidRDefault="005F32F4" w:rsidP="00925F26">
      <w:pPr>
        <w:jc w:val="both"/>
        <w:rPr>
          <w:color w:val="000000" w:themeColor="text1"/>
          <w:sz w:val="16"/>
          <w:szCs w:val="16"/>
        </w:rPr>
      </w:pPr>
      <w:r w:rsidRPr="00925F26">
        <w:rPr>
          <w:color w:val="000000" w:themeColor="text1"/>
          <w:sz w:val="16"/>
          <w:szCs w:val="16"/>
        </w:rPr>
        <w:t>Как следует из материалов иссле</w:t>
      </w:r>
      <w:r w:rsidRPr="00925F26">
        <w:rPr>
          <w:color w:val="000000" w:themeColor="text1"/>
          <w:sz w:val="16"/>
          <w:szCs w:val="16"/>
        </w:rPr>
        <w:softHyphen/>
        <w:t>дований, в ходе торсиографирования мотора АМ-42 было установлено, что «при работе на винте диаметром 4,0 м резонанс 2-х узловой формы, вызыва</w:t>
      </w:r>
      <w:r w:rsidRPr="00925F26">
        <w:rPr>
          <w:color w:val="000000" w:themeColor="text1"/>
          <w:sz w:val="16"/>
          <w:szCs w:val="16"/>
        </w:rPr>
        <w:softHyphen/>
        <w:t>емый 1</w:t>
      </w:r>
      <w:r w:rsidRPr="00925F26">
        <w:rPr>
          <w:color w:val="000000" w:themeColor="text1"/>
          <w:sz w:val="16"/>
          <w:szCs w:val="16"/>
          <w:vertAlign w:val="superscript"/>
        </w:rPr>
        <w:t>1/2</w:t>
      </w:r>
      <w:r w:rsidRPr="00925F26">
        <w:rPr>
          <w:color w:val="000000" w:themeColor="text1"/>
          <w:sz w:val="16"/>
          <w:szCs w:val="16"/>
        </w:rPr>
        <w:t xml:space="preserve"> гармоникой, приходится на оборотах 2630 об/мин, а при работе на винте с диаметром 3,8 м приблизитель</w:t>
      </w:r>
      <w:r w:rsidRPr="00925F26">
        <w:rPr>
          <w:color w:val="000000" w:themeColor="text1"/>
          <w:sz w:val="16"/>
          <w:szCs w:val="16"/>
        </w:rPr>
        <w:softHyphen/>
        <w:t>но на 2850 об/мин». Эти условия были вполне допустимыми для мотора АМ-42 на взлетном режиме работы (то есть при оборотах 2500 об/мин), но для мотора М-43, учитывая его повышенную мощ</w:t>
      </w:r>
      <w:r w:rsidRPr="00925F26">
        <w:rPr>
          <w:color w:val="000000" w:themeColor="text1"/>
          <w:sz w:val="16"/>
          <w:szCs w:val="16"/>
        </w:rPr>
        <w:softHyphen/>
        <w:t>ность, считались уже неприемлемыми. По утверждению специалистов ЦИАМ, «работа на винте диаметром 4,0 м не допустима, а на винте диаметром 3,8 м /.../ сопровождалась бы значительными напряжениями вала и усилением коле</w:t>
      </w:r>
      <w:r w:rsidRPr="00925F26">
        <w:rPr>
          <w:color w:val="000000" w:themeColor="text1"/>
          <w:sz w:val="16"/>
          <w:szCs w:val="16"/>
        </w:rPr>
        <w:softHyphen/>
        <w:t>баний хвоста вала», что в значительной мере «нагружает привод к нагнетате</w:t>
      </w:r>
      <w:r w:rsidRPr="00925F26">
        <w:rPr>
          <w:color w:val="000000" w:themeColor="text1"/>
          <w:sz w:val="16"/>
          <w:szCs w:val="16"/>
        </w:rPr>
        <w:softHyphen/>
        <w:t>лю». Кроме того, «уже в вале АМ-42 значительные напряжения вызывались колебаниями 4</w:t>
      </w:r>
      <w:r w:rsidRPr="00925F26">
        <w:rPr>
          <w:color w:val="000000" w:themeColor="text1"/>
          <w:sz w:val="16"/>
          <w:szCs w:val="16"/>
          <w:vertAlign w:val="superscript"/>
        </w:rPr>
        <w:t>1/2</w:t>
      </w:r>
      <w:r w:rsidRPr="00925F26">
        <w:rPr>
          <w:color w:val="000000" w:themeColor="text1"/>
          <w:sz w:val="16"/>
          <w:szCs w:val="16"/>
        </w:rPr>
        <w:t xml:space="preserve"> порядка, вследствие приближения на максимальных оборо</w:t>
      </w:r>
      <w:r w:rsidRPr="00925F26">
        <w:rPr>
          <w:color w:val="000000" w:themeColor="text1"/>
          <w:sz w:val="16"/>
          <w:szCs w:val="16"/>
        </w:rPr>
        <w:softHyphen/>
        <w:t>тах к резонансу 3-х узловой формы». При этом «суммарные напряжения от наиболее сильных гармоник колеба</w:t>
      </w:r>
      <w:r w:rsidRPr="00925F26">
        <w:rPr>
          <w:color w:val="000000" w:themeColor="text1"/>
          <w:sz w:val="16"/>
          <w:szCs w:val="16"/>
        </w:rPr>
        <w:softHyphen/>
        <w:t>ний» в моторе без демпферов достигали ±660 кг/см</w:t>
      </w:r>
      <w:r w:rsidRPr="00925F26">
        <w:rPr>
          <w:color w:val="000000" w:themeColor="text1"/>
          <w:sz w:val="16"/>
          <w:szCs w:val="16"/>
          <w:vertAlign w:val="superscript"/>
        </w:rPr>
        <w:t>2</w:t>
      </w:r>
      <w:r w:rsidRPr="00925F26">
        <w:rPr>
          <w:color w:val="000000" w:themeColor="text1"/>
          <w:sz w:val="16"/>
          <w:szCs w:val="16"/>
        </w:rPr>
        <w:t>, что превышает допустимый предел ±600 кг/см</w:t>
      </w:r>
      <w:r w:rsidRPr="00925F26">
        <w:rPr>
          <w:color w:val="000000" w:themeColor="text1"/>
          <w:sz w:val="16"/>
          <w:szCs w:val="16"/>
          <w:vertAlign w:val="superscript"/>
        </w:rPr>
        <w:t>2</w:t>
      </w:r>
      <w:r w:rsidRPr="00925F26">
        <w:rPr>
          <w:color w:val="000000" w:themeColor="text1"/>
          <w:sz w:val="16"/>
          <w:szCs w:val="16"/>
        </w:rPr>
        <w:t>. В этой связи «для уменьшения напряжения вала и сни</w:t>
      </w:r>
      <w:r w:rsidRPr="00925F26">
        <w:rPr>
          <w:color w:val="000000" w:themeColor="text1"/>
          <w:sz w:val="16"/>
          <w:szCs w:val="16"/>
        </w:rPr>
        <w:softHyphen/>
        <w:t>жения уровня колебаний хвоста вала» предлагалось «смягчить или устранить резонансы 1</w:t>
      </w:r>
      <w:r w:rsidRPr="00925F26">
        <w:rPr>
          <w:color w:val="000000" w:themeColor="text1"/>
          <w:sz w:val="16"/>
          <w:szCs w:val="16"/>
          <w:vertAlign w:val="superscript"/>
        </w:rPr>
        <w:t>1/2</w:t>
      </w:r>
      <w:r w:rsidRPr="00925F26">
        <w:rPr>
          <w:color w:val="000000" w:themeColor="text1"/>
          <w:sz w:val="16"/>
          <w:szCs w:val="16"/>
        </w:rPr>
        <w:t xml:space="preserve"> и 4</w:t>
      </w:r>
      <w:r w:rsidRPr="00925F26">
        <w:rPr>
          <w:color w:val="000000" w:themeColor="text1"/>
          <w:sz w:val="16"/>
          <w:szCs w:val="16"/>
          <w:vertAlign w:val="superscript"/>
        </w:rPr>
        <w:t>1/2</w:t>
      </w:r>
      <w:r w:rsidRPr="00925F26">
        <w:rPr>
          <w:color w:val="000000" w:themeColor="text1"/>
          <w:sz w:val="16"/>
          <w:szCs w:val="16"/>
        </w:rPr>
        <w:t xml:space="preserve"> гармоник», что по</w:t>
      </w:r>
      <w:r w:rsidRPr="00925F26">
        <w:rPr>
          <w:color w:val="000000" w:themeColor="text1"/>
          <w:sz w:val="16"/>
          <w:szCs w:val="16"/>
        </w:rPr>
        <w:softHyphen/>
        <w:t>зволило бы «безопасно форсировать мотор по оборотам и облегчило бы ус</w:t>
      </w:r>
      <w:r w:rsidRPr="00925F26">
        <w:rPr>
          <w:color w:val="000000" w:themeColor="text1"/>
          <w:sz w:val="16"/>
          <w:szCs w:val="16"/>
        </w:rPr>
        <w:softHyphen/>
        <w:t>ловия работы привода нагнетателя». Бо</w:t>
      </w:r>
      <w:r w:rsidRPr="00925F26">
        <w:rPr>
          <w:color w:val="000000" w:themeColor="text1"/>
          <w:sz w:val="16"/>
          <w:szCs w:val="16"/>
        </w:rPr>
        <w:softHyphen/>
        <w:t>роться с 1</w:t>
      </w:r>
      <w:r w:rsidRPr="00925F26">
        <w:rPr>
          <w:color w:val="000000" w:themeColor="text1"/>
          <w:sz w:val="16"/>
          <w:szCs w:val="16"/>
          <w:vertAlign w:val="superscript"/>
        </w:rPr>
        <w:t>1/2</w:t>
      </w:r>
      <w:r w:rsidRPr="00925F26">
        <w:rPr>
          <w:color w:val="000000" w:themeColor="text1"/>
          <w:sz w:val="16"/>
          <w:szCs w:val="16"/>
        </w:rPr>
        <w:t xml:space="preserve"> и 4</w:t>
      </w:r>
      <w:r w:rsidRPr="00925F26">
        <w:rPr>
          <w:color w:val="000000" w:themeColor="text1"/>
          <w:sz w:val="16"/>
          <w:szCs w:val="16"/>
          <w:vertAlign w:val="superscript"/>
        </w:rPr>
        <w:t>1/2</w:t>
      </w:r>
      <w:r w:rsidRPr="00925F26">
        <w:rPr>
          <w:color w:val="000000" w:themeColor="text1"/>
          <w:sz w:val="16"/>
          <w:szCs w:val="16"/>
        </w:rPr>
        <w:t xml:space="preserve"> гармониками решили при помощи демпферов.</w:t>
      </w:r>
    </w:p>
    <w:p w14:paraId="3052306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Торсиографирование мотора</w:t>
      </w:r>
      <w:r w:rsidRPr="00925F26">
        <w:rPr>
          <w:rStyle w:val="0pt1"/>
          <w:rFonts w:eastAsia="Calibri"/>
          <w:b w:val="0"/>
          <w:color w:val="000000" w:themeColor="text1"/>
          <w:spacing w:val="0"/>
          <w:sz w:val="16"/>
          <w:szCs w:val="16"/>
        </w:rPr>
        <w:t xml:space="preserve"> М-43 </w:t>
      </w:r>
      <w:r w:rsidRPr="00925F26">
        <w:rPr>
          <w:rFonts w:ascii="Times New Roman" w:hAnsi="Times New Roman" w:cs="Times New Roman"/>
          <w:color w:val="000000" w:themeColor="text1"/>
          <w:sz w:val="16"/>
          <w:szCs w:val="16"/>
        </w:rPr>
        <w:t>зав. №4302 проводилось на винте АВ-5Л-18Б диаметром 3,8 м по дрос</w:t>
      </w:r>
      <w:r w:rsidRPr="00925F26">
        <w:rPr>
          <w:rFonts w:ascii="Times New Roman" w:hAnsi="Times New Roman" w:cs="Times New Roman"/>
          <w:color w:val="000000" w:themeColor="text1"/>
          <w:sz w:val="16"/>
          <w:szCs w:val="16"/>
        </w:rPr>
        <w:softHyphen/>
        <w:t>сельной характеристике в диапазоне 700-2450 об/мин и по внешней характе</w:t>
      </w:r>
      <w:r w:rsidRPr="00925F26">
        <w:rPr>
          <w:rFonts w:ascii="Times New Roman" w:hAnsi="Times New Roman" w:cs="Times New Roman"/>
          <w:color w:val="000000" w:themeColor="text1"/>
          <w:sz w:val="16"/>
          <w:szCs w:val="16"/>
        </w:rPr>
        <w:softHyphen/>
        <w:t>ристике - 2300-2800 об/мин.</w:t>
      </w:r>
    </w:p>
    <w:p w14:paraId="5C182D3F"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Выяснилось, что «роликовый дем</w:t>
      </w:r>
      <w:r w:rsidRPr="00925F26">
        <w:rPr>
          <w:rFonts w:ascii="Times New Roman" w:hAnsi="Times New Roman" w:cs="Times New Roman"/>
          <w:color w:val="000000" w:themeColor="text1"/>
          <w:sz w:val="16"/>
          <w:szCs w:val="16"/>
        </w:rPr>
        <w:softHyphen/>
        <w:t>пфер в большой шестерне редуктора, настроенный на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гармонику, работа</w:t>
      </w:r>
      <w:r w:rsidRPr="00925F26">
        <w:rPr>
          <w:rFonts w:ascii="Times New Roman" w:hAnsi="Times New Roman" w:cs="Times New Roman"/>
          <w:color w:val="000000" w:themeColor="text1"/>
          <w:sz w:val="16"/>
          <w:szCs w:val="16"/>
        </w:rPr>
        <w:softHyphen/>
        <w:t>ет на моторе М-43 хорошо, обеспечивая смещение резонанса на 3020 об/мин и снижение напряжений при 2600 об/мин от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гармоники до ±110 кг/см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вместо ±500 кг/см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xml:space="preserve"> в двигателе без демпфе</w:t>
      </w:r>
      <w:r w:rsidRPr="00925F26">
        <w:rPr>
          <w:rFonts w:ascii="Times New Roman" w:hAnsi="Times New Roman" w:cs="Times New Roman"/>
          <w:color w:val="000000" w:themeColor="text1"/>
          <w:sz w:val="16"/>
          <w:szCs w:val="16"/>
        </w:rPr>
        <w:softHyphen/>
        <w:t>ра (в наиболее напряженной шатунной шейке)».</w:t>
      </w:r>
    </w:p>
    <w:p w14:paraId="268CA274"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то же время «демпфер, настроен</w:t>
      </w:r>
      <w:r w:rsidRPr="00925F26">
        <w:rPr>
          <w:rFonts w:ascii="Times New Roman" w:hAnsi="Times New Roman" w:cs="Times New Roman"/>
          <w:color w:val="000000" w:themeColor="text1"/>
          <w:sz w:val="16"/>
          <w:szCs w:val="16"/>
        </w:rPr>
        <w:softHyphen/>
        <w:t>ный на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порядок, работает не вполне удовлетворительно, вследствие боль</w:t>
      </w:r>
      <w:r w:rsidRPr="00925F26">
        <w:rPr>
          <w:rFonts w:ascii="Times New Roman" w:hAnsi="Times New Roman" w:cs="Times New Roman"/>
          <w:color w:val="000000" w:themeColor="text1"/>
          <w:sz w:val="16"/>
          <w:szCs w:val="16"/>
        </w:rPr>
        <w:softHyphen/>
        <w:t>ших углов колебаний грузов», хотя он и «понизил напряжения на 15% и сделал колебания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925F26">
        <w:rPr>
          <w:rFonts w:ascii="Times New Roman" w:hAnsi="Times New Roman" w:cs="Times New Roman"/>
          <w:color w:val="000000" w:themeColor="text1"/>
          <w:sz w:val="16"/>
          <w:szCs w:val="16"/>
        </w:rPr>
        <w:softHyphen/>
        <w:t>чить достаточно острую настройку всех грузов».</w:t>
      </w:r>
    </w:p>
    <w:p w14:paraId="7C410A70"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 результатам торсиографирова- ния рекомендовалось «для М-43 приме</w:t>
      </w:r>
      <w:r w:rsidRPr="00925F26">
        <w:rPr>
          <w:rFonts w:ascii="Times New Roman" w:hAnsi="Times New Roman" w:cs="Times New Roman"/>
          <w:color w:val="000000" w:themeColor="text1"/>
          <w:sz w:val="16"/>
          <w:szCs w:val="16"/>
        </w:rPr>
        <w:softHyphen/>
        <w:t>нение испытанных демпферов и однов</w:t>
      </w:r>
      <w:r w:rsidRPr="00925F26">
        <w:rPr>
          <w:rFonts w:ascii="Times New Roman" w:hAnsi="Times New Roman" w:cs="Times New Roman"/>
          <w:color w:val="000000" w:themeColor="text1"/>
          <w:sz w:val="16"/>
          <w:szCs w:val="16"/>
        </w:rPr>
        <w:softHyphen/>
        <w:t>ременно смягчение привода к нагнета</w:t>
      </w:r>
      <w:r w:rsidRPr="00925F26">
        <w:rPr>
          <w:rFonts w:ascii="Times New Roman" w:hAnsi="Times New Roman" w:cs="Times New Roman"/>
          <w:color w:val="000000" w:themeColor="text1"/>
          <w:sz w:val="16"/>
          <w:szCs w:val="16"/>
        </w:rPr>
        <w:softHyphen/>
        <w:t>телю».</w:t>
      </w:r>
    </w:p>
    <w:p w14:paraId="663A63C5"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Однако при первых же гонках мото</w:t>
      </w:r>
      <w:r w:rsidRPr="00925F26">
        <w:rPr>
          <w:rFonts w:ascii="Times New Roman" w:hAnsi="Times New Roman" w:cs="Times New Roman"/>
          <w:color w:val="000000" w:themeColor="text1"/>
          <w:sz w:val="16"/>
          <w:szCs w:val="16"/>
        </w:rPr>
        <w:softHyphen/>
        <w:t>ра М-43 с демпферами на первом эк</w:t>
      </w:r>
      <w:r w:rsidRPr="00925F26">
        <w:rPr>
          <w:rFonts w:ascii="Times New Roman" w:hAnsi="Times New Roman" w:cs="Times New Roman"/>
          <w:color w:val="000000" w:themeColor="text1"/>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925F26">
        <w:rPr>
          <w:rFonts w:ascii="Times New Roman" w:hAnsi="Times New Roman" w:cs="Times New Roman"/>
          <w:color w:val="000000" w:themeColor="text1"/>
          <w:sz w:val="16"/>
          <w:szCs w:val="16"/>
        </w:rPr>
        <w:softHyphen/>
        <w:t>ния причин появления тряски.</w:t>
      </w:r>
    </w:p>
    <w:p w14:paraId="69126AC9"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Эта работа проводилась до 13 июня в 14-м отделе института, начальником которого был Р.С. Кисаношвили. Непо</w:t>
      </w:r>
      <w:r w:rsidRPr="00925F26">
        <w:rPr>
          <w:rFonts w:ascii="Times New Roman" w:hAnsi="Times New Roman" w:cs="Times New Roman"/>
          <w:color w:val="000000" w:themeColor="text1"/>
          <w:sz w:val="16"/>
          <w:szCs w:val="16"/>
        </w:rPr>
        <w:softHyphen/>
        <w:t>средственным руководителем был стар</w:t>
      </w:r>
      <w:r w:rsidRPr="00925F26">
        <w:rPr>
          <w:rFonts w:ascii="Times New Roman" w:hAnsi="Times New Roman" w:cs="Times New Roman"/>
          <w:color w:val="000000" w:themeColor="text1"/>
          <w:sz w:val="16"/>
          <w:szCs w:val="16"/>
        </w:rPr>
        <w:softHyphen/>
        <w:t>ший научный сотрудник В.К. Житомир</w:t>
      </w:r>
      <w:r w:rsidRPr="00925F26">
        <w:rPr>
          <w:rFonts w:ascii="Times New Roman" w:hAnsi="Times New Roman" w:cs="Times New Roman"/>
          <w:color w:val="000000" w:themeColor="text1"/>
          <w:sz w:val="16"/>
          <w:szCs w:val="16"/>
        </w:rPr>
        <w:softHyphen/>
        <w:t>ский. Отчет утвердил начальник ЦИАМ профессор доктор технических наук В.И. Поликовский 15 июня (17469).</w:t>
      </w:r>
    </w:p>
    <w:p w14:paraId="02978248"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96DAECB"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На 30 мая 1945, как следует из доклада старшего военпреда УЗСиМ ГУЗ ВВС на заводе № 30 инженер-подполковника Г. И. Фалалеева, первый летный экземпляр Ил-16 находился в стадии окончания монтажей в сборочном цехе завода № 30. Предъявление готовых монтажей ожидалось 2-3 июня, после чего машина должна была перейти на площадку для проверки работы шасси и отстрела вооружения в тире.</w:t>
      </w:r>
    </w:p>
    <w:p w14:paraId="4FD762C9"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На втором экземпляре состыковали бронекорпус с центропланом и хвостовой частью и вместе с крылом самолет передали в цех № 19 для подготовки к статическим испытаниям, которые планировалось провести 6 июня.</w:t>
      </w:r>
    </w:p>
    <w:p w14:paraId="14F59CF8"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Для третьего экземпляра изготовили центроплан и хвостовую часть. Сборка консолей крыла предполагалось завершить 3-4 июня.</w:t>
      </w:r>
    </w:p>
    <w:p w14:paraId="2D938620"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Тем временем в ЦИАМ прошел торсиографирование мотор М-43 зав. № 4302, на котором были смонтированы два демпфера: «один роликовый, в большой шестерне редуктора, настроенный на 1/ гармонику, другой с качающимися грузами, с бифилярным подвесом, настроенный на 4/ гармонику и расположенный на вале рядом с малой шестерней редуктора». Расчет демпферов был выполнен специалистами ЦИАМ, а конструированием и их изготовлением занимался завод № 24.</w:t>
      </w:r>
    </w:p>
    <w:p w14:paraId="0F8D3DAA"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Дело в том, что мотор М-43 имел коленчатый вал тех же размеров, что и мотор АМ-42 в варианте с усиленным валом и жесткой шестерней редуктора. Поэтому при неизменившихся весах поршней и шатунов система вала М-43 имела те же числа собственных колебаний, что и система вала АМ-42. Однако вследствие изменения номинального и взлетного режимов (повышенные обороты) и увеличения мощности мотора М-43 усилились те резонансы, которые на АМ-42 были еще не опасны.</w:t>
      </w:r>
    </w:p>
    <w:p w14:paraId="38835389"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 xml:space="preserve">Как следует из материалов исследований, в ходе торсиографирования мотора АМ -42 было установлено, что «при работе на винте диаметром 4,0 м резонанс двухузловой формы, вызываемый 1/ гармоникой, приходится на оборотах 2630 об/мин, а при работе на винте с диаметром 3,8 м приблизительно на 2850 об/мин». Эти условия были вполне допустимыми для мотора АМ-42 на взлетном режиме работы (то есть при оборотах 2500 об/мин), но для мотора М-43, учитывая его повышенную мощность, считались уже неприемлемыми. По утверждению специалистов ЦИАМ, «работа на винте диаметром 4,0 м была бы недопустима, а на винте диаметром 3,8 м/... /сопровождалась бы значительными напряжениями вала и усилением колебаний хвоста вала», что в значительной мере «нагружает привод к нагнетателю». Кроме того, «уже в вале АМ-42 значительные напряжения вызывались колебаниями 4/ порядка, вследствие приближения на максимальных оборотах к резонансу трехузловой формы». При этом </w:t>
      </w:r>
      <w:proofErr w:type="gramStart"/>
      <w:r w:rsidRPr="00925F26">
        <w:rPr>
          <w:rStyle w:val="107"/>
          <w:rFonts w:eastAsiaTheme="minorHAnsi"/>
          <w:color w:val="000000" w:themeColor="text1"/>
          <w:sz w:val="16"/>
          <w:szCs w:val="16"/>
        </w:rPr>
        <w:t>« суммарные</w:t>
      </w:r>
      <w:proofErr w:type="gramEnd"/>
      <w:r w:rsidRPr="00925F26">
        <w:rPr>
          <w:rStyle w:val="107"/>
          <w:rFonts w:eastAsiaTheme="minorHAnsi"/>
          <w:color w:val="000000" w:themeColor="text1"/>
          <w:sz w:val="16"/>
          <w:szCs w:val="16"/>
        </w:rPr>
        <w:t xml:space="preserve"> напряжения от наиболее сильных гармоник колебаний» в моторе без демпферов достигали ±660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что превышает допустимый предел ±600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В этой связи «для уменьшения напряжения вала и снижения уровня колебаний хвоста вала» предлагалось «смягчить или устранить резонансы 1/ и 4/ гармоник», что позволило бы «безопасно форсировать мотор по оборотам и облегчило бы условия работы привода нагнетателя». Бороться с 1/ и 4/ гармониками решили при помощи демпферов.</w:t>
      </w:r>
    </w:p>
    <w:p w14:paraId="21289220"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Торсиографирование мотора М-43 зав. № 4302 проводилось на винте АВ-5Л-18 Б диаметром 3,8 м по дроссельной характеристике в диапазоне 700-2450 об/мин и по внешней характеристике - 2300-2800 об/мин.</w:t>
      </w:r>
    </w:p>
    <w:p w14:paraId="2C7AA9EC"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 xml:space="preserve">Выяснилось, что «роликовый демпфер в большой шестерне редуктора, настроенный на 1/ гармонику, работает на моторе М-43 хорошо, обеспечивая смещение резонанса на 3020 об/мин и снижение напряжений при 2600 об/мин от 1/ гармоники до ±110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вместо ±500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в двигателе без демпфера (в наиболее напряженной шатунной шейке)».</w:t>
      </w:r>
    </w:p>
    <w:p w14:paraId="78D58378"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В то же время «демпфер, настроенный на 4/ порядок, работает не вполне удовлетворительно, вследствие больших углов колебаний грузов», хотя он и «понизил напряжения на 15 % и сделал колебания 4/ порядка неустойчивыми». Для улучшения его работы считалось необходимым «увеличить его момент инерции не менее чем на 50 % и обеспечить достаточно острую настройку всех грузов».</w:t>
      </w:r>
    </w:p>
    <w:p w14:paraId="32219066"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По результатам торсиографирования рекомендовалось «для М-43 применение испытанных демпферов и одновременно смягчение привода к нагнетателю».</w:t>
      </w:r>
    </w:p>
    <w:p w14:paraId="4CAD71FE" w14:textId="77777777" w:rsidR="00C82529" w:rsidRPr="00925F26" w:rsidRDefault="00C82529" w:rsidP="00925F26">
      <w:pPr>
        <w:jc w:val="both"/>
        <w:rPr>
          <w:color w:val="000000" w:themeColor="text1"/>
          <w:sz w:val="16"/>
          <w:szCs w:val="16"/>
        </w:rPr>
      </w:pPr>
      <w:r w:rsidRPr="00925F26">
        <w:rPr>
          <w:rStyle w:val="107"/>
          <w:rFonts w:eastAsiaTheme="minorHAnsi"/>
          <w:color w:val="000000" w:themeColor="text1"/>
          <w:sz w:val="16"/>
          <w:szCs w:val="16"/>
        </w:rPr>
        <w:t>Однако при первых же гонках мотора М-43 с демпферами на первом экземпляре Ил-16 (экз. № 1), рулежках и пробежках по аэродрому обнаружилась сильная тряска на самолете. Машину сразу же передали в ЦИАМ для выявления причин появления тряски (17490).</w:t>
      </w:r>
    </w:p>
    <w:p w14:paraId="34FB0E6B" w14:textId="77777777" w:rsidR="00C82529" w:rsidRPr="00925F26" w:rsidRDefault="00C82529" w:rsidP="00925F26">
      <w:pPr>
        <w:jc w:val="both"/>
        <w:rPr>
          <w:rStyle w:val="107"/>
          <w:rFonts w:eastAsiaTheme="minorHAnsi"/>
          <w:color w:val="000000" w:themeColor="text1"/>
          <w:sz w:val="16"/>
          <w:szCs w:val="16"/>
        </w:rPr>
      </w:pPr>
    </w:p>
    <w:p w14:paraId="1E64DCF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E7E9FA4" w14:textId="77777777" w:rsidR="00665165" w:rsidRPr="00925F26" w:rsidRDefault="00665165" w:rsidP="00925F26">
      <w:pPr>
        <w:autoSpaceDE w:val="0"/>
        <w:autoSpaceDN w:val="0"/>
        <w:adjustRightInd w:val="0"/>
        <w:jc w:val="both"/>
        <w:rPr>
          <w:iCs/>
          <w:color w:val="000000" w:themeColor="text1"/>
          <w:sz w:val="16"/>
          <w:szCs w:val="16"/>
        </w:rPr>
      </w:pPr>
    </w:p>
    <w:p w14:paraId="7ABF263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мая 1945 вышло Постановление ГКО № 8814 [О комиссии по переговорам с союзниками о разделе торгового и военно-морского флотов Германии.] (7345, 10).</w:t>
      </w:r>
    </w:p>
    <w:p w14:paraId="122A5C22"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E1D4EE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мая 1945 года вышел приказ № 201сс НКБ</w:t>
      </w:r>
    </w:p>
    <w:p w14:paraId="4568E9D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распоряжения ГОКО № 8721с от 26 мая 1945 года:</w:t>
      </w:r>
    </w:p>
    <w:p w14:paraId="64E04CCD"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398 НКБ ликвидировать и передать программу завода № 398 на завод № 548.</w:t>
      </w:r>
    </w:p>
    <w:p w14:paraId="0BEF30F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Директору Московского механического института НКБ на площадях бывшего завода № 398 организовать экспериментально-производственные мастерские для изготовления опытных образцов специальных кафедр Института и лабораторного оборудования (5794, 1-3).</w:t>
      </w:r>
    </w:p>
    <w:p w14:paraId="7235203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B2173D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30 мая/1 июня 1945 года вышел приказ № 0325/205 Наркомата по строительству и НКБ</w:t>
      </w:r>
    </w:p>
    <w:p w14:paraId="4D669A4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ГОКО № 8804 от 26 мая 1945 года</w:t>
      </w:r>
    </w:p>
    <w:p w14:paraId="7438BFFF"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4-му Гл. управлению НКБ передать завод № 13 (Кемерово) Главстроймеханизации Наркомстроя (5763, 147).</w:t>
      </w:r>
    </w:p>
    <w:p w14:paraId="402A9AA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7C3D8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мая 1945 года вышел приказ № 262сс НКТП</w:t>
      </w:r>
    </w:p>
    <w:p w14:paraId="62505E3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О мероприятиях по перестройке промышленности в связи с сокращением производства боеприпасов.</w:t>
      </w:r>
    </w:p>
    <w:p w14:paraId="403B7AD0"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ГКО от 26 мая 1945 года № 8804 сс:</w:t>
      </w:r>
    </w:p>
    <w:p w14:paraId="44E349B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xml:space="preserve">Список предприятий </w:t>
      </w:r>
      <w:proofErr w:type="gramStart"/>
      <w:r w:rsidRPr="00925F26">
        <w:rPr>
          <w:color w:val="000000" w:themeColor="text1"/>
          <w:sz w:val="16"/>
          <w:szCs w:val="16"/>
        </w:rPr>
        <w:t>НКТП</w:t>
      </w:r>
      <w:proofErr w:type="gramEnd"/>
      <w:r w:rsidRPr="00925F26">
        <w:rPr>
          <w:color w:val="000000" w:themeColor="text1"/>
          <w:sz w:val="16"/>
          <w:szCs w:val="16"/>
        </w:rPr>
        <w:t xml:space="preserve"> полностью освобождаемых с 1 июня 1945 года от производства боеприпасов …………</w:t>
      </w:r>
      <w:proofErr w:type="gramStart"/>
      <w:r w:rsidRPr="00925F26">
        <w:rPr>
          <w:color w:val="000000" w:themeColor="text1"/>
          <w:sz w:val="16"/>
          <w:szCs w:val="16"/>
        </w:rPr>
        <w:t>…….</w:t>
      </w:r>
      <w:proofErr w:type="gramEnd"/>
      <w:r w:rsidRPr="00925F26">
        <w:rPr>
          <w:color w:val="000000" w:themeColor="text1"/>
          <w:sz w:val="16"/>
          <w:szCs w:val="16"/>
        </w:rPr>
        <w:t>.</w:t>
      </w:r>
    </w:p>
    <w:p w14:paraId="5E8ED3C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75</w:t>
      </w:r>
    </w:p>
    <w:p w14:paraId="285E85C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177</w:t>
      </w:r>
    </w:p>
    <w:p w14:paraId="4D3E138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183</w:t>
      </w:r>
    </w:p>
    <w:p w14:paraId="617F264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Кировский (Ленинград).</w:t>
      </w:r>
    </w:p>
    <w:p w14:paraId="65EBAF7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Ижорский</w:t>
      </w:r>
    </w:p>
    <w:p w14:paraId="1DB7E50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50</w:t>
      </w:r>
    </w:p>
    <w:p w14:paraId="32DA84E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180</w:t>
      </w:r>
    </w:p>
    <w:p w14:paraId="042A5F34"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Кировский (Челябинск).</w:t>
      </w:r>
    </w:p>
    <w:p w14:paraId="6892FEF7"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112</w:t>
      </w:r>
    </w:p>
    <w:p w14:paraId="6A4C48F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43</w:t>
      </w:r>
    </w:p>
    <w:p w14:paraId="0B97C92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174</w:t>
      </w:r>
    </w:p>
    <w:p w14:paraId="590DABF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176</w:t>
      </w:r>
    </w:p>
    <w:p w14:paraId="7C8A52A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264</w:t>
      </w:r>
    </w:p>
    <w:p w14:paraId="6190E40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37</w:t>
      </w:r>
    </w:p>
    <w:p w14:paraId="0E8885A3"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42</w:t>
      </w:r>
    </w:p>
    <w:p w14:paraId="267B6E5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Уралмашзавод</w:t>
      </w:r>
    </w:p>
    <w:p w14:paraId="68440AC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200 (6215, 118).</w:t>
      </w:r>
    </w:p>
    <w:p w14:paraId="155EE0C5"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3E1A2E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мая 1945 года вышел приказ № 235с НКВ</w:t>
      </w:r>
    </w:p>
    <w:p w14:paraId="32347B9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ГОКО от 19 мая 1945 года за № 8664с:</w:t>
      </w:r>
    </w:p>
    <w:p w14:paraId="22766F3B"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Директору ОКБ-43 Кондакову М.Н. Реэвакуировать в июле 1945 года из Иошкар-Ола в Ленинград ОКБ № 43 (6446, 149).</w:t>
      </w:r>
    </w:p>
    <w:p w14:paraId="3495EB53"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6718E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30 мая 1945 года Приказом Наркомата средмаша все цеха и службы завода "Автозапчасть" и завода им. С.М.Кирова в Оренбурге были переведены на довоенный режим работы с 8-часовым рабочим днем. Сверхурочные работы допускались в исключительном случае (9686).</w:t>
      </w:r>
    </w:p>
    <w:p w14:paraId="7D67D83E" w14:textId="77777777" w:rsidR="00665165" w:rsidRPr="00925F26" w:rsidRDefault="00665165" w:rsidP="00925F26">
      <w:pPr>
        <w:autoSpaceDE w:val="0"/>
        <w:autoSpaceDN w:val="0"/>
        <w:adjustRightInd w:val="0"/>
        <w:jc w:val="both"/>
        <w:rPr>
          <w:color w:val="000000" w:themeColor="text1"/>
          <w:sz w:val="16"/>
          <w:szCs w:val="16"/>
        </w:rPr>
      </w:pPr>
    </w:p>
    <w:p w14:paraId="13DFAD7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70DD00D" w14:textId="77777777" w:rsidR="00665165" w:rsidRPr="00925F26" w:rsidRDefault="00665165" w:rsidP="00925F26">
      <w:pPr>
        <w:autoSpaceDE w:val="0"/>
        <w:autoSpaceDN w:val="0"/>
        <w:adjustRightInd w:val="0"/>
        <w:jc w:val="both"/>
        <w:rPr>
          <w:iCs/>
          <w:color w:val="000000" w:themeColor="text1"/>
          <w:sz w:val="16"/>
          <w:szCs w:val="16"/>
        </w:rPr>
      </w:pPr>
    </w:p>
    <w:p w14:paraId="37F329D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мая 1945 Иран призвал вывести с его территории английские и советские войска (4962).</w:t>
      </w:r>
    </w:p>
    <w:p w14:paraId="0698C98B"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2E7881F5" w14:textId="77777777" w:rsidR="00F37105" w:rsidRPr="00925F26" w:rsidRDefault="00F37105" w:rsidP="00925F26">
      <w:pPr>
        <w:jc w:val="both"/>
        <w:rPr>
          <w:color w:val="000000" w:themeColor="text1"/>
          <w:sz w:val="16"/>
          <w:szCs w:val="16"/>
        </w:rPr>
      </w:pPr>
      <w:r w:rsidRPr="00925F26">
        <w:rPr>
          <w:bCs/>
          <w:color w:val="000000" w:themeColor="text1"/>
          <w:sz w:val="16"/>
          <w:szCs w:val="16"/>
        </w:rPr>
        <w:t>30 мая</w:t>
      </w:r>
      <w:r w:rsidRPr="00925F26">
        <w:rPr>
          <w:color w:val="000000" w:themeColor="text1"/>
          <w:sz w:val="16"/>
          <w:szCs w:val="16"/>
        </w:rPr>
        <w:t xml:space="preserve"> в 1945 году японское военное командование отдало приказ командующему Квантунской армией генералу О.Ямаде быть в «готовности к отражению наступления Советской армии в Маньчжурию и Корею» (14907).</w:t>
      </w:r>
    </w:p>
    <w:p w14:paraId="601E7123" w14:textId="77777777" w:rsidR="00F37105" w:rsidRPr="00925F26" w:rsidRDefault="00F37105" w:rsidP="00925F26">
      <w:pPr>
        <w:jc w:val="both"/>
        <w:rPr>
          <w:color w:val="000000" w:themeColor="text1"/>
          <w:sz w:val="16"/>
          <w:szCs w:val="16"/>
        </w:rPr>
      </w:pPr>
    </w:p>
    <w:p w14:paraId="0AE74374"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51376A8" w14:textId="77777777" w:rsidR="00665165" w:rsidRPr="00925F26" w:rsidRDefault="00665165" w:rsidP="00925F26">
      <w:pPr>
        <w:autoSpaceDE w:val="0"/>
        <w:autoSpaceDN w:val="0"/>
        <w:adjustRightInd w:val="0"/>
        <w:jc w:val="both"/>
        <w:rPr>
          <w:iCs/>
          <w:color w:val="000000" w:themeColor="text1"/>
          <w:sz w:val="16"/>
          <w:szCs w:val="16"/>
        </w:rPr>
      </w:pPr>
    </w:p>
    <w:p w14:paraId="36BBE9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31 мая по 8 июня 1945 в ГК НИИ ВВС проходил гос. испытания модифицированный самолет УИл-2 с мотором АМ-38Ф (самолет N 18841133 производства 18 завода, апрель 1945) (тема 2 - 1945). Ви - ли - ик - Е.В.Зюскевич, второй ли - ст. л. Олейников. Облетали п Долгов, Тиняков и Фролов. Выполнили 26 полетов продолжительностью 13:06.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202E847" w14:textId="77777777" w:rsidR="00665165" w:rsidRPr="00925F26" w:rsidRDefault="00665165" w:rsidP="00925F26">
      <w:pPr>
        <w:autoSpaceDE w:val="0"/>
        <w:autoSpaceDN w:val="0"/>
        <w:adjustRightInd w:val="0"/>
        <w:jc w:val="both"/>
        <w:rPr>
          <w:color w:val="000000" w:themeColor="text1"/>
          <w:sz w:val="16"/>
          <w:szCs w:val="16"/>
        </w:rPr>
      </w:pPr>
    </w:p>
    <w:p w14:paraId="2495C5DC" w14:textId="77777777" w:rsidR="008D1FAE" w:rsidRPr="00925F26" w:rsidRDefault="008D1FAE"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8818 О вывозе оборудования и материалов с филиалов немецких заводов фирм: "Хейшель" в г. Берлин, "Арадо" в Бабельсберге (район Потсдама) и с мастерских по производству самолетных агрегатов в г. Хохенофен на предприятия Наркомавиапрома. Ф.644 (11012).</w:t>
      </w:r>
    </w:p>
    <w:p w14:paraId="20D44923" w14:textId="77777777" w:rsidR="008D1FAE" w:rsidRPr="00925F26" w:rsidRDefault="008D1FAE" w:rsidP="00925F26">
      <w:pPr>
        <w:autoSpaceDE w:val="0"/>
        <w:autoSpaceDN w:val="0"/>
        <w:adjustRightInd w:val="0"/>
        <w:jc w:val="both"/>
        <w:rPr>
          <w:color w:val="000000" w:themeColor="text1"/>
          <w:sz w:val="16"/>
          <w:szCs w:val="16"/>
        </w:rPr>
      </w:pPr>
    </w:p>
    <w:p w14:paraId="0B0690BF" w14:textId="77777777" w:rsidR="008D1FAE" w:rsidRPr="00925F26" w:rsidRDefault="008D1FAE"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8819 О вывозе с авиасборочного завода в г. Хайлигенбайль (Восточная Пруссия) металлоконструкций завода для Наркомавиапрома. РГАНИР, Фонд ГКО, д. 421, лл. 21 (11012).</w:t>
      </w:r>
    </w:p>
    <w:p w14:paraId="15EB9860" w14:textId="77777777" w:rsidR="008D1FAE" w:rsidRPr="00925F26" w:rsidRDefault="008D1FAE" w:rsidP="00925F26">
      <w:pPr>
        <w:autoSpaceDE w:val="0"/>
        <w:autoSpaceDN w:val="0"/>
        <w:adjustRightInd w:val="0"/>
        <w:jc w:val="both"/>
        <w:rPr>
          <w:color w:val="000000" w:themeColor="text1"/>
          <w:sz w:val="16"/>
          <w:szCs w:val="16"/>
        </w:rPr>
      </w:pPr>
    </w:p>
    <w:p w14:paraId="0A415C11" w14:textId="77777777" w:rsidR="008D1FAE" w:rsidRPr="00925F26" w:rsidRDefault="008D1FAE"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8821 О вывозе немецкого самолета-бомбардировщика АРАДО-234 для Наркомавиапрома. РГАНИР, Фонд ГКО, д. 421, лл. 23 (11012).</w:t>
      </w:r>
    </w:p>
    <w:p w14:paraId="0875ACB4" w14:textId="77777777" w:rsidR="008D1FAE" w:rsidRPr="00925F26" w:rsidRDefault="008D1FAE" w:rsidP="00925F26">
      <w:pPr>
        <w:autoSpaceDE w:val="0"/>
        <w:autoSpaceDN w:val="0"/>
        <w:adjustRightInd w:val="0"/>
        <w:jc w:val="both"/>
        <w:rPr>
          <w:color w:val="000000" w:themeColor="text1"/>
          <w:sz w:val="16"/>
          <w:szCs w:val="16"/>
        </w:rPr>
      </w:pPr>
    </w:p>
    <w:p w14:paraId="256F3588" w14:textId="77777777" w:rsidR="008D1FAE" w:rsidRPr="00925F26" w:rsidRDefault="008D1FAE"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8822 О вывозе самолетов "Мессершмидт-262" из района г. Прага для Наркомавиапрома. РГАНИР, Фонд ГКО, д. 421, лл. 24 (11012).</w:t>
      </w:r>
    </w:p>
    <w:p w14:paraId="36656877" w14:textId="77777777" w:rsidR="008D1FAE" w:rsidRPr="00925F26" w:rsidRDefault="008D1FAE" w:rsidP="00925F26">
      <w:pPr>
        <w:autoSpaceDE w:val="0"/>
        <w:autoSpaceDN w:val="0"/>
        <w:adjustRightInd w:val="0"/>
        <w:jc w:val="both"/>
        <w:rPr>
          <w:color w:val="000000" w:themeColor="text1"/>
          <w:sz w:val="16"/>
          <w:szCs w:val="16"/>
        </w:rPr>
      </w:pPr>
    </w:p>
    <w:p w14:paraId="0DC813AF" w14:textId="77777777" w:rsidR="00247854" w:rsidRPr="00925F26" w:rsidRDefault="00247854" w:rsidP="00925F26">
      <w:pPr>
        <w:jc w:val="both"/>
        <w:rPr>
          <w:color w:val="000000" w:themeColor="text1"/>
          <w:sz w:val="16"/>
          <w:szCs w:val="16"/>
          <w:shd w:val="clear" w:color="auto" w:fill="FFFFFF"/>
        </w:rPr>
      </w:pPr>
      <w:r w:rsidRPr="00925F26">
        <w:rPr>
          <w:color w:val="000000" w:themeColor="text1"/>
          <w:sz w:val="16"/>
          <w:szCs w:val="16"/>
          <w:shd w:val="clear" w:color="auto" w:fill="FFFFFF"/>
        </w:rPr>
        <w:t>31 мая 1945 вышло постановление ГКО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И, наконец, 3 августа 1945 года было подписано постановление ГКО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(20875).</w:t>
      </w:r>
    </w:p>
    <w:p w14:paraId="4FA7E702" w14:textId="77777777" w:rsidR="00247854" w:rsidRPr="00925F26" w:rsidRDefault="00247854" w:rsidP="00925F26">
      <w:pPr>
        <w:jc w:val="both"/>
        <w:rPr>
          <w:color w:val="000000" w:themeColor="text1"/>
          <w:sz w:val="16"/>
          <w:szCs w:val="16"/>
          <w:shd w:val="clear" w:color="auto" w:fill="FFFFFF"/>
        </w:rPr>
      </w:pPr>
    </w:p>
    <w:p w14:paraId="42EC19B0" w14:textId="77777777" w:rsidR="00C963E6" w:rsidRPr="001A0BAA" w:rsidRDefault="00C963E6" w:rsidP="00C963E6">
      <w:pPr>
        <w:jc w:val="both"/>
        <w:rPr>
          <w:color w:val="0070C0"/>
          <w:sz w:val="16"/>
          <w:szCs w:val="16"/>
        </w:rPr>
      </w:pPr>
      <w:r w:rsidRPr="001A0BAA">
        <w:rPr>
          <w:color w:val="0070C0"/>
          <w:sz w:val="16"/>
          <w:szCs w:val="16"/>
        </w:rPr>
        <w:t>31 мая 1945 г. было издано Постановление ГКО №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для наркомата боеприпасов (24989).</w:t>
      </w:r>
    </w:p>
    <w:p w14:paraId="76A24914" w14:textId="77777777" w:rsidR="00C963E6" w:rsidRPr="001A0BAA" w:rsidRDefault="00C963E6" w:rsidP="00C963E6">
      <w:pPr>
        <w:jc w:val="both"/>
        <w:rPr>
          <w:color w:val="0070C0"/>
          <w:sz w:val="16"/>
          <w:szCs w:val="16"/>
        </w:rPr>
      </w:pPr>
    </w:p>
    <w:p w14:paraId="6B6570B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DA16A34" w14:textId="77777777" w:rsidR="00665165" w:rsidRPr="00925F26" w:rsidRDefault="00665165" w:rsidP="00925F26">
      <w:pPr>
        <w:autoSpaceDE w:val="0"/>
        <w:autoSpaceDN w:val="0"/>
        <w:adjustRightInd w:val="0"/>
        <w:jc w:val="both"/>
        <w:rPr>
          <w:iCs/>
          <w:color w:val="000000" w:themeColor="text1"/>
          <w:sz w:val="16"/>
          <w:szCs w:val="16"/>
        </w:rPr>
      </w:pPr>
    </w:p>
    <w:p w14:paraId="2967FA73" w14:textId="77777777" w:rsidR="00C963E6" w:rsidRPr="001A0BAA" w:rsidRDefault="00C963E6" w:rsidP="00C963E6">
      <w:pPr>
        <w:jc w:val="both"/>
        <w:rPr>
          <w:color w:val="0070C0"/>
          <w:sz w:val="16"/>
          <w:szCs w:val="16"/>
        </w:rPr>
      </w:pPr>
      <w:r w:rsidRPr="001A0BAA">
        <w:rPr>
          <w:color w:val="0070C0"/>
          <w:sz w:val="16"/>
          <w:szCs w:val="16"/>
        </w:rPr>
        <w:t>До конца мая 1945 г. летчики Г.М. Шиянов и В.А. Давыдов совершили на Ла-7Р-1 15 испытательных полетов. ЖРД работал в течение 2-3 минут и развивал тягу 300 кг. Ресурс «горячих» узлов ракетного мотора составлял всего 45 минут. Со включенным ЖРД истребитель разгонялся до 742 км/ч - прибавка в скорости была явно недостаточной. Весной 1945 г. был готов второй прототип Ла-7Р, изготовленный с учетом опыта, полученного на первой машине. На втором прототипе изменили конфигурацию хвостовой части фюзеляжа, усовершенствовали топливную систему, электрозажигание сменил химический стартер. Доработанный ЖРД получил обозначение РД-1Х (X - химический запуск). Модернизированный истребитель развил на высоте 6 300 м скорость 795 км/ч, его потолок составил 13 000 м, в то же время характеристики самолета при неработающем ЖРД резко снизились по сравнению с обычным Ла-7. Дополнительная прибавка в 235 кг (масса ЖРД) негативно сказалась на маневренности самолета и на его летных характеристиках, которые стали ниже, чем у любого истребителя того времени. Вместе с тем чрезвычайно короткое время работы ЖРД делало проблематичным использование ракетного двигателя в реальном бою. В ходе испытаний Шиянов, по меньшей мере, дважды рисковал жизнью; дважды ЖРД взрывался, причем один раз в полете. Тем не менее, Шиянов приспособился к особенностям техники пилотирования Ла-7Р, которая отличалась от управления стандартным Ла-7 особенно в полете с полностью заправленными баками и не включенным ЖРД, на этом режиме полета в кабину проникали пары азотной кислоты. Ракетные истребители Ла-120Р (доработанный Ла-7Р) демонстрировался на воздушном параде в Тушино в 1946 г., самолет с включенным ЖРД пилотировал В.А. Давыдов (24925).</w:t>
      </w:r>
    </w:p>
    <w:p w14:paraId="14FFDDE1" w14:textId="77777777" w:rsidR="00C963E6" w:rsidRPr="001A0BAA" w:rsidRDefault="00C963E6" w:rsidP="00C963E6">
      <w:pPr>
        <w:jc w:val="both"/>
        <w:rPr>
          <w:color w:val="0070C0"/>
          <w:sz w:val="16"/>
          <w:szCs w:val="16"/>
        </w:rPr>
      </w:pPr>
      <w:r w:rsidRPr="001A0BAA">
        <w:rPr>
          <w:color w:val="0070C0"/>
          <w:sz w:val="16"/>
          <w:szCs w:val="16"/>
        </w:rPr>
        <w:t xml:space="preserve">Проходил испытания и Ла-7, оснащенный пульсирующими воздушно-реактивными двигателями, установленными, как и ранее на ЛаГГ-3, под плоскостями крыла. Самолет, оборудованный двумя пульсирующими моторами ПВРД-430 конструкции Бондарюка, получил обозначение Ла-7С. Еще на одном самолете устанавливались два вспомогательных ПВРД Д-12 тягой по 200 кН каждый; эта машина называлась Ла-7ППВРД. Дальнейшие работы по Ла-7 с ПВРД прекратились по той же причине, </w:t>
      </w:r>
      <w:r w:rsidRPr="001A0BAA">
        <w:rPr>
          <w:color w:val="0070C0"/>
          <w:sz w:val="16"/>
          <w:szCs w:val="16"/>
        </w:rPr>
        <w:lastRenderedPageBreak/>
        <w:t>что и работы по Ла-7Р - слишком малое время работы при значительном усложнении конструкции самолета. Включенный ПВРД давал прирост скорости в 112 км/ч, в то же время с выключенным ПВРД истребитель проигрывал в скорости обычному Ла-7 примерно 50 км/ч: ПВРД в добавок провоцировали сильные вибрации планера. Последним экспериментальным Ла-7 стал самолет, на который было установлено крыло с ламинарным профилем. Машина получила обозначение Ла-7Л, она была построена в 1944 г. Этому самолету не суждено было подняться в воздух, но его продули в аэродинамической трубе Т-101. Летные испытания проводить не стали, так как 2 февраля совершил первый полет самолет Ла-130 (прототип Ла-9), имевший крыло с аналогичным профилем (24925).</w:t>
      </w:r>
    </w:p>
    <w:p w14:paraId="36EFBAE2" w14:textId="77777777" w:rsidR="00C963E6" w:rsidRPr="001A0BAA" w:rsidRDefault="00C963E6" w:rsidP="00C963E6">
      <w:pPr>
        <w:jc w:val="both"/>
        <w:rPr>
          <w:color w:val="0070C0"/>
          <w:sz w:val="16"/>
          <w:szCs w:val="16"/>
        </w:rPr>
      </w:pPr>
    </w:p>
    <w:p w14:paraId="25E14825" w14:textId="77777777" w:rsidR="00C963E6" w:rsidRPr="001A0BAA" w:rsidRDefault="00C963E6" w:rsidP="00C963E6">
      <w:pPr>
        <w:jc w:val="both"/>
        <w:rPr>
          <w:color w:val="0070C0"/>
          <w:sz w:val="16"/>
          <w:szCs w:val="16"/>
        </w:rPr>
      </w:pPr>
      <w:r w:rsidRPr="001A0BAA">
        <w:rPr>
          <w:color w:val="0070C0"/>
          <w:sz w:val="16"/>
          <w:szCs w:val="16"/>
        </w:rPr>
        <w:t>До конца мая 1945 г. летчики Г.М. Шиянов и В.А. Давыдов совершили 15 испытательных полетов. ЖРД работал в течение 2–3 минут и развивал тягу 300 кг. Ресурс «горячих» узлов ракетного мотора составлял всего 45 минут. Со включенным ЖРД истребитель разгонялся до 742 км/ч — прибавка в скорости была явно недостаточной (25058).</w:t>
      </w:r>
    </w:p>
    <w:p w14:paraId="4E997753" w14:textId="77777777" w:rsidR="00C963E6" w:rsidRPr="001A0BAA" w:rsidRDefault="00C963E6" w:rsidP="00C963E6">
      <w:pPr>
        <w:jc w:val="both"/>
        <w:rPr>
          <w:color w:val="0070C0"/>
          <w:sz w:val="16"/>
          <w:szCs w:val="16"/>
        </w:rPr>
      </w:pPr>
    </w:p>
    <w:p w14:paraId="24742B6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31 мая 1945 г. была подготовлена СПРАВКА-ДОКЛАД О ВЫПОЛНЕНИИ АТК И УПРАВЛЕНИЯМИ ГАВТУ КА ПЕРСПЕКТИВНОГО ПЛАНА РАБОТ ЗА </w:t>
      </w:r>
      <w:r w:rsidRPr="00925F26">
        <w:rPr>
          <w:color w:val="000000" w:themeColor="text1"/>
          <w:sz w:val="16"/>
          <w:szCs w:val="16"/>
          <w:lang w:val="en-US"/>
        </w:rPr>
        <w:t>I</w:t>
      </w:r>
      <w:r w:rsidRPr="00925F26">
        <w:rPr>
          <w:color w:val="000000" w:themeColor="text1"/>
          <w:sz w:val="16"/>
          <w:szCs w:val="16"/>
        </w:rPr>
        <w:t xml:space="preserve"> КВАРТАЛ 1945 ГОДА</w:t>
      </w:r>
    </w:p>
    <w:p w14:paraId="17B0DD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Автомобильно-технический комитет</w:t>
      </w:r>
    </w:p>
    <w:p w14:paraId="7731A9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Перспективным планом работ на </w:t>
      </w:r>
      <w:r w:rsidRPr="00925F26">
        <w:rPr>
          <w:color w:val="000000" w:themeColor="text1"/>
          <w:sz w:val="16"/>
          <w:szCs w:val="16"/>
          <w:lang w:val="en-US"/>
        </w:rPr>
        <w:t>I</w:t>
      </w:r>
      <w:r w:rsidRPr="00925F26">
        <w:rPr>
          <w:color w:val="000000" w:themeColor="text1"/>
          <w:sz w:val="16"/>
          <w:szCs w:val="16"/>
        </w:rPr>
        <w:t xml:space="preserve"> кв. 1945 года предусмотрено:</w:t>
      </w:r>
    </w:p>
    <w:p w14:paraId="475081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материалов по вопросу введения новых норм расхода ГСМ на автомашины;</w:t>
      </w:r>
    </w:p>
    <w:p w14:paraId="7691536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составление и издание справочника офицера-автомобилиста;</w:t>
      </w:r>
    </w:p>
    <w:p w14:paraId="403918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составление табелей паркового оборудования для войсковых частей Красной Армии;</w:t>
      </w:r>
    </w:p>
    <w:p w14:paraId="695D1E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пересмотр технических условий на специальные автомашины.</w:t>
      </w:r>
    </w:p>
    <w:p w14:paraId="3455512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Кроме того</w:t>
      </w:r>
      <w:proofErr w:type="gramEnd"/>
      <w:r w:rsidRPr="00925F26">
        <w:rPr>
          <w:color w:val="000000" w:themeColor="text1"/>
          <w:sz w:val="16"/>
          <w:szCs w:val="16"/>
        </w:rPr>
        <w:t xml:space="preserve"> перспективным планом работ на 1945 год предусмотрено выполнение основных научно-исследовательских работ в следующем объеме:</w:t>
      </w:r>
    </w:p>
    <w:p w14:paraId="481612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по новым конструкциям автомобилей и агрегатов — 14 работ;</w:t>
      </w:r>
    </w:p>
    <w:p w14:paraId="11BDF1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по службе эксплуатации — 7 работ;</w:t>
      </w:r>
    </w:p>
    <w:p w14:paraId="3EED6B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по службе ремонта — 13 работ. По данным отчета АТК за </w:t>
      </w:r>
      <w:r w:rsidRPr="00925F26">
        <w:rPr>
          <w:color w:val="000000" w:themeColor="text1"/>
          <w:sz w:val="16"/>
          <w:szCs w:val="16"/>
          <w:lang w:val="en-US"/>
        </w:rPr>
        <w:t>I</w:t>
      </w:r>
      <w:r w:rsidRPr="00925F26">
        <w:rPr>
          <w:color w:val="000000" w:themeColor="text1"/>
          <w:sz w:val="16"/>
          <w:szCs w:val="16"/>
        </w:rPr>
        <w:t xml:space="preserve"> квартал, выполнение характеризуется следующим:</w:t>
      </w:r>
    </w:p>
    <w:p w14:paraId="3553AEB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материалов по вопросу введения новых норм расхода ГСМ для автомобилей закон</w:t>
      </w:r>
      <w:r w:rsidRPr="00925F26">
        <w:rPr>
          <w:color w:val="000000" w:themeColor="text1"/>
          <w:sz w:val="16"/>
          <w:szCs w:val="16"/>
        </w:rPr>
        <w:softHyphen/>
        <w:t>чена. Проект норм представлен в Госплан СССР (№9 п.п.).</w:t>
      </w:r>
    </w:p>
    <w:p w14:paraId="666236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Составление справочника офицера-автомобилиста по приказу начальника ГАВТУ КА снято с АТК и возложено на специальную редакционную коллегию (№18 п.п.).</w:t>
      </w:r>
    </w:p>
    <w:p w14:paraId="60D6DF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Работы по составлению табелей паркового оборудования для войсковых частей КА частично исполнены в </w:t>
      </w:r>
      <w:r w:rsidRPr="00925F26">
        <w:rPr>
          <w:color w:val="000000" w:themeColor="text1"/>
          <w:sz w:val="16"/>
          <w:szCs w:val="16"/>
          <w:lang w:val="en-US"/>
        </w:rPr>
        <w:t>I</w:t>
      </w:r>
      <w:r w:rsidRPr="00925F26">
        <w:rPr>
          <w:color w:val="000000" w:themeColor="text1"/>
          <w:sz w:val="16"/>
          <w:szCs w:val="16"/>
        </w:rPr>
        <w:t xml:space="preserve"> квартале (№52 п.п.).</w:t>
      </w:r>
    </w:p>
    <w:p w14:paraId="2E5204F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Пересмотр технических условий на специальные машины (№76 п.п.). Составлены «Тактико-технические требования к автомобилям КА», которые будут разосланы начальникам родов войск КА для обсуждения и согласования. После внесения соответствующих коррективов они будут доложе</w:t>
      </w:r>
      <w:r w:rsidRPr="00925F26">
        <w:rPr>
          <w:color w:val="000000" w:themeColor="text1"/>
          <w:sz w:val="16"/>
          <w:szCs w:val="16"/>
        </w:rPr>
        <w:softHyphen/>
        <w:t>ны начальнику ГАВТУ КА на утверждение.</w:t>
      </w:r>
    </w:p>
    <w:p w14:paraId="1B945CA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новым конструкциям автомобилей и агрегатов:</w:t>
      </w:r>
    </w:p>
    <w:p w14:paraId="25B266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выполнена 1 тема («19-К») — «Испытание двигателя ЗИС-5 при трех выключенных цилиндрах». По 7 темам («18-К», «21-К», «22-К». «23-К», «24-К», «25-К» и «26-К») работы не закончены — перехо</w:t>
      </w:r>
      <w:r w:rsidRPr="00925F26">
        <w:rPr>
          <w:color w:val="000000" w:themeColor="text1"/>
          <w:sz w:val="16"/>
          <w:szCs w:val="16"/>
        </w:rPr>
        <w:softHyphen/>
        <w:t xml:space="preserve">дят на </w:t>
      </w:r>
      <w:r w:rsidRPr="00925F26">
        <w:rPr>
          <w:color w:val="000000" w:themeColor="text1"/>
          <w:sz w:val="16"/>
          <w:szCs w:val="16"/>
          <w:lang w:val="en-US"/>
        </w:rPr>
        <w:t>II</w:t>
      </w:r>
      <w:r w:rsidRPr="00925F26">
        <w:rPr>
          <w:color w:val="000000" w:themeColor="text1"/>
          <w:sz w:val="16"/>
          <w:szCs w:val="16"/>
        </w:rPr>
        <w:t xml:space="preserve"> квартал.</w:t>
      </w:r>
    </w:p>
    <w:p w14:paraId="481235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выполнению темы «20-К» — «Сравнительные поверочные расчеты импортных и отечествен</w:t>
      </w:r>
      <w:r w:rsidRPr="00925F26">
        <w:rPr>
          <w:color w:val="000000" w:themeColor="text1"/>
          <w:sz w:val="16"/>
          <w:szCs w:val="16"/>
        </w:rPr>
        <w:softHyphen/>
        <w:t>ных автомобилей» — не приступали, заказ на работу еще не размещен. Согласие на выполнение этой работы группой инженеров уже дано.</w:t>
      </w:r>
    </w:p>
    <w:p w14:paraId="7DABBC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службе эксплуатации:</w:t>
      </w:r>
    </w:p>
    <w:p w14:paraId="406F7B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выполнены 9 тем основных и 5 тем внеплановых.</w:t>
      </w:r>
    </w:p>
    <w:p w14:paraId="0FE754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 16 темам работы не закончены — переходят на </w:t>
      </w:r>
      <w:r w:rsidRPr="00925F26">
        <w:rPr>
          <w:color w:val="000000" w:themeColor="text1"/>
          <w:sz w:val="16"/>
          <w:szCs w:val="16"/>
          <w:lang w:val="en-US"/>
        </w:rPr>
        <w:t>II</w:t>
      </w:r>
      <w:r w:rsidRPr="00925F26">
        <w:rPr>
          <w:color w:val="000000" w:themeColor="text1"/>
          <w:sz w:val="16"/>
          <w:szCs w:val="16"/>
        </w:rPr>
        <w:t xml:space="preserve"> квартал. По 2 темам («20-Э» и «21-Э»), срок исполнения которых 31.03.1945 г., работы соответственно выполнены на 40% и на 85%.</w:t>
      </w:r>
    </w:p>
    <w:p w14:paraId="3894A6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Увеличение числа тем, предусмотренных перспективным планом, произошло в связи с </w:t>
      </w:r>
      <w:proofErr w:type="gramStart"/>
      <w:r w:rsidRPr="00925F26">
        <w:rPr>
          <w:color w:val="000000" w:themeColor="text1"/>
          <w:sz w:val="16"/>
          <w:szCs w:val="16"/>
        </w:rPr>
        <w:t>новыми ,</w:t>
      </w:r>
      <w:proofErr w:type="gramEnd"/>
      <w:r w:rsidRPr="00925F26">
        <w:rPr>
          <w:color w:val="000000" w:themeColor="text1"/>
          <w:sz w:val="16"/>
          <w:szCs w:val="16"/>
        </w:rPr>
        <w:t xml:space="preserve"> задачами, которые командование ГАВТУ КА ставило перед АТК</w:t>
      </w:r>
      <w:proofErr w:type="gramStart"/>
      <w:r w:rsidRPr="00925F26">
        <w:rPr>
          <w:color w:val="000000" w:themeColor="text1"/>
          <w:sz w:val="16"/>
          <w:szCs w:val="16"/>
        </w:rPr>
        <w:t>. ;</w:t>
      </w:r>
      <w:proofErr w:type="gramEnd"/>
    </w:p>
    <w:p w14:paraId="39BD9A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службе ремонта: |</w:t>
      </w:r>
    </w:p>
    <w:p w14:paraId="39DE78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выполнены 3 основные темы и 1 внеплановая.</w:t>
      </w:r>
    </w:p>
    <w:p w14:paraId="26C379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7 основным темам работы продолжаются.</w:t>
      </w:r>
    </w:p>
    <w:p w14:paraId="341C4A7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работе по теме «15-Р» не приступали из-за отсутствия исполнителей.</w:t>
      </w:r>
    </w:p>
    <w:p w14:paraId="3C61319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Управление снабжения</w:t>
      </w:r>
    </w:p>
    <w:p w14:paraId="77B915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Перспективный план в </w:t>
      </w:r>
      <w:r w:rsidRPr="00925F26">
        <w:rPr>
          <w:color w:val="000000" w:themeColor="text1"/>
          <w:sz w:val="16"/>
          <w:szCs w:val="16"/>
          <w:lang w:val="en-US"/>
        </w:rPr>
        <w:t>I</w:t>
      </w:r>
      <w:r w:rsidRPr="00925F26">
        <w:rPr>
          <w:color w:val="000000" w:themeColor="text1"/>
          <w:sz w:val="16"/>
          <w:szCs w:val="16"/>
        </w:rPr>
        <w:t xml:space="preserve"> квартале, в основном, выполнен за исключением следующих работ:</w:t>
      </w:r>
    </w:p>
    <w:p w14:paraId="128CC5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и проведение мероприятий по замене во фронтах и округах автомашин, пришед</w:t>
      </w:r>
      <w:r w:rsidRPr="00925F26">
        <w:rPr>
          <w:color w:val="000000" w:themeColor="text1"/>
          <w:sz w:val="16"/>
          <w:szCs w:val="16"/>
        </w:rPr>
        <w:softHyphen/>
        <w:t>ших в состояние, непригодное для дальнейшей эксплуатации вследствие технического износа» (№79 п.п.).</w:t>
      </w:r>
    </w:p>
    <w:p w14:paraId="3D79FE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типовой походной вулканизационной мастерской» (№32 п.п.).</w:t>
      </w:r>
    </w:p>
    <w:p w14:paraId="0C2D102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Управление ремонта</w:t>
      </w:r>
    </w:p>
    <w:p w14:paraId="37D1ED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Основные мероприятия, намеченные перспективным планом, в </w:t>
      </w:r>
      <w:r w:rsidRPr="00925F26">
        <w:rPr>
          <w:color w:val="000000" w:themeColor="text1"/>
          <w:sz w:val="16"/>
          <w:szCs w:val="16"/>
          <w:lang w:val="en-US"/>
        </w:rPr>
        <w:t>I</w:t>
      </w:r>
      <w:r w:rsidRPr="00925F26">
        <w:rPr>
          <w:color w:val="000000" w:themeColor="text1"/>
          <w:sz w:val="16"/>
          <w:szCs w:val="16"/>
        </w:rPr>
        <w:t xml:space="preserve"> квартале 1945 года выполнены за исключением следующих:</w:t>
      </w:r>
    </w:p>
    <w:p w14:paraId="0B9ADE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«Реорганизация ремонтных средств частей СВГК» (№5 п.п.) — произведены подготовительные работы.</w:t>
      </w:r>
    </w:p>
    <w:p w14:paraId="4F53E93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 «Введение военной приемки на центральных и окружных стационарных авторемзаводах НКО» (№6 п.п.) — работы по введению будут закончены во </w:t>
      </w:r>
      <w:r w:rsidRPr="00925F26">
        <w:rPr>
          <w:color w:val="000000" w:themeColor="text1"/>
          <w:sz w:val="16"/>
          <w:szCs w:val="16"/>
          <w:lang w:val="en-US"/>
        </w:rPr>
        <w:t>II</w:t>
      </w:r>
      <w:r w:rsidRPr="00925F26">
        <w:rPr>
          <w:color w:val="000000" w:themeColor="text1"/>
          <w:sz w:val="16"/>
          <w:szCs w:val="16"/>
        </w:rPr>
        <w:t xml:space="preserve"> квартале.</w:t>
      </w:r>
    </w:p>
    <w:p w14:paraId="6126D93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в связи с переходом на хозрасчет, типового положения об организации и планиро</w:t>
      </w:r>
      <w:r w:rsidRPr="00925F26">
        <w:rPr>
          <w:color w:val="000000" w:themeColor="text1"/>
          <w:sz w:val="16"/>
          <w:szCs w:val="16"/>
        </w:rPr>
        <w:softHyphen/>
        <w:t>вании работы и материально-техническом снабжении стационарных ремпредприятий» (№10 п.п.).</w:t>
      </w:r>
    </w:p>
    <w:p w14:paraId="2A6804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«Организация технической учебы офицерского состава авторемонтных частей, складов и пред</w:t>
      </w:r>
      <w:r w:rsidRPr="00925F26">
        <w:rPr>
          <w:color w:val="000000" w:themeColor="text1"/>
          <w:sz w:val="16"/>
          <w:szCs w:val="16"/>
        </w:rPr>
        <w:softHyphen/>
        <w:t>приятий центрального подчинения» (№31 п.п.).</w:t>
      </w:r>
    </w:p>
    <w:p w14:paraId="73929C5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«Организация центральных курсов по подготовке сварщиков» (№35 п.п.), — проведена подго</w:t>
      </w:r>
      <w:r w:rsidRPr="00925F26">
        <w:rPr>
          <w:color w:val="000000" w:themeColor="text1"/>
          <w:sz w:val="16"/>
          <w:szCs w:val="16"/>
        </w:rPr>
        <w:softHyphen/>
        <w:t>товительная работа.</w:t>
      </w:r>
    </w:p>
    <w:p w14:paraId="5A83B8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Управление эксплуатации и автоперевозок</w:t>
      </w:r>
    </w:p>
    <w:p w14:paraId="0A4BCD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По данным отчета, основные мероприятия, намеченные перспективным планом, в </w:t>
      </w:r>
      <w:r w:rsidRPr="00925F26">
        <w:rPr>
          <w:color w:val="000000" w:themeColor="text1"/>
          <w:sz w:val="16"/>
          <w:szCs w:val="16"/>
          <w:lang w:val="en-US"/>
        </w:rPr>
        <w:t>I</w:t>
      </w:r>
      <w:r w:rsidRPr="00925F26">
        <w:rPr>
          <w:color w:val="000000" w:themeColor="text1"/>
          <w:sz w:val="16"/>
          <w:szCs w:val="16"/>
        </w:rPr>
        <w:t xml:space="preserve"> квартале 1945 г. выполнены, за исключением следующих:</w:t>
      </w:r>
    </w:p>
    <w:p w14:paraId="1906E8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и издание временного наставления по автомобильным перевозкам» (№17 п.п.).</w:t>
      </w:r>
    </w:p>
    <w:p w14:paraId="391EFD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«Разработка наиболее рациональной методики боевой подготовки личного состава линейных авточастей» (№30 п.п. — совместно со штабом).</w:t>
      </w:r>
    </w:p>
    <w:p w14:paraId="74E3CAB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«Составление табелей паркового оборудования для войсковых частей КА» (№52 п.п. — совмес</w:t>
      </w:r>
      <w:r w:rsidRPr="00925F26">
        <w:rPr>
          <w:color w:val="000000" w:themeColor="text1"/>
          <w:sz w:val="16"/>
          <w:szCs w:val="16"/>
        </w:rPr>
        <w:softHyphen/>
        <w:t>тно с АТК и УСГ КА) — частично исполнено. Вне плана выполнены следующие работы:</w:t>
      </w:r>
    </w:p>
    <w:p w14:paraId="61E3C1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разработаны новые межремонтные и межсмотровые пробеги отечественных и иностранных автомобилей;</w:t>
      </w:r>
    </w:p>
    <w:p w14:paraId="797932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оборудован и оформлен отдел «эксплуатации автопарка» на автомобильной выставке КА.</w:t>
      </w:r>
    </w:p>
    <w:p w14:paraId="398E78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Перспективный план основных мероприятий на </w:t>
      </w:r>
      <w:r w:rsidRPr="00925F26">
        <w:rPr>
          <w:color w:val="000000" w:themeColor="text1"/>
          <w:sz w:val="16"/>
          <w:szCs w:val="16"/>
          <w:lang w:val="en-US"/>
        </w:rPr>
        <w:t>I</w:t>
      </w:r>
      <w:r w:rsidRPr="00925F26">
        <w:rPr>
          <w:color w:val="000000" w:themeColor="text1"/>
          <w:sz w:val="16"/>
          <w:szCs w:val="16"/>
        </w:rPr>
        <w:t xml:space="preserve"> квартал 1945 года управлениями и АТК ГАВТУ КА, в основном, выполнен, за исключением мероприятий указанных выше.</w:t>
      </w:r>
    </w:p>
    <w:p w14:paraId="29AACDE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Увеличение количества тем по АТК произошло в связи с новыми задачами, которые командова</w:t>
      </w:r>
      <w:r w:rsidRPr="00925F26">
        <w:rPr>
          <w:color w:val="000000" w:themeColor="text1"/>
          <w:sz w:val="16"/>
          <w:szCs w:val="16"/>
        </w:rPr>
        <w:softHyphen/>
        <w:t>ние ГАВТУ КА ставило перед ним.</w:t>
      </w:r>
    </w:p>
    <w:p w14:paraId="18AA41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Отчетные данные управлениями представляются с большими опозданиями и не являются исчер</w:t>
      </w:r>
      <w:r w:rsidRPr="00925F26">
        <w:rPr>
          <w:color w:val="000000" w:themeColor="text1"/>
          <w:sz w:val="16"/>
          <w:szCs w:val="16"/>
        </w:rPr>
        <w:softHyphen/>
        <w:t>пывающими.</w:t>
      </w:r>
    </w:p>
    <w:p w14:paraId="56A3A89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Врид начальника 1 отдела штаба ГАВТУ КА подполковник Ведмедь</w:t>
      </w:r>
    </w:p>
    <w:p w14:paraId="5F881F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ЦАМО. Ф. 41. Оп. 11584. Д. 13. Л. 78-82. Подлинник (11420).</w:t>
      </w:r>
    </w:p>
    <w:p w14:paraId="04228A2E" w14:textId="77777777" w:rsidR="00665165" w:rsidRPr="00925F26" w:rsidRDefault="00665165" w:rsidP="00925F26">
      <w:pPr>
        <w:autoSpaceDE w:val="0"/>
        <w:autoSpaceDN w:val="0"/>
        <w:adjustRightInd w:val="0"/>
        <w:jc w:val="both"/>
        <w:rPr>
          <w:color w:val="000000" w:themeColor="text1"/>
          <w:sz w:val="16"/>
          <w:szCs w:val="16"/>
        </w:rPr>
      </w:pPr>
    </w:p>
    <w:p w14:paraId="3C1BAA3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года вышел приказ № 226сс НКВ</w:t>
      </w:r>
    </w:p>
    <w:p w14:paraId="0C5E50A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ГОКО № 8803сс от 26 мая 1945 года “О мероприятиях по перестройке промышленности в связи с сокращением производства вооружения”</w:t>
      </w:r>
    </w:p>
    <w:p w14:paraId="194911D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w:t>
      </w:r>
    </w:p>
    <w:p w14:paraId="233EA35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ГОКО в целях укрупнения патронных заводов и освобождения временно занятых ими предприятий и учреждений разрешил НКВ перебазировать в течение июня-июля 1945 года патронные заводы НКВ:</w:t>
      </w:r>
    </w:p>
    <w:p w14:paraId="350D6E4A"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529 (Новая Ляля Свердловской области) на заводы №№ 710, 711 (Подольск Московской области).</w:t>
      </w:r>
    </w:p>
    <w:p w14:paraId="5F4CE85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540 (Иркутск) на завод № 544 (Глазов Удмуртской АССР).</w:t>
      </w:r>
    </w:p>
    <w:p w14:paraId="247B560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541 (Челябинск) на заводы №№ 539 (Тула) и 270 (Ворошиловград).</w:t>
      </w:r>
    </w:p>
    <w:p w14:paraId="2AA062B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 545 (Чкалов) на завод № 270 (Ворошиловград).</w:t>
      </w:r>
    </w:p>
    <w:p w14:paraId="65F829AC"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ГОКО разрешил НКВ:</w:t>
      </w:r>
    </w:p>
    <w:p w14:paraId="7C639CD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Завод № 350 (Новосибирск) объединить с 1 июля 1945 года с заводом № 69 (Новосибирск), присвоив объединенному заводу № 69</w:t>
      </w:r>
    </w:p>
    <w:p w14:paraId="14852A3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Производство приборов для ВМФ с 1 июля 1945 года передать с завода № 350 НКВ на завод № 349 (Ленинград).</w:t>
      </w:r>
    </w:p>
    <w:p w14:paraId="53B163B6"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Реорганизовать завод оптического стекла № 588 (Ленинск-Кузнецкий) в цех и включить его в состав завода № 69 НКВ (6446, 87-95).</w:t>
      </w:r>
    </w:p>
    <w:p w14:paraId="574B0DE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560B6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31 мая 1945 вышло Постановление ГКО № 8815 О вывозе оборудования с немецких паровозоремонтных заводов в г. г. Росток (провинция Мекленбург), Бранденбург-Вест (провинция Бранденбург) и паровозовагоноремонтных мастерских в г. Виттенберг (провинция Бранденбург). РГАНИР, Фонд ГКО, д. 421 (11012).</w:t>
      </w:r>
    </w:p>
    <w:p w14:paraId="1A3F6778" w14:textId="77777777" w:rsidR="00665165" w:rsidRPr="00925F26" w:rsidRDefault="00665165" w:rsidP="00925F26">
      <w:pPr>
        <w:autoSpaceDE w:val="0"/>
        <w:autoSpaceDN w:val="0"/>
        <w:adjustRightInd w:val="0"/>
        <w:jc w:val="both"/>
        <w:rPr>
          <w:color w:val="000000" w:themeColor="text1"/>
          <w:sz w:val="16"/>
          <w:szCs w:val="16"/>
        </w:rPr>
      </w:pPr>
    </w:p>
    <w:p w14:paraId="0D712D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8816 О вывозе оборудования немецких главных мастерских Берлинского метрополитена и завода металлоконструкций в г. Берлин на предприятия НКПС. РГАНИР, Фонд ГКО, д. 421, лл. 14-15 (11012).</w:t>
      </w:r>
    </w:p>
    <w:p w14:paraId="49F8D412" w14:textId="77777777" w:rsidR="00665165" w:rsidRPr="00925F26" w:rsidRDefault="00665165" w:rsidP="00925F26">
      <w:pPr>
        <w:autoSpaceDE w:val="0"/>
        <w:autoSpaceDN w:val="0"/>
        <w:adjustRightInd w:val="0"/>
        <w:jc w:val="both"/>
        <w:rPr>
          <w:color w:val="000000" w:themeColor="text1"/>
          <w:sz w:val="16"/>
          <w:szCs w:val="16"/>
        </w:rPr>
      </w:pPr>
    </w:p>
    <w:p w14:paraId="69EC82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8817 О вывозе оборудования немецких предприятий на заводы Наркомсредмаша. РГАНИР, Фонд ГКО, д. 421, лл. 16-17, 18 (11012).</w:t>
      </w:r>
    </w:p>
    <w:p w14:paraId="3149837C" w14:textId="77777777" w:rsidR="00665165" w:rsidRPr="00925F26" w:rsidRDefault="00665165" w:rsidP="00925F26">
      <w:pPr>
        <w:autoSpaceDE w:val="0"/>
        <w:autoSpaceDN w:val="0"/>
        <w:adjustRightInd w:val="0"/>
        <w:jc w:val="both"/>
        <w:rPr>
          <w:color w:val="000000" w:themeColor="text1"/>
          <w:sz w:val="16"/>
          <w:szCs w:val="16"/>
        </w:rPr>
      </w:pPr>
    </w:p>
    <w:p w14:paraId="6C45EE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8820 О вывозе оборудования с немецкого завода фирмы "Зингер" в г. Виттенберг на радиолокационный завод № 283 Наркомавиапрома в г. ЛенинграРГАНИР, Фонд ГКО, д. РГАНИР, Фонд ГКО, д. 421, лл. 22 (11012).</w:t>
      </w:r>
    </w:p>
    <w:p w14:paraId="51E74EF8" w14:textId="77777777" w:rsidR="00665165" w:rsidRPr="00925F26" w:rsidRDefault="00665165" w:rsidP="00925F26">
      <w:pPr>
        <w:autoSpaceDE w:val="0"/>
        <w:autoSpaceDN w:val="0"/>
        <w:adjustRightInd w:val="0"/>
        <w:jc w:val="both"/>
        <w:rPr>
          <w:color w:val="000000" w:themeColor="text1"/>
          <w:sz w:val="16"/>
          <w:szCs w:val="16"/>
        </w:rPr>
      </w:pPr>
    </w:p>
    <w:p w14:paraId="31CD5CEE" w14:textId="77777777" w:rsidR="008D1FAE" w:rsidRPr="00925F26" w:rsidRDefault="008D1FAE" w:rsidP="00925F26">
      <w:pPr>
        <w:autoSpaceDE w:val="0"/>
        <w:autoSpaceDN w:val="0"/>
        <w:adjustRightInd w:val="0"/>
        <w:jc w:val="both"/>
        <w:rPr>
          <w:color w:val="000000" w:themeColor="text1"/>
          <w:sz w:val="16"/>
          <w:szCs w:val="16"/>
        </w:rPr>
      </w:pPr>
      <w:r w:rsidRPr="00925F26">
        <w:rPr>
          <w:color w:val="000000" w:themeColor="text1"/>
          <w:sz w:val="16"/>
          <w:szCs w:val="16"/>
        </w:rPr>
        <w:t>31 мая 1945 ГКО приказал направлять в НКБ (а не НКАП) обломки ракет а за две недели до этого ему передали оборудование завода Ворверксверке по производству узлов Фау-2 (2393,24).</w:t>
      </w:r>
    </w:p>
    <w:p w14:paraId="2E72F253" w14:textId="77777777" w:rsidR="008D1FAE" w:rsidRPr="00925F26" w:rsidRDefault="008D1FAE" w:rsidP="00925F26">
      <w:pPr>
        <w:autoSpaceDE w:val="0"/>
        <w:autoSpaceDN w:val="0"/>
        <w:adjustRightInd w:val="0"/>
        <w:jc w:val="both"/>
        <w:rPr>
          <w:color w:val="000000" w:themeColor="text1"/>
          <w:sz w:val="16"/>
          <w:szCs w:val="16"/>
        </w:rPr>
      </w:pPr>
    </w:p>
    <w:p w14:paraId="0AC72828"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мая 1945 г. ГКО, придавая исключительное значение развитию реактивной техни</w:t>
      </w:r>
      <w:r w:rsidRPr="00925F26">
        <w:rPr>
          <w:color w:val="000000" w:themeColor="text1"/>
          <w:sz w:val="16"/>
          <w:szCs w:val="16"/>
        </w:rPr>
        <w:softHyphen/>
        <w:t>ки в СССР и изучению трофейной тех</w:t>
      </w:r>
      <w:r w:rsidRPr="00925F26">
        <w:rPr>
          <w:color w:val="000000" w:themeColor="text1"/>
          <w:sz w:val="16"/>
          <w:szCs w:val="16"/>
        </w:rPr>
        <w:softHyphen/>
        <w:t>ники, принял Постанов</w:t>
      </w:r>
      <w:r w:rsidRPr="00925F26">
        <w:rPr>
          <w:color w:val="000000" w:themeColor="text1"/>
          <w:sz w:val="16"/>
          <w:szCs w:val="16"/>
        </w:rPr>
        <w:softHyphen/>
        <w:t>ление «О проведении работы по выяв</w:t>
      </w:r>
      <w:r w:rsidRPr="00925F26">
        <w:rPr>
          <w:color w:val="000000" w:themeColor="text1"/>
          <w:sz w:val="16"/>
          <w:szCs w:val="16"/>
        </w:rPr>
        <w:softHyphen/>
        <w:t>лению и вывозу заводского и лабора</w:t>
      </w:r>
      <w:r w:rsidRPr="00925F26">
        <w:rPr>
          <w:color w:val="000000" w:themeColor="text1"/>
          <w:sz w:val="16"/>
          <w:szCs w:val="16"/>
        </w:rPr>
        <w:softHyphen/>
        <w:t>торного оборудования, чертежей и опытных образцов немецких реактив</w:t>
      </w:r>
      <w:r w:rsidRPr="00925F26">
        <w:rPr>
          <w:color w:val="000000" w:themeColor="text1"/>
          <w:sz w:val="16"/>
          <w:szCs w:val="16"/>
        </w:rPr>
        <w:softHyphen/>
        <w:t>ных снарядов». В частности, этим по</w:t>
      </w:r>
      <w:r w:rsidRPr="00925F26">
        <w:rPr>
          <w:color w:val="000000" w:themeColor="text1"/>
          <w:sz w:val="16"/>
          <w:szCs w:val="16"/>
        </w:rPr>
        <w:softHyphen/>
        <w:t>становлением наркому боеприпасов Б.Л. Ванникову предписывалось сроч</w:t>
      </w:r>
      <w:r w:rsidRPr="00925F26">
        <w:rPr>
          <w:color w:val="000000" w:themeColor="text1"/>
          <w:sz w:val="16"/>
          <w:szCs w:val="16"/>
        </w:rPr>
        <w:softHyphen/>
        <w:t>но вывезти на завод №67 (в ГЦКБ-1) все оборудование с опытного завода по твердотопливным реактивным снаря</w:t>
      </w:r>
      <w:r w:rsidRPr="00925F26">
        <w:rPr>
          <w:color w:val="000000" w:themeColor="text1"/>
          <w:sz w:val="16"/>
          <w:szCs w:val="16"/>
        </w:rPr>
        <w:softHyphen/>
        <w:t>дам для создания аналогичного про</w:t>
      </w:r>
      <w:r w:rsidRPr="00925F26">
        <w:rPr>
          <w:color w:val="000000" w:themeColor="text1"/>
          <w:sz w:val="16"/>
          <w:szCs w:val="16"/>
        </w:rPr>
        <w:softHyphen/>
        <w:t>изводства в Москве. Уже в июле 1945 г. Б.Л. Ванников доложил Г.М. Маленко</w:t>
      </w:r>
      <w:r w:rsidRPr="00925F26">
        <w:rPr>
          <w:color w:val="000000" w:themeColor="text1"/>
          <w:sz w:val="16"/>
          <w:szCs w:val="16"/>
        </w:rPr>
        <w:softHyphen/>
        <w:t>ву, что «с получением чертежей и до</w:t>
      </w:r>
      <w:r w:rsidRPr="00925F26">
        <w:rPr>
          <w:color w:val="000000" w:themeColor="text1"/>
          <w:sz w:val="16"/>
          <w:szCs w:val="16"/>
        </w:rPr>
        <w:softHyphen/>
        <w:t>кументации по реактивному снаряду «Курьер Рейна» ГЦКБ №1 НКБ на базе М-13-ДД и «Курьера Рейна» разрабо</w:t>
      </w:r>
      <w:r w:rsidRPr="00925F26">
        <w:rPr>
          <w:color w:val="000000" w:themeColor="text1"/>
          <w:sz w:val="16"/>
          <w:szCs w:val="16"/>
        </w:rPr>
        <w:softHyphen/>
        <w:t>тан проект реактивного четырехкамер-ного снаряда на пороховых зарядах М- 13с дальностью до 50 км».</w:t>
      </w:r>
    </w:p>
    <w:p w14:paraId="155C3D62"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Однако вскоре ГЦКБ-1 пришлось пережить орга</w:t>
      </w:r>
      <w:r w:rsidRPr="00925F26">
        <w:rPr>
          <w:color w:val="000000" w:themeColor="text1"/>
          <w:sz w:val="16"/>
          <w:szCs w:val="16"/>
        </w:rPr>
        <w:softHyphen/>
        <w:t>низационные перемены. Бюро переехало на тер</w:t>
      </w:r>
      <w:r w:rsidRPr="00925F26">
        <w:rPr>
          <w:color w:val="000000" w:themeColor="text1"/>
          <w:sz w:val="16"/>
          <w:szCs w:val="16"/>
        </w:rPr>
        <w:softHyphen/>
        <w:t>риторию завода №568 Наркомата боеприпасов на улице Верхней, неда</w:t>
      </w:r>
      <w:r w:rsidRPr="00925F26">
        <w:rPr>
          <w:color w:val="000000" w:themeColor="text1"/>
          <w:sz w:val="16"/>
          <w:szCs w:val="16"/>
        </w:rPr>
        <w:softHyphen/>
        <w:t>леко от Белорусского вокзала столицы. Глав</w:t>
      </w:r>
      <w:r w:rsidRPr="00925F26">
        <w:rPr>
          <w:color w:val="000000" w:themeColor="text1"/>
          <w:sz w:val="16"/>
          <w:szCs w:val="16"/>
        </w:rPr>
        <w:softHyphen/>
        <w:t>ным инженером ГЦКБ-1 был назначен бывший главный инженер завода №568 А.Н. Вознесенский. В ГЦКБ-1 была переведе</w:t>
      </w:r>
      <w:r w:rsidRPr="00925F26">
        <w:rPr>
          <w:color w:val="000000" w:themeColor="text1"/>
          <w:sz w:val="16"/>
          <w:szCs w:val="16"/>
        </w:rPr>
        <w:softHyphen/>
        <w:t>на группа сотрудников филиала №2 НИИ-1 НКАП, в которую входи</w:t>
      </w:r>
      <w:r w:rsidRPr="00925F26">
        <w:rPr>
          <w:color w:val="000000" w:themeColor="text1"/>
          <w:sz w:val="16"/>
          <w:szCs w:val="16"/>
        </w:rPr>
        <w:softHyphen/>
        <w:t>ли А.В. Андрианов, Н.П. Горбачев, В.В. Горбунов, Р.А. Острецова, И.В. Ярополов, а из ГСКБ-47 — Н.И. Александров, Г.П. Герасимов, Н.А. Жуков, С.П. Стрелков и другие. С Новосибирского комбината № 179 в КБ прибыли Н.П. Мазуров и А.А. Голицын, с завода №30 НКАП — И.С.Сергеев (11090).</w:t>
      </w:r>
    </w:p>
    <w:p w14:paraId="0EAB8A95" w14:textId="77777777" w:rsidR="008D1FAE" w:rsidRPr="00925F26" w:rsidRDefault="008D1FAE" w:rsidP="00925F26">
      <w:pPr>
        <w:shd w:val="clear" w:color="auto" w:fill="FFFFFF"/>
        <w:autoSpaceDE w:val="0"/>
        <w:autoSpaceDN w:val="0"/>
        <w:adjustRightInd w:val="0"/>
        <w:jc w:val="both"/>
        <w:rPr>
          <w:color w:val="000000" w:themeColor="text1"/>
          <w:sz w:val="16"/>
          <w:szCs w:val="16"/>
        </w:rPr>
      </w:pPr>
    </w:p>
    <w:p w14:paraId="65F02F86"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мая 1945 г. ГКО, придавая исключительное значение развитию реактивной техники в СССР, принял постановление «О проведении работы по выявлению и вывозу заводского и лабораторного оборудования, чертежей и опытных образцов немецких реактивных снарядов».</w:t>
      </w:r>
    </w:p>
    <w:p w14:paraId="4A5C06C3"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Наркому боеприпасов Б.Л. Ванникову предписывалось срочно вывезти на завод № 671 и в ГКЦБ_1 все оборудование с опытного завода по реактивным снарядам фирмы «Рейн Металл Борзинг» для создания аналогичного производства в Москве. Ответственность за организацию работ по выявлению лабораторного и валового оборудования, а также образцов и чертежей реактивных снарядов и их передачу в ведение Наркомата боеприпасов возлагалась на уполномоченных Особого комитета при ГКО М.З. Сабурова, П.М. Зернова, П.С. Кучумова и Гамова (11254).</w:t>
      </w:r>
    </w:p>
    <w:p w14:paraId="477C53EF" w14:textId="77777777" w:rsidR="008D1FAE" w:rsidRPr="00925F26" w:rsidRDefault="008D1FAE" w:rsidP="00925F26">
      <w:pPr>
        <w:shd w:val="clear" w:color="auto" w:fill="FFFFFF"/>
        <w:autoSpaceDE w:val="0"/>
        <w:autoSpaceDN w:val="0"/>
        <w:adjustRightInd w:val="0"/>
        <w:jc w:val="both"/>
        <w:rPr>
          <w:color w:val="000000" w:themeColor="text1"/>
          <w:sz w:val="16"/>
          <w:szCs w:val="16"/>
        </w:rPr>
      </w:pPr>
    </w:p>
    <w:p w14:paraId="07ACE3A6"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мая 1945 г. Государственный Комитет Обороны СССР принял постановление № 8823сс «О вывозе оборудования, материалов и образцов узлов реактивных снарядов с германского реактивного научно-испытатель</w:t>
      </w:r>
      <w:r w:rsidRPr="00925F26">
        <w:rPr>
          <w:color w:val="000000" w:themeColor="text1"/>
          <w:sz w:val="16"/>
          <w:szCs w:val="16"/>
        </w:rPr>
        <w:softHyphen/>
        <w:t>ного института в Пеенемюнде (остров Узедом)», в котором предписывал Наркомату боеприпасов, Главному трофейному управлению и начальнику инженерных войск Красной Армии вывезти в СССР образцы узлов реактив</w:t>
      </w:r>
      <w:r w:rsidRPr="00925F26">
        <w:rPr>
          <w:color w:val="000000" w:themeColor="text1"/>
          <w:sz w:val="16"/>
          <w:szCs w:val="16"/>
        </w:rPr>
        <w:softHyphen/>
        <w:t>ных снарядов, турбины для Фау-2, радиоаппаратуру управления, стартовые установки, испытательные стенды, монтажно-строительные конструкции, трубопроводы и кабельное хозяйство института. При этом основные работы по демонтажу и отгрузке оборудования было предложено завершить до 15 июля 1945 г. Демонтажными работами в Пеенемюнде руководил пред</w:t>
      </w:r>
      <w:r w:rsidRPr="00925F26">
        <w:rPr>
          <w:color w:val="000000" w:themeColor="text1"/>
          <w:sz w:val="16"/>
          <w:szCs w:val="16"/>
        </w:rPr>
        <w:softHyphen/>
        <w:t>ставитель УВГМЧ ГАУ генерал-майор А.И. Соколов. Фактически демон</w:t>
      </w:r>
      <w:r w:rsidRPr="00925F26">
        <w:rPr>
          <w:color w:val="000000" w:themeColor="text1"/>
          <w:sz w:val="16"/>
          <w:szCs w:val="16"/>
        </w:rPr>
        <w:softHyphen/>
        <w:t>тировался целый город вместе с объектами инфраструктуры.</w:t>
      </w:r>
    </w:p>
    <w:p w14:paraId="0EA61965"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этот же день, 31 мая 1945 г., ГКО СССР принял еще одно постановле</w:t>
      </w:r>
      <w:r w:rsidRPr="00925F26">
        <w:rPr>
          <w:color w:val="000000" w:themeColor="text1"/>
          <w:sz w:val="16"/>
          <w:szCs w:val="16"/>
        </w:rPr>
        <w:softHyphen/>
        <w:t>ние № 8897сс по ракетной проблематике «О проведении работы по выявле</w:t>
      </w:r>
      <w:r w:rsidRPr="00925F26">
        <w:rPr>
          <w:color w:val="000000" w:themeColor="text1"/>
          <w:sz w:val="16"/>
          <w:szCs w:val="16"/>
        </w:rPr>
        <w:softHyphen/>
        <w:t>нию и вывозу заводского и лабораторного оборудования, чертежей и опыт</w:t>
      </w:r>
      <w:r w:rsidRPr="00925F26">
        <w:rPr>
          <w:color w:val="000000" w:themeColor="text1"/>
          <w:sz w:val="16"/>
          <w:szCs w:val="16"/>
        </w:rPr>
        <w:softHyphen/>
        <w:t>ных образцов немецких реактивных снарядов», которым предписывалось демонтировать все оборудование опытного ракетного завода фирмы «Рейн-металл-Борзиг» в Берлин-Мариенфельде и направить его в Москву в распо</w:t>
      </w:r>
      <w:r w:rsidRPr="00925F26">
        <w:rPr>
          <w:color w:val="000000" w:themeColor="text1"/>
          <w:sz w:val="16"/>
          <w:szCs w:val="16"/>
        </w:rPr>
        <w:softHyphen/>
        <w:t>ряжение Центрального конструкторского бюро № 1 Наркомата боеприпа</w:t>
      </w:r>
      <w:r w:rsidRPr="00925F26">
        <w:rPr>
          <w:color w:val="000000" w:themeColor="text1"/>
          <w:sz w:val="16"/>
          <w:szCs w:val="16"/>
        </w:rPr>
        <w:softHyphen/>
        <w:t>сов для создания опытного завода по производству ракетных снарядов. О значении, которое советское руководство придавало выполнению данной задачи, свидетельствовал 5-й пункт постановления, который требовал выво</w:t>
      </w:r>
      <w:r w:rsidRPr="00925F26">
        <w:rPr>
          <w:color w:val="000000" w:themeColor="text1"/>
          <w:sz w:val="16"/>
          <w:szCs w:val="16"/>
        </w:rPr>
        <w:softHyphen/>
        <w:t>зить чертежи и образцы реактивных снарядов, а также наиболее ценное ла</w:t>
      </w:r>
      <w:r w:rsidRPr="00925F26">
        <w:rPr>
          <w:color w:val="000000" w:themeColor="text1"/>
          <w:sz w:val="16"/>
          <w:szCs w:val="16"/>
        </w:rPr>
        <w:softHyphen/>
        <w:t>бораторное оборудование самолетами ГВФ СССР (11419).</w:t>
      </w:r>
    </w:p>
    <w:p w14:paraId="1528F31D" w14:textId="77777777" w:rsidR="008D1FAE" w:rsidRPr="00925F26" w:rsidRDefault="008D1FAE" w:rsidP="00925F26">
      <w:pPr>
        <w:shd w:val="clear" w:color="auto" w:fill="FFFFFF"/>
        <w:autoSpaceDE w:val="0"/>
        <w:autoSpaceDN w:val="0"/>
        <w:adjustRightInd w:val="0"/>
        <w:jc w:val="both"/>
        <w:rPr>
          <w:color w:val="000000" w:themeColor="text1"/>
          <w:sz w:val="16"/>
          <w:szCs w:val="16"/>
        </w:rPr>
      </w:pPr>
    </w:p>
    <w:p w14:paraId="5F035495" w14:textId="77777777" w:rsidR="008D1FAE" w:rsidRPr="00925F26" w:rsidRDefault="008D1FAE" w:rsidP="00925F26">
      <w:pPr>
        <w:jc w:val="both"/>
        <w:rPr>
          <w:color w:val="000000" w:themeColor="text1"/>
          <w:sz w:val="16"/>
          <w:szCs w:val="16"/>
        </w:rPr>
      </w:pPr>
      <w:r w:rsidRPr="00925F26">
        <w:rPr>
          <w:color w:val="000000" w:themeColor="text1"/>
          <w:sz w:val="16"/>
          <w:szCs w:val="16"/>
        </w:rPr>
        <w:t>31 мая 1945 г. ГКО, придавая исключительное значение развитию реактивной техники в СССР и изучению трофейной техники, принял Постановление «О проведении работы по выявлению и вывозу заводского и лабораторного оборудования, чертежей и опытных образцов немецких реактивных снарядов». В частности, этим постановлением наркому боеприпасов Б.Л. Ванникову предписывалось срочно вывезти на завод №67 (в ГЦКБ-1) все оборудование с опытного завода по твердотопливным реактивным снарядам Rheinbote фирмы Rheinmetall-Borsig для создания аналогичного производства в Москве. Уже в июле 1945 г. Б.Л. Ванников доложил Г.М. Маленкову, что «с получением чертежей и документации по реактивному снаряду «Курьер Рейна» ГЦКБ №1 НКБ на базе М-13-ДД и «Курьера Рейна» разработан проект реактивного четырехкамерного снаряда на пороховых зарядах М-13 с дальностью до 50 км».</w:t>
      </w:r>
    </w:p>
    <w:p w14:paraId="1DD0C90C" w14:textId="77777777" w:rsidR="008D1FAE" w:rsidRPr="00925F26" w:rsidRDefault="008D1FAE" w:rsidP="00925F26">
      <w:pPr>
        <w:jc w:val="both"/>
        <w:rPr>
          <w:color w:val="000000" w:themeColor="text1"/>
          <w:sz w:val="16"/>
          <w:szCs w:val="16"/>
        </w:rPr>
      </w:pPr>
      <w:r w:rsidRPr="00925F26">
        <w:rPr>
          <w:color w:val="000000" w:themeColor="text1"/>
          <w:sz w:val="16"/>
          <w:szCs w:val="16"/>
        </w:rPr>
        <w:t>Однако вскоре ГЦКБ-1 пришлось пережить организационные перемены. Бюро переехало на территорию завода №568 Наркомата боеприпасов на улице Верхней, недалеко от Белорусского вокзала столицы. Главным инженером ГЦКБ-1 был назначен бывший главный инженер завода №568 А.Н. Вознесенский. В ГЦКБ-1 была переведена группа сотрудников филиала №2 НИИ-1 НКАП, в которую входили А.В. Андрианов, Н.П. Горбачев, В.В. Горбунов, Р.А. Острецова, И.В. Ярополов, а из ГСКБ-47 — Н.И. Александров, Г.П. Герасимов, Н.А. Жуков, С.П. Стрелков и другие. С Новосибирского комбината № 179 в КБ прибыли Н.П. Мазуров и А.А. Голицын, с завода №30 НКАП — И.С.Сергеев (12205).</w:t>
      </w:r>
    </w:p>
    <w:p w14:paraId="6DBDA0EE" w14:textId="77777777" w:rsidR="008D1FAE" w:rsidRPr="00925F26" w:rsidRDefault="008D1FAE" w:rsidP="00925F26">
      <w:pPr>
        <w:jc w:val="both"/>
        <w:rPr>
          <w:color w:val="000000" w:themeColor="text1"/>
          <w:sz w:val="16"/>
          <w:szCs w:val="16"/>
        </w:rPr>
      </w:pPr>
    </w:p>
    <w:p w14:paraId="1ED3C6EB"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мая 1945 г вышло Постановление Государственного Комитета Обороны СССР № 8897 ее о проведении работы по выявлению и вывозу заводского и лабораторного оборудования, чертежей и опытных образцов немецких реактивных снарядов</w:t>
      </w:r>
    </w:p>
    <w:p w14:paraId="3D82F3F9"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Совершенно секретно</w:t>
      </w:r>
    </w:p>
    <w:p w14:paraId="63D65FB0"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3221C0AD"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53E9693D"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Обязать Наркомбоеприпасов (т. Ванникова) вывезти на завод № 67 и Центральное конструкторское бюро № 1 НКБ в г. Москву для создания опытного завода по реактивным снарядам все оборудование с опытного за</w:t>
      </w:r>
      <w:r w:rsidRPr="00925F26">
        <w:rPr>
          <w:color w:val="000000" w:themeColor="text1"/>
          <w:sz w:val="16"/>
          <w:szCs w:val="16"/>
        </w:rPr>
        <w:softHyphen/>
        <w:t>вода фирмы «Рейнметалл-Борзиг» в г. Берлине (Мариенфелъде).</w:t>
      </w:r>
    </w:p>
    <w:p w14:paraId="3C77326F"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Утвердить ответственным руководителем по демонтажу и вывозу об</w:t>
      </w:r>
      <w:r w:rsidRPr="00925F26">
        <w:rPr>
          <w:color w:val="000000" w:themeColor="text1"/>
          <w:sz w:val="16"/>
          <w:szCs w:val="16"/>
        </w:rPr>
        <w:softHyphen/>
        <w:t>орудования с завода «Рейнметалл-Борзиг» начальника Технического отде</w:t>
      </w:r>
      <w:r w:rsidRPr="00925F26">
        <w:rPr>
          <w:color w:val="000000" w:themeColor="text1"/>
          <w:sz w:val="16"/>
          <w:szCs w:val="16"/>
        </w:rPr>
        <w:softHyphen/>
        <w:t>ла Наркомбоеприпасов т. Клавсуть М.С.</w:t>
      </w:r>
    </w:p>
    <w:p w14:paraId="43D6AE08"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Тов. Ванникову командировать в распоряжение т. Клавсуть 10 инженер</w:t>
      </w:r>
      <w:r w:rsidRPr="00925F26">
        <w:rPr>
          <w:color w:val="000000" w:themeColor="text1"/>
          <w:sz w:val="16"/>
          <w:szCs w:val="16"/>
        </w:rPr>
        <w:softHyphen/>
        <w:t>но-технических работников.</w:t>
      </w:r>
    </w:p>
    <w:p w14:paraId="1DDF3D5A"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Обязать Главное трофейное управление Красной Армии (т. Вахитова) приступить к демонтажу оборудования, указанного в пункте 2 настоящего постановления не позднее 10 июня 1945 г. и закончить отгрузку его к 25 июня 1945 г., выделив для этой цели необходимое количество рабочей силы и транспорта.</w:t>
      </w:r>
    </w:p>
    <w:p w14:paraId="1841745F"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Придавая исключительное значение развитию реактивной техники в СССР, обязать уполномоченных Особого комитета при ГОКО тт. Сабурова, Зернова, Гамова, Кучумова организовать на месте специальную работу по выявлению лабораторного и валового оборудования, а также образцов и чер</w:t>
      </w:r>
      <w:r w:rsidRPr="00925F26">
        <w:rPr>
          <w:color w:val="000000" w:themeColor="text1"/>
          <w:sz w:val="16"/>
          <w:szCs w:val="16"/>
        </w:rPr>
        <w:softHyphen/>
        <w:t>тежей реактивных снарядов и немедленно вносить предложения в Особый комитет при ГОКО о передаче их Наркомбоеприпасов.</w:t>
      </w:r>
    </w:p>
    <w:p w14:paraId="221A2FB7"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Обязать ГУГФ (т. Астахова) вывозить чертежи и образцы реактивных снарядов, а также наиболее ценное лабораторное оборудование самолетами по заявкам Наркомбоеприпасов.</w:t>
      </w:r>
    </w:p>
    <w:p w14:paraId="61A532BB"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 И. Сталин</w:t>
      </w:r>
    </w:p>
    <w:p w14:paraId="19981311" w14:textId="77777777" w:rsidR="008D1FAE" w:rsidRPr="00925F26" w:rsidRDefault="008D1FAE"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Послано: тт. Маленкову, Молотову, Берия (ГОКО), Вознесенскому, Булганину, Хрулеву, Вахитову, Ванникову, Жукову (ЦК), Андрееву (ЦК), Ковалеву (НКПС), Дмитриеву (ЦУПВОСО), Никитину (Госплан СССР), Чадаеву, Голубеву, Жукову, Сабурову, Зернову, Астахову, Борисову — все; тт. Гамову, Кучумову — 4, 5.</w:t>
      </w:r>
    </w:p>
    <w:p w14:paraId="7A203290" w14:textId="77777777" w:rsidR="008D1FAE" w:rsidRPr="00925F26" w:rsidRDefault="008D1FAE" w:rsidP="00925F26">
      <w:pPr>
        <w:autoSpaceDE w:val="0"/>
        <w:autoSpaceDN w:val="0"/>
        <w:adjustRightInd w:val="0"/>
        <w:jc w:val="both"/>
        <w:rPr>
          <w:color w:val="000000" w:themeColor="text1"/>
          <w:sz w:val="16"/>
          <w:szCs w:val="16"/>
        </w:rPr>
      </w:pPr>
      <w:r w:rsidRPr="00925F26">
        <w:rPr>
          <w:color w:val="000000" w:themeColor="text1"/>
          <w:sz w:val="16"/>
          <w:szCs w:val="16"/>
        </w:rPr>
        <w:t>РГАСПИ. Ф. 644. Оп. 1. Д. 421. Л. 169-170. Заверенная копия (11419).</w:t>
      </w:r>
    </w:p>
    <w:p w14:paraId="4040B1C7" w14:textId="77777777" w:rsidR="008D1FAE" w:rsidRPr="00925F26" w:rsidRDefault="008D1FAE" w:rsidP="00925F26">
      <w:pPr>
        <w:autoSpaceDE w:val="0"/>
        <w:autoSpaceDN w:val="0"/>
        <w:adjustRightInd w:val="0"/>
        <w:jc w:val="both"/>
        <w:rPr>
          <w:color w:val="000000" w:themeColor="text1"/>
          <w:sz w:val="16"/>
          <w:szCs w:val="16"/>
        </w:rPr>
      </w:pPr>
    </w:p>
    <w:p w14:paraId="0CF0F5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8823 О вывозе оборудования, материалов и образцов узлов реактивных снарядов с германского реактивного научно-исследовательского института в г. Пеннемюнде (остров Узедом). РГАНИР, Фонд ГКО, д. 421, лл. 25-26 (11012).</w:t>
      </w:r>
    </w:p>
    <w:p w14:paraId="130E24FA" w14:textId="77777777" w:rsidR="00665165" w:rsidRPr="00925F26" w:rsidRDefault="00665165" w:rsidP="00925F26">
      <w:pPr>
        <w:autoSpaceDE w:val="0"/>
        <w:autoSpaceDN w:val="0"/>
        <w:adjustRightInd w:val="0"/>
        <w:jc w:val="both"/>
        <w:rPr>
          <w:color w:val="000000" w:themeColor="text1"/>
          <w:sz w:val="16"/>
          <w:szCs w:val="16"/>
        </w:rPr>
      </w:pPr>
    </w:p>
    <w:p w14:paraId="20AD3B9A" w14:textId="77777777" w:rsidR="008D1FAE" w:rsidRPr="00925F26" w:rsidRDefault="008D1FAE" w:rsidP="00925F26">
      <w:pPr>
        <w:jc w:val="both"/>
        <w:rPr>
          <w:color w:val="000000" w:themeColor="text1"/>
          <w:sz w:val="16"/>
          <w:szCs w:val="16"/>
        </w:rPr>
      </w:pPr>
      <w:r w:rsidRPr="00925F26">
        <w:rPr>
          <w:color w:val="000000" w:themeColor="text1"/>
          <w:sz w:val="16"/>
          <w:szCs w:val="16"/>
        </w:rPr>
        <w:lastRenderedPageBreak/>
        <w:t>31 мая 1945 вышло Постановление ГКО № 8823 О вывозе оборудования, материалов и образцов узлов реактивных снарядов с германского реактивного научно-исследовательского института в г. Пеннемюнде (остров Узедом)</w:t>
      </w:r>
    </w:p>
    <w:p w14:paraId="30D43FF0" w14:textId="77777777" w:rsidR="008D1FAE" w:rsidRPr="00925F26" w:rsidRDefault="008D1FAE"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Государственный Комитет Обороны постановляет:</w:t>
      </w:r>
    </w:p>
    <w:p w14:paraId="59A5AE7B" w14:textId="77777777" w:rsidR="008D1FAE" w:rsidRPr="00925F26" w:rsidRDefault="008D1FAE"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1. Обязать Наркомбоеприпасов ,(т,Ванникову) вывезти с германского реактивного научно-исследовательского института в г.Пеннемюнде:</w:t>
      </w:r>
    </w:p>
    <w:p w14:paraId="44238BC9" w14:textId="77777777" w:rsidR="008D1FAE" w:rsidRPr="00925F26" w:rsidRDefault="008D1FAE" w:rsidP="00925F26">
      <w:pPr>
        <w:pStyle w:val="27"/>
        <w:shd w:val="clear" w:color="auto" w:fill="auto"/>
        <w:tabs>
          <w:tab w:val="left" w:pos="1535"/>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а) в центральное конструкторское бюро № 1 Нарком- боеприпасов в г.Москву образцы узлов реактивных снаря</w:t>
      </w:r>
      <w:r w:rsidRPr="00925F26">
        <w:rPr>
          <w:rFonts w:ascii="Times New Roman" w:cs="Times New Roman"/>
          <w:color w:val="000000" w:themeColor="text1"/>
          <w:spacing w:val="0"/>
        </w:rPr>
        <w:softHyphen/>
        <w:t>дов, в том числе: 150 турбин для ФАУ-2, радиоаппарату</w:t>
      </w:r>
      <w:r w:rsidRPr="00925F26">
        <w:rPr>
          <w:rFonts w:ascii="Times New Roman" w:cs="Times New Roman"/>
          <w:color w:val="000000" w:themeColor="text1"/>
          <w:spacing w:val="0"/>
        </w:rPr>
        <w:softHyphen/>
        <w:t>ру для управления полетом снаряда, 20 комплектов гра</w:t>
      </w:r>
      <w:r w:rsidRPr="00925F26">
        <w:rPr>
          <w:rFonts w:ascii="Times New Roman" w:cs="Times New Roman"/>
          <w:color w:val="000000" w:themeColor="text1"/>
          <w:spacing w:val="0"/>
        </w:rPr>
        <w:softHyphen/>
        <w:t>фитовых рулей и другие детали и узлы реактивных сна</w:t>
      </w:r>
      <w:r w:rsidRPr="00925F26">
        <w:rPr>
          <w:rFonts w:ascii="Times New Roman" w:cs="Times New Roman"/>
          <w:color w:val="000000" w:themeColor="text1"/>
          <w:spacing w:val="0"/>
        </w:rPr>
        <w:softHyphen/>
        <w:t>рядов;</w:t>
      </w:r>
    </w:p>
    <w:p w14:paraId="22B67577" w14:textId="77777777" w:rsidR="008D1FAE" w:rsidRPr="00925F26" w:rsidRDefault="008D1FAE" w:rsidP="00925F26">
      <w:pPr>
        <w:pStyle w:val="27"/>
        <w:shd w:val="clear" w:color="auto" w:fill="auto"/>
        <w:tabs>
          <w:tab w:val="left" w:pos="1535"/>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б) все оборудование и монтажно-строительные мате</w:t>
      </w:r>
      <w:r w:rsidRPr="00925F26">
        <w:rPr>
          <w:rFonts w:ascii="Times New Roman" w:cs="Times New Roman"/>
          <w:color w:val="000000" w:themeColor="text1"/>
          <w:spacing w:val="0"/>
        </w:rPr>
        <w:softHyphen/>
        <w:t xml:space="preserve">риалы института, в том числе: 25 испытательных стендов, две кислородные станций, 30 кислостойких баков, 30 </w:t>
      </w:r>
    </w:p>
    <w:p w14:paraId="4CC508BB" w14:textId="77777777" w:rsidR="008D1FAE" w:rsidRPr="00925F26" w:rsidRDefault="008D1FAE"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баллонов высокого давления, одну дизельную станцию, под"емно-транспортные средства, подземную коммуникацию (трубопроводы и кабельное хозяйство) института, а также монтажно-строительные материалы.</w:t>
      </w:r>
    </w:p>
    <w:p w14:paraId="3DECD81C" w14:textId="77777777" w:rsidR="008D1FAE" w:rsidRPr="00925F26" w:rsidRDefault="008D1FAE"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2. Поручить Наркомату боеприпасов (т.Ванникову) представить в ГОКО свои предложения о месте монтажа перевозимых из Германии стартовых установок и испы</w:t>
      </w:r>
      <w:r w:rsidRPr="00925F26">
        <w:rPr>
          <w:rFonts w:ascii="Times New Roman" w:cs="Times New Roman"/>
          <w:color w:val="000000" w:themeColor="text1"/>
          <w:spacing w:val="0"/>
        </w:rPr>
        <w:softHyphen/>
        <w:t>тательных станций для реактивных снарядов дальнего действия.</w:t>
      </w:r>
    </w:p>
    <w:p w14:paraId="422B6C69" w14:textId="77777777" w:rsidR="008D1FAE" w:rsidRPr="00925F26" w:rsidRDefault="008D1FAE" w:rsidP="00925F26">
      <w:pPr>
        <w:jc w:val="both"/>
        <w:rPr>
          <w:color w:val="000000" w:themeColor="text1"/>
          <w:sz w:val="16"/>
          <w:szCs w:val="16"/>
        </w:rPr>
      </w:pPr>
      <w:r w:rsidRPr="00925F26">
        <w:rPr>
          <w:color w:val="000000" w:themeColor="text1"/>
          <w:sz w:val="16"/>
          <w:szCs w:val="16"/>
        </w:rPr>
        <w:t>Утвердить отвеотвенным руководителем работ по демонтажу и вывозу оборудования, материалов и образцов уэлов снарядов германского реактивного научно-испытатель</w:t>
      </w:r>
      <w:r w:rsidRPr="00925F26">
        <w:rPr>
          <w:color w:val="000000" w:themeColor="text1"/>
          <w:sz w:val="16"/>
          <w:szCs w:val="16"/>
        </w:rPr>
        <w:softHyphen/>
        <w:t>ногоинститутав г.Пеннемюнде главного инженера завода № 9 Наркомбоеприпасов т.Свинчицкого,</w:t>
      </w:r>
    </w:p>
    <w:p w14:paraId="16EAC181" w14:textId="77777777" w:rsidR="008D1FAE" w:rsidRPr="00925F26" w:rsidRDefault="008D1FAE" w:rsidP="00925F26">
      <w:pPr>
        <w:jc w:val="both"/>
        <w:rPr>
          <w:color w:val="000000" w:themeColor="text1"/>
          <w:sz w:val="16"/>
          <w:szCs w:val="16"/>
        </w:rPr>
      </w:pPr>
      <w:r w:rsidRPr="00925F26">
        <w:rPr>
          <w:color w:val="000000" w:themeColor="text1"/>
          <w:sz w:val="16"/>
          <w:szCs w:val="16"/>
        </w:rPr>
        <w:t>Тов.Ванникову командировать в распоряжение т.Свин</w:t>
      </w:r>
      <w:r w:rsidRPr="00925F26">
        <w:rPr>
          <w:color w:val="000000" w:themeColor="text1"/>
          <w:sz w:val="16"/>
          <w:szCs w:val="16"/>
        </w:rPr>
        <w:softHyphen/>
        <w:t>чицкого для технического руководства демонтажем и от- грузкой оборудования 15 инженерно-технических работников.</w:t>
      </w:r>
    </w:p>
    <w:p w14:paraId="470E1EAC" w14:textId="77777777" w:rsidR="008D1FAE" w:rsidRPr="00925F26" w:rsidRDefault="008D1FAE" w:rsidP="00925F26">
      <w:pPr>
        <w:tabs>
          <w:tab w:val="left" w:pos="816"/>
        </w:tabs>
        <w:jc w:val="both"/>
        <w:rPr>
          <w:color w:val="000000" w:themeColor="text1"/>
          <w:sz w:val="16"/>
          <w:szCs w:val="16"/>
        </w:rPr>
      </w:pPr>
      <w:r w:rsidRPr="00925F26">
        <w:rPr>
          <w:color w:val="000000" w:themeColor="text1"/>
          <w:sz w:val="16"/>
          <w:szCs w:val="16"/>
        </w:rPr>
        <w:t>3. Обязать Главное трофейное управление Красной Ар</w:t>
      </w:r>
      <w:r w:rsidRPr="00925F26">
        <w:rPr>
          <w:color w:val="000000" w:themeColor="text1"/>
          <w:sz w:val="16"/>
          <w:szCs w:val="16"/>
        </w:rPr>
        <w:softHyphen/>
        <w:t>мии (т.Вахитова) приступить к демонтажу оборудования, ука</w:t>
      </w:r>
      <w:r w:rsidRPr="00925F26">
        <w:rPr>
          <w:color w:val="000000" w:themeColor="text1"/>
          <w:sz w:val="16"/>
          <w:szCs w:val="16"/>
        </w:rPr>
        <w:softHyphen/>
        <w:t>занного в пункте 1 настоящего постановления, не позднее 10 июня 1945 г. и закончить отгрувку его не позднее 15 июля 1945г., выделив для этой цели необходимое количест</w:t>
      </w:r>
      <w:r w:rsidRPr="00925F26">
        <w:rPr>
          <w:color w:val="000000" w:themeColor="text1"/>
          <w:sz w:val="16"/>
          <w:szCs w:val="16"/>
        </w:rPr>
        <w:softHyphen/>
        <w:t>во рабочей силы и транспортных средств.</w:t>
      </w:r>
    </w:p>
    <w:p w14:paraId="03BB77CB" w14:textId="77777777" w:rsidR="008D1FAE" w:rsidRPr="00925F26" w:rsidRDefault="008D1FAE" w:rsidP="00925F26">
      <w:pPr>
        <w:tabs>
          <w:tab w:val="left" w:pos="835"/>
        </w:tabs>
        <w:jc w:val="both"/>
        <w:rPr>
          <w:color w:val="000000" w:themeColor="text1"/>
          <w:sz w:val="16"/>
          <w:szCs w:val="16"/>
        </w:rPr>
      </w:pPr>
      <w:r w:rsidRPr="00925F26">
        <w:rPr>
          <w:color w:val="000000" w:themeColor="text1"/>
          <w:sz w:val="16"/>
          <w:szCs w:val="16"/>
        </w:rPr>
        <w:t>4. Обязать начальника инженерных войск Красной Ар</w:t>
      </w:r>
      <w:r w:rsidRPr="00925F26">
        <w:rPr>
          <w:color w:val="000000" w:themeColor="text1"/>
          <w:sz w:val="16"/>
          <w:szCs w:val="16"/>
        </w:rPr>
        <w:softHyphen/>
        <w:t>мии т.Воробьева выделить рабочую силу для производства работ по монтажу оборудования, вывозимого из г,Пеннемюнде на Крымский полигон Наркомбоеприпасов (19520).</w:t>
      </w:r>
    </w:p>
    <w:p w14:paraId="49EF48EA" w14:textId="77777777" w:rsidR="008D1FAE" w:rsidRPr="00925F26" w:rsidRDefault="008D1FAE" w:rsidP="00925F26">
      <w:pPr>
        <w:autoSpaceDE w:val="0"/>
        <w:autoSpaceDN w:val="0"/>
        <w:adjustRightInd w:val="0"/>
        <w:jc w:val="both"/>
        <w:rPr>
          <w:color w:val="000000" w:themeColor="text1"/>
          <w:sz w:val="16"/>
          <w:szCs w:val="16"/>
        </w:rPr>
      </w:pPr>
    </w:p>
    <w:p w14:paraId="7BCD0C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мая 1945 г. было принято постановление ГКО СССР № 8823сс о вывозе оборудования, материалов и образцов узлов реактивных снарядов из германского реактивного НИИ в Пенемюнде (остров Узедом). В частности Наркомату боеприпасов СССР была поставлена задача “вывезти из геманского реактивного научно-испытательного института в Пенемюнде: а) в Центральное конструкторское бю</w:t>
      </w:r>
      <w:r w:rsidRPr="00925F26">
        <w:rPr>
          <w:color w:val="000000" w:themeColor="text1"/>
          <w:sz w:val="16"/>
          <w:szCs w:val="16"/>
        </w:rPr>
        <w:softHyphen/>
        <w:t>ро № 1 Наркомбосприпасов в г. Москву образцы узлов реактивных снарядов, в т. ч. 150 тур</w:t>
      </w:r>
      <w:r w:rsidRPr="00925F26">
        <w:rPr>
          <w:color w:val="000000" w:themeColor="text1"/>
          <w:sz w:val="16"/>
          <w:szCs w:val="16"/>
        </w:rPr>
        <w:softHyphen/>
        <w:t>бин для Фау-2, радиоаппаратуру для управления полетом снаряда, 20 комплектов графито</w:t>
      </w:r>
      <w:r w:rsidRPr="00925F26">
        <w:rPr>
          <w:color w:val="000000" w:themeColor="text1"/>
          <w:sz w:val="16"/>
          <w:szCs w:val="16"/>
        </w:rPr>
        <w:softHyphen/>
        <w:t>вых рулей и другие детали и узлы реактивных снарядов; б) все оборудование и монтажно-строительные материалы института, в том числе 25 испытательных стендов, две кислородные станции. 30 кислостойких баков, 30 баллонов высокого давления, одну дизель</w:t>
      </w:r>
      <w:r w:rsidRPr="00925F26">
        <w:rPr>
          <w:color w:val="000000" w:themeColor="text1"/>
          <w:sz w:val="16"/>
          <w:szCs w:val="16"/>
        </w:rPr>
        <w:softHyphen/>
        <w:t>ную станцию, подъемно-транспортные средства, подземную коммуникацию (трубопроводы и кабельное хозяйство) института, а также монтажно-строительные материалы». См.: РГАСПИ. Ф. 644. Оп. 1. Д. 421. Лл. 25-26. (11751).</w:t>
      </w:r>
    </w:p>
    <w:p w14:paraId="045BEB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5752806" w14:textId="77777777" w:rsidR="006C40C5" w:rsidRPr="00925F26" w:rsidRDefault="006C40C5" w:rsidP="00925F26">
      <w:pPr>
        <w:jc w:val="both"/>
        <w:rPr>
          <w:color w:val="000000" w:themeColor="text1"/>
          <w:sz w:val="16"/>
          <w:szCs w:val="16"/>
        </w:rPr>
      </w:pPr>
      <w:r w:rsidRPr="00925F26">
        <w:rPr>
          <w:color w:val="000000" w:themeColor="text1"/>
          <w:sz w:val="16"/>
          <w:szCs w:val="16"/>
        </w:rPr>
        <w:t>31 мая 1945 г. вышло сразу два совершенно секретных постановления Государственного комитета обороны (ГОКО): – о проведении работы по выявлению и вывозу заводского и лабораторного оборудования, чертежей и опытных образцов немецких реактивных снарядов (№ 8897); – о вывозе оборудования, материалов и образцов узлов реактивных снарядов из германского Реактивного научно-исследовательского института в Пенемюнде (№ 8823). 6 июня 1945 г. создается Советская военная администрация в Германии (СВАГ). С этого дня деятельность научно-технических подразделений, изучавших немецкую ракетную технику, приобрела особенный размах. В СВАГ формируется Управление по изучению достижений науки и техники в Германии. Независимо от СВАГ 8 июля 1945 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«Рабе»/»Нордхаузен».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П .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A8D4FBD" w14:textId="77777777" w:rsidR="006C40C5" w:rsidRPr="00925F26" w:rsidRDefault="006C40C5" w:rsidP="00925F26">
      <w:pPr>
        <w:jc w:val="both"/>
        <w:rPr>
          <w:color w:val="000000" w:themeColor="text1"/>
          <w:sz w:val="16"/>
          <w:szCs w:val="16"/>
        </w:rPr>
      </w:pPr>
    </w:p>
    <w:p w14:paraId="6A38C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8824 О вывозе оборудования с предприятий электротехнической промышленности в г. г. Берлин и Дрезден. РГАНИР, Фонд ГКО, д. 421, лл. 27-30 (11012).</w:t>
      </w:r>
    </w:p>
    <w:p w14:paraId="1FFD648A" w14:textId="77777777" w:rsidR="00665165" w:rsidRPr="00925F26" w:rsidRDefault="00665165" w:rsidP="00925F26">
      <w:pPr>
        <w:autoSpaceDE w:val="0"/>
        <w:autoSpaceDN w:val="0"/>
        <w:adjustRightInd w:val="0"/>
        <w:jc w:val="both"/>
        <w:rPr>
          <w:color w:val="000000" w:themeColor="text1"/>
          <w:sz w:val="16"/>
          <w:szCs w:val="16"/>
        </w:rPr>
      </w:pPr>
    </w:p>
    <w:p w14:paraId="5706D0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8825 О вывозе на особые базы металлорежущих станков и другого оборудования. РГАНИР, Фонд ГКО, д. 421, лл. 31-33 (11012).</w:t>
      </w:r>
    </w:p>
    <w:p w14:paraId="3B7CC4C9" w14:textId="77777777" w:rsidR="00665165" w:rsidRPr="00925F26" w:rsidRDefault="00665165" w:rsidP="00925F26">
      <w:pPr>
        <w:autoSpaceDE w:val="0"/>
        <w:autoSpaceDN w:val="0"/>
        <w:adjustRightInd w:val="0"/>
        <w:jc w:val="both"/>
        <w:rPr>
          <w:color w:val="000000" w:themeColor="text1"/>
          <w:sz w:val="16"/>
          <w:szCs w:val="16"/>
        </w:rPr>
      </w:pPr>
    </w:p>
    <w:p w14:paraId="3C9638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8826 О вывозе оборудования заводов г. Берлин на заводы Наркомтяжмаша. РГАНИР, Фонд ГКО, д. 421, лл. 34-35 (11012).</w:t>
      </w:r>
    </w:p>
    <w:p w14:paraId="6A1570A4" w14:textId="77777777" w:rsidR="00665165" w:rsidRPr="00925F26" w:rsidRDefault="00665165" w:rsidP="00925F26">
      <w:pPr>
        <w:autoSpaceDE w:val="0"/>
        <w:autoSpaceDN w:val="0"/>
        <w:adjustRightInd w:val="0"/>
        <w:jc w:val="both"/>
        <w:rPr>
          <w:color w:val="000000" w:themeColor="text1"/>
          <w:sz w:val="16"/>
          <w:szCs w:val="16"/>
        </w:rPr>
      </w:pPr>
    </w:p>
    <w:p w14:paraId="538F33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31 мая 1945 вышло Постановление ГКО № 8827 возврате на Николаевскую ТЭЦ вывезенного немцами турбогенератора мощностью 25 тысяч киловатт, а также вывозе 4 турбогенераторов общей мощностью 59 тысяч киловатт и неустановленного энергетического оборудования с немецких электростанций. РГАНИР, Фонд ГКО, д. 421, лл. (11012).</w:t>
      </w:r>
    </w:p>
    <w:p w14:paraId="37C6BCBF" w14:textId="77777777" w:rsidR="00665165" w:rsidRPr="00925F26" w:rsidRDefault="00665165" w:rsidP="00925F26">
      <w:pPr>
        <w:autoSpaceDE w:val="0"/>
        <w:autoSpaceDN w:val="0"/>
        <w:adjustRightInd w:val="0"/>
        <w:jc w:val="both"/>
        <w:rPr>
          <w:color w:val="000000" w:themeColor="text1"/>
          <w:sz w:val="16"/>
          <w:szCs w:val="16"/>
        </w:rPr>
      </w:pPr>
    </w:p>
    <w:p w14:paraId="5E43BC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8828 О вывозе оборудования предприятий г. Берлина на заводы Наркомтяжмаша. РГАНИР, Фонд ГКО, д. 421, лл. 39-40 (11012).</w:t>
      </w:r>
    </w:p>
    <w:p w14:paraId="67936385" w14:textId="77777777" w:rsidR="00665165" w:rsidRPr="00925F26" w:rsidRDefault="00665165" w:rsidP="00925F26">
      <w:pPr>
        <w:autoSpaceDE w:val="0"/>
        <w:autoSpaceDN w:val="0"/>
        <w:adjustRightInd w:val="0"/>
        <w:jc w:val="both"/>
        <w:rPr>
          <w:color w:val="000000" w:themeColor="text1"/>
          <w:sz w:val="16"/>
          <w:szCs w:val="16"/>
        </w:rPr>
      </w:pPr>
    </w:p>
    <w:p w14:paraId="1C5DC2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8829 О вывозе оборудования паровозостроительного завода фирмы "Берлинер Машиненбау" ("Шварцкопф") в г. Берлин, район Бог-Вильдау. РГАНИР, Фонд ГКО, д. 421, лл. 41-42 (11012).</w:t>
      </w:r>
    </w:p>
    <w:p w14:paraId="54052CFF" w14:textId="77777777" w:rsidR="00665165" w:rsidRPr="00925F26" w:rsidRDefault="00665165" w:rsidP="00925F26">
      <w:pPr>
        <w:autoSpaceDE w:val="0"/>
        <w:autoSpaceDN w:val="0"/>
        <w:adjustRightInd w:val="0"/>
        <w:jc w:val="both"/>
        <w:rPr>
          <w:color w:val="000000" w:themeColor="text1"/>
          <w:sz w:val="16"/>
          <w:szCs w:val="16"/>
        </w:rPr>
      </w:pPr>
    </w:p>
    <w:p w14:paraId="659C06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8830 О вывозе оборудования с металлургического завода Фридриха Флика в г. Бранденбург (Германия), с завода фирмы "Вентиляторцег" в гор. Вельтен (Германия) и со складов 1-го Белорусского фронта на Макеевский, Ново- Липецкий и Криворожский металлургические заводы Наркомчермета. РГАНИР, Фонд ГКО, д. 421, лл. 43-44 (11012).</w:t>
      </w:r>
    </w:p>
    <w:p w14:paraId="2DA0411E" w14:textId="77777777" w:rsidR="00665165" w:rsidRPr="00925F26" w:rsidRDefault="00665165" w:rsidP="00925F26">
      <w:pPr>
        <w:autoSpaceDE w:val="0"/>
        <w:autoSpaceDN w:val="0"/>
        <w:adjustRightInd w:val="0"/>
        <w:jc w:val="both"/>
        <w:rPr>
          <w:color w:val="000000" w:themeColor="text1"/>
          <w:sz w:val="16"/>
          <w:szCs w:val="16"/>
        </w:rPr>
      </w:pPr>
    </w:p>
    <w:p w14:paraId="77EED8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8831 О частичном изменении постановления Государственного Комитета Обороны от 26 апреля 1945 года № 8286сс. РГАНИР, Фонд ГКО, д. 421, лл. 45-46 (11012).</w:t>
      </w:r>
    </w:p>
    <w:p w14:paraId="20E3D88C" w14:textId="77777777" w:rsidR="00665165" w:rsidRPr="00925F26" w:rsidRDefault="00665165" w:rsidP="00925F26">
      <w:pPr>
        <w:autoSpaceDE w:val="0"/>
        <w:autoSpaceDN w:val="0"/>
        <w:adjustRightInd w:val="0"/>
        <w:jc w:val="both"/>
        <w:rPr>
          <w:color w:val="000000" w:themeColor="text1"/>
          <w:sz w:val="16"/>
          <w:szCs w:val="16"/>
        </w:rPr>
      </w:pPr>
    </w:p>
    <w:p w14:paraId="5FF73A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8832 О вывозе оборудования с берлинских предприятий "Аргусаппаратенбау" и "Пауль- андахт" на предприятия треста "Никополь-Марганец" и на Славянский механический завод Наркомчермета. РГАНИР, Фонд ГКО, д. 421, лл. 47-48 (11012).</w:t>
      </w:r>
    </w:p>
    <w:p w14:paraId="2A945FBD" w14:textId="77777777" w:rsidR="00665165" w:rsidRPr="00925F26" w:rsidRDefault="00665165" w:rsidP="00925F26">
      <w:pPr>
        <w:autoSpaceDE w:val="0"/>
        <w:autoSpaceDN w:val="0"/>
        <w:adjustRightInd w:val="0"/>
        <w:jc w:val="both"/>
        <w:rPr>
          <w:color w:val="000000" w:themeColor="text1"/>
          <w:sz w:val="16"/>
          <w:szCs w:val="16"/>
        </w:rPr>
      </w:pPr>
    </w:p>
    <w:p w14:paraId="1929A6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8833 О вывозе оборудования с чугунолитейного завода фирмы "Карл Шанинг" в г. Берлин на Уфалейский литейно-механический завод Наркомчермета Челябинской обл. РГАНИР, Фонд ГКО, д. 421, лл. 49-50 (11012).</w:t>
      </w:r>
    </w:p>
    <w:p w14:paraId="6DEB626E" w14:textId="77777777" w:rsidR="00665165" w:rsidRPr="00925F26" w:rsidRDefault="00665165" w:rsidP="00925F26">
      <w:pPr>
        <w:autoSpaceDE w:val="0"/>
        <w:autoSpaceDN w:val="0"/>
        <w:adjustRightInd w:val="0"/>
        <w:jc w:val="both"/>
        <w:rPr>
          <w:color w:val="000000" w:themeColor="text1"/>
          <w:sz w:val="16"/>
          <w:szCs w:val="16"/>
        </w:rPr>
      </w:pPr>
    </w:p>
    <w:p w14:paraId="7A2C09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8834 О вывозе оборудования с канатной фабрики в г. Либенвальде (севернее Берлина) на Магнитогорский калибровочный завод Наркомчермета. РГАНИР, Фонд ГКО, д. 421, лл. 51 (11012).</w:t>
      </w:r>
    </w:p>
    <w:p w14:paraId="066CB141" w14:textId="77777777" w:rsidR="00665165" w:rsidRPr="00925F26" w:rsidRDefault="00665165" w:rsidP="00925F26">
      <w:pPr>
        <w:autoSpaceDE w:val="0"/>
        <w:autoSpaceDN w:val="0"/>
        <w:adjustRightInd w:val="0"/>
        <w:jc w:val="both"/>
        <w:rPr>
          <w:color w:val="000000" w:themeColor="text1"/>
          <w:sz w:val="16"/>
          <w:szCs w:val="16"/>
        </w:rPr>
      </w:pPr>
    </w:p>
    <w:p w14:paraId="12D8B0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8835 О вывозе оборудования с берлинских предприятий: машиностроительных заводов "Флек-Зоне" и "Рейзер", фабрики "Бондо Хорн", мастерских "Автоунион Гюнтер", "Шрот", "Капински Борсерт" и со складов 16-й Воздушной армии в г. г. Вернейхен, Реппен, Сверженец, Беркенвердер и Бонцдорфна Макеевский металлургический завод Наркомчермета. РГАНИР, Фонд ГКО, д. 421, лл. 52-53 (11012).</w:t>
      </w:r>
    </w:p>
    <w:p w14:paraId="1DFBE14F" w14:textId="77777777" w:rsidR="00665165" w:rsidRPr="00925F26" w:rsidRDefault="00665165" w:rsidP="00925F26">
      <w:pPr>
        <w:autoSpaceDE w:val="0"/>
        <w:autoSpaceDN w:val="0"/>
        <w:adjustRightInd w:val="0"/>
        <w:jc w:val="both"/>
        <w:rPr>
          <w:color w:val="000000" w:themeColor="text1"/>
          <w:sz w:val="16"/>
          <w:szCs w:val="16"/>
        </w:rPr>
      </w:pPr>
    </w:p>
    <w:p w14:paraId="62FF53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8836 Об укомплектовании металлообрабатывающими станками предприятий Наркомнефти, Наркомчермета и Главкислорода при СНК СССР. РГАНИР, Фонд ГКО, д. 421, лл. 54 (11012).</w:t>
      </w:r>
    </w:p>
    <w:p w14:paraId="7837858C" w14:textId="77777777" w:rsidR="00665165" w:rsidRPr="00925F26" w:rsidRDefault="00665165" w:rsidP="00925F26">
      <w:pPr>
        <w:autoSpaceDE w:val="0"/>
        <w:autoSpaceDN w:val="0"/>
        <w:adjustRightInd w:val="0"/>
        <w:jc w:val="both"/>
        <w:rPr>
          <w:color w:val="000000" w:themeColor="text1"/>
          <w:sz w:val="16"/>
          <w:szCs w:val="16"/>
        </w:rPr>
      </w:pPr>
    </w:p>
    <w:p w14:paraId="050B52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8837 О вывозе оборудования с немецких заводов в г. Берлин на предприятия Наркомугля. РГАНИР, Фонд ГКО, д. 421, лл. 55-56 (11012).</w:t>
      </w:r>
    </w:p>
    <w:p w14:paraId="1E57C937" w14:textId="77777777" w:rsidR="00665165" w:rsidRPr="00925F26" w:rsidRDefault="00665165" w:rsidP="00925F26">
      <w:pPr>
        <w:autoSpaceDE w:val="0"/>
        <w:autoSpaceDN w:val="0"/>
        <w:adjustRightInd w:val="0"/>
        <w:jc w:val="both"/>
        <w:rPr>
          <w:color w:val="000000" w:themeColor="text1"/>
          <w:sz w:val="16"/>
          <w:szCs w:val="16"/>
        </w:rPr>
      </w:pPr>
    </w:p>
    <w:p w14:paraId="28CF0C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8838 О вывозе оборудования с машиностроительного завода фирмы "Ганц и К'" в г. Вена на предприятия Наркомугля. РГАНИР, Фонд ГКО, д. 421, лл. 57-58 (11012).</w:t>
      </w:r>
    </w:p>
    <w:p w14:paraId="2A21B207" w14:textId="77777777" w:rsidR="00665165" w:rsidRPr="00925F26" w:rsidRDefault="00665165" w:rsidP="00925F26">
      <w:pPr>
        <w:autoSpaceDE w:val="0"/>
        <w:autoSpaceDN w:val="0"/>
        <w:adjustRightInd w:val="0"/>
        <w:jc w:val="both"/>
        <w:rPr>
          <w:color w:val="000000" w:themeColor="text1"/>
          <w:sz w:val="16"/>
          <w:szCs w:val="16"/>
        </w:rPr>
      </w:pPr>
    </w:p>
    <w:p w14:paraId="69B775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8839 О вывозе оборудования, полуфабрикатов и радиоизмерительной аппаратуры с немецкого радиолокационного завода № 743 в г. Берлин, Кепник Виндельшлосштрассе 154-158. РГАНИР, Фонд ГКО, д. 421, лл. 59-60 (11012).</w:t>
      </w:r>
    </w:p>
    <w:p w14:paraId="3E22DFB4" w14:textId="77777777" w:rsidR="00665165" w:rsidRPr="00925F26" w:rsidRDefault="00665165" w:rsidP="00925F26">
      <w:pPr>
        <w:autoSpaceDE w:val="0"/>
        <w:autoSpaceDN w:val="0"/>
        <w:adjustRightInd w:val="0"/>
        <w:jc w:val="both"/>
        <w:rPr>
          <w:color w:val="000000" w:themeColor="text1"/>
          <w:sz w:val="16"/>
          <w:szCs w:val="16"/>
        </w:rPr>
      </w:pPr>
    </w:p>
    <w:p w14:paraId="5AECC5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8840 О вывозе оборудования и материалов с немецкого машиностроительного завода "Зейферд и Компания" в г. Эберсвальде на заводы № 457 и № 190 НКСП г. Ленинград . РГАНИР, Фонд ГКО, д. 421, лл. 61-62 (11012).</w:t>
      </w:r>
    </w:p>
    <w:p w14:paraId="485124B9" w14:textId="77777777" w:rsidR="00665165" w:rsidRPr="00925F26" w:rsidRDefault="00665165" w:rsidP="00925F26">
      <w:pPr>
        <w:autoSpaceDE w:val="0"/>
        <w:autoSpaceDN w:val="0"/>
        <w:adjustRightInd w:val="0"/>
        <w:jc w:val="both"/>
        <w:rPr>
          <w:color w:val="000000" w:themeColor="text1"/>
          <w:sz w:val="16"/>
          <w:szCs w:val="16"/>
        </w:rPr>
      </w:pPr>
    </w:p>
    <w:p w14:paraId="6BFA97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8841 О вывозе оборудования и металла с немецкого завода крепежных изделий фирмы "Металл унд Шраубен Фабрик" в г. Берлин на завод № 444 НКСП в г. Николаев. РГАНИР, Фонд ГКО, д. 421, лл. 63 (11012).</w:t>
      </w:r>
    </w:p>
    <w:p w14:paraId="0788C453" w14:textId="77777777" w:rsidR="00665165" w:rsidRPr="00925F26" w:rsidRDefault="00665165" w:rsidP="00925F26">
      <w:pPr>
        <w:autoSpaceDE w:val="0"/>
        <w:autoSpaceDN w:val="0"/>
        <w:adjustRightInd w:val="0"/>
        <w:jc w:val="both"/>
        <w:rPr>
          <w:color w:val="000000" w:themeColor="text1"/>
          <w:sz w:val="16"/>
          <w:szCs w:val="16"/>
        </w:rPr>
      </w:pPr>
    </w:p>
    <w:p w14:paraId="24E04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8842 О вывозе оборудования с немецкого завода фирмы "Металловерке Гильковский и Кильблок" в г. Финов (район Эберсвальде) на завод № 446 НКСП в г. Николаев. РГАНИР, Фонд ГКО, д. 421, лл. 64 (11012).</w:t>
      </w:r>
    </w:p>
    <w:p w14:paraId="4B94A3EC" w14:textId="77777777" w:rsidR="00665165" w:rsidRPr="00925F26" w:rsidRDefault="00665165" w:rsidP="00925F26">
      <w:pPr>
        <w:autoSpaceDE w:val="0"/>
        <w:autoSpaceDN w:val="0"/>
        <w:adjustRightInd w:val="0"/>
        <w:jc w:val="both"/>
        <w:rPr>
          <w:color w:val="000000" w:themeColor="text1"/>
          <w:sz w:val="16"/>
          <w:szCs w:val="16"/>
        </w:rPr>
      </w:pPr>
    </w:p>
    <w:p w14:paraId="20616A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8843 О вывозе оборудования и металла с немецкого судостроительного завода акционерного общества "Гебрюдер Захсенберг" в г. Рослау на Эльбе на завод № 497 НКСП в г. Севастополь. РГАНИР, Фонд ГКО, д. 421, лл. 65 (11012).</w:t>
      </w:r>
    </w:p>
    <w:p w14:paraId="5440960F" w14:textId="77777777" w:rsidR="00665165" w:rsidRPr="00925F26" w:rsidRDefault="00665165" w:rsidP="00925F26">
      <w:pPr>
        <w:autoSpaceDE w:val="0"/>
        <w:autoSpaceDN w:val="0"/>
        <w:adjustRightInd w:val="0"/>
        <w:jc w:val="both"/>
        <w:rPr>
          <w:color w:val="000000" w:themeColor="text1"/>
          <w:sz w:val="16"/>
          <w:szCs w:val="16"/>
        </w:rPr>
      </w:pPr>
    </w:p>
    <w:p w14:paraId="4CC98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8844 О вывозе оборудования с завода пластических масс фирмы "Шербишвер", с химического завода "Хиагверк" фирмы "Дейче Гольд унд Зильбер Шейдеанштальт" и с лакокрасочного завода "Пельнер-Верке" в г. Берлин на предприятия Наркомхимпрома. РГАНИР, Фонд ГКО, д. 421, лл. (11012).</w:t>
      </w:r>
    </w:p>
    <w:p w14:paraId="6B875185" w14:textId="77777777" w:rsidR="00665165" w:rsidRPr="00925F26" w:rsidRDefault="00665165" w:rsidP="00925F26">
      <w:pPr>
        <w:autoSpaceDE w:val="0"/>
        <w:autoSpaceDN w:val="0"/>
        <w:adjustRightInd w:val="0"/>
        <w:jc w:val="both"/>
        <w:rPr>
          <w:color w:val="000000" w:themeColor="text1"/>
          <w:sz w:val="16"/>
          <w:szCs w:val="16"/>
        </w:rPr>
      </w:pPr>
    </w:p>
    <w:p w14:paraId="414F4B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8845 О вывозе оборудования с завода органического стекла фирмы "Роом унд Гаас А.Г." в г. Миттенвальде (30 км южнее г. Берлин). РГАНИР, Фонд ГКО, д. 421, лл. 68-69 (11012).</w:t>
      </w:r>
    </w:p>
    <w:p w14:paraId="1A1B2A39" w14:textId="77777777" w:rsidR="00665165" w:rsidRPr="00925F26" w:rsidRDefault="00665165" w:rsidP="00925F26">
      <w:pPr>
        <w:autoSpaceDE w:val="0"/>
        <w:autoSpaceDN w:val="0"/>
        <w:adjustRightInd w:val="0"/>
        <w:jc w:val="both"/>
        <w:rPr>
          <w:color w:val="000000" w:themeColor="text1"/>
          <w:sz w:val="16"/>
          <w:szCs w:val="16"/>
        </w:rPr>
      </w:pPr>
    </w:p>
    <w:p w14:paraId="1F2F9C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8846 О вывозе оборудования с химического завода фирмы "Шеринг" в г. Финов (близ г. Эберсвальде). РГАНИР, Фонд ГКО, д. 421, лл. 70 (11012).</w:t>
      </w:r>
    </w:p>
    <w:p w14:paraId="00858C83" w14:textId="77777777" w:rsidR="00665165" w:rsidRPr="00925F26" w:rsidRDefault="00665165" w:rsidP="00925F26">
      <w:pPr>
        <w:autoSpaceDE w:val="0"/>
        <w:autoSpaceDN w:val="0"/>
        <w:adjustRightInd w:val="0"/>
        <w:jc w:val="both"/>
        <w:rPr>
          <w:color w:val="000000" w:themeColor="text1"/>
          <w:sz w:val="16"/>
          <w:szCs w:val="16"/>
        </w:rPr>
      </w:pPr>
    </w:p>
    <w:p w14:paraId="1E6C2D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8847 О вывозе оборудования с металлургического завода фирмы "Лаухаммер Мительдойче Стальверке" в г. Риза. РГАНИР, Фонд ГКО, д. 421, лл. 71-72 (11012).</w:t>
      </w:r>
    </w:p>
    <w:p w14:paraId="372D5027" w14:textId="77777777" w:rsidR="00665165" w:rsidRPr="00925F26" w:rsidRDefault="00665165" w:rsidP="00925F26">
      <w:pPr>
        <w:autoSpaceDE w:val="0"/>
        <w:autoSpaceDN w:val="0"/>
        <w:adjustRightInd w:val="0"/>
        <w:jc w:val="both"/>
        <w:rPr>
          <w:color w:val="000000" w:themeColor="text1"/>
          <w:sz w:val="16"/>
          <w:szCs w:val="16"/>
        </w:rPr>
      </w:pPr>
    </w:p>
    <w:p w14:paraId="6068B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8848 О вывозе оборудования с бронекорпусного завода фирмы "Бранденбурген-Айзенверке" в г. Бранденбург и с его филиала в местечке Кюрх- мезер (8 км юго-западнее г. Бранденбург). РГАНИР, Фонд ГКО, д. 421, лл. 73-74 (11012).</w:t>
      </w:r>
    </w:p>
    <w:p w14:paraId="2C22DCBB" w14:textId="77777777" w:rsidR="00665165" w:rsidRPr="00925F26" w:rsidRDefault="00665165" w:rsidP="00925F26">
      <w:pPr>
        <w:autoSpaceDE w:val="0"/>
        <w:autoSpaceDN w:val="0"/>
        <w:adjustRightInd w:val="0"/>
        <w:jc w:val="both"/>
        <w:rPr>
          <w:color w:val="000000" w:themeColor="text1"/>
          <w:sz w:val="16"/>
          <w:szCs w:val="16"/>
        </w:rPr>
      </w:pPr>
    </w:p>
    <w:p w14:paraId="507AC4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8849 О вывозе оборудования с завода электронно-оптических преобразователей фирмы АЕГ в г. Фрейберг. РГАНИР, Фонд ГКО, д. 421, лл. 75 (11012).</w:t>
      </w:r>
    </w:p>
    <w:p w14:paraId="10DA08C3" w14:textId="77777777" w:rsidR="00665165" w:rsidRPr="00925F26" w:rsidRDefault="00665165" w:rsidP="00925F26">
      <w:pPr>
        <w:autoSpaceDE w:val="0"/>
        <w:autoSpaceDN w:val="0"/>
        <w:adjustRightInd w:val="0"/>
        <w:jc w:val="both"/>
        <w:rPr>
          <w:color w:val="000000" w:themeColor="text1"/>
          <w:sz w:val="16"/>
          <w:szCs w:val="16"/>
        </w:rPr>
      </w:pPr>
    </w:p>
    <w:p w14:paraId="178ED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8850 О вывозе оборудования со строительства химкомбината фирмы "Дейче Гольд унд Зильбер Шендеанштальт" в г. Фюрстенберг. РГАНИР, Фонд ГКО, д. 421, лл. 76-77 (11012).</w:t>
      </w:r>
    </w:p>
    <w:p w14:paraId="5DF27368" w14:textId="77777777" w:rsidR="00665165" w:rsidRPr="00925F26" w:rsidRDefault="00665165" w:rsidP="00925F26">
      <w:pPr>
        <w:autoSpaceDE w:val="0"/>
        <w:autoSpaceDN w:val="0"/>
        <w:adjustRightInd w:val="0"/>
        <w:jc w:val="both"/>
        <w:rPr>
          <w:color w:val="000000" w:themeColor="text1"/>
          <w:sz w:val="16"/>
          <w:szCs w:val="16"/>
        </w:rPr>
      </w:pPr>
    </w:p>
    <w:p w14:paraId="394240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8851 О вывозе оборудования и кабеля с немецких механических заводов фирмы "Фарбениндустри" и "Беме" в г. Андрихау. РГАНИР, Фонд ГКО, д. 421, лл. 78-79 (11012).</w:t>
      </w:r>
    </w:p>
    <w:p w14:paraId="3DB7721B" w14:textId="77777777" w:rsidR="00665165" w:rsidRPr="00925F26" w:rsidRDefault="00665165" w:rsidP="00925F26">
      <w:pPr>
        <w:autoSpaceDE w:val="0"/>
        <w:autoSpaceDN w:val="0"/>
        <w:adjustRightInd w:val="0"/>
        <w:jc w:val="both"/>
        <w:rPr>
          <w:color w:val="000000" w:themeColor="text1"/>
          <w:sz w:val="16"/>
          <w:szCs w:val="16"/>
        </w:rPr>
      </w:pPr>
    </w:p>
    <w:p w14:paraId="41A140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8852 о вывозе оборудования и материалов с завода по обработке алюминиевых сплавов "Мефа" Дюринского металлургического товарищества в районе г. Варен (Германия) на заводы № 496 и 150 Наркомавиапрома и на базы Главного управления государственных материальных резервов при СНК СССР.РГАНИР, Фонд ГКО, д. 421, лл. 80-82 (11012).</w:t>
      </w:r>
    </w:p>
    <w:p w14:paraId="62237FE0" w14:textId="77777777" w:rsidR="00665165" w:rsidRPr="00925F26" w:rsidRDefault="00665165" w:rsidP="00925F26">
      <w:pPr>
        <w:autoSpaceDE w:val="0"/>
        <w:autoSpaceDN w:val="0"/>
        <w:adjustRightInd w:val="0"/>
        <w:jc w:val="both"/>
        <w:rPr>
          <w:color w:val="000000" w:themeColor="text1"/>
          <w:sz w:val="16"/>
          <w:szCs w:val="16"/>
        </w:rPr>
      </w:pPr>
    </w:p>
    <w:p w14:paraId="06ED9A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8853 О вывозе испытательных стендов фирмы "Штайер Даймлер Пух" в г. Штейер (Австрия) для Наркомавиапрома. РГАНИР, Фонд ГКО, д. 421, лл. 83 (11012).</w:t>
      </w:r>
    </w:p>
    <w:p w14:paraId="645E4FAA" w14:textId="77777777" w:rsidR="00665165" w:rsidRPr="00925F26" w:rsidRDefault="00665165" w:rsidP="00925F26">
      <w:pPr>
        <w:autoSpaceDE w:val="0"/>
        <w:autoSpaceDN w:val="0"/>
        <w:adjustRightInd w:val="0"/>
        <w:jc w:val="both"/>
        <w:rPr>
          <w:color w:val="000000" w:themeColor="text1"/>
          <w:sz w:val="16"/>
          <w:szCs w:val="16"/>
        </w:rPr>
      </w:pPr>
    </w:p>
    <w:p w14:paraId="112322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8854 О вывозе оборудования с немецкого электродного завода фирмы "Сименс Планиа Верке" в г. Лихтенберг в районе г. Берлин. РГАНИР, Фонд ГКО, д. 421, лл. 84-85 (11012).</w:t>
      </w:r>
    </w:p>
    <w:p w14:paraId="0BEE3D26" w14:textId="77777777" w:rsidR="00665165" w:rsidRPr="00925F26" w:rsidRDefault="00665165" w:rsidP="00925F26">
      <w:pPr>
        <w:autoSpaceDE w:val="0"/>
        <w:autoSpaceDN w:val="0"/>
        <w:adjustRightInd w:val="0"/>
        <w:jc w:val="both"/>
        <w:rPr>
          <w:color w:val="000000" w:themeColor="text1"/>
          <w:sz w:val="16"/>
          <w:szCs w:val="16"/>
        </w:rPr>
      </w:pPr>
    </w:p>
    <w:p w14:paraId="4DAC8F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8855 О вывозе оборудования с немецкого завода фирмы АВГ в г. Берлин (Вайсензее). РГАНИР, Фонд ГКО, д. 421, лл. 86 (11012).</w:t>
      </w:r>
    </w:p>
    <w:p w14:paraId="70037004" w14:textId="77777777" w:rsidR="00665165" w:rsidRPr="00925F26" w:rsidRDefault="00665165" w:rsidP="00925F26">
      <w:pPr>
        <w:autoSpaceDE w:val="0"/>
        <w:autoSpaceDN w:val="0"/>
        <w:adjustRightInd w:val="0"/>
        <w:jc w:val="both"/>
        <w:rPr>
          <w:color w:val="000000" w:themeColor="text1"/>
          <w:sz w:val="16"/>
          <w:szCs w:val="16"/>
        </w:rPr>
      </w:pPr>
    </w:p>
    <w:p w14:paraId="4EED3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8856 О вывозе оборудования с мастерской при морской обсерватории в г. Грейсвальд и материалов с военно-морского склада в районе г. г. Юкермюнде - Хоппенвальде. РГАНИР, Фонд ГКО, д. 421, лл. 87-88 (11012).</w:t>
      </w:r>
    </w:p>
    <w:p w14:paraId="7D38A5EB" w14:textId="77777777" w:rsidR="00665165" w:rsidRPr="00925F26" w:rsidRDefault="00665165" w:rsidP="00925F26">
      <w:pPr>
        <w:autoSpaceDE w:val="0"/>
        <w:autoSpaceDN w:val="0"/>
        <w:adjustRightInd w:val="0"/>
        <w:jc w:val="both"/>
        <w:rPr>
          <w:color w:val="000000" w:themeColor="text1"/>
          <w:sz w:val="16"/>
          <w:szCs w:val="16"/>
        </w:rPr>
      </w:pPr>
    </w:p>
    <w:p w14:paraId="014216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8857 О вывозе оборудования, материалов и готовой продукции с немецких предприятий бумажной промышленности. РГАНИР, Фонд ГКО, д. 421, лл. 89-91 (11012).</w:t>
      </w:r>
    </w:p>
    <w:p w14:paraId="5F66A064" w14:textId="77777777" w:rsidR="00665165" w:rsidRPr="00925F26" w:rsidRDefault="00665165" w:rsidP="00925F26">
      <w:pPr>
        <w:autoSpaceDE w:val="0"/>
        <w:autoSpaceDN w:val="0"/>
        <w:adjustRightInd w:val="0"/>
        <w:jc w:val="both"/>
        <w:rPr>
          <w:color w:val="000000" w:themeColor="text1"/>
          <w:sz w:val="16"/>
          <w:szCs w:val="16"/>
        </w:rPr>
      </w:pPr>
    </w:p>
    <w:p w14:paraId="7F23FF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8858 О вывозе из г. Берлин оборудования лаборатории по испытанию материалов для Наркомстроя. РГАНИР, Фонд ГКО, д. 421, лл. 92 (11012).</w:t>
      </w:r>
    </w:p>
    <w:p w14:paraId="23093CDA" w14:textId="77777777" w:rsidR="00665165" w:rsidRPr="00925F26" w:rsidRDefault="00665165" w:rsidP="00925F26">
      <w:pPr>
        <w:autoSpaceDE w:val="0"/>
        <w:autoSpaceDN w:val="0"/>
        <w:adjustRightInd w:val="0"/>
        <w:jc w:val="both"/>
        <w:rPr>
          <w:color w:val="000000" w:themeColor="text1"/>
          <w:sz w:val="16"/>
          <w:szCs w:val="16"/>
        </w:rPr>
      </w:pPr>
    </w:p>
    <w:p w14:paraId="347040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8859 О вывозе оборудования с берлинских заводов на предприятия Наркомстроя. РГАНИР, Фонд ГКО, д. 421, лл. 93-94 (11012).</w:t>
      </w:r>
    </w:p>
    <w:p w14:paraId="51693464" w14:textId="77777777" w:rsidR="00665165" w:rsidRPr="00925F26" w:rsidRDefault="00665165" w:rsidP="00925F26">
      <w:pPr>
        <w:autoSpaceDE w:val="0"/>
        <w:autoSpaceDN w:val="0"/>
        <w:adjustRightInd w:val="0"/>
        <w:jc w:val="both"/>
        <w:rPr>
          <w:color w:val="000000" w:themeColor="text1"/>
          <w:sz w:val="16"/>
          <w:szCs w:val="16"/>
        </w:rPr>
      </w:pPr>
    </w:p>
    <w:p w14:paraId="4C0BD1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8860 О вывозе оборудования с немецких предприятий из г. Берлин для Наркомстроя. РГАНИР, Фонд ГКО, д. 421, лл. 95-96 (11012).</w:t>
      </w:r>
    </w:p>
    <w:p w14:paraId="7C83EC2A" w14:textId="77777777" w:rsidR="00665165" w:rsidRPr="00925F26" w:rsidRDefault="00665165" w:rsidP="00925F26">
      <w:pPr>
        <w:autoSpaceDE w:val="0"/>
        <w:autoSpaceDN w:val="0"/>
        <w:adjustRightInd w:val="0"/>
        <w:jc w:val="both"/>
        <w:rPr>
          <w:color w:val="000000" w:themeColor="text1"/>
          <w:sz w:val="16"/>
          <w:szCs w:val="16"/>
        </w:rPr>
      </w:pPr>
    </w:p>
    <w:p w14:paraId="6C0800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8861 О вывозе оборудования с цементных заводов в г. г. Цульхов, Леббин и Царнглафе. РГАНИР, Фонд ГКО, д. 421, лл. 97-98 (11012).</w:t>
      </w:r>
    </w:p>
    <w:p w14:paraId="0A161700" w14:textId="77777777" w:rsidR="00665165" w:rsidRPr="00925F26" w:rsidRDefault="00665165" w:rsidP="00925F26">
      <w:pPr>
        <w:autoSpaceDE w:val="0"/>
        <w:autoSpaceDN w:val="0"/>
        <w:adjustRightInd w:val="0"/>
        <w:jc w:val="both"/>
        <w:rPr>
          <w:color w:val="000000" w:themeColor="text1"/>
          <w:sz w:val="16"/>
          <w:szCs w:val="16"/>
        </w:rPr>
      </w:pPr>
    </w:p>
    <w:p w14:paraId="0C7D00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8862 О вывозе 2300 тонн проката черных металлов с предприятий г. Штеттин на базу Главметаллосбыта в г. Никитовка (Донбасс). РГАНИР, Фонд ГКО, д. 421, лл. 99 (11012).</w:t>
      </w:r>
    </w:p>
    <w:p w14:paraId="327948D3" w14:textId="77777777" w:rsidR="00665165" w:rsidRPr="00925F26" w:rsidRDefault="00665165" w:rsidP="00925F26">
      <w:pPr>
        <w:autoSpaceDE w:val="0"/>
        <w:autoSpaceDN w:val="0"/>
        <w:adjustRightInd w:val="0"/>
        <w:jc w:val="both"/>
        <w:rPr>
          <w:color w:val="000000" w:themeColor="text1"/>
          <w:sz w:val="16"/>
          <w:szCs w:val="16"/>
        </w:rPr>
      </w:pPr>
    </w:p>
    <w:p w14:paraId="71EB91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8863 О вывозе черных и цветных металлов с трофейных складов, расположенных в районе г. Вена на базы Главметаллосбыта и ГУГМР. РГАНИР, Фонд ГКО, д. 421, лл. 100-102 (11012).</w:t>
      </w:r>
    </w:p>
    <w:p w14:paraId="753FAD0D" w14:textId="77777777" w:rsidR="00665165" w:rsidRPr="00925F26" w:rsidRDefault="00665165" w:rsidP="00925F26">
      <w:pPr>
        <w:autoSpaceDE w:val="0"/>
        <w:autoSpaceDN w:val="0"/>
        <w:adjustRightInd w:val="0"/>
        <w:jc w:val="both"/>
        <w:rPr>
          <w:color w:val="000000" w:themeColor="text1"/>
          <w:sz w:val="16"/>
          <w:szCs w:val="16"/>
        </w:rPr>
      </w:pPr>
    </w:p>
    <w:p w14:paraId="26DEAF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8864 О вывозе черных и цветных металлов из района г. Берлин с заводов г. г. Кольберг, Эркнер и Францвальде и со складов ж.РГАНИР, Фонд ГКО, д. станций Недер, Лейхольц, Цеден и Самотшин на базы Главметаллосбыта Наркомчермета и ГУГМР. РГАНИР, Фонд ГКО, д. 421, лл. 103-104 (11012).</w:t>
      </w:r>
    </w:p>
    <w:p w14:paraId="47FDC5FD" w14:textId="77777777" w:rsidR="00665165" w:rsidRPr="00925F26" w:rsidRDefault="00665165" w:rsidP="00925F26">
      <w:pPr>
        <w:autoSpaceDE w:val="0"/>
        <w:autoSpaceDN w:val="0"/>
        <w:adjustRightInd w:val="0"/>
        <w:jc w:val="both"/>
        <w:rPr>
          <w:color w:val="000000" w:themeColor="text1"/>
          <w:sz w:val="16"/>
          <w:szCs w:val="16"/>
        </w:rPr>
      </w:pPr>
    </w:p>
    <w:p w14:paraId="6DA154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8865 О вывозе оборудования с завода по производству корпусов снарядов в г. Фюрстенберг. РГАНИР, Фонд ГКО, д. 421, лл. 105 (11012).</w:t>
      </w:r>
    </w:p>
    <w:p w14:paraId="612EBC11" w14:textId="77777777" w:rsidR="00665165" w:rsidRPr="00925F26" w:rsidRDefault="00665165" w:rsidP="00925F26">
      <w:pPr>
        <w:autoSpaceDE w:val="0"/>
        <w:autoSpaceDN w:val="0"/>
        <w:adjustRightInd w:val="0"/>
        <w:jc w:val="both"/>
        <w:rPr>
          <w:color w:val="000000" w:themeColor="text1"/>
          <w:sz w:val="16"/>
          <w:szCs w:val="16"/>
        </w:rPr>
      </w:pPr>
    </w:p>
    <w:p w14:paraId="58F1C6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8866 О вывозе оборудования, учебной аппаратуры и приборов с танкового полигона и танковых учебных заведений в районе г. Берлин. РГАНИР, Фонд ГКО, д. 421, лл. 106 (11012).</w:t>
      </w:r>
    </w:p>
    <w:p w14:paraId="4E4F3235" w14:textId="77777777" w:rsidR="00665165" w:rsidRPr="00925F26" w:rsidRDefault="00665165" w:rsidP="00925F26">
      <w:pPr>
        <w:autoSpaceDE w:val="0"/>
        <w:autoSpaceDN w:val="0"/>
        <w:adjustRightInd w:val="0"/>
        <w:jc w:val="both"/>
        <w:rPr>
          <w:color w:val="000000" w:themeColor="text1"/>
          <w:sz w:val="16"/>
          <w:szCs w:val="16"/>
        </w:rPr>
      </w:pPr>
    </w:p>
    <w:p w14:paraId="4F45F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8867 О вывозе оборудования завода по производству санитарно-технической арматуры и военно-инженерного имущества в г. Штеттин (Германия). РГАНИР, Фонд ГКО, д. 421, лл. 107 (11012).</w:t>
      </w:r>
    </w:p>
    <w:p w14:paraId="49C16C6D" w14:textId="77777777" w:rsidR="00665165" w:rsidRPr="00925F26" w:rsidRDefault="00665165" w:rsidP="00925F26">
      <w:pPr>
        <w:autoSpaceDE w:val="0"/>
        <w:autoSpaceDN w:val="0"/>
        <w:adjustRightInd w:val="0"/>
        <w:jc w:val="both"/>
        <w:rPr>
          <w:color w:val="000000" w:themeColor="text1"/>
          <w:sz w:val="16"/>
          <w:szCs w:val="16"/>
        </w:rPr>
      </w:pPr>
    </w:p>
    <w:p w14:paraId="1C6965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8868 О вывозе оборудования и материалов с немецких предприятий Померании и Мекленбурга. РГАНИР, Фонд ГКО, д. 421, лл. 108-111 (11012).</w:t>
      </w:r>
    </w:p>
    <w:p w14:paraId="126B4373" w14:textId="77777777" w:rsidR="00665165" w:rsidRPr="00925F26" w:rsidRDefault="00665165" w:rsidP="00925F26">
      <w:pPr>
        <w:autoSpaceDE w:val="0"/>
        <w:autoSpaceDN w:val="0"/>
        <w:adjustRightInd w:val="0"/>
        <w:jc w:val="both"/>
        <w:rPr>
          <w:color w:val="000000" w:themeColor="text1"/>
          <w:sz w:val="16"/>
          <w:szCs w:val="16"/>
        </w:rPr>
      </w:pPr>
    </w:p>
    <w:p w14:paraId="380754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8869 О вывозе полиграфического оборудования с типографий г. Берлин. РГАНИР, Фонд ГКО, д. 421, лл. 112-113 (11012).</w:t>
      </w:r>
    </w:p>
    <w:p w14:paraId="0C3B64FA" w14:textId="77777777" w:rsidR="00665165" w:rsidRPr="00925F26" w:rsidRDefault="00665165" w:rsidP="00925F26">
      <w:pPr>
        <w:autoSpaceDE w:val="0"/>
        <w:autoSpaceDN w:val="0"/>
        <w:adjustRightInd w:val="0"/>
        <w:jc w:val="both"/>
        <w:rPr>
          <w:color w:val="000000" w:themeColor="text1"/>
          <w:sz w:val="16"/>
          <w:szCs w:val="16"/>
        </w:rPr>
      </w:pPr>
    </w:p>
    <w:p w14:paraId="5D9D76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8870 О вывозе оборудования с немецких стационарных артиллерийских баз и складов боеприпасов и с механических заводов в г. Берлин. РГАНИР, Фонд ГКО, д. 421, лл. 114-115 (11012).</w:t>
      </w:r>
    </w:p>
    <w:p w14:paraId="7CD248FD" w14:textId="77777777" w:rsidR="00665165" w:rsidRPr="00925F26" w:rsidRDefault="00665165" w:rsidP="00925F26">
      <w:pPr>
        <w:autoSpaceDE w:val="0"/>
        <w:autoSpaceDN w:val="0"/>
        <w:adjustRightInd w:val="0"/>
        <w:jc w:val="both"/>
        <w:rPr>
          <w:color w:val="000000" w:themeColor="text1"/>
          <w:sz w:val="16"/>
          <w:szCs w:val="16"/>
        </w:rPr>
      </w:pPr>
    </w:p>
    <w:p w14:paraId="2A46FA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8871 О вывозе радиовещательного оборудования из г. г. Берлин и Бухарест. РГАНИР, Фонд ГКО, д. 421, лл. 116-117 (11012).</w:t>
      </w:r>
    </w:p>
    <w:p w14:paraId="7FF6DDAA" w14:textId="77777777" w:rsidR="00665165" w:rsidRPr="00925F26" w:rsidRDefault="00665165" w:rsidP="00925F26">
      <w:pPr>
        <w:autoSpaceDE w:val="0"/>
        <w:autoSpaceDN w:val="0"/>
        <w:adjustRightInd w:val="0"/>
        <w:jc w:val="both"/>
        <w:rPr>
          <w:color w:val="000000" w:themeColor="text1"/>
          <w:sz w:val="16"/>
          <w:szCs w:val="16"/>
        </w:rPr>
      </w:pPr>
    </w:p>
    <w:p w14:paraId="3CA2B1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8872 О вывозе оборудования немецких фабрик искусственного шелка в г. г. Берлин и Штеттин. РГАНИР, Фонд ГКО, д. 421, лл. 118-119 (11012).</w:t>
      </w:r>
    </w:p>
    <w:p w14:paraId="48806752" w14:textId="77777777" w:rsidR="00665165" w:rsidRPr="00925F26" w:rsidRDefault="00665165" w:rsidP="00925F26">
      <w:pPr>
        <w:autoSpaceDE w:val="0"/>
        <w:autoSpaceDN w:val="0"/>
        <w:adjustRightInd w:val="0"/>
        <w:jc w:val="both"/>
        <w:rPr>
          <w:color w:val="000000" w:themeColor="text1"/>
          <w:sz w:val="16"/>
          <w:szCs w:val="16"/>
        </w:rPr>
      </w:pPr>
    </w:p>
    <w:p w14:paraId="01089D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8873 О вывозе оборудования с механического завода фирмы "Копп" в гор. Бельциг. РГАНИР, Фонд ГКО, д. 421, лл. 120-121 (11012).</w:t>
      </w:r>
    </w:p>
    <w:p w14:paraId="42850EF1" w14:textId="77777777" w:rsidR="00665165" w:rsidRPr="00925F26" w:rsidRDefault="00665165" w:rsidP="00925F26">
      <w:pPr>
        <w:autoSpaceDE w:val="0"/>
        <w:autoSpaceDN w:val="0"/>
        <w:adjustRightInd w:val="0"/>
        <w:jc w:val="both"/>
        <w:rPr>
          <w:color w:val="000000" w:themeColor="text1"/>
          <w:sz w:val="16"/>
          <w:szCs w:val="16"/>
        </w:rPr>
      </w:pPr>
    </w:p>
    <w:p w14:paraId="059B0E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8874 О вывозе оборудования, полуфабрикатов, инструмента, оснастки и технической документации с заводов фирмы "Патин" в г. г. Миттельштейн, Роккерс и Юшенбург для Наркомавиапрома. РГАНИР, Фонд ГКО, д. 421, лл. 122-123 (11012).</w:t>
      </w:r>
    </w:p>
    <w:p w14:paraId="2899EFC0" w14:textId="77777777" w:rsidR="00665165" w:rsidRPr="00925F26" w:rsidRDefault="00665165" w:rsidP="00925F26">
      <w:pPr>
        <w:autoSpaceDE w:val="0"/>
        <w:autoSpaceDN w:val="0"/>
        <w:adjustRightInd w:val="0"/>
        <w:jc w:val="both"/>
        <w:rPr>
          <w:color w:val="000000" w:themeColor="text1"/>
          <w:sz w:val="16"/>
          <w:szCs w:val="16"/>
        </w:rPr>
      </w:pPr>
    </w:p>
    <w:p w14:paraId="348F60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8875 О вывозе оборудования немецкого склада горючего в местечке Хансдорф (Германия). РГАНИР, Фонд ГКО, д. 421, лл. 124 (11012).</w:t>
      </w:r>
    </w:p>
    <w:p w14:paraId="7B6E7C14" w14:textId="77777777" w:rsidR="00665165" w:rsidRPr="00925F26" w:rsidRDefault="00665165" w:rsidP="00925F26">
      <w:pPr>
        <w:autoSpaceDE w:val="0"/>
        <w:autoSpaceDN w:val="0"/>
        <w:adjustRightInd w:val="0"/>
        <w:jc w:val="both"/>
        <w:rPr>
          <w:color w:val="000000" w:themeColor="text1"/>
          <w:sz w:val="16"/>
          <w:szCs w:val="16"/>
        </w:rPr>
      </w:pPr>
    </w:p>
    <w:p w14:paraId="589B13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8876 О вывозе оборудования с завода фирмы "Фриц Килиан" в г. Берлин на завод Наркоммясомолпрома СССР в г. Полтава. РГАНИР, Фонд ГКО, д. 421, лл. 125 (11012).</w:t>
      </w:r>
    </w:p>
    <w:p w14:paraId="5038FF26" w14:textId="77777777" w:rsidR="00665165" w:rsidRPr="00925F26" w:rsidRDefault="00665165" w:rsidP="00925F26">
      <w:pPr>
        <w:autoSpaceDE w:val="0"/>
        <w:autoSpaceDN w:val="0"/>
        <w:adjustRightInd w:val="0"/>
        <w:jc w:val="both"/>
        <w:rPr>
          <w:color w:val="000000" w:themeColor="text1"/>
          <w:sz w:val="16"/>
          <w:szCs w:val="16"/>
        </w:rPr>
      </w:pPr>
    </w:p>
    <w:p w14:paraId="35A13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8877 О вывозе телефонно-телеграфного оборудования с предприятий, складов и узлов связи в г. г. Берлин, Бреслау и Лигниц. РГАНИР, Фонд ГКО, д. 421, лл. 126 (11012).</w:t>
      </w:r>
    </w:p>
    <w:p w14:paraId="04C09385" w14:textId="77777777" w:rsidR="00665165" w:rsidRPr="00925F26" w:rsidRDefault="00665165" w:rsidP="00925F26">
      <w:pPr>
        <w:autoSpaceDE w:val="0"/>
        <w:autoSpaceDN w:val="0"/>
        <w:adjustRightInd w:val="0"/>
        <w:jc w:val="both"/>
        <w:rPr>
          <w:color w:val="000000" w:themeColor="text1"/>
          <w:sz w:val="16"/>
          <w:szCs w:val="16"/>
        </w:rPr>
      </w:pPr>
    </w:p>
    <w:p w14:paraId="6AE813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8878 О вывозе оборудования немецкого завода калильных ламп и электроплиток фирмы "Грейц" в г. Берлин, район Трептов. РГАНИР, Фонд ГКО, д. 421, лл. 127 (11012).</w:t>
      </w:r>
    </w:p>
    <w:p w14:paraId="644132EC" w14:textId="77777777" w:rsidR="00665165" w:rsidRPr="00925F26" w:rsidRDefault="00665165" w:rsidP="00925F26">
      <w:pPr>
        <w:autoSpaceDE w:val="0"/>
        <w:autoSpaceDN w:val="0"/>
        <w:adjustRightInd w:val="0"/>
        <w:jc w:val="both"/>
        <w:rPr>
          <w:color w:val="000000" w:themeColor="text1"/>
          <w:sz w:val="16"/>
          <w:szCs w:val="16"/>
        </w:rPr>
      </w:pPr>
    </w:p>
    <w:p w14:paraId="344B7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8879 О вывозе оборудования с немецких предприятий, расположенных в г. Дрезден на заводы Наркомпищепрома СССР. РГАНИР, Фонд ГКО, д. 421, лл. 128, 129-130 (11012).</w:t>
      </w:r>
    </w:p>
    <w:p w14:paraId="4E88AC6E" w14:textId="77777777" w:rsidR="00665165" w:rsidRPr="00925F26" w:rsidRDefault="00665165" w:rsidP="00925F26">
      <w:pPr>
        <w:autoSpaceDE w:val="0"/>
        <w:autoSpaceDN w:val="0"/>
        <w:adjustRightInd w:val="0"/>
        <w:jc w:val="both"/>
        <w:rPr>
          <w:color w:val="000000" w:themeColor="text1"/>
          <w:sz w:val="16"/>
          <w:szCs w:val="16"/>
        </w:rPr>
      </w:pPr>
    </w:p>
    <w:p w14:paraId="6C4BE1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8880 О вывозе оборудования и наглядных пособий с классов, лабораторий и мастерской немецкой Высшей летно-технической школы в военном городке Альтес-Лагерь для ВВС Красной Армии. РГАНИР, Фонд ГКО, д. 421, лл. 131 (11012).</w:t>
      </w:r>
    </w:p>
    <w:p w14:paraId="3606DCC3" w14:textId="77777777" w:rsidR="00665165" w:rsidRPr="00925F26" w:rsidRDefault="00665165" w:rsidP="00925F26">
      <w:pPr>
        <w:autoSpaceDE w:val="0"/>
        <w:autoSpaceDN w:val="0"/>
        <w:adjustRightInd w:val="0"/>
        <w:jc w:val="both"/>
        <w:rPr>
          <w:color w:val="000000" w:themeColor="text1"/>
          <w:sz w:val="16"/>
          <w:szCs w:val="16"/>
        </w:rPr>
      </w:pPr>
    </w:p>
    <w:p w14:paraId="405001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8881 О вывозе лабораторного оборудования Грайфсвальдского и Ростокского университетов в г. г. Грайфсвальд и Росток (Германия). РГАНИР, Фонд ГКО, д. 421, лл. 132-133 (11012).</w:t>
      </w:r>
    </w:p>
    <w:p w14:paraId="585D25B5" w14:textId="77777777" w:rsidR="00665165" w:rsidRPr="00925F26" w:rsidRDefault="00665165" w:rsidP="00925F26">
      <w:pPr>
        <w:autoSpaceDE w:val="0"/>
        <w:autoSpaceDN w:val="0"/>
        <w:adjustRightInd w:val="0"/>
        <w:jc w:val="both"/>
        <w:rPr>
          <w:color w:val="000000" w:themeColor="text1"/>
          <w:sz w:val="16"/>
          <w:szCs w:val="16"/>
        </w:rPr>
      </w:pPr>
    </w:p>
    <w:p w14:paraId="087C85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31 мая 1945 вышло Постановление ГКО № 8882 вывозе оборудования четырех заводов по производству кинопроекционной, кино- осветительной и кинокопировальной аппаратуры, оборудования кинокопировальной фабрики "Тейс Пауль" и фабрики реставрации старых кинофильмов фирмы "Реконо К-2 Шт. РГАНИР, Фонд ГКО, д. 421 (11012).</w:t>
      </w:r>
    </w:p>
    <w:p w14:paraId="2C0BAD1C" w14:textId="77777777" w:rsidR="00665165" w:rsidRPr="00925F26" w:rsidRDefault="00665165" w:rsidP="00925F26">
      <w:pPr>
        <w:autoSpaceDE w:val="0"/>
        <w:autoSpaceDN w:val="0"/>
        <w:adjustRightInd w:val="0"/>
        <w:jc w:val="both"/>
        <w:rPr>
          <w:color w:val="000000" w:themeColor="text1"/>
          <w:sz w:val="16"/>
          <w:szCs w:val="16"/>
        </w:rPr>
      </w:pPr>
    </w:p>
    <w:p w14:paraId="56FCE3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8883 О вывозе оборудования немецкого завода фирмы "Отто граф-автомеханик" в г. Берлин, район Грейдер. РГАНИР, Фонд ГКО, д. 421, лл. 136 (11012).</w:t>
      </w:r>
    </w:p>
    <w:p w14:paraId="3EB0F859" w14:textId="77777777" w:rsidR="00665165" w:rsidRPr="00925F26" w:rsidRDefault="00665165" w:rsidP="00925F26">
      <w:pPr>
        <w:autoSpaceDE w:val="0"/>
        <w:autoSpaceDN w:val="0"/>
        <w:adjustRightInd w:val="0"/>
        <w:jc w:val="both"/>
        <w:rPr>
          <w:color w:val="000000" w:themeColor="text1"/>
          <w:sz w:val="16"/>
          <w:szCs w:val="16"/>
        </w:rPr>
      </w:pPr>
    </w:p>
    <w:p w14:paraId="26344D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8884 О вывозе оборудования, аппаратуры и опытных установок из лаборатории искусственного климата селекционного сельскохозяйственного института в г. Мюнхенберг. РГАНИР, Фонд ГКО, д. 421, лл. 137-138 (11012).</w:t>
      </w:r>
    </w:p>
    <w:p w14:paraId="3F8AC89B" w14:textId="77777777" w:rsidR="00665165" w:rsidRPr="00925F26" w:rsidRDefault="00665165" w:rsidP="00925F26">
      <w:pPr>
        <w:autoSpaceDE w:val="0"/>
        <w:autoSpaceDN w:val="0"/>
        <w:adjustRightInd w:val="0"/>
        <w:jc w:val="both"/>
        <w:rPr>
          <w:color w:val="000000" w:themeColor="text1"/>
          <w:sz w:val="16"/>
          <w:szCs w:val="16"/>
        </w:rPr>
      </w:pPr>
    </w:p>
    <w:p w14:paraId="4A3EA7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8885 О вывозе промышленного и энергетического оборудования, строительных материалов и инструментов для народного хозяйства Смоленской области. РГАНИР, Фонд ГКО, д. 421, лл. 139-142, 143 (11012).</w:t>
      </w:r>
    </w:p>
    <w:p w14:paraId="60B6F2A7" w14:textId="77777777" w:rsidR="00665165" w:rsidRPr="00925F26" w:rsidRDefault="00665165" w:rsidP="00925F26">
      <w:pPr>
        <w:autoSpaceDE w:val="0"/>
        <w:autoSpaceDN w:val="0"/>
        <w:adjustRightInd w:val="0"/>
        <w:jc w:val="both"/>
        <w:rPr>
          <w:color w:val="000000" w:themeColor="text1"/>
          <w:sz w:val="16"/>
          <w:szCs w:val="16"/>
        </w:rPr>
      </w:pPr>
    </w:p>
    <w:p w14:paraId="6587D2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8886 О вывозе оборудования и казарменного инвентаря с трофейных складов 3-го Белорусского фронта. РГАНИР, Фонд ГКО, д. 421, лл. 144, 145 (11012).</w:t>
      </w:r>
    </w:p>
    <w:p w14:paraId="26A16131" w14:textId="77777777" w:rsidR="00665165" w:rsidRPr="00925F26" w:rsidRDefault="00665165" w:rsidP="00925F26">
      <w:pPr>
        <w:autoSpaceDE w:val="0"/>
        <w:autoSpaceDN w:val="0"/>
        <w:adjustRightInd w:val="0"/>
        <w:jc w:val="both"/>
        <w:rPr>
          <w:color w:val="000000" w:themeColor="text1"/>
          <w:sz w:val="16"/>
          <w:szCs w:val="16"/>
        </w:rPr>
      </w:pPr>
    </w:p>
    <w:p w14:paraId="181A5F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8887 О вывозе трофейной бумаги и картона со складов 1, 2, 3-го и 4-го Украинских и 2-го и 3-го Белорусских фронтов. РГАНИР, Фонд ГКО, д. 421, лл. 146-147 (11012).</w:t>
      </w:r>
    </w:p>
    <w:p w14:paraId="46C8F5A2" w14:textId="77777777" w:rsidR="00665165" w:rsidRPr="00925F26" w:rsidRDefault="00665165" w:rsidP="00925F26">
      <w:pPr>
        <w:autoSpaceDE w:val="0"/>
        <w:autoSpaceDN w:val="0"/>
        <w:adjustRightInd w:val="0"/>
        <w:jc w:val="both"/>
        <w:rPr>
          <w:color w:val="000000" w:themeColor="text1"/>
          <w:sz w:val="16"/>
          <w:szCs w:val="16"/>
        </w:rPr>
      </w:pPr>
    </w:p>
    <w:p w14:paraId="26841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8888 О вывозе оборудования с механического завода "Георг Виш" в г. Берлин на предприятия Наркомугля. РГАНИР, Фонд ГКО, д. 421, лл. 148 (11012).</w:t>
      </w:r>
    </w:p>
    <w:p w14:paraId="357D9B71" w14:textId="77777777" w:rsidR="00665165" w:rsidRPr="00925F26" w:rsidRDefault="00665165" w:rsidP="00925F26">
      <w:pPr>
        <w:autoSpaceDE w:val="0"/>
        <w:autoSpaceDN w:val="0"/>
        <w:adjustRightInd w:val="0"/>
        <w:jc w:val="both"/>
        <w:rPr>
          <w:color w:val="000000" w:themeColor="text1"/>
          <w:sz w:val="16"/>
          <w:szCs w:val="16"/>
        </w:rPr>
      </w:pPr>
    </w:p>
    <w:p w14:paraId="2EC0FF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8889 О вывозе оборудования и строительных материалов с трофейных складов 1, 2, 3-го Белорусских и 1, 2, 3, 4-го Украинских фронтов для Наркомата обороны. РГАНИР, Фонд ГКО, д. 421, лл. 149, 150-153 (11012).</w:t>
      </w:r>
    </w:p>
    <w:p w14:paraId="3D0F81EB" w14:textId="77777777" w:rsidR="00665165" w:rsidRPr="00925F26" w:rsidRDefault="00665165" w:rsidP="00925F26">
      <w:pPr>
        <w:autoSpaceDE w:val="0"/>
        <w:autoSpaceDN w:val="0"/>
        <w:adjustRightInd w:val="0"/>
        <w:jc w:val="both"/>
        <w:rPr>
          <w:color w:val="000000" w:themeColor="text1"/>
          <w:sz w:val="16"/>
          <w:szCs w:val="16"/>
        </w:rPr>
      </w:pPr>
    </w:p>
    <w:p w14:paraId="16F7F6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8890 Об охране и сопровождении железнодорожных транспортов с оборудованием и материалами, вывозимыми с немецких предприятий. РГАНИР, Фонд ГКО, д. 421, лл. 154-155 (11012).</w:t>
      </w:r>
    </w:p>
    <w:p w14:paraId="41C2108C" w14:textId="77777777" w:rsidR="00665165" w:rsidRPr="00925F26" w:rsidRDefault="00665165" w:rsidP="00925F26">
      <w:pPr>
        <w:autoSpaceDE w:val="0"/>
        <w:autoSpaceDN w:val="0"/>
        <w:adjustRightInd w:val="0"/>
        <w:jc w:val="both"/>
        <w:rPr>
          <w:color w:val="000000" w:themeColor="text1"/>
          <w:sz w:val="16"/>
          <w:szCs w:val="16"/>
        </w:rPr>
      </w:pPr>
    </w:p>
    <w:p w14:paraId="4D019A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8891 О вывозе хозяйственного имущества и оборудования с трофейных складов 1-го Белорусского фронта для санаториев и домов отдыха Красной Армии. РГАНИР, Фонд ГКО, д. 421, лл. 156, 157-158 (11012).</w:t>
      </w:r>
    </w:p>
    <w:p w14:paraId="519CC9C5" w14:textId="77777777" w:rsidR="00665165" w:rsidRPr="00925F26" w:rsidRDefault="00665165" w:rsidP="00925F26">
      <w:pPr>
        <w:autoSpaceDE w:val="0"/>
        <w:autoSpaceDN w:val="0"/>
        <w:adjustRightInd w:val="0"/>
        <w:jc w:val="both"/>
        <w:rPr>
          <w:color w:val="000000" w:themeColor="text1"/>
          <w:sz w:val="16"/>
          <w:szCs w:val="16"/>
        </w:rPr>
      </w:pPr>
    </w:p>
    <w:p w14:paraId="06F56A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8892 О вывозе строительных материалов и оборудования с трофейных складов 1-го Прибалтийского и 3-го Белорусского фронтов. РГАНИР, Фонд ГКО, д. 421, лл. 159, 160-162 (11012).</w:t>
      </w:r>
    </w:p>
    <w:p w14:paraId="1010F056" w14:textId="77777777" w:rsidR="00665165" w:rsidRPr="00925F26" w:rsidRDefault="00665165" w:rsidP="00925F26">
      <w:pPr>
        <w:autoSpaceDE w:val="0"/>
        <w:autoSpaceDN w:val="0"/>
        <w:adjustRightInd w:val="0"/>
        <w:jc w:val="both"/>
        <w:rPr>
          <w:color w:val="000000" w:themeColor="text1"/>
          <w:sz w:val="16"/>
          <w:szCs w:val="16"/>
        </w:rPr>
      </w:pPr>
    </w:p>
    <w:p w14:paraId="74E0BD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8893 О вывозе сельскохозяйственного инвентаря с трофейных складов 1-го Белорусского фронта для подсобных хозяйств Наркомата обороны. РГАНИР, Фонд ГКО, д. 421, лл. 163, 164 (11012).</w:t>
      </w:r>
    </w:p>
    <w:p w14:paraId="6CC46311" w14:textId="77777777" w:rsidR="00665165" w:rsidRPr="00925F26" w:rsidRDefault="00665165" w:rsidP="00925F26">
      <w:pPr>
        <w:autoSpaceDE w:val="0"/>
        <w:autoSpaceDN w:val="0"/>
        <w:adjustRightInd w:val="0"/>
        <w:jc w:val="both"/>
        <w:rPr>
          <w:color w:val="000000" w:themeColor="text1"/>
          <w:sz w:val="16"/>
          <w:szCs w:val="16"/>
        </w:rPr>
      </w:pPr>
    </w:p>
    <w:p w14:paraId="451979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8894 О вывозе ювелирных изделий, коллекций монет и медалей, картин и художественного фарфора из района г. Дрездена. РГАНИР, Фонд ГКО, д. 421, лл. 165 (11012).</w:t>
      </w:r>
    </w:p>
    <w:p w14:paraId="7D56830D" w14:textId="77777777" w:rsidR="00665165" w:rsidRPr="00925F26" w:rsidRDefault="00665165" w:rsidP="00925F26">
      <w:pPr>
        <w:autoSpaceDE w:val="0"/>
        <w:autoSpaceDN w:val="0"/>
        <w:adjustRightInd w:val="0"/>
        <w:jc w:val="both"/>
        <w:rPr>
          <w:color w:val="000000" w:themeColor="text1"/>
          <w:sz w:val="16"/>
          <w:szCs w:val="16"/>
        </w:rPr>
      </w:pPr>
    </w:p>
    <w:p w14:paraId="7AEE97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8895 О вывозе оборудования с немецких заводов в г. г. Финовфурт, Гросс-Шенебек и Краппитц (Германия) на предприятия домостроения Наркомстроя. РГАНИР, Фонд ГКО, д. 421, лл. 166-167 (11012).</w:t>
      </w:r>
    </w:p>
    <w:p w14:paraId="2E30A3C5" w14:textId="77777777" w:rsidR="00665165" w:rsidRPr="00925F26" w:rsidRDefault="00665165" w:rsidP="00925F26">
      <w:pPr>
        <w:autoSpaceDE w:val="0"/>
        <w:autoSpaceDN w:val="0"/>
        <w:adjustRightInd w:val="0"/>
        <w:jc w:val="both"/>
        <w:rPr>
          <w:color w:val="000000" w:themeColor="text1"/>
          <w:sz w:val="16"/>
          <w:szCs w:val="16"/>
        </w:rPr>
      </w:pPr>
    </w:p>
    <w:p w14:paraId="1B079B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8896 О вывозе оборудования с немецких заводов фирмы "Штейер-Дамлер-Пух" в г. Вена. РГАНИР, Фонд ГКО, д. 421, лл. 168 (11012).</w:t>
      </w:r>
    </w:p>
    <w:p w14:paraId="0DD9DD2E" w14:textId="77777777" w:rsidR="00665165" w:rsidRPr="00925F26" w:rsidRDefault="00665165" w:rsidP="00925F26">
      <w:pPr>
        <w:autoSpaceDE w:val="0"/>
        <w:autoSpaceDN w:val="0"/>
        <w:adjustRightInd w:val="0"/>
        <w:jc w:val="both"/>
        <w:rPr>
          <w:color w:val="000000" w:themeColor="text1"/>
          <w:sz w:val="16"/>
          <w:szCs w:val="16"/>
        </w:rPr>
      </w:pPr>
    </w:p>
    <w:p w14:paraId="7A06E5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31 мая 1945 вышло Постановление ГКО № 8897 О проведении работы по выявлению </w:t>
      </w:r>
      <w:proofErr w:type="gramStart"/>
      <w:r w:rsidRPr="00925F26">
        <w:rPr>
          <w:color w:val="000000" w:themeColor="text1"/>
          <w:sz w:val="16"/>
          <w:szCs w:val="16"/>
        </w:rPr>
        <w:t>в вывозу</w:t>
      </w:r>
      <w:proofErr w:type="gramEnd"/>
      <w:r w:rsidRPr="00925F26">
        <w:rPr>
          <w:color w:val="000000" w:themeColor="text1"/>
          <w:sz w:val="16"/>
          <w:szCs w:val="16"/>
        </w:rPr>
        <w:t xml:space="preserve"> заводского и лабораторного оборудования, чертежей и опытных образцов немецких реактивных снарядов. РГАНИР, Фонд ГКО, д. 421, лл. 169-170 (11012).</w:t>
      </w:r>
    </w:p>
    <w:p w14:paraId="75A0789B" w14:textId="77777777" w:rsidR="00665165" w:rsidRPr="00925F26" w:rsidRDefault="00665165" w:rsidP="00925F26">
      <w:pPr>
        <w:autoSpaceDE w:val="0"/>
        <w:autoSpaceDN w:val="0"/>
        <w:adjustRightInd w:val="0"/>
        <w:jc w:val="both"/>
        <w:rPr>
          <w:color w:val="000000" w:themeColor="text1"/>
          <w:sz w:val="16"/>
          <w:szCs w:val="16"/>
        </w:rPr>
      </w:pPr>
    </w:p>
    <w:p w14:paraId="283FC9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8898 О вывозе оборудования и материалов с немецких предприятий деревообрабатывающей промышленности. РГАНИР, Фонд ГКО, д. 421, лл. 171-173 (11012).</w:t>
      </w:r>
    </w:p>
    <w:p w14:paraId="32174D60" w14:textId="77777777" w:rsidR="00665165" w:rsidRPr="00925F26" w:rsidRDefault="00665165" w:rsidP="00925F26">
      <w:pPr>
        <w:autoSpaceDE w:val="0"/>
        <w:autoSpaceDN w:val="0"/>
        <w:adjustRightInd w:val="0"/>
        <w:jc w:val="both"/>
        <w:rPr>
          <w:color w:val="000000" w:themeColor="text1"/>
          <w:sz w:val="16"/>
          <w:szCs w:val="16"/>
        </w:rPr>
      </w:pPr>
    </w:p>
    <w:p w14:paraId="43002228"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8899 О порядке оплаты уполномоченных Особого комитета при ГОКО и работников их аппарата. (7345, 174).</w:t>
      </w:r>
    </w:p>
    <w:p w14:paraId="772B40E7"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165DF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8900 О вывозе оборудования с завода гидрирования угля и мазута фирмы "Гидрирверке Пелитц А.Г." в г. Пелитц (севернее г. Штеттин). РГАНИР, Фонд ГКО, д. 421, лл. 175-176 (11012).</w:t>
      </w:r>
    </w:p>
    <w:p w14:paraId="4C2C7B40" w14:textId="77777777" w:rsidR="00665165" w:rsidRPr="00925F26" w:rsidRDefault="00665165" w:rsidP="00925F26">
      <w:pPr>
        <w:autoSpaceDE w:val="0"/>
        <w:autoSpaceDN w:val="0"/>
        <w:adjustRightInd w:val="0"/>
        <w:jc w:val="both"/>
        <w:rPr>
          <w:color w:val="000000" w:themeColor="text1"/>
          <w:sz w:val="16"/>
          <w:szCs w:val="16"/>
        </w:rPr>
      </w:pPr>
    </w:p>
    <w:p w14:paraId="618136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8901 О вывозе энергетического оборудования, стройматериалов и арматуры с немецких складов, находящихся в районе г. Юнкермюнде (Померания), принадлежавших заводу гидрирования в г. Пелитц. РГАНИР, Фонд ГКО, д. 422, лл. 1-2 (11012).</w:t>
      </w:r>
    </w:p>
    <w:p w14:paraId="351FDCD8" w14:textId="77777777" w:rsidR="00665165" w:rsidRPr="00925F26" w:rsidRDefault="00665165" w:rsidP="00925F26">
      <w:pPr>
        <w:autoSpaceDE w:val="0"/>
        <w:autoSpaceDN w:val="0"/>
        <w:adjustRightInd w:val="0"/>
        <w:jc w:val="both"/>
        <w:rPr>
          <w:color w:val="000000" w:themeColor="text1"/>
          <w:sz w:val="16"/>
          <w:szCs w:val="16"/>
        </w:rPr>
      </w:pPr>
    </w:p>
    <w:p w14:paraId="22680ECE"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вышло Распоряжение ГКО № 8902 [О поставке нефти Ашхабадской железной дороге и Аму-Дарьинскому пароходству.] (7346, 3).</w:t>
      </w:r>
    </w:p>
    <w:p w14:paraId="0D0CC17E"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3D67AB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Распоряжение ГКО № 8903. О переносе линий электропередачи, пересекающих площадку строящегося Куйбышевского нефтеперерабатывающего завода. РГАНИР, Фонд ГКО, д. 422, лл. 4 (11012).</w:t>
      </w:r>
    </w:p>
    <w:p w14:paraId="4D22BEF3" w14:textId="77777777" w:rsidR="00665165" w:rsidRPr="00925F26" w:rsidRDefault="00665165" w:rsidP="00925F26">
      <w:pPr>
        <w:autoSpaceDE w:val="0"/>
        <w:autoSpaceDN w:val="0"/>
        <w:adjustRightInd w:val="0"/>
        <w:jc w:val="both"/>
        <w:rPr>
          <w:color w:val="000000" w:themeColor="text1"/>
          <w:sz w:val="16"/>
          <w:szCs w:val="16"/>
        </w:rPr>
      </w:pPr>
    </w:p>
    <w:p w14:paraId="490449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Распоряжение ГКО № 8904. О списании с ресурсов НКО импортных высокооктановых компонентов, израсходованных Азнефтекомбинатом в декабре 1944 - марте 1945 г. РГАНИР, Фонд ГКО, д. 422, лл. 5 (11012).</w:t>
      </w:r>
    </w:p>
    <w:p w14:paraId="447C93FE" w14:textId="77777777" w:rsidR="00665165" w:rsidRPr="00925F26" w:rsidRDefault="00665165" w:rsidP="00925F26">
      <w:pPr>
        <w:autoSpaceDE w:val="0"/>
        <w:autoSpaceDN w:val="0"/>
        <w:adjustRightInd w:val="0"/>
        <w:jc w:val="both"/>
        <w:rPr>
          <w:color w:val="000000" w:themeColor="text1"/>
          <w:sz w:val="16"/>
          <w:szCs w:val="16"/>
        </w:rPr>
      </w:pPr>
    </w:p>
    <w:p w14:paraId="7A4657A1"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вышло Распоряжение ГКО № 8905 [Об установлении дополнительно переходящих вымпелов и денежных премий победителям во Всесоюзном социалистическом соревновании НКРФ.] (7346, 6).</w:t>
      </w:r>
    </w:p>
    <w:p w14:paraId="779CABF4"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07DA2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8906 О восстановлении и строительстве в 1945 году складов жидкого топлива для Наркомвоенморфлота. РГАНИР, Фонд ГКО, д. 422, лл. 7-12, 13-18 (11012).</w:t>
      </w:r>
    </w:p>
    <w:p w14:paraId="7EC49AC0" w14:textId="77777777" w:rsidR="00665165" w:rsidRPr="00925F26" w:rsidRDefault="00665165" w:rsidP="00925F26">
      <w:pPr>
        <w:autoSpaceDE w:val="0"/>
        <w:autoSpaceDN w:val="0"/>
        <w:adjustRightInd w:val="0"/>
        <w:jc w:val="both"/>
        <w:rPr>
          <w:color w:val="000000" w:themeColor="text1"/>
          <w:sz w:val="16"/>
          <w:szCs w:val="16"/>
        </w:rPr>
      </w:pPr>
    </w:p>
    <w:p w14:paraId="5771AD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8907 О мерах по обеспечению завоза сырья цветной металлургии по железным дорогам в июне-сентябре 1945 года. РГАНИР, Фонд ГКО, д. 422, лл. 19-23 (11012).</w:t>
      </w:r>
    </w:p>
    <w:p w14:paraId="3F0FCFCE" w14:textId="77777777" w:rsidR="00665165" w:rsidRPr="00925F26" w:rsidRDefault="00665165" w:rsidP="00925F26">
      <w:pPr>
        <w:autoSpaceDE w:val="0"/>
        <w:autoSpaceDN w:val="0"/>
        <w:adjustRightInd w:val="0"/>
        <w:jc w:val="both"/>
        <w:rPr>
          <w:color w:val="000000" w:themeColor="text1"/>
          <w:sz w:val="16"/>
          <w:szCs w:val="16"/>
        </w:rPr>
      </w:pPr>
    </w:p>
    <w:p w14:paraId="5CA3F9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8908 О Керченском железнодорожном мосте. РГАНИР, Фонд ГКО, д. 422, лл. 24-25 (11012).</w:t>
      </w:r>
    </w:p>
    <w:p w14:paraId="1997A65F" w14:textId="77777777" w:rsidR="00665165" w:rsidRPr="00925F26" w:rsidRDefault="00665165" w:rsidP="00925F26">
      <w:pPr>
        <w:autoSpaceDE w:val="0"/>
        <w:autoSpaceDN w:val="0"/>
        <w:adjustRightInd w:val="0"/>
        <w:jc w:val="both"/>
        <w:rPr>
          <w:color w:val="000000" w:themeColor="text1"/>
          <w:sz w:val="16"/>
          <w:szCs w:val="16"/>
        </w:rPr>
      </w:pPr>
    </w:p>
    <w:p w14:paraId="69D65B22"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8908 О Керченском железнодорожном мосте. (7346, 24-25).</w:t>
      </w:r>
    </w:p>
    <w:p w14:paraId="5F731246"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5C90E8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8909 О строительстве угольных шахт в Нелидовском районе Великолукской области. РГАНИР, Фонд ГКО, д. 422, лл. 26-29, 30-35 (11012).</w:t>
      </w:r>
    </w:p>
    <w:p w14:paraId="3E46F86B" w14:textId="77777777" w:rsidR="00665165" w:rsidRPr="00925F26" w:rsidRDefault="00665165" w:rsidP="00925F26">
      <w:pPr>
        <w:autoSpaceDE w:val="0"/>
        <w:autoSpaceDN w:val="0"/>
        <w:adjustRightInd w:val="0"/>
        <w:jc w:val="both"/>
        <w:rPr>
          <w:color w:val="000000" w:themeColor="text1"/>
          <w:sz w:val="16"/>
          <w:szCs w:val="16"/>
        </w:rPr>
      </w:pPr>
    </w:p>
    <w:p w14:paraId="43B4F7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8910 О мерах помощи объединению "Грознефть". РГАНИР, Фонд ГКО, д. 422, лл. 36-40, 41-44 (11012).</w:t>
      </w:r>
    </w:p>
    <w:p w14:paraId="1092CED6" w14:textId="77777777" w:rsidR="00665165" w:rsidRPr="00925F26" w:rsidRDefault="00665165" w:rsidP="00925F26">
      <w:pPr>
        <w:autoSpaceDE w:val="0"/>
        <w:autoSpaceDN w:val="0"/>
        <w:adjustRightInd w:val="0"/>
        <w:jc w:val="both"/>
        <w:rPr>
          <w:color w:val="000000" w:themeColor="text1"/>
          <w:sz w:val="16"/>
          <w:szCs w:val="16"/>
        </w:rPr>
      </w:pPr>
    </w:p>
    <w:p w14:paraId="6B15A209"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8911 Об организации лесозаготовительных предприятий Наркомбумпрома в Карело-Финской ССР. (7346, 45-49,50-52).</w:t>
      </w:r>
    </w:p>
    <w:p w14:paraId="37F6193F"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773367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8912 О строительстве торфобрикетных заводов для нужд города Ленинграда. РГАНИР, Фонд ГКО, д. 422, лл. 53-58, 59-62 (11012).</w:t>
      </w:r>
    </w:p>
    <w:p w14:paraId="0A286605" w14:textId="77777777" w:rsidR="00665165" w:rsidRPr="00925F26" w:rsidRDefault="00665165" w:rsidP="00925F26">
      <w:pPr>
        <w:autoSpaceDE w:val="0"/>
        <w:autoSpaceDN w:val="0"/>
        <w:adjustRightInd w:val="0"/>
        <w:jc w:val="both"/>
        <w:rPr>
          <w:color w:val="000000" w:themeColor="text1"/>
          <w:sz w:val="16"/>
          <w:szCs w:val="16"/>
        </w:rPr>
      </w:pPr>
    </w:p>
    <w:p w14:paraId="4ADE87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8913 О мерах увеличения добычи природного газа для снабжения электростанций и оборонных предприятий г. Куйбышева. РГАНИР, Фонд ГКО, д. 422, лл. 63-67, 68-69 (11012).</w:t>
      </w:r>
    </w:p>
    <w:p w14:paraId="560FE089" w14:textId="77777777" w:rsidR="00665165" w:rsidRPr="00925F26" w:rsidRDefault="00665165" w:rsidP="00925F26">
      <w:pPr>
        <w:autoSpaceDE w:val="0"/>
        <w:autoSpaceDN w:val="0"/>
        <w:adjustRightInd w:val="0"/>
        <w:jc w:val="both"/>
        <w:rPr>
          <w:color w:val="000000" w:themeColor="text1"/>
          <w:sz w:val="16"/>
          <w:szCs w:val="16"/>
        </w:rPr>
      </w:pPr>
    </w:p>
    <w:p w14:paraId="3A25D6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вышло Постановление ГКО № 8914 Об экономии электроэнергии в промышленности в 1945 году. РГАНИР, Фонд ГКО, д. 422, лл. 70-77, 78-129 (11012).</w:t>
      </w:r>
    </w:p>
    <w:p w14:paraId="5894EBE8" w14:textId="77777777" w:rsidR="00665165" w:rsidRPr="00925F26" w:rsidRDefault="00665165" w:rsidP="00925F26">
      <w:pPr>
        <w:autoSpaceDE w:val="0"/>
        <w:autoSpaceDN w:val="0"/>
        <w:adjustRightInd w:val="0"/>
        <w:jc w:val="both"/>
        <w:rPr>
          <w:color w:val="000000" w:themeColor="text1"/>
          <w:sz w:val="16"/>
          <w:szCs w:val="16"/>
        </w:rPr>
      </w:pPr>
    </w:p>
    <w:p w14:paraId="642B126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 мая 1945 г. ГКО принимает постановление об отправке в СССР в Лабораторию № 2 библиотек и имущества физических и химических институтов Грейфсвальдского и Ростокского университетов. Отбором и спецификацией оборудования и библиотек руководил сотрудник Лаборатории № 2 М. Певзнер, а за демонтаж и перевозку имущества отвечал заместитель наркома НКВДВ. Чернышов (11254).</w:t>
      </w:r>
    </w:p>
    <w:p w14:paraId="636DBB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3B3A62A" w14:textId="77777777" w:rsidR="00F3710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DFA5ECB" w14:textId="77777777" w:rsidR="00F37105" w:rsidRPr="00925F26" w:rsidRDefault="00F37105" w:rsidP="00925F26">
      <w:pPr>
        <w:autoSpaceDE w:val="0"/>
        <w:autoSpaceDN w:val="0"/>
        <w:adjustRightInd w:val="0"/>
        <w:jc w:val="both"/>
        <w:rPr>
          <w:iCs/>
          <w:color w:val="000000" w:themeColor="text1"/>
          <w:sz w:val="16"/>
          <w:szCs w:val="16"/>
        </w:rPr>
      </w:pPr>
    </w:p>
    <w:p w14:paraId="29135ACE" w14:textId="77777777" w:rsidR="00F37105" w:rsidRPr="00925F26" w:rsidRDefault="00F37105" w:rsidP="00925F26">
      <w:pPr>
        <w:pStyle w:val="book"/>
        <w:ind w:firstLine="0"/>
        <w:jc w:val="both"/>
        <w:rPr>
          <w:color w:val="000000" w:themeColor="text1"/>
          <w:sz w:val="16"/>
          <w:szCs w:val="16"/>
        </w:rPr>
      </w:pPr>
      <w:r w:rsidRPr="00925F26">
        <w:rPr>
          <w:color w:val="000000" w:themeColor="text1"/>
          <w:sz w:val="16"/>
          <w:szCs w:val="16"/>
        </w:rPr>
        <w:t>31 мая 1945 г. вышло Постановление ГКО № 8894: «Обязать Наркомфин СССР (т. Зверева) вывезти на базу Управления драгоценных металлов Наркомфина СССР в г. Москву ювелирные изделия, коллекцию монет и медалей из района г. Дрездена.</w:t>
      </w:r>
    </w:p>
    <w:p w14:paraId="668F4822" w14:textId="77777777" w:rsidR="00F37105" w:rsidRPr="00925F26" w:rsidRDefault="00F37105" w:rsidP="00925F26">
      <w:pPr>
        <w:pStyle w:val="book"/>
        <w:ind w:firstLine="0"/>
        <w:jc w:val="both"/>
        <w:rPr>
          <w:color w:val="000000" w:themeColor="text1"/>
          <w:sz w:val="16"/>
          <w:szCs w:val="16"/>
        </w:rPr>
      </w:pPr>
      <w:r w:rsidRPr="00925F26">
        <w:rPr>
          <w:color w:val="000000" w:themeColor="text1"/>
          <w:sz w:val="16"/>
          <w:szCs w:val="16"/>
        </w:rPr>
        <w:t>Тов. Звереву командировать в район г. Дрездена ответственного руководителя по ввозу ювелирных изделий и коллекции монет и медалей» (15225).</w:t>
      </w:r>
    </w:p>
    <w:p w14:paraId="21CF1C24" w14:textId="77777777" w:rsidR="00F37105" w:rsidRPr="00925F26" w:rsidRDefault="00F37105" w:rsidP="00925F26">
      <w:pPr>
        <w:pStyle w:val="book"/>
        <w:ind w:firstLine="0"/>
        <w:jc w:val="both"/>
        <w:rPr>
          <w:color w:val="000000" w:themeColor="text1"/>
          <w:sz w:val="16"/>
          <w:szCs w:val="16"/>
        </w:rPr>
      </w:pPr>
    </w:p>
    <w:p w14:paraId="2177581D" w14:textId="77777777" w:rsidR="00F3710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A7C0B80" w14:textId="77777777" w:rsidR="00F37105" w:rsidRPr="00925F26" w:rsidRDefault="00F37105" w:rsidP="00925F26">
      <w:pPr>
        <w:autoSpaceDE w:val="0"/>
        <w:autoSpaceDN w:val="0"/>
        <w:adjustRightInd w:val="0"/>
        <w:jc w:val="both"/>
        <w:rPr>
          <w:iCs/>
          <w:color w:val="000000" w:themeColor="text1"/>
          <w:sz w:val="16"/>
          <w:szCs w:val="16"/>
        </w:rPr>
      </w:pPr>
    </w:p>
    <w:p w14:paraId="03D22BD5" w14:textId="77777777" w:rsidR="00F37105" w:rsidRPr="00925F26" w:rsidRDefault="00F37105" w:rsidP="00925F26">
      <w:pPr>
        <w:jc w:val="both"/>
        <w:rPr>
          <w:color w:val="000000" w:themeColor="text1"/>
          <w:sz w:val="16"/>
          <w:szCs w:val="16"/>
        </w:rPr>
      </w:pPr>
      <w:r w:rsidRPr="00925F26">
        <w:rPr>
          <w:bCs/>
          <w:color w:val="000000" w:themeColor="text1"/>
          <w:sz w:val="16"/>
          <w:szCs w:val="16"/>
        </w:rPr>
        <w:t>31 мая</w:t>
      </w:r>
      <w:r w:rsidRPr="00925F26">
        <w:rPr>
          <w:color w:val="000000" w:themeColor="text1"/>
          <w:sz w:val="16"/>
          <w:szCs w:val="16"/>
        </w:rPr>
        <w:t xml:space="preserve"> в 1945 году специальный комитет при новом президенте США Гарри Трумене начинает обсуждение проблемы атомной бомбы, обладателями которой вскоре должны стать американцы. Одним из вопросов двухдневной дискуссии являются отношения с СССР: стоит ли делиться тайной со Сталиным, как это повлияет на взаимоотношения двух стран, когда новое оружие может появиться у других стран. Главным выводом становится решение применить атомную бомбу для быстрейшего завершения войны, целью должен стать один из городов, никаких предупреждений о новом оружии не должно быть, чтобы произведенный им эффект потряс как противников, так и союзников (14908).</w:t>
      </w:r>
    </w:p>
    <w:p w14:paraId="30E84772" w14:textId="77777777" w:rsidR="00F37105" w:rsidRPr="00925F26" w:rsidRDefault="00F37105" w:rsidP="00925F26">
      <w:pPr>
        <w:jc w:val="both"/>
        <w:rPr>
          <w:color w:val="000000" w:themeColor="text1"/>
          <w:sz w:val="16"/>
          <w:szCs w:val="16"/>
        </w:rPr>
      </w:pPr>
    </w:p>
    <w:p w14:paraId="5A09BBA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271BED4" w14:textId="77777777" w:rsidR="00665165" w:rsidRPr="00925F26" w:rsidRDefault="00665165" w:rsidP="00925F26">
      <w:pPr>
        <w:autoSpaceDE w:val="0"/>
        <w:autoSpaceDN w:val="0"/>
        <w:adjustRightInd w:val="0"/>
        <w:jc w:val="both"/>
        <w:rPr>
          <w:iCs/>
          <w:color w:val="000000" w:themeColor="text1"/>
          <w:sz w:val="16"/>
          <w:szCs w:val="16"/>
        </w:rPr>
      </w:pPr>
    </w:p>
    <w:p w14:paraId="20B2A2D5" w14:textId="77777777" w:rsidR="00665165" w:rsidRPr="00925F26" w:rsidRDefault="00665165"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31 мая 1945 норвежское правительство вернулось из изгнания в Осло (4962).</w:t>
      </w:r>
    </w:p>
    <w:p w14:paraId="001D9ABA" w14:textId="77777777" w:rsidR="00665165" w:rsidRPr="00925F26" w:rsidRDefault="00665165" w:rsidP="00925F26">
      <w:pPr>
        <w:tabs>
          <w:tab w:val="left" w:pos="11199"/>
        </w:tabs>
        <w:autoSpaceDE w:val="0"/>
        <w:autoSpaceDN w:val="0"/>
        <w:adjustRightInd w:val="0"/>
        <w:jc w:val="both"/>
        <w:rPr>
          <w:color w:val="000000" w:themeColor="text1"/>
          <w:sz w:val="16"/>
          <w:szCs w:val="16"/>
        </w:rPr>
      </w:pPr>
    </w:p>
    <w:p w14:paraId="0AC580C7" w14:textId="77777777" w:rsidR="00665165" w:rsidRPr="00925F26" w:rsidRDefault="00665165"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The Interim Committee on S-1 (a code term for the Manhattan Project) advised the President on May 31 that the bomb should be used against Japan and that a demonstration explosion would not be sufficient. Reasons included the possibility that the bomb would not work, that the Japanese might think the demonstration was faked, and that there was no way to make the demonstration convincing enough to end the war (1287).</w:t>
      </w:r>
    </w:p>
    <w:p w14:paraId="55EA1667" w14:textId="77777777" w:rsidR="00665165" w:rsidRPr="00925F26" w:rsidRDefault="00665165" w:rsidP="00925F26">
      <w:pPr>
        <w:autoSpaceDE w:val="0"/>
        <w:autoSpaceDN w:val="0"/>
        <w:adjustRightInd w:val="0"/>
        <w:jc w:val="both"/>
        <w:rPr>
          <w:color w:val="000000" w:themeColor="text1"/>
          <w:sz w:val="16"/>
          <w:szCs w:val="16"/>
          <w:lang w:val="en-US"/>
        </w:rPr>
      </w:pPr>
    </w:p>
    <w:p w14:paraId="106A59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 мая 1945 комитет по Манхэттенскому проекту рекомендовал президенту применить атомную бомбу по Японии и сообщил, что демонстрации окажется недостаточным (1287).</w:t>
      </w:r>
    </w:p>
    <w:p w14:paraId="5B07E4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это был специальный комитет при новом Президенте Г.Трумэне, который принял решение о применении бомбы без предупреждений, чтобы произвести эффект как на противника, так и на союзников (3263,284).</w:t>
      </w:r>
    </w:p>
    <w:p w14:paraId="58D35748" w14:textId="77777777" w:rsidR="00665165" w:rsidRPr="00925F26" w:rsidRDefault="00665165" w:rsidP="00925F26">
      <w:pPr>
        <w:autoSpaceDE w:val="0"/>
        <w:autoSpaceDN w:val="0"/>
        <w:adjustRightInd w:val="0"/>
        <w:jc w:val="both"/>
        <w:rPr>
          <w:color w:val="000000" w:themeColor="text1"/>
          <w:sz w:val="16"/>
          <w:szCs w:val="16"/>
        </w:rPr>
      </w:pPr>
    </w:p>
    <w:p w14:paraId="2740CB4E" w14:textId="77777777" w:rsidR="00247854" w:rsidRPr="00925F26" w:rsidRDefault="00247854" w:rsidP="00925F26">
      <w:pPr>
        <w:jc w:val="both"/>
        <w:rPr>
          <w:color w:val="000000" w:themeColor="text1"/>
          <w:sz w:val="16"/>
          <w:szCs w:val="16"/>
        </w:rPr>
      </w:pPr>
      <w:r w:rsidRPr="00925F26">
        <w:rPr>
          <w:color w:val="000000" w:themeColor="text1"/>
          <w:sz w:val="16"/>
          <w:szCs w:val="16"/>
        </w:rPr>
        <w:t>31 мая 1945 основана компания Middle East Airlines. Он начнет полеты в январе 1946 года (20371).</w:t>
      </w:r>
    </w:p>
    <w:p w14:paraId="7BC44068" w14:textId="77777777" w:rsidR="00247854" w:rsidRPr="00925F26" w:rsidRDefault="00247854" w:rsidP="00925F26">
      <w:pPr>
        <w:jc w:val="both"/>
        <w:rPr>
          <w:color w:val="000000" w:themeColor="text1"/>
          <w:sz w:val="16"/>
          <w:szCs w:val="16"/>
        </w:rPr>
      </w:pPr>
    </w:p>
    <w:p w14:paraId="3EC840A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364CB77" w14:textId="77777777" w:rsidR="00665165" w:rsidRPr="00925F26" w:rsidRDefault="00665165" w:rsidP="00925F26">
      <w:pPr>
        <w:autoSpaceDE w:val="0"/>
        <w:autoSpaceDN w:val="0"/>
        <w:adjustRightInd w:val="0"/>
        <w:jc w:val="both"/>
        <w:rPr>
          <w:iCs/>
          <w:color w:val="000000" w:themeColor="text1"/>
          <w:sz w:val="16"/>
          <w:szCs w:val="16"/>
        </w:rPr>
      </w:pPr>
    </w:p>
    <w:p w14:paraId="6CDE5F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последней декаде мая 1945 было решено объединить разрозненные группы советских специалистов из различных ведомств (от НКАП были В.Ф.Болховитинов, Б.Е.Черток, А.Н.Исаев, Ю.А.Победоносцев, от радиотехников - М.С.Рязанский, Е.Я.Богуславский, В.А.Говядинов, Н.М.Белов, Б.Ушаков и др.), направленных для ознакомления с ракетной техникой и подготовиться к приему значительного числа специалистов, направляемых через ЦК КПСС. Потом создали СТК - советскую техническую комиссию (1142).</w:t>
      </w:r>
    </w:p>
    <w:p w14:paraId="2A09930B" w14:textId="77777777" w:rsidR="00665165" w:rsidRPr="00925F26" w:rsidRDefault="00665165" w:rsidP="00925F26">
      <w:pPr>
        <w:autoSpaceDE w:val="0"/>
        <w:autoSpaceDN w:val="0"/>
        <w:adjustRightInd w:val="0"/>
        <w:jc w:val="both"/>
        <w:rPr>
          <w:color w:val="000000" w:themeColor="text1"/>
          <w:sz w:val="16"/>
          <w:szCs w:val="16"/>
        </w:rPr>
      </w:pPr>
    </w:p>
    <w:p w14:paraId="4C5AD826"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4230AC3" w14:textId="77777777" w:rsidR="00665165" w:rsidRPr="00925F26" w:rsidRDefault="00665165" w:rsidP="00925F26">
      <w:pPr>
        <w:autoSpaceDE w:val="0"/>
        <w:autoSpaceDN w:val="0"/>
        <w:adjustRightInd w:val="0"/>
        <w:jc w:val="both"/>
        <w:rPr>
          <w:iCs/>
          <w:color w:val="000000" w:themeColor="text1"/>
          <w:sz w:val="16"/>
          <w:szCs w:val="16"/>
        </w:rPr>
      </w:pPr>
    </w:p>
    <w:p w14:paraId="5F60B6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 концу мая 1945 был изготовлен первый Ил-16 и в июне приступили к летным испытаниям. Вследствие того, что мотор М-43 был не доведен ГК С.В.И. дальнейшее испытание Ил-16 прекратил и рекомендацию о запуске его в серию снял (2490).</w:t>
      </w:r>
    </w:p>
    <w:p w14:paraId="1C3F860A" w14:textId="77777777" w:rsidR="00665165" w:rsidRPr="00925F26" w:rsidRDefault="00665165" w:rsidP="00925F26">
      <w:pPr>
        <w:autoSpaceDE w:val="0"/>
        <w:autoSpaceDN w:val="0"/>
        <w:adjustRightInd w:val="0"/>
        <w:jc w:val="both"/>
        <w:rPr>
          <w:color w:val="000000" w:themeColor="text1"/>
          <w:sz w:val="16"/>
          <w:szCs w:val="16"/>
        </w:rPr>
      </w:pPr>
    </w:p>
    <w:p w14:paraId="4C05F9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конца мая месяца 1945 на первом экземпляре Ил-16 удалось вы</w:t>
      </w:r>
      <w:r w:rsidRPr="00925F26">
        <w:rPr>
          <w:color w:val="000000" w:themeColor="text1"/>
          <w:sz w:val="16"/>
          <w:szCs w:val="16"/>
        </w:rPr>
        <w:softHyphen/>
        <w:t>полнить еще один полет, после чего приняли решение пере</w:t>
      </w:r>
      <w:r w:rsidRPr="00925F26">
        <w:rPr>
          <w:color w:val="000000" w:themeColor="text1"/>
          <w:sz w:val="16"/>
          <w:szCs w:val="16"/>
        </w:rPr>
        <w:softHyphen/>
        <w:t>дать одну машину на завод № 240 для доводки винтомоторной группы и продолжения летных испытаний, которые из-за не-доведенности мотора АМ-43 сильно затянулись.</w:t>
      </w:r>
    </w:p>
    <w:p w14:paraId="1C3197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Второй экземпляр перед испытаниями подвергся сущест</w:t>
      </w:r>
      <w:r w:rsidRPr="00925F26">
        <w:rPr>
          <w:color w:val="000000" w:themeColor="text1"/>
          <w:sz w:val="16"/>
          <w:szCs w:val="16"/>
        </w:rPr>
        <w:softHyphen/>
        <w:t>венной переделке. Хвостовую часть фюзеляжа удлинили на 50 см. Увеличили высоту и площадь хвостового оперения. На руле направления поставили триммер. Одновременно по реко</w:t>
      </w:r>
      <w:r w:rsidRPr="00925F26">
        <w:rPr>
          <w:color w:val="000000" w:themeColor="text1"/>
          <w:sz w:val="16"/>
          <w:szCs w:val="16"/>
        </w:rPr>
        <w:softHyphen/>
        <w:t>мендации ЦИАМ улучшили систему амортизации мотора. Эти мероприятия повысили продольную устойчивость самолета и уменьшили тряску в полете. Однако мотор работал ненадежно.</w:t>
      </w:r>
    </w:p>
    <w:p w14:paraId="358C54D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постоянные проблемы с мотором, испытатель</w:t>
      </w:r>
      <w:r w:rsidRPr="00925F26">
        <w:rPr>
          <w:color w:val="000000" w:themeColor="text1"/>
          <w:sz w:val="16"/>
          <w:szCs w:val="16"/>
        </w:rPr>
        <w:softHyphen/>
        <w:t>ной бригаде все же удалось снять почти все основные летные данные Ил-16. При полетном весе 5980 кг он показал скорость у земли 525 км/ч, на высоте 3000 м — 575 км/ч. Дальность полета на высоте 500 м на скорости 373 км/ч с бомбовой нагрузкой 400 кг и запасом топлива 535 кг составила 700 км. Время подъе</w:t>
      </w:r>
      <w:r w:rsidRPr="00925F26">
        <w:rPr>
          <w:color w:val="000000" w:themeColor="text1"/>
          <w:sz w:val="16"/>
          <w:szCs w:val="16"/>
        </w:rPr>
        <w:softHyphen/>
        <w:t>ма на высоту 4000 м — 6,0 мин., а на высоту 5000 м — 8,5 мин.; потолок — 8500 м; посадочная скорость — 140 км/ч.</w:t>
      </w:r>
    </w:p>
    <w:p w14:paraId="63A0C20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Еще в период испытаний распоряжением начальника 10-го главного управления НКАП Н.И. Кузнецова на заводе № 30 начали строить малую серию Ил-16 из 25 экземпляров. Срок завершения этой работы не устанавливался. К 1 октября 1945 г. один серийный самолет был построен и находился на летно-испытательной станции завода, два пребывали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w:t>
      </w:r>
      <w:r w:rsidRPr="00925F26">
        <w:rPr>
          <w:color w:val="000000" w:themeColor="text1"/>
          <w:sz w:val="16"/>
          <w:szCs w:val="16"/>
        </w:rPr>
        <w:softHyphen/>
        <w:t>вять — находились в стадии завершения (11474,532).</w:t>
      </w:r>
    </w:p>
    <w:p w14:paraId="294090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CF98D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конце мая 1945 Глав</w:t>
      </w:r>
      <w:r w:rsidRPr="00925F26">
        <w:rPr>
          <w:color w:val="000000" w:themeColor="text1"/>
          <w:sz w:val="16"/>
          <w:szCs w:val="16"/>
        </w:rPr>
        <w:softHyphen/>
        <w:t>ный инженер ВВС КА генерал-полковник А.К. Репин, давая Новикову пояснения по вопросу запуска в производство Ил-16, обратил внимание командующего на следующие обстоятельства, сопутствующие постройке Ил-16: «...ЛТД &lt;...&gt; являются проектными. Эскиз</w:t>
      </w:r>
      <w:r w:rsidRPr="00925F26">
        <w:rPr>
          <w:color w:val="000000" w:themeColor="text1"/>
          <w:sz w:val="16"/>
          <w:szCs w:val="16"/>
        </w:rPr>
        <w:softHyphen/>
        <w:t>ный проект и макет самолета на заключение в ГК НИИ ВВС не представлялся, самолет строится без ТТТ. При по</w:t>
      </w:r>
      <w:r w:rsidRPr="00925F26">
        <w:rPr>
          <w:color w:val="000000" w:themeColor="text1"/>
          <w:sz w:val="16"/>
          <w:szCs w:val="16"/>
        </w:rPr>
        <w:softHyphen/>
        <w:t>стройке самолета не учтены выявленные при войсковых испы</w:t>
      </w:r>
      <w:r w:rsidRPr="00925F26">
        <w:rPr>
          <w:color w:val="000000" w:themeColor="text1"/>
          <w:sz w:val="16"/>
          <w:szCs w:val="16"/>
        </w:rPr>
        <w:softHyphen/>
        <w:t>таниях конструктивные недостатки однотипного самолета Ил-10. Основными из этих оставшихся на самолете Ил-16 яв</w:t>
      </w:r>
      <w:r w:rsidRPr="00925F26">
        <w:rPr>
          <w:color w:val="000000" w:themeColor="text1"/>
          <w:sz w:val="16"/>
          <w:szCs w:val="16"/>
        </w:rPr>
        <w:softHyphen/>
        <w:t>ляются: расчет прочности самолета по классу «Б» (ограничен</w:t>
      </w:r>
      <w:r w:rsidRPr="00925F26">
        <w:rPr>
          <w:color w:val="000000" w:themeColor="text1"/>
          <w:sz w:val="16"/>
          <w:szCs w:val="16"/>
        </w:rPr>
        <w:softHyphen/>
        <w:t>но маневренные самолеты), в то время как он должен быть от</w:t>
      </w:r>
      <w:r w:rsidRPr="00925F26">
        <w:rPr>
          <w:color w:val="000000" w:themeColor="text1"/>
          <w:sz w:val="16"/>
          <w:szCs w:val="16"/>
        </w:rPr>
        <w:softHyphen/>
        <w:t>несен к классу «А» (маневренные самолеты); ослабление бро</w:t>
      </w:r>
      <w:r w:rsidRPr="00925F26">
        <w:rPr>
          <w:color w:val="000000" w:themeColor="text1"/>
          <w:sz w:val="16"/>
          <w:szCs w:val="16"/>
        </w:rPr>
        <w:softHyphen/>
        <w:t>нирования по сравнению с самолетом Ил-10; ...сложная и громоздкая система подвески наружных бомб; ...отсутствие системы нейтральных газов и пылефильтров».</w:t>
      </w:r>
    </w:p>
    <w:p w14:paraId="7CC8F56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Здесь уместно напомнить, что подобный «маневр» — по</w:t>
      </w:r>
      <w:r w:rsidRPr="00925F26">
        <w:rPr>
          <w:color w:val="000000" w:themeColor="text1"/>
          <w:sz w:val="16"/>
          <w:szCs w:val="16"/>
        </w:rPr>
        <w:softHyphen/>
        <w:t>стройка опытного боевого самолета без согласования с ВВС требований к нему и проекта С.В. Ильюшин удачно провернул с Ил-10. Что из этого получилось, уже было известно.</w:t>
      </w:r>
    </w:p>
    <w:p w14:paraId="447B701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ВВС маршал А.А. Новиков в своем ответе вежливо пояснил Главному конструктору, что «до запуска в се</w:t>
      </w:r>
      <w:r w:rsidRPr="00925F26">
        <w:rPr>
          <w:color w:val="000000" w:themeColor="text1"/>
          <w:sz w:val="16"/>
          <w:szCs w:val="16"/>
        </w:rPr>
        <w:softHyphen/>
        <w:t>рию Ил-16 с М-43 должен пройти госиспытания».</w:t>
      </w:r>
    </w:p>
    <w:p w14:paraId="4E8836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 Ильюшин был вынужден официально снять свое пред</w:t>
      </w:r>
      <w:r w:rsidRPr="00925F26">
        <w:rPr>
          <w:color w:val="000000" w:themeColor="text1"/>
          <w:sz w:val="16"/>
          <w:szCs w:val="16"/>
        </w:rPr>
        <w:softHyphen/>
        <w:t>ложение о запуске в серийное производство Ил-16. В конечном итоге мотор АМ-43 до массового производства так и не довели, поэтому летом 1946 г. работы по Ил-16 прекратили. Судьба построенных и недостроенных самолетов этого типа неизвестна. По всей видимости, они все были списаны на разделку (11474,534).</w:t>
      </w:r>
    </w:p>
    <w:p w14:paraId="5A9977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C8975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В конце мая 1945 закончились государственные испытания второго Пе-8ОН в ГК НИИ ВВС, которые проходили с марта. Самолет испытывал экипаж военных летчиков-испытателей во главе с ведущим летчиком-испытателем </w:t>
      </w:r>
      <w:proofErr w:type="gramStart"/>
      <w:r w:rsidRPr="00925F26">
        <w:rPr>
          <w:color w:val="000000" w:themeColor="text1"/>
          <w:sz w:val="16"/>
          <w:szCs w:val="16"/>
        </w:rPr>
        <w:t>В.И</w:t>
      </w:r>
      <w:proofErr w:type="gramEnd"/>
      <w:r w:rsidRPr="00925F26">
        <w:rPr>
          <w:color w:val="000000" w:themeColor="text1"/>
          <w:sz w:val="16"/>
          <w:szCs w:val="16"/>
        </w:rPr>
        <w:t xml:space="preserve"> 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0F5689" w:rsidRPr="00925F26" w14:paraId="006BF6B2" w14:textId="77777777">
        <w:tc>
          <w:tcPr>
            <w:tcW w:w="4261" w:type="dxa"/>
          </w:tcPr>
          <w:p w14:paraId="506555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Масса пустого самолета, кг</w:t>
            </w:r>
          </w:p>
        </w:tc>
        <w:tc>
          <w:tcPr>
            <w:tcW w:w="4261" w:type="dxa"/>
          </w:tcPr>
          <w:p w14:paraId="5A9E27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r>
      <w:tr w:rsidR="000F5689" w:rsidRPr="00925F26" w14:paraId="23552E73" w14:textId="77777777">
        <w:tc>
          <w:tcPr>
            <w:tcW w:w="4261" w:type="dxa"/>
          </w:tcPr>
          <w:p w14:paraId="48E3C0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Нормальная полетная масса, кг</w:t>
            </w:r>
          </w:p>
        </w:tc>
        <w:tc>
          <w:tcPr>
            <w:tcW w:w="4261" w:type="dxa"/>
          </w:tcPr>
          <w:p w14:paraId="646F77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r>
      <w:tr w:rsidR="000F5689" w:rsidRPr="00925F26" w14:paraId="301749CD" w14:textId="77777777">
        <w:tc>
          <w:tcPr>
            <w:tcW w:w="4261" w:type="dxa"/>
          </w:tcPr>
          <w:p w14:paraId="15E3C6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Перегрузочная масса, кг</w:t>
            </w:r>
          </w:p>
        </w:tc>
        <w:tc>
          <w:tcPr>
            <w:tcW w:w="4261" w:type="dxa"/>
          </w:tcPr>
          <w:p w14:paraId="5E3847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r>
      <w:tr w:rsidR="000F5689" w:rsidRPr="00925F26" w14:paraId="1168AD04" w14:textId="77777777">
        <w:tc>
          <w:tcPr>
            <w:tcW w:w="4261" w:type="dxa"/>
          </w:tcPr>
          <w:p w14:paraId="087717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топливных баков, л</w:t>
            </w:r>
          </w:p>
        </w:tc>
        <w:tc>
          <w:tcPr>
            <w:tcW w:w="4261" w:type="dxa"/>
          </w:tcPr>
          <w:p w14:paraId="5BBD8A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r>
      <w:tr w:rsidR="000F5689" w:rsidRPr="00925F26" w14:paraId="77E88158" w14:textId="77777777">
        <w:tc>
          <w:tcPr>
            <w:tcW w:w="4261" w:type="dxa"/>
          </w:tcPr>
          <w:p w14:paraId="77C23F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 чел.</w:t>
            </w:r>
          </w:p>
        </w:tc>
        <w:tc>
          <w:tcPr>
            <w:tcW w:w="4261" w:type="dxa"/>
          </w:tcPr>
          <w:p w14:paraId="720D00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r>
      <w:tr w:rsidR="000F5689" w:rsidRPr="00925F26" w14:paraId="2C9E861B" w14:textId="77777777">
        <w:tc>
          <w:tcPr>
            <w:tcW w:w="4261" w:type="dxa"/>
          </w:tcPr>
          <w:p w14:paraId="2DB70E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км/ч у земли</w:t>
            </w:r>
          </w:p>
        </w:tc>
        <w:tc>
          <w:tcPr>
            <w:tcW w:w="4261" w:type="dxa"/>
          </w:tcPr>
          <w:p w14:paraId="62BAA0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r>
      <w:tr w:rsidR="000F5689" w:rsidRPr="00925F26" w14:paraId="6C05883C" w14:textId="77777777">
        <w:tc>
          <w:tcPr>
            <w:tcW w:w="4261" w:type="dxa"/>
          </w:tcPr>
          <w:p w14:paraId="588B8B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6000 м</w:t>
            </w:r>
          </w:p>
        </w:tc>
        <w:tc>
          <w:tcPr>
            <w:tcW w:w="4261" w:type="dxa"/>
          </w:tcPr>
          <w:p w14:paraId="7C6FE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r>
      <w:tr w:rsidR="000F5689" w:rsidRPr="00925F26" w14:paraId="2A2E17BD" w14:textId="77777777">
        <w:tc>
          <w:tcPr>
            <w:tcW w:w="4261" w:type="dxa"/>
          </w:tcPr>
          <w:p w14:paraId="2B485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4261" w:type="dxa"/>
          </w:tcPr>
          <w:p w14:paraId="1155F8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r>
      <w:tr w:rsidR="000F5689" w:rsidRPr="00925F26" w14:paraId="28390C57" w14:textId="77777777">
        <w:tc>
          <w:tcPr>
            <w:tcW w:w="4261" w:type="dxa"/>
          </w:tcPr>
          <w:p w14:paraId="45517C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Бремя подъема, мин на высоту 5000м</w:t>
            </w:r>
          </w:p>
        </w:tc>
        <w:tc>
          <w:tcPr>
            <w:tcW w:w="4261" w:type="dxa"/>
          </w:tcPr>
          <w:p w14:paraId="62245E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19,2</w:t>
            </w:r>
          </w:p>
        </w:tc>
      </w:tr>
      <w:tr w:rsidR="000F5689" w:rsidRPr="00925F26" w14:paraId="38063E2A" w14:textId="77777777">
        <w:tc>
          <w:tcPr>
            <w:tcW w:w="4261" w:type="dxa"/>
          </w:tcPr>
          <w:p w14:paraId="2F9B23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 км</w:t>
            </w:r>
          </w:p>
        </w:tc>
        <w:tc>
          <w:tcPr>
            <w:tcW w:w="4261" w:type="dxa"/>
          </w:tcPr>
          <w:p w14:paraId="6DAD9A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r>
      <w:tr w:rsidR="000F5689" w:rsidRPr="00925F26" w14:paraId="0729ED72" w14:textId="77777777">
        <w:tc>
          <w:tcPr>
            <w:tcW w:w="4261" w:type="dxa"/>
          </w:tcPr>
          <w:p w14:paraId="628BAD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м</w:t>
            </w:r>
          </w:p>
        </w:tc>
        <w:tc>
          <w:tcPr>
            <w:tcW w:w="4261" w:type="dxa"/>
          </w:tcPr>
          <w:p w14:paraId="23802C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r>
      <w:tr w:rsidR="000F5689" w:rsidRPr="00925F26" w14:paraId="397D089B" w14:textId="77777777">
        <w:tc>
          <w:tcPr>
            <w:tcW w:w="4261" w:type="dxa"/>
          </w:tcPr>
          <w:p w14:paraId="6E86E0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пробега, м</w:t>
            </w:r>
          </w:p>
        </w:tc>
        <w:tc>
          <w:tcPr>
            <w:tcW w:w="4261" w:type="dxa"/>
          </w:tcPr>
          <w:p w14:paraId="47699B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r>
      <w:tr w:rsidR="000F5689" w:rsidRPr="00925F26" w14:paraId="7064E9B0" w14:textId="77777777">
        <w:tc>
          <w:tcPr>
            <w:tcW w:w="4261" w:type="dxa"/>
          </w:tcPr>
          <w:p w14:paraId="0CBFF1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 км/ч</w:t>
            </w:r>
          </w:p>
        </w:tc>
        <w:tc>
          <w:tcPr>
            <w:tcW w:w="4261" w:type="dxa"/>
          </w:tcPr>
          <w:p w14:paraId="3AAF41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r>
    </w:tbl>
    <w:p w14:paraId="6A65EC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 была получена по результатам контрольного полета для полетной массы 35500 кг, при массе топлива 9150 кг.</w:t>
      </w:r>
    </w:p>
    <w:p w14:paraId="633132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Получить на испытаниях максимальную дальность не удалось из-за выбрасывания масла в полете через дренаж.</w:t>
      </w:r>
    </w:p>
    <w:p w14:paraId="71615D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3F5B1C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 Что стало в дальнейшем с этими машинами, сейчас, по прошествии почти 60-ти лет, установить доподлинно трудно. Главный конструктор И.Ф.Незваль утверждает, что о дальнейшей судьбе машин ему ничего не известно. В то же время в годовом отчете ОКБ при заводе №22 за 1945 год в разделе "Модификация самолета Пе-8 с моторами АЧ-ЗОБ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 Н. Туполева по проекту Б-4 (Ту-4), хотя все остальные работы с Незваля во втором полугодии были сняты (7685).</w:t>
      </w:r>
    </w:p>
    <w:p w14:paraId="25685C56" w14:textId="77777777" w:rsidR="00665165" w:rsidRPr="00925F26" w:rsidRDefault="00665165" w:rsidP="00925F26">
      <w:pPr>
        <w:autoSpaceDE w:val="0"/>
        <w:autoSpaceDN w:val="0"/>
        <w:adjustRightInd w:val="0"/>
        <w:jc w:val="both"/>
        <w:rPr>
          <w:color w:val="000000" w:themeColor="text1"/>
          <w:sz w:val="16"/>
          <w:szCs w:val="16"/>
        </w:rPr>
      </w:pPr>
    </w:p>
    <w:p w14:paraId="2FAB25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мая 1945 закончились государственные испытания второго Пе-8ОН в ГК НИИ ВВС, которые проходили с марта или апреля 1945.</w:t>
      </w:r>
    </w:p>
    <w:p w14:paraId="53C142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383036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ВВС гма А.А.Новиков утвердил 5 июня 1945</w:t>
      </w:r>
    </w:p>
    <w:p w14:paraId="2CB876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3BAD64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05E315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73B1D3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080894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4C248B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30F5FF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6859C2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56755F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6FDA02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9B033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17AA9A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07047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5238C1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66754F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3D838B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7A8966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43532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07D954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377966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4754E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1FB0AD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5809A4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04F351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058709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2892C3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215BFE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6145FD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550E88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2992D3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Шиманову</w:t>
      </w:r>
    </w:p>
    <w:p w14:paraId="00D021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4B9155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2176DA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67A1F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4AA480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23F4B8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7E4C9F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5C854E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а) плохая работа РПД (не обеспечивается поддержка наддува). Заменено 6 РПД по различным причинам</w:t>
      </w:r>
    </w:p>
    <w:p w14:paraId="011634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4BF745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682873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72F162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314BE0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70080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7959DB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074257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1724CB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79AF52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0956DF4A" w14:textId="77777777">
        <w:tc>
          <w:tcPr>
            <w:tcW w:w="4219" w:type="dxa"/>
            <w:tcBorders>
              <w:top w:val="single" w:sz="12" w:space="0" w:color="auto"/>
            </w:tcBorders>
          </w:tcPr>
          <w:p w14:paraId="55F9326D" w14:textId="77777777" w:rsidR="00665165" w:rsidRPr="00925F26" w:rsidRDefault="00665165"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541066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14495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5CC4EA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610B1778" w14:textId="77777777">
        <w:tc>
          <w:tcPr>
            <w:tcW w:w="4219" w:type="dxa"/>
          </w:tcPr>
          <w:p w14:paraId="64C0D1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54340C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6BDDDF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39E6A9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07F3317C" w14:textId="77777777">
        <w:tc>
          <w:tcPr>
            <w:tcW w:w="4219" w:type="dxa"/>
          </w:tcPr>
          <w:p w14:paraId="019045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16D7DE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728E3D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55DFDB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1A41BB64" w14:textId="77777777">
        <w:tc>
          <w:tcPr>
            <w:tcW w:w="4219" w:type="dxa"/>
          </w:tcPr>
          <w:p w14:paraId="17BE1F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73DC15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5D2CDF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1D95E3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02506D57" w14:textId="77777777">
        <w:tc>
          <w:tcPr>
            <w:tcW w:w="4219" w:type="dxa"/>
          </w:tcPr>
          <w:p w14:paraId="66BE9E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39C257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6FAF2F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2EC623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3B7DB4C1" w14:textId="77777777">
        <w:tc>
          <w:tcPr>
            <w:tcW w:w="4219" w:type="dxa"/>
          </w:tcPr>
          <w:p w14:paraId="627F64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4C3B3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1790BC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269BA1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15DE82F2" w14:textId="77777777">
        <w:tc>
          <w:tcPr>
            <w:tcW w:w="4219" w:type="dxa"/>
          </w:tcPr>
          <w:p w14:paraId="608C2B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7C7A24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74C6F8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10408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62FA6BFD" w14:textId="77777777">
        <w:tc>
          <w:tcPr>
            <w:tcW w:w="4219" w:type="dxa"/>
          </w:tcPr>
          <w:p w14:paraId="14523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31432F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7977CC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03EAD5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5D67C4AC" w14:textId="77777777">
        <w:tc>
          <w:tcPr>
            <w:tcW w:w="4219" w:type="dxa"/>
          </w:tcPr>
          <w:p w14:paraId="3C0DC6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7795D2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49CADE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06D2BB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0F5B960D" w14:textId="77777777">
        <w:tc>
          <w:tcPr>
            <w:tcW w:w="4219" w:type="dxa"/>
          </w:tcPr>
          <w:p w14:paraId="70F0DC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634A77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3ADB09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7FF5AF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19AAFCDF" w14:textId="77777777">
        <w:tc>
          <w:tcPr>
            <w:tcW w:w="4219" w:type="dxa"/>
          </w:tcPr>
          <w:p w14:paraId="479839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35E7A5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12B9EC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01B862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0C69E7CC" w14:textId="77777777">
        <w:tc>
          <w:tcPr>
            <w:tcW w:w="4219" w:type="dxa"/>
          </w:tcPr>
          <w:p w14:paraId="4FB3AB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3AC5C4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500C8A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0C3947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55C2C1D3" w14:textId="77777777">
        <w:tc>
          <w:tcPr>
            <w:tcW w:w="4219" w:type="dxa"/>
          </w:tcPr>
          <w:p w14:paraId="55EE42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30853C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0277F4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4EDB7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79BC7BB9" w14:textId="77777777">
        <w:tc>
          <w:tcPr>
            <w:tcW w:w="4219" w:type="dxa"/>
          </w:tcPr>
          <w:p w14:paraId="2B92B1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35A28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36CA94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14AE31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497C45D5" w14:textId="77777777">
        <w:tc>
          <w:tcPr>
            <w:tcW w:w="4219" w:type="dxa"/>
          </w:tcPr>
          <w:p w14:paraId="4EE353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01F8FA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47B373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4A58BD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0891F302" w14:textId="77777777">
        <w:tc>
          <w:tcPr>
            <w:tcW w:w="4219" w:type="dxa"/>
          </w:tcPr>
          <w:p w14:paraId="3F8FD0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0B3C9D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2F853D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258C0B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2BD6AD90" w14:textId="77777777">
        <w:tc>
          <w:tcPr>
            <w:tcW w:w="4219" w:type="dxa"/>
          </w:tcPr>
          <w:p w14:paraId="622447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24C6A7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742104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31C69F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776CE600" w14:textId="77777777">
        <w:tc>
          <w:tcPr>
            <w:tcW w:w="4219" w:type="dxa"/>
          </w:tcPr>
          <w:p w14:paraId="65CD4A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0F9F8F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775C57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2C8B4F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26014493" w14:textId="77777777">
        <w:tc>
          <w:tcPr>
            <w:tcW w:w="4219" w:type="dxa"/>
            <w:tcBorders>
              <w:bottom w:val="single" w:sz="12" w:space="0" w:color="auto"/>
            </w:tcBorders>
          </w:tcPr>
          <w:p w14:paraId="27C08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20615B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51F174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371119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19B07C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22B6E7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5DCC7B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8BD14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58B984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558DC0C7" w14:textId="77777777">
        <w:tc>
          <w:tcPr>
            <w:tcW w:w="675" w:type="dxa"/>
            <w:tcBorders>
              <w:top w:val="single" w:sz="12" w:space="0" w:color="auto"/>
            </w:tcBorders>
          </w:tcPr>
          <w:p w14:paraId="6026F9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5246C9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00A3B2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230019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55EF39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0297F9C7" w14:textId="77777777">
        <w:tc>
          <w:tcPr>
            <w:tcW w:w="675" w:type="dxa"/>
          </w:tcPr>
          <w:p w14:paraId="3A2970B4" w14:textId="77777777" w:rsidR="00665165" w:rsidRPr="00925F26" w:rsidRDefault="00665165" w:rsidP="00925F26">
            <w:pPr>
              <w:autoSpaceDE w:val="0"/>
              <w:autoSpaceDN w:val="0"/>
              <w:adjustRightInd w:val="0"/>
              <w:jc w:val="both"/>
              <w:rPr>
                <w:color w:val="000000" w:themeColor="text1"/>
                <w:sz w:val="16"/>
                <w:szCs w:val="16"/>
              </w:rPr>
            </w:pPr>
          </w:p>
        </w:tc>
        <w:tc>
          <w:tcPr>
            <w:tcW w:w="993" w:type="dxa"/>
          </w:tcPr>
          <w:p w14:paraId="62D57E22"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3354C8E7"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56AC04A2"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203A95F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4B5689C" w14:textId="77777777">
        <w:tc>
          <w:tcPr>
            <w:tcW w:w="675" w:type="dxa"/>
          </w:tcPr>
          <w:p w14:paraId="1B5600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4D70BE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79494E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C5482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21221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025E0DF6" w14:textId="77777777">
        <w:tc>
          <w:tcPr>
            <w:tcW w:w="675" w:type="dxa"/>
          </w:tcPr>
          <w:p w14:paraId="2E7AFC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3F3077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417351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011E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4B1F14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4AEB3CC4" w14:textId="77777777">
        <w:tc>
          <w:tcPr>
            <w:tcW w:w="675" w:type="dxa"/>
          </w:tcPr>
          <w:p w14:paraId="6D4A38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535393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485EA4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1DC34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27DFAC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5F4128F0" w14:textId="77777777">
        <w:tc>
          <w:tcPr>
            <w:tcW w:w="675" w:type="dxa"/>
          </w:tcPr>
          <w:p w14:paraId="3D8717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028E09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1E0F51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4CA96D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1AE1B0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3B5C45D6" w14:textId="77777777">
        <w:tc>
          <w:tcPr>
            <w:tcW w:w="675" w:type="dxa"/>
          </w:tcPr>
          <w:p w14:paraId="61CC57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7757F5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045FD3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6B510D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1F91E7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32553A2E" w14:textId="77777777">
        <w:tc>
          <w:tcPr>
            <w:tcW w:w="675" w:type="dxa"/>
          </w:tcPr>
          <w:p w14:paraId="5DEFF7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59FED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2105FB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DA03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062AC8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42A1AEB9" w14:textId="77777777">
        <w:tc>
          <w:tcPr>
            <w:tcW w:w="675" w:type="dxa"/>
          </w:tcPr>
          <w:p w14:paraId="0AA5B8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12A3CC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30E59D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3DEE5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490E3F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2F43E832" w14:textId="77777777">
        <w:tc>
          <w:tcPr>
            <w:tcW w:w="675" w:type="dxa"/>
          </w:tcPr>
          <w:p w14:paraId="4FB8C4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7E4ACB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166B60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305E2B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27BD96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2DA12077" w14:textId="77777777">
        <w:tc>
          <w:tcPr>
            <w:tcW w:w="675" w:type="dxa"/>
            <w:tcBorders>
              <w:bottom w:val="single" w:sz="12" w:space="0" w:color="auto"/>
            </w:tcBorders>
          </w:tcPr>
          <w:p w14:paraId="5B2FA0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4D2877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2478FC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506CB4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755A8B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196739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5096456E" w14:textId="77777777">
        <w:tc>
          <w:tcPr>
            <w:tcW w:w="1868" w:type="dxa"/>
            <w:tcBorders>
              <w:top w:val="single" w:sz="12" w:space="0" w:color="auto"/>
            </w:tcBorders>
          </w:tcPr>
          <w:p w14:paraId="2809DC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1D6F23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4BC25B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7A4672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7BA90F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1FD734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1DF4BA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0C0B55F7" w14:textId="77777777">
        <w:tc>
          <w:tcPr>
            <w:tcW w:w="1868" w:type="dxa"/>
          </w:tcPr>
          <w:p w14:paraId="2FF26F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02BD48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328E13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0F8E9E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6D5D71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34C807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78DB31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04A47223" w14:textId="77777777">
        <w:tc>
          <w:tcPr>
            <w:tcW w:w="1868" w:type="dxa"/>
          </w:tcPr>
          <w:p w14:paraId="29ED97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1AC6FC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5EE491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01A499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229D6F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CBA9B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6DEEFE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01374781" w14:textId="77777777">
        <w:tc>
          <w:tcPr>
            <w:tcW w:w="1868" w:type="dxa"/>
          </w:tcPr>
          <w:p w14:paraId="33BB57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75" w:type="dxa"/>
          </w:tcPr>
          <w:p w14:paraId="350EDE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1667CF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2792A3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3F8AC3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49750A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2A224E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72B6A1D8" w14:textId="77777777">
        <w:tc>
          <w:tcPr>
            <w:tcW w:w="1868" w:type="dxa"/>
          </w:tcPr>
          <w:p w14:paraId="40BED8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7487B9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15D9B6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5C4E0E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399706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1EDBB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482C9E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4285EEF1" w14:textId="77777777">
        <w:tc>
          <w:tcPr>
            <w:tcW w:w="1868" w:type="dxa"/>
          </w:tcPr>
          <w:p w14:paraId="636BC3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383C70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01C0FB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638728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532F6D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5D788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736D48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33F2A8E6" w14:textId="77777777">
        <w:tc>
          <w:tcPr>
            <w:tcW w:w="1868" w:type="dxa"/>
          </w:tcPr>
          <w:p w14:paraId="272C6E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6E9B64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5A7BE2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5DB281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242D2F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47542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519749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554BCD84" w14:textId="77777777">
        <w:tc>
          <w:tcPr>
            <w:tcW w:w="1868" w:type="dxa"/>
          </w:tcPr>
          <w:p w14:paraId="7F464F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476D7A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4DEFF2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093158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4514D07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4A8D7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30F8D6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26BA000F" w14:textId="77777777">
        <w:tc>
          <w:tcPr>
            <w:tcW w:w="1868" w:type="dxa"/>
          </w:tcPr>
          <w:p w14:paraId="581829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31F096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75CDE0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76218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7E4B62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2D0605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5AFC9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0B289F00" w14:textId="77777777">
        <w:tc>
          <w:tcPr>
            <w:tcW w:w="1868" w:type="dxa"/>
            <w:tcBorders>
              <w:bottom w:val="single" w:sz="12" w:space="0" w:color="auto"/>
            </w:tcBorders>
          </w:tcPr>
          <w:p w14:paraId="48A0F9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628B74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1B06D4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701513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73A056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693360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7307BE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306870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Высотности - 1850 м, скор. 5,7, 2-я гр. Высотности - 5500, скор. 3,15</w:t>
      </w:r>
    </w:p>
    <w:p w14:paraId="31A482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0F3CE5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2E4A8A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7CC1734D"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247147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28DCAD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34F28D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582FA3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29 мая 1945 (1000,3).</w:t>
      </w:r>
    </w:p>
    <w:p w14:paraId="36B026B8" w14:textId="77777777" w:rsidR="00665165" w:rsidRPr="00925F26" w:rsidRDefault="00665165" w:rsidP="00925F26">
      <w:pPr>
        <w:autoSpaceDE w:val="0"/>
        <w:autoSpaceDN w:val="0"/>
        <w:adjustRightInd w:val="0"/>
        <w:jc w:val="both"/>
        <w:rPr>
          <w:color w:val="000000" w:themeColor="text1"/>
          <w:sz w:val="16"/>
          <w:szCs w:val="16"/>
        </w:rPr>
      </w:pPr>
    </w:p>
    <w:p w14:paraId="1ECA2B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конца мая 1945 закончились госиспытания второго Пе-8ОН на аэродроме Чкаловская, где их проводил экипаж В.И. Жданова.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АЧ-30Б. Отмечались наличие металлической стружки в маслосистеме, выбросы масла, недостаточная эффективность системы охлаждения на больших высотах. 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 Что позже стало с этими машинами - установить трудно. Главный конструктор Незваль утверждал, что ему об этом ничего не известно (11996).</w:t>
      </w:r>
    </w:p>
    <w:p w14:paraId="4CE43825" w14:textId="77777777" w:rsidR="00665165" w:rsidRPr="00925F26" w:rsidRDefault="00665165" w:rsidP="00925F26">
      <w:pPr>
        <w:autoSpaceDE w:val="0"/>
        <w:autoSpaceDN w:val="0"/>
        <w:adjustRightInd w:val="0"/>
        <w:jc w:val="both"/>
        <w:rPr>
          <w:color w:val="000000" w:themeColor="text1"/>
          <w:sz w:val="16"/>
          <w:szCs w:val="16"/>
        </w:rPr>
      </w:pPr>
    </w:p>
    <w:p w14:paraId="6A4ACA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конца мая 1945 на самолете Як-3 ВК-107А завода №292, вооруженном тремя пушками Б-20, выполнили три полета, показав максимальную скорость у земли 594 км/ч и 707 км/ч - на второй границы высотности.</w:t>
      </w:r>
    </w:p>
    <w:p w14:paraId="5234EE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53BBA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608870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6D4FD3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2A667E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9199E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26E3C1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0A7928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650D49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49CF6069" w14:textId="77777777" w:rsidR="00665165" w:rsidRPr="00925F26" w:rsidRDefault="00665165" w:rsidP="00925F26">
      <w:pPr>
        <w:autoSpaceDE w:val="0"/>
        <w:autoSpaceDN w:val="0"/>
        <w:adjustRightInd w:val="0"/>
        <w:jc w:val="both"/>
        <w:rPr>
          <w:color w:val="000000" w:themeColor="text1"/>
          <w:sz w:val="16"/>
          <w:szCs w:val="16"/>
        </w:rPr>
      </w:pPr>
    </w:p>
    <w:p w14:paraId="33B286B2" w14:textId="77777777" w:rsidR="00F37105" w:rsidRPr="00925F26" w:rsidRDefault="00F37105" w:rsidP="00925F26">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r w:rsidRPr="00925F26">
        <w:rPr>
          <w:rFonts w:ascii="Times New Roman" w:hAnsi="Times New Roman" w:cs="Times New Roman"/>
          <w:color w:val="000000" w:themeColor="text1"/>
          <w:spacing w:val="0"/>
          <w:sz w:val="16"/>
          <w:szCs w:val="16"/>
        </w:rPr>
        <w:t>В конце мая 1945 в стапель заложили фюзеляж Утки. К середине июня стапельные работы заверщили (15848).</w:t>
      </w:r>
    </w:p>
    <w:p w14:paraId="62E61961" w14:textId="77777777" w:rsidR="00F37105" w:rsidRPr="00925F26" w:rsidRDefault="00F37105" w:rsidP="00925F26">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p>
    <w:p w14:paraId="15E73CC3" w14:textId="77777777" w:rsidR="00EA116E" w:rsidRPr="00925F26" w:rsidRDefault="00EA116E" w:rsidP="00925F26">
      <w:pPr>
        <w:jc w:val="both"/>
        <w:rPr>
          <w:color w:val="000000" w:themeColor="text1"/>
          <w:sz w:val="16"/>
          <w:szCs w:val="16"/>
        </w:rPr>
      </w:pPr>
      <w:r w:rsidRPr="00925F26">
        <w:rPr>
          <w:color w:val="000000" w:themeColor="text1"/>
          <w:sz w:val="16"/>
          <w:szCs w:val="16"/>
        </w:rPr>
        <w:t>В конце мая 1945 года в ОКБ-155 фюзеляж «Утки» заложили в стапель, а 30 июля сборку самолёта завер</w:t>
      </w:r>
      <w:r w:rsidRPr="00925F26">
        <w:rPr>
          <w:color w:val="000000" w:themeColor="text1"/>
          <w:sz w:val="16"/>
          <w:szCs w:val="16"/>
        </w:rPr>
        <w:softHyphen/>
        <w:t>шили и вывезли его на Центральный аэродром. Ответ</w:t>
      </w:r>
      <w:r w:rsidRPr="00925F26">
        <w:rPr>
          <w:color w:val="000000" w:themeColor="text1"/>
          <w:sz w:val="16"/>
          <w:szCs w:val="16"/>
        </w:rPr>
        <w:softHyphen/>
        <w:t>ственными за проведение лётных испытаний назна</w:t>
      </w:r>
      <w:r w:rsidRPr="00925F26">
        <w:rPr>
          <w:color w:val="000000" w:themeColor="text1"/>
          <w:sz w:val="16"/>
          <w:szCs w:val="16"/>
        </w:rPr>
        <w:softHyphen/>
        <w:t>чили ведущего инженера А.М. Блока и лётчика-испытателя А.И. Жукова. Перед началом полётов крыло ма</w:t>
      </w:r>
      <w:r w:rsidRPr="00925F26">
        <w:rPr>
          <w:color w:val="000000" w:themeColor="text1"/>
          <w:sz w:val="16"/>
          <w:szCs w:val="16"/>
        </w:rPr>
        <w:softHyphen/>
        <w:t>шины доработали по рекомендации ЦАГИ: повернули концевые шайбы верхними концами на 10° к фюзеля</w:t>
      </w:r>
      <w:r w:rsidRPr="00925F26">
        <w:rPr>
          <w:color w:val="000000" w:themeColor="text1"/>
          <w:sz w:val="16"/>
          <w:szCs w:val="16"/>
        </w:rPr>
        <w:softHyphen/>
        <w:t>жу, придали крылу обратное попе</w:t>
      </w:r>
      <w:r w:rsidRPr="00925F26">
        <w:rPr>
          <w:color w:val="000000" w:themeColor="text1"/>
          <w:sz w:val="16"/>
          <w:szCs w:val="16"/>
        </w:rPr>
        <w:softHyphen/>
        <w:t>речное V в 1° и установили фиксиро</w:t>
      </w:r>
      <w:r w:rsidRPr="00925F26">
        <w:rPr>
          <w:color w:val="000000" w:themeColor="text1"/>
          <w:sz w:val="16"/>
          <w:szCs w:val="16"/>
        </w:rPr>
        <w:softHyphen/>
        <w:t>ванные концевые предкрылки (23379).</w:t>
      </w:r>
    </w:p>
    <w:p w14:paraId="6312B312" w14:textId="77777777" w:rsidR="00EA116E" w:rsidRPr="00925F26" w:rsidRDefault="00EA116E" w:rsidP="00925F26">
      <w:pPr>
        <w:jc w:val="both"/>
        <w:rPr>
          <w:color w:val="000000" w:themeColor="text1"/>
          <w:sz w:val="16"/>
          <w:szCs w:val="16"/>
        </w:rPr>
      </w:pPr>
    </w:p>
    <w:p w14:paraId="306879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мая 1945 закончилась сборка ЛЛ-143 Г.М.Б. (2555,244) первого. Разобрали и отправили в Таганрог (3939,4).</w:t>
      </w:r>
    </w:p>
    <w:p w14:paraId="330446BD" w14:textId="77777777" w:rsidR="00665165" w:rsidRPr="00925F26" w:rsidRDefault="00665165" w:rsidP="00925F26">
      <w:pPr>
        <w:autoSpaceDE w:val="0"/>
        <w:autoSpaceDN w:val="0"/>
        <w:adjustRightInd w:val="0"/>
        <w:jc w:val="both"/>
        <w:rPr>
          <w:color w:val="000000" w:themeColor="text1"/>
          <w:sz w:val="16"/>
          <w:szCs w:val="16"/>
        </w:rPr>
      </w:pPr>
    </w:p>
    <w:p w14:paraId="2CFB041A" w14:textId="77777777" w:rsidR="00EA116E" w:rsidRPr="00925F26" w:rsidRDefault="00EA116E" w:rsidP="00925F26">
      <w:pPr>
        <w:jc w:val="both"/>
        <w:rPr>
          <w:color w:val="000000" w:themeColor="text1"/>
          <w:sz w:val="16"/>
          <w:szCs w:val="16"/>
        </w:rPr>
      </w:pPr>
      <w:r w:rsidRPr="00925F26">
        <w:rPr>
          <w:color w:val="000000" w:themeColor="text1"/>
          <w:sz w:val="16"/>
          <w:szCs w:val="16"/>
        </w:rPr>
        <w:t>В конце мая 1945 г. первый ЛЛ-143, построенный в Красноярске, разобрали и по железной дороге перевезли в Таганрог, куда должно было возвратиться из эвакуации ОКБ. В начале 1946 г. сюда же привезли и второй незаконченный экземпляр ЛЛ-143.</w:t>
      </w:r>
    </w:p>
    <w:p w14:paraId="34D9183C" w14:textId="77777777" w:rsidR="00EA116E" w:rsidRPr="00925F26" w:rsidRDefault="00EA116E" w:rsidP="00925F26">
      <w:pPr>
        <w:jc w:val="both"/>
        <w:rPr>
          <w:color w:val="000000" w:themeColor="text1"/>
          <w:sz w:val="16"/>
          <w:szCs w:val="16"/>
        </w:rPr>
      </w:pPr>
      <w:r w:rsidRPr="00925F26">
        <w:rPr>
          <w:color w:val="000000" w:themeColor="text1"/>
          <w:sz w:val="16"/>
          <w:szCs w:val="16"/>
        </w:rPr>
        <w:t>На сборку и подготовку самолета в Таганроге ушло два месяца, и 15 августа 1945 г. начались заводские испытания, которые по предложению командующего авиацией ВМФ С.Ф.</w:t>
      </w:r>
    </w:p>
    <w:p w14:paraId="078397E2" w14:textId="77777777" w:rsidR="00EA116E" w:rsidRPr="00925F26" w:rsidRDefault="00EA116E" w:rsidP="00925F26">
      <w:pPr>
        <w:jc w:val="both"/>
        <w:rPr>
          <w:color w:val="000000" w:themeColor="text1"/>
          <w:sz w:val="16"/>
          <w:szCs w:val="16"/>
        </w:rPr>
      </w:pPr>
      <w:r w:rsidRPr="00925F26">
        <w:rPr>
          <w:color w:val="000000" w:themeColor="text1"/>
          <w:sz w:val="16"/>
          <w:szCs w:val="16"/>
        </w:rPr>
        <w:t>Жаворонкова совместили с государственными.</w:t>
      </w:r>
    </w:p>
    <w:p w14:paraId="5E6663A9" w14:textId="77777777" w:rsidR="00EA116E" w:rsidRPr="00925F26" w:rsidRDefault="00EA116E" w:rsidP="00925F26">
      <w:pPr>
        <w:jc w:val="both"/>
        <w:rPr>
          <w:color w:val="000000" w:themeColor="text1"/>
          <w:sz w:val="16"/>
          <w:szCs w:val="16"/>
        </w:rPr>
      </w:pPr>
      <w:r w:rsidRPr="00925F26">
        <w:rPr>
          <w:color w:val="000000" w:themeColor="text1"/>
          <w:sz w:val="16"/>
          <w:szCs w:val="16"/>
        </w:rPr>
        <w:t>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 Злыгарев, Г.М. Бериев стал его заместителем. Летчиками-испытателями назначались подполковник Н.П. Котяков и майор Ф.С. Лещенко, ведущим инженером по испытаниям — А.С. Корытин (23541).</w:t>
      </w:r>
    </w:p>
    <w:p w14:paraId="190A2AD4" w14:textId="77777777" w:rsidR="00EA116E" w:rsidRPr="00925F26" w:rsidRDefault="00EA116E" w:rsidP="00925F26">
      <w:pPr>
        <w:jc w:val="both"/>
        <w:rPr>
          <w:color w:val="000000" w:themeColor="text1"/>
          <w:sz w:val="16"/>
          <w:szCs w:val="16"/>
        </w:rPr>
      </w:pPr>
    </w:p>
    <w:p w14:paraId="4D3CE0E4" w14:textId="77777777" w:rsidR="00517B76" w:rsidRPr="001A0BAA" w:rsidRDefault="00517B76" w:rsidP="00517B76">
      <w:pPr>
        <w:jc w:val="both"/>
        <w:rPr>
          <w:color w:val="0070C0"/>
          <w:sz w:val="16"/>
          <w:szCs w:val="16"/>
        </w:rPr>
      </w:pPr>
      <w:r w:rsidRPr="001A0BAA">
        <w:rPr>
          <w:color w:val="0070C0"/>
          <w:sz w:val="16"/>
          <w:szCs w:val="16"/>
        </w:rPr>
        <w:t>В конце мая 1945 г. первый самолет ЛЛ-143 был собран через тринадцать месяцев пос</w:t>
      </w:r>
      <w:r w:rsidRPr="001A0BAA">
        <w:rPr>
          <w:color w:val="0070C0"/>
          <w:sz w:val="16"/>
          <w:szCs w:val="16"/>
        </w:rPr>
        <w:softHyphen/>
        <w:t>ле закладки. Его разобрали и по железной дороге перевезли в Таганрог, куда должно было возвратиться из эвакуации ОКБ. В начале 1946 г. сюда же привезли и второй не</w:t>
      </w:r>
      <w:r w:rsidRPr="001A0BAA">
        <w:rPr>
          <w:color w:val="0070C0"/>
          <w:sz w:val="16"/>
          <w:szCs w:val="16"/>
        </w:rPr>
        <w:softHyphen/>
        <w:t>законченный экземпляр ЛЛ-143.</w:t>
      </w:r>
    </w:p>
    <w:p w14:paraId="338C6199" w14:textId="77777777" w:rsidR="00517B76" w:rsidRPr="001A0BAA" w:rsidRDefault="00517B76" w:rsidP="00517B76">
      <w:pPr>
        <w:jc w:val="both"/>
        <w:rPr>
          <w:color w:val="0070C0"/>
          <w:sz w:val="16"/>
          <w:szCs w:val="16"/>
        </w:rPr>
      </w:pPr>
      <w:r w:rsidRPr="001A0BAA">
        <w:rPr>
          <w:color w:val="0070C0"/>
          <w:sz w:val="16"/>
          <w:szCs w:val="16"/>
        </w:rPr>
        <w:t>На сборку и подготовку самолета в Таганроге ушло два месяца, и 15 августа 1945 г. начались заводские испытания, которые по предложению командующе</w:t>
      </w:r>
      <w:r w:rsidRPr="001A0BAA">
        <w:rPr>
          <w:color w:val="0070C0"/>
          <w:sz w:val="16"/>
          <w:szCs w:val="16"/>
        </w:rPr>
        <w:softHyphen/>
        <w:t>го авиацией ВМФ С. Ф. Жаворонкова со</w:t>
      </w:r>
      <w:r w:rsidRPr="001A0BAA">
        <w:rPr>
          <w:color w:val="0070C0"/>
          <w:sz w:val="16"/>
          <w:szCs w:val="16"/>
        </w:rPr>
        <w:softHyphen/>
        <w:t>вместили с государственными (24974).</w:t>
      </w:r>
    </w:p>
    <w:p w14:paraId="2B88EB19" w14:textId="77777777" w:rsidR="00517B76" w:rsidRPr="001A0BAA" w:rsidRDefault="00517B76" w:rsidP="00517B76">
      <w:pPr>
        <w:jc w:val="both"/>
        <w:rPr>
          <w:color w:val="0070C0"/>
          <w:sz w:val="16"/>
          <w:szCs w:val="16"/>
        </w:rPr>
      </w:pPr>
    </w:p>
    <w:p w14:paraId="461AA0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мая 1945 группа инженеров НКАП совершила поездку в Австрию. Выбор страны был не случаен. В Вене и ее окрестностях находились конструкторские бюро и заводы Э. Хейнкеля. Кроме большого количества технической документации, отправленной в ЦАГИ, в заводских цехах удалось обнаружить недостроенные образцы одномоторных реактивных истребителей Не-162, три поврежденных двухмоторных истребителя Не-280 с двигателями «Хейнкель S-8a» и части фюзеляжа и крыла четырехмоторного реактивного бомбардировщика Не-343. На подземном заводе в Хинтербрюле были найдены два полностью сохранившихся авиационных двигателя ЮМО-004 и БМВ-003. На другом заводе Хейнкеля члены группы обнаружили 11 подорванных немецких двигателей БМВ-003, пять из которых оказались в пригодном для изучения состоянии. На одном из аэродромов в окрестностях Праги нашли два немецких реактивных истребителя Ме-262 и еще четыре такие же частично разобранные машины (11765).</w:t>
      </w:r>
    </w:p>
    <w:p w14:paraId="06948771" w14:textId="77777777" w:rsidR="00665165" w:rsidRPr="00925F26" w:rsidRDefault="00665165" w:rsidP="00925F26">
      <w:pPr>
        <w:autoSpaceDE w:val="0"/>
        <w:autoSpaceDN w:val="0"/>
        <w:adjustRightInd w:val="0"/>
        <w:jc w:val="both"/>
        <w:rPr>
          <w:color w:val="000000" w:themeColor="text1"/>
          <w:sz w:val="16"/>
          <w:szCs w:val="16"/>
        </w:rPr>
      </w:pPr>
    </w:p>
    <w:p w14:paraId="0B1CB04D"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6A440ED" w14:textId="77777777" w:rsidR="00665165" w:rsidRPr="00925F26" w:rsidRDefault="00665165" w:rsidP="00925F26">
      <w:pPr>
        <w:autoSpaceDE w:val="0"/>
        <w:autoSpaceDN w:val="0"/>
        <w:adjustRightInd w:val="0"/>
        <w:jc w:val="both"/>
        <w:rPr>
          <w:iCs/>
          <w:color w:val="000000" w:themeColor="text1"/>
          <w:sz w:val="16"/>
          <w:szCs w:val="16"/>
        </w:rPr>
      </w:pPr>
    </w:p>
    <w:p w14:paraId="465BC4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концу мая, за первые пять месяцев 1945 г. завод № 183 передал военным пред</w:t>
      </w:r>
      <w:r w:rsidRPr="00925F26">
        <w:rPr>
          <w:color w:val="000000" w:themeColor="text1"/>
          <w:sz w:val="16"/>
          <w:szCs w:val="16"/>
        </w:rPr>
        <w:softHyphen/>
        <w:t>ставителям 3592 танка Т-34-85. Показатели сданной продукции заво</w:t>
      </w:r>
      <w:r w:rsidRPr="00925F26">
        <w:rPr>
          <w:color w:val="000000" w:themeColor="text1"/>
          <w:sz w:val="16"/>
          <w:szCs w:val="16"/>
        </w:rPr>
        <w:softHyphen/>
        <w:t>дом № 112 в 1945 г. были несколько ниже, чем у УВЗ. Так, за период с января по июнь 1945 г. заводом № 112 всего было выпущено 1545 тан</w:t>
      </w:r>
      <w:r w:rsidRPr="00925F26">
        <w:rPr>
          <w:color w:val="000000" w:themeColor="text1"/>
          <w:sz w:val="16"/>
          <w:szCs w:val="16"/>
        </w:rPr>
        <w:softHyphen/>
        <w:t>ков, из них 1428 линейных танков оснащенных радиостанцией 9РС, 62 командирских танка - с радиостанцией РСБ-Ф и 55 огнеметных танков ТО-34-85 с радиостанцией 9РС. С января по май 1945 г. завод № 174 сдал военным представителям 710 линейных танков Т-34-85 и 155 огне</w:t>
      </w:r>
      <w:r w:rsidRPr="00925F26">
        <w:rPr>
          <w:color w:val="000000" w:themeColor="text1"/>
          <w:sz w:val="16"/>
          <w:szCs w:val="16"/>
        </w:rPr>
        <w:softHyphen/>
        <w:t>метных танков ТО-34-</w:t>
      </w:r>
      <w:proofErr w:type="gramStart"/>
      <w:r w:rsidRPr="00925F26">
        <w:rPr>
          <w:color w:val="000000" w:themeColor="text1"/>
          <w:sz w:val="16"/>
          <w:szCs w:val="16"/>
        </w:rPr>
        <w:t>85.(</w:t>
      </w:r>
      <w:proofErr w:type="gramEnd"/>
      <w:r w:rsidRPr="00925F26">
        <w:rPr>
          <w:color w:val="000000" w:themeColor="text1"/>
          <w:sz w:val="16"/>
          <w:szCs w:val="16"/>
        </w:rPr>
        <w:t>10703).</w:t>
      </w:r>
    </w:p>
    <w:p w14:paraId="499AAEB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2E6B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До конца мая 1945 Т-44 сдавались лишь в учебные подраз</w:t>
      </w:r>
      <w:r w:rsidRPr="00925F26">
        <w:rPr>
          <w:color w:val="000000" w:themeColor="text1"/>
          <w:sz w:val="16"/>
          <w:szCs w:val="16"/>
        </w:rPr>
        <w:softHyphen/>
        <w:t>деления, тогда как завод продолжал «вылизывать» их в про</w:t>
      </w:r>
      <w:r w:rsidRPr="00925F26">
        <w:rPr>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925F26">
        <w:rPr>
          <w:color w:val="000000" w:themeColor="text1"/>
          <w:sz w:val="16"/>
          <w:szCs w:val="16"/>
        </w:rPr>
        <w:softHyphen/>
        <w:t>жена в войска, а в августе танковая часть, оснащенная новы</w:t>
      </w:r>
      <w:r w:rsidRPr="00925F26">
        <w:rPr>
          <w:color w:val="000000" w:themeColor="text1"/>
          <w:sz w:val="16"/>
          <w:szCs w:val="16"/>
        </w:rPr>
        <w:softHyphen/>
        <w:t>ми машинами, отправилась на Дальний Восток в действую</w:t>
      </w:r>
      <w:r w:rsidRPr="00925F26">
        <w:rPr>
          <w:color w:val="000000" w:themeColor="text1"/>
          <w:sz w:val="16"/>
          <w:szCs w:val="16"/>
        </w:rPr>
        <w:softHyphen/>
        <w:t>щую армию. Но в боях они участия не принимали (11135).</w:t>
      </w:r>
    </w:p>
    <w:p w14:paraId="65E16A8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FAB3F64" w14:textId="77777777" w:rsidR="003B056E" w:rsidRPr="00925F26" w:rsidRDefault="003B056E" w:rsidP="00925F26">
      <w:pPr>
        <w:jc w:val="both"/>
        <w:rPr>
          <w:color w:val="000000" w:themeColor="text1"/>
          <w:sz w:val="16"/>
          <w:szCs w:val="16"/>
        </w:rPr>
      </w:pPr>
      <w:r w:rsidRPr="00925F26">
        <w:rPr>
          <w:color w:val="000000" w:themeColor="text1"/>
          <w:sz w:val="16"/>
          <w:szCs w:val="16"/>
        </w:rPr>
        <w:t>В конце мая 1945 первые 12 СУ-100 вооружили новым орудием - самоуравновешенной в цапфах пушкой Д-10СК (т.е. «самоходная, компенсированная»). Иногда ее ошибочно называют Д-10СУ (уравновешенная), видимо, по аналогии с индексом ГАУ этого орудия 52- ПС-412У (прежняя Д-10С имела индекс 52- ПС-412). Однако в документах эпохи это ору</w:t>
      </w:r>
      <w:r w:rsidRPr="00925F26">
        <w:rPr>
          <w:color w:val="000000" w:themeColor="text1"/>
          <w:sz w:val="16"/>
          <w:szCs w:val="16"/>
        </w:rPr>
        <w:softHyphen/>
        <w:t>дие именуется только Д-10СК и никак иначе. Внешним отличием новой пушки была корне</w:t>
      </w:r>
      <w:r w:rsidRPr="00925F26">
        <w:rPr>
          <w:color w:val="000000" w:themeColor="text1"/>
          <w:sz w:val="16"/>
          <w:szCs w:val="16"/>
        </w:rPr>
        <w:softHyphen/>
        <w:t>вая часть ствола, плавно сходящая к трубе, и выраженная коническая форма самой трубы. На прежних Д-10С в корневой части был довольно резкий уступ при переходе к почти цилиндрической трубе ствола. Большая часть сохранившихся до нашего времени СУ- 100 вне зависимости от времени их выпуска была перевооружена при послевоенных ремонтах такими орудиями, поскольку их изначальные Д-10С расстреляли ресурс. Но некоторое количество музеифицированных СУ-100 раннего выпуска все же сохранилось со старыми пушками (по крайней мере, одна из ходовых машин в Кубинке с номером СУ412775, самоходка на постаменте в г. Ровно, в экспозиции Музея-заповедника «Прохоровское поле» и т.д.).</w:t>
      </w:r>
    </w:p>
    <w:p w14:paraId="37ABA191" w14:textId="77777777" w:rsidR="003B056E" w:rsidRPr="00925F26" w:rsidRDefault="003B056E" w:rsidP="00925F26">
      <w:pPr>
        <w:pStyle w:val="260"/>
        <w:shd w:val="clear" w:color="auto" w:fill="auto"/>
        <w:spacing w:line="240" w:lineRule="auto"/>
        <w:jc w:val="both"/>
        <w:rPr>
          <w:rFonts w:ascii="Times New Roman" w:hAnsi="Times New Roman"/>
          <w:color w:val="000000" w:themeColor="text1"/>
          <w:sz w:val="16"/>
          <w:szCs w:val="16"/>
        </w:rPr>
      </w:pPr>
      <w:r w:rsidRPr="00925F26">
        <w:rPr>
          <w:rFonts w:ascii="Times New Roman" w:hAnsi="Times New Roman"/>
          <w:color w:val="000000" w:themeColor="text1"/>
          <w:sz w:val="16"/>
          <w:szCs w:val="16"/>
        </w:rPr>
        <w:t>Уравновесить орудие было важно потому, что при этом уменьшались усилия на махови</w:t>
      </w:r>
      <w:r w:rsidRPr="00925F26">
        <w:rPr>
          <w:rFonts w:ascii="Times New Roman" w:hAnsi="Times New Roman"/>
          <w:color w:val="000000" w:themeColor="text1"/>
          <w:sz w:val="16"/>
          <w:szCs w:val="16"/>
        </w:rPr>
        <w:softHyphen/>
        <w:t>вик.</w:t>
      </w:r>
    </w:p>
    <w:p w14:paraId="4E620108" w14:textId="77777777" w:rsidR="003B056E" w:rsidRPr="00925F26" w:rsidRDefault="003B056E" w:rsidP="00925F26">
      <w:pPr>
        <w:jc w:val="both"/>
        <w:rPr>
          <w:color w:val="000000" w:themeColor="text1"/>
          <w:sz w:val="16"/>
          <w:szCs w:val="16"/>
        </w:rPr>
      </w:pPr>
      <w:r w:rsidRPr="00925F26">
        <w:rPr>
          <w:color w:val="000000" w:themeColor="text1"/>
          <w:sz w:val="16"/>
          <w:szCs w:val="16"/>
        </w:rPr>
        <w:t>Дол</w:t>
      </w:r>
      <w:r w:rsidRPr="00925F26">
        <w:rPr>
          <w:color w:val="000000" w:themeColor="text1"/>
          <w:sz w:val="16"/>
          <w:szCs w:val="16"/>
        </w:rPr>
        <w:softHyphen/>
        <w:t>говечность всех подвижных механизмов наведения. Работы в этом направлении раз</w:t>
      </w:r>
      <w:r w:rsidRPr="00925F26">
        <w:rPr>
          <w:color w:val="000000" w:themeColor="text1"/>
          <w:sz w:val="16"/>
          <w:szCs w:val="16"/>
        </w:rPr>
        <w:softHyphen/>
        <w:t>ными путями вели оба выпускавшие орудия Д-10С свердловских завода: и №8, и №9, соз</w:t>
      </w:r>
      <w:r w:rsidRPr="00925F26">
        <w:rPr>
          <w:color w:val="000000" w:themeColor="text1"/>
          <w:sz w:val="16"/>
          <w:szCs w:val="16"/>
        </w:rPr>
        <w:softHyphen/>
        <w:t>давшие свои образцы. Однако безусловным лидером на испытаниях оказался третий - совместный образец обоих заводов. Он и был решением комиссии ГАУ и ГБУ в апреле рекомендован к серийному производству (ЦАМО, фонд 38, опись 11369, дело 529). Уравновешивание Д-10СК было достигнуто, с одной стороны, уменьшением массы ствола за счет уменьшения толщины его трубы. Именно поэтому - для сохранения прочно</w:t>
      </w:r>
      <w:r w:rsidRPr="00925F26">
        <w:rPr>
          <w:color w:val="000000" w:themeColor="text1"/>
          <w:sz w:val="16"/>
          <w:szCs w:val="16"/>
        </w:rPr>
        <w:softHyphen/>
        <w:t>сти ствола в месте наибольшего давления пороховых газов - уступ в корневой части убрали и сделали плавный конический пере</w:t>
      </w:r>
      <w:r w:rsidRPr="00925F26">
        <w:rPr>
          <w:color w:val="000000" w:themeColor="text1"/>
          <w:sz w:val="16"/>
          <w:szCs w:val="16"/>
        </w:rPr>
        <w:softHyphen/>
        <w:t>ход. С другой стороны, утяжелили казенную часть за цапфами. Ради этого увеличили до 64 кг массу выдвижного ограждения, сделав его из более толстой стали, и подвесили дополнительный груз 67 кг под казенником. Пришлось также изменить для размещения грузов спусковой механизм. Электроспуск поставили типа РТ-9.</w:t>
      </w:r>
    </w:p>
    <w:p w14:paraId="20CE6314" w14:textId="77777777" w:rsidR="003B056E" w:rsidRPr="00925F26" w:rsidRDefault="003B056E" w:rsidP="00925F26">
      <w:pPr>
        <w:jc w:val="both"/>
        <w:rPr>
          <w:color w:val="000000" w:themeColor="text1"/>
          <w:sz w:val="16"/>
          <w:szCs w:val="16"/>
        </w:rPr>
      </w:pPr>
      <w:r w:rsidRPr="00925F26">
        <w:rPr>
          <w:color w:val="000000" w:themeColor="text1"/>
          <w:sz w:val="16"/>
          <w:szCs w:val="16"/>
        </w:rPr>
        <w:t>Меняются боковые решетки МТО - ничего радикального, просто расстояние между вер</w:t>
      </w:r>
      <w:r w:rsidRPr="00925F26">
        <w:rPr>
          <w:color w:val="000000" w:themeColor="text1"/>
          <w:sz w:val="16"/>
          <w:szCs w:val="16"/>
        </w:rPr>
        <w:softHyphen/>
        <w:t>тикальными перемычками с этого момента становится иным. Соответственно, визуально иначе относительно этих перемычек теперь размещаются петли (19927).</w:t>
      </w:r>
    </w:p>
    <w:p w14:paraId="28BBC192" w14:textId="77777777" w:rsidR="003B056E" w:rsidRPr="00925F26" w:rsidRDefault="003B056E" w:rsidP="00925F26">
      <w:pPr>
        <w:jc w:val="both"/>
        <w:rPr>
          <w:color w:val="000000" w:themeColor="text1"/>
          <w:sz w:val="16"/>
          <w:szCs w:val="16"/>
        </w:rPr>
      </w:pPr>
    </w:p>
    <w:p w14:paraId="13C07026" w14:textId="77777777" w:rsidR="002E5953" w:rsidRPr="00925F26" w:rsidRDefault="002E5953" w:rsidP="00925F26">
      <w:pPr>
        <w:shd w:val="clear" w:color="auto" w:fill="FFFFFF"/>
        <w:jc w:val="both"/>
        <w:rPr>
          <w:color w:val="000000" w:themeColor="text1"/>
          <w:sz w:val="16"/>
          <w:szCs w:val="16"/>
        </w:rPr>
      </w:pPr>
      <w:r w:rsidRPr="00925F26">
        <w:rPr>
          <w:color w:val="000000" w:themeColor="text1"/>
          <w:sz w:val="16"/>
          <w:szCs w:val="16"/>
        </w:rPr>
        <w:t>В конце мая 1945 началось более подробное изучение военно-технического наследия Третьего рейха, разбросанного вокруг немецкой столицы. 29 июня 1945 года в адрес руководства Государственного комитета обороны (ГКО), включая Сталина и Берию, были отправлены докладные записки за подписью начальника Главного автобронетанкового управления Красной армии (ГАБТУ КА) маршала бронетанковых войск Я. Н. Федоренко:</w:t>
      </w:r>
    </w:p>
    <w:p w14:paraId="589B10A2"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«Докладываю, что 4 июня сего года советскими оккупационными войсками в Германии были найдены два сверхтяжёлых немецких танка.</w:t>
      </w:r>
    </w:p>
    <w:p w14:paraId="4FDA04D8"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Один из них, с вооружённой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79F8C52E"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Особенностью сверхтяжёлых танков является применение электротрансмиссии и спаренной установки пушек — крупного калибра (128 мм) и калибра 75 мм.</w:t>
      </w:r>
    </w:p>
    <w:p w14:paraId="57B1796F"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По показаниям немецких инженеров, работавших на танковом полигоне, сверхтяжёлые танки проектировались конструктором Порше в районе Штутгарт-Боблинген и были изготовлены фирмой Нибелунгенверке (в Австрии).</w:t>
      </w:r>
    </w:p>
    <w:p w14:paraId="4E8C7DC0"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В конце декабря 1944 года оба танка были доставлены на танковый полигон для испытаний, откуда один (вооружённый) образец в марте сего года был своим ходом доставлен в Штамлагер.</w:t>
      </w:r>
    </w:p>
    <w:p w14:paraId="7EC11433"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Представляю тактико-техническую характеристику сверхтяжёлого танка.</w:t>
      </w:r>
    </w:p>
    <w:p w14:paraId="5030E67B"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Характеристика является ориентировочной, так как оба танка оказались подорванными и подробно специалистами не изучены.</w:t>
      </w:r>
    </w:p>
    <w:p w14:paraId="7F06E38E" w14:textId="77777777" w:rsidR="002E5953" w:rsidRPr="00925F26" w:rsidRDefault="002E5953" w:rsidP="00925F26">
      <w:pPr>
        <w:shd w:val="clear" w:color="auto" w:fill="FFFFFF"/>
        <w:jc w:val="both"/>
        <w:rPr>
          <w:color w:val="000000" w:themeColor="text1"/>
          <w:sz w:val="16"/>
          <w:szCs w:val="16"/>
        </w:rPr>
      </w:pPr>
      <w:r w:rsidRPr="00925F26">
        <w:rPr>
          <w:iCs/>
          <w:color w:val="000000" w:themeColor="text1"/>
          <w:sz w:val="16"/>
          <w:szCs w:val="16"/>
        </w:rPr>
        <w:t>Более точные данные доложу Вам после тщательного изучения этих танков специалистами».</w:t>
      </w:r>
    </w:p>
    <w:p w14:paraId="4654CDD9" w14:textId="77777777" w:rsidR="002E5953" w:rsidRPr="00925F26" w:rsidRDefault="002E5953" w:rsidP="00925F26">
      <w:pPr>
        <w:shd w:val="clear" w:color="auto" w:fill="FFFFFF"/>
        <w:jc w:val="both"/>
        <w:rPr>
          <w:color w:val="000000" w:themeColor="text1"/>
          <w:sz w:val="16"/>
          <w:szCs w:val="16"/>
        </w:rPr>
      </w:pPr>
      <w:r w:rsidRPr="00925F26">
        <w:rPr>
          <w:color w:val="000000" w:themeColor="text1"/>
          <w:sz w:val="16"/>
          <w:szCs w:val="16"/>
        </w:rPr>
        <w:t xml:space="preserve">Наибольший интерес вызвал второй образец сверхтяжёлого танка.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внутренний взрыв нанёс ему очень серьёзные повреждения, изучали в основном именно его. Дело в том, что первый образец не имел вооружения, а вместо башни на него был установлен </w:t>
      </w:r>
      <w:proofErr w:type="gramStart"/>
      <w:r w:rsidRPr="00925F26">
        <w:rPr>
          <w:color w:val="000000" w:themeColor="text1"/>
          <w:sz w:val="16"/>
          <w:szCs w:val="16"/>
        </w:rPr>
        <w:t>массо-габаритный</w:t>
      </w:r>
      <w:proofErr w:type="gramEnd"/>
      <w:r w:rsidRPr="00925F26">
        <w:rPr>
          <w:color w:val="000000" w:themeColor="text1"/>
          <w:sz w:val="16"/>
          <w:szCs w:val="16"/>
        </w:rPr>
        <w:t xml:space="preserve"> макет (17676).</w:t>
      </w:r>
    </w:p>
    <w:p w14:paraId="3E69E310" w14:textId="77777777" w:rsidR="002E5953" w:rsidRPr="00925F26" w:rsidRDefault="002E5953" w:rsidP="00925F26">
      <w:pPr>
        <w:jc w:val="both"/>
        <w:rPr>
          <w:rStyle w:val="107"/>
          <w:rFonts w:eastAsiaTheme="minorHAnsi"/>
          <w:color w:val="000000" w:themeColor="text1"/>
          <w:sz w:val="16"/>
          <w:szCs w:val="16"/>
        </w:rPr>
      </w:pPr>
    </w:p>
    <w:p w14:paraId="7F389F7F" w14:textId="77777777" w:rsidR="00F3710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A4BBE4D" w14:textId="77777777" w:rsidR="00F37105" w:rsidRPr="00925F26" w:rsidRDefault="00F37105" w:rsidP="00925F26">
      <w:pPr>
        <w:autoSpaceDE w:val="0"/>
        <w:autoSpaceDN w:val="0"/>
        <w:adjustRightInd w:val="0"/>
        <w:jc w:val="both"/>
        <w:rPr>
          <w:iCs/>
          <w:color w:val="000000" w:themeColor="text1"/>
          <w:sz w:val="16"/>
          <w:szCs w:val="16"/>
        </w:rPr>
      </w:pPr>
    </w:p>
    <w:p w14:paraId="06D070DC" w14:textId="77777777" w:rsidR="00F37105" w:rsidRPr="00925F26" w:rsidRDefault="00F37105" w:rsidP="00925F26">
      <w:pPr>
        <w:pStyle w:val="book"/>
        <w:ind w:firstLine="0"/>
        <w:jc w:val="both"/>
        <w:rPr>
          <w:color w:val="000000" w:themeColor="text1"/>
          <w:sz w:val="16"/>
          <w:szCs w:val="16"/>
        </w:rPr>
      </w:pPr>
      <w:r w:rsidRPr="00925F26">
        <w:rPr>
          <w:color w:val="000000" w:themeColor="text1"/>
          <w:sz w:val="16"/>
          <w:szCs w:val="16"/>
        </w:rPr>
        <w:t>В конце мая 1945 г. заместитель начальника научно-исследовательского отдела Артиллерийского исторического музея полковник Н.Т. Сорокин прибыл в Дрезден, а 2 июля 1945 г. принял от техника-лейтенанта А.А. Сатышева Артиллерийский музей Дрездена. Была составлена краткая опись экспонатов. В музее насчитали 143 орудия, 36 минометов, 62 пулемета, 63 орудийных ствола, 1507 единиц огнестрельного оружия различных систем, 3 самолета и т.д., а также «библиотека с разными книгами — 1; нагрудников исторических стальных — 6 комнат; обмундирования музейного — 1 комната» (15225).</w:t>
      </w:r>
    </w:p>
    <w:p w14:paraId="05865615" w14:textId="77777777" w:rsidR="00F37105" w:rsidRPr="00925F26" w:rsidRDefault="00F37105" w:rsidP="00925F26">
      <w:pPr>
        <w:pStyle w:val="book"/>
        <w:ind w:firstLine="0"/>
        <w:jc w:val="both"/>
        <w:rPr>
          <w:color w:val="000000" w:themeColor="text1"/>
          <w:sz w:val="16"/>
          <w:szCs w:val="16"/>
        </w:rPr>
      </w:pPr>
    </w:p>
    <w:p w14:paraId="0DA112E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75F3FB8" w14:textId="77777777" w:rsidR="00665165" w:rsidRPr="00925F26" w:rsidRDefault="00665165" w:rsidP="00925F26">
      <w:pPr>
        <w:autoSpaceDE w:val="0"/>
        <w:autoSpaceDN w:val="0"/>
        <w:adjustRightInd w:val="0"/>
        <w:jc w:val="both"/>
        <w:rPr>
          <w:iCs/>
          <w:color w:val="000000" w:themeColor="text1"/>
          <w:sz w:val="16"/>
          <w:szCs w:val="16"/>
        </w:rPr>
      </w:pPr>
    </w:p>
    <w:p w14:paraId="1C1C76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се</w:t>
      </w:r>
      <w:r w:rsidRPr="00925F26">
        <w:rPr>
          <w:color w:val="000000" w:themeColor="text1"/>
          <w:sz w:val="16"/>
          <w:szCs w:val="16"/>
        </w:rPr>
        <w:softHyphen/>
        <w:t>рийный Ил-10 № 106037 на контрольных испытаниях в НИИ ВВС по</w:t>
      </w:r>
      <w:r w:rsidRPr="00925F26">
        <w:rPr>
          <w:color w:val="000000" w:themeColor="text1"/>
          <w:sz w:val="16"/>
          <w:szCs w:val="16"/>
        </w:rPr>
        <w:softHyphen/>
        <w:t>казал скорость у земли 503 км/ч и на высо</w:t>
      </w:r>
      <w:r w:rsidRPr="00925F26">
        <w:rPr>
          <w:color w:val="000000" w:themeColor="text1"/>
          <w:sz w:val="16"/>
          <w:szCs w:val="16"/>
        </w:rPr>
        <w:softHyphen/>
        <w:t>те 2850 м - 545 км/ч. Самолет № 1892908 в июле продемонстрировал еще худшие показатели: скорость 482 км/ч у земли и 528 км/ч на высоте 2660 м. Время набо</w:t>
      </w:r>
      <w:r w:rsidRPr="00925F26">
        <w:rPr>
          <w:color w:val="000000" w:themeColor="text1"/>
          <w:sz w:val="16"/>
          <w:szCs w:val="16"/>
        </w:rPr>
        <w:softHyphen/>
        <w:t>ра высоты 1000 м составило 2,1 мин, а 3000 м - 6,4 мин. (10680).</w:t>
      </w:r>
    </w:p>
    <w:p w14:paraId="0AEF3BDA" w14:textId="77777777" w:rsidR="00665165" w:rsidRPr="00925F26" w:rsidRDefault="00665165" w:rsidP="00925F26">
      <w:pPr>
        <w:autoSpaceDE w:val="0"/>
        <w:autoSpaceDN w:val="0"/>
        <w:adjustRightInd w:val="0"/>
        <w:jc w:val="both"/>
        <w:rPr>
          <w:color w:val="000000" w:themeColor="text1"/>
          <w:sz w:val="16"/>
          <w:szCs w:val="16"/>
        </w:rPr>
      </w:pPr>
    </w:p>
    <w:p w14:paraId="16D7CBF3" w14:textId="77777777" w:rsidR="00667228" w:rsidRPr="00925F26" w:rsidRDefault="00667228" w:rsidP="00925F26">
      <w:pPr>
        <w:autoSpaceDE w:val="0"/>
        <w:autoSpaceDN w:val="0"/>
        <w:adjustRightInd w:val="0"/>
        <w:jc w:val="both"/>
        <w:rPr>
          <w:color w:val="000000" w:themeColor="text1"/>
          <w:sz w:val="16"/>
          <w:szCs w:val="16"/>
        </w:rPr>
      </w:pPr>
      <w:r w:rsidRPr="00925F26">
        <w:rPr>
          <w:color w:val="000000" w:themeColor="text1"/>
          <w:sz w:val="16"/>
          <w:szCs w:val="16"/>
        </w:rPr>
        <w:t>В мае 1945 г. Ил-10 поступил на госиспытания в ГК НИИ ВВС, завершившиеся в начале июня с положительной оценкой. С полетным весом 5680 кг самолет имел максимальную скорость у земли 502 км/ч и 560 км/ч на высоте 2500 м (9528).</w:t>
      </w:r>
    </w:p>
    <w:p w14:paraId="6FB7F421" w14:textId="77777777" w:rsidR="00667228" w:rsidRPr="00925F26" w:rsidRDefault="00667228" w:rsidP="00925F26">
      <w:pPr>
        <w:autoSpaceDE w:val="0"/>
        <w:autoSpaceDN w:val="0"/>
        <w:adjustRightInd w:val="0"/>
        <w:jc w:val="both"/>
        <w:rPr>
          <w:color w:val="000000" w:themeColor="text1"/>
          <w:sz w:val="16"/>
          <w:szCs w:val="16"/>
        </w:rPr>
      </w:pPr>
    </w:p>
    <w:p w14:paraId="7F1D816F" w14:textId="77777777" w:rsidR="00667228" w:rsidRPr="00925F26" w:rsidRDefault="00667228" w:rsidP="00925F26">
      <w:pPr>
        <w:jc w:val="both"/>
        <w:rPr>
          <w:color w:val="000000" w:themeColor="text1"/>
          <w:sz w:val="16"/>
          <w:szCs w:val="16"/>
        </w:rPr>
      </w:pPr>
      <w:r w:rsidRPr="00925F26">
        <w:rPr>
          <w:rStyle w:val="107"/>
          <w:rFonts w:eastAsiaTheme="minorHAnsi"/>
          <w:color w:val="000000" w:themeColor="text1"/>
          <w:sz w:val="16"/>
          <w:szCs w:val="16"/>
        </w:rPr>
        <w:t>В мае 1945 года серийный самолет Ил-10 производства завода № 1 зав. № 106037 при прохождении контрольных испытаний в ГК НИИ ВВС показал скорость у земли 503 км/ч и на высоте 2850 м - 545 км/ч, что не соответствовало техническим условиям (17490).</w:t>
      </w:r>
    </w:p>
    <w:p w14:paraId="29FB6B73" w14:textId="77777777" w:rsidR="00667228" w:rsidRPr="00925F26" w:rsidRDefault="00667228" w:rsidP="00925F26">
      <w:pPr>
        <w:jc w:val="both"/>
        <w:rPr>
          <w:color w:val="000000" w:themeColor="text1"/>
          <w:sz w:val="16"/>
          <w:szCs w:val="16"/>
        </w:rPr>
      </w:pPr>
    </w:p>
    <w:p w14:paraId="2D55D273" w14:textId="77777777" w:rsidR="002E5953" w:rsidRPr="00925F26" w:rsidRDefault="002E5953"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В мае 1945 года крыло, установленное на серийном самолете Ил-10 зав. № 1899008, при испытаниях выдержало 125 % от расчетной нагрузки на случай А\ после чего между 1 -й и 2-й нервюрами произошел разрыв нижнего пояса заднего лонжерона и потеря устойчивости стенки заднего лонжерона.</w:t>
      </w:r>
    </w:p>
    <w:p w14:paraId="50775E0B" w14:textId="77777777" w:rsidR="002E5953" w:rsidRPr="00925F26" w:rsidRDefault="002E5953" w:rsidP="00925F26">
      <w:pPr>
        <w:jc w:val="both"/>
        <w:rPr>
          <w:color w:val="000000" w:themeColor="text1"/>
          <w:sz w:val="16"/>
          <w:szCs w:val="16"/>
        </w:rPr>
      </w:pPr>
      <w:r w:rsidRPr="00925F26">
        <w:rPr>
          <w:rStyle w:val="107"/>
          <w:rFonts w:eastAsiaTheme="minorHAnsi"/>
          <w:color w:val="000000" w:themeColor="text1"/>
          <w:sz w:val="16"/>
          <w:szCs w:val="16"/>
        </w:rPr>
        <w:t>К 10 марта 1945 на Ил-10 поставили уширенные ленты по 4-й и 8-й нервюрам для дополнительного крепления стрингеров и четыре дополнительных стрингера на верхней обшивке между 4-й и 5-й нервюрами. Перенесли стык стенок переднего лонжерона с 4-й на 5-ю нервюру. Добавили стойки на правом заднем лонжероне у разъема и на правом переднем лонжероне у разъема, а также стойку на переднем левом лонжероне между 1 -й и 2-й нервюрами. На стенке передних лонжеронов от разъема до вырезов под пулеметы поставлены 1,5-мм накладки из ДЗл1,5. Профиль усиления выреза в переднем лонжероне крыла для пушки ВЯ выполнили из хромансилевой стали С30ХГСА вместо дюраля (17490).</w:t>
      </w:r>
    </w:p>
    <w:p w14:paraId="0E5FA4CA" w14:textId="77777777" w:rsidR="002E5953" w:rsidRPr="00925F26" w:rsidRDefault="002E5953" w:rsidP="00925F26">
      <w:pPr>
        <w:jc w:val="both"/>
        <w:rPr>
          <w:color w:val="000000" w:themeColor="text1"/>
          <w:sz w:val="16"/>
          <w:szCs w:val="16"/>
        </w:rPr>
      </w:pPr>
    </w:p>
    <w:p w14:paraId="0641963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50-часовой ресурс АМ-42 под</w:t>
      </w:r>
      <w:r w:rsidRPr="00925F26">
        <w:rPr>
          <w:color w:val="000000" w:themeColor="text1"/>
          <w:sz w:val="16"/>
          <w:szCs w:val="16"/>
        </w:rPr>
        <w:softHyphen/>
        <w:t>твердили на совместных испытаниях. В процессе доводки двигатель получил новый нижний картер, усиленные колен</w:t>
      </w:r>
      <w:r w:rsidRPr="00925F26">
        <w:rPr>
          <w:color w:val="000000" w:themeColor="text1"/>
          <w:sz w:val="16"/>
          <w:szCs w:val="16"/>
        </w:rPr>
        <w:softHyphen/>
        <w:t>чатый вал с противовесами, шатуны и поршни. В отчете об испытаниях указыва</w:t>
      </w:r>
      <w:r w:rsidRPr="00925F26">
        <w:rPr>
          <w:color w:val="000000" w:themeColor="text1"/>
          <w:sz w:val="16"/>
          <w:szCs w:val="16"/>
        </w:rPr>
        <w:softHyphen/>
        <w:t>лось: «...конструкция поддона с клапа</w:t>
      </w:r>
      <w:r w:rsidRPr="00925F26">
        <w:rPr>
          <w:color w:val="000000" w:themeColor="text1"/>
          <w:sz w:val="16"/>
          <w:szCs w:val="16"/>
        </w:rPr>
        <w:softHyphen/>
        <w:t>нами позволила значительно улучшить отсос масла из картера и сократить теплоотдачу в масле; введение колен</w:t>
      </w:r>
      <w:r w:rsidRPr="00925F26">
        <w:rPr>
          <w:color w:val="000000" w:themeColor="text1"/>
          <w:sz w:val="16"/>
          <w:szCs w:val="16"/>
        </w:rPr>
        <w:softHyphen/>
        <w:t>чатого вала с противовесами обеспе</w:t>
      </w:r>
      <w:r w:rsidRPr="00925F26">
        <w:rPr>
          <w:color w:val="000000" w:themeColor="text1"/>
          <w:sz w:val="16"/>
          <w:szCs w:val="16"/>
        </w:rPr>
        <w:softHyphen/>
        <w:t>чило возможность форсировки мотора по оборотам без развития коренных опор». В выводах комиссии отмечалось, что АМ-42 испытания прошел удовлетворительно и является «современным мо</w:t>
      </w:r>
      <w:r w:rsidRPr="00925F26">
        <w:rPr>
          <w:color w:val="000000" w:themeColor="text1"/>
          <w:sz w:val="16"/>
          <w:szCs w:val="16"/>
        </w:rPr>
        <w:softHyphen/>
        <w:t>тором, ценным для штурмовой авиа</w:t>
      </w:r>
      <w:r w:rsidRPr="00925F26">
        <w:rPr>
          <w:color w:val="000000" w:themeColor="text1"/>
          <w:sz w:val="16"/>
          <w:szCs w:val="16"/>
        </w:rPr>
        <w:softHyphen/>
        <w:t>ции». Но был выявлен и ряд дефектов: выкрашивание коренных и шатунных подшипников, поломки шестерен ре</w:t>
      </w:r>
      <w:r w:rsidRPr="00925F26">
        <w:rPr>
          <w:color w:val="000000" w:themeColor="text1"/>
          <w:sz w:val="16"/>
          <w:szCs w:val="16"/>
        </w:rPr>
        <w:softHyphen/>
        <w:t>дуктора, обрывы шпилек и подтекание масла. В связи с этим выдвигалось тре</w:t>
      </w:r>
      <w:r w:rsidRPr="00925F26">
        <w:rPr>
          <w:color w:val="000000" w:themeColor="text1"/>
          <w:sz w:val="16"/>
          <w:szCs w:val="16"/>
        </w:rPr>
        <w:softHyphen/>
        <w:t>бование «...в кратчайшие сроки устра</w:t>
      </w:r>
      <w:r w:rsidRPr="00925F26">
        <w:rPr>
          <w:color w:val="000000" w:themeColor="text1"/>
          <w:sz w:val="16"/>
          <w:szCs w:val="16"/>
        </w:rPr>
        <w:softHyphen/>
        <w:t>нить выявленные конструктивные не</w:t>
      </w:r>
      <w:r w:rsidRPr="00925F26">
        <w:rPr>
          <w:color w:val="000000" w:themeColor="text1"/>
          <w:sz w:val="16"/>
          <w:szCs w:val="16"/>
        </w:rPr>
        <w:softHyphen/>
        <w:t>достатки и дефекты мотора...». Шпильки усилили, а подпружинен</w:t>
      </w:r>
      <w:r w:rsidRPr="00925F26">
        <w:rPr>
          <w:color w:val="000000" w:themeColor="text1"/>
          <w:sz w:val="16"/>
          <w:szCs w:val="16"/>
        </w:rPr>
        <w:softHyphen/>
        <w:t>ную шестерню редуктора заменили жесткой. Торсиографирование показа</w:t>
      </w:r>
      <w:r w:rsidRPr="00925F26">
        <w:rPr>
          <w:color w:val="000000" w:themeColor="text1"/>
          <w:sz w:val="16"/>
          <w:szCs w:val="16"/>
        </w:rPr>
        <w:softHyphen/>
        <w:t>ло, что эта мера оказалась вполне оп</w:t>
      </w:r>
      <w:r w:rsidRPr="00925F26">
        <w:rPr>
          <w:color w:val="000000" w:themeColor="text1"/>
          <w:sz w:val="16"/>
          <w:szCs w:val="16"/>
        </w:rPr>
        <w:softHyphen/>
        <w:t>равданной. В мае Микулина освободи</w:t>
      </w:r>
      <w:r w:rsidRPr="00925F26">
        <w:rPr>
          <w:color w:val="000000" w:themeColor="text1"/>
          <w:sz w:val="16"/>
          <w:szCs w:val="16"/>
        </w:rPr>
        <w:softHyphen/>
        <w:t>ли от обязанностей главного конструк</w:t>
      </w:r>
      <w:r w:rsidRPr="00925F26">
        <w:rPr>
          <w:color w:val="000000" w:themeColor="text1"/>
          <w:sz w:val="16"/>
          <w:szCs w:val="16"/>
        </w:rPr>
        <w:softHyphen/>
        <w:t>тора завода № 24 (он занимал тогда эту должность сразу на трех предпри</w:t>
      </w:r>
      <w:r w:rsidRPr="00925F26">
        <w:rPr>
          <w:color w:val="000000" w:themeColor="text1"/>
          <w:sz w:val="16"/>
          <w:szCs w:val="16"/>
        </w:rPr>
        <w:softHyphen/>
        <w:t>ятиях), поэтому дальнейшая доводка АМ-42 велась под руководством М.Р. Флисского (10680).</w:t>
      </w:r>
    </w:p>
    <w:p w14:paraId="1D2CF56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0D04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было несколько улучше</w:t>
      </w:r>
      <w:r w:rsidRPr="00925F26">
        <w:rPr>
          <w:color w:val="000000" w:themeColor="text1"/>
          <w:sz w:val="16"/>
          <w:szCs w:val="16"/>
        </w:rPr>
        <w:softHyphen/>
        <w:t>но бронирование Ил-10. За головой лет</w:t>
      </w:r>
      <w:r w:rsidRPr="00925F26">
        <w:rPr>
          <w:color w:val="000000" w:themeColor="text1"/>
          <w:sz w:val="16"/>
          <w:szCs w:val="16"/>
        </w:rPr>
        <w:softHyphen/>
        <w:t>чика со стороны стрелка установили до</w:t>
      </w:r>
      <w:r w:rsidRPr="00925F26">
        <w:rPr>
          <w:color w:val="000000" w:themeColor="text1"/>
          <w:sz w:val="16"/>
          <w:szCs w:val="16"/>
        </w:rPr>
        <w:softHyphen/>
        <w:t>полнительный дюралюминиевый лист толщиной 1 мм, предохранявший по</w:t>
      </w:r>
      <w:r w:rsidRPr="00925F26">
        <w:rPr>
          <w:color w:val="000000" w:themeColor="text1"/>
          <w:sz w:val="16"/>
          <w:szCs w:val="16"/>
        </w:rPr>
        <w:softHyphen/>
        <w:t>следнего от осколков снарядов, разру</w:t>
      </w:r>
      <w:r w:rsidRPr="00925F26">
        <w:rPr>
          <w:color w:val="000000" w:themeColor="text1"/>
          <w:sz w:val="16"/>
          <w:szCs w:val="16"/>
        </w:rPr>
        <w:softHyphen/>
        <w:t xml:space="preserve">шавшихся на броне </w:t>
      </w:r>
      <w:proofErr w:type="gramStart"/>
      <w:r w:rsidRPr="00925F26">
        <w:rPr>
          <w:color w:val="000000" w:themeColor="text1"/>
          <w:sz w:val="16"/>
          <w:szCs w:val="16"/>
        </w:rPr>
        <w:t>фонаря.(</w:t>
      </w:r>
      <w:proofErr w:type="gramEnd"/>
      <w:r w:rsidRPr="00925F26">
        <w:rPr>
          <w:color w:val="000000" w:themeColor="text1"/>
          <w:sz w:val="16"/>
          <w:szCs w:val="16"/>
        </w:rPr>
        <w:t>10680).</w:t>
      </w:r>
    </w:p>
    <w:p w14:paraId="3118053E" w14:textId="77777777" w:rsidR="00665165" w:rsidRPr="00925F26" w:rsidRDefault="00665165" w:rsidP="00925F26">
      <w:pPr>
        <w:autoSpaceDE w:val="0"/>
        <w:autoSpaceDN w:val="0"/>
        <w:adjustRightInd w:val="0"/>
        <w:jc w:val="both"/>
        <w:rPr>
          <w:color w:val="000000" w:themeColor="text1"/>
          <w:sz w:val="16"/>
          <w:szCs w:val="16"/>
        </w:rPr>
      </w:pPr>
    </w:p>
    <w:p w14:paraId="018DFB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мая 1945 г. (с 9-й серии завода № 18) все машины Ил-10 стали выпускать</w:t>
      </w:r>
      <w:r w:rsidRPr="00925F26">
        <w:rPr>
          <w:color w:val="000000" w:themeColor="text1"/>
          <w:sz w:val="16"/>
          <w:szCs w:val="16"/>
        </w:rPr>
        <w:softHyphen/>
        <w:t>ся с доработанным крылом. В строевые части выехали специальные бригады для переделки штурмовиков на местах (10680).</w:t>
      </w:r>
    </w:p>
    <w:p w14:paraId="3EF397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21A5D0A" w14:textId="77777777" w:rsidR="006825F8" w:rsidRPr="00925F26" w:rsidRDefault="006825F8" w:rsidP="00925F26">
      <w:pPr>
        <w:jc w:val="both"/>
        <w:rPr>
          <w:color w:val="000000" w:themeColor="text1"/>
          <w:sz w:val="16"/>
          <w:szCs w:val="16"/>
        </w:rPr>
      </w:pPr>
      <w:r w:rsidRPr="00925F26">
        <w:rPr>
          <w:rStyle w:val="107"/>
          <w:rFonts w:eastAsiaTheme="minorHAnsi"/>
          <w:color w:val="000000" w:themeColor="text1"/>
          <w:sz w:val="16"/>
          <w:szCs w:val="16"/>
        </w:rPr>
        <w:lastRenderedPageBreak/>
        <w:t>В мае 1945 года с целью устранения отказов моторов при эксплуатации с полевых аэродромов заводами были изготовлены партии пылефильтров полевого варианта с креплением на уже имеющиеся отверстия в броне. В войска выехали заводские бригады для оборудования такими фильтрами всех ранее выпущенных самолетов. При этом на самолетах завода № 1 одновременно с заменой нижней части всасывающего патрубка заменялась и его верхняя часть (17490).</w:t>
      </w:r>
    </w:p>
    <w:p w14:paraId="68701A4D" w14:textId="77777777" w:rsidR="006825F8" w:rsidRPr="00925F26" w:rsidRDefault="006825F8" w:rsidP="00925F26">
      <w:pPr>
        <w:jc w:val="both"/>
        <w:rPr>
          <w:color w:val="000000" w:themeColor="text1"/>
          <w:sz w:val="16"/>
          <w:szCs w:val="16"/>
        </w:rPr>
      </w:pPr>
    </w:p>
    <w:p w14:paraId="2FADFB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18-й авиазавод сдал ВВС 163 машины Ил-10 (7489).</w:t>
      </w:r>
    </w:p>
    <w:p w14:paraId="409EDCCC" w14:textId="77777777" w:rsidR="00665165" w:rsidRPr="00925F26" w:rsidRDefault="00665165" w:rsidP="00925F26">
      <w:pPr>
        <w:autoSpaceDE w:val="0"/>
        <w:autoSpaceDN w:val="0"/>
        <w:adjustRightInd w:val="0"/>
        <w:jc w:val="both"/>
        <w:rPr>
          <w:color w:val="000000" w:themeColor="text1"/>
          <w:sz w:val="16"/>
          <w:szCs w:val="16"/>
        </w:rPr>
      </w:pPr>
    </w:p>
    <w:p w14:paraId="298949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завод 18 выпустил 163 Ил-10, в марте - 90, в январе - 50. Завод 1 за 1945 сделал 1169 Ил-10, включая 186 спарок УИл-10 (1605,3).</w:t>
      </w:r>
    </w:p>
    <w:p w14:paraId="12E36F44" w14:textId="77777777" w:rsidR="00665165" w:rsidRPr="00925F26" w:rsidRDefault="00665165" w:rsidP="00925F26">
      <w:pPr>
        <w:autoSpaceDE w:val="0"/>
        <w:autoSpaceDN w:val="0"/>
        <w:adjustRightInd w:val="0"/>
        <w:jc w:val="both"/>
        <w:rPr>
          <w:color w:val="000000" w:themeColor="text1"/>
          <w:sz w:val="16"/>
          <w:szCs w:val="16"/>
        </w:rPr>
      </w:pPr>
    </w:p>
    <w:p w14:paraId="3A303E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на Ил-10 перешла 6 гшад, в составе которой был 108 гшап, который вел войсковые испытания 45 Ил-10 (1605,3).</w:t>
      </w:r>
    </w:p>
    <w:p w14:paraId="67CFE539" w14:textId="77777777" w:rsidR="00665165" w:rsidRPr="00925F26" w:rsidRDefault="00665165" w:rsidP="00925F26">
      <w:pPr>
        <w:autoSpaceDE w:val="0"/>
        <w:autoSpaceDN w:val="0"/>
        <w:adjustRightInd w:val="0"/>
        <w:jc w:val="both"/>
        <w:rPr>
          <w:color w:val="000000" w:themeColor="text1"/>
          <w:sz w:val="16"/>
          <w:szCs w:val="16"/>
        </w:rPr>
      </w:pPr>
    </w:p>
    <w:p w14:paraId="2D99B7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на гос. испытания был предъявлен второй экз. Ил-8 с АМ-42, который С.В.И. на 240 заводе переделал из машины, сделанной еще в мае 1943 с системой охлаждения, шасси и оперением по типу Ил-10. Испытывали до августа 1945 (2104).</w:t>
      </w:r>
    </w:p>
    <w:p w14:paraId="7D29B2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F5689" w:rsidRPr="00925F26" w14:paraId="73F3CED7" w14:textId="77777777">
        <w:tc>
          <w:tcPr>
            <w:tcW w:w="3652" w:type="dxa"/>
          </w:tcPr>
          <w:p w14:paraId="43B3F1F0"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695563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Ил-8</w:t>
            </w:r>
          </w:p>
        </w:tc>
        <w:tc>
          <w:tcPr>
            <w:tcW w:w="4394" w:type="dxa"/>
          </w:tcPr>
          <w:p w14:paraId="0BE53A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w:t>
            </w:r>
          </w:p>
        </w:tc>
      </w:tr>
      <w:tr w:rsidR="000F5689" w:rsidRPr="00925F26" w14:paraId="1C1426A2" w14:textId="77777777">
        <w:tc>
          <w:tcPr>
            <w:tcW w:w="3652" w:type="dxa"/>
          </w:tcPr>
          <w:p w14:paraId="6B52F9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Максимальная скорость у земли </w:t>
            </w:r>
          </w:p>
        </w:tc>
        <w:tc>
          <w:tcPr>
            <w:tcW w:w="2410" w:type="dxa"/>
          </w:tcPr>
          <w:p w14:paraId="693C82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461 </w:t>
            </w:r>
          </w:p>
        </w:tc>
        <w:tc>
          <w:tcPr>
            <w:tcW w:w="4394" w:type="dxa"/>
          </w:tcPr>
          <w:p w14:paraId="516148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507</w:t>
            </w:r>
          </w:p>
        </w:tc>
      </w:tr>
      <w:tr w:rsidR="000F5689" w:rsidRPr="00925F26" w14:paraId="1E446268" w14:textId="77777777">
        <w:tc>
          <w:tcPr>
            <w:tcW w:w="3652" w:type="dxa"/>
          </w:tcPr>
          <w:p w14:paraId="4C1AC747"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3A5BD2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(418 с 2хФАБ-500)</w:t>
            </w:r>
          </w:p>
        </w:tc>
        <w:tc>
          <w:tcPr>
            <w:tcW w:w="4394" w:type="dxa"/>
          </w:tcPr>
          <w:p w14:paraId="6F94105B"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5B1B3C7" w14:textId="77777777">
        <w:tc>
          <w:tcPr>
            <w:tcW w:w="3652" w:type="dxa"/>
          </w:tcPr>
          <w:p w14:paraId="407FE0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границе высотности</w:t>
            </w:r>
          </w:p>
        </w:tc>
        <w:tc>
          <w:tcPr>
            <w:tcW w:w="2410" w:type="dxa"/>
          </w:tcPr>
          <w:p w14:paraId="04CB31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509</w:t>
            </w:r>
          </w:p>
        </w:tc>
        <w:tc>
          <w:tcPr>
            <w:tcW w:w="4394" w:type="dxa"/>
          </w:tcPr>
          <w:p w14:paraId="02432A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551</w:t>
            </w:r>
          </w:p>
        </w:tc>
      </w:tr>
      <w:tr w:rsidR="000F5689" w:rsidRPr="00925F26" w14:paraId="52900733" w14:textId="77777777">
        <w:tc>
          <w:tcPr>
            <w:tcW w:w="3652" w:type="dxa"/>
          </w:tcPr>
          <w:p w14:paraId="6D4ABED2" w14:textId="77777777" w:rsidR="00665165" w:rsidRPr="00925F26" w:rsidRDefault="00665165" w:rsidP="00925F26">
            <w:pPr>
              <w:autoSpaceDE w:val="0"/>
              <w:autoSpaceDN w:val="0"/>
              <w:adjustRightInd w:val="0"/>
              <w:jc w:val="both"/>
              <w:rPr>
                <w:color w:val="000000" w:themeColor="text1"/>
                <w:sz w:val="16"/>
                <w:szCs w:val="16"/>
              </w:rPr>
            </w:pPr>
          </w:p>
        </w:tc>
        <w:tc>
          <w:tcPr>
            <w:tcW w:w="2410" w:type="dxa"/>
          </w:tcPr>
          <w:p w14:paraId="678773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(456 с 2хФАБ-500)</w:t>
            </w:r>
          </w:p>
        </w:tc>
        <w:tc>
          <w:tcPr>
            <w:tcW w:w="4394" w:type="dxa"/>
          </w:tcPr>
          <w:p w14:paraId="52744BE2"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1342F45" w14:textId="77777777">
        <w:tc>
          <w:tcPr>
            <w:tcW w:w="3652" w:type="dxa"/>
          </w:tcPr>
          <w:p w14:paraId="7A7111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3000 м</w:t>
            </w:r>
          </w:p>
        </w:tc>
        <w:tc>
          <w:tcPr>
            <w:tcW w:w="2410" w:type="dxa"/>
          </w:tcPr>
          <w:p w14:paraId="5EAC1F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w:t>
            </w:r>
          </w:p>
        </w:tc>
        <w:tc>
          <w:tcPr>
            <w:tcW w:w="4394" w:type="dxa"/>
          </w:tcPr>
          <w:p w14:paraId="0C3C52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w:t>
            </w:r>
          </w:p>
        </w:tc>
      </w:tr>
      <w:tr w:rsidR="000F5689" w:rsidRPr="00925F26" w14:paraId="14FC8626" w14:textId="77777777">
        <w:tc>
          <w:tcPr>
            <w:tcW w:w="3652" w:type="dxa"/>
          </w:tcPr>
          <w:p w14:paraId="4A0618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разбега на 45 м</w:t>
            </w:r>
          </w:p>
        </w:tc>
        <w:tc>
          <w:tcPr>
            <w:tcW w:w="2410" w:type="dxa"/>
          </w:tcPr>
          <w:p w14:paraId="66EA77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520</w:t>
            </w:r>
          </w:p>
        </w:tc>
        <w:tc>
          <w:tcPr>
            <w:tcW w:w="4394" w:type="dxa"/>
          </w:tcPr>
          <w:p w14:paraId="4BFF1C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475</w:t>
            </w:r>
          </w:p>
        </w:tc>
      </w:tr>
      <w:tr w:rsidR="000F5689" w:rsidRPr="00925F26" w14:paraId="4321E692" w14:textId="77777777">
        <w:tc>
          <w:tcPr>
            <w:tcW w:w="3652" w:type="dxa"/>
          </w:tcPr>
          <w:p w14:paraId="36B31D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Нормальная нагрузка</w:t>
            </w:r>
          </w:p>
        </w:tc>
        <w:tc>
          <w:tcPr>
            <w:tcW w:w="2410" w:type="dxa"/>
          </w:tcPr>
          <w:p w14:paraId="107011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2500</w:t>
            </w:r>
          </w:p>
        </w:tc>
        <w:tc>
          <w:tcPr>
            <w:tcW w:w="4394" w:type="dxa"/>
          </w:tcPr>
          <w:p w14:paraId="366B08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1655</w:t>
            </w:r>
          </w:p>
        </w:tc>
      </w:tr>
      <w:tr w:rsidR="000F5689" w:rsidRPr="00925F26" w14:paraId="2E99773D" w14:textId="77777777">
        <w:tc>
          <w:tcPr>
            <w:tcW w:w="3652" w:type="dxa"/>
          </w:tcPr>
          <w:p w14:paraId="069739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2410" w:type="dxa"/>
          </w:tcPr>
          <w:p w14:paraId="7291EB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4394" w:type="dxa"/>
          </w:tcPr>
          <w:p w14:paraId="6300BE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r>
      <w:tr w:rsidR="00561F31" w:rsidRPr="00925F26" w14:paraId="1E07D152" w14:textId="77777777">
        <w:tc>
          <w:tcPr>
            <w:tcW w:w="3652" w:type="dxa"/>
          </w:tcPr>
          <w:p w14:paraId="50803C3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w:t>
            </w:r>
          </w:p>
        </w:tc>
        <w:tc>
          <w:tcPr>
            <w:tcW w:w="2410" w:type="dxa"/>
          </w:tcPr>
          <w:p w14:paraId="629321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1140</w:t>
            </w:r>
          </w:p>
        </w:tc>
        <w:tc>
          <w:tcPr>
            <w:tcW w:w="4394" w:type="dxa"/>
          </w:tcPr>
          <w:p w14:paraId="416A17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 (2104)</w:t>
            </w:r>
          </w:p>
        </w:tc>
      </w:tr>
    </w:tbl>
    <w:p w14:paraId="2CF60491" w14:textId="77777777" w:rsidR="00665165" w:rsidRPr="00925F26" w:rsidRDefault="00665165" w:rsidP="00925F26">
      <w:pPr>
        <w:autoSpaceDE w:val="0"/>
        <w:autoSpaceDN w:val="0"/>
        <w:adjustRightInd w:val="0"/>
        <w:jc w:val="both"/>
        <w:rPr>
          <w:iCs/>
          <w:color w:val="000000" w:themeColor="text1"/>
          <w:sz w:val="16"/>
          <w:szCs w:val="16"/>
        </w:rPr>
      </w:pPr>
    </w:p>
    <w:p w14:paraId="02CF5B6D" w14:textId="77777777" w:rsidR="00517B76" w:rsidRPr="001A0BAA" w:rsidRDefault="00517B76" w:rsidP="00517B76">
      <w:pPr>
        <w:jc w:val="both"/>
        <w:rPr>
          <w:color w:val="0070C0"/>
          <w:sz w:val="16"/>
          <w:szCs w:val="16"/>
        </w:rPr>
      </w:pPr>
      <w:r w:rsidRPr="001A0BAA">
        <w:rPr>
          <w:rStyle w:val="aff0"/>
          <w:rFonts w:ascii="Times New Roman" w:hAnsi="Times New Roman" w:cs="Times New Roman"/>
          <w:color w:val="0070C0"/>
          <w:spacing w:val="0"/>
          <w:sz w:val="16"/>
          <w:szCs w:val="16"/>
        </w:rPr>
        <w:t>В мае 1945 года Ил-8-2 передали в НИИ ВВС. На машине заимствовав ряд технических решений с Ил- 10, включая шасси, пушки НС-23 в крыле и орудие УБ-20 на установке УВ-9 вместо пулемета УБТ он облагородил его обводы. Кроме этого, расширили номенклатуру бомбового вооружения. В итоге получили фактически новую машину. На самолете кроме обычной приемо-передающей радиостанции установили радиополукомпас и радиоопознаватель СЧ-3 («свой-чужой»).</w:t>
      </w:r>
    </w:p>
    <w:p w14:paraId="67F328C8" w14:textId="77777777" w:rsidR="00517B76" w:rsidRPr="001A0BAA" w:rsidRDefault="00517B76" w:rsidP="00517B76">
      <w:pPr>
        <w:jc w:val="both"/>
        <w:rPr>
          <w:color w:val="0070C0"/>
          <w:sz w:val="16"/>
          <w:szCs w:val="16"/>
        </w:rPr>
      </w:pPr>
      <w:r w:rsidRPr="001A0BAA">
        <w:rPr>
          <w:rStyle w:val="aff0"/>
          <w:rFonts w:ascii="Times New Roman" w:hAnsi="Times New Roman" w:cs="Times New Roman"/>
          <w:color w:val="0070C0"/>
          <w:spacing w:val="0"/>
          <w:sz w:val="16"/>
          <w:szCs w:val="16"/>
        </w:rPr>
        <w:t>Заводские испытания штурмовика за</w:t>
      </w:r>
      <w:r w:rsidRPr="001A0BAA">
        <w:rPr>
          <w:rStyle w:val="aff0"/>
          <w:rFonts w:ascii="Times New Roman" w:hAnsi="Times New Roman" w:cs="Times New Roman"/>
          <w:color w:val="0070C0"/>
          <w:spacing w:val="0"/>
          <w:sz w:val="16"/>
          <w:szCs w:val="16"/>
        </w:rPr>
        <w:softHyphen/>
        <w:t>тянулись и завершились лишь после замены пропеллера четырехлопастным АВ-9Л-22Б диаметром 3,6 м (25091).</w:t>
      </w:r>
    </w:p>
    <w:p w14:paraId="767065BC" w14:textId="77777777" w:rsidR="00517B76" w:rsidRPr="001A0BAA" w:rsidRDefault="00517B76" w:rsidP="00517B76">
      <w:pPr>
        <w:jc w:val="both"/>
        <w:rPr>
          <w:color w:val="0070C0"/>
          <w:sz w:val="16"/>
          <w:szCs w:val="16"/>
        </w:rPr>
      </w:pPr>
    </w:p>
    <w:p w14:paraId="7519F6F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г. в ЛИИ испытывали новый пропеллер для Ил-4 АВ-7ФЕ-158А. Летал Н.С. Рыбко. Винты удостоились удовлетворитель</w:t>
      </w:r>
      <w:r w:rsidRPr="00925F26">
        <w:rPr>
          <w:color w:val="000000" w:themeColor="text1"/>
          <w:sz w:val="16"/>
          <w:szCs w:val="16"/>
        </w:rPr>
        <w:softHyphen/>
        <w:t>ной оценки, их рекомендовали для госу</w:t>
      </w:r>
      <w:r w:rsidRPr="00925F26">
        <w:rPr>
          <w:color w:val="000000" w:themeColor="text1"/>
          <w:sz w:val="16"/>
          <w:szCs w:val="16"/>
        </w:rPr>
        <w:softHyphen/>
        <w:t>дарственных и войсковых испытаний. Их ставили на некоторые Ил-4 послед</w:t>
      </w:r>
      <w:r w:rsidRPr="00925F26">
        <w:rPr>
          <w:color w:val="000000" w:themeColor="text1"/>
          <w:sz w:val="16"/>
          <w:szCs w:val="16"/>
        </w:rPr>
        <w:softHyphen/>
        <w:t>них серий (10734,81).</w:t>
      </w:r>
    </w:p>
    <w:p w14:paraId="0024DF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1ADE6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в ЛИИ испытывали новый пропеллер АВ-7ФЕ-158А для Ил-4. Летал Н.С.Рыбко. Винты удостоились удовлетворительной оценки, их рекомендовали для государственных и войсковых испытаний. Их ставили на некоторые Ил-4 последних серий (7666).</w:t>
      </w:r>
    </w:p>
    <w:p w14:paraId="276136BC" w14:textId="77777777" w:rsidR="00665165" w:rsidRPr="00925F26" w:rsidRDefault="00665165" w:rsidP="00925F26">
      <w:pPr>
        <w:autoSpaceDE w:val="0"/>
        <w:autoSpaceDN w:val="0"/>
        <w:adjustRightInd w:val="0"/>
        <w:jc w:val="both"/>
        <w:rPr>
          <w:color w:val="000000" w:themeColor="text1"/>
          <w:sz w:val="16"/>
          <w:szCs w:val="16"/>
        </w:rPr>
      </w:pPr>
    </w:p>
    <w:p w14:paraId="577D90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в ЛИИ испытывали новый пропеллер АВ-7ФЕ-158А для Ил-4. Продолжались эксперименты с флюгируемыми винтами. Летал Н.С. Рыбко. Винты удостоились удовлетворительной оценки, их рекомендовали для государственных и войсковых испытаний. Их ставили на некоторые Ил-4 последних серий (12021).</w:t>
      </w:r>
    </w:p>
    <w:p w14:paraId="071D8646" w14:textId="77777777" w:rsidR="00665165" w:rsidRPr="00925F26" w:rsidRDefault="00665165" w:rsidP="00925F26">
      <w:pPr>
        <w:autoSpaceDE w:val="0"/>
        <w:autoSpaceDN w:val="0"/>
        <w:adjustRightInd w:val="0"/>
        <w:jc w:val="both"/>
        <w:rPr>
          <w:color w:val="000000" w:themeColor="text1"/>
          <w:sz w:val="16"/>
          <w:szCs w:val="16"/>
        </w:rPr>
      </w:pPr>
    </w:p>
    <w:p w14:paraId="12B4E4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проходил заводские испытания Пе-2М с двигателями ВК-108. В этом же месяце машина испытывалась в ГК НИИ ВВС. Много рекламаций было на стрелковые установки завода № 43, обладавшие низкой надежностью, что и стало главной причиной отказа от Пе-2М (3337).</w:t>
      </w:r>
    </w:p>
    <w:p w14:paraId="409BB329" w14:textId="77777777" w:rsidR="00665165" w:rsidRPr="00925F26" w:rsidRDefault="00665165" w:rsidP="00925F26">
      <w:pPr>
        <w:autoSpaceDE w:val="0"/>
        <w:autoSpaceDN w:val="0"/>
        <w:adjustRightInd w:val="0"/>
        <w:jc w:val="both"/>
        <w:rPr>
          <w:color w:val="000000" w:themeColor="text1"/>
          <w:sz w:val="16"/>
          <w:szCs w:val="16"/>
        </w:rPr>
      </w:pPr>
    </w:p>
    <w:p w14:paraId="3034F9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самолет Ер-2 исследовали в натурной аэродинамической трубе Т-101 ЦАГИ, и вслед за этим начались его летные испытания. Из-за вышедшего из строя левого двигателя и последовавшей его замены испытания затянулись до середины сентября. За этот период на самолете выполнили 28 полетов общей продолжительностью 20 ч 28 мин. (11994)</w:t>
      </w:r>
    </w:p>
    <w:p w14:paraId="7B5823EB" w14:textId="77777777" w:rsidR="00665165" w:rsidRPr="00925F26" w:rsidRDefault="00665165" w:rsidP="00925F26">
      <w:pPr>
        <w:autoSpaceDE w:val="0"/>
        <w:autoSpaceDN w:val="0"/>
        <w:adjustRightInd w:val="0"/>
        <w:jc w:val="both"/>
        <w:rPr>
          <w:color w:val="000000" w:themeColor="text1"/>
          <w:sz w:val="16"/>
          <w:szCs w:val="16"/>
        </w:rPr>
      </w:pPr>
    </w:p>
    <w:p w14:paraId="7F66D7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наркомат авиапромышленности решил привлечь к сборке Ер-2 таганрогский завод N 86. Из Иркутска железнодорожным транспортом туда были отправлены пять комплектов узлов и агрегатов. Судя по всему, именно это выдающееся событие впоследствии позволило некоторым историкам авиации утверждать, что в Таганроге якобы осуществлялось серийное производство Ер-2 (3322,44).</w:t>
      </w:r>
    </w:p>
    <w:p w14:paraId="275A7780" w14:textId="77777777" w:rsidR="00665165" w:rsidRPr="00925F26" w:rsidRDefault="00665165" w:rsidP="00925F26">
      <w:pPr>
        <w:autoSpaceDE w:val="0"/>
        <w:autoSpaceDN w:val="0"/>
        <w:adjustRightInd w:val="0"/>
        <w:jc w:val="both"/>
        <w:rPr>
          <w:color w:val="000000" w:themeColor="text1"/>
          <w:sz w:val="16"/>
          <w:szCs w:val="16"/>
        </w:rPr>
      </w:pPr>
    </w:p>
    <w:p w14:paraId="54A73759" w14:textId="77777777" w:rsidR="0027059D" w:rsidRPr="00925F26" w:rsidRDefault="0027059D" w:rsidP="00925F26">
      <w:pPr>
        <w:shd w:val="clear" w:color="auto" w:fill="FFFFFF"/>
        <w:jc w:val="both"/>
        <w:rPr>
          <w:color w:val="000000" w:themeColor="text1"/>
          <w:sz w:val="16"/>
          <w:szCs w:val="16"/>
        </w:rPr>
      </w:pPr>
      <w:r w:rsidRPr="00925F26">
        <w:rPr>
          <w:color w:val="000000" w:themeColor="text1"/>
          <w:sz w:val="16"/>
          <w:szCs w:val="16"/>
        </w:rPr>
        <w:t>В мае месяце 1945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2E0346F9" w14:textId="77777777" w:rsidR="0027059D" w:rsidRPr="00925F26" w:rsidRDefault="0027059D" w:rsidP="00925F26">
      <w:pPr>
        <w:shd w:val="clear" w:color="auto" w:fill="FFFFFF"/>
        <w:jc w:val="both"/>
        <w:rPr>
          <w:color w:val="000000" w:themeColor="text1"/>
          <w:sz w:val="16"/>
          <w:szCs w:val="16"/>
        </w:rPr>
      </w:pPr>
    </w:p>
    <w:p w14:paraId="4EC678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в ЦИАМе приступили к наземным испытаниям комбинированной силовой установки Э-3130.</w:t>
      </w:r>
    </w:p>
    <w:p w14:paraId="2F1063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Работу над вариантом Ер-2 с комбинированной силовой установкой, включавшей дизели М-30Б и воздушно-реактивными компрессорными двигателями (ВРДК) завершилась в 1943 г. в ЦИАМ под руководством А.И. Толстова. Принципиальной особенностью ВРДК являлось использование поршневого М-ЗОБ с воздушным винтом в качестве основных двигателей на всех этапах полета, а пары ВРДК - как ускорителей, необходимых для сокращения разбега или кратковременного увеличения скорости полета.</w:t>
      </w:r>
    </w:p>
    <w:p w14:paraId="22D3AE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Результаты наземных испытаний в 1945 показали, что тяга ускорителя на номинальном режиме составляла 625 кг, а суммарная, с учетом работы двигателя АЧ-30Б - 875 кг, при этом удельный расход топлива достигал 3,63 кг/кгс/ч, что почти в три раза превышало аналогичный параметр ТРД, созданных в Германии (11994).</w:t>
      </w:r>
    </w:p>
    <w:p w14:paraId="2DE15F85" w14:textId="77777777" w:rsidR="00665165" w:rsidRPr="00925F26" w:rsidRDefault="00665165" w:rsidP="00925F26">
      <w:pPr>
        <w:autoSpaceDE w:val="0"/>
        <w:autoSpaceDN w:val="0"/>
        <w:adjustRightInd w:val="0"/>
        <w:jc w:val="both"/>
        <w:rPr>
          <w:color w:val="000000" w:themeColor="text1"/>
          <w:sz w:val="16"/>
          <w:szCs w:val="16"/>
        </w:rPr>
      </w:pPr>
    </w:p>
    <w:p w14:paraId="3A1A33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в ОКБ А.Н.Т. сделали Ту-2 с М-39ФНВ под шифром 68 (Ту-4, а затем Ту-10) (2629,27).</w:t>
      </w:r>
    </w:p>
    <w:p w14:paraId="1A2478D9" w14:textId="77777777" w:rsidR="00665165" w:rsidRPr="00925F26" w:rsidRDefault="00665165" w:rsidP="00925F26">
      <w:pPr>
        <w:autoSpaceDE w:val="0"/>
        <w:autoSpaceDN w:val="0"/>
        <w:adjustRightInd w:val="0"/>
        <w:jc w:val="both"/>
        <w:rPr>
          <w:color w:val="000000" w:themeColor="text1"/>
          <w:sz w:val="16"/>
          <w:szCs w:val="16"/>
        </w:rPr>
      </w:pPr>
    </w:p>
    <w:p w14:paraId="0C2ABFD3" w14:textId="77777777" w:rsidR="00E90D9A" w:rsidRPr="001A0BAA" w:rsidRDefault="00E90D9A" w:rsidP="00E90D9A">
      <w:pPr>
        <w:jc w:val="both"/>
        <w:rPr>
          <w:color w:val="0070C0"/>
          <w:sz w:val="16"/>
          <w:szCs w:val="16"/>
        </w:rPr>
      </w:pPr>
      <w:r w:rsidRPr="001A0BAA">
        <w:rPr>
          <w:color w:val="0070C0"/>
          <w:sz w:val="16"/>
          <w:szCs w:val="16"/>
        </w:rPr>
        <w:t>В мае 1945 года появился самолет «65» - дальнейшим развитием идеи «Ту</w:t>
      </w:r>
      <w:r w:rsidRPr="001A0BAA">
        <w:rPr>
          <w:color w:val="0070C0"/>
          <w:sz w:val="16"/>
          <w:szCs w:val="16"/>
        </w:rPr>
        <w:noBreakHyphen/>
        <w:t>2Д», предназначенный для разведки с высоты 8500–9000 м. Машину создали на базе серийного Ту</w:t>
      </w:r>
      <w:r w:rsidRPr="001A0BAA">
        <w:rPr>
          <w:color w:val="0070C0"/>
          <w:sz w:val="16"/>
          <w:szCs w:val="16"/>
        </w:rPr>
        <w:noBreakHyphen/>
        <w:t>2 «201». На самолет установили рядные двигатели жидкостного охлаждения АМ</w:t>
      </w:r>
      <w:r w:rsidRPr="001A0BAA">
        <w:rPr>
          <w:color w:val="0070C0"/>
          <w:sz w:val="16"/>
          <w:szCs w:val="16"/>
        </w:rPr>
        <w:noBreakHyphen/>
        <w:t>44 (1650/1950 л.с.) с турбонаддувом АМ</w:t>
      </w:r>
      <w:r w:rsidRPr="001A0BAA">
        <w:rPr>
          <w:color w:val="0070C0"/>
          <w:sz w:val="16"/>
          <w:szCs w:val="16"/>
        </w:rPr>
        <w:noBreakHyphen/>
        <w:t>ТК</w:t>
      </w:r>
      <w:r w:rsidRPr="001A0BAA">
        <w:rPr>
          <w:color w:val="0070C0"/>
          <w:sz w:val="16"/>
          <w:szCs w:val="16"/>
        </w:rPr>
        <w:noBreakHyphen/>
        <w:t>1В и винтами АВ</w:t>
      </w:r>
      <w:r w:rsidRPr="001A0BAA">
        <w:rPr>
          <w:color w:val="0070C0"/>
          <w:sz w:val="16"/>
          <w:szCs w:val="16"/>
        </w:rPr>
        <w:noBreakHyphen/>
        <w:t>5ЛВ</w:t>
      </w:r>
      <w:r w:rsidRPr="001A0BAA">
        <w:rPr>
          <w:color w:val="0070C0"/>
          <w:sz w:val="16"/>
          <w:szCs w:val="16"/>
        </w:rPr>
        <w:noBreakHyphen/>
        <w:t>188Б с механической регулировкой шага винта и диаметром 3,8 м. На самолете установили новую топливную и масляную систему, установили увеличенное хвостовое оперение, оснастили компасом ПДК</w:t>
      </w:r>
      <w:r w:rsidRPr="001A0BAA">
        <w:rPr>
          <w:color w:val="0070C0"/>
          <w:sz w:val="16"/>
          <w:szCs w:val="16"/>
        </w:rPr>
        <w:noBreakHyphen/>
        <w:t>44 и внесли еще ряд изменений (25073).</w:t>
      </w:r>
    </w:p>
    <w:p w14:paraId="5F0DCB01" w14:textId="77777777" w:rsidR="00E90D9A" w:rsidRPr="001A0BAA" w:rsidRDefault="00E90D9A" w:rsidP="00E90D9A">
      <w:pPr>
        <w:jc w:val="both"/>
        <w:rPr>
          <w:color w:val="0070C0"/>
          <w:sz w:val="16"/>
          <w:szCs w:val="16"/>
        </w:rPr>
      </w:pPr>
    </w:p>
    <w:p w14:paraId="2F31DEE6" w14:textId="77777777" w:rsidR="00E90D9A" w:rsidRPr="001A0BAA" w:rsidRDefault="00E90D9A" w:rsidP="00E90D9A">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мае 1945 г. был облетан опытный бомбардировщик Ту-10 (самолёт «68») с двига</w:t>
      </w:r>
      <w:r w:rsidRPr="001A0BAA">
        <w:rPr>
          <w:rStyle w:val="aff0"/>
          <w:rFonts w:ascii="Times New Roman" w:hAnsi="Times New Roman" w:cs="Times New Roman"/>
          <w:color w:val="0070C0"/>
          <w:spacing w:val="0"/>
          <w:sz w:val="16"/>
          <w:szCs w:val="16"/>
        </w:rPr>
        <w:softHyphen/>
        <w:t>телями АМ-39ФНВ (1885 л.с.). В 1946 г. их заменили на АМ-39ФНВ2 с четырёхлопастными винтами (25146).</w:t>
      </w:r>
    </w:p>
    <w:p w14:paraId="2740E8DC" w14:textId="77777777" w:rsidR="00E90D9A" w:rsidRPr="001A0BAA" w:rsidRDefault="00E90D9A" w:rsidP="00E90D9A">
      <w:pPr>
        <w:jc w:val="both"/>
        <w:rPr>
          <w:color w:val="0070C0"/>
          <w:sz w:val="16"/>
          <w:szCs w:val="16"/>
        </w:rPr>
      </w:pPr>
    </w:p>
    <w:p w14:paraId="00320875" w14:textId="77777777" w:rsidR="00E90D9A" w:rsidRPr="001A0BAA" w:rsidRDefault="00E90D9A" w:rsidP="00E90D9A">
      <w:pPr>
        <w:jc w:val="both"/>
        <w:rPr>
          <w:color w:val="0070C0"/>
          <w:sz w:val="16"/>
          <w:szCs w:val="16"/>
        </w:rPr>
      </w:pPr>
      <w:r w:rsidRPr="001A0BAA">
        <w:rPr>
          <w:color w:val="0070C0"/>
          <w:sz w:val="16"/>
          <w:szCs w:val="16"/>
        </w:rPr>
        <w:t>В мае 1945, чтобы улучшить условия работы штурмана, Туполев приступил к созданию нового бомбардировщика на базе Ту</w:t>
      </w:r>
      <w:r w:rsidRPr="001A0BAA">
        <w:rPr>
          <w:color w:val="0070C0"/>
          <w:sz w:val="16"/>
          <w:szCs w:val="16"/>
        </w:rPr>
        <w:noBreakHyphen/>
        <w:t>2, оснащенного двигателями АМ</w:t>
      </w:r>
      <w:r w:rsidRPr="001A0BAA">
        <w:rPr>
          <w:color w:val="0070C0"/>
          <w:sz w:val="16"/>
          <w:szCs w:val="16"/>
        </w:rPr>
        <w:noBreakHyphen/>
        <w:t>39ФНВ (жидкостного охлаждения с непосредственным впрыском топлива мощностью 1850 л.с.) и самолет был готов и получил заводское обозначение «68». Этот новый фронтовой бомбардировщик обозначался как Ту</w:t>
      </w:r>
      <w:r w:rsidRPr="001A0BAA">
        <w:rPr>
          <w:color w:val="0070C0"/>
          <w:sz w:val="16"/>
          <w:szCs w:val="16"/>
        </w:rPr>
        <w:noBreakHyphen/>
        <w:t>10 или Ту</w:t>
      </w:r>
      <w:r w:rsidRPr="001A0BAA">
        <w:rPr>
          <w:color w:val="0070C0"/>
          <w:sz w:val="16"/>
          <w:szCs w:val="16"/>
        </w:rPr>
        <w:noBreakHyphen/>
        <w:t>4. От серийного Ту</w:t>
      </w:r>
      <w:r w:rsidRPr="001A0BAA">
        <w:rPr>
          <w:color w:val="0070C0"/>
          <w:sz w:val="16"/>
          <w:szCs w:val="16"/>
        </w:rPr>
        <w:noBreakHyphen/>
        <w:t>2 он отличался в следующих деталях:</w:t>
      </w:r>
    </w:p>
    <w:p w14:paraId="1A7B1D63" w14:textId="77777777" w:rsidR="00E90D9A" w:rsidRPr="001A0BAA" w:rsidRDefault="00E90D9A" w:rsidP="00E90D9A">
      <w:pPr>
        <w:jc w:val="both"/>
        <w:rPr>
          <w:color w:val="0070C0"/>
          <w:sz w:val="16"/>
          <w:szCs w:val="16"/>
        </w:rPr>
      </w:pPr>
      <w:r w:rsidRPr="001A0BAA">
        <w:rPr>
          <w:color w:val="0070C0"/>
          <w:sz w:val="16"/>
          <w:szCs w:val="16"/>
        </w:rPr>
        <w:t>Увеличенная площадь остекления в носовой части фюзеляжа, три бортовых окна заменены одним большим. В центроплан перенесли радиаторы;</w:t>
      </w:r>
    </w:p>
    <w:p w14:paraId="0023313E" w14:textId="77777777" w:rsidR="00E90D9A" w:rsidRPr="001A0BAA" w:rsidRDefault="00E90D9A" w:rsidP="00E90D9A">
      <w:pPr>
        <w:jc w:val="both"/>
        <w:rPr>
          <w:color w:val="0070C0"/>
          <w:sz w:val="16"/>
          <w:szCs w:val="16"/>
        </w:rPr>
      </w:pPr>
      <w:r w:rsidRPr="001A0BAA">
        <w:rPr>
          <w:color w:val="0070C0"/>
          <w:sz w:val="16"/>
          <w:szCs w:val="16"/>
        </w:rPr>
        <w:t>Установлены двигатели АМ</w:t>
      </w:r>
      <w:r w:rsidRPr="001A0BAA">
        <w:rPr>
          <w:color w:val="0070C0"/>
          <w:sz w:val="16"/>
          <w:szCs w:val="16"/>
        </w:rPr>
        <w:noBreakHyphen/>
        <w:t>39ФНВ;</w:t>
      </w:r>
    </w:p>
    <w:p w14:paraId="6124C3EF" w14:textId="77777777" w:rsidR="00E90D9A" w:rsidRPr="001A0BAA" w:rsidRDefault="00E90D9A" w:rsidP="00E90D9A">
      <w:pPr>
        <w:jc w:val="both"/>
        <w:rPr>
          <w:color w:val="0070C0"/>
          <w:sz w:val="16"/>
          <w:szCs w:val="16"/>
        </w:rPr>
      </w:pPr>
      <w:r w:rsidRPr="001A0BAA">
        <w:rPr>
          <w:color w:val="0070C0"/>
          <w:sz w:val="16"/>
          <w:szCs w:val="16"/>
        </w:rPr>
        <w:t>Изменили планировку кабины штурмана и стрелка</w:t>
      </w:r>
      <w:r w:rsidRPr="001A0BAA">
        <w:rPr>
          <w:color w:val="0070C0"/>
          <w:sz w:val="16"/>
          <w:szCs w:val="16"/>
        </w:rPr>
        <w:noBreakHyphen/>
        <w:t>радиста, модифицировали огневую точку в нижней части фюзеляжа (25073).</w:t>
      </w:r>
    </w:p>
    <w:p w14:paraId="5A7DA4DC" w14:textId="77777777" w:rsidR="00E90D9A" w:rsidRPr="001A0BAA" w:rsidRDefault="00E90D9A" w:rsidP="00E90D9A">
      <w:pPr>
        <w:jc w:val="both"/>
        <w:rPr>
          <w:color w:val="0070C0"/>
          <w:sz w:val="16"/>
          <w:szCs w:val="16"/>
        </w:rPr>
      </w:pPr>
    </w:p>
    <w:p w14:paraId="589DC7B1" w14:textId="3E591FDE" w:rsidR="003B056E" w:rsidRPr="00925F26" w:rsidRDefault="003B056E" w:rsidP="00925F26">
      <w:pPr>
        <w:jc w:val="both"/>
        <w:rPr>
          <w:color w:val="000000" w:themeColor="text1"/>
          <w:sz w:val="16"/>
          <w:szCs w:val="16"/>
        </w:rPr>
      </w:pPr>
      <w:r w:rsidRPr="00925F26">
        <w:rPr>
          <w:color w:val="000000" w:themeColor="text1"/>
          <w:sz w:val="16"/>
          <w:szCs w:val="16"/>
        </w:rPr>
        <w:t xml:space="preserve">В мае 1945, после окончания войны оказалось, что фронтовых бомбардировщиков в советских ВВС насчитывается много, но значительная часть из них устарела и уже </w:t>
      </w:r>
      <w:proofErr w:type="gramStart"/>
      <w:r w:rsidRPr="00925F26">
        <w:rPr>
          <w:color w:val="000000" w:themeColor="text1"/>
          <w:sz w:val="16"/>
          <w:szCs w:val="16"/>
        </w:rPr>
        <w:t>не</w:t>
      </w:r>
      <w:r w:rsidR="00997EDF" w:rsidRPr="00925F26">
        <w:rPr>
          <w:color w:val="000000" w:themeColor="text1"/>
          <w:sz w:val="16"/>
          <w:szCs w:val="16"/>
        </w:rPr>
        <w:t xml:space="preserve">  </w:t>
      </w:r>
      <w:r w:rsidRPr="00925F26">
        <w:rPr>
          <w:color w:val="000000" w:themeColor="text1"/>
          <w:sz w:val="16"/>
          <w:szCs w:val="16"/>
        </w:rPr>
        <w:t>в</w:t>
      </w:r>
      <w:proofErr w:type="gramEnd"/>
      <w:r w:rsidRPr="00925F26">
        <w:rPr>
          <w:color w:val="000000" w:themeColor="text1"/>
          <w:sz w:val="16"/>
          <w:szCs w:val="16"/>
        </w:rPr>
        <w:t xml:space="preserve"> полной мере отвечает современному уровню. Встала задача качественного обновления парка. Немалая роль в этом процессе отводилась Ту-2, который являлся последним из принятых на вооружение самолетов данного класса. В это время промышленность начала переходить на режим мирного времени. Это означало, что у рабочих опять появились выходные дни и отпуска, стали незаконными постоянные сверхурочные работы. Вследствие этого производственная мощность завода № 23, выпускавшего самолеты Ту-2, упала более чем на треть. НКАП решил скомпенсировать потери передачей изготовления части узлов другим предприятиям. Заводу № 30 поручили поставлять консоли крыла, хвостовую часть фюзеляжа, № 82 – моторамы, заводам №№ 500 и 122 – отдельные детали. С середины декабря все </w:t>
      </w:r>
      <w:r w:rsidRPr="00925F26">
        <w:rPr>
          <w:color w:val="000000" w:themeColor="text1"/>
          <w:sz w:val="16"/>
          <w:szCs w:val="16"/>
        </w:rPr>
        <w:lastRenderedPageBreak/>
        <w:t xml:space="preserve">комплектующие должны были поступить на сборку в Филях. Но эти предприятия испытывали те же трудности переходного периода. </w:t>
      </w:r>
      <w:proofErr w:type="gramStart"/>
      <w:r w:rsidRPr="00925F26">
        <w:rPr>
          <w:color w:val="000000" w:themeColor="text1"/>
          <w:sz w:val="16"/>
          <w:szCs w:val="16"/>
        </w:rPr>
        <w:t>До</w:t>
      </w:r>
      <w:r w:rsidR="00997EDF" w:rsidRPr="00925F26">
        <w:rPr>
          <w:color w:val="000000" w:themeColor="text1"/>
          <w:sz w:val="16"/>
          <w:szCs w:val="16"/>
        </w:rPr>
        <w:t xml:space="preserve">  </w:t>
      </w:r>
      <w:r w:rsidRPr="00925F26">
        <w:rPr>
          <w:color w:val="000000" w:themeColor="text1"/>
          <w:sz w:val="16"/>
          <w:szCs w:val="16"/>
        </w:rPr>
        <w:t>конца</w:t>
      </w:r>
      <w:proofErr w:type="gramEnd"/>
      <w:r w:rsidRPr="00925F26">
        <w:rPr>
          <w:color w:val="000000" w:themeColor="text1"/>
          <w:sz w:val="16"/>
          <w:szCs w:val="16"/>
        </w:rPr>
        <w:t xml:space="preserve"> года с других заводов ничего не прибыло. Во-вторых, в конце войны советские ВВС, добившиеся перевеса в воздухе над противником, уже могли себе позволить требовать устранения тех недостатков, с которыми ранее мирились. Обзор из кабины Ту-2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w:t>
      </w:r>
      <w:proofErr w:type="gramStart"/>
      <w:r w:rsidRPr="00925F26">
        <w:rPr>
          <w:color w:val="000000" w:themeColor="text1"/>
          <w:sz w:val="16"/>
          <w:szCs w:val="16"/>
        </w:rPr>
        <w:t>из</w:t>
      </w:r>
      <w:r w:rsidR="00997EDF" w:rsidRPr="00925F26">
        <w:rPr>
          <w:color w:val="000000" w:themeColor="text1"/>
          <w:sz w:val="16"/>
          <w:szCs w:val="16"/>
        </w:rPr>
        <w:t xml:space="preserve">  </w:t>
      </w:r>
      <w:r w:rsidRPr="00925F26">
        <w:rPr>
          <w:color w:val="000000" w:themeColor="text1"/>
          <w:sz w:val="16"/>
          <w:szCs w:val="16"/>
        </w:rPr>
        <w:t>баков</w:t>
      </w:r>
      <w:proofErr w:type="gramEnd"/>
      <w:r w:rsidRPr="00925F26">
        <w:rPr>
          <w:color w:val="000000" w:themeColor="text1"/>
          <w:sz w:val="16"/>
          <w:szCs w:val="16"/>
        </w:rPr>
        <w:t xml:space="preserve">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крыле</w:t>
      </w:r>
      <w:proofErr w:type="gramEnd"/>
      <w:r w:rsidRPr="00925F26">
        <w:rPr>
          <w:color w:val="000000" w:themeColor="text1"/>
          <w:sz w:val="16"/>
          <w:szCs w:val="16"/>
        </w:rPr>
        <w:t xml:space="preserve">, что нарушало центровку и осложняло пилотирование. Наземные службы жаловались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длительность</w:t>
      </w:r>
      <w:proofErr w:type="gramEnd"/>
      <w:r w:rsidRPr="00925F26">
        <w:rPr>
          <w:color w:val="000000" w:themeColor="text1"/>
          <w:sz w:val="16"/>
          <w:szCs w:val="16"/>
        </w:rPr>
        <w:t xml:space="preserve"> процесса заправки. 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А вот на Ту-2 имелась только система «1-й зоны» – наддув баков. 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 Многие из этих дефектов подтвердились на контрольных испытаниях в НИИ ВВС самолета № 24/32, выпущенного в июне 1945 г. Машина их не выдержала, испытатели составили длинный список недостатков. 7–8 сентября 1945 г. главный инженер ВВС провел совещание по дефектам Ту-2 и их устранению. Туполеву предложили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кратчайшие</w:t>
      </w:r>
      <w:proofErr w:type="gramEnd"/>
      <w:r w:rsidRPr="00925F26">
        <w:rPr>
          <w:color w:val="000000" w:themeColor="text1"/>
          <w:sz w:val="16"/>
          <w:szCs w:val="16"/>
        </w:rPr>
        <w:t xml:space="preserve">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шаровыми</w:t>
      </w:r>
      <w:proofErr w:type="gramEnd"/>
      <w:r w:rsidRPr="00925F26">
        <w:rPr>
          <w:color w:val="000000" w:themeColor="text1"/>
          <w:sz w:val="16"/>
          <w:szCs w:val="16"/>
        </w:rPr>
        <w:t xml:space="preserve"> и телескопическими соединениями. С 29-й серии бомбовый прицел ОПБ-1Р заменили на ОПБ-1Д. Постановление ГКО требовало сделать это еще </w:t>
      </w:r>
      <w:proofErr w:type="gramStart"/>
      <w:r w:rsidRPr="00925F26">
        <w:rPr>
          <w:color w:val="000000" w:themeColor="text1"/>
          <w:sz w:val="16"/>
          <w:szCs w:val="16"/>
        </w:rPr>
        <w:t>во</w:t>
      </w:r>
      <w:r w:rsidR="00997EDF" w:rsidRPr="00925F26">
        <w:rPr>
          <w:color w:val="000000" w:themeColor="text1"/>
          <w:sz w:val="16"/>
          <w:szCs w:val="16"/>
        </w:rPr>
        <w:t xml:space="preserve">  </w:t>
      </w:r>
      <w:r w:rsidRPr="00925F26">
        <w:rPr>
          <w:color w:val="000000" w:themeColor="text1"/>
          <w:sz w:val="16"/>
          <w:szCs w:val="16"/>
        </w:rPr>
        <w:t>втором</w:t>
      </w:r>
      <w:proofErr w:type="gramEnd"/>
      <w:r w:rsidRPr="00925F26">
        <w:rPr>
          <w:color w:val="000000" w:themeColor="text1"/>
          <w:sz w:val="16"/>
          <w:szCs w:val="16"/>
        </w:rPr>
        <w:t xml:space="preserve"> квартале 1944 г., а с 1 октября выпускать с ними не менее половины машин. Получилось, что опоздали </w:t>
      </w:r>
      <w:proofErr w:type="gramStart"/>
      <w:r w:rsidRPr="00925F26">
        <w:rPr>
          <w:color w:val="000000" w:themeColor="text1"/>
          <w:sz w:val="16"/>
          <w:szCs w:val="16"/>
        </w:rPr>
        <w:t>почти</w:t>
      </w:r>
      <w:r w:rsidR="00997EDF" w:rsidRPr="00925F26">
        <w:rPr>
          <w:color w:val="000000" w:themeColor="text1"/>
          <w:sz w:val="16"/>
          <w:szCs w:val="16"/>
        </w:rPr>
        <w:t xml:space="preserve">  </w:t>
      </w:r>
      <w:r w:rsidRPr="00925F26">
        <w:rPr>
          <w:color w:val="000000" w:themeColor="text1"/>
          <w:sz w:val="16"/>
          <w:szCs w:val="16"/>
        </w:rPr>
        <w:t>на</w:t>
      </w:r>
      <w:proofErr w:type="gramEnd"/>
      <w:r w:rsidR="00997EDF" w:rsidRPr="00925F26">
        <w:rPr>
          <w:color w:val="000000" w:themeColor="text1"/>
          <w:sz w:val="16"/>
          <w:szCs w:val="16"/>
        </w:rPr>
        <w:t xml:space="preserve">  </w:t>
      </w:r>
      <w:r w:rsidRPr="00925F26">
        <w:rPr>
          <w:color w:val="000000" w:themeColor="text1"/>
          <w:sz w:val="16"/>
          <w:szCs w:val="16"/>
        </w:rPr>
        <w:t xml:space="preserve">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w:t>
      </w:r>
      <w:proofErr w:type="gramStart"/>
      <w:r w:rsidRPr="00925F26">
        <w:rPr>
          <w:color w:val="000000" w:themeColor="text1"/>
          <w:sz w:val="16"/>
          <w:szCs w:val="16"/>
        </w:rPr>
        <w:t>а</w:t>
      </w:r>
      <w:r w:rsidR="00997EDF" w:rsidRPr="00925F26">
        <w:rPr>
          <w:color w:val="000000" w:themeColor="text1"/>
          <w:sz w:val="16"/>
          <w:szCs w:val="16"/>
        </w:rPr>
        <w:t xml:space="preserve">  </w:t>
      </w:r>
      <w:r w:rsidRPr="00925F26">
        <w:rPr>
          <w:color w:val="000000" w:themeColor="text1"/>
          <w:sz w:val="16"/>
          <w:szCs w:val="16"/>
        </w:rPr>
        <w:t>с</w:t>
      </w:r>
      <w:proofErr w:type="gramEnd"/>
      <w:r w:rsidRPr="00925F26">
        <w:rPr>
          <w:color w:val="000000" w:themeColor="text1"/>
          <w:sz w:val="16"/>
          <w:szCs w:val="16"/>
        </w:rPr>
        <w:t xml:space="preserve">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начале</w:t>
      </w:r>
      <w:proofErr w:type="gramEnd"/>
      <w:r w:rsidRPr="00925F26">
        <w:rPr>
          <w:color w:val="000000" w:themeColor="text1"/>
          <w:sz w:val="16"/>
          <w:szCs w:val="16"/>
        </w:rPr>
        <w:t xml:space="preserve">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w:t>
      </w:r>
      <w:proofErr w:type="gramStart"/>
      <w:r w:rsidRPr="00925F26">
        <w:rPr>
          <w:color w:val="000000" w:themeColor="text1"/>
          <w:sz w:val="16"/>
          <w:szCs w:val="16"/>
        </w:rPr>
        <w:t>конструкций</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реле</w:t>
      </w:r>
      <w:proofErr w:type="gramEnd"/>
      <w:r w:rsidRPr="00925F26">
        <w:rPr>
          <w:color w:val="000000" w:themeColor="text1"/>
          <w:sz w:val="16"/>
          <w:szCs w:val="16"/>
        </w:rPr>
        <w:t xml:space="preserve">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997EDF" w:rsidRPr="00925F26">
        <w:rPr>
          <w:color w:val="000000" w:themeColor="text1"/>
          <w:sz w:val="16"/>
          <w:szCs w:val="16"/>
        </w:rPr>
        <w:t xml:space="preserve">  </w:t>
      </w:r>
      <w:r w:rsidRPr="00925F26">
        <w:rPr>
          <w:color w:val="000000" w:themeColor="text1"/>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997EDF" w:rsidRPr="00925F26">
        <w:rPr>
          <w:color w:val="000000" w:themeColor="text1"/>
          <w:sz w:val="16"/>
          <w:szCs w:val="16"/>
        </w:rPr>
        <w:t xml:space="preserve">  </w:t>
      </w:r>
      <w:r w:rsidRPr="00925F26">
        <w:rPr>
          <w:color w:val="000000" w:themeColor="text1"/>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3802AA64" w14:textId="77777777" w:rsidR="003B056E" w:rsidRPr="00925F26" w:rsidRDefault="003B056E" w:rsidP="00925F26">
      <w:pPr>
        <w:jc w:val="both"/>
        <w:rPr>
          <w:color w:val="000000" w:themeColor="text1"/>
          <w:sz w:val="16"/>
          <w:szCs w:val="16"/>
        </w:rPr>
      </w:pPr>
    </w:p>
    <w:p w14:paraId="043CE6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в НИИ ВВС в Чкаловском закончили испытания Пе-8 (ТБ-7) ОН N 42712 с АЧ-30Б и ВИШ-61В, которые вели с апреля 1945. Был еще и 42612 (1103,143).</w:t>
      </w:r>
    </w:p>
    <w:p w14:paraId="2F631218" w14:textId="77777777" w:rsidR="00665165" w:rsidRPr="00925F26" w:rsidRDefault="00665165" w:rsidP="00925F26">
      <w:pPr>
        <w:autoSpaceDE w:val="0"/>
        <w:autoSpaceDN w:val="0"/>
        <w:adjustRightInd w:val="0"/>
        <w:jc w:val="both"/>
        <w:rPr>
          <w:color w:val="000000" w:themeColor="text1"/>
          <w:sz w:val="16"/>
          <w:szCs w:val="16"/>
        </w:rPr>
      </w:pPr>
    </w:p>
    <w:p w14:paraId="06B9DD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закончились государственные испытания второго Пе-8ОН в ГК НИИ ВВС, которые проходили с марта или апреля 1945.</w:t>
      </w:r>
    </w:p>
    <w:p w14:paraId="2374C1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51232D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ВВС гма А.А.Новиков утвердил 5 июня 1945</w:t>
      </w:r>
    </w:p>
    <w:p w14:paraId="4D922E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7C0CBD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0FD596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0FED22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17485F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4E96A2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3D3E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7285A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0D6EFF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76532C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6FE0C0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1C37F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2935E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13D49DF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5EBBD3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66B0DB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29DB54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5E5004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3EC1C5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2AC977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0DFB75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02DD2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785E98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600241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518C8D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1813F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504129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6EE168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58783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173B94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Шиманову</w:t>
      </w:r>
    </w:p>
    <w:p w14:paraId="63CBDF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1F3993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7ECE07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41006B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482B7A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470F54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321E69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53AFB0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плохая работа РПД (не обеспечивается поддержка наддува). Заменено 6 РПД по различным причинам</w:t>
      </w:r>
    </w:p>
    <w:p w14:paraId="16187CE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447BED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61489E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3A073B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428FF7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2804C9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5ABD58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CFB8F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49CBCF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2AEFF1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42B3B5B8" w14:textId="77777777">
        <w:tc>
          <w:tcPr>
            <w:tcW w:w="4219" w:type="dxa"/>
            <w:tcBorders>
              <w:top w:val="single" w:sz="12" w:space="0" w:color="auto"/>
            </w:tcBorders>
          </w:tcPr>
          <w:p w14:paraId="5214334D" w14:textId="77777777" w:rsidR="00665165" w:rsidRPr="00925F26" w:rsidRDefault="00665165"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6C00FE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7D1FBD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45C8C8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2F3E1EA3" w14:textId="77777777">
        <w:tc>
          <w:tcPr>
            <w:tcW w:w="4219" w:type="dxa"/>
          </w:tcPr>
          <w:p w14:paraId="034F32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1041FC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4E8505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603D6A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4B7D847C" w14:textId="77777777">
        <w:tc>
          <w:tcPr>
            <w:tcW w:w="4219" w:type="dxa"/>
          </w:tcPr>
          <w:p w14:paraId="7D2A2B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55E425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2C870E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544739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5FBF564D" w14:textId="77777777">
        <w:tc>
          <w:tcPr>
            <w:tcW w:w="4219" w:type="dxa"/>
          </w:tcPr>
          <w:p w14:paraId="295057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0A3C6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49C852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251633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6370C9BA" w14:textId="77777777">
        <w:tc>
          <w:tcPr>
            <w:tcW w:w="4219" w:type="dxa"/>
          </w:tcPr>
          <w:p w14:paraId="4A5EBE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2FB6C9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124D57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3C27F1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76E0C5C8" w14:textId="77777777">
        <w:tc>
          <w:tcPr>
            <w:tcW w:w="4219" w:type="dxa"/>
          </w:tcPr>
          <w:p w14:paraId="78F7D3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566710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4AE752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274E03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0D2C9A04" w14:textId="77777777">
        <w:tc>
          <w:tcPr>
            <w:tcW w:w="4219" w:type="dxa"/>
          </w:tcPr>
          <w:p w14:paraId="281087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1D3232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29C7F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776F8A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01C65F35" w14:textId="77777777">
        <w:tc>
          <w:tcPr>
            <w:tcW w:w="4219" w:type="dxa"/>
          </w:tcPr>
          <w:p w14:paraId="031D40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143200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5D3949F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79D880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18CF4116" w14:textId="77777777">
        <w:tc>
          <w:tcPr>
            <w:tcW w:w="4219" w:type="dxa"/>
          </w:tcPr>
          <w:p w14:paraId="323F2A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3C4B7D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372BC8C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25C1D9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6989E37D" w14:textId="77777777">
        <w:tc>
          <w:tcPr>
            <w:tcW w:w="4219" w:type="dxa"/>
          </w:tcPr>
          <w:p w14:paraId="6200A8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4E3A25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27B7B2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4D3E49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42B2FC7C" w14:textId="77777777">
        <w:tc>
          <w:tcPr>
            <w:tcW w:w="4219" w:type="dxa"/>
          </w:tcPr>
          <w:p w14:paraId="69E92F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31D767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2FB411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2A0CA8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7C0C1CCB" w14:textId="77777777">
        <w:tc>
          <w:tcPr>
            <w:tcW w:w="4219" w:type="dxa"/>
          </w:tcPr>
          <w:p w14:paraId="678CEB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24204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04CC6F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31D60F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32C6532D" w14:textId="77777777">
        <w:tc>
          <w:tcPr>
            <w:tcW w:w="4219" w:type="dxa"/>
          </w:tcPr>
          <w:p w14:paraId="77B984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232FD7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7D775B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66F07B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794A2245" w14:textId="77777777">
        <w:tc>
          <w:tcPr>
            <w:tcW w:w="4219" w:type="dxa"/>
          </w:tcPr>
          <w:p w14:paraId="7D71B4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0E1F98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6D381F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1D1CEA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4566AB82" w14:textId="77777777">
        <w:tc>
          <w:tcPr>
            <w:tcW w:w="4219" w:type="dxa"/>
          </w:tcPr>
          <w:p w14:paraId="2C119F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3B15B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4ACFBD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1E97EC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11882864" w14:textId="77777777">
        <w:tc>
          <w:tcPr>
            <w:tcW w:w="4219" w:type="dxa"/>
          </w:tcPr>
          <w:p w14:paraId="0ECE70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20B208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68FFB8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35657D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07AC9042" w14:textId="77777777">
        <w:tc>
          <w:tcPr>
            <w:tcW w:w="4219" w:type="dxa"/>
          </w:tcPr>
          <w:p w14:paraId="2F824D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34E82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4901D1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65DA6D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167BCAE8" w14:textId="77777777">
        <w:tc>
          <w:tcPr>
            <w:tcW w:w="4219" w:type="dxa"/>
          </w:tcPr>
          <w:p w14:paraId="0226F4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2B7E48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26A8E3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383CFB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2ACDA275" w14:textId="77777777">
        <w:tc>
          <w:tcPr>
            <w:tcW w:w="4219" w:type="dxa"/>
            <w:tcBorders>
              <w:bottom w:val="single" w:sz="12" w:space="0" w:color="auto"/>
            </w:tcBorders>
          </w:tcPr>
          <w:p w14:paraId="2623E1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4990AB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4E17C4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00E6A1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2DDE33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407907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7E2B64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61BA40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414C91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696A8DBF" w14:textId="77777777">
        <w:tc>
          <w:tcPr>
            <w:tcW w:w="675" w:type="dxa"/>
            <w:tcBorders>
              <w:top w:val="single" w:sz="12" w:space="0" w:color="auto"/>
            </w:tcBorders>
          </w:tcPr>
          <w:p w14:paraId="3164D8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04C891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1D7FC0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49029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036233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3649D108" w14:textId="77777777">
        <w:tc>
          <w:tcPr>
            <w:tcW w:w="675" w:type="dxa"/>
          </w:tcPr>
          <w:p w14:paraId="37CCDAC3" w14:textId="77777777" w:rsidR="00665165" w:rsidRPr="00925F26" w:rsidRDefault="00665165" w:rsidP="00925F26">
            <w:pPr>
              <w:autoSpaceDE w:val="0"/>
              <w:autoSpaceDN w:val="0"/>
              <w:adjustRightInd w:val="0"/>
              <w:jc w:val="both"/>
              <w:rPr>
                <w:color w:val="000000" w:themeColor="text1"/>
                <w:sz w:val="16"/>
                <w:szCs w:val="16"/>
              </w:rPr>
            </w:pPr>
          </w:p>
        </w:tc>
        <w:tc>
          <w:tcPr>
            <w:tcW w:w="993" w:type="dxa"/>
          </w:tcPr>
          <w:p w14:paraId="48F146C7"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6B351542" w14:textId="77777777" w:rsidR="00665165" w:rsidRPr="00925F26" w:rsidRDefault="00665165" w:rsidP="00925F26">
            <w:pPr>
              <w:autoSpaceDE w:val="0"/>
              <w:autoSpaceDN w:val="0"/>
              <w:adjustRightInd w:val="0"/>
              <w:jc w:val="both"/>
              <w:rPr>
                <w:color w:val="000000" w:themeColor="text1"/>
                <w:sz w:val="16"/>
                <w:szCs w:val="16"/>
              </w:rPr>
            </w:pPr>
          </w:p>
        </w:tc>
        <w:tc>
          <w:tcPr>
            <w:tcW w:w="992" w:type="dxa"/>
          </w:tcPr>
          <w:p w14:paraId="6E7D846D" w14:textId="77777777" w:rsidR="00665165" w:rsidRPr="00925F26" w:rsidRDefault="00665165" w:rsidP="00925F26">
            <w:pPr>
              <w:autoSpaceDE w:val="0"/>
              <w:autoSpaceDN w:val="0"/>
              <w:adjustRightInd w:val="0"/>
              <w:jc w:val="both"/>
              <w:rPr>
                <w:color w:val="000000" w:themeColor="text1"/>
                <w:sz w:val="16"/>
                <w:szCs w:val="16"/>
              </w:rPr>
            </w:pPr>
          </w:p>
        </w:tc>
        <w:tc>
          <w:tcPr>
            <w:tcW w:w="1134" w:type="dxa"/>
          </w:tcPr>
          <w:p w14:paraId="604E48C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04DBC975" w14:textId="77777777">
        <w:tc>
          <w:tcPr>
            <w:tcW w:w="675" w:type="dxa"/>
          </w:tcPr>
          <w:p w14:paraId="48E4ED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116DDB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3E9093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4B6802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70338E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210C8A0C" w14:textId="77777777">
        <w:tc>
          <w:tcPr>
            <w:tcW w:w="675" w:type="dxa"/>
          </w:tcPr>
          <w:p w14:paraId="7ECC42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7D13A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76D87F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6A9A5B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3EB782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61466960" w14:textId="77777777">
        <w:tc>
          <w:tcPr>
            <w:tcW w:w="675" w:type="dxa"/>
          </w:tcPr>
          <w:p w14:paraId="7918BC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44F373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4A9561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5FCF3B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2C33FB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0BA86667" w14:textId="77777777">
        <w:tc>
          <w:tcPr>
            <w:tcW w:w="675" w:type="dxa"/>
          </w:tcPr>
          <w:p w14:paraId="65456C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3354E9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5B7D49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06FF8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129F7D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12255060" w14:textId="77777777">
        <w:tc>
          <w:tcPr>
            <w:tcW w:w="675" w:type="dxa"/>
          </w:tcPr>
          <w:p w14:paraId="566D38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3721A5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20D89C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30F55C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4FFC03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3BC4BEC8" w14:textId="77777777">
        <w:tc>
          <w:tcPr>
            <w:tcW w:w="675" w:type="dxa"/>
          </w:tcPr>
          <w:p w14:paraId="3C892E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75CA6E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71F53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667D71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757C47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78414A45" w14:textId="77777777">
        <w:tc>
          <w:tcPr>
            <w:tcW w:w="675" w:type="dxa"/>
          </w:tcPr>
          <w:p w14:paraId="05D7C2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414678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4779DB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8F7F2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4B0E22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2B41BC5E" w14:textId="77777777">
        <w:tc>
          <w:tcPr>
            <w:tcW w:w="675" w:type="dxa"/>
          </w:tcPr>
          <w:p w14:paraId="7BCB2E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3CD42F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333540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1CE84F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174774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511EB905" w14:textId="77777777">
        <w:tc>
          <w:tcPr>
            <w:tcW w:w="675" w:type="dxa"/>
            <w:tcBorders>
              <w:bottom w:val="single" w:sz="12" w:space="0" w:color="auto"/>
            </w:tcBorders>
          </w:tcPr>
          <w:p w14:paraId="13E434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34CFF6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29398D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20019C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78DCFE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22ACE5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29D23E7E" w14:textId="77777777">
        <w:tc>
          <w:tcPr>
            <w:tcW w:w="1868" w:type="dxa"/>
            <w:tcBorders>
              <w:top w:val="single" w:sz="12" w:space="0" w:color="auto"/>
            </w:tcBorders>
          </w:tcPr>
          <w:p w14:paraId="5DEAAD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0F0A95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2417C2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3E8E5E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76BA1A1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5C87E5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648051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7B15079B" w14:textId="77777777">
        <w:tc>
          <w:tcPr>
            <w:tcW w:w="1868" w:type="dxa"/>
          </w:tcPr>
          <w:p w14:paraId="01B437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79B387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776E11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54A066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2880BB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6DA944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11BF83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0F9CFBEE" w14:textId="77777777">
        <w:tc>
          <w:tcPr>
            <w:tcW w:w="1868" w:type="dxa"/>
          </w:tcPr>
          <w:p w14:paraId="70D1C7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3AF1DF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6C2AFE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4866A5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24F070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3726B3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62B332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50D725C1" w14:textId="77777777">
        <w:tc>
          <w:tcPr>
            <w:tcW w:w="1868" w:type="dxa"/>
          </w:tcPr>
          <w:p w14:paraId="147992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2000</w:t>
            </w:r>
          </w:p>
        </w:tc>
        <w:tc>
          <w:tcPr>
            <w:tcW w:w="1075" w:type="dxa"/>
          </w:tcPr>
          <w:p w14:paraId="16E41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48158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7CBDCA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17FE23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BAD74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186AB6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45DDCD24" w14:textId="77777777">
        <w:tc>
          <w:tcPr>
            <w:tcW w:w="1868" w:type="dxa"/>
          </w:tcPr>
          <w:p w14:paraId="68D041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1879CD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13CFD0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26825B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72075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1E3DEA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48537C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08B0D3C5" w14:textId="77777777">
        <w:tc>
          <w:tcPr>
            <w:tcW w:w="1868" w:type="dxa"/>
          </w:tcPr>
          <w:p w14:paraId="6913C6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36B12A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45C9B2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65C532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593038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9E681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0AFF8C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2D0A63CB" w14:textId="77777777">
        <w:tc>
          <w:tcPr>
            <w:tcW w:w="1868" w:type="dxa"/>
          </w:tcPr>
          <w:p w14:paraId="02B8DC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08DC9E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12BF3E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4DCA5F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67CC53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49BE1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0B2532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0029BD56" w14:textId="77777777">
        <w:tc>
          <w:tcPr>
            <w:tcW w:w="1868" w:type="dxa"/>
          </w:tcPr>
          <w:p w14:paraId="02A331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49A32B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13D4FD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6D0512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76ABB7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34A676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7123A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37A2E500" w14:textId="77777777">
        <w:tc>
          <w:tcPr>
            <w:tcW w:w="1868" w:type="dxa"/>
          </w:tcPr>
          <w:p w14:paraId="5C5144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34B2BF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48734C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0A3DED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04CE41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77A2E7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3F9E51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4D4994F1" w14:textId="77777777">
        <w:tc>
          <w:tcPr>
            <w:tcW w:w="1868" w:type="dxa"/>
            <w:tcBorders>
              <w:bottom w:val="single" w:sz="12" w:space="0" w:color="auto"/>
            </w:tcBorders>
          </w:tcPr>
          <w:p w14:paraId="7F37F0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2013B9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2FB39B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185352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4F90C8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006C76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5BFB28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1AE3B6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гр. Высотности - 1850 м, скор. 5,7, 2-я гр. Высотности - 5500, скор. 3,15</w:t>
      </w:r>
    </w:p>
    <w:p w14:paraId="2CD265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1E9CF7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06E066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69CB7AE0"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3E35D8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32ADCA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5038CC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2E1A0E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 мая 1945 (1000,3).</w:t>
      </w:r>
    </w:p>
    <w:p w14:paraId="38A217B4" w14:textId="77777777" w:rsidR="00665165" w:rsidRPr="00925F26" w:rsidRDefault="00665165" w:rsidP="00925F26">
      <w:pPr>
        <w:autoSpaceDE w:val="0"/>
        <w:autoSpaceDN w:val="0"/>
        <w:adjustRightInd w:val="0"/>
        <w:jc w:val="both"/>
        <w:rPr>
          <w:color w:val="000000" w:themeColor="text1"/>
          <w:sz w:val="16"/>
          <w:szCs w:val="16"/>
        </w:rPr>
      </w:pPr>
    </w:p>
    <w:p w14:paraId="44402283" w14:textId="77777777" w:rsidR="003E5301" w:rsidRPr="001A0BAA" w:rsidRDefault="003E5301" w:rsidP="003E5301">
      <w:pPr>
        <w:jc w:val="both"/>
        <w:rPr>
          <w:color w:val="0070C0"/>
          <w:sz w:val="16"/>
          <w:szCs w:val="16"/>
        </w:rPr>
      </w:pPr>
      <w:r w:rsidRPr="001A0BAA">
        <w:rPr>
          <w:color w:val="0070C0"/>
          <w:sz w:val="16"/>
          <w:szCs w:val="16"/>
        </w:rPr>
        <w:t>В мае 1946 в ОКБ П.О.С. были подготовлены материалы для эскизного проекта шестидвигательного бомбардировщика первого варианта со средним расположением крыла, составленного из двух тра</w:t>
      </w:r>
      <w:r w:rsidRPr="001A0BAA">
        <w:rPr>
          <w:color w:val="0070C0"/>
          <w:sz w:val="16"/>
          <w:szCs w:val="16"/>
        </w:rPr>
        <w:softHyphen/>
        <w:t>пеций с малой относительной толщиной (12 %) почти симмет</w:t>
      </w:r>
      <w:r w:rsidRPr="001A0BAA">
        <w:rPr>
          <w:color w:val="0070C0"/>
          <w:sz w:val="16"/>
          <w:szCs w:val="16"/>
        </w:rPr>
        <w:softHyphen/>
        <w:t>ричного профиля. При этом указывалось на ряд преимуществ, получаемых от размещения двигателей в габаритах фюзеляжа.</w:t>
      </w:r>
    </w:p>
    <w:p w14:paraId="6B78D534" w14:textId="77777777" w:rsidR="003E5301" w:rsidRPr="001A0BAA" w:rsidRDefault="003E5301" w:rsidP="003E5301">
      <w:pPr>
        <w:jc w:val="both"/>
        <w:rPr>
          <w:color w:val="0070C0"/>
          <w:sz w:val="16"/>
          <w:szCs w:val="16"/>
        </w:rPr>
      </w:pPr>
      <w:r w:rsidRPr="001A0BAA">
        <w:rPr>
          <w:color w:val="0070C0"/>
          <w:sz w:val="16"/>
          <w:szCs w:val="16"/>
        </w:rPr>
        <w:t>Каркас крыла имел мощный передний лонжерон, заднюю стенку, набор стрингеров и нервюр. Основная стойка опоры с двумя колесами убиралась в усиленную нервюрами нишу кры</w:t>
      </w:r>
      <w:r w:rsidRPr="001A0BAA">
        <w:rPr>
          <w:color w:val="0070C0"/>
          <w:sz w:val="16"/>
          <w:szCs w:val="16"/>
        </w:rPr>
        <w:softHyphen/>
        <w:t>ла, которая была образована передним лонжероном, задней и бортовой стенками. Далее по размаху находился крыльевой топливный бак. По задней кромке до элерона применили мощ</w:t>
      </w:r>
      <w:r w:rsidRPr="001A0BAA">
        <w:rPr>
          <w:color w:val="0070C0"/>
          <w:sz w:val="16"/>
          <w:szCs w:val="16"/>
        </w:rPr>
        <w:softHyphen/>
        <w:t>ный выдвижной щиток.</w:t>
      </w:r>
    </w:p>
    <w:p w14:paraId="15980F06" w14:textId="77777777" w:rsidR="003E5301" w:rsidRPr="001A0BAA" w:rsidRDefault="003E5301" w:rsidP="003E5301">
      <w:pPr>
        <w:jc w:val="both"/>
        <w:rPr>
          <w:color w:val="0070C0"/>
          <w:sz w:val="16"/>
          <w:szCs w:val="16"/>
        </w:rPr>
      </w:pPr>
      <w:r w:rsidRPr="001A0BAA">
        <w:rPr>
          <w:color w:val="0070C0"/>
          <w:sz w:val="16"/>
          <w:szCs w:val="16"/>
        </w:rPr>
        <w:t>Стремление к минимальному миделю привело к совершен</w:t>
      </w:r>
      <w:r w:rsidRPr="001A0BAA">
        <w:rPr>
          <w:color w:val="0070C0"/>
          <w:sz w:val="16"/>
          <w:szCs w:val="16"/>
        </w:rPr>
        <w:softHyphen/>
        <w:t>но непривычной и своеобразной компоновке фюзеляжа. В си</w:t>
      </w:r>
      <w:r w:rsidRPr="001A0BAA">
        <w:rPr>
          <w:color w:val="0070C0"/>
          <w:sz w:val="16"/>
          <w:szCs w:val="16"/>
        </w:rPr>
        <w:softHyphen/>
        <w:t>гарообразную конструкцию овального сечения были вписаны все шесть двигателей. Четыре из них располагались попарно, друг над другом, по бортам центральной части фюзеляжа.</w:t>
      </w:r>
    </w:p>
    <w:p w14:paraId="058518A6" w14:textId="77777777" w:rsidR="003E5301" w:rsidRPr="001A0BAA" w:rsidRDefault="003E5301" w:rsidP="003E5301">
      <w:pPr>
        <w:jc w:val="both"/>
        <w:rPr>
          <w:color w:val="0070C0"/>
          <w:sz w:val="16"/>
          <w:szCs w:val="16"/>
        </w:rPr>
      </w:pPr>
      <w:r w:rsidRPr="001A0BAA">
        <w:rPr>
          <w:color w:val="0070C0"/>
          <w:sz w:val="16"/>
          <w:szCs w:val="16"/>
        </w:rPr>
        <w:t>Перед входной частью каждого канала воздухозаборника фюзеляж был «поджат». Канал каждой пары двигателей пос</w:t>
      </w:r>
      <w:r w:rsidRPr="001A0BAA">
        <w:rPr>
          <w:color w:val="0070C0"/>
          <w:sz w:val="16"/>
          <w:szCs w:val="16"/>
        </w:rPr>
        <w:softHyphen/>
        <w:t>ле входа раздваивался и обходил лонжерон крыла сверху в снизу, попадая во входные устройства РД-10.</w:t>
      </w:r>
    </w:p>
    <w:p w14:paraId="5E0F4602" w14:textId="77777777" w:rsidR="003E5301" w:rsidRPr="001A0BAA" w:rsidRDefault="003E5301" w:rsidP="003E5301">
      <w:pPr>
        <w:jc w:val="both"/>
        <w:rPr>
          <w:color w:val="0070C0"/>
          <w:sz w:val="16"/>
          <w:szCs w:val="16"/>
        </w:rPr>
      </w:pPr>
      <w:r w:rsidRPr="001A0BAA">
        <w:rPr>
          <w:color w:val="0070C0"/>
          <w:sz w:val="16"/>
          <w:szCs w:val="16"/>
        </w:rPr>
        <w:t>Остальные два двигателя подвешивались в носовой части под кабиной летчика и были как бы «вдавлены» в фюзеляж.</w:t>
      </w:r>
    </w:p>
    <w:p w14:paraId="0AFDB34A" w14:textId="77777777" w:rsidR="003E5301" w:rsidRPr="001A0BAA" w:rsidRDefault="003E5301" w:rsidP="003E5301">
      <w:pPr>
        <w:jc w:val="both"/>
        <w:rPr>
          <w:color w:val="0070C0"/>
          <w:sz w:val="16"/>
          <w:szCs w:val="16"/>
        </w:rPr>
      </w:pPr>
      <w:r w:rsidRPr="001A0BAA">
        <w:rPr>
          <w:color w:val="0070C0"/>
          <w:sz w:val="16"/>
          <w:szCs w:val="16"/>
        </w:rPr>
        <w:t>Центральную часть фюзеляжа образовывал бимс, в конст</w:t>
      </w:r>
      <w:r w:rsidRPr="001A0BAA">
        <w:rPr>
          <w:color w:val="0070C0"/>
          <w:sz w:val="16"/>
          <w:szCs w:val="16"/>
        </w:rPr>
        <w:softHyphen/>
        <w:t>рукцию которого входил большой бомбоотсек, переходивший в хвостовую балку с вертикальным оперением и кабиной зад</w:t>
      </w:r>
      <w:r w:rsidRPr="001A0BAA">
        <w:rPr>
          <w:color w:val="0070C0"/>
          <w:sz w:val="16"/>
          <w:szCs w:val="16"/>
        </w:rPr>
        <w:softHyphen/>
        <w:t>него стрелка. Спереди бомбоотсек плавно переходил в кабину экипажа [70].</w:t>
      </w:r>
    </w:p>
    <w:p w14:paraId="41D3DB53" w14:textId="77777777" w:rsidR="003E5301" w:rsidRPr="001A0BAA" w:rsidRDefault="003E5301" w:rsidP="003E5301">
      <w:pPr>
        <w:jc w:val="both"/>
        <w:rPr>
          <w:color w:val="0070C0"/>
          <w:sz w:val="16"/>
          <w:szCs w:val="16"/>
        </w:rPr>
      </w:pPr>
      <w:r w:rsidRPr="001A0BAA">
        <w:rPr>
          <w:color w:val="0070C0"/>
          <w:sz w:val="16"/>
          <w:szCs w:val="16"/>
        </w:rPr>
        <w:t>Каркас всего фюзеляжа состоял из набора шпангоутов нескольких лонжеронов, причем стрингерный набор полнос</w:t>
      </w:r>
      <w:r w:rsidRPr="001A0BAA">
        <w:rPr>
          <w:color w:val="0070C0"/>
          <w:sz w:val="16"/>
          <w:szCs w:val="16"/>
        </w:rPr>
        <w:softHyphen/>
        <w:t>тью отсутствовал.</w:t>
      </w:r>
    </w:p>
    <w:p w14:paraId="7791D6E4" w14:textId="77777777" w:rsidR="003E5301" w:rsidRPr="001A0BAA" w:rsidRDefault="003E5301" w:rsidP="003E5301">
      <w:pPr>
        <w:jc w:val="both"/>
        <w:rPr>
          <w:color w:val="0070C0"/>
          <w:sz w:val="16"/>
          <w:szCs w:val="16"/>
        </w:rPr>
      </w:pPr>
      <w:r w:rsidRPr="001A0BAA">
        <w:rPr>
          <w:color w:val="0070C0"/>
          <w:sz w:val="16"/>
          <w:szCs w:val="16"/>
        </w:rPr>
        <w:t>Экипаж самолета состоял из пилота, штурмана, стрелка- радиста и стрелка задней огневой точки (в кормовой части фюзеляжа). Стрелок-радист кроме передней огневой точки обслуживал и верхнюю, используя для этого лаз в первом топ</w:t>
      </w:r>
      <w:r w:rsidRPr="001A0BAA">
        <w:rPr>
          <w:color w:val="0070C0"/>
          <w:sz w:val="16"/>
          <w:szCs w:val="16"/>
        </w:rPr>
        <w:softHyphen/>
        <w:t>ливном баке. Для защиты экипажа устанавливалось брониро</w:t>
      </w:r>
      <w:r w:rsidRPr="001A0BAA">
        <w:rPr>
          <w:color w:val="0070C0"/>
          <w:sz w:val="16"/>
          <w:szCs w:val="16"/>
        </w:rPr>
        <w:softHyphen/>
        <w:t>вание общей массой 275,77 кг.</w:t>
      </w:r>
    </w:p>
    <w:p w14:paraId="30EDDD91" w14:textId="77777777" w:rsidR="003E5301" w:rsidRPr="001A0BAA" w:rsidRDefault="003E5301" w:rsidP="003E5301">
      <w:pPr>
        <w:jc w:val="both"/>
        <w:rPr>
          <w:color w:val="0070C0"/>
          <w:sz w:val="16"/>
          <w:szCs w:val="16"/>
        </w:rPr>
      </w:pPr>
      <w:r w:rsidRPr="001A0BAA">
        <w:rPr>
          <w:color w:val="0070C0"/>
          <w:sz w:val="16"/>
          <w:szCs w:val="16"/>
        </w:rPr>
        <w:t>Топливная система самолета состояла из двух крыльевых баков по 600 л, первого фюзеляжного бака — 4500 л, бака N° 2 — 3000 л и бака № 4 — 1200 л. Суммарный запас топли</w:t>
      </w:r>
      <w:r w:rsidRPr="001A0BAA">
        <w:rPr>
          <w:color w:val="0070C0"/>
          <w:sz w:val="16"/>
          <w:szCs w:val="16"/>
        </w:rPr>
        <w:softHyphen/>
        <w:t>ва составлял 7700 л.</w:t>
      </w:r>
    </w:p>
    <w:p w14:paraId="3059DD84" w14:textId="77777777" w:rsidR="003E5301" w:rsidRPr="001A0BAA" w:rsidRDefault="003E5301" w:rsidP="003E5301">
      <w:pPr>
        <w:jc w:val="both"/>
        <w:rPr>
          <w:color w:val="0070C0"/>
          <w:sz w:val="16"/>
          <w:szCs w:val="16"/>
        </w:rPr>
      </w:pPr>
      <w:r w:rsidRPr="001A0BAA">
        <w:rPr>
          <w:color w:val="0070C0"/>
          <w:sz w:val="16"/>
          <w:szCs w:val="16"/>
        </w:rPr>
        <w:t>В состав радиооборудования входили РПКО-2, РСИ-6, приемник радиовысотомера РВ-2, приемник УС-3, передат</w:t>
      </w:r>
      <w:r w:rsidRPr="001A0BAA">
        <w:rPr>
          <w:color w:val="0070C0"/>
          <w:sz w:val="16"/>
          <w:szCs w:val="16"/>
        </w:rPr>
        <w:softHyphen/>
        <w:t>чик РСБ-3-БИС. Кислородное оборудование состояло из вось</w:t>
      </w:r>
      <w:r w:rsidRPr="001A0BAA">
        <w:rPr>
          <w:color w:val="0070C0"/>
          <w:sz w:val="16"/>
          <w:szCs w:val="16"/>
        </w:rPr>
        <w:softHyphen/>
        <w:t>ми кислородных баллонов по 4 л и кислородных приборов КП-14.</w:t>
      </w:r>
    </w:p>
    <w:p w14:paraId="0293E2A1" w14:textId="77777777" w:rsidR="003E5301" w:rsidRPr="001A0BAA" w:rsidRDefault="003E5301" w:rsidP="003E5301">
      <w:pPr>
        <w:jc w:val="both"/>
        <w:rPr>
          <w:color w:val="0070C0"/>
          <w:sz w:val="16"/>
          <w:szCs w:val="16"/>
        </w:rPr>
      </w:pPr>
      <w:r w:rsidRPr="001A0BAA">
        <w:rPr>
          <w:color w:val="0070C0"/>
          <w:sz w:val="16"/>
          <w:szCs w:val="16"/>
        </w:rPr>
        <w:t>Управление элеронами, рулем высоты и стабилизатором сделали жесткое, рулем поворота — смешанное, закрылками — жесткое.</w:t>
      </w:r>
    </w:p>
    <w:p w14:paraId="7E69ED83" w14:textId="77777777" w:rsidR="003E5301" w:rsidRPr="001A0BAA" w:rsidRDefault="003E5301" w:rsidP="003E5301">
      <w:pPr>
        <w:jc w:val="both"/>
        <w:rPr>
          <w:color w:val="0070C0"/>
          <w:sz w:val="16"/>
          <w:szCs w:val="16"/>
        </w:rPr>
      </w:pPr>
      <w:r w:rsidRPr="001A0BAA">
        <w:rPr>
          <w:color w:val="0070C0"/>
          <w:sz w:val="16"/>
          <w:szCs w:val="16"/>
        </w:rPr>
        <w:t>Для уменьшения длины разбега предусматривалась уста</w:t>
      </w:r>
      <w:r w:rsidRPr="001A0BAA">
        <w:rPr>
          <w:color w:val="0070C0"/>
          <w:sz w:val="16"/>
          <w:szCs w:val="16"/>
        </w:rPr>
        <w:softHyphen/>
        <w:t>новка четырех стартовых ускорителей.</w:t>
      </w:r>
    </w:p>
    <w:p w14:paraId="40C9AF2E" w14:textId="77777777" w:rsidR="003E5301" w:rsidRPr="001A0BAA" w:rsidRDefault="003E5301" w:rsidP="003E5301">
      <w:pPr>
        <w:jc w:val="both"/>
        <w:rPr>
          <w:color w:val="0070C0"/>
          <w:sz w:val="16"/>
          <w:szCs w:val="16"/>
        </w:rPr>
      </w:pPr>
      <w:r w:rsidRPr="001A0BAA">
        <w:rPr>
          <w:color w:val="0070C0"/>
          <w:sz w:val="16"/>
          <w:szCs w:val="16"/>
        </w:rPr>
        <w:t>Геометрические данные Су--10: размах крыла — 20,6 м, дли</w:t>
      </w:r>
      <w:r w:rsidRPr="001A0BAA">
        <w:rPr>
          <w:color w:val="0070C0"/>
          <w:sz w:val="16"/>
          <w:szCs w:val="16"/>
        </w:rPr>
        <w:softHyphen/>
        <w:t>на фюзеляжа — 14,8 м, размах оперения — 7,5 м, высота само</w:t>
      </w:r>
      <w:r w:rsidRPr="001A0BAA">
        <w:rPr>
          <w:color w:val="0070C0"/>
          <w:sz w:val="16"/>
          <w:szCs w:val="16"/>
        </w:rPr>
        <w:softHyphen/>
        <w:t>лета на земле — 6,25 м, колея — 8,1 м, база шасси — 5,925 м, переднее колесо — 660 х 160 мм, основное колесо — 900 х 275 мм (24920).</w:t>
      </w:r>
    </w:p>
    <w:p w14:paraId="14525A8B" w14:textId="77777777" w:rsidR="003E5301" w:rsidRPr="001A0BAA" w:rsidRDefault="003E5301" w:rsidP="003E5301">
      <w:pPr>
        <w:jc w:val="both"/>
        <w:rPr>
          <w:color w:val="0070C0"/>
          <w:sz w:val="16"/>
          <w:szCs w:val="16"/>
        </w:rPr>
      </w:pPr>
    </w:p>
    <w:p w14:paraId="3D7415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в руководстве страны началась проработка возможности копирования В-29 для советских ВВС. Самолет явно был очень удачным. Если бы удалось быстро его скопировать, то ВВС получили бы современный тяжелый бомбардировщик, минуя хлопотную стадию доводки вновь проектируемых машин (3457,120).</w:t>
      </w:r>
    </w:p>
    <w:p w14:paraId="2966E9EA" w14:textId="77777777" w:rsidR="00665165" w:rsidRPr="00925F26" w:rsidRDefault="00665165" w:rsidP="00925F26">
      <w:pPr>
        <w:autoSpaceDE w:val="0"/>
        <w:autoSpaceDN w:val="0"/>
        <w:adjustRightInd w:val="0"/>
        <w:jc w:val="both"/>
        <w:rPr>
          <w:color w:val="000000" w:themeColor="text1"/>
          <w:sz w:val="16"/>
          <w:szCs w:val="16"/>
        </w:rPr>
      </w:pPr>
    </w:p>
    <w:p w14:paraId="6C287E63" w14:textId="77777777" w:rsidR="00823A00" w:rsidRPr="00925F26" w:rsidRDefault="00823A00"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В мае 1945 года появился приказ № 263 о создании са</w:t>
      </w:r>
      <w:r w:rsidRPr="00925F26">
        <w:rPr>
          <w:color w:val="000000" w:themeColor="text1"/>
          <w:sz w:val="16"/>
          <w:szCs w:val="16"/>
        </w:rPr>
        <w:softHyphen/>
        <w:t>молета Б-4 (изделие «Р»), а вслед за ним по</w:t>
      </w:r>
      <w:r w:rsidRPr="00925F26">
        <w:rPr>
          <w:color w:val="000000" w:themeColor="text1"/>
          <w:sz w:val="16"/>
          <w:szCs w:val="16"/>
        </w:rPr>
        <w:softHyphen/>
        <w:t>становление ГКО от 6 июня МАП обязалиорганизовать производство Б-4 на заводе № 22 в Казани. Но с какими двигателями, не говорилось, и лишь в ноябре поступи</w:t>
      </w:r>
      <w:r w:rsidRPr="00925F26">
        <w:rPr>
          <w:color w:val="000000" w:themeColor="text1"/>
          <w:sz w:val="16"/>
          <w:szCs w:val="16"/>
        </w:rPr>
        <w:softHyphen/>
        <w:t>ло распоряжение (№ 16041) об организа</w:t>
      </w:r>
      <w:r w:rsidRPr="00925F26">
        <w:rPr>
          <w:color w:val="000000" w:themeColor="text1"/>
          <w:sz w:val="16"/>
          <w:szCs w:val="16"/>
        </w:rPr>
        <w:softHyphen/>
        <w:t>ции производства моторов АШ-72 для Б-4. Все предсказания Мясишева сбылись, хо</w:t>
      </w:r>
      <w:r w:rsidRPr="00925F26">
        <w:rPr>
          <w:color w:val="000000" w:themeColor="text1"/>
          <w:sz w:val="16"/>
          <w:szCs w:val="16"/>
        </w:rPr>
        <w:softHyphen/>
        <w:t>тя главную роль отвели не ему, а А.Н. Ту</w:t>
      </w:r>
      <w:r w:rsidRPr="00925F26">
        <w:rPr>
          <w:color w:val="000000" w:themeColor="text1"/>
          <w:sz w:val="16"/>
          <w:szCs w:val="16"/>
        </w:rPr>
        <w:softHyphen/>
        <w:t>полеву. Тем же приказом предписывалось в помошь Туполеву передать личный состав ОКБ Незваля и Мясишева, а также опыт</w:t>
      </w:r>
      <w:r w:rsidRPr="00925F26">
        <w:rPr>
          <w:color w:val="000000" w:themeColor="text1"/>
          <w:sz w:val="16"/>
          <w:szCs w:val="16"/>
        </w:rPr>
        <w:softHyphen/>
        <w:t>ный цех завода № 22 (12292).</w:t>
      </w:r>
    </w:p>
    <w:p w14:paraId="688587A2" w14:textId="77777777" w:rsidR="00823A00" w:rsidRPr="00925F26" w:rsidRDefault="00823A00" w:rsidP="00925F26">
      <w:pPr>
        <w:pStyle w:val="92"/>
        <w:shd w:val="clear" w:color="auto" w:fill="auto"/>
        <w:spacing w:after="0" w:line="240" w:lineRule="auto"/>
        <w:ind w:firstLine="0"/>
        <w:jc w:val="both"/>
        <w:rPr>
          <w:color w:val="000000" w:themeColor="text1"/>
          <w:sz w:val="16"/>
          <w:szCs w:val="16"/>
        </w:rPr>
      </w:pPr>
    </w:p>
    <w:p w14:paraId="65B152CD" w14:textId="77777777" w:rsidR="0027059D" w:rsidRPr="00925F26" w:rsidRDefault="0027059D" w:rsidP="00925F26">
      <w:pPr>
        <w:pStyle w:val="a3"/>
        <w:rPr>
          <w:color w:val="000000" w:themeColor="text1"/>
          <w:lang w:val="ru-RU"/>
        </w:rPr>
      </w:pPr>
      <w:r w:rsidRPr="00925F26">
        <w:rPr>
          <w:color w:val="000000" w:themeColor="text1"/>
          <w:lang w:val="ru-RU"/>
        </w:rPr>
        <w:t>В мае 1945 г. в Главном управлении ГВФ рассматривали возможность использования боевых самолётов для перевозки пассажиров и мелких грузов. Не обошли вниманием и бомбардировщик Ер-2. По мнению специалистов ГВФ, самолёт, имея сравнительно небольшой объём (11 куб. м), позволял транспортировать лишь до 2200 кг коммерче</w:t>
      </w:r>
      <w:r w:rsidRPr="00925F26">
        <w:rPr>
          <w:color w:val="000000" w:themeColor="text1"/>
          <w:lang w:val="ru-RU"/>
        </w:rPr>
        <w:softHyphen/>
        <w:t>ской нагрузки. Но этот недостаток компенсировали большие крейсерская скорость и дальность полёта, что, в сочетании с дешевым дизельным топливом, делало Ер-2 эко</w:t>
      </w:r>
      <w:r w:rsidRPr="00925F26">
        <w:rPr>
          <w:color w:val="000000" w:themeColor="text1"/>
          <w:lang w:val="ru-RU"/>
        </w:rPr>
        <w:softHyphen/>
        <w:t>номически выгодным в эксплуатации. Однако подходящих аэродромов с длинными ВПП для Ер-2 в гражданской авиации не было, недостаточным был и ресурс двигателей. Исходя из этого, руководство ГВФ отказалось от Ер-2, хотя не исключало возможность его использования для почтово-грузовых перевозок на большие расстояния.</w:t>
      </w:r>
    </w:p>
    <w:p w14:paraId="5EC27377" w14:textId="77777777" w:rsidR="0027059D" w:rsidRPr="00925F26" w:rsidRDefault="0027059D" w:rsidP="00925F26">
      <w:pPr>
        <w:pStyle w:val="a3"/>
        <w:rPr>
          <w:color w:val="000000" w:themeColor="text1"/>
          <w:lang w:val="ru-RU"/>
        </w:rPr>
      </w:pPr>
      <w:r w:rsidRPr="00925F26">
        <w:rPr>
          <w:color w:val="000000" w:themeColor="text1"/>
          <w:lang w:val="ru-RU"/>
        </w:rPr>
        <w:t>Отказался ГВФ и от гражданского Ер-20Н (коммерческая нагрузка 1000 кг), поскольку экономичность машины оставляла желать лучшего. Вдобавок, полёт на одном двигателе был возможен лишь при полётном весе не более 14 т и при наличии флюгирующихся вин</w:t>
      </w:r>
      <w:r w:rsidRPr="00925F26">
        <w:rPr>
          <w:color w:val="000000" w:themeColor="text1"/>
          <w:lang w:val="ru-RU"/>
        </w:rPr>
        <w:softHyphen/>
        <w:t>тов, которых в наличии не имелось. Как транспортный самолёт Ер-2 заметно проигрывал довоенному Ли-2, не говоря уже о ленд-лизовском С-47. В итоге почти все Ер-2 отпра</w:t>
      </w:r>
      <w:r w:rsidRPr="00925F26">
        <w:rPr>
          <w:color w:val="000000" w:themeColor="text1"/>
          <w:lang w:val="ru-RU"/>
        </w:rPr>
        <w:softHyphen/>
        <w:t>вили на металлолом. Лишь некоторые самолёты использовали для лётных испытаний раз</w:t>
      </w:r>
      <w:r w:rsidRPr="00925F26">
        <w:rPr>
          <w:color w:val="000000" w:themeColor="text1"/>
          <w:lang w:val="ru-RU"/>
        </w:rPr>
        <w:softHyphen/>
        <w:t>личных «изделий», в частности, при доводке пульсирующих воздушно-реактивных двига</w:t>
      </w:r>
      <w:r w:rsidRPr="00925F26">
        <w:rPr>
          <w:color w:val="000000" w:themeColor="text1"/>
          <w:lang w:val="ru-RU"/>
        </w:rPr>
        <w:softHyphen/>
        <w:t>телей для самолётов-снарядов В.Н. Челомея В мае 1945 г. на государственных испытаниях РД-2МЗВ, проведённых, получили сум</w:t>
      </w:r>
      <w:r w:rsidRPr="00925F26">
        <w:rPr>
          <w:color w:val="000000" w:themeColor="text1"/>
          <w:lang w:val="ru-RU"/>
        </w:rPr>
        <w:softHyphen/>
        <w:t>марную взлётную тягу 1500 кгс, номинальную — 1250 кгс и минимальную — 500 кгс. При работе только одной малой камеры максимальная тяга составляла 300 кгс, мини</w:t>
      </w:r>
      <w:r w:rsidRPr="00925F26">
        <w:rPr>
          <w:color w:val="000000" w:themeColor="text1"/>
          <w:lang w:val="ru-RU"/>
        </w:rPr>
        <w:softHyphen/>
        <w:t>мальная — 100 кгс. Удельная тяга на 1 кг топлива при совместной работе большой и малой камер, или при работе только малой камеры на режиме максимальной тяги со</w:t>
      </w:r>
      <w:r w:rsidRPr="00925F26">
        <w:rPr>
          <w:color w:val="000000" w:themeColor="text1"/>
          <w:lang w:val="ru-RU"/>
        </w:rPr>
        <w:softHyphen/>
        <w:t>ставляла 200 кгс. Масса ЖРД со всеми агрегатами — 224 кг. Двигатель планировалось выпустить в количестве 30 комплектов для обеспечения постройки как истребителей- перехватчиков ОКБ А.И. Микояна и С.А. Лавочкина, так и экспериментальных са</w:t>
      </w:r>
      <w:r w:rsidRPr="00925F26">
        <w:rPr>
          <w:color w:val="000000" w:themeColor="text1"/>
          <w:lang w:val="ru-RU"/>
        </w:rPr>
        <w:softHyphen/>
        <w:t>молётов НИИ-1 со сроком сдачи первого экземпляра ЖРД 10 марта, а последнего — 10 августа 1946 г. Изготовление двигателей поручили заводу № 65 в кооперации с другими предприятиями, а их сборку и контрольные испытания — НИИ-1.</w:t>
      </w:r>
    </w:p>
    <w:p w14:paraId="64D472C5" w14:textId="77777777" w:rsidR="0027059D" w:rsidRPr="00925F26" w:rsidRDefault="0027059D" w:rsidP="00925F26">
      <w:pPr>
        <w:pStyle w:val="a3"/>
        <w:rPr>
          <w:color w:val="000000" w:themeColor="text1"/>
          <w:lang w:val="ru-RU"/>
        </w:rPr>
      </w:pPr>
      <w:proofErr w:type="gramStart"/>
      <w:r w:rsidRPr="00925F26">
        <w:rPr>
          <w:color w:val="000000" w:themeColor="text1"/>
          <w:lang w:val="ru-RU"/>
        </w:rPr>
        <w:t>Однако</w:t>
      </w:r>
      <w:proofErr w:type="gramEnd"/>
      <w:r w:rsidRPr="00925F26">
        <w:rPr>
          <w:color w:val="000000" w:themeColor="text1"/>
          <w:lang w:val="ru-RU"/>
        </w:rPr>
        <w:t xml:space="preserve"> как только в ОКБ-155 и ОКБ-301 взялись за выполнение поставленной зада</w:t>
      </w:r>
      <w:r w:rsidRPr="00925F26">
        <w:rPr>
          <w:color w:val="000000" w:themeColor="text1"/>
          <w:lang w:val="ru-RU"/>
        </w:rPr>
        <w:softHyphen/>
        <w:t>чи, выяснилось, что специалисты ЦАГИ ничего нового им дать пока не могут. Хотя уже имелись различные трофейные материалы по немецким исследованиям схем скоростных самолётов, в том числе с крыльями прямой и обратной стреловидности, ЦАГИ должен был провести большой комплекс собствен</w:t>
      </w:r>
      <w:r w:rsidRPr="00925F26">
        <w:rPr>
          <w:color w:val="000000" w:themeColor="text1"/>
          <w:lang w:val="ru-RU"/>
        </w:rPr>
        <w:softHyphen/>
        <w:t>ных исследований и сам всё изучить, прежде чем выдавать конкретные рекомендации. Это было совершенно необходимо как с техниче</w:t>
      </w:r>
      <w:r w:rsidRPr="00925F26">
        <w:rPr>
          <w:color w:val="000000" w:themeColor="text1"/>
          <w:lang w:val="ru-RU"/>
        </w:rPr>
        <w:softHyphen/>
        <w:t>ской, так и с «политической» точки зрения — принимать на веру документы недавнего вра</w:t>
      </w:r>
      <w:r w:rsidRPr="00925F26">
        <w:rPr>
          <w:color w:val="000000" w:themeColor="text1"/>
          <w:lang w:val="ru-RU"/>
        </w:rPr>
        <w:softHyphen/>
        <w:t>га было далеко небезопасно. Но в распоря</w:t>
      </w:r>
      <w:r w:rsidRPr="00925F26">
        <w:rPr>
          <w:color w:val="000000" w:themeColor="text1"/>
          <w:lang w:val="ru-RU"/>
        </w:rPr>
        <w:softHyphen/>
        <w:t>жении учёных ЦАГИ имелась всего одна ско</w:t>
      </w:r>
      <w:r w:rsidRPr="00925F26">
        <w:rPr>
          <w:color w:val="000000" w:themeColor="text1"/>
          <w:lang w:val="ru-RU"/>
        </w:rPr>
        <w:softHyphen/>
        <w:t>ростная труба Т-106 с диаметром рабочей зоны 2,6 м и скоростью потока до 900-950 км/ч (М=0,9), да и та больше простаивала из-за постоянных отключений электроэнергии. Строительства более скоростных труб пока и вовсе не предвиделось.</w:t>
      </w:r>
    </w:p>
    <w:p w14:paraId="4543E7E7" w14:textId="77777777" w:rsidR="0027059D" w:rsidRPr="00925F26" w:rsidRDefault="0027059D" w:rsidP="00925F26">
      <w:pPr>
        <w:pStyle w:val="a3"/>
        <w:rPr>
          <w:color w:val="000000" w:themeColor="text1"/>
          <w:lang w:val="ru-RU"/>
        </w:rPr>
      </w:pPr>
      <w:r w:rsidRPr="00925F26">
        <w:rPr>
          <w:color w:val="000000" w:themeColor="text1"/>
          <w:lang w:val="ru-RU"/>
        </w:rPr>
        <w:t>Вот как описана ситуация с проектированием ракетного перехватчика И-270 в годо</w:t>
      </w:r>
      <w:r w:rsidRPr="00925F26">
        <w:rPr>
          <w:color w:val="000000" w:themeColor="text1"/>
          <w:lang w:val="ru-RU"/>
        </w:rPr>
        <w:softHyphen/>
        <w:t>вом отчёте опытного авиазавода № 155 (ОКБ-155 А.И. Микояна) за 1946 год:</w:t>
      </w:r>
    </w:p>
    <w:p w14:paraId="592457D1" w14:textId="77777777" w:rsidR="0027059D" w:rsidRPr="00925F26" w:rsidRDefault="0027059D" w:rsidP="00925F26">
      <w:pPr>
        <w:pStyle w:val="a3"/>
        <w:rPr>
          <w:color w:val="000000" w:themeColor="text1"/>
          <w:lang w:val="ru-RU"/>
        </w:rPr>
      </w:pPr>
      <w:r w:rsidRPr="00925F26">
        <w:rPr>
          <w:color w:val="000000" w:themeColor="text1"/>
          <w:lang w:val="ru-RU"/>
        </w:rPr>
        <w:t>«Первоначальный проект самолёта предусматривал стреловидное крыло (20°). После проведения ЦАГИ исследований и расчётов выявилась недостаточность дан</w:t>
      </w:r>
      <w:r w:rsidRPr="00925F26">
        <w:rPr>
          <w:color w:val="000000" w:themeColor="text1"/>
          <w:lang w:val="ru-RU"/>
        </w:rPr>
        <w:softHyphen/>
        <w:t>ных для рабочего проекта такого крыла, что вызвало полный пересмотр проекта самолёта с принятием прямого 9% крыла /март 1946 года/. Дальнейшее исследование ЦАГИ вы</w:t>
      </w:r>
      <w:r w:rsidRPr="00925F26">
        <w:rPr>
          <w:color w:val="000000" w:themeColor="text1"/>
          <w:lang w:val="ru-RU"/>
        </w:rPr>
        <w:softHyphen/>
        <w:t>явило невозможность получения достаточных исходных данных и для самолёта с этим крылом. Работа была остановлена, и проект заново пересмотрен под 12% крыло /ап</w:t>
      </w:r>
      <w:r w:rsidRPr="00925F26">
        <w:rPr>
          <w:color w:val="000000" w:themeColor="text1"/>
          <w:lang w:val="ru-RU"/>
        </w:rPr>
        <w:softHyphen/>
        <w:t>рель 1946 года/.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925F26">
        <w:rPr>
          <w:color w:val="000000" w:themeColor="text1"/>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6249D107" w14:textId="77777777" w:rsidR="0027059D" w:rsidRPr="00925F26" w:rsidRDefault="0027059D" w:rsidP="00925F26">
      <w:pPr>
        <w:pStyle w:val="a3"/>
        <w:rPr>
          <w:color w:val="000000" w:themeColor="text1"/>
          <w:lang w:val="ru-RU"/>
        </w:rPr>
      </w:pPr>
    </w:p>
    <w:p w14:paraId="44E4ED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мае 1945 контрольными испытаниями серийного самолета N 45212225 было установлено, что на малых и средних высотах в кабине Ла-5 и Ла-7 жарко, в результате чего имеет место повышенная утомляемость летчика и снижение его работоспособности. В первых полетах на этом самолете в кабину попадал дым от тления ткани, наложенной поверх асбеста на трубку нейтрального газа, что приводило к прекращению полета из-за невозможности дыхания и слезоточения (1879).</w:t>
      </w:r>
    </w:p>
    <w:p w14:paraId="1D6AFBCA" w14:textId="77777777" w:rsidR="00665165" w:rsidRPr="00925F26" w:rsidRDefault="00665165" w:rsidP="00925F26">
      <w:pPr>
        <w:autoSpaceDE w:val="0"/>
        <w:autoSpaceDN w:val="0"/>
        <w:adjustRightInd w:val="0"/>
        <w:jc w:val="both"/>
        <w:rPr>
          <w:color w:val="000000" w:themeColor="text1"/>
          <w:sz w:val="16"/>
          <w:szCs w:val="16"/>
        </w:rPr>
      </w:pPr>
    </w:p>
    <w:p w14:paraId="415DAB1B" w14:textId="77777777" w:rsidR="003B056E" w:rsidRPr="00925F26" w:rsidRDefault="003B056E" w:rsidP="00925F26">
      <w:pPr>
        <w:jc w:val="both"/>
        <w:rPr>
          <w:color w:val="000000" w:themeColor="text1"/>
          <w:sz w:val="16"/>
          <w:szCs w:val="16"/>
        </w:rPr>
      </w:pPr>
      <w:r w:rsidRPr="00925F26">
        <w:rPr>
          <w:color w:val="000000" w:themeColor="text1"/>
          <w:sz w:val="16"/>
          <w:szCs w:val="16"/>
        </w:rPr>
        <w:t>В мае 1945-го на контрольные испытания поступил Ла-7 № 45213276, на котором были предприняты дополнительные меры по герметизации замоторного пространства, а вместо старой трехрожковой вентиляции был поставлен один воздухозаборник на нижней части центроплана перед входом маслорадиатора. Воздух в кабине улучшился, при + 14 °С в кабине было «только» + 38, но поднялась температура в мотоотсеке: головки цилиндров грелись до + 210 °С, масло — до + 70. Главком ВВС Новиков в письме, направленном 21 мая, потребовал от Наркома авиапромышленности Шахурина: «Прошу Ваших распоряжений гл. конструктору Лавочкину о принятии чрезвычайных и срочных мер по доводке вентиляции и герметизации кабин самолетов Ла-7 и предъявлении модернизированного образца на повторные испытания в ГК НИИ ВВС, а также директорам заводов о тщательном выполнении на самолетах Ла-7 герметизации и вентиляции кабин в полном соответствии с чертежами гл. конструктора». Лавочкин ответил так: «Считаю, что величина полученных температур в кабине пилота, как на опытной машине, так и на серийной машине завода № 21, достаточно приемлема. Высокая температура кабины на ранее выпущенных самолетах объясняется тем, что заводы и ГУЗ ВВС (Главное управление заказа. — Авт.) не реализовали выпущенный бюллетень по данному вопросу. В настоящее время заводы и ГУЗ ВВС срочно приступили к реализации вышеуказанного бюллетеня. Конструкция новой вентиляции внедрена в серию на всех заводах. Нами в настоящее время проводятся работы над дальнейшим снижением температур, независимо от достигнутых вышеуказанных результатов» (22769).</w:t>
      </w:r>
    </w:p>
    <w:p w14:paraId="417A0087" w14:textId="77777777" w:rsidR="003B056E" w:rsidRPr="00925F26" w:rsidRDefault="003B056E" w:rsidP="00925F26">
      <w:pPr>
        <w:jc w:val="both"/>
        <w:rPr>
          <w:color w:val="000000" w:themeColor="text1"/>
          <w:sz w:val="16"/>
          <w:szCs w:val="16"/>
        </w:rPr>
      </w:pPr>
    </w:p>
    <w:p w14:paraId="7B829D0D" w14:textId="77777777" w:rsidR="003E5301" w:rsidRPr="001A0BAA" w:rsidRDefault="003E5301" w:rsidP="003E5301">
      <w:pPr>
        <w:jc w:val="both"/>
        <w:rPr>
          <w:color w:val="0070C0"/>
          <w:sz w:val="16"/>
          <w:szCs w:val="16"/>
        </w:rPr>
      </w:pPr>
      <w:r w:rsidRPr="001A0BAA">
        <w:rPr>
          <w:color w:val="0070C0"/>
          <w:sz w:val="16"/>
          <w:szCs w:val="16"/>
        </w:rPr>
        <w:t>В мае 1945 года на контрольные ис</w:t>
      </w:r>
      <w:r w:rsidRPr="001A0BAA">
        <w:rPr>
          <w:color w:val="0070C0"/>
          <w:sz w:val="16"/>
          <w:szCs w:val="16"/>
        </w:rPr>
        <w:softHyphen/>
        <w:t>пытания в НИИ ВВС предъявили Ла-7 № 45212225 с пушками СП-20 (общий боезапас — 340 патронов). В начале ию</w:t>
      </w:r>
      <w:r w:rsidRPr="001A0BAA">
        <w:rPr>
          <w:color w:val="0070C0"/>
          <w:sz w:val="16"/>
          <w:szCs w:val="16"/>
        </w:rPr>
        <w:softHyphen/>
        <w:t>ня был утвержден акт по их результатам, откуда следует, что машина недодавала скорости 28 км/ч по сравнению с «этало</w:t>
      </w:r>
      <w:r w:rsidRPr="001A0BAA">
        <w:rPr>
          <w:color w:val="0070C0"/>
          <w:sz w:val="16"/>
          <w:szCs w:val="16"/>
        </w:rPr>
        <w:softHyphen/>
        <w:t>ном 1944 года». Если сказать кратко, то отмечалось неудовлетворительное из</w:t>
      </w:r>
      <w:r w:rsidRPr="001A0BAA">
        <w:rPr>
          <w:color w:val="0070C0"/>
          <w:sz w:val="16"/>
          <w:szCs w:val="16"/>
        </w:rPr>
        <w:softHyphen/>
        <w:t>готовление самолета в целом и недоста</w:t>
      </w:r>
      <w:r w:rsidRPr="001A0BAA">
        <w:rPr>
          <w:color w:val="0070C0"/>
          <w:sz w:val="16"/>
          <w:szCs w:val="16"/>
        </w:rPr>
        <w:softHyphen/>
        <w:t>точная прочность выхлопных патрубков двигателя (24988).</w:t>
      </w:r>
    </w:p>
    <w:p w14:paraId="5CCFE91E" w14:textId="77777777" w:rsidR="003E5301" w:rsidRPr="001A0BAA" w:rsidRDefault="003E5301" w:rsidP="003E5301">
      <w:pPr>
        <w:jc w:val="both"/>
        <w:rPr>
          <w:color w:val="0070C0"/>
          <w:sz w:val="16"/>
          <w:szCs w:val="16"/>
        </w:rPr>
      </w:pPr>
    </w:p>
    <w:p w14:paraId="2C4A293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года в отчете старшего военпреда завода №19 инженер-майора И.К. Четверика от</w:t>
      </w:r>
      <w:r w:rsidRPr="00925F26">
        <w:rPr>
          <w:color w:val="000000" w:themeColor="text1"/>
          <w:sz w:val="16"/>
          <w:szCs w:val="16"/>
        </w:rPr>
        <w:softHyphen/>
        <w:t>мечалось:</w:t>
      </w:r>
    </w:p>
    <w:p w14:paraId="341BB24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Эксплоатация моторов типа АШ-82ФН происходила в основном на самолетах типа Ла-5, Ла-7 и Ту-2. Моторы, установленные на само</w:t>
      </w:r>
      <w:r w:rsidRPr="00925F26">
        <w:rPr>
          <w:color w:val="000000" w:themeColor="text1"/>
          <w:sz w:val="16"/>
          <w:szCs w:val="16"/>
        </w:rPr>
        <w:softHyphen/>
        <w:t>леты типа Ла-7 ред. 11/16, установ</w:t>
      </w:r>
      <w:r w:rsidRPr="00925F26">
        <w:rPr>
          <w:color w:val="000000" w:themeColor="text1"/>
          <w:sz w:val="16"/>
          <w:szCs w:val="16"/>
        </w:rPr>
        <w:softHyphen/>
        <w:t>ленный заводом ресурс в 100 ча</w:t>
      </w:r>
      <w:r w:rsidRPr="00925F26">
        <w:rPr>
          <w:color w:val="000000" w:themeColor="text1"/>
          <w:sz w:val="16"/>
          <w:szCs w:val="16"/>
        </w:rPr>
        <w:softHyphen/>
        <w:t>сов не вырабатывают. Лимитирует по-прежнему цилиндровая группа по причине выработки зеркала цилин</w:t>
      </w:r>
      <w:r w:rsidRPr="00925F26">
        <w:rPr>
          <w:color w:val="000000" w:themeColor="text1"/>
          <w:sz w:val="16"/>
          <w:szCs w:val="16"/>
        </w:rPr>
        <w:softHyphen/>
        <w:t>дров и поршневых колец. Выпускае</w:t>
      </w:r>
      <w:r w:rsidRPr="00925F26">
        <w:rPr>
          <w:color w:val="000000" w:themeColor="text1"/>
          <w:sz w:val="16"/>
          <w:szCs w:val="16"/>
        </w:rPr>
        <w:softHyphen/>
        <w:t>мые в настоящий момент самолеты Ла-7 с новыми воздухозаборниками, исключающими попадание пыли в цилиндровую группу мотора, очевидно несколько улучшат положение с ци</w:t>
      </w:r>
      <w:r w:rsidRPr="00925F26">
        <w:rPr>
          <w:color w:val="000000" w:themeColor="text1"/>
          <w:sz w:val="16"/>
          <w:szCs w:val="16"/>
        </w:rPr>
        <w:softHyphen/>
        <w:t>линдровой группой, но пока нет све</w:t>
      </w:r>
      <w:r w:rsidRPr="00925F26">
        <w:rPr>
          <w:color w:val="000000" w:themeColor="text1"/>
          <w:sz w:val="16"/>
          <w:szCs w:val="16"/>
        </w:rPr>
        <w:softHyphen/>
        <w:t>дений из эксплуатирующих органи</w:t>
      </w:r>
      <w:r w:rsidRPr="00925F26">
        <w:rPr>
          <w:color w:val="000000" w:themeColor="text1"/>
          <w:sz w:val="16"/>
          <w:szCs w:val="16"/>
        </w:rPr>
        <w:softHyphen/>
        <w:t>заций о их работе...» (10730).</w:t>
      </w:r>
    </w:p>
    <w:p w14:paraId="2592B6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087586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состоянию на май 1945 старший военпред завода №19 инженер-майора И.К. Четверика от</w:t>
      </w:r>
      <w:r w:rsidRPr="00925F26">
        <w:rPr>
          <w:color w:val="000000" w:themeColor="text1"/>
          <w:sz w:val="16"/>
          <w:szCs w:val="16"/>
        </w:rPr>
        <w:softHyphen/>
        <w:t>мечал:</w:t>
      </w:r>
    </w:p>
    <w:p w14:paraId="1FB781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основу проведения работ по борьбе с преждевременным износом и уступчатой выработки цилиндров моторов АШ-82ФН в 1945 году, за исключением нескольких предложе</w:t>
      </w:r>
      <w:r w:rsidRPr="00925F26">
        <w:rPr>
          <w:color w:val="000000" w:themeColor="text1"/>
          <w:sz w:val="16"/>
          <w:szCs w:val="16"/>
        </w:rPr>
        <w:softHyphen/>
        <w:t>ний возникших в последнее время, были вновь положены предположения о причинах образования дефекта, уже неоднократно подвергавшиеся про</w:t>
      </w:r>
      <w:r w:rsidRPr="00925F26">
        <w:rPr>
          <w:color w:val="000000" w:themeColor="text1"/>
          <w:sz w:val="16"/>
          <w:szCs w:val="16"/>
        </w:rPr>
        <w:softHyphen/>
        <w:t>верке в прошлые годы на различных типах выпускаемых заводом моторах.</w:t>
      </w:r>
    </w:p>
    <w:p w14:paraId="5E011F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Кратко эти предложения сводятся к следующему:</w:t>
      </w:r>
    </w:p>
    <w:p w14:paraId="6C352F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Неравномерная глубина и твер</w:t>
      </w:r>
      <w:r w:rsidRPr="00925F26">
        <w:rPr>
          <w:color w:val="000000" w:themeColor="text1"/>
          <w:sz w:val="16"/>
          <w:szCs w:val="16"/>
        </w:rPr>
        <w:softHyphen/>
        <w:t>дость азотированного слоя по длине рабочей поверхности гильзы.</w:t>
      </w:r>
    </w:p>
    <w:p w14:paraId="4F6C7F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Распор силами газов верхнего поршневого кольца в такте расшире</w:t>
      </w:r>
      <w:r w:rsidRPr="00925F26">
        <w:rPr>
          <w:color w:val="000000" w:themeColor="text1"/>
          <w:sz w:val="16"/>
          <w:szCs w:val="16"/>
        </w:rPr>
        <w:softHyphen/>
        <w:t>ния.</w:t>
      </w:r>
    </w:p>
    <w:p w14:paraId="10539E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w:t>
      </w:r>
      <w:r w:rsidRPr="00925F26">
        <w:rPr>
          <w:color w:val="000000" w:themeColor="text1"/>
          <w:sz w:val="16"/>
          <w:szCs w:val="16"/>
        </w:rPr>
        <w:softHyphen/>
        <w:t>ранию и коксованию в них масла и, следовательно, к быстрому износу цилиндров.</w:t>
      </w:r>
    </w:p>
    <w:p w14:paraId="72EC8B6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Высокая степень чистоты рабо</w:t>
      </w:r>
      <w:r w:rsidRPr="00925F26">
        <w:rPr>
          <w:color w:val="000000" w:themeColor="text1"/>
          <w:sz w:val="16"/>
          <w:szCs w:val="16"/>
        </w:rPr>
        <w:softHyphen/>
        <w:t>чей поверхности цилиндра, недоста</w:t>
      </w:r>
      <w:r w:rsidRPr="00925F26">
        <w:rPr>
          <w:color w:val="000000" w:themeColor="text1"/>
          <w:sz w:val="16"/>
          <w:szCs w:val="16"/>
        </w:rPr>
        <w:softHyphen/>
        <w:t>точно хорошо удерживающая масло, особенно в верхней части цилиндра, в начальный период работы мотора.</w:t>
      </w:r>
    </w:p>
    <w:p w14:paraId="77AC8DF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Отступления от технологии ис</w:t>
      </w:r>
      <w:r w:rsidRPr="00925F26">
        <w:rPr>
          <w:color w:val="000000" w:themeColor="text1"/>
          <w:sz w:val="16"/>
          <w:szCs w:val="16"/>
        </w:rPr>
        <w:softHyphen/>
        <w:t>пытания моторов, заключающиеся в игнорировании заливки масла в ци</w:t>
      </w:r>
      <w:r w:rsidRPr="00925F26">
        <w:rPr>
          <w:color w:val="000000" w:themeColor="text1"/>
          <w:sz w:val="16"/>
          <w:szCs w:val="16"/>
        </w:rPr>
        <w:softHyphen/>
        <w:t>линдры перед началом испытания, про</w:t>
      </w:r>
      <w:r w:rsidRPr="00925F26">
        <w:rPr>
          <w:color w:val="000000" w:themeColor="text1"/>
          <w:sz w:val="16"/>
          <w:szCs w:val="16"/>
        </w:rPr>
        <w:softHyphen/>
        <w:t>качки масло-магистрали мотора го</w:t>
      </w:r>
      <w:r w:rsidRPr="00925F26">
        <w:rPr>
          <w:color w:val="000000" w:themeColor="text1"/>
          <w:sz w:val="16"/>
          <w:szCs w:val="16"/>
        </w:rPr>
        <w:softHyphen/>
        <w:t>рячим маслом перед запуском и не</w:t>
      </w:r>
      <w:r w:rsidRPr="00925F26">
        <w:rPr>
          <w:color w:val="000000" w:themeColor="text1"/>
          <w:sz w:val="16"/>
          <w:szCs w:val="16"/>
        </w:rPr>
        <w:softHyphen/>
        <w:t>достаточном прогреве моторов во время приработки.</w:t>
      </w:r>
    </w:p>
    <w:p w14:paraId="31CF02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Короткая {по времени) приработка моторов перед контрольным испыта</w:t>
      </w:r>
      <w:r w:rsidRPr="00925F26">
        <w:rPr>
          <w:color w:val="000000" w:themeColor="text1"/>
          <w:sz w:val="16"/>
          <w:szCs w:val="16"/>
        </w:rPr>
        <w:softHyphen/>
        <w:t>нием.</w:t>
      </w:r>
    </w:p>
    <w:p w14:paraId="6D9993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Плохая работа топливной аппа</w:t>
      </w:r>
      <w:r w:rsidRPr="00925F26">
        <w:rPr>
          <w:color w:val="000000" w:themeColor="text1"/>
          <w:sz w:val="16"/>
          <w:szCs w:val="16"/>
        </w:rPr>
        <w:softHyphen/>
        <w:t>ратуры, могущая проявляться в нека чественном распыле топлива форсун</w:t>
      </w:r>
      <w:r w:rsidRPr="00925F26">
        <w:rPr>
          <w:color w:val="000000" w:themeColor="text1"/>
          <w:sz w:val="16"/>
          <w:szCs w:val="16"/>
        </w:rPr>
        <w:softHyphen/>
        <w:t>ками и неравномерной подаче топ</w:t>
      </w:r>
      <w:r w:rsidRPr="00925F26">
        <w:rPr>
          <w:color w:val="000000" w:themeColor="text1"/>
          <w:sz w:val="16"/>
          <w:szCs w:val="16"/>
        </w:rPr>
        <w:softHyphen/>
        <w:t>лива по цилиндрам насосом непос</w:t>
      </w:r>
      <w:r w:rsidRPr="00925F26">
        <w:rPr>
          <w:color w:val="000000" w:themeColor="text1"/>
          <w:sz w:val="16"/>
          <w:szCs w:val="16"/>
        </w:rPr>
        <w:softHyphen/>
        <w:t>редственного впрыска.</w:t>
      </w:r>
    </w:p>
    <w:p w14:paraId="37C440E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Неравномерное распределение воздуха воздушными дефлекторами, устанавливаемыми на цилиндры мо</w:t>
      </w:r>
      <w:r w:rsidRPr="00925F26">
        <w:rPr>
          <w:color w:val="000000" w:themeColor="text1"/>
          <w:sz w:val="16"/>
          <w:szCs w:val="16"/>
        </w:rPr>
        <w:softHyphen/>
        <w:t>торов, собираемых на контрольное испытание и ведущее к неравномер</w:t>
      </w:r>
      <w:r w:rsidRPr="00925F26">
        <w:rPr>
          <w:color w:val="000000" w:themeColor="text1"/>
          <w:sz w:val="16"/>
          <w:szCs w:val="16"/>
        </w:rPr>
        <w:softHyphen/>
        <w:t>ным тепловым деформациям цилинд</w:t>
      </w:r>
      <w:r w:rsidRPr="00925F26">
        <w:rPr>
          <w:color w:val="000000" w:themeColor="text1"/>
          <w:sz w:val="16"/>
          <w:szCs w:val="16"/>
        </w:rPr>
        <w:softHyphen/>
        <w:t>ров.</w:t>
      </w:r>
    </w:p>
    <w:p w14:paraId="7EFA8F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Завышенные перекосы отверстий в главном шатуне под пальцы при</w:t>
      </w:r>
      <w:r w:rsidRPr="00925F26">
        <w:rPr>
          <w:color w:val="000000" w:themeColor="text1"/>
          <w:sz w:val="16"/>
          <w:szCs w:val="16"/>
        </w:rPr>
        <w:softHyphen/>
        <w:t>цепных шатунов и фланца крепления цилиндров к зеркалу цилиндра, нару</w:t>
      </w:r>
      <w:r w:rsidRPr="00925F26">
        <w:rPr>
          <w:color w:val="000000" w:themeColor="text1"/>
          <w:sz w:val="16"/>
          <w:szCs w:val="16"/>
        </w:rPr>
        <w:softHyphen/>
        <w:t>шающее движение поршня по рабо</w:t>
      </w:r>
      <w:r w:rsidRPr="00925F26">
        <w:rPr>
          <w:color w:val="000000" w:themeColor="text1"/>
          <w:sz w:val="16"/>
          <w:szCs w:val="16"/>
        </w:rPr>
        <w:softHyphen/>
        <w:t>чей поверхности цилиндра.</w:t>
      </w:r>
    </w:p>
    <w:p w14:paraId="6D63A47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Осушающее действие масло-сборных колец, расположенных в 4-й канавке поршня.</w:t>
      </w:r>
    </w:p>
    <w:p w14:paraId="22A958F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Повышенное содержание в масле бензина.</w:t>
      </w:r>
    </w:p>
    <w:p w14:paraId="55C6358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Возможность дымления цилин</w:t>
      </w:r>
      <w:r w:rsidRPr="00925F26">
        <w:rPr>
          <w:color w:val="000000" w:themeColor="text1"/>
          <w:sz w:val="16"/>
          <w:szCs w:val="16"/>
        </w:rPr>
        <w:softHyphen/>
        <w:t>дров, если на них отсутствует уступ</w:t>
      </w:r>
      <w:r w:rsidRPr="00925F26">
        <w:rPr>
          <w:color w:val="000000" w:themeColor="text1"/>
          <w:sz w:val="16"/>
          <w:szCs w:val="16"/>
        </w:rPr>
        <w:softHyphen/>
        <w:t>чатая выработка, от неравномерной затяжки цилиндровых гаек.</w:t>
      </w:r>
    </w:p>
    <w:p w14:paraId="300027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Режущее действие 1-го порш</w:t>
      </w:r>
      <w:r w:rsidRPr="00925F26">
        <w:rPr>
          <w:color w:val="000000" w:themeColor="text1"/>
          <w:sz w:val="16"/>
          <w:szCs w:val="16"/>
        </w:rPr>
        <w:softHyphen/>
        <w:t>невого кольца имеющего острую ра</w:t>
      </w:r>
      <w:r w:rsidRPr="00925F26">
        <w:rPr>
          <w:color w:val="000000" w:themeColor="text1"/>
          <w:sz w:val="16"/>
          <w:szCs w:val="16"/>
        </w:rPr>
        <w:softHyphen/>
        <w:t>бочую кромку и работающего по срав</w:t>
      </w:r>
      <w:r w:rsidRPr="00925F26">
        <w:rPr>
          <w:color w:val="000000" w:themeColor="text1"/>
          <w:sz w:val="16"/>
          <w:szCs w:val="16"/>
        </w:rPr>
        <w:softHyphen/>
        <w:t>нению с другими кольцами в наибо</w:t>
      </w:r>
      <w:r w:rsidRPr="00925F26">
        <w:rPr>
          <w:color w:val="000000" w:themeColor="text1"/>
          <w:sz w:val="16"/>
          <w:szCs w:val="16"/>
        </w:rPr>
        <w:softHyphen/>
        <w:t>лее трудных условиях.</w:t>
      </w:r>
    </w:p>
    <w:p w14:paraId="1109800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а) Раструб, получающийся в вер</w:t>
      </w:r>
      <w:r w:rsidRPr="00925F26">
        <w:rPr>
          <w:color w:val="000000" w:themeColor="text1"/>
          <w:sz w:val="16"/>
          <w:szCs w:val="16"/>
        </w:rPr>
        <w:softHyphen/>
        <w:t>хней части гильзы в результате теп</w:t>
      </w:r>
      <w:r w:rsidRPr="00925F26">
        <w:rPr>
          <w:color w:val="000000" w:themeColor="text1"/>
          <w:sz w:val="16"/>
          <w:szCs w:val="16"/>
        </w:rPr>
        <w:softHyphen/>
        <w:t>ловой деформации цилиндра и усу</w:t>
      </w:r>
      <w:r w:rsidRPr="00925F26">
        <w:rPr>
          <w:color w:val="000000" w:themeColor="text1"/>
          <w:sz w:val="16"/>
          <w:szCs w:val="16"/>
        </w:rPr>
        <w:softHyphen/>
        <w:t>губляющий режущее действие 1-го газоуплотнительного кольца.</w:t>
      </w:r>
    </w:p>
    <w:p w14:paraId="348246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Отрывание 1-го газоуплот</w:t>
      </w:r>
      <w:r w:rsidRPr="00925F26">
        <w:rPr>
          <w:color w:val="000000" w:themeColor="text1"/>
          <w:sz w:val="16"/>
          <w:szCs w:val="16"/>
        </w:rPr>
        <w:softHyphen/>
        <w:t>нительного кольца от профиля рабо</w:t>
      </w:r>
      <w:r w:rsidRPr="00925F26">
        <w:rPr>
          <w:color w:val="000000" w:themeColor="text1"/>
          <w:sz w:val="16"/>
          <w:szCs w:val="16"/>
        </w:rPr>
        <w:softHyphen/>
        <w:t>чей поверхности на кривизне, обра</w:t>
      </w:r>
      <w:r w:rsidRPr="00925F26">
        <w:rPr>
          <w:color w:val="000000" w:themeColor="text1"/>
          <w:sz w:val="16"/>
          <w:szCs w:val="16"/>
        </w:rPr>
        <w:softHyphen/>
        <w:t>зующей тепловой раструб в верхней части гильзы цилиндра.</w:t>
      </w:r>
    </w:p>
    <w:p w14:paraId="04D16C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ПРОВЕДЕННЫЕ ОПЫТНЫЕ РАБОТЫ</w:t>
      </w:r>
    </w:p>
    <w:p w14:paraId="7144A50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Для определения равномернос</w:t>
      </w:r>
      <w:r w:rsidRPr="00925F26">
        <w:rPr>
          <w:color w:val="000000" w:themeColor="text1"/>
          <w:sz w:val="16"/>
          <w:szCs w:val="16"/>
        </w:rPr>
        <w:softHyphen/>
        <w:t>ти по длине и окружности рабочей поверхности цилиндров глубины и твердости азотированного слоя были подвергнуты металлографическому исследованию ряд новых цилиндров, снятых с моторов по наличию уступ</w:t>
      </w:r>
      <w:r w:rsidRPr="00925F26">
        <w:rPr>
          <w:color w:val="000000" w:themeColor="text1"/>
          <w:sz w:val="16"/>
          <w:szCs w:val="16"/>
        </w:rPr>
        <w:softHyphen/>
        <w:t>чатой выработки.</w:t>
      </w:r>
    </w:p>
    <w:p w14:paraId="717B39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Металлографическим анализом установлено, что все вновь выпускае</w:t>
      </w:r>
      <w:r w:rsidRPr="00925F26">
        <w:rPr>
          <w:color w:val="000000" w:themeColor="text1"/>
          <w:sz w:val="16"/>
          <w:szCs w:val="16"/>
        </w:rPr>
        <w:softHyphen/>
        <w:t>мые цилиндры, а также 70% цилинд</w:t>
      </w:r>
      <w:r w:rsidRPr="00925F26">
        <w:rPr>
          <w:color w:val="000000" w:themeColor="text1"/>
          <w:sz w:val="16"/>
          <w:szCs w:val="16"/>
        </w:rPr>
        <w:softHyphen/>
        <w:t>ров с уступчатой выработкой имеют глубину и твердость азотированного слоя по длине и окружности зеркала, вполне соответствующие техническим условиям.</w:t>
      </w:r>
    </w:p>
    <w:p w14:paraId="1F5CEC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тем не менее, на всех исследу</w:t>
      </w:r>
      <w:r w:rsidRPr="00925F26">
        <w:rPr>
          <w:color w:val="000000" w:themeColor="text1"/>
          <w:sz w:val="16"/>
          <w:szCs w:val="16"/>
        </w:rPr>
        <w:softHyphen/>
        <w:t>емых образцах обнаружено, что не</w:t>
      </w:r>
      <w:r w:rsidRPr="00925F26">
        <w:rPr>
          <w:color w:val="000000" w:themeColor="text1"/>
          <w:sz w:val="16"/>
          <w:szCs w:val="16"/>
        </w:rPr>
        <w:softHyphen/>
        <w:t>посредственно в месте уступчатой выработки, толщина азотированного слоя и твердость поверхности, не вы</w:t>
      </w:r>
      <w:r w:rsidRPr="00925F26">
        <w:rPr>
          <w:color w:val="000000" w:themeColor="text1"/>
          <w:sz w:val="16"/>
          <w:szCs w:val="16"/>
        </w:rPr>
        <w:softHyphen/>
        <w:t>ходя из пределов технических усло</w:t>
      </w:r>
      <w:r w:rsidRPr="00925F26">
        <w:rPr>
          <w:color w:val="000000" w:themeColor="text1"/>
          <w:sz w:val="16"/>
          <w:szCs w:val="16"/>
        </w:rPr>
        <w:softHyphen/>
        <w:t>вий, все же несколько ниже, чем в точ</w:t>
      </w:r>
      <w:r w:rsidRPr="00925F26">
        <w:rPr>
          <w:color w:val="000000" w:themeColor="text1"/>
          <w:sz w:val="16"/>
          <w:szCs w:val="16"/>
        </w:rPr>
        <w:softHyphen/>
        <w:t>ках лежащих до и после выработки. Обычно уменьшение толщины слоя соответствует величине порядка 0,02-0,05 мм, а уменьшение твердости до</w:t>
      </w:r>
      <w:r w:rsidRPr="00925F26">
        <w:rPr>
          <w:color w:val="000000" w:themeColor="text1"/>
          <w:sz w:val="16"/>
          <w:szCs w:val="16"/>
        </w:rPr>
        <w:softHyphen/>
        <w:t>стигает 2-х единиц. Факт уменьшения в месте уступ</w:t>
      </w:r>
      <w:r w:rsidRPr="00925F26">
        <w:rPr>
          <w:color w:val="000000" w:themeColor="text1"/>
          <w:sz w:val="16"/>
          <w:szCs w:val="16"/>
        </w:rPr>
        <w:softHyphen/>
        <w:t>чатой выработки толщины и твердо</w:t>
      </w:r>
      <w:r w:rsidRPr="00925F26">
        <w:rPr>
          <w:color w:val="000000" w:themeColor="text1"/>
          <w:sz w:val="16"/>
          <w:szCs w:val="16"/>
        </w:rPr>
        <w:softHyphen/>
        <w:t>сти азотированного слоя свидетель</w:t>
      </w:r>
      <w:r w:rsidRPr="00925F26">
        <w:rPr>
          <w:color w:val="000000" w:themeColor="text1"/>
          <w:sz w:val="16"/>
          <w:szCs w:val="16"/>
        </w:rPr>
        <w:softHyphen/>
        <w:t>ствует о том, что кольцевая выработка есть не что иное, как местный износ рабочей поверхности.</w:t>
      </w:r>
    </w:p>
    <w:p w14:paraId="4AF1C50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дополнительного подтвержде</w:t>
      </w:r>
      <w:r w:rsidRPr="00925F26">
        <w:rPr>
          <w:color w:val="000000" w:themeColor="text1"/>
          <w:sz w:val="16"/>
          <w:szCs w:val="16"/>
        </w:rPr>
        <w:softHyphen/>
        <w:t>ния влияния на образование уступ</w:t>
      </w:r>
      <w:r w:rsidRPr="00925F26">
        <w:rPr>
          <w:color w:val="000000" w:themeColor="text1"/>
          <w:sz w:val="16"/>
          <w:szCs w:val="16"/>
        </w:rPr>
        <w:softHyphen/>
        <w:t>чатой выработки неравномерной глу</w:t>
      </w:r>
      <w:r w:rsidRPr="00925F26">
        <w:rPr>
          <w:color w:val="000000" w:themeColor="text1"/>
          <w:sz w:val="16"/>
          <w:szCs w:val="16"/>
        </w:rPr>
        <w:softHyphen/>
        <w:t>бины и твердости азотированного слоя, в период наибольшего подъема де</w:t>
      </w:r>
      <w:r w:rsidRPr="00925F26">
        <w:rPr>
          <w:color w:val="000000" w:themeColor="text1"/>
          <w:sz w:val="16"/>
          <w:szCs w:val="16"/>
        </w:rPr>
        <w:softHyphen/>
        <w:t>фекта было проведено контрольное испытание 10 моторов АШ-82ФН, с цилиндрами, изготовленными под стро</w:t>
      </w:r>
      <w:r w:rsidRPr="00925F26">
        <w:rPr>
          <w:color w:val="000000" w:themeColor="text1"/>
          <w:sz w:val="16"/>
          <w:szCs w:val="16"/>
        </w:rPr>
        <w:softHyphen/>
        <w:t>гим технологическим наблюдением.</w:t>
      </w:r>
    </w:p>
    <w:p w14:paraId="38207F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оказался не</w:t>
      </w:r>
      <w:r w:rsidRPr="00925F26">
        <w:rPr>
          <w:color w:val="000000" w:themeColor="text1"/>
          <w:sz w:val="16"/>
          <w:szCs w:val="16"/>
        </w:rPr>
        <w:softHyphen/>
        <w:t>удовлетворительным, так как 2 мото</w:t>
      </w:r>
      <w:r w:rsidRPr="00925F26">
        <w:rPr>
          <w:color w:val="000000" w:themeColor="text1"/>
          <w:sz w:val="16"/>
          <w:szCs w:val="16"/>
        </w:rPr>
        <w:softHyphen/>
        <w:t>ра было снято с испытания по дымле-</w:t>
      </w:r>
    </w:p>
    <w:p w14:paraId="51BE8E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нию 5-ти цилиндров, из которых 4 ци</w:t>
      </w:r>
      <w:r w:rsidRPr="00925F26">
        <w:rPr>
          <w:color w:val="000000" w:themeColor="text1"/>
          <w:sz w:val="16"/>
          <w:szCs w:val="16"/>
        </w:rPr>
        <w:softHyphen/>
        <w:t>линдра имели уступчатую выработку. Таким образом, указанным испы</w:t>
      </w:r>
      <w:r w:rsidRPr="00925F26">
        <w:rPr>
          <w:color w:val="000000" w:themeColor="text1"/>
          <w:sz w:val="16"/>
          <w:szCs w:val="16"/>
        </w:rPr>
        <w:softHyphen/>
        <w:t>танием удалось установить, что пара</w:t>
      </w:r>
      <w:r w:rsidRPr="00925F26">
        <w:rPr>
          <w:color w:val="000000" w:themeColor="text1"/>
          <w:sz w:val="16"/>
          <w:szCs w:val="16"/>
        </w:rPr>
        <w:softHyphen/>
        <w:t>метры глубины и твердости азотиро</w:t>
      </w:r>
      <w:r w:rsidRPr="00925F26">
        <w:rPr>
          <w:color w:val="000000" w:themeColor="text1"/>
          <w:sz w:val="16"/>
          <w:szCs w:val="16"/>
        </w:rPr>
        <w:softHyphen/>
        <w:t>ванного слоя основной причиной, вы</w:t>
      </w:r>
      <w:r w:rsidRPr="00925F26">
        <w:rPr>
          <w:color w:val="000000" w:themeColor="text1"/>
          <w:sz w:val="16"/>
          <w:szCs w:val="16"/>
        </w:rPr>
        <w:softHyphen/>
        <w:t>зывающей уступчатую выработку, не являются.</w:t>
      </w:r>
    </w:p>
    <w:p w14:paraId="1675115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Проверка мнения появления уступчатой выработки вследствие рас</w:t>
      </w:r>
      <w:r w:rsidRPr="00925F26">
        <w:rPr>
          <w:color w:val="000000" w:themeColor="text1"/>
          <w:sz w:val="16"/>
          <w:szCs w:val="16"/>
        </w:rPr>
        <w:softHyphen/>
        <w:t>пора силами газов верхнего поршне</w:t>
      </w:r>
      <w:r w:rsidRPr="00925F26">
        <w:rPr>
          <w:color w:val="000000" w:themeColor="text1"/>
          <w:sz w:val="16"/>
          <w:szCs w:val="16"/>
        </w:rPr>
        <w:softHyphen/>
        <w:t>вого кольца в такте расширения была произведена построением схемы сил, действующих в цилиндре мотора АШ-82ФН.</w:t>
      </w:r>
    </w:p>
    <w:p w14:paraId="242705C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этой схемы очевидно, что рас</w:t>
      </w:r>
      <w:r w:rsidRPr="00925F26">
        <w:rPr>
          <w:color w:val="000000" w:themeColor="text1"/>
          <w:sz w:val="16"/>
          <w:szCs w:val="16"/>
        </w:rPr>
        <w:softHyphen/>
        <w:t>пор силами газов первого газоуплот нительного кольца в момент прохож</w:t>
      </w:r>
      <w:r w:rsidRPr="00925F26">
        <w:rPr>
          <w:color w:val="000000" w:themeColor="text1"/>
          <w:sz w:val="16"/>
          <w:szCs w:val="16"/>
        </w:rPr>
        <w:softHyphen/>
        <w:t>дения им рабочей поверхности ци</w:t>
      </w:r>
      <w:r w:rsidRPr="00925F26">
        <w:rPr>
          <w:color w:val="000000" w:themeColor="text1"/>
          <w:sz w:val="16"/>
          <w:szCs w:val="16"/>
        </w:rPr>
        <w:softHyphen/>
        <w:t>линдра, на которой в подавляющем большинстве случаев образуется ме</w:t>
      </w:r>
      <w:r w:rsidRPr="00925F26">
        <w:rPr>
          <w:color w:val="000000" w:themeColor="text1"/>
          <w:sz w:val="16"/>
          <w:szCs w:val="16"/>
        </w:rPr>
        <w:softHyphen/>
        <w:t>стная кольцевая выработка, сравни</w:t>
      </w:r>
      <w:r w:rsidRPr="00925F26">
        <w:rPr>
          <w:color w:val="000000" w:themeColor="text1"/>
          <w:sz w:val="16"/>
          <w:szCs w:val="16"/>
        </w:rPr>
        <w:softHyphen/>
        <w:t>тельно невелик и вряд-ли может иметь существенное значение на образо</w:t>
      </w:r>
      <w:r w:rsidRPr="00925F26">
        <w:rPr>
          <w:color w:val="000000" w:themeColor="text1"/>
          <w:sz w:val="16"/>
          <w:szCs w:val="16"/>
        </w:rPr>
        <w:softHyphen/>
        <w:t>вание выработки. И в самом деле, если в начале движения поршня от ВМТ над его днищем в такте расши</w:t>
      </w:r>
      <w:r w:rsidRPr="00925F26">
        <w:rPr>
          <w:color w:val="000000" w:themeColor="text1"/>
          <w:sz w:val="16"/>
          <w:szCs w:val="16"/>
        </w:rPr>
        <w:softHyphen/>
        <w:t>рения действует усилие газов, рав</w:t>
      </w:r>
      <w:r w:rsidRPr="00925F26">
        <w:rPr>
          <w:color w:val="000000" w:themeColor="text1"/>
          <w:sz w:val="16"/>
          <w:szCs w:val="16"/>
        </w:rPr>
        <w:softHyphen/>
        <w:t>ное 11200 кг, то в момент прохожде</w:t>
      </w:r>
      <w:r w:rsidRPr="00925F26">
        <w:rPr>
          <w:color w:val="000000" w:themeColor="text1"/>
          <w:sz w:val="16"/>
          <w:szCs w:val="16"/>
        </w:rPr>
        <w:softHyphen/>
        <w:t>ния им зоны образования уступов над его днищем действует усилие, состав</w:t>
      </w:r>
      <w:r w:rsidRPr="00925F26">
        <w:rPr>
          <w:color w:val="000000" w:themeColor="text1"/>
          <w:sz w:val="16"/>
          <w:szCs w:val="16"/>
        </w:rPr>
        <w:softHyphen/>
        <w:t>ляющее всего лишь 4000 кг.</w:t>
      </w:r>
    </w:p>
    <w:p w14:paraId="081689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Влияние на образование коль</w:t>
      </w:r>
      <w:r w:rsidRPr="00925F26">
        <w:rPr>
          <w:color w:val="000000" w:themeColor="text1"/>
          <w:sz w:val="16"/>
          <w:szCs w:val="16"/>
        </w:rPr>
        <w:softHyphen/>
        <w:t>цевой выработки коробления торцев поршневых колец было проверено на двух малых сериях моторов АШ-82ФН по ТОО моторов в каждой, с постанов</w:t>
      </w:r>
      <w:r w:rsidRPr="00925F26">
        <w:rPr>
          <w:color w:val="000000" w:themeColor="text1"/>
          <w:sz w:val="16"/>
          <w:szCs w:val="16"/>
        </w:rPr>
        <w:softHyphen/>
        <w:t>кой на все поршни этих моторов га-зоуплотнительных колец, лапингован-ных по торцам.</w:t>
      </w:r>
    </w:p>
    <w:p w14:paraId="63A3E3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первом случае было проведено контрольное испытание ТОО моторов до момента резкого возрастания де</w:t>
      </w:r>
      <w:r w:rsidRPr="00925F26">
        <w:rPr>
          <w:color w:val="000000" w:themeColor="text1"/>
          <w:sz w:val="16"/>
          <w:szCs w:val="16"/>
        </w:rPr>
        <w:softHyphen/>
        <w:t>фекта дымления цилиндров.</w:t>
      </w:r>
    </w:p>
    <w:p w14:paraId="216B21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Полученный при этом результат показывает, что постановка на порш</w:t>
      </w:r>
      <w:r w:rsidRPr="00925F26">
        <w:rPr>
          <w:color w:val="000000" w:themeColor="text1"/>
          <w:sz w:val="16"/>
          <w:szCs w:val="16"/>
        </w:rPr>
        <w:softHyphen/>
        <w:t>ни колец, лапингованных по торцам, снижает дефект дымления с 14,7 до 9,5%.</w:t>
      </w:r>
    </w:p>
    <w:p w14:paraId="25DF235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втором случае, то же самое ис</w:t>
      </w:r>
      <w:r w:rsidRPr="00925F26">
        <w:rPr>
          <w:color w:val="000000" w:themeColor="text1"/>
          <w:sz w:val="16"/>
          <w:szCs w:val="16"/>
        </w:rPr>
        <w:softHyphen/>
        <w:t>пытание было проведено в период наибольшей интенсивности дефекта, но никаких улучшений не было заме</w:t>
      </w:r>
      <w:r w:rsidRPr="00925F26">
        <w:rPr>
          <w:color w:val="000000" w:themeColor="text1"/>
          <w:sz w:val="16"/>
          <w:szCs w:val="16"/>
        </w:rPr>
        <w:softHyphen/>
        <w:t>чено. Из числа поставленных на ис</w:t>
      </w:r>
      <w:r w:rsidRPr="00925F26">
        <w:rPr>
          <w:color w:val="000000" w:themeColor="text1"/>
          <w:sz w:val="16"/>
          <w:szCs w:val="16"/>
        </w:rPr>
        <w:softHyphen/>
        <w:t>пытание моторов 30% было снято по дымлению и уступчатой выработке цилиндров.</w:t>
      </w:r>
    </w:p>
    <w:p w14:paraId="7C5CC9D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По определению влияния на образование уступчатой выработки степени чистоты рабочей поверхнос</w:t>
      </w:r>
      <w:r w:rsidRPr="00925F26">
        <w:rPr>
          <w:color w:val="000000" w:themeColor="text1"/>
          <w:sz w:val="16"/>
          <w:szCs w:val="16"/>
        </w:rPr>
        <w:softHyphen/>
        <w:t>ти, на контрольное испытание было собрано 35 моторов с цилиндрами переднего ряда, предварительно про-хонингованными</w:t>
      </w:r>
      <w:r w:rsidRPr="00925F26">
        <w:rPr>
          <w:color w:val="000000" w:themeColor="text1"/>
          <w:sz w:val="16"/>
          <w:szCs w:val="16"/>
          <w:vertAlign w:val="superscript"/>
        </w:rPr>
        <w:t>2</w:t>
      </w:r>
      <w:r w:rsidRPr="00925F26">
        <w:rPr>
          <w:color w:val="000000" w:themeColor="text1"/>
          <w:sz w:val="16"/>
          <w:szCs w:val="16"/>
        </w:rPr>
        <w:t xml:space="preserve"> по зеркалу до сте</w:t>
      </w:r>
      <w:r w:rsidRPr="00925F26">
        <w:rPr>
          <w:color w:val="000000" w:themeColor="text1"/>
          <w:sz w:val="16"/>
          <w:szCs w:val="16"/>
        </w:rPr>
        <w:softHyphen/>
        <w:t>пени чистоты 10-15 микродюймов по профилометру, вместо 4-6 микродюй</w:t>
      </w:r>
      <w:r w:rsidRPr="00925F26">
        <w:rPr>
          <w:color w:val="000000" w:themeColor="text1"/>
          <w:sz w:val="16"/>
          <w:szCs w:val="16"/>
        </w:rPr>
        <w:softHyphen/>
        <w:t>мов, соответствующим новым цилинд</w:t>
      </w:r>
      <w:r w:rsidRPr="00925F26">
        <w:rPr>
          <w:color w:val="000000" w:themeColor="text1"/>
          <w:sz w:val="16"/>
          <w:szCs w:val="16"/>
        </w:rPr>
        <w:softHyphen/>
        <w:t>рам.</w:t>
      </w:r>
    </w:p>
    <w:p w14:paraId="0EB7AD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 Предварительное хонингова-ние цилиндров перед постановкой их на контрольное испытание снижает съем моторов по дымлению и уступ</w:t>
      </w:r>
      <w:r w:rsidRPr="00925F26">
        <w:rPr>
          <w:color w:val="000000" w:themeColor="text1"/>
          <w:sz w:val="16"/>
          <w:szCs w:val="16"/>
        </w:rPr>
        <w:softHyphen/>
        <w:t>чатой выработке цилиндров с 15% до 10%.</w:t>
      </w:r>
    </w:p>
    <w:p w14:paraId="3785C9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5. Для проверки качества выпол</w:t>
      </w:r>
      <w:r w:rsidRPr="00925F26">
        <w:rPr>
          <w:color w:val="000000" w:themeColor="text1"/>
          <w:sz w:val="16"/>
          <w:szCs w:val="16"/>
        </w:rPr>
        <w:softHyphen/>
        <w:t>нения технологии испытания моторов, в период наибольшего снятия мото</w:t>
      </w:r>
      <w:r w:rsidRPr="00925F26">
        <w:rPr>
          <w:color w:val="000000" w:themeColor="text1"/>
          <w:sz w:val="16"/>
          <w:szCs w:val="16"/>
        </w:rPr>
        <w:softHyphen/>
        <w:t>ров по дымлению цилиндров, в тече</w:t>
      </w:r>
      <w:r w:rsidRPr="00925F26">
        <w:rPr>
          <w:color w:val="000000" w:themeColor="text1"/>
          <w:sz w:val="16"/>
          <w:szCs w:val="16"/>
        </w:rPr>
        <w:softHyphen/>
        <w:t>ние 10 дней было организовано круг</w:t>
      </w:r>
      <w:r w:rsidRPr="00925F26">
        <w:rPr>
          <w:color w:val="000000" w:themeColor="text1"/>
          <w:sz w:val="16"/>
          <w:szCs w:val="16"/>
        </w:rPr>
        <w:softHyphen/>
        <w:t>лосуточное дежурство на балансах Испытательной станции работников ОТК, конструкторов и технологов.</w:t>
      </w:r>
    </w:p>
    <w:p w14:paraId="2299B4B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 Хонингование — чистовая шлифовка специальным инструментом ~ хоном -внутреннего зеркала гильзы цилиндра.</w:t>
      </w:r>
    </w:p>
    <w:p w14:paraId="7DB60AB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проверки: отступлений от технологии испытания не отмечено. Съем же моторов по дымлению и ус</w:t>
      </w:r>
      <w:r w:rsidRPr="00925F26">
        <w:rPr>
          <w:color w:val="000000" w:themeColor="text1"/>
          <w:sz w:val="16"/>
          <w:szCs w:val="16"/>
        </w:rPr>
        <w:softHyphen/>
        <w:t>тупчатой выработке цилиндров про</w:t>
      </w:r>
      <w:r w:rsidRPr="00925F26">
        <w:rPr>
          <w:color w:val="000000" w:themeColor="text1"/>
          <w:sz w:val="16"/>
          <w:szCs w:val="16"/>
        </w:rPr>
        <w:softHyphen/>
        <w:t>должал оставаться на прежнем уров</w:t>
      </w:r>
      <w:r w:rsidRPr="00925F26">
        <w:rPr>
          <w:color w:val="000000" w:themeColor="text1"/>
          <w:sz w:val="16"/>
          <w:szCs w:val="16"/>
        </w:rPr>
        <w:softHyphen/>
        <w:t>не (до 35%}.</w:t>
      </w:r>
    </w:p>
    <w:p w14:paraId="4BC630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Влияние на износ и дымление цилиндров продолжительности прира</w:t>
      </w:r>
      <w:r w:rsidRPr="00925F26">
        <w:rPr>
          <w:color w:val="000000" w:themeColor="text1"/>
          <w:sz w:val="16"/>
          <w:szCs w:val="16"/>
        </w:rPr>
        <w:softHyphen/>
        <w:t>ботки перед контрольным испытани</w:t>
      </w:r>
      <w:r w:rsidRPr="00925F26">
        <w:rPr>
          <w:color w:val="000000" w:themeColor="text1"/>
          <w:sz w:val="16"/>
          <w:szCs w:val="16"/>
        </w:rPr>
        <w:softHyphen/>
        <w:t>ем было проверено:</w:t>
      </w:r>
    </w:p>
    <w:p w14:paraId="0D4FC6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Контрольным испытанием 86 мо</w:t>
      </w:r>
      <w:r w:rsidRPr="00925F26">
        <w:rPr>
          <w:color w:val="000000" w:themeColor="text1"/>
          <w:sz w:val="16"/>
          <w:szCs w:val="16"/>
        </w:rPr>
        <w:softHyphen/>
        <w:t>торов АШ-82ФН с продолжительнос</w:t>
      </w:r>
      <w:r w:rsidRPr="00925F26">
        <w:rPr>
          <w:color w:val="000000" w:themeColor="text1"/>
          <w:sz w:val="16"/>
          <w:szCs w:val="16"/>
        </w:rPr>
        <w:softHyphen/>
        <w:t>тью приработки перед контрольным испытанием, равной 1 час 35 мин вместо существующих 43 мин.</w:t>
      </w:r>
    </w:p>
    <w:p w14:paraId="48714F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неудовлетворительный. Съем моторов с испытания по дымле</w:t>
      </w:r>
      <w:r w:rsidRPr="00925F26">
        <w:rPr>
          <w:color w:val="000000" w:themeColor="text1"/>
          <w:sz w:val="16"/>
          <w:szCs w:val="16"/>
        </w:rPr>
        <w:softHyphen/>
        <w:t>нию цилиндров составил 35%.</w:t>
      </w:r>
    </w:p>
    <w:p w14:paraId="3DFC69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Контрольным испытанием 31 мо</w:t>
      </w:r>
      <w:r w:rsidRPr="00925F26">
        <w:rPr>
          <w:color w:val="000000" w:themeColor="text1"/>
          <w:sz w:val="16"/>
          <w:szCs w:val="16"/>
        </w:rPr>
        <w:softHyphen/>
        <w:t>тора АШ-82ФН с увеличенным при</w:t>
      </w:r>
      <w:r w:rsidRPr="00925F26">
        <w:rPr>
          <w:color w:val="000000" w:themeColor="text1"/>
          <w:sz w:val="16"/>
          <w:szCs w:val="16"/>
        </w:rPr>
        <w:softHyphen/>
        <w:t>работком в 1 час 10 мин. Целью это</w:t>
      </w:r>
      <w:r w:rsidRPr="00925F26">
        <w:rPr>
          <w:color w:val="000000" w:themeColor="text1"/>
          <w:sz w:val="16"/>
          <w:szCs w:val="16"/>
        </w:rPr>
        <w:softHyphen/>
        <w:t>го испытания являлось создать наи</w:t>
      </w:r>
      <w:r w:rsidRPr="00925F26">
        <w:rPr>
          <w:color w:val="000000" w:themeColor="text1"/>
          <w:sz w:val="16"/>
          <w:szCs w:val="16"/>
        </w:rPr>
        <w:softHyphen/>
        <w:t>лучшие условия проведения прира</w:t>
      </w:r>
      <w:r w:rsidRPr="00925F26">
        <w:rPr>
          <w:color w:val="000000" w:themeColor="text1"/>
          <w:sz w:val="16"/>
          <w:szCs w:val="16"/>
        </w:rPr>
        <w:softHyphen/>
        <w:t>ботки перед режимной работой за счет плавного перехода с одних обо</w:t>
      </w:r>
      <w:r w:rsidRPr="00925F26">
        <w:rPr>
          <w:color w:val="000000" w:themeColor="text1"/>
          <w:sz w:val="16"/>
          <w:szCs w:val="16"/>
        </w:rPr>
        <w:softHyphen/>
        <w:t>ротов на другие (через каждые 100 оборотов с п=1000 об/мин до п=1600 об/мин) и увеличения времени рабо</w:t>
      </w:r>
      <w:r w:rsidRPr="00925F26">
        <w:rPr>
          <w:color w:val="000000" w:themeColor="text1"/>
          <w:sz w:val="16"/>
          <w:szCs w:val="16"/>
        </w:rPr>
        <w:softHyphen/>
        <w:t>ты на указанных оборотах.</w:t>
      </w:r>
    </w:p>
    <w:p w14:paraId="176F2C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неудовлетворительный. Из числа поставленных на испытание, 8 моторов были сняты с испытания по дымлению цилиндров.</w:t>
      </w:r>
    </w:p>
    <w:p w14:paraId="1EFF81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Вследствие того, что съем мото</w:t>
      </w:r>
      <w:r w:rsidRPr="00925F26">
        <w:rPr>
          <w:color w:val="000000" w:themeColor="text1"/>
          <w:sz w:val="16"/>
          <w:szCs w:val="16"/>
        </w:rPr>
        <w:softHyphen/>
        <w:t>ров по дымлению и уступчатой выра</w:t>
      </w:r>
      <w:r w:rsidRPr="00925F26">
        <w:rPr>
          <w:color w:val="000000" w:themeColor="text1"/>
          <w:sz w:val="16"/>
          <w:szCs w:val="16"/>
        </w:rPr>
        <w:softHyphen/>
        <w:t>ботке цилиндров присуще только кон</w:t>
      </w:r>
      <w:r w:rsidRPr="00925F26">
        <w:rPr>
          <w:color w:val="000000" w:themeColor="text1"/>
          <w:sz w:val="16"/>
          <w:szCs w:val="16"/>
        </w:rPr>
        <w:softHyphen/>
        <w:t>трольным моторам, собираемым на испытание с насосами непосред</w:t>
      </w:r>
      <w:r w:rsidRPr="00925F26">
        <w:rPr>
          <w:color w:val="000000" w:themeColor="text1"/>
          <w:sz w:val="16"/>
          <w:szCs w:val="16"/>
        </w:rPr>
        <w:softHyphen/>
        <w:t>ственного впрыска топлива в цилинд</w:t>
      </w:r>
      <w:r w:rsidRPr="00925F26">
        <w:rPr>
          <w:color w:val="000000" w:themeColor="text1"/>
          <w:sz w:val="16"/>
          <w:szCs w:val="16"/>
        </w:rPr>
        <w:softHyphen/>
        <w:t>ры, и является весьма редким по сда</w:t>
      </w:r>
      <w:r w:rsidRPr="00925F26">
        <w:rPr>
          <w:color w:val="000000" w:themeColor="text1"/>
          <w:sz w:val="16"/>
          <w:szCs w:val="16"/>
        </w:rPr>
        <w:softHyphen/>
        <w:t>точным моторам, собираемым на ис</w:t>
      </w:r>
      <w:r w:rsidRPr="00925F26">
        <w:rPr>
          <w:color w:val="000000" w:themeColor="text1"/>
          <w:sz w:val="16"/>
          <w:szCs w:val="16"/>
        </w:rPr>
        <w:softHyphen/>
        <w:t>пытание с карбюраторами, сложилось мнение, что основной причиной ус</w:t>
      </w:r>
      <w:r w:rsidRPr="00925F26">
        <w:rPr>
          <w:color w:val="000000" w:themeColor="text1"/>
          <w:sz w:val="16"/>
          <w:szCs w:val="16"/>
        </w:rPr>
        <w:softHyphen/>
        <w:t>тупчатой выработки цилиндров явля</w:t>
      </w:r>
      <w:r w:rsidRPr="00925F26">
        <w:rPr>
          <w:color w:val="000000" w:themeColor="text1"/>
          <w:sz w:val="16"/>
          <w:szCs w:val="16"/>
        </w:rPr>
        <w:softHyphen/>
        <w:t>ется некачественная работа топлив</w:t>
      </w:r>
      <w:r w:rsidRPr="00925F26">
        <w:rPr>
          <w:color w:val="000000" w:themeColor="text1"/>
          <w:sz w:val="16"/>
          <w:szCs w:val="16"/>
        </w:rPr>
        <w:softHyphen/>
        <w:t>ных форсунок и насоса непосред</w:t>
      </w:r>
      <w:r w:rsidRPr="00925F26">
        <w:rPr>
          <w:color w:val="000000" w:themeColor="text1"/>
          <w:sz w:val="16"/>
          <w:szCs w:val="16"/>
        </w:rPr>
        <w:softHyphen/>
        <w:t>ственного впрыска.</w:t>
      </w:r>
    </w:p>
    <w:p w14:paraId="4B0EAD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целью исследования этого воп</w:t>
      </w:r>
      <w:r w:rsidRPr="00925F26">
        <w:rPr>
          <w:color w:val="000000" w:themeColor="text1"/>
          <w:sz w:val="16"/>
          <w:szCs w:val="16"/>
        </w:rPr>
        <w:softHyphen/>
        <w:t>роса были поставлены эксперименты:</w:t>
      </w:r>
    </w:p>
    <w:p w14:paraId="0D33149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По причине того, что на заводе пока нет возможности для правиль</w:t>
      </w:r>
      <w:r w:rsidRPr="00925F26">
        <w:rPr>
          <w:color w:val="000000" w:themeColor="text1"/>
          <w:sz w:val="16"/>
          <w:szCs w:val="16"/>
        </w:rPr>
        <w:softHyphen/>
        <w:t>ного контролирования топливных фор</w:t>
      </w:r>
      <w:r w:rsidRPr="00925F26">
        <w:rPr>
          <w:color w:val="000000" w:themeColor="text1"/>
          <w:sz w:val="16"/>
          <w:szCs w:val="16"/>
        </w:rPr>
        <w:softHyphen/>
        <w:t>сунок на качество распыла топлива, было проведено испытание 6-ти мо</w:t>
      </w:r>
      <w:r w:rsidRPr="00925F26">
        <w:rPr>
          <w:color w:val="000000" w:themeColor="text1"/>
          <w:sz w:val="16"/>
          <w:szCs w:val="16"/>
        </w:rPr>
        <w:softHyphen/>
        <w:t>торов АШ-82ФН с форсунками, сня</w:t>
      </w:r>
      <w:r w:rsidRPr="00925F26">
        <w:rPr>
          <w:color w:val="000000" w:themeColor="text1"/>
          <w:sz w:val="16"/>
          <w:szCs w:val="16"/>
        </w:rPr>
        <w:softHyphen/>
        <w:t>тыми с цилиндров после образова</w:t>
      </w:r>
      <w:r w:rsidRPr="00925F26">
        <w:rPr>
          <w:color w:val="000000" w:themeColor="text1"/>
          <w:sz w:val="16"/>
          <w:szCs w:val="16"/>
        </w:rPr>
        <w:softHyphen/>
        <w:t>ния на них уступов или показавших плохую работу.</w:t>
      </w:r>
    </w:p>
    <w:p w14:paraId="7BAAE2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 Все моторы прошли испыта</w:t>
      </w:r>
      <w:r w:rsidRPr="00925F26">
        <w:rPr>
          <w:color w:val="000000" w:themeColor="text1"/>
          <w:sz w:val="16"/>
          <w:szCs w:val="16"/>
        </w:rPr>
        <w:softHyphen/>
        <w:t>ние без дефектов цилиндровой груп</w:t>
      </w:r>
      <w:r w:rsidRPr="00925F26">
        <w:rPr>
          <w:color w:val="000000" w:themeColor="text1"/>
          <w:sz w:val="16"/>
          <w:szCs w:val="16"/>
        </w:rPr>
        <w:softHyphen/>
        <w:t>пы.</w:t>
      </w:r>
    </w:p>
    <w:p w14:paraId="65B06D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Сдаточное испытание 6 моторов АШ-82ФН с постановкой насосов непосредственного впрыска вместо карбюраторов.</w:t>
      </w:r>
    </w:p>
    <w:p w14:paraId="3C61517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w:t>
      </w:r>
    </w:p>
    <w:p w14:paraId="7C8049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Цилиндров с уступами после ис</w:t>
      </w:r>
      <w:r w:rsidRPr="00925F26">
        <w:rPr>
          <w:color w:val="000000" w:themeColor="text1"/>
          <w:sz w:val="16"/>
          <w:szCs w:val="16"/>
        </w:rPr>
        <w:softHyphen/>
        <w:t>пытания не обнаружено.</w:t>
      </w:r>
    </w:p>
    <w:p w14:paraId="6090C7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2 десятичасовых испытания на одноцилиндровой установке топлив</w:t>
      </w:r>
      <w:r w:rsidRPr="00925F26">
        <w:rPr>
          <w:color w:val="000000" w:themeColor="text1"/>
          <w:sz w:val="16"/>
          <w:szCs w:val="16"/>
        </w:rPr>
        <w:softHyphen/>
        <w:t>ных форсунок с хорошим и плохим распилом топлива. Отбор форсунок, за неимением соответствующей ап</w:t>
      </w:r>
      <w:r w:rsidRPr="00925F26">
        <w:rPr>
          <w:color w:val="000000" w:themeColor="text1"/>
          <w:sz w:val="16"/>
          <w:szCs w:val="16"/>
        </w:rPr>
        <w:softHyphen/>
        <w:t>паратуры, был сделан приближенно.</w:t>
      </w:r>
    </w:p>
    <w:p w14:paraId="2D52EF3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износы ци</w:t>
      </w:r>
      <w:r w:rsidRPr="00925F26">
        <w:rPr>
          <w:color w:val="000000" w:themeColor="text1"/>
          <w:sz w:val="16"/>
          <w:szCs w:val="16"/>
        </w:rPr>
        <w:softHyphen/>
        <w:t>линдров равноценны. Износы колец больше с форсункой, имеющей пло</w:t>
      </w:r>
      <w:r w:rsidRPr="00925F26">
        <w:rPr>
          <w:color w:val="000000" w:themeColor="text1"/>
          <w:sz w:val="16"/>
          <w:szCs w:val="16"/>
        </w:rPr>
        <w:softHyphen/>
        <w:t>хой распыл.</w:t>
      </w:r>
    </w:p>
    <w:p w14:paraId="61B0178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5-ти часовое испытание на одно</w:t>
      </w:r>
      <w:r w:rsidRPr="00925F26">
        <w:rPr>
          <w:color w:val="000000" w:themeColor="text1"/>
          <w:sz w:val="16"/>
          <w:szCs w:val="16"/>
        </w:rPr>
        <w:softHyphen/>
        <w:t>цилиндровой установке по определе</w:t>
      </w:r>
      <w:r w:rsidRPr="00925F26">
        <w:rPr>
          <w:color w:val="000000" w:themeColor="text1"/>
          <w:sz w:val="16"/>
          <w:szCs w:val="16"/>
        </w:rPr>
        <w:softHyphen/>
        <w:t>нию влияния на износ цилиндров и поршневых колец обогащения сме</w:t>
      </w:r>
      <w:r w:rsidRPr="00925F26">
        <w:rPr>
          <w:color w:val="000000" w:themeColor="text1"/>
          <w:sz w:val="16"/>
          <w:szCs w:val="16"/>
        </w:rPr>
        <w:softHyphen/>
        <w:t>си.</w:t>
      </w:r>
    </w:p>
    <w:p w14:paraId="3B845E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на нормаль</w:t>
      </w:r>
      <w:r w:rsidRPr="00925F26">
        <w:rPr>
          <w:color w:val="000000" w:themeColor="text1"/>
          <w:sz w:val="16"/>
          <w:szCs w:val="16"/>
        </w:rPr>
        <w:softHyphen/>
        <w:t>ных смесях износы гильз и колец были больше, чем износы при работе мо</w:t>
      </w:r>
      <w:r w:rsidRPr="00925F26">
        <w:rPr>
          <w:color w:val="000000" w:themeColor="text1"/>
          <w:sz w:val="16"/>
          <w:szCs w:val="16"/>
        </w:rPr>
        <w:softHyphen/>
        <w:t>тора на богатой смеси.</w:t>
      </w:r>
    </w:p>
    <w:p w14:paraId="6033E67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Предположение о том, что уступ</w:t>
      </w:r>
      <w:r w:rsidRPr="00925F26">
        <w:rPr>
          <w:color w:val="000000" w:themeColor="text1"/>
          <w:sz w:val="16"/>
          <w:szCs w:val="16"/>
        </w:rPr>
        <w:softHyphen/>
        <w:t>чатая выработка является следстви</w:t>
      </w:r>
      <w:r w:rsidRPr="00925F26">
        <w:rPr>
          <w:color w:val="000000" w:themeColor="text1"/>
          <w:sz w:val="16"/>
          <w:szCs w:val="16"/>
        </w:rPr>
        <w:softHyphen/>
        <w:t>ем постановки на цилиндры дефлек</w:t>
      </w:r>
      <w:r w:rsidRPr="00925F26">
        <w:rPr>
          <w:color w:val="000000" w:themeColor="text1"/>
          <w:sz w:val="16"/>
          <w:szCs w:val="16"/>
        </w:rPr>
        <w:softHyphen/>
        <w:t>торов обдува, также как и в предыду</w:t>
      </w:r>
      <w:r w:rsidRPr="00925F26">
        <w:rPr>
          <w:color w:val="000000" w:themeColor="text1"/>
          <w:sz w:val="16"/>
          <w:szCs w:val="16"/>
        </w:rPr>
        <w:softHyphen/>
        <w:t>щем случае, сложилась на основании разницы в сборках сдаточных и конт</w:t>
      </w:r>
      <w:r w:rsidRPr="00925F26">
        <w:rPr>
          <w:color w:val="000000" w:themeColor="text1"/>
          <w:sz w:val="16"/>
          <w:szCs w:val="16"/>
        </w:rPr>
        <w:softHyphen/>
        <w:t>рольных моторов.</w:t>
      </w:r>
    </w:p>
    <w:p w14:paraId="421DEAC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установившемуся еще в 1941 году производству, дефлекторы обду</w:t>
      </w:r>
      <w:r w:rsidRPr="00925F26">
        <w:rPr>
          <w:color w:val="000000" w:themeColor="text1"/>
          <w:sz w:val="16"/>
          <w:szCs w:val="16"/>
        </w:rPr>
        <w:softHyphen/>
        <w:t>ва цилиндров устанавливаются толь</w:t>
      </w:r>
      <w:r w:rsidRPr="00925F26">
        <w:rPr>
          <w:color w:val="000000" w:themeColor="text1"/>
          <w:sz w:val="16"/>
          <w:szCs w:val="16"/>
        </w:rPr>
        <w:softHyphen/>
        <w:t>ко на моторы, собираемые на конт</w:t>
      </w:r>
      <w:r w:rsidRPr="00925F26">
        <w:rPr>
          <w:color w:val="000000" w:themeColor="text1"/>
          <w:sz w:val="16"/>
          <w:szCs w:val="16"/>
        </w:rPr>
        <w:softHyphen/>
        <w:t>рольное испытание, а сдаточное ис</w:t>
      </w:r>
      <w:r w:rsidRPr="00925F26">
        <w:rPr>
          <w:color w:val="000000" w:themeColor="text1"/>
          <w:sz w:val="16"/>
          <w:szCs w:val="16"/>
        </w:rPr>
        <w:softHyphen/>
        <w:t>пытание моторы проходят без деф</w:t>
      </w:r>
      <w:r w:rsidRPr="00925F26">
        <w:rPr>
          <w:color w:val="000000" w:themeColor="text1"/>
          <w:sz w:val="16"/>
          <w:szCs w:val="16"/>
        </w:rPr>
        <w:softHyphen/>
        <w:t>лекторов.</w:t>
      </w:r>
    </w:p>
    <w:p w14:paraId="10C3C17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определению влияния дефлек</w:t>
      </w:r>
      <w:r w:rsidRPr="00925F26">
        <w:rPr>
          <w:color w:val="000000" w:themeColor="text1"/>
          <w:sz w:val="16"/>
          <w:szCs w:val="16"/>
        </w:rPr>
        <w:softHyphen/>
        <w:t>торов обдува на дымление цилинд</w:t>
      </w:r>
      <w:r w:rsidRPr="00925F26">
        <w:rPr>
          <w:color w:val="000000" w:themeColor="text1"/>
          <w:sz w:val="16"/>
          <w:szCs w:val="16"/>
        </w:rPr>
        <w:softHyphen/>
        <w:t>ров было проведено:</w:t>
      </w:r>
    </w:p>
    <w:p w14:paraId="40E0989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Сдаточное испытание 8 моторов АШ-82ФН с постановкой всех деф</w:t>
      </w:r>
      <w:r w:rsidRPr="00925F26">
        <w:rPr>
          <w:color w:val="000000" w:themeColor="text1"/>
          <w:sz w:val="16"/>
          <w:szCs w:val="16"/>
        </w:rPr>
        <w:softHyphen/>
        <w:t>лекторов обдува цилиндров.</w:t>
      </w:r>
    </w:p>
    <w:p w14:paraId="0349B2F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 Все моторы прошли испыта</w:t>
      </w:r>
      <w:r w:rsidRPr="00925F26">
        <w:rPr>
          <w:color w:val="000000" w:themeColor="text1"/>
          <w:sz w:val="16"/>
          <w:szCs w:val="16"/>
        </w:rPr>
        <w:softHyphen/>
        <w:t>ние без дефектов цилиндровой груп</w:t>
      </w:r>
      <w:r w:rsidRPr="00925F26">
        <w:rPr>
          <w:color w:val="000000" w:themeColor="text1"/>
          <w:sz w:val="16"/>
          <w:szCs w:val="16"/>
        </w:rPr>
        <w:softHyphen/>
        <w:t>пы.</w:t>
      </w:r>
    </w:p>
    <w:p w14:paraId="3D6381B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Контрольное испытание 6-ти мо</w:t>
      </w:r>
      <w:r w:rsidRPr="00925F26">
        <w:rPr>
          <w:color w:val="000000" w:themeColor="text1"/>
          <w:sz w:val="16"/>
          <w:szCs w:val="16"/>
        </w:rPr>
        <w:softHyphen/>
        <w:t>торов АШ-82ФН без дефлекторов обдува переднего ряда цилиндров.</w:t>
      </w:r>
    </w:p>
    <w:p w14:paraId="2D7487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неудовлетворительный. Два мотора снято с испытания по дым</w:t>
      </w:r>
      <w:r w:rsidRPr="00925F26">
        <w:rPr>
          <w:color w:val="000000" w:themeColor="text1"/>
          <w:sz w:val="16"/>
          <w:szCs w:val="16"/>
        </w:rPr>
        <w:softHyphen/>
        <w:t>лению цилиндров.</w:t>
      </w:r>
    </w:p>
    <w:p w14:paraId="6A8A9C0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По вопросу влияния на износ и дымление цилиндров осей отверстий в главном шатуне под пальцы при</w:t>
      </w:r>
      <w:r w:rsidRPr="00925F26">
        <w:rPr>
          <w:color w:val="000000" w:themeColor="text1"/>
          <w:sz w:val="16"/>
          <w:szCs w:val="16"/>
        </w:rPr>
        <w:softHyphen/>
        <w:t>цепных шатунов и перекоса фланца крепления цилиндра к рабочей по</w:t>
      </w:r>
      <w:r w:rsidRPr="00925F26">
        <w:rPr>
          <w:color w:val="000000" w:themeColor="text1"/>
          <w:sz w:val="16"/>
          <w:szCs w:val="16"/>
        </w:rPr>
        <w:softHyphen/>
        <w:t>верхности было проделано:</w:t>
      </w:r>
    </w:p>
    <w:p w14:paraId="6290F9E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У 10-ти цилиндров, имеющих ус</w:t>
      </w:r>
      <w:r w:rsidRPr="00925F26">
        <w:rPr>
          <w:color w:val="000000" w:themeColor="text1"/>
          <w:sz w:val="16"/>
          <w:szCs w:val="16"/>
        </w:rPr>
        <w:softHyphen/>
        <w:t>тупчатую выработку на рабочей по</w:t>
      </w:r>
      <w:r w:rsidRPr="00925F26">
        <w:rPr>
          <w:color w:val="000000" w:themeColor="text1"/>
          <w:sz w:val="16"/>
          <w:szCs w:val="16"/>
        </w:rPr>
        <w:softHyphen/>
        <w:t>верхности и у 10-ти цилиндров, вновь изготовленных, была замерена вели</w:t>
      </w:r>
      <w:r w:rsidRPr="00925F26">
        <w:rPr>
          <w:color w:val="000000" w:themeColor="text1"/>
          <w:sz w:val="16"/>
          <w:szCs w:val="16"/>
        </w:rPr>
        <w:softHyphen/>
        <w:t>чина неперпендикулярности плоско</w:t>
      </w:r>
      <w:r w:rsidRPr="00925F26">
        <w:rPr>
          <w:color w:val="000000" w:themeColor="text1"/>
          <w:sz w:val="16"/>
          <w:szCs w:val="16"/>
        </w:rPr>
        <w:softHyphen/>
        <w:t>сти фланца к рабочей поверхности.</w:t>
      </w:r>
    </w:p>
    <w:p w14:paraId="6ED118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этой проверки уста</w:t>
      </w:r>
      <w:r w:rsidRPr="00925F26">
        <w:rPr>
          <w:color w:val="000000" w:themeColor="text1"/>
          <w:sz w:val="16"/>
          <w:szCs w:val="16"/>
        </w:rPr>
        <w:softHyphen/>
        <w:t>новлено, что на большинстве цилинд</w:t>
      </w:r>
      <w:r w:rsidRPr="00925F26">
        <w:rPr>
          <w:color w:val="000000" w:themeColor="text1"/>
          <w:sz w:val="16"/>
          <w:szCs w:val="16"/>
        </w:rPr>
        <w:softHyphen/>
        <w:t>ров величина неперпендикулярности плоскости фланца к зеркалу, по срав</w:t>
      </w:r>
      <w:r w:rsidRPr="00925F26">
        <w:rPr>
          <w:color w:val="000000" w:themeColor="text1"/>
          <w:sz w:val="16"/>
          <w:szCs w:val="16"/>
        </w:rPr>
        <w:softHyphen/>
        <w:t>нению с чертежом, значительно за</w:t>
      </w:r>
      <w:r w:rsidRPr="00925F26">
        <w:rPr>
          <w:color w:val="000000" w:themeColor="text1"/>
          <w:sz w:val="16"/>
          <w:szCs w:val="16"/>
        </w:rPr>
        <w:softHyphen/>
        <w:t>вышена и на отдельных цилиндрах вместо 0,05 мм составляет 0,1-0,14 мм.</w:t>
      </w:r>
    </w:p>
    <w:p w14:paraId="66A77AB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Иной же связи между </w:t>
      </w:r>
      <w:proofErr w:type="gramStart"/>
      <w:r w:rsidRPr="00925F26">
        <w:rPr>
          <w:color w:val="000000" w:themeColor="text1"/>
          <w:sz w:val="16"/>
          <w:szCs w:val="16"/>
        </w:rPr>
        <w:t>завышен ной</w:t>
      </w:r>
      <w:proofErr w:type="gramEnd"/>
      <w:r w:rsidRPr="00925F26">
        <w:rPr>
          <w:color w:val="000000" w:themeColor="text1"/>
          <w:sz w:val="16"/>
          <w:szCs w:val="16"/>
        </w:rPr>
        <w:t xml:space="preserve"> неперпендикулярностью фланца к зеркалу и уступчатой выработкой в данном случае не обнаружено.</w:t>
      </w:r>
    </w:p>
    <w:p w14:paraId="421B9F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Проведено контрольное испыта</w:t>
      </w:r>
      <w:r w:rsidRPr="00925F26">
        <w:rPr>
          <w:color w:val="000000" w:themeColor="text1"/>
          <w:sz w:val="16"/>
          <w:szCs w:val="16"/>
        </w:rPr>
        <w:softHyphen/>
        <w:t>ние 39 моторов АШ-82ФН с завы</w:t>
      </w:r>
      <w:r w:rsidRPr="00925F26">
        <w:rPr>
          <w:color w:val="000000" w:themeColor="text1"/>
          <w:sz w:val="16"/>
          <w:szCs w:val="16"/>
        </w:rPr>
        <w:softHyphen/>
        <w:t>шенным против чертежа перекосом осей отверстий в главном шатуне под пальцы прицепных шатунов.</w:t>
      </w:r>
    </w:p>
    <w:p w14:paraId="38CEC68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многих случаях перекос осей отверстий вместо 0,07 мм достигал от 0, 1 до 0,2 мм.</w:t>
      </w:r>
    </w:p>
    <w:p w14:paraId="6FA30C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испытания непосред</w:t>
      </w:r>
      <w:r w:rsidRPr="00925F26">
        <w:rPr>
          <w:color w:val="000000" w:themeColor="text1"/>
          <w:sz w:val="16"/>
          <w:szCs w:val="16"/>
        </w:rPr>
        <w:softHyphen/>
        <w:t>ственной связи дефектов дымления цилиндров и уступчатого износа с завышенными перекосами осей от</w:t>
      </w:r>
      <w:r w:rsidRPr="00925F26">
        <w:rPr>
          <w:color w:val="000000" w:themeColor="text1"/>
          <w:sz w:val="16"/>
          <w:szCs w:val="16"/>
        </w:rPr>
        <w:softHyphen/>
        <w:t>верстий в главном шатуне под паль</w:t>
      </w:r>
      <w:r w:rsidRPr="00925F26">
        <w:rPr>
          <w:color w:val="000000" w:themeColor="text1"/>
          <w:sz w:val="16"/>
          <w:szCs w:val="16"/>
        </w:rPr>
        <w:softHyphen/>
        <w:t>цы прицепных шатунов не установле</w:t>
      </w:r>
      <w:r w:rsidRPr="00925F26">
        <w:rPr>
          <w:color w:val="000000" w:themeColor="text1"/>
          <w:sz w:val="16"/>
          <w:szCs w:val="16"/>
        </w:rPr>
        <w:softHyphen/>
        <w:t>но.</w:t>
      </w:r>
    </w:p>
    <w:p w14:paraId="5D1C99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за время испытания было снято по дымлению цилиндров 4 мо</w:t>
      </w:r>
      <w:r w:rsidRPr="00925F26">
        <w:rPr>
          <w:color w:val="000000" w:themeColor="text1"/>
          <w:sz w:val="16"/>
          <w:szCs w:val="16"/>
        </w:rPr>
        <w:softHyphen/>
        <w:t>тора с общим количеством дымящих цилиндров 13 штук. Все эти цилинд</w:t>
      </w:r>
      <w:r w:rsidRPr="00925F26">
        <w:rPr>
          <w:color w:val="000000" w:themeColor="text1"/>
          <w:sz w:val="16"/>
          <w:szCs w:val="16"/>
        </w:rPr>
        <w:softHyphen/>
        <w:t xml:space="preserve">ры оказались в удовлетворительном </w:t>
      </w:r>
      <w:proofErr w:type="gramStart"/>
      <w:r w:rsidRPr="00925F26">
        <w:rPr>
          <w:color w:val="000000" w:themeColor="text1"/>
          <w:sz w:val="16"/>
          <w:szCs w:val="16"/>
        </w:rPr>
        <w:t>состоянии, несмотря на то, что</w:t>
      </w:r>
      <w:proofErr w:type="gramEnd"/>
      <w:r w:rsidRPr="00925F26">
        <w:rPr>
          <w:color w:val="000000" w:themeColor="text1"/>
          <w:sz w:val="16"/>
          <w:szCs w:val="16"/>
        </w:rPr>
        <w:t xml:space="preserve"> в трех из них стояли прицепные шатуны с завышенным перекосом.</w:t>
      </w:r>
    </w:p>
    <w:p w14:paraId="2D38C88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Для исследования влияния на образование уступчатой выработки осушающего действия маслосборных колец проведено контрольное испы</w:t>
      </w:r>
      <w:r w:rsidRPr="00925F26">
        <w:rPr>
          <w:color w:val="000000" w:themeColor="text1"/>
          <w:sz w:val="16"/>
          <w:szCs w:val="16"/>
        </w:rPr>
        <w:softHyphen/>
        <w:t>тание 25-ти моторов АШ-82ФН с маслосборными кольцами, имеющими глубину торцевых выемок для сброса масла, уменьшенную на 0,1 мм.</w:t>
      </w:r>
    </w:p>
    <w:p w14:paraId="7672538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неудовлетво</w:t>
      </w:r>
      <w:r w:rsidRPr="00925F26">
        <w:rPr>
          <w:color w:val="000000" w:themeColor="text1"/>
          <w:sz w:val="16"/>
          <w:szCs w:val="16"/>
        </w:rPr>
        <w:softHyphen/>
        <w:t>рительный. Из 25-ти моторов снято по дымлению цилиндров 5 шт., на 6-ти из числа дымящих цилиндров об</w:t>
      </w:r>
      <w:r w:rsidRPr="00925F26">
        <w:rPr>
          <w:color w:val="000000" w:themeColor="text1"/>
          <w:sz w:val="16"/>
          <w:szCs w:val="16"/>
        </w:rPr>
        <w:softHyphen/>
        <w:t>наружен кольцевой износ.</w:t>
      </w:r>
    </w:p>
    <w:p w14:paraId="1AFC97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 Возможность возникновения уступчатой выработки в зависимости от повышенного разжижения масла бензином была проверена анализом масла, взятого с 11 моторов, имевших дымление цилиндров, и 4-х моторов, работавших нормально.</w:t>
      </w:r>
    </w:p>
    <w:p w14:paraId="675486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Пробы масла брались при работе на режиме номинала из крана сли</w:t>
      </w:r>
      <w:r w:rsidRPr="00925F26">
        <w:rPr>
          <w:color w:val="000000" w:themeColor="text1"/>
          <w:sz w:val="16"/>
          <w:szCs w:val="16"/>
        </w:rPr>
        <w:softHyphen/>
        <w:t>ва магистрали у сетчатого фильтра.</w:t>
      </w:r>
    </w:p>
    <w:p w14:paraId="30B963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анализа: в масле, ото</w:t>
      </w:r>
      <w:r w:rsidRPr="00925F26">
        <w:rPr>
          <w:color w:val="000000" w:themeColor="text1"/>
          <w:sz w:val="16"/>
          <w:szCs w:val="16"/>
        </w:rPr>
        <w:softHyphen/>
        <w:t>бранном из магистрали дымивших моторов, содержалось в среднем от 2,2 до 3% бензина и только на одном моторе эта величина составила 4,4%. В масле удовлетворительно работав</w:t>
      </w:r>
      <w:r w:rsidRPr="00925F26">
        <w:rPr>
          <w:color w:val="000000" w:themeColor="text1"/>
          <w:sz w:val="16"/>
          <w:szCs w:val="16"/>
        </w:rPr>
        <w:softHyphen/>
        <w:t>ших моторов содержание бензина было несколько ниже: в 3-х случаях от 1,2 до 1,7% и в одном случае 2,45%.</w:t>
      </w:r>
    </w:p>
    <w:p w14:paraId="5330AE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 видно из приведенных цифр, разжижение масла не отличается от разжижения, наблюдаемого на удов</w:t>
      </w:r>
      <w:r w:rsidRPr="00925F26">
        <w:rPr>
          <w:color w:val="000000" w:themeColor="text1"/>
          <w:sz w:val="16"/>
          <w:szCs w:val="16"/>
        </w:rPr>
        <w:softHyphen/>
        <w:t>летворительно работающих моторах.</w:t>
      </w:r>
    </w:p>
    <w:p w14:paraId="0D95AF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Для проверки предположения причины выявления дымления цилин</w:t>
      </w:r>
      <w:r w:rsidRPr="00925F26">
        <w:rPr>
          <w:color w:val="000000" w:themeColor="text1"/>
          <w:sz w:val="16"/>
          <w:szCs w:val="16"/>
        </w:rPr>
        <w:softHyphen/>
        <w:t>дров в том случае, когда на рабочей поверхности их отсутствует чрезмер</w:t>
      </w:r>
      <w:r w:rsidRPr="00925F26">
        <w:rPr>
          <w:color w:val="000000" w:themeColor="text1"/>
          <w:sz w:val="16"/>
          <w:szCs w:val="16"/>
        </w:rPr>
        <w:softHyphen/>
        <w:t>ный износ или уступчатая выработка, от неравномерной затяжки цилинд</w:t>
      </w:r>
      <w:r w:rsidRPr="00925F26">
        <w:rPr>
          <w:color w:val="000000" w:themeColor="text1"/>
          <w:sz w:val="16"/>
          <w:szCs w:val="16"/>
        </w:rPr>
        <w:softHyphen/>
        <w:t>ровых гаек, вызывающей деформацию</w:t>
      </w:r>
    </w:p>
    <w:p w14:paraId="4272684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нижнего участка гильзы цилиндра, был проведен опыт следующего содержа</w:t>
      </w:r>
      <w:r w:rsidRPr="00925F26">
        <w:rPr>
          <w:color w:val="000000" w:themeColor="text1"/>
          <w:sz w:val="16"/>
          <w:szCs w:val="16"/>
        </w:rPr>
        <w:softHyphen/>
        <w:t>ния:</w:t>
      </w:r>
    </w:p>
    <w:p w14:paraId="3A1811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одном из контрольных моторов АШ-82ФН, на котором было отмече</w:t>
      </w:r>
      <w:r w:rsidRPr="00925F26">
        <w:rPr>
          <w:color w:val="000000" w:themeColor="text1"/>
          <w:sz w:val="16"/>
          <w:szCs w:val="16"/>
        </w:rPr>
        <w:softHyphen/>
        <w:t>но дымление цилиндров №№ 3, 4, 5 и 6, после предварительного осмотра их электролампочкой через свечное от</w:t>
      </w:r>
      <w:r w:rsidRPr="00925F26">
        <w:rPr>
          <w:color w:val="000000" w:themeColor="text1"/>
          <w:sz w:val="16"/>
          <w:szCs w:val="16"/>
        </w:rPr>
        <w:softHyphen/>
        <w:t>верстие, была произведена перетяж</w:t>
      </w:r>
      <w:r w:rsidRPr="00925F26">
        <w:rPr>
          <w:color w:val="000000" w:themeColor="text1"/>
          <w:sz w:val="16"/>
          <w:szCs w:val="16"/>
        </w:rPr>
        <w:softHyphen/>
        <w:t>ка цилиндровых гаек и мотор вновь отправлен на испытание. При повтор</w:t>
      </w:r>
      <w:r w:rsidRPr="00925F26">
        <w:rPr>
          <w:color w:val="000000" w:themeColor="text1"/>
          <w:sz w:val="16"/>
          <w:szCs w:val="16"/>
        </w:rPr>
        <w:softHyphen/>
        <w:t>ном испытании на моторе было от</w:t>
      </w:r>
      <w:r w:rsidRPr="00925F26">
        <w:rPr>
          <w:color w:val="000000" w:themeColor="text1"/>
          <w:sz w:val="16"/>
          <w:szCs w:val="16"/>
        </w:rPr>
        <w:softHyphen/>
        <w:t>мечено дымление у цилиндров №№ 2, 3, 4 и 7, а ранее дымившие цилинд</w:t>
      </w:r>
      <w:r w:rsidRPr="00925F26">
        <w:rPr>
          <w:color w:val="000000" w:themeColor="text1"/>
          <w:sz w:val="16"/>
          <w:szCs w:val="16"/>
        </w:rPr>
        <w:softHyphen/>
        <w:t>ры №№ 5 и 6 работали нормально. После вскрытия дымивших цилиндров, в цилиндре № 4 обнаружен значи</w:t>
      </w:r>
      <w:r w:rsidRPr="00925F26">
        <w:rPr>
          <w:color w:val="000000" w:themeColor="text1"/>
          <w:sz w:val="16"/>
          <w:szCs w:val="16"/>
        </w:rPr>
        <w:softHyphen/>
        <w:t>тельный уступ.</w:t>
      </w:r>
    </w:p>
    <w:p w14:paraId="48592A2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Восстановление нормальной рабо</w:t>
      </w:r>
      <w:r w:rsidRPr="00925F26">
        <w:rPr>
          <w:color w:val="000000" w:themeColor="text1"/>
          <w:sz w:val="16"/>
          <w:szCs w:val="16"/>
        </w:rPr>
        <w:softHyphen/>
        <w:t>ты цилиндрами №№ 5 и 6 после пе</w:t>
      </w:r>
      <w:r w:rsidRPr="00925F26">
        <w:rPr>
          <w:color w:val="000000" w:themeColor="text1"/>
          <w:sz w:val="16"/>
          <w:szCs w:val="16"/>
        </w:rPr>
        <w:softHyphen/>
        <w:t>ретяжки гаек их крепления говорит о том, что отдельные случаи плохой ра</w:t>
      </w:r>
      <w:r w:rsidRPr="00925F26">
        <w:rPr>
          <w:color w:val="000000" w:themeColor="text1"/>
          <w:sz w:val="16"/>
          <w:szCs w:val="16"/>
        </w:rPr>
        <w:softHyphen/>
        <w:t>боты цилиндров по вышеуказанной причине вполне возможны.</w:t>
      </w:r>
    </w:p>
    <w:p w14:paraId="1FB2AC0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Для определения зависимости износоустойчивости рабочей повер</w:t>
      </w:r>
      <w:r w:rsidRPr="00925F26">
        <w:rPr>
          <w:color w:val="000000" w:themeColor="text1"/>
          <w:sz w:val="16"/>
          <w:szCs w:val="16"/>
        </w:rPr>
        <w:softHyphen/>
        <w:t>хности цилиндров и возможности воз</w:t>
      </w:r>
      <w:r w:rsidRPr="00925F26">
        <w:rPr>
          <w:color w:val="000000" w:themeColor="text1"/>
          <w:sz w:val="16"/>
          <w:szCs w:val="16"/>
        </w:rPr>
        <w:softHyphen/>
        <w:t>никновения на ней уступчатой выра</w:t>
      </w:r>
      <w:r w:rsidRPr="00925F26">
        <w:rPr>
          <w:color w:val="000000" w:themeColor="text1"/>
          <w:sz w:val="16"/>
          <w:szCs w:val="16"/>
        </w:rPr>
        <w:softHyphen/>
        <w:t>ботки от конструкции газоуплотни-тельных колец (особенно 1-го) и раз</w:t>
      </w:r>
      <w:r w:rsidRPr="00925F26">
        <w:rPr>
          <w:color w:val="000000" w:themeColor="text1"/>
          <w:sz w:val="16"/>
          <w:szCs w:val="16"/>
        </w:rPr>
        <w:softHyphen/>
        <w:t>личных антифрикционных покрытий рабочей образующей этих колец, были проведены следующие испытания:</w:t>
      </w:r>
    </w:p>
    <w:p w14:paraId="247D5E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Контрольное испытание 16 мо</w:t>
      </w:r>
      <w:r w:rsidRPr="00925F26">
        <w:rPr>
          <w:color w:val="000000" w:themeColor="text1"/>
          <w:sz w:val="16"/>
          <w:szCs w:val="16"/>
        </w:rPr>
        <w:softHyphen/>
        <w:t xml:space="preserve">торов АШ-82ФН с постановкой в первую канавку поршней </w:t>
      </w:r>
      <w:proofErr w:type="gramStart"/>
      <w:r w:rsidRPr="00925F26">
        <w:rPr>
          <w:color w:val="000000" w:themeColor="text1"/>
          <w:sz w:val="16"/>
          <w:szCs w:val="16"/>
        </w:rPr>
        <w:t>уплотнитель-ного</w:t>
      </w:r>
      <w:proofErr w:type="gramEnd"/>
      <w:r w:rsidRPr="00925F26">
        <w:rPr>
          <w:color w:val="000000" w:themeColor="text1"/>
          <w:sz w:val="16"/>
          <w:szCs w:val="16"/>
        </w:rPr>
        <w:t xml:space="preserve"> кольца с цилиндрической обра</w:t>
      </w:r>
      <w:r w:rsidRPr="00925F26">
        <w:rPr>
          <w:color w:val="000000" w:themeColor="text1"/>
          <w:sz w:val="16"/>
          <w:szCs w:val="16"/>
        </w:rPr>
        <w:softHyphen/>
        <w:t>зующей вместо конусной образую</w:t>
      </w:r>
      <w:r w:rsidRPr="00925F26">
        <w:rPr>
          <w:color w:val="000000" w:themeColor="text1"/>
          <w:sz w:val="16"/>
          <w:szCs w:val="16"/>
        </w:rPr>
        <w:softHyphen/>
        <w:t>щей, присущей серийным газоуплот-нительным кольцам.</w:t>
      </w:r>
    </w:p>
    <w:p w14:paraId="78A61B8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Результат испытания: постановка в первую канавку поршня </w:t>
      </w:r>
      <w:proofErr w:type="gramStart"/>
      <w:r w:rsidRPr="00925F26">
        <w:rPr>
          <w:color w:val="000000" w:themeColor="text1"/>
          <w:sz w:val="16"/>
          <w:szCs w:val="16"/>
        </w:rPr>
        <w:t>уплотнитель-ного</w:t>
      </w:r>
      <w:proofErr w:type="gramEnd"/>
      <w:r w:rsidRPr="00925F26">
        <w:rPr>
          <w:color w:val="000000" w:themeColor="text1"/>
          <w:sz w:val="16"/>
          <w:szCs w:val="16"/>
        </w:rPr>
        <w:t xml:space="preserve"> кольца с цилиндрической обра</w:t>
      </w:r>
      <w:r w:rsidRPr="00925F26">
        <w:rPr>
          <w:color w:val="000000" w:themeColor="text1"/>
          <w:sz w:val="16"/>
          <w:szCs w:val="16"/>
        </w:rPr>
        <w:softHyphen/>
        <w:t>зующей, при том же самом количе</w:t>
      </w:r>
      <w:r w:rsidRPr="00925F26">
        <w:rPr>
          <w:color w:val="000000" w:themeColor="text1"/>
          <w:sz w:val="16"/>
          <w:szCs w:val="16"/>
        </w:rPr>
        <w:softHyphen/>
        <w:t>стве снимаемых с испытания мото</w:t>
      </w:r>
      <w:r w:rsidRPr="00925F26">
        <w:rPr>
          <w:color w:val="000000" w:themeColor="text1"/>
          <w:sz w:val="16"/>
          <w:szCs w:val="16"/>
        </w:rPr>
        <w:softHyphen/>
        <w:t>ров по дымлению цилиндров, умень</w:t>
      </w:r>
      <w:r w:rsidRPr="00925F26">
        <w:rPr>
          <w:color w:val="000000" w:themeColor="text1"/>
          <w:sz w:val="16"/>
          <w:szCs w:val="16"/>
        </w:rPr>
        <w:softHyphen/>
        <w:t>шает вероятность образования на зеркале цилиндров уступчатой выра</w:t>
      </w:r>
      <w:r w:rsidRPr="00925F26">
        <w:rPr>
          <w:color w:val="000000" w:themeColor="text1"/>
          <w:sz w:val="16"/>
          <w:szCs w:val="16"/>
        </w:rPr>
        <w:softHyphen/>
        <w:t>ботки на 20-30%.</w:t>
      </w:r>
    </w:p>
    <w:p w14:paraId="177A7C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б) Контрольное испытание 17-ти моторов АШ-82ФН с постановкой в первую канавку поршней </w:t>
      </w:r>
      <w:proofErr w:type="gramStart"/>
      <w:r w:rsidRPr="00925F26">
        <w:rPr>
          <w:color w:val="000000" w:themeColor="text1"/>
          <w:sz w:val="16"/>
          <w:szCs w:val="16"/>
        </w:rPr>
        <w:t>уплотнитель-ных</w:t>
      </w:r>
      <w:proofErr w:type="gramEnd"/>
      <w:r w:rsidRPr="00925F26">
        <w:rPr>
          <w:color w:val="000000" w:themeColor="text1"/>
          <w:sz w:val="16"/>
          <w:szCs w:val="16"/>
        </w:rPr>
        <w:t xml:space="preserve"> колец с цилиндрической образу</w:t>
      </w:r>
      <w:r w:rsidRPr="00925F26">
        <w:rPr>
          <w:color w:val="000000" w:themeColor="text1"/>
          <w:sz w:val="16"/>
          <w:szCs w:val="16"/>
        </w:rPr>
        <w:softHyphen/>
        <w:t>ющей, и с целью достижения лучшей приработки этих колец, всеми прохо-нингованными перед постановкой на моторы цилиндрами.</w:t>
      </w:r>
    </w:p>
    <w:p w14:paraId="5111D8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удовлетворительный. Все моторы прошли испытание без де</w:t>
      </w:r>
      <w:r w:rsidRPr="00925F26">
        <w:rPr>
          <w:color w:val="000000" w:themeColor="text1"/>
          <w:sz w:val="16"/>
          <w:szCs w:val="16"/>
        </w:rPr>
        <w:softHyphen/>
        <w:t>фектов цилиндровой группы.</w:t>
      </w:r>
    </w:p>
    <w:p w14:paraId="34B709A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Контрольное испытание 215 мо</w:t>
      </w:r>
      <w:r w:rsidRPr="00925F26">
        <w:rPr>
          <w:color w:val="000000" w:themeColor="text1"/>
          <w:sz w:val="16"/>
          <w:szCs w:val="16"/>
        </w:rPr>
        <w:softHyphen/>
        <w:t>торов с предварительно прохонинго-ванными цилиндрами переднего ряда и цилиндра № 11 заднего ряда, с по</w:t>
      </w:r>
      <w:r w:rsidRPr="00925F26">
        <w:rPr>
          <w:color w:val="000000" w:themeColor="text1"/>
          <w:sz w:val="16"/>
          <w:szCs w:val="16"/>
        </w:rPr>
        <w:softHyphen/>
        <w:t>становкой в первую канавку порш</w:t>
      </w:r>
      <w:r w:rsidRPr="00925F26">
        <w:rPr>
          <w:color w:val="000000" w:themeColor="text1"/>
          <w:sz w:val="16"/>
          <w:szCs w:val="16"/>
        </w:rPr>
        <w:softHyphen/>
        <w:t>ней этих цилиндров газоуплотнитель-ных колец с цилиндрической образу</w:t>
      </w:r>
      <w:r w:rsidRPr="00925F26">
        <w:rPr>
          <w:color w:val="000000" w:themeColor="text1"/>
          <w:sz w:val="16"/>
          <w:szCs w:val="16"/>
        </w:rPr>
        <w:softHyphen/>
        <w:t>ющей.</w:t>
      </w:r>
    </w:p>
    <w:p w14:paraId="6CF991E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w:t>
      </w:r>
    </w:p>
    <w:p w14:paraId="3D5EFCA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230-ти поставленных на испы-</w:t>
      </w:r>
    </w:p>
    <w:p w14:paraId="00101D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тание моторов снято по дымлению цилиндров 24 мотора (11 %).</w:t>
      </w:r>
    </w:p>
    <w:p w14:paraId="054257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При осмотре из числа дымивших цилиндров с уступчатой выработкой было обнаружено только 3 цилиндра на 3-х моторах, все же остальные ци</w:t>
      </w:r>
      <w:r w:rsidRPr="00925F26">
        <w:rPr>
          <w:color w:val="000000" w:themeColor="text1"/>
          <w:sz w:val="16"/>
          <w:szCs w:val="16"/>
        </w:rPr>
        <w:softHyphen/>
        <w:t>линдры находились в удовлетворитель</w:t>
      </w:r>
      <w:r w:rsidRPr="00925F26">
        <w:rPr>
          <w:color w:val="000000" w:themeColor="text1"/>
          <w:sz w:val="16"/>
          <w:szCs w:val="16"/>
        </w:rPr>
        <w:softHyphen/>
        <w:t>ном состоянии.</w:t>
      </w:r>
    </w:p>
    <w:p w14:paraId="5D2AE6E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ПРИМЕЧАНИЕ: В случае съема моторов по дымлению цилиндров, со</w:t>
      </w:r>
      <w:r w:rsidRPr="00925F26">
        <w:rPr>
          <w:color w:val="000000" w:themeColor="text1"/>
          <w:sz w:val="16"/>
          <w:szCs w:val="16"/>
        </w:rPr>
        <w:softHyphen/>
        <w:t>бранных на контрольное испытание с нехонингованными цилиндрами и уплотнительными поршневыми коль</w:t>
      </w:r>
      <w:r w:rsidRPr="00925F26">
        <w:rPr>
          <w:color w:val="000000" w:themeColor="text1"/>
          <w:sz w:val="16"/>
          <w:szCs w:val="16"/>
        </w:rPr>
        <w:softHyphen/>
        <w:t>цами с конусной образующей, цилин</w:t>
      </w:r>
      <w:r w:rsidRPr="00925F26">
        <w:rPr>
          <w:color w:val="000000" w:themeColor="text1"/>
          <w:sz w:val="16"/>
          <w:szCs w:val="16"/>
        </w:rPr>
        <w:softHyphen/>
        <w:t>дры с уступчатой выработкой обна</w:t>
      </w:r>
      <w:r w:rsidRPr="00925F26">
        <w:rPr>
          <w:color w:val="000000" w:themeColor="text1"/>
          <w:sz w:val="16"/>
          <w:szCs w:val="16"/>
        </w:rPr>
        <w:softHyphen/>
        <w:t>руживаются почти на каждом снятом моторе.</w:t>
      </w:r>
    </w:p>
    <w:p w14:paraId="51E9565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Контрольное испытание 22-х мо</w:t>
      </w:r>
      <w:r w:rsidRPr="00925F26">
        <w:rPr>
          <w:color w:val="000000" w:themeColor="text1"/>
          <w:sz w:val="16"/>
          <w:szCs w:val="16"/>
        </w:rPr>
        <w:softHyphen/>
        <w:t>торов АШ-82ФН с постановкой в первую канавку поршней газоуплот-нительных колец с закруглением ра</w:t>
      </w:r>
      <w:r w:rsidRPr="00925F26">
        <w:rPr>
          <w:color w:val="000000" w:themeColor="text1"/>
          <w:sz w:val="16"/>
          <w:szCs w:val="16"/>
        </w:rPr>
        <w:softHyphen/>
        <w:t>бочей кромки радиусом К 0,4ёО,6 мм вместо К 0,1 макс.</w:t>
      </w:r>
    </w:p>
    <w:p w14:paraId="7FA182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обеспечения лучшей прира</w:t>
      </w:r>
      <w:r w:rsidRPr="00925F26">
        <w:rPr>
          <w:color w:val="000000" w:themeColor="text1"/>
          <w:sz w:val="16"/>
          <w:szCs w:val="16"/>
        </w:rPr>
        <w:softHyphen/>
        <w:t>ботки этих колец к цилиндрам время приработки моторов перед конт</w:t>
      </w:r>
      <w:r w:rsidRPr="00925F26">
        <w:rPr>
          <w:color w:val="000000" w:themeColor="text1"/>
          <w:sz w:val="16"/>
          <w:szCs w:val="16"/>
        </w:rPr>
        <w:softHyphen/>
        <w:t>рольным испытанием было увеличено с 43 мин до 1 часа 35 мин.</w:t>
      </w:r>
    </w:p>
    <w:p w14:paraId="7207D72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w:t>
      </w:r>
    </w:p>
    <w:p w14:paraId="31D62C0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время испытания по дымлению цилиндров был снят только один мо</w:t>
      </w:r>
      <w:r w:rsidRPr="00925F26">
        <w:rPr>
          <w:color w:val="000000" w:themeColor="text1"/>
          <w:sz w:val="16"/>
          <w:szCs w:val="16"/>
        </w:rPr>
        <w:softHyphen/>
        <w:t>тор.</w:t>
      </w:r>
    </w:p>
    <w:p w14:paraId="006373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Несмотря на положительные ре</w:t>
      </w:r>
      <w:r w:rsidRPr="00925F26">
        <w:rPr>
          <w:color w:val="000000" w:themeColor="text1"/>
          <w:sz w:val="16"/>
          <w:szCs w:val="16"/>
        </w:rPr>
        <w:softHyphen/>
        <w:t>зультаты, полученные по работе этих колец, продолжение испытания их в более массовом масштабе не было осуществлено по причине трудностей правильного скругления радиуса ра</w:t>
      </w:r>
      <w:r w:rsidRPr="00925F26">
        <w:rPr>
          <w:color w:val="000000" w:themeColor="text1"/>
          <w:sz w:val="16"/>
          <w:szCs w:val="16"/>
        </w:rPr>
        <w:softHyphen/>
        <w:t>бочей кромки до величины 0,4ёО,6 и обеспечения его контролирования.</w:t>
      </w:r>
    </w:p>
    <w:p w14:paraId="02525AA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ТО десятичасовых испытаний на одноцилиндровой установке поршне</w:t>
      </w:r>
      <w:r w:rsidRPr="00925F26">
        <w:rPr>
          <w:color w:val="000000" w:themeColor="text1"/>
          <w:sz w:val="16"/>
          <w:szCs w:val="16"/>
        </w:rPr>
        <w:softHyphen/>
        <w:t>вых газоуплотнительных колец, хроми</w:t>
      </w:r>
      <w:r w:rsidRPr="00925F26">
        <w:rPr>
          <w:color w:val="000000" w:themeColor="text1"/>
          <w:sz w:val="16"/>
          <w:szCs w:val="16"/>
        </w:rPr>
        <w:softHyphen/>
        <w:t>рованных по образующей по 10 ва</w:t>
      </w:r>
      <w:r w:rsidRPr="00925F26">
        <w:rPr>
          <w:color w:val="000000" w:themeColor="text1"/>
          <w:sz w:val="16"/>
          <w:szCs w:val="16"/>
        </w:rPr>
        <w:softHyphen/>
        <w:t>риантам технологий.</w:t>
      </w:r>
    </w:p>
    <w:p w14:paraId="2C6D77A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случаях хромированию были подвергнуты кольца с конусной образующей (серийные).</w:t>
      </w:r>
    </w:p>
    <w:p w14:paraId="7E9399C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испытания установ</w:t>
      </w:r>
      <w:r w:rsidRPr="00925F26">
        <w:rPr>
          <w:color w:val="000000" w:themeColor="text1"/>
          <w:sz w:val="16"/>
          <w:szCs w:val="16"/>
        </w:rPr>
        <w:softHyphen/>
        <w:t>лено, что износ колец и цилиндров имеет связь с технологией хромиро</w:t>
      </w:r>
      <w:r w:rsidRPr="00925F26">
        <w:rPr>
          <w:color w:val="000000" w:themeColor="text1"/>
          <w:sz w:val="16"/>
          <w:szCs w:val="16"/>
        </w:rPr>
        <w:softHyphen/>
        <w:t>вания. Из 10-ти технологий выбраны 3, дающие наименьшие износы ко</w:t>
      </w:r>
      <w:r w:rsidRPr="00925F26">
        <w:rPr>
          <w:color w:val="000000" w:themeColor="text1"/>
          <w:sz w:val="16"/>
          <w:szCs w:val="16"/>
        </w:rPr>
        <w:softHyphen/>
        <w:t>лец и рабочей поверхности цилинд</w:t>
      </w:r>
      <w:r w:rsidRPr="00925F26">
        <w:rPr>
          <w:color w:val="000000" w:themeColor="text1"/>
          <w:sz w:val="16"/>
          <w:szCs w:val="16"/>
        </w:rPr>
        <w:softHyphen/>
        <w:t>ров. Общий износ цилиндров при работе в паре с хромированным коль</w:t>
      </w:r>
      <w:r w:rsidRPr="00925F26">
        <w:rPr>
          <w:color w:val="000000" w:themeColor="text1"/>
          <w:sz w:val="16"/>
          <w:szCs w:val="16"/>
        </w:rPr>
        <w:softHyphen/>
        <w:t>цом уменьшается на 20-25%. Кроме того, значительно улучшается работа 2-го и 3-го кольца и повышается стой</w:t>
      </w:r>
      <w:r w:rsidRPr="00925F26">
        <w:rPr>
          <w:color w:val="000000" w:themeColor="text1"/>
          <w:sz w:val="16"/>
          <w:szCs w:val="16"/>
        </w:rPr>
        <w:softHyphen/>
        <w:t xml:space="preserve">кость поршня </w:t>
      </w:r>
      <w:proofErr w:type="gramStart"/>
      <w:r w:rsidRPr="00925F26">
        <w:rPr>
          <w:color w:val="000000" w:themeColor="text1"/>
          <w:sz w:val="16"/>
          <w:szCs w:val="16"/>
        </w:rPr>
        <w:t>к задиру</w:t>
      </w:r>
      <w:proofErr w:type="gramEnd"/>
      <w:r w:rsidRPr="00925F26">
        <w:rPr>
          <w:color w:val="000000" w:themeColor="text1"/>
          <w:sz w:val="16"/>
          <w:szCs w:val="16"/>
        </w:rPr>
        <w:t>.</w:t>
      </w:r>
    </w:p>
    <w:p w14:paraId="7F7FE8C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 10-ти часовое повторное испы</w:t>
      </w:r>
      <w:r w:rsidRPr="00925F26">
        <w:rPr>
          <w:color w:val="000000" w:themeColor="text1"/>
          <w:sz w:val="16"/>
          <w:szCs w:val="16"/>
        </w:rPr>
        <w:softHyphen/>
        <w:t>тание 3-х вариантов поршневых га</w:t>
      </w:r>
      <w:r w:rsidRPr="00925F26">
        <w:rPr>
          <w:color w:val="000000" w:themeColor="text1"/>
          <w:sz w:val="16"/>
          <w:szCs w:val="16"/>
        </w:rPr>
        <w:softHyphen/>
        <w:t>зоуплотнительных колец с конусной образующей по трем вариантам тех-нолигии (5-й, 6-й и 8-й).</w:t>
      </w:r>
    </w:p>
    <w:p w14:paraId="691235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испытаний удовлетвори</w:t>
      </w:r>
      <w:r w:rsidRPr="00925F26">
        <w:rPr>
          <w:color w:val="000000" w:themeColor="text1"/>
          <w:sz w:val="16"/>
          <w:szCs w:val="16"/>
        </w:rPr>
        <w:softHyphen/>
        <w:t>тельный. Износы цилиндров не пре</w:t>
      </w:r>
      <w:r w:rsidRPr="00925F26">
        <w:rPr>
          <w:color w:val="000000" w:themeColor="text1"/>
          <w:sz w:val="16"/>
          <w:szCs w:val="16"/>
        </w:rPr>
        <w:softHyphen/>
        <w:t>вышают 0,04ёО,06 мм. Кольца в хо</w:t>
      </w:r>
      <w:r w:rsidRPr="00925F26">
        <w:rPr>
          <w:color w:val="000000" w:themeColor="text1"/>
          <w:sz w:val="16"/>
          <w:szCs w:val="16"/>
        </w:rPr>
        <w:softHyphen/>
        <w:t>рошем состоянии. Из 3-х технологий лучшей оказалась технология № 5.</w:t>
      </w:r>
    </w:p>
    <w:p w14:paraId="7AA59C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ж) Сдаточное испытание 18 </w:t>
      </w:r>
      <w:proofErr w:type="gramStart"/>
      <w:r w:rsidRPr="00925F26">
        <w:rPr>
          <w:color w:val="000000" w:themeColor="text1"/>
          <w:sz w:val="16"/>
          <w:szCs w:val="16"/>
        </w:rPr>
        <w:t>мото ров</w:t>
      </w:r>
      <w:proofErr w:type="gramEnd"/>
      <w:r w:rsidRPr="00925F26">
        <w:rPr>
          <w:color w:val="000000" w:themeColor="text1"/>
          <w:sz w:val="16"/>
          <w:szCs w:val="16"/>
        </w:rPr>
        <w:t xml:space="preserve"> АШ-82ФН с постановкой на все поршни в первую канавку газоуплот-нительных колец, хромированных по об</w:t>
      </w:r>
      <w:r w:rsidRPr="00925F26">
        <w:rPr>
          <w:color w:val="000000" w:themeColor="text1"/>
          <w:sz w:val="16"/>
          <w:szCs w:val="16"/>
        </w:rPr>
        <w:softHyphen/>
        <w:t>разующей по лучшему варианту тех</w:t>
      </w:r>
      <w:r w:rsidRPr="00925F26">
        <w:rPr>
          <w:color w:val="000000" w:themeColor="text1"/>
          <w:sz w:val="16"/>
          <w:szCs w:val="16"/>
        </w:rPr>
        <w:softHyphen/>
        <w:t>нологии (№ 5).</w:t>
      </w:r>
    </w:p>
    <w:p w14:paraId="3E7D8DA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неудовлетво</w:t>
      </w:r>
      <w:r w:rsidRPr="00925F26">
        <w:rPr>
          <w:color w:val="000000" w:themeColor="text1"/>
          <w:sz w:val="16"/>
          <w:szCs w:val="16"/>
        </w:rPr>
        <w:softHyphen/>
        <w:t>рительный: по причине недостаточного скругления рабочих кромок после хромирования, а также и несовершен</w:t>
      </w:r>
      <w:r w:rsidRPr="00925F26">
        <w:rPr>
          <w:color w:val="000000" w:themeColor="text1"/>
          <w:sz w:val="16"/>
          <w:szCs w:val="16"/>
        </w:rPr>
        <w:softHyphen/>
        <w:t>ства технологии хромирования, обна</w:t>
      </w:r>
      <w:r w:rsidRPr="00925F26">
        <w:rPr>
          <w:color w:val="000000" w:themeColor="text1"/>
          <w:sz w:val="16"/>
          <w:szCs w:val="16"/>
        </w:rPr>
        <w:softHyphen/>
        <w:t>ружена неравномерная приработка и скалывание хрома.</w:t>
      </w:r>
    </w:p>
    <w:p w14:paraId="71B06BE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Продолжаются дальнейшие рабо</w:t>
      </w:r>
      <w:r w:rsidRPr="00925F26">
        <w:rPr>
          <w:color w:val="000000" w:themeColor="text1"/>
          <w:sz w:val="16"/>
          <w:szCs w:val="16"/>
        </w:rPr>
        <w:softHyphen/>
        <w:t>ты по усовершенствованию конструк</w:t>
      </w:r>
      <w:r w:rsidRPr="00925F26">
        <w:rPr>
          <w:color w:val="000000" w:themeColor="text1"/>
          <w:sz w:val="16"/>
          <w:szCs w:val="16"/>
        </w:rPr>
        <w:softHyphen/>
        <w:t>ции кольца и технологии хромирова</w:t>
      </w:r>
      <w:r w:rsidRPr="00925F26">
        <w:rPr>
          <w:color w:val="000000" w:themeColor="text1"/>
          <w:sz w:val="16"/>
          <w:szCs w:val="16"/>
        </w:rPr>
        <w:softHyphen/>
        <w:t>ния.</w:t>
      </w:r>
    </w:p>
    <w:p w14:paraId="182953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 10-ти часовое испытание на од</w:t>
      </w:r>
      <w:r w:rsidRPr="00925F26">
        <w:rPr>
          <w:color w:val="000000" w:themeColor="text1"/>
          <w:sz w:val="16"/>
          <w:szCs w:val="16"/>
        </w:rPr>
        <w:softHyphen/>
        <w:t>ноцилиндровой установке хромиро</w:t>
      </w:r>
      <w:r w:rsidRPr="00925F26">
        <w:rPr>
          <w:color w:val="000000" w:themeColor="text1"/>
          <w:sz w:val="16"/>
          <w:szCs w:val="16"/>
        </w:rPr>
        <w:softHyphen/>
        <w:t>ванного газоуплотнительного кольца с цилиндрической образующей. Хроми</w:t>
      </w:r>
      <w:r w:rsidRPr="00925F26">
        <w:rPr>
          <w:color w:val="000000" w:themeColor="text1"/>
          <w:sz w:val="16"/>
          <w:szCs w:val="16"/>
        </w:rPr>
        <w:softHyphen/>
        <w:t>рование производилось по варианту лучшей технологии.</w:t>
      </w:r>
    </w:p>
    <w:p w14:paraId="047A8DD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Результаты испытания удовлетвори</w:t>
      </w:r>
      <w:r w:rsidRPr="00925F26">
        <w:rPr>
          <w:color w:val="000000" w:themeColor="text1"/>
          <w:sz w:val="16"/>
          <w:szCs w:val="16"/>
        </w:rPr>
        <w:softHyphen/>
        <w:t>тельные. Состояние поршневых колец хорошее, а максимальный износ ци</w:t>
      </w:r>
      <w:r w:rsidRPr="00925F26">
        <w:rPr>
          <w:color w:val="000000" w:themeColor="text1"/>
          <w:sz w:val="16"/>
          <w:szCs w:val="16"/>
        </w:rPr>
        <w:softHyphen/>
        <w:t>линдра не превышает 0,035 мм.</w:t>
      </w:r>
    </w:p>
    <w:p w14:paraId="6C9FA9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Сдаточное и контрольное испы</w:t>
      </w:r>
      <w:r w:rsidRPr="00925F26">
        <w:rPr>
          <w:color w:val="000000" w:themeColor="text1"/>
          <w:sz w:val="16"/>
          <w:szCs w:val="16"/>
        </w:rPr>
        <w:softHyphen/>
        <w:t>тание 11 моторов АШ-82ФН с по</w:t>
      </w:r>
      <w:r w:rsidRPr="00925F26">
        <w:rPr>
          <w:color w:val="000000" w:themeColor="text1"/>
          <w:sz w:val="16"/>
          <w:szCs w:val="16"/>
        </w:rPr>
        <w:softHyphen/>
        <w:t>становкой в первую канавку порш</w:t>
      </w:r>
      <w:r w:rsidRPr="00925F26">
        <w:rPr>
          <w:color w:val="000000" w:themeColor="text1"/>
          <w:sz w:val="16"/>
          <w:szCs w:val="16"/>
        </w:rPr>
        <w:softHyphen/>
        <w:t>ней хромированных газоуплотнитель-ных колец с цилиндрической образу</w:t>
      </w:r>
      <w:r w:rsidRPr="00925F26">
        <w:rPr>
          <w:color w:val="000000" w:themeColor="text1"/>
          <w:sz w:val="16"/>
          <w:szCs w:val="16"/>
        </w:rPr>
        <w:softHyphen/>
        <w:t>ющей. После хромирования для уда</w:t>
      </w:r>
      <w:r w:rsidRPr="00925F26">
        <w:rPr>
          <w:color w:val="000000" w:themeColor="text1"/>
          <w:sz w:val="16"/>
          <w:szCs w:val="16"/>
        </w:rPr>
        <w:softHyphen/>
        <w:t>ления наплыва хрома с боковых гор</w:t>
      </w:r>
      <w:r w:rsidRPr="00925F26">
        <w:rPr>
          <w:color w:val="000000" w:themeColor="text1"/>
          <w:sz w:val="16"/>
          <w:szCs w:val="16"/>
        </w:rPr>
        <w:softHyphen/>
        <w:t>цев кольца подвергались дополнитель</w:t>
      </w:r>
      <w:r w:rsidRPr="00925F26">
        <w:rPr>
          <w:color w:val="000000" w:themeColor="text1"/>
          <w:sz w:val="16"/>
          <w:szCs w:val="16"/>
        </w:rPr>
        <w:softHyphen/>
        <w:t>ному лапингованию и скруглению рабочих кромок.</w:t>
      </w:r>
    </w:p>
    <w:p w14:paraId="4446AD8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Результаты испытания: состояние колец и цилиндров после сдаточного испытания удовлетворительное.</w:t>
      </w:r>
    </w:p>
    <w:p w14:paraId="667B27E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Контрольное испытание все мото</w:t>
      </w:r>
      <w:r w:rsidRPr="00925F26">
        <w:rPr>
          <w:color w:val="000000" w:themeColor="text1"/>
          <w:sz w:val="16"/>
          <w:szCs w:val="16"/>
        </w:rPr>
        <w:softHyphen/>
        <w:t>ры прошли без дефектов поршневой группы.</w:t>
      </w:r>
    </w:p>
    <w:p w14:paraId="1DB75E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Помимо вышеуказанных в этом параграфе работ, на одноцилиндро</w:t>
      </w:r>
      <w:r w:rsidRPr="00925F26">
        <w:rPr>
          <w:color w:val="000000" w:themeColor="text1"/>
          <w:sz w:val="16"/>
          <w:szCs w:val="16"/>
        </w:rPr>
        <w:softHyphen/>
        <w:t>вой установке в течение 10 часов были испытаны:</w:t>
      </w:r>
    </w:p>
    <w:p w14:paraId="1EAF5A3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варианта освинцованных порш невых колец, графитированные коль</w:t>
      </w:r>
      <w:r w:rsidRPr="00925F26">
        <w:rPr>
          <w:color w:val="000000" w:themeColor="text1"/>
          <w:sz w:val="16"/>
          <w:szCs w:val="16"/>
        </w:rPr>
        <w:softHyphen/>
        <w:t>ца, кольца с фаской на рабочей кромке (по типу завода № 29) и кольца уве</w:t>
      </w:r>
      <w:r w:rsidRPr="00925F26">
        <w:rPr>
          <w:color w:val="000000" w:themeColor="text1"/>
          <w:sz w:val="16"/>
          <w:szCs w:val="16"/>
        </w:rPr>
        <w:softHyphen/>
        <w:t>личенного сечения (на 0,6 по толщи</w:t>
      </w:r>
      <w:r w:rsidRPr="00925F26">
        <w:rPr>
          <w:color w:val="000000" w:themeColor="text1"/>
          <w:sz w:val="16"/>
          <w:szCs w:val="16"/>
        </w:rPr>
        <w:softHyphen/>
        <w:t>не и 0,7 по ширине).</w:t>
      </w:r>
    </w:p>
    <w:p w14:paraId="4823B9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Полученный во всех случаях резуль</w:t>
      </w:r>
      <w:r w:rsidRPr="00925F26">
        <w:rPr>
          <w:color w:val="000000" w:themeColor="text1"/>
          <w:sz w:val="16"/>
          <w:szCs w:val="16"/>
        </w:rPr>
        <w:softHyphen/>
        <w:t>тат неудовлетворительный: значитель</w:t>
      </w:r>
      <w:r w:rsidRPr="00925F26">
        <w:rPr>
          <w:color w:val="000000" w:themeColor="text1"/>
          <w:sz w:val="16"/>
          <w:szCs w:val="16"/>
        </w:rPr>
        <w:softHyphen/>
        <w:t>но повышается износ гильз и колец.</w:t>
      </w:r>
    </w:p>
    <w:p w14:paraId="1D88C55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Вопрос создания профиля ра</w:t>
      </w:r>
      <w:r w:rsidRPr="00925F26">
        <w:rPr>
          <w:color w:val="000000" w:themeColor="text1"/>
          <w:sz w:val="16"/>
          <w:szCs w:val="16"/>
        </w:rPr>
        <w:softHyphen/>
        <w:t>бочей поверхности цилиндра, который в нагретом (рабочем) состоянии мак</w:t>
      </w:r>
      <w:r w:rsidRPr="00925F26">
        <w:rPr>
          <w:color w:val="000000" w:themeColor="text1"/>
          <w:sz w:val="16"/>
          <w:szCs w:val="16"/>
        </w:rPr>
        <w:softHyphen/>
        <w:t>симально соответствовал бы цилинд</w:t>
      </w:r>
      <w:r w:rsidRPr="00925F26">
        <w:rPr>
          <w:color w:val="000000" w:themeColor="text1"/>
          <w:sz w:val="16"/>
          <w:szCs w:val="16"/>
        </w:rPr>
        <w:softHyphen/>
        <w:t>рическому, начал занимать внимание конструкторов нашего завода еще в 1939 году, но тогда все начатые в этом направлении работы вследствие бы</w:t>
      </w:r>
      <w:r w:rsidRPr="00925F26">
        <w:rPr>
          <w:color w:val="000000" w:themeColor="text1"/>
          <w:sz w:val="16"/>
          <w:szCs w:val="16"/>
        </w:rPr>
        <w:softHyphen/>
        <w:t>строй смены серийных объектов ос</w:t>
      </w:r>
      <w:r w:rsidRPr="00925F26">
        <w:rPr>
          <w:color w:val="000000" w:themeColor="text1"/>
          <w:sz w:val="16"/>
          <w:szCs w:val="16"/>
        </w:rPr>
        <w:softHyphen/>
        <w:t>тались незаконченными. И только с начала 1943 года, после внедрение в серийное производство мощного мо</w:t>
      </w:r>
      <w:r w:rsidRPr="00925F26">
        <w:rPr>
          <w:color w:val="000000" w:themeColor="text1"/>
          <w:sz w:val="16"/>
          <w:szCs w:val="16"/>
        </w:rPr>
        <w:softHyphen/>
        <w:t>тора АШ-82ФН этот вопрос приоб</w:t>
      </w:r>
      <w:r w:rsidRPr="00925F26">
        <w:rPr>
          <w:color w:val="000000" w:themeColor="text1"/>
          <w:sz w:val="16"/>
          <w:szCs w:val="16"/>
        </w:rPr>
        <w:softHyphen/>
        <w:t>рел соответствующую остроту в свя</w:t>
      </w:r>
      <w:r w:rsidRPr="00925F26">
        <w:rPr>
          <w:color w:val="000000" w:themeColor="text1"/>
          <w:sz w:val="16"/>
          <w:szCs w:val="16"/>
        </w:rPr>
        <w:softHyphen/>
        <w:t>зи с наблюдавшимися на этих мото</w:t>
      </w:r>
      <w:r w:rsidRPr="00925F26">
        <w:rPr>
          <w:color w:val="000000" w:themeColor="text1"/>
          <w:sz w:val="16"/>
          <w:szCs w:val="16"/>
        </w:rPr>
        <w:softHyphen/>
        <w:t>рах дефектами преждевременного износа и уступчатой выработки ци</w:t>
      </w:r>
      <w:r w:rsidRPr="00925F26">
        <w:rPr>
          <w:color w:val="000000" w:themeColor="text1"/>
          <w:sz w:val="16"/>
          <w:szCs w:val="16"/>
        </w:rPr>
        <w:softHyphen/>
        <w:t>линдров.</w:t>
      </w:r>
    </w:p>
    <w:p w14:paraId="2306A86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1943 года после ряда проведен</w:t>
      </w:r>
      <w:r w:rsidRPr="00925F26">
        <w:rPr>
          <w:color w:val="000000" w:themeColor="text1"/>
          <w:sz w:val="16"/>
          <w:szCs w:val="16"/>
        </w:rPr>
        <w:softHyphen/>
        <w:t>ных кратковременных и длительных испытаний (в том числе 2-х испыта</w:t>
      </w:r>
      <w:r w:rsidRPr="00925F26">
        <w:rPr>
          <w:color w:val="000000" w:themeColor="text1"/>
          <w:sz w:val="16"/>
          <w:szCs w:val="16"/>
        </w:rPr>
        <w:softHyphen/>
        <w:t>ний по 150 часов) были отработаны для внедрения в серийное производ</w:t>
      </w:r>
      <w:r w:rsidRPr="00925F26">
        <w:rPr>
          <w:color w:val="000000" w:themeColor="text1"/>
          <w:sz w:val="16"/>
          <w:szCs w:val="16"/>
        </w:rPr>
        <w:softHyphen/>
        <w:t>ство цилиндры с параболическим про</w:t>
      </w:r>
      <w:r w:rsidRPr="00925F26">
        <w:rPr>
          <w:color w:val="000000" w:themeColor="text1"/>
          <w:sz w:val="16"/>
          <w:szCs w:val="16"/>
        </w:rPr>
        <w:softHyphen/>
        <w:t>филем рабочей поверхности в верх</w:t>
      </w:r>
      <w:r w:rsidRPr="00925F26">
        <w:rPr>
          <w:color w:val="000000" w:themeColor="text1"/>
          <w:sz w:val="16"/>
          <w:szCs w:val="16"/>
        </w:rPr>
        <w:softHyphen/>
        <w:t>ней части, обеспечивающим с рас</w:t>
      </w:r>
      <w:r w:rsidRPr="00925F26">
        <w:rPr>
          <w:color w:val="000000" w:themeColor="text1"/>
          <w:sz w:val="16"/>
          <w:szCs w:val="16"/>
        </w:rPr>
        <w:softHyphen/>
        <w:t>стояния 80-100 мм от верхнего торца гильзы плавное сужение верхнего от</w:t>
      </w:r>
      <w:r w:rsidRPr="00925F26">
        <w:rPr>
          <w:color w:val="000000" w:themeColor="text1"/>
          <w:sz w:val="16"/>
          <w:szCs w:val="16"/>
        </w:rPr>
        <w:softHyphen/>
        <w:t>верстия гильзы на 0,15ёО,25 мм.</w:t>
      </w:r>
    </w:p>
    <w:p w14:paraId="5177CB3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Такой профиль рабочей поверхно</w:t>
      </w:r>
      <w:r w:rsidRPr="00925F26">
        <w:rPr>
          <w:color w:val="000000" w:themeColor="text1"/>
          <w:sz w:val="16"/>
          <w:szCs w:val="16"/>
        </w:rPr>
        <w:softHyphen/>
        <w:t>сти приблизительно на половину уменьшал тепловой раструб в верх</w:t>
      </w:r>
      <w:r w:rsidRPr="00925F26">
        <w:rPr>
          <w:color w:val="000000" w:themeColor="text1"/>
          <w:sz w:val="16"/>
          <w:szCs w:val="16"/>
        </w:rPr>
        <w:softHyphen/>
        <w:t>ней части цилиндра (см. фиг. 3) и, по мнению конструкторов, должен был значительно уменьшить возможность образования на рабочей поверхнос</w:t>
      </w:r>
      <w:r w:rsidRPr="00925F26">
        <w:rPr>
          <w:color w:val="000000" w:themeColor="text1"/>
          <w:sz w:val="16"/>
          <w:szCs w:val="16"/>
        </w:rPr>
        <w:softHyphen/>
        <w:t>ти цилиндров уступчатой выработки и удлинить срок службы цилиндров за счет увеличивающейся в этом случае нормы износа до прежнего ре</w:t>
      </w:r>
      <w:r w:rsidRPr="00925F26">
        <w:rPr>
          <w:color w:val="000000" w:themeColor="text1"/>
          <w:sz w:val="16"/>
          <w:szCs w:val="16"/>
        </w:rPr>
        <w:softHyphen/>
        <w:t>монтного размера.</w:t>
      </w:r>
    </w:p>
    <w:p w14:paraId="7BBCD01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Внедрение в серийное производ</w:t>
      </w:r>
      <w:r w:rsidRPr="00925F26">
        <w:rPr>
          <w:color w:val="000000" w:themeColor="text1"/>
          <w:sz w:val="16"/>
          <w:szCs w:val="16"/>
        </w:rPr>
        <w:softHyphen/>
        <w:t>ство цилиндров с параболическим профилем зеркала было начато в феврале месяце 1945 года сборкой и испытанием одного-двух моторов в сутки.</w:t>
      </w:r>
    </w:p>
    <w:p w14:paraId="158879B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этот период было собрано и испытано около 70 моторов, из кото</w:t>
      </w:r>
      <w:r w:rsidRPr="00925F26">
        <w:rPr>
          <w:color w:val="000000" w:themeColor="text1"/>
          <w:sz w:val="16"/>
          <w:szCs w:val="16"/>
        </w:rPr>
        <w:softHyphen/>
        <w:t>рых по дымлению и уступчатой выра</w:t>
      </w:r>
      <w:r w:rsidRPr="00925F26">
        <w:rPr>
          <w:color w:val="000000" w:themeColor="text1"/>
          <w:sz w:val="16"/>
          <w:szCs w:val="16"/>
        </w:rPr>
        <w:softHyphen/>
        <w:t>ботке цилиндров было снято только 6 моторов.</w:t>
      </w:r>
    </w:p>
    <w:p w14:paraId="2FB16C1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Полный переход на такие цилинд</w:t>
      </w:r>
      <w:r w:rsidRPr="00925F26">
        <w:rPr>
          <w:color w:val="000000" w:themeColor="text1"/>
          <w:sz w:val="16"/>
          <w:szCs w:val="16"/>
        </w:rPr>
        <w:softHyphen/>
        <w:t>ры был осуществлен в конце апреля 1945 года вследствие резкого возра</w:t>
      </w:r>
      <w:r w:rsidRPr="00925F26">
        <w:rPr>
          <w:color w:val="000000" w:themeColor="text1"/>
          <w:sz w:val="16"/>
          <w:szCs w:val="16"/>
        </w:rPr>
        <w:softHyphen/>
        <w:t>стания, по причине указанных дефек</w:t>
      </w:r>
      <w:r w:rsidRPr="00925F26">
        <w:rPr>
          <w:color w:val="000000" w:themeColor="text1"/>
          <w:sz w:val="16"/>
          <w:szCs w:val="16"/>
        </w:rPr>
        <w:softHyphen/>
        <w:t>тов, съема с контрольного испытания моторов АШ-82ФН. Но этим постав</w:t>
      </w:r>
      <w:r w:rsidRPr="00925F26">
        <w:rPr>
          <w:color w:val="000000" w:themeColor="text1"/>
          <w:sz w:val="16"/>
          <w:szCs w:val="16"/>
        </w:rPr>
        <w:softHyphen/>
        <w:t>ленной цели достигнуть не удалось, так как дефект не только не снизил</w:t>
      </w:r>
      <w:r w:rsidRPr="00925F26">
        <w:rPr>
          <w:color w:val="000000" w:themeColor="text1"/>
          <w:sz w:val="16"/>
          <w:szCs w:val="16"/>
        </w:rPr>
        <w:softHyphen/>
        <w:t>ся, а наоборот продолжал расти и в период половины мая достиг катаст</w:t>
      </w:r>
      <w:r w:rsidRPr="00925F26">
        <w:rPr>
          <w:color w:val="000000" w:themeColor="text1"/>
          <w:sz w:val="16"/>
          <w:szCs w:val="16"/>
        </w:rPr>
        <w:softHyphen/>
        <w:t>рофической величины, составившей 40% съема моторов от числа постав</w:t>
      </w:r>
      <w:r w:rsidRPr="00925F26">
        <w:rPr>
          <w:color w:val="000000" w:themeColor="text1"/>
          <w:sz w:val="16"/>
          <w:szCs w:val="16"/>
        </w:rPr>
        <w:softHyphen/>
        <w:t>ленных на испытание.</w:t>
      </w:r>
    </w:p>
    <w:p w14:paraId="448BB0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такого положения, сложившегося у некоторых ответствен</w:t>
      </w:r>
      <w:r w:rsidRPr="00925F26">
        <w:rPr>
          <w:color w:val="000000" w:themeColor="text1"/>
          <w:sz w:val="16"/>
          <w:szCs w:val="16"/>
        </w:rPr>
        <w:softHyphen/>
        <w:t>ных работников завода убеждения, что основной причиной такого интенсив</w:t>
      </w:r>
      <w:r w:rsidRPr="00925F26">
        <w:rPr>
          <w:color w:val="000000" w:themeColor="text1"/>
          <w:sz w:val="16"/>
          <w:szCs w:val="16"/>
        </w:rPr>
        <w:softHyphen/>
        <w:t>ного развития дефекта являются вновь введенные цилиндры с параболичес</w:t>
      </w:r>
      <w:r w:rsidRPr="00925F26">
        <w:rPr>
          <w:color w:val="000000" w:themeColor="text1"/>
          <w:sz w:val="16"/>
          <w:szCs w:val="16"/>
        </w:rPr>
        <w:softHyphen/>
        <w:t>ким профилем зеркала, последние с 15-го мая, по указанию директора за</w:t>
      </w:r>
      <w:r w:rsidRPr="00925F26">
        <w:rPr>
          <w:color w:val="000000" w:themeColor="text1"/>
          <w:sz w:val="16"/>
          <w:szCs w:val="16"/>
        </w:rPr>
        <w:softHyphen/>
        <w:t>вода, были с производства сняты и заменены цилиндрами прежней кон</w:t>
      </w:r>
      <w:r w:rsidRPr="00925F26">
        <w:rPr>
          <w:color w:val="000000" w:themeColor="text1"/>
          <w:sz w:val="16"/>
          <w:szCs w:val="16"/>
        </w:rPr>
        <w:softHyphen/>
        <w:t>струкции, т.е. с цилиндрическим про</w:t>
      </w:r>
      <w:r w:rsidRPr="00925F26">
        <w:rPr>
          <w:color w:val="000000" w:themeColor="text1"/>
          <w:sz w:val="16"/>
          <w:szCs w:val="16"/>
        </w:rPr>
        <w:softHyphen/>
        <w:t>филем зеркала.</w:t>
      </w:r>
    </w:p>
    <w:p w14:paraId="3DF28CA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Несколько позднее, анализом ста</w:t>
      </w:r>
      <w:r w:rsidRPr="00925F26">
        <w:rPr>
          <w:color w:val="000000" w:themeColor="text1"/>
          <w:sz w:val="16"/>
          <w:szCs w:val="16"/>
        </w:rPr>
        <w:softHyphen/>
        <w:t>тистических данных было установле</w:t>
      </w:r>
      <w:r w:rsidRPr="00925F26">
        <w:rPr>
          <w:color w:val="000000" w:themeColor="text1"/>
          <w:sz w:val="16"/>
          <w:szCs w:val="16"/>
        </w:rPr>
        <w:softHyphen/>
        <w:t>но, что действительно, параболический профиль рабочей поверхности в вер</w:t>
      </w:r>
      <w:r w:rsidRPr="00925F26">
        <w:rPr>
          <w:color w:val="000000" w:themeColor="text1"/>
          <w:sz w:val="16"/>
          <w:szCs w:val="16"/>
        </w:rPr>
        <w:softHyphen/>
        <w:t>хней части цилиндра работу цилинд</w:t>
      </w:r>
      <w:r w:rsidRPr="00925F26">
        <w:rPr>
          <w:color w:val="000000" w:themeColor="text1"/>
          <w:sz w:val="16"/>
          <w:szCs w:val="16"/>
        </w:rPr>
        <w:softHyphen/>
        <w:t>ровой группы нисколько не улучшает, ибо съем моторов по дымлению и от</w:t>
      </w:r>
      <w:r w:rsidRPr="00925F26">
        <w:rPr>
          <w:color w:val="000000" w:themeColor="text1"/>
          <w:sz w:val="16"/>
          <w:szCs w:val="16"/>
        </w:rPr>
        <w:softHyphen/>
        <w:t>браковка цилиндров по уступчатой выработке для цилиндров с парабо</w:t>
      </w:r>
      <w:r w:rsidRPr="00925F26">
        <w:rPr>
          <w:color w:val="000000" w:themeColor="text1"/>
          <w:sz w:val="16"/>
          <w:szCs w:val="16"/>
        </w:rPr>
        <w:softHyphen/>
        <w:t>лическим профилем зеркала и ци линдров с нормальным профилем зер</w:t>
      </w:r>
      <w:r w:rsidRPr="00925F26">
        <w:rPr>
          <w:color w:val="000000" w:themeColor="text1"/>
          <w:sz w:val="16"/>
          <w:szCs w:val="16"/>
        </w:rPr>
        <w:softHyphen/>
        <w:t>кала составляет одну и ту же вели</w:t>
      </w:r>
      <w:r w:rsidRPr="00925F26">
        <w:rPr>
          <w:color w:val="000000" w:themeColor="text1"/>
          <w:sz w:val="16"/>
          <w:szCs w:val="16"/>
        </w:rPr>
        <w:softHyphen/>
        <w:t>чину.</w:t>
      </w:r>
    </w:p>
    <w:p w14:paraId="1D0BE3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на этом работы с исследовани</w:t>
      </w:r>
      <w:r w:rsidRPr="00925F26">
        <w:rPr>
          <w:color w:val="000000" w:themeColor="text1"/>
          <w:sz w:val="16"/>
          <w:szCs w:val="16"/>
        </w:rPr>
        <w:softHyphen/>
        <w:t>ем профиля рабочей поверхности не прекратились, а продолжали разви</w:t>
      </w:r>
      <w:r w:rsidRPr="00925F26">
        <w:rPr>
          <w:color w:val="000000" w:themeColor="text1"/>
          <w:sz w:val="16"/>
          <w:szCs w:val="16"/>
        </w:rPr>
        <w:softHyphen/>
        <w:t>ваться дальше в свете новой гипоте</w:t>
      </w:r>
      <w:r w:rsidRPr="00925F26">
        <w:rPr>
          <w:color w:val="000000" w:themeColor="text1"/>
          <w:sz w:val="16"/>
          <w:szCs w:val="16"/>
        </w:rPr>
        <w:softHyphen/>
        <w:t>зы о природе образования уступов, высказанной Главным Конструктором А.Д. Швецовым.</w:t>
      </w:r>
    </w:p>
    <w:p w14:paraId="6C1DBC0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Сущность этой гипотезы заключа</w:t>
      </w:r>
      <w:r w:rsidRPr="00925F26">
        <w:rPr>
          <w:color w:val="000000" w:themeColor="text1"/>
          <w:sz w:val="16"/>
          <w:szCs w:val="16"/>
        </w:rPr>
        <w:softHyphen/>
        <w:t>ется в предположении периодичес</w:t>
      </w:r>
      <w:r w:rsidRPr="00925F26">
        <w:rPr>
          <w:color w:val="000000" w:themeColor="text1"/>
          <w:sz w:val="16"/>
          <w:szCs w:val="16"/>
        </w:rPr>
        <w:softHyphen/>
        <w:t>кого отставания главным образом первого газоуплотнительного кольцо поршня от профиля зеркала цилинд</w:t>
      </w:r>
      <w:r w:rsidRPr="00925F26">
        <w:rPr>
          <w:color w:val="000000" w:themeColor="text1"/>
          <w:sz w:val="16"/>
          <w:szCs w:val="16"/>
        </w:rPr>
        <w:softHyphen/>
        <w:t>ра в начале раструба, образующего</w:t>
      </w:r>
      <w:r w:rsidRPr="00925F26">
        <w:rPr>
          <w:color w:val="000000" w:themeColor="text1"/>
          <w:sz w:val="16"/>
          <w:szCs w:val="16"/>
        </w:rPr>
        <w:softHyphen/>
        <w:t>ся в верхней части гильзы в резуль</w:t>
      </w:r>
      <w:r w:rsidRPr="00925F26">
        <w:rPr>
          <w:color w:val="000000" w:themeColor="text1"/>
          <w:sz w:val="16"/>
          <w:szCs w:val="16"/>
        </w:rPr>
        <w:softHyphen/>
        <w:t>тате ее тепловой деформации. От</w:t>
      </w:r>
      <w:r w:rsidRPr="00925F26">
        <w:rPr>
          <w:color w:val="000000" w:themeColor="text1"/>
          <w:sz w:val="16"/>
          <w:szCs w:val="16"/>
        </w:rPr>
        <w:softHyphen/>
        <w:t>рыв кольца происходит под действи</w:t>
      </w:r>
      <w:r w:rsidRPr="00925F26">
        <w:rPr>
          <w:color w:val="000000" w:themeColor="text1"/>
          <w:sz w:val="16"/>
          <w:szCs w:val="16"/>
        </w:rPr>
        <w:softHyphen/>
        <w:t>ем большой скорости движения, мак</w:t>
      </w:r>
      <w:r w:rsidRPr="00925F26">
        <w:rPr>
          <w:color w:val="000000" w:themeColor="text1"/>
          <w:sz w:val="16"/>
          <w:szCs w:val="16"/>
        </w:rPr>
        <w:softHyphen/>
        <w:t>симальные значения которой (17-20 мт/сек), как подтвердили исследова</w:t>
      </w:r>
      <w:r w:rsidRPr="00925F26">
        <w:rPr>
          <w:color w:val="000000" w:themeColor="text1"/>
          <w:sz w:val="16"/>
          <w:szCs w:val="16"/>
        </w:rPr>
        <w:softHyphen/>
        <w:t>ния профиля зеркала цилиндра в нагретом состоянии, совпадают с мо</w:t>
      </w:r>
      <w:r w:rsidRPr="00925F26">
        <w:rPr>
          <w:color w:val="000000" w:themeColor="text1"/>
          <w:sz w:val="16"/>
          <w:szCs w:val="16"/>
        </w:rPr>
        <w:softHyphen/>
        <w:t>ментом прохождения кольцом кривиз</w:t>
      </w:r>
      <w:r w:rsidRPr="00925F26">
        <w:rPr>
          <w:color w:val="000000" w:themeColor="text1"/>
          <w:sz w:val="16"/>
          <w:szCs w:val="16"/>
        </w:rPr>
        <w:softHyphen/>
        <w:t>ны, образующей раструб.</w:t>
      </w:r>
    </w:p>
    <w:p w14:paraId="4BC230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Периодически отрываясь от про</w:t>
      </w:r>
      <w:r w:rsidRPr="00925F26">
        <w:rPr>
          <w:color w:val="000000" w:themeColor="text1"/>
          <w:sz w:val="16"/>
          <w:szCs w:val="16"/>
        </w:rPr>
        <w:softHyphen/>
        <w:t>филя рабочей поверхности, кольцо под действием силы упругости разжима</w:t>
      </w:r>
      <w:r w:rsidRPr="00925F26">
        <w:rPr>
          <w:color w:val="000000" w:themeColor="text1"/>
          <w:sz w:val="16"/>
          <w:szCs w:val="16"/>
        </w:rPr>
        <w:softHyphen/>
        <w:t>ется и с ударом вновь соприкасает</w:t>
      </w:r>
      <w:r w:rsidRPr="00925F26">
        <w:rPr>
          <w:color w:val="000000" w:themeColor="text1"/>
          <w:sz w:val="16"/>
          <w:szCs w:val="16"/>
        </w:rPr>
        <w:softHyphen/>
        <w:t>ся с зеркалом, производя в месте уда</w:t>
      </w:r>
      <w:r w:rsidRPr="00925F26">
        <w:rPr>
          <w:color w:val="000000" w:themeColor="text1"/>
          <w:sz w:val="16"/>
          <w:szCs w:val="16"/>
        </w:rPr>
        <w:softHyphen/>
        <w:t>ра уступчатую выработку.</w:t>
      </w:r>
    </w:p>
    <w:p w14:paraId="73D348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Наиболее вероятным тактом ра</w:t>
      </w:r>
      <w:r w:rsidRPr="00925F26">
        <w:rPr>
          <w:color w:val="000000" w:themeColor="text1"/>
          <w:sz w:val="16"/>
          <w:szCs w:val="16"/>
        </w:rPr>
        <w:softHyphen/>
        <w:t>бочего процесса, в котором происхо</w:t>
      </w:r>
      <w:r w:rsidRPr="00925F26">
        <w:rPr>
          <w:color w:val="000000" w:themeColor="text1"/>
          <w:sz w:val="16"/>
          <w:szCs w:val="16"/>
        </w:rPr>
        <w:softHyphen/>
        <w:t>дит отрыв кольца от зеркала цилинд</w:t>
      </w:r>
      <w:r w:rsidRPr="00925F26">
        <w:rPr>
          <w:color w:val="000000" w:themeColor="text1"/>
          <w:sz w:val="16"/>
          <w:szCs w:val="16"/>
        </w:rPr>
        <w:softHyphen/>
        <w:t>ра, следует предполагать такт выхлопа, так как в этом такте верхнее кольцо свободно от воздействия на него га</w:t>
      </w:r>
      <w:r w:rsidRPr="00925F26">
        <w:rPr>
          <w:color w:val="000000" w:themeColor="text1"/>
          <w:sz w:val="16"/>
          <w:szCs w:val="16"/>
        </w:rPr>
        <w:softHyphen/>
        <w:t>зовых усилий и в основном находит</w:t>
      </w:r>
      <w:r w:rsidRPr="00925F26">
        <w:rPr>
          <w:color w:val="000000" w:themeColor="text1"/>
          <w:sz w:val="16"/>
          <w:szCs w:val="16"/>
        </w:rPr>
        <w:softHyphen/>
        <w:t>ся только под влиянием сил собствен</w:t>
      </w:r>
      <w:r w:rsidRPr="00925F26">
        <w:rPr>
          <w:color w:val="000000" w:themeColor="text1"/>
          <w:sz w:val="16"/>
          <w:szCs w:val="16"/>
        </w:rPr>
        <w:softHyphen/>
        <w:t>ной упругости и силы инерции, раз</w:t>
      </w:r>
      <w:r w:rsidRPr="00925F26">
        <w:rPr>
          <w:color w:val="000000" w:themeColor="text1"/>
          <w:sz w:val="16"/>
          <w:szCs w:val="16"/>
        </w:rPr>
        <w:softHyphen/>
        <w:t>вивающейся от давления. Естествен</w:t>
      </w:r>
      <w:r w:rsidRPr="00925F26">
        <w:rPr>
          <w:color w:val="000000" w:themeColor="text1"/>
          <w:sz w:val="16"/>
          <w:szCs w:val="16"/>
        </w:rPr>
        <w:softHyphen/>
        <w:t>но, что для исключения явления от</w:t>
      </w:r>
      <w:r w:rsidRPr="00925F26">
        <w:rPr>
          <w:color w:val="000000" w:themeColor="text1"/>
          <w:sz w:val="16"/>
          <w:szCs w:val="16"/>
        </w:rPr>
        <w:softHyphen/>
        <w:t>ставания кольца от профиля рабо</w:t>
      </w:r>
      <w:r w:rsidRPr="00925F26">
        <w:rPr>
          <w:color w:val="000000" w:themeColor="text1"/>
          <w:sz w:val="16"/>
          <w:szCs w:val="16"/>
        </w:rPr>
        <w:softHyphen/>
        <w:t>чей поверхности этот профиль в на</w:t>
      </w:r>
      <w:r w:rsidRPr="00925F26">
        <w:rPr>
          <w:color w:val="000000" w:themeColor="text1"/>
          <w:sz w:val="16"/>
          <w:szCs w:val="16"/>
        </w:rPr>
        <w:softHyphen/>
        <w:t>гретом состоянии должен максимально приближаться к цилиндрическому.</w:t>
      </w:r>
    </w:p>
    <w:p w14:paraId="0B7EF7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Рядом проведенных опытов удалось установить, что лучшим профилем ра</w:t>
      </w:r>
      <w:r w:rsidRPr="00925F26">
        <w:rPr>
          <w:color w:val="000000" w:themeColor="text1"/>
          <w:sz w:val="16"/>
          <w:szCs w:val="16"/>
        </w:rPr>
        <w:softHyphen/>
        <w:t>бочей поверхности цилиндра, который в нагретом состоянии максимально приближается к цилиндрическому, яв</w:t>
      </w:r>
      <w:r w:rsidRPr="00925F26">
        <w:rPr>
          <w:color w:val="000000" w:themeColor="text1"/>
          <w:sz w:val="16"/>
          <w:szCs w:val="16"/>
        </w:rPr>
        <w:softHyphen/>
        <w:t>ляется профиль, соответствующий де</w:t>
      </w:r>
      <w:r w:rsidRPr="00925F26">
        <w:rPr>
          <w:color w:val="000000" w:themeColor="text1"/>
          <w:sz w:val="16"/>
          <w:szCs w:val="16"/>
        </w:rPr>
        <w:softHyphen/>
        <w:t>формации верхнего конца окончатель</w:t>
      </w:r>
      <w:r w:rsidRPr="00925F26">
        <w:rPr>
          <w:color w:val="000000" w:themeColor="text1"/>
          <w:sz w:val="16"/>
          <w:szCs w:val="16"/>
        </w:rPr>
        <w:softHyphen/>
        <w:t>но обработанной по зеркалу гильзы после навертывания на нее головки.</w:t>
      </w:r>
    </w:p>
    <w:p w14:paraId="20F65E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этом случае уменьшение диа</w:t>
      </w:r>
      <w:r w:rsidRPr="00925F26">
        <w:rPr>
          <w:color w:val="000000" w:themeColor="text1"/>
          <w:sz w:val="16"/>
          <w:szCs w:val="16"/>
        </w:rPr>
        <w:softHyphen/>
        <w:t>метра верхнего отверстия гильзы обес</w:t>
      </w:r>
      <w:r w:rsidRPr="00925F26">
        <w:rPr>
          <w:color w:val="000000" w:themeColor="text1"/>
          <w:sz w:val="16"/>
          <w:szCs w:val="16"/>
        </w:rPr>
        <w:softHyphen/>
        <w:t>печивается по произвольной кривой на величину от 0,3 до 0,5 мм на дли</w:t>
      </w:r>
      <w:r w:rsidRPr="00925F26">
        <w:rPr>
          <w:color w:val="000000" w:themeColor="text1"/>
          <w:sz w:val="16"/>
          <w:szCs w:val="16"/>
        </w:rPr>
        <w:softHyphen/>
        <w:t>не 50-65 мм от верхнего торца (см. фиг. №№ 4 и 5).</w:t>
      </w:r>
    </w:p>
    <w:p w14:paraId="268E70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проверки работы цилиндров с таким профилем было проведено:</w:t>
      </w:r>
    </w:p>
    <w:p w14:paraId="417D9A4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50-ти часовое испытание на од</w:t>
      </w:r>
      <w:r w:rsidRPr="00925F26">
        <w:rPr>
          <w:color w:val="000000" w:themeColor="text1"/>
          <w:sz w:val="16"/>
          <w:szCs w:val="16"/>
        </w:rPr>
        <w:softHyphen/>
        <w:t>ноцилиндровой установке в паре с серийными поршневыми кольцами.</w:t>
      </w:r>
    </w:p>
    <w:p w14:paraId="0A93E10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износ за 50-ти часовое испытание не превышает износа, получающегося за 10 часов на серийном цилиндре.</w:t>
      </w:r>
    </w:p>
    <w:p w14:paraId="662D41A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Состояние поршневых колец хоро</w:t>
      </w:r>
      <w:r w:rsidRPr="00925F26">
        <w:rPr>
          <w:color w:val="000000" w:themeColor="text1"/>
          <w:sz w:val="16"/>
          <w:szCs w:val="16"/>
        </w:rPr>
        <w:softHyphen/>
        <w:t>шее.</w:t>
      </w:r>
    </w:p>
    <w:p w14:paraId="713BA72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10-ти часовое моторное испыта</w:t>
      </w:r>
      <w:r w:rsidRPr="00925F26">
        <w:rPr>
          <w:color w:val="000000" w:themeColor="text1"/>
          <w:sz w:val="16"/>
          <w:szCs w:val="16"/>
        </w:rPr>
        <w:softHyphen/>
        <w:t>ние с газоуплотнительными кольцами и в первой канавке поршней хроми</w:t>
      </w:r>
      <w:r w:rsidRPr="00925F26">
        <w:rPr>
          <w:color w:val="000000" w:themeColor="text1"/>
          <w:sz w:val="16"/>
          <w:szCs w:val="16"/>
        </w:rPr>
        <w:softHyphen/>
        <w:t>рованными по образующей (образу</w:t>
      </w:r>
      <w:r w:rsidRPr="00925F26">
        <w:rPr>
          <w:color w:val="000000" w:themeColor="text1"/>
          <w:sz w:val="16"/>
          <w:szCs w:val="16"/>
        </w:rPr>
        <w:softHyphen/>
        <w:t>ющая конусная).</w:t>
      </w:r>
    </w:p>
    <w:p w14:paraId="1887C7E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износ цилин</w:t>
      </w:r>
      <w:r w:rsidRPr="00925F26">
        <w:rPr>
          <w:color w:val="000000" w:themeColor="text1"/>
          <w:sz w:val="16"/>
          <w:szCs w:val="16"/>
        </w:rPr>
        <w:softHyphen/>
        <w:t>дров не превышает 0,04 мм. Состоя</w:t>
      </w:r>
      <w:r w:rsidRPr="00925F26">
        <w:rPr>
          <w:color w:val="000000" w:themeColor="text1"/>
          <w:sz w:val="16"/>
          <w:szCs w:val="16"/>
        </w:rPr>
        <w:softHyphen/>
        <w:t>ние колец хорошее.</w:t>
      </w:r>
    </w:p>
    <w:p w14:paraId="2C0CA8D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Испытание малой серии мото</w:t>
      </w:r>
      <w:r w:rsidRPr="00925F26">
        <w:rPr>
          <w:color w:val="000000" w:themeColor="text1"/>
          <w:sz w:val="16"/>
          <w:szCs w:val="16"/>
        </w:rPr>
        <w:softHyphen/>
        <w:t>ров АШ-82ФН в количестве 60 мо</w:t>
      </w:r>
      <w:r w:rsidRPr="00925F26">
        <w:rPr>
          <w:color w:val="000000" w:themeColor="text1"/>
          <w:sz w:val="16"/>
          <w:szCs w:val="16"/>
        </w:rPr>
        <w:softHyphen/>
        <w:t>торов с постановкой в первую ка</w:t>
      </w:r>
      <w:r w:rsidRPr="00925F26">
        <w:rPr>
          <w:color w:val="000000" w:themeColor="text1"/>
          <w:sz w:val="16"/>
          <w:szCs w:val="16"/>
        </w:rPr>
        <w:softHyphen/>
        <w:t>навку всех поршней газоуплотнитель</w:t>
      </w:r>
      <w:r w:rsidRPr="00925F26">
        <w:rPr>
          <w:color w:val="000000" w:themeColor="text1"/>
          <w:sz w:val="16"/>
          <w:szCs w:val="16"/>
        </w:rPr>
        <w:softHyphen/>
        <w:t>ного кольца с цилиндрической обра</w:t>
      </w:r>
      <w:r w:rsidRPr="00925F26">
        <w:rPr>
          <w:color w:val="000000" w:themeColor="text1"/>
          <w:sz w:val="16"/>
          <w:szCs w:val="16"/>
        </w:rPr>
        <w:softHyphen/>
        <w:t>зующей.</w:t>
      </w:r>
    </w:p>
    <w:p w14:paraId="7CB5CAE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после сдаточ</w:t>
      </w:r>
      <w:r w:rsidRPr="00925F26">
        <w:rPr>
          <w:color w:val="000000" w:themeColor="text1"/>
          <w:sz w:val="16"/>
          <w:szCs w:val="16"/>
        </w:rPr>
        <w:softHyphen/>
        <w:t>ного испытания из числа опытных ци</w:t>
      </w:r>
      <w:r w:rsidRPr="00925F26">
        <w:rPr>
          <w:color w:val="000000" w:themeColor="text1"/>
          <w:sz w:val="16"/>
          <w:szCs w:val="16"/>
        </w:rPr>
        <w:softHyphen/>
        <w:t>линдров, было обнаружено 6 цилинд</w:t>
      </w:r>
      <w:r w:rsidRPr="00925F26">
        <w:rPr>
          <w:color w:val="000000" w:themeColor="text1"/>
          <w:sz w:val="16"/>
          <w:szCs w:val="16"/>
        </w:rPr>
        <w:softHyphen/>
        <w:t>ров с уступчатой выработкой, распо</w:t>
      </w:r>
      <w:r w:rsidRPr="00925F26">
        <w:rPr>
          <w:color w:val="000000" w:themeColor="text1"/>
          <w:sz w:val="16"/>
          <w:szCs w:val="16"/>
        </w:rPr>
        <w:softHyphen/>
        <w:t>ложенной на высоте 224 мм от ниж</w:t>
      </w:r>
      <w:r w:rsidRPr="00925F26">
        <w:rPr>
          <w:color w:val="000000" w:themeColor="text1"/>
          <w:sz w:val="16"/>
          <w:szCs w:val="16"/>
        </w:rPr>
        <w:softHyphen/>
        <w:t>него торца гильзы, которая в отличие от выработки, получающейся на ци</w:t>
      </w:r>
      <w:r w:rsidRPr="00925F26">
        <w:rPr>
          <w:color w:val="000000" w:themeColor="text1"/>
          <w:sz w:val="16"/>
          <w:szCs w:val="16"/>
        </w:rPr>
        <w:softHyphen/>
        <w:t>линдрах с обычным профилем, имела обратный характер (см. фиг. № 6).</w:t>
      </w:r>
    </w:p>
    <w:p w14:paraId="653593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Тотчас произведенными исследо</w:t>
      </w:r>
      <w:r w:rsidRPr="00925F26">
        <w:rPr>
          <w:color w:val="000000" w:themeColor="text1"/>
          <w:sz w:val="16"/>
          <w:szCs w:val="16"/>
        </w:rPr>
        <w:softHyphen/>
        <w:t>ваниями было установлено, что при</w:t>
      </w:r>
      <w:r w:rsidRPr="00925F26">
        <w:rPr>
          <w:color w:val="000000" w:themeColor="text1"/>
          <w:sz w:val="16"/>
          <w:szCs w:val="16"/>
        </w:rPr>
        <w:softHyphen/>
        <w:t>чиной такой выработки являлась ра</w:t>
      </w:r>
      <w:r w:rsidRPr="00925F26">
        <w:rPr>
          <w:color w:val="000000" w:themeColor="text1"/>
          <w:sz w:val="16"/>
          <w:szCs w:val="16"/>
        </w:rPr>
        <w:softHyphen/>
        <w:t>бота в распор 2-х маслосборных ко</w:t>
      </w:r>
      <w:r w:rsidRPr="00925F26">
        <w:rPr>
          <w:color w:val="000000" w:themeColor="text1"/>
          <w:sz w:val="16"/>
          <w:szCs w:val="16"/>
        </w:rPr>
        <w:softHyphen/>
        <w:t>лец, находящихся в 4-й канавке пор</w:t>
      </w:r>
      <w:r w:rsidRPr="00925F26">
        <w:rPr>
          <w:color w:val="000000" w:themeColor="text1"/>
          <w:sz w:val="16"/>
          <w:szCs w:val="16"/>
        </w:rPr>
        <w:softHyphen/>
        <w:t>шня.</w:t>
      </w:r>
    </w:p>
    <w:p w14:paraId="5356334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 соответствующего увеличе</w:t>
      </w:r>
      <w:r w:rsidRPr="00925F26">
        <w:rPr>
          <w:color w:val="000000" w:themeColor="text1"/>
          <w:sz w:val="16"/>
          <w:szCs w:val="16"/>
        </w:rPr>
        <w:softHyphen/>
        <w:t>ния зазора в стыке этих колец, ука</w:t>
      </w:r>
      <w:r w:rsidRPr="00925F26">
        <w:rPr>
          <w:color w:val="000000" w:themeColor="text1"/>
          <w:sz w:val="16"/>
          <w:szCs w:val="16"/>
        </w:rPr>
        <w:softHyphen/>
        <w:t>занная выработка больше не наблю</w:t>
      </w:r>
      <w:r w:rsidRPr="00925F26">
        <w:rPr>
          <w:color w:val="000000" w:themeColor="text1"/>
          <w:sz w:val="16"/>
          <w:szCs w:val="16"/>
        </w:rPr>
        <w:softHyphen/>
        <w:t>далась.</w:t>
      </w:r>
    </w:p>
    <w:p w14:paraId="2CFB274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время прохождения моторами контрольного испытания, из их числа было снято по дымлению цилиндров только 3 мотора (5%). При вскрытии и осмотре восьми дымивших цилинд</w:t>
      </w:r>
      <w:r w:rsidRPr="00925F26">
        <w:rPr>
          <w:color w:val="000000" w:themeColor="text1"/>
          <w:sz w:val="16"/>
          <w:szCs w:val="16"/>
        </w:rPr>
        <w:softHyphen/>
        <w:t>ров обнаружено, что 7 цилиндров на</w:t>
      </w:r>
      <w:r w:rsidRPr="00925F26">
        <w:rPr>
          <w:color w:val="000000" w:themeColor="text1"/>
          <w:sz w:val="16"/>
          <w:szCs w:val="16"/>
        </w:rPr>
        <w:softHyphen/>
        <w:t>ходились в удовлетворительном состо</w:t>
      </w:r>
      <w:r w:rsidRPr="00925F26">
        <w:rPr>
          <w:color w:val="000000" w:themeColor="text1"/>
          <w:sz w:val="16"/>
          <w:szCs w:val="16"/>
        </w:rPr>
        <w:softHyphen/>
        <w:t>янии и один цилиндр имел прямую уступчатую выработку, расположенную по средине гильзы цилиндра.</w:t>
      </w:r>
    </w:p>
    <w:p w14:paraId="3A1EB6D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Длительное 50-ти часовое испы</w:t>
      </w:r>
      <w:r w:rsidRPr="00925F26">
        <w:rPr>
          <w:color w:val="000000" w:themeColor="text1"/>
          <w:sz w:val="16"/>
          <w:szCs w:val="16"/>
        </w:rPr>
        <w:softHyphen/>
        <w:t>тание мотора АШ-82ФН № 82142192, взятого из числа малой серии.</w:t>
      </w:r>
    </w:p>
    <w:p w14:paraId="475A47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Поршневые кольца в первой канавке с цилиндрической образующей.</w:t>
      </w:r>
    </w:p>
    <w:p w14:paraId="6D87254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 Все цилиндры после испыта</w:t>
      </w:r>
      <w:r w:rsidRPr="00925F26">
        <w:rPr>
          <w:color w:val="000000" w:themeColor="text1"/>
          <w:sz w:val="16"/>
          <w:szCs w:val="16"/>
        </w:rPr>
        <w:softHyphen/>
        <w:t>ния находились в хорошем состоя</w:t>
      </w:r>
      <w:r w:rsidRPr="00925F26">
        <w:rPr>
          <w:color w:val="000000" w:themeColor="text1"/>
          <w:sz w:val="16"/>
          <w:szCs w:val="16"/>
        </w:rPr>
        <w:softHyphen/>
        <w:t>нии, пригодном для дальнейшей ра</w:t>
      </w:r>
      <w:r w:rsidRPr="00925F26">
        <w:rPr>
          <w:color w:val="000000" w:themeColor="text1"/>
          <w:sz w:val="16"/>
          <w:szCs w:val="16"/>
        </w:rPr>
        <w:softHyphen/>
        <w:t>боты. Максимальный износ в верх</w:t>
      </w:r>
      <w:r w:rsidRPr="00925F26">
        <w:rPr>
          <w:color w:val="000000" w:themeColor="text1"/>
          <w:sz w:val="16"/>
          <w:szCs w:val="16"/>
        </w:rPr>
        <w:softHyphen/>
        <w:t>нем поясе у 5-ти цилиндров состав</w:t>
      </w:r>
      <w:r w:rsidRPr="00925F26">
        <w:rPr>
          <w:color w:val="000000" w:themeColor="text1"/>
          <w:sz w:val="16"/>
          <w:szCs w:val="16"/>
        </w:rPr>
        <w:softHyphen/>
        <w:t>лял от 0,12 до 0,17 мм.</w:t>
      </w:r>
    </w:p>
    <w:p w14:paraId="74AE9D4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Состояние поршневых колец хоро</w:t>
      </w:r>
      <w:r w:rsidRPr="00925F26">
        <w:rPr>
          <w:color w:val="000000" w:themeColor="text1"/>
          <w:sz w:val="16"/>
          <w:szCs w:val="16"/>
        </w:rPr>
        <w:softHyphen/>
        <w:t>шее.</w:t>
      </w:r>
    </w:p>
    <w:p w14:paraId="69D5013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Длительное 150-ти часовое Го</w:t>
      </w:r>
      <w:r w:rsidRPr="00925F26">
        <w:rPr>
          <w:color w:val="000000" w:themeColor="text1"/>
          <w:sz w:val="16"/>
          <w:szCs w:val="16"/>
        </w:rPr>
        <w:softHyphen/>
        <w:t>сударственное испытание мотора АШ-82ФН № 82143252, также взя</w:t>
      </w:r>
      <w:r w:rsidRPr="00925F26">
        <w:rPr>
          <w:color w:val="000000" w:themeColor="text1"/>
          <w:sz w:val="16"/>
          <w:szCs w:val="16"/>
        </w:rPr>
        <w:softHyphen/>
        <w:t>того из числа малой серии. Поршне</w:t>
      </w:r>
      <w:r w:rsidRPr="00925F26">
        <w:rPr>
          <w:color w:val="000000" w:themeColor="text1"/>
          <w:sz w:val="16"/>
          <w:szCs w:val="16"/>
        </w:rPr>
        <w:softHyphen/>
        <w:t>вые кольцо в первой канавке порш</w:t>
      </w:r>
      <w:r w:rsidRPr="00925F26">
        <w:rPr>
          <w:color w:val="000000" w:themeColor="text1"/>
          <w:sz w:val="16"/>
          <w:szCs w:val="16"/>
        </w:rPr>
        <w:softHyphen/>
        <w:t>ней с цилиндрической образующей.</w:t>
      </w:r>
    </w:p>
    <w:p w14:paraId="2B9C730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Результат испытания удовлетвори</w:t>
      </w:r>
      <w:r w:rsidRPr="00925F26">
        <w:rPr>
          <w:color w:val="000000" w:themeColor="text1"/>
          <w:sz w:val="16"/>
          <w:szCs w:val="16"/>
        </w:rPr>
        <w:softHyphen/>
        <w:t>тельный. Все цилиндры после испыта</w:t>
      </w:r>
      <w:r w:rsidRPr="00925F26">
        <w:rPr>
          <w:color w:val="000000" w:themeColor="text1"/>
          <w:sz w:val="16"/>
          <w:szCs w:val="16"/>
        </w:rPr>
        <w:softHyphen/>
        <w:t>ния находились в хорошем состоя</w:t>
      </w:r>
      <w:r w:rsidRPr="00925F26">
        <w:rPr>
          <w:color w:val="000000" w:themeColor="text1"/>
          <w:sz w:val="16"/>
          <w:szCs w:val="16"/>
        </w:rPr>
        <w:softHyphen/>
        <w:t>нии, пригодном для дальнейшей ра</w:t>
      </w:r>
      <w:r w:rsidRPr="00925F26">
        <w:rPr>
          <w:color w:val="000000" w:themeColor="text1"/>
          <w:sz w:val="16"/>
          <w:szCs w:val="16"/>
        </w:rPr>
        <w:softHyphen/>
        <w:t>боты.</w:t>
      </w:r>
    </w:p>
    <w:p w14:paraId="2BF5711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Максимальный износ на 4-х цилин</w:t>
      </w:r>
      <w:r w:rsidRPr="00925F26">
        <w:rPr>
          <w:color w:val="000000" w:themeColor="text1"/>
          <w:sz w:val="16"/>
          <w:szCs w:val="16"/>
        </w:rPr>
        <w:softHyphen/>
        <w:t>драх достигал от 0,14 до 0,18 мм.</w:t>
      </w:r>
    </w:p>
    <w:p w14:paraId="01FF626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Состояние поршневых колец хоро</w:t>
      </w:r>
      <w:r w:rsidRPr="00925F26">
        <w:rPr>
          <w:color w:val="000000" w:themeColor="text1"/>
          <w:sz w:val="16"/>
          <w:szCs w:val="16"/>
        </w:rPr>
        <w:softHyphen/>
        <w:t>шее.</w:t>
      </w:r>
    </w:p>
    <w:p w14:paraId="3D6E0ED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На основании </w:t>
      </w:r>
      <w:proofErr w:type="gramStart"/>
      <w:r w:rsidRPr="00925F26">
        <w:rPr>
          <w:color w:val="000000" w:themeColor="text1"/>
          <w:sz w:val="16"/>
          <w:szCs w:val="16"/>
        </w:rPr>
        <w:t>положительных ре</w:t>
      </w:r>
      <w:r w:rsidRPr="00925F26">
        <w:rPr>
          <w:color w:val="000000" w:themeColor="text1"/>
          <w:sz w:val="16"/>
          <w:szCs w:val="16"/>
        </w:rPr>
        <w:softHyphen/>
        <w:t>зультатов</w:t>
      </w:r>
      <w:proofErr w:type="gramEnd"/>
      <w:r w:rsidRPr="00925F26">
        <w:rPr>
          <w:color w:val="000000" w:themeColor="text1"/>
          <w:sz w:val="16"/>
          <w:szCs w:val="16"/>
        </w:rPr>
        <w:t xml:space="preserve"> перечисленных выше испы</w:t>
      </w:r>
      <w:r w:rsidRPr="00925F26">
        <w:rPr>
          <w:color w:val="000000" w:themeColor="text1"/>
          <w:sz w:val="16"/>
          <w:szCs w:val="16"/>
        </w:rPr>
        <w:softHyphen/>
        <w:t>таний, цилиндры с гильзами, оконча</w:t>
      </w:r>
      <w:r w:rsidRPr="00925F26">
        <w:rPr>
          <w:color w:val="000000" w:themeColor="text1"/>
          <w:sz w:val="16"/>
          <w:szCs w:val="16"/>
        </w:rPr>
        <w:softHyphen/>
        <w:t>тельно обработанными до соединения с головкой, и постановка в первую канавку поршней газоуплотнительного кольца с цилиндрической образую</w:t>
      </w:r>
      <w:r w:rsidRPr="00925F26">
        <w:rPr>
          <w:color w:val="000000" w:themeColor="text1"/>
          <w:sz w:val="16"/>
          <w:szCs w:val="16"/>
        </w:rPr>
        <w:softHyphen/>
        <w:t>щей, с 1-го августа 1945 года введе</w:t>
      </w:r>
      <w:r w:rsidRPr="00925F26">
        <w:rPr>
          <w:color w:val="000000" w:themeColor="text1"/>
          <w:sz w:val="16"/>
          <w:szCs w:val="16"/>
        </w:rPr>
        <w:softHyphen/>
        <w:t>на в серийное производство для по</w:t>
      </w:r>
      <w:r w:rsidRPr="00925F26">
        <w:rPr>
          <w:color w:val="000000" w:themeColor="text1"/>
          <w:sz w:val="16"/>
          <w:szCs w:val="16"/>
        </w:rPr>
        <w:softHyphen/>
        <w:t>становки на моторы АШ-82ФН» (10730).</w:t>
      </w:r>
    </w:p>
    <w:p w14:paraId="423BFB4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22424AC" w14:textId="77777777" w:rsidR="00460A18" w:rsidRPr="00925F26" w:rsidRDefault="00460A1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мае 1945 г. в ОКБ и на заводе № 81 при ступили к изготовлению рабочих чертежей и макета самоле та Ла-150, а также моделей для продувок в трубах ЦАГИ. Завод № 81 был мал и не имел возможностей, чтобы спра 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w:t>
      </w:r>
    </w:p>
    <w:p w14:paraId="0F9F8559" w14:textId="77777777" w:rsidR="00460A18" w:rsidRPr="00925F26" w:rsidRDefault="00460A18"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ОКБ С.А. Лавочкина должно было к 1 августа 1945 г. сдать все рабочие чертежи заводу № 381. Этот срок ОКБ выдержа 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w:t>
      </w:r>
      <w:proofErr w:type="gramStart"/>
      <w:r w:rsidRPr="00925F26">
        <w:rPr>
          <w:color w:val="000000" w:themeColor="text1"/>
          <w:sz w:val="16"/>
          <w:szCs w:val="16"/>
        </w:rPr>
        <w:t>самолета</w:t>
      </w:r>
      <w:proofErr w:type="gramEnd"/>
      <w:r w:rsidRPr="00925F26">
        <w:rPr>
          <w:color w:val="000000" w:themeColor="text1"/>
          <w:sz w:val="16"/>
          <w:szCs w:val="16"/>
        </w:rPr>
        <w:t xml:space="preserve"> Не 162). К концу августа 1945 г. полный комплект чертежей был передан на завод. В начале июля на заводе № 81 был постро ен макет самолета, и на нем параллельно с выпуском черте жей происходила взаимная увязка агрегатов (19586).</w:t>
      </w:r>
    </w:p>
    <w:p w14:paraId="75CB56E9" w14:textId="77777777" w:rsidR="00460A18" w:rsidRPr="00925F26" w:rsidRDefault="00460A18" w:rsidP="00925F26">
      <w:pPr>
        <w:jc w:val="both"/>
        <w:rPr>
          <w:color w:val="000000" w:themeColor="text1"/>
          <w:sz w:val="16"/>
          <w:szCs w:val="16"/>
        </w:rPr>
      </w:pPr>
    </w:p>
    <w:p w14:paraId="585516AF" w14:textId="77777777" w:rsidR="003E5301" w:rsidRPr="001A0BAA" w:rsidRDefault="003E5301" w:rsidP="003E5301">
      <w:pPr>
        <w:jc w:val="both"/>
        <w:rPr>
          <w:color w:val="0070C0"/>
          <w:sz w:val="16"/>
          <w:szCs w:val="16"/>
        </w:rPr>
      </w:pPr>
      <w:r w:rsidRPr="001A0BAA">
        <w:rPr>
          <w:color w:val="0070C0"/>
          <w:sz w:val="16"/>
          <w:szCs w:val="16"/>
        </w:rPr>
        <w:t>В мае 1945 г. в ОКБ и на заводе № 81 при</w:t>
      </w:r>
      <w:r w:rsidRPr="001A0BAA">
        <w:rPr>
          <w:color w:val="0070C0"/>
          <w:sz w:val="16"/>
          <w:szCs w:val="16"/>
        </w:rPr>
        <w:softHyphen/>
        <w:t>ступили к изготовлению рабочих чертежей и макета самоле</w:t>
      </w:r>
      <w:r w:rsidRPr="001A0BAA">
        <w:rPr>
          <w:color w:val="0070C0"/>
          <w:sz w:val="16"/>
          <w:szCs w:val="16"/>
        </w:rPr>
        <w:softHyphen/>
        <w:t>та Ла-150, а также моделей для продувок в трубах ЦАГИ [57].</w:t>
      </w:r>
    </w:p>
    <w:p w14:paraId="53542EC9" w14:textId="77777777" w:rsidR="003E5301" w:rsidRPr="001A0BAA" w:rsidRDefault="003E5301" w:rsidP="003E5301">
      <w:pPr>
        <w:jc w:val="both"/>
        <w:rPr>
          <w:color w:val="0070C0"/>
          <w:sz w:val="16"/>
          <w:szCs w:val="16"/>
        </w:rPr>
      </w:pPr>
      <w:r w:rsidRPr="001A0BAA">
        <w:rPr>
          <w:color w:val="0070C0"/>
          <w:sz w:val="16"/>
          <w:szCs w:val="16"/>
        </w:rPr>
        <w:t>Завод № 81 был мал и не имел возможностей, чтобы спра</w:t>
      </w:r>
      <w:r w:rsidRPr="001A0BAA">
        <w:rPr>
          <w:color w:val="0070C0"/>
          <w:sz w:val="16"/>
          <w:szCs w:val="16"/>
        </w:rPr>
        <w:softHyphen/>
        <w:t>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 [57].</w:t>
      </w:r>
    </w:p>
    <w:p w14:paraId="5F93AE7B" w14:textId="77777777" w:rsidR="003E5301" w:rsidRPr="001A0BAA" w:rsidRDefault="003E5301" w:rsidP="003E5301">
      <w:pPr>
        <w:jc w:val="both"/>
        <w:rPr>
          <w:color w:val="0070C0"/>
          <w:sz w:val="16"/>
          <w:szCs w:val="16"/>
        </w:rPr>
      </w:pPr>
      <w:r w:rsidRPr="001A0BAA">
        <w:rPr>
          <w:color w:val="0070C0"/>
          <w:sz w:val="16"/>
          <w:szCs w:val="16"/>
        </w:rPr>
        <w:t>ОКБ С. А. Лавочкина должно было к 1 августа 1945 г. сдать все рабочие чертежи заводу № 381. Этот срок ОКБ выдержа</w:t>
      </w:r>
      <w:r w:rsidRPr="001A0BAA">
        <w:rPr>
          <w:color w:val="0070C0"/>
          <w:sz w:val="16"/>
          <w:szCs w:val="16"/>
        </w:rPr>
        <w:softHyphen/>
        <w:t xml:space="preserve">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w:t>
      </w:r>
      <w:proofErr w:type="gramStart"/>
      <w:r w:rsidRPr="001A0BAA">
        <w:rPr>
          <w:color w:val="0070C0"/>
          <w:sz w:val="16"/>
          <w:szCs w:val="16"/>
        </w:rPr>
        <w:t>самолета</w:t>
      </w:r>
      <w:proofErr w:type="gramEnd"/>
      <w:r w:rsidRPr="001A0BAA">
        <w:rPr>
          <w:color w:val="0070C0"/>
          <w:sz w:val="16"/>
          <w:szCs w:val="16"/>
        </w:rPr>
        <w:t xml:space="preserve"> Не- 162). К концу августа 1945 г. полный комплект чертежей был передан на завод. В начале июля на заводе № 81 был постро</w:t>
      </w:r>
      <w:r w:rsidRPr="001A0BAA">
        <w:rPr>
          <w:color w:val="0070C0"/>
          <w:sz w:val="16"/>
          <w:szCs w:val="16"/>
        </w:rPr>
        <w:softHyphen/>
        <w:t>ен макет самолета, и на нем параллельно с выпуском черте</w:t>
      </w:r>
      <w:r w:rsidRPr="001A0BAA">
        <w:rPr>
          <w:color w:val="0070C0"/>
          <w:sz w:val="16"/>
          <w:szCs w:val="16"/>
        </w:rPr>
        <w:softHyphen/>
        <w:t>жей происходила взаимная увязка агрегатов (24920).</w:t>
      </w:r>
    </w:p>
    <w:p w14:paraId="3F99A03E" w14:textId="77777777" w:rsidR="003E5301" w:rsidRPr="001A0BAA" w:rsidRDefault="003E5301" w:rsidP="003E5301">
      <w:pPr>
        <w:jc w:val="both"/>
        <w:rPr>
          <w:color w:val="0070C0"/>
          <w:sz w:val="16"/>
          <w:szCs w:val="16"/>
        </w:rPr>
      </w:pPr>
    </w:p>
    <w:p w14:paraId="14D20F99" w14:textId="77777777" w:rsidR="00460A18" w:rsidRPr="00925F26" w:rsidRDefault="00460A18" w:rsidP="00925F26">
      <w:pPr>
        <w:shd w:val="clear" w:color="auto" w:fill="FFFFFF"/>
        <w:jc w:val="both"/>
        <w:rPr>
          <w:color w:val="000000" w:themeColor="text1"/>
          <w:sz w:val="16"/>
          <w:szCs w:val="16"/>
        </w:rPr>
      </w:pPr>
      <w:r w:rsidRPr="00925F26">
        <w:rPr>
          <w:color w:val="000000" w:themeColor="text1"/>
          <w:sz w:val="16"/>
          <w:szCs w:val="16"/>
        </w:rPr>
        <w:t xml:space="preserve">В мае 1945 г. самолет Як-3РД поставили в цех ОКБ, где на нем заменили ЖРД, произвели полный технический осмотр са молета и устранили обнаруженные дефекты. Полеты с но вым двигателем возобновились 14 августа для подготовки к воздушному параду. Во втором полете, 15 августа,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w:t>
      </w:r>
      <w:proofErr w:type="gramStart"/>
      <w:r w:rsidRPr="00925F26">
        <w:rPr>
          <w:color w:val="000000" w:themeColor="text1"/>
          <w:sz w:val="16"/>
          <w:szCs w:val="16"/>
        </w:rPr>
        <w:t>45....</w:t>
      </w:r>
      <w:proofErr w:type="gramEnd"/>
      <w:r w:rsidRPr="00925F26">
        <w:rPr>
          <w:color w:val="000000" w:themeColor="text1"/>
          <w:sz w:val="16"/>
          <w:szCs w:val="16"/>
        </w:rPr>
        <w:t>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59AD2A3C" w14:textId="77777777" w:rsidR="00460A18" w:rsidRPr="00925F26" w:rsidRDefault="00460A18" w:rsidP="00925F26">
      <w:pPr>
        <w:jc w:val="both"/>
        <w:rPr>
          <w:color w:val="000000" w:themeColor="text1"/>
          <w:sz w:val="16"/>
          <w:szCs w:val="16"/>
        </w:rPr>
      </w:pPr>
    </w:p>
    <w:p w14:paraId="1054390A" w14:textId="77777777" w:rsidR="003E5301" w:rsidRPr="001A0BAA" w:rsidRDefault="003E5301" w:rsidP="003E5301">
      <w:pPr>
        <w:jc w:val="both"/>
        <w:rPr>
          <w:color w:val="0070C0"/>
          <w:sz w:val="16"/>
          <w:szCs w:val="16"/>
        </w:rPr>
      </w:pPr>
      <w:r w:rsidRPr="001A0BAA">
        <w:rPr>
          <w:color w:val="0070C0"/>
          <w:sz w:val="16"/>
          <w:szCs w:val="16"/>
        </w:rPr>
        <w:t>В мае 1945 г. самолет Як-3РД поставили в цех ОКБ, где на нем заменили ЖРД, произвели полный технический осмотр са</w:t>
      </w:r>
      <w:r w:rsidRPr="001A0BAA">
        <w:rPr>
          <w:color w:val="0070C0"/>
          <w:sz w:val="16"/>
          <w:szCs w:val="16"/>
        </w:rPr>
        <w:softHyphen/>
        <w:t>молета и устранили обнаруженные дефекты. Полеты с но</w:t>
      </w:r>
      <w:r w:rsidRPr="001A0BAA">
        <w:rPr>
          <w:color w:val="0070C0"/>
          <w:sz w:val="16"/>
          <w:szCs w:val="16"/>
        </w:rPr>
        <w:softHyphen/>
        <w:t>вым двигателем возобновились 14 августа для подготовки к воздушному параду. Во втором полете, 15 августа, после нор</w:t>
      </w:r>
      <w:r w:rsidRPr="001A0BAA">
        <w:rPr>
          <w:color w:val="0070C0"/>
          <w:sz w:val="16"/>
          <w:szCs w:val="16"/>
        </w:rPr>
        <w:softHyphen/>
        <w:t>мального включения ЖРД через 10.... 15 с упала тяга при одновременном падении давления керосина. Спустя еще не</w:t>
      </w:r>
      <w:r w:rsidRPr="001A0BAA">
        <w:rPr>
          <w:color w:val="0070C0"/>
          <w:sz w:val="16"/>
          <w:szCs w:val="16"/>
        </w:rPr>
        <w:softHyphen/>
        <w:t>сколько секунд кабина наполнилась брызгами и парами бен</w:t>
      </w:r>
      <w:r w:rsidRPr="001A0BAA">
        <w:rPr>
          <w:color w:val="0070C0"/>
          <w:sz w:val="16"/>
          <w:szCs w:val="16"/>
        </w:rPr>
        <w:softHyphen/>
        <w:t>зина, попавшими в лицо и глаза летчика, что крайне зат</w:t>
      </w:r>
      <w:r w:rsidRPr="001A0BAA">
        <w:rPr>
          <w:color w:val="0070C0"/>
          <w:sz w:val="16"/>
          <w:szCs w:val="16"/>
        </w:rPr>
        <w:softHyphen/>
        <w:t>руднило пилотирование. Летчик выключил ЖРД и благо</w:t>
      </w:r>
      <w:r w:rsidRPr="001A0BAA">
        <w:rPr>
          <w:color w:val="0070C0"/>
          <w:sz w:val="16"/>
          <w:szCs w:val="16"/>
        </w:rPr>
        <w:softHyphen/>
        <w:t>получно сел на Центральном аэродроме. На земле комиссия обнаружила обрыв шунтовой трубки керосиновой магистра</w:t>
      </w:r>
      <w:r w:rsidRPr="001A0BAA">
        <w:rPr>
          <w:color w:val="0070C0"/>
          <w:sz w:val="16"/>
          <w:szCs w:val="16"/>
        </w:rPr>
        <w:softHyphen/>
        <w:t>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w:t>
      </w:r>
      <w:r w:rsidRPr="001A0BAA">
        <w:rPr>
          <w:color w:val="0070C0"/>
          <w:sz w:val="16"/>
          <w:szCs w:val="16"/>
        </w:rPr>
        <w:softHyphen/>
        <w:t>ние, угол которого стал постепенно увеличиваться. На пи</w:t>
      </w:r>
      <w:r w:rsidRPr="001A0BAA">
        <w:rPr>
          <w:color w:val="0070C0"/>
          <w:sz w:val="16"/>
          <w:szCs w:val="16"/>
        </w:rPr>
        <w:softHyphen/>
        <w:t xml:space="preserve">кировании, сначала почти отвесном, а у земли </w:t>
      </w:r>
      <w:proofErr w:type="gramStart"/>
      <w:r w:rsidRPr="001A0BAA">
        <w:rPr>
          <w:color w:val="0070C0"/>
          <w:sz w:val="16"/>
          <w:szCs w:val="16"/>
        </w:rPr>
        <w:t>45....</w:t>
      </w:r>
      <w:proofErr w:type="gramEnd"/>
      <w:r w:rsidRPr="001A0BAA">
        <w:rPr>
          <w:color w:val="0070C0"/>
          <w:sz w:val="16"/>
          <w:szCs w:val="16"/>
        </w:rPr>
        <w:t>50 гра</w:t>
      </w:r>
      <w:r w:rsidRPr="001A0BAA">
        <w:rPr>
          <w:color w:val="0070C0"/>
          <w:sz w:val="16"/>
          <w:szCs w:val="16"/>
        </w:rPr>
        <w:softHyphen/>
        <w:t>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w:t>
      </w:r>
      <w:r w:rsidRPr="001A0BAA">
        <w:rPr>
          <w:color w:val="0070C0"/>
          <w:sz w:val="16"/>
          <w:szCs w:val="16"/>
        </w:rPr>
        <w:softHyphen/>
        <w:t>рофы могли быть потеря летчиком способности управлять самолетом или поломка в системе управления рулем высо</w:t>
      </w:r>
      <w:r w:rsidRPr="001A0BAA">
        <w:rPr>
          <w:color w:val="0070C0"/>
          <w:sz w:val="16"/>
          <w:szCs w:val="16"/>
        </w:rPr>
        <w:softHyphen/>
        <w:t>ты. В связи с появлением в послевоенное время турбореак</w:t>
      </w:r>
      <w:r w:rsidRPr="001A0BAA">
        <w:rPr>
          <w:color w:val="0070C0"/>
          <w:sz w:val="16"/>
          <w:szCs w:val="16"/>
        </w:rPr>
        <w:softHyphen/>
        <w:t>тивных двигателей работа по оснащению поршневых само</w:t>
      </w:r>
      <w:r w:rsidRPr="001A0BAA">
        <w:rPr>
          <w:color w:val="0070C0"/>
          <w:sz w:val="16"/>
          <w:szCs w:val="16"/>
        </w:rPr>
        <w:softHyphen/>
        <w:t>летов жидкостными ракетными ускорителями потеряла ак</w:t>
      </w:r>
      <w:r w:rsidRPr="001A0BAA">
        <w:rPr>
          <w:color w:val="0070C0"/>
          <w:sz w:val="16"/>
          <w:szCs w:val="16"/>
        </w:rPr>
        <w:softHyphen/>
        <w:t>туальность и была прекращена [28] (24920).</w:t>
      </w:r>
    </w:p>
    <w:p w14:paraId="0A1CDF0C" w14:textId="77777777" w:rsidR="003E5301" w:rsidRPr="001A0BAA" w:rsidRDefault="003E5301" w:rsidP="003E5301">
      <w:pPr>
        <w:jc w:val="both"/>
        <w:rPr>
          <w:color w:val="0070C0"/>
          <w:sz w:val="16"/>
          <w:szCs w:val="16"/>
        </w:rPr>
      </w:pPr>
    </w:p>
    <w:p w14:paraId="633A2E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мае 1945 г. в НИИ доставили FW 190D-9 - один из последних вариантов знаменитого истребителя. Он отличался от предшественников главным образом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группой. Вместо звездообразного двигателя на нём установили мотор жидкостного охлаждения Jumo 21 ЗА с непосредственным впрыском топлива, вращавший винт изменяемого шага с деревянными лопастями. В ходе испытаний FW 190D-9 был проведён показательный воздушный бой с Ла-7, подтвердивший, в частности, что "Лавочкин" имеет значительные преимущества перед "немцем" по скорости полёта, скороподъёмности и манёвренности. В горизонтальном манёвре при встрече на скоростях порядка 0,9 от максимальных Ла-7 заходил в хвост противнику за два-три виража. В вертикальном манёвре на максимальных скоростях Ла-7 набирал за боевой разворот большую высоту и, имея превосходство в высоте, заходил в хвост FW 190D-9.</w:t>
      </w:r>
    </w:p>
    <w:p w14:paraId="4A23CF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Основные данные семейства истребителей-аналогов </w:t>
      </w:r>
      <w:proofErr w:type="gramStart"/>
      <w:r w:rsidRPr="00925F26">
        <w:rPr>
          <w:color w:val="000000" w:themeColor="text1"/>
          <w:sz w:val="16"/>
          <w:szCs w:val="16"/>
        </w:rPr>
        <w:t>JIa-7</w:t>
      </w:r>
      <w:proofErr w:type="gramEnd"/>
      <w:r w:rsidRPr="00925F26">
        <w:rPr>
          <w:color w:val="000000" w:themeColor="text1"/>
          <w:sz w:val="16"/>
          <w:szCs w:val="16"/>
        </w:rPr>
        <w:t xml:space="preserve"> но результатам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F5689" w:rsidRPr="00925F26" w14:paraId="3DCF5B6E" w14:textId="77777777">
        <w:tc>
          <w:tcPr>
            <w:tcW w:w="3736" w:type="dxa"/>
            <w:tcBorders>
              <w:top w:val="single" w:sz="12" w:space="0" w:color="auto"/>
            </w:tcBorders>
          </w:tcPr>
          <w:p w14:paraId="5AD413E9" w14:textId="77777777" w:rsidR="00665165" w:rsidRPr="00925F26" w:rsidRDefault="00665165" w:rsidP="00925F26">
            <w:pPr>
              <w:autoSpaceDE w:val="0"/>
              <w:autoSpaceDN w:val="0"/>
              <w:adjustRightInd w:val="0"/>
              <w:jc w:val="both"/>
              <w:rPr>
                <w:color w:val="000000" w:themeColor="text1"/>
                <w:sz w:val="16"/>
                <w:szCs w:val="16"/>
              </w:rPr>
            </w:pPr>
          </w:p>
        </w:tc>
        <w:tc>
          <w:tcPr>
            <w:tcW w:w="3736" w:type="dxa"/>
            <w:tcBorders>
              <w:top w:val="single" w:sz="12" w:space="0" w:color="auto"/>
            </w:tcBorders>
          </w:tcPr>
          <w:p w14:paraId="150CBD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FW 190А-8</w:t>
            </w:r>
          </w:p>
        </w:tc>
        <w:tc>
          <w:tcPr>
            <w:tcW w:w="3736" w:type="dxa"/>
            <w:tcBorders>
              <w:top w:val="single" w:sz="12" w:space="0" w:color="auto"/>
            </w:tcBorders>
          </w:tcPr>
          <w:p w14:paraId="24C1E7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FW 190D-9</w:t>
            </w:r>
          </w:p>
        </w:tc>
      </w:tr>
      <w:tr w:rsidR="000F5689" w:rsidRPr="00925F26" w14:paraId="63F1ABCE" w14:textId="77777777">
        <w:tc>
          <w:tcPr>
            <w:tcW w:w="3736" w:type="dxa"/>
          </w:tcPr>
          <w:p w14:paraId="56F364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w:t>
            </w:r>
          </w:p>
        </w:tc>
        <w:tc>
          <w:tcPr>
            <w:tcW w:w="3736" w:type="dxa"/>
          </w:tcPr>
          <w:p w14:paraId="5271BE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BMW 801</w:t>
            </w:r>
          </w:p>
        </w:tc>
        <w:tc>
          <w:tcPr>
            <w:tcW w:w="3736" w:type="dxa"/>
          </w:tcPr>
          <w:p w14:paraId="709374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Jumo 21 ЗА</w:t>
            </w:r>
          </w:p>
        </w:tc>
      </w:tr>
      <w:tr w:rsidR="000F5689" w:rsidRPr="00925F26" w14:paraId="21DEB26D" w14:textId="77777777">
        <w:tc>
          <w:tcPr>
            <w:tcW w:w="3736" w:type="dxa"/>
          </w:tcPr>
          <w:p w14:paraId="4958EC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л.с.: взлётная</w:t>
            </w:r>
          </w:p>
        </w:tc>
        <w:tc>
          <w:tcPr>
            <w:tcW w:w="3736" w:type="dxa"/>
          </w:tcPr>
          <w:p w14:paraId="7375F5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1580</w:t>
            </w:r>
          </w:p>
        </w:tc>
        <w:tc>
          <w:tcPr>
            <w:tcW w:w="3736" w:type="dxa"/>
          </w:tcPr>
          <w:p w14:paraId="0F5A9A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1900**</w:t>
            </w:r>
          </w:p>
        </w:tc>
      </w:tr>
      <w:tr w:rsidR="000F5689" w:rsidRPr="00925F26" w14:paraId="5DF1C175" w14:textId="77777777">
        <w:tc>
          <w:tcPr>
            <w:tcW w:w="3736" w:type="dxa"/>
          </w:tcPr>
          <w:p w14:paraId="776FBE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первой границе высотности, м на второй границе высотности, м</w:t>
            </w:r>
          </w:p>
        </w:tc>
        <w:tc>
          <w:tcPr>
            <w:tcW w:w="3736" w:type="dxa"/>
          </w:tcPr>
          <w:p w14:paraId="14E7BE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1460/4970*</w:t>
            </w:r>
          </w:p>
        </w:tc>
        <w:tc>
          <w:tcPr>
            <w:tcW w:w="3736" w:type="dxa"/>
          </w:tcPr>
          <w:p w14:paraId="1972A35C"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181FD42" w14:textId="77777777">
        <w:tc>
          <w:tcPr>
            <w:tcW w:w="3736" w:type="dxa"/>
          </w:tcPr>
          <w:p w14:paraId="1E9798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3736" w:type="dxa"/>
          </w:tcPr>
          <w:p w14:paraId="38CE78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Pr>
          <w:p w14:paraId="63F823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17B718F" w14:textId="77777777">
        <w:tc>
          <w:tcPr>
            <w:tcW w:w="3736" w:type="dxa"/>
          </w:tcPr>
          <w:p w14:paraId="32DDB7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самолёта, м</w:t>
            </w:r>
          </w:p>
        </w:tc>
        <w:tc>
          <w:tcPr>
            <w:tcW w:w="3736" w:type="dxa"/>
          </w:tcPr>
          <w:p w14:paraId="7EC255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8,95</w:t>
            </w:r>
          </w:p>
        </w:tc>
        <w:tc>
          <w:tcPr>
            <w:tcW w:w="3736" w:type="dxa"/>
          </w:tcPr>
          <w:p w14:paraId="005D2C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10,38</w:t>
            </w:r>
          </w:p>
        </w:tc>
      </w:tr>
      <w:tr w:rsidR="000F5689" w:rsidRPr="00925F26" w14:paraId="4332A2D0" w14:textId="77777777">
        <w:tc>
          <w:tcPr>
            <w:tcW w:w="3736" w:type="dxa"/>
          </w:tcPr>
          <w:p w14:paraId="47C02D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w:t>
            </w:r>
          </w:p>
        </w:tc>
        <w:tc>
          <w:tcPr>
            <w:tcW w:w="3736" w:type="dxa"/>
          </w:tcPr>
          <w:p w14:paraId="32ADCC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Pr>
          <w:p w14:paraId="508CC3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2BFE633B" w14:textId="77777777">
        <w:tc>
          <w:tcPr>
            <w:tcW w:w="3736" w:type="dxa"/>
          </w:tcPr>
          <w:p w14:paraId="089CDA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Взлётный вес, кг</w:t>
            </w:r>
          </w:p>
        </w:tc>
        <w:tc>
          <w:tcPr>
            <w:tcW w:w="3736" w:type="dxa"/>
          </w:tcPr>
          <w:p w14:paraId="04758C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3986</w:t>
            </w:r>
          </w:p>
        </w:tc>
        <w:tc>
          <w:tcPr>
            <w:tcW w:w="3736" w:type="dxa"/>
          </w:tcPr>
          <w:p w14:paraId="2CA0B2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4197</w:t>
            </w:r>
          </w:p>
        </w:tc>
      </w:tr>
      <w:tr w:rsidR="000F5689" w:rsidRPr="00925F26" w14:paraId="5034B4EE" w14:textId="77777777">
        <w:tc>
          <w:tcPr>
            <w:tcW w:w="3736" w:type="dxa"/>
          </w:tcPr>
          <w:p w14:paraId="59319C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3736" w:type="dxa"/>
          </w:tcPr>
          <w:p w14:paraId="5F4B2B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Pr>
          <w:p w14:paraId="61D1FF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343DB4D" w14:textId="77777777">
        <w:tc>
          <w:tcPr>
            <w:tcW w:w="3736" w:type="dxa"/>
          </w:tcPr>
          <w:p w14:paraId="110DED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горючего, кг</w:t>
            </w:r>
          </w:p>
        </w:tc>
        <w:tc>
          <w:tcPr>
            <w:tcW w:w="3736" w:type="dxa"/>
          </w:tcPr>
          <w:p w14:paraId="5E5EDA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3736" w:type="dxa"/>
          </w:tcPr>
          <w:p w14:paraId="77F4BE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47Q***</w:t>
            </w:r>
          </w:p>
        </w:tc>
      </w:tr>
      <w:tr w:rsidR="000F5689" w:rsidRPr="00925F26" w14:paraId="1698600B" w14:textId="77777777">
        <w:tc>
          <w:tcPr>
            <w:tcW w:w="3736" w:type="dxa"/>
          </w:tcPr>
          <w:p w14:paraId="5D40D4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км/ч: у земли</w:t>
            </w:r>
          </w:p>
        </w:tc>
        <w:tc>
          <w:tcPr>
            <w:tcW w:w="3736" w:type="dxa"/>
          </w:tcPr>
          <w:p w14:paraId="1B269B7D" w14:textId="77777777" w:rsidR="00665165" w:rsidRPr="00925F26" w:rsidRDefault="00665165" w:rsidP="00925F26">
            <w:pPr>
              <w:autoSpaceDE w:val="0"/>
              <w:autoSpaceDN w:val="0"/>
              <w:adjustRightInd w:val="0"/>
              <w:jc w:val="both"/>
              <w:rPr>
                <w:color w:val="000000" w:themeColor="text1"/>
                <w:sz w:val="16"/>
                <w:szCs w:val="16"/>
              </w:rPr>
            </w:pPr>
          </w:p>
        </w:tc>
        <w:tc>
          <w:tcPr>
            <w:tcW w:w="3736" w:type="dxa"/>
          </w:tcPr>
          <w:p w14:paraId="3327BD5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211A7FC2" w14:textId="77777777">
        <w:tc>
          <w:tcPr>
            <w:tcW w:w="3736" w:type="dxa"/>
          </w:tcPr>
          <w:p w14:paraId="6EA955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1-й границе высотности, м на 2-й границе высотности, м</w:t>
            </w:r>
          </w:p>
        </w:tc>
        <w:tc>
          <w:tcPr>
            <w:tcW w:w="3736" w:type="dxa"/>
          </w:tcPr>
          <w:p w14:paraId="715017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542 569/1250 642/2650</w:t>
            </w:r>
          </w:p>
        </w:tc>
        <w:tc>
          <w:tcPr>
            <w:tcW w:w="3736" w:type="dxa"/>
          </w:tcPr>
          <w:p w14:paraId="28A6C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543 595/ - 646/-</w:t>
            </w:r>
          </w:p>
        </w:tc>
      </w:tr>
      <w:tr w:rsidR="000F5689" w:rsidRPr="00925F26" w14:paraId="334A5777" w14:textId="77777777">
        <w:tc>
          <w:tcPr>
            <w:tcW w:w="3736" w:type="dxa"/>
          </w:tcPr>
          <w:p w14:paraId="10A40C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3736" w:type="dxa"/>
          </w:tcPr>
          <w:p w14:paraId="0070CD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w:t>
            </w:r>
          </w:p>
        </w:tc>
        <w:tc>
          <w:tcPr>
            <w:tcW w:w="3736" w:type="dxa"/>
          </w:tcPr>
          <w:p w14:paraId="028E9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5,6</w:t>
            </w:r>
          </w:p>
        </w:tc>
      </w:tr>
      <w:tr w:rsidR="000F5689" w:rsidRPr="00925F26" w14:paraId="59CD0D1D" w14:textId="77777777">
        <w:tc>
          <w:tcPr>
            <w:tcW w:w="3736" w:type="dxa"/>
          </w:tcPr>
          <w:p w14:paraId="460A45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3736" w:type="dxa"/>
          </w:tcPr>
          <w:p w14:paraId="131787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Pr>
          <w:p w14:paraId="08A916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10 800</w:t>
            </w:r>
          </w:p>
        </w:tc>
      </w:tr>
      <w:tr w:rsidR="000F5689" w:rsidRPr="00925F26" w14:paraId="2A4A333E" w14:textId="77777777">
        <w:tc>
          <w:tcPr>
            <w:tcW w:w="3736" w:type="dxa"/>
          </w:tcPr>
          <w:p w14:paraId="2A7CE5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высоте 1000 м, с</w:t>
            </w:r>
          </w:p>
        </w:tc>
        <w:tc>
          <w:tcPr>
            <w:tcW w:w="3736" w:type="dxa"/>
          </w:tcPr>
          <w:p w14:paraId="146A3E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3736" w:type="dxa"/>
          </w:tcPr>
          <w:p w14:paraId="4AEE12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22-23</w:t>
            </w:r>
          </w:p>
        </w:tc>
      </w:tr>
      <w:tr w:rsidR="000F5689" w:rsidRPr="00925F26" w14:paraId="06A091B1" w14:textId="77777777">
        <w:tc>
          <w:tcPr>
            <w:tcW w:w="3736" w:type="dxa"/>
            <w:tcBorders>
              <w:bottom w:val="single" w:sz="12" w:space="0" w:color="auto"/>
            </w:tcBorders>
          </w:tcPr>
          <w:p w14:paraId="7B9C95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количествохкалибр, мм</w:t>
            </w:r>
          </w:p>
        </w:tc>
        <w:tc>
          <w:tcPr>
            <w:tcW w:w="3736" w:type="dxa"/>
            <w:tcBorders>
              <w:bottom w:val="single" w:sz="12" w:space="0" w:color="auto"/>
            </w:tcBorders>
          </w:tcPr>
          <w:p w14:paraId="41282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2x20;2x13</w:t>
            </w:r>
          </w:p>
        </w:tc>
        <w:tc>
          <w:tcPr>
            <w:tcW w:w="3736" w:type="dxa"/>
            <w:tcBorders>
              <w:bottom w:val="single" w:sz="12" w:space="0" w:color="auto"/>
            </w:tcBorders>
          </w:tcPr>
          <w:p w14:paraId="3C4037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2x20;2x13</w:t>
            </w:r>
          </w:p>
        </w:tc>
      </w:tr>
    </w:tbl>
    <w:p w14:paraId="5901E8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Примечание: * Максимальная (одноминутная) мощность мотора- 1760 л.с. на высоте 5500 м.</w:t>
      </w:r>
    </w:p>
    <w:p w14:paraId="394FAE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чрезвычайном режиме - 2100 л.с. * * *Общая ёмкость бензобаков - 642 л, предусмотрены подвесные баки на 300 л (11896).</w:t>
      </w:r>
    </w:p>
    <w:p w14:paraId="40E03F0F" w14:textId="77777777" w:rsidR="00665165" w:rsidRPr="00925F26" w:rsidRDefault="00665165" w:rsidP="00925F26">
      <w:pPr>
        <w:autoSpaceDE w:val="0"/>
        <w:autoSpaceDN w:val="0"/>
        <w:adjustRightInd w:val="0"/>
        <w:jc w:val="both"/>
        <w:rPr>
          <w:color w:val="000000" w:themeColor="text1"/>
          <w:sz w:val="16"/>
          <w:szCs w:val="16"/>
        </w:rPr>
      </w:pPr>
    </w:p>
    <w:p w14:paraId="75DFFB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зам. командующего ВВС маршал авиации Фалалеев и член военного совета ВВС генерал-полковник авиации Шиманов писали письмо N 703158 Шахурину.</w:t>
      </w:r>
    </w:p>
    <w:p w14:paraId="2CB356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войсковых испытаний на боевое применение самолетов ЯК-9Б, проведенных 130 истребительной авиационной дивизией, командующий 1 ВА генерал-полковник авиации Хрюкин и гл. инженер армии генерал-майор ИАС Бондаренко сделали следующее заключение:</w:t>
      </w:r>
    </w:p>
    <w:p w14:paraId="770A10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Самолет ЯК-9б в предъявленном варианте, как истребитель-бомбардировщик, на войсковых испытаниях показал себя неудовлетворительно, как по летно-тактическим, так и по эксплуатационным качествам.</w:t>
      </w:r>
    </w:p>
    <w:p w14:paraId="582F25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Использование самолета ЯК-9б в предъявленном варианте, как истребителя-бомбардировщика, возможно только по площадным и линейным целям и то после устранения всех конструктивных недостатков бомбардировочного вооружения, отмеченных в отчете.</w:t>
      </w:r>
    </w:p>
    <w:p w14:paraId="23CCD8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Дальнейшее строительство самолета ЯК-9б, в предъявленном на войсковые испытания варианте, нецелесообразно.</w:t>
      </w:r>
    </w:p>
    <w:p w14:paraId="049F01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свою очередь гл. маршал авиации, утверждая отчет по результатам войсковых испытаний, отметил:</w:t>
      </w:r>
    </w:p>
    <w:p w14:paraId="631734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истребитель-бомбардировщик при существующем варианте ЯК-9б крайне ограничен для боевого применения, как бомбардировщик, поэтому до устранения всех недостатков, изложенных в акте, в строевые части выпускать нецелесообразно. Летный состав крайне неохотно летает на данном типе самолета. Предложить конструктору самолет довести".</w:t>
      </w:r>
    </w:p>
    <w:p w14:paraId="0C3E76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настоящее время завод N 135, согласно Постановлению ГОКО N 7225 от 29 декабря 1944 года производит переоборудование самолетов ЯК-9 с ВК-105ПФ в варианте истребителя-бомбардировщика, причем на самолетах по-прежнему не устранены дефекты, указанные в акте войсковых испытаний, а бомбовая нагрузка составляет всего 300 кг, вместо требуемых постановлением ГОКО - 400 кг.</w:t>
      </w:r>
    </w:p>
    <w:p w14:paraId="5365D6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связи с этим ВВС согласно принять от НКАП указанные самолеты в нормальном истребительном варианте.</w:t>
      </w:r>
    </w:p>
    <w:p w14:paraId="04F1AC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Первый же самолет с устранением на нем дефектов, выявленных войсковыми испытаниями на боевое применение, прошу направить в ГК НИИ ВВС на испытание (1879,175).</w:t>
      </w:r>
    </w:p>
    <w:p w14:paraId="46703234" w14:textId="77777777" w:rsidR="00665165" w:rsidRPr="00925F26" w:rsidRDefault="00665165" w:rsidP="00925F26">
      <w:pPr>
        <w:autoSpaceDE w:val="0"/>
        <w:autoSpaceDN w:val="0"/>
        <w:adjustRightInd w:val="0"/>
        <w:jc w:val="both"/>
        <w:rPr>
          <w:color w:val="000000" w:themeColor="text1"/>
          <w:sz w:val="16"/>
          <w:szCs w:val="16"/>
        </w:rPr>
      </w:pPr>
    </w:p>
    <w:p w14:paraId="5942CA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 Анохин выполнял контрольные испытания истребителя Як-3 на прочность. Разрушение самолёта не предусматривалось, но и не исключалось. Надо было сделать 12 режимов с перегрузками. На пятом режиме у самолёта отломилось крыло. Лётчику стоило огромных усилий и самообладания сбросить фонарь и выпрыгнуть с парашютом из беспорядочно падающего к земле самолёта. Он получил тяжёлые ранения и потерял левый глаз. Через два месяца, после выхода из госпиталя, перед лётчиком стал выбор дальнейшего жизненного пути. Решение однозначно: только летать! Начинаются долгие месяцы усиленных тренировок. Он всячески разрабатывает глубинное зрение. И эти усилия оказались не напрасны. Уже в декабре возвращается к лётно-испытательной работе в ЛИИ и сразу же подключается к проведению самых сложных и ответственных испытаний (5996).</w:t>
      </w:r>
    </w:p>
    <w:p w14:paraId="726394B7" w14:textId="77777777" w:rsidR="00665165" w:rsidRPr="00925F26" w:rsidRDefault="00665165" w:rsidP="00925F26">
      <w:pPr>
        <w:autoSpaceDE w:val="0"/>
        <w:autoSpaceDN w:val="0"/>
        <w:adjustRightInd w:val="0"/>
        <w:jc w:val="both"/>
        <w:rPr>
          <w:color w:val="000000" w:themeColor="text1"/>
          <w:sz w:val="16"/>
          <w:szCs w:val="16"/>
        </w:rPr>
      </w:pPr>
    </w:p>
    <w:p w14:paraId="714D2C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завод № 292 получил указание завершить производство Як-3 с мотором ВК-105ПФ-2 и перейти на выпуск самолетов с ВК-107А с металлическими крылом и оперением. По плану в августе 1945 года завод №292 должен был выпустить десять самолетов такой модификации, но построили лишь четыре машины (включая одну для статиспытаний), и то в 1946 году (12047).</w:t>
      </w:r>
    </w:p>
    <w:p w14:paraId="38B92240" w14:textId="77777777" w:rsidR="00665165" w:rsidRPr="00925F26" w:rsidRDefault="00665165" w:rsidP="00925F26">
      <w:pPr>
        <w:autoSpaceDE w:val="0"/>
        <w:autoSpaceDN w:val="0"/>
        <w:adjustRightInd w:val="0"/>
        <w:jc w:val="both"/>
        <w:rPr>
          <w:color w:val="000000" w:themeColor="text1"/>
          <w:sz w:val="16"/>
          <w:szCs w:val="16"/>
        </w:rPr>
      </w:pPr>
    </w:p>
    <w:p w14:paraId="3163CCE3" w14:textId="77777777" w:rsidR="006825F8" w:rsidRPr="00925F26" w:rsidRDefault="006825F8" w:rsidP="00925F26">
      <w:pPr>
        <w:pStyle w:val="Bodytext1"/>
        <w:shd w:val="clear" w:color="auto" w:fill="auto"/>
        <w:spacing w:line="240" w:lineRule="auto"/>
        <w:ind w:firstLine="0"/>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мае 1945 г. началось проек</w:t>
      </w:r>
      <w:r w:rsidRPr="00925F26">
        <w:rPr>
          <w:rFonts w:ascii="Times New Roman" w:hAnsi="Times New Roman" w:cs="Times New Roman"/>
          <w:color w:val="000000" w:themeColor="text1"/>
          <w:sz w:val="16"/>
          <w:szCs w:val="16"/>
        </w:rPr>
        <w:softHyphen/>
        <w:t>тирование Як-15, но уже в начале 1944 г. в состав куриру</w:t>
      </w:r>
      <w:r w:rsidRPr="00925F26">
        <w:rPr>
          <w:rFonts w:ascii="Times New Roman" w:hAnsi="Times New Roman" w:cs="Times New Roman"/>
          <w:color w:val="000000" w:themeColor="text1"/>
          <w:sz w:val="16"/>
          <w:szCs w:val="16"/>
        </w:rPr>
        <w:softHyphen/>
        <w:t xml:space="preserve">емого им НИИ-1 была включена бригада </w:t>
      </w:r>
      <w:r w:rsidRPr="00925F26">
        <w:rPr>
          <w:rFonts w:ascii="Times New Roman" w:hAnsi="Times New Roman" w:cs="Times New Roman"/>
          <w:color w:val="000000" w:themeColor="text1"/>
          <w:sz w:val="16"/>
          <w:szCs w:val="16"/>
          <w:lang w:val="en-US"/>
        </w:rPr>
        <w:t>A</w:t>
      </w:r>
      <w:r w:rsidRPr="00925F26">
        <w:rPr>
          <w:rFonts w:ascii="Times New Roman" w:hAnsi="Times New Roman" w:cs="Times New Roman"/>
          <w:color w:val="000000" w:themeColor="text1"/>
          <w:sz w:val="16"/>
          <w:szCs w:val="16"/>
        </w:rPr>
        <w:t>.</w:t>
      </w:r>
      <w:r w:rsidRPr="00925F26">
        <w:rPr>
          <w:rFonts w:ascii="Times New Roman" w:hAnsi="Times New Roman" w:cs="Times New Roman"/>
          <w:color w:val="000000" w:themeColor="text1"/>
          <w:sz w:val="16"/>
          <w:szCs w:val="16"/>
          <w:lang w:val="en-US"/>
        </w:rPr>
        <w:t>M</w:t>
      </w:r>
      <w:r w:rsidRPr="00925F26">
        <w:rPr>
          <w:rFonts w:ascii="Times New Roman" w:hAnsi="Times New Roman" w:cs="Times New Roman"/>
          <w:color w:val="000000" w:themeColor="text1"/>
          <w:sz w:val="16"/>
          <w:szCs w:val="16"/>
        </w:rPr>
        <w:t>. Люльки, которая занималась как раз проектированием отечественных ТРД (18742).</w:t>
      </w:r>
    </w:p>
    <w:p w14:paraId="5CB7FFEC" w14:textId="77777777" w:rsidR="006825F8" w:rsidRPr="00925F26" w:rsidRDefault="006825F8" w:rsidP="00925F26">
      <w:pPr>
        <w:jc w:val="both"/>
        <w:rPr>
          <w:color w:val="000000" w:themeColor="text1"/>
          <w:sz w:val="16"/>
          <w:szCs w:val="16"/>
        </w:rPr>
      </w:pPr>
    </w:p>
    <w:p w14:paraId="65E712F1" w14:textId="77777777" w:rsidR="003E5301" w:rsidRPr="001A0BAA" w:rsidRDefault="003E5301" w:rsidP="003E5301">
      <w:pPr>
        <w:jc w:val="both"/>
        <w:rPr>
          <w:color w:val="0070C0"/>
          <w:sz w:val="16"/>
          <w:szCs w:val="16"/>
        </w:rPr>
      </w:pPr>
      <w:r w:rsidRPr="001A0BAA">
        <w:rPr>
          <w:color w:val="0070C0"/>
          <w:sz w:val="16"/>
          <w:szCs w:val="16"/>
        </w:rPr>
        <w:t>В мае 1945 г. на заводские испытания поступил второй экземпляр истребителя И-250, который совершил первый полет 26 мая 1945 г. под управлением А.П.Деева. Однако 5 июля 1945 г. при выполнении очередного испытательного полета первый экземпляр И-250 потерпел катастрофу. Из-за большой перегрузки разрушился стабилизатор. Летчик-испытатель А.П.Деев покинул самолет, но из-за малой высоты купол парашюта наполнился слишком поздно (24925).</w:t>
      </w:r>
    </w:p>
    <w:p w14:paraId="6CCE81FD" w14:textId="77777777" w:rsidR="003E5301" w:rsidRPr="001A0BAA" w:rsidRDefault="003E5301" w:rsidP="003E5301">
      <w:pPr>
        <w:jc w:val="both"/>
        <w:rPr>
          <w:color w:val="0070C0"/>
          <w:sz w:val="16"/>
          <w:szCs w:val="16"/>
        </w:rPr>
      </w:pPr>
    </w:p>
    <w:p w14:paraId="19E1EA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мая 1945 ОКБ А.И.М. разрабатывало проект И-260 с двумя двигателями на консолях, но с началом работ по И-300 - свернули (7418, 28).</w:t>
      </w:r>
    </w:p>
    <w:p w14:paraId="0AE6AFEB" w14:textId="77777777" w:rsidR="00665165" w:rsidRPr="00925F26" w:rsidRDefault="00665165" w:rsidP="00925F26">
      <w:pPr>
        <w:autoSpaceDE w:val="0"/>
        <w:autoSpaceDN w:val="0"/>
        <w:adjustRightInd w:val="0"/>
        <w:jc w:val="both"/>
        <w:rPr>
          <w:color w:val="000000" w:themeColor="text1"/>
          <w:sz w:val="16"/>
          <w:szCs w:val="16"/>
        </w:rPr>
      </w:pPr>
    </w:p>
    <w:p w14:paraId="4EF78E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на заводские испытания поступил второй экземпляр истребителя И-250, который совершил первый полет 26 мая 1945 г. под управлением А.П.Деева (6000).</w:t>
      </w:r>
    </w:p>
    <w:p w14:paraId="0A1C230E" w14:textId="77777777" w:rsidR="00665165" w:rsidRPr="00925F26" w:rsidRDefault="00665165" w:rsidP="00925F26">
      <w:pPr>
        <w:autoSpaceDE w:val="0"/>
        <w:autoSpaceDN w:val="0"/>
        <w:adjustRightInd w:val="0"/>
        <w:jc w:val="both"/>
        <w:rPr>
          <w:color w:val="000000" w:themeColor="text1"/>
          <w:sz w:val="16"/>
          <w:szCs w:val="16"/>
        </w:rPr>
      </w:pPr>
    </w:p>
    <w:p w14:paraId="747991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на заводских испытаниях Як-3РД с РД-1 была достигнута скорость 782 км/ч (237,206).</w:t>
      </w:r>
    </w:p>
    <w:p w14:paraId="76C42572" w14:textId="77777777" w:rsidR="00665165" w:rsidRPr="00925F26" w:rsidRDefault="00665165" w:rsidP="00925F26">
      <w:pPr>
        <w:autoSpaceDE w:val="0"/>
        <w:autoSpaceDN w:val="0"/>
        <w:adjustRightInd w:val="0"/>
        <w:jc w:val="both"/>
        <w:rPr>
          <w:color w:val="000000" w:themeColor="text1"/>
          <w:sz w:val="16"/>
          <w:szCs w:val="16"/>
        </w:rPr>
      </w:pPr>
    </w:p>
    <w:p w14:paraId="5DDD71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были подготовлены справки по характеристикам серийных самолетов:</w:t>
      </w:r>
    </w:p>
    <w:p w14:paraId="1346526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0F5689" w:rsidRPr="00925F26" w14:paraId="6472CD9F" w14:textId="77777777">
        <w:tc>
          <w:tcPr>
            <w:tcW w:w="4219" w:type="dxa"/>
            <w:tcBorders>
              <w:top w:val="single" w:sz="12" w:space="0" w:color="auto"/>
            </w:tcBorders>
            <w:shd w:val="clear" w:color="auto" w:fill="FFFFFF"/>
          </w:tcPr>
          <w:p w14:paraId="0BD3A4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 с мототром ВК-107А</w:t>
            </w:r>
          </w:p>
        </w:tc>
        <w:tc>
          <w:tcPr>
            <w:tcW w:w="4253" w:type="dxa"/>
            <w:tcBorders>
              <w:top w:val="single" w:sz="12" w:space="0" w:color="auto"/>
            </w:tcBorders>
            <w:shd w:val="clear" w:color="auto" w:fill="FFFFFF"/>
          </w:tcPr>
          <w:p w14:paraId="51527C2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01930AC" w14:textId="77777777">
        <w:tc>
          <w:tcPr>
            <w:tcW w:w="4219" w:type="dxa"/>
            <w:shd w:val="clear" w:color="auto" w:fill="FFFFFF"/>
          </w:tcPr>
          <w:p w14:paraId="23472F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7CF9A4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531 км/час</w:t>
            </w:r>
          </w:p>
        </w:tc>
      </w:tr>
      <w:tr w:rsidR="000F5689" w:rsidRPr="00925F26" w14:paraId="7B75903C" w14:textId="77777777">
        <w:tc>
          <w:tcPr>
            <w:tcW w:w="4219" w:type="dxa"/>
            <w:shd w:val="clear" w:color="auto" w:fill="FFFFFF"/>
          </w:tcPr>
          <w:p w14:paraId="316CE5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5100 мт</w:t>
            </w:r>
          </w:p>
        </w:tc>
        <w:tc>
          <w:tcPr>
            <w:tcW w:w="4253" w:type="dxa"/>
            <w:shd w:val="clear" w:color="auto" w:fill="FFFFFF"/>
          </w:tcPr>
          <w:p w14:paraId="399A9C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679</w:t>
            </w:r>
          </w:p>
        </w:tc>
      </w:tr>
      <w:tr w:rsidR="000F5689" w:rsidRPr="00925F26" w14:paraId="6BDDB5A9" w14:textId="77777777">
        <w:tc>
          <w:tcPr>
            <w:tcW w:w="4219" w:type="dxa"/>
            <w:shd w:val="clear" w:color="auto" w:fill="FFFFFF"/>
          </w:tcPr>
          <w:p w14:paraId="682B50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под"ёма на высоту 5000 м</w:t>
            </w:r>
          </w:p>
        </w:tc>
        <w:tc>
          <w:tcPr>
            <w:tcW w:w="4253" w:type="dxa"/>
            <w:shd w:val="clear" w:color="auto" w:fill="FFFFFF"/>
          </w:tcPr>
          <w:p w14:paraId="60A9C4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 мин</w:t>
            </w:r>
            <w:r w:rsidRPr="00925F26">
              <w:rPr>
                <w:smallCaps/>
                <w:color w:val="000000" w:themeColor="text1"/>
                <w:sz w:val="16"/>
                <w:szCs w:val="16"/>
              </w:rPr>
              <w:t>.</w:t>
            </w:r>
          </w:p>
        </w:tc>
      </w:tr>
      <w:tr w:rsidR="000F5689" w:rsidRPr="00925F26" w14:paraId="4EC8C816" w14:textId="77777777">
        <w:tc>
          <w:tcPr>
            <w:tcW w:w="4219" w:type="dxa"/>
            <w:shd w:val="clear" w:color="auto" w:fill="FFFFFF"/>
          </w:tcPr>
          <w:p w14:paraId="338F0A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11A054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11600 м</w:t>
            </w:r>
          </w:p>
        </w:tc>
      </w:tr>
      <w:tr w:rsidR="000F5689" w:rsidRPr="00925F26" w14:paraId="47A3402E" w14:textId="77777777">
        <w:tc>
          <w:tcPr>
            <w:tcW w:w="4219" w:type="dxa"/>
            <w:shd w:val="clear" w:color="auto" w:fill="FFFFFF"/>
          </w:tcPr>
          <w:p w14:paraId="07B0DA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дальности на 0,9 максимальн. скорости на высоте 5000 мт.</w:t>
            </w:r>
          </w:p>
        </w:tc>
        <w:tc>
          <w:tcPr>
            <w:tcW w:w="4253" w:type="dxa"/>
            <w:shd w:val="clear" w:color="auto" w:fill="FFFFFF"/>
          </w:tcPr>
          <w:p w14:paraId="26ACA0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675 км</w:t>
            </w:r>
          </w:p>
        </w:tc>
      </w:tr>
      <w:tr w:rsidR="000F5689" w:rsidRPr="00925F26" w14:paraId="307BCBDB" w14:textId="77777777">
        <w:tc>
          <w:tcPr>
            <w:tcW w:w="4219" w:type="dxa"/>
            <w:shd w:val="clear" w:color="auto" w:fill="FFFFFF"/>
          </w:tcPr>
          <w:p w14:paraId="5CE20A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нормальный</w:t>
            </w:r>
          </w:p>
        </w:tc>
        <w:tc>
          <w:tcPr>
            <w:tcW w:w="4253" w:type="dxa"/>
            <w:shd w:val="clear" w:color="auto" w:fill="FFFFFF"/>
          </w:tcPr>
          <w:p w14:paraId="66A7051B" w14:textId="77777777" w:rsidR="00665165" w:rsidRPr="00925F26" w:rsidRDefault="00665165" w:rsidP="00925F26">
            <w:pPr>
              <w:autoSpaceDE w:val="0"/>
              <w:autoSpaceDN w:val="0"/>
              <w:adjustRightInd w:val="0"/>
              <w:jc w:val="both"/>
              <w:rPr>
                <w:color w:val="000000" w:themeColor="text1"/>
                <w:sz w:val="16"/>
                <w:szCs w:val="16"/>
                <w:vertAlign w:val="superscript"/>
              </w:rPr>
            </w:pPr>
            <w:r w:rsidRPr="00925F26">
              <w:rPr>
                <w:color w:val="000000" w:themeColor="text1"/>
                <w:sz w:val="16"/>
                <w:szCs w:val="16"/>
              </w:rPr>
              <w:t>3175 кг</w:t>
            </w:r>
          </w:p>
        </w:tc>
      </w:tr>
      <w:tr w:rsidR="000F5689" w:rsidRPr="00925F26" w14:paraId="67782639" w14:textId="77777777">
        <w:tc>
          <w:tcPr>
            <w:tcW w:w="4219" w:type="dxa"/>
            <w:shd w:val="clear" w:color="auto" w:fill="FFFFFF"/>
          </w:tcPr>
          <w:p w14:paraId="18484B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4253" w:type="dxa"/>
            <w:shd w:val="clear" w:color="auto" w:fill="FFFFFF"/>
          </w:tcPr>
          <w:p w14:paraId="288092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мотор-пупка калибра 20 мм</w:t>
            </w:r>
          </w:p>
        </w:tc>
      </w:tr>
      <w:tr w:rsidR="000F5689" w:rsidRPr="00925F26" w14:paraId="287D2A2B" w14:textId="77777777">
        <w:tc>
          <w:tcPr>
            <w:tcW w:w="4219" w:type="dxa"/>
            <w:shd w:val="clear" w:color="auto" w:fill="FFFFFF"/>
          </w:tcPr>
          <w:p w14:paraId="075F4BA7"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6DE5EB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синхронных пулемёта калибра 12,7 мм</w:t>
            </w:r>
          </w:p>
        </w:tc>
      </w:tr>
      <w:tr w:rsidR="000F5689" w:rsidRPr="00925F26" w14:paraId="3E961E46" w14:textId="77777777">
        <w:tc>
          <w:tcPr>
            <w:tcW w:w="4219" w:type="dxa"/>
            <w:shd w:val="clear" w:color="auto" w:fill="FFFFFF"/>
          </w:tcPr>
          <w:p w14:paraId="64C78C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565CBB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заводских испытаниях самолёта № 3929 выпуска завода № 166 от 5 декабря 1944 года.</w:t>
            </w:r>
          </w:p>
        </w:tc>
      </w:tr>
      <w:tr w:rsidR="000F5689" w:rsidRPr="00925F26" w14:paraId="4BCC64BE" w14:textId="77777777">
        <w:tc>
          <w:tcPr>
            <w:tcW w:w="4219" w:type="dxa"/>
            <w:shd w:val="clear" w:color="auto" w:fill="FFFFFF"/>
          </w:tcPr>
          <w:p w14:paraId="20142BAA"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40DBD0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указана по результатам госиспытаний НИИ ВВС КА серийного самолёта</w:t>
            </w:r>
          </w:p>
        </w:tc>
      </w:tr>
      <w:tr w:rsidR="000F5689" w:rsidRPr="00925F26" w14:paraId="211DEEDF" w14:textId="77777777">
        <w:tc>
          <w:tcPr>
            <w:tcW w:w="4219" w:type="dxa"/>
            <w:shd w:val="clear" w:color="auto" w:fill="FFFFFF"/>
          </w:tcPr>
          <w:p w14:paraId="7B41B6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с мотором М-105ПФ</w:t>
            </w:r>
          </w:p>
        </w:tc>
        <w:tc>
          <w:tcPr>
            <w:tcW w:w="4253" w:type="dxa"/>
            <w:shd w:val="clear" w:color="auto" w:fill="FFFFFF"/>
          </w:tcPr>
          <w:p w14:paraId="22FB635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92D9253" w14:textId="77777777">
        <w:tc>
          <w:tcPr>
            <w:tcW w:w="4219" w:type="dxa"/>
            <w:shd w:val="clear" w:color="auto" w:fill="FFFFFF"/>
          </w:tcPr>
          <w:p w14:paraId="1461AF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029DC2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 км/час</w:t>
            </w:r>
          </w:p>
        </w:tc>
      </w:tr>
      <w:tr w:rsidR="000F5689" w:rsidRPr="00925F26" w14:paraId="3B279010" w14:textId="77777777">
        <w:tc>
          <w:tcPr>
            <w:tcW w:w="4219" w:type="dxa"/>
            <w:shd w:val="clear" w:color="auto" w:fill="FFFFFF"/>
          </w:tcPr>
          <w:p w14:paraId="645383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4100 м</w:t>
            </w:r>
          </w:p>
        </w:tc>
        <w:tc>
          <w:tcPr>
            <w:tcW w:w="4253" w:type="dxa"/>
            <w:shd w:val="clear" w:color="auto" w:fill="FFFFFF"/>
          </w:tcPr>
          <w:p w14:paraId="72EE4D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650 -•-</w:t>
            </w:r>
          </w:p>
        </w:tc>
      </w:tr>
      <w:tr w:rsidR="000F5689" w:rsidRPr="00925F26" w14:paraId="55C3BE14" w14:textId="77777777">
        <w:tc>
          <w:tcPr>
            <w:tcW w:w="4219" w:type="dxa"/>
            <w:shd w:val="clear" w:color="auto" w:fill="FFFFFF"/>
          </w:tcPr>
          <w:p w14:paraId="77CE8C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под”ёма</w:t>
            </w:r>
            <w:proofErr w:type="gramEnd"/>
            <w:r w:rsidRPr="00925F26">
              <w:rPr>
                <w:color w:val="000000" w:themeColor="text1"/>
                <w:sz w:val="16"/>
                <w:szCs w:val="16"/>
              </w:rPr>
              <w:t xml:space="preserve"> на высоту 5000 м</w:t>
            </w:r>
          </w:p>
        </w:tc>
        <w:tc>
          <w:tcPr>
            <w:tcW w:w="4253" w:type="dxa"/>
            <w:shd w:val="clear" w:color="auto" w:fill="FFFFFF"/>
          </w:tcPr>
          <w:p w14:paraId="4A024F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4,6 минут</w:t>
            </w:r>
          </w:p>
        </w:tc>
      </w:tr>
      <w:tr w:rsidR="000F5689" w:rsidRPr="00925F26" w14:paraId="5BCECE62" w14:textId="77777777">
        <w:tc>
          <w:tcPr>
            <w:tcW w:w="4219" w:type="dxa"/>
            <w:shd w:val="clear" w:color="auto" w:fill="FFFFFF"/>
          </w:tcPr>
          <w:p w14:paraId="515FFA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6A1251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10800 м</w:t>
            </w:r>
          </w:p>
        </w:tc>
      </w:tr>
      <w:tr w:rsidR="000F5689" w:rsidRPr="00925F26" w14:paraId="4350340A" w14:textId="77777777">
        <w:tc>
          <w:tcPr>
            <w:tcW w:w="4219" w:type="dxa"/>
            <w:shd w:val="clear" w:color="auto" w:fill="FFFFFF"/>
          </w:tcPr>
          <w:p w14:paraId="27D068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0,9 максимальн. скорости на высоте 4350 м</w:t>
            </w:r>
          </w:p>
        </w:tc>
        <w:tc>
          <w:tcPr>
            <w:tcW w:w="4253" w:type="dxa"/>
            <w:shd w:val="clear" w:color="auto" w:fill="FFFFFF"/>
          </w:tcPr>
          <w:p w14:paraId="014EB3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 км</w:t>
            </w:r>
          </w:p>
        </w:tc>
      </w:tr>
      <w:tr w:rsidR="000F5689" w:rsidRPr="00925F26" w14:paraId="6269813A" w14:textId="77777777">
        <w:tc>
          <w:tcPr>
            <w:tcW w:w="4219" w:type="dxa"/>
            <w:shd w:val="clear" w:color="auto" w:fill="FFFFFF"/>
          </w:tcPr>
          <w:p w14:paraId="76E939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Полётный вес нормальный</w:t>
            </w:r>
          </w:p>
        </w:tc>
        <w:tc>
          <w:tcPr>
            <w:tcW w:w="4253" w:type="dxa"/>
            <w:shd w:val="clear" w:color="auto" w:fill="FFFFFF"/>
          </w:tcPr>
          <w:p w14:paraId="6C610E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2333 кг</w:t>
            </w:r>
          </w:p>
        </w:tc>
      </w:tr>
      <w:tr w:rsidR="000F5689" w:rsidRPr="00925F26" w14:paraId="574D92C4" w14:textId="77777777">
        <w:tc>
          <w:tcPr>
            <w:tcW w:w="4219" w:type="dxa"/>
            <w:shd w:val="clear" w:color="auto" w:fill="FFFFFF"/>
          </w:tcPr>
          <w:p w14:paraId="048F86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4253" w:type="dxa"/>
            <w:shd w:val="clear" w:color="auto" w:fill="FFFFFF"/>
          </w:tcPr>
          <w:p w14:paraId="113272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мотор-пушка калибра 20 мм</w:t>
            </w:r>
          </w:p>
        </w:tc>
      </w:tr>
      <w:tr w:rsidR="000F5689" w:rsidRPr="00925F26" w14:paraId="345FF12B" w14:textId="77777777">
        <w:tc>
          <w:tcPr>
            <w:tcW w:w="4219" w:type="dxa"/>
            <w:shd w:val="clear" w:color="auto" w:fill="FFFFFF"/>
          </w:tcPr>
          <w:p w14:paraId="56045EB1"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00B17E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синхронных пулемёта калибра 12,7 мм</w:t>
            </w:r>
          </w:p>
        </w:tc>
      </w:tr>
      <w:tr w:rsidR="000F5689" w:rsidRPr="00925F26" w14:paraId="5A23C6C6" w14:textId="77777777">
        <w:tc>
          <w:tcPr>
            <w:tcW w:w="4219" w:type="dxa"/>
            <w:shd w:val="clear" w:color="auto" w:fill="FFFFFF"/>
          </w:tcPr>
          <w:p w14:paraId="5FB3BD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0D7EF2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заводских испытаниях самолёта № 2229, выпуска заво</w:t>
            </w:r>
            <w:r w:rsidRPr="00925F26">
              <w:rPr>
                <w:color w:val="000000" w:themeColor="text1"/>
                <w:sz w:val="16"/>
                <w:szCs w:val="16"/>
              </w:rPr>
              <w:softHyphen/>
              <w:t>да № 292 от 6 декабря 1944 г.</w:t>
            </w:r>
          </w:p>
        </w:tc>
      </w:tr>
      <w:tr w:rsidR="000F5689" w:rsidRPr="00925F26" w14:paraId="18CF6CC9" w14:textId="77777777">
        <w:tc>
          <w:tcPr>
            <w:tcW w:w="4219" w:type="dxa"/>
          </w:tcPr>
          <w:p w14:paraId="298D8B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 с мотором ВК-105ПФ с пушкой 37 мм</w:t>
            </w:r>
          </w:p>
        </w:tc>
        <w:tc>
          <w:tcPr>
            <w:tcW w:w="4253" w:type="dxa"/>
          </w:tcPr>
          <w:p w14:paraId="3631351D"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A41EAA1" w14:textId="77777777">
        <w:tc>
          <w:tcPr>
            <w:tcW w:w="4219" w:type="dxa"/>
            <w:shd w:val="clear" w:color="auto" w:fill="FFFFFF"/>
          </w:tcPr>
          <w:p w14:paraId="688D06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054F9CE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537 км/час</w:t>
            </w:r>
          </w:p>
        </w:tc>
      </w:tr>
      <w:tr w:rsidR="000F5689" w:rsidRPr="00925F26" w14:paraId="47913F07" w14:textId="77777777">
        <w:tc>
          <w:tcPr>
            <w:tcW w:w="4219" w:type="dxa"/>
            <w:shd w:val="clear" w:color="auto" w:fill="FFFFFF"/>
          </w:tcPr>
          <w:p w14:paraId="2DD317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3700 м</w:t>
            </w:r>
          </w:p>
        </w:tc>
        <w:tc>
          <w:tcPr>
            <w:tcW w:w="4253" w:type="dxa"/>
            <w:shd w:val="clear" w:color="auto" w:fill="FFFFFF"/>
          </w:tcPr>
          <w:p w14:paraId="163D45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598 -»-</w:t>
            </w:r>
          </w:p>
        </w:tc>
      </w:tr>
      <w:tr w:rsidR="000F5689" w:rsidRPr="00925F26" w14:paraId="017C60B8" w14:textId="77777777">
        <w:tc>
          <w:tcPr>
            <w:tcW w:w="4219" w:type="dxa"/>
            <w:shd w:val="clear" w:color="auto" w:fill="FFFFFF"/>
          </w:tcPr>
          <w:p w14:paraId="2A2BD3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под”ема</w:t>
            </w:r>
            <w:proofErr w:type="gramEnd"/>
            <w:r w:rsidRPr="00925F26">
              <w:rPr>
                <w:color w:val="000000" w:themeColor="text1"/>
                <w:sz w:val="16"/>
                <w:szCs w:val="16"/>
              </w:rPr>
              <w:t xml:space="preserve"> на высоту 5000 м</w:t>
            </w:r>
          </w:p>
        </w:tc>
        <w:tc>
          <w:tcPr>
            <w:tcW w:w="4253" w:type="dxa"/>
            <w:shd w:val="clear" w:color="auto" w:fill="FFFFFF"/>
          </w:tcPr>
          <w:p w14:paraId="6E4C55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 минут</w:t>
            </w:r>
          </w:p>
        </w:tc>
      </w:tr>
      <w:tr w:rsidR="000F5689" w:rsidRPr="00925F26" w14:paraId="2A79F2F2" w14:textId="77777777">
        <w:tc>
          <w:tcPr>
            <w:tcW w:w="4219" w:type="dxa"/>
            <w:shd w:val="clear" w:color="auto" w:fill="FFFFFF"/>
          </w:tcPr>
          <w:p w14:paraId="1B9724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106C6C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10000 м</w:t>
            </w:r>
          </w:p>
        </w:tc>
      </w:tr>
      <w:tr w:rsidR="000F5689" w:rsidRPr="00925F26" w14:paraId="586F83EA" w14:textId="77777777">
        <w:tc>
          <w:tcPr>
            <w:tcW w:w="4219" w:type="dxa"/>
            <w:shd w:val="clear" w:color="auto" w:fill="FFFFFF"/>
          </w:tcPr>
          <w:p w14:paraId="236A03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0,9 максимальной скорости на высоте 5000 м</w:t>
            </w:r>
          </w:p>
        </w:tc>
        <w:tc>
          <w:tcPr>
            <w:tcW w:w="4253" w:type="dxa"/>
            <w:shd w:val="clear" w:color="auto" w:fill="FFFFFF"/>
          </w:tcPr>
          <w:p w14:paraId="350D40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 км</w:t>
            </w:r>
          </w:p>
        </w:tc>
      </w:tr>
      <w:tr w:rsidR="000F5689" w:rsidRPr="00925F26" w14:paraId="76A1C1AE" w14:textId="77777777">
        <w:tc>
          <w:tcPr>
            <w:tcW w:w="4219" w:type="dxa"/>
            <w:shd w:val="clear" w:color="auto" w:fill="FFFFFF"/>
          </w:tcPr>
          <w:p w14:paraId="4924864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Полётный вес нормальный</w:t>
            </w:r>
          </w:p>
        </w:tc>
        <w:tc>
          <w:tcPr>
            <w:tcW w:w="4253" w:type="dxa"/>
            <w:shd w:val="clear" w:color="auto" w:fill="FFFFFF"/>
          </w:tcPr>
          <w:p w14:paraId="19413B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3035 кг</w:t>
            </w:r>
          </w:p>
        </w:tc>
      </w:tr>
      <w:tr w:rsidR="000F5689" w:rsidRPr="00925F26" w14:paraId="151C3F43" w14:textId="77777777">
        <w:tc>
          <w:tcPr>
            <w:tcW w:w="4219" w:type="dxa"/>
            <w:shd w:val="clear" w:color="auto" w:fill="FFFFFF"/>
          </w:tcPr>
          <w:p w14:paraId="369025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4253" w:type="dxa"/>
            <w:shd w:val="clear" w:color="auto" w:fill="FFFFFF"/>
          </w:tcPr>
          <w:p w14:paraId="5308D6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мотор-пушка калибра 37 мм</w:t>
            </w:r>
          </w:p>
        </w:tc>
      </w:tr>
      <w:tr w:rsidR="000F5689" w:rsidRPr="00925F26" w14:paraId="43617411" w14:textId="77777777">
        <w:tc>
          <w:tcPr>
            <w:tcW w:w="4219" w:type="dxa"/>
            <w:shd w:val="clear" w:color="auto" w:fill="FFFFFF"/>
          </w:tcPr>
          <w:p w14:paraId="77B3A4DC"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41C87C9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синхронный пулемёт калибра 12,7 мм</w:t>
            </w:r>
          </w:p>
        </w:tc>
      </w:tr>
      <w:tr w:rsidR="000F5689" w:rsidRPr="00925F26" w14:paraId="3D616F71" w14:textId="77777777">
        <w:tc>
          <w:tcPr>
            <w:tcW w:w="4219" w:type="dxa"/>
            <w:shd w:val="clear" w:color="auto" w:fill="FFFFFF"/>
          </w:tcPr>
          <w:p w14:paraId="0CAE92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203C1E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ЛИИ о контрольных испытаниях серийного самолёта № 1028 выпуска января 1944 года</w:t>
            </w:r>
          </w:p>
        </w:tc>
      </w:tr>
      <w:tr w:rsidR="000F5689" w:rsidRPr="00925F26" w14:paraId="20F4B8F3" w14:textId="77777777">
        <w:tc>
          <w:tcPr>
            <w:tcW w:w="4219" w:type="dxa"/>
            <w:shd w:val="clear" w:color="auto" w:fill="FFFFFF"/>
          </w:tcPr>
          <w:p w14:paraId="5DFD14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Як-9 с мотором ВК-105БПФ дальний</w:t>
            </w:r>
          </w:p>
        </w:tc>
        <w:tc>
          <w:tcPr>
            <w:tcW w:w="4253" w:type="dxa"/>
            <w:shd w:val="clear" w:color="auto" w:fill="FFFFFF"/>
          </w:tcPr>
          <w:p w14:paraId="511B576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15622BB1" w14:textId="77777777">
        <w:tc>
          <w:tcPr>
            <w:tcW w:w="4219" w:type="dxa"/>
            <w:shd w:val="clear" w:color="auto" w:fill="FFFFFF"/>
          </w:tcPr>
          <w:p w14:paraId="676814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1EE369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522 км/час</w:t>
            </w:r>
          </w:p>
        </w:tc>
      </w:tr>
      <w:tr w:rsidR="000F5689" w:rsidRPr="00925F26" w14:paraId="26A3196B" w14:textId="77777777">
        <w:tc>
          <w:tcPr>
            <w:tcW w:w="4219" w:type="dxa"/>
            <w:shd w:val="clear" w:color="auto" w:fill="FFFFFF"/>
          </w:tcPr>
          <w:p w14:paraId="7232F3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3900 м</w:t>
            </w:r>
          </w:p>
        </w:tc>
        <w:tc>
          <w:tcPr>
            <w:tcW w:w="4253" w:type="dxa"/>
            <w:shd w:val="clear" w:color="auto" w:fill="FFFFFF"/>
          </w:tcPr>
          <w:p w14:paraId="27ACAE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534</w:t>
            </w:r>
          </w:p>
        </w:tc>
      </w:tr>
      <w:tr w:rsidR="000F5689" w:rsidRPr="00925F26" w14:paraId="694B4E1D" w14:textId="77777777">
        <w:tc>
          <w:tcPr>
            <w:tcW w:w="4219" w:type="dxa"/>
            <w:shd w:val="clear" w:color="auto" w:fill="FFFFFF"/>
          </w:tcPr>
          <w:p w14:paraId="5A12D7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0,7 максималъной скорости</w:t>
            </w:r>
          </w:p>
        </w:tc>
        <w:tc>
          <w:tcPr>
            <w:tcW w:w="4253" w:type="dxa"/>
            <w:shd w:val="clear" w:color="auto" w:fill="FFFFFF"/>
          </w:tcPr>
          <w:p w14:paraId="1FD92A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2285 км</w:t>
            </w:r>
          </w:p>
        </w:tc>
      </w:tr>
      <w:tr w:rsidR="000F5689" w:rsidRPr="00925F26" w14:paraId="4D91C602" w14:textId="77777777">
        <w:tc>
          <w:tcPr>
            <w:tcW w:w="4219" w:type="dxa"/>
            <w:shd w:val="clear" w:color="auto" w:fill="FFFFFF"/>
          </w:tcPr>
          <w:p w14:paraId="09009A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Полётный вес нормальный</w:t>
            </w:r>
          </w:p>
        </w:tc>
        <w:tc>
          <w:tcPr>
            <w:tcW w:w="4253" w:type="dxa"/>
            <w:shd w:val="clear" w:color="auto" w:fill="FFFFFF"/>
          </w:tcPr>
          <w:p w14:paraId="772E7D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3276 кг</w:t>
            </w:r>
          </w:p>
        </w:tc>
      </w:tr>
      <w:tr w:rsidR="000F5689" w:rsidRPr="00925F26" w14:paraId="7665D950" w14:textId="77777777">
        <w:tc>
          <w:tcPr>
            <w:tcW w:w="4219" w:type="dxa"/>
            <w:shd w:val="clear" w:color="auto" w:fill="FFFFFF"/>
          </w:tcPr>
          <w:p w14:paraId="6C6616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 подчома на высоту 5000 м</w:t>
            </w:r>
          </w:p>
        </w:tc>
        <w:tc>
          <w:tcPr>
            <w:tcW w:w="4253" w:type="dxa"/>
            <w:shd w:val="clear" w:color="auto" w:fill="FFFFFF"/>
          </w:tcPr>
          <w:p w14:paraId="236F0D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6,8 мин</w:t>
            </w:r>
          </w:p>
        </w:tc>
      </w:tr>
      <w:tr w:rsidR="000F5689" w:rsidRPr="00925F26" w14:paraId="3354FAED" w14:textId="77777777">
        <w:tc>
          <w:tcPr>
            <w:tcW w:w="4219" w:type="dxa"/>
            <w:shd w:val="clear" w:color="auto" w:fill="FFFFFF"/>
          </w:tcPr>
          <w:p w14:paraId="3C4ECEE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3663F2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163E79E9" w14:textId="77777777">
        <w:tc>
          <w:tcPr>
            <w:tcW w:w="4219" w:type="dxa"/>
            <w:shd w:val="clear" w:color="auto" w:fill="FFFFFF"/>
          </w:tcPr>
          <w:p w14:paraId="5E2B31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4253" w:type="dxa"/>
            <w:shd w:val="clear" w:color="auto" w:fill="FFFFFF"/>
          </w:tcPr>
          <w:p w14:paraId="3A1A19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мотор-пушка калибра 20 мм</w:t>
            </w:r>
          </w:p>
        </w:tc>
      </w:tr>
      <w:tr w:rsidR="000F5689" w:rsidRPr="00925F26" w14:paraId="00755637" w14:textId="77777777">
        <w:tc>
          <w:tcPr>
            <w:tcW w:w="4219" w:type="dxa"/>
            <w:shd w:val="clear" w:color="auto" w:fill="FFFFFF"/>
          </w:tcPr>
          <w:p w14:paraId="75D78FBF"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69B283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сокростреных пулемета калибра 12,7 мм</w:t>
            </w:r>
          </w:p>
        </w:tc>
      </w:tr>
      <w:tr w:rsidR="000F5689" w:rsidRPr="00925F26" w14:paraId="6D5E859E" w14:textId="77777777">
        <w:tc>
          <w:tcPr>
            <w:tcW w:w="4219" w:type="dxa"/>
            <w:shd w:val="clear" w:color="auto" w:fill="FFFFFF"/>
          </w:tcPr>
          <w:p w14:paraId="307919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30E572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акт НИИ ВВС КА по госиспытаниям самолёта производства завода № 153 от 27 июня 1941 года</w:t>
            </w:r>
          </w:p>
        </w:tc>
      </w:tr>
      <w:tr w:rsidR="000F5689" w:rsidRPr="00925F26" w14:paraId="428E351A" w14:textId="77777777">
        <w:tc>
          <w:tcPr>
            <w:tcW w:w="4219" w:type="dxa"/>
            <w:shd w:val="clear" w:color="auto" w:fill="FFFFFF"/>
          </w:tcPr>
          <w:p w14:paraId="5E38E2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Ла-7 с мотором М-82ФН</w:t>
            </w:r>
          </w:p>
        </w:tc>
        <w:tc>
          <w:tcPr>
            <w:tcW w:w="4253" w:type="dxa"/>
            <w:shd w:val="clear" w:color="auto" w:fill="FFFFFF"/>
          </w:tcPr>
          <w:p w14:paraId="47632BA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BB62FCA" w14:textId="77777777">
        <w:tc>
          <w:tcPr>
            <w:tcW w:w="4219" w:type="dxa"/>
            <w:shd w:val="clear" w:color="auto" w:fill="FFFFFF"/>
          </w:tcPr>
          <w:p w14:paraId="649810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38B6E6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590 км/час</w:t>
            </w:r>
          </w:p>
        </w:tc>
      </w:tr>
      <w:tr w:rsidR="000F5689" w:rsidRPr="00925F26" w14:paraId="5E63C2A3" w14:textId="77777777">
        <w:tc>
          <w:tcPr>
            <w:tcW w:w="4219" w:type="dxa"/>
            <w:shd w:val="clear" w:color="auto" w:fill="FFFFFF"/>
          </w:tcPr>
          <w:p w14:paraId="775450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6150 м</w:t>
            </w:r>
          </w:p>
        </w:tc>
        <w:tc>
          <w:tcPr>
            <w:tcW w:w="4253" w:type="dxa"/>
            <w:shd w:val="clear" w:color="auto" w:fill="FFFFFF"/>
          </w:tcPr>
          <w:p w14:paraId="789DF2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675 -«-</w:t>
            </w:r>
          </w:p>
        </w:tc>
      </w:tr>
      <w:tr w:rsidR="000F5689" w:rsidRPr="00925F26" w14:paraId="317C5D2A" w14:textId="77777777">
        <w:tc>
          <w:tcPr>
            <w:tcW w:w="4219" w:type="dxa"/>
            <w:shd w:val="clear" w:color="auto" w:fill="FFFFFF"/>
          </w:tcPr>
          <w:p w14:paraId="342EE0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под”ема</w:t>
            </w:r>
            <w:proofErr w:type="gramEnd"/>
            <w:r w:rsidRPr="00925F26">
              <w:rPr>
                <w:color w:val="000000" w:themeColor="text1"/>
                <w:sz w:val="16"/>
                <w:szCs w:val="16"/>
              </w:rPr>
              <w:t xml:space="preserve"> на высоту 5000 м</w:t>
            </w:r>
          </w:p>
        </w:tc>
        <w:tc>
          <w:tcPr>
            <w:tcW w:w="4253" w:type="dxa"/>
            <w:shd w:val="clear" w:color="auto" w:fill="FFFFFF"/>
          </w:tcPr>
          <w:p w14:paraId="056291B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4,5 минут</w:t>
            </w:r>
          </w:p>
        </w:tc>
      </w:tr>
      <w:tr w:rsidR="000F5689" w:rsidRPr="00925F26" w14:paraId="7EE835DB" w14:textId="77777777">
        <w:tc>
          <w:tcPr>
            <w:tcW w:w="4219" w:type="dxa"/>
            <w:shd w:val="clear" w:color="auto" w:fill="FFFFFF"/>
          </w:tcPr>
          <w:p w14:paraId="0B0EE5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558C35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11200 м</w:t>
            </w:r>
          </w:p>
        </w:tc>
      </w:tr>
      <w:tr w:rsidR="000F5689" w:rsidRPr="00925F26" w14:paraId="49E61597" w14:textId="77777777">
        <w:tc>
          <w:tcPr>
            <w:tcW w:w="4219" w:type="dxa"/>
            <w:shd w:val="clear" w:color="auto" w:fill="FFFFFF"/>
          </w:tcPr>
          <w:p w14:paraId="2D6703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0,9 максимальной скорости на высоте 6000 м</w:t>
            </w:r>
          </w:p>
        </w:tc>
        <w:tc>
          <w:tcPr>
            <w:tcW w:w="4253" w:type="dxa"/>
            <w:shd w:val="clear" w:color="auto" w:fill="FFFFFF"/>
          </w:tcPr>
          <w:p w14:paraId="63F1AF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 км</w:t>
            </w:r>
          </w:p>
        </w:tc>
      </w:tr>
      <w:tr w:rsidR="000F5689" w:rsidRPr="00925F26" w14:paraId="0EA4025D" w14:textId="77777777">
        <w:tc>
          <w:tcPr>
            <w:tcW w:w="4219" w:type="dxa"/>
            <w:shd w:val="clear" w:color="auto" w:fill="FFFFFF"/>
          </w:tcPr>
          <w:p w14:paraId="1AD731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нормальный</w:t>
            </w:r>
          </w:p>
        </w:tc>
        <w:tc>
          <w:tcPr>
            <w:tcW w:w="4253" w:type="dxa"/>
            <w:shd w:val="clear" w:color="auto" w:fill="FFFFFF"/>
          </w:tcPr>
          <w:p w14:paraId="4C84685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3258 кг</w:t>
            </w:r>
          </w:p>
        </w:tc>
      </w:tr>
      <w:tr w:rsidR="000F5689" w:rsidRPr="00925F26" w14:paraId="1612100A" w14:textId="77777777">
        <w:tc>
          <w:tcPr>
            <w:tcW w:w="4219" w:type="dxa"/>
            <w:shd w:val="clear" w:color="auto" w:fill="FFFFFF"/>
          </w:tcPr>
          <w:p w14:paraId="44FB70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w:t>
            </w:r>
          </w:p>
        </w:tc>
        <w:tc>
          <w:tcPr>
            <w:tcW w:w="4253" w:type="dxa"/>
            <w:shd w:val="clear" w:color="auto" w:fill="FFFFFF"/>
          </w:tcPr>
          <w:p w14:paraId="7D07248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синхронные пушки калибра 20 мм</w:t>
            </w:r>
          </w:p>
        </w:tc>
      </w:tr>
      <w:tr w:rsidR="000F5689" w:rsidRPr="00925F26" w14:paraId="355C198D" w14:textId="77777777">
        <w:tc>
          <w:tcPr>
            <w:tcW w:w="4219" w:type="dxa"/>
            <w:tcBorders>
              <w:bottom w:val="single" w:sz="12" w:space="0" w:color="auto"/>
            </w:tcBorders>
            <w:shd w:val="clear" w:color="auto" w:fill="FFFFFF"/>
          </w:tcPr>
          <w:p w14:paraId="4DFE08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tcBorders>
              <w:bottom w:val="single" w:sz="12" w:space="0" w:color="auto"/>
            </w:tcBorders>
            <w:shd w:val="clear" w:color="auto" w:fill="FFFFFF"/>
          </w:tcPr>
          <w:p w14:paraId="25A491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заводских испытаниях самолёта № 2225 выпуска завода № 21 март 1945 года</w:t>
            </w:r>
          </w:p>
        </w:tc>
      </w:tr>
    </w:tbl>
    <w:p w14:paraId="294CFA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Штурмовики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0F5689" w:rsidRPr="00925F26" w14:paraId="23DD21B9" w14:textId="77777777">
        <w:tc>
          <w:tcPr>
            <w:tcW w:w="4219" w:type="dxa"/>
            <w:tcBorders>
              <w:top w:val="single" w:sz="12" w:space="0" w:color="auto"/>
            </w:tcBorders>
            <w:shd w:val="clear" w:color="auto" w:fill="FFFFFF"/>
          </w:tcPr>
          <w:p w14:paraId="09350C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Ил-10 с мотором АМ-42</w:t>
            </w:r>
          </w:p>
        </w:tc>
        <w:tc>
          <w:tcPr>
            <w:tcW w:w="4253" w:type="dxa"/>
            <w:tcBorders>
              <w:top w:val="single" w:sz="12" w:space="0" w:color="auto"/>
            </w:tcBorders>
            <w:shd w:val="clear" w:color="auto" w:fill="FFFFFF"/>
          </w:tcPr>
          <w:p w14:paraId="533142D1"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D732D8D" w14:textId="77777777">
        <w:tc>
          <w:tcPr>
            <w:tcW w:w="4219" w:type="dxa"/>
            <w:shd w:val="clear" w:color="auto" w:fill="FFFFFF"/>
          </w:tcPr>
          <w:p w14:paraId="756368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01BA91A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507 км/час</w:t>
            </w:r>
          </w:p>
        </w:tc>
      </w:tr>
      <w:tr w:rsidR="000F5689" w:rsidRPr="00925F26" w14:paraId="3A50187E" w14:textId="77777777">
        <w:tc>
          <w:tcPr>
            <w:tcW w:w="4219" w:type="dxa"/>
            <w:shd w:val="clear" w:color="auto" w:fill="FFFFFF"/>
          </w:tcPr>
          <w:p w14:paraId="76A771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Мксимальная скорость на высоте 2800 м</w:t>
            </w:r>
          </w:p>
        </w:tc>
        <w:tc>
          <w:tcPr>
            <w:tcW w:w="4253" w:type="dxa"/>
            <w:shd w:val="clear" w:color="auto" w:fill="FFFFFF"/>
          </w:tcPr>
          <w:p w14:paraId="10C03F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551 -»-</w:t>
            </w:r>
          </w:p>
        </w:tc>
      </w:tr>
      <w:tr w:rsidR="000F5689" w:rsidRPr="00925F26" w14:paraId="7D7931B6" w14:textId="77777777">
        <w:tc>
          <w:tcPr>
            <w:tcW w:w="4219" w:type="dxa"/>
            <w:shd w:val="clear" w:color="auto" w:fill="FFFFFF"/>
          </w:tcPr>
          <w:p w14:paraId="2DC866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под”ема</w:t>
            </w:r>
            <w:proofErr w:type="gramEnd"/>
            <w:r w:rsidRPr="00925F26">
              <w:rPr>
                <w:color w:val="000000" w:themeColor="text1"/>
                <w:sz w:val="16"/>
                <w:szCs w:val="16"/>
              </w:rPr>
              <w:t xml:space="preserve"> на высоту 3000 м</w:t>
            </w:r>
          </w:p>
        </w:tc>
        <w:tc>
          <w:tcPr>
            <w:tcW w:w="4253" w:type="dxa"/>
            <w:shd w:val="clear" w:color="auto" w:fill="FFFFFF"/>
          </w:tcPr>
          <w:p w14:paraId="7C0596D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 минут</w:t>
            </w:r>
          </w:p>
        </w:tc>
      </w:tr>
      <w:tr w:rsidR="000F5689" w:rsidRPr="00925F26" w14:paraId="239B34C1" w14:textId="77777777">
        <w:tc>
          <w:tcPr>
            <w:tcW w:w="4219" w:type="dxa"/>
            <w:shd w:val="clear" w:color="auto" w:fill="FFFFFF"/>
          </w:tcPr>
          <w:p w14:paraId="2D7511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7F2E05A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7480 м</w:t>
            </w:r>
          </w:p>
        </w:tc>
      </w:tr>
      <w:tr w:rsidR="000F5689" w:rsidRPr="00925F26" w14:paraId="7A427550" w14:textId="77777777">
        <w:tc>
          <w:tcPr>
            <w:tcW w:w="4219" w:type="dxa"/>
            <w:shd w:val="clear" w:color="auto" w:fill="FFFFFF"/>
          </w:tcPr>
          <w:p w14:paraId="1443916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полёта с 400 кг бомб на 0,62 максимальной скорости</w:t>
            </w:r>
          </w:p>
        </w:tc>
        <w:tc>
          <w:tcPr>
            <w:tcW w:w="4253" w:type="dxa"/>
            <w:shd w:val="clear" w:color="auto" w:fill="FFFFFF"/>
          </w:tcPr>
          <w:p w14:paraId="7F2CF1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800 км</w:t>
            </w:r>
          </w:p>
        </w:tc>
      </w:tr>
      <w:tr w:rsidR="000F5689" w:rsidRPr="00925F26" w14:paraId="73EB0C57" w14:textId="77777777">
        <w:tc>
          <w:tcPr>
            <w:tcW w:w="4219" w:type="dxa"/>
            <w:shd w:val="clear" w:color="auto" w:fill="FFFFFF"/>
          </w:tcPr>
          <w:p w14:paraId="629B6A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нормальный с 400 кг. Бомб</w:t>
            </w:r>
          </w:p>
        </w:tc>
        <w:tc>
          <w:tcPr>
            <w:tcW w:w="4253" w:type="dxa"/>
            <w:shd w:val="clear" w:color="auto" w:fill="FFFFFF"/>
          </w:tcPr>
          <w:p w14:paraId="7F6229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6335 кг</w:t>
            </w:r>
          </w:p>
        </w:tc>
      </w:tr>
      <w:tr w:rsidR="000F5689" w:rsidRPr="00925F26" w14:paraId="7DD61355" w14:textId="77777777">
        <w:tc>
          <w:tcPr>
            <w:tcW w:w="4219" w:type="dxa"/>
            <w:shd w:val="clear" w:color="auto" w:fill="FFFFFF"/>
          </w:tcPr>
          <w:p w14:paraId="1B4568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перегрузочнйй с 600 кг бомб</w:t>
            </w:r>
          </w:p>
        </w:tc>
        <w:tc>
          <w:tcPr>
            <w:tcW w:w="4253" w:type="dxa"/>
            <w:shd w:val="clear" w:color="auto" w:fill="FFFFFF"/>
          </w:tcPr>
          <w:p w14:paraId="50C703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6535 кг</w:t>
            </w:r>
          </w:p>
        </w:tc>
      </w:tr>
      <w:tr w:rsidR="000F5689" w:rsidRPr="00925F26" w14:paraId="0A165984" w14:textId="77777777">
        <w:tc>
          <w:tcPr>
            <w:tcW w:w="4219" w:type="dxa"/>
            <w:shd w:val="clear" w:color="auto" w:fill="FFFFFF"/>
          </w:tcPr>
          <w:p w14:paraId="18B0A1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4253" w:type="dxa"/>
            <w:shd w:val="clear" w:color="auto" w:fill="FFFFFF"/>
          </w:tcPr>
          <w:p w14:paraId="4B3D4F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чел.</w:t>
            </w:r>
          </w:p>
        </w:tc>
      </w:tr>
      <w:tr w:rsidR="000F5689" w:rsidRPr="00925F26" w14:paraId="574E489F" w14:textId="77777777">
        <w:tc>
          <w:tcPr>
            <w:tcW w:w="4219" w:type="dxa"/>
            <w:shd w:val="clear" w:color="auto" w:fill="FFFFFF"/>
          </w:tcPr>
          <w:p w14:paraId="1674DB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стрелковое вперед</w:t>
            </w:r>
          </w:p>
        </w:tc>
        <w:tc>
          <w:tcPr>
            <w:tcW w:w="4253" w:type="dxa"/>
            <w:shd w:val="clear" w:color="auto" w:fill="FFFFFF"/>
          </w:tcPr>
          <w:p w14:paraId="1C21C9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пулемёта калибра 7,62 мм</w:t>
            </w:r>
          </w:p>
        </w:tc>
      </w:tr>
      <w:tr w:rsidR="000F5689" w:rsidRPr="00925F26" w14:paraId="060D6CB3" w14:textId="77777777">
        <w:tc>
          <w:tcPr>
            <w:tcW w:w="4219" w:type="dxa"/>
            <w:shd w:val="clear" w:color="auto" w:fill="FFFFFF"/>
          </w:tcPr>
          <w:p w14:paraId="7144DC91"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79CE9A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пушки калибра 23 мм</w:t>
            </w:r>
          </w:p>
        </w:tc>
      </w:tr>
      <w:tr w:rsidR="000F5689" w:rsidRPr="00925F26" w14:paraId="4E57D4F8" w14:textId="77777777">
        <w:tc>
          <w:tcPr>
            <w:tcW w:w="4219" w:type="dxa"/>
            <w:shd w:val="clear" w:color="auto" w:fill="FFFFFF"/>
          </w:tcPr>
          <w:p w14:paraId="4C0FBA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назад</w:t>
            </w:r>
          </w:p>
        </w:tc>
        <w:tc>
          <w:tcPr>
            <w:tcW w:w="4253" w:type="dxa"/>
            <w:shd w:val="clear" w:color="auto" w:fill="FFFFFF"/>
          </w:tcPr>
          <w:p w14:paraId="126F2E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- 1 </w:t>
            </w:r>
            <w:proofErr w:type="gramStart"/>
            <w:r w:rsidRPr="00925F26">
              <w:rPr>
                <w:color w:val="000000" w:themeColor="text1"/>
                <w:sz w:val="16"/>
                <w:szCs w:val="16"/>
              </w:rPr>
              <w:t>пулемёт</w:t>
            </w:r>
            <w:proofErr w:type="gramEnd"/>
            <w:r w:rsidRPr="00925F26">
              <w:rPr>
                <w:color w:val="000000" w:themeColor="text1"/>
                <w:sz w:val="16"/>
                <w:szCs w:val="16"/>
              </w:rPr>
              <w:t xml:space="preserve"> а 12,7 мм</w:t>
            </w:r>
          </w:p>
        </w:tc>
      </w:tr>
      <w:tr w:rsidR="000F5689" w:rsidRPr="00925F26" w14:paraId="44538889" w14:textId="77777777">
        <w:tc>
          <w:tcPr>
            <w:tcW w:w="4219" w:type="dxa"/>
            <w:shd w:val="clear" w:color="auto" w:fill="FFFFFF"/>
          </w:tcPr>
          <w:p w14:paraId="1A91FA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4253" w:type="dxa"/>
            <w:shd w:val="clear" w:color="auto" w:fill="FFFFFF"/>
          </w:tcPr>
          <w:p w14:paraId="6D3925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 кг</w:t>
            </w:r>
          </w:p>
        </w:tc>
      </w:tr>
      <w:tr w:rsidR="000F5689" w:rsidRPr="00925F26" w14:paraId="6345D12B" w14:textId="77777777">
        <w:tc>
          <w:tcPr>
            <w:tcW w:w="4219" w:type="dxa"/>
            <w:shd w:val="clear" w:color="auto" w:fill="FFFFFF"/>
          </w:tcPr>
          <w:p w14:paraId="53A9C6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w:t>
            </w:r>
          </w:p>
        </w:tc>
        <w:tc>
          <w:tcPr>
            <w:tcW w:w="4253" w:type="dxa"/>
            <w:shd w:val="clear" w:color="auto" w:fill="FFFFFF"/>
          </w:tcPr>
          <w:p w14:paraId="3329BD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 кг</w:t>
            </w:r>
          </w:p>
        </w:tc>
      </w:tr>
      <w:tr w:rsidR="000F5689" w:rsidRPr="00925F26" w14:paraId="340EAA8B" w14:textId="77777777">
        <w:tc>
          <w:tcPr>
            <w:tcW w:w="4219" w:type="dxa"/>
            <w:shd w:val="clear" w:color="auto" w:fill="FFFFFF"/>
          </w:tcPr>
          <w:p w14:paraId="087642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3BEAA6D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 Отчёт НИИ ВВС КА о государственных испытаниях от 9 июня 1944 года.</w:t>
            </w:r>
          </w:p>
        </w:tc>
      </w:tr>
      <w:tr w:rsidR="000F5689" w:rsidRPr="00925F26" w14:paraId="1932B06F" w14:textId="77777777">
        <w:tc>
          <w:tcPr>
            <w:tcW w:w="4219" w:type="dxa"/>
            <w:shd w:val="clear" w:color="auto" w:fill="FFFFFF"/>
          </w:tcPr>
          <w:p w14:paraId="31B171A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Ил-2 с мотором АМ-38Ф</w:t>
            </w:r>
          </w:p>
        </w:tc>
        <w:tc>
          <w:tcPr>
            <w:tcW w:w="4253" w:type="dxa"/>
            <w:shd w:val="clear" w:color="auto" w:fill="FFFFFF"/>
          </w:tcPr>
          <w:p w14:paraId="7F632295"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30B3AD4" w14:textId="77777777">
        <w:tc>
          <w:tcPr>
            <w:tcW w:w="4219" w:type="dxa"/>
            <w:shd w:val="clear" w:color="auto" w:fill="FFFFFF"/>
          </w:tcPr>
          <w:p w14:paraId="48A741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скорость у земли</w:t>
            </w:r>
          </w:p>
        </w:tc>
        <w:tc>
          <w:tcPr>
            <w:tcW w:w="4253" w:type="dxa"/>
            <w:shd w:val="clear" w:color="auto" w:fill="FFFFFF"/>
          </w:tcPr>
          <w:p w14:paraId="5375A36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396 км/час</w:t>
            </w:r>
          </w:p>
        </w:tc>
      </w:tr>
      <w:tr w:rsidR="000F5689" w:rsidRPr="00925F26" w14:paraId="5C3F65C7" w14:textId="77777777">
        <w:tc>
          <w:tcPr>
            <w:tcW w:w="4219" w:type="dxa"/>
            <w:shd w:val="clear" w:color="auto" w:fill="FFFFFF"/>
          </w:tcPr>
          <w:p w14:paraId="40DCB3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высоте 1150 мт</w:t>
            </w:r>
          </w:p>
        </w:tc>
        <w:tc>
          <w:tcPr>
            <w:tcW w:w="4253" w:type="dxa"/>
            <w:shd w:val="clear" w:color="auto" w:fill="FFFFFF"/>
          </w:tcPr>
          <w:p w14:paraId="6DE3EE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410 —»—</w:t>
            </w:r>
          </w:p>
        </w:tc>
      </w:tr>
      <w:tr w:rsidR="000F5689" w:rsidRPr="00925F26" w14:paraId="1EBB0313" w14:textId="77777777">
        <w:tc>
          <w:tcPr>
            <w:tcW w:w="4219" w:type="dxa"/>
            <w:shd w:val="clear" w:color="auto" w:fill="FFFFFF"/>
          </w:tcPr>
          <w:p w14:paraId="07305F8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под”ёма</w:t>
            </w:r>
            <w:proofErr w:type="gramEnd"/>
            <w:r w:rsidRPr="00925F26">
              <w:rPr>
                <w:color w:val="000000" w:themeColor="text1"/>
                <w:sz w:val="16"/>
                <w:szCs w:val="16"/>
              </w:rPr>
              <w:t xml:space="preserve"> на высоту 3000 м</w:t>
            </w:r>
          </w:p>
        </w:tc>
        <w:tc>
          <w:tcPr>
            <w:tcW w:w="4253" w:type="dxa"/>
            <w:shd w:val="clear" w:color="auto" w:fill="FFFFFF"/>
          </w:tcPr>
          <w:p w14:paraId="65CDAE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8,2 мин</w:t>
            </w:r>
          </w:p>
        </w:tc>
      </w:tr>
      <w:tr w:rsidR="000F5689" w:rsidRPr="00925F26" w14:paraId="056B827E" w14:textId="77777777">
        <w:tc>
          <w:tcPr>
            <w:tcW w:w="4219" w:type="dxa"/>
            <w:shd w:val="clear" w:color="auto" w:fill="FFFFFF"/>
          </w:tcPr>
          <w:p w14:paraId="0771A3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2DA3F1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6600 м</w:t>
            </w:r>
          </w:p>
        </w:tc>
      </w:tr>
      <w:tr w:rsidR="000F5689" w:rsidRPr="00925F26" w14:paraId="4C78C056" w14:textId="77777777">
        <w:tc>
          <w:tcPr>
            <w:tcW w:w="4219" w:type="dxa"/>
            <w:shd w:val="clear" w:color="auto" w:fill="FFFFFF"/>
          </w:tcPr>
          <w:p w14:paraId="0879C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 с 300 кг бомб на 0,8 максимальной скорости</w:t>
            </w:r>
          </w:p>
        </w:tc>
        <w:tc>
          <w:tcPr>
            <w:tcW w:w="4253" w:type="dxa"/>
            <w:shd w:val="clear" w:color="auto" w:fill="FFFFFF"/>
          </w:tcPr>
          <w:p w14:paraId="429AEC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600 км</w:t>
            </w:r>
          </w:p>
        </w:tc>
      </w:tr>
      <w:tr w:rsidR="000F5689" w:rsidRPr="00925F26" w14:paraId="03E5D96C" w14:textId="77777777">
        <w:tc>
          <w:tcPr>
            <w:tcW w:w="4219" w:type="dxa"/>
            <w:shd w:val="clear" w:color="auto" w:fill="FFFFFF"/>
          </w:tcPr>
          <w:p w14:paraId="4F778D7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Полётный вес с 400 кг бомб</w:t>
            </w:r>
          </w:p>
        </w:tc>
        <w:tc>
          <w:tcPr>
            <w:tcW w:w="4253" w:type="dxa"/>
            <w:shd w:val="clear" w:color="auto" w:fill="FFFFFF"/>
          </w:tcPr>
          <w:p w14:paraId="387BE3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6300 кг</w:t>
            </w:r>
          </w:p>
        </w:tc>
      </w:tr>
      <w:tr w:rsidR="000F5689" w:rsidRPr="00925F26" w14:paraId="779769F4" w14:textId="77777777">
        <w:tc>
          <w:tcPr>
            <w:tcW w:w="4219" w:type="dxa"/>
            <w:shd w:val="clear" w:color="auto" w:fill="FFFFFF"/>
          </w:tcPr>
          <w:p w14:paraId="23D2B1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4253" w:type="dxa"/>
            <w:shd w:val="clear" w:color="auto" w:fill="FFFFFF"/>
          </w:tcPr>
          <w:p w14:paraId="64ED1D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чел.</w:t>
            </w:r>
          </w:p>
        </w:tc>
      </w:tr>
      <w:tr w:rsidR="000F5689" w:rsidRPr="00925F26" w14:paraId="187FBC5C" w14:textId="77777777">
        <w:tc>
          <w:tcPr>
            <w:tcW w:w="4219" w:type="dxa"/>
            <w:shd w:val="clear" w:color="auto" w:fill="FFFFFF"/>
          </w:tcPr>
          <w:p w14:paraId="06C8B1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w:t>
            </w:r>
          </w:p>
        </w:tc>
        <w:tc>
          <w:tcPr>
            <w:tcW w:w="4253" w:type="dxa"/>
            <w:shd w:val="clear" w:color="auto" w:fill="FFFFFF"/>
          </w:tcPr>
          <w:p w14:paraId="5C3FD9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400 кг</w:t>
            </w:r>
          </w:p>
        </w:tc>
      </w:tr>
      <w:tr w:rsidR="000F5689" w:rsidRPr="00925F26" w14:paraId="2A5C76DF" w14:textId="77777777">
        <w:tc>
          <w:tcPr>
            <w:tcW w:w="4219" w:type="dxa"/>
            <w:shd w:val="clear" w:color="auto" w:fill="FFFFFF"/>
          </w:tcPr>
          <w:p w14:paraId="7769CC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стрелковое вперед</w:t>
            </w:r>
          </w:p>
        </w:tc>
        <w:tc>
          <w:tcPr>
            <w:tcW w:w="4253" w:type="dxa"/>
            <w:shd w:val="clear" w:color="auto" w:fill="FFFFFF"/>
          </w:tcPr>
          <w:p w14:paraId="30C5AB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2-пулемета калибра 7,62 мм</w:t>
            </w:r>
          </w:p>
        </w:tc>
      </w:tr>
      <w:tr w:rsidR="000F5689" w:rsidRPr="00925F26" w14:paraId="6CEED401" w14:textId="77777777">
        <w:tc>
          <w:tcPr>
            <w:tcW w:w="4219" w:type="dxa"/>
            <w:shd w:val="clear" w:color="auto" w:fill="FFFFFF"/>
          </w:tcPr>
          <w:p w14:paraId="384900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пушки калибра 23 мм</w:t>
            </w:r>
          </w:p>
        </w:tc>
        <w:tc>
          <w:tcPr>
            <w:tcW w:w="4253" w:type="dxa"/>
            <w:shd w:val="clear" w:color="auto" w:fill="FFFFFF"/>
          </w:tcPr>
          <w:p w14:paraId="63A931F8"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A4AC073" w14:textId="77777777">
        <w:tc>
          <w:tcPr>
            <w:tcW w:w="4219" w:type="dxa"/>
            <w:shd w:val="clear" w:color="auto" w:fill="FFFFFF"/>
          </w:tcPr>
          <w:p w14:paraId="21480D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назад</w:t>
            </w:r>
          </w:p>
        </w:tc>
        <w:tc>
          <w:tcPr>
            <w:tcW w:w="4253" w:type="dxa"/>
            <w:shd w:val="clear" w:color="auto" w:fill="FFFFFF"/>
          </w:tcPr>
          <w:p w14:paraId="642F0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12,7 мм</w:t>
            </w:r>
          </w:p>
        </w:tc>
      </w:tr>
      <w:tr w:rsidR="000F5689" w:rsidRPr="00925F26" w14:paraId="16091D29" w14:textId="77777777">
        <w:tc>
          <w:tcPr>
            <w:tcW w:w="4219" w:type="dxa"/>
            <w:shd w:val="clear" w:color="auto" w:fill="FFFFFF"/>
          </w:tcPr>
          <w:p w14:paraId="20C5F2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6501ED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заводских испытаниях самолёта № 3653 завода № 1 февраля 1944 года</w:t>
            </w:r>
          </w:p>
        </w:tc>
      </w:tr>
      <w:tr w:rsidR="000F5689" w:rsidRPr="00925F26" w14:paraId="1F318550" w14:textId="77777777">
        <w:tc>
          <w:tcPr>
            <w:tcW w:w="4219" w:type="dxa"/>
            <w:tcBorders>
              <w:bottom w:val="single" w:sz="12" w:space="0" w:color="auto"/>
            </w:tcBorders>
          </w:tcPr>
          <w:p w14:paraId="76B07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4253" w:type="dxa"/>
            <w:tcBorders>
              <w:bottom w:val="single" w:sz="12" w:space="0" w:color="auto"/>
            </w:tcBorders>
          </w:tcPr>
          <w:p w14:paraId="69DEB0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Данные по дальности указаны в отчете НИЙ ВВС КА по самолёту № 302804</w:t>
            </w:r>
          </w:p>
        </w:tc>
      </w:tr>
    </w:tbl>
    <w:p w14:paraId="49D403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0F5689" w:rsidRPr="00925F26" w14:paraId="7E4F88C4" w14:textId="77777777">
        <w:tc>
          <w:tcPr>
            <w:tcW w:w="4219" w:type="dxa"/>
            <w:tcBorders>
              <w:top w:val="single" w:sz="12" w:space="0" w:color="auto"/>
            </w:tcBorders>
            <w:shd w:val="clear" w:color="auto" w:fill="FFFFFF"/>
          </w:tcPr>
          <w:p w14:paraId="65997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Ту-2 с двумя моторами АШ-82ФН</w:t>
            </w:r>
          </w:p>
        </w:tc>
        <w:tc>
          <w:tcPr>
            <w:tcW w:w="4253" w:type="dxa"/>
            <w:tcBorders>
              <w:top w:val="single" w:sz="12" w:space="0" w:color="auto"/>
            </w:tcBorders>
            <w:shd w:val="clear" w:color="auto" w:fill="FFFFFF"/>
          </w:tcPr>
          <w:p w14:paraId="4BCFCF4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2AF52A2" w14:textId="77777777">
        <w:tc>
          <w:tcPr>
            <w:tcW w:w="4219" w:type="dxa"/>
            <w:shd w:val="clear" w:color="auto" w:fill="FFFFFF"/>
          </w:tcPr>
          <w:p w14:paraId="4C3ECD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2057C8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482 км/час</w:t>
            </w:r>
          </w:p>
        </w:tc>
      </w:tr>
      <w:tr w:rsidR="000F5689" w:rsidRPr="00925F26" w14:paraId="636B44A1" w14:textId="77777777">
        <w:tc>
          <w:tcPr>
            <w:tcW w:w="4219" w:type="dxa"/>
            <w:shd w:val="clear" w:color="auto" w:fill="FFFFFF"/>
          </w:tcPr>
          <w:p w14:paraId="7B01F4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высоте 5400 м</w:t>
            </w:r>
          </w:p>
        </w:tc>
        <w:tc>
          <w:tcPr>
            <w:tcW w:w="4253" w:type="dxa"/>
            <w:shd w:val="clear" w:color="auto" w:fill="FFFFFF"/>
          </w:tcPr>
          <w:p w14:paraId="150B09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549 -я-</w:t>
            </w:r>
          </w:p>
        </w:tc>
      </w:tr>
      <w:tr w:rsidR="000F5689" w:rsidRPr="00925F26" w14:paraId="5FB830B4" w14:textId="77777777">
        <w:tc>
          <w:tcPr>
            <w:tcW w:w="4219" w:type="dxa"/>
            <w:shd w:val="clear" w:color="auto" w:fill="FFFFFF"/>
          </w:tcPr>
          <w:p w14:paraId="2534D3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полёта с 1000 кг бомб на 0,8 максимальной скорости</w:t>
            </w:r>
          </w:p>
        </w:tc>
        <w:tc>
          <w:tcPr>
            <w:tcW w:w="4253" w:type="dxa"/>
            <w:shd w:val="clear" w:color="auto" w:fill="FFFFFF"/>
          </w:tcPr>
          <w:p w14:paraId="769F7E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2050 км</w:t>
            </w:r>
          </w:p>
        </w:tc>
      </w:tr>
      <w:tr w:rsidR="000F5689" w:rsidRPr="00925F26" w14:paraId="4DFA6775" w14:textId="77777777">
        <w:tc>
          <w:tcPr>
            <w:tcW w:w="4219" w:type="dxa"/>
            <w:shd w:val="clear" w:color="auto" w:fill="FFFFFF"/>
          </w:tcPr>
          <w:p w14:paraId="383157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подъёма на внсоту 5000 м</w:t>
            </w:r>
          </w:p>
        </w:tc>
        <w:tc>
          <w:tcPr>
            <w:tcW w:w="4253" w:type="dxa"/>
            <w:shd w:val="clear" w:color="auto" w:fill="FFFFFF"/>
          </w:tcPr>
          <w:p w14:paraId="57FADC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 мин.</w:t>
            </w:r>
          </w:p>
        </w:tc>
      </w:tr>
      <w:tr w:rsidR="000F5689" w:rsidRPr="00925F26" w14:paraId="2A179D2E" w14:textId="77777777">
        <w:tc>
          <w:tcPr>
            <w:tcW w:w="4219" w:type="dxa"/>
            <w:shd w:val="clear" w:color="auto" w:fill="FFFFFF"/>
          </w:tcPr>
          <w:p w14:paraId="1A5FDA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w:t>
            </w:r>
          </w:p>
        </w:tc>
        <w:tc>
          <w:tcPr>
            <w:tcW w:w="4253" w:type="dxa"/>
            <w:shd w:val="clear" w:color="auto" w:fill="FFFFFF"/>
          </w:tcPr>
          <w:p w14:paraId="6A5DC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9500 мт</w:t>
            </w:r>
          </w:p>
        </w:tc>
      </w:tr>
      <w:tr w:rsidR="000F5689" w:rsidRPr="00925F26" w14:paraId="3CF6FD8A" w14:textId="77777777">
        <w:tc>
          <w:tcPr>
            <w:tcW w:w="4219" w:type="dxa"/>
            <w:shd w:val="clear" w:color="auto" w:fill="FFFFFF"/>
          </w:tcPr>
          <w:p w14:paraId="66F5B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4253" w:type="dxa"/>
            <w:shd w:val="clear" w:color="auto" w:fill="FFFFFF"/>
          </w:tcPr>
          <w:p w14:paraId="7AE1A1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кг</w:t>
            </w:r>
          </w:p>
        </w:tc>
      </w:tr>
      <w:tr w:rsidR="000F5689" w:rsidRPr="00925F26" w14:paraId="0D1A0C12" w14:textId="77777777">
        <w:tc>
          <w:tcPr>
            <w:tcW w:w="4219" w:type="dxa"/>
            <w:shd w:val="clear" w:color="auto" w:fill="FFFFFF"/>
          </w:tcPr>
          <w:p w14:paraId="6A6971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w:t>
            </w:r>
          </w:p>
        </w:tc>
        <w:tc>
          <w:tcPr>
            <w:tcW w:w="4253" w:type="dxa"/>
            <w:shd w:val="clear" w:color="auto" w:fill="FFFFFF"/>
          </w:tcPr>
          <w:p w14:paraId="6A4250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3000 кг</w:t>
            </w:r>
          </w:p>
        </w:tc>
      </w:tr>
      <w:tr w:rsidR="000F5689" w:rsidRPr="00925F26" w14:paraId="36F98A67" w14:textId="77777777">
        <w:tc>
          <w:tcPr>
            <w:tcW w:w="4219" w:type="dxa"/>
            <w:shd w:val="clear" w:color="auto" w:fill="FFFFFF"/>
          </w:tcPr>
          <w:p w14:paraId="3B4DBA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Максимальный калибр подвешиваемых бомб</w:t>
            </w:r>
          </w:p>
        </w:tc>
        <w:tc>
          <w:tcPr>
            <w:tcW w:w="4253" w:type="dxa"/>
            <w:shd w:val="clear" w:color="auto" w:fill="FFFFFF"/>
          </w:tcPr>
          <w:p w14:paraId="3007D1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кг</w:t>
            </w:r>
          </w:p>
        </w:tc>
      </w:tr>
      <w:tr w:rsidR="000F5689" w:rsidRPr="00925F26" w14:paraId="6398AE98" w14:textId="77777777">
        <w:tc>
          <w:tcPr>
            <w:tcW w:w="4219" w:type="dxa"/>
            <w:shd w:val="clear" w:color="auto" w:fill="FFFFFF"/>
          </w:tcPr>
          <w:p w14:paraId="1E3F62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стрелковое вперед</w:t>
            </w:r>
          </w:p>
        </w:tc>
        <w:tc>
          <w:tcPr>
            <w:tcW w:w="4253" w:type="dxa"/>
            <w:shd w:val="clear" w:color="auto" w:fill="FFFFFF"/>
          </w:tcPr>
          <w:p w14:paraId="00AF63E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пушки калибра 20 мм</w:t>
            </w:r>
          </w:p>
        </w:tc>
      </w:tr>
      <w:tr w:rsidR="000F5689" w:rsidRPr="00925F26" w14:paraId="3C47AE82" w14:textId="77777777">
        <w:tc>
          <w:tcPr>
            <w:tcW w:w="4219" w:type="dxa"/>
            <w:shd w:val="clear" w:color="auto" w:fill="FFFFFF"/>
          </w:tcPr>
          <w:p w14:paraId="736EEBF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назад</w:t>
            </w:r>
          </w:p>
        </w:tc>
        <w:tc>
          <w:tcPr>
            <w:tcW w:w="4253" w:type="dxa"/>
            <w:shd w:val="clear" w:color="auto" w:fill="FFFFFF"/>
          </w:tcPr>
          <w:p w14:paraId="015F33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пулемёта калибра 12,7 мм</w:t>
            </w:r>
          </w:p>
        </w:tc>
      </w:tr>
      <w:tr w:rsidR="000F5689" w:rsidRPr="00925F26" w14:paraId="01FE20DE" w14:textId="77777777">
        <w:tc>
          <w:tcPr>
            <w:tcW w:w="4219" w:type="dxa"/>
            <w:shd w:val="clear" w:color="auto" w:fill="FFFFFF"/>
          </w:tcPr>
          <w:p w14:paraId="24FE98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норнальный</w:t>
            </w:r>
          </w:p>
        </w:tc>
        <w:tc>
          <w:tcPr>
            <w:tcW w:w="4253" w:type="dxa"/>
            <w:shd w:val="clear" w:color="auto" w:fill="FFFFFF"/>
          </w:tcPr>
          <w:p w14:paraId="562C71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10500 кг</w:t>
            </w:r>
          </w:p>
        </w:tc>
      </w:tr>
      <w:tr w:rsidR="000F5689" w:rsidRPr="00925F26" w14:paraId="7752C671" w14:textId="77777777">
        <w:tc>
          <w:tcPr>
            <w:tcW w:w="4219" w:type="dxa"/>
            <w:shd w:val="clear" w:color="auto" w:fill="FFFFFF"/>
          </w:tcPr>
          <w:p w14:paraId="0D3F98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w:t>
            </w:r>
          </w:p>
        </w:tc>
        <w:tc>
          <w:tcPr>
            <w:tcW w:w="4253" w:type="dxa"/>
            <w:shd w:val="clear" w:color="auto" w:fill="FFFFFF"/>
          </w:tcPr>
          <w:p w14:paraId="5BCA34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11520 кг</w:t>
            </w:r>
          </w:p>
        </w:tc>
      </w:tr>
      <w:tr w:rsidR="000F5689" w:rsidRPr="00925F26" w14:paraId="3F72D5AD" w14:textId="77777777">
        <w:tc>
          <w:tcPr>
            <w:tcW w:w="4219" w:type="dxa"/>
            <w:shd w:val="clear" w:color="auto" w:fill="FFFFFF"/>
          </w:tcPr>
          <w:p w14:paraId="3D93E1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4253" w:type="dxa"/>
            <w:shd w:val="clear" w:color="auto" w:fill="FFFFFF"/>
          </w:tcPr>
          <w:p w14:paraId="6D3FB0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чел.</w:t>
            </w:r>
          </w:p>
        </w:tc>
      </w:tr>
      <w:tr w:rsidR="000F5689" w:rsidRPr="00925F26" w14:paraId="543B3FA1" w14:textId="77777777">
        <w:tc>
          <w:tcPr>
            <w:tcW w:w="4219" w:type="dxa"/>
            <w:shd w:val="clear" w:color="auto" w:fill="FFFFFF"/>
          </w:tcPr>
          <w:p w14:paraId="337C31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3E86CB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контрольных испытаниях самолёта №2 18/11 в НИИ ВВС КА, март 1944 года</w:t>
            </w:r>
          </w:p>
        </w:tc>
      </w:tr>
      <w:tr w:rsidR="000F5689" w:rsidRPr="00925F26" w14:paraId="32CC7298" w14:textId="77777777">
        <w:tc>
          <w:tcPr>
            <w:tcW w:w="4219" w:type="dxa"/>
            <w:shd w:val="clear" w:color="auto" w:fill="FFFFFF"/>
          </w:tcPr>
          <w:p w14:paraId="0004DC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Пе-2 с двумя моторами ВК-105ПФ</w:t>
            </w:r>
          </w:p>
        </w:tc>
        <w:tc>
          <w:tcPr>
            <w:tcW w:w="4253" w:type="dxa"/>
            <w:shd w:val="clear" w:color="auto" w:fill="FFFFFF"/>
          </w:tcPr>
          <w:p w14:paraId="55979217"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6D953D32" w14:textId="77777777">
        <w:tc>
          <w:tcPr>
            <w:tcW w:w="4219" w:type="dxa"/>
            <w:shd w:val="clear" w:color="auto" w:fill="FFFFFF"/>
          </w:tcPr>
          <w:p w14:paraId="68550A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2187B0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474 км/час.</w:t>
            </w:r>
          </w:p>
        </w:tc>
      </w:tr>
      <w:tr w:rsidR="000F5689" w:rsidRPr="00925F26" w14:paraId="516BC73B" w14:textId="77777777">
        <w:tc>
          <w:tcPr>
            <w:tcW w:w="4219" w:type="dxa"/>
            <w:shd w:val="clear" w:color="auto" w:fill="FFFFFF"/>
          </w:tcPr>
          <w:p w14:paraId="115999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Максимальная скорость на высоте 3700 м</w:t>
            </w:r>
          </w:p>
        </w:tc>
        <w:tc>
          <w:tcPr>
            <w:tcW w:w="4253" w:type="dxa"/>
            <w:shd w:val="clear" w:color="auto" w:fill="FFFFFF"/>
          </w:tcPr>
          <w:p w14:paraId="35712A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528 -«-</w:t>
            </w:r>
          </w:p>
        </w:tc>
      </w:tr>
      <w:tr w:rsidR="000F5689" w:rsidRPr="00925F26" w14:paraId="02E2BB3E" w14:textId="77777777">
        <w:tc>
          <w:tcPr>
            <w:tcW w:w="4219" w:type="dxa"/>
            <w:shd w:val="clear" w:color="auto" w:fill="FFFFFF"/>
          </w:tcPr>
          <w:p w14:paraId="2EC6F5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полёта с 500 кг бомб на 0,7 максимальной скорости</w:t>
            </w:r>
          </w:p>
        </w:tc>
        <w:tc>
          <w:tcPr>
            <w:tcW w:w="4253" w:type="dxa"/>
            <w:shd w:val="clear" w:color="auto" w:fill="FFFFFF"/>
          </w:tcPr>
          <w:p w14:paraId="21D1A6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1280 км</w:t>
            </w:r>
          </w:p>
        </w:tc>
      </w:tr>
      <w:tr w:rsidR="000F5689" w:rsidRPr="00925F26" w14:paraId="381086DC" w14:textId="77777777">
        <w:tc>
          <w:tcPr>
            <w:tcW w:w="4219" w:type="dxa"/>
            <w:shd w:val="clear" w:color="auto" w:fill="FFFFFF"/>
          </w:tcPr>
          <w:p w14:paraId="4F35E7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под”ема</w:t>
            </w:r>
            <w:proofErr w:type="gramEnd"/>
            <w:r w:rsidRPr="00925F26">
              <w:rPr>
                <w:color w:val="000000" w:themeColor="text1"/>
                <w:sz w:val="16"/>
                <w:szCs w:val="16"/>
              </w:rPr>
              <w:t xml:space="preserve"> на высоту 5000 м</w:t>
            </w:r>
          </w:p>
        </w:tc>
        <w:tc>
          <w:tcPr>
            <w:tcW w:w="4253" w:type="dxa"/>
            <w:shd w:val="clear" w:color="auto" w:fill="FFFFFF"/>
          </w:tcPr>
          <w:p w14:paraId="620014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9,35 мин.</w:t>
            </w:r>
          </w:p>
        </w:tc>
      </w:tr>
      <w:tr w:rsidR="000F5689" w:rsidRPr="00925F26" w14:paraId="31AF7829" w14:textId="77777777">
        <w:tc>
          <w:tcPr>
            <w:tcW w:w="4219" w:type="dxa"/>
            <w:shd w:val="clear" w:color="auto" w:fill="FFFFFF"/>
          </w:tcPr>
          <w:p w14:paraId="6D12761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Потолок</w:t>
            </w:r>
          </w:p>
        </w:tc>
        <w:tc>
          <w:tcPr>
            <w:tcW w:w="4253" w:type="dxa"/>
            <w:shd w:val="clear" w:color="auto" w:fill="FFFFFF"/>
          </w:tcPr>
          <w:p w14:paraId="78495E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8800 мт.</w:t>
            </w:r>
          </w:p>
        </w:tc>
      </w:tr>
      <w:tr w:rsidR="000F5689" w:rsidRPr="00925F26" w14:paraId="3CE473B2" w14:textId="77777777">
        <w:tc>
          <w:tcPr>
            <w:tcW w:w="4219" w:type="dxa"/>
            <w:shd w:val="clear" w:color="auto" w:fill="FFFFFF"/>
          </w:tcPr>
          <w:p w14:paraId="33A188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4253" w:type="dxa"/>
            <w:shd w:val="clear" w:color="auto" w:fill="FFFFFF"/>
          </w:tcPr>
          <w:p w14:paraId="56F2D5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 кг</w:t>
            </w:r>
          </w:p>
        </w:tc>
      </w:tr>
      <w:tr w:rsidR="000F5689" w:rsidRPr="00925F26" w14:paraId="26EFDD34" w14:textId="77777777">
        <w:tc>
          <w:tcPr>
            <w:tcW w:w="4219" w:type="dxa"/>
            <w:shd w:val="clear" w:color="auto" w:fill="FFFFFF"/>
          </w:tcPr>
          <w:p w14:paraId="233745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w:t>
            </w:r>
          </w:p>
        </w:tc>
        <w:tc>
          <w:tcPr>
            <w:tcW w:w="4253" w:type="dxa"/>
            <w:shd w:val="clear" w:color="auto" w:fill="FFFFFF"/>
          </w:tcPr>
          <w:p w14:paraId="1A82CC9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кг</w:t>
            </w:r>
          </w:p>
        </w:tc>
      </w:tr>
      <w:tr w:rsidR="000F5689" w:rsidRPr="00925F26" w14:paraId="72CF0BE1" w14:textId="77777777">
        <w:tc>
          <w:tcPr>
            <w:tcW w:w="4219" w:type="dxa"/>
            <w:shd w:val="clear" w:color="auto" w:fill="FFFFFF"/>
          </w:tcPr>
          <w:p w14:paraId="5B05E2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стрелковое вперед</w:t>
            </w:r>
          </w:p>
        </w:tc>
        <w:tc>
          <w:tcPr>
            <w:tcW w:w="4253" w:type="dxa"/>
            <w:shd w:val="clear" w:color="auto" w:fill="FFFFFF"/>
          </w:tcPr>
          <w:p w14:paraId="0BD483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7,62 ш</w:t>
            </w:r>
          </w:p>
        </w:tc>
      </w:tr>
      <w:tr w:rsidR="000F5689" w:rsidRPr="00925F26" w14:paraId="3169B0F9" w14:textId="77777777">
        <w:tc>
          <w:tcPr>
            <w:tcW w:w="4219" w:type="dxa"/>
            <w:shd w:val="clear" w:color="auto" w:fill="FFFFFF"/>
          </w:tcPr>
          <w:p w14:paraId="0C079A3F"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1AB51E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12,7 мм</w:t>
            </w:r>
          </w:p>
        </w:tc>
      </w:tr>
      <w:tr w:rsidR="000F5689" w:rsidRPr="00925F26" w14:paraId="62A934F3" w14:textId="77777777">
        <w:tc>
          <w:tcPr>
            <w:tcW w:w="4219" w:type="dxa"/>
            <w:shd w:val="clear" w:color="auto" w:fill="FFFFFF"/>
          </w:tcPr>
          <w:p w14:paraId="3EB718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назад</w:t>
            </w:r>
          </w:p>
        </w:tc>
        <w:tc>
          <w:tcPr>
            <w:tcW w:w="4253" w:type="dxa"/>
            <w:shd w:val="clear" w:color="auto" w:fill="FFFFFF"/>
          </w:tcPr>
          <w:p w14:paraId="11396A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пулемёта калибра 12,7 мм</w:t>
            </w:r>
          </w:p>
        </w:tc>
      </w:tr>
      <w:tr w:rsidR="000F5689" w:rsidRPr="00925F26" w14:paraId="570D5D6C" w14:textId="77777777">
        <w:tc>
          <w:tcPr>
            <w:tcW w:w="4219" w:type="dxa"/>
            <w:shd w:val="clear" w:color="auto" w:fill="FFFFFF"/>
          </w:tcPr>
          <w:p w14:paraId="10613A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Полётный вес нормальный</w:t>
            </w:r>
          </w:p>
        </w:tc>
        <w:tc>
          <w:tcPr>
            <w:tcW w:w="4253" w:type="dxa"/>
            <w:shd w:val="clear" w:color="auto" w:fill="FFFFFF"/>
          </w:tcPr>
          <w:p w14:paraId="7D12D8A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8300 кг.</w:t>
            </w:r>
          </w:p>
        </w:tc>
      </w:tr>
      <w:tr w:rsidR="000F5689" w:rsidRPr="00925F26" w14:paraId="1DD2AEAC" w14:textId="77777777">
        <w:tc>
          <w:tcPr>
            <w:tcW w:w="4219" w:type="dxa"/>
            <w:shd w:val="clear" w:color="auto" w:fill="FFFFFF"/>
          </w:tcPr>
          <w:p w14:paraId="36C5D6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w:t>
            </w:r>
          </w:p>
        </w:tc>
        <w:tc>
          <w:tcPr>
            <w:tcW w:w="4253" w:type="dxa"/>
            <w:shd w:val="clear" w:color="auto" w:fill="FFFFFF"/>
          </w:tcPr>
          <w:p w14:paraId="5EB9ED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8858 кг</w:t>
            </w:r>
          </w:p>
        </w:tc>
      </w:tr>
      <w:tr w:rsidR="000F5689" w:rsidRPr="00925F26" w14:paraId="4B0E075B" w14:textId="77777777">
        <w:tc>
          <w:tcPr>
            <w:tcW w:w="4219" w:type="dxa"/>
            <w:shd w:val="clear" w:color="auto" w:fill="FFFFFF"/>
          </w:tcPr>
          <w:p w14:paraId="3683B9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4253" w:type="dxa"/>
            <w:shd w:val="clear" w:color="auto" w:fill="FFFFFF"/>
          </w:tcPr>
          <w:p w14:paraId="766991D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чел.</w:t>
            </w:r>
          </w:p>
        </w:tc>
      </w:tr>
      <w:tr w:rsidR="000F5689" w:rsidRPr="00925F26" w14:paraId="502E02FC" w14:textId="77777777">
        <w:tc>
          <w:tcPr>
            <w:tcW w:w="4219" w:type="dxa"/>
            <w:shd w:val="clear" w:color="auto" w:fill="FFFFFF"/>
          </w:tcPr>
          <w:p w14:paraId="743D04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63F1D9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заводских самолёта № 11/427 испытаниях января 1945 года.</w:t>
            </w:r>
          </w:p>
        </w:tc>
      </w:tr>
      <w:tr w:rsidR="000F5689" w:rsidRPr="00925F26" w14:paraId="469B5915" w14:textId="77777777">
        <w:tc>
          <w:tcPr>
            <w:tcW w:w="4219" w:type="dxa"/>
            <w:shd w:val="clear" w:color="auto" w:fill="FFFFFF"/>
          </w:tcPr>
          <w:p w14:paraId="10354A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Ил-4 с двумямоторами АШ-88Б</w:t>
            </w:r>
          </w:p>
        </w:tc>
        <w:tc>
          <w:tcPr>
            <w:tcW w:w="4253" w:type="dxa"/>
            <w:shd w:val="clear" w:color="auto" w:fill="FFFFFF"/>
          </w:tcPr>
          <w:p w14:paraId="6780787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47B26478" w14:textId="77777777">
        <w:tc>
          <w:tcPr>
            <w:tcW w:w="4219" w:type="dxa"/>
            <w:shd w:val="clear" w:color="auto" w:fill="FFFFFF"/>
          </w:tcPr>
          <w:p w14:paraId="50B556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57BB4E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330 км/час</w:t>
            </w:r>
          </w:p>
        </w:tc>
      </w:tr>
      <w:tr w:rsidR="000F5689" w:rsidRPr="00925F26" w14:paraId="6A698DDA" w14:textId="77777777">
        <w:tc>
          <w:tcPr>
            <w:tcW w:w="4219" w:type="dxa"/>
            <w:shd w:val="clear" w:color="auto" w:fill="FFFFFF"/>
          </w:tcPr>
          <w:p w14:paraId="21C526D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высоте 6000 мт</w:t>
            </w:r>
          </w:p>
        </w:tc>
        <w:tc>
          <w:tcPr>
            <w:tcW w:w="4253" w:type="dxa"/>
            <w:shd w:val="clear" w:color="auto" w:fill="FFFFFF"/>
          </w:tcPr>
          <w:p w14:paraId="236EBD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r>
      <w:tr w:rsidR="000F5689" w:rsidRPr="00925F26" w14:paraId="5DC7AF0A" w14:textId="77777777">
        <w:tc>
          <w:tcPr>
            <w:tcW w:w="4219" w:type="dxa"/>
            <w:shd w:val="clear" w:color="auto" w:fill="FFFFFF"/>
          </w:tcPr>
          <w:p w14:paraId="6E73CB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полёта с 1000 кг бомб на 0,8 максимальной скорости с подвесным баком</w:t>
            </w:r>
          </w:p>
        </w:tc>
        <w:tc>
          <w:tcPr>
            <w:tcW w:w="4253" w:type="dxa"/>
            <w:shd w:val="clear" w:color="auto" w:fill="FFFFFF"/>
          </w:tcPr>
          <w:p w14:paraId="6B5959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3150 км</w:t>
            </w:r>
          </w:p>
        </w:tc>
      </w:tr>
      <w:tr w:rsidR="000F5689" w:rsidRPr="00925F26" w14:paraId="78297A32" w14:textId="77777777">
        <w:tc>
          <w:tcPr>
            <w:tcW w:w="4219" w:type="dxa"/>
            <w:shd w:val="clear" w:color="auto" w:fill="FFFFFF"/>
          </w:tcPr>
          <w:p w14:paraId="5092FEC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полёта с 1000 кг бомб на 0,8 максимальной скорости</w:t>
            </w:r>
          </w:p>
        </w:tc>
        <w:tc>
          <w:tcPr>
            <w:tcW w:w="4253" w:type="dxa"/>
            <w:shd w:val="clear" w:color="auto" w:fill="FFFFFF"/>
          </w:tcPr>
          <w:p w14:paraId="324410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2700 км</w:t>
            </w:r>
          </w:p>
        </w:tc>
      </w:tr>
      <w:tr w:rsidR="000F5689" w:rsidRPr="00925F26" w14:paraId="4FBF8232" w14:textId="77777777">
        <w:tc>
          <w:tcPr>
            <w:tcW w:w="4219" w:type="dxa"/>
            <w:shd w:val="clear" w:color="auto" w:fill="FFFFFF"/>
          </w:tcPr>
          <w:p w14:paraId="6A41D3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под"ема на высоту 5000 мт</w:t>
            </w:r>
          </w:p>
        </w:tc>
        <w:tc>
          <w:tcPr>
            <w:tcW w:w="4253" w:type="dxa"/>
            <w:shd w:val="clear" w:color="auto" w:fill="FFFFFF"/>
          </w:tcPr>
          <w:p w14:paraId="7A59528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 мин.</w:t>
            </w:r>
          </w:p>
        </w:tc>
      </w:tr>
      <w:tr w:rsidR="000F5689" w:rsidRPr="00925F26" w14:paraId="04206EFB" w14:textId="77777777">
        <w:tc>
          <w:tcPr>
            <w:tcW w:w="4219" w:type="dxa"/>
            <w:shd w:val="clear" w:color="auto" w:fill="FFFFFF"/>
          </w:tcPr>
          <w:p w14:paraId="00F295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w:t>
            </w:r>
          </w:p>
        </w:tc>
        <w:tc>
          <w:tcPr>
            <w:tcW w:w="4253" w:type="dxa"/>
            <w:shd w:val="clear" w:color="auto" w:fill="FFFFFF"/>
          </w:tcPr>
          <w:p w14:paraId="756D7B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9400 мт</w:t>
            </w:r>
          </w:p>
        </w:tc>
      </w:tr>
      <w:tr w:rsidR="000F5689" w:rsidRPr="00925F26" w14:paraId="583B9044" w14:textId="77777777">
        <w:tc>
          <w:tcPr>
            <w:tcW w:w="4219" w:type="dxa"/>
            <w:shd w:val="clear" w:color="auto" w:fill="FFFFFF"/>
          </w:tcPr>
          <w:p w14:paraId="6B4E33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нормальная</w:t>
            </w:r>
          </w:p>
        </w:tc>
        <w:tc>
          <w:tcPr>
            <w:tcW w:w="4253" w:type="dxa"/>
            <w:shd w:val="clear" w:color="auto" w:fill="FFFFFF"/>
          </w:tcPr>
          <w:p w14:paraId="32253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кг</w:t>
            </w:r>
          </w:p>
        </w:tc>
      </w:tr>
      <w:tr w:rsidR="000F5689" w:rsidRPr="00925F26" w14:paraId="62843F72" w14:textId="77777777">
        <w:tc>
          <w:tcPr>
            <w:tcW w:w="4219" w:type="dxa"/>
            <w:shd w:val="clear" w:color="auto" w:fill="FFFFFF"/>
          </w:tcPr>
          <w:p w14:paraId="001A71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w:t>
            </w:r>
          </w:p>
        </w:tc>
        <w:tc>
          <w:tcPr>
            <w:tcW w:w="4253" w:type="dxa"/>
            <w:shd w:val="clear" w:color="auto" w:fill="FFFFFF"/>
          </w:tcPr>
          <w:p w14:paraId="1182D0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2500 кг</w:t>
            </w:r>
          </w:p>
        </w:tc>
      </w:tr>
      <w:tr w:rsidR="000F5689" w:rsidRPr="00925F26" w14:paraId="119AA079" w14:textId="77777777">
        <w:tc>
          <w:tcPr>
            <w:tcW w:w="4219" w:type="dxa"/>
            <w:shd w:val="clear" w:color="auto" w:fill="FFFFFF"/>
          </w:tcPr>
          <w:p w14:paraId="0682D4F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Максимальный калибврподвешиваемых бомб</w:t>
            </w:r>
          </w:p>
        </w:tc>
        <w:tc>
          <w:tcPr>
            <w:tcW w:w="4253" w:type="dxa"/>
            <w:shd w:val="clear" w:color="auto" w:fill="FFFFFF"/>
          </w:tcPr>
          <w:p w14:paraId="642F9C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кг</w:t>
            </w:r>
          </w:p>
        </w:tc>
      </w:tr>
      <w:tr w:rsidR="000F5689" w:rsidRPr="00925F26" w14:paraId="7DFE64ED" w14:textId="77777777">
        <w:tc>
          <w:tcPr>
            <w:tcW w:w="4219" w:type="dxa"/>
            <w:shd w:val="clear" w:color="auto" w:fill="FFFFFF"/>
          </w:tcPr>
          <w:p w14:paraId="740AEC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стрелковое вперед</w:t>
            </w:r>
          </w:p>
        </w:tc>
        <w:tc>
          <w:tcPr>
            <w:tcW w:w="4253" w:type="dxa"/>
            <w:shd w:val="clear" w:color="auto" w:fill="FFFFFF"/>
          </w:tcPr>
          <w:p w14:paraId="622344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7;62 мм</w:t>
            </w:r>
          </w:p>
        </w:tc>
      </w:tr>
      <w:tr w:rsidR="000F5689" w:rsidRPr="00925F26" w14:paraId="7913998B" w14:textId="77777777">
        <w:tc>
          <w:tcPr>
            <w:tcW w:w="4219" w:type="dxa"/>
            <w:shd w:val="clear" w:color="auto" w:fill="FFFFFF"/>
          </w:tcPr>
          <w:p w14:paraId="2372C6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назад</w:t>
            </w:r>
          </w:p>
        </w:tc>
        <w:tc>
          <w:tcPr>
            <w:tcW w:w="4253" w:type="dxa"/>
            <w:shd w:val="clear" w:color="auto" w:fill="FFFFFF"/>
          </w:tcPr>
          <w:p w14:paraId="054311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12,7 мм</w:t>
            </w:r>
          </w:p>
        </w:tc>
      </w:tr>
      <w:tr w:rsidR="000F5689" w:rsidRPr="00925F26" w14:paraId="3F0E69C6" w14:textId="77777777">
        <w:tc>
          <w:tcPr>
            <w:tcW w:w="4219" w:type="dxa"/>
            <w:shd w:val="clear" w:color="auto" w:fill="FFFFFF"/>
          </w:tcPr>
          <w:p w14:paraId="7FF671A3"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2C727C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w:t>
            </w:r>
            <w:r w:rsidRPr="00925F26">
              <w:rPr>
                <w:color w:val="000000" w:themeColor="text1"/>
                <w:sz w:val="16"/>
                <w:szCs w:val="16"/>
                <w:vertAlign w:val="superscript"/>
              </w:rPr>
              <w:t>-</w:t>
            </w:r>
            <w:r w:rsidRPr="00925F26">
              <w:rPr>
                <w:color w:val="000000" w:themeColor="text1"/>
                <w:sz w:val="16"/>
                <w:szCs w:val="16"/>
              </w:rPr>
              <w:t>пулемет калибра 7,62 мм</w:t>
            </w:r>
          </w:p>
        </w:tc>
      </w:tr>
      <w:tr w:rsidR="000F5689" w:rsidRPr="00925F26" w14:paraId="190A1F60" w14:textId="77777777">
        <w:tc>
          <w:tcPr>
            <w:tcW w:w="4219" w:type="dxa"/>
            <w:shd w:val="clear" w:color="auto" w:fill="FFFFFF"/>
          </w:tcPr>
          <w:p w14:paraId="26FCA3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нормальный</w:t>
            </w:r>
          </w:p>
        </w:tc>
        <w:tc>
          <w:tcPr>
            <w:tcW w:w="4253" w:type="dxa"/>
            <w:shd w:val="clear" w:color="auto" w:fill="FFFFFF"/>
          </w:tcPr>
          <w:p w14:paraId="451386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9351 кг</w:t>
            </w:r>
          </w:p>
        </w:tc>
      </w:tr>
      <w:tr w:rsidR="000F5689" w:rsidRPr="00925F26" w14:paraId="1A08D9A6" w14:textId="77777777">
        <w:tc>
          <w:tcPr>
            <w:tcW w:w="4219" w:type="dxa"/>
            <w:shd w:val="clear" w:color="auto" w:fill="FFFFFF"/>
          </w:tcPr>
          <w:p w14:paraId="346275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w:t>
            </w:r>
          </w:p>
        </w:tc>
        <w:tc>
          <w:tcPr>
            <w:tcW w:w="4253" w:type="dxa"/>
            <w:shd w:val="clear" w:color="auto" w:fill="FFFFFF"/>
          </w:tcPr>
          <w:p w14:paraId="403DB3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11500 кг</w:t>
            </w:r>
          </w:p>
        </w:tc>
      </w:tr>
      <w:tr w:rsidR="000F5689" w:rsidRPr="00925F26" w14:paraId="70988455" w14:textId="77777777">
        <w:tc>
          <w:tcPr>
            <w:tcW w:w="4219" w:type="dxa"/>
            <w:shd w:val="clear" w:color="auto" w:fill="FFFFFF"/>
          </w:tcPr>
          <w:p w14:paraId="609276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4253" w:type="dxa"/>
            <w:shd w:val="clear" w:color="auto" w:fill="FFFFFF"/>
          </w:tcPr>
          <w:p w14:paraId="6DCD1B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4 </w:t>
            </w:r>
            <w:proofErr w:type="gramStart"/>
            <w:r w:rsidRPr="00925F26">
              <w:rPr>
                <w:color w:val="000000" w:themeColor="text1"/>
                <w:sz w:val="16"/>
                <w:szCs w:val="16"/>
              </w:rPr>
              <w:t>чел</w:t>
            </w:r>
            <w:proofErr w:type="gramEnd"/>
          </w:p>
        </w:tc>
      </w:tr>
      <w:tr w:rsidR="000F5689" w:rsidRPr="00925F26" w14:paraId="694D7E48" w14:textId="77777777">
        <w:tc>
          <w:tcPr>
            <w:tcW w:w="4219" w:type="dxa"/>
            <w:shd w:val="clear" w:color="auto" w:fill="FFFFFF"/>
          </w:tcPr>
          <w:p w14:paraId="26199B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shd w:val="clear" w:color="auto" w:fill="FFFFFF"/>
          </w:tcPr>
          <w:p w14:paraId="3F7AE9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 заводских испытаниях самолета № 16215 выпуска декабря 1944 года.</w:t>
            </w:r>
          </w:p>
        </w:tc>
      </w:tr>
      <w:tr w:rsidR="000F5689" w:rsidRPr="00925F26" w14:paraId="67A4EF62" w14:textId="77777777">
        <w:tc>
          <w:tcPr>
            <w:tcW w:w="4219" w:type="dxa"/>
            <w:shd w:val="clear" w:color="auto" w:fill="FFFFFF"/>
          </w:tcPr>
          <w:p w14:paraId="5CF289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Ер-2 с двумя моторами АЧ-З0Б.</w:t>
            </w:r>
          </w:p>
        </w:tc>
        <w:tc>
          <w:tcPr>
            <w:tcW w:w="4253" w:type="dxa"/>
            <w:shd w:val="clear" w:color="auto" w:fill="FFFFFF"/>
          </w:tcPr>
          <w:p w14:paraId="5F8AB740"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70EA98F8" w14:textId="77777777">
        <w:tc>
          <w:tcPr>
            <w:tcW w:w="4219" w:type="dxa"/>
            <w:shd w:val="clear" w:color="auto" w:fill="FFFFFF"/>
          </w:tcPr>
          <w:p w14:paraId="3D807A5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53" w:type="dxa"/>
            <w:shd w:val="clear" w:color="auto" w:fill="FFFFFF"/>
          </w:tcPr>
          <w:p w14:paraId="04E2192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w:t>
            </w:r>
          </w:p>
        </w:tc>
      </w:tr>
      <w:tr w:rsidR="000F5689" w:rsidRPr="00925F26" w14:paraId="6E47AD3B" w14:textId="77777777">
        <w:tc>
          <w:tcPr>
            <w:tcW w:w="4219" w:type="dxa"/>
            <w:shd w:val="clear" w:color="auto" w:fill="FFFFFF"/>
          </w:tcPr>
          <w:p w14:paraId="72FB52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на высоте 6000 мт</w:t>
            </w:r>
          </w:p>
        </w:tc>
        <w:tc>
          <w:tcPr>
            <w:tcW w:w="4253" w:type="dxa"/>
            <w:shd w:val="clear" w:color="auto" w:fill="FFFFFF"/>
          </w:tcPr>
          <w:p w14:paraId="2EA0EA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420</w:t>
            </w:r>
          </w:p>
        </w:tc>
      </w:tr>
      <w:tr w:rsidR="000F5689" w:rsidRPr="00925F26" w14:paraId="3ECA5023" w14:textId="77777777">
        <w:tc>
          <w:tcPr>
            <w:tcW w:w="4219" w:type="dxa"/>
            <w:shd w:val="clear" w:color="auto" w:fill="FFFFFF"/>
          </w:tcPr>
          <w:p w14:paraId="4ECDA6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 с 4000 кг бомб на 0,8 максимальной скорости</w:t>
            </w:r>
          </w:p>
        </w:tc>
        <w:tc>
          <w:tcPr>
            <w:tcW w:w="4253" w:type="dxa"/>
            <w:shd w:val="clear" w:color="auto" w:fill="FFFFFF"/>
          </w:tcPr>
          <w:p w14:paraId="427FE0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 км</w:t>
            </w:r>
          </w:p>
        </w:tc>
      </w:tr>
      <w:tr w:rsidR="000F5689" w:rsidRPr="00925F26" w14:paraId="416B1C17" w14:textId="77777777">
        <w:tc>
          <w:tcPr>
            <w:tcW w:w="4219" w:type="dxa"/>
            <w:shd w:val="clear" w:color="auto" w:fill="FFFFFF"/>
          </w:tcPr>
          <w:p w14:paraId="72712F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полёта максимальная с 1000 кг бомб на 0,8 максималь</w:t>
            </w:r>
            <w:r w:rsidRPr="00925F26">
              <w:rPr>
                <w:color w:val="000000" w:themeColor="text1"/>
                <w:sz w:val="16"/>
                <w:szCs w:val="16"/>
              </w:rPr>
              <w:softHyphen/>
              <w:t>ной скорости</w:t>
            </w:r>
          </w:p>
        </w:tc>
        <w:tc>
          <w:tcPr>
            <w:tcW w:w="4253" w:type="dxa"/>
            <w:shd w:val="clear" w:color="auto" w:fill="FFFFFF"/>
          </w:tcPr>
          <w:p w14:paraId="7B3BD51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 км</w:t>
            </w:r>
          </w:p>
        </w:tc>
      </w:tr>
      <w:tr w:rsidR="000F5689" w:rsidRPr="00925F26" w14:paraId="0C3DC391" w14:textId="77777777">
        <w:tc>
          <w:tcPr>
            <w:tcW w:w="4219" w:type="dxa"/>
            <w:shd w:val="clear" w:color="auto" w:fill="FFFFFF"/>
          </w:tcPr>
          <w:p w14:paraId="452169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Вреия под”ёма на высоту 5000 мт</w:t>
            </w:r>
          </w:p>
        </w:tc>
        <w:tc>
          <w:tcPr>
            <w:tcW w:w="4253" w:type="dxa"/>
            <w:shd w:val="clear" w:color="auto" w:fill="FFFFFF"/>
          </w:tcPr>
          <w:p w14:paraId="2DD981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мин.</w:t>
            </w:r>
          </w:p>
        </w:tc>
      </w:tr>
      <w:tr w:rsidR="000F5689" w:rsidRPr="00925F26" w14:paraId="674DB9A1" w14:textId="77777777">
        <w:tc>
          <w:tcPr>
            <w:tcW w:w="4219" w:type="dxa"/>
            <w:shd w:val="clear" w:color="auto" w:fill="FFFFFF"/>
          </w:tcPr>
          <w:p w14:paraId="38843C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w:t>
            </w:r>
          </w:p>
        </w:tc>
        <w:tc>
          <w:tcPr>
            <w:tcW w:w="4253" w:type="dxa"/>
            <w:shd w:val="clear" w:color="auto" w:fill="FFFFFF"/>
          </w:tcPr>
          <w:p w14:paraId="441EA9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8300 мт</w:t>
            </w:r>
          </w:p>
        </w:tc>
      </w:tr>
      <w:tr w:rsidR="000F5689" w:rsidRPr="00925F26" w14:paraId="55C39B7F" w14:textId="77777777">
        <w:tc>
          <w:tcPr>
            <w:tcW w:w="4219" w:type="dxa"/>
            <w:shd w:val="clear" w:color="auto" w:fill="FFFFFF"/>
          </w:tcPr>
          <w:p w14:paraId="2BD746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Бомбовая нагрузка - нормальная</w:t>
            </w:r>
          </w:p>
        </w:tc>
        <w:tc>
          <w:tcPr>
            <w:tcW w:w="4253" w:type="dxa"/>
            <w:shd w:val="clear" w:color="auto" w:fill="FFFFFF"/>
          </w:tcPr>
          <w:p w14:paraId="7CC612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1000 кг</w:t>
            </w:r>
          </w:p>
        </w:tc>
      </w:tr>
      <w:tr w:rsidR="000F5689" w:rsidRPr="00925F26" w14:paraId="3520F049" w14:textId="77777777">
        <w:tc>
          <w:tcPr>
            <w:tcW w:w="4219" w:type="dxa"/>
            <w:shd w:val="clear" w:color="auto" w:fill="FFFFFF"/>
          </w:tcPr>
          <w:p w14:paraId="4C3127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w:t>
            </w:r>
          </w:p>
        </w:tc>
        <w:tc>
          <w:tcPr>
            <w:tcW w:w="4253" w:type="dxa"/>
            <w:shd w:val="clear" w:color="auto" w:fill="FFFFFF"/>
          </w:tcPr>
          <w:p w14:paraId="14D7C8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5000 кг</w:t>
            </w:r>
          </w:p>
        </w:tc>
      </w:tr>
      <w:tr w:rsidR="000F5689" w:rsidRPr="00925F26" w14:paraId="5ADA87AD" w14:textId="77777777">
        <w:tc>
          <w:tcPr>
            <w:tcW w:w="4219" w:type="dxa"/>
            <w:shd w:val="clear" w:color="auto" w:fill="FFFFFF"/>
          </w:tcPr>
          <w:p w14:paraId="4BAEE8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Максимальный калибр подвешиваемых бомб</w:t>
            </w:r>
          </w:p>
        </w:tc>
        <w:tc>
          <w:tcPr>
            <w:tcW w:w="4253" w:type="dxa"/>
            <w:shd w:val="clear" w:color="auto" w:fill="FFFFFF"/>
          </w:tcPr>
          <w:p w14:paraId="100CEC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 кг</w:t>
            </w:r>
          </w:p>
        </w:tc>
      </w:tr>
      <w:tr w:rsidR="000F5689" w:rsidRPr="00925F26" w14:paraId="3BABC9E9" w14:textId="77777777">
        <w:tc>
          <w:tcPr>
            <w:tcW w:w="4219" w:type="dxa"/>
            <w:shd w:val="clear" w:color="auto" w:fill="FFFFFF"/>
          </w:tcPr>
          <w:p w14:paraId="0C93DE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стрелковое вперед</w:t>
            </w:r>
          </w:p>
        </w:tc>
        <w:tc>
          <w:tcPr>
            <w:tcW w:w="4253" w:type="dxa"/>
            <w:shd w:val="clear" w:color="auto" w:fill="FFFFFF"/>
          </w:tcPr>
          <w:p w14:paraId="1FBD49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12,7 мм</w:t>
            </w:r>
          </w:p>
        </w:tc>
      </w:tr>
      <w:tr w:rsidR="000F5689" w:rsidRPr="00925F26" w14:paraId="3821B769" w14:textId="77777777">
        <w:tc>
          <w:tcPr>
            <w:tcW w:w="4219" w:type="dxa"/>
            <w:shd w:val="clear" w:color="auto" w:fill="FFFFFF"/>
          </w:tcPr>
          <w:p w14:paraId="486DD5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назад</w:t>
            </w:r>
          </w:p>
        </w:tc>
        <w:tc>
          <w:tcPr>
            <w:tcW w:w="4253" w:type="dxa"/>
            <w:shd w:val="clear" w:color="auto" w:fill="FFFFFF"/>
          </w:tcPr>
          <w:p w14:paraId="38ABF6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пулемёт калибра 12,7 мм</w:t>
            </w:r>
          </w:p>
        </w:tc>
      </w:tr>
      <w:tr w:rsidR="000F5689" w:rsidRPr="00925F26" w14:paraId="125B268E" w14:textId="77777777">
        <w:tc>
          <w:tcPr>
            <w:tcW w:w="4219" w:type="dxa"/>
            <w:shd w:val="clear" w:color="auto" w:fill="FFFFFF"/>
          </w:tcPr>
          <w:p w14:paraId="00861C14" w14:textId="77777777" w:rsidR="00665165" w:rsidRPr="00925F26" w:rsidRDefault="00665165" w:rsidP="00925F26">
            <w:pPr>
              <w:autoSpaceDE w:val="0"/>
              <w:autoSpaceDN w:val="0"/>
              <w:adjustRightInd w:val="0"/>
              <w:jc w:val="both"/>
              <w:rPr>
                <w:color w:val="000000" w:themeColor="text1"/>
                <w:sz w:val="16"/>
                <w:szCs w:val="16"/>
              </w:rPr>
            </w:pPr>
          </w:p>
        </w:tc>
        <w:tc>
          <w:tcPr>
            <w:tcW w:w="4253" w:type="dxa"/>
            <w:shd w:val="clear" w:color="auto" w:fill="FFFFFF"/>
          </w:tcPr>
          <w:p w14:paraId="33EFD2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пушка калибра 20 мм</w:t>
            </w:r>
          </w:p>
        </w:tc>
      </w:tr>
      <w:tr w:rsidR="000F5689" w:rsidRPr="00925F26" w14:paraId="4F91EAB5" w14:textId="77777777">
        <w:tc>
          <w:tcPr>
            <w:tcW w:w="4219" w:type="dxa"/>
            <w:shd w:val="clear" w:color="auto" w:fill="FFFFFF"/>
          </w:tcPr>
          <w:p w14:paraId="4DE2DA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Полётный вес нормальный</w:t>
            </w:r>
          </w:p>
        </w:tc>
        <w:tc>
          <w:tcPr>
            <w:tcW w:w="4253" w:type="dxa"/>
            <w:shd w:val="clear" w:color="auto" w:fill="FFFFFF"/>
          </w:tcPr>
          <w:p w14:paraId="12D34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14850 кг</w:t>
            </w:r>
          </w:p>
        </w:tc>
      </w:tr>
      <w:tr w:rsidR="000F5689" w:rsidRPr="00925F26" w14:paraId="0CF8333B" w14:textId="77777777">
        <w:tc>
          <w:tcPr>
            <w:tcW w:w="4219" w:type="dxa"/>
            <w:shd w:val="clear" w:color="auto" w:fill="FFFFFF"/>
          </w:tcPr>
          <w:p w14:paraId="2BE60E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w:t>
            </w:r>
          </w:p>
        </w:tc>
        <w:tc>
          <w:tcPr>
            <w:tcW w:w="4253" w:type="dxa"/>
            <w:shd w:val="clear" w:color="auto" w:fill="FFFFFF"/>
          </w:tcPr>
          <w:p w14:paraId="33D1A6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18100 кг</w:t>
            </w:r>
          </w:p>
        </w:tc>
      </w:tr>
      <w:tr w:rsidR="000F5689" w:rsidRPr="00925F26" w14:paraId="659C68C5" w14:textId="77777777">
        <w:tc>
          <w:tcPr>
            <w:tcW w:w="4219" w:type="dxa"/>
            <w:shd w:val="clear" w:color="auto" w:fill="FFFFFF"/>
          </w:tcPr>
          <w:p w14:paraId="28D219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4253" w:type="dxa"/>
            <w:shd w:val="clear" w:color="auto" w:fill="FFFFFF"/>
          </w:tcPr>
          <w:p w14:paraId="1F283C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 чел.</w:t>
            </w:r>
          </w:p>
        </w:tc>
      </w:tr>
      <w:tr w:rsidR="000F5689" w:rsidRPr="00925F26" w14:paraId="52B40B43" w14:textId="77777777">
        <w:tc>
          <w:tcPr>
            <w:tcW w:w="4219" w:type="dxa"/>
            <w:tcBorders>
              <w:bottom w:val="single" w:sz="12" w:space="0" w:color="auto"/>
            </w:tcBorders>
          </w:tcPr>
          <w:p w14:paraId="3C6C41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53" w:type="dxa"/>
            <w:tcBorders>
              <w:bottom w:val="single" w:sz="12" w:space="0" w:color="auto"/>
            </w:tcBorders>
          </w:tcPr>
          <w:p w14:paraId="201EA5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Отчёт об испытании в НИИ ВВС ЕА самолёта № 7013901.</w:t>
            </w:r>
          </w:p>
        </w:tc>
      </w:tr>
    </w:tbl>
    <w:p w14:paraId="6020E7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Транспортные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0F5689" w:rsidRPr="00925F26" w14:paraId="11CE1777" w14:textId="77777777">
        <w:tc>
          <w:tcPr>
            <w:tcW w:w="4261" w:type="dxa"/>
            <w:tcBorders>
              <w:top w:val="single" w:sz="12" w:space="0" w:color="auto"/>
            </w:tcBorders>
            <w:shd w:val="clear" w:color="auto" w:fill="FFFFFF"/>
          </w:tcPr>
          <w:p w14:paraId="6961C5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Ли-2 с двумя моторами АШ-62ИР в пассажирском варианте</w:t>
            </w:r>
          </w:p>
        </w:tc>
        <w:tc>
          <w:tcPr>
            <w:tcW w:w="4261" w:type="dxa"/>
            <w:tcBorders>
              <w:top w:val="single" w:sz="12" w:space="0" w:color="auto"/>
            </w:tcBorders>
            <w:shd w:val="clear" w:color="auto" w:fill="FFFFFF"/>
          </w:tcPr>
          <w:p w14:paraId="66EC498A"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44CE0DA" w14:textId="77777777">
        <w:tc>
          <w:tcPr>
            <w:tcW w:w="4261" w:type="dxa"/>
            <w:shd w:val="clear" w:color="auto" w:fill="FFFFFF"/>
          </w:tcPr>
          <w:p w14:paraId="2A66EC0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61" w:type="dxa"/>
            <w:shd w:val="clear" w:color="auto" w:fill="FFFFFF"/>
          </w:tcPr>
          <w:p w14:paraId="49797A1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309 км/час</w:t>
            </w:r>
          </w:p>
        </w:tc>
      </w:tr>
      <w:tr w:rsidR="000F5689" w:rsidRPr="00925F26" w14:paraId="4C32B22F" w14:textId="77777777">
        <w:tc>
          <w:tcPr>
            <w:tcW w:w="4261" w:type="dxa"/>
            <w:shd w:val="clear" w:color="auto" w:fill="FFFFFF"/>
          </w:tcPr>
          <w:p w14:paraId="245ADC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1760 м</w:t>
            </w:r>
          </w:p>
        </w:tc>
        <w:tc>
          <w:tcPr>
            <w:tcW w:w="4261" w:type="dxa"/>
            <w:shd w:val="clear" w:color="auto" w:fill="FFFFFF"/>
          </w:tcPr>
          <w:p w14:paraId="4CCF6A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333 ко/час</w:t>
            </w:r>
          </w:p>
        </w:tc>
      </w:tr>
      <w:tr w:rsidR="000F5689" w:rsidRPr="00925F26" w14:paraId="0E1554D2" w14:textId="77777777">
        <w:tc>
          <w:tcPr>
            <w:tcW w:w="4261" w:type="dxa"/>
            <w:shd w:val="clear" w:color="auto" w:fill="FFFFFF"/>
          </w:tcPr>
          <w:p w14:paraId="4FEAA6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Время </w:t>
            </w:r>
            <w:proofErr w:type="gramStart"/>
            <w:r w:rsidRPr="00925F26">
              <w:rPr>
                <w:color w:val="000000" w:themeColor="text1"/>
                <w:sz w:val="16"/>
                <w:szCs w:val="16"/>
              </w:rPr>
              <w:t>под”ема</w:t>
            </w:r>
            <w:proofErr w:type="gramEnd"/>
            <w:r w:rsidRPr="00925F26">
              <w:rPr>
                <w:color w:val="000000" w:themeColor="text1"/>
                <w:sz w:val="16"/>
                <w:szCs w:val="16"/>
              </w:rPr>
              <w:t xml:space="preserve"> на 3000 м</w:t>
            </w:r>
          </w:p>
        </w:tc>
        <w:tc>
          <w:tcPr>
            <w:tcW w:w="4261" w:type="dxa"/>
            <w:shd w:val="clear" w:color="auto" w:fill="FFFFFF"/>
          </w:tcPr>
          <w:p w14:paraId="77F1B0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13,8 минут</w:t>
            </w:r>
          </w:p>
        </w:tc>
      </w:tr>
      <w:tr w:rsidR="000F5689" w:rsidRPr="00925F26" w14:paraId="677DB182" w14:textId="77777777">
        <w:tc>
          <w:tcPr>
            <w:tcW w:w="4261" w:type="dxa"/>
            <w:shd w:val="clear" w:color="auto" w:fill="FFFFFF"/>
          </w:tcPr>
          <w:p w14:paraId="6363A4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w:t>
            </w:r>
          </w:p>
        </w:tc>
        <w:tc>
          <w:tcPr>
            <w:tcW w:w="4261" w:type="dxa"/>
            <w:shd w:val="clear" w:color="auto" w:fill="FFFFFF"/>
          </w:tcPr>
          <w:p w14:paraId="00BCD6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5720 м</w:t>
            </w:r>
          </w:p>
        </w:tc>
      </w:tr>
      <w:tr w:rsidR="000F5689" w:rsidRPr="00925F26" w14:paraId="1923C725" w14:textId="77777777">
        <w:tc>
          <w:tcPr>
            <w:tcW w:w="4261" w:type="dxa"/>
            <w:shd w:val="clear" w:color="auto" w:fill="FFFFFF"/>
          </w:tcPr>
          <w:p w14:paraId="5C0FAD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0,8 максимальной скорости</w:t>
            </w:r>
          </w:p>
        </w:tc>
        <w:tc>
          <w:tcPr>
            <w:tcW w:w="4261" w:type="dxa"/>
            <w:shd w:val="clear" w:color="auto" w:fill="FFFFFF"/>
          </w:tcPr>
          <w:p w14:paraId="607590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2600 км</w:t>
            </w:r>
          </w:p>
        </w:tc>
      </w:tr>
      <w:tr w:rsidR="000F5689" w:rsidRPr="00925F26" w14:paraId="250D2343" w14:textId="77777777">
        <w:tc>
          <w:tcPr>
            <w:tcW w:w="4261" w:type="dxa"/>
            <w:shd w:val="clear" w:color="auto" w:fill="FFFFFF"/>
          </w:tcPr>
          <w:p w14:paraId="0C9BA5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 нормальный</w:t>
            </w:r>
          </w:p>
        </w:tc>
        <w:tc>
          <w:tcPr>
            <w:tcW w:w="4261" w:type="dxa"/>
            <w:shd w:val="clear" w:color="auto" w:fill="FFFFFF"/>
          </w:tcPr>
          <w:p w14:paraId="4A25BE9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11000 кг</w:t>
            </w:r>
          </w:p>
        </w:tc>
      </w:tr>
      <w:tr w:rsidR="000F5689" w:rsidRPr="00925F26" w14:paraId="75F72239" w14:textId="77777777">
        <w:tc>
          <w:tcPr>
            <w:tcW w:w="4261" w:type="dxa"/>
            <w:shd w:val="clear" w:color="auto" w:fill="FFFFFF"/>
          </w:tcPr>
          <w:p w14:paraId="040E7F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максимальный</w:t>
            </w:r>
          </w:p>
        </w:tc>
        <w:tc>
          <w:tcPr>
            <w:tcW w:w="4261" w:type="dxa"/>
            <w:shd w:val="clear" w:color="auto" w:fill="FFFFFF"/>
          </w:tcPr>
          <w:p w14:paraId="3B4234F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11900</w:t>
            </w:r>
          </w:p>
        </w:tc>
      </w:tr>
      <w:tr w:rsidR="000F5689" w:rsidRPr="00925F26" w14:paraId="6D1B3905" w14:textId="77777777">
        <w:tc>
          <w:tcPr>
            <w:tcW w:w="4261" w:type="dxa"/>
            <w:shd w:val="clear" w:color="auto" w:fill="FFFFFF"/>
          </w:tcPr>
          <w:p w14:paraId="24E8E8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пассажиров</w:t>
            </w:r>
          </w:p>
        </w:tc>
        <w:tc>
          <w:tcPr>
            <w:tcW w:w="4261" w:type="dxa"/>
            <w:shd w:val="clear" w:color="auto" w:fill="FFFFFF"/>
          </w:tcPr>
          <w:p w14:paraId="163AE9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 чел.</w:t>
            </w:r>
          </w:p>
        </w:tc>
      </w:tr>
      <w:tr w:rsidR="000F5689" w:rsidRPr="00925F26" w14:paraId="4D9FB6A0" w14:textId="77777777">
        <w:tc>
          <w:tcPr>
            <w:tcW w:w="4261" w:type="dxa"/>
            <w:shd w:val="clear" w:color="auto" w:fill="FFFFFF"/>
          </w:tcPr>
          <w:p w14:paraId="486756E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61" w:type="dxa"/>
            <w:shd w:val="clear" w:color="auto" w:fill="FFFFFF"/>
          </w:tcPr>
          <w:p w14:paraId="3F7D86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Отчет о государственных испытаниях самолета, 1940 года.</w:t>
            </w:r>
          </w:p>
        </w:tc>
      </w:tr>
      <w:tr w:rsidR="000F5689" w:rsidRPr="00925F26" w14:paraId="0384BD9F" w14:textId="77777777">
        <w:tc>
          <w:tcPr>
            <w:tcW w:w="4261" w:type="dxa"/>
            <w:shd w:val="clear" w:color="auto" w:fill="FFFFFF"/>
          </w:tcPr>
          <w:p w14:paraId="032DE5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 Ще-2 с двумя моторами М-11</w:t>
            </w:r>
          </w:p>
        </w:tc>
        <w:tc>
          <w:tcPr>
            <w:tcW w:w="4261" w:type="dxa"/>
            <w:shd w:val="clear" w:color="auto" w:fill="FFFFFF"/>
          </w:tcPr>
          <w:p w14:paraId="12B9F8A6"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53346333" w14:textId="77777777">
        <w:tc>
          <w:tcPr>
            <w:tcW w:w="4261" w:type="dxa"/>
            <w:shd w:val="clear" w:color="auto" w:fill="FFFFFF"/>
          </w:tcPr>
          <w:p w14:paraId="166B21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у земли</w:t>
            </w:r>
          </w:p>
        </w:tc>
        <w:tc>
          <w:tcPr>
            <w:tcW w:w="4261" w:type="dxa"/>
            <w:shd w:val="clear" w:color="auto" w:fill="FFFFFF"/>
          </w:tcPr>
          <w:p w14:paraId="26F2FF2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157 км/час</w:t>
            </w:r>
          </w:p>
        </w:tc>
      </w:tr>
      <w:tr w:rsidR="000F5689" w:rsidRPr="00925F26" w14:paraId="2E2F2FD1" w14:textId="77777777">
        <w:tc>
          <w:tcPr>
            <w:tcW w:w="4261" w:type="dxa"/>
            <w:shd w:val="clear" w:color="auto" w:fill="FFFFFF"/>
          </w:tcPr>
          <w:p w14:paraId="1BCE6D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высоте 1000 м</w:t>
            </w:r>
          </w:p>
        </w:tc>
        <w:tc>
          <w:tcPr>
            <w:tcW w:w="4261" w:type="dxa"/>
            <w:shd w:val="clear" w:color="auto" w:fill="FFFFFF"/>
          </w:tcPr>
          <w:p w14:paraId="593A572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164 км/час</w:t>
            </w:r>
          </w:p>
        </w:tc>
      </w:tr>
      <w:tr w:rsidR="000F5689" w:rsidRPr="00925F26" w14:paraId="793CA269" w14:textId="77777777">
        <w:tc>
          <w:tcPr>
            <w:tcW w:w="4261" w:type="dxa"/>
            <w:shd w:val="clear" w:color="auto" w:fill="FFFFFF"/>
          </w:tcPr>
          <w:p w14:paraId="634A2FE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w:t>
            </w:r>
          </w:p>
        </w:tc>
        <w:tc>
          <w:tcPr>
            <w:tcW w:w="4261" w:type="dxa"/>
            <w:shd w:val="clear" w:color="auto" w:fill="FFFFFF"/>
          </w:tcPr>
          <w:p w14:paraId="301D90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2000 м</w:t>
            </w:r>
          </w:p>
        </w:tc>
      </w:tr>
      <w:tr w:rsidR="000F5689" w:rsidRPr="00925F26" w14:paraId="3D5600B9" w14:textId="77777777">
        <w:tc>
          <w:tcPr>
            <w:tcW w:w="4261" w:type="dxa"/>
            <w:shd w:val="clear" w:color="auto" w:fill="FFFFFF"/>
          </w:tcPr>
          <w:p w14:paraId="262F8D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0,8 максимальной скорости при нагрузив 865 кг</w:t>
            </w:r>
          </w:p>
        </w:tc>
        <w:tc>
          <w:tcPr>
            <w:tcW w:w="4261" w:type="dxa"/>
            <w:shd w:val="clear" w:color="auto" w:fill="FFFFFF"/>
          </w:tcPr>
          <w:p w14:paraId="094BD5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980 км</w:t>
            </w:r>
          </w:p>
        </w:tc>
      </w:tr>
      <w:tr w:rsidR="000F5689" w:rsidRPr="00925F26" w14:paraId="483D9075" w14:textId="77777777">
        <w:tc>
          <w:tcPr>
            <w:tcW w:w="4261" w:type="dxa"/>
            <w:shd w:val="clear" w:color="auto" w:fill="FFFFFF"/>
          </w:tcPr>
          <w:p w14:paraId="27669E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на 0,8 максимальной скорости при нагрузке 555 кг</w:t>
            </w:r>
          </w:p>
        </w:tc>
        <w:tc>
          <w:tcPr>
            <w:tcW w:w="4261" w:type="dxa"/>
            <w:shd w:val="clear" w:color="auto" w:fill="FFFFFF"/>
          </w:tcPr>
          <w:p w14:paraId="26DEB1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2160 км</w:t>
            </w:r>
          </w:p>
        </w:tc>
      </w:tr>
      <w:tr w:rsidR="000F5689" w:rsidRPr="00925F26" w14:paraId="36FB26C8" w14:textId="77777777">
        <w:tc>
          <w:tcPr>
            <w:tcW w:w="4261" w:type="dxa"/>
            <w:shd w:val="clear" w:color="auto" w:fill="FFFFFF"/>
          </w:tcPr>
          <w:p w14:paraId="7CDBBA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Полетный вес</w:t>
            </w:r>
          </w:p>
        </w:tc>
        <w:tc>
          <w:tcPr>
            <w:tcW w:w="4261" w:type="dxa"/>
            <w:shd w:val="clear" w:color="auto" w:fill="FFFFFF"/>
          </w:tcPr>
          <w:p w14:paraId="147DBE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3400 кг</w:t>
            </w:r>
          </w:p>
        </w:tc>
      </w:tr>
      <w:tr w:rsidR="000F5689" w:rsidRPr="00925F26" w14:paraId="7FF9EC09" w14:textId="77777777">
        <w:tc>
          <w:tcPr>
            <w:tcW w:w="4261" w:type="dxa"/>
            <w:shd w:val="clear" w:color="auto" w:fill="FFFFFF"/>
          </w:tcPr>
          <w:p w14:paraId="5C0B9C1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Нормальная нагрузка</w:t>
            </w:r>
          </w:p>
        </w:tc>
        <w:tc>
          <w:tcPr>
            <w:tcW w:w="4261" w:type="dxa"/>
            <w:shd w:val="clear" w:color="auto" w:fill="FFFFFF"/>
          </w:tcPr>
          <w:p w14:paraId="446F617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865 кг</w:t>
            </w:r>
          </w:p>
        </w:tc>
      </w:tr>
      <w:tr w:rsidR="000F5689" w:rsidRPr="00925F26" w14:paraId="43C042F8" w14:textId="77777777">
        <w:tc>
          <w:tcPr>
            <w:tcW w:w="4261" w:type="dxa"/>
            <w:tcBorders>
              <w:bottom w:val="single" w:sz="12" w:space="0" w:color="auto"/>
            </w:tcBorders>
          </w:tcPr>
          <w:p w14:paraId="31E11A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Источник данных:</w:t>
            </w:r>
          </w:p>
        </w:tc>
        <w:tc>
          <w:tcPr>
            <w:tcW w:w="4261" w:type="dxa"/>
            <w:tcBorders>
              <w:bottom w:val="single" w:sz="12" w:space="0" w:color="auto"/>
            </w:tcBorders>
          </w:tcPr>
          <w:p w14:paraId="23B3CC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Отчет НИИ ВВС КА о государственных испытаниях самолета от 28 августа 1943 года</w:t>
            </w:r>
          </w:p>
        </w:tc>
      </w:tr>
    </w:tbl>
    <w:p w14:paraId="41D605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(1880,157).</w:t>
      </w:r>
    </w:p>
    <w:p w14:paraId="4A9AFE90" w14:textId="77777777" w:rsidR="00665165" w:rsidRPr="00925F26" w:rsidRDefault="00665165" w:rsidP="00925F26">
      <w:pPr>
        <w:autoSpaceDE w:val="0"/>
        <w:autoSpaceDN w:val="0"/>
        <w:adjustRightInd w:val="0"/>
        <w:jc w:val="both"/>
        <w:rPr>
          <w:color w:val="000000" w:themeColor="text1"/>
          <w:sz w:val="16"/>
          <w:szCs w:val="16"/>
        </w:rPr>
      </w:pPr>
    </w:p>
    <w:p w14:paraId="3724BD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Зибель Си-204 под номером Н-414 разбился в Тульской области. Отказ одного и сбои второго мотора привели к вынужденной посадке (5741,14).</w:t>
      </w:r>
    </w:p>
    <w:p w14:paraId="178A3D8C" w14:textId="77777777" w:rsidR="00665165" w:rsidRPr="00925F26" w:rsidRDefault="00665165" w:rsidP="00925F26">
      <w:pPr>
        <w:autoSpaceDE w:val="0"/>
        <w:autoSpaceDN w:val="0"/>
        <w:adjustRightInd w:val="0"/>
        <w:jc w:val="both"/>
        <w:rPr>
          <w:color w:val="000000" w:themeColor="text1"/>
          <w:sz w:val="16"/>
          <w:szCs w:val="16"/>
        </w:rPr>
      </w:pPr>
    </w:p>
    <w:p w14:paraId="2D67E8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в НИИ ВВС л В.Е.Голофастов испытал, а А.Г.Кочетков, А.Г.Прошаков, В.И.Хомяков, Л.М.Кувшинов и В.Г.Машин облетали Fw 190D-9 N 210251 (2466,83).</w:t>
      </w:r>
    </w:p>
    <w:p w14:paraId="0657B1EA" w14:textId="77777777" w:rsidR="00665165" w:rsidRPr="00925F26" w:rsidRDefault="00665165" w:rsidP="00925F26">
      <w:pPr>
        <w:autoSpaceDE w:val="0"/>
        <w:autoSpaceDN w:val="0"/>
        <w:adjustRightInd w:val="0"/>
        <w:jc w:val="both"/>
        <w:rPr>
          <w:color w:val="000000" w:themeColor="text1"/>
          <w:sz w:val="16"/>
          <w:szCs w:val="16"/>
        </w:rPr>
      </w:pPr>
    </w:p>
    <w:p w14:paraId="6D5114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вышел приказ наркома ВМФ об установлении до</w:t>
      </w:r>
      <w:r w:rsidRPr="00925F26">
        <w:rPr>
          <w:color w:val="000000" w:themeColor="text1"/>
          <w:sz w:val="16"/>
          <w:szCs w:val="16"/>
        </w:rPr>
        <w:softHyphen/>
        <w:t>полнительного вознаграждения летно-техническому составу за старты с ката</w:t>
      </w:r>
      <w:r w:rsidRPr="00925F26">
        <w:rPr>
          <w:color w:val="000000" w:themeColor="text1"/>
          <w:sz w:val="16"/>
          <w:szCs w:val="16"/>
        </w:rPr>
        <w:softHyphen/>
        <w:t>пульты. За первый такой взлет пилоту по</w:t>
      </w:r>
      <w:r w:rsidRPr="00925F26">
        <w:rPr>
          <w:color w:val="000000" w:themeColor="text1"/>
          <w:sz w:val="16"/>
          <w:szCs w:val="16"/>
        </w:rPr>
        <w:softHyphen/>
        <w:t>лагалось 150 руб., за все последующие — по 75 руб. Штурману выплачивалась пре</w:t>
      </w:r>
      <w:r w:rsidRPr="00925F26">
        <w:rPr>
          <w:color w:val="000000" w:themeColor="text1"/>
          <w:sz w:val="16"/>
          <w:szCs w:val="16"/>
        </w:rPr>
        <w:softHyphen/>
        <w:t>мия в размере 75% от вознаграждения летчика, а техникам — по 50%. Если же летчик выполнял контрольный облет само</w:t>
      </w:r>
      <w:r w:rsidRPr="00925F26">
        <w:rPr>
          <w:color w:val="000000" w:themeColor="text1"/>
          <w:sz w:val="16"/>
          <w:szCs w:val="16"/>
        </w:rPr>
        <w:softHyphen/>
        <w:t xml:space="preserve">лета, только что поступившего на корабль с завода или после капитального ремонта, ему причиталось 500 </w:t>
      </w:r>
      <w:proofErr w:type="gramStart"/>
      <w:r w:rsidRPr="00925F26">
        <w:rPr>
          <w:color w:val="000000" w:themeColor="text1"/>
          <w:sz w:val="16"/>
          <w:szCs w:val="16"/>
        </w:rPr>
        <w:t>руб.(</w:t>
      </w:r>
      <w:proofErr w:type="gramEnd"/>
      <w:r w:rsidRPr="00925F26">
        <w:rPr>
          <w:color w:val="000000" w:themeColor="text1"/>
          <w:sz w:val="16"/>
          <w:szCs w:val="16"/>
        </w:rPr>
        <w:t>10685).</w:t>
      </w:r>
    </w:p>
    <w:p w14:paraId="5A7A4F52" w14:textId="77777777" w:rsidR="00665165" w:rsidRPr="00925F26" w:rsidRDefault="00665165" w:rsidP="00925F26">
      <w:pPr>
        <w:autoSpaceDE w:val="0"/>
        <w:autoSpaceDN w:val="0"/>
        <w:adjustRightInd w:val="0"/>
        <w:jc w:val="both"/>
        <w:rPr>
          <w:color w:val="000000" w:themeColor="text1"/>
          <w:sz w:val="16"/>
          <w:szCs w:val="16"/>
        </w:rPr>
      </w:pPr>
    </w:p>
    <w:p w14:paraId="2141E3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статическими испытаниями 5 самолетов Ут-2 производства з-да N 116, проведенными ЦАГИ, была выявлена недостаточная прочность носков нервюр крыла (2591,108).</w:t>
      </w:r>
    </w:p>
    <w:p w14:paraId="77C219EA" w14:textId="77777777" w:rsidR="00665165" w:rsidRPr="00925F26" w:rsidRDefault="00665165" w:rsidP="00925F26">
      <w:pPr>
        <w:autoSpaceDE w:val="0"/>
        <w:autoSpaceDN w:val="0"/>
        <w:adjustRightInd w:val="0"/>
        <w:jc w:val="both"/>
        <w:rPr>
          <w:color w:val="000000" w:themeColor="text1"/>
          <w:sz w:val="16"/>
          <w:szCs w:val="16"/>
        </w:rPr>
      </w:pPr>
    </w:p>
    <w:p w14:paraId="42FCF5B6" w14:textId="77777777" w:rsidR="00A354F9" w:rsidRPr="001A0BAA" w:rsidRDefault="00A354F9" w:rsidP="00A354F9">
      <w:pPr>
        <w:jc w:val="both"/>
        <w:rPr>
          <w:color w:val="0070C0"/>
          <w:sz w:val="16"/>
          <w:szCs w:val="16"/>
        </w:rPr>
      </w:pPr>
      <w:r w:rsidRPr="001A0BAA">
        <w:rPr>
          <w:color w:val="0070C0"/>
          <w:sz w:val="16"/>
          <w:szCs w:val="16"/>
        </w:rPr>
        <w:t>С мая 1945 г. к процессу ремонта и переоборудования Ли-2 активно подключился авиа</w:t>
      </w:r>
      <w:r w:rsidRPr="001A0BAA">
        <w:rPr>
          <w:color w:val="0070C0"/>
          <w:sz w:val="16"/>
          <w:szCs w:val="16"/>
        </w:rPr>
        <w:softHyphen/>
        <w:t>завод гражданской авиации № 402 (иногда в до</w:t>
      </w:r>
      <w:r w:rsidRPr="001A0BAA">
        <w:rPr>
          <w:color w:val="0070C0"/>
          <w:sz w:val="16"/>
          <w:szCs w:val="16"/>
        </w:rPr>
        <w:softHyphen/>
        <w:t>кументах определялся как авиаремонтная база), расположенный в подмосковном аэропорту Быко</w:t>
      </w:r>
      <w:r w:rsidRPr="001A0BAA">
        <w:rPr>
          <w:color w:val="0070C0"/>
          <w:sz w:val="16"/>
          <w:szCs w:val="16"/>
        </w:rPr>
        <w:softHyphen/>
        <w:t>во. Прежде всего сюда поступали военные «Ли-2», с которых снималось вооружение для последую</w:t>
      </w:r>
      <w:r w:rsidRPr="001A0BAA">
        <w:rPr>
          <w:color w:val="0070C0"/>
          <w:sz w:val="16"/>
          <w:szCs w:val="16"/>
        </w:rPr>
        <w:softHyphen/>
        <w:t>щего использования самолетов в транспортных целях. Постепенно перечень доработок все более увеличивался, а сами работы усложнялись. Кстати, регулярные пассажирские и грузовые рейсы из Быково начали выполнять еще в 1936 г. Причем пользовались обычным травяным аэродромом, а полоса с твердым покрытием появилась здесь лишь в 1960 г. (24982).</w:t>
      </w:r>
    </w:p>
    <w:p w14:paraId="7D6B2B85" w14:textId="77777777" w:rsidR="00A354F9" w:rsidRPr="001A0BAA" w:rsidRDefault="00A354F9" w:rsidP="00A354F9">
      <w:pPr>
        <w:jc w:val="both"/>
        <w:rPr>
          <w:color w:val="0070C0"/>
          <w:sz w:val="16"/>
          <w:szCs w:val="16"/>
        </w:rPr>
      </w:pPr>
    </w:p>
    <w:p w14:paraId="6C6913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в ГУ ГВФ рассматривалась возможность использования боевых самолетов для перевозки пассажиров и мелких грузов. Не обошли вниманием и Ер-2. По мнению специалистов ГВФ, он, имея сравнительно небольшой объем (11 м3), позволял транспортировать лишь до 2200 кг коммерческой нагрузки. Но этот недостаток компенсировался большими крейсерской скоростью и дальностью полета, что в сочетании с дешевым дизельным топливом делало Ер-2 экономически выгодным в эксплуатации. Однако подходящих аэродромов для Ер-2, нуждавшихся в длинных ВПП, в ГВФ не было. Недостаточен был и ресурс двигателей. Исходя из этого, руководство ГВФ отказалось от Ер-2, хотя не исключалась возможность его использования для почтово-грузовых перевозок на большие расстояния.</w:t>
      </w:r>
    </w:p>
    <w:p w14:paraId="161D17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Отказался ГВФ и от Ер-2ОН, поскольку его экономичность оставляла желать лучшего. Вдобавок, полет на одном двигателе допускался лишь при весе не более 14 т и при наличии флюгируемых винтов, которых не было. Как транспортный самолет Ер-2 заметно проигрывал Ли-2, не говоря уже о ленд-лизовском С-47. В итоге, почти все Ер-2 отправили на металлолом. Лишь несколько машин использовали для летных испытаний различных изделий, например, при доводке пульсирующих воздушно-реактивных двигателей для самолетов-снарядов В.Н. Челомея.</w:t>
      </w:r>
    </w:p>
    <w:p w14:paraId="7522E2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плане работ завода № 134 на 1945 г. числился 27-местный пассажирский вариант "ПС" на базе бомбардировщика с дизелями АЧ-31. Согласно расчетам максимальная скорость этой машины на высоте 6000 м должна была быть не менее 480 км/ч, а крейсерская на 3000 м - 360 км/ч. Ер-2ПС должен был перевозить 27 пассажиров на расстояние до 3500 км или 12 - на 5000 км. Но удалось завершить лишь эскизное проектирование, а до конца года - на 90% рабочее проектирование (11994).</w:t>
      </w:r>
    </w:p>
    <w:p w14:paraId="565A21B9" w14:textId="77777777" w:rsidR="00665165" w:rsidRPr="00925F26" w:rsidRDefault="00665165" w:rsidP="00925F26">
      <w:pPr>
        <w:autoSpaceDE w:val="0"/>
        <w:autoSpaceDN w:val="0"/>
        <w:adjustRightInd w:val="0"/>
        <w:jc w:val="both"/>
        <w:rPr>
          <w:color w:val="000000" w:themeColor="text1"/>
          <w:sz w:val="16"/>
          <w:szCs w:val="16"/>
        </w:rPr>
      </w:pPr>
    </w:p>
    <w:p w14:paraId="04626009" w14:textId="77777777" w:rsidR="00852262" w:rsidRPr="00925F26" w:rsidRDefault="00852262" w:rsidP="00925F26">
      <w:pPr>
        <w:jc w:val="both"/>
        <w:rPr>
          <w:color w:val="000000" w:themeColor="text1"/>
          <w:sz w:val="16"/>
          <w:szCs w:val="16"/>
        </w:rPr>
      </w:pPr>
      <w:r w:rsidRPr="00925F26">
        <w:rPr>
          <w:color w:val="000000" w:themeColor="text1"/>
          <w:sz w:val="16"/>
          <w:szCs w:val="16"/>
        </w:rPr>
        <w:t>В мае 1945 г. в ЦИАМе приступили к наземным заводским испытаниям комбиниро</w:t>
      </w:r>
      <w:r w:rsidRPr="00925F26">
        <w:rPr>
          <w:color w:val="000000" w:themeColor="text1"/>
          <w:sz w:val="16"/>
          <w:szCs w:val="16"/>
        </w:rPr>
        <w:softHyphen/>
        <w:t>ванной силовой установки, получившей обозначение Э-3130. комбинированная силовая установка, включавшая дизели М-30Б и воздушно-реактивные компрес</w:t>
      </w:r>
      <w:r w:rsidRPr="00925F26">
        <w:rPr>
          <w:color w:val="000000" w:themeColor="text1"/>
          <w:sz w:val="16"/>
          <w:szCs w:val="16"/>
        </w:rPr>
        <w:softHyphen/>
        <w:t>сорные двигатели (ВРДК) была разработана в ЦИАМе в 1943 г. За каждым дизель- мотором планировалось установить по паре вспомогательных двигателей без механической связи с основным мотором. Каждый ВРДК имел осевой компрессор с приводом от газовой турбины, которая приводилась во вращение с помощью выхлопных газов дизеля. М-30Б с воздушным винтом использо</w:t>
      </w:r>
      <w:r w:rsidRPr="00925F26">
        <w:rPr>
          <w:color w:val="000000" w:themeColor="text1"/>
          <w:sz w:val="16"/>
          <w:szCs w:val="16"/>
        </w:rPr>
        <w:softHyphen/>
        <w:t>вались как основные двигатели на всех этапах полёта, а пары ВРД - как ускорители для сокращения разбега или кратковременного увеличения скорости полёта.</w:t>
      </w:r>
    </w:p>
    <w:p w14:paraId="4D0ADBD0" w14:textId="77777777" w:rsidR="00852262" w:rsidRPr="00925F26" w:rsidRDefault="00852262" w:rsidP="00925F26">
      <w:pPr>
        <w:jc w:val="both"/>
        <w:rPr>
          <w:color w:val="000000" w:themeColor="text1"/>
          <w:sz w:val="16"/>
          <w:szCs w:val="16"/>
        </w:rPr>
      </w:pPr>
      <w:r w:rsidRPr="00925F26">
        <w:rPr>
          <w:color w:val="000000" w:themeColor="text1"/>
          <w:sz w:val="16"/>
          <w:szCs w:val="16"/>
        </w:rPr>
        <w:t>По заданию такая вспомогательная силовая установка давала бы тягу 850 кг при скорости полёта 800 км/ч.</w:t>
      </w:r>
    </w:p>
    <w:p w14:paraId="349F8A4A" w14:textId="77777777" w:rsidR="00852262" w:rsidRPr="00925F26" w:rsidRDefault="00852262" w:rsidP="00925F26">
      <w:pPr>
        <w:jc w:val="both"/>
        <w:rPr>
          <w:color w:val="000000" w:themeColor="text1"/>
          <w:sz w:val="16"/>
          <w:szCs w:val="16"/>
        </w:rPr>
      </w:pPr>
      <w:r w:rsidRPr="00925F26">
        <w:rPr>
          <w:color w:val="000000" w:themeColor="text1"/>
          <w:sz w:val="16"/>
          <w:szCs w:val="16"/>
        </w:rPr>
        <w:t>Для её лётной отработки решили исполь</w:t>
      </w:r>
      <w:r w:rsidRPr="00925F26">
        <w:rPr>
          <w:color w:val="000000" w:themeColor="text1"/>
          <w:sz w:val="16"/>
          <w:szCs w:val="16"/>
        </w:rPr>
        <w:softHyphen/>
        <w:t>зовать самолёт Ер-2. Изготовили полный комплект чертежей, но в производство они не пошли, и тему закрыли в 1946 г. (23907).</w:t>
      </w:r>
    </w:p>
    <w:p w14:paraId="6788F68C" w14:textId="77777777" w:rsidR="00852262" w:rsidRPr="00925F26" w:rsidRDefault="00852262" w:rsidP="00925F26">
      <w:pPr>
        <w:jc w:val="both"/>
        <w:rPr>
          <w:color w:val="000000" w:themeColor="text1"/>
          <w:sz w:val="16"/>
          <w:szCs w:val="16"/>
        </w:rPr>
      </w:pPr>
    </w:p>
    <w:p w14:paraId="5ACCA2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прошли госиспытания двигателя Л.С.Душкина РД-2М3В и получили суммарную тягу 1500 кг, номинальную 1250 кг и малую 300 кг (10508,8).</w:t>
      </w:r>
    </w:p>
    <w:p w14:paraId="7787CDF5" w14:textId="77777777" w:rsidR="00665165" w:rsidRPr="00925F26" w:rsidRDefault="00665165" w:rsidP="00925F26">
      <w:pPr>
        <w:autoSpaceDE w:val="0"/>
        <w:autoSpaceDN w:val="0"/>
        <w:adjustRightInd w:val="0"/>
        <w:jc w:val="both"/>
        <w:rPr>
          <w:color w:val="000000" w:themeColor="text1"/>
          <w:sz w:val="16"/>
          <w:szCs w:val="16"/>
        </w:rPr>
      </w:pPr>
    </w:p>
    <w:p w14:paraId="2FF5172E" w14:textId="77777777" w:rsidR="00665165" w:rsidRPr="00925F26" w:rsidRDefault="00665165"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мае 1945 прошли госиспытания двигателя Л.С.Душкина РД-2М3В и получили суммарную тягу 1500 кг, номинальную 1250 кг и малую 300 кг (10508,8).</w:t>
      </w:r>
    </w:p>
    <w:p w14:paraId="68871E32" w14:textId="77777777" w:rsidR="00665165" w:rsidRPr="00925F26" w:rsidRDefault="00665165" w:rsidP="00925F26">
      <w:pPr>
        <w:widowControl w:val="0"/>
        <w:autoSpaceDE w:val="0"/>
        <w:autoSpaceDN w:val="0"/>
        <w:adjustRightInd w:val="0"/>
        <w:jc w:val="both"/>
        <w:rPr>
          <w:color w:val="000000" w:themeColor="text1"/>
          <w:sz w:val="16"/>
          <w:szCs w:val="16"/>
        </w:rPr>
      </w:pPr>
    </w:p>
    <w:p w14:paraId="229E3F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была подготовлена справка:</w:t>
      </w:r>
    </w:p>
    <w:p w14:paraId="2C055A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Сов.секретно</w:t>
      </w:r>
    </w:p>
    <w:p w14:paraId="64794FEC" w14:textId="77777777" w:rsidR="00665165" w:rsidRPr="00925F26" w:rsidRDefault="00665165" w:rsidP="00925F26">
      <w:pPr>
        <w:autoSpaceDE w:val="0"/>
        <w:autoSpaceDN w:val="0"/>
        <w:adjustRightInd w:val="0"/>
        <w:jc w:val="both"/>
        <w:rPr>
          <w:bCs/>
          <w:color w:val="000000" w:themeColor="text1"/>
          <w:sz w:val="16"/>
          <w:szCs w:val="16"/>
        </w:rPr>
      </w:pPr>
      <w:r w:rsidRPr="00925F26">
        <w:rPr>
          <w:color w:val="000000" w:themeColor="text1"/>
          <w:sz w:val="16"/>
          <w:szCs w:val="16"/>
        </w:rPr>
        <w:t>Воздушные турбореактивные двигатели</w:t>
      </w:r>
    </w:p>
    <w:p w14:paraId="1CFC0E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На подземном заводе "Хейнкель" в Хинтенбрюле обнаружены на ряду с самолетами Не-162, два воздушных турбореактивных двигателя. Один из них уже известный в Союзе ЮМО-004, второй двигатель фирмы БМВ, типа БМВ-003. Оба двигателя в хорошем состоянии.</w:t>
      </w:r>
    </w:p>
    <w:p w14:paraId="0CCC5C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 БМВ-003 имеет габаритный диаметр около 860 мм и длину 3500 мм.</w:t>
      </w:r>
    </w:p>
    <w:p w14:paraId="170EA0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подземном заводе "Хейнкель" в Хейдфильде были найдены одиннадцать подорванных двигателей БМВ-003, пять из наиболее сохранившихся были отобраны для отправки в НИИ-1.</w:t>
      </w:r>
    </w:p>
    <w:p w14:paraId="2733AA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На том же заводе "Хейнкель" в Хейдфильде были обнаружены два турбореактивных двигателя, оригинальной конструкции, тип которых точно установить не удалось. Ориентровочно можно предполагать, что эти двигатели Хейнкель S-8а.</w:t>
      </w:r>
    </w:p>
    <w:p w14:paraId="0415759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Оба эти двигателя были установлены на двухмоторном чистореактивном самолете Хейнкель-280. Самолет был подорван немцами, причем поврежден от взрыва был главным образом фюзеляж. Двигатели же от взрыва почти не пострадали, если не считать небольших повреждений передней части левого двигателя.</w:t>
      </w:r>
    </w:p>
    <w:p w14:paraId="464C0C0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Габаритные размеры двигателей следующие: длина 3200 мм, диаметр миделя 800 мм, диаметр входной части диффузора 370 мм, диаметр конфузора 400 мм. Конфузор имеет регулирумое выходное сечение, посредством изменения угла конуса.</w:t>
      </w:r>
    </w:p>
    <w:p w14:paraId="6E752B0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Оба двигателя были демонтированы с самолета со всеми агрегатами. Из самолетных баков была отобрана проба горючего в количестве одного литра.</w:t>
      </w:r>
    </w:p>
    <w:p w14:paraId="20015D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Двигатель БМВ-003 был отправлен в НИИ-1 27-го апреля с.г. самолетом Си-17 (пилот ГВФ-подполковник Чулков).</w:t>
      </w:r>
    </w:p>
    <w:p w14:paraId="6F68FD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Два двигателя S-8а были отправлены по тому же адресу 28-го апреля с.г. на самолете Ли-2 (пилот завода N 500 - Макарский). Капоты двигателей S-8а и детали установки их на крыле были отправлены 26-го апреля на самолете Ли-2 Летного отряда НКАП (пилот Черкессов). Подорванные двигатели БМВ-003 были отправлены железнодорожным транспортом 2-го мая с.г. (N транспорта А-174/3282) на платформах N 51131 и 53507 в сопровождении сержанта Самарина и мл. сержанта Гражданского.</w:t>
      </w:r>
    </w:p>
    <w:p w14:paraId="29D4E35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 ЮМО-004 был отправлен железнодорожным транспортом 5-го мая с.г. (N транспорта 174/3281). Отобранные пробы горючего отсылаются 11.V.с.г. в НИИ-1 самолетом Летного отряда НКАП, летчик т. Воронин.</w:t>
      </w:r>
    </w:p>
    <w:p w14:paraId="672273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 р е д л о ж е н и я</w:t>
      </w:r>
    </w:p>
    <w:p w14:paraId="2FA36E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Необходимо из пяти подорванных двигателей БМВ-003 скомплектовать один двигатель, на котором произвести предварительное изучение конструкции, использовав остальные двигатели для металлографических исследований.</w:t>
      </w:r>
    </w:p>
    <w:p w14:paraId="2BD9668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Двигатель БМВ-003, найденный на подземном заводе в Хантербрюле, следует тщательно разобрать, изучить полностью его конструкцию и после сборки поставить на испытания для снятия характеристик.</w:t>
      </w:r>
    </w:p>
    <w:p w14:paraId="4E3ED2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Предварительное изучение двигателя Не-S-8а следует провести на слегка поврежденном двигателе, после чего необходимо проверить все коммуникации, произвести частичную переброску второго двигателя и поставить его на соответствующие испытания на стенде.</w:t>
      </w:r>
    </w:p>
    <w:p w14:paraId="5B17F4C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В зависимости от полученных результатов стендовых испытаний, определить дальнейшую работу над этими двигателями.</w:t>
      </w:r>
    </w:p>
    <w:p w14:paraId="411721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п.п. Начальник 22-го отдела НИИ-1 (Бондарюх)</w:t>
      </w:r>
    </w:p>
    <w:p w14:paraId="2F7AB00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ВЕРНО: Секретариат НКАП (подпись) (8987).</w:t>
      </w:r>
    </w:p>
    <w:p w14:paraId="10C0558A" w14:textId="77777777" w:rsidR="00665165" w:rsidRPr="00925F26" w:rsidRDefault="00665165" w:rsidP="00925F26">
      <w:pPr>
        <w:autoSpaceDE w:val="0"/>
        <w:autoSpaceDN w:val="0"/>
        <w:adjustRightInd w:val="0"/>
        <w:jc w:val="both"/>
        <w:rPr>
          <w:color w:val="000000" w:themeColor="text1"/>
          <w:sz w:val="16"/>
          <w:szCs w:val="16"/>
        </w:rPr>
      </w:pPr>
    </w:p>
    <w:p w14:paraId="73F3F339" w14:textId="77777777" w:rsidR="00A354F9" w:rsidRPr="001A0BAA" w:rsidRDefault="00A354F9" w:rsidP="00A354F9">
      <w:pPr>
        <w:jc w:val="both"/>
        <w:rPr>
          <w:color w:val="0070C0"/>
          <w:sz w:val="16"/>
          <w:szCs w:val="16"/>
        </w:rPr>
      </w:pPr>
      <w:r w:rsidRPr="001A0BAA">
        <w:rPr>
          <w:color w:val="0070C0"/>
          <w:sz w:val="16"/>
          <w:szCs w:val="16"/>
        </w:rPr>
        <w:t>В мае 1945 года на государственных испытаниях РД-2М3В, созданный в НИИ-1 НКАП под руководством Душкина, продемонстрировал следующие характеристики: суммарная взлётная тяга — 1500 кгс, номинальная — 1250 кгс, минимальная — 500 кгс. При работе только малой камеры показатели составляли 300 кгс (макс.) и 100 кгс (мин.). Удельная тяга на 1 кг топлива при совместной работе камер или на максимуме малой камеры достигала 200 кгс. Масса двигателя со всеми агрегатами — 224 кг.</w:t>
      </w:r>
    </w:p>
    <w:p w14:paraId="70C6CD1C" w14:textId="77777777" w:rsidR="00A354F9" w:rsidRPr="001A0BAA" w:rsidRDefault="00A354F9" w:rsidP="00A354F9">
      <w:pPr>
        <w:jc w:val="both"/>
        <w:rPr>
          <w:color w:val="0070C0"/>
          <w:sz w:val="16"/>
          <w:szCs w:val="16"/>
        </w:rPr>
      </w:pPr>
      <w:r w:rsidRPr="001A0BAA">
        <w:rPr>
          <w:color w:val="0070C0"/>
          <w:sz w:val="16"/>
          <w:szCs w:val="16"/>
        </w:rPr>
        <w:t xml:space="preserve">Силовая установка отличалась насосной подачей топлива и работала на паре «керосин — азотная кислота». Ключевой особенностью двигателя стала двухкамерная компоновка: основная камера тягой 1100 кгс и вспомогательная — 300 кгс. Такая схема позволяла использовать максимальную суммарную тягу при взлёте и наборе </w:t>
      </w:r>
      <w:r w:rsidRPr="001A0BAA">
        <w:rPr>
          <w:color w:val="0070C0"/>
          <w:sz w:val="16"/>
          <w:szCs w:val="16"/>
        </w:rPr>
        <w:lastRenderedPageBreak/>
        <w:t>высоты, а затем отключать основную камеру и продолжать горизонтальный полёт, поиск цели и атаку на экономичном режиме малой камеры. Это существенно повышало продолжительность полёта и экономию топлива. Подобное решение было особенно актуально, поскольку традиционное дросселирование тяги ЖРД на больших высотах, где не требовалась максимальная мощность, представляло значительные технические сложности.</w:t>
      </w:r>
    </w:p>
    <w:p w14:paraId="15B7B1AC" w14:textId="77777777" w:rsidR="00A354F9" w:rsidRPr="001A0BAA" w:rsidRDefault="00A354F9" w:rsidP="00A354F9">
      <w:pPr>
        <w:jc w:val="both"/>
        <w:rPr>
          <w:color w:val="0070C0"/>
          <w:sz w:val="16"/>
          <w:szCs w:val="16"/>
        </w:rPr>
      </w:pPr>
      <w:r w:rsidRPr="001A0BAA">
        <w:rPr>
          <w:color w:val="0070C0"/>
          <w:sz w:val="16"/>
          <w:szCs w:val="16"/>
        </w:rPr>
        <w:t>Изначально РД-2М3В планировалось установить на ракетный перехватчик «Малютка», задание на разработку которого было выдано Н.Н. Поликарпову ещё в 1944 году. Однако скоропостижная кончина авиаконструктора прервала реализацию этого проекта.</w:t>
      </w:r>
    </w:p>
    <w:p w14:paraId="4327C8C2" w14:textId="77777777" w:rsidR="00A354F9" w:rsidRPr="001A0BAA" w:rsidRDefault="00A354F9" w:rsidP="00A354F9">
      <w:pPr>
        <w:jc w:val="both"/>
        <w:rPr>
          <w:color w:val="0070C0"/>
          <w:sz w:val="16"/>
          <w:szCs w:val="16"/>
        </w:rPr>
      </w:pPr>
      <w:r w:rsidRPr="001A0BAA">
        <w:rPr>
          <w:color w:val="0070C0"/>
          <w:sz w:val="16"/>
          <w:szCs w:val="16"/>
        </w:rPr>
        <w:t>Планировалось выпустить 30 комплектов РД-2М3В: первый экземпляр — к 10 марта, последний — к 10 августа 1946 года. Производство поручили заводу № 165 в кооперации с другими предприятиями, а сборку и контрольные испытания — НИИ-1 (25717).</w:t>
      </w:r>
    </w:p>
    <w:p w14:paraId="684D99EF" w14:textId="77777777" w:rsidR="00A354F9" w:rsidRPr="001A0BAA" w:rsidRDefault="00A354F9" w:rsidP="00A354F9">
      <w:pPr>
        <w:jc w:val="both"/>
        <w:rPr>
          <w:color w:val="0070C0"/>
          <w:sz w:val="16"/>
          <w:szCs w:val="16"/>
        </w:rPr>
      </w:pPr>
    </w:p>
    <w:p w14:paraId="13980DEE" w14:textId="77777777" w:rsidR="00A354F9" w:rsidRPr="001A0BAA" w:rsidRDefault="00A354F9" w:rsidP="00A354F9">
      <w:pPr>
        <w:jc w:val="both"/>
        <w:rPr>
          <w:rFonts w:eastAsia="Arial Narrow"/>
          <w:color w:val="0070C0"/>
          <w:sz w:val="16"/>
          <w:szCs w:val="16"/>
          <w:shd w:val="clear" w:color="auto" w:fill="FFFFFF"/>
        </w:rPr>
      </w:pPr>
      <w:r w:rsidRPr="001A0BAA">
        <w:rPr>
          <w:rFonts w:eastAsia="Arial Narrow"/>
          <w:color w:val="0070C0"/>
          <w:sz w:val="16"/>
          <w:szCs w:val="16"/>
          <w:shd w:val="clear" w:color="auto" w:fill="FFFFFF"/>
        </w:rPr>
        <w:t>В мае 1945 г. Алексей Исаев и группа сотрудников НИИ-1 посетили Пенемюнде. Черток писал: «Все поиски были безуспешными. Но неожиданно один из сотрудников, отлучившийся к какой-то куче дров «по нужде», как рассказывал Исаев, издал вопль и вернулся с тонкой книжицей – отчётом. По диагонали слегка подмоченной обложки шла красная полоса и страшная надпись «Streng Geheim» – «Строго секретно». Организованная тут же коллективная экспертиза установила, что этот документ является проектом ракетного самолёта-бомбардировщика.</w:t>
      </w:r>
    </w:p>
    <w:p w14:paraId="4B5B2207" w14:textId="77777777" w:rsidR="00A354F9" w:rsidRPr="001A0BAA" w:rsidRDefault="00A354F9" w:rsidP="00A354F9">
      <w:pPr>
        <w:jc w:val="both"/>
        <w:rPr>
          <w:rFonts w:eastAsia="Arial Narrow"/>
          <w:color w:val="0070C0"/>
          <w:sz w:val="16"/>
          <w:szCs w:val="16"/>
          <w:shd w:val="clear" w:color="auto" w:fill="FFFFFF"/>
        </w:rPr>
      </w:pPr>
      <w:r w:rsidRPr="001A0BAA">
        <w:rPr>
          <w:rFonts w:eastAsia="Arial Narrow"/>
          <w:color w:val="0070C0"/>
          <w:sz w:val="16"/>
          <w:szCs w:val="16"/>
          <w:shd w:val="clear" w:color="auto" w:fill="FFFFFF"/>
        </w:rPr>
        <w:t>Исаев рассказал мне об этой редкостной находке в Берлине, по возвращении из Пенемюнде. Он был инженером оригинального образа мышления, увлекавшимся новыми нестандартными идеями независимо от того, кто их предлагал. Полушепотом, чтобы не подслушали, он повествовал: «Пуля в лоб! Что там придумано! Это самолёт! Но не наш жалкий БИ, у которого бутылка каких-то полторы тонны, а там все 100 тонн сплошного огня! Этот самолёт забрасывается этим чертовым двигателем на страшную высоту – километров 300 или 400!</w:t>
      </w:r>
    </w:p>
    <w:p w14:paraId="023533B9" w14:textId="77777777" w:rsidR="00A354F9" w:rsidRPr="001A0BAA" w:rsidRDefault="00A354F9" w:rsidP="00A354F9">
      <w:pPr>
        <w:jc w:val="both"/>
        <w:rPr>
          <w:rFonts w:eastAsia="Arial Narrow"/>
          <w:color w:val="0070C0"/>
          <w:sz w:val="16"/>
          <w:szCs w:val="16"/>
          <w:shd w:val="clear" w:color="auto" w:fill="FFFFFF"/>
        </w:rPr>
      </w:pPr>
      <w:r w:rsidRPr="001A0BAA">
        <w:rPr>
          <w:rFonts w:eastAsia="Arial Narrow"/>
          <w:color w:val="0070C0"/>
          <w:sz w:val="16"/>
          <w:szCs w:val="16"/>
          <w:shd w:val="clear" w:color="auto" w:fill="FFFFFF"/>
        </w:rPr>
        <w:t>Сыплется на сверхзвуке вниз, но не врубается в атмосферу, а ударяется о нее, как плоский камешек, который мы бросаем под минимальным углом к поверхности воды. Ударяется, подскакивает и летит дальше! И так два или три раза! Рикошетом! Помнишь, как мы соревновались в Сердоликовой бухте Коктебеля: у кого будет больше скользящих касаний воды. Так вот, эти деятели таким образом скользят по атмосфере и пикируют вниз только перелетев океан, чтобы врубиться в Нью-Йорк! Сильная идея!..»</w:t>
      </w:r>
    </w:p>
    <w:p w14:paraId="4E0DF721" w14:textId="77777777" w:rsidR="00A354F9" w:rsidRPr="001A0BAA" w:rsidRDefault="00A354F9" w:rsidP="00A354F9">
      <w:pPr>
        <w:jc w:val="both"/>
        <w:rPr>
          <w:rFonts w:eastAsia="Arial Narrow"/>
          <w:color w:val="0070C0"/>
          <w:sz w:val="16"/>
          <w:szCs w:val="16"/>
          <w:shd w:val="clear" w:color="auto" w:fill="FFFFFF"/>
        </w:rPr>
      </w:pPr>
      <w:r w:rsidRPr="001A0BAA">
        <w:rPr>
          <w:rFonts w:eastAsia="Arial Narrow"/>
          <w:color w:val="0070C0"/>
          <w:sz w:val="16"/>
          <w:szCs w:val="16"/>
          <w:shd w:val="clear" w:color="auto" w:fill="FFFFFF"/>
        </w:rPr>
        <w:t>Обнаруженный и тут же второй раз коллективно засекреченный отчёт был при свидетелях засунут под рубашку самого надежного исаевского сотрудника. Не докладывая генералу Соколову, его посадили в» Бостон» и тут же отправили в Москву (25184).</w:t>
      </w:r>
    </w:p>
    <w:p w14:paraId="08CE8C4E" w14:textId="77777777" w:rsidR="00A354F9" w:rsidRPr="001A0BAA" w:rsidRDefault="00A354F9" w:rsidP="00A354F9">
      <w:pPr>
        <w:jc w:val="both"/>
        <w:rPr>
          <w:rStyle w:val="5e"/>
          <w:rFonts w:ascii="Times New Roman" w:hAnsi="Times New Roman"/>
          <w:color w:val="0070C0"/>
          <w:spacing w:val="0"/>
          <w:sz w:val="16"/>
          <w:szCs w:val="16"/>
        </w:rPr>
      </w:pPr>
    </w:p>
    <w:p w14:paraId="04174F67" w14:textId="77777777" w:rsidR="00A354F9" w:rsidRPr="001A0BAA" w:rsidRDefault="00A354F9" w:rsidP="00A354F9">
      <w:pPr>
        <w:jc w:val="both"/>
        <w:rPr>
          <w:color w:val="0070C0"/>
          <w:sz w:val="16"/>
          <w:szCs w:val="16"/>
        </w:rPr>
      </w:pPr>
      <w:r w:rsidRPr="001A0BAA">
        <w:rPr>
          <w:color w:val="0070C0"/>
          <w:sz w:val="16"/>
          <w:szCs w:val="16"/>
        </w:rPr>
        <w:t>В мае 1945 г. бывший технический директор двигателестроительного завода фирмы «Юнкерс» в Дессау Фердинанд Бранднер стал сотрудничать с советскими оккупационными властями и передал им всю имеющуюся у него техническую документацию. Позже Бранднера перевели в Москву как консультанта по вопросам двигателестроения.</w:t>
      </w:r>
    </w:p>
    <w:p w14:paraId="0D4DD346" w14:textId="77777777" w:rsidR="00A354F9" w:rsidRPr="001A0BAA" w:rsidRDefault="00A354F9" w:rsidP="00A354F9">
      <w:pPr>
        <w:jc w:val="both"/>
        <w:rPr>
          <w:color w:val="0070C0"/>
          <w:sz w:val="16"/>
          <w:szCs w:val="16"/>
        </w:rPr>
      </w:pPr>
      <w:r w:rsidRPr="001A0BAA">
        <w:rPr>
          <w:color w:val="0070C0"/>
          <w:sz w:val="16"/>
          <w:szCs w:val="16"/>
        </w:rPr>
        <w:t>Бранднера подвело звание – штурмбаннфюрер СС (майор), – и его отправили в подмосковный концлагерь.</w:t>
      </w:r>
    </w:p>
    <w:p w14:paraId="7DAEE863" w14:textId="77777777" w:rsidR="00A354F9" w:rsidRPr="001A0BAA" w:rsidRDefault="00A354F9" w:rsidP="00A354F9">
      <w:pPr>
        <w:jc w:val="both"/>
        <w:rPr>
          <w:color w:val="0070C0"/>
          <w:sz w:val="16"/>
          <w:szCs w:val="16"/>
        </w:rPr>
      </w:pPr>
      <w:r w:rsidRPr="001A0BAA">
        <w:rPr>
          <w:color w:val="0070C0"/>
          <w:sz w:val="16"/>
          <w:szCs w:val="16"/>
        </w:rPr>
        <w:t>Весной 1946 г. Бранднера перевели на авиационный завод № 26 в Уфе. Там В. Я. Климов пытался наладить производство турбореактивного двигателя «Jumo-004» (советское название РД-10). В 1946 г. на завод № 26 передали оборудование завода фирмы «Юнкерс» в Мульденштейне: 235 станков (в том числе 6 гидропрессов мощностью 1000–2500 т) и 112 единиц прочего оборудования. Двигателями РД-10 оснащались реактивные истребители Як-15.</w:t>
      </w:r>
    </w:p>
    <w:p w14:paraId="3A161481" w14:textId="77777777" w:rsidR="00A354F9" w:rsidRPr="001A0BAA" w:rsidRDefault="00A354F9" w:rsidP="00A354F9">
      <w:pPr>
        <w:jc w:val="both"/>
        <w:rPr>
          <w:color w:val="0070C0"/>
          <w:sz w:val="16"/>
          <w:szCs w:val="16"/>
        </w:rPr>
      </w:pPr>
      <w:r w:rsidRPr="001A0BAA">
        <w:rPr>
          <w:color w:val="0070C0"/>
          <w:sz w:val="16"/>
          <w:szCs w:val="16"/>
        </w:rPr>
        <w:t>В конце апреля 1946 г. В. Я. Климова назначили руководителем ОКБ в Ленинграде, а Бранднера перевели на Опытный завод № 2 в ОКБ-1, сформированное из сотрудников фирмы «Юнкерс» (26184).</w:t>
      </w:r>
    </w:p>
    <w:p w14:paraId="7C1D5A1F" w14:textId="77777777" w:rsidR="00A354F9" w:rsidRPr="001A0BAA" w:rsidRDefault="00A354F9" w:rsidP="00A354F9">
      <w:pPr>
        <w:jc w:val="both"/>
        <w:rPr>
          <w:color w:val="0070C0"/>
          <w:sz w:val="16"/>
          <w:szCs w:val="16"/>
        </w:rPr>
      </w:pPr>
    </w:p>
    <w:p w14:paraId="3D9E43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большая часть немецких автопилотов, сделанных в Берлине на заводе Аскания, были увезены в Москву и ОКБ-4 так и не смогло вернуть их (1795,82).</w:t>
      </w:r>
    </w:p>
    <w:p w14:paraId="7B9C2A45" w14:textId="77777777" w:rsidR="00665165" w:rsidRPr="00925F26" w:rsidRDefault="00665165" w:rsidP="00925F26">
      <w:pPr>
        <w:autoSpaceDE w:val="0"/>
        <w:autoSpaceDN w:val="0"/>
        <w:adjustRightInd w:val="0"/>
        <w:jc w:val="both"/>
        <w:rPr>
          <w:color w:val="000000" w:themeColor="text1"/>
          <w:sz w:val="16"/>
          <w:szCs w:val="16"/>
        </w:rPr>
      </w:pPr>
    </w:p>
    <w:p w14:paraId="75A6A6BB" w14:textId="77777777" w:rsidR="00852262" w:rsidRPr="00925F26" w:rsidRDefault="00852262" w:rsidP="00925F26">
      <w:pPr>
        <w:jc w:val="both"/>
        <w:rPr>
          <w:color w:val="000000" w:themeColor="text1"/>
          <w:sz w:val="16"/>
          <w:szCs w:val="16"/>
        </w:rPr>
      </w:pPr>
      <w:r w:rsidRPr="00925F26">
        <w:rPr>
          <w:color w:val="000000" w:themeColor="text1"/>
          <w:sz w:val="16"/>
          <w:szCs w:val="16"/>
        </w:rPr>
        <w:t>В мае 1945 г. в захваченном советскими войсками Рехлине обнаружи</w:t>
      </w:r>
      <w:r w:rsidRPr="00925F26">
        <w:rPr>
          <w:color w:val="000000" w:themeColor="text1"/>
          <w:sz w:val="16"/>
          <w:szCs w:val="16"/>
        </w:rPr>
        <w:softHyphen/>
        <w:t>ли два Хаукер «Тайфуна», один из них — практи</w:t>
      </w:r>
      <w:r w:rsidRPr="00925F26">
        <w:rPr>
          <w:color w:val="000000" w:themeColor="text1"/>
          <w:sz w:val="16"/>
          <w:szCs w:val="16"/>
        </w:rPr>
        <w:softHyphen/>
        <w:t>чески в исправном состоянии. Что с ними стало дальше — неизвестно.</w:t>
      </w:r>
    </w:p>
    <w:p w14:paraId="15574A40" w14:textId="77777777" w:rsidR="00852262" w:rsidRPr="00925F26" w:rsidRDefault="00852262" w:rsidP="00925F26">
      <w:pPr>
        <w:jc w:val="both"/>
        <w:rPr>
          <w:color w:val="000000" w:themeColor="text1"/>
          <w:sz w:val="16"/>
          <w:szCs w:val="16"/>
        </w:rPr>
      </w:pPr>
      <w:r w:rsidRPr="00925F26">
        <w:rPr>
          <w:color w:val="000000" w:themeColor="text1"/>
          <w:sz w:val="16"/>
          <w:szCs w:val="16"/>
        </w:rPr>
        <w:t>Один истребитель англичане все-таки передали нам официально. Это была потре</w:t>
      </w:r>
      <w:r w:rsidRPr="00925F26">
        <w:rPr>
          <w:color w:val="000000" w:themeColor="text1"/>
          <w:sz w:val="16"/>
          <w:szCs w:val="16"/>
        </w:rPr>
        <w:softHyphen/>
        <w:t>панная машина, служившая ранее в 263-й эскадрилье Королевских ВВС и капиталь</w:t>
      </w:r>
      <w:r w:rsidRPr="00925F26">
        <w:rPr>
          <w:color w:val="000000" w:themeColor="text1"/>
          <w:sz w:val="16"/>
          <w:szCs w:val="16"/>
        </w:rPr>
        <w:softHyphen/>
        <w:t>но отремонтированная. Она прошла пред</w:t>
      </w:r>
      <w:r w:rsidRPr="00925F26">
        <w:rPr>
          <w:color w:val="000000" w:themeColor="text1"/>
          <w:sz w:val="16"/>
          <w:szCs w:val="16"/>
        </w:rPr>
        <w:softHyphen/>
        <w:t>варительную приемку в Великобритании с облетом в присутствии старшего инже</w:t>
      </w:r>
      <w:r w:rsidRPr="00925F26">
        <w:rPr>
          <w:color w:val="000000" w:themeColor="text1"/>
          <w:sz w:val="16"/>
          <w:szCs w:val="16"/>
        </w:rPr>
        <w:softHyphen/>
        <w:t>нера Авиационного отдела Инженерного управления советского торгпредства М.М. Пашинина. Затем ее разобрали и отправили морем на Ближний Восток. Самолет сдали советским представителям в Тегеране 20 июля 1945 г., а впоследствии изучали в ЛИИ, ЦАГИ и НИИ ВВС. К это</w:t>
      </w:r>
      <w:r w:rsidRPr="00925F26">
        <w:rPr>
          <w:color w:val="000000" w:themeColor="text1"/>
          <w:sz w:val="16"/>
          <w:szCs w:val="16"/>
        </w:rPr>
        <w:softHyphen/>
        <w:t>му времени «Тайфун» уже считался уста</w:t>
      </w:r>
      <w:r w:rsidRPr="00925F26">
        <w:rPr>
          <w:color w:val="000000" w:themeColor="text1"/>
          <w:sz w:val="16"/>
          <w:szCs w:val="16"/>
        </w:rPr>
        <w:softHyphen/>
        <w:t>ревшим. Наших специалистов интересовал в основном двигатель, не имевший совет</w:t>
      </w:r>
      <w:r w:rsidRPr="00925F26">
        <w:rPr>
          <w:color w:val="000000" w:themeColor="text1"/>
          <w:sz w:val="16"/>
          <w:szCs w:val="16"/>
        </w:rPr>
        <w:softHyphen/>
        <w:t>ских аналогов, и отдельные конструктив</w:t>
      </w:r>
      <w:r w:rsidRPr="00925F26">
        <w:rPr>
          <w:color w:val="000000" w:themeColor="text1"/>
          <w:sz w:val="16"/>
          <w:szCs w:val="16"/>
        </w:rPr>
        <w:softHyphen/>
        <w:t>ные решения узлов и агрегатов.</w:t>
      </w:r>
    </w:p>
    <w:p w14:paraId="50C82588" w14:textId="77777777" w:rsidR="00852262" w:rsidRPr="00925F26" w:rsidRDefault="00852262" w:rsidP="00925F26">
      <w:pPr>
        <w:jc w:val="both"/>
        <w:rPr>
          <w:color w:val="000000" w:themeColor="text1"/>
          <w:sz w:val="16"/>
          <w:szCs w:val="16"/>
        </w:rPr>
      </w:pPr>
      <w:r w:rsidRPr="00925F26">
        <w:rPr>
          <w:color w:val="000000" w:themeColor="text1"/>
          <w:sz w:val="16"/>
          <w:szCs w:val="16"/>
        </w:rPr>
        <w:t>Данные истребителя Хокер «Тайфун» IB</w:t>
      </w:r>
    </w:p>
    <w:tbl>
      <w:tblPr>
        <w:tblOverlap w:val="never"/>
        <w:tblW w:w="0" w:type="auto"/>
        <w:tblLayout w:type="fixed"/>
        <w:tblCellMar>
          <w:left w:w="10" w:type="dxa"/>
          <w:right w:w="10" w:type="dxa"/>
        </w:tblCellMar>
        <w:tblLook w:val="0000" w:firstRow="0" w:lastRow="0" w:firstColumn="0" w:lastColumn="0" w:noHBand="0" w:noVBand="0"/>
      </w:tblPr>
      <w:tblGrid>
        <w:gridCol w:w="4181"/>
        <w:gridCol w:w="4114"/>
      </w:tblGrid>
      <w:tr w:rsidR="00852262" w:rsidRPr="00925F26" w14:paraId="25B757C5" w14:textId="77777777" w:rsidTr="004C5D62">
        <w:trPr>
          <w:trHeight w:val="312"/>
        </w:trPr>
        <w:tc>
          <w:tcPr>
            <w:tcW w:w="4181" w:type="dxa"/>
            <w:tcBorders>
              <w:top w:val="single" w:sz="4" w:space="0" w:color="auto"/>
              <w:left w:val="single" w:sz="4" w:space="0" w:color="auto"/>
            </w:tcBorders>
            <w:vAlign w:val="bottom"/>
          </w:tcPr>
          <w:p w14:paraId="2954B9A9" w14:textId="77777777" w:rsidR="00852262" w:rsidRPr="00925F26" w:rsidRDefault="00852262" w:rsidP="00925F26">
            <w:pPr>
              <w:jc w:val="both"/>
              <w:rPr>
                <w:color w:val="000000" w:themeColor="text1"/>
                <w:sz w:val="16"/>
                <w:szCs w:val="16"/>
              </w:rPr>
            </w:pPr>
            <w:r w:rsidRPr="00925F26">
              <w:rPr>
                <w:color w:val="000000" w:themeColor="text1"/>
                <w:sz w:val="16"/>
                <w:szCs w:val="16"/>
              </w:rPr>
              <w:t>Длина, м</w:t>
            </w:r>
          </w:p>
        </w:tc>
        <w:tc>
          <w:tcPr>
            <w:tcW w:w="4114" w:type="dxa"/>
            <w:tcBorders>
              <w:top w:val="single" w:sz="4" w:space="0" w:color="auto"/>
              <w:left w:val="single" w:sz="4" w:space="0" w:color="auto"/>
              <w:right w:val="single" w:sz="4" w:space="0" w:color="auto"/>
            </w:tcBorders>
            <w:vAlign w:val="bottom"/>
          </w:tcPr>
          <w:p w14:paraId="32634769" w14:textId="77777777" w:rsidR="00852262" w:rsidRPr="00925F26" w:rsidRDefault="00852262" w:rsidP="00925F26">
            <w:pPr>
              <w:jc w:val="both"/>
              <w:rPr>
                <w:color w:val="000000" w:themeColor="text1"/>
                <w:sz w:val="16"/>
                <w:szCs w:val="16"/>
              </w:rPr>
            </w:pPr>
            <w:r w:rsidRPr="00925F26">
              <w:rPr>
                <w:color w:val="000000" w:themeColor="text1"/>
                <w:sz w:val="16"/>
                <w:szCs w:val="16"/>
              </w:rPr>
              <w:t>9,7</w:t>
            </w:r>
          </w:p>
        </w:tc>
      </w:tr>
      <w:tr w:rsidR="00852262" w:rsidRPr="00925F26" w14:paraId="00907796" w14:textId="77777777" w:rsidTr="004C5D62">
        <w:trPr>
          <w:trHeight w:val="307"/>
        </w:trPr>
        <w:tc>
          <w:tcPr>
            <w:tcW w:w="4181" w:type="dxa"/>
            <w:tcBorders>
              <w:top w:val="single" w:sz="4" w:space="0" w:color="auto"/>
              <w:left w:val="single" w:sz="4" w:space="0" w:color="auto"/>
            </w:tcBorders>
            <w:vAlign w:val="bottom"/>
          </w:tcPr>
          <w:p w14:paraId="05AEE521" w14:textId="77777777" w:rsidR="00852262" w:rsidRPr="00925F26" w:rsidRDefault="00852262" w:rsidP="00925F26">
            <w:pPr>
              <w:jc w:val="both"/>
              <w:rPr>
                <w:color w:val="000000" w:themeColor="text1"/>
                <w:sz w:val="16"/>
                <w:szCs w:val="16"/>
              </w:rPr>
            </w:pPr>
            <w:r w:rsidRPr="00925F26">
              <w:rPr>
                <w:color w:val="000000" w:themeColor="text1"/>
                <w:sz w:val="16"/>
                <w:szCs w:val="16"/>
              </w:rPr>
              <w:t>Размах, м</w:t>
            </w:r>
          </w:p>
        </w:tc>
        <w:tc>
          <w:tcPr>
            <w:tcW w:w="4114" w:type="dxa"/>
            <w:tcBorders>
              <w:top w:val="single" w:sz="4" w:space="0" w:color="auto"/>
              <w:left w:val="single" w:sz="4" w:space="0" w:color="auto"/>
              <w:right w:val="single" w:sz="4" w:space="0" w:color="auto"/>
            </w:tcBorders>
            <w:vAlign w:val="bottom"/>
          </w:tcPr>
          <w:p w14:paraId="2198DE2F" w14:textId="77777777" w:rsidR="00852262" w:rsidRPr="00925F26" w:rsidRDefault="00852262" w:rsidP="00925F26">
            <w:pPr>
              <w:jc w:val="both"/>
              <w:rPr>
                <w:color w:val="000000" w:themeColor="text1"/>
                <w:sz w:val="16"/>
                <w:szCs w:val="16"/>
              </w:rPr>
            </w:pPr>
            <w:r w:rsidRPr="00925F26">
              <w:rPr>
                <w:color w:val="000000" w:themeColor="text1"/>
                <w:sz w:val="16"/>
                <w:szCs w:val="16"/>
              </w:rPr>
              <w:t>12,67</w:t>
            </w:r>
          </w:p>
        </w:tc>
      </w:tr>
      <w:tr w:rsidR="00852262" w:rsidRPr="00925F26" w14:paraId="697BF952" w14:textId="77777777" w:rsidTr="004C5D62">
        <w:trPr>
          <w:trHeight w:val="302"/>
        </w:trPr>
        <w:tc>
          <w:tcPr>
            <w:tcW w:w="4181" w:type="dxa"/>
            <w:tcBorders>
              <w:top w:val="single" w:sz="4" w:space="0" w:color="auto"/>
              <w:left w:val="single" w:sz="4" w:space="0" w:color="auto"/>
            </w:tcBorders>
            <w:vAlign w:val="bottom"/>
          </w:tcPr>
          <w:p w14:paraId="4148660C" w14:textId="77777777" w:rsidR="00852262" w:rsidRPr="00925F26" w:rsidRDefault="00852262" w:rsidP="00925F26">
            <w:pPr>
              <w:jc w:val="both"/>
              <w:rPr>
                <w:color w:val="000000" w:themeColor="text1"/>
                <w:sz w:val="16"/>
                <w:szCs w:val="16"/>
              </w:rPr>
            </w:pPr>
            <w:r w:rsidRPr="00925F26">
              <w:rPr>
                <w:color w:val="000000" w:themeColor="text1"/>
                <w:sz w:val="16"/>
                <w:szCs w:val="16"/>
              </w:rPr>
              <w:t>Высота, м</w:t>
            </w:r>
          </w:p>
        </w:tc>
        <w:tc>
          <w:tcPr>
            <w:tcW w:w="4114" w:type="dxa"/>
            <w:tcBorders>
              <w:top w:val="single" w:sz="4" w:space="0" w:color="auto"/>
              <w:left w:val="single" w:sz="4" w:space="0" w:color="auto"/>
              <w:right w:val="single" w:sz="4" w:space="0" w:color="auto"/>
            </w:tcBorders>
            <w:vAlign w:val="bottom"/>
          </w:tcPr>
          <w:p w14:paraId="117FA8D0" w14:textId="77777777" w:rsidR="00852262" w:rsidRPr="00925F26" w:rsidRDefault="00852262" w:rsidP="00925F26">
            <w:pPr>
              <w:jc w:val="both"/>
              <w:rPr>
                <w:color w:val="000000" w:themeColor="text1"/>
                <w:sz w:val="16"/>
                <w:szCs w:val="16"/>
              </w:rPr>
            </w:pPr>
            <w:r w:rsidRPr="00925F26">
              <w:rPr>
                <w:color w:val="000000" w:themeColor="text1"/>
                <w:sz w:val="16"/>
                <w:szCs w:val="16"/>
              </w:rPr>
              <w:t>4,52</w:t>
            </w:r>
          </w:p>
        </w:tc>
      </w:tr>
      <w:tr w:rsidR="00852262" w:rsidRPr="00925F26" w14:paraId="3C130045" w14:textId="77777777" w:rsidTr="004C5D62">
        <w:trPr>
          <w:trHeight w:val="557"/>
        </w:trPr>
        <w:tc>
          <w:tcPr>
            <w:tcW w:w="4181" w:type="dxa"/>
            <w:tcBorders>
              <w:top w:val="single" w:sz="4" w:space="0" w:color="auto"/>
              <w:left w:val="single" w:sz="4" w:space="0" w:color="auto"/>
            </w:tcBorders>
            <w:vAlign w:val="bottom"/>
          </w:tcPr>
          <w:p w14:paraId="54189CC0" w14:textId="77777777" w:rsidR="00852262" w:rsidRPr="00925F26" w:rsidRDefault="00852262" w:rsidP="00925F26">
            <w:pPr>
              <w:jc w:val="both"/>
              <w:rPr>
                <w:color w:val="000000" w:themeColor="text1"/>
                <w:sz w:val="16"/>
                <w:szCs w:val="16"/>
              </w:rPr>
            </w:pPr>
            <w:r w:rsidRPr="00925F26">
              <w:rPr>
                <w:color w:val="000000" w:themeColor="text1"/>
                <w:sz w:val="16"/>
                <w:szCs w:val="16"/>
              </w:rPr>
              <w:t>Вес, кг пустого</w:t>
            </w:r>
          </w:p>
        </w:tc>
        <w:tc>
          <w:tcPr>
            <w:tcW w:w="4114" w:type="dxa"/>
            <w:tcBorders>
              <w:top w:val="single" w:sz="4" w:space="0" w:color="auto"/>
              <w:left w:val="single" w:sz="4" w:space="0" w:color="auto"/>
              <w:right w:val="single" w:sz="4" w:space="0" w:color="auto"/>
            </w:tcBorders>
            <w:vAlign w:val="bottom"/>
          </w:tcPr>
          <w:p w14:paraId="4F42430C" w14:textId="77777777" w:rsidR="00852262" w:rsidRPr="00925F26" w:rsidRDefault="00852262" w:rsidP="00925F26">
            <w:pPr>
              <w:jc w:val="both"/>
              <w:rPr>
                <w:color w:val="000000" w:themeColor="text1"/>
                <w:sz w:val="16"/>
                <w:szCs w:val="16"/>
              </w:rPr>
            </w:pPr>
            <w:r w:rsidRPr="00925F26">
              <w:rPr>
                <w:color w:val="000000" w:themeColor="text1"/>
                <w:sz w:val="16"/>
                <w:szCs w:val="16"/>
              </w:rPr>
              <w:t>3942</w:t>
            </w:r>
          </w:p>
        </w:tc>
      </w:tr>
      <w:tr w:rsidR="00852262" w:rsidRPr="00925F26" w14:paraId="749DDDE8" w14:textId="77777777" w:rsidTr="004C5D62">
        <w:trPr>
          <w:trHeight w:val="240"/>
        </w:trPr>
        <w:tc>
          <w:tcPr>
            <w:tcW w:w="4181" w:type="dxa"/>
            <w:tcBorders>
              <w:left w:val="single" w:sz="4" w:space="0" w:color="auto"/>
            </w:tcBorders>
          </w:tcPr>
          <w:p w14:paraId="3FFE39E6" w14:textId="77777777" w:rsidR="00852262" w:rsidRPr="00925F26" w:rsidRDefault="00852262" w:rsidP="00925F26">
            <w:pPr>
              <w:jc w:val="both"/>
              <w:rPr>
                <w:color w:val="000000" w:themeColor="text1"/>
                <w:sz w:val="16"/>
                <w:szCs w:val="16"/>
              </w:rPr>
            </w:pPr>
            <w:r w:rsidRPr="00925F26">
              <w:rPr>
                <w:color w:val="000000" w:themeColor="text1"/>
                <w:sz w:val="16"/>
                <w:szCs w:val="16"/>
              </w:rPr>
              <w:t>взлетный нормальный</w:t>
            </w:r>
          </w:p>
        </w:tc>
        <w:tc>
          <w:tcPr>
            <w:tcW w:w="4114" w:type="dxa"/>
            <w:tcBorders>
              <w:left w:val="single" w:sz="4" w:space="0" w:color="auto"/>
              <w:right w:val="single" w:sz="4" w:space="0" w:color="auto"/>
            </w:tcBorders>
          </w:tcPr>
          <w:p w14:paraId="16FFF670" w14:textId="77777777" w:rsidR="00852262" w:rsidRPr="00925F26" w:rsidRDefault="00852262" w:rsidP="00925F26">
            <w:pPr>
              <w:jc w:val="both"/>
              <w:rPr>
                <w:color w:val="000000" w:themeColor="text1"/>
                <w:sz w:val="16"/>
                <w:szCs w:val="16"/>
              </w:rPr>
            </w:pPr>
            <w:r w:rsidRPr="00925F26">
              <w:rPr>
                <w:color w:val="000000" w:themeColor="text1"/>
                <w:sz w:val="16"/>
                <w:szCs w:val="16"/>
              </w:rPr>
              <w:t>5341</w:t>
            </w:r>
          </w:p>
        </w:tc>
      </w:tr>
      <w:tr w:rsidR="00852262" w:rsidRPr="00925F26" w14:paraId="5D38F88F" w14:textId="77777777" w:rsidTr="004C5D62">
        <w:trPr>
          <w:trHeight w:val="226"/>
        </w:trPr>
        <w:tc>
          <w:tcPr>
            <w:tcW w:w="4181" w:type="dxa"/>
            <w:tcBorders>
              <w:left w:val="single" w:sz="4" w:space="0" w:color="auto"/>
            </w:tcBorders>
          </w:tcPr>
          <w:p w14:paraId="67570876" w14:textId="77777777" w:rsidR="00852262" w:rsidRPr="00925F26" w:rsidRDefault="00852262" w:rsidP="00925F26">
            <w:pPr>
              <w:jc w:val="both"/>
              <w:rPr>
                <w:color w:val="000000" w:themeColor="text1"/>
                <w:sz w:val="16"/>
                <w:szCs w:val="16"/>
              </w:rPr>
            </w:pPr>
            <w:r w:rsidRPr="00925F26">
              <w:rPr>
                <w:color w:val="000000" w:themeColor="text1"/>
                <w:sz w:val="16"/>
                <w:szCs w:val="16"/>
              </w:rPr>
              <w:t>взлетный максимальный</w:t>
            </w:r>
          </w:p>
        </w:tc>
        <w:tc>
          <w:tcPr>
            <w:tcW w:w="4114" w:type="dxa"/>
            <w:tcBorders>
              <w:left w:val="single" w:sz="4" w:space="0" w:color="auto"/>
              <w:right w:val="single" w:sz="4" w:space="0" w:color="auto"/>
            </w:tcBorders>
          </w:tcPr>
          <w:p w14:paraId="10EC8863" w14:textId="77777777" w:rsidR="00852262" w:rsidRPr="00925F26" w:rsidRDefault="00852262" w:rsidP="00925F26">
            <w:pPr>
              <w:jc w:val="both"/>
              <w:rPr>
                <w:color w:val="000000" w:themeColor="text1"/>
                <w:sz w:val="16"/>
                <w:szCs w:val="16"/>
              </w:rPr>
            </w:pPr>
            <w:r w:rsidRPr="00925F26">
              <w:rPr>
                <w:color w:val="000000" w:themeColor="text1"/>
                <w:sz w:val="16"/>
                <w:szCs w:val="16"/>
              </w:rPr>
              <w:t>5845</w:t>
            </w:r>
          </w:p>
        </w:tc>
      </w:tr>
      <w:tr w:rsidR="00852262" w:rsidRPr="00925F26" w14:paraId="2A5EFE12" w14:textId="77777777" w:rsidTr="004C5D62">
        <w:trPr>
          <w:trHeight w:val="528"/>
        </w:trPr>
        <w:tc>
          <w:tcPr>
            <w:tcW w:w="4181" w:type="dxa"/>
            <w:tcBorders>
              <w:top w:val="single" w:sz="4" w:space="0" w:color="auto"/>
              <w:left w:val="single" w:sz="4" w:space="0" w:color="auto"/>
            </w:tcBorders>
            <w:vAlign w:val="bottom"/>
          </w:tcPr>
          <w:p w14:paraId="6DA4616F" w14:textId="77777777" w:rsidR="00852262" w:rsidRPr="00925F26" w:rsidRDefault="00852262" w:rsidP="00925F26">
            <w:pPr>
              <w:jc w:val="both"/>
              <w:rPr>
                <w:color w:val="000000" w:themeColor="text1"/>
                <w:sz w:val="16"/>
                <w:szCs w:val="16"/>
              </w:rPr>
            </w:pPr>
            <w:r w:rsidRPr="00925F26">
              <w:rPr>
                <w:color w:val="000000" w:themeColor="text1"/>
                <w:sz w:val="16"/>
                <w:szCs w:val="16"/>
              </w:rPr>
              <w:t>Скорость максимальная, км/ч у земли</w:t>
            </w:r>
          </w:p>
        </w:tc>
        <w:tc>
          <w:tcPr>
            <w:tcW w:w="4114" w:type="dxa"/>
            <w:tcBorders>
              <w:top w:val="single" w:sz="4" w:space="0" w:color="auto"/>
              <w:left w:val="single" w:sz="4" w:space="0" w:color="auto"/>
              <w:right w:val="single" w:sz="4" w:space="0" w:color="auto"/>
            </w:tcBorders>
            <w:vAlign w:val="bottom"/>
          </w:tcPr>
          <w:p w14:paraId="563AD735" w14:textId="77777777" w:rsidR="00852262" w:rsidRPr="00925F26" w:rsidRDefault="00852262" w:rsidP="00925F26">
            <w:pPr>
              <w:jc w:val="both"/>
              <w:rPr>
                <w:color w:val="000000" w:themeColor="text1"/>
                <w:sz w:val="16"/>
                <w:szCs w:val="16"/>
              </w:rPr>
            </w:pPr>
            <w:r w:rsidRPr="00925F26">
              <w:rPr>
                <w:color w:val="000000" w:themeColor="text1"/>
                <w:sz w:val="16"/>
                <w:szCs w:val="16"/>
              </w:rPr>
              <w:t>653</w:t>
            </w:r>
          </w:p>
        </w:tc>
      </w:tr>
      <w:tr w:rsidR="00852262" w:rsidRPr="00925F26" w14:paraId="32F6BAF5" w14:textId="77777777" w:rsidTr="004C5D62">
        <w:trPr>
          <w:trHeight w:val="250"/>
        </w:trPr>
        <w:tc>
          <w:tcPr>
            <w:tcW w:w="4181" w:type="dxa"/>
            <w:tcBorders>
              <w:left w:val="single" w:sz="4" w:space="0" w:color="auto"/>
            </w:tcBorders>
          </w:tcPr>
          <w:p w14:paraId="1945CF02" w14:textId="77777777" w:rsidR="00852262" w:rsidRPr="00925F26" w:rsidRDefault="00852262" w:rsidP="00925F26">
            <w:pPr>
              <w:jc w:val="both"/>
              <w:rPr>
                <w:color w:val="000000" w:themeColor="text1"/>
                <w:sz w:val="16"/>
                <w:szCs w:val="16"/>
              </w:rPr>
            </w:pPr>
            <w:r w:rsidRPr="00925F26">
              <w:rPr>
                <w:color w:val="000000" w:themeColor="text1"/>
                <w:sz w:val="16"/>
                <w:szCs w:val="16"/>
              </w:rPr>
              <w:t>на высоте</w:t>
            </w:r>
          </w:p>
        </w:tc>
        <w:tc>
          <w:tcPr>
            <w:tcW w:w="4114" w:type="dxa"/>
            <w:tcBorders>
              <w:left w:val="single" w:sz="4" w:space="0" w:color="auto"/>
              <w:right w:val="single" w:sz="4" w:space="0" w:color="auto"/>
            </w:tcBorders>
          </w:tcPr>
          <w:p w14:paraId="26234ABB" w14:textId="77777777" w:rsidR="00852262" w:rsidRPr="00925F26" w:rsidRDefault="00852262" w:rsidP="00925F26">
            <w:pPr>
              <w:jc w:val="both"/>
              <w:rPr>
                <w:color w:val="000000" w:themeColor="text1"/>
                <w:sz w:val="16"/>
                <w:szCs w:val="16"/>
              </w:rPr>
            </w:pPr>
            <w:r w:rsidRPr="00925F26">
              <w:rPr>
                <w:color w:val="000000" w:themeColor="text1"/>
                <w:sz w:val="16"/>
                <w:szCs w:val="16"/>
              </w:rPr>
              <w:t>658</w:t>
            </w:r>
          </w:p>
        </w:tc>
      </w:tr>
      <w:tr w:rsidR="00852262" w:rsidRPr="00925F26" w14:paraId="6E733203" w14:textId="77777777" w:rsidTr="004C5D62">
        <w:trPr>
          <w:trHeight w:val="307"/>
        </w:trPr>
        <w:tc>
          <w:tcPr>
            <w:tcW w:w="4181" w:type="dxa"/>
            <w:tcBorders>
              <w:top w:val="single" w:sz="4" w:space="0" w:color="auto"/>
              <w:left w:val="single" w:sz="4" w:space="0" w:color="auto"/>
            </w:tcBorders>
            <w:vAlign w:val="bottom"/>
          </w:tcPr>
          <w:p w14:paraId="3E6F065F" w14:textId="77777777" w:rsidR="00852262" w:rsidRPr="00925F26" w:rsidRDefault="00852262" w:rsidP="00925F26">
            <w:pPr>
              <w:jc w:val="both"/>
              <w:rPr>
                <w:color w:val="000000" w:themeColor="text1"/>
                <w:sz w:val="16"/>
                <w:szCs w:val="16"/>
              </w:rPr>
            </w:pPr>
            <w:r w:rsidRPr="00925F26">
              <w:rPr>
                <w:color w:val="000000" w:themeColor="text1"/>
                <w:sz w:val="16"/>
                <w:szCs w:val="16"/>
              </w:rPr>
              <w:t>Практический потолок, м</w:t>
            </w:r>
          </w:p>
        </w:tc>
        <w:tc>
          <w:tcPr>
            <w:tcW w:w="4114" w:type="dxa"/>
            <w:tcBorders>
              <w:top w:val="single" w:sz="4" w:space="0" w:color="auto"/>
              <w:left w:val="single" w:sz="4" w:space="0" w:color="auto"/>
              <w:right w:val="single" w:sz="4" w:space="0" w:color="auto"/>
            </w:tcBorders>
            <w:vAlign w:val="bottom"/>
          </w:tcPr>
          <w:p w14:paraId="44543B49" w14:textId="77777777" w:rsidR="00852262" w:rsidRPr="00925F26" w:rsidRDefault="00852262" w:rsidP="00925F26">
            <w:pPr>
              <w:jc w:val="both"/>
              <w:rPr>
                <w:color w:val="000000" w:themeColor="text1"/>
                <w:sz w:val="16"/>
                <w:szCs w:val="16"/>
              </w:rPr>
            </w:pPr>
            <w:r w:rsidRPr="00925F26">
              <w:rPr>
                <w:color w:val="000000" w:themeColor="text1"/>
                <w:sz w:val="16"/>
                <w:szCs w:val="16"/>
              </w:rPr>
              <w:t>10300</w:t>
            </w:r>
          </w:p>
        </w:tc>
      </w:tr>
      <w:tr w:rsidR="00852262" w:rsidRPr="00925F26" w14:paraId="56DA8686" w14:textId="77777777" w:rsidTr="004C5D62">
        <w:trPr>
          <w:trHeight w:val="302"/>
        </w:trPr>
        <w:tc>
          <w:tcPr>
            <w:tcW w:w="4181" w:type="dxa"/>
            <w:tcBorders>
              <w:top w:val="single" w:sz="4" w:space="0" w:color="auto"/>
              <w:left w:val="single" w:sz="4" w:space="0" w:color="auto"/>
            </w:tcBorders>
            <w:vAlign w:val="bottom"/>
          </w:tcPr>
          <w:p w14:paraId="54529CC4" w14:textId="77777777" w:rsidR="00852262" w:rsidRPr="00925F26" w:rsidRDefault="00852262" w:rsidP="00925F26">
            <w:pPr>
              <w:jc w:val="both"/>
              <w:rPr>
                <w:color w:val="000000" w:themeColor="text1"/>
                <w:sz w:val="16"/>
                <w:szCs w:val="16"/>
              </w:rPr>
            </w:pPr>
            <w:r w:rsidRPr="00925F26">
              <w:rPr>
                <w:color w:val="000000" w:themeColor="text1"/>
                <w:sz w:val="16"/>
                <w:szCs w:val="16"/>
              </w:rPr>
              <w:t>Дальность полета, км</w:t>
            </w:r>
          </w:p>
        </w:tc>
        <w:tc>
          <w:tcPr>
            <w:tcW w:w="4114" w:type="dxa"/>
            <w:tcBorders>
              <w:top w:val="single" w:sz="4" w:space="0" w:color="auto"/>
              <w:left w:val="single" w:sz="4" w:space="0" w:color="auto"/>
              <w:right w:val="single" w:sz="4" w:space="0" w:color="auto"/>
            </w:tcBorders>
            <w:vAlign w:val="bottom"/>
          </w:tcPr>
          <w:p w14:paraId="0054F8D4" w14:textId="77777777" w:rsidR="00852262" w:rsidRPr="00925F26" w:rsidRDefault="00852262" w:rsidP="00925F26">
            <w:pPr>
              <w:jc w:val="both"/>
              <w:rPr>
                <w:color w:val="000000" w:themeColor="text1"/>
                <w:sz w:val="16"/>
                <w:szCs w:val="16"/>
              </w:rPr>
            </w:pPr>
            <w:r w:rsidRPr="00925F26">
              <w:rPr>
                <w:color w:val="000000" w:themeColor="text1"/>
                <w:sz w:val="16"/>
                <w:szCs w:val="16"/>
              </w:rPr>
              <w:t>1465</w:t>
            </w:r>
          </w:p>
        </w:tc>
      </w:tr>
      <w:tr w:rsidR="00852262" w:rsidRPr="00925F26" w14:paraId="14B0BA44" w14:textId="77777777" w:rsidTr="004C5D62">
        <w:trPr>
          <w:trHeight w:val="307"/>
        </w:trPr>
        <w:tc>
          <w:tcPr>
            <w:tcW w:w="4181" w:type="dxa"/>
            <w:tcBorders>
              <w:top w:val="single" w:sz="4" w:space="0" w:color="auto"/>
              <w:left w:val="single" w:sz="4" w:space="0" w:color="auto"/>
            </w:tcBorders>
            <w:vAlign w:val="bottom"/>
          </w:tcPr>
          <w:p w14:paraId="1867B4A6" w14:textId="77777777" w:rsidR="00852262" w:rsidRPr="00925F26" w:rsidRDefault="00852262" w:rsidP="00925F26">
            <w:pPr>
              <w:jc w:val="both"/>
              <w:rPr>
                <w:color w:val="000000" w:themeColor="text1"/>
                <w:sz w:val="16"/>
                <w:szCs w:val="16"/>
              </w:rPr>
            </w:pPr>
            <w:r w:rsidRPr="00925F26">
              <w:rPr>
                <w:color w:val="000000" w:themeColor="text1"/>
                <w:sz w:val="16"/>
                <w:szCs w:val="16"/>
              </w:rPr>
              <w:t>Вооружение</w:t>
            </w:r>
          </w:p>
        </w:tc>
        <w:tc>
          <w:tcPr>
            <w:tcW w:w="4114" w:type="dxa"/>
            <w:tcBorders>
              <w:top w:val="single" w:sz="4" w:space="0" w:color="auto"/>
              <w:left w:val="single" w:sz="4" w:space="0" w:color="auto"/>
              <w:right w:val="single" w:sz="4" w:space="0" w:color="auto"/>
            </w:tcBorders>
            <w:vAlign w:val="bottom"/>
          </w:tcPr>
          <w:p w14:paraId="5D8A10BB" w14:textId="77777777" w:rsidR="00852262" w:rsidRPr="00925F26" w:rsidRDefault="00852262" w:rsidP="00925F26">
            <w:pPr>
              <w:jc w:val="both"/>
              <w:rPr>
                <w:color w:val="000000" w:themeColor="text1"/>
                <w:sz w:val="16"/>
                <w:szCs w:val="16"/>
              </w:rPr>
            </w:pPr>
            <w:r w:rsidRPr="00925F26">
              <w:rPr>
                <w:color w:val="000000" w:themeColor="text1"/>
                <w:sz w:val="16"/>
                <w:szCs w:val="16"/>
              </w:rPr>
              <w:t>4x20</w:t>
            </w:r>
          </w:p>
        </w:tc>
      </w:tr>
      <w:tr w:rsidR="00852262" w:rsidRPr="00925F26" w14:paraId="3CE136DB" w14:textId="77777777" w:rsidTr="004C5D62">
        <w:trPr>
          <w:trHeight w:val="317"/>
        </w:trPr>
        <w:tc>
          <w:tcPr>
            <w:tcW w:w="4181" w:type="dxa"/>
            <w:tcBorders>
              <w:top w:val="single" w:sz="4" w:space="0" w:color="auto"/>
              <w:left w:val="single" w:sz="4" w:space="0" w:color="auto"/>
              <w:bottom w:val="single" w:sz="4" w:space="0" w:color="auto"/>
            </w:tcBorders>
            <w:vAlign w:val="bottom"/>
          </w:tcPr>
          <w:p w14:paraId="5AE67E7F" w14:textId="77777777" w:rsidR="00852262" w:rsidRPr="00925F26" w:rsidRDefault="00852262" w:rsidP="00925F26">
            <w:pPr>
              <w:jc w:val="both"/>
              <w:rPr>
                <w:color w:val="000000" w:themeColor="text1"/>
                <w:sz w:val="16"/>
                <w:szCs w:val="16"/>
              </w:rPr>
            </w:pPr>
            <w:r w:rsidRPr="00925F26">
              <w:rPr>
                <w:color w:val="000000" w:themeColor="text1"/>
                <w:sz w:val="16"/>
                <w:szCs w:val="16"/>
              </w:rPr>
              <w:t>Бомбовая нагрузка, кг</w:t>
            </w:r>
          </w:p>
        </w:tc>
        <w:tc>
          <w:tcPr>
            <w:tcW w:w="4114" w:type="dxa"/>
            <w:tcBorders>
              <w:top w:val="single" w:sz="4" w:space="0" w:color="auto"/>
              <w:left w:val="single" w:sz="4" w:space="0" w:color="auto"/>
              <w:bottom w:val="single" w:sz="4" w:space="0" w:color="auto"/>
              <w:right w:val="single" w:sz="4" w:space="0" w:color="auto"/>
            </w:tcBorders>
            <w:vAlign w:val="bottom"/>
          </w:tcPr>
          <w:p w14:paraId="578FA607" w14:textId="77777777" w:rsidR="00852262" w:rsidRPr="00925F26" w:rsidRDefault="00852262" w:rsidP="00925F26">
            <w:pPr>
              <w:jc w:val="both"/>
              <w:rPr>
                <w:color w:val="000000" w:themeColor="text1"/>
                <w:sz w:val="16"/>
                <w:szCs w:val="16"/>
              </w:rPr>
            </w:pPr>
            <w:r w:rsidRPr="00925F26">
              <w:rPr>
                <w:color w:val="000000" w:themeColor="text1"/>
                <w:sz w:val="16"/>
                <w:szCs w:val="16"/>
              </w:rPr>
              <w:t>908</w:t>
            </w:r>
          </w:p>
        </w:tc>
      </w:tr>
    </w:tbl>
    <w:p w14:paraId="27024102" w14:textId="77777777" w:rsidR="00852262" w:rsidRPr="00925F26" w:rsidRDefault="00852262" w:rsidP="00925F26">
      <w:pPr>
        <w:jc w:val="both"/>
        <w:rPr>
          <w:color w:val="000000" w:themeColor="text1"/>
          <w:sz w:val="16"/>
          <w:szCs w:val="16"/>
        </w:rPr>
      </w:pPr>
      <w:r w:rsidRPr="00925F26">
        <w:rPr>
          <w:color w:val="000000" w:themeColor="text1"/>
          <w:sz w:val="16"/>
          <w:szCs w:val="16"/>
        </w:rPr>
        <w:t>(23513).</w:t>
      </w:r>
    </w:p>
    <w:p w14:paraId="1C84AE37" w14:textId="77777777" w:rsidR="00852262" w:rsidRPr="00925F26" w:rsidRDefault="00852262" w:rsidP="00925F26">
      <w:pPr>
        <w:jc w:val="both"/>
        <w:rPr>
          <w:color w:val="000000" w:themeColor="text1"/>
          <w:sz w:val="16"/>
          <w:szCs w:val="16"/>
        </w:rPr>
      </w:pPr>
    </w:p>
    <w:p w14:paraId="291C2835" w14:textId="77777777" w:rsidR="00852262" w:rsidRPr="00925F26" w:rsidRDefault="00852262" w:rsidP="00925F26">
      <w:pPr>
        <w:jc w:val="both"/>
        <w:rPr>
          <w:color w:val="000000" w:themeColor="text1"/>
          <w:sz w:val="16"/>
          <w:szCs w:val="16"/>
        </w:rPr>
      </w:pPr>
      <w:r w:rsidRPr="00925F26">
        <w:rPr>
          <w:color w:val="000000" w:themeColor="text1"/>
          <w:sz w:val="16"/>
          <w:szCs w:val="16"/>
        </w:rPr>
        <w:t>В мае 1945 г. группой сотрудников НИИ-1 в Пенемюнде была найдена одна из ста печатных копий доклада Зенгера об «антиподе». Документ, вызы</w:t>
      </w:r>
      <w:r w:rsidRPr="00925F26">
        <w:rPr>
          <w:color w:val="000000" w:themeColor="text1"/>
          <w:sz w:val="16"/>
          <w:szCs w:val="16"/>
        </w:rPr>
        <w:softHyphen/>
        <w:t>вавший прилив небывалого энтузиаз</w:t>
      </w:r>
      <w:r w:rsidRPr="00925F26">
        <w:rPr>
          <w:color w:val="000000" w:themeColor="text1"/>
          <w:sz w:val="16"/>
          <w:szCs w:val="16"/>
        </w:rPr>
        <w:softHyphen/>
        <w:t>ма советских специалистов, как вспо</w:t>
      </w:r>
      <w:r w:rsidRPr="00925F26">
        <w:rPr>
          <w:color w:val="000000" w:themeColor="text1"/>
          <w:sz w:val="16"/>
          <w:szCs w:val="16"/>
        </w:rPr>
        <w:softHyphen/>
        <w:t>минает Б. Е. Черток, был совершенно случайно обнаружен... в поленнице дров: «...По диагонали слегка подмо</w:t>
      </w:r>
      <w:r w:rsidRPr="00925F26">
        <w:rPr>
          <w:color w:val="000000" w:themeColor="text1"/>
          <w:sz w:val="16"/>
          <w:szCs w:val="16"/>
        </w:rPr>
        <w:softHyphen/>
        <w:t>ченной обложки шла красная полоса и страшная надпись "Streng Geheim - Строго секретно". Организованная тут же коллективная экспертиза установи</w:t>
      </w:r>
      <w:r w:rsidRPr="00925F26">
        <w:rPr>
          <w:color w:val="000000" w:themeColor="text1"/>
          <w:sz w:val="16"/>
          <w:szCs w:val="16"/>
        </w:rPr>
        <w:softHyphen/>
        <w:t>ла, что это - проект ракетного бомбар</w:t>
      </w:r>
      <w:r w:rsidRPr="00925F26">
        <w:rPr>
          <w:color w:val="000000" w:themeColor="text1"/>
          <w:sz w:val="16"/>
          <w:szCs w:val="16"/>
        </w:rPr>
        <w:softHyphen/>
        <w:t>дировщика ...».</w:t>
      </w:r>
    </w:p>
    <w:p w14:paraId="383F43E2" w14:textId="77777777" w:rsidR="00852262" w:rsidRPr="00925F26" w:rsidRDefault="00852262" w:rsidP="00925F26">
      <w:pPr>
        <w:jc w:val="both"/>
        <w:rPr>
          <w:color w:val="000000" w:themeColor="text1"/>
          <w:sz w:val="16"/>
          <w:szCs w:val="16"/>
        </w:rPr>
      </w:pPr>
      <w:r w:rsidRPr="00925F26">
        <w:rPr>
          <w:color w:val="000000" w:themeColor="text1"/>
          <w:sz w:val="16"/>
          <w:szCs w:val="16"/>
        </w:rPr>
        <w:t>Смелостью мысли «антипод» поразил А. М. Исаева, который до этого работал по самолету БИ-1. Проект был в тайне доставлен в тот же НИИ-1, где в июле с ним оз</w:t>
      </w:r>
      <w:r w:rsidRPr="00925F26">
        <w:rPr>
          <w:color w:val="000000" w:themeColor="text1"/>
          <w:sz w:val="16"/>
          <w:szCs w:val="16"/>
        </w:rPr>
        <w:softHyphen/>
        <w:t>накомились В.Ф. Бояховитинов и не</w:t>
      </w:r>
      <w:r w:rsidRPr="00925F26">
        <w:rPr>
          <w:color w:val="000000" w:themeColor="text1"/>
          <w:sz w:val="16"/>
          <w:szCs w:val="16"/>
        </w:rPr>
        <w:softHyphen/>
        <w:t>которые другие специалисты. Один из них - ведущий инженер Игорь Никола</w:t>
      </w:r>
      <w:r w:rsidRPr="00925F26">
        <w:rPr>
          <w:color w:val="000000" w:themeColor="text1"/>
          <w:sz w:val="16"/>
          <w:szCs w:val="16"/>
        </w:rPr>
        <w:softHyphen/>
        <w:t>евич Моишеев - настолько проникся задачей, что предложил продолжить разработку в Советском Союзе, прив</w:t>
      </w:r>
      <w:r w:rsidRPr="00925F26">
        <w:rPr>
          <w:color w:val="000000" w:themeColor="text1"/>
          <w:sz w:val="16"/>
          <w:szCs w:val="16"/>
        </w:rPr>
        <w:softHyphen/>
        <w:t>лекал к ее реализации самого Эйгена Зенгера и его команду! (23388).</w:t>
      </w:r>
    </w:p>
    <w:p w14:paraId="6E1C0BA4" w14:textId="77777777" w:rsidR="00852262" w:rsidRPr="00925F26" w:rsidRDefault="00852262" w:rsidP="00925F26">
      <w:pPr>
        <w:jc w:val="both"/>
        <w:rPr>
          <w:color w:val="000000" w:themeColor="text1"/>
          <w:sz w:val="16"/>
          <w:szCs w:val="16"/>
        </w:rPr>
      </w:pPr>
    </w:p>
    <w:p w14:paraId="310EA3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был подготовлен:</w:t>
      </w:r>
    </w:p>
    <w:p w14:paraId="19A76B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Доклад о работе ГВФ за период Отечественной войны (с 22 июня 1941 года – 15 мая 1945 года)</w:t>
      </w:r>
    </w:p>
    <w:p w14:paraId="46E5C9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СНК от 23 июня 1941 года были организованы особые авианруппы ГВФ, которые были приданы фронтам и в оперативном отношении подчинены командующим Воздушными армиями.</w:t>
      </w:r>
    </w:p>
    <w:p w14:paraId="787CC7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Из общего количества 3057 самолетов, имевшихся в ГВФ к началу войны в организованные фронтовые авиачасти ГВФ было направлено к 1 июля 1941 года 587 самолетов, из них 77 Ли-2.</w:t>
      </w:r>
    </w:p>
    <w:p w14:paraId="660A9C2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тыловых авиачастях ГВФ на 1 июля 1941 года оставалось 1411 самолетов, из них 11 Ли-2 и в учебных подразделениях ГВФ 1059 самолетов, из них 6 Ли-2.</w:t>
      </w:r>
    </w:p>
    <w:p w14:paraId="40156E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ноябре 1942 года особые авиагруппы ГВФ были переформированы (на основании директивы НКО) в отдельные авиадивизии, авиаполки и эскадрильи ГВФ.</w:t>
      </w:r>
    </w:p>
    <w:p w14:paraId="113CA7F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Все эти фронтовые авиачасти ГВФ были переведены на военные штаты НКО.</w:t>
      </w:r>
    </w:p>
    <w:p w14:paraId="5F03D6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p w14:paraId="31448E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Работу по обслуживанию фронта выполняли: 2 авиадивизии ГВФ (авиатранспортная и дивизия связи), 12 отдельных авиаполков и 1 отдельная авиаэскадрилья ГВФ ………</w:t>
      </w:r>
      <w:proofErr w:type="gramStart"/>
      <w:r w:rsidRPr="00925F26">
        <w:rPr>
          <w:color w:val="000000" w:themeColor="text1"/>
          <w:sz w:val="16"/>
          <w:szCs w:val="16"/>
        </w:rPr>
        <w:t>…….</w:t>
      </w:r>
      <w:proofErr w:type="gramEnd"/>
      <w:r w:rsidRPr="00925F26">
        <w:rPr>
          <w:color w:val="000000" w:themeColor="text1"/>
          <w:sz w:val="16"/>
          <w:szCs w:val="16"/>
        </w:rPr>
        <w:t>(8653).</w:t>
      </w:r>
    </w:p>
    <w:p w14:paraId="2E11F1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специальному решению Правительства в ГВФ была организована особая авиагруппа в составе 12 самолетов С-47 для обслуживания Югославской народной армии.</w:t>
      </w:r>
    </w:p>
    <w:p w14:paraId="016AF44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13 самолетов С-47 и Ли-2 были выделены вместе с экипажами для обслуживания временного Правительства Польши.</w:t>
      </w:r>
    </w:p>
    <w:p w14:paraId="7F29F86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p w14:paraId="082C1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постановлению ГОКО осенью 1941 года была начата работа по строительству Красноярской воздушной трассы по маршруту: Красноярск – Якутск – Уэлькаль, общей протяженностью 4800 км. С октября 1942 года по трассе началась перегонка самолетов из США</w:t>
      </w:r>
    </w:p>
    <w:p w14:paraId="1F541AB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p w14:paraId="7892D0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22 июня 1941 года в ГВФ имелся 3001 самолет, из них 82 Ли-2.</w:t>
      </w:r>
    </w:p>
    <w:p w14:paraId="334EF0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 время войны (по 1 мая 1945 года) в ГВФ поступило из разных источников 2513 самолетов, из них 532 Ли-2 и С-47.</w:t>
      </w:r>
    </w:p>
    <w:p w14:paraId="766090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 1 мая 1945 года в ГВФ имелось 2728 самолетов, из них 357 Ли-2 и С-47 (8653, 5-12).</w:t>
      </w:r>
    </w:p>
    <w:p w14:paraId="719D8ACF" w14:textId="77777777" w:rsidR="00665165" w:rsidRPr="00925F26" w:rsidRDefault="00665165" w:rsidP="00925F26">
      <w:pPr>
        <w:autoSpaceDE w:val="0"/>
        <w:autoSpaceDN w:val="0"/>
        <w:adjustRightInd w:val="0"/>
        <w:jc w:val="both"/>
        <w:rPr>
          <w:color w:val="000000" w:themeColor="text1"/>
          <w:sz w:val="16"/>
          <w:szCs w:val="16"/>
        </w:rPr>
      </w:pPr>
    </w:p>
    <w:p w14:paraId="43E313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мая 1945 года, когда была освобождена занятая во время ВОВ Авторемонтной базой военного ведомства промплощадка нужно считать начало организации завода № 283.</w:t>
      </w:r>
    </w:p>
    <w:p w14:paraId="79748E4E" w14:textId="77777777" w:rsidR="00665165" w:rsidRPr="00925F26" w:rsidRDefault="00665165"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Проектное задание</w:t>
      </w:r>
      <w:proofErr w:type="gramEnd"/>
      <w:r w:rsidRPr="00925F26">
        <w:rPr>
          <w:color w:val="000000" w:themeColor="text1"/>
          <w:sz w:val="16"/>
          <w:szCs w:val="16"/>
        </w:rPr>
        <w:t xml:space="preserve">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078434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75DE2D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Адрес: Ленинград, Обводной канал, 14</w:t>
      </w:r>
    </w:p>
    <w:p w14:paraId="6775E1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завода – радиолокационное приборостроение</w:t>
      </w:r>
    </w:p>
    <w:p w14:paraId="3051BF5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1946 году по Постановлению СМ от 10 июня 1946 года и приказу МАП от 20 июня 1946 года, на заводе было организовано ОКБ.</w:t>
      </w:r>
    </w:p>
    <w:p w14:paraId="4B270B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Первым начальником ОКБ был Низов Ф.И., затем Смирнов В.И.</w:t>
      </w:r>
    </w:p>
    <w:p w14:paraId="33F420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379C4C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директором завода № 301 был назначен Сычев В.В.</w:t>
      </w:r>
    </w:p>
    <w:p w14:paraId="0237F14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37311B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Этим же приказом директором завода назначен гл. конструктор С.А. Лавочкин.</w:t>
      </w:r>
    </w:p>
    <w:p w14:paraId="71FC836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 81 помещался на территории завода № 381. Производственное слияние резко увеличило мощности завода …</w:t>
      </w:r>
      <w:proofErr w:type="gramStart"/>
      <w:r w:rsidRPr="00925F26">
        <w:rPr>
          <w:color w:val="000000" w:themeColor="text1"/>
          <w:sz w:val="16"/>
          <w:szCs w:val="16"/>
        </w:rPr>
        <w:t>…….</w:t>
      </w:r>
      <w:proofErr w:type="gramEnd"/>
      <w:r w:rsidRPr="00925F26">
        <w:rPr>
          <w:color w:val="000000" w:themeColor="text1"/>
          <w:sz w:val="16"/>
          <w:szCs w:val="16"/>
        </w:rPr>
        <w:t>.(9602).</w:t>
      </w:r>
    </w:p>
    <w:p w14:paraId="7F4976C1" w14:textId="77777777" w:rsidR="00665165" w:rsidRPr="00925F26" w:rsidRDefault="00665165" w:rsidP="00925F26">
      <w:pPr>
        <w:autoSpaceDE w:val="0"/>
        <w:autoSpaceDN w:val="0"/>
        <w:adjustRightInd w:val="0"/>
        <w:jc w:val="both"/>
        <w:rPr>
          <w:color w:val="000000" w:themeColor="text1"/>
          <w:sz w:val="16"/>
          <w:szCs w:val="16"/>
        </w:rPr>
      </w:pPr>
    </w:p>
    <w:p w14:paraId="405DCBD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 г.-)/ /127083 г. Москва ул. Верхняя Масловка, 20 тел. 612-92-03/) переехал в новое здание (в котором находился и в 2000-е г.) по ул. В. Масловка, 90.</w:t>
      </w:r>
    </w:p>
    <w:p w14:paraId="6960D4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 г. преобразовано в Куйбышевский филиал; СПБ-2; Сибирский филиал, созданный в 1951 г.; СПБ-6 в Казани, созданное 8.12.1941 г., 18.10.1952 г. преобразовано в Казанский филиал; Омский филиал, организованный 17.10.1959 г.; Уфимский филиал, организованый 18.02.1975 г.; СПБ-11 в Ульяновске, созданное в 1976 г.</w:t>
      </w:r>
    </w:p>
    <w:p w14:paraId="42C859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имел производственную базу в Химках, в 1967 г. она передана в ГС ПКБ.</w:t>
      </w:r>
    </w:p>
    <w:p w14:paraId="1B1125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конце 1957 г. в институте образована группа по подготовке проекта стартовой и технической позиции создаваемой системы ПРО. В 1958 г. эта группа преобразована в ОКБ наземного оборудования. В 1950-х г. создано оборудование технической позиции противоракеты В-1000 системы ПРО «А», в 1958 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7BCA35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 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176FCF7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Институт находился в ведении: НКАП (-1946 г.), МАП (1946-53; 1953-57; 1965-91 г.), МОП (1953 г.), ГКАТ (1957-65 г.). По приказу ГКАТ от 14.12.1964 г. «Гипроавиапром» реорганизован в «ГипроНИИавиапром» (с 1982 г. - ордена Трудового Красного Знамени). Имел наименования: п/я 3908 (1960-66 г.), Г-4617 (1966-89 г.).</w:t>
      </w:r>
    </w:p>
    <w:p w14:paraId="3777E03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1.07.1992 г. предприятие 30.03.1993 г. акционировано и преобразовано в АООТ, с 28.05.1996 г. - ОАО «ГипроНИИавиапром». В 2001 г. - корпорация «ГипроНИИавиапром». По решению правительства № 22-р от 9.01.2004 г. и Указу Президента РФ № 1009 от 4.08.2004 г. вошло в число стратегических оборонных предприятий. В соответствии с Указом Президента РФ № 1052 от 10.07.2008 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0CE1E7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Работы (2004 г.): НИР, разработка проектов реконструкции предприятий, проекты газотурбинных электростанций, газоперекачивающих станций, глушителей шума.</w:t>
      </w:r>
    </w:p>
    <w:p w14:paraId="517C6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(1936-37 г.)- Н.П. Теплов, (06.1937; -12.1937-23.05.1938 г.)- В.Н. Крицман(Кришшй); и.о. (11.1937; 23.05-07.1938 г.-)- С.В. Аврутин; (29.07-12.1938-; 1940 г.)- Г.И. Байдаков, (1939 г.-)- И.И. Штейнберг, (1940 г.)- Г.В. Вазирян. Директор (1955-72 г.)- М.М. Тимохин, (1972-93 г.)- И. Шандура. Гендиректор (1990-е)- Николаев, (-1998- 2005 г.-)- В.М. Логинов, (-07.2006-09 г.-)- С.Ю. Давыдкин.</w:t>
      </w:r>
    </w:p>
    <w:p w14:paraId="2C1A65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гендиректора (2002 г.)- А.Н. Панюков. Зам. директора (06.1937 г.)- С.В. Аврутин. Зам. гендиректора</w:t>
      </w:r>
    </w:p>
    <w:p w14:paraId="0BBDC1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(-2002-14.12.2005 г.)- С.Ю. Давыдкин.</w:t>
      </w:r>
    </w:p>
    <w:p w14:paraId="09A2FA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технический (2002 г.)- А.Н. Панюков; по экономике и финансам (2002 г.)- С.Ю. Давыдкин; по поставке оборудования (2002 г.)- С.Ф. Русанов.</w:t>
      </w:r>
      <w:r w:rsidRPr="00925F26">
        <w:rPr>
          <w:color w:val="000000" w:themeColor="text1"/>
          <w:sz w:val="16"/>
          <w:szCs w:val="16"/>
          <w:vertAlign w:val="superscript"/>
        </w:rPr>
        <w:t>69</w:t>
      </w:r>
    </w:p>
    <w:p w14:paraId="4C69C7E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(06.1937 г.)- С.В. Аврутин.</w:t>
      </w:r>
    </w:p>
    <w:p w14:paraId="112782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(2004 г.)- И. Нечай.</w:t>
      </w:r>
    </w:p>
    <w:p w14:paraId="33B4F3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инженеры проектов: (1938 г.)- И.Н. Кенебас (завод № 124), (06.1938 г.)- Рубштейн (завод № 19), (7.08.1938 г.-)- Д.Г. Зальцман («Саркомбайн»), (29.09.1938 г.-)- М.М. Фадеев (№ 377), (07.1939 г.)- Бренгауз (№ 600), (1950-е)- Н.А. Шапиро (техническая позиция В-1000), (2000-е)- В.А. Звягинцев, П. Дунаев.</w:t>
      </w:r>
    </w:p>
    <w:p w14:paraId="4000B4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генпланов (09.1938 г.)- Демидов; технологического (-09.1938 г.)- М.П. Зюзин; (05.1937 г.)- Н.С. Берхен.</w:t>
      </w:r>
    </w:p>
    <w:p w14:paraId="76086F0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секторов: строительного (06.1938 г.)- Бибер.</w:t>
      </w:r>
    </w:p>
    <w:p w14:paraId="3C992A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Руководитель СПБ: (1946 г.)- М.А. Чикин.</w:t>
      </w:r>
    </w:p>
    <w:p w14:paraId="5AF1F6C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групп: водоснабжения (09.1938 г.)- Барабанов; (1935 г.-)- Е.А. Иванов.</w:t>
      </w:r>
    </w:p>
    <w:p w14:paraId="0F93F78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Архитекторы: (09.1938 г.)- Курочкин (№ 377).</w:t>
      </w:r>
    </w:p>
    <w:p w14:paraId="3A8B8601" w14:textId="77777777" w:rsidR="0027059D" w:rsidRPr="00925F26" w:rsidRDefault="0027059D"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институт по проектированию специальных металлургических заводов («Гипроспецмет»)</w:t>
      </w:r>
    </w:p>
    <w:p w14:paraId="15A0A24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03.1932 г. из состава Московского отделения института выделена самостоятельная Государственная контора «Авиапроект» (11982).</w:t>
      </w:r>
    </w:p>
    <w:p w14:paraId="4E7EC720" w14:textId="77777777" w:rsidR="0027059D" w:rsidRPr="00925F26" w:rsidRDefault="0027059D" w:rsidP="00925F26">
      <w:pPr>
        <w:autoSpaceDE w:val="0"/>
        <w:autoSpaceDN w:val="0"/>
        <w:adjustRightInd w:val="0"/>
        <w:jc w:val="both"/>
        <w:rPr>
          <w:iCs/>
          <w:color w:val="000000" w:themeColor="text1"/>
          <w:sz w:val="16"/>
          <w:szCs w:val="16"/>
        </w:rPr>
      </w:pPr>
    </w:p>
    <w:p w14:paraId="2C5B9D98" w14:textId="77777777" w:rsidR="00FB1A07" w:rsidRPr="00925F26" w:rsidRDefault="00FB1A07" w:rsidP="00925F26">
      <w:pPr>
        <w:jc w:val="both"/>
        <w:rPr>
          <w:color w:val="000000" w:themeColor="text1"/>
          <w:sz w:val="16"/>
          <w:szCs w:val="16"/>
        </w:rPr>
      </w:pPr>
      <w:r w:rsidRPr="00925F26">
        <w:rPr>
          <w:color w:val="000000" w:themeColor="text1"/>
          <w:sz w:val="16"/>
          <w:szCs w:val="16"/>
        </w:rPr>
        <w:t xml:space="preserve">В мае 1945 г. при штабе советской военной администрации в Берлине была образована Техническая комиссия по реактивной технике и вооружению. Генералом П.А. Дегтяревым были созданы три группы по сбору и изучению немецкой ракетной техники, которые возглавляли генерал Л..М. Гайдуков (район г. Берлина), генерал А.Ф. Тверецкий (район Тюрингии) и генерал А.И. Соколов (район Пенемюнде). Только теперь, после окончания войны, когда в распоряжении Технической КОМИССИИ оказалась почти вся Германия, стал выясняться подлинный размах немецких ракетных исследований. В частности, при тщательном осмотре хранилищ документации в Нордхаузене по фрагментам уцелевших отчетов, удалось выявить, что В. Брауном в январе 1945 г. были запущены двухступенчатая межконтинентальная ракета А9-А10 с тягой более 180 тонн и ракета Х-11 с подводной лодки. Ракета А9-А10 была многоступенчатой, последняя ее ступень являлась крылатой ракетой, «она предназначалась для ракетной атаки на Нью-Йорк с берегов Франции или Португалии. Но поскольку возможности тогдашних систем наведения не позволяли точно попадать в цель, предполагалось, что ее будут вести по радиомаяку с крыши одного из нью-йоркских небоскребов. Маяк должны были </w:t>
      </w:r>
      <w:r w:rsidRPr="00925F26">
        <w:rPr>
          <w:color w:val="000000" w:themeColor="text1"/>
          <w:sz w:val="16"/>
          <w:szCs w:val="16"/>
        </w:rPr>
        <w:lastRenderedPageBreak/>
        <w:t>установить два разведчика, но их акция провалилась» (РГАНТД, Б.Е. Черток, Г.А. Тюлин. 30 ноября 1988 г.Фоно. Арх.№ 617, 19см.сек, мл, 6,25мм). Последнее ракетное нападение второй мировой войны не состоялось (22685).</w:t>
      </w:r>
    </w:p>
    <w:p w14:paraId="51B9984D" w14:textId="77777777" w:rsidR="00FB1A07" w:rsidRPr="00925F26" w:rsidRDefault="00FB1A07" w:rsidP="00925F26">
      <w:pPr>
        <w:jc w:val="both"/>
        <w:rPr>
          <w:color w:val="000000" w:themeColor="text1"/>
          <w:sz w:val="16"/>
          <w:szCs w:val="16"/>
        </w:rPr>
      </w:pPr>
    </w:p>
    <w:p w14:paraId="70A9F31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2DF7260" w14:textId="77777777" w:rsidR="00665165" w:rsidRPr="00925F26" w:rsidRDefault="00665165" w:rsidP="00925F26">
      <w:pPr>
        <w:autoSpaceDE w:val="0"/>
        <w:autoSpaceDN w:val="0"/>
        <w:adjustRightInd w:val="0"/>
        <w:jc w:val="both"/>
        <w:rPr>
          <w:iCs/>
          <w:color w:val="000000" w:themeColor="text1"/>
          <w:sz w:val="16"/>
          <w:szCs w:val="16"/>
        </w:rPr>
      </w:pPr>
    </w:p>
    <w:p w14:paraId="1133AF8F" w14:textId="77777777" w:rsidR="0027059D" w:rsidRPr="00925F26" w:rsidRDefault="0027059D" w:rsidP="00925F26">
      <w:pPr>
        <w:pStyle w:val="book"/>
        <w:ind w:firstLine="0"/>
        <w:jc w:val="both"/>
        <w:rPr>
          <w:color w:val="000000" w:themeColor="text1"/>
          <w:sz w:val="16"/>
          <w:szCs w:val="16"/>
        </w:rPr>
      </w:pPr>
      <w:r w:rsidRPr="00925F26">
        <w:rPr>
          <w:color w:val="000000" w:themeColor="text1"/>
          <w:sz w:val="16"/>
          <w:szCs w:val="16"/>
        </w:rPr>
        <w:t>В мае 1945 г. Советской армией была захвачена не только материальная часть 24-см дальнобойной пушки К.3, но и конструкторы этой системы, в том числе и главного конструктора Ассмана. Их включили в состав Артиллерийско-минометной группы, работавшей в городе Земмерда (Тюрингия). С советской стороны в доработке системы К.3 с цилиндро-коническим стволом участвовал капитан Дернов. Отчет о работе над К.З был утвержден 25 июня 1946 г. В конце 40-х годов в ряде конструкторских бюро (НИИ-58, ОКБ-172 и др.) интенсивно шли работы по проектированию цилиндрических стволов. При этом широко использовался опыт создания уникальной системы К.3 (15225).</w:t>
      </w:r>
    </w:p>
    <w:p w14:paraId="06E2BCE5" w14:textId="77777777" w:rsidR="0027059D" w:rsidRPr="00925F26" w:rsidRDefault="0027059D" w:rsidP="00925F26">
      <w:pPr>
        <w:pStyle w:val="book"/>
        <w:ind w:firstLine="0"/>
        <w:jc w:val="both"/>
        <w:rPr>
          <w:color w:val="000000" w:themeColor="text1"/>
          <w:sz w:val="16"/>
          <w:szCs w:val="16"/>
        </w:rPr>
      </w:pPr>
    </w:p>
    <w:p w14:paraId="43755CA8" w14:textId="55537C19" w:rsidR="00823A00" w:rsidRPr="00925F26" w:rsidRDefault="00823A00" w:rsidP="00925F26">
      <w:pPr>
        <w:jc w:val="both"/>
        <w:rPr>
          <w:color w:val="000000" w:themeColor="text1"/>
          <w:sz w:val="16"/>
          <w:szCs w:val="16"/>
        </w:rPr>
      </w:pPr>
      <w:r w:rsidRPr="00925F26">
        <w:rPr>
          <w:color w:val="000000" w:themeColor="text1"/>
          <w:sz w:val="16"/>
          <w:szCs w:val="16"/>
        </w:rPr>
        <w:t>В мае 1945</w:t>
      </w:r>
      <w:r w:rsidR="00997EDF" w:rsidRPr="00925F26">
        <w:rPr>
          <w:color w:val="000000" w:themeColor="text1"/>
          <w:sz w:val="16"/>
          <w:szCs w:val="16"/>
        </w:rPr>
        <w:t xml:space="preserve">  </w:t>
      </w:r>
      <w:r w:rsidRPr="00925F26">
        <w:rPr>
          <w:color w:val="000000" w:themeColor="text1"/>
          <w:sz w:val="16"/>
          <w:szCs w:val="16"/>
        </w:rPr>
        <w:t>г. Советской армией была захвачена не только материальная часть, но и конструкторы системы К.3. Над созданием К.З работали фирмы Круппа и «Рейнметалл». Для стрельбы из конического ствола был создан специальный подкалиберный 24/21-см снаряд весом 126,</w:t>
      </w:r>
      <w:proofErr w:type="gramStart"/>
      <w:r w:rsidRPr="00925F26">
        <w:rPr>
          <w:color w:val="000000" w:themeColor="text1"/>
          <w:sz w:val="16"/>
          <w:szCs w:val="16"/>
        </w:rPr>
        <w:t>5</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снаряженный </w:t>
      </w:r>
      <w:proofErr w:type="gramStart"/>
      <w:r w:rsidRPr="00925F26">
        <w:rPr>
          <w:color w:val="000000" w:themeColor="text1"/>
          <w:sz w:val="16"/>
          <w:szCs w:val="16"/>
        </w:rPr>
        <w:t>15</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взрывчатого вещества. Дальность стрельбы по проекту должна была быть </w:t>
      </w:r>
      <w:proofErr w:type="gramStart"/>
      <w:r w:rsidRPr="00925F26">
        <w:rPr>
          <w:color w:val="000000" w:themeColor="text1"/>
          <w:sz w:val="16"/>
          <w:szCs w:val="16"/>
        </w:rPr>
        <w:t>60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 Диаметр входного калибра 240 мм, а </w:t>
      </w:r>
      <w:proofErr w:type="gramStart"/>
      <w:r w:rsidRPr="00925F26">
        <w:rPr>
          <w:color w:val="000000" w:themeColor="text1"/>
          <w:sz w:val="16"/>
          <w:szCs w:val="16"/>
        </w:rPr>
        <w:t>выходного</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08706D1B" w14:textId="77777777" w:rsidR="00823A00" w:rsidRPr="00925F26" w:rsidRDefault="00823A00" w:rsidP="00925F26">
      <w:pPr>
        <w:jc w:val="both"/>
        <w:rPr>
          <w:color w:val="000000" w:themeColor="text1"/>
          <w:sz w:val="16"/>
          <w:szCs w:val="16"/>
        </w:rPr>
      </w:pPr>
      <w:r w:rsidRPr="00925F26">
        <w:rPr>
          <w:color w:val="000000" w:themeColor="text1"/>
          <w:sz w:val="16"/>
          <w:szCs w:val="16"/>
        </w:rPr>
        <w:t xml:space="preserve">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w:t>
      </w:r>
      <w:proofErr w:type="gramStart"/>
      <w:r w:rsidRPr="00925F26">
        <w:rPr>
          <w:color w:val="000000" w:themeColor="text1"/>
          <w:sz w:val="16"/>
          <w:szCs w:val="16"/>
        </w:rPr>
        <w:t>цилиндро-коническим</w:t>
      </w:r>
      <w:proofErr w:type="gramEnd"/>
      <w:r w:rsidRPr="00925F26">
        <w:rPr>
          <w:color w:val="000000" w:themeColor="text1"/>
          <w:sz w:val="16"/>
          <w:szCs w:val="16"/>
        </w:rPr>
        <w:t xml:space="preserve">.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w:t>
      </w:r>
      <w:proofErr w:type="gramStart"/>
      <w:r w:rsidRPr="00925F26">
        <w:rPr>
          <w:color w:val="000000" w:themeColor="text1"/>
          <w:sz w:val="16"/>
          <w:szCs w:val="16"/>
        </w:rPr>
        <w:t>снаряды</w:t>
      </w:r>
      <w:proofErr w:type="gramEnd"/>
      <w:r w:rsidRPr="00925F26">
        <w:rPr>
          <w:color w:val="000000" w:themeColor="text1"/>
          <w:sz w:val="16"/>
          <w:szCs w:val="16"/>
        </w:rPr>
        <w:t xml:space="preserve"> первоначально прошедшие такую цилиндрическую часть, более устойчивы в полете.</w:t>
      </w:r>
    </w:p>
    <w:p w14:paraId="5C1650A4" w14:textId="77777777" w:rsidR="00823A00" w:rsidRPr="00925F26" w:rsidRDefault="00823A00" w:rsidP="00925F26">
      <w:pPr>
        <w:jc w:val="both"/>
        <w:rPr>
          <w:color w:val="000000" w:themeColor="text1"/>
          <w:sz w:val="16"/>
          <w:szCs w:val="16"/>
        </w:rPr>
      </w:pPr>
      <w:r w:rsidRPr="00925F26">
        <w:rPr>
          <w:color w:val="000000" w:themeColor="text1"/>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5F208762" w14:textId="4BDFDE8D" w:rsidR="00823A00" w:rsidRPr="00925F26" w:rsidRDefault="00823A00" w:rsidP="00925F26">
      <w:pPr>
        <w:jc w:val="both"/>
        <w:rPr>
          <w:color w:val="000000" w:themeColor="text1"/>
          <w:sz w:val="16"/>
          <w:szCs w:val="16"/>
        </w:rPr>
      </w:pPr>
      <w:r w:rsidRPr="00925F26">
        <w:rPr>
          <w:color w:val="000000" w:themeColor="text1"/>
          <w:sz w:val="16"/>
          <w:szCs w:val="16"/>
        </w:rPr>
        <w:t xml:space="preserve">В ходе стрельб в июле </w:t>
      </w:r>
      <w:proofErr w:type="gramStart"/>
      <w:r w:rsidRPr="00925F26">
        <w:rPr>
          <w:color w:val="000000" w:themeColor="text1"/>
          <w:sz w:val="16"/>
          <w:szCs w:val="16"/>
        </w:rPr>
        <w:t>1944</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была получена начальная скорость </w:t>
      </w:r>
      <w:proofErr w:type="gramStart"/>
      <w:r w:rsidRPr="00925F26">
        <w:rPr>
          <w:color w:val="000000" w:themeColor="text1"/>
          <w:sz w:val="16"/>
          <w:szCs w:val="16"/>
        </w:rPr>
        <w:t>1130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/с и дальность </w:t>
      </w:r>
      <w:proofErr w:type="gramStart"/>
      <w:r w:rsidRPr="00925F26">
        <w:rPr>
          <w:color w:val="000000" w:themeColor="text1"/>
          <w:sz w:val="16"/>
          <w:szCs w:val="16"/>
        </w:rPr>
        <w:t>50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 Рассеивание при этом составило по дальности </w:t>
      </w:r>
      <w:proofErr w:type="gramStart"/>
      <w:r w:rsidRPr="00925F26">
        <w:rPr>
          <w:color w:val="000000" w:themeColor="text1"/>
          <w:sz w:val="16"/>
          <w:szCs w:val="16"/>
        </w:rPr>
        <w:t>900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 и боковое </w:t>
      </w:r>
      <w:proofErr w:type="gramStart"/>
      <w:r w:rsidRPr="00925F26">
        <w:rPr>
          <w:color w:val="000000" w:themeColor="text1"/>
          <w:sz w:val="16"/>
          <w:szCs w:val="16"/>
        </w:rPr>
        <w:t>120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 </w:t>
      </w:r>
    </w:p>
    <w:p w14:paraId="7DF69257" w14:textId="044AA299" w:rsidR="00823A00" w:rsidRPr="00925F26" w:rsidRDefault="00823A00" w:rsidP="00925F26">
      <w:pPr>
        <w:jc w:val="both"/>
        <w:rPr>
          <w:color w:val="000000" w:themeColor="text1"/>
          <w:sz w:val="16"/>
          <w:szCs w:val="16"/>
        </w:rPr>
      </w:pPr>
      <w:r w:rsidRPr="00925F26">
        <w:rPr>
          <w:color w:val="000000" w:themeColor="text1"/>
          <w:sz w:val="16"/>
          <w:szCs w:val="16"/>
        </w:rPr>
        <w:t>Доработка системы К.З с цилиндро-коническим стволом велась в 1945–1946</w:t>
      </w:r>
      <w:r w:rsidR="00997EDF" w:rsidRPr="00925F26">
        <w:rPr>
          <w:color w:val="000000" w:themeColor="text1"/>
          <w:sz w:val="16"/>
          <w:szCs w:val="16"/>
        </w:rPr>
        <w:t xml:space="preserve">  </w:t>
      </w:r>
      <w:r w:rsidRPr="00925F26">
        <w:rPr>
          <w:color w:val="000000" w:themeColor="text1"/>
          <w:sz w:val="16"/>
          <w:szCs w:val="16"/>
        </w:rPr>
        <w:t xml:space="preserve">гг. в городе Земмерда (Тюрингия) группой немецких конструкторов под руководством Ассмана. С советской стороны ее курировал инженер-полковник Бутаков.[45] Отчет о работе над К.З был утвержден 25 июня </w:t>
      </w:r>
      <w:proofErr w:type="gramStart"/>
      <w:r w:rsidRPr="00925F26">
        <w:rPr>
          <w:color w:val="000000" w:themeColor="text1"/>
          <w:sz w:val="16"/>
          <w:szCs w:val="16"/>
        </w:rPr>
        <w:t>1946</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Автору, к сожалению, не удалось найти материалы о дальнейших работах в СССР над орудием К.З (12705).</w:t>
      </w:r>
    </w:p>
    <w:p w14:paraId="77590857" w14:textId="77777777" w:rsidR="00823A00" w:rsidRPr="00925F26" w:rsidRDefault="00823A00" w:rsidP="00925F26">
      <w:pPr>
        <w:jc w:val="both"/>
        <w:rPr>
          <w:color w:val="000000" w:themeColor="text1"/>
          <w:sz w:val="16"/>
          <w:szCs w:val="16"/>
        </w:rPr>
      </w:pPr>
    </w:p>
    <w:p w14:paraId="7704F746" w14:textId="77777777" w:rsidR="00D628F5" w:rsidRPr="001A0BAA" w:rsidRDefault="00D628F5" w:rsidP="00D628F5">
      <w:pPr>
        <w:jc w:val="both"/>
        <w:rPr>
          <w:color w:val="0070C0"/>
          <w:sz w:val="16"/>
          <w:szCs w:val="16"/>
        </w:rPr>
      </w:pPr>
      <w:r w:rsidRPr="001A0BAA">
        <w:rPr>
          <w:rStyle w:val="aff0"/>
          <w:rFonts w:ascii="Times New Roman" w:hAnsi="Times New Roman" w:cs="Times New Roman"/>
          <w:color w:val="0070C0"/>
          <w:spacing w:val="0"/>
          <w:sz w:val="16"/>
          <w:szCs w:val="16"/>
        </w:rPr>
        <w:t>В мае 1945 г. на государственных испытаниях опытного образца 122-мм пушки БЛ-9 ОКБ-172 на самоходе ИСУ-122-1 в ходе стрельб из-за дефекта металла произошел разрыв ствола пушки БЛ-9. Этот эпизод, а также окончание войны, послу</w:t>
      </w:r>
      <w:r w:rsidRPr="001A0BAA">
        <w:rPr>
          <w:rStyle w:val="aff0"/>
          <w:rFonts w:ascii="Times New Roman" w:hAnsi="Times New Roman" w:cs="Times New Roman"/>
          <w:color w:val="0070C0"/>
          <w:spacing w:val="0"/>
          <w:sz w:val="16"/>
          <w:szCs w:val="16"/>
        </w:rPr>
        <w:softHyphen/>
        <w:t>жили поводом к отказу от серийного производства БЛ-9 (25437).</w:t>
      </w:r>
    </w:p>
    <w:p w14:paraId="148F2647" w14:textId="77777777" w:rsidR="00D628F5" w:rsidRPr="001A0BAA" w:rsidRDefault="00D628F5" w:rsidP="00D628F5">
      <w:pPr>
        <w:jc w:val="both"/>
        <w:rPr>
          <w:color w:val="0070C0"/>
          <w:sz w:val="16"/>
          <w:szCs w:val="16"/>
        </w:rPr>
      </w:pPr>
    </w:p>
    <w:p w14:paraId="2DA1F1CF"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Май 1945. За время войны завод им. Киркижа выпустил и отправил в действующую армию 1202481 единицу различного вооружения, в том числе:</w:t>
      </w:r>
    </w:p>
    <w:p w14:paraId="38C663F2"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пулеметов Дегтярева ДП и ДТ калибра 7,62мм;</w:t>
      </w:r>
    </w:p>
    <w:p w14:paraId="2DF51B46"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станковых пулеметов Горюнова СГ-43 калибра 7,62 мм - 28882;</w:t>
      </w:r>
    </w:p>
    <w:p w14:paraId="2F241689"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авиационных пулеметов Березина калибра 12,7 мм - 6381;</w:t>
      </w:r>
    </w:p>
    <w:p w14:paraId="168151E6"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авиационных пушек ШВАК калибра 20 мм - 86444; авиационных пушек ВЯ калибра 23 мм - 21920;</w:t>
      </w:r>
    </w:p>
    <w:p w14:paraId="7A2FAD02"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противотанковые ружья Дегтярева и т.д.</w:t>
      </w:r>
    </w:p>
    <w:p w14:paraId="120D185F"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 xml:space="preserve">За врёмя Великой Отечественной войны, работники конструкторского отдела и бюро создали 9 новых образцов автоматического стрелкового оружия, не считая работ </w:t>
      </w:r>
      <w:proofErr w:type="gramStart"/>
      <w:r w:rsidRPr="00925F26">
        <w:rPr>
          <w:color w:val="000000" w:themeColor="text1"/>
          <w:sz w:val="16"/>
          <w:szCs w:val="16"/>
        </w:rPr>
        <w:t>по модернизации</w:t>
      </w:r>
      <w:proofErr w:type="gramEnd"/>
      <w:r w:rsidRPr="00925F26">
        <w:rPr>
          <w:color w:val="000000" w:themeColor="text1"/>
          <w:sz w:val="16"/>
          <w:szCs w:val="16"/>
        </w:rPr>
        <w:t xml:space="preserve"> уже принятых на вооружение, систем. В разработке этих систем принимали участие П.М. Горюнов, В.Е. Воронков, М.М. Горюнов, С.В. Владимиров, Н.Н. Лопуховский, С.А. Харыкин,В.К. Егоров, А.П. Финогенов, П.П. Поляков, А.А. Дубынин, Г.П. Марков, К.М. Кустов, И.С. Лещинский и другие.</w:t>
      </w:r>
    </w:p>
    <w:p w14:paraId="1B6CA4B1"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 xml:space="preserve">Коллектив производства «ШВАК» и «ВЯ» выполнил-мартовскую программу, которая была увеличена по сравнению с февральской на 20%. Пушкари дали продукции сверх плана еще на 27% </w:t>
      </w:r>
      <w:proofErr w:type="gramStart"/>
      <w:r w:rsidRPr="00925F26">
        <w:rPr>
          <w:color w:val="000000" w:themeColor="text1"/>
          <w:sz w:val="16"/>
          <w:szCs w:val="16"/>
        </w:rPr>
        <w:t>и.вернули</w:t>
      </w:r>
      <w:proofErr w:type="gramEnd"/>
      <w:r w:rsidRPr="00925F26">
        <w:rPr>
          <w:color w:val="000000" w:themeColor="text1"/>
          <w:sz w:val="16"/>
          <w:szCs w:val="16"/>
        </w:rPr>
        <w:t xml:space="preserve"> себе переходящее Красное знамя завода.</w:t>
      </w:r>
    </w:p>
    <w:p w14:paraId="31F6EC46"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В цехах завода на протяжении всех военных лет большими партиями изготовлялись протезные шины, мясорубки, телефонные катушки, замки, запасные части к автомобилям и тракторам, мебель. Продолжалось крупносерийное производство инструмента и металлорежущих станков. Для обеспечения успешной деятельности всех производств, выпускавших разнообразные виды продукции, работали вспомогательные производства: службы материального обеспечения, газового хозяйства, энергетическая служба.</w:t>
      </w:r>
    </w:p>
    <w:p w14:paraId="68D30854" w14:textId="77777777" w:rsidR="00823A00" w:rsidRPr="00925F26" w:rsidRDefault="00823A00" w:rsidP="00925F26">
      <w:pPr>
        <w:pStyle w:val="ae"/>
        <w:spacing w:before="0" w:after="0"/>
        <w:jc w:val="both"/>
        <w:rPr>
          <w:color w:val="000000" w:themeColor="text1"/>
          <w:sz w:val="16"/>
          <w:szCs w:val="16"/>
        </w:rPr>
      </w:pPr>
      <w:r w:rsidRPr="00925F26">
        <w:rPr>
          <w:color w:val="000000" w:themeColor="text1"/>
          <w:sz w:val="16"/>
          <w:szCs w:val="16"/>
        </w:rPr>
        <w:t>Станкостроительное производство выпустило 5000 металлорежущих станков (12221).</w:t>
      </w:r>
    </w:p>
    <w:p w14:paraId="02F362A0" w14:textId="77777777" w:rsidR="00823A00" w:rsidRPr="00925F26" w:rsidRDefault="00823A00" w:rsidP="00925F26">
      <w:pPr>
        <w:pStyle w:val="ae"/>
        <w:spacing w:before="0" w:after="0"/>
        <w:jc w:val="both"/>
        <w:rPr>
          <w:color w:val="000000" w:themeColor="text1"/>
          <w:sz w:val="16"/>
          <w:szCs w:val="16"/>
        </w:rPr>
      </w:pPr>
    </w:p>
    <w:p w14:paraId="4E1B3B0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на ЧКЗ были выпущены последние 150 машин ИС-2 (10703).</w:t>
      </w:r>
    </w:p>
    <w:p w14:paraId="05B3C65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6B11D409" w14:textId="77777777" w:rsidR="00A65CB5" w:rsidRPr="00925F26" w:rsidRDefault="00A65CB5" w:rsidP="00925F26">
      <w:pPr>
        <w:jc w:val="both"/>
        <w:rPr>
          <w:color w:val="000000" w:themeColor="text1"/>
          <w:sz w:val="16"/>
          <w:szCs w:val="16"/>
          <w:lang w:bidi="ru-RU"/>
        </w:rPr>
      </w:pPr>
      <w:r w:rsidRPr="00925F26">
        <w:rPr>
          <w:color w:val="000000" w:themeColor="text1"/>
          <w:sz w:val="16"/>
          <w:szCs w:val="16"/>
          <w:shd w:val="clear" w:color="auto" w:fill="FFFFFF"/>
        </w:rPr>
        <w:t>В мае 1945 года оба орудия Д-25 - танковую и самоходную версии направили на Кировский завод. К тому моменту ситуация с танками изменилась: в апреле 1945 года начался выпуск тяжелых танков ИС-3, которые летом 1945 года окончательно вытеснили ИС-2 с конвейера. Разумеется, теперь встал вопрос об установке орудия под унитар в ИС-3, и вот тут выяснилась простая истина. Утка в зайца влезать не хотела принципиально, то есть унитар в башню ИС-3, не имеющей, как таковой, кормовой ниши, попросту не помещался. А боекомплект, с учетом размещения снарядных укладок, становился смехотворным. Посему в Челябинске на предложение переделать ИС-3 под унитарное заряжание ответили отказом. Попытки заставить ОГК Кировского завода построить ИС-3 с орудием под унитатрное заряжание успехом не увенчались, и тут челябинцы были абсолютно правы. Это была бесполезная трата времени (20277).</w:t>
      </w:r>
    </w:p>
    <w:p w14:paraId="2600432D" w14:textId="77777777" w:rsidR="00A65CB5" w:rsidRPr="00925F26" w:rsidRDefault="00A65CB5" w:rsidP="00925F26">
      <w:pPr>
        <w:jc w:val="both"/>
        <w:rPr>
          <w:color w:val="000000" w:themeColor="text1"/>
          <w:sz w:val="16"/>
          <w:szCs w:val="16"/>
          <w:lang w:bidi="ru-RU"/>
        </w:rPr>
      </w:pPr>
    </w:p>
    <w:p w14:paraId="5CCD10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г. к разработке нового тяжелого танка, получившего наименование ИС-7, приступили и на опытном заводе № 100. Общее ру</w:t>
      </w:r>
      <w:r w:rsidRPr="00925F26">
        <w:rPr>
          <w:color w:val="000000" w:themeColor="text1"/>
          <w:sz w:val="16"/>
          <w:szCs w:val="16"/>
        </w:rPr>
        <w:softHyphen/>
        <w:t xml:space="preserve">ководство по разработке нового танка было поручено заместителю главного конструктора завода А.С. Ермолаеву. Начиная </w:t>
      </w:r>
      <w:proofErr w:type="gramStart"/>
      <w:r w:rsidRPr="00925F26">
        <w:rPr>
          <w:color w:val="000000" w:themeColor="text1"/>
          <w:sz w:val="16"/>
          <w:szCs w:val="16"/>
        </w:rPr>
        <w:t>новое проектирование</w:t>
      </w:r>
      <w:proofErr w:type="gramEnd"/>
      <w:r w:rsidRPr="00925F26">
        <w:rPr>
          <w:color w:val="000000" w:themeColor="text1"/>
          <w:sz w:val="16"/>
          <w:szCs w:val="16"/>
        </w:rPr>
        <w:t xml:space="preserve"> главный конструктор Ж.Я Котин создал несколько узкоспециали</w:t>
      </w:r>
      <w:r w:rsidRPr="00925F26">
        <w:rPr>
          <w:color w:val="000000" w:themeColor="text1"/>
          <w:sz w:val="16"/>
          <w:szCs w:val="16"/>
        </w:rPr>
        <w:softHyphen/>
        <w:t>зированных групп, которые занимались детальной проработкой определенной части проекта. Эти группы возглавляли: А.С. Шнейдман (воору</w:t>
      </w:r>
      <w:r w:rsidRPr="00925F26">
        <w:rPr>
          <w:color w:val="000000" w:themeColor="text1"/>
          <w:sz w:val="16"/>
          <w:szCs w:val="16"/>
        </w:rPr>
        <w:softHyphen/>
        <w:t>жение), С.В. Мицкевич (корпус), Г.А. Серегин (ходовая часть), ГА. Тур</w:t>
      </w:r>
      <w:r w:rsidRPr="00925F26">
        <w:rPr>
          <w:color w:val="000000" w:themeColor="text1"/>
          <w:sz w:val="16"/>
          <w:szCs w:val="16"/>
        </w:rPr>
        <w:softHyphen/>
        <w:t>чанинов (трансмиссия), ГА. Осмоловский (моторная группа) и др. Ве</w:t>
      </w:r>
      <w:r w:rsidRPr="00925F26">
        <w:rPr>
          <w:color w:val="000000" w:themeColor="text1"/>
          <w:sz w:val="16"/>
          <w:szCs w:val="16"/>
        </w:rPr>
        <w:softHyphen/>
        <w:t>дущим конструктором по проекту назначили П.П. Исакова. К сентябрю 1945 г. было разработано несколько проек</w:t>
      </w:r>
      <w:r w:rsidRPr="00925F26">
        <w:rPr>
          <w:color w:val="000000" w:themeColor="text1"/>
          <w:sz w:val="16"/>
          <w:szCs w:val="16"/>
        </w:rPr>
        <w:softHyphen/>
        <w:t>тов нового танка с различными схемами механических и электромеха</w:t>
      </w:r>
      <w:r w:rsidRPr="00925F26">
        <w:rPr>
          <w:color w:val="000000" w:themeColor="text1"/>
          <w:sz w:val="16"/>
          <w:szCs w:val="16"/>
        </w:rPr>
        <w:softHyphen/>
        <w:t>нических трансмиссий ("Объекты 257 - 261"). Первоначально на танке планировалось использовать спаренную силовую установку, тем самым резко увеличив мощность до 1200 л.с. (882 кВт) и обеспечив расчетную маневренность, или один дизель КЧ-ЗОТ аналогичной мощности. Ма</w:t>
      </w:r>
      <w:r w:rsidRPr="00925F26">
        <w:rPr>
          <w:color w:val="000000" w:themeColor="text1"/>
          <w:sz w:val="16"/>
          <w:szCs w:val="16"/>
        </w:rPr>
        <w:softHyphen/>
        <w:t>шина имела дифференцированное бронирование. За счет рационально</w:t>
      </w:r>
      <w:r w:rsidRPr="00925F26">
        <w:rPr>
          <w:color w:val="000000" w:themeColor="text1"/>
          <w:sz w:val="16"/>
          <w:szCs w:val="16"/>
        </w:rPr>
        <w:softHyphen/>
        <w:t>го наклона броневых листов удалось значительно повысить уровень ее защищенности. Форма броневого корпуса танка ИС-7 значительно от</w:t>
      </w:r>
      <w:r w:rsidRPr="00925F26">
        <w:rPr>
          <w:color w:val="000000" w:themeColor="text1"/>
          <w:sz w:val="16"/>
          <w:szCs w:val="16"/>
        </w:rPr>
        <w:softHyphen/>
        <w:t>личалась от всех предыдущих машин ЧКЗ. Наравне с применением трехгранной лобовой части, жесткость и бронестойкость корпуса пред</w:t>
      </w:r>
      <w:r w:rsidRPr="00925F26">
        <w:rPr>
          <w:color w:val="000000" w:themeColor="text1"/>
          <w:sz w:val="16"/>
          <w:szCs w:val="16"/>
        </w:rPr>
        <w:softHyphen/>
        <w:t xml:space="preserve">полагалось повысить за счет </w:t>
      </w:r>
      <w:proofErr w:type="gramStart"/>
      <w:r w:rsidRPr="00925F26">
        <w:rPr>
          <w:color w:val="000000" w:themeColor="text1"/>
          <w:sz w:val="16"/>
          <w:szCs w:val="16"/>
        </w:rPr>
        <w:t>применения</w:t>
      </w:r>
      <w:proofErr w:type="gramEnd"/>
      <w:r w:rsidRPr="00925F26">
        <w:rPr>
          <w:color w:val="000000" w:themeColor="text1"/>
          <w:sz w:val="16"/>
          <w:szCs w:val="16"/>
        </w:rPr>
        <w:t xml:space="preserve"> вогнутого внутрь борта, созда</w:t>
      </w:r>
      <w:r w:rsidRPr="00925F26">
        <w:rPr>
          <w:color w:val="000000" w:themeColor="text1"/>
          <w:sz w:val="16"/>
          <w:szCs w:val="16"/>
        </w:rPr>
        <w:softHyphen/>
        <w:t>ющего условия для рикошетирования попадающих в борт бронебойных снарядов. Скошенные борта образовывали полости в подмоторном по</w:t>
      </w:r>
      <w:r w:rsidRPr="00925F26">
        <w:rPr>
          <w:color w:val="000000" w:themeColor="text1"/>
          <w:sz w:val="16"/>
          <w:szCs w:val="16"/>
        </w:rPr>
        <w:softHyphen/>
        <w:t>стаменте, которые по мнению конструкторов можно было использовать в качестве топливных баков. В качестве основного оружия на танке пла</w:t>
      </w:r>
      <w:r w:rsidRPr="00925F26">
        <w:rPr>
          <w:color w:val="000000" w:themeColor="text1"/>
          <w:sz w:val="16"/>
          <w:szCs w:val="16"/>
        </w:rPr>
        <w:softHyphen/>
        <w:t>нировалось установить хорошо зарекомендовавшую в боевых условиях 122-мм танковую пушку Д-25. В Челябинске эти проекты в металле во</w:t>
      </w:r>
      <w:r w:rsidRPr="00925F26">
        <w:rPr>
          <w:color w:val="000000" w:themeColor="text1"/>
          <w:sz w:val="16"/>
          <w:szCs w:val="16"/>
        </w:rPr>
        <w:softHyphen/>
        <w:t>площены не были. Дальнейшие работы по танку ИС-7 были продолже</w:t>
      </w:r>
      <w:r w:rsidRPr="00925F26">
        <w:rPr>
          <w:color w:val="000000" w:themeColor="text1"/>
          <w:sz w:val="16"/>
          <w:szCs w:val="16"/>
        </w:rPr>
        <w:softHyphen/>
        <w:t>ны уже на Кировском заводе в Ленинграде после возращения большин</w:t>
      </w:r>
      <w:r w:rsidRPr="00925F26">
        <w:rPr>
          <w:color w:val="000000" w:themeColor="text1"/>
          <w:sz w:val="16"/>
          <w:szCs w:val="16"/>
        </w:rPr>
        <w:softHyphen/>
        <w:t>ства конструкторов из эвакуации в первые послевоенные годы. Таким образом, создание тяжелых танков на ЧКЗ и на заводе № 100 пошло по двум направлениям — каждый коллектив стремился создать свою машину и вывести ее на серийное производство, несмотря на то, что общее руководство всех работ осуществлялось Ж.Я. Котиным. Такое положение дел нашло свое отражение даже на заводских обозначениях вновь создаваемых объектов. С этого времени все машины, создаваемые в КБ ЧТЗ стали иметь обозначения, начиная с цифры 700, на опытном заводе сохранилась прежняя нумерация машин, начиная с цифры 200. Созданные в самый разгар танковых сражений тяжелые танки ИС-1 и ИС-2 внесли немалую лепту в окончательный разгром гитлеровской армии. Начиная с февраля 1944 г., не было ни одной наступательной операции, в которой не участвовали бы эти грозные машины. Опыт по созданию и производству тяжелых танков ИС-2 и ИС-3 лег в основу при проектировании и изготовлении тяжелых танков в после</w:t>
      </w:r>
      <w:r w:rsidRPr="00925F26">
        <w:rPr>
          <w:color w:val="000000" w:themeColor="text1"/>
          <w:sz w:val="16"/>
          <w:szCs w:val="16"/>
        </w:rPr>
        <w:softHyphen/>
        <w:t>военные годы. Сами же машины оставались на вооружении Советской Армии вплоть до начала 60-х гг. Официально танки ИС-2 и ИС-3 были сняты с вооружения только осенью 1997 г. (10703).</w:t>
      </w:r>
    </w:p>
    <w:p w14:paraId="41F1C7D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38C5FDD" w14:textId="77777777" w:rsidR="00823A00" w:rsidRPr="00925F26" w:rsidRDefault="00823A00" w:rsidP="00925F26">
      <w:pPr>
        <w:jc w:val="both"/>
        <w:rPr>
          <w:color w:val="000000" w:themeColor="text1"/>
          <w:sz w:val="16"/>
          <w:szCs w:val="16"/>
        </w:rPr>
      </w:pPr>
      <w:r w:rsidRPr="00925F26">
        <w:rPr>
          <w:color w:val="000000" w:themeColor="text1"/>
          <w:sz w:val="16"/>
          <w:szCs w:val="16"/>
        </w:rPr>
        <w:t>В мае 1945 г. эскизно-технический проект нового тяжелого танка ИС-7 («Объект 257») был рассмотрен и одобрен наркомом танковой промышленности В.А. Малышевым (приказ НКТП № 312). На основе дальнейшей глубокой проработки этого варианта тяжелого танка в ОКБ Опытного завода №100 в период июля—сентября 1945 г. подготовили технические проекты четырех различных вариантов машин (ведущие инженеры — Г.Н. Москвин и П.П. Исаков) с применением классической схемы общей компоновки, определяемой калибром основного оружия (БЛ-13-1 калибра 122 или С-26 калибра 130 мм), силовой установкой (один дизель или два спаренных) и типом трансмиссии (механическая или электромеханическая).</w:t>
      </w:r>
    </w:p>
    <w:p w14:paraId="6B469C8A" w14:textId="77777777" w:rsidR="00823A00" w:rsidRPr="00925F26" w:rsidRDefault="00823A00" w:rsidP="00925F26">
      <w:pPr>
        <w:jc w:val="both"/>
        <w:rPr>
          <w:color w:val="000000" w:themeColor="text1"/>
          <w:sz w:val="16"/>
          <w:szCs w:val="16"/>
        </w:rPr>
      </w:pPr>
      <w:r w:rsidRPr="00925F26">
        <w:rPr>
          <w:color w:val="000000" w:themeColor="text1"/>
          <w:sz w:val="16"/>
          <w:szCs w:val="16"/>
        </w:rPr>
        <w:lastRenderedPageBreak/>
        <w:t>Поэтапное внедрение в опытные конструкции передовых достижений отечественной промышленности позволило реализовывать неуклонно растущие требования по повышению боевых характеристик тяжелого танка, оставаясь в разумных границах боевой массы.</w:t>
      </w:r>
    </w:p>
    <w:p w14:paraId="0EF052B2" w14:textId="77777777" w:rsidR="00823A00" w:rsidRPr="00925F26" w:rsidRDefault="00823A00" w:rsidP="00925F26">
      <w:pPr>
        <w:jc w:val="both"/>
        <w:rPr>
          <w:color w:val="000000" w:themeColor="text1"/>
          <w:sz w:val="16"/>
          <w:szCs w:val="16"/>
        </w:rPr>
      </w:pPr>
      <w:r w:rsidRPr="00925F26">
        <w:rPr>
          <w:color w:val="000000" w:themeColor="text1"/>
          <w:sz w:val="16"/>
          <w:szCs w:val="16"/>
        </w:rPr>
        <w:t xml:space="preserve">Так, параллельно с отработкой технических проектов танка ИС-7 на Опытном заводе № 100 по эскизным чертежам ОКБ-172 был изготовлен и в июне 1945 г. прошел стендовые испытания механический досылатель для 122-мм пушки БЛ-13 конструкции ОКБ-172 НКВ. Он обеспечивал </w:t>
      </w:r>
      <w:proofErr w:type="gramStart"/>
      <w:r w:rsidRPr="00925F26">
        <w:rPr>
          <w:color w:val="000000" w:themeColor="text1"/>
          <w:sz w:val="16"/>
          <w:szCs w:val="16"/>
        </w:rPr>
        <w:t>досыла-ние</w:t>
      </w:r>
      <w:proofErr w:type="gramEnd"/>
      <w:r w:rsidRPr="00925F26">
        <w:rPr>
          <w:color w:val="000000" w:themeColor="text1"/>
          <w:sz w:val="16"/>
          <w:szCs w:val="16"/>
        </w:rPr>
        <w:t xml:space="preserve"> снаряда в зарядную камору орудия и размещался в бороде казенника между тормозом отката и накатником.</w:t>
      </w:r>
    </w:p>
    <w:p w14:paraId="34A1342E" w14:textId="77777777" w:rsidR="00823A00" w:rsidRPr="00925F26" w:rsidRDefault="00823A00" w:rsidP="00925F26">
      <w:pPr>
        <w:jc w:val="both"/>
        <w:rPr>
          <w:color w:val="000000" w:themeColor="text1"/>
          <w:sz w:val="16"/>
          <w:szCs w:val="16"/>
        </w:rPr>
      </w:pPr>
      <w:r w:rsidRPr="00925F26">
        <w:rPr>
          <w:color w:val="000000" w:themeColor="text1"/>
          <w:sz w:val="16"/>
          <w:szCs w:val="16"/>
        </w:rPr>
        <w:t>Во время испытаний (было выполнено 250 заряжаний) досылатель продемонстрировал надежную работу. Использование механического до- сылателя с места заряжающего обеспечивало последнему значительные удобства и ускорило процесс заряжания снаряда. Для окончательного заключения о работе механического досылателя рекомендовалось провести его испытания в условиях объекта (12258).</w:t>
      </w:r>
    </w:p>
    <w:p w14:paraId="275BA76C" w14:textId="77777777" w:rsidR="00823A00" w:rsidRPr="00925F26" w:rsidRDefault="00823A00" w:rsidP="00925F26">
      <w:pPr>
        <w:jc w:val="both"/>
        <w:rPr>
          <w:color w:val="000000" w:themeColor="text1"/>
          <w:sz w:val="16"/>
          <w:szCs w:val="16"/>
        </w:rPr>
      </w:pPr>
    </w:p>
    <w:p w14:paraId="0232A47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мая 1945 г. танк ИС-3 серийно выпу</w:t>
      </w:r>
      <w:r w:rsidRPr="00925F26">
        <w:rPr>
          <w:color w:val="000000" w:themeColor="text1"/>
          <w:sz w:val="16"/>
          <w:szCs w:val="16"/>
        </w:rPr>
        <w:softHyphen/>
        <w:t>скался на ЧКЗ. До 1 сентября 1945 г. заводом было изготовлено 875 тан</w:t>
      </w:r>
      <w:r w:rsidRPr="00925F26">
        <w:rPr>
          <w:color w:val="000000" w:themeColor="text1"/>
          <w:sz w:val="16"/>
          <w:szCs w:val="16"/>
        </w:rPr>
        <w:softHyphen/>
        <w:t xml:space="preserve">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w:t>
      </w:r>
      <w:proofErr w:type="gramStart"/>
      <w:r w:rsidRPr="00925F26">
        <w:rPr>
          <w:color w:val="000000" w:themeColor="text1"/>
          <w:sz w:val="16"/>
          <w:szCs w:val="16"/>
        </w:rPr>
        <w:t>танка</w:t>
      </w:r>
      <w:proofErr w:type="gramEnd"/>
      <w:r w:rsidRPr="00925F26">
        <w:rPr>
          <w:color w:val="000000" w:themeColor="text1"/>
          <w:sz w:val="16"/>
          <w:szCs w:val="16"/>
        </w:rPr>
        <w:t xml:space="preserve"> и он получил обозначение ИС-3М (10703).</w:t>
      </w:r>
    </w:p>
    <w:p w14:paraId="6BDD297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E8CED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первая опытная партия тяжелых танков ИС-3 покинула заводские цеха. В боевых действиях Великой Отечественной войны они участия не принимали. По некоторым данным, ИС-3 применялись при разгроме японской Квантунской армии в августе 1945 года. (3862).</w:t>
      </w:r>
    </w:p>
    <w:p w14:paraId="1F8184CD" w14:textId="77777777" w:rsidR="00665165" w:rsidRPr="00925F26" w:rsidRDefault="00665165" w:rsidP="00925F26">
      <w:pPr>
        <w:autoSpaceDE w:val="0"/>
        <w:autoSpaceDN w:val="0"/>
        <w:adjustRightInd w:val="0"/>
        <w:jc w:val="both"/>
        <w:rPr>
          <w:color w:val="000000" w:themeColor="text1"/>
          <w:sz w:val="16"/>
          <w:szCs w:val="16"/>
        </w:rPr>
      </w:pPr>
    </w:p>
    <w:p w14:paraId="46D072C1" w14:textId="77777777" w:rsidR="00823A00" w:rsidRPr="00925F26" w:rsidRDefault="00823A00" w:rsidP="00925F26">
      <w:pPr>
        <w:jc w:val="both"/>
        <w:rPr>
          <w:color w:val="000000" w:themeColor="text1"/>
          <w:sz w:val="16"/>
          <w:szCs w:val="16"/>
        </w:rPr>
      </w:pPr>
      <w:r w:rsidRPr="00925F26">
        <w:rPr>
          <w:color w:val="000000" w:themeColor="text1"/>
          <w:sz w:val="16"/>
          <w:szCs w:val="16"/>
        </w:rPr>
        <w:t>В мае 1945 г. конструкторским бюро ЧКЗ (СКБ-2) и Опытного завода N9100 (ОКБ) была поручена разработка эскизных проектов различных вариантов тяжелых танков мощного бронирования (приказ НКТП №66 от 5 февраля 1945 г.). Вариант тяжелого танка, создававшийся в СКБ-2 ЧКЗ под руководством Н.Л. Духова, имел индекс «ОБЪЕКТ 705»; в ОКБ Опытного завода №100 работы по машине, получившей наименование ИС-7 («ОБЪЕКТ 257»), осуществлялись под руководством Ж.Я. Котина и А.С. Ермолаева.</w:t>
      </w:r>
    </w:p>
    <w:p w14:paraId="45CF3E7D" w14:textId="77777777" w:rsidR="00823A00" w:rsidRPr="00925F26" w:rsidRDefault="00823A00" w:rsidP="00925F26">
      <w:pPr>
        <w:jc w:val="both"/>
        <w:rPr>
          <w:color w:val="000000" w:themeColor="text1"/>
          <w:sz w:val="16"/>
          <w:szCs w:val="16"/>
        </w:rPr>
      </w:pPr>
      <w:r w:rsidRPr="00925F26">
        <w:rPr>
          <w:color w:val="000000" w:themeColor="text1"/>
          <w:sz w:val="16"/>
          <w:szCs w:val="16"/>
        </w:rPr>
        <w:t>Разработка этих машин велась в соответствии с требованиями, аналогичными для танка ИС-4.</w:t>
      </w:r>
    </w:p>
    <w:p w14:paraId="3A9D1C39" w14:textId="77777777" w:rsidR="00823A00" w:rsidRPr="00925F26" w:rsidRDefault="00823A00" w:rsidP="00925F26">
      <w:pPr>
        <w:jc w:val="both"/>
        <w:rPr>
          <w:color w:val="000000" w:themeColor="text1"/>
          <w:sz w:val="16"/>
          <w:szCs w:val="16"/>
        </w:rPr>
      </w:pPr>
      <w:r w:rsidRPr="00925F26">
        <w:rPr>
          <w:color w:val="000000" w:themeColor="text1"/>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3850963E" w14:textId="77777777" w:rsidR="00823A00" w:rsidRPr="00925F26" w:rsidRDefault="00823A00" w:rsidP="00925F26">
      <w:pPr>
        <w:jc w:val="both"/>
        <w:rPr>
          <w:color w:val="000000" w:themeColor="text1"/>
          <w:sz w:val="16"/>
          <w:szCs w:val="16"/>
        </w:rPr>
      </w:pPr>
      <w:r w:rsidRPr="00925F26">
        <w:rPr>
          <w:color w:val="000000" w:themeColor="text1"/>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06A092B5" w14:textId="77777777" w:rsidR="00823A00" w:rsidRPr="00925F26" w:rsidRDefault="00823A00" w:rsidP="00925F26">
      <w:pPr>
        <w:jc w:val="both"/>
        <w:rPr>
          <w:color w:val="000000" w:themeColor="text1"/>
          <w:sz w:val="16"/>
          <w:szCs w:val="16"/>
        </w:rPr>
      </w:pPr>
      <w:r w:rsidRPr="00925F26">
        <w:rPr>
          <w:color w:val="000000" w:themeColor="text1"/>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5928D67C" w14:textId="77777777" w:rsidR="00823A00" w:rsidRPr="00925F26" w:rsidRDefault="00823A00" w:rsidP="00925F26">
      <w:pPr>
        <w:jc w:val="both"/>
        <w:rPr>
          <w:color w:val="000000" w:themeColor="text1"/>
          <w:sz w:val="16"/>
          <w:szCs w:val="16"/>
        </w:rPr>
      </w:pPr>
      <w:r w:rsidRPr="00925F26">
        <w:rPr>
          <w:color w:val="000000" w:themeColor="text1"/>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0EB93DC0" w14:textId="77777777" w:rsidR="00823A00" w:rsidRPr="00925F26" w:rsidRDefault="00823A00" w:rsidP="00925F26">
      <w:pPr>
        <w:jc w:val="both"/>
        <w:rPr>
          <w:color w:val="000000" w:themeColor="text1"/>
          <w:sz w:val="16"/>
          <w:szCs w:val="16"/>
        </w:rPr>
      </w:pPr>
      <w:r w:rsidRPr="00925F26">
        <w:rPr>
          <w:color w:val="000000" w:themeColor="text1"/>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(12259).</w:t>
      </w:r>
    </w:p>
    <w:p w14:paraId="73829509" w14:textId="77777777" w:rsidR="00823A00" w:rsidRPr="00925F26" w:rsidRDefault="00823A00" w:rsidP="00925F26">
      <w:pPr>
        <w:jc w:val="both"/>
        <w:rPr>
          <w:color w:val="000000" w:themeColor="text1"/>
          <w:sz w:val="16"/>
          <w:szCs w:val="16"/>
        </w:rPr>
      </w:pPr>
    </w:p>
    <w:p w14:paraId="739C738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к концу войны с Германией советская танковая промышленность располагала следующими сборочными заводами, выпустившими танки:</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81"/>
        <w:gridCol w:w="4998"/>
      </w:tblGrid>
      <w:tr w:rsidR="000F5689" w:rsidRPr="00925F26" w14:paraId="1F7BB8C3" w14:textId="77777777">
        <w:trPr>
          <w:jc w:val="center"/>
        </w:trPr>
        <w:tc>
          <w:tcPr>
            <w:tcW w:w="4981" w:type="dxa"/>
            <w:shd w:val="solid" w:color="FFFFFF" w:fill="C0C0C0"/>
          </w:tcPr>
          <w:p w14:paraId="5407F1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w:t>
            </w:r>
          </w:p>
        </w:tc>
        <w:tc>
          <w:tcPr>
            <w:tcW w:w="4998" w:type="dxa"/>
            <w:shd w:val="solid" w:color="FFFFFF" w:fill="C0C0C0"/>
          </w:tcPr>
          <w:p w14:paraId="4FD452D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Продукция</w:t>
            </w:r>
          </w:p>
        </w:tc>
      </w:tr>
      <w:tr w:rsidR="000F5689" w:rsidRPr="00925F26" w14:paraId="075DDCE2" w14:textId="77777777">
        <w:trPr>
          <w:jc w:val="center"/>
        </w:trPr>
        <w:tc>
          <w:tcPr>
            <w:tcW w:w="4981" w:type="dxa"/>
            <w:shd w:val="solid" w:color="FFFFFF" w:fill="C0C0C0"/>
          </w:tcPr>
          <w:p w14:paraId="686BC7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Челябинск, Кировский/ЧТЗ</w:t>
            </w:r>
          </w:p>
        </w:tc>
        <w:tc>
          <w:tcPr>
            <w:tcW w:w="4998" w:type="dxa"/>
            <w:shd w:val="solid" w:color="FFFFFF" w:fill="C0C0C0"/>
          </w:tcPr>
          <w:p w14:paraId="09CFE3A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 и ИСУ</w:t>
            </w:r>
          </w:p>
        </w:tc>
      </w:tr>
      <w:tr w:rsidR="000F5689" w:rsidRPr="00925F26" w14:paraId="0E212A11" w14:textId="77777777">
        <w:trPr>
          <w:jc w:val="center"/>
        </w:trPr>
        <w:tc>
          <w:tcPr>
            <w:tcW w:w="4981" w:type="dxa"/>
            <w:shd w:val="solid" w:color="FFFFFF" w:fill="C0C0C0"/>
          </w:tcPr>
          <w:p w14:paraId="36EF81B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Горький, № 112</w:t>
            </w:r>
          </w:p>
        </w:tc>
        <w:tc>
          <w:tcPr>
            <w:tcW w:w="4998" w:type="dxa"/>
            <w:shd w:val="solid" w:color="FFFFFF" w:fill="C0C0C0"/>
          </w:tcPr>
          <w:p w14:paraId="1D4F81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Т-34-85</w:t>
            </w:r>
          </w:p>
        </w:tc>
      </w:tr>
      <w:tr w:rsidR="000F5689" w:rsidRPr="00925F26" w14:paraId="15DC46E1" w14:textId="77777777">
        <w:trPr>
          <w:jc w:val="center"/>
        </w:trPr>
        <w:tc>
          <w:tcPr>
            <w:tcW w:w="4981" w:type="dxa"/>
            <w:shd w:val="solid" w:color="FFFFFF" w:fill="C0C0C0"/>
          </w:tcPr>
          <w:p w14:paraId="29578A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Горький, ГАЗ</w:t>
            </w:r>
          </w:p>
        </w:tc>
        <w:tc>
          <w:tcPr>
            <w:tcW w:w="4998" w:type="dxa"/>
            <w:shd w:val="solid" w:color="FFFFFF" w:fill="C0C0C0"/>
          </w:tcPr>
          <w:p w14:paraId="1E6EA5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СУ-76М и БА-64</w:t>
            </w:r>
          </w:p>
        </w:tc>
      </w:tr>
      <w:tr w:rsidR="000F5689" w:rsidRPr="00925F26" w14:paraId="5D06FD62" w14:textId="77777777">
        <w:trPr>
          <w:jc w:val="center"/>
        </w:trPr>
        <w:tc>
          <w:tcPr>
            <w:tcW w:w="4981" w:type="dxa"/>
            <w:shd w:val="solid" w:color="FFFFFF" w:fill="C0C0C0"/>
          </w:tcPr>
          <w:p w14:paraId="3E97D4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Ленинград, Кировский</w:t>
            </w:r>
          </w:p>
        </w:tc>
        <w:tc>
          <w:tcPr>
            <w:tcW w:w="4998" w:type="dxa"/>
            <w:shd w:val="solid" w:color="FFFFFF" w:fill="C0C0C0"/>
          </w:tcPr>
          <w:p w14:paraId="61B44D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w:t>
            </w:r>
          </w:p>
        </w:tc>
      </w:tr>
      <w:tr w:rsidR="000F5689" w:rsidRPr="00925F26" w14:paraId="7B12EE30" w14:textId="77777777">
        <w:trPr>
          <w:jc w:val="center"/>
        </w:trPr>
        <w:tc>
          <w:tcPr>
            <w:tcW w:w="4981" w:type="dxa"/>
            <w:shd w:val="solid" w:color="FFFFFF" w:fill="C0C0C0"/>
          </w:tcPr>
          <w:p w14:paraId="7033741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Мытищи, № 40</w:t>
            </w:r>
          </w:p>
        </w:tc>
        <w:tc>
          <w:tcPr>
            <w:tcW w:w="4998" w:type="dxa"/>
            <w:shd w:val="solid" w:color="FFFFFF" w:fill="C0C0C0"/>
          </w:tcPr>
          <w:p w14:paraId="00F967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СУ-76М</w:t>
            </w:r>
          </w:p>
        </w:tc>
      </w:tr>
      <w:tr w:rsidR="000F5689" w:rsidRPr="00925F26" w14:paraId="395A4FA5" w14:textId="77777777">
        <w:trPr>
          <w:jc w:val="center"/>
        </w:trPr>
        <w:tc>
          <w:tcPr>
            <w:tcW w:w="4981" w:type="dxa"/>
            <w:shd w:val="solid" w:color="FFFFFF" w:fill="C0C0C0"/>
          </w:tcPr>
          <w:p w14:paraId="2048A4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Нижний Тагил, № 183</w:t>
            </w:r>
          </w:p>
        </w:tc>
        <w:tc>
          <w:tcPr>
            <w:tcW w:w="4998" w:type="dxa"/>
            <w:shd w:val="solid" w:color="FFFFFF" w:fill="C0C0C0"/>
          </w:tcPr>
          <w:p w14:paraId="1DD2C19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Т-34-85</w:t>
            </w:r>
          </w:p>
        </w:tc>
      </w:tr>
      <w:tr w:rsidR="000F5689" w:rsidRPr="00925F26" w14:paraId="73FB63DE" w14:textId="77777777">
        <w:trPr>
          <w:jc w:val="center"/>
        </w:trPr>
        <w:tc>
          <w:tcPr>
            <w:tcW w:w="4981" w:type="dxa"/>
            <w:shd w:val="solid" w:color="FFFFFF" w:fill="C0C0C0"/>
          </w:tcPr>
          <w:p w14:paraId="58AE3B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Омск, № 174</w:t>
            </w:r>
          </w:p>
        </w:tc>
        <w:tc>
          <w:tcPr>
            <w:tcW w:w="4998" w:type="dxa"/>
            <w:shd w:val="solid" w:color="FFFFFF" w:fill="C0C0C0"/>
          </w:tcPr>
          <w:p w14:paraId="2F3A8B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Т-34-85</w:t>
            </w:r>
          </w:p>
        </w:tc>
      </w:tr>
      <w:tr w:rsidR="000F5689" w:rsidRPr="00925F26" w14:paraId="0C51F391" w14:textId="77777777">
        <w:trPr>
          <w:jc w:val="center"/>
        </w:trPr>
        <w:tc>
          <w:tcPr>
            <w:tcW w:w="4981" w:type="dxa"/>
            <w:shd w:val="solid" w:color="FFFFFF" w:fill="C0C0C0"/>
          </w:tcPr>
          <w:p w14:paraId="0E331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Свердловск, Уралмаш</w:t>
            </w:r>
          </w:p>
        </w:tc>
        <w:tc>
          <w:tcPr>
            <w:tcW w:w="4998" w:type="dxa"/>
            <w:shd w:val="solid" w:color="FFFFFF" w:fill="C0C0C0"/>
          </w:tcPr>
          <w:p w14:paraId="5A5BBC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СУ-100</w:t>
            </w:r>
          </w:p>
        </w:tc>
      </w:tr>
    </w:tbl>
    <w:p w14:paraId="3EF9AF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(4018).</w:t>
      </w:r>
    </w:p>
    <w:p w14:paraId="0BBBB573" w14:textId="77777777" w:rsidR="00665165" w:rsidRPr="00925F26" w:rsidRDefault="00665165" w:rsidP="00925F26">
      <w:pPr>
        <w:autoSpaceDE w:val="0"/>
        <w:autoSpaceDN w:val="0"/>
        <w:adjustRightInd w:val="0"/>
        <w:jc w:val="both"/>
        <w:rPr>
          <w:color w:val="000000" w:themeColor="text1"/>
          <w:sz w:val="16"/>
          <w:szCs w:val="16"/>
        </w:rPr>
      </w:pPr>
    </w:p>
    <w:p w14:paraId="3B2CA876" w14:textId="77777777" w:rsidR="00823A00" w:rsidRPr="00925F26" w:rsidRDefault="00823A00" w:rsidP="00925F26">
      <w:pPr>
        <w:jc w:val="both"/>
        <w:rPr>
          <w:color w:val="000000" w:themeColor="text1"/>
          <w:sz w:val="16"/>
          <w:szCs w:val="16"/>
        </w:rPr>
      </w:pPr>
      <w:r w:rsidRPr="00925F26">
        <w:rPr>
          <w:color w:val="000000" w:themeColor="text1"/>
          <w:sz w:val="16"/>
          <w:szCs w:val="16"/>
        </w:rPr>
        <w:t>С ноября 1942 года по май 1945 года ротные учения (в составе маршевых рот) прошли 4685 танков (Омского завода № 174), при этом были выявлены следующие основные дефекты.</w:t>
      </w:r>
    </w:p>
    <w:p w14:paraId="3B478CBC" w14:textId="77777777" w:rsidR="00823A00" w:rsidRPr="00925F26" w:rsidRDefault="00823A00" w:rsidP="00925F26">
      <w:pPr>
        <w:jc w:val="both"/>
        <w:rPr>
          <w:color w:val="000000" w:themeColor="text1"/>
          <w:sz w:val="16"/>
          <w:szCs w:val="16"/>
        </w:rPr>
      </w:pPr>
      <w:r w:rsidRPr="00925F26">
        <w:rPr>
          <w:color w:val="000000" w:themeColor="text1"/>
          <w:sz w:val="16"/>
          <w:szCs w:val="16"/>
        </w:rPr>
        <w:t>1. Выход из строя коробки перемены передач - всего за данный период заменена 371 коробка. В начале 1943 года поломки коробок передач приняли массовый характер, главным образом из-за разрушения шестерен 3 и 4-й передач. Основной причиной этого явления являлась некачественная термическая и механическая обработка. С введением 5-скоростной коробки перемены передач чисто поломок снизилось, но до конца воины изжить этот недостаток так и не удалось. Основными причинами этого являлись как некачественная механическая и термическая обработка, так и применение некачественных поковок для изготовления деталей, а также небрежный монтаж механизмов. Например, в мае 1945 года пришлось заменить 8 коробок передач из-за пропущенного брака.</w:t>
      </w:r>
    </w:p>
    <w:p w14:paraId="42EEE848" w14:textId="77777777" w:rsidR="00823A00" w:rsidRPr="00925F26" w:rsidRDefault="00823A00" w:rsidP="00925F26">
      <w:pPr>
        <w:jc w:val="both"/>
        <w:rPr>
          <w:color w:val="000000" w:themeColor="text1"/>
          <w:sz w:val="16"/>
          <w:szCs w:val="16"/>
        </w:rPr>
      </w:pPr>
      <w:r w:rsidRPr="00925F26">
        <w:rPr>
          <w:color w:val="000000" w:themeColor="text1"/>
          <w:sz w:val="16"/>
          <w:szCs w:val="16"/>
        </w:rPr>
        <w:t xml:space="preserve">2. В начале 1943 года выявлялось большое количество танков с деформированными дисками главного фрикциона. Этот дефект удалось </w:t>
      </w:r>
      <w:proofErr w:type="gramStart"/>
      <w:r w:rsidRPr="00925F26">
        <w:rPr>
          <w:color w:val="000000" w:themeColor="text1"/>
          <w:sz w:val="16"/>
          <w:szCs w:val="16"/>
        </w:rPr>
        <w:t>устранить</w:t>
      </w:r>
      <w:proofErr w:type="gramEnd"/>
      <w:r w:rsidRPr="00925F26">
        <w:rPr>
          <w:color w:val="000000" w:themeColor="text1"/>
          <w:sz w:val="16"/>
          <w:szCs w:val="16"/>
        </w:rPr>
        <w:t xml:space="preserve"> повысив контроль за качеством термической и механической обработки дисков.</w:t>
      </w:r>
    </w:p>
    <w:p w14:paraId="6251DFC8" w14:textId="77777777" w:rsidR="00823A00" w:rsidRPr="00925F26" w:rsidRDefault="00823A00" w:rsidP="00925F26">
      <w:pPr>
        <w:jc w:val="both"/>
        <w:rPr>
          <w:color w:val="000000" w:themeColor="text1"/>
          <w:sz w:val="16"/>
          <w:szCs w:val="16"/>
        </w:rPr>
      </w:pPr>
      <w:r w:rsidRPr="00925F26">
        <w:rPr>
          <w:color w:val="000000" w:themeColor="text1"/>
          <w:sz w:val="16"/>
          <w:szCs w:val="16"/>
        </w:rPr>
        <w:t>3. Довольно частым явлением были трешины и излом траков гусениц из-за некачественного литья или их некачественной термообработки.</w:t>
      </w:r>
    </w:p>
    <w:p w14:paraId="7A02DC63" w14:textId="77777777" w:rsidR="00823A00" w:rsidRPr="00925F26" w:rsidRDefault="00823A00" w:rsidP="00925F26">
      <w:pPr>
        <w:jc w:val="both"/>
        <w:rPr>
          <w:color w:val="000000" w:themeColor="text1"/>
          <w:sz w:val="16"/>
          <w:szCs w:val="16"/>
        </w:rPr>
      </w:pPr>
      <w:r w:rsidRPr="00925F26">
        <w:rPr>
          <w:color w:val="000000" w:themeColor="text1"/>
          <w:sz w:val="16"/>
          <w:szCs w:val="16"/>
        </w:rPr>
        <w:t>4. Разрушение резиновых амортизаторов балансиров опорных катков стало носить массовый характер зимой 1945 года (в феврале — 475 случаев). Причиной этого стало использование некачественной резины, которая при низких температурах теряла свои качества.</w:t>
      </w:r>
    </w:p>
    <w:p w14:paraId="5ACDAEE9" w14:textId="77777777" w:rsidR="00823A00" w:rsidRPr="00925F26" w:rsidRDefault="00823A00" w:rsidP="00925F26">
      <w:pPr>
        <w:jc w:val="both"/>
        <w:rPr>
          <w:color w:val="000000" w:themeColor="text1"/>
          <w:sz w:val="16"/>
          <w:szCs w:val="16"/>
        </w:rPr>
      </w:pPr>
      <w:r w:rsidRPr="00925F26">
        <w:rPr>
          <w:color w:val="000000" w:themeColor="text1"/>
          <w:sz w:val="16"/>
          <w:szCs w:val="16"/>
        </w:rPr>
        <w:t>5. Облом по сварному шву кронштейнов крепления амортизаторов балансиров в январе-феврале 1945 года из-за некачественной сварки и некачественной разделки шва под сварку.</w:t>
      </w:r>
    </w:p>
    <w:p w14:paraId="1FBBFEAF" w14:textId="77777777" w:rsidR="00823A00" w:rsidRPr="00925F26" w:rsidRDefault="00823A00" w:rsidP="00925F26">
      <w:pPr>
        <w:jc w:val="both"/>
        <w:rPr>
          <w:color w:val="000000" w:themeColor="text1"/>
          <w:sz w:val="16"/>
          <w:szCs w:val="16"/>
        </w:rPr>
      </w:pPr>
      <w:r w:rsidRPr="00925F26">
        <w:rPr>
          <w:color w:val="000000" w:themeColor="text1"/>
          <w:sz w:val="16"/>
          <w:szCs w:val="16"/>
        </w:rPr>
        <w:t>6. Трещины по сварному шву командирской башенки из-за некачественной сварки (непроварки или пережоги шва).</w:t>
      </w:r>
    </w:p>
    <w:p w14:paraId="0A26317B" w14:textId="77777777" w:rsidR="00823A00" w:rsidRPr="00925F26" w:rsidRDefault="00823A00" w:rsidP="00925F26">
      <w:pPr>
        <w:jc w:val="both"/>
        <w:rPr>
          <w:color w:val="000000" w:themeColor="text1"/>
          <w:sz w:val="16"/>
          <w:szCs w:val="16"/>
        </w:rPr>
      </w:pPr>
      <w:r w:rsidRPr="00925F26">
        <w:rPr>
          <w:color w:val="000000" w:themeColor="text1"/>
          <w:sz w:val="16"/>
          <w:szCs w:val="16"/>
        </w:rPr>
        <w:t>7. Трешины в наклонном бортовом бронелисте из-за некачественной огневой резки при заготовке листов.</w:t>
      </w:r>
    </w:p>
    <w:p w14:paraId="7644EE1B" w14:textId="77777777" w:rsidR="00823A00" w:rsidRPr="00925F26" w:rsidRDefault="00823A00" w:rsidP="00925F26">
      <w:pPr>
        <w:jc w:val="both"/>
        <w:rPr>
          <w:color w:val="000000" w:themeColor="text1"/>
          <w:sz w:val="16"/>
          <w:szCs w:val="16"/>
        </w:rPr>
      </w:pPr>
      <w:r w:rsidRPr="00925F26">
        <w:rPr>
          <w:color w:val="000000" w:themeColor="text1"/>
          <w:sz w:val="16"/>
          <w:szCs w:val="16"/>
        </w:rPr>
        <w:t>Довольно много поломок происходило во время ротных учений по вине механиков-водителей. Главным образом, это были выход из строя бортовой передачи, разрушение подшипников ленивца и опорных катков, изгиб оси кривошипа ленивца, а также различные дефекты опорных катков, ведущего, направляющего колес и траков гусениц. Причиной этого чаще всего являлось столкновение машин на маршах из-за недостаточного опыта вождения у механиков-водителей.</w:t>
      </w:r>
    </w:p>
    <w:p w14:paraId="4D6F8B60" w14:textId="77777777" w:rsidR="00823A00" w:rsidRPr="00925F26" w:rsidRDefault="00823A00" w:rsidP="00925F26">
      <w:pPr>
        <w:jc w:val="both"/>
        <w:rPr>
          <w:color w:val="000000" w:themeColor="text1"/>
          <w:sz w:val="16"/>
          <w:szCs w:val="16"/>
        </w:rPr>
      </w:pPr>
      <w:r w:rsidRPr="00925F26">
        <w:rPr>
          <w:color w:val="000000" w:themeColor="text1"/>
          <w:sz w:val="16"/>
          <w:szCs w:val="16"/>
        </w:rPr>
        <w:t>Что касается 300-километровых пробегов, то всего за 1942 - 1945 года в них участвовало 49 Т-34. Результаты их были следующими:</w:t>
      </w:r>
    </w:p>
    <w:p w14:paraId="4B42CE98" w14:textId="77777777" w:rsidR="00823A00" w:rsidRPr="00925F26" w:rsidRDefault="00823A00" w:rsidP="00925F26">
      <w:pPr>
        <w:jc w:val="both"/>
        <w:rPr>
          <w:color w:val="000000" w:themeColor="text1"/>
          <w:sz w:val="16"/>
          <w:szCs w:val="16"/>
        </w:rPr>
      </w:pPr>
      <w:r w:rsidRPr="00925F26">
        <w:rPr>
          <w:color w:val="000000" w:themeColor="text1"/>
          <w:sz w:val="16"/>
          <w:szCs w:val="16"/>
        </w:rPr>
        <w:t>в 1942 году испьнывалось 2 машины, обе прошли пробег (100%);</w:t>
      </w:r>
    </w:p>
    <w:p w14:paraId="5CFC8C90" w14:textId="77777777" w:rsidR="00823A00" w:rsidRPr="00925F26" w:rsidRDefault="00823A00" w:rsidP="00925F26">
      <w:pPr>
        <w:jc w:val="both"/>
        <w:rPr>
          <w:color w:val="000000" w:themeColor="text1"/>
          <w:sz w:val="16"/>
          <w:szCs w:val="16"/>
        </w:rPr>
      </w:pPr>
      <w:r w:rsidRPr="00925F26">
        <w:rPr>
          <w:color w:val="000000" w:themeColor="text1"/>
          <w:sz w:val="16"/>
          <w:szCs w:val="16"/>
        </w:rPr>
        <w:t>в 1943 году из 11 прошло 6 машин (54,5%);</w:t>
      </w:r>
    </w:p>
    <w:p w14:paraId="5FA94701" w14:textId="77777777" w:rsidR="00823A00" w:rsidRPr="00925F26" w:rsidRDefault="00823A00" w:rsidP="00925F26">
      <w:pPr>
        <w:jc w:val="both"/>
        <w:rPr>
          <w:color w:val="000000" w:themeColor="text1"/>
          <w:sz w:val="16"/>
          <w:szCs w:val="16"/>
        </w:rPr>
      </w:pPr>
      <w:r w:rsidRPr="00925F26">
        <w:rPr>
          <w:color w:val="000000" w:themeColor="text1"/>
          <w:sz w:val="16"/>
          <w:szCs w:val="16"/>
        </w:rPr>
        <w:t>в 1944 году из 26 прошло 10 машин (38,45%);</w:t>
      </w:r>
    </w:p>
    <w:p w14:paraId="7C15D145" w14:textId="77777777" w:rsidR="00823A00" w:rsidRPr="00925F26" w:rsidRDefault="00823A00" w:rsidP="00925F26">
      <w:pPr>
        <w:jc w:val="both"/>
        <w:rPr>
          <w:color w:val="000000" w:themeColor="text1"/>
          <w:sz w:val="16"/>
          <w:szCs w:val="16"/>
        </w:rPr>
      </w:pPr>
      <w:r w:rsidRPr="00925F26">
        <w:rPr>
          <w:color w:val="000000" w:themeColor="text1"/>
          <w:sz w:val="16"/>
          <w:szCs w:val="16"/>
        </w:rPr>
        <w:t>в 1945 году (за пять месяцев) из 10 прошло 3 (30%).</w:t>
      </w:r>
    </w:p>
    <w:p w14:paraId="6C0A3116" w14:textId="77777777" w:rsidR="00823A00" w:rsidRPr="00925F26" w:rsidRDefault="00823A00" w:rsidP="00925F26">
      <w:pPr>
        <w:jc w:val="both"/>
        <w:rPr>
          <w:color w:val="000000" w:themeColor="text1"/>
          <w:sz w:val="16"/>
          <w:szCs w:val="16"/>
        </w:rPr>
      </w:pPr>
      <w:r w:rsidRPr="00925F26">
        <w:rPr>
          <w:color w:val="000000" w:themeColor="text1"/>
          <w:sz w:val="16"/>
          <w:szCs w:val="16"/>
        </w:rPr>
        <w:t>Если судить по приведенным выше данным, то можно сделать вывод, что качество выпускаемых заводом № 174 танков с каждым годом ухудшалось. Однако на самом деле все обстояло не совсем так.</w:t>
      </w:r>
    </w:p>
    <w:p w14:paraId="5E09FDEB" w14:textId="77777777" w:rsidR="00823A00" w:rsidRPr="00925F26" w:rsidRDefault="00823A00" w:rsidP="00925F26">
      <w:pPr>
        <w:jc w:val="both"/>
        <w:rPr>
          <w:color w:val="000000" w:themeColor="text1"/>
          <w:sz w:val="16"/>
          <w:szCs w:val="16"/>
        </w:rPr>
      </w:pPr>
      <w:r w:rsidRPr="00925F26">
        <w:rPr>
          <w:color w:val="000000" w:themeColor="text1"/>
          <w:sz w:val="16"/>
          <w:szCs w:val="16"/>
        </w:rPr>
        <w:t xml:space="preserve">Дело в том, что рост числа машин, не выдержавших испытания, шел за счет того, что значительно ужесточились требования заказчика, предъявляемые к качеству выпускаемых танков. Так, программы испытаний, присланные ГБТУ КА в 1943-м, и особенно в 1944-м и 1945 годах значительно повышали требовательность к испытываемым танкам. </w:t>
      </w:r>
      <w:proofErr w:type="gramStart"/>
      <w:r w:rsidRPr="00925F26">
        <w:rPr>
          <w:color w:val="000000" w:themeColor="text1"/>
          <w:sz w:val="16"/>
          <w:szCs w:val="16"/>
        </w:rPr>
        <w:t>Кроме этого</w:t>
      </w:r>
      <w:proofErr w:type="gramEnd"/>
      <w:r w:rsidRPr="00925F26">
        <w:rPr>
          <w:color w:val="000000" w:themeColor="text1"/>
          <w:sz w:val="16"/>
          <w:szCs w:val="16"/>
        </w:rPr>
        <w:t xml:space="preserve"> и сам аппарат военной приемки завода № 174 в соответствии с указаниями главного бронетанкового управления стал проводить испытания более квалифицированными силами, предъявляя высокую требовательность.</w:t>
      </w:r>
    </w:p>
    <w:p w14:paraId="405F13FC" w14:textId="77777777" w:rsidR="00823A00" w:rsidRPr="00925F26" w:rsidRDefault="00823A00" w:rsidP="00925F26">
      <w:pPr>
        <w:jc w:val="both"/>
        <w:rPr>
          <w:color w:val="000000" w:themeColor="text1"/>
          <w:sz w:val="16"/>
          <w:szCs w:val="16"/>
        </w:rPr>
      </w:pPr>
      <w:r w:rsidRPr="00925F26">
        <w:rPr>
          <w:color w:val="000000" w:themeColor="text1"/>
          <w:sz w:val="16"/>
          <w:szCs w:val="16"/>
        </w:rPr>
        <w:t>Что касается гарантийных испытаний на НИБТ полигоне, то первый Т-34 был отправлен из Омска в Кубинку в апреле 1943 года. Всего до конца войны на гарантийный километраж испытывалось 14 танков: в 1943 году - 5, в 1944 году - семь и в 1945 году - два (за пять месяцев), из них выдержало испытание всего 4 машины (28,57%).</w:t>
      </w:r>
    </w:p>
    <w:p w14:paraId="1A8E8ECE" w14:textId="77777777" w:rsidR="00823A00" w:rsidRPr="00925F26" w:rsidRDefault="00823A00" w:rsidP="00925F26">
      <w:pPr>
        <w:jc w:val="both"/>
        <w:rPr>
          <w:color w:val="000000" w:themeColor="text1"/>
          <w:sz w:val="16"/>
          <w:szCs w:val="16"/>
        </w:rPr>
      </w:pPr>
      <w:r w:rsidRPr="00925F26">
        <w:rPr>
          <w:color w:val="000000" w:themeColor="text1"/>
          <w:sz w:val="16"/>
          <w:szCs w:val="16"/>
        </w:rPr>
        <w:t>Основными поломками и дефектами, по которым не были засчитаны результаты испытаний, были следующие:</w:t>
      </w:r>
    </w:p>
    <w:p w14:paraId="6A0929A8" w14:textId="77777777" w:rsidR="00823A00" w:rsidRPr="00925F26" w:rsidRDefault="00823A00" w:rsidP="00925F26">
      <w:pPr>
        <w:jc w:val="both"/>
        <w:rPr>
          <w:color w:val="000000" w:themeColor="text1"/>
          <w:sz w:val="16"/>
          <w:szCs w:val="16"/>
        </w:rPr>
      </w:pPr>
      <w:r w:rsidRPr="00925F26">
        <w:rPr>
          <w:color w:val="000000" w:themeColor="text1"/>
          <w:sz w:val="16"/>
          <w:szCs w:val="16"/>
        </w:rPr>
        <w:lastRenderedPageBreak/>
        <w:t>1. Выход из строя двигателей на пяти танках - обрыв шатунов, скручивание верхнего вертикального валика привода топливного насоса, разрушение хвостовика валика водяного насоса.</w:t>
      </w:r>
    </w:p>
    <w:p w14:paraId="7C901467" w14:textId="77777777" w:rsidR="00823A00" w:rsidRPr="00925F26" w:rsidRDefault="00823A00" w:rsidP="00925F26">
      <w:pPr>
        <w:jc w:val="both"/>
        <w:rPr>
          <w:color w:val="000000" w:themeColor="text1"/>
          <w:sz w:val="16"/>
          <w:szCs w:val="16"/>
        </w:rPr>
      </w:pPr>
      <w:r w:rsidRPr="00925F26">
        <w:rPr>
          <w:color w:val="000000" w:themeColor="text1"/>
          <w:sz w:val="16"/>
          <w:szCs w:val="16"/>
        </w:rPr>
        <w:t>2. Разрушение подшипника главного фрикциона.</w:t>
      </w:r>
    </w:p>
    <w:p w14:paraId="3E6BB5B8" w14:textId="77777777" w:rsidR="00823A00" w:rsidRPr="00925F26" w:rsidRDefault="00823A00" w:rsidP="00925F26">
      <w:pPr>
        <w:jc w:val="both"/>
        <w:rPr>
          <w:color w:val="000000" w:themeColor="text1"/>
          <w:sz w:val="16"/>
          <w:szCs w:val="16"/>
        </w:rPr>
      </w:pPr>
      <w:r w:rsidRPr="00925F26">
        <w:rPr>
          <w:color w:val="000000" w:themeColor="text1"/>
          <w:sz w:val="16"/>
          <w:szCs w:val="16"/>
        </w:rPr>
        <w:t>3. Поломка балансира переднего правого опорного катка.</w:t>
      </w:r>
    </w:p>
    <w:p w14:paraId="452728E3" w14:textId="77777777" w:rsidR="00823A00" w:rsidRPr="00925F26" w:rsidRDefault="00823A00" w:rsidP="00925F26">
      <w:pPr>
        <w:jc w:val="both"/>
        <w:rPr>
          <w:color w:val="000000" w:themeColor="text1"/>
          <w:sz w:val="16"/>
          <w:szCs w:val="16"/>
        </w:rPr>
      </w:pPr>
      <w:r w:rsidRPr="00925F26">
        <w:rPr>
          <w:color w:val="000000" w:themeColor="text1"/>
          <w:sz w:val="16"/>
          <w:szCs w:val="16"/>
        </w:rPr>
        <w:t>4. Выход из строя коробки перемены передач.</w:t>
      </w:r>
    </w:p>
    <w:p w14:paraId="0A586C87" w14:textId="77777777" w:rsidR="00823A00" w:rsidRPr="00925F26" w:rsidRDefault="00823A00" w:rsidP="00925F26">
      <w:pPr>
        <w:jc w:val="both"/>
        <w:rPr>
          <w:color w:val="000000" w:themeColor="text1"/>
          <w:sz w:val="16"/>
          <w:szCs w:val="16"/>
        </w:rPr>
      </w:pPr>
      <w:r w:rsidRPr="00925F26">
        <w:rPr>
          <w:color w:val="000000" w:themeColor="text1"/>
          <w:sz w:val="16"/>
          <w:szCs w:val="16"/>
        </w:rPr>
        <w:t>Рекламации из войск. Всего за 1942— 1945 года завод № 174 получил 171 рекламацию из воинских частей, причем наибольшее их количество - 83 - пришлось на 1942 год, то есть на начало выпуска Т-34. В 1943-1944 годах число рекламаций оставалось примерно на одном уровне (37 и 39 соответственно), но зато изменился их характер. Например, в 1943 году была 21 рекламация по разрушению зубьев коробки перемены передач, а в 1944-м — всего 7, то есть в три раза меньше. Количество рекламаций по разрушению подшипников бортовой передачи в 1943 году была одна, а в 1944-м - 12. Также в 1944 голу получено 9 рекламаций по трещинам в корпусах и башнях, тогда как в 1942 - 1943 годах по этим дефектам не было ни одной.</w:t>
      </w:r>
    </w:p>
    <w:p w14:paraId="7D482545" w14:textId="77777777" w:rsidR="00823A00" w:rsidRPr="00925F26" w:rsidRDefault="00823A00" w:rsidP="00925F26">
      <w:pPr>
        <w:jc w:val="both"/>
        <w:rPr>
          <w:color w:val="000000" w:themeColor="text1"/>
          <w:sz w:val="16"/>
          <w:szCs w:val="16"/>
        </w:rPr>
      </w:pPr>
      <w:r w:rsidRPr="00925F26">
        <w:rPr>
          <w:color w:val="000000" w:themeColor="text1"/>
          <w:sz w:val="16"/>
          <w:szCs w:val="16"/>
        </w:rPr>
        <w:t>Если посмотреть процент рекламаций к общему количеству выпущенных танков Т-34, то получится следующее:</w:t>
      </w:r>
    </w:p>
    <w:p w14:paraId="53CACB0A" w14:textId="77777777" w:rsidR="00823A00" w:rsidRPr="00925F26" w:rsidRDefault="00823A00" w:rsidP="00925F26">
      <w:pPr>
        <w:jc w:val="both"/>
        <w:rPr>
          <w:color w:val="000000" w:themeColor="text1"/>
          <w:sz w:val="16"/>
          <w:szCs w:val="16"/>
        </w:rPr>
      </w:pPr>
      <w:r w:rsidRPr="00925F26">
        <w:rPr>
          <w:color w:val="000000" w:themeColor="text1"/>
          <w:sz w:val="16"/>
          <w:szCs w:val="16"/>
        </w:rPr>
        <w:t>в 1942 году изготовлено 417, получено рекламаций 83, или 19,9%;</w:t>
      </w:r>
    </w:p>
    <w:p w14:paraId="25DC2BF5" w14:textId="77777777" w:rsidR="00823A00" w:rsidRPr="00925F26" w:rsidRDefault="00823A00" w:rsidP="00925F26">
      <w:pPr>
        <w:jc w:val="both"/>
        <w:rPr>
          <w:color w:val="000000" w:themeColor="text1"/>
          <w:sz w:val="16"/>
          <w:szCs w:val="16"/>
        </w:rPr>
      </w:pPr>
      <w:r w:rsidRPr="00925F26">
        <w:rPr>
          <w:color w:val="000000" w:themeColor="text1"/>
          <w:sz w:val="16"/>
          <w:szCs w:val="16"/>
        </w:rPr>
        <w:t>в 1943 году изготовлено 1347, получено рекламаций 37, или 2,8%;</w:t>
      </w:r>
    </w:p>
    <w:p w14:paraId="0A8F0A02" w14:textId="77777777" w:rsidR="00823A00" w:rsidRPr="00925F26" w:rsidRDefault="00823A00" w:rsidP="00925F26">
      <w:pPr>
        <w:jc w:val="both"/>
        <w:rPr>
          <w:color w:val="000000" w:themeColor="text1"/>
          <w:sz w:val="16"/>
          <w:szCs w:val="16"/>
        </w:rPr>
      </w:pPr>
      <w:r w:rsidRPr="00925F26">
        <w:rPr>
          <w:color w:val="000000" w:themeColor="text1"/>
          <w:sz w:val="16"/>
          <w:szCs w:val="16"/>
        </w:rPr>
        <w:t>в 1944 году изготовлено 2163, получено рекламаций 39, или 1,8%;</w:t>
      </w:r>
    </w:p>
    <w:p w14:paraId="2C7FA474" w14:textId="77777777" w:rsidR="00823A00" w:rsidRPr="00925F26" w:rsidRDefault="00823A00" w:rsidP="00925F26">
      <w:pPr>
        <w:jc w:val="both"/>
        <w:rPr>
          <w:color w:val="000000" w:themeColor="text1"/>
          <w:sz w:val="16"/>
          <w:szCs w:val="16"/>
        </w:rPr>
      </w:pPr>
      <w:r w:rsidRPr="00925F26">
        <w:rPr>
          <w:color w:val="000000" w:themeColor="text1"/>
          <w:sz w:val="16"/>
          <w:szCs w:val="16"/>
        </w:rPr>
        <w:t>в 1945 году (за пять месяцев) изготовлено 865, получено рекламаций 13, или 1,5%.</w:t>
      </w:r>
    </w:p>
    <w:p w14:paraId="37D4B2AF" w14:textId="77777777" w:rsidR="00823A00" w:rsidRPr="00925F26" w:rsidRDefault="00823A00" w:rsidP="00925F26">
      <w:pPr>
        <w:jc w:val="both"/>
        <w:rPr>
          <w:color w:val="000000" w:themeColor="text1"/>
          <w:sz w:val="16"/>
          <w:szCs w:val="16"/>
        </w:rPr>
      </w:pPr>
      <w:r w:rsidRPr="00925F26">
        <w:rPr>
          <w:color w:val="000000" w:themeColor="text1"/>
          <w:sz w:val="16"/>
          <w:szCs w:val="16"/>
        </w:rPr>
        <w:t>Таким образом процент получен- ныхзаводомрекламаций снизился с 19.9до 1.5% (12217).</w:t>
      </w:r>
    </w:p>
    <w:p w14:paraId="75D7B46B" w14:textId="77777777" w:rsidR="00823A00" w:rsidRPr="00925F26" w:rsidRDefault="00823A00" w:rsidP="00925F26">
      <w:pPr>
        <w:jc w:val="both"/>
        <w:rPr>
          <w:color w:val="000000" w:themeColor="text1"/>
          <w:sz w:val="16"/>
          <w:szCs w:val="16"/>
        </w:rPr>
      </w:pPr>
    </w:p>
    <w:p w14:paraId="6F316CB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было построено две машины по одному из предложенных проектов САУ КБ завода Уралмаш. САУ были созданы на базе танка Т-44 и имели кормовое боевое отделение. Первая САУ под индексом СУ-101 была вооружена 100-мм орудием Д-10С, а вторая - СУ-102 - вооружена 122-мм орудием Д-25-44С. Интересно то, что орудие Д-25-44С имело унитарный патрон. Обе САУ успешно прошли все испытания и по их результатам были рекомендованы для принятия на вооружение. Но тем не менее, на вооружение приняты не были, так как война должна была вот-вот закончится, я для мирного времени их надежность была неудовлетворительной (3862).</w:t>
      </w:r>
    </w:p>
    <w:p w14:paraId="5623E45F" w14:textId="77777777" w:rsidR="00665165" w:rsidRPr="00925F26" w:rsidRDefault="00665165" w:rsidP="00925F26">
      <w:pPr>
        <w:autoSpaceDE w:val="0"/>
        <w:autoSpaceDN w:val="0"/>
        <w:adjustRightInd w:val="0"/>
        <w:jc w:val="both"/>
        <w:rPr>
          <w:color w:val="000000" w:themeColor="text1"/>
          <w:sz w:val="16"/>
          <w:szCs w:val="16"/>
        </w:rPr>
      </w:pPr>
    </w:p>
    <w:p w14:paraId="39FCE6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г. эталонный самоход «Уралмаш-1» был изготовлен По заданию их должно было быть 3 штуки, два с во</w:t>
      </w:r>
      <w:r w:rsidRPr="00925F26">
        <w:rPr>
          <w:color w:val="000000" w:themeColor="text1"/>
          <w:sz w:val="16"/>
          <w:szCs w:val="16"/>
        </w:rPr>
        <w:softHyphen/>
        <w:t>оружением из 100-мм пушки Д-10С и один со 122-мм пуш</w:t>
      </w:r>
      <w:r w:rsidRPr="00925F26">
        <w:rPr>
          <w:color w:val="000000" w:themeColor="text1"/>
          <w:sz w:val="16"/>
          <w:szCs w:val="16"/>
        </w:rPr>
        <w:softHyphen/>
        <w:t>кой, но автор не уверен, что данный план был выполнен. Скорее всего, было лишь две машины с разным вооружени</w:t>
      </w:r>
      <w:r w:rsidRPr="00925F26">
        <w:rPr>
          <w:color w:val="000000" w:themeColor="text1"/>
          <w:sz w:val="16"/>
          <w:szCs w:val="16"/>
        </w:rPr>
        <w:softHyphen/>
        <w:t>ем, но могло быть изготовлено и две однотипных 100-мм САУ, одна из которых была затем перевооружена 122-мм пушкой Д-25С. На испытаниях машины продемонстрирова</w:t>
      </w:r>
      <w:r w:rsidRPr="00925F26">
        <w:rPr>
          <w:color w:val="000000" w:themeColor="text1"/>
          <w:sz w:val="16"/>
          <w:szCs w:val="16"/>
        </w:rPr>
        <w:softHyphen/>
        <w:t>ли очень хорошие результаты. Так, по бронированию «Уралмаш» мог поспорить с любой современной ему боевой ма</w:t>
      </w:r>
      <w:r w:rsidRPr="00925F26">
        <w:rPr>
          <w:color w:val="000000" w:themeColor="text1"/>
          <w:sz w:val="16"/>
          <w:szCs w:val="16"/>
        </w:rPr>
        <w:softHyphen/>
        <w:t>шиной, а вооружение также было «на соответствующем уровне» и давало возможность дальнейшего увеличения его мощности. Но война закончилась, а для требований службы в мирное время агрегаты первых Т-44 уже не годились. Поэтому разворачивать производство принципиально новой боевой машины в мирных условиях сочли нецелесо</w:t>
      </w:r>
      <w:r w:rsidRPr="00925F26">
        <w:rPr>
          <w:color w:val="000000" w:themeColor="text1"/>
          <w:sz w:val="16"/>
          <w:szCs w:val="16"/>
        </w:rPr>
        <w:softHyphen/>
        <w:t>образным. Советский «фердинанд» остался в прототипе (11417).</w:t>
      </w:r>
    </w:p>
    <w:p w14:paraId="3616579C" w14:textId="77777777" w:rsidR="00665165" w:rsidRPr="00925F26" w:rsidRDefault="00665165" w:rsidP="00925F26">
      <w:pPr>
        <w:autoSpaceDE w:val="0"/>
        <w:autoSpaceDN w:val="0"/>
        <w:adjustRightInd w:val="0"/>
        <w:jc w:val="both"/>
        <w:rPr>
          <w:color w:val="000000" w:themeColor="text1"/>
          <w:sz w:val="16"/>
          <w:szCs w:val="16"/>
        </w:rPr>
      </w:pPr>
    </w:p>
    <w:p w14:paraId="122BD5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прошли гос. испытания ИСУ-122-1 (объект 243) со 122 мм БЛ-9. Разорвало ствол. На вооружение не приняли (7437, 27).</w:t>
      </w:r>
    </w:p>
    <w:p w14:paraId="36B09401" w14:textId="77777777" w:rsidR="00665165" w:rsidRPr="00925F26" w:rsidRDefault="00665165" w:rsidP="00925F26">
      <w:pPr>
        <w:autoSpaceDE w:val="0"/>
        <w:autoSpaceDN w:val="0"/>
        <w:adjustRightInd w:val="0"/>
        <w:jc w:val="both"/>
        <w:rPr>
          <w:color w:val="000000" w:themeColor="text1"/>
          <w:sz w:val="16"/>
          <w:szCs w:val="16"/>
        </w:rPr>
      </w:pPr>
    </w:p>
    <w:p w14:paraId="2F2ABB8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к концу войны в Красной Армии насчитывалось 27 бронетанковых ремонтных заводов, 4 подвиж</w:t>
      </w:r>
      <w:r w:rsidRPr="00925F26">
        <w:rPr>
          <w:color w:val="000000" w:themeColor="text1"/>
          <w:sz w:val="16"/>
          <w:szCs w:val="16"/>
        </w:rPr>
        <w:softHyphen/>
        <w:t>ных танкоремонтных завода и 9 подвижных танкоагрегатных ремонтных заводов (10703).</w:t>
      </w:r>
    </w:p>
    <w:p w14:paraId="15685F9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Ремонт бронетанкового вооружения и танковых агрегатов за годы войны</w:t>
      </w:r>
    </w:p>
    <w:tbl>
      <w:tblPr>
        <w:tblW w:w="0" w:type="auto"/>
        <w:tblInd w:w="40" w:type="dxa"/>
        <w:tblLayout w:type="fixed"/>
        <w:tblCellMar>
          <w:left w:w="40" w:type="dxa"/>
          <w:right w:w="40" w:type="dxa"/>
        </w:tblCellMar>
        <w:tblLook w:val="0000" w:firstRow="0" w:lastRow="0" w:firstColumn="0" w:lastColumn="0" w:noHBand="0" w:noVBand="0"/>
      </w:tblPr>
      <w:tblGrid>
        <w:gridCol w:w="3254"/>
        <w:gridCol w:w="2246"/>
        <w:gridCol w:w="1296"/>
        <w:gridCol w:w="1459"/>
        <w:gridCol w:w="2438"/>
      </w:tblGrid>
      <w:tr w:rsidR="000F5689" w:rsidRPr="00925F26" w14:paraId="56CDD259" w14:textId="77777777">
        <w:trPr>
          <w:trHeight w:val="259"/>
        </w:trPr>
        <w:tc>
          <w:tcPr>
            <w:tcW w:w="3254" w:type="dxa"/>
            <w:tcBorders>
              <w:top w:val="single" w:sz="6" w:space="0" w:color="auto"/>
              <w:left w:val="single" w:sz="6" w:space="0" w:color="auto"/>
              <w:bottom w:val="nil"/>
              <w:right w:val="single" w:sz="6" w:space="0" w:color="auto"/>
            </w:tcBorders>
          </w:tcPr>
          <w:p w14:paraId="6027026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изделий</w:t>
            </w:r>
          </w:p>
        </w:tc>
        <w:tc>
          <w:tcPr>
            <w:tcW w:w="7439" w:type="dxa"/>
            <w:gridSpan w:val="4"/>
            <w:tcBorders>
              <w:top w:val="single" w:sz="6" w:space="0" w:color="auto"/>
              <w:left w:val="single" w:sz="6" w:space="0" w:color="auto"/>
              <w:bottom w:val="single" w:sz="6" w:space="0" w:color="auto"/>
              <w:right w:val="single" w:sz="6" w:space="0" w:color="auto"/>
            </w:tcBorders>
          </w:tcPr>
          <w:p w14:paraId="5393591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Отремонтировано изделий (в процентах)</w:t>
            </w:r>
          </w:p>
        </w:tc>
      </w:tr>
      <w:tr w:rsidR="000F5689" w:rsidRPr="00925F26" w14:paraId="3506CB74" w14:textId="77777777">
        <w:trPr>
          <w:trHeight w:val="557"/>
        </w:trPr>
        <w:tc>
          <w:tcPr>
            <w:tcW w:w="3254" w:type="dxa"/>
            <w:tcBorders>
              <w:top w:val="nil"/>
              <w:left w:val="single" w:sz="6" w:space="0" w:color="auto"/>
              <w:bottom w:val="single" w:sz="6" w:space="0" w:color="auto"/>
              <w:right w:val="single" w:sz="6" w:space="0" w:color="auto"/>
            </w:tcBorders>
          </w:tcPr>
          <w:p w14:paraId="310B7800" w14:textId="77777777" w:rsidR="00665165" w:rsidRPr="00925F26" w:rsidRDefault="00665165" w:rsidP="00925F26">
            <w:pPr>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20075F6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Средствами войск (до армии включительно)</w:t>
            </w:r>
          </w:p>
        </w:tc>
        <w:tc>
          <w:tcPr>
            <w:tcW w:w="1296" w:type="dxa"/>
            <w:tcBorders>
              <w:top w:val="single" w:sz="6" w:space="0" w:color="auto"/>
              <w:left w:val="single" w:sz="6" w:space="0" w:color="auto"/>
              <w:bottom w:val="single" w:sz="6" w:space="0" w:color="auto"/>
              <w:right w:val="single" w:sz="6" w:space="0" w:color="auto"/>
            </w:tcBorders>
          </w:tcPr>
          <w:p w14:paraId="55E3F69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Средствами фронта</w:t>
            </w:r>
          </w:p>
        </w:tc>
        <w:tc>
          <w:tcPr>
            <w:tcW w:w="1459" w:type="dxa"/>
            <w:tcBorders>
              <w:top w:val="single" w:sz="6" w:space="0" w:color="auto"/>
              <w:left w:val="single" w:sz="6" w:space="0" w:color="auto"/>
              <w:bottom w:val="single" w:sz="6" w:space="0" w:color="auto"/>
              <w:right w:val="single" w:sz="6" w:space="0" w:color="auto"/>
            </w:tcBorders>
          </w:tcPr>
          <w:p w14:paraId="2577E89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Средствами центрального подчинения</w:t>
            </w:r>
          </w:p>
        </w:tc>
        <w:tc>
          <w:tcPr>
            <w:tcW w:w="2438" w:type="dxa"/>
            <w:tcBorders>
              <w:top w:val="single" w:sz="6" w:space="0" w:color="auto"/>
              <w:left w:val="single" w:sz="6" w:space="0" w:color="auto"/>
              <w:bottom w:val="single" w:sz="6" w:space="0" w:color="auto"/>
              <w:right w:val="single" w:sz="6" w:space="0" w:color="auto"/>
            </w:tcBorders>
          </w:tcPr>
          <w:p w14:paraId="04225AE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Заводами промышленности</w:t>
            </w:r>
          </w:p>
        </w:tc>
      </w:tr>
      <w:tr w:rsidR="000F5689" w:rsidRPr="00925F26" w14:paraId="2E1097E1" w14:textId="77777777">
        <w:trPr>
          <w:trHeight w:val="202"/>
        </w:trPr>
        <w:tc>
          <w:tcPr>
            <w:tcW w:w="3254" w:type="dxa"/>
            <w:tcBorders>
              <w:top w:val="single" w:sz="6" w:space="0" w:color="auto"/>
              <w:left w:val="single" w:sz="6" w:space="0" w:color="auto"/>
              <w:bottom w:val="single" w:sz="6" w:space="0" w:color="auto"/>
              <w:right w:val="single" w:sz="6" w:space="0" w:color="auto"/>
            </w:tcBorders>
          </w:tcPr>
          <w:p w14:paraId="60B7F21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Танки и САУ</w:t>
            </w:r>
          </w:p>
        </w:tc>
        <w:tc>
          <w:tcPr>
            <w:tcW w:w="2246" w:type="dxa"/>
            <w:tcBorders>
              <w:top w:val="single" w:sz="6" w:space="0" w:color="auto"/>
              <w:left w:val="single" w:sz="6" w:space="0" w:color="auto"/>
              <w:bottom w:val="single" w:sz="6" w:space="0" w:color="auto"/>
              <w:right w:val="single" w:sz="6" w:space="0" w:color="auto"/>
            </w:tcBorders>
          </w:tcPr>
          <w:p w14:paraId="0BCE304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66,5</w:t>
            </w:r>
          </w:p>
        </w:tc>
        <w:tc>
          <w:tcPr>
            <w:tcW w:w="1296" w:type="dxa"/>
            <w:tcBorders>
              <w:top w:val="single" w:sz="6" w:space="0" w:color="auto"/>
              <w:left w:val="single" w:sz="6" w:space="0" w:color="auto"/>
              <w:bottom w:val="single" w:sz="6" w:space="0" w:color="auto"/>
              <w:right w:val="single" w:sz="6" w:space="0" w:color="auto"/>
            </w:tcBorders>
          </w:tcPr>
          <w:p w14:paraId="001DB1F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27,6</w:t>
            </w:r>
          </w:p>
        </w:tc>
        <w:tc>
          <w:tcPr>
            <w:tcW w:w="1459" w:type="dxa"/>
            <w:tcBorders>
              <w:top w:val="single" w:sz="6" w:space="0" w:color="auto"/>
              <w:left w:val="single" w:sz="6" w:space="0" w:color="auto"/>
              <w:bottom w:val="single" w:sz="6" w:space="0" w:color="auto"/>
              <w:right w:val="single" w:sz="6" w:space="0" w:color="auto"/>
            </w:tcBorders>
          </w:tcPr>
          <w:p w14:paraId="0E40F26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w:t>
            </w:r>
          </w:p>
        </w:tc>
        <w:tc>
          <w:tcPr>
            <w:tcW w:w="2438" w:type="dxa"/>
            <w:tcBorders>
              <w:top w:val="single" w:sz="6" w:space="0" w:color="auto"/>
              <w:left w:val="single" w:sz="6" w:space="0" w:color="auto"/>
              <w:bottom w:val="single" w:sz="6" w:space="0" w:color="auto"/>
              <w:right w:val="single" w:sz="6" w:space="0" w:color="auto"/>
            </w:tcBorders>
          </w:tcPr>
          <w:p w14:paraId="6C9F15B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w:t>
            </w:r>
          </w:p>
        </w:tc>
      </w:tr>
      <w:tr w:rsidR="000F5689" w:rsidRPr="00925F26" w14:paraId="6CB5661B" w14:textId="77777777">
        <w:trPr>
          <w:trHeight w:val="202"/>
        </w:trPr>
        <w:tc>
          <w:tcPr>
            <w:tcW w:w="3254" w:type="dxa"/>
            <w:tcBorders>
              <w:top w:val="single" w:sz="6" w:space="0" w:color="auto"/>
              <w:left w:val="single" w:sz="6" w:space="0" w:color="auto"/>
              <w:bottom w:val="single" w:sz="6" w:space="0" w:color="auto"/>
              <w:right w:val="single" w:sz="6" w:space="0" w:color="auto"/>
            </w:tcBorders>
          </w:tcPr>
          <w:p w14:paraId="4D9F579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Танковые двигатели</w:t>
            </w:r>
          </w:p>
        </w:tc>
        <w:tc>
          <w:tcPr>
            <w:tcW w:w="2246" w:type="dxa"/>
            <w:tcBorders>
              <w:top w:val="single" w:sz="6" w:space="0" w:color="auto"/>
              <w:left w:val="single" w:sz="6" w:space="0" w:color="auto"/>
              <w:bottom w:val="single" w:sz="6" w:space="0" w:color="auto"/>
              <w:right w:val="single" w:sz="6" w:space="0" w:color="auto"/>
            </w:tcBorders>
          </w:tcPr>
          <w:p w14:paraId="74F05F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30,8</w:t>
            </w:r>
          </w:p>
        </w:tc>
        <w:tc>
          <w:tcPr>
            <w:tcW w:w="1296" w:type="dxa"/>
            <w:tcBorders>
              <w:top w:val="single" w:sz="6" w:space="0" w:color="auto"/>
              <w:left w:val="single" w:sz="6" w:space="0" w:color="auto"/>
              <w:bottom w:val="single" w:sz="6" w:space="0" w:color="auto"/>
              <w:right w:val="single" w:sz="6" w:space="0" w:color="auto"/>
            </w:tcBorders>
          </w:tcPr>
          <w:p w14:paraId="44923FB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52,4</w:t>
            </w:r>
          </w:p>
        </w:tc>
        <w:tc>
          <w:tcPr>
            <w:tcW w:w="1459" w:type="dxa"/>
            <w:tcBorders>
              <w:top w:val="single" w:sz="6" w:space="0" w:color="auto"/>
              <w:left w:val="single" w:sz="6" w:space="0" w:color="auto"/>
              <w:bottom w:val="single" w:sz="6" w:space="0" w:color="auto"/>
              <w:right w:val="single" w:sz="6" w:space="0" w:color="auto"/>
            </w:tcBorders>
          </w:tcPr>
          <w:p w14:paraId="39A241C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tc>
        <w:tc>
          <w:tcPr>
            <w:tcW w:w="2438" w:type="dxa"/>
            <w:tcBorders>
              <w:top w:val="single" w:sz="6" w:space="0" w:color="auto"/>
              <w:left w:val="single" w:sz="6" w:space="0" w:color="auto"/>
              <w:bottom w:val="single" w:sz="6" w:space="0" w:color="auto"/>
              <w:right w:val="single" w:sz="6" w:space="0" w:color="auto"/>
            </w:tcBorders>
          </w:tcPr>
          <w:p w14:paraId="20C2D01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w:t>
            </w:r>
          </w:p>
        </w:tc>
      </w:tr>
      <w:tr w:rsidR="000F5689" w:rsidRPr="00925F26" w14:paraId="1FFAE472" w14:textId="77777777">
        <w:trPr>
          <w:trHeight w:val="221"/>
        </w:trPr>
        <w:tc>
          <w:tcPr>
            <w:tcW w:w="3254" w:type="dxa"/>
            <w:tcBorders>
              <w:top w:val="single" w:sz="6" w:space="0" w:color="auto"/>
              <w:left w:val="single" w:sz="6" w:space="0" w:color="auto"/>
              <w:bottom w:val="single" w:sz="6" w:space="0" w:color="auto"/>
              <w:right w:val="single" w:sz="6" w:space="0" w:color="auto"/>
            </w:tcBorders>
          </w:tcPr>
          <w:p w14:paraId="061B07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Танковые агрегаты (кроме двигателей)</w:t>
            </w:r>
          </w:p>
        </w:tc>
        <w:tc>
          <w:tcPr>
            <w:tcW w:w="2246" w:type="dxa"/>
            <w:tcBorders>
              <w:top w:val="single" w:sz="6" w:space="0" w:color="auto"/>
              <w:left w:val="single" w:sz="6" w:space="0" w:color="auto"/>
              <w:bottom w:val="single" w:sz="6" w:space="0" w:color="auto"/>
              <w:right w:val="single" w:sz="6" w:space="0" w:color="auto"/>
            </w:tcBorders>
          </w:tcPr>
          <w:p w14:paraId="5601769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25,2</w:t>
            </w:r>
          </w:p>
        </w:tc>
        <w:tc>
          <w:tcPr>
            <w:tcW w:w="1296" w:type="dxa"/>
            <w:tcBorders>
              <w:top w:val="single" w:sz="6" w:space="0" w:color="auto"/>
              <w:left w:val="single" w:sz="6" w:space="0" w:color="auto"/>
              <w:bottom w:val="single" w:sz="6" w:space="0" w:color="auto"/>
              <w:right w:val="single" w:sz="6" w:space="0" w:color="auto"/>
            </w:tcBorders>
          </w:tcPr>
          <w:p w14:paraId="112F98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72,2</w:t>
            </w:r>
          </w:p>
        </w:tc>
        <w:tc>
          <w:tcPr>
            <w:tcW w:w="1459" w:type="dxa"/>
            <w:tcBorders>
              <w:top w:val="single" w:sz="6" w:space="0" w:color="auto"/>
              <w:left w:val="single" w:sz="6" w:space="0" w:color="auto"/>
              <w:bottom w:val="single" w:sz="6" w:space="0" w:color="auto"/>
              <w:right w:val="single" w:sz="6" w:space="0" w:color="auto"/>
            </w:tcBorders>
          </w:tcPr>
          <w:p w14:paraId="6A0427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tc>
        <w:tc>
          <w:tcPr>
            <w:tcW w:w="2438" w:type="dxa"/>
            <w:tcBorders>
              <w:top w:val="single" w:sz="6" w:space="0" w:color="auto"/>
              <w:left w:val="single" w:sz="6" w:space="0" w:color="auto"/>
              <w:bottom w:val="single" w:sz="6" w:space="0" w:color="auto"/>
              <w:right w:val="single" w:sz="6" w:space="0" w:color="auto"/>
            </w:tcBorders>
          </w:tcPr>
          <w:p w14:paraId="3C76432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w:t>
            </w:r>
          </w:p>
        </w:tc>
      </w:tr>
    </w:tbl>
    <w:p w14:paraId="771AA28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(10703)</w:t>
      </w:r>
    </w:p>
    <w:p w14:paraId="53D93EC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04B15C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г. закончился выпуск Танка ИС-2 (ИС-122) на ЧКЗ, который был начат в июне 1944 г.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925F26">
        <w:rPr>
          <w:color w:val="000000" w:themeColor="text1"/>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925F26">
        <w:rPr>
          <w:color w:val="000000" w:themeColor="text1"/>
          <w:sz w:val="16"/>
          <w:szCs w:val="16"/>
        </w:rPr>
        <w:softHyphen/>
        <w:t>вой защитой корпуса, установкой дополнительного оружия - зенитно</w:t>
      </w:r>
      <w:r w:rsidRPr="00925F26">
        <w:rPr>
          <w:color w:val="000000" w:themeColor="text1"/>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Основное оружие, устанавливавшееся в танке, осталось без измене</w:t>
      </w:r>
      <w:r w:rsidRPr="00925F26">
        <w:rPr>
          <w:color w:val="000000" w:themeColor="text1"/>
          <w:sz w:val="16"/>
          <w:szCs w:val="16"/>
        </w:rPr>
        <w:softHyphen/>
        <w:t>ний. Во вращавшейся башне в единой броневой маске устанавливалась 122-мм танковая пушка Д-25 с клиновым горизонтальным полуавтома</w:t>
      </w:r>
      <w:r w:rsidRPr="00925F26">
        <w:rPr>
          <w:color w:val="000000" w:themeColor="text1"/>
          <w:sz w:val="16"/>
          <w:szCs w:val="16"/>
        </w:rPr>
        <w:softHyphen/>
        <w:t>тическим затвором и спаренный 7,62-мм пулемет ДТ (с октября 1944 г. - 7,62-мм пулемет ДТМ). Установка двух других пулеметов ДТ (курсо</w:t>
      </w:r>
      <w:r w:rsidRPr="00925F26">
        <w:rPr>
          <w:color w:val="000000" w:themeColor="text1"/>
          <w:sz w:val="16"/>
          <w:szCs w:val="16"/>
        </w:rPr>
        <w:softHyphen/>
        <w:t>вого и тыльного) была такой же, как и установка аналогичных пулеме</w:t>
      </w:r>
      <w:r w:rsidRPr="00925F26">
        <w:rPr>
          <w:color w:val="000000" w:themeColor="text1"/>
          <w:sz w:val="16"/>
          <w:szCs w:val="16"/>
        </w:rPr>
        <w:softHyphen/>
        <w:t>тов в танке НС-2 обр. 1943 г. Для стрельбы из тыльного пулемета при</w:t>
      </w:r>
      <w:r w:rsidRPr="00925F26">
        <w:rPr>
          <w:color w:val="000000" w:themeColor="text1"/>
          <w:sz w:val="16"/>
          <w:szCs w:val="16"/>
        </w:rPr>
        <w:softHyphen/>
        <w:t>менялся оптический прицел. В качестве дополнительного оружия на зе</w:t>
      </w:r>
      <w:r w:rsidRPr="00925F26">
        <w:rPr>
          <w:color w:val="000000" w:themeColor="text1"/>
          <w:sz w:val="16"/>
          <w:szCs w:val="16"/>
        </w:rPr>
        <w:softHyphen/>
        <w:t>нитной турели, монтировавшейся на вращавшемся погоне люка коман</w:t>
      </w:r>
      <w:r w:rsidRPr="00925F26">
        <w:rPr>
          <w:color w:val="000000" w:themeColor="text1"/>
          <w:sz w:val="16"/>
          <w:szCs w:val="16"/>
        </w:rPr>
        <w:softHyphen/>
        <w:t>дирской башенки, устанавливался 12,7-мм пулемет ДШК обр. 1938 г., предназначавшийся для стрельбы по воздушным и наземным целям. Для ведения прицельной стрельбы использовался коллиматорный при</w:t>
      </w:r>
      <w:r w:rsidRPr="00925F26">
        <w:rPr>
          <w:color w:val="000000" w:themeColor="text1"/>
          <w:sz w:val="16"/>
          <w:szCs w:val="16"/>
        </w:rPr>
        <w:softHyphen/>
        <w:t>цел К8-Т. Конструкция турельной установки позволяла вести круговой обстрел при любых углах возвышения от -4 до +85°. Прицельная даль</w:t>
      </w:r>
      <w:r w:rsidRPr="00925F26">
        <w:rPr>
          <w:color w:val="000000" w:themeColor="text1"/>
          <w:sz w:val="16"/>
          <w:szCs w:val="16"/>
        </w:rPr>
        <w:softHyphen/>
        <w:t>ность составляла 3500 м, предельная - 7000 м. Питание пулемета - лен</w:t>
      </w:r>
      <w:r w:rsidRPr="00925F26">
        <w:rPr>
          <w:color w:val="000000" w:themeColor="text1"/>
          <w:sz w:val="16"/>
          <w:szCs w:val="16"/>
        </w:rPr>
        <w:softHyphen/>
        <w:t>точное (50 патронов в ленте). Практическая скорострельность достига</w:t>
      </w:r>
      <w:r w:rsidRPr="00925F26">
        <w:rPr>
          <w:color w:val="000000" w:themeColor="text1"/>
          <w:sz w:val="16"/>
          <w:szCs w:val="16"/>
        </w:rPr>
        <w:softHyphen/>
        <w:t xml:space="preserve">ла 125 </w:t>
      </w:r>
      <w:proofErr w:type="gramStart"/>
      <w:r w:rsidRPr="00925F26">
        <w:rPr>
          <w:color w:val="000000" w:themeColor="text1"/>
          <w:sz w:val="16"/>
          <w:szCs w:val="16"/>
        </w:rPr>
        <w:t>выстр./</w:t>
      </w:r>
      <w:proofErr w:type="gramEnd"/>
      <w:r w:rsidRPr="00925F26">
        <w:rPr>
          <w:color w:val="000000" w:themeColor="text1"/>
          <w:sz w:val="16"/>
          <w:szCs w:val="16"/>
        </w:rPr>
        <w:t>мин (10703).</w:t>
      </w:r>
    </w:p>
    <w:p w14:paraId="6B8ECB2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47B04DD" w14:textId="77777777" w:rsidR="000851D8" w:rsidRPr="00925F26" w:rsidRDefault="000851D8" w:rsidP="00925F26">
      <w:pPr>
        <w:jc w:val="both"/>
        <w:rPr>
          <w:color w:val="000000" w:themeColor="text1"/>
          <w:sz w:val="16"/>
          <w:szCs w:val="16"/>
        </w:rPr>
      </w:pPr>
      <w:r w:rsidRPr="00925F26">
        <w:rPr>
          <w:color w:val="000000" w:themeColor="text1"/>
          <w:sz w:val="16"/>
          <w:szCs w:val="16"/>
        </w:rPr>
        <w:t>В мае 1945 года в отдел изобретений ГБТУ КА поступили проекты танков СТ-I и СТ-II (спарки 122-мм орудий Д-25с на шасси ИСУ).</w:t>
      </w:r>
    </w:p>
    <w:p w14:paraId="1E764550" w14:textId="77777777" w:rsidR="000851D8" w:rsidRPr="00925F26" w:rsidRDefault="000851D8" w:rsidP="00925F26">
      <w:pPr>
        <w:jc w:val="both"/>
        <w:rPr>
          <w:color w:val="000000" w:themeColor="text1"/>
          <w:sz w:val="16"/>
          <w:szCs w:val="16"/>
        </w:rPr>
      </w:pPr>
      <w:r w:rsidRPr="00925F26">
        <w:rPr>
          <w:color w:val="000000" w:themeColor="text1"/>
          <w:sz w:val="16"/>
          <w:szCs w:val="16"/>
        </w:rPr>
        <w:t>Ганин и Часовников предлагали один танк, разница была только в башне. Само шасси узнать несложно, характерная форма корпуса Объекта 701 легко угадывается. Правда, имелись и отличия. Во-первых, авторы решили использовать опорные катки большого диаметра, убрав поддерживающие катки. По совпадению, как раз в это время подобным занимались на заводе №100, где, используя опыт создания тяжелого танка ИС-6 (Объект 252) начали работу над тяжелым танком ИС-7 (Объект 257). Судя по всему, глядя на ИС-6, инженеры ЦАКБ сделали люк механика-водителя в верхней лобовой плите корпуса. Решение спорное, да и использовать его было неудобно. Во-вторых, СТ-I и СТ-II должны были иметь систему подводного хождения. Ее срисовали с немецкого Tauchpanzer. Именно у него, в исходном виде, был гибкий шланг с поплавком.</w:t>
      </w:r>
    </w:p>
    <w:p w14:paraId="3A4DDC4A" w14:textId="77777777" w:rsidR="000851D8" w:rsidRPr="00925F26" w:rsidRDefault="000851D8" w:rsidP="00925F26">
      <w:pPr>
        <w:jc w:val="both"/>
        <w:rPr>
          <w:color w:val="000000" w:themeColor="text1"/>
          <w:sz w:val="16"/>
          <w:szCs w:val="16"/>
        </w:rPr>
      </w:pPr>
      <w:r w:rsidRPr="00925F26">
        <w:rPr>
          <w:color w:val="000000" w:themeColor="text1"/>
          <w:sz w:val="16"/>
          <w:szCs w:val="16"/>
        </w:rPr>
        <w:t>С точки зрения боевых характеристик танк выглядел довольно интересно. Боевая масса на уровне Объекта 701 (54-56 тонн), мотор мощностью 800-850 лошадиных сил (и даже тут авторы не фантазировали, моторы с такой мощностью прорабатывались в 1943-45 годах), максимальная скорость 40-45 км/ч. Вполне реалистичными были и данные по броневой защите (140-160 мм у корпуса и 160-250 мм у башни). Примерно такие требования были в тот момент для перспективных тяжелых танков. Впрочем, следует указать одну деталь. В описании танков непосредственно шасси уделялось немного внимания. Это легко объясняется, поскольку конструкторы-артиллеристы больше интересовались боевым отделением.</w:t>
      </w:r>
    </w:p>
    <w:p w14:paraId="5808CEA2" w14:textId="77777777" w:rsidR="000851D8" w:rsidRPr="00925F26" w:rsidRDefault="000851D8" w:rsidP="00925F26">
      <w:pPr>
        <w:jc w:val="both"/>
        <w:rPr>
          <w:color w:val="000000" w:themeColor="text1"/>
          <w:sz w:val="16"/>
          <w:szCs w:val="16"/>
        </w:rPr>
      </w:pPr>
      <w:r w:rsidRPr="00925F26">
        <w:rPr>
          <w:color w:val="000000" w:themeColor="text1"/>
          <w:sz w:val="16"/>
          <w:szCs w:val="16"/>
        </w:rPr>
        <w:t>На СТ-I и СТ-II командира переместили вперед, но уже с командирской башенкой. Сама башенка была "пониженной", похожей на Объект 701 и ИС-6. Установка вооружения была чем-то похожей на то, что прорабатывали в ЦАКБ в то время. Правда, с некоторыми особенностями. Танки должны были получить стабилизатор вертикальной наводки. Эта тема, в 1943-45 годах, активно прорабатывалась, базой служили американские наработки. Также учитывался и американский опыт в области электрического привода механизма поворота башни (23482).</w:t>
      </w:r>
    </w:p>
    <w:p w14:paraId="64EC0F31" w14:textId="77777777" w:rsidR="000851D8" w:rsidRPr="00925F26" w:rsidRDefault="000851D8" w:rsidP="00925F26">
      <w:pPr>
        <w:jc w:val="both"/>
        <w:rPr>
          <w:color w:val="000000" w:themeColor="text1"/>
          <w:sz w:val="16"/>
          <w:szCs w:val="16"/>
        </w:rPr>
      </w:pPr>
    </w:p>
    <w:p w14:paraId="6013A367" w14:textId="77777777" w:rsidR="00996484" w:rsidRPr="00925F26" w:rsidRDefault="00996484" w:rsidP="00925F26">
      <w:pPr>
        <w:jc w:val="both"/>
        <w:rPr>
          <w:color w:val="000000" w:themeColor="text1"/>
          <w:sz w:val="16"/>
          <w:szCs w:val="16"/>
        </w:rPr>
      </w:pPr>
      <w:r w:rsidRPr="00925F26">
        <w:rPr>
          <w:color w:val="000000" w:themeColor="text1"/>
          <w:sz w:val="16"/>
          <w:szCs w:val="16"/>
        </w:rPr>
        <w:t>В мае 1945 года нижнюю полку нового вертикального стеллажа под боекомплект на СУ-76 ГАЗ пришлось усиливать, так как на испытаниях она прогибалась. Велись работы над улучшением двигателя и элементов ходовой части. Различные мелкие изменения появились и в июне, хотя работы по усовершенствованию конструкции были сильно подорваны исходом конструкторов с ГАЗ им. Молотова. Окончание Великой Отечественной войны стало для руководства завода сигналом к тому, чтобы потихоньку сворачивать военное производство. В июле это аукнулось: качество САУ упало, да и сдавал машины завод с большим напряжением. Но и в июле имели место некоторые нововведения. Появились новые запорные замки масляного радиатора, удлинённый на 36 мм отбойник гусеницы, с 10 июля машины получили изменённый рычаг КПП. Введение модернизированного боевого отделения несколько усложнило работу заводов в апреле, но производство не отставало от графика (18172).</w:t>
      </w:r>
    </w:p>
    <w:p w14:paraId="6C708E57" w14:textId="77777777" w:rsidR="00996484" w:rsidRPr="00925F26" w:rsidRDefault="00996484" w:rsidP="00925F26">
      <w:pPr>
        <w:jc w:val="both"/>
        <w:rPr>
          <w:color w:val="000000" w:themeColor="text1"/>
          <w:sz w:val="16"/>
          <w:szCs w:val="16"/>
        </w:rPr>
      </w:pPr>
    </w:p>
    <w:p w14:paraId="7840D585" w14:textId="77777777" w:rsidR="000851D8" w:rsidRPr="00925F26" w:rsidRDefault="000851D8" w:rsidP="00925F26">
      <w:pPr>
        <w:jc w:val="both"/>
        <w:rPr>
          <w:color w:val="000000" w:themeColor="text1"/>
          <w:sz w:val="16"/>
          <w:szCs w:val="16"/>
        </w:rPr>
      </w:pPr>
      <w:r w:rsidRPr="00925F26">
        <w:rPr>
          <w:color w:val="000000" w:themeColor="text1"/>
          <w:sz w:val="16"/>
          <w:szCs w:val="16"/>
        </w:rPr>
        <w:lastRenderedPageBreak/>
        <w:t>В мае 1945 года появились тактико-технические требования на установку в СУ-76М автоматической 57-мм зенитной пушки. Причем с этим орудием предполагался истребитель танков. Речь явно шла об установке 57-мм пушки С-60, впрочем, дальше требований дело не пошло. Но сама идея 57-мм автоматической пушки для истребителя танков выглядит оригинально (24276).</w:t>
      </w:r>
    </w:p>
    <w:p w14:paraId="6A4C4B18" w14:textId="77777777" w:rsidR="000851D8" w:rsidRPr="00925F26" w:rsidRDefault="000851D8" w:rsidP="00925F26">
      <w:pPr>
        <w:jc w:val="both"/>
        <w:rPr>
          <w:color w:val="000000" w:themeColor="text1"/>
          <w:sz w:val="16"/>
          <w:szCs w:val="16"/>
        </w:rPr>
      </w:pPr>
    </w:p>
    <w:p w14:paraId="35119D56"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мае 1945 года разразился достаточно крупный скандал, связанный с прибывающими танками M4A2E8. Его причиной стало качество этих машин, а именно — ходовой части. Гусеничные ленты танков были собраны из траков трёх партий, одна из которых (с маркировкой D 80073 CC) имела очень высокий процент брака. Впервые это обнаружили в 16-м отдельном учебном танковом полку. Проверка, включавшая испытания танка с регистрационным номером U.S.A. 30122505, подтвердила проблемы с этими траками. В результате появился приказ о замене гусениц всех 177 прибывших на тот момент танков. Речь шла в первую очередь о переборке гусеничных лент и замене траков дефектной партии. Из-за этого отправка на фронт 33 танков, прибывших с конвоем JW-65, задержалась.</w:t>
      </w:r>
    </w:p>
    <w:p w14:paraId="7FCDBE49"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июне-июле 1945 года были выявлены проблемы с опорными катками, связанные с производственными дефектами. В 201-й танковой бригаде проблемы с катками имелись у 44 M4A2E8. Ещё 42 танка с такими проблемами было в 9-м гвардейском механизированном корпусе. Впрочем, M4A2(76)W с проблемными опорными катками здесь оказалось ещё больше — 48 штук. В общей сложности на танках требовалось заменить 299 опорных катков.</w:t>
      </w:r>
    </w:p>
    <w:p w14:paraId="1309F2C1"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 23 июля 1945 года в составе 9 гвардейского механизированного корпуса имелось 84 M4A2E8. Эти машины оказались единственными танками данного типа, которые Красная армия использовала по назначению — правда, уже в ходе советско-японской войны. Участие 201-й танковой бригады в войне оказалось условным — она находилась в резерве. После войны часть машин переделали в тягачи, из них несколько дожило до наших дней.</w:t>
      </w:r>
    </w:p>
    <w:p w14:paraId="7FB28FE1"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Как правило, на этом рассказ о M4A2E8 заканчивается. Иногда добавляется дежурная фраза о том, что почти все дизельные M4 с 76-мм пушками были отправлены в СССР. Такое утверждение выглядит несколько странно, ведь по американским данным в СССР было отправлено 2095 танков из 2915 изготовленных. В 1945 году 5 таких танков попало в Англию, это были машины позднего выпуска с траками T80. Эти машины получили английскую комплектацию, включавшую в том числе английские радиостанции №19. M4A2E8 получили английское обозначение Sherman IIIAY (A — 76-мм орудие, Y — подвеска HVSS).</w:t>
      </w:r>
    </w:p>
    <w:p w14:paraId="0046ACAB"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Один танк из этой партии дожил до наших дней и является, пожалуй, самым известным из M4A2E8. Машина с регистрационным номером T224875 была изучена англичанами, после чего отправилась в Военную академию в Шрайвенхеме. В 1985 году танк был передан в Бовингтон, где стал одним из музейных экспонатов. Недавно его траки T80 были заменены на </w:t>
      </w:r>
      <w:proofErr w:type="gramStart"/>
      <w:r w:rsidRPr="00925F26">
        <w:rPr>
          <w:color w:val="000000" w:themeColor="text1"/>
          <w:sz w:val="16"/>
          <w:szCs w:val="16"/>
        </w:rPr>
        <w:t>резино-металлические</w:t>
      </w:r>
      <w:proofErr w:type="gramEnd"/>
      <w:r w:rsidRPr="00925F26">
        <w:rPr>
          <w:color w:val="000000" w:themeColor="text1"/>
          <w:sz w:val="16"/>
          <w:szCs w:val="16"/>
        </w:rPr>
        <w:t xml:space="preserve"> T84, которые после войны получали и другие M4A2E8. Знаменитым эту машину сделал фильм «Ярость» (Fury), в котором танк сыграл одну из главных ролей. Правда, на вооружении американской армии M4A2E8 не было, но внешне эта машина очень похожа на M4A3E8.</w:t>
      </w:r>
    </w:p>
    <w:p w14:paraId="325ACE66"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После войны американская армия постепенно избавлялась от ненужной техники. В её числе оказались и M4A2E8, которые не успели отправить в СССР. 294 таких танка в 1946 году оказалось в канадской армии. За каждый танк Канада заплатила 1460 долларов США, цена для такой машины смехотворная. В Канаду попали танки со всеми тремя типами траков. Эти машины использовались как учебные: в Корее канадцы воевали на M4A3E8.</w:t>
      </w:r>
    </w:p>
    <w:p w14:paraId="60ACF453" w14:textId="77777777" w:rsidR="006825F8" w:rsidRPr="00925F26" w:rsidRDefault="006825F8" w:rsidP="00925F26">
      <w:pPr>
        <w:pStyle w:val="ae"/>
        <w:shd w:val="clear" w:color="auto" w:fill="FFFFFF"/>
        <w:spacing w:before="0" w:after="0"/>
        <w:jc w:val="both"/>
        <w:rPr>
          <w:color w:val="000000" w:themeColor="text1"/>
          <w:sz w:val="16"/>
          <w:szCs w:val="16"/>
        </w:rPr>
      </w:pPr>
      <w:r w:rsidRPr="00925F26">
        <w:rPr>
          <w:color w:val="000000" w:themeColor="text1"/>
          <w:sz w:val="16"/>
          <w:szCs w:val="16"/>
        </w:rPr>
        <w:t>Канадские M4A2E8 оказались долгожителями: в качестве тренировочных машин M4A3E8 применялись до 1972 года. До наших дней дожило более полусотни M4A2E8, некоторые из которых находятся в ходовом состоянии (17725).</w:t>
      </w:r>
    </w:p>
    <w:p w14:paraId="6625F123" w14:textId="77777777" w:rsidR="006825F8" w:rsidRPr="00925F26" w:rsidRDefault="006825F8" w:rsidP="00925F26">
      <w:pPr>
        <w:jc w:val="both"/>
        <w:rPr>
          <w:color w:val="000000" w:themeColor="text1"/>
          <w:sz w:val="16"/>
          <w:szCs w:val="16"/>
        </w:rPr>
      </w:pPr>
    </w:p>
    <w:p w14:paraId="58A0B5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мае 1945 г. возврат к мирной жизни сопровождался в автомобильной промышленности повышенной активностью в создании опытных образцов новых моделей, среди которых заметную роль играли спортивные и гоночные машины. Руководство отрасли и отдельных заводов видело в них одно из направлений научно-технического прогресса и охотно поддерживало энтузиастов. Известным подспорьем в этих начинаниях послужило знакомство с образцами совершенных конструкций спортивных и гоночных автомобилей, попавших в нашу страну с военными трофеями. В их числе такие конструкции, как БМВ-328, "Вандерер-В25К", "Альфа-Ромео-8Ц-2900", "Ягуар-ССЮО", а также свыше десятка различных гоночных автомобилей "Ауто-Унион" преимущественно постройки 1936-1939 гг. Для углубленного анализа конструкции эти "Ауто-Унионы" были переданы в НАМИ, на заводы ЗИС, ГАЗ, МЗМА, некоторые спортивные клубы и, безусловно, дали пищу для серьезных инженерных размышлений. В частности, специалисты НАМИ провели всестороннее изучение одной из гоночных моделей и отчет об этой работе направили всем заинтересованным конструкторским группам. В то же время на территории Германии в рамках советско-германского акционерного общества "Автовело" начало функционировать научно-техническое бюро автостроения (НТБА). Там под руководством В. Г. Мышкина работали немецкие специалисты, преимущественно из фирмы "Ауто-Унион". Перед ними была поставлена задача создать гоночный автомобиль мирового класса на базе опыта, накопленного при работе с машинами типа "Гран При" в период 1934- 1939 гг. Далеко не всегда производственные и материальные возможности нашего автомобилестроения соответствовали замыслам конструкторов. Однако же, несмотря на экономические трудности первых послевоенных лет, Минавтопром СССР весной 1946 г. создал при ЦКБ Главмотовелопрома конструкторскую бригаду, которую возглавил Александр Иванович Пельтцер. Он выдвинул идею создания специального гоночного автомобиля для установления рекордов скорости в самом малом классе машин - рабочим объемом до 350 </w:t>
      </w:r>
      <w:proofErr w:type="gramStart"/>
      <w:r w:rsidRPr="00925F26">
        <w:rPr>
          <w:color w:val="000000" w:themeColor="text1"/>
          <w:sz w:val="16"/>
          <w:szCs w:val="16"/>
        </w:rPr>
        <w:t>см .</w:t>
      </w:r>
      <w:proofErr w:type="gramEnd"/>
      <w:r w:rsidRPr="00925F26">
        <w:rPr>
          <w:color w:val="000000" w:themeColor="text1"/>
          <w:sz w:val="16"/>
          <w:szCs w:val="16"/>
        </w:rPr>
        <w:t xml:space="preserve"> Этот шаг смело можно назвать историческим. Для того было несколько причин. Во-первых, предстояло спроектировать и построить машину гоночную. Во-вторых, она с самого начала предназначалась для установления международных рекордов скорости. И в-третьих, эту сложную инженерную задачу предстояло решить специализированному, хоть и небольшому, подразделению отрасли. Именно отрасли, а не любительскому объединению, работающему в кустарных условиях в нерабочее время. Наконец, пожалуй, самое важное обстоятельство: работа А. И. Пельтцера явилась не выполнением разового задания, а первым звеном в цепи последовательной и целенаправленной деятельности по постройке гоночных автомобилей, причем деятельности, принесшей впоследствии высокие технические и спортивные результаты. Удивительны темпы, с которыми шло создание автомобиля, получившего наименование "Звезда". Проектирование, начатое в апреле 1946 г., было закончено в июне,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дальнейшую реконструкцию,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международный рекорд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выпускные трубы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выделялся высокими показателями.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возможным закрывать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Силовой агрегат помещался в задней части кузова, вне колесной базы, поперек машины (12098).</w:t>
      </w:r>
    </w:p>
    <w:p w14:paraId="28604EB7" w14:textId="77777777" w:rsidR="00665165" w:rsidRPr="00925F26" w:rsidRDefault="00665165" w:rsidP="00925F26">
      <w:pPr>
        <w:autoSpaceDE w:val="0"/>
        <w:autoSpaceDN w:val="0"/>
        <w:adjustRightInd w:val="0"/>
        <w:jc w:val="both"/>
        <w:rPr>
          <w:color w:val="000000" w:themeColor="text1"/>
          <w:sz w:val="16"/>
          <w:szCs w:val="16"/>
        </w:rPr>
      </w:pPr>
    </w:p>
    <w:p w14:paraId="11B87A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начал работу Научно-исследовательский морской радиолокационный институт (НИМРИ), в его состав передан ряд подразделений НИМИС (10515).</w:t>
      </w:r>
    </w:p>
    <w:p w14:paraId="6D30228F" w14:textId="77777777" w:rsidR="00665165" w:rsidRPr="00925F26" w:rsidRDefault="00665165" w:rsidP="00925F26">
      <w:pPr>
        <w:autoSpaceDE w:val="0"/>
        <w:autoSpaceDN w:val="0"/>
        <w:adjustRightInd w:val="0"/>
        <w:jc w:val="both"/>
        <w:rPr>
          <w:color w:val="000000" w:themeColor="text1"/>
          <w:sz w:val="16"/>
          <w:szCs w:val="16"/>
        </w:rPr>
      </w:pPr>
    </w:p>
    <w:p w14:paraId="6AAACB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Завод № 283 (Завод № 283 НКАП, МАП, Ленинградской государственный завод «Новатор» МРП, В-8429, ЛПТО «Новатор» МРП, Радиотехнический завод № 1 (РТЗ-1) ЦНПО «Ленинец» МРП, завод «Новатор» /г. Ленинград Обводной канал, 14 (1944-70 г.)/ /</w:t>
      </w:r>
      <w:proofErr w:type="gramStart"/>
      <w:r w:rsidRPr="00925F26">
        <w:rPr>
          <w:color w:val="000000" w:themeColor="text1"/>
          <w:sz w:val="16"/>
          <w:szCs w:val="16"/>
        </w:rPr>
        <w:t>196066  г.</w:t>
      </w:r>
      <w:proofErr w:type="gramEnd"/>
      <w:r w:rsidRPr="00925F26">
        <w:rPr>
          <w:color w:val="000000" w:themeColor="text1"/>
          <w:sz w:val="16"/>
          <w:szCs w:val="16"/>
        </w:rPr>
        <w:t xml:space="preserve"> Санкт-Петербург Московский пр., 212/) был веден в эксплуатацию. Налажено производство </w:t>
      </w:r>
      <w:r w:rsidRPr="00925F26">
        <w:rPr>
          <w:color w:val="000000" w:themeColor="text1"/>
          <w:sz w:val="16"/>
          <w:szCs w:val="16"/>
          <w:lang w:val="en-US"/>
        </w:rPr>
        <w:t>PJI</w:t>
      </w:r>
      <w:r w:rsidRPr="00925F26">
        <w:rPr>
          <w:color w:val="000000" w:themeColor="text1"/>
          <w:sz w:val="16"/>
          <w:szCs w:val="16"/>
        </w:rPr>
        <w:t xml:space="preserve"> приборов, а после войны - </w:t>
      </w:r>
      <w:r w:rsidRPr="00925F26">
        <w:rPr>
          <w:color w:val="000000" w:themeColor="text1"/>
          <w:sz w:val="16"/>
          <w:szCs w:val="16"/>
          <w:lang w:val="en-US"/>
        </w:rPr>
        <w:t>PJIC</w:t>
      </w:r>
      <w:r w:rsidRPr="00925F26">
        <w:rPr>
          <w:color w:val="000000" w:themeColor="text1"/>
          <w:sz w:val="16"/>
          <w:szCs w:val="16"/>
        </w:rPr>
        <w:t>, бомбовых прицелов, телевизионных приемников.</w:t>
      </w:r>
    </w:p>
    <w:p w14:paraId="35432C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ГКО в 1945 г. на завод было поставлено 264 металлорежущих станка, вывезенных с приборного завода «Пихлер» ("</w:t>
      </w:r>
      <w:r w:rsidRPr="00925F26">
        <w:rPr>
          <w:color w:val="000000" w:themeColor="text1"/>
          <w:sz w:val="16"/>
          <w:szCs w:val="16"/>
          <w:lang w:val="en-US"/>
        </w:rPr>
        <w:t>OttoLerner</w:t>
      </w:r>
      <w:r w:rsidRPr="00925F26">
        <w:rPr>
          <w:color w:val="000000" w:themeColor="text1"/>
          <w:sz w:val="16"/>
          <w:szCs w:val="16"/>
        </w:rPr>
        <w:t>") в Вене, а также оборудование с завода "</w:t>
      </w:r>
      <w:r w:rsidRPr="00925F26">
        <w:rPr>
          <w:color w:val="000000" w:themeColor="text1"/>
          <w:sz w:val="16"/>
          <w:szCs w:val="16"/>
          <w:lang w:val="en-US"/>
        </w:rPr>
        <w:t>Singer</w:t>
      </w:r>
      <w:r w:rsidRPr="00925F26">
        <w:rPr>
          <w:color w:val="000000" w:themeColor="text1"/>
          <w:sz w:val="16"/>
          <w:szCs w:val="16"/>
        </w:rPr>
        <w:t>" (</w:t>
      </w:r>
      <w:r w:rsidRPr="00925F26">
        <w:rPr>
          <w:color w:val="000000" w:themeColor="text1"/>
          <w:sz w:val="16"/>
          <w:szCs w:val="16"/>
          <w:lang w:val="en-US"/>
        </w:rPr>
        <w:t>Wittenberg</w:t>
      </w:r>
      <w:r w:rsidRPr="00925F26">
        <w:rPr>
          <w:color w:val="000000" w:themeColor="text1"/>
          <w:sz w:val="16"/>
          <w:szCs w:val="16"/>
        </w:rPr>
        <w:t>); в 1946 г. - оборудование с завода "</w:t>
      </w:r>
      <w:r w:rsidRPr="00925F26">
        <w:rPr>
          <w:color w:val="000000" w:themeColor="text1"/>
          <w:sz w:val="16"/>
          <w:szCs w:val="16"/>
          <w:lang w:val="en-US"/>
        </w:rPr>
        <w:t>Wernig</w:t>
      </w:r>
      <w:r w:rsidRPr="00925F26">
        <w:rPr>
          <w:color w:val="000000" w:themeColor="text1"/>
          <w:sz w:val="16"/>
          <w:szCs w:val="16"/>
        </w:rPr>
        <w:t>" (</w:t>
      </w:r>
      <w:r w:rsidRPr="00925F26">
        <w:rPr>
          <w:color w:val="000000" w:themeColor="text1"/>
          <w:sz w:val="16"/>
          <w:szCs w:val="16"/>
          <w:lang w:val="en-US"/>
        </w:rPr>
        <w:t>Wernigerode</w:t>
      </w:r>
      <w:r w:rsidRPr="00925F26">
        <w:rPr>
          <w:color w:val="000000" w:themeColor="text1"/>
          <w:sz w:val="16"/>
          <w:szCs w:val="16"/>
        </w:rPr>
        <w:t>).</w:t>
      </w:r>
    </w:p>
    <w:p w14:paraId="6D1074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1946 г. началось освоение выпуска РПБ «Кобальт» (копия американской станции </w:t>
      </w:r>
      <w:r w:rsidRPr="00925F26">
        <w:rPr>
          <w:color w:val="000000" w:themeColor="text1"/>
          <w:sz w:val="16"/>
          <w:szCs w:val="16"/>
          <w:lang w:val="en-US"/>
        </w:rPr>
        <w:t>APQ</w:t>
      </w:r>
      <w:r w:rsidRPr="00925F26">
        <w:rPr>
          <w:color w:val="000000" w:themeColor="text1"/>
          <w:sz w:val="16"/>
          <w:szCs w:val="16"/>
        </w:rPr>
        <w:t>-13) для Ту-4. Освоение этой принципиально новой техники шло очень трудно. Далее - работы по системам наведения снарядов «воздух-земля».</w:t>
      </w:r>
    </w:p>
    <w:p w14:paraId="2B3F74A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1950-х на заводе работал коллектив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Дехтярева.</w:t>
      </w:r>
    </w:p>
    <w:p w14:paraId="3C6BE5B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04.1946 г. при заводе организовано ОКБ-283 МАП.</w:t>
      </w:r>
    </w:p>
    <w:p w14:paraId="12597C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В соответствии с пост. СМ СССР № 713-342 от 26.06.1957 г. завод № 283 МАП передан в ведение Управления приборостроительной промышленности ЛенСНХ, с 1958 г. - Управления радиотехнической промышленности ЛенСНХ. </w:t>
      </w:r>
      <w:proofErr w:type="gramStart"/>
      <w:r w:rsidRPr="00925F26">
        <w:rPr>
          <w:color w:val="000000" w:themeColor="text1"/>
          <w:sz w:val="16"/>
          <w:szCs w:val="16"/>
        </w:rPr>
        <w:t>В соответствии с пост</w:t>
      </w:r>
      <w:proofErr w:type="gramEnd"/>
      <w:r w:rsidRPr="00925F26">
        <w:rPr>
          <w:color w:val="000000" w:themeColor="text1"/>
          <w:sz w:val="16"/>
          <w:szCs w:val="16"/>
        </w:rPr>
        <w:t>, от 29.09.1965 г. завод № 283 передан в ведение МРП и переименован в Ленинградский государственный завод «Новатор». Имел наименование «п/я В-8429» (1970 г.).</w:t>
      </w:r>
    </w:p>
    <w:p w14:paraId="0DFC74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1970-</w:t>
      </w:r>
      <w:proofErr w:type="gramStart"/>
      <w:r w:rsidRPr="00925F26">
        <w:rPr>
          <w:color w:val="000000" w:themeColor="text1"/>
          <w:sz w:val="16"/>
          <w:szCs w:val="16"/>
        </w:rPr>
        <w:t>х  г.</w:t>
      </w:r>
      <w:proofErr w:type="gramEnd"/>
      <w:r w:rsidRPr="00925F26">
        <w:rPr>
          <w:color w:val="000000" w:themeColor="text1"/>
          <w:sz w:val="16"/>
          <w:szCs w:val="16"/>
        </w:rPr>
        <w:t xml:space="preserve">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Одним из инициаторов его создания был Л.Н. Зайков.</w:t>
      </w:r>
    </w:p>
    <w:p w14:paraId="2905A3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Завод стал РТЗ-1 в составе ЦНПО, в 1988 г. вновь переименован в завод «Новатор» в составе НПО.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Завод электробытовой аппаратуры, ГНПП «МИР» (2003 г.).</w:t>
      </w:r>
    </w:p>
    <w:p w14:paraId="5864320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1988 г. НПК-1 преобразовано в филиал ЦНПО «Сектор» (с 1990 г. </w:t>
      </w:r>
      <w:proofErr w:type="gramStart"/>
      <w:r w:rsidRPr="00925F26">
        <w:rPr>
          <w:color w:val="000000" w:themeColor="text1"/>
          <w:sz w:val="16"/>
          <w:szCs w:val="16"/>
        </w:rPr>
        <w:t>- это самостоятельное НПП</w:t>
      </w:r>
      <w:proofErr w:type="gramEnd"/>
      <w:r w:rsidRPr="00925F26">
        <w:rPr>
          <w:color w:val="000000" w:themeColor="text1"/>
          <w:sz w:val="16"/>
          <w:szCs w:val="16"/>
        </w:rPr>
        <w:t xml:space="preserve"> «Радар ММС»).</w:t>
      </w:r>
    </w:p>
    <w:p w14:paraId="16E03A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Работы (2002 г.): разработка и </w:t>
      </w:r>
      <w:proofErr w:type="gramStart"/>
      <w:r w:rsidRPr="00925F26">
        <w:rPr>
          <w:color w:val="000000" w:themeColor="text1"/>
          <w:sz w:val="16"/>
          <w:szCs w:val="16"/>
        </w:rPr>
        <w:t>производство:_</w:t>
      </w:r>
      <w:proofErr w:type="gramEnd"/>
      <w:r w:rsidRPr="00925F26">
        <w:rPr>
          <w:color w:val="000000" w:themeColor="text1"/>
          <w:sz w:val="16"/>
          <w:szCs w:val="16"/>
        </w:rPr>
        <w:t>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СВЧ-компоневты; датчики и системы для измерения физических полей.</w:t>
      </w:r>
    </w:p>
    <w:p w14:paraId="332269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правительства № 22-р от 9.01.2004 г. вошло в перечень стратегических предприятий.</w:t>
      </w:r>
    </w:p>
    <w:p w14:paraId="4A2C28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(1945-; -1949 г.)- Т.В. Молодых, (1947 г.)- А.П. Лопырев, (1948 г.)- М.Я. Кокуев, (1949-52 г.)- Е.Д. Васильев, (1952-61 г.)- Л.В. Андреев, (1961-71 г.)- Л.Н. Зайков, (1974 г.)- В.В. Ануров, (1986-89 г.)- Н.Л. Зайков, (1989-93 г.)-  Г.С. Галактионов, (1993-2001 г.)- А.В. Жук. Гендиректор ЛПТО (1971-74 г.)- Л.Н. Зайков.</w:t>
      </w:r>
    </w:p>
    <w:p w14:paraId="1B2A9E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Зам. директора (-1974 г.)-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T</w:t>
      </w:r>
      <w:r w:rsidRPr="00925F26">
        <w:rPr>
          <w:color w:val="000000" w:themeColor="text1"/>
          <w:sz w:val="16"/>
          <w:szCs w:val="16"/>
        </w:rPr>
        <w:t>. Михеев.</w:t>
      </w:r>
    </w:p>
    <w:p w14:paraId="4D0DB53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Ген. конструктор- Е.А. Зазорин, (1990-е  г.)-  Г.Н. Громов.</w:t>
      </w:r>
    </w:p>
    <w:p w14:paraId="21EEAA9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по натурным испытаниям (-1981 г.)- А.Л. Захаров.</w:t>
      </w:r>
    </w:p>
    <w:p w14:paraId="5C1457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(1974-76 г.)- Л.Т. Михеев.</w:t>
      </w:r>
    </w:p>
    <w:p w14:paraId="137B01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1-й зам. гл. инженера (1972-74 г.)- О.Ф. Бураков.</w:t>
      </w:r>
    </w:p>
    <w:p w14:paraId="70F9BF72"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БРЛС: «Пантера», «Пума» для Су-24, «Купол», «Купол-2», «Купол-3 и -ЗМ», для Су-34, А-813; ПНС-24М «Тигр» для Су-24; обзорно-прицельная система «Обзор-МС» для Ту-95МС, «Обзор-К» для Ту-160, «Обзор-</w:t>
      </w:r>
      <w:r w:rsidRPr="00925F26">
        <w:rPr>
          <w:color w:val="000000" w:themeColor="text1"/>
          <w:sz w:val="16"/>
          <w:szCs w:val="16"/>
          <w:lang w:val="en-US"/>
        </w:rPr>
        <w:t>MP</w:t>
      </w:r>
      <w:r w:rsidRPr="00925F26">
        <w:rPr>
          <w:color w:val="000000" w:themeColor="text1"/>
          <w:sz w:val="16"/>
          <w:szCs w:val="16"/>
        </w:rPr>
        <w:t>» для Ту-22МР; поисково-прицельная система (ППС) «Коршун» для Ту-142К, «Коршун-М» с ГАС «Кайра» для Ту-142КМ, «Коршун-МЗ» с ГАС «Заречье» для Ту-142МЗ; ППС: «Сова» для А-40, «Филин» для А- 42; «Новелла» для Ил-38Н (1990-е), экспортный вариант «Морской Змей» (</w:t>
      </w:r>
      <w:r w:rsidRPr="00925F26">
        <w:rPr>
          <w:color w:val="000000" w:themeColor="text1"/>
          <w:sz w:val="16"/>
          <w:szCs w:val="16"/>
          <w:lang w:val="en-US"/>
        </w:rPr>
        <w:t>SeaDragon</w:t>
      </w:r>
      <w:r w:rsidRPr="00925F26">
        <w:rPr>
          <w:color w:val="000000" w:themeColor="text1"/>
          <w:sz w:val="16"/>
          <w:szCs w:val="16"/>
        </w:rPr>
        <w:t>); ПНПК-П-76 для Ил-76М, ШШК-124 для Ан-124; ПНК «Купол-2А-76М» для Ил-76 (2000-е), А-820М для Ан-124 (2000-е); малогабаритная ГАС «Изумруд» для Ил-38; СУО; системы наведения для Х-31, Х-35 (У-505); бортовая система автоматизированного контроля для Ил-76 и Ан-124.</w:t>
      </w:r>
    </w:p>
    <w:p w14:paraId="38326955"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РЛ прицелы: РПБ «Кобальт» (1948-), РПБ-4 (1950-е), «Рубидий-М», «Стронций»; РЛС: многофункциональная для Ту-16 (1950-е), «Обзор-</w:t>
      </w:r>
      <w:r w:rsidRPr="00925F26">
        <w:rPr>
          <w:color w:val="000000" w:themeColor="text1"/>
          <w:sz w:val="16"/>
          <w:szCs w:val="16"/>
          <w:lang w:val="en-US"/>
        </w:rPr>
        <w:t>MP</w:t>
      </w:r>
      <w:r w:rsidRPr="00925F26">
        <w:rPr>
          <w:color w:val="000000" w:themeColor="text1"/>
          <w:sz w:val="16"/>
          <w:szCs w:val="16"/>
        </w:rPr>
        <w:t>, -МС, -К» для Ту-22МЗ, Ту-95МС и Ту-160; системы наведения: К-2 для «Комета» (1952-), «Рубикон» для КС-1, «Взлет» для КСР-2, -5, -11 (1964), «Венец» для К-10С и КСР-5 (1966), для Х-23 (прицел ПКИ и передатчик «Дельта»); ПНПК-22 «Купол-22» для Ан-22; радиоприемники: «Блюз-301, РП-203А», магнитола «Ленинград-003» (1974-).</w:t>
      </w:r>
    </w:p>
    <w:p w14:paraId="00FFB18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ОКБ-283 МАП, ГКАТ, ГКРЭ /г. Ленинград/</w:t>
      </w:r>
    </w:p>
    <w:p w14:paraId="6C4A65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7D15873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w:t>
      </w:r>
      <w:proofErr w:type="gramStart"/>
      <w:r w:rsidRPr="00925F26">
        <w:rPr>
          <w:color w:val="000000" w:themeColor="text1"/>
          <w:sz w:val="16"/>
          <w:szCs w:val="16"/>
        </w:rPr>
        <w:t>х  г.</w:t>
      </w:r>
      <w:proofErr w:type="gramEnd"/>
      <w:r w:rsidRPr="00925F26">
        <w:rPr>
          <w:color w:val="000000" w:themeColor="text1"/>
          <w:sz w:val="16"/>
          <w:szCs w:val="16"/>
        </w:rPr>
        <w:t xml:space="preserve">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Дехтярев).</w:t>
      </w:r>
    </w:p>
    <w:p w14:paraId="3DF116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64EEB9C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08.1957 г.- в ведении 4ГУ ГКАТ, в 12.1958 г. ОКБ передано из ГКАТ во вновь образованный ГКРЭ.</w:t>
      </w:r>
    </w:p>
    <w:p w14:paraId="35594FF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3E5EC1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(1946 г.-)- Ф.И. Низов, (-1959 г.)- В.М. Глушков.</w:t>
      </w:r>
    </w:p>
    <w:p w14:paraId="543334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 (1946 г.-)- Ф.И. Низов, В.И. Смирнов, (-1959 г.)- В.М. Глушков.</w:t>
      </w:r>
    </w:p>
    <w:p w14:paraId="4B6C58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конструкторы: (-1947-50 г.-)-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Дехтярев (РБП-4, «Рубин»), (-1953-58 г.-)- В.И. Смирнов («Рубикон»),  Г.А. Гальбертон («Лоция»),</w:t>
      </w:r>
    </w:p>
    <w:p w14:paraId="168C37B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(1954 г.-)- В.М. Глушков, (1957-59 г.)- А.Н. Амромин.</w:t>
      </w:r>
    </w:p>
    <w:p w14:paraId="1C421BB5"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РЛ бомбовые прицелы: РПБ-4 («Рубидий-ММП», 1950); аппаратура наведения ракет «Рубикон» для Ту-16КС (1958).</w:t>
      </w:r>
    </w:p>
    <w:p w14:paraId="2F2DB96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Петрозаводский радиотехнический завод (ПРЗ) /г. Петрозаводск Карельской АССР/</w:t>
      </w:r>
    </w:p>
    <w:p w14:paraId="082DBB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1.01.1974 г. строящийся ПРЗ вошел в состав ЛПТО «Новатор». Был в 1998 г.</w:t>
      </w:r>
    </w:p>
    <w:p w14:paraId="5D714C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ГНПП «МИР» /г. Пушкин Ленинградской обл./</w:t>
      </w:r>
    </w:p>
    <w:p w14:paraId="5E8D4D6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Входил в холдинг «Ленинец» (2003 г.).</w:t>
      </w:r>
    </w:p>
    <w:p w14:paraId="6DDF72E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 2003 г. работы по модернизации индийских Ил-38 в </w:t>
      </w:r>
      <w:proofErr w:type="gramStart"/>
      <w:r w:rsidRPr="00925F26">
        <w:rPr>
          <w:color w:val="000000" w:themeColor="text1"/>
          <w:sz w:val="16"/>
          <w:szCs w:val="16"/>
        </w:rPr>
        <w:t>вариант ?</w:t>
      </w:r>
      <w:r w:rsidRPr="00925F26">
        <w:rPr>
          <w:color w:val="000000" w:themeColor="text1"/>
          <w:sz w:val="16"/>
          <w:szCs w:val="16"/>
          <w:lang w:val="en-US"/>
        </w:rPr>
        <w:t>i</w:t>
      </w:r>
      <w:proofErr w:type="gramEnd"/>
      <w:r w:rsidRPr="00925F26">
        <w:rPr>
          <w:color w:val="000000" w:themeColor="text1"/>
          <w:sz w:val="16"/>
          <w:szCs w:val="16"/>
        </w:rPr>
        <w:t>-38</w:t>
      </w:r>
      <w:r w:rsidRPr="00925F26">
        <w:rPr>
          <w:color w:val="000000" w:themeColor="text1"/>
          <w:sz w:val="16"/>
          <w:szCs w:val="16"/>
          <w:lang w:val="en-US"/>
        </w:rPr>
        <w:t>SD</w:t>
      </w:r>
      <w:r w:rsidRPr="00925F26">
        <w:rPr>
          <w:color w:val="000000" w:themeColor="text1"/>
          <w:sz w:val="16"/>
          <w:szCs w:val="16"/>
        </w:rPr>
        <w:t xml:space="preserve"> (установка новой ППС «Морской Змей» (</w:t>
      </w:r>
      <w:r w:rsidRPr="00925F26">
        <w:rPr>
          <w:color w:val="000000" w:themeColor="text1"/>
          <w:sz w:val="16"/>
          <w:szCs w:val="16"/>
          <w:lang w:val="en-US"/>
        </w:rPr>
        <w:t>SeaDragon</w:t>
      </w:r>
      <w:r w:rsidRPr="00925F26">
        <w:rPr>
          <w:color w:val="000000" w:themeColor="text1"/>
          <w:sz w:val="16"/>
          <w:szCs w:val="16"/>
        </w:rPr>
        <w:t>).</w:t>
      </w:r>
    </w:p>
    <w:p w14:paraId="30473B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Гендиректор (2004 г.)- В.А. Гнездилов.</w:t>
      </w:r>
    </w:p>
    <w:p w14:paraId="37CAB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ООО «Контур-НИРС» /</w:t>
      </w:r>
      <w:proofErr w:type="gramStart"/>
      <w:r w:rsidRPr="00925F26">
        <w:rPr>
          <w:color w:val="000000" w:themeColor="text1"/>
          <w:sz w:val="16"/>
          <w:szCs w:val="16"/>
        </w:rPr>
        <w:t>196066  г.</w:t>
      </w:r>
      <w:proofErr w:type="gramEnd"/>
      <w:r w:rsidRPr="00925F26">
        <w:rPr>
          <w:color w:val="000000" w:themeColor="text1"/>
          <w:sz w:val="16"/>
          <w:szCs w:val="16"/>
        </w:rPr>
        <w:t xml:space="preserve"> Санкт-Петербург Московский пр., 212 тел. 373-60-23/</w:t>
      </w:r>
    </w:p>
    <w:p w14:paraId="782D4A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Является дочерним предприятием ЗАО «Котлин-Новатор», входит в состав ХК «Ленинец».</w:t>
      </w:r>
    </w:p>
    <w:p w14:paraId="7C8A5C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(2002 г.)- С.Е. Зеленский.</w:t>
      </w:r>
    </w:p>
    <w:p w14:paraId="631CB2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(2002 г.)- А.Б. Дискович.</w:t>
      </w:r>
    </w:p>
    <w:p w14:paraId="5EFEFC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771FEA94" w14:textId="77777777" w:rsidR="00665165" w:rsidRPr="00925F26" w:rsidRDefault="00665165"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1E772CF9" w14:textId="77777777" w:rsidR="00665165" w:rsidRPr="00925F26" w:rsidRDefault="00665165" w:rsidP="00925F26">
      <w:pPr>
        <w:autoSpaceDE w:val="0"/>
        <w:autoSpaceDN w:val="0"/>
        <w:adjustRightInd w:val="0"/>
        <w:jc w:val="both"/>
        <w:rPr>
          <w:color w:val="000000" w:themeColor="text1"/>
          <w:sz w:val="16"/>
          <w:szCs w:val="16"/>
        </w:rPr>
      </w:pPr>
    </w:p>
    <w:p w14:paraId="5D05140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Инструментальный завод Главчаспрома был выделен из НИИ часпрома в самостоятельный завод. На завод было возложено 2 основные задачи:</w:t>
      </w:r>
    </w:p>
    <w:p w14:paraId="26DDA2D7"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1. Организовать производство инструментов.</w:t>
      </w:r>
    </w:p>
    <w:p w14:paraId="1FBCCD3A" w14:textId="77777777" w:rsidR="00665165" w:rsidRPr="00925F26" w:rsidRDefault="00665165"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2. Организовать производство станков для часовой промышленности. В июне 1945 года завод с территории 2-го часового завода был переведен на территорию завода № 568 НКБ, который к этому времени прекратил свою деятельность (10447).</w:t>
      </w:r>
    </w:p>
    <w:p w14:paraId="2919E99C" w14:textId="77777777" w:rsidR="00665165" w:rsidRPr="00925F26" w:rsidRDefault="00665165" w:rsidP="00925F26">
      <w:pPr>
        <w:tabs>
          <w:tab w:val="left" w:pos="360"/>
        </w:tabs>
        <w:autoSpaceDE w:val="0"/>
        <w:autoSpaceDN w:val="0"/>
        <w:adjustRightInd w:val="0"/>
        <w:jc w:val="both"/>
        <w:rPr>
          <w:color w:val="000000" w:themeColor="text1"/>
          <w:sz w:val="16"/>
          <w:szCs w:val="16"/>
        </w:rPr>
      </w:pPr>
    </w:p>
    <w:p w14:paraId="6223E0B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Опытный инструментальный завод НИИ-5 (Опытный завод НИИЧаспрома, Инструментальный завод ММиП /г. Москва, 57 п/я 1312 (1948 г.)/), созданный в январе 1945, был выделен в самостоятельный Инструментальный завод Главчаспрома для производства инструмента и станков для часовой промышленности. В 06.1945 г. завод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157074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1947-48 г. завод - в ведении Главчаспрома ММиП.</w:t>
      </w:r>
    </w:p>
    <w:p w14:paraId="16265F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593CF46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оборудования: (1946 г.)- 327 ед., (1947 г.)- 473 ед.</w:t>
      </w:r>
    </w:p>
    <w:p w14:paraId="1278F3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территории (1947 г.)- 7,008 га; застройки (1947 г.)- 14126 м</w:t>
      </w:r>
      <w:r w:rsidRPr="00925F26">
        <w:rPr>
          <w:color w:val="000000" w:themeColor="text1"/>
          <w:sz w:val="16"/>
          <w:szCs w:val="16"/>
          <w:vertAlign w:val="superscript"/>
        </w:rPr>
        <w:t>2</w:t>
      </w:r>
      <w:r w:rsidRPr="00925F26">
        <w:rPr>
          <w:color w:val="000000" w:themeColor="text1"/>
          <w:sz w:val="16"/>
          <w:szCs w:val="16"/>
        </w:rPr>
        <w:t>; производственная (1946 г.)-8200 м</w:t>
      </w:r>
      <w:r w:rsidRPr="00925F26">
        <w:rPr>
          <w:color w:val="000000" w:themeColor="text1"/>
          <w:sz w:val="16"/>
          <w:szCs w:val="16"/>
          <w:vertAlign w:val="superscript"/>
        </w:rPr>
        <w:t>2</w:t>
      </w:r>
      <w:r w:rsidRPr="00925F26">
        <w:rPr>
          <w:color w:val="000000" w:themeColor="text1"/>
          <w:sz w:val="16"/>
          <w:szCs w:val="16"/>
        </w:rPr>
        <w:t>, (1947 г.)- 11065 м</w:t>
      </w:r>
      <w:r w:rsidRPr="00925F26">
        <w:rPr>
          <w:color w:val="000000" w:themeColor="text1"/>
          <w:sz w:val="16"/>
          <w:szCs w:val="16"/>
          <w:vertAlign w:val="superscript"/>
        </w:rPr>
        <w:t>2</w:t>
      </w:r>
      <w:r w:rsidRPr="00925F26">
        <w:rPr>
          <w:color w:val="000000" w:themeColor="text1"/>
          <w:sz w:val="16"/>
          <w:szCs w:val="16"/>
        </w:rPr>
        <w:t>.</w:t>
      </w:r>
    </w:p>
    <w:p w14:paraId="452443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(1946 г.)- 878 чел., (1947 г.)- 843 чел.</w:t>
      </w:r>
    </w:p>
    <w:p w14:paraId="1B494E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Директор (1948 г.)- Смирнов.</w:t>
      </w:r>
    </w:p>
    <w:p w14:paraId="6655BEE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Гл. инженер (1948 г.)- Жардецкий.</w:t>
      </w:r>
    </w:p>
    <w:p w14:paraId="028A3A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0BF60740" w14:textId="77777777" w:rsidR="00665165" w:rsidRPr="00925F26" w:rsidRDefault="00665165" w:rsidP="00925F26">
      <w:pPr>
        <w:autoSpaceDE w:val="0"/>
        <w:autoSpaceDN w:val="0"/>
        <w:adjustRightInd w:val="0"/>
        <w:jc w:val="both"/>
        <w:rPr>
          <w:color w:val="000000" w:themeColor="text1"/>
          <w:sz w:val="16"/>
          <w:szCs w:val="16"/>
        </w:rPr>
      </w:pPr>
    </w:p>
    <w:p w14:paraId="7880E0A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началось строительство крупнейшего в Сибири химического комбината. Он располагался у впадения в Ангару реки Китой. Все оборудование для него было вывезено из Германии. Сначала этот объект именовался «Китайский исправительно-трудовой лагерь» (в переписке он фигурировал как п/я ВМ-16), а с 1951 года получил статус города и имя Ангарск. В 1955 году химический комбинат был пущен. Десять лет — уникальный срок для возведения такого гигантского объекта (Братющенко Ю. Ангарск: город, родившийся в «зоне». — «Секретные материалы», 2000, № 23 (42).). Оценить эффективность такого способа строительства, даже спустя полвека, сложно. Мнения специалистов расходятся. Одни утверждают, что оборудование до места назначения доходило разбитым, его бросали и оно постепенно ржавело и разрушалось. Обычная российская бесхозяйственность. Поэтому и было решение организовать производство непосредственно на территории Восточной Германии, которая контролировалась советскими войсками. Сторонники другой версии утверждают обратное. Вывезенное оборудование быстро монтировали, но из-за отсутствия квалифицированных кадров и невозможности их быстрой подготовки, оно простаивало (11765).</w:t>
      </w:r>
    </w:p>
    <w:p w14:paraId="0337D65C" w14:textId="77777777" w:rsidR="00665165" w:rsidRPr="00925F26" w:rsidRDefault="00665165" w:rsidP="00925F26">
      <w:pPr>
        <w:autoSpaceDE w:val="0"/>
        <w:autoSpaceDN w:val="0"/>
        <w:adjustRightInd w:val="0"/>
        <w:jc w:val="both"/>
        <w:rPr>
          <w:color w:val="000000" w:themeColor="text1"/>
          <w:sz w:val="16"/>
          <w:szCs w:val="16"/>
        </w:rPr>
      </w:pPr>
    </w:p>
    <w:p w14:paraId="10272E5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Постановлением ГКО был создан Горнохимический комбинат № 6 по добыче и переработке урановых руд.</w:t>
      </w:r>
    </w:p>
    <w:p w14:paraId="4A2870F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Это был первый отечественный комбинат, который явился началом создания сырьевой отрасли атомной промышленности.</w:t>
      </w:r>
    </w:p>
    <w:p w14:paraId="0C8232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Комбинат № 6 базировался на нескольких месторождениях урана, находящихся в Средней Азии: Тюямуюнского, Табошарского, Адрасманского, Майли-Суйского, Уйгур-Сайского и осуществлял свою деятельность на территории трех союзных республик – Таджикской, Узбекской и Киргизской.</w:t>
      </w:r>
    </w:p>
    <w:p w14:paraId="79E4E85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Необходимо подчеркнуть, что среднеазиатские руды содержали 0,05 – 0,07% урана, а поставляемая руда из ГДР, Чехословакии и Болгарии – 0,25% (11457).</w:t>
      </w:r>
    </w:p>
    <w:p w14:paraId="5DB194E9" w14:textId="77777777" w:rsidR="00665165" w:rsidRPr="00925F26" w:rsidRDefault="00665165" w:rsidP="00925F26">
      <w:pPr>
        <w:autoSpaceDE w:val="0"/>
        <w:autoSpaceDN w:val="0"/>
        <w:adjustRightInd w:val="0"/>
        <w:jc w:val="both"/>
        <w:rPr>
          <w:color w:val="000000" w:themeColor="text1"/>
          <w:sz w:val="16"/>
          <w:szCs w:val="16"/>
        </w:rPr>
      </w:pPr>
    </w:p>
    <w:p w14:paraId="00AAAA0E" w14:textId="77777777" w:rsidR="0027059D" w:rsidRPr="00925F26" w:rsidRDefault="0027059D" w:rsidP="00925F26">
      <w:pPr>
        <w:pStyle w:val="Default"/>
        <w:jc w:val="both"/>
        <w:rPr>
          <w:color w:val="000000" w:themeColor="text1"/>
          <w:sz w:val="16"/>
          <w:szCs w:val="16"/>
        </w:rPr>
      </w:pPr>
      <w:r w:rsidRPr="00925F26">
        <w:rPr>
          <w:color w:val="000000" w:themeColor="text1"/>
          <w:sz w:val="16"/>
          <w:szCs w:val="16"/>
        </w:rPr>
        <w:t>С мая 1945 в Германии шло собирание инженеров, техников, физиков и химиков в рамках так называемого научно-исследовательского технического бюро (</w:t>
      </w:r>
      <w:r w:rsidRPr="00925F26">
        <w:rPr>
          <w:iCs/>
          <w:color w:val="000000" w:themeColor="text1"/>
          <w:sz w:val="16"/>
          <w:szCs w:val="16"/>
        </w:rPr>
        <w:t>Wissenschaftlich-Technische-Büros - WTB</w:t>
      </w:r>
      <w:r w:rsidRPr="00925F26">
        <w:rPr>
          <w:color w:val="000000" w:themeColor="text1"/>
          <w:sz w:val="16"/>
          <w:szCs w:val="16"/>
        </w:rPr>
        <w:t xml:space="preserve">) Советской администрации. И 16 июля 1945 было образовано советско-германское предприятие: Das </w:t>
      </w:r>
      <w:r w:rsidRPr="00925F26">
        <w:rPr>
          <w:iCs/>
          <w:color w:val="000000" w:themeColor="text1"/>
          <w:sz w:val="16"/>
          <w:szCs w:val="16"/>
        </w:rPr>
        <w:t xml:space="preserve">Labor-Konstruk-tions-Versuchswerk Oberspree - LKVO </w:t>
      </w:r>
      <w:r w:rsidRPr="00925F26">
        <w:rPr>
          <w:color w:val="000000" w:themeColor="text1"/>
          <w:sz w:val="16"/>
          <w:szCs w:val="16"/>
        </w:rPr>
        <w:t>(в Берлине. 1945-48 гг.) подчиняющееся 7 Главному управлению Советской Администрации, а затем 5 ГУ министерства промышленности средств связи. Здесь шли многочисленные ОКР и НИР в интересах военной техники СССР.</w:t>
      </w:r>
    </w:p>
    <w:p w14:paraId="2E4A94C8" w14:textId="77777777" w:rsidR="0027059D" w:rsidRPr="00925F26" w:rsidRDefault="0027059D" w:rsidP="00925F26">
      <w:pPr>
        <w:shd w:val="clear" w:color="auto" w:fill="FFFFFF"/>
        <w:jc w:val="both"/>
        <w:rPr>
          <w:color w:val="000000" w:themeColor="text1"/>
          <w:sz w:val="16"/>
          <w:szCs w:val="16"/>
        </w:rPr>
      </w:pPr>
    </w:p>
    <w:p w14:paraId="7E3A91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для для разработки различных видов и типов морских карт для боевого кораблевождения и общего морепрлавания, технического и методического руководства корректурой карт и руководств для плавания создан Морской картографический институт ВМС (расформирован в 1946 году) (10515).</w:t>
      </w:r>
    </w:p>
    <w:p w14:paraId="27E32C5D" w14:textId="77777777" w:rsidR="00665165" w:rsidRPr="00925F26" w:rsidRDefault="00665165" w:rsidP="00925F26">
      <w:pPr>
        <w:autoSpaceDE w:val="0"/>
        <w:autoSpaceDN w:val="0"/>
        <w:adjustRightInd w:val="0"/>
        <w:jc w:val="both"/>
        <w:rPr>
          <w:color w:val="000000" w:themeColor="text1"/>
          <w:sz w:val="16"/>
          <w:szCs w:val="16"/>
        </w:rPr>
      </w:pPr>
    </w:p>
    <w:p w14:paraId="5129C16D" w14:textId="77777777" w:rsidR="0027059D" w:rsidRPr="00925F26" w:rsidRDefault="0027059D" w:rsidP="00925F26">
      <w:pPr>
        <w:pStyle w:val="book"/>
        <w:ind w:firstLine="0"/>
        <w:jc w:val="both"/>
        <w:rPr>
          <w:color w:val="000000" w:themeColor="text1"/>
          <w:sz w:val="16"/>
          <w:szCs w:val="16"/>
        </w:rPr>
      </w:pPr>
      <w:r w:rsidRPr="00925F26">
        <w:rPr>
          <w:color w:val="000000" w:themeColor="text1"/>
          <w:sz w:val="16"/>
          <w:szCs w:val="16"/>
        </w:rPr>
        <w:t>В мае 1945 г. в порту Калуннборг англичанами был захвачен Паром «Крильон» («Прессен») и до 20 марта 1946 г. ходил на линии Травемюнде — Треллеборк и Любек — Гдыня, перевозя бывших немецких солдат и репатриантов. 21 марта 1946 г. «Прессен» был передан СССР в порту Любек. Ремонт «Крильон» прошел в Одессе, а оттуда в 1947 г. направился во Владивосток. Первоначально он использовался как паром на линии Владивосток — Холмск, а в 1951 г. «Крильон» отправили в город Дальний на завод Совкитсудстрой, где его переделали в комфортабельный пассажирский лайнер по проекту ЦПКБ-7. Его пассажировместимость стала свыше 500 пассажиров: 4 — в каютах класса «Люкс», 58 — 1-го класса, 76 — 2-го, 386 — 3-го. С 1959 г. по 1975 г. лайнер эксплуатировался на линии Корсаков — Владивосток, иногда совершая рейсы в Японию. После исключения из состава флота «Крильон» был передан для разделки на металлолом (15225).</w:t>
      </w:r>
    </w:p>
    <w:p w14:paraId="49EE640A" w14:textId="77777777" w:rsidR="0027059D" w:rsidRPr="00925F26" w:rsidRDefault="0027059D" w:rsidP="00925F26">
      <w:pPr>
        <w:pStyle w:val="book"/>
        <w:ind w:firstLine="0"/>
        <w:jc w:val="both"/>
        <w:rPr>
          <w:color w:val="000000" w:themeColor="text1"/>
          <w:sz w:val="16"/>
          <w:szCs w:val="16"/>
        </w:rPr>
      </w:pPr>
    </w:p>
    <w:p w14:paraId="5980AD9F" w14:textId="77777777" w:rsidR="0027059D" w:rsidRPr="00925F26" w:rsidRDefault="0027059D" w:rsidP="00925F26">
      <w:pPr>
        <w:pStyle w:val="book"/>
        <w:ind w:firstLine="0"/>
        <w:jc w:val="both"/>
        <w:rPr>
          <w:color w:val="000000" w:themeColor="text1"/>
          <w:sz w:val="16"/>
          <w:szCs w:val="16"/>
        </w:rPr>
      </w:pPr>
      <w:r w:rsidRPr="00925F26">
        <w:rPr>
          <w:color w:val="000000" w:themeColor="text1"/>
          <w:sz w:val="16"/>
          <w:szCs w:val="16"/>
        </w:rPr>
        <w:t>В мае 1945 г. союзники захватили в Киле «Ругард» и в 1946 г. передали СССР. Пассажирский пароход был построен в 1927 г. на верфи в Штеттине под названием «Ругард». Его вместимость 1358 брт. Две паровые машины двойного расширения общей мощностью 1900 л. с. давали ход до 15 узлов. В сентябре 1939 г. «Ругард» был введен в состав Кригсмарине и использовался на Балтийском море в качестве штабного корабля, тендера и плавбазы. Судно было переименовано в «Илью Репина» и поставлено на ремонт в Висмаре. В январе 1950 г. отремонтированный и модернизированный пароход передали заказчику. Его тоннаж возрос до 1549 брт, мощность машин снизилась до 1500 л.с, а максимальная скорость хода не превышала 11 узлов. Пассажировместимость после переделки составила: 1 пассажир в каюте «Люкс», 32 пассажира — в каютах 1-го класса, 30 — 2-го и 119 — 3-го. На средней жилой палубе можно было разместить еще 92 человека. В 1946—1950 гг. «Репин» ходил по Балтике, порт приписки — Ленинград, а в 1950—1959 гт. — на Севере, порт приписки — Мурманск (15225).</w:t>
      </w:r>
    </w:p>
    <w:p w14:paraId="38918C5F" w14:textId="77777777" w:rsidR="0027059D" w:rsidRPr="00925F26" w:rsidRDefault="0027059D" w:rsidP="00925F26">
      <w:pPr>
        <w:pStyle w:val="book"/>
        <w:ind w:firstLine="0"/>
        <w:jc w:val="both"/>
        <w:rPr>
          <w:color w:val="000000" w:themeColor="text1"/>
          <w:sz w:val="16"/>
          <w:szCs w:val="16"/>
        </w:rPr>
      </w:pPr>
    </w:p>
    <w:p w14:paraId="42C2E9A9" w14:textId="77777777" w:rsidR="0027059D" w:rsidRPr="00925F26" w:rsidRDefault="0027059D" w:rsidP="00925F26">
      <w:pPr>
        <w:pStyle w:val="book"/>
        <w:ind w:firstLine="0"/>
        <w:jc w:val="both"/>
        <w:rPr>
          <w:color w:val="000000" w:themeColor="text1"/>
          <w:sz w:val="16"/>
          <w:szCs w:val="16"/>
        </w:rPr>
      </w:pPr>
      <w:r w:rsidRPr="00925F26">
        <w:rPr>
          <w:color w:val="000000" w:themeColor="text1"/>
          <w:sz w:val="16"/>
          <w:szCs w:val="16"/>
        </w:rPr>
        <w:t>В мае 1945 г. союзными войсками в Киле была захвачена «Хела».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Официальная передача яхты советскому экипажу произошла 25 декабря 1945 г., а 20 января 1946 г. над пока еще безымянным советским учебным кораблем Балтииского флота капитан 2-го ранга Гинсбург впервые поднял Военно-морской флаг СССР.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4A8AC75E" w14:textId="77777777" w:rsidR="0027059D" w:rsidRPr="00925F26" w:rsidRDefault="0027059D" w:rsidP="00925F26">
      <w:pPr>
        <w:pStyle w:val="book"/>
        <w:ind w:firstLine="0"/>
        <w:jc w:val="both"/>
        <w:rPr>
          <w:color w:val="000000" w:themeColor="text1"/>
          <w:sz w:val="16"/>
          <w:szCs w:val="16"/>
        </w:rPr>
      </w:pPr>
    </w:p>
    <w:p w14:paraId="38B15C39" w14:textId="77777777" w:rsidR="00D628F5" w:rsidRPr="001A0BAA" w:rsidRDefault="00D628F5" w:rsidP="00D628F5">
      <w:pPr>
        <w:jc w:val="both"/>
        <w:rPr>
          <w:rStyle w:val="5e"/>
          <w:rFonts w:ascii="Times New Roman" w:hAnsi="Times New Roman"/>
          <w:color w:val="0070C0"/>
          <w:spacing w:val="0"/>
          <w:sz w:val="16"/>
          <w:szCs w:val="16"/>
        </w:rPr>
      </w:pPr>
      <w:r w:rsidRPr="001A0BAA">
        <w:rPr>
          <w:rStyle w:val="5e"/>
          <w:rFonts w:ascii="Times New Roman" w:hAnsi="Times New Roman"/>
          <w:color w:val="0070C0"/>
          <w:spacing w:val="0"/>
          <w:sz w:val="16"/>
          <w:szCs w:val="16"/>
        </w:rPr>
        <w:t>В мае 1945 г. Р. Алексеева вместе с конструкторами гидролаборатории перевели в цех, на верхнем ярусе которо</w:t>
      </w:r>
      <w:r w:rsidRPr="001A0BAA">
        <w:rPr>
          <w:rStyle w:val="5e"/>
          <w:rFonts w:ascii="Times New Roman" w:hAnsi="Times New Roman"/>
          <w:color w:val="0070C0"/>
          <w:spacing w:val="0"/>
          <w:sz w:val="16"/>
          <w:szCs w:val="16"/>
        </w:rPr>
        <w:softHyphen/>
        <w:t>го разместилось проектное подразделение, а внизу — исследовательский и производственный участки, где создавался катер проекта А-5. Основное на</w:t>
      </w:r>
      <w:r w:rsidRPr="001A0BAA">
        <w:rPr>
          <w:rStyle w:val="5e"/>
          <w:rFonts w:ascii="Times New Roman" w:hAnsi="Times New Roman"/>
          <w:color w:val="0070C0"/>
          <w:spacing w:val="0"/>
          <w:sz w:val="16"/>
          <w:szCs w:val="16"/>
        </w:rPr>
        <w:softHyphen/>
        <w:t>правление исследований лаборатории в то время — отработка конструкций и профилей крыльев для различных условий эксплуатации (25139).</w:t>
      </w:r>
    </w:p>
    <w:p w14:paraId="072BC636" w14:textId="77777777" w:rsidR="00D628F5" w:rsidRPr="001A0BAA" w:rsidRDefault="00D628F5" w:rsidP="00D628F5">
      <w:pPr>
        <w:jc w:val="both"/>
        <w:rPr>
          <w:rStyle w:val="aff0"/>
          <w:rFonts w:ascii="Times New Roman" w:hAnsi="Times New Roman" w:cs="Times New Roman"/>
          <w:color w:val="0070C0"/>
          <w:spacing w:val="0"/>
          <w:sz w:val="16"/>
          <w:szCs w:val="16"/>
        </w:rPr>
      </w:pPr>
    </w:p>
    <w:p w14:paraId="490F4C3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AEBEFD6" w14:textId="77777777" w:rsidR="00665165" w:rsidRPr="00925F26" w:rsidRDefault="00665165" w:rsidP="00925F26">
      <w:pPr>
        <w:autoSpaceDE w:val="0"/>
        <w:autoSpaceDN w:val="0"/>
        <w:adjustRightInd w:val="0"/>
        <w:jc w:val="both"/>
        <w:rPr>
          <w:iCs/>
          <w:color w:val="000000" w:themeColor="text1"/>
          <w:sz w:val="16"/>
          <w:szCs w:val="16"/>
        </w:rPr>
      </w:pPr>
    </w:p>
    <w:p w14:paraId="785CC9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на Ил-10 перешла 6 гшад, в составе которой был 108 гшап. С конца апреля 1945 на Ил-10 воевал 118 гшап (командир В.Верещинский) в Прибалтике. Первыми начали летать на штурмовку без сопровождения и. За день до капитуляции э командира эскадрильи П.Однобокова сбил сразу два Bf-109 - те проскочили вперед и одного подбили пушки, а другого - ведомого - стрелок (1605,3).</w:t>
      </w:r>
    </w:p>
    <w:p w14:paraId="1AA61941" w14:textId="77777777" w:rsidR="00665165" w:rsidRPr="00925F26" w:rsidRDefault="00665165" w:rsidP="00925F26">
      <w:pPr>
        <w:autoSpaceDE w:val="0"/>
        <w:autoSpaceDN w:val="0"/>
        <w:adjustRightInd w:val="0"/>
        <w:jc w:val="both"/>
        <w:rPr>
          <w:color w:val="000000" w:themeColor="text1"/>
          <w:sz w:val="16"/>
          <w:szCs w:val="16"/>
        </w:rPr>
      </w:pPr>
    </w:p>
    <w:p w14:paraId="7123A10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месяце 1945 на Ил-10 завер</w:t>
      </w:r>
      <w:r w:rsidRPr="00925F26">
        <w:rPr>
          <w:color w:val="000000" w:themeColor="text1"/>
          <w:sz w:val="16"/>
          <w:szCs w:val="16"/>
        </w:rPr>
        <w:softHyphen/>
        <w:t>шили подготовку 686-й, 947-й, 806-й и 807-й шап и 15 экипажей из 995-го шап. Но ни один из них в действующую армию не отправ</w:t>
      </w:r>
      <w:r w:rsidRPr="00925F26">
        <w:rPr>
          <w:color w:val="000000" w:themeColor="text1"/>
          <w:sz w:val="16"/>
          <w:szCs w:val="16"/>
        </w:rPr>
        <w:softHyphen/>
        <w:t>лялся. Согласно документов пол</w:t>
      </w:r>
      <w:r w:rsidRPr="00925F26">
        <w:rPr>
          <w:color w:val="000000" w:themeColor="text1"/>
          <w:sz w:val="16"/>
          <w:szCs w:val="16"/>
        </w:rPr>
        <w:softHyphen/>
        <w:t>ки 7-го шак в мае проходили до</w:t>
      </w:r>
      <w:r w:rsidRPr="00925F26">
        <w:rPr>
          <w:color w:val="000000" w:themeColor="text1"/>
          <w:sz w:val="16"/>
          <w:szCs w:val="16"/>
        </w:rPr>
        <w:softHyphen/>
        <w:t>полнительную тренировку для участия в воздушном параде на Красной площади по случаю Побе</w:t>
      </w:r>
      <w:r w:rsidRPr="00925F26">
        <w:rPr>
          <w:color w:val="000000" w:themeColor="text1"/>
          <w:sz w:val="16"/>
          <w:szCs w:val="16"/>
        </w:rPr>
        <w:softHyphen/>
        <w:t>ды над Германией. Таким образом, до 1 мая 1945 г. 1-й запасной штурмовой авиабри</w:t>
      </w:r>
      <w:r w:rsidRPr="00925F26">
        <w:rPr>
          <w:color w:val="000000" w:themeColor="text1"/>
          <w:sz w:val="16"/>
          <w:szCs w:val="16"/>
        </w:rPr>
        <w:softHyphen/>
        <w:t>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1945 г. в составе воздушных армий фронтов насчитывалось 120 ис</w:t>
      </w:r>
      <w:r w:rsidRPr="00925F26">
        <w:rPr>
          <w:color w:val="000000" w:themeColor="text1"/>
          <w:sz w:val="16"/>
          <w:szCs w:val="16"/>
        </w:rPr>
        <w:softHyphen/>
        <w:t>правных и 26 неисправных самоле</w:t>
      </w:r>
      <w:r w:rsidRPr="00925F26">
        <w:rPr>
          <w:color w:val="000000" w:themeColor="text1"/>
          <w:sz w:val="16"/>
          <w:szCs w:val="16"/>
        </w:rPr>
        <w:softHyphen/>
        <w:t>тов Ил-10. Кроме этого, 12 «деся</w:t>
      </w:r>
      <w:r w:rsidRPr="00925F26">
        <w:rPr>
          <w:color w:val="000000" w:themeColor="text1"/>
          <w:sz w:val="16"/>
          <w:szCs w:val="16"/>
        </w:rPr>
        <w:softHyphen/>
        <w:t>ток» имелось в ВВС ВМФ (11132).</w:t>
      </w:r>
    </w:p>
    <w:p w14:paraId="7EE6C3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конца ВОВ на Ил-10 перевооружили 12 шап, в т.ч. 26 и 37 шап ТОФ, которые воевали против Японии (1605,3).</w:t>
      </w:r>
    </w:p>
    <w:p w14:paraId="75E5B8B8" w14:textId="77777777" w:rsidR="00665165" w:rsidRPr="00925F26" w:rsidRDefault="00665165" w:rsidP="00925F26">
      <w:pPr>
        <w:autoSpaceDE w:val="0"/>
        <w:autoSpaceDN w:val="0"/>
        <w:adjustRightInd w:val="0"/>
        <w:jc w:val="both"/>
        <w:rPr>
          <w:color w:val="000000" w:themeColor="text1"/>
          <w:sz w:val="16"/>
          <w:szCs w:val="16"/>
        </w:rPr>
      </w:pPr>
    </w:p>
    <w:p w14:paraId="08EC5ADE" w14:textId="77777777" w:rsidR="0010105A" w:rsidRPr="00925F26" w:rsidRDefault="0010105A" w:rsidP="00925F26">
      <w:pPr>
        <w:jc w:val="both"/>
        <w:rPr>
          <w:color w:val="000000" w:themeColor="text1"/>
          <w:sz w:val="16"/>
          <w:szCs w:val="16"/>
        </w:rPr>
      </w:pPr>
      <w:r w:rsidRPr="00925F26">
        <w:rPr>
          <w:rStyle w:val="107"/>
          <w:rFonts w:eastAsiaTheme="minorHAnsi"/>
          <w:color w:val="000000" w:themeColor="text1"/>
          <w:sz w:val="16"/>
          <w:szCs w:val="16"/>
        </w:rPr>
        <w:t>В мае 1945 на Ил-10 завершили подготовку 686, 947, 806 и 807 шап и 15 экипажей из 995 шап. Но ни один из них в действующую армию не отправлялся. Согласно документам полки 7 шак в мае проходили дополнительную тренировку для участия в воздушном параде по случаю Победы над Германией (17490).</w:t>
      </w:r>
    </w:p>
    <w:p w14:paraId="6E66990A" w14:textId="77777777" w:rsidR="0010105A" w:rsidRPr="00925F26" w:rsidRDefault="0010105A" w:rsidP="00925F26">
      <w:pPr>
        <w:jc w:val="both"/>
        <w:rPr>
          <w:color w:val="000000" w:themeColor="text1"/>
          <w:sz w:val="16"/>
          <w:szCs w:val="16"/>
        </w:rPr>
      </w:pPr>
    </w:p>
    <w:p w14:paraId="7109FCC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1945-го в ВВС на Ил-4 летало 28 полков. В ходе послевоенного сокращения вооруженных сил их стало меньше. Кроме того, из оставшихся полков частично отечественные самолеты были вытеснены американскими В-25. Например, в 1946 г. на них перешел 330-й полк, дислоцированный в Бобруйске. Американский бомбардировщик считался более совершенным, а также более удобным как переходной тип к новым четырехмоторным машинам. Для дальней авиации готовился мощный и совершенный бомбардировщик Ту-4, скопированный с американского В-29. По своему оборудованию и особенностям пилотирования он был куда ближе к В-25, чем Ил-4. Но поставки В-25 и запчастей к ним завершились с окончанием ленд-лиза в сентябре 1945 г. Так что полноценной замены "Илу" пока не было (12021).</w:t>
      </w:r>
    </w:p>
    <w:p w14:paraId="27337114" w14:textId="77777777" w:rsidR="00665165" w:rsidRPr="00925F26" w:rsidRDefault="00665165" w:rsidP="00925F26">
      <w:pPr>
        <w:autoSpaceDE w:val="0"/>
        <w:autoSpaceDN w:val="0"/>
        <w:adjustRightInd w:val="0"/>
        <w:jc w:val="both"/>
        <w:rPr>
          <w:color w:val="000000" w:themeColor="text1"/>
          <w:sz w:val="16"/>
          <w:szCs w:val="16"/>
        </w:rPr>
      </w:pPr>
    </w:p>
    <w:p w14:paraId="7B85D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мае 1945 г. истребители Ла-5 имели на вооружении следующие гвардейские истребительные авиаполки: 3-й, 5-й, 26-й, 32-й, 41-й, 49 -и, 84-й, 88-й, 113-й, 156-й, 163-й, 178-й, 181-й; 3-й, 4-й и 10-й ГИАП КБФ. </w:t>
      </w:r>
      <w:proofErr w:type="gramStart"/>
      <w:r w:rsidRPr="00925F26">
        <w:rPr>
          <w:color w:val="000000" w:themeColor="text1"/>
          <w:sz w:val="16"/>
          <w:szCs w:val="16"/>
        </w:rPr>
        <w:t>Кроме того</w:t>
      </w:r>
      <w:proofErr w:type="gramEnd"/>
      <w:r w:rsidRPr="00925F26">
        <w:rPr>
          <w:color w:val="000000" w:themeColor="text1"/>
          <w:sz w:val="16"/>
          <w:szCs w:val="16"/>
        </w:rPr>
        <w:t xml:space="preserve"> на Ла-5 закончили войну большое количество истребительных авиаполков, не удостоенных гвардейского звания, в том числе: 70-й, 116-й, 122-й, 147-й, 156-й, 159-й, 162-й, 164-й, 171-й, 191-й, 236-й, 239-й, 254-й, 272-й, 287-й, 352-й, 482-й, 486-й, 522-й, 721-й, 760-й, 862-й, 939-й, а также 126-й, 562- и и 907-й ИАП ПВО. Ла-7 находились в мае 1945 г., прежде всего, на вооружении гвардейских полков: 2-го, 9-го, 30-го, 31-го, 40-го, 63-го, 111-го, 171-й, 176-го, 177-го, 179-го (4707).</w:t>
      </w:r>
    </w:p>
    <w:p w14:paraId="59E7F658" w14:textId="77777777" w:rsidR="00665165" w:rsidRPr="00925F26" w:rsidRDefault="00665165" w:rsidP="00925F26">
      <w:pPr>
        <w:autoSpaceDE w:val="0"/>
        <w:autoSpaceDN w:val="0"/>
        <w:adjustRightInd w:val="0"/>
        <w:jc w:val="both"/>
        <w:rPr>
          <w:color w:val="000000" w:themeColor="text1"/>
          <w:sz w:val="16"/>
          <w:szCs w:val="16"/>
        </w:rPr>
      </w:pPr>
    </w:p>
    <w:p w14:paraId="32E268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ВВС и авиация ПВО имели совместно 3078 Р-39. Из них иа долю ПВО приходилось около 700 машин. Многие полки и дивизии советских ВВС воевали на них до конца боевых действий против Германии, хотя с 1944 года их начали постепенно заменять современными отечественными истребителями Як-3, Лк-9У и Ла-7, а с 1945 года - и американскими Р-63. Именно иа "Кобре" Г. Г. Голубев сбил один из последних иа европейском театре воины вражеских самолетов - Дорнье Do 217 в Чехословакии. Флот к моменту капитуляции Германии успел получить 691 истребитель. Из них на Северный флот поступило 324, на Черное море - 176. И там, и там к концу воины "Кобра" стала основным типом истребителя. Иа севере имелось три полнокровных полка (по 40 и более самолетов) Р-39 - 2-й гвардейский, 27-й и 255-й: десяток машин включал 3-й учебный полк. На Черном море - 11-й и 43-й полки. Около полутораста машин находилось еще в перегоночных полках. Всего один Р-39 числился в училище им. Сталина и еще пять - на Высших офицерских курсах. 65-й полк в Москве располагал шестью "Аэрокобрами". На Балтику Р-39 не поступали. Хотя после воины Р-39 постепенно сменялись более современными истребителями Р-63 "Кингкобра", они служили до начала 50-х годов, а в училищах задержались еще на несколько лет. Так, на Северном флоте в мае 1946 года только началось переучивание летчиков 574-го разведывательного полка с Як-9 и Р-40 иа "Аэрокобры". A 18-й полк ПВО (Хабаровск) сменил Як-9У на Р-39 и Р-63 в июне 1950 года (3457,77).</w:t>
      </w:r>
    </w:p>
    <w:p w14:paraId="32CC40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Северном флоте и на Балтике пробовали установить на "Кобры" убирающееся лыжное шасси. Но это новшество не прижилось-Р-39 продолжали круглый год летать на колесах. Для ускорения процесса переучивания летчиков создали учебный самолет со второй кабиной впереди основной, очень похожий на американский ТР-39. </w:t>
      </w:r>
      <w:proofErr w:type="gramStart"/>
      <w:r w:rsidRPr="00925F26">
        <w:rPr>
          <w:color w:val="000000" w:themeColor="text1"/>
          <w:sz w:val="16"/>
          <w:szCs w:val="16"/>
        </w:rPr>
        <w:t>Их</w:t>
      </w:r>
      <w:proofErr w:type="gramEnd"/>
      <w:r w:rsidRPr="00925F26">
        <w:rPr>
          <w:color w:val="000000" w:themeColor="text1"/>
          <w:sz w:val="16"/>
          <w:szCs w:val="16"/>
        </w:rPr>
        <w:t xml:space="preserve"> но чертежам ЦНЭБ ВВС делали в разных частях и соединениях. В.И.Воронов, летавший на такой машине уже после войны в 6-м гвардейском полку, писал: "Свою задачу "гибрид" выполнял, но в передней кабине было очень неуютно: винт вращался сантиметрах в сорока перед глазами. А если, в случае непредвиденного, придется покидать самолет с парашютом, то уж попадешь на винт непременно". За исключением усиления хвостовой части, "Кобры" у нас не подвергались сколько ни будь серьезным существенным конструктивным изменениям. Можно только упомянуть о переделке нескольких десятков Р-39 под моторы М-105П из-за нехватки запасных двигателей "Алиссон". Некоторые мелкие изменения вносились непосредственно в частях. Например, Покрышкину переделали ручку управления, совместив гашетки пушки и пулеметов. В 1-й перегоночной дивизии на одни Р-39 установили советский радиополукомпас РПК-10 и использовали эту машину как лидер при перегонке групп одномоторных самолетов. Радиополукомпас на некоторых "Кобрах” ставились и в США. Такие машины тоже поступали в нашу страну, но, видимо, в очень небольшом количестве, так как их не хватало даже в частях ПВО (3457,77).</w:t>
      </w:r>
    </w:p>
    <w:p w14:paraId="60E03086" w14:textId="77777777" w:rsidR="00665165" w:rsidRPr="00925F26" w:rsidRDefault="00665165" w:rsidP="00925F26">
      <w:pPr>
        <w:autoSpaceDE w:val="0"/>
        <w:autoSpaceDN w:val="0"/>
        <w:adjustRightInd w:val="0"/>
        <w:jc w:val="both"/>
        <w:rPr>
          <w:color w:val="000000" w:themeColor="text1"/>
          <w:sz w:val="16"/>
          <w:szCs w:val="16"/>
        </w:rPr>
      </w:pPr>
    </w:p>
    <w:p w14:paraId="13B27C4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До мая 1945 отдельные И-15бис задержались в составе авиации Северного флота, так как использовались для выполнения вспомогательных задач на самых отдаленных участках большой войны. В 1942 г. в губе Белушья на Новой Земле оборудовали новоземельскую военно-морскую базу, имеющую якорные стоянки для кораблей, опорные пункты, посты наблюдения и связи. Корабельные силы базы на первом этапе состояли из 15 единиц тральщиков и сторожевиков, выделенных из Беломорской флотилии. Противовоздушную оборону базы осуществляла эскадрилья истребителей И-15бис и И-153 54-го сап и самолеты МБР-2.</w:t>
      </w:r>
    </w:p>
    <w:p w14:paraId="415612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течение 1942-44 гг. И-15бис из состава 54-го сап постоянно вели воздушную разведку в районе новоземельской базы. Так, 23 июля 1944 г. истребитель И-15бис на подходе к губе Белушья обнаружил вражескую лодку и сбросил на нее 2 ФАБ-50. Понятно, что уничтожить лодку обычными фугасными авиабомбами было невозможно, однако признавалось, что даже отпугивающий характер действий при недостатке средств играет положительную роль. Базируясь на Новой Земле, несколько И-15бис и И-153 несли свою службу до окончания боевых действий. Последний И-15бис№5387 из состава 54-го сап списали 1 октября 1945 г. В этот же день списали и последнюю на севере "чайку" - И-153 №8148 (12014).</w:t>
      </w:r>
    </w:p>
    <w:p w14:paraId="1E162AE5" w14:textId="77777777" w:rsidR="00665165" w:rsidRPr="00925F26" w:rsidRDefault="00665165" w:rsidP="00925F26">
      <w:pPr>
        <w:autoSpaceDE w:val="0"/>
        <w:autoSpaceDN w:val="0"/>
        <w:adjustRightInd w:val="0"/>
        <w:jc w:val="both"/>
        <w:rPr>
          <w:color w:val="000000" w:themeColor="text1"/>
          <w:sz w:val="16"/>
          <w:szCs w:val="16"/>
        </w:rPr>
      </w:pPr>
    </w:p>
    <w:p w14:paraId="31037364"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В мае 1945 г. на Ил-10 перевооружилась 6-я гвардейская шад, в состав которой входил 108-й полк (25091).</w:t>
      </w:r>
    </w:p>
    <w:p w14:paraId="6C6E9C91" w14:textId="77777777" w:rsidR="004842B7" w:rsidRPr="001A0BAA" w:rsidRDefault="004842B7" w:rsidP="004842B7">
      <w:pPr>
        <w:jc w:val="both"/>
        <w:rPr>
          <w:color w:val="0070C0"/>
          <w:sz w:val="16"/>
          <w:szCs w:val="16"/>
        </w:rPr>
      </w:pPr>
    </w:p>
    <w:p w14:paraId="6A794D53" w14:textId="77777777" w:rsidR="004842B7" w:rsidRPr="001A0BAA" w:rsidRDefault="004842B7" w:rsidP="004842B7">
      <w:pPr>
        <w:jc w:val="both"/>
        <w:rPr>
          <w:color w:val="0070C0"/>
          <w:sz w:val="16"/>
          <w:szCs w:val="16"/>
        </w:rPr>
      </w:pPr>
      <w:r w:rsidRPr="001A0BAA">
        <w:rPr>
          <w:color w:val="0070C0"/>
          <w:sz w:val="16"/>
          <w:szCs w:val="16"/>
        </w:rPr>
        <w:t>В мае 1945 г., согласно приказу наркома ВМФ, лётно-техническому составу устанав</w:t>
      </w:r>
      <w:r w:rsidRPr="001A0BAA">
        <w:rPr>
          <w:color w:val="0070C0"/>
          <w:sz w:val="16"/>
          <w:szCs w:val="16"/>
        </w:rPr>
        <w:softHyphen/>
        <w:t>ливалось дополнительное вознаграждение за полёты с катапульты. Так, лётчику за первый (контрольный) полёт на серийном самолёте, полученном на корабль с завода или после капитального ремонта, полагалось 500 рублей. Первый старт пилота с катапульты оценивался в 150 рублей, а все последующие – по 75 рублей. Вознаграждение штурмана составляло 75% от возна</w:t>
      </w:r>
      <w:r w:rsidRPr="001A0BAA">
        <w:rPr>
          <w:color w:val="0070C0"/>
          <w:sz w:val="16"/>
          <w:szCs w:val="16"/>
        </w:rPr>
        <w:softHyphen/>
        <w:t>граждения лётчика, а техников – по 50% (25658).</w:t>
      </w:r>
    </w:p>
    <w:p w14:paraId="4A9863A9" w14:textId="77777777" w:rsidR="004842B7" w:rsidRPr="001A0BAA" w:rsidRDefault="004842B7" w:rsidP="004842B7">
      <w:pPr>
        <w:jc w:val="both"/>
        <w:rPr>
          <w:color w:val="0070C0"/>
          <w:sz w:val="16"/>
          <w:szCs w:val="16"/>
        </w:rPr>
      </w:pPr>
    </w:p>
    <w:p w14:paraId="10D84190" w14:textId="77777777" w:rsidR="000851D8" w:rsidRPr="00925F26" w:rsidRDefault="000851D8" w:rsidP="00925F26">
      <w:pPr>
        <w:jc w:val="both"/>
        <w:rPr>
          <w:color w:val="000000" w:themeColor="text1"/>
          <w:sz w:val="16"/>
          <w:szCs w:val="16"/>
        </w:rPr>
      </w:pPr>
      <w:r w:rsidRPr="00925F26">
        <w:rPr>
          <w:color w:val="000000" w:themeColor="text1"/>
          <w:sz w:val="16"/>
          <w:szCs w:val="16"/>
        </w:rPr>
        <w:t>В мае 1945 г. ВВС и авиация ПВО имели совместно 3078 Р-39. Из них на долю ПВО приходилось около 700 машин.</w:t>
      </w:r>
    </w:p>
    <w:p w14:paraId="5357E2FD" w14:textId="77777777" w:rsidR="000851D8" w:rsidRPr="00925F26" w:rsidRDefault="000851D8" w:rsidP="00925F26">
      <w:pPr>
        <w:jc w:val="both"/>
        <w:rPr>
          <w:color w:val="000000" w:themeColor="text1"/>
          <w:sz w:val="16"/>
          <w:szCs w:val="16"/>
        </w:rPr>
      </w:pPr>
      <w:r w:rsidRPr="00925F26">
        <w:rPr>
          <w:color w:val="000000" w:themeColor="text1"/>
          <w:sz w:val="16"/>
          <w:szCs w:val="16"/>
        </w:rPr>
        <w:t>Две трети из этих трех тысяч истре</w:t>
      </w:r>
      <w:r w:rsidRPr="00925F26">
        <w:rPr>
          <w:color w:val="000000" w:themeColor="text1"/>
          <w:sz w:val="16"/>
          <w:szCs w:val="16"/>
        </w:rPr>
        <w:softHyphen/>
        <w:t>бителей относились к модификации Q, являвшейся основной. На фронте их доля была еще большей, превышая 90%. Старые P-39D сохранялись только в ты</w:t>
      </w:r>
      <w:r w:rsidRPr="00925F26">
        <w:rPr>
          <w:color w:val="000000" w:themeColor="text1"/>
          <w:sz w:val="16"/>
          <w:szCs w:val="16"/>
        </w:rPr>
        <w:softHyphen/>
        <w:t>ловых округах и в ПВО. Их в общей слож</w:t>
      </w:r>
      <w:r w:rsidRPr="00925F26">
        <w:rPr>
          <w:color w:val="000000" w:themeColor="text1"/>
          <w:sz w:val="16"/>
          <w:szCs w:val="16"/>
        </w:rPr>
        <w:softHyphen/>
        <w:t>ности к концу войны оставалось всего 34 штуки.</w:t>
      </w:r>
    </w:p>
    <w:p w14:paraId="6DABEE28" w14:textId="77777777" w:rsidR="000851D8" w:rsidRPr="00925F26" w:rsidRDefault="000851D8" w:rsidP="00925F26">
      <w:pPr>
        <w:jc w:val="both"/>
        <w:rPr>
          <w:color w:val="000000" w:themeColor="text1"/>
          <w:sz w:val="16"/>
          <w:szCs w:val="16"/>
        </w:rPr>
      </w:pPr>
      <w:r w:rsidRPr="00925F26">
        <w:rPr>
          <w:color w:val="000000" w:themeColor="text1"/>
          <w:sz w:val="16"/>
          <w:szCs w:val="16"/>
        </w:rPr>
        <w:t>Флот к моменту капитуляции Германии успел получить 691 истребитель. Из них на Северный флот поступило 324, на Черное море — 176. И там, и там к концу войны «Кобра» стала основным типом истреби</w:t>
      </w:r>
      <w:r w:rsidRPr="00925F26">
        <w:rPr>
          <w:color w:val="000000" w:themeColor="text1"/>
          <w:sz w:val="16"/>
          <w:szCs w:val="16"/>
        </w:rPr>
        <w:softHyphen/>
        <w:t>теля. На севере имелись три полнокровных полка (по 40 и более самолетов) Р-39 — 2-й гвардейский, 27-й и 255-й; десяток машин включал 3-й учебный полк. На Черном море — 11-й и 43-й полки (23513).</w:t>
      </w:r>
    </w:p>
    <w:p w14:paraId="77DC6419" w14:textId="77777777" w:rsidR="000851D8" w:rsidRPr="00925F26" w:rsidRDefault="000851D8" w:rsidP="00925F26">
      <w:pPr>
        <w:jc w:val="both"/>
        <w:rPr>
          <w:color w:val="000000" w:themeColor="text1"/>
          <w:sz w:val="16"/>
          <w:szCs w:val="16"/>
        </w:rPr>
      </w:pPr>
    </w:p>
    <w:p w14:paraId="5CF8FEC1" w14:textId="77777777" w:rsidR="000851D8" w:rsidRPr="00925F26" w:rsidRDefault="000851D8" w:rsidP="00925F26">
      <w:pPr>
        <w:jc w:val="both"/>
        <w:rPr>
          <w:color w:val="000000" w:themeColor="text1"/>
          <w:sz w:val="16"/>
          <w:szCs w:val="16"/>
        </w:rPr>
      </w:pPr>
      <w:r w:rsidRPr="00925F26">
        <w:rPr>
          <w:color w:val="000000" w:themeColor="text1"/>
          <w:sz w:val="16"/>
          <w:szCs w:val="16"/>
        </w:rPr>
        <w:t>В мае 1945 г. вышел приказ Наркома ВМФ об установлении дополнительного вознаграждения летно-техническому составу за старты с катапульты. Так, летчику за первый (контрольный) полет на серийном самолете, полученном на корабль с завода или после капитального ремонта, полагалось 500 рублей. За первый самостоятельный полет на гидросамолете — 150 рублей за первый вылет и по 75 рублей за последующие. Штурману полагалось вознаграждение в размере 75 % от вознаграждения летчика, а техникам — по 50 % (23541).</w:t>
      </w:r>
    </w:p>
    <w:p w14:paraId="57520CB3" w14:textId="77777777" w:rsidR="000851D8" w:rsidRPr="00925F26" w:rsidRDefault="000851D8" w:rsidP="00925F26">
      <w:pPr>
        <w:jc w:val="both"/>
        <w:rPr>
          <w:color w:val="000000" w:themeColor="text1"/>
          <w:sz w:val="16"/>
          <w:szCs w:val="16"/>
        </w:rPr>
      </w:pPr>
    </w:p>
    <w:p w14:paraId="53785CB2" w14:textId="77777777" w:rsidR="00823A00" w:rsidRPr="00925F26" w:rsidRDefault="00823A00" w:rsidP="00925F26">
      <w:pPr>
        <w:jc w:val="both"/>
        <w:rPr>
          <w:color w:val="000000" w:themeColor="text1"/>
          <w:sz w:val="16"/>
          <w:szCs w:val="16"/>
        </w:rPr>
      </w:pPr>
      <w:r w:rsidRPr="00925F26">
        <w:rPr>
          <w:color w:val="000000" w:themeColor="text1"/>
          <w:sz w:val="16"/>
          <w:szCs w:val="16"/>
        </w:rPr>
        <w:t>В мае 1945 г. на момент окончания боевых действий против Германии неболь</w:t>
      </w:r>
      <w:r w:rsidRPr="00925F26">
        <w:rPr>
          <w:color w:val="000000" w:themeColor="text1"/>
          <w:sz w:val="16"/>
          <w:szCs w:val="16"/>
        </w:rPr>
        <w:softHyphen/>
        <w:t>шое количество старых бипланов ещё имелось на Дальнем Востоке (12294).</w:t>
      </w:r>
    </w:p>
    <w:p w14:paraId="4B88F9C5" w14:textId="77777777" w:rsidR="00823A00" w:rsidRPr="00925F26" w:rsidRDefault="00823A00" w:rsidP="00925F26">
      <w:pPr>
        <w:pStyle w:val="80"/>
        <w:shd w:val="clear" w:color="auto" w:fill="auto"/>
        <w:spacing w:line="240" w:lineRule="auto"/>
        <w:jc w:val="both"/>
        <w:rPr>
          <w:rFonts w:ascii="Times New Roman" w:hAnsi="Times New Roman" w:cs="Times New Roman"/>
          <w:color w:val="000000" w:themeColor="text1"/>
        </w:rPr>
      </w:pPr>
    </w:p>
    <w:p w14:paraId="60E2E3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на Дальнем Востоке в составе Амурской военой флотилии Р-5 использовались для охраны границы имелось некоторое количество Р-5. Еще в течении нескольких лет отдельные экземпляры применялись в Монголии.</w:t>
      </w:r>
    </w:p>
    <w:p w14:paraId="7B51508D" w14:textId="77777777" w:rsidR="00665165" w:rsidRPr="00925F26" w:rsidRDefault="00665165" w:rsidP="00925F26">
      <w:pPr>
        <w:autoSpaceDE w:val="0"/>
        <w:autoSpaceDN w:val="0"/>
        <w:adjustRightInd w:val="0"/>
        <w:jc w:val="both"/>
        <w:rPr>
          <w:color w:val="000000" w:themeColor="text1"/>
          <w:sz w:val="16"/>
          <w:szCs w:val="16"/>
        </w:rPr>
      </w:pPr>
    </w:p>
    <w:p w14:paraId="798C23C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мае 1945 г. в строевых частях числились 843 "Спит-файра". Большинство укомплектованных ан</w:t>
      </w:r>
      <w:r w:rsidRPr="00925F26">
        <w:rPr>
          <w:color w:val="000000" w:themeColor="text1"/>
          <w:sz w:val="16"/>
          <w:szCs w:val="16"/>
        </w:rPr>
        <w:softHyphen/>
        <w:t>глийскими истребителями полков нахо</w:t>
      </w:r>
      <w:r w:rsidRPr="00925F26">
        <w:rPr>
          <w:color w:val="000000" w:themeColor="text1"/>
          <w:sz w:val="16"/>
          <w:szCs w:val="16"/>
        </w:rPr>
        <w:softHyphen/>
        <w:t>дились достаточно далеко от фронта. Исключение составлял район Ленинг</w:t>
      </w:r>
      <w:r w:rsidRPr="00925F26">
        <w:rPr>
          <w:color w:val="000000" w:themeColor="text1"/>
          <w:sz w:val="16"/>
          <w:szCs w:val="16"/>
        </w:rPr>
        <w:softHyphen/>
        <w:t>рада, куда еще наведывались немец</w:t>
      </w:r>
      <w:r w:rsidRPr="00925F26">
        <w:rPr>
          <w:color w:val="000000" w:themeColor="text1"/>
          <w:sz w:val="16"/>
          <w:szCs w:val="16"/>
        </w:rPr>
        <w:softHyphen/>
        <w:t>кие воздушные разведчики. Там имели место боевые столкновения "Спитфайров" 1_Р IX с противником. 20 октября 1944 г. майор А. Карпов из 27-го гв. иап вылетел на перехват. Но, подни</w:t>
      </w:r>
      <w:r w:rsidRPr="00925F26">
        <w:rPr>
          <w:color w:val="000000" w:themeColor="text1"/>
          <w:sz w:val="16"/>
          <w:szCs w:val="16"/>
        </w:rPr>
        <w:softHyphen/>
        <w:t>маясь на высоту, из-за отказа кисло</w:t>
      </w:r>
      <w:r w:rsidRPr="00925F26">
        <w:rPr>
          <w:color w:val="000000" w:themeColor="text1"/>
          <w:sz w:val="16"/>
          <w:szCs w:val="16"/>
        </w:rPr>
        <w:softHyphen/>
        <w:t>родной системы летчик потерял созна</w:t>
      </w:r>
      <w:r w:rsidRPr="00925F26">
        <w:rPr>
          <w:color w:val="000000" w:themeColor="text1"/>
          <w:sz w:val="16"/>
          <w:szCs w:val="16"/>
        </w:rPr>
        <w:softHyphen/>
        <w:t>ние и разбился. 8 марта 1945 г. под Ленинградом летчики В. Рыбин и А. Федотов (из 11-го и 102-го гв. иап) на 1_Р IX перехвати</w:t>
      </w:r>
      <w:r w:rsidRPr="00925F26">
        <w:rPr>
          <w:color w:val="000000" w:themeColor="text1"/>
          <w:sz w:val="16"/>
          <w:szCs w:val="16"/>
        </w:rPr>
        <w:softHyphen/>
        <w:t>ли и сбили шедший на большой высо</w:t>
      </w:r>
      <w:r w:rsidRPr="00925F26">
        <w:rPr>
          <w:color w:val="000000" w:themeColor="text1"/>
          <w:sz w:val="16"/>
          <w:szCs w:val="16"/>
        </w:rPr>
        <w:softHyphen/>
        <w:t>те немецкий разведчик Ю 88S.</w:t>
      </w:r>
    </w:p>
    <w:p w14:paraId="1045CBE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95AC2B4" w14:textId="77777777" w:rsidR="00A65CB5" w:rsidRPr="00925F26" w:rsidRDefault="00A65CB5" w:rsidP="00925F26">
      <w:pPr>
        <w:jc w:val="both"/>
        <w:rPr>
          <w:color w:val="000000" w:themeColor="text1"/>
          <w:sz w:val="16"/>
          <w:szCs w:val="16"/>
        </w:rPr>
      </w:pPr>
      <w:r w:rsidRPr="00925F26">
        <w:rPr>
          <w:color w:val="000000" w:themeColor="text1"/>
          <w:sz w:val="16"/>
          <w:szCs w:val="16"/>
          <w:lang w:bidi="ru-RU"/>
        </w:rPr>
        <w:lastRenderedPageBreak/>
        <w:t>В мае 1945 г. на основе ряда частей Войска Польского был сформирован Корпус внутренней безопасности (КВБ) при Министерстве внутренних дел страны. Само ВП выделило поначалу для борьбы с «партизанткой народовей» (национальным парти</w:t>
      </w:r>
      <w:r w:rsidRPr="00925F26">
        <w:rPr>
          <w:color w:val="000000" w:themeColor="text1"/>
          <w:sz w:val="16"/>
          <w:szCs w:val="16"/>
          <w:lang w:bidi="ru-RU"/>
        </w:rPr>
        <w:softHyphen/>
        <w:t>занским движением) три пехотные дивизии и ряд других частей. Со временем их число росло.</w:t>
      </w:r>
    </w:p>
    <w:p w14:paraId="29EC71A5" w14:textId="77777777" w:rsidR="00A65CB5" w:rsidRPr="00925F26" w:rsidRDefault="00A65CB5" w:rsidP="00925F26">
      <w:pPr>
        <w:jc w:val="both"/>
        <w:rPr>
          <w:color w:val="000000" w:themeColor="text1"/>
          <w:sz w:val="16"/>
          <w:szCs w:val="16"/>
          <w:lang w:bidi="ru-RU"/>
        </w:rPr>
      </w:pPr>
      <w:r w:rsidRPr="00925F26">
        <w:rPr>
          <w:color w:val="000000" w:themeColor="text1"/>
          <w:sz w:val="16"/>
          <w:szCs w:val="16"/>
          <w:lang w:bidi="ru-RU"/>
        </w:rPr>
        <w:t>Привлечена была и авиация: 2-й отдельный авиаполк ВВС, 9-я отдельная эскадрилья связи КВБ (с весны 1946 г.), отдель</w:t>
      </w:r>
      <w:r w:rsidRPr="00925F26">
        <w:rPr>
          <w:color w:val="000000" w:themeColor="text1"/>
          <w:sz w:val="16"/>
          <w:szCs w:val="16"/>
          <w:lang w:bidi="ru-RU"/>
        </w:rPr>
        <w:softHyphen/>
        <w:t>ные звенья связи при штабах военных округов (с августа 1946 г.; каждое насчитывало по три самолета и восемь человек лет</w:t>
      </w:r>
      <w:r w:rsidRPr="00925F26">
        <w:rPr>
          <w:color w:val="000000" w:themeColor="text1"/>
          <w:sz w:val="16"/>
          <w:szCs w:val="16"/>
          <w:lang w:bidi="ru-RU"/>
        </w:rPr>
        <w:softHyphen/>
        <w:t>ного и технического состава), а также, частично, - Офицер</w:t>
      </w:r>
      <w:r w:rsidRPr="00925F26">
        <w:rPr>
          <w:color w:val="000000" w:themeColor="text1"/>
          <w:sz w:val="16"/>
          <w:szCs w:val="16"/>
          <w:lang w:bidi="ru-RU"/>
        </w:rPr>
        <w:softHyphen/>
        <w:t>ская авиашкола в Демблине. Все они летали на По-2. Эти ча</w:t>
      </w:r>
      <w:r w:rsidRPr="00925F26">
        <w:rPr>
          <w:color w:val="000000" w:themeColor="text1"/>
          <w:sz w:val="16"/>
          <w:szCs w:val="16"/>
          <w:lang w:bidi="ru-RU"/>
        </w:rPr>
        <w:softHyphen/>
        <w:t>сти и подразделения должны были выполнять ряд задач в ин</w:t>
      </w:r>
      <w:r w:rsidRPr="00925F26">
        <w:rPr>
          <w:color w:val="000000" w:themeColor="text1"/>
          <w:sz w:val="16"/>
          <w:szCs w:val="16"/>
          <w:lang w:bidi="ru-RU"/>
        </w:rPr>
        <w:softHyphen/>
        <w:t>тересах наземных частей: вести разведку, осуществлять связь между штабами, выполнять задачи агитационно-про</w:t>
      </w:r>
      <w:r w:rsidRPr="00925F26">
        <w:rPr>
          <w:color w:val="000000" w:themeColor="text1"/>
          <w:sz w:val="16"/>
          <w:szCs w:val="16"/>
          <w:lang w:bidi="ru-RU"/>
        </w:rPr>
        <w:softHyphen/>
        <w:t>пагандистского характера. О применении оружия речь не шла. При этом авиация направлялась в районы, где существова</w:t>
      </w:r>
      <w:r w:rsidRPr="00925F26">
        <w:rPr>
          <w:color w:val="000000" w:themeColor="text1"/>
          <w:sz w:val="16"/>
          <w:szCs w:val="16"/>
          <w:lang w:bidi="ru-RU"/>
        </w:rPr>
        <w:softHyphen/>
        <w:t>ла наибольшая угроза со стороны вооруженного подполья (20274).</w:t>
      </w:r>
    </w:p>
    <w:p w14:paraId="6ED0A353" w14:textId="77777777" w:rsidR="00A65CB5" w:rsidRPr="00925F26" w:rsidRDefault="00A65CB5" w:rsidP="00925F26">
      <w:pPr>
        <w:jc w:val="both"/>
        <w:rPr>
          <w:color w:val="000000" w:themeColor="text1"/>
          <w:sz w:val="16"/>
          <w:szCs w:val="16"/>
        </w:rPr>
      </w:pPr>
    </w:p>
    <w:p w14:paraId="60AB6C4D" w14:textId="77777777" w:rsidR="004F22D7" w:rsidRPr="00925F26" w:rsidRDefault="004F22D7"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B669F97" w14:textId="77777777" w:rsidR="004F22D7" w:rsidRPr="00925F26" w:rsidRDefault="004F22D7" w:rsidP="00925F26">
      <w:pPr>
        <w:autoSpaceDE w:val="0"/>
        <w:autoSpaceDN w:val="0"/>
        <w:adjustRightInd w:val="0"/>
        <w:jc w:val="both"/>
        <w:rPr>
          <w:iCs/>
          <w:color w:val="000000" w:themeColor="text1"/>
          <w:sz w:val="16"/>
          <w:szCs w:val="16"/>
        </w:rPr>
      </w:pPr>
    </w:p>
    <w:p w14:paraId="1B0520A0" w14:textId="77777777" w:rsidR="004F22D7" w:rsidRPr="00925F26" w:rsidRDefault="004F22D7" w:rsidP="00925F26">
      <w:pPr>
        <w:jc w:val="both"/>
        <w:rPr>
          <w:color w:val="000000" w:themeColor="text1"/>
          <w:sz w:val="16"/>
          <w:szCs w:val="16"/>
        </w:rPr>
      </w:pPr>
      <w:r w:rsidRPr="00925F26">
        <w:rPr>
          <w:color w:val="000000" w:themeColor="text1"/>
          <w:sz w:val="16"/>
          <w:szCs w:val="16"/>
          <w:shd w:val="clear" w:color="auto" w:fill="FFFFFF"/>
        </w:rPr>
        <w:t xml:space="preserve">В мае 1945 к концу войны в стране имелось 7,6 тысячи ОРСов, обслуживавших почти половину всех лиц, находившихся на централизованном снабжении. В послевоенные годы, по мере развития сети магазинов системы Министерства торговли, ОРСы сосредоточили свои усилия главным образом на обслуживании трудящихся, занятых в отраслях со специфическими условиями организации производства </w:t>
      </w:r>
      <w:r w:rsidRPr="00925F26">
        <w:rPr>
          <w:color w:val="000000" w:themeColor="text1"/>
          <w:sz w:val="16"/>
          <w:szCs w:val="16"/>
        </w:rPr>
        <w:t>(19551).</w:t>
      </w:r>
    </w:p>
    <w:p w14:paraId="2EC15984" w14:textId="77777777" w:rsidR="004F22D7" w:rsidRPr="00925F26" w:rsidRDefault="004F22D7" w:rsidP="00925F26">
      <w:pPr>
        <w:jc w:val="both"/>
        <w:rPr>
          <w:color w:val="000000" w:themeColor="text1"/>
          <w:sz w:val="16"/>
          <w:szCs w:val="16"/>
        </w:rPr>
      </w:pPr>
    </w:p>
    <w:p w14:paraId="4A93EA0E"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786F168" w14:textId="77777777" w:rsidR="00665165" w:rsidRPr="00925F26" w:rsidRDefault="00665165" w:rsidP="00925F26">
      <w:pPr>
        <w:autoSpaceDE w:val="0"/>
        <w:autoSpaceDN w:val="0"/>
        <w:adjustRightInd w:val="0"/>
        <w:jc w:val="both"/>
        <w:rPr>
          <w:iCs/>
          <w:color w:val="000000" w:themeColor="text1"/>
          <w:sz w:val="16"/>
          <w:szCs w:val="16"/>
        </w:rPr>
      </w:pPr>
    </w:p>
    <w:p w14:paraId="7EE7DFD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было принято решение о начале массового демонтажа и вывоза оборудования из Германии. При этом решили начать с Берлина. Всего с марта 1945-го по март 1946 года ГКО и другими высшими органами Советского Союза было принято 986 различных постановлений, относящихся к демонтажу 4389 предприятий, в том числе 2885 из Германии, 1137 немецких предприятий из Польши, 206 из Австрии, 11 из Венгрии, 54 немецких предприятий из Чехословакии и 96 из Китая (Маньчжурия) (Семиряга М. И. Как мы управляли Германией. — М., 1995, с. 122.). Кроме оборудования вывозились и наиболее интересные образцы техники. Например, в 1945 году в СССР было отправлено 89 образцов наиболее интересных сельскохозяйственных машин общей стоимостью 64 тысячи марок. А с августа 1945 по 10 января 1947 года репатриационные органы приобрели 1333 образца сельскохозяйственных машин и оборудования общей стоимостью 194 тысячи марок (Семиряга М. И. Как мы управляли Германией. — М., 1995, с. 127.) (11765).</w:t>
      </w:r>
    </w:p>
    <w:p w14:paraId="20836319" w14:textId="77777777" w:rsidR="00665165" w:rsidRPr="00925F26" w:rsidRDefault="00665165" w:rsidP="00925F26">
      <w:pPr>
        <w:autoSpaceDE w:val="0"/>
        <w:autoSpaceDN w:val="0"/>
        <w:adjustRightInd w:val="0"/>
        <w:jc w:val="both"/>
        <w:rPr>
          <w:color w:val="000000" w:themeColor="text1"/>
          <w:sz w:val="16"/>
          <w:szCs w:val="16"/>
        </w:rPr>
      </w:pPr>
    </w:p>
    <w:p w14:paraId="6B7D72D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6ABD496" w14:textId="77777777" w:rsidR="00665165" w:rsidRPr="00925F26" w:rsidRDefault="00665165" w:rsidP="00925F26">
      <w:pPr>
        <w:autoSpaceDE w:val="0"/>
        <w:autoSpaceDN w:val="0"/>
        <w:adjustRightInd w:val="0"/>
        <w:jc w:val="both"/>
        <w:rPr>
          <w:iCs/>
          <w:color w:val="000000" w:themeColor="text1"/>
          <w:sz w:val="16"/>
          <w:szCs w:val="16"/>
        </w:rPr>
      </w:pPr>
    </w:p>
    <w:p w14:paraId="749F3FC3" w14:textId="77777777" w:rsidR="00A65CB5" w:rsidRPr="00925F26" w:rsidRDefault="00A65CB5" w:rsidP="00925F26">
      <w:pPr>
        <w:pStyle w:val="1131"/>
        <w:shd w:val="clear" w:color="auto" w:fill="auto"/>
        <w:spacing w:line="240" w:lineRule="auto"/>
        <w:ind w:firstLine="0"/>
        <w:rPr>
          <w:rFonts w:ascii="Times New Roman" w:hAnsi="Times New Roman" w:cs="Times New Roman"/>
          <w:color w:val="000000" w:themeColor="text1"/>
          <w:sz w:val="16"/>
          <w:szCs w:val="16"/>
          <w:lang w:val="ru-RU"/>
        </w:rPr>
      </w:pPr>
      <w:r w:rsidRPr="00925F26">
        <w:rPr>
          <w:rFonts w:ascii="Times New Roman" w:hAnsi="Times New Roman" w:cs="Times New Roman"/>
          <w:color w:val="000000" w:themeColor="text1"/>
          <w:sz w:val="16"/>
          <w:szCs w:val="16"/>
          <w:lang w:val="ru-RU"/>
        </w:rPr>
        <w:t>В</w:t>
      </w:r>
      <w:r w:rsidRPr="00925F26">
        <w:rPr>
          <w:rFonts w:ascii="Times New Roman" w:hAnsi="Times New Roman" w:cs="Times New Roman"/>
          <w:color w:val="000000" w:themeColor="text1"/>
          <w:sz w:val="16"/>
          <w:szCs w:val="16"/>
        </w:rPr>
        <w:t xml:space="preserve"> мае </w:t>
      </w:r>
      <w:r w:rsidRPr="00925F26">
        <w:rPr>
          <w:rFonts w:ascii="Times New Roman" w:hAnsi="Times New Roman" w:cs="Times New Roman"/>
          <w:color w:val="000000" w:themeColor="text1"/>
          <w:sz w:val="16"/>
          <w:szCs w:val="16"/>
          <w:lang w:val="ru-RU"/>
        </w:rPr>
        <w:t xml:space="preserve">1945 </w:t>
      </w:r>
      <w:r w:rsidRPr="00925F26">
        <w:rPr>
          <w:rFonts w:ascii="Times New Roman" w:hAnsi="Times New Roman" w:cs="Times New Roman"/>
          <w:color w:val="000000" w:themeColor="text1"/>
          <w:sz w:val="16"/>
          <w:szCs w:val="16"/>
        </w:rPr>
        <w:t xml:space="preserve">контракты </w:t>
      </w:r>
      <w:r w:rsidRPr="00925F26">
        <w:rPr>
          <w:rFonts w:ascii="Times New Roman" w:hAnsi="Times New Roman" w:cs="Times New Roman"/>
          <w:color w:val="000000" w:themeColor="text1"/>
          <w:sz w:val="16"/>
          <w:szCs w:val="16"/>
          <w:lang w:val="ru-RU"/>
        </w:rPr>
        <w:t xml:space="preserve">на В-24 </w:t>
      </w:r>
      <w:r w:rsidRPr="00925F26">
        <w:rPr>
          <w:rFonts w:ascii="Times New Roman" w:hAnsi="Times New Roman" w:cs="Times New Roman"/>
          <w:color w:val="000000" w:themeColor="text1"/>
          <w:sz w:val="16"/>
          <w:szCs w:val="16"/>
        </w:rPr>
        <w:t>аннулировали. «Консолидейтед» успел сдать 916 B-24М-CO, а «Форд» — 1677 B-24M-FO. Законченные после 31 мая В-24М прямо с завода уходили на авиабазу Кингмен на разделку</w:t>
      </w:r>
      <w:r w:rsidRPr="00925F26">
        <w:rPr>
          <w:rFonts w:ascii="Times New Roman" w:hAnsi="Times New Roman" w:cs="Times New Roman"/>
          <w:color w:val="000000" w:themeColor="text1"/>
          <w:sz w:val="16"/>
          <w:szCs w:val="16"/>
          <w:lang w:val="ru-RU"/>
        </w:rPr>
        <w:t>.</w:t>
      </w:r>
    </w:p>
    <w:p w14:paraId="1C5E0DEA" w14:textId="77777777" w:rsidR="00A65CB5" w:rsidRPr="00925F26" w:rsidRDefault="00A65CB5" w:rsidP="00925F26">
      <w:pPr>
        <w:pStyle w:val="1131"/>
        <w:shd w:val="clear" w:color="auto" w:fill="auto"/>
        <w:spacing w:line="240" w:lineRule="auto"/>
        <w:ind w:firstLine="0"/>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Постройка бомбардировщиков В-24 «Либерейтор» шла на двух заводах фирмы Консолидейтед, и еще три фирмы строили его по лицензии. Он стал самым массовым четырехмоторным самолетом всех стран и народов — за семь лет было построено 18482 таких воздушных корабля, и абсолютное большинство их пошло заказчикам именно в качестве тяжелого бомбардировщика. И в Англии, и в Германии, и в СССР, и в Японии в годы II мировой войны основу выпуска авиатехники составляли одномоторные самолеты. В Америке же рекордсменом стал четырехмоторный «Либерейтор»</w:t>
      </w:r>
      <w:r w:rsidRPr="00925F26">
        <w:rPr>
          <w:rFonts w:ascii="Times New Roman" w:hAnsi="Times New Roman" w:cs="Times New Roman"/>
          <w:color w:val="000000" w:themeColor="text1"/>
          <w:sz w:val="16"/>
          <w:szCs w:val="16"/>
          <w:lang w:val="ru-RU"/>
        </w:rPr>
        <w:t xml:space="preserve"> (22893)</w:t>
      </w:r>
      <w:r w:rsidRPr="00925F26">
        <w:rPr>
          <w:rFonts w:ascii="Times New Roman" w:hAnsi="Times New Roman" w:cs="Times New Roman"/>
          <w:color w:val="000000" w:themeColor="text1"/>
          <w:sz w:val="16"/>
          <w:szCs w:val="16"/>
        </w:rPr>
        <w:t>.</w:t>
      </w:r>
    </w:p>
    <w:p w14:paraId="5F489E27" w14:textId="77777777" w:rsidR="00A65CB5" w:rsidRPr="00925F26" w:rsidRDefault="00A65CB5" w:rsidP="00925F26">
      <w:pPr>
        <w:jc w:val="both"/>
        <w:rPr>
          <w:color w:val="000000" w:themeColor="text1"/>
          <w:sz w:val="16"/>
          <w:szCs w:val="16"/>
        </w:rPr>
      </w:pPr>
    </w:p>
    <w:p w14:paraId="7FE81754" w14:textId="77777777" w:rsidR="00A65CB5" w:rsidRPr="00925F26" w:rsidRDefault="00A65CB5" w:rsidP="00925F26">
      <w:pPr>
        <w:jc w:val="both"/>
        <w:rPr>
          <w:color w:val="000000" w:themeColor="text1"/>
          <w:sz w:val="16"/>
          <w:szCs w:val="16"/>
        </w:rPr>
      </w:pPr>
      <w:r w:rsidRPr="00925F26">
        <w:rPr>
          <w:color w:val="000000" w:themeColor="text1"/>
          <w:sz w:val="16"/>
          <w:szCs w:val="16"/>
        </w:rPr>
        <w:t>В мае 1945 г. начались испытания ХВ-44 - B-29A-5-BN №42-93845 с двигателями R-4360-33 мощностью по 3000 л.с. и показали, что скорость этой машины с ограниченным взлетным весом и вооруженной только хвостовой турелью на 21 км/ч ниже, чем у ХВ-39, тем не менее военные предпочли моторы «Пратт-Уитни» воздушного охлаждения «аллисонам» с охлаждением жидкостным. Проект серийной модификации «сверхкрепости» с моторами R-4360 получил военное обозначение B-29D, а на фирме «Боинг» — Модель 345-2. Разработка его формально началась в 1944 г., но Заказчик требовал в первую очередь устранить дефекты базового варианта В-29. И только в августе 1945 г. «Боинг» получил контракт на 200 новых бомбардировщиков (23012).</w:t>
      </w:r>
    </w:p>
    <w:p w14:paraId="05D3F791" w14:textId="77777777" w:rsidR="00A65CB5" w:rsidRPr="00925F26" w:rsidRDefault="00A65CB5" w:rsidP="00925F26">
      <w:pPr>
        <w:jc w:val="both"/>
        <w:rPr>
          <w:color w:val="000000" w:themeColor="text1"/>
          <w:sz w:val="16"/>
          <w:szCs w:val="16"/>
        </w:rPr>
      </w:pPr>
    </w:p>
    <w:p w14:paraId="5E65CF48" w14:textId="77777777" w:rsidR="004842B7" w:rsidRPr="001A0BAA" w:rsidRDefault="004842B7" w:rsidP="004842B7">
      <w:pPr>
        <w:jc w:val="both"/>
        <w:rPr>
          <w:color w:val="0070C0"/>
          <w:sz w:val="16"/>
          <w:szCs w:val="16"/>
        </w:rPr>
      </w:pPr>
      <w:r w:rsidRPr="001A0BAA">
        <w:rPr>
          <w:color w:val="0070C0"/>
          <w:sz w:val="16"/>
          <w:szCs w:val="16"/>
        </w:rPr>
        <w:t>В мае 1945 г. малые подводные лодки с двигателем Вальтера U-1406 и U-1407 сдались союзникам, а остальные (подводные лодки U-792, U-793, U-794 XVII серии (полное подводное водоизмещение 312 т) и четыре (U-1405, U-1408) XVIIB серии (с полным водоизмещением 415 т.)) были затоплены экипажами. Союзники втайне от СССР поделили лодки с двигателями Вальтера: U-1406 взяли США, а U-1407 – Англия. В Англию был доставлен и сам доктор Вальтер (25184).</w:t>
      </w:r>
    </w:p>
    <w:p w14:paraId="02CDF32C" w14:textId="77777777" w:rsidR="004842B7" w:rsidRPr="001A0BAA" w:rsidRDefault="004842B7" w:rsidP="004842B7">
      <w:pPr>
        <w:jc w:val="both"/>
        <w:rPr>
          <w:color w:val="0070C0"/>
          <w:sz w:val="16"/>
          <w:szCs w:val="16"/>
        </w:rPr>
      </w:pPr>
    </w:p>
    <w:p w14:paraId="31F695AF"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С мая 1945 года производство всех самолётов в США было сокращено на 30 %. После разгрома гитлеровской Германии в США началась ревизия воен</w:t>
      </w:r>
      <w:r w:rsidRPr="001A0BAA">
        <w:rPr>
          <w:rStyle w:val="aff0"/>
          <w:rFonts w:ascii="Times New Roman" w:hAnsi="Times New Roman" w:cs="Times New Roman"/>
          <w:color w:val="0070C0"/>
          <w:spacing w:val="0"/>
          <w:sz w:val="16"/>
          <w:szCs w:val="16"/>
        </w:rPr>
        <w:softHyphen/>
        <w:t>ных контрактов на предмет сокращения объёмов или их полной отмены (25618).</w:t>
      </w:r>
    </w:p>
    <w:p w14:paraId="5BD924FB" w14:textId="77777777" w:rsidR="004842B7" w:rsidRPr="001A0BAA" w:rsidRDefault="004842B7" w:rsidP="004842B7">
      <w:pPr>
        <w:jc w:val="both"/>
        <w:rPr>
          <w:color w:val="0070C0"/>
          <w:sz w:val="16"/>
          <w:szCs w:val="16"/>
        </w:rPr>
      </w:pPr>
    </w:p>
    <w:p w14:paraId="4B052AF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 было начато проектирование «Морского специальный штурмовой планер Синрю («Божественный дракон»). Предполагалось, что такие планеры будут находиться в туннелях и взлетать при помощи ракетных двигателей. Имея 100 кг взрывчатки, они должны были использоваться против танков и кораблей в случае американского вторжения в Японию. В середине июля планер был построен, и началось его испытание. Предполагалось, что благодаря 30-секундной работе ракетных двигателей планер будет способен развить скорость 750 км/ч – достаточную для таранного удара по цели.</w:t>
      </w:r>
    </w:p>
    <w:p w14:paraId="204EBB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Проект другого планера – Синрю2 предполагал оснащение летательного аппарата двумя ракетными двигателями и 6–8 ракетами (11686).</w:t>
      </w:r>
    </w:p>
    <w:p w14:paraId="0770491B" w14:textId="77777777" w:rsidR="00665165" w:rsidRPr="00925F26" w:rsidRDefault="00665165" w:rsidP="00925F26">
      <w:pPr>
        <w:autoSpaceDE w:val="0"/>
        <w:autoSpaceDN w:val="0"/>
        <w:adjustRightInd w:val="0"/>
        <w:jc w:val="both"/>
        <w:rPr>
          <w:color w:val="000000" w:themeColor="text1"/>
          <w:sz w:val="16"/>
          <w:szCs w:val="16"/>
        </w:rPr>
      </w:pPr>
    </w:p>
    <w:p w14:paraId="61A42D4A" w14:textId="023C91C8" w:rsidR="00681C7C" w:rsidRPr="00681C7C" w:rsidRDefault="00681C7C" w:rsidP="00681C7C">
      <w:pPr>
        <w:jc w:val="both"/>
        <w:rPr>
          <w:color w:val="0070C0"/>
          <w:sz w:val="16"/>
          <w:szCs w:val="16"/>
        </w:rPr>
      </w:pPr>
      <w:r w:rsidRPr="00681C7C">
        <w:rPr>
          <w:rStyle w:val="aff0"/>
          <w:rFonts w:ascii="Times New Roman" w:hAnsi="Times New Roman" w:cs="Times New Roman"/>
          <w:color w:val="0070C0"/>
          <w:spacing w:val="0"/>
          <w:sz w:val="16"/>
          <w:szCs w:val="16"/>
        </w:rPr>
        <w:t xml:space="preserve">В мае 1945 года </w:t>
      </w:r>
      <w:r w:rsidRPr="00681C7C">
        <w:rPr>
          <w:rStyle w:val="aff0"/>
          <w:rFonts w:ascii="Times New Roman" w:hAnsi="Times New Roman" w:cs="Times New Roman"/>
          <w:color w:val="0070C0"/>
          <w:spacing w:val="0"/>
          <w:sz w:val="16"/>
          <w:szCs w:val="16"/>
        </w:rPr>
        <w:t xml:space="preserve">в Японии </w:t>
      </w:r>
      <w:r w:rsidRPr="00681C7C">
        <w:rPr>
          <w:rStyle w:val="aff0"/>
          <w:rFonts w:ascii="Times New Roman" w:hAnsi="Times New Roman" w:cs="Times New Roman"/>
          <w:color w:val="0070C0"/>
          <w:spacing w:val="0"/>
          <w:sz w:val="16"/>
          <w:szCs w:val="16"/>
        </w:rPr>
        <w:t xml:space="preserve">уже имелось шесть летных образцов двигателя </w:t>
      </w:r>
      <w:r w:rsidRPr="00681C7C">
        <w:rPr>
          <w:rStyle w:val="aff0"/>
          <w:rFonts w:ascii="Times New Roman" w:hAnsi="Times New Roman" w:cs="Times New Roman"/>
          <w:color w:val="0070C0"/>
          <w:spacing w:val="0"/>
          <w:sz w:val="16"/>
          <w:szCs w:val="16"/>
          <w:lang w:val="en-US" w:eastAsia="en-US"/>
        </w:rPr>
        <w:t>Ne</w:t>
      </w:r>
      <w:r w:rsidRPr="00681C7C">
        <w:rPr>
          <w:rStyle w:val="aff0"/>
          <w:rFonts w:ascii="Times New Roman" w:hAnsi="Times New Roman" w:cs="Times New Roman"/>
          <w:color w:val="0070C0"/>
          <w:spacing w:val="0"/>
          <w:sz w:val="16"/>
          <w:szCs w:val="16"/>
          <w:lang w:eastAsia="en-US"/>
        </w:rPr>
        <w:t xml:space="preserve">-20, </w:t>
      </w:r>
      <w:r w:rsidRPr="00681C7C">
        <w:rPr>
          <w:rStyle w:val="aff0"/>
          <w:rFonts w:ascii="Times New Roman" w:hAnsi="Times New Roman" w:cs="Times New Roman"/>
          <w:color w:val="0070C0"/>
          <w:spacing w:val="0"/>
          <w:sz w:val="16"/>
          <w:szCs w:val="16"/>
        </w:rPr>
        <w:t>и надежды на на</w:t>
      </w:r>
      <w:r w:rsidRPr="00681C7C">
        <w:rPr>
          <w:rStyle w:val="aff0"/>
          <w:rFonts w:ascii="Times New Roman" w:hAnsi="Times New Roman" w:cs="Times New Roman"/>
          <w:color w:val="0070C0"/>
          <w:spacing w:val="0"/>
          <w:sz w:val="16"/>
          <w:szCs w:val="16"/>
        </w:rPr>
        <w:softHyphen/>
        <w:t>чало производства самолетов значительно возросли.</w:t>
      </w:r>
    </w:p>
    <w:p w14:paraId="726A6BA9" w14:textId="20E6E4FB" w:rsidR="00681C7C" w:rsidRPr="00681C7C" w:rsidRDefault="00681C7C" w:rsidP="00681C7C">
      <w:pPr>
        <w:jc w:val="both"/>
        <w:rPr>
          <w:color w:val="0070C0"/>
          <w:sz w:val="16"/>
          <w:szCs w:val="16"/>
        </w:rPr>
      </w:pPr>
      <w:r w:rsidRPr="00681C7C">
        <w:rPr>
          <w:rStyle w:val="aff0"/>
          <w:rFonts w:ascii="Times New Roman" w:hAnsi="Times New Roman" w:cs="Times New Roman"/>
          <w:color w:val="0070C0"/>
          <w:spacing w:val="0"/>
          <w:sz w:val="16"/>
          <w:szCs w:val="16"/>
        </w:rPr>
        <w:t xml:space="preserve">Первый </w:t>
      </w:r>
      <w:r w:rsidRPr="00681C7C">
        <w:rPr>
          <w:rStyle w:val="aff0"/>
          <w:rFonts w:ascii="Times New Roman" w:hAnsi="Times New Roman" w:cs="Times New Roman"/>
          <w:color w:val="0070C0"/>
          <w:spacing w:val="0"/>
          <w:sz w:val="16"/>
          <w:szCs w:val="16"/>
          <w:lang w:val="en-US" w:eastAsia="en-US"/>
        </w:rPr>
        <w:t>Kikka</w:t>
      </w:r>
      <w:r w:rsidRPr="00681C7C">
        <w:rPr>
          <w:rStyle w:val="aff0"/>
          <w:rFonts w:ascii="Times New Roman" w:hAnsi="Times New Roman" w:cs="Times New Roman"/>
          <w:color w:val="0070C0"/>
          <w:spacing w:val="0"/>
          <w:sz w:val="16"/>
          <w:szCs w:val="16"/>
          <w:lang w:eastAsia="en-US"/>
        </w:rPr>
        <w:t xml:space="preserve"> </w:t>
      </w:r>
      <w:r w:rsidRPr="00681C7C">
        <w:rPr>
          <w:rStyle w:val="aff0"/>
          <w:rFonts w:ascii="Times New Roman" w:hAnsi="Times New Roman" w:cs="Times New Roman"/>
          <w:color w:val="0070C0"/>
          <w:spacing w:val="0"/>
          <w:sz w:val="16"/>
          <w:szCs w:val="16"/>
        </w:rPr>
        <w:t>доставили на завод Коизуми для установки двигателей 25 июня 1945 года. 29 июня его объявили годным к полетам, но взлетно-посадочная полоса оказалась слиш</w:t>
      </w:r>
      <w:r w:rsidRPr="00681C7C">
        <w:rPr>
          <w:rStyle w:val="aff0"/>
          <w:rFonts w:ascii="Times New Roman" w:hAnsi="Times New Roman" w:cs="Times New Roman"/>
          <w:color w:val="0070C0"/>
          <w:spacing w:val="0"/>
          <w:sz w:val="16"/>
          <w:szCs w:val="16"/>
        </w:rPr>
        <w:softHyphen/>
        <w:t>ком короткой, поэтому испытания перенесли на авиабазу Кисарадзу на побережье Токий</w:t>
      </w:r>
      <w:r w:rsidRPr="00681C7C">
        <w:rPr>
          <w:rStyle w:val="aff0"/>
          <w:rFonts w:ascii="Times New Roman" w:hAnsi="Times New Roman" w:cs="Times New Roman"/>
          <w:color w:val="0070C0"/>
          <w:spacing w:val="0"/>
          <w:sz w:val="16"/>
          <w:szCs w:val="16"/>
        </w:rPr>
        <w:softHyphen/>
        <w:t>ского залива</w:t>
      </w:r>
      <w:r w:rsidRPr="00681C7C">
        <w:rPr>
          <w:rStyle w:val="aff0"/>
          <w:rFonts w:ascii="Times New Roman" w:hAnsi="Times New Roman" w:cs="Times New Roman"/>
          <w:color w:val="0070C0"/>
          <w:spacing w:val="0"/>
          <w:sz w:val="16"/>
          <w:szCs w:val="16"/>
        </w:rPr>
        <w:t xml:space="preserve"> (25794)</w:t>
      </w:r>
      <w:r w:rsidRPr="00681C7C">
        <w:rPr>
          <w:rStyle w:val="aff0"/>
          <w:rFonts w:ascii="Times New Roman" w:hAnsi="Times New Roman" w:cs="Times New Roman"/>
          <w:color w:val="0070C0"/>
          <w:spacing w:val="0"/>
          <w:sz w:val="16"/>
          <w:szCs w:val="16"/>
        </w:rPr>
        <w:t>.</w:t>
      </w:r>
    </w:p>
    <w:p w14:paraId="050310B2" w14:textId="77777777" w:rsidR="00681C7C" w:rsidRPr="00681C7C" w:rsidRDefault="00681C7C" w:rsidP="00925F26">
      <w:pPr>
        <w:autoSpaceDE w:val="0"/>
        <w:autoSpaceDN w:val="0"/>
        <w:adjustRightInd w:val="0"/>
        <w:jc w:val="both"/>
        <w:rPr>
          <w:color w:val="0070C0"/>
          <w:sz w:val="16"/>
          <w:szCs w:val="16"/>
        </w:rPr>
      </w:pPr>
    </w:p>
    <w:p w14:paraId="44794945" w14:textId="770E91FA" w:rsidR="00A92FC9" w:rsidRPr="00925F26" w:rsidRDefault="00A92FC9" w:rsidP="00925F26">
      <w:pPr>
        <w:autoSpaceDE w:val="0"/>
        <w:autoSpaceDN w:val="0"/>
        <w:adjustRightInd w:val="0"/>
        <w:jc w:val="both"/>
        <w:rPr>
          <w:color w:val="000000" w:themeColor="text1"/>
          <w:sz w:val="16"/>
          <w:szCs w:val="16"/>
        </w:rPr>
      </w:pPr>
      <w:r w:rsidRPr="00925F26">
        <w:rPr>
          <w:color w:val="000000" w:themeColor="text1"/>
          <w:sz w:val="16"/>
          <w:szCs w:val="16"/>
        </w:rPr>
        <w:t>В мае 1945 в Нью Мексико был основан ракетный полигон White Sands (2990).</w:t>
      </w:r>
    </w:p>
    <w:p w14:paraId="7BFCB7B3" w14:textId="77777777" w:rsidR="00A92FC9" w:rsidRPr="00925F26" w:rsidRDefault="00A92FC9" w:rsidP="00925F26">
      <w:pPr>
        <w:autoSpaceDE w:val="0"/>
        <w:autoSpaceDN w:val="0"/>
        <w:adjustRightInd w:val="0"/>
        <w:jc w:val="both"/>
        <w:rPr>
          <w:color w:val="000000" w:themeColor="text1"/>
          <w:sz w:val="16"/>
          <w:szCs w:val="16"/>
        </w:rPr>
      </w:pPr>
    </w:p>
    <w:p w14:paraId="79B13F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года военное министерство Японии упразднило проект «Ни» по созданию атомной бомбы (11457).</w:t>
      </w:r>
    </w:p>
    <w:p w14:paraId="1FDA9E9A" w14:textId="77777777" w:rsidR="00665165" w:rsidRPr="00925F26" w:rsidRDefault="00665165" w:rsidP="00925F26">
      <w:pPr>
        <w:autoSpaceDE w:val="0"/>
        <w:autoSpaceDN w:val="0"/>
        <w:adjustRightInd w:val="0"/>
        <w:jc w:val="both"/>
        <w:rPr>
          <w:color w:val="000000" w:themeColor="text1"/>
          <w:sz w:val="16"/>
          <w:szCs w:val="16"/>
        </w:rPr>
      </w:pPr>
    </w:p>
    <w:p w14:paraId="21032C60" w14:textId="77777777" w:rsidR="0027059D" w:rsidRPr="00925F26" w:rsidRDefault="0027059D" w:rsidP="00925F26">
      <w:pPr>
        <w:pStyle w:val="book"/>
        <w:ind w:firstLine="0"/>
        <w:jc w:val="both"/>
        <w:rPr>
          <w:color w:val="000000" w:themeColor="text1"/>
          <w:sz w:val="16"/>
          <w:szCs w:val="16"/>
        </w:rPr>
      </w:pPr>
      <w:r w:rsidRPr="00925F26">
        <w:rPr>
          <w:color w:val="000000" w:themeColor="text1"/>
          <w:sz w:val="16"/>
          <w:szCs w:val="16"/>
        </w:rPr>
        <w:t>В мае 1945 г. U-1406 и U-1407 сдались союзникам, а остальные были затоплены экипажами. Союзники втайне от СССР поделили лодки с двигателями Вальтера: U-1406 взяли США, a U-1407 — Англия. В Англию был доставлен и сам доктор Вальтер (15225).</w:t>
      </w:r>
    </w:p>
    <w:p w14:paraId="11CA1BB8" w14:textId="77777777" w:rsidR="0027059D" w:rsidRPr="00925F26" w:rsidRDefault="0027059D" w:rsidP="00925F26">
      <w:pPr>
        <w:pStyle w:val="book"/>
        <w:ind w:firstLine="0"/>
        <w:jc w:val="both"/>
        <w:rPr>
          <w:color w:val="000000" w:themeColor="text1"/>
          <w:sz w:val="16"/>
          <w:szCs w:val="16"/>
        </w:rPr>
      </w:pPr>
    </w:p>
    <w:p w14:paraId="17C5A2F3" w14:textId="77777777" w:rsidR="00A92FC9" w:rsidRPr="00925F26" w:rsidRDefault="00A92FC9" w:rsidP="00925F26">
      <w:pPr>
        <w:jc w:val="both"/>
        <w:rPr>
          <w:color w:val="000000" w:themeColor="text1"/>
          <w:sz w:val="16"/>
          <w:szCs w:val="16"/>
        </w:rPr>
      </w:pPr>
      <w:r w:rsidRPr="00925F26">
        <w:rPr>
          <w:color w:val="000000" w:themeColor="text1"/>
          <w:sz w:val="16"/>
          <w:szCs w:val="16"/>
        </w:rPr>
        <w:t>В мае 1945 г. в Германию в составе «научной трофейной команды» Теодор фон Кармана прибыл ведущий аэроди</w:t>
      </w:r>
      <w:r w:rsidRPr="00925F26">
        <w:rPr>
          <w:color w:val="000000" w:themeColor="text1"/>
          <w:sz w:val="16"/>
          <w:szCs w:val="16"/>
        </w:rPr>
        <w:softHyphen/>
        <w:t>намик фирмы Боинг Джордж Шрайер и сообщил о находке материалов по стреловидному крылу.</w:t>
      </w:r>
    </w:p>
    <w:p w14:paraId="1408FE5A" w14:textId="77777777" w:rsidR="00A92FC9" w:rsidRPr="00925F26" w:rsidRDefault="00A92FC9" w:rsidP="00925F26">
      <w:pPr>
        <w:jc w:val="both"/>
        <w:rPr>
          <w:color w:val="000000" w:themeColor="text1"/>
          <w:sz w:val="16"/>
          <w:szCs w:val="16"/>
        </w:rPr>
      </w:pPr>
      <w:r w:rsidRPr="00925F26">
        <w:rPr>
          <w:color w:val="000000" w:themeColor="text1"/>
          <w:sz w:val="16"/>
          <w:szCs w:val="16"/>
        </w:rPr>
        <w:t>Уменьшив площадь и толщину прямого крыла нового баомбардировщика Модель 424, а также за</w:t>
      </w:r>
      <w:r w:rsidRPr="00925F26">
        <w:rPr>
          <w:color w:val="000000" w:themeColor="text1"/>
          <w:sz w:val="16"/>
          <w:szCs w:val="16"/>
        </w:rPr>
        <w:softHyphen/>
        <w:t>менив поршневые моторы четырьмя турбореактивными TG-180 взлетной тягой по 1815 кгс, можно было получить скорость не выше 825 км/ч, а стреловидное крыло открывало путь к околоз</w:t>
      </w:r>
      <w:r w:rsidRPr="00925F26">
        <w:rPr>
          <w:color w:val="000000" w:themeColor="text1"/>
          <w:sz w:val="16"/>
          <w:szCs w:val="16"/>
        </w:rPr>
        <w:softHyphen/>
        <w:t>вуковым скоростям при меньшем расходе топлива. Проект был переделан, причем на немецкий мотив крыло новой Модели 432 сделали чистым, установив четыре ТРД в носу фюзеляжа. Трофейным данным верили настолько, что ограничились про</w:t>
      </w:r>
      <w:r w:rsidRPr="00925F26">
        <w:rPr>
          <w:color w:val="000000" w:themeColor="text1"/>
          <w:sz w:val="16"/>
          <w:szCs w:val="16"/>
        </w:rPr>
        <w:softHyphen/>
        <w:t xml:space="preserve">дувками в аэродинамической трубе лишь отдельных агрегатов, </w:t>
      </w:r>
      <w:proofErr w:type="gramStart"/>
      <w:r w:rsidRPr="00925F26">
        <w:rPr>
          <w:color w:val="000000" w:themeColor="text1"/>
          <w:sz w:val="16"/>
          <w:szCs w:val="16"/>
        </w:rPr>
        <w:t>но</w:t>
      </w:r>
      <w:proofErr w:type="gramEnd"/>
      <w:r w:rsidRPr="00925F26">
        <w:rPr>
          <w:color w:val="000000" w:themeColor="text1"/>
          <w:sz w:val="16"/>
          <w:szCs w:val="16"/>
        </w:rPr>
        <w:t xml:space="preserve"> когда в NACA продули модель всего самолета, оказалось, что весь выигрыш от чистого стреловидного крыла «съела» гро</w:t>
      </w:r>
      <w:r w:rsidRPr="00925F26">
        <w:rPr>
          <w:color w:val="000000" w:themeColor="text1"/>
          <w:sz w:val="16"/>
          <w:szCs w:val="16"/>
        </w:rPr>
        <w:softHyphen/>
        <w:t>моздкая силовая установка.</w:t>
      </w:r>
    </w:p>
    <w:p w14:paraId="38126D68" w14:textId="77777777" w:rsidR="00A92FC9" w:rsidRPr="00925F26" w:rsidRDefault="00A92FC9" w:rsidP="00925F26">
      <w:pPr>
        <w:jc w:val="both"/>
        <w:rPr>
          <w:color w:val="000000" w:themeColor="text1"/>
          <w:sz w:val="16"/>
          <w:szCs w:val="16"/>
        </w:rPr>
      </w:pPr>
      <w:r w:rsidRPr="00925F26">
        <w:rPr>
          <w:color w:val="000000" w:themeColor="text1"/>
          <w:sz w:val="16"/>
          <w:szCs w:val="16"/>
        </w:rPr>
        <w:t>Тогда Дж. Мартин отказался от минимизации веса, разме</w:t>
      </w:r>
      <w:r w:rsidRPr="00925F26">
        <w:rPr>
          <w:color w:val="000000" w:themeColor="text1"/>
          <w:sz w:val="16"/>
          <w:szCs w:val="16"/>
        </w:rPr>
        <w:softHyphen/>
        <w:t>ров и цены, поставил еще два ТРД в хвосте. Но Заказчик счел, что самолет, фюзеляж которого забит баками между «реактив</w:t>
      </w:r>
      <w:r w:rsidRPr="00925F26">
        <w:rPr>
          <w:color w:val="000000" w:themeColor="text1"/>
          <w:sz w:val="16"/>
          <w:szCs w:val="16"/>
        </w:rPr>
        <w:softHyphen/>
        <w:t>ными горелками», просто обречен на катастрофу, - и забрако</w:t>
      </w:r>
      <w:r w:rsidRPr="00925F26">
        <w:rPr>
          <w:color w:val="000000" w:themeColor="text1"/>
          <w:sz w:val="16"/>
          <w:szCs w:val="16"/>
        </w:rPr>
        <w:softHyphen/>
        <w:t>вал Модель 448. Фирма «Норт Америкен» уже получила заказ на строительство бомбардировщика ХВ-45, и требовалась незаурядная смелость, чтобы отбросить все нара</w:t>
      </w:r>
      <w:r w:rsidRPr="00925F26">
        <w:rPr>
          <w:color w:val="000000" w:themeColor="text1"/>
          <w:sz w:val="16"/>
          <w:szCs w:val="16"/>
        </w:rPr>
        <w:softHyphen/>
        <w:t>ботки и взяться за полностью новый проект, - зато Модель 450 получилась поистине революционной (23024).</w:t>
      </w:r>
    </w:p>
    <w:p w14:paraId="35FBF6CA" w14:textId="77777777" w:rsidR="00A92FC9" w:rsidRPr="00925F26" w:rsidRDefault="00A92FC9" w:rsidP="00925F26">
      <w:pPr>
        <w:jc w:val="both"/>
        <w:rPr>
          <w:color w:val="000000" w:themeColor="text1"/>
          <w:sz w:val="16"/>
          <w:szCs w:val="16"/>
        </w:rPr>
      </w:pPr>
    </w:p>
    <w:p w14:paraId="5ED65E08" w14:textId="77777777" w:rsidR="009E712B" w:rsidRPr="00925F26" w:rsidRDefault="009E712B" w:rsidP="00925F26">
      <w:pPr>
        <w:jc w:val="both"/>
        <w:rPr>
          <w:color w:val="000000" w:themeColor="text1"/>
          <w:sz w:val="16"/>
          <w:szCs w:val="16"/>
        </w:rPr>
      </w:pPr>
      <w:r w:rsidRPr="00925F26">
        <w:rPr>
          <w:color w:val="000000" w:themeColor="text1"/>
          <w:sz w:val="16"/>
          <w:szCs w:val="16"/>
        </w:rPr>
        <w:t>В мае 1945 г. правительство Франции уже знало, что Фау-2 — это огромный прорыв в ракетостроении и решило создать нечто подобное на основе проектов Барре и  трофейных ракет. Мурё и  Барре командировали в  Германию. С  9 по 17 мая они побывали на станциях обслуживания Фау-2 в Обер-Радерахе (Ober Raderach), неподалеку от озера Констанц, и во Фридрихсхафене (Friedrischshafen) во французской зоне оккупации. Найденное там оборудование демонтировали и  отправили во Францию: 9  грузовиков с  деталями ракет, включая 4 готовые Фау-1 и  4  комплекта деталей для Фау-2 (сопла, турбонасосы, сервомоторы). А с 7 по 29 июня они посетили американскую зону оккупации, 15 июня осмотрели базу Фау-2 в  Лестене, в  Тюрингии, в 100 км южнее Нордхаузена, потом помогали американцам допрашивать пленных немецких ракетчиков (23372).</w:t>
      </w:r>
    </w:p>
    <w:p w14:paraId="60E24194" w14:textId="77777777" w:rsidR="009E712B" w:rsidRPr="00925F26" w:rsidRDefault="009E712B" w:rsidP="00925F26">
      <w:pPr>
        <w:jc w:val="both"/>
        <w:rPr>
          <w:color w:val="000000" w:themeColor="text1"/>
          <w:sz w:val="16"/>
          <w:szCs w:val="16"/>
        </w:rPr>
      </w:pPr>
    </w:p>
    <w:p w14:paraId="1196283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1945 Йемен присоединился к подписанному 22 марта 1945 г. Египтом, Ираком, Саудовской Аравией, Трансиорданией, Сирией и Ливаном Договору о создании Лиги арабских государств (ЛАГ) (3871).</w:t>
      </w:r>
    </w:p>
    <w:p w14:paraId="48911BDF" w14:textId="77777777" w:rsidR="00665165" w:rsidRPr="00925F26" w:rsidRDefault="00665165" w:rsidP="00925F26">
      <w:pPr>
        <w:autoSpaceDE w:val="0"/>
        <w:autoSpaceDN w:val="0"/>
        <w:adjustRightInd w:val="0"/>
        <w:jc w:val="both"/>
        <w:rPr>
          <w:color w:val="000000" w:themeColor="text1"/>
          <w:sz w:val="16"/>
          <w:szCs w:val="16"/>
        </w:rPr>
      </w:pPr>
    </w:p>
    <w:p w14:paraId="01E710B5"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878A94D" w14:textId="77777777" w:rsidR="00665165" w:rsidRPr="00925F26" w:rsidRDefault="00665165" w:rsidP="00925F26">
      <w:pPr>
        <w:autoSpaceDE w:val="0"/>
        <w:autoSpaceDN w:val="0"/>
        <w:adjustRightInd w:val="0"/>
        <w:jc w:val="both"/>
        <w:rPr>
          <w:iCs/>
          <w:color w:val="000000" w:themeColor="text1"/>
          <w:sz w:val="16"/>
          <w:szCs w:val="16"/>
        </w:rPr>
      </w:pPr>
    </w:p>
    <w:p w14:paraId="399C441A" w14:textId="77777777" w:rsidR="004842B7" w:rsidRPr="001A0BAA" w:rsidRDefault="004842B7" w:rsidP="004842B7">
      <w:pPr>
        <w:jc w:val="both"/>
        <w:rPr>
          <w:color w:val="0070C0"/>
          <w:sz w:val="16"/>
          <w:szCs w:val="16"/>
        </w:rPr>
      </w:pPr>
      <w:r w:rsidRPr="001A0BAA">
        <w:rPr>
          <w:color w:val="0070C0"/>
          <w:sz w:val="16"/>
          <w:szCs w:val="16"/>
        </w:rPr>
        <w:t>С мая по июнь 1945 года проходил государственные испытания до</w:t>
      </w:r>
      <w:r w:rsidRPr="001A0BAA">
        <w:rPr>
          <w:color w:val="0070C0"/>
          <w:sz w:val="16"/>
          <w:szCs w:val="16"/>
        </w:rPr>
        <w:softHyphen/>
        <w:t>работанный самолет Ла-7 (за</w:t>
      </w:r>
      <w:r w:rsidRPr="001A0BAA">
        <w:rPr>
          <w:color w:val="0070C0"/>
          <w:sz w:val="16"/>
          <w:szCs w:val="16"/>
        </w:rPr>
        <w:softHyphen/>
        <w:t>водской № 38102663), но избавиться от дефекта не удалось.</w:t>
      </w:r>
    </w:p>
    <w:p w14:paraId="3AED6400" w14:textId="77777777" w:rsidR="004842B7" w:rsidRPr="001A0BAA" w:rsidRDefault="004842B7" w:rsidP="004842B7">
      <w:pPr>
        <w:jc w:val="both"/>
        <w:rPr>
          <w:color w:val="0070C0"/>
          <w:sz w:val="16"/>
          <w:szCs w:val="16"/>
        </w:rPr>
      </w:pPr>
      <w:r w:rsidRPr="001A0BAA">
        <w:rPr>
          <w:color w:val="0070C0"/>
          <w:sz w:val="16"/>
          <w:szCs w:val="16"/>
        </w:rPr>
        <w:t>К Ла-7 немало нареканий бы</w:t>
      </w:r>
      <w:r w:rsidRPr="001A0BAA">
        <w:rPr>
          <w:color w:val="0070C0"/>
          <w:sz w:val="16"/>
          <w:szCs w:val="16"/>
        </w:rPr>
        <w:softHyphen/>
        <w:t>ло на работу гидравлики и силовой уста</w:t>
      </w:r>
      <w:r w:rsidRPr="001A0BAA">
        <w:rPr>
          <w:color w:val="0070C0"/>
          <w:sz w:val="16"/>
          <w:szCs w:val="16"/>
        </w:rPr>
        <w:softHyphen/>
        <w:t>новки. Дефект был связан с пере</w:t>
      </w:r>
      <w:r w:rsidRPr="001A0BAA">
        <w:rPr>
          <w:color w:val="0070C0"/>
          <w:sz w:val="16"/>
          <w:szCs w:val="16"/>
        </w:rPr>
        <w:softHyphen/>
        <w:t>носом всасывающих патрубков двигателя с капота мотора в переднюю кромку цен</w:t>
      </w:r>
      <w:r w:rsidRPr="001A0BAA">
        <w:rPr>
          <w:color w:val="0070C0"/>
          <w:sz w:val="16"/>
          <w:szCs w:val="16"/>
        </w:rPr>
        <w:softHyphen/>
        <w:t>троплана. Через них в двигатель самоле</w:t>
      </w:r>
      <w:r w:rsidRPr="001A0BAA">
        <w:rPr>
          <w:color w:val="0070C0"/>
          <w:sz w:val="16"/>
          <w:szCs w:val="16"/>
        </w:rPr>
        <w:softHyphen/>
        <w:t>тов, эксплуатировавшихся на полевых аэ</w:t>
      </w:r>
      <w:r w:rsidRPr="001A0BAA">
        <w:rPr>
          <w:color w:val="0070C0"/>
          <w:sz w:val="16"/>
          <w:szCs w:val="16"/>
        </w:rPr>
        <w:softHyphen/>
        <w:t>родромах, на взлете и посадке попадало много пыли и грязи. Попыткой избавиться от дефекта стал монтаж фильтров на всасывающих па</w:t>
      </w:r>
      <w:r w:rsidRPr="001A0BAA">
        <w:rPr>
          <w:color w:val="0070C0"/>
          <w:sz w:val="16"/>
          <w:szCs w:val="16"/>
        </w:rPr>
        <w:softHyphen/>
        <w:t>трубках и появление дополнительных воздухозаборников под крылом перед колодцами уборки колес основных опор шасси (24988).</w:t>
      </w:r>
    </w:p>
    <w:p w14:paraId="40222393" w14:textId="77777777" w:rsidR="004842B7" w:rsidRPr="001A0BAA" w:rsidRDefault="004842B7" w:rsidP="004842B7">
      <w:pPr>
        <w:jc w:val="both"/>
        <w:rPr>
          <w:color w:val="0070C0"/>
          <w:sz w:val="16"/>
          <w:szCs w:val="16"/>
        </w:rPr>
      </w:pPr>
    </w:p>
    <w:p w14:paraId="6803B5A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 которые разместили на консолях крыла по типу немецкого истребителя Ме-262. Вооружение включало одну 37-мм пушку Н-37 и две 23-мм пушки НС-23, расположенные в носовой части фюзеляжа. В соответствии с утвержденным в мае 1945 г. графиком проектирования и постройки И-260 выкатка опытного экземпляра была запланирована на 31 августа 1945 г. (6272).</w:t>
      </w:r>
    </w:p>
    <w:p w14:paraId="715BDD58" w14:textId="77777777" w:rsidR="00665165" w:rsidRPr="00925F26" w:rsidRDefault="00665165" w:rsidP="00925F26">
      <w:pPr>
        <w:autoSpaceDE w:val="0"/>
        <w:autoSpaceDN w:val="0"/>
        <w:adjustRightInd w:val="0"/>
        <w:jc w:val="both"/>
        <w:rPr>
          <w:color w:val="000000" w:themeColor="text1"/>
          <w:sz w:val="16"/>
          <w:szCs w:val="16"/>
        </w:rPr>
      </w:pPr>
    </w:p>
    <w:p w14:paraId="66E3C05F" w14:textId="77777777" w:rsidR="004F22D7" w:rsidRPr="00925F26" w:rsidRDefault="004F22D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 которые размести ли на консолях крыла по типу немецкого истребителя Ме-262.</w:t>
      </w:r>
    </w:p>
    <w:p w14:paraId="4A57DBAC" w14:textId="77777777" w:rsidR="004F22D7" w:rsidRPr="00925F26" w:rsidRDefault="004F22D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Вооружение включало одну пушку Н-37 и две пушки НС-23, расположенные в носовой части фюзеляжа. В соответ ствии с утвержденным в мае 1945 г. графиком проектирова ния и постройки И-260, опытный экземпляр должен был быть выкачен на летное поле 31 августа 1945 г.</w:t>
      </w:r>
    </w:p>
    <w:p w14:paraId="27932330" w14:textId="77777777" w:rsidR="004F22D7" w:rsidRPr="00925F26" w:rsidRDefault="004F22D7" w:rsidP="00925F26">
      <w:pPr>
        <w:pStyle w:val="ae"/>
        <w:shd w:val="clear" w:color="auto" w:fill="FFFFFF"/>
        <w:spacing w:before="0" w:after="0"/>
        <w:jc w:val="both"/>
        <w:rPr>
          <w:color w:val="000000" w:themeColor="text1"/>
          <w:sz w:val="16"/>
          <w:szCs w:val="16"/>
        </w:rPr>
      </w:pPr>
      <w:r w:rsidRPr="00925F26">
        <w:rPr>
          <w:color w:val="000000" w:themeColor="text1"/>
          <w:sz w:val="16"/>
          <w:szCs w:val="16"/>
        </w:rPr>
        <w:t>Однако в июне 1945 г. в ОКБ-155 начали проектные рабо ты над другим вариантом истребителя с двумя двигателями, получившим наименование И-300 и шифр «Ф», у которого в отличие от И-260 два двигателя разместили не на консолях крыла, а в фюзеляже. Такая компоновка силовой установки оказалась наиболее перспективной, поэтому работы над И-260 были прекращены (19696).</w:t>
      </w:r>
    </w:p>
    <w:p w14:paraId="52B9A9C6" w14:textId="77777777" w:rsidR="00665165" w:rsidRPr="00925F26" w:rsidRDefault="00665165" w:rsidP="00925F26">
      <w:pPr>
        <w:autoSpaceDE w:val="0"/>
        <w:autoSpaceDN w:val="0"/>
        <w:adjustRightInd w:val="0"/>
        <w:jc w:val="both"/>
        <w:rPr>
          <w:color w:val="000000" w:themeColor="text1"/>
          <w:sz w:val="16"/>
          <w:szCs w:val="16"/>
        </w:rPr>
      </w:pPr>
    </w:p>
    <w:p w14:paraId="29810E68" w14:textId="77777777" w:rsidR="004842B7" w:rsidRPr="001A0BAA" w:rsidRDefault="004842B7" w:rsidP="004842B7">
      <w:pPr>
        <w:jc w:val="both"/>
        <w:rPr>
          <w:color w:val="0070C0"/>
          <w:sz w:val="16"/>
          <w:szCs w:val="16"/>
        </w:rPr>
      </w:pPr>
      <w:r w:rsidRPr="001A0BAA">
        <w:rPr>
          <w:color w:val="0070C0"/>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 которые размести</w:t>
      </w:r>
      <w:r w:rsidRPr="001A0BAA">
        <w:rPr>
          <w:color w:val="0070C0"/>
          <w:sz w:val="16"/>
          <w:szCs w:val="16"/>
        </w:rPr>
        <w:softHyphen/>
        <w:t>ли на консолях крыла по типу немецкого истребителя Ме-262.</w:t>
      </w:r>
    </w:p>
    <w:p w14:paraId="571273A3" w14:textId="77777777" w:rsidR="004842B7" w:rsidRPr="001A0BAA" w:rsidRDefault="004842B7" w:rsidP="004842B7">
      <w:pPr>
        <w:jc w:val="both"/>
        <w:rPr>
          <w:color w:val="0070C0"/>
          <w:sz w:val="16"/>
          <w:szCs w:val="16"/>
        </w:rPr>
      </w:pPr>
      <w:r w:rsidRPr="001A0BAA">
        <w:rPr>
          <w:color w:val="0070C0"/>
          <w:sz w:val="16"/>
          <w:szCs w:val="16"/>
        </w:rPr>
        <w:t>Вооружение включало одну пушку Н-37 и две пушки НС-23, расположенные в носовой части фюзеляжа. В соответ</w:t>
      </w:r>
      <w:r w:rsidRPr="001A0BAA">
        <w:rPr>
          <w:color w:val="0070C0"/>
          <w:sz w:val="16"/>
          <w:szCs w:val="16"/>
        </w:rPr>
        <w:softHyphen/>
        <w:t>ствии с утвержденным в мае 1945 г. графиком проектирова</w:t>
      </w:r>
      <w:r w:rsidRPr="001A0BAA">
        <w:rPr>
          <w:color w:val="0070C0"/>
          <w:sz w:val="16"/>
          <w:szCs w:val="16"/>
        </w:rPr>
        <w:softHyphen/>
        <w:t>ния и постройки И-260, опытный экземпляр должен был быть выкачен на летное поле 31 августа 1945 г.</w:t>
      </w:r>
    </w:p>
    <w:p w14:paraId="79EB1578" w14:textId="77777777" w:rsidR="004842B7" w:rsidRPr="001A0BAA" w:rsidRDefault="004842B7" w:rsidP="004842B7">
      <w:pPr>
        <w:jc w:val="both"/>
        <w:rPr>
          <w:color w:val="0070C0"/>
          <w:sz w:val="16"/>
          <w:szCs w:val="16"/>
        </w:rPr>
      </w:pPr>
      <w:r w:rsidRPr="001A0BAA">
        <w:rPr>
          <w:color w:val="0070C0"/>
          <w:sz w:val="16"/>
          <w:szCs w:val="16"/>
        </w:rPr>
        <w:t>Однако в июне 1945 г. в ОКБ-155 начали проектные рабо</w:t>
      </w:r>
      <w:r w:rsidRPr="001A0BAA">
        <w:rPr>
          <w:color w:val="0070C0"/>
          <w:sz w:val="16"/>
          <w:szCs w:val="16"/>
        </w:rPr>
        <w:softHyphen/>
        <w:t>ты над другим вариантом истребителя с двумя двигателями BMW-003, получившим наименование И-300 и шифр «Ф», у которого в отличие от И-260 два двигателя разместили не на консолях крыла, а в фюзеляже. Такая компоновка сило</w:t>
      </w:r>
      <w:r w:rsidRPr="001A0BAA">
        <w:rPr>
          <w:color w:val="0070C0"/>
          <w:sz w:val="16"/>
          <w:szCs w:val="16"/>
        </w:rPr>
        <w:softHyphen/>
        <w:t>вой установки оказалась наиболее перспективной, поэтому ра</w:t>
      </w:r>
      <w:r w:rsidRPr="001A0BAA">
        <w:rPr>
          <w:color w:val="0070C0"/>
          <w:sz w:val="16"/>
          <w:szCs w:val="16"/>
        </w:rPr>
        <w:softHyphen/>
        <w:t>боты над И-260 были прекращены (24920).</w:t>
      </w:r>
    </w:p>
    <w:p w14:paraId="4AA393F4" w14:textId="77777777" w:rsidR="004842B7" w:rsidRPr="001A0BAA" w:rsidRDefault="004842B7" w:rsidP="004842B7">
      <w:pPr>
        <w:jc w:val="both"/>
        <w:rPr>
          <w:color w:val="0070C0"/>
          <w:sz w:val="16"/>
          <w:szCs w:val="16"/>
        </w:rPr>
      </w:pPr>
    </w:p>
    <w:p w14:paraId="1404B84E" w14:textId="77777777" w:rsidR="004842B7" w:rsidRPr="00925F26" w:rsidRDefault="004842B7" w:rsidP="004842B7">
      <w:pPr>
        <w:autoSpaceDE w:val="0"/>
        <w:autoSpaceDN w:val="0"/>
        <w:adjustRightInd w:val="0"/>
        <w:jc w:val="both"/>
        <w:rPr>
          <w:color w:val="000000" w:themeColor="text1"/>
          <w:sz w:val="16"/>
          <w:szCs w:val="16"/>
        </w:rPr>
      </w:pPr>
      <w:r w:rsidRPr="00925F26">
        <w:rPr>
          <w:color w:val="000000" w:themeColor="text1"/>
          <w:sz w:val="16"/>
          <w:szCs w:val="16"/>
        </w:rPr>
        <w:t>В мае-июне 1945 первая группа советских специалистов прибыли в Германию в ОКБ-1, они и организовывали ОКБ-1 (8987).</w:t>
      </w:r>
    </w:p>
    <w:p w14:paraId="141F458E" w14:textId="77777777" w:rsidR="004842B7" w:rsidRPr="00925F26" w:rsidRDefault="004842B7" w:rsidP="004842B7">
      <w:pPr>
        <w:pStyle w:val="ae"/>
        <w:shd w:val="clear" w:color="auto" w:fill="FFFFFF"/>
        <w:spacing w:before="0" w:after="0"/>
        <w:jc w:val="both"/>
        <w:rPr>
          <w:color w:val="000000" w:themeColor="text1"/>
          <w:sz w:val="16"/>
          <w:szCs w:val="16"/>
        </w:rPr>
      </w:pPr>
    </w:p>
    <w:p w14:paraId="37B2F9C1"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8243F5F" w14:textId="77777777" w:rsidR="00665165" w:rsidRPr="00925F26" w:rsidRDefault="00665165" w:rsidP="00925F26">
      <w:pPr>
        <w:autoSpaceDE w:val="0"/>
        <w:autoSpaceDN w:val="0"/>
        <w:adjustRightInd w:val="0"/>
        <w:jc w:val="both"/>
        <w:rPr>
          <w:iCs/>
          <w:color w:val="000000" w:themeColor="text1"/>
          <w:sz w:val="16"/>
          <w:szCs w:val="16"/>
        </w:rPr>
      </w:pPr>
    </w:p>
    <w:p w14:paraId="2E47333B" w14:textId="77777777" w:rsidR="004842B7" w:rsidRPr="001A0BAA" w:rsidRDefault="004842B7" w:rsidP="004842B7">
      <w:pPr>
        <w:jc w:val="both"/>
        <w:rPr>
          <w:color w:val="0070C0"/>
          <w:sz w:val="16"/>
          <w:szCs w:val="16"/>
        </w:rPr>
      </w:pPr>
      <w:r w:rsidRPr="001A0BAA">
        <w:rPr>
          <w:color w:val="0070C0"/>
          <w:sz w:val="16"/>
          <w:szCs w:val="16"/>
        </w:rPr>
        <w:t>По май 1945 г. с июля 1941 из 117 021 т нитроглицериновых порохов, произведенных в СССР, 77 871 т, или 66,54 %, были выпущены благодаря получению импортного глицерина [2, с. 55]. Прямые поставки порохов по ленд-лизу составляли в общем объеме сдачи зарядов фронту в 1942 г. 5,5 %, в 1943 г. – 12,9 %, в 1944 г. – 28,9 %, в первом полугодии 1945 г. – 18,7 % [5, с. 420] (25636).</w:t>
      </w:r>
    </w:p>
    <w:p w14:paraId="7C853CC4" w14:textId="77777777" w:rsidR="004842B7" w:rsidRPr="001A0BAA" w:rsidRDefault="004842B7" w:rsidP="004842B7">
      <w:pPr>
        <w:jc w:val="both"/>
        <w:rPr>
          <w:color w:val="0070C0"/>
          <w:sz w:val="16"/>
          <w:szCs w:val="16"/>
        </w:rPr>
      </w:pPr>
    </w:p>
    <w:p w14:paraId="51A00C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мае-июне 1945 года были получены первые образцы металлического урана высокой чистоты (10549).</w:t>
      </w:r>
    </w:p>
    <w:p w14:paraId="04136201" w14:textId="77777777" w:rsidR="00665165" w:rsidRPr="00925F26" w:rsidRDefault="00665165" w:rsidP="00925F26">
      <w:pPr>
        <w:autoSpaceDE w:val="0"/>
        <w:autoSpaceDN w:val="0"/>
        <w:adjustRightInd w:val="0"/>
        <w:jc w:val="both"/>
        <w:rPr>
          <w:color w:val="000000" w:themeColor="text1"/>
          <w:sz w:val="16"/>
          <w:szCs w:val="16"/>
        </w:rPr>
      </w:pPr>
    </w:p>
    <w:p w14:paraId="76A37E53"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9323EAB" w14:textId="77777777" w:rsidR="00665165" w:rsidRPr="00925F26" w:rsidRDefault="00665165" w:rsidP="00925F26">
      <w:pPr>
        <w:autoSpaceDE w:val="0"/>
        <w:autoSpaceDN w:val="0"/>
        <w:adjustRightInd w:val="0"/>
        <w:jc w:val="both"/>
        <w:rPr>
          <w:iCs/>
          <w:color w:val="000000" w:themeColor="text1"/>
          <w:sz w:val="16"/>
          <w:szCs w:val="16"/>
        </w:rPr>
      </w:pPr>
    </w:p>
    <w:p w14:paraId="179B24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мае - сентябре 1945 г. экипажи 73-й вад перегнали по сибирской трассе еще 80 машин. Можно было подвести итоги: за 15 месяцев работы по сибирской трассе переброшено 218 Ер-2, в авариях и катастрофах оказались потерянными 11 машин, а еще 10 бомбардировщиков сидели "на вынужденной" вне аэродромов. Часть Ер-2 отправилась на войну железнодорожным транспортом. Самолеты, упакованные в ящики, подавались для сборки на московский 456-й авиазавод НКАП, директором которого был Т.Х.Филимончук. Всего в 1944 г. таким способом перебросили 20 Ер-2, из них только две машины успели собрать до конца года. По плану первого квартала 1945 г. предусматривалось "обработать" еще два десятка самолетов, но реально завод сдал только 18 единиц. Параллельно производилась сборка самолетов Ил-4 производства заводов N 39 (Иркутск) и N 126 (Комсомольск-на-Амуре). "Илов" за первые четыре месяца 1945 г. собрали значительно больше - 96 машин. Характерно, что цена комплекса работ по Ер-2 почти вдвое превышала цену сборки Ил-4 - 39,1 тысячи рублей против 21,5 тысячи (3322,43).</w:t>
      </w:r>
    </w:p>
    <w:p w14:paraId="35D51301" w14:textId="77777777" w:rsidR="00665165" w:rsidRPr="00925F26" w:rsidRDefault="00665165" w:rsidP="00925F26">
      <w:pPr>
        <w:autoSpaceDE w:val="0"/>
        <w:autoSpaceDN w:val="0"/>
        <w:adjustRightInd w:val="0"/>
        <w:jc w:val="both"/>
        <w:rPr>
          <w:color w:val="000000" w:themeColor="text1"/>
          <w:sz w:val="16"/>
          <w:szCs w:val="16"/>
        </w:rPr>
      </w:pPr>
    </w:p>
    <w:p w14:paraId="4A46DD8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BADB83F" w14:textId="77777777" w:rsidR="00665165" w:rsidRPr="00925F26" w:rsidRDefault="00665165" w:rsidP="00925F26">
      <w:pPr>
        <w:autoSpaceDE w:val="0"/>
        <w:autoSpaceDN w:val="0"/>
        <w:adjustRightInd w:val="0"/>
        <w:jc w:val="both"/>
        <w:rPr>
          <w:iCs/>
          <w:color w:val="000000" w:themeColor="text1"/>
          <w:sz w:val="16"/>
          <w:szCs w:val="16"/>
        </w:rPr>
      </w:pPr>
    </w:p>
    <w:p w14:paraId="72821CC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конце весны 1945 г., когда грунтовые аэродромы подсохли, столкнулись с массовым выходом моторов АМ-42 из строя по причине разрушения нагнетателей. По</w:t>
      </w:r>
      <w:r w:rsidRPr="00925F26">
        <w:rPr>
          <w:color w:val="000000" w:themeColor="text1"/>
          <w:sz w:val="16"/>
          <w:szCs w:val="16"/>
        </w:rPr>
        <w:softHyphen/>
        <w:t>падавшая внутрь пыль способствовала чрезвычайно быстрому износу валика крыльчатки. Поэтому с мая на обоих за</w:t>
      </w:r>
      <w:r w:rsidRPr="00925F26">
        <w:rPr>
          <w:color w:val="000000" w:themeColor="text1"/>
          <w:sz w:val="16"/>
          <w:szCs w:val="16"/>
        </w:rPr>
        <w:softHyphen/>
        <w:t>водах стали устанавливаться на всасы</w:t>
      </w:r>
      <w:r w:rsidRPr="00925F26">
        <w:rPr>
          <w:color w:val="000000" w:themeColor="text1"/>
          <w:sz w:val="16"/>
          <w:szCs w:val="16"/>
        </w:rPr>
        <w:softHyphen/>
        <w:t>вающий патрубок воздухоочиститель</w:t>
      </w:r>
      <w:r w:rsidRPr="00925F26">
        <w:rPr>
          <w:color w:val="000000" w:themeColor="text1"/>
          <w:sz w:val="16"/>
          <w:szCs w:val="16"/>
        </w:rPr>
        <w:softHyphen/>
        <w:t>ные фильтры, конструктивно подобные фильтру ЦАГИ, стоявшему на Ил-2. Они снабжались кассетой с сеткой типа «Дельбак». Для ранее выпущенных са</w:t>
      </w:r>
      <w:r w:rsidRPr="00925F26">
        <w:rPr>
          <w:color w:val="000000" w:themeColor="text1"/>
          <w:sz w:val="16"/>
          <w:szCs w:val="16"/>
        </w:rPr>
        <w:softHyphen/>
        <w:t>молетов были изготовлены партии таких фильтров с креплением к уже имею</w:t>
      </w:r>
      <w:r w:rsidRPr="00925F26">
        <w:rPr>
          <w:color w:val="000000" w:themeColor="text1"/>
          <w:sz w:val="16"/>
          <w:szCs w:val="16"/>
        </w:rPr>
        <w:softHyphen/>
        <w:t>щимся отверстиям в броне. Но в целом до окончания войны суще</w:t>
      </w:r>
      <w:r w:rsidRPr="00925F26">
        <w:rPr>
          <w:color w:val="000000" w:themeColor="text1"/>
          <w:sz w:val="16"/>
          <w:szCs w:val="16"/>
        </w:rPr>
        <w:softHyphen/>
        <w:t>ственных изменений Ил-10 не претерпел (10680).</w:t>
      </w:r>
    </w:p>
    <w:p w14:paraId="0497F57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54B075A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09D5917" w14:textId="77777777" w:rsidR="00665165" w:rsidRPr="00925F26" w:rsidRDefault="00665165" w:rsidP="00925F26">
      <w:pPr>
        <w:autoSpaceDE w:val="0"/>
        <w:autoSpaceDN w:val="0"/>
        <w:adjustRightInd w:val="0"/>
        <w:jc w:val="both"/>
        <w:rPr>
          <w:iCs/>
          <w:color w:val="000000" w:themeColor="text1"/>
          <w:sz w:val="16"/>
          <w:szCs w:val="16"/>
        </w:rPr>
      </w:pPr>
    </w:p>
    <w:p w14:paraId="7F6F72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1-й и 30-й авиазаводы приступили к серий</w:t>
      </w:r>
      <w:r w:rsidRPr="00925F26">
        <w:rPr>
          <w:color w:val="000000" w:themeColor="text1"/>
          <w:sz w:val="16"/>
          <w:szCs w:val="16"/>
        </w:rPr>
        <w:softHyphen/>
        <w:t>ному выпуску Ил-2 с удлиненным бро</w:t>
      </w:r>
      <w:r w:rsidRPr="00925F26">
        <w:rPr>
          <w:color w:val="000000" w:themeColor="text1"/>
          <w:sz w:val="16"/>
          <w:szCs w:val="16"/>
        </w:rPr>
        <w:softHyphen/>
        <w:t>некорпусом и к концу года сумели по</w:t>
      </w:r>
      <w:r w:rsidRPr="00925F26">
        <w:rPr>
          <w:color w:val="000000" w:themeColor="text1"/>
          <w:sz w:val="16"/>
          <w:szCs w:val="16"/>
        </w:rPr>
        <w:softHyphen/>
        <w:t>ставить в ВВС, соответственно, 186 и 407 модифицированных штурмовиков.</w:t>
      </w:r>
    </w:p>
    <w:p w14:paraId="71805DCB" w14:textId="77777777" w:rsidR="00665165" w:rsidRPr="00925F26" w:rsidRDefault="00665165" w:rsidP="00925F26">
      <w:pPr>
        <w:autoSpaceDE w:val="0"/>
        <w:autoSpaceDN w:val="0"/>
        <w:adjustRightInd w:val="0"/>
        <w:jc w:val="both"/>
        <w:rPr>
          <w:color w:val="000000" w:themeColor="text1"/>
          <w:sz w:val="16"/>
          <w:szCs w:val="16"/>
        </w:rPr>
      </w:pPr>
    </w:p>
    <w:p w14:paraId="649B17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 1945 г. был построен разведчик и корректиров</w:t>
      </w:r>
      <w:r w:rsidRPr="00925F26">
        <w:rPr>
          <w:color w:val="000000" w:themeColor="text1"/>
          <w:sz w:val="16"/>
          <w:szCs w:val="16"/>
        </w:rPr>
        <w:softHyphen/>
        <w:t>щик артиллерийского огня с улучшенной защитой стрел</w:t>
      </w:r>
      <w:r w:rsidRPr="00925F26">
        <w:rPr>
          <w:color w:val="000000" w:themeColor="text1"/>
          <w:sz w:val="16"/>
          <w:szCs w:val="16"/>
        </w:rPr>
        <w:softHyphen/>
        <w:t>ка-наблюдателя на базе Ил-2 «крыло со стрелкой» (11474,390).</w:t>
      </w:r>
    </w:p>
    <w:p w14:paraId="2CE452B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464166" w14:textId="77777777" w:rsidR="0027059D" w:rsidRPr="00925F26" w:rsidRDefault="0027059D" w:rsidP="00925F26">
      <w:pPr>
        <w:pStyle w:val="a3"/>
        <w:rPr>
          <w:color w:val="000000" w:themeColor="text1"/>
          <w:lang w:val="ru-RU"/>
        </w:rPr>
      </w:pPr>
      <w:r w:rsidRPr="00925F26">
        <w:rPr>
          <w:color w:val="000000" w:themeColor="text1"/>
          <w:lang w:val="ru-RU"/>
        </w:rPr>
        <w:t>Весной 1945 г. без согласования с ВВС эскизного проекта и макета Ильюшин построил скоростной штурмовик Ил-16 с мотором М-43. Письмом от 25 мая Ильюшин ин</w:t>
      </w:r>
      <w:r w:rsidRPr="00925F26">
        <w:rPr>
          <w:color w:val="000000" w:themeColor="text1"/>
          <w:lang w:val="ru-RU"/>
        </w:rPr>
        <w:softHyphen/>
        <w:t>формировал командующего ВВС главного маршала А.А. Новикова о запланированном на 10 июня первом полёте нового штурмовика Ил-1 6 с мотором АМ-43 и предлагал «з-д</w:t>
      </w:r>
      <w:r w:rsidRPr="00925F26">
        <w:rPr>
          <w:rStyle w:val="164"/>
          <w:rFonts w:ascii="Times New Roman" w:hAnsi="Times New Roman" w:cs="Times New Roman"/>
          <w:i w:val="0"/>
          <w:color w:val="000000" w:themeColor="text1"/>
          <w:sz w:val="16"/>
          <w:szCs w:val="16"/>
          <w:lang w:val="ru-RU"/>
        </w:rPr>
        <w:t xml:space="preserve"> № 30 /.../ ориентировать на серийную постройку этого самолёта».</w:t>
      </w:r>
    </w:p>
    <w:p w14:paraId="7847B6C0" w14:textId="77777777" w:rsidR="0027059D" w:rsidRPr="00925F26" w:rsidRDefault="0027059D"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140"/>
          <w:rFonts w:ascii="Times New Roman" w:eastAsia="Arial Unicode MS" w:hAnsi="Times New Roman" w:cs="Times New Roman"/>
          <w:i w:val="0"/>
          <w:iCs w:val="0"/>
          <w:color w:val="000000" w:themeColor="text1"/>
        </w:rPr>
        <w:t>Главный инженер ВВС генерал-полковник Репин в докладе Новикову по этому вопросу отме</w:t>
      </w:r>
      <w:r w:rsidRPr="00925F26">
        <w:rPr>
          <w:rStyle w:val="2140"/>
          <w:rFonts w:ascii="Times New Roman" w:eastAsia="Arial Unicode MS" w:hAnsi="Times New Roman" w:cs="Times New Roman"/>
          <w:i w:val="0"/>
          <w:iCs w:val="0"/>
          <w:color w:val="000000" w:themeColor="text1"/>
        </w:rPr>
        <w:softHyphen/>
        <w:t>чал: «...</w:t>
      </w:r>
      <w:r w:rsidRPr="00925F26">
        <w:rPr>
          <w:rFonts w:ascii="Times New Roman" w:hAnsi="Times New Roman" w:cs="Times New Roman"/>
          <w:i w:val="0"/>
          <w:color w:val="000000" w:themeColor="text1"/>
          <w:sz w:val="16"/>
          <w:szCs w:val="16"/>
        </w:rPr>
        <w:t>ЛТД /.../ являются проектными. /.../ Эскизный проект и макет самолёта на заключение в ГК НИИ ВВС не представлялся, самолёт строится без ТТТ. При постройке самолёта не учтены выявленные при войсковых испытаниях конструктивные недостатки однотипного самолёта Ил- 10. Основными из этих оставшихся на самолёте Ил-16,</w:t>
      </w:r>
      <w:r w:rsidRPr="00925F26">
        <w:rPr>
          <w:rStyle w:val="2140"/>
          <w:rFonts w:ascii="Times New Roman" w:eastAsia="Arial Unicode MS" w:hAnsi="Times New Roman" w:cs="Times New Roman"/>
          <w:i w:val="0"/>
          <w:iCs w:val="0"/>
          <w:color w:val="000000" w:themeColor="text1"/>
        </w:rPr>
        <w:t xml:space="preserve"> являются:</w:t>
      </w:r>
      <w:r w:rsidRPr="00925F26">
        <w:rPr>
          <w:rFonts w:ascii="Times New Roman" w:hAnsi="Times New Roman" w:cs="Times New Roman"/>
          <w:i w:val="0"/>
          <w:color w:val="000000" w:themeColor="text1"/>
          <w:sz w:val="16"/>
          <w:szCs w:val="16"/>
        </w:rPr>
        <w:t xml:space="preserve"> расчёт прочности самолёта по классу «Б» (ограниченно маневренные самолёты), в то время как он должен быть отнесён к классу «А» (маневренные самолёты); ослабление бронирования по сравнению</w:t>
      </w:r>
      <w:r w:rsidRPr="00925F26">
        <w:rPr>
          <w:rStyle w:val="2140"/>
          <w:rFonts w:ascii="Times New Roman" w:eastAsia="Arial Unicode MS" w:hAnsi="Times New Roman" w:cs="Times New Roman"/>
          <w:i w:val="0"/>
          <w:iCs w:val="0"/>
          <w:color w:val="000000" w:themeColor="text1"/>
        </w:rPr>
        <w:t xml:space="preserve"> с</w:t>
      </w:r>
      <w:r w:rsidRPr="00925F26">
        <w:rPr>
          <w:rFonts w:ascii="Times New Roman" w:hAnsi="Times New Roman" w:cs="Times New Roman"/>
          <w:i w:val="0"/>
          <w:color w:val="000000" w:themeColor="text1"/>
          <w:sz w:val="16"/>
          <w:szCs w:val="16"/>
        </w:rPr>
        <w:t xml:space="preserve"> самолётом Ил-10; вес брони снизился на 230 кг; /.../ сложная и громоздкая система подвески наружных бомб; невозможность в сложных метеоусловиях летать с открытым фонарём; отсутствие систе</w:t>
      </w:r>
      <w:r w:rsidRPr="00925F26">
        <w:rPr>
          <w:rFonts w:ascii="Times New Roman" w:hAnsi="Times New Roman" w:cs="Times New Roman"/>
          <w:i w:val="0"/>
          <w:color w:val="000000" w:themeColor="text1"/>
          <w:sz w:val="16"/>
          <w:szCs w:val="16"/>
        </w:rPr>
        <w:softHyphen/>
        <w:t>мы нейтральных газов и пылефильтров».</w:t>
      </w:r>
    </w:p>
    <w:p w14:paraId="723AD5A3" w14:textId="77777777" w:rsidR="0027059D" w:rsidRPr="00925F26" w:rsidRDefault="0027059D" w:rsidP="00925F26">
      <w:pPr>
        <w:pStyle w:val="a3"/>
        <w:rPr>
          <w:rStyle w:val="164"/>
          <w:rFonts w:ascii="Times New Roman" w:hAnsi="Times New Roman" w:cs="Times New Roman"/>
          <w:i w:val="0"/>
          <w:color w:val="000000" w:themeColor="text1"/>
          <w:sz w:val="16"/>
          <w:szCs w:val="16"/>
          <w:lang w:val="ru-RU"/>
        </w:rPr>
      </w:pPr>
      <w:r w:rsidRPr="00925F26">
        <w:rPr>
          <w:color w:val="000000" w:themeColor="text1"/>
          <w:lang w:val="ru-RU"/>
        </w:rPr>
        <w:t>Командующему ВВС главному маршалу А.А. Новикову пришлось пояснять главному кон</w:t>
      </w:r>
      <w:r w:rsidRPr="00925F26">
        <w:rPr>
          <w:color w:val="000000" w:themeColor="text1"/>
          <w:lang w:val="ru-RU"/>
        </w:rPr>
        <w:softHyphen/>
        <w:t>структору, что «до</w:t>
      </w:r>
      <w:r w:rsidRPr="00925F26">
        <w:rPr>
          <w:rStyle w:val="164"/>
          <w:rFonts w:ascii="Times New Roman" w:hAnsi="Times New Roman" w:cs="Times New Roman"/>
          <w:i w:val="0"/>
          <w:color w:val="000000" w:themeColor="text1"/>
          <w:sz w:val="16"/>
          <w:szCs w:val="16"/>
          <w:lang w:val="ru-RU"/>
        </w:rPr>
        <w:t xml:space="preserve"> запуска в серию Ил-16 с М-43 должен пройти Госиспытания».</w:t>
      </w:r>
    </w:p>
    <w:p w14:paraId="5622D203" w14:textId="77777777" w:rsidR="0027059D" w:rsidRPr="00925F26" w:rsidRDefault="0027059D" w:rsidP="00925F26">
      <w:pPr>
        <w:pStyle w:val="a3"/>
        <w:rPr>
          <w:rStyle w:val="164"/>
          <w:rFonts w:ascii="Times New Roman" w:hAnsi="Times New Roman" w:cs="Times New Roman"/>
          <w:i w:val="0"/>
          <w:color w:val="000000" w:themeColor="text1"/>
          <w:sz w:val="16"/>
          <w:szCs w:val="16"/>
          <w:lang w:val="ru-RU"/>
        </w:rPr>
      </w:pPr>
      <w:r w:rsidRPr="00925F26">
        <w:rPr>
          <w:color w:val="000000" w:themeColor="text1"/>
          <w:lang w:val="ru-RU"/>
        </w:rPr>
        <w:t>Ильюшин был вынужден официально снять свое предложение по серийному производству Ил-1 6. В конечном итоге мотор АМ-43 так и не довели, поэтому летом 1 946 г. работы по Ил- 16 прекратили</w:t>
      </w:r>
      <w:r w:rsidRPr="00925F26">
        <w:rPr>
          <w:rStyle w:val="164"/>
          <w:rFonts w:ascii="Times New Roman" w:hAnsi="Times New Roman" w:cs="Times New Roman"/>
          <w:i w:val="0"/>
          <w:color w:val="000000" w:themeColor="text1"/>
          <w:sz w:val="16"/>
          <w:szCs w:val="16"/>
          <w:lang w:val="ru-RU"/>
        </w:rPr>
        <w:t xml:space="preserve"> (15978).</w:t>
      </w:r>
    </w:p>
    <w:p w14:paraId="10DFAA6A" w14:textId="77777777" w:rsidR="0027059D" w:rsidRPr="00925F26" w:rsidRDefault="0027059D" w:rsidP="00925F26">
      <w:pPr>
        <w:pStyle w:val="a3"/>
        <w:rPr>
          <w:color w:val="000000" w:themeColor="text1"/>
          <w:lang w:val="ru-RU"/>
        </w:rPr>
      </w:pPr>
    </w:p>
    <w:p w14:paraId="6F9958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 1945 года все работы по штурмовику были прекращены. О дальнейшей судьбе самолета Су-6 АМ-42 ничего не известно.</w:t>
      </w:r>
    </w:p>
    <w:p w14:paraId="68E54F5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Двухместный штурмовик Су-6 М-71Ф представлял собой </w:t>
      </w:r>
      <w:proofErr w:type="gramStart"/>
      <w:r w:rsidRPr="00925F26">
        <w:rPr>
          <w:color w:val="000000" w:themeColor="text1"/>
          <w:sz w:val="16"/>
          <w:szCs w:val="16"/>
        </w:rPr>
        <w:t>свободно-несущий</w:t>
      </w:r>
      <w:proofErr w:type="gramEnd"/>
      <w:r w:rsidRPr="00925F26">
        <w:rPr>
          <w:color w:val="000000" w:themeColor="text1"/>
          <w:sz w:val="16"/>
          <w:szCs w:val="16"/>
        </w:rPr>
        <w:t xml:space="preserve"> низкоплан с нормальным хвостовым оперением и убираю</w:t>
      </w:r>
      <w:r w:rsidRPr="00925F26">
        <w:rPr>
          <w:color w:val="000000" w:themeColor="text1"/>
          <w:sz w:val="16"/>
          <w:szCs w:val="16"/>
        </w:rPr>
        <w:softHyphen/>
        <w:t>щимся шасси.</w:t>
      </w:r>
    </w:p>
    <w:p w14:paraId="4020930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Фюзеляж смешанной конструк</w:t>
      </w:r>
      <w:r w:rsidRPr="00925F26">
        <w:rPr>
          <w:color w:val="000000" w:themeColor="text1"/>
          <w:sz w:val="16"/>
          <w:szCs w:val="16"/>
        </w:rPr>
        <w:softHyphen/>
        <w:t>ции состоял из передней части -бронекабины и хвостовой части -цельнодеревянной конструкции.</w:t>
      </w:r>
    </w:p>
    <w:p w14:paraId="3CB5E4D0"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передней части кабины рас</w:t>
      </w:r>
      <w:r w:rsidRPr="00925F26">
        <w:rPr>
          <w:color w:val="000000" w:themeColor="text1"/>
          <w:sz w:val="16"/>
          <w:szCs w:val="16"/>
        </w:rPr>
        <w:softHyphen/>
        <w:t>полагался моторный шпангоут, а под полом - бензиновый бак.</w:t>
      </w:r>
    </w:p>
    <w:p w14:paraId="2917D4E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В хвостовой части, непосред</w:t>
      </w:r>
      <w:r w:rsidRPr="00925F26">
        <w:rPr>
          <w:color w:val="000000" w:themeColor="text1"/>
          <w:sz w:val="16"/>
          <w:szCs w:val="16"/>
        </w:rPr>
        <w:softHyphen/>
        <w:t>ственно за кабиной пилота, разме</w:t>
      </w:r>
      <w:r w:rsidRPr="00925F26">
        <w:rPr>
          <w:color w:val="000000" w:themeColor="text1"/>
          <w:sz w:val="16"/>
          <w:szCs w:val="16"/>
        </w:rPr>
        <w:softHyphen/>
        <w:t>щалась кабина стрелка. Между бортами кабины и обшивкой фю</w:t>
      </w:r>
      <w:r w:rsidRPr="00925F26">
        <w:rPr>
          <w:color w:val="000000" w:themeColor="text1"/>
          <w:sz w:val="16"/>
          <w:szCs w:val="16"/>
        </w:rPr>
        <w:softHyphen/>
        <w:t>зеляжа (слева и справа) размеща</w:t>
      </w:r>
      <w:r w:rsidRPr="00925F26">
        <w:rPr>
          <w:color w:val="000000" w:themeColor="text1"/>
          <w:sz w:val="16"/>
          <w:szCs w:val="16"/>
        </w:rPr>
        <w:softHyphen/>
        <w:t>лись по одному грузовому (бомбовому) отсеку. В нижней части отсе</w:t>
      </w:r>
      <w:r w:rsidRPr="00925F26">
        <w:rPr>
          <w:color w:val="000000" w:themeColor="text1"/>
          <w:sz w:val="16"/>
          <w:szCs w:val="16"/>
        </w:rPr>
        <w:softHyphen/>
        <w:t>ки имели люки со створками. Бом</w:t>
      </w:r>
      <w:r w:rsidRPr="00925F26">
        <w:rPr>
          <w:color w:val="000000" w:themeColor="text1"/>
          <w:sz w:val="16"/>
          <w:szCs w:val="16"/>
        </w:rPr>
        <w:softHyphen/>
        <w:t>бы большого калибра подвешива</w:t>
      </w:r>
      <w:r w:rsidRPr="00925F26">
        <w:rPr>
          <w:color w:val="000000" w:themeColor="text1"/>
          <w:sz w:val="16"/>
          <w:szCs w:val="16"/>
        </w:rPr>
        <w:softHyphen/>
        <w:t>лись на замки, а малого - уклады</w:t>
      </w:r>
      <w:r w:rsidRPr="00925F26">
        <w:rPr>
          <w:color w:val="000000" w:themeColor="text1"/>
          <w:sz w:val="16"/>
          <w:szCs w:val="16"/>
        </w:rPr>
        <w:softHyphen/>
        <w:t>вались на створки люка.</w:t>
      </w:r>
    </w:p>
    <w:p w14:paraId="124F9DD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Кабины пилота и стрелка сверху закрывались фонарем с откидными крышками. Фонарь стрелка закан</w:t>
      </w:r>
      <w:r w:rsidRPr="00925F26">
        <w:rPr>
          <w:color w:val="000000" w:themeColor="text1"/>
          <w:sz w:val="16"/>
          <w:szCs w:val="16"/>
        </w:rPr>
        <w:softHyphen/>
        <w:t>чивался установкой БЛУБ под круп</w:t>
      </w:r>
      <w:r w:rsidRPr="00925F26">
        <w:rPr>
          <w:color w:val="000000" w:themeColor="text1"/>
          <w:sz w:val="16"/>
          <w:szCs w:val="16"/>
        </w:rPr>
        <w:softHyphen/>
        <w:t>нокалиберный пулемет М.Е.Берези</w:t>
      </w:r>
      <w:r w:rsidRPr="00925F26">
        <w:rPr>
          <w:color w:val="000000" w:themeColor="text1"/>
          <w:sz w:val="16"/>
          <w:szCs w:val="16"/>
        </w:rPr>
        <w:softHyphen/>
        <w:t>на. Кабина стрелка имела броне</w:t>
      </w:r>
      <w:r w:rsidRPr="00925F26">
        <w:rPr>
          <w:color w:val="000000" w:themeColor="text1"/>
          <w:sz w:val="16"/>
          <w:szCs w:val="16"/>
        </w:rPr>
        <w:softHyphen/>
        <w:t>вую защиту.</w:t>
      </w:r>
    </w:p>
    <w:p w14:paraId="1367784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Крыло трапециевидной формы в плане, с посадочными щитками, эле</w:t>
      </w:r>
      <w:r w:rsidRPr="00925F26">
        <w:rPr>
          <w:color w:val="000000" w:themeColor="text1"/>
          <w:sz w:val="16"/>
          <w:szCs w:val="16"/>
        </w:rPr>
        <w:softHyphen/>
        <w:t>ронами и концевыми автоматичес</w:t>
      </w:r>
      <w:r w:rsidRPr="00925F26">
        <w:rPr>
          <w:color w:val="000000" w:themeColor="text1"/>
          <w:sz w:val="16"/>
          <w:szCs w:val="16"/>
        </w:rPr>
        <w:softHyphen/>
        <w:t>кими предкрылками, состояло из центроплана и двух отъемных кон</w:t>
      </w:r>
      <w:r w:rsidRPr="00925F26">
        <w:rPr>
          <w:color w:val="000000" w:themeColor="text1"/>
          <w:sz w:val="16"/>
          <w:szCs w:val="16"/>
        </w:rPr>
        <w:softHyphen/>
        <w:t>солей.</w:t>
      </w:r>
    </w:p>
    <w:p w14:paraId="037F267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цельнометаллическом центроп</w:t>
      </w:r>
      <w:r w:rsidRPr="00925F26">
        <w:rPr>
          <w:color w:val="000000" w:themeColor="text1"/>
          <w:sz w:val="16"/>
          <w:szCs w:val="16"/>
        </w:rPr>
        <w:softHyphen/>
        <w:t>лане размещались отсеки для убор</w:t>
      </w:r>
      <w:r w:rsidRPr="00925F26">
        <w:rPr>
          <w:color w:val="000000" w:themeColor="text1"/>
          <w:sz w:val="16"/>
          <w:szCs w:val="16"/>
        </w:rPr>
        <w:softHyphen/>
        <w:t>ки основных опор шасси.</w:t>
      </w:r>
    </w:p>
    <w:p w14:paraId="3FF2C2A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Силовой каркас отъемных кон</w:t>
      </w:r>
      <w:r w:rsidRPr="00925F26">
        <w:rPr>
          <w:color w:val="000000" w:themeColor="text1"/>
          <w:sz w:val="16"/>
          <w:szCs w:val="16"/>
        </w:rPr>
        <w:softHyphen/>
        <w:t>солей имел смешанную конструк</w:t>
      </w:r>
      <w:r w:rsidRPr="00925F26">
        <w:rPr>
          <w:color w:val="000000" w:themeColor="text1"/>
          <w:sz w:val="16"/>
          <w:szCs w:val="16"/>
        </w:rPr>
        <w:softHyphen/>
        <w:t>цию. Продольный набор консоли состоял из двух металлических лон</w:t>
      </w:r>
      <w:r w:rsidRPr="00925F26">
        <w:rPr>
          <w:color w:val="000000" w:themeColor="text1"/>
          <w:sz w:val="16"/>
          <w:szCs w:val="16"/>
        </w:rPr>
        <w:softHyphen/>
        <w:t>жеронов, деревянных стрингеров и дополнительной деревянной стен</w:t>
      </w:r>
      <w:r w:rsidRPr="00925F26">
        <w:rPr>
          <w:color w:val="000000" w:themeColor="text1"/>
          <w:sz w:val="16"/>
          <w:szCs w:val="16"/>
        </w:rPr>
        <w:softHyphen/>
        <w:t>ки. Поперечный набор включал 16 нервюр, три из которых металли</w:t>
      </w:r>
      <w:r w:rsidRPr="00925F26">
        <w:rPr>
          <w:color w:val="000000" w:themeColor="text1"/>
          <w:sz w:val="16"/>
          <w:szCs w:val="16"/>
        </w:rPr>
        <w:softHyphen/>
        <w:t>ческие, а остальные деревянные. Каркас консолей крыла обшивался бакелитовой фанерой.</w:t>
      </w:r>
    </w:p>
    <w:p w14:paraId="5F222E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Предкрылки и щитки имели цель</w:t>
      </w:r>
      <w:r w:rsidRPr="00925F26">
        <w:rPr>
          <w:color w:val="000000" w:themeColor="text1"/>
          <w:sz w:val="16"/>
          <w:szCs w:val="16"/>
        </w:rPr>
        <w:softHyphen/>
        <w:t>нометаллическую конструкцию, а металлические элероны были обтя</w:t>
      </w:r>
      <w:r w:rsidRPr="00925F26">
        <w:rPr>
          <w:color w:val="000000" w:themeColor="text1"/>
          <w:sz w:val="16"/>
          <w:szCs w:val="16"/>
        </w:rPr>
        <w:softHyphen/>
        <w:t>нуты полотном. Левый элерон имел триммер.</w:t>
      </w:r>
    </w:p>
    <w:p w14:paraId="3D70EA0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консолях крыла размещалось стрелково-пушечное вооружение, а на нижних поверхностях имелись узлы для установки шести РО-82 или подвески двух бомб.</w:t>
      </w:r>
    </w:p>
    <w:p w14:paraId="2FCF447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Оперение - свободнонесущее, однокилевое. Киль — деревянный, стабилизатор металлический. </w:t>
      </w:r>
      <w:proofErr w:type="gramStart"/>
      <w:r w:rsidRPr="00925F26">
        <w:rPr>
          <w:color w:val="000000" w:themeColor="text1"/>
          <w:sz w:val="16"/>
          <w:szCs w:val="16"/>
        </w:rPr>
        <w:t>Рули</w:t>
      </w:r>
      <w:proofErr w:type="gramEnd"/>
      <w:r w:rsidRPr="00925F26">
        <w:rPr>
          <w:color w:val="000000" w:themeColor="text1"/>
          <w:sz w:val="16"/>
          <w:szCs w:val="16"/>
        </w:rPr>
        <w:t xml:space="preserve"> обтянутые полотном, имели весо</w:t>
      </w:r>
      <w:r w:rsidRPr="00925F26">
        <w:rPr>
          <w:color w:val="000000" w:themeColor="text1"/>
          <w:sz w:val="16"/>
          <w:szCs w:val="16"/>
        </w:rPr>
        <w:softHyphen/>
        <w:t>вую и аэродинамическую компен</w:t>
      </w:r>
      <w:r w:rsidRPr="00925F26">
        <w:rPr>
          <w:color w:val="000000" w:themeColor="text1"/>
          <w:sz w:val="16"/>
          <w:szCs w:val="16"/>
        </w:rPr>
        <w:softHyphen/>
        <w:t>сацию, снабжались триммерами.</w:t>
      </w:r>
    </w:p>
    <w:p w14:paraId="3D828A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Основные опоры с тормозными колесами 800x260 убирались назад в центроплан с поворотом колес на 90°. Основная система уборки и выпуска - гидравлическая, ава</w:t>
      </w:r>
      <w:r w:rsidRPr="00925F26">
        <w:rPr>
          <w:color w:val="000000" w:themeColor="text1"/>
          <w:sz w:val="16"/>
          <w:szCs w:val="16"/>
        </w:rPr>
        <w:softHyphen/>
        <w:t>рийная система выпуска - пневмо-</w:t>
      </w:r>
    </w:p>
    <w:p w14:paraId="5401B77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гидравлическая. Торможение основ</w:t>
      </w:r>
      <w:r w:rsidRPr="00925F26">
        <w:rPr>
          <w:color w:val="000000" w:themeColor="text1"/>
          <w:sz w:val="16"/>
          <w:szCs w:val="16"/>
        </w:rPr>
        <w:softHyphen/>
        <w:t>ных колес шасси осуществлялось от пневмосистемы.</w:t>
      </w:r>
    </w:p>
    <w:p w14:paraId="60E75EB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Хвостовая опора с колесом 3004125 частично убиралась в об</w:t>
      </w:r>
      <w:r w:rsidRPr="00925F26">
        <w:rPr>
          <w:color w:val="000000" w:themeColor="text1"/>
          <w:sz w:val="16"/>
          <w:szCs w:val="16"/>
        </w:rPr>
        <w:softHyphen/>
        <w:t>текатель фюзеляжа. Система убор</w:t>
      </w:r>
      <w:r w:rsidRPr="00925F26">
        <w:rPr>
          <w:color w:val="000000" w:themeColor="text1"/>
          <w:sz w:val="16"/>
          <w:szCs w:val="16"/>
        </w:rPr>
        <w:softHyphen/>
        <w:t>ки и выпуска - механическая с при</w:t>
      </w:r>
      <w:r w:rsidRPr="00925F26">
        <w:rPr>
          <w:color w:val="000000" w:themeColor="text1"/>
          <w:sz w:val="16"/>
          <w:szCs w:val="16"/>
        </w:rPr>
        <w:softHyphen/>
        <w:t>водом от правой основной опоры шасси.</w:t>
      </w:r>
    </w:p>
    <w:p w14:paraId="2729653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Управление самолетом: рулем высоты и элеронами - смешанное, рулем поворота - тросовое. Управ</w:t>
      </w:r>
      <w:r w:rsidRPr="00925F26">
        <w:rPr>
          <w:color w:val="000000" w:themeColor="text1"/>
          <w:sz w:val="16"/>
          <w:szCs w:val="16"/>
        </w:rPr>
        <w:softHyphen/>
        <w:t>ление рулями дублировано.</w:t>
      </w:r>
    </w:p>
    <w:p w14:paraId="7A1C43B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Силовая установка включала 14-цилиндровый мотор воздушного охлаждения М-71Ф (2200 л.с.) с ме</w:t>
      </w:r>
      <w:r w:rsidRPr="00925F26">
        <w:rPr>
          <w:color w:val="000000" w:themeColor="text1"/>
          <w:sz w:val="16"/>
          <w:szCs w:val="16"/>
        </w:rPr>
        <w:softHyphen/>
        <w:t>таллическим трехлопастным винтом АВ-5-4А, диаметром 3,25 м.</w:t>
      </w:r>
    </w:p>
    <w:p w14:paraId="295FD7A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Мотор закрывался капотом МАСА, температура головок цилин</w:t>
      </w:r>
      <w:r w:rsidRPr="00925F26">
        <w:rPr>
          <w:color w:val="000000" w:themeColor="text1"/>
          <w:sz w:val="16"/>
          <w:szCs w:val="16"/>
        </w:rPr>
        <w:softHyphen/>
        <w:t>дров мотора регулировалась створками капота («юбкой»).</w:t>
      </w:r>
    </w:p>
    <w:p w14:paraId="5CE0A6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Бензиновая система состояла из одного протектированного метал</w:t>
      </w:r>
      <w:r w:rsidRPr="00925F26">
        <w:rPr>
          <w:color w:val="000000" w:themeColor="text1"/>
          <w:sz w:val="16"/>
          <w:szCs w:val="16"/>
        </w:rPr>
        <w:softHyphen/>
        <w:t>лического бака (770л) с заливным бачком (1,7л), фильтра, пожарного крана, бензонасоса (с приводом от М-71Ф), ручного насоса и трубо</w:t>
      </w:r>
      <w:r w:rsidRPr="00925F26">
        <w:rPr>
          <w:color w:val="000000" w:themeColor="text1"/>
          <w:sz w:val="16"/>
          <w:szCs w:val="16"/>
        </w:rPr>
        <w:softHyphen/>
        <w:t>проводов.</w:t>
      </w:r>
    </w:p>
    <w:p w14:paraId="31508F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Масляная система включала в себя: маслобак (71 л), два воздуш</w:t>
      </w:r>
      <w:r w:rsidRPr="00925F26">
        <w:rPr>
          <w:color w:val="000000" w:themeColor="text1"/>
          <w:sz w:val="16"/>
          <w:szCs w:val="16"/>
        </w:rPr>
        <w:softHyphen/>
        <w:t>но-масляных 9-ти дюймовых радиа</w:t>
      </w:r>
      <w:r w:rsidRPr="00925F26">
        <w:rPr>
          <w:color w:val="000000" w:themeColor="text1"/>
          <w:sz w:val="16"/>
          <w:szCs w:val="16"/>
        </w:rPr>
        <w:softHyphen/>
        <w:t>тора, установленных симметрично в носках центроплана, нагнетаю</w:t>
      </w:r>
      <w:r w:rsidRPr="00925F26">
        <w:rPr>
          <w:color w:val="000000" w:themeColor="text1"/>
          <w:sz w:val="16"/>
          <w:szCs w:val="16"/>
        </w:rPr>
        <w:softHyphen/>
        <w:t>щий и откачивающие маслонасо-сы, трехходовой кран и трубопро</w:t>
      </w:r>
      <w:r w:rsidRPr="00925F26">
        <w:rPr>
          <w:color w:val="000000" w:themeColor="text1"/>
          <w:sz w:val="16"/>
          <w:szCs w:val="16"/>
        </w:rPr>
        <w:softHyphen/>
        <w:t>воды. Масляный бак крепился на противопожарной перегородке, в пространстве за мотором.</w:t>
      </w:r>
    </w:p>
    <w:p w14:paraId="7A97749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самолете устанавливался комплект оборудования, соответ</w:t>
      </w:r>
      <w:r w:rsidRPr="00925F26">
        <w:rPr>
          <w:color w:val="000000" w:themeColor="text1"/>
          <w:sz w:val="16"/>
          <w:szCs w:val="16"/>
        </w:rPr>
        <w:softHyphen/>
        <w:t>ствующий ТТТ ВВС к самолетам данного типа и включавший: радио</w:t>
      </w:r>
      <w:r w:rsidRPr="00925F26">
        <w:rPr>
          <w:color w:val="000000" w:themeColor="text1"/>
          <w:sz w:val="16"/>
          <w:szCs w:val="16"/>
        </w:rPr>
        <w:softHyphen/>
        <w:t>оборудование, приборное и кис</w:t>
      </w:r>
      <w:r w:rsidRPr="00925F26">
        <w:rPr>
          <w:color w:val="000000" w:themeColor="text1"/>
          <w:sz w:val="16"/>
          <w:szCs w:val="16"/>
        </w:rPr>
        <w:softHyphen/>
        <w:t>лородное оборудование, а также фотооборудование. Источником электроэнергии постоянного тока служил генераторГС-350 и аккуму</w:t>
      </w:r>
      <w:r w:rsidRPr="00925F26">
        <w:rPr>
          <w:color w:val="000000" w:themeColor="text1"/>
          <w:sz w:val="16"/>
          <w:szCs w:val="16"/>
        </w:rPr>
        <w:softHyphen/>
        <w:t>ляторная батарея 12А10.</w:t>
      </w:r>
    </w:p>
    <w:p w14:paraId="1F608DF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Вооружение состояло из стрелково-пушечного и бомбардировоч</w:t>
      </w:r>
      <w:r w:rsidRPr="00925F26">
        <w:rPr>
          <w:color w:val="000000" w:themeColor="text1"/>
          <w:sz w:val="16"/>
          <w:szCs w:val="16"/>
        </w:rPr>
        <w:softHyphen/>
        <w:t>ного.</w:t>
      </w:r>
    </w:p>
    <w:p w14:paraId="5633E12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Стрелково-пушечное:</w:t>
      </w:r>
    </w:p>
    <w:p w14:paraId="1F525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две крыльевые пушки ОКБ-16,</w:t>
      </w:r>
    </w:p>
    <w:p w14:paraId="344787D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калибра 37 мм с суммарным бое</w:t>
      </w:r>
      <w:r w:rsidRPr="00925F26">
        <w:rPr>
          <w:color w:val="000000" w:themeColor="text1"/>
          <w:sz w:val="16"/>
          <w:szCs w:val="16"/>
        </w:rPr>
        <w:softHyphen/>
        <w:t>запасом 90 патронов;</w:t>
      </w:r>
    </w:p>
    <w:p w14:paraId="3733E0BC"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два крыльевых пулемета ШКАС, калибра 7,62 мм с суммарным бое</w:t>
      </w:r>
      <w:r w:rsidRPr="00925F26">
        <w:rPr>
          <w:color w:val="000000" w:themeColor="text1"/>
          <w:sz w:val="16"/>
          <w:szCs w:val="16"/>
        </w:rPr>
        <w:softHyphen/>
        <w:t>запасом 1400 патронов;</w:t>
      </w:r>
    </w:p>
    <w:p w14:paraId="5C414FA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подвижная блистерная установ</w:t>
      </w:r>
      <w:r w:rsidRPr="00925F26">
        <w:rPr>
          <w:color w:val="000000" w:themeColor="text1"/>
          <w:sz w:val="16"/>
          <w:szCs w:val="16"/>
        </w:rPr>
        <w:softHyphen/>
        <w:t>ка БЛУБ с пулеметом УБТ, калибра 12,7 мм с боезапасом 196 патро</w:t>
      </w:r>
      <w:r w:rsidRPr="00925F26">
        <w:rPr>
          <w:color w:val="000000" w:themeColor="text1"/>
          <w:sz w:val="16"/>
          <w:szCs w:val="16"/>
        </w:rPr>
        <w:softHyphen/>
        <w:t>нов.</w:t>
      </w:r>
    </w:p>
    <w:p w14:paraId="5099C52F"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Бомбардировочное вооруже</w:t>
      </w:r>
      <w:r w:rsidRPr="00925F26">
        <w:rPr>
          <w:color w:val="000000" w:themeColor="text1"/>
          <w:sz w:val="16"/>
          <w:szCs w:val="16"/>
        </w:rPr>
        <w:softHyphen/>
        <w:t>ние:</w:t>
      </w:r>
    </w:p>
    <w:p w14:paraId="362E7E2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при нормальной полетной мас</w:t>
      </w:r>
      <w:r w:rsidRPr="00925F26">
        <w:rPr>
          <w:color w:val="000000" w:themeColor="text1"/>
          <w:sz w:val="16"/>
          <w:szCs w:val="16"/>
        </w:rPr>
        <w:softHyphen/>
        <w:t>се (5534 кг) бомбовая нагрузка не предусматривалась;</w:t>
      </w:r>
    </w:p>
    <w:p w14:paraId="30AA95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в перегрузочном варианте (5734 кг) допускалась подвеска 200 кг бомб (11845).</w:t>
      </w:r>
    </w:p>
    <w:p w14:paraId="1B34639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3DCCF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весны 1945 года проходили заводские летные испытания самолета Су-8 с небольшими пере</w:t>
      </w:r>
      <w:r w:rsidRPr="00925F26">
        <w:rPr>
          <w:color w:val="000000" w:themeColor="text1"/>
          <w:sz w:val="16"/>
          <w:szCs w:val="16"/>
        </w:rPr>
        <w:softHyphen/>
        <w:t>рывами для доработок и устране</w:t>
      </w:r>
      <w:r w:rsidRPr="00925F26">
        <w:rPr>
          <w:color w:val="000000" w:themeColor="text1"/>
          <w:sz w:val="16"/>
          <w:szCs w:val="16"/>
        </w:rPr>
        <w:softHyphen/>
        <w:t>ния неисправностей. На государ</w:t>
      </w:r>
      <w:r w:rsidRPr="00925F26">
        <w:rPr>
          <w:color w:val="000000" w:themeColor="text1"/>
          <w:sz w:val="16"/>
          <w:szCs w:val="16"/>
        </w:rPr>
        <w:softHyphen/>
        <w:t>ственные испытания самолет не передавался. После окончания войны интерес к штурмовику Су-8 пропал.</w:t>
      </w:r>
    </w:p>
    <w:p w14:paraId="091043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Бронированный штурмовик Су-8 с двумя двигателями М-71Ф, пред</w:t>
      </w:r>
      <w:r w:rsidRPr="00925F26">
        <w:rPr>
          <w:color w:val="000000" w:themeColor="text1"/>
          <w:sz w:val="16"/>
          <w:szCs w:val="16"/>
        </w:rPr>
        <w:softHyphen/>
        <w:t>назначенный «для действий по мо-томехчастям и живой силе против</w:t>
      </w:r>
      <w:r w:rsidRPr="00925F26">
        <w:rPr>
          <w:color w:val="000000" w:themeColor="text1"/>
          <w:sz w:val="16"/>
          <w:szCs w:val="16"/>
        </w:rPr>
        <w:softHyphen/>
        <w:t xml:space="preserve">ника», представлял собой моноплан смешанной конструкции со </w:t>
      </w:r>
      <w:proofErr w:type="gramStart"/>
      <w:r w:rsidRPr="00925F26">
        <w:rPr>
          <w:color w:val="000000" w:themeColor="text1"/>
          <w:sz w:val="16"/>
          <w:szCs w:val="16"/>
        </w:rPr>
        <w:t>средне-расположенным</w:t>
      </w:r>
      <w:proofErr w:type="gramEnd"/>
      <w:r w:rsidRPr="00925F26">
        <w:rPr>
          <w:color w:val="000000" w:themeColor="text1"/>
          <w:sz w:val="16"/>
          <w:szCs w:val="16"/>
        </w:rPr>
        <w:t xml:space="preserve"> крылом, двухкиле-вым разнесенным хвостовым опе</w:t>
      </w:r>
      <w:r w:rsidRPr="00925F26">
        <w:rPr>
          <w:color w:val="000000" w:themeColor="text1"/>
          <w:sz w:val="16"/>
          <w:szCs w:val="16"/>
        </w:rPr>
        <w:softHyphen/>
        <w:t>рением и трехколесным убираю</w:t>
      </w:r>
      <w:r w:rsidRPr="00925F26">
        <w:rPr>
          <w:color w:val="000000" w:themeColor="text1"/>
          <w:sz w:val="16"/>
          <w:szCs w:val="16"/>
        </w:rPr>
        <w:softHyphen/>
        <w:t>щимся шасси.</w:t>
      </w:r>
    </w:p>
    <w:p w14:paraId="4FF3B65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Фюзеляж овального сечения тех</w:t>
      </w:r>
      <w:r w:rsidRPr="00925F26">
        <w:rPr>
          <w:color w:val="000000" w:themeColor="text1"/>
          <w:sz w:val="16"/>
          <w:szCs w:val="16"/>
        </w:rPr>
        <w:softHyphen/>
        <w:t>нологически делился на три части: носовая часть была выполнена це</w:t>
      </w:r>
      <w:r w:rsidRPr="00925F26">
        <w:rPr>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53A73D16"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Крыло - свободнонесущее тра</w:t>
      </w:r>
      <w:r w:rsidRPr="00925F26">
        <w:rPr>
          <w:color w:val="000000" w:themeColor="text1"/>
          <w:sz w:val="16"/>
          <w:szCs w:val="16"/>
        </w:rPr>
        <w:softHyphen/>
        <w:t>пециевидной формы в плане, состо</w:t>
      </w:r>
      <w:r w:rsidRPr="00925F26">
        <w:rPr>
          <w:color w:val="000000" w:themeColor="text1"/>
          <w:sz w:val="16"/>
          <w:szCs w:val="16"/>
        </w:rPr>
        <w:softHyphen/>
        <w:t>яло из центроплана и двух отъем</w:t>
      </w:r>
      <w:r w:rsidRPr="00925F26">
        <w:rPr>
          <w:color w:val="000000" w:themeColor="text1"/>
          <w:sz w:val="16"/>
          <w:szCs w:val="16"/>
        </w:rPr>
        <w:softHyphen/>
        <w:t>ных консолей. Центроплан - цель</w:t>
      </w:r>
      <w:r w:rsidRPr="00925F26">
        <w:rPr>
          <w:color w:val="000000" w:themeColor="text1"/>
          <w:sz w:val="16"/>
          <w:szCs w:val="16"/>
        </w:rPr>
        <w:softHyphen/>
        <w:t>нометаллический, консоли однолон-жеронной конструкции с дополни</w:t>
      </w:r>
      <w:r w:rsidRPr="00925F26">
        <w:rPr>
          <w:color w:val="000000" w:themeColor="text1"/>
          <w:sz w:val="16"/>
          <w:szCs w:val="16"/>
        </w:rPr>
        <w:softHyphen/>
        <w:t>тельной стенкой. Лонжерон и стен</w:t>
      </w:r>
      <w:r w:rsidRPr="00925F26">
        <w:rPr>
          <w:color w:val="000000" w:themeColor="text1"/>
          <w:sz w:val="16"/>
          <w:szCs w:val="16"/>
        </w:rPr>
        <w:softHyphen/>
        <w:t>ка - цельнометаллические, нервю</w:t>
      </w:r>
      <w:r w:rsidRPr="00925F26">
        <w:rPr>
          <w:color w:val="000000" w:themeColor="text1"/>
          <w:sz w:val="16"/>
          <w:szCs w:val="16"/>
        </w:rPr>
        <w:softHyphen/>
        <w:t>ры деревянные, обшивка фанерная. Профили крыла МАСА-230 большой относительной толщины. Механиза</w:t>
      </w:r>
      <w:r w:rsidRPr="00925F26">
        <w:rPr>
          <w:color w:val="000000" w:themeColor="text1"/>
          <w:sz w:val="16"/>
          <w:szCs w:val="16"/>
        </w:rPr>
        <w:softHyphen/>
        <w:t>ция крыла состояла из автомати</w:t>
      </w:r>
      <w:r w:rsidRPr="00925F26">
        <w:rPr>
          <w:color w:val="000000" w:themeColor="text1"/>
          <w:sz w:val="16"/>
          <w:szCs w:val="16"/>
        </w:rPr>
        <w:softHyphen/>
        <w:t>ческих предкрылков, элеронов и посадочных щитков.</w:t>
      </w:r>
    </w:p>
    <w:p w14:paraId="51DF5D2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Хвостовое оперение - цельно</w:t>
      </w:r>
      <w:r w:rsidRPr="00925F26">
        <w:rPr>
          <w:color w:val="000000" w:themeColor="text1"/>
          <w:sz w:val="16"/>
          <w:szCs w:val="16"/>
        </w:rPr>
        <w:softHyphen/>
        <w:t>металлическое, рули обтянуты по</w:t>
      </w:r>
      <w:r w:rsidRPr="00925F26">
        <w:rPr>
          <w:color w:val="000000" w:themeColor="text1"/>
          <w:sz w:val="16"/>
          <w:szCs w:val="16"/>
        </w:rPr>
        <w:softHyphen/>
        <w:t>лотном.</w:t>
      </w:r>
    </w:p>
    <w:p w14:paraId="01051A5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Шасси - трехопорное с хвосто</w:t>
      </w:r>
      <w:r w:rsidRPr="00925F26">
        <w:rPr>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925F26">
        <w:rPr>
          <w:color w:val="000000" w:themeColor="text1"/>
          <w:sz w:val="16"/>
          <w:szCs w:val="16"/>
        </w:rPr>
        <w:softHyphen/>
        <w:t>лась в фюзеляж по потоку. Система уборки и выпуска шасси — гидрав</w:t>
      </w:r>
      <w:r w:rsidRPr="00925F26">
        <w:rPr>
          <w:color w:val="000000" w:themeColor="text1"/>
          <w:sz w:val="16"/>
          <w:szCs w:val="16"/>
        </w:rPr>
        <w:softHyphen/>
        <w:t>лическая.</w:t>
      </w:r>
    </w:p>
    <w:p w14:paraId="3BD0B43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Система управления самолетом смешанного типа.</w:t>
      </w:r>
    </w:p>
    <w:p w14:paraId="509F04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Силовая установка состояла из двух двигателей воздушного охлаж-</w:t>
      </w:r>
    </w:p>
    <w:p w14:paraId="7F7C1888"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дения М-71Ф, размещенных в мо</w:t>
      </w:r>
      <w:r w:rsidRPr="00925F26">
        <w:rPr>
          <w:color w:val="000000" w:themeColor="text1"/>
          <w:sz w:val="16"/>
          <w:szCs w:val="16"/>
        </w:rPr>
        <w:softHyphen/>
        <w:t>тогондолах. Топливные баки распо</w:t>
      </w:r>
      <w:r w:rsidRPr="00925F26">
        <w:rPr>
          <w:color w:val="000000" w:themeColor="text1"/>
          <w:sz w:val="16"/>
          <w:szCs w:val="16"/>
        </w:rPr>
        <w:softHyphen/>
        <w:t>лагались в мотогондолах и консо</w:t>
      </w:r>
      <w:r w:rsidRPr="00925F26">
        <w:rPr>
          <w:color w:val="000000" w:themeColor="text1"/>
          <w:sz w:val="16"/>
          <w:szCs w:val="16"/>
        </w:rPr>
        <w:softHyphen/>
        <w:t>лях крыла.</w:t>
      </w:r>
    </w:p>
    <w:p w14:paraId="56C6138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Пушечное вооружение включа</w:t>
      </w:r>
      <w:r w:rsidRPr="00925F26">
        <w:rPr>
          <w:color w:val="000000" w:themeColor="text1"/>
          <w:sz w:val="16"/>
          <w:szCs w:val="16"/>
        </w:rPr>
        <w:softHyphen/>
        <w:t>ло подфюзеляжную батарею из четырех пушек калибра 45 мм с сум</w:t>
      </w:r>
      <w:r w:rsidRPr="00925F26">
        <w:rPr>
          <w:color w:val="000000" w:themeColor="text1"/>
          <w:sz w:val="16"/>
          <w:szCs w:val="16"/>
        </w:rPr>
        <w:softHyphen/>
        <w:t>марным боекомплектом 200 патронов.</w:t>
      </w:r>
    </w:p>
    <w:p w14:paraId="07E871F9"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состо</w:t>
      </w:r>
      <w:r w:rsidRPr="00925F26">
        <w:rPr>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925F26">
        <w:rPr>
          <w:color w:val="000000" w:themeColor="text1"/>
          <w:sz w:val="16"/>
          <w:szCs w:val="16"/>
        </w:rPr>
        <w:softHyphen/>
        <w:t>ста. УБТ - на верхней турели УТК-1 с боекомплектом 200 патронов и пулемета ШКАС на нижней люко</w:t>
      </w:r>
      <w:r w:rsidRPr="00925F26">
        <w:rPr>
          <w:color w:val="000000" w:themeColor="text1"/>
          <w:sz w:val="16"/>
          <w:szCs w:val="16"/>
        </w:rPr>
        <w:softHyphen/>
        <w:t>вой турели ЛУ-100 с боекомплек</w:t>
      </w:r>
      <w:r w:rsidRPr="00925F26">
        <w:rPr>
          <w:color w:val="000000" w:themeColor="text1"/>
          <w:sz w:val="16"/>
          <w:szCs w:val="16"/>
        </w:rPr>
        <w:softHyphen/>
        <w:t>том 700 патронов.</w:t>
      </w:r>
    </w:p>
    <w:p w14:paraId="7B6912F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925F26">
        <w:rPr>
          <w:color w:val="000000" w:themeColor="text1"/>
          <w:sz w:val="16"/>
          <w:szCs w:val="16"/>
        </w:rPr>
        <w:softHyphen/>
        <w:t>грузочном варианте - 1400 кг.</w:t>
      </w:r>
    </w:p>
    <w:p w14:paraId="09090F0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Бронирование, общей массой 1680 кг, обеспечивало защиту пи</w:t>
      </w:r>
      <w:r w:rsidRPr="00925F26">
        <w:rPr>
          <w:color w:val="000000" w:themeColor="text1"/>
          <w:sz w:val="16"/>
          <w:szCs w:val="16"/>
        </w:rPr>
        <w:softHyphen/>
        <w:t>лота, стрелка-радиста, моторов, крыльевых бензобаков, маслобаков, маслорадиаторов и втулок воздуш</w:t>
      </w:r>
      <w:r w:rsidRPr="00925F26">
        <w:rPr>
          <w:color w:val="000000" w:themeColor="text1"/>
          <w:sz w:val="16"/>
          <w:szCs w:val="16"/>
        </w:rPr>
        <w:softHyphen/>
        <w:t>ных винтов (11853).</w:t>
      </w:r>
    </w:p>
    <w:p w14:paraId="3B9176A6" w14:textId="77777777" w:rsidR="00665165" w:rsidRPr="00925F26" w:rsidRDefault="00665165" w:rsidP="00925F26">
      <w:pPr>
        <w:autoSpaceDE w:val="0"/>
        <w:autoSpaceDN w:val="0"/>
        <w:adjustRightInd w:val="0"/>
        <w:jc w:val="both"/>
        <w:rPr>
          <w:color w:val="000000" w:themeColor="text1"/>
          <w:sz w:val="16"/>
          <w:szCs w:val="16"/>
        </w:rPr>
      </w:pPr>
    </w:p>
    <w:p w14:paraId="56819D9D" w14:textId="77777777" w:rsidR="006A1A77" w:rsidRPr="00925F26" w:rsidRDefault="006A1A77" w:rsidP="00925F26">
      <w:pPr>
        <w:jc w:val="both"/>
        <w:rPr>
          <w:color w:val="000000" w:themeColor="text1"/>
          <w:sz w:val="16"/>
          <w:szCs w:val="16"/>
        </w:rPr>
      </w:pPr>
      <w:r w:rsidRPr="00925F26">
        <w:rPr>
          <w:color w:val="000000" w:themeColor="text1"/>
          <w:sz w:val="16"/>
          <w:szCs w:val="16"/>
        </w:rPr>
        <w:t>До весны 1945 года с небольшими перерывами продолжались Заводские испытания самолета Су-8, которые начались в марте 1944.</w:t>
      </w:r>
    </w:p>
    <w:p w14:paraId="45886BAC" w14:textId="05000143" w:rsidR="006A1A77" w:rsidRPr="00925F26" w:rsidRDefault="006A1A77" w:rsidP="00925F26">
      <w:pPr>
        <w:jc w:val="both"/>
        <w:rPr>
          <w:color w:val="000000" w:themeColor="text1"/>
          <w:sz w:val="16"/>
          <w:szCs w:val="16"/>
        </w:rPr>
      </w:pPr>
      <w:r w:rsidRPr="00925F26">
        <w:rPr>
          <w:color w:val="000000" w:themeColor="text1"/>
          <w:sz w:val="16"/>
          <w:szCs w:val="16"/>
        </w:rPr>
        <w:t xml:space="preserve">С учетом требований войны вместо 37-мм пушек и пулеметов УБК под фюзеляжем установили четыре пушки НС-45 калибра </w:t>
      </w:r>
      <w:proofErr w:type="gramStart"/>
      <w:r w:rsidRPr="00925F26">
        <w:rPr>
          <w:color w:val="000000" w:themeColor="text1"/>
          <w:sz w:val="16"/>
          <w:szCs w:val="16"/>
        </w:rPr>
        <w:t>45</w:t>
      </w:r>
      <w:r w:rsidR="00997EDF" w:rsidRPr="00925F26">
        <w:rPr>
          <w:color w:val="000000" w:themeColor="text1"/>
          <w:sz w:val="16"/>
          <w:szCs w:val="16"/>
        </w:rPr>
        <w:t xml:space="preserve">  </w:t>
      </w:r>
      <w:r w:rsidRPr="00925F26">
        <w:rPr>
          <w:color w:val="000000" w:themeColor="text1"/>
          <w:sz w:val="16"/>
          <w:szCs w:val="16"/>
        </w:rPr>
        <w:t>мм</w:t>
      </w:r>
      <w:proofErr w:type="gramEnd"/>
      <w:r w:rsidRPr="00925F26">
        <w:rPr>
          <w:color w:val="000000" w:themeColor="text1"/>
          <w:sz w:val="16"/>
          <w:szCs w:val="16"/>
        </w:rPr>
        <w:t xml:space="preserve">. Остальной состав вооружения остался без изменений. Вес нормальной бомбовой </w:t>
      </w:r>
      <w:proofErr w:type="gramStart"/>
      <w:r w:rsidRPr="00925F26">
        <w:rPr>
          <w:color w:val="000000" w:themeColor="text1"/>
          <w:sz w:val="16"/>
          <w:szCs w:val="16"/>
        </w:rPr>
        <w:t>нагрузки</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w:t>
      </w:r>
      <w:proofErr w:type="gramStart"/>
      <w:r w:rsidRPr="00925F26">
        <w:rPr>
          <w:color w:val="000000" w:themeColor="text1"/>
          <w:sz w:val="16"/>
          <w:szCs w:val="16"/>
        </w:rPr>
        <w:t>600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(в перегрузку </w:t>
      </w:r>
      <w:proofErr w:type="gramStart"/>
      <w:r w:rsidRPr="00925F26">
        <w:rPr>
          <w:color w:val="000000" w:themeColor="text1"/>
          <w:sz w:val="16"/>
          <w:szCs w:val="16"/>
        </w:rPr>
        <w:t>1400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Допускалась подвеска трех бомб калибра </w:t>
      </w:r>
      <w:proofErr w:type="gramStart"/>
      <w:r w:rsidRPr="00925F26">
        <w:rPr>
          <w:color w:val="000000" w:themeColor="text1"/>
          <w:sz w:val="16"/>
          <w:szCs w:val="16"/>
        </w:rPr>
        <w:t>250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либо двух бомб калибра </w:t>
      </w:r>
      <w:proofErr w:type="gramStart"/>
      <w:r w:rsidRPr="00925F26">
        <w:rPr>
          <w:color w:val="000000" w:themeColor="text1"/>
          <w:sz w:val="16"/>
          <w:szCs w:val="16"/>
        </w:rPr>
        <w:t>500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w:t>
      </w:r>
    </w:p>
    <w:p w14:paraId="1D9784F2" w14:textId="3A677CBE" w:rsidR="006A1A77" w:rsidRPr="00925F26" w:rsidRDefault="006A1A77" w:rsidP="00925F26">
      <w:pPr>
        <w:jc w:val="both"/>
        <w:rPr>
          <w:color w:val="000000" w:themeColor="text1"/>
          <w:sz w:val="16"/>
          <w:szCs w:val="16"/>
        </w:rPr>
      </w:pPr>
      <w:r w:rsidRPr="00925F26">
        <w:rPr>
          <w:color w:val="000000" w:themeColor="text1"/>
          <w:sz w:val="16"/>
          <w:szCs w:val="16"/>
        </w:rPr>
        <w:t xml:space="preserve">Схема бронирования обеспечивала защиту от огня крупнокалиберных пулеметов: летчика, стрелка-радиста, моторов (не забронированы только цилиндры), крыльевых бензобаков, маслобаков, маслорадиаторов и цилиндров винтов. Спереди летчика защищали бронестекла толщиной </w:t>
      </w:r>
      <w:proofErr w:type="gramStart"/>
      <w:r w:rsidRPr="00925F26">
        <w:rPr>
          <w:color w:val="000000" w:themeColor="text1"/>
          <w:sz w:val="16"/>
          <w:szCs w:val="16"/>
        </w:rPr>
        <w:t>64</w:t>
      </w:r>
      <w:r w:rsidR="00997EDF" w:rsidRPr="00925F26">
        <w:rPr>
          <w:color w:val="000000" w:themeColor="text1"/>
          <w:sz w:val="16"/>
          <w:szCs w:val="16"/>
        </w:rPr>
        <w:t xml:space="preserve">  </w:t>
      </w:r>
      <w:r w:rsidRPr="00925F26">
        <w:rPr>
          <w:color w:val="000000" w:themeColor="text1"/>
          <w:sz w:val="16"/>
          <w:szCs w:val="16"/>
        </w:rPr>
        <w:t>мм</w:t>
      </w:r>
      <w:proofErr w:type="gramEnd"/>
      <w:r w:rsidRPr="00925F26">
        <w:rPr>
          <w:color w:val="000000" w:themeColor="text1"/>
          <w:sz w:val="16"/>
          <w:szCs w:val="16"/>
        </w:rPr>
        <w:t xml:space="preserve">. Общий вес брони на самолете достигал </w:t>
      </w:r>
      <w:proofErr w:type="gramStart"/>
      <w:r w:rsidRPr="00925F26">
        <w:rPr>
          <w:color w:val="000000" w:themeColor="text1"/>
          <w:sz w:val="16"/>
          <w:szCs w:val="16"/>
        </w:rPr>
        <w:t>1680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w:t>
      </w:r>
    </w:p>
    <w:p w14:paraId="58D3FB20" w14:textId="58FAABC3" w:rsidR="006A1A77" w:rsidRPr="00925F26" w:rsidRDefault="006A1A77" w:rsidP="00925F26">
      <w:pPr>
        <w:jc w:val="both"/>
        <w:rPr>
          <w:color w:val="000000" w:themeColor="text1"/>
          <w:sz w:val="16"/>
          <w:szCs w:val="16"/>
        </w:rPr>
      </w:pPr>
      <w:r w:rsidRPr="00925F26">
        <w:rPr>
          <w:color w:val="000000" w:themeColor="text1"/>
          <w:sz w:val="16"/>
          <w:szCs w:val="16"/>
        </w:rPr>
        <w:t xml:space="preserve">При нормальном полетном весе </w:t>
      </w:r>
      <w:proofErr w:type="gramStart"/>
      <w:r w:rsidRPr="00925F26">
        <w:rPr>
          <w:color w:val="000000" w:themeColor="text1"/>
          <w:sz w:val="16"/>
          <w:szCs w:val="16"/>
        </w:rPr>
        <w:t>12</w:t>
      </w:r>
      <w:r w:rsidR="00997EDF" w:rsidRPr="00925F26">
        <w:rPr>
          <w:color w:val="000000" w:themeColor="text1"/>
          <w:sz w:val="16"/>
          <w:szCs w:val="16"/>
        </w:rPr>
        <w:t xml:space="preserve">  </w:t>
      </w:r>
      <w:r w:rsidRPr="00925F26">
        <w:rPr>
          <w:color w:val="000000" w:themeColor="text1"/>
          <w:sz w:val="16"/>
          <w:szCs w:val="16"/>
        </w:rPr>
        <w:t>413</w:t>
      </w:r>
      <w:proofErr w:type="gramEnd"/>
      <w:r w:rsidR="00997EDF" w:rsidRPr="00925F26">
        <w:rPr>
          <w:color w:val="000000" w:themeColor="text1"/>
          <w:sz w:val="16"/>
          <w:szCs w:val="16"/>
        </w:rPr>
        <w:t xml:space="preserve">  </w:t>
      </w:r>
      <w:r w:rsidRPr="00925F26">
        <w:rPr>
          <w:color w:val="000000" w:themeColor="text1"/>
          <w:sz w:val="16"/>
          <w:szCs w:val="16"/>
        </w:rPr>
        <w:t>кг (</w:t>
      </w:r>
      <w:proofErr w:type="gramStart"/>
      <w:r w:rsidRPr="00925F26">
        <w:rPr>
          <w:color w:val="000000" w:themeColor="text1"/>
          <w:sz w:val="16"/>
          <w:szCs w:val="16"/>
        </w:rPr>
        <w:t>600</w:t>
      </w:r>
      <w:r w:rsidR="00997EDF" w:rsidRPr="00925F26">
        <w:rPr>
          <w:color w:val="000000" w:themeColor="text1"/>
          <w:sz w:val="16"/>
          <w:szCs w:val="16"/>
        </w:rPr>
        <w:t xml:space="preserve">  </w:t>
      </w:r>
      <w:r w:rsidRPr="00925F26">
        <w:rPr>
          <w:color w:val="000000" w:themeColor="text1"/>
          <w:sz w:val="16"/>
          <w:szCs w:val="16"/>
        </w:rPr>
        <w:t>кг</w:t>
      </w:r>
      <w:proofErr w:type="gramEnd"/>
      <w:r w:rsidRPr="00925F26">
        <w:rPr>
          <w:color w:val="000000" w:themeColor="text1"/>
          <w:sz w:val="16"/>
          <w:szCs w:val="16"/>
        </w:rPr>
        <w:t xml:space="preserve"> бомб) максимальная скорость полета составила </w:t>
      </w:r>
      <w:proofErr w:type="gramStart"/>
      <w:r w:rsidRPr="00925F26">
        <w:rPr>
          <w:color w:val="000000" w:themeColor="text1"/>
          <w:sz w:val="16"/>
          <w:szCs w:val="16"/>
        </w:rPr>
        <w:t>500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/ч у земли и </w:t>
      </w:r>
      <w:proofErr w:type="gramStart"/>
      <w:r w:rsidRPr="00925F26">
        <w:rPr>
          <w:color w:val="000000" w:themeColor="text1"/>
          <w:sz w:val="16"/>
          <w:szCs w:val="16"/>
        </w:rPr>
        <w:t>550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w:t>
      </w:r>
      <w:proofErr w:type="gramStart"/>
      <w:r w:rsidRPr="00925F26">
        <w:rPr>
          <w:color w:val="000000" w:themeColor="text1"/>
          <w:sz w:val="16"/>
          <w:szCs w:val="16"/>
        </w:rPr>
        <w:t>ч</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на высоте </w:t>
      </w:r>
      <w:proofErr w:type="gramStart"/>
      <w:r w:rsidRPr="00925F26">
        <w:rPr>
          <w:color w:val="000000" w:themeColor="text1"/>
          <w:sz w:val="16"/>
          <w:szCs w:val="16"/>
        </w:rPr>
        <w:t>4600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 Время подъема на высоту </w:t>
      </w:r>
      <w:proofErr w:type="gramStart"/>
      <w:r w:rsidRPr="00925F26">
        <w:rPr>
          <w:color w:val="000000" w:themeColor="text1"/>
          <w:sz w:val="16"/>
          <w:szCs w:val="16"/>
        </w:rPr>
        <w:t>4000</w:t>
      </w:r>
      <w:r w:rsidR="00997EDF" w:rsidRPr="00925F26">
        <w:rPr>
          <w:color w:val="000000" w:themeColor="text1"/>
          <w:sz w:val="16"/>
          <w:szCs w:val="16"/>
        </w:rPr>
        <w:t xml:space="preserve">  </w:t>
      </w:r>
      <w:r w:rsidRPr="00925F26">
        <w:rPr>
          <w:color w:val="000000" w:themeColor="text1"/>
          <w:sz w:val="16"/>
          <w:szCs w:val="16"/>
        </w:rPr>
        <w:t>м</w:t>
      </w:r>
      <w:proofErr w:type="gramEnd"/>
      <w:r w:rsidR="00997EDF" w:rsidRPr="00925F26">
        <w:rPr>
          <w:color w:val="000000" w:themeColor="text1"/>
          <w:sz w:val="16"/>
          <w:szCs w:val="16"/>
        </w:rPr>
        <w:t xml:space="preserve">  </w:t>
      </w:r>
      <w:r w:rsidRPr="00925F26">
        <w:rPr>
          <w:color w:val="000000" w:themeColor="text1"/>
          <w:sz w:val="16"/>
          <w:szCs w:val="16"/>
        </w:rPr>
        <w:t>– 7,</w:t>
      </w:r>
      <w:proofErr w:type="gramStart"/>
      <w:r w:rsidRPr="00925F26">
        <w:rPr>
          <w:color w:val="000000" w:themeColor="text1"/>
          <w:sz w:val="16"/>
          <w:szCs w:val="16"/>
        </w:rPr>
        <w:t>26</w:t>
      </w:r>
      <w:r w:rsidR="00997EDF" w:rsidRPr="00925F26">
        <w:rPr>
          <w:color w:val="000000" w:themeColor="text1"/>
          <w:sz w:val="16"/>
          <w:szCs w:val="16"/>
        </w:rPr>
        <w:t xml:space="preserve">  </w:t>
      </w:r>
      <w:r w:rsidRPr="00925F26">
        <w:rPr>
          <w:color w:val="000000" w:themeColor="text1"/>
          <w:sz w:val="16"/>
          <w:szCs w:val="16"/>
        </w:rPr>
        <w:t>мин.</w:t>
      </w:r>
      <w:proofErr w:type="gramEnd"/>
      <w:r w:rsidRPr="00925F26">
        <w:rPr>
          <w:color w:val="000000" w:themeColor="text1"/>
          <w:sz w:val="16"/>
          <w:szCs w:val="16"/>
        </w:rPr>
        <w:t xml:space="preserve"> Дальность полета на высоте </w:t>
      </w:r>
      <w:proofErr w:type="gramStart"/>
      <w:r w:rsidRPr="00925F26">
        <w:rPr>
          <w:color w:val="000000" w:themeColor="text1"/>
          <w:sz w:val="16"/>
          <w:szCs w:val="16"/>
        </w:rPr>
        <w:t>1000</w:t>
      </w:r>
      <w:r w:rsidR="00997EDF" w:rsidRPr="00925F26">
        <w:rPr>
          <w:color w:val="000000" w:themeColor="text1"/>
          <w:sz w:val="16"/>
          <w:szCs w:val="16"/>
        </w:rPr>
        <w:t xml:space="preserve">  </w:t>
      </w:r>
      <w:r w:rsidRPr="00925F26">
        <w:rPr>
          <w:color w:val="000000" w:themeColor="text1"/>
          <w:sz w:val="16"/>
          <w:szCs w:val="16"/>
        </w:rPr>
        <w:t>м</w:t>
      </w:r>
      <w:proofErr w:type="gramEnd"/>
      <w:r w:rsidRPr="00925F26">
        <w:rPr>
          <w:color w:val="000000" w:themeColor="text1"/>
          <w:sz w:val="16"/>
          <w:szCs w:val="16"/>
        </w:rPr>
        <w:t xml:space="preserve"> (скорость </w:t>
      </w:r>
      <w:proofErr w:type="gramStart"/>
      <w:r w:rsidRPr="00925F26">
        <w:rPr>
          <w:color w:val="000000" w:themeColor="text1"/>
          <w:sz w:val="16"/>
          <w:szCs w:val="16"/>
        </w:rPr>
        <w:t>335</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w:t>
      </w:r>
      <w:proofErr w:type="gramStart"/>
      <w:r w:rsidRPr="00925F26">
        <w:rPr>
          <w:color w:val="000000" w:themeColor="text1"/>
          <w:sz w:val="16"/>
          <w:szCs w:val="16"/>
        </w:rPr>
        <w:t>ч)</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w:t>
      </w:r>
      <w:proofErr w:type="gramStart"/>
      <w:r w:rsidRPr="00925F26">
        <w:rPr>
          <w:color w:val="000000" w:themeColor="text1"/>
          <w:sz w:val="16"/>
          <w:szCs w:val="16"/>
        </w:rPr>
        <w:t>1000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 (в перегрузку </w:t>
      </w:r>
      <w:proofErr w:type="gramStart"/>
      <w:r w:rsidRPr="00925F26">
        <w:rPr>
          <w:color w:val="000000" w:themeColor="text1"/>
          <w:sz w:val="16"/>
          <w:szCs w:val="16"/>
        </w:rPr>
        <w:t>1500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w:t>
      </w:r>
    </w:p>
    <w:p w14:paraId="5755D1D7" w14:textId="09C5D983" w:rsidR="006A1A77" w:rsidRPr="00925F26" w:rsidRDefault="006A1A77" w:rsidP="00925F26">
      <w:pPr>
        <w:jc w:val="both"/>
        <w:rPr>
          <w:color w:val="000000" w:themeColor="text1"/>
          <w:sz w:val="16"/>
          <w:szCs w:val="16"/>
        </w:rPr>
      </w:pPr>
      <w:r w:rsidRPr="00925F26">
        <w:rPr>
          <w:color w:val="000000" w:themeColor="text1"/>
          <w:sz w:val="16"/>
          <w:szCs w:val="16"/>
        </w:rPr>
        <w:t xml:space="preserve">Дело в том, что в связи с запуском в массовое производство штурмовика Ил-10 с мотором АМ-42 вопрос об организации серийного выпуска мотора М-71 с повестки дня был снят. В ОКБ Сухого оперативно подготовили проект Су-8 под мотор АМ-42. Получались вполне приличные летные данные. При полетном весе </w:t>
      </w:r>
      <w:proofErr w:type="gramStart"/>
      <w:r w:rsidRPr="00925F26">
        <w:rPr>
          <w:color w:val="000000" w:themeColor="text1"/>
          <w:sz w:val="16"/>
          <w:szCs w:val="16"/>
        </w:rPr>
        <w:t>12</w:t>
      </w:r>
      <w:r w:rsidR="00997EDF" w:rsidRPr="00925F26">
        <w:rPr>
          <w:color w:val="000000" w:themeColor="text1"/>
          <w:sz w:val="16"/>
          <w:szCs w:val="16"/>
        </w:rPr>
        <w:t xml:space="preserve">  </w:t>
      </w:r>
      <w:r w:rsidRPr="00925F26">
        <w:rPr>
          <w:color w:val="000000" w:themeColor="text1"/>
          <w:sz w:val="16"/>
          <w:szCs w:val="16"/>
        </w:rPr>
        <w:t>774</w:t>
      </w:r>
      <w:proofErr w:type="gramEnd"/>
      <w:r w:rsidR="00997EDF" w:rsidRPr="00925F26">
        <w:rPr>
          <w:color w:val="000000" w:themeColor="text1"/>
          <w:sz w:val="16"/>
          <w:szCs w:val="16"/>
        </w:rPr>
        <w:t xml:space="preserve">  </w:t>
      </w:r>
      <w:r w:rsidRPr="00925F26">
        <w:rPr>
          <w:color w:val="000000" w:themeColor="text1"/>
          <w:sz w:val="16"/>
          <w:szCs w:val="16"/>
        </w:rPr>
        <w:t xml:space="preserve">кг максимальная скорость у земли составляла </w:t>
      </w:r>
      <w:proofErr w:type="gramStart"/>
      <w:r w:rsidRPr="00925F26">
        <w:rPr>
          <w:color w:val="000000" w:themeColor="text1"/>
          <w:sz w:val="16"/>
          <w:szCs w:val="16"/>
        </w:rPr>
        <w:t>485</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/ч, на высоте </w:t>
      </w:r>
      <w:proofErr w:type="gramStart"/>
      <w:r w:rsidRPr="00925F26">
        <w:rPr>
          <w:color w:val="000000" w:themeColor="text1"/>
          <w:sz w:val="16"/>
          <w:szCs w:val="16"/>
        </w:rPr>
        <w:t>2500</w:t>
      </w:r>
      <w:r w:rsidR="00997EDF" w:rsidRPr="00925F26">
        <w:rPr>
          <w:color w:val="000000" w:themeColor="text1"/>
          <w:sz w:val="16"/>
          <w:szCs w:val="16"/>
        </w:rPr>
        <w:t xml:space="preserve">  </w:t>
      </w:r>
      <w:r w:rsidRPr="00925F26">
        <w:rPr>
          <w:color w:val="000000" w:themeColor="text1"/>
          <w:sz w:val="16"/>
          <w:szCs w:val="16"/>
        </w:rPr>
        <w:t>м</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525</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xml:space="preserve">/ч. Время подъема на </w:t>
      </w:r>
      <w:proofErr w:type="gramStart"/>
      <w:r w:rsidRPr="00925F26">
        <w:rPr>
          <w:color w:val="000000" w:themeColor="text1"/>
          <w:sz w:val="16"/>
          <w:szCs w:val="16"/>
        </w:rPr>
        <w:t>4000</w:t>
      </w:r>
      <w:r w:rsidR="00997EDF" w:rsidRPr="00925F26">
        <w:rPr>
          <w:color w:val="000000" w:themeColor="text1"/>
          <w:sz w:val="16"/>
          <w:szCs w:val="16"/>
        </w:rPr>
        <w:t xml:space="preserve">  </w:t>
      </w:r>
      <w:r w:rsidRPr="00925F26">
        <w:rPr>
          <w:color w:val="000000" w:themeColor="text1"/>
          <w:sz w:val="16"/>
          <w:szCs w:val="16"/>
        </w:rPr>
        <w:t>м</w:t>
      </w:r>
      <w:proofErr w:type="gramEnd"/>
      <w:r w:rsidR="00997EDF" w:rsidRPr="00925F26">
        <w:rPr>
          <w:color w:val="000000" w:themeColor="text1"/>
          <w:sz w:val="16"/>
          <w:szCs w:val="16"/>
        </w:rPr>
        <w:t xml:space="preserve">  </w:t>
      </w:r>
      <w:r w:rsidRPr="00925F26">
        <w:rPr>
          <w:color w:val="000000" w:themeColor="text1"/>
          <w:sz w:val="16"/>
          <w:szCs w:val="16"/>
        </w:rPr>
        <w:t>– 8,</w:t>
      </w:r>
      <w:proofErr w:type="gramStart"/>
      <w:r w:rsidRPr="00925F26">
        <w:rPr>
          <w:color w:val="000000" w:themeColor="text1"/>
          <w:sz w:val="16"/>
          <w:szCs w:val="16"/>
        </w:rPr>
        <w:t>5</w:t>
      </w:r>
      <w:r w:rsidR="00997EDF" w:rsidRPr="00925F26">
        <w:rPr>
          <w:color w:val="000000" w:themeColor="text1"/>
          <w:sz w:val="16"/>
          <w:szCs w:val="16"/>
        </w:rPr>
        <w:t xml:space="preserve">  </w:t>
      </w:r>
      <w:r w:rsidRPr="00925F26">
        <w:rPr>
          <w:color w:val="000000" w:themeColor="text1"/>
          <w:sz w:val="16"/>
          <w:szCs w:val="16"/>
        </w:rPr>
        <w:t>мин.</w:t>
      </w:r>
      <w:proofErr w:type="gramEnd"/>
      <w:r w:rsidRPr="00925F26">
        <w:rPr>
          <w:color w:val="000000" w:themeColor="text1"/>
          <w:sz w:val="16"/>
          <w:szCs w:val="16"/>
        </w:rPr>
        <w:t xml:space="preserve"> Скоростная дальность полета на высоте </w:t>
      </w:r>
      <w:proofErr w:type="gramStart"/>
      <w:r w:rsidRPr="00925F26">
        <w:rPr>
          <w:color w:val="000000" w:themeColor="text1"/>
          <w:sz w:val="16"/>
          <w:szCs w:val="16"/>
        </w:rPr>
        <w:t>1000</w:t>
      </w:r>
      <w:r w:rsidR="00997EDF" w:rsidRPr="00925F26">
        <w:rPr>
          <w:color w:val="000000" w:themeColor="text1"/>
          <w:sz w:val="16"/>
          <w:szCs w:val="16"/>
        </w:rPr>
        <w:t xml:space="preserve">  </w:t>
      </w:r>
      <w:r w:rsidRPr="00925F26">
        <w:rPr>
          <w:color w:val="000000" w:themeColor="text1"/>
          <w:sz w:val="16"/>
          <w:szCs w:val="16"/>
        </w:rPr>
        <w:t>м</w:t>
      </w:r>
      <w:proofErr w:type="gramEnd"/>
      <w:r w:rsidR="00997EDF" w:rsidRPr="00925F26">
        <w:rPr>
          <w:color w:val="000000" w:themeColor="text1"/>
          <w:sz w:val="16"/>
          <w:szCs w:val="16"/>
        </w:rPr>
        <w:t xml:space="preserve">  </w:t>
      </w:r>
      <w:r w:rsidRPr="00925F26">
        <w:rPr>
          <w:color w:val="000000" w:themeColor="text1"/>
          <w:sz w:val="16"/>
          <w:szCs w:val="16"/>
        </w:rPr>
        <w:t xml:space="preserve">– </w:t>
      </w:r>
      <w:proofErr w:type="gramStart"/>
      <w:r w:rsidRPr="00925F26">
        <w:rPr>
          <w:color w:val="000000" w:themeColor="text1"/>
          <w:sz w:val="16"/>
          <w:szCs w:val="16"/>
        </w:rPr>
        <w:t>620</w:t>
      </w:r>
      <w:r w:rsidR="00997EDF" w:rsidRPr="00925F26">
        <w:rPr>
          <w:color w:val="000000" w:themeColor="text1"/>
          <w:sz w:val="16"/>
          <w:szCs w:val="16"/>
        </w:rPr>
        <w:t xml:space="preserve">  </w:t>
      </w:r>
      <w:r w:rsidRPr="00925F26">
        <w:rPr>
          <w:color w:val="000000" w:themeColor="text1"/>
          <w:sz w:val="16"/>
          <w:szCs w:val="16"/>
        </w:rPr>
        <w:t>км</w:t>
      </w:r>
      <w:proofErr w:type="gramEnd"/>
      <w:r w:rsidRPr="00925F26">
        <w:rPr>
          <w:color w:val="000000" w:themeColor="text1"/>
          <w:sz w:val="16"/>
          <w:szCs w:val="16"/>
        </w:rPr>
        <w:t>. Однако развития проект не получил.</w:t>
      </w:r>
    </w:p>
    <w:p w14:paraId="12600F6F" w14:textId="77777777" w:rsidR="006A1A77" w:rsidRPr="00925F26" w:rsidRDefault="006A1A77" w:rsidP="00925F26">
      <w:pPr>
        <w:jc w:val="both"/>
        <w:rPr>
          <w:color w:val="000000" w:themeColor="text1"/>
          <w:sz w:val="16"/>
          <w:szCs w:val="16"/>
        </w:rPr>
      </w:pPr>
      <w:r w:rsidRPr="00925F26">
        <w:rPr>
          <w:color w:val="000000" w:themeColor="text1"/>
          <w:sz w:val="16"/>
          <w:szCs w:val="16"/>
        </w:rPr>
        <w:t>На государственные испытания самолет не предъявлялся (17490).</w:t>
      </w:r>
    </w:p>
    <w:p w14:paraId="0A3CBF23" w14:textId="77777777" w:rsidR="006A1A77" w:rsidRPr="00925F26" w:rsidRDefault="006A1A77" w:rsidP="00925F26">
      <w:pPr>
        <w:jc w:val="both"/>
        <w:rPr>
          <w:color w:val="000000" w:themeColor="text1"/>
          <w:sz w:val="16"/>
          <w:szCs w:val="16"/>
        </w:rPr>
      </w:pPr>
    </w:p>
    <w:p w14:paraId="577D62D4"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До весны 1945 г. продолжались с небольшими перерывами заводские испытания самолета Су-8. На го</w:t>
      </w:r>
      <w:r w:rsidRPr="00925F26">
        <w:rPr>
          <w:rFonts w:ascii="Times New Roman" w:hAnsi="Times New Roman"/>
          <w:color w:val="000000" w:themeColor="text1"/>
          <w:spacing w:val="0"/>
          <w:sz w:val="16"/>
          <w:szCs w:val="16"/>
        </w:rPr>
        <w:softHyphen/>
        <w:t>сударственные испытания самолет не предъявлялся. После окончания войны интерес к машине и вовсе исчез. Все работы по ней были пре</w:t>
      </w:r>
      <w:r w:rsidRPr="00925F26">
        <w:rPr>
          <w:rFonts w:ascii="Times New Roman" w:hAnsi="Times New Roman"/>
          <w:color w:val="000000" w:themeColor="text1"/>
          <w:spacing w:val="0"/>
          <w:sz w:val="16"/>
          <w:szCs w:val="16"/>
        </w:rPr>
        <w:softHyphen/>
        <w:t>кращены.</w:t>
      </w:r>
    </w:p>
    <w:p w14:paraId="004532F1"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Максимальная скорость Су-8 2М-71ф составляла 485 км/ч (515 км/ч на форсаже) — у земли и 550 км/ч — на высоте 4600 м. Даль</w:t>
      </w:r>
      <w:r w:rsidRPr="00925F26">
        <w:rPr>
          <w:rFonts w:ascii="Times New Roman" w:hAnsi="Times New Roman"/>
          <w:color w:val="000000" w:themeColor="text1"/>
          <w:spacing w:val="0"/>
          <w:sz w:val="16"/>
          <w:szCs w:val="16"/>
        </w:rPr>
        <w:softHyphen/>
        <w:t>ность полета с 600 кг бомб на высо</w:t>
      </w:r>
      <w:r w:rsidRPr="00925F26">
        <w:rPr>
          <w:rFonts w:ascii="Times New Roman" w:hAnsi="Times New Roman"/>
          <w:color w:val="000000" w:themeColor="text1"/>
          <w:spacing w:val="0"/>
          <w:sz w:val="16"/>
          <w:szCs w:val="16"/>
        </w:rPr>
        <w:softHyphen/>
        <w:t>те 1000 м при скорости 335 км/ч — 1000 км (1500 км в перегрузку). Время подъема на 4000 м — 7,26 мин. Посадочная скорость — 138 км/ч.</w:t>
      </w:r>
    </w:p>
    <w:p w14:paraId="79BFE572"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Анализ боевых возможностей Су-8 показыва</w:t>
      </w:r>
      <w:r w:rsidRPr="00925F26">
        <w:rPr>
          <w:rFonts w:ascii="Times New Roman" w:hAnsi="Times New Roman"/>
          <w:color w:val="000000" w:themeColor="text1"/>
          <w:spacing w:val="0"/>
          <w:sz w:val="16"/>
          <w:szCs w:val="16"/>
        </w:rPr>
        <w:softHyphen/>
        <w:t>ет, что он мог успешно осуществлять как авиаци</w:t>
      </w:r>
      <w:r w:rsidRPr="00925F26">
        <w:rPr>
          <w:rFonts w:ascii="Times New Roman" w:hAnsi="Times New Roman"/>
          <w:color w:val="000000" w:themeColor="text1"/>
          <w:spacing w:val="0"/>
          <w:sz w:val="16"/>
          <w:szCs w:val="16"/>
        </w:rPr>
        <w:softHyphen/>
        <w:t>онную поддержку своих войск на этапе прорыва обороны противника, уничтожая хорошо защи</w:t>
      </w:r>
      <w:r w:rsidRPr="00925F26">
        <w:rPr>
          <w:rFonts w:ascii="Times New Roman" w:hAnsi="Times New Roman"/>
          <w:color w:val="000000" w:themeColor="text1"/>
          <w:spacing w:val="0"/>
          <w:sz w:val="16"/>
          <w:szCs w:val="16"/>
        </w:rPr>
        <w:softHyphen/>
        <w:t>щенные наземные цели, в том числе и танки, так и авиационное сопровождение танковых и ме</w:t>
      </w:r>
      <w:r w:rsidRPr="00925F26">
        <w:rPr>
          <w:rFonts w:ascii="Times New Roman" w:hAnsi="Times New Roman"/>
          <w:color w:val="000000" w:themeColor="text1"/>
          <w:spacing w:val="0"/>
          <w:sz w:val="16"/>
          <w:szCs w:val="16"/>
        </w:rPr>
        <w:softHyphen/>
        <w:t xml:space="preserve">ханизированных соединений на всех этапах </w:t>
      </w:r>
      <w:r w:rsidRPr="00925F26">
        <w:rPr>
          <w:rFonts w:ascii="Times New Roman" w:hAnsi="Times New Roman"/>
          <w:color w:val="000000" w:themeColor="text1"/>
          <w:spacing w:val="0"/>
          <w:sz w:val="16"/>
          <w:szCs w:val="16"/>
        </w:rPr>
        <w:lastRenderedPageBreak/>
        <w:t>вво</w:t>
      </w:r>
      <w:r w:rsidRPr="00925F26">
        <w:rPr>
          <w:rFonts w:ascii="Times New Roman" w:hAnsi="Times New Roman"/>
          <w:color w:val="000000" w:themeColor="text1"/>
          <w:spacing w:val="0"/>
          <w:sz w:val="16"/>
          <w:szCs w:val="16"/>
        </w:rPr>
        <w:softHyphen/>
        <w:t>да их в прорыв. Кроме этого, штурмовик мог эф</w:t>
      </w:r>
      <w:r w:rsidRPr="00925F26">
        <w:rPr>
          <w:rFonts w:ascii="Times New Roman" w:hAnsi="Times New Roman"/>
          <w:color w:val="000000" w:themeColor="text1"/>
          <w:spacing w:val="0"/>
          <w:sz w:val="16"/>
          <w:szCs w:val="16"/>
        </w:rPr>
        <w:softHyphen/>
        <w:t>фективно действовать в оперативной зоне и во</w:t>
      </w:r>
      <w:r w:rsidRPr="00925F26">
        <w:rPr>
          <w:rFonts w:ascii="Times New Roman" w:hAnsi="Times New Roman"/>
          <w:color w:val="000000" w:themeColor="text1"/>
          <w:spacing w:val="0"/>
          <w:sz w:val="16"/>
          <w:szCs w:val="16"/>
        </w:rPr>
        <w:softHyphen/>
        <w:t>йсковых тылах противника по резервам на марше и в местах их сосредоточения, по танковым и мо</w:t>
      </w:r>
      <w:r w:rsidRPr="00925F26">
        <w:rPr>
          <w:rFonts w:ascii="Times New Roman" w:hAnsi="Times New Roman"/>
          <w:color w:val="000000" w:themeColor="text1"/>
          <w:spacing w:val="0"/>
          <w:sz w:val="16"/>
          <w:szCs w:val="16"/>
        </w:rPr>
        <w:softHyphen/>
        <w:t>торизованным колоннам, по самолетам на аэро</w:t>
      </w:r>
      <w:r w:rsidRPr="00925F26">
        <w:rPr>
          <w:rFonts w:ascii="Times New Roman" w:hAnsi="Times New Roman"/>
          <w:color w:val="000000" w:themeColor="text1"/>
          <w:spacing w:val="0"/>
          <w:sz w:val="16"/>
          <w:szCs w:val="16"/>
        </w:rPr>
        <w:softHyphen/>
        <w:t>дромах, по железнодорожным составам и стан</w:t>
      </w:r>
      <w:r w:rsidRPr="00925F26">
        <w:rPr>
          <w:rFonts w:ascii="Times New Roman" w:hAnsi="Times New Roman"/>
          <w:color w:val="000000" w:themeColor="text1"/>
          <w:spacing w:val="0"/>
          <w:sz w:val="16"/>
          <w:szCs w:val="16"/>
        </w:rPr>
        <w:softHyphen/>
        <w:t>циям и т.д.</w:t>
      </w:r>
    </w:p>
    <w:p w14:paraId="51D23276"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То есть двухмоторный бронированный «воз</w:t>
      </w:r>
      <w:r w:rsidRPr="00925F26">
        <w:rPr>
          <w:rFonts w:ascii="Times New Roman" w:hAnsi="Times New Roman"/>
          <w:color w:val="000000" w:themeColor="text1"/>
          <w:spacing w:val="0"/>
          <w:sz w:val="16"/>
          <w:szCs w:val="16"/>
        </w:rPr>
        <w:softHyphen/>
        <w:t>душный линкор» П. О. Сухого «накрывал» абсолют</w:t>
      </w:r>
      <w:r w:rsidRPr="00925F26">
        <w:rPr>
          <w:rFonts w:ascii="Times New Roman" w:hAnsi="Times New Roman"/>
          <w:color w:val="000000" w:themeColor="text1"/>
          <w:spacing w:val="0"/>
          <w:sz w:val="16"/>
          <w:szCs w:val="16"/>
        </w:rPr>
        <w:softHyphen/>
        <w:t>но все боевые задачи авиационной поддержки наземных войск при проведении ими как глубо</w:t>
      </w:r>
      <w:r w:rsidRPr="00925F26">
        <w:rPr>
          <w:rFonts w:ascii="Times New Roman" w:hAnsi="Times New Roman"/>
          <w:color w:val="000000" w:themeColor="text1"/>
          <w:spacing w:val="0"/>
          <w:sz w:val="16"/>
          <w:szCs w:val="16"/>
        </w:rPr>
        <w:softHyphen/>
        <w:t>кой наступательной, так и оборонительной опе</w:t>
      </w:r>
      <w:r w:rsidRPr="00925F26">
        <w:rPr>
          <w:rFonts w:ascii="Times New Roman" w:hAnsi="Times New Roman"/>
          <w:color w:val="000000" w:themeColor="text1"/>
          <w:spacing w:val="0"/>
          <w:sz w:val="16"/>
          <w:szCs w:val="16"/>
        </w:rPr>
        <w:softHyphen/>
        <w:t>рации.</w:t>
      </w:r>
    </w:p>
    <w:p w14:paraId="07E6BE40"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Оценки показывают, что в типовых условиях боя летчик с хорошей летной и стрелковой подготов</w:t>
      </w:r>
      <w:r w:rsidRPr="00925F26">
        <w:rPr>
          <w:rFonts w:ascii="Times New Roman" w:hAnsi="Times New Roman"/>
          <w:color w:val="000000" w:themeColor="text1"/>
          <w:spacing w:val="0"/>
          <w:sz w:val="16"/>
          <w:szCs w:val="16"/>
        </w:rPr>
        <w:softHyphen/>
        <w:t>кой на Су-8 (4 НС-45, 6—10 РОФС-132 или РБС-132 или РБС-82) в каждом боевом вылете вполне мог гарантированно поразить 1—2 средних или тяже</w:t>
      </w:r>
      <w:r w:rsidRPr="00925F26">
        <w:rPr>
          <w:rFonts w:ascii="Times New Roman" w:hAnsi="Times New Roman"/>
          <w:color w:val="000000" w:themeColor="text1"/>
          <w:spacing w:val="0"/>
          <w:sz w:val="16"/>
          <w:szCs w:val="16"/>
        </w:rPr>
        <w:softHyphen/>
        <w:t>лых танков вермахта.</w:t>
      </w:r>
    </w:p>
    <w:p w14:paraId="3A1D4783"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Несомненно, постановка этой машины на во</w:t>
      </w:r>
      <w:r w:rsidRPr="00925F26">
        <w:rPr>
          <w:rFonts w:ascii="Times New Roman" w:hAnsi="Times New Roman"/>
          <w:color w:val="000000" w:themeColor="text1"/>
          <w:spacing w:val="0"/>
          <w:sz w:val="16"/>
          <w:szCs w:val="16"/>
        </w:rPr>
        <w:softHyphen/>
        <w:t>оружение штурмовых авиадивизий или корпусов Резерва Главного командования, например, из расчета один полк Су-8 на 3—4 полка одномотор</w:t>
      </w:r>
      <w:r w:rsidRPr="00925F26">
        <w:rPr>
          <w:rFonts w:ascii="Times New Roman" w:hAnsi="Times New Roman"/>
          <w:color w:val="000000" w:themeColor="text1"/>
          <w:spacing w:val="0"/>
          <w:sz w:val="16"/>
          <w:szCs w:val="16"/>
        </w:rPr>
        <w:softHyphen/>
        <w:t>ных штурмовиков типа Су-6 М-71ф, Ил-2 АМ-38ф или Ил-10 АМ-42, существенно повысила бы про</w:t>
      </w:r>
      <w:r w:rsidRPr="00925F26">
        <w:rPr>
          <w:rFonts w:ascii="Times New Roman" w:hAnsi="Times New Roman"/>
          <w:color w:val="000000" w:themeColor="text1"/>
          <w:spacing w:val="0"/>
          <w:sz w:val="16"/>
          <w:szCs w:val="16"/>
        </w:rPr>
        <w:softHyphen/>
        <w:t>бивную мощь подвижных танковых и механизи</w:t>
      </w:r>
      <w:r w:rsidRPr="00925F26">
        <w:rPr>
          <w:rFonts w:ascii="Times New Roman" w:hAnsi="Times New Roman"/>
          <w:color w:val="000000" w:themeColor="text1"/>
          <w:spacing w:val="0"/>
          <w:sz w:val="16"/>
          <w:szCs w:val="16"/>
        </w:rPr>
        <w:softHyphen/>
        <w:t>рованных групп прорыва Красной Армии, а также устойчивость противотанковой обороны войск. Это уменьшило бы потери войск в наступлении и обо</w:t>
      </w:r>
      <w:r w:rsidRPr="00925F26">
        <w:rPr>
          <w:rFonts w:ascii="Times New Roman" w:hAnsi="Times New Roman"/>
          <w:color w:val="000000" w:themeColor="text1"/>
          <w:spacing w:val="0"/>
          <w:sz w:val="16"/>
          <w:szCs w:val="16"/>
        </w:rPr>
        <w:softHyphen/>
        <w:t>роне.</w:t>
      </w:r>
    </w:p>
    <w:p w14:paraId="104D3127"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Кроме того, как показывает анализ боевого опыта применения Ил-2 на флоте, Су-8 вполне мог претендовать и на роль лучшего морского штурмо</w:t>
      </w:r>
      <w:r w:rsidRPr="00925F26">
        <w:rPr>
          <w:rFonts w:ascii="Times New Roman" w:hAnsi="Times New Roman"/>
          <w:color w:val="000000" w:themeColor="text1"/>
          <w:spacing w:val="0"/>
          <w:sz w:val="16"/>
          <w:szCs w:val="16"/>
        </w:rPr>
        <w:softHyphen/>
        <w:t>вика Второй мировой войны, обладая всеми необ</w:t>
      </w:r>
      <w:r w:rsidRPr="00925F26">
        <w:rPr>
          <w:rFonts w:ascii="Times New Roman" w:hAnsi="Times New Roman"/>
          <w:color w:val="000000" w:themeColor="text1"/>
          <w:spacing w:val="0"/>
          <w:sz w:val="16"/>
          <w:szCs w:val="16"/>
        </w:rPr>
        <w:softHyphen/>
        <w:t>ходимыми для этого качествами: мощным вооруже</w:t>
      </w:r>
      <w:r w:rsidRPr="00925F26">
        <w:rPr>
          <w:rFonts w:ascii="Times New Roman" w:hAnsi="Times New Roman"/>
          <w:color w:val="000000" w:themeColor="text1"/>
          <w:spacing w:val="0"/>
          <w:sz w:val="16"/>
          <w:szCs w:val="16"/>
        </w:rPr>
        <w:softHyphen/>
        <w:t>нием, достаточной дальностью полета и сильным бронированием.</w:t>
      </w:r>
    </w:p>
    <w:p w14:paraId="7C63605C"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К сожалению, «пассивная» позиция наркома</w:t>
      </w:r>
      <w:r w:rsidRPr="00925F26">
        <w:rPr>
          <w:rFonts w:ascii="Times New Roman" w:hAnsi="Times New Roman"/>
          <w:color w:val="000000" w:themeColor="text1"/>
          <w:spacing w:val="0"/>
          <w:sz w:val="16"/>
          <w:szCs w:val="16"/>
        </w:rPr>
        <w:softHyphen/>
        <w:t>та авиапромышленности в вопросе налаживания крупносерийного производства моторов М-71ф ре</w:t>
      </w:r>
      <w:r w:rsidRPr="00925F26">
        <w:rPr>
          <w:rFonts w:ascii="Times New Roman" w:hAnsi="Times New Roman"/>
          <w:color w:val="000000" w:themeColor="text1"/>
          <w:spacing w:val="0"/>
          <w:sz w:val="16"/>
          <w:szCs w:val="16"/>
        </w:rPr>
        <w:softHyphen/>
        <w:t xml:space="preserve">шила судьбу этого штурмовика — так </w:t>
      </w:r>
      <w:proofErr w:type="gramStart"/>
      <w:r w:rsidRPr="00925F26">
        <w:rPr>
          <w:rFonts w:ascii="Times New Roman" w:hAnsi="Times New Roman"/>
          <w:color w:val="000000" w:themeColor="text1"/>
          <w:spacing w:val="0"/>
          <w:sz w:val="16"/>
          <w:szCs w:val="16"/>
        </w:rPr>
        <w:t>же</w:t>
      </w:r>
      <w:proofErr w:type="gramEnd"/>
      <w:r w:rsidRPr="00925F26">
        <w:rPr>
          <w:rFonts w:ascii="Times New Roman" w:hAnsi="Times New Roman"/>
          <w:color w:val="000000" w:themeColor="text1"/>
          <w:spacing w:val="0"/>
          <w:sz w:val="16"/>
          <w:szCs w:val="16"/>
        </w:rPr>
        <w:t xml:space="preserve"> как и Су-6 М-71ф, в серии Су-8 не строился.</w:t>
      </w:r>
    </w:p>
    <w:p w14:paraId="0B74964C"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Пытаясь спасти штурмовик, П. О. Сухой в 1944 г. перепроектирует Су-8 (практически без изменений в аэродинамической компоновке и конструкции уже летавшего самолета) под мотор АМ-42 с взлет</w:t>
      </w:r>
      <w:r w:rsidRPr="00925F26">
        <w:rPr>
          <w:rFonts w:ascii="Times New Roman" w:hAnsi="Times New Roman"/>
          <w:color w:val="000000" w:themeColor="text1"/>
          <w:spacing w:val="0"/>
          <w:sz w:val="16"/>
          <w:szCs w:val="16"/>
        </w:rPr>
        <w:softHyphen/>
        <w:t>ной мощностью 2000 л.с.</w:t>
      </w:r>
    </w:p>
    <w:p w14:paraId="12B6923E"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Вес пустого самолета увеличился до 9728 кг. Нормальный полетный вес — 12 774 кг. Винты четырехлопастные диаметром 4 м. По расчетам, максимальная скорость у земли на номинальном режиме работы мотора составляла 485 км/ч, на высоте 2500 м — 525 км/ч. Время подъема на вы</w:t>
      </w:r>
      <w:r w:rsidRPr="00925F26">
        <w:rPr>
          <w:rFonts w:ascii="Times New Roman" w:hAnsi="Times New Roman"/>
          <w:color w:val="000000" w:themeColor="text1"/>
          <w:spacing w:val="0"/>
          <w:sz w:val="16"/>
          <w:szCs w:val="16"/>
        </w:rPr>
        <w:softHyphen/>
        <w:t>соту 4000 м — 8,5 мин. Максимальная скоростная дальность (на 0,9</w:t>
      </w:r>
      <w:r w:rsidRPr="00925F26">
        <w:rPr>
          <w:rFonts w:ascii="Times New Roman" w:hAnsi="Times New Roman"/>
          <w:color w:val="000000" w:themeColor="text1"/>
          <w:spacing w:val="0"/>
          <w:sz w:val="16"/>
          <w:szCs w:val="16"/>
          <w:lang w:val="en-US"/>
        </w:rPr>
        <w:t>V</w:t>
      </w:r>
      <w:r w:rsidRPr="00925F26">
        <w:rPr>
          <w:rFonts w:ascii="Times New Roman" w:hAnsi="Times New Roman"/>
          <w:color w:val="000000" w:themeColor="text1"/>
          <w:spacing w:val="0"/>
          <w:sz w:val="16"/>
          <w:szCs w:val="16"/>
          <w:vertAlign w:val="subscript"/>
          <w:lang w:val="en-US"/>
        </w:rPr>
        <w:t>max</w:t>
      </w:r>
      <w:r w:rsidRPr="00925F26">
        <w:rPr>
          <w:rFonts w:ascii="Times New Roman" w:hAnsi="Times New Roman"/>
          <w:color w:val="000000" w:themeColor="text1"/>
          <w:spacing w:val="0"/>
          <w:sz w:val="16"/>
          <w:szCs w:val="16"/>
        </w:rPr>
        <w:t>) полета на высоте 1000 м — 620 км.</w:t>
      </w:r>
    </w:p>
    <w:p w14:paraId="01150395" w14:textId="77777777" w:rsidR="006A1A77" w:rsidRPr="00925F26" w:rsidRDefault="006A1A77" w:rsidP="00925F26">
      <w:pPr>
        <w:pStyle w:val="123"/>
        <w:shd w:val="clear" w:color="auto" w:fill="auto"/>
        <w:spacing w:before="0" w:line="240" w:lineRule="auto"/>
        <w:ind w:firstLine="0"/>
        <w:rPr>
          <w:rFonts w:ascii="Times New Roman" w:hAnsi="Times New Roman"/>
          <w:color w:val="000000" w:themeColor="text1"/>
          <w:spacing w:val="0"/>
          <w:sz w:val="16"/>
          <w:szCs w:val="16"/>
        </w:rPr>
      </w:pPr>
      <w:r w:rsidRPr="00925F26">
        <w:rPr>
          <w:rFonts w:ascii="Times New Roman" w:hAnsi="Times New Roman"/>
          <w:color w:val="000000" w:themeColor="text1"/>
          <w:spacing w:val="0"/>
          <w:sz w:val="16"/>
          <w:szCs w:val="16"/>
        </w:rPr>
        <w:t>Кроме того, еще в конце 1942 г. на основе само</w:t>
      </w:r>
      <w:r w:rsidRPr="00925F26">
        <w:rPr>
          <w:rFonts w:ascii="Times New Roman" w:hAnsi="Times New Roman"/>
          <w:color w:val="000000" w:themeColor="text1"/>
          <w:spacing w:val="0"/>
          <w:sz w:val="16"/>
          <w:szCs w:val="16"/>
        </w:rPr>
        <w:softHyphen/>
        <w:t>лета Су-8 были разработаны проекты фронтового бомбардировщика и высотного разведчика. По за</w:t>
      </w:r>
      <w:r w:rsidRPr="00925F26">
        <w:rPr>
          <w:rFonts w:ascii="Times New Roman" w:hAnsi="Times New Roman"/>
          <w:color w:val="000000" w:themeColor="text1"/>
          <w:spacing w:val="0"/>
          <w:sz w:val="16"/>
          <w:szCs w:val="16"/>
        </w:rPr>
        <w:softHyphen/>
        <w:t>мыслу Сухого это придавало самолету некоторую многофункциональность.</w:t>
      </w:r>
    </w:p>
    <w:p w14:paraId="1E37214E" w14:textId="77777777" w:rsidR="006A1A77" w:rsidRPr="00925F26" w:rsidRDefault="006A1A77" w:rsidP="00925F26">
      <w:pPr>
        <w:jc w:val="both"/>
        <w:rPr>
          <w:color w:val="000000" w:themeColor="text1"/>
          <w:sz w:val="16"/>
          <w:szCs w:val="16"/>
        </w:rPr>
      </w:pPr>
      <w:r w:rsidRPr="00925F26">
        <w:rPr>
          <w:color w:val="000000" w:themeColor="text1"/>
          <w:sz w:val="16"/>
          <w:szCs w:val="16"/>
        </w:rPr>
        <w:t>Ни один из этих проектов дальнейшего разви</w:t>
      </w:r>
      <w:r w:rsidRPr="00925F26">
        <w:rPr>
          <w:color w:val="000000" w:themeColor="text1"/>
          <w:sz w:val="16"/>
          <w:szCs w:val="16"/>
        </w:rPr>
        <w:softHyphen/>
        <w:t>тия не получил (17500).</w:t>
      </w:r>
    </w:p>
    <w:p w14:paraId="44056D53" w14:textId="77777777" w:rsidR="006A1A77" w:rsidRPr="00925F26" w:rsidRDefault="006A1A77" w:rsidP="00925F26">
      <w:pPr>
        <w:jc w:val="both"/>
        <w:rPr>
          <w:rStyle w:val="107"/>
          <w:rFonts w:eastAsiaTheme="minorHAnsi"/>
          <w:color w:val="000000" w:themeColor="text1"/>
          <w:sz w:val="16"/>
          <w:szCs w:val="16"/>
        </w:rPr>
      </w:pPr>
    </w:p>
    <w:p w14:paraId="1F3FF3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в ОКБ П.О.С. приступили к большой модификации Ер-2. Параллельно с рабочим проектированием строился макет Ер-2БМ, предъявленный макетной комиссии в последний день августа. В ее протоколе отмечалось, что для улучшения лет- но-технических данных вместо АЧ-30Б установлены моторы АЧ-30БФ взлетной мощностью по 1900 л.с. (номинальная на высоте 6000 м - 1500 л.е.); радиаторы перенесены из крыла в передние части капотов моторов; емкость основных топливных баков уменьшена на 940 л, при этом вместо одного внутрифюзеляжного 420-литрового бака установлено два подвесных 1100-литровых (один для дальности 5000 км и два - для 6000 км). Общая емкость всех баков снизилась до 6200 л вместо 6420 л на серийном самолете.</w:t>
      </w:r>
    </w:p>
    <w:p w14:paraId="735F70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Крыло заменили новым без "обратной чайки", увеличив его площадь с 79 м2 до 81 м2 и размах с 23 до 28 м. Вместо профиля крыла С-240 применили ЦАГИ П-7 в центроплане и К-4 - на консолях. Самолет превратился в высокоплан с увеличенным объемом бомбоотсека, позволявшим подвешивать бомбы калибра от 100 до 1000 кг.</w:t>
      </w:r>
    </w:p>
    <w:p w14:paraId="2F5CDF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Взамен механического аварийного управления сбрасыванием бомб предусмотрели дублирующее электрическое. Ввели электрифицированную турель СЭБ-2 под пушку Б-20 взамен полумеханической турели ТУМ-5 под пушку ШВАК на серийном самолете. Вместо серийной люковой установки МВ-26 под УБТ с прицелом ОП-2Л установили электрифицированную НЭУ под Б-20 с коллиматор- ным визиром К8-7 и механизмом стабилизации вектора собственной скорости.</w:t>
      </w:r>
    </w:p>
    <w:p w14:paraId="18FDD3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Заказчик утвердил макет, но с небольшими оговорками, касавшимися кабины экипажа и компоновки винтомоторной группы (11994).</w:t>
      </w:r>
    </w:p>
    <w:p w14:paraId="5C9F260E" w14:textId="77777777" w:rsidR="00665165" w:rsidRPr="00925F26" w:rsidRDefault="00665165" w:rsidP="00925F26">
      <w:pPr>
        <w:autoSpaceDE w:val="0"/>
        <w:autoSpaceDN w:val="0"/>
        <w:adjustRightInd w:val="0"/>
        <w:jc w:val="both"/>
        <w:rPr>
          <w:color w:val="000000" w:themeColor="text1"/>
          <w:sz w:val="16"/>
          <w:szCs w:val="16"/>
        </w:rPr>
      </w:pPr>
    </w:p>
    <w:p w14:paraId="6083CA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с видимой неохотой заниматься этой машиной, по решению Наркомата тематику Ер-2 был вынужден возглавить новый главный конструктор. При участии П.О. Сухого были построены три самолета Ер-20Н ("особого назначения"), предназначенные для перевозок высокопоставленных лиц, были изготовлены 4 образца пассажирского варианта машины ЕР-2: особого назначения - ЕР-20Н и несколько модификаций ЕР-2ММ. Вместо бомбового отсека и задних стрелковых точек на самолете разместили два больших комфортабельных пассажирских салона, в каждом из которых могло находится по девять человек. Максимальная взлетная масса Ер-20Н возросла до 19 000 кг. Окончательная декоративная отделка Ер-20Н должна была производится в Москве. Головной самолет, пилотируемый Героем Советского Союза А.Д. Алексеевым, по маршруту Иркутск- Москва прошел без посадки, что для того времени было рекордом. Аналогичный путь на втором Ер-20Н повторил Герой Советского Союза Коростелев. Итоги перелетов первых двух Ер-20Н показали, что требуемые летно-технические данные обеспечены. Третий самолет отделывался уже в Иркутске, причем опять "главное внимание было уделено комфортабельности и интерьеру пассажирского салона". Характеристики не снимались, так как самолеты вели себя отлично, но, поскольку двигатели были все-таки ненадежны, для самых ответственных полетов эти самолеты не применялись (12037).</w:t>
      </w:r>
    </w:p>
    <w:p w14:paraId="3AEBC5FE" w14:textId="77777777" w:rsidR="00665165" w:rsidRPr="00925F26" w:rsidRDefault="00665165" w:rsidP="00925F26">
      <w:pPr>
        <w:autoSpaceDE w:val="0"/>
        <w:autoSpaceDN w:val="0"/>
        <w:adjustRightInd w:val="0"/>
        <w:jc w:val="both"/>
        <w:rPr>
          <w:color w:val="000000" w:themeColor="text1"/>
          <w:sz w:val="16"/>
          <w:szCs w:val="16"/>
        </w:rPr>
      </w:pPr>
    </w:p>
    <w:p w14:paraId="0217769F" w14:textId="77777777" w:rsidR="0027059D" w:rsidRPr="00925F26" w:rsidRDefault="0027059D" w:rsidP="00925F26">
      <w:pPr>
        <w:pStyle w:val="a3"/>
        <w:rPr>
          <w:color w:val="000000" w:themeColor="text1"/>
          <w:lang w:val="ru-RU"/>
        </w:rPr>
      </w:pPr>
      <w:r w:rsidRPr="00925F26">
        <w:rPr>
          <w:color w:val="000000" w:themeColor="text1"/>
          <w:lang w:val="ru-RU"/>
        </w:rPr>
        <w:t>Весной 1945 г. приступили к работам по большой модификации самолёта Ер-2. Парал</w:t>
      </w:r>
      <w:r w:rsidRPr="00925F26">
        <w:rPr>
          <w:color w:val="000000" w:themeColor="text1"/>
          <w:lang w:val="ru-RU"/>
        </w:rPr>
        <w:softHyphen/>
        <w:t>лельно с рабочим проектированием Ер-2БМ строился его макет. 21 августа 1945 г. при</w:t>
      </w:r>
      <w:r w:rsidRPr="00925F26">
        <w:rPr>
          <w:color w:val="000000" w:themeColor="text1"/>
          <w:lang w:val="ru-RU"/>
        </w:rPr>
        <w:softHyphen/>
        <w:t>казом НКАП П.О. Сухому выдали официальное задание на проектирование и постройку самолёта Ер-2БМ с 2АЧ-31 и передачей его на заводские испытания 15 декабря 1945 г. На 1 января 1946 г. готовность лётного экземпляра Ер-2БМ составила 65%.</w:t>
      </w:r>
    </w:p>
    <w:p w14:paraId="592E60F7" w14:textId="77777777" w:rsidR="0027059D" w:rsidRPr="00925F26" w:rsidRDefault="0027059D" w:rsidP="00925F26">
      <w:pPr>
        <w:pStyle w:val="a3"/>
        <w:rPr>
          <w:color w:val="000000" w:themeColor="text1"/>
          <w:lang w:val="ru-RU"/>
        </w:rPr>
      </w:pPr>
      <w:r w:rsidRPr="00925F26">
        <w:rPr>
          <w:color w:val="000000" w:themeColor="text1"/>
          <w:lang w:val="ru-RU"/>
        </w:rPr>
        <w:t>В утвержденный 7ГУ НКАП план работ завода № 134 на 1945 год включили модифика</w:t>
      </w:r>
      <w:r w:rsidRPr="00925F26">
        <w:rPr>
          <w:color w:val="000000" w:themeColor="text1"/>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925F26">
        <w:rPr>
          <w:color w:val="000000" w:themeColor="text1"/>
          <w:lang w:val="ru-RU"/>
        </w:rPr>
        <w:softHyphen/>
        <w:t>нер для статических испытаний, а изготовление лётного экземпляра возлагалось на Та</w:t>
      </w:r>
      <w:r w:rsidRPr="00925F26">
        <w:rPr>
          <w:color w:val="000000" w:themeColor="text1"/>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925F26">
        <w:rPr>
          <w:color w:val="000000" w:themeColor="text1"/>
          <w:lang w:val="ru-RU"/>
        </w:rPr>
        <w:softHyphen/>
        <w:t>ли бы планы наркомата претворились в жизнь, то он вполне мог бы стать свидетелем ро</w:t>
      </w:r>
      <w:r w:rsidRPr="00925F26">
        <w:rPr>
          <w:color w:val="000000" w:themeColor="text1"/>
          <w:lang w:val="ru-RU"/>
        </w:rPr>
        <w:softHyphen/>
        <w:t>ждения своего «правнука».</w:t>
      </w:r>
    </w:p>
    <w:p w14:paraId="634ACE34" w14:textId="77777777" w:rsidR="0027059D" w:rsidRPr="00925F26" w:rsidRDefault="0027059D" w:rsidP="00925F26">
      <w:pPr>
        <w:pStyle w:val="a3"/>
        <w:rPr>
          <w:color w:val="000000" w:themeColor="text1"/>
          <w:lang w:val="ru-RU"/>
        </w:rPr>
      </w:pPr>
      <w:r w:rsidRPr="00925F26">
        <w:rPr>
          <w:color w:val="000000" w:themeColor="text1"/>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47D59601" w14:textId="77777777" w:rsidR="0027059D" w:rsidRPr="00925F26" w:rsidRDefault="0027059D" w:rsidP="00925F26">
      <w:pPr>
        <w:pStyle w:val="a3"/>
        <w:rPr>
          <w:color w:val="000000" w:themeColor="text1"/>
          <w:lang w:val="ru-RU"/>
        </w:rPr>
      </w:pPr>
    </w:p>
    <w:p w14:paraId="67E87A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в ЛИИ ВВС ВМФ прошли испытания Ту-2Т торпедоносца с парой торпед 456-35АН (АНУ). Пред. Госкомиссии был ГСС г-м В.П.Канарев, ком. 2-й гмтасд им. Токарева. Вл Шемякин и вш Андреев. В заключении отметили, что самолет в варианте с одной или двумя торпедами испытания выдержал и рекомендован на вооружение ВВС ВМФ для низкого торпедометания. По сравнению с Ил-4Т и А-20Г обладал большей скоростью, более сильным оборонительным вооружением и не уступал в дальности. Эксплуатация выявила множество дефектов (4407,6).</w:t>
      </w:r>
    </w:p>
    <w:p w14:paraId="5CB188E6" w14:textId="77777777" w:rsidR="00665165" w:rsidRPr="00925F26" w:rsidRDefault="00665165" w:rsidP="00925F26">
      <w:pPr>
        <w:autoSpaceDE w:val="0"/>
        <w:autoSpaceDN w:val="0"/>
        <w:adjustRightInd w:val="0"/>
        <w:jc w:val="both"/>
        <w:rPr>
          <w:color w:val="000000" w:themeColor="text1"/>
          <w:sz w:val="16"/>
          <w:szCs w:val="16"/>
        </w:rPr>
      </w:pPr>
    </w:p>
    <w:p w14:paraId="21DDC3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в ЛИИ ВВС ВМФ выдержал государственные испытания Ту-2 торпедоносец. При необходимости самолет мог поднимать авиационные донные мины АМД-500 и АМД-1000, а также до 3000 кг бомб. В дальнейшем на борту Ту-2Т предполагали разместить надувную авиационную спасательную лодку ЛАС-3 с комплектом жизнеобеспечения.</w:t>
      </w:r>
    </w:p>
    <w:p w14:paraId="5390F8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Первым самолетом-торпедоносцем, созданным на базе Ту-2, стал Ту-2Т № 9/14 с экипажем из четырех человек. Эта машина с двумя торпедами 456-36-АН (АНУ), размешавшимися под центропланом.</w:t>
      </w:r>
    </w:p>
    <w:p w14:paraId="7BA10A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Испытания Ту-2Т проходили на аэродроме Саки (Крым). Председателем государственной комиссии по испытания Ту-2Т был Герой Советского Союза генерал-майор В.П. Канарев, командир 2-й гвардейский минно-торпедной авиационной смешанной авиадивизии (гмтасд) имени Токарева. Ведущими были летчик Шемякин и штурман Андреев. В своем заключении специалисты ЛИИ ВВС ВМФ отмечали, что самолет в варианте торпедоносца с одной и двумя торпедами испытания выдержал и рекомендовался на вооружение ВВС ВМФ для низкого торпедометания.</w:t>
      </w:r>
    </w:p>
    <w:p w14:paraId="6C0C2CB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положительное заключение, на заводе № 23 изготовили лишь один самолет Ту-2Т и серийно он не выпускался (12035).</w:t>
      </w:r>
    </w:p>
    <w:p w14:paraId="2A1CD3D5" w14:textId="77777777" w:rsidR="00665165" w:rsidRPr="00925F26" w:rsidRDefault="00665165" w:rsidP="00925F26">
      <w:pPr>
        <w:autoSpaceDE w:val="0"/>
        <w:autoSpaceDN w:val="0"/>
        <w:adjustRightInd w:val="0"/>
        <w:jc w:val="both"/>
        <w:rPr>
          <w:color w:val="000000" w:themeColor="text1"/>
          <w:sz w:val="16"/>
          <w:szCs w:val="16"/>
        </w:rPr>
      </w:pPr>
    </w:p>
    <w:p w14:paraId="4942A484" w14:textId="77777777" w:rsidR="004842B7" w:rsidRPr="001A0BAA" w:rsidRDefault="004842B7" w:rsidP="004842B7">
      <w:pPr>
        <w:jc w:val="both"/>
        <w:rPr>
          <w:color w:val="0070C0"/>
          <w:sz w:val="16"/>
          <w:szCs w:val="16"/>
        </w:rPr>
      </w:pPr>
      <w:r w:rsidRPr="001A0BAA">
        <w:rPr>
          <w:color w:val="0070C0"/>
          <w:sz w:val="16"/>
          <w:szCs w:val="16"/>
        </w:rPr>
        <w:t>Весной 1945 года Ту-2Т (торпедоносец) (АНТ-62Т) с экипажем из четырех человек с двумя торпедами 456-36-АН (АНУ) прошла государственные испытания в ЛИИ ВВС ВМФ и строилась серийно. При необходимости самолет мог поднимать до 3000 кг бомб.</w:t>
      </w:r>
    </w:p>
    <w:p w14:paraId="1CAE47A1" w14:textId="77777777" w:rsidR="004842B7" w:rsidRPr="001A0BAA" w:rsidRDefault="004842B7" w:rsidP="004842B7">
      <w:pPr>
        <w:jc w:val="both"/>
        <w:rPr>
          <w:color w:val="0070C0"/>
          <w:sz w:val="16"/>
          <w:szCs w:val="16"/>
        </w:rPr>
      </w:pPr>
      <w:r w:rsidRPr="001A0BAA">
        <w:rPr>
          <w:color w:val="0070C0"/>
          <w:sz w:val="16"/>
          <w:szCs w:val="16"/>
        </w:rPr>
        <w:t>Председателем Государственной комиссии по испытания Ту-2Т был Герой Советского Союза генерал-майор В.П. Канарев, командир 2-й гвардейской минно-торпедной авиацион</w:t>
      </w:r>
      <w:r w:rsidRPr="001A0BAA">
        <w:rPr>
          <w:color w:val="0070C0"/>
          <w:sz w:val="16"/>
          <w:szCs w:val="16"/>
        </w:rPr>
        <w:softHyphen/>
        <w:t>ной смешанной авиадивизии (гмтасд) имени Токарева. Ведущими были летчик Шемякин и штурман Андреев. В своем заключении специалисты ЛИИ ВВС ВМФ отмечали, что самолет в варианте торпедоносца с одной и двумя торпедами испытания выдержал и рекомендовался на вооружение ВВС ВМФ для низкого торпедометания. Морские летчики сначала воспри</w:t>
      </w:r>
      <w:r w:rsidRPr="001A0BAA">
        <w:rPr>
          <w:color w:val="0070C0"/>
          <w:sz w:val="16"/>
          <w:szCs w:val="16"/>
        </w:rPr>
        <w:softHyphen/>
        <w:t>няли машину, что называется, на «ура», но впоследствии эмоции поутихли.</w:t>
      </w:r>
    </w:p>
    <w:p w14:paraId="64FE9FA3" w14:textId="77777777" w:rsidR="004842B7" w:rsidRPr="001A0BAA" w:rsidRDefault="004842B7" w:rsidP="004842B7">
      <w:pPr>
        <w:jc w:val="both"/>
        <w:rPr>
          <w:color w:val="0070C0"/>
          <w:sz w:val="16"/>
          <w:szCs w:val="16"/>
        </w:rPr>
      </w:pPr>
      <w:r w:rsidRPr="001A0BAA">
        <w:rPr>
          <w:color w:val="0070C0"/>
          <w:sz w:val="16"/>
          <w:szCs w:val="16"/>
        </w:rPr>
        <w:t>За время их эксплуатации выявились разрушения выхлопных коллекторов, течь гидросистемы, коррозия бензопроводов. Неоднократно разрушались редукторы моторов АШ-82ФН и срывалась обшивка со стабилизатора. Только в 19-й минно-торпедной авиади</w:t>
      </w:r>
      <w:r w:rsidRPr="001A0BAA">
        <w:rPr>
          <w:color w:val="0070C0"/>
          <w:sz w:val="16"/>
          <w:szCs w:val="16"/>
        </w:rPr>
        <w:softHyphen/>
        <w:t>визии к концу весны 1946 года из 61 самолета 28 находились вне строя, а для нормальной эксплуатации Ту-2 не хватало запасных частей (24991).</w:t>
      </w:r>
    </w:p>
    <w:p w14:paraId="173F1A3E" w14:textId="77777777" w:rsidR="004842B7" w:rsidRPr="001A0BAA" w:rsidRDefault="004842B7" w:rsidP="004842B7">
      <w:pPr>
        <w:jc w:val="both"/>
        <w:rPr>
          <w:color w:val="0070C0"/>
          <w:sz w:val="16"/>
          <w:szCs w:val="16"/>
        </w:rPr>
      </w:pPr>
    </w:p>
    <w:p w14:paraId="6ADE70D2" w14:textId="77777777" w:rsidR="004842B7" w:rsidRPr="001A0BAA" w:rsidRDefault="004842B7" w:rsidP="004842B7">
      <w:pPr>
        <w:jc w:val="both"/>
        <w:rPr>
          <w:color w:val="0070C0"/>
          <w:sz w:val="16"/>
          <w:szCs w:val="16"/>
        </w:rPr>
      </w:pPr>
      <w:r w:rsidRPr="001A0BAA">
        <w:rPr>
          <w:color w:val="0070C0"/>
          <w:sz w:val="16"/>
          <w:szCs w:val="16"/>
        </w:rPr>
        <w:t>Весной 1945 года появилась любопытная идея переделать самолет «62» - дальний бомбардировщик - в скоростной высотный пассажирский самолет на 15–20 мест. Но этот проект остался лишь на стадии чертежей (25073)</w:t>
      </w:r>
    </w:p>
    <w:p w14:paraId="729B203F" w14:textId="77777777" w:rsidR="004842B7" w:rsidRPr="001A0BAA" w:rsidRDefault="004842B7" w:rsidP="004842B7">
      <w:pPr>
        <w:jc w:val="both"/>
        <w:rPr>
          <w:color w:val="0070C0"/>
          <w:sz w:val="16"/>
          <w:szCs w:val="16"/>
        </w:rPr>
      </w:pPr>
    </w:p>
    <w:p w14:paraId="2EF75A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Весной 1945 на 125 заводе в кооперации с другими заводами по документации завода 51 начали серию 10Х и до конца войны сделали 300 (1800,5).</w:t>
      </w:r>
    </w:p>
    <w:p w14:paraId="625350CB" w14:textId="77777777" w:rsidR="00665165" w:rsidRPr="00925F26" w:rsidRDefault="00665165" w:rsidP="00925F26">
      <w:pPr>
        <w:autoSpaceDE w:val="0"/>
        <w:autoSpaceDN w:val="0"/>
        <w:adjustRightInd w:val="0"/>
        <w:jc w:val="both"/>
        <w:rPr>
          <w:color w:val="000000" w:themeColor="text1"/>
          <w:sz w:val="16"/>
          <w:szCs w:val="16"/>
        </w:rPr>
      </w:pPr>
    </w:p>
    <w:p w14:paraId="314F6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году в ОКБ Незваля приехал известный полярный летчик И.И.Черевичный. Он обратился к Незвалю с предложением переоборудовать два самолета Пе-8 для нужд Полярной авиации. Для этой цели командование Дальней авиации (тогда это уже была 18-я Воздушная Армия) выделило им два самолета, которые завод №22 по дополнительным техническим требованиям должен был переоборудовать. Совместно с Черевичным ОКБ детально проработало требования для эксплуатации машин в полярных условиях. С машин сняли все вооружение, заделали все образовавшиеся ниши, ввели в состав оборудования все, что необходимо было для полетов в высоких широтах. Одна машина, получившая бортовой регистрационный номер СССР-Н 395, предназначалась для самого Черевичного, вторая - СССР -Н 419 для полярного летчика В.И.Задкова. Самолет Черевичного начал эксплуатироваться в Полярной авиации в 1947 году 7 июля 1947 года он был разбит при взлете в районе мыса Касистый. Причина аварии была в ошибке при эксплуатации - механик перекрыл по ошибке все четыре крана топливоподачи к двигателям, в результате все двигатели самолета остановились. В 1979 году все, что осталось от этой машины, на транспортном самолете было привезено в музей ВВС в Монино. Вторая машина Н 419 участвовала в экспедициях "Север-2" и "Север-4", предпринятых в военных целях. В послевоенный период ВВС активно осваивали ледяные просторы Арктики с целью организации там аэродромов подскока для самолетов Дальней авиации для ударов по Севе-ро-Американскому континенту С весны 1950 года в Полярной авиации началась эксплуатация еще двух переоборудованных Пе-8 Н 396 с двигателями АШ-82ФН и Н 556 с двигателями АШ-73 со снятыми ТК. Н396 участвовал в научной экспедиции "Северный полюс - 2", Н 556 прославился тем, что в 1952 году на нем был доставлен вертолет Ми-1 в район полярной зимовки. Последние полеты Пе-8 в Полярной авиации совершали в 1954 году Вскоре их списали, а сменили их у полярников ледовые разведчики, переоборудованные из серийных Ту-4, которые к этому времени постепенно начали выводить из состава ВВС, заменяя их на реактивные Ту-16 (7685).</w:t>
      </w:r>
    </w:p>
    <w:p w14:paraId="4EC3886F" w14:textId="77777777" w:rsidR="00665165" w:rsidRPr="00925F26" w:rsidRDefault="00665165" w:rsidP="00925F26">
      <w:pPr>
        <w:autoSpaceDE w:val="0"/>
        <w:autoSpaceDN w:val="0"/>
        <w:adjustRightInd w:val="0"/>
        <w:jc w:val="both"/>
        <w:rPr>
          <w:color w:val="000000" w:themeColor="text1"/>
          <w:sz w:val="16"/>
          <w:szCs w:val="16"/>
        </w:rPr>
      </w:pPr>
    </w:p>
    <w:p w14:paraId="3E55F6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на заводе № 500 проводились испытания усовершенствованного варианта АЧ-30Б с ресурсом 200 ч (!) и даже готовился запуск этого двигателя в производство. Выявленные дефекты не драматизировались, считалось, что их устранение - дело ближайшего будущего. И вдруг картина радикально изменилась. Поводом для этого стал массовый брак коленчатых валов, выявленный военпредами завода № 500 в последней декаде апреля 1945 г. Сразу после окончания войны заметно ужесточились требования ВВС к качеству боевой техники. Были зафиксированы два случая обрыва шатунов и один случай заклинивания мотора в воздухе. Военпреды "отсеивали" едва ли не каждый второй дизель (8984).</w:t>
      </w:r>
    </w:p>
    <w:p w14:paraId="02E2111F" w14:textId="77777777" w:rsidR="00665165" w:rsidRPr="00925F26" w:rsidRDefault="00665165" w:rsidP="00925F26">
      <w:pPr>
        <w:autoSpaceDE w:val="0"/>
        <w:autoSpaceDN w:val="0"/>
        <w:adjustRightInd w:val="0"/>
        <w:jc w:val="both"/>
        <w:rPr>
          <w:color w:val="000000" w:themeColor="text1"/>
          <w:sz w:val="16"/>
          <w:szCs w:val="16"/>
        </w:rPr>
      </w:pPr>
    </w:p>
    <w:p w14:paraId="35B774F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года первым в учебно-тренировочный самолет (УТС) переделали Як-9 № (07-40) с мотором ВК-105ПФ силами 1-й ремонтной базы 13-й ВА. Самолет, получивший обозначение Як-9В (вывозной), отличался дублированным управлением рулями, элеронами, тормозами, нормальным газом, воздушным винтом, зажиганием, приборной доской и др. На самолете имелся приемник РСИ-4А, связанный с СПУ. Отсутствовало вооружение.</w:t>
      </w:r>
    </w:p>
    <w:p w14:paraId="5A0E92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НИИ ВВС, после проведения в марте того же года испытаний (ведущие инженер Г.А. Седов и летчик В.Г. Иванов), рекомендовал эту машину для обучения и тренировки летного состава при условии проведения ее статических испытаний и устранения выявленных дефектов. Несмотря на то, что в соответствии с февральским 1945 года постановлением ГКО спарки должны были выпускаться на заводе № 301, эта машина осталась в единственном экземпляре.</w:t>
      </w:r>
    </w:p>
    <w:p w14:paraId="7C0F86C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Вместо нее модифицировали в УТС Як-9Т № 11-01, построенный заводом № 153. При этом кабину курсанта второй спарки сместили вперед на 400 мм, между второй и третьей рамами фюзеляжа разместили кабину инструктора. Обе кабины закрывались общим фонарем с механизмом аварийного сброса. Бронеспинки заменили фанерными. Объем маслобака уменьшили с 60 до 51 литра, а с бензобаков сняли протекторы и систему нейтрального газа, ненужные для полета в мирном небе. Тогда же с самолета убрали радиостанцию и кислородное оборудование.</w:t>
      </w:r>
    </w:p>
    <w:p w14:paraId="7AB1CB2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задней кабине разместили ручное и ножное управление, управление тормозами и кнопку выключения тормозов передней кабины, сектора газа и управления шагом винта, переключатель магнето, две кабинные лампы и приборную доску, на которой располагались компас КИ-10, двухстрелоч- ный высотомер В-12, указатели скорости УС-800 и поворота УП-1, трехстрелочный индикатор ТМП-3 и тахометр ТЭ-22.</w:t>
      </w:r>
    </w:p>
    <w:p w14:paraId="11CC12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Пушку калибра 37 мм и синхронный пулемет БС заменили МП-20 ШВAK с боекомплектом 90 патронов. Перезарядка орудия - пневмомеханическая, управление огнем - электрическое.</w:t>
      </w:r>
    </w:p>
    <w:p w14:paraId="5CFC142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то, что машина по технике пилотирования не отличалась от серийного Як-9 с двигателем ВК-105ПФ, ее также не рекомендовали для летных школ и запасных авиаполков (ЗАПов). Причины были связаны не только с выявленными дефектами. Как следует из заключения НИИ ВВС, " Як-9В № 11-01 с двигателем ВК-105ПФ, производства завода № 153, модификации завода № 301, выпуска марта 1945 года, не может быть использован в качестве учебно- тренировочного самолета &lt;...&gt; вследствие недостаточного объема оборудования и неудобства задней кабины".</w:t>
      </w:r>
    </w:p>
    <w:p w14:paraId="4D9D152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Вопреки рекомендации ведущего института ВВС Як-9В запустили в серийное производство, поскольку по технике пилотирования он ничем не отличался от серийных Як-9 с мотором ВК-105ПФ. К тому времени в летных школах и ЗАПах находилось не менее 150 Як-9В (12046).</w:t>
      </w:r>
    </w:p>
    <w:p w14:paraId="1E412082" w14:textId="77777777" w:rsidR="00665165" w:rsidRPr="00925F26" w:rsidRDefault="00665165" w:rsidP="00925F26">
      <w:pPr>
        <w:autoSpaceDE w:val="0"/>
        <w:autoSpaceDN w:val="0"/>
        <w:adjustRightInd w:val="0"/>
        <w:jc w:val="both"/>
        <w:rPr>
          <w:color w:val="000000" w:themeColor="text1"/>
          <w:sz w:val="16"/>
          <w:szCs w:val="16"/>
        </w:rPr>
      </w:pPr>
    </w:p>
    <w:p w14:paraId="4388DC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года в связи с ужесточением заказчиком эксплуатационных требований к авиационной технике на серийном Як-3 с мотором ВК-107А завода №31 под руководством ведущего инженера К.А. Скржинского заменили фанерную обшивку фюзеляжа дюралюминиевой, а на рулях и элеронах перешли с ткани на легкий магниевый сплав "Электрон". Одновременно стальные тяги управления рулями и элеронами, а также стаканы гидроприводов выпуска посадочных щитков заменили дюралевыми. Кабину летчика сместили назад на 400 мм и установили маслорадиатор ОП- 700 с увеличенной охлаждающей поверхностью. На 30 кг снизили запас бензина и на восемь - масла. Установили дополнительную маслопомпу. В итоге самолет полегчал на 49 кг.</w:t>
      </w:r>
    </w:p>
    <w:p w14:paraId="748269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книге А.Т. Степанца говорится, что данную доработку выполнили на машине №7003, но этот самолет не мог одновременно проходить госиспытания в двух вариантах. Кроме этого, в "Альбоме самолетов ВВС КА", испытанных в НИИ ВВС в 1945 году, цельнометаллический Як-3 с двигателем В К-107А отсутствует.</w:t>
      </w:r>
    </w:p>
    <w:p w14:paraId="4A0841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 цельнометаллический "як" существовал, и его заводские летные испытания начались 12 апреля, но не в 1945-м, а в 1946 году в Москве. Как водится, все началось с пробежек и подлетов, и лишь 14 апреля машина, пилотируемая М.И. Ивановым, оторвалась от взлетно-посадочной полосы Центрального аэродрома.</w:t>
      </w:r>
    </w:p>
    <w:p w14:paraId="39D7DAC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28F0DE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0F5689" w:rsidRPr="00925F26" w14:paraId="6B4F7064" w14:textId="77777777">
        <w:tc>
          <w:tcPr>
            <w:tcW w:w="1121" w:type="dxa"/>
            <w:tcBorders>
              <w:top w:val="single" w:sz="12" w:space="0" w:color="auto"/>
            </w:tcBorders>
          </w:tcPr>
          <w:p w14:paraId="3B9AAF1E"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Borders>
              <w:top w:val="single" w:sz="12" w:space="0" w:color="auto"/>
            </w:tcBorders>
          </w:tcPr>
          <w:p w14:paraId="383CF4C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Як-1М 3) 1943 г.</w:t>
            </w:r>
          </w:p>
        </w:tc>
        <w:tc>
          <w:tcPr>
            <w:tcW w:w="1121" w:type="dxa"/>
            <w:tcBorders>
              <w:top w:val="single" w:sz="12" w:space="0" w:color="auto"/>
            </w:tcBorders>
          </w:tcPr>
          <w:p w14:paraId="158853B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1)</w:t>
            </w:r>
          </w:p>
        </w:tc>
        <w:tc>
          <w:tcPr>
            <w:tcW w:w="1121" w:type="dxa"/>
            <w:tcBorders>
              <w:top w:val="single" w:sz="12" w:space="0" w:color="auto"/>
            </w:tcBorders>
          </w:tcPr>
          <w:p w14:paraId="29FF3A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№01-01 Завод №292 ГИ</w:t>
            </w:r>
          </w:p>
        </w:tc>
        <w:tc>
          <w:tcPr>
            <w:tcW w:w="1121" w:type="dxa"/>
            <w:tcBorders>
              <w:top w:val="single" w:sz="12" w:space="0" w:color="auto"/>
            </w:tcBorders>
          </w:tcPr>
          <w:p w14:paraId="3F6266D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 №03-01 Завод №292 Контрольные ЗИ</w:t>
            </w:r>
          </w:p>
        </w:tc>
        <w:tc>
          <w:tcPr>
            <w:tcW w:w="1121" w:type="dxa"/>
            <w:tcBorders>
              <w:top w:val="single" w:sz="12" w:space="0" w:color="auto"/>
            </w:tcBorders>
          </w:tcPr>
          <w:p w14:paraId="3D0F9AA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Як-32) №70-03, завод №31</w:t>
            </w:r>
          </w:p>
        </w:tc>
        <w:tc>
          <w:tcPr>
            <w:tcW w:w="1121" w:type="dxa"/>
            <w:tcBorders>
              <w:top w:val="single" w:sz="12" w:space="0" w:color="auto"/>
            </w:tcBorders>
          </w:tcPr>
          <w:p w14:paraId="1AAC9E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Як-ЗУ</w:t>
            </w:r>
          </w:p>
        </w:tc>
      </w:tr>
      <w:tr w:rsidR="000F5689" w:rsidRPr="00925F26" w14:paraId="3D873532" w14:textId="77777777">
        <w:tc>
          <w:tcPr>
            <w:tcW w:w="1121" w:type="dxa"/>
          </w:tcPr>
          <w:p w14:paraId="619792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Двигатель</w:t>
            </w:r>
          </w:p>
        </w:tc>
        <w:tc>
          <w:tcPr>
            <w:tcW w:w="1121" w:type="dxa"/>
          </w:tcPr>
          <w:p w14:paraId="0EE01B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М-107А</w:t>
            </w:r>
          </w:p>
        </w:tc>
        <w:tc>
          <w:tcPr>
            <w:tcW w:w="1121" w:type="dxa"/>
          </w:tcPr>
          <w:p w14:paraId="469B2D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1121" w:type="dxa"/>
          </w:tcPr>
          <w:p w14:paraId="4A27DDF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 ВИШ-Ю7ЛО</w:t>
            </w:r>
          </w:p>
        </w:tc>
        <w:tc>
          <w:tcPr>
            <w:tcW w:w="1121" w:type="dxa"/>
          </w:tcPr>
          <w:p w14:paraId="767C1C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 ВИШ-107ЛО</w:t>
            </w:r>
          </w:p>
        </w:tc>
        <w:tc>
          <w:tcPr>
            <w:tcW w:w="1121" w:type="dxa"/>
          </w:tcPr>
          <w:p w14:paraId="1254F8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ВК-107А</w:t>
            </w:r>
          </w:p>
        </w:tc>
        <w:tc>
          <w:tcPr>
            <w:tcW w:w="1121" w:type="dxa"/>
          </w:tcPr>
          <w:p w14:paraId="60D3EF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АШ-82ФН</w:t>
            </w:r>
          </w:p>
        </w:tc>
      </w:tr>
      <w:tr w:rsidR="000F5689" w:rsidRPr="00925F26" w14:paraId="654AE5BC" w14:textId="77777777">
        <w:tc>
          <w:tcPr>
            <w:tcW w:w="1121" w:type="dxa"/>
          </w:tcPr>
          <w:p w14:paraId="071086B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Мощность, л.е.: взлетная номинальная/на высоте, м</w:t>
            </w:r>
          </w:p>
        </w:tc>
        <w:tc>
          <w:tcPr>
            <w:tcW w:w="1121" w:type="dxa"/>
          </w:tcPr>
          <w:p w14:paraId="200D2C9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1650 1500/5800</w:t>
            </w:r>
          </w:p>
        </w:tc>
        <w:tc>
          <w:tcPr>
            <w:tcW w:w="1121" w:type="dxa"/>
          </w:tcPr>
          <w:p w14:paraId="34747E5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741F8F2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79C359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564C91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1600 1650/1800 1500/4500</w:t>
            </w:r>
          </w:p>
        </w:tc>
        <w:tc>
          <w:tcPr>
            <w:tcW w:w="1121" w:type="dxa"/>
          </w:tcPr>
          <w:p w14:paraId="5283839A" w14:textId="77777777" w:rsidR="00665165" w:rsidRPr="00925F26" w:rsidRDefault="00665165" w:rsidP="00925F26">
            <w:pPr>
              <w:autoSpaceDE w:val="0"/>
              <w:autoSpaceDN w:val="0"/>
              <w:adjustRightInd w:val="0"/>
              <w:jc w:val="both"/>
              <w:rPr>
                <w:color w:val="000000" w:themeColor="text1"/>
                <w:sz w:val="16"/>
                <w:szCs w:val="16"/>
              </w:rPr>
            </w:pPr>
          </w:p>
          <w:p w14:paraId="1A5C8204" w14:textId="77777777" w:rsidR="00665165" w:rsidRPr="00925F26" w:rsidRDefault="00665165" w:rsidP="00925F26">
            <w:pPr>
              <w:autoSpaceDE w:val="0"/>
              <w:autoSpaceDN w:val="0"/>
              <w:adjustRightInd w:val="0"/>
              <w:jc w:val="both"/>
              <w:rPr>
                <w:color w:val="000000" w:themeColor="text1"/>
                <w:sz w:val="16"/>
                <w:szCs w:val="16"/>
              </w:rPr>
            </w:pPr>
          </w:p>
          <w:p w14:paraId="69F489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1850</w:t>
            </w:r>
          </w:p>
        </w:tc>
      </w:tr>
      <w:tr w:rsidR="000F5689" w:rsidRPr="00925F26" w14:paraId="5A8CAF0D" w14:textId="77777777">
        <w:tc>
          <w:tcPr>
            <w:tcW w:w="1121" w:type="dxa"/>
          </w:tcPr>
          <w:p w14:paraId="055C440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1121" w:type="dxa"/>
          </w:tcPr>
          <w:p w14:paraId="3FAA752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095CD3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492C8A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4CBD1AB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0DB7A85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9,2</w:t>
            </w:r>
          </w:p>
        </w:tc>
        <w:tc>
          <w:tcPr>
            <w:tcW w:w="1121" w:type="dxa"/>
          </w:tcPr>
          <w:p w14:paraId="59C0F5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9,4</w:t>
            </w:r>
          </w:p>
        </w:tc>
      </w:tr>
      <w:tr w:rsidR="000F5689" w:rsidRPr="00925F26" w14:paraId="73AD5923" w14:textId="77777777">
        <w:tc>
          <w:tcPr>
            <w:tcW w:w="1121" w:type="dxa"/>
          </w:tcPr>
          <w:p w14:paraId="62245EA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1121" w:type="dxa"/>
          </w:tcPr>
          <w:p w14:paraId="28506A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1121" w:type="dxa"/>
          </w:tcPr>
          <w:p w14:paraId="3013EE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8,5385</w:t>
            </w:r>
          </w:p>
        </w:tc>
        <w:tc>
          <w:tcPr>
            <w:tcW w:w="1121" w:type="dxa"/>
          </w:tcPr>
          <w:p w14:paraId="07A7D6F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121" w:type="dxa"/>
          </w:tcPr>
          <w:p w14:paraId="4CEF2AD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8,55</w:t>
            </w:r>
          </w:p>
        </w:tc>
        <w:tc>
          <w:tcPr>
            <w:tcW w:w="1121" w:type="dxa"/>
          </w:tcPr>
          <w:p w14:paraId="0E4B0A7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8,5385</w:t>
            </w:r>
          </w:p>
        </w:tc>
        <w:tc>
          <w:tcPr>
            <w:tcW w:w="1121" w:type="dxa"/>
          </w:tcPr>
          <w:p w14:paraId="6FDC5B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8,36</w:t>
            </w:r>
          </w:p>
        </w:tc>
      </w:tr>
      <w:tr w:rsidR="000F5689" w:rsidRPr="00925F26" w14:paraId="59F6E4B9" w14:textId="77777777">
        <w:tc>
          <w:tcPr>
            <w:tcW w:w="1121" w:type="dxa"/>
          </w:tcPr>
          <w:p w14:paraId="5C4198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м2</w:t>
            </w:r>
          </w:p>
        </w:tc>
        <w:tc>
          <w:tcPr>
            <w:tcW w:w="1121" w:type="dxa"/>
          </w:tcPr>
          <w:p w14:paraId="5B80E8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7B5EE0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01DEED4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604068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2207DF3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14,85</w:t>
            </w:r>
          </w:p>
        </w:tc>
        <w:tc>
          <w:tcPr>
            <w:tcW w:w="1121" w:type="dxa"/>
          </w:tcPr>
          <w:p w14:paraId="230A374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15,35</w:t>
            </w:r>
          </w:p>
        </w:tc>
      </w:tr>
      <w:tr w:rsidR="000F5689" w:rsidRPr="00925F26" w14:paraId="4ADAA04D" w14:textId="77777777">
        <w:tc>
          <w:tcPr>
            <w:tcW w:w="1121" w:type="dxa"/>
          </w:tcPr>
          <w:p w14:paraId="6FB16FC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Взлетный вес, кг</w:t>
            </w:r>
          </w:p>
        </w:tc>
        <w:tc>
          <w:tcPr>
            <w:tcW w:w="1121" w:type="dxa"/>
          </w:tcPr>
          <w:p w14:paraId="051B59E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2985</w:t>
            </w:r>
          </w:p>
        </w:tc>
        <w:tc>
          <w:tcPr>
            <w:tcW w:w="1121" w:type="dxa"/>
          </w:tcPr>
          <w:p w14:paraId="0554B69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2984</w:t>
            </w:r>
          </w:p>
        </w:tc>
        <w:tc>
          <w:tcPr>
            <w:tcW w:w="1121" w:type="dxa"/>
          </w:tcPr>
          <w:p w14:paraId="1DED266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3059</w:t>
            </w:r>
          </w:p>
        </w:tc>
        <w:tc>
          <w:tcPr>
            <w:tcW w:w="1121" w:type="dxa"/>
          </w:tcPr>
          <w:p w14:paraId="2DE81B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3057</w:t>
            </w:r>
          </w:p>
        </w:tc>
        <w:tc>
          <w:tcPr>
            <w:tcW w:w="1121" w:type="dxa"/>
          </w:tcPr>
          <w:p w14:paraId="3C760F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2935</w:t>
            </w:r>
          </w:p>
        </w:tc>
        <w:tc>
          <w:tcPr>
            <w:tcW w:w="1121" w:type="dxa"/>
          </w:tcPr>
          <w:p w14:paraId="183881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2792</w:t>
            </w:r>
          </w:p>
        </w:tc>
      </w:tr>
      <w:tr w:rsidR="000F5689" w:rsidRPr="00925F26" w14:paraId="05C8F615" w14:textId="77777777">
        <w:tc>
          <w:tcPr>
            <w:tcW w:w="1121" w:type="dxa"/>
          </w:tcPr>
          <w:p w14:paraId="4044797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1121" w:type="dxa"/>
          </w:tcPr>
          <w:p w14:paraId="1DF4E6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2438</w:t>
            </w:r>
          </w:p>
        </w:tc>
        <w:tc>
          <w:tcPr>
            <w:tcW w:w="1121" w:type="dxa"/>
          </w:tcPr>
          <w:p w14:paraId="572B864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2346</w:t>
            </w:r>
          </w:p>
        </w:tc>
        <w:tc>
          <w:tcPr>
            <w:tcW w:w="1121" w:type="dxa"/>
          </w:tcPr>
          <w:p w14:paraId="3BCB12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2411</w:t>
            </w:r>
          </w:p>
        </w:tc>
        <w:tc>
          <w:tcPr>
            <w:tcW w:w="1121" w:type="dxa"/>
          </w:tcPr>
          <w:p w14:paraId="7898829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0DD6AB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2342</w:t>
            </w:r>
          </w:p>
        </w:tc>
        <w:tc>
          <w:tcPr>
            <w:tcW w:w="1121" w:type="dxa"/>
          </w:tcPr>
          <w:p w14:paraId="7F7D523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2273</w:t>
            </w:r>
          </w:p>
        </w:tc>
      </w:tr>
      <w:tr w:rsidR="000F5689" w:rsidRPr="00925F26" w14:paraId="1F5BF3F0" w14:textId="77777777">
        <w:tc>
          <w:tcPr>
            <w:tcW w:w="1121" w:type="dxa"/>
          </w:tcPr>
          <w:p w14:paraId="09954A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Запас топлива, л</w:t>
            </w:r>
          </w:p>
        </w:tc>
        <w:tc>
          <w:tcPr>
            <w:tcW w:w="1121" w:type="dxa"/>
          </w:tcPr>
          <w:p w14:paraId="3F4FB76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21" w:type="dxa"/>
          </w:tcPr>
          <w:p w14:paraId="703AA41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21" w:type="dxa"/>
          </w:tcPr>
          <w:p w14:paraId="14B59B0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363</w:t>
            </w:r>
          </w:p>
        </w:tc>
        <w:tc>
          <w:tcPr>
            <w:tcW w:w="1121" w:type="dxa"/>
          </w:tcPr>
          <w:p w14:paraId="1609873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360</w:t>
            </w:r>
          </w:p>
        </w:tc>
        <w:tc>
          <w:tcPr>
            <w:tcW w:w="1121" w:type="dxa"/>
          </w:tcPr>
          <w:p w14:paraId="0694B50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352</w:t>
            </w:r>
          </w:p>
        </w:tc>
        <w:tc>
          <w:tcPr>
            <w:tcW w:w="1121" w:type="dxa"/>
          </w:tcPr>
          <w:p w14:paraId="11F2816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340</w:t>
            </w:r>
          </w:p>
        </w:tc>
      </w:tr>
      <w:tr w:rsidR="000F5689" w:rsidRPr="00925F26" w14:paraId="15B38EFA" w14:textId="77777777">
        <w:tc>
          <w:tcPr>
            <w:tcW w:w="1121" w:type="dxa"/>
          </w:tcPr>
          <w:p w14:paraId="25AA00A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Скорость макс., км/ч: у земли на </w:t>
            </w:r>
            <w:r w:rsidRPr="00925F26">
              <w:rPr>
                <w:color w:val="000000" w:themeColor="text1"/>
                <w:sz w:val="16"/>
                <w:szCs w:val="16"/>
              </w:rPr>
              <w:lastRenderedPageBreak/>
              <w:t>высоте, км посадочная</w:t>
            </w:r>
          </w:p>
        </w:tc>
        <w:tc>
          <w:tcPr>
            <w:tcW w:w="1121" w:type="dxa"/>
          </w:tcPr>
          <w:p w14:paraId="05E7BE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w:t>
            </w:r>
          </w:p>
        </w:tc>
        <w:tc>
          <w:tcPr>
            <w:tcW w:w="1121" w:type="dxa"/>
          </w:tcPr>
          <w:p w14:paraId="268687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611</w:t>
            </w:r>
          </w:p>
        </w:tc>
        <w:tc>
          <w:tcPr>
            <w:tcW w:w="1121" w:type="dxa"/>
          </w:tcPr>
          <w:p w14:paraId="12086C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602</w:t>
            </w:r>
          </w:p>
        </w:tc>
        <w:tc>
          <w:tcPr>
            <w:tcW w:w="1121" w:type="dxa"/>
          </w:tcPr>
          <w:p w14:paraId="68364249"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0499CC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604</w:t>
            </w:r>
          </w:p>
        </w:tc>
        <w:tc>
          <w:tcPr>
            <w:tcW w:w="1121" w:type="dxa"/>
          </w:tcPr>
          <w:p w14:paraId="1B4DE0BE" w14:textId="77777777" w:rsidR="00665165" w:rsidRPr="00925F26" w:rsidRDefault="00665165" w:rsidP="00925F26">
            <w:pPr>
              <w:autoSpaceDE w:val="0"/>
              <w:autoSpaceDN w:val="0"/>
              <w:adjustRightInd w:val="0"/>
              <w:jc w:val="both"/>
              <w:rPr>
                <w:color w:val="000000" w:themeColor="text1"/>
                <w:sz w:val="16"/>
                <w:szCs w:val="16"/>
              </w:rPr>
            </w:pPr>
          </w:p>
        </w:tc>
      </w:tr>
      <w:tr w:rsidR="000F5689" w:rsidRPr="00925F26" w14:paraId="33774D97" w14:textId="77777777">
        <w:tc>
          <w:tcPr>
            <w:tcW w:w="1121" w:type="dxa"/>
          </w:tcPr>
          <w:p w14:paraId="2480B7E8"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791C03C3"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42C950C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720/5,75</w:t>
            </w:r>
          </w:p>
        </w:tc>
        <w:tc>
          <w:tcPr>
            <w:tcW w:w="1121" w:type="dxa"/>
          </w:tcPr>
          <w:p w14:paraId="402D467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695/5,95</w:t>
            </w:r>
          </w:p>
          <w:p w14:paraId="23F487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21" w:type="dxa"/>
          </w:tcPr>
          <w:p w14:paraId="76F6EFB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707/5900</w:t>
            </w:r>
          </w:p>
        </w:tc>
        <w:tc>
          <w:tcPr>
            <w:tcW w:w="1121" w:type="dxa"/>
          </w:tcPr>
          <w:p w14:paraId="7A57CE9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706/5,9</w:t>
            </w:r>
          </w:p>
        </w:tc>
        <w:tc>
          <w:tcPr>
            <w:tcW w:w="1121" w:type="dxa"/>
          </w:tcPr>
          <w:p w14:paraId="159C97C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705/6,1</w:t>
            </w:r>
          </w:p>
        </w:tc>
      </w:tr>
      <w:tr w:rsidR="000F5689" w:rsidRPr="00925F26" w14:paraId="0984BC40" w14:textId="77777777">
        <w:tc>
          <w:tcPr>
            <w:tcW w:w="1121" w:type="dxa"/>
          </w:tcPr>
          <w:p w14:paraId="02E8585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5000 м, мин.</w:t>
            </w:r>
          </w:p>
        </w:tc>
        <w:tc>
          <w:tcPr>
            <w:tcW w:w="1121" w:type="dxa"/>
          </w:tcPr>
          <w:p w14:paraId="2692148B"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4D2AD38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3,9</w:t>
            </w:r>
          </w:p>
        </w:tc>
        <w:tc>
          <w:tcPr>
            <w:tcW w:w="1121" w:type="dxa"/>
          </w:tcPr>
          <w:p w14:paraId="7F024B1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w:t>
            </w:r>
          </w:p>
        </w:tc>
        <w:tc>
          <w:tcPr>
            <w:tcW w:w="1121" w:type="dxa"/>
          </w:tcPr>
          <w:p w14:paraId="1606C7A2"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1D25607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4,25</w:t>
            </w:r>
          </w:p>
        </w:tc>
        <w:tc>
          <w:tcPr>
            <w:tcW w:w="1121" w:type="dxa"/>
          </w:tcPr>
          <w:p w14:paraId="3DF20A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w:t>
            </w:r>
          </w:p>
        </w:tc>
      </w:tr>
      <w:tr w:rsidR="000F5689" w:rsidRPr="00925F26" w14:paraId="56375E0D" w14:textId="77777777">
        <w:tc>
          <w:tcPr>
            <w:tcW w:w="1121" w:type="dxa"/>
          </w:tcPr>
          <w:p w14:paraId="44369F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1121" w:type="dxa"/>
          </w:tcPr>
          <w:p w14:paraId="7E973F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0B796FE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11 800</w:t>
            </w:r>
          </w:p>
        </w:tc>
        <w:tc>
          <w:tcPr>
            <w:tcW w:w="1121" w:type="dxa"/>
          </w:tcPr>
          <w:p w14:paraId="4CC6C55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11 350</w:t>
            </w:r>
          </w:p>
        </w:tc>
        <w:tc>
          <w:tcPr>
            <w:tcW w:w="1121" w:type="dxa"/>
          </w:tcPr>
          <w:p w14:paraId="008E4F7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6E8B31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11 050</w:t>
            </w:r>
          </w:p>
        </w:tc>
        <w:tc>
          <w:tcPr>
            <w:tcW w:w="1121" w:type="dxa"/>
          </w:tcPr>
          <w:p w14:paraId="6CE632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685A21FD" w14:textId="77777777">
        <w:tc>
          <w:tcPr>
            <w:tcW w:w="1121" w:type="dxa"/>
          </w:tcPr>
          <w:p w14:paraId="251FFD8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Время виража на высоте 1000 м, с</w:t>
            </w:r>
          </w:p>
        </w:tc>
        <w:tc>
          <w:tcPr>
            <w:tcW w:w="1121" w:type="dxa"/>
          </w:tcPr>
          <w:p w14:paraId="574CFD1A"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3F96B3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17-18</w:t>
            </w:r>
          </w:p>
        </w:tc>
        <w:tc>
          <w:tcPr>
            <w:tcW w:w="1121" w:type="dxa"/>
          </w:tcPr>
          <w:p w14:paraId="13833605"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2BBC1A23"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6A436C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20</w:t>
            </w:r>
          </w:p>
        </w:tc>
        <w:tc>
          <w:tcPr>
            <w:tcW w:w="1121" w:type="dxa"/>
          </w:tcPr>
          <w:p w14:paraId="37AC4ED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3C242FA1" w14:textId="77777777">
        <w:tc>
          <w:tcPr>
            <w:tcW w:w="1121" w:type="dxa"/>
          </w:tcPr>
          <w:p w14:paraId="64D6DF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1121" w:type="dxa"/>
          </w:tcPr>
          <w:p w14:paraId="2247E266"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3AC53ACC"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3B6D727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1060</w:t>
            </w:r>
          </w:p>
        </w:tc>
        <w:tc>
          <w:tcPr>
            <w:tcW w:w="1121" w:type="dxa"/>
          </w:tcPr>
          <w:p w14:paraId="70CDD8B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1041 5)</w:t>
            </w:r>
          </w:p>
        </w:tc>
        <w:tc>
          <w:tcPr>
            <w:tcW w:w="1121" w:type="dxa"/>
          </w:tcPr>
          <w:p w14:paraId="24008E6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_</w:t>
            </w:r>
          </w:p>
        </w:tc>
        <w:tc>
          <w:tcPr>
            <w:tcW w:w="1121" w:type="dxa"/>
          </w:tcPr>
          <w:p w14:paraId="44639A5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777 4)</w:t>
            </w:r>
          </w:p>
        </w:tc>
      </w:tr>
      <w:tr w:rsidR="000F5689" w:rsidRPr="00925F26" w14:paraId="438189E5" w14:textId="77777777">
        <w:tc>
          <w:tcPr>
            <w:tcW w:w="1121" w:type="dxa"/>
          </w:tcPr>
          <w:p w14:paraId="5344064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Разбег/пробег, м</w:t>
            </w:r>
          </w:p>
        </w:tc>
        <w:tc>
          <w:tcPr>
            <w:tcW w:w="1121" w:type="dxa"/>
          </w:tcPr>
          <w:p w14:paraId="73B1ED57" w14:textId="77777777" w:rsidR="00665165" w:rsidRPr="00925F26" w:rsidRDefault="00665165" w:rsidP="00925F26">
            <w:pPr>
              <w:autoSpaceDE w:val="0"/>
              <w:autoSpaceDN w:val="0"/>
              <w:adjustRightInd w:val="0"/>
              <w:jc w:val="both"/>
              <w:rPr>
                <w:color w:val="000000" w:themeColor="text1"/>
                <w:sz w:val="16"/>
                <w:szCs w:val="16"/>
              </w:rPr>
            </w:pPr>
          </w:p>
        </w:tc>
        <w:tc>
          <w:tcPr>
            <w:tcW w:w="1121" w:type="dxa"/>
          </w:tcPr>
          <w:p w14:paraId="0BEB261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345/590</w:t>
            </w:r>
          </w:p>
        </w:tc>
        <w:tc>
          <w:tcPr>
            <w:tcW w:w="1121" w:type="dxa"/>
          </w:tcPr>
          <w:p w14:paraId="5721AB4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375/540</w:t>
            </w:r>
          </w:p>
        </w:tc>
        <w:tc>
          <w:tcPr>
            <w:tcW w:w="1121" w:type="dxa"/>
          </w:tcPr>
          <w:p w14:paraId="41B3C7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Pr>
          <w:p w14:paraId="28F7D4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-350/440</w:t>
            </w:r>
          </w:p>
        </w:tc>
        <w:tc>
          <w:tcPr>
            <w:tcW w:w="1121" w:type="dxa"/>
          </w:tcPr>
          <w:p w14:paraId="469E572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A097915" w14:textId="77777777">
        <w:tc>
          <w:tcPr>
            <w:tcW w:w="1121" w:type="dxa"/>
            <w:tcBorders>
              <w:bottom w:val="single" w:sz="12" w:space="0" w:color="auto"/>
            </w:tcBorders>
          </w:tcPr>
          <w:p w14:paraId="5B93E8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543E622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1x20/120 1x12,7/200</w:t>
            </w:r>
          </w:p>
        </w:tc>
        <w:tc>
          <w:tcPr>
            <w:tcW w:w="1121" w:type="dxa"/>
            <w:tcBorders>
              <w:bottom w:val="single" w:sz="12" w:space="0" w:color="auto"/>
            </w:tcBorders>
          </w:tcPr>
          <w:p w14:paraId="78487CA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1121" w:type="dxa"/>
            <w:tcBorders>
              <w:bottom w:val="single" w:sz="12" w:space="0" w:color="auto"/>
            </w:tcBorders>
          </w:tcPr>
          <w:p w14:paraId="0FE2467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3x20</w:t>
            </w:r>
          </w:p>
        </w:tc>
        <w:tc>
          <w:tcPr>
            <w:tcW w:w="1121" w:type="dxa"/>
            <w:tcBorders>
              <w:bottom w:val="single" w:sz="12" w:space="0" w:color="auto"/>
            </w:tcBorders>
          </w:tcPr>
          <w:p w14:paraId="76B6278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3x20/300</w:t>
            </w:r>
          </w:p>
        </w:tc>
        <w:tc>
          <w:tcPr>
            <w:tcW w:w="1121" w:type="dxa"/>
            <w:tcBorders>
              <w:bottom w:val="single" w:sz="12" w:space="0" w:color="auto"/>
            </w:tcBorders>
          </w:tcPr>
          <w:p w14:paraId="45187B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w:t>
            </w:r>
          </w:p>
        </w:tc>
        <w:tc>
          <w:tcPr>
            <w:tcW w:w="1121" w:type="dxa"/>
            <w:tcBorders>
              <w:bottom w:val="single" w:sz="12" w:space="0" w:color="auto"/>
            </w:tcBorders>
          </w:tcPr>
          <w:p w14:paraId="573792D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2x20/240</w:t>
            </w:r>
          </w:p>
        </w:tc>
      </w:tr>
    </w:tbl>
    <w:p w14:paraId="2876E3D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740F4DF9" w14:textId="77777777" w:rsidR="00665165" w:rsidRPr="00925F26" w:rsidRDefault="00665165" w:rsidP="00925F26">
      <w:pPr>
        <w:autoSpaceDE w:val="0"/>
        <w:autoSpaceDN w:val="0"/>
        <w:adjustRightInd w:val="0"/>
        <w:jc w:val="both"/>
        <w:rPr>
          <w:color w:val="000000" w:themeColor="text1"/>
          <w:sz w:val="16"/>
          <w:szCs w:val="16"/>
        </w:rPr>
      </w:pPr>
    </w:p>
    <w:p w14:paraId="0A2F43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года на заводе №153 в Новосибирске опытная машина Як-3 АШ-82 была в основном изготовлена, а ее сборка завершилась в Москве. На самолете поставили две синхронные пушки Б-20С с боезапасом по 120 патронов на ствол.</w:t>
      </w:r>
    </w:p>
    <w:p w14:paraId="5238350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Первый полет истребителя, пилотируемого П.Я. Федрови (ведущий инженер по испытаниям A.M. Дружинин), состоялся 12 мая 1945 года. В ходе испытаний Федрови достиг скорости 682 км/ч на высоте 6000 метров. Время набора высоты 5000 метров не превышало 3,9 минуты. Несмотря на впечатляющие результаты испытаний, в середине июня самолет вернули с летно- испытательной станции на опытный завод ОКБ, для замены крыла металлическим. Одновременно сделали и другие доработки, включая увеличение проти </w:t>
      </w:r>
      <w:proofErr w:type="gramStart"/>
      <w:r w:rsidRPr="00925F26">
        <w:rPr>
          <w:color w:val="000000" w:themeColor="text1"/>
          <w:sz w:val="16"/>
          <w:szCs w:val="16"/>
        </w:rPr>
        <w:t>во капотажного угла</w:t>
      </w:r>
      <w:proofErr w:type="gramEnd"/>
      <w:r w:rsidRPr="00925F26">
        <w:rPr>
          <w:color w:val="000000" w:themeColor="text1"/>
          <w:sz w:val="16"/>
          <w:szCs w:val="16"/>
        </w:rPr>
        <w:t>. Однако, несмотря на высокие летные данные, самолет больше в воздух не поднимался, а на его базе создали учебно- тренировочный истребитель Як-11 (12047).</w:t>
      </w:r>
    </w:p>
    <w:p w14:paraId="5156489F" w14:textId="77777777" w:rsidR="00665165" w:rsidRPr="00925F26" w:rsidRDefault="00665165" w:rsidP="00925F26">
      <w:pPr>
        <w:autoSpaceDE w:val="0"/>
        <w:autoSpaceDN w:val="0"/>
        <w:adjustRightInd w:val="0"/>
        <w:jc w:val="both"/>
        <w:rPr>
          <w:color w:val="000000" w:themeColor="text1"/>
          <w:sz w:val="16"/>
          <w:szCs w:val="16"/>
        </w:rPr>
      </w:pPr>
    </w:p>
    <w:p w14:paraId="3FD0C325" w14:textId="77777777" w:rsidR="004842B7" w:rsidRPr="001A0BAA" w:rsidRDefault="004842B7" w:rsidP="004842B7">
      <w:pPr>
        <w:jc w:val="both"/>
        <w:rPr>
          <w:color w:val="0070C0"/>
          <w:sz w:val="16"/>
          <w:szCs w:val="16"/>
        </w:rPr>
      </w:pPr>
      <w:r w:rsidRPr="001A0BAA">
        <w:rPr>
          <w:color w:val="0070C0"/>
          <w:sz w:val="16"/>
          <w:szCs w:val="16"/>
        </w:rPr>
        <w:t>С весны 1945 разрабатывался в КБ и с лета строился опытный образец самолёта Як-УТИ с АШ-21. Як-УТИ (Як-ЗУТИ) был построен на ба</w:t>
      </w:r>
      <w:r w:rsidRPr="001A0BAA">
        <w:rPr>
          <w:color w:val="0070C0"/>
          <w:sz w:val="16"/>
          <w:szCs w:val="16"/>
        </w:rPr>
        <w:softHyphen/>
        <w:t>зе серийного истребителя Як-3 с мото</w:t>
      </w:r>
      <w:r w:rsidRPr="001A0BAA">
        <w:rPr>
          <w:color w:val="0070C0"/>
          <w:sz w:val="16"/>
          <w:szCs w:val="16"/>
        </w:rPr>
        <w:softHyphen/>
        <w:t>ром ВК-107А и опытного Як-ЗУ. Главные внешние отличия от серийного Як-3 за</w:t>
      </w:r>
      <w:r w:rsidRPr="001A0BAA">
        <w:rPr>
          <w:color w:val="0070C0"/>
          <w:sz w:val="16"/>
          <w:szCs w:val="16"/>
        </w:rPr>
        <w:softHyphen/>
        <w:t>ключались в установке звездообразного двигателя с иными обводами капота и оснащении самолёта двумя кабинами, размещёнными в тандем с двумя сдвиж</w:t>
      </w:r>
      <w:r w:rsidRPr="001A0BAA">
        <w:rPr>
          <w:color w:val="0070C0"/>
          <w:sz w:val="16"/>
          <w:szCs w:val="16"/>
        </w:rPr>
        <w:softHyphen/>
        <w:t>ными крышками. Из архивных чертежей Як-УТИ явствует, что вначале предпола</w:t>
      </w:r>
      <w:r w:rsidRPr="001A0BAA">
        <w:rPr>
          <w:color w:val="0070C0"/>
          <w:sz w:val="16"/>
          <w:szCs w:val="16"/>
        </w:rPr>
        <w:softHyphen/>
        <w:t>галось оставить исходный размах крыла- 9,2 м, но позже его увеличили до 9,4 м. Длина фюзеляжа планировалась 8,33 м, но позже была доведена до 8,5 м - ви</w:t>
      </w:r>
      <w:r w:rsidRPr="001A0BAA">
        <w:rPr>
          <w:color w:val="0070C0"/>
          <w:sz w:val="16"/>
          <w:szCs w:val="16"/>
        </w:rPr>
        <w:softHyphen/>
        <w:t>димо, за счёт удлинения моторамы. В наследство от Як-3 новый учебный самолёт получил сферический козырёк фонаря и убираемое хвостовое колесо.</w:t>
      </w:r>
    </w:p>
    <w:p w14:paraId="46DB33E3" w14:textId="77777777" w:rsidR="004842B7" w:rsidRPr="001A0BAA" w:rsidRDefault="004842B7" w:rsidP="004842B7">
      <w:pPr>
        <w:jc w:val="both"/>
        <w:rPr>
          <w:color w:val="0070C0"/>
          <w:sz w:val="16"/>
          <w:szCs w:val="16"/>
        </w:rPr>
      </w:pPr>
      <w:r w:rsidRPr="001A0BAA">
        <w:rPr>
          <w:color w:val="0070C0"/>
          <w:sz w:val="16"/>
          <w:szCs w:val="16"/>
        </w:rPr>
        <w:t>На машине имелось вооружение: син</w:t>
      </w:r>
      <w:r w:rsidRPr="001A0BAA">
        <w:rPr>
          <w:color w:val="0070C0"/>
          <w:sz w:val="16"/>
          <w:szCs w:val="16"/>
        </w:rPr>
        <w:softHyphen/>
        <w:t>хронный пулемёт УБС-12,7, фотокино</w:t>
      </w:r>
      <w:r w:rsidRPr="001A0BAA">
        <w:rPr>
          <w:color w:val="0070C0"/>
          <w:sz w:val="16"/>
          <w:szCs w:val="16"/>
        </w:rPr>
        <w:softHyphen/>
        <w:t>пулемёт ПАУ-22 и два бомбодержателя для бомб калибром от 25 до 100 кг под крылом. Крыло - с металлической об</w:t>
      </w:r>
      <w:r w:rsidRPr="001A0BAA">
        <w:rPr>
          <w:color w:val="0070C0"/>
          <w:sz w:val="16"/>
          <w:szCs w:val="16"/>
        </w:rPr>
        <w:softHyphen/>
        <w:t>шивкой (в отличие от фанерной на Як-3 с ВК-105ПФ2). Радиосвязь обеспечива</w:t>
      </w:r>
      <w:r w:rsidRPr="001A0BAA">
        <w:rPr>
          <w:color w:val="0070C0"/>
          <w:sz w:val="16"/>
          <w:szCs w:val="16"/>
        </w:rPr>
        <w:softHyphen/>
        <w:t>лась с помощью однолучевой антенны с металлической мачтой, выполнявшей роль снижения (24958).</w:t>
      </w:r>
    </w:p>
    <w:p w14:paraId="62627650" w14:textId="77777777" w:rsidR="004842B7" w:rsidRPr="001A0BAA" w:rsidRDefault="004842B7" w:rsidP="004842B7">
      <w:pPr>
        <w:jc w:val="both"/>
        <w:rPr>
          <w:color w:val="0070C0"/>
          <w:sz w:val="16"/>
          <w:szCs w:val="16"/>
        </w:rPr>
      </w:pPr>
    </w:p>
    <w:p w14:paraId="762CCCC2" w14:textId="77777777" w:rsidR="0027059D" w:rsidRPr="00925F26" w:rsidRDefault="0027059D" w:rsidP="00925F26">
      <w:pPr>
        <w:jc w:val="both"/>
        <w:rPr>
          <w:color w:val="000000" w:themeColor="text1"/>
          <w:sz w:val="16"/>
          <w:szCs w:val="16"/>
        </w:rPr>
      </w:pPr>
      <w:r w:rsidRPr="00925F26">
        <w:rPr>
          <w:color w:val="000000" w:themeColor="text1"/>
          <w:sz w:val="16"/>
          <w:szCs w:val="16"/>
        </w:rPr>
        <w:t>Весной 1945 г. на испыта</w:t>
      </w:r>
      <w:r w:rsidRPr="00925F26">
        <w:rPr>
          <w:color w:val="000000" w:themeColor="text1"/>
          <w:sz w:val="16"/>
          <w:szCs w:val="16"/>
        </w:rPr>
        <w:softHyphen/>
        <w:t>ния вышли высотные истребители МиГ с мотором АМ-39Б и турбокомпрессорами: первый — с двумя ТК-2Б и с ТК-300Б — второй. На втором экземпляре МиГа 14 апре</w:t>
      </w:r>
      <w:r w:rsidRPr="00925F26">
        <w:rPr>
          <w:color w:val="000000" w:themeColor="text1"/>
          <w:sz w:val="16"/>
          <w:szCs w:val="16"/>
        </w:rPr>
        <w:softHyphen/>
        <w:t>ля 1945 г. достигли высоты 12300 м, 11 мая — 13000 м, а в день катастрофы высотно</w:t>
      </w:r>
      <w:r w:rsidRPr="00925F26">
        <w:rPr>
          <w:color w:val="000000" w:themeColor="text1"/>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925F26">
        <w:rPr>
          <w:color w:val="000000" w:themeColor="text1"/>
          <w:sz w:val="16"/>
          <w:szCs w:val="16"/>
        </w:rPr>
        <w:softHyphen/>
        <w:t>ния расчётного потолка 14000 м. Первый экземпляр МиГа, хотя и летал, но значитель</w:t>
      </w:r>
      <w:r w:rsidRPr="00925F26">
        <w:rPr>
          <w:color w:val="000000" w:themeColor="text1"/>
          <w:sz w:val="16"/>
          <w:szCs w:val="16"/>
        </w:rPr>
        <w:softHyphen/>
        <w:t>ных результатов на нём не получили (15830).</w:t>
      </w:r>
    </w:p>
    <w:p w14:paraId="2FB815E1" w14:textId="77777777" w:rsidR="0027059D" w:rsidRPr="00925F26" w:rsidRDefault="0027059D" w:rsidP="00925F26">
      <w:pPr>
        <w:jc w:val="both"/>
        <w:rPr>
          <w:color w:val="000000" w:themeColor="text1"/>
          <w:sz w:val="16"/>
          <w:szCs w:val="16"/>
        </w:rPr>
      </w:pPr>
    </w:p>
    <w:p w14:paraId="48F00E72" w14:textId="77777777" w:rsidR="00A92FC9" w:rsidRPr="00925F26" w:rsidRDefault="00A92FC9" w:rsidP="00925F26">
      <w:pPr>
        <w:jc w:val="both"/>
        <w:rPr>
          <w:color w:val="000000" w:themeColor="text1"/>
          <w:sz w:val="16"/>
          <w:szCs w:val="16"/>
        </w:rPr>
      </w:pPr>
      <w:r w:rsidRPr="00925F26">
        <w:rPr>
          <w:color w:val="000000" w:themeColor="text1"/>
          <w:sz w:val="16"/>
          <w:szCs w:val="16"/>
        </w:rPr>
        <w:t>Весной 1945 г. поставки Ла-7 возросли и уступали «по валу» лишь Як-9 в базовых вариантах, которых намечалось передать в войска 540 единиц (22772).</w:t>
      </w:r>
    </w:p>
    <w:p w14:paraId="3C6717B0" w14:textId="77777777" w:rsidR="00A92FC9" w:rsidRPr="00925F26" w:rsidRDefault="00A92FC9" w:rsidP="00925F26">
      <w:pPr>
        <w:jc w:val="both"/>
        <w:rPr>
          <w:color w:val="000000" w:themeColor="text1"/>
          <w:sz w:val="16"/>
          <w:szCs w:val="16"/>
        </w:rPr>
      </w:pPr>
    </w:p>
    <w:p w14:paraId="2F35B14D" w14:textId="77777777" w:rsidR="004842B7" w:rsidRPr="001A0BAA" w:rsidRDefault="004842B7" w:rsidP="004842B7">
      <w:pPr>
        <w:jc w:val="both"/>
        <w:rPr>
          <w:color w:val="0070C0"/>
          <w:sz w:val="16"/>
          <w:szCs w:val="16"/>
        </w:rPr>
      </w:pPr>
      <w:r w:rsidRPr="001A0BAA">
        <w:rPr>
          <w:color w:val="0070C0"/>
          <w:sz w:val="16"/>
          <w:szCs w:val="16"/>
        </w:rPr>
        <w:t>Весной 1945 г. был готов второй прототип Ла-7Р, изготовленный с учетом опыта, полученного на первой машине. На втором прототипе изменили конфигурацию хвостовой части фюзеляжа, усовершенствовали топливную систему, электрозажигание сменил химический стартер. Доработанный ЖРД получил обозначение РД-1Х (X - химический запуск). Модернизированный истребитель развил на высоте 6 300 м скорость 795 км/ч, его потолок составил 13 000 м, в то же время характеристики самолета при неработающем ЖРД резко снизились по сравнению с обычным Ла-7. Дополнительная прибавка в 235 кг (масса ЖРД) негативно сказалась на маневренности самолета и на его летных характеристиках, которые стали ниже, чем у любого истребителя того времени. Вместе с тем чрезвычайно короткое время работы ЖРД делало проблематичным использование ракетного двигателя в реальном бою. В ходе испытаний Шиянов, по меньшей мере, дважды рисковал жизнью; дважды ЖРД взрывался, причем один раз в полете. Тем не менее, Шиянов приспособился к особенностям техники пилотирования Ла-7Р, которая отличалась от управления стандартным Ла-7 особенно в полете с полностью заправленными баками и не включенным ЖРД, на этом режиме полета в кабину проникали пары азотной кислоты. Ракетные истребители Ла-120Р (доработанный Ла-7Р) демонстрировался на воздушном параде в Тушино в 1946 г., самолет с включенным ЖРД пилотировал В.А. Давыдов (24925).</w:t>
      </w:r>
    </w:p>
    <w:p w14:paraId="39DF9AEF" w14:textId="77777777" w:rsidR="004842B7" w:rsidRPr="001A0BAA" w:rsidRDefault="004842B7" w:rsidP="004842B7">
      <w:pPr>
        <w:jc w:val="both"/>
        <w:rPr>
          <w:color w:val="0070C0"/>
          <w:sz w:val="16"/>
          <w:szCs w:val="16"/>
        </w:rPr>
      </w:pPr>
      <w:r w:rsidRPr="001A0BAA">
        <w:rPr>
          <w:color w:val="0070C0"/>
          <w:sz w:val="16"/>
          <w:szCs w:val="16"/>
        </w:rPr>
        <w:t>Проходил испытания и Ла-7, оснащенный пульсирующими воздушно-реактивными двигателями, установленными, как и ранее на ЛаГГ-3, под плоскостями крыла. Самолет, оборудованный двумя пульсирующими моторами ПВРД-430 конструкции Бондарюка, получил обозначение Ла-7С. Еще на одном самолете устанавливались два вспомогательных ПВРД Д-12 тягой по 200 кН каждый; эта машина называлась Ла-7ППВРД. Дальнейшие работы по Ла-7 с ПВРД прекратились по той же причине, что и работы по Ла-7Р - слишком малое время работы при значительном усложнении конструкции самолета. Включенный ПВРД давал прирост скорости в 112 км/ч, в то же время с выключенным ПВРД истребитель проигрывал в скорости обычному Ла-7 примерно 50 км/ч: ПВРД в добавок провоцировали сильные вибрации планера. Последним экспериментальным Ла-7 стал самолет, на который было установлено крыло с ламинарным профилем. Машина получила обозначение Ла-7Л, она была построена в 1944 г. Этому самолету не суждено было подняться в воздух, но его продули в аэродинамической трубе Т-101. Летные испытания проводить не стали, так как 2 февраля совершил первый полет самолет Ла-130 (прототип Ла-9), имевший крыло с аналогичным профилем (24925).</w:t>
      </w:r>
    </w:p>
    <w:p w14:paraId="524792FF" w14:textId="77777777" w:rsidR="004842B7" w:rsidRPr="001A0BAA" w:rsidRDefault="004842B7" w:rsidP="004842B7">
      <w:pPr>
        <w:jc w:val="both"/>
        <w:rPr>
          <w:color w:val="0070C0"/>
          <w:sz w:val="16"/>
          <w:szCs w:val="16"/>
        </w:rPr>
      </w:pPr>
    </w:p>
    <w:p w14:paraId="442C25B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в руки отечественных авиационных специалистов попали сначала отдельные узлы и агрегаты поврежденных германских "газотурбинников", а затем и исправные двигатели в сборе. По ревнивым оценкам люльковцев, эти ТРД были "недоведенными", обладавшими множеством дефектов и пр. Но они выпускались серийно, и с их помощью в небо поднимались боевые самолеты. А.М. Люлька вместе со своими коллективом (и, безусловно, не по своей вине) потерял много времени. Война своими железными законами, требовавшими увеличения выпуска серийной продукции именно сегодня, а не в отдаленной перспективе, отбросила его назад и поставила в положение догоняющего. Пригодный для полетов С-18 летом 1945 г. был таким же "журавлем в небе", как РД-1 весной 1941 г. (11407).</w:t>
      </w:r>
    </w:p>
    <w:p w14:paraId="6CAEBFAE" w14:textId="77777777" w:rsidR="00665165" w:rsidRPr="00925F26" w:rsidRDefault="00665165" w:rsidP="00925F26">
      <w:pPr>
        <w:autoSpaceDE w:val="0"/>
        <w:autoSpaceDN w:val="0"/>
        <w:adjustRightInd w:val="0"/>
        <w:jc w:val="both"/>
        <w:rPr>
          <w:color w:val="000000" w:themeColor="text1"/>
          <w:sz w:val="16"/>
          <w:szCs w:val="16"/>
        </w:rPr>
      </w:pPr>
    </w:p>
    <w:p w14:paraId="06FC61E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в ОКБ В.М.М. завода 482 началось проектирование дальнего истребителя сопровождения на основе Пе-2И и в конце 1945 машина была выкачена на испытания (2599,24).</w:t>
      </w:r>
    </w:p>
    <w:p w14:paraId="1B43F5B1" w14:textId="77777777" w:rsidR="00665165" w:rsidRPr="00925F26" w:rsidRDefault="00665165" w:rsidP="00925F26">
      <w:pPr>
        <w:autoSpaceDE w:val="0"/>
        <w:autoSpaceDN w:val="0"/>
        <w:adjustRightInd w:val="0"/>
        <w:jc w:val="both"/>
        <w:rPr>
          <w:color w:val="000000" w:themeColor="text1"/>
          <w:sz w:val="16"/>
          <w:szCs w:val="16"/>
        </w:rPr>
      </w:pPr>
    </w:p>
    <w:p w14:paraId="193551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ОКБ С.В.И. приступило к проектированию Ил-18 с 4 АЧ-72 (5,172).</w:t>
      </w:r>
    </w:p>
    <w:p w14:paraId="2D94EE01" w14:textId="77777777" w:rsidR="00665165" w:rsidRPr="00925F26" w:rsidRDefault="00665165" w:rsidP="00925F26">
      <w:pPr>
        <w:autoSpaceDE w:val="0"/>
        <w:autoSpaceDN w:val="0"/>
        <w:adjustRightInd w:val="0"/>
        <w:jc w:val="both"/>
        <w:rPr>
          <w:color w:val="000000" w:themeColor="text1"/>
          <w:sz w:val="16"/>
          <w:szCs w:val="16"/>
        </w:rPr>
      </w:pPr>
    </w:p>
    <w:p w14:paraId="457B6E56" w14:textId="77777777" w:rsidR="000B23E5" w:rsidRPr="00925F26" w:rsidRDefault="000B23E5"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Весной 1945 года макетная комиссия Заказчика дала положительное заключение по представленному маке</w:t>
      </w:r>
      <w:r w:rsidRPr="00925F26">
        <w:rPr>
          <w:rFonts w:ascii="Times New Roman" w:cs="Times New Roman"/>
          <w:color w:val="000000" w:themeColor="text1"/>
          <w:spacing w:val="0"/>
        </w:rPr>
        <w:softHyphen/>
        <w:t>ту Ил-14, в то же время, сопроводив его целым рядом новых пожеланий по изменению компоновки кабины летчиков и усилению оборонительного вооружения (12740).</w:t>
      </w:r>
    </w:p>
    <w:p w14:paraId="2B44A825" w14:textId="77777777" w:rsidR="000B23E5" w:rsidRPr="00925F26" w:rsidRDefault="000B23E5" w:rsidP="00925F26">
      <w:pPr>
        <w:jc w:val="both"/>
        <w:rPr>
          <w:color w:val="000000" w:themeColor="text1"/>
          <w:sz w:val="16"/>
          <w:szCs w:val="16"/>
        </w:rPr>
      </w:pPr>
    </w:p>
    <w:p w14:paraId="03F351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Весной 1945 г. ОКБ С.А.Л. был выпущен проект легкого однодвигательного реактивного истребителя "150" первоначально с люльковским двигателем С-18, а затем с Jumo-004. Это был высокоплан с расположением двигателя по реданной схеме, однако в отличие от "яка" кабина располагалась в носовой части фюзеляжа. Поскольку тяга немецкого Jumo-004 была меньше, чем расчетная у отечественного С-18, пришлось искать способы уменьшения массы конструкции. Для отдаления момента возникновения явлений, получивших название "волнового кризиса", предлагалось использовать новые скоростные профили и рациональную компоновку их по длине крыла. Поскольку крыло следовало выполнять с малой относительной толщиной, шасси и топливные баки постарались убрать в фюзеляж. ЦАГИ рекомендовало возможно более высокое, на киле, расположение горизонтального оперения для выноса его из потока, возмущенного крылом.</w:t>
      </w:r>
    </w:p>
    <w:p w14:paraId="287E455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Воздухозаборник находился в носовой части фюзеляжа, два воздушных канала огибали по бортам кабину пилота. Непростой оказалась задача размещения топливных баков: получилась довольно сложная система, включавшая в себя кроме двух баков в центроплане еще пять фюзеляжных баков своеобразной конфигурации, которые со всех сторон "облепили" двигатель. Такое решение позволило максимально обжать фюзеляж и при ограниченной тяге двигателя получить приемлемые скоростные характеристики.</w:t>
      </w:r>
    </w:p>
    <w:p w14:paraId="0F36656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w:t>
      </w:r>
    </w:p>
    <w:p w14:paraId="34DD21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226D031C" w14:textId="77777777" w:rsidR="00665165" w:rsidRPr="00925F26" w:rsidRDefault="00665165" w:rsidP="00925F26">
      <w:pPr>
        <w:autoSpaceDE w:val="0"/>
        <w:autoSpaceDN w:val="0"/>
        <w:adjustRightInd w:val="0"/>
        <w:jc w:val="both"/>
        <w:rPr>
          <w:color w:val="000000" w:themeColor="text1"/>
          <w:sz w:val="16"/>
          <w:szCs w:val="16"/>
        </w:rPr>
      </w:pPr>
    </w:p>
    <w:p w14:paraId="4B1CFEBF" w14:textId="77777777" w:rsidR="005C2D05" w:rsidRPr="00925F26" w:rsidRDefault="005C2D05" w:rsidP="00925F26">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r w:rsidRPr="00925F26">
        <w:rPr>
          <w:rFonts w:ascii="Times New Roman" w:hAnsi="Times New Roman" w:cs="Times New Roman"/>
          <w:color w:val="000000" w:themeColor="text1"/>
          <w:spacing w:val="0"/>
          <w:sz w:val="16"/>
          <w:szCs w:val="16"/>
        </w:rPr>
        <w:t>Весной 1945 г. начали разворачивать изготовление экспериментальной машины Утка – по мере сдачи в производство рабочих чертежей. В конце апреля в деревообделочном цехе при</w:t>
      </w:r>
      <w:r w:rsidRPr="00925F26">
        <w:rPr>
          <w:rFonts w:ascii="Times New Roman" w:hAnsi="Times New Roman" w:cs="Times New Roman"/>
          <w:color w:val="000000" w:themeColor="text1"/>
          <w:spacing w:val="0"/>
          <w:sz w:val="16"/>
          <w:szCs w:val="16"/>
        </w:rPr>
        <w:softHyphen/>
        <w:t>ступили к заготовке деталей Утки (15848).</w:t>
      </w:r>
    </w:p>
    <w:p w14:paraId="3265BA5B" w14:textId="77777777" w:rsidR="005C2D05" w:rsidRPr="00925F26" w:rsidRDefault="005C2D05" w:rsidP="00925F26">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p>
    <w:p w14:paraId="03AB0E27" w14:textId="77777777" w:rsidR="005C2D05" w:rsidRPr="00925F26" w:rsidRDefault="005C2D05"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Весной 1945 г. Председатель Центрального Совета Осоавиахима СССР генерал-майор П. Кобелев направил в правительство письмо с просьбой оказать содействие по возвращению ЦС Осоавиахима СССР территории бывшего Тушинского планерного за</w:t>
      </w:r>
      <w:r w:rsidRPr="00925F26">
        <w:rPr>
          <w:rFonts w:ascii="Times New Roman" w:cs="Times New Roman"/>
          <w:color w:val="000000" w:themeColor="text1"/>
          <w:spacing w:val="0"/>
          <w:sz w:val="16"/>
          <w:szCs w:val="16"/>
        </w:rPr>
        <w:softHyphen/>
        <w:t>вода для организации производства планеров. НКАП сумел отклонить эту попытку, мо</w:t>
      </w:r>
      <w:r w:rsidRPr="00925F26">
        <w:rPr>
          <w:rFonts w:ascii="Times New Roman" w:cs="Times New Roman"/>
          <w:color w:val="000000" w:themeColor="text1"/>
          <w:spacing w:val="0"/>
          <w:sz w:val="16"/>
          <w:szCs w:val="16"/>
        </w:rPr>
        <w:softHyphen/>
        <w:t>тивируя тем, что на данной территории находится опытное производство главного конструктора П.О. Сухого, а других свободных площадей Наркомат не имеет. В сентя</w:t>
      </w:r>
      <w:r w:rsidRPr="00925F26">
        <w:rPr>
          <w:rFonts w:ascii="Times New Roman" w:cs="Times New Roman"/>
          <w:color w:val="000000" w:themeColor="text1"/>
          <w:spacing w:val="0"/>
          <w:sz w:val="16"/>
          <w:szCs w:val="16"/>
        </w:rPr>
        <w:softHyphen/>
        <w:t>бре повторную попытку овладеть данной территорией также «отбили» (15792).</w:t>
      </w:r>
    </w:p>
    <w:p w14:paraId="544AA085" w14:textId="77777777" w:rsidR="005C2D05" w:rsidRPr="00925F26" w:rsidRDefault="005C2D05" w:rsidP="00925F26">
      <w:pPr>
        <w:pStyle w:val="36"/>
        <w:shd w:val="clear" w:color="auto" w:fill="auto"/>
        <w:spacing w:after="0" w:line="240" w:lineRule="auto"/>
        <w:jc w:val="both"/>
        <w:rPr>
          <w:rFonts w:ascii="Times New Roman" w:cs="Times New Roman"/>
          <w:color w:val="000000" w:themeColor="text1"/>
          <w:spacing w:val="0"/>
          <w:sz w:val="16"/>
          <w:szCs w:val="16"/>
        </w:rPr>
      </w:pPr>
    </w:p>
    <w:p w14:paraId="4DFCEA8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был готов ЛЛ-143 (99,247).</w:t>
      </w:r>
    </w:p>
    <w:p w14:paraId="7ABF1410" w14:textId="77777777" w:rsidR="00665165" w:rsidRPr="00925F26" w:rsidRDefault="00665165" w:rsidP="00925F26">
      <w:pPr>
        <w:autoSpaceDE w:val="0"/>
        <w:autoSpaceDN w:val="0"/>
        <w:adjustRightInd w:val="0"/>
        <w:jc w:val="both"/>
        <w:rPr>
          <w:color w:val="000000" w:themeColor="text1"/>
          <w:sz w:val="16"/>
          <w:szCs w:val="16"/>
        </w:rPr>
      </w:pPr>
    </w:p>
    <w:p w14:paraId="0F7198C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прошел стендовые испытания ТРД С-18 с тягой 1030 кг А.М.Люльки - прообраз ТР-1 (553,173).</w:t>
      </w:r>
    </w:p>
    <w:p w14:paraId="13FF0AF3" w14:textId="77777777" w:rsidR="00665165" w:rsidRPr="00925F26" w:rsidRDefault="00665165" w:rsidP="00925F26">
      <w:pPr>
        <w:autoSpaceDE w:val="0"/>
        <w:autoSpaceDN w:val="0"/>
        <w:adjustRightInd w:val="0"/>
        <w:jc w:val="both"/>
        <w:rPr>
          <w:color w:val="000000" w:themeColor="text1"/>
          <w:sz w:val="16"/>
          <w:szCs w:val="16"/>
        </w:rPr>
      </w:pPr>
    </w:p>
    <w:p w14:paraId="5E74AF44" w14:textId="77777777" w:rsidR="004842B7" w:rsidRPr="001A0BAA" w:rsidRDefault="004842B7" w:rsidP="004842B7">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Весной 1945 г. на заводе № 500 проводились испытания улучшенного варианта АЧ-30Б с ресурсом 200 ч, и даже готовился запуск этого двигателя в производство. Выявленные дефекты не драматизировались, считалось, что их устранение – дело ближайшего будущего. И вдруг картина радикально изменилась. Поводом для этого стал массовый брак коленчатых валов, выявленный военпредами завода № 500 в последней декаде апреля 1945 г. (25145)</w:t>
      </w:r>
    </w:p>
    <w:p w14:paraId="3D74A82F" w14:textId="77777777" w:rsidR="004842B7" w:rsidRPr="001A0BAA" w:rsidRDefault="004842B7" w:rsidP="004842B7">
      <w:pPr>
        <w:jc w:val="both"/>
        <w:rPr>
          <w:color w:val="0070C0"/>
          <w:sz w:val="16"/>
          <w:szCs w:val="16"/>
        </w:rPr>
      </w:pPr>
    </w:p>
    <w:p w14:paraId="3F64DCCE" w14:textId="77777777" w:rsidR="004842B7" w:rsidRPr="001A0BAA" w:rsidRDefault="004842B7" w:rsidP="004842B7">
      <w:pPr>
        <w:jc w:val="both"/>
        <w:rPr>
          <w:color w:val="0070C0"/>
          <w:sz w:val="16"/>
          <w:szCs w:val="16"/>
        </w:rPr>
      </w:pPr>
      <w:r w:rsidRPr="001A0BAA">
        <w:rPr>
          <w:color w:val="0070C0"/>
          <w:sz w:val="16"/>
          <w:szCs w:val="16"/>
        </w:rPr>
        <w:t>Весной 1945 испытывался АЧ-30Б с ресурсом 200 часов. Летали на них Ер-2 (25288).</w:t>
      </w:r>
    </w:p>
    <w:p w14:paraId="1B779A7D" w14:textId="77777777" w:rsidR="004842B7" w:rsidRPr="001A0BAA" w:rsidRDefault="004842B7" w:rsidP="004842B7">
      <w:pPr>
        <w:jc w:val="both"/>
        <w:rPr>
          <w:color w:val="0070C0"/>
          <w:sz w:val="16"/>
          <w:szCs w:val="16"/>
        </w:rPr>
      </w:pPr>
    </w:p>
    <w:p w14:paraId="566E641B" w14:textId="77777777" w:rsidR="004842B7" w:rsidRPr="001A0BAA" w:rsidRDefault="004842B7" w:rsidP="004842B7">
      <w:pPr>
        <w:jc w:val="both"/>
        <w:rPr>
          <w:color w:val="0070C0"/>
          <w:sz w:val="16"/>
          <w:szCs w:val="16"/>
        </w:rPr>
      </w:pPr>
      <w:r w:rsidRPr="001A0BAA">
        <w:rPr>
          <w:color w:val="0070C0"/>
          <w:sz w:val="16"/>
          <w:szCs w:val="16"/>
        </w:rPr>
        <w:t>Весной 1945 г. были изготовлены основные части двигателя Jumo-012, и все было готово к окончательной сборке и испытаниям. Но в это время американцы захватили Дессау и этот проект фир</w:t>
      </w:r>
      <w:r w:rsidRPr="001A0BAA">
        <w:rPr>
          <w:color w:val="0070C0"/>
          <w:sz w:val="16"/>
          <w:szCs w:val="16"/>
        </w:rPr>
        <w:softHyphen/>
        <w:t>ма «Юнкере» не закончила. Перед вступление американцев в Дессау, немцы частично уничтожили конструкторскую доку</w:t>
      </w:r>
      <w:r w:rsidRPr="001A0BAA">
        <w:rPr>
          <w:color w:val="0070C0"/>
          <w:sz w:val="16"/>
          <w:szCs w:val="16"/>
        </w:rPr>
        <w:softHyphen/>
        <w:t>ментацию по двигателю. Турбину и компрессор Jumo-012 аме</w:t>
      </w:r>
      <w:r w:rsidRPr="001A0BAA">
        <w:rPr>
          <w:color w:val="0070C0"/>
          <w:sz w:val="16"/>
          <w:szCs w:val="16"/>
        </w:rPr>
        <w:softHyphen/>
        <w:t>риканцы вывезли для изучения в США [63].</w:t>
      </w:r>
    </w:p>
    <w:p w14:paraId="64035093" w14:textId="77777777" w:rsidR="004842B7" w:rsidRPr="001A0BAA" w:rsidRDefault="004842B7" w:rsidP="004842B7">
      <w:pPr>
        <w:jc w:val="both"/>
        <w:rPr>
          <w:color w:val="0070C0"/>
          <w:sz w:val="16"/>
          <w:szCs w:val="16"/>
        </w:rPr>
      </w:pPr>
      <w:r w:rsidRPr="001A0BAA">
        <w:rPr>
          <w:color w:val="0070C0"/>
          <w:sz w:val="16"/>
          <w:szCs w:val="16"/>
        </w:rPr>
        <w:t>Работы по двигателю пришлось начинать фактически с са</w:t>
      </w:r>
      <w:r w:rsidRPr="001A0BAA">
        <w:rPr>
          <w:color w:val="0070C0"/>
          <w:sz w:val="16"/>
          <w:szCs w:val="16"/>
        </w:rPr>
        <w:softHyphen/>
        <w:t>мого начала. Задание на воссоздание Jumo-012 поступило от НКАП в сентябре 1945 г. (24920).</w:t>
      </w:r>
    </w:p>
    <w:p w14:paraId="6E36FF66" w14:textId="77777777" w:rsidR="004842B7" w:rsidRPr="001A0BAA" w:rsidRDefault="004842B7" w:rsidP="004842B7">
      <w:pPr>
        <w:jc w:val="both"/>
        <w:rPr>
          <w:color w:val="0070C0"/>
          <w:sz w:val="16"/>
          <w:szCs w:val="16"/>
        </w:rPr>
      </w:pPr>
    </w:p>
    <w:p w14:paraId="3A53BB0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в самом конце Великой Отечественной войны в ГСКБ-47 учли многолетний опыт производства наиболее удачных в калибре 250 кг боеприпасов - ФАБ-250М43 - и создали авиабомбу предельно упрощенной конструкции (чертежа 3-01631 образца 1945 г. с индексом 7-Ф-325). В машиностроении таким идеально отработанным изделиям обычно принято присваивать наименование “бис”. От ФАБ-250М43 чертежа 3-01284 образца 1943 г. ее отличали головной запальный стакан, установленный на резьбе, и втулка запального стакана измененной конструкции. Кроме того, для улучшения баллистики авиабомбы стабилизатор выполнили приваренным. Исходя из этого донный запальный стакан пришлось приваривать к конусу корпуса и изменить конструкцию втулки запального стакана. А также в качестве основного варианта принят штампованный конус, а сварной оставлен как вариант (7453).</w:t>
      </w:r>
    </w:p>
    <w:p w14:paraId="393B08EF" w14:textId="77777777" w:rsidR="00665165" w:rsidRPr="00925F26" w:rsidRDefault="00665165" w:rsidP="00925F26">
      <w:pPr>
        <w:autoSpaceDE w:val="0"/>
        <w:autoSpaceDN w:val="0"/>
        <w:adjustRightInd w:val="0"/>
        <w:jc w:val="both"/>
        <w:rPr>
          <w:color w:val="000000" w:themeColor="text1"/>
          <w:sz w:val="16"/>
          <w:szCs w:val="16"/>
        </w:rPr>
      </w:pPr>
    </w:p>
    <w:p w14:paraId="28D2894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был подготовлен:</w:t>
      </w:r>
    </w:p>
    <w:p w14:paraId="2FEA059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Отчет завода № 243 ГВФ по основной деятельности за 1944 год</w:t>
      </w:r>
    </w:p>
    <w:p w14:paraId="3FE5820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Место: Ташкент, п/я 95</w:t>
      </w:r>
    </w:p>
    <w:p w14:paraId="62B9BF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Ввод в эксплуатацию – 1929 год</w:t>
      </w:r>
    </w:p>
    <w:p w14:paraId="0AF7485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Задачи: ремонт самолетов и моторов, запчастей; ремонт автотранспорта (8651).</w:t>
      </w:r>
    </w:p>
    <w:p w14:paraId="4B9FE915" w14:textId="77777777" w:rsidR="00665165" w:rsidRPr="00925F26" w:rsidRDefault="00665165" w:rsidP="00925F26">
      <w:pPr>
        <w:autoSpaceDE w:val="0"/>
        <w:autoSpaceDN w:val="0"/>
        <w:adjustRightInd w:val="0"/>
        <w:jc w:val="both"/>
        <w:rPr>
          <w:color w:val="000000" w:themeColor="text1"/>
          <w:sz w:val="16"/>
          <w:szCs w:val="16"/>
        </w:rPr>
      </w:pPr>
    </w:p>
    <w:p w14:paraId="50BDA78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был подготовлен:</w:t>
      </w:r>
    </w:p>
    <w:p w14:paraId="16D13BF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Отчет завода № 245 ГВФ по основной деятельности за 1944 год</w:t>
      </w:r>
    </w:p>
    <w:p w14:paraId="73F63C9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Место: Чкалов, п/я 205</w:t>
      </w:r>
    </w:p>
    <w:p w14:paraId="48800A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Задачи: изготовление аэродромного оборудования, запчастей к самолетам и моторам</w:t>
      </w:r>
    </w:p>
    <w:p w14:paraId="73165A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Завод в основном расположен в жилых домах, переоборудованных в период войны в производство (8652).</w:t>
      </w:r>
    </w:p>
    <w:p w14:paraId="3BA8EF22" w14:textId="77777777" w:rsidR="00665165" w:rsidRPr="00925F26" w:rsidRDefault="00665165" w:rsidP="00925F26">
      <w:pPr>
        <w:autoSpaceDE w:val="0"/>
        <w:autoSpaceDN w:val="0"/>
        <w:adjustRightInd w:val="0"/>
        <w:jc w:val="both"/>
        <w:rPr>
          <w:color w:val="000000" w:themeColor="text1"/>
          <w:sz w:val="16"/>
          <w:szCs w:val="16"/>
        </w:rPr>
      </w:pPr>
    </w:p>
    <w:p w14:paraId="5AEAC83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начался первый этап летных испытаний КР 10X. Испытания проводились в Голодной степи между Ташкентом и рекой Сыр-Дарья. До конца августа с трех переоборудованных самолетов-носителей Пе-8 произвели шестьдесят три пуска 10Х, лишь 30% которых по совокупности показателей признали удовлетворительными. Во многом неудачи первого этапа связаны с плохой работой автомата регулятора подачи горючего.</w:t>
      </w:r>
    </w:p>
    <w:p w14:paraId="7C0EB54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анализа причин этих неудач на завод № 51 прибыли три генерала: В.Ф. Болховитинов, С.А.Лавочкин и Н.А.Жем-чужин (бывший заместитель Н.Н.Поликарпова). Дмитрий Людвигович вспоминал: “В.Н.Челомей предъявил им ранее отвергнутый и не утвержденный наш отчет как доказательство того, что он над этим вопросом работал”.</w:t>
      </w:r>
    </w:p>
    <w:p w14:paraId="5B4E18F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 результатам первого этапа испытаний в чертежи 10X внесли необходимые изменения. В 1946 г. построили новую партию из 180 модернизированных ракет, и начались повторные испытания (9536,10).</w:t>
      </w:r>
    </w:p>
    <w:p w14:paraId="5E20E5BE" w14:textId="77777777" w:rsidR="00665165" w:rsidRPr="00925F26" w:rsidRDefault="00665165" w:rsidP="00925F26">
      <w:pPr>
        <w:autoSpaceDE w:val="0"/>
        <w:autoSpaceDN w:val="0"/>
        <w:adjustRightInd w:val="0"/>
        <w:jc w:val="both"/>
        <w:rPr>
          <w:color w:val="000000" w:themeColor="text1"/>
          <w:sz w:val="16"/>
          <w:szCs w:val="16"/>
        </w:rPr>
      </w:pPr>
    </w:p>
    <w:p w14:paraId="2F1A895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на заводе № 125 в кооперации с другими заводами по документации завода № 51 началось серийное производство самолетов-снарядов 10Х. До приостановления работ в связи с окончанием Второй мировой войны успели построить 300 таких КР (11686).</w:t>
      </w:r>
    </w:p>
    <w:p w14:paraId="28135D85" w14:textId="77777777" w:rsidR="00665165" w:rsidRPr="00925F26" w:rsidRDefault="00665165" w:rsidP="00925F26">
      <w:pPr>
        <w:autoSpaceDE w:val="0"/>
        <w:autoSpaceDN w:val="0"/>
        <w:adjustRightInd w:val="0"/>
        <w:jc w:val="both"/>
        <w:rPr>
          <w:color w:val="000000" w:themeColor="text1"/>
          <w:sz w:val="16"/>
          <w:szCs w:val="16"/>
        </w:rPr>
      </w:pPr>
    </w:p>
    <w:p w14:paraId="09F7706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начался первый этап летных испытаний КР 10Х. Испытания проводились в Голодной степи между Ташкентом и рекой Сыр-Дарья на базе экспедиции в Джизаке. На первом этапе необходимо было проверить работу подвесного устройства, устройства сбрасывания, работу двигателя и других механизмов самолета-снаряда в момент отрыва его от самолета-носителя.</w:t>
      </w:r>
    </w:p>
    <w:p w14:paraId="74A055B7" w14:textId="77777777" w:rsidR="00665165" w:rsidRPr="00925F26" w:rsidRDefault="00665165" w:rsidP="00925F26">
      <w:pPr>
        <w:autoSpaceDE w:val="0"/>
        <w:autoSpaceDN w:val="0"/>
        <w:adjustRightInd w:val="0"/>
        <w:jc w:val="both"/>
        <w:rPr>
          <w:color w:val="000000" w:themeColor="text1"/>
          <w:sz w:val="16"/>
          <w:szCs w:val="16"/>
        </w:rPr>
      </w:pPr>
    </w:p>
    <w:p w14:paraId="46054B0F" w14:textId="77777777" w:rsidR="00823A00" w:rsidRPr="00925F26" w:rsidRDefault="00823A00" w:rsidP="00925F26">
      <w:pPr>
        <w:jc w:val="both"/>
        <w:rPr>
          <w:color w:val="000000" w:themeColor="text1"/>
          <w:sz w:val="16"/>
          <w:szCs w:val="16"/>
        </w:rPr>
      </w:pPr>
      <w:r w:rsidRPr="00925F26">
        <w:rPr>
          <w:color w:val="000000" w:themeColor="text1"/>
          <w:sz w:val="16"/>
          <w:szCs w:val="16"/>
        </w:rPr>
        <w:t>Весной 1945 года под контролем Красной армии оказалось две трети немецкой авиационной промышленности, а также исследовательские и производственные мощности в Австрии и Чехословакии. Были также захвачены практически не пострадавшие немецкие научно-исследовательские библиотеки. Советской авиапромышленности представился уникальный шанс не только догнать британских и американских конкурентов, недавних союзников, а теперь возможных противников в новой войне, но и превзойти их мощным рывком.</w:t>
      </w:r>
    </w:p>
    <w:p w14:paraId="541D68C6" w14:textId="77777777" w:rsidR="00823A00" w:rsidRPr="00925F26" w:rsidRDefault="00823A00" w:rsidP="00925F26">
      <w:pPr>
        <w:jc w:val="both"/>
        <w:rPr>
          <w:color w:val="000000" w:themeColor="text1"/>
          <w:sz w:val="16"/>
          <w:szCs w:val="16"/>
        </w:rPr>
      </w:pPr>
      <w:r w:rsidRPr="00925F26">
        <w:rPr>
          <w:color w:val="000000" w:themeColor="text1"/>
          <w:sz w:val="16"/>
          <w:szCs w:val="16"/>
        </w:rPr>
        <w:t>Проблема оборудования «особых поставок» исследовалась в работе П.Н. Кнышевского</w:t>
      </w:r>
      <w:r w:rsidR="00C46885" w:rsidRPr="00925F26">
        <w:rPr>
          <w:color w:val="000000" w:themeColor="text1"/>
          <w:sz w:val="16"/>
          <w:szCs w:val="16"/>
        </w:rPr>
        <w:fldChar w:fldCharType="begin"/>
      </w:r>
      <w:r w:rsidR="00C46885" w:rsidRPr="00925F26">
        <w:rPr>
          <w:color w:val="000000" w:themeColor="text1"/>
          <w:sz w:val="16"/>
          <w:szCs w:val="16"/>
        </w:rPr>
        <w:instrText xml:space="preserve">ref HYPERLINK  \l "n_86" \* MERGEFORMAT </w:instrText>
      </w:r>
      <w:r w:rsidR="00C46885" w:rsidRPr="00925F26">
        <w:rPr>
          <w:color w:val="000000" w:themeColor="text1"/>
          <w:sz w:val="16"/>
          <w:szCs w:val="16"/>
        </w:rPr>
        <w:fldChar w:fldCharType="separate"/>
      </w:r>
      <w:r w:rsidRPr="00925F26">
        <w:rPr>
          <w:color w:val="000000" w:themeColor="text1"/>
          <w:sz w:val="16"/>
          <w:szCs w:val="16"/>
        </w:rPr>
        <w:t>[86]</w:t>
      </w:r>
      <w:r w:rsidR="00C46885" w:rsidRPr="00925F26">
        <w:rPr>
          <w:color w:val="000000" w:themeColor="text1"/>
          <w:sz w:val="16"/>
          <w:szCs w:val="16"/>
        </w:rPr>
        <w:fldChar w:fldCharType="end"/>
      </w:r>
      <w:r w:rsidRPr="00925F26">
        <w:rPr>
          <w:color w:val="000000" w:themeColor="text1"/>
          <w:sz w:val="16"/>
          <w:szCs w:val="16"/>
        </w:rPr>
        <w:t>, однако автор не ставил перед собой задачу проанализировать вопрос, куда и сколько оборудования из Германии было направлено по отраслям промышленности, включая авиапром. П.Н. Кнышевский пишет: «Никто никогда не считал, а сейчас уже практически невозможно подсчитать коэффициент полезного использования «трофейного» оборудования и его потери от бесхозяйственности, как пока невозможно подсчитать и назвать окончательные показатели германских репараций, поскольку на соответствующие документы советского правительства по-</w:t>
      </w:r>
      <w:r w:rsidRPr="00925F26">
        <w:rPr>
          <w:color w:val="000000" w:themeColor="text1"/>
          <w:sz w:val="16"/>
          <w:szCs w:val="16"/>
        </w:rPr>
        <w:lastRenderedPageBreak/>
        <w:t>прежнему сохраняется табу». Судя по данной работе, Сталин издал «строго секретное» распоряжение об укомплектовании казанского авиационного завода трофейным немецким оборудованием для налаживания производства четырехмоторного дальнего бомбардировщика Б-4. На киевские авиационные заводы вывезли производственное оборудование и материалы самолетно-агрегатных заводов из Торна и фирмы «Арадо» из Бабельсберга (Потсдам). Еще три филиала этой фирмы из Клаусдорфа доставили на особую базу № 2 Главного трофейного управления, а оборудование завода по производству самолетов «Фокке-Вульф-190» из Варнемюнде (вблизи Ростока) и из девяти его филиалов в Мальхине, Штафенхагене, Тетереве, Тиссене, Тутове и Грайнцвальде поделили между 23-м московским и строящимся на Ижорской площадке ленинградским авиационными заводами.</w:t>
      </w:r>
    </w:p>
    <w:p w14:paraId="0749441B" w14:textId="77777777" w:rsidR="00823A00" w:rsidRPr="00925F26" w:rsidRDefault="00823A00" w:rsidP="00925F26">
      <w:pPr>
        <w:jc w:val="both"/>
        <w:rPr>
          <w:color w:val="000000" w:themeColor="text1"/>
          <w:sz w:val="16"/>
          <w:szCs w:val="16"/>
        </w:rPr>
      </w:pPr>
      <w:r w:rsidRPr="00925F26">
        <w:rPr>
          <w:color w:val="000000" w:themeColor="text1"/>
          <w:sz w:val="16"/>
          <w:szCs w:val="16"/>
        </w:rPr>
        <w:t>Сайт Интернета «От Ме-262 к МиГ-15. Трофейные технологии и послевоенное развитие советской военной авиации» дополняет эти сведения: было демонтировано оборудование авиазавода фирмы «Дорнье» в Висмаре, включая два самых больших в мире пресса, которые использовались для производства частей Ю-88. За разборкой и транспортировкой захваченных заводов наблюдали инженеры, присланные с советских авиазаводов.</w:t>
      </w:r>
    </w:p>
    <w:p w14:paraId="20C680EC" w14:textId="77777777" w:rsidR="00823A00" w:rsidRPr="00925F26" w:rsidRDefault="00823A00" w:rsidP="00925F26">
      <w:pPr>
        <w:jc w:val="both"/>
        <w:rPr>
          <w:color w:val="000000" w:themeColor="text1"/>
          <w:sz w:val="16"/>
          <w:szCs w:val="16"/>
        </w:rPr>
      </w:pPr>
      <w:r w:rsidRPr="00925F26">
        <w:rPr>
          <w:color w:val="000000" w:themeColor="text1"/>
          <w:sz w:val="16"/>
          <w:szCs w:val="16"/>
        </w:rPr>
        <w:t>На Воронежском авиационном заводе № 64 были смонтированы металлорежущие станки и гидропрессы фирм «Фриц Мюллер» и «Лейк Ири», вывезенные из Германии в счет репараций.</w:t>
      </w:r>
    </w:p>
    <w:p w14:paraId="7A4CB1A7" w14:textId="77777777" w:rsidR="00823A00" w:rsidRPr="00925F26" w:rsidRDefault="00823A00" w:rsidP="00925F26">
      <w:pPr>
        <w:jc w:val="both"/>
        <w:rPr>
          <w:color w:val="000000" w:themeColor="text1"/>
          <w:sz w:val="16"/>
          <w:szCs w:val="16"/>
        </w:rPr>
      </w:pPr>
      <w:r w:rsidRPr="00925F26">
        <w:rPr>
          <w:color w:val="000000" w:themeColor="text1"/>
          <w:sz w:val="16"/>
          <w:szCs w:val="16"/>
        </w:rPr>
        <w:t>Впереди предприятия, склады, КБ Наркомавиапрома и «особые» базы ждало щедрое наследие авиационных заводов и исследовательских учреждений немецких фирм «Хирт», «Хеншель», «Отто Перан», «Хейнкель», «Даймлер Бенц», «Мефа», «Штейр Даймлер Пух», «Юнкерс» и других, пишет П.Н. Кнышевский, не уточняя, куда оборудование было направлено в дальнейшем.</w:t>
      </w:r>
    </w:p>
    <w:p w14:paraId="6B483E4A" w14:textId="77777777" w:rsidR="00823A00" w:rsidRPr="00925F26" w:rsidRDefault="00823A00" w:rsidP="00925F26">
      <w:pPr>
        <w:jc w:val="both"/>
        <w:rPr>
          <w:color w:val="000000" w:themeColor="text1"/>
          <w:sz w:val="16"/>
          <w:szCs w:val="16"/>
        </w:rPr>
      </w:pPr>
      <w:r w:rsidRPr="00925F26">
        <w:rPr>
          <w:color w:val="000000" w:themeColor="text1"/>
          <w:sz w:val="16"/>
          <w:szCs w:val="16"/>
        </w:rPr>
        <w:t xml:space="preserve">Таким образом, вопрос об использовании трофейного оборудования на авиационных заводах СССР остается пока открытым. Однако из документов НКАП, а затем МАП видно, что и с использованием уже имевшегося оборудования дело обстояло неблагополучно: «На 15 декабря 1945 года из всех прибывших металлорежущих станков смонтировано только 50%, а сдано в эксплуатацию 20 %. Монтаж </w:t>
      </w:r>
      <w:proofErr w:type="gramStart"/>
      <w:r w:rsidRPr="00925F26">
        <w:rPr>
          <w:color w:val="000000" w:themeColor="text1"/>
          <w:sz w:val="16"/>
          <w:szCs w:val="16"/>
        </w:rPr>
        <w:t>кузнечно-прессового</w:t>
      </w:r>
      <w:proofErr w:type="gramEnd"/>
      <w:r w:rsidRPr="00925F26">
        <w:rPr>
          <w:color w:val="000000" w:themeColor="text1"/>
          <w:sz w:val="16"/>
          <w:szCs w:val="16"/>
        </w:rPr>
        <w:t xml:space="preserve"> оборудования проведен только на 31 %, а сдача в эксплуатацию осуществлена в размере 15 %. Большое количество несмонтированного трофейного оборудования имеется на заводах № 466, 478, 36, 150, 65,451, 281, 287. Неудовлетворительно хранится прибывшее трофейное оборудование на заводах № 466, 150, 36, 458»; «Проверкой состояния хранения, монтажа и использования оборудования, произведенной на заводах Комиссией Госконтроля, а также представителями Наркомавиапрома, установлено, что большая часть имеющегося в наличии оборудования не смонтирована.</w:t>
      </w:r>
    </w:p>
    <w:p w14:paraId="4D8A8901" w14:textId="77777777" w:rsidR="00823A00" w:rsidRPr="00925F26" w:rsidRDefault="00823A00" w:rsidP="00925F26">
      <w:pPr>
        <w:jc w:val="both"/>
        <w:rPr>
          <w:color w:val="000000" w:themeColor="text1"/>
          <w:sz w:val="16"/>
          <w:szCs w:val="16"/>
        </w:rPr>
      </w:pPr>
      <w:r w:rsidRPr="00925F26">
        <w:rPr>
          <w:color w:val="000000" w:themeColor="text1"/>
          <w:sz w:val="16"/>
          <w:szCs w:val="16"/>
        </w:rPr>
        <w:t>На заводе № 36 смонтировано только 1267 единиц, или 65 % от общего количества оборудования, на заводе № 218 – 348 единиц, или 51 %, на заводе № 272 – 211 единиц, или 32 %, на заводе № 466 – 370 единиц, или 12,5%, на заводе № 456 – 568 единиц, или 61%.</w:t>
      </w:r>
    </w:p>
    <w:p w14:paraId="56B6C966" w14:textId="77777777" w:rsidR="00823A00" w:rsidRPr="00925F26" w:rsidRDefault="00823A00" w:rsidP="00925F26">
      <w:pPr>
        <w:jc w:val="both"/>
        <w:rPr>
          <w:color w:val="000000" w:themeColor="text1"/>
          <w:sz w:val="16"/>
          <w:szCs w:val="16"/>
        </w:rPr>
      </w:pPr>
      <w:r w:rsidRPr="00925F26">
        <w:rPr>
          <w:color w:val="000000" w:themeColor="text1"/>
          <w:sz w:val="16"/>
          <w:szCs w:val="16"/>
        </w:rPr>
        <w:t>Оборудование, находящееся в эксплуатации, используется совершенно неудовлетворительно. Коэффициент использования занятых в основном производстве металлорежущих станков во втором полугодии 1945 г. составил на заводе № 36 – 29,5 %, на заводе № 218 – 19 – 22 %. На заводе № 36 12 новых импортных и 2 3 отечественных станка бездействуют с 1943 – 1944 гг. Директора заводов не организовали надлежащим образом хранение неустановленного оборудования, в результате чего на заводах № 36 и № 466 свыше 1000 единиц оборудования находится на открытых площадках, подвергается порче и разукомплектовывается.</w:t>
      </w:r>
    </w:p>
    <w:p w14:paraId="3D592652" w14:textId="77777777" w:rsidR="00823A00" w:rsidRPr="00925F26" w:rsidRDefault="00823A00" w:rsidP="00925F26">
      <w:pPr>
        <w:jc w:val="both"/>
        <w:rPr>
          <w:color w:val="000000" w:themeColor="text1"/>
          <w:sz w:val="16"/>
          <w:szCs w:val="16"/>
        </w:rPr>
      </w:pPr>
      <w:r w:rsidRPr="00925F26">
        <w:rPr>
          <w:color w:val="000000" w:themeColor="text1"/>
          <w:sz w:val="16"/>
          <w:szCs w:val="16"/>
        </w:rPr>
        <w:t>Не организовано наблюдение за сохранностью излишнего – переданного, но не отгруженного другим заводам оборудования. На заводе № 456 лежат под открытым небом и подвергаются порче 2 единицы переданного оборудования».</w:t>
      </w:r>
    </w:p>
    <w:p w14:paraId="201FF095" w14:textId="77777777" w:rsidR="00823A00" w:rsidRPr="00925F26" w:rsidRDefault="00823A00" w:rsidP="00925F26">
      <w:pPr>
        <w:jc w:val="both"/>
        <w:rPr>
          <w:color w:val="000000" w:themeColor="text1"/>
          <w:sz w:val="16"/>
          <w:szCs w:val="16"/>
        </w:rPr>
      </w:pPr>
      <w:r w:rsidRPr="00925F26">
        <w:rPr>
          <w:color w:val="000000" w:themeColor="text1"/>
          <w:sz w:val="16"/>
          <w:szCs w:val="16"/>
        </w:rPr>
        <w:t>Есть некоторые сведения и о судьбе трофейного оборудования: «На перевалочной базе в г. Брест-Литовске скопилось большое количество оборудования, поступившего из Германии в адреса заводов МАП.</w:t>
      </w:r>
    </w:p>
    <w:p w14:paraId="045D40FA" w14:textId="77777777" w:rsidR="00823A00" w:rsidRPr="00925F26" w:rsidRDefault="00823A00" w:rsidP="00925F26">
      <w:pPr>
        <w:jc w:val="both"/>
        <w:rPr>
          <w:color w:val="000000" w:themeColor="text1"/>
          <w:sz w:val="16"/>
          <w:szCs w:val="16"/>
        </w:rPr>
      </w:pPr>
      <w:r w:rsidRPr="00925F26">
        <w:rPr>
          <w:color w:val="000000" w:themeColor="text1"/>
          <w:sz w:val="16"/>
          <w:szCs w:val="16"/>
        </w:rPr>
        <w:t>Оборудование лежит на земле, частью в неупакованном виде и поврежденной таре, подвергается порче и коррозии.</w:t>
      </w:r>
    </w:p>
    <w:p w14:paraId="089256D2" w14:textId="77777777" w:rsidR="00823A00" w:rsidRPr="00925F26" w:rsidRDefault="00823A00" w:rsidP="00925F26">
      <w:pPr>
        <w:jc w:val="both"/>
        <w:rPr>
          <w:color w:val="000000" w:themeColor="text1"/>
          <w:sz w:val="16"/>
          <w:szCs w:val="16"/>
        </w:rPr>
      </w:pPr>
      <w:r w:rsidRPr="00925F26">
        <w:rPr>
          <w:color w:val="000000" w:themeColor="text1"/>
          <w:sz w:val="16"/>
          <w:szCs w:val="16"/>
        </w:rPr>
        <w:t xml:space="preserve">Работа Брест-Литовской перевалочной базы </w:t>
      </w:r>
      <w:proofErr w:type="gramStart"/>
      <w:r w:rsidRPr="00925F26">
        <w:rPr>
          <w:color w:val="000000" w:themeColor="text1"/>
          <w:sz w:val="16"/>
          <w:szCs w:val="16"/>
        </w:rPr>
        <w:t>не организована</w:t>
      </w:r>
      <w:proofErr w:type="gramEnd"/>
      <w:r w:rsidRPr="00925F26">
        <w:rPr>
          <w:color w:val="000000" w:themeColor="text1"/>
          <w:sz w:val="16"/>
          <w:szCs w:val="16"/>
        </w:rPr>
        <w:t xml:space="preserve"> и находящаяся группа работников Министерства не имеет технических средств для работы.</w:t>
      </w:r>
    </w:p>
    <w:p w14:paraId="711958E7" w14:textId="77777777" w:rsidR="00823A00" w:rsidRPr="00925F26" w:rsidRDefault="00823A00" w:rsidP="00925F26">
      <w:pPr>
        <w:jc w:val="both"/>
        <w:rPr>
          <w:color w:val="000000" w:themeColor="text1"/>
          <w:sz w:val="16"/>
          <w:szCs w:val="16"/>
        </w:rPr>
      </w:pPr>
      <w:r w:rsidRPr="00925F26">
        <w:rPr>
          <w:color w:val="000000" w:themeColor="text1"/>
          <w:sz w:val="16"/>
          <w:szCs w:val="16"/>
        </w:rPr>
        <w:t>Директора заводов (№ 45, 65, 86 и КАИ) не выполнили приказа НКАП № 27с от 29.1.1946 г. о посылке в Брест-Литовск своих бригад, а некоторые отнеслись к выполнению этого приказа формально…» – говорится в приказе НКАП № 191с от 4 апреля 1946 г. (12207).</w:t>
      </w:r>
    </w:p>
    <w:p w14:paraId="747492F8" w14:textId="77777777" w:rsidR="00823A00" w:rsidRPr="00925F26" w:rsidRDefault="00823A00" w:rsidP="00925F26">
      <w:pPr>
        <w:jc w:val="both"/>
        <w:rPr>
          <w:color w:val="000000" w:themeColor="text1"/>
          <w:sz w:val="16"/>
          <w:szCs w:val="16"/>
        </w:rPr>
      </w:pPr>
    </w:p>
    <w:p w14:paraId="37373A71" w14:textId="77777777" w:rsidR="001E4635" w:rsidRPr="00925F26" w:rsidRDefault="001E4635" w:rsidP="00925F26">
      <w:pPr>
        <w:jc w:val="both"/>
        <w:rPr>
          <w:color w:val="000000" w:themeColor="text1"/>
          <w:sz w:val="16"/>
          <w:szCs w:val="16"/>
        </w:rPr>
      </w:pPr>
      <w:r w:rsidRPr="00925F26">
        <w:rPr>
          <w:color w:val="000000" w:themeColor="text1"/>
          <w:sz w:val="16"/>
          <w:szCs w:val="16"/>
        </w:rPr>
        <w:t>Весной 1945 года на заводах Junkers в Дассау был изготовлена полномасштабная модель самолета Junkers EF 126 Dolly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5CC9CEC0" w14:textId="77777777" w:rsidR="001E4635" w:rsidRPr="00925F26" w:rsidRDefault="001E4635" w:rsidP="00925F26">
      <w:pPr>
        <w:jc w:val="both"/>
        <w:rPr>
          <w:color w:val="000000" w:themeColor="text1"/>
          <w:sz w:val="16"/>
          <w:szCs w:val="16"/>
        </w:rPr>
      </w:pPr>
    </w:p>
    <w:p w14:paraId="450D8373"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Весной 1945 г. частями Красной армии были захвачены воздушные торпеды Hs 293 и Hs 294 и вызвали большой интерес у советского руководства. Разбираться с ними было поручено... Министерству сельскохозяйственного машиностроения. Изучением и испытаниями воздушных торпед занялось КБ-2 Минсельхозмаша. В 1948 г. при участии специалистов КБ-2 были проведены летные испытания Hs 293, а в качестве носителя переоборудовали самолет Ту-2Д. Пуски Hs 293 проводились с радиокомандными системами наведения — немецкой «Кель—Страсбург» и советской «Печора». Из 24-х запущенных Hs 293 с радиокомандными системами наведения в цель попали только три. По результатам испытаний Hs 293 было решено отказаться от запуска ракеты в серийное производство, которое планировалось начать на заводе № 272 в Ленинграде. Конструкторы КБ-2 и других организаций вышли к руководству с предложением создать на базе германских воздушных торпед более совершенное отечественное изделие. Постановлением Совмина СССР № 1175—440 от 14 апреля 1948 г. были начаты работы по «реактивной авиационной морской торпеде РАМТ-1400 "Щука"». Работы по «Щуке» фактически были продолжением работ по трофейной ракете Hs 293A, хотя внешне они не имели ничего общего. Естественно, что «Щукой» занялось КБ-2, которое безуспешно пыталось довести и Hs 293. Работы по «Щуке» велись небольшим коллективом под руководством талантливого конструктора М.В. Орлова. Увы, Орлов в работах над «Щукой» заклинился на двух германских «изюминках» — отделяющейся боевой части и интерцепторах. Отделяемая боевая часть, как у немцев, должна была поражать подводную часть корабля, что вызывало массу затруднений при ее проектировании. Да и линкоры в 1950-х годах превратились из ударной силы флота в корабли огневой поддержки десанта, а авианосцы, крейсера, эсминцы и другие суда достаточно эффективно поражались и в надводную часть. Причем остатки топлива в ракете, поразившей надводную часть корабля, зачастую играли не меньшую роль, чем взрывчатое вещество в боевой части. Вспомним гибель английского эсминца «Шеффилд» во время Фолклендской войны. Что же касается интерцепторов, то в качестве органов управления ракетой они оказались менее эффективны, чем элероны, элевоны, рули направления и т.д. По первоначальному проекту РАМТ-1400 «Щука» должна была управляться по классической схеме: на начальном этапе — инерциальной системой, а на конечном — головкой самонаведения. Но головки самонаведения в ближайшем будущем не предвиделось, и Орлов предложил разрабатывать проект торпеды в двух вариантах. Первый вариант — чисто немецкий «хеншелевский» (только радиокомандный). Он предполагал размещение на торпеде системы управления с наведением на цель через оптический визир. Этот вариант получил обозначение РАМТ-1400А или «Щука-А». Второй вариант предусматривал управление с автопилотом и радиолокационной ГСН. Этот вариант торпеды назвали РАМТ-1400Б или «Щука-Б». Правительство с таким предложением согласилось, что и было подтверждено Постановлением Совмина № 5766—2166 от 27 декабря 1949 г. Боевая часть «Щуки-А» весила 615—650 кг и содержала 320 кг мощного взрывчатого вещества ТГАГ-5. Взрыватель ВУ-150 контактный, мгновенного действия. В боевой части был сделан специальный кольцевой вырез, благодаря которому, входя в воду, она двигалась по изгибающейся траектории вверх для поражения цели в наиболее уязвимую подводную часть корпуса. Но для этого было необходимо обеспечить приводнение ракеты на удалении от цели около 60 м при угле входа в воду около 12°. При использовании только радиокомандной системы управления методом «трех точек» шансов у оператора выполнить эти условия практически не было. Управление «Щукой» производилось с помощью интерцепторов, помещенных на задних кромках крыльев и V-образного оперения. Испытания «Щуки» было решено проводить на полигоне под Феодосией. К концу 1948 г. на Черном море в Феодосии и ее ближайших окрестностях по Постановлению Совмина № 0017— 409 от 13 мая 1946 г. и приказом министра Вооруженных Сил СССР № 0019 от 2 февраля 1946 г. было развернуто Третье Управление Государственного Центрального полигона Министерства Вооруженных Сил СССР (ГЦП МВС СССР), в котором уже с сентября 1948 г. начались испытания ракетной техники и оружия, создаваемых для ВМС СССР. К моменту начала испытаний воздушных торпед РАМТ-1400 «Щука» Феодосийский полигон получил неофициальное название «Песчаная Балка». Первый пуск самолета-снаряда</w:t>
      </w:r>
      <w:bookmarkStart w:id="28" w:name="r18"/>
      <w:bookmarkEnd w:id="28"/>
      <w:r w:rsidRPr="00925F26">
        <w:rPr>
          <w:color w:val="000000" w:themeColor="text1"/>
          <w:sz w:val="16"/>
          <w:szCs w:val="16"/>
        </w:rPr>
        <w:t xml:space="preserve"> (воздушной торпеды — в разных документах ее именовали по-разному) «Щука-А» состоялся 16 июня 1949 г. Пуск ракеты производился с самолета-носителя Ту-2Т из состава 25-й отдельной авиаэскадрильи полигона, которая базировалась на аэродроме возле селения Кара-Гоз в 18 км к северо-западу от Феодосии. Пуск был осуществлен в пределах водной акватории полигона между мысами Чауда и Опук. К концу 1949 г. удалось провести только пуски пятнадцати ракет «Щука», не имевших даже радиокомандной системы наведения. Ракеты управлялись пневматическим автопилотом АП-19. Соответственно, не было и реальных целей (мишеней) для самолетов-снарядов. В 1950 г. прошли испытания «Щук» с немецкой радиокомандной системой наведения. Лишь в августе—ноябре 1951 г. были проведены пуски с отечественной радиокомандной системой наведения «КРУ-Щука». Пуски осуществлялись с высоты от 1000 до 4000 м, дистанция стрельбы составляла от 15 до 28 км при скоростях самолета-носителя от 110 до 280 м/с. В качестве самолетов-носителей кроме уже упомянутых Ту-2Т использовались Ту-2Т-2, Ту-2Т-3 и Ил-28. Мишенями служили списанные корабли: тральщики ТЩ-914 и ТЩ-915, торпедные катера типа Г-5, трофейные немецкие самоходные баржи ДК-26 и ТД-200. Случалось, что в нужный момент не оказывалось соответствующим образом оборудованных мишеней (надводными и подводными сетями, уголковыми отражателями). Тогда пуски проводились по скале Корабль-камень, расположенной недалеко от берега, практически на траверзе мыса Опук. В этом случае вершину скалы оборудовали уголковыми отражателями. В период всех этих испытаний постоянной головной болью М.В. Орлова была боевая часть ракеты, которую он скопировал у немцев. Боевая часть ракет «Щука-А», «Щука-Б», а потом и КСЩ представляла собой конусообразный снаряд длиной около 3 м с максимальным диаметром 0,36 м и весом 625 кг. В носовой части сразу за взрывателем находилось так называемое кавитационное кольцо высотой 30—</w:t>
      </w:r>
      <w:r w:rsidRPr="00925F26">
        <w:rPr>
          <w:color w:val="000000" w:themeColor="text1"/>
          <w:sz w:val="16"/>
          <w:szCs w:val="16"/>
        </w:rPr>
        <w:lastRenderedPageBreak/>
        <w:t xml:space="preserve">35 мм со специальным вырезом в верхней части. Этот вырез и его размеры были предметом отдельных исследований ЦАГИ. Параллельно с испытаниями была проведена реорганизация. В соответствии с Постановлением Совмина № 5119—2226 от 15 декабря 1951 г. КБ-2 было объединено с заводом № 67. Новая организация получила название ГСНИИ-642 (Государственный научно-исследовательский институт № 642). Главный конструктор «Щуки» М.В. Орлов надеялся стать если не начальником ГСНИИ-642, то, во всяком случае, его заместителем. Однако большое начальство думало иначе. В 1952 г. в районе Феодосии было проведено 15 пусков ракет «Щука-А» с самолета-носителя Ту-2. Пуски проводились на высоте 2—5 км на дальность от 12 до 30 км. Восемь пусков были успешными, а в двух из них боевая часть даже якобы попадала в подводную часть мишени. Для применения «Щуки» с самолета-носителя Ил-28 ракету доработали: была изменена передняя часть корпуса, угол поперечного V-образного хвостового оперения уменьшен с 40° до 35°, а площадь оперения увеличена. В октябре—декабре 1952 г. был проведен второй этап испытаний. С реактивного самолета-носителя произведено 14 пусков. Лишь половина пусков оказались удачными, и было зафиксировано только два попадания в подводную часть. Постановлением Совмина № 2003—924 от 23 сентября 1954 г. ракета «Щука-А» была запущена в серию для проведения войсковых испытаний. Распоряжением Совмина № 3572 от 6 апреля 1954 г. было решено переоборудовать в носители «Щук» 12 бомбардировщиков Ил-28. Тем же распоряжением предполагалось испытать 20 ракет «Щука-А» по наземным целям на полигоне во Владимировке. Цель испытаний — оснащение ракет «Щука» фугасной боевой частью весом до 900 кг. К июлю 1955 г. работы по «Щуке-А» близились к завершению. А вот у «Щуки-Б», как говорится, «и конь не валялся». Разработчик радиолокационной системы самонаведения НИИ-885 с работой не справился. Испытания «Щуки-Б» с радиолокационным самонаведением с 1948 по 1952 год шли неудачно. Постановлением Совмина № 3556—121 работы по системе радиолокационного самонаведения, получившей название «РГ-Щука», были переданы новой организации. </w:t>
      </w:r>
      <w:proofErr w:type="gramStart"/>
      <w:r w:rsidRPr="00925F26">
        <w:rPr>
          <w:color w:val="000000" w:themeColor="text1"/>
          <w:sz w:val="16"/>
          <w:szCs w:val="16"/>
        </w:rPr>
        <w:t>Согласно проекту</w:t>
      </w:r>
      <w:proofErr w:type="gramEnd"/>
      <w:r w:rsidRPr="00925F26">
        <w:rPr>
          <w:color w:val="000000" w:themeColor="text1"/>
          <w:sz w:val="16"/>
          <w:szCs w:val="16"/>
        </w:rPr>
        <w:t xml:space="preserve"> ракета «Щука-Б», отделившись от самолета-носителя на высоте от 2 до 10 км, должна была планировать под углом 20—30° к горизонту. На высоте 600 м включался радиовысотомер, и ракета выходила на горизонтальный полет на высоте 60 м. Затем включался жидкостный реактивный двигатель, и ракета набирала скорость до 1030 км/час. На удалении 10—20 км от цели включалась активная радиолокационная ГСН, которая осуществляла поиск и захват цели в упрежденную точку в горизонтальной плоскости. На удалении до цели 750 м начиналось наведение ракеты в вертикальной плоскости, которое обеспечивало приводнение ракеты на удалении около 60 м от цели. При соприкосновении ракеты с водой подрывался пироболт крепления боевой части, она отделялась и шла к подводной части борта корабля. В 1953 г. провели пуски пяти ракет без системы радиолокационного самонаведения, но с радиовысотомером. С 17 марта по 20 июля 1954 г. провели пуски девяти ракет, пять из которых были оснащены активной радиолокационной ГСН. Результаты испытаний показали, что при волнении моря в 3—4 балла на дальности от цели 2—3 км в аппаратуре активной радиолокационной ГСН происходит срыв сопровождения цели. Сигнал от цели (транспорта «Очаков») забивался отражением от волн. Испытания ракет «Щука-Б» в 1955 г. шли с переменным успехом. Но 3 февраля 1956 г. вышло Постановление Совмина № 175— 104, согласно которому ракета «Щука-А» принятию на вооружение не подлежала, а доработка «Щуки-Б» прекращалась. Кстати, в скором времени прекратилось производство бомбардировщиков Ил-28, которые предназначалось использовать в качестве носителей обоих «Щук». Руководство ГСНИИ-642, видимо, предчувствовало прекращение работ по «Щукам» А и Б и решило подстраховаться, включив в план опытно-конструкторских работ на 1953—1954 гг. тему под названием «Исследования возможностей создания самолета-снаряда для стрельбы с корабля по кораблю на базе ракеты "Щука-Б"». Работы по самолету-снаряду корабельного базирования были официально утверждены Постановлением Совмина СССР № 2541—1222 от 30 декабря 1954 г. По этому же постановлению ГСНИИ-642 определялся головным по разработке как всего комплекса, так и самой ракеты, которая получила название КСЩ (корабельный снаряд «Щука»). Конечная цель этой разработки была проста и заманчива: создать ударное ракетное оружие для надводных кораблей водоизмещением около 3000 т для борьбы с крупными артиллерийскими кораблями вероятного противника на дистанции до 50—60 км, то есть не входя в зону досягаемости их мощной артиллерии. Старт КСЩ производился с помощью порохового ускорителя ПРД-19М, который подвешивался снизу в хвостовой части ракеты между двумя нижнерасположенными V-образными аэродинамическими гребнями. Стартовый двигатель работал 1,3 секунды, а затем сбрасывался. Ускоритель был создан в КБ завода № 81 Минавиапрома в Москве. Главный конструктор И.И. Картуков. В качестве маршевого был использован авиационный турбореактивный двигатель АМ-5А с тягой 2,0—2,6 т. Эти двигатели устанавливались на истребителях Як-25, и на КСЩ предполагалось ставить выработавшие ресурс двигатели с самолетов. Аэродинамическая схема КСЩ — нормальная с нижнерасположенным прямым крылом, имевшим отогнутые к низу законцовки, с нижнерасположенным совковым воздухозаборником и V-образным оперением. Ракета имела интерцепторные органы управления (чувствовалось еще немецкое влияние). Создатели КСЩ рассказывали в свое время историку полигона «Песчаная Балка» капитану 2-го ранга Ю.С. Кузнецову о посещении А.Н. Туполевым филиала ОКБ-155 и осмотре им первого экземпляра КСЩ. Говорят, что Туполев обладал таким даром, как предвидение. Он мог по одному внешнему виду летательного аппарата, будь то самолет или ракета, определить летные свойства аппарата и сразу же сказать, полетит он или нет. Андрей Николаевич долго молча ходил вокруг ракеты, а потом сказал: «Это произведение мало похоже на ракету. Это — аэродинамический урод». У заинтересованных лиц поникли головы. Все ждали, что мэтр еще что-нибудь скажет. И он сказал: «Да! Урод. Но летать будет!» Заводские испытания ракет КСЩ на полигоне «Песчаная Балка» начались в августе 1955 г. Первоначально проводились пуски так называемого изделия БКС, которое внешне представлял собой авиационную ракету «Щука-Б», но единственным действующим агрегатом ее был стартовый ускоритель ПРД-19М. Первый пуск изделия БКС с береговой установки, разработанной ГСНИИ-642, был проведен 24 сентября 1955 г. Ракета пролетела 3840 м за 34,6 с. Еще два подобных пуска провели 29 сентября и 2 октября того же года. В ходе второго этапа заводских испытаний изделия БКС имели не только стартовый двигатель ПРД-19М, но и маршевый двигатель от ракеты «Щука-Б». Системы наведения БКС не имели. В ходе первого пуска 13 февраля 1956 г. произошел отказ в работе автопилота по каналу крена. Ракета приводнилась на 15,5-й секунде полета в 1640 м от места пуска. Последующие два пуска 24 и 27 февраля были более удачными: ракеты пролетели 5240 м за 34,8 с и 5190 м за 33,5 с. На третьем этапе заводских испытаний стреляли теми же БКС с ПРД-19М и маршевым двигателем от «Щуки-Б», но теперь был установлен и полный комплект систем наведения от «Щуки-Б», а также автопилот АПЛИ-5 от новой ракеты КСЩ. Все 4 пуска, проведенные в марте 1956 г., были удачными. В ходе пуска 27 марта 1956 г. была достигнута максимальная дальность полета 15,1 км, время полета составило 78 с. По итогам трех проведенных этапов экспериментальных (заводских) испытаний можно было сделать заключение, что прототип ракеты КСЩ — изделие БКС — летает нормально: стартовый двигатель ПРД-19М обеспечивает надежный старт изделия БКС с береговой ПУ разработки ГСНИИ-642; бортовая аппаратура в целом функционирует так, как от нее требуется (за исключением отказа в работе автопилота в пуске № 4 13 февраля 1956 г.), и обеспечивает выполнение заданных параметров стрельбы — дальность, высоту и время полета.</w:t>
      </w:r>
    </w:p>
    <w:p w14:paraId="3278BB9A" w14:textId="77777777" w:rsidR="001E4635" w:rsidRPr="00925F26" w:rsidRDefault="001E4635" w:rsidP="00925F26">
      <w:pPr>
        <w:pStyle w:val="book"/>
        <w:ind w:firstLine="0"/>
        <w:jc w:val="both"/>
        <w:rPr>
          <w:color w:val="000000" w:themeColor="text1"/>
          <w:sz w:val="16"/>
          <w:szCs w:val="16"/>
        </w:rPr>
      </w:pPr>
      <w:r w:rsidRPr="00925F26">
        <w:rPr>
          <w:iCs/>
          <w:color w:val="000000" w:themeColor="text1"/>
          <w:sz w:val="16"/>
          <w:szCs w:val="16"/>
        </w:rPr>
        <w:t>Данные крылатой ракеты КСЩ</w:t>
      </w:r>
    </w:p>
    <w:p w14:paraId="5CC1E134"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Дальность стрельбы минимальная, км — 20</w:t>
      </w:r>
    </w:p>
    <w:p w14:paraId="14E97510"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Дальность стрельбы с использованием корабельных средств обнаружения цели, км — до 40</w:t>
      </w:r>
    </w:p>
    <w:p w14:paraId="5B3CB33D"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Дальность стрельбы с использованием выносных постов, км — до 100</w:t>
      </w:r>
    </w:p>
    <w:p w14:paraId="42B50F7D"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Высота маршевого полета, м — 60</w:t>
      </w:r>
    </w:p>
    <w:p w14:paraId="37201091"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Стартовый вес ракеты, кг — 2958</w:t>
      </w:r>
    </w:p>
    <w:p w14:paraId="64286291"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Вес стартового двигателя, кг — 457</w:t>
      </w:r>
    </w:p>
    <w:p w14:paraId="7C5A30FC"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Вес топлива маршевого двигателя (керосина Т-1), кг — 220</w:t>
      </w:r>
    </w:p>
    <w:p w14:paraId="2B162B5C"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Вес боевой части, кг — 625</w:t>
      </w:r>
    </w:p>
    <w:p w14:paraId="0C8A2CFC"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Вес взрывчатого вещества в боевой части, кг — 340</w:t>
      </w:r>
    </w:p>
    <w:p w14:paraId="2BEC7ABE"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Длина ракеты, мм — 7600</w:t>
      </w:r>
    </w:p>
    <w:p w14:paraId="2A2D9188"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Размах крыла, мм — 4200</w:t>
      </w:r>
    </w:p>
    <w:p w14:paraId="3134E553"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Высота ракеты, подготовленной к пуску, мм — 1976</w:t>
      </w:r>
    </w:p>
    <w:p w14:paraId="554E6F9A"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Диаметр носовой части ракеты, мм — 900</w:t>
      </w:r>
    </w:p>
    <w:p w14:paraId="3D1C479A"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Уже в апреле 1956 г. на полигон «Песчаная Балка» стали поступать первые образцы ракет КСЩ. Ничего общего у них с изделиями БКС не было, разве только боевые части с системой их отделения от корпуса ракеты при приводнении, да стартовые двигатели. Характерным для ракет КСЩ было то, что они поступали на полигон в разобранном виде — в семи контейнерах и ящиках, основных из которых было четыре: контейнер со «среднехвостовой» частью ракеты со сложенными консолями крыла</w:t>
      </w:r>
      <w:bookmarkStart w:id="29" w:name="r19"/>
      <w:bookmarkEnd w:id="29"/>
      <w:r w:rsidR="00A371FF" w:rsidRPr="00925F26">
        <w:rPr>
          <w:color w:val="000000" w:themeColor="text1"/>
          <w:sz w:val="16"/>
          <w:szCs w:val="16"/>
          <w:vertAlign w:val="superscript"/>
        </w:rPr>
        <w:fldChar w:fldCharType="begin"/>
      </w:r>
      <w:r w:rsidRPr="00925F26">
        <w:rPr>
          <w:color w:val="000000" w:themeColor="text1"/>
          <w:sz w:val="16"/>
          <w:szCs w:val="16"/>
          <w:vertAlign w:val="superscript"/>
        </w:rPr>
        <w:instrText xml:space="preserve"> HYPERLINK "http://coollib.com/b/259723/read" \l "n_19" \o "    Предмет зависти всех автомобилистов — владельцев первой модели \«Москвича\». Это был готовый гараж для этой марки машины.   " </w:instrText>
      </w:r>
      <w:r w:rsidR="00A371FF" w:rsidRPr="00925F26">
        <w:rPr>
          <w:color w:val="000000" w:themeColor="text1"/>
          <w:sz w:val="16"/>
          <w:szCs w:val="16"/>
          <w:vertAlign w:val="superscript"/>
        </w:rPr>
      </w:r>
      <w:r w:rsidR="00A371FF" w:rsidRPr="00925F26">
        <w:rPr>
          <w:color w:val="000000" w:themeColor="text1"/>
          <w:sz w:val="16"/>
          <w:szCs w:val="16"/>
          <w:vertAlign w:val="superscript"/>
        </w:rPr>
        <w:fldChar w:fldCharType="separate"/>
      </w:r>
      <w:r w:rsidRPr="00925F26">
        <w:rPr>
          <w:rStyle w:val="a5"/>
          <w:color w:val="000000" w:themeColor="text1"/>
          <w:sz w:val="16"/>
          <w:szCs w:val="16"/>
          <w:vertAlign w:val="superscript"/>
        </w:rPr>
        <w:t>[19]</w:t>
      </w:r>
      <w:r w:rsidR="00A371FF" w:rsidRPr="00925F26">
        <w:rPr>
          <w:color w:val="000000" w:themeColor="text1"/>
          <w:sz w:val="16"/>
          <w:szCs w:val="16"/>
          <w:vertAlign w:val="superscript"/>
        </w:rPr>
        <w:fldChar w:fldCharType="end"/>
      </w:r>
      <w:r w:rsidRPr="00925F26">
        <w:rPr>
          <w:color w:val="000000" w:themeColor="text1"/>
          <w:sz w:val="16"/>
          <w:szCs w:val="16"/>
        </w:rPr>
        <w:t xml:space="preserve">, контейнер с носовой частью ракеты и контейнеры с боевой частью и стартовым двигателем. Ни до, ни после такого на полигоне не было: раньше комплекты ракет прибывали только в двух контейнерах: собственно ракета и стартовый двигатель или стартовый агрегат. Двигатели АМ-5А на ракеты КСЩ попадали не с завода-изготовителя. Сначала они честно отрабатывали свое на самолетах Як-25. Но после </w:t>
      </w:r>
      <w:proofErr w:type="gramStart"/>
      <w:r w:rsidRPr="00925F26">
        <w:rPr>
          <w:color w:val="000000" w:themeColor="text1"/>
          <w:sz w:val="16"/>
          <w:szCs w:val="16"/>
        </w:rPr>
        <w:t>того</w:t>
      </w:r>
      <w:proofErr w:type="gramEnd"/>
      <w:r w:rsidRPr="00925F26">
        <w:rPr>
          <w:color w:val="000000" w:themeColor="text1"/>
          <w:sz w:val="16"/>
          <w:szCs w:val="16"/>
        </w:rPr>
        <w:t xml:space="preserve"> как они вырабатывали свой ресурс на самолетах, их демонтировали и перебирали. После этого двигателям давался дополнительный пятичасовой ресурс, и они устанавливались на ракеты КСЩ. Ракета КСЩ поразила испытателей объемом лючков различной величины с очень замысловатыми запорами хеншелевской конструкции. Если снять все до единого лючки, то ракета бы выглядела как ракета. На КСЩ находилась масса торчащих, выступающих частей, например, громоздкий бортовой электроразъем, интерцептор со своими держателями, полуоси, с помощью которых на ракете крепились специальные многокилограммовые так называемые «башмаки», выполненные из стали и бронзы (приспособления для скольжения ракеты по направляющим пусковой установки при старте). Это тоже фантазия М.В. Орлова. После старта ракеты эти «башмаки» тут же сбрасывались. Такого потом не было ни на одной конструкции испытываемых ракет. Особенно импозантно выглядела ракета, вернее, ее носовая часть, в телеметрическом варианте. Испытатели телеметрические ракеты называли между собой «коровами». Стартовый двигатель ПРД-19М тоже не отличался простотой и изяществом своих линий. Достаточно было увидеть передние узлы крепления стартовика к корпусу ракеты. Для проведения пусков четвертого этапа экспериментальных (заводских) испытаний в поселок Черноморск на объекты была доставлена почти точная копия пусковой установки СМ-59—1, то есть такая, которая планировалась к монтажу на эсминце проекта 56Э «Бедовый». Согласно приказу по Министерству оборонной промышленности от 20 сентября 1955 г., разработка пусковой установки для ракеты КСЩ была поручена ЦКБ-34. В ноябре 1956 г. ЦКБ-34 представило заказчику технический проект пусковой установки СМ-59. Пусковая была ангарного типа с направляющими ферменной конструкции, которые были примерно в два раза длиннее самой ракеты. Установка стабилизированная, с броневой защитой основных </w:t>
      </w:r>
      <w:r w:rsidRPr="00925F26">
        <w:rPr>
          <w:color w:val="000000" w:themeColor="text1"/>
          <w:sz w:val="16"/>
          <w:szCs w:val="16"/>
        </w:rPr>
        <w:lastRenderedPageBreak/>
        <w:t xml:space="preserve">механизмов и ракеты. Стабилизированная часть служила для стабилизации ракеты по углу вертикального наведения и по углу поперечного крена и состояла из направляющей балки и фермы, скрепленной болтами. На верхних поясах направляющей балки и фермы установлены направляющие рельсы, по которым двигалась ракета. В целях предотвращения замерзания рельс имелось устройство для обогрева их индукционными токами. Пусковая установка могла перезаряжаться запасными ракетами, хранившимися в специальных ангарах-погребах корабля. Расчетное время перезарядки 8—10 минут. В ЦНИИАГ была создана система дистанционного управления Д-59, которая обеспечивала автоматическое наведение установки по данным поста управления стрельбой в двух плоскостях и стабилизацию по крену. Ошибки при качке: 4—6 точек дальномера. Доставленные на полигон пусковые установки СМ-59—1 отличались от корабельных отсутствием броневой защиты и противообледенительного устройства. С завершением испытательных работ в поселке Черноморск пусковая установка СМ-59—1 была разобрана и отправлена в Николаев на судостроительный завод им. 61 Коммунара. Позднее ее установили на эсминце проекта 57бис «Упорный». Первый пуск изделия КСЩ в ходе четвертого этапа заводских испытаний состоялся 19 сентября 1956 г. Согласно полетному заданию, ракета должна была пролететь 15 км, но из-за неправильно выбранного угла установки стабилизаторов она на 40-й секунде полета поднялась на высоту 1180 м и с этой высоты начала плавно снижаться до приводнения. </w:t>
      </w:r>
      <w:proofErr w:type="gramStart"/>
      <w:r w:rsidRPr="00925F26">
        <w:rPr>
          <w:color w:val="000000" w:themeColor="text1"/>
          <w:sz w:val="16"/>
          <w:szCs w:val="16"/>
        </w:rPr>
        <w:t>В итога</w:t>
      </w:r>
      <w:proofErr w:type="gramEnd"/>
      <w:r w:rsidRPr="00925F26">
        <w:rPr>
          <w:color w:val="000000" w:themeColor="text1"/>
          <w:sz w:val="16"/>
          <w:szCs w:val="16"/>
        </w:rPr>
        <w:t xml:space="preserve"> ракета пролетела 60 150 м за 240,2 с. В ходе второго пуска 7 августа 1956 г. стартовый двигатель ПРД-19М при отделении на секунду зацепился за «гребни» ракеты. Поэтому изделие КСЩ не выполнило расчетную «горку» и преждевременно приводнилось, пролетев за 40,5 секунды 9,3 км вместо запланированных 15 км. В третьем старте 22 августа ракета также должна была пролететь 15 км, но из-за ненормальной работы рулевой машинки по каналу тангажа ракета не вышла в горизонтальный полет и преждевременно приводнилась, пролетев всего 1800 м за 7,8 с. Неудачным оказался и четвертый пуск 19 сентября 1956 г. Стартовик опять зацепился за гребень ракеты после окончания работы. В результате ракета вместе со стартовиком, не долетев до среза воды, упала на боевом поле полигона в 680 м от места старта на 5,6-й секунде полета. Зато последующие четыре старта (29 ноября, 10, 19 и 23 декабря 1956 г.) прошли удачно. Дальность стрельбы постепенно увеличивалась — 15 км, 20 км, 30 км. Соответственно, ракеты пролетели 14 800 м, 19 700 м, 31 200 м и 29 700 м. Учитывая, что в конце четвертого этапа испытаний наметилась тенденция стабильного полета ракеты в соответствии с заданием на пуск (ракета последовательно пролетела 15, 20 и 30 км), и что четыре неудачи на пусках № 11, 12, 13 и 14 имели чисто механические причины, сравнительно легко устранимые (при общих положительных итогах предыдущих трех этапов испытаний), а также в связи с тем, что сроки проведения Государственных испытаний, установленные Правительством СССР, поджимали (1957 г.), было решено сразу же после завершения экспериментальных (заводских) испытаний перейти к этапу летно-конструкторских испытаний и провести их с корабля. Официально летно-конструкторские испытания с участием эсминца «Бедовый» начались 5 января 1957 г. Основанием для проведения этих испытаний стало Постановление Совмина № 1238— 629 от 31 августа 1956 г. Эффективность ракеты КСЩ можно проиллюстрировать несколькими пусками:</w:t>
      </w:r>
    </w:p>
    <w:p w14:paraId="00F3C4ED"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30 августа КСЩ попала в борт мишени — лидера «Ереван». Несмотря на то, что боевая часть ракеты была инертной, в борту образовалась дыра 2,0 x 2,2 м, а нижняя кромка дыры оказалась на 0,3 м ниже ватерлинии. В результате прямого попадания лидер затонул.</w:t>
      </w:r>
    </w:p>
    <w:p w14:paraId="22D673BE"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6 сентября ракета была выпущена по катеру волнового управления (радиоуправления) проекта 183Ц, шедшему с 30-узловой скоростью у мыса Чауца. Было достигнуто прямое попадание без подводного хода боевой части. Катер развалился на две части и затонул.</w:t>
      </w:r>
    </w:p>
    <w:p w14:paraId="182309FB"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В районе Балаклавы в качестве мишени использовалась цитадель недостроенного тяжелого крейсера проекта 82 «Сталинград». Длина мишени составляла 150 м, а осадка — 8,5 м. Эта мишень имела ряд особенностей. По ней проводились не только ракетные стрельбы, но также артиллерийские и торпедные, а флотская авиация отрабатывала на этой мишени все виды бомбометаний. Поэтому мишень «Сталинград» имела постоянный обслуживающий личный состав. Во время проведения стрельб и бомбометаний личный состав был надежно укрыт и защищен (толщина бортовой брони составляла 230—260 мм, бортовых булей — 70—90 мм, палуб — 140—170 мм).</w:t>
      </w:r>
    </w:p>
    <w:p w14:paraId="1342ABE1"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27 декабря 1957 г. ракета попала в борт мишени, почти в самый ее центр, с отклонением 4 м влево. В борту «Сталинграда» появилось отверстие в виде восьмерки общей площадью 55 м</w:t>
      </w:r>
      <w:r w:rsidRPr="00925F26">
        <w:rPr>
          <w:color w:val="000000" w:themeColor="text1"/>
          <w:sz w:val="16"/>
          <w:szCs w:val="16"/>
          <w:vertAlign w:val="superscript"/>
        </w:rPr>
        <w:t>2</w:t>
      </w:r>
      <w:r w:rsidRPr="00925F26">
        <w:rPr>
          <w:color w:val="000000" w:themeColor="text1"/>
          <w:sz w:val="16"/>
          <w:szCs w:val="16"/>
        </w:rPr>
        <w:t>.</w:t>
      </w:r>
    </w:p>
    <w:p w14:paraId="7FC88FB8"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t>Комиссия рекомендовала комплекс принять на вооружение, и в начале 1958 г. вышло Постановление Совмина о принятии комплекса КСЩ. Комплекс КСЩ состоял на вооружении до начала 1970-х годов. В 1971 г. в ходе отработки ЗРК «Шторм» на БПК проекта 1134Б «Николаев» было решено использовать в качестве целей ракеты КСЩ. Ракетный корабль «Неуловимый» в районе Керчи запустил пять «Щук». Ракеты летели на высоте около 60 м, и ни одна из них «Штормом» сбита не была. Комплекс как будто хотел доказать начальству: «Рано вы меня списываете» (15225).</w:t>
      </w:r>
    </w:p>
    <w:p w14:paraId="4C3E7825" w14:textId="77777777" w:rsidR="001E4635" w:rsidRPr="00925F26" w:rsidRDefault="001E4635" w:rsidP="00925F26">
      <w:pPr>
        <w:pStyle w:val="book"/>
        <w:ind w:firstLine="0"/>
        <w:jc w:val="both"/>
        <w:rPr>
          <w:color w:val="000000" w:themeColor="text1"/>
          <w:sz w:val="16"/>
          <w:szCs w:val="16"/>
        </w:rPr>
      </w:pPr>
    </w:p>
    <w:p w14:paraId="13941410"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2D25D84" w14:textId="77777777" w:rsidR="00665165" w:rsidRPr="00925F26" w:rsidRDefault="00665165" w:rsidP="00925F26">
      <w:pPr>
        <w:autoSpaceDE w:val="0"/>
        <w:autoSpaceDN w:val="0"/>
        <w:adjustRightInd w:val="0"/>
        <w:jc w:val="both"/>
        <w:rPr>
          <w:iCs/>
          <w:color w:val="000000" w:themeColor="text1"/>
          <w:sz w:val="16"/>
          <w:szCs w:val="16"/>
        </w:rPr>
      </w:pPr>
    </w:p>
    <w:p w14:paraId="2D1FCE8D" w14:textId="77777777" w:rsidR="004842B7" w:rsidRPr="001A0BAA" w:rsidRDefault="004842B7" w:rsidP="004842B7">
      <w:pPr>
        <w:jc w:val="both"/>
        <w:rPr>
          <w:color w:val="0070C0"/>
          <w:sz w:val="16"/>
          <w:szCs w:val="16"/>
        </w:rPr>
      </w:pPr>
      <w:r w:rsidRPr="001A0BAA">
        <w:rPr>
          <w:color w:val="0070C0"/>
          <w:sz w:val="16"/>
          <w:szCs w:val="16"/>
        </w:rPr>
        <w:t>Весной 1945 года появился новый снаряд БР-471Б, бронебойный тупоголовый с баллистическим наконечником для 122-мм пушки Д-25Т с большей бронепробиваемостью, но в боекомплекты тяжелых танков начал поступать практически уже после войны (25001).</w:t>
      </w:r>
    </w:p>
    <w:p w14:paraId="3843C8F8" w14:textId="77777777" w:rsidR="004842B7" w:rsidRPr="001A0BAA" w:rsidRDefault="004842B7" w:rsidP="004842B7">
      <w:pPr>
        <w:jc w:val="both"/>
        <w:rPr>
          <w:color w:val="0070C0"/>
          <w:sz w:val="16"/>
          <w:szCs w:val="16"/>
        </w:rPr>
      </w:pPr>
    </w:p>
    <w:p w14:paraId="1B81B274" w14:textId="77777777" w:rsidR="004842B7" w:rsidRPr="001A0BAA" w:rsidRDefault="004842B7" w:rsidP="004842B7">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Весной 1945 опытный образец 100-мм зенитной пушки С-25, которая проектировалась в ЦАКБ с 1943 г., прошел заводские и полигонные испытания.</w:t>
      </w:r>
    </w:p>
    <w:p w14:paraId="59A7D63E"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Баллистика и боекомплект С-25 взяты от 100-мм универсальной корабельной пушки Б-34.</w:t>
      </w:r>
    </w:p>
    <w:p w14:paraId="16D2FB04"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Пушка С-25 имела ствол длиной 53,5 калибра, состоявший из свободной трубы, дульного тормоза и казенника. Затвор — клиновой с механической полуавтоматикой копирного типа.</w:t>
      </w:r>
    </w:p>
    <w:p w14:paraId="36F490E9"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 xml:space="preserve">Угол вертикального наведения от </w:t>
      </w:r>
      <w:r w:rsidRPr="001A0BAA">
        <w:rPr>
          <w:rStyle w:val="aff0"/>
          <w:rFonts w:ascii="Times New Roman" w:hAnsi="Times New Roman" w:cs="Times New Roman"/>
          <w:i/>
          <w:iCs/>
          <w:color w:val="0070C0"/>
          <w:spacing w:val="0"/>
          <w:sz w:val="16"/>
          <w:szCs w:val="16"/>
        </w:rPr>
        <w:t>—5°</w:t>
      </w:r>
      <w:r w:rsidRPr="001A0BAA">
        <w:rPr>
          <w:rStyle w:val="aff0"/>
          <w:rFonts w:ascii="Times New Roman" w:hAnsi="Times New Roman" w:cs="Times New Roman"/>
          <w:color w:val="0070C0"/>
          <w:spacing w:val="0"/>
          <w:sz w:val="16"/>
          <w:szCs w:val="16"/>
        </w:rPr>
        <w:t xml:space="preserve"> до +85°, горизонтальное наведение — круговое. Наведение осуществлялось с помощью электропривода. Штатное управление приводами наведения центральное от системы ГСП-100, но предусмотрено и индивидуальное наведение каждого орудия расчетом. Компоновка орудия — классическая для 85—100-мм отечественных пушек.</w:t>
      </w:r>
    </w:p>
    <w:p w14:paraId="5F6806EC"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Вес системы в боевом и походном положении составлял 9 т. Скорострельность достигала 12—15 выстрелов в минуту. Время перехода из походного положения в боевое или обратно 15 мин.</w:t>
      </w:r>
    </w:p>
    <w:p w14:paraId="34DE6221"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Вес снаряда 15,6 кг, а его начальная скорость 900 м/с. Максимальная дальность стрельбы 21,1 км, а досягаемость по высоте при угле возвышения 85° — 14 км.</w:t>
      </w:r>
    </w:p>
    <w:p w14:paraId="52675006" w14:textId="77777777" w:rsidR="004842B7" w:rsidRPr="001A0BAA" w:rsidRDefault="004842B7" w:rsidP="004842B7">
      <w:pPr>
        <w:jc w:val="both"/>
        <w:rPr>
          <w:color w:val="0070C0"/>
          <w:sz w:val="16"/>
          <w:szCs w:val="16"/>
        </w:rPr>
      </w:pPr>
      <w:r w:rsidRPr="001A0BAA">
        <w:rPr>
          <w:rStyle w:val="aff0"/>
          <w:rFonts w:ascii="Times New Roman" w:hAnsi="Times New Roman" w:cs="Times New Roman"/>
          <w:color w:val="0070C0"/>
          <w:spacing w:val="0"/>
          <w:sz w:val="16"/>
          <w:szCs w:val="16"/>
        </w:rPr>
        <w:t>В 1946 г. опытная батарея из четырех пушек С-25 прошла полигонные испытания, в ходе которых были выявлены конструктивные недостатки в затворе, лотке заряжания, автоматическом установщике трубок, приводах механизмов наведения и т. д. (25440).</w:t>
      </w:r>
    </w:p>
    <w:p w14:paraId="6075CD52" w14:textId="77777777" w:rsidR="004842B7" w:rsidRPr="001A0BAA" w:rsidRDefault="004842B7" w:rsidP="004842B7">
      <w:pPr>
        <w:jc w:val="both"/>
        <w:rPr>
          <w:color w:val="0070C0"/>
          <w:sz w:val="16"/>
          <w:szCs w:val="16"/>
        </w:rPr>
      </w:pPr>
    </w:p>
    <w:p w14:paraId="4B5A512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года под Кенигсбергом был один единственный случай боевого применения 305-мм гаубиц обр. 1915 в Великую Отечественную войну.</w:t>
      </w:r>
    </w:p>
    <w:p w14:paraId="62E8AB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Устройство гаубиц.</w:t>
      </w:r>
    </w:p>
    <w:p w14:paraId="130DCE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Ствол состоял из внутренней трубы, двух цилиндров (короткого и длинного), кожуха, казенника, скрепляющего кольца, перекрывающего кольца и диска.</w:t>
      </w:r>
    </w:p>
    <w:p w14:paraId="13BDC43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Казенник навинчен на казенную часть кожуха (на резьбе).</w:t>
      </w:r>
    </w:p>
    <w:p w14:paraId="721D733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Затвор поршневой системы Розенберга или системы Обуховского завода. Затвор Розенберга устроен так, что его можно присоединить к стволу как справа, так и слева.</w:t>
      </w:r>
    </w:p>
    <w:p w14:paraId="6EDA84E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Тормоз отката гидравлический, накатник гидропневматический. Противооткатные устройства собраны в люльке. Люлька массивная стальная отливка.</w:t>
      </w:r>
    </w:p>
    <w:p w14:paraId="502AB1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Подъемный механизм имел один зубчатый сектор, закрепленный в люльке. Механизма быстрого приведения к углу заряжания нет. Все приводы установки только ручные.</w:t>
      </w:r>
    </w:p>
    <w:p w14:paraId="10DE91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Фундаментная рама служила жестким основанием, на котором лежал погон шарового подпятника. Задняя часть рамы предусмотрена для катания по ней опорных роликов поворотного механизма.</w:t>
      </w:r>
    </w:p>
    <w:p w14:paraId="457E171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Деревянное основание помещалось в вырытом в земле котловане глубиной около 2-х метров. Длина деревянного основания по директрисе 7750 м, ширина 6400 м.</w:t>
      </w:r>
    </w:p>
    <w:p w14:paraId="1149411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Деревянное основание состояло из рядов 9-дюймовых квадратных деревянных брусьев, уложенных поочередно рядами по директрисе и перпендикулярно ей, и скрепленных между собой планками, болтами и скобками.</w:t>
      </w:r>
    </w:p>
    <w:p w14:paraId="4253313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Установочная часть состояла из стального установочного кольца из двух половин, соединенных стальными накладками. Кольцо имело 30 отверстий для установочных болтов диаметром 2 дюйма.</w:t>
      </w:r>
    </w:p>
    <w:p w14:paraId="0C9358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 перевозке гаубица разбиралась на три части: станок, люльку и ствол. Перевозка осуществлялась только по железной дороге на тележках с узкой (750-мм) колеей. Орудие, доставленное по широкой колее, посредством разборки рельс переводилось на узкую колею и доставлялось прямо к котловану. Снаряды подавались в вагонетках "ПЛ-4" Коломенского завода по 2 полных выстрела в каждой. На каждую гаубицу положено по штату 300 м узкой колеи и 2 вагонетки.</w:t>
      </w:r>
    </w:p>
    <w:p w14:paraId="0BB9101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Для перегрузки частей гаубицы с железнодорожной платформы с нормальной колеей на платформу узкоколейки снимали один рельс нормальной колеи и между рельсами широкой колеи укладывали 32 метра узкоколейки. Двумя парами домкратов поднимали ствол, железнодорожная платформа с нормальной колеей откатывалась и подкатывалась узкоколейная платформа, на которую опускали ствол. Аналогично перегружались лафет и основание.</w:t>
      </w:r>
    </w:p>
    <w:p w14:paraId="55A9EC6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Установка системы состояла из 8 операций:</w:t>
      </w:r>
    </w:p>
    <w:p w14:paraId="72E0481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Отрыт котлован и уложены брусья.</w:t>
      </w:r>
    </w:p>
    <w:p w14:paraId="213BB96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На дно котлована опускается установочное кольцо и укладывается на подкладки так, чтобы оно расположилось над соответствующим гнездом.</w:t>
      </w:r>
    </w:p>
    <w:p w14:paraId="0B43C2A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опускается установочный круг, а затем 4 ряда брусьев.</w:t>
      </w:r>
    </w:p>
    <w:p w14:paraId="418EBF7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На вагонетке подвозится основную часть фундаментной рамы, поднимается домкратами и опускается в котлован.</w:t>
      </w:r>
    </w:p>
    <w:p w14:paraId="1C54AA7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5) Поверх фундаментной рамы прокладывается рельсовый путь полевой железной дороги для подвозки станка и устанавливаются четыре 3-х метровых домкрата. Станок ставится над котлованом, поднимают его и убирают тележки станка и рельсовый путь. После этого опускают станок на фундаментную раму и сажают его на болты.</w:t>
      </w:r>
    </w:p>
    <w:p w14:paraId="771CC72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6) Сборка ствола с люлькой происходила недалеко от котлована. Тележка с люлькой устанавливалась перед тележкой со стволом, ствол поднимали домкратами до уровня люльки. Тележку ствола убирали, а люльку надвигали на дульную часть ствола.</w:t>
      </w:r>
    </w:p>
    <w:p w14:paraId="26115C9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7) Рельсовый путь прокладывали прямо через станок. Тележку с люлькой и стволом закатывали в станок. Люльку поднимали домкратами и укладывали так, чтобы цапфы люльки легли в цапфенные отверстия станка. Рельсовый путь убирают.</w:t>
      </w:r>
    </w:p>
    <w:p w14:paraId="031AE27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8) Убирают домкраты, заканчивают деревянное основание. Устанавливают на место и прикрепляют к станку тумбу с зарядным лотком.</w:t>
      </w:r>
    </w:p>
    <w:p w14:paraId="396E59C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Боеприпасы и баллистика</w:t>
      </w:r>
    </w:p>
    <w:p w14:paraId="5977E94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А. Снаряды</w:t>
      </w:r>
    </w:p>
    <w:p w14:paraId="683C8D5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 Заряды.</w:t>
      </w:r>
    </w:p>
    <w:p w14:paraId="7608742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1) Полный заряд из пороха СБ весом 28,641 кг + 0,27 кг воспламенитель.</w:t>
      </w:r>
    </w:p>
    <w:p w14:paraId="3D5C61D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2) Полный комбинированный заряд переменный, состоял из наименьшего заряда из комбинации порохов 9/7 и 15/7 и добавочных равновесных пучков 15/7.</w:t>
      </w:r>
    </w:p>
    <w:p w14:paraId="1C2364E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полного заряда, кг 31,25</w:t>
      </w:r>
    </w:p>
    <w:p w14:paraId="14E3CBC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основного заряда, кг 17,85</w:t>
      </w:r>
    </w:p>
    <w:p w14:paraId="020DC93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 пучка, кг 2,325</w:t>
      </w:r>
    </w:p>
    <w:p w14:paraId="65EE269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3) Уменьшенный заряд из пороха С42 состоял из одного пакета и двух довесков.</w:t>
      </w:r>
    </w:p>
    <w:p w14:paraId="7C4B4B3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4) Заряды 30-х 40-х годов (3861).</w:t>
      </w:r>
    </w:p>
    <w:p w14:paraId="6F9278F0" w14:textId="77777777" w:rsidR="00665165" w:rsidRPr="00925F26" w:rsidRDefault="00665165" w:rsidP="00925F26">
      <w:pPr>
        <w:autoSpaceDE w:val="0"/>
        <w:autoSpaceDN w:val="0"/>
        <w:adjustRightInd w:val="0"/>
        <w:jc w:val="both"/>
        <w:rPr>
          <w:color w:val="000000" w:themeColor="text1"/>
          <w:sz w:val="16"/>
          <w:szCs w:val="16"/>
        </w:rPr>
      </w:pPr>
    </w:p>
    <w:p w14:paraId="6136934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После окончания войны в СССР началась разработка новых мощных 406-мм, 305-мм и 180-мм ж. д. артсистем (3861).</w:t>
      </w:r>
    </w:p>
    <w:p w14:paraId="05BD3A5B" w14:textId="77777777" w:rsidR="00665165" w:rsidRPr="00925F26" w:rsidRDefault="00665165" w:rsidP="00925F26">
      <w:pPr>
        <w:autoSpaceDE w:val="0"/>
        <w:autoSpaceDN w:val="0"/>
        <w:adjustRightInd w:val="0"/>
        <w:jc w:val="both"/>
        <w:rPr>
          <w:color w:val="000000" w:themeColor="text1"/>
          <w:sz w:val="16"/>
          <w:szCs w:val="16"/>
        </w:rPr>
      </w:pPr>
    </w:p>
    <w:p w14:paraId="47745893" w14:textId="77777777" w:rsidR="00823A00" w:rsidRPr="00925F26" w:rsidRDefault="00823A00" w:rsidP="00925F26">
      <w:pPr>
        <w:pStyle w:val="a3"/>
        <w:rPr>
          <w:color w:val="000000" w:themeColor="text1"/>
          <w:lang w:val="ru-RU"/>
        </w:rPr>
      </w:pPr>
      <w:r w:rsidRPr="00925F26">
        <w:rPr>
          <w:color w:val="000000" w:themeColor="text1"/>
          <w:lang w:val="ru-RU"/>
        </w:rPr>
        <w:t>Весной 1945 г. Вопрос выбора варианта тяжелого танка, в числе про</w:t>
      </w:r>
      <w:r w:rsidRPr="00925F26">
        <w:rPr>
          <w:color w:val="000000" w:themeColor="text1"/>
          <w:lang w:val="ru-RU"/>
        </w:rPr>
        <w:softHyphen/>
        <w:t xml:space="preserve">чих, был вынесен на рассмотрение наркома В.А. Малышева, который поддержал второй вариант. В.А. Малышев при этом сказал: </w:t>
      </w:r>
      <w:r w:rsidRPr="00925F26">
        <w:rPr>
          <w:rStyle w:val="aff6"/>
          <w:rFonts w:ascii="Times New Roman" w:hAnsi="Times New Roman" w:cs="Times New Roman"/>
          <w:i w:val="0"/>
          <w:color w:val="000000" w:themeColor="text1"/>
          <w:lang w:val="ru-RU"/>
        </w:rPr>
        <w:t>«Не все оригинальное целесообразно. Прошу доказать».</w:t>
      </w:r>
      <w:r w:rsidRPr="00925F26">
        <w:rPr>
          <w:color w:val="000000" w:themeColor="text1"/>
          <w:lang w:val="ru-RU"/>
        </w:rPr>
        <w:t xml:space="preserve"> Это прозвучало как упрек авто</w:t>
      </w:r>
      <w:r w:rsidRPr="00925F26">
        <w:rPr>
          <w:color w:val="000000" w:themeColor="text1"/>
          <w:lang w:val="ru-RU"/>
        </w:rPr>
        <w:softHyphen/>
        <w:t>рам первого варианта, разрабатываемого П.П. Исаковым и одобренного Ж.Я. Котиным. В сентябре Г.Н. Москвина отстранили от этой работы, а конструкцию корпуса поручили дово</w:t>
      </w:r>
      <w:r w:rsidRPr="00925F26">
        <w:rPr>
          <w:color w:val="000000" w:themeColor="text1"/>
          <w:lang w:val="ru-RU"/>
        </w:rPr>
        <w:softHyphen/>
        <w:t>дить С.В. Мицкевичу (12615).</w:t>
      </w:r>
    </w:p>
    <w:p w14:paraId="5576DCFD" w14:textId="77777777" w:rsidR="00823A00" w:rsidRPr="00925F26" w:rsidRDefault="00823A00" w:rsidP="00925F26">
      <w:pPr>
        <w:jc w:val="both"/>
        <w:rPr>
          <w:color w:val="000000" w:themeColor="text1"/>
          <w:sz w:val="16"/>
          <w:szCs w:val="16"/>
        </w:rPr>
      </w:pPr>
    </w:p>
    <w:p w14:paraId="4C08AAB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 1945 г. роизводство танков ИС-2 на ЧКЗ прекратилось. В мае были выпущены последние 150 машин (10703).</w:t>
      </w:r>
    </w:p>
    <w:p w14:paraId="038A9317"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763993F2"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 1945 г. производство танков ИС-2 (ИС-122) бы</w:t>
      </w:r>
      <w:r w:rsidRPr="00925F26">
        <w:rPr>
          <w:color w:val="000000" w:themeColor="text1"/>
          <w:sz w:val="16"/>
          <w:szCs w:val="16"/>
        </w:rPr>
        <w:softHyphen/>
        <w:t>ло прекращено (11135).</w:t>
      </w:r>
    </w:p>
    <w:p w14:paraId="19EDACC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E09ACCD" w14:textId="77777777" w:rsidR="00996484" w:rsidRPr="00925F26" w:rsidRDefault="00996484" w:rsidP="00925F26">
      <w:pPr>
        <w:jc w:val="both"/>
        <w:rPr>
          <w:color w:val="000000" w:themeColor="text1"/>
          <w:sz w:val="16"/>
          <w:szCs w:val="16"/>
        </w:rPr>
      </w:pPr>
      <w:r w:rsidRPr="00925F26">
        <w:rPr>
          <w:color w:val="000000" w:themeColor="text1"/>
          <w:sz w:val="16"/>
          <w:szCs w:val="16"/>
        </w:rPr>
        <w:t>Весной 1945 года ИС-2 стал постепенно освобождать дорогу сменщику — тяжёлому танку ИС-3. Но самоходных установок на базе ИС-2 это не коснулось. В апреле ИСУ-152 сдали чуть меньше прежней нормы (95 штук), столько же было сдано в мае и июне. В июле их снова выпустили 100 штук, а за август, из-за недопоставок орудий, сдали 80 машин вместо предполагавшихся 50 (также было сдано70 ИСУ-122с вместо 50) (18171).</w:t>
      </w:r>
    </w:p>
    <w:p w14:paraId="643706E4" w14:textId="77777777" w:rsidR="00996484" w:rsidRPr="00925F26" w:rsidRDefault="00996484" w:rsidP="00925F26">
      <w:pPr>
        <w:jc w:val="both"/>
        <w:rPr>
          <w:color w:val="000000" w:themeColor="text1"/>
          <w:sz w:val="16"/>
          <w:szCs w:val="16"/>
        </w:rPr>
      </w:pPr>
      <w:r w:rsidRPr="00925F26">
        <w:rPr>
          <w:color w:val="000000" w:themeColor="text1"/>
          <w:sz w:val="16"/>
          <w:szCs w:val="16"/>
        </w:rPr>
        <w:t>Весной-летом 1945 года производство машин СУ-100 продолжалось на прежнем уровне. За май сдали 210 СУ-100, столько же в июне, в июле-августе — по 200 штук. Окончание Второй мировой войны существенно снизило объём выпуска: уже в сентябре 1945 года он снизился до 165 штук, в октябре УЗТМ сдал 160 СУ-100, в ноябре — 140, а в декабре — 150. Доработки уже имели сравнительно небольшой объём и окончательно прекратились к декабрю. Уже в ноябре на УЗТМ знали, что выпуск СУ-100 вскоре будет остановлен, завод постепенно переходил к производству гражданской продукции. Это существенно повлияло и на отношение к выпуску СУ-100. Последние СУ-100 сдали в 1946 году: 50 штук в январе, 100 в феврале, 102 в марте. Общий объём производства составил 3037 машин, таким образом, СУ-100 стала самой массовой советской средней САУ.</w:t>
      </w:r>
    </w:p>
    <w:p w14:paraId="2E10518A" w14:textId="1064F257" w:rsidR="00996484" w:rsidRPr="00925F26" w:rsidRDefault="00996484" w:rsidP="00925F26">
      <w:pPr>
        <w:jc w:val="both"/>
        <w:rPr>
          <w:color w:val="000000" w:themeColor="text1"/>
          <w:sz w:val="16"/>
          <w:szCs w:val="16"/>
        </w:rPr>
      </w:pPr>
      <w:r w:rsidRPr="00925F26">
        <w:rPr>
          <w:color w:val="000000" w:themeColor="text1"/>
          <w:sz w:val="16"/>
          <w:szCs w:val="16"/>
        </w:rPr>
        <w:t>На этом выпуск СУ-100 приостановился, но не прекратился. В 1946 году окончилось производство</w:t>
      </w:r>
      <w:r w:rsidR="00997EDF" w:rsidRPr="00925F26">
        <w:rPr>
          <w:color w:val="000000" w:themeColor="text1"/>
          <w:sz w:val="16"/>
          <w:szCs w:val="16"/>
        </w:rPr>
        <w:t xml:space="preserve">  </w:t>
      </w:r>
      <w:hyperlink r:id="rId134" w:history="1">
        <w:r w:rsidRPr="00925F26">
          <w:rPr>
            <w:rStyle w:val="a5"/>
            <w:color w:val="000000" w:themeColor="text1"/>
            <w:sz w:val="16"/>
            <w:szCs w:val="16"/>
          </w:rPr>
          <w:t>Т-34-85</w:t>
        </w:r>
      </w:hyperlink>
      <w:r w:rsidR="00997EDF" w:rsidRPr="00925F26">
        <w:rPr>
          <w:color w:val="000000" w:themeColor="text1"/>
          <w:sz w:val="16"/>
          <w:szCs w:val="16"/>
        </w:rPr>
        <w:t xml:space="preserve">  </w:t>
      </w:r>
      <w:r w:rsidRPr="00925F26">
        <w:rPr>
          <w:color w:val="000000" w:themeColor="text1"/>
          <w:sz w:val="16"/>
          <w:szCs w:val="16"/>
        </w:rPr>
        <w:t>на заводе №174 в Омске. Предполагалось, что далее завод будет собирать Т-54, но машина всё ещё требовала доработки, это привело к существенному сдвигу начала её производства. Чтобы загрузить завод, было решено выпускать на нём СУ-100. План оказался небольшим: на 1947 год он составил всего 200 машин. Столь небольшие объёмы выпуска объяснялись тем, что СУ-100, по мнению ГБТУ КА, уже устарела, и фактически ею поддерживалось танкостроение в Омске. Всего за 1947 год завод №174 сдал 194 самоходных установки, ещё 10 штук сдали в 1948 году, после чего развернулись работы по выпуску Т-54.</w:t>
      </w:r>
    </w:p>
    <w:p w14:paraId="4314E683" w14:textId="3C6E9F41" w:rsidR="00996484" w:rsidRPr="00925F26" w:rsidRDefault="00996484" w:rsidP="00925F26">
      <w:pPr>
        <w:jc w:val="both"/>
        <w:rPr>
          <w:color w:val="000000" w:themeColor="text1"/>
          <w:sz w:val="16"/>
          <w:szCs w:val="16"/>
        </w:rPr>
      </w:pPr>
      <w:r w:rsidRPr="00925F26">
        <w:rPr>
          <w:color w:val="000000" w:themeColor="text1"/>
          <w:sz w:val="16"/>
          <w:szCs w:val="16"/>
        </w:rPr>
        <w:t>Ввиду небольшого объёма выпуска цена омской СУ-100 оказалась выше и составила 303 900 рублей за штуку. Внешне омские СУ-100 несколько отличались от свердловских: у них иначе выглядели буксирные крюки, ступичные крышки опорных катков, командирские башенки, передние брызговики и ряд других деталей. Петли верхней кормовой плиты были унифицированы. Позже многие элементы омских машин унаследовали чехословацкие</w:t>
      </w:r>
      <w:r w:rsidR="00997EDF" w:rsidRPr="00925F26">
        <w:rPr>
          <w:color w:val="000000" w:themeColor="text1"/>
          <w:sz w:val="16"/>
          <w:szCs w:val="16"/>
        </w:rPr>
        <w:t xml:space="preserve">  </w:t>
      </w:r>
      <w:hyperlink r:id="rId135" w:history="1">
        <w:r w:rsidRPr="00925F26">
          <w:rPr>
            <w:rStyle w:val="a5"/>
            <w:color w:val="000000" w:themeColor="text1"/>
            <w:sz w:val="16"/>
            <w:szCs w:val="16"/>
          </w:rPr>
          <w:t>SD-100</w:t>
        </w:r>
      </w:hyperlink>
      <w:r w:rsidRPr="00925F26">
        <w:rPr>
          <w:color w:val="000000" w:themeColor="text1"/>
          <w:sz w:val="16"/>
          <w:szCs w:val="16"/>
        </w:rPr>
        <w:t xml:space="preserve"> (18252).</w:t>
      </w:r>
    </w:p>
    <w:p w14:paraId="13DBFF17" w14:textId="77777777" w:rsidR="00996484" w:rsidRPr="00925F26" w:rsidRDefault="00996484" w:rsidP="00925F26">
      <w:pPr>
        <w:jc w:val="both"/>
        <w:rPr>
          <w:color w:val="000000" w:themeColor="text1"/>
          <w:sz w:val="16"/>
          <w:szCs w:val="16"/>
        </w:rPr>
      </w:pPr>
    </w:p>
    <w:p w14:paraId="79D5E47A"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 1945 г. в КБ завода № 183 под руководством главного конструктора А.А. Морозова по результатам испытаний первого опытного образца был разработан Танк Т-54 (второй образец) ("Объект 137"). Опытный образец танка был изготовлен в июле 1945 г. и имел заводское обозначение "Объект 137". В июле - ноябре того же года танк прошел испытания на НИБТ полигоне, по результатам которых члены комис</w:t>
      </w:r>
      <w:r w:rsidRPr="00925F26">
        <w:rPr>
          <w:color w:val="000000" w:themeColor="text1"/>
          <w:sz w:val="16"/>
          <w:szCs w:val="16"/>
        </w:rPr>
        <w:softHyphen/>
        <w:t>сии сочли целесообразным рекомендовать его для принятия на воору</w:t>
      </w:r>
      <w:r w:rsidRPr="00925F26">
        <w:rPr>
          <w:color w:val="000000" w:themeColor="text1"/>
          <w:sz w:val="16"/>
          <w:szCs w:val="16"/>
        </w:rPr>
        <w:softHyphen/>
        <w:t>жение Красной Армии с обязательным устранением выявленных недо</w:t>
      </w:r>
      <w:r w:rsidRPr="00925F26">
        <w:rPr>
          <w:color w:val="000000" w:themeColor="text1"/>
          <w:sz w:val="16"/>
          <w:szCs w:val="16"/>
        </w:rPr>
        <w:softHyphen/>
        <w:t>статков. Являлся прототипом среднего танка Т-54, принятого на воору</w:t>
      </w:r>
      <w:r w:rsidRPr="00925F26">
        <w:rPr>
          <w:color w:val="000000" w:themeColor="text1"/>
          <w:sz w:val="16"/>
          <w:szCs w:val="16"/>
        </w:rPr>
        <w:softHyphen/>
        <w:t>жение Советской Армии в первый послевоенный период (10703).</w:t>
      </w:r>
    </w:p>
    <w:p w14:paraId="1DAB1555"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475E1ED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весны 1945 года Т-44 стали поступать в войска и как любая новая техника, имели ряд "детских болезней" (3862).</w:t>
      </w:r>
    </w:p>
    <w:p w14:paraId="00D20A75" w14:textId="77777777" w:rsidR="00665165" w:rsidRPr="00925F26" w:rsidRDefault="00665165" w:rsidP="00925F26">
      <w:pPr>
        <w:autoSpaceDE w:val="0"/>
        <w:autoSpaceDN w:val="0"/>
        <w:adjustRightInd w:val="0"/>
        <w:jc w:val="both"/>
        <w:rPr>
          <w:color w:val="000000" w:themeColor="text1"/>
          <w:sz w:val="16"/>
          <w:szCs w:val="16"/>
        </w:rPr>
      </w:pPr>
    </w:p>
    <w:p w14:paraId="14E7D0A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года, накануне освобождения Праги, на вооружение чехословацкой армии поступило несколько ИС-</w:t>
      </w:r>
      <w:proofErr w:type="gramStart"/>
      <w:r w:rsidRPr="00925F26">
        <w:rPr>
          <w:color w:val="000000" w:themeColor="text1"/>
          <w:sz w:val="16"/>
          <w:szCs w:val="16"/>
        </w:rPr>
        <w:t>2..</w:t>
      </w:r>
      <w:proofErr w:type="gramEnd"/>
    </w:p>
    <w:p w14:paraId="1C3C0EE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 концу боевых действий в Войске Польском осталось 26 ИС-2 (при этом 21 машину вернули Красной Армии). Оставшиеся 5 машин и вошли в состав послевоенного польского 7-го тяжелого танкового полка. 71 танк ИС-2 был передан для формирования 4-го и 5-го полков тяжелых танков Войска польского. За время боев в Померании 4-й полк уничтожил 31 танк противника, потеряв при этом 14 своих. Оба полка принимали участие в битве за Берлин. Планировалось сформировать еще два таких полка- 6-й и 7-й, но сделать этого не успели - война </w:t>
      </w:r>
      <w:proofErr w:type="gramStart"/>
      <w:r w:rsidRPr="00925F26">
        <w:rPr>
          <w:color w:val="000000" w:themeColor="text1"/>
          <w:sz w:val="16"/>
          <w:szCs w:val="16"/>
        </w:rPr>
        <w:t>кончилась..</w:t>
      </w:r>
      <w:proofErr w:type="gramEnd"/>
    </w:p>
    <w:p w14:paraId="471390E9"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50-х годов небольшое количество ИС-2 передали Китаю. Во время войны в Корее, китайские добровольцы применили их против американцев, хотя информации о боевых столкновениях с американскими танками нет. По данным американской разведки, китайские войска в Корее имели четыре отдельных танковых полка, каждый из которых состоял из четырех рот Т-34/85 и одной роты ИС-2 (по 5 танков в каждой</w:t>
      </w:r>
      <w:proofErr w:type="gramStart"/>
      <w:r w:rsidRPr="00925F26">
        <w:rPr>
          <w:color w:val="000000" w:themeColor="text1"/>
          <w:sz w:val="16"/>
          <w:szCs w:val="16"/>
        </w:rPr>
        <w:t>)..</w:t>
      </w:r>
      <w:proofErr w:type="gramEnd"/>
    </w:p>
    <w:p w14:paraId="54AB218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Во время войны в Индокитае французские войска столкнулись с ИС-2, которые Китай передал Вьетнаму. Один танк "Пантера", имевшийся у французов, был доставлен во Вьетнам для проведения экспериментов о возможности противодействия танку ИС-</w:t>
      </w:r>
      <w:proofErr w:type="gramStart"/>
      <w:r w:rsidRPr="00925F26">
        <w:rPr>
          <w:color w:val="000000" w:themeColor="text1"/>
          <w:sz w:val="16"/>
          <w:szCs w:val="16"/>
        </w:rPr>
        <w:t>2..</w:t>
      </w:r>
      <w:proofErr w:type="gramEnd"/>
    </w:p>
    <w:p w14:paraId="4433441D"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Куба получила два полка ИС-2 в начале 60-х годов. По сообщениям иностранной печати, эти машины все еще находятся в эксплуатации в береговой обороне в качестве огневых </w:t>
      </w:r>
      <w:proofErr w:type="gramStart"/>
      <w:r w:rsidRPr="00925F26">
        <w:rPr>
          <w:color w:val="000000" w:themeColor="text1"/>
          <w:sz w:val="16"/>
          <w:szCs w:val="16"/>
        </w:rPr>
        <w:t>точек..</w:t>
      </w:r>
      <w:proofErr w:type="gramEnd"/>
    </w:p>
    <w:p w14:paraId="7DC8EC3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Примерно в это же время ИС-2 поступили и в КНДР. В составе северокорейской армии имелись две танковые дивизии с одним тяжелым танковым полком </w:t>
      </w:r>
      <w:proofErr w:type="gramStart"/>
      <w:r w:rsidRPr="00925F26">
        <w:rPr>
          <w:color w:val="000000" w:themeColor="text1"/>
          <w:sz w:val="16"/>
          <w:szCs w:val="16"/>
        </w:rPr>
        <w:t>каждая..</w:t>
      </w:r>
      <w:proofErr w:type="gramEnd"/>
    </w:p>
    <w:p w14:paraId="201AF87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Советской Армии танки ИС-2М состояли на вооружении очень долго, пережив более поздние ИС-3 и ИС-4. Предполагалось, что окончательно их заменят в войсках только </w:t>
      </w:r>
      <w:proofErr w:type="gramStart"/>
      <w:r w:rsidRPr="00925F26">
        <w:rPr>
          <w:color w:val="000000" w:themeColor="text1"/>
          <w:sz w:val="16"/>
          <w:szCs w:val="16"/>
        </w:rPr>
        <w:t>Т-10</w:t>
      </w:r>
      <w:proofErr w:type="gramEnd"/>
      <w:r w:rsidRPr="00925F26">
        <w:rPr>
          <w:color w:val="000000" w:themeColor="text1"/>
          <w:sz w:val="16"/>
          <w:szCs w:val="16"/>
        </w:rPr>
        <w:t xml:space="preserve"> но и этого в полном объеме не произошло. В 70-е годы, после ухудшения отношений с Китаем, танками ИС-2М и ИС-3 оснащались укрепленные районы, создаваемые вдоль советско-китайской границы в Забайкалье и на Дальнем Востоке. Боевые машины находились в парках и по тревоге должны были выдвигаться к границе и занимать специально подготовленные для них </w:t>
      </w:r>
      <w:proofErr w:type="gramStart"/>
      <w:r w:rsidRPr="00925F26">
        <w:rPr>
          <w:color w:val="000000" w:themeColor="text1"/>
          <w:sz w:val="16"/>
          <w:szCs w:val="16"/>
        </w:rPr>
        <w:t>капониры..</w:t>
      </w:r>
      <w:proofErr w:type="gramEnd"/>
    </w:p>
    <w:p w14:paraId="45BA91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Одесском военном округе последние известные учения с участием ИС-2М состоялись в 1982 году. Официальный же приказ министра обороны о снятии ИС-2М с вооружения Российской армии был отдан только в 1995 году! Вряд ли неудачная машина сумела бы "продержаться" на вооружении столько времени. (3862).</w:t>
      </w:r>
    </w:p>
    <w:p w14:paraId="21752B4B" w14:textId="77777777" w:rsidR="00665165" w:rsidRPr="00925F26" w:rsidRDefault="00665165" w:rsidP="00925F26">
      <w:pPr>
        <w:autoSpaceDE w:val="0"/>
        <w:autoSpaceDN w:val="0"/>
        <w:adjustRightInd w:val="0"/>
        <w:jc w:val="both"/>
        <w:rPr>
          <w:color w:val="000000" w:themeColor="text1"/>
          <w:sz w:val="16"/>
          <w:szCs w:val="16"/>
        </w:rPr>
      </w:pPr>
    </w:p>
    <w:p w14:paraId="270AA1DB"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весне 1945 г. М.Н.Щукин, выполнявший уже обязан</w:t>
      </w:r>
      <w:r w:rsidRPr="00925F26">
        <w:rPr>
          <w:color w:val="000000" w:themeColor="text1"/>
          <w:sz w:val="16"/>
          <w:szCs w:val="16"/>
        </w:rPr>
        <w:softHyphen/>
        <w:t>ности главного конструктора завода № 75 в Харькове, пред</w:t>
      </w:r>
      <w:r w:rsidRPr="00925F26">
        <w:rPr>
          <w:color w:val="000000" w:themeColor="text1"/>
          <w:sz w:val="16"/>
          <w:szCs w:val="16"/>
        </w:rPr>
        <w:softHyphen/>
        <w:t>лагал провести проектирование на базе общих конструкци</w:t>
      </w:r>
      <w:r w:rsidRPr="00925F26">
        <w:rPr>
          <w:color w:val="000000" w:themeColor="text1"/>
          <w:sz w:val="16"/>
          <w:szCs w:val="16"/>
        </w:rPr>
        <w:softHyphen/>
        <w:t>онных решений ОСА-76 легкого многоцелевого брониро</w:t>
      </w:r>
      <w:r w:rsidRPr="00925F26">
        <w:rPr>
          <w:color w:val="000000" w:themeColor="text1"/>
          <w:sz w:val="16"/>
          <w:szCs w:val="16"/>
        </w:rPr>
        <w:softHyphen/>
        <w:t>ванного транспортера пехоты и оружия по типу ленд-</w:t>
      </w:r>
      <w:proofErr w:type="gramStart"/>
      <w:r w:rsidRPr="00925F26">
        <w:rPr>
          <w:color w:val="000000" w:themeColor="text1"/>
          <w:sz w:val="16"/>
          <w:szCs w:val="16"/>
        </w:rPr>
        <w:t>лизо-вского</w:t>
      </w:r>
      <w:proofErr w:type="gramEnd"/>
      <w:r w:rsidRPr="00925F26">
        <w:rPr>
          <w:color w:val="000000" w:themeColor="text1"/>
          <w:sz w:val="16"/>
          <w:szCs w:val="16"/>
        </w:rPr>
        <w:t xml:space="preserve"> «универсала», а также легкой авиадесантной само</w:t>
      </w:r>
      <w:r w:rsidRPr="00925F26">
        <w:rPr>
          <w:color w:val="000000" w:themeColor="text1"/>
          <w:sz w:val="16"/>
          <w:szCs w:val="16"/>
        </w:rPr>
        <w:softHyphen/>
        <w:t>ходной установки, названной АСУ-76, с освоением их выпуска в Харькове. Но ввиду отказа от моторизации общевой</w:t>
      </w:r>
      <w:r w:rsidRPr="00925F26">
        <w:rPr>
          <w:color w:val="000000" w:themeColor="text1"/>
          <w:sz w:val="16"/>
          <w:szCs w:val="16"/>
        </w:rPr>
        <w:softHyphen/>
        <w:t>сковой артиллерии серийное производство ОСА-76 (танки</w:t>
      </w:r>
      <w:r w:rsidRPr="00925F26">
        <w:rPr>
          <w:color w:val="000000" w:themeColor="text1"/>
          <w:sz w:val="16"/>
          <w:szCs w:val="16"/>
        </w:rPr>
        <w:softHyphen/>
        <w:t>сты назвали ее на свой лад — ОСУ-76) развернуто не было (11417).</w:t>
      </w:r>
    </w:p>
    <w:p w14:paraId="5DF01E95" w14:textId="77777777" w:rsidR="00665165" w:rsidRPr="00925F26" w:rsidRDefault="00665165" w:rsidP="00925F26">
      <w:pPr>
        <w:autoSpaceDE w:val="0"/>
        <w:autoSpaceDN w:val="0"/>
        <w:adjustRightInd w:val="0"/>
        <w:jc w:val="both"/>
        <w:rPr>
          <w:color w:val="000000" w:themeColor="text1"/>
          <w:sz w:val="16"/>
          <w:szCs w:val="16"/>
        </w:rPr>
      </w:pPr>
    </w:p>
    <w:p w14:paraId="5FD213AB" w14:textId="77777777" w:rsidR="001E4635" w:rsidRPr="00925F26" w:rsidRDefault="001E4635" w:rsidP="00925F26">
      <w:pPr>
        <w:pStyle w:val="165"/>
        <w:shd w:val="clear" w:color="auto" w:fill="auto"/>
        <w:spacing w:before="0" w:line="240" w:lineRule="auto"/>
        <w:ind w:firstLine="0"/>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Весной 1945 г. на БТРЗ-135 изготовили стенды для испытания моторов «Харлей-Давидсон» и «Индиан» под наг</w:t>
      </w:r>
      <w:r w:rsidRPr="00925F26">
        <w:rPr>
          <w:rFonts w:ascii="Times New Roman" w:hAnsi="Times New Roman" w:cs="Times New Roman"/>
          <w:color w:val="000000" w:themeColor="text1"/>
          <w:sz w:val="16"/>
          <w:szCs w:val="16"/>
        </w:rPr>
        <w:softHyphen/>
        <w:t>рузкой. Отремонтированные мотоциклы стали хранить в крытых поме</w:t>
      </w:r>
      <w:r w:rsidRPr="00925F26">
        <w:rPr>
          <w:rFonts w:ascii="Times New Roman" w:hAnsi="Times New Roman" w:cs="Times New Roman"/>
          <w:color w:val="000000" w:themeColor="text1"/>
          <w:sz w:val="16"/>
          <w:szCs w:val="16"/>
        </w:rPr>
        <w:softHyphen/>
        <w:t>щениях на подставках. Благодаря грамотному обслуживанию и квалифицированному ре</w:t>
      </w:r>
      <w:r w:rsidRPr="00925F26">
        <w:rPr>
          <w:rFonts w:ascii="Times New Roman" w:hAnsi="Times New Roman" w:cs="Times New Roman"/>
          <w:color w:val="000000" w:themeColor="text1"/>
          <w:sz w:val="16"/>
          <w:szCs w:val="16"/>
        </w:rPr>
        <w:softHyphen/>
        <w:t>монту многие полученные от союзников мотоциклы продолжали воен</w:t>
      </w:r>
      <w:r w:rsidRPr="00925F26">
        <w:rPr>
          <w:rFonts w:ascii="Times New Roman" w:hAnsi="Times New Roman" w:cs="Times New Roman"/>
          <w:color w:val="000000" w:themeColor="text1"/>
          <w:sz w:val="16"/>
          <w:szCs w:val="16"/>
        </w:rPr>
        <w:softHyphen/>
        <w:t>ную службу до 1950-х гг., пока не были окончательно вытеснены отече</w:t>
      </w:r>
      <w:r w:rsidRPr="00925F26">
        <w:rPr>
          <w:rFonts w:ascii="Times New Roman" w:hAnsi="Times New Roman" w:cs="Times New Roman"/>
          <w:color w:val="000000" w:themeColor="text1"/>
          <w:sz w:val="16"/>
          <w:szCs w:val="16"/>
        </w:rPr>
        <w:softHyphen/>
        <w:t>ственной техникой24 ноября 1918 Габер-Влынский сдал вместо Россинского очередной «Фарман». (В полетном листе за 27 ноября фа</w:t>
      </w:r>
      <w:r w:rsidRPr="00925F26">
        <w:rPr>
          <w:rFonts w:ascii="Times New Roman" w:hAnsi="Times New Roman" w:cs="Times New Roman"/>
          <w:color w:val="000000" w:themeColor="text1"/>
          <w:sz w:val="16"/>
          <w:szCs w:val="16"/>
        </w:rPr>
        <w:softHyphen/>
        <w:t>милия Габера зачеркнута, поверх вписан Россинский.) (15781).</w:t>
      </w:r>
    </w:p>
    <w:p w14:paraId="19496349" w14:textId="77777777" w:rsidR="001E4635" w:rsidRPr="00925F26" w:rsidRDefault="001E4635" w:rsidP="00925F26">
      <w:pPr>
        <w:pStyle w:val="165"/>
        <w:shd w:val="clear" w:color="auto" w:fill="auto"/>
        <w:spacing w:before="0" w:line="240" w:lineRule="auto"/>
        <w:ind w:firstLine="0"/>
        <w:rPr>
          <w:rFonts w:ascii="Times New Roman" w:hAnsi="Times New Roman" w:cs="Times New Roman"/>
          <w:color w:val="000000" w:themeColor="text1"/>
          <w:sz w:val="16"/>
          <w:szCs w:val="16"/>
        </w:rPr>
      </w:pPr>
    </w:p>
    <w:p w14:paraId="2F72AB08" w14:textId="77777777" w:rsidR="001E4635" w:rsidRPr="00925F26" w:rsidRDefault="001E4635" w:rsidP="00925F26">
      <w:pPr>
        <w:pStyle w:val="book"/>
        <w:ind w:firstLine="0"/>
        <w:jc w:val="both"/>
        <w:rPr>
          <w:color w:val="000000" w:themeColor="text1"/>
          <w:sz w:val="16"/>
          <w:szCs w:val="16"/>
        </w:rPr>
      </w:pPr>
      <w:r w:rsidRPr="00925F26">
        <w:rPr>
          <w:color w:val="000000" w:themeColor="text1"/>
          <w:sz w:val="16"/>
          <w:szCs w:val="16"/>
        </w:rPr>
        <w:lastRenderedPageBreak/>
        <w:t>Весной 1945 г. Наркомат ВМФ СССР в Германию направилась большая делегация инженеров и военных под руководством адмирала Л.А. Коршунова</w:t>
      </w:r>
      <w:bookmarkStart w:id="30" w:name="r3"/>
      <w:bookmarkEnd w:id="30"/>
      <w:r w:rsidRPr="00925F26">
        <w:rPr>
          <w:color w:val="000000" w:themeColor="text1"/>
          <w:sz w:val="16"/>
          <w:szCs w:val="16"/>
        </w:rPr>
        <w:t>.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 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 Руководство этого Технического бюро постоянно менялось. Первоначально им руководил К.В. Грудницкий, через два месяца его сменил В.Ф. Критский, а еще через два месяца — С.А.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Н.В. Исаченкову, находившемуся в Москве (15225).</w:t>
      </w:r>
    </w:p>
    <w:p w14:paraId="5D181EA2" w14:textId="77777777" w:rsidR="001E4635" w:rsidRPr="00925F26" w:rsidRDefault="001E4635" w:rsidP="00925F26">
      <w:pPr>
        <w:pStyle w:val="book"/>
        <w:ind w:firstLine="0"/>
        <w:jc w:val="both"/>
        <w:rPr>
          <w:color w:val="000000" w:themeColor="text1"/>
          <w:sz w:val="16"/>
          <w:szCs w:val="16"/>
        </w:rPr>
      </w:pPr>
    </w:p>
    <w:p w14:paraId="015C06B2" w14:textId="0B45CDF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Весной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Наркомат ВМФ СССР направил в Германию большую делегацию инженеров и военных под руководством адмирала Л.А. Коршунова.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w:t>
      </w:r>
    </w:p>
    <w:p w14:paraId="427985F9" w14:textId="7777777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w:t>
      </w:r>
    </w:p>
    <w:p w14:paraId="4B157AD9" w14:textId="3110C2F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 xml:space="preserve">Руководство этого Технического бюро постоянно менялось. Первоначально им руководил К.В. Грудницкий, через два месяца его сменил В.Ф. Критский, а еще через два месяца — С.А.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Н.В. Исаченкову, находившемуся в Москве. Но в декабре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при советской военной администрации в Германии был организован ученый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w:t>
      </w:r>
    </w:p>
    <w:p w14:paraId="1216B086" w14:textId="0276BB7F"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К середине 1946</w:t>
      </w:r>
      <w:r w:rsidR="00997EDF" w:rsidRPr="00925F26">
        <w:rPr>
          <w:color w:val="000000" w:themeColor="text1"/>
          <w:sz w:val="16"/>
          <w:szCs w:val="16"/>
        </w:rPr>
        <w:t xml:space="preserve">  </w:t>
      </w:r>
      <w:r w:rsidRPr="00925F26">
        <w:rPr>
          <w:color w:val="000000" w:themeColor="text1"/>
          <w:sz w:val="16"/>
          <w:szCs w:val="16"/>
        </w:rPr>
        <w:t>г. в составе Техбюро имелось четыре отдела: минно-торпедный, кораблестроительный, приборостроительный и технологический. Всего в бюро работало свыше полутора тысяч немецких ученых, инженеров и рабочих. За ними приглядывали 60 советских инженеров. Бюро имело филиалы в ряде германских городов: Росслау, Дессау, Цвикау, Магдебурге, Бланбурге и Варнемюнде.</w:t>
      </w:r>
    </w:p>
    <w:p w14:paraId="0B7EC86B" w14:textId="7777777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Основным видом деятельности Техбюро были отчеты и доклады немецких специалистов по различным вопросам науки и техники судостроения. Некоторые отчеты сопровождались опытными работами, макетами и образцами. Каждый отчет или доклад Техбюро перед отправкой в Москву переводился на русский язык, тщательно изучался и корректировался нашими инженерами.</w:t>
      </w:r>
    </w:p>
    <w:p w14:paraId="19DB6C24" w14:textId="7777777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Но Техбюро занималось и практическими делами. Так, на верфи в Росслау строили торпедные и десантные катера на подводных крыльях (о них я рассказывал выше).</w:t>
      </w:r>
    </w:p>
    <w:p w14:paraId="11D06E8F" w14:textId="7777777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В торпедном отделе и его филиалах изучались новейшие приборы самонаведения, программного и дистанционного управления. В мастерских приборостроительного отдела была изготовлена большая партия электронных осциллографов новой конструкции, и из СССР приходили на них все новые и новые заказы. Здесь разрабатывались модели механических счетно-решающих приборов, бывших в то время еще новинкой, гироскопических приборов и автоматов для управления корабельной, береговой и зенитной артиллерией. В технологическом отделе восстанавливалась технология секционных методов строительства подводных лодок и надводных кораблей.</w:t>
      </w:r>
    </w:p>
    <w:p w14:paraId="042E1063" w14:textId="77777777" w:rsidR="00996484" w:rsidRPr="00925F26" w:rsidRDefault="00996484" w:rsidP="00925F26">
      <w:pPr>
        <w:pStyle w:val="p1"/>
        <w:spacing w:before="0" w:beforeAutospacing="0" w:after="0" w:afterAutospacing="0"/>
        <w:jc w:val="both"/>
        <w:rPr>
          <w:color w:val="000000" w:themeColor="text1"/>
          <w:sz w:val="16"/>
          <w:szCs w:val="16"/>
        </w:rPr>
      </w:pPr>
      <w:r w:rsidRPr="00925F26">
        <w:rPr>
          <w:color w:val="000000" w:themeColor="text1"/>
          <w:sz w:val="16"/>
          <w:szCs w:val="16"/>
        </w:rPr>
        <w:t>Сотрудник Техбюро при разборке архивов Верховного командования ВМФ Германии нашел схему теплового двигателя, работавшего на жидком кислороде. Из опросов специалистов выяснилось, что по такой схеме инженером Пеффлером была смонтирована стендовая установка, прошедшая в конце войны серию испытаний. Позже эта схема пригодилась при проектировании аналогичных опытных установок для советских подводных лодок (19682).</w:t>
      </w:r>
    </w:p>
    <w:p w14:paraId="76374E6C" w14:textId="77777777" w:rsidR="00996484" w:rsidRPr="00925F26" w:rsidRDefault="00996484" w:rsidP="00925F26">
      <w:pPr>
        <w:jc w:val="both"/>
        <w:rPr>
          <w:color w:val="000000" w:themeColor="text1"/>
          <w:sz w:val="16"/>
          <w:szCs w:val="16"/>
        </w:rPr>
      </w:pPr>
    </w:p>
    <w:p w14:paraId="059D8C1B" w14:textId="77777777" w:rsidR="004842B7" w:rsidRPr="001A0BAA" w:rsidRDefault="004842B7" w:rsidP="004842B7">
      <w:pPr>
        <w:jc w:val="both"/>
        <w:rPr>
          <w:color w:val="0070C0"/>
          <w:sz w:val="16"/>
          <w:szCs w:val="16"/>
        </w:rPr>
      </w:pPr>
      <w:r w:rsidRPr="001A0BAA">
        <w:rPr>
          <w:color w:val="0070C0"/>
          <w:sz w:val="16"/>
          <w:szCs w:val="16"/>
        </w:rPr>
        <w:t>Весной 1945 г. Наркомат ВМФ СССР проявил большое рвение в добыче секретов кригсмарине. В Германию направилась большая делегация инженеров и военных под руководством адмирала Л. А. Коршунова.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w:t>
      </w:r>
    </w:p>
    <w:p w14:paraId="0814A76D" w14:textId="77777777" w:rsidR="004842B7" w:rsidRPr="001A0BAA" w:rsidRDefault="004842B7" w:rsidP="004842B7">
      <w:pPr>
        <w:jc w:val="both"/>
        <w:rPr>
          <w:color w:val="0070C0"/>
          <w:sz w:val="16"/>
          <w:szCs w:val="16"/>
        </w:rPr>
      </w:pPr>
      <w:r w:rsidRPr="001A0BAA">
        <w:rPr>
          <w:color w:val="0070C0"/>
          <w:sz w:val="16"/>
          <w:szCs w:val="16"/>
        </w:rPr>
        <w:t>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w:t>
      </w:r>
    </w:p>
    <w:p w14:paraId="1B67BC3E" w14:textId="77777777" w:rsidR="004842B7" w:rsidRPr="001A0BAA" w:rsidRDefault="004842B7" w:rsidP="004842B7">
      <w:pPr>
        <w:jc w:val="both"/>
        <w:rPr>
          <w:color w:val="0070C0"/>
          <w:sz w:val="16"/>
          <w:szCs w:val="16"/>
        </w:rPr>
      </w:pPr>
      <w:r w:rsidRPr="001A0BAA">
        <w:rPr>
          <w:color w:val="0070C0"/>
          <w:sz w:val="16"/>
          <w:szCs w:val="16"/>
        </w:rPr>
        <w:t>Руководство этого Технического бюро постоянно менялось. Первоначально им руководил К. В. Грудницкий, через два месяца его сменил В. Ф. Критский, а ещё через два месяца – С. 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 В. Исаченкову, находившемуся в Москве. Но в декабре 1945 г. при советской военной администрации в Германии был организован Учёный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 (25184).</w:t>
      </w:r>
    </w:p>
    <w:p w14:paraId="75AD607A" w14:textId="77777777" w:rsidR="004842B7" w:rsidRPr="001A0BAA" w:rsidRDefault="004842B7" w:rsidP="004842B7">
      <w:pPr>
        <w:jc w:val="both"/>
        <w:rPr>
          <w:color w:val="0070C0"/>
          <w:sz w:val="16"/>
          <w:szCs w:val="16"/>
        </w:rPr>
      </w:pPr>
    </w:p>
    <w:p w14:paraId="42C888BC"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23265BF" w14:textId="77777777" w:rsidR="00665165" w:rsidRPr="00925F26" w:rsidRDefault="00665165" w:rsidP="00925F26">
      <w:pPr>
        <w:autoSpaceDE w:val="0"/>
        <w:autoSpaceDN w:val="0"/>
        <w:adjustRightInd w:val="0"/>
        <w:jc w:val="both"/>
        <w:rPr>
          <w:iCs/>
          <w:color w:val="000000" w:themeColor="text1"/>
          <w:sz w:val="16"/>
          <w:szCs w:val="16"/>
        </w:rPr>
      </w:pPr>
    </w:p>
    <w:p w14:paraId="027614E0" w14:textId="47CC19AD" w:rsidR="00996484" w:rsidRPr="00925F26" w:rsidRDefault="00996484" w:rsidP="00925F26">
      <w:pPr>
        <w:pStyle w:val="ae"/>
        <w:spacing w:before="0" w:after="0"/>
        <w:jc w:val="both"/>
        <w:textAlignment w:val="baseline"/>
        <w:rPr>
          <w:color w:val="000000" w:themeColor="text1"/>
          <w:sz w:val="16"/>
          <w:szCs w:val="16"/>
        </w:rPr>
      </w:pPr>
      <w:r w:rsidRPr="00925F26">
        <w:rPr>
          <w:color w:val="000000" w:themeColor="text1"/>
          <w:sz w:val="16"/>
          <w:szCs w:val="16"/>
        </w:rPr>
        <w:t xml:space="preserve">Весной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108-й гв. шап прибыл на фронт, имея в своем составе 43 Ил-10 (19522).</w:t>
      </w:r>
    </w:p>
    <w:p w14:paraId="070B899B" w14:textId="77777777" w:rsidR="00996484" w:rsidRPr="00925F26" w:rsidRDefault="00996484" w:rsidP="00925F26">
      <w:pPr>
        <w:pStyle w:val="ae"/>
        <w:spacing w:before="0" w:after="0"/>
        <w:jc w:val="both"/>
        <w:textAlignment w:val="baseline"/>
        <w:rPr>
          <w:color w:val="000000" w:themeColor="text1"/>
          <w:sz w:val="16"/>
          <w:szCs w:val="16"/>
        </w:rPr>
      </w:pPr>
    </w:p>
    <w:p w14:paraId="60AAA39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советские л начали встречать в бою Ме-262. Л.Сивков в 16ВА и во 2ВА были сбиты Ме-262, атаковавшие Ил-2 (3552,21).</w:t>
      </w:r>
    </w:p>
    <w:p w14:paraId="0D522BF1" w14:textId="77777777" w:rsidR="00665165" w:rsidRPr="00925F26" w:rsidRDefault="00665165" w:rsidP="00925F26">
      <w:pPr>
        <w:autoSpaceDE w:val="0"/>
        <w:autoSpaceDN w:val="0"/>
        <w:adjustRightInd w:val="0"/>
        <w:jc w:val="both"/>
        <w:rPr>
          <w:color w:val="000000" w:themeColor="text1"/>
          <w:sz w:val="16"/>
          <w:szCs w:val="16"/>
        </w:rPr>
      </w:pPr>
    </w:p>
    <w:p w14:paraId="55F935EE" w14:textId="77777777" w:rsidR="004842B7" w:rsidRPr="001A0BAA" w:rsidRDefault="004842B7" w:rsidP="004842B7">
      <w:pPr>
        <w:jc w:val="both"/>
        <w:rPr>
          <w:color w:val="0070C0"/>
          <w:sz w:val="16"/>
          <w:szCs w:val="16"/>
        </w:rPr>
      </w:pPr>
      <w:r w:rsidRPr="001A0BAA">
        <w:rPr>
          <w:color w:val="0070C0"/>
          <w:sz w:val="16"/>
          <w:szCs w:val="16"/>
        </w:rPr>
        <w:t>Весной 1945 несколько попавших на фронт истребителей Як-9УТ, вооруженных моторпушкой НС-23 и парой синхронных Б-20 успели поучаствовать в завершающих боях… Но впереди была война в Корее, где пушка НС-23 приняла самое активное участие (25368).</w:t>
      </w:r>
    </w:p>
    <w:p w14:paraId="5496DD5A" w14:textId="77777777" w:rsidR="004842B7" w:rsidRPr="001A0BAA" w:rsidRDefault="004842B7" w:rsidP="004842B7">
      <w:pPr>
        <w:jc w:val="both"/>
        <w:rPr>
          <w:color w:val="0070C0"/>
          <w:sz w:val="16"/>
          <w:szCs w:val="16"/>
        </w:rPr>
      </w:pPr>
    </w:p>
    <w:p w14:paraId="246C762C"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весны 1945 года Р-63 начали поступать в строевые части ПВО. Это не удивительно: на высотах более 7500 м "Королевская кобра" обгоняла и "Спитфайр" IX, и наш Ла-7. У нее был хороший потолок. Стандартным оборудованием всех Р-63 являлся радиополукомпас MN-26Y, что существенно облегчало навигацию ночью и в облаках (3457,78).</w:t>
      </w:r>
    </w:p>
    <w:p w14:paraId="6FFE439C" w14:textId="77777777" w:rsidR="00665165" w:rsidRPr="00925F26" w:rsidRDefault="00665165" w:rsidP="00925F26">
      <w:pPr>
        <w:autoSpaceDE w:val="0"/>
        <w:autoSpaceDN w:val="0"/>
        <w:adjustRightInd w:val="0"/>
        <w:jc w:val="both"/>
        <w:rPr>
          <w:color w:val="000000" w:themeColor="text1"/>
          <w:sz w:val="16"/>
          <w:szCs w:val="16"/>
        </w:rPr>
      </w:pPr>
    </w:p>
    <w:p w14:paraId="08749868" w14:textId="77777777" w:rsidR="00823A00" w:rsidRPr="00925F26" w:rsidRDefault="00823A00" w:rsidP="00925F26">
      <w:pPr>
        <w:jc w:val="both"/>
        <w:rPr>
          <w:color w:val="000000" w:themeColor="text1"/>
          <w:sz w:val="16"/>
          <w:szCs w:val="16"/>
        </w:rPr>
      </w:pPr>
      <w:r w:rsidRPr="00925F26">
        <w:rPr>
          <w:color w:val="000000" w:themeColor="text1"/>
          <w:sz w:val="16"/>
          <w:szCs w:val="16"/>
        </w:rPr>
        <w:t>С весны 1945 г. Р-63 начали поступать в строевые части истребительной авиации ПВО. Это не удивительно: на высотах более 7500 м «Кингкобра» обгоняла и английский «Спитфайр» IX, и советский Ла-7. У неё был хороший потолок. На некоторых Р-63 имелся радиополукомпас М1Ч-26У, что существенно облегчало навигацию ночью и в облаках. В начале того же года поступил даже один экземпляр Р-63А-10, оснащённый РЛС. Правда, радар был не поисковый, а предназначенный для предупреждения об атаке сзади. На 1 мая в полках ПВО уже числился 51 Р-63.</w:t>
      </w:r>
    </w:p>
    <w:p w14:paraId="7C07946F" w14:textId="77777777" w:rsidR="00823A00" w:rsidRPr="00925F26" w:rsidRDefault="00823A00" w:rsidP="00925F26">
      <w:pPr>
        <w:jc w:val="both"/>
        <w:rPr>
          <w:color w:val="000000" w:themeColor="text1"/>
          <w:sz w:val="16"/>
          <w:szCs w:val="16"/>
        </w:rPr>
      </w:pPr>
      <w:r w:rsidRPr="00925F26">
        <w:rPr>
          <w:color w:val="000000" w:themeColor="text1"/>
          <w:sz w:val="16"/>
          <w:szCs w:val="16"/>
        </w:rPr>
        <w:t>В первую очередь «кингкобрами» пополняли части, ранее вооружённые Р-39. Первым Р-63 получил 28-й иап под Москвой. К августу по десятку машин прибыли в 17-й и 821-й иап ПВО. Осенью несколько машин попали в 39-й иап на аэродроме Малино (тоже в Подмосковье) (12265).</w:t>
      </w:r>
    </w:p>
    <w:p w14:paraId="49D6718A" w14:textId="77777777" w:rsidR="00823A00" w:rsidRPr="00925F26" w:rsidRDefault="00823A00" w:rsidP="00925F26">
      <w:pPr>
        <w:jc w:val="both"/>
        <w:rPr>
          <w:color w:val="000000" w:themeColor="text1"/>
          <w:sz w:val="16"/>
          <w:szCs w:val="16"/>
        </w:rPr>
      </w:pPr>
    </w:p>
    <w:p w14:paraId="7D8943E2" w14:textId="77777777" w:rsidR="007C455A" w:rsidRPr="00925F26" w:rsidRDefault="007C455A" w:rsidP="00925F26">
      <w:pPr>
        <w:jc w:val="both"/>
        <w:rPr>
          <w:color w:val="000000" w:themeColor="text1"/>
          <w:sz w:val="16"/>
          <w:szCs w:val="16"/>
        </w:rPr>
      </w:pPr>
      <w:r w:rsidRPr="00925F26">
        <w:rPr>
          <w:color w:val="000000" w:themeColor="text1"/>
          <w:sz w:val="16"/>
          <w:szCs w:val="16"/>
        </w:rPr>
        <w:t>С весны 1945 г. Р-63 начали поступать в строевые части ПВО. Это не удивительно: на высотах более 7500 м «Кингкобра» обго</w:t>
      </w:r>
      <w:r w:rsidRPr="00925F26">
        <w:rPr>
          <w:color w:val="000000" w:themeColor="text1"/>
          <w:sz w:val="16"/>
          <w:szCs w:val="16"/>
        </w:rPr>
        <w:softHyphen/>
        <w:t>няла и английский «Спитфайр» IX, и совет</w:t>
      </w:r>
      <w:r w:rsidRPr="00925F26">
        <w:rPr>
          <w:color w:val="000000" w:themeColor="text1"/>
          <w:sz w:val="16"/>
          <w:szCs w:val="16"/>
        </w:rPr>
        <w:softHyphen/>
        <w:t>ский Ла-7. У нее был хороший потолок. На некоторых Р-63 имелся радиополукомпас MN-26Y, что существенно облегчало нави</w:t>
      </w:r>
      <w:r w:rsidRPr="00925F26">
        <w:rPr>
          <w:color w:val="000000" w:themeColor="text1"/>
          <w:sz w:val="16"/>
          <w:szCs w:val="16"/>
        </w:rPr>
        <w:softHyphen/>
        <w:t>гацию ночью и в облаках. В начале 1945 г. поступил даже один экземпляр Р-63А-10, оснащенный РЛС. Правда, радар был не поисковый, а предназначенный для предупреждения об атаке сзади. На 1 мая в полках ПВО уже числился 51 Р-63.</w:t>
      </w:r>
    </w:p>
    <w:p w14:paraId="15FE2366" w14:textId="77777777" w:rsidR="007C455A" w:rsidRPr="00925F26" w:rsidRDefault="007C455A" w:rsidP="00925F26">
      <w:pPr>
        <w:jc w:val="both"/>
        <w:rPr>
          <w:color w:val="000000" w:themeColor="text1"/>
          <w:sz w:val="16"/>
          <w:szCs w:val="16"/>
        </w:rPr>
      </w:pPr>
      <w:r w:rsidRPr="00925F26">
        <w:rPr>
          <w:color w:val="000000" w:themeColor="text1"/>
          <w:sz w:val="16"/>
          <w:szCs w:val="16"/>
        </w:rPr>
        <w:t>В первую очередь «Кингкобрами» пополняли части, ранее вооруженные Р-39. Первым Р-63 получил 28-й иап под Москвой. К августу по десятку ма</w:t>
      </w:r>
      <w:r w:rsidRPr="00925F26">
        <w:rPr>
          <w:color w:val="000000" w:themeColor="text1"/>
          <w:sz w:val="16"/>
          <w:szCs w:val="16"/>
        </w:rPr>
        <w:softHyphen/>
        <w:t>шин прибыли в 17-й и 821-й иап ПВО. Осенью 1945 г. несколько машин попали в 39-й иап на аэродроме Малино (тоже в Подмосковье).</w:t>
      </w:r>
    </w:p>
    <w:p w14:paraId="51A0C1EA" w14:textId="77777777" w:rsidR="007C455A" w:rsidRPr="00925F26" w:rsidRDefault="007C455A" w:rsidP="00925F26">
      <w:pPr>
        <w:jc w:val="both"/>
        <w:rPr>
          <w:color w:val="000000" w:themeColor="text1"/>
          <w:sz w:val="16"/>
          <w:szCs w:val="16"/>
        </w:rPr>
      </w:pPr>
      <w:r w:rsidRPr="00925F26">
        <w:rPr>
          <w:color w:val="000000" w:themeColor="text1"/>
          <w:sz w:val="16"/>
          <w:szCs w:val="16"/>
        </w:rPr>
        <w:t>После капитуляции Германии постав</w:t>
      </w:r>
      <w:r w:rsidRPr="00925F26">
        <w:rPr>
          <w:color w:val="000000" w:themeColor="text1"/>
          <w:sz w:val="16"/>
          <w:szCs w:val="16"/>
        </w:rPr>
        <w:softHyphen/>
        <w:t>ки в СССР продолжались. С Аляски груп</w:t>
      </w:r>
      <w:r w:rsidRPr="00925F26">
        <w:rPr>
          <w:color w:val="000000" w:themeColor="text1"/>
          <w:sz w:val="16"/>
          <w:szCs w:val="16"/>
        </w:rPr>
        <w:softHyphen/>
        <w:t>пами уходили на Чукотку «Кингкобры». В это время он оставался единственным типом истребителя на трассе. Самолет был уже достаточно хорошо освоен перегонщиками, но изредка все-таки случались аварии и катастрофы. Так, 7 июля 1945 г. лейтенант А.Н. Терентьев разбился на по</w:t>
      </w:r>
      <w:r w:rsidRPr="00925F26">
        <w:rPr>
          <w:color w:val="000000" w:themeColor="text1"/>
          <w:sz w:val="16"/>
          <w:szCs w:val="16"/>
        </w:rPr>
        <w:softHyphen/>
        <w:t>садке в Сеймчане (23513).</w:t>
      </w:r>
    </w:p>
    <w:p w14:paraId="1F3C2140" w14:textId="77777777" w:rsidR="007C455A" w:rsidRPr="00925F26" w:rsidRDefault="007C455A" w:rsidP="00925F26">
      <w:pPr>
        <w:jc w:val="both"/>
        <w:rPr>
          <w:color w:val="000000" w:themeColor="text1"/>
          <w:sz w:val="16"/>
          <w:szCs w:val="16"/>
        </w:rPr>
      </w:pPr>
    </w:p>
    <w:p w14:paraId="60D455A9" w14:textId="77777777" w:rsidR="007C455A" w:rsidRPr="00925F26" w:rsidRDefault="007C455A" w:rsidP="00925F26">
      <w:pPr>
        <w:jc w:val="both"/>
        <w:rPr>
          <w:color w:val="000000" w:themeColor="text1"/>
          <w:sz w:val="16"/>
          <w:szCs w:val="16"/>
        </w:rPr>
      </w:pPr>
      <w:r w:rsidRPr="00925F26">
        <w:rPr>
          <w:color w:val="000000" w:themeColor="text1"/>
          <w:sz w:val="16"/>
          <w:szCs w:val="16"/>
        </w:rPr>
        <w:t>С весны 1945 г. в ВВС начался процесс замены A-20G на оте</w:t>
      </w:r>
      <w:r w:rsidRPr="00925F26">
        <w:rPr>
          <w:color w:val="000000" w:themeColor="text1"/>
          <w:sz w:val="16"/>
          <w:szCs w:val="16"/>
        </w:rPr>
        <w:softHyphen/>
        <w:t>чественные Ту-2, превосходившие их по дальности, потолку и бомбовой нагрузке. Часть машин вернули американцам или уничтожили под их контролем в 1946-47 годах. Но далеко не все.</w:t>
      </w:r>
    </w:p>
    <w:p w14:paraId="4CE72430" w14:textId="77777777" w:rsidR="007C455A" w:rsidRPr="00925F26" w:rsidRDefault="007C455A" w:rsidP="00925F26">
      <w:pPr>
        <w:jc w:val="both"/>
        <w:rPr>
          <w:color w:val="000000" w:themeColor="text1"/>
          <w:sz w:val="16"/>
          <w:szCs w:val="16"/>
        </w:rPr>
      </w:pPr>
      <w:r w:rsidRPr="00925F26">
        <w:rPr>
          <w:color w:val="000000" w:themeColor="text1"/>
          <w:sz w:val="16"/>
          <w:szCs w:val="16"/>
        </w:rPr>
        <w:t>У нас «Бостоны» продержались на во</w:t>
      </w:r>
      <w:r w:rsidRPr="00925F26">
        <w:rPr>
          <w:color w:val="000000" w:themeColor="text1"/>
          <w:sz w:val="16"/>
          <w:szCs w:val="16"/>
        </w:rPr>
        <w:softHyphen/>
        <w:t>оружении дольше, чем в США и Велико</w:t>
      </w:r>
      <w:r w:rsidRPr="00925F26">
        <w:rPr>
          <w:color w:val="000000" w:themeColor="text1"/>
          <w:sz w:val="16"/>
          <w:szCs w:val="16"/>
        </w:rPr>
        <w:softHyphen/>
        <w:t>британии.</w:t>
      </w:r>
    </w:p>
    <w:p w14:paraId="5A641F93" w14:textId="77777777" w:rsidR="007C455A" w:rsidRPr="00925F26" w:rsidRDefault="007C455A" w:rsidP="00925F26">
      <w:pPr>
        <w:jc w:val="both"/>
        <w:rPr>
          <w:color w:val="000000" w:themeColor="text1"/>
          <w:sz w:val="16"/>
          <w:szCs w:val="16"/>
        </w:rPr>
      </w:pPr>
      <w:r w:rsidRPr="00925F26">
        <w:rPr>
          <w:color w:val="000000" w:themeColor="text1"/>
          <w:sz w:val="16"/>
          <w:szCs w:val="16"/>
        </w:rPr>
        <w:t>А-20 не вошли в постановление 1946 г., предусматривавшее списание большей части импортной авиационной техники. Видимо, это было связано с тем, что фак</w:t>
      </w:r>
      <w:r w:rsidRPr="00925F26">
        <w:rPr>
          <w:color w:val="000000" w:themeColor="text1"/>
          <w:sz w:val="16"/>
          <w:szCs w:val="16"/>
        </w:rPr>
        <w:softHyphen/>
        <w:t>тически первоначально запланированного полного перехода на Ту-2 не произошло. А-20, так же как и Пе-2, сохранялись в бо</w:t>
      </w:r>
      <w:r w:rsidRPr="00925F26">
        <w:rPr>
          <w:color w:val="000000" w:themeColor="text1"/>
          <w:sz w:val="16"/>
          <w:szCs w:val="16"/>
        </w:rPr>
        <w:softHyphen/>
        <w:t>евом строю фронтовой авиации в сущест</w:t>
      </w:r>
      <w:r w:rsidRPr="00925F26">
        <w:rPr>
          <w:color w:val="000000" w:themeColor="text1"/>
          <w:sz w:val="16"/>
          <w:szCs w:val="16"/>
        </w:rPr>
        <w:softHyphen/>
        <w:t>венных количествах до начала 50-х годов. Некоторые полки переходили с них сразу на реактивные бомбардировщики Ил-28, минуя поршневые Ту-2.</w:t>
      </w:r>
    </w:p>
    <w:p w14:paraId="4E1C37F2" w14:textId="77777777" w:rsidR="007C455A" w:rsidRPr="00925F26" w:rsidRDefault="007C455A" w:rsidP="00925F26">
      <w:pPr>
        <w:jc w:val="both"/>
        <w:rPr>
          <w:color w:val="000000" w:themeColor="text1"/>
          <w:sz w:val="16"/>
          <w:szCs w:val="16"/>
        </w:rPr>
      </w:pPr>
      <w:r w:rsidRPr="00925F26">
        <w:rPr>
          <w:color w:val="000000" w:themeColor="text1"/>
          <w:sz w:val="16"/>
          <w:szCs w:val="16"/>
        </w:rPr>
        <w:lastRenderedPageBreak/>
        <w:t>Ночные истребители «сошли со сцены» раньше. 45-я дивизия после окончания войны некоторое время дислоцировалась в польском Бржеге. A-20G в ее полках эксплуатировались до 1947 г., когда им на смену пришли Ту-2 с более совершенными радиолокаторами «Гнейс-5». 39-ю эскадри</w:t>
      </w:r>
      <w:r w:rsidRPr="00925F26">
        <w:rPr>
          <w:color w:val="000000" w:themeColor="text1"/>
          <w:sz w:val="16"/>
          <w:szCs w:val="16"/>
        </w:rPr>
        <w:softHyphen/>
        <w:t>лью в ноябре 1948 г. перевели с Черного моря на Балтику, включив в состав ВВС 4-го флота (тогда Балтийский флот был разделен на два).</w:t>
      </w:r>
    </w:p>
    <w:p w14:paraId="2B9B2E2F" w14:textId="77777777" w:rsidR="007C455A" w:rsidRPr="00925F26" w:rsidRDefault="007C455A" w:rsidP="00925F26">
      <w:pPr>
        <w:jc w:val="both"/>
        <w:rPr>
          <w:color w:val="000000" w:themeColor="text1"/>
          <w:sz w:val="16"/>
          <w:szCs w:val="16"/>
        </w:rPr>
      </w:pPr>
      <w:r w:rsidRPr="00925F26">
        <w:rPr>
          <w:color w:val="000000" w:themeColor="text1"/>
          <w:sz w:val="16"/>
          <w:szCs w:val="16"/>
        </w:rPr>
        <w:t>«Бостон» еще довольно долго служил в морской авиации. Сразу после войны он являлся основным типом торпедо</w:t>
      </w:r>
      <w:r w:rsidRPr="00925F26">
        <w:rPr>
          <w:color w:val="000000" w:themeColor="text1"/>
          <w:sz w:val="16"/>
          <w:szCs w:val="16"/>
        </w:rPr>
        <w:softHyphen/>
        <w:t>носца на всех флотах. На Черноморском, Балтийском и Северном флотах на них пе</w:t>
      </w:r>
      <w:r w:rsidRPr="00925F26">
        <w:rPr>
          <w:color w:val="000000" w:themeColor="text1"/>
          <w:sz w:val="16"/>
          <w:szCs w:val="16"/>
        </w:rPr>
        <w:softHyphen/>
        <w:t>решли еще в ходе войны, на Тихом океа</w:t>
      </w:r>
      <w:r w:rsidRPr="00925F26">
        <w:rPr>
          <w:color w:val="000000" w:themeColor="text1"/>
          <w:sz w:val="16"/>
          <w:szCs w:val="16"/>
        </w:rPr>
        <w:softHyphen/>
        <w:t>не перевооружение завершилось в 1946 г., когда ими там укомплектовали все три минно-торпедных полка. Некоторые части осваивали «Бостоны» и позднее. Одна из эскадрилий 574-го орап на Севере нача</w:t>
      </w:r>
      <w:r w:rsidRPr="00925F26">
        <w:rPr>
          <w:color w:val="000000" w:themeColor="text1"/>
          <w:sz w:val="16"/>
          <w:szCs w:val="16"/>
        </w:rPr>
        <w:softHyphen/>
        <w:t>ла переучиваться на A-20G с июля 1946 г. На Северном флоте и на Балтике A-20G встречались еще в 50-х годах (23513).</w:t>
      </w:r>
    </w:p>
    <w:p w14:paraId="7B4790CB" w14:textId="77777777" w:rsidR="007C455A" w:rsidRPr="00925F26" w:rsidRDefault="007C455A" w:rsidP="00925F26">
      <w:pPr>
        <w:jc w:val="both"/>
        <w:rPr>
          <w:color w:val="000000" w:themeColor="text1"/>
          <w:sz w:val="16"/>
          <w:szCs w:val="16"/>
        </w:rPr>
      </w:pPr>
    </w:p>
    <w:p w14:paraId="42CEA7D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 весны 1945 года в ВВС начался процесс замены Boston A-20G на отечественные Ту-2, превосходившие их по дальности, потолку и бомбовой нагрузке. Часть машин вернули американцам или уничтожили под их контролем в 1946-1947 годах. Но далеко не все. "Бостоны" еще довольно долго служили в морской авиации. На Северном флоте и на Балтике А-20С встречались еще в 50-х годах, 9-й гвардейский минно-торпедный полк, уже летал на реактивных Ту-14, до 1954 года сохранял законсервированный комплект "Бостонов". Немало самолетов переделали в буксировщики мишеней для воздушной стрельбы и тренировки зенитчиков. Кое-где "Бостоны" до 1948-1950 годов использовали для вспомогательных целей - аэрофотосъемки, связи и т.н. Например, А-20С-31-1)0, оснащенные нашей фотоаппаратурой и без вооружения, в 1946-1949 годах летали в Прибалтике в 5-й отдельной аэрофотосъемочной эскадрилье. Несколько подобным образом оборудованных самолетов попало и в гражданскую авиацию. A-20G с пассажирским салоном, сделанным на месте кабины радиста, эксплуатировался в ЦАГИ. Всею американские заводы изготовили 7385 самолетов разных модификации. 3128 из них отправили в Советский Союз (3066-из США и 57-из Англии: дошло до места в общей сложности 2771) (3457,111).</w:t>
      </w:r>
    </w:p>
    <w:p w14:paraId="0D0A458B" w14:textId="77777777" w:rsidR="00665165" w:rsidRPr="00925F26" w:rsidRDefault="00665165" w:rsidP="00925F26">
      <w:pPr>
        <w:autoSpaceDE w:val="0"/>
        <w:autoSpaceDN w:val="0"/>
        <w:adjustRightInd w:val="0"/>
        <w:jc w:val="both"/>
        <w:rPr>
          <w:color w:val="000000" w:themeColor="text1"/>
          <w:sz w:val="16"/>
          <w:szCs w:val="16"/>
        </w:rPr>
      </w:pPr>
    </w:p>
    <w:p w14:paraId="5E1A95D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на территории СССР на Дальнем Востоке совершили вынужденные посадки несколько Б-29 (88,188).</w:t>
      </w:r>
    </w:p>
    <w:p w14:paraId="3CF29F90" w14:textId="77777777" w:rsidR="00665165" w:rsidRPr="00925F26" w:rsidRDefault="00665165" w:rsidP="00925F26">
      <w:pPr>
        <w:autoSpaceDE w:val="0"/>
        <w:autoSpaceDN w:val="0"/>
        <w:adjustRightInd w:val="0"/>
        <w:jc w:val="both"/>
        <w:rPr>
          <w:color w:val="000000" w:themeColor="text1"/>
          <w:sz w:val="16"/>
          <w:szCs w:val="16"/>
        </w:rPr>
      </w:pPr>
    </w:p>
    <w:p w14:paraId="42E01DF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планерист А.И.Пьецух, который потом построил дом из бутылок, попавший в стройбат за мертвую петлю на Ил-4 и воевавший на По-2, собрал вместе с сослуживцами из нескольких распатроненных машин Ме-410 один летный экз., прилетел на нем в Москву и в июне машина прошла испытания (2961,46).</w:t>
      </w:r>
    </w:p>
    <w:p w14:paraId="2AEA97F3" w14:textId="77777777" w:rsidR="00665165" w:rsidRPr="00925F26" w:rsidRDefault="00665165" w:rsidP="00925F26">
      <w:pPr>
        <w:autoSpaceDE w:val="0"/>
        <w:autoSpaceDN w:val="0"/>
        <w:adjustRightInd w:val="0"/>
        <w:jc w:val="both"/>
        <w:rPr>
          <w:color w:val="000000" w:themeColor="text1"/>
          <w:sz w:val="16"/>
          <w:szCs w:val="16"/>
        </w:rPr>
      </w:pPr>
    </w:p>
    <w:p w14:paraId="04D40B7D"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 1945 г., возникла проблема взаимного опознавания боевой техники между советскими и англо-американскими войсками, также ведущими боевые действия на территории Германии. Было принято реше</w:t>
      </w:r>
      <w:r w:rsidRPr="00925F26">
        <w:rPr>
          <w:color w:val="000000" w:themeColor="text1"/>
          <w:sz w:val="16"/>
          <w:szCs w:val="16"/>
        </w:rPr>
        <w:softHyphen/>
        <w:t>ние для взаимоопознавания на советские танки по периметру башни на</w:t>
      </w:r>
      <w:r w:rsidRPr="00925F26">
        <w:rPr>
          <w:color w:val="000000" w:themeColor="text1"/>
          <w:sz w:val="16"/>
          <w:szCs w:val="16"/>
        </w:rPr>
        <w:softHyphen/>
        <w:t>носить одну, а на танки союзников - две белые полосы. На крышах ба</w:t>
      </w:r>
      <w:r w:rsidRPr="00925F26">
        <w:rPr>
          <w:color w:val="000000" w:themeColor="text1"/>
          <w:sz w:val="16"/>
          <w:szCs w:val="16"/>
        </w:rPr>
        <w:softHyphen/>
        <w:t>шен также наносились перекрещенные белые полосы. Однако вскоре союзники отказались от этой системы опознавания с воздуха и исполь</w:t>
      </w:r>
      <w:r w:rsidRPr="00925F26">
        <w:rPr>
          <w:color w:val="000000" w:themeColor="text1"/>
          <w:sz w:val="16"/>
          <w:szCs w:val="16"/>
        </w:rPr>
        <w:softHyphen/>
        <w:t>зовали для этой цели красно-желтые флюоресцирующие панели с дуб</w:t>
      </w:r>
      <w:r w:rsidRPr="00925F26">
        <w:rPr>
          <w:color w:val="000000" w:themeColor="text1"/>
          <w:sz w:val="16"/>
          <w:szCs w:val="16"/>
        </w:rPr>
        <w:softHyphen/>
        <w:t>лированием их белой звездой - американским опознавательным зна</w:t>
      </w:r>
      <w:r w:rsidRPr="00925F26">
        <w:rPr>
          <w:color w:val="000000" w:themeColor="text1"/>
          <w:sz w:val="16"/>
          <w:szCs w:val="16"/>
        </w:rPr>
        <w:softHyphen/>
        <w:t>ком, который был принят на Западе в качестве основного для всех войск антигитлеровской коалиции. В советских танковых частях и соединени</w:t>
      </w:r>
      <w:r w:rsidRPr="00925F26">
        <w:rPr>
          <w:color w:val="000000" w:themeColor="text1"/>
          <w:sz w:val="16"/>
          <w:szCs w:val="16"/>
        </w:rPr>
        <w:softHyphen/>
        <w:t>ях белые полосы наносились только на боевые машины, участвовавшие в Берлинской операции. В связи с использованием немцами аналогич</w:t>
      </w:r>
      <w:r w:rsidRPr="00925F26">
        <w:rPr>
          <w:color w:val="000000" w:themeColor="text1"/>
          <w:sz w:val="16"/>
          <w:szCs w:val="16"/>
        </w:rPr>
        <w:softHyphen/>
        <w:t>ных опознавательных знаков для исключения нанесения авиаударов со</w:t>
      </w:r>
      <w:r w:rsidRPr="00925F26">
        <w:rPr>
          <w:color w:val="000000" w:themeColor="text1"/>
          <w:sz w:val="16"/>
          <w:szCs w:val="16"/>
        </w:rPr>
        <w:softHyphen/>
        <w:t>ветской авиации по своим войскам, на советских танках помимо выше</w:t>
      </w:r>
      <w:r w:rsidRPr="00925F26">
        <w:rPr>
          <w:color w:val="000000" w:themeColor="text1"/>
          <w:sz w:val="16"/>
          <w:szCs w:val="16"/>
        </w:rPr>
        <w:softHyphen/>
        <w:t>названных белых полос стали дополнительно наносить и белые треу</w:t>
      </w:r>
      <w:r w:rsidRPr="00925F26">
        <w:rPr>
          <w:color w:val="000000" w:themeColor="text1"/>
          <w:sz w:val="16"/>
          <w:szCs w:val="16"/>
        </w:rPr>
        <w:softHyphen/>
        <w:t>гольники. Помимо тактических знаков и обозначений в годы Великой Отече</w:t>
      </w:r>
      <w:r w:rsidRPr="00925F26">
        <w:rPr>
          <w:color w:val="000000" w:themeColor="text1"/>
          <w:sz w:val="16"/>
          <w:szCs w:val="16"/>
        </w:rPr>
        <w:softHyphen/>
        <w:t>ственной войны на советских бронированных машинах наносились над</w:t>
      </w:r>
      <w:r w:rsidRPr="00925F26">
        <w:rPr>
          <w:color w:val="000000" w:themeColor="text1"/>
          <w:sz w:val="16"/>
          <w:szCs w:val="16"/>
        </w:rPr>
        <w:softHyphen/>
        <w:t>писи, содержавшие патриотические лозунги, персональные названия боевых машин, названия танковых колонн, сформированных на средст</w:t>
      </w:r>
      <w:r w:rsidRPr="00925F26">
        <w:rPr>
          <w:color w:val="000000" w:themeColor="text1"/>
          <w:sz w:val="16"/>
          <w:szCs w:val="16"/>
        </w:rPr>
        <w:softHyphen/>
        <w:t>ва различных организаций, отдельных боевых машин, купленных на личные сбережения граждан СССР и переданных в действующие части. Например, "Хобаровский комсомолец", "Боевая подруга", "Дмитрий Донской", "Трудовые резервы - фронту", "Воронежский колхозник", "Дзержинец", "Московский пионер", "Школьник Свердловска", "Таня", "Грозный", "Беспощадный", "Владимир Маяковский", "За Советскую Белоруссию", "Орловский партизан", "Суворов", "За Сталина", "За Ро</w:t>
      </w:r>
      <w:r w:rsidRPr="00925F26">
        <w:rPr>
          <w:color w:val="000000" w:themeColor="text1"/>
          <w:sz w:val="16"/>
          <w:szCs w:val="16"/>
        </w:rPr>
        <w:softHyphen/>
        <w:t>дину", "Мститель", "Бей фашистов!", "Победа будет за нами". С окончанием Великой Отечественной войны и войны с Японией все названия танковых колонн, личностные названия и лозунги нане</w:t>
      </w:r>
      <w:r w:rsidRPr="00925F26">
        <w:rPr>
          <w:color w:val="000000" w:themeColor="text1"/>
          <w:sz w:val="16"/>
          <w:szCs w:val="16"/>
        </w:rPr>
        <w:softHyphen/>
        <w:t>сенные на боевых машинах были закрашены в связи с окраской их в од</w:t>
      </w:r>
      <w:r w:rsidRPr="00925F26">
        <w:rPr>
          <w:color w:val="000000" w:themeColor="text1"/>
          <w:sz w:val="16"/>
          <w:szCs w:val="16"/>
        </w:rPr>
        <w:softHyphen/>
        <w:t>нотонный защитный цвет хакки, а обозначение (нумерация) машин бы</w:t>
      </w:r>
      <w:r w:rsidRPr="00925F26">
        <w:rPr>
          <w:color w:val="000000" w:themeColor="text1"/>
          <w:sz w:val="16"/>
          <w:szCs w:val="16"/>
        </w:rPr>
        <w:softHyphen/>
        <w:t>ло приведено в соответствие с требованиями Боевого устава бронетан</w:t>
      </w:r>
      <w:r w:rsidRPr="00925F26">
        <w:rPr>
          <w:color w:val="000000" w:themeColor="text1"/>
          <w:sz w:val="16"/>
          <w:szCs w:val="16"/>
        </w:rPr>
        <w:softHyphen/>
        <w:t>ковых и механизированных войск Красной Армии 1944 г. (10703).</w:t>
      </w:r>
    </w:p>
    <w:p w14:paraId="55C97574"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2CABC21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5441320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642A5D83"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4852524A"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192BC9B6"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3FE60304"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760E774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240211C5"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7E707087"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A99F390"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Германские ударные управляемые средства...</w:t>
      </w:r>
    </w:p>
    <w:p w14:paraId="3F21B3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AEA6DF2"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5E88A61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3B59B8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7C07B3AE"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4E85085B"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609E657F"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37A89C31"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5A7CE295" w14:textId="77777777" w:rsidR="00665165" w:rsidRPr="00925F26" w:rsidRDefault="00665165" w:rsidP="00925F26">
      <w:pPr>
        <w:autoSpaceDE w:val="0"/>
        <w:autoSpaceDN w:val="0"/>
        <w:adjustRightInd w:val="0"/>
        <w:jc w:val="both"/>
        <w:rPr>
          <w:color w:val="000000" w:themeColor="text1"/>
          <w:sz w:val="16"/>
          <w:szCs w:val="16"/>
        </w:rPr>
      </w:pPr>
    </w:p>
    <w:p w14:paraId="040D65B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г. 5 СБ числилось в Энгельской Высшей авиашколе пилотов (ВАШП) Приволжского военного круга. В середине лета именно эта пятерка перелетела в Москву для проведения большого авиационного парада, назначенного на 19 августа 1945 г. Парад этот не состоялся по причине сильных дождей и низкой облачности, не превышающей 200 метров (12027).</w:t>
      </w:r>
    </w:p>
    <w:p w14:paraId="1103F36D" w14:textId="77777777" w:rsidR="00665165" w:rsidRPr="00925F26" w:rsidRDefault="00665165" w:rsidP="00925F26">
      <w:pPr>
        <w:autoSpaceDE w:val="0"/>
        <w:autoSpaceDN w:val="0"/>
        <w:adjustRightInd w:val="0"/>
        <w:jc w:val="both"/>
        <w:rPr>
          <w:color w:val="000000" w:themeColor="text1"/>
          <w:sz w:val="16"/>
          <w:szCs w:val="16"/>
        </w:rPr>
      </w:pPr>
    </w:p>
    <w:p w14:paraId="5F9E5D2F"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969C3F1" w14:textId="77777777" w:rsidR="00665165" w:rsidRPr="00925F26" w:rsidRDefault="00665165" w:rsidP="00925F26">
      <w:pPr>
        <w:autoSpaceDE w:val="0"/>
        <w:autoSpaceDN w:val="0"/>
        <w:adjustRightInd w:val="0"/>
        <w:jc w:val="both"/>
        <w:rPr>
          <w:iCs/>
          <w:color w:val="000000" w:themeColor="text1"/>
          <w:sz w:val="16"/>
          <w:szCs w:val="16"/>
        </w:rPr>
      </w:pPr>
    </w:p>
    <w:p w14:paraId="0C332FC1" w14:textId="77777777" w:rsidR="00A92FC9" w:rsidRPr="00925F26" w:rsidRDefault="00A92FC9" w:rsidP="00925F26">
      <w:pPr>
        <w:jc w:val="both"/>
        <w:rPr>
          <w:color w:val="000000" w:themeColor="text1"/>
          <w:sz w:val="16"/>
          <w:szCs w:val="16"/>
        </w:rPr>
      </w:pPr>
      <w:r w:rsidRPr="00925F26">
        <w:rPr>
          <w:color w:val="000000" w:themeColor="text1"/>
          <w:sz w:val="16"/>
          <w:szCs w:val="16"/>
        </w:rPr>
        <w:t>Весной 1945 года состоялись последние удары крылатых ракет по Лондону. На этот раз Fi-103 запускали с борта бомбардировщиков He-111. Авиационный вариант крылатой ракеты отличался большей дальностью полета, достигнутой за счет уменьшения боеголовки и увеличения емкости топливного бака. При сбросе с бомбардировщика ракета могла преодолеть 400 км. Было запущено 275 ракет. Почти все ракеты удалось сбить (22878).</w:t>
      </w:r>
    </w:p>
    <w:p w14:paraId="22BBB4B0" w14:textId="77777777" w:rsidR="00A92FC9" w:rsidRPr="00925F26" w:rsidRDefault="00A92FC9" w:rsidP="00925F26">
      <w:pPr>
        <w:jc w:val="both"/>
        <w:rPr>
          <w:color w:val="000000" w:themeColor="text1"/>
          <w:sz w:val="16"/>
          <w:szCs w:val="16"/>
        </w:rPr>
      </w:pPr>
    </w:p>
    <w:p w14:paraId="498ED5A8" w14:textId="77777777" w:rsidR="00665165" w:rsidRPr="00925F26" w:rsidRDefault="00665165" w:rsidP="00925F26">
      <w:pPr>
        <w:autoSpaceDE w:val="0"/>
        <w:autoSpaceDN w:val="0"/>
        <w:adjustRightInd w:val="0"/>
        <w:jc w:val="both"/>
        <w:rPr>
          <w:color w:val="000000" w:themeColor="text1"/>
          <w:sz w:val="16"/>
          <w:szCs w:val="16"/>
        </w:rPr>
      </w:pPr>
      <w:r w:rsidRPr="00925F26">
        <w:rPr>
          <w:color w:val="000000" w:themeColor="text1"/>
          <w:sz w:val="16"/>
          <w:szCs w:val="16"/>
        </w:rPr>
        <w:t>Весной 1945 был изготовлен форсированный двигатель Юмо-004Ф и он потом дорабатывался с нашим участием в Дессау. Этот же двигатель попал и к американцам (1795,75).</w:t>
      </w:r>
    </w:p>
    <w:p w14:paraId="07A77776" w14:textId="77777777" w:rsidR="00665165" w:rsidRPr="00925F26" w:rsidRDefault="00665165" w:rsidP="00925F26">
      <w:pPr>
        <w:autoSpaceDE w:val="0"/>
        <w:autoSpaceDN w:val="0"/>
        <w:adjustRightInd w:val="0"/>
        <w:jc w:val="both"/>
        <w:rPr>
          <w:color w:val="000000" w:themeColor="text1"/>
          <w:sz w:val="16"/>
          <w:szCs w:val="16"/>
        </w:rPr>
      </w:pPr>
    </w:p>
    <w:p w14:paraId="7847DE44" w14:textId="77777777" w:rsidR="00374A7A" w:rsidRPr="00925F26" w:rsidRDefault="00374A7A" w:rsidP="00374A7A">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826C119" w14:textId="77777777" w:rsidR="00374A7A" w:rsidRPr="00925F26" w:rsidRDefault="00374A7A" w:rsidP="00374A7A">
      <w:pPr>
        <w:autoSpaceDE w:val="0"/>
        <w:autoSpaceDN w:val="0"/>
        <w:adjustRightInd w:val="0"/>
        <w:jc w:val="both"/>
        <w:rPr>
          <w:iCs/>
          <w:color w:val="000000" w:themeColor="text1"/>
          <w:sz w:val="16"/>
          <w:szCs w:val="16"/>
        </w:rPr>
      </w:pPr>
    </w:p>
    <w:p w14:paraId="10A235D2" w14:textId="77777777" w:rsidR="004842B7" w:rsidRPr="001A0BAA" w:rsidRDefault="004842B7" w:rsidP="004842B7">
      <w:pPr>
        <w:jc w:val="both"/>
        <w:rPr>
          <w:color w:val="0070C0"/>
          <w:sz w:val="16"/>
          <w:szCs w:val="16"/>
        </w:rPr>
      </w:pPr>
      <w:r w:rsidRPr="001A0BAA">
        <w:rPr>
          <w:color w:val="0070C0"/>
          <w:sz w:val="16"/>
          <w:szCs w:val="16"/>
        </w:rPr>
        <w:t>Весной и летом 1945 года были собраны Як-9У, которык имели летные характеристики, практически совпадающие с полученными во время испытаний: на высоте 5000 м скорость равнялась 672 км/час. Это было следствием возросшего качества производства и улучшенной аэродинамики. Так, например, были установлены специальные замки, которые плотно прижимали щитки стоек шасси к крылу, утолщена с 2 до 3 мм обшивка фюзеляжа.</w:t>
      </w:r>
    </w:p>
    <w:p w14:paraId="39F7656C" w14:textId="77777777" w:rsidR="004842B7" w:rsidRPr="001A0BAA" w:rsidRDefault="004842B7" w:rsidP="004842B7">
      <w:pPr>
        <w:jc w:val="both"/>
        <w:rPr>
          <w:color w:val="0070C0"/>
          <w:sz w:val="16"/>
          <w:szCs w:val="16"/>
        </w:rPr>
      </w:pPr>
      <w:r w:rsidRPr="001A0BAA">
        <w:rPr>
          <w:color w:val="0070C0"/>
          <w:sz w:val="16"/>
          <w:szCs w:val="16"/>
        </w:rPr>
        <w:t>Но, даже летая на самолетах изготовленных летом 1944 года, советские пилоты имели существенное преимущество перед врагом. Во время войсковых испытаний тридцати двух Як</w:t>
      </w:r>
      <w:r w:rsidRPr="001A0BAA">
        <w:rPr>
          <w:color w:val="0070C0"/>
          <w:sz w:val="16"/>
          <w:szCs w:val="16"/>
        </w:rPr>
        <w:noBreakHyphen/>
        <w:t>9У, проведенных в 163 ИАП из 3</w:t>
      </w:r>
      <w:r w:rsidRPr="001A0BAA">
        <w:rPr>
          <w:color w:val="0070C0"/>
          <w:sz w:val="16"/>
          <w:szCs w:val="16"/>
        </w:rPr>
        <w:noBreakHyphen/>
        <w:t>й Воздушной армии, советские летчики сбили на них 27 FW</w:t>
      </w:r>
      <w:r w:rsidRPr="001A0BAA">
        <w:rPr>
          <w:color w:val="0070C0"/>
          <w:sz w:val="16"/>
          <w:szCs w:val="16"/>
        </w:rPr>
        <w:noBreakHyphen/>
        <w:t>190 и один Bf</w:t>
      </w:r>
      <w:r w:rsidRPr="001A0BAA">
        <w:rPr>
          <w:color w:val="0070C0"/>
          <w:sz w:val="16"/>
          <w:szCs w:val="16"/>
        </w:rPr>
        <w:noBreakHyphen/>
        <w:t>109G, потеряв при этом два самолета и одного пилота. Подчеркнем, что модификация «У» была со всех точек зрения лучше, чем FW</w:t>
      </w:r>
      <w:r w:rsidRPr="001A0BAA">
        <w:rPr>
          <w:color w:val="0070C0"/>
          <w:sz w:val="16"/>
          <w:szCs w:val="16"/>
        </w:rPr>
        <w:noBreakHyphen/>
        <w:t>190. Особенной похвалы заслуживала скорость вертикального маневра.</w:t>
      </w:r>
    </w:p>
    <w:p w14:paraId="62FAB98C" w14:textId="77777777" w:rsidR="004842B7" w:rsidRPr="001A0BAA" w:rsidRDefault="004842B7" w:rsidP="004842B7">
      <w:pPr>
        <w:jc w:val="both"/>
        <w:rPr>
          <w:color w:val="0070C0"/>
          <w:sz w:val="16"/>
          <w:szCs w:val="16"/>
        </w:rPr>
      </w:pPr>
      <w:r w:rsidRPr="001A0BAA">
        <w:rPr>
          <w:color w:val="0070C0"/>
          <w:sz w:val="16"/>
          <w:szCs w:val="16"/>
        </w:rPr>
        <w:t>Як</w:t>
      </w:r>
      <w:r w:rsidRPr="001A0BAA">
        <w:rPr>
          <w:color w:val="0070C0"/>
          <w:sz w:val="16"/>
          <w:szCs w:val="16"/>
        </w:rPr>
        <w:noBreakHyphen/>
        <w:t>9У был самолетом приятным в пилотировании и летать на нем могли пилоты средней квалификации (часто задумываемся, что значит «пилот средней квалификации»? – Анализ литературы позволяет сделать вывод, что речь идет о молодых пилотах, не имеющих еще боевых вылетов). Машина прощала значительные ошибки в управлении, не существовало проблемы штопора. Шасси было настолько мощным, что даже сильный удар о землю либо крутые повороты при рулежке не приводили к авариям.</w:t>
      </w:r>
    </w:p>
    <w:p w14:paraId="47AD1D7B" w14:textId="77777777" w:rsidR="004842B7" w:rsidRPr="001A0BAA" w:rsidRDefault="004842B7" w:rsidP="004842B7">
      <w:pPr>
        <w:jc w:val="both"/>
        <w:rPr>
          <w:color w:val="0070C0"/>
          <w:sz w:val="16"/>
          <w:szCs w:val="16"/>
        </w:rPr>
      </w:pPr>
      <w:r w:rsidRPr="001A0BAA">
        <w:rPr>
          <w:color w:val="0070C0"/>
          <w:sz w:val="16"/>
          <w:szCs w:val="16"/>
        </w:rPr>
        <w:t>Механики знакомые с двигателем ВК</w:t>
      </w:r>
      <w:r w:rsidRPr="001A0BAA">
        <w:rPr>
          <w:color w:val="0070C0"/>
          <w:sz w:val="16"/>
          <w:szCs w:val="16"/>
        </w:rPr>
        <w:noBreakHyphen/>
        <w:t>105, довольно легко осваивали эксплуатацию ВК</w:t>
      </w:r>
      <w:r w:rsidRPr="001A0BAA">
        <w:rPr>
          <w:color w:val="0070C0"/>
          <w:sz w:val="16"/>
          <w:szCs w:val="16"/>
        </w:rPr>
        <w:noBreakHyphen/>
        <w:t>107А, хотя это была практически новая конструкция.</w:t>
      </w:r>
    </w:p>
    <w:p w14:paraId="5750C78E" w14:textId="77777777" w:rsidR="004842B7" w:rsidRPr="001A0BAA" w:rsidRDefault="004842B7" w:rsidP="004842B7">
      <w:pPr>
        <w:jc w:val="both"/>
        <w:rPr>
          <w:color w:val="0070C0"/>
          <w:sz w:val="16"/>
          <w:szCs w:val="16"/>
        </w:rPr>
      </w:pPr>
      <w:r w:rsidRPr="001A0BAA">
        <w:rPr>
          <w:color w:val="0070C0"/>
          <w:sz w:val="16"/>
          <w:szCs w:val="16"/>
        </w:rPr>
        <w:t>В тот период, когда Як</w:t>
      </w:r>
      <w:r w:rsidRPr="001A0BAA">
        <w:rPr>
          <w:color w:val="0070C0"/>
          <w:sz w:val="16"/>
          <w:szCs w:val="16"/>
        </w:rPr>
        <w:noBreakHyphen/>
        <w:t>9У начал поступать на вооружение, советским ВВС противостояли в основном одномоторные машины Люфтваффе, поэтому вооружение из пушки и двух пулеметов оказалось вполне достаточным для ведения воздушных боев. В целом Як</w:t>
      </w:r>
      <w:r w:rsidRPr="001A0BAA">
        <w:rPr>
          <w:color w:val="0070C0"/>
          <w:sz w:val="16"/>
          <w:szCs w:val="16"/>
        </w:rPr>
        <w:noBreakHyphen/>
        <w:t>9У получился отличным самолетом, очень близким по своим характеристикам к Як</w:t>
      </w:r>
      <w:r w:rsidRPr="001A0BAA">
        <w:rPr>
          <w:color w:val="0070C0"/>
          <w:sz w:val="16"/>
          <w:szCs w:val="16"/>
        </w:rPr>
        <w:noBreakHyphen/>
        <w:t>3.</w:t>
      </w:r>
    </w:p>
    <w:p w14:paraId="5104848D" w14:textId="77777777" w:rsidR="004842B7" w:rsidRPr="001A0BAA" w:rsidRDefault="004842B7" w:rsidP="004842B7">
      <w:pPr>
        <w:jc w:val="both"/>
        <w:rPr>
          <w:color w:val="0070C0"/>
          <w:sz w:val="16"/>
          <w:szCs w:val="16"/>
        </w:rPr>
      </w:pPr>
      <w:r w:rsidRPr="001A0BAA">
        <w:rPr>
          <w:color w:val="0070C0"/>
          <w:sz w:val="16"/>
          <w:szCs w:val="16"/>
        </w:rPr>
        <w:t>Тем не менее до самого конца карьеры его ахиллесовой пятой оставался капризный двигатель ВК</w:t>
      </w:r>
      <w:r w:rsidRPr="001A0BAA">
        <w:rPr>
          <w:color w:val="0070C0"/>
          <w:sz w:val="16"/>
          <w:szCs w:val="16"/>
        </w:rPr>
        <w:noBreakHyphen/>
        <w:t>107А, который не позволял полностью использовать возможности самолета. В период с апреля 1944 года по август 1945 года было построено 3921 Як</w:t>
      </w:r>
      <w:r w:rsidRPr="001A0BAA">
        <w:rPr>
          <w:color w:val="0070C0"/>
          <w:sz w:val="16"/>
          <w:szCs w:val="16"/>
        </w:rPr>
        <w:noBreakHyphen/>
        <w:t>9У (25077).</w:t>
      </w:r>
    </w:p>
    <w:p w14:paraId="355DF9A1" w14:textId="77777777" w:rsidR="004842B7" w:rsidRPr="001A0BAA" w:rsidRDefault="004842B7" w:rsidP="004842B7">
      <w:pPr>
        <w:jc w:val="both"/>
        <w:rPr>
          <w:color w:val="0070C0"/>
          <w:sz w:val="16"/>
          <w:szCs w:val="16"/>
        </w:rPr>
      </w:pPr>
    </w:p>
    <w:p w14:paraId="3E9E8CC9" w14:textId="77777777" w:rsidR="0066516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38BC738" w14:textId="77777777" w:rsidR="00665165" w:rsidRPr="00925F26" w:rsidRDefault="00665165" w:rsidP="00925F26">
      <w:pPr>
        <w:autoSpaceDE w:val="0"/>
        <w:autoSpaceDN w:val="0"/>
        <w:adjustRightInd w:val="0"/>
        <w:jc w:val="both"/>
        <w:rPr>
          <w:iCs/>
          <w:color w:val="000000" w:themeColor="text1"/>
          <w:sz w:val="16"/>
          <w:szCs w:val="16"/>
        </w:rPr>
      </w:pPr>
    </w:p>
    <w:p w14:paraId="0466A523"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Весной-ле</w:t>
      </w:r>
      <w:r w:rsidRPr="00925F26">
        <w:rPr>
          <w:color w:val="000000" w:themeColor="text1"/>
          <w:sz w:val="16"/>
          <w:szCs w:val="16"/>
        </w:rPr>
        <w:softHyphen/>
        <w:t>том 1945 г. в КБ завода № 183 были проведены опытные работы по усилению огневой мощи танка Т-44. Они были вызваны уже проведенными испытаниями танка «ездя</w:t>
      </w:r>
      <w:r w:rsidRPr="00925F26">
        <w:rPr>
          <w:color w:val="000000" w:themeColor="text1"/>
          <w:sz w:val="16"/>
          <w:szCs w:val="16"/>
        </w:rPr>
        <w:softHyphen/>
        <w:t>щей лаборатории» - Т-34-100, вооруженного пушками Д-10, ЗИС-100 и ЛБ-1. Первый опытный Т-44- 100 полу</w:t>
      </w:r>
      <w:r w:rsidRPr="00925F26">
        <w:rPr>
          <w:color w:val="000000" w:themeColor="text1"/>
          <w:sz w:val="16"/>
          <w:szCs w:val="16"/>
        </w:rPr>
        <w:softHyphen/>
        <w:t>чил орудие Д-10Т КБ Ф. Петрова. Несмотря на отрица</w:t>
      </w:r>
      <w:r w:rsidRPr="00925F26">
        <w:rPr>
          <w:color w:val="000000" w:themeColor="text1"/>
          <w:sz w:val="16"/>
          <w:szCs w:val="16"/>
        </w:rPr>
        <w:softHyphen/>
        <w:t>тельный результат подобного действа с Т-34, Т-44, по мнению военных, мог рассчитывать на успех, так как танк имел более низкую линию огня. Но испытания Т-44- 100 с орудием Д-10 также закончилось неудачно. Танк, подобно Т-34-100, раскачивался при выстрелах, сбивая наводку; после интенсивных стрельб башенный погон получил не</w:t>
      </w:r>
      <w:r w:rsidRPr="00925F26">
        <w:rPr>
          <w:color w:val="000000" w:themeColor="text1"/>
          <w:sz w:val="16"/>
          <w:szCs w:val="16"/>
        </w:rPr>
        <w:softHyphen/>
        <w:t>большой люфт, не удавалось нормально уравновесить орудие в цапфах. Несколько позднее на испытания вышел Т-44- 100, вооруженный орудием ЛБ-1 с зенитной пуле</w:t>
      </w:r>
      <w:r w:rsidRPr="00925F26">
        <w:rPr>
          <w:color w:val="000000" w:themeColor="text1"/>
          <w:sz w:val="16"/>
          <w:szCs w:val="16"/>
        </w:rPr>
        <w:softHyphen/>
        <w:t>метной турелью для ДШКТ и навесными бортовыми про тивокумулятивными экранами по типу установленных на немецких танках РгКргIII и РгКргIV. Испытания тан</w:t>
      </w:r>
      <w:r w:rsidRPr="00925F26">
        <w:rPr>
          <w:color w:val="000000" w:themeColor="text1"/>
          <w:sz w:val="16"/>
          <w:szCs w:val="16"/>
        </w:rPr>
        <w:softHyphen/>
        <w:t>ка закончились в целом успешно, но впечатление о нем портило наличие на стволе орудия дульного тормоза.</w:t>
      </w:r>
    </w:p>
    <w:p w14:paraId="70D9D181" w14:textId="77777777" w:rsidR="00665165" w:rsidRPr="00925F26" w:rsidRDefault="00665165"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Таким образом, чуда не произошло, и ни один из тан</w:t>
      </w:r>
      <w:r w:rsidRPr="00925F26">
        <w:rPr>
          <w:color w:val="000000" w:themeColor="text1"/>
          <w:sz w:val="16"/>
          <w:szCs w:val="16"/>
        </w:rPr>
        <w:softHyphen/>
        <w:t>ков типа Т-34-100 и Т-44-100 допущен до государственных испытаний не был... Но результаты испытаний башни Т-44В на шасси Т-34 очень пригодились при рождении следу</w:t>
      </w:r>
      <w:r w:rsidRPr="00925F26">
        <w:rPr>
          <w:color w:val="000000" w:themeColor="text1"/>
          <w:sz w:val="16"/>
          <w:szCs w:val="16"/>
        </w:rPr>
        <w:softHyphen/>
        <w:t>ющей машины (11135).</w:t>
      </w:r>
    </w:p>
    <w:p w14:paraId="6F473EFE" w14:textId="77777777" w:rsidR="00665165" w:rsidRPr="00925F26" w:rsidRDefault="00665165" w:rsidP="00925F26">
      <w:pPr>
        <w:shd w:val="clear" w:color="auto" w:fill="FFFFFF"/>
        <w:autoSpaceDE w:val="0"/>
        <w:autoSpaceDN w:val="0"/>
        <w:adjustRightInd w:val="0"/>
        <w:jc w:val="both"/>
        <w:rPr>
          <w:color w:val="000000" w:themeColor="text1"/>
          <w:sz w:val="16"/>
          <w:szCs w:val="16"/>
        </w:rPr>
      </w:pPr>
    </w:p>
    <w:p w14:paraId="1B487D4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6FBC385" w14:textId="77777777" w:rsidR="006103B3" w:rsidRPr="00925F26" w:rsidRDefault="006103B3" w:rsidP="00925F26">
      <w:pPr>
        <w:autoSpaceDE w:val="0"/>
        <w:autoSpaceDN w:val="0"/>
        <w:adjustRightInd w:val="0"/>
        <w:jc w:val="both"/>
        <w:rPr>
          <w:iCs/>
          <w:color w:val="000000" w:themeColor="text1"/>
          <w:sz w:val="16"/>
          <w:szCs w:val="16"/>
        </w:rPr>
      </w:pPr>
    </w:p>
    <w:p w14:paraId="4388A94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первые месяцы 1945 г. ГМЗ работал вполне удачно, невзи</w:t>
      </w:r>
      <w:r w:rsidRPr="00925F26">
        <w:rPr>
          <w:color w:val="000000" w:themeColor="text1"/>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6CD2A1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0F5689" w:rsidRPr="00925F26" w14:paraId="09345172" w14:textId="77777777">
        <w:trPr>
          <w:trHeight w:val="346"/>
        </w:trPr>
        <w:tc>
          <w:tcPr>
            <w:tcW w:w="1325" w:type="dxa"/>
            <w:tcBorders>
              <w:top w:val="single" w:sz="6" w:space="0" w:color="auto"/>
              <w:left w:val="single" w:sz="6" w:space="0" w:color="auto"/>
              <w:bottom w:val="nil"/>
              <w:right w:val="single" w:sz="6" w:space="0" w:color="auto"/>
            </w:tcBorders>
          </w:tcPr>
          <w:p w14:paraId="6793E2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F65E2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72B8E9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AD5F5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gridSpan w:val="2"/>
            <w:tcBorders>
              <w:top w:val="single" w:sz="6" w:space="0" w:color="auto"/>
              <w:left w:val="single" w:sz="6" w:space="0" w:color="auto"/>
              <w:bottom w:val="nil"/>
              <w:right w:val="single" w:sz="6" w:space="0" w:color="auto"/>
            </w:tcBorders>
          </w:tcPr>
          <w:p w14:paraId="3D3468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Фактически</w:t>
            </w:r>
          </w:p>
          <w:p w14:paraId="1E89A4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890" w:type="dxa"/>
            <w:gridSpan w:val="4"/>
            <w:tcBorders>
              <w:top w:val="single" w:sz="6" w:space="0" w:color="auto"/>
              <w:left w:val="single" w:sz="6" w:space="0" w:color="auto"/>
              <w:bottom w:val="nil"/>
              <w:right w:val="single" w:sz="6" w:space="0" w:color="auto"/>
            </w:tcBorders>
          </w:tcPr>
          <w:p w14:paraId="216C35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Поставки по месяцам, шт.</w:t>
            </w:r>
          </w:p>
          <w:p w14:paraId="4F40EF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8244E40" w14:textId="77777777">
        <w:trPr>
          <w:trHeight w:val="202"/>
        </w:trPr>
        <w:tc>
          <w:tcPr>
            <w:tcW w:w="1325" w:type="dxa"/>
            <w:tcBorders>
              <w:top w:val="nil"/>
              <w:left w:val="single" w:sz="6" w:space="0" w:color="auto"/>
              <w:bottom w:val="nil"/>
              <w:right w:val="single" w:sz="6" w:space="0" w:color="auto"/>
            </w:tcBorders>
          </w:tcPr>
          <w:p w14:paraId="372530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w:t>
            </w:r>
          </w:p>
          <w:p w14:paraId="28D0A6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nil"/>
              <w:right w:val="single" w:sz="6" w:space="0" w:color="auto"/>
            </w:tcBorders>
          </w:tcPr>
          <w:p w14:paraId="67837A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w:t>
            </w:r>
          </w:p>
          <w:p w14:paraId="39F46B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gridSpan w:val="2"/>
            <w:tcBorders>
              <w:top w:val="nil"/>
              <w:left w:val="single" w:sz="6" w:space="0" w:color="auto"/>
              <w:bottom w:val="single" w:sz="6" w:space="0" w:color="auto"/>
              <w:right w:val="single" w:sz="6" w:space="0" w:color="auto"/>
            </w:tcBorders>
          </w:tcPr>
          <w:p w14:paraId="70CBAC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поставлено</w:t>
            </w:r>
          </w:p>
          <w:p w14:paraId="5096C6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890" w:type="dxa"/>
            <w:gridSpan w:val="4"/>
            <w:tcBorders>
              <w:top w:val="nil"/>
              <w:left w:val="single" w:sz="6" w:space="0" w:color="auto"/>
              <w:bottom w:val="single" w:sz="6" w:space="0" w:color="auto"/>
              <w:right w:val="single" w:sz="6" w:space="0" w:color="auto"/>
            </w:tcBorders>
          </w:tcPr>
          <w:p w14:paraId="434441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C8793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B61AD92" w14:textId="77777777">
        <w:trPr>
          <w:trHeight w:val="365"/>
        </w:trPr>
        <w:tc>
          <w:tcPr>
            <w:tcW w:w="1325" w:type="dxa"/>
            <w:tcBorders>
              <w:top w:val="nil"/>
              <w:left w:val="single" w:sz="6" w:space="0" w:color="auto"/>
              <w:bottom w:val="single" w:sz="6" w:space="0" w:color="auto"/>
              <w:right w:val="single" w:sz="6" w:space="0" w:color="auto"/>
            </w:tcBorders>
          </w:tcPr>
          <w:p w14:paraId="53DAD1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C9E5D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26E83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54C902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E7E5B0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1076F7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F00FE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43625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C535C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январь</w:t>
            </w:r>
          </w:p>
          <w:p w14:paraId="3504A0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C6A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февраль</w:t>
            </w:r>
          </w:p>
          <w:p w14:paraId="78FFA3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22276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март</w:t>
            </w:r>
          </w:p>
          <w:p w14:paraId="7F20E9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CA6B2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апрель</w:t>
            </w:r>
          </w:p>
          <w:p w14:paraId="1227C9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3F9645B" w14:textId="77777777">
        <w:trPr>
          <w:trHeight w:val="365"/>
        </w:trPr>
        <w:tc>
          <w:tcPr>
            <w:tcW w:w="1325" w:type="dxa"/>
            <w:tcBorders>
              <w:top w:val="single" w:sz="6" w:space="0" w:color="auto"/>
              <w:left w:val="single" w:sz="6" w:space="0" w:color="auto"/>
              <w:bottom w:val="nil"/>
              <w:right w:val="single" w:sz="6" w:space="0" w:color="auto"/>
            </w:tcBorders>
          </w:tcPr>
          <w:p w14:paraId="0D4C686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ГМЗ</w:t>
            </w:r>
          </w:p>
          <w:p w14:paraId="474EBB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3278DC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800</w:t>
            </w:r>
          </w:p>
          <w:p w14:paraId="61C1316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4B909E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670</w:t>
            </w:r>
          </w:p>
          <w:p w14:paraId="061882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7555EF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w:t>
            </w:r>
          </w:p>
          <w:p w14:paraId="7CD6F6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DB9FA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42BFDD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5AFBD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520303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8B387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265</w:t>
            </w:r>
          </w:p>
          <w:p w14:paraId="7A6641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3FF00A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205</w:t>
            </w:r>
          </w:p>
          <w:p w14:paraId="76E255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222D666" w14:textId="77777777">
        <w:trPr>
          <w:trHeight w:val="240"/>
        </w:trPr>
        <w:tc>
          <w:tcPr>
            <w:tcW w:w="1325" w:type="dxa"/>
            <w:tcBorders>
              <w:top w:val="nil"/>
              <w:left w:val="single" w:sz="6" w:space="0" w:color="auto"/>
              <w:bottom w:val="nil"/>
              <w:right w:val="single" w:sz="6" w:space="0" w:color="auto"/>
            </w:tcBorders>
          </w:tcPr>
          <w:p w14:paraId="718BD86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ИМЗ</w:t>
            </w:r>
          </w:p>
          <w:p w14:paraId="1CF94C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nil"/>
              <w:right w:val="single" w:sz="6" w:space="0" w:color="auto"/>
            </w:tcBorders>
          </w:tcPr>
          <w:p w14:paraId="22F0BC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1200</w:t>
            </w:r>
          </w:p>
          <w:p w14:paraId="088314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7A759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925</w:t>
            </w:r>
          </w:p>
          <w:p w14:paraId="5A1404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nil"/>
              <w:right w:val="single" w:sz="6" w:space="0" w:color="auto"/>
            </w:tcBorders>
          </w:tcPr>
          <w:p w14:paraId="4D100C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w:t>
            </w:r>
          </w:p>
          <w:p w14:paraId="7BCB5C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43A479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350</w:t>
            </w:r>
          </w:p>
          <w:p w14:paraId="17C91E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19A1BB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C997D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576371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w:t>
            </w:r>
          </w:p>
          <w:p w14:paraId="1D1377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0EE262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225</w:t>
            </w:r>
          </w:p>
          <w:p w14:paraId="1DE841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C32DD42" w14:textId="77777777">
        <w:trPr>
          <w:trHeight w:val="413"/>
        </w:trPr>
        <w:tc>
          <w:tcPr>
            <w:tcW w:w="1325" w:type="dxa"/>
            <w:tcBorders>
              <w:top w:val="nil"/>
              <w:left w:val="single" w:sz="6" w:space="0" w:color="auto"/>
              <w:bottom w:val="single" w:sz="6" w:space="0" w:color="auto"/>
              <w:right w:val="single" w:sz="6" w:space="0" w:color="auto"/>
            </w:tcBorders>
          </w:tcPr>
          <w:p w14:paraId="3D8805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263AC4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78B44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2000</w:t>
            </w:r>
          </w:p>
          <w:p w14:paraId="74D494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1A428B7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1595</w:t>
            </w:r>
          </w:p>
          <w:p w14:paraId="05ECAB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636C9C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79,8</w:t>
            </w:r>
          </w:p>
          <w:p w14:paraId="58B3FA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B8F8F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450</w:t>
            </w:r>
          </w:p>
          <w:p w14:paraId="1D8198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FBFFB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53151A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B93C5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515</w:t>
            </w:r>
          </w:p>
          <w:p w14:paraId="1F04D7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17BE54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430</w:t>
            </w:r>
          </w:p>
          <w:p w14:paraId="7BBD67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365F06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(11429).</w:t>
      </w:r>
    </w:p>
    <w:p w14:paraId="768F91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CDB60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первые четыре месяца 1945 г. руководство ИМЗ планирова</w:t>
      </w:r>
      <w:r w:rsidRPr="00925F26">
        <w:rPr>
          <w:color w:val="000000" w:themeColor="text1"/>
          <w:sz w:val="16"/>
          <w:szCs w:val="16"/>
        </w:rPr>
        <w:softHyphen/>
        <w:t>ло поставить в Красную Армию 1200 мотоциклов, однако ГБТУ удалось получить лишь 925 машин, или 77% (табл. 25). Причина</w:t>
      </w:r>
      <w:r w:rsidRPr="00925F26">
        <w:rPr>
          <w:color w:val="000000" w:themeColor="text1"/>
          <w:sz w:val="16"/>
          <w:szCs w:val="16"/>
        </w:rPr>
        <w:softHyphen/>
        <w:t>ми невыполнения плана в этот период стала накопившаяся уста</w:t>
      </w:r>
      <w:r w:rsidRPr="00925F26">
        <w:rPr>
          <w:color w:val="000000" w:themeColor="text1"/>
          <w:sz w:val="16"/>
          <w:szCs w:val="16"/>
        </w:rPr>
        <w:softHyphen/>
        <w:t>лость работников и связанные с этим нарушения технологическо</w:t>
      </w:r>
      <w:r w:rsidRPr="00925F26">
        <w:rPr>
          <w:color w:val="000000" w:themeColor="text1"/>
          <w:sz w:val="16"/>
          <w:szCs w:val="16"/>
        </w:rPr>
        <w:softHyphen/>
        <w:t>го процесса. И всё же завод стал работать ритмичней по сравнению с 1944 г., условия труда в новых цехах улучшились [5.87]. На это особенно благоприятно влияло перемещение в новые корпуса ли</w:t>
      </w:r>
      <w:r w:rsidRPr="00925F26">
        <w:rPr>
          <w:color w:val="000000" w:themeColor="text1"/>
          <w:sz w:val="16"/>
          <w:szCs w:val="16"/>
        </w:rPr>
        <w:softHyphen/>
        <w:t>тейного и кузнечного цехов, а также введение в строй первой оче</w:t>
      </w:r>
      <w:r w:rsidRPr="00925F26">
        <w:rPr>
          <w:color w:val="000000" w:themeColor="text1"/>
          <w:sz w:val="16"/>
          <w:szCs w:val="16"/>
        </w:rPr>
        <w:softHyphen/>
        <w:t>реди общезаводской котельной [5.88]. С этого времени ИМЗ обес</w:t>
      </w:r>
      <w:r w:rsidRPr="00925F26">
        <w:rPr>
          <w:color w:val="000000" w:themeColor="text1"/>
          <w:sz w:val="16"/>
          <w:szCs w:val="16"/>
        </w:rPr>
        <w:softHyphen/>
        <w:t>печивали теплом и электричеством в полном объеме (11429).</w:t>
      </w:r>
    </w:p>
    <w:p w14:paraId="0706055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D0827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БТРЗ № 20 за 1942-1945 гг. выпустил более 10 тыс. мо</w:t>
      </w:r>
      <w:r w:rsidRPr="00925F26">
        <w:rPr>
          <w:color w:val="000000" w:themeColor="text1"/>
          <w:sz w:val="16"/>
          <w:szCs w:val="16"/>
        </w:rPr>
        <w:softHyphen/>
        <w:t>тоциклов, среди которых - 351 «Харлей-Дэвидсон», что составило приблизительно 3,5% общего выпуска [5.92]. На БТРЗ № 20 могли бы собирать больше американских мотоциклов, но из-за недоста</w:t>
      </w:r>
      <w:r w:rsidRPr="00925F26">
        <w:rPr>
          <w:color w:val="000000" w:themeColor="text1"/>
          <w:sz w:val="16"/>
          <w:szCs w:val="16"/>
        </w:rPr>
        <w:softHyphen/>
        <w:t>точных поставок колясок, изготавливаемых на ГАЗ, заводу прихо</w:t>
      </w:r>
      <w:r w:rsidRPr="00925F26">
        <w:rPr>
          <w:color w:val="000000" w:themeColor="text1"/>
          <w:sz w:val="16"/>
          <w:szCs w:val="16"/>
        </w:rPr>
        <w:softHyphen/>
        <w:t>дилось в первую очередь восстанавливать М-72 [5.47]. БТРЗ № 20 просуществовал до 1 февраля 1946 г. [5.92]. Основные фонды БТРЗ № 20 и значительную часть сотрудников перевели на БТРЗ № 24 в г. Мытищи Московской области, где освоили ремонт оте</w:t>
      </w:r>
      <w:r w:rsidRPr="00925F26">
        <w:rPr>
          <w:color w:val="000000" w:themeColor="text1"/>
          <w:sz w:val="16"/>
          <w:szCs w:val="16"/>
        </w:rPr>
        <w:softHyphen/>
        <w:t>чественных мотоциклов М-72 (в 1946 г. восстановили 50 М-72), однако в дальнейшем мотоциклы не ремонтировали [5.47].</w:t>
      </w:r>
    </w:p>
    <w:p w14:paraId="0CE184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По надежности и ходовым качествам М-72 уступал мотоциклу «Харлей-Дэвидсон», зато оказался легче в ремонте, особенно в полевых условиях. На М-72 все три колеса были взаимозаменяе</w:t>
      </w:r>
      <w:r w:rsidRPr="00925F26">
        <w:rPr>
          <w:color w:val="000000" w:themeColor="text1"/>
          <w:sz w:val="16"/>
          <w:szCs w:val="16"/>
        </w:rPr>
        <w:softHyphen/>
        <w:t>мыми, а на американском - разные: на мотоцикле - оба американ</w:t>
      </w:r>
      <w:r w:rsidRPr="00925F26">
        <w:rPr>
          <w:color w:val="000000" w:themeColor="text1"/>
          <w:sz w:val="16"/>
          <w:szCs w:val="16"/>
        </w:rPr>
        <w:softHyphen/>
        <w:t>ские невзаимозаменяемые, а на коляске - отечественное от М-72.</w:t>
      </w:r>
    </w:p>
    <w:p w14:paraId="42A2BC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Поставки БТРЗ № 20 собранных мотоциклов Харлей-Дэвидсон</w:t>
      </w:r>
    </w:p>
    <w:tbl>
      <w:tblPr>
        <w:tblW w:w="0" w:type="auto"/>
        <w:tblInd w:w="40" w:type="dxa"/>
        <w:tblLayout w:type="fixed"/>
        <w:tblCellMar>
          <w:left w:w="40" w:type="dxa"/>
          <w:right w:w="40" w:type="dxa"/>
        </w:tblCellMar>
        <w:tblLook w:val="0000" w:firstRow="0" w:lastRow="0" w:firstColumn="0" w:lastColumn="0" w:noHBand="0" w:noVBand="0"/>
      </w:tblPr>
      <w:tblGrid>
        <w:gridCol w:w="730"/>
        <w:gridCol w:w="720"/>
        <w:gridCol w:w="950"/>
        <w:gridCol w:w="739"/>
      </w:tblGrid>
      <w:tr w:rsidR="000F5689" w:rsidRPr="00925F26" w14:paraId="2DEAC73D" w14:textId="77777777">
        <w:trPr>
          <w:trHeight w:val="547"/>
        </w:trPr>
        <w:tc>
          <w:tcPr>
            <w:tcW w:w="730" w:type="dxa"/>
            <w:tcBorders>
              <w:top w:val="single" w:sz="6" w:space="0" w:color="auto"/>
              <w:left w:val="single" w:sz="6" w:space="0" w:color="auto"/>
              <w:bottom w:val="single" w:sz="6" w:space="0" w:color="auto"/>
              <w:right w:val="single" w:sz="6" w:space="0" w:color="auto"/>
            </w:tcBorders>
          </w:tcPr>
          <w:p w14:paraId="782409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w:t>
            </w:r>
          </w:p>
          <w:p w14:paraId="1984B4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30F2A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План,</w:t>
            </w:r>
          </w:p>
          <w:p w14:paraId="47EE14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w:t>
            </w:r>
          </w:p>
          <w:p w14:paraId="13951C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A7489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Факти</w:t>
            </w:r>
            <w:r w:rsidRPr="00925F26">
              <w:rPr>
                <w:color w:val="000000" w:themeColor="text1"/>
                <w:sz w:val="16"/>
                <w:szCs w:val="16"/>
              </w:rPr>
              <w:softHyphen/>
              <w:t>чески, шт.</w:t>
            </w:r>
          </w:p>
          <w:p w14:paraId="43D6D1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340CF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875E5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95BC448" w14:textId="77777777">
        <w:trPr>
          <w:trHeight w:val="566"/>
        </w:trPr>
        <w:tc>
          <w:tcPr>
            <w:tcW w:w="730" w:type="dxa"/>
            <w:tcBorders>
              <w:top w:val="single" w:sz="6" w:space="0" w:color="auto"/>
              <w:left w:val="single" w:sz="6" w:space="0" w:color="auto"/>
              <w:bottom w:val="nil"/>
              <w:right w:val="single" w:sz="6" w:space="0" w:color="auto"/>
            </w:tcBorders>
          </w:tcPr>
          <w:p w14:paraId="22EA4A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1943 </w:t>
            </w:r>
          </w:p>
          <w:p w14:paraId="112D54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13137C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450</w:t>
            </w:r>
          </w:p>
          <w:p w14:paraId="6D8DAB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F065D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295</w:t>
            </w:r>
          </w:p>
          <w:p w14:paraId="6241B8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0E530B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65,6</w:t>
            </w:r>
          </w:p>
          <w:p w14:paraId="22F342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3F7C50E" w14:textId="77777777">
        <w:trPr>
          <w:trHeight w:val="566"/>
        </w:trPr>
        <w:tc>
          <w:tcPr>
            <w:tcW w:w="730" w:type="dxa"/>
            <w:tcBorders>
              <w:top w:val="single" w:sz="6" w:space="0" w:color="auto"/>
              <w:left w:val="single" w:sz="6" w:space="0" w:color="auto"/>
              <w:bottom w:val="nil"/>
              <w:right w:val="single" w:sz="6" w:space="0" w:color="auto"/>
            </w:tcBorders>
          </w:tcPr>
          <w:p w14:paraId="0085E8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w:t>
            </w:r>
          </w:p>
        </w:tc>
        <w:tc>
          <w:tcPr>
            <w:tcW w:w="720" w:type="dxa"/>
            <w:tcBorders>
              <w:top w:val="single" w:sz="6" w:space="0" w:color="auto"/>
              <w:left w:val="single" w:sz="6" w:space="0" w:color="auto"/>
              <w:bottom w:val="nil"/>
              <w:right w:val="single" w:sz="6" w:space="0" w:color="auto"/>
            </w:tcBorders>
          </w:tcPr>
          <w:p w14:paraId="2C42E6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950" w:type="dxa"/>
            <w:tcBorders>
              <w:top w:val="single" w:sz="6" w:space="0" w:color="auto"/>
              <w:left w:val="single" w:sz="6" w:space="0" w:color="auto"/>
              <w:bottom w:val="nil"/>
              <w:right w:val="single" w:sz="6" w:space="0" w:color="auto"/>
            </w:tcBorders>
          </w:tcPr>
          <w:p w14:paraId="1D8678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w:t>
            </w:r>
          </w:p>
        </w:tc>
        <w:tc>
          <w:tcPr>
            <w:tcW w:w="739" w:type="dxa"/>
            <w:tcBorders>
              <w:top w:val="single" w:sz="6" w:space="0" w:color="auto"/>
              <w:left w:val="single" w:sz="6" w:space="0" w:color="auto"/>
              <w:bottom w:val="nil"/>
              <w:right w:val="single" w:sz="6" w:space="0" w:color="auto"/>
            </w:tcBorders>
          </w:tcPr>
          <w:p w14:paraId="4AC934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4875FF9A" w14:textId="77777777">
        <w:trPr>
          <w:trHeight w:val="374"/>
        </w:trPr>
        <w:tc>
          <w:tcPr>
            <w:tcW w:w="730" w:type="dxa"/>
            <w:tcBorders>
              <w:top w:val="nil"/>
              <w:left w:val="single" w:sz="6" w:space="0" w:color="auto"/>
              <w:bottom w:val="single" w:sz="6" w:space="0" w:color="auto"/>
              <w:right w:val="single" w:sz="6" w:space="0" w:color="auto"/>
            </w:tcBorders>
          </w:tcPr>
          <w:p w14:paraId="734F7C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4B5CDA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42780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450</w:t>
            </w:r>
          </w:p>
          <w:p w14:paraId="3A7192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0321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351</w:t>
            </w:r>
          </w:p>
          <w:p w14:paraId="3D1888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713001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78,0</w:t>
            </w:r>
          </w:p>
          <w:p w14:paraId="59C3D2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71DB9F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(11429).</w:t>
      </w:r>
    </w:p>
    <w:p w14:paraId="117347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E9DA0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1943-1945 гг. на ММЗ выполняли сложные многоплановые работы:</w:t>
      </w:r>
    </w:p>
    <w:p w14:paraId="5031CE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крепление мотоколясок к одиночным мотоциклам М-72 и АМ-600, изготовленным на ИМЗ, ГМЗ и ТМЗ;</w:t>
      </w:r>
    </w:p>
    <w:p w14:paraId="21BD7B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ремонт трофейных мотоциклов;</w:t>
      </w:r>
    </w:p>
    <w:p w14:paraId="7D2AD6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изготовление ремкомплектов к М-72 и трофейным мотоци</w:t>
      </w:r>
      <w:r w:rsidRPr="00925F26">
        <w:rPr>
          <w:color w:val="000000" w:themeColor="text1"/>
          <w:sz w:val="16"/>
          <w:szCs w:val="16"/>
        </w:rPr>
        <w:softHyphen/>
        <w:t>клам, а также узлов крепления мотоколясок к трофейным и по</w:t>
      </w:r>
      <w:r w:rsidRPr="00925F26">
        <w:rPr>
          <w:color w:val="000000" w:themeColor="text1"/>
          <w:sz w:val="16"/>
          <w:szCs w:val="16"/>
        </w:rPr>
        <w:softHyphen/>
        <w:t>лучаемым по Ленд-лизу мотоциклам;</w:t>
      </w:r>
    </w:p>
    <w:p w14:paraId="6F70B0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сборка мотоциклов из комплектов, получаемых по Ленд-лизу.</w:t>
      </w:r>
    </w:p>
    <w:p w14:paraId="51395C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Сведения о поставках в Красную Армию мотоциклов, собран</w:t>
      </w:r>
      <w:r w:rsidRPr="00925F26">
        <w:rPr>
          <w:color w:val="000000" w:themeColor="text1"/>
          <w:sz w:val="16"/>
          <w:szCs w:val="16"/>
        </w:rPr>
        <w:softHyphen/>
        <w:t>ных из комплектов, получаемых по Ленд-лизу, приведены в табл. 27 [5.91]. Всего в течение Великой Отечественной войны на ММЗ собрали 14 347 мотоциклов из комплектов, поставлен</w:t>
      </w:r>
      <w:r w:rsidRPr="00925F26">
        <w:rPr>
          <w:color w:val="000000" w:themeColor="text1"/>
          <w:sz w:val="16"/>
          <w:szCs w:val="16"/>
        </w:rPr>
        <w:softHyphen/>
        <w:t>ных союзниками по Ленд-лизу.</w:t>
      </w:r>
    </w:p>
    <w:p w14:paraId="20927E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Таблица 27 Сборка импортных мотоциклов за период 1942-апрель1945г</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40"/>
        <w:gridCol w:w="662"/>
        <w:gridCol w:w="691"/>
        <w:gridCol w:w="701"/>
        <w:gridCol w:w="701"/>
        <w:gridCol w:w="787"/>
      </w:tblGrid>
      <w:tr w:rsidR="000F5689" w:rsidRPr="00925F26" w14:paraId="1B76CF09" w14:textId="77777777">
        <w:trPr>
          <w:trHeight w:val="403"/>
        </w:trPr>
        <w:tc>
          <w:tcPr>
            <w:tcW w:w="1507" w:type="dxa"/>
            <w:tcBorders>
              <w:top w:val="single" w:sz="6" w:space="0" w:color="auto"/>
              <w:left w:val="single" w:sz="6" w:space="0" w:color="auto"/>
              <w:bottom w:val="nil"/>
              <w:right w:val="single" w:sz="6" w:space="0" w:color="auto"/>
            </w:tcBorders>
          </w:tcPr>
          <w:p w14:paraId="2F04E4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Завод</w:t>
            </w:r>
          </w:p>
          <w:p w14:paraId="69B780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FC37B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 мотоцикла</w:t>
            </w:r>
          </w:p>
          <w:p w14:paraId="495455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755" w:type="dxa"/>
            <w:gridSpan w:val="4"/>
            <w:tcBorders>
              <w:top w:val="single" w:sz="6" w:space="0" w:color="auto"/>
              <w:left w:val="single" w:sz="6" w:space="0" w:color="auto"/>
              <w:bottom w:val="single" w:sz="6" w:space="0" w:color="auto"/>
              <w:right w:val="single" w:sz="6" w:space="0" w:color="auto"/>
            </w:tcBorders>
          </w:tcPr>
          <w:p w14:paraId="435B16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Собрано по годам</w:t>
            </w:r>
          </w:p>
          <w:p w14:paraId="188BEC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4B045E0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019711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A9AB74D" w14:textId="77777777">
        <w:trPr>
          <w:trHeight w:val="374"/>
        </w:trPr>
        <w:tc>
          <w:tcPr>
            <w:tcW w:w="1507" w:type="dxa"/>
            <w:tcBorders>
              <w:top w:val="nil"/>
              <w:left w:val="single" w:sz="6" w:space="0" w:color="auto"/>
              <w:bottom w:val="single" w:sz="6" w:space="0" w:color="auto"/>
              <w:right w:val="single" w:sz="6" w:space="0" w:color="auto"/>
            </w:tcBorders>
          </w:tcPr>
          <w:p w14:paraId="37F14A89" w14:textId="77777777" w:rsidR="006103B3" w:rsidRPr="00925F26" w:rsidRDefault="006103B3" w:rsidP="00925F26">
            <w:pPr>
              <w:autoSpaceDE w:val="0"/>
              <w:autoSpaceDN w:val="0"/>
              <w:adjustRightInd w:val="0"/>
              <w:jc w:val="both"/>
              <w:rPr>
                <w:color w:val="000000" w:themeColor="text1"/>
                <w:sz w:val="16"/>
                <w:szCs w:val="16"/>
              </w:rPr>
            </w:pPr>
          </w:p>
          <w:p w14:paraId="3EC54CF0" w14:textId="77777777" w:rsidR="006103B3" w:rsidRPr="00925F26" w:rsidRDefault="006103B3" w:rsidP="00925F26">
            <w:pPr>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2256935" w14:textId="77777777" w:rsidR="006103B3" w:rsidRPr="00925F26" w:rsidRDefault="006103B3" w:rsidP="00925F26">
            <w:pPr>
              <w:autoSpaceDE w:val="0"/>
              <w:autoSpaceDN w:val="0"/>
              <w:adjustRightInd w:val="0"/>
              <w:jc w:val="both"/>
              <w:rPr>
                <w:color w:val="000000" w:themeColor="text1"/>
                <w:sz w:val="16"/>
                <w:szCs w:val="16"/>
              </w:rPr>
            </w:pPr>
          </w:p>
          <w:p w14:paraId="6041DDCF" w14:textId="77777777" w:rsidR="006103B3" w:rsidRPr="00925F26" w:rsidRDefault="006103B3" w:rsidP="00925F26">
            <w:pPr>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9E739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w:t>
            </w:r>
          </w:p>
          <w:p w14:paraId="16A6DA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A153A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w:t>
            </w:r>
          </w:p>
          <w:p w14:paraId="3B75B4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9116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w:t>
            </w:r>
          </w:p>
          <w:p w14:paraId="3207D4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7F76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w:t>
            </w:r>
          </w:p>
          <w:p w14:paraId="41E3FC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6267EC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7E797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B37F6CA" w14:textId="77777777">
        <w:trPr>
          <w:trHeight w:val="365"/>
        </w:trPr>
        <w:tc>
          <w:tcPr>
            <w:tcW w:w="1507" w:type="dxa"/>
            <w:tcBorders>
              <w:top w:val="single" w:sz="6" w:space="0" w:color="auto"/>
              <w:left w:val="single" w:sz="6" w:space="0" w:color="auto"/>
              <w:bottom w:val="nil"/>
              <w:right w:val="single" w:sz="6" w:space="0" w:color="auto"/>
            </w:tcBorders>
          </w:tcPr>
          <w:p w14:paraId="3C76B5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ММЗ</w:t>
            </w:r>
          </w:p>
          <w:p w14:paraId="312A49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E64CB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Индиан с/к</w:t>
            </w:r>
          </w:p>
          <w:p w14:paraId="3BF2B6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nil"/>
              <w:right w:val="single" w:sz="6" w:space="0" w:color="auto"/>
            </w:tcBorders>
          </w:tcPr>
          <w:p w14:paraId="6959B7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31E805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2D3136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1072</w:t>
            </w:r>
          </w:p>
          <w:p w14:paraId="53F427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589D61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28BEB8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37ACEF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0077F6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15467E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1072</w:t>
            </w:r>
          </w:p>
          <w:p w14:paraId="4C6A75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2C055A4" w14:textId="77777777">
        <w:trPr>
          <w:trHeight w:val="221"/>
        </w:trPr>
        <w:tc>
          <w:tcPr>
            <w:tcW w:w="1507" w:type="dxa"/>
            <w:tcBorders>
              <w:top w:val="nil"/>
              <w:left w:val="single" w:sz="6" w:space="0" w:color="auto"/>
              <w:bottom w:val="nil"/>
              <w:right w:val="single" w:sz="6" w:space="0" w:color="auto"/>
            </w:tcBorders>
          </w:tcPr>
          <w:p w14:paraId="1D0363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60252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21A6B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Х/Дс/к</w:t>
            </w:r>
          </w:p>
          <w:p w14:paraId="0A9D7F5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572B8C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CAE0E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7C651D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1817</w:t>
            </w:r>
          </w:p>
          <w:p w14:paraId="4E1EA5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8CA21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6204</w:t>
            </w:r>
          </w:p>
          <w:p w14:paraId="4D7408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777386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1905</w:t>
            </w:r>
          </w:p>
          <w:p w14:paraId="260DEE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7F8B26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9926</w:t>
            </w:r>
          </w:p>
          <w:p w14:paraId="185AE9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4C0AD14" w14:textId="77777777">
        <w:trPr>
          <w:trHeight w:val="221"/>
        </w:trPr>
        <w:tc>
          <w:tcPr>
            <w:tcW w:w="1507" w:type="dxa"/>
            <w:tcBorders>
              <w:top w:val="nil"/>
              <w:left w:val="single" w:sz="6" w:space="0" w:color="auto"/>
              <w:bottom w:val="nil"/>
              <w:right w:val="single" w:sz="6" w:space="0" w:color="auto"/>
            </w:tcBorders>
          </w:tcPr>
          <w:p w14:paraId="57A264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BEBAB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B0E3BC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Индиан б/к</w:t>
            </w:r>
          </w:p>
          <w:p w14:paraId="1C195A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3B0D1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171BE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03A3FD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1415</w:t>
            </w:r>
          </w:p>
          <w:p w14:paraId="453B02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3D4D1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w:t>
            </w:r>
          </w:p>
          <w:p w14:paraId="1679B1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5AC89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7174B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33AFCB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1606</w:t>
            </w:r>
          </w:p>
          <w:p w14:paraId="7A0C4B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AD683F2" w14:textId="77777777">
        <w:trPr>
          <w:trHeight w:val="230"/>
        </w:trPr>
        <w:tc>
          <w:tcPr>
            <w:tcW w:w="1507" w:type="dxa"/>
            <w:tcBorders>
              <w:top w:val="nil"/>
              <w:left w:val="single" w:sz="6" w:space="0" w:color="auto"/>
              <w:bottom w:val="nil"/>
              <w:right w:val="single" w:sz="6" w:space="0" w:color="auto"/>
            </w:tcBorders>
          </w:tcPr>
          <w:p w14:paraId="2EBCA1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596E3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58A926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Х/Дб/к</w:t>
            </w:r>
          </w:p>
          <w:p w14:paraId="6C4681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67F32D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71DB2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9549B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DCE47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7D912F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1345</w:t>
            </w:r>
          </w:p>
          <w:p w14:paraId="45DF0B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8CC70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241</w:t>
            </w:r>
          </w:p>
          <w:p w14:paraId="7606C3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7C780C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1586</w:t>
            </w:r>
          </w:p>
          <w:p w14:paraId="249673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066C6C0" w14:textId="77777777">
        <w:trPr>
          <w:trHeight w:val="202"/>
        </w:trPr>
        <w:tc>
          <w:tcPr>
            <w:tcW w:w="1507" w:type="dxa"/>
            <w:tcBorders>
              <w:top w:val="nil"/>
              <w:left w:val="single" w:sz="6" w:space="0" w:color="auto"/>
              <w:bottom w:val="nil"/>
              <w:right w:val="single" w:sz="6" w:space="0" w:color="auto"/>
            </w:tcBorders>
          </w:tcPr>
          <w:p w14:paraId="5290BD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5D4B1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BB8D5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Велосет б/к</w:t>
            </w:r>
          </w:p>
          <w:p w14:paraId="1CF514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11901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7612D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260ED2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9EB1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0027F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w:t>
            </w:r>
          </w:p>
          <w:p w14:paraId="5AD4B6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D7053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94ABF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3AA12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w:t>
            </w:r>
          </w:p>
          <w:p w14:paraId="3E954A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2F9EC06" w14:textId="77777777">
        <w:trPr>
          <w:trHeight w:val="221"/>
        </w:trPr>
        <w:tc>
          <w:tcPr>
            <w:tcW w:w="1507" w:type="dxa"/>
            <w:tcBorders>
              <w:top w:val="nil"/>
              <w:left w:val="single" w:sz="6" w:space="0" w:color="auto"/>
              <w:bottom w:val="nil"/>
              <w:right w:val="single" w:sz="6" w:space="0" w:color="auto"/>
            </w:tcBorders>
          </w:tcPr>
          <w:p w14:paraId="01E376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E54B2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258EC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Матчес б/к</w:t>
            </w:r>
          </w:p>
          <w:p w14:paraId="08867E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2AA840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3C59A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ED019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07C1A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411B9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56F521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5010C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44FD1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51258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0BDCDC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4924DE1" w14:textId="77777777">
        <w:trPr>
          <w:trHeight w:val="221"/>
        </w:trPr>
        <w:tc>
          <w:tcPr>
            <w:tcW w:w="1507" w:type="dxa"/>
            <w:tcBorders>
              <w:top w:val="nil"/>
              <w:left w:val="single" w:sz="6" w:space="0" w:color="auto"/>
              <w:bottom w:val="nil"/>
              <w:right w:val="single" w:sz="6" w:space="0" w:color="auto"/>
            </w:tcBorders>
          </w:tcPr>
          <w:p w14:paraId="38E070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53C71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AEB43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БСА б/к</w:t>
            </w:r>
          </w:p>
          <w:p w14:paraId="3E790F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455AA5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18B26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24D9C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6732A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B4427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109</w:t>
            </w:r>
          </w:p>
          <w:p w14:paraId="10ACA8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AB5F8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21B1E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57F00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109</w:t>
            </w:r>
          </w:p>
          <w:p w14:paraId="14301B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D4B503B" w14:textId="77777777">
        <w:trPr>
          <w:trHeight w:val="278"/>
        </w:trPr>
        <w:tc>
          <w:tcPr>
            <w:tcW w:w="1507" w:type="dxa"/>
            <w:tcBorders>
              <w:top w:val="nil"/>
              <w:left w:val="single" w:sz="6" w:space="0" w:color="auto"/>
              <w:bottom w:val="nil"/>
              <w:right w:val="single" w:sz="6" w:space="0" w:color="auto"/>
            </w:tcBorders>
          </w:tcPr>
          <w:p w14:paraId="4BC26C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CBEF5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4E919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на ММЗ</w:t>
            </w:r>
          </w:p>
          <w:p w14:paraId="3D7EAE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FF445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90B16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597AD2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4304</w:t>
            </w:r>
          </w:p>
          <w:p w14:paraId="57DCA5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6CD3F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7897</w:t>
            </w:r>
          </w:p>
          <w:p w14:paraId="4B0562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89CCE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2146</w:t>
            </w:r>
          </w:p>
          <w:p w14:paraId="2299B1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7D31A6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14 347</w:t>
            </w:r>
          </w:p>
          <w:p w14:paraId="74D292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B4A5CC2" w14:textId="77777777">
        <w:trPr>
          <w:trHeight w:val="298"/>
        </w:trPr>
        <w:tc>
          <w:tcPr>
            <w:tcW w:w="1507" w:type="dxa"/>
            <w:tcBorders>
              <w:top w:val="nil"/>
              <w:left w:val="single" w:sz="6" w:space="0" w:color="auto"/>
              <w:bottom w:val="nil"/>
              <w:right w:val="single" w:sz="6" w:space="0" w:color="auto"/>
            </w:tcBorders>
          </w:tcPr>
          <w:p w14:paraId="5D51BA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смз</w:t>
            </w:r>
          </w:p>
          <w:p w14:paraId="236DB7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32EC0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Х/Дс/к</w:t>
            </w:r>
          </w:p>
          <w:p w14:paraId="73A27F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C0A8B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B9BC5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21ED1A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293</w:t>
            </w:r>
          </w:p>
          <w:p w14:paraId="200D40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781E7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DA838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989FA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D6B3E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638FD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293</w:t>
            </w:r>
          </w:p>
          <w:p w14:paraId="335B29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12DCCFF" w14:textId="77777777">
        <w:trPr>
          <w:trHeight w:val="221"/>
        </w:trPr>
        <w:tc>
          <w:tcPr>
            <w:tcW w:w="1507" w:type="dxa"/>
            <w:tcBorders>
              <w:top w:val="nil"/>
              <w:left w:val="single" w:sz="6" w:space="0" w:color="auto"/>
              <w:bottom w:val="nil"/>
              <w:right w:val="single" w:sz="6" w:space="0" w:color="auto"/>
            </w:tcBorders>
          </w:tcPr>
          <w:p w14:paraId="7ED556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964F0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05FC4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Х/Дб/к</w:t>
            </w:r>
          </w:p>
          <w:p w14:paraId="44F878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B22A2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ACA8E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57CF23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659</w:t>
            </w:r>
          </w:p>
          <w:p w14:paraId="4085BA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5589C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w:t>
            </w:r>
          </w:p>
          <w:p w14:paraId="1379BA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FFADA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59D83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6C68F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683</w:t>
            </w:r>
          </w:p>
          <w:p w14:paraId="1A6FE1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39F9D80" w14:textId="77777777">
        <w:trPr>
          <w:trHeight w:val="259"/>
        </w:trPr>
        <w:tc>
          <w:tcPr>
            <w:tcW w:w="1507" w:type="dxa"/>
            <w:tcBorders>
              <w:top w:val="nil"/>
              <w:left w:val="single" w:sz="6" w:space="0" w:color="auto"/>
              <w:bottom w:val="nil"/>
              <w:right w:val="single" w:sz="6" w:space="0" w:color="auto"/>
            </w:tcBorders>
          </w:tcPr>
          <w:p w14:paraId="651E31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25DAD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ECF41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на СМЗ</w:t>
            </w:r>
          </w:p>
          <w:p w14:paraId="200A67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4A3412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AA71C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07FF34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952</w:t>
            </w:r>
          </w:p>
          <w:p w14:paraId="648A0B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EE6A8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w:t>
            </w:r>
          </w:p>
          <w:p w14:paraId="11ED43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63062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93D64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33874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976</w:t>
            </w:r>
          </w:p>
          <w:p w14:paraId="07D28E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24AE832" w14:textId="77777777">
        <w:trPr>
          <w:trHeight w:val="355"/>
        </w:trPr>
        <w:tc>
          <w:tcPr>
            <w:tcW w:w="1507" w:type="dxa"/>
            <w:tcBorders>
              <w:top w:val="nil"/>
              <w:left w:val="single" w:sz="6" w:space="0" w:color="auto"/>
              <w:bottom w:val="nil"/>
              <w:right w:val="single" w:sz="6" w:space="0" w:color="auto"/>
            </w:tcBorders>
          </w:tcPr>
          <w:p w14:paraId="0D6A14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БТРЗ № 20</w:t>
            </w:r>
          </w:p>
          <w:p w14:paraId="399263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3FFFB3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Х/Дс/к</w:t>
            </w:r>
          </w:p>
          <w:p w14:paraId="4F8821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48598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43392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9782F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295</w:t>
            </w:r>
          </w:p>
          <w:p w14:paraId="22C170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720D4A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w:t>
            </w:r>
          </w:p>
          <w:p w14:paraId="02F601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2ADD9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28A3A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1BF484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351</w:t>
            </w:r>
          </w:p>
          <w:p w14:paraId="0E7F3C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75447EF" w14:textId="77777777">
        <w:trPr>
          <w:trHeight w:val="288"/>
        </w:trPr>
        <w:tc>
          <w:tcPr>
            <w:tcW w:w="1507" w:type="dxa"/>
            <w:tcBorders>
              <w:top w:val="nil"/>
              <w:left w:val="single" w:sz="6" w:space="0" w:color="auto"/>
              <w:bottom w:val="nil"/>
              <w:right w:val="single" w:sz="6" w:space="0" w:color="auto"/>
            </w:tcBorders>
          </w:tcPr>
          <w:p w14:paraId="4EBA9A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ХВЗ</w:t>
            </w:r>
          </w:p>
          <w:p w14:paraId="67C461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73E14E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БСА б/к</w:t>
            </w:r>
          </w:p>
          <w:p w14:paraId="2596F4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2B3315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61C73A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31FC0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43040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A2A7E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394</w:t>
            </w:r>
          </w:p>
          <w:p w14:paraId="3B4D77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5F9A4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5194E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6F350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394</w:t>
            </w:r>
          </w:p>
          <w:p w14:paraId="1F706E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FBD7751" w14:textId="77777777">
        <w:trPr>
          <w:trHeight w:val="202"/>
        </w:trPr>
        <w:tc>
          <w:tcPr>
            <w:tcW w:w="1507" w:type="dxa"/>
            <w:tcBorders>
              <w:top w:val="nil"/>
              <w:left w:val="single" w:sz="6" w:space="0" w:color="auto"/>
              <w:bottom w:val="nil"/>
              <w:right w:val="single" w:sz="6" w:space="0" w:color="auto"/>
            </w:tcBorders>
          </w:tcPr>
          <w:p w14:paraId="375873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75090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8BD08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Велосет б/к</w:t>
            </w:r>
          </w:p>
          <w:p w14:paraId="1700F1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A4A87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3839E4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FF421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3AB06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32B46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w:t>
            </w:r>
          </w:p>
          <w:p w14:paraId="2E38C2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28A5D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284C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203D6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w:t>
            </w:r>
          </w:p>
          <w:p w14:paraId="084CA7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95F3441" w14:textId="77777777">
        <w:trPr>
          <w:trHeight w:val="221"/>
        </w:trPr>
        <w:tc>
          <w:tcPr>
            <w:tcW w:w="1507" w:type="dxa"/>
            <w:tcBorders>
              <w:top w:val="nil"/>
              <w:left w:val="single" w:sz="6" w:space="0" w:color="auto"/>
              <w:bottom w:val="nil"/>
              <w:right w:val="single" w:sz="6" w:space="0" w:color="auto"/>
            </w:tcBorders>
          </w:tcPr>
          <w:p w14:paraId="22976B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5F622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E9E89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Матчес б/к</w:t>
            </w:r>
          </w:p>
          <w:p w14:paraId="5318026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5B2076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076500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8BF5F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0BE3E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D6839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w:t>
            </w:r>
          </w:p>
          <w:p w14:paraId="326493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77236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3AFF8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0DA71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w:t>
            </w:r>
          </w:p>
          <w:p w14:paraId="7745BC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ECC81F7" w14:textId="77777777">
        <w:trPr>
          <w:trHeight w:val="278"/>
        </w:trPr>
        <w:tc>
          <w:tcPr>
            <w:tcW w:w="1507" w:type="dxa"/>
            <w:tcBorders>
              <w:top w:val="nil"/>
              <w:left w:val="single" w:sz="6" w:space="0" w:color="auto"/>
              <w:bottom w:val="nil"/>
              <w:right w:val="single" w:sz="6" w:space="0" w:color="auto"/>
            </w:tcBorders>
          </w:tcPr>
          <w:p w14:paraId="646482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F0055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AEB7C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на ХВЗ</w:t>
            </w:r>
          </w:p>
          <w:p w14:paraId="470199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235FC5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C1BFB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89CB6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F077D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D6A4F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455</w:t>
            </w:r>
          </w:p>
          <w:p w14:paraId="12681C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F077A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D04B0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7F960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455</w:t>
            </w:r>
          </w:p>
          <w:p w14:paraId="1502FD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506F36E" w14:textId="77777777">
        <w:trPr>
          <w:trHeight w:val="365"/>
        </w:trPr>
        <w:tc>
          <w:tcPr>
            <w:tcW w:w="1507" w:type="dxa"/>
            <w:tcBorders>
              <w:top w:val="nil"/>
              <w:left w:val="single" w:sz="6" w:space="0" w:color="auto"/>
              <w:bottom w:val="nil"/>
              <w:right w:val="single" w:sz="6" w:space="0" w:color="auto"/>
            </w:tcBorders>
          </w:tcPr>
          <w:p w14:paraId="76A2BF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договору</w:t>
            </w:r>
          </w:p>
          <w:p w14:paraId="5CA57B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5385C7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 не выявлен</w:t>
            </w:r>
          </w:p>
          <w:p w14:paraId="4E50DE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F7A41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03831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66D46B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2074</w:t>
            </w:r>
          </w:p>
          <w:p w14:paraId="7E25D1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BF620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2172</w:t>
            </w:r>
          </w:p>
          <w:p w14:paraId="7C3A07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9379D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241</w:t>
            </w:r>
          </w:p>
          <w:p w14:paraId="458FA6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32F551F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4487</w:t>
            </w:r>
          </w:p>
          <w:p w14:paraId="0856CD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0098FAF" w14:textId="77777777">
        <w:trPr>
          <w:trHeight w:val="288"/>
        </w:trPr>
        <w:tc>
          <w:tcPr>
            <w:tcW w:w="1507" w:type="dxa"/>
            <w:tcBorders>
              <w:top w:val="nil"/>
              <w:left w:val="single" w:sz="6" w:space="0" w:color="auto"/>
              <w:bottom w:val="nil"/>
              <w:right w:val="single" w:sz="6" w:space="0" w:color="auto"/>
            </w:tcBorders>
          </w:tcPr>
          <w:p w14:paraId="76B571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Склады</w:t>
            </w:r>
          </w:p>
          <w:p w14:paraId="29BE81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0C8172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Индиан б/к</w:t>
            </w:r>
          </w:p>
          <w:p w14:paraId="5D1F3C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27151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317</w:t>
            </w:r>
          </w:p>
          <w:p w14:paraId="204AA9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6B623C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554</w:t>
            </w:r>
          </w:p>
          <w:p w14:paraId="32C357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B119FE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E2F40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5D2C5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1F79C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32A7C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871</w:t>
            </w:r>
          </w:p>
          <w:p w14:paraId="5000F6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8981A5A" w14:textId="77777777">
        <w:trPr>
          <w:trHeight w:val="202"/>
        </w:trPr>
        <w:tc>
          <w:tcPr>
            <w:tcW w:w="1507" w:type="dxa"/>
            <w:tcBorders>
              <w:top w:val="nil"/>
              <w:left w:val="single" w:sz="6" w:space="0" w:color="auto"/>
              <w:bottom w:val="nil"/>
              <w:right w:val="single" w:sz="6" w:space="0" w:color="auto"/>
            </w:tcBorders>
          </w:tcPr>
          <w:p w14:paraId="19DA0B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CFE19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B16CC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Велосет б/к</w:t>
            </w:r>
          </w:p>
          <w:p w14:paraId="54AE19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623151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p w14:paraId="7AEC08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C1253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73</w:t>
            </w:r>
          </w:p>
          <w:p w14:paraId="7616B2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FD5F2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81</w:t>
            </w:r>
          </w:p>
          <w:p w14:paraId="2DD0B9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B72F0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38866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2BF0F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294</w:t>
            </w:r>
          </w:p>
          <w:p w14:paraId="56BFD6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76CADD8" w14:textId="77777777">
        <w:trPr>
          <w:trHeight w:val="211"/>
        </w:trPr>
        <w:tc>
          <w:tcPr>
            <w:tcW w:w="1507" w:type="dxa"/>
            <w:tcBorders>
              <w:top w:val="nil"/>
              <w:left w:val="single" w:sz="6" w:space="0" w:color="auto"/>
              <w:bottom w:val="nil"/>
              <w:right w:val="single" w:sz="6" w:space="0" w:color="auto"/>
            </w:tcBorders>
          </w:tcPr>
          <w:p w14:paraId="1E37AA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89CF4E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86C84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Матчес б/к</w:t>
            </w:r>
          </w:p>
          <w:p w14:paraId="16357D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D1F50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556733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731F30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E8710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E8737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545D72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FEF09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04CDE0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0FEE7A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4AE03C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F355D5C" w14:textId="77777777">
        <w:trPr>
          <w:trHeight w:val="221"/>
        </w:trPr>
        <w:tc>
          <w:tcPr>
            <w:tcW w:w="1507" w:type="dxa"/>
            <w:tcBorders>
              <w:top w:val="nil"/>
              <w:left w:val="single" w:sz="6" w:space="0" w:color="auto"/>
              <w:bottom w:val="nil"/>
              <w:right w:val="single" w:sz="6" w:space="0" w:color="auto"/>
            </w:tcBorders>
          </w:tcPr>
          <w:p w14:paraId="3F55F9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0481E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9D5AF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БСА б/к</w:t>
            </w:r>
          </w:p>
          <w:p w14:paraId="25CDB9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60412B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_</w:t>
            </w:r>
          </w:p>
          <w:p w14:paraId="3F381A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6650F7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B2F25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AC12A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w:t>
            </w:r>
          </w:p>
          <w:p w14:paraId="0F754B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1E3C6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A3A09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F9BA0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w:t>
            </w:r>
          </w:p>
          <w:p w14:paraId="705C47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9496E48" w14:textId="77777777">
        <w:trPr>
          <w:trHeight w:val="269"/>
        </w:trPr>
        <w:tc>
          <w:tcPr>
            <w:tcW w:w="1507" w:type="dxa"/>
            <w:tcBorders>
              <w:top w:val="nil"/>
              <w:left w:val="single" w:sz="6" w:space="0" w:color="auto"/>
              <w:bottom w:val="nil"/>
              <w:right w:val="single" w:sz="6" w:space="0" w:color="auto"/>
            </w:tcBorders>
          </w:tcPr>
          <w:p w14:paraId="5D4B52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DB3C3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47261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на</w:t>
            </w:r>
          </w:p>
          <w:p w14:paraId="13192B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47B89C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457</w:t>
            </w:r>
          </w:p>
          <w:p w14:paraId="106986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B66D6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627</w:t>
            </w:r>
          </w:p>
          <w:p w14:paraId="733712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2BC2F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177</w:t>
            </w:r>
          </w:p>
          <w:p w14:paraId="286F67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4EEF5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E3DAC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EFE65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1261</w:t>
            </w:r>
          </w:p>
          <w:p w14:paraId="1079BC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CEEB376" w14:textId="77777777">
        <w:trPr>
          <w:trHeight w:val="240"/>
        </w:trPr>
        <w:tc>
          <w:tcPr>
            <w:tcW w:w="1507" w:type="dxa"/>
            <w:tcBorders>
              <w:top w:val="nil"/>
              <w:left w:val="single" w:sz="6" w:space="0" w:color="auto"/>
              <w:bottom w:val="nil"/>
              <w:right w:val="single" w:sz="6" w:space="0" w:color="auto"/>
            </w:tcBorders>
          </w:tcPr>
          <w:p w14:paraId="011883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48003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5E2075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складах</w:t>
            </w:r>
          </w:p>
          <w:p w14:paraId="1E4F24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5D3E29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4B8F6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6CB76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68630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4F6F8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1A7FE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4E5B5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B65DD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DE27A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480D1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D3C469A" w14:textId="77777777">
        <w:trPr>
          <w:trHeight w:val="346"/>
        </w:trPr>
        <w:tc>
          <w:tcPr>
            <w:tcW w:w="1507" w:type="dxa"/>
            <w:tcBorders>
              <w:top w:val="nil"/>
              <w:left w:val="single" w:sz="6" w:space="0" w:color="auto"/>
              <w:bottom w:val="nil"/>
              <w:right w:val="single" w:sz="6" w:space="0" w:color="auto"/>
            </w:tcBorders>
          </w:tcPr>
          <w:p w14:paraId="4C679B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Учебные полки</w:t>
            </w:r>
          </w:p>
          <w:p w14:paraId="3DC70F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8BD5D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Индиан б/к</w:t>
            </w:r>
          </w:p>
          <w:p w14:paraId="33C0F2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C1760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7E836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228AB9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648</w:t>
            </w:r>
          </w:p>
          <w:p w14:paraId="3EF48C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6B291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B7895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BFB4A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25C3F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7EA0D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648</w:t>
            </w:r>
          </w:p>
          <w:p w14:paraId="791ECA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7D929D1" w14:textId="77777777">
        <w:trPr>
          <w:trHeight w:val="499"/>
        </w:trPr>
        <w:tc>
          <w:tcPr>
            <w:tcW w:w="1507" w:type="dxa"/>
            <w:tcBorders>
              <w:top w:val="nil"/>
              <w:left w:val="single" w:sz="6" w:space="0" w:color="auto"/>
              <w:bottom w:val="single" w:sz="6" w:space="0" w:color="auto"/>
              <w:right w:val="single" w:sz="6" w:space="0" w:color="auto"/>
            </w:tcBorders>
          </w:tcPr>
          <w:p w14:paraId="7C6D3E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061171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664058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D9F20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single" w:sz="6" w:space="0" w:color="auto"/>
              <w:right w:val="single" w:sz="6" w:space="0" w:color="auto"/>
            </w:tcBorders>
          </w:tcPr>
          <w:p w14:paraId="6CA560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457</w:t>
            </w:r>
          </w:p>
          <w:p w14:paraId="1F6EA8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733793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8900</w:t>
            </w:r>
          </w:p>
          <w:p w14:paraId="3618FF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781198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10781</w:t>
            </w:r>
          </w:p>
          <w:p w14:paraId="5601EE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23165A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2387</w:t>
            </w:r>
          </w:p>
          <w:p w14:paraId="2BA7B6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5C0124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22 525</w:t>
            </w:r>
          </w:p>
          <w:p w14:paraId="32E28A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2126020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(11429).</w:t>
      </w:r>
    </w:p>
    <w:p w14:paraId="4A27BA5A" w14:textId="77777777" w:rsidR="006103B3" w:rsidRPr="00925F26" w:rsidRDefault="006103B3" w:rsidP="00925F26">
      <w:pPr>
        <w:autoSpaceDE w:val="0"/>
        <w:autoSpaceDN w:val="0"/>
        <w:adjustRightInd w:val="0"/>
        <w:jc w:val="both"/>
        <w:rPr>
          <w:color w:val="000000" w:themeColor="text1"/>
          <w:sz w:val="16"/>
          <w:szCs w:val="16"/>
        </w:rPr>
      </w:pPr>
    </w:p>
    <w:p w14:paraId="7124EE4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0D6F77C" w14:textId="77777777" w:rsidR="006103B3" w:rsidRPr="00925F26" w:rsidRDefault="006103B3" w:rsidP="00925F26">
      <w:pPr>
        <w:autoSpaceDE w:val="0"/>
        <w:autoSpaceDN w:val="0"/>
        <w:adjustRightInd w:val="0"/>
        <w:jc w:val="both"/>
        <w:rPr>
          <w:iCs/>
          <w:color w:val="000000" w:themeColor="text1"/>
          <w:sz w:val="16"/>
          <w:szCs w:val="16"/>
        </w:rPr>
      </w:pPr>
    </w:p>
    <w:p w14:paraId="41E11F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июню 1945 завод 22 построил 4 суперпешки и головной серийный Пе-2М N 1/1002 передали в НИИ ВВС для гос. испытаний (2471,40).</w:t>
      </w:r>
    </w:p>
    <w:p w14:paraId="7472CDC2" w14:textId="77777777" w:rsidR="006103B3" w:rsidRPr="00925F26" w:rsidRDefault="006103B3" w:rsidP="00925F26">
      <w:pPr>
        <w:autoSpaceDE w:val="0"/>
        <w:autoSpaceDN w:val="0"/>
        <w:adjustRightInd w:val="0"/>
        <w:jc w:val="both"/>
        <w:rPr>
          <w:color w:val="000000" w:themeColor="text1"/>
          <w:sz w:val="16"/>
          <w:szCs w:val="16"/>
        </w:rPr>
      </w:pPr>
    </w:p>
    <w:p w14:paraId="734C76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июню 1945 г. с огромными трудностями казанский завод смог построить всего 4 машины Пе-2М.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Ни один из четырех построенных Пе-2М так никогда и не был принят ВВС. Все эти машины впоследствии передали заводам № 26 и № 482 для проведения опытных работ (4476).</w:t>
      </w:r>
    </w:p>
    <w:p w14:paraId="577847E9" w14:textId="77777777" w:rsidR="006103B3" w:rsidRPr="00925F26" w:rsidRDefault="006103B3" w:rsidP="00925F26">
      <w:pPr>
        <w:autoSpaceDE w:val="0"/>
        <w:autoSpaceDN w:val="0"/>
        <w:adjustRightInd w:val="0"/>
        <w:jc w:val="both"/>
        <w:rPr>
          <w:color w:val="000000" w:themeColor="text1"/>
          <w:sz w:val="16"/>
          <w:szCs w:val="16"/>
        </w:rPr>
      </w:pPr>
    </w:p>
    <w:p w14:paraId="3C6B90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июню 1945 г. казанский завод смог построить всего четыре машины. Война на Западе закончилась, требования к качеству авиационной техники стали заметно более строгими. В связи с этим головной серийный самолет Пе-2М зав. № 1/1002 передали в НИИ ВВС для проведения государственных испытаний. Их поручили закрепленным за "пешками" специалистам - ведущему инженеру Грибакину и ведущему летчику Хрипкову.</w:t>
      </w:r>
    </w:p>
    <w:p w14:paraId="05A0176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рост полетной массы и некоторое ухудшение аэродинамики Пе-2М все же был отличным шагом вперед в деле совершенствования "пешки". Подвели моторы ВК-107А.</w:t>
      </w:r>
    </w:p>
    <w:p w14:paraId="69AE33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ходе испытаний Хрипков достиг на второй границе высотности максимальной скорости 630 км/ч. Время набора высоты 5000 м увеличилось на 1,8 мин по сравнению с Пе-2И, а дальность полета уменьшилась на 225 км. Такова оказалась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 размере порядка 48 км/ч - вдвое больше, чем потеряли конструкторы ОКО-22.</w:t>
      </w:r>
    </w:p>
    <w:p w14:paraId="5AF18C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связи с введением третьего члена экипажа, увеличением массы бронирования и вооружения Пе-2М стал заметно тяжелее предшественника и перестал соответствовать нормам прочности по ряду показателей. Стойки шасси и колеса отказывались "держать" 12-тонную машину. Усложнилось покидание самолета в воздухе, поскольку ВУ-5-20 серьезно мешала сбросу фонаря. По-прежнему досаждали дефекты моторов ВК-107А. Они нарабатывали 47-54 ч в воздухе, после чего начинали "стрелять шатунами". Течи водяных и маслорадиаторов, а также различных уплотнений считались почти нормальным явлением. Отмечались другие отказы, втом числе и у новых подвижных установок вооружения.</w:t>
      </w:r>
    </w:p>
    <w:p w14:paraId="7FAE7B9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моменту окончания госиспытаний Пе-2М руководство авиапромышленности приняло принципиальное решение о прекращении производства всех вариантов "пешек". Заключение акта по испытаниям являлось довольно противоречивым:</w:t>
      </w:r>
    </w:p>
    <w:p w14:paraId="63C78F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Предъявленный на государственные испытания дневной бомбардировщик Пе-2М с 2BK-I07A по летно-техническим данным отвечает современным требованиям к данному типу самолетов...</w:t>
      </w:r>
    </w:p>
    <w:p w14:paraId="79CA4E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w:t>
      </w:r>
    </w:p>
    <w:p w14:paraId="61245F3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Ни один из четырех построенных Пе-2М так никогда и не был принят ВВС. Все эти машины впоследствии передали заводам № 26 и № 482 для проведения опытных работ (12042).</w:t>
      </w:r>
    </w:p>
    <w:p w14:paraId="4B64C9EB" w14:textId="77777777" w:rsidR="006103B3" w:rsidRPr="00925F26" w:rsidRDefault="006103B3" w:rsidP="00925F26">
      <w:pPr>
        <w:autoSpaceDE w:val="0"/>
        <w:autoSpaceDN w:val="0"/>
        <w:adjustRightInd w:val="0"/>
        <w:jc w:val="both"/>
        <w:rPr>
          <w:color w:val="000000" w:themeColor="text1"/>
          <w:sz w:val="16"/>
          <w:szCs w:val="16"/>
        </w:rPr>
      </w:pPr>
    </w:p>
    <w:p w14:paraId="53540483" w14:textId="77777777" w:rsidR="00374A7A" w:rsidRPr="001A0BAA" w:rsidRDefault="00374A7A" w:rsidP="00374A7A">
      <w:pPr>
        <w:jc w:val="both"/>
        <w:rPr>
          <w:color w:val="0070C0"/>
          <w:sz w:val="16"/>
          <w:szCs w:val="16"/>
        </w:rPr>
      </w:pPr>
      <w:r w:rsidRPr="001A0BAA">
        <w:rPr>
          <w:color w:val="0070C0"/>
          <w:sz w:val="16"/>
          <w:szCs w:val="16"/>
        </w:rPr>
        <w:t>К июню 1945 г. смогли построить четыре ма</w:t>
      </w:r>
      <w:r w:rsidRPr="001A0BAA">
        <w:rPr>
          <w:color w:val="0070C0"/>
          <w:sz w:val="16"/>
          <w:szCs w:val="16"/>
        </w:rPr>
        <w:softHyphen/>
        <w:t>шины Пе-2М. Головной серийный Пе-2М пере</w:t>
      </w:r>
      <w:r w:rsidRPr="001A0BAA">
        <w:rPr>
          <w:color w:val="0070C0"/>
          <w:sz w:val="16"/>
          <w:szCs w:val="16"/>
        </w:rPr>
        <w:softHyphen/>
        <w:t>дали в НИИ ВВС на государственные испытания. Летал на нем экипаж Хрипкова (уже подполковника). Он получил максимальную скорость 630 км/ч.</w:t>
      </w:r>
    </w:p>
    <w:p w14:paraId="593DEBC2" w14:textId="77777777" w:rsidR="00374A7A" w:rsidRPr="001A0BAA" w:rsidRDefault="00374A7A" w:rsidP="00374A7A">
      <w:pPr>
        <w:jc w:val="both"/>
        <w:rPr>
          <w:color w:val="0070C0"/>
          <w:sz w:val="16"/>
          <w:szCs w:val="16"/>
        </w:rPr>
      </w:pPr>
      <w:r w:rsidRPr="001A0BAA">
        <w:rPr>
          <w:color w:val="0070C0"/>
          <w:sz w:val="16"/>
          <w:szCs w:val="16"/>
        </w:rPr>
        <w:t>В связи с введением третьего чле</w:t>
      </w:r>
      <w:r w:rsidRPr="001A0BAA">
        <w:rPr>
          <w:color w:val="0070C0"/>
          <w:sz w:val="16"/>
          <w:szCs w:val="16"/>
        </w:rPr>
        <w:softHyphen/>
        <w:t>на экипажа, усилением бронирования и вооружения Пе-2М оказался заметно тяжелее Пе-2И Шасси уже «не держа</w:t>
      </w:r>
      <w:r w:rsidRPr="001A0BAA">
        <w:rPr>
          <w:color w:val="0070C0"/>
          <w:sz w:val="16"/>
          <w:szCs w:val="16"/>
        </w:rPr>
        <w:softHyphen/>
        <w:t>ло» машину в 12 т. Усложнилось поки</w:t>
      </w:r>
      <w:r w:rsidRPr="001A0BAA">
        <w:rPr>
          <w:color w:val="0070C0"/>
          <w:sz w:val="16"/>
          <w:szCs w:val="16"/>
        </w:rPr>
        <w:softHyphen/>
        <w:t>дание самолета в воздухе, поскольку установка ВУ-5-20 мешала сбросу фо</w:t>
      </w:r>
      <w:r w:rsidRPr="001A0BAA">
        <w:rPr>
          <w:color w:val="0070C0"/>
          <w:sz w:val="16"/>
          <w:szCs w:val="16"/>
        </w:rPr>
        <w:softHyphen/>
        <w:t>наря. По-прежнему досаждали моторы ВК-107А. Они нарабатывали пример</w:t>
      </w:r>
      <w:r w:rsidRPr="001A0BAA">
        <w:rPr>
          <w:color w:val="0070C0"/>
          <w:sz w:val="16"/>
          <w:szCs w:val="16"/>
        </w:rPr>
        <w:softHyphen/>
        <w:t>но по 50 ч, после чего принимались «стрелять шатунами». Течи водяных и маслорадиаторов, а также различных уплотнений считались почти нормаль</w:t>
      </w:r>
      <w:r w:rsidRPr="001A0BAA">
        <w:rPr>
          <w:color w:val="0070C0"/>
          <w:sz w:val="16"/>
          <w:szCs w:val="16"/>
        </w:rPr>
        <w:softHyphen/>
        <w:t>ным явлением. Механизированные пу</w:t>
      </w:r>
      <w:r w:rsidRPr="001A0BAA">
        <w:rPr>
          <w:color w:val="0070C0"/>
          <w:sz w:val="16"/>
          <w:szCs w:val="16"/>
        </w:rPr>
        <w:softHyphen/>
        <w:t>шечные установки получились тяжелы</w:t>
      </w:r>
      <w:r w:rsidRPr="001A0BAA">
        <w:rPr>
          <w:color w:val="0070C0"/>
          <w:sz w:val="16"/>
          <w:szCs w:val="16"/>
        </w:rPr>
        <w:softHyphen/>
        <w:t>ми, инертными и плохо управляемыми.</w:t>
      </w:r>
    </w:p>
    <w:p w14:paraId="378A46F8" w14:textId="77777777" w:rsidR="00374A7A" w:rsidRPr="001A0BAA" w:rsidRDefault="00374A7A" w:rsidP="00374A7A">
      <w:pPr>
        <w:jc w:val="both"/>
        <w:rPr>
          <w:color w:val="0070C0"/>
          <w:sz w:val="16"/>
          <w:szCs w:val="16"/>
        </w:rPr>
      </w:pPr>
      <w:r w:rsidRPr="001A0BAA">
        <w:rPr>
          <w:color w:val="0070C0"/>
          <w:sz w:val="16"/>
          <w:szCs w:val="16"/>
        </w:rPr>
        <w:t>К моменту окончания госиспытаний Пе-2М уже приняли решение о прекра</w:t>
      </w:r>
      <w:r w:rsidRPr="001A0BAA">
        <w:rPr>
          <w:color w:val="0070C0"/>
          <w:sz w:val="16"/>
          <w:szCs w:val="16"/>
        </w:rPr>
        <w:softHyphen/>
        <w:t>щении производства всех вариантов «Пешек». В отчете записали, что само</w:t>
      </w:r>
      <w:r w:rsidRPr="001A0BAA">
        <w:rPr>
          <w:color w:val="0070C0"/>
          <w:sz w:val="16"/>
          <w:szCs w:val="16"/>
        </w:rPr>
        <w:softHyphen/>
        <w:t>лет испытаний не выдержал, его вер</w:t>
      </w:r>
      <w:r w:rsidRPr="001A0BAA">
        <w:rPr>
          <w:color w:val="0070C0"/>
          <w:sz w:val="16"/>
          <w:szCs w:val="16"/>
        </w:rPr>
        <w:softHyphen/>
        <w:t xml:space="preserve">нули на завод. Ни один Пе-2М никогда не был официально принят ВВС (24934) </w:t>
      </w:r>
    </w:p>
    <w:p w14:paraId="4ED17B99" w14:textId="77777777" w:rsidR="00374A7A" w:rsidRPr="001A0BAA" w:rsidRDefault="00374A7A" w:rsidP="00374A7A">
      <w:pPr>
        <w:jc w:val="both"/>
        <w:rPr>
          <w:color w:val="0070C0"/>
          <w:sz w:val="16"/>
          <w:szCs w:val="16"/>
        </w:rPr>
      </w:pPr>
    </w:p>
    <w:p w14:paraId="74A3248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1BCEE97" w14:textId="77777777" w:rsidR="006103B3" w:rsidRPr="00925F26" w:rsidRDefault="006103B3" w:rsidP="00925F26">
      <w:pPr>
        <w:autoSpaceDE w:val="0"/>
        <w:autoSpaceDN w:val="0"/>
        <w:adjustRightInd w:val="0"/>
        <w:jc w:val="both"/>
        <w:rPr>
          <w:iCs/>
          <w:color w:val="000000" w:themeColor="text1"/>
          <w:sz w:val="16"/>
          <w:szCs w:val="16"/>
        </w:rPr>
      </w:pPr>
    </w:p>
    <w:p w14:paraId="3819DC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июню 1945 г. отделом 1600 Харьковского завода транспортного машиностроения (ХЗТМ) была окончена разработка конструкции нового сверхмощного дизеля. Технический проект отправили в Москву, в Наркомат транспортного машиностроения (9024).</w:t>
      </w:r>
    </w:p>
    <w:p w14:paraId="532B9141" w14:textId="77777777" w:rsidR="006103B3" w:rsidRPr="00925F26" w:rsidRDefault="006103B3" w:rsidP="00925F26">
      <w:pPr>
        <w:autoSpaceDE w:val="0"/>
        <w:autoSpaceDN w:val="0"/>
        <w:adjustRightInd w:val="0"/>
        <w:jc w:val="both"/>
        <w:rPr>
          <w:color w:val="000000" w:themeColor="text1"/>
          <w:sz w:val="16"/>
          <w:szCs w:val="16"/>
        </w:rPr>
      </w:pPr>
    </w:p>
    <w:p w14:paraId="6070D307" w14:textId="5A324BD0" w:rsidR="00A92FC9" w:rsidRPr="00925F26" w:rsidRDefault="00A92FC9" w:rsidP="00925F26">
      <w:pPr>
        <w:autoSpaceDE w:val="0"/>
        <w:autoSpaceDN w:val="0"/>
        <w:adjustRightInd w:val="0"/>
        <w:jc w:val="both"/>
        <w:rPr>
          <w:i/>
          <w:iCs/>
          <w:color w:val="000000" w:themeColor="text1"/>
          <w:sz w:val="16"/>
          <w:szCs w:val="16"/>
        </w:rPr>
      </w:pPr>
      <w:r w:rsidRPr="00925F26">
        <w:rPr>
          <w:i/>
          <w:iCs/>
          <w:color w:val="000000" w:themeColor="text1"/>
          <w:sz w:val="16"/>
          <w:szCs w:val="16"/>
        </w:rPr>
        <w:t>Армия:</w:t>
      </w:r>
    </w:p>
    <w:p w14:paraId="705DFDA2" w14:textId="77777777" w:rsidR="00A92FC9" w:rsidRPr="00925F26" w:rsidRDefault="00A92FC9" w:rsidP="00925F26">
      <w:pPr>
        <w:autoSpaceDE w:val="0"/>
        <w:autoSpaceDN w:val="0"/>
        <w:adjustRightInd w:val="0"/>
        <w:jc w:val="both"/>
        <w:rPr>
          <w:i/>
          <w:iCs/>
          <w:color w:val="000000" w:themeColor="text1"/>
          <w:sz w:val="16"/>
          <w:szCs w:val="16"/>
        </w:rPr>
      </w:pPr>
    </w:p>
    <w:p w14:paraId="56934B38" w14:textId="77777777" w:rsidR="00A92FC9" w:rsidRPr="00925F26" w:rsidRDefault="00A92FC9" w:rsidP="00925F26">
      <w:pPr>
        <w:jc w:val="both"/>
        <w:rPr>
          <w:color w:val="000000" w:themeColor="text1"/>
          <w:sz w:val="16"/>
          <w:szCs w:val="16"/>
        </w:rPr>
      </w:pPr>
      <w:r w:rsidRPr="00925F26">
        <w:rPr>
          <w:color w:val="000000" w:themeColor="text1"/>
          <w:sz w:val="16"/>
          <w:szCs w:val="16"/>
          <w:lang w:bidi="ru-RU"/>
        </w:rPr>
        <w:t>К июню 1945 г. относит</w:t>
      </w:r>
      <w:r w:rsidRPr="00925F26">
        <w:rPr>
          <w:color w:val="000000" w:themeColor="text1"/>
          <w:sz w:val="16"/>
          <w:szCs w:val="16"/>
          <w:lang w:bidi="ru-RU"/>
        </w:rPr>
        <w:softHyphen/>
        <w:t>ся начало боевой работы авиации АК против партизан. В период с 19 июня по 30 июля части 3-й пехотной дивизии им. Р. Траугутта проводили в Яновских лесах (Люблинское воеводство) операцию против отрядов ко</w:t>
      </w:r>
      <w:r w:rsidRPr="00925F26">
        <w:rPr>
          <w:color w:val="000000" w:themeColor="text1"/>
          <w:sz w:val="16"/>
          <w:szCs w:val="16"/>
          <w:lang w:bidi="ru-RU"/>
        </w:rPr>
        <w:softHyphen/>
        <w:t>мандиров «Тарзана», «Орла» и «Ежи». В боях погибли 36 членов подполья, шестеро ранены, задержан и арестован 541 человек. Захвачены неплохие трофеи: два станковых и шесть ручных пулемётов, одно противотанковое ружье, двенад</w:t>
      </w:r>
      <w:r w:rsidRPr="00925F26">
        <w:rPr>
          <w:color w:val="000000" w:themeColor="text1"/>
          <w:sz w:val="16"/>
          <w:szCs w:val="16"/>
          <w:lang w:bidi="ru-RU"/>
        </w:rPr>
        <w:softHyphen/>
        <w:t>цать пистолетов-пулеметов, тридцать одна винтовка и кара</w:t>
      </w:r>
      <w:r w:rsidRPr="00925F26">
        <w:rPr>
          <w:color w:val="000000" w:themeColor="text1"/>
          <w:sz w:val="16"/>
          <w:szCs w:val="16"/>
          <w:lang w:bidi="ru-RU"/>
        </w:rPr>
        <w:softHyphen/>
        <w:t>бин. Приданное дивизии звено По-2 приступило к выполне</w:t>
      </w:r>
      <w:r w:rsidRPr="00925F26">
        <w:rPr>
          <w:color w:val="000000" w:themeColor="text1"/>
          <w:sz w:val="16"/>
          <w:szCs w:val="16"/>
          <w:lang w:bidi="ru-RU"/>
        </w:rPr>
        <w:softHyphen/>
        <w:t>нию задач, связанных с подготовкой к этой операции еще 13 июня, полеты продолжались до 20 августа. Всего выполне</w:t>
      </w:r>
      <w:r w:rsidRPr="00925F26">
        <w:rPr>
          <w:color w:val="000000" w:themeColor="text1"/>
          <w:sz w:val="16"/>
          <w:szCs w:val="16"/>
          <w:lang w:bidi="ru-RU"/>
        </w:rPr>
        <w:softHyphen/>
        <w:t>но 115 боевых вылетов: 61 разведывательный и 54 агитаци</w:t>
      </w:r>
      <w:r w:rsidRPr="00925F26">
        <w:rPr>
          <w:color w:val="000000" w:themeColor="text1"/>
          <w:sz w:val="16"/>
          <w:szCs w:val="16"/>
          <w:lang w:bidi="ru-RU"/>
        </w:rPr>
        <w:softHyphen/>
        <w:t>онно-пропагандистских, в ходе которых было разбросано 750 000 листовок. Надо сказать, что последние также оказы</w:t>
      </w:r>
      <w:r w:rsidRPr="00925F26">
        <w:rPr>
          <w:color w:val="000000" w:themeColor="text1"/>
          <w:sz w:val="16"/>
          <w:szCs w:val="16"/>
          <w:lang w:bidi="ru-RU"/>
        </w:rPr>
        <w:softHyphen/>
        <w:t>вали разлагающее влияние на личный состав партизанских отрядов: под влиянием правительственных агитматериалов властям добровольно сдалось 117 человек из вышеупомяну</w:t>
      </w:r>
      <w:r w:rsidRPr="00925F26">
        <w:rPr>
          <w:color w:val="000000" w:themeColor="text1"/>
          <w:sz w:val="16"/>
          <w:szCs w:val="16"/>
          <w:lang w:bidi="ru-RU"/>
        </w:rPr>
        <w:softHyphen/>
        <w:t>тых и некоторых других отрядов. С собой они принесли 190 единиц стрелкового оружия, от пистолетов до станковых пулеметов.</w:t>
      </w:r>
    </w:p>
    <w:p w14:paraId="6BB98952" w14:textId="77777777" w:rsidR="00A92FC9" w:rsidRPr="00925F26" w:rsidRDefault="00A92FC9" w:rsidP="00925F26">
      <w:pPr>
        <w:jc w:val="both"/>
        <w:rPr>
          <w:color w:val="000000" w:themeColor="text1"/>
          <w:sz w:val="16"/>
          <w:szCs w:val="16"/>
          <w:lang w:bidi="ru-RU"/>
        </w:rPr>
      </w:pPr>
      <w:r w:rsidRPr="00925F26">
        <w:rPr>
          <w:color w:val="000000" w:themeColor="text1"/>
          <w:sz w:val="16"/>
          <w:szCs w:val="16"/>
          <w:lang w:bidi="ru-RU"/>
        </w:rPr>
        <w:t>Зимой 1946 г. к действиям против вооруженной оппози</w:t>
      </w:r>
      <w:r w:rsidRPr="00925F26">
        <w:rPr>
          <w:color w:val="000000" w:themeColor="text1"/>
          <w:sz w:val="16"/>
          <w:szCs w:val="16"/>
          <w:lang w:bidi="ru-RU"/>
        </w:rPr>
        <w:softHyphen/>
        <w:t>ции были привлечены части 6-й, 8-й, 9-й и 18-й пехотных дивизий. Каждой из них были приданы два По-2. К боевой работе они приступили в конце января - начале февраля. В ряде случаев, в условиях зимнего бездорожья и горно-ле</w:t>
      </w:r>
      <w:r w:rsidRPr="00925F26">
        <w:rPr>
          <w:color w:val="000000" w:themeColor="text1"/>
          <w:sz w:val="16"/>
          <w:szCs w:val="16"/>
          <w:lang w:bidi="ru-RU"/>
        </w:rPr>
        <w:softHyphen/>
        <w:t>систой местности, самолеты оказывались практически единственным средством ведения разведки, обеспечения связи и распространения агитматериалов. В частности, именно благодаря воздушной разведке, проведенной 25 фе</w:t>
      </w:r>
      <w:r w:rsidRPr="00925F26">
        <w:rPr>
          <w:color w:val="000000" w:themeColor="text1"/>
          <w:sz w:val="16"/>
          <w:szCs w:val="16"/>
          <w:lang w:bidi="ru-RU"/>
        </w:rPr>
        <w:softHyphen/>
        <w:t>враля в районе Плашкова - Камёнки - Бенгарово Краков</w:t>
      </w:r>
      <w:r w:rsidRPr="00925F26">
        <w:rPr>
          <w:color w:val="000000" w:themeColor="text1"/>
          <w:sz w:val="16"/>
          <w:szCs w:val="16"/>
          <w:lang w:bidi="ru-RU"/>
        </w:rPr>
        <w:softHyphen/>
        <w:t>ского воеводства, подразделения 18-го пехотного полка 6-й дивизии разгромили один из отрядов НСЗ.</w:t>
      </w:r>
    </w:p>
    <w:p w14:paraId="47D5F0CC" w14:textId="77777777" w:rsidR="00A92FC9" w:rsidRPr="00925F26" w:rsidRDefault="00A92FC9" w:rsidP="00925F26">
      <w:pPr>
        <w:jc w:val="both"/>
        <w:rPr>
          <w:color w:val="000000" w:themeColor="text1"/>
          <w:sz w:val="16"/>
          <w:szCs w:val="16"/>
        </w:rPr>
      </w:pPr>
      <w:r w:rsidRPr="00925F26">
        <w:rPr>
          <w:color w:val="000000" w:themeColor="text1"/>
          <w:sz w:val="16"/>
          <w:szCs w:val="16"/>
          <w:lang w:bidi="ru-RU"/>
        </w:rPr>
        <w:t>В марте напряжение боевой работы не снижалось. Лишь с 10 по 20 марта самолеты совершили 107 боевых вылетов, при этом наиболее результативно вели разведку экипажи, приданные 9-й дивизии.</w:t>
      </w:r>
    </w:p>
    <w:p w14:paraId="75838C10" w14:textId="77777777" w:rsidR="00A92FC9" w:rsidRPr="00925F26" w:rsidRDefault="00A92FC9" w:rsidP="00925F26">
      <w:pPr>
        <w:jc w:val="both"/>
        <w:rPr>
          <w:color w:val="000000" w:themeColor="text1"/>
          <w:sz w:val="16"/>
          <w:szCs w:val="16"/>
        </w:rPr>
      </w:pPr>
      <w:r w:rsidRPr="00925F26">
        <w:rPr>
          <w:color w:val="000000" w:themeColor="text1"/>
          <w:sz w:val="16"/>
          <w:szCs w:val="16"/>
          <w:lang w:bidi="ru-RU"/>
        </w:rPr>
        <w:t>Не отставали и летчики, работавшие с 8-й дивизией. В на</w:t>
      </w:r>
      <w:r w:rsidRPr="00925F26">
        <w:rPr>
          <w:color w:val="000000" w:themeColor="text1"/>
          <w:sz w:val="16"/>
          <w:szCs w:val="16"/>
          <w:lang w:bidi="ru-RU"/>
        </w:rPr>
        <w:softHyphen/>
        <w:t>чале апреля один из разведывательных взводов соединения, возвращаясь с задания, угодил в засаду, приготовленную от</w:t>
      </w:r>
      <w:r w:rsidRPr="00925F26">
        <w:rPr>
          <w:color w:val="000000" w:themeColor="text1"/>
          <w:sz w:val="16"/>
          <w:szCs w:val="16"/>
          <w:lang w:bidi="ru-RU"/>
        </w:rPr>
        <w:softHyphen/>
        <w:t>рядом НСЗ командира «Жубрыда» между н.п. Грабовница и Пакошувка, что в 11 км к северо-западу от г. Санок, где рас</w:t>
      </w:r>
      <w:r w:rsidRPr="00925F26">
        <w:rPr>
          <w:color w:val="000000" w:themeColor="text1"/>
          <w:sz w:val="16"/>
          <w:szCs w:val="16"/>
          <w:lang w:bidi="ru-RU"/>
        </w:rPr>
        <w:softHyphen/>
        <w:t>полагался штаб соединения. На призыв о помощи через 15 минут прибыл По-2 и с бреющего полёта атаковал нападав</w:t>
      </w:r>
      <w:r w:rsidRPr="00925F26">
        <w:rPr>
          <w:color w:val="000000" w:themeColor="text1"/>
          <w:sz w:val="16"/>
          <w:szCs w:val="16"/>
          <w:lang w:bidi="ru-RU"/>
        </w:rPr>
        <w:softHyphen/>
        <w:t>ших. Удачно сброшенными гранатами был подавлен станко</w:t>
      </w:r>
      <w:r w:rsidRPr="00925F26">
        <w:rPr>
          <w:color w:val="000000" w:themeColor="text1"/>
          <w:sz w:val="16"/>
          <w:szCs w:val="16"/>
          <w:lang w:bidi="ru-RU"/>
        </w:rPr>
        <w:softHyphen/>
        <w:t>вый пулемет, а огонь бортового «шкаса» рассеял находивших</w:t>
      </w:r>
      <w:r w:rsidRPr="00925F26">
        <w:rPr>
          <w:color w:val="000000" w:themeColor="text1"/>
          <w:sz w:val="16"/>
          <w:szCs w:val="16"/>
          <w:lang w:bidi="ru-RU"/>
        </w:rPr>
        <w:softHyphen/>
        <w:t>ся в засаде энэсзевцев. Взвод сумел вырваться из ловушки и далее без приключений добрался до Санока. Все это вре</w:t>
      </w:r>
      <w:r w:rsidRPr="00925F26">
        <w:rPr>
          <w:color w:val="000000" w:themeColor="text1"/>
          <w:sz w:val="16"/>
          <w:szCs w:val="16"/>
          <w:lang w:bidi="ru-RU"/>
        </w:rPr>
        <w:softHyphen/>
        <w:t>мя По-2 прикрывал его с воздуха.</w:t>
      </w:r>
    </w:p>
    <w:p w14:paraId="52A1265E" w14:textId="77777777" w:rsidR="00A92FC9" w:rsidRPr="00925F26" w:rsidRDefault="00A92FC9" w:rsidP="00925F26">
      <w:pPr>
        <w:jc w:val="both"/>
        <w:rPr>
          <w:color w:val="000000" w:themeColor="text1"/>
          <w:sz w:val="16"/>
          <w:szCs w:val="16"/>
        </w:rPr>
      </w:pPr>
      <w:r w:rsidRPr="00925F26">
        <w:rPr>
          <w:color w:val="000000" w:themeColor="text1"/>
          <w:sz w:val="16"/>
          <w:szCs w:val="16"/>
          <w:lang w:bidi="ru-RU"/>
        </w:rPr>
        <w:t>Весной того же года произошла некоторая реорганизация в распределении авиации, связанная с принятием нового пла</w:t>
      </w:r>
      <w:r w:rsidRPr="00925F26">
        <w:rPr>
          <w:color w:val="000000" w:themeColor="text1"/>
          <w:sz w:val="16"/>
          <w:szCs w:val="16"/>
          <w:lang w:bidi="ru-RU"/>
        </w:rPr>
        <w:softHyphen/>
        <w:t>на повсеместной ликвидации вооруженного подполья по всей стране. 2-й авиаполк выделил свои По-2 по воеводст</w:t>
      </w:r>
      <w:r w:rsidRPr="00925F26">
        <w:rPr>
          <w:color w:val="000000" w:themeColor="text1"/>
          <w:sz w:val="16"/>
          <w:szCs w:val="16"/>
          <w:lang w:bidi="ru-RU"/>
        </w:rPr>
        <w:softHyphen/>
        <w:t>вам, наиболее затронутым боевой активностью антиправи</w:t>
      </w:r>
      <w:r w:rsidRPr="00925F26">
        <w:rPr>
          <w:color w:val="000000" w:themeColor="text1"/>
          <w:sz w:val="16"/>
          <w:szCs w:val="16"/>
          <w:lang w:bidi="ru-RU"/>
        </w:rPr>
        <w:softHyphen/>
        <w:t>тельственных формирований, в распоряжение местных коман</w:t>
      </w:r>
      <w:r w:rsidRPr="00925F26">
        <w:rPr>
          <w:color w:val="000000" w:themeColor="text1"/>
          <w:sz w:val="16"/>
          <w:szCs w:val="16"/>
          <w:lang w:bidi="ru-RU"/>
        </w:rPr>
        <w:softHyphen/>
        <w:t>дований ВП: шесть самолетов в Жешувское воеводство, по три в Люблинское и Варшавское, два - в Белостокское.</w:t>
      </w:r>
    </w:p>
    <w:p w14:paraId="0B49B500" w14:textId="77777777" w:rsidR="00A92FC9" w:rsidRPr="00925F26" w:rsidRDefault="00A92FC9" w:rsidP="00925F26">
      <w:pPr>
        <w:jc w:val="both"/>
        <w:rPr>
          <w:color w:val="000000" w:themeColor="text1"/>
          <w:sz w:val="16"/>
          <w:szCs w:val="16"/>
          <w:lang w:bidi="ru-RU"/>
        </w:rPr>
      </w:pPr>
      <w:r w:rsidRPr="00925F26">
        <w:rPr>
          <w:color w:val="000000" w:themeColor="text1"/>
          <w:sz w:val="16"/>
          <w:szCs w:val="16"/>
          <w:lang w:bidi="ru-RU"/>
        </w:rPr>
        <w:t>Начала свою боевую работу 9-я эскадрилья КВБ, часть эки</w:t>
      </w:r>
      <w:r w:rsidRPr="00925F26">
        <w:rPr>
          <w:color w:val="000000" w:themeColor="text1"/>
          <w:sz w:val="16"/>
          <w:szCs w:val="16"/>
          <w:lang w:bidi="ru-RU"/>
        </w:rPr>
        <w:softHyphen/>
        <w:t>пажей которых также была придана местным командовани</w:t>
      </w:r>
      <w:r w:rsidRPr="00925F26">
        <w:rPr>
          <w:color w:val="000000" w:themeColor="text1"/>
          <w:sz w:val="16"/>
          <w:szCs w:val="16"/>
          <w:lang w:bidi="ru-RU"/>
        </w:rPr>
        <w:softHyphen/>
        <w:t>ям оперативных частей МВД. В период с 17 по 27 апреля эки</w:t>
      </w:r>
      <w:r w:rsidRPr="00925F26">
        <w:rPr>
          <w:color w:val="000000" w:themeColor="text1"/>
          <w:sz w:val="16"/>
          <w:szCs w:val="16"/>
          <w:lang w:bidi="ru-RU"/>
        </w:rPr>
        <w:softHyphen/>
        <w:t>пажи 9-й аэ хорошо себя проявили при разгроме оператив</w:t>
      </w:r>
      <w:r w:rsidRPr="00925F26">
        <w:rPr>
          <w:color w:val="000000" w:themeColor="text1"/>
          <w:sz w:val="16"/>
          <w:szCs w:val="16"/>
          <w:lang w:bidi="ru-RU"/>
        </w:rPr>
        <w:softHyphen/>
        <w:t>ными частями КВБ отряда командира «Мечислава». С 3 по 10 мая самолеты поддерживали оперативников, проводив</w:t>
      </w:r>
      <w:r w:rsidRPr="00925F26">
        <w:rPr>
          <w:color w:val="000000" w:themeColor="text1"/>
          <w:sz w:val="16"/>
          <w:szCs w:val="16"/>
          <w:lang w:bidi="ru-RU"/>
        </w:rPr>
        <w:softHyphen/>
        <w:t>ших операцию по разгрому группировки «Варшица» в рай</w:t>
      </w:r>
      <w:r w:rsidRPr="00925F26">
        <w:rPr>
          <w:color w:val="000000" w:themeColor="text1"/>
          <w:sz w:val="16"/>
          <w:szCs w:val="16"/>
          <w:lang w:bidi="ru-RU"/>
        </w:rPr>
        <w:softHyphen/>
        <w:t>оне г. Радомско. Остатки ее были добиты в июне, а самого «Варшица» в конце месяца сумели арестовать (20274).</w:t>
      </w:r>
    </w:p>
    <w:p w14:paraId="25B1741A" w14:textId="77777777" w:rsidR="00A92FC9" w:rsidRPr="00925F26" w:rsidRDefault="00A92FC9" w:rsidP="00925F26">
      <w:pPr>
        <w:jc w:val="both"/>
        <w:rPr>
          <w:color w:val="000000" w:themeColor="text1"/>
          <w:sz w:val="16"/>
          <w:szCs w:val="16"/>
        </w:rPr>
      </w:pPr>
    </w:p>
    <w:p w14:paraId="37D1E0A6" w14:textId="36353A13" w:rsidR="00374A7A" w:rsidRPr="00925F26" w:rsidRDefault="00374A7A" w:rsidP="00374A7A">
      <w:pPr>
        <w:autoSpaceDE w:val="0"/>
        <w:autoSpaceDN w:val="0"/>
        <w:adjustRightInd w:val="0"/>
        <w:jc w:val="both"/>
        <w:rPr>
          <w:iCs/>
          <w:color w:val="000000" w:themeColor="text1"/>
          <w:sz w:val="16"/>
          <w:szCs w:val="16"/>
        </w:rPr>
      </w:pPr>
      <w:r>
        <w:rPr>
          <w:i/>
          <w:iCs/>
          <w:color w:val="000000" w:themeColor="text1"/>
          <w:sz w:val="16"/>
          <w:szCs w:val="16"/>
        </w:rPr>
        <w:t>За рубежом</w:t>
      </w:r>
      <w:r w:rsidRPr="00925F26">
        <w:rPr>
          <w:i/>
          <w:iCs/>
          <w:color w:val="000000" w:themeColor="text1"/>
          <w:sz w:val="16"/>
          <w:szCs w:val="16"/>
        </w:rPr>
        <w:t>:</w:t>
      </w:r>
    </w:p>
    <w:p w14:paraId="09A42490" w14:textId="77777777" w:rsidR="00374A7A" w:rsidRPr="00925F26" w:rsidRDefault="00374A7A" w:rsidP="00374A7A">
      <w:pPr>
        <w:autoSpaceDE w:val="0"/>
        <w:autoSpaceDN w:val="0"/>
        <w:adjustRightInd w:val="0"/>
        <w:jc w:val="both"/>
        <w:rPr>
          <w:iCs/>
          <w:color w:val="000000" w:themeColor="text1"/>
          <w:sz w:val="16"/>
          <w:szCs w:val="16"/>
        </w:rPr>
      </w:pPr>
    </w:p>
    <w:p w14:paraId="60C4DF68" w14:textId="52E21C28" w:rsidR="00374A7A" w:rsidRPr="001A0BAA" w:rsidRDefault="00374A7A" w:rsidP="00374A7A">
      <w:pPr>
        <w:jc w:val="both"/>
        <w:rPr>
          <w:color w:val="0070C0"/>
          <w:sz w:val="16"/>
          <w:szCs w:val="16"/>
        </w:rPr>
      </w:pPr>
      <w:r w:rsidRPr="001A0BAA">
        <w:rPr>
          <w:rStyle w:val="aff0"/>
          <w:rFonts w:ascii="Times New Roman" w:hAnsi="Times New Roman" w:cs="Times New Roman"/>
          <w:color w:val="0070C0"/>
          <w:spacing w:val="0"/>
          <w:sz w:val="16"/>
          <w:szCs w:val="16"/>
        </w:rPr>
        <w:t xml:space="preserve">К началу июня 1945 г. </w:t>
      </w:r>
      <w:r>
        <w:rPr>
          <w:rStyle w:val="aff0"/>
          <w:rFonts w:ascii="Times New Roman" w:hAnsi="Times New Roman" w:cs="Times New Roman"/>
          <w:color w:val="0070C0"/>
          <w:spacing w:val="0"/>
          <w:sz w:val="16"/>
          <w:szCs w:val="16"/>
        </w:rPr>
        <w:t xml:space="preserve">японские </w:t>
      </w:r>
      <w:r w:rsidRPr="001A0BAA">
        <w:rPr>
          <w:rStyle w:val="aff0"/>
          <w:rFonts w:ascii="Times New Roman" w:hAnsi="Times New Roman" w:cs="Times New Roman"/>
          <w:color w:val="0070C0"/>
          <w:spacing w:val="0"/>
          <w:sz w:val="16"/>
          <w:szCs w:val="16"/>
        </w:rPr>
        <w:t>авианосные подводные лодки были полностью готовы к по</w:t>
      </w:r>
      <w:r w:rsidRPr="001A0BAA">
        <w:rPr>
          <w:rStyle w:val="aff0"/>
          <w:rFonts w:ascii="Times New Roman" w:hAnsi="Times New Roman" w:cs="Times New Roman"/>
          <w:color w:val="0070C0"/>
          <w:spacing w:val="0"/>
          <w:sz w:val="16"/>
          <w:szCs w:val="16"/>
        </w:rPr>
        <w:softHyphen/>
        <w:t>ходу, на них даже установили для маскировки фальшивые ды</w:t>
      </w:r>
      <w:r w:rsidRPr="001A0BAA">
        <w:rPr>
          <w:rStyle w:val="aff0"/>
          <w:rFonts w:ascii="Times New Roman" w:hAnsi="Times New Roman" w:cs="Times New Roman"/>
          <w:color w:val="0070C0"/>
          <w:spacing w:val="0"/>
          <w:sz w:val="16"/>
          <w:szCs w:val="16"/>
        </w:rPr>
        <w:softHyphen/>
        <w:t>мовые трубы. Дивизион прошёл через Японское море и пролив Цусима в бухту Нанао на западном побережье острова Хонсю для подготовки к атаке. Там построили для учебных атак полно</w:t>
      </w:r>
      <w:r w:rsidRPr="001A0BAA">
        <w:rPr>
          <w:rStyle w:val="aff0"/>
          <w:rFonts w:ascii="Times New Roman" w:hAnsi="Times New Roman" w:cs="Times New Roman"/>
          <w:color w:val="0070C0"/>
          <w:spacing w:val="0"/>
          <w:sz w:val="16"/>
          <w:szCs w:val="16"/>
        </w:rPr>
        <w:softHyphen/>
        <w:t>масштабные модели двух шлюзов канала со стороны Тихого океана. Однако провести подготовку в полном объёме не удалось из-за воздушных налётов американцев и нехватки топлива, осо</w:t>
      </w:r>
      <w:r w:rsidRPr="001A0BAA">
        <w:rPr>
          <w:rStyle w:val="aff0"/>
          <w:rFonts w:ascii="Times New Roman" w:hAnsi="Times New Roman" w:cs="Times New Roman"/>
          <w:color w:val="0070C0"/>
          <w:spacing w:val="0"/>
          <w:sz w:val="16"/>
          <w:szCs w:val="16"/>
        </w:rPr>
        <w:softHyphen/>
        <w:t>бенно авиационного.</w:t>
      </w:r>
    </w:p>
    <w:p w14:paraId="7BBB82F4" w14:textId="77777777" w:rsidR="00374A7A" w:rsidRPr="001A0BAA" w:rsidRDefault="00374A7A" w:rsidP="00374A7A">
      <w:pPr>
        <w:jc w:val="both"/>
        <w:rPr>
          <w:color w:val="0070C0"/>
          <w:sz w:val="16"/>
          <w:szCs w:val="16"/>
        </w:rPr>
      </w:pPr>
      <w:r w:rsidRPr="001A0BAA">
        <w:rPr>
          <w:rStyle w:val="aff0"/>
          <w:rFonts w:ascii="Times New Roman" w:hAnsi="Times New Roman" w:cs="Times New Roman"/>
          <w:color w:val="0070C0"/>
          <w:spacing w:val="0"/>
          <w:sz w:val="16"/>
          <w:szCs w:val="16"/>
        </w:rPr>
        <w:t>Положение Японии ухудшалось настолько быстро, что от уда</w:t>
      </w:r>
      <w:r w:rsidRPr="001A0BAA">
        <w:rPr>
          <w:rStyle w:val="aff0"/>
          <w:rFonts w:ascii="Times New Roman" w:hAnsi="Times New Roman" w:cs="Times New Roman"/>
          <w:color w:val="0070C0"/>
          <w:spacing w:val="0"/>
          <w:sz w:val="16"/>
          <w:szCs w:val="16"/>
        </w:rPr>
        <w:softHyphen/>
        <w:t>ра по Панамскому каналу пришлось отказаться. В Тихом океане уже находились более 3-х тысяч (!) боевых кораблей и десантных судов США, готовившихся к вторжению в Японию. Даже полное уничтожение всех шлюзов Панамского канала уже не могло им помешать.</w:t>
      </w:r>
    </w:p>
    <w:p w14:paraId="639BB33D" w14:textId="77777777" w:rsidR="00374A7A" w:rsidRPr="001A0BAA" w:rsidRDefault="00374A7A" w:rsidP="00374A7A">
      <w:pPr>
        <w:jc w:val="both"/>
        <w:rPr>
          <w:color w:val="0070C0"/>
          <w:sz w:val="16"/>
          <w:szCs w:val="16"/>
        </w:rPr>
      </w:pPr>
      <w:r w:rsidRPr="001A0BAA">
        <w:rPr>
          <w:rStyle w:val="aff0"/>
          <w:rFonts w:ascii="Times New Roman" w:hAnsi="Times New Roman" w:cs="Times New Roman"/>
          <w:color w:val="0070C0"/>
          <w:spacing w:val="0"/>
          <w:sz w:val="16"/>
          <w:szCs w:val="16"/>
        </w:rPr>
        <w:t>Поэтому дивизиону дали другое задание: идти к атоллу Ули- ти и атаковать находящуюся там группу кораблей (25079).</w:t>
      </w:r>
    </w:p>
    <w:p w14:paraId="67381AE0" w14:textId="77777777" w:rsidR="00374A7A" w:rsidRPr="001A0BAA" w:rsidRDefault="00374A7A" w:rsidP="00374A7A">
      <w:pPr>
        <w:jc w:val="both"/>
        <w:rPr>
          <w:color w:val="0070C0"/>
          <w:sz w:val="16"/>
          <w:szCs w:val="16"/>
        </w:rPr>
      </w:pPr>
    </w:p>
    <w:p w14:paraId="49704427" w14:textId="635C8B6F" w:rsidR="0014451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Авиапромышленность:</w:t>
      </w:r>
    </w:p>
    <w:p w14:paraId="72F36854" w14:textId="77777777" w:rsidR="00144515" w:rsidRPr="00925F26" w:rsidRDefault="00144515" w:rsidP="00925F26">
      <w:pPr>
        <w:autoSpaceDE w:val="0"/>
        <w:autoSpaceDN w:val="0"/>
        <w:adjustRightInd w:val="0"/>
        <w:jc w:val="both"/>
        <w:rPr>
          <w:iCs/>
          <w:color w:val="000000" w:themeColor="text1"/>
          <w:sz w:val="16"/>
          <w:szCs w:val="16"/>
        </w:rPr>
      </w:pPr>
    </w:p>
    <w:p w14:paraId="7EF64863" w14:textId="77777777" w:rsidR="00144515" w:rsidRPr="00925F26" w:rsidRDefault="00144515" w:rsidP="00925F26">
      <w:pPr>
        <w:pStyle w:val="a3"/>
        <w:rPr>
          <w:color w:val="000000" w:themeColor="text1"/>
          <w:lang w:val="ru-RU"/>
        </w:rPr>
      </w:pPr>
      <w:r w:rsidRPr="00925F26">
        <w:rPr>
          <w:color w:val="000000" w:themeColor="text1"/>
          <w:lang w:val="ru-RU"/>
        </w:rPr>
        <w:t>К лету 1945 в ЦИАМ установили основную при</w:t>
      </w:r>
      <w:r w:rsidRPr="00925F26">
        <w:rPr>
          <w:color w:val="000000" w:themeColor="text1"/>
          <w:lang w:val="ru-RU"/>
        </w:rPr>
        <w:softHyphen/>
        <w:t>чину тряски на самолёте Ил-10. Этобыл резонанс подмоторной рамы под действием 1</w:t>
      </w:r>
      <w:r w:rsidRPr="00925F26">
        <w:rPr>
          <w:color w:val="000000" w:themeColor="text1"/>
        </w:rPr>
        <w:t>S</w:t>
      </w:r>
      <w:r w:rsidRPr="00925F26">
        <w:rPr>
          <w:color w:val="000000" w:themeColor="text1"/>
          <w:lang w:val="ru-RU"/>
        </w:rPr>
        <w:t xml:space="preserve"> гармоники крутящего момента мотора АМ-42, наступаю</w:t>
      </w:r>
      <w:r w:rsidRPr="00925F26">
        <w:rPr>
          <w:color w:val="000000" w:themeColor="text1"/>
          <w:lang w:val="ru-RU"/>
        </w:rPr>
        <w:softHyphen/>
        <w:t>щий при оборотах 1810 об/мин. С этим явлением начали бороться, но без особых успехов.</w:t>
      </w:r>
    </w:p>
    <w:p w14:paraId="4943F121" w14:textId="77777777" w:rsidR="00144515" w:rsidRPr="00925F26" w:rsidRDefault="00144515" w:rsidP="00925F26">
      <w:pPr>
        <w:pStyle w:val="a3"/>
        <w:rPr>
          <w:color w:val="000000" w:themeColor="text1"/>
          <w:lang w:val="ru-RU"/>
        </w:rPr>
      </w:pPr>
      <w:r w:rsidRPr="00925F26">
        <w:rPr>
          <w:color w:val="000000" w:themeColor="text1"/>
          <w:lang w:val="ru-RU"/>
        </w:rPr>
        <w:t>Кроме того, в ходе войсковых испытаний и эксплуатации Ил-10 в войсках было выявлено множество конструктивных дефектов самого са</w:t>
      </w:r>
      <w:r w:rsidRPr="00925F26">
        <w:rPr>
          <w:color w:val="000000" w:themeColor="text1"/>
          <w:lang w:val="ru-RU"/>
        </w:rPr>
        <w:softHyphen/>
        <w:t>молёта и винтомоторной группы. При этом ряд из них были очень и очень серьёзными.</w:t>
      </w:r>
    </w:p>
    <w:p w14:paraId="4E865FDF" w14:textId="77777777" w:rsidR="00144515" w:rsidRPr="00925F26" w:rsidRDefault="00144515" w:rsidP="00925F26">
      <w:pPr>
        <w:pStyle w:val="a3"/>
        <w:rPr>
          <w:color w:val="000000" w:themeColor="text1"/>
          <w:lang w:val="ru-RU"/>
        </w:rPr>
      </w:pPr>
      <w:r w:rsidRPr="00925F26">
        <w:rPr>
          <w:color w:val="000000" w:themeColor="text1"/>
          <w:lang w:val="ru-RU"/>
        </w:rPr>
        <w:t>Так, имели место деформация и срывы обшивки крыла. Листы обшив</w:t>
      </w:r>
      <w:r w:rsidRPr="00925F26">
        <w:rPr>
          <w:color w:val="000000" w:themeColor="text1"/>
          <w:lang w:val="ru-RU"/>
        </w:rPr>
        <w:softHyphen/>
        <w:t>ки шли волнами, заклёпки срезались или вырывались по полкам переднего лонжерона. На некоторых машинах наблюдался отрыв листов нижней об</w:t>
      </w:r>
      <w:r w:rsidRPr="00925F26">
        <w:rPr>
          <w:color w:val="000000" w:themeColor="text1"/>
          <w:lang w:val="ru-RU"/>
        </w:rPr>
        <w:softHyphen/>
        <w:t>шивки центроплана по поперечным швам, а также деформации стенок переднего лонжерона консолей. На</w:t>
      </w:r>
      <w:r w:rsidRPr="00925F26">
        <w:rPr>
          <w:color w:val="000000" w:themeColor="text1"/>
          <w:lang w:val="ru-RU"/>
        </w:rPr>
        <w:softHyphen/>
        <w:t>блюдались случаи ослабления за</w:t>
      </w:r>
      <w:r w:rsidRPr="00925F26">
        <w:rPr>
          <w:color w:val="000000" w:themeColor="text1"/>
          <w:lang w:val="ru-RU"/>
        </w:rPr>
        <w:softHyphen/>
        <w:t>клёпочных швов обшивки фюзеляжа в области крепления костыльной уста</w:t>
      </w:r>
      <w:r w:rsidRPr="00925F26">
        <w:rPr>
          <w:color w:val="000000" w:themeColor="text1"/>
          <w:lang w:val="ru-RU"/>
        </w:rPr>
        <w:softHyphen/>
        <w:t>новки и по листу перехода килевой части, а также деформация рам хво</w:t>
      </w:r>
      <w:r w:rsidRPr="00925F26">
        <w:rPr>
          <w:color w:val="000000" w:themeColor="text1"/>
          <w:lang w:val="ru-RU"/>
        </w:rPr>
        <w:softHyphen/>
        <w:t>стовой части фюзеляжа.</w:t>
      </w:r>
    </w:p>
    <w:p w14:paraId="1418C289" w14:textId="77777777" w:rsidR="00144515" w:rsidRPr="00925F26" w:rsidRDefault="00144515" w:rsidP="00925F26">
      <w:pPr>
        <w:pStyle w:val="a3"/>
        <w:rPr>
          <w:color w:val="000000" w:themeColor="text1"/>
          <w:lang w:val="ru-RU"/>
        </w:rPr>
      </w:pPr>
      <w:r w:rsidRPr="00925F26">
        <w:rPr>
          <w:color w:val="000000" w:themeColor="text1"/>
          <w:lang w:val="ru-RU"/>
        </w:rPr>
        <w:t>Например, в 15 ВА с марта по май 1945 г. по этой причине вышли из строя все «десятки» из первой партии поставки - 45 Ил-10 производства завода № 1. Дефекты проявились уже после 15-18 ч налета. Как следует из доклада главного инженера армии генерала Иоффе, «все</w:t>
      </w:r>
      <w:r w:rsidRPr="00925F26">
        <w:rPr>
          <w:rStyle w:val="245"/>
          <w:rFonts w:ascii="Times New Roman" w:hAnsi="Times New Roman" w:cs="Times New Roman"/>
          <w:i w:val="0"/>
          <w:color w:val="000000" w:themeColor="text1"/>
          <w:sz w:val="16"/>
          <w:szCs w:val="16"/>
          <w:lang w:val="ru-RU"/>
        </w:rPr>
        <w:t xml:space="preserve"> эти машины были сняты с эксплуатации и переданы в школы ВВС».</w:t>
      </w:r>
    </w:p>
    <w:p w14:paraId="14EBB10D" w14:textId="77777777" w:rsidR="00144515" w:rsidRPr="00925F26" w:rsidRDefault="00144515" w:rsidP="00925F26">
      <w:pPr>
        <w:pStyle w:val="212"/>
        <w:shd w:val="clear" w:color="auto" w:fill="auto"/>
        <w:spacing w:line="240" w:lineRule="auto"/>
        <w:jc w:val="both"/>
        <w:rPr>
          <w:rFonts w:ascii="Times New Roman" w:hAnsi="Times New Roman" w:cs="Times New Roman"/>
          <w:i w:val="0"/>
          <w:color w:val="000000" w:themeColor="text1"/>
          <w:sz w:val="16"/>
          <w:szCs w:val="16"/>
        </w:rPr>
      </w:pPr>
      <w:r w:rsidRPr="00925F26">
        <w:rPr>
          <w:rStyle w:val="219"/>
          <w:rFonts w:ascii="Times New Roman" w:eastAsia="Arial Unicode MS" w:hAnsi="Times New Roman" w:cs="Times New Roman"/>
          <w:i w:val="0"/>
          <w:iCs w:val="0"/>
          <w:color w:val="000000" w:themeColor="text1"/>
        </w:rPr>
        <w:t>Лётный состав особо указывал, что</w:t>
      </w:r>
      <w:r w:rsidRPr="00925F26">
        <w:rPr>
          <w:rFonts w:ascii="Times New Roman" w:hAnsi="Times New Roman" w:cs="Times New Roman"/>
          <w:i w:val="0"/>
          <w:color w:val="000000" w:themeColor="text1"/>
          <w:sz w:val="16"/>
          <w:szCs w:val="16"/>
        </w:rPr>
        <w:t xml:space="preserve"> «самолёт Ил-10 на пикировании не терпит резкостей в </w:t>
      </w:r>
      <w:r w:rsidRPr="00925F26">
        <w:rPr>
          <w:rStyle w:val="219"/>
          <w:rFonts w:ascii="Times New Roman" w:eastAsia="Arial Unicode MS" w:hAnsi="Times New Roman" w:cs="Times New Roman"/>
          <w:i w:val="0"/>
          <w:iCs w:val="0"/>
          <w:color w:val="000000" w:themeColor="text1"/>
        </w:rPr>
        <w:t>выводе,</w:t>
      </w:r>
      <w:r w:rsidRPr="00925F26">
        <w:rPr>
          <w:rFonts w:ascii="Times New Roman" w:hAnsi="Times New Roman" w:cs="Times New Roman"/>
          <w:i w:val="0"/>
          <w:color w:val="000000" w:themeColor="text1"/>
          <w:sz w:val="16"/>
          <w:szCs w:val="16"/>
        </w:rPr>
        <w:t xml:space="preserve"> не допускает перегрузки 5,5 единиц» (15978).</w:t>
      </w:r>
    </w:p>
    <w:p w14:paraId="30F40ACD" w14:textId="77777777" w:rsidR="00144515" w:rsidRPr="00925F26" w:rsidRDefault="00144515" w:rsidP="00925F26">
      <w:pPr>
        <w:pStyle w:val="212"/>
        <w:shd w:val="clear" w:color="auto" w:fill="auto"/>
        <w:spacing w:line="240" w:lineRule="auto"/>
        <w:jc w:val="both"/>
        <w:rPr>
          <w:rFonts w:ascii="Times New Roman" w:hAnsi="Times New Roman" w:cs="Times New Roman"/>
          <w:i w:val="0"/>
          <w:color w:val="000000" w:themeColor="text1"/>
          <w:sz w:val="16"/>
          <w:szCs w:val="16"/>
        </w:rPr>
      </w:pPr>
    </w:p>
    <w:p w14:paraId="1D4F347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29C727B" w14:textId="77777777" w:rsidR="006103B3" w:rsidRPr="00925F26" w:rsidRDefault="006103B3" w:rsidP="00925F26">
      <w:pPr>
        <w:autoSpaceDE w:val="0"/>
        <w:autoSpaceDN w:val="0"/>
        <w:adjustRightInd w:val="0"/>
        <w:jc w:val="both"/>
        <w:rPr>
          <w:iCs/>
          <w:color w:val="000000" w:themeColor="text1"/>
          <w:sz w:val="16"/>
          <w:szCs w:val="16"/>
        </w:rPr>
      </w:pPr>
    </w:p>
    <w:p w14:paraId="46E0837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лету 1945 г. "амбарчики" продолжали там оставаться основными самолётами-разведчиками на ТОФ. Несмотря на предпринятые в преддверии войны с Японией меры по усилению Тихоокеанского флота и его морской авиации, в частях насчитывалось 146 МБР-2 (в том числе такие раритеты, как МБР-2 с аппаратурой волнового управления) и 70 "каталин". Они были распределены между тремя полками (117-м и 48-м морскими дальнеразведыва- тельными и 115-м морским разведывательным), а также отдельными эскадрильями и звеньями (морскими разведывательными и волнового управления). Ещё десять МБР-2 составляли 2-й отдельный морской бомбардировочный авиационный пограничный полк (омбапп) Приморского пограничного округа, базировавшийся на Камчатке и находившийся в оперативном подчинении 128-й смешанной авиационной дивизии 10-й воздушной армии (12003).</w:t>
      </w:r>
    </w:p>
    <w:p w14:paraId="2E206192" w14:textId="77777777" w:rsidR="006103B3" w:rsidRPr="00925F26" w:rsidRDefault="006103B3" w:rsidP="00925F26">
      <w:pPr>
        <w:widowControl w:val="0"/>
        <w:autoSpaceDE w:val="0"/>
        <w:autoSpaceDN w:val="0"/>
        <w:adjustRightInd w:val="0"/>
        <w:jc w:val="both"/>
        <w:rPr>
          <w:color w:val="000000" w:themeColor="text1"/>
          <w:sz w:val="16"/>
          <w:szCs w:val="16"/>
        </w:rPr>
      </w:pPr>
    </w:p>
    <w:p w14:paraId="10446BF1" w14:textId="77777777" w:rsidR="007C455A" w:rsidRPr="00925F26" w:rsidRDefault="007C455A" w:rsidP="00925F26">
      <w:pPr>
        <w:jc w:val="both"/>
        <w:rPr>
          <w:color w:val="000000" w:themeColor="text1"/>
          <w:sz w:val="16"/>
          <w:szCs w:val="16"/>
        </w:rPr>
      </w:pPr>
      <w:r w:rsidRPr="00925F26">
        <w:rPr>
          <w:color w:val="000000" w:themeColor="text1"/>
          <w:sz w:val="16"/>
          <w:szCs w:val="16"/>
        </w:rPr>
        <w:t>К лету 1945 г. Харрикейнов осталось еще немало, но по</w:t>
      </w:r>
      <w:r w:rsidRPr="00925F26">
        <w:rPr>
          <w:color w:val="000000" w:themeColor="text1"/>
          <w:sz w:val="16"/>
          <w:szCs w:val="16"/>
        </w:rPr>
        <w:softHyphen/>
        <w:t>сле победы над Германией они быстро исчезли из рядов советской военной ави</w:t>
      </w:r>
      <w:r w:rsidRPr="00925F26">
        <w:rPr>
          <w:color w:val="000000" w:themeColor="text1"/>
          <w:sz w:val="16"/>
          <w:szCs w:val="16"/>
        </w:rPr>
        <w:softHyphen/>
        <w:t>ации, их полностью заменили более сов</w:t>
      </w:r>
      <w:r w:rsidRPr="00925F26">
        <w:rPr>
          <w:color w:val="000000" w:themeColor="text1"/>
          <w:sz w:val="16"/>
          <w:szCs w:val="16"/>
        </w:rPr>
        <w:softHyphen/>
        <w:t>ременные отечественные и импортные истребители. В недолгой кампании про</w:t>
      </w:r>
      <w:r w:rsidRPr="00925F26">
        <w:rPr>
          <w:color w:val="000000" w:themeColor="text1"/>
          <w:sz w:val="16"/>
          <w:szCs w:val="16"/>
        </w:rPr>
        <w:softHyphen/>
        <w:t>тив японской Квантунской армии в Китае «Харрикейны» не участвовали, в трех со</w:t>
      </w:r>
      <w:r w:rsidRPr="00925F26">
        <w:rPr>
          <w:color w:val="000000" w:themeColor="text1"/>
          <w:sz w:val="16"/>
          <w:szCs w:val="16"/>
        </w:rPr>
        <w:softHyphen/>
        <w:t>ветских воздушных армиях на Дальнем Востоке их вообще не имелось. Всего за войну советские ВВС и ис</w:t>
      </w:r>
      <w:r w:rsidRPr="00925F26">
        <w:rPr>
          <w:color w:val="000000" w:themeColor="text1"/>
          <w:sz w:val="16"/>
          <w:szCs w:val="16"/>
        </w:rPr>
        <w:softHyphen/>
        <w:t>требительная авиация ПВО потеряли 1813 «Харрикейнов». Из них около 14% — списание из-за аварий и катастроф; это самый высокий показатель для истреби</w:t>
      </w:r>
      <w:r w:rsidRPr="00925F26">
        <w:rPr>
          <w:color w:val="000000" w:themeColor="text1"/>
          <w:sz w:val="16"/>
          <w:szCs w:val="16"/>
        </w:rPr>
        <w:softHyphen/>
        <w:t>телей в нашей авиации, на втором месте Ла-5 — 12,5% (23513).</w:t>
      </w:r>
    </w:p>
    <w:p w14:paraId="2BEDA863" w14:textId="77777777" w:rsidR="007C455A" w:rsidRPr="00925F26" w:rsidRDefault="007C455A" w:rsidP="00925F26">
      <w:pPr>
        <w:jc w:val="both"/>
        <w:rPr>
          <w:color w:val="000000" w:themeColor="text1"/>
          <w:sz w:val="16"/>
          <w:szCs w:val="16"/>
        </w:rPr>
      </w:pPr>
    </w:p>
    <w:p w14:paraId="57619B68" w14:textId="77777777" w:rsidR="007C455A" w:rsidRPr="00925F26" w:rsidRDefault="007C455A" w:rsidP="00925F26">
      <w:pPr>
        <w:jc w:val="both"/>
        <w:rPr>
          <w:color w:val="000000" w:themeColor="text1"/>
          <w:sz w:val="16"/>
          <w:szCs w:val="16"/>
        </w:rPr>
      </w:pPr>
      <w:r w:rsidRPr="00925F26">
        <w:rPr>
          <w:color w:val="000000" w:themeColor="text1"/>
          <w:sz w:val="16"/>
          <w:szCs w:val="16"/>
        </w:rPr>
        <w:t>К лету 1945 г. Харрикейнов осталось еще немало, но после победы над Германией они быстро исчезли из рядов советской военной авиации, их полностью заменили более современные отечественные и импортные истребители. Всего за войну советские ВВС и истреби</w:t>
      </w:r>
      <w:r w:rsidRPr="00925F26">
        <w:rPr>
          <w:color w:val="000000" w:themeColor="text1"/>
          <w:sz w:val="16"/>
          <w:szCs w:val="16"/>
        </w:rPr>
        <w:softHyphen/>
        <w:t>тельная авиация ПВО потеряли 1813 «Хар- рикейнов». В недолгой кам</w:t>
      </w:r>
      <w:r w:rsidRPr="00925F26">
        <w:rPr>
          <w:color w:val="000000" w:themeColor="text1"/>
          <w:sz w:val="16"/>
          <w:szCs w:val="16"/>
        </w:rPr>
        <w:softHyphen/>
        <w:t>пании против японской Квантунской армии в Китае «Харрикейны» не участвовали, в трех советских воздушных армиях на Дальнем Востоке их вообще не имелось.</w:t>
      </w:r>
    </w:p>
    <w:p w14:paraId="5693BC85" w14:textId="77777777" w:rsidR="007C455A" w:rsidRPr="00925F26" w:rsidRDefault="007C455A" w:rsidP="00925F26">
      <w:pPr>
        <w:jc w:val="both"/>
        <w:rPr>
          <w:color w:val="000000" w:themeColor="text1"/>
          <w:sz w:val="16"/>
          <w:szCs w:val="16"/>
        </w:rPr>
      </w:pPr>
      <w:r w:rsidRPr="00925F26">
        <w:rPr>
          <w:color w:val="000000" w:themeColor="text1"/>
          <w:sz w:val="16"/>
          <w:szCs w:val="16"/>
        </w:rPr>
        <w:t>Возвращать самолеты в Англию Советский Союз был не обязан, и они в своем боль</w:t>
      </w:r>
      <w:r w:rsidRPr="00925F26">
        <w:rPr>
          <w:color w:val="000000" w:themeColor="text1"/>
          <w:sz w:val="16"/>
          <w:szCs w:val="16"/>
        </w:rPr>
        <w:softHyphen/>
        <w:t>шинстве быстро пошли на слом. В частно</w:t>
      </w:r>
      <w:r w:rsidRPr="00925F26">
        <w:rPr>
          <w:color w:val="000000" w:themeColor="text1"/>
          <w:sz w:val="16"/>
          <w:szCs w:val="16"/>
        </w:rPr>
        <w:softHyphen/>
        <w:t>сти, по постановлению Совета Министров СССР от 22 марта 1946 г. подлежал списанию 421 «Харрикейн». Это были практически все самолеты этого типа, находившиеся в это вре</w:t>
      </w:r>
      <w:r w:rsidRPr="00925F26">
        <w:rPr>
          <w:color w:val="000000" w:themeColor="text1"/>
          <w:sz w:val="16"/>
          <w:szCs w:val="16"/>
        </w:rPr>
        <w:softHyphen/>
        <w:t>мя в Советском Союзе и способные летать (24506).</w:t>
      </w:r>
    </w:p>
    <w:p w14:paraId="7CB42F0D" w14:textId="77777777" w:rsidR="007C455A" w:rsidRPr="00925F26" w:rsidRDefault="007C455A" w:rsidP="00925F26">
      <w:pPr>
        <w:jc w:val="both"/>
        <w:rPr>
          <w:color w:val="000000" w:themeColor="text1"/>
          <w:sz w:val="16"/>
          <w:szCs w:val="16"/>
        </w:rPr>
      </w:pPr>
    </w:p>
    <w:p w14:paraId="2B4BF9C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CB9212E" w14:textId="77777777" w:rsidR="006103B3" w:rsidRPr="00925F26" w:rsidRDefault="006103B3" w:rsidP="00925F26">
      <w:pPr>
        <w:autoSpaceDE w:val="0"/>
        <w:autoSpaceDN w:val="0"/>
        <w:adjustRightInd w:val="0"/>
        <w:jc w:val="both"/>
        <w:rPr>
          <w:iCs/>
          <w:color w:val="000000" w:themeColor="text1"/>
          <w:sz w:val="16"/>
          <w:szCs w:val="16"/>
        </w:rPr>
      </w:pPr>
    </w:p>
    <w:p w14:paraId="053AA0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лету 1945 выставка трофейной техники, открытая в начале лета 1943 на набережной Москвы-реки в Парке Горького, достигла рассвета, протянувшись на сотни метров. Просуществовала до конца 1948, когда техника - обветшала (4617,2).</w:t>
      </w:r>
    </w:p>
    <w:p w14:paraId="3537B011" w14:textId="77777777" w:rsidR="006103B3" w:rsidRPr="00925F26" w:rsidRDefault="006103B3" w:rsidP="00925F26">
      <w:pPr>
        <w:autoSpaceDE w:val="0"/>
        <w:autoSpaceDN w:val="0"/>
        <w:adjustRightInd w:val="0"/>
        <w:jc w:val="both"/>
        <w:rPr>
          <w:color w:val="000000" w:themeColor="text1"/>
          <w:sz w:val="16"/>
          <w:szCs w:val="16"/>
        </w:rPr>
      </w:pPr>
    </w:p>
    <w:p w14:paraId="346A3C9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AA434F7" w14:textId="77777777" w:rsidR="006103B3" w:rsidRPr="00925F26" w:rsidRDefault="006103B3" w:rsidP="00925F26">
      <w:pPr>
        <w:autoSpaceDE w:val="0"/>
        <w:autoSpaceDN w:val="0"/>
        <w:adjustRightInd w:val="0"/>
        <w:jc w:val="both"/>
        <w:rPr>
          <w:iCs/>
          <w:color w:val="000000" w:themeColor="text1"/>
          <w:sz w:val="16"/>
          <w:szCs w:val="16"/>
        </w:rPr>
      </w:pPr>
    </w:p>
    <w:p w14:paraId="3890D115" w14:textId="77777777" w:rsidR="002365D7" w:rsidRPr="00925F26" w:rsidRDefault="002365D7" w:rsidP="00925F26">
      <w:pPr>
        <w:jc w:val="both"/>
        <w:rPr>
          <w:color w:val="000000" w:themeColor="text1"/>
          <w:sz w:val="16"/>
          <w:szCs w:val="16"/>
        </w:rPr>
      </w:pPr>
      <w:r w:rsidRPr="00925F26">
        <w:rPr>
          <w:rStyle w:val="107"/>
          <w:rFonts w:eastAsiaTheme="minorHAnsi"/>
          <w:color w:val="000000" w:themeColor="text1"/>
          <w:sz w:val="16"/>
          <w:szCs w:val="16"/>
        </w:rPr>
        <w:t>На 1 июня 1945 года заводы № 1 и № 18 сдали ВВС по боевой готовности 1035 самолетов Ил-10. 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26B1D4F1" w14:textId="77777777" w:rsidR="002365D7" w:rsidRPr="00925F26" w:rsidRDefault="002365D7" w:rsidP="00925F26">
      <w:pPr>
        <w:jc w:val="both"/>
        <w:rPr>
          <w:rStyle w:val="107"/>
          <w:rFonts w:eastAsiaTheme="minorHAnsi"/>
          <w:color w:val="000000" w:themeColor="text1"/>
          <w:sz w:val="16"/>
          <w:szCs w:val="16"/>
        </w:rPr>
      </w:pPr>
    </w:p>
    <w:p w14:paraId="0F42F1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1645ED6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ВВС гма А.А.Новиков утвердил 5 июня 1945</w:t>
      </w:r>
    </w:p>
    <w:p w14:paraId="13B23A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37727A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3DDDEF7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0638EF7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5147816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3F3BDF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76F53D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3958042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00A32B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0EBB1D6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3B6304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60B0AE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751AC1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1E6CA8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49843B9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70EE41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7F6424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3FE852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4EB246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28355D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225495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21F308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0394FA7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05591B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67131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7F7A38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0EE26C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1F7BEF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7096D6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65BE1A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Шиманову</w:t>
      </w:r>
    </w:p>
    <w:p w14:paraId="49124D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5E40252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5DDDA4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1AF230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5830A4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5D2163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4F53C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2F31A0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плохая работа РПД (не обеспечивается поддержка наддува). Заменено 6 РПД по различным причинам</w:t>
      </w:r>
    </w:p>
    <w:p w14:paraId="1DDA0E1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515BC0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47FBA6C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1C3928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57CA46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05F673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5AC626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7EB8C1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10F371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6657A5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6D91A993" w14:textId="77777777">
        <w:tc>
          <w:tcPr>
            <w:tcW w:w="4219" w:type="dxa"/>
            <w:tcBorders>
              <w:top w:val="single" w:sz="12" w:space="0" w:color="auto"/>
            </w:tcBorders>
          </w:tcPr>
          <w:p w14:paraId="4B620A74" w14:textId="77777777" w:rsidR="006103B3" w:rsidRPr="00925F26" w:rsidRDefault="006103B3"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0B37DD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794BB7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68D925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79226A2F" w14:textId="77777777">
        <w:tc>
          <w:tcPr>
            <w:tcW w:w="4219" w:type="dxa"/>
          </w:tcPr>
          <w:p w14:paraId="082365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50F934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0356F5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3A26AF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068AD367" w14:textId="77777777">
        <w:tc>
          <w:tcPr>
            <w:tcW w:w="4219" w:type="dxa"/>
          </w:tcPr>
          <w:p w14:paraId="385080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035A44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390D9F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5AA4FD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5851FC5F" w14:textId="77777777">
        <w:tc>
          <w:tcPr>
            <w:tcW w:w="4219" w:type="dxa"/>
          </w:tcPr>
          <w:p w14:paraId="16DCC73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2ED2AC8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63313E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733BCD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011BF7C0" w14:textId="77777777">
        <w:tc>
          <w:tcPr>
            <w:tcW w:w="4219" w:type="dxa"/>
          </w:tcPr>
          <w:p w14:paraId="5C4BA1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5C7DA9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5BEC80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1B17F4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5FBC6311" w14:textId="77777777">
        <w:tc>
          <w:tcPr>
            <w:tcW w:w="4219" w:type="dxa"/>
          </w:tcPr>
          <w:p w14:paraId="28FC37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6EE8012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558235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7F4045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56E1DBF3" w14:textId="77777777">
        <w:tc>
          <w:tcPr>
            <w:tcW w:w="4219" w:type="dxa"/>
          </w:tcPr>
          <w:p w14:paraId="59316F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589E93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568EC57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3E3A1F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7CFC6781" w14:textId="77777777">
        <w:tc>
          <w:tcPr>
            <w:tcW w:w="4219" w:type="dxa"/>
          </w:tcPr>
          <w:p w14:paraId="31BFDE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28B984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701F43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7A67D8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4CBC7894" w14:textId="77777777">
        <w:tc>
          <w:tcPr>
            <w:tcW w:w="4219" w:type="dxa"/>
          </w:tcPr>
          <w:p w14:paraId="7A1BBA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14E0A6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0968A6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0ECC3FE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2980E144" w14:textId="77777777">
        <w:tc>
          <w:tcPr>
            <w:tcW w:w="4219" w:type="dxa"/>
          </w:tcPr>
          <w:p w14:paraId="756AA2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16EFA9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034D42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45F029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6103DDED" w14:textId="77777777">
        <w:tc>
          <w:tcPr>
            <w:tcW w:w="4219" w:type="dxa"/>
          </w:tcPr>
          <w:p w14:paraId="504EA9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74D7A46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0FCA0B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5520A9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38EA9339" w14:textId="77777777">
        <w:tc>
          <w:tcPr>
            <w:tcW w:w="4219" w:type="dxa"/>
          </w:tcPr>
          <w:p w14:paraId="6C65AFA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140F87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32DBCA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34FF15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1CE758DC" w14:textId="77777777">
        <w:tc>
          <w:tcPr>
            <w:tcW w:w="4219" w:type="dxa"/>
          </w:tcPr>
          <w:p w14:paraId="1A1EB2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26BC16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18B1CF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7884E2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4B624A75" w14:textId="77777777">
        <w:tc>
          <w:tcPr>
            <w:tcW w:w="4219" w:type="dxa"/>
          </w:tcPr>
          <w:p w14:paraId="7248B3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6A1E35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24027E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0EBB88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3C164DC2" w14:textId="77777777">
        <w:tc>
          <w:tcPr>
            <w:tcW w:w="4219" w:type="dxa"/>
          </w:tcPr>
          <w:p w14:paraId="14CF36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6C6FAD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13587B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4498FC5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05B948F5" w14:textId="77777777">
        <w:tc>
          <w:tcPr>
            <w:tcW w:w="4219" w:type="dxa"/>
          </w:tcPr>
          <w:p w14:paraId="3EB1DA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481378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2E1502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770B409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5EA49F2F" w14:textId="77777777">
        <w:tc>
          <w:tcPr>
            <w:tcW w:w="4219" w:type="dxa"/>
          </w:tcPr>
          <w:p w14:paraId="303094B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52C6867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2521C7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1BE296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396042E3" w14:textId="77777777">
        <w:tc>
          <w:tcPr>
            <w:tcW w:w="4219" w:type="dxa"/>
          </w:tcPr>
          <w:p w14:paraId="6C7BBC1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61EACA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07766A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64D7799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4BC5CAD1" w14:textId="77777777">
        <w:tc>
          <w:tcPr>
            <w:tcW w:w="4219" w:type="dxa"/>
            <w:tcBorders>
              <w:bottom w:val="single" w:sz="12" w:space="0" w:color="auto"/>
            </w:tcBorders>
          </w:tcPr>
          <w:p w14:paraId="3CF2DE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4C554F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7FC520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488906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7E02942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43F9BE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5F1CB8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6BE0A1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23A1D3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25703288" w14:textId="77777777">
        <w:tc>
          <w:tcPr>
            <w:tcW w:w="675" w:type="dxa"/>
            <w:tcBorders>
              <w:top w:val="single" w:sz="12" w:space="0" w:color="auto"/>
            </w:tcBorders>
          </w:tcPr>
          <w:p w14:paraId="124DAAC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489DA4C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62C661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6FA0A9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01A156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1E543DA8" w14:textId="77777777">
        <w:tc>
          <w:tcPr>
            <w:tcW w:w="675" w:type="dxa"/>
          </w:tcPr>
          <w:p w14:paraId="5C4F4926" w14:textId="77777777" w:rsidR="006103B3" w:rsidRPr="00925F26" w:rsidRDefault="006103B3" w:rsidP="00925F26">
            <w:pPr>
              <w:autoSpaceDE w:val="0"/>
              <w:autoSpaceDN w:val="0"/>
              <w:adjustRightInd w:val="0"/>
              <w:jc w:val="both"/>
              <w:rPr>
                <w:color w:val="000000" w:themeColor="text1"/>
                <w:sz w:val="16"/>
                <w:szCs w:val="16"/>
              </w:rPr>
            </w:pPr>
          </w:p>
        </w:tc>
        <w:tc>
          <w:tcPr>
            <w:tcW w:w="993" w:type="dxa"/>
          </w:tcPr>
          <w:p w14:paraId="68B60F8E" w14:textId="77777777" w:rsidR="006103B3" w:rsidRPr="00925F26" w:rsidRDefault="006103B3" w:rsidP="00925F26">
            <w:pPr>
              <w:autoSpaceDE w:val="0"/>
              <w:autoSpaceDN w:val="0"/>
              <w:adjustRightInd w:val="0"/>
              <w:jc w:val="both"/>
              <w:rPr>
                <w:color w:val="000000" w:themeColor="text1"/>
                <w:sz w:val="16"/>
                <w:szCs w:val="16"/>
              </w:rPr>
            </w:pPr>
          </w:p>
        </w:tc>
        <w:tc>
          <w:tcPr>
            <w:tcW w:w="1134" w:type="dxa"/>
          </w:tcPr>
          <w:p w14:paraId="2B7FAD87" w14:textId="77777777" w:rsidR="006103B3" w:rsidRPr="00925F26" w:rsidRDefault="006103B3" w:rsidP="00925F26">
            <w:pPr>
              <w:autoSpaceDE w:val="0"/>
              <w:autoSpaceDN w:val="0"/>
              <w:adjustRightInd w:val="0"/>
              <w:jc w:val="both"/>
              <w:rPr>
                <w:color w:val="000000" w:themeColor="text1"/>
                <w:sz w:val="16"/>
                <w:szCs w:val="16"/>
              </w:rPr>
            </w:pPr>
          </w:p>
        </w:tc>
        <w:tc>
          <w:tcPr>
            <w:tcW w:w="992" w:type="dxa"/>
          </w:tcPr>
          <w:p w14:paraId="5C30DFF2" w14:textId="77777777" w:rsidR="006103B3" w:rsidRPr="00925F26" w:rsidRDefault="006103B3" w:rsidP="00925F26">
            <w:pPr>
              <w:autoSpaceDE w:val="0"/>
              <w:autoSpaceDN w:val="0"/>
              <w:adjustRightInd w:val="0"/>
              <w:jc w:val="both"/>
              <w:rPr>
                <w:color w:val="000000" w:themeColor="text1"/>
                <w:sz w:val="16"/>
                <w:szCs w:val="16"/>
              </w:rPr>
            </w:pPr>
          </w:p>
        </w:tc>
        <w:tc>
          <w:tcPr>
            <w:tcW w:w="1134" w:type="dxa"/>
          </w:tcPr>
          <w:p w14:paraId="5A0C20D4" w14:textId="77777777" w:rsidR="006103B3" w:rsidRPr="00925F26" w:rsidRDefault="006103B3" w:rsidP="00925F26">
            <w:pPr>
              <w:autoSpaceDE w:val="0"/>
              <w:autoSpaceDN w:val="0"/>
              <w:adjustRightInd w:val="0"/>
              <w:jc w:val="both"/>
              <w:rPr>
                <w:color w:val="000000" w:themeColor="text1"/>
                <w:sz w:val="16"/>
                <w:szCs w:val="16"/>
              </w:rPr>
            </w:pPr>
          </w:p>
        </w:tc>
      </w:tr>
      <w:tr w:rsidR="000F5689" w:rsidRPr="00925F26" w14:paraId="0F9A192A" w14:textId="77777777">
        <w:tc>
          <w:tcPr>
            <w:tcW w:w="675" w:type="dxa"/>
          </w:tcPr>
          <w:p w14:paraId="20CE2B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205FF79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1CA98A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F38469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1CF8CB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06A68F03" w14:textId="77777777">
        <w:tc>
          <w:tcPr>
            <w:tcW w:w="675" w:type="dxa"/>
          </w:tcPr>
          <w:p w14:paraId="25C41B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6F63B76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5F7F46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30AD63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06D724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295F476F" w14:textId="77777777">
        <w:tc>
          <w:tcPr>
            <w:tcW w:w="675" w:type="dxa"/>
          </w:tcPr>
          <w:p w14:paraId="3EC926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45CC6B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4E4494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37F7F5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3E99B2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48EF2713" w14:textId="77777777">
        <w:tc>
          <w:tcPr>
            <w:tcW w:w="675" w:type="dxa"/>
          </w:tcPr>
          <w:p w14:paraId="4744318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1E2C2D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1FD2E4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892E4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36612C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706B0E09" w14:textId="77777777">
        <w:tc>
          <w:tcPr>
            <w:tcW w:w="675" w:type="dxa"/>
          </w:tcPr>
          <w:p w14:paraId="19BAEE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335A96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355A2A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5F23DD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7DF664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7E3AC9D6" w14:textId="77777777">
        <w:tc>
          <w:tcPr>
            <w:tcW w:w="675" w:type="dxa"/>
          </w:tcPr>
          <w:p w14:paraId="560672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505C81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07EBFF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03B942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753B47B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78F7602C" w14:textId="77777777">
        <w:tc>
          <w:tcPr>
            <w:tcW w:w="675" w:type="dxa"/>
          </w:tcPr>
          <w:p w14:paraId="305E03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21C8F4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35590A8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33F594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6F5708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4A013F06" w14:textId="77777777">
        <w:tc>
          <w:tcPr>
            <w:tcW w:w="675" w:type="dxa"/>
          </w:tcPr>
          <w:p w14:paraId="453181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1746CA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11E258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336FF7F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69890E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7E37750C" w14:textId="77777777">
        <w:tc>
          <w:tcPr>
            <w:tcW w:w="675" w:type="dxa"/>
            <w:tcBorders>
              <w:bottom w:val="single" w:sz="12" w:space="0" w:color="auto"/>
            </w:tcBorders>
          </w:tcPr>
          <w:p w14:paraId="2CDB9B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7FE1B5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1108A21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133E0D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4EAA818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309254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30D0389D" w14:textId="77777777">
        <w:tc>
          <w:tcPr>
            <w:tcW w:w="1868" w:type="dxa"/>
            <w:tcBorders>
              <w:top w:val="single" w:sz="12" w:space="0" w:color="auto"/>
            </w:tcBorders>
          </w:tcPr>
          <w:p w14:paraId="78B633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00E193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68D921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6CEB30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15BDA5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2778D5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61AFD02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4CB57FC6" w14:textId="77777777">
        <w:tc>
          <w:tcPr>
            <w:tcW w:w="1868" w:type="dxa"/>
          </w:tcPr>
          <w:p w14:paraId="3F18A2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2F1DC1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239D67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68962B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6409D2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67D377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3696A7F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06678EB9" w14:textId="77777777">
        <w:tc>
          <w:tcPr>
            <w:tcW w:w="1868" w:type="dxa"/>
          </w:tcPr>
          <w:p w14:paraId="69F3A3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42DDC7E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514AC9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3D2F71D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602FFC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C025C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71A949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4DB89BAE" w14:textId="77777777">
        <w:tc>
          <w:tcPr>
            <w:tcW w:w="1868" w:type="dxa"/>
          </w:tcPr>
          <w:p w14:paraId="4DDAFBF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2000</w:t>
            </w:r>
          </w:p>
        </w:tc>
        <w:tc>
          <w:tcPr>
            <w:tcW w:w="1075" w:type="dxa"/>
          </w:tcPr>
          <w:p w14:paraId="650010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4E94A1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36F5CE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0F0A315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15146F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4C03ED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46281C40" w14:textId="77777777">
        <w:tc>
          <w:tcPr>
            <w:tcW w:w="1868" w:type="dxa"/>
          </w:tcPr>
          <w:p w14:paraId="3E3952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3825A9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17DE371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42F32D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0615A1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06EB06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017024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49E6049D" w14:textId="77777777">
        <w:tc>
          <w:tcPr>
            <w:tcW w:w="1868" w:type="dxa"/>
          </w:tcPr>
          <w:p w14:paraId="0BD097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5C52A2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69200F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0DF55F5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19567D3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60DA7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74E680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5F579018" w14:textId="77777777">
        <w:tc>
          <w:tcPr>
            <w:tcW w:w="1868" w:type="dxa"/>
          </w:tcPr>
          <w:p w14:paraId="184BE4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327CCC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78C472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23674D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4D0ED8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4DA1D9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5519F1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18EEC69A" w14:textId="77777777">
        <w:tc>
          <w:tcPr>
            <w:tcW w:w="1868" w:type="dxa"/>
          </w:tcPr>
          <w:p w14:paraId="3D3FC4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525137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10B927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2A3F04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4E9A81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1873518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1B0B3B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15468832" w14:textId="77777777">
        <w:tc>
          <w:tcPr>
            <w:tcW w:w="1868" w:type="dxa"/>
          </w:tcPr>
          <w:p w14:paraId="1B45BC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5D56360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4F62C8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1BB6F9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558945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0E48456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059A8E0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16633EF0" w14:textId="77777777">
        <w:tc>
          <w:tcPr>
            <w:tcW w:w="1868" w:type="dxa"/>
            <w:tcBorders>
              <w:bottom w:val="single" w:sz="12" w:space="0" w:color="auto"/>
            </w:tcBorders>
          </w:tcPr>
          <w:p w14:paraId="4DE392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2E8186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3A0434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4E6689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4EA853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2A9D96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7AA13B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78722F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гр. Высотности - 1850 м, скор. 5,7, 2-я гр. Высотности - 5500, скор. 3,15</w:t>
      </w:r>
    </w:p>
    <w:p w14:paraId="4F883E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38BFFEB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389A7A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195E6FE4" w14:textId="77777777" w:rsidR="006103B3" w:rsidRPr="00925F26" w:rsidRDefault="006103B3"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56F740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667894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3AE5A4B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16EC5B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мая 1945 (1000,3).</w:t>
      </w:r>
    </w:p>
    <w:p w14:paraId="04866807" w14:textId="77777777" w:rsidR="006103B3" w:rsidRPr="00925F26" w:rsidRDefault="006103B3" w:rsidP="00925F26">
      <w:pPr>
        <w:autoSpaceDE w:val="0"/>
        <w:autoSpaceDN w:val="0"/>
        <w:adjustRightInd w:val="0"/>
        <w:jc w:val="both"/>
        <w:rPr>
          <w:color w:val="000000" w:themeColor="text1"/>
          <w:sz w:val="16"/>
          <w:szCs w:val="16"/>
        </w:rPr>
      </w:pPr>
    </w:p>
    <w:p w14:paraId="335176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июня 1945 г. согласно заключения ЦАГИ по испытаниям, ГУЗ ВВС письмом N 703471с поставило перед гл. конструктором Яковлевым вопрос о разработке мероприятия по усилению носков крыла Ут-2 для серийного производства (2591,108).</w:t>
      </w:r>
    </w:p>
    <w:p w14:paraId="572A1886" w14:textId="77777777" w:rsidR="006103B3" w:rsidRPr="00925F26" w:rsidRDefault="006103B3" w:rsidP="00925F26">
      <w:pPr>
        <w:autoSpaceDE w:val="0"/>
        <w:autoSpaceDN w:val="0"/>
        <w:adjustRightInd w:val="0"/>
        <w:jc w:val="both"/>
        <w:rPr>
          <w:color w:val="000000" w:themeColor="text1"/>
          <w:sz w:val="16"/>
          <w:szCs w:val="16"/>
        </w:rPr>
      </w:pPr>
    </w:p>
    <w:p w14:paraId="04FBC4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99C9B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w:t>
      </w:r>
      <w:proofErr w:type="gramStart"/>
      <w:r w:rsidRPr="00925F26">
        <w:rPr>
          <w:color w:val="000000" w:themeColor="text1"/>
          <w:sz w:val="16"/>
          <w:szCs w:val="16"/>
        </w:rPr>
        <w:t>кузнечно-прессового</w:t>
      </w:r>
      <w:proofErr w:type="gramEnd"/>
      <w:r w:rsidRPr="00925F26">
        <w:rPr>
          <w:color w:val="000000" w:themeColor="text1"/>
          <w:sz w:val="16"/>
          <w:szCs w:val="16"/>
        </w:rPr>
        <w:t xml:space="preserve"> (9599).</w:t>
      </w:r>
    </w:p>
    <w:p w14:paraId="17F47539" w14:textId="77777777" w:rsidR="006103B3" w:rsidRPr="00925F26" w:rsidRDefault="006103B3" w:rsidP="00925F26">
      <w:pPr>
        <w:autoSpaceDE w:val="0"/>
        <w:autoSpaceDN w:val="0"/>
        <w:adjustRightInd w:val="0"/>
        <w:jc w:val="both"/>
        <w:rPr>
          <w:color w:val="000000" w:themeColor="text1"/>
          <w:sz w:val="16"/>
          <w:szCs w:val="16"/>
        </w:rPr>
      </w:pPr>
    </w:p>
    <w:p w14:paraId="1841D4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 июня 1945 года площадка завода № 794 МАП была передана НК среднего машиностроения, а заводу № 794 по приказу НКАП за № 249 от 15 июня 1945 года была предоставлена новая площадка бывш. завода № 273 (Волковская ул., д. 23), который занимался выпуском лыж и катеров.</w:t>
      </w:r>
    </w:p>
    <w:p w14:paraId="30723B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переходом на новую площадку изменился и профиль завода.</w:t>
      </w:r>
    </w:p>
    <w:p w14:paraId="2967C3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0CBB18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 А.П. – с 1 апреля 1945 года</w:t>
      </w:r>
    </w:p>
    <w:p w14:paraId="009805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ОКБ:</w:t>
      </w:r>
    </w:p>
    <w:p w14:paraId="630562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Комедатов Ю.Г. – с 3 июня 1946 года по 3 сентября 1950 года</w:t>
      </w:r>
    </w:p>
    <w:p w14:paraId="609D4EE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Котов А.А. – с 3 сентября 1950 года по 23 сентября 1954 года</w:t>
      </w:r>
    </w:p>
    <w:p w14:paraId="0DE9DE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Зазорин Е.А. – с 23 сентября 1954 года</w:t>
      </w:r>
    </w:p>
    <w:p w14:paraId="6000E6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w:t>
      </w:r>
    </w:p>
    <w:p w14:paraId="1DA2B8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Ленинград, Волковская ул., д. 27 (9866).</w:t>
      </w:r>
    </w:p>
    <w:p w14:paraId="068E41DB" w14:textId="77777777" w:rsidR="006103B3" w:rsidRPr="00925F26" w:rsidRDefault="006103B3" w:rsidP="00925F26">
      <w:pPr>
        <w:autoSpaceDE w:val="0"/>
        <w:autoSpaceDN w:val="0"/>
        <w:adjustRightInd w:val="0"/>
        <w:jc w:val="both"/>
        <w:rPr>
          <w:color w:val="000000" w:themeColor="text1"/>
          <w:sz w:val="16"/>
          <w:szCs w:val="16"/>
        </w:rPr>
      </w:pPr>
    </w:p>
    <w:p w14:paraId="1A81191F" w14:textId="77777777" w:rsidR="00996484" w:rsidRPr="00925F26" w:rsidRDefault="00996484" w:rsidP="00925F26">
      <w:pPr>
        <w:pStyle w:val="ae"/>
        <w:spacing w:before="0" w:after="0"/>
        <w:jc w:val="both"/>
        <w:textAlignment w:val="top"/>
        <w:rPr>
          <w:color w:val="000000" w:themeColor="text1"/>
          <w:sz w:val="16"/>
          <w:szCs w:val="16"/>
        </w:rPr>
      </w:pPr>
      <w:r w:rsidRPr="00925F26">
        <w:rPr>
          <w:color w:val="000000" w:themeColor="text1"/>
          <w:sz w:val="16"/>
          <w:szCs w:val="16"/>
        </w:rPr>
        <w:t>1 июня 1945 г. начальник Разведывательного управления Генштаба Красной Армии генерал Ф.Ф.Кузнецов сообщил А.И.Шахурину: «Пленный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w:t>
      </w:r>
    </w:p>
    <w:p w14:paraId="65AD7454" w14:textId="77777777" w:rsidR="00996484" w:rsidRPr="00925F26" w:rsidRDefault="00996484" w:rsidP="00925F26">
      <w:pPr>
        <w:pStyle w:val="ae"/>
        <w:spacing w:before="0" w:after="0"/>
        <w:jc w:val="both"/>
        <w:textAlignment w:val="top"/>
        <w:rPr>
          <w:color w:val="000000" w:themeColor="text1"/>
          <w:sz w:val="16"/>
          <w:szCs w:val="16"/>
        </w:rPr>
      </w:pPr>
      <w:r w:rsidRPr="00925F26">
        <w:rPr>
          <w:color w:val="000000" w:themeColor="text1"/>
          <w:sz w:val="16"/>
          <w:szCs w:val="16"/>
        </w:rPr>
        <w:t>Пурукер рассказал о решении Гитлера в начале 1945 г. сосредоточить все усилия авиапромышленности на выпуске Me. 262, как наиболее доведенном по сравнению с Не 162, Аг 234 и Me 163. Чертежи этих машин и двигателей к ним, а также исправные образцы, по мнению задержанного, наиболее вероятно могли сохраниться на занятой советскими войсками территории: Ческе-Будеевице, Винер-Нойштадт и Бергкристал, восточнее Линца. Высокопоставленный инженер сообщил также о сосредоточении до 60 машин в окрестностях Праги. Представляла интерес информация, что наибольшие трудности немцы испытали при доведении лопаток турбин двигателя вследствие высоких тепловых нагрузок. Лишь после применения специальных жаропрочных сталей «Хромадур» и «Тринадур» удалось обеспечить работоспособность двигателей. Пика выпуска Me 262 немцы достигли в марте 1945 г., приняв с конвейеров 237 таких машин (19689).</w:t>
      </w:r>
    </w:p>
    <w:p w14:paraId="4A54B1F3" w14:textId="77777777" w:rsidR="00996484" w:rsidRPr="00925F26" w:rsidRDefault="00996484" w:rsidP="00925F26">
      <w:pPr>
        <w:pStyle w:val="ae"/>
        <w:spacing w:before="0" w:after="0"/>
        <w:jc w:val="both"/>
        <w:textAlignment w:val="top"/>
        <w:rPr>
          <w:color w:val="000000" w:themeColor="text1"/>
          <w:sz w:val="16"/>
          <w:szCs w:val="16"/>
        </w:rPr>
      </w:pPr>
    </w:p>
    <w:p w14:paraId="12667452" w14:textId="77777777" w:rsidR="00B00D54" w:rsidRPr="001A0BAA" w:rsidRDefault="00B00D54" w:rsidP="00B00D54">
      <w:pPr>
        <w:jc w:val="both"/>
        <w:rPr>
          <w:color w:val="0070C0"/>
          <w:sz w:val="16"/>
          <w:szCs w:val="16"/>
        </w:rPr>
      </w:pPr>
      <w:r w:rsidRPr="001A0BAA">
        <w:rPr>
          <w:color w:val="0070C0"/>
          <w:sz w:val="16"/>
          <w:szCs w:val="16"/>
        </w:rPr>
        <w:t>1 июня 1945 г. начальник Разведывательного управления Генштаба Красной Армии генерал Ф.Ф.Кузнецов сообщил А.И.Шахурину:</w:t>
      </w:r>
    </w:p>
    <w:p w14:paraId="7F893BDC" w14:textId="77777777" w:rsidR="00B00D54" w:rsidRPr="001A0BAA" w:rsidRDefault="00B00D54" w:rsidP="00B00D54">
      <w:pPr>
        <w:jc w:val="both"/>
        <w:rPr>
          <w:color w:val="0070C0"/>
          <w:sz w:val="16"/>
          <w:szCs w:val="16"/>
        </w:rPr>
      </w:pPr>
      <w:r w:rsidRPr="001A0BAA">
        <w:rPr>
          <w:color w:val="0070C0"/>
          <w:sz w:val="16"/>
          <w:szCs w:val="16"/>
        </w:rPr>
        <w:t>«Пленный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w:t>
      </w:r>
    </w:p>
    <w:p w14:paraId="4ECA7177" w14:textId="77777777" w:rsidR="00B00D54" w:rsidRPr="001A0BAA" w:rsidRDefault="00B00D54" w:rsidP="00B00D54">
      <w:pPr>
        <w:jc w:val="both"/>
        <w:rPr>
          <w:color w:val="0070C0"/>
          <w:sz w:val="16"/>
          <w:szCs w:val="16"/>
        </w:rPr>
      </w:pPr>
      <w:r w:rsidRPr="001A0BAA">
        <w:rPr>
          <w:color w:val="0070C0"/>
          <w:sz w:val="16"/>
          <w:szCs w:val="16"/>
        </w:rPr>
        <w:t>Пурукер рассказал о решении Гитлера в начале 1945 г. сосредоточить все усилия авиапромышленности на выпуске Me. 262, как наиболее доведенном по сравнению с Не 162, Аг 234 и Me 163. Чертежи этих машин и двигателей к ним, а также исправные образцы, по мнению задержанного, наиболее вероятно могли сохраниться на занятой советскими войсками территории: Ческе-Будеевице, Винер-Нойштадт и Бергкристал, восточнее Линца. Высокопоставленный инженер сообщил также о сосредоточении до 60 машин в окрестностях Праги. Представляла интерес информация, что наибольшие трудности немцы испытали при доведении лопаток турбин двигателя вследствие высоких тепловых нагрузок. Лишь после применения специальных жаропрочных сталей «Хромадур» и «Тринадур» удалось обеспечить работоспособность двигателей. Пика выпуска Me 262 немцы достигли в марте 1945 г., приняв с конвейеров 237 таких машин (25237).</w:t>
      </w:r>
    </w:p>
    <w:p w14:paraId="476FB686" w14:textId="77777777" w:rsidR="00B00D54" w:rsidRPr="001A0BAA" w:rsidRDefault="00B00D54" w:rsidP="00B00D54">
      <w:pPr>
        <w:jc w:val="both"/>
        <w:rPr>
          <w:color w:val="0070C0"/>
          <w:sz w:val="16"/>
          <w:szCs w:val="16"/>
        </w:rPr>
      </w:pPr>
    </w:p>
    <w:p w14:paraId="23BA19C8" w14:textId="77777777" w:rsidR="00B00D54" w:rsidRPr="001A0BAA" w:rsidRDefault="00B00D54" w:rsidP="00B00D54">
      <w:pPr>
        <w:jc w:val="both"/>
        <w:rPr>
          <w:color w:val="0070C0"/>
          <w:sz w:val="16"/>
          <w:szCs w:val="16"/>
        </w:rPr>
      </w:pPr>
      <w:r w:rsidRPr="001A0BAA">
        <w:rPr>
          <w:color w:val="0070C0"/>
          <w:sz w:val="16"/>
          <w:szCs w:val="16"/>
        </w:rPr>
        <w:t>1 июня 1945 г., через неделю после группы Победоносцева, в Пенемюнде прибыла вторая группа специалистов во главе с генерал-майором артиллерии Андреем Соколовым (1910–1976). Ранее Соколов был заместителем командующего гвардейскими минометными частями. Поскольку авиационная промышленность всячески старалась не иметь дела с баллистическими ракетами, ГАУ решило воспользоваться моментом и «приватизировать» этот вид вооружения.</w:t>
      </w:r>
    </w:p>
    <w:p w14:paraId="357BE519" w14:textId="77777777" w:rsidR="00B00D54" w:rsidRPr="001A0BAA" w:rsidRDefault="00B00D54" w:rsidP="00B00D54">
      <w:pPr>
        <w:jc w:val="both"/>
        <w:rPr>
          <w:color w:val="0070C0"/>
          <w:sz w:val="16"/>
          <w:szCs w:val="16"/>
        </w:rPr>
      </w:pPr>
      <w:r w:rsidRPr="001A0BAA">
        <w:rPr>
          <w:color w:val="0070C0"/>
          <w:sz w:val="16"/>
          <w:szCs w:val="16"/>
        </w:rPr>
        <w:t>Но в Пенемюнде ни та, ни другая группа не нашли немецких ракетчиков и документов. Еще в феврале основной персонал центра был эвакуирован в Тюрингию, туда же увезли всё ценное.</w:t>
      </w:r>
    </w:p>
    <w:p w14:paraId="6D10C8F2" w14:textId="77777777" w:rsidR="00B00D54" w:rsidRPr="001A0BAA" w:rsidRDefault="00B00D54" w:rsidP="00B00D54">
      <w:pPr>
        <w:jc w:val="both"/>
        <w:rPr>
          <w:color w:val="0070C0"/>
          <w:sz w:val="16"/>
          <w:szCs w:val="16"/>
        </w:rPr>
      </w:pPr>
      <w:r w:rsidRPr="001A0BAA">
        <w:rPr>
          <w:color w:val="0070C0"/>
          <w:sz w:val="16"/>
          <w:szCs w:val="16"/>
        </w:rPr>
        <w:t>Пришлось ограничиться опросом вольнонаемных технических работников полигона из числа местных жителей (24989).</w:t>
      </w:r>
    </w:p>
    <w:p w14:paraId="37F9D617" w14:textId="77777777" w:rsidR="00B00D54" w:rsidRPr="001A0BAA" w:rsidRDefault="00B00D54" w:rsidP="00B00D54">
      <w:pPr>
        <w:jc w:val="both"/>
        <w:rPr>
          <w:color w:val="0070C0"/>
          <w:sz w:val="16"/>
          <w:szCs w:val="16"/>
        </w:rPr>
      </w:pPr>
    </w:p>
    <w:p w14:paraId="2E3BA5A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14E9A23" w14:textId="77777777" w:rsidR="006103B3" w:rsidRPr="00925F26" w:rsidRDefault="006103B3" w:rsidP="00925F26">
      <w:pPr>
        <w:autoSpaceDE w:val="0"/>
        <w:autoSpaceDN w:val="0"/>
        <w:adjustRightInd w:val="0"/>
        <w:jc w:val="both"/>
        <w:rPr>
          <w:iCs/>
          <w:color w:val="000000" w:themeColor="text1"/>
          <w:sz w:val="16"/>
          <w:szCs w:val="16"/>
        </w:rPr>
      </w:pPr>
    </w:p>
    <w:p w14:paraId="7F7BF977" w14:textId="77777777" w:rsidR="00823A00" w:rsidRPr="00925F26" w:rsidRDefault="00823A00" w:rsidP="00925F26">
      <w:pPr>
        <w:jc w:val="both"/>
        <w:rPr>
          <w:color w:val="000000" w:themeColor="text1"/>
          <w:sz w:val="16"/>
          <w:szCs w:val="16"/>
        </w:rPr>
      </w:pPr>
      <w:r w:rsidRPr="00925F26">
        <w:rPr>
          <w:color w:val="000000" w:themeColor="text1"/>
          <w:sz w:val="16"/>
          <w:szCs w:val="16"/>
        </w:rPr>
        <w:t>По 1 июня 1945 года с сентября 1941-го завод № 112 «Красное Сормово» сдал представителям ГБТУ КА 10894 танка Т-34, из них: 6270 Т-34-76 (3004 линейных, 2739 радийных, 310 огнеметных линейных ТО-34-76, 77 огнеметных радийных ТО-34-76 и 140 «генеральских» с радиостанцией РСБ-Ф), 255 Т-34-85 с пушкой Д5-Т (250 радийных и 5 «генеральских» с радиостанцией РСБ-Ф) и 4369 Т-34-85 с пушкой ЗИС-С-53 (4123 радийных, 55 огнеметных радийных ТО-34-85 и 191 «генеральский» с радиостанцией РСБ-Ф) (12217).</w:t>
      </w:r>
    </w:p>
    <w:p w14:paraId="521E58BE" w14:textId="77777777" w:rsidR="00823A00" w:rsidRPr="00925F26" w:rsidRDefault="00823A00" w:rsidP="00925F26">
      <w:pPr>
        <w:jc w:val="both"/>
        <w:rPr>
          <w:color w:val="000000" w:themeColor="text1"/>
          <w:sz w:val="16"/>
          <w:szCs w:val="16"/>
        </w:rPr>
      </w:pPr>
    </w:p>
    <w:p w14:paraId="713F5D71" w14:textId="77777777" w:rsidR="00823A00" w:rsidRPr="00925F26" w:rsidRDefault="00823A00" w:rsidP="00925F26">
      <w:pPr>
        <w:jc w:val="both"/>
        <w:rPr>
          <w:color w:val="000000" w:themeColor="text1"/>
          <w:sz w:val="16"/>
          <w:szCs w:val="16"/>
        </w:rPr>
      </w:pPr>
      <w:r w:rsidRPr="00925F26">
        <w:rPr>
          <w:color w:val="000000" w:themeColor="text1"/>
          <w:sz w:val="16"/>
          <w:szCs w:val="16"/>
        </w:rPr>
        <w:t>Всего по 1 июня 1945 года с 1 января 1942-го броневое производство завода № 183 изготовило 24537 бронекорпусов Т-34-76 и Т-34-85. Основным их дефектом было наличие трещин, в разные годы составлявших от 6,1 до 39% всех изготовленных корпусов. При этом наибольшее число трещин имелось на корпусах при вырезке бортов в закаленном состоянии. После перехода на вырезку бортов в высоко- отпушенном состоянии общее количество трещин на корпусах уменьшилась примерно в пять раз.</w:t>
      </w:r>
    </w:p>
    <w:p w14:paraId="26F0B1E3" w14:textId="77777777" w:rsidR="00823A00" w:rsidRPr="00925F26" w:rsidRDefault="00823A00" w:rsidP="00925F26">
      <w:pPr>
        <w:jc w:val="both"/>
        <w:rPr>
          <w:color w:val="000000" w:themeColor="text1"/>
          <w:sz w:val="16"/>
          <w:szCs w:val="16"/>
        </w:rPr>
      </w:pPr>
      <w:r w:rsidRPr="00925F26">
        <w:rPr>
          <w:color w:val="000000" w:themeColor="text1"/>
          <w:sz w:val="16"/>
          <w:szCs w:val="16"/>
        </w:rPr>
        <w:t>В течение всей войны завод № 183 получал броневой лист с трех предприятий: Ново-Тагильского металлургического завода, Кузнецкого и Магнитогорского металлургических комбинатов. За все время работы, до июня 1945 года, большихперебоев со снабжением завода № 183 бронелис- том не было.</w:t>
      </w:r>
    </w:p>
    <w:p w14:paraId="7AE5126D" w14:textId="77777777" w:rsidR="00823A00" w:rsidRPr="00925F26" w:rsidRDefault="00823A00" w:rsidP="00925F26">
      <w:pPr>
        <w:jc w:val="both"/>
        <w:rPr>
          <w:color w:val="000000" w:themeColor="text1"/>
          <w:sz w:val="16"/>
          <w:szCs w:val="16"/>
        </w:rPr>
      </w:pPr>
      <w:r w:rsidRPr="00925F26">
        <w:rPr>
          <w:color w:val="000000" w:themeColor="text1"/>
          <w:sz w:val="16"/>
          <w:szCs w:val="16"/>
        </w:rPr>
        <w:t>За 1942-й - май 1945 года завод №183 отлил 28247 башен для танков Т-34-76 и Т-34-85, из них 1514 (примерно 5,4% общего выпуска) были признаны бракованными. Литье велось в земляные формы, при этом основными видами брака при производстве литых башен являлись обвал, срыв и засор форм и стержней. Причинами этого было неудовлетворительное состояние оснастки - сварные опоки вместо литых, из-за малых размеров не позволявшие иметь нормальный по толщине слой земли, что в свою очередь обуславливалось габаритами и мощностью формовочных машин, а также использование некондиционных формовочных смесей (горелая земля вместо свежего песка) и нарушение технологии литья (12217).</w:t>
      </w:r>
    </w:p>
    <w:p w14:paraId="4100CBF2" w14:textId="77777777" w:rsidR="00823A00" w:rsidRPr="00925F26" w:rsidRDefault="00823A00" w:rsidP="00925F26">
      <w:pPr>
        <w:jc w:val="both"/>
        <w:rPr>
          <w:color w:val="000000" w:themeColor="text1"/>
          <w:sz w:val="16"/>
          <w:szCs w:val="16"/>
        </w:rPr>
      </w:pPr>
    </w:p>
    <w:p w14:paraId="63804BDF" w14:textId="77777777" w:rsidR="00D9707C" w:rsidRPr="001A0BAA" w:rsidRDefault="00D9707C" w:rsidP="00D9707C">
      <w:pPr>
        <w:jc w:val="both"/>
        <w:rPr>
          <w:color w:val="0070C0"/>
          <w:sz w:val="16"/>
          <w:szCs w:val="16"/>
        </w:rPr>
      </w:pPr>
      <w:r w:rsidRPr="001A0BAA">
        <w:rPr>
          <w:color w:val="0070C0"/>
          <w:sz w:val="16"/>
          <w:szCs w:val="16"/>
        </w:rPr>
        <w:lastRenderedPageBreak/>
        <w:t>До 1 июня 1945 года удалось изготовить всего 265 танков Т-44, причем имевших весьма низкую на</w:t>
      </w:r>
      <w:r w:rsidRPr="001A0BAA">
        <w:rPr>
          <w:color w:val="0070C0"/>
          <w:sz w:val="16"/>
          <w:szCs w:val="16"/>
        </w:rPr>
        <w:softHyphen/>
        <w:t>дежность (25012).</w:t>
      </w:r>
    </w:p>
    <w:p w14:paraId="4BEB9F46" w14:textId="77777777" w:rsidR="00D9707C" w:rsidRPr="001A0BAA" w:rsidRDefault="00D9707C" w:rsidP="00D9707C">
      <w:pPr>
        <w:jc w:val="both"/>
        <w:rPr>
          <w:color w:val="0070C0"/>
          <w:sz w:val="16"/>
          <w:szCs w:val="16"/>
        </w:rPr>
      </w:pPr>
    </w:p>
    <w:p w14:paraId="042200CD" w14:textId="77777777" w:rsidR="00B3672C" w:rsidRPr="00925F26" w:rsidRDefault="00B3672C" w:rsidP="00925F26">
      <w:pPr>
        <w:jc w:val="both"/>
        <w:rPr>
          <w:color w:val="000000" w:themeColor="text1"/>
          <w:sz w:val="16"/>
          <w:szCs w:val="16"/>
        </w:rPr>
      </w:pPr>
      <w:r w:rsidRPr="00925F26">
        <w:rPr>
          <w:color w:val="000000" w:themeColor="text1"/>
          <w:sz w:val="16"/>
          <w:szCs w:val="16"/>
        </w:rPr>
        <w:t>С 1 июня 1945 приказом-изменением №137 ОГК УЗТМ вводится на Су-100 ящик для личных вещей на правой надгусеничной полке спереди (пись</w:t>
      </w:r>
      <w:r w:rsidRPr="00925F26">
        <w:rPr>
          <w:color w:val="000000" w:themeColor="text1"/>
          <w:sz w:val="16"/>
          <w:szCs w:val="16"/>
        </w:rPr>
        <w:softHyphen/>
        <w:t>мо от 31 мая 1945 г. ЦАМО, фонд 38 опись 11369 дело 507). Однако эта ранняя кон</w:t>
      </w:r>
      <w:r w:rsidRPr="00925F26">
        <w:rPr>
          <w:color w:val="000000" w:themeColor="text1"/>
          <w:sz w:val="16"/>
          <w:szCs w:val="16"/>
        </w:rPr>
        <w:softHyphen/>
        <w:t>струкция ящика оказалась неудачной - при движении по кустарнику он сминался и отры</w:t>
      </w:r>
      <w:r w:rsidRPr="00925F26">
        <w:rPr>
          <w:color w:val="000000" w:themeColor="text1"/>
          <w:sz w:val="16"/>
          <w:szCs w:val="16"/>
        </w:rPr>
        <w:softHyphen/>
        <w:t xml:space="preserve">вался ветками. Неизвестно, оснащались ли все выпускавшиеся с июня по ноябрь СУ-100 такими ящиками, плохо показавшими себя на испытаниях, или все-таки в серии ящики для личный вещей, но уже улучшенной </w:t>
      </w:r>
      <w:proofErr w:type="gramStart"/>
      <w:r w:rsidRPr="00925F26">
        <w:rPr>
          <w:color w:val="000000" w:themeColor="text1"/>
          <w:sz w:val="16"/>
          <w:szCs w:val="16"/>
        </w:rPr>
        <w:t>конструк</w:t>
      </w:r>
      <w:r w:rsidRPr="00925F26">
        <w:rPr>
          <w:color w:val="000000" w:themeColor="text1"/>
          <w:sz w:val="16"/>
          <w:szCs w:val="16"/>
        </w:rPr>
        <w:softHyphen/>
        <w:t>ции,утвердилисьтолько</w:t>
      </w:r>
      <w:proofErr w:type="gramEnd"/>
      <w:r w:rsidRPr="00925F26">
        <w:rPr>
          <w:color w:val="000000" w:themeColor="text1"/>
          <w:sz w:val="16"/>
          <w:szCs w:val="16"/>
        </w:rPr>
        <w:t xml:space="preserve"> в ноябре (19927).</w:t>
      </w:r>
    </w:p>
    <w:p w14:paraId="2785782A" w14:textId="77777777" w:rsidR="00B3672C" w:rsidRPr="00925F26" w:rsidRDefault="00B3672C" w:rsidP="00925F26">
      <w:pPr>
        <w:jc w:val="both"/>
        <w:rPr>
          <w:color w:val="000000" w:themeColor="text1"/>
          <w:sz w:val="16"/>
          <w:szCs w:val="16"/>
        </w:rPr>
      </w:pPr>
    </w:p>
    <w:p w14:paraId="569CCF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июня 1945 г. был подготовлен КРАТКИЙ ОТЧЕТ О РАБОТЕ УПРАВЛЕНИЯ СНАБЖЕНИЯ ГАВТУ КА ЗА ГОДЫ ВЕЛИКОЙ ОТЕЧЕСТВЕННОЙ ВОЙНЫ</w:t>
      </w:r>
    </w:p>
    <w:p w14:paraId="58D3C0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r w:rsidRPr="00925F26">
        <w:rPr>
          <w:color w:val="000000" w:themeColor="text1"/>
          <w:sz w:val="16"/>
          <w:szCs w:val="16"/>
        </w:rPr>
        <w:t>. Получение новых автомашин от промышленности и по импорту</w:t>
      </w:r>
    </w:p>
    <w:p w14:paraId="4E8E90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период ведения Отечественной войны получено 463044 автомашины, в том числе 150430 оте</w:t>
      </w:r>
      <w:r w:rsidRPr="00925F26">
        <w:rPr>
          <w:color w:val="000000" w:themeColor="text1"/>
          <w:sz w:val="16"/>
          <w:szCs w:val="16"/>
        </w:rPr>
        <w:softHyphen/>
        <w:t>чественного производства и 312614 импортных:</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325"/>
        <w:gridCol w:w="1325"/>
        <w:gridCol w:w="1325"/>
        <w:gridCol w:w="1162"/>
        <w:gridCol w:w="1162"/>
        <w:gridCol w:w="941"/>
      </w:tblGrid>
      <w:tr w:rsidR="000F5689" w:rsidRPr="00925F26" w14:paraId="54CA0F84" w14:textId="77777777">
        <w:trPr>
          <w:trHeight w:val="250"/>
        </w:trPr>
        <w:tc>
          <w:tcPr>
            <w:tcW w:w="2352" w:type="dxa"/>
            <w:tcBorders>
              <w:top w:val="single" w:sz="6" w:space="0" w:color="auto"/>
              <w:left w:val="single" w:sz="6" w:space="0" w:color="auto"/>
              <w:bottom w:val="nil"/>
              <w:right w:val="single" w:sz="6" w:space="0" w:color="auto"/>
            </w:tcBorders>
          </w:tcPr>
          <w:p w14:paraId="4E502FA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Годы</w:t>
            </w:r>
          </w:p>
          <w:p w14:paraId="75421E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049210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Отечественные машины</w:t>
            </w:r>
          </w:p>
          <w:p w14:paraId="72824C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0BACB5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Импортные машины</w:t>
            </w:r>
          </w:p>
          <w:p w14:paraId="7BBC49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015583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489E5A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265" w:type="dxa"/>
            <w:gridSpan w:val="3"/>
            <w:tcBorders>
              <w:top w:val="single" w:sz="6" w:space="0" w:color="auto"/>
              <w:left w:val="single" w:sz="6" w:space="0" w:color="auto"/>
              <w:bottom w:val="single" w:sz="6" w:space="0" w:color="auto"/>
              <w:right w:val="single" w:sz="6" w:space="0" w:color="auto"/>
            </w:tcBorders>
          </w:tcPr>
          <w:p w14:paraId="7E05FC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46AF79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26DBED1" w14:textId="77777777">
        <w:trPr>
          <w:trHeight w:val="240"/>
        </w:trPr>
        <w:tc>
          <w:tcPr>
            <w:tcW w:w="2352" w:type="dxa"/>
            <w:tcBorders>
              <w:top w:val="nil"/>
              <w:left w:val="single" w:sz="6" w:space="0" w:color="auto"/>
              <w:bottom w:val="single" w:sz="6" w:space="0" w:color="auto"/>
              <w:right w:val="single" w:sz="6" w:space="0" w:color="auto"/>
            </w:tcBorders>
          </w:tcPr>
          <w:p w14:paraId="66C2214E" w14:textId="77777777" w:rsidR="006103B3" w:rsidRPr="00925F26" w:rsidRDefault="006103B3" w:rsidP="00925F26">
            <w:pPr>
              <w:autoSpaceDE w:val="0"/>
              <w:autoSpaceDN w:val="0"/>
              <w:adjustRightInd w:val="0"/>
              <w:jc w:val="both"/>
              <w:rPr>
                <w:color w:val="000000" w:themeColor="text1"/>
                <w:sz w:val="16"/>
                <w:szCs w:val="16"/>
              </w:rPr>
            </w:pPr>
          </w:p>
          <w:p w14:paraId="40848BD2" w14:textId="77777777" w:rsidR="006103B3" w:rsidRPr="00925F26" w:rsidRDefault="006103B3" w:rsidP="00925F26">
            <w:pPr>
              <w:autoSpaceDE w:val="0"/>
              <w:autoSpaceDN w:val="0"/>
              <w:adjustRightInd w:val="0"/>
              <w:jc w:val="both"/>
              <w:rPr>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37F4D301" w14:textId="77777777" w:rsidR="006103B3" w:rsidRPr="00925F26" w:rsidRDefault="006103B3" w:rsidP="00925F26">
            <w:pPr>
              <w:autoSpaceDE w:val="0"/>
              <w:autoSpaceDN w:val="0"/>
              <w:adjustRightInd w:val="0"/>
              <w:jc w:val="both"/>
              <w:rPr>
                <w:color w:val="000000" w:themeColor="text1"/>
                <w:sz w:val="16"/>
                <w:szCs w:val="16"/>
              </w:rPr>
            </w:pPr>
          </w:p>
          <w:p w14:paraId="464F8D6D" w14:textId="77777777" w:rsidR="006103B3" w:rsidRPr="00925F26" w:rsidRDefault="006103B3" w:rsidP="00925F26">
            <w:pPr>
              <w:autoSpaceDE w:val="0"/>
              <w:autoSpaceDN w:val="0"/>
              <w:adjustRightInd w:val="0"/>
              <w:jc w:val="both"/>
              <w:rPr>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74F1740C" w14:textId="77777777" w:rsidR="006103B3" w:rsidRPr="00925F26" w:rsidRDefault="006103B3" w:rsidP="00925F26">
            <w:pPr>
              <w:autoSpaceDE w:val="0"/>
              <w:autoSpaceDN w:val="0"/>
              <w:adjustRightInd w:val="0"/>
              <w:jc w:val="both"/>
              <w:rPr>
                <w:color w:val="000000" w:themeColor="text1"/>
                <w:sz w:val="16"/>
                <w:szCs w:val="16"/>
              </w:rPr>
            </w:pPr>
          </w:p>
          <w:p w14:paraId="6DFDEE50" w14:textId="77777777" w:rsidR="006103B3" w:rsidRPr="00925F26" w:rsidRDefault="006103B3" w:rsidP="00925F26">
            <w:pPr>
              <w:autoSpaceDE w:val="0"/>
              <w:autoSpaceDN w:val="0"/>
              <w:adjustRightInd w:val="0"/>
              <w:jc w:val="both"/>
              <w:rPr>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41AC59F0" w14:textId="77777777" w:rsidR="006103B3" w:rsidRPr="00925F26" w:rsidRDefault="006103B3" w:rsidP="00925F26">
            <w:pPr>
              <w:autoSpaceDE w:val="0"/>
              <w:autoSpaceDN w:val="0"/>
              <w:adjustRightInd w:val="0"/>
              <w:jc w:val="both"/>
              <w:rPr>
                <w:color w:val="000000" w:themeColor="text1"/>
                <w:sz w:val="16"/>
                <w:szCs w:val="16"/>
              </w:rPr>
            </w:pPr>
          </w:p>
          <w:p w14:paraId="0C03352A" w14:textId="77777777" w:rsidR="006103B3" w:rsidRPr="00925F26" w:rsidRDefault="006103B3" w:rsidP="00925F26">
            <w:pPr>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21B52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грузовые</w:t>
            </w:r>
          </w:p>
          <w:p w14:paraId="1D2921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DEEBAC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тягачи</w:t>
            </w:r>
          </w:p>
          <w:p w14:paraId="5A7FFB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AEC82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легковые</w:t>
            </w:r>
          </w:p>
          <w:p w14:paraId="5E565E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B93C687" w14:textId="77777777">
        <w:trPr>
          <w:trHeight w:val="230"/>
        </w:trPr>
        <w:tc>
          <w:tcPr>
            <w:tcW w:w="2352" w:type="dxa"/>
            <w:tcBorders>
              <w:top w:val="single" w:sz="6" w:space="0" w:color="auto"/>
              <w:left w:val="single" w:sz="6" w:space="0" w:color="auto"/>
              <w:bottom w:val="single" w:sz="6" w:space="0" w:color="auto"/>
              <w:right w:val="single" w:sz="6" w:space="0" w:color="auto"/>
            </w:tcBorders>
          </w:tcPr>
          <w:p w14:paraId="373E2C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 (с 22.06 по 31. 12)</w:t>
            </w:r>
          </w:p>
          <w:p w14:paraId="674D26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C270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37321</w:t>
            </w:r>
          </w:p>
          <w:p w14:paraId="5F70F7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BCA1C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385</w:t>
            </w:r>
          </w:p>
          <w:p w14:paraId="63BCFA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E45A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37706</w:t>
            </w:r>
          </w:p>
          <w:p w14:paraId="4A6AD6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FB317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36833</w:t>
            </w:r>
          </w:p>
          <w:p w14:paraId="14A616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2B926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4164A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6454C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873</w:t>
            </w:r>
          </w:p>
          <w:p w14:paraId="5B8A16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76E1DFA"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4F341C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год</w:t>
            </w:r>
          </w:p>
          <w:p w14:paraId="1D2DDD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3A7E3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25038</w:t>
            </w:r>
          </w:p>
          <w:p w14:paraId="5AC60E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B30C9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32460</w:t>
            </w:r>
          </w:p>
          <w:p w14:paraId="19A731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2364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57498</w:t>
            </w:r>
          </w:p>
          <w:p w14:paraId="6EDD04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00BFB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36820</w:t>
            </w:r>
          </w:p>
          <w:p w14:paraId="56CC02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B8793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14747 ^</w:t>
            </w:r>
          </w:p>
          <w:p w14:paraId="4B3FFF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3485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5931</w:t>
            </w:r>
          </w:p>
          <w:p w14:paraId="06F81C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69BCA08"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5680FE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2DAE5A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DB0F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40619</w:t>
            </w:r>
          </w:p>
          <w:p w14:paraId="32F32B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5CEB3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95191</w:t>
            </w:r>
          </w:p>
          <w:p w14:paraId="55BF94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A7AB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135810</w:t>
            </w:r>
          </w:p>
          <w:p w14:paraId="086758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FC758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61809</w:t>
            </w:r>
          </w:p>
          <w:p w14:paraId="1D92ED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8A34B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59550</w:t>
            </w:r>
          </w:p>
          <w:p w14:paraId="1B888C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08085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14451</w:t>
            </w:r>
          </w:p>
          <w:p w14:paraId="3D8587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7E56AE5" w14:textId="77777777">
        <w:trPr>
          <w:trHeight w:val="230"/>
        </w:trPr>
        <w:tc>
          <w:tcPr>
            <w:tcW w:w="2352" w:type="dxa"/>
            <w:tcBorders>
              <w:top w:val="single" w:sz="6" w:space="0" w:color="auto"/>
              <w:left w:val="single" w:sz="6" w:space="0" w:color="auto"/>
              <w:bottom w:val="single" w:sz="6" w:space="0" w:color="auto"/>
              <w:right w:val="single" w:sz="6" w:space="0" w:color="auto"/>
            </w:tcBorders>
          </w:tcPr>
          <w:p w14:paraId="61A25E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2D0FA3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BF1C1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36709</w:t>
            </w:r>
          </w:p>
          <w:p w14:paraId="149BA1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8902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140562</w:t>
            </w:r>
          </w:p>
          <w:p w14:paraId="703409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4F27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177271</w:t>
            </w:r>
          </w:p>
          <w:p w14:paraId="52A69F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D4BC8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62889</w:t>
            </w:r>
          </w:p>
          <w:p w14:paraId="3F547C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74391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95526</w:t>
            </w:r>
          </w:p>
          <w:p w14:paraId="663EE4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C1DB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18856</w:t>
            </w:r>
          </w:p>
          <w:p w14:paraId="490C4C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D92310C"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3742D7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 1.01 по 9.05)</w:t>
            </w:r>
          </w:p>
          <w:p w14:paraId="1A4A14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7097A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10743</w:t>
            </w:r>
          </w:p>
          <w:p w14:paraId="31A7F9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0896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44016</w:t>
            </w:r>
          </w:p>
          <w:p w14:paraId="288444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3208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54759</w:t>
            </w:r>
          </w:p>
          <w:p w14:paraId="1B6B8F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87A49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17586</w:t>
            </w:r>
          </w:p>
          <w:p w14:paraId="565FD3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53D28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31683</w:t>
            </w:r>
          </w:p>
          <w:p w14:paraId="0658BD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70A5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5490</w:t>
            </w:r>
          </w:p>
          <w:p w14:paraId="1D8B21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EFC73FC" w14:textId="77777777">
        <w:trPr>
          <w:trHeight w:val="259"/>
        </w:trPr>
        <w:tc>
          <w:tcPr>
            <w:tcW w:w="2352" w:type="dxa"/>
            <w:tcBorders>
              <w:top w:val="single" w:sz="6" w:space="0" w:color="auto"/>
              <w:left w:val="single" w:sz="6" w:space="0" w:color="auto"/>
              <w:bottom w:val="single" w:sz="6" w:space="0" w:color="auto"/>
              <w:right w:val="single" w:sz="6" w:space="0" w:color="auto"/>
            </w:tcBorders>
          </w:tcPr>
          <w:p w14:paraId="6C70A6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38C283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4E39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150430</w:t>
            </w:r>
          </w:p>
          <w:p w14:paraId="68F483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603E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312614</w:t>
            </w:r>
          </w:p>
          <w:p w14:paraId="124EA6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E56C0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463044</w:t>
            </w:r>
          </w:p>
          <w:p w14:paraId="1115E2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FA59F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215937</w:t>
            </w:r>
          </w:p>
          <w:p w14:paraId="5FF601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B9E85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201506</w:t>
            </w:r>
          </w:p>
          <w:p w14:paraId="0B756F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350AF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45601</w:t>
            </w:r>
          </w:p>
          <w:p w14:paraId="396C68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05FA4E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Снижение поставки отечественных машин в 1942 г. объясняется временным выходом из строя Горьковского автозавода и эвакуацией части автозавода им. Сталина.</w:t>
      </w:r>
    </w:p>
    <w:p w14:paraId="6E9A01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w:t>
      </w:r>
      <w:r w:rsidRPr="00925F26">
        <w:rPr>
          <w:color w:val="000000" w:themeColor="text1"/>
          <w:sz w:val="16"/>
          <w:szCs w:val="16"/>
        </w:rPr>
        <w:t>. Выдача автомашин на укомплектование войск</w:t>
      </w:r>
    </w:p>
    <w:p w14:paraId="25436F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укомплектование формируемых танковых, артиллерийских, стрелковых и других частей резерва Ставки, а также для пополнения некомплекта автопарка фронтов за годы войны выдано 444810 машин. Кроме того, 30844 машины выдано НКВД, НКВМФ и народному хозяйству по поста</w:t>
      </w:r>
      <w:r w:rsidRPr="00925F26">
        <w:rPr>
          <w:color w:val="000000" w:themeColor="text1"/>
          <w:sz w:val="16"/>
          <w:szCs w:val="16"/>
        </w:rPr>
        <w:softHyphen/>
        <w:t>новлениям правительства, а всего — 475654 машины.</w:t>
      </w:r>
    </w:p>
    <w:tbl>
      <w:tblPr>
        <w:tblW w:w="0" w:type="auto"/>
        <w:tblInd w:w="40" w:type="dxa"/>
        <w:tblLayout w:type="fixed"/>
        <w:tblCellMar>
          <w:left w:w="40" w:type="dxa"/>
          <w:right w:w="40" w:type="dxa"/>
        </w:tblCellMar>
        <w:tblLook w:val="0000" w:firstRow="0" w:lastRow="0" w:firstColumn="0" w:lastColumn="0" w:noHBand="0" w:noVBand="0"/>
      </w:tblPr>
      <w:tblGrid>
        <w:gridCol w:w="3119"/>
        <w:gridCol w:w="1134"/>
        <w:gridCol w:w="992"/>
        <w:gridCol w:w="1134"/>
        <w:gridCol w:w="1134"/>
        <w:gridCol w:w="1134"/>
        <w:gridCol w:w="851"/>
      </w:tblGrid>
      <w:tr w:rsidR="000F5689" w:rsidRPr="00925F26" w14:paraId="4D996E66" w14:textId="77777777">
        <w:trPr>
          <w:trHeight w:val="586"/>
        </w:trPr>
        <w:tc>
          <w:tcPr>
            <w:tcW w:w="3119" w:type="dxa"/>
            <w:tcBorders>
              <w:top w:val="single" w:sz="6" w:space="0" w:color="auto"/>
              <w:left w:val="single" w:sz="6" w:space="0" w:color="auto"/>
              <w:bottom w:val="single" w:sz="6" w:space="0" w:color="auto"/>
              <w:right w:val="single" w:sz="6" w:space="0" w:color="auto"/>
            </w:tcBorders>
          </w:tcPr>
          <w:p w14:paraId="27271D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родов войск</w:t>
            </w:r>
          </w:p>
          <w:p w14:paraId="22B1AA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E353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 (с 1 .07 по 31.12)</w:t>
            </w:r>
          </w:p>
          <w:p w14:paraId="6FF578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372660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год</w:t>
            </w:r>
          </w:p>
          <w:p w14:paraId="566226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60E0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35A2A3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B6225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3F536B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50BE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 1 .01 по 9.05)</w:t>
            </w:r>
          </w:p>
          <w:p w14:paraId="7A9BF3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BD94F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6AD6CD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B2B176E"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122D0B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Танковые и механизированные</w:t>
            </w:r>
          </w:p>
          <w:p w14:paraId="651B72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F6B5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14916</w:t>
            </w:r>
          </w:p>
          <w:p w14:paraId="5B983B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7A3256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30813</w:t>
            </w:r>
          </w:p>
          <w:p w14:paraId="782321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D66A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26479</w:t>
            </w:r>
          </w:p>
          <w:p w14:paraId="1AD20C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43C4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30186</w:t>
            </w:r>
          </w:p>
          <w:p w14:paraId="4DD899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75B3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8574</w:t>
            </w:r>
          </w:p>
          <w:p w14:paraId="03739B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529F5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110968</w:t>
            </w:r>
          </w:p>
          <w:p w14:paraId="35C895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9FF2E8F"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F2EBB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Артиллерия</w:t>
            </w:r>
          </w:p>
          <w:p w14:paraId="6ED6C7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C009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7644</w:t>
            </w:r>
          </w:p>
          <w:p w14:paraId="2238E4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7B9509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18583</w:t>
            </w:r>
          </w:p>
          <w:p w14:paraId="1FA7C2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E4D9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33040</w:t>
            </w:r>
          </w:p>
          <w:p w14:paraId="438029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C5EB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32998</w:t>
            </w:r>
          </w:p>
          <w:p w14:paraId="11F3D4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C4E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13065</w:t>
            </w:r>
          </w:p>
          <w:p w14:paraId="22EFC3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32543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105330</w:t>
            </w:r>
          </w:p>
          <w:p w14:paraId="278B67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2823EF9"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3DA9DC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388938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5AF2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31927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7069C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3A542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E8AD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A421E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A4D9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035BF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8F226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CADDB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4D1DA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1A56E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DAB537B"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9B6AE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Артиллерийские части РВГК</w:t>
            </w:r>
          </w:p>
          <w:p w14:paraId="0042C9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2715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1120</w:t>
            </w:r>
          </w:p>
          <w:p w14:paraId="7F78F7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EB079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11047</w:t>
            </w:r>
          </w:p>
          <w:p w14:paraId="332F4E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8DF65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24724 ]</w:t>
            </w:r>
            <w:proofErr w:type="gramEnd"/>
          </w:p>
          <w:p w14:paraId="6D567B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CFE3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25024</w:t>
            </w:r>
          </w:p>
          <w:p w14:paraId="27513C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954C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10140</w:t>
            </w:r>
          </w:p>
          <w:p w14:paraId="649CED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356FF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72055</w:t>
            </w:r>
          </w:p>
          <w:p w14:paraId="6B98BD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255E96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10AE90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Гв. минометные</w:t>
            </w:r>
          </w:p>
          <w:p w14:paraId="13EA00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200AF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6524</w:t>
            </w:r>
          </w:p>
          <w:p w14:paraId="4F51F2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15CE6F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7108</w:t>
            </w:r>
          </w:p>
          <w:p w14:paraId="2B969A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C110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6365</w:t>
            </w:r>
          </w:p>
          <w:p w14:paraId="489AE3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18EE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5162</w:t>
            </w:r>
          </w:p>
          <w:p w14:paraId="4C8BCA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DC35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1895</w:t>
            </w:r>
          </w:p>
          <w:p w14:paraId="000307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F3297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27054</w:t>
            </w:r>
          </w:p>
          <w:p w14:paraId="22ECD2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9665441"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4E756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Части ПВО</w:t>
            </w:r>
          </w:p>
          <w:p w14:paraId="19F681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CC14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0406F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30759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428</w:t>
            </w:r>
          </w:p>
          <w:p w14:paraId="5BF1AC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8238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1951</w:t>
            </w:r>
          </w:p>
          <w:p w14:paraId="5BC48E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E8B51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2812</w:t>
            </w:r>
          </w:p>
          <w:p w14:paraId="61B744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BBAD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1030</w:t>
            </w:r>
          </w:p>
          <w:p w14:paraId="11037E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E0E34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6221</w:t>
            </w:r>
          </w:p>
          <w:p w14:paraId="12015D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331A56F"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5BB1B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Стрелковые</w:t>
            </w:r>
          </w:p>
          <w:p w14:paraId="361343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C00EB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9195</w:t>
            </w:r>
          </w:p>
          <w:p w14:paraId="6A4AC4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15FB5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285</w:t>
            </w:r>
          </w:p>
          <w:p w14:paraId="5FC909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8176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19183</w:t>
            </w:r>
          </w:p>
          <w:p w14:paraId="07A2E0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7B1C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18305</w:t>
            </w:r>
          </w:p>
          <w:p w14:paraId="240C03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BE9F7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6744</w:t>
            </w:r>
          </w:p>
          <w:p w14:paraId="59C504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649C9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53712</w:t>
            </w:r>
          </w:p>
          <w:p w14:paraId="07C09C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E0418EE"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22A43C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Кавалерийские</w:t>
            </w:r>
          </w:p>
          <w:p w14:paraId="11BEA9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7390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E7692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5EFAF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w:t>
            </w:r>
          </w:p>
          <w:p w14:paraId="172978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CFFF4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578</w:t>
            </w:r>
          </w:p>
          <w:p w14:paraId="7240A4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FC4F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1042</w:t>
            </w:r>
          </w:p>
          <w:p w14:paraId="4E88C3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AE21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p w14:paraId="065796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93A4D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1739</w:t>
            </w:r>
          </w:p>
          <w:p w14:paraId="7CC649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A8750CA"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5E3D42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Военно-воздушные</w:t>
            </w:r>
          </w:p>
          <w:p w14:paraId="6F1F5D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5501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1084</w:t>
            </w:r>
          </w:p>
          <w:p w14:paraId="553300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0BA03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896</w:t>
            </w:r>
          </w:p>
          <w:p w14:paraId="1B1A20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C58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4322</w:t>
            </w:r>
          </w:p>
          <w:p w14:paraId="5B796A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E7EF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7543</w:t>
            </w:r>
          </w:p>
          <w:p w14:paraId="6BEE8B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6AE8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2872</w:t>
            </w:r>
          </w:p>
          <w:p w14:paraId="55729E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9252E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16717</w:t>
            </w:r>
          </w:p>
          <w:p w14:paraId="128670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EB1BC07"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43329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Воздушно-десантные</w:t>
            </w:r>
          </w:p>
          <w:p w14:paraId="79D878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AED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29621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8418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240</w:t>
            </w:r>
          </w:p>
          <w:p w14:paraId="3AAE2CD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FC06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488</w:t>
            </w:r>
          </w:p>
          <w:p w14:paraId="4D8322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C61F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884</w:t>
            </w:r>
          </w:p>
          <w:p w14:paraId="5DBD30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0965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98330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8DC04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1612</w:t>
            </w:r>
          </w:p>
          <w:p w14:paraId="7BA331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B71A674"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3873A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Автомобильные</w:t>
            </w:r>
          </w:p>
          <w:p w14:paraId="35DB1D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0022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1126</w:t>
            </w:r>
          </w:p>
          <w:p w14:paraId="4A259D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014BA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3087</w:t>
            </w:r>
          </w:p>
          <w:p w14:paraId="5645CB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1A4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28318</w:t>
            </w:r>
          </w:p>
          <w:p w14:paraId="2A3081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D716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25597</w:t>
            </w:r>
          </w:p>
          <w:p w14:paraId="537C61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5C387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5059</w:t>
            </w:r>
          </w:p>
          <w:p w14:paraId="19398F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04DB6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63187</w:t>
            </w:r>
          </w:p>
          <w:p w14:paraId="505F84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6902D2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520BA6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Дорожные</w:t>
            </w:r>
          </w:p>
          <w:p w14:paraId="240062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D2CA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5AA762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28479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F2A99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0586C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1378</w:t>
            </w:r>
          </w:p>
          <w:p w14:paraId="0B4B4F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33D54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1349</w:t>
            </w:r>
          </w:p>
          <w:p w14:paraId="42D8ED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1205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105</w:t>
            </w:r>
          </w:p>
          <w:p w14:paraId="29574B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50056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2832</w:t>
            </w:r>
          </w:p>
          <w:p w14:paraId="48F47D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68C351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442086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Части связи</w:t>
            </w:r>
          </w:p>
          <w:p w14:paraId="2ED322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D2F2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455</w:t>
            </w:r>
          </w:p>
          <w:p w14:paraId="5BBBCB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E8BDD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961</w:t>
            </w:r>
          </w:p>
          <w:p w14:paraId="66C328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EB54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1384</w:t>
            </w:r>
          </w:p>
          <w:p w14:paraId="4A0615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67F47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1253</w:t>
            </w:r>
          </w:p>
          <w:p w14:paraId="3BEE32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C1668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481</w:t>
            </w:r>
          </w:p>
          <w:p w14:paraId="42C4F3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8B737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4534</w:t>
            </w:r>
          </w:p>
          <w:p w14:paraId="47D44C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442874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3BDCCE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Инженерные</w:t>
            </w:r>
          </w:p>
          <w:p w14:paraId="20D9B2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AB24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419</w:t>
            </w:r>
          </w:p>
          <w:p w14:paraId="7292D8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68194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w:t>
            </w:r>
          </w:p>
          <w:p w14:paraId="341FAD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61A8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1109</w:t>
            </w:r>
          </w:p>
          <w:p w14:paraId="437B09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22EDA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782</w:t>
            </w:r>
          </w:p>
          <w:p w14:paraId="3A8565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8CBB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363</w:t>
            </w:r>
          </w:p>
          <w:p w14:paraId="7408C1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E99E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2696</w:t>
            </w:r>
          </w:p>
          <w:p w14:paraId="3379D7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9CE035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74C02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Санитарные</w:t>
            </w:r>
          </w:p>
          <w:p w14:paraId="69FDA8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3375E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466</w:t>
            </w:r>
          </w:p>
          <w:p w14:paraId="3E266B0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2E3C4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403</w:t>
            </w:r>
          </w:p>
          <w:p w14:paraId="57088C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0F6A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737</w:t>
            </w:r>
          </w:p>
          <w:p w14:paraId="308790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C501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1212</w:t>
            </w:r>
          </w:p>
          <w:p w14:paraId="2FCA0E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A032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141</w:t>
            </w:r>
          </w:p>
          <w:p w14:paraId="1DACBD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0185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2959</w:t>
            </w:r>
          </w:p>
          <w:p w14:paraId="607028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18A590F"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7F625E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Химические</w:t>
            </w:r>
          </w:p>
          <w:p w14:paraId="7BD6A5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A967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1FEBA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43AE5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550</w:t>
            </w:r>
          </w:p>
          <w:p w14:paraId="2281C8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E32D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1208</w:t>
            </w:r>
          </w:p>
          <w:p w14:paraId="115DFE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A1A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1272</w:t>
            </w:r>
          </w:p>
          <w:p w14:paraId="79156D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27B8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w:t>
            </w:r>
          </w:p>
          <w:p w14:paraId="7CE598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F1828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3190</w:t>
            </w:r>
          </w:p>
          <w:p w14:paraId="2CD424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D47530D"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138784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Фронты действующей армии</w:t>
            </w:r>
          </w:p>
          <w:p w14:paraId="50F778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C40A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1603</w:t>
            </w:r>
          </w:p>
          <w:p w14:paraId="3BCF8F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4BFD3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3225</w:t>
            </w:r>
          </w:p>
          <w:p w14:paraId="6E1149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429B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17785</w:t>
            </w:r>
          </w:p>
          <w:p w14:paraId="1E545A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25F0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26824</w:t>
            </w:r>
          </w:p>
          <w:p w14:paraId="3B8B8E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3E1B1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1963</w:t>
            </w:r>
          </w:p>
          <w:p w14:paraId="3458A1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74A34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51400</w:t>
            </w:r>
          </w:p>
          <w:p w14:paraId="04CD26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EF0A3B8"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449E9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ДВФ и Забфронт</w:t>
            </w:r>
          </w:p>
          <w:p w14:paraId="628D9E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0441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45932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CE184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p w14:paraId="52A5C8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15E6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0C32B7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C21A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4042</w:t>
            </w:r>
          </w:p>
          <w:p w14:paraId="018530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AAB1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5003</w:t>
            </w:r>
          </w:p>
          <w:p w14:paraId="485DC2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F228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9078</w:t>
            </w:r>
          </w:p>
          <w:p w14:paraId="17FE39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940266A" w14:textId="77777777">
        <w:trPr>
          <w:trHeight w:val="250"/>
        </w:trPr>
        <w:tc>
          <w:tcPr>
            <w:tcW w:w="3119" w:type="dxa"/>
            <w:tcBorders>
              <w:top w:val="single" w:sz="6" w:space="0" w:color="auto"/>
              <w:left w:val="single" w:sz="6" w:space="0" w:color="auto"/>
              <w:bottom w:val="single" w:sz="6" w:space="0" w:color="auto"/>
              <w:right w:val="single" w:sz="6" w:space="0" w:color="auto"/>
            </w:tcBorders>
          </w:tcPr>
          <w:p w14:paraId="40C570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Военные округа</w:t>
            </w:r>
          </w:p>
          <w:p w14:paraId="7179FA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EC0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w:t>
            </w:r>
          </w:p>
          <w:p w14:paraId="528D2B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CD180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5C3634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8B95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855</w:t>
            </w:r>
          </w:p>
          <w:p w14:paraId="53E540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CDDA2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4257</w:t>
            </w:r>
          </w:p>
          <w:p w14:paraId="7DB963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302D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1463</w:t>
            </w:r>
          </w:p>
          <w:p w14:paraId="6F4B4D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36EAA8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6925</w:t>
            </w:r>
          </w:p>
          <w:p w14:paraId="633C3E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FEB8C1B" w14:textId="77777777">
        <w:trPr>
          <w:trHeight w:val="413"/>
        </w:trPr>
        <w:tc>
          <w:tcPr>
            <w:tcW w:w="3119" w:type="dxa"/>
            <w:tcBorders>
              <w:top w:val="single" w:sz="6" w:space="0" w:color="auto"/>
              <w:left w:val="single" w:sz="6" w:space="0" w:color="auto"/>
              <w:bottom w:val="single" w:sz="6" w:space="0" w:color="auto"/>
              <w:right w:val="single" w:sz="6" w:space="0" w:color="auto"/>
            </w:tcBorders>
          </w:tcPr>
          <w:p w14:paraId="4D0E82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Управления, учреждения и учебные части Красной Армии</w:t>
            </w:r>
          </w:p>
          <w:p w14:paraId="40A218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8861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163</w:t>
            </w:r>
          </w:p>
          <w:p w14:paraId="7C1C01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96085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610</w:t>
            </w:r>
          </w:p>
          <w:p w14:paraId="66F8A5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FC29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812</w:t>
            </w:r>
          </w:p>
          <w:p w14:paraId="43DD1A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3D70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4431</w:t>
            </w:r>
          </w:p>
          <w:p w14:paraId="142195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60F2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1915</w:t>
            </w:r>
          </w:p>
          <w:p w14:paraId="0D427C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AB5AA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7931</w:t>
            </w:r>
          </w:p>
          <w:p w14:paraId="365041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942FD8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4A6AAB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для Красной Армии</w:t>
            </w:r>
          </w:p>
          <w:p w14:paraId="7943D5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5420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37321</w:t>
            </w:r>
          </w:p>
          <w:p w14:paraId="486E48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9D3C3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59861</w:t>
            </w:r>
          </w:p>
          <w:p w14:paraId="5BF0DE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8404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137683</w:t>
            </w:r>
          </w:p>
          <w:p w14:paraId="5DA5B4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0855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161977</w:t>
            </w:r>
          </w:p>
          <w:p w14:paraId="0FBC52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C112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47968</w:t>
            </w:r>
          </w:p>
          <w:p w14:paraId="780119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D3624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444810</w:t>
            </w:r>
          </w:p>
          <w:p w14:paraId="012BD2C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BF6B1F8"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A0421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Войска НКВД</w:t>
            </w:r>
          </w:p>
          <w:p w14:paraId="3B83E0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D520F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01A1A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8154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509F0B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89DF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1258</w:t>
            </w:r>
          </w:p>
          <w:p w14:paraId="444A91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BBA0D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4382</w:t>
            </w:r>
          </w:p>
          <w:p w14:paraId="2BB69C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9886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1039</w:t>
            </w:r>
          </w:p>
          <w:p w14:paraId="517669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6AA5C1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6693</w:t>
            </w:r>
          </w:p>
          <w:p w14:paraId="109AC1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6F1760D"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21628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Военно-Морской Флот</w:t>
            </w:r>
          </w:p>
          <w:p w14:paraId="071898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C4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08F0A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A9568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w:t>
            </w:r>
          </w:p>
          <w:p w14:paraId="40CB01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7140C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402</w:t>
            </w:r>
          </w:p>
          <w:p w14:paraId="671E22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22B2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1456</w:t>
            </w:r>
          </w:p>
          <w:p w14:paraId="7017A4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0241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2164</w:t>
            </w:r>
          </w:p>
          <w:p w14:paraId="2F993A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45C91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4034</w:t>
            </w:r>
          </w:p>
          <w:p w14:paraId="0E42E2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516C8DD"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684A99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Народное хозяйство</w:t>
            </w:r>
          </w:p>
          <w:p w14:paraId="10FA44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3420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6CCE2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1D2D0B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w:t>
            </w:r>
          </w:p>
          <w:p w14:paraId="642311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5A8D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4583</w:t>
            </w:r>
          </w:p>
          <w:p w14:paraId="1CFB4C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B076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12658</w:t>
            </w:r>
          </w:p>
          <w:p w14:paraId="5FB632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BC0E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2821</w:t>
            </w:r>
          </w:p>
          <w:p w14:paraId="288BC2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BE6A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20117</w:t>
            </w:r>
          </w:p>
          <w:p w14:paraId="6803CE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6722711"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0624AC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47FA07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1025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C8D0DA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3A52B8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81</w:t>
            </w:r>
          </w:p>
          <w:p w14:paraId="1284D2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C8084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6243</w:t>
            </w:r>
          </w:p>
          <w:p w14:paraId="3975A4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2E95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18496</w:t>
            </w:r>
          </w:p>
          <w:p w14:paraId="231E4E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BFB6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6024</w:t>
            </w:r>
          </w:p>
          <w:p w14:paraId="41B7E1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64718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30844</w:t>
            </w:r>
          </w:p>
          <w:p w14:paraId="307653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79839BF" w14:textId="77777777">
        <w:trPr>
          <w:trHeight w:val="259"/>
        </w:trPr>
        <w:tc>
          <w:tcPr>
            <w:tcW w:w="3119" w:type="dxa"/>
            <w:tcBorders>
              <w:top w:val="single" w:sz="6" w:space="0" w:color="auto"/>
              <w:left w:val="single" w:sz="6" w:space="0" w:color="auto"/>
              <w:bottom w:val="single" w:sz="6" w:space="0" w:color="auto"/>
              <w:right w:val="single" w:sz="6" w:space="0" w:color="auto"/>
            </w:tcBorders>
          </w:tcPr>
          <w:p w14:paraId="245195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68D331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0C1D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37321</w:t>
            </w:r>
          </w:p>
          <w:p w14:paraId="30C16B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75294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59942</w:t>
            </w:r>
          </w:p>
          <w:p w14:paraId="060E85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26BA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143926</w:t>
            </w:r>
          </w:p>
          <w:p w14:paraId="46BF75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0BB6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180473</w:t>
            </w:r>
          </w:p>
          <w:p w14:paraId="6E7451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F6D1A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53992</w:t>
            </w:r>
          </w:p>
          <w:p w14:paraId="17A65D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463D0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475654"</w:t>
            </w:r>
          </w:p>
          <w:p w14:paraId="64302F6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15EC23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roofErr w:type="gramStart"/>
      <w:r w:rsidRPr="00925F26">
        <w:rPr>
          <w:color w:val="000000" w:themeColor="text1"/>
          <w:sz w:val="16"/>
          <w:szCs w:val="16"/>
        </w:rPr>
        <w:t>)</w:t>
      </w:r>
      <w:proofErr w:type="gramEnd"/>
      <w:r w:rsidRPr="00925F26">
        <w:rPr>
          <w:color w:val="000000" w:themeColor="text1"/>
          <w:sz w:val="16"/>
          <w:szCs w:val="16"/>
        </w:rPr>
        <w:t xml:space="preserve"> В том числе 463044 с заводов промышленности и по импорту, и 12610 за счет остатков, имевших</w:t>
      </w:r>
      <w:r w:rsidRPr="00925F26">
        <w:rPr>
          <w:color w:val="000000" w:themeColor="text1"/>
          <w:sz w:val="16"/>
          <w:szCs w:val="16"/>
        </w:rPr>
        <w:softHyphen/>
        <w:t>ся на складах к началу войны, и из резерва ГАВТУ КА (с ремонтных предприятий и их авточастей).</w:t>
      </w:r>
    </w:p>
    <w:p w14:paraId="1F156B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Основная масса автомашин направлялась в течение всего периода ведения войны на укомп</w:t>
      </w:r>
      <w:r w:rsidRPr="00925F26">
        <w:rPr>
          <w:color w:val="000000" w:themeColor="text1"/>
          <w:sz w:val="16"/>
          <w:szCs w:val="16"/>
        </w:rPr>
        <w:softHyphen/>
        <w:t xml:space="preserve">лектование формирований танковых и артиллерийских частей, выдача которым составила 216298 машин или 48,6% от общего количества </w:t>
      </w:r>
      <w:proofErr w:type="gramStart"/>
      <w:r w:rsidRPr="00925F26">
        <w:rPr>
          <w:color w:val="000000" w:themeColor="text1"/>
          <w:sz w:val="16"/>
          <w:szCs w:val="16"/>
        </w:rPr>
        <w:t>машин</w:t>
      </w:r>
      <w:proofErr w:type="gramEnd"/>
      <w:r w:rsidRPr="00925F26">
        <w:rPr>
          <w:color w:val="000000" w:themeColor="text1"/>
          <w:sz w:val="16"/>
          <w:szCs w:val="16"/>
        </w:rPr>
        <w:t xml:space="preserve"> выданных частям Красной Армии.</w:t>
      </w:r>
    </w:p>
    <w:p w14:paraId="13C9B0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Автомобильные части резерва СВГК, а также фронтовые средства подвоза формировались и укомплектовывались, главным образом, в период наступательных операций Красной Армии 1943-1945 гг. Всего автомобильным частям было выдано 63187 машин и частям фронтов — 51400.</w:t>
      </w:r>
    </w:p>
    <w:p w14:paraId="3B7C05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этот же период производилось усиленное укомплектование резервных армий СВГК, выдача которым составила 53712 машин.</w:t>
      </w:r>
    </w:p>
    <w:p w14:paraId="1FE565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усиленного пополнения новыми автомашинами автопарк Красной Армии, несмот</w:t>
      </w:r>
      <w:r w:rsidRPr="00925F26">
        <w:rPr>
          <w:color w:val="000000" w:themeColor="text1"/>
          <w:sz w:val="16"/>
          <w:szCs w:val="16"/>
        </w:rPr>
        <w:softHyphen/>
        <w:t>ря на большие потери в первый период боевых действий, вырос за годы войны в 2,4 раза по сравне</w:t>
      </w:r>
      <w:r w:rsidRPr="00925F26">
        <w:rPr>
          <w:color w:val="000000" w:themeColor="text1"/>
          <w:sz w:val="16"/>
          <w:szCs w:val="16"/>
        </w:rPr>
        <w:softHyphen/>
        <w:t>нию с довоенным уровнем.</w:t>
      </w:r>
    </w:p>
    <w:p w14:paraId="3E7573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III</w:t>
      </w:r>
      <w:r w:rsidRPr="00925F26">
        <w:rPr>
          <w:color w:val="000000" w:themeColor="text1"/>
          <w:sz w:val="16"/>
          <w:szCs w:val="16"/>
        </w:rPr>
        <w:t>. Автопарк Красной Армии к началу Отечественной войны</w:t>
      </w:r>
    </w:p>
    <w:p w14:paraId="3AD3D5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началу войны (на 22.06.1941 г.) автопарк Красной Армии насчитывал 272605 автомобилей оте</w:t>
      </w:r>
      <w:r w:rsidRPr="00925F26">
        <w:rPr>
          <w:color w:val="000000" w:themeColor="text1"/>
          <w:sz w:val="16"/>
          <w:szCs w:val="16"/>
        </w:rPr>
        <w:softHyphen/>
        <w:t>чественного производства, из них 257791 грузовых и специальных машин и 14814 легковых. Автомашины находились в 17 военных округах.</w:t>
      </w:r>
    </w:p>
    <w:p w14:paraId="6BB2EC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IV</w:t>
      </w:r>
      <w:r w:rsidRPr="00925F26">
        <w:rPr>
          <w:color w:val="000000" w:themeColor="text1"/>
          <w:sz w:val="16"/>
          <w:szCs w:val="16"/>
        </w:rPr>
        <w:t>. Рост автопарка за годы войны</w:t>
      </w:r>
    </w:p>
    <w:p w14:paraId="4A209E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войны автопарк Красной Армии непрерывно увеличивался и на 1 мая 1945 г. составил 664455 отечественных, импортных и трофейных автомобилей, из них 610715 грузовых и специаль</w:t>
      </w:r>
      <w:r w:rsidRPr="00925F26">
        <w:rPr>
          <w:color w:val="000000" w:themeColor="text1"/>
          <w:sz w:val="16"/>
          <w:szCs w:val="16"/>
        </w:rPr>
        <w:softHyphen/>
        <w:t>ных машин и 53740 легковых:</w:t>
      </w:r>
    </w:p>
    <w:tbl>
      <w:tblPr>
        <w:tblW w:w="0" w:type="auto"/>
        <w:tblInd w:w="40" w:type="dxa"/>
        <w:tblLayout w:type="fixed"/>
        <w:tblCellMar>
          <w:left w:w="40" w:type="dxa"/>
          <w:right w:w="40" w:type="dxa"/>
        </w:tblCellMar>
        <w:tblLook w:val="0000" w:firstRow="0" w:lastRow="0" w:firstColumn="0" w:lastColumn="0" w:noHBand="0" w:noVBand="0"/>
      </w:tblPr>
      <w:tblGrid>
        <w:gridCol w:w="1219"/>
        <w:gridCol w:w="1037"/>
        <w:gridCol w:w="1046"/>
        <w:gridCol w:w="1046"/>
        <w:gridCol w:w="1037"/>
        <w:gridCol w:w="1046"/>
        <w:gridCol w:w="1037"/>
        <w:gridCol w:w="1037"/>
        <w:gridCol w:w="1104"/>
      </w:tblGrid>
      <w:tr w:rsidR="000F5689" w:rsidRPr="00925F26" w14:paraId="5EA2F350" w14:textId="77777777">
        <w:trPr>
          <w:trHeight w:val="250"/>
        </w:trPr>
        <w:tc>
          <w:tcPr>
            <w:tcW w:w="1219" w:type="dxa"/>
            <w:tcBorders>
              <w:top w:val="single" w:sz="6" w:space="0" w:color="auto"/>
              <w:left w:val="single" w:sz="6" w:space="0" w:color="auto"/>
              <w:bottom w:val="nil"/>
              <w:right w:val="single" w:sz="6" w:space="0" w:color="auto"/>
            </w:tcBorders>
          </w:tcPr>
          <w:p w14:paraId="606286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Годы</w:t>
            </w:r>
          </w:p>
          <w:p w14:paraId="3EC3A47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7289B4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Отечествен</w:t>
            </w:r>
            <w:r w:rsidRPr="00925F26">
              <w:rPr>
                <w:color w:val="000000" w:themeColor="text1"/>
                <w:sz w:val="16"/>
                <w:szCs w:val="16"/>
              </w:rPr>
              <w:softHyphen/>
              <w:t>ные</w:t>
            </w:r>
          </w:p>
          <w:p w14:paraId="27DED7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nil"/>
              <w:right w:val="single" w:sz="6" w:space="0" w:color="auto"/>
            </w:tcBorders>
          </w:tcPr>
          <w:p w14:paraId="2AFABE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Импортные</w:t>
            </w:r>
          </w:p>
          <w:p w14:paraId="7069ED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nil"/>
              <w:right w:val="single" w:sz="6" w:space="0" w:color="auto"/>
            </w:tcBorders>
          </w:tcPr>
          <w:p w14:paraId="2ADA03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Трофейные</w:t>
            </w:r>
          </w:p>
          <w:p w14:paraId="08B3F5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7ACE7E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5EE053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224" w:type="dxa"/>
            <w:gridSpan w:val="4"/>
            <w:tcBorders>
              <w:top w:val="single" w:sz="6" w:space="0" w:color="auto"/>
              <w:left w:val="single" w:sz="6" w:space="0" w:color="auto"/>
              <w:bottom w:val="single" w:sz="6" w:space="0" w:color="auto"/>
              <w:right w:val="single" w:sz="6" w:space="0" w:color="auto"/>
            </w:tcBorders>
          </w:tcPr>
          <w:p w14:paraId="5EEA7C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64C7C3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B51EEE5" w14:textId="77777777">
        <w:trPr>
          <w:trHeight w:val="413"/>
        </w:trPr>
        <w:tc>
          <w:tcPr>
            <w:tcW w:w="1219" w:type="dxa"/>
            <w:tcBorders>
              <w:top w:val="nil"/>
              <w:left w:val="single" w:sz="6" w:space="0" w:color="auto"/>
              <w:bottom w:val="single" w:sz="6" w:space="0" w:color="auto"/>
              <w:right w:val="single" w:sz="6" w:space="0" w:color="auto"/>
            </w:tcBorders>
          </w:tcPr>
          <w:p w14:paraId="2C5D35A8" w14:textId="77777777" w:rsidR="006103B3" w:rsidRPr="00925F26" w:rsidRDefault="006103B3" w:rsidP="00925F26">
            <w:pPr>
              <w:autoSpaceDE w:val="0"/>
              <w:autoSpaceDN w:val="0"/>
              <w:adjustRightInd w:val="0"/>
              <w:jc w:val="both"/>
              <w:rPr>
                <w:color w:val="000000" w:themeColor="text1"/>
                <w:sz w:val="16"/>
                <w:szCs w:val="16"/>
              </w:rPr>
            </w:pPr>
          </w:p>
          <w:p w14:paraId="0EE02F99" w14:textId="77777777" w:rsidR="006103B3" w:rsidRPr="00925F26" w:rsidRDefault="006103B3" w:rsidP="00925F26">
            <w:pPr>
              <w:autoSpaceDE w:val="0"/>
              <w:autoSpaceDN w:val="0"/>
              <w:adjustRightInd w:val="0"/>
              <w:jc w:val="both"/>
              <w:rPr>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498EB196" w14:textId="77777777" w:rsidR="006103B3" w:rsidRPr="00925F26" w:rsidRDefault="006103B3" w:rsidP="00925F26">
            <w:pPr>
              <w:autoSpaceDE w:val="0"/>
              <w:autoSpaceDN w:val="0"/>
              <w:adjustRightInd w:val="0"/>
              <w:jc w:val="both"/>
              <w:rPr>
                <w:color w:val="000000" w:themeColor="text1"/>
                <w:sz w:val="16"/>
                <w:szCs w:val="16"/>
              </w:rPr>
            </w:pPr>
          </w:p>
          <w:p w14:paraId="023F9965" w14:textId="77777777" w:rsidR="006103B3" w:rsidRPr="00925F26" w:rsidRDefault="006103B3" w:rsidP="00925F26">
            <w:pPr>
              <w:autoSpaceDE w:val="0"/>
              <w:autoSpaceDN w:val="0"/>
              <w:adjustRightInd w:val="0"/>
              <w:jc w:val="both"/>
              <w:rPr>
                <w:color w:val="000000" w:themeColor="text1"/>
                <w:sz w:val="16"/>
                <w:szCs w:val="16"/>
              </w:rPr>
            </w:pPr>
          </w:p>
        </w:tc>
        <w:tc>
          <w:tcPr>
            <w:tcW w:w="1046" w:type="dxa"/>
            <w:tcBorders>
              <w:top w:val="nil"/>
              <w:left w:val="single" w:sz="6" w:space="0" w:color="auto"/>
              <w:bottom w:val="single" w:sz="6" w:space="0" w:color="auto"/>
              <w:right w:val="single" w:sz="6" w:space="0" w:color="auto"/>
            </w:tcBorders>
          </w:tcPr>
          <w:p w14:paraId="5CEC5942" w14:textId="77777777" w:rsidR="006103B3" w:rsidRPr="00925F26" w:rsidRDefault="006103B3" w:rsidP="00925F26">
            <w:pPr>
              <w:autoSpaceDE w:val="0"/>
              <w:autoSpaceDN w:val="0"/>
              <w:adjustRightInd w:val="0"/>
              <w:jc w:val="both"/>
              <w:rPr>
                <w:color w:val="000000" w:themeColor="text1"/>
                <w:sz w:val="16"/>
                <w:szCs w:val="16"/>
              </w:rPr>
            </w:pPr>
          </w:p>
          <w:p w14:paraId="72292134" w14:textId="77777777" w:rsidR="006103B3" w:rsidRPr="00925F26" w:rsidRDefault="006103B3" w:rsidP="00925F26">
            <w:pPr>
              <w:autoSpaceDE w:val="0"/>
              <w:autoSpaceDN w:val="0"/>
              <w:adjustRightInd w:val="0"/>
              <w:jc w:val="both"/>
              <w:rPr>
                <w:color w:val="000000" w:themeColor="text1"/>
                <w:sz w:val="16"/>
                <w:szCs w:val="16"/>
              </w:rPr>
            </w:pPr>
          </w:p>
        </w:tc>
        <w:tc>
          <w:tcPr>
            <w:tcW w:w="1046" w:type="dxa"/>
            <w:tcBorders>
              <w:top w:val="nil"/>
              <w:left w:val="single" w:sz="6" w:space="0" w:color="auto"/>
              <w:bottom w:val="single" w:sz="6" w:space="0" w:color="auto"/>
              <w:right w:val="single" w:sz="6" w:space="0" w:color="auto"/>
            </w:tcBorders>
          </w:tcPr>
          <w:p w14:paraId="2EEBABC5" w14:textId="77777777" w:rsidR="006103B3" w:rsidRPr="00925F26" w:rsidRDefault="006103B3" w:rsidP="00925F26">
            <w:pPr>
              <w:autoSpaceDE w:val="0"/>
              <w:autoSpaceDN w:val="0"/>
              <w:adjustRightInd w:val="0"/>
              <w:jc w:val="both"/>
              <w:rPr>
                <w:color w:val="000000" w:themeColor="text1"/>
                <w:sz w:val="16"/>
                <w:szCs w:val="16"/>
              </w:rPr>
            </w:pPr>
          </w:p>
          <w:p w14:paraId="2229835A" w14:textId="77777777" w:rsidR="006103B3" w:rsidRPr="00925F26" w:rsidRDefault="006103B3" w:rsidP="00925F26">
            <w:pPr>
              <w:autoSpaceDE w:val="0"/>
              <w:autoSpaceDN w:val="0"/>
              <w:adjustRightInd w:val="0"/>
              <w:jc w:val="both"/>
              <w:rPr>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2DA0E4EB" w14:textId="77777777" w:rsidR="006103B3" w:rsidRPr="00925F26" w:rsidRDefault="006103B3" w:rsidP="00925F26">
            <w:pPr>
              <w:autoSpaceDE w:val="0"/>
              <w:autoSpaceDN w:val="0"/>
              <w:adjustRightInd w:val="0"/>
              <w:jc w:val="both"/>
              <w:rPr>
                <w:color w:val="000000" w:themeColor="text1"/>
                <w:sz w:val="16"/>
                <w:szCs w:val="16"/>
              </w:rPr>
            </w:pPr>
          </w:p>
          <w:p w14:paraId="107AE151" w14:textId="77777777" w:rsidR="006103B3" w:rsidRPr="00925F26" w:rsidRDefault="006103B3" w:rsidP="00925F26">
            <w:pPr>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22A1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Легковые</w:t>
            </w:r>
          </w:p>
          <w:p w14:paraId="2C87DF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A79B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Автобусы и Пикап</w:t>
            </w:r>
          </w:p>
          <w:p w14:paraId="7FF66A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6438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Грузовые</w:t>
            </w:r>
          </w:p>
          <w:p w14:paraId="3EE922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0DACE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Специальные</w:t>
            </w:r>
          </w:p>
          <w:p w14:paraId="353487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6618DB5"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514695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22.06.1941 г.</w:t>
            </w:r>
          </w:p>
          <w:p w14:paraId="1BF314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6EAC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272605</w:t>
            </w:r>
          </w:p>
          <w:p w14:paraId="4BD642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CB7B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1A523B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B82B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762A2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DF4C4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272605</w:t>
            </w:r>
          </w:p>
          <w:p w14:paraId="12161F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C828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14814</w:t>
            </w:r>
          </w:p>
          <w:p w14:paraId="1AD7B4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2F35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7348</w:t>
            </w:r>
          </w:p>
          <w:p w14:paraId="0E2C96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FA32B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203878</w:t>
            </w:r>
          </w:p>
          <w:p w14:paraId="11CFF5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20ECA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46565</w:t>
            </w:r>
          </w:p>
          <w:p w14:paraId="3C6EEC0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E2BF19D"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6785FE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1942 г.</w:t>
            </w:r>
          </w:p>
          <w:p w14:paraId="1A933C0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D717F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317117</w:t>
            </w:r>
          </w:p>
          <w:p w14:paraId="26371C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1F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1D659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284E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1368</w:t>
            </w:r>
          </w:p>
          <w:p w14:paraId="605ED3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F25B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318485</w:t>
            </w:r>
          </w:p>
          <w:p w14:paraId="5CA8D5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082F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17910</w:t>
            </w:r>
          </w:p>
          <w:p w14:paraId="59201F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07592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7831</w:t>
            </w:r>
          </w:p>
          <w:p w14:paraId="797882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F2806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237807</w:t>
            </w:r>
          </w:p>
          <w:p w14:paraId="5D9778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6FB3E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54937</w:t>
            </w:r>
          </w:p>
          <w:p w14:paraId="3F8D636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E124A62"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66E0E3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1943 г.</w:t>
            </w:r>
          </w:p>
          <w:p w14:paraId="5C85CD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4389C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378796</w:t>
            </w:r>
          </w:p>
          <w:p w14:paraId="5AE5A4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F789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22022</w:t>
            </w:r>
          </w:p>
          <w:p w14:paraId="51689C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40AD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3735</w:t>
            </w:r>
          </w:p>
          <w:p w14:paraId="0D5899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017E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404553</w:t>
            </w:r>
          </w:p>
          <w:p w14:paraId="235341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0280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29101</w:t>
            </w:r>
          </w:p>
          <w:p w14:paraId="17167E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10C9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13426</w:t>
            </w:r>
          </w:p>
          <w:p w14:paraId="001022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5F716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294257</w:t>
            </w:r>
          </w:p>
          <w:p w14:paraId="732DCF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F7A80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67769</w:t>
            </w:r>
          </w:p>
          <w:p w14:paraId="59AAF1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E5EE0EA"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6EBC52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1944 г.</w:t>
            </w:r>
          </w:p>
          <w:p w14:paraId="49B28A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882E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386965</w:t>
            </w:r>
          </w:p>
          <w:p w14:paraId="405DF9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0297F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94070</w:t>
            </w:r>
          </w:p>
          <w:p w14:paraId="03151D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27A2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14869</w:t>
            </w:r>
          </w:p>
          <w:p w14:paraId="779940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D46F5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495904</w:t>
            </w:r>
          </w:p>
          <w:p w14:paraId="363294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727B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38457</w:t>
            </w:r>
          </w:p>
          <w:p w14:paraId="3BFB43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16B2F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10554</w:t>
            </w:r>
          </w:p>
          <w:p w14:paraId="78177E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86A8E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361647</w:t>
            </w:r>
          </w:p>
          <w:p w14:paraId="6AE595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4B1B7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85246</w:t>
            </w:r>
          </w:p>
          <w:p w14:paraId="30D534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967150C"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18E77F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1945 г.</w:t>
            </w:r>
          </w:p>
          <w:p w14:paraId="041C9D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CA6C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395244</w:t>
            </w:r>
          </w:p>
          <w:p w14:paraId="68C1D2E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3FB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191348</w:t>
            </w:r>
          </w:p>
          <w:p w14:paraId="6F96F7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96D7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34692</w:t>
            </w:r>
          </w:p>
          <w:p w14:paraId="6ED4CC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4A3A2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621284</w:t>
            </w:r>
          </w:p>
          <w:p w14:paraId="44AB40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C963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45461</w:t>
            </w:r>
          </w:p>
          <w:p w14:paraId="60F344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FA575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11033</w:t>
            </w:r>
          </w:p>
          <w:p w14:paraId="3990F7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9858A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456993</w:t>
            </w:r>
          </w:p>
          <w:p w14:paraId="631303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B7BB6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107797</w:t>
            </w:r>
          </w:p>
          <w:p w14:paraId="04151F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73F3ED6"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429F3E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1.05. 1945 г.</w:t>
            </w:r>
          </w:p>
          <w:p w14:paraId="721F70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390E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385708</w:t>
            </w:r>
          </w:p>
          <w:p w14:paraId="16E08F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DD28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218121</w:t>
            </w:r>
          </w:p>
          <w:p w14:paraId="226EB3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A99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60626</w:t>
            </w:r>
          </w:p>
          <w:p w14:paraId="421105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21BF5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664455</w:t>
            </w:r>
          </w:p>
          <w:p w14:paraId="25B7BB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48FD6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53740</w:t>
            </w:r>
          </w:p>
          <w:p w14:paraId="6D1207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7B024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10201</w:t>
            </w:r>
          </w:p>
          <w:p w14:paraId="6B6EFD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F218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481047</w:t>
            </w:r>
          </w:p>
          <w:p w14:paraId="31996F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64CAF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119467</w:t>
            </w:r>
          </w:p>
          <w:p w14:paraId="2707F4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5BEF96C"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505A8C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3CDA83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FF2B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9454F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FC86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CCE81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41AA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74730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127CE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F33E1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66D8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89C3B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A994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0A509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667D7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8CE52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E4E23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6C16E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B6D4690"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4A738E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фронтах</w:t>
            </w:r>
          </w:p>
          <w:p w14:paraId="4E33B3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8CFA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259279</w:t>
            </w:r>
          </w:p>
          <w:p w14:paraId="2B77C6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11CD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162824</w:t>
            </w:r>
          </w:p>
          <w:p w14:paraId="1F0F62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52AA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59620</w:t>
            </w:r>
          </w:p>
          <w:p w14:paraId="7A59A9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CDA77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481723</w:t>
            </w:r>
          </w:p>
          <w:p w14:paraId="442EB1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E49DF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37548</w:t>
            </w:r>
          </w:p>
          <w:p w14:paraId="0322B8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01DE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6028</w:t>
            </w:r>
          </w:p>
          <w:p w14:paraId="70C21A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8C6D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358461</w:t>
            </w:r>
          </w:p>
          <w:p w14:paraId="633F14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5F81D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79686</w:t>
            </w:r>
          </w:p>
          <w:p w14:paraId="1A856B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CFCD875" w14:textId="77777777">
        <w:trPr>
          <w:trHeight w:val="259"/>
        </w:trPr>
        <w:tc>
          <w:tcPr>
            <w:tcW w:w="1219" w:type="dxa"/>
            <w:tcBorders>
              <w:top w:val="single" w:sz="6" w:space="0" w:color="auto"/>
              <w:left w:val="single" w:sz="6" w:space="0" w:color="auto"/>
              <w:bottom w:val="single" w:sz="6" w:space="0" w:color="auto"/>
              <w:right w:val="single" w:sz="6" w:space="0" w:color="auto"/>
            </w:tcBorders>
          </w:tcPr>
          <w:p w14:paraId="7A38B2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округах</w:t>
            </w:r>
          </w:p>
          <w:p w14:paraId="6C131E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486BB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126429</w:t>
            </w:r>
          </w:p>
          <w:p w14:paraId="2FE4EE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9DCE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55297</w:t>
            </w:r>
          </w:p>
          <w:p w14:paraId="4CF5F1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41B1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1006</w:t>
            </w:r>
          </w:p>
          <w:p w14:paraId="7D445E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2D953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182732</w:t>
            </w:r>
          </w:p>
          <w:p w14:paraId="266028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109A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16192</w:t>
            </w:r>
          </w:p>
          <w:p w14:paraId="6205A8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E1587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4173</w:t>
            </w:r>
          </w:p>
          <w:p w14:paraId="6AF0C6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207C2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122586</w:t>
            </w:r>
          </w:p>
          <w:p w14:paraId="6EC7FC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92200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39781</w:t>
            </w:r>
          </w:p>
          <w:p w14:paraId="7877F4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7B08D3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w:t>
      </w:r>
      <w:r w:rsidRPr="00925F26">
        <w:rPr>
          <w:color w:val="000000" w:themeColor="text1"/>
          <w:sz w:val="16"/>
          <w:szCs w:val="16"/>
        </w:rPr>
        <w:t>. Изменение технического состояния автопарка за годы войны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930"/>
        <w:gridCol w:w="1757"/>
        <w:gridCol w:w="1891"/>
        <w:gridCol w:w="2093"/>
      </w:tblGrid>
      <w:tr w:rsidR="000F5689" w:rsidRPr="00925F26" w14:paraId="016E41A9" w14:textId="77777777">
        <w:trPr>
          <w:trHeight w:val="240"/>
        </w:trPr>
        <w:tc>
          <w:tcPr>
            <w:tcW w:w="1939" w:type="dxa"/>
            <w:tcBorders>
              <w:top w:val="single" w:sz="6" w:space="0" w:color="auto"/>
              <w:left w:val="single" w:sz="6" w:space="0" w:color="auto"/>
              <w:bottom w:val="nil"/>
              <w:right w:val="single" w:sz="6" w:space="0" w:color="auto"/>
            </w:tcBorders>
          </w:tcPr>
          <w:p w14:paraId="1CB03F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Годы</w:t>
            </w:r>
          </w:p>
          <w:p w14:paraId="306E8D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nil"/>
              <w:right w:val="single" w:sz="6" w:space="0" w:color="auto"/>
            </w:tcBorders>
          </w:tcPr>
          <w:p w14:paraId="1C406D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Исправные автомашины</w:t>
            </w:r>
          </w:p>
          <w:p w14:paraId="6EAAC3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nil"/>
              <w:right w:val="single" w:sz="6" w:space="0" w:color="auto"/>
            </w:tcBorders>
          </w:tcPr>
          <w:p w14:paraId="282859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Неисправные автомашины</w:t>
            </w:r>
          </w:p>
          <w:p w14:paraId="2EEF7B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984" w:type="dxa"/>
            <w:gridSpan w:val="2"/>
            <w:tcBorders>
              <w:top w:val="single" w:sz="6" w:space="0" w:color="auto"/>
              <w:left w:val="single" w:sz="6" w:space="0" w:color="auto"/>
              <w:bottom w:val="single" w:sz="6" w:space="0" w:color="auto"/>
              <w:right w:val="single" w:sz="6" w:space="0" w:color="auto"/>
            </w:tcBorders>
          </w:tcPr>
          <w:p w14:paraId="347453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w:t>
            </w:r>
          </w:p>
          <w:p w14:paraId="6DA8D7D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838B5DD" w14:textId="77777777">
        <w:trPr>
          <w:trHeight w:val="413"/>
        </w:trPr>
        <w:tc>
          <w:tcPr>
            <w:tcW w:w="1939" w:type="dxa"/>
            <w:tcBorders>
              <w:top w:val="nil"/>
              <w:left w:val="single" w:sz="6" w:space="0" w:color="auto"/>
              <w:bottom w:val="single" w:sz="6" w:space="0" w:color="auto"/>
              <w:right w:val="single" w:sz="6" w:space="0" w:color="auto"/>
            </w:tcBorders>
          </w:tcPr>
          <w:p w14:paraId="7DD993FB" w14:textId="77777777" w:rsidR="006103B3" w:rsidRPr="00925F26" w:rsidRDefault="006103B3" w:rsidP="00925F26">
            <w:pPr>
              <w:autoSpaceDE w:val="0"/>
              <w:autoSpaceDN w:val="0"/>
              <w:adjustRightInd w:val="0"/>
              <w:jc w:val="both"/>
              <w:rPr>
                <w:color w:val="000000" w:themeColor="text1"/>
                <w:sz w:val="16"/>
                <w:szCs w:val="16"/>
              </w:rPr>
            </w:pPr>
          </w:p>
          <w:p w14:paraId="1F0F0F1B" w14:textId="77777777" w:rsidR="006103B3" w:rsidRPr="00925F26" w:rsidRDefault="006103B3" w:rsidP="00925F26">
            <w:pPr>
              <w:autoSpaceDE w:val="0"/>
              <w:autoSpaceDN w:val="0"/>
              <w:adjustRightInd w:val="0"/>
              <w:jc w:val="both"/>
              <w:rPr>
                <w:color w:val="000000" w:themeColor="text1"/>
                <w:sz w:val="16"/>
                <w:szCs w:val="16"/>
              </w:rPr>
            </w:pPr>
          </w:p>
        </w:tc>
        <w:tc>
          <w:tcPr>
            <w:tcW w:w="1930" w:type="dxa"/>
            <w:tcBorders>
              <w:top w:val="nil"/>
              <w:left w:val="single" w:sz="6" w:space="0" w:color="auto"/>
              <w:bottom w:val="single" w:sz="6" w:space="0" w:color="auto"/>
              <w:right w:val="single" w:sz="6" w:space="0" w:color="auto"/>
            </w:tcBorders>
          </w:tcPr>
          <w:p w14:paraId="1FC334AF" w14:textId="77777777" w:rsidR="006103B3" w:rsidRPr="00925F26" w:rsidRDefault="006103B3" w:rsidP="00925F26">
            <w:pPr>
              <w:autoSpaceDE w:val="0"/>
              <w:autoSpaceDN w:val="0"/>
              <w:adjustRightInd w:val="0"/>
              <w:jc w:val="both"/>
              <w:rPr>
                <w:color w:val="000000" w:themeColor="text1"/>
                <w:sz w:val="16"/>
                <w:szCs w:val="16"/>
              </w:rPr>
            </w:pPr>
          </w:p>
          <w:p w14:paraId="1EC8E80E" w14:textId="77777777" w:rsidR="006103B3" w:rsidRPr="00925F26" w:rsidRDefault="006103B3" w:rsidP="00925F26">
            <w:pPr>
              <w:autoSpaceDE w:val="0"/>
              <w:autoSpaceDN w:val="0"/>
              <w:adjustRightInd w:val="0"/>
              <w:jc w:val="both"/>
              <w:rPr>
                <w:color w:val="000000" w:themeColor="text1"/>
                <w:sz w:val="16"/>
                <w:szCs w:val="16"/>
              </w:rPr>
            </w:pPr>
          </w:p>
        </w:tc>
        <w:tc>
          <w:tcPr>
            <w:tcW w:w="1757" w:type="dxa"/>
            <w:tcBorders>
              <w:top w:val="nil"/>
              <w:left w:val="single" w:sz="6" w:space="0" w:color="auto"/>
              <w:bottom w:val="single" w:sz="6" w:space="0" w:color="auto"/>
              <w:right w:val="single" w:sz="6" w:space="0" w:color="auto"/>
            </w:tcBorders>
          </w:tcPr>
          <w:p w14:paraId="1C7B29B2" w14:textId="77777777" w:rsidR="006103B3" w:rsidRPr="00925F26" w:rsidRDefault="006103B3" w:rsidP="00925F26">
            <w:pPr>
              <w:autoSpaceDE w:val="0"/>
              <w:autoSpaceDN w:val="0"/>
              <w:adjustRightInd w:val="0"/>
              <w:jc w:val="both"/>
              <w:rPr>
                <w:color w:val="000000" w:themeColor="text1"/>
                <w:sz w:val="16"/>
                <w:szCs w:val="16"/>
              </w:rPr>
            </w:pPr>
          </w:p>
          <w:p w14:paraId="3BFB4584" w14:textId="77777777" w:rsidR="006103B3" w:rsidRPr="00925F26" w:rsidRDefault="006103B3" w:rsidP="00925F26">
            <w:pPr>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1A6A7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Требует среднего ремонта</w:t>
            </w:r>
          </w:p>
          <w:p w14:paraId="61657B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0D4346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Требует капитального ремонта</w:t>
            </w:r>
          </w:p>
          <w:p w14:paraId="68ED71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CFA6D44"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2A5C9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22.06. 1941 г.</w:t>
            </w:r>
          </w:p>
          <w:p w14:paraId="1D3156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8C1DC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88,7</w:t>
            </w:r>
          </w:p>
          <w:p w14:paraId="104049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D4D30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11,3</w:t>
            </w:r>
          </w:p>
          <w:p w14:paraId="6538C2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4D9904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w:t>
            </w:r>
          </w:p>
          <w:p w14:paraId="023BAB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62F21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p w14:paraId="191671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669CA2F"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7E3E6F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1942 г.</w:t>
            </w:r>
          </w:p>
          <w:p w14:paraId="3C5296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765C1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82,0</w:t>
            </w:r>
          </w:p>
          <w:p w14:paraId="25C269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2E45D6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18,0</w:t>
            </w:r>
          </w:p>
          <w:p w14:paraId="483328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DA71D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12,1</w:t>
            </w:r>
          </w:p>
          <w:p w14:paraId="3F21FD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161460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w:t>
            </w:r>
          </w:p>
          <w:p w14:paraId="26D437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F0A0207"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137E46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1943 г.</w:t>
            </w:r>
          </w:p>
          <w:p w14:paraId="6E53B2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BE46F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81,2</w:t>
            </w:r>
          </w:p>
          <w:p w14:paraId="25A1FC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250D8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18,8</w:t>
            </w:r>
          </w:p>
          <w:p w14:paraId="028B677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90C73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11,4</w:t>
            </w:r>
          </w:p>
          <w:p w14:paraId="2DC375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3E738A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w:t>
            </w:r>
          </w:p>
          <w:p w14:paraId="719A14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1741B01"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7DFC8C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1944 г.</w:t>
            </w:r>
          </w:p>
          <w:p w14:paraId="5CAAC3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E17A0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77,8</w:t>
            </w:r>
          </w:p>
          <w:p w14:paraId="0B81F7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40967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22,2</w:t>
            </w:r>
          </w:p>
          <w:p w14:paraId="47C408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4693D7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14,7</w:t>
            </w:r>
          </w:p>
          <w:p w14:paraId="30C9C5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7ACD7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4CDD50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27FF1BD"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E3CE4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1.01. 1945 г.</w:t>
            </w:r>
          </w:p>
          <w:p w14:paraId="411ECA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54957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86,8</w:t>
            </w:r>
          </w:p>
          <w:p w14:paraId="79A7D1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628D7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13,2</w:t>
            </w:r>
          </w:p>
          <w:p w14:paraId="57CEFA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A6AB0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w:t>
            </w:r>
          </w:p>
          <w:p w14:paraId="29FDE96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0CEF34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w:t>
            </w:r>
          </w:p>
          <w:p w14:paraId="4FBE4C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83CABBE" w14:textId="77777777">
        <w:trPr>
          <w:trHeight w:val="250"/>
        </w:trPr>
        <w:tc>
          <w:tcPr>
            <w:tcW w:w="1939" w:type="dxa"/>
            <w:tcBorders>
              <w:top w:val="single" w:sz="6" w:space="0" w:color="auto"/>
              <w:left w:val="single" w:sz="6" w:space="0" w:color="auto"/>
              <w:bottom w:val="single" w:sz="6" w:space="0" w:color="auto"/>
              <w:right w:val="single" w:sz="6" w:space="0" w:color="auto"/>
            </w:tcBorders>
          </w:tcPr>
          <w:p w14:paraId="1169CC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1.05. 1945 г.</w:t>
            </w:r>
          </w:p>
          <w:p w14:paraId="22CCD4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70E1B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85,2</w:t>
            </w:r>
          </w:p>
          <w:p w14:paraId="63302D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4A5992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14,8</w:t>
            </w:r>
          </w:p>
          <w:p w14:paraId="695407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57A1CC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9,7</w:t>
            </w:r>
          </w:p>
          <w:p w14:paraId="7529C3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5E44D7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w:t>
            </w:r>
          </w:p>
          <w:p w14:paraId="120797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5A9576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Улучшение технического состояния автопарка в 1944-1945 гг. произошло за счет улучшения организации ремонта в войсках и на ремзаводах, а также усиленного пополнения автопарка новыми машинами в 1944 году.</w:t>
      </w:r>
    </w:p>
    <w:p w14:paraId="32DEF5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VI</w:t>
      </w:r>
      <w:r w:rsidRPr="00925F26">
        <w:rPr>
          <w:color w:val="000000" w:themeColor="text1"/>
          <w:sz w:val="16"/>
          <w:szCs w:val="16"/>
        </w:rPr>
        <w:t>. Специальные автомашины</w:t>
      </w:r>
    </w:p>
    <w:p w14:paraId="2E8546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1943 году на управление снабжения была возложена задача обеспечения частей Красной Армии специальными автомашинами — бензоцистернами, походно-зарядными станциями и под</w:t>
      </w:r>
      <w:r w:rsidRPr="00925F26">
        <w:rPr>
          <w:color w:val="000000" w:themeColor="text1"/>
          <w:sz w:val="16"/>
          <w:szCs w:val="16"/>
        </w:rPr>
        <w:softHyphen/>
        <w:t>вижными ремонтными мастерскими.</w:t>
      </w:r>
    </w:p>
    <w:p w14:paraId="49E5A8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спецмашин организовано на 16 предприятиях.</w:t>
      </w:r>
    </w:p>
    <w:p w14:paraId="0A754B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годы войны получено и выдано войскам 4536 специальных машин, из них:</w:t>
      </w:r>
    </w:p>
    <w:tbl>
      <w:tblPr>
        <w:tblW w:w="0" w:type="auto"/>
        <w:tblInd w:w="40" w:type="dxa"/>
        <w:tblLayout w:type="fixed"/>
        <w:tblCellMar>
          <w:left w:w="40" w:type="dxa"/>
          <w:right w:w="40" w:type="dxa"/>
        </w:tblCellMar>
        <w:tblLook w:val="0000" w:firstRow="0" w:lastRow="0" w:firstColumn="0" w:lastColumn="0" w:noHBand="0" w:noVBand="0"/>
      </w:tblPr>
      <w:tblGrid>
        <w:gridCol w:w="2112"/>
        <w:gridCol w:w="1114"/>
        <w:gridCol w:w="1123"/>
        <w:gridCol w:w="1498"/>
        <w:gridCol w:w="1450"/>
        <w:gridCol w:w="1258"/>
        <w:gridCol w:w="1056"/>
      </w:tblGrid>
      <w:tr w:rsidR="000F5689" w:rsidRPr="00925F26" w14:paraId="7E66BD4D" w14:textId="77777777">
        <w:trPr>
          <w:trHeight w:val="250"/>
        </w:trPr>
        <w:tc>
          <w:tcPr>
            <w:tcW w:w="2112" w:type="dxa"/>
            <w:tcBorders>
              <w:top w:val="single" w:sz="6" w:space="0" w:color="auto"/>
              <w:left w:val="single" w:sz="6" w:space="0" w:color="auto"/>
              <w:bottom w:val="nil"/>
              <w:right w:val="single" w:sz="6" w:space="0" w:color="auto"/>
            </w:tcBorders>
          </w:tcPr>
          <w:p w14:paraId="50E94D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Годы</w:t>
            </w:r>
          </w:p>
          <w:p w14:paraId="2149BF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237" w:type="dxa"/>
            <w:gridSpan w:val="2"/>
            <w:tcBorders>
              <w:top w:val="single" w:sz="6" w:space="0" w:color="auto"/>
              <w:left w:val="single" w:sz="6" w:space="0" w:color="auto"/>
              <w:bottom w:val="single" w:sz="6" w:space="0" w:color="auto"/>
              <w:right w:val="single" w:sz="6" w:space="0" w:color="auto"/>
            </w:tcBorders>
          </w:tcPr>
          <w:p w14:paraId="25438B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Ремлетучки</w:t>
            </w:r>
          </w:p>
          <w:p w14:paraId="2B411D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7C05E0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Походно-зарядные станции</w:t>
            </w:r>
          </w:p>
          <w:p w14:paraId="08773D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618BA9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Бензоцистерны</w:t>
            </w:r>
          </w:p>
          <w:p w14:paraId="45E463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65C08F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Бензоприцепы (двухосные)</w:t>
            </w:r>
          </w:p>
          <w:p w14:paraId="2753C7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nil"/>
              <w:right w:val="single" w:sz="6" w:space="0" w:color="auto"/>
            </w:tcBorders>
          </w:tcPr>
          <w:p w14:paraId="5422A8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509BA7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B0B64D5" w14:textId="77777777">
        <w:trPr>
          <w:trHeight w:val="230"/>
        </w:trPr>
        <w:tc>
          <w:tcPr>
            <w:tcW w:w="2112" w:type="dxa"/>
            <w:tcBorders>
              <w:top w:val="nil"/>
              <w:left w:val="single" w:sz="6" w:space="0" w:color="auto"/>
              <w:bottom w:val="single" w:sz="6" w:space="0" w:color="auto"/>
              <w:right w:val="single" w:sz="6" w:space="0" w:color="auto"/>
            </w:tcBorders>
          </w:tcPr>
          <w:p w14:paraId="467934E6" w14:textId="77777777" w:rsidR="006103B3" w:rsidRPr="00925F26" w:rsidRDefault="006103B3" w:rsidP="00925F26">
            <w:pPr>
              <w:autoSpaceDE w:val="0"/>
              <w:autoSpaceDN w:val="0"/>
              <w:adjustRightInd w:val="0"/>
              <w:jc w:val="both"/>
              <w:rPr>
                <w:color w:val="000000" w:themeColor="text1"/>
                <w:sz w:val="16"/>
                <w:szCs w:val="16"/>
              </w:rPr>
            </w:pPr>
          </w:p>
          <w:p w14:paraId="32EF3432" w14:textId="77777777" w:rsidR="006103B3" w:rsidRPr="00925F26" w:rsidRDefault="006103B3" w:rsidP="00925F26">
            <w:pPr>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DB237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типа «А»</w:t>
            </w:r>
          </w:p>
          <w:p w14:paraId="59056B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0A2B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типа «Б»</w:t>
            </w:r>
          </w:p>
          <w:p w14:paraId="612D13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194861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8BE4C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078EEA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0D734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2AF9976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43180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56" w:type="dxa"/>
            <w:tcBorders>
              <w:top w:val="nil"/>
              <w:left w:val="single" w:sz="6" w:space="0" w:color="auto"/>
              <w:bottom w:val="single" w:sz="6" w:space="0" w:color="auto"/>
              <w:right w:val="single" w:sz="6" w:space="0" w:color="auto"/>
            </w:tcBorders>
          </w:tcPr>
          <w:p w14:paraId="3A0EA4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ED7E2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545660F"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1F280C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p w14:paraId="5E73A10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4F460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260</w:t>
            </w:r>
          </w:p>
          <w:p w14:paraId="7E2437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6768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w:t>
            </w:r>
          </w:p>
          <w:p w14:paraId="7027FF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8E44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456</w:t>
            </w:r>
          </w:p>
          <w:p w14:paraId="71E01B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D9D97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828</w:t>
            </w:r>
          </w:p>
          <w:p w14:paraId="61BEF3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598B2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325</w:t>
            </w:r>
          </w:p>
          <w:p w14:paraId="7E0134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45CC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1915</w:t>
            </w:r>
          </w:p>
          <w:p w14:paraId="03B802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DFA0B78"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12691A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p w14:paraId="653229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0668A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311</w:t>
            </w:r>
          </w:p>
          <w:p w14:paraId="08D62D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AED2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w:t>
            </w:r>
          </w:p>
          <w:p w14:paraId="1CBFC4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3D7E4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549</w:t>
            </w:r>
          </w:p>
          <w:p w14:paraId="0C66C1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D161B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970</w:t>
            </w:r>
          </w:p>
          <w:p w14:paraId="343A43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4D3D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139"</w:t>
            </w:r>
          </w:p>
          <w:p w14:paraId="403001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CBFCA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2052</w:t>
            </w:r>
          </w:p>
          <w:p w14:paraId="34C9D4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F974CBF"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3C96DB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 1.01 по 1.05)</w:t>
            </w:r>
          </w:p>
          <w:p w14:paraId="02604C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3631B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114</w:t>
            </w:r>
          </w:p>
          <w:p w14:paraId="4C1AFB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3B5D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p w14:paraId="7A71DE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D7AC1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w:t>
            </w:r>
          </w:p>
          <w:p w14:paraId="695527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2EC10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297</w:t>
            </w:r>
          </w:p>
          <w:p w14:paraId="354093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95CE4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BB3F7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22E85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569</w:t>
            </w:r>
          </w:p>
          <w:p w14:paraId="5DCF95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300376B" w14:textId="77777777">
        <w:trPr>
          <w:trHeight w:val="250"/>
        </w:trPr>
        <w:tc>
          <w:tcPr>
            <w:tcW w:w="2112" w:type="dxa"/>
            <w:tcBorders>
              <w:top w:val="single" w:sz="6" w:space="0" w:color="auto"/>
              <w:left w:val="single" w:sz="6" w:space="0" w:color="auto"/>
              <w:bottom w:val="single" w:sz="6" w:space="0" w:color="auto"/>
              <w:right w:val="single" w:sz="6" w:space="0" w:color="auto"/>
            </w:tcBorders>
          </w:tcPr>
          <w:p w14:paraId="6A6840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Итого</w:t>
            </w:r>
          </w:p>
          <w:p w14:paraId="3C8C18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596A5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685</w:t>
            </w:r>
          </w:p>
          <w:p w14:paraId="5F5DB5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0DEA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144</w:t>
            </w:r>
          </w:p>
          <w:p w14:paraId="15D726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F157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1148</w:t>
            </w:r>
          </w:p>
          <w:p w14:paraId="3ABEB2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0D529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2095</w:t>
            </w:r>
          </w:p>
          <w:p w14:paraId="4C9BC4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EC89D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464</w:t>
            </w:r>
          </w:p>
          <w:p w14:paraId="41519A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A487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4536</w:t>
            </w:r>
          </w:p>
          <w:p w14:paraId="2CF58B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1A5AF3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vertAlign w:val="superscript"/>
        </w:rPr>
        <w:t>х)</w:t>
      </w:r>
      <w:r w:rsidRPr="00925F26">
        <w:rPr>
          <w:color w:val="000000" w:themeColor="text1"/>
          <w:sz w:val="16"/>
          <w:szCs w:val="16"/>
        </w:rPr>
        <w:t xml:space="preserve"> </w:t>
      </w:r>
      <w:proofErr w:type="gramStart"/>
      <w:r w:rsidRPr="00925F26">
        <w:rPr>
          <w:color w:val="000000" w:themeColor="text1"/>
          <w:sz w:val="16"/>
          <w:szCs w:val="16"/>
        </w:rPr>
        <w:t>Кроме того</w:t>
      </w:r>
      <w:proofErr w:type="gramEnd"/>
      <w:r w:rsidRPr="00925F26">
        <w:rPr>
          <w:color w:val="000000" w:themeColor="text1"/>
          <w:sz w:val="16"/>
          <w:szCs w:val="16"/>
        </w:rPr>
        <w:t xml:space="preserve"> изготовлено 211 грузовых и бензоприцепов на шасси трофейных машин.</w:t>
      </w:r>
    </w:p>
    <w:p w14:paraId="2E485A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VII</w:t>
      </w:r>
      <w:r w:rsidRPr="00925F26">
        <w:rPr>
          <w:color w:val="000000" w:themeColor="text1"/>
          <w:sz w:val="16"/>
          <w:szCs w:val="16"/>
        </w:rPr>
        <w:t>. Авторезина</w:t>
      </w:r>
    </w:p>
    <w:p w14:paraId="28CA04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годы войны для Красной Армии получено 3275 тыс. комплектов авторезины, причем поставка, начиная с 1942 г., ежегодно возрастала: (в тыс. комплектов)</w:t>
      </w:r>
    </w:p>
    <w:tbl>
      <w:tblPr>
        <w:tblW w:w="0" w:type="auto"/>
        <w:tblInd w:w="40" w:type="dxa"/>
        <w:tblLayout w:type="fixed"/>
        <w:tblCellMar>
          <w:left w:w="40" w:type="dxa"/>
          <w:right w:w="40" w:type="dxa"/>
        </w:tblCellMar>
        <w:tblLook w:val="0000" w:firstRow="0" w:lastRow="0" w:firstColumn="0" w:lastColumn="0" w:noHBand="0" w:noVBand="0"/>
      </w:tblPr>
      <w:tblGrid>
        <w:gridCol w:w="1392"/>
        <w:gridCol w:w="2054"/>
        <w:gridCol w:w="1267"/>
        <w:gridCol w:w="1267"/>
        <w:gridCol w:w="1267"/>
        <w:gridCol w:w="1267"/>
        <w:gridCol w:w="1085"/>
      </w:tblGrid>
      <w:tr w:rsidR="000F5689" w:rsidRPr="00925F26" w14:paraId="355F9E28" w14:textId="77777777">
        <w:trPr>
          <w:trHeight w:val="250"/>
        </w:trPr>
        <w:tc>
          <w:tcPr>
            <w:tcW w:w="3446" w:type="dxa"/>
            <w:gridSpan w:val="2"/>
            <w:tcBorders>
              <w:top w:val="single" w:sz="6" w:space="0" w:color="auto"/>
              <w:left w:val="single" w:sz="6" w:space="0" w:color="auto"/>
              <w:bottom w:val="single" w:sz="6" w:space="0" w:color="auto"/>
              <w:right w:val="single" w:sz="6" w:space="0" w:color="auto"/>
            </w:tcBorders>
          </w:tcPr>
          <w:p w14:paraId="691C2B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год</w:t>
            </w:r>
          </w:p>
          <w:p w14:paraId="78CFB8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53D7F7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w:t>
            </w:r>
          </w:p>
          <w:p w14:paraId="1F4DFC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0DE2AB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p w14:paraId="4BDAFC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2B0796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p w14:paraId="5D3864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577AB8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 1 .01 по 1 .05)</w:t>
            </w:r>
          </w:p>
          <w:p w14:paraId="19F7AD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4DCE82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с 22.06. 1941 г. по 1.05. 1945 г.</w:t>
            </w:r>
          </w:p>
          <w:p w14:paraId="067E46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2CFFB84" w14:textId="77777777">
        <w:trPr>
          <w:trHeight w:val="509"/>
        </w:trPr>
        <w:tc>
          <w:tcPr>
            <w:tcW w:w="1392" w:type="dxa"/>
            <w:tcBorders>
              <w:top w:val="single" w:sz="6" w:space="0" w:color="auto"/>
              <w:left w:val="single" w:sz="6" w:space="0" w:color="auto"/>
              <w:bottom w:val="single" w:sz="6" w:space="0" w:color="auto"/>
              <w:right w:val="single" w:sz="6" w:space="0" w:color="auto"/>
            </w:tcBorders>
          </w:tcPr>
          <w:p w14:paraId="30433B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1E6098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54" w:type="dxa"/>
            <w:tcBorders>
              <w:top w:val="single" w:sz="6" w:space="0" w:color="auto"/>
              <w:left w:val="single" w:sz="6" w:space="0" w:color="auto"/>
              <w:bottom w:val="single" w:sz="6" w:space="0" w:color="auto"/>
              <w:right w:val="single" w:sz="6" w:space="0" w:color="auto"/>
            </w:tcBorders>
          </w:tcPr>
          <w:p w14:paraId="7AC06B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том числе с 22.06 по 31. 12</w:t>
            </w:r>
          </w:p>
          <w:p w14:paraId="42FAA4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249787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43419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3DD44A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43DFE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295F6C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CD7A1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0768EC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F49C9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CD47E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EFAB3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21BE37B" w14:textId="77777777">
        <w:trPr>
          <w:trHeight w:val="259"/>
        </w:trPr>
        <w:tc>
          <w:tcPr>
            <w:tcW w:w="1392" w:type="dxa"/>
            <w:tcBorders>
              <w:top w:val="single" w:sz="6" w:space="0" w:color="auto"/>
              <w:left w:val="single" w:sz="6" w:space="0" w:color="auto"/>
              <w:bottom w:val="single" w:sz="6" w:space="0" w:color="auto"/>
              <w:right w:val="single" w:sz="6" w:space="0" w:color="auto"/>
            </w:tcBorders>
          </w:tcPr>
          <w:p w14:paraId="1FF0B4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880,6</w:t>
            </w:r>
          </w:p>
          <w:p w14:paraId="703CBE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54" w:type="dxa"/>
            <w:tcBorders>
              <w:top w:val="single" w:sz="6" w:space="0" w:color="auto"/>
              <w:left w:val="single" w:sz="6" w:space="0" w:color="auto"/>
              <w:bottom w:val="single" w:sz="6" w:space="0" w:color="auto"/>
              <w:right w:val="single" w:sz="6" w:space="0" w:color="auto"/>
            </w:tcBorders>
          </w:tcPr>
          <w:p w14:paraId="657159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530,0</w:t>
            </w:r>
          </w:p>
          <w:p w14:paraId="48713A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AD1F2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602,1</w:t>
            </w:r>
          </w:p>
          <w:p w14:paraId="234AE8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C8F1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747,1</w:t>
            </w:r>
          </w:p>
          <w:p w14:paraId="36DCC1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E03B8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994,9</w:t>
            </w:r>
          </w:p>
          <w:p w14:paraId="7FBF72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E927B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401,1</w:t>
            </w:r>
          </w:p>
          <w:p w14:paraId="049F70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A3BB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3275,2</w:t>
            </w:r>
          </w:p>
          <w:p w14:paraId="6B6FFB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42F2B0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Достигнутый уровень поставки авторезины дал возможность обеспечить потребность частей Красной Армии.</w:t>
      </w:r>
    </w:p>
    <w:p w14:paraId="7376E2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Отгрузка авторезины составила (в тыс. комплектов):</w:t>
      </w:r>
    </w:p>
    <w:tbl>
      <w:tblPr>
        <w:tblW w:w="0" w:type="auto"/>
        <w:tblInd w:w="40" w:type="dxa"/>
        <w:tblLayout w:type="fixed"/>
        <w:tblCellMar>
          <w:left w:w="40" w:type="dxa"/>
          <w:right w:w="40" w:type="dxa"/>
        </w:tblCellMar>
        <w:tblLook w:val="0000" w:firstRow="0" w:lastRow="0" w:firstColumn="0" w:lastColumn="0" w:noHBand="0" w:noVBand="0"/>
      </w:tblPr>
      <w:tblGrid>
        <w:gridCol w:w="2976"/>
        <w:gridCol w:w="1306"/>
        <w:gridCol w:w="1133"/>
        <w:gridCol w:w="1133"/>
        <w:gridCol w:w="1133"/>
        <w:gridCol w:w="1171"/>
        <w:gridCol w:w="739"/>
      </w:tblGrid>
      <w:tr w:rsidR="000F5689" w:rsidRPr="00925F26" w14:paraId="38B6E34E" w14:textId="77777777">
        <w:trPr>
          <w:trHeight w:val="586"/>
        </w:trPr>
        <w:tc>
          <w:tcPr>
            <w:tcW w:w="2976" w:type="dxa"/>
            <w:tcBorders>
              <w:top w:val="single" w:sz="6" w:space="0" w:color="auto"/>
              <w:left w:val="single" w:sz="6" w:space="0" w:color="auto"/>
              <w:bottom w:val="single" w:sz="6" w:space="0" w:color="auto"/>
              <w:right w:val="single" w:sz="6" w:space="0" w:color="auto"/>
            </w:tcBorders>
          </w:tcPr>
          <w:p w14:paraId="32E3C8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79041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42F90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 (с 22.06 по31.12)</w:t>
            </w:r>
          </w:p>
          <w:p w14:paraId="4FCCDC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12BCE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w:t>
            </w:r>
          </w:p>
          <w:p w14:paraId="0894AF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B2A9A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p w14:paraId="3C6BA7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908CE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p w14:paraId="31EEA5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B4F54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 1 .01 по 1.05)</w:t>
            </w:r>
          </w:p>
          <w:p w14:paraId="1D6C4C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EC5F7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6BB924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12B3EDE"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5B3AF7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Фронтам</w:t>
            </w:r>
          </w:p>
          <w:p w14:paraId="002D7E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4B18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265,9</w:t>
            </w:r>
          </w:p>
          <w:p w14:paraId="17FD0E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22A61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357,4</w:t>
            </w:r>
          </w:p>
          <w:p w14:paraId="0EDC7F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C080C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456,6</w:t>
            </w:r>
          </w:p>
          <w:p w14:paraId="1BCB26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8483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731,8</w:t>
            </w:r>
          </w:p>
          <w:p w14:paraId="05AC5E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0C2B6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222,0</w:t>
            </w:r>
          </w:p>
          <w:p w14:paraId="08D249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64F77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2033,7</w:t>
            </w:r>
          </w:p>
          <w:p w14:paraId="319737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DB5F1B0"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431775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Округам</w:t>
            </w:r>
          </w:p>
          <w:p w14:paraId="7603D2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BA2A2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150,0</w:t>
            </w:r>
          </w:p>
          <w:p w14:paraId="7943AB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40627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212,9</w:t>
            </w:r>
          </w:p>
          <w:p w14:paraId="6B17FE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28467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78,9</w:t>
            </w:r>
          </w:p>
          <w:p w14:paraId="7C8D3A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10BC1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170,9</w:t>
            </w:r>
          </w:p>
          <w:p w14:paraId="4B1512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277AA1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54,9</w:t>
            </w:r>
          </w:p>
          <w:p w14:paraId="43C3F4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978B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667,6</w:t>
            </w:r>
          </w:p>
          <w:p w14:paraId="03C8E9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90393C8"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5805D0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Частям, формируемым в центре</w:t>
            </w:r>
          </w:p>
          <w:p w14:paraId="7225E0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22C8D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50,0</w:t>
            </w:r>
          </w:p>
          <w:p w14:paraId="724040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5FB4BF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84,2</w:t>
            </w:r>
          </w:p>
          <w:p w14:paraId="349EB5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7AE56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133,7</w:t>
            </w:r>
          </w:p>
          <w:p w14:paraId="06343E0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D3C38E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174,9</w:t>
            </w:r>
          </w:p>
          <w:p w14:paraId="2A5FF6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E71D4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83,0</w:t>
            </w:r>
          </w:p>
          <w:p w14:paraId="3002AE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1E242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525,8</w:t>
            </w:r>
          </w:p>
          <w:p w14:paraId="1012B7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D0FE017" w14:textId="77777777">
        <w:trPr>
          <w:trHeight w:val="230"/>
        </w:trPr>
        <w:tc>
          <w:tcPr>
            <w:tcW w:w="2976" w:type="dxa"/>
            <w:tcBorders>
              <w:top w:val="single" w:sz="6" w:space="0" w:color="auto"/>
              <w:left w:val="single" w:sz="6" w:space="0" w:color="auto"/>
              <w:bottom w:val="single" w:sz="6" w:space="0" w:color="auto"/>
              <w:right w:val="single" w:sz="6" w:space="0" w:color="auto"/>
            </w:tcBorders>
          </w:tcPr>
          <w:p w14:paraId="594921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Ремзаводам</w:t>
            </w:r>
          </w:p>
          <w:p w14:paraId="658958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12206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151C1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86CED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35DE83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459A3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18,6</w:t>
            </w:r>
          </w:p>
          <w:p w14:paraId="6DD661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46AF9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41,9</w:t>
            </w:r>
          </w:p>
          <w:p w14:paraId="26EEE7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43F3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9,5</w:t>
            </w:r>
          </w:p>
          <w:p w14:paraId="67EAA3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9EB3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70,0</w:t>
            </w:r>
          </w:p>
          <w:p w14:paraId="765DF1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2AA6506"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351492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714D77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FA074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465,9</w:t>
            </w:r>
          </w:p>
          <w:p w14:paraId="69F723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921D7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654,5</w:t>
            </w:r>
          </w:p>
          <w:p w14:paraId="3265A4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7794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687,8</w:t>
            </w:r>
          </w:p>
          <w:p w14:paraId="0694E9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9BC4F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1119,5</w:t>
            </w:r>
          </w:p>
          <w:p w14:paraId="684353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9D7E6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369,4</w:t>
            </w:r>
          </w:p>
          <w:p w14:paraId="6AAC78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88C8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3297,1</w:t>
            </w:r>
          </w:p>
          <w:p w14:paraId="1B8399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7DF26A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снабжения войск новой авторезиной, начиная с 1943 г., проделана большая работа по организации ремонта авторезины на центральных ремзаводах и фронтовыми и окружными ремон</w:t>
      </w:r>
      <w:r w:rsidRPr="00925F26">
        <w:rPr>
          <w:color w:val="000000" w:themeColor="text1"/>
          <w:sz w:val="16"/>
          <w:szCs w:val="16"/>
        </w:rPr>
        <w:softHyphen/>
        <w:t>тными средствами:</w:t>
      </w:r>
    </w:p>
    <w:tbl>
      <w:tblPr>
        <w:tblW w:w="0" w:type="auto"/>
        <w:tblInd w:w="40" w:type="dxa"/>
        <w:tblLayout w:type="fixed"/>
        <w:tblCellMar>
          <w:left w:w="40" w:type="dxa"/>
          <w:right w:w="40" w:type="dxa"/>
        </w:tblCellMar>
        <w:tblLook w:val="0000" w:firstRow="0" w:lastRow="0" w:firstColumn="0" w:lastColumn="0" w:noHBand="0" w:noVBand="0"/>
      </w:tblPr>
      <w:tblGrid>
        <w:gridCol w:w="3821"/>
        <w:gridCol w:w="1277"/>
        <w:gridCol w:w="1277"/>
        <w:gridCol w:w="1286"/>
        <w:gridCol w:w="1958"/>
      </w:tblGrid>
      <w:tr w:rsidR="000F5689" w:rsidRPr="00925F26" w14:paraId="5E09C1FC" w14:textId="77777777">
        <w:trPr>
          <w:trHeight w:val="413"/>
        </w:trPr>
        <w:tc>
          <w:tcPr>
            <w:tcW w:w="3821" w:type="dxa"/>
            <w:tcBorders>
              <w:top w:val="single" w:sz="6" w:space="0" w:color="auto"/>
              <w:left w:val="single" w:sz="6" w:space="0" w:color="auto"/>
              <w:bottom w:val="single" w:sz="6" w:space="0" w:color="auto"/>
              <w:right w:val="single" w:sz="6" w:space="0" w:color="auto"/>
            </w:tcBorders>
          </w:tcPr>
          <w:p w14:paraId="57E6C9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Отремонтировано покрышек</w:t>
            </w:r>
          </w:p>
          <w:p w14:paraId="4BE02A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1CF56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3A3720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F350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1 944 год</w:t>
            </w:r>
          </w:p>
          <w:p w14:paraId="645A0B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D6D8C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(с1 .01 по 1 .05)</w:t>
            </w:r>
          </w:p>
          <w:p w14:paraId="1EB7FC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364BE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1ADAFC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2571474" w14:textId="77777777">
        <w:trPr>
          <w:trHeight w:val="240"/>
        </w:trPr>
        <w:tc>
          <w:tcPr>
            <w:tcW w:w="3821" w:type="dxa"/>
            <w:tcBorders>
              <w:top w:val="single" w:sz="6" w:space="0" w:color="auto"/>
              <w:left w:val="single" w:sz="6" w:space="0" w:color="auto"/>
              <w:bottom w:val="single" w:sz="6" w:space="0" w:color="auto"/>
              <w:right w:val="single" w:sz="6" w:space="0" w:color="auto"/>
            </w:tcBorders>
          </w:tcPr>
          <w:p w14:paraId="3763C6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заводах промышленности</w:t>
            </w:r>
          </w:p>
          <w:p w14:paraId="09CC84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FC3B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208098</w:t>
            </w:r>
          </w:p>
          <w:p w14:paraId="3885E8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4481E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243475</w:t>
            </w:r>
          </w:p>
          <w:p w14:paraId="5DC356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9CF85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33200</w:t>
            </w:r>
          </w:p>
          <w:p w14:paraId="193D78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51A1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484773</w:t>
            </w:r>
          </w:p>
          <w:p w14:paraId="64A6E9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DFD7CF5" w14:textId="77777777">
        <w:trPr>
          <w:trHeight w:val="240"/>
        </w:trPr>
        <w:tc>
          <w:tcPr>
            <w:tcW w:w="3821" w:type="dxa"/>
            <w:tcBorders>
              <w:top w:val="single" w:sz="6" w:space="0" w:color="auto"/>
              <w:left w:val="single" w:sz="6" w:space="0" w:color="auto"/>
              <w:bottom w:val="single" w:sz="6" w:space="0" w:color="auto"/>
              <w:right w:val="single" w:sz="6" w:space="0" w:color="auto"/>
            </w:tcBorders>
          </w:tcPr>
          <w:p w14:paraId="11B896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Фронтовыми и окружными ремсредствами</w:t>
            </w:r>
          </w:p>
          <w:p w14:paraId="715FAB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52D3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178911</w:t>
            </w:r>
          </w:p>
          <w:p w14:paraId="4A8F59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566E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273573</w:t>
            </w:r>
          </w:p>
          <w:p w14:paraId="26D552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0BBD2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103415</w:t>
            </w:r>
          </w:p>
          <w:p w14:paraId="207889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B3F49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555899</w:t>
            </w:r>
          </w:p>
          <w:p w14:paraId="560377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93E945F" w14:textId="77777777">
        <w:trPr>
          <w:trHeight w:val="259"/>
        </w:trPr>
        <w:tc>
          <w:tcPr>
            <w:tcW w:w="3821" w:type="dxa"/>
            <w:tcBorders>
              <w:top w:val="single" w:sz="6" w:space="0" w:color="auto"/>
              <w:left w:val="single" w:sz="6" w:space="0" w:color="auto"/>
              <w:bottom w:val="single" w:sz="6" w:space="0" w:color="auto"/>
              <w:right w:val="single" w:sz="6" w:space="0" w:color="auto"/>
            </w:tcBorders>
          </w:tcPr>
          <w:p w14:paraId="60AFB2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4F6556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B488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387009</w:t>
            </w:r>
          </w:p>
          <w:p w14:paraId="11EB36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7A313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517048</w:t>
            </w:r>
          </w:p>
          <w:p w14:paraId="162FB6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F7DB0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136615</w:t>
            </w:r>
          </w:p>
          <w:p w14:paraId="53DC93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024B6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1040672</w:t>
            </w:r>
          </w:p>
          <w:p w14:paraId="2B85DB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00CEE2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декабря 1943 г., в соответствии с постановлением СНК СССР № 1293, управлением проводи</w:t>
      </w:r>
      <w:r w:rsidRPr="00925F26">
        <w:rPr>
          <w:color w:val="000000" w:themeColor="text1"/>
          <w:sz w:val="16"/>
          <w:szCs w:val="16"/>
        </w:rPr>
        <w:softHyphen/>
        <w:t>лась работа по организации сдачи утильной резины на заводы промышленности.</w:t>
      </w:r>
    </w:p>
    <w:p w14:paraId="1BE051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1944 и 1945 гг. (по 1 мая) фронтами, округами и частями сдано 19238 тыс. утильной резины.</w:t>
      </w:r>
    </w:p>
    <w:p w14:paraId="07AD2D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VIII</w:t>
      </w:r>
      <w:r w:rsidRPr="00925F26">
        <w:rPr>
          <w:color w:val="000000" w:themeColor="text1"/>
          <w:sz w:val="16"/>
          <w:szCs w:val="16"/>
        </w:rPr>
        <w:t>. Перевозка автомашин железнодорожным транспортом</w:t>
      </w:r>
    </w:p>
    <w:p w14:paraId="19AB41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Получаемые от промышленности и по импорту автомашины направлялись фронтам и войско</w:t>
      </w:r>
      <w:r w:rsidRPr="00925F26">
        <w:rPr>
          <w:color w:val="000000" w:themeColor="text1"/>
          <w:sz w:val="16"/>
          <w:szCs w:val="16"/>
        </w:rPr>
        <w:softHyphen/>
        <w:t>вым частям железнодорожными транспортами.</w:t>
      </w:r>
    </w:p>
    <w:p w14:paraId="5A0715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по железной дороге перевезено: 3051 эшелон — 218607 машин.</w:t>
      </w:r>
    </w:p>
    <w:tbl>
      <w:tblPr>
        <w:tblW w:w="0" w:type="auto"/>
        <w:tblInd w:w="40" w:type="dxa"/>
        <w:tblLayout w:type="fixed"/>
        <w:tblCellMar>
          <w:left w:w="40" w:type="dxa"/>
          <w:right w:w="40" w:type="dxa"/>
        </w:tblCellMar>
        <w:tblLook w:val="0000" w:firstRow="0" w:lastRow="0" w:firstColumn="0" w:lastColumn="0" w:noHBand="0" w:noVBand="0"/>
      </w:tblPr>
      <w:tblGrid>
        <w:gridCol w:w="1411"/>
        <w:gridCol w:w="1363"/>
        <w:gridCol w:w="1363"/>
        <w:gridCol w:w="1363"/>
        <w:gridCol w:w="1373"/>
        <w:gridCol w:w="1363"/>
        <w:gridCol w:w="1382"/>
      </w:tblGrid>
      <w:tr w:rsidR="000F5689" w:rsidRPr="00925F26" w14:paraId="03E88D0A" w14:textId="77777777">
        <w:trPr>
          <w:trHeight w:val="422"/>
        </w:trPr>
        <w:tc>
          <w:tcPr>
            <w:tcW w:w="1411" w:type="dxa"/>
            <w:tcBorders>
              <w:top w:val="single" w:sz="6" w:space="0" w:color="auto"/>
              <w:left w:val="single" w:sz="6" w:space="0" w:color="auto"/>
              <w:bottom w:val="single" w:sz="6" w:space="0" w:color="auto"/>
              <w:right w:val="single" w:sz="6" w:space="0" w:color="auto"/>
            </w:tcBorders>
          </w:tcPr>
          <w:p w14:paraId="5CBE38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w:t>
            </w:r>
          </w:p>
          <w:p w14:paraId="089C63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2A7C4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1941 год (с 22.06 по 31. 12)</w:t>
            </w:r>
          </w:p>
          <w:p w14:paraId="291DC9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BF04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год</w:t>
            </w:r>
          </w:p>
          <w:p w14:paraId="190F2C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3780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4A5442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D7DE0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010813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CFE7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год (с 1.01 по 1.05)</w:t>
            </w:r>
          </w:p>
          <w:p w14:paraId="1BFED2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9E69C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3F0027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3C4E1AE" w14:textId="77777777">
        <w:trPr>
          <w:trHeight w:val="240"/>
        </w:trPr>
        <w:tc>
          <w:tcPr>
            <w:tcW w:w="1411" w:type="dxa"/>
            <w:tcBorders>
              <w:top w:val="single" w:sz="6" w:space="0" w:color="auto"/>
              <w:left w:val="single" w:sz="6" w:space="0" w:color="auto"/>
              <w:bottom w:val="single" w:sz="6" w:space="0" w:color="auto"/>
              <w:right w:val="single" w:sz="6" w:space="0" w:color="auto"/>
            </w:tcBorders>
          </w:tcPr>
          <w:p w14:paraId="0B7775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Эшелонов</w:t>
            </w:r>
          </w:p>
          <w:p w14:paraId="00D710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59527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168</w:t>
            </w:r>
          </w:p>
          <w:p w14:paraId="561E20A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CD8AC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493</w:t>
            </w:r>
          </w:p>
          <w:p w14:paraId="7F6506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1C372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510</w:t>
            </w:r>
          </w:p>
          <w:p w14:paraId="221D5A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B2596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1426</w:t>
            </w:r>
          </w:p>
          <w:p w14:paraId="4C1ACA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D56F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454</w:t>
            </w:r>
          </w:p>
          <w:p w14:paraId="2932A7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74C83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3051</w:t>
            </w:r>
          </w:p>
          <w:p w14:paraId="6D51BC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21B057C" w14:textId="77777777">
        <w:trPr>
          <w:trHeight w:val="250"/>
        </w:trPr>
        <w:tc>
          <w:tcPr>
            <w:tcW w:w="1411" w:type="dxa"/>
            <w:tcBorders>
              <w:top w:val="single" w:sz="6" w:space="0" w:color="auto"/>
              <w:left w:val="single" w:sz="6" w:space="0" w:color="auto"/>
              <w:bottom w:val="single" w:sz="6" w:space="0" w:color="auto"/>
              <w:right w:val="single" w:sz="6" w:space="0" w:color="auto"/>
            </w:tcBorders>
          </w:tcPr>
          <w:p w14:paraId="6312CE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Автомашин</w:t>
            </w:r>
          </w:p>
          <w:p w14:paraId="6398C6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7110C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5856</w:t>
            </w:r>
          </w:p>
          <w:p w14:paraId="640C43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58698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22200</w:t>
            </w:r>
          </w:p>
          <w:p w14:paraId="57873C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A1F2C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60883</w:t>
            </w:r>
          </w:p>
          <w:p w14:paraId="18F38A0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201D7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99694</w:t>
            </w:r>
          </w:p>
          <w:p w14:paraId="2BB7F7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B99D0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29974</w:t>
            </w:r>
          </w:p>
          <w:p w14:paraId="66E47C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68F3B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218607</w:t>
            </w:r>
          </w:p>
          <w:p w14:paraId="1FEF80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21AE40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roofErr w:type="gramStart"/>
      <w:r w:rsidRPr="00925F26">
        <w:rPr>
          <w:color w:val="000000" w:themeColor="text1"/>
          <w:sz w:val="16"/>
          <w:szCs w:val="16"/>
        </w:rPr>
        <w:t>Кроме того</w:t>
      </w:r>
      <w:proofErr w:type="gramEnd"/>
      <w:r w:rsidRPr="00925F26">
        <w:rPr>
          <w:color w:val="000000" w:themeColor="text1"/>
          <w:sz w:val="16"/>
          <w:szCs w:val="16"/>
        </w:rPr>
        <w:t xml:space="preserve"> производился перегон автомашин своим ходом, авточастями, подчиненными управлению.</w:t>
      </w:r>
    </w:p>
    <w:p w14:paraId="34E418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IX</w:t>
      </w:r>
      <w:r w:rsidRPr="00925F26">
        <w:rPr>
          <w:color w:val="000000" w:themeColor="text1"/>
          <w:sz w:val="16"/>
          <w:szCs w:val="16"/>
        </w:rPr>
        <w:t>. Работа автомобильных частей</w:t>
      </w:r>
    </w:p>
    <w:p w14:paraId="2D8C5E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Автомобильными частями, подчиненными управлению снабжения, за годы войны проделана большая работа по перегону автомашин с заводов промышленности на склады и в резерв, для после</w:t>
      </w:r>
      <w:r w:rsidRPr="00925F26">
        <w:rPr>
          <w:color w:val="000000" w:themeColor="text1"/>
          <w:sz w:val="16"/>
          <w:szCs w:val="16"/>
        </w:rPr>
        <w:softHyphen/>
        <w:t>дующей выдачи войскам и непосредственно фронтам и войсковым частям:</w:t>
      </w:r>
    </w:p>
    <w:tbl>
      <w:tblPr>
        <w:tblW w:w="0" w:type="auto"/>
        <w:tblInd w:w="40" w:type="dxa"/>
        <w:tblLayout w:type="fixed"/>
        <w:tblCellMar>
          <w:left w:w="40" w:type="dxa"/>
          <w:right w:w="40" w:type="dxa"/>
        </w:tblCellMar>
        <w:tblLook w:val="0000" w:firstRow="0" w:lastRow="0" w:firstColumn="0" w:lastColumn="0" w:noHBand="0" w:noVBand="0"/>
      </w:tblPr>
      <w:tblGrid>
        <w:gridCol w:w="2438"/>
        <w:gridCol w:w="1786"/>
        <w:gridCol w:w="1766"/>
        <w:gridCol w:w="1757"/>
        <w:gridCol w:w="1853"/>
      </w:tblGrid>
      <w:tr w:rsidR="000F5689" w:rsidRPr="00925F26" w14:paraId="32415E33" w14:textId="77777777">
        <w:trPr>
          <w:trHeight w:val="422"/>
        </w:trPr>
        <w:tc>
          <w:tcPr>
            <w:tcW w:w="2438" w:type="dxa"/>
            <w:tcBorders>
              <w:top w:val="single" w:sz="6" w:space="0" w:color="auto"/>
              <w:left w:val="single" w:sz="6" w:space="0" w:color="auto"/>
              <w:bottom w:val="single" w:sz="6" w:space="0" w:color="auto"/>
              <w:right w:val="single" w:sz="6" w:space="0" w:color="auto"/>
            </w:tcBorders>
          </w:tcPr>
          <w:p w14:paraId="7D1464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Перегон машин</w:t>
            </w:r>
          </w:p>
          <w:p w14:paraId="124F00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BE11C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w:t>
            </w:r>
          </w:p>
          <w:p w14:paraId="061676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6C0D8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w:t>
            </w:r>
          </w:p>
          <w:p w14:paraId="4F49B6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9FB20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 (с 1.01 по 1.05)</w:t>
            </w:r>
          </w:p>
          <w:p w14:paraId="122155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3D53D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46A490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3B513E1" w14:textId="77777777">
        <w:trPr>
          <w:trHeight w:val="230"/>
        </w:trPr>
        <w:tc>
          <w:tcPr>
            <w:tcW w:w="2438" w:type="dxa"/>
            <w:tcBorders>
              <w:top w:val="single" w:sz="6" w:space="0" w:color="auto"/>
              <w:left w:val="single" w:sz="6" w:space="0" w:color="auto"/>
              <w:bottom w:val="single" w:sz="6" w:space="0" w:color="auto"/>
              <w:right w:val="single" w:sz="6" w:space="0" w:color="auto"/>
            </w:tcBorders>
          </w:tcPr>
          <w:p w14:paraId="10C79E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Фронтам и войсковым частям</w:t>
            </w:r>
          </w:p>
          <w:p w14:paraId="550AE6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E3BAB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4219</w:t>
            </w:r>
          </w:p>
          <w:p w14:paraId="7238E0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B0D7D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7524</w:t>
            </w:r>
          </w:p>
          <w:p w14:paraId="1FA076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9FA28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157</w:t>
            </w:r>
          </w:p>
          <w:p w14:paraId="3CF49A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ED7F2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11900</w:t>
            </w:r>
          </w:p>
          <w:p w14:paraId="0D781B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7E2BFC1" w14:textId="77777777">
        <w:trPr>
          <w:trHeight w:val="240"/>
        </w:trPr>
        <w:tc>
          <w:tcPr>
            <w:tcW w:w="2438" w:type="dxa"/>
            <w:tcBorders>
              <w:top w:val="single" w:sz="6" w:space="0" w:color="auto"/>
              <w:left w:val="single" w:sz="6" w:space="0" w:color="auto"/>
              <w:bottom w:val="single" w:sz="6" w:space="0" w:color="auto"/>
              <w:right w:val="single" w:sz="6" w:space="0" w:color="auto"/>
            </w:tcBorders>
          </w:tcPr>
          <w:p w14:paraId="64C891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склады с заводов промышленности</w:t>
            </w:r>
          </w:p>
          <w:p w14:paraId="7D86AC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28AA4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20269</w:t>
            </w:r>
          </w:p>
          <w:p w14:paraId="0BD7DA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72DE28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35510</w:t>
            </w:r>
          </w:p>
          <w:p w14:paraId="4FC9FA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2A212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11924</w:t>
            </w:r>
          </w:p>
          <w:p w14:paraId="6EAF11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D2FF6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67703</w:t>
            </w:r>
          </w:p>
          <w:p w14:paraId="441AEC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6960937" w14:textId="77777777">
        <w:trPr>
          <w:trHeight w:val="259"/>
        </w:trPr>
        <w:tc>
          <w:tcPr>
            <w:tcW w:w="2438" w:type="dxa"/>
            <w:tcBorders>
              <w:top w:val="single" w:sz="6" w:space="0" w:color="auto"/>
              <w:left w:val="single" w:sz="6" w:space="0" w:color="auto"/>
              <w:bottom w:val="single" w:sz="6" w:space="0" w:color="auto"/>
              <w:right w:val="single" w:sz="6" w:space="0" w:color="auto"/>
            </w:tcBorders>
          </w:tcPr>
          <w:p w14:paraId="30E3274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1567AD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56ABE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24488</w:t>
            </w:r>
          </w:p>
          <w:p w14:paraId="2B28C3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5F067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43034</w:t>
            </w:r>
          </w:p>
          <w:p w14:paraId="02CA4E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2643C4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12081</w:t>
            </w:r>
          </w:p>
          <w:p w14:paraId="10DCF9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84DBD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79603</w:t>
            </w:r>
          </w:p>
          <w:p w14:paraId="296519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64EC4B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2. Подготовка водителей на машины, выдаваемые войскам, проводилась в авточастях управления в 1942-1944 гг. Со </w:t>
      </w:r>
      <w:r w:rsidRPr="00925F26">
        <w:rPr>
          <w:color w:val="000000" w:themeColor="text1"/>
          <w:sz w:val="16"/>
          <w:szCs w:val="16"/>
          <w:lang w:val="en-US"/>
        </w:rPr>
        <w:t>II</w:t>
      </w:r>
      <w:r w:rsidRPr="00925F26">
        <w:rPr>
          <w:color w:val="000000" w:themeColor="text1"/>
          <w:sz w:val="16"/>
          <w:szCs w:val="16"/>
        </w:rPr>
        <w:t xml:space="preserve"> квартала 1944 г. эта работа передана в штаб ГАВТУ КА. Всего подготовлено 65761 водитель, из них: в 1942 году -21620; в 1943 году - 35586; в 1944 году (</w:t>
      </w:r>
      <w:r w:rsidRPr="00925F26">
        <w:rPr>
          <w:color w:val="000000" w:themeColor="text1"/>
          <w:sz w:val="16"/>
          <w:szCs w:val="16"/>
          <w:lang w:val="en-US"/>
        </w:rPr>
        <w:t>I</w:t>
      </w:r>
      <w:r w:rsidRPr="00925F26">
        <w:rPr>
          <w:color w:val="000000" w:themeColor="text1"/>
          <w:sz w:val="16"/>
          <w:szCs w:val="16"/>
        </w:rPr>
        <w:t xml:space="preserve"> кв.) -8555.</w:t>
      </w:r>
    </w:p>
    <w:p w14:paraId="582813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Силами авточастей произведены крупные перевозки автоимущества с заводов на централь</w:t>
      </w:r>
      <w:r w:rsidRPr="00925F26">
        <w:rPr>
          <w:color w:val="000000" w:themeColor="text1"/>
          <w:sz w:val="16"/>
          <w:szCs w:val="16"/>
        </w:rPr>
        <w:softHyphen/>
        <w:t>ные склады, с заводов и складов фронтам, а также различных грузов для предприятий народного хозяйства по заданиям начальника тыла Красной Армии.</w:t>
      </w:r>
    </w:p>
    <w:p w14:paraId="1474FC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за годы войны перевезено 794,3 тыс. тонн различных грузов:</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248"/>
        <w:gridCol w:w="1258"/>
        <w:gridCol w:w="1248"/>
        <w:gridCol w:w="1258"/>
        <w:gridCol w:w="1661"/>
      </w:tblGrid>
      <w:tr w:rsidR="000F5689" w:rsidRPr="00925F26" w14:paraId="4F7A1509" w14:textId="77777777">
        <w:trPr>
          <w:trHeight w:val="365"/>
        </w:trPr>
        <w:tc>
          <w:tcPr>
            <w:tcW w:w="2928" w:type="dxa"/>
            <w:tcBorders>
              <w:top w:val="single" w:sz="6" w:space="0" w:color="auto"/>
              <w:left w:val="single" w:sz="6" w:space="0" w:color="auto"/>
              <w:bottom w:val="single" w:sz="6" w:space="0" w:color="auto"/>
              <w:right w:val="single" w:sz="6" w:space="0" w:color="auto"/>
            </w:tcBorders>
          </w:tcPr>
          <w:p w14:paraId="67064D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7E672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ECD0A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1942 год</w:t>
            </w:r>
          </w:p>
          <w:p w14:paraId="7B1B15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921F0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060176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12593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1 944 год</w:t>
            </w:r>
          </w:p>
          <w:p w14:paraId="1998F3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BBD0A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1 945 год (с 1 .01 по 1 .05)</w:t>
            </w:r>
          </w:p>
          <w:p w14:paraId="3E4512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AD1A1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57360C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21CA11B" w14:textId="77777777">
        <w:trPr>
          <w:trHeight w:val="173"/>
        </w:trPr>
        <w:tc>
          <w:tcPr>
            <w:tcW w:w="2928" w:type="dxa"/>
            <w:tcBorders>
              <w:top w:val="single" w:sz="6" w:space="0" w:color="auto"/>
              <w:left w:val="single" w:sz="6" w:space="0" w:color="auto"/>
              <w:bottom w:val="single" w:sz="6" w:space="0" w:color="auto"/>
              <w:right w:val="single" w:sz="6" w:space="0" w:color="auto"/>
            </w:tcBorders>
          </w:tcPr>
          <w:p w14:paraId="1985D5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Выделено машин</w:t>
            </w:r>
          </w:p>
          <w:p w14:paraId="3E6924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2B846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12765</w:t>
            </w:r>
          </w:p>
          <w:p w14:paraId="526F74C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8E117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21574</w:t>
            </w:r>
          </w:p>
          <w:p w14:paraId="0E3DE5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A4C2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7351"</w:t>
            </w:r>
          </w:p>
          <w:p w14:paraId="06C7C0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8416F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573</w:t>
            </w:r>
          </w:p>
          <w:p w14:paraId="415DC5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56147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42263</w:t>
            </w:r>
          </w:p>
          <w:p w14:paraId="3FFB2D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3C3095F" w14:textId="77777777">
        <w:trPr>
          <w:trHeight w:val="192"/>
        </w:trPr>
        <w:tc>
          <w:tcPr>
            <w:tcW w:w="2928" w:type="dxa"/>
            <w:tcBorders>
              <w:top w:val="single" w:sz="6" w:space="0" w:color="auto"/>
              <w:left w:val="single" w:sz="6" w:space="0" w:color="auto"/>
              <w:bottom w:val="single" w:sz="6" w:space="0" w:color="auto"/>
              <w:right w:val="single" w:sz="6" w:space="0" w:color="auto"/>
            </w:tcBorders>
          </w:tcPr>
          <w:p w14:paraId="3F5D46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Перевезено в тыс. тонн груза</w:t>
            </w:r>
          </w:p>
          <w:p w14:paraId="78629C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239E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149,9</w:t>
            </w:r>
          </w:p>
          <w:p w14:paraId="4381BC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32578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179,5</w:t>
            </w:r>
          </w:p>
          <w:p w14:paraId="2F8088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10DFA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458,2</w:t>
            </w:r>
          </w:p>
          <w:p w14:paraId="404127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E8A4C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w:t>
            </w:r>
          </w:p>
          <w:p w14:paraId="3AA233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B9AFF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794,3</w:t>
            </w:r>
          </w:p>
          <w:p w14:paraId="0452B3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8F6DC5F" w14:textId="77777777">
        <w:trPr>
          <w:trHeight w:val="192"/>
        </w:trPr>
        <w:tc>
          <w:tcPr>
            <w:tcW w:w="2928" w:type="dxa"/>
            <w:tcBorders>
              <w:top w:val="single" w:sz="6" w:space="0" w:color="auto"/>
              <w:left w:val="single" w:sz="6" w:space="0" w:color="auto"/>
              <w:bottom w:val="single" w:sz="6" w:space="0" w:color="auto"/>
              <w:right w:val="single" w:sz="6" w:space="0" w:color="auto"/>
            </w:tcBorders>
          </w:tcPr>
          <w:p w14:paraId="1C4B7D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Пройдено тыс. км</w:t>
            </w:r>
          </w:p>
          <w:p w14:paraId="171842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8C2AC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2399,8</w:t>
            </w:r>
          </w:p>
          <w:p w14:paraId="7F61B4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5282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5198,6</w:t>
            </w:r>
          </w:p>
          <w:p w14:paraId="126438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9D820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741,0</w:t>
            </w:r>
          </w:p>
          <w:p w14:paraId="63554A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A08EF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65,3</w:t>
            </w:r>
          </w:p>
          <w:p w14:paraId="23E797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6ACFB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8404,7</w:t>
            </w:r>
          </w:p>
          <w:p w14:paraId="35390E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61710A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vertAlign w:val="superscript"/>
        </w:rPr>
        <w:t>х)</w:t>
      </w:r>
      <w:r w:rsidRPr="00925F26">
        <w:rPr>
          <w:color w:val="000000" w:themeColor="text1"/>
          <w:sz w:val="16"/>
          <w:szCs w:val="16"/>
        </w:rPr>
        <w:t xml:space="preserve"> Сравнительно небольшое количество выделенных машин при большом тоннаже перевезенно</w:t>
      </w:r>
      <w:r w:rsidRPr="00925F26">
        <w:rPr>
          <w:color w:val="000000" w:themeColor="text1"/>
          <w:sz w:val="16"/>
          <w:szCs w:val="16"/>
        </w:rPr>
        <w:softHyphen/>
        <w:t>го груза объясняется длительными сроками работы машин по обслуживанию нескольких предпри</w:t>
      </w:r>
      <w:r w:rsidRPr="00925F26">
        <w:rPr>
          <w:color w:val="000000" w:themeColor="text1"/>
          <w:sz w:val="16"/>
          <w:szCs w:val="16"/>
        </w:rPr>
        <w:softHyphen/>
        <w:t>ятий.</w:t>
      </w:r>
    </w:p>
    <w:p w14:paraId="48AA7A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4. Большая работа проделана авточастями по оказанию помощи автозаводам в сборке автомашин. Всего собрано 45601 машина и 99487 отдельных агрегатов:</w:t>
      </w:r>
    </w:p>
    <w:tbl>
      <w:tblPr>
        <w:tblW w:w="0" w:type="auto"/>
        <w:tblInd w:w="40" w:type="dxa"/>
        <w:tblLayout w:type="fixed"/>
        <w:tblCellMar>
          <w:left w:w="40" w:type="dxa"/>
          <w:right w:w="40" w:type="dxa"/>
        </w:tblCellMar>
        <w:tblLook w:val="0000" w:firstRow="0" w:lastRow="0" w:firstColumn="0" w:lastColumn="0" w:noHBand="0" w:noVBand="0"/>
      </w:tblPr>
      <w:tblGrid>
        <w:gridCol w:w="1555"/>
        <w:gridCol w:w="1949"/>
        <w:gridCol w:w="2160"/>
        <w:gridCol w:w="2294"/>
        <w:gridCol w:w="1680"/>
      </w:tblGrid>
      <w:tr w:rsidR="000F5689" w:rsidRPr="00925F26" w14:paraId="4459C32E" w14:textId="77777777">
        <w:trPr>
          <w:trHeight w:val="413"/>
        </w:trPr>
        <w:tc>
          <w:tcPr>
            <w:tcW w:w="1555" w:type="dxa"/>
            <w:tcBorders>
              <w:top w:val="single" w:sz="6" w:space="0" w:color="auto"/>
              <w:left w:val="single" w:sz="6" w:space="0" w:color="auto"/>
              <w:bottom w:val="single" w:sz="6" w:space="0" w:color="auto"/>
              <w:right w:val="single" w:sz="6" w:space="0" w:color="auto"/>
            </w:tcBorders>
          </w:tcPr>
          <w:p w14:paraId="4F2683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Собрано</w:t>
            </w:r>
          </w:p>
          <w:p w14:paraId="13986D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9A44C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1943 год</w:t>
            </w:r>
          </w:p>
          <w:p w14:paraId="0F0574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4873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1944 год</w:t>
            </w:r>
          </w:p>
          <w:p w14:paraId="798C18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E9421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1945 год (с 1 .01 по 1 .05)</w:t>
            </w:r>
          </w:p>
          <w:p w14:paraId="63CA2E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E551C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022AF0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2E20BC5" w14:textId="77777777">
        <w:trPr>
          <w:trHeight w:val="240"/>
        </w:trPr>
        <w:tc>
          <w:tcPr>
            <w:tcW w:w="1555" w:type="dxa"/>
            <w:tcBorders>
              <w:top w:val="single" w:sz="6" w:space="0" w:color="auto"/>
              <w:left w:val="single" w:sz="6" w:space="0" w:color="auto"/>
              <w:bottom w:val="single" w:sz="6" w:space="0" w:color="auto"/>
              <w:right w:val="single" w:sz="6" w:space="0" w:color="auto"/>
            </w:tcBorders>
          </w:tcPr>
          <w:p w14:paraId="42A1A3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Автомашин</w:t>
            </w:r>
          </w:p>
          <w:p w14:paraId="4E0F92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6774D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7166</w:t>
            </w:r>
          </w:p>
          <w:p w14:paraId="69DE31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C2D79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37000</w:t>
            </w:r>
          </w:p>
          <w:p w14:paraId="47985D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B3D8C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1435</w:t>
            </w:r>
          </w:p>
          <w:p w14:paraId="433D61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4E2EB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45601</w:t>
            </w:r>
          </w:p>
          <w:p w14:paraId="3070CF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F5E2718" w14:textId="77777777">
        <w:trPr>
          <w:trHeight w:val="259"/>
        </w:trPr>
        <w:tc>
          <w:tcPr>
            <w:tcW w:w="1555" w:type="dxa"/>
            <w:tcBorders>
              <w:top w:val="single" w:sz="6" w:space="0" w:color="auto"/>
              <w:left w:val="single" w:sz="6" w:space="0" w:color="auto"/>
              <w:bottom w:val="single" w:sz="6" w:space="0" w:color="auto"/>
              <w:right w:val="single" w:sz="6" w:space="0" w:color="auto"/>
            </w:tcBorders>
          </w:tcPr>
          <w:p w14:paraId="64EA8C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Агрегатов</w:t>
            </w:r>
          </w:p>
          <w:p w14:paraId="1513BE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17B79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19487</w:t>
            </w:r>
          </w:p>
          <w:p w14:paraId="68F079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C7667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80000</w:t>
            </w:r>
          </w:p>
          <w:p w14:paraId="157285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657461E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CDD08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6AB56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99487</w:t>
            </w:r>
          </w:p>
          <w:p w14:paraId="763236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5A0EB2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X</w:t>
      </w:r>
      <w:r w:rsidRPr="00925F26">
        <w:rPr>
          <w:color w:val="000000" w:themeColor="text1"/>
          <w:sz w:val="16"/>
          <w:szCs w:val="16"/>
        </w:rPr>
        <w:t>. Работа организации военных приемок, складов и баз</w:t>
      </w:r>
    </w:p>
    <w:p w14:paraId="00E424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По импортным машинам.</w:t>
      </w:r>
    </w:p>
    <w:p w14:paraId="4B5886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приема и передачи на укомплектование войск импортных автомашин были организованы:</w:t>
      </w:r>
    </w:p>
    <w:p w14:paraId="1E292A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5 военных приемок в портах (Владивосток, Мурманск, Архангельск, Одесса, Новороссийск), через которые шел поток агрегатов автомашин, направляемых для сборки на автозаводах.</w:t>
      </w:r>
    </w:p>
    <w:p w14:paraId="2C3F64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5 военных приемок на автозаводах (ГАЗ, ЗИС, завод № 79, Одесский и Минский автосбороч</w:t>
      </w:r>
      <w:r w:rsidRPr="00925F26">
        <w:rPr>
          <w:color w:val="000000" w:themeColor="text1"/>
          <w:sz w:val="16"/>
          <w:szCs w:val="16"/>
        </w:rPr>
        <w:softHyphen/>
        <w:t>ные заводы), принимающих собранные на заводах машины и производящих отправку их частям.</w:t>
      </w:r>
    </w:p>
    <w:p w14:paraId="16FCA7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Центральная база в составе 1 автобригады и двух автомобильных складов в Закавказье, осу</w:t>
      </w:r>
      <w:r w:rsidRPr="00925F26">
        <w:rPr>
          <w:color w:val="000000" w:themeColor="text1"/>
          <w:sz w:val="16"/>
          <w:szCs w:val="16"/>
        </w:rPr>
        <w:softHyphen/>
        <w:t>ществляющих перегон готовых машин, поступающих через Иран.</w:t>
      </w:r>
    </w:p>
    <w:p w14:paraId="75BD52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Силами этой базы принято, перегнано своим ходом на расстояние 700 км и отправлено для час</w:t>
      </w:r>
      <w:r w:rsidRPr="00925F26">
        <w:rPr>
          <w:color w:val="000000" w:themeColor="text1"/>
          <w:sz w:val="16"/>
          <w:szCs w:val="16"/>
        </w:rPr>
        <w:softHyphen/>
        <w:t>тей 180000 машин, или 57,5% от общего количества полученных по импорту автомашин.</w:t>
      </w:r>
    </w:p>
    <w:p w14:paraId="7B180C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По отечественным автомашинам.</w:t>
      </w:r>
    </w:p>
    <w:p w14:paraId="64AF3F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Организовано 7 военных приемок на заводах (УралЗИС и на 6 заводах, изготавливающих специ</w:t>
      </w:r>
      <w:r w:rsidRPr="00925F26">
        <w:rPr>
          <w:color w:val="000000" w:themeColor="text1"/>
          <w:sz w:val="16"/>
          <w:szCs w:val="16"/>
        </w:rPr>
        <w:softHyphen/>
        <w:t>альные автомобили по заказам ГАВТУ КА).</w:t>
      </w:r>
    </w:p>
    <w:p w14:paraId="321B72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XI</w:t>
      </w:r>
      <w:r w:rsidRPr="00925F26">
        <w:rPr>
          <w:color w:val="000000" w:themeColor="text1"/>
          <w:sz w:val="16"/>
          <w:szCs w:val="16"/>
        </w:rPr>
        <w:t>. Работа по испытаниям, внедрению в производство новых образцов автомашин и</w:t>
      </w:r>
    </w:p>
    <w:p w14:paraId="621458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изданию технической литературы</w:t>
      </w:r>
    </w:p>
    <w:p w14:paraId="41A5F3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За годы войны освоено производство новых образцов автомашин: легкового повышенной про</w:t>
      </w:r>
      <w:r w:rsidRPr="00925F26">
        <w:rPr>
          <w:color w:val="000000" w:themeColor="text1"/>
          <w:sz w:val="16"/>
          <w:szCs w:val="16"/>
        </w:rPr>
        <w:softHyphen/>
        <w:t>ходимости ГАЗ-67 (модернизирован в 1943 и 1944 гг.), автотягача ЗИС-42 (модернизирован в 1943 г.), санитарных ЗИС-44, штабных автобусов упрощенной конструкции ГАЗ-55Б.</w:t>
      </w:r>
    </w:p>
    <w:p w14:paraId="167720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Организовано оборудование кузовами автомашин ГАЗ-67 и Додж 3/4 тонн.</w:t>
      </w:r>
    </w:p>
    <w:p w14:paraId="731CA6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Управление принимало участие в организации и проведении испытаний новых образцов авто</w:t>
      </w:r>
      <w:r w:rsidRPr="00925F26">
        <w:rPr>
          <w:color w:val="000000" w:themeColor="text1"/>
          <w:sz w:val="16"/>
          <w:szCs w:val="16"/>
        </w:rPr>
        <w:softHyphen/>
        <w:t>машин отечественного производства — двухмоторного тягача АТ-14, грузовиков ГАЗ-63, ЗИС-150, артиллерийского тягача с торсионной подвеской АТ-3, газогенераторного автомобиля с радиатор</w:t>
      </w:r>
      <w:r w:rsidRPr="00925F26">
        <w:rPr>
          <w:color w:val="000000" w:themeColor="text1"/>
          <w:sz w:val="16"/>
          <w:szCs w:val="16"/>
        </w:rPr>
        <w:softHyphen/>
        <w:t>ным охлаждением ЗИС-41, легковых ГАЗ-20 и ЗИС-110,</w:t>
      </w:r>
    </w:p>
    <w:p w14:paraId="2D3F28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Машина ЗИС-110 утверждена к производству со 2 полугодия 1945 г., остальные — подготовлены к показу правительственной комиссии.</w:t>
      </w:r>
    </w:p>
    <w:p w14:paraId="6AF43D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По импортным автомашинам — с участием управления проведены испытания в условиях нор</w:t>
      </w:r>
      <w:r w:rsidRPr="00925F26">
        <w:rPr>
          <w:color w:val="000000" w:themeColor="text1"/>
          <w:sz w:val="16"/>
          <w:szCs w:val="16"/>
        </w:rPr>
        <w:softHyphen/>
        <w:t>мальной эксплуатации всех основных марок получаемых машин (20 моделей), а также испытания новых марок Студебекер-трайлер, амфибий Форд и Лжиемси.</w:t>
      </w:r>
    </w:p>
    <w:p w14:paraId="36F7A9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Разработаны при участии управления и изданы 40 различных пособий, главным образом, по импортным автомобилям (наставления, руководства, инструкции, памятки).</w:t>
      </w:r>
    </w:p>
    <w:p w14:paraId="563514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УС ГАВТУ КА инженер-полковник Гольберг</w:t>
      </w:r>
    </w:p>
    <w:p w14:paraId="4D6FF7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1 отдела УС ГАВТУ КА инженер-подполковник Ермаков</w:t>
      </w:r>
    </w:p>
    <w:p w14:paraId="5B870B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11584. Д. 13. Л. 131-141. Подлинник (11420).</w:t>
      </w:r>
    </w:p>
    <w:p w14:paraId="66C95865" w14:textId="77777777" w:rsidR="006103B3" w:rsidRPr="00925F26" w:rsidRDefault="006103B3" w:rsidP="00925F26">
      <w:pPr>
        <w:autoSpaceDE w:val="0"/>
        <w:autoSpaceDN w:val="0"/>
        <w:adjustRightInd w:val="0"/>
        <w:jc w:val="both"/>
        <w:rPr>
          <w:color w:val="000000" w:themeColor="text1"/>
          <w:sz w:val="16"/>
          <w:szCs w:val="16"/>
        </w:rPr>
      </w:pPr>
    </w:p>
    <w:p w14:paraId="555109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июня 1945 вышло Постановление ГКО № 8915 Об отгрузке лесоматериалов предприятиям Наркомнефти в июне 1945 года. РГАНИР, Фонд ГКО, д. 422, лл. 130-133, 134-135 (11012).</w:t>
      </w:r>
    </w:p>
    <w:p w14:paraId="20DB3363" w14:textId="77777777" w:rsidR="006103B3" w:rsidRPr="00925F26" w:rsidRDefault="006103B3" w:rsidP="00925F26">
      <w:pPr>
        <w:autoSpaceDE w:val="0"/>
        <w:autoSpaceDN w:val="0"/>
        <w:adjustRightInd w:val="0"/>
        <w:jc w:val="both"/>
        <w:rPr>
          <w:color w:val="000000" w:themeColor="text1"/>
          <w:sz w:val="16"/>
          <w:szCs w:val="16"/>
        </w:rPr>
      </w:pPr>
    </w:p>
    <w:p w14:paraId="144F1D7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A2ABA38" w14:textId="77777777" w:rsidR="006103B3" w:rsidRPr="00925F26" w:rsidRDefault="006103B3" w:rsidP="00925F26">
      <w:pPr>
        <w:autoSpaceDE w:val="0"/>
        <w:autoSpaceDN w:val="0"/>
        <w:adjustRightInd w:val="0"/>
        <w:jc w:val="both"/>
        <w:rPr>
          <w:iCs/>
          <w:color w:val="000000" w:themeColor="text1"/>
          <w:sz w:val="16"/>
          <w:szCs w:val="16"/>
        </w:rPr>
      </w:pPr>
    </w:p>
    <w:p w14:paraId="1436DB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июня 1945 г. была подготовлена СПРАВКА-ДОКЛАД НАЧАЛЬНИКА 1 -го ОТДЕЛА ШТАБА ГАВТУ КА О НАЛИЧИИ АВТОПАРКА В СССР</w:t>
      </w:r>
    </w:p>
    <w:p w14:paraId="179259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Наличие автопарка к началу войны</w:t>
      </w:r>
    </w:p>
    <w:p w14:paraId="647094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началу Отечественной войны, по состоянию на 20 июня 1941 г., в стране имелось 1093947 авто</w:t>
      </w:r>
      <w:r w:rsidRPr="00925F26">
        <w:rPr>
          <w:color w:val="000000" w:themeColor="text1"/>
          <w:sz w:val="16"/>
          <w:szCs w:val="16"/>
        </w:rPr>
        <w:softHyphen/>
        <w:t>мобилей, из них:</w:t>
      </w:r>
    </w:p>
    <w:p w14:paraId="4DF0A3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 — 272605</w:t>
      </w:r>
    </w:p>
    <w:p w14:paraId="23B70E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 —821342</w:t>
      </w:r>
    </w:p>
    <w:p w14:paraId="40A6EE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- 1093947.</w:t>
      </w:r>
    </w:p>
    <w:p w14:paraId="5F10A4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Наличие автопарка к концу войны</w:t>
      </w:r>
    </w:p>
    <w:p w14:paraId="1C7C6E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концу войны, по состоянию на 1 мая 1945 г., в стране осталось 929427 автомобилей, из них:</w:t>
      </w:r>
    </w:p>
    <w:p w14:paraId="6CAACB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 — 664455</w:t>
      </w:r>
    </w:p>
    <w:p w14:paraId="6F444B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 — 264972</w:t>
      </w:r>
    </w:p>
    <w:p w14:paraId="2A2024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 - 929427.</w:t>
      </w:r>
    </w:p>
    <w:p w14:paraId="2E197F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Изменения в наличии автопарка за годы войны</w:t>
      </w:r>
    </w:p>
    <w:p w14:paraId="233112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 годы Отечественной войны автомобильный парк Союза Советских Социалистических Республик уменьшился на 164520 машин, из них:</w:t>
      </w:r>
    </w:p>
    <w:tbl>
      <w:tblPr>
        <w:tblW w:w="0" w:type="auto"/>
        <w:tblInd w:w="40" w:type="dxa"/>
        <w:tblLayout w:type="fixed"/>
        <w:tblCellMar>
          <w:left w:w="40" w:type="dxa"/>
          <w:right w:w="40" w:type="dxa"/>
        </w:tblCellMar>
        <w:tblLook w:val="0000" w:firstRow="0" w:lastRow="0" w:firstColumn="0" w:lastColumn="0" w:noHBand="0" w:noVBand="0"/>
      </w:tblPr>
      <w:tblGrid>
        <w:gridCol w:w="2419"/>
        <w:gridCol w:w="1690"/>
        <w:gridCol w:w="1680"/>
        <w:gridCol w:w="1795"/>
      </w:tblGrid>
      <w:tr w:rsidR="000F5689" w:rsidRPr="00925F26" w14:paraId="6AB3A57F" w14:textId="77777777">
        <w:trPr>
          <w:trHeight w:val="211"/>
        </w:trPr>
        <w:tc>
          <w:tcPr>
            <w:tcW w:w="2419" w:type="dxa"/>
            <w:tcBorders>
              <w:top w:val="single" w:sz="6" w:space="0" w:color="auto"/>
              <w:left w:val="single" w:sz="6" w:space="0" w:color="auto"/>
              <w:bottom w:val="nil"/>
              <w:right w:val="single" w:sz="6" w:space="0" w:color="auto"/>
            </w:tcBorders>
          </w:tcPr>
          <w:p w14:paraId="2CAFFA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763053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370" w:type="dxa"/>
            <w:gridSpan w:val="2"/>
            <w:tcBorders>
              <w:top w:val="single" w:sz="6" w:space="0" w:color="auto"/>
              <w:left w:val="single" w:sz="6" w:space="0" w:color="auto"/>
              <w:bottom w:val="single" w:sz="6" w:space="0" w:color="auto"/>
              <w:right w:val="single" w:sz="6" w:space="0" w:color="auto"/>
            </w:tcBorders>
          </w:tcPr>
          <w:p w14:paraId="370140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 автомашин</w:t>
            </w:r>
          </w:p>
          <w:p w14:paraId="462696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nil"/>
              <w:right w:val="single" w:sz="6" w:space="0" w:color="auto"/>
            </w:tcBorders>
          </w:tcPr>
          <w:p w14:paraId="51576B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Разница</w:t>
            </w:r>
          </w:p>
          <w:p w14:paraId="21CDAE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282C1B7" w14:textId="77777777">
        <w:trPr>
          <w:trHeight w:val="211"/>
        </w:trPr>
        <w:tc>
          <w:tcPr>
            <w:tcW w:w="2419" w:type="dxa"/>
            <w:tcBorders>
              <w:top w:val="nil"/>
              <w:left w:val="single" w:sz="6" w:space="0" w:color="auto"/>
              <w:bottom w:val="single" w:sz="6" w:space="0" w:color="auto"/>
              <w:right w:val="single" w:sz="6" w:space="0" w:color="auto"/>
            </w:tcBorders>
          </w:tcPr>
          <w:p w14:paraId="08E0FA3E" w14:textId="77777777" w:rsidR="006103B3" w:rsidRPr="00925F26" w:rsidRDefault="006103B3" w:rsidP="00925F26">
            <w:pPr>
              <w:autoSpaceDE w:val="0"/>
              <w:autoSpaceDN w:val="0"/>
              <w:adjustRightInd w:val="0"/>
              <w:jc w:val="both"/>
              <w:rPr>
                <w:color w:val="000000" w:themeColor="text1"/>
                <w:sz w:val="16"/>
                <w:szCs w:val="16"/>
              </w:rPr>
            </w:pPr>
          </w:p>
          <w:p w14:paraId="39ECCEBA" w14:textId="77777777" w:rsidR="006103B3" w:rsidRPr="00925F26" w:rsidRDefault="006103B3" w:rsidP="00925F26">
            <w:pPr>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CC383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20.06. 1941 г.</w:t>
            </w:r>
          </w:p>
          <w:p w14:paraId="03A6D4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23BF8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1.05. 1945 г.</w:t>
            </w:r>
          </w:p>
          <w:p w14:paraId="41ABD1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95" w:type="dxa"/>
            <w:tcBorders>
              <w:top w:val="nil"/>
              <w:left w:val="single" w:sz="6" w:space="0" w:color="auto"/>
              <w:bottom w:val="single" w:sz="6" w:space="0" w:color="auto"/>
              <w:right w:val="single" w:sz="6" w:space="0" w:color="auto"/>
            </w:tcBorders>
          </w:tcPr>
          <w:p w14:paraId="778E13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09295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919441B" w14:textId="77777777">
        <w:trPr>
          <w:trHeight w:val="202"/>
        </w:trPr>
        <w:tc>
          <w:tcPr>
            <w:tcW w:w="2419" w:type="dxa"/>
            <w:tcBorders>
              <w:top w:val="single" w:sz="6" w:space="0" w:color="auto"/>
              <w:left w:val="single" w:sz="6" w:space="0" w:color="auto"/>
              <w:bottom w:val="single" w:sz="6" w:space="0" w:color="auto"/>
              <w:right w:val="single" w:sz="6" w:space="0" w:color="auto"/>
            </w:tcBorders>
          </w:tcPr>
          <w:p w14:paraId="5D4E51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w:t>
            </w:r>
          </w:p>
          <w:p w14:paraId="20A750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DCBB1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272605</w:t>
            </w:r>
          </w:p>
          <w:p w14:paraId="1A6E3C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2255D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664455</w:t>
            </w:r>
          </w:p>
          <w:p w14:paraId="3E873A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64E4774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+391850</w:t>
            </w:r>
          </w:p>
          <w:p w14:paraId="2BC03E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EAB89E6" w14:textId="77777777">
        <w:trPr>
          <w:trHeight w:val="202"/>
        </w:trPr>
        <w:tc>
          <w:tcPr>
            <w:tcW w:w="2419" w:type="dxa"/>
            <w:tcBorders>
              <w:top w:val="single" w:sz="6" w:space="0" w:color="auto"/>
              <w:left w:val="single" w:sz="6" w:space="0" w:color="auto"/>
              <w:bottom w:val="single" w:sz="6" w:space="0" w:color="auto"/>
              <w:right w:val="single" w:sz="6" w:space="0" w:color="auto"/>
            </w:tcBorders>
          </w:tcPr>
          <w:p w14:paraId="295668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w:t>
            </w:r>
          </w:p>
          <w:p w14:paraId="7304DB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C53E1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821342</w:t>
            </w:r>
          </w:p>
          <w:p w14:paraId="58F648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993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264972</w:t>
            </w:r>
          </w:p>
          <w:p w14:paraId="6AD2A46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DF955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-556370</w:t>
            </w:r>
          </w:p>
          <w:p w14:paraId="514BA9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96CB7AE" w14:textId="77777777">
        <w:trPr>
          <w:trHeight w:val="221"/>
        </w:trPr>
        <w:tc>
          <w:tcPr>
            <w:tcW w:w="2419" w:type="dxa"/>
            <w:tcBorders>
              <w:top w:val="single" w:sz="6" w:space="0" w:color="auto"/>
              <w:left w:val="single" w:sz="6" w:space="0" w:color="auto"/>
              <w:bottom w:val="single" w:sz="6" w:space="0" w:color="auto"/>
              <w:right w:val="single" w:sz="6" w:space="0" w:color="auto"/>
            </w:tcBorders>
          </w:tcPr>
          <w:p w14:paraId="75D637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362DB8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30902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1093947</w:t>
            </w:r>
          </w:p>
          <w:p w14:paraId="5BABAE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444F3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929427</w:t>
            </w:r>
          </w:p>
          <w:p w14:paraId="4434930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FF83C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-164520</w:t>
            </w:r>
          </w:p>
          <w:p w14:paraId="612452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6ACF6A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произошли значительные изменения в составе автопарка: наряду с отечественными автомашинами, к концу войны в Союзе Советских Социалистических Республик имеется 238998 импортных автомобилей и в Красной Армии 60626 трофейных автомобилей (наличие трофейных автомобилей в народном хозяйстве отдельно не показано).</w:t>
      </w:r>
    </w:p>
    <w:tbl>
      <w:tblPr>
        <w:tblW w:w="0" w:type="auto"/>
        <w:tblInd w:w="40" w:type="dxa"/>
        <w:tblLayout w:type="fixed"/>
        <w:tblCellMar>
          <w:left w:w="40" w:type="dxa"/>
          <w:right w:w="40" w:type="dxa"/>
        </w:tblCellMar>
        <w:tblLook w:val="0000" w:firstRow="0" w:lastRow="0" w:firstColumn="0" w:lastColumn="0" w:noHBand="0" w:noVBand="0"/>
      </w:tblPr>
      <w:tblGrid>
        <w:gridCol w:w="2256"/>
        <w:gridCol w:w="1680"/>
        <w:gridCol w:w="1690"/>
        <w:gridCol w:w="1968"/>
      </w:tblGrid>
      <w:tr w:rsidR="000F5689" w:rsidRPr="00925F26" w14:paraId="5B39FA88" w14:textId="77777777">
        <w:trPr>
          <w:trHeight w:val="250"/>
        </w:trPr>
        <w:tc>
          <w:tcPr>
            <w:tcW w:w="2256" w:type="dxa"/>
            <w:tcBorders>
              <w:top w:val="single" w:sz="6" w:space="0" w:color="auto"/>
              <w:left w:val="single" w:sz="6" w:space="0" w:color="auto"/>
              <w:bottom w:val="nil"/>
              <w:right w:val="single" w:sz="6" w:space="0" w:color="auto"/>
            </w:tcBorders>
          </w:tcPr>
          <w:p w14:paraId="3241E7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255F26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370" w:type="dxa"/>
            <w:gridSpan w:val="2"/>
            <w:tcBorders>
              <w:top w:val="single" w:sz="6" w:space="0" w:color="auto"/>
              <w:left w:val="single" w:sz="6" w:space="0" w:color="auto"/>
              <w:bottom w:val="single" w:sz="6" w:space="0" w:color="auto"/>
              <w:right w:val="single" w:sz="6" w:space="0" w:color="auto"/>
            </w:tcBorders>
          </w:tcPr>
          <w:p w14:paraId="4E45E3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Количество автомашин</w:t>
            </w:r>
          </w:p>
          <w:p w14:paraId="6A2B06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nil"/>
              <w:right w:val="single" w:sz="6" w:space="0" w:color="auto"/>
            </w:tcBorders>
          </w:tcPr>
          <w:p w14:paraId="0FB2D0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5A005E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59079CF" w14:textId="77777777">
        <w:trPr>
          <w:trHeight w:val="240"/>
        </w:trPr>
        <w:tc>
          <w:tcPr>
            <w:tcW w:w="2256" w:type="dxa"/>
            <w:tcBorders>
              <w:top w:val="nil"/>
              <w:left w:val="single" w:sz="6" w:space="0" w:color="auto"/>
              <w:bottom w:val="single" w:sz="6" w:space="0" w:color="auto"/>
              <w:right w:val="single" w:sz="6" w:space="0" w:color="auto"/>
            </w:tcBorders>
          </w:tcPr>
          <w:p w14:paraId="5A4D2346" w14:textId="77777777" w:rsidR="006103B3" w:rsidRPr="00925F26" w:rsidRDefault="006103B3" w:rsidP="00925F26">
            <w:pPr>
              <w:autoSpaceDE w:val="0"/>
              <w:autoSpaceDN w:val="0"/>
              <w:adjustRightInd w:val="0"/>
              <w:jc w:val="both"/>
              <w:rPr>
                <w:color w:val="000000" w:themeColor="text1"/>
                <w:sz w:val="16"/>
                <w:szCs w:val="16"/>
              </w:rPr>
            </w:pPr>
          </w:p>
          <w:p w14:paraId="5C4F1589" w14:textId="77777777" w:rsidR="006103B3" w:rsidRPr="00925F26" w:rsidRDefault="006103B3" w:rsidP="00925F26">
            <w:pPr>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0FA12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импортных</w:t>
            </w:r>
          </w:p>
          <w:p w14:paraId="7498D1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5A7CE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трофейных</w:t>
            </w:r>
          </w:p>
          <w:p w14:paraId="31AE52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68" w:type="dxa"/>
            <w:tcBorders>
              <w:top w:val="nil"/>
              <w:left w:val="single" w:sz="6" w:space="0" w:color="auto"/>
              <w:bottom w:val="single" w:sz="6" w:space="0" w:color="auto"/>
              <w:right w:val="single" w:sz="6" w:space="0" w:color="auto"/>
            </w:tcBorders>
          </w:tcPr>
          <w:p w14:paraId="07AF10A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21FB5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CE7E264"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429DDF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w:t>
            </w:r>
          </w:p>
          <w:p w14:paraId="3D9701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51FFDC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218121</w:t>
            </w:r>
          </w:p>
          <w:p w14:paraId="1756D8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9CC4F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60626</w:t>
            </w:r>
          </w:p>
          <w:p w14:paraId="2E21B1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5D98B7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278747</w:t>
            </w:r>
          </w:p>
          <w:p w14:paraId="46D74E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609914F" w14:textId="77777777">
        <w:trPr>
          <w:trHeight w:val="230"/>
        </w:trPr>
        <w:tc>
          <w:tcPr>
            <w:tcW w:w="2256" w:type="dxa"/>
            <w:tcBorders>
              <w:top w:val="single" w:sz="6" w:space="0" w:color="auto"/>
              <w:left w:val="single" w:sz="6" w:space="0" w:color="auto"/>
              <w:bottom w:val="single" w:sz="6" w:space="0" w:color="auto"/>
              <w:right w:val="single" w:sz="6" w:space="0" w:color="auto"/>
            </w:tcBorders>
          </w:tcPr>
          <w:p w14:paraId="76E504C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w:t>
            </w:r>
          </w:p>
          <w:p w14:paraId="4AF4EF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19D9D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20877</w:t>
            </w:r>
          </w:p>
          <w:p w14:paraId="06B58C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DCB73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нет сведений</w:t>
            </w:r>
          </w:p>
          <w:p w14:paraId="010E10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1393AE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20877</w:t>
            </w:r>
          </w:p>
          <w:p w14:paraId="2397EA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1304A8D"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081851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280A4C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E358E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238998</w:t>
            </w:r>
          </w:p>
          <w:p w14:paraId="579E27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96860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60626</w:t>
            </w:r>
          </w:p>
          <w:p w14:paraId="644A41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0FCA22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299624</w:t>
            </w:r>
          </w:p>
          <w:p w14:paraId="58A4B1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74A8D1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Техническое состояние автопарка страны</w:t>
      </w:r>
    </w:p>
    <w:p w14:paraId="0B77F4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Наличие автомашин ходового парка и машин, требующих ремонта, в стране к концу войны видно из приведенных ниже таблиц, из них же видно, что техническое состояние автопарка народ</w:t>
      </w:r>
      <w:r w:rsidRPr="00925F26">
        <w:rPr>
          <w:color w:val="000000" w:themeColor="text1"/>
          <w:sz w:val="16"/>
          <w:szCs w:val="16"/>
        </w:rPr>
        <w:softHyphen/>
        <w:t>ного хозяйства хуже, чем в Красной Армии.</w:t>
      </w:r>
    </w:p>
    <w:p w14:paraId="13ECD1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наличие ходового автопарка</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459"/>
        <w:gridCol w:w="1680"/>
        <w:gridCol w:w="1507"/>
        <w:gridCol w:w="1507"/>
        <w:gridCol w:w="1440"/>
      </w:tblGrid>
      <w:tr w:rsidR="000F5689" w:rsidRPr="00925F26" w14:paraId="5063871E" w14:textId="77777777">
        <w:trPr>
          <w:trHeight w:val="250"/>
        </w:trPr>
        <w:tc>
          <w:tcPr>
            <w:tcW w:w="1939" w:type="dxa"/>
            <w:tcBorders>
              <w:top w:val="single" w:sz="6" w:space="0" w:color="auto"/>
              <w:left w:val="single" w:sz="6" w:space="0" w:color="auto"/>
              <w:bottom w:val="nil"/>
              <w:right w:val="single" w:sz="6" w:space="0" w:color="auto"/>
            </w:tcBorders>
          </w:tcPr>
          <w:p w14:paraId="7F2C5D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64063C7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nil"/>
              <w:right w:val="single" w:sz="6" w:space="0" w:color="auto"/>
            </w:tcBorders>
          </w:tcPr>
          <w:p w14:paraId="5E4A2A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автомашин</w:t>
            </w:r>
          </w:p>
          <w:p w14:paraId="5E50FE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694" w:type="dxa"/>
            <w:gridSpan w:val="3"/>
            <w:tcBorders>
              <w:top w:val="single" w:sz="6" w:space="0" w:color="auto"/>
              <w:left w:val="single" w:sz="6" w:space="0" w:color="auto"/>
              <w:bottom w:val="single" w:sz="6" w:space="0" w:color="auto"/>
              <w:right w:val="single" w:sz="6" w:space="0" w:color="auto"/>
            </w:tcBorders>
          </w:tcPr>
          <w:p w14:paraId="643139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w:t>
            </w:r>
          </w:p>
          <w:p w14:paraId="4F7539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5F1F7C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неходовых машин</w:t>
            </w:r>
          </w:p>
          <w:p w14:paraId="55E86B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5B6E0D7" w14:textId="77777777">
        <w:trPr>
          <w:trHeight w:val="240"/>
        </w:trPr>
        <w:tc>
          <w:tcPr>
            <w:tcW w:w="1939" w:type="dxa"/>
            <w:tcBorders>
              <w:top w:val="nil"/>
              <w:left w:val="single" w:sz="6" w:space="0" w:color="auto"/>
              <w:bottom w:val="nil"/>
              <w:right w:val="single" w:sz="6" w:space="0" w:color="auto"/>
            </w:tcBorders>
          </w:tcPr>
          <w:p w14:paraId="15435C79" w14:textId="77777777" w:rsidR="006103B3" w:rsidRPr="00925F26" w:rsidRDefault="006103B3" w:rsidP="00925F26">
            <w:pPr>
              <w:autoSpaceDE w:val="0"/>
              <w:autoSpaceDN w:val="0"/>
              <w:adjustRightInd w:val="0"/>
              <w:jc w:val="both"/>
              <w:rPr>
                <w:color w:val="000000" w:themeColor="text1"/>
                <w:sz w:val="16"/>
                <w:szCs w:val="16"/>
              </w:rPr>
            </w:pPr>
          </w:p>
          <w:p w14:paraId="543F47E0" w14:textId="77777777" w:rsidR="006103B3" w:rsidRPr="00925F26" w:rsidRDefault="006103B3" w:rsidP="00925F26">
            <w:pPr>
              <w:autoSpaceDE w:val="0"/>
              <w:autoSpaceDN w:val="0"/>
              <w:adjustRightInd w:val="0"/>
              <w:jc w:val="both"/>
              <w:rPr>
                <w:color w:val="000000" w:themeColor="text1"/>
                <w:sz w:val="16"/>
                <w:szCs w:val="16"/>
              </w:rPr>
            </w:pPr>
          </w:p>
        </w:tc>
        <w:tc>
          <w:tcPr>
            <w:tcW w:w="1459" w:type="dxa"/>
            <w:tcBorders>
              <w:top w:val="nil"/>
              <w:left w:val="single" w:sz="6" w:space="0" w:color="auto"/>
              <w:bottom w:val="nil"/>
              <w:right w:val="single" w:sz="6" w:space="0" w:color="auto"/>
            </w:tcBorders>
          </w:tcPr>
          <w:p w14:paraId="1AB545E0" w14:textId="77777777" w:rsidR="006103B3" w:rsidRPr="00925F26" w:rsidRDefault="006103B3" w:rsidP="00925F26">
            <w:pPr>
              <w:autoSpaceDE w:val="0"/>
              <w:autoSpaceDN w:val="0"/>
              <w:adjustRightInd w:val="0"/>
              <w:jc w:val="both"/>
              <w:rPr>
                <w:color w:val="000000" w:themeColor="text1"/>
                <w:sz w:val="16"/>
                <w:szCs w:val="16"/>
              </w:rPr>
            </w:pPr>
          </w:p>
          <w:p w14:paraId="374672A0" w14:textId="77777777" w:rsidR="006103B3" w:rsidRPr="00925F26" w:rsidRDefault="006103B3" w:rsidP="00925F26">
            <w:pPr>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24A82C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ходу, в том числе треб, ремонта</w:t>
            </w:r>
          </w:p>
          <w:p w14:paraId="62B4BD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4AC586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 на ходу (требующие ремонта)</w:t>
            </w:r>
          </w:p>
          <w:p w14:paraId="16CE29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7E15E3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8D4C5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5A1682E" w14:textId="77777777">
        <w:trPr>
          <w:trHeight w:val="240"/>
        </w:trPr>
        <w:tc>
          <w:tcPr>
            <w:tcW w:w="1939" w:type="dxa"/>
            <w:tcBorders>
              <w:top w:val="nil"/>
              <w:left w:val="single" w:sz="6" w:space="0" w:color="auto"/>
              <w:bottom w:val="single" w:sz="6" w:space="0" w:color="auto"/>
              <w:right w:val="single" w:sz="6" w:space="0" w:color="auto"/>
            </w:tcBorders>
          </w:tcPr>
          <w:p w14:paraId="53DC44C3" w14:textId="77777777" w:rsidR="006103B3" w:rsidRPr="00925F26" w:rsidRDefault="006103B3" w:rsidP="00925F26">
            <w:pPr>
              <w:autoSpaceDE w:val="0"/>
              <w:autoSpaceDN w:val="0"/>
              <w:adjustRightInd w:val="0"/>
              <w:jc w:val="both"/>
              <w:rPr>
                <w:color w:val="000000" w:themeColor="text1"/>
                <w:sz w:val="16"/>
                <w:szCs w:val="16"/>
              </w:rPr>
            </w:pPr>
          </w:p>
          <w:p w14:paraId="4446D092" w14:textId="77777777" w:rsidR="006103B3" w:rsidRPr="00925F26" w:rsidRDefault="006103B3" w:rsidP="00925F26">
            <w:pPr>
              <w:autoSpaceDE w:val="0"/>
              <w:autoSpaceDN w:val="0"/>
              <w:adjustRightInd w:val="0"/>
              <w:jc w:val="both"/>
              <w:rPr>
                <w:color w:val="000000" w:themeColor="text1"/>
                <w:sz w:val="16"/>
                <w:szCs w:val="16"/>
              </w:rPr>
            </w:pPr>
          </w:p>
        </w:tc>
        <w:tc>
          <w:tcPr>
            <w:tcW w:w="1459" w:type="dxa"/>
            <w:tcBorders>
              <w:top w:val="nil"/>
              <w:left w:val="single" w:sz="6" w:space="0" w:color="auto"/>
              <w:bottom w:val="single" w:sz="6" w:space="0" w:color="auto"/>
              <w:right w:val="single" w:sz="6" w:space="0" w:color="auto"/>
            </w:tcBorders>
          </w:tcPr>
          <w:p w14:paraId="6BBC41CF" w14:textId="77777777" w:rsidR="006103B3" w:rsidRPr="00925F26" w:rsidRDefault="006103B3" w:rsidP="00925F26">
            <w:pPr>
              <w:autoSpaceDE w:val="0"/>
              <w:autoSpaceDN w:val="0"/>
              <w:adjustRightInd w:val="0"/>
              <w:jc w:val="both"/>
              <w:rPr>
                <w:color w:val="000000" w:themeColor="text1"/>
                <w:sz w:val="16"/>
                <w:szCs w:val="16"/>
              </w:rPr>
            </w:pPr>
          </w:p>
          <w:p w14:paraId="30359B0F" w14:textId="77777777" w:rsidR="006103B3" w:rsidRPr="00925F26" w:rsidRDefault="006103B3" w:rsidP="00925F26">
            <w:pPr>
              <w:autoSpaceDE w:val="0"/>
              <w:autoSpaceDN w:val="0"/>
              <w:adjustRightInd w:val="0"/>
              <w:jc w:val="both"/>
              <w:rPr>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138A67D7" w14:textId="77777777" w:rsidR="006103B3" w:rsidRPr="00925F26" w:rsidRDefault="006103B3" w:rsidP="00925F26">
            <w:pPr>
              <w:autoSpaceDE w:val="0"/>
              <w:autoSpaceDN w:val="0"/>
              <w:adjustRightInd w:val="0"/>
              <w:jc w:val="both"/>
              <w:rPr>
                <w:color w:val="000000" w:themeColor="text1"/>
                <w:sz w:val="16"/>
                <w:szCs w:val="16"/>
              </w:rPr>
            </w:pPr>
          </w:p>
          <w:p w14:paraId="3FBE7155" w14:textId="77777777" w:rsidR="006103B3" w:rsidRPr="00925F26" w:rsidRDefault="006103B3" w:rsidP="00925F26">
            <w:pPr>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80E95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капитального</w:t>
            </w:r>
          </w:p>
          <w:p w14:paraId="328F33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C42C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среднего</w:t>
            </w:r>
          </w:p>
          <w:p w14:paraId="12FB48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D08D6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71B83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0EB2E58"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C2665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w:t>
            </w:r>
          </w:p>
          <w:p w14:paraId="282239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3F75C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664455</w:t>
            </w:r>
          </w:p>
          <w:p w14:paraId="0396BC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8BCED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565206</w:t>
            </w:r>
          </w:p>
          <w:p w14:paraId="12E861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7E738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32485</w:t>
            </w:r>
          </w:p>
          <w:p w14:paraId="7C7BE4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F6E1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65764</w:t>
            </w:r>
          </w:p>
          <w:p w14:paraId="15272C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AE95D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14,8</w:t>
            </w:r>
          </w:p>
          <w:p w14:paraId="05BEB9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06E9C96"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595D87E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w:t>
            </w:r>
          </w:p>
          <w:p w14:paraId="7433DA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044C72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264972</w:t>
            </w:r>
          </w:p>
          <w:p w14:paraId="03CEC7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ECBDF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184155</w:t>
            </w:r>
          </w:p>
          <w:p w14:paraId="5E5182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806B7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41335</w:t>
            </w:r>
          </w:p>
          <w:p w14:paraId="34C1DE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7F40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39482</w:t>
            </w:r>
          </w:p>
          <w:p w14:paraId="08CC43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3AD6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w:t>
            </w:r>
          </w:p>
          <w:p w14:paraId="2F3507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0834EC8" w14:textId="77777777">
        <w:trPr>
          <w:trHeight w:val="259"/>
        </w:trPr>
        <w:tc>
          <w:tcPr>
            <w:tcW w:w="1939" w:type="dxa"/>
            <w:tcBorders>
              <w:top w:val="single" w:sz="6" w:space="0" w:color="auto"/>
              <w:left w:val="single" w:sz="6" w:space="0" w:color="auto"/>
              <w:bottom w:val="single" w:sz="6" w:space="0" w:color="auto"/>
              <w:right w:val="single" w:sz="6" w:space="0" w:color="auto"/>
            </w:tcBorders>
          </w:tcPr>
          <w:p w14:paraId="4E79F8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383DBC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336722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929427</w:t>
            </w:r>
          </w:p>
          <w:p w14:paraId="1693BF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D3871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750361</w:t>
            </w:r>
          </w:p>
          <w:p w14:paraId="39613E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2A850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73820</w:t>
            </w:r>
          </w:p>
          <w:p w14:paraId="6E1E82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37F71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105246</w:t>
            </w:r>
          </w:p>
          <w:p w14:paraId="6B2318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C6C5A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w:t>
            </w:r>
          </w:p>
          <w:p w14:paraId="23E418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487207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наличие автопарка, требующего капитального и среднего ремонта</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498"/>
        <w:gridCol w:w="1565"/>
        <w:gridCol w:w="1565"/>
        <w:gridCol w:w="1565"/>
        <w:gridCol w:w="1440"/>
      </w:tblGrid>
      <w:tr w:rsidR="000F5689" w:rsidRPr="00925F26" w14:paraId="4B5A3598" w14:textId="77777777">
        <w:trPr>
          <w:trHeight w:val="259"/>
        </w:trPr>
        <w:tc>
          <w:tcPr>
            <w:tcW w:w="1891" w:type="dxa"/>
            <w:tcBorders>
              <w:top w:val="single" w:sz="6" w:space="0" w:color="auto"/>
              <w:left w:val="single" w:sz="6" w:space="0" w:color="auto"/>
              <w:bottom w:val="nil"/>
              <w:right w:val="single" w:sz="6" w:space="0" w:color="auto"/>
            </w:tcBorders>
          </w:tcPr>
          <w:p w14:paraId="59A8D9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w:t>
            </w:r>
          </w:p>
          <w:p w14:paraId="3DBDA2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2F1012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автомашин</w:t>
            </w:r>
          </w:p>
          <w:p w14:paraId="169AA2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695" w:type="dxa"/>
            <w:gridSpan w:val="3"/>
            <w:tcBorders>
              <w:top w:val="single" w:sz="6" w:space="0" w:color="auto"/>
              <w:left w:val="single" w:sz="6" w:space="0" w:color="auto"/>
              <w:bottom w:val="single" w:sz="6" w:space="0" w:color="auto"/>
              <w:right w:val="single" w:sz="6" w:space="0" w:color="auto"/>
            </w:tcBorders>
          </w:tcPr>
          <w:p w14:paraId="455938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w:t>
            </w:r>
          </w:p>
          <w:p w14:paraId="0ACE21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20D784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машин, треб, капитального и среднего рем.</w:t>
            </w:r>
          </w:p>
          <w:p w14:paraId="0711A7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5678658" w14:textId="77777777">
        <w:trPr>
          <w:trHeight w:val="403"/>
        </w:trPr>
        <w:tc>
          <w:tcPr>
            <w:tcW w:w="1891" w:type="dxa"/>
            <w:tcBorders>
              <w:top w:val="nil"/>
              <w:left w:val="single" w:sz="6" w:space="0" w:color="auto"/>
              <w:bottom w:val="single" w:sz="6" w:space="0" w:color="auto"/>
              <w:right w:val="single" w:sz="6" w:space="0" w:color="auto"/>
            </w:tcBorders>
          </w:tcPr>
          <w:p w14:paraId="5EC6E654" w14:textId="77777777" w:rsidR="006103B3" w:rsidRPr="00925F26" w:rsidRDefault="006103B3" w:rsidP="00925F26">
            <w:pPr>
              <w:autoSpaceDE w:val="0"/>
              <w:autoSpaceDN w:val="0"/>
              <w:adjustRightInd w:val="0"/>
              <w:jc w:val="both"/>
              <w:rPr>
                <w:color w:val="000000" w:themeColor="text1"/>
                <w:sz w:val="16"/>
                <w:szCs w:val="16"/>
              </w:rPr>
            </w:pPr>
          </w:p>
          <w:p w14:paraId="0F7F03C1" w14:textId="77777777" w:rsidR="006103B3" w:rsidRPr="00925F26" w:rsidRDefault="006103B3" w:rsidP="00925F26">
            <w:pPr>
              <w:autoSpaceDE w:val="0"/>
              <w:autoSpaceDN w:val="0"/>
              <w:adjustRightInd w:val="0"/>
              <w:jc w:val="both"/>
              <w:rPr>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16BFB16C" w14:textId="77777777" w:rsidR="006103B3" w:rsidRPr="00925F26" w:rsidRDefault="006103B3" w:rsidP="00925F26">
            <w:pPr>
              <w:autoSpaceDE w:val="0"/>
              <w:autoSpaceDN w:val="0"/>
              <w:adjustRightInd w:val="0"/>
              <w:jc w:val="both"/>
              <w:rPr>
                <w:color w:val="000000" w:themeColor="text1"/>
                <w:sz w:val="16"/>
                <w:szCs w:val="16"/>
              </w:rPr>
            </w:pPr>
          </w:p>
          <w:p w14:paraId="53063973" w14:textId="77777777" w:rsidR="006103B3" w:rsidRPr="00925F26" w:rsidRDefault="006103B3" w:rsidP="00925F26">
            <w:pPr>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0D6D9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исправных и тек. рем.</w:t>
            </w:r>
          </w:p>
          <w:p w14:paraId="3D7526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25514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капитального ремонта</w:t>
            </w:r>
          </w:p>
          <w:p w14:paraId="2500DA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CC1C2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среднего ремонта</w:t>
            </w:r>
          </w:p>
          <w:p w14:paraId="204925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12111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CA307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7554EFE" w14:textId="77777777">
        <w:trPr>
          <w:trHeight w:val="240"/>
        </w:trPr>
        <w:tc>
          <w:tcPr>
            <w:tcW w:w="1891" w:type="dxa"/>
            <w:tcBorders>
              <w:top w:val="single" w:sz="6" w:space="0" w:color="auto"/>
              <w:left w:val="single" w:sz="6" w:space="0" w:color="auto"/>
              <w:bottom w:val="single" w:sz="6" w:space="0" w:color="auto"/>
              <w:right w:val="single" w:sz="6" w:space="0" w:color="auto"/>
            </w:tcBorders>
          </w:tcPr>
          <w:p w14:paraId="1F99D1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w:t>
            </w:r>
          </w:p>
          <w:p w14:paraId="6AFEA5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63234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664605</w:t>
            </w:r>
          </w:p>
          <w:p w14:paraId="0F0579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017C1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533421</w:t>
            </w:r>
          </w:p>
          <w:p w14:paraId="0A57AA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04743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39211</w:t>
            </w:r>
          </w:p>
          <w:p w14:paraId="28ED3B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0026B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91973</w:t>
            </w:r>
          </w:p>
          <w:p w14:paraId="67E6F4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23E88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19,6</w:t>
            </w:r>
          </w:p>
          <w:p w14:paraId="53F9F5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C4D8B8D" w14:textId="77777777">
        <w:trPr>
          <w:trHeight w:val="230"/>
        </w:trPr>
        <w:tc>
          <w:tcPr>
            <w:tcW w:w="1891" w:type="dxa"/>
            <w:tcBorders>
              <w:top w:val="single" w:sz="6" w:space="0" w:color="auto"/>
              <w:left w:val="single" w:sz="6" w:space="0" w:color="auto"/>
              <w:bottom w:val="single" w:sz="6" w:space="0" w:color="auto"/>
              <w:right w:val="single" w:sz="6" w:space="0" w:color="auto"/>
            </w:tcBorders>
          </w:tcPr>
          <w:p w14:paraId="5EC43F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w:t>
            </w:r>
          </w:p>
          <w:p w14:paraId="29BFAB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2329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264972</w:t>
            </w:r>
          </w:p>
          <w:p w14:paraId="150502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C2FE7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173556</w:t>
            </w:r>
          </w:p>
          <w:p w14:paraId="54D7FE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D5659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49020</w:t>
            </w:r>
          </w:p>
          <w:p w14:paraId="74B5A1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70394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42396</w:t>
            </w:r>
          </w:p>
          <w:p w14:paraId="5F719D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4C357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34,5</w:t>
            </w:r>
          </w:p>
          <w:p w14:paraId="74FCAB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31C0FFF" w14:textId="77777777">
        <w:trPr>
          <w:trHeight w:val="259"/>
        </w:trPr>
        <w:tc>
          <w:tcPr>
            <w:tcW w:w="1891" w:type="dxa"/>
            <w:tcBorders>
              <w:top w:val="single" w:sz="6" w:space="0" w:color="auto"/>
              <w:left w:val="single" w:sz="6" w:space="0" w:color="auto"/>
              <w:bottom w:val="single" w:sz="6" w:space="0" w:color="auto"/>
              <w:right w:val="single" w:sz="6" w:space="0" w:color="auto"/>
            </w:tcBorders>
          </w:tcPr>
          <w:p w14:paraId="65EF5F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2B30F7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08AC6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929427</w:t>
            </w:r>
          </w:p>
          <w:p w14:paraId="36E036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28995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706977</w:t>
            </w:r>
          </w:p>
          <w:p w14:paraId="032B30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B013D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88231</w:t>
            </w:r>
          </w:p>
          <w:p w14:paraId="699301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7BE5B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134369</w:t>
            </w:r>
          </w:p>
          <w:p w14:paraId="6CB826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FA973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23,4</w:t>
            </w:r>
          </w:p>
          <w:p w14:paraId="52C6E3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569E7B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Наличие ходового автопарка страны по типам машин</w:t>
      </w:r>
    </w:p>
    <w:tbl>
      <w:tblPr>
        <w:tblW w:w="0" w:type="auto"/>
        <w:tblInd w:w="40" w:type="dxa"/>
        <w:tblLayout w:type="fixed"/>
        <w:tblCellMar>
          <w:left w:w="40" w:type="dxa"/>
          <w:right w:w="40" w:type="dxa"/>
        </w:tblCellMar>
        <w:tblLook w:val="0000" w:firstRow="0" w:lastRow="0" w:firstColumn="0" w:lastColumn="0" w:noHBand="0" w:noVBand="0"/>
      </w:tblPr>
      <w:tblGrid>
        <w:gridCol w:w="1747"/>
        <w:gridCol w:w="1382"/>
        <w:gridCol w:w="1507"/>
        <w:gridCol w:w="1517"/>
        <w:gridCol w:w="1507"/>
        <w:gridCol w:w="1843"/>
      </w:tblGrid>
      <w:tr w:rsidR="000F5689" w:rsidRPr="00925F26" w14:paraId="5D9B4B3A" w14:textId="77777777">
        <w:trPr>
          <w:trHeight w:val="259"/>
        </w:trPr>
        <w:tc>
          <w:tcPr>
            <w:tcW w:w="1747" w:type="dxa"/>
            <w:tcBorders>
              <w:top w:val="single" w:sz="6" w:space="0" w:color="auto"/>
              <w:left w:val="single" w:sz="6" w:space="0" w:color="auto"/>
              <w:bottom w:val="nil"/>
              <w:right w:val="single" w:sz="6" w:space="0" w:color="auto"/>
            </w:tcBorders>
          </w:tcPr>
          <w:p w14:paraId="19045E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Тип автомашин</w:t>
            </w:r>
          </w:p>
          <w:p w14:paraId="579912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nil"/>
              <w:right w:val="single" w:sz="6" w:space="0" w:color="auto"/>
            </w:tcBorders>
          </w:tcPr>
          <w:p w14:paraId="266F78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 автомашин</w:t>
            </w:r>
          </w:p>
          <w:p w14:paraId="1D6EC3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531" w:type="dxa"/>
            <w:gridSpan w:val="3"/>
            <w:tcBorders>
              <w:top w:val="single" w:sz="6" w:space="0" w:color="auto"/>
              <w:left w:val="single" w:sz="6" w:space="0" w:color="auto"/>
              <w:bottom w:val="single" w:sz="6" w:space="0" w:color="auto"/>
              <w:right w:val="single" w:sz="6" w:space="0" w:color="auto"/>
            </w:tcBorders>
          </w:tcPr>
          <w:p w14:paraId="3D3CDF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w:t>
            </w:r>
          </w:p>
          <w:p w14:paraId="63532F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nil"/>
              <w:right w:val="single" w:sz="6" w:space="0" w:color="auto"/>
            </w:tcBorders>
          </w:tcPr>
          <w:p w14:paraId="095463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машин не на ходу</w:t>
            </w:r>
          </w:p>
          <w:p w14:paraId="056DBA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BDF7F98" w14:textId="77777777">
        <w:trPr>
          <w:trHeight w:val="413"/>
        </w:trPr>
        <w:tc>
          <w:tcPr>
            <w:tcW w:w="1747" w:type="dxa"/>
            <w:tcBorders>
              <w:top w:val="nil"/>
              <w:left w:val="single" w:sz="6" w:space="0" w:color="auto"/>
              <w:bottom w:val="single" w:sz="6" w:space="0" w:color="auto"/>
              <w:right w:val="single" w:sz="6" w:space="0" w:color="auto"/>
            </w:tcBorders>
          </w:tcPr>
          <w:p w14:paraId="29A1E842" w14:textId="77777777" w:rsidR="006103B3" w:rsidRPr="00925F26" w:rsidRDefault="006103B3" w:rsidP="00925F26">
            <w:pPr>
              <w:autoSpaceDE w:val="0"/>
              <w:autoSpaceDN w:val="0"/>
              <w:adjustRightInd w:val="0"/>
              <w:jc w:val="both"/>
              <w:rPr>
                <w:color w:val="000000" w:themeColor="text1"/>
                <w:sz w:val="16"/>
                <w:szCs w:val="16"/>
              </w:rPr>
            </w:pPr>
          </w:p>
          <w:p w14:paraId="4357ECF1" w14:textId="77777777" w:rsidR="006103B3" w:rsidRPr="00925F26" w:rsidRDefault="006103B3" w:rsidP="00925F26">
            <w:pPr>
              <w:autoSpaceDE w:val="0"/>
              <w:autoSpaceDN w:val="0"/>
              <w:adjustRightInd w:val="0"/>
              <w:jc w:val="both"/>
              <w:rPr>
                <w:color w:val="000000" w:themeColor="text1"/>
                <w:sz w:val="16"/>
                <w:szCs w:val="16"/>
              </w:rPr>
            </w:pPr>
          </w:p>
        </w:tc>
        <w:tc>
          <w:tcPr>
            <w:tcW w:w="1382" w:type="dxa"/>
            <w:tcBorders>
              <w:top w:val="nil"/>
              <w:left w:val="single" w:sz="6" w:space="0" w:color="auto"/>
              <w:bottom w:val="single" w:sz="6" w:space="0" w:color="auto"/>
              <w:right w:val="single" w:sz="6" w:space="0" w:color="auto"/>
            </w:tcBorders>
          </w:tcPr>
          <w:p w14:paraId="1F299F89" w14:textId="77777777" w:rsidR="006103B3" w:rsidRPr="00925F26" w:rsidRDefault="006103B3" w:rsidP="00925F26">
            <w:pPr>
              <w:autoSpaceDE w:val="0"/>
              <w:autoSpaceDN w:val="0"/>
              <w:adjustRightInd w:val="0"/>
              <w:jc w:val="both"/>
              <w:rPr>
                <w:color w:val="000000" w:themeColor="text1"/>
                <w:sz w:val="16"/>
                <w:szCs w:val="16"/>
              </w:rPr>
            </w:pPr>
          </w:p>
          <w:p w14:paraId="1ADA1746" w14:textId="77777777" w:rsidR="006103B3" w:rsidRPr="00925F26" w:rsidRDefault="006103B3" w:rsidP="00925F26">
            <w:pPr>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BBB9D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ходу</w:t>
            </w:r>
          </w:p>
          <w:p w14:paraId="2790D6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7A8E0E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капитальный ремонт</w:t>
            </w:r>
          </w:p>
          <w:p w14:paraId="36D136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31FE4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средний ремонт</w:t>
            </w:r>
          </w:p>
          <w:p w14:paraId="49809F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nil"/>
              <w:left w:val="single" w:sz="6" w:space="0" w:color="auto"/>
              <w:bottom w:val="single" w:sz="6" w:space="0" w:color="auto"/>
              <w:right w:val="single" w:sz="6" w:space="0" w:color="auto"/>
            </w:tcBorders>
          </w:tcPr>
          <w:p w14:paraId="66817F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10FF2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C42B3BA" w14:textId="77777777">
        <w:trPr>
          <w:trHeight w:val="230"/>
        </w:trPr>
        <w:tc>
          <w:tcPr>
            <w:tcW w:w="9503" w:type="dxa"/>
            <w:gridSpan w:val="6"/>
            <w:tcBorders>
              <w:top w:val="single" w:sz="6" w:space="0" w:color="auto"/>
              <w:left w:val="single" w:sz="6" w:space="0" w:color="auto"/>
              <w:bottom w:val="single" w:sz="6" w:space="0" w:color="auto"/>
              <w:right w:val="single" w:sz="6" w:space="0" w:color="auto"/>
            </w:tcBorders>
          </w:tcPr>
          <w:p w14:paraId="382EC2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Красной Армии</w:t>
            </w:r>
          </w:p>
          <w:p w14:paraId="74EDA7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B981B21"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05F5D4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легковых</w:t>
            </w:r>
          </w:p>
          <w:p w14:paraId="42DA2B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6CA57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53740</w:t>
            </w:r>
          </w:p>
          <w:p w14:paraId="5B89BB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DDEBC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43499</w:t>
            </w:r>
          </w:p>
          <w:p w14:paraId="74FF31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7D1B4B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4069</w:t>
            </w:r>
          </w:p>
          <w:p w14:paraId="1B23B0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34239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6172</w:t>
            </w:r>
          </w:p>
          <w:p w14:paraId="5E92C7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FF164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19,1</w:t>
            </w:r>
          </w:p>
          <w:p w14:paraId="2AADE0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67D963B" w14:textId="77777777">
        <w:trPr>
          <w:trHeight w:val="230"/>
        </w:trPr>
        <w:tc>
          <w:tcPr>
            <w:tcW w:w="1747" w:type="dxa"/>
            <w:tcBorders>
              <w:top w:val="single" w:sz="6" w:space="0" w:color="auto"/>
              <w:left w:val="single" w:sz="6" w:space="0" w:color="auto"/>
              <w:bottom w:val="single" w:sz="6" w:space="0" w:color="auto"/>
              <w:right w:val="single" w:sz="6" w:space="0" w:color="auto"/>
            </w:tcBorders>
          </w:tcPr>
          <w:p w14:paraId="4555BE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грузовых</w:t>
            </w:r>
          </w:p>
          <w:p w14:paraId="057CAB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AB8EF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481047</w:t>
            </w:r>
          </w:p>
          <w:p w14:paraId="43BC52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AB44C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407521</w:t>
            </w:r>
          </w:p>
          <w:p w14:paraId="61F2A5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34C970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24019</w:t>
            </w:r>
          </w:p>
          <w:p w14:paraId="2EF281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85031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49507</w:t>
            </w:r>
          </w:p>
          <w:p w14:paraId="2780CC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343DF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15,3</w:t>
            </w:r>
          </w:p>
          <w:p w14:paraId="2DEA74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4362A26"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AF915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специальных</w:t>
            </w:r>
          </w:p>
          <w:p w14:paraId="70BA8E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FD0E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119467</w:t>
            </w:r>
          </w:p>
          <w:p w14:paraId="6A25D2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7F75D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107145</w:t>
            </w:r>
          </w:p>
          <w:p w14:paraId="77CD43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9B4F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3599</w:t>
            </w:r>
          </w:p>
          <w:p w14:paraId="1954A7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FB588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8723</w:t>
            </w:r>
          </w:p>
          <w:p w14:paraId="523750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2F10FE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p w14:paraId="3A11B4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AEA47E7"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3CFBC7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автобусы</w:t>
            </w:r>
          </w:p>
          <w:p w14:paraId="2215CF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CF41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10201</w:t>
            </w:r>
          </w:p>
          <w:p w14:paraId="5F1D36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EBC3B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8041</w:t>
            </w:r>
          </w:p>
          <w:p w14:paraId="164A08C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3140A0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798</w:t>
            </w:r>
          </w:p>
          <w:p w14:paraId="1749DF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8121E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1362</w:t>
            </w:r>
          </w:p>
          <w:p w14:paraId="3A2C05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5D65B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w:t>
            </w:r>
          </w:p>
          <w:p w14:paraId="4B93A9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136C7547"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08D557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7B7F9A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641D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664455</w:t>
            </w:r>
          </w:p>
          <w:p w14:paraId="40C6A0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1748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566206</w:t>
            </w:r>
          </w:p>
          <w:p w14:paraId="5B4767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5D67B7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32485</w:t>
            </w:r>
          </w:p>
          <w:p w14:paraId="6F019C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BCD05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65764</w:t>
            </w:r>
          </w:p>
          <w:p w14:paraId="7347AB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F90D6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14,8</w:t>
            </w:r>
          </w:p>
          <w:p w14:paraId="128856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A253716" w14:textId="77777777">
        <w:trPr>
          <w:trHeight w:val="230"/>
        </w:trPr>
        <w:tc>
          <w:tcPr>
            <w:tcW w:w="9503" w:type="dxa"/>
            <w:gridSpan w:val="6"/>
            <w:tcBorders>
              <w:top w:val="single" w:sz="6" w:space="0" w:color="auto"/>
              <w:left w:val="single" w:sz="6" w:space="0" w:color="auto"/>
              <w:bottom w:val="single" w:sz="6" w:space="0" w:color="auto"/>
              <w:right w:val="single" w:sz="6" w:space="0" w:color="auto"/>
            </w:tcBorders>
          </w:tcPr>
          <w:p w14:paraId="42DBDE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народном хозяйстве</w:t>
            </w:r>
          </w:p>
          <w:p w14:paraId="07F056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DEB8CEC"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70BF0D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легковых</w:t>
            </w:r>
          </w:p>
          <w:p w14:paraId="6C789E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A5D47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44781</w:t>
            </w:r>
          </w:p>
          <w:p w14:paraId="1784A3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374" w:type="dxa"/>
            <w:gridSpan w:val="4"/>
            <w:tcBorders>
              <w:top w:val="single" w:sz="6" w:space="0" w:color="auto"/>
              <w:left w:val="single" w:sz="6" w:space="0" w:color="auto"/>
              <w:bottom w:val="single" w:sz="6" w:space="0" w:color="auto"/>
              <w:right w:val="single" w:sz="6" w:space="0" w:color="auto"/>
            </w:tcBorders>
          </w:tcPr>
          <w:p w14:paraId="5684E3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сведений нет</w:t>
            </w:r>
          </w:p>
          <w:p w14:paraId="431955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D17B4B8"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108A1A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грузовых</w:t>
            </w:r>
          </w:p>
          <w:p w14:paraId="1D3773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352FB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199407</w:t>
            </w:r>
          </w:p>
          <w:p w14:paraId="518A29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nil"/>
            </w:tcBorders>
          </w:tcPr>
          <w:p w14:paraId="3C60E1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139635</w:t>
            </w:r>
          </w:p>
          <w:p w14:paraId="6BA564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nil"/>
              <w:bottom w:val="single" w:sz="6" w:space="0" w:color="auto"/>
              <w:right w:val="nil"/>
            </w:tcBorders>
          </w:tcPr>
          <w:p w14:paraId="4313C4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28980</w:t>
            </w:r>
          </w:p>
          <w:p w14:paraId="6866F8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nil"/>
              <w:bottom w:val="single" w:sz="6" w:space="0" w:color="auto"/>
              <w:right w:val="nil"/>
            </w:tcBorders>
          </w:tcPr>
          <w:p w14:paraId="5154A2A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30792</w:t>
            </w:r>
          </w:p>
          <w:p w14:paraId="36F161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nil"/>
              <w:bottom w:val="single" w:sz="6" w:space="0" w:color="auto"/>
              <w:right w:val="single" w:sz="6" w:space="0" w:color="auto"/>
            </w:tcBorders>
          </w:tcPr>
          <w:p w14:paraId="653FBE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p w14:paraId="597232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94935DD"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17CA0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специальных</w:t>
            </w:r>
          </w:p>
          <w:p w14:paraId="05236E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B5437B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16498</w:t>
            </w:r>
          </w:p>
          <w:p w14:paraId="28E944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374" w:type="dxa"/>
            <w:gridSpan w:val="4"/>
            <w:tcBorders>
              <w:top w:val="single" w:sz="6" w:space="0" w:color="auto"/>
              <w:left w:val="single" w:sz="6" w:space="0" w:color="auto"/>
              <w:bottom w:val="single" w:sz="6" w:space="0" w:color="auto"/>
              <w:right w:val="single" w:sz="6" w:space="0" w:color="auto"/>
            </w:tcBorders>
          </w:tcPr>
          <w:p w14:paraId="17F34C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сведений нет</w:t>
            </w:r>
          </w:p>
          <w:p w14:paraId="6BDB5B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E92DD38"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8A44A5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автобусов</w:t>
            </w:r>
          </w:p>
          <w:p w14:paraId="01C574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F1529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4286</w:t>
            </w:r>
          </w:p>
          <w:p w14:paraId="39F367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9E467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A6AEC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52FC3C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1A347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FFE6D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EB52A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73C7F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6FF63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8738A8F" w14:textId="77777777">
        <w:trPr>
          <w:trHeight w:val="250"/>
        </w:trPr>
        <w:tc>
          <w:tcPr>
            <w:tcW w:w="1747" w:type="dxa"/>
            <w:tcBorders>
              <w:top w:val="single" w:sz="6" w:space="0" w:color="auto"/>
              <w:left w:val="single" w:sz="6" w:space="0" w:color="auto"/>
              <w:bottom w:val="single" w:sz="6" w:space="0" w:color="auto"/>
              <w:right w:val="single" w:sz="6" w:space="0" w:color="auto"/>
            </w:tcBorders>
          </w:tcPr>
          <w:p w14:paraId="233D744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07A3885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7B2275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264972</w:t>
            </w:r>
          </w:p>
          <w:p w14:paraId="789BA4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5FF94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184155</w:t>
            </w:r>
          </w:p>
          <w:p w14:paraId="38E0C3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21AC24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41335</w:t>
            </w:r>
          </w:p>
          <w:p w14:paraId="640BF6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FD8C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39482</w:t>
            </w:r>
          </w:p>
          <w:p w14:paraId="4EF5CE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6F3FF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w:t>
            </w:r>
          </w:p>
          <w:p w14:paraId="199C9E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73975B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Примечание: наличие автопарка в народном хозяйстве к концу войны показано по данным на 1.01.1945 г.</w:t>
      </w:r>
    </w:p>
    <w:p w14:paraId="10A5D4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Врид начальника 1 отдела штаба ГАВТУ КА подполковник Ведмедь</w:t>
      </w:r>
    </w:p>
    <w:p w14:paraId="44D0FB2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41. Оп. 11584. Д. 13. Л. 147-149. Копия (11420).</w:t>
      </w:r>
    </w:p>
    <w:p w14:paraId="2040F62B" w14:textId="77777777" w:rsidR="006103B3" w:rsidRPr="00925F26" w:rsidRDefault="006103B3" w:rsidP="00925F26">
      <w:pPr>
        <w:autoSpaceDE w:val="0"/>
        <w:autoSpaceDN w:val="0"/>
        <w:adjustRightInd w:val="0"/>
        <w:jc w:val="both"/>
        <w:rPr>
          <w:color w:val="000000" w:themeColor="text1"/>
          <w:sz w:val="16"/>
          <w:szCs w:val="16"/>
        </w:rPr>
      </w:pPr>
    </w:p>
    <w:p w14:paraId="77309D0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1F04BB02" w14:textId="77777777" w:rsidR="006103B3" w:rsidRPr="00925F26" w:rsidRDefault="006103B3" w:rsidP="00925F26">
      <w:pPr>
        <w:autoSpaceDE w:val="0"/>
        <w:autoSpaceDN w:val="0"/>
        <w:adjustRightInd w:val="0"/>
        <w:jc w:val="both"/>
        <w:rPr>
          <w:iCs/>
          <w:color w:val="000000" w:themeColor="text1"/>
          <w:sz w:val="16"/>
          <w:szCs w:val="16"/>
        </w:rPr>
      </w:pPr>
    </w:p>
    <w:p w14:paraId="13870E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1 июня 1945 в ИТЛ и ИТК содержалось 1 501 305 заключенных, из них работало 1 222 113 человек, в том числе: в промышленном строительстве - 109 832, на строительстве железных дорог - 141 666, в Дальстрое, Норильлаге, Воркутлаге и на других горно-металлургических предприятиях - 192 435, в лесных лагерях - 156 617, на стройках ГУШОСДОР - 17 691, на стройках ГУАС - 4522, в промышленных колониях и совхозах - 599 350, на контрагентских работах в других наркоматах - 279 092 человека (7560).</w:t>
      </w:r>
    </w:p>
    <w:p w14:paraId="3F4AB93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 работало 216 955 заключенных, в том числе находилось в пересыльных пунктах и в этапах 70 983 человека, неработающих инвалидов - 145 972 человека (7560).</w:t>
      </w:r>
    </w:p>
    <w:p w14:paraId="30B17A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Каторжан - 36 572 человека, из них в Воркутлаге - 12 878 человек, Тайшетлаге - 7774, Севвостлаге - 3787, Норильлаге - 1902, Котласлаге - 194, Карлаге - 180, в тюрьмах - 7481, на пересыльных пунктах - 2376 каторжан (7560).</w:t>
      </w:r>
    </w:p>
    <w:p w14:paraId="23C01CC8" w14:textId="77777777" w:rsidR="006103B3" w:rsidRPr="00925F26" w:rsidRDefault="006103B3" w:rsidP="00925F26">
      <w:pPr>
        <w:autoSpaceDE w:val="0"/>
        <w:autoSpaceDN w:val="0"/>
        <w:adjustRightInd w:val="0"/>
        <w:jc w:val="both"/>
        <w:rPr>
          <w:color w:val="000000" w:themeColor="text1"/>
          <w:sz w:val="16"/>
          <w:szCs w:val="16"/>
        </w:rPr>
      </w:pPr>
    </w:p>
    <w:p w14:paraId="1C1CDB22" w14:textId="77777777" w:rsidR="006F2DF6" w:rsidRPr="00925F26" w:rsidRDefault="006F2DF6" w:rsidP="00925F26">
      <w:pPr>
        <w:jc w:val="both"/>
        <w:rPr>
          <w:bCs/>
          <w:color w:val="000000" w:themeColor="text1"/>
          <w:sz w:val="16"/>
          <w:szCs w:val="16"/>
        </w:rPr>
      </w:pPr>
      <w:r w:rsidRPr="00925F26">
        <w:rPr>
          <w:bCs/>
          <w:color w:val="000000" w:themeColor="text1"/>
          <w:sz w:val="16"/>
          <w:szCs w:val="16"/>
        </w:rPr>
        <w:t>1 июня</w:t>
      </w:r>
      <w:r w:rsidRPr="00925F26">
        <w:rPr>
          <w:color w:val="000000" w:themeColor="text1"/>
          <w:sz w:val="16"/>
          <w:szCs w:val="16"/>
        </w:rPr>
        <w:t xml:space="preserve"> в 1945 году "Лиенцкая обедня". В Южной Австрии, в городе Лиенце произошла выдача личного состава кавалерийского казачьего корпуса вермахта, а также членов их семей из т.н. "Казачьего стана". Примерно треть из их числа не являлась гражданами СССР и не подлежала выдаче, согласно ялтинским соглашениям. Выдача сопровождалась обманом, зверским насилием над безоружными и массовыми самоубийствами. Не желая возвращаться в Советский Союз на муки и верную смерть, казаки капитулировали перед бригадой британской королевской гвардии, под честное слово ее командира, но оказались жертвой обмана. Оставшись без офицеров и генералов, так же, обманом, отделенных от остальной массы, казаки сплотились вокруг священников, начавших служить литургию, во время которой британские солдаты вырывали людей из толпы и швыряли их в кузова автомобилей, избивая остальных прикладами, пока не прервали службу и не погрузили всех. (источник: Отдел Московского Патриархата по взаимодействию с вооруженными силами и правоохранительными учреждениями)</w:t>
      </w:r>
    </w:p>
    <w:p w14:paraId="1A0F5CDA" w14:textId="77777777" w:rsidR="006F2DF6" w:rsidRPr="00925F26" w:rsidRDefault="006F2DF6" w:rsidP="00925F26">
      <w:pPr>
        <w:jc w:val="both"/>
        <w:rPr>
          <w:bCs/>
          <w:color w:val="000000" w:themeColor="text1"/>
          <w:sz w:val="16"/>
          <w:szCs w:val="16"/>
        </w:rPr>
      </w:pPr>
    </w:p>
    <w:p w14:paraId="5A69E53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B8A8C60" w14:textId="77777777" w:rsidR="006103B3" w:rsidRPr="00925F26" w:rsidRDefault="006103B3" w:rsidP="00925F26">
      <w:pPr>
        <w:autoSpaceDE w:val="0"/>
        <w:autoSpaceDN w:val="0"/>
        <w:adjustRightInd w:val="0"/>
        <w:jc w:val="both"/>
        <w:rPr>
          <w:iCs/>
          <w:color w:val="000000" w:themeColor="text1"/>
          <w:sz w:val="16"/>
          <w:szCs w:val="16"/>
        </w:rPr>
      </w:pPr>
    </w:p>
    <w:p w14:paraId="7D38173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июня 1945 англичане в Австрии начали выдачу Советам около 40 тыс. членов РОА и других профашистских русских организаций (4962).</w:t>
      </w:r>
    </w:p>
    <w:p w14:paraId="6BDF78BD"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727C9E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июня 1945 оккупационные власти Берлина заявили, что за каждое нападение на союзников будут казнены по 50 пленных нацистов (4962).</w:t>
      </w:r>
    </w:p>
    <w:p w14:paraId="4C792AE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F70FD7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CB7EA77" w14:textId="77777777" w:rsidR="006103B3" w:rsidRPr="00925F26" w:rsidRDefault="006103B3" w:rsidP="00925F26">
      <w:pPr>
        <w:autoSpaceDE w:val="0"/>
        <w:autoSpaceDN w:val="0"/>
        <w:adjustRightInd w:val="0"/>
        <w:jc w:val="both"/>
        <w:rPr>
          <w:iCs/>
          <w:color w:val="000000" w:themeColor="text1"/>
          <w:sz w:val="16"/>
          <w:szCs w:val="16"/>
        </w:rPr>
      </w:pPr>
    </w:p>
    <w:p w14:paraId="06AA87DD" w14:textId="4E351B17" w:rsidR="006F2DF6" w:rsidRPr="00925F26" w:rsidRDefault="006F2DF6" w:rsidP="00925F26">
      <w:pPr>
        <w:jc w:val="both"/>
        <w:rPr>
          <w:color w:val="000000" w:themeColor="text1"/>
          <w:sz w:val="16"/>
          <w:szCs w:val="16"/>
        </w:rPr>
      </w:pPr>
      <w:r w:rsidRPr="00925F26">
        <w:rPr>
          <w:bCs/>
          <w:color w:val="000000" w:themeColor="text1"/>
          <w:sz w:val="16"/>
          <w:szCs w:val="16"/>
        </w:rPr>
        <w:t>1 июня</w:t>
      </w:r>
      <w:r w:rsidRPr="00925F26">
        <w:rPr>
          <w:color w:val="000000" w:themeColor="text1"/>
          <w:sz w:val="16"/>
          <w:szCs w:val="16"/>
        </w:rPr>
        <w:t xml:space="preserve"> в 1945 году ВВС США подписали контракт с фирмой «Northrop» на переделку двух «YB-35» под реактивные двигатели. По замыслу конструкторов, предполагалось вместо четырех поршневых установить восемь турбореактивных двигателей «J33» («TG-180») фирмы «Allison», разместив их двумя пакетами по четыре двигателя на каждом полукрыле. При этом, правда, пришлось пожертвовать двумя бомбоотсеками. Новой модификации присвоили сначала обозначение «ХВ-35В», потом его изменили на «ХВ-49», а в процессе постройки - на </w:t>
      </w:r>
      <w:hyperlink r:id="rId136" w:tgtFrame="_blank" w:history="1">
        <w:r w:rsidRPr="00925F26">
          <w:rPr>
            <w:color w:val="000000" w:themeColor="text1"/>
            <w:sz w:val="16"/>
            <w:szCs w:val="16"/>
          </w:rPr>
          <w:t>«YB-49»</w:t>
        </w:r>
        <w:r w:rsidR="00B3672C" w:rsidRPr="00925F26">
          <w:rPr>
            <w:color w:val="000000" w:themeColor="text1"/>
            <w:sz w:val="16"/>
            <w:szCs w:val="16"/>
          </w:rPr>
          <w:t xml:space="preserve"> (22474)</w:t>
        </w:r>
        <w:r w:rsidRPr="00925F26">
          <w:rPr>
            <w:color w:val="000000" w:themeColor="text1"/>
            <w:sz w:val="16"/>
            <w:szCs w:val="16"/>
          </w:rPr>
          <w:t>.</w:t>
        </w:r>
      </w:hyperlink>
    </w:p>
    <w:p w14:paraId="572AD857" w14:textId="77777777" w:rsidR="006F2DF6" w:rsidRPr="00925F26" w:rsidRDefault="006F2DF6" w:rsidP="00925F26">
      <w:pPr>
        <w:jc w:val="both"/>
        <w:rPr>
          <w:color w:val="000000" w:themeColor="text1"/>
          <w:sz w:val="16"/>
          <w:szCs w:val="16"/>
        </w:rPr>
      </w:pPr>
    </w:p>
    <w:p w14:paraId="21BA5E25" w14:textId="77777777" w:rsidR="006F2DF6" w:rsidRPr="00925F26" w:rsidRDefault="006F2DF6" w:rsidP="00925F26">
      <w:pPr>
        <w:jc w:val="both"/>
        <w:rPr>
          <w:color w:val="000000" w:themeColor="text1"/>
          <w:sz w:val="16"/>
          <w:szCs w:val="16"/>
        </w:rPr>
      </w:pPr>
      <w:r w:rsidRPr="00925F26">
        <w:rPr>
          <w:bCs/>
          <w:color w:val="000000" w:themeColor="text1"/>
          <w:sz w:val="16"/>
          <w:szCs w:val="16"/>
        </w:rPr>
        <w:t>1 июня</w:t>
      </w:r>
      <w:r w:rsidRPr="00925F26">
        <w:rPr>
          <w:color w:val="000000" w:themeColor="text1"/>
          <w:sz w:val="16"/>
          <w:szCs w:val="16"/>
        </w:rPr>
        <w:t xml:space="preserve"> в 1945 году Бирнс доложил рекомендации Временного комитета (председатель - военный министр Г.Стимсон, представитель президента — Дж.Бирнс, члены - заместитель морского министра США Ральф А. Бард; помощник государственного секретаря Уильям Л.Клайтон, ученые: В.Буш, К.Комптон и Дж.Конант, генералы Дж.Маршалл и Л.Гровс, специальный консультант военного министра Дж.Гаррисон) президенту Г.Трумену.</w:t>
      </w:r>
    </w:p>
    <w:p w14:paraId="05BA716F" w14:textId="77777777" w:rsidR="006F2DF6" w:rsidRPr="00925F26" w:rsidRDefault="006F2DF6" w:rsidP="00925F26">
      <w:pPr>
        <w:jc w:val="both"/>
        <w:rPr>
          <w:color w:val="000000" w:themeColor="text1"/>
          <w:sz w:val="16"/>
          <w:szCs w:val="16"/>
        </w:rPr>
      </w:pPr>
      <w:r w:rsidRPr="00925F26">
        <w:rPr>
          <w:color w:val="000000" w:themeColor="text1"/>
          <w:sz w:val="16"/>
          <w:szCs w:val="16"/>
        </w:rPr>
        <w:t>1. Атомная бомба должна быть применена против Японии как можно скорее.</w:t>
      </w:r>
    </w:p>
    <w:p w14:paraId="5C9E6772" w14:textId="77777777" w:rsidR="006F2DF6" w:rsidRPr="00925F26" w:rsidRDefault="006F2DF6" w:rsidP="00925F26">
      <w:pPr>
        <w:jc w:val="both"/>
        <w:rPr>
          <w:color w:val="000000" w:themeColor="text1"/>
          <w:sz w:val="16"/>
          <w:szCs w:val="16"/>
        </w:rPr>
      </w:pPr>
      <w:r w:rsidRPr="00925F26">
        <w:rPr>
          <w:color w:val="000000" w:themeColor="text1"/>
          <w:sz w:val="16"/>
          <w:szCs w:val="16"/>
        </w:rPr>
        <w:t>2. Бомбу следует применить против военного объекта, находящегося в окружении других сооружений.</w:t>
      </w:r>
    </w:p>
    <w:p w14:paraId="43F35C20" w14:textId="77777777" w:rsidR="006F2DF6" w:rsidRPr="00925F26" w:rsidRDefault="006F2DF6" w:rsidP="00925F26">
      <w:pPr>
        <w:jc w:val="both"/>
        <w:rPr>
          <w:color w:val="000000" w:themeColor="text1"/>
          <w:sz w:val="16"/>
          <w:szCs w:val="16"/>
        </w:rPr>
      </w:pPr>
      <w:r w:rsidRPr="00925F26">
        <w:rPr>
          <w:color w:val="000000" w:themeColor="text1"/>
          <w:sz w:val="16"/>
          <w:szCs w:val="16"/>
        </w:rPr>
        <w:t>3. Бомбу следует сбросить без предварительного предупреждения о ее свойствах и характере.</w:t>
      </w:r>
    </w:p>
    <w:p w14:paraId="6A221E0D" w14:textId="77777777" w:rsidR="006F2DF6" w:rsidRPr="00925F26" w:rsidRDefault="006F2DF6" w:rsidP="00925F26">
      <w:pPr>
        <w:jc w:val="both"/>
        <w:rPr>
          <w:color w:val="000000" w:themeColor="text1"/>
          <w:sz w:val="16"/>
          <w:szCs w:val="16"/>
        </w:rPr>
      </w:pPr>
      <w:r w:rsidRPr="00925F26">
        <w:rPr>
          <w:color w:val="000000" w:themeColor="text1"/>
          <w:sz w:val="16"/>
          <w:szCs w:val="16"/>
        </w:rPr>
        <w:t>Президент в тот же день утвердил данные рекомендации (14909).</w:t>
      </w:r>
    </w:p>
    <w:p w14:paraId="39E7BE2D" w14:textId="77777777" w:rsidR="006F2DF6" w:rsidRPr="00925F26" w:rsidRDefault="006F2DF6" w:rsidP="00925F26">
      <w:pPr>
        <w:jc w:val="both"/>
        <w:rPr>
          <w:color w:val="000000" w:themeColor="text1"/>
          <w:sz w:val="16"/>
          <w:szCs w:val="16"/>
        </w:rPr>
      </w:pPr>
    </w:p>
    <w:p w14:paraId="0A779BF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июня 1945 индонезийский лидер Сукарно выдвинул свои “Пять принципов”, положенных в основу государственной идеологии современной Индонезии (4962).</w:t>
      </w:r>
    </w:p>
    <w:p w14:paraId="29A62CF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718C7D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CB76C75" w14:textId="77777777" w:rsidR="006103B3" w:rsidRPr="00925F26" w:rsidRDefault="006103B3" w:rsidP="00925F26">
      <w:pPr>
        <w:autoSpaceDE w:val="0"/>
        <w:autoSpaceDN w:val="0"/>
        <w:adjustRightInd w:val="0"/>
        <w:jc w:val="both"/>
        <w:rPr>
          <w:iCs/>
          <w:color w:val="000000" w:themeColor="text1"/>
          <w:sz w:val="16"/>
          <w:szCs w:val="16"/>
        </w:rPr>
      </w:pPr>
    </w:p>
    <w:p w14:paraId="63C886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июня 1945 В.М.Мясищев писал А.И.Шахурину:</w:t>
      </w:r>
    </w:p>
    <w:p w14:paraId="1EE8D0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"Учитывая неоднократно высказанное командованием ВВС Красной Армии пожелание в отношении посадки штурмана впереди летчика для улучшения обзора при прицельном бомбометании и навигационной работе, а также для освобождения его от работы в качестве стрелка, нами разработана для бомбардировщика с моторами ВК-108 новая передняя кабина.</w:t>
      </w:r>
    </w:p>
    <w:p w14:paraId="6489F6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Размещение штурмана впереди летчика дало возможность решить весьма существенный вопрос о замене перископического прицела, применяемого на всех наших бомбардировщиках, современными коллиматорными, значительно улучшающими видимость при бомбометании ночью и в тумане.</w:t>
      </w:r>
    </w:p>
    <w:p w14:paraId="1BBAB3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новой кабине размещается 3 члена экипажа, рабочее место штурмана находится в носу кабины, а при взлете и посадке штурман может переходить в заднюю часть кабины, где у него имеется дополнительное сидение около стрелка верхней задней установки.</w:t>
      </w:r>
    </w:p>
    <w:p w14:paraId="648AD2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Экипаж самолета составит, таким образом, 4 человека, включая стрелка задних установок.</w:t>
      </w:r>
    </w:p>
    <w:p w14:paraId="3CC11B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 предварительном осмотре работниками ГК НИИ ВВС выполненного нами макета новой кабины, ими высказаны пожелания скорейшего осуществления ее на одном из типов наших бомбардировщиков.</w:t>
      </w:r>
    </w:p>
    <w:p w14:paraId="57564E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Самолет ДБ-ВК-108 при установке на нем новой передней кабины &lt;...&gt; по максимальной скорости, бомбовой нагрузке, мощи оружия защиты при хорошем размещении экипажа &lt;...&gt; будет иметь крупные преимущества по сравнению со всеми двухмоторными бомбардировщиками.</w:t>
      </w:r>
    </w:p>
    <w:p w14:paraId="250838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варианте дальнего бомбардировщика, при замене лишь отъемных частей крыла, дальность полета может быть увеличена на 700 км, при одновременном сокращении длины разбега на 50 м и повышении потолка на 500 м. Максимальная скорость уменьшится.</w:t>
      </w:r>
    </w:p>
    <w:p w14:paraId="4776BD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Полагаю, что оснащение наших ВВС КА такими бомбардировщиками должно представить большой интерес.</w:t>
      </w:r>
    </w:p>
    <w:p w14:paraId="314718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Исходя из этого, прошу Вашего согласия на:</w:t>
      </w:r>
    </w:p>
    <w:p w14:paraId="0F7E99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Предъявление Государственной макетной комиссии макета новой кабины.</w:t>
      </w:r>
    </w:p>
    <w:p w14:paraId="06C080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Изготовление на заводе № 482 такой кабины и установку ее на 2-м экземпляре самолета ДБ-ВК-108, после прохождения государственных испытаний.</w:t>
      </w:r>
    </w:p>
    <w:p w14:paraId="220C816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Постройку второго экземпляра такого же самолета, в связи с отсутствием дублера.</w:t>
      </w:r>
    </w:p>
    <w:p w14:paraId="54CC82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Размещение в ОКБ-140 заказа на постройку двух электрифицированных стрелковых установок "ВЭУ-2" и двух люковых стрелковых установок НЭУ-1.</w:t>
      </w:r>
    </w:p>
    <w:p w14:paraId="44C9FD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Дальнейшее развитие этого бомбардировщика может идти по следующим направлениям:</w:t>
      </w:r>
    </w:p>
    <w:p w14:paraId="140D00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Установка форсированных моторов ВК-108Ф со взлетной мощностью 2100 л.с., улучшающих разбег и максимальную скорость.</w:t>
      </w:r>
    </w:p>
    <w:p w14:paraId="51E9E1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Установка моторов ВК-109 с одновременной заменой обычных кабин на герметические, по типу кабины самолета ВБ-ВК-109, заканчивающегося постройкой на заводе № 482.</w:t>
      </w:r>
    </w:p>
    <w:p w14:paraId="146BEF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На самолете хорошо устанавливаются реактивные ускорители, обеспечивающие улучшение разбега в перегрузочном весе и резкое приращение скорости на короткий промежуток времени." (3337).</w:t>
      </w:r>
    </w:p>
    <w:p w14:paraId="0BD15AFA" w14:textId="77777777" w:rsidR="006103B3" w:rsidRPr="00925F26" w:rsidRDefault="006103B3" w:rsidP="00925F26">
      <w:pPr>
        <w:autoSpaceDE w:val="0"/>
        <w:autoSpaceDN w:val="0"/>
        <w:adjustRightInd w:val="0"/>
        <w:jc w:val="both"/>
        <w:rPr>
          <w:color w:val="000000" w:themeColor="text1"/>
          <w:sz w:val="16"/>
          <w:szCs w:val="16"/>
        </w:rPr>
      </w:pPr>
    </w:p>
    <w:p w14:paraId="799BD4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июня 1945 Мясищев пи</w:t>
      </w:r>
      <w:r w:rsidRPr="00925F26">
        <w:rPr>
          <w:color w:val="000000" w:themeColor="text1"/>
          <w:sz w:val="16"/>
          <w:szCs w:val="16"/>
        </w:rPr>
        <w:softHyphen/>
        <w:t>сал Шахурину:</w:t>
      </w:r>
    </w:p>
    <w:p w14:paraId="6A25CF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«Учитывая неоднократно высказанное командованием ВВС Красной Армии пожелание в отношении посадки штурмана впереди летчика для улучшения обзора при прицельном бомбометании и навигационной работе, а также для освобождения его от работы в качестве стрел</w:t>
      </w:r>
      <w:r w:rsidRPr="00925F26">
        <w:rPr>
          <w:color w:val="000000" w:themeColor="text1"/>
          <w:sz w:val="16"/>
          <w:szCs w:val="16"/>
        </w:rPr>
        <w:softHyphen/>
        <w:t>ка, нами разработана для бомбардировщика с моторами ВК-108 новая передняя кабина.</w:t>
      </w:r>
    </w:p>
    <w:p w14:paraId="47918A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Размещение штурмана впереди летчика дало возмож</w:t>
      </w:r>
      <w:r w:rsidRPr="00925F26">
        <w:rPr>
          <w:color w:val="000000" w:themeColor="text1"/>
          <w:sz w:val="16"/>
          <w:szCs w:val="16"/>
        </w:rPr>
        <w:softHyphen/>
        <w:t>ность решить весьма существенный вопрос о замене пе</w:t>
      </w:r>
      <w:r w:rsidRPr="00925F26">
        <w:rPr>
          <w:color w:val="000000" w:themeColor="text1"/>
          <w:sz w:val="16"/>
          <w:szCs w:val="16"/>
        </w:rPr>
        <w:softHyphen/>
        <w:t>рископического прицела, применяемого на всех наших бомбардировщиках, современными коллиматорными, значительно улучшающими видимость при бомбометании ночью и в тумане.</w:t>
      </w:r>
    </w:p>
    <w:p w14:paraId="357CA2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новой кабине размещается 3 члена экипажа, рабо</w:t>
      </w:r>
      <w:r w:rsidRPr="00925F26">
        <w:rPr>
          <w:color w:val="000000" w:themeColor="text1"/>
          <w:sz w:val="16"/>
          <w:szCs w:val="16"/>
        </w:rPr>
        <w:softHyphen/>
        <w:t>чее место штурмана находится в носу кабины, а при взле</w:t>
      </w:r>
      <w:r w:rsidRPr="00925F26">
        <w:rPr>
          <w:color w:val="000000" w:themeColor="text1"/>
          <w:sz w:val="16"/>
          <w:szCs w:val="16"/>
        </w:rPr>
        <w:softHyphen/>
        <w:t>те и посадке штурман может переходить в заднюю часть кабины, где у него имеется дополнительное сиденье око</w:t>
      </w:r>
      <w:r w:rsidRPr="00925F26">
        <w:rPr>
          <w:color w:val="000000" w:themeColor="text1"/>
          <w:sz w:val="16"/>
          <w:szCs w:val="16"/>
        </w:rPr>
        <w:softHyphen/>
        <w:t>ло стрелка верхней задней установки.</w:t>
      </w:r>
    </w:p>
    <w:p w14:paraId="098073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Экипаж самолета составит, таким образом, 4 челове</w:t>
      </w:r>
      <w:r w:rsidRPr="00925F26">
        <w:rPr>
          <w:color w:val="000000" w:themeColor="text1"/>
          <w:sz w:val="16"/>
          <w:szCs w:val="16"/>
        </w:rPr>
        <w:softHyphen/>
        <w:t>ка, включая стрелка задних установок.</w:t>
      </w:r>
    </w:p>
    <w:p w14:paraId="1FD88A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предварительном осмотре работниками ГК НИИ ВВС выполненного нами макета новой кабины, ими вы</w:t>
      </w:r>
      <w:r w:rsidRPr="00925F26">
        <w:rPr>
          <w:color w:val="000000" w:themeColor="text1"/>
          <w:sz w:val="16"/>
          <w:szCs w:val="16"/>
        </w:rPr>
        <w:softHyphen/>
        <w:t>сказаны пожелания скорейшего осуществления ее на од</w:t>
      </w:r>
      <w:r w:rsidRPr="00925F26">
        <w:rPr>
          <w:color w:val="000000" w:themeColor="text1"/>
          <w:sz w:val="16"/>
          <w:szCs w:val="16"/>
        </w:rPr>
        <w:softHyphen/>
        <w:t>ном из типов наших бомбардировщиков.</w:t>
      </w:r>
    </w:p>
    <w:p w14:paraId="515052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Самолет ДБ-ВК-108 при установке на нем новой пе</w:t>
      </w:r>
      <w:r w:rsidRPr="00925F26">
        <w:rPr>
          <w:color w:val="000000" w:themeColor="text1"/>
          <w:sz w:val="16"/>
          <w:szCs w:val="16"/>
        </w:rPr>
        <w:softHyphen/>
        <w:t>редней кабины &lt;...&gt; по максимальной скорости, бомбо</w:t>
      </w:r>
      <w:r w:rsidRPr="00925F26">
        <w:rPr>
          <w:color w:val="000000" w:themeColor="text1"/>
          <w:sz w:val="16"/>
          <w:szCs w:val="16"/>
        </w:rPr>
        <w:softHyphen/>
        <w:t>вой нагрузке, мощи оружия защиты при хорошем разме</w:t>
      </w:r>
      <w:r w:rsidRPr="00925F26">
        <w:rPr>
          <w:color w:val="000000" w:themeColor="text1"/>
          <w:sz w:val="16"/>
          <w:szCs w:val="16"/>
        </w:rPr>
        <w:softHyphen/>
        <w:t>щении экипажа &lt;...&gt; будет иметь крупные преимущества по сравнению со всеми двухмоторными бомбардировщи</w:t>
      </w:r>
      <w:r w:rsidRPr="00925F26">
        <w:rPr>
          <w:color w:val="000000" w:themeColor="text1"/>
          <w:sz w:val="16"/>
          <w:szCs w:val="16"/>
        </w:rPr>
        <w:softHyphen/>
        <w:t>ками.</w:t>
      </w:r>
    </w:p>
    <w:p w14:paraId="116E55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варианте дальнего бомбардировщика, при замене лишь отъемных частей крыла, дальность полета может быть увеличена на 700 км, при одновременном сокраще</w:t>
      </w:r>
      <w:r w:rsidRPr="00925F26">
        <w:rPr>
          <w:color w:val="000000" w:themeColor="text1"/>
          <w:sz w:val="16"/>
          <w:szCs w:val="16"/>
        </w:rPr>
        <w:softHyphen/>
        <w:t>нии длины разбега на 50м и повышении потолка на 500 м. Максимальная скорость уменьшится на 10—12 км/ч.</w:t>
      </w:r>
    </w:p>
    <w:p w14:paraId="50E358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Полагаю, что оснащение наших ВВС КА такими бом</w:t>
      </w:r>
      <w:r w:rsidRPr="00925F26">
        <w:rPr>
          <w:color w:val="000000" w:themeColor="text1"/>
          <w:sz w:val="16"/>
          <w:szCs w:val="16"/>
        </w:rPr>
        <w:softHyphen/>
        <w:t>бардировщиками должно представить большой интерес.</w:t>
      </w:r>
    </w:p>
    <w:p w14:paraId="3CC3A2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Исходя из этого, прошу Вашего согласия на:</w:t>
      </w:r>
    </w:p>
    <w:p w14:paraId="384CCA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Предъявление Государственной макетной комис</w:t>
      </w:r>
      <w:r w:rsidRPr="00925F26">
        <w:rPr>
          <w:color w:val="000000" w:themeColor="text1"/>
          <w:sz w:val="16"/>
          <w:szCs w:val="16"/>
        </w:rPr>
        <w:softHyphen/>
        <w:t>сии макета новой кабины.</w:t>
      </w:r>
    </w:p>
    <w:p w14:paraId="74F37B3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Изготовление на заводе № 482 такой кабины и уста</w:t>
      </w:r>
      <w:r w:rsidRPr="00925F26">
        <w:rPr>
          <w:color w:val="000000" w:themeColor="text1"/>
          <w:sz w:val="16"/>
          <w:szCs w:val="16"/>
        </w:rPr>
        <w:softHyphen/>
        <w:t>новку ее на 2-м экземпляре самолета ДБ-ВК-108, после прохождения государственных испытаний.</w:t>
      </w:r>
    </w:p>
    <w:p w14:paraId="3BCB4A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Постройку второго экземпляра такого же самолета, в связи с отсутствием дублера.</w:t>
      </w:r>
    </w:p>
    <w:p w14:paraId="00E655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Размещение в ОКБ-140 заказа на постройку двух электрифицированных стрелковых установок ВЭУ-2 и двух люковых стрелковых установок НЭУ-1.</w:t>
      </w:r>
    </w:p>
    <w:p w14:paraId="1F6942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Дальнейшее развитие этого бомбардировщика может идти по следующим направлениям:</w:t>
      </w:r>
    </w:p>
    <w:p w14:paraId="24187A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Установка форсированных моторов ВК-108Ф со взлетной мощностью 2100 л.с., улучшающих разбег и мак</w:t>
      </w:r>
      <w:r w:rsidRPr="00925F26">
        <w:rPr>
          <w:color w:val="000000" w:themeColor="text1"/>
          <w:sz w:val="16"/>
          <w:szCs w:val="16"/>
        </w:rPr>
        <w:softHyphen/>
        <w:t>симальную скорость.</w:t>
      </w:r>
    </w:p>
    <w:p w14:paraId="5A2D685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Установка моторов ВК-109 с одновременной заме</w:t>
      </w:r>
      <w:r w:rsidRPr="00925F26">
        <w:rPr>
          <w:color w:val="000000" w:themeColor="text1"/>
          <w:sz w:val="16"/>
          <w:szCs w:val="16"/>
        </w:rPr>
        <w:softHyphen/>
        <w:t>ной обычных кабин на герметические, по типу кабины са</w:t>
      </w:r>
      <w:r w:rsidRPr="00925F26">
        <w:rPr>
          <w:color w:val="000000" w:themeColor="text1"/>
          <w:sz w:val="16"/>
          <w:szCs w:val="16"/>
        </w:rPr>
        <w:softHyphen/>
        <w:t>молета ВБ-ВК-109, заканчивающегося постройкой на за</w:t>
      </w:r>
      <w:r w:rsidRPr="00925F26">
        <w:rPr>
          <w:color w:val="000000" w:themeColor="text1"/>
          <w:sz w:val="16"/>
          <w:szCs w:val="16"/>
        </w:rPr>
        <w:softHyphen/>
        <w:t>воде № 482.</w:t>
      </w:r>
    </w:p>
    <w:p w14:paraId="1B0835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На самолете хорошо устанавливаются реактивные ускорители, обеспечивающие улучшение разбега в пере</w:t>
      </w:r>
      <w:r w:rsidRPr="00925F26">
        <w:rPr>
          <w:color w:val="000000" w:themeColor="text1"/>
          <w:sz w:val="16"/>
          <w:szCs w:val="16"/>
        </w:rPr>
        <w:softHyphen/>
        <w:t>грузочном весе и резкое приращение скорости на корот</w:t>
      </w:r>
      <w:r w:rsidRPr="00925F26">
        <w:rPr>
          <w:color w:val="000000" w:themeColor="text1"/>
          <w:sz w:val="16"/>
          <w:szCs w:val="16"/>
        </w:rPr>
        <w:softHyphen/>
        <w:t>кий промежуток времени» (11446).</w:t>
      </w:r>
    </w:p>
    <w:p w14:paraId="24E6E2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88D03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июня 1945 вышел приказ:</w:t>
      </w:r>
    </w:p>
    <w:p w14:paraId="64BDB1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12 мая 1945 года во время опытного высотного полета самолета со спецдвигателем на высоте 7000 метров при включении спецдвигателя произошел взрыв, разрушивший двигатель и повредивший хвостовое оперение самолета. Особо отмечаю четкую и умелую работу экипажа самолета во время аварии, блестяще справившегося со своей задачей в сложной обстановке и благополучно посадившего машину на аэродроме. В связи с этим объявляю благодарность экипажу самолета: </w:t>
      </w:r>
    </w:p>
    <w:p w14:paraId="5C47A62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летчику-испытателю капитану Васильченко А.Г.</w:t>
      </w:r>
    </w:p>
    <w:p w14:paraId="43BEBF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инженеру-экспериментатору Королеву С.П.</w:t>
      </w:r>
    </w:p>
    <w:p w14:paraId="07C933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бортмеханику Харламову С.Ф.</w:t>
      </w:r>
    </w:p>
    <w:p w14:paraId="4CD1B2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Главный конструктор ОКБ В. Глушко" (10676).</w:t>
      </w:r>
    </w:p>
    <w:p w14:paraId="23C7E21D" w14:textId="77777777" w:rsidR="006103B3" w:rsidRPr="00925F26" w:rsidRDefault="006103B3" w:rsidP="00925F26">
      <w:pPr>
        <w:autoSpaceDE w:val="0"/>
        <w:autoSpaceDN w:val="0"/>
        <w:adjustRightInd w:val="0"/>
        <w:jc w:val="both"/>
        <w:rPr>
          <w:color w:val="000000" w:themeColor="text1"/>
          <w:sz w:val="16"/>
          <w:szCs w:val="16"/>
        </w:rPr>
      </w:pPr>
    </w:p>
    <w:p w14:paraId="463A48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 июня 1945 был подписан:</w:t>
      </w:r>
    </w:p>
    <w:p w14:paraId="4509B6A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20AFF3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Акт №77 по результатам государственных испытаний трофейного самолета МЕ-410-В2 с двумя моторами ДБ-603А и винтами VДМ от 2.06.45 г. с утверждением п.п. командующего ВВС Красной Армии главного маршала авиации Новикова и капитана АТС Коломинова (8995).</w:t>
      </w:r>
    </w:p>
    <w:p w14:paraId="1918FFF3" w14:textId="77777777" w:rsidR="006103B3" w:rsidRPr="00925F26" w:rsidRDefault="006103B3" w:rsidP="00925F26">
      <w:pPr>
        <w:autoSpaceDE w:val="0"/>
        <w:autoSpaceDN w:val="0"/>
        <w:adjustRightInd w:val="0"/>
        <w:jc w:val="both"/>
        <w:rPr>
          <w:color w:val="000000" w:themeColor="text1"/>
          <w:sz w:val="16"/>
          <w:szCs w:val="16"/>
        </w:rPr>
      </w:pPr>
    </w:p>
    <w:p w14:paraId="44E0625A" w14:textId="77777777" w:rsidR="005450C0" w:rsidRPr="00925F26" w:rsidRDefault="005450C0" w:rsidP="00925F26">
      <w:pPr>
        <w:jc w:val="both"/>
        <w:rPr>
          <w:color w:val="000000" w:themeColor="text1"/>
          <w:sz w:val="16"/>
          <w:szCs w:val="16"/>
        </w:rPr>
      </w:pPr>
      <w:r w:rsidRPr="00925F26">
        <w:rPr>
          <w:color w:val="000000" w:themeColor="text1"/>
          <w:sz w:val="16"/>
          <w:szCs w:val="16"/>
        </w:rPr>
        <w:t>2 июня 1945 г.  Докладная записка директора завода № 16 М. М. Лукина народному комиссару авиационной промышленности СССР А. И. Шахурину о работе на заводе специалистов 4-го спецотдела НКВД СССР</w:t>
      </w:r>
    </w:p>
    <w:p w14:paraId="6F29EAFD" w14:textId="77777777" w:rsidR="005450C0" w:rsidRPr="00925F26" w:rsidRDefault="005450C0" w:rsidP="00925F26">
      <w:pPr>
        <w:jc w:val="both"/>
        <w:rPr>
          <w:color w:val="000000" w:themeColor="text1"/>
          <w:sz w:val="16"/>
          <w:szCs w:val="16"/>
        </w:rPr>
      </w:pPr>
      <w:r w:rsidRPr="00925F26">
        <w:rPr>
          <w:color w:val="000000" w:themeColor="text1"/>
          <w:sz w:val="16"/>
          <w:szCs w:val="16"/>
        </w:rPr>
        <w:t>С 1941 г. руководство 4-го спецотдела НКВД СССР оказывало заводу № 16 непосредственную помощь в разрешении задач, поставленных перед заводом в период Отечественной войны.</w:t>
      </w:r>
    </w:p>
    <w:p w14:paraId="3628D303" w14:textId="77777777" w:rsidR="005450C0" w:rsidRPr="00925F26" w:rsidRDefault="005450C0" w:rsidP="00925F26">
      <w:pPr>
        <w:jc w:val="both"/>
        <w:rPr>
          <w:color w:val="000000" w:themeColor="text1"/>
          <w:sz w:val="16"/>
          <w:szCs w:val="16"/>
        </w:rPr>
      </w:pPr>
      <w:r w:rsidRPr="00925F26">
        <w:rPr>
          <w:color w:val="000000" w:themeColor="text1"/>
          <w:sz w:val="16"/>
          <w:szCs w:val="16"/>
        </w:rPr>
        <w:t>Группа квалифицированных специалистов 4-го спецотдела была расставлена на сложные участки серийного производства и опытно-экспериментальных работ.</w:t>
      </w:r>
    </w:p>
    <w:p w14:paraId="5733F188" w14:textId="77777777" w:rsidR="005450C0" w:rsidRPr="00925F26" w:rsidRDefault="005450C0" w:rsidP="00925F26">
      <w:pPr>
        <w:jc w:val="both"/>
        <w:rPr>
          <w:color w:val="000000" w:themeColor="text1"/>
          <w:sz w:val="16"/>
          <w:szCs w:val="16"/>
        </w:rPr>
      </w:pPr>
      <w:r w:rsidRPr="00925F26">
        <w:rPr>
          <w:color w:val="000000" w:themeColor="text1"/>
          <w:sz w:val="16"/>
          <w:szCs w:val="16"/>
        </w:rPr>
        <w:t>Своей добросовестной работой специалисты помогали коллективу завода успешно выполнять задания правительства.</w:t>
      </w:r>
    </w:p>
    <w:p w14:paraId="7EC5C745" w14:textId="77777777" w:rsidR="005450C0" w:rsidRPr="00925F26" w:rsidRDefault="005450C0" w:rsidP="00925F26">
      <w:pPr>
        <w:jc w:val="both"/>
        <w:rPr>
          <w:color w:val="000000" w:themeColor="text1"/>
          <w:sz w:val="16"/>
          <w:szCs w:val="16"/>
        </w:rPr>
      </w:pPr>
      <w:r w:rsidRPr="00925F26">
        <w:rPr>
          <w:color w:val="000000" w:themeColor="text1"/>
          <w:sz w:val="16"/>
          <w:szCs w:val="16"/>
        </w:rPr>
        <w:t>В области серийного производства с их участием проводилась организация поточного производства с совершенствованием технологического процесса, механизация и модернизация оборудования, и их оперативная деятельность в цехах и отделах завода способствовала выполнению заводом производственной программы.</w:t>
      </w:r>
    </w:p>
    <w:p w14:paraId="047A8C3E" w14:textId="77777777" w:rsidR="005450C0" w:rsidRPr="00925F26" w:rsidRDefault="005450C0" w:rsidP="00925F26">
      <w:pPr>
        <w:jc w:val="both"/>
        <w:rPr>
          <w:color w:val="000000" w:themeColor="text1"/>
          <w:sz w:val="16"/>
          <w:szCs w:val="16"/>
        </w:rPr>
      </w:pPr>
      <w:r w:rsidRPr="00925F26">
        <w:rPr>
          <w:color w:val="000000" w:themeColor="text1"/>
          <w:sz w:val="16"/>
          <w:szCs w:val="16"/>
        </w:rPr>
        <w:t>В области опытно-экспериментальных работ специалисты успешно работали по созданию:</w:t>
      </w:r>
    </w:p>
    <w:p w14:paraId="6C62E8D5" w14:textId="77777777" w:rsidR="005450C0" w:rsidRPr="00925F26" w:rsidRDefault="005450C0" w:rsidP="00925F26">
      <w:pPr>
        <w:jc w:val="both"/>
        <w:rPr>
          <w:color w:val="000000" w:themeColor="text1"/>
          <w:sz w:val="16"/>
          <w:szCs w:val="16"/>
        </w:rPr>
      </w:pPr>
      <w:r w:rsidRPr="00925F26">
        <w:rPr>
          <w:color w:val="000000" w:themeColor="text1"/>
          <w:sz w:val="16"/>
          <w:szCs w:val="16"/>
        </w:rPr>
        <w:t>а) Мощного двухвального авиационного мотора.</w:t>
      </w:r>
    </w:p>
    <w:p w14:paraId="298B2A11" w14:textId="77777777" w:rsidR="005450C0" w:rsidRPr="00925F26" w:rsidRDefault="005450C0" w:rsidP="00925F26">
      <w:pPr>
        <w:jc w:val="both"/>
        <w:rPr>
          <w:color w:val="000000" w:themeColor="text1"/>
          <w:sz w:val="16"/>
          <w:szCs w:val="16"/>
        </w:rPr>
      </w:pPr>
      <w:r w:rsidRPr="00925F26">
        <w:rPr>
          <w:color w:val="000000" w:themeColor="text1"/>
          <w:sz w:val="16"/>
          <w:szCs w:val="16"/>
        </w:rPr>
        <w:t>Мотор в первом варианте прошел совместные испытания и</w:t>
      </w:r>
    </w:p>
    <w:p w14:paraId="5AD99D39" w14:textId="77777777" w:rsidR="005450C0" w:rsidRPr="00925F26" w:rsidRDefault="005450C0" w:rsidP="00925F26">
      <w:pPr>
        <w:jc w:val="both"/>
        <w:rPr>
          <w:color w:val="000000" w:themeColor="text1"/>
          <w:sz w:val="16"/>
          <w:szCs w:val="16"/>
        </w:rPr>
      </w:pPr>
      <w:r w:rsidRPr="00925F26">
        <w:rPr>
          <w:color w:val="000000" w:themeColor="text1"/>
          <w:sz w:val="16"/>
          <w:szCs w:val="16"/>
        </w:rPr>
        <w:t>летные испытания на самолете ЕР-2 в 1945 г., мотор форсируется до номинальной мощности 3600 л. с.</w:t>
      </w:r>
    </w:p>
    <w:p w14:paraId="697185BF" w14:textId="77777777" w:rsidR="005450C0" w:rsidRPr="00925F26" w:rsidRDefault="005450C0" w:rsidP="00925F26">
      <w:pPr>
        <w:jc w:val="both"/>
        <w:rPr>
          <w:color w:val="000000" w:themeColor="text1"/>
          <w:sz w:val="16"/>
          <w:szCs w:val="16"/>
        </w:rPr>
      </w:pPr>
      <w:r w:rsidRPr="00925F26">
        <w:rPr>
          <w:color w:val="000000" w:themeColor="text1"/>
          <w:sz w:val="16"/>
          <w:szCs w:val="16"/>
        </w:rPr>
        <w:t>б) Форкамерного зажигания мотора.</w:t>
      </w:r>
    </w:p>
    <w:p w14:paraId="4324DBC2" w14:textId="77777777" w:rsidR="005450C0" w:rsidRPr="00925F26" w:rsidRDefault="005450C0" w:rsidP="00925F26">
      <w:pPr>
        <w:jc w:val="both"/>
        <w:rPr>
          <w:color w:val="000000" w:themeColor="text1"/>
          <w:sz w:val="16"/>
          <w:szCs w:val="16"/>
        </w:rPr>
      </w:pPr>
      <w:r w:rsidRPr="00925F26">
        <w:rPr>
          <w:color w:val="000000" w:themeColor="text1"/>
          <w:sz w:val="16"/>
          <w:szCs w:val="16"/>
        </w:rPr>
        <w:t>На моторе ВК-105ПФ форкамерным зажиганием отработана конструкция форкамеры и процесс зажигания, дающий значительный экономический эффект как по снижению расхода топлива, так и по снижению октанового числа.</w:t>
      </w:r>
    </w:p>
    <w:p w14:paraId="780F867A" w14:textId="77777777" w:rsidR="005450C0" w:rsidRPr="00925F26" w:rsidRDefault="005450C0" w:rsidP="00925F26">
      <w:pPr>
        <w:jc w:val="both"/>
        <w:rPr>
          <w:color w:val="000000" w:themeColor="text1"/>
          <w:sz w:val="16"/>
          <w:szCs w:val="16"/>
        </w:rPr>
      </w:pPr>
      <w:r w:rsidRPr="00925F26">
        <w:rPr>
          <w:color w:val="000000" w:themeColor="text1"/>
          <w:sz w:val="16"/>
          <w:szCs w:val="16"/>
        </w:rPr>
        <w:t>в) Форсирование серийного мотора по высоте на 2 километра.</w:t>
      </w:r>
    </w:p>
    <w:p w14:paraId="06A6F0D5" w14:textId="77777777" w:rsidR="005450C0" w:rsidRPr="00925F26" w:rsidRDefault="005450C0" w:rsidP="00925F26">
      <w:pPr>
        <w:jc w:val="both"/>
        <w:rPr>
          <w:color w:val="000000" w:themeColor="text1"/>
          <w:sz w:val="16"/>
          <w:szCs w:val="16"/>
        </w:rPr>
      </w:pPr>
      <w:r w:rsidRPr="00925F26">
        <w:rPr>
          <w:color w:val="000000" w:themeColor="text1"/>
          <w:sz w:val="16"/>
          <w:szCs w:val="16"/>
        </w:rPr>
        <w:t>Мотор ВК-105ПФ прошел удовлетворительные летные испытания на самолете Пе-2 и Як-3, дав прирост скорости 30-40 км/час.</w:t>
      </w:r>
    </w:p>
    <w:p w14:paraId="4D71CE41" w14:textId="77777777" w:rsidR="005450C0" w:rsidRPr="00925F26" w:rsidRDefault="005450C0" w:rsidP="00925F26">
      <w:pPr>
        <w:jc w:val="both"/>
        <w:rPr>
          <w:color w:val="000000" w:themeColor="text1"/>
          <w:sz w:val="16"/>
          <w:szCs w:val="16"/>
        </w:rPr>
      </w:pPr>
      <w:r w:rsidRPr="00925F26">
        <w:rPr>
          <w:color w:val="000000" w:themeColor="text1"/>
          <w:sz w:val="16"/>
          <w:szCs w:val="16"/>
        </w:rPr>
        <w:t>г) Перевод мотора ВК-105ПФ на низкооктановое топливо с впрыском воды.</w:t>
      </w:r>
    </w:p>
    <w:p w14:paraId="22027A44" w14:textId="77777777" w:rsidR="005450C0" w:rsidRPr="00925F26" w:rsidRDefault="005450C0" w:rsidP="00925F26">
      <w:pPr>
        <w:jc w:val="both"/>
        <w:rPr>
          <w:color w:val="000000" w:themeColor="text1"/>
          <w:sz w:val="16"/>
          <w:szCs w:val="16"/>
        </w:rPr>
      </w:pPr>
      <w:r w:rsidRPr="00925F26">
        <w:rPr>
          <w:color w:val="000000" w:themeColor="text1"/>
          <w:sz w:val="16"/>
          <w:szCs w:val="16"/>
        </w:rPr>
        <w:t>Отработана аппаратура впрыска, и завод в течение 1944-1945 гг. получил уже значительную экономию высокооктанового топлива, благодаря переводу заводских и контрольных испытаний мотора с впрыском воды.</w:t>
      </w:r>
    </w:p>
    <w:p w14:paraId="541956B2" w14:textId="77777777" w:rsidR="005450C0" w:rsidRPr="00925F26" w:rsidRDefault="005450C0" w:rsidP="00925F26">
      <w:pPr>
        <w:jc w:val="both"/>
        <w:rPr>
          <w:color w:val="000000" w:themeColor="text1"/>
          <w:sz w:val="16"/>
          <w:szCs w:val="16"/>
        </w:rPr>
      </w:pPr>
      <w:r w:rsidRPr="00925F26">
        <w:rPr>
          <w:color w:val="000000" w:themeColor="text1"/>
          <w:sz w:val="16"/>
          <w:szCs w:val="16"/>
        </w:rPr>
        <w:t>Перед заводом поставлена ответственная задача — освоение воздушного реактивного двигателя, для решения которой потребуется активное участие специалистов 4-го спецотдела.</w:t>
      </w:r>
    </w:p>
    <w:p w14:paraId="6B1FDC41" w14:textId="77777777" w:rsidR="005450C0" w:rsidRPr="00925F26" w:rsidRDefault="005450C0" w:rsidP="00925F26">
      <w:pPr>
        <w:jc w:val="both"/>
        <w:rPr>
          <w:color w:val="000000" w:themeColor="text1"/>
          <w:sz w:val="16"/>
          <w:szCs w:val="16"/>
        </w:rPr>
      </w:pPr>
      <w:r w:rsidRPr="00925F26">
        <w:rPr>
          <w:color w:val="000000" w:themeColor="text1"/>
          <w:sz w:val="16"/>
          <w:szCs w:val="16"/>
        </w:rPr>
        <w:t>Группа специалистов, принимавшая активное участие в работе завода в период Отечественной войны, продолжает работать на ответственных участках завода:</w:t>
      </w:r>
    </w:p>
    <w:p w14:paraId="4051918A" w14:textId="77777777" w:rsidR="005450C0" w:rsidRPr="00925F26" w:rsidRDefault="005450C0" w:rsidP="00925F26">
      <w:pPr>
        <w:jc w:val="both"/>
        <w:rPr>
          <w:color w:val="000000" w:themeColor="text1"/>
          <w:sz w:val="16"/>
          <w:szCs w:val="16"/>
        </w:rPr>
      </w:pPr>
      <w:r w:rsidRPr="00925F26">
        <w:rPr>
          <w:color w:val="000000" w:themeColor="text1"/>
          <w:sz w:val="16"/>
          <w:szCs w:val="16"/>
        </w:rPr>
        <w:t>1) Млынарж С. М. — руководитель винтомоторной группы ОКБ.</w:t>
      </w:r>
    </w:p>
    <w:p w14:paraId="14493294" w14:textId="77777777" w:rsidR="005450C0" w:rsidRPr="00925F26" w:rsidRDefault="005450C0" w:rsidP="00925F26">
      <w:pPr>
        <w:jc w:val="both"/>
        <w:rPr>
          <w:color w:val="000000" w:themeColor="text1"/>
          <w:sz w:val="16"/>
          <w:szCs w:val="16"/>
        </w:rPr>
      </w:pPr>
      <w:r w:rsidRPr="00925F26">
        <w:rPr>
          <w:color w:val="000000" w:themeColor="text1"/>
          <w:sz w:val="16"/>
          <w:szCs w:val="16"/>
        </w:rPr>
        <w:t>2) Филин Н. И. — зам. начальника опытно-испытательной станции ОКБ.</w:t>
      </w:r>
    </w:p>
    <w:p w14:paraId="57260A44" w14:textId="77777777" w:rsidR="005450C0" w:rsidRPr="00925F26" w:rsidRDefault="005450C0" w:rsidP="00925F26">
      <w:pPr>
        <w:jc w:val="both"/>
        <w:rPr>
          <w:color w:val="000000" w:themeColor="text1"/>
          <w:sz w:val="16"/>
          <w:szCs w:val="16"/>
        </w:rPr>
      </w:pPr>
      <w:r w:rsidRPr="00925F26">
        <w:rPr>
          <w:color w:val="000000" w:themeColor="text1"/>
          <w:sz w:val="16"/>
          <w:szCs w:val="16"/>
        </w:rPr>
        <w:t>3) Храпко М. А. — зам. начальника опытно-механического цеха ОКБ.</w:t>
      </w:r>
    </w:p>
    <w:p w14:paraId="6964BCE0" w14:textId="77777777" w:rsidR="005450C0" w:rsidRPr="00925F26" w:rsidRDefault="005450C0" w:rsidP="00925F26">
      <w:pPr>
        <w:jc w:val="both"/>
        <w:rPr>
          <w:color w:val="000000" w:themeColor="text1"/>
          <w:sz w:val="16"/>
          <w:szCs w:val="16"/>
        </w:rPr>
      </w:pPr>
      <w:r w:rsidRPr="00925F26">
        <w:rPr>
          <w:color w:val="000000" w:themeColor="text1"/>
          <w:sz w:val="16"/>
          <w:szCs w:val="16"/>
        </w:rPr>
        <w:t>4) Чугунов В. В. — зам. начальника термического цеха.</w:t>
      </w:r>
    </w:p>
    <w:p w14:paraId="58AEC5F9" w14:textId="77777777" w:rsidR="005450C0" w:rsidRPr="00925F26" w:rsidRDefault="005450C0" w:rsidP="00925F26">
      <w:pPr>
        <w:jc w:val="both"/>
        <w:rPr>
          <w:color w:val="000000" w:themeColor="text1"/>
          <w:sz w:val="16"/>
          <w:szCs w:val="16"/>
        </w:rPr>
      </w:pPr>
      <w:r w:rsidRPr="00925F26">
        <w:rPr>
          <w:color w:val="000000" w:themeColor="text1"/>
          <w:sz w:val="16"/>
          <w:szCs w:val="16"/>
        </w:rPr>
        <w:t>5) Местунин А. В. — зам. начальника инструментального отдела завода.</w:t>
      </w:r>
      <w:r w:rsidRPr="00925F26">
        <w:rPr>
          <w:color w:val="000000" w:themeColor="text1"/>
          <w:sz w:val="16"/>
          <w:szCs w:val="16"/>
        </w:rPr>
        <w:tab/>
        <w:t>j</w:t>
      </w:r>
    </w:p>
    <w:p w14:paraId="43EDD12D" w14:textId="77777777" w:rsidR="005450C0" w:rsidRPr="00925F26" w:rsidRDefault="005450C0" w:rsidP="00925F26">
      <w:pPr>
        <w:jc w:val="both"/>
        <w:rPr>
          <w:color w:val="000000" w:themeColor="text1"/>
          <w:sz w:val="16"/>
          <w:szCs w:val="16"/>
        </w:rPr>
      </w:pPr>
      <w:r w:rsidRPr="00925F26">
        <w:rPr>
          <w:color w:val="000000" w:themeColor="text1"/>
          <w:sz w:val="16"/>
          <w:szCs w:val="16"/>
        </w:rPr>
        <w:t>6) Ольховский П. Г. — зам. главного механика завода.</w:t>
      </w:r>
    </w:p>
    <w:p w14:paraId="157E7E85" w14:textId="77777777" w:rsidR="005450C0" w:rsidRPr="00925F26" w:rsidRDefault="005450C0" w:rsidP="00925F26">
      <w:pPr>
        <w:jc w:val="both"/>
        <w:rPr>
          <w:color w:val="000000" w:themeColor="text1"/>
          <w:sz w:val="16"/>
          <w:szCs w:val="16"/>
        </w:rPr>
      </w:pPr>
      <w:r w:rsidRPr="00925F26">
        <w:rPr>
          <w:color w:val="000000" w:themeColor="text1"/>
          <w:sz w:val="16"/>
          <w:szCs w:val="16"/>
        </w:rPr>
        <w:t xml:space="preserve">7) </w:t>
      </w:r>
      <w:proofErr w:type="gramStart"/>
      <w:r w:rsidRPr="00925F26">
        <w:rPr>
          <w:color w:val="000000" w:themeColor="text1"/>
          <w:sz w:val="16"/>
          <w:szCs w:val="16"/>
        </w:rPr>
        <w:t>Юшкевич</w:t>
      </w:r>
      <w:proofErr w:type="gramEnd"/>
      <w:r w:rsidRPr="00925F26">
        <w:rPr>
          <w:color w:val="000000" w:themeColor="text1"/>
          <w:sz w:val="16"/>
          <w:szCs w:val="16"/>
        </w:rPr>
        <w:t xml:space="preserve"> Т. К. — зам. начальника производства.</w:t>
      </w:r>
    </w:p>
    <w:p w14:paraId="30C87F9F" w14:textId="77777777" w:rsidR="005450C0" w:rsidRPr="00925F26" w:rsidRDefault="005450C0" w:rsidP="00925F26">
      <w:pPr>
        <w:jc w:val="both"/>
        <w:rPr>
          <w:color w:val="000000" w:themeColor="text1"/>
          <w:sz w:val="16"/>
          <w:szCs w:val="16"/>
        </w:rPr>
      </w:pPr>
      <w:r w:rsidRPr="00925F26">
        <w:rPr>
          <w:color w:val="000000" w:themeColor="text1"/>
          <w:sz w:val="16"/>
          <w:szCs w:val="16"/>
        </w:rPr>
        <w:t>Отмечая добросовестную работу на заводе № 16 указанных выше специалистов, просим Вашего ходатайства об освобождении их со снятием судимости и о направлении для дальнейшей работы на завод № 16.</w:t>
      </w:r>
    </w:p>
    <w:p w14:paraId="16D4BF4C" w14:textId="77777777" w:rsidR="005450C0" w:rsidRPr="00925F26" w:rsidRDefault="005450C0" w:rsidP="00925F26">
      <w:pPr>
        <w:jc w:val="both"/>
        <w:rPr>
          <w:color w:val="000000" w:themeColor="text1"/>
          <w:sz w:val="16"/>
          <w:szCs w:val="16"/>
        </w:rPr>
      </w:pPr>
      <w:r w:rsidRPr="00925F26">
        <w:rPr>
          <w:color w:val="000000" w:themeColor="text1"/>
          <w:sz w:val="16"/>
          <w:szCs w:val="16"/>
        </w:rPr>
        <w:t>Директор завода № 16</w:t>
      </w:r>
      <w:r w:rsidRPr="00925F26">
        <w:rPr>
          <w:color w:val="000000" w:themeColor="text1"/>
          <w:sz w:val="16"/>
          <w:szCs w:val="16"/>
        </w:rPr>
        <w:tab/>
        <w:t>М. Лукин</w:t>
      </w:r>
    </w:p>
    <w:p w14:paraId="7ABB737D" w14:textId="77777777" w:rsidR="005450C0" w:rsidRPr="00925F26" w:rsidRDefault="005450C0" w:rsidP="00925F26">
      <w:pPr>
        <w:jc w:val="both"/>
        <w:rPr>
          <w:color w:val="000000" w:themeColor="text1"/>
          <w:sz w:val="16"/>
          <w:szCs w:val="16"/>
        </w:rPr>
      </w:pPr>
      <w:r w:rsidRPr="00925F26">
        <w:rPr>
          <w:color w:val="000000" w:themeColor="text1"/>
          <w:sz w:val="16"/>
          <w:szCs w:val="16"/>
        </w:rPr>
        <w:t>Главный конструктор</w:t>
      </w:r>
      <w:r w:rsidRPr="00925F26">
        <w:rPr>
          <w:color w:val="000000" w:themeColor="text1"/>
          <w:sz w:val="16"/>
          <w:szCs w:val="16"/>
        </w:rPr>
        <w:tab/>
        <w:t>' С. Колосов</w:t>
      </w:r>
    </w:p>
    <w:p w14:paraId="044A7B0C" w14:textId="77777777" w:rsidR="005450C0" w:rsidRPr="00925F26" w:rsidRDefault="005450C0" w:rsidP="00925F26">
      <w:pPr>
        <w:jc w:val="both"/>
        <w:rPr>
          <w:color w:val="000000" w:themeColor="text1"/>
          <w:sz w:val="16"/>
          <w:szCs w:val="16"/>
        </w:rPr>
      </w:pPr>
      <w:r w:rsidRPr="00925F26">
        <w:rPr>
          <w:color w:val="000000" w:themeColor="text1"/>
          <w:sz w:val="16"/>
          <w:szCs w:val="16"/>
        </w:rPr>
        <w:t>НА РТ Ф. P-5940. On. 1. Д. 181 Л. 4-5. Отпуск (23972).</w:t>
      </w:r>
    </w:p>
    <w:p w14:paraId="385F3FEB" w14:textId="77777777" w:rsidR="005450C0" w:rsidRPr="00925F26" w:rsidRDefault="005450C0" w:rsidP="00925F26">
      <w:pPr>
        <w:jc w:val="both"/>
        <w:rPr>
          <w:color w:val="000000" w:themeColor="text1"/>
          <w:sz w:val="16"/>
          <w:szCs w:val="16"/>
        </w:rPr>
      </w:pPr>
    </w:p>
    <w:p w14:paraId="6F1FBEB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FE4E147" w14:textId="77777777" w:rsidR="006103B3" w:rsidRPr="00925F26" w:rsidRDefault="006103B3" w:rsidP="00925F26">
      <w:pPr>
        <w:autoSpaceDE w:val="0"/>
        <w:autoSpaceDN w:val="0"/>
        <w:adjustRightInd w:val="0"/>
        <w:jc w:val="both"/>
        <w:rPr>
          <w:iCs/>
          <w:color w:val="000000" w:themeColor="text1"/>
          <w:sz w:val="16"/>
          <w:szCs w:val="16"/>
        </w:rPr>
      </w:pPr>
    </w:p>
    <w:p w14:paraId="7AA3366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 июня 1945 папа римский выразил надежду на то, что Германия навсегда очистилась от нацизма и начала новую жизнь (4962).</w:t>
      </w:r>
    </w:p>
    <w:p w14:paraId="626C31C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BBE0657" w14:textId="77777777" w:rsidR="006F2DF6" w:rsidRPr="00925F26" w:rsidRDefault="006F2DF6" w:rsidP="00925F26">
      <w:pPr>
        <w:jc w:val="both"/>
        <w:rPr>
          <w:color w:val="000000" w:themeColor="text1"/>
          <w:sz w:val="16"/>
          <w:szCs w:val="16"/>
        </w:rPr>
      </w:pPr>
      <w:r w:rsidRPr="00925F26">
        <w:rPr>
          <w:bCs/>
          <w:color w:val="000000" w:themeColor="text1"/>
          <w:sz w:val="16"/>
          <w:szCs w:val="16"/>
        </w:rPr>
        <w:t>2 июня</w:t>
      </w:r>
      <w:r w:rsidRPr="00925F26">
        <w:rPr>
          <w:color w:val="000000" w:themeColor="text1"/>
          <w:sz w:val="16"/>
          <w:szCs w:val="16"/>
        </w:rPr>
        <w:t xml:space="preserve"> в 1945 году (2-3 июня) американское соединение «Task Force-58» проводит рейд на южную часть острова Кюсю (14910).</w:t>
      </w:r>
    </w:p>
    <w:p w14:paraId="74062526" w14:textId="77777777" w:rsidR="006F2DF6" w:rsidRPr="00925F26" w:rsidRDefault="006F2DF6" w:rsidP="00925F26">
      <w:pPr>
        <w:jc w:val="both"/>
        <w:rPr>
          <w:color w:val="000000" w:themeColor="text1"/>
          <w:sz w:val="16"/>
          <w:szCs w:val="16"/>
        </w:rPr>
      </w:pPr>
    </w:p>
    <w:p w14:paraId="2E19AF58" w14:textId="77777777" w:rsidR="00B3672C" w:rsidRPr="00925F26" w:rsidRDefault="00B3672C" w:rsidP="00925F26">
      <w:pPr>
        <w:jc w:val="both"/>
        <w:rPr>
          <w:color w:val="000000" w:themeColor="text1"/>
          <w:sz w:val="16"/>
          <w:szCs w:val="16"/>
        </w:rPr>
      </w:pPr>
      <w:r w:rsidRPr="00925F26">
        <w:rPr>
          <w:color w:val="000000" w:themeColor="text1"/>
          <w:sz w:val="16"/>
          <w:szCs w:val="16"/>
        </w:rPr>
        <w:t>2–3 июня 1945 авианосец 38 группы наносит удар по Кюсю (20371).</w:t>
      </w:r>
    </w:p>
    <w:p w14:paraId="2A688847" w14:textId="77777777" w:rsidR="00B3672C" w:rsidRPr="00925F26" w:rsidRDefault="00B3672C" w:rsidP="00925F26">
      <w:pPr>
        <w:jc w:val="both"/>
        <w:rPr>
          <w:color w:val="000000" w:themeColor="text1"/>
          <w:sz w:val="16"/>
          <w:szCs w:val="16"/>
        </w:rPr>
      </w:pPr>
    </w:p>
    <w:p w14:paraId="2ACC123A" w14:textId="77777777" w:rsidR="00CC601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1E3F271" w14:textId="77777777" w:rsidR="00CC6018" w:rsidRPr="00925F26" w:rsidRDefault="00CC6018" w:rsidP="00925F26">
      <w:pPr>
        <w:autoSpaceDE w:val="0"/>
        <w:autoSpaceDN w:val="0"/>
        <w:adjustRightInd w:val="0"/>
        <w:jc w:val="both"/>
        <w:rPr>
          <w:iCs/>
          <w:color w:val="000000" w:themeColor="text1"/>
          <w:sz w:val="16"/>
          <w:szCs w:val="16"/>
        </w:rPr>
      </w:pPr>
    </w:p>
    <w:p w14:paraId="50D8BBCE" w14:textId="77777777" w:rsidR="00CC6018" w:rsidRPr="00925F26" w:rsidRDefault="00CC6018" w:rsidP="00925F26">
      <w:pPr>
        <w:pStyle w:val="a3"/>
        <w:rPr>
          <w:color w:val="000000" w:themeColor="text1"/>
          <w:lang w:val="ru-RU"/>
        </w:rPr>
      </w:pPr>
      <w:r w:rsidRPr="00925F26">
        <w:rPr>
          <w:color w:val="000000" w:themeColor="text1"/>
          <w:lang w:val="ru-RU"/>
        </w:rPr>
        <w:t>С 3 июня по 23 августа 1945 г. Ер-2ММ № 7023901 проходил совместные контрольные испытания в ГК НИИ ВВС. В процессе испытаний выявилась необходимость проведе</w:t>
      </w:r>
      <w:r w:rsidRPr="00925F26">
        <w:rPr>
          <w:color w:val="000000" w:themeColor="text1"/>
          <w:lang w:val="ru-RU"/>
        </w:rPr>
        <w:softHyphen/>
        <w:t>ния ряда доработок, в связи с чем 24 августа машину поставили на доработки. С 18 сен</w:t>
      </w:r>
      <w:r w:rsidRPr="00925F26">
        <w:rPr>
          <w:color w:val="000000" w:themeColor="text1"/>
          <w:lang w:val="ru-RU"/>
        </w:rPr>
        <w:softHyphen/>
        <w:t>тября испытания продолжались и завершились 13 октября 1945 г. В середине декабря 1945 г. отчёты по испытаниям обоих самолётов Ер-2ММ поступили в 7ГУ НКАП СССР (15810).</w:t>
      </w:r>
    </w:p>
    <w:p w14:paraId="25A9B743" w14:textId="77777777" w:rsidR="00CC6018" w:rsidRPr="00925F26" w:rsidRDefault="00CC6018" w:rsidP="00925F26">
      <w:pPr>
        <w:pStyle w:val="a3"/>
        <w:rPr>
          <w:color w:val="000000" w:themeColor="text1"/>
          <w:lang w:val="ru-RU"/>
        </w:rPr>
      </w:pPr>
    </w:p>
    <w:p w14:paraId="7AE84E9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D1CF5F7" w14:textId="77777777" w:rsidR="006103B3" w:rsidRPr="00925F26" w:rsidRDefault="006103B3" w:rsidP="00925F26">
      <w:pPr>
        <w:autoSpaceDE w:val="0"/>
        <w:autoSpaceDN w:val="0"/>
        <w:adjustRightInd w:val="0"/>
        <w:jc w:val="both"/>
        <w:rPr>
          <w:iCs/>
          <w:color w:val="000000" w:themeColor="text1"/>
          <w:sz w:val="16"/>
          <w:szCs w:val="16"/>
        </w:rPr>
      </w:pPr>
    </w:p>
    <w:p w14:paraId="1B14D4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июня 1945 г. было подготовлено СООБЩЕНИЕ ЗАМЕСТИТЕЛЯ НАЧАЛЬНИКА УСГ КА НАЧАЛЬНИКУ ГАВТУ КА О МАРКИРОВКЕ КРАСИТЕЛЯМИ БЕНЗИНОВ №01430204</w:t>
      </w:r>
    </w:p>
    <w:p w14:paraId="091EAA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того, чтобы предотвратить ошибки в применении автомобильных бензинов, проэтилирован-ных ранее этиловой жидкостью В-20 и имеющих желтый цвет, от неэтилированных крекинг-бензи</w:t>
      </w:r>
      <w:r w:rsidRPr="00925F26">
        <w:rPr>
          <w:color w:val="000000" w:themeColor="text1"/>
          <w:sz w:val="16"/>
          <w:szCs w:val="16"/>
        </w:rPr>
        <w:softHyphen/>
        <w:t>нов, имеющих также желтый цвет, с 1 июля 1945 г. промышленность приступает к выпуску этиловой жидкости В-20, окрашенной красителем «Судан 4» в красный цвет. До этого этиловая жидкость В-20 окрашивалась в оранжевый цвет.</w:t>
      </w:r>
    </w:p>
    <w:p w14:paraId="788202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отличие от этиловой жидкости Р-9 авиационной (окрашивается так же краской «Судан 4» в красный цвет) этиловая жидкость В-20 будет выпускаться с заводов в бочках, окрашенных в сталь</w:t>
      </w:r>
      <w:r w:rsidRPr="00925F26">
        <w:rPr>
          <w:color w:val="000000" w:themeColor="text1"/>
          <w:sz w:val="16"/>
          <w:szCs w:val="16"/>
        </w:rPr>
        <w:softHyphen/>
        <w:t>ной цвет, с трафаретом «для наземных машин», В-20.</w:t>
      </w:r>
    </w:p>
    <w:p w14:paraId="2EAA68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Бочки с этиловой жидкостью Р-9 окрашиваются в зеленый цвет.</w:t>
      </w:r>
    </w:p>
    <w:p w14:paraId="5A76A9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предотвращения ошибок в применении этиловых жидкостей В-20 и Р-9, одинаково окра</w:t>
      </w:r>
      <w:r w:rsidRPr="00925F26">
        <w:rPr>
          <w:color w:val="000000" w:themeColor="text1"/>
          <w:sz w:val="16"/>
          <w:szCs w:val="16"/>
        </w:rPr>
        <w:softHyphen/>
        <w:t>шенных в красный цвет, прошу дать соответствующие указания всем воинским частям, связанным с применением указанных продуктов, а также с применением этилированных бензинов.</w:t>
      </w:r>
    </w:p>
    <w:p w14:paraId="1542E8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Прошу принять меры для предупреждения каких-либо недоразумений и ошибок </w:t>
      </w:r>
      <w:proofErr w:type="gramStart"/>
      <w:r w:rsidRPr="00925F26">
        <w:rPr>
          <w:color w:val="000000" w:themeColor="text1"/>
          <w:sz w:val="16"/>
          <w:szCs w:val="16"/>
        </w:rPr>
        <w:t>по этому</w:t>
      </w:r>
      <w:proofErr w:type="gramEnd"/>
      <w:r w:rsidRPr="00925F26">
        <w:rPr>
          <w:color w:val="000000" w:themeColor="text1"/>
          <w:sz w:val="16"/>
          <w:szCs w:val="16"/>
        </w:rPr>
        <w:t xml:space="preserve"> воп</w:t>
      </w:r>
      <w:r w:rsidRPr="00925F26">
        <w:rPr>
          <w:color w:val="000000" w:themeColor="text1"/>
          <w:sz w:val="16"/>
          <w:szCs w:val="16"/>
        </w:rPr>
        <w:softHyphen/>
        <w:t>росу.</w:t>
      </w:r>
    </w:p>
    <w:p w14:paraId="42EAA2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начальника УСГ КА инженер-подполковник Варшавер</w:t>
      </w:r>
    </w:p>
    <w:p w14:paraId="3E7AE66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41. Оп. 11592. Д. 401. Л. 22. Подлинник (11420).</w:t>
      </w:r>
    </w:p>
    <w:p w14:paraId="0BE5BCE3" w14:textId="77777777" w:rsidR="006103B3" w:rsidRPr="00925F26" w:rsidRDefault="006103B3" w:rsidP="00925F26">
      <w:pPr>
        <w:autoSpaceDE w:val="0"/>
        <w:autoSpaceDN w:val="0"/>
        <w:adjustRightInd w:val="0"/>
        <w:jc w:val="both"/>
        <w:rPr>
          <w:color w:val="000000" w:themeColor="text1"/>
          <w:sz w:val="16"/>
          <w:szCs w:val="16"/>
        </w:rPr>
      </w:pPr>
    </w:p>
    <w:p w14:paraId="078BFE2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июня 1945 вышло Постановление ГКО № 8916 [О перевозке войск в состав ЗабФ, ДВФ, Приморской группы войск, образовании неприкосновенных запасов, обеспечении войск автомашинами.] (7346, 136-145,146-166).</w:t>
      </w:r>
    </w:p>
    <w:p w14:paraId="20A2B02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C4DB88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CAC77B1" w14:textId="77777777" w:rsidR="006103B3" w:rsidRPr="00925F26" w:rsidRDefault="006103B3" w:rsidP="00925F26">
      <w:pPr>
        <w:autoSpaceDE w:val="0"/>
        <w:autoSpaceDN w:val="0"/>
        <w:adjustRightInd w:val="0"/>
        <w:jc w:val="both"/>
        <w:rPr>
          <w:iCs/>
          <w:color w:val="000000" w:themeColor="text1"/>
          <w:sz w:val="16"/>
          <w:szCs w:val="16"/>
        </w:rPr>
      </w:pPr>
    </w:p>
    <w:p w14:paraId="2F78B6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июня 1945 г. была подготовлена СПРАВКА КОМАНДУЮЩЕГО БТ и МВ КА В УПРАВЛЕНИЕ ОПЕРАТИВНОГО ОКРУЖНОГО ТЫЛА ГШ КА О СОСТОЯНИИ ТАНКОВОГО ПАРКА № 00793344</w:t>
      </w:r>
    </w:p>
    <w:p w14:paraId="44EC77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ТАНКИ и СУ</w:t>
      </w:r>
    </w:p>
    <w:tbl>
      <w:tblPr>
        <w:tblW w:w="0" w:type="auto"/>
        <w:tblInd w:w="40" w:type="dxa"/>
        <w:tblLayout w:type="fixed"/>
        <w:tblCellMar>
          <w:left w:w="40" w:type="dxa"/>
          <w:right w:w="40" w:type="dxa"/>
        </w:tblCellMar>
        <w:tblLook w:val="0000" w:firstRow="0" w:lastRow="0" w:firstColumn="0" w:lastColumn="0" w:noHBand="0" w:noVBand="0"/>
      </w:tblPr>
      <w:tblGrid>
        <w:gridCol w:w="2842"/>
        <w:gridCol w:w="1210"/>
        <w:gridCol w:w="1219"/>
        <w:gridCol w:w="1286"/>
        <w:gridCol w:w="1142"/>
        <w:gridCol w:w="1085"/>
        <w:gridCol w:w="874"/>
      </w:tblGrid>
      <w:tr w:rsidR="000F5689" w:rsidRPr="00925F26" w14:paraId="6A7782C1" w14:textId="77777777">
        <w:trPr>
          <w:trHeight w:val="211"/>
        </w:trPr>
        <w:tc>
          <w:tcPr>
            <w:tcW w:w="2842" w:type="dxa"/>
            <w:tcBorders>
              <w:top w:val="single" w:sz="6" w:space="0" w:color="auto"/>
              <w:left w:val="single" w:sz="6" w:space="0" w:color="auto"/>
              <w:bottom w:val="nil"/>
              <w:right w:val="single" w:sz="6" w:space="0" w:color="auto"/>
            </w:tcBorders>
          </w:tcPr>
          <w:p w14:paraId="3EB02E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7F9AFE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10DD18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Было на 1.06.1941 г.</w:t>
            </w:r>
          </w:p>
          <w:p w14:paraId="0D1387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41416C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Состоит на 1.05.1945 г.</w:t>
            </w:r>
          </w:p>
          <w:p w14:paraId="05DA031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87" w:type="dxa"/>
            <w:gridSpan w:val="4"/>
            <w:tcBorders>
              <w:top w:val="single" w:sz="6" w:space="0" w:color="auto"/>
              <w:left w:val="single" w:sz="6" w:space="0" w:color="auto"/>
              <w:bottom w:val="single" w:sz="6" w:space="0" w:color="auto"/>
              <w:right w:val="single" w:sz="6" w:space="0" w:color="auto"/>
            </w:tcBorders>
          </w:tcPr>
          <w:p w14:paraId="17B451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них</w:t>
            </w:r>
          </w:p>
          <w:p w14:paraId="7BA0FF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6DB75C4" w14:textId="77777777">
        <w:trPr>
          <w:trHeight w:val="374"/>
        </w:trPr>
        <w:tc>
          <w:tcPr>
            <w:tcW w:w="2842" w:type="dxa"/>
            <w:tcBorders>
              <w:top w:val="nil"/>
              <w:left w:val="single" w:sz="6" w:space="0" w:color="auto"/>
              <w:bottom w:val="single" w:sz="6" w:space="0" w:color="auto"/>
              <w:right w:val="single" w:sz="6" w:space="0" w:color="auto"/>
            </w:tcBorders>
          </w:tcPr>
          <w:p w14:paraId="05E0269F" w14:textId="77777777" w:rsidR="006103B3" w:rsidRPr="00925F26" w:rsidRDefault="006103B3" w:rsidP="00925F26">
            <w:pPr>
              <w:autoSpaceDE w:val="0"/>
              <w:autoSpaceDN w:val="0"/>
              <w:adjustRightInd w:val="0"/>
              <w:jc w:val="both"/>
              <w:rPr>
                <w:color w:val="000000" w:themeColor="text1"/>
                <w:sz w:val="16"/>
                <w:szCs w:val="16"/>
              </w:rPr>
            </w:pPr>
          </w:p>
          <w:p w14:paraId="03364296" w14:textId="77777777" w:rsidR="006103B3" w:rsidRPr="00925F26" w:rsidRDefault="006103B3" w:rsidP="00925F26">
            <w:pPr>
              <w:autoSpaceDE w:val="0"/>
              <w:autoSpaceDN w:val="0"/>
              <w:adjustRightInd w:val="0"/>
              <w:jc w:val="both"/>
              <w:rPr>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53A51709" w14:textId="77777777" w:rsidR="006103B3" w:rsidRPr="00925F26" w:rsidRDefault="006103B3" w:rsidP="00925F26">
            <w:pPr>
              <w:autoSpaceDE w:val="0"/>
              <w:autoSpaceDN w:val="0"/>
              <w:adjustRightInd w:val="0"/>
              <w:jc w:val="both"/>
              <w:rPr>
                <w:color w:val="000000" w:themeColor="text1"/>
                <w:sz w:val="16"/>
                <w:szCs w:val="16"/>
              </w:rPr>
            </w:pPr>
          </w:p>
          <w:p w14:paraId="7F7183FE" w14:textId="77777777" w:rsidR="006103B3" w:rsidRPr="00925F26" w:rsidRDefault="006103B3" w:rsidP="00925F26">
            <w:pPr>
              <w:autoSpaceDE w:val="0"/>
              <w:autoSpaceDN w:val="0"/>
              <w:adjustRightInd w:val="0"/>
              <w:jc w:val="both"/>
              <w:rPr>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40E1A24E" w14:textId="77777777" w:rsidR="006103B3" w:rsidRPr="00925F26" w:rsidRDefault="006103B3" w:rsidP="00925F26">
            <w:pPr>
              <w:autoSpaceDE w:val="0"/>
              <w:autoSpaceDN w:val="0"/>
              <w:adjustRightInd w:val="0"/>
              <w:jc w:val="both"/>
              <w:rPr>
                <w:color w:val="000000" w:themeColor="text1"/>
                <w:sz w:val="16"/>
                <w:szCs w:val="16"/>
              </w:rPr>
            </w:pPr>
          </w:p>
          <w:p w14:paraId="2B1C6E11" w14:textId="77777777" w:rsidR="006103B3" w:rsidRPr="00925F26" w:rsidRDefault="006103B3" w:rsidP="00925F26">
            <w:pPr>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B752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фронтах</w:t>
            </w:r>
          </w:p>
          <w:p w14:paraId="1FF606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C6EB3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резерве</w:t>
            </w:r>
          </w:p>
          <w:p w14:paraId="7DE21F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CCA8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округах</w:t>
            </w:r>
          </w:p>
          <w:p w14:paraId="545DC54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C6729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рем. заводах</w:t>
            </w:r>
          </w:p>
          <w:p w14:paraId="0CA3E6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4E18AB0" w14:textId="77777777">
        <w:trPr>
          <w:trHeight w:val="1018"/>
        </w:trPr>
        <w:tc>
          <w:tcPr>
            <w:tcW w:w="2842" w:type="dxa"/>
            <w:tcBorders>
              <w:top w:val="single" w:sz="6" w:space="0" w:color="auto"/>
              <w:left w:val="single" w:sz="6" w:space="0" w:color="auto"/>
              <w:bottom w:val="single" w:sz="6" w:space="0" w:color="auto"/>
              <w:right w:val="single" w:sz="6" w:space="0" w:color="auto"/>
            </w:tcBorders>
          </w:tcPr>
          <w:p w14:paraId="2C4181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КВ, Т-34</w:t>
            </w:r>
          </w:p>
          <w:p w14:paraId="680DEB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Т-34, ИС</w:t>
            </w:r>
          </w:p>
          <w:p w14:paraId="790E09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Иностранные средние танки</w:t>
            </w:r>
          </w:p>
          <w:p w14:paraId="2A829C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ИСУ-152-122</w:t>
            </w:r>
          </w:p>
          <w:p w14:paraId="6FBB9B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СУ- 152-76</w:t>
            </w:r>
          </w:p>
          <w:p w14:paraId="0B51AF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7D6AE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1390</w:t>
            </w:r>
          </w:p>
          <w:p w14:paraId="61F8EB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256341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BE67D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0457E07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1219" w:type="dxa"/>
            <w:tcBorders>
              <w:top w:val="single" w:sz="6" w:space="0" w:color="auto"/>
              <w:left w:val="single" w:sz="6" w:space="0" w:color="auto"/>
              <w:bottom w:val="single" w:sz="6" w:space="0" w:color="auto"/>
              <w:right w:val="single" w:sz="6" w:space="0" w:color="auto"/>
            </w:tcBorders>
          </w:tcPr>
          <w:p w14:paraId="3A4A39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C9EE7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10312</w:t>
            </w:r>
          </w:p>
          <w:p w14:paraId="07114A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1817</w:t>
            </w:r>
          </w:p>
          <w:p w14:paraId="3D7596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2028</w:t>
            </w:r>
          </w:p>
          <w:p w14:paraId="63133C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5903</w:t>
            </w:r>
          </w:p>
          <w:p w14:paraId="7416D6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B3969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499E6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-5640</w:t>
            </w:r>
          </w:p>
          <w:p w14:paraId="2F3265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877</w:t>
            </w:r>
          </w:p>
          <w:p w14:paraId="3B7032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1196</w:t>
            </w:r>
          </w:p>
          <w:p w14:paraId="5A4611F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3546</w:t>
            </w:r>
          </w:p>
          <w:p w14:paraId="4D2BAC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F72B7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F06A1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963</w:t>
            </w:r>
          </w:p>
          <w:p w14:paraId="0C6E20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219</w:t>
            </w:r>
          </w:p>
          <w:p w14:paraId="77E3FA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340</w:t>
            </w:r>
          </w:p>
          <w:p w14:paraId="000322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999</w:t>
            </w:r>
          </w:p>
          <w:p w14:paraId="13456D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89A4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075D3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1677</w:t>
            </w:r>
          </w:p>
          <w:p w14:paraId="233486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275</w:t>
            </w:r>
          </w:p>
          <w:p w14:paraId="310951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129</w:t>
            </w:r>
          </w:p>
          <w:p w14:paraId="4D964A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688</w:t>
            </w:r>
          </w:p>
          <w:p w14:paraId="19B5DC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0CDBB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FAAFD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2032</w:t>
            </w:r>
          </w:p>
          <w:p w14:paraId="7DC215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446</w:t>
            </w:r>
          </w:p>
          <w:p w14:paraId="19CF2B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363</w:t>
            </w:r>
          </w:p>
          <w:p w14:paraId="3BCCDB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670</w:t>
            </w:r>
          </w:p>
          <w:p w14:paraId="3D0ADD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014FBEC" w14:textId="77777777">
        <w:trPr>
          <w:trHeight w:val="202"/>
        </w:trPr>
        <w:tc>
          <w:tcPr>
            <w:tcW w:w="2842" w:type="dxa"/>
            <w:tcBorders>
              <w:top w:val="single" w:sz="6" w:space="0" w:color="auto"/>
              <w:left w:val="single" w:sz="6" w:space="0" w:color="auto"/>
              <w:bottom w:val="single" w:sz="6" w:space="0" w:color="auto"/>
              <w:right w:val="single" w:sz="6" w:space="0" w:color="auto"/>
            </w:tcBorders>
          </w:tcPr>
          <w:p w14:paraId="3B926B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7B3077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D75FA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1390</w:t>
            </w:r>
          </w:p>
          <w:p w14:paraId="020EF9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373E10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20060</w:t>
            </w:r>
          </w:p>
          <w:p w14:paraId="5F8C83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C9C46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11259</w:t>
            </w:r>
          </w:p>
          <w:p w14:paraId="024471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6CA82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2521</w:t>
            </w:r>
          </w:p>
          <w:p w14:paraId="71FFEA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DE35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2769</w:t>
            </w:r>
          </w:p>
          <w:p w14:paraId="44C58F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A283C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3511</w:t>
            </w:r>
          </w:p>
          <w:p w14:paraId="24B147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93C14BA" w14:textId="77777777">
        <w:trPr>
          <w:trHeight w:val="1219"/>
        </w:trPr>
        <w:tc>
          <w:tcPr>
            <w:tcW w:w="2842" w:type="dxa"/>
            <w:tcBorders>
              <w:top w:val="single" w:sz="6" w:space="0" w:color="auto"/>
              <w:left w:val="single" w:sz="6" w:space="0" w:color="auto"/>
              <w:bottom w:val="single" w:sz="6" w:space="0" w:color="auto"/>
              <w:right w:val="single" w:sz="6" w:space="0" w:color="auto"/>
            </w:tcBorders>
          </w:tcPr>
          <w:p w14:paraId="001154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Кроме того:</w:t>
            </w:r>
          </w:p>
          <w:p w14:paraId="33EFA5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[...]БТ</w:t>
            </w:r>
          </w:p>
          <w:p w14:paraId="0BB595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Т-26</w:t>
            </w:r>
          </w:p>
          <w:p w14:paraId="5029E2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Прочие марки</w:t>
            </w:r>
          </w:p>
          <w:p w14:paraId="71D1F7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Иностранные легкие танки</w:t>
            </w:r>
          </w:p>
          <w:p w14:paraId="1F1936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СУ-57</w:t>
            </w:r>
          </w:p>
          <w:p w14:paraId="25479C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75DDA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69C8B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6172</w:t>
            </w:r>
          </w:p>
          <w:p w14:paraId="6EA652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8436</w:t>
            </w:r>
          </w:p>
          <w:p w14:paraId="7DA847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3706</w:t>
            </w:r>
          </w:p>
          <w:p w14:paraId="3BBA79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D774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3A848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299</w:t>
            </w:r>
          </w:p>
          <w:p w14:paraId="39F3CA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424</w:t>
            </w:r>
          </w:p>
          <w:p w14:paraId="58A687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2960</w:t>
            </w:r>
          </w:p>
          <w:p w14:paraId="07AD25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914</w:t>
            </w:r>
          </w:p>
          <w:p w14:paraId="18937A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340</w:t>
            </w:r>
          </w:p>
          <w:p w14:paraId="6CDC49D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A0AB9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87EBE1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614EF8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p w14:paraId="2DA054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265</w:t>
            </w:r>
          </w:p>
          <w:p w14:paraId="7ADBE1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207</w:t>
            </w:r>
          </w:p>
          <w:p w14:paraId="6053E3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w:t>
            </w:r>
          </w:p>
          <w:p w14:paraId="0D5982E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DFFCE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994A0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75D01C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BEC01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269</w:t>
            </w:r>
          </w:p>
          <w:p w14:paraId="37F855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109</w:t>
            </w:r>
          </w:p>
          <w:p w14:paraId="4CE1EB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w:t>
            </w:r>
          </w:p>
          <w:p w14:paraId="1201E8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45F2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C704C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43</w:t>
            </w:r>
          </w:p>
          <w:p w14:paraId="4B274B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213</w:t>
            </w:r>
          </w:p>
          <w:p w14:paraId="3D8ABEC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1750</w:t>
            </w:r>
          </w:p>
          <w:p w14:paraId="0EC5047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295</w:t>
            </w:r>
          </w:p>
          <w:p w14:paraId="37487F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735BB5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3C10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B4851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256</w:t>
            </w:r>
          </w:p>
          <w:p w14:paraId="6062C5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176</w:t>
            </w:r>
          </w:p>
          <w:p w14:paraId="482FFB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676</w:t>
            </w:r>
          </w:p>
          <w:p w14:paraId="73C924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303</w:t>
            </w:r>
          </w:p>
          <w:p w14:paraId="06976B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w:t>
            </w:r>
          </w:p>
          <w:p w14:paraId="79F78F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837F8F0" w14:textId="77777777">
        <w:trPr>
          <w:trHeight w:val="221"/>
        </w:trPr>
        <w:tc>
          <w:tcPr>
            <w:tcW w:w="2842" w:type="dxa"/>
            <w:tcBorders>
              <w:top w:val="single" w:sz="6" w:space="0" w:color="auto"/>
              <w:left w:val="single" w:sz="6" w:space="0" w:color="auto"/>
              <w:bottom w:val="single" w:sz="6" w:space="0" w:color="auto"/>
              <w:right w:val="single" w:sz="6" w:space="0" w:color="auto"/>
            </w:tcBorders>
          </w:tcPr>
          <w:p w14:paraId="00F3EE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p w14:paraId="291A10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7EAF6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18314</w:t>
            </w:r>
          </w:p>
          <w:p w14:paraId="3C08DA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AFC8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4937*</w:t>
            </w:r>
          </w:p>
          <w:p w14:paraId="04A07F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C54DB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757</w:t>
            </w:r>
          </w:p>
          <w:p w14:paraId="7E71F4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4AF7D8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444</w:t>
            </w:r>
          </w:p>
          <w:p w14:paraId="0B6FF2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AA50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2311</w:t>
            </w:r>
          </w:p>
          <w:p w14:paraId="00D113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FE5E5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1425</w:t>
            </w:r>
          </w:p>
          <w:p w14:paraId="61A5FF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5655D2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roofErr w:type="gramStart"/>
      <w:r w:rsidRPr="00925F26">
        <w:rPr>
          <w:color w:val="000000" w:themeColor="text1"/>
          <w:sz w:val="16"/>
          <w:szCs w:val="16"/>
        </w:rPr>
        <w:t>)</w:t>
      </w:r>
      <w:proofErr w:type="gramEnd"/>
      <w:r w:rsidRPr="00925F26">
        <w:rPr>
          <w:color w:val="000000" w:themeColor="text1"/>
          <w:sz w:val="16"/>
          <w:szCs w:val="16"/>
        </w:rPr>
        <w:t xml:space="preserve"> Без Дальневосточного и Забайкальского фронтов. Указанные сведения даны по донесениям фронтов и округов.</w:t>
      </w:r>
    </w:p>
    <w:p w14:paraId="35670A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Сопоставление первых итогов (1390 и 20060) показывает, что в ходе войны численность наших танков современных образцов возросла в 14,4 раза.</w:t>
      </w:r>
    </w:p>
    <w:p w14:paraId="4D1AB1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142912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38. Он. 11353. Д. 1448. Л. 55. Копия (11420).</w:t>
      </w:r>
    </w:p>
    <w:p w14:paraId="06B71823" w14:textId="77777777" w:rsidR="006103B3" w:rsidRPr="00925F26" w:rsidRDefault="006103B3" w:rsidP="00925F26">
      <w:pPr>
        <w:autoSpaceDE w:val="0"/>
        <w:autoSpaceDN w:val="0"/>
        <w:adjustRightInd w:val="0"/>
        <w:jc w:val="both"/>
        <w:rPr>
          <w:color w:val="000000" w:themeColor="text1"/>
          <w:sz w:val="16"/>
          <w:szCs w:val="16"/>
        </w:rPr>
      </w:pPr>
    </w:p>
    <w:p w14:paraId="39259835" w14:textId="77777777" w:rsidR="00B17B62" w:rsidRPr="00925F26" w:rsidRDefault="00B17B62" w:rsidP="00925F26">
      <w:pPr>
        <w:jc w:val="both"/>
        <w:rPr>
          <w:color w:val="000000" w:themeColor="text1"/>
          <w:sz w:val="16"/>
          <w:szCs w:val="16"/>
        </w:rPr>
      </w:pPr>
      <w:r w:rsidRPr="00925F26">
        <w:rPr>
          <w:color w:val="000000" w:themeColor="text1"/>
          <w:sz w:val="16"/>
          <w:szCs w:val="16"/>
        </w:rPr>
        <w:t>3 июня 1945 г.</w:t>
      </w:r>
    </w:p>
    <w:p w14:paraId="724D0A82" w14:textId="77777777" w:rsidR="00B17B62" w:rsidRPr="00925F26" w:rsidRDefault="00B17B62" w:rsidP="00925F26">
      <w:pPr>
        <w:jc w:val="both"/>
        <w:rPr>
          <w:color w:val="000000" w:themeColor="text1"/>
          <w:sz w:val="16"/>
          <w:szCs w:val="16"/>
        </w:rPr>
      </w:pPr>
      <w:r w:rsidRPr="00925F26">
        <w:rPr>
          <w:bCs/>
          <w:color w:val="000000" w:themeColor="text1"/>
          <w:sz w:val="16"/>
          <w:szCs w:val="16"/>
        </w:rPr>
        <w:t>СПРАВКА КОМАНДУЮЩЕГО БТ и МВ КА В УПРАВЛЕНИЕ ОПЕРАТИВНОГО ОКРУЖНОГО ТЫЛА ГШ КА О СОСТОЯНИИ ТАНКОВОГО ПАРКА</w:t>
      </w:r>
    </w:p>
    <w:p w14:paraId="10991497" w14:textId="77777777" w:rsidR="00B17B62" w:rsidRPr="00925F26" w:rsidRDefault="00B17B62" w:rsidP="00925F26">
      <w:pPr>
        <w:jc w:val="both"/>
        <w:rPr>
          <w:color w:val="000000" w:themeColor="text1"/>
          <w:sz w:val="16"/>
          <w:szCs w:val="16"/>
        </w:rPr>
      </w:pPr>
      <w:r w:rsidRPr="00925F26">
        <w:rPr>
          <w:color w:val="000000" w:themeColor="text1"/>
          <w:sz w:val="16"/>
          <w:szCs w:val="16"/>
        </w:rPr>
        <w:t>№ 00793344</w:t>
      </w:r>
    </w:p>
    <w:p w14:paraId="5BB7A5F7" w14:textId="77777777" w:rsidR="00B17B62" w:rsidRPr="00925F26" w:rsidRDefault="00B17B62" w:rsidP="00925F26">
      <w:pPr>
        <w:jc w:val="both"/>
        <w:rPr>
          <w:color w:val="000000" w:themeColor="text1"/>
          <w:sz w:val="16"/>
          <w:szCs w:val="16"/>
        </w:rPr>
      </w:pPr>
      <w:r w:rsidRPr="00925F26">
        <w:rPr>
          <w:color w:val="000000" w:themeColor="text1"/>
          <w:sz w:val="16"/>
          <w:szCs w:val="16"/>
        </w:rPr>
        <w:t>ТАНКИ и СУ</w:t>
      </w:r>
    </w:p>
    <w:p w14:paraId="2F66EF04"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 xml:space="preserve">                            Было </w:t>
      </w:r>
      <w:proofErr w:type="gramStart"/>
      <w:r w:rsidRPr="00925F26">
        <w:rPr>
          <w:color w:val="000000" w:themeColor="text1"/>
          <w:sz w:val="16"/>
          <w:szCs w:val="16"/>
        </w:rPr>
        <w:t>на      Состоит</w:t>
      </w:r>
      <w:proofErr w:type="gramEnd"/>
      <w:r w:rsidRPr="00925F26">
        <w:rPr>
          <w:color w:val="000000" w:themeColor="text1"/>
          <w:sz w:val="16"/>
          <w:szCs w:val="16"/>
        </w:rPr>
        <w:t xml:space="preserve"> </w:t>
      </w:r>
      <w:proofErr w:type="gramStart"/>
      <w:r w:rsidRPr="00925F26">
        <w:rPr>
          <w:color w:val="000000" w:themeColor="text1"/>
          <w:sz w:val="16"/>
          <w:szCs w:val="16"/>
        </w:rPr>
        <w:t>на</w:t>
      </w:r>
      <w:proofErr w:type="gramEnd"/>
      <w:r w:rsidRPr="00925F26">
        <w:rPr>
          <w:color w:val="000000" w:themeColor="text1"/>
          <w:sz w:val="16"/>
          <w:szCs w:val="16"/>
        </w:rPr>
        <w:t xml:space="preserve">                     Из них</w:t>
      </w:r>
    </w:p>
    <w:p w14:paraId="1AEC30B7"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 xml:space="preserve">                          1.06.1941 г.  1.05.1945 г.  на </w:t>
      </w:r>
      <w:proofErr w:type="gramStart"/>
      <w:r w:rsidRPr="00925F26">
        <w:rPr>
          <w:color w:val="000000" w:themeColor="text1"/>
          <w:sz w:val="16"/>
          <w:szCs w:val="16"/>
        </w:rPr>
        <w:t>фронтах  в</w:t>
      </w:r>
      <w:proofErr w:type="gramEnd"/>
      <w:r w:rsidRPr="00925F26">
        <w:rPr>
          <w:color w:val="000000" w:themeColor="text1"/>
          <w:sz w:val="16"/>
          <w:szCs w:val="16"/>
        </w:rPr>
        <w:t xml:space="preserve"> </w:t>
      </w:r>
      <w:proofErr w:type="gramStart"/>
      <w:r w:rsidRPr="00925F26">
        <w:rPr>
          <w:color w:val="000000" w:themeColor="text1"/>
          <w:sz w:val="16"/>
          <w:szCs w:val="16"/>
        </w:rPr>
        <w:t>резерве  в</w:t>
      </w:r>
      <w:proofErr w:type="gramEnd"/>
      <w:r w:rsidRPr="00925F26">
        <w:rPr>
          <w:color w:val="000000" w:themeColor="text1"/>
          <w:sz w:val="16"/>
          <w:szCs w:val="16"/>
        </w:rPr>
        <w:t xml:space="preserve"> </w:t>
      </w:r>
      <w:proofErr w:type="gramStart"/>
      <w:r w:rsidRPr="00925F26">
        <w:rPr>
          <w:color w:val="000000" w:themeColor="text1"/>
          <w:sz w:val="16"/>
          <w:szCs w:val="16"/>
        </w:rPr>
        <w:t>округах  на</w:t>
      </w:r>
      <w:proofErr w:type="gramEnd"/>
      <w:r w:rsidRPr="00925F26">
        <w:rPr>
          <w:color w:val="000000" w:themeColor="text1"/>
          <w:sz w:val="16"/>
          <w:szCs w:val="16"/>
        </w:rPr>
        <w:t xml:space="preserve"> рем.</w:t>
      </w:r>
    </w:p>
    <w:p w14:paraId="7215A229"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 xml:space="preserve">                                                                                        заводах</w:t>
      </w:r>
    </w:p>
    <w:p w14:paraId="42FAFC40"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КВ, Т-34                     1 390           —             —           —          —        —</w:t>
      </w:r>
    </w:p>
    <w:p w14:paraId="31ABF8BF"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Т-34, ИС                       —          10 312         5 640         963      1 677    2 032</w:t>
      </w:r>
    </w:p>
    <w:p w14:paraId="2D727488"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Иностранные средние танки      —           1 817           877         219        275      446</w:t>
      </w:r>
    </w:p>
    <w:p w14:paraId="1AED4147"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ИСУ-152-122                    —           2 028         1 196         340        129      363</w:t>
      </w:r>
    </w:p>
    <w:p w14:paraId="1AEDF94B"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СУ-152-76                      —           5 903         3 546         999        688      670</w:t>
      </w:r>
    </w:p>
    <w:p w14:paraId="36816413"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bCs/>
          <w:color w:val="000000" w:themeColor="text1"/>
          <w:sz w:val="16"/>
          <w:szCs w:val="16"/>
        </w:rPr>
        <w:t>Итого</w:t>
      </w:r>
      <w:r w:rsidRPr="00925F26">
        <w:rPr>
          <w:color w:val="000000" w:themeColor="text1"/>
          <w:sz w:val="16"/>
          <w:szCs w:val="16"/>
        </w:rPr>
        <w:t xml:space="preserve">                        1 390        20 060        11 259       2 521      2 769    3 511</w:t>
      </w:r>
    </w:p>
    <w:p w14:paraId="1CE8FEBA"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Кроме того:</w:t>
      </w:r>
    </w:p>
    <w:p w14:paraId="3180E689"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[...]11                      6 172           299           —           —           43      256</w:t>
      </w:r>
    </w:p>
    <w:p w14:paraId="3918DBC1"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Т-26                         8 436           424            35         —          213      176</w:t>
      </w:r>
    </w:p>
    <w:p w14:paraId="09B3479E"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Прочие марки                 3 706         2 960           265         269      1 750      676</w:t>
      </w:r>
    </w:p>
    <w:p w14:paraId="3DCF3D55"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Иностранные легкие танки       —             914           207         109        295      303</w:t>
      </w:r>
    </w:p>
    <w:p w14:paraId="5270C3EA"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СУ-57                          —             340           250          66         10       14</w:t>
      </w:r>
    </w:p>
    <w:p w14:paraId="4B18C046"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bCs/>
          <w:color w:val="000000" w:themeColor="text1"/>
          <w:sz w:val="16"/>
          <w:szCs w:val="16"/>
        </w:rPr>
        <w:t>Итого</w:t>
      </w:r>
      <w:r w:rsidRPr="00925F26">
        <w:rPr>
          <w:color w:val="000000" w:themeColor="text1"/>
          <w:sz w:val="16"/>
          <w:szCs w:val="16"/>
        </w:rPr>
        <w:t xml:space="preserve">                       18 314         4 937*          757         444      2 311    1 425</w:t>
      </w:r>
    </w:p>
    <w:p w14:paraId="0F951639"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 Без Дальневосточного и Забайкальского фронтов.</w:t>
      </w:r>
    </w:p>
    <w:p w14:paraId="6582458C"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Указанные сведения даны по донесениям фронтов и округов.</w:t>
      </w:r>
    </w:p>
    <w:p w14:paraId="51B2F894"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Сопоставление первых итогов (1390 и 20060) показывает, что в ходе войны численность наших танков современных образцов возросла в 14,4 раза.</w:t>
      </w:r>
    </w:p>
    <w:p w14:paraId="59F7351C"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Командующий БТ и МВ КА</w:t>
      </w:r>
    </w:p>
    <w:p w14:paraId="7BBD49DC"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 xml:space="preserve">маршал бронетанковых войск </w:t>
      </w:r>
      <w:r w:rsidRPr="00925F26">
        <w:rPr>
          <w:bCs/>
          <w:color w:val="000000" w:themeColor="text1"/>
          <w:sz w:val="16"/>
          <w:szCs w:val="16"/>
        </w:rPr>
        <w:t>Я. Федоренко</w:t>
      </w:r>
    </w:p>
    <w:p w14:paraId="27C78332"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color w:val="000000" w:themeColor="text1"/>
          <w:sz w:val="16"/>
          <w:szCs w:val="16"/>
        </w:rPr>
        <w:t>ЦАМО. Ф. 38. Оп. 11353. Д. 1448. Л. 55. Копия.</w:t>
      </w:r>
    </w:p>
    <w:p w14:paraId="2C00DBD3"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925F26">
        <w:rPr>
          <w:bCs/>
          <w:color w:val="000000" w:themeColor="text1"/>
          <w:sz w:val="16"/>
          <w:szCs w:val="16"/>
        </w:rPr>
        <w:t>Главное автобронетанковое управление. Люди, события, факты в документах. 1944-1945 гг. Кн. IV. М., 2007</w:t>
      </w:r>
      <w:r w:rsidRPr="00925F26">
        <w:rPr>
          <w:color w:val="000000" w:themeColor="text1"/>
          <w:sz w:val="16"/>
          <w:szCs w:val="16"/>
        </w:rPr>
        <w:t xml:space="preserve"> (18690)</w:t>
      </w:r>
      <w:r w:rsidRPr="00925F26">
        <w:rPr>
          <w:bCs/>
          <w:color w:val="000000" w:themeColor="text1"/>
          <w:sz w:val="16"/>
          <w:szCs w:val="16"/>
        </w:rPr>
        <w:t>.</w:t>
      </w:r>
    </w:p>
    <w:p w14:paraId="37FDEC25" w14:textId="77777777" w:rsidR="00B17B62" w:rsidRPr="00925F26" w:rsidRDefault="00B17B62" w:rsidP="00925F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p>
    <w:p w14:paraId="23590DA7"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июня 1945 советское правительство приняло постановление о переброске войск в Забайкалье и на Дальний Восток (4962).</w:t>
      </w:r>
    </w:p>
    <w:p w14:paraId="2A6D7AB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509770D" w14:textId="77777777" w:rsidR="00CC601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7290CE2" w14:textId="77777777" w:rsidR="00CC6018" w:rsidRPr="00925F26" w:rsidRDefault="00CC6018" w:rsidP="00925F26">
      <w:pPr>
        <w:autoSpaceDE w:val="0"/>
        <w:autoSpaceDN w:val="0"/>
        <w:adjustRightInd w:val="0"/>
        <w:jc w:val="both"/>
        <w:rPr>
          <w:iCs/>
          <w:color w:val="000000" w:themeColor="text1"/>
          <w:sz w:val="16"/>
          <w:szCs w:val="16"/>
        </w:rPr>
      </w:pPr>
    </w:p>
    <w:p w14:paraId="1CE007CE" w14:textId="77777777" w:rsidR="00CC6018" w:rsidRPr="00925F26" w:rsidRDefault="00CC6018" w:rsidP="00925F26">
      <w:pPr>
        <w:jc w:val="both"/>
        <w:rPr>
          <w:color w:val="000000" w:themeColor="text1"/>
          <w:sz w:val="16"/>
          <w:szCs w:val="16"/>
        </w:rPr>
      </w:pPr>
      <w:r w:rsidRPr="00925F26">
        <w:rPr>
          <w:bCs/>
          <w:color w:val="000000" w:themeColor="text1"/>
          <w:sz w:val="16"/>
          <w:szCs w:val="16"/>
        </w:rPr>
        <w:t>3 июня</w:t>
      </w:r>
      <w:r w:rsidRPr="00925F26">
        <w:rPr>
          <w:color w:val="000000" w:themeColor="text1"/>
          <w:sz w:val="16"/>
          <w:szCs w:val="16"/>
        </w:rPr>
        <w:t xml:space="preserve"> в 1945 году бывший премьер-министр Японии К.Хирота встретился с послом СССР в Японии Я.А.Маликом на предмет возможных переговоров о посредничестве СССР в заключении мира Японии с США и Великобританией, однако, эта попытка успеха не имела (14911).</w:t>
      </w:r>
    </w:p>
    <w:p w14:paraId="59982B2C" w14:textId="77777777" w:rsidR="00CC6018" w:rsidRPr="00925F26" w:rsidRDefault="00CC6018" w:rsidP="00925F26">
      <w:pPr>
        <w:jc w:val="both"/>
        <w:rPr>
          <w:color w:val="000000" w:themeColor="text1"/>
          <w:sz w:val="16"/>
          <w:szCs w:val="16"/>
        </w:rPr>
      </w:pPr>
    </w:p>
    <w:p w14:paraId="3DBD1FCF" w14:textId="77777777" w:rsidR="00CC6018" w:rsidRPr="00925F26" w:rsidRDefault="00CC6018" w:rsidP="00925F26">
      <w:pPr>
        <w:jc w:val="both"/>
        <w:rPr>
          <w:color w:val="000000" w:themeColor="text1"/>
          <w:sz w:val="16"/>
          <w:szCs w:val="16"/>
        </w:rPr>
      </w:pPr>
      <w:r w:rsidRPr="00925F26">
        <w:rPr>
          <w:bCs/>
          <w:color w:val="000000" w:themeColor="text1"/>
          <w:sz w:val="16"/>
          <w:szCs w:val="16"/>
        </w:rPr>
        <w:t>3 июня</w:t>
      </w:r>
      <w:r w:rsidRPr="00925F26">
        <w:rPr>
          <w:color w:val="000000" w:themeColor="text1"/>
          <w:sz w:val="16"/>
          <w:szCs w:val="16"/>
        </w:rPr>
        <w:t xml:space="preserve"> в 1945 году подписана «Декларация о поражении Германии и взятии на себя верховной власти в отношении Германии правительствами Советского Союза, Соединенного Королевства, Соединенных Штатов Америки и Временным правительством Французской Республики» (14911).</w:t>
      </w:r>
    </w:p>
    <w:p w14:paraId="1B7A2676" w14:textId="77777777" w:rsidR="00CC6018" w:rsidRPr="00925F26" w:rsidRDefault="00CC6018" w:rsidP="00925F26">
      <w:pPr>
        <w:jc w:val="both"/>
        <w:rPr>
          <w:color w:val="000000" w:themeColor="text1"/>
          <w:sz w:val="16"/>
          <w:szCs w:val="16"/>
        </w:rPr>
      </w:pPr>
    </w:p>
    <w:p w14:paraId="382243A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58B1047" w14:textId="77777777" w:rsidR="006103B3" w:rsidRPr="00925F26" w:rsidRDefault="006103B3" w:rsidP="00925F26">
      <w:pPr>
        <w:autoSpaceDE w:val="0"/>
        <w:autoSpaceDN w:val="0"/>
        <w:adjustRightInd w:val="0"/>
        <w:jc w:val="both"/>
        <w:rPr>
          <w:iCs/>
          <w:color w:val="000000" w:themeColor="text1"/>
          <w:sz w:val="16"/>
          <w:szCs w:val="16"/>
        </w:rPr>
      </w:pPr>
    </w:p>
    <w:p w14:paraId="12FC31C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 июня 1945 в Польше всем немцам, не занятым на восстановлении хозяйства, предписано немедленно покинуть страну (4962).</w:t>
      </w:r>
    </w:p>
    <w:p w14:paraId="700DC1A1"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FA92C16" w14:textId="77777777" w:rsidR="00B3672C" w:rsidRPr="00925F26" w:rsidRDefault="00B3672C" w:rsidP="00925F26">
      <w:pPr>
        <w:jc w:val="both"/>
        <w:rPr>
          <w:color w:val="000000" w:themeColor="text1"/>
          <w:sz w:val="16"/>
          <w:szCs w:val="16"/>
        </w:rPr>
      </w:pPr>
      <w:r w:rsidRPr="00925F26">
        <w:rPr>
          <w:color w:val="000000" w:themeColor="text1"/>
          <w:sz w:val="16"/>
          <w:szCs w:val="16"/>
        </w:rPr>
        <w:t>3–7 июня 1945 девятая атака Кикусуи у Окинавы, в которой участвуют только 50 камикадзе, не причиняет значительного ущерба (20371).</w:t>
      </w:r>
    </w:p>
    <w:p w14:paraId="280D1997" w14:textId="77777777" w:rsidR="00B3672C" w:rsidRPr="00925F26" w:rsidRDefault="00B3672C" w:rsidP="00925F26">
      <w:pPr>
        <w:jc w:val="both"/>
        <w:rPr>
          <w:color w:val="000000" w:themeColor="text1"/>
          <w:sz w:val="16"/>
          <w:szCs w:val="16"/>
        </w:rPr>
      </w:pPr>
    </w:p>
    <w:p w14:paraId="5ACA3BB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1B62C46A" w14:textId="77777777" w:rsidR="006103B3" w:rsidRPr="00925F26" w:rsidRDefault="006103B3" w:rsidP="00925F26">
      <w:pPr>
        <w:autoSpaceDE w:val="0"/>
        <w:autoSpaceDN w:val="0"/>
        <w:adjustRightInd w:val="0"/>
        <w:jc w:val="both"/>
        <w:rPr>
          <w:iCs/>
          <w:color w:val="000000" w:themeColor="text1"/>
          <w:sz w:val="16"/>
          <w:szCs w:val="16"/>
        </w:rPr>
      </w:pPr>
    </w:p>
    <w:p w14:paraId="3715C8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июня 1945 г командующим ВВС КА главным маршалом А.А.Новиковым был утвержден Акт по результатам государственных испытаний учебного штурмовика (7489).</w:t>
      </w:r>
    </w:p>
    <w:p w14:paraId="59BBFC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Предъявленный на госиспытания серийный УИл-10 (зав. № 106085) производства завода № 1 при полетном весе 5680 кг (вес пустого 4571 кг) показал максимальную скорость полета у земли 502 км/ч, на высоте 2500 м</w:t>
      </w:r>
    </w:p>
    <w:p w14:paraId="1BD953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- 560 км/ч. Время набора высоты 1000 м составило 1,5 мин, а высоты 3000 м</w:t>
      </w:r>
    </w:p>
    <w:p w14:paraId="7B7119A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- 4,8 мин. Длина разбега - 485 м, а пробега - 520 м. Посадочная скорость</w:t>
      </w:r>
    </w:p>
    <w:p w14:paraId="3CF29D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- 145 км/ч (7489).</w:t>
      </w:r>
    </w:p>
    <w:p w14:paraId="428E0C1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Основные отличия УИл-10 от боевого Ил-10 состояли в следующем: кабина стрелка была переоборудована в кабину летчика-инструктора, в которой было смонтировано второе управление самолетом, установлены приборная доска с указателем скорости, поворота, авиагоризонт, высотомер, компас. На самолете была снята бронепе-регородка между кабинами пилота и стрелка. Из вооружения были сняты пушки ВЯ-23, оборонительная установка ВУ-8 с пулеметом УБТ, держатель авиагранат АГ-2 и 2 балки РО. Изменена система механизма закрывания бомболюков (7489).</w:t>
      </w:r>
    </w:p>
    <w:p w14:paraId="5E723E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выводах отчета по испытаниям указывалось, что по технике пилотирования из первой кабины учебный штурмовик ничем не отличается от Ил-10, а из второй кабины - от УИл-2. Однако обзор (особенно на посадке) у УИл-10 был хуже, чем у Ил-10. Кроме того, вторая кабина не отвечала ТТТ на 1945 г.: "не удобно открывание и закрывание фонаря, нельзя открыть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
    <w:p w14:paraId="5FE4AD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заключение акта указывалось:</w:t>
      </w:r>
    </w:p>
    <w:p w14:paraId="62E25D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"Учитывая большую потребность в УИл-10, считать необходимым их выпуск продолжать, потребовав внесения всех изменений и устранения всех недостатков, после чего предъявить самолет на повторные испытания в ГК НИИ ВВС КА." (7489).</w:t>
      </w:r>
    </w:p>
    <w:p w14:paraId="213367B1" w14:textId="77777777" w:rsidR="006103B3" w:rsidRPr="00925F26" w:rsidRDefault="006103B3" w:rsidP="00925F26">
      <w:pPr>
        <w:autoSpaceDE w:val="0"/>
        <w:autoSpaceDN w:val="0"/>
        <w:adjustRightInd w:val="0"/>
        <w:jc w:val="both"/>
        <w:rPr>
          <w:color w:val="000000" w:themeColor="text1"/>
          <w:sz w:val="16"/>
          <w:szCs w:val="16"/>
        </w:rPr>
      </w:pPr>
    </w:p>
    <w:p w14:paraId="4C1DBC14" w14:textId="77777777" w:rsidR="00CC6018" w:rsidRPr="00925F26" w:rsidRDefault="00CC6018" w:rsidP="00925F26">
      <w:pPr>
        <w:jc w:val="both"/>
        <w:rPr>
          <w:color w:val="000000" w:themeColor="text1"/>
          <w:sz w:val="16"/>
          <w:szCs w:val="16"/>
        </w:rPr>
      </w:pPr>
      <w:r w:rsidRPr="00925F26">
        <w:rPr>
          <w:bCs/>
          <w:color w:val="000000" w:themeColor="text1"/>
          <w:sz w:val="16"/>
          <w:szCs w:val="16"/>
        </w:rPr>
        <w:t>4 июня</w:t>
      </w:r>
      <w:r w:rsidRPr="00925F26">
        <w:rPr>
          <w:color w:val="000000" w:themeColor="text1"/>
          <w:sz w:val="16"/>
          <w:szCs w:val="16"/>
        </w:rPr>
        <w:t xml:space="preserve"> в 1945 году командующим ВВС КА главным маршалом А.А.Новиковым утвержден акт по результатам государственных испытаний учебного штурмовика </w:t>
      </w:r>
      <w:hyperlink r:id="rId137" w:tgtFrame="_blank" w:history="1">
        <w:r w:rsidRPr="00925F26">
          <w:rPr>
            <w:color w:val="000000" w:themeColor="text1"/>
            <w:sz w:val="16"/>
            <w:szCs w:val="16"/>
          </w:rPr>
          <w:t xml:space="preserve">«УИл-10». </w:t>
        </w:r>
      </w:hyperlink>
    </w:p>
    <w:p w14:paraId="2BC52FBF" w14:textId="77777777" w:rsidR="00CC6018" w:rsidRPr="00925F26" w:rsidRDefault="00CC6018" w:rsidP="00925F26">
      <w:pPr>
        <w:jc w:val="both"/>
        <w:rPr>
          <w:color w:val="000000" w:themeColor="text1"/>
          <w:sz w:val="16"/>
          <w:szCs w:val="16"/>
        </w:rPr>
      </w:pPr>
    </w:p>
    <w:p w14:paraId="46C57C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N 8920сс о проверке в условиях боевого использования возможности принятия на вооружение ВМФ переоборудованного самолета Ли-2 в самолет тральщик для траления магнитных и индукционных мин по проекту, разработанному ГК завода 456 Голубковым (1896,55).</w:t>
      </w:r>
    </w:p>
    <w:p w14:paraId="21375A8D" w14:textId="77777777" w:rsidR="006103B3" w:rsidRPr="00925F26" w:rsidRDefault="006103B3" w:rsidP="00925F26">
      <w:pPr>
        <w:autoSpaceDE w:val="0"/>
        <w:autoSpaceDN w:val="0"/>
        <w:adjustRightInd w:val="0"/>
        <w:jc w:val="both"/>
        <w:rPr>
          <w:color w:val="000000" w:themeColor="text1"/>
          <w:sz w:val="16"/>
          <w:szCs w:val="16"/>
        </w:rPr>
      </w:pPr>
    </w:p>
    <w:p w14:paraId="639989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 8920 Об оборудовании самолета Ли-2 в самолет-тральщик. РГАНИР, Фонд ГКО, д. 425, лл. 2-3 (11012).</w:t>
      </w:r>
    </w:p>
    <w:p w14:paraId="144CED24" w14:textId="77777777" w:rsidR="006103B3" w:rsidRPr="00925F26" w:rsidRDefault="006103B3" w:rsidP="00925F26">
      <w:pPr>
        <w:autoSpaceDE w:val="0"/>
        <w:autoSpaceDN w:val="0"/>
        <w:adjustRightInd w:val="0"/>
        <w:jc w:val="both"/>
        <w:rPr>
          <w:color w:val="000000" w:themeColor="text1"/>
          <w:sz w:val="16"/>
          <w:szCs w:val="16"/>
        </w:rPr>
      </w:pPr>
    </w:p>
    <w:p w14:paraId="66323FB7" w14:textId="77777777" w:rsidR="000D0537" w:rsidRPr="00925F26" w:rsidRDefault="000D0537" w:rsidP="00925F26">
      <w:pPr>
        <w:jc w:val="both"/>
        <w:rPr>
          <w:color w:val="000000" w:themeColor="text1"/>
          <w:sz w:val="16"/>
          <w:szCs w:val="16"/>
        </w:rPr>
      </w:pPr>
      <w:r w:rsidRPr="00925F26">
        <w:rPr>
          <w:color w:val="000000" w:themeColor="text1"/>
          <w:sz w:val="16"/>
          <w:szCs w:val="16"/>
        </w:rPr>
        <w:t>4 июня 1945 вышло Постановление ГКО № 8920 Об оборудовании самолета Ли-2 в самолет-тральщик</w:t>
      </w:r>
    </w:p>
    <w:p w14:paraId="30C32DD1" w14:textId="77777777" w:rsidR="000D0537" w:rsidRPr="00925F26" w:rsidRDefault="000D0537"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целях проверки в условиях боевого использования возможности принятия на вооружение Военно-Морского Флота переоборудованного самолета Ли-2 в самолет-тральщик для траления магнитных к индукционных мин по проекту, разработанному главным конструктором завода № 456 Наркомавиапрома тов.Голубковнм, Государственный Комитет Обороны постановляет:</w:t>
      </w:r>
    </w:p>
    <w:p w14:paraId="4AC178B3" w14:textId="77777777" w:rsidR="000D0537" w:rsidRPr="00925F26" w:rsidRDefault="000D0537" w:rsidP="00925F26">
      <w:pPr>
        <w:pStyle w:val="27"/>
        <w:shd w:val="clear" w:color="auto" w:fill="auto"/>
        <w:tabs>
          <w:tab w:val="left" w:pos="895"/>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1. Обязать Наркомавиапром (т.Шахурина):</w:t>
      </w:r>
    </w:p>
    <w:p w14:paraId="7B4059B1" w14:textId="77777777" w:rsidR="000D0537" w:rsidRPr="00925F26" w:rsidRDefault="000D0537" w:rsidP="00925F26">
      <w:pPr>
        <w:pStyle w:val="27"/>
        <w:shd w:val="clear" w:color="auto" w:fill="auto"/>
        <w:tabs>
          <w:tab w:val="left" w:pos="935"/>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а) выделить в счет плана производства два самолета Ли-2 и поручить директору завода № 456 т.Еськову пере</w:t>
      </w:r>
      <w:r w:rsidRPr="00925F26">
        <w:rPr>
          <w:rFonts w:ascii="Times New Roman" w:cs="Times New Roman"/>
          <w:color w:val="000000" w:themeColor="text1"/>
          <w:spacing w:val="0"/>
        </w:rPr>
        <w:softHyphen/>
        <w:t>оборудовать их по проекту завода № 456 НКАП и НИИ-627 НКЭП в самолеты-тральщики магнитных мин со сроками пред"явления Наркомвоенморфлоту на летные испытания:</w:t>
      </w:r>
    </w:p>
    <w:p w14:paraId="6EBDE65D" w14:textId="77777777" w:rsidR="000D0537" w:rsidRPr="00925F26" w:rsidRDefault="000D0537" w:rsidP="00925F26">
      <w:pPr>
        <w:pStyle w:val="27"/>
        <w:shd w:val="clear" w:color="auto" w:fill="auto"/>
        <w:tabs>
          <w:tab w:val="left" w:pos="1128"/>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1го самолета - 1 октября 1945г.</w:t>
      </w:r>
    </w:p>
    <w:p w14:paraId="063B82C9" w14:textId="77777777" w:rsidR="000D0537" w:rsidRPr="00925F26" w:rsidRDefault="000D0537" w:rsidP="00925F26">
      <w:pPr>
        <w:pStyle w:val="27"/>
        <w:shd w:val="clear" w:color="auto" w:fill="auto"/>
        <w:tabs>
          <w:tab w:val="left" w:pos="1158"/>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2го самолета - 1 ноября 1945г.</w:t>
      </w:r>
    </w:p>
    <w:p w14:paraId="34151C62" w14:textId="77777777" w:rsidR="000D0537" w:rsidRPr="00925F26" w:rsidRDefault="000D0537" w:rsidP="00925F26">
      <w:pPr>
        <w:pStyle w:val="27"/>
        <w:shd w:val="clear" w:color="auto" w:fill="auto"/>
        <w:tabs>
          <w:tab w:val="left" w:pos="928"/>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б) поручить директору завода № 16 т.Лукину выделить три мотора МВ-6, изготовить соединительные муфты, при</w:t>
      </w:r>
      <w:r w:rsidRPr="00925F26">
        <w:rPr>
          <w:rFonts w:ascii="Times New Roman" w:cs="Times New Roman"/>
          <w:color w:val="000000" w:themeColor="text1"/>
          <w:spacing w:val="0"/>
        </w:rPr>
        <w:softHyphen/>
        <w:t>способить моторы к электрогенераторам ПСТ-3 и поста</w:t>
      </w:r>
      <w:r w:rsidRPr="00925F26">
        <w:rPr>
          <w:rFonts w:ascii="Times New Roman" w:cs="Times New Roman"/>
          <w:color w:val="000000" w:themeColor="text1"/>
          <w:spacing w:val="0"/>
        </w:rPr>
        <w:softHyphen/>
        <w:t>вить их эаводу № 456 к 15 июля 1945 года. Заводу № 456 закончить к 1 августа 1945г. установку мотор-гвнерато- ров на самолете Ли-2 для производства монтажа электро</w:t>
      </w:r>
      <w:r w:rsidRPr="00925F26">
        <w:rPr>
          <w:rFonts w:ascii="Times New Roman" w:cs="Times New Roman"/>
          <w:color w:val="000000" w:themeColor="text1"/>
          <w:spacing w:val="0"/>
        </w:rPr>
        <w:softHyphen/>
        <w:t>оборудования.</w:t>
      </w:r>
    </w:p>
    <w:p w14:paraId="28EE9A65" w14:textId="77777777" w:rsidR="000D0537" w:rsidRPr="00925F26" w:rsidRDefault="000D0537" w:rsidP="00925F26">
      <w:pPr>
        <w:pStyle w:val="27"/>
        <w:shd w:val="clear" w:color="auto" w:fill="auto"/>
        <w:tabs>
          <w:tab w:val="left" w:pos="925"/>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2. Обязать Наркомэлектропром (т.Кабанова):</w:t>
      </w:r>
    </w:p>
    <w:p w14:paraId="64A5D068" w14:textId="77777777" w:rsidR="000D0537" w:rsidRPr="00925F26" w:rsidRDefault="000D0537" w:rsidP="00925F26">
      <w:pPr>
        <w:pStyle w:val="27"/>
        <w:framePr w:h="259" w:wrap="around" w:hAnchor="margin" w:x="-1714" w:y="3451"/>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lang w:val="en-US"/>
        </w:rPr>
        <w:t>It</w:t>
      </w:r>
    </w:p>
    <w:p w14:paraId="48391D11" w14:textId="77777777" w:rsidR="000D0537" w:rsidRPr="00925F26" w:rsidRDefault="000D0537" w:rsidP="00925F26">
      <w:pPr>
        <w:jc w:val="both"/>
        <w:rPr>
          <w:color w:val="000000" w:themeColor="text1"/>
          <w:sz w:val="16"/>
          <w:szCs w:val="16"/>
        </w:rPr>
      </w:pPr>
      <w:r w:rsidRPr="00925F26">
        <w:rPr>
          <w:color w:val="000000" w:themeColor="text1"/>
          <w:sz w:val="16"/>
          <w:szCs w:val="16"/>
        </w:rPr>
        <w:t>а) изготовить и подать заводу № 456 НКАП к 15 июля 1945г. 10000 метров алюминиевого кабеля в облег</w:t>
      </w:r>
      <w:r w:rsidRPr="00925F26">
        <w:rPr>
          <w:color w:val="000000" w:themeColor="text1"/>
          <w:sz w:val="16"/>
          <w:szCs w:val="16"/>
        </w:rPr>
        <w:softHyphen/>
        <w:t>ченной изоляции по фондам Госплана на Ш квартал 1945г</w:t>
      </w:r>
    </w:p>
    <w:p w14:paraId="521CF59C" w14:textId="77777777" w:rsidR="000D0537" w:rsidRPr="00925F26" w:rsidRDefault="000D0537"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б) поручить НИИ-627 произвести к 1 сентября 1945г. монтаж всего электрооборудования на двух самолетах-траль</w:t>
      </w:r>
      <w:r w:rsidRPr="00925F26">
        <w:rPr>
          <w:rFonts w:ascii="Times New Roman" w:cs="Times New Roman"/>
          <w:color w:val="000000" w:themeColor="text1"/>
          <w:spacing w:val="0"/>
        </w:rPr>
        <w:softHyphen/>
        <w:t>щиках Ли-2 и изготовить в январе 1946г. опытный образец облегченного генератора мощностью 150-200 квт по тех</w:t>
      </w:r>
      <w:r w:rsidRPr="00925F26">
        <w:rPr>
          <w:rFonts w:ascii="Times New Roman" w:cs="Times New Roman"/>
          <w:color w:val="000000" w:themeColor="text1"/>
          <w:spacing w:val="0"/>
        </w:rPr>
        <w:softHyphen/>
        <w:t>ническим требованиям Наркомвоенморфлота.</w:t>
      </w:r>
    </w:p>
    <w:p w14:paraId="3C0732BF" w14:textId="77777777" w:rsidR="000D0537" w:rsidRPr="00925F26" w:rsidRDefault="000D0537" w:rsidP="00925F26">
      <w:pPr>
        <w:pStyle w:val="27"/>
        <w:shd w:val="clear" w:color="auto" w:fill="auto"/>
        <w:tabs>
          <w:tab w:val="left" w:pos="770"/>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3. Обявать Наркомвоенморфлот (т.Кузнецова) провести до 1 декабря 1945г- летные испытания самолета-тральщика Ли-2 и представить в ГОКО свое заключение о целесообраз</w:t>
      </w:r>
      <w:r w:rsidRPr="00925F26">
        <w:rPr>
          <w:rFonts w:ascii="Times New Roman" w:cs="Times New Roman"/>
          <w:color w:val="000000" w:themeColor="text1"/>
          <w:spacing w:val="0"/>
        </w:rPr>
        <w:softHyphen/>
        <w:t>ности принятия на ворружение Военно-Морского Флота ука</w:t>
      </w:r>
      <w:r w:rsidRPr="00925F26">
        <w:rPr>
          <w:rFonts w:ascii="Times New Roman" w:cs="Times New Roman"/>
          <w:color w:val="000000" w:themeColor="text1"/>
          <w:spacing w:val="0"/>
        </w:rPr>
        <w:softHyphen/>
        <w:t>занного самолета-тралыщик а также свои соображения о серийном производстве зтого- типа самолета.</w:t>
      </w:r>
    </w:p>
    <w:p w14:paraId="7B329164" w14:textId="77777777" w:rsidR="000D0537" w:rsidRPr="00925F26" w:rsidRDefault="000D0537" w:rsidP="00925F26">
      <w:pPr>
        <w:pStyle w:val="27"/>
        <w:shd w:val="clear" w:color="auto" w:fill="auto"/>
        <w:tabs>
          <w:tab w:val="left" w:pos="758"/>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4. Обяэать Академию наук СССР (Физический институт) разработать по</w:t>
      </w:r>
      <w:r w:rsidRPr="00925F26">
        <w:rPr>
          <w:rStyle w:val="FranklinGothicBook85pt0pt"/>
          <w:rFonts w:ascii="Times New Roman" w:hAnsi="Times New Roman" w:cs="Times New Roman"/>
          <w:b w:val="0"/>
          <w:color w:val="000000" w:themeColor="text1"/>
          <w:spacing w:val="0"/>
          <w:sz w:val="16"/>
          <w:szCs w:val="16"/>
        </w:rPr>
        <w:t xml:space="preserve"> заданию</w:t>
      </w:r>
      <w:r w:rsidRPr="00925F26">
        <w:rPr>
          <w:rFonts w:ascii="Times New Roman" w:cs="Times New Roman"/>
          <w:color w:val="000000" w:themeColor="text1"/>
          <w:spacing w:val="0"/>
        </w:rPr>
        <w:t xml:space="preserve"> Наркомвоенморфлота и изготовить опытный образец устройства для траления с самолетов акустических и комбинированных магнитно-акустических мин,</w:t>
      </w:r>
    </w:p>
    <w:p w14:paraId="5E009885" w14:textId="77777777" w:rsidR="000D0537" w:rsidRPr="00925F26" w:rsidRDefault="000D0537" w:rsidP="00925F26">
      <w:pPr>
        <w:pStyle w:val="27"/>
        <w:shd w:val="clear" w:color="auto" w:fill="auto"/>
        <w:tabs>
          <w:tab w:val="left" w:pos="770"/>
        </w:tabs>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5. Обяэать Наркомфин СССР (т.Зверева) выделить из резервного фонда Совнаркома СССР для проведения указан</w:t>
      </w:r>
      <w:r w:rsidRPr="00925F26">
        <w:rPr>
          <w:rFonts w:ascii="Times New Roman" w:cs="Times New Roman"/>
          <w:color w:val="000000" w:themeColor="text1"/>
          <w:spacing w:val="0"/>
        </w:rPr>
        <w:softHyphen/>
        <w:t>ных выше работ: Наркомавиапрому 2000 тыс.рублей, Наркомэлектропрому 700 тыс.рублей, Академии наук 200 тыс.руб</w:t>
      </w:r>
      <w:r w:rsidRPr="00925F26">
        <w:rPr>
          <w:rFonts w:ascii="Times New Roman" w:cs="Times New Roman"/>
          <w:color w:val="000000" w:themeColor="text1"/>
          <w:spacing w:val="0"/>
        </w:rPr>
        <w:softHyphen/>
        <w:t>лей, в том числе для премирования работников НКАП 200 тыс,руьле, НКЭП 70 тыс.рублей</w:t>
      </w:r>
      <w:r w:rsidRPr="00925F26">
        <w:rPr>
          <w:rStyle w:val="FranklinGothicBook85pt"/>
          <w:rFonts w:ascii="Times New Roman" w:hAnsi="Times New Roman" w:cs="Times New Roman"/>
          <w:b w:val="0"/>
          <w:color w:val="000000" w:themeColor="text1"/>
          <w:sz w:val="16"/>
          <w:szCs w:val="16"/>
        </w:rPr>
        <w:t xml:space="preserve"> за</w:t>
      </w:r>
      <w:r w:rsidRPr="00925F26">
        <w:rPr>
          <w:rFonts w:ascii="Times New Roman" w:cs="Times New Roman"/>
          <w:color w:val="000000" w:themeColor="text1"/>
          <w:spacing w:val="0"/>
        </w:rPr>
        <w:t xml:space="preserve"> своевременное и качественное выполненее настоящего</w:t>
      </w:r>
      <w:r w:rsidRPr="00925F26">
        <w:rPr>
          <w:rStyle w:val="FranklinGothicBook85pt"/>
          <w:rFonts w:ascii="Times New Roman" w:hAnsi="Times New Roman" w:cs="Times New Roman"/>
          <w:b w:val="0"/>
          <w:color w:val="000000" w:themeColor="text1"/>
          <w:sz w:val="16"/>
          <w:szCs w:val="16"/>
        </w:rPr>
        <w:t xml:space="preserve"> задания </w:t>
      </w:r>
      <w:r w:rsidRPr="00925F26">
        <w:rPr>
          <w:rFonts w:ascii="Times New Roman" w:cs="Times New Roman"/>
          <w:color w:val="000000" w:themeColor="text1"/>
          <w:spacing w:val="0"/>
        </w:rPr>
        <w:t>(19519).</w:t>
      </w:r>
    </w:p>
    <w:p w14:paraId="57E8156F" w14:textId="77777777" w:rsidR="000D0537" w:rsidRPr="00925F26" w:rsidRDefault="000D0537" w:rsidP="00925F26">
      <w:pPr>
        <w:autoSpaceDE w:val="0"/>
        <w:autoSpaceDN w:val="0"/>
        <w:adjustRightInd w:val="0"/>
        <w:jc w:val="both"/>
        <w:rPr>
          <w:color w:val="000000" w:themeColor="text1"/>
          <w:sz w:val="16"/>
          <w:szCs w:val="16"/>
        </w:rPr>
      </w:pPr>
    </w:p>
    <w:p w14:paraId="7D8B2B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июня 1945 был подписан:</w:t>
      </w:r>
    </w:p>
    <w:p w14:paraId="5F0FAD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Секретно</w:t>
      </w:r>
    </w:p>
    <w:p w14:paraId="7775760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Акт №94 по результатам государственных испытаний трофейного модифицированного самолета ФВ-190 Д-9 с мотором жидкостного охлаждения ЮМО-213А и винтом УS'-111 от 4.06.45 г. с утверждением п.п. командующего ВВС Красной Армии главного маршала авиации Новикова и капитана АТС Коломинова (8996).</w:t>
      </w:r>
    </w:p>
    <w:p w14:paraId="703E5404" w14:textId="77777777" w:rsidR="006103B3" w:rsidRPr="00925F26" w:rsidRDefault="006103B3" w:rsidP="00925F26">
      <w:pPr>
        <w:autoSpaceDE w:val="0"/>
        <w:autoSpaceDN w:val="0"/>
        <w:adjustRightInd w:val="0"/>
        <w:jc w:val="both"/>
        <w:rPr>
          <w:color w:val="000000" w:themeColor="text1"/>
          <w:sz w:val="16"/>
          <w:szCs w:val="16"/>
        </w:rPr>
      </w:pPr>
    </w:p>
    <w:p w14:paraId="586A43EF" w14:textId="77777777" w:rsidR="00D9707C" w:rsidRPr="001A0BAA" w:rsidRDefault="00D9707C" w:rsidP="00D9707C">
      <w:pPr>
        <w:jc w:val="both"/>
        <w:rPr>
          <w:color w:val="0070C0"/>
          <w:sz w:val="16"/>
          <w:szCs w:val="16"/>
        </w:rPr>
      </w:pPr>
      <w:r w:rsidRPr="001A0BAA">
        <w:rPr>
          <w:color w:val="0070C0"/>
          <w:sz w:val="16"/>
          <w:szCs w:val="16"/>
        </w:rPr>
        <w:t>4 июня 1945 года был утвержден Акт по результатам испытаний са</w:t>
      </w:r>
      <w:r w:rsidRPr="001A0BAA">
        <w:rPr>
          <w:color w:val="0070C0"/>
          <w:sz w:val="16"/>
          <w:szCs w:val="16"/>
        </w:rPr>
        <w:softHyphen/>
        <w:t>молета ФВ-190Д-9, в котором отмечалось:</w:t>
      </w:r>
    </w:p>
    <w:p w14:paraId="7FBD1AB0" w14:textId="77777777" w:rsidR="00D9707C" w:rsidRPr="001A0BAA" w:rsidRDefault="00D9707C" w:rsidP="00D9707C">
      <w:pPr>
        <w:jc w:val="both"/>
        <w:rPr>
          <w:color w:val="0070C0"/>
          <w:sz w:val="16"/>
          <w:szCs w:val="16"/>
        </w:rPr>
      </w:pPr>
      <w:r w:rsidRPr="001A0BAA">
        <w:rPr>
          <w:color w:val="0070C0"/>
          <w:sz w:val="16"/>
          <w:szCs w:val="16"/>
        </w:rPr>
        <w:t>«Кабина &lt;...&gt; ФВ-190Д-9 по оборудо</w:t>
      </w:r>
      <w:r w:rsidRPr="001A0BAA">
        <w:rPr>
          <w:color w:val="0070C0"/>
          <w:sz w:val="16"/>
          <w:szCs w:val="16"/>
        </w:rPr>
        <w:softHyphen/>
        <w:t>ванию и расположению рычагов управ</w:t>
      </w:r>
      <w:r w:rsidRPr="001A0BAA">
        <w:rPr>
          <w:color w:val="0070C0"/>
          <w:sz w:val="16"/>
          <w:szCs w:val="16"/>
        </w:rPr>
        <w:softHyphen/>
        <w:t>ления самолетом и мотором аналогична кабине ФВ- 190А-8...</w:t>
      </w:r>
    </w:p>
    <w:p w14:paraId="14B5BD3D" w14:textId="77777777" w:rsidR="00D9707C" w:rsidRPr="001A0BAA" w:rsidRDefault="00D9707C" w:rsidP="00D9707C">
      <w:pPr>
        <w:jc w:val="both"/>
        <w:rPr>
          <w:color w:val="0070C0"/>
          <w:sz w:val="16"/>
          <w:szCs w:val="16"/>
        </w:rPr>
      </w:pPr>
      <w:r w:rsidRPr="001A0BAA">
        <w:rPr>
          <w:color w:val="0070C0"/>
          <w:sz w:val="16"/>
          <w:szCs w:val="16"/>
        </w:rPr>
        <w:t>Обзор передней полусферы хороший, обзор задней полусферы ограничен бро- незаголовником.</w:t>
      </w:r>
    </w:p>
    <w:p w14:paraId="1B2984D6" w14:textId="77777777" w:rsidR="00D9707C" w:rsidRPr="001A0BAA" w:rsidRDefault="00D9707C" w:rsidP="00D9707C">
      <w:pPr>
        <w:jc w:val="both"/>
        <w:rPr>
          <w:color w:val="0070C0"/>
          <w:sz w:val="16"/>
          <w:szCs w:val="16"/>
        </w:rPr>
      </w:pPr>
      <w:r w:rsidRPr="001A0BAA">
        <w:rPr>
          <w:color w:val="0070C0"/>
          <w:sz w:val="16"/>
          <w:szCs w:val="16"/>
        </w:rPr>
        <w:t>На разбеге самолет имеет тенденцию к развороту влево, особенно при резкой даче газа и энергичном подъеме хвоста.</w:t>
      </w:r>
    </w:p>
    <w:p w14:paraId="22D9B7A6" w14:textId="77777777" w:rsidR="00D9707C" w:rsidRPr="001A0BAA" w:rsidRDefault="00D9707C" w:rsidP="00D9707C">
      <w:pPr>
        <w:jc w:val="both"/>
        <w:rPr>
          <w:color w:val="0070C0"/>
          <w:sz w:val="16"/>
          <w:szCs w:val="16"/>
        </w:rPr>
      </w:pPr>
      <w:r w:rsidRPr="001A0BAA">
        <w:rPr>
          <w:color w:val="0070C0"/>
          <w:sz w:val="16"/>
          <w:szCs w:val="16"/>
        </w:rPr>
        <w:t>Вертикальная скорость самолета по сравнению по сравнению с отечествен</w:t>
      </w:r>
      <w:r w:rsidRPr="001A0BAA">
        <w:rPr>
          <w:color w:val="0070C0"/>
          <w:sz w:val="16"/>
          <w:szCs w:val="16"/>
        </w:rPr>
        <w:softHyphen/>
        <w:t>ными истребителями мала.</w:t>
      </w:r>
    </w:p>
    <w:p w14:paraId="15670DBC" w14:textId="77777777" w:rsidR="00D9707C" w:rsidRPr="001A0BAA" w:rsidRDefault="00D9707C" w:rsidP="00D9707C">
      <w:pPr>
        <w:jc w:val="both"/>
        <w:rPr>
          <w:color w:val="0070C0"/>
          <w:sz w:val="16"/>
          <w:szCs w:val="16"/>
        </w:rPr>
      </w:pPr>
      <w:r w:rsidRPr="001A0BAA">
        <w:rPr>
          <w:color w:val="0070C0"/>
          <w:sz w:val="16"/>
          <w:szCs w:val="16"/>
        </w:rPr>
        <w:t>По сравнению с ФВ-190А-8 управле</w:t>
      </w:r>
      <w:r w:rsidRPr="001A0BAA">
        <w:rPr>
          <w:color w:val="0070C0"/>
          <w:sz w:val="16"/>
          <w:szCs w:val="16"/>
        </w:rPr>
        <w:softHyphen/>
        <w:t>ние самолета стало более тяжелым.</w:t>
      </w:r>
    </w:p>
    <w:p w14:paraId="2D86A224" w14:textId="77777777" w:rsidR="00D9707C" w:rsidRPr="001A0BAA" w:rsidRDefault="00D9707C" w:rsidP="00D9707C">
      <w:pPr>
        <w:jc w:val="both"/>
        <w:rPr>
          <w:color w:val="0070C0"/>
          <w:sz w:val="16"/>
          <w:szCs w:val="16"/>
        </w:rPr>
      </w:pPr>
      <w:r w:rsidRPr="001A0BAA">
        <w:rPr>
          <w:color w:val="0070C0"/>
          <w:sz w:val="16"/>
          <w:szCs w:val="16"/>
        </w:rPr>
        <w:t>Отсутствие регулируемых в полете триммеров на рулях &lt;...&gt; значительно затрудняет пилотирование самолета. На малых скоростях машина имеет тенден</w:t>
      </w:r>
      <w:r w:rsidRPr="001A0BAA">
        <w:rPr>
          <w:color w:val="0070C0"/>
          <w:sz w:val="16"/>
          <w:szCs w:val="16"/>
        </w:rPr>
        <w:softHyphen/>
        <w:t>цию к крену и развороту влево, а на боль</w:t>
      </w:r>
      <w:r w:rsidRPr="001A0BAA">
        <w:rPr>
          <w:color w:val="0070C0"/>
          <w:sz w:val="16"/>
          <w:szCs w:val="16"/>
        </w:rPr>
        <w:softHyphen/>
        <w:t>ших скоростях (свыше 450 км/ч) — вправо.</w:t>
      </w:r>
    </w:p>
    <w:p w14:paraId="21070570" w14:textId="77777777" w:rsidR="00D9707C" w:rsidRPr="001A0BAA" w:rsidRDefault="00D9707C" w:rsidP="00D9707C">
      <w:pPr>
        <w:jc w:val="both"/>
        <w:rPr>
          <w:color w:val="0070C0"/>
          <w:sz w:val="16"/>
          <w:szCs w:val="16"/>
        </w:rPr>
      </w:pPr>
      <w:r w:rsidRPr="001A0BAA">
        <w:rPr>
          <w:color w:val="0070C0"/>
          <w:sz w:val="16"/>
          <w:szCs w:val="16"/>
        </w:rPr>
        <w:t>Пилотаж на самолете выполняется нормально: исключение составляют ви</w:t>
      </w:r>
      <w:r w:rsidRPr="001A0BAA">
        <w:rPr>
          <w:color w:val="0070C0"/>
          <w:sz w:val="16"/>
          <w:szCs w:val="16"/>
        </w:rPr>
        <w:softHyphen/>
        <w:t>ражи. На виражах, главным образом на левых, наблюдается тряска хвостового оперения, возрастающая по мере увели</w:t>
      </w:r>
      <w:r w:rsidRPr="001A0BAA">
        <w:rPr>
          <w:color w:val="0070C0"/>
          <w:sz w:val="16"/>
          <w:szCs w:val="16"/>
        </w:rPr>
        <w:softHyphen/>
        <w:t>чения крена.</w:t>
      </w:r>
    </w:p>
    <w:p w14:paraId="256862AB" w14:textId="77777777" w:rsidR="00D9707C" w:rsidRPr="001A0BAA" w:rsidRDefault="00D9707C" w:rsidP="00D9707C">
      <w:pPr>
        <w:jc w:val="both"/>
        <w:rPr>
          <w:color w:val="0070C0"/>
          <w:sz w:val="16"/>
          <w:szCs w:val="16"/>
        </w:rPr>
      </w:pPr>
      <w:r w:rsidRPr="001A0BAA">
        <w:rPr>
          <w:color w:val="0070C0"/>
          <w:sz w:val="16"/>
          <w:szCs w:val="16"/>
        </w:rPr>
        <w:t>Время выполнения виража на высоте 1000 м составляет22 — 23 секунды, на вы</w:t>
      </w:r>
      <w:r w:rsidRPr="001A0BAA">
        <w:rPr>
          <w:color w:val="0070C0"/>
          <w:sz w:val="16"/>
          <w:szCs w:val="16"/>
        </w:rPr>
        <w:softHyphen/>
        <w:t>соте 5000 м — 24 —28 секунд.</w:t>
      </w:r>
    </w:p>
    <w:p w14:paraId="309E10D0" w14:textId="77777777" w:rsidR="00D9707C" w:rsidRPr="001A0BAA" w:rsidRDefault="00D9707C" w:rsidP="00D9707C">
      <w:pPr>
        <w:jc w:val="both"/>
        <w:rPr>
          <w:color w:val="0070C0"/>
          <w:sz w:val="16"/>
          <w:szCs w:val="16"/>
        </w:rPr>
      </w:pPr>
      <w:r w:rsidRPr="001A0BAA">
        <w:rPr>
          <w:color w:val="0070C0"/>
          <w:sz w:val="16"/>
          <w:szCs w:val="16"/>
        </w:rPr>
        <w:t>За боевой разворот с высоты 1000 м самолет набирает 1000 м, а с 5000 м — 900 м.</w:t>
      </w:r>
    </w:p>
    <w:p w14:paraId="3AF7DB79" w14:textId="77777777" w:rsidR="00D9707C" w:rsidRPr="001A0BAA" w:rsidRDefault="00D9707C" w:rsidP="00D9707C">
      <w:pPr>
        <w:jc w:val="both"/>
        <w:rPr>
          <w:color w:val="0070C0"/>
          <w:sz w:val="16"/>
          <w:szCs w:val="16"/>
        </w:rPr>
      </w:pPr>
      <w:r w:rsidRPr="001A0BAA">
        <w:rPr>
          <w:color w:val="0070C0"/>
          <w:sz w:val="16"/>
          <w:szCs w:val="16"/>
        </w:rPr>
        <w:t>На пикировании самолет быстро на</w:t>
      </w:r>
      <w:r w:rsidRPr="001A0BAA">
        <w:rPr>
          <w:color w:val="0070C0"/>
          <w:sz w:val="16"/>
          <w:szCs w:val="16"/>
        </w:rPr>
        <w:softHyphen/>
        <w:t>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w:t>
      </w:r>
      <w:r w:rsidRPr="001A0BAA">
        <w:rPr>
          <w:color w:val="0070C0"/>
          <w:sz w:val="16"/>
          <w:szCs w:val="16"/>
        </w:rPr>
        <w:softHyphen/>
        <w:t>руемым в полете стабилизатором. Перед посадкой его нужно устанавливать на минимальный угол. На пробеге самолет ры</w:t>
      </w:r>
      <w:r w:rsidRPr="001A0BAA">
        <w:rPr>
          <w:color w:val="0070C0"/>
          <w:sz w:val="16"/>
          <w:szCs w:val="16"/>
        </w:rPr>
        <w:softHyphen/>
        <w:t>скает.</w:t>
      </w:r>
    </w:p>
    <w:p w14:paraId="51AB779D" w14:textId="77777777" w:rsidR="00D9707C" w:rsidRPr="001A0BAA" w:rsidRDefault="00D9707C" w:rsidP="00D9707C">
      <w:pPr>
        <w:jc w:val="both"/>
        <w:rPr>
          <w:color w:val="0070C0"/>
          <w:sz w:val="16"/>
          <w:szCs w:val="16"/>
        </w:rPr>
      </w:pPr>
      <w:r w:rsidRPr="001A0BAA">
        <w:rPr>
          <w:color w:val="0070C0"/>
          <w:sz w:val="16"/>
          <w:szCs w:val="16"/>
        </w:rPr>
        <w:t>Управление пулеметно-пушечным во</w:t>
      </w:r>
      <w:r w:rsidRPr="001A0BAA">
        <w:rPr>
          <w:color w:val="0070C0"/>
          <w:sz w:val="16"/>
          <w:szCs w:val="16"/>
        </w:rPr>
        <w:softHyphen/>
        <w:t>оружением удобное. При стрельбе с пики</w:t>
      </w:r>
      <w:r w:rsidRPr="001A0BAA">
        <w:rPr>
          <w:color w:val="0070C0"/>
          <w:sz w:val="16"/>
          <w:szCs w:val="16"/>
        </w:rPr>
        <w:softHyphen/>
        <w:t>рования по наземной цели одновременно из всех огневых точек самолет ведет се</w:t>
      </w:r>
      <w:r w:rsidRPr="001A0BAA">
        <w:rPr>
          <w:color w:val="0070C0"/>
          <w:sz w:val="16"/>
          <w:szCs w:val="16"/>
        </w:rPr>
        <w:softHyphen/>
        <w:t>бя устойчиво. Силу отдачи оружия летчик почти не ощущает.</w:t>
      </w:r>
    </w:p>
    <w:p w14:paraId="3A18A6E4" w14:textId="77777777" w:rsidR="00D9707C" w:rsidRPr="001A0BAA" w:rsidRDefault="00D9707C" w:rsidP="00D9707C">
      <w:pPr>
        <w:jc w:val="both"/>
        <w:rPr>
          <w:color w:val="0070C0"/>
          <w:sz w:val="16"/>
          <w:szCs w:val="16"/>
        </w:rPr>
      </w:pPr>
      <w:r w:rsidRPr="001A0BAA">
        <w:rPr>
          <w:color w:val="0070C0"/>
          <w:sz w:val="16"/>
          <w:szCs w:val="16"/>
        </w:rPr>
        <w:t>Проведенный воздушный бой самоле</w:t>
      </w:r>
      <w:r w:rsidRPr="001A0BAA">
        <w:rPr>
          <w:color w:val="0070C0"/>
          <w:sz w:val="16"/>
          <w:szCs w:val="16"/>
        </w:rPr>
        <w:softHyphen/>
        <w:t>та ФВ- 190Д-9 с отечественным скорост</w:t>
      </w:r>
      <w:r w:rsidRPr="001A0BAA">
        <w:rPr>
          <w:color w:val="0070C0"/>
          <w:sz w:val="16"/>
          <w:szCs w:val="16"/>
        </w:rPr>
        <w:softHyphen/>
        <w:t>ным бомбардировщиком «63» (имеется в виду самолет «СДБ» ОКБ А.Н.Туполева, модификация Ту-2</w:t>
      </w:r>
      <w:r w:rsidRPr="001A0BAA">
        <w:rPr>
          <w:b/>
          <w:bCs/>
          <w:color w:val="0070C0"/>
          <w:sz w:val="16"/>
          <w:szCs w:val="16"/>
        </w:rPr>
        <w:t xml:space="preserve">) </w:t>
      </w:r>
      <w:r w:rsidRPr="001A0BAA">
        <w:rPr>
          <w:color w:val="0070C0"/>
          <w:sz w:val="16"/>
          <w:szCs w:val="16"/>
        </w:rPr>
        <w:t>пока</w:t>
      </w:r>
      <w:r w:rsidRPr="001A0BAA">
        <w:rPr>
          <w:color w:val="0070C0"/>
          <w:sz w:val="16"/>
          <w:szCs w:val="16"/>
        </w:rPr>
        <w:softHyphen/>
        <w:t>зал, что из-за отсутствия преимущества в максимальной горизонтальной скоро</w:t>
      </w:r>
      <w:r w:rsidRPr="001A0BAA">
        <w:rPr>
          <w:color w:val="0070C0"/>
          <w:sz w:val="16"/>
          <w:szCs w:val="16"/>
        </w:rPr>
        <w:softHyphen/>
        <w:t>сти и малого преимущества в вертикаль</w:t>
      </w:r>
      <w:r w:rsidRPr="001A0BAA">
        <w:rPr>
          <w:color w:val="0070C0"/>
          <w:sz w:val="16"/>
          <w:szCs w:val="16"/>
        </w:rPr>
        <w:softHyphen/>
        <w:t>ной скорости ФВ-190Д-9 в горизонталь</w:t>
      </w:r>
      <w:r w:rsidRPr="001A0BAA">
        <w:rPr>
          <w:color w:val="0070C0"/>
          <w:sz w:val="16"/>
          <w:szCs w:val="16"/>
        </w:rPr>
        <w:softHyphen/>
        <w:t>ном полете и на наборе высоты имеет возможность производить атаки только под небольшими углами в задней полу</w:t>
      </w:r>
      <w:r w:rsidRPr="001A0BAA">
        <w:rPr>
          <w:color w:val="0070C0"/>
          <w:sz w:val="16"/>
          <w:szCs w:val="16"/>
        </w:rPr>
        <w:softHyphen/>
        <w:t>сфере.</w:t>
      </w:r>
    </w:p>
    <w:p w14:paraId="5EC73F09" w14:textId="77777777" w:rsidR="00D9707C" w:rsidRPr="001A0BAA" w:rsidRDefault="00D9707C" w:rsidP="00D9707C">
      <w:pPr>
        <w:jc w:val="both"/>
        <w:rPr>
          <w:color w:val="0070C0"/>
          <w:sz w:val="16"/>
          <w:szCs w:val="16"/>
        </w:rPr>
      </w:pPr>
      <w:r w:rsidRPr="001A0BAA">
        <w:rPr>
          <w:color w:val="0070C0"/>
          <w:sz w:val="16"/>
          <w:szCs w:val="16"/>
        </w:rPr>
        <w:t>При снижении самолет ФВ- 190Д-9 мо</w:t>
      </w:r>
      <w:r w:rsidRPr="001A0BAA">
        <w:rPr>
          <w:color w:val="0070C0"/>
          <w:sz w:val="16"/>
          <w:szCs w:val="16"/>
        </w:rPr>
        <w:softHyphen/>
        <w:t>жет производить атаки бомбардировщика «63» значительно свободнее и под боль</w:t>
      </w:r>
      <w:r w:rsidRPr="001A0BAA">
        <w:rPr>
          <w:color w:val="0070C0"/>
          <w:sz w:val="16"/>
          <w:szCs w:val="16"/>
        </w:rPr>
        <w:softHyphen/>
        <w:t>шими углами, чем при горизонтальном полете, вследствие более быстрого набо</w:t>
      </w:r>
      <w:r w:rsidRPr="001A0BAA">
        <w:rPr>
          <w:color w:val="0070C0"/>
          <w:sz w:val="16"/>
          <w:szCs w:val="16"/>
        </w:rPr>
        <w:softHyphen/>
        <w:t>ра скорости.</w:t>
      </w:r>
    </w:p>
    <w:p w14:paraId="1CCA1DAE" w14:textId="77777777" w:rsidR="00D9707C" w:rsidRPr="001A0BAA" w:rsidRDefault="00D9707C" w:rsidP="00D9707C">
      <w:pPr>
        <w:jc w:val="both"/>
        <w:rPr>
          <w:color w:val="0070C0"/>
          <w:sz w:val="16"/>
          <w:szCs w:val="16"/>
        </w:rPr>
      </w:pPr>
      <w:r w:rsidRPr="001A0BAA">
        <w:rPr>
          <w:color w:val="0070C0"/>
          <w:sz w:val="16"/>
          <w:szCs w:val="16"/>
        </w:rPr>
        <w:t>Проведенный воздушный бой само</w:t>
      </w:r>
      <w:r w:rsidRPr="001A0BAA">
        <w:rPr>
          <w:color w:val="0070C0"/>
          <w:sz w:val="16"/>
          <w:szCs w:val="16"/>
        </w:rPr>
        <w:softHyphen/>
        <w:t>лета ФВ-190Д-9 с &lt;...&gt; Ла-7 показал, что Ла-7 имеет значительные преимущества перед ним по максимальным скоростям, скороподъемности и маневренности в го</w:t>
      </w:r>
      <w:r w:rsidRPr="001A0BAA">
        <w:rPr>
          <w:color w:val="0070C0"/>
          <w:sz w:val="16"/>
          <w:szCs w:val="16"/>
        </w:rPr>
        <w:softHyphen/>
        <w:t>ризонтальной и вертикальной плоскостях.</w:t>
      </w:r>
    </w:p>
    <w:p w14:paraId="10E154C9" w14:textId="77777777" w:rsidR="00D9707C" w:rsidRPr="001A0BAA" w:rsidRDefault="00D9707C" w:rsidP="00D9707C">
      <w:pPr>
        <w:jc w:val="both"/>
        <w:rPr>
          <w:color w:val="0070C0"/>
          <w:sz w:val="16"/>
          <w:szCs w:val="16"/>
        </w:rPr>
      </w:pPr>
      <w:r w:rsidRPr="001A0BAA">
        <w:rPr>
          <w:color w:val="0070C0"/>
          <w:sz w:val="16"/>
          <w:szCs w:val="16"/>
        </w:rPr>
        <w:t>В горизонтальном маневре при встре</w:t>
      </w:r>
      <w:r w:rsidRPr="001A0BAA">
        <w:rPr>
          <w:color w:val="0070C0"/>
          <w:sz w:val="16"/>
          <w:szCs w:val="16"/>
        </w:rPr>
        <w:softHyphen/>
        <w:t>че на скоростях 0,9 от максимальных &lt;...&gt; Ла-7 заходит в хвост &lt;...&gt; ФВ-190Д-9 за 2 — 2,5 виража.</w:t>
      </w:r>
    </w:p>
    <w:p w14:paraId="2F7E5BD1" w14:textId="77777777" w:rsidR="00D9707C" w:rsidRPr="001A0BAA" w:rsidRDefault="00D9707C" w:rsidP="00D9707C">
      <w:pPr>
        <w:jc w:val="both"/>
        <w:rPr>
          <w:color w:val="0070C0"/>
          <w:sz w:val="16"/>
          <w:szCs w:val="16"/>
        </w:rPr>
      </w:pPr>
      <w:r w:rsidRPr="001A0BAA">
        <w:rPr>
          <w:color w:val="0070C0"/>
          <w:sz w:val="16"/>
          <w:szCs w:val="16"/>
        </w:rPr>
        <w:t>В вертикальном маневре при встрече на максимальных скоростяхЛа-7 набира</w:t>
      </w:r>
      <w:r w:rsidRPr="001A0BAA">
        <w:rPr>
          <w:color w:val="0070C0"/>
          <w:sz w:val="16"/>
          <w:szCs w:val="16"/>
        </w:rPr>
        <w:softHyphen/>
        <w:t>ет за боевой разворот большую высоту и, имея превосходство в высоте, заходит в хвост самолету ФВ-190Д-9».</w:t>
      </w:r>
    </w:p>
    <w:p w14:paraId="1D952EA1" w14:textId="77777777" w:rsidR="00D9707C" w:rsidRPr="001A0BAA" w:rsidRDefault="00D9707C" w:rsidP="00D9707C">
      <w:pPr>
        <w:jc w:val="both"/>
        <w:rPr>
          <w:color w:val="0070C0"/>
          <w:sz w:val="16"/>
          <w:szCs w:val="16"/>
        </w:rPr>
      </w:pPr>
      <w:r w:rsidRPr="001A0BAA">
        <w:rPr>
          <w:color w:val="0070C0"/>
          <w:sz w:val="16"/>
          <w:szCs w:val="16"/>
        </w:rPr>
        <w:t>В заключении Акта по результатам ис</w:t>
      </w:r>
      <w:r w:rsidRPr="001A0BAA">
        <w:rPr>
          <w:color w:val="0070C0"/>
          <w:sz w:val="16"/>
          <w:szCs w:val="16"/>
        </w:rPr>
        <w:softHyphen/>
        <w:t>пытаний отмечалось, в частности:</w:t>
      </w:r>
    </w:p>
    <w:p w14:paraId="7F2A97D2" w14:textId="77777777" w:rsidR="00D9707C" w:rsidRPr="001A0BAA" w:rsidRDefault="00D9707C" w:rsidP="00D9707C">
      <w:pPr>
        <w:jc w:val="both"/>
        <w:rPr>
          <w:color w:val="0070C0"/>
          <w:sz w:val="16"/>
          <w:szCs w:val="16"/>
        </w:rPr>
      </w:pPr>
      <w:r w:rsidRPr="001A0BAA">
        <w:rPr>
          <w:color w:val="0070C0"/>
          <w:sz w:val="16"/>
          <w:szCs w:val="16"/>
        </w:rPr>
        <w:t>«1. Самолет «Фокке-Вульф-190Д-9» с мотором жидкостного охлаждения ЮМО-213А уступает по летно-тактиче</w:t>
      </w:r>
      <w:r w:rsidRPr="001A0BAA">
        <w:rPr>
          <w:color w:val="0070C0"/>
          <w:sz w:val="16"/>
          <w:szCs w:val="16"/>
        </w:rPr>
        <w:softHyphen/>
        <w:t>ским данным отечественным серийным истребителям Як-9У с ВК-107А, Як-3 с ВК- 105ПФ-2 и Ла-7 с АШ-82ФН.</w:t>
      </w:r>
    </w:p>
    <w:p w14:paraId="200F627B" w14:textId="77777777" w:rsidR="00D9707C" w:rsidRPr="001A0BAA" w:rsidRDefault="00D9707C" w:rsidP="00D9707C">
      <w:pPr>
        <w:jc w:val="both"/>
        <w:rPr>
          <w:color w:val="0070C0"/>
          <w:sz w:val="16"/>
          <w:szCs w:val="16"/>
        </w:rPr>
      </w:pPr>
      <w:r w:rsidRPr="001A0BAA">
        <w:rPr>
          <w:color w:val="0070C0"/>
          <w:sz w:val="16"/>
          <w:szCs w:val="16"/>
        </w:rPr>
        <w:t>2. Замена мотора &lt;...&gt; воздушного охлаждения на &lt;...&gt; ЮМО-213А привела к незначительному увеличению макси</w:t>
      </w:r>
      <w:r w:rsidRPr="001A0BAA">
        <w:rPr>
          <w:color w:val="0070C0"/>
          <w:sz w:val="16"/>
          <w:szCs w:val="16"/>
        </w:rPr>
        <w:softHyphen/>
        <w:t>мальных горизонтальных скоростей са</w:t>
      </w:r>
      <w:r w:rsidRPr="001A0BAA">
        <w:rPr>
          <w:color w:val="0070C0"/>
          <w:sz w:val="16"/>
          <w:szCs w:val="16"/>
        </w:rPr>
        <w:softHyphen/>
        <w:t>молета» (24988).</w:t>
      </w:r>
    </w:p>
    <w:p w14:paraId="0941C0A9" w14:textId="77777777" w:rsidR="00D9707C" w:rsidRPr="001A0BAA" w:rsidRDefault="00D9707C" w:rsidP="00D9707C">
      <w:pPr>
        <w:jc w:val="both"/>
        <w:rPr>
          <w:color w:val="0070C0"/>
          <w:sz w:val="16"/>
          <w:szCs w:val="16"/>
        </w:rPr>
      </w:pPr>
    </w:p>
    <w:p w14:paraId="222A1D5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4B5084C" w14:textId="77777777" w:rsidR="006103B3" w:rsidRPr="00925F26" w:rsidRDefault="006103B3" w:rsidP="00925F26">
      <w:pPr>
        <w:autoSpaceDE w:val="0"/>
        <w:autoSpaceDN w:val="0"/>
        <w:adjustRightInd w:val="0"/>
        <w:jc w:val="both"/>
        <w:rPr>
          <w:iCs/>
          <w:color w:val="000000" w:themeColor="text1"/>
          <w:sz w:val="16"/>
          <w:szCs w:val="16"/>
        </w:rPr>
      </w:pPr>
    </w:p>
    <w:p w14:paraId="700C1616" w14:textId="77777777" w:rsidR="00BB4FEE" w:rsidRPr="00925F26" w:rsidRDefault="00BB4FEE"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4 июня 1945 года в ГБТУ КА пришла информация о найденном неподалеку от Цоссена опытном образце немецкого </w:t>
      </w:r>
      <w:hyperlink r:id="rId138" w:history="1">
        <w:r w:rsidRPr="00925F26">
          <w:rPr>
            <w:rStyle w:val="a5"/>
            <w:color w:val="000000" w:themeColor="text1"/>
            <w:sz w:val="16"/>
            <w:szCs w:val="16"/>
          </w:rPr>
          <w:t>сверхтяжелого танка Pz.Kpfw. Maus</w:t>
        </w:r>
      </w:hyperlink>
      <w:r w:rsidRPr="00925F26">
        <w:rPr>
          <w:color w:val="000000" w:themeColor="text1"/>
          <w:sz w:val="16"/>
          <w:szCs w:val="16"/>
        </w:rPr>
        <w:t>. Еще одна такая машина обнаружилась на полигоне Куммерсдорф. Также в Австрии был захвачен вполне исправный образец немецкого истребителя танков Jagdtiger. Стало ясно, что предполагавшаяся защита Объекта 257 от 122-мм пушки БЛ-13 с лобовой части уже недостаточна. Теперь в качестве орудия, от которого должна была защищать броня перспективных тяжелых танков, выступали 12,8 cm Pak 44 и KwK 44, которые ставились, соответственно, в Jagdtiger и Pz.Kpfw. Maus. Это означало, что боевую массу танка придется увеличивать.</w:t>
      </w:r>
    </w:p>
    <w:p w14:paraId="1AB838F7" w14:textId="77777777" w:rsidR="00BB4FEE" w:rsidRPr="00925F26" w:rsidRDefault="00BB4FEE" w:rsidP="00925F26">
      <w:pPr>
        <w:pStyle w:val="ae"/>
        <w:shd w:val="clear" w:color="auto" w:fill="FFFFFF"/>
        <w:spacing w:before="0" w:after="0"/>
        <w:jc w:val="both"/>
        <w:rPr>
          <w:color w:val="000000" w:themeColor="text1"/>
          <w:sz w:val="16"/>
          <w:szCs w:val="16"/>
        </w:rPr>
      </w:pPr>
      <w:r w:rsidRPr="00925F26">
        <w:rPr>
          <w:color w:val="000000" w:themeColor="text1"/>
          <w:sz w:val="16"/>
          <w:szCs w:val="16"/>
        </w:rPr>
        <w:t>Одновременно пришлось пересматривать и вооружение. Дело в том, что для БЛ-13 броня обнаруженных немецких боевых машин являлась предельной. Пробить ее она могла разве что в упор. Таким образом, нужна была замена, которая быстро нашлась. Ею стала 130-мм пушка С-26, которую спроектировал коллектив ЦАКБ под руководством В.Г. Грабина. Но теперь появилась новая проблема, которая заключалась в том, что существующая башня Объекта 257 по внутренним габаритам для новой пушки не подходила (17209).</w:t>
      </w:r>
    </w:p>
    <w:p w14:paraId="286E0FA8" w14:textId="77777777" w:rsidR="00BB4FEE" w:rsidRPr="00925F26" w:rsidRDefault="00BB4FEE" w:rsidP="00925F26">
      <w:pPr>
        <w:pStyle w:val="ae"/>
        <w:shd w:val="clear" w:color="auto" w:fill="FFFFFF"/>
        <w:spacing w:before="0" w:after="0"/>
        <w:jc w:val="both"/>
        <w:rPr>
          <w:color w:val="000000" w:themeColor="text1"/>
          <w:sz w:val="16"/>
          <w:szCs w:val="16"/>
        </w:rPr>
      </w:pPr>
    </w:p>
    <w:p w14:paraId="215B75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июня 1945 г. была подготовлена ВЕДОМОСТЬ ПРЕДНАЗНАЧЕНИЯ ЦЕНТРАЛЬНЫХ АВТОРЕМОНТНЫХ ЗАВОДОВ КРАСНОЙ АРМИИ №1352883</w:t>
      </w:r>
    </w:p>
    <w:tbl>
      <w:tblPr>
        <w:tblW w:w="0" w:type="auto"/>
        <w:tblInd w:w="40" w:type="dxa"/>
        <w:tblLayout w:type="fixed"/>
        <w:tblCellMar>
          <w:left w:w="40" w:type="dxa"/>
          <w:right w:w="40" w:type="dxa"/>
        </w:tblCellMar>
        <w:tblLook w:val="0000" w:firstRow="0" w:lastRow="0" w:firstColumn="0" w:lastColumn="0" w:noHBand="0" w:noVBand="0"/>
      </w:tblPr>
      <w:tblGrid>
        <w:gridCol w:w="480"/>
        <w:gridCol w:w="4032"/>
        <w:gridCol w:w="902"/>
        <w:gridCol w:w="1085"/>
        <w:gridCol w:w="3149"/>
      </w:tblGrid>
      <w:tr w:rsidR="000F5689" w:rsidRPr="00925F26" w14:paraId="123DE48F"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4CAA19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п/п</w:t>
            </w:r>
          </w:p>
          <w:p w14:paraId="34ADD0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B3218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Наименование заводов</w:t>
            </w:r>
          </w:p>
          <w:p w14:paraId="1BD686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F315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штата</w:t>
            </w:r>
          </w:p>
          <w:p w14:paraId="7B86D5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B16F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Какого подчи</w:t>
            </w:r>
            <w:r w:rsidRPr="00925F26">
              <w:rPr>
                <w:color w:val="000000" w:themeColor="text1"/>
                <w:sz w:val="16"/>
                <w:szCs w:val="16"/>
              </w:rPr>
              <w:softHyphen/>
              <w:t>нения</w:t>
            </w:r>
          </w:p>
          <w:p w14:paraId="781104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FE5CC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Предложение по дальнейшему использованию</w:t>
            </w:r>
          </w:p>
          <w:p w14:paraId="6DE556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4C9F87E"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6B760F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w:t>
            </w:r>
          </w:p>
          <w:p w14:paraId="2B3D7B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70AEAA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Автомобильный ремонтный завод №10 в Харькове</w:t>
            </w:r>
          </w:p>
          <w:p w14:paraId="77D1F5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B2200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032/43А</w:t>
            </w:r>
          </w:p>
          <w:p w14:paraId="68838A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6828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4BD493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532F6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по существующему штату</w:t>
            </w:r>
          </w:p>
          <w:p w14:paraId="7F358F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7C27B2F"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134ED0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51A604E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691610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Автомобильный ремонтный завод №1 1 в Киеве</w:t>
            </w:r>
          </w:p>
          <w:p w14:paraId="0E847D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D196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032/43А</w:t>
            </w:r>
          </w:p>
          <w:p w14:paraId="0278B5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C83C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7BC1F7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5B3B815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Передать в народное хозяйство</w:t>
            </w:r>
          </w:p>
          <w:p w14:paraId="14DD45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7B9D614"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4AFC73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51EF41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62A894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Центральный авторемонтный завод НКО №26 во Львове</w:t>
            </w:r>
          </w:p>
          <w:p w14:paraId="785A37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2276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032/31</w:t>
            </w:r>
          </w:p>
          <w:p w14:paraId="1D185A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65B7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3B3F7A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0D4D8D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с переводом на штат №032/43Ак1.01.1945 г.</w:t>
            </w:r>
          </w:p>
          <w:p w14:paraId="7342E0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97E2073"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5F569B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18A7B0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741F99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Авторемонтный завод №38 в Москве</w:t>
            </w:r>
          </w:p>
          <w:p w14:paraId="7B4054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E7605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032/32</w:t>
            </w:r>
          </w:p>
          <w:p w14:paraId="606867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47A3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77606C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492DC1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с переводом на штат №032/43Ак1.01.1945 г.</w:t>
            </w:r>
          </w:p>
          <w:p w14:paraId="7B676A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F9F6DF2"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06AFBC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1EDFB4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70FD9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Центральный авторемонтный завод НКО №39 в Москве</w:t>
            </w:r>
          </w:p>
          <w:p w14:paraId="06260A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678C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032/41</w:t>
            </w:r>
          </w:p>
          <w:p w14:paraId="2B8B2B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1733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360DBA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47A6B5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с переводом на штат №032/43Ак1.01.1945 г.</w:t>
            </w:r>
          </w:p>
          <w:p w14:paraId="619FEE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0445C27"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3249AC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4F5F8E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1FD834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Центральный авторемонтный завод НКО №44 в Доктау (Вост. Пруссия)</w:t>
            </w:r>
          </w:p>
          <w:p w14:paraId="446F68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138A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032/31</w:t>
            </w:r>
          </w:p>
          <w:p w14:paraId="65AB07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59DB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2B3F87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F3FC6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Передать в народное хозяйство</w:t>
            </w:r>
          </w:p>
          <w:p w14:paraId="0CAFD3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2248DF7"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69902D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5B4048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4C37B12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Центральный авторемонтный завод НКО №45 в Виннице</w:t>
            </w:r>
          </w:p>
          <w:p w14:paraId="0F941C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022CDE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032/41</w:t>
            </w:r>
          </w:p>
          <w:p w14:paraId="1242DF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9577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431022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5CFC86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с переводом на штат №032/43Ак1.01.1946 г.</w:t>
            </w:r>
          </w:p>
          <w:p w14:paraId="5EC54C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3D80BC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F6718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w:t>
            </w:r>
          </w:p>
          <w:p w14:paraId="1118EDD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46A29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Автомобильный ремонтный завод №51 в Днепропетровске</w:t>
            </w:r>
          </w:p>
          <w:p w14:paraId="77B7A0E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AA4FC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032/43А</w:t>
            </w:r>
          </w:p>
          <w:p w14:paraId="0664D2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E03FC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09FB5B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0AF536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по существующему штату</w:t>
            </w:r>
          </w:p>
          <w:p w14:paraId="7C2573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CA128B0"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524809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w:t>
            </w:r>
          </w:p>
          <w:p w14:paraId="30A49FD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369538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Центральный авторемонтный завод НКО №1 12 в Москве</w:t>
            </w:r>
          </w:p>
          <w:p w14:paraId="159DAE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2CE3E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032/91</w:t>
            </w:r>
          </w:p>
          <w:p w14:paraId="1E2FE1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DF11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61B15EF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6C95C0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 в ГАВТУ КА с переводом на штат №032/43Ак1.01.1946 г.</w:t>
            </w:r>
          </w:p>
          <w:p w14:paraId="480E03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74BDFC2" w14:textId="77777777">
        <w:trPr>
          <w:trHeight w:val="422"/>
        </w:trPr>
        <w:tc>
          <w:tcPr>
            <w:tcW w:w="480" w:type="dxa"/>
            <w:tcBorders>
              <w:top w:val="single" w:sz="6" w:space="0" w:color="auto"/>
              <w:left w:val="single" w:sz="6" w:space="0" w:color="auto"/>
              <w:bottom w:val="single" w:sz="6" w:space="0" w:color="auto"/>
              <w:right w:val="single" w:sz="6" w:space="0" w:color="auto"/>
            </w:tcBorders>
          </w:tcPr>
          <w:p w14:paraId="2DA2DC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p w14:paraId="5C0432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27FFC3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Полевой автомобильно-агрегатный ремонтный завод НКО №1 14 1 -и Белорусский фронт</w:t>
            </w:r>
          </w:p>
          <w:p w14:paraId="19F936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89CF6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032/91</w:t>
            </w:r>
          </w:p>
          <w:p w14:paraId="089A5D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F91C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ГАВТУКА</w:t>
            </w:r>
          </w:p>
          <w:p w14:paraId="03D0AE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77CF63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Оставить</w:t>
            </w:r>
          </w:p>
          <w:p w14:paraId="6A1D0B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bl>
    <w:p w14:paraId="34D418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ГАВТУ КА генерал-лейтенант технических войск Тягунов</w:t>
      </w:r>
    </w:p>
    <w:p w14:paraId="47AF61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41. Оп. 11584. Д. 584. Л. 3. Копия (11420).</w:t>
      </w:r>
    </w:p>
    <w:p w14:paraId="2E40AEE2" w14:textId="77777777" w:rsidR="006103B3" w:rsidRPr="00925F26" w:rsidRDefault="006103B3" w:rsidP="00925F26">
      <w:pPr>
        <w:autoSpaceDE w:val="0"/>
        <w:autoSpaceDN w:val="0"/>
        <w:adjustRightInd w:val="0"/>
        <w:jc w:val="both"/>
        <w:rPr>
          <w:color w:val="000000" w:themeColor="text1"/>
          <w:sz w:val="16"/>
          <w:szCs w:val="16"/>
        </w:rPr>
      </w:pPr>
    </w:p>
    <w:p w14:paraId="0281EE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июня 1945 советскими войсками в Германии были найдены два сверхтяжелых немецких танка.</w:t>
      </w:r>
    </w:p>
    <w:p w14:paraId="4DAEC6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Один из них, с вооруженной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45126F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Особенностью сверхтяжелых танков является применение электротрансмиссии и спаренной установки пушек: крупного калибра (128 мм) и калибра 75 мм.</w:t>
      </w:r>
    </w:p>
    <w:p w14:paraId="6F3962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показаниям немецких инженеров, работавших на танковом полигоне, сверхтяжелые танки проектировались конструктором Порше в районе Штутгарт-Боблинген и были изготовлены фирмой Нибелунгенверке (в Австрии).</w:t>
      </w:r>
    </w:p>
    <w:p w14:paraId="077E69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конце декабря 1944 года оба танка были доставлены на танковый полигон для испытаний, отку</w:t>
      </w:r>
      <w:r w:rsidRPr="00925F26">
        <w:rPr>
          <w:color w:val="000000" w:themeColor="text1"/>
          <w:sz w:val="16"/>
          <w:szCs w:val="16"/>
        </w:rPr>
        <w:softHyphen/>
        <w:t>да один (вооруженный) образец в марте с.г. был своим ходом доставлен в Штамлагер.</w:t>
      </w:r>
    </w:p>
    <w:p w14:paraId="179FD2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2725. Л. 15. Копия (11420).</w:t>
      </w:r>
    </w:p>
    <w:p w14:paraId="695FC493" w14:textId="77777777" w:rsidR="006103B3" w:rsidRPr="00925F26" w:rsidRDefault="006103B3" w:rsidP="00925F26">
      <w:pPr>
        <w:autoSpaceDE w:val="0"/>
        <w:autoSpaceDN w:val="0"/>
        <w:adjustRightInd w:val="0"/>
        <w:jc w:val="both"/>
        <w:rPr>
          <w:color w:val="000000" w:themeColor="text1"/>
          <w:sz w:val="16"/>
          <w:szCs w:val="16"/>
        </w:rPr>
      </w:pPr>
    </w:p>
    <w:p w14:paraId="1A0518B1" w14:textId="77777777" w:rsidR="002365D7" w:rsidRPr="00925F26" w:rsidRDefault="002365D7" w:rsidP="00925F26">
      <w:pPr>
        <w:shd w:val="clear" w:color="auto" w:fill="FFFFFF"/>
        <w:jc w:val="both"/>
        <w:rPr>
          <w:color w:val="000000" w:themeColor="text1"/>
          <w:sz w:val="16"/>
          <w:szCs w:val="16"/>
        </w:rPr>
      </w:pPr>
      <w:r w:rsidRPr="00925F26">
        <w:rPr>
          <w:color w:val="000000" w:themeColor="text1"/>
          <w:sz w:val="16"/>
          <w:szCs w:val="16"/>
        </w:rPr>
        <w:t xml:space="preserve">4 июня 1945 года в ГБТУ КА пришла информация о найденном неподалёку от Цоссена опытном образце немецкого </w:t>
      </w:r>
      <w:hyperlink r:id="rId139" w:history="1">
        <w:r w:rsidRPr="00925F26">
          <w:rPr>
            <w:color w:val="000000" w:themeColor="text1"/>
            <w:sz w:val="16"/>
            <w:szCs w:val="16"/>
          </w:rPr>
          <w:t>сверхтяжёлого танка Pz.Kpfw. Maus</w:t>
        </w:r>
      </w:hyperlink>
      <w:r w:rsidRPr="00925F26">
        <w:rPr>
          <w:color w:val="000000" w:themeColor="text1"/>
          <w:sz w:val="16"/>
          <w:szCs w:val="16"/>
        </w:rPr>
        <w:t>. Ещё одна такая машина обнаружилась на полигоне Куммерсдорф. Также в Австрии был захвачен вполне исправный образец немецкого истребителя танков Jagdtiger. Стало ясно, что предполагавшаяся защита Объекта 257 от 122-мм пушки БЛ-13 с лобовой части уже недостаточна. Теперь в качестве орудия, от которого должна была защищать броня перспективных тяжёлых танков, выступали 12,8 cm Pak 44 и KwK 44, которые ставились, соответственно, в Jagdtiger и Pz.Kpfw. Maus. Это означало, что боевую массу танка придется увеличивать.</w:t>
      </w:r>
    </w:p>
    <w:p w14:paraId="5090F73F" w14:textId="77777777" w:rsidR="002365D7" w:rsidRPr="00925F26" w:rsidRDefault="002365D7" w:rsidP="00925F26">
      <w:pPr>
        <w:shd w:val="clear" w:color="auto" w:fill="FFFFFF"/>
        <w:jc w:val="both"/>
        <w:rPr>
          <w:color w:val="000000" w:themeColor="text1"/>
          <w:sz w:val="16"/>
          <w:szCs w:val="16"/>
        </w:rPr>
      </w:pPr>
      <w:r w:rsidRPr="00925F26">
        <w:rPr>
          <w:color w:val="000000" w:themeColor="text1"/>
          <w:sz w:val="16"/>
          <w:szCs w:val="16"/>
        </w:rPr>
        <w:t>Одновременно пришлось пересматривать и вооружение. Дело в том, что для БЛ-13 броня обнаруженных немецких боевых машин являлась предельной. Пробить её она могла разве что в упор. Таким образом, нужна была замена, которая быстро нашлась. Ею стала 130-мм пушка С-26, которую спроектировал коллектив ЦАКБ под руководством В. Г. Грабина. Но теперь появилась новая проблема, которая заключалась в том, что существующая башня Объекта 257 по внутренним габаритам для новой пушки не подходила (16735).</w:t>
      </w:r>
    </w:p>
    <w:p w14:paraId="646A0786" w14:textId="77777777" w:rsidR="002365D7" w:rsidRPr="00925F26" w:rsidRDefault="002365D7" w:rsidP="00925F26">
      <w:pPr>
        <w:jc w:val="both"/>
        <w:rPr>
          <w:rStyle w:val="107"/>
          <w:rFonts w:eastAsiaTheme="minorHAnsi"/>
          <w:color w:val="000000" w:themeColor="text1"/>
          <w:sz w:val="16"/>
          <w:szCs w:val="16"/>
        </w:rPr>
      </w:pPr>
    </w:p>
    <w:p w14:paraId="52AF7F2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июня 1945 года вышел приказ № 207с НКБ</w:t>
      </w:r>
    </w:p>
    <w:p w14:paraId="31AD4B4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Совнаркома от 25 мая 1945 года № 8252:</w:t>
      </w:r>
    </w:p>
    <w:p w14:paraId="602E2D1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Передать в ведение Совнаркома Литовской ССР завод № 508, находящийся на территории Литовской ССР (5763, 154).</w:t>
      </w:r>
    </w:p>
    <w:p w14:paraId="6685026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7BA1FF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 8917 Об общем плане перевозок по железнодорожному и водному транспорту на июнь 1945 г. (7346, 167).</w:t>
      </w:r>
    </w:p>
    <w:p w14:paraId="5A68BB1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EDF41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 8918 О плане и мерах по обеспечению перевозок народнохозяйственных грузов по железнодорожному, речному и морскому транспорту на июнь 1945 года. РГАНИР, Фонд ГКО, д. 423, лл. 1-12, 13-234 (11012).</w:t>
      </w:r>
    </w:p>
    <w:p w14:paraId="55ECD98C" w14:textId="77777777" w:rsidR="006103B3" w:rsidRPr="00925F26" w:rsidRDefault="006103B3" w:rsidP="00925F26">
      <w:pPr>
        <w:autoSpaceDE w:val="0"/>
        <w:autoSpaceDN w:val="0"/>
        <w:adjustRightInd w:val="0"/>
        <w:jc w:val="both"/>
        <w:rPr>
          <w:color w:val="000000" w:themeColor="text1"/>
          <w:sz w:val="16"/>
          <w:szCs w:val="16"/>
        </w:rPr>
      </w:pPr>
    </w:p>
    <w:p w14:paraId="7A62BBF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 8922 [О плане ремонта и производства военно-технического имущества на II кв.1945 г. по НКО СССР.] (7347, 16-18,19-78).</w:t>
      </w:r>
    </w:p>
    <w:p w14:paraId="38D26A2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B3EDE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 8923 Об обеспечении рабочей силой предприятий Наркомбумпрома в г. г. Тильзит, Кенигсберг, Рагнит, Велау и Мемель. РГАНИР, Фонд ГКО, д. 425, лл. 79-84, 85-86 (11012).</w:t>
      </w:r>
    </w:p>
    <w:p w14:paraId="35F99550" w14:textId="77777777" w:rsidR="006103B3" w:rsidRPr="00925F26" w:rsidRDefault="006103B3" w:rsidP="00925F26">
      <w:pPr>
        <w:autoSpaceDE w:val="0"/>
        <w:autoSpaceDN w:val="0"/>
        <w:adjustRightInd w:val="0"/>
        <w:jc w:val="both"/>
        <w:rPr>
          <w:color w:val="000000" w:themeColor="text1"/>
          <w:sz w:val="16"/>
          <w:szCs w:val="16"/>
        </w:rPr>
      </w:pPr>
    </w:p>
    <w:p w14:paraId="42E1F8C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июня 1945 вышло Постановление ГКО № 8924 О строительстве шоссейных дорог для обеспечения автотранспортной связи между промышленными и областными центрами страны. (7347, 87-91,92-95).</w:t>
      </w:r>
    </w:p>
    <w:p w14:paraId="7212A909"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0EBB2EF" w14:textId="77777777" w:rsidR="00B44E2B"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D3C4D9E" w14:textId="77777777" w:rsidR="00B44E2B" w:rsidRPr="00925F26" w:rsidRDefault="00B44E2B" w:rsidP="00925F26">
      <w:pPr>
        <w:tabs>
          <w:tab w:val="left" w:pos="11199"/>
        </w:tabs>
        <w:autoSpaceDE w:val="0"/>
        <w:autoSpaceDN w:val="0"/>
        <w:adjustRightInd w:val="0"/>
        <w:jc w:val="both"/>
        <w:rPr>
          <w:color w:val="000000" w:themeColor="text1"/>
          <w:sz w:val="16"/>
          <w:szCs w:val="16"/>
        </w:rPr>
      </w:pPr>
    </w:p>
    <w:p w14:paraId="0D7A9B97" w14:textId="77777777" w:rsidR="00B44E2B" w:rsidRPr="00925F26" w:rsidRDefault="00B44E2B" w:rsidP="00925F26">
      <w:pPr>
        <w:jc w:val="both"/>
        <w:rPr>
          <w:color w:val="000000" w:themeColor="text1"/>
          <w:sz w:val="16"/>
          <w:szCs w:val="16"/>
        </w:rPr>
      </w:pPr>
      <w:r w:rsidRPr="00925F26">
        <w:rPr>
          <w:bCs/>
          <w:color w:val="000000" w:themeColor="text1"/>
          <w:sz w:val="16"/>
          <w:szCs w:val="16"/>
        </w:rPr>
        <w:t>4 июня</w:t>
      </w:r>
      <w:r w:rsidRPr="00925F26">
        <w:rPr>
          <w:color w:val="000000" w:themeColor="text1"/>
          <w:sz w:val="16"/>
          <w:szCs w:val="16"/>
        </w:rPr>
        <w:t xml:space="preserve"> в 1945 году указом Президиума Верховного Совета СССР генерал армии Алексей Антонов и маршал Семен Тимошенко награждены высшим военным орденом "Победа" (14912).</w:t>
      </w:r>
    </w:p>
    <w:p w14:paraId="33AFA6A1" w14:textId="77777777" w:rsidR="00B44E2B" w:rsidRPr="00925F26" w:rsidRDefault="00B44E2B" w:rsidP="00925F26">
      <w:pPr>
        <w:jc w:val="both"/>
        <w:rPr>
          <w:color w:val="000000" w:themeColor="text1"/>
          <w:sz w:val="16"/>
          <w:szCs w:val="16"/>
        </w:rPr>
      </w:pPr>
    </w:p>
    <w:p w14:paraId="74983FD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FD6BECE" w14:textId="77777777" w:rsidR="006103B3" w:rsidRPr="00925F26" w:rsidRDefault="006103B3" w:rsidP="00925F26">
      <w:pPr>
        <w:autoSpaceDE w:val="0"/>
        <w:autoSpaceDN w:val="0"/>
        <w:adjustRightInd w:val="0"/>
        <w:jc w:val="both"/>
        <w:rPr>
          <w:iCs/>
          <w:color w:val="000000" w:themeColor="text1"/>
          <w:sz w:val="16"/>
          <w:szCs w:val="16"/>
        </w:rPr>
      </w:pPr>
    </w:p>
    <w:p w14:paraId="3C629D42"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июня 1945 вышло Распоряжение ГКО № 8919 [О выделении автомашин, мотоциклов и лошадей для органов НКВД СССР в освобожденных районах.] (7347, 1).</w:t>
      </w:r>
    </w:p>
    <w:p w14:paraId="2E37BE33"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B88807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4 июня 1945 вышло Постановление ГКО № 8921 О распределении военнопленных и мероприятиях по улучшению их трудового использования. (7347, 4-14,15).</w:t>
      </w:r>
    </w:p>
    <w:p w14:paraId="2EB5628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F925E5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D3AF6E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A1E7240" w14:textId="77777777" w:rsidR="00B44E2B" w:rsidRPr="00925F26" w:rsidRDefault="00B44E2B" w:rsidP="00925F26">
      <w:pPr>
        <w:jc w:val="both"/>
        <w:rPr>
          <w:color w:val="000000" w:themeColor="text1"/>
          <w:sz w:val="16"/>
          <w:szCs w:val="16"/>
        </w:rPr>
      </w:pPr>
      <w:r w:rsidRPr="00925F26">
        <w:rPr>
          <w:bCs/>
          <w:color w:val="000000" w:themeColor="text1"/>
          <w:sz w:val="16"/>
          <w:szCs w:val="16"/>
        </w:rPr>
        <w:t>4 июня</w:t>
      </w:r>
      <w:r w:rsidRPr="00925F26">
        <w:rPr>
          <w:color w:val="000000" w:themeColor="text1"/>
          <w:sz w:val="16"/>
          <w:szCs w:val="16"/>
        </w:rPr>
        <w:t xml:space="preserve"> в 1945 году создана Союзническая комиссия по Австрии. Австрия разделена на четыре зоны </w:t>
      </w:r>
      <w:proofErr w:type="gramStart"/>
      <w:r w:rsidRPr="00925F26">
        <w:rPr>
          <w:color w:val="000000" w:themeColor="text1"/>
          <w:sz w:val="16"/>
          <w:szCs w:val="16"/>
        </w:rPr>
        <w:t>оккупации</w:t>
      </w:r>
      <w:proofErr w:type="gramEnd"/>
      <w:r w:rsidRPr="00925F26">
        <w:rPr>
          <w:color w:val="000000" w:themeColor="text1"/>
          <w:sz w:val="16"/>
          <w:szCs w:val="16"/>
        </w:rPr>
        <w:t xml:space="preserve"> Союзники гарантировали восстановление Австрии в границах 1937 года (14912).</w:t>
      </w:r>
    </w:p>
    <w:p w14:paraId="0D11F0E6" w14:textId="77777777" w:rsidR="00B44E2B" w:rsidRPr="00925F26" w:rsidRDefault="00B44E2B" w:rsidP="00925F26">
      <w:pPr>
        <w:jc w:val="both"/>
        <w:rPr>
          <w:color w:val="000000" w:themeColor="text1"/>
          <w:sz w:val="16"/>
          <w:szCs w:val="16"/>
        </w:rPr>
      </w:pPr>
    </w:p>
    <w:p w14:paraId="04534D66" w14:textId="77777777" w:rsidR="00B44E2B" w:rsidRPr="00925F26" w:rsidRDefault="00B44E2B" w:rsidP="00925F26">
      <w:pPr>
        <w:jc w:val="both"/>
        <w:rPr>
          <w:color w:val="000000" w:themeColor="text1"/>
          <w:sz w:val="16"/>
          <w:szCs w:val="16"/>
        </w:rPr>
      </w:pPr>
      <w:r w:rsidRPr="00925F26">
        <w:rPr>
          <w:bCs/>
          <w:color w:val="000000" w:themeColor="text1"/>
          <w:sz w:val="16"/>
          <w:szCs w:val="16"/>
        </w:rPr>
        <w:t>4 июня</w:t>
      </w:r>
      <w:r w:rsidRPr="00925F26">
        <w:rPr>
          <w:color w:val="000000" w:themeColor="text1"/>
          <w:sz w:val="16"/>
          <w:szCs w:val="16"/>
        </w:rPr>
        <w:t xml:space="preserve"> в 1945 году Черчилль в предвыборной речи по радио заявил, что социализм тесно переплетается с тоталитарными идеями и «отвратительным преклонением перед государством» (14912).</w:t>
      </w:r>
    </w:p>
    <w:p w14:paraId="0ACCEB1E" w14:textId="77777777" w:rsidR="00B44E2B" w:rsidRPr="00925F26" w:rsidRDefault="00B44E2B" w:rsidP="00925F26">
      <w:pPr>
        <w:jc w:val="both"/>
        <w:rPr>
          <w:color w:val="000000" w:themeColor="text1"/>
          <w:sz w:val="16"/>
          <w:szCs w:val="16"/>
        </w:rPr>
      </w:pPr>
    </w:p>
    <w:p w14:paraId="7264A60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4 июня 1945 единый национальный фронт Вьетнама - Вьетмин, созданный по инициативе КП Индокитая, создал первый освобожденный р-н в Северном Вьетнаме (3960, 219).</w:t>
      </w:r>
    </w:p>
    <w:p w14:paraId="1A433DD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0A8BB3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4234A2F" w14:textId="77777777" w:rsidR="006103B3" w:rsidRPr="00925F26" w:rsidRDefault="006103B3" w:rsidP="00925F26">
      <w:pPr>
        <w:autoSpaceDE w:val="0"/>
        <w:autoSpaceDN w:val="0"/>
        <w:adjustRightInd w:val="0"/>
        <w:jc w:val="both"/>
        <w:rPr>
          <w:iCs/>
          <w:color w:val="000000" w:themeColor="text1"/>
          <w:sz w:val="16"/>
          <w:szCs w:val="16"/>
        </w:rPr>
      </w:pPr>
    </w:p>
    <w:p w14:paraId="58E1A3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вышел приказ Командующего ВВС и НКАП N 0116/239с "О проведении гос. испытаний опытного 2-х местного бронированного штурмовика Ил-8 N 1 с АМ-42 и опытным винтом АВ-9Л-22В конструкции С.В.И. производства завода 240:</w:t>
      </w:r>
    </w:p>
    <w:p w14:paraId="6351CD7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Испытания начать 5 июня 1945 и закончить в течение 12 летных дней." (1897,86).</w:t>
      </w:r>
    </w:p>
    <w:p w14:paraId="544413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Точно, что начали и провели в срок.</w:t>
      </w:r>
    </w:p>
    <w:p w14:paraId="52BFAEDF" w14:textId="77777777" w:rsidR="006103B3" w:rsidRPr="00925F26" w:rsidRDefault="006103B3" w:rsidP="00925F26">
      <w:pPr>
        <w:autoSpaceDE w:val="0"/>
        <w:autoSpaceDN w:val="0"/>
        <w:adjustRightInd w:val="0"/>
        <w:jc w:val="both"/>
        <w:rPr>
          <w:color w:val="000000" w:themeColor="text1"/>
          <w:sz w:val="16"/>
          <w:szCs w:val="16"/>
        </w:rPr>
      </w:pPr>
    </w:p>
    <w:p w14:paraId="1EA472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Командующий ВВС гма А.А.Новиков утвердил Акт по гос. испытаниям самолета Пе-8 (ТБ-7) N 42712 с 4хАЧ-30Б и ВИШ-61-В-1 в пассажирском варианте</w:t>
      </w:r>
    </w:p>
    <w:p w14:paraId="25C21D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Отв. испытатели:</w:t>
      </w:r>
    </w:p>
    <w:p w14:paraId="22F6CC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 и/п м</w:t>
      </w:r>
      <w:proofErr w:type="gramStart"/>
      <w:r w:rsidRPr="00925F26">
        <w:rPr>
          <w:color w:val="000000" w:themeColor="text1"/>
          <w:sz w:val="16"/>
          <w:szCs w:val="16"/>
        </w:rPr>
        <w:t>.</w:t>
      </w:r>
      <w:proofErr w:type="gramEnd"/>
      <w:r w:rsidRPr="00925F26">
        <w:rPr>
          <w:color w:val="000000" w:themeColor="text1"/>
          <w:sz w:val="16"/>
          <w:szCs w:val="16"/>
        </w:rPr>
        <w:t>и.Панюшкин</w:t>
      </w:r>
    </w:p>
    <w:p w14:paraId="71103A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вл пп В.И.Жданов</w:t>
      </w:r>
    </w:p>
    <w:p w14:paraId="16AA68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исп. Панюшкин</w:t>
      </w:r>
    </w:p>
    <w:p w14:paraId="227BFD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Краткие сведения об объекте и результатах испытаний:</w:t>
      </w:r>
    </w:p>
    <w:p w14:paraId="09BB75C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77A2EF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40DBF2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Вторым самолетом, проходившим госиспытания, был самолет ТБ-7 № 42015 с моторами АМ-35А и винтами ВИШ-24.</w:t>
      </w:r>
    </w:p>
    <w:p w14:paraId="50FD8A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29B4FC3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F3C00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 ТБ-7 (Пе-8) 4АМ-35А успешно участвовал в ОВ в составе 45 тяжелой АД ДД.</w:t>
      </w:r>
    </w:p>
    <w:p w14:paraId="5BF0DA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420050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 проходил заводские контрольные испытания в г. Казани на заводе № 22 с 25 февраля по 4 марта 1945 г.</w:t>
      </w:r>
    </w:p>
    <w:p w14:paraId="212C251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359739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05849C3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4B68D7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101A39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Бомбовое вооружение полностью снято.</w:t>
      </w:r>
    </w:p>
    <w:p w14:paraId="590DE7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05835E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1BD7929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381FA1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Заключение:</w:t>
      </w:r>
    </w:p>
    <w:p w14:paraId="308AE0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5ACB3A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189218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44D8D5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4D8FAA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Акт разослать:</w:t>
      </w:r>
    </w:p>
    <w:p w14:paraId="1B9019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Шахурину,</w:t>
      </w:r>
    </w:p>
    <w:p w14:paraId="022B67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УК ЦК ВКП(б)</w:t>
      </w:r>
    </w:p>
    <w:p w14:paraId="5624CC2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Шиманову</w:t>
      </w:r>
    </w:p>
    <w:p w14:paraId="5CB7EB9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Репину</w:t>
      </w:r>
    </w:p>
    <w:p w14:paraId="16D552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ГК завода № 22 Незвалю</w:t>
      </w:r>
    </w:p>
    <w:p w14:paraId="10C03D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 НИИ ГК ВВС, чл. ВС Петрову</w:t>
      </w:r>
    </w:p>
    <w:p w14:paraId="39F709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Из выводов.</w:t>
      </w:r>
    </w:p>
    <w:p w14:paraId="552D1D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ВМГ</w:t>
      </w:r>
    </w:p>
    <w:p w14:paraId="3ED09B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3F8AF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Основные дефекты в работе ВМГ</w:t>
      </w:r>
    </w:p>
    <w:p w14:paraId="5682D3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плохая работа РПД (не обеспечивается поддержка наддува). Заменено 6 РПД по различным причинам</w:t>
      </w:r>
    </w:p>
    <w:p w14:paraId="73F3B2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6701EA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падение давления масла на 4-м (правом крайнем) моторе ниже допустимого предела</w:t>
      </w:r>
    </w:p>
    <w:p w14:paraId="4F9D35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выброс масла через дренаж мотора при заправке более 250 л в каждый бак, хотя емкость бака 500 л.</w:t>
      </w:r>
    </w:p>
    <w:p w14:paraId="5D0BCF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29287C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113732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0D9F26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D84BF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пулеметно-пушечное вооружение самолета неотработано и некомплектно.</w:t>
      </w:r>
    </w:p>
    <w:p w14:paraId="58ABFE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В кабину экипажа проникают дурнопахнущие продукты термического разложения керосина, концентрация которых недопустима (0,12 </w:t>
      </w:r>
      <w:proofErr w:type="gramStart"/>
      <w:r w:rsidRPr="00925F26">
        <w:rPr>
          <w:color w:val="000000" w:themeColor="text1"/>
          <w:sz w:val="16"/>
          <w:szCs w:val="16"/>
        </w:rPr>
        <w:t>мг,литр</w:t>
      </w:r>
      <w:proofErr w:type="gramEnd"/>
      <w:r w:rsidRPr="00925F26">
        <w:rPr>
          <w:color w:val="000000" w:themeColor="text1"/>
          <w:sz w:val="16"/>
          <w:szCs w:val="16"/>
        </w:rPr>
        <w:t>), т.к. может повлиять на работоспособность экипажа</w:t>
      </w:r>
    </w:p>
    <w:p w14:paraId="59574AC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0F5689" w:rsidRPr="00925F26" w14:paraId="1AAD45A8" w14:textId="77777777">
        <w:tc>
          <w:tcPr>
            <w:tcW w:w="4219" w:type="dxa"/>
            <w:tcBorders>
              <w:top w:val="single" w:sz="12" w:space="0" w:color="auto"/>
            </w:tcBorders>
          </w:tcPr>
          <w:p w14:paraId="04DBC8A0" w14:textId="77777777" w:rsidR="006103B3" w:rsidRPr="00925F26" w:rsidRDefault="006103B3" w:rsidP="00925F26">
            <w:pPr>
              <w:autoSpaceDE w:val="0"/>
              <w:autoSpaceDN w:val="0"/>
              <w:adjustRightInd w:val="0"/>
              <w:jc w:val="both"/>
              <w:rPr>
                <w:color w:val="000000" w:themeColor="text1"/>
                <w:sz w:val="16"/>
                <w:szCs w:val="16"/>
              </w:rPr>
            </w:pPr>
          </w:p>
        </w:tc>
        <w:tc>
          <w:tcPr>
            <w:tcW w:w="2330" w:type="dxa"/>
            <w:tcBorders>
              <w:top w:val="single" w:sz="12" w:space="0" w:color="auto"/>
            </w:tcBorders>
          </w:tcPr>
          <w:p w14:paraId="7EAC54E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3442E7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05C2BB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4М-40 бомбардировщик, испытания февраля 1941</w:t>
            </w:r>
          </w:p>
        </w:tc>
      </w:tr>
      <w:tr w:rsidR="000F5689" w:rsidRPr="00925F26" w14:paraId="09041633" w14:textId="77777777">
        <w:tc>
          <w:tcPr>
            <w:tcW w:w="4219" w:type="dxa"/>
          </w:tcPr>
          <w:p w14:paraId="0455FF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w:t>
            </w:r>
          </w:p>
        </w:tc>
        <w:tc>
          <w:tcPr>
            <w:tcW w:w="2330" w:type="dxa"/>
          </w:tcPr>
          <w:p w14:paraId="722442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22864</w:t>
            </w:r>
          </w:p>
        </w:tc>
        <w:tc>
          <w:tcPr>
            <w:tcW w:w="2330" w:type="dxa"/>
          </w:tcPr>
          <w:p w14:paraId="741C9A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18571</w:t>
            </w:r>
          </w:p>
        </w:tc>
        <w:tc>
          <w:tcPr>
            <w:tcW w:w="2330" w:type="dxa"/>
          </w:tcPr>
          <w:p w14:paraId="0856E7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19790</w:t>
            </w:r>
          </w:p>
        </w:tc>
      </w:tr>
      <w:tr w:rsidR="000F5689" w:rsidRPr="00925F26" w14:paraId="2FE0838D" w14:textId="77777777">
        <w:tc>
          <w:tcPr>
            <w:tcW w:w="4219" w:type="dxa"/>
          </w:tcPr>
          <w:p w14:paraId="7CD457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Нормальный полетный вес</w:t>
            </w:r>
          </w:p>
        </w:tc>
        <w:tc>
          <w:tcPr>
            <w:tcW w:w="2330" w:type="dxa"/>
          </w:tcPr>
          <w:p w14:paraId="792513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30000</w:t>
            </w:r>
          </w:p>
        </w:tc>
        <w:tc>
          <w:tcPr>
            <w:tcW w:w="2330" w:type="dxa"/>
          </w:tcPr>
          <w:p w14:paraId="1E76D8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27000</w:t>
            </w:r>
          </w:p>
        </w:tc>
        <w:tc>
          <w:tcPr>
            <w:tcW w:w="2330" w:type="dxa"/>
          </w:tcPr>
          <w:p w14:paraId="506AE5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26000</w:t>
            </w:r>
          </w:p>
        </w:tc>
      </w:tr>
      <w:tr w:rsidR="000F5689" w:rsidRPr="00925F26" w14:paraId="4864EC53" w14:textId="77777777">
        <w:tc>
          <w:tcPr>
            <w:tcW w:w="4219" w:type="dxa"/>
          </w:tcPr>
          <w:p w14:paraId="53237B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Перегрузочный вес</w:t>
            </w:r>
          </w:p>
        </w:tc>
        <w:tc>
          <w:tcPr>
            <w:tcW w:w="2330" w:type="dxa"/>
          </w:tcPr>
          <w:p w14:paraId="134328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35500</w:t>
            </w:r>
          </w:p>
        </w:tc>
        <w:tc>
          <w:tcPr>
            <w:tcW w:w="2330" w:type="dxa"/>
          </w:tcPr>
          <w:p w14:paraId="1277207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33500</w:t>
            </w:r>
          </w:p>
        </w:tc>
        <w:tc>
          <w:tcPr>
            <w:tcW w:w="2330" w:type="dxa"/>
          </w:tcPr>
          <w:p w14:paraId="7F24F8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33500</w:t>
            </w:r>
          </w:p>
        </w:tc>
      </w:tr>
      <w:tr w:rsidR="000F5689" w:rsidRPr="00925F26" w14:paraId="013BC64A" w14:textId="77777777">
        <w:tc>
          <w:tcPr>
            <w:tcW w:w="4219" w:type="dxa"/>
          </w:tcPr>
          <w:p w14:paraId="62CB00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Нагрузка на кв метр при нормальном полетном весе</w:t>
            </w:r>
          </w:p>
        </w:tc>
        <w:tc>
          <w:tcPr>
            <w:tcW w:w="2330" w:type="dxa"/>
          </w:tcPr>
          <w:p w14:paraId="20D17D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159</w:t>
            </w:r>
          </w:p>
        </w:tc>
        <w:tc>
          <w:tcPr>
            <w:tcW w:w="2330" w:type="dxa"/>
          </w:tcPr>
          <w:p w14:paraId="1FB683D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143.5</w:t>
            </w:r>
          </w:p>
        </w:tc>
        <w:tc>
          <w:tcPr>
            <w:tcW w:w="2330" w:type="dxa"/>
          </w:tcPr>
          <w:p w14:paraId="37EC59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137,5</w:t>
            </w:r>
          </w:p>
        </w:tc>
      </w:tr>
      <w:tr w:rsidR="000F5689" w:rsidRPr="00925F26" w14:paraId="1CE2E1AC" w14:textId="77777777">
        <w:tc>
          <w:tcPr>
            <w:tcW w:w="4219" w:type="dxa"/>
          </w:tcPr>
          <w:p w14:paraId="6D32A6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Тип мотора</w:t>
            </w:r>
          </w:p>
        </w:tc>
        <w:tc>
          <w:tcPr>
            <w:tcW w:w="2330" w:type="dxa"/>
          </w:tcPr>
          <w:p w14:paraId="4B2872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4АЧ-30Б</w:t>
            </w:r>
          </w:p>
        </w:tc>
        <w:tc>
          <w:tcPr>
            <w:tcW w:w="2330" w:type="dxa"/>
          </w:tcPr>
          <w:p w14:paraId="69AA68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4АМ35А</w:t>
            </w:r>
          </w:p>
        </w:tc>
        <w:tc>
          <w:tcPr>
            <w:tcW w:w="2330" w:type="dxa"/>
          </w:tcPr>
          <w:p w14:paraId="498560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4М-40</w:t>
            </w:r>
          </w:p>
        </w:tc>
      </w:tr>
      <w:tr w:rsidR="000F5689" w:rsidRPr="00925F26" w14:paraId="4296C70E" w14:textId="77777777">
        <w:tc>
          <w:tcPr>
            <w:tcW w:w="4219" w:type="dxa"/>
          </w:tcPr>
          <w:p w14:paraId="46F84A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Мощность взлетная</w:t>
            </w:r>
          </w:p>
        </w:tc>
        <w:tc>
          <w:tcPr>
            <w:tcW w:w="2330" w:type="dxa"/>
          </w:tcPr>
          <w:p w14:paraId="3E60CA8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c>
          <w:tcPr>
            <w:tcW w:w="2330" w:type="dxa"/>
          </w:tcPr>
          <w:p w14:paraId="2245C2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4х1340</w:t>
            </w:r>
          </w:p>
        </w:tc>
        <w:tc>
          <w:tcPr>
            <w:tcW w:w="2330" w:type="dxa"/>
          </w:tcPr>
          <w:p w14:paraId="695024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4х1500</w:t>
            </w:r>
          </w:p>
        </w:tc>
      </w:tr>
      <w:tr w:rsidR="000F5689" w:rsidRPr="00925F26" w14:paraId="77437DE0" w14:textId="77777777">
        <w:tc>
          <w:tcPr>
            <w:tcW w:w="4219" w:type="dxa"/>
          </w:tcPr>
          <w:p w14:paraId="2D5F46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Мощность номинальная</w:t>
            </w:r>
          </w:p>
        </w:tc>
        <w:tc>
          <w:tcPr>
            <w:tcW w:w="2330" w:type="dxa"/>
          </w:tcPr>
          <w:p w14:paraId="3B2AAF8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4х1250</w:t>
            </w:r>
          </w:p>
        </w:tc>
        <w:tc>
          <w:tcPr>
            <w:tcW w:w="2330" w:type="dxa"/>
          </w:tcPr>
          <w:p w14:paraId="6F9BF40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4х1120</w:t>
            </w:r>
          </w:p>
        </w:tc>
        <w:tc>
          <w:tcPr>
            <w:tcW w:w="2330" w:type="dxa"/>
          </w:tcPr>
          <w:p w14:paraId="4CEE912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4х1000</w:t>
            </w:r>
          </w:p>
        </w:tc>
      </w:tr>
      <w:tr w:rsidR="000F5689" w:rsidRPr="00925F26" w14:paraId="4F4F199C" w14:textId="77777777">
        <w:tc>
          <w:tcPr>
            <w:tcW w:w="4219" w:type="dxa"/>
          </w:tcPr>
          <w:p w14:paraId="7340EC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Винты</w:t>
            </w:r>
          </w:p>
        </w:tc>
        <w:tc>
          <w:tcPr>
            <w:tcW w:w="2330" w:type="dxa"/>
          </w:tcPr>
          <w:p w14:paraId="1CAF0A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ВИШ-61-В-1, 4,1 м</w:t>
            </w:r>
          </w:p>
        </w:tc>
        <w:tc>
          <w:tcPr>
            <w:tcW w:w="2330" w:type="dxa"/>
          </w:tcPr>
          <w:p w14:paraId="02347A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c>
          <w:tcPr>
            <w:tcW w:w="2330" w:type="dxa"/>
          </w:tcPr>
          <w:p w14:paraId="3238FD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ВИШ-24, 4,1 м</w:t>
            </w:r>
          </w:p>
        </w:tc>
      </w:tr>
      <w:tr w:rsidR="000F5689" w:rsidRPr="00925F26" w14:paraId="16F325FE" w14:textId="77777777">
        <w:tc>
          <w:tcPr>
            <w:tcW w:w="4219" w:type="dxa"/>
          </w:tcPr>
          <w:p w14:paraId="289645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Емкость баков</w:t>
            </w:r>
          </w:p>
        </w:tc>
        <w:tc>
          <w:tcPr>
            <w:tcW w:w="2330" w:type="dxa"/>
          </w:tcPr>
          <w:p w14:paraId="27E2B8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13600</w:t>
            </w:r>
          </w:p>
        </w:tc>
        <w:tc>
          <w:tcPr>
            <w:tcW w:w="2330" w:type="dxa"/>
          </w:tcPr>
          <w:p w14:paraId="3FC7C9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12440</w:t>
            </w:r>
          </w:p>
        </w:tc>
        <w:tc>
          <w:tcPr>
            <w:tcW w:w="2330" w:type="dxa"/>
          </w:tcPr>
          <w:p w14:paraId="6E7844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11660</w:t>
            </w:r>
          </w:p>
        </w:tc>
      </w:tr>
      <w:tr w:rsidR="000F5689" w:rsidRPr="00925F26" w14:paraId="6106F473" w14:textId="77777777">
        <w:tc>
          <w:tcPr>
            <w:tcW w:w="4219" w:type="dxa"/>
          </w:tcPr>
          <w:p w14:paraId="09052E7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Экипаж</w:t>
            </w:r>
          </w:p>
        </w:tc>
        <w:tc>
          <w:tcPr>
            <w:tcW w:w="2330" w:type="dxa"/>
          </w:tcPr>
          <w:p w14:paraId="26D406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w:t>
            </w:r>
          </w:p>
        </w:tc>
        <w:tc>
          <w:tcPr>
            <w:tcW w:w="2330" w:type="dxa"/>
          </w:tcPr>
          <w:p w14:paraId="2F01F8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w:t>
            </w:r>
          </w:p>
        </w:tc>
        <w:tc>
          <w:tcPr>
            <w:tcW w:w="2330" w:type="dxa"/>
          </w:tcPr>
          <w:p w14:paraId="79B2F2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w:t>
            </w:r>
          </w:p>
        </w:tc>
      </w:tr>
      <w:tr w:rsidR="000F5689" w:rsidRPr="00925F26" w14:paraId="03BCD5DD" w14:textId="77777777">
        <w:tc>
          <w:tcPr>
            <w:tcW w:w="4219" w:type="dxa"/>
          </w:tcPr>
          <w:p w14:paraId="62DCD6B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 Макс на 0</w:t>
            </w:r>
          </w:p>
        </w:tc>
        <w:tc>
          <w:tcPr>
            <w:tcW w:w="2330" w:type="dxa"/>
          </w:tcPr>
          <w:p w14:paraId="4D2501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2330" w:type="dxa"/>
          </w:tcPr>
          <w:p w14:paraId="1FC66D8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347</w:t>
            </w:r>
          </w:p>
        </w:tc>
        <w:tc>
          <w:tcPr>
            <w:tcW w:w="2330" w:type="dxa"/>
          </w:tcPr>
          <w:p w14:paraId="1A63DA5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345</w:t>
            </w:r>
          </w:p>
        </w:tc>
      </w:tr>
      <w:tr w:rsidR="000F5689" w:rsidRPr="00925F26" w14:paraId="27CD192D" w14:textId="77777777">
        <w:tc>
          <w:tcPr>
            <w:tcW w:w="4219" w:type="dxa"/>
          </w:tcPr>
          <w:p w14:paraId="7E653B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 Мккс. На границе высотности</w:t>
            </w:r>
          </w:p>
        </w:tc>
        <w:tc>
          <w:tcPr>
            <w:tcW w:w="2330" w:type="dxa"/>
          </w:tcPr>
          <w:p w14:paraId="0CBAC4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390/6000</w:t>
            </w:r>
          </w:p>
        </w:tc>
        <w:tc>
          <w:tcPr>
            <w:tcW w:w="2330" w:type="dxa"/>
          </w:tcPr>
          <w:p w14:paraId="74153F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443/6360</w:t>
            </w:r>
          </w:p>
        </w:tc>
        <w:tc>
          <w:tcPr>
            <w:tcW w:w="2330" w:type="dxa"/>
          </w:tcPr>
          <w:p w14:paraId="6E35FA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393/5680</w:t>
            </w:r>
          </w:p>
        </w:tc>
      </w:tr>
      <w:tr w:rsidR="000F5689" w:rsidRPr="00925F26" w14:paraId="370B20F5" w14:textId="77777777">
        <w:tc>
          <w:tcPr>
            <w:tcW w:w="4219" w:type="dxa"/>
          </w:tcPr>
          <w:p w14:paraId="024B9D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w:t>
            </w:r>
          </w:p>
        </w:tc>
        <w:tc>
          <w:tcPr>
            <w:tcW w:w="2330" w:type="dxa"/>
          </w:tcPr>
          <w:p w14:paraId="29DE77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2330" w:type="dxa"/>
          </w:tcPr>
          <w:p w14:paraId="569C46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14,6</w:t>
            </w:r>
          </w:p>
        </w:tc>
        <w:tc>
          <w:tcPr>
            <w:tcW w:w="2330" w:type="dxa"/>
          </w:tcPr>
          <w:p w14:paraId="4452C98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16,2</w:t>
            </w:r>
          </w:p>
        </w:tc>
      </w:tr>
      <w:tr w:rsidR="000F5689" w:rsidRPr="00925F26" w14:paraId="28D37FE5" w14:textId="77777777">
        <w:tc>
          <w:tcPr>
            <w:tcW w:w="4219" w:type="dxa"/>
          </w:tcPr>
          <w:p w14:paraId="40FC1EB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Нагрузка</w:t>
            </w:r>
          </w:p>
        </w:tc>
        <w:tc>
          <w:tcPr>
            <w:tcW w:w="2330" w:type="dxa"/>
          </w:tcPr>
          <w:p w14:paraId="2332FF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8200</w:t>
            </w:r>
          </w:p>
        </w:tc>
        <w:tc>
          <w:tcPr>
            <w:tcW w:w="2330" w:type="dxa"/>
          </w:tcPr>
          <w:p w14:paraId="767E44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9300</w:t>
            </w:r>
          </w:p>
        </w:tc>
        <w:tc>
          <w:tcPr>
            <w:tcW w:w="2330" w:type="dxa"/>
          </w:tcPr>
          <w:p w14:paraId="65271E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9200</w:t>
            </w:r>
          </w:p>
        </w:tc>
      </w:tr>
      <w:tr w:rsidR="000F5689" w:rsidRPr="00925F26" w14:paraId="248FA8E9" w14:textId="77777777">
        <w:tc>
          <w:tcPr>
            <w:tcW w:w="4219" w:type="dxa"/>
          </w:tcPr>
          <w:p w14:paraId="54DE4D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Дальность полета</w:t>
            </w:r>
          </w:p>
        </w:tc>
        <w:tc>
          <w:tcPr>
            <w:tcW w:w="2330" w:type="dxa"/>
          </w:tcPr>
          <w:p w14:paraId="6F4A7B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5600*</w:t>
            </w:r>
          </w:p>
        </w:tc>
        <w:tc>
          <w:tcPr>
            <w:tcW w:w="2330" w:type="dxa"/>
          </w:tcPr>
          <w:p w14:paraId="177A002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330" w:type="dxa"/>
          </w:tcPr>
          <w:p w14:paraId="3E642FE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5460</w:t>
            </w:r>
          </w:p>
        </w:tc>
      </w:tr>
      <w:tr w:rsidR="000F5689" w:rsidRPr="00925F26" w14:paraId="029CFE4F" w14:textId="77777777">
        <w:tc>
          <w:tcPr>
            <w:tcW w:w="4219" w:type="dxa"/>
          </w:tcPr>
          <w:p w14:paraId="364FB8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Разбег</w:t>
            </w:r>
          </w:p>
        </w:tc>
        <w:tc>
          <w:tcPr>
            <w:tcW w:w="2330" w:type="dxa"/>
          </w:tcPr>
          <w:p w14:paraId="2B5C65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2330" w:type="dxa"/>
          </w:tcPr>
          <w:p w14:paraId="12B3F7C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470</w:t>
            </w:r>
          </w:p>
        </w:tc>
        <w:tc>
          <w:tcPr>
            <w:tcW w:w="2330" w:type="dxa"/>
          </w:tcPr>
          <w:p w14:paraId="1D3483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337</w:t>
            </w:r>
          </w:p>
        </w:tc>
      </w:tr>
      <w:tr w:rsidR="000F5689" w:rsidRPr="00925F26" w14:paraId="4372214C" w14:textId="77777777">
        <w:tc>
          <w:tcPr>
            <w:tcW w:w="4219" w:type="dxa"/>
          </w:tcPr>
          <w:p w14:paraId="5BD4C31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Пробег</w:t>
            </w:r>
          </w:p>
        </w:tc>
        <w:tc>
          <w:tcPr>
            <w:tcW w:w="2330" w:type="dxa"/>
          </w:tcPr>
          <w:p w14:paraId="0C4C16A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770</w:t>
            </w:r>
          </w:p>
        </w:tc>
        <w:tc>
          <w:tcPr>
            <w:tcW w:w="2330" w:type="dxa"/>
          </w:tcPr>
          <w:p w14:paraId="5E0DED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510</w:t>
            </w:r>
          </w:p>
        </w:tc>
        <w:tc>
          <w:tcPr>
            <w:tcW w:w="2330" w:type="dxa"/>
          </w:tcPr>
          <w:p w14:paraId="575719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580</w:t>
            </w:r>
          </w:p>
        </w:tc>
      </w:tr>
      <w:tr w:rsidR="000F5689" w:rsidRPr="00925F26" w14:paraId="79DD4AD7" w14:textId="77777777">
        <w:tc>
          <w:tcPr>
            <w:tcW w:w="4219" w:type="dxa"/>
            <w:tcBorders>
              <w:bottom w:val="single" w:sz="12" w:space="0" w:color="auto"/>
            </w:tcBorders>
          </w:tcPr>
          <w:p w14:paraId="0C742C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Посадочная скорость</w:t>
            </w:r>
          </w:p>
        </w:tc>
        <w:tc>
          <w:tcPr>
            <w:tcW w:w="2330" w:type="dxa"/>
            <w:tcBorders>
              <w:bottom w:val="single" w:sz="12" w:space="0" w:color="auto"/>
            </w:tcBorders>
          </w:tcPr>
          <w:p w14:paraId="5FD3D7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130</w:t>
            </w:r>
          </w:p>
        </w:tc>
        <w:tc>
          <w:tcPr>
            <w:tcW w:w="2330" w:type="dxa"/>
            <w:tcBorders>
              <w:bottom w:val="single" w:sz="12" w:space="0" w:color="auto"/>
            </w:tcBorders>
          </w:tcPr>
          <w:p w14:paraId="5D0E2A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114</w:t>
            </w:r>
          </w:p>
        </w:tc>
        <w:tc>
          <w:tcPr>
            <w:tcW w:w="2330" w:type="dxa"/>
            <w:tcBorders>
              <w:bottom w:val="single" w:sz="12" w:space="0" w:color="auto"/>
            </w:tcBorders>
          </w:tcPr>
          <w:p w14:paraId="038E01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111</w:t>
            </w:r>
          </w:p>
        </w:tc>
      </w:tr>
    </w:tbl>
    <w:p w14:paraId="398D20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761750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26 полетов прод. 57:05</w:t>
      </w:r>
    </w:p>
    <w:p w14:paraId="7772AB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52050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Допустимая нагрузка при перегрузке: горючее - 5300, масло 200, всего 5500</w:t>
      </w:r>
    </w:p>
    <w:p w14:paraId="43CA81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0F5689" w:rsidRPr="00925F26" w14:paraId="0FF9BD5A" w14:textId="77777777">
        <w:tc>
          <w:tcPr>
            <w:tcW w:w="675" w:type="dxa"/>
            <w:tcBorders>
              <w:top w:val="single" w:sz="12" w:space="0" w:color="auto"/>
            </w:tcBorders>
          </w:tcPr>
          <w:p w14:paraId="4ACD6E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993" w:type="dxa"/>
            <w:tcBorders>
              <w:top w:val="single" w:sz="12" w:space="0" w:color="auto"/>
            </w:tcBorders>
          </w:tcPr>
          <w:p w14:paraId="460502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Скорость</w:t>
            </w:r>
          </w:p>
        </w:tc>
        <w:tc>
          <w:tcPr>
            <w:tcW w:w="1134" w:type="dxa"/>
            <w:tcBorders>
              <w:top w:val="single" w:sz="12" w:space="0" w:color="auto"/>
            </w:tcBorders>
          </w:tcPr>
          <w:p w14:paraId="4949773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992" w:type="dxa"/>
            <w:tcBorders>
              <w:top w:val="single" w:sz="12" w:space="0" w:color="auto"/>
            </w:tcBorders>
          </w:tcPr>
          <w:p w14:paraId="227080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51038B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15ED146E" w14:textId="77777777">
        <w:tc>
          <w:tcPr>
            <w:tcW w:w="675" w:type="dxa"/>
          </w:tcPr>
          <w:p w14:paraId="7AE1DA71" w14:textId="77777777" w:rsidR="006103B3" w:rsidRPr="00925F26" w:rsidRDefault="006103B3" w:rsidP="00925F26">
            <w:pPr>
              <w:autoSpaceDE w:val="0"/>
              <w:autoSpaceDN w:val="0"/>
              <w:adjustRightInd w:val="0"/>
              <w:jc w:val="both"/>
              <w:rPr>
                <w:color w:val="000000" w:themeColor="text1"/>
                <w:sz w:val="16"/>
                <w:szCs w:val="16"/>
              </w:rPr>
            </w:pPr>
          </w:p>
        </w:tc>
        <w:tc>
          <w:tcPr>
            <w:tcW w:w="993" w:type="dxa"/>
          </w:tcPr>
          <w:p w14:paraId="45861C75" w14:textId="77777777" w:rsidR="006103B3" w:rsidRPr="00925F26" w:rsidRDefault="006103B3" w:rsidP="00925F26">
            <w:pPr>
              <w:autoSpaceDE w:val="0"/>
              <w:autoSpaceDN w:val="0"/>
              <w:adjustRightInd w:val="0"/>
              <w:jc w:val="both"/>
              <w:rPr>
                <w:color w:val="000000" w:themeColor="text1"/>
                <w:sz w:val="16"/>
                <w:szCs w:val="16"/>
              </w:rPr>
            </w:pPr>
          </w:p>
        </w:tc>
        <w:tc>
          <w:tcPr>
            <w:tcW w:w="1134" w:type="dxa"/>
          </w:tcPr>
          <w:p w14:paraId="44FE94A3" w14:textId="77777777" w:rsidR="006103B3" w:rsidRPr="00925F26" w:rsidRDefault="006103B3" w:rsidP="00925F26">
            <w:pPr>
              <w:autoSpaceDE w:val="0"/>
              <w:autoSpaceDN w:val="0"/>
              <w:adjustRightInd w:val="0"/>
              <w:jc w:val="both"/>
              <w:rPr>
                <w:color w:val="000000" w:themeColor="text1"/>
                <w:sz w:val="16"/>
                <w:szCs w:val="16"/>
              </w:rPr>
            </w:pPr>
          </w:p>
        </w:tc>
        <w:tc>
          <w:tcPr>
            <w:tcW w:w="992" w:type="dxa"/>
          </w:tcPr>
          <w:p w14:paraId="75990CC6" w14:textId="77777777" w:rsidR="006103B3" w:rsidRPr="00925F26" w:rsidRDefault="006103B3" w:rsidP="00925F26">
            <w:pPr>
              <w:autoSpaceDE w:val="0"/>
              <w:autoSpaceDN w:val="0"/>
              <w:adjustRightInd w:val="0"/>
              <w:jc w:val="both"/>
              <w:rPr>
                <w:color w:val="000000" w:themeColor="text1"/>
                <w:sz w:val="16"/>
                <w:szCs w:val="16"/>
              </w:rPr>
            </w:pPr>
          </w:p>
        </w:tc>
        <w:tc>
          <w:tcPr>
            <w:tcW w:w="1134" w:type="dxa"/>
          </w:tcPr>
          <w:p w14:paraId="0B8C06C9" w14:textId="77777777" w:rsidR="006103B3" w:rsidRPr="00925F26" w:rsidRDefault="006103B3" w:rsidP="00925F26">
            <w:pPr>
              <w:autoSpaceDE w:val="0"/>
              <w:autoSpaceDN w:val="0"/>
              <w:adjustRightInd w:val="0"/>
              <w:jc w:val="both"/>
              <w:rPr>
                <w:color w:val="000000" w:themeColor="text1"/>
                <w:sz w:val="16"/>
                <w:szCs w:val="16"/>
              </w:rPr>
            </w:pPr>
          </w:p>
        </w:tc>
      </w:tr>
      <w:tr w:rsidR="000F5689" w:rsidRPr="00925F26" w14:paraId="1676C1AB" w14:textId="77777777">
        <w:tc>
          <w:tcPr>
            <w:tcW w:w="675" w:type="dxa"/>
          </w:tcPr>
          <w:p w14:paraId="433577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993" w:type="dxa"/>
          </w:tcPr>
          <w:p w14:paraId="7532BA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342</w:t>
            </w:r>
          </w:p>
        </w:tc>
        <w:tc>
          <w:tcPr>
            <w:tcW w:w="1134" w:type="dxa"/>
          </w:tcPr>
          <w:p w14:paraId="3629CC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C8497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560</w:t>
            </w:r>
          </w:p>
        </w:tc>
        <w:tc>
          <w:tcPr>
            <w:tcW w:w="1134" w:type="dxa"/>
          </w:tcPr>
          <w:p w14:paraId="05BBF3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1400</w:t>
            </w:r>
          </w:p>
        </w:tc>
      </w:tr>
      <w:tr w:rsidR="000F5689" w:rsidRPr="00925F26" w14:paraId="1B313443" w14:textId="77777777">
        <w:tc>
          <w:tcPr>
            <w:tcW w:w="675" w:type="dxa"/>
          </w:tcPr>
          <w:p w14:paraId="64F0768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993" w:type="dxa"/>
          </w:tcPr>
          <w:p w14:paraId="77FF85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350</w:t>
            </w:r>
          </w:p>
        </w:tc>
        <w:tc>
          <w:tcPr>
            <w:tcW w:w="1134" w:type="dxa"/>
          </w:tcPr>
          <w:p w14:paraId="209F97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57EB6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093040C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1390</w:t>
            </w:r>
          </w:p>
        </w:tc>
      </w:tr>
      <w:tr w:rsidR="000F5689" w:rsidRPr="00925F26" w14:paraId="50519C66" w14:textId="77777777">
        <w:tc>
          <w:tcPr>
            <w:tcW w:w="675" w:type="dxa"/>
          </w:tcPr>
          <w:p w14:paraId="49AEA3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993" w:type="dxa"/>
          </w:tcPr>
          <w:p w14:paraId="4BBEFD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393</w:t>
            </w:r>
          </w:p>
        </w:tc>
        <w:tc>
          <w:tcPr>
            <w:tcW w:w="1134" w:type="dxa"/>
          </w:tcPr>
          <w:p w14:paraId="791E96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258740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585</w:t>
            </w:r>
          </w:p>
        </w:tc>
        <w:tc>
          <w:tcPr>
            <w:tcW w:w="1134" w:type="dxa"/>
          </w:tcPr>
          <w:p w14:paraId="50D32C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642C4237" w14:textId="77777777">
        <w:tc>
          <w:tcPr>
            <w:tcW w:w="675" w:type="dxa"/>
          </w:tcPr>
          <w:p w14:paraId="65E9D2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993" w:type="dxa"/>
          </w:tcPr>
          <w:p w14:paraId="5648722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w:t>
            </w:r>
          </w:p>
        </w:tc>
        <w:tc>
          <w:tcPr>
            <w:tcW w:w="1134" w:type="dxa"/>
          </w:tcPr>
          <w:p w14:paraId="344F91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6BA078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w:t>
            </w:r>
          </w:p>
        </w:tc>
        <w:tc>
          <w:tcPr>
            <w:tcW w:w="1134" w:type="dxa"/>
          </w:tcPr>
          <w:p w14:paraId="064019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1370</w:t>
            </w:r>
          </w:p>
        </w:tc>
      </w:tr>
      <w:tr w:rsidR="000F5689" w:rsidRPr="00925F26" w14:paraId="69058DF8" w14:textId="77777777">
        <w:tc>
          <w:tcPr>
            <w:tcW w:w="675" w:type="dxa"/>
          </w:tcPr>
          <w:p w14:paraId="10F5348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993" w:type="dxa"/>
          </w:tcPr>
          <w:p w14:paraId="29EC5B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392</w:t>
            </w:r>
          </w:p>
        </w:tc>
        <w:tc>
          <w:tcPr>
            <w:tcW w:w="1134" w:type="dxa"/>
          </w:tcPr>
          <w:p w14:paraId="6B6F18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1FFDB2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62B8DD1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21E95B99" w14:textId="77777777">
        <w:tc>
          <w:tcPr>
            <w:tcW w:w="675" w:type="dxa"/>
          </w:tcPr>
          <w:p w14:paraId="152457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993" w:type="dxa"/>
          </w:tcPr>
          <w:p w14:paraId="2E3081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386</w:t>
            </w:r>
          </w:p>
        </w:tc>
        <w:tc>
          <w:tcPr>
            <w:tcW w:w="1134" w:type="dxa"/>
          </w:tcPr>
          <w:p w14:paraId="15DA9D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7ECFCB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625</w:t>
            </w:r>
          </w:p>
        </w:tc>
        <w:tc>
          <w:tcPr>
            <w:tcW w:w="1134" w:type="dxa"/>
          </w:tcPr>
          <w:p w14:paraId="04B4A9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1350</w:t>
            </w:r>
          </w:p>
        </w:tc>
      </w:tr>
      <w:tr w:rsidR="000F5689" w:rsidRPr="00925F26" w14:paraId="049DDC19" w14:textId="77777777">
        <w:tc>
          <w:tcPr>
            <w:tcW w:w="675" w:type="dxa"/>
          </w:tcPr>
          <w:p w14:paraId="106BC18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993" w:type="dxa"/>
          </w:tcPr>
          <w:p w14:paraId="10EBC2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390</w:t>
            </w:r>
          </w:p>
        </w:tc>
        <w:tc>
          <w:tcPr>
            <w:tcW w:w="1134" w:type="dxa"/>
          </w:tcPr>
          <w:p w14:paraId="3FA43C2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243</w:t>
            </w:r>
          </w:p>
        </w:tc>
        <w:tc>
          <w:tcPr>
            <w:tcW w:w="992" w:type="dxa"/>
          </w:tcPr>
          <w:p w14:paraId="1AA5632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645</w:t>
            </w:r>
          </w:p>
        </w:tc>
        <w:tc>
          <w:tcPr>
            <w:tcW w:w="1134" w:type="dxa"/>
          </w:tcPr>
          <w:p w14:paraId="55D918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0C32B572" w14:textId="77777777">
        <w:tc>
          <w:tcPr>
            <w:tcW w:w="675" w:type="dxa"/>
          </w:tcPr>
          <w:p w14:paraId="37114D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993" w:type="dxa"/>
          </w:tcPr>
          <w:p w14:paraId="2DDEA2B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382</w:t>
            </w:r>
          </w:p>
        </w:tc>
        <w:tc>
          <w:tcPr>
            <w:tcW w:w="1134" w:type="dxa"/>
          </w:tcPr>
          <w:p w14:paraId="51154C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228</w:t>
            </w:r>
          </w:p>
        </w:tc>
        <w:tc>
          <w:tcPr>
            <w:tcW w:w="992" w:type="dxa"/>
          </w:tcPr>
          <w:p w14:paraId="392E4E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4090C0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1220</w:t>
            </w:r>
          </w:p>
        </w:tc>
      </w:tr>
      <w:tr w:rsidR="000F5689" w:rsidRPr="00925F26" w14:paraId="205A264A" w14:textId="77777777">
        <w:tc>
          <w:tcPr>
            <w:tcW w:w="675" w:type="dxa"/>
            <w:tcBorders>
              <w:bottom w:val="single" w:sz="12" w:space="0" w:color="auto"/>
            </w:tcBorders>
          </w:tcPr>
          <w:p w14:paraId="1067917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993" w:type="dxa"/>
            <w:tcBorders>
              <w:bottom w:val="single" w:sz="12" w:space="0" w:color="auto"/>
            </w:tcBorders>
          </w:tcPr>
          <w:p w14:paraId="704414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366</w:t>
            </w:r>
          </w:p>
        </w:tc>
        <w:tc>
          <w:tcPr>
            <w:tcW w:w="1134" w:type="dxa"/>
            <w:tcBorders>
              <w:bottom w:val="single" w:sz="12" w:space="0" w:color="auto"/>
            </w:tcBorders>
          </w:tcPr>
          <w:p w14:paraId="7ED0EB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213</w:t>
            </w:r>
          </w:p>
        </w:tc>
        <w:tc>
          <w:tcPr>
            <w:tcW w:w="992" w:type="dxa"/>
            <w:tcBorders>
              <w:bottom w:val="single" w:sz="12" w:space="0" w:color="auto"/>
            </w:tcBorders>
          </w:tcPr>
          <w:p w14:paraId="2FF4B1A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Borders>
              <w:bottom w:val="single" w:sz="12" w:space="0" w:color="auto"/>
            </w:tcBorders>
          </w:tcPr>
          <w:p w14:paraId="595155E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1100</w:t>
            </w:r>
          </w:p>
        </w:tc>
      </w:tr>
    </w:tbl>
    <w:p w14:paraId="3D7B99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0F5689" w:rsidRPr="00925F26" w14:paraId="5266A753" w14:textId="77777777">
        <w:tc>
          <w:tcPr>
            <w:tcW w:w="1868" w:type="dxa"/>
            <w:tcBorders>
              <w:top w:val="single" w:sz="12" w:space="0" w:color="auto"/>
            </w:tcBorders>
          </w:tcPr>
          <w:p w14:paraId="49B9114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высота</w:t>
            </w:r>
          </w:p>
        </w:tc>
        <w:tc>
          <w:tcPr>
            <w:tcW w:w="1075" w:type="dxa"/>
            <w:tcBorders>
              <w:top w:val="single" w:sz="12" w:space="0" w:color="auto"/>
            </w:tcBorders>
          </w:tcPr>
          <w:p w14:paraId="5BD8E39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Скороподъемность (м/с)</w:t>
            </w:r>
          </w:p>
        </w:tc>
        <w:tc>
          <w:tcPr>
            <w:tcW w:w="1134" w:type="dxa"/>
            <w:tcBorders>
              <w:top w:val="single" w:sz="12" w:space="0" w:color="auto"/>
            </w:tcBorders>
          </w:tcPr>
          <w:p w14:paraId="2A9F78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время</w:t>
            </w:r>
          </w:p>
        </w:tc>
        <w:tc>
          <w:tcPr>
            <w:tcW w:w="1134" w:type="dxa"/>
            <w:tcBorders>
              <w:top w:val="single" w:sz="12" w:space="0" w:color="auto"/>
            </w:tcBorders>
          </w:tcPr>
          <w:p w14:paraId="42D47C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Скорость гор.</w:t>
            </w:r>
          </w:p>
        </w:tc>
        <w:tc>
          <w:tcPr>
            <w:tcW w:w="1134" w:type="dxa"/>
            <w:tcBorders>
              <w:top w:val="single" w:sz="12" w:space="0" w:color="auto"/>
            </w:tcBorders>
          </w:tcPr>
          <w:p w14:paraId="6CCB3AD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Расход топлива г/л.с./ч</w:t>
            </w:r>
          </w:p>
        </w:tc>
        <w:tc>
          <w:tcPr>
            <w:tcW w:w="1134" w:type="dxa"/>
            <w:tcBorders>
              <w:top w:val="single" w:sz="12" w:space="0" w:color="auto"/>
            </w:tcBorders>
          </w:tcPr>
          <w:p w14:paraId="4B9E2B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Темп. Выхлопных газов - средняя для 4-х</w:t>
            </w:r>
          </w:p>
        </w:tc>
        <w:tc>
          <w:tcPr>
            <w:tcW w:w="1134" w:type="dxa"/>
            <w:tcBorders>
              <w:top w:val="single" w:sz="12" w:space="0" w:color="auto"/>
            </w:tcBorders>
          </w:tcPr>
          <w:p w14:paraId="0DF385F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Наддув</w:t>
            </w:r>
          </w:p>
        </w:tc>
      </w:tr>
      <w:tr w:rsidR="000F5689" w:rsidRPr="00925F26" w14:paraId="5642670E" w14:textId="77777777">
        <w:tc>
          <w:tcPr>
            <w:tcW w:w="1868" w:type="dxa"/>
          </w:tcPr>
          <w:p w14:paraId="472DF2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075" w:type="dxa"/>
          </w:tcPr>
          <w:p w14:paraId="48AF4A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1134" w:type="dxa"/>
          </w:tcPr>
          <w:p w14:paraId="07D7B67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797F8C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Pr>
          <w:p w14:paraId="2D4B8C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46485D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34" w:type="dxa"/>
          </w:tcPr>
          <w:p w14:paraId="6142AF0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1380</w:t>
            </w:r>
          </w:p>
        </w:tc>
      </w:tr>
      <w:tr w:rsidR="000F5689" w:rsidRPr="00925F26" w14:paraId="5BC421C5" w14:textId="77777777">
        <w:tc>
          <w:tcPr>
            <w:tcW w:w="1868" w:type="dxa"/>
          </w:tcPr>
          <w:p w14:paraId="4C785C0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1000</w:t>
            </w:r>
          </w:p>
        </w:tc>
        <w:tc>
          <w:tcPr>
            <w:tcW w:w="1075" w:type="dxa"/>
          </w:tcPr>
          <w:p w14:paraId="407042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4,8</w:t>
            </w:r>
          </w:p>
        </w:tc>
        <w:tc>
          <w:tcPr>
            <w:tcW w:w="1134" w:type="dxa"/>
          </w:tcPr>
          <w:p w14:paraId="2DA0ED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w:t>
            </w:r>
          </w:p>
        </w:tc>
        <w:tc>
          <w:tcPr>
            <w:tcW w:w="1134" w:type="dxa"/>
          </w:tcPr>
          <w:p w14:paraId="11CB64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198</w:t>
            </w:r>
          </w:p>
        </w:tc>
        <w:tc>
          <w:tcPr>
            <w:tcW w:w="1134" w:type="dxa"/>
          </w:tcPr>
          <w:p w14:paraId="42CE4F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FDE6C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570</w:t>
            </w:r>
          </w:p>
        </w:tc>
        <w:tc>
          <w:tcPr>
            <w:tcW w:w="1134" w:type="dxa"/>
          </w:tcPr>
          <w:p w14:paraId="12FF00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1360</w:t>
            </w:r>
          </w:p>
        </w:tc>
      </w:tr>
      <w:tr w:rsidR="000F5689" w:rsidRPr="00925F26" w14:paraId="14F6FBC9" w14:textId="77777777">
        <w:tc>
          <w:tcPr>
            <w:tcW w:w="1868" w:type="dxa"/>
          </w:tcPr>
          <w:p w14:paraId="0E505D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2000</w:t>
            </w:r>
          </w:p>
        </w:tc>
        <w:tc>
          <w:tcPr>
            <w:tcW w:w="1075" w:type="dxa"/>
          </w:tcPr>
          <w:p w14:paraId="3C20F18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4,5</w:t>
            </w:r>
          </w:p>
        </w:tc>
        <w:tc>
          <w:tcPr>
            <w:tcW w:w="1134" w:type="dxa"/>
          </w:tcPr>
          <w:p w14:paraId="56DE16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w:t>
            </w:r>
          </w:p>
        </w:tc>
        <w:tc>
          <w:tcPr>
            <w:tcW w:w="1134" w:type="dxa"/>
          </w:tcPr>
          <w:p w14:paraId="2120FC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196</w:t>
            </w:r>
          </w:p>
        </w:tc>
        <w:tc>
          <w:tcPr>
            <w:tcW w:w="1134" w:type="dxa"/>
          </w:tcPr>
          <w:p w14:paraId="098A36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164BCC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590</w:t>
            </w:r>
          </w:p>
        </w:tc>
        <w:tc>
          <w:tcPr>
            <w:tcW w:w="1134" w:type="dxa"/>
          </w:tcPr>
          <w:p w14:paraId="74FFD0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1340</w:t>
            </w:r>
          </w:p>
        </w:tc>
      </w:tr>
      <w:tr w:rsidR="000F5689" w:rsidRPr="00925F26" w14:paraId="3324FD93" w14:textId="77777777">
        <w:tc>
          <w:tcPr>
            <w:tcW w:w="1868" w:type="dxa"/>
          </w:tcPr>
          <w:p w14:paraId="622618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3000</w:t>
            </w:r>
          </w:p>
        </w:tc>
        <w:tc>
          <w:tcPr>
            <w:tcW w:w="1075" w:type="dxa"/>
          </w:tcPr>
          <w:p w14:paraId="6A950E7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4,1</w:t>
            </w:r>
          </w:p>
        </w:tc>
        <w:tc>
          <w:tcPr>
            <w:tcW w:w="1134" w:type="dxa"/>
          </w:tcPr>
          <w:p w14:paraId="73588A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11,0</w:t>
            </w:r>
          </w:p>
        </w:tc>
        <w:tc>
          <w:tcPr>
            <w:tcW w:w="1134" w:type="dxa"/>
          </w:tcPr>
          <w:p w14:paraId="26C53A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w:t>
            </w:r>
          </w:p>
        </w:tc>
        <w:tc>
          <w:tcPr>
            <w:tcW w:w="1134" w:type="dxa"/>
          </w:tcPr>
          <w:p w14:paraId="775C1B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239826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610</w:t>
            </w:r>
          </w:p>
        </w:tc>
        <w:tc>
          <w:tcPr>
            <w:tcW w:w="1134" w:type="dxa"/>
          </w:tcPr>
          <w:p w14:paraId="1F058D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1320</w:t>
            </w:r>
          </w:p>
        </w:tc>
      </w:tr>
      <w:tr w:rsidR="000F5689" w:rsidRPr="00925F26" w14:paraId="784D98F3" w14:textId="77777777">
        <w:tc>
          <w:tcPr>
            <w:tcW w:w="1868" w:type="dxa"/>
          </w:tcPr>
          <w:p w14:paraId="2D20C2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4000</w:t>
            </w:r>
          </w:p>
        </w:tc>
        <w:tc>
          <w:tcPr>
            <w:tcW w:w="1075" w:type="dxa"/>
          </w:tcPr>
          <w:p w14:paraId="5CBF4C6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3.7</w:t>
            </w:r>
          </w:p>
        </w:tc>
        <w:tc>
          <w:tcPr>
            <w:tcW w:w="1134" w:type="dxa"/>
          </w:tcPr>
          <w:p w14:paraId="31E39D9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15,0</w:t>
            </w:r>
          </w:p>
        </w:tc>
        <w:tc>
          <w:tcPr>
            <w:tcW w:w="1134" w:type="dxa"/>
          </w:tcPr>
          <w:p w14:paraId="042128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190</w:t>
            </w:r>
          </w:p>
        </w:tc>
        <w:tc>
          <w:tcPr>
            <w:tcW w:w="1134" w:type="dxa"/>
          </w:tcPr>
          <w:p w14:paraId="071BD2B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516FF8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630</w:t>
            </w:r>
          </w:p>
        </w:tc>
        <w:tc>
          <w:tcPr>
            <w:tcW w:w="1134" w:type="dxa"/>
          </w:tcPr>
          <w:p w14:paraId="4FA497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1310</w:t>
            </w:r>
          </w:p>
        </w:tc>
      </w:tr>
      <w:tr w:rsidR="000F5689" w:rsidRPr="00925F26" w14:paraId="418F642E" w14:textId="77777777">
        <w:tc>
          <w:tcPr>
            <w:tcW w:w="1868" w:type="dxa"/>
          </w:tcPr>
          <w:p w14:paraId="53F187A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5000</w:t>
            </w:r>
          </w:p>
        </w:tc>
        <w:tc>
          <w:tcPr>
            <w:tcW w:w="1075" w:type="dxa"/>
          </w:tcPr>
          <w:p w14:paraId="73EE08B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w:t>
            </w:r>
          </w:p>
        </w:tc>
        <w:tc>
          <w:tcPr>
            <w:tcW w:w="1134" w:type="dxa"/>
          </w:tcPr>
          <w:p w14:paraId="0DD1B9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19,5</w:t>
            </w:r>
          </w:p>
        </w:tc>
        <w:tc>
          <w:tcPr>
            <w:tcW w:w="1134" w:type="dxa"/>
          </w:tcPr>
          <w:p w14:paraId="41C4C1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187</w:t>
            </w:r>
          </w:p>
        </w:tc>
        <w:tc>
          <w:tcPr>
            <w:tcW w:w="1134" w:type="dxa"/>
          </w:tcPr>
          <w:p w14:paraId="343894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99AFBB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650</w:t>
            </w:r>
          </w:p>
        </w:tc>
        <w:tc>
          <w:tcPr>
            <w:tcW w:w="1134" w:type="dxa"/>
          </w:tcPr>
          <w:p w14:paraId="49B861D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1300</w:t>
            </w:r>
          </w:p>
        </w:tc>
      </w:tr>
      <w:tr w:rsidR="000F5689" w:rsidRPr="00925F26" w14:paraId="19F1E697" w14:textId="77777777">
        <w:tc>
          <w:tcPr>
            <w:tcW w:w="1868" w:type="dxa"/>
          </w:tcPr>
          <w:p w14:paraId="35030D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6000</w:t>
            </w:r>
          </w:p>
        </w:tc>
        <w:tc>
          <w:tcPr>
            <w:tcW w:w="1075" w:type="dxa"/>
          </w:tcPr>
          <w:p w14:paraId="5119A65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34" w:type="dxa"/>
          </w:tcPr>
          <w:p w14:paraId="600F04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25,0</w:t>
            </w:r>
          </w:p>
        </w:tc>
        <w:tc>
          <w:tcPr>
            <w:tcW w:w="1134" w:type="dxa"/>
          </w:tcPr>
          <w:p w14:paraId="3B2EE1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183</w:t>
            </w:r>
          </w:p>
        </w:tc>
        <w:tc>
          <w:tcPr>
            <w:tcW w:w="1134" w:type="dxa"/>
          </w:tcPr>
          <w:p w14:paraId="108FC4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240</w:t>
            </w:r>
          </w:p>
        </w:tc>
        <w:tc>
          <w:tcPr>
            <w:tcW w:w="1134" w:type="dxa"/>
          </w:tcPr>
          <w:p w14:paraId="768099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660</w:t>
            </w:r>
          </w:p>
        </w:tc>
        <w:tc>
          <w:tcPr>
            <w:tcW w:w="1134" w:type="dxa"/>
          </w:tcPr>
          <w:p w14:paraId="3E889C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1290</w:t>
            </w:r>
          </w:p>
        </w:tc>
      </w:tr>
      <w:tr w:rsidR="000F5689" w:rsidRPr="00925F26" w14:paraId="3EEEF1D3" w14:textId="77777777">
        <w:tc>
          <w:tcPr>
            <w:tcW w:w="1868" w:type="dxa"/>
          </w:tcPr>
          <w:p w14:paraId="7027DF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1075" w:type="dxa"/>
          </w:tcPr>
          <w:p w14:paraId="44C3CC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34" w:type="dxa"/>
          </w:tcPr>
          <w:p w14:paraId="26955C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31,5</w:t>
            </w:r>
          </w:p>
        </w:tc>
        <w:tc>
          <w:tcPr>
            <w:tcW w:w="1134" w:type="dxa"/>
          </w:tcPr>
          <w:p w14:paraId="4B0298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179</w:t>
            </w:r>
          </w:p>
        </w:tc>
        <w:tc>
          <w:tcPr>
            <w:tcW w:w="1134" w:type="dxa"/>
          </w:tcPr>
          <w:p w14:paraId="3D9EEF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220</w:t>
            </w:r>
          </w:p>
        </w:tc>
        <w:tc>
          <w:tcPr>
            <w:tcW w:w="1134" w:type="dxa"/>
          </w:tcPr>
          <w:p w14:paraId="156299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680</w:t>
            </w:r>
          </w:p>
        </w:tc>
        <w:tc>
          <w:tcPr>
            <w:tcW w:w="1134" w:type="dxa"/>
          </w:tcPr>
          <w:p w14:paraId="02BA44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1160</w:t>
            </w:r>
          </w:p>
        </w:tc>
      </w:tr>
      <w:tr w:rsidR="000F5689" w:rsidRPr="00925F26" w14:paraId="67F9A608" w14:textId="77777777">
        <w:tc>
          <w:tcPr>
            <w:tcW w:w="1868" w:type="dxa"/>
            <w:tcBorders>
              <w:bottom w:val="single" w:sz="12" w:space="0" w:color="auto"/>
            </w:tcBorders>
          </w:tcPr>
          <w:p w14:paraId="6FBFF4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8000</w:t>
            </w:r>
          </w:p>
        </w:tc>
        <w:tc>
          <w:tcPr>
            <w:tcW w:w="1075" w:type="dxa"/>
            <w:tcBorders>
              <w:bottom w:val="single" w:sz="12" w:space="0" w:color="auto"/>
            </w:tcBorders>
          </w:tcPr>
          <w:p w14:paraId="321BB86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0,9</w:t>
            </w:r>
          </w:p>
        </w:tc>
        <w:tc>
          <w:tcPr>
            <w:tcW w:w="1134" w:type="dxa"/>
            <w:tcBorders>
              <w:bottom w:val="single" w:sz="12" w:space="0" w:color="auto"/>
            </w:tcBorders>
          </w:tcPr>
          <w:p w14:paraId="6C7EB3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42,0</w:t>
            </w:r>
          </w:p>
        </w:tc>
        <w:tc>
          <w:tcPr>
            <w:tcW w:w="1134" w:type="dxa"/>
            <w:tcBorders>
              <w:bottom w:val="single" w:sz="12" w:space="0" w:color="auto"/>
            </w:tcBorders>
          </w:tcPr>
          <w:p w14:paraId="53BF75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184</w:t>
            </w:r>
          </w:p>
        </w:tc>
        <w:tc>
          <w:tcPr>
            <w:tcW w:w="1134" w:type="dxa"/>
            <w:tcBorders>
              <w:bottom w:val="single" w:sz="12" w:space="0" w:color="auto"/>
            </w:tcBorders>
          </w:tcPr>
          <w:p w14:paraId="731CA2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200</w:t>
            </w:r>
          </w:p>
        </w:tc>
        <w:tc>
          <w:tcPr>
            <w:tcW w:w="1134" w:type="dxa"/>
            <w:tcBorders>
              <w:bottom w:val="single" w:sz="12" w:space="0" w:color="auto"/>
            </w:tcBorders>
          </w:tcPr>
          <w:p w14:paraId="2C819E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w:t>
            </w:r>
          </w:p>
        </w:tc>
        <w:tc>
          <w:tcPr>
            <w:tcW w:w="1134" w:type="dxa"/>
            <w:tcBorders>
              <w:bottom w:val="single" w:sz="12" w:space="0" w:color="auto"/>
            </w:tcBorders>
          </w:tcPr>
          <w:p w14:paraId="039AE2C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1060</w:t>
            </w:r>
          </w:p>
        </w:tc>
      </w:tr>
    </w:tbl>
    <w:p w14:paraId="6F6369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гр. Высотности - 1850 м, скор. 5,7, 2-я гр. Высотности - 5500, скор. 3,15</w:t>
      </w:r>
    </w:p>
    <w:p w14:paraId="53CAC9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 ГК НИИ ВВС гп ис А.Репин</w:t>
      </w:r>
    </w:p>
    <w:p w14:paraId="25B30E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июня 1945</w:t>
      </w:r>
    </w:p>
    <w:p w14:paraId="614500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 ГК НИИ ВВС</w:t>
      </w:r>
    </w:p>
    <w:p w14:paraId="2F377338" w14:textId="77777777" w:rsidR="006103B3" w:rsidRPr="00925F26" w:rsidRDefault="006103B3"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гм</w:t>
      </w:r>
      <w:proofErr w:type="gramEnd"/>
      <w:r w:rsidRPr="00925F26">
        <w:rPr>
          <w:color w:val="000000" w:themeColor="text1"/>
          <w:sz w:val="16"/>
          <w:szCs w:val="16"/>
        </w:rPr>
        <w:t xml:space="preserve"> а </w:t>
      </w:r>
    </w:p>
    <w:p w14:paraId="7D4BEF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мая 1945</w:t>
      </w:r>
    </w:p>
    <w:p w14:paraId="6536B2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 2У ГК НИИ ВВС</w:t>
      </w:r>
    </w:p>
    <w:p w14:paraId="7E789B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гм иас М.Левин</w:t>
      </w:r>
    </w:p>
    <w:p w14:paraId="73E8033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мая 1945 (1000,3).</w:t>
      </w:r>
    </w:p>
    <w:p w14:paraId="26CF6A36" w14:textId="77777777" w:rsidR="006103B3" w:rsidRPr="00925F26" w:rsidRDefault="006103B3" w:rsidP="00925F26">
      <w:pPr>
        <w:autoSpaceDE w:val="0"/>
        <w:autoSpaceDN w:val="0"/>
        <w:adjustRightInd w:val="0"/>
        <w:jc w:val="both"/>
        <w:rPr>
          <w:color w:val="000000" w:themeColor="text1"/>
          <w:sz w:val="16"/>
          <w:szCs w:val="16"/>
        </w:rPr>
      </w:pPr>
    </w:p>
    <w:p w14:paraId="7E2A536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произошла катастрофа с ДБ-108 В.М.М. и при заходе на посадку с одним мотором (второй горел и был выключен) л Васильченко зацепил за деревенский дом и врезался во второй. Погиб ви Л.А.Дьяков, двое детей и еще один чел. (2471,42).</w:t>
      </w:r>
    </w:p>
    <w:p w14:paraId="38CDD887" w14:textId="77777777" w:rsidR="006103B3" w:rsidRPr="00925F26" w:rsidRDefault="006103B3" w:rsidP="00925F26">
      <w:pPr>
        <w:autoSpaceDE w:val="0"/>
        <w:autoSpaceDN w:val="0"/>
        <w:adjustRightInd w:val="0"/>
        <w:jc w:val="both"/>
        <w:rPr>
          <w:color w:val="000000" w:themeColor="text1"/>
          <w:sz w:val="16"/>
          <w:szCs w:val="16"/>
        </w:rPr>
      </w:pPr>
    </w:p>
    <w:p w14:paraId="4BF88BA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г. в одном из испытательных полетов произошла катастрофа ДВБ-108 -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был тяжело ранен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 (4476).</w:t>
      </w:r>
    </w:p>
    <w:p w14:paraId="19138DD8" w14:textId="77777777" w:rsidR="006103B3" w:rsidRPr="00925F26" w:rsidRDefault="006103B3" w:rsidP="00925F26">
      <w:pPr>
        <w:autoSpaceDE w:val="0"/>
        <w:autoSpaceDN w:val="0"/>
        <w:adjustRightInd w:val="0"/>
        <w:jc w:val="both"/>
        <w:rPr>
          <w:color w:val="000000" w:themeColor="text1"/>
          <w:sz w:val="16"/>
          <w:szCs w:val="16"/>
        </w:rPr>
      </w:pPr>
    </w:p>
    <w:p w14:paraId="1E356612" w14:textId="77777777" w:rsidR="00B87114" w:rsidRPr="00925F26" w:rsidRDefault="00B87114" w:rsidP="00925F26">
      <w:pPr>
        <w:jc w:val="both"/>
        <w:rPr>
          <w:color w:val="000000" w:themeColor="text1"/>
          <w:sz w:val="16"/>
          <w:szCs w:val="16"/>
        </w:rPr>
      </w:pPr>
      <w:r w:rsidRPr="00925F26">
        <w:rPr>
          <w:bCs/>
          <w:color w:val="000000" w:themeColor="text1"/>
          <w:sz w:val="16"/>
          <w:szCs w:val="16"/>
        </w:rPr>
        <w:t>5 июня</w:t>
      </w:r>
      <w:r w:rsidRPr="00925F26">
        <w:rPr>
          <w:color w:val="000000" w:themeColor="text1"/>
          <w:sz w:val="16"/>
          <w:szCs w:val="16"/>
        </w:rPr>
        <w:t xml:space="preserve"> в 1945 году катастрофа «ДБ-108»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Л.А.Дьяконов и трое жителей (в том числе двое детей), а сам Васильченко был тяжело ранен и чудом остался </w:t>
      </w:r>
      <w:r w:rsidRPr="00925F26">
        <w:rPr>
          <w:color w:val="000000" w:themeColor="text1"/>
          <w:sz w:val="16"/>
          <w:szCs w:val="16"/>
        </w:rPr>
        <w:lastRenderedPageBreak/>
        <w:t>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 (14913).</w:t>
      </w:r>
    </w:p>
    <w:p w14:paraId="019988C6" w14:textId="77777777" w:rsidR="00B87114" w:rsidRPr="00925F26" w:rsidRDefault="00B87114" w:rsidP="00925F26">
      <w:pPr>
        <w:jc w:val="both"/>
        <w:rPr>
          <w:color w:val="000000" w:themeColor="text1"/>
          <w:sz w:val="16"/>
          <w:szCs w:val="16"/>
        </w:rPr>
      </w:pPr>
    </w:p>
    <w:p w14:paraId="7A20CB4C" w14:textId="77777777" w:rsidR="00B87114" w:rsidRPr="00925F26" w:rsidRDefault="00B87114"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5 июня 1945 первый экземпляр ДБ 2ВК-108 по</w:t>
      </w:r>
      <w:r w:rsidRPr="00925F26">
        <w:rPr>
          <w:rFonts w:ascii="Times New Roman" w:cs="Times New Roman"/>
          <w:color w:val="000000" w:themeColor="text1"/>
          <w:spacing w:val="0"/>
        </w:rPr>
        <w:softHyphen/>
        <w:t>терпел катастрофу. На высоте 1500 м «по причине плохой герметизации со</w:t>
      </w:r>
      <w:r w:rsidRPr="00925F26">
        <w:rPr>
          <w:rFonts w:ascii="Times New Roman" w:cs="Times New Roman"/>
          <w:color w:val="000000" w:themeColor="text1"/>
          <w:spacing w:val="0"/>
        </w:rPr>
        <w:softHyphen/>
        <w:t>единения самолетной бензопроводки с карбюратором правого блока право</w:t>
      </w:r>
      <w:r w:rsidRPr="00925F26">
        <w:rPr>
          <w:rFonts w:ascii="Times New Roman" w:cs="Times New Roman"/>
          <w:color w:val="000000" w:themeColor="text1"/>
          <w:spacing w:val="0"/>
        </w:rPr>
        <w:softHyphen/>
        <w:t>го мотора» на самолете загорелся пра</w:t>
      </w:r>
      <w:r w:rsidRPr="00925F26">
        <w:rPr>
          <w:rFonts w:ascii="Times New Roman" w:cs="Times New Roman"/>
          <w:color w:val="000000" w:themeColor="text1"/>
          <w:spacing w:val="0"/>
        </w:rPr>
        <w:softHyphen/>
        <w:t>вый мотор. При посадке при одном ра</w:t>
      </w:r>
      <w:r w:rsidRPr="00925F26">
        <w:rPr>
          <w:rFonts w:ascii="Times New Roman" w:cs="Times New Roman"/>
          <w:color w:val="000000" w:themeColor="text1"/>
          <w:spacing w:val="0"/>
        </w:rPr>
        <w:softHyphen/>
        <w:t>ботающем моторе летчик-испытатель завода №22 капитан Васильченко «сде</w:t>
      </w:r>
      <w:r w:rsidRPr="00925F26">
        <w:rPr>
          <w:rFonts w:ascii="Times New Roman" w:cs="Times New Roman"/>
          <w:color w:val="000000" w:themeColor="text1"/>
          <w:spacing w:val="0"/>
        </w:rPr>
        <w:softHyphen/>
        <w:t>лал змейку, чтобы пропустить садящий</w:t>
      </w:r>
      <w:r w:rsidRPr="00925F26">
        <w:rPr>
          <w:rFonts w:ascii="Times New Roman" w:cs="Times New Roman"/>
          <w:color w:val="000000" w:themeColor="text1"/>
          <w:spacing w:val="0"/>
        </w:rPr>
        <w:softHyphen/>
        <w:t>ся Пе-2, и задел за дом». Погибли веду</w:t>
      </w:r>
      <w:r w:rsidRPr="00925F26">
        <w:rPr>
          <w:rFonts w:ascii="Times New Roman" w:cs="Times New Roman"/>
          <w:color w:val="000000" w:themeColor="text1"/>
          <w:spacing w:val="0"/>
        </w:rPr>
        <w:softHyphen/>
        <w:t>щий инженер по самолету Дьяконов и трое жителей, а Васильченко - получил тяжелые ранения (15758).</w:t>
      </w:r>
    </w:p>
    <w:p w14:paraId="57242BBA" w14:textId="77777777" w:rsidR="00B87114" w:rsidRPr="00925F26" w:rsidRDefault="00B87114" w:rsidP="00925F26">
      <w:pPr>
        <w:pStyle w:val="27"/>
        <w:shd w:val="clear" w:color="auto" w:fill="auto"/>
        <w:spacing w:after="0" w:line="240" w:lineRule="auto"/>
        <w:ind w:firstLine="0"/>
        <w:rPr>
          <w:rFonts w:ascii="Times New Roman" w:cs="Times New Roman"/>
          <w:color w:val="000000" w:themeColor="text1"/>
          <w:spacing w:val="0"/>
        </w:rPr>
      </w:pPr>
    </w:p>
    <w:p w14:paraId="21AE736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г. произошла катастрофа ДБ-108 -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3C8D57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155964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2182C6A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10B98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24DD0088" w14:textId="77777777" w:rsidR="006103B3" w:rsidRPr="00925F26" w:rsidRDefault="006103B3" w:rsidP="00925F26">
      <w:pPr>
        <w:autoSpaceDE w:val="0"/>
        <w:autoSpaceDN w:val="0"/>
        <w:adjustRightInd w:val="0"/>
        <w:jc w:val="both"/>
        <w:rPr>
          <w:color w:val="000000" w:themeColor="text1"/>
          <w:sz w:val="16"/>
          <w:szCs w:val="16"/>
        </w:rPr>
      </w:pPr>
    </w:p>
    <w:p w14:paraId="4D6A321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E110155" w14:textId="77777777" w:rsidR="006103B3" w:rsidRPr="00925F26" w:rsidRDefault="006103B3" w:rsidP="00925F26">
      <w:pPr>
        <w:autoSpaceDE w:val="0"/>
        <w:autoSpaceDN w:val="0"/>
        <w:adjustRightInd w:val="0"/>
        <w:jc w:val="both"/>
        <w:rPr>
          <w:iCs/>
          <w:color w:val="000000" w:themeColor="text1"/>
          <w:sz w:val="16"/>
          <w:szCs w:val="16"/>
        </w:rPr>
      </w:pPr>
    </w:p>
    <w:p w14:paraId="6D6D1DAD" w14:textId="77777777" w:rsidR="00E52CE4" w:rsidRPr="00925F26" w:rsidRDefault="00E52CE4" w:rsidP="00925F26">
      <w:pPr>
        <w:shd w:val="clear" w:color="auto" w:fill="FFFFFF"/>
        <w:jc w:val="both"/>
        <w:rPr>
          <w:color w:val="000000" w:themeColor="text1"/>
          <w:sz w:val="16"/>
          <w:szCs w:val="16"/>
        </w:rPr>
      </w:pPr>
      <w:r w:rsidRPr="00925F26">
        <w:rPr>
          <w:color w:val="000000" w:themeColor="text1"/>
          <w:sz w:val="16"/>
          <w:szCs w:val="16"/>
        </w:rPr>
        <w:t xml:space="preserve">5 июня 1945 года был представлен эскизный проект тяжёлого танка </w:t>
      </w:r>
      <w:hyperlink r:id="rId140" w:history="1">
        <w:r w:rsidRPr="00925F26">
          <w:rPr>
            <w:color w:val="000000" w:themeColor="text1"/>
            <w:sz w:val="16"/>
            <w:szCs w:val="16"/>
          </w:rPr>
          <w:t>«Объект 257»</w:t>
        </w:r>
      </w:hyperlink>
      <w:r w:rsidRPr="00925F26">
        <w:rPr>
          <w:color w:val="000000" w:themeColor="text1"/>
          <w:sz w:val="16"/>
          <w:szCs w:val="16"/>
        </w:rPr>
        <w:t>, который обладал увеличенной броневой защитой и 122-мм пушкой БЛ-13. Предполагалось, что эта машина станет настоящим скачком вперёд для советского танкостроения. И тут совершенно неожиданно выяснилось, что в Германии обнаружен танк, который перспективной пушкой пробивался с трудом, а установленное на нём орудие вполне пробивало броню «Объекта 257» (17676).</w:t>
      </w:r>
    </w:p>
    <w:p w14:paraId="0E18632C" w14:textId="77777777" w:rsidR="00E52CE4" w:rsidRPr="00925F26" w:rsidRDefault="00E52CE4" w:rsidP="00925F26">
      <w:pPr>
        <w:jc w:val="both"/>
        <w:rPr>
          <w:color w:val="000000" w:themeColor="text1"/>
          <w:sz w:val="16"/>
          <w:szCs w:val="16"/>
        </w:rPr>
      </w:pPr>
    </w:p>
    <w:p w14:paraId="58A143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вышло Распоряжение ГКО № 8925. О мерах по организации на заводе № 569 НКБ производства корпусов морских дымовых шашек. РГАНИР, Фонд ГКО, д. 425, лл. 96-97, 98 (11012).</w:t>
      </w:r>
    </w:p>
    <w:p w14:paraId="3D967981" w14:textId="77777777" w:rsidR="006103B3" w:rsidRPr="00925F26" w:rsidRDefault="006103B3" w:rsidP="00925F26">
      <w:pPr>
        <w:autoSpaceDE w:val="0"/>
        <w:autoSpaceDN w:val="0"/>
        <w:adjustRightInd w:val="0"/>
        <w:jc w:val="both"/>
        <w:rPr>
          <w:color w:val="000000" w:themeColor="text1"/>
          <w:sz w:val="16"/>
          <w:szCs w:val="16"/>
        </w:rPr>
      </w:pPr>
    </w:p>
    <w:p w14:paraId="50C028A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вышло Распоряжение ГКО № 8926 [Об укомплектовании отдельного эксплуатационного и отдельного путевого железнодорожных полков.] (7347, 99).</w:t>
      </w:r>
    </w:p>
    <w:p w14:paraId="76E43986"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C7FC5F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вышло Распоряжение ГКО № 8927 [О ликвидации Западно-Двинского и Чудского военно-восстановительных управлений НКРФ.] (7347, 100).</w:t>
      </w:r>
    </w:p>
    <w:p w14:paraId="3CDB3B93"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18946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вышло Распоряжение ГКО № 8928. Об организации конструкторского бюро НКБ по авиационным боеприпасам. РГАНИР, Фонд ГКО, д. 425, лл. 101 (11012).</w:t>
      </w:r>
    </w:p>
    <w:p w14:paraId="4A70DC5C" w14:textId="77777777" w:rsidR="006103B3" w:rsidRPr="00925F26" w:rsidRDefault="006103B3" w:rsidP="00925F26">
      <w:pPr>
        <w:autoSpaceDE w:val="0"/>
        <w:autoSpaceDN w:val="0"/>
        <w:adjustRightInd w:val="0"/>
        <w:jc w:val="both"/>
        <w:rPr>
          <w:color w:val="000000" w:themeColor="text1"/>
          <w:sz w:val="16"/>
          <w:szCs w:val="16"/>
        </w:rPr>
      </w:pPr>
    </w:p>
    <w:p w14:paraId="66C29F38"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вышло Распоряжение ГКО № 8929 [О выделении бензина для работ по ремонту здания правительства в Кремле.] (7347, 102).</w:t>
      </w:r>
    </w:p>
    <w:p w14:paraId="5363137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AEE9A3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вышло Распоряжение ГКО № 8930 [О выделении самолета советнику НКВД при Министерстве общественной безопасности Польши.] (7347, 103).</w:t>
      </w:r>
    </w:p>
    <w:p w14:paraId="4E9E1B19"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2826AF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года вышло Постановление ГОКО за № 8928 и 13 июня 1945 года вышел приказ НКБ за № 220 которыми было основано ГСКБ-398.</w:t>
      </w:r>
    </w:p>
    <w:p w14:paraId="004F751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момент организации перед ГСКБ ставились задачи по обработке новых образцов и модернизации существующих образцов боеприпасов для авиационного вооружения.</w:t>
      </w:r>
    </w:p>
    <w:p w14:paraId="034C56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ГСКБ-398 осуществляет отработку новых образцов боеприпасов и модернизацию существующих, предназначаемых для автоматических пушек калибра до 37 мм. Работы выполняются по договорам с ВВС, ГАУ и ВМФ.</w:t>
      </w:r>
    </w:p>
    <w:p w14:paraId="22A67B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ГСКБ проводит НИР по изучению перспектив дальнейшего развития малокалиберного выстрела к автоматическим пушкам.</w:t>
      </w:r>
    </w:p>
    <w:p w14:paraId="67DDA6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Москва, Зацепа, д. 21</w:t>
      </w:r>
    </w:p>
    <w:p w14:paraId="3D57A5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ГСКБ-398 организовано на базе вспомогательных помещений завода № 398 (9491).</w:t>
      </w:r>
    </w:p>
    <w:p w14:paraId="6682361E" w14:textId="77777777" w:rsidR="006103B3" w:rsidRPr="00925F26" w:rsidRDefault="006103B3" w:rsidP="00925F26">
      <w:pPr>
        <w:autoSpaceDE w:val="0"/>
        <w:autoSpaceDN w:val="0"/>
        <w:adjustRightInd w:val="0"/>
        <w:jc w:val="both"/>
        <w:rPr>
          <w:color w:val="000000" w:themeColor="text1"/>
          <w:sz w:val="16"/>
          <w:szCs w:val="16"/>
        </w:rPr>
      </w:pPr>
    </w:p>
    <w:p w14:paraId="2C63174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0800A34" w14:textId="77777777" w:rsidR="006103B3" w:rsidRPr="00925F26" w:rsidRDefault="006103B3" w:rsidP="00925F26">
      <w:pPr>
        <w:autoSpaceDE w:val="0"/>
        <w:autoSpaceDN w:val="0"/>
        <w:adjustRightInd w:val="0"/>
        <w:jc w:val="both"/>
        <w:rPr>
          <w:iCs/>
          <w:color w:val="000000" w:themeColor="text1"/>
          <w:sz w:val="16"/>
          <w:szCs w:val="16"/>
        </w:rPr>
      </w:pPr>
    </w:p>
    <w:p w14:paraId="7B1454D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союзники подписали в Берлине Декларацию о поражении Германии (4962), Берлин был разделён на четыре оккупационные зоны (</w:t>
      </w:r>
      <w:proofErr w:type="gramStart"/>
      <w:r w:rsidRPr="00925F26">
        <w:rPr>
          <w:color w:val="000000" w:themeColor="text1"/>
          <w:sz w:val="16"/>
          <w:szCs w:val="16"/>
        </w:rPr>
        <w:t>4963 )</w:t>
      </w:r>
      <w:proofErr w:type="gramEnd"/>
      <w:r w:rsidRPr="00925F26">
        <w:rPr>
          <w:color w:val="000000" w:themeColor="text1"/>
          <w:sz w:val="16"/>
          <w:szCs w:val="16"/>
        </w:rPr>
        <w:t>.</w:t>
      </w:r>
    </w:p>
    <w:p w14:paraId="5606AD5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935C816"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June 5 1945 Allies divide up Germany and Berlin and take over government (1050).</w:t>
      </w:r>
    </w:p>
    <w:p w14:paraId="7F49E521" w14:textId="77777777" w:rsidR="006103B3" w:rsidRPr="00925F26" w:rsidRDefault="006103B3" w:rsidP="00925F26">
      <w:pPr>
        <w:autoSpaceDE w:val="0"/>
        <w:autoSpaceDN w:val="0"/>
        <w:adjustRightInd w:val="0"/>
        <w:jc w:val="both"/>
        <w:rPr>
          <w:color w:val="000000" w:themeColor="text1"/>
          <w:sz w:val="16"/>
          <w:szCs w:val="16"/>
          <w:lang w:val="en-US"/>
        </w:rPr>
      </w:pPr>
    </w:p>
    <w:p w14:paraId="50E82D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июня 1945 союзники разделили Германию и Берлин и приняли на себя руководство территориями (1050). Это была декларация о поражении Германии (2438,211).</w:t>
      </w:r>
    </w:p>
    <w:p w14:paraId="76330E2E" w14:textId="77777777" w:rsidR="006103B3" w:rsidRPr="00925F26" w:rsidRDefault="006103B3" w:rsidP="00925F26">
      <w:pPr>
        <w:autoSpaceDE w:val="0"/>
        <w:autoSpaceDN w:val="0"/>
        <w:adjustRightInd w:val="0"/>
        <w:jc w:val="both"/>
        <w:rPr>
          <w:color w:val="000000" w:themeColor="text1"/>
          <w:sz w:val="16"/>
          <w:szCs w:val="16"/>
        </w:rPr>
      </w:pPr>
    </w:p>
    <w:p w14:paraId="1FB3F7B2" w14:textId="77777777" w:rsidR="00B87114" w:rsidRPr="00925F26" w:rsidRDefault="00B87114" w:rsidP="00925F26">
      <w:pPr>
        <w:jc w:val="both"/>
        <w:rPr>
          <w:bCs/>
          <w:color w:val="000000" w:themeColor="text1"/>
          <w:sz w:val="16"/>
          <w:szCs w:val="16"/>
        </w:rPr>
      </w:pPr>
      <w:r w:rsidRPr="00925F26">
        <w:rPr>
          <w:bCs/>
          <w:color w:val="000000" w:themeColor="text1"/>
          <w:sz w:val="16"/>
          <w:szCs w:val="16"/>
        </w:rPr>
        <w:t>5 июня</w:t>
      </w:r>
      <w:r w:rsidRPr="00925F26">
        <w:rPr>
          <w:color w:val="000000" w:themeColor="text1"/>
          <w:sz w:val="16"/>
          <w:szCs w:val="16"/>
        </w:rPr>
        <w:t xml:space="preserve"> в 1945 году военачальники союзных держав Жуков, Эйзенхауэр, Монтгомери и Делатр де Тасиньи подписали в Берлине декларации о поражении Германии и принятии верховной власти в отношении Германии правительствами СССР, США, Великобритании и Временным правительством Французской республики. Во время войны и после её окончания большая часть Берлина была разрушена в результате многочисленных бомбардировок и уличных боёв 1945 года. После захвата города Красной армией и полной и безоговорочной капитуляции Германии, Берлин, как и вся Германия, был разделён на три сектора под иностранным управлением. Секторы западных союзников (США, Великобритания) были образованы в западной части города, а сектор Советского Союза — в восточной. С 26 июля 1945 был образован четвертый французский сектор. Противостояние западных союзников и Советского Союза привело в 1948-1949 годах к экономической блокаде Западного Берлина, для преодоления которой западными союзниками был организован так называемый воздушный мост для снабжения города. Это противостояние привело также к образованию двух германских государств на оккупированных территориях: вначале ФРГ в западной зоне, а следом и ГДР на востоке — обеих в 1949 году. В 1953 году в Восточном Берлине произошло массовое антиправительственное выступление, подавленное с помощью советских оккупационных войск. Западный Берлин становится "витриной Запада", городом с высоким уровнем жизни, социальной защиты, демократических свобод. В то время как ФРГ основала новую столицу в городе Бонн, ГДР свою столицу разместила в Восточном Берлине. Конфликт между Востоком и Западом на территории Берлина повлёк в 1961 году в строительство Берлинской стены, возведённой по инициативе социалистической ГДР. Переход граждан с одной территории на другую допускался только через пограничные контрольно-пропускные пункты. В 1971 году было подписано Четырёхстороннее соглашение по Западному Берлину, урегулировавшее правовой статус разделённого города. После 1949 года, в начальный период разделения города на две (западную и восточную) части, примечательной чертой всех региональных проектов застройки </w:t>
      </w:r>
      <w:r w:rsidRPr="00925F26">
        <w:rPr>
          <w:color w:val="000000" w:themeColor="text1"/>
          <w:sz w:val="16"/>
          <w:szCs w:val="16"/>
        </w:rPr>
        <w:lastRenderedPageBreak/>
        <w:t>города было практически полное игнорирование архитекторами (как на западе, так и на востоке) данной политической реалии. Соседние части территории городского района рассматривались в этот период как объекты реализации единых по замыслу архитектурных проектов. Так, например, неоднократно разрабатывавшийся в период 1965—1978 годов «План использования территории Западного Берлина» в части разработки демографической гипотезы и предложений по развитию транспортной инфраструктуры охватывал всю территорию Большого Берлина.</w:t>
      </w:r>
    </w:p>
    <w:p w14:paraId="56321A3D" w14:textId="77777777" w:rsidR="00B87114" w:rsidRPr="00925F26" w:rsidRDefault="00B87114" w:rsidP="00925F26">
      <w:pPr>
        <w:jc w:val="both"/>
        <w:rPr>
          <w:color w:val="000000" w:themeColor="text1"/>
          <w:sz w:val="16"/>
          <w:szCs w:val="16"/>
        </w:rPr>
      </w:pPr>
      <w:r w:rsidRPr="00925F26">
        <w:rPr>
          <w:color w:val="000000" w:themeColor="text1"/>
          <w:sz w:val="16"/>
          <w:szCs w:val="16"/>
        </w:rPr>
        <w:t xml:space="preserve">И только в разработанной в 1984 году новой редакции этого плана его проектные решения были жёстко ориентированы на проблемы развития западной части города и практически не касались каких-либо проблем развития его восточной части или всего городского района в целом. Аналогичная тенденция прослеживается в истории разработки генерального плана Восточного Берлина. Как и в самом этом плане, который начал составляться ещё в 1949 году, так и в примыкающем к нему «Плане пространственной организации территории Большого Берлина» (начало разработки — 1955 год) в процессе анализа и решения всех планировочных проблем речь шла о едином городском районе. На всю его территорию, а также на выделенную в его пределах зону непосредственного тяготения Берлина (в радиусе 30 км) была разработана единая, рассчитанная на далёкую перспективу концепция функционального использования территории, предусматривающая возможность расселения здесь не менее 4 млн человек. В соответствии с этой концепцией было предусмотрено резкое повышение уровня интенсивности использования селитебных и промышленных территорий при сохранении больших незастроенных пространств, предназначенных для сельскохозяйственного и рекреационного использования. Предусмотрены были также крупномасштабные мероприятия </w:t>
      </w:r>
      <w:proofErr w:type="gramStart"/>
      <w:r w:rsidRPr="00925F26">
        <w:rPr>
          <w:color w:val="000000" w:themeColor="text1"/>
          <w:sz w:val="16"/>
          <w:szCs w:val="16"/>
        </w:rPr>
        <w:t>по реконструкции</w:t>
      </w:r>
      <w:proofErr w:type="gramEnd"/>
      <w:r w:rsidRPr="00925F26">
        <w:rPr>
          <w:color w:val="000000" w:themeColor="text1"/>
          <w:sz w:val="16"/>
          <w:szCs w:val="16"/>
        </w:rPr>
        <w:t xml:space="preserve"> сложившейся на территории данного района сети автомобильных дорог: завершение строительства кольцевой автодороги, её соединение с помощью скоростных магистралей с четырёхугольником тангенциального транспортного «обвода» центральной части города, создание системы репрезентативных улиц, соединяющих центры городских районов с зоной общегородского центра. Район Курфюрстендамм трактовался как единый деловой центр города (своего рода «Сити»), однако, без чётких указаний на выполняемые им конкретные функции. Берлинская стена пала только в 1989 году под давлением населения ГДР, и произошло это благодаря отказу Советского Союза вмешиваться во внутренние дела ГДР. 3 октября 1990 года ГДР присоединяется к зоне действия Основного закона ФРГ. Германия стала единой страной. В 1991 году бундестаг принял решение о переезде в Берлин и тем самым подвёл итог дискуссии о месте нахождения правительства Германии. 1 сентября 1999 года правительство и парламент Германии приступили к работе уже в Берлине. В Берлине расположены посольства 147 государств (14913).</w:t>
      </w:r>
    </w:p>
    <w:p w14:paraId="5B25874D" w14:textId="77777777" w:rsidR="00B87114" w:rsidRPr="00925F26" w:rsidRDefault="00B87114" w:rsidP="00925F26">
      <w:pPr>
        <w:jc w:val="both"/>
        <w:rPr>
          <w:color w:val="000000" w:themeColor="text1"/>
          <w:sz w:val="16"/>
          <w:szCs w:val="16"/>
        </w:rPr>
      </w:pPr>
    </w:p>
    <w:p w14:paraId="49C4797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17420E0" w14:textId="77777777" w:rsidR="006103B3" w:rsidRPr="00925F26" w:rsidRDefault="006103B3" w:rsidP="00925F26">
      <w:pPr>
        <w:autoSpaceDE w:val="0"/>
        <w:autoSpaceDN w:val="0"/>
        <w:adjustRightInd w:val="0"/>
        <w:jc w:val="both"/>
        <w:rPr>
          <w:iCs/>
          <w:color w:val="000000" w:themeColor="text1"/>
          <w:sz w:val="16"/>
          <w:szCs w:val="16"/>
        </w:rPr>
      </w:pPr>
    </w:p>
    <w:p w14:paraId="2F1DDAA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Черчилль отверг обвинения генерала Де Голля в том, что за антифранцузскими выступлениями арабов в Сирии стоит Англия (4962).</w:t>
      </w:r>
    </w:p>
    <w:p w14:paraId="275A627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17FECE8" w14:textId="77777777" w:rsidR="00B87114" w:rsidRPr="00925F26" w:rsidRDefault="00B87114" w:rsidP="00925F26">
      <w:pPr>
        <w:jc w:val="both"/>
        <w:rPr>
          <w:color w:val="000000" w:themeColor="text1"/>
          <w:sz w:val="16"/>
          <w:szCs w:val="16"/>
        </w:rPr>
      </w:pPr>
      <w:r w:rsidRPr="00925F26">
        <w:rPr>
          <w:bCs/>
          <w:color w:val="000000" w:themeColor="text1"/>
          <w:sz w:val="16"/>
          <w:szCs w:val="16"/>
        </w:rPr>
        <w:t>5 июня</w:t>
      </w:r>
      <w:r w:rsidRPr="00925F26">
        <w:rPr>
          <w:color w:val="000000" w:themeColor="text1"/>
          <w:sz w:val="16"/>
          <w:szCs w:val="16"/>
        </w:rPr>
        <w:t xml:space="preserve"> в 1945 году на парламентских выборах в Великобритании победила Лейбористская партия (14913).</w:t>
      </w:r>
    </w:p>
    <w:p w14:paraId="33B06848" w14:textId="77777777" w:rsidR="00B87114" w:rsidRPr="00925F26" w:rsidRDefault="00B87114" w:rsidP="00925F26">
      <w:pPr>
        <w:jc w:val="both"/>
        <w:rPr>
          <w:color w:val="000000" w:themeColor="text1"/>
          <w:sz w:val="16"/>
          <w:szCs w:val="16"/>
        </w:rPr>
      </w:pPr>
    </w:p>
    <w:p w14:paraId="119D707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5 июня 1945 мощным ураганом повреждены 4 американских линкора у Окинавы (4962).</w:t>
      </w:r>
    </w:p>
    <w:p w14:paraId="5FF15F8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9EB6C87" w14:textId="77777777" w:rsidR="00B87114" w:rsidRPr="00925F26" w:rsidRDefault="00B87114" w:rsidP="00925F26">
      <w:pPr>
        <w:jc w:val="both"/>
        <w:rPr>
          <w:color w:val="000000" w:themeColor="text1"/>
          <w:sz w:val="16"/>
          <w:szCs w:val="16"/>
        </w:rPr>
      </w:pPr>
      <w:r w:rsidRPr="00925F26">
        <w:rPr>
          <w:bCs/>
          <w:color w:val="000000" w:themeColor="text1"/>
          <w:sz w:val="16"/>
          <w:szCs w:val="16"/>
        </w:rPr>
        <w:t>5 июня</w:t>
      </w:r>
      <w:r w:rsidRPr="00925F26">
        <w:rPr>
          <w:color w:val="000000" w:themeColor="text1"/>
          <w:sz w:val="16"/>
          <w:szCs w:val="16"/>
        </w:rPr>
        <w:t xml:space="preserve"> в 1945 году части американского 5-го флота попадают в Филиппинском море в сильный тайфун, многие корабли тяжело повреждены, в том числе 4 линкора (14913).</w:t>
      </w:r>
    </w:p>
    <w:p w14:paraId="67AF5BBF" w14:textId="77777777" w:rsidR="00B87114" w:rsidRPr="00925F26" w:rsidRDefault="00B87114" w:rsidP="00925F26">
      <w:pPr>
        <w:jc w:val="both"/>
        <w:rPr>
          <w:color w:val="000000" w:themeColor="text1"/>
          <w:sz w:val="16"/>
          <w:szCs w:val="16"/>
        </w:rPr>
      </w:pPr>
    </w:p>
    <w:p w14:paraId="683251FA" w14:textId="77777777" w:rsidR="00B5377E" w:rsidRPr="00925F26" w:rsidRDefault="00B5377E" w:rsidP="00925F26">
      <w:pPr>
        <w:jc w:val="both"/>
        <w:rPr>
          <w:color w:val="000000" w:themeColor="text1"/>
          <w:sz w:val="16"/>
          <w:szCs w:val="16"/>
        </w:rPr>
      </w:pPr>
      <w:r w:rsidRPr="00925F26">
        <w:rPr>
          <w:color w:val="000000" w:themeColor="text1"/>
          <w:sz w:val="16"/>
          <w:szCs w:val="16"/>
        </w:rPr>
        <w:t>5 июня 1945 тайфун обрушился на оперативную группу 38 ВМС США к юго-востоку от Окинавы. Авианосцы USS Hornet, USS Bennington, USS Belleau Wood, USS San Jacinto, USS Windham Bay и USS Salamaua повреждены, а оперативная группа потеряла 76 самолетов (20371).</w:t>
      </w:r>
    </w:p>
    <w:p w14:paraId="6D7FC96C" w14:textId="77777777" w:rsidR="00B5377E" w:rsidRPr="00925F26" w:rsidRDefault="00B5377E" w:rsidP="00925F26">
      <w:pPr>
        <w:jc w:val="both"/>
        <w:rPr>
          <w:color w:val="000000" w:themeColor="text1"/>
          <w:sz w:val="16"/>
          <w:szCs w:val="16"/>
        </w:rPr>
      </w:pPr>
    </w:p>
    <w:p w14:paraId="4D5F8D0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5B1E277" w14:textId="77777777" w:rsidR="006103B3" w:rsidRPr="00925F26" w:rsidRDefault="006103B3" w:rsidP="00925F26">
      <w:pPr>
        <w:autoSpaceDE w:val="0"/>
        <w:autoSpaceDN w:val="0"/>
        <w:adjustRightInd w:val="0"/>
        <w:jc w:val="both"/>
        <w:rPr>
          <w:iCs/>
          <w:color w:val="000000" w:themeColor="text1"/>
          <w:sz w:val="16"/>
          <w:szCs w:val="16"/>
        </w:rPr>
      </w:pPr>
    </w:p>
    <w:p w14:paraId="7449CD6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года закончились эксплуатационные испытания самолета № 0528 Саратовского авиазавода (общий налет 72 часа), которые шли с 14 ноября 1944 и показали, что после наработки двигателем 95 часов максимальная скорость у земли снижалась на 10 км/ч, на 1-й границе высотности - на 5 км/ч и на 2-й границе высотности - на 19 км/ч. При этом 1-я граница высотности снизилась на 250 метров, а 2-я - на 350 метров. Время набора высоты 5000 метров возрастало на 18 секунд. Других замечаний к машине практически не было (12047).</w:t>
      </w:r>
    </w:p>
    <w:p w14:paraId="4E5A41B6" w14:textId="77777777" w:rsidR="006103B3" w:rsidRPr="00925F26" w:rsidRDefault="006103B3" w:rsidP="00925F26">
      <w:pPr>
        <w:autoSpaceDE w:val="0"/>
        <w:autoSpaceDN w:val="0"/>
        <w:adjustRightInd w:val="0"/>
        <w:jc w:val="both"/>
        <w:rPr>
          <w:color w:val="000000" w:themeColor="text1"/>
          <w:sz w:val="16"/>
          <w:szCs w:val="16"/>
        </w:rPr>
      </w:pPr>
    </w:p>
    <w:p w14:paraId="7797B3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г. вышло постановление № 7 ГОКО-8934сс “О плане производства самолетов и авиационных моторов на июнь и Ш квартал”. В нем говорилось непосредственно о конверсии. Июньский план уменьшался на 1452 самолета: предусматривался выпуск 2233 самолетов вместо 3685 по ранее установленному плану. В Ш квартале программа выпуска составляла 5419 самолетов (по плану П квартала было 10642 самолета), т.е. уменьшалась почти вдвое. При этом одним из принципов было прекращение выпуска боевых самолетов того или иного типа и переход к изготовлению на его основе учебных самолетов, имевших двойное управление (напр., истребителей типа ЯК-9 модель ВК-105ПФ и Ла-7 АШ-82ФН; штурмовиков Ил-2 АМ-38Ф и Ил 10 АМ-42; бомбардировщиков Пе-2 2ВК-105 ПФ); сохранялся на прежнем уровне лишь выпуск транспортных самолетов типа Ли-2 и Ще-2.</w:t>
      </w:r>
    </w:p>
    <w:p w14:paraId="11D464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Намеченные меры позволяли сохранять на высоком уровне потенциал авиационной промышленности и боевые возможности советских военно-воздушных сил на случай возобновления военных действий. Вместе с тем, наркомату авиационной промышленности (нарком А.И.Шахурин) ставилась задача “организовать на заводе № 22 в г. Казани производство 4-моторных дальних бомбардировщиков Б-4” (7543).</w:t>
      </w:r>
    </w:p>
    <w:p w14:paraId="1C287FF2" w14:textId="77777777" w:rsidR="006103B3" w:rsidRPr="00925F26" w:rsidRDefault="006103B3" w:rsidP="00925F26">
      <w:pPr>
        <w:autoSpaceDE w:val="0"/>
        <w:autoSpaceDN w:val="0"/>
        <w:adjustRightInd w:val="0"/>
        <w:jc w:val="both"/>
        <w:rPr>
          <w:color w:val="000000" w:themeColor="text1"/>
          <w:sz w:val="16"/>
          <w:szCs w:val="16"/>
        </w:rPr>
      </w:pPr>
    </w:p>
    <w:p w14:paraId="58C13A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года Постановлением ГКО № 8934сс и 15 июня 1945 года приказом НКАП № 251сс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800A7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1C3007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Завод продолжал ремонт самолетов ЛА-9 до 1951 года.</w:t>
      </w:r>
    </w:p>
    <w:p w14:paraId="79A927C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Завод, начиная с 1951 года начал серийный выпуск самолета </w:t>
      </w:r>
      <w:proofErr w:type="gramStart"/>
      <w:r w:rsidRPr="00925F26">
        <w:rPr>
          <w:color w:val="000000" w:themeColor="text1"/>
          <w:sz w:val="16"/>
          <w:szCs w:val="16"/>
        </w:rPr>
        <w:t>МИГ-15 с крыльями</w:t>
      </w:r>
      <w:proofErr w:type="gramEnd"/>
      <w:r w:rsidRPr="00925F26">
        <w:rPr>
          <w:color w:val="000000" w:themeColor="text1"/>
          <w:sz w:val="16"/>
          <w:szCs w:val="16"/>
        </w:rPr>
        <w:t xml:space="preserve"> получаемыми с родственных заводов.</w:t>
      </w:r>
    </w:p>
    <w:p w14:paraId="69670B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Местонахождение – завод расположен в 12 км от Улан-Удэ</w:t>
      </w:r>
    </w:p>
    <w:p w14:paraId="313E84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самолетостроительный завод по выпуску самолетов УТИ МИГ-15 и вертолетов КА-15</w:t>
      </w:r>
    </w:p>
    <w:p w14:paraId="465C1E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571BDCF0" w14:textId="77777777" w:rsidR="006103B3" w:rsidRPr="00925F26" w:rsidRDefault="006103B3" w:rsidP="00925F26">
      <w:pPr>
        <w:autoSpaceDE w:val="0"/>
        <w:autoSpaceDN w:val="0"/>
        <w:adjustRightInd w:val="0"/>
        <w:jc w:val="both"/>
        <w:rPr>
          <w:color w:val="000000" w:themeColor="text1"/>
          <w:sz w:val="16"/>
          <w:szCs w:val="16"/>
        </w:rPr>
      </w:pPr>
    </w:p>
    <w:p w14:paraId="09F3079C" w14:textId="77777777" w:rsidR="00B5377E" w:rsidRPr="00925F26" w:rsidRDefault="00B5377E" w:rsidP="00925F26">
      <w:pPr>
        <w:jc w:val="both"/>
        <w:rPr>
          <w:color w:val="000000" w:themeColor="text1"/>
          <w:sz w:val="16"/>
          <w:szCs w:val="16"/>
        </w:rPr>
      </w:pPr>
      <w:r w:rsidRPr="00925F26">
        <w:rPr>
          <w:color w:val="000000" w:themeColor="text1"/>
          <w:sz w:val="16"/>
          <w:szCs w:val="16"/>
          <w:lang w:bidi="ru-RU"/>
        </w:rPr>
        <w:t>6 июня 1945 г. было одобрено Постановление, которое предусматривало полное сворачивание выпуска самолетов заводами № 135 и № 473. Первый из них должен был наладить производство грузовых мотоциклов, а второй — автобусов. Но вскоре планы скорректировали, и оба предприятия сохранили свой авиационный профиль. Их передали в ведение 11-го Главного управления Министерства авиационной промышленности (МАП) СССР, занимающегося легкомоторной авиацией. Но загрузить их долгое время не удавалось. Завод № 473 в течение 1946—1948 гг. изготовил лишь опытные партии геликоптеров Г-3 и Г-4 (соответственно, семь и че</w:t>
      </w:r>
      <w:r w:rsidRPr="00925F26">
        <w:rPr>
          <w:color w:val="000000" w:themeColor="text1"/>
          <w:sz w:val="16"/>
          <w:szCs w:val="16"/>
          <w:lang w:bidi="ru-RU"/>
        </w:rPr>
        <w:softHyphen/>
        <w:t>тыре экземпляра) конструкции И. Братухина и Ми-1 конструкции М. Миля (три единицы). Харьковский завод № 135 в конце 1946 г. вообще собрались перепрофилировать. Положение было спасено только благодаря обращению группы работников завода в Министерство авиационной промышленности СССР и ЦК КП(б)У с просьбой сохранить за предприятием самолетостро</w:t>
      </w:r>
      <w:r w:rsidRPr="00925F26">
        <w:rPr>
          <w:color w:val="000000" w:themeColor="text1"/>
          <w:sz w:val="16"/>
          <w:szCs w:val="16"/>
          <w:lang w:bidi="ru-RU"/>
        </w:rPr>
        <w:softHyphen/>
        <w:t>ительный профиль и утвердить техническое задание на ближайшие годы. К мнению работников прислушались и в марте 1947 г. решили внедрить в производство на заводе № 135 новый учебный самолет Як-18. Параллельно завод производил и широкую гамму непрофильных изделий гражданского назначения — кровати, молокомеры, детские санки, ученические парты, культиваторы и пр. (23180).</w:t>
      </w:r>
    </w:p>
    <w:p w14:paraId="4B77A37E" w14:textId="77777777" w:rsidR="00B5377E" w:rsidRPr="00925F26" w:rsidRDefault="00B5377E" w:rsidP="00925F26">
      <w:pPr>
        <w:jc w:val="both"/>
        <w:rPr>
          <w:color w:val="000000" w:themeColor="text1"/>
          <w:sz w:val="16"/>
          <w:szCs w:val="16"/>
        </w:rPr>
      </w:pPr>
    </w:p>
    <w:p w14:paraId="62F7D7C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8934сс О плане производства самолетов и авиамоторов на июнь и III квартал 1945 и в нем уже говорилось о конверсии АП - больше учебных + гражданские двигатели для автомашин и мотоциклов, радиаторы, электромоторы и т.п. Уменьшили июньский план на 1452 с-та до 2233, а в целом по квартала - до 5419, пости вдвое по сравнению с предыдущим кварталом (10642) (7543, 13).</w:t>
      </w:r>
    </w:p>
    <w:p w14:paraId="591DB90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450CD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6 июня 1945 г. вышло Постановление ГОКО № </w:t>
      </w:r>
      <w:proofErr w:type="gramStart"/>
      <w:r w:rsidRPr="00925F26">
        <w:rPr>
          <w:color w:val="000000" w:themeColor="text1"/>
          <w:sz w:val="16"/>
          <w:szCs w:val="16"/>
        </w:rPr>
        <w:t>8934сс О</w:t>
      </w:r>
      <w:proofErr w:type="gramEnd"/>
      <w:r w:rsidRPr="00925F26">
        <w:rPr>
          <w:color w:val="000000" w:themeColor="text1"/>
          <w:sz w:val="16"/>
          <w:szCs w:val="16"/>
        </w:rPr>
        <w:t xml:space="preserve"> плане производства самолетов и авиационных моторов на июнь и </w:t>
      </w:r>
      <w:r w:rsidRPr="00925F26">
        <w:rPr>
          <w:color w:val="000000" w:themeColor="text1"/>
          <w:sz w:val="16"/>
          <w:szCs w:val="16"/>
          <w:lang w:val="en-US"/>
        </w:rPr>
        <w:t>III</w:t>
      </w:r>
      <w:r w:rsidRPr="00925F26">
        <w:rPr>
          <w:color w:val="000000" w:themeColor="text1"/>
          <w:sz w:val="16"/>
          <w:szCs w:val="16"/>
        </w:rPr>
        <w:t xml:space="preserve"> квартал</w:t>
      </w:r>
    </w:p>
    <w:p w14:paraId="0AE23D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Строго секретно</w:t>
      </w:r>
    </w:p>
    <w:p w14:paraId="244FC9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23E466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r w:rsidRPr="00925F26">
        <w:rPr>
          <w:color w:val="000000" w:themeColor="text1"/>
          <w:sz w:val="16"/>
          <w:szCs w:val="16"/>
        </w:rPr>
        <w:t>.</w:t>
      </w:r>
    </w:p>
    <w:p w14:paraId="0C2D25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сокращении выпуска самолетов и авиационных моторов</w:t>
      </w:r>
    </w:p>
    <w:p w14:paraId="3AF3FD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1. Уменьшить Наркомавиапрому на июнь 1945 г. план производства на 1452 самолета и утвердить программу выпуска в июне 2233 самолета вместо 3685 самолетов по ранее установленному плану.</w:t>
      </w:r>
    </w:p>
    <w:p w14:paraId="3D5203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Утвердить Наркомавиапрому программу выпуска са</w:t>
      </w:r>
      <w:r w:rsidRPr="00925F26">
        <w:rPr>
          <w:color w:val="000000" w:themeColor="text1"/>
          <w:sz w:val="16"/>
          <w:szCs w:val="16"/>
        </w:rPr>
        <w:softHyphen/>
        <w:t xml:space="preserve">молетов в </w:t>
      </w:r>
      <w:r w:rsidRPr="00925F26">
        <w:rPr>
          <w:color w:val="000000" w:themeColor="text1"/>
          <w:sz w:val="16"/>
          <w:szCs w:val="16"/>
          <w:lang w:val="en-US"/>
        </w:rPr>
        <w:t>III</w:t>
      </w:r>
      <w:r w:rsidRPr="00925F26">
        <w:rPr>
          <w:color w:val="000000" w:themeColor="text1"/>
          <w:sz w:val="16"/>
          <w:szCs w:val="16"/>
        </w:rPr>
        <w:t xml:space="preserve"> квартале 1945 г. в количестве 5419 самоле</w:t>
      </w:r>
      <w:r w:rsidRPr="00925F26">
        <w:rPr>
          <w:color w:val="000000" w:themeColor="text1"/>
          <w:sz w:val="16"/>
          <w:szCs w:val="16"/>
        </w:rPr>
        <w:softHyphen/>
        <w:t xml:space="preserve">тов, против 10642 самолетов по плану </w:t>
      </w:r>
      <w:r w:rsidRPr="00925F26">
        <w:rPr>
          <w:color w:val="000000" w:themeColor="text1"/>
          <w:sz w:val="16"/>
          <w:szCs w:val="16"/>
          <w:lang w:val="en-US"/>
        </w:rPr>
        <w:t>II</w:t>
      </w:r>
      <w:r w:rsidRPr="00925F26">
        <w:rPr>
          <w:color w:val="000000" w:themeColor="text1"/>
          <w:sz w:val="16"/>
          <w:szCs w:val="16"/>
        </w:rPr>
        <w:t xml:space="preserve"> квартала.</w:t>
      </w:r>
    </w:p>
    <w:p w14:paraId="0E62EED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Установить Наркомавиапрому следующий план на июнь и </w:t>
      </w:r>
      <w:r w:rsidRPr="00925F26">
        <w:rPr>
          <w:color w:val="000000" w:themeColor="text1"/>
          <w:sz w:val="16"/>
          <w:szCs w:val="16"/>
          <w:lang w:val="en-US"/>
        </w:rPr>
        <w:t>III</w:t>
      </w:r>
      <w:r w:rsidRPr="00925F26">
        <w:rPr>
          <w:color w:val="000000" w:themeColor="text1"/>
          <w:sz w:val="16"/>
          <w:szCs w:val="16"/>
        </w:rPr>
        <w:t xml:space="preserve"> квартал 1945 г. по типам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8"/>
        <w:gridCol w:w="928"/>
        <w:gridCol w:w="888"/>
        <w:gridCol w:w="445"/>
        <w:gridCol w:w="554"/>
        <w:gridCol w:w="663"/>
        <w:gridCol w:w="437"/>
      </w:tblGrid>
      <w:tr w:rsidR="000F5689" w:rsidRPr="00925F26" w14:paraId="6DE3B801" w14:textId="77777777">
        <w:trPr>
          <w:trHeight w:val="317"/>
        </w:trPr>
        <w:tc>
          <w:tcPr>
            <w:tcW w:w="2268" w:type="dxa"/>
            <w:tcBorders>
              <w:top w:val="single" w:sz="12" w:space="0" w:color="auto"/>
            </w:tcBorders>
          </w:tcPr>
          <w:p w14:paraId="047096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E59E0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28" w:type="dxa"/>
            <w:tcBorders>
              <w:top w:val="single" w:sz="12" w:space="0" w:color="auto"/>
            </w:tcBorders>
          </w:tcPr>
          <w:p w14:paraId="090B49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Ранее уста</w:t>
            </w:r>
            <w:r w:rsidRPr="00925F26">
              <w:rPr>
                <w:color w:val="000000" w:themeColor="text1"/>
                <w:sz w:val="16"/>
                <w:szCs w:val="16"/>
              </w:rPr>
              <w:softHyphen/>
              <w:t>новленный план</w:t>
            </w:r>
          </w:p>
          <w:p w14:paraId="111417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Borders>
              <w:top w:val="single" w:sz="12" w:space="0" w:color="auto"/>
            </w:tcBorders>
          </w:tcPr>
          <w:p w14:paraId="4AC43F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Сокращенный план на июнь</w:t>
            </w:r>
          </w:p>
          <w:p w14:paraId="65B9C20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2098" w:type="dxa"/>
            <w:gridSpan w:val="4"/>
            <w:tcBorders>
              <w:top w:val="single" w:sz="12" w:space="0" w:color="auto"/>
            </w:tcBorders>
          </w:tcPr>
          <w:p w14:paraId="22553D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План на </w:t>
            </w:r>
            <w:r w:rsidRPr="00925F26">
              <w:rPr>
                <w:color w:val="000000" w:themeColor="text1"/>
                <w:sz w:val="16"/>
                <w:szCs w:val="16"/>
                <w:lang w:val="en-US"/>
              </w:rPr>
              <w:t xml:space="preserve">III </w:t>
            </w:r>
            <w:r w:rsidRPr="00925F26">
              <w:rPr>
                <w:color w:val="000000" w:themeColor="text1"/>
                <w:sz w:val="16"/>
                <w:szCs w:val="16"/>
              </w:rPr>
              <w:t>квартал</w:t>
            </w:r>
          </w:p>
          <w:p w14:paraId="3B37FC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659B2490" w14:textId="77777777">
        <w:trPr>
          <w:trHeight w:val="163"/>
        </w:trPr>
        <w:tc>
          <w:tcPr>
            <w:tcW w:w="2268" w:type="dxa"/>
          </w:tcPr>
          <w:p w14:paraId="5416E072" w14:textId="77777777" w:rsidR="006103B3" w:rsidRPr="00925F26" w:rsidRDefault="006103B3" w:rsidP="00925F26">
            <w:pPr>
              <w:autoSpaceDE w:val="0"/>
              <w:autoSpaceDN w:val="0"/>
              <w:adjustRightInd w:val="0"/>
              <w:jc w:val="both"/>
              <w:rPr>
                <w:color w:val="000000" w:themeColor="text1"/>
                <w:sz w:val="16"/>
                <w:szCs w:val="16"/>
              </w:rPr>
            </w:pPr>
          </w:p>
          <w:p w14:paraId="0CAD466A" w14:textId="77777777" w:rsidR="006103B3" w:rsidRPr="00925F26" w:rsidRDefault="006103B3" w:rsidP="00925F26">
            <w:pPr>
              <w:autoSpaceDE w:val="0"/>
              <w:autoSpaceDN w:val="0"/>
              <w:adjustRightInd w:val="0"/>
              <w:jc w:val="both"/>
              <w:rPr>
                <w:color w:val="000000" w:themeColor="text1"/>
                <w:sz w:val="16"/>
                <w:szCs w:val="16"/>
              </w:rPr>
            </w:pPr>
          </w:p>
        </w:tc>
        <w:tc>
          <w:tcPr>
            <w:tcW w:w="928" w:type="dxa"/>
          </w:tcPr>
          <w:p w14:paraId="6E73118B" w14:textId="77777777" w:rsidR="006103B3" w:rsidRPr="00925F26" w:rsidRDefault="006103B3" w:rsidP="00925F26">
            <w:pPr>
              <w:autoSpaceDE w:val="0"/>
              <w:autoSpaceDN w:val="0"/>
              <w:adjustRightInd w:val="0"/>
              <w:jc w:val="both"/>
              <w:rPr>
                <w:color w:val="000000" w:themeColor="text1"/>
                <w:sz w:val="16"/>
                <w:szCs w:val="16"/>
              </w:rPr>
            </w:pPr>
          </w:p>
          <w:p w14:paraId="4F74F4CF" w14:textId="77777777" w:rsidR="006103B3" w:rsidRPr="00925F26" w:rsidRDefault="006103B3" w:rsidP="00925F26">
            <w:pPr>
              <w:autoSpaceDE w:val="0"/>
              <w:autoSpaceDN w:val="0"/>
              <w:adjustRightInd w:val="0"/>
              <w:jc w:val="both"/>
              <w:rPr>
                <w:color w:val="000000" w:themeColor="text1"/>
                <w:sz w:val="16"/>
                <w:szCs w:val="16"/>
              </w:rPr>
            </w:pPr>
          </w:p>
        </w:tc>
        <w:tc>
          <w:tcPr>
            <w:tcW w:w="888" w:type="dxa"/>
          </w:tcPr>
          <w:p w14:paraId="54E09804" w14:textId="77777777" w:rsidR="006103B3" w:rsidRPr="00925F26" w:rsidRDefault="006103B3" w:rsidP="00925F26">
            <w:pPr>
              <w:autoSpaceDE w:val="0"/>
              <w:autoSpaceDN w:val="0"/>
              <w:adjustRightInd w:val="0"/>
              <w:jc w:val="both"/>
              <w:rPr>
                <w:color w:val="000000" w:themeColor="text1"/>
                <w:sz w:val="16"/>
                <w:szCs w:val="16"/>
              </w:rPr>
            </w:pPr>
          </w:p>
          <w:p w14:paraId="4734C418" w14:textId="77777777" w:rsidR="006103B3" w:rsidRPr="00925F26" w:rsidRDefault="006103B3" w:rsidP="00925F26">
            <w:pPr>
              <w:autoSpaceDE w:val="0"/>
              <w:autoSpaceDN w:val="0"/>
              <w:adjustRightInd w:val="0"/>
              <w:jc w:val="both"/>
              <w:rPr>
                <w:color w:val="000000" w:themeColor="text1"/>
                <w:sz w:val="16"/>
                <w:szCs w:val="16"/>
              </w:rPr>
            </w:pPr>
          </w:p>
        </w:tc>
        <w:tc>
          <w:tcPr>
            <w:tcW w:w="445" w:type="dxa"/>
          </w:tcPr>
          <w:p w14:paraId="4E53A3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июль</w:t>
            </w:r>
          </w:p>
          <w:p w14:paraId="79A553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5683DF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август</w:t>
            </w:r>
          </w:p>
          <w:p w14:paraId="1C15CB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0B1EFF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сентябрь</w:t>
            </w:r>
          </w:p>
          <w:p w14:paraId="3F368F9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2B2F45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p w14:paraId="4F82BD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A0DFA56" w14:textId="77777777">
        <w:trPr>
          <w:trHeight w:val="202"/>
        </w:trPr>
        <w:tc>
          <w:tcPr>
            <w:tcW w:w="2268" w:type="dxa"/>
          </w:tcPr>
          <w:p w14:paraId="0BD692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p w14:paraId="41CA072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928" w:type="dxa"/>
          </w:tcPr>
          <w:p w14:paraId="7E805C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w:t>
            </w:r>
          </w:p>
          <w:p w14:paraId="1D5ECB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58AD05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w:t>
            </w:r>
          </w:p>
          <w:p w14:paraId="00BCDC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6853E4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w:t>
            </w:r>
          </w:p>
          <w:p w14:paraId="756378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042388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p w14:paraId="622FAD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5A17AA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w:t>
            </w:r>
          </w:p>
          <w:p w14:paraId="58FF65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58DDAF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w:t>
            </w:r>
          </w:p>
          <w:p w14:paraId="4B9A50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2A943930" w14:textId="77777777">
        <w:trPr>
          <w:trHeight w:val="202"/>
        </w:trPr>
        <w:tc>
          <w:tcPr>
            <w:tcW w:w="2268" w:type="dxa"/>
          </w:tcPr>
          <w:p w14:paraId="0549A0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Истребителей</w:t>
            </w:r>
          </w:p>
        </w:tc>
        <w:tc>
          <w:tcPr>
            <w:tcW w:w="928" w:type="dxa"/>
          </w:tcPr>
          <w:p w14:paraId="74AF0B9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7A5CB7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51ED69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1BE81B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3284C2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2A2362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7282887" w14:textId="77777777">
        <w:trPr>
          <w:trHeight w:val="202"/>
        </w:trPr>
        <w:tc>
          <w:tcPr>
            <w:tcW w:w="2268" w:type="dxa"/>
          </w:tcPr>
          <w:p w14:paraId="1362A0C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ЯК-9 ВК-107 А</w:t>
            </w:r>
          </w:p>
        </w:tc>
        <w:tc>
          <w:tcPr>
            <w:tcW w:w="928" w:type="dxa"/>
          </w:tcPr>
          <w:p w14:paraId="49BFEB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416</w:t>
            </w:r>
          </w:p>
        </w:tc>
        <w:tc>
          <w:tcPr>
            <w:tcW w:w="888" w:type="dxa"/>
          </w:tcPr>
          <w:p w14:paraId="62C535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280</w:t>
            </w:r>
          </w:p>
        </w:tc>
        <w:tc>
          <w:tcPr>
            <w:tcW w:w="445" w:type="dxa"/>
          </w:tcPr>
          <w:p w14:paraId="42A3DF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275</w:t>
            </w:r>
          </w:p>
        </w:tc>
        <w:tc>
          <w:tcPr>
            <w:tcW w:w="554" w:type="dxa"/>
          </w:tcPr>
          <w:p w14:paraId="23CE82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w:t>
            </w:r>
          </w:p>
        </w:tc>
        <w:tc>
          <w:tcPr>
            <w:tcW w:w="663" w:type="dxa"/>
          </w:tcPr>
          <w:p w14:paraId="447856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245</w:t>
            </w:r>
          </w:p>
        </w:tc>
        <w:tc>
          <w:tcPr>
            <w:tcW w:w="437" w:type="dxa"/>
          </w:tcPr>
          <w:p w14:paraId="57893E4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770</w:t>
            </w:r>
          </w:p>
        </w:tc>
      </w:tr>
      <w:tr w:rsidR="000F5689" w:rsidRPr="00925F26" w14:paraId="7C7D64C2" w14:textId="77777777">
        <w:trPr>
          <w:trHeight w:val="202"/>
        </w:trPr>
        <w:tc>
          <w:tcPr>
            <w:tcW w:w="2268" w:type="dxa"/>
          </w:tcPr>
          <w:p w14:paraId="6AA795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ЯК-3 ВК-107А</w:t>
            </w:r>
          </w:p>
        </w:tc>
        <w:tc>
          <w:tcPr>
            <w:tcW w:w="928" w:type="dxa"/>
          </w:tcPr>
          <w:p w14:paraId="3A31E7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tc>
        <w:tc>
          <w:tcPr>
            <w:tcW w:w="888" w:type="dxa"/>
          </w:tcPr>
          <w:p w14:paraId="279186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w:t>
            </w:r>
          </w:p>
        </w:tc>
        <w:tc>
          <w:tcPr>
            <w:tcW w:w="445" w:type="dxa"/>
          </w:tcPr>
          <w:p w14:paraId="14DD09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w:t>
            </w:r>
          </w:p>
        </w:tc>
        <w:tc>
          <w:tcPr>
            <w:tcW w:w="554" w:type="dxa"/>
          </w:tcPr>
          <w:p w14:paraId="7EBCEB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w:t>
            </w:r>
          </w:p>
        </w:tc>
        <w:tc>
          <w:tcPr>
            <w:tcW w:w="663" w:type="dxa"/>
          </w:tcPr>
          <w:p w14:paraId="309A1ED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tc>
        <w:tc>
          <w:tcPr>
            <w:tcW w:w="437" w:type="dxa"/>
          </w:tcPr>
          <w:p w14:paraId="239DEC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r>
      <w:tr w:rsidR="000F5689" w:rsidRPr="00925F26" w14:paraId="45E87EBD" w14:textId="77777777">
        <w:trPr>
          <w:trHeight w:val="202"/>
        </w:trPr>
        <w:tc>
          <w:tcPr>
            <w:tcW w:w="2268" w:type="dxa"/>
          </w:tcPr>
          <w:p w14:paraId="718F5C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ЯК-9 ВК-105ПФ</w:t>
            </w:r>
          </w:p>
        </w:tc>
        <w:tc>
          <w:tcPr>
            <w:tcW w:w="928" w:type="dxa"/>
          </w:tcPr>
          <w:p w14:paraId="23ED43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338</w:t>
            </w:r>
          </w:p>
        </w:tc>
        <w:tc>
          <w:tcPr>
            <w:tcW w:w="888" w:type="dxa"/>
          </w:tcPr>
          <w:p w14:paraId="604DBBA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w:t>
            </w:r>
          </w:p>
        </w:tc>
        <w:tc>
          <w:tcPr>
            <w:tcW w:w="445" w:type="dxa"/>
          </w:tcPr>
          <w:p w14:paraId="2124BC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Прекращается</w:t>
            </w:r>
          </w:p>
        </w:tc>
        <w:tc>
          <w:tcPr>
            <w:tcW w:w="554" w:type="dxa"/>
          </w:tcPr>
          <w:p w14:paraId="195C80E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0CC8F9D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1524F5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784F6A8" w14:textId="77777777">
        <w:trPr>
          <w:trHeight w:val="202"/>
        </w:trPr>
        <w:tc>
          <w:tcPr>
            <w:tcW w:w="2268" w:type="dxa"/>
          </w:tcPr>
          <w:p w14:paraId="0352E3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ЯК-9 ВК-105ПФС двойным управлением (учебные)</w:t>
            </w:r>
          </w:p>
        </w:tc>
        <w:tc>
          <w:tcPr>
            <w:tcW w:w="928" w:type="dxa"/>
          </w:tcPr>
          <w:p w14:paraId="1DE384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88" w:type="dxa"/>
          </w:tcPr>
          <w:p w14:paraId="3C6111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445" w:type="dxa"/>
          </w:tcPr>
          <w:p w14:paraId="72F025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c>
          <w:tcPr>
            <w:tcW w:w="554" w:type="dxa"/>
          </w:tcPr>
          <w:p w14:paraId="01E4A2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c>
          <w:tcPr>
            <w:tcW w:w="663" w:type="dxa"/>
          </w:tcPr>
          <w:p w14:paraId="3B3021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c>
          <w:tcPr>
            <w:tcW w:w="437" w:type="dxa"/>
          </w:tcPr>
          <w:p w14:paraId="407585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tc>
      </w:tr>
      <w:tr w:rsidR="000F5689" w:rsidRPr="00925F26" w14:paraId="51C7DFF0" w14:textId="77777777">
        <w:trPr>
          <w:trHeight w:val="202"/>
        </w:trPr>
        <w:tc>
          <w:tcPr>
            <w:tcW w:w="2268" w:type="dxa"/>
          </w:tcPr>
          <w:p w14:paraId="42F77D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ЯК-3 ВК-105ПФ</w:t>
            </w:r>
          </w:p>
        </w:tc>
        <w:tc>
          <w:tcPr>
            <w:tcW w:w="928" w:type="dxa"/>
          </w:tcPr>
          <w:p w14:paraId="2B88E6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354</w:t>
            </w:r>
          </w:p>
        </w:tc>
        <w:tc>
          <w:tcPr>
            <w:tcW w:w="888" w:type="dxa"/>
          </w:tcPr>
          <w:p w14:paraId="3E0D47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w:t>
            </w:r>
          </w:p>
        </w:tc>
        <w:tc>
          <w:tcPr>
            <w:tcW w:w="445" w:type="dxa"/>
          </w:tcPr>
          <w:p w14:paraId="1E7957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155</w:t>
            </w:r>
          </w:p>
        </w:tc>
        <w:tc>
          <w:tcPr>
            <w:tcW w:w="554" w:type="dxa"/>
          </w:tcPr>
          <w:p w14:paraId="302045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c>
          <w:tcPr>
            <w:tcW w:w="663" w:type="dxa"/>
          </w:tcPr>
          <w:p w14:paraId="6117A0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437" w:type="dxa"/>
          </w:tcPr>
          <w:p w14:paraId="627586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305</w:t>
            </w:r>
          </w:p>
        </w:tc>
      </w:tr>
      <w:tr w:rsidR="000F5689" w:rsidRPr="00925F26" w14:paraId="4AEF9A6D" w14:textId="77777777">
        <w:trPr>
          <w:trHeight w:val="202"/>
        </w:trPr>
        <w:tc>
          <w:tcPr>
            <w:tcW w:w="2268" w:type="dxa"/>
          </w:tcPr>
          <w:p w14:paraId="7BE6E0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ЛА-7 ФШ-82 ФН</w:t>
            </w:r>
          </w:p>
        </w:tc>
        <w:tc>
          <w:tcPr>
            <w:tcW w:w="928" w:type="dxa"/>
          </w:tcPr>
          <w:p w14:paraId="632FAD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546</w:t>
            </w:r>
          </w:p>
        </w:tc>
        <w:tc>
          <w:tcPr>
            <w:tcW w:w="888" w:type="dxa"/>
          </w:tcPr>
          <w:p w14:paraId="371BC9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275</w:t>
            </w:r>
          </w:p>
        </w:tc>
        <w:tc>
          <w:tcPr>
            <w:tcW w:w="445" w:type="dxa"/>
          </w:tcPr>
          <w:p w14:paraId="401B28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215</w:t>
            </w:r>
          </w:p>
        </w:tc>
        <w:tc>
          <w:tcPr>
            <w:tcW w:w="554" w:type="dxa"/>
          </w:tcPr>
          <w:p w14:paraId="6CE415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165</w:t>
            </w:r>
          </w:p>
          <w:p w14:paraId="0521C7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7BF41D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p w14:paraId="5F0FBE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7A0C4A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520</w:t>
            </w:r>
          </w:p>
          <w:p w14:paraId="449609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E41A000" w14:textId="77777777">
        <w:trPr>
          <w:trHeight w:val="202"/>
        </w:trPr>
        <w:tc>
          <w:tcPr>
            <w:tcW w:w="2268" w:type="dxa"/>
          </w:tcPr>
          <w:p w14:paraId="65041E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ЛА-7 ФШ-82ФН с ДВОЙНЫМ управлением (учебные)</w:t>
            </w:r>
          </w:p>
        </w:tc>
        <w:tc>
          <w:tcPr>
            <w:tcW w:w="928" w:type="dxa"/>
          </w:tcPr>
          <w:p w14:paraId="6A023D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88" w:type="dxa"/>
          </w:tcPr>
          <w:p w14:paraId="72F1E0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445" w:type="dxa"/>
          </w:tcPr>
          <w:p w14:paraId="444749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p w14:paraId="7DE1CF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5AE646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4F35EF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632925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75</w:t>
            </w:r>
          </w:p>
          <w:p w14:paraId="3CA392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6A291A4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175</w:t>
            </w:r>
          </w:p>
          <w:p w14:paraId="45E21B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461508AD" w14:textId="77777777">
        <w:trPr>
          <w:trHeight w:val="202"/>
        </w:trPr>
        <w:tc>
          <w:tcPr>
            <w:tcW w:w="2268" w:type="dxa"/>
          </w:tcPr>
          <w:p w14:paraId="06A3DD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28" w:type="dxa"/>
          </w:tcPr>
          <w:p w14:paraId="576A70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1664</w:t>
            </w:r>
          </w:p>
        </w:tc>
        <w:tc>
          <w:tcPr>
            <w:tcW w:w="888" w:type="dxa"/>
          </w:tcPr>
          <w:p w14:paraId="295E6F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900</w:t>
            </w:r>
          </w:p>
        </w:tc>
        <w:tc>
          <w:tcPr>
            <w:tcW w:w="445" w:type="dxa"/>
          </w:tcPr>
          <w:p w14:paraId="26E667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780</w:t>
            </w:r>
          </w:p>
        </w:tc>
        <w:tc>
          <w:tcPr>
            <w:tcW w:w="554" w:type="dxa"/>
          </w:tcPr>
          <w:p w14:paraId="701769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725</w:t>
            </w:r>
          </w:p>
          <w:p w14:paraId="4D2E4E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049163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670</w:t>
            </w:r>
          </w:p>
          <w:p w14:paraId="5898FC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001865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2175</w:t>
            </w:r>
          </w:p>
          <w:p w14:paraId="4308DD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9495EC4" w14:textId="77777777">
        <w:trPr>
          <w:trHeight w:val="202"/>
        </w:trPr>
        <w:tc>
          <w:tcPr>
            <w:tcW w:w="2268" w:type="dxa"/>
          </w:tcPr>
          <w:p w14:paraId="2FFAAAD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Штурмовиков</w:t>
            </w:r>
          </w:p>
        </w:tc>
        <w:tc>
          <w:tcPr>
            <w:tcW w:w="928" w:type="dxa"/>
          </w:tcPr>
          <w:p w14:paraId="3E79CE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61E88C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31682A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043AD4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5FF999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058ACF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035DB514" w14:textId="77777777">
        <w:trPr>
          <w:trHeight w:val="202"/>
        </w:trPr>
        <w:tc>
          <w:tcPr>
            <w:tcW w:w="2268" w:type="dxa"/>
          </w:tcPr>
          <w:p w14:paraId="4EC5596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АМ-38Ф</w:t>
            </w:r>
          </w:p>
        </w:tc>
        <w:tc>
          <w:tcPr>
            <w:tcW w:w="928" w:type="dxa"/>
          </w:tcPr>
          <w:p w14:paraId="0404645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484</w:t>
            </w:r>
          </w:p>
        </w:tc>
        <w:tc>
          <w:tcPr>
            <w:tcW w:w="888" w:type="dxa"/>
          </w:tcPr>
          <w:p w14:paraId="378B45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250</w:t>
            </w:r>
          </w:p>
        </w:tc>
        <w:tc>
          <w:tcPr>
            <w:tcW w:w="445" w:type="dxa"/>
          </w:tcPr>
          <w:p w14:paraId="74FE2F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tc>
        <w:tc>
          <w:tcPr>
            <w:tcW w:w="554" w:type="dxa"/>
          </w:tcPr>
          <w:p w14:paraId="56753B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c>
          <w:tcPr>
            <w:tcW w:w="663" w:type="dxa"/>
          </w:tcPr>
          <w:p w14:paraId="6A656C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437" w:type="dxa"/>
          </w:tcPr>
          <w:p w14:paraId="4FF4F4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270</w:t>
            </w:r>
          </w:p>
        </w:tc>
      </w:tr>
      <w:tr w:rsidR="000F5689" w:rsidRPr="00925F26" w14:paraId="5BA65AEB" w14:textId="77777777">
        <w:trPr>
          <w:trHeight w:val="202"/>
        </w:trPr>
        <w:tc>
          <w:tcPr>
            <w:tcW w:w="2268" w:type="dxa"/>
          </w:tcPr>
          <w:p w14:paraId="3CF87F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Ил-2 АМ-38Ф С двойным управлением (учебные)</w:t>
            </w:r>
          </w:p>
        </w:tc>
        <w:tc>
          <w:tcPr>
            <w:tcW w:w="928" w:type="dxa"/>
          </w:tcPr>
          <w:p w14:paraId="24405D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88" w:type="dxa"/>
          </w:tcPr>
          <w:p w14:paraId="544BA3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w:t>
            </w:r>
          </w:p>
        </w:tc>
        <w:tc>
          <w:tcPr>
            <w:tcW w:w="445" w:type="dxa"/>
          </w:tcPr>
          <w:p w14:paraId="74DB1E2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554" w:type="dxa"/>
          </w:tcPr>
          <w:p w14:paraId="152053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663" w:type="dxa"/>
          </w:tcPr>
          <w:p w14:paraId="1439AC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437" w:type="dxa"/>
          </w:tcPr>
          <w:p w14:paraId="03908E0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w:t>
            </w:r>
          </w:p>
        </w:tc>
      </w:tr>
      <w:tr w:rsidR="000F5689" w:rsidRPr="00925F26" w14:paraId="73E4B19B" w14:textId="77777777">
        <w:trPr>
          <w:trHeight w:val="202"/>
        </w:trPr>
        <w:tc>
          <w:tcPr>
            <w:tcW w:w="2268" w:type="dxa"/>
          </w:tcPr>
          <w:p w14:paraId="17FACD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Ил-10 АМ-42</w:t>
            </w:r>
          </w:p>
        </w:tc>
        <w:tc>
          <w:tcPr>
            <w:tcW w:w="928" w:type="dxa"/>
          </w:tcPr>
          <w:p w14:paraId="0B9E0F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w:t>
            </w:r>
          </w:p>
        </w:tc>
        <w:tc>
          <w:tcPr>
            <w:tcW w:w="888" w:type="dxa"/>
          </w:tcPr>
          <w:p w14:paraId="49B5B3B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300</w:t>
            </w:r>
          </w:p>
        </w:tc>
        <w:tc>
          <w:tcPr>
            <w:tcW w:w="445" w:type="dxa"/>
          </w:tcPr>
          <w:p w14:paraId="5ABCE6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260</w:t>
            </w:r>
          </w:p>
        </w:tc>
        <w:tc>
          <w:tcPr>
            <w:tcW w:w="554" w:type="dxa"/>
          </w:tcPr>
          <w:p w14:paraId="1BE84BD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225</w:t>
            </w:r>
          </w:p>
        </w:tc>
        <w:tc>
          <w:tcPr>
            <w:tcW w:w="663" w:type="dxa"/>
          </w:tcPr>
          <w:p w14:paraId="39B318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w:t>
            </w:r>
          </w:p>
        </w:tc>
        <w:tc>
          <w:tcPr>
            <w:tcW w:w="437" w:type="dxa"/>
          </w:tcPr>
          <w:p w14:paraId="26C1CD1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675</w:t>
            </w:r>
          </w:p>
        </w:tc>
      </w:tr>
      <w:tr w:rsidR="000F5689" w:rsidRPr="00925F26" w14:paraId="45A54C54" w14:textId="77777777">
        <w:trPr>
          <w:trHeight w:val="202"/>
        </w:trPr>
        <w:tc>
          <w:tcPr>
            <w:tcW w:w="2268" w:type="dxa"/>
          </w:tcPr>
          <w:p w14:paraId="277E7C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Ил-10 АМ-42 С двойным управлением (учебные)</w:t>
            </w:r>
          </w:p>
        </w:tc>
        <w:tc>
          <w:tcPr>
            <w:tcW w:w="928" w:type="dxa"/>
          </w:tcPr>
          <w:p w14:paraId="3A7AF1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888" w:type="dxa"/>
          </w:tcPr>
          <w:p w14:paraId="1986DB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w:t>
            </w:r>
          </w:p>
        </w:tc>
        <w:tc>
          <w:tcPr>
            <w:tcW w:w="445" w:type="dxa"/>
          </w:tcPr>
          <w:p w14:paraId="65AB2B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w:t>
            </w:r>
          </w:p>
        </w:tc>
        <w:tc>
          <w:tcPr>
            <w:tcW w:w="554" w:type="dxa"/>
          </w:tcPr>
          <w:p w14:paraId="72AAFA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tc>
        <w:tc>
          <w:tcPr>
            <w:tcW w:w="663" w:type="dxa"/>
          </w:tcPr>
          <w:p w14:paraId="2455320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60</w:t>
            </w:r>
          </w:p>
        </w:tc>
        <w:tc>
          <w:tcPr>
            <w:tcW w:w="437" w:type="dxa"/>
          </w:tcPr>
          <w:p w14:paraId="736D5D6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r>
      <w:tr w:rsidR="000F5689" w:rsidRPr="00925F26" w14:paraId="415C7CE9" w14:textId="77777777">
        <w:trPr>
          <w:trHeight w:val="202"/>
        </w:trPr>
        <w:tc>
          <w:tcPr>
            <w:tcW w:w="2268" w:type="dxa"/>
          </w:tcPr>
          <w:p w14:paraId="716DFB9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28" w:type="dxa"/>
          </w:tcPr>
          <w:p w14:paraId="2358ED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884</w:t>
            </w:r>
          </w:p>
        </w:tc>
        <w:tc>
          <w:tcPr>
            <w:tcW w:w="888" w:type="dxa"/>
          </w:tcPr>
          <w:p w14:paraId="25A3C7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580</w:t>
            </w:r>
          </w:p>
        </w:tc>
        <w:tc>
          <w:tcPr>
            <w:tcW w:w="445" w:type="dxa"/>
          </w:tcPr>
          <w:p w14:paraId="173B23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445</w:t>
            </w:r>
          </w:p>
        </w:tc>
        <w:tc>
          <w:tcPr>
            <w:tcW w:w="554" w:type="dxa"/>
          </w:tcPr>
          <w:p w14:paraId="52D563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400</w:t>
            </w:r>
          </w:p>
        </w:tc>
        <w:tc>
          <w:tcPr>
            <w:tcW w:w="663" w:type="dxa"/>
          </w:tcPr>
          <w:p w14:paraId="5F484E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350</w:t>
            </w:r>
          </w:p>
        </w:tc>
        <w:tc>
          <w:tcPr>
            <w:tcW w:w="437" w:type="dxa"/>
          </w:tcPr>
          <w:p w14:paraId="73FCB94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1195</w:t>
            </w:r>
          </w:p>
        </w:tc>
      </w:tr>
      <w:tr w:rsidR="000F5689" w:rsidRPr="00925F26" w14:paraId="5251891C" w14:textId="77777777">
        <w:trPr>
          <w:trHeight w:val="202"/>
        </w:trPr>
        <w:tc>
          <w:tcPr>
            <w:tcW w:w="2268" w:type="dxa"/>
          </w:tcPr>
          <w:p w14:paraId="1430BF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Бомбардировщиков:</w:t>
            </w:r>
          </w:p>
        </w:tc>
        <w:tc>
          <w:tcPr>
            <w:tcW w:w="928" w:type="dxa"/>
          </w:tcPr>
          <w:p w14:paraId="2D2B943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7BE17B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143EBF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465097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1CDC71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4FED01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589CBF6" w14:textId="77777777">
        <w:trPr>
          <w:trHeight w:val="202"/>
        </w:trPr>
        <w:tc>
          <w:tcPr>
            <w:tcW w:w="2268" w:type="dxa"/>
          </w:tcPr>
          <w:p w14:paraId="1D05D8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Ту-2 2АШ-82ФН</w:t>
            </w:r>
          </w:p>
        </w:tc>
        <w:tc>
          <w:tcPr>
            <w:tcW w:w="928" w:type="dxa"/>
          </w:tcPr>
          <w:p w14:paraId="044FA4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104</w:t>
            </w:r>
          </w:p>
        </w:tc>
        <w:tc>
          <w:tcPr>
            <w:tcW w:w="888" w:type="dxa"/>
          </w:tcPr>
          <w:p w14:paraId="7E733C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w:t>
            </w:r>
          </w:p>
        </w:tc>
        <w:tc>
          <w:tcPr>
            <w:tcW w:w="445" w:type="dxa"/>
          </w:tcPr>
          <w:p w14:paraId="25DCFC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w:t>
            </w:r>
          </w:p>
        </w:tc>
        <w:tc>
          <w:tcPr>
            <w:tcW w:w="554" w:type="dxa"/>
          </w:tcPr>
          <w:p w14:paraId="29E048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w:t>
            </w:r>
          </w:p>
        </w:tc>
        <w:tc>
          <w:tcPr>
            <w:tcW w:w="663" w:type="dxa"/>
          </w:tcPr>
          <w:p w14:paraId="1C38CB6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90</w:t>
            </w:r>
          </w:p>
        </w:tc>
        <w:tc>
          <w:tcPr>
            <w:tcW w:w="437" w:type="dxa"/>
          </w:tcPr>
          <w:p w14:paraId="49E0F0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270</w:t>
            </w:r>
          </w:p>
        </w:tc>
      </w:tr>
      <w:tr w:rsidR="000F5689" w:rsidRPr="00925F26" w14:paraId="1486699B" w14:textId="77777777">
        <w:trPr>
          <w:trHeight w:val="202"/>
        </w:trPr>
        <w:tc>
          <w:tcPr>
            <w:tcW w:w="2268" w:type="dxa"/>
          </w:tcPr>
          <w:p w14:paraId="226283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 2ВК-105ПФ</w:t>
            </w:r>
          </w:p>
        </w:tc>
        <w:tc>
          <w:tcPr>
            <w:tcW w:w="928" w:type="dxa"/>
          </w:tcPr>
          <w:p w14:paraId="384C0AA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228</w:t>
            </w:r>
          </w:p>
        </w:tc>
        <w:tc>
          <w:tcPr>
            <w:tcW w:w="888" w:type="dxa"/>
          </w:tcPr>
          <w:p w14:paraId="5842A2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0F67D5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прекращается</w:t>
            </w:r>
          </w:p>
        </w:tc>
        <w:tc>
          <w:tcPr>
            <w:tcW w:w="554" w:type="dxa"/>
          </w:tcPr>
          <w:p w14:paraId="1D76D67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730D43F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5EF5BD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F1B2467" w14:textId="77777777">
        <w:trPr>
          <w:trHeight w:val="202"/>
        </w:trPr>
        <w:tc>
          <w:tcPr>
            <w:tcW w:w="2268" w:type="dxa"/>
          </w:tcPr>
          <w:p w14:paraId="038E18D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 2ВК-105ПФ С двойным управлением (учебные)</w:t>
            </w:r>
          </w:p>
        </w:tc>
        <w:tc>
          <w:tcPr>
            <w:tcW w:w="928" w:type="dxa"/>
          </w:tcPr>
          <w:p w14:paraId="7D5C503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tc>
        <w:tc>
          <w:tcPr>
            <w:tcW w:w="888" w:type="dxa"/>
          </w:tcPr>
          <w:p w14:paraId="597E32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100</w:t>
            </w:r>
          </w:p>
        </w:tc>
        <w:tc>
          <w:tcPr>
            <w:tcW w:w="445" w:type="dxa"/>
          </w:tcPr>
          <w:p w14:paraId="597102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554" w:type="dxa"/>
          </w:tcPr>
          <w:p w14:paraId="5F6A686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663" w:type="dxa"/>
          </w:tcPr>
          <w:p w14:paraId="1034F4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437" w:type="dxa"/>
          </w:tcPr>
          <w:p w14:paraId="5A8C9A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150</w:t>
            </w:r>
          </w:p>
        </w:tc>
      </w:tr>
      <w:tr w:rsidR="000F5689" w:rsidRPr="00925F26" w14:paraId="3D64C6CA" w14:textId="77777777">
        <w:trPr>
          <w:trHeight w:val="202"/>
        </w:trPr>
        <w:tc>
          <w:tcPr>
            <w:tcW w:w="2268" w:type="dxa"/>
          </w:tcPr>
          <w:p w14:paraId="2F5068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Пе-2 2ВК-107А</w:t>
            </w:r>
          </w:p>
        </w:tc>
        <w:tc>
          <w:tcPr>
            <w:tcW w:w="928" w:type="dxa"/>
          </w:tcPr>
          <w:p w14:paraId="3ABD0B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01744D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65D2AB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прекращается</w:t>
            </w:r>
          </w:p>
        </w:tc>
        <w:tc>
          <w:tcPr>
            <w:tcW w:w="554" w:type="dxa"/>
          </w:tcPr>
          <w:p w14:paraId="5E11AA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66D339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505DE6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75CDC175" w14:textId="77777777">
        <w:trPr>
          <w:trHeight w:val="202"/>
        </w:trPr>
        <w:tc>
          <w:tcPr>
            <w:tcW w:w="2268" w:type="dxa"/>
          </w:tcPr>
          <w:p w14:paraId="5E2AFE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Ер-2 2АЧ-30Б</w:t>
            </w:r>
          </w:p>
        </w:tc>
        <w:tc>
          <w:tcPr>
            <w:tcW w:w="928" w:type="dxa"/>
          </w:tcPr>
          <w:p w14:paraId="32682F3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45</w:t>
            </w:r>
          </w:p>
        </w:tc>
        <w:tc>
          <w:tcPr>
            <w:tcW w:w="888" w:type="dxa"/>
          </w:tcPr>
          <w:p w14:paraId="61E9497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445" w:type="dxa"/>
          </w:tcPr>
          <w:p w14:paraId="4DB55D2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554" w:type="dxa"/>
          </w:tcPr>
          <w:p w14:paraId="41C3C76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663" w:type="dxa"/>
          </w:tcPr>
          <w:p w14:paraId="0EC6C97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437" w:type="dxa"/>
          </w:tcPr>
          <w:p w14:paraId="7B2C83E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tc>
      </w:tr>
      <w:tr w:rsidR="000F5689" w:rsidRPr="00925F26" w14:paraId="64DAA350" w14:textId="77777777">
        <w:trPr>
          <w:trHeight w:val="202"/>
        </w:trPr>
        <w:tc>
          <w:tcPr>
            <w:tcW w:w="2268" w:type="dxa"/>
          </w:tcPr>
          <w:p w14:paraId="7183A5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Ил-4 2М-88Б</w:t>
            </w:r>
          </w:p>
        </w:tc>
        <w:tc>
          <w:tcPr>
            <w:tcW w:w="928" w:type="dxa"/>
          </w:tcPr>
          <w:p w14:paraId="6278E2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tc>
        <w:tc>
          <w:tcPr>
            <w:tcW w:w="888" w:type="dxa"/>
          </w:tcPr>
          <w:p w14:paraId="529628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445" w:type="dxa"/>
          </w:tcPr>
          <w:p w14:paraId="65AD29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554" w:type="dxa"/>
          </w:tcPr>
          <w:p w14:paraId="3F2D24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663" w:type="dxa"/>
          </w:tcPr>
          <w:p w14:paraId="41E071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437" w:type="dxa"/>
          </w:tcPr>
          <w:p w14:paraId="5A61613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tc>
      </w:tr>
      <w:tr w:rsidR="000F5689" w:rsidRPr="00925F26" w14:paraId="62E3C570" w14:textId="77777777">
        <w:trPr>
          <w:trHeight w:val="202"/>
        </w:trPr>
        <w:tc>
          <w:tcPr>
            <w:tcW w:w="2268" w:type="dxa"/>
          </w:tcPr>
          <w:p w14:paraId="32B820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28" w:type="dxa"/>
          </w:tcPr>
          <w:p w14:paraId="5CBD48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461</w:t>
            </w:r>
          </w:p>
        </w:tc>
        <w:tc>
          <w:tcPr>
            <w:tcW w:w="888" w:type="dxa"/>
          </w:tcPr>
          <w:p w14:paraId="649DC3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270</w:t>
            </w:r>
          </w:p>
        </w:tc>
        <w:tc>
          <w:tcPr>
            <w:tcW w:w="445" w:type="dxa"/>
          </w:tcPr>
          <w:p w14:paraId="135C0A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220</w:t>
            </w:r>
          </w:p>
        </w:tc>
        <w:tc>
          <w:tcPr>
            <w:tcW w:w="554" w:type="dxa"/>
          </w:tcPr>
          <w:p w14:paraId="4D1E8E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220</w:t>
            </w:r>
          </w:p>
        </w:tc>
        <w:tc>
          <w:tcPr>
            <w:tcW w:w="663" w:type="dxa"/>
          </w:tcPr>
          <w:p w14:paraId="283CC2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220</w:t>
            </w:r>
          </w:p>
        </w:tc>
        <w:tc>
          <w:tcPr>
            <w:tcW w:w="437" w:type="dxa"/>
          </w:tcPr>
          <w:p w14:paraId="3E0BB9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660</w:t>
            </w:r>
          </w:p>
        </w:tc>
      </w:tr>
      <w:tr w:rsidR="000F5689" w:rsidRPr="00925F26" w14:paraId="5E133716" w14:textId="77777777">
        <w:trPr>
          <w:trHeight w:val="202"/>
        </w:trPr>
        <w:tc>
          <w:tcPr>
            <w:tcW w:w="2268" w:type="dxa"/>
          </w:tcPr>
          <w:p w14:paraId="571A3C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Транспортных</w:t>
            </w:r>
          </w:p>
        </w:tc>
        <w:tc>
          <w:tcPr>
            <w:tcW w:w="928" w:type="dxa"/>
          </w:tcPr>
          <w:p w14:paraId="24A1C36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6CD2CB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6DC62EC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66FDB1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2D917B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412907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5BC72450" w14:textId="77777777">
        <w:trPr>
          <w:trHeight w:val="202"/>
        </w:trPr>
        <w:tc>
          <w:tcPr>
            <w:tcW w:w="2268" w:type="dxa"/>
          </w:tcPr>
          <w:p w14:paraId="22352D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Ли-2 2АШ-62ИР</w:t>
            </w:r>
          </w:p>
        </w:tc>
        <w:tc>
          <w:tcPr>
            <w:tcW w:w="928" w:type="dxa"/>
          </w:tcPr>
          <w:p w14:paraId="6D2AA6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tc>
        <w:tc>
          <w:tcPr>
            <w:tcW w:w="888" w:type="dxa"/>
          </w:tcPr>
          <w:p w14:paraId="184924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tc>
        <w:tc>
          <w:tcPr>
            <w:tcW w:w="445" w:type="dxa"/>
          </w:tcPr>
          <w:p w14:paraId="48FE7AF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52</w:t>
            </w:r>
          </w:p>
        </w:tc>
        <w:tc>
          <w:tcPr>
            <w:tcW w:w="554" w:type="dxa"/>
          </w:tcPr>
          <w:p w14:paraId="65C11A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w:t>
            </w:r>
          </w:p>
        </w:tc>
        <w:tc>
          <w:tcPr>
            <w:tcW w:w="663" w:type="dxa"/>
          </w:tcPr>
          <w:p w14:paraId="3C15D0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50</w:t>
            </w:r>
          </w:p>
        </w:tc>
        <w:tc>
          <w:tcPr>
            <w:tcW w:w="437" w:type="dxa"/>
          </w:tcPr>
          <w:p w14:paraId="2BF7C82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156</w:t>
            </w:r>
          </w:p>
        </w:tc>
      </w:tr>
      <w:tr w:rsidR="000F5689" w:rsidRPr="00925F26" w14:paraId="7116FC19" w14:textId="77777777">
        <w:trPr>
          <w:trHeight w:val="202"/>
        </w:trPr>
        <w:tc>
          <w:tcPr>
            <w:tcW w:w="2268" w:type="dxa"/>
          </w:tcPr>
          <w:p w14:paraId="01C8F3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Ще-2 2М11</w:t>
            </w:r>
          </w:p>
        </w:tc>
        <w:tc>
          <w:tcPr>
            <w:tcW w:w="928" w:type="dxa"/>
          </w:tcPr>
          <w:p w14:paraId="1527833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tc>
        <w:tc>
          <w:tcPr>
            <w:tcW w:w="888" w:type="dxa"/>
          </w:tcPr>
          <w:p w14:paraId="27E271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tc>
        <w:tc>
          <w:tcPr>
            <w:tcW w:w="445" w:type="dxa"/>
          </w:tcPr>
          <w:p w14:paraId="351A27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26</w:t>
            </w:r>
          </w:p>
        </w:tc>
        <w:tc>
          <w:tcPr>
            <w:tcW w:w="554" w:type="dxa"/>
          </w:tcPr>
          <w:p w14:paraId="476EE08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27</w:t>
            </w:r>
          </w:p>
        </w:tc>
        <w:tc>
          <w:tcPr>
            <w:tcW w:w="663" w:type="dxa"/>
          </w:tcPr>
          <w:p w14:paraId="03A90F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25</w:t>
            </w:r>
          </w:p>
        </w:tc>
        <w:tc>
          <w:tcPr>
            <w:tcW w:w="437" w:type="dxa"/>
          </w:tcPr>
          <w:p w14:paraId="07D4283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78</w:t>
            </w:r>
          </w:p>
        </w:tc>
      </w:tr>
      <w:tr w:rsidR="000F5689" w:rsidRPr="00925F26" w14:paraId="0842EB57" w14:textId="77777777">
        <w:trPr>
          <w:trHeight w:val="202"/>
        </w:trPr>
        <w:tc>
          <w:tcPr>
            <w:tcW w:w="2268" w:type="dxa"/>
          </w:tcPr>
          <w:p w14:paraId="19D247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По-2с М-11</w:t>
            </w:r>
          </w:p>
        </w:tc>
        <w:tc>
          <w:tcPr>
            <w:tcW w:w="928" w:type="dxa"/>
          </w:tcPr>
          <w:p w14:paraId="330F47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65</w:t>
            </w:r>
          </w:p>
        </w:tc>
        <w:tc>
          <w:tcPr>
            <w:tcW w:w="888" w:type="dxa"/>
          </w:tcPr>
          <w:p w14:paraId="6C3FBF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445" w:type="dxa"/>
          </w:tcPr>
          <w:p w14:paraId="64A37B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554" w:type="dxa"/>
          </w:tcPr>
          <w:p w14:paraId="6ED0641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663" w:type="dxa"/>
          </w:tcPr>
          <w:p w14:paraId="4B9DE98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40</w:t>
            </w:r>
          </w:p>
        </w:tc>
        <w:tc>
          <w:tcPr>
            <w:tcW w:w="437" w:type="dxa"/>
          </w:tcPr>
          <w:p w14:paraId="0413D79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120</w:t>
            </w:r>
          </w:p>
        </w:tc>
      </w:tr>
      <w:tr w:rsidR="000F5689" w:rsidRPr="00925F26" w14:paraId="2BF08ABC" w14:textId="77777777">
        <w:trPr>
          <w:trHeight w:val="202"/>
        </w:trPr>
        <w:tc>
          <w:tcPr>
            <w:tcW w:w="2268" w:type="dxa"/>
          </w:tcPr>
          <w:p w14:paraId="0A4B2B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Итого:</w:t>
            </w:r>
          </w:p>
        </w:tc>
        <w:tc>
          <w:tcPr>
            <w:tcW w:w="928" w:type="dxa"/>
          </w:tcPr>
          <w:p w14:paraId="00D148A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w:t>
            </w:r>
          </w:p>
        </w:tc>
        <w:tc>
          <w:tcPr>
            <w:tcW w:w="888" w:type="dxa"/>
          </w:tcPr>
          <w:p w14:paraId="77DD4F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118</w:t>
            </w:r>
          </w:p>
        </w:tc>
        <w:tc>
          <w:tcPr>
            <w:tcW w:w="445" w:type="dxa"/>
          </w:tcPr>
          <w:p w14:paraId="004CB9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118</w:t>
            </w:r>
          </w:p>
        </w:tc>
        <w:tc>
          <w:tcPr>
            <w:tcW w:w="554" w:type="dxa"/>
          </w:tcPr>
          <w:p w14:paraId="1A8008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121</w:t>
            </w:r>
          </w:p>
        </w:tc>
        <w:tc>
          <w:tcPr>
            <w:tcW w:w="663" w:type="dxa"/>
          </w:tcPr>
          <w:p w14:paraId="3CCEE3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115</w:t>
            </w:r>
          </w:p>
        </w:tc>
        <w:tc>
          <w:tcPr>
            <w:tcW w:w="437" w:type="dxa"/>
          </w:tcPr>
          <w:p w14:paraId="67F137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354</w:t>
            </w:r>
          </w:p>
        </w:tc>
      </w:tr>
      <w:tr w:rsidR="000F5689" w:rsidRPr="00925F26" w14:paraId="44092754" w14:textId="77777777">
        <w:trPr>
          <w:trHeight w:val="202"/>
        </w:trPr>
        <w:tc>
          <w:tcPr>
            <w:tcW w:w="2268" w:type="dxa"/>
          </w:tcPr>
          <w:p w14:paraId="460727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Учебных</w:t>
            </w:r>
          </w:p>
        </w:tc>
        <w:tc>
          <w:tcPr>
            <w:tcW w:w="928" w:type="dxa"/>
          </w:tcPr>
          <w:p w14:paraId="1B7BF9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888" w:type="dxa"/>
          </w:tcPr>
          <w:p w14:paraId="7E2B5A8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45" w:type="dxa"/>
          </w:tcPr>
          <w:p w14:paraId="603DEA0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554" w:type="dxa"/>
          </w:tcPr>
          <w:p w14:paraId="4248E7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663" w:type="dxa"/>
          </w:tcPr>
          <w:p w14:paraId="01DDD1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c>
          <w:tcPr>
            <w:tcW w:w="437" w:type="dxa"/>
          </w:tcPr>
          <w:p w14:paraId="35B38BD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tc>
      </w:tr>
      <w:tr w:rsidR="000F5689" w:rsidRPr="00925F26" w14:paraId="3537BEFE" w14:textId="77777777">
        <w:trPr>
          <w:trHeight w:val="202"/>
        </w:trPr>
        <w:tc>
          <w:tcPr>
            <w:tcW w:w="2268" w:type="dxa"/>
          </w:tcPr>
          <w:p w14:paraId="2E3699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По-2 М-11</w:t>
            </w:r>
          </w:p>
        </w:tc>
        <w:tc>
          <w:tcPr>
            <w:tcW w:w="928" w:type="dxa"/>
          </w:tcPr>
          <w:p w14:paraId="7F99A7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390</w:t>
            </w:r>
          </w:p>
        </w:tc>
        <w:tc>
          <w:tcPr>
            <w:tcW w:w="888" w:type="dxa"/>
          </w:tcPr>
          <w:p w14:paraId="44C4E3B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240</w:t>
            </w:r>
          </w:p>
        </w:tc>
        <w:tc>
          <w:tcPr>
            <w:tcW w:w="445" w:type="dxa"/>
          </w:tcPr>
          <w:p w14:paraId="5060A6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240</w:t>
            </w:r>
          </w:p>
        </w:tc>
        <w:tc>
          <w:tcPr>
            <w:tcW w:w="554" w:type="dxa"/>
          </w:tcPr>
          <w:p w14:paraId="26D66C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w:t>
            </w:r>
          </w:p>
        </w:tc>
        <w:tc>
          <w:tcPr>
            <w:tcW w:w="663" w:type="dxa"/>
          </w:tcPr>
          <w:p w14:paraId="0B0555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190</w:t>
            </w:r>
          </w:p>
        </w:tc>
        <w:tc>
          <w:tcPr>
            <w:tcW w:w="437" w:type="dxa"/>
          </w:tcPr>
          <w:p w14:paraId="66BE7F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620</w:t>
            </w:r>
          </w:p>
        </w:tc>
      </w:tr>
      <w:tr w:rsidR="000F5689" w:rsidRPr="00925F26" w14:paraId="505F7718" w14:textId="77777777">
        <w:trPr>
          <w:trHeight w:val="202"/>
        </w:trPr>
        <w:tc>
          <w:tcPr>
            <w:tcW w:w="2268" w:type="dxa"/>
          </w:tcPr>
          <w:p w14:paraId="36A6F2B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Ут-2 М-11</w:t>
            </w:r>
          </w:p>
        </w:tc>
        <w:tc>
          <w:tcPr>
            <w:tcW w:w="928" w:type="dxa"/>
          </w:tcPr>
          <w:p w14:paraId="3DBAF5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143</w:t>
            </w:r>
          </w:p>
        </w:tc>
        <w:tc>
          <w:tcPr>
            <w:tcW w:w="888" w:type="dxa"/>
          </w:tcPr>
          <w:p w14:paraId="486FF6D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125</w:t>
            </w:r>
          </w:p>
        </w:tc>
        <w:tc>
          <w:tcPr>
            <w:tcW w:w="445" w:type="dxa"/>
          </w:tcPr>
          <w:p w14:paraId="0A5C8B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135</w:t>
            </w:r>
          </w:p>
        </w:tc>
        <w:tc>
          <w:tcPr>
            <w:tcW w:w="554" w:type="dxa"/>
          </w:tcPr>
          <w:p w14:paraId="1B5773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tc>
        <w:tc>
          <w:tcPr>
            <w:tcW w:w="663" w:type="dxa"/>
          </w:tcPr>
          <w:p w14:paraId="04EEB1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140</w:t>
            </w:r>
          </w:p>
        </w:tc>
        <w:tc>
          <w:tcPr>
            <w:tcW w:w="437" w:type="dxa"/>
          </w:tcPr>
          <w:p w14:paraId="541F50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415</w:t>
            </w:r>
          </w:p>
        </w:tc>
      </w:tr>
      <w:tr w:rsidR="000F5689" w:rsidRPr="00925F26" w14:paraId="09BD0132" w14:textId="77777777">
        <w:trPr>
          <w:trHeight w:val="202"/>
        </w:trPr>
        <w:tc>
          <w:tcPr>
            <w:tcW w:w="2268" w:type="dxa"/>
            <w:tcBorders>
              <w:bottom w:val="single" w:sz="12" w:space="0" w:color="auto"/>
            </w:tcBorders>
          </w:tcPr>
          <w:p w14:paraId="7968A9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Всего:</w:t>
            </w:r>
          </w:p>
        </w:tc>
        <w:tc>
          <w:tcPr>
            <w:tcW w:w="928" w:type="dxa"/>
            <w:tcBorders>
              <w:bottom w:val="single" w:sz="12" w:space="0" w:color="auto"/>
            </w:tcBorders>
          </w:tcPr>
          <w:p w14:paraId="3F3EBF7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3685</w:t>
            </w:r>
          </w:p>
        </w:tc>
        <w:tc>
          <w:tcPr>
            <w:tcW w:w="888" w:type="dxa"/>
            <w:tcBorders>
              <w:bottom w:val="single" w:sz="12" w:space="0" w:color="auto"/>
            </w:tcBorders>
          </w:tcPr>
          <w:p w14:paraId="6544790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2233</w:t>
            </w:r>
          </w:p>
        </w:tc>
        <w:tc>
          <w:tcPr>
            <w:tcW w:w="445" w:type="dxa"/>
            <w:tcBorders>
              <w:bottom w:val="single" w:sz="12" w:space="0" w:color="auto"/>
            </w:tcBorders>
          </w:tcPr>
          <w:p w14:paraId="0EE39C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1938</w:t>
            </w:r>
          </w:p>
        </w:tc>
        <w:tc>
          <w:tcPr>
            <w:tcW w:w="554" w:type="dxa"/>
            <w:tcBorders>
              <w:bottom w:val="single" w:sz="12" w:space="0" w:color="auto"/>
            </w:tcBorders>
          </w:tcPr>
          <w:p w14:paraId="4CF85C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1796</w:t>
            </w:r>
          </w:p>
        </w:tc>
        <w:tc>
          <w:tcPr>
            <w:tcW w:w="663" w:type="dxa"/>
            <w:tcBorders>
              <w:bottom w:val="single" w:sz="12" w:space="0" w:color="auto"/>
            </w:tcBorders>
          </w:tcPr>
          <w:p w14:paraId="6F0C1C8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1685</w:t>
            </w:r>
          </w:p>
        </w:tc>
        <w:tc>
          <w:tcPr>
            <w:tcW w:w="437" w:type="dxa"/>
            <w:tcBorders>
              <w:bottom w:val="single" w:sz="12" w:space="0" w:color="auto"/>
            </w:tcBorders>
          </w:tcPr>
          <w:p w14:paraId="3EB03A6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5419</w:t>
            </w:r>
          </w:p>
        </w:tc>
      </w:tr>
    </w:tbl>
    <w:p w14:paraId="32E3A0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Уменьшить Наркомавиапрому на июнь 1945 г. план производства до 3530 авиационных моторов вместо ранее утвержденному плану.</w:t>
      </w:r>
    </w:p>
    <w:p w14:paraId="6181BD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Утвердить Наркомавиапрому программу выпуска авиа</w:t>
      </w:r>
      <w:r w:rsidRPr="00925F26">
        <w:rPr>
          <w:color w:val="000000" w:themeColor="text1"/>
          <w:sz w:val="16"/>
          <w:szCs w:val="16"/>
        </w:rPr>
        <w:softHyphen/>
        <w:t xml:space="preserve">ционных моторов в следующих количествах: в июне 3530 и в </w:t>
      </w:r>
      <w:r w:rsidRPr="00925F26">
        <w:rPr>
          <w:color w:val="000000" w:themeColor="text1"/>
          <w:sz w:val="16"/>
          <w:szCs w:val="16"/>
          <w:lang w:val="en-US"/>
        </w:rPr>
        <w:t>III</w:t>
      </w:r>
      <w:r w:rsidRPr="00925F26">
        <w:rPr>
          <w:color w:val="000000" w:themeColor="text1"/>
          <w:sz w:val="16"/>
          <w:szCs w:val="16"/>
        </w:rPr>
        <w:t xml:space="preserve"> квартале 1945 г. 10005 моторов...</w:t>
      </w:r>
    </w:p>
    <w:p w14:paraId="494100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В целях создания тяжелых бомбардировщиков даль</w:t>
      </w:r>
      <w:r w:rsidRPr="00925F26">
        <w:rPr>
          <w:color w:val="000000" w:themeColor="text1"/>
          <w:sz w:val="16"/>
          <w:szCs w:val="16"/>
        </w:rPr>
        <w:softHyphen/>
        <w:t>него действия обязать Наркомавиапром (т. Шахурина) организовать на заводе № 22 в г. Казани производство 4-моторных дальних бомбардировщиков Б-4.</w:t>
      </w:r>
    </w:p>
    <w:p w14:paraId="5DB024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Производство самолетов Пе-2 с двумя моторами ВК-105 ПФ на заводе № 22 прекратить. Оставшийся за</w:t>
      </w:r>
      <w:r w:rsidRPr="00925F26">
        <w:rPr>
          <w:color w:val="000000" w:themeColor="text1"/>
          <w:sz w:val="16"/>
          <w:szCs w:val="16"/>
        </w:rPr>
        <w:softHyphen/>
        <w:t>дел по этому самолету использовать на выпуск 250 само</w:t>
      </w:r>
      <w:r w:rsidRPr="00925F26">
        <w:rPr>
          <w:color w:val="000000" w:themeColor="text1"/>
          <w:sz w:val="16"/>
          <w:szCs w:val="16"/>
        </w:rPr>
        <w:softHyphen/>
        <w:t>летов Пе-2 в учебном варианте (с двойным управлением).</w:t>
      </w:r>
    </w:p>
    <w:p w14:paraId="4963C39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Обязать Наркомавиапром (т. Шахурина) доукомп</w:t>
      </w:r>
      <w:r w:rsidRPr="00925F26">
        <w:rPr>
          <w:color w:val="000000" w:themeColor="text1"/>
          <w:sz w:val="16"/>
          <w:szCs w:val="16"/>
        </w:rPr>
        <w:softHyphen/>
        <w:t>лектовать завод № 22 оборудованием для организации производства бомбардировщиков Б-4...</w:t>
      </w:r>
    </w:p>
    <w:p w14:paraId="135258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w:t>
      </w:r>
    </w:p>
    <w:p w14:paraId="59081A4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 использовании освобождающихся мощностей авиационных заводов</w:t>
      </w:r>
    </w:p>
    <w:p w14:paraId="26E3DF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выпуска гражданской продукции</w:t>
      </w:r>
    </w:p>
    <w:p w14:paraId="0F1300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Принять предложение Наркомавиапрома об орга</w:t>
      </w:r>
      <w:r w:rsidRPr="00925F26">
        <w:rPr>
          <w:color w:val="000000" w:themeColor="text1"/>
          <w:sz w:val="16"/>
          <w:szCs w:val="16"/>
        </w:rPr>
        <w:softHyphen/>
        <w:t>низации на авиационных заводах производства следую</w:t>
      </w:r>
      <w:r w:rsidRPr="00925F26">
        <w:rPr>
          <w:color w:val="000000" w:themeColor="text1"/>
          <w:sz w:val="16"/>
          <w:szCs w:val="16"/>
        </w:rPr>
        <w:softHyphen/>
        <w:t>щих видов продукции:</w:t>
      </w:r>
    </w:p>
    <w:p w14:paraId="670575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автомобильных дизелей типа «Джиемси» мощностью 110-160 л.с. для грузовых автомобилей грудоподъемнос-тью 5-8-10 тонн на авиамоторном заводе № 45 в г. Мос</w:t>
      </w:r>
      <w:r w:rsidRPr="00925F26">
        <w:rPr>
          <w:color w:val="000000" w:themeColor="text1"/>
          <w:sz w:val="16"/>
          <w:szCs w:val="16"/>
        </w:rPr>
        <w:softHyphen/>
        <w:t>кве и восстанавливаемом авиамоторном заводе № 274 в г. Ленинграде;</w:t>
      </w:r>
    </w:p>
    <w:p w14:paraId="577A7A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автомобильных бензиновых моторов типа «Додж» 76 л.с. для автомобилей, выпускаемых Горьковским заводом им.Молотова — на авиамоторном заводе № 466 в г. Горь</w:t>
      </w:r>
      <w:r w:rsidRPr="00925F26">
        <w:rPr>
          <w:color w:val="000000" w:themeColor="text1"/>
          <w:sz w:val="16"/>
          <w:szCs w:val="16"/>
        </w:rPr>
        <w:softHyphen/>
        <w:t>ком;</w:t>
      </w:r>
    </w:p>
    <w:p w14:paraId="10BB9FF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моторов для мотоциклов М-72 на восстанавливае</w:t>
      </w:r>
      <w:r w:rsidRPr="00925F26">
        <w:rPr>
          <w:color w:val="000000" w:themeColor="text1"/>
          <w:sz w:val="16"/>
          <w:szCs w:val="16"/>
        </w:rPr>
        <w:softHyphen/>
        <w:t>мом авиамоторном заводе № 470 в г. Запорожье (бывш. завод № 29);</w:t>
      </w:r>
    </w:p>
    <w:p w14:paraId="08F51B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пассажирских автобусов (на стандартном шасси производства Наркомсредмаша) на самолетостроитель</w:t>
      </w:r>
      <w:r w:rsidRPr="00925F26">
        <w:rPr>
          <w:color w:val="000000" w:themeColor="text1"/>
          <w:sz w:val="16"/>
          <w:szCs w:val="16"/>
        </w:rPr>
        <w:softHyphen/>
        <w:t>ных заводах № 292 в г. Саратове и № 473 в г. Киеве.</w:t>
      </w:r>
    </w:p>
    <w:p w14:paraId="3E225F0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пассажирских троллейбусов на самолетостроитель</w:t>
      </w:r>
      <w:r w:rsidRPr="00925F26">
        <w:rPr>
          <w:color w:val="000000" w:themeColor="text1"/>
          <w:sz w:val="16"/>
          <w:szCs w:val="16"/>
        </w:rPr>
        <w:softHyphen/>
        <w:t>ном заводе № 82 в г. Москве в кооперации с заводом № 43 в г. Москве.</w:t>
      </w:r>
    </w:p>
    <w:p w14:paraId="47A388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 легковых пятиместных автомобилей с моторами типа «Додж» на самолетостроительных заводах № 21 в г. Горь</w:t>
      </w:r>
      <w:r w:rsidRPr="00925F26">
        <w:rPr>
          <w:color w:val="000000" w:themeColor="text1"/>
          <w:sz w:val="16"/>
          <w:szCs w:val="16"/>
        </w:rPr>
        <w:softHyphen/>
        <w:t>ком и № 64 в г. Воронеже в кооперации с заводами № 469, 467 и 119 Наркомавиапрома;</w:t>
      </w:r>
    </w:p>
    <w:p w14:paraId="67B94A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ж) велосипедов на самолетостроительном заводе № 153 в г.Новосибирске;</w:t>
      </w:r>
    </w:p>
    <w:p w14:paraId="4A6752F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з) автомобилей со специальными кузовами для торговой сети (на стандартном шасси производства Наркомсредма</w:t>
      </w:r>
      <w:r w:rsidRPr="00925F26">
        <w:rPr>
          <w:color w:val="000000" w:themeColor="text1"/>
          <w:sz w:val="16"/>
          <w:szCs w:val="16"/>
        </w:rPr>
        <w:softHyphen/>
        <w:t>ша) на заводах № 163 в г. Пензе и № 167 в г. Саратове;</w:t>
      </w:r>
    </w:p>
    <w:p w14:paraId="78E5AA02"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 специальных грузовых мотоциклов для городской торговой сети (на стандартном мотоциклетном шасси производства Наркомсредмаша) на заводах № 481 в г. Сызрани, № 135 в г.Харькове и № 172 в г. Ленинграде;</w:t>
      </w:r>
    </w:p>
    <w:p w14:paraId="1DB813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мельничных машин на филиале завода № 21 в г. Горьком (бывш. завод им.Воробьева);</w:t>
      </w:r>
    </w:p>
    <w:p w14:paraId="39CB2A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 радиаторов для автомобилей и тракторов на радиа</w:t>
      </w:r>
      <w:r w:rsidRPr="00925F26">
        <w:rPr>
          <w:color w:val="000000" w:themeColor="text1"/>
          <w:sz w:val="16"/>
          <w:szCs w:val="16"/>
        </w:rPr>
        <w:softHyphen/>
        <w:t>торных заводах № 469 в г. Горьком и № 472 в г. Кузнецке;</w:t>
      </w:r>
    </w:p>
    <w:p w14:paraId="423023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 карбюраторов для автомобильных моторов на заводе № 33 в г. Молотове;</w:t>
      </w:r>
    </w:p>
    <w:p w14:paraId="4BBCC5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 магнето, генераторов и свечей для автомобильных моторов на заводах № 266 в г. Кирове, № 284 в г. Сара</w:t>
      </w:r>
      <w:r w:rsidRPr="00925F26">
        <w:rPr>
          <w:color w:val="000000" w:themeColor="text1"/>
          <w:sz w:val="16"/>
          <w:szCs w:val="16"/>
        </w:rPr>
        <w:softHyphen/>
        <w:t>пуле, № 36 в г. Саратове и № 161 в г. Уфе;</w:t>
      </w:r>
    </w:p>
    <w:p w14:paraId="240484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электромоторов переменного тока мощностью от 0,2 до 5 квт на заводах № 266 в г.Кирове, № 140 в г. Москве и № 219 в г.Балашихе;</w:t>
      </w:r>
    </w:p>
    <w:p w14:paraId="5C4FA9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 электромоторчиков «Уорренн» на заводах № 230 в г. Казани и № 282 в г. Москве;</w:t>
      </w:r>
    </w:p>
    <w:p w14:paraId="7728AC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 приборы и установки по радиолокации и телевиде</w:t>
      </w:r>
      <w:r w:rsidRPr="00925F26">
        <w:rPr>
          <w:color w:val="000000" w:themeColor="text1"/>
          <w:sz w:val="16"/>
          <w:szCs w:val="16"/>
        </w:rPr>
        <w:softHyphen/>
        <w:t>нию на заводах 17 Главного управления;</w:t>
      </w:r>
    </w:p>
    <w:p w14:paraId="6E6B33B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 распределительных цехов устройств на заводах № 145 в г. Куйбышеве и № 481 в г. Сызрани;</w:t>
      </w:r>
    </w:p>
    <w:p w14:paraId="21AB481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 пусковой аппаратуры низковольтной на заводах № 32 и 266 в г. Кирове;</w:t>
      </w:r>
    </w:p>
    <w:p w14:paraId="42F9BA7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 электрокар грузоподъемностью 0,75 тонны, 1 тонны и 1,5 тонны на заводах № 27 в г. Москве, № 28 в г. Свердловске и № 140 в г. Москве;</w:t>
      </w:r>
    </w:p>
    <w:p w14:paraId="0173BA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ф) электроинструмента (для сверления, отвертки и шлифовки) на заводе № 480 в г. Харькове;</w:t>
      </w:r>
    </w:p>
    <w:p w14:paraId="4FC7AF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 телефонных аппаратов на заводе № 89 в г. Тарту;</w:t>
      </w:r>
    </w:p>
    <w:p w14:paraId="3AA76E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 стандартных домов на заводах № 494 в Козловке Чувашской АССР и № 499 ст. Заводоуковская;</w:t>
      </w:r>
    </w:p>
    <w:p w14:paraId="4451751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 мебели на заводах № 383 в г. Москве и № 387 в г. Казани;</w:t>
      </w:r>
    </w:p>
    <w:p w14:paraId="040631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 увеличения втрое производства электроизмеритель</w:t>
      </w:r>
      <w:r w:rsidRPr="00925F26">
        <w:rPr>
          <w:color w:val="000000" w:themeColor="text1"/>
          <w:sz w:val="16"/>
          <w:szCs w:val="16"/>
        </w:rPr>
        <w:softHyphen/>
        <w:t>ных и тепловых приборов общепромышленного назначе</w:t>
      </w:r>
      <w:r w:rsidRPr="00925F26">
        <w:rPr>
          <w:color w:val="000000" w:themeColor="text1"/>
          <w:sz w:val="16"/>
          <w:szCs w:val="16"/>
        </w:rPr>
        <w:softHyphen/>
        <w:t>ния;</w:t>
      </w:r>
    </w:p>
    <w:p w14:paraId="7CAF5B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щ) рефрижераторов (холодильников) па заводах № 30 и № 140 в г. Москве;</w:t>
      </w:r>
    </w:p>
    <w:p w14:paraId="6E4DAC6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 предметов широкого потребления: электросчетчики переменного тока, электроутюги, электропечи, электро</w:t>
      </w:r>
      <w:r w:rsidRPr="00925F26">
        <w:rPr>
          <w:color w:val="000000" w:themeColor="text1"/>
          <w:sz w:val="16"/>
          <w:szCs w:val="16"/>
        </w:rPr>
        <w:softHyphen/>
        <w:t>плитки, радиоприемники, кровати, детские коляски, ве</w:t>
      </w:r>
      <w:r w:rsidRPr="00925F26">
        <w:rPr>
          <w:color w:val="000000" w:themeColor="text1"/>
          <w:sz w:val="16"/>
          <w:szCs w:val="16"/>
        </w:rPr>
        <w:softHyphen/>
        <w:t>лосипеды и кухонная посуда на освобождающихся мощ</w:t>
      </w:r>
      <w:r w:rsidRPr="00925F26">
        <w:rPr>
          <w:color w:val="000000" w:themeColor="text1"/>
          <w:sz w:val="16"/>
          <w:szCs w:val="16"/>
        </w:rPr>
        <w:softHyphen/>
        <w:t>ностях других заводов Наркомавиапрома.</w:t>
      </w:r>
    </w:p>
    <w:p w14:paraId="34DBBDC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II</w:t>
      </w:r>
      <w:r w:rsidRPr="00925F26">
        <w:rPr>
          <w:color w:val="000000" w:themeColor="text1"/>
          <w:sz w:val="16"/>
          <w:szCs w:val="16"/>
        </w:rPr>
        <w:t xml:space="preserve">. Обязать Наркомавиапром и Госплан СССР в 2-недельный срок представить на утверждение Совнаркома СССР план производства гражданской продукции на авиационных заводах на </w:t>
      </w:r>
      <w:r w:rsidRPr="00925F26">
        <w:rPr>
          <w:color w:val="000000" w:themeColor="text1"/>
          <w:sz w:val="16"/>
          <w:szCs w:val="16"/>
          <w:lang w:val="en-US"/>
        </w:rPr>
        <w:t>III</w:t>
      </w:r>
      <w:r w:rsidRPr="00925F26">
        <w:rPr>
          <w:color w:val="000000" w:themeColor="text1"/>
          <w:sz w:val="16"/>
          <w:szCs w:val="16"/>
        </w:rPr>
        <w:t xml:space="preserve"> квартал 1945 г.*</w:t>
      </w:r>
    </w:p>
    <w:p w14:paraId="6D0BD3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w:t>
      </w:r>
    </w:p>
    <w:p w14:paraId="79C3AA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И.Сталин</w:t>
      </w:r>
    </w:p>
    <w:p w14:paraId="6270BBA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Круглая печать:</w:t>
      </w:r>
    </w:p>
    <w:p w14:paraId="19DBD6B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«Государственный Комитет Обороны. № </w:t>
      </w:r>
      <w:r w:rsidRPr="00925F26">
        <w:rPr>
          <w:color w:val="000000" w:themeColor="text1"/>
          <w:sz w:val="16"/>
          <w:szCs w:val="16"/>
          <w:lang w:val="en-US"/>
        </w:rPr>
        <w:t>I</w:t>
      </w:r>
      <w:r w:rsidRPr="00925F26">
        <w:rPr>
          <w:color w:val="000000" w:themeColor="text1"/>
          <w:sz w:val="16"/>
          <w:szCs w:val="16"/>
        </w:rPr>
        <w:t>. Протокольная часть ГОКО»</w:t>
      </w:r>
    </w:p>
    <w:p w14:paraId="21C873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РЦХИДНИ. Ф.644. Оп.1. Д.425. Л. 107-117. Заверенная копия.</w:t>
      </w:r>
    </w:p>
    <w:p w14:paraId="22032973"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В п. 12-21. Разрешалось выплачивать рабочим и служащим в течение 2-3 мес. среднюю заработную плату: Госплану - создать мобилизационный сектор: восстановить очередные отпуска и выходные дни; предлагалось сохранить техническую докумен</w:t>
      </w:r>
      <w:r w:rsidRPr="00925F26">
        <w:rPr>
          <w:color w:val="000000" w:themeColor="text1"/>
          <w:sz w:val="16"/>
          <w:szCs w:val="16"/>
        </w:rPr>
        <w:softHyphen/>
        <w:t xml:space="preserve">тацию: рассматривались поправки к плану на </w:t>
      </w:r>
      <w:r w:rsidRPr="00925F26">
        <w:rPr>
          <w:color w:val="000000" w:themeColor="text1"/>
          <w:sz w:val="16"/>
          <w:szCs w:val="16"/>
          <w:lang w:val="en-US"/>
        </w:rPr>
        <w:t>II</w:t>
      </w:r>
      <w:r w:rsidRPr="00925F26">
        <w:rPr>
          <w:color w:val="000000" w:themeColor="text1"/>
          <w:sz w:val="16"/>
          <w:szCs w:val="16"/>
        </w:rPr>
        <w:t xml:space="preserve"> квартал и Разрешалось в июне произвести больше самолетов и моторов: поручалось комиссии во 1/шве с Н.А.Возиесенским разработать и внести в ГОКО предложения по сохранению и поощрению кадров на заводах Наркомавиапрома и др. Там же. Л. 117-119 (11461).</w:t>
      </w:r>
    </w:p>
    <w:p w14:paraId="6E59EC9A" w14:textId="77777777" w:rsidR="006103B3" w:rsidRPr="00925F26" w:rsidRDefault="006103B3" w:rsidP="00925F26">
      <w:pPr>
        <w:widowControl w:val="0"/>
        <w:autoSpaceDE w:val="0"/>
        <w:autoSpaceDN w:val="0"/>
        <w:adjustRightInd w:val="0"/>
        <w:jc w:val="both"/>
        <w:rPr>
          <w:color w:val="000000" w:themeColor="text1"/>
          <w:sz w:val="16"/>
          <w:szCs w:val="16"/>
        </w:rPr>
      </w:pPr>
    </w:p>
    <w:p w14:paraId="041AE6D5" w14:textId="77777777" w:rsidR="003203B4" w:rsidRPr="00925F26" w:rsidRDefault="003203B4" w:rsidP="00925F26">
      <w:pPr>
        <w:jc w:val="both"/>
        <w:rPr>
          <w:color w:val="000000" w:themeColor="text1"/>
          <w:sz w:val="16"/>
          <w:szCs w:val="16"/>
        </w:rPr>
      </w:pPr>
      <w:r w:rsidRPr="00925F26">
        <w:rPr>
          <w:color w:val="000000" w:themeColor="text1"/>
          <w:sz w:val="16"/>
          <w:szCs w:val="16"/>
        </w:rPr>
        <w:t>6 июня 1945 г. Государственный комитет обороны выпустил постановление о плане производства военной авиатехники на ближайшее время. В нем предусматривалось двукратное сокращение выпуска самолетов для ВВС в III квартале 1945 г. и увеличение доли учебных вариантов боевых самолетов. В IV квартале снижения объемов производства самолетов продолжилось.</w:t>
      </w:r>
    </w:p>
    <w:p w14:paraId="17162EE1" w14:textId="77777777" w:rsidR="003203B4" w:rsidRPr="00925F26" w:rsidRDefault="003203B4" w:rsidP="00925F26">
      <w:pPr>
        <w:jc w:val="both"/>
        <w:rPr>
          <w:color w:val="000000" w:themeColor="text1"/>
          <w:sz w:val="16"/>
          <w:szCs w:val="16"/>
        </w:rPr>
      </w:pPr>
      <w:r w:rsidRPr="00925F26">
        <w:rPr>
          <w:color w:val="000000" w:themeColor="text1"/>
          <w:sz w:val="16"/>
          <w:szCs w:val="16"/>
        </w:rPr>
        <w:t>Чтобы авиапредприятия не простаивали, им выдали задания на производство гражданской продукции. Так, заводу № 21 поручили изготовление клеверотерок, №30 — деталей к тракторам и эскалаторам метро, № 99 — молочных сепараторов, № 153 — велосипедов, № 292 — сверлильных станков, № 381 — катеров. Московский авиазавод № 82 в 1946 г. перешел на выпуск троллейбусов и трамвайных вагонов, казанский завод № 387 вместо самолетов По-2 стал делать комбайны.</w:t>
      </w:r>
    </w:p>
    <w:p w14:paraId="49113BBD" w14:textId="77777777" w:rsidR="003203B4" w:rsidRPr="00925F26" w:rsidRDefault="003203B4" w:rsidP="00925F26">
      <w:pPr>
        <w:jc w:val="both"/>
        <w:rPr>
          <w:color w:val="000000" w:themeColor="text1"/>
          <w:sz w:val="16"/>
          <w:szCs w:val="16"/>
        </w:rPr>
      </w:pPr>
      <w:r w:rsidRPr="00925F26">
        <w:rPr>
          <w:color w:val="000000" w:themeColor="text1"/>
          <w:sz w:val="16"/>
          <w:szCs w:val="16"/>
        </w:rPr>
        <w:t>Некоторые предприятия, отданные перед войной в НКАП, вернули в прежние ведомства: завод № 125 передали в министерство тяжелой промышленности, № 471 — в министерство лесной промышленности, № 477 — в Управление Северного морского пути. Ряд заводов (№ 86, 272) перевели на опытное производство — предстояло обновление парка авиатехники. В 1945 г. доля мирной продукции в общем объеме валового производства Министерства авиационной промышленности равнялась 11,5%. Планировалось, что в годы первой послевоенной пятилетки (1946-1950 гг.) она составит около 50%. Однако этого не случилось — началась «холодная войн (23472).</w:t>
      </w:r>
    </w:p>
    <w:p w14:paraId="352D9EDF" w14:textId="77777777" w:rsidR="003203B4" w:rsidRPr="00925F26" w:rsidRDefault="003203B4" w:rsidP="00925F26">
      <w:pPr>
        <w:jc w:val="both"/>
        <w:rPr>
          <w:color w:val="000000" w:themeColor="text1"/>
          <w:sz w:val="16"/>
          <w:szCs w:val="16"/>
        </w:rPr>
      </w:pPr>
    </w:p>
    <w:p w14:paraId="56B11155" w14:textId="77777777" w:rsidR="003203B4" w:rsidRPr="00925F26" w:rsidRDefault="003203B4" w:rsidP="00925F26">
      <w:pPr>
        <w:jc w:val="both"/>
        <w:rPr>
          <w:color w:val="000000" w:themeColor="text1"/>
          <w:sz w:val="16"/>
          <w:szCs w:val="16"/>
        </w:rPr>
      </w:pPr>
      <w:r w:rsidRPr="00925F26">
        <w:rPr>
          <w:color w:val="000000" w:themeColor="text1"/>
          <w:sz w:val="16"/>
          <w:szCs w:val="16"/>
        </w:rPr>
        <w:t>6 июня 1945 г. Постановлением ГКО № 8934cc производство всех модификаций самолета Пе-2, включая серийный вариант с ВК-105ПФ прекращалось и завод № 22 полностью переводился на работы по самолету Туполев Б-4 (Ту-4) (23570).</w:t>
      </w:r>
    </w:p>
    <w:p w14:paraId="61F2C2BE" w14:textId="77777777" w:rsidR="003203B4" w:rsidRPr="00925F26" w:rsidRDefault="003203B4" w:rsidP="00925F26">
      <w:pPr>
        <w:jc w:val="both"/>
        <w:rPr>
          <w:color w:val="000000" w:themeColor="text1"/>
          <w:sz w:val="16"/>
          <w:szCs w:val="16"/>
        </w:rPr>
      </w:pPr>
    </w:p>
    <w:p w14:paraId="0AD6C9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N 8934cc по организации производства Ту-2 на 166 заводе (1835,29).</w:t>
      </w:r>
    </w:p>
    <w:p w14:paraId="6CF39F72" w14:textId="77777777" w:rsidR="006103B3" w:rsidRPr="00925F26" w:rsidRDefault="006103B3" w:rsidP="00925F26">
      <w:pPr>
        <w:autoSpaceDE w:val="0"/>
        <w:autoSpaceDN w:val="0"/>
        <w:adjustRightInd w:val="0"/>
        <w:jc w:val="both"/>
        <w:rPr>
          <w:color w:val="000000" w:themeColor="text1"/>
          <w:sz w:val="16"/>
          <w:szCs w:val="16"/>
        </w:rPr>
      </w:pPr>
    </w:p>
    <w:p w14:paraId="464BFF81" w14:textId="77777777" w:rsidR="00D9707C" w:rsidRPr="001A0BAA" w:rsidRDefault="00D9707C" w:rsidP="00D9707C">
      <w:pPr>
        <w:jc w:val="both"/>
        <w:rPr>
          <w:color w:val="0070C0"/>
          <w:sz w:val="16"/>
          <w:szCs w:val="16"/>
        </w:rPr>
      </w:pPr>
      <w:r w:rsidRPr="001A0BAA">
        <w:rPr>
          <w:color w:val="0070C0"/>
          <w:sz w:val="16"/>
          <w:szCs w:val="16"/>
        </w:rPr>
        <w:t>6 июня 1945 года в соответствии с постановлением ГКО на заводе № 166 возобнови</w:t>
      </w:r>
      <w:r w:rsidRPr="001A0BAA">
        <w:rPr>
          <w:color w:val="0070C0"/>
          <w:sz w:val="16"/>
          <w:szCs w:val="16"/>
        </w:rPr>
        <w:softHyphen/>
        <w:t>лось серийное производство Ту-2 с новым бомбардировочным вооружением (по типу само</w:t>
      </w:r>
      <w:r w:rsidRPr="001A0BAA">
        <w:rPr>
          <w:color w:val="0070C0"/>
          <w:sz w:val="16"/>
          <w:szCs w:val="16"/>
        </w:rPr>
        <w:softHyphen/>
        <w:t>лета «68»), размещавшимся как в грузовом отсеке, так и на подфюзеляжных балочных дер</w:t>
      </w:r>
      <w:r w:rsidRPr="001A0BAA">
        <w:rPr>
          <w:color w:val="0070C0"/>
          <w:sz w:val="16"/>
          <w:szCs w:val="16"/>
        </w:rPr>
        <w:softHyphen/>
        <w:t>жателях. В августе того же года ОКБ Туполева передало на завод документацию машины, в которой увеличена емкость бомбодержателей до 4000 кг и установлена штанговая проводка аварийного сброса бомб, возрос запас топлива за счет замены бензобаков № 6 и № 7 одним. К постройке самолетов завод приступил во второй половине 1946 года (24991).</w:t>
      </w:r>
    </w:p>
    <w:p w14:paraId="6C95D5E5" w14:textId="77777777" w:rsidR="00D9707C" w:rsidRPr="001A0BAA" w:rsidRDefault="00D9707C" w:rsidP="00D9707C">
      <w:pPr>
        <w:jc w:val="both"/>
        <w:rPr>
          <w:color w:val="0070C0"/>
          <w:sz w:val="16"/>
          <w:szCs w:val="16"/>
        </w:rPr>
      </w:pPr>
    </w:p>
    <w:p w14:paraId="4B3BB0D2" w14:textId="77777777" w:rsidR="00D9707C" w:rsidRPr="001A0BAA" w:rsidRDefault="00D9707C" w:rsidP="00D9707C">
      <w:pPr>
        <w:jc w:val="both"/>
        <w:rPr>
          <w:color w:val="0070C0"/>
          <w:sz w:val="16"/>
          <w:szCs w:val="16"/>
        </w:rPr>
      </w:pPr>
      <w:r w:rsidRPr="001A0BAA">
        <w:rPr>
          <w:color w:val="0070C0"/>
          <w:sz w:val="16"/>
          <w:szCs w:val="16"/>
        </w:rPr>
        <w:t>6 июня 1945 года приказом ГКО № 8934 выпуск самолета Ту</w:t>
      </w:r>
      <w:r w:rsidRPr="001A0BAA">
        <w:rPr>
          <w:color w:val="0070C0"/>
          <w:sz w:val="16"/>
          <w:szCs w:val="16"/>
        </w:rPr>
        <w:noBreakHyphen/>
        <w:t>2. в Омске возобновили. В августе 1945 года ОКБ Туполева передало на завод новый комплект документации (25074).</w:t>
      </w:r>
    </w:p>
    <w:p w14:paraId="4BFB413B" w14:textId="77777777" w:rsidR="00D9707C" w:rsidRPr="001A0BAA" w:rsidRDefault="00D9707C" w:rsidP="00D9707C">
      <w:pPr>
        <w:jc w:val="both"/>
        <w:rPr>
          <w:color w:val="0070C0"/>
          <w:sz w:val="16"/>
          <w:szCs w:val="16"/>
        </w:rPr>
      </w:pPr>
    </w:p>
    <w:p w14:paraId="5938DAA3"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6 июня 1945 года вышло постановление ГКО, в соответствии с которым на заводе № 166 возобновилось серийное производство Ту-2 с новым бомбардировочным вооружением (по типу самолета "68"), размещавшимся как в грузовом отсеке, так и на подфюзеляжных балочных держателях. В августе того же года ОКБ Туполева передало на завод документацию машины, в которой увеличили емкость бомбодержателей до 4000 кг, была установлена штанговая проводка аварийного сброса бомб, возрос запас топлива за счет замены бензобаков № 6 и № 7 одним. К постройке самолетов завод приступил во второй половине 1946 г.</w:t>
      </w:r>
    </w:p>
    <w:p w14:paraId="752893BA"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В январе 1948 года на государственные испытания предъявили серийный самолет № 04/07, выпущенный в августе 1947 г.</w:t>
      </w:r>
    </w:p>
    <w:p w14:paraId="30B831B8"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Заказчик потребовал в 1948 году согласно новым техническим условиям установить на Ту-2 противообледенительные устройства крыла, оперения, воздушных винтов и остекления фонаря кабины летчика, флюгерные воздушные винты (четырехлопастные АВ-9Вф-21к диаметром 3,6 метра), элек- трофицированную стрелковую установку ВЭУ-1 вместо ВУБ-68, электромагнитные замки бомбодержателей вместо электропиротехнических и светотехническое оборудование по типу дальнего бомбардировщика Ту-4. Эти доработки завод № 166 выполнил на самолете № 06/15 в августе 1948 г. Одновременно установили дистанционный компас ПДК-45 вместо ПДК-44 и обеспечили вентиляцию генераторов ГС-1500.</w:t>
      </w:r>
    </w:p>
    <w:p w14:paraId="25583018"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Самолет № 06/15 выдержал государственные испытания, а все его доработки внедрили на бомбардировщиках завода № 166, начиная с машины № 1660920, выпущенной в 1949 г. Самолет был предъявлен в НИИ ВВС в августе того же года. На машине № 1660920 были размешены также коротковолновая радиостанция РСБ-5/230 вместо РСБ-ЗбисДД, гирополукомпас АГК-47А вместо АГП-2, гирополукомпас ГПК-46 вместо гиромагнитного компаса ГМК-2, радиовысотомер РВ-2, радиокомпас АРК-5 и маркерный приемник МРП-48.</w:t>
      </w:r>
    </w:p>
    <w:p w14:paraId="4339D0CD"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максимальная скорость на высоте 5550 м возросла до 560 км/ч, практический потолок остался прежний - 9000 м, время набора высоты 5000 м составило 10,3 минуты, а техническая дальность - 2050 км.</w:t>
      </w:r>
    </w:p>
    <w:p w14:paraId="1C0C1846"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В ноябре 1948 года в НИИ ВВС на Ту-2 выдержал испытания с оценкой удовлетворительно флюгерно-реверсивный воздушный винт АВ-30В-21К Жданова. Эту работу хотели поручить летчику-испытателю М.А. Нюхтикову, но он отказался из-за отсутствия блокировки на винте и летные исследования провел Митронин. Но из-за осторожности заказчик, посчитавший, что при эксплуатации самолета с запыленных грунтовых аэродромов, будут быстрее изнашиваться моторы, отказался от внедрения флю- герно-реверсивных воздушных винтов.</w:t>
      </w:r>
    </w:p>
    <w:p w14:paraId="170BFA11"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В июле 1949 года выдержал государственные испытания Ту-2 № 1660908 с двигателями АШ-82ФН и воздушными винтами АВ-9ВФ-21К, предназначенный для транспортировки на внешней подвеске автомобилей, 120-мм полковых минометов и 76-мм артиллерийских орудий, и их парашютного десантирования.</w:t>
      </w:r>
    </w:p>
    <w:p w14:paraId="41852056"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Как следует из акта по результатам государственных испытаний, "транспортировка автомобилей ГАЗ-67Б на самолетах Ту-2 возможна на высотах до 6000 м.</w:t>
      </w:r>
    </w:p>
    <w:p w14:paraId="2B366BFE"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 xml:space="preserve">Вследствие того, что снятие створок </w:t>
      </w:r>
      <w:proofErr w:type="gramStart"/>
      <w:r w:rsidRPr="00925F26">
        <w:rPr>
          <w:color w:val="000000" w:themeColor="text1"/>
          <w:sz w:val="16"/>
          <w:szCs w:val="16"/>
        </w:rPr>
        <w:t>бом- болюков</w:t>
      </w:r>
      <w:proofErr w:type="gramEnd"/>
      <w:r w:rsidRPr="00925F26">
        <w:rPr>
          <w:color w:val="000000" w:themeColor="text1"/>
          <w:sz w:val="16"/>
          <w:szCs w:val="16"/>
        </w:rPr>
        <w:t xml:space="preserve"> и подвеска автомобиля ГАЗ-67Б значительно снижают скорость Ту-2 (150- 160 км/ч), целесообразно разработать и заказать МАП обтекатели бомболюков и подвески автомобиля ГАЗ-76</w:t>
      </w:r>
      <w:proofErr w:type="gramStart"/>
      <w:r w:rsidRPr="00925F26">
        <w:rPr>
          <w:color w:val="000000" w:themeColor="text1"/>
          <w:sz w:val="16"/>
          <w:szCs w:val="16"/>
        </w:rPr>
        <w:t>Б...</w:t>
      </w:r>
      <w:proofErr w:type="gramEnd"/>
      <w:r w:rsidRPr="00925F26">
        <w:rPr>
          <w:color w:val="000000" w:themeColor="text1"/>
          <w:sz w:val="16"/>
          <w:szCs w:val="16"/>
        </w:rPr>
        <w:t>".</w:t>
      </w:r>
    </w:p>
    <w:p w14:paraId="61D9C690" w14:textId="77777777" w:rsidR="00B87114" w:rsidRPr="00925F26" w:rsidRDefault="00B87114" w:rsidP="00925F26">
      <w:pPr>
        <w:autoSpaceDE w:val="0"/>
        <w:autoSpaceDN w:val="0"/>
        <w:adjustRightInd w:val="0"/>
        <w:jc w:val="both"/>
        <w:rPr>
          <w:color w:val="000000" w:themeColor="text1"/>
          <w:sz w:val="16"/>
          <w:szCs w:val="16"/>
        </w:rPr>
      </w:pPr>
      <w:r w:rsidRPr="00925F26">
        <w:rPr>
          <w:color w:val="000000" w:themeColor="text1"/>
          <w:sz w:val="16"/>
          <w:szCs w:val="16"/>
        </w:rPr>
        <w:t>Кроме этого, на Ту-2С опробовали транспортировку 120-мм полкового миномета и 76-мм пушки (12035).</w:t>
      </w:r>
    </w:p>
    <w:p w14:paraId="7AA3739A" w14:textId="77777777" w:rsidR="00B87114" w:rsidRPr="00925F26" w:rsidRDefault="00B87114" w:rsidP="00925F26">
      <w:pPr>
        <w:autoSpaceDE w:val="0"/>
        <w:autoSpaceDN w:val="0"/>
        <w:adjustRightInd w:val="0"/>
        <w:jc w:val="both"/>
        <w:rPr>
          <w:color w:val="000000" w:themeColor="text1"/>
          <w:sz w:val="16"/>
          <w:szCs w:val="16"/>
        </w:rPr>
      </w:pPr>
    </w:p>
    <w:p w14:paraId="6B96CD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этом же постановлении от 6 июня 1945 N 8934сс НКАП было поручено организовать на заводе 22 производство 4-х моторных бомбардировщиков Б-4 (1894,23) и о производстве Ту-2 на 1 заводе (1894,73).</w:t>
      </w:r>
    </w:p>
    <w:p w14:paraId="13512A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То есть, постановление было по А.Н.Т.</w:t>
      </w:r>
    </w:p>
    <w:p w14:paraId="2BD26F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Директору завода 22 производство самолетов Пе-2 с 2хВК-105ПФ на заводе 22 прекратить. оставшийся задел по этому самолету использовать на выпуск 250 самолетов Пе-2 в учебном варианте (с двойным управлением). Производство бомбардировщиков Пе-2 с ВК-107А прекратить.</w:t>
      </w:r>
    </w:p>
    <w:p w14:paraId="4316D7C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ГК по опытному самолету Б-4 назначить А.Н.Т." (1894,23).</w:t>
      </w:r>
    </w:p>
    <w:p w14:paraId="5E6170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В-29 N 42-6256 передали в ЛИИ для изучения и доводки мотоустановки с АШ-73ТК Ramp Tramp - дали номер 256, N 42-6365 - разобрали для снятия чертежей - дали номер 365, а N 42-6358 оставили как эталонный - дали номер 358 (2645,26).</w:t>
      </w:r>
    </w:p>
    <w:p w14:paraId="5B35CFF8" w14:textId="77777777" w:rsidR="006103B3" w:rsidRPr="00925F26" w:rsidRDefault="006103B3" w:rsidP="00925F26">
      <w:pPr>
        <w:autoSpaceDE w:val="0"/>
        <w:autoSpaceDN w:val="0"/>
        <w:adjustRightInd w:val="0"/>
        <w:jc w:val="both"/>
        <w:rPr>
          <w:color w:val="000000" w:themeColor="text1"/>
          <w:sz w:val="16"/>
          <w:szCs w:val="16"/>
        </w:rPr>
      </w:pPr>
    </w:p>
    <w:p w14:paraId="3A784CD0" w14:textId="77777777" w:rsidR="00B87114" w:rsidRPr="00925F26" w:rsidRDefault="00B87114" w:rsidP="00925F26">
      <w:pPr>
        <w:jc w:val="both"/>
        <w:rPr>
          <w:color w:val="000000" w:themeColor="text1"/>
          <w:sz w:val="16"/>
          <w:szCs w:val="16"/>
        </w:rPr>
      </w:pPr>
      <w:r w:rsidRPr="00925F26">
        <w:rPr>
          <w:color w:val="000000" w:themeColor="text1"/>
          <w:sz w:val="16"/>
          <w:szCs w:val="16"/>
        </w:rPr>
        <w:t>6 июня 1945 г. вышло решение Государственного комитета обороны, по которому ОКБ Туполева поручалось организовать производство самолета Б-4 (Ту-4) — советской копии-аналога американского бомбардировщика В-29. Начало этих работ в ОКБ стало окончанием активного проектирования «самолета 64».</w:t>
      </w:r>
    </w:p>
    <w:p w14:paraId="34279ABC" w14:textId="77777777" w:rsidR="00B87114" w:rsidRPr="00925F26" w:rsidRDefault="00B87114" w:rsidP="00925F26">
      <w:pPr>
        <w:jc w:val="both"/>
        <w:rPr>
          <w:color w:val="000000" w:themeColor="text1"/>
          <w:sz w:val="16"/>
          <w:szCs w:val="16"/>
        </w:rPr>
      </w:pPr>
      <w:r w:rsidRPr="00925F26">
        <w:rPr>
          <w:color w:val="000000" w:themeColor="text1"/>
          <w:sz w:val="16"/>
          <w:szCs w:val="16"/>
        </w:rPr>
        <w:t xml:space="preserve">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все силы ОКБ были переключены на Б-4, еще почти два года «самолет 64» оставался в планах туполевцев. С момента утверждения макета в апреле 1945 г. исходный проект неоднократно перерабатывался с учетом тех конструкторских решений, которые инженеры ОКБ увидели на В-29. В результате третий и последний вариант проекта «самолета 64» с двигателями АМ-46ТК-ЗПБ мощностью 2300 л. с. был готов к концу 1946 г. и отличался от предыдущих проектов. Он стал низкопланом, что позволило унифицировать конструкцию планера как для бомбардировочного, так и для пассажирского варианта. Остекление передней кабины летчиков стало ступенчатым, что значительно улучшило обзор. В передней кабине была установлена радиолокационная станция «Кобальт» по типу американской AN/APQ-13. Бортовое оборудование, в особенности радионавигационное, было расширено по составу в соответствии с требованиями заказчика и комплектацией аналогичных систем на В-29 (15568).</w:t>
      </w:r>
    </w:p>
    <w:p w14:paraId="6E67E999" w14:textId="77777777" w:rsidR="00B87114" w:rsidRPr="00925F26" w:rsidRDefault="00B87114" w:rsidP="00925F26">
      <w:pPr>
        <w:jc w:val="both"/>
        <w:rPr>
          <w:color w:val="000000" w:themeColor="text1"/>
          <w:sz w:val="16"/>
          <w:szCs w:val="16"/>
        </w:rPr>
      </w:pPr>
    </w:p>
    <w:p w14:paraId="53A3E16A" w14:textId="77777777" w:rsidR="00D9707C" w:rsidRPr="001A0BAA" w:rsidRDefault="00D9707C" w:rsidP="00D9707C">
      <w:pPr>
        <w:jc w:val="both"/>
        <w:rPr>
          <w:color w:val="0070C0"/>
          <w:sz w:val="16"/>
          <w:szCs w:val="16"/>
        </w:rPr>
      </w:pPr>
      <w:r w:rsidRPr="001A0BAA">
        <w:rPr>
          <w:color w:val="0070C0"/>
          <w:sz w:val="16"/>
          <w:szCs w:val="16"/>
        </w:rPr>
        <w:t>6 июня 1945 г. МАП (к тому вре</w:t>
      </w:r>
      <w:r w:rsidRPr="001A0BAA">
        <w:rPr>
          <w:color w:val="0070C0"/>
          <w:sz w:val="16"/>
          <w:szCs w:val="16"/>
        </w:rPr>
        <w:softHyphen/>
        <w:t>мени наркоматы преобразовали в министерства) постановлением ГКО обязали организовать производство Б-4 на заводе № 22 в Казани. Но с какими двигателями - не говорилось, и лишь в ноябре посту</w:t>
      </w:r>
      <w:r w:rsidRPr="001A0BAA">
        <w:rPr>
          <w:color w:val="0070C0"/>
          <w:sz w:val="16"/>
          <w:szCs w:val="16"/>
        </w:rPr>
        <w:softHyphen/>
        <w:t>пило распоряжение об организации производства моторов АШ-72 для Б-4. Все майские предсказания Мясищева сбылись, но главная роль отводилась не ему, а А. Н. Туполеву. Тем же приказом предписывалось в помощь Туполеву передать личный состав ОКБ Незваля и Мясищева, а также опытный цех завода № 22 (24991).</w:t>
      </w:r>
    </w:p>
    <w:p w14:paraId="510B7380" w14:textId="77777777" w:rsidR="00D9707C" w:rsidRPr="001A0BAA" w:rsidRDefault="00D9707C" w:rsidP="00D9707C">
      <w:pPr>
        <w:jc w:val="both"/>
        <w:rPr>
          <w:color w:val="0070C0"/>
          <w:sz w:val="16"/>
          <w:szCs w:val="16"/>
        </w:rPr>
      </w:pPr>
    </w:p>
    <w:p w14:paraId="566E45B2" w14:textId="77777777" w:rsidR="00D9707C" w:rsidRPr="001A0BAA" w:rsidRDefault="00D9707C" w:rsidP="00D9707C">
      <w:pPr>
        <w:jc w:val="both"/>
        <w:rPr>
          <w:color w:val="0070C0"/>
          <w:sz w:val="16"/>
          <w:szCs w:val="16"/>
        </w:rPr>
      </w:pPr>
      <w:r w:rsidRPr="001A0BAA">
        <w:rPr>
          <w:color w:val="0070C0"/>
          <w:sz w:val="16"/>
          <w:szCs w:val="16"/>
        </w:rPr>
        <w:t>6 июня 1945 г. Государственный Комитет Обороны под председательством Сталина принял решение скопировать В-29, но поручил это не Мясищеву, а Туполеву. Это постановление ГКО было подробно раскрыто в приказе НКАП № 263 от 22 июня 1945 г. Там говорилось:</w:t>
      </w:r>
    </w:p>
    <w:p w14:paraId="5F74A5E3" w14:textId="77777777" w:rsidR="00D9707C" w:rsidRPr="001A0BAA" w:rsidRDefault="00D9707C" w:rsidP="00D9707C">
      <w:pPr>
        <w:jc w:val="both"/>
        <w:rPr>
          <w:color w:val="0070C0"/>
          <w:sz w:val="16"/>
          <w:szCs w:val="16"/>
        </w:rPr>
      </w:pPr>
      <w:r w:rsidRPr="001A0BAA">
        <w:rPr>
          <w:color w:val="0070C0"/>
          <w:sz w:val="16"/>
          <w:szCs w:val="16"/>
        </w:rPr>
        <w:t>«Главному конструктору тов. Туполеву немедленно приступить к разработке чертежей, планов и технической документации на самолёт Б-4, считая эту работу первоочередной задачей для конструкторского и производственного коллективов завода № 156… В целях всемерного форсирования работ по самолёту Б-4 создать на заводе № 22 в помощь основному ОКБ тов. Туполева опытно-конструкторское бюро по самолёту Б-4 с включением в него всего личного состава ОКБ тов. Незваля, ОКБ тов. Мясищева на заводе № 22 и опытного цеха завода № 22».</w:t>
      </w:r>
    </w:p>
    <w:p w14:paraId="190CE8B5" w14:textId="77777777" w:rsidR="00D9707C" w:rsidRPr="001A0BAA" w:rsidRDefault="00D9707C" w:rsidP="00D9707C">
      <w:pPr>
        <w:jc w:val="both"/>
        <w:rPr>
          <w:color w:val="0070C0"/>
          <w:sz w:val="16"/>
          <w:szCs w:val="16"/>
        </w:rPr>
      </w:pPr>
      <w:r w:rsidRPr="001A0BAA">
        <w:rPr>
          <w:color w:val="0070C0"/>
          <w:sz w:val="16"/>
          <w:szCs w:val="16"/>
        </w:rPr>
        <w:t>Далее приказом уточнялся круг задач различных организаций. Туполеву поручалось расстыковать В-29 на агрегаты, снять теоретические обводы, демонтировать оборудование и передать его соответствующим заводам; начальнику ВИАМ Туманову – организовать изучение всех конструкционных материалов B-29 и дать заказы заводам на неосвоенные материалы; начальнику ЦИАМ Поликовскому – организовать изучение винтомоторной группы и провести необходимые испытания и доработки, которые позволили бы поставить на новый самолёт отечественные двигатели АШ-73 и специальные турбокомпрессоры; начальнику ЦАГИ Шишкину – заняться изучением аэродинамики и прочности самолёта; начальнику Научного института самолётного оборудования – провести изучение оборудования B-29 и подготовить задания для заводов по его серийному выпуску (25184).</w:t>
      </w:r>
    </w:p>
    <w:p w14:paraId="1F48292B" w14:textId="77777777" w:rsidR="00D9707C" w:rsidRPr="001A0BAA" w:rsidRDefault="00D9707C" w:rsidP="00D9707C">
      <w:pPr>
        <w:jc w:val="both"/>
        <w:rPr>
          <w:color w:val="0070C0"/>
          <w:sz w:val="16"/>
          <w:szCs w:val="16"/>
        </w:rPr>
      </w:pPr>
    </w:p>
    <w:p w14:paraId="2379817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решение ГКО N 8934cc о копировании и запуске в серию В-29</w:t>
      </w:r>
      <w:r w:rsidR="00D7144C" w:rsidRPr="00925F26">
        <w:rPr>
          <w:color w:val="000000" w:themeColor="text1"/>
          <w:sz w:val="16"/>
          <w:szCs w:val="16"/>
        </w:rPr>
        <w:t xml:space="preserve"> - Б-4</w:t>
      </w:r>
      <w:r w:rsidRPr="00925F26">
        <w:rPr>
          <w:color w:val="000000" w:themeColor="text1"/>
          <w:sz w:val="16"/>
          <w:szCs w:val="16"/>
        </w:rPr>
        <w:t xml:space="preserve"> (1051,53)</w:t>
      </w:r>
    </w:p>
    <w:p w14:paraId="0768F89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114A4F2" w14:textId="77777777" w:rsidR="00B87114" w:rsidRPr="00925F26" w:rsidRDefault="00B87114" w:rsidP="00925F26">
      <w:pPr>
        <w:jc w:val="both"/>
        <w:rPr>
          <w:color w:val="000000" w:themeColor="text1"/>
          <w:sz w:val="16"/>
          <w:szCs w:val="16"/>
        </w:rPr>
      </w:pPr>
      <w:r w:rsidRPr="00925F26">
        <w:rPr>
          <w:bCs/>
          <w:color w:val="000000" w:themeColor="text1"/>
          <w:sz w:val="16"/>
          <w:szCs w:val="16"/>
        </w:rPr>
        <w:t>6 июня</w:t>
      </w:r>
      <w:r w:rsidRPr="00925F26">
        <w:rPr>
          <w:color w:val="000000" w:themeColor="text1"/>
          <w:sz w:val="16"/>
          <w:szCs w:val="16"/>
        </w:rPr>
        <w:t xml:space="preserve"> в 1945 году решение Государственного комитета обороны, по которому ОКБ Туполева поручалось организовать производство самолета «Б-4» (Ту-4) - советской копии-аналога американского бомбардировщика «В-29». Начало этих работ в ОКБ стало окончанием активного проектирования "самолета 64". В начале июня 1945 г. А.Н.Туполев и его заместитель А.А.Архангельский были вызваны в Кремль к Сталину. Оба они были уверены, что речь пойдет о "самолете 64", поэтому захватили с собой красочный альбом с основными проектными данными "64". Но разговор у Сталина касался вовсе не "самолета 64", и альбом не пригодился. По воспоминаниям Архангельского, Сталин, поздоровавшись, сразу перешел к сути вопроса: "Товарищ Туполев, вы будете копировать «В-29». Подробности - у Шахурина". Туполев, несколько растерявшись от неожиданного поворота событий, промолчал. Архангельский ответил за обоих, что задание будет выполнено, они покинули кабинет Сталина и направились к наркому авиационной промышленности А.И.Шахурину за получением конкретного задания (14914).</w:t>
      </w:r>
    </w:p>
    <w:p w14:paraId="7008C2AF" w14:textId="77777777" w:rsidR="00B87114" w:rsidRPr="00925F26" w:rsidRDefault="00B87114" w:rsidP="00925F26">
      <w:pPr>
        <w:jc w:val="both"/>
        <w:rPr>
          <w:color w:val="000000" w:themeColor="text1"/>
          <w:sz w:val="16"/>
          <w:szCs w:val="16"/>
        </w:rPr>
      </w:pPr>
    </w:p>
    <w:p w14:paraId="1B21AD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была авторитетному ОКБ А.Н.Туполева поставлена задача скопировать американский бомбардировщик и наладить его выпуск под обозначением Б-4 ("бомбардировщик четырехмоторный"), а через две недели появился соответствующий приказ НКАП. Он гласил: "Главному конструктору тов. Туполеву немедленно приступить к разработке чертежей, плазов и технической документации на самолет Б-4, считая эту работу первоочередной задачей для конструкторского и производственного коллективов завода № 156....В целях всемерного форсирования работ по самолету Б-4 создать на заводе № 22 в помощь основному ОКБ тов. Туполева опытно-конструкторское бюро по самолету Б-4 с включением в пего всего личного состава ОКБ тов. Незваль, ОКБ тов. Мясищева на заводе № 22 и опытного цеха завода № 22". Далее приказом уточнялся круг задач различных организаций, Туполеву поручалось расстыковать В-29 на агрегаты, снять теоретические обводы, демонтировать оборудование и передать его соответствующим заводам; начальнику Всесоюзного института авиационных материалов Туманову - организовать изучение всех конструкционных материалов Б-2 9 и дать заказы заводам па неосвоенные материалы; начальнику Центрального института авиационного моторостроения Поликовскому- организовать изучение винтомоторной группы и провести необходимые испытания и доработки, которые позволили бы поставить па новый самолет отечественные двигатели АШ-73 и специальные турбокомпрессоры; начальнику Центрального Аэрогидродинамического института Шишкину - заняться изучением аэродинамики и прочности самолета; начальнику Научного института самолетного оборудования Петрову - провести изучение оборудования В-29 и подготовить задания.для заводов но его серийному выпуску. Первый "советский В-29 - Б-4 - было приказано выпустить на испытания уже через год - в июне 1946-го. Б-4 должен был до мелочей соответствовать В-29 за исключением двигателей AШ-73TK (но с копированием американских турбокомпрессоров), стрелкового вооружения (вместо пулеметов - пушки HP-23), аккумуляторов, аппаратуры опознавания "свой-чужой" и более совершенной коротковолновой радиостанции, также американского образца (3457,120).</w:t>
      </w:r>
    </w:p>
    <w:p w14:paraId="760C15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Б-4 внедрялся в производство на заводе № 22 в Казани, где в связи с этим прекратили выпуск двухмоторных бомбардировщиков Пе-2 и остановили работу но подготовке к постройке опытного экземпляра четырехмоторного бомбардировщика А. Н. Туполева "64". В рамках программы создания Б-4 самолет В-29 № 42-6256 передали в Жуковский, в ЛИИ для изучения и для доводки мотоустановки с двигателями AШ-73ТК. Самолет № 42-6365 решили разобрать для снятия чертежей, a No 42-6358 па всякий случай оставить как эталонный. "Рэмн Трэми" перегонял из Балбасова в Жуковский смешанный экипаж: от 890-го полка- командир самолета Н.А.Ищенко, а от ЛИИ - известный летчик-испытатель М.Л.Галлай. Обучение Галлай проходил прямо на ходу - во время полета. После доставки В-29 в ЛИИ Галлая загрузили испытаниями немецкого трофейного ракетного самолета Me-163B, а американский бомбардировщик принял экипаж И. С. Рыбко (командир) и И. И. Шумейко (второй пилот). До постройки первых Б-4 хотели досконально изучить особенности пилотирования В-29. Все три американские машины получили в СССР бортовые номера в виде трех последних цифр первоначального номера - "256", "365" и "358". Их нанесли на киле выше старого номера, более крупными цифрами. Иа месте символов американских ВВС нарисовали красные звезды (3457,120).</w:t>
      </w:r>
    </w:p>
    <w:p w14:paraId="48A94A32" w14:textId="77777777" w:rsidR="006103B3" w:rsidRPr="00925F26" w:rsidRDefault="006103B3" w:rsidP="00925F26">
      <w:pPr>
        <w:autoSpaceDE w:val="0"/>
        <w:autoSpaceDN w:val="0"/>
        <w:adjustRightInd w:val="0"/>
        <w:jc w:val="both"/>
        <w:rPr>
          <w:color w:val="000000" w:themeColor="text1"/>
          <w:sz w:val="16"/>
          <w:szCs w:val="16"/>
        </w:rPr>
      </w:pPr>
    </w:p>
    <w:p w14:paraId="219035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года вышло постановление ГКО, согласно которому КБ Туполева поручалось организовать производство «близнеца» В-29 — Б-4 («бомбардировщик четырехмоторный»). Всем наркоматам, ведомствам, конструкторским бюро, заводам и другим организациям предписывалось скрупулезно, по требованиям КБ Туполева, воспроизвести буквально все, из чего состоял В-29: материалы, агрегаты и приборы. Сроки были установлены предельно жесткие. Через год КБ Туполева должно было подготовить комплект чертежей и технической документации, а через два года Казанский авиационный завод выпустить двадцать машин. В какой-то мере выполнению задачи способствовало то, что в Советском Союзе уже было три серийных образца американского бомбардировщика. В самом большом ангаре на Центральном аэродроме первый самолет был полностью разобран, его детали использовали для выпуска чертежей, а «начинку» — приборы и оборудование — передали в специализированные организации. Второй самолет использовали для уточнения летных данных и тренировок экипажей будущих Б-4, а третий был сохранен как дубликат на случай аварии второго самолета. В соответствии с личным указанием Сталина ни в одной детали не допускалось ни малейшего отклонения от американского образца. «Оргвыводы» по нерадивым или строптивым главным конструкторам были суровыми: те, кто не желал копировать или только пытался доказать, что его серийная разработка лучше американской, были уволены.</w:t>
      </w:r>
    </w:p>
    <w:p w14:paraId="346D11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традиционном воздушном параде в Тушино 3 августа 1947 года тройка самолетов Б-4 была продемонстрирована публике. При постановке самолета на вооружение он был обозначен, как Ту-4. Говорят, что решение о переименовании принял сам Сталин. Всего с 1948 по 1952 год было выпущено около 850 машин. По мнению </w:t>
      </w:r>
      <w:r w:rsidRPr="00925F26">
        <w:rPr>
          <w:color w:val="000000" w:themeColor="text1"/>
          <w:sz w:val="16"/>
          <w:szCs w:val="16"/>
        </w:rPr>
        <w:lastRenderedPageBreak/>
        <w:t>специалистов, создание и серийное производство самолета Ту-4 подготовило благодатную почву для подлинной революции в отечественной авиации — появление первого поколения советских реактивных самолетов, сначала военных, а затем и гражданских.</w:t>
      </w:r>
    </w:p>
    <w:p w14:paraId="573CAA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Особо нужно отметить тот факт, что благодаря серийному выпуску Ту-4 советская авиационная промышленность смогла в короткие сроки освоить множество американских технологий, ведь пришлось создавать производство, аналогичное американскому. В какой-то мере ликвидация отставания в авиастроении была вызвана участием во Второй мировой войне. Если в 30-е годы в развитии отечественной авиации активное участие принимала Германия, то в середине 40-х годов — США (11765).</w:t>
      </w:r>
    </w:p>
    <w:p w14:paraId="4D709A44" w14:textId="77777777" w:rsidR="006103B3" w:rsidRPr="00925F26" w:rsidRDefault="006103B3" w:rsidP="00925F26">
      <w:pPr>
        <w:autoSpaceDE w:val="0"/>
        <w:autoSpaceDN w:val="0"/>
        <w:adjustRightInd w:val="0"/>
        <w:jc w:val="both"/>
        <w:rPr>
          <w:color w:val="000000" w:themeColor="text1"/>
          <w:sz w:val="16"/>
          <w:szCs w:val="16"/>
        </w:rPr>
      </w:pPr>
    </w:p>
    <w:p w14:paraId="73DAF3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года вышло Постановление ГКО за № 8934сс и 28 июня 1945 года вышел приказ НКАП за № 268сс, согласно которым завод № 207 освоил производство бронезащиты ТУ-2 для обеспечения серийного выпуска заводом № 1 им. Сталина двухмоторного бомбардировщика ТУ-2 с мотором АМ-39ф.</w:t>
      </w:r>
    </w:p>
    <w:p w14:paraId="31C9C12C" w14:textId="77777777" w:rsidR="006103B3" w:rsidRPr="00925F26" w:rsidRDefault="006103B3"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Кроме этого</w:t>
      </w:r>
      <w:proofErr w:type="gramEnd"/>
      <w:r w:rsidRPr="00925F26">
        <w:rPr>
          <w:color w:val="000000" w:themeColor="text1"/>
          <w:sz w:val="16"/>
          <w:szCs w:val="16"/>
        </w:rPr>
        <w:t xml:space="preserve"> завод приступил к осовению производства новой конструкции бронекорпуса ИЛ-16.</w:t>
      </w:r>
    </w:p>
    <w:p w14:paraId="240479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w:t>
      </w:r>
      <w:proofErr w:type="gramStart"/>
      <w:r w:rsidRPr="00925F26">
        <w:rPr>
          <w:color w:val="000000" w:themeColor="text1"/>
          <w:sz w:val="16"/>
          <w:szCs w:val="16"/>
        </w:rPr>
        <w:t>а следовательно</w:t>
      </w:r>
      <w:proofErr w:type="gramEnd"/>
      <w:r w:rsidRPr="00925F26">
        <w:rPr>
          <w:color w:val="000000" w:themeColor="text1"/>
          <w:sz w:val="16"/>
          <w:szCs w:val="16"/>
        </w:rPr>
        <w:t xml:space="preserve">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5AC32A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0C43A6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1A4A24F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Куйбышев</w:t>
      </w:r>
    </w:p>
    <w:p w14:paraId="29783E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0507F48C" w14:textId="77777777" w:rsidR="006103B3" w:rsidRPr="00925F26" w:rsidRDefault="006103B3" w:rsidP="00925F26">
      <w:pPr>
        <w:autoSpaceDE w:val="0"/>
        <w:autoSpaceDN w:val="0"/>
        <w:adjustRightInd w:val="0"/>
        <w:jc w:val="both"/>
        <w:rPr>
          <w:color w:val="000000" w:themeColor="text1"/>
          <w:sz w:val="16"/>
          <w:szCs w:val="16"/>
        </w:rPr>
      </w:pPr>
    </w:p>
    <w:p w14:paraId="1D3D3F9B" w14:textId="77777777" w:rsidR="00B87114" w:rsidRPr="00925F26" w:rsidRDefault="00B87114" w:rsidP="00925F26">
      <w:pPr>
        <w:jc w:val="both"/>
        <w:rPr>
          <w:color w:val="000000" w:themeColor="text1"/>
          <w:sz w:val="16"/>
          <w:szCs w:val="16"/>
        </w:rPr>
      </w:pPr>
      <w:r w:rsidRPr="00925F26">
        <w:rPr>
          <w:bCs/>
          <w:color w:val="000000" w:themeColor="text1"/>
          <w:sz w:val="16"/>
          <w:szCs w:val="16"/>
        </w:rPr>
        <w:t>6 июня</w:t>
      </w:r>
      <w:r w:rsidRPr="00925F26">
        <w:rPr>
          <w:color w:val="000000" w:themeColor="text1"/>
          <w:sz w:val="16"/>
          <w:szCs w:val="16"/>
        </w:rPr>
        <w:t xml:space="preserve"> в 1945 году первый полет опытного истребителя-штурмовика </w:t>
      </w:r>
      <w:hyperlink r:id="rId141" w:tgtFrame="_blank" w:history="1">
        <w:r w:rsidRPr="00925F26">
          <w:rPr>
            <w:color w:val="000000" w:themeColor="text1"/>
            <w:sz w:val="16"/>
            <w:szCs w:val="16"/>
          </w:rPr>
          <w:t xml:space="preserve">«Як-9» </w:t>
        </w:r>
      </w:hyperlink>
      <w:r w:rsidRPr="00925F26">
        <w:rPr>
          <w:color w:val="000000" w:themeColor="text1"/>
          <w:sz w:val="16"/>
          <w:szCs w:val="16"/>
        </w:rPr>
        <w:t xml:space="preserve">с 57-мм пушкой Ш-57.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В 1944 г. появилась 57-мм авиационная автоматическая пушка системы Шпитального («Ш-57»), она предназначалась для установки на самолетах истребительной, штурмовой и бомбардировочной авиации. Для пушки «Ш-57» использовались новые боеприпасы – патроны со снарядами осколочно-зажигательно-трассирующего действия большой мощности и снаряды кумулятивного действия большой мощности, пробивающие при своем попадании, независимо от дистанции, броню толщиной 70-80 мм, что делало данную пушку грозным оружием не только в воздушном бою, но и при использовании по таким целям, как танки, бронеавтомобили, корабли и суда военно-морского флота малого тоннажа.Простая по своей конструкции пушка отличалась легкостью сборки и разборки. Стрельба из пушки могла производиться длинными, короткими очередями и одиночными выстрелами. Пушка «Ш-57» имела непрерывное питание, осуществляемое при помощи ящика питания, имеющего бесконечную звеньевую ленту. Темп стрельбы составлял 150 – 200 </w:t>
      </w:r>
      <w:proofErr w:type="gramStart"/>
      <w:r w:rsidRPr="00925F26">
        <w:rPr>
          <w:color w:val="000000" w:themeColor="text1"/>
          <w:sz w:val="16"/>
          <w:szCs w:val="16"/>
        </w:rPr>
        <w:t>выстр./</w:t>
      </w:r>
      <w:proofErr w:type="gramEnd"/>
      <w:r w:rsidRPr="00925F26">
        <w:rPr>
          <w:color w:val="000000" w:themeColor="text1"/>
          <w:sz w:val="16"/>
          <w:szCs w:val="16"/>
        </w:rPr>
        <w:t>мин. Однако 57-мм авиационная пушка Шпитального «Ш-57» так и осталась существовать только в опытных образцах. Много снимков различных модификаций «Як-9» (14914).</w:t>
      </w:r>
    </w:p>
    <w:p w14:paraId="51BDDF3F" w14:textId="77777777" w:rsidR="00B87114" w:rsidRPr="00925F26" w:rsidRDefault="00B87114" w:rsidP="00925F26">
      <w:pPr>
        <w:jc w:val="both"/>
        <w:rPr>
          <w:color w:val="000000" w:themeColor="text1"/>
          <w:sz w:val="16"/>
          <w:szCs w:val="16"/>
        </w:rPr>
      </w:pPr>
    </w:p>
    <w:p w14:paraId="4D6EF6FD" w14:textId="77777777" w:rsidR="00ED178F" w:rsidRPr="001A0BAA" w:rsidRDefault="00ED178F" w:rsidP="00ED178F">
      <w:pPr>
        <w:jc w:val="both"/>
        <w:rPr>
          <w:color w:val="0070C0"/>
          <w:sz w:val="16"/>
          <w:szCs w:val="16"/>
        </w:rPr>
      </w:pPr>
      <w:r w:rsidRPr="001A0BAA">
        <w:rPr>
          <w:color w:val="0070C0"/>
          <w:sz w:val="16"/>
          <w:szCs w:val="16"/>
        </w:rPr>
        <w:t>6 июня 1945 года, по некоторым сведениям, испытывался Як-9 с пушкой Ш-57, которую установили в развале цилиндров. Впрочем, данная иноформация представляется сомнительной. Нет подробности ни о модификации Яка, ни о результатах испытаний. Возможно, тут имеет место путаница и за версию Яка с пушкой Ш-57 принимают более поздний проект Як-9П под пушку Н-57 образца 1947 года (25381).</w:t>
      </w:r>
    </w:p>
    <w:p w14:paraId="35061BE8" w14:textId="77777777" w:rsidR="00ED178F" w:rsidRPr="001A0BAA" w:rsidRDefault="00ED178F" w:rsidP="00ED178F">
      <w:pPr>
        <w:jc w:val="both"/>
        <w:rPr>
          <w:color w:val="0070C0"/>
          <w:sz w:val="16"/>
          <w:szCs w:val="16"/>
        </w:rPr>
      </w:pPr>
    </w:p>
    <w:p w14:paraId="7C2A47B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D0EB496" w14:textId="77777777" w:rsidR="006103B3" w:rsidRPr="00925F26" w:rsidRDefault="006103B3" w:rsidP="00925F26">
      <w:pPr>
        <w:autoSpaceDE w:val="0"/>
        <w:autoSpaceDN w:val="0"/>
        <w:adjustRightInd w:val="0"/>
        <w:jc w:val="both"/>
        <w:rPr>
          <w:iCs/>
          <w:color w:val="000000" w:themeColor="text1"/>
          <w:sz w:val="16"/>
          <w:szCs w:val="16"/>
        </w:rPr>
      </w:pPr>
    </w:p>
    <w:p w14:paraId="3832CECF" w14:textId="77777777" w:rsidR="00BB4FEE" w:rsidRPr="00925F26" w:rsidRDefault="00BB4FEE" w:rsidP="00925F26">
      <w:pPr>
        <w:pStyle w:val="ae"/>
        <w:shd w:val="clear" w:color="auto" w:fill="FFFFFF"/>
        <w:spacing w:before="0" w:after="0"/>
        <w:jc w:val="both"/>
        <w:rPr>
          <w:color w:val="000000" w:themeColor="text1"/>
          <w:sz w:val="16"/>
          <w:szCs w:val="16"/>
        </w:rPr>
      </w:pPr>
      <w:r w:rsidRPr="00925F26">
        <w:rPr>
          <w:color w:val="000000" w:themeColor="text1"/>
          <w:sz w:val="16"/>
          <w:szCs w:val="16"/>
        </w:rPr>
        <w:t>6 июня 1945 года были подготовлены окончательно материалы по Объекту 257. Общая концепция новой машины была накромом танковой промышленности Малышевым одобрена, но примерно в то же время начали меняться требования к перспективным тяжелым танкам. Для начала, очень узким местом для нового танка оказалась его силовая установка. Испытания В-16Ф, проходившие в течение марта-мая 1945 года, показали низкую надежность двигателя. До уровня В-12 мотор даже не стали форсировать, а при форсировании до 600 лошадиных сил отмечалась масса дефектов. При мощности 520 лошадиных сил дефекты также имели место, да и для нового тяжелого танка в таком виде он уже не годился. Дело в том, что в таком случае по мощности он даже чуть уступал серийному мотору В-2ИС. Работы по В-16 продолжились</w:t>
      </w:r>
      <w:proofErr w:type="gramStart"/>
      <w:r w:rsidRPr="00925F26">
        <w:rPr>
          <w:color w:val="000000" w:themeColor="text1"/>
          <w:sz w:val="16"/>
          <w:szCs w:val="16"/>
        </w:rPr>
        <w:t>, Окончательно</w:t>
      </w:r>
      <w:proofErr w:type="gramEnd"/>
      <w:r w:rsidRPr="00925F26">
        <w:rPr>
          <w:color w:val="000000" w:themeColor="text1"/>
          <w:sz w:val="16"/>
          <w:szCs w:val="16"/>
        </w:rPr>
        <w:t xml:space="preserve"> из программы ИС-7 он исчез только к началу 1946 года, хотя к этому времени его конфигурация несколько изменилась (17209).</w:t>
      </w:r>
    </w:p>
    <w:p w14:paraId="1034BFD5" w14:textId="77777777" w:rsidR="00BB4FEE" w:rsidRPr="00925F26" w:rsidRDefault="00BB4FEE" w:rsidP="00925F26">
      <w:pPr>
        <w:pStyle w:val="ae"/>
        <w:shd w:val="clear" w:color="auto" w:fill="FFFFFF"/>
        <w:spacing w:before="0" w:after="0"/>
        <w:jc w:val="both"/>
        <w:rPr>
          <w:color w:val="000000" w:themeColor="text1"/>
          <w:sz w:val="16"/>
          <w:szCs w:val="16"/>
        </w:rPr>
      </w:pPr>
    </w:p>
    <w:p w14:paraId="52AFFFAE" w14:textId="77777777" w:rsidR="00C8021E" w:rsidRPr="00925F26" w:rsidRDefault="00C8021E" w:rsidP="00925F26">
      <w:pPr>
        <w:shd w:val="clear" w:color="auto" w:fill="FFFFFF"/>
        <w:jc w:val="both"/>
        <w:rPr>
          <w:color w:val="000000" w:themeColor="text1"/>
          <w:sz w:val="16"/>
          <w:szCs w:val="16"/>
        </w:rPr>
      </w:pPr>
      <w:r w:rsidRPr="00925F26">
        <w:rPr>
          <w:color w:val="000000" w:themeColor="text1"/>
          <w:sz w:val="16"/>
          <w:szCs w:val="16"/>
        </w:rPr>
        <w:t>6 июня 1945 года были подготовлены окончательно материалы по Объекту 257. Общая концепция новой машины была одобрена наркомом танковой промышленности Малышевым, но примерно в то же время начали меняться требования к перспективным тяжёлым танкам (16735).</w:t>
      </w:r>
    </w:p>
    <w:p w14:paraId="44F0A3FB" w14:textId="77777777" w:rsidR="00C8021E" w:rsidRPr="00925F26" w:rsidRDefault="00C8021E" w:rsidP="00925F26">
      <w:pPr>
        <w:jc w:val="both"/>
        <w:rPr>
          <w:rStyle w:val="107"/>
          <w:rFonts w:eastAsiaTheme="minorHAnsi"/>
          <w:color w:val="000000" w:themeColor="text1"/>
          <w:sz w:val="16"/>
          <w:szCs w:val="16"/>
        </w:rPr>
      </w:pPr>
    </w:p>
    <w:p w14:paraId="5ECFB1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8932 О заказе в США оборудования первой очереди Днепропетровской гидроэлектростанции им. В.И.Ленина. РГАНИР, Фонд ГКО, д. 425, лл. 105 (11012).</w:t>
      </w:r>
    </w:p>
    <w:p w14:paraId="60EC46FF" w14:textId="77777777" w:rsidR="006103B3" w:rsidRPr="00925F26" w:rsidRDefault="006103B3" w:rsidP="00925F26">
      <w:pPr>
        <w:autoSpaceDE w:val="0"/>
        <w:autoSpaceDN w:val="0"/>
        <w:adjustRightInd w:val="0"/>
        <w:jc w:val="both"/>
        <w:rPr>
          <w:color w:val="000000" w:themeColor="text1"/>
          <w:sz w:val="16"/>
          <w:szCs w:val="16"/>
        </w:rPr>
      </w:pPr>
    </w:p>
    <w:p w14:paraId="636C89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Распоряжение ГКО № 8933. О заказе в Швеции трех генераторов для Храмской ГЭС. РГАНИР, Фонд ГКО, д. 425, лл. 106 (11012).</w:t>
      </w:r>
    </w:p>
    <w:p w14:paraId="55EEEC77" w14:textId="77777777" w:rsidR="006103B3" w:rsidRPr="00925F26" w:rsidRDefault="006103B3" w:rsidP="00925F26">
      <w:pPr>
        <w:autoSpaceDE w:val="0"/>
        <w:autoSpaceDN w:val="0"/>
        <w:adjustRightInd w:val="0"/>
        <w:jc w:val="both"/>
        <w:rPr>
          <w:color w:val="000000" w:themeColor="text1"/>
          <w:sz w:val="16"/>
          <w:szCs w:val="16"/>
        </w:rPr>
      </w:pPr>
    </w:p>
    <w:p w14:paraId="49F262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8934 О плане производства самолетов и авиационных моторов на июнь и Ш квартал 1945 г. РГАНИР, Фонд ГКО, д. 425, лл. 107-119, 120 (11012).</w:t>
      </w:r>
    </w:p>
    <w:p w14:paraId="72AC5299" w14:textId="77777777" w:rsidR="006103B3" w:rsidRPr="00925F26" w:rsidRDefault="006103B3" w:rsidP="00925F26">
      <w:pPr>
        <w:autoSpaceDE w:val="0"/>
        <w:autoSpaceDN w:val="0"/>
        <w:adjustRightInd w:val="0"/>
        <w:jc w:val="both"/>
        <w:rPr>
          <w:color w:val="000000" w:themeColor="text1"/>
          <w:sz w:val="16"/>
          <w:szCs w:val="16"/>
        </w:rPr>
      </w:pPr>
    </w:p>
    <w:p w14:paraId="57E9AF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8935 О мероприятиях по жилищному строительству для главной военно-морской базы и завода № 497 Наркомсудпрома в Севастополе. РГАНИР, Фонд ГКО, д. 425, лл. 121-126, 127-129 (11012).</w:t>
      </w:r>
    </w:p>
    <w:p w14:paraId="3AEC1AF9" w14:textId="77777777" w:rsidR="006103B3" w:rsidRPr="00925F26" w:rsidRDefault="006103B3" w:rsidP="00925F26">
      <w:pPr>
        <w:autoSpaceDE w:val="0"/>
        <w:autoSpaceDN w:val="0"/>
        <w:adjustRightInd w:val="0"/>
        <w:jc w:val="both"/>
        <w:rPr>
          <w:color w:val="000000" w:themeColor="text1"/>
          <w:sz w:val="16"/>
          <w:szCs w:val="16"/>
        </w:rPr>
      </w:pPr>
    </w:p>
    <w:p w14:paraId="0ED399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8936 Об изготовлении на заводах Наркомминвооружения оборудования для компрессорных станций газопровода Саратов-Москва. РГАНИР, Фонд ГКО, д. 425, лл. 130-132, 133-134 (11012).</w:t>
      </w:r>
    </w:p>
    <w:p w14:paraId="66AA0695" w14:textId="77777777" w:rsidR="006103B3" w:rsidRPr="00925F26" w:rsidRDefault="006103B3" w:rsidP="00925F26">
      <w:pPr>
        <w:autoSpaceDE w:val="0"/>
        <w:autoSpaceDN w:val="0"/>
        <w:adjustRightInd w:val="0"/>
        <w:jc w:val="both"/>
        <w:rPr>
          <w:color w:val="000000" w:themeColor="text1"/>
          <w:sz w:val="16"/>
          <w:szCs w:val="16"/>
        </w:rPr>
      </w:pPr>
    </w:p>
    <w:p w14:paraId="23CB6B0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июня 1945 г. вышло Постановления Государственного Комитета Обороны № 8936 с Об изготовлении на заводах Наркомминвооружения оборудования для компрессорных станций газопровода Саратов-Москва</w:t>
      </w:r>
    </w:p>
    <w:p w14:paraId="4DD5D0C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Секретно</w:t>
      </w:r>
    </w:p>
    <w:p w14:paraId="1EB6FE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6D52C0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Обязать Наркомминвооружения изготовить и отгрузить ГУАС НКВД СССР для строительства газопровода Саратов-Москва: а) технологическое оборудование в количествах и сроки в соответствии с приложением;</w:t>
      </w:r>
    </w:p>
    <w:p w14:paraId="1AA445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центробежные насосы марки 8-НДВ 30 штук в сроки до 1 ноября 1945 года;</w:t>
      </w:r>
    </w:p>
    <w:p w14:paraId="2B04C1C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стальную арматуру на рабочее давление до 55 атм раз</w:t>
      </w:r>
      <w:r w:rsidRPr="00925F26">
        <w:rPr>
          <w:color w:val="000000" w:themeColor="text1"/>
          <w:sz w:val="16"/>
          <w:szCs w:val="16"/>
        </w:rPr>
        <w:softHyphen/>
        <w:t>мером от 2 до 12 дюймов в количестве 1000 штук до 31 де</w:t>
      </w:r>
      <w:r w:rsidRPr="00925F26">
        <w:rPr>
          <w:color w:val="000000" w:themeColor="text1"/>
          <w:sz w:val="16"/>
          <w:szCs w:val="16"/>
        </w:rPr>
        <w:softHyphen/>
        <w:t>кабря 1945 г. равномерно по месяцам.</w:t>
      </w:r>
    </w:p>
    <w:p w14:paraId="708B62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Освободить Наркомвнешторг от поставки с импорта ука</w:t>
      </w:r>
      <w:r w:rsidRPr="00925F26">
        <w:rPr>
          <w:color w:val="000000" w:themeColor="text1"/>
          <w:sz w:val="16"/>
          <w:szCs w:val="16"/>
        </w:rPr>
        <w:softHyphen/>
        <w:t>занного оборудования...</w:t>
      </w:r>
    </w:p>
    <w:p w14:paraId="2E4F06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Обязать Наркомвнешторг (т. Микояна) поставить Нар-комминвооружению из первых импортных поступлений, железнодорожный кран грузоподъемностью 35 тонн 1 шт.: 4 карусельных станка размер планшайбы 1500 мм, трубы цель</w:t>
      </w:r>
      <w:r w:rsidRPr="00925F26">
        <w:rPr>
          <w:color w:val="000000" w:themeColor="text1"/>
          <w:sz w:val="16"/>
          <w:szCs w:val="16"/>
        </w:rPr>
        <w:softHyphen/>
        <w:t>нотянутые диаметром 14/1 - 16/1 250 тыс. метров в июне и июле 1945 г., 20 тонн качественных электродов, 30 электро</w:t>
      </w:r>
      <w:r w:rsidRPr="00925F26">
        <w:rPr>
          <w:color w:val="000000" w:themeColor="text1"/>
          <w:sz w:val="16"/>
          <w:szCs w:val="16"/>
        </w:rPr>
        <w:softHyphen/>
        <w:t>моторов для укомплектования насосов 8-НДВ в сроки до 1 января 1946 г....»</w:t>
      </w:r>
    </w:p>
    <w:p w14:paraId="28B148D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Далее указывалось, что должны сделать для Наркомата ми</w:t>
      </w:r>
      <w:r w:rsidRPr="00925F26">
        <w:rPr>
          <w:color w:val="000000" w:themeColor="text1"/>
          <w:sz w:val="16"/>
          <w:szCs w:val="16"/>
        </w:rPr>
        <w:softHyphen/>
        <w:t>нометного вооружения Главгазопром, Наркомчермет, Нарком-танкопром, Наркомэлектропром; Наркомэлектростанций.</w:t>
      </w:r>
    </w:p>
    <w:p w14:paraId="3443E8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w:t>
      </w:r>
    </w:p>
    <w:p w14:paraId="2C2FB7A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И.Сталин</w:t>
      </w:r>
    </w:p>
    <w:p w14:paraId="3DA66F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РЦХИДНИ. Ф. 644. Оп. 1. Д. 425. Л. 130-131. Копия (11461).</w:t>
      </w:r>
    </w:p>
    <w:p w14:paraId="3503A0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72223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г вышло постановление ГОКО “Об изготовлении на заводах Наркомвооружения оборудования для компрессорных станций газопровода Саратов-Москва” (7543)</w:t>
      </w:r>
    </w:p>
    <w:p w14:paraId="23C02F1E" w14:textId="77777777" w:rsidR="006103B3" w:rsidRPr="00925F26" w:rsidRDefault="006103B3" w:rsidP="00925F26">
      <w:pPr>
        <w:autoSpaceDE w:val="0"/>
        <w:autoSpaceDN w:val="0"/>
        <w:adjustRightInd w:val="0"/>
        <w:jc w:val="both"/>
        <w:rPr>
          <w:iCs/>
          <w:color w:val="000000" w:themeColor="text1"/>
          <w:sz w:val="16"/>
          <w:szCs w:val="16"/>
        </w:rPr>
      </w:pPr>
    </w:p>
    <w:p w14:paraId="1EDC685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июня 1945 вышло решение ГКО Об изготовлении на заводах НКВ оборудования для компрессорных станций газопровода Саратов-Москва (7543, 14).</w:t>
      </w:r>
    </w:p>
    <w:p w14:paraId="089CA92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D12102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8937 О материальном обеспечении строительства, выполняемого НКВД СССР для Наркомнефти. (7347, 135-143,144-149).</w:t>
      </w:r>
    </w:p>
    <w:p w14:paraId="3903E52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57B7377"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8938 О перераспределении фондов П квартала 1945 г. по черным и цветным металлам в связи с сокращением производства боеприпасов, вооружения и другого военного имущества. (7347, 150-151,152-178).</w:t>
      </w:r>
    </w:p>
    <w:p w14:paraId="4C099C0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7B4C0A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8939 О перераспределении фондов II квартала 1945 г. по химикатам, спирту, бумаге и автомашинам. РГАНИР, Фонд ГКО, д. 425, лл. 179, 180-188 (11012).</w:t>
      </w:r>
    </w:p>
    <w:p w14:paraId="5C4F4192" w14:textId="77777777" w:rsidR="006103B3" w:rsidRPr="00925F26" w:rsidRDefault="006103B3" w:rsidP="00925F26">
      <w:pPr>
        <w:autoSpaceDE w:val="0"/>
        <w:autoSpaceDN w:val="0"/>
        <w:adjustRightInd w:val="0"/>
        <w:jc w:val="both"/>
        <w:rPr>
          <w:color w:val="000000" w:themeColor="text1"/>
          <w:sz w:val="16"/>
          <w:szCs w:val="16"/>
        </w:rPr>
      </w:pPr>
    </w:p>
    <w:p w14:paraId="679370C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июня 1945 в СССР учреждена медаль “За доблестный труд в Великой Отечественной войне” (4962).</w:t>
      </w:r>
    </w:p>
    <w:p w14:paraId="1E59797A"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995FD3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A20BE50" w14:textId="77777777" w:rsidR="006103B3" w:rsidRPr="00925F26" w:rsidRDefault="006103B3" w:rsidP="00925F26">
      <w:pPr>
        <w:autoSpaceDE w:val="0"/>
        <w:autoSpaceDN w:val="0"/>
        <w:adjustRightInd w:val="0"/>
        <w:jc w:val="both"/>
        <w:rPr>
          <w:iCs/>
          <w:color w:val="000000" w:themeColor="text1"/>
          <w:sz w:val="16"/>
          <w:szCs w:val="16"/>
        </w:rPr>
      </w:pPr>
    </w:p>
    <w:p w14:paraId="1531E2E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 июня 1945 вышло Постановление ГКО № 8931 О выдаче пособия летчикам французского истребительного авиационного полка "Нормандия". (7347, 104).</w:t>
      </w:r>
    </w:p>
    <w:p w14:paraId="35DA513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36BA080" w14:textId="77777777" w:rsidR="006103B3" w:rsidRPr="00925F26" w:rsidRDefault="001561D1" w:rsidP="00925F26">
      <w:pPr>
        <w:tabs>
          <w:tab w:val="left" w:pos="11199"/>
        </w:tabs>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2F91456" w14:textId="77777777" w:rsidR="006103B3" w:rsidRPr="00925F26" w:rsidRDefault="006103B3" w:rsidP="00925F26">
      <w:pPr>
        <w:tabs>
          <w:tab w:val="left" w:pos="11199"/>
        </w:tabs>
        <w:autoSpaceDE w:val="0"/>
        <w:autoSpaceDN w:val="0"/>
        <w:adjustRightInd w:val="0"/>
        <w:jc w:val="both"/>
        <w:rPr>
          <w:iCs/>
          <w:color w:val="000000" w:themeColor="text1"/>
          <w:sz w:val="16"/>
          <w:szCs w:val="16"/>
        </w:rPr>
      </w:pPr>
    </w:p>
    <w:p w14:paraId="488DE5C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июня 1945 г. постановлением СНК СССР № 1326—301сс (Об организации Военной администрации по управлению Советской зоной оккупации в Герма</w:t>
      </w:r>
      <w:r w:rsidRPr="00925F26">
        <w:rPr>
          <w:color w:val="000000" w:themeColor="text1"/>
          <w:sz w:val="16"/>
          <w:szCs w:val="16"/>
        </w:rPr>
        <w:softHyphen/>
        <w:t>нии. Приложение) была создана Со</w:t>
      </w:r>
      <w:r w:rsidRPr="00925F26">
        <w:rPr>
          <w:color w:val="000000" w:themeColor="text1"/>
          <w:sz w:val="16"/>
          <w:szCs w:val="16"/>
        </w:rPr>
        <w:softHyphen/>
        <w:t>ветская военная администрация в Германии — СВАГ. В соответствии с по</w:t>
      </w:r>
      <w:r w:rsidRPr="00925F26">
        <w:rPr>
          <w:color w:val="000000" w:themeColor="text1"/>
          <w:sz w:val="16"/>
          <w:szCs w:val="16"/>
        </w:rPr>
        <w:softHyphen/>
        <w:t xml:space="preserve">становлением СНК СССР от 6 июня 1945 г. (Постановление Совета Народных Комиссаров СССР от 6 июня 1945 </w:t>
      </w:r>
      <w:proofErr w:type="gramStart"/>
      <w:r w:rsidRPr="00925F26">
        <w:rPr>
          <w:color w:val="000000" w:themeColor="text1"/>
          <w:sz w:val="16"/>
          <w:szCs w:val="16"/>
        </w:rPr>
        <w:t>г..</w:t>
      </w:r>
      <w:proofErr w:type="gramEnd"/>
      <w:r w:rsidRPr="00925F26">
        <w:rPr>
          <w:color w:val="000000" w:themeColor="text1"/>
          <w:sz w:val="16"/>
          <w:szCs w:val="16"/>
        </w:rPr>
        <w:t xml:space="preserve"> Положение о Советской военной администрации по управлению Совет</w:t>
      </w:r>
      <w:r w:rsidRPr="00925F26">
        <w:rPr>
          <w:color w:val="000000" w:themeColor="text1"/>
          <w:sz w:val="16"/>
          <w:szCs w:val="16"/>
        </w:rPr>
        <w:softHyphen/>
        <w:t>ской зоной оккупации в Германии. ГА РФ. Ф. Р-7317. Оп. 7. Д. 5. Л. 6—13.) были сформированы органы СВА в Германии, которые включали Штаб, три управления: комендантской службы, экономическое и административно-хозяйственное, а также 21 от</w:t>
      </w:r>
      <w:r w:rsidRPr="00925F26">
        <w:rPr>
          <w:color w:val="000000" w:themeColor="text1"/>
          <w:sz w:val="16"/>
          <w:szCs w:val="16"/>
        </w:rPr>
        <w:softHyphen/>
        <w:t>дел. Организационная структура органов СВАГ на местах в принципе по</w:t>
      </w:r>
      <w:r w:rsidRPr="00925F26">
        <w:rPr>
          <w:color w:val="000000" w:themeColor="text1"/>
          <w:sz w:val="16"/>
          <w:szCs w:val="16"/>
        </w:rPr>
        <w:softHyphen/>
        <w:t>вторяла структуру центрального аппарата. Она включала пять управлений СВА в провинциях и землях зоны и Управление военного коменданта совет</w:t>
      </w:r>
      <w:r w:rsidRPr="00925F26">
        <w:rPr>
          <w:color w:val="000000" w:themeColor="text1"/>
          <w:sz w:val="16"/>
          <w:szCs w:val="16"/>
        </w:rPr>
        <w:softHyphen/>
        <w:t>ского сектора оккупации Берлина, которым, в свою очередь, подчинялись районные, городские и окружные военные комендатуры. Органы СВАГ тес</w:t>
      </w:r>
      <w:r w:rsidRPr="00925F26">
        <w:rPr>
          <w:color w:val="000000" w:themeColor="text1"/>
          <w:sz w:val="16"/>
          <w:szCs w:val="16"/>
        </w:rPr>
        <w:softHyphen/>
        <w:t>но взаимодействовали с Группой советских оккупационных войск в Герма</w:t>
      </w:r>
      <w:r w:rsidRPr="00925F26">
        <w:rPr>
          <w:color w:val="000000" w:themeColor="text1"/>
          <w:sz w:val="16"/>
          <w:szCs w:val="16"/>
        </w:rPr>
        <w:softHyphen/>
        <w:t>нии (ГСОВГ), соединения и части которой дислоцировались во всех про</w:t>
      </w:r>
      <w:r w:rsidRPr="00925F26">
        <w:rPr>
          <w:color w:val="000000" w:themeColor="text1"/>
          <w:sz w:val="16"/>
          <w:szCs w:val="16"/>
        </w:rPr>
        <w:softHyphen/>
        <w:t>винциях и землях Советской зоны оккупации Германии. Первым Главноначальствующим СВАГ был назначен Главнокомандующий совет</w:t>
      </w:r>
      <w:r w:rsidRPr="00925F26">
        <w:rPr>
          <w:color w:val="000000" w:themeColor="text1"/>
          <w:sz w:val="16"/>
          <w:szCs w:val="16"/>
        </w:rPr>
        <w:softHyphen/>
        <w:t>скими оккупационными войсками в Германии маршал Советского Союза Г.К. Жуков. После полного поражения и капитуляции нацистской Германии во Вто</w:t>
      </w:r>
      <w:r w:rsidRPr="00925F26">
        <w:rPr>
          <w:color w:val="000000" w:themeColor="text1"/>
          <w:sz w:val="16"/>
          <w:szCs w:val="16"/>
        </w:rPr>
        <w:softHyphen/>
        <w:t>рой мировой войне вся ее территория была оккупирована войсками держав антигитлеровской коалиции. Советская зона оккупации включала около од</w:t>
      </w:r>
      <w:r w:rsidRPr="00925F26">
        <w:rPr>
          <w:color w:val="000000" w:themeColor="text1"/>
          <w:sz w:val="16"/>
          <w:szCs w:val="16"/>
        </w:rPr>
        <w:softHyphen/>
        <w:t>ной трети территории Германии (земли Саксония и Тюрингия, провинции Мекленбург и Западная Померания, Бранденбург и Саксония), а также со</w:t>
      </w:r>
      <w:r w:rsidRPr="00925F26">
        <w:rPr>
          <w:color w:val="000000" w:themeColor="text1"/>
          <w:sz w:val="16"/>
          <w:szCs w:val="16"/>
        </w:rPr>
        <w:softHyphen/>
        <w:t>ветский сектор оккупации Большого Берлина (11419).</w:t>
      </w:r>
    </w:p>
    <w:p w14:paraId="06B603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FAC572A" w14:textId="77777777" w:rsidR="00B17B62" w:rsidRPr="00925F26" w:rsidRDefault="00B17B62" w:rsidP="00925F26">
      <w:pPr>
        <w:pStyle w:val="ae"/>
        <w:spacing w:before="0" w:after="0"/>
        <w:jc w:val="both"/>
        <w:rPr>
          <w:color w:val="000000" w:themeColor="text1"/>
          <w:sz w:val="16"/>
          <w:szCs w:val="16"/>
        </w:rPr>
      </w:pPr>
      <w:r w:rsidRPr="00925F26">
        <w:rPr>
          <w:color w:val="000000" w:themeColor="text1"/>
          <w:sz w:val="16"/>
          <w:szCs w:val="16"/>
        </w:rPr>
        <w:t>6 июня 1945 г. для осуществления задач Союзной контрольной власти в Германии и управления Советской зоной оккупации Германии постановлением Совета Народных Комиссаров СССР от была создана Советская военная администрация в Германии (СВАГ). Её Главноначальствующим был назначен Главнокомандующий советскими оккупационными войсками в Германии маршал Советского Союза Г. К. Жуков, его первым заместителем — генерал армии В. Д. Соколовский, заместителем по делам гражданской администрации — комиссар государственной безопасности 2-го ранга И. А. Серов, начальником Штаба — генерал-полковник В. В. Курасов, политическим советником при Главноначальствующем — первый заместитель наркома иностранных дел СССР А. Я. Вышинский.</w:t>
      </w:r>
    </w:p>
    <w:p w14:paraId="61989F34" w14:textId="77777777" w:rsidR="00B17B62" w:rsidRPr="00925F26" w:rsidRDefault="00B17B62" w:rsidP="00925F26">
      <w:pPr>
        <w:pStyle w:val="ae"/>
        <w:spacing w:before="0" w:after="0"/>
        <w:jc w:val="both"/>
        <w:rPr>
          <w:color w:val="000000" w:themeColor="text1"/>
          <w:sz w:val="16"/>
          <w:szCs w:val="16"/>
        </w:rPr>
      </w:pPr>
      <w:r w:rsidRPr="00925F26">
        <w:rPr>
          <w:color w:val="000000" w:themeColor="text1"/>
          <w:sz w:val="16"/>
          <w:szCs w:val="16"/>
        </w:rPr>
        <w:t>В соответствии с постановлением СНК СССР от 6 июня 1945 г. были созданы органы Советской Военной Администрации в Германии, которые включали Штаб, 3 управления: комендантской службы, экономическое и административно-хозяйственное, а также 21 отдел: военный, военно-морской, военно-воздушный, связи, репатриации, кадров, здравоохранения, организационно-учетный, политический, цензуры, правовой, народного образования, внутренних дел, промышленный, сельскохозяйственный, транспортный, топливный, рабочей силы, финансовый, торговли и снабжения, репараций и поставок. Впоследствии организационная структура центральных органов СВАГ неоднократно изменялась (19146).</w:t>
      </w:r>
    </w:p>
    <w:p w14:paraId="37206987" w14:textId="77777777" w:rsidR="00B17B62" w:rsidRPr="00925F26" w:rsidRDefault="00B17B62" w:rsidP="00925F26">
      <w:pPr>
        <w:pStyle w:val="ae"/>
        <w:spacing w:before="0" w:after="0"/>
        <w:jc w:val="both"/>
        <w:rPr>
          <w:color w:val="000000" w:themeColor="text1"/>
          <w:sz w:val="16"/>
          <w:szCs w:val="16"/>
        </w:rPr>
      </w:pPr>
    </w:p>
    <w:p w14:paraId="717D3F80" w14:textId="77777777" w:rsidR="00B17B62" w:rsidRPr="00925F26" w:rsidRDefault="00B17B62" w:rsidP="00925F26">
      <w:pPr>
        <w:jc w:val="both"/>
        <w:rPr>
          <w:color w:val="000000" w:themeColor="text1"/>
          <w:sz w:val="16"/>
          <w:szCs w:val="16"/>
        </w:rPr>
      </w:pPr>
      <w:r w:rsidRPr="00925F26">
        <w:rPr>
          <w:color w:val="000000" w:themeColor="text1"/>
          <w:sz w:val="16"/>
          <w:szCs w:val="16"/>
        </w:rPr>
        <w:t xml:space="preserve">6 июня 1945 г. создается Советская военная администрация в Германии (СВАГ). С этого дня деятельность научно-технических подразделений, изучавших немецкую ракетную технику, приобрела особенный размах. В СВАГ формируется Управление по изучению достижений науки и техники в Германии. Независимо от СВАГ 8 июля 1945 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«Рабе»/»Нордхаузен».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П .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w:t>
      </w:r>
      <w:r w:rsidRPr="00925F26">
        <w:rPr>
          <w:color w:val="000000" w:themeColor="text1"/>
          <w:sz w:val="16"/>
          <w:szCs w:val="16"/>
        </w:rPr>
        <w:lastRenderedPageBreak/>
        <w:t>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6CF9FB12" w14:textId="77777777" w:rsidR="00B17B62" w:rsidRPr="00925F26" w:rsidRDefault="00B17B62" w:rsidP="00925F26">
      <w:pPr>
        <w:jc w:val="both"/>
        <w:rPr>
          <w:color w:val="000000" w:themeColor="text1"/>
          <w:sz w:val="16"/>
          <w:szCs w:val="16"/>
        </w:rPr>
      </w:pPr>
    </w:p>
    <w:p w14:paraId="4D21DF31" w14:textId="77777777" w:rsidR="00B87114" w:rsidRPr="00925F26" w:rsidRDefault="00B87114" w:rsidP="00925F26">
      <w:pPr>
        <w:jc w:val="both"/>
        <w:rPr>
          <w:color w:val="000000" w:themeColor="text1"/>
          <w:sz w:val="16"/>
          <w:szCs w:val="16"/>
        </w:rPr>
      </w:pPr>
      <w:r w:rsidRPr="00925F26">
        <w:rPr>
          <w:bCs/>
          <w:color w:val="000000" w:themeColor="text1"/>
          <w:sz w:val="16"/>
          <w:szCs w:val="16"/>
        </w:rPr>
        <w:t>6 июня</w:t>
      </w:r>
      <w:r w:rsidRPr="00925F26">
        <w:rPr>
          <w:color w:val="000000" w:themeColor="text1"/>
          <w:sz w:val="16"/>
          <w:szCs w:val="16"/>
        </w:rPr>
        <w:t xml:space="preserve"> в 1945 году Советское правительство утвердило Положение о Советской военной администрации в Германии (14914).</w:t>
      </w:r>
    </w:p>
    <w:p w14:paraId="277C4C2B" w14:textId="77777777" w:rsidR="00B87114" w:rsidRPr="00925F26" w:rsidRDefault="00B87114" w:rsidP="00925F26">
      <w:pPr>
        <w:jc w:val="both"/>
        <w:rPr>
          <w:color w:val="000000" w:themeColor="text1"/>
          <w:sz w:val="16"/>
          <w:szCs w:val="16"/>
        </w:rPr>
      </w:pPr>
    </w:p>
    <w:p w14:paraId="6682E0A4" w14:textId="77777777" w:rsidR="00B87114" w:rsidRPr="00925F26" w:rsidRDefault="00B87114" w:rsidP="00925F26">
      <w:pPr>
        <w:jc w:val="both"/>
        <w:rPr>
          <w:color w:val="000000" w:themeColor="text1"/>
          <w:sz w:val="16"/>
          <w:szCs w:val="16"/>
        </w:rPr>
      </w:pPr>
      <w:r w:rsidRPr="00925F26">
        <w:rPr>
          <w:bCs/>
          <w:color w:val="000000" w:themeColor="text1"/>
          <w:sz w:val="16"/>
          <w:szCs w:val="16"/>
        </w:rPr>
        <w:t>6 июня</w:t>
      </w:r>
      <w:r w:rsidRPr="00925F26">
        <w:rPr>
          <w:color w:val="000000" w:themeColor="text1"/>
          <w:sz w:val="16"/>
          <w:szCs w:val="16"/>
        </w:rPr>
        <w:t xml:space="preserve"> в 1945 году между Польшей и Советским Союзом заключено соглашение о репатриации поляков и польских евреев в Польшу (14914).</w:t>
      </w:r>
    </w:p>
    <w:p w14:paraId="45F0D74F" w14:textId="77777777" w:rsidR="00B87114" w:rsidRPr="00925F26" w:rsidRDefault="00B87114" w:rsidP="00925F26">
      <w:pPr>
        <w:jc w:val="both"/>
        <w:rPr>
          <w:color w:val="000000" w:themeColor="text1"/>
          <w:sz w:val="16"/>
          <w:szCs w:val="16"/>
        </w:rPr>
      </w:pPr>
    </w:p>
    <w:p w14:paraId="6636521F" w14:textId="63447C7D" w:rsidR="00B5377E" w:rsidRPr="00925F26" w:rsidRDefault="00B5377E" w:rsidP="00925F26">
      <w:pPr>
        <w:autoSpaceDE w:val="0"/>
        <w:autoSpaceDN w:val="0"/>
        <w:adjustRightInd w:val="0"/>
        <w:jc w:val="both"/>
        <w:rPr>
          <w:i/>
          <w:iCs/>
          <w:color w:val="000000" w:themeColor="text1"/>
          <w:sz w:val="16"/>
          <w:szCs w:val="16"/>
        </w:rPr>
      </w:pPr>
      <w:r w:rsidRPr="00925F26">
        <w:rPr>
          <w:i/>
          <w:iCs/>
          <w:color w:val="000000" w:themeColor="text1"/>
          <w:sz w:val="16"/>
          <w:szCs w:val="16"/>
        </w:rPr>
        <w:t>За рубежом:</w:t>
      </w:r>
    </w:p>
    <w:p w14:paraId="1544DBCA" w14:textId="77777777" w:rsidR="00B5377E" w:rsidRPr="00925F26" w:rsidRDefault="00B5377E" w:rsidP="00925F26">
      <w:pPr>
        <w:autoSpaceDE w:val="0"/>
        <w:autoSpaceDN w:val="0"/>
        <w:adjustRightInd w:val="0"/>
        <w:jc w:val="both"/>
        <w:rPr>
          <w:i/>
          <w:iCs/>
          <w:color w:val="000000" w:themeColor="text1"/>
          <w:sz w:val="16"/>
          <w:szCs w:val="16"/>
        </w:rPr>
      </w:pPr>
    </w:p>
    <w:p w14:paraId="5568A3CC" w14:textId="77777777" w:rsidR="00B5377E" w:rsidRPr="00925F26" w:rsidRDefault="00B5377E" w:rsidP="00925F26">
      <w:pPr>
        <w:jc w:val="both"/>
        <w:rPr>
          <w:color w:val="000000" w:themeColor="text1"/>
          <w:sz w:val="16"/>
          <w:szCs w:val="16"/>
        </w:rPr>
      </w:pPr>
      <w:r w:rsidRPr="00925F26">
        <w:rPr>
          <w:color w:val="000000" w:themeColor="text1"/>
          <w:sz w:val="16"/>
          <w:szCs w:val="16"/>
        </w:rPr>
        <w:t>6 июня 1945 временная международная организация гражданской авиации (PICAO) учреждена в соответствии с Конвенцией о международной гражданской авиации и рассчитана на работу до тех пор, пока 26 стран не ратифицируют эту конвенцию и тем самым разрешат создание постоянной организации (20371).</w:t>
      </w:r>
    </w:p>
    <w:p w14:paraId="2A60A187" w14:textId="77777777" w:rsidR="00B5377E" w:rsidRPr="00925F26" w:rsidRDefault="00B5377E" w:rsidP="00925F26">
      <w:pPr>
        <w:jc w:val="both"/>
        <w:rPr>
          <w:color w:val="000000" w:themeColor="text1"/>
          <w:sz w:val="16"/>
          <w:szCs w:val="16"/>
        </w:rPr>
      </w:pPr>
    </w:p>
    <w:p w14:paraId="4380C279" w14:textId="4CF95BD5"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DB16E74" w14:textId="77777777" w:rsidR="006103B3" w:rsidRPr="00925F26" w:rsidRDefault="006103B3" w:rsidP="00925F26">
      <w:pPr>
        <w:autoSpaceDE w:val="0"/>
        <w:autoSpaceDN w:val="0"/>
        <w:adjustRightInd w:val="0"/>
        <w:jc w:val="both"/>
        <w:rPr>
          <w:iCs/>
          <w:color w:val="000000" w:themeColor="text1"/>
          <w:sz w:val="16"/>
          <w:szCs w:val="16"/>
        </w:rPr>
      </w:pPr>
    </w:p>
    <w:p w14:paraId="00313DEC" w14:textId="77777777" w:rsidR="00FB7692" w:rsidRPr="001A0BAA" w:rsidRDefault="00FB7692" w:rsidP="00FB7692">
      <w:pPr>
        <w:jc w:val="both"/>
        <w:rPr>
          <w:color w:val="0070C0"/>
          <w:sz w:val="16"/>
          <w:szCs w:val="16"/>
        </w:rPr>
      </w:pPr>
      <w:r w:rsidRPr="001A0BAA">
        <w:rPr>
          <w:rStyle w:val="aff0"/>
          <w:rFonts w:ascii="Times New Roman" w:hAnsi="Times New Roman" w:cs="Times New Roman"/>
          <w:color w:val="0070C0"/>
          <w:spacing w:val="0"/>
          <w:sz w:val="16"/>
          <w:szCs w:val="16"/>
        </w:rPr>
        <w:t>В начале июня 1945 г. не выдержал контрольные испытания самолет Ил-10 завода № 1 № 105142 с мотором АМ-42 и воздушным винтом АМ-5Л-24. От опытной машины, испытанной в НИИ ВВС, он отличался измененными толщинами бронекорпуса, жестким сиденьем стрелка, вентиляцией кабин, лучшей отделкой крыла. На руле поворота появился триммер, а на верхнем бензобаке - противопожарная изоляция. За на</w:t>
      </w:r>
      <w:r w:rsidRPr="001A0BAA">
        <w:rPr>
          <w:rStyle w:val="aff0"/>
          <w:rFonts w:ascii="Times New Roman" w:hAnsi="Times New Roman" w:cs="Times New Roman"/>
          <w:color w:val="0070C0"/>
          <w:spacing w:val="0"/>
          <w:sz w:val="16"/>
          <w:szCs w:val="16"/>
        </w:rPr>
        <w:softHyphen/>
        <w:t>гнетателем двигателя установили противопожарную дрос</w:t>
      </w:r>
      <w:r w:rsidRPr="001A0BAA">
        <w:rPr>
          <w:rStyle w:val="aff0"/>
          <w:rFonts w:ascii="Times New Roman" w:hAnsi="Times New Roman" w:cs="Times New Roman"/>
          <w:color w:val="0070C0"/>
          <w:spacing w:val="0"/>
          <w:sz w:val="16"/>
          <w:szCs w:val="16"/>
        </w:rPr>
        <w:softHyphen/>
        <w:t>сельную заслонку и ввели механизм, объединивший управ</w:t>
      </w:r>
      <w:r w:rsidRPr="001A0BAA">
        <w:rPr>
          <w:rStyle w:val="aff0"/>
          <w:rFonts w:ascii="Times New Roman" w:hAnsi="Times New Roman" w:cs="Times New Roman"/>
          <w:color w:val="0070C0"/>
          <w:spacing w:val="0"/>
          <w:sz w:val="16"/>
          <w:szCs w:val="16"/>
        </w:rPr>
        <w:softHyphen/>
        <w:t>ление шагом винта и газом. Для крыльевых пулеметов ШКАС сделали гильзоотводы, а у стрелка смонтировали установку ВУ-8 с пулеметом УБК. Для полетов ночью вве</w:t>
      </w:r>
      <w:r w:rsidRPr="001A0BAA">
        <w:rPr>
          <w:rStyle w:val="aff0"/>
          <w:rFonts w:ascii="Times New Roman" w:hAnsi="Times New Roman" w:cs="Times New Roman"/>
          <w:color w:val="0070C0"/>
          <w:spacing w:val="0"/>
          <w:sz w:val="16"/>
          <w:szCs w:val="16"/>
        </w:rPr>
        <w:softHyphen/>
        <w:t>ли ультрафиолетовое освещение приборов, кнопку управ</w:t>
      </w:r>
      <w:r w:rsidRPr="001A0BAA">
        <w:rPr>
          <w:rStyle w:val="aff0"/>
          <w:rFonts w:ascii="Times New Roman" w:hAnsi="Times New Roman" w:cs="Times New Roman"/>
          <w:color w:val="0070C0"/>
          <w:spacing w:val="0"/>
          <w:sz w:val="16"/>
          <w:szCs w:val="16"/>
        </w:rPr>
        <w:softHyphen/>
        <w:t>ления радиопередатчиком перенесли на сектор газа.</w:t>
      </w:r>
    </w:p>
    <w:p w14:paraId="7C212DB2" w14:textId="77777777" w:rsidR="00FB7692" w:rsidRPr="001A0BAA" w:rsidRDefault="00FB7692" w:rsidP="00FB7692">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Вооружение самолета № 105142 включало два ору</w:t>
      </w:r>
      <w:r w:rsidRPr="001A0BAA">
        <w:rPr>
          <w:rStyle w:val="aff0"/>
          <w:rFonts w:ascii="Times New Roman" w:hAnsi="Times New Roman" w:cs="Times New Roman"/>
          <w:color w:val="0070C0"/>
          <w:spacing w:val="0"/>
          <w:sz w:val="16"/>
          <w:szCs w:val="16"/>
        </w:rPr>
        <w:softHyphen/>
        <w:t>дия «ВЯ» калибра 23 мм с боезапасом 300 патронов, двух ШКАСов и одного УБК с боекомплектом 1500 и 150 патро</w:t>
      </w:r>
      <w:r w:rsidRPr="001A0BAA">
        <w:rPr>
          <w:rStyle w:val="aff0"/>
          <w:rFonts w:ascii="Times New Roman" w:hAnsi="Times New Roman" w:cs="Times New Roman"/>
          <w:color w:val="0070C0"/>
          <w:spacing w:val="0"/>
          <w:sz w:val="16"/>
          <w:szCs w:val="16"/>
        </w:rPr>
        <w:softHyphen/>
        <w:t>нов соответственно. Нормальная бомбовая нагрузка со</w:t>
      </w:r>
      <w:r w:rsidRPr="001A0BAA">
        <w:rPr>
          <w:rStyle w:val="aff0"/>
          <w:rFonts w:ascii="Times New Roman" w:hAnsi="Times New Roman" w:cs="Times New Roman"/>
          <w:color w:val="0070C0"/>
          <w:spacing w:val="0"/>
          <w:sz w:val="16"/>
          <w:szCs w:val="16"/>
        </w:rPr>
        <w:softHyphen/>
        <w:t>ставляла 400 кг (в перегрузку - 600 кг) бомб и десять гра</w:t>
      </w:r>
      <w:r w:rsidRPr="001A0BAA">
        <w:rPr>
          <w:rStyle w:val="aff0"/>
          <w:rFonts w:ascii="Times New Roman" w:hAnsi="Times New Roman" w:cs="Times New Roman"/>
          <w:color w:val="0070C0"/>
          <w:spacing w:val="0"/>
          <w:sz w:val="16"/>
          <w:szCs w:val="16"/>
        </w:rPr>
        <w:softHyphen/>
        <w:t>нат АГ-2.</w:t>
      </w:r>
    </w:p>
    <w:p w14:paraId="1FE2F0E4" w14:textId="77777777" w:rsidR="00FB7692" w:rsidRPr="001A0BAA" w:rsidRDefault="00FB7692" w:rsidP="00FB7692">
      <w:pPr>
        <w:jc w:val="both"/>
        <w:rPr>
          <w:color w:val="0070C0"/>
          <w:sz w:val="16"/>
          <w:szCs w:val="16"/>
        </w:rPr>
      </w:pPr>
      <w:r w:rsidRPr="001A0BAA">
        <w:rPr>
          <w:rStyle w:val="aff0"/>
          <w:rFonts w:ascii="Times New Roman" w:hAnsi="Times New Roman" w:cs="Times New Roman"/>
          <w:color w:val="0070C0"/>
          <w:spacing w:val="0"/>
          <w:sz w:val="16"/>
          <w:szCs w:val="16"/>
        </w:rPr>
        <w:t>Изменения существенные, но все портила плохая рабо</w:t>
      </w:r>
      <w:r w:rsidRPr="001A0BAA">
        <w:rPr>
          <w:rStyle w:val="aff0"/>
          <w:rFonts w:ascii="Times New Roman" w:hAnsi="Times New Roman" w:cs="Times New Roman"/>
          <w:color w:val="0070C0"/>
          <w:spacing w:val="0"/>
          <w:sz w:val="16"/>
          <w:szCs w:val="16"/>
        </w:rPr>
        <w:softHyphen/>
        <w:t>та маслорадиаторной установки, отсутствовал противопыльный фильтр на входе воздуха в мотор, при загрузке бомбоотсека мелкими боеприпасами провисали его створ</w:t>
      </w:r>
      <w:r w:rsidRPr="001A0BAA">
        <w:rPr>
          <w:rStyle w:val="aff0"/>
          <w:rFonts w:ascii="Times New Roman" w:hAnsi="Times New Roman" w:cs="Times New Roman"/>
          <w:color w:val="0070C0"/>
          <w:spacing w:val="0"/>
          <w:sz w:val="16"/>
          <w:szCs w:val="16"/>
        </w:rPr>
        <w:softHyphen/>
        <w:t>ки, тормоза на колесах никуда не годились, в хвостовом коке фюзеляжа отсутствовали дренажные отверстия, что приводило к скапливанию там влаги, с трудом запускался мотор. Летные данные по сравнению с опытным штурмо</w:t>
      </w:r>
      <w:r w:rsidRPr="001A0BAA">
        <w:rPr>
          <w:rStyle w:val="aff0"/>
          <w:rFonts w:ascii="Times New Roman" w:hAnsi="Times New Roman" w:cs="Times New Roman"/>
          <w:color w:val="0070C0"/>
          <w:spacing w:val="0"/>
          <w:sz w:val="16"/>
          <w:szCs w:val="16"/>
        </w:rPr>
        <w:softHyphen/>
        <w:t>виком оказались заниженными. Были и другие дефекты, «подмочившие» репутацию самолета, который вернули на завод для доработок.</w:t>
      </w:r>
    </w:p>
    <w:p w14:paraId="604019FE" w14:textId="77777777" w:rsidR="00FB7692" w:rsidRPr="001A0BAA" w:rsidRDefault="00FB7692" w:rsidP="00FB7692">
      <w:pPr>
        <w:jc w:val="both"/>
        <w:rPr>
          <w:color w:val="0070C0"/>
          <w:sz w:val="16"/>
          <w:szCs w:val="16"/>
        </w:rPr>
      </w:pPr>
      <w:r w:rsidRPr="001A0BAA">
        <w:rPr>
          <w:rStyle w:val="aff0"/>
          <w:rFonts w:ascii="Times New Roman" w:hAnsi="Times New Roman" w:cs="Times New Roman"/>
          <w:color w:val="0070C0"/>
          <w:spacing w:val="0"/>
          <w:sz w:val="16"/>
          <w:szCs w:val="16"/>
        </w:rPr>
        <w:t>Для улучшения летных данных Ил -10 завод № 150 изго</w:t>
      </w:r>
      <w:r w:rsidRPr="001A0BAA">
        <w:rPr>
          <w:rStyle w:val="aff0"/>
          <w:rFonts w:ascii="Times New Roman" w:hAnsi="Times New Roman" w:cs="Times New Roman"/>
          <w:color w:val="0070C0"/>
          <w:spacing w:val="0"/>
          <w:sz w:val="16"/>
          <w:szCs w:val="16"/>
        </w:rPr>
        <w:softHyphen/>
        <w:t>товил новый винт АВ-5Л-22Б диаметром 3,6 м, и в том же месяце его установили на самолет № 105142. Этот винт от</w:t>
      </w:r>
      <w:r w:rsidRPr="001A0BAA">
        <w:rPr>
          <w:rStyle w:val="aff0"/>
          <w:rFonts w:ascii="Times New Roman" w:hAnsi="Times New Roman" w:cs="Times New Roman"/>
          <w:color w:val="0070C0"/>
          <w:spacing w:val="0"/>
          <w:sz w:val="16"/>
          <w:szCs w:val="16"/>
        </w:rPr>
        <w:softHyphen/>
        <w:t>личался от предшественника уменьшенной на 0,5 процен</w:t>
      </w:r>
      <w:r w:rsidRPr="001A0BAA">
        <w:rPr>
          <w:rStyle w:val="aff0"/>
          <w:rFonts w:ascii="Times New Roman" w:hAnsi="Times New Roman" w:cs="Times New Roman"/>
          <w:color w:val="0070C0"/>
          <w:spacing w:val="0"/>
          <w:sz w:val="16"/>
          <w:szCs w:val="16"/>
        </w:rPr>
        <w:softHyphen/>
        <w:t xml:space="preserve">та относительной толщиной концевых сечений лопастей. Однако вопреки ожиданиям летные данные штурмовика практически не изменились. Но на заводе </w:t>
      </w:r>
      <w:r w:rsidRPr="001A0BAA">
        <w:rPr>
          <w:rStyle w:val="aff0"/>
          <w:rFonts w:ascii="Times New Roman" w:hAnsi="Times New Roman" w:cs="Times New Roman"/>
          <w:color w:val="0070C0"/>
          <w:spacing w:val="0"/>
          <w:sz w:val="16"/>
          <w:szCs w:val="16"/>
          <w:lang w:val="en-US"/>
        </w:rPr>
        <w:t>N</w:t>
      </w:r>
      <w:r w:rsidRPr="001A0BAA">
        <w:rPr>
          <w:rStyle w:val="aff0"/>
          <w:rFonts w:ascii="Times New Roman" w:hAnsi="Times New Roman" w:cs="Times New Roman"/>
          <w:color w:val="0070C0"/>
          <w:spacing w:val="0"/>
          <w:sz w:val="16"/>
          <w:szCs w:val="16"/>
        </w:rPr>
        <w:t>2 1 не падали духом и пытались по мере сил и возможностей улучшить машину (25091).</w:t>
      </w:r>
    </w:p>
    <w:p w14:paraId="163203D6" w14:textId="77777777" w:rsidR="00FB7692" w:rsidRPr="001A0BAA" w:rsidRDefault="00FB7692" w:rsidP="00FB7692">
      <w:pPr>
        <w:jc w:val="both"/>
        <w:rPr>
          <w:color w:val="0070C0"/>
          <w:sz w:val="16"/>
          <w:szCs w:val="16"/>
        </w:rPr>
      </w:pPr>
    </w:p>
    <w:p w14:paraId="5AE731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первых числах июня 1945 года А. Н. Туполев и его первый заместитель А. А. Архангельский были срочно вызваны в Кремль к И. В. Сталину. Как позднее вспоминал А. Архангельский, Сталин сразу же перешел к сути дела: «Товарищ Туполев, мы приняли решение скопировать американский бомбардировщик В-29, подробности узнаете у Шахурина». Знаменитый авиаконструктор растерялся от такого заявления. Его заместитель, нарушив внезапно наступившее молчание, бодро отрапортовал: «Задание партии и правительства будет, безусловно, выполнено». А что еще они могли сказать в такой ситуации? Попытаться объяснить, что советская авиационная промышленность не в состоянии организовать серийный выпуск большинства узлов и деталей В-29? Предложить создать отечественную машину с аналогичными характеристиками? А сколько времени потребуется для реализации этого проекта? А бомбардировщик, способный нести атомные бомбы, нужен СССР немедленно! Ведь важно не только освоить серийное производство атомных боезарядов, но и обеспечить их эффективное использование. Постановление ГКО было принято 6 июня 1945 года. Согласно этому документу </w:t>
      </w:r>
      <w:proofErr w:type="gramStart"/>
      <w:r w:rsidRPr="00925F26">
        <w:rPr>
          <w:color w:val="000000" w:themeColor="text1"/>
          <w:sz w:val="16"/>
          <w:szCs w:val="16"/>
        </w:rPr>
        <w:t>КБ Туполева</w:t>
      </w:r>
      <w:proofErr w:type="gramEnd"/>
      <w:r w:rsidRPr="00925F26">
        <w:rPr>
          <w:color w:val="000000" w:themeColor="text1"/>
          <w:sz w:val="16"/>
          <w:szCs w:val="16"/>
        </w:rPr>
        <w:t xml:space="preserve"> поручалось организовать производство «близнеца» В-29 — Б-4 («бомбардировщик четырехмоторный»). Всем наркоматам, ведомствам, конструкторским бюро, заводам и другим организациям предписывалось скрупулезно, по требованиям КБ Туполева, воспроизвести буквально все, из чего состоял В-29: материалы, агрегаты и приборы. Сроки были установлены предельно жесткие. Через год КБ Туполева должно было подготовить комплект чертежей и технической документации, а через два года Казанский авиационный завод выпустить двадцать машин. В какой-то мере выполнению задачи способствовало то, что в Советском Союзе уже было три серийных образца американского бомбардировщика.</w:t>
      </w:r>
    </w:p>
    <w:p w14:paraId="72611CC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самом большом ангаре на Центральном аэродроме первый самолет был полностью разобран, его детали использовали для выпуска чертежей, а «начинку» — приборы и оборудование — передали в специализированные организации. Второй самолет использовали для уточнения летных данных и тренировок экипажей будущих Б-4, а третий был сохранен как дубликат на случай аварии второго самолета.</w:t>
      </w:r>
    </w:p>
    <w:p w14:paraId="129934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личным указанием Сталина ни в одной детали не допускалось ни малейшего отклонения от американского образца. «Оргвыводы» по нерадивым или строптивым главным конструкторам были суровыми: те, кто не желал копировать или только пытался доказать, что его серийная разработка лучше американской, были уволены.</w:t>
      </w:r>
    </w:p>
    <w:p w14:paraId="1A881C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традиционном воздушном параде в Тушино 3 августа 1947 года тройка самолетов Б-4 была продемонстрирована публике. При постановке самолета на вооружение он был обозначен, как Ту-4. Говорят, что решение о переименовании принял сам Сталин. Всего с 1948 по 1952 год было выпущено около 850 машин.</w:t>
      </w:r>
    </w:p>
    <w:p w14:paraId="72AFF5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мнению специалистов, создание и серийное производство самолета Ту-4 подготовило благодатную почву для подлинной революции в отечественной авиации — появление первого поколения советских реактивных самолетов, сначала военных, а затем и гражданских.</w:t>
      </w:r>
    </w:p>
    <w:p w14:paraId="63748D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Особо нужно отметить тот факт, что благодаря серийному выпуску Ту-4 советская авиационная промышленность смогла в короткие сроки освоить множество американских технологий, ведь пришлось создавать производство, аналогичное американскому. В какой-то мере ликвидация отставания в авиастроении была вызвана участием во Второй мировой войне. Если в 30-е годы в развитии отечественной авиации активное участие принимала Германия, то в середине 40-х годов — США (11765).</w:t>
      </w:r>
    </w:p>
    <w:p w14:paraId="09713929" w14:textId="77777777" w:rsidR="006103B3" w:rsidRPr="00925F26" w:rsidRDefault="006103B3" w:rsidP="00925F26">
      <w:pPr>
        <w:autoSpaceDE w:val="0"/>
        <w:autoSpaceDN w:val="0"/>
        <w:adjustRightInd w:val="0"/>
        <w:jc w:val="both"/>
        <w:rPr>
          <w:color w:val="000000" w:themeColor="text1"/>
          <w:sz w:val="16"/>
          <w:szCs w:val="16"/>
        </w:rPr>
      </w:pPr>
    </w:p>
    <w:p w14:paraId="57AA9024" w14:textId="77777777" w:rsidR="00D7144C" w:rsidRPr="00925F26" w:rsidRDefault="00D7144C" w:rsidP="00925F26">
      <w:pPr>
        <w:jc w:val="both"/>
        <w:rPr>
          <w:color w:val="000000" w:themeColor="text1"/>
          <w:sz w:val="16"/>
          <w:szCs w:val="16"/>
        </w:rPr>
      </w:pPr>
      <w:r w:rsidRPr="00925F26">
        <w:rPr>
          <w:color w:val="000000" w:themeColor="text1"/>
          <w:sz w:val="16"/>
          <w:szCs w:val="16"/>
        </w:rPr>
        <w:t>В начале июня 1945 г. А. Н. Туполев и его заместитель А. А. Архангельский были вызваны в Кремль к Сталину. Оба они были уверены, что речь пойдет о «самолете 64», поэтому захватили с собой красочный альбом с основными проектными данными «64». Но разговор у Сталина касался вовсе не «самолета 64», и альбом не пригодился. По воспоминаниям Архангельского, Сталин, поздоровавшись, сразу перешел к сути вопроса:</w:t>
      </w:r>
    </w:p>
    <w:p w14:paraId="4568A266" w14:textId="77777777" w:rsidR="00D7144C" w:rsidRPr="00925F26" w:rsidRDefault="00D7144C" w:rsidP="00925F26">
      <w:pPr>
        <w:jc w:val="both"/>
        <w:rPr>
          <w:color w:val="000000" w:themeColor="text1"/>
          <w:sz w:val="16"/>
          <w:szCs w:val="16"/>
        </w:rPr>
      </w:pPr>
      <w:r w:rsidRPr="00925F26">
        <w:rPr>
          <w:color w:val="000000" w:themeColor="text1"/>
          <w:sz w:val="16"/>
          <w:szCs w:val="16"/>
        </w:rPr>
        <w:t>«Товарищ Туполев, вы будете копировать В-29. Подробности — у Шахурина».</w:t>
      </w:r>
    </w:p>
    <w:p w14:paraId="5A2AFD6B" w14:textId="77777777" w:rsidR="00D7144C" w:rsidRPr="00925F26" w:rsidRDefault="00D7144C" w:rsidP="00925F26">
      <w:pPr>
        <w:jc w:val="both"/>
        <w:rPr>
          <w:color w:val="000000" w:themeColor="text1"/>
          <w:sz w:val="16"/>
          <w:szCs w:val="16"/>
        </w:rPr>
      </w:pPr>
      <w:r w:rsidRPr="00925F26">
        <w:rPr>
          <w:color w:val="000000" w:themeColor="text1"/>
          <w:sz w:val="16"/>
          <w:szCs w:val="16"/>
        </w:rPr>
        <w:t>Туполев, несколько растерявшись от неожиданного поворота событий, промолчал. Архангельский ответил за обоих, что задание будет выполнено, они покинули кабинет Сталина и направились к наркому авиационной промышленности А. И. Шахурину за получением конкретного задания (15568).</w:t>
      </w:r>
    </w:p>
    <w:p w14:paraId="3E48CDF5" w14:textId="77777777" w:rsidR="00D7144C" w:rsidRPr="00925F26" w:rsidRDefault="00D7144C" w:rsidP="00925F26">
      <w:pPr>
        <w:jc w:val="both"/>
        <w:rPr>
          <w:color w:val="000000" w:themeColor="text1"/>
          <w:sz w:val="16"/>
          <w:szCs w:val="16"/>
        </w:rPr>
      </w:pPr>
    </w:p>
    <w:p w14:paraId="0A1212EA"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В начале июня 1945 экипаж Героя Советского Союза Коростылева осуществил перегон второго Ер-2ОН в Москву. Третий и четвертый экземпляры варианта Ер-2ОН были закончены производством в октябре 1945 года (15223).</w:t>
      </w:r>
    </w:p>
    <w:p w14:paraId="726C457D" w14:textId="77777777" w:rsidR="00D7144C" w:rsidRPr="00925F26" w:rsidRDefault="00D7144C" w:rsidP="00925F26">
      <w:pPr>
        <w:shd w:val="clear" w:color="auto" w:fill="FFFFFF"/>
        <w:jc w:val="both"/>
        <w:rPr>
          <w:color w:val="000000" w:themeColor="text1"/>
          <w:sz w:val="16"/>
          <w:szCs w:val="16"/>
        </w:rPr>
      </w:pPr>
    </w:p>
    <w:p w14:paraId="3EB2CC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начале июня 1945 "Либерейторы" начали концентрировать в 203-м гвардейском полку. На 1 июля там значились 17 Пе-8, два В-25 и 19 В-24. Надо сказать, что отношение летчиков к "Либерейтору" было куда хуже, чем к "Летающей крепости". К нему прочно приклеилась кличка "Утюг", данная за инертность в управлении. Он медленнее, чем B-17G, разгонялся, за то быстрее терял скорость при уборке газа. Взлет на В-24 имел две неприятные особенности: перед отрывом переднего колеса от полосы возникала тряска, а при уборке основных стоек резко изменялось обтекание крыла. Непривычным после Пе-8 являлось трехколесное шасси (3457,117).</w:t>
      </w:r>
    </w:p>
    <w:p w14:paraId="6C521580" w14:textId="77777777" w:rsidR="006103B3" w:rsidRPr="00925F26" w:rsidRDefault="006103B3" w:rsidP="00925F26">
      <w:pPr>
        <w:autoSpaceDE w:val="0"/>
        <w:autoSpaceDN w:val="0"/>
        <w:adjustRightInd w:val="0"/>
        <w:jc w:val="both"/>
        <w:rPr>
          <w:color w:val="000000" w:themeColor="text1"/>
          <w:sz w:val="16"/>
          <w:szCs w:val="16"/>
        </w:rPr>
      </w:pPr>
    </w:p>
    <w:p w14:paraId="6E15C471" w14:textId="77777777" w:rsidR="00FB7692" w:rsidRPr="001A0BAA" w:rsidRDefault="00FB7692" w:rsidP="00FB7692">
      <w:pPr>
        <w:jc w:val="both"/>
        <w:rPr>
          <w:color w:val="0070C0"/>
          <w:sz w:val="16"/>
          <w:szCs w:val="16"/>
        </w:rPr>
      </w:pPr>
      <w:r w:rsidRPr="001A0BAA">
        <w:rPr>
          <w:color w:val="0070C0"/>
          <w:sz w:val="16"/>
          <w:szCs w:val="16"/>
        </w:rPr>
        <w:t>В начале ию</w:t>
      </w:r>
      <w:r w:rsidRPr="001A0BAA">
        <w:rPr>
          <w:color w:val="0070C0"/>
          <w:sz w:val="16"/>
          <w:szCs w:val="16"/>
        </w:rPr>
        <w:softHyphen/>
        <w:t>ня 1945 г. был утвержден акт по результатам контрольных ис</w:t>
      </w:r>
      <w:r w:rsidRPr="001A0BAA">
        <w:rPr>
          <w:color w:val="0070C0"/>
          <w:sz w:val="16"/>
          <w:szCs w:val="16"/>
        </w:rPr>
        <w:softHyphen/>
        <w:t>пытаний в НИИ ВВС Ла-7 № 45212225 с пушками СП-20 (общий боезапас — 340 патронов), откуда следует, что машина недодавала скорости 28 км/ч по сравнению с «этало</w:t>
      </w:r>
      <w:r w:rsidRPr="001A0BAA">
        <w:rPr>
          <w:color w:val="0070C0"/>
          <w:sz w:val="16"/>
          <w:szCs w:val="16"/>
        </w:rPr>
        <w:softHyphen/>
        <w:t>ном 1944 года». Если сказать кратко, то отмечалось неудовлетворительное из</w:t>
      </w:r>
      <w:r w:rsidRPr="001A0BAA">
        <w:rPr>
          <w:color w:val="0070C0"/>
          <w:sz w:val="16"/>
          <w:szCs w:val="16"/>
        </w:rPr>
        <w:softHyphen/>
        <w:t>готовление самолета в целом и недоста</w:t>
      </w:r>
      <w:r w:rsidRPr="001A0BAA">
        <w:rPr>
          <w:color w:val="0070C0"/>
          <w:sz w:val="16"/>
          <w:szCs w:val="16"/>
        </w:rPr>
        <w:softHyphen/>
        <w:t>точная прочность выхлопных патрубков двигателя (24988).</w:t>
      </w:r>
    </w:p>
    <w:p w14:paraId="541E07FA" w14:textId="77777777" w:rsidR="00FB7692" w:rsidRPr="001A0BAA" w:rsidRDefault="00FB7692" w:rsidP="00FB7692">
      <w:pPr>
        <w:jc w:val="both"/>
        <w:rPr>
          <w:color w:val="0070C0"/>
          <w:sz w:val="16"/>
          <w:szCs w:val="16"/>
        </w:rPr>
      </w:pPr>
    </w:p>
    <w:p w14:paraId="240FCB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первых числах июня 1945 г на правый и средний моторы самолёта Ю-52 Л-68 установили воздушные фильтры конструкции НИИ ГВФ. На левом сделали предложенный местными умельцами всасывающий патрубок над, а не под мотором. После успешных испытаний на линиях Ашхабад - Ташауз и Ашхабад - Дарваза на всех самолётах в Туркмении средние моторы оборудовали новыми всасывающими патрубками. Позднее появился измененный вариант патрубка, опробованный на машине Л-35.</w:t>
      </w:r>
    </w:p>
    <w:p w14:paraId="0CFC25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“Юнкере” считался надёжным и простым в эксплуатации самолётом. По сводкам за 1-е полугодие 1945 г по аварийности (в % к наличному парку) он занимал промежуточное положение между Ли-2 и Си-47. Причём по надёжности собственно планера ему не было равных. В графе “Поломки планера” просто стоит прочерк. Механики часто ограничивались обслуживанием винтомоторной группы, считая, что “планер самолёта Ю-52 построен немцами прочно” (эта фраза взята из стенограммы бесед с техсоставом Туркменского управления ГВФ).</w:t>
      </w:r>
    </w:p>
    <w:p w14:paraId="403AB12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А вот мотоустановка действительно создавала хлопоты. Но больше из-за неграмотной эксплуатации и ремонта. Например, выпускные клапаны проваливались в цилиндры. Но причиной оказалась неправильная сборка после ремонта. Обрывались грибки клапанов. Но выяснилось, что у нас при ремонте устанавливают удлинённые ударники </w:t>
      </w:r>
      <w:proofErr w:type="gramStart"/>
      <w:r w:rsidRPr="00925F26">
        <w:rPr>
          <w:color w:val="000000" w:themeColor="text1"/>
          <w:sz w:val="16"/>
          <w:szCs w:val="16"/>
        </w:rPr>
        <w:t>клапанов,создающие</w:t>
      </w:r>
      <w:proofErr w:type="gramEnd"/>
      <w:r w:rsidRPr="00925F26">
        <w:rPr>
          <w:color w:val="000000" w:themeColor="text1"/>
          <w:sz w:val="16"/>
          <w:szCs w:val="16"/>
        </w:rPr>
        <w:t xml:space="preserve"> дополнительные изгибающие усилия в штоке. BMW 132 пытались эксплуатировать со свечами от М-17 вместо “родных” немецких - получили обгорание электродов. Разрушались крышки нагнетателей - выявили неправильную контровку. В Средней Азии жаловались на закупорку нагнетающей масломаги-страли. Диагноз: пыль вкупе с некачественным маслом.</w:t>
      </w:r>
    </w:p>
    <w:p w14:paraId="26ABE2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Ю-52 являлся настоящей “рабочей лошадкой”. Он не отличался скоростью, дальностью полёта или потолком, был инертен в пилотировании, но зато очень устойчив, прост, послушен и отличался несокрушимой прочностью и прекрасной живучестью. Расколотить его было непросто (6393</w:t>
      </w:r>
      <w:proofErr w:type="gramStart"/>
      <w:r w:rsidRPr="00925F26">
        <w:rPr>
          <w:color w:val="000000" w:themeColor="text1"/>
          <w:sz w:val="16"/>
          <w:szCs w:val="16"/>
        </w:rPr>
        <w:t>)..</w:t>
      </w:r>
      <w:proofErr w:type="gramEnd"/>
    </w:p>
    <w:p w14:paraId="2B16F9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начале июня 1945 г. Ил-10 закончил с положительной оценкой госиспытания в ГК НИИ ВВС, которые проходили с мая 1945. С полетным весом 5680 кг самолет имел максимальную скорость у земли 502 км/ч и 560 км/ч на высоте 2500 м (9528).</w:t>
      </w:r>
    </w:p>
    <w:p w14:paraId="2B5C37B8" w14:textId="77777777" w:rsidR="006103B3" w:rsidRPr="00925F26" w:rsidRDefault="006103B3" w:rsidP="00925F26">
      <w:pPr>
        <w:autoSpaceDE w:val="0"/>
        <w:autoSpaceDN w:val="0"/>
        <w:adjustRightInd w:val="0"/>
        <w:jc w:val="both"/>
        <w:rPr>
          <w:color w:val="000000" w:themeColor="text1"/>
          <w:sz w:val="16"/>
          <w:szCs w:val="16"/>
        </w:rPr>
      </w:pPr>
    </w:p>
    <w:p w14:paraId="0BD24DD6" w14:textId="77777777" w:rsidR="004A092D" w:rsidRPr="00925F26" w:rsidRDefault="004A092D" w:rsidP="00925F26">
      <w:pPr>
        <w:jc w:val="both"/>
        <w:rPr>
          <w:color w:val="000000" w:themeColor="text1"/>
          <w:sz w:val="16"/>
          <w:szCs w:val="16"/>
        </w:rPr>
      </w:pPr>
      <w:r w:rsidRPr="00925F26">
        <w:rPr>
          <w:color w:val="000000" w:themeColor="text1"/>
          <w:sz w:val="16"/>
          <w:szCs w:val="16"/>
          <w:shd w:val="clear" w:color="auto" w:fill="FFFFFF"/>
        </w:rPr>
        <w:t>В первых числах июня 1945 года на правый и средний моторы самолёта Л-68 установили воздушные фильтры конструкции НИИ ГВФ. На левом сделали предложенный местными умельцами всасывающий патрубок над, а не под мотором. После успешных испытаний на линиях Ашхабад – Ташауз и Ашхабад – Дарваза на всех самолётах в Туркмении средние моторы оборудовали новыми всасывающими патрубками. Позднее появился измененный вариант патрубка, опробованный на машине Л-35.</w:t>
      </w:r>
    </w:p>
    <w:p w14:paraId="1E00C2DE" w14:textId="77777777" w:rsidR="004A092D" w:rsidRPr="00925F26" w:rsidRDefault="004A092D" w:rsidP="00925F26">
      <w:pPr>
        <w:jc w:val="both"/>
        <w:rPr>
          <w:color w:val="000000" w:themeColor="text1"/>
          <w:sz w:val="16"/>
          <w:szCs w:val="16"/>
          <w:shd w:val="clear" w:color="auto" w:fill="FFFFFF"/>
        </w:rPr>
      </w:pPr>
      <w:r w:rsidRPr="00925F26">
        <w:rPr>
          <w:color w:val="000000" w:themeColor="text1"/>
          <w:sz w:val="16"/>
          <w:szCs w:val="16"/>
          <w:shd w:val="clear" w:color="auto" w:fill="FFFFFF"/>
        </w:rPr>
        <w:t>Двигатели BMW 132 сильно страдали от песчаной пыли. Даже зимой поршневые кольца в Туркмении изнашивались за 15-20 лётных часов.</w:t>
      </w:r>
    </w:p>
    <w:p w14:paraId="1E407400" w14:textId="77777777" w:rsidR="004A092D" w:rsidRPr="00925F26" w:rsidRDefault="004A092D" w:rsidP="00925F26">
      <w:pPr>
        <w:jc w:val="both"/>
        <w:rPr>
          <w:color w:val="000000" w:themeColor="text1"/>
          <w:sz w:val="16"/>
          <w:szCs w:val="16"/>
        </w:rPr>
      </w:pPr>
      <w:r w:rsidRPr="00925F26">
        <w:rPr>
          <w:color w:val="000000" w:themeColor="text1"/>
          <w:sz w:val="16"/>
          <w:szCs w:val="16"/>
        </w:rPr>
        <w:t>«Юнкерс» считался надёжным и простым в эксплуатации самолётом. По сводкам за 1-е полугодие 1945 года по аварийности (в % к наличному парку) он занимал промежуточное положение между Ли-2 и Си-47. Причём по надёжности собственно планера ему не было равных. В графе «Поломки планера» просто стоит прочерк. Механики часто ограничивались обслуживанием винтомоторной группы, считая, что</w:t>
      </w:r>
    </w:p>
    <w:p w14:paraId="29AEE411" w14:textId="77777777" w:rsidR="004A092D" w:rsidRPr="00925F26" w:rsidRDefault="004A092D" w:rsidP="00925F26">
      <w:pPr>
        <w:jc w:val="both"/>
        <w:rPr>
          <w:iCs/>
          <w:color w:val="000000" w:themeColor="text1"/>
          <w:sz w:val="16"/>
          <w:szCs w:val="16"/>
        </w:rPr>
      </w:pPr>
      <w:r w:rsidRPr="00925F26">
        <w:rPr>
          <w:iCs/>
          <w:color w:val="000000" w:themeColor="text1"/>
          <w:sz w:val="16"/>
          <w:szCs w:val="16"/>
        </w:rPr>
        <w:t>«планер самолёта Ю-52 построен немцами прочно» (эта фраза взята из стенограммы бесед с техсоставом Туркменского управления ГВФ).</w:t>
      </w:r>
    </w:p>
    <w:p w14:paraId="35701F44" w14:textId="77777777" w:rsidR="004A092D" w:rsidRPr="00925F26" w:rsidRDefault="004A092D" w:rsidP="00925F26">
      <w:pPr>
        <w:jc w:val="both"/>
        <w:rPr>
          <w:color w:val="000000" w:themeColor="text1"/>
          <w:sz w:val="16"/>
          <w:szCs w:val="16"/>
        </w:rPr>
      </w:pPr>
      <w:r w:rsidRPr="00925F26">
        <w:rPr>
          <w:color w:val="000000" w:themeColor="text1"/>
          <w:sz w:val="16"/>
          <w:szCs w:val="16"/>
        </w:rPr>
        <w:t xml:space="preserve">А вот мотоустановка действительно создавала хлопоты. Но больше из-за неграмотной эксплуатации и ремонта. Например, выпускные клапаны проваливались в цилиндры. Но причиной оказалась неправильная сборка после ремонта. Обрывались грибки клапанов. Но выяснилось, что у нас при ремонте устанавливают удлинённые ударники клапанов, создающие дополнительные изгибающие усилия в штоке. BMW 132 пытались эксплуатировать со свечами от М-17 вместо «родных» немецких – получили обгорание электродов. Разрушались крышки нагнетателей – выявили неправильную контровку. В Средней Азии жаловались на закупорку нагнетающей масломагистрали. Диагноз: пыль вкупе с некачественным </w:t>
      </w:r>
      <w:proofErr w:type="gramStart"/>
      <w:r w:rsidRPr="00925F26">
        <w:rPr>
          <w:color w:val="000000" w:themeColor="text1"/>
          <w:sz w:val="16"/>
          <w:szCs w:val="16"/>
        </w:rPr>
        <w:t xml:space="preserve">маслом </w:t>
      </w:r>
      <w:r w:rsidRPr="00925F26">
        <w:rPr>
          <w:color w:val="000000" w:themeColor="text1"/>
          <w:sz w:val="16"/>
          <w:szCs w:val="16"/>
          <w:shd w:val="clear" w:color="auto" w:fill="FFFFFF"/>
        </w:rPr>
        <w:t xml:space="preserve"> (</w:t>
      </w:r>
      <w:proofErr w:type="gramEnd"/>
      <w:r w:rsidRPr="00925F26">
        <w:rPr>
          <w:color w:val="000000" w:themeColor="text1"/>
          <w:sz w:val="16"/>
          <w:szCs w:val="16"/>
          <w:shd w:val="clear" w:color="auto" w:fill="FFFFFF"/>
        </w:rPr>
        <w:t>19686).</w:t>
      </w:r>
    </w:p>
    <w:p w14:paraId="296C4B4C" w14:textId="77777777" w:rsidR="004A092D" w:rsidRPr="00925F26" w:rsidRDefault="004A092D" w:rsidP="00925F26">
      <w:pPr>
        <w:jc w:val="both"/>
        <w:rPr>
          <w:color w:val="000000" w:themeColor="text1"/>
          <w:sz w:val="16"/>
          <w:szCs w:val="16"/>
        </w:rPr>
      </w:pPr>
    </w:p>
    <w:p w14:paraId="1CFD4E7F" w14:textId="77777777" w:rsidR="00B5377E" w:rsidRPr="00925F26" w:rsidRDefault="00B5377E" w:rsidP="00925F26">
      <w:pPr>
        <w:jc w:val="both"/>
        <w:rPr>
          <w:color w:val="000000" w:themeColor="text1"/>
          <w:sz w:val="16"/>
          <w:szCs w:val="16"/>
        </w:rPr>
      </w:pPr>
      <w:r w:rsidRPr="00925F26">
        <w:rPr>
          <w:color w:val="000000" w:themeColor="text1"/>
          <w:sz w:val="16"/>
          <w:szCs w:val="16"/>
          <w:shd w:val="clear" w:color="auto" w:fill="FFFFFF"/>
        </w:rPr>
        <w:t>В первых числах июня 1945 г. на правый и средний моторы самолета Ю-52 Л-68 установили воздушные фильтры конструкции НИИ ГВФ. На левом по предложению местных умельцев всасывающий патрубок установили не под мотогондолой, а над нею. После успешных испытаний на линиях Ашхабад - Ташауз и Ашхабад - Дарваза на всех самолетах в Туркмении средние моторы оборудовали новыми всасывающими патрубками. Позднее появился другой вариант патрубка, опробованный на машине Л-35. В Средней Азии мотоустановку Ю-52 пришлось подвергнуть доработке. Немецкие двигатели сильно страдали от песчаной пыли. Даже зимой поршневые кольца изнашивались за 15 - 20 летных часов (21550).</w:t>
      </w:r>
    </w:p>
    <w:p w14:paraId="3CB92013" w14:textId="77777777" w:rsidR="00B5377E" w:rsidRPr="00925F26" w:rsidRDefault="00B5377E" w:rsidP="00925F26">
      <w:pPr>
        <w:jc w:val="both"/>
        <w:rPr>
          <w:color w:val="000000" w:themeColor="text1"/>
          <w:sz w:val="16"/>
          <w:szCs w:val="16"/>
        </w:rPr>
      </w:pPr>
    </w:p>
    <w:p w14:paraId="7D4A2176" w14:textId="016FE4FD" w:rsidR="003203B4" w:rsidRPr="00925F26" w:rsidRDefault="003203B4" w:rsidP="00925F26">
      <w:pPr>
        <w:autoSpaceDE w:val="0"/>
        <w:autoSpaceDN w:val="0"/>
        <w:adjustRightInd w:val="0"/>
        <w:jc w:val="both"/>
        <w:rPr>
          <w:i/>
          <w:iCs/>
          <w:color w:val="000000" w:themeColor="text1"/>
          <w:sz w:val="16"/>
          <w:szCs w:val="16"/>
        </w:rPr>
      </w:pPr>
      <w:r w:rsidRPr="00925F26">
        <w:rPr>
          <w:i/>
          <w:iCs/>
          <w:color w:val="000000" w:themeColor="text1"/>
          <w:sz w:val="16"/>
          <w:szCs w:val="16"/>
        </w:rPr>
        <w:t>Армия:</w:t>
      </w:r>
    </w:p>
    <w:p w14:paraId="3CDC938F" w14:textId="77777777" w:rsidR="003203B4" w:rsidRPr="00925F26" w:rsidRDefault="003203B4" w:rsidP="00925F26">
      <w:pPr>
        <w:autoSpaceDE w:val="0"/>
        <w:autoSpaceDN w:val="0"/>
        <w:adjustRightInd w:val="0"/>
        <w:jc w:val="both"/>
        <w:rPr>
          <w:i/>
          <w:iCs/>
          <w:color w:val="000000" w:themeColor="text1"/>
          <w:sz w:val="16"/>
          <w:szCs w:val="16"/>
        </w:rPr>
      </w:pPr>
    </w:p>
    <w:p w14:paraId="7515A3EC" w14:textId="77777777" w:rsidR="003203B4" w:rsidRPr="00925F26" w:rsidRDefault="003203B4" w:rsidP="00925F26">
      <w:pPr>
        <w:jc w:val="both"/>
        <w:rPr>
          <w:color w:val="000000" w:themeColor="text1"/>
          <w:sz w:val="16"/>
          <w:szCs w:val="16"/>
        </w:rPr>
      </w:pPr>
      <w:r w:rsidRPr="00925F26">
        <w:rPr>
          <w:color w:val="000000" w:themeColor="text1"/>
          <w:sz w:val="16"/>
          <w:szCs w:val="16"/>
        </w:rPr>
        <w:t>В начале июня 1945 «Либерейторы» нача</w:t>
      </w:r>
      <w:r w:rsidRPr="00925F26">
        <w:rPr>
          <w:color w:val="000000" w:themeColor="text1"/>
          <w:sz w:val="16"/>
          <w:szCs w:val="16"/>
        </w:rPr>
        <w:softHyphen/>
        <w:t>ли концентрировать в 203-м гвардейском полку. На 1 июля там значились 17 Пе-8, два В-25 и 19 В-24.</w:t>
      </w:r>
    </w:p>
    <w:p w14:paraId="5A3E7FCE" w14:textId="77777777" w:rsidR="003203B4" w:rsidRPr="00925F26" w:rsidRDefault="003203B4" w:rsidP="00925F26">
      <w:pPr>
        <w:jc w:val="both"/>
        <w:rPr>
          <w:color w:val="000000" w:themeColor="text1"/>
          <w:sz w:val="16"/>
          <w:szCs w:val="16"/>
        </w:rPr>
      </w:pPr>
      <w:r w:rsidRPr="00925F26">
        <w:rPr>
          <w:color w:val="000000" w:themeColor="text1"/>
          <w:sz w:val="16"/>
          <w:szCs w:val="16"/>
        </w:rPr>
        <w:t>Надо сказать, что отношение летчи</w:t>
      </w:r>
      <w:r w:rsidRPr="00925F26">
        <w:rPr>
          <w:color w:val="000000" w:themeColor="text1"/>
          <w:sz w:val="16"/>
          <w:szCs w:val="16"/>
        </w:rPr>
        <w:softHyphen/>
        <w:t>ков к «Либерейтору» было куда хуже, чем к «Летающей крепости». К нему прочно приклеилась кличка «Утюг», данная за инертность в управлении. Он медленнее, чем B-17G, разгонялся, зато быстрее терял скорость при уборке газа. Взлет на В-24 имел две неприятные особенности: пе</w:t>
      </w:r>
      <w:r w:rsidRPr="00925F26">
        <w:rPr>
          <w:color w:val="000000" w:themeColor="text1"/>
          <w:sz w:val="16"/>
          <w:szCs w:val="16"/>
        </w:rPr>
        <w:softHyphen/>
        <w:t>ред отрывом переднего колеса от полосы возникала тряска, а при уборке основных стоек резко изменялось обтекание крыла. Непривычным после Пе-8 являлось трех</w:t>
      </w:r>
      <w:r w:rsidRPr="00925F26">
        <w:rPr>
          <w:color w:val="000000" w:themeColor="text1"/>
          <w:sz w:val="16"/>
          <w:szCs w:val="16"/>
        </w:rPr>
        <w:softHyphen/>
        <w:t>колесное шасси.</w:t>
      </w:r>
    </w:p>
    <w:p w14:paraId="2AB9F168" w14:textId="77777777" w:rsidR="003203B4" w:rsidRPr="00925F26" w:rsidRDefault="003203B4" w:rsidP="00925F26">
      <w:pPr>
        <w:jc w:val="both"/>
        <w:rPr>
          <w:color w:val="000000" w:themeColor="text1"/>
          <w:sz w:val="16"/>
          <w:szCs w:val="16"/>
        </w:rPr>
      </w:pPr>
      <w:r w:rsidRPr="00925F26">
        <w:rPr>
          <w:color w:val="000000" w:themeColor="text1"/>
          <w:sz w:val="16"/>
          <w:szCs w:val="16"/>
        </w:rPr>
        <w:t>Укомплектовка 203-го полка заверши</w:t>
      </w:r>
      <w:r w:rsidRPr="00925F26">
        <w:rPr>
          <w:color w:val="000000" w:themeColor="text1"/>
          <w:sz w:val="16"/>
          <w:szCs w:val="16"/>
        </w:rPr>
        <w:softHyphen/>
        <w:t>лась к началу октября, когда в строю имел</w:t>
      </w:r>
      <w:r w:rsidRPr="00925F26">
        <w:rPr>
          <w:color w:val="000000" w:themeColor="text1"/>
          <w:sz w:val="16"/>
          <w:szCs w:val="16"/>
        </w:rPr>
        <w:softHyphen/>
        <w:t>ся 21 исправный В-24. Среди них были ма</w:t>
      </w:r>
      <w:r w:rsidRPr="00925F26">
        <w:rPr>
          <w:color w:val="000000" w:themeColor="text1"/>
          <w:sz w:val="16"/>
          <w:szCs w:val="16"/>
        </w:rPr>
        <w:softHyphen/>
        <w:t>шины модификаций D, Н, J, L и М. Почти сразу же с самолетов смыли или закраси</w:t>
      </w:r>
      <w:r w:rsidRPr="00925F26">
        <w:rPr>
          <w:color w:val="000000" w:themeColor="text1"/>
          <w:sz w:val="16"/>
          <w:szCs w:val="16"/>
        </w:rPr>
        <w:softHyphen/>
        <w:t>ли эмблемы бывших владельцев. На бом</w:t>
      </w:r>
      <w:r w:rsidRPr="00925F26">
        <w:rPr>
          <w:color w:val="000000" w:themeColor="text1"/>
          <w:sz w:val="16"/>
          <w:szCs w:val="16"/>
        </w:rPr>
        <w:softHyphen/>
        <w:t>бардировщики нанесли привычные для советской авиации тактические номера в носовой части. Цвет номера зависел от эскадрильи — светло-голубой, белый или бежевый. На килевых шайбах появились «кепочки» — верхушки стали красить красной, зеленой или голубой краской, опять-таки по эскадрильям.</w:t>
      </w:r>
    </w:p>
    <w:p w14:paraId="3A6EE804" w14:textId="77777777" w:rsidR="003203B4" w:rsidRPr="00925F26" w:rsidRDefault="003203B4" w:rsidP="00925F26">
      <w:pPr>
        <w:jc w:val="both"/>
        <w:rPr>
          <w:color w:val="000000" w:themeColor="text1"/>
          <w:sz w:val="16"/>
          <w:szCs w:val="16"/>
        </w:rPr>
      </w:pPr>
      <w:r w:rsidRPr="00925F26">
        <w:rPr>
          <w:color w:val="000000" w:themeColor="text1"/>
          <w:sz w:val="16"/>
          <w:szCs w:val="16"/>
        </w:rPr>
        <w:t>В декабре 1945 г. с американской маши</w:t>
      </w:r>
      <w:r w:rsidRPr="00925F26">
        <w:rPr>
          <w:color w:val="000000" w:themeColor="text1"/>
          <w:sz w:val="16"/>
          <w:szCs w:val="16"/>
        </w:rPr>
        <w:softHyphen/>
        <w:t>ной знакомили летчиков 52-го гв. тбап, но эта часть «Либерейторов» так и не получи</w:t>
      </w:r>
      <w:r w:rsidRPr="00925F26">
        <w:rPr>
          <w:color w:val="000000" w:themeColor="text1"/>
          <w:sz w:val="16"/>
          <w:szCs w:val="16"/>
        </w:rPr>
        <w:softHyphen/>
        <w:t>ла — наверное, решили, что их на два пол</w:t>
      </w:r>
      <w:r w:rsidRPr="00925F26">
        <w:rPr>
          <w:color w:val="000000" w:themeColor="text1"/>
          <w:sz w:val="16"/>
          <w:szCs w:val="16"/>
        </w:rPr>
        <w:softHyphen/>
        <w:t>ка не хватит.</w:t>
      </w:r>
    </w:p>
    <w:p w14:paraId="4BC7B4FF" w14:textId="77777777" w:rsidR="003203B4" w:rsidRPr="00925F26" w:rsidRDefault="003203B4" w:rsidP="00925F26">
      <w:pPr>
        <w:jc w:val="both"/>
        <w:rPr>
          <w:color w:val="000000" w:themeColor="text1"/>
          <w:sz w:val="16"/>
          <w:szCs w:val="16"/>
        </w:rPr>
      </w:pPr>
      <w:r w:rsidRPr="00925F26">
        <w:rPr>
          <w:color w:val="000000" w:themeColor="text1"/>
          <w:sz w:val="16"/>
          <w:szCs w:val="16"/>
        </w:rPr>
        <w:t>В-24 успешно эксплуатировались 203-м полком несколько лет, восполняя нехват</w:t>
      </w:r>
      <w:r w:rsidRPr="00925F26">
        <w:rPr>
          <w:color w:val="000000" w:themeColor="text1"/>
          <w:sz w:val="16"/>
          <w:szCs w:val="16"/>
        </w:rPr>
        <w:softHyphen/>
        <w:t>ку отечественных тяжелых бомбардиров</w:t>
      </w:r>
      <w:r w:rsidRPr="00925F26">
        <w:rPr>
          <w:color w:val="000000" w:themeColor="text1"/>
          <w:sz w:val="16"/>
          <w:szCs w:val="16"/>
        </w:rPr>
        <w:softHyphen/>
        <w:t>щиков. Из-за отсутствия запчастей коли</w:t>
      </w:r>
      <w:r w:rsidRPr="00925F26">
        <w:rPr>
          <w:color w:val="000000" w:themeColor="text1"/>
          <w:sz w:val="16"/>
          <w:szCs w:val="16"/>
        </w:rPr>
        <w:softHyphen/>
        <w:t>чество машин постоянно уменьшалось. Особенно донимала нехватка покрышек для носовых колес. На некоторых самоле</w:t>
      </w:r>
      <w:r w:rsidRPr="00925F26">
        <w:rPr>
          <w:color w:val="000000" w:themeColor="text1"/>
          <w:sz w:val="16"/>
          <w:szCs w:val="16"/>
        </w:rPr>
        <w:softHyphen/>
        <w:t>тах на носовую стойку просто устанавли</w:t>
      </w:r>
      <w:r w:rsidRPr="00925F26">
        <w:rPr>
          <w:color w:val="000000" w:themeColor="text1"/>
          <w:sz w:val="16"/>
          <w:szCs w:val="16"/>
        </w:rPr>
        <w:softHyphen/>
        <w:t>вали основное колесо шасси Ил-4.</w:t>
      </w:r>
    </w:p>
    <w:p w14:paraId="477788C8" w14:textId="77777777" w:rsidR="003203B4" w:rsidRPr="00925F26" w:rsidRDefault="003203B4" w:rsidP="00925F26">
      <w:pPr>
        <w:jc w:val="both"/>
        <w:rPr>
          <w:color w:val="000000" w:themeColor="text1"/>
          <w:sz w:val="16"/>
          <w:szCs w:val="16"/>
        </w:rPr>
      </w:pPr>
      <w:r w:rsidRPr="00925F26">
        <w:rPr>
          <w:color w:val="000000" w:themeColor="text1"/>
          <w:sz w:val="16"/>
          <w:szCs w:val="16"/>
        </w:rPr>
        <w:t>В-24 превосходили Пе-8 по потолку и скорости, отличались хорошей путевой устойчивостью, а по управлению были даже легче, чем наши машины. Экипажи чувствовали себя комфортно, пользо</w:t>
      </w:r>
      <w:r w:rsidRPr="00925F26">
        <w:rPr>
          <w:color w:val="000000" w:themeColor="text1"/>
          <w:sz w:val="16"/>
          <w:szCs w:val="16"/>
        </w:rPr>
        <w:softHyphen/>
        <w:t>вались современным навигационным и радиооборудованием. Эксплуатация «Либерейторов» стала хорошей школой перед переходом на Ту-4, до мелочей копи</w:t>
      </w:r>
      <w:r w:rsidRPr="00925F26">
        <w:rPr>
          <w:color w:val="000000" w:themeColor="text1"/>
          <w:sz w:val="16"/>
          <w:szCs w:val="16"/>
        </w:rPr>
        <w:softHyphen/>
        <w:t>ровавший американский В-29.</w:t>
      </w:r>
    </w:p>
    <w:p w14:paraId="4FC73AF2" w14:textId="77777777" w:rsidR="003203B4" w:rsidRPr="00925F26" w:rsidRDefault="003203B4" w:rsidP="00925F26">
      <w:pPr>
        <w:jc w:val="both"/>
        <w:rPr>
          <w:color w:val="000000" w:themeColor="text1"/>
          <w:sz w:val="16"/>
          <w:szCs w:val="16"/>
        </w:rPr>
      </w:pPr>
      <w:r w:rsidRPr="00925F26">
        <w:rPr>
          <w:color w:val="000000" w:themeColor="text1"/>
          <w:sz w:val="16"/>
          <w:szCs w:val="16"/>
        </w:rPr>
        <w:t>Когда началось освоение Ту-4, В-24 ис</w:t>
      </w:r>
      <w:r w:rsidRPr="00925F26">
        <w:rPr>
          <w:color w:val="000000" w:themeColor="text1"/>
          <w:sz w:val="16"/>
          <w:szCs w:val="16"/>
        </w:rPr>
        <w:softHyphen/>
        <w:t>пользовали для обучения взлету и посадке с трехколесным шасси. Для этого из 203- полка по несколько машин раздали в раз</w:t>
      </w:r>
      <w:r w:rsidRPr="00925F26">
        <w:rPr>
          <w:color w:val="000000" w:themeColor="text1"/>
          <w:sz w:val="16"/>
          <w:szCs w:val="16"/>
        </w:rPr>
        <w:softHyphen/>
        <w:t>личные части Дальней авиации. Так, уже упоминавшийся 890-й полк получил три самолета, которые применялись как учеб</w:t>
      </w:r>
      <w:r w:rsidRPr="00925F26">
        <w:rPr>
          <w:color w:val="000000" w:themeColor="text1"/>
          <w:sz w:val="16"/>
          <w:szCs w:val="16"/>
        </w:rPr>
        <w:softHyphen/>
        <w:t>ные до 1949 г.</w:t>
      </w:r>
    </w:p>
    <w:p w14:paraId="292D2B09" w14:textId="77777777" w:rsidR="003203B4" w:rsidRPr="00925F26" w:rsidRDefault="003203B4" w:rsidP="00925F26">
      <w:pPr>
        <w:jc w:val="both"/>
        <w:rPr>
          <w:color w:val="000000" w:themeColor="text1"/>
          <w:sz w:val="16"/>
          <w:szCs w:val="16"/>
        </w:rPr>
      </w:pPr>
      <w:r w:rsidRPr="00925F26">
        <w:rPr>
          <w:color w:val="000000" w:themeColor="text1"/>
          <w:sz w:val="16"/>
          <w:szCs w:val="16"/>
        </w:rPr>
        <w:t>Три машины попали в Полтаву. Стоявшая там дивизия тоже готовилась к переходу на Ту-4. Один из самолетов разбился в 1949 г. из-за ошибки борттех</w:t>
      </w:r>
      <w:r w:rsidRPr="00925F26">
        <w:rPr>
          <w:color w:val="000000" w:themeColor="text1"/>
          <w:sz w:val="16"/>
          <w:szCs w:val="16"/>
        </w:rPr>
        <w:softHyphen/>
        <w:t>ника на взлете, второй в 1950 г. вспыхнул в воздухе и после вынужденной посадки догорел уже на земле. Третий эксплуати</w:t>
      </w:r>
      <w:r w:rsidRPr="00925F26">
        <w:rPr>
          <w:color w:val="000000" w:themeColor="text1"/>
          <w:sz w:val="16"/>
          <w:szCs w:val="16"/>
        </w:rPr>
        <w:softHyphen/>
        <w:t>ровался до 1951 г., когда начали сдавать двигатели. В 1952 г. его разрезали в метал</w:t>
      </w:r>
      <w:r w:rsidRPr="00925F26">
        <w:rPr>
          <w:color w:val="000000" w:themeColor="text1"/>
          <w:sz w:val="16"/>
          <w:szCs w:val="16"/>
        </w:rPr>
        <w:softHyphen/>
        <w:t>лолом. В списках авиатехники наркомата (затем министерства) авиапромышленно</w:t>
      </w:r>
      <w:r w:rsidRPr="00925F26">
        <w:rPr>
          <w:color w:val="000000" w:themeColor="text1"/>
          <w:sz w:val="16"/>
          <w:szCs w:val="16"/>
        </w:rPr>
        <w:softHyphen/>
        <w:t>сти «Либерейторы» не значатся. Еще в ян</w:t>
      </w:r>
      <w:r w:rsidRPr="00925F26">
        <w:rPr>
          <w:color w:val="000000" w:themeColor="text1"/>
          <w:sz w:val="16"/>
          <w:szCs w:val="16"/>
        </w:rPr>
        <w:softHyphen/>
        <w:t>варе 1945 г. НКАП просил ВВС передать из 18-й воздушной армии один B-24D для пе</w:t>
      </w:r>
      <w:r w:rsidRPr="00925F26">
        <w:rPr>
          <w:color w:val="000000" w:themeColor="text1"/>
          <w:sz w:val="16"/>
          <w:szCs w:val="16"/>
        </w:rPr>
        <w:softHyphen/>
        <w:t>ределки в высотную лабораторию ЦИАМ, но получил категорический отказ. Затем в феврале начальник ГУ ГВФ Ф.А. Астахов все-таки достиг договоренности с марша</w:t>
      </w:r>
      <w:r w:rsidRPr="00925F26">
        <w:rPr>
          <w:color w:val="000000" w:themeColor="text1"/>
          <w:sz w:val="16"/>
          <w:szCs w:val="16"/>
        </w:rPr>
        <w:softHyphen/>
        <w:t>лом А.И. Головановым о выделении ка</w:t>
      </w:r>
      <w:r w:rsidRPr="00925F26">
        <w:rPr>
          <w:color w:val="000000" w:themeColor="text1"/>
          <w:sz w:val="16"/>
          <w:szCs w:val="16"/>
        </w:rPr>
        <w:softHyphen/>
        <w:t>ждой стороной одного B-24D, из которых намеревались собрать один исправный. Но, видимо, эта договоренность не была реализована.</w:t>
      </w:r>
    </w:p>
    <w:p w14:paraId="44D8B8EF" w14:textId="77777777" w:rsidR="003203B4" w:rsidRPr="00925F26" w:rsidRDefault="003203B4" w:rsidP="00925F26">
      <w:pPr>
        <w:jc w:val="both"/>
        <w:rPr>
          <w:color w:val="000000" w:themeColor="text1"/>
          <w:sz w:val="16"/>
          <w:szCs w:val="16"/>
        </w:rPr>
      </w:pPr>
      <w:r w:rsidRPr="00925F26">
        <w:rPr>
          <w:color w:val="000000" w:themeColor="text1"/>
          <w:sz w:val="16"/>
          <w:szCs w:val="16"/>
        </w:rPr>
        <w:t>Данные бомбардировщика Консолидейтед В-24 «Либерейтор»</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966"/>
        <w:gridCol w:w="1805"/>
        <w:gridCol w:w="1800"/>
        <w:gridCol w:w="1786"/>
      </w:tblGrid>
      <w:tr w:rsidR="003203B4" w:rsidRPr="00925F26" w14:paraId="3933385D" w14:textId="77777777" w:rsidTr="004C5D62">
        <w:trPr>
          <w:trHeight w:val="317"/>
        </w:trPr>
        <w:tc>
          <w:tcPr>
            <w:tcW w:w="2966" w:type="dxa"/>
            <w:tcBorders>
              <w:top w:val="single" w:sz="4" w:space="0" w:color="auto"/>
              <w:left w:val="single" w:sz="4" w:space="0" w:color="auto"/>
            </w:tcBorders>
          </w:tcPr>
          <w:p w14:paraId="493B794C" w14:textId="77777777" w:rsidR="003203B4" w:rsidRPr="00925F26" w:rsidRDefault="003203B4" w:rsidP="00925F26">
            <w:pPr>
              <w:jc w:val="both"/>
              <w:rPr>
                <w:color w:val="000000" w:themeColor="text1"/>
                <w:sz w:val="16"/>
                <w:szCs w:val="16"/>
              </w:rPr>
            </w:pPr>
          </w:p>
        </w:tc>
        <w:tc>
          <w:tcPr>
            <w:tcW w:w="1805" w:type="dxa"/>
            <w:tcBorders>
              <w:top w:val="single" w:sz="4" w:space="0" w:color="auto"/>
              <w:left w:val="single" w:sz="4" w:space="0" w:color="auto"/>
            </w:tcBorders>
            <w:vAlign w:val="bottom"/>
          </w:tcPr>
          <w:p w14:paraId="09A93599" w14:textId="77777777" w:rsidR="003203B4" w:rsidRPr="00925F26" w:rsidRDefault="003203B4" w:rsidP="00925F26">
            <w:pPr>
              <w:jc w:val="both"/>
              <w:rPr>
                <w:color w:val="000000" w:themeColor="text1"/>
                <w:sz w:val="16"/>
                <w:szCs w:val="16"/>
              </w:rPr>
            </w:pPr>
            <w:r w:rsidRPr="00925F26">
              <w:rPr>
                <w:color w:val="000000" w:themeColor="text1"/>
                <w:sz w:val="16"/>
                <w:szCs w:val="16"/>
              </w:rPr>
              <w:t>B-24D</w:t>
            </w:r>
          </w:p>
        </w:tc>
        <w:tc>
          <w:tcPr>
            <w:tcW w:w="1800" w:type="dxa"/>
            <w:tcBorders>
              <w:top w:val="single" w:sz="4" w:space="0" w:color="auto"/>
              <w:left w:val="single" w:sz="4" w:space="0" w:color="auto"/>
            </w:tcBorders>
            <w:vAlign w:val="bottom"/>
          </w:tcPr>
          <w:p w14:paraId="3B79F205" w14:textId="77777777" w:rsidR="003203B4" w:rsidRPr="00925F26" w:rsidRDefault="003203B4" w:rsidP="00925F26">
            <w:pPr>
              <w:jc w:val="both"/>
              <w:rPr>
                <w:color w:val="000000" w:themeColor="text1"/>
                <w:sz w:val="16"/>
                <w:szCs w:val="16"/>
              </w:rPr>
            </w:pPr>
            <w:r w:rsidRPr="00925F26">
              <w:rPr>
                <w:color w:val="000000" w:themeColor="text1"/>
                <w:sz w:val="16"/>
                <w:szCs w:val="16"/>
              </w:rPr>
              <w:t>B-24G</w:t>
            </w:r>
          </w:p>
        </w:tc>
        <w:tc>
          <w:tcPr>
            <w:tcW w:w="1786" w:type="dxa"/>
            <w:tcBorders>
              <w:top w:val="single" w:sz="4" w:space="0" w:color="auto"/>
              <w:left w:val="single" w:sz="4" w:space="0" w:color="auto"/>
              <w:right w:val="single" w:sz="4" w:space="0" w:color="auto"/>
            </w:tcBorders>
            <w:vAlign w:val="bottom"/>
          </w:tcPr>
          <w:p w14:paraId="50466F93" w14:textId="77777777" w:rsidR="003203B4" w:rsidRPr="00925F26" w:rsidRDefault="003203B4" w:rsidP="00925F26">
            <w:pPr>
              <w:jc w:val="both"/>
              <w:rPr>
                <w:color w:val="000000" w:themeColor="text1"/>
                <w:sz w:val="16"/>
                <w:szCs w:val="16"/>
              </w:rPr>
            </w:pPr>
            <w:r w:rsidRPr="00925F26">
              <w:rPr>
                <w:color w:val="000000" w:themeColor="text1"/>
                <w:sz w:val="16"/>
                <w:szCs w:val="16"/>
              </w:rPr>
              <w:t>В-24Н</w:t>
            </w:r>
          </w:p>
        </w:tc>
      </w:tr>
      <w:tr w:rsidR="003203B4" w:rsidRPr="00925F26" w14:paraId="3A401A21" w14:textId="77777777" w:rsidTr="004C5D62">
        <w:trPr>
          <w:trHeight w:val="302"/>
        </w:trPr>
        <w:tc>
          <w:tcPr>
            <w:tcW w:w="2966" w:type="dxa"/>
            <w:tcBorders>
              <w:top w:val="single" w:sz="4" w:space="0" w:color="auto"/>
              <w:left w:val="single" w:sz="4" w:space="0" w:color="auto"/>
            </w:tcBorders>
            <w:vAlign w:val="bottom"/>
          </w:tcPr>
          <w:p w14:paraId="7D061914" w14:textId="77777777" w:rsidR="003203B4" w:rsidRPr="00925F26" w:rsidRDefault="003203B4" w:rsidP="00925F26">
            <w:pPr>
              <w:jc w:val="both"/>
              <w:rPr>
                <w:color w:val="000000" w:themeColor="text1"/>
                <w:sz w:val="16"/>
                <w:szCs w:val="16"/>
              </w:rPr>
            </w:pPr>
            <w:r w:rsidRPr="00925F26">
              <w:rPr>
                <w:color w:val="000000" w:themeColor="text1"/>
                <w:sz w:val="16"/>
                <w:szCs w:val="16"/>
              </w:rPr>
              <w:t>Длина, м</w:t>
            </w:r>
          </w:p>
        </w:tc>
        <w:tc>
          <w:tcPr>
            <w:tcW w:w="1805" w:type="dxa"/>
            <w:tcBorders>
              <w:top w:val="single" w:sz="4" w:space="0" w:color="auto"/>
              <w:left w:val="single" w:sz="4" w:space="0" w:color="auto"/>
            </w:tcBorders>
            <w:vAlign w:val="bottom"/>
          </w:tcPr>
          <w:p w14:paraId="6DFD178A" w14:textId="77777777" w:rsidR="003203B4" w:rsidRPr="00925F26" w:rsidRDefault="003203B4" w:rsidP="00925F26">
            <w:pPr>
              <w:jc w:val="both"/>
              <w:rPr>
                <w:color w:val="000000" w:themeColor="text1"/>
                <w:sz w:val="16"/>
                <w:szCs w:val="16"/>
              </w:rPr>
            </w:pPr>
            <w:r w:rsidRPr="00925F26">
              <w:rPr>
                <w:color w:val="000000" w:themeColor="text1"/>
                <w:sz w:val="16"/>
                <w:szCs w:val="16"/>
              </w:rPr>
              <w:t>20,18</w:t>
            </w:r>
          </w:p>
        </w:tc>
        <w:tc>
          <w:tcPr>
            <w:tcW w:w="1800" w:type="dxa"/>
            <w:tcBorders>
              <w:top w:val="single" w:sz="4" w:space="0" w:color="auto"/>
              <w:left w:val="single" w:sz="4" w:space="0" w:color="auto"/>
            </w:tcBorders>
            <w:vAlign w:val="bottom"/>
          </w:tcPr>
          <w:p w14:paraId="217CEBF7" w14:textId="77777777" w:rsidR="003203B4" w:rsidRPr="00925F26" w:rsidRDefault="003203B4" w:rsidP="00925F26">
            <w:pPr>
              <w:jc w:val="both"/>
              <w:rPr>
                <w:color w:val="000000" w:themeColor="text1"/>
                <w:sz w:val="16"/>
                <w:szCs w:val="16"/>
              </w:rPr>
            </w:pPr>
            <w:r w:rsidRPr="00925F26">
              <w:rPr>
                <w:color w:val="000000" w:themeColor="text1"/>
                <w:sz w:val="16"/>
                <w:szCs w:val="16"/>
              </w:rPr>
              <w:t>20,5</w:t>
            </w:r>
          </w:p>
        </w:tc>
        <w:tc>
          <w:tcPr>
            <w:tcW w:w="1786" w:type="dxa"/>
            <w:tcBorders>
              <w:top w:val="single" w:sz="4" w:space="0" w:color="auto"/>
              <w:left w:val="single" w:sz="4" w:space="0" w:color="auto"/>
              <w:right w:val="single" w:sz="4" w:space="0" w:color="auto"/>
            </w:tcBorders>
            <w:vAlign w:val="bottom"/>
          </w:tcPr>
          <w:p w14:paraId="50752CAF" w14:textId="77777777" w:rsidR="003203B4" w:rsidRPr="00925F26" w:rsidRDefault="003203B4" w:rsidP="00925F26">
            <w:pPr>
              <w:jc w:val="both"/>
              <w:rPr>
                <w:color w:val="000000" w:themeColor="text1"/>
                <w:sz w:val="16"/>
                <w:szCs w:val="16"/>
              </w:rPr>
            </w:pPr>
            <w:r w:rsidRPr="00925F26">
              <w:rPr>
                <w:color w:val="000000" w:themeColor="text1"/>
                <w:sz w:val="16"/>
                <w:szCs w:val="16"/>
              </w:rPr>
              <w:t>20,5</w:t>
            </w:r>
          </w:p>
        </w:tc>
      </w:tr>
      <w:tr w:rsidR="003203B4" w:rsidRPr="00925F26" w14:paraId="2B2771C3" w14:textId="77777777" w:rsidTr="004C5D62">
        <w:trPr>
          <w:trHeight w:val="302"/>
        </w:trPr>
        <w:tc>
          <w:tcPr>
            <w:tcW w:w="2966" w:type="dxa"/>
            <w:tcBorders>
              <w:top w:val="single" w:sz="4" w:space="0" w:color="auto"/>
              <w:left w:val="single" w:sz="4" w:space="0" w:color="auto"/>
            </w:tcBorders>
            <w:vAlign w:val="bottom"/>
          </w:tcPr>
          <w:p w14:paraId="483734B0" w14:textId="77777777" w:rsidR="003203B4" w:rsidRPr="00925F26" w:rsidRDefault="003203B4" w:rsidP="00925F26">
            <w:pPr>
              <w:jc w:val="both"/>
              <w:rPr>
                <w:color w:val="000000" w:themeColor="text1"/>
                <w:sz w:val="16"/>
                <w:szCs w:val="16"/>
              </w:rPr>
            </w:pPr>
            <w:r w:rsidRPr="00925F26">
              <w:rPr>
                <w:color w:val="000000" w:themeColor="text1"/>
                <w:sz w:val="16"/>
                <w:szCs w:val="16"/>
              </w:rPr>
              <w:t>Размах, м</w:t>
            </w:r>
          </w:p>
        </w:tc>
        <w:tc>
          <w:tcPr>
            <w:tcW w:w="1805" w:type="dxa"/>
            <w:tcBorders>
              <w:top w:val="single" w:sz="4" w:space="0" w:color="auto"/>
              <w:left w:val="single" w:sz="4" w:space="0" w:color="auto"/>
            </w:tcBorders>
            <w:vAlign w:val="bottom"/>
          </w:tcPr>
          <w:p w14:paraId="08ED0F78" w14:textId="77777777" w:rsidR="003203B4" w:rsidRPr="00925F26" w:rsidRDefault="003203B4" w:rsidP="00925F26">
            <w:pPr>
              <w:jc w:val="both"/>
              <w:rPr>
                <w:color w:val="000000" w:themeColor="text1"/>
                <w:sz w:val="16"/>
                <w:szCs w:val="16"/>
              </w:rPr>
            </w:pPr>
            <w:r w:rsidRPr="00925F26">
              <w:rPr>
                <w:color w:val="000000" w:themeColor="text1"/>
                <w:sz w:val="16"/>
                <w:szCs w:val="16"/>
              </w:rPr>
              <w:t>31,5</w:t>
            </w:r>
          </w:p>
        </w:tc>
        <w:tc>
          <w:tcPr>
            <w:tcW w:w="1800" w:type="dxa"/>
            <w:tcBorders>
              <w:top w:val="single" w:sz="4" w:space="0" w:color="auto"/>
              <w:left w:val="single" w:sz="4" w:space="0" w:color="auto"/>
            </w:tcBorders>
            <w:vAlign w:val="bottom"/>
          </w:tcPr>
          <w:p w14:paraId="097725AB" w14:textId="77777777" w:rsidR="003203B4" w:rsidRPr="00925F26" w:rsidRDefault="003203B4" w:rsidP="00925F26">
            <w:pPr>
              <w:jc w:val="both"/>
              <w:rPr>
                <w:color w:val="000000" w:themeColor="text1"/>
                <w:sz w:val="16"/>
                <w:szCs w:val="16"/>
              </w:rPr>
            </w:pPr>
            <w:r w:rsidRPr="00925F26">
              <w:rPr>
                <w:color w:val="000000" w:themeColor="text1"/>
                <w:sz w:val="16"/>
                <w:szCs w:val="16"/>
              </w:rPr>
              <w:t>31,5</w:t>
            </w:r>
          </w:p>
        </w:tc>
        <w:tc>
          <w:tcPr>
            <w:tcW w:w="1786" w:type="dxa"/>
            <w:tcBorders>
              <w:top w:val="single" w:sz="4" w:space="0" w:color="auto"/>
              <w:left w:val="single" w:sz="4" w:space="0" w:color="auto"/>
              <w:right w:val="single" w:sz="4" w:space="0" w:color="auto"/>
            </w:tcBorders>
            <w:vAlign w:val="bottom"/>
          </w:tcPr>
          <w:p w14:paraId="3AECD801" w14:textId="77777777" w:rsidR="003203B4" w:rsidRPr="00925F26" w:rsidRDefault="003203B4" w:rsidP="00925F26">
            <w:pPr>
              <w:jc w:val="both"/>
              <w:rPr>
                <w:color w:val="000000" w:themeColor="text1"/>
                <w:sz w:val="16"/>
                <w:szCs w:val="16"/>
              </w:rPr>
            </w:pPr>
            <w:r w:rsidRPr="00925F26">
              <w:rPr>
                <w:color w:val="000000" w:themeColor="text1"/>
                <w:sz w:val="16"/>
                <w:szCs w:val="16"/>
              </w:rPr>
              <w:t>31,5</w:t>
            </w:r>
          </w:p>
        </w:tc>
      </w:tr>
      <w:tr w:rsidR="003203B4" w:rsidRPr="00925F26" w14:paraId="622A0A31" w14:textId="77777777" w:rsidTr="004C5D62">
        <w:trPr>
          <w:trHeight w:val="307"/>
        </w:trPr>
        <w:tc>
          <w:tcPr>
            <w:tcW w:w="2966" w:type="dxa"/>
            <w:tcBorders>
              <w:top w:val="single" w:sz="4" w:space="0" w:color="auto"/>
              <w:left w:val="single" w:sz="4" w:space="0" w:color="auto"/>
            </w:tcBorders>
            <w:vAlign w:val="bottom"/>
          </w:tcPr>
          <w:p w14:paraId="2343FFB0" w14:textId="77777777" w:rsidR="003203B4" w:rsidRPr="00925F26" w:rsidRDefault="003203B4" w:rsidP="00925F26">
            <w:pPr>
              <w:jc w:val="both"/>
              <w:rPr>
                <w:color w:val="000000" w:themeColor="text1"/>
                <w:sz w:val="16"/>
                <w:szCs w:val="16"/>
              </w:rPr>
            </w:pPr>
            <w:r w:rsidRPr="00925F26">
              <w:rPr>
                <w:color w:val="000000" w:themeColor="text1"/>
                <w:sz w:val="16"/>
                <w:szCs w:val="16"/>
              </w:rPr>
              <w:t>Высота, м</w:t>
            </w:r>
          </w:p>
        </w:tc>
        <w:tc>
          <w:tcPr>
            <w:tcW w:w="1805" w:type="dxa"/>
            <w:tcBorders>
              <w:top w:val="single" w:sz="4" w:space="0" w:color="auto"/>
              <w:left w:val="single" w:sz="4" w:space="0" w:color="auto"/>
            </w:tcBorders>
            <w:vAlign w:val="bottom"/>
          </w:tcPr>
          <w:p w14:paraId="02B4BF1C" w14:textId="77777777" w:rsidR="003203B4" w:rsidRPr="00925F26" w:rsidRDefault="003203B4" w:rsidP="00925F26">
            <w:pPr>
              <w:jc w:val="both"/>
              <w:rPr>
                <w:color w:val="000000" w:themeColor="text1"/>
                <w:sz w:val="16"/>
                <w:szCs w:val="16"/>
              </w:rPr>
            </w:pPr>
            <w:r w:rsidRPr="00925F26">
              <w:rPr>
                <w:color w:val="000000" w:themeColor="text1"/>
                <w:sz w:val="16"/>
                <w:szCs w:val="16"/>
              </w:rPr>
              <w:t>4,83</w:t>
            </w:r>
          </w:p>
        </w:tc>
        <w:tc>
          <w:tcPr>
            <w:tcW w:w="1800" w:type="dxa"/>
            <w:tcBorders>
              <w:top w:val="single" w:sz="4" w:space="0" w:color="auto"/>
              <w:left w:val="single" w:sz="4" w:space="0" w:color="auto"/>
            </w:tcBorders>
            <w:vAlign w:val="bottom"/>
          </w:tcPr>
          <w:p w14:paraId="6B14432D" w14:textId="77777777" w:rsidR="003203B4" w:rsidRPr="00925F26" w:rsidRDefault="003203B4" w:rsidP="00925F26">
            <w:pPr>
              <w:jc w:val="both"/>
              <w:rPr>
                <w:color w:val="000000" w:themeColor="text1"/>
                <w:sz w:val="16"/>
                <w:szCs w:val="16"/>
              </w:rPr>
            </w:pPr>
            <w:r w:rsidRPr="00925F26">
              <w:rPr>
                <w:color w:val="000000" w:themeColor="text1"/>
                <w:sz w:val="16"/>
                <w:szCs w:val="16"/>
              </w:rPr>
              <w:t>4,83</w:t>
            </w:r>
          </w:p>
        </w:tc>
        <w:tc>
          <w:tcPr>
            <w:tcW w:w="1786" w:type="dxa"/>
            <w:tcBorders>
              <w:top w:val="single" w:sz="4" w:space="0" w:color="auto"/>
              <w:left w:val="single" w:sz="4" w:space="0" w:color="auto"/>
              <w:right w:val="single" w:sz="4" w:space="0" w:color="auto"/>
            </w:tcBorders>
            <w:vAlign w:val="bottom"/>
          </w:tcPr>
          <w:p w14:paraId="0362036C" w14:textId="77777777" w:rsidR="003203B4" w:rsidRPr="00925F26" w:rsidRDefault="003203B4" w:rsidP="00925F26">
            <w:pPr>
              <w:jc w:val="both"/>
              <w:rPr>
                <w:color w:val="000000" w:themeColor="text1"/>
                <w:sz w:val="16"/>
                <w:szCs w:val="16"/>
              </w:rPr>
            </w:pPr>
            <w:r w:rsidRPr="00925F26">
              <w:rPr>
                <w:color w:val="000000" w:themeColor="text1"/>
                <w:sz w:val="16"/>
                <w:szCs w:val="16"/>
              </w:rPr>
              <w:t>4,83</w:t>
            </w:r>
          </w:p>
        </w:tc>
      </w:tr>
      <w:tr w:rsidR="003203B4" w:rsidRPr="00925F26" w14:paraId="07BF4392" w14:textId="77777777" w:rsidTr="004C5D62">
        <w:trPr>
          <w:trHeight w:val="1022"/>
        </w:trPr>
        <w:tc>
          <w:tcPr>
            <w:tcW w:w="2966" w:type="dxa"/>
            <w:tcBorders>
              <w:top w:val="single" w:sz="4" w:space="0" w:color="auto"/>
              <w:left w:val="single" w:sz="4" w:space="0" w:color="auto"/>
            </w:tcBorders>
            <w:vAlign w:val="bottom"/>
          </w:tcPr>
          <w:p w14:paraId="01D5F057" w14:textId="77777777" w:rsidR="003203B4" w:rsidRPr="00925F26" w:rsidRDefault="003203B4" w:rsidP="00925F26">
            <w:pPr>
              <w:jc w:val="both"/>
              <w:rPr>
                <w:color w:val="000000" w:themeColor="text1"/>
                <w:sz w:val="16"/>
                <w:szCs w:val="16"/>
              </w:rPr>
            </w:pPr>
            <w:r w:rsidRPr="00925F26">
              <w:rPr>
                <w:color w:val="000000" w:themeColor="text1"/>
                <w:sz w:val="16"/>
                <w:szCs w:val="16"/>
              </w:rPr>
              <w:t>Вес, кг</w:t>
            </w:r>
          </w:p>
          <w:p w14:paraId="0771FAB9" w14:textId="77777777" w:rsidR="003203B4" w:rsidRPr="00925F26" w:rsidRDefault="003203B4" w:rsidP="00925F26">
            <w:pPr>
              <w:jc w:val="both"/>
              <w:rPr>
                <w:color w:val="000000" w:themeColor="text1"/>
                <w:sz w:val="16"/>
                <w:szCs w:val="16"/>
              </w:rPr>
            </w:pPr>
            <w:r w:rsidRPr="00925F26">
              <w:rPr>
                <w:color w:val="000000" w:themeColor="text1"/>
                <w:sz w:val="16"/>
                <w:szCs w:val="16"/>
              </w:rPr>
              <w:t>пустого</w:t>
            </w:r>
          </w:p>
          <w:p w14:paraId="3AAC38C4" w14:textId="77777777" w:rsidR="003203B4" w:rsidRPr="00925F26" w:rsidRDefault="003203B4" w:rsidP="00925F26">
            <w:pPr>
              <w:jc w:val="both"/>
              <w:rPr>
                <w:color w:val="000000" w:themeColor="text1"/>
                <w:sz w:val="16"/>
                <w:szCs w:val="16"/>
              </w:rPr>
            </w:pPr>
            <w:r w:rsidRPr="00925F26">
              <w:rPr>
                <w:color w:val="000000" w:themeColor="text1"/>
                <w:sz w:val="16"/>
                <w:szCs w:val="16"/>
              </w:rPr>
              <w:t>взлетный нормальный</w:t>
            </w:r>
          </w:p>
          <w:p w14:paraId="7C0A9274" w14:textId="77777777" w:rsidR="003203B4" w:rsidRPr="00925F26" w:rsidRDefault="003203B4" w:rsidP="00925F26">
            <w:pPr>
              <w:jc w:val="both"/>
              <w:rPr>
                <w:color w:val="000000" w:themeColor="text1"/>
                <w:sz w:val="16"/>
                <w:szCs w:val="16"/>
              </w:rPr>
            </w:pPr>
            <w:r w:rsidRPr="00925F26">
              <w:rPr>
                <w:color w:val="000000" w:themeColor="text1"/>
                <w:sz w:val="16"/>
                <w:szCs w:val="16"/>
              </w:rPr>
              <w:t>взлетный максимальный</w:t>
            </w:r>
          </w:p>
        </w:tc>
        <w:tc>
          <w:tcPr>
            <w:tcW w:w="1805" w:type="dxa"/>
            <w:tcBorders>
              <w:top w:val="single" w:sz="4" w:space="0" w:color="auto"/>
              <w:left w:val="single" w:sz="4" w:space="0" w:color="auto"/>
            </w:tcBorders>
            <w:vAlign w:val="bottom"/>
          </w:tcPr>
          <w:p w14:paraId="3CA16633" w14:textId="77777777" w:rsidR="003203B4" w:rsidRPr="00925F26" w:rsidRDefault="003203B4" w:rsidP="00925F26">
            <w:pPr>
              <w:jc w:val="both"/>
              <w:rPr>
                <w:color w:val="000000" w:themeColor="text1"/>
                <w:sz w:val="16"/>
                <w:szCs w:val="16"/>
              </w:rPr>
            </w:pPr>
            <w:r w:rsidRPr="00925F26">
              <w:rPr>
                <w:color w:val="000000" w:themeColor="text1"/>
                <w:sz w:val="16"/>
                <w:szCs w:val="16"/>
              </w:rPr>
              <w:t>14 800</w:t>
            </w:r>
          </w:p>
          <w:p w14:paraId="16DA8853" w14:textId="77777777" w:rsidR="003203B4" w:rsidRPr="00925F26" w:rsidRDefault="003203B4" w:rsidP="00925F26">
            <w:pPr>
              <w:jc w:val="both"/>
              <w:rPr>
                <w:color w:val="000000" w:themeColor="text1"/>
                <w:sz w:val="16"/>
                <w:szCs w:val="16"/>
              </w:rPr>
            </w:pPr>
            <w:r w:rsidRPr="00925F26">
              <w:rPr>
                <w:color w:val="000000" w:themeColor="text1"/>
                <w:sz w:val="16"/>
                <w:szCs w:val="16"/>
              </w:rPr>
              <w:t>25 000</w:t>
            </w:r>
          </w:p>
          <w:p w14:paraId="58AC8ACD" w14:textId="77777777" w:rsidR="003203B4" w:rsidRPr="00925F26" w:rsidRDefault="003203B4" w:rsidP="00925F26">
            <w:pPr>
              <w:jc w:val="both"/>
              <w:rPr>
                <w:color w:val="000000" w:themeColor="text1"/>
                <w:sz w:val="16"/>
                <w:szCs w:val="16"/>
              </w:rPr>
            </w:pPr>
            <w:r w:rsidRPr="00925F26">
              <w:rPr>
                <w:color w:val="000000" w:themeColor="text1"/>
                <w:sz w:val="16"/>
                <w:szCs w:val="16"/>
              </w:rPr>
              <w:t>27 300</w:t>
            </w:r>
          </w:p>
        </w:tc>
        <w:tc>
          <w:tcPr>
            <w:tcW w:w="1800" w:type="dxa"/>
            <w:tcBorders>
              <w:top w:val="single" w:sz="4" w:space="0" w:color="auto"/>
              <w:left w:val="single" w:sz="4" w:space="0" w:color="auto"/>
            </w:tcBorders>
            <w:vAlign w:val="bottom"/>
          </w:tcPr>
          <w:p w14:paraId="6E55D295" w14:textId="77777777" w:rsidR="003203B4" w:rsidRPr="00925F26" w:rsidRDefault="003203B4" w:rsidP="00925F26">
            <w:pPr>
              <w:jc w:val="both"/>
              <w:rPr>
                <w:color w:val="000000" w:themeColor="text1"/>
                <w:sz w:val="16"/>
                <w:szCs w:val="16"/>
              </w:rPr>
            </w:pPr>
            <w:r w:rsidRPr="00925F26">
              <w:rPr>
                <w:color w:val="000000" w:themeColor="text1"/>
                <w:sz w:val="16"/>
                <w:szCs w:val="16"/>
              </w:rPr>
              <w:t>29 500</w:t>
            </w:r>
          </w:p>
          <w:p w14:paraId="6D7C7E7C" w14:textId="77777777" w:rsidR="003203B4" w:rsidRPr="00925F26" w:rsidRDefault="003203B4" w:rsidP="00925F26">
            <w:pPr>
              <w:jc w:val="both"/>
              <w:rPr>
                <w:color w:val="000000" w:themeColor="text1"/>
                <w:sz w:val="16"/>
                <w:szCs w:val="16"/>
              </w:rPr>
            </w:pPr>
            <w:r w:rsidRPr="00925F26">
              <w:rPr>
                <w:color w:val="000000" w:themeColor="text1"/>
                <w:sz w:val="16"/>
                <w:szCs w:val="16"/>
              </w:rPr>
              <w:t>32 300</w:t>
            </w:r>
          </w:p>
        </w:tc>
        <w:tc>
          <w:tcPr>
            <w:tcW w:w="1786" w:type="dxa"/>
            <w:tcBorders>
              <w:top w:val="single" w:sz="4" w:space="0" w:color="auto"/>
              <w:left w:val="single" w:sz="4" w:space="0" w:color="auto"/>
              <w:right w:val="single" w:sz="4" w:space="0" w:color="auto"/>
            </w:tcBorders>
            <w:vAlign w:val="bottom"/>
          </w:tcPr>
          <w:p w14:paraId="5C0D4BAA" w14:textId="77777777" w:rsidR="003203B4" w:rsidRPr="00925F26" w:rsidRDefault="003203B4" w:rsidP="00925F26">
            <w:pPr>
              <w:jc w:val="both"/>
              <w:rPr>
                <w:color w:val="000000" w:themeColor="text1"/>
                <w:sz w:val="16"/>
                <w:szCs w:val="16"/>
              </w:rPr>
            </w:pPr>
            <w:r w:rsidRPr="00925F26">
              <w:rPr>
                <w:color w:val="000000" w:themeColor="text1"/>
                <w:sz w:val="16"/>
                <w:szCs w:val="16"/>
              </w:rPr>
              <w:t>16 700</w:t>
            </w:r>
          </w:p>
          <w:p w14:paraId="051C92E7" w14:textId="77777777" w:rsidR="003203B4" w:rsidRPr="00925F26" w:rsidRDefault="003203B4" w:rsidP="00925F26">
            <w:pPr>
              <w:jc w:val="both"/>
              <w:rPr>
                <w:color w:val="000000" w:themeColor="text1"/>
                <w:sz w:val="16"/>
                <w:szCs w:val="16"/>
              </w:rPr>
            </w:pPr>
            <w:r w:rsidRPr="00925F26">
              <w:rPr>
                <w:color w:val="000000" w:themeColor="text1"/>
                <w:sz w:val="16"/>
                <w:szCs w:val="16"/>
              </w:rPr>
              <w:t>25 400</w:t>
            </w:r>
          </w:p>
          <w:p w14:paraId="343C48BD" w14:textId="77777777" w:rsidR="003203B4" w:rsidRPr="00925F26" w:rsidRDefault="003203B4" w:rsidP="00925F26">
            <w:pPr>
              <w:jc w:val="both"/>
              <w:rPr>
                <w:color w:val="000000" w:themeColor="text1"/>
                <w:sz w:val="16"/>
                <w:szCs w:val="16"/>
              </w:rPr>
            </w:pPr>
            <w:r w:rsidRPr="00925F26">
              <w:rPr>
                <w:color w:val="000000" w:themeColor="text1"/>
                <w:sz w:val="16"/>
                <w:szCs w:val="16"/>
              </w:rPr>
              <w:t>29 600</w:t>
            </w:r>
          </w:p>
        </w:tc>
      </w:tr>
      <w:tr w:rsidR="003203B4" w:rsidRPr="00925F26" w14:paraId="10441EA7" w14:textId="77777777" w:rsidTr="004C5D62">
        <w:trPr>
          <w:trHeight w:val="302"/>
        </w:trPr>
        <w:tc>
          <w:tcPr>
            <w:tcW w:w="2966" w:type="dxa"/>
            <w:tcBorders>
              <w:top w:val="single" w:sz="4" w:space="0" w:color="auto"/>
              <w:left w:val="single" w:sz="4" w:space="0" w:color="auto"/>
            </w:tcBorders>
            <w:vAlign w:val="bottom"/>
          </w:tcPr>
          <w:p w14:paraId="4F8FE166" w14:textId="77777777" w:rsidR="003203B4" w:rsidRPr="00925F26" w:rsidRDefault="003203B4" w:rsidP="00925F26">
            <w:pPr>
              <w:jc w:val="both"/>
              <w:rPr>
                <w:color w:val="000000" w:themeColor="text1"/>
                <w:sz w:val="16"/>
                <w:szCs w:val="16"/>
              </w:rPr>
            </w:pPr>
            <w:r w:rsidRPr="00925F26">
              <w:rPr>
                <w:color w:val="000000" w:themeColor="text1"/>
                <w:sz w:val="16"/>
                <w:szCs w:val="16"/>
              </w:rPr>
              <w:t>Скорость максимальная, км/ч</w:t>
            </w:r>
          </w:p>
        </w:tc>
        <w:tc>
          <w:tcPr>
            <w:tcW w:w="1805" w:type="dxa"/>
            <w:tcBorders>
              <w:top w:val="single" w:sz="4" w:space="0" w:color="auto"/>
              <w:left w:val="single" w:sz="4" w:space="0" w:color="auto"/>
            </w:tcBorders>
            <w:vAlign w:val="bottom"/>
          </w:tcPr>
          <w:p w14:paraId="5DC6EA15" w14:textId="77777777" w:rsidR="003203B4" w:rsidRPr="00925F26" w:rsidRDefault="003203B4" w:rsidP="00925F26">
            <w:pPr>
              <w:jc w:val="both"/>
              <w:rPr>
                <w:color w:val="000000" w:themeColor="text1"/>
                <w:sz w:val="16"/>
                <w:szCs w:val="16"/>
              </w:rPr>
            </w:pPr>
            <w:r w:rsidRPr="00925F26">
              <w:rPr>
                <w:color w:val="000000" w:themeColor="text1"/>
                <w:sz w:val="16"/>
                <w:szCs w:val="16"/>
              </w:rPr>
              <w:t>485</w:t>
            </w:r>
          </w:p>
        </w:tc>
        <w:tc>
          <w:tcPr>
            <w:tcW w:w="1800" w:type="dxa"/>
            <w:tcBorders>
              <w:top w:val="single" w:sz="4" w:space="0" w:color="auto"/>
              <w:left w:val="single" w:sz="4" w:space="0" w:color="auto"/>
            </w:tcBorders>
            <w:vAlign w:val="bottom"/>
          </w:tcPr>
          <w:p w14:paraId="330F1447" w14:textId="77777777" w:rsidR="003203B4" w:rsidRPr="00925F26" w:rsidRDefault="003203B4" w:rsidP="00925F26">
            <w:pPr>
              <w:jc w:val="both"/>
              <w:rPr>
                <w:color w:val="000000" w:themeColor="text1"/>
                <w:sz w:val="16"/>
                <w:szCs w:val="16"/>
              </w:rPr>
            </w:pPr>
            <w:r w:rsidRPr="00925F26">
              <w:rPr>
                <w:color w:val="000000" w:themeColor="text1"/>
                <w:sz w:val="16"/>
                <w:szCs w:val="16"/>
              </w:rPr>
              <w:t>463</w:t>
            </w:r>
          </w:p>
        </w:tc>
        <w:tc>
          <w:tcPr>
            <w:tcW w:w="1786" w:type="dxa"/>
            <w:tcBorders>
              <w:top w:val="single" w:sz="4" w:space="0" w:color="auto"/>
              <w:left w:val="single" w:sz="4" w:space="0" w:color="auto"/>
              <w:right w:val="single" w:sz="4" w:space="0" w:color="auto"/>
            </w:tcBorders>
            <w:vAlign w:val="bottom"/>
          </w:tcPr>
          <w:p w14:paraId="6489A9CE" w14:textId="77777777" w:rsidR="003203B4" w:rsidRPr="00925F26" w:rsidRDefault="003203B4" w:rsidP="00925F26">
            <w:pPr>
              <w:jc w:val="both"/>
              <w:rPr>
                <w:color w:val="000000" w:themeColor="text1"/>
                <w:sz w:val="16"/>
                <w:szCs w:val="16"/>
              </w:rPr>
            </w:pPr>
            <w:r w:rsidRPr="00925F26">
              <w:rPr>
                <w:color w:val="000000" w:themeColor="text1"/>
                <w:sz w:val="16"/>
                <w:szCs w:val="16"/>
              </w:rPr>
              <w:t>464</w:t>
            </w:r>
          </w:p>
        </w:tc>
      </w:tr>
      <w:tr w:rsidR="003203B4" w:rsidRPr="00925F26" w14:paraId="37FDDFF3" w14:textId="77777777" w:rsidTr="004C5D62">
        <w:trPr>
          <w:trHeight w:val="307"/>
        </w:trPr>
        <w:tc>
          <w:tcPr>
            <w:tcW w:w="2966" w:type="dxa"/>
            <w:tcBorders>
              <w:top w:val="single" w:sz="4" w:space="0" w:color="auto"/>
              <w:left w:val="single" w:sz="4" w:space="0" w:color="auto"/>
            </w:tcBorders>
            <w:vAlign w:val="bottom"/>
          </w:tcPr>
          <w:p w14:paraId="2058A5D7" w14:textId="77777777" w:rsidR="003203B4" w:rsidRPr="00925F26" w:rsidRDefault="003203B4" w:rsidP="00925F26">
            <w:pPr>
              <w:jc w:val="both"/>
              <w:rPr>
                <w:color w:val="000000" w:themeColor="text1"/>
                <w:sz w:val="16"/>
                <w:szCs w:val="16"/>
              </w:rPr>
            </w:pPr>
            <w:r w:rsidRPr="00925F26">
              <w:rPr>
                <w:color w:val="000000" w:themeColor="text1"/>
                <w:sz w:val="16"/>
                <w:szCs w:val="16"/>
              </w:rPr>
              <w:t>Практический потолок, м</w:t>
            </w:r>
          </w:p>
        </w:tc>
        <w:tc>
          <w:tcPr>
            <w:tcW w:w="1805" w:type="dxa"/>
            <w:tcBorders>
              <w:top w:val="single" w:sz="4" w:space="0" w:color="auto"/>
              <w:left w:val="single" w:sz="4" w:space="0" w:color="auto"/>
            </w:tcBorders>
            <w:vAlign w:val="bottom"/>
          </w:tcPr>
          <w:p w14:paraId="03DEF34A" w14:textId="77777777" w:rsidR="003203B4" w:rsidRPr="00925F26" w:rsidRDefault="003203B4" w:rsidP="00925F26">
            <w:pPr>
              <w:jc w:val="both"/>
              <w:rPr>
                <w:color w:val="000000" w:themeColor="text1"/>
                <w:sz w:val="16"/>
                <w:szCs w:val="16"/>
              </w:rPr>
            </w:pPr>
            <w:r w:rsidRPr="00925F26">
              <w:rPr>
                <w:color w:val="000000" w:themeColor="text1"/>
                <w:sz w:val="16"/>
                <w:szCs w:val="16"/>
              </w:rPr>
              <w:t>9800</w:t>
            </w:r>
          </w:p>
        </w:tc>
        <w:tc>
          <w:tcPr>
            <w:tcW w:w="1800" w:type="dxa"/>
            <w:tcBorders>
              <w:top w:val="single" w:sz="4" w:space="0" w:color="auto"/>
              <w:left w:val="single" w:sz="4" w:space="0" w:color="auto"/>
            </w:tcBorders>
            <w:vAlign w:val="bottom"/>
          </w:tcPr>
          <w:p w14:paraId="1B280A9E" w14:textId="77777777" w:rsidR="003203B4" w:rsidRPr="00925F26" w:rsidRDefault="003203B4" w:rsidP="00925F26">
            <w:pPr>
              <w:jc w:val="both"/>
              <w:rPr>
                <w:color w:val="000000" w:themeColor="text1"/>
                <w:sz w:val="16"/>
                <w:szCs w:val="16"/>
              </w:rPr>
            </w:pPr>
            <w:r w:rsidRPr="00925F26">
              <w:rPr>
                <w:color w:val="000000" w:themeColor="text1"/>
                <w:sz w:val="16"/>
                <w:szCs w:val="16"/>
              </w:rPr>
              <w:t>8550</w:t>
            </w:r>
          </w:p>
        </w:tc>
        <w:tc>
          <w:tcPr>
            <w:tcW w:w="1786" w:type="dxa"/>
            <w:tcBorders>
              <w:top w:val="single" w:sz="4" w:space="0" w:color="auto"/>
              <w:left w:val="single" w:sz="4" w:space="0" w:color="auto"/>
              <w:right w:val="single" w:sz="4" w:space="0" w:color="auto"/>
            </w:tcBorders>
            <w:vAlign w:val="bottom"/>
          </w:tcPr>
          <w:p w14:paraId="6A2C13BB" w14:textId="77777777" w:rsidR="003203B4" w:rsidRPr="00925F26" w:rsidRDefault="003203B4" w:rsidP="00925F26">
            <w:pPr>
              <w:jc w:val="both"/>
              <w:rPr>
                <w:color w:val="000000" w:themeColor="text1"/>
                <w:sz w:val="16"/>
                <w:szCs w:val="16"/>
              </w:rPr>
            </w:pPr>
            <w:r w:rsidRPr="00925F26">
              <w:rPr>
                <w:color w:val="000000" w:themeColor="text1"/>
                <w:sz w:val="16"/>
                <w:szCs w:val="16"/>
              </w:rPr>
              <w:t>8540</w:t>
            </w:r>
          </w:p>
        </w:tc>
      </w:tr>
      <w:tr w:rsidR="003203B4" w:rsidRPr="00925F26" w14:paraId="781232DF" w14:textId="77777777" w:rsidTr="004C5D62">
        <w:trPr>
          <w:trHeight w:val="302"/>
        </w:trPr>
        <w:tc>
          <w:tcPr>
            <w:tcW w:w="2966" w:type="dxa"/>
            <w:tcBorders>
              <w:top w:val="single" w:sz="4" w:space="0" w:color="auto"/>
              <w:left w:val="single" w:sz="4" w:space="0" w:color="auto"/>
            </w:tcBorders>
            <w:vAlign w:val="bottom"/>
          </w:tcPr>
          <w:p w14:paraId="21854026" w14:textId="77777777" w:rsidR="003203B4" w:rsidRPr="00925F26" w:rsidRDefault="003203B4" w:rsidP="00925F26">
            <w:pPr>
              <w:jc w:val="both"/>
              <w:rPr>
                <w:color w:val="000000" w:themeColor="text1"/>
                <w:sz w:val="16"/>
                <w:szCs w:val="16"/>
              </w:rPr>
            </w:pPr>
            <w:r w:rsidRPr="00925F26">
              <w:rPr>
                <w:color w:val="000000" w:themeColor="text1"/>
                <w:sz w:val="16"/>
                <w:szCs w:val="16"/>
              </w:rPr>
              <w:t>Дальность полета, км</w:t>
            </w:r>
          </w:p>
        </w:tc>
        <w:tc>
          <w:tcPr>
            <w:tcW w:w="1805" w:type="dxa"/>
            <w:tcBorders>
              <w:top w:val="single" w:sz="4" w:space="0" w:color="auto"/>
              <w:left w:val="single" w:sz="4" w:space="0" w:color="auto"/>
            </w:tcBorders>
            <w:vAlign w:val="bottom"/>
          </w:tcPr>
          <w:p w14:paraId="0FFAC79A" w14:textId="77777777" w:rsidR="003203B4" w:rsidRPr="00925F26" w:rsidRDefault="003203B4" w:rsidP="00925F26">
            <w:pPr>
              <w:jc w:val="both"/>
              <w:rPr>
                <w:color w:val="000000" w:themeColor="text1"/>
                <w:sz w:val="16"/>
                <w:szCs w:val="16"/>
              </w:rPr>
            </w:pPr>
            <w:r w:rsidRPr="00925F26">
              <w:rPr>
                <w:color w:val="000000" w:themeColor="text1"/>
                <w:sz w:val="16"/>
                <w:szCs w:val="16"/>
              </w:rPr>
              <w:t>4560</w:t>
            </w:r>
          </w:p>
        </w:tc>
        <w:tc>
          <w:tcPr>
            <w:tcW w:w="1800" w:type="dxa"/>
            <w:tcBorders>
              <w:top w:val="single" w:sz="4" w:space="0" w:color="auto"/>
              <w:left w:val="single" w:sz="4" w:space="0" w:color="auto"/>
            </w:tcBorders>
            <w:vAlign w:val="bottom"/>
          </w:tcPr>
          <w:p w14:paraId="22C81199" w14:textId="77777777" w:rsidR="003203B4" w:rsidRPr="00925F26" w:rsidRDefault="003203B4" w:rsidP="00925F26">
            <w:pPr>
              <w:jc w:val="both"/>
              <w:rPr>
                <w:color w:val="000000" w:themeColor="text1"/>
                <w:sz w:val="16"/>
                <w:szCs w:val="16"/>
              </w:rPr>
            </w:pPr>
            <w:r w:rsidRPr="00925F26">
              <w:rPr>
                <w:color w:val="000000" w:themeColor="text1"/>
                <w:sz w:val="16"/>
                <w:szCs w:val="16"/>
              </w:rPr>
              <w:t>3360</w:t>
            </w:r>
          </w:p>
        </w:tc>
        <w:tc>
          <w:tcPr>
            <w:tcW w:w="1786" w:type="dxa"/>
            <w:tcBorders>
              <w:top w:val="single" w:sz="4" w:space="0" w:color="auto"/>
              <w:left w:val="single" w:sz="4" w:space="0" w:color="auto"/>
              <w:right w:val="single" w:sz="4" w:space="0" w:color="auto"/>
            </w:tcBorders>
            <w:vAlign w:val="bottom"/>
          </w:tcPr>
          <w:p w14:paraId="7057EC54" w14:textId="77777777" w:rsidR="003203B4" w:rsidRPr="00925F26" w:rsidRDefault="003203B4" w:rsidP="00925F26">
            <w:pPr>
              <w:jc w:val="both"/>
              <w:rPr>
                <w:color w:val="000000" w:themeColor="text1"/>
                <w:sz w:val="16"/>
                <w:szCs w:val="16"/>
              </w:rPr>
            </w:pPr>
            <w:r w:rsidRPr="00925F26">
              <w:rPr>
                <w:color w:val="000000" w:themeColor="text1"/>
                <w:sz w:val="16"/>
                <w:szCs w:val="16"/>
              </w:rPr>
              <w:t>3360</w:t>
            </w:r>
          </w:p>
        </w:tc>
      </w:tr>
      <w:tr w:rsidR="003203B4" w:rsidRPr="00925F26" w14:paraId="3930FEF1" w14:textId="77777777" w:rsidTr="004C5D62">
        <w:trPr>
          <w:trHeight w:val="307"/>
        </w:trPr>
        <w:tc>
          <w:tcPr>
            <w:tcW w:w="2966" w:type="dxa"/>
            <w:tcBorders>
              <w:top w:val="single" w:sz="4" w:space="0" w:color="auto"/>
              <w:left w:val="single" w:sz="4" w:space="0" w:color="auto"/>
            </w:tcBorders>
            <w:vAlign w:val="bottom"/>
          </w:tcPr>
          <w:p w14:paraId="6D3685A0" w14:textId="77777777" w:rsidR="003203B4" w:rsidRPr="00925F26" w:rsidRDefault="003203B4" w:rsidP="00925F26">
            <w:pPr>
              <w:jc w:val="both"/>
              <w:rPr>
                <w:color w:val="000000" w:themeColor="text1"/>
                <w:sz w:val="16"/>
                <w:szCs w:val="16"/>
              </w:rPr>
            </w:pPr>
            <w:r w:rsidRPr="00925F26">
              <w:rPr>
                <w:color w:val="000000" w:themeColor="text1"/>
                <w:sz w:val="16"/>
                <w:szCs w:val="16"/>
              </w:rPr>
              <w:lastRenderedPageBreak/>
              <w:t>Вооружение</w:t>
            </w:r>
          </w:p>
        </w:tc>
        <w:tc>
          <w:tcPr>
            <w:tcW w:w="1805" w:type="dxa"/>
            <w:tcBorders>
              <w:top w:val="single" w:sz="4" w:space="0" w:color="auto"/>
              <w:left w:val="single" w:sz="4" w:space="0" w:color="auto"/>
            </w:tcBorders>
            <w:vAlign w:val="bottom"/>
          </w:tcPr>
          <w:p w14:paraId="5FB14BA0" w14:textId="77777777" w:rsidR="003203B4" w:rsidRPr="00925F26" w:rsidRDefault="003203B4" w:rsidP="00925F26">
            <w:pPr>
              <w:jc w:val="both"/>
              <w:rPr>
                <w:color w:val="000000" w:themeColor="text1"/>
                <w:sz w:val="16"/>
                <w:szCs w:val="16"/>
              </w:rPr>
            </w:pPr>
            <w:r w:rsidRPr="00925F26">
              <w:rPr>
                <w:color w:val="000000" w:themeColor="text1"/>
                <w:sz w:val="16"/>
                <w:szCs w:val="16"/>
              </w:rPr>
              <w:t>10 х 12,7</w:t>
            </w:r>
          </w:p>
        </w:tc>
        <w:tc>
          <w:tcPr>
            <w:tcW w:w="1800" w:type="dxa"/>
            <w:tcBorders>
              <w:top w:val="single" w:sz="4" w:space="0" w:color="auto"/>
              <w:left w:val="single" w:sz="4" w:space="0" w:color="auto"/>
            </w:tcBorders>
            <w:vAlign w:val="bottom"/>
          </w:tcPr>
          <w:p w14:paraId="2FAF26BF" w14:textId="77777777" w:rsidR="003203B4" w:rsidRPr="00925F26" w:rsidRDefault="003203B4" w:rsidP="00925F26">
            <w:pPr>
              <w:jc w:val="both"/>
              <w:rPr>
                <w:color w:val="000000" w:themeColor="text1"/>
                <w:sz w:val="16"/>
                <w:szCs w:val="16"/>
              </w:rPr>
            </w:pPr>
            <w:r w:rsidRPr="00925F26">
              <w:rPr>
                <w:color w:val="000000" w:themeColor="text1"/>
                <w:sz w:val="16"/>
                <w:szCs w:val="16"/>
              </w:rPr>
              <w:t>10 х 12,7</w:t>
            </w:r>
          </w:p>
        </w:tc>
        <w:tc>
          <w:tcPr>
            <w:tcW w:w="1786" w:type="dxa"/>
            <w:tcBorders>
              <w:top w:val="single" w:sz="4" w:space="0" w:color="auto"/>
              <w:left w:val="single" w:sz="4" w:space="0" w:color="auto"/>
              <w:right w:val="single" w:sz="4" w:space="0" w:color="auto"/>
            </w:tcBorders>
            <w:vAlign w:val="bottom"/>
          </w:tcPr>
          <w:p w14:paraId="6D6E3D42" w14:textId="77777777" w:rsidR="003203B4" w:rsidRPr="00925F26" w:rsidRDefault="003203B4" w:rsidP="00925F26">
            <w:pPr>
              <w:jc w:val="both"/>
              <w:rPr>
                <w:color w:val="000000" w:themeColor="text1"/>
                <w:sz w:val="16"/>
                <w:szCs w:val="16"/>
              </w:rPr>
            </w:pPr>
            <w:r w:rsidRPr="00925F26">
              <w:rPr>
                <w:color w:val="000000" w:themeColor="text1"/>
                <w:sz w:val="16"/>
                <w:szCs w:val="16"/>
              </w:rPr>
              <w:t>10 х 12,7</w:t>
            </w:r>
          </w:p>
        </w:tc>
      </w:tr>
      <w:tr w:rsidR="003203B4" w:rsidRPr="00925F26" w14:paraId="43721FBC" w14:textId="77777777" w:rsidTr="004C5D62">
        <w:trPr>
          <w:trHeight w:val="317"/>
        </w:trPr>
        <w:tc>
          <w:tcPr>
            <w:tcW w:w="2966" w:type="dxa"/>
            <w:tcBorders>
              <w:top w:val="single" w:sz="4" w:space="0" w:color="auto"/>
              <w:left w:val="single" w:sz="4" w:space="0" w:color="auto"/>
              <w:bottom w:val="single" w:sz="4" w:space="0" w:color="auto"/>
            </w:tcBorders>
            <w:vAlign w:val="bottom"/>
          </w:tcPr>
          <w:p w14:paraId="27B14808" w14:textId="77777777" w:rsidR="003203B4" w:rsidRPr="00925F26" w:rsidRDefault="003203B4" w:rsidP="00925F26">
            <w:pPr>
              <w:jc w:val="both"/>
              <w:rPr>
                <w:color w:val="000000" w:themeColor="text1"/>
                <w:sz w:val="16"/>
                <w:szCs w:val="16"/>
              </w:rPr>
            </w:pPr>
            <w:r w:rsidRPr="00925F26">
              <w:rPr>
                <w:color w:val="000000" w:themeColor="text1"/>
                <w:sz w:val="16"/>
                <w:szCs w:val="16"/>
              </w:rPr>
              <w:t>Бомбовая нагрузка, кг</w:t>
            </w:r>
          </w:p>
        </w:tc>
        <w:tc>
          <w:tcPr>
            <w:tcW w:w="1805" w:type="dxa"/>
            <w:tcBorders>
              <w:top w:val="single" w:sz="4" w:space="0" w:color="auto"/>
              <w:left w:val="single" w:sz="4" w:space="0" w:color="auto"/>
              <w:bottom w:val="single" w:sz="4" w:space="0" w:color="auto"/>
            </w:tcBorders>
            <w:vAlign w:val="bottom"/>
          </w:tcPr>
          <w:p w14:paraId="572524A2" w14:textId="77777777" w:rsidR="003203B4" w:rsidRPr="00925F26" w:rsidRDefault="003203B4" w:rsidP="00925F26">
            <w:pPr>
              <w:jc w:val="both"/>
              <w:rPr>
                <w:color w:val="000000" w:themeColor="text1"/>
                <w:sz w:val="16"/>
                <w:szCs w:val="16"/>
              </w:rPr>
            </w:pPr>
            <w:r w:rsidRPr="00925F26">
              <w:rPr>
                <w:color w:val="000000" w:themeColor="text1"/>
                <w:sz w:val="16"/>
                <w:szCs w:val="16"/>
              </w:rPr>
              <w:t>5800</w:t>
            </w:r>
          </w:p>
        </w:tc>
        <w:tc>
          <w:tcPr>
            <w:tcW w:w="1800" w:type="dxa"/>
            <w:tcBorders>
              <w:top w:val="single" w:sz="4" w:space="0" w:color="auto"/>
              <w:left w:val="single" w:sz="4" w:space="0" w:color="auto"/>
              <w:bottom w:val="single" w:sz="4" w:space="0" w:color="auto"/>
            </w:tcBorders>
            <w:vAlign w:val="bottom"/>
          </w:tcPr>
          <w:p w14:paraId="46FB50DD" w14:textId="77777777" w:rsidR="003203B4" w:rsidRPr="00925F26" w:rsidRDefault="003203B4" w:rsidP="00925F26">
            <w:pPr>
              <w:jc w:val="both"/>
              <w:rPr>
                <w:color w:val="000000" w:themeColor="text1"/>
                <w:sz w:val="16"/>
                <w:szCs w:val="16"/>
              </w:rPr>
            </w:pPr>
            <w:r w:rsidRPr="00925F26">
              <w:rPr>
                <w:color w:val="000000" w:themeColor="text1"/>
                <w:sz w:val="16"/>
                <w:szCs w:val="16"/>
              </w:rPr>
              <w:t>5900</w:t>
            </w:r>
          </w:p>
        </w:tc>
        <w:tc>
          <w:tcPr>
            <w:tcW w:w="1786" w:type="dxa"/>
            <w:tcBorders>
              <w:top w:val="single" w:sz="4" w:space="0" w:color="auto"/>
              <w:left w:val="single" w:sz="4" w:space="0" w:color="auto"/>
              <w:bottom w:val="single" w:sz="4" w:space="0" w:color="auto"/>
              <w:right w:val="single" w:sz="4" w:space="0" w:color="auto"/>
            </w:tcBorders>
            <w:vAlign w:val="bottom"/>
          </w:tcPr>
          <w:p w14:paraId="325A0B59" w14:textId="77777777" w:rsidR="003203B4" w:rsidRPr="00925F26" w:rsidRDefault="003203B4" w:rsidP="00925F26">
            <w:pPr>
              <w:jc w:val="both"/>
              <w:rPr>
                <w:color w:val="000000" w:themeColor="text1"/>
                <w:sz w:val="16"/>
                <w:szCs w:val="16"/>
              </w:rPr>
            </w:pPr>
            <w:r w:rsidRPr="00925F26">
              <w:rPr>
                <w:color w:val="000000" w:themeColor="text1"/>
                <w:sz w:val="16"/>
                <w:szCs w:val="16"/>
              </w:rPr>
              <w:t>5900</w:t>
            </w:r>
          </w:p>
        </w:tc>
      </w:tr>
    </w:tbl>
    <w:p w14:paraId="0C38574D" w14:textId="77777777" w:rsidR="003203B4" w:rsidRPr="00925F26" w:rsidRDefault="003203B4" w:rsidP="00925F26">
      <w:pPr>
        <w:jc w:val="both"/>
        <w:rPr>
          <w:color w:val="000000" w:themeColor="text1"/>
          <w:sz w:val="16"/>
          <w:szCs w:val="16"/>
        </w:rPr>
      </w:pPr>
      <w:r w:rsidRPr="00925F26">
        <w:rPr>
          <w:color w:val="000000" w:themeColor="text1"/>
          <w:sz w:val="16"/>
          <w:szCs w:val="16"/>
        </w:rPr>
        <w:t>(23513).</w:t>
      </w:r>
    </w:p>
    <w:p w14:paraId="6879DCF1" w14:textId="77777777" w:rsidR="003203B4" w:rsidRPr="00925F26" w:rsidRDefault="003203B4" w:rsidP="00925F26">
      <w:pPr>
        <w:jc w:val="both"/>
        <w:rPr>
          <w:color w:val="000000" w:themeColor="text1"/>
          <w:sz w:val="16"/>
          <w:szCs w:val="16"/>
        </w:rPr>
      </w:pPr>
    </w:p>
    <w:p w14:paraId="3A91630C" w14:textId="1FF2B37D"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691A54A" w14:textId="77777777" w:rsidR="006103B3" w:rsidRPr="00925F26" w:rsidRDefault="006103B3" w:rsidP="00925F26">
      <w:pPr>
        <w:autoSpaceDE w:val="0"/>
        <w:autoSpaceDN w:val="0"/>
        <w:adjustRightInd w:val="0"/>
        <w:jc w:val="both"/>
        <w:rPr>
          <w:iCs/>
          <w:color w:val="000000" w:themeColor="text1"/>
          <w:sz w:val="16"/>
          <w:szCs w:val="16"/>
        </w:rPr>
      </w:pPr>
    </w:p>
    <w:p w14:paraId="4C7EF1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июня 1945 г. закончились летные испытания УИл-10 в НИИ ВВС, которые проходили с 20 мая. За</w:t>
      </w:r>
      <w:r w:rsidRPr="00925F26">
        <w:rPr>
          <w:color w:val="000000" w:themeColor="text1"/>
          <w:sz w:val="16"/>
          <w:szCs w:val="16"/>
        </w:rPr>
        <w:softHyphen/>
        <w:t>вершили их 7 июня, после выполнения 31 полета. Ведущим инженером и одно</w:t>
      </w:r>
      <w:r w:rsidRPr="00925F26">
        <w:rPr>
          <w:color w:val="000000" w:themeColor="text1"/>
          <w:sz w:val="16"/>
          <w:szCs w:val="16"/>
        </w:rPr>
        <w:softHyphen/>
        <w:t>временно ведущим летчиком был капи</w:t>
      </w:r>
      <w:r w:rsidRPr="00925F26">
        <w:rPr>
          <w:color w:val="000000" w:themeColor="text1"/>
          <w:sz w:val="16"/>
          <w:szCs w:val="16"/>
        </w:rPr>
        <w:softHyphen/>
        <w:t>тан С.Г. Фролов. При полетном весе 5680 кг (вес пусто</w:t>
      </w:r>
      <w:r w:rsidRPr="00925F26">
        <w:rPr>
          <w:color w:val="000000" w:themeColor="text1"/>
          <w:sz w:val="16"/>
          <w:szCs w:val="16"/>
        </w:rPr>
        <w:softHyphen/>
        <w:t>го 4571 кг) УИл-10 показал максималь</w:t>
      </w:r>
      <w:r w:rsidRPr="00925F26">
        <w:rPr>
          <w:color w:val="000000" w:themeColor="text1"/>
          <w:sz w:val="16"/>
          <w:szCs w:val="16"/>
        </w:rPr>
        <w:softHyphen/>
        <w:t>ную скорость полета у земли 502 км/ч, на высоте 2500 м - 560 км/ч. Время на</w:t>
      </w:r>
      <w:r w:rsidRPr="00925F26">
        <w:rPr>
          <w:color w:val="000000" w:themeColor="text1"/>
          <w:sz w:val="16"/>
          <w:szCs w:val="16"/>
        </w:rPr>
        <w:softHyphen/>
        <w:t>бора высоты 1000 м составило 1,5 мин, а 3000 м-4,8 мин. В выводах отчета по испытаниям ука</w:t>
      </w:r>
      <w:r w:rsidRPr="00925F26">
        <w:rPr>
          <w:color w:val="000000" w:themeColor="text1"/>
          <w:sz w:val="16"/>
          <w:szCs w:val="16"/>
        </w:rPr>
        <w:softHyphen/>
        <w:t>зывалось, что по технике пилотирования из передней кабины учебный штурмовик ничем не отличается от Ил-10, а из вто</w:t>
      </w:r>
      <w:r w:rsidRPr="00925F26">
        <w:rPr>
          <w:color w:val="000000" w:themeColor="text1"/>
          <w:sz w:val="16"/>
          <w:szCs w:val="16"/>
        </w:rPr>
        <w:softHyphen/>
        <w:t>рой кабины - от УИл-2. Однако обзор (особенно на посадке) у УИл-10 был ху</w:t>
      </w:r>
      <w:r w:rsidRPr="00925F26">
        <w:rPr>
          <w:color w:val="000000" w:themeColor="text1"/>
          <w:sz w:val="16"/>
          <w:szCs w:val="16"/>
        </w:rPr>
        <w:softHyphen/>
        <w:t>же, чем у боевого варианта. Поспешно оборудованное место инструктора име</w:t>
      </w:r>
      <w:r w:rsidRPr="00925F26">
        <w:rPr>
          <w:color w:val="000000" w:themeColor="text1"/>
          <w:sz w:val="16"/>
          <w:szCs w:val="16"/>
        </w:rPr>
        <w:softHyphen/>
        <w:t>ло много недостатков: «неудобно откры</w:t>
      </w:r>
      <w:r w:rsidRPr="00925F26">
        <w:rPr>
          <w:color w:val="000000" w:themeColor="text1"/>
          <w:sz w:val="16"/>
          <w:szCs w:val="16"/>
        </w:rPr>
        <w:softHyphen/>
        <w:t>вание и закрывание фонаря, нельзя от</w:t>
      </w:r>
      <w:r w:rsidRPr="00925F26">
        <w:rPr>
          <w:color w:val="000000" w:themeColor="text1"/>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roofErr w:type="gramStart"/>
      <w:r w:rsidRPr="00925F26">
        <w:rPr>
          <w:color w:val="000000" w:themeColor="text1"/>
          <w:sz w:val="16"/>
          <w:szCs w:val="16"/>
        </w:rPr>
        <w:t>»</w:t>
      </w:r>
      <w:proofErr w:type="gramEnd"/>
      <w:r w:rsidRPr="00925F26">
        <w:rPr>
          <w:color w:val="000000" w:themeColor="text1"/>
          <w:sz w:val="16"/>
          <w:szCs w:val="16"/>
        </w:rPr>
        <w:t xml:space="preserve">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925F26">
        <w:rPr>
          <w:color w:val="000000" w:themeColor="text1"/>
          <w:sz w:val="16"/>
          <w:szCs w:val="16"/>
        </w:rPr>
        <w:softHyphen/>
        <w:t xml:space="preserve">ны быть </w:t>
      </w:r>
      <w:proofErr w:type="gramStart"/>
      <w:r w:rsidRPr="00925F26">
        <w:rPr>
          <w:color w:val="000000" w:themeColor="text1"/>
          <w:sz w:val="16"/>
          <w:szCs w:val="16"/>
        </w:rPr>
        <w:t>реализованы....</w:t>
      </w:r>
      <w:proofErr w:type="gramEnd"/>
      <w:r w:rsidRPr="00925F26">
        <w:rPr>
          <w:color w:val="000000" w:themeColor="text1"/>
          <w:sz w:val="16"/>
          <w:szCs w:val="16"/>
        </w:rPr>
        <w:t>Учитывая боль</w:t>
      </w:r>
      <w:r w:rsidRPr="00925F26">
        <w:rPr>
          <w:color w:val="000000" w:themeColor="text1"/>
          <w:sz w:val="16"/>
          <w:szCs w:val="16"/>
        </w:rPr>
        <w:softHyphen/>
        <w:t>шую потребность в УИл-10, считать не</w:t>
      </w:r>
      <w:r w:rsidRPr="00925F26">
        <w:rPr>
          <w:color w:val="000000" w:themeColor="text1"/>
          <w:sz w:val="16"/>
          <w:szCs w:val="16"/>
        </w:rPr>
        <w:softHyphen/>
        <w:t>обходимым их выпуск продолжать, по</w:t>
      </w:r>
      <w:r w:rsidRPr="00925F26">
        <w:rPr>
          <w:color w:val="000000" w:themeColor="text1"/>
          <w:sz w:val="16"/>
          <w:szCs w:val="16"/>
        </w:rPr>
        <w:softHyphen/>
        <w:t>требовав внесения всех изменений и устранения всех недостатков, после чего предъявить самолет на повторные испы</w:t>
      </w:r>
      <w:r w:rsidRPr="00925F26">
        <w:rPr>
          <w:color w:val="000000" w:themeColor="text1"/>
          <w:sz w:val="16"/>
          <w:szCs w:val="16"/>
        </w:rPr>
        <w:softHyphen/>
        <w:t>тания в ГК НИИ ВВС КА...» (10681).</w:t>
      </w:r>
    </w:p>
    <w:p w14:paraId="3CF94D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315BB3D"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7 июня 1945 ГУЗ ВВС предъявил на испытания самолет Ил-10 с пылефильтром в ГК НИИ ВВС. Испытания самолета официально начались в институте лишь 13 июня, но вскоре были приостановлены. По инициативе Подлесецкого 18 июня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33BCD9F8" w14:textId="77777777" w:rsidR="00C8021E" w:rsidRPr="00925F26" w:rsidRDefault="00C8021E" w:rsidP="00925F26">
      <w:pPr>
        <w:jc w:val="both"/>
        <w:rPr>
          <w:color w:val="000000" w:themeColor="text1"/>
          <w:sz w:val="16"/>
          <w:szCs w:val="16"/>
        </w:rPr>
      </w:pPr>
    </w:p>
    <w:p w14:paraId="6F02CB85"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7 июня 1945, после выполнения 31 полета (суммарный налет 15 ч) завершили летные испытания одного из первых УИл-10 (зав. № 106085), которые вели с 26 мая 1945 года.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594691A5"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034E492D"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6D59FBD7"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301F65AA"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3F8BED38" w14:textId="77777777" w:rsidR="00C8021E" w:rsidRPr="00925F26" w:rsidRDefault="00C8021E"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w:t>
      </w:r>
    </w:p>
    <w:p w14:paraId="76185B9A"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Военные потребовали устранить все выявленные недочеты по кабине инструктора, довести бомбардировочное вооружение, установить пушки вместо пулеметов и два ракетных орудия.</w:t>
      </w:r>
    </w:p>
    <w:p w14:paraId="1F7F101E"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В заключении акта по результатам испытаний отмечалось, что «1. Модифицированный самолет УИл-10 № 106085 не полностью отвечает требованиям к самолету УИл-10 на 1945 год. 2. Просить наркома авиапромышленности дать указание: а) Произвести дополнительные конструктивные изменения и подготовить УИл-10 в полном соответствии с ТТТ. б) Устранить отмеченные недостатки. в) После устранения предъявить самолет на повторные испытания».</w:t>
      </w:r>
    </w:p>
    <w:p w14:paraId="689A1B66" w14:textId="77777777" w:rsidR="00C8021E" w:rsidRPr="00925F26" w:rsidRDefault="00C8021E" w:rsidP="00925F26">
      <w:pPr>
        <w:jc w:val="both"/>
        <w:rPr>
          <w:color w:val="000000" w:themeColor="text1"/>
          <w:sz w:val="16"/>
          <w:szCs w:val="16"/>
        </w:rPr>
      </w:pPr>
      <w:r w:rsidRPr="00925F26">
        <w:rPr>
          <w:rStyle w:val="107"/>
          <w:rFonts w:eastAsiaTheme="minorHAnsi"/>
          <w:color w:val="000000" w:themeColor="text1"/>
          <w:sz w:val="16"/>
          <w:szCs w:val="16"/>
        </w:rPr>
        <w:t xml:space="preserve">Начальник Главного управления формирования и обучения ВВС КА генерал-полковник А. В. Никитин в замечаниях к акту от 26 июня указывал: «1. Все требования правильны и должны быть </w:t>
      </w:r>
      <w:proofErr w:type="gramStart"/>
      <w:r w:rsidRPr="00925F26">
        <w:rPr>
          <w:rStyle w:val="107"/>
          <w:rFonts w:eastAsiaTheme="minorHAnsi"/>
          <w:color w:val="000000" w:themeColor="text1"/>
          <w:sz w:val="16"/>
          <w:szCs w:val="16"/>
        </w:rPr>
        <w:t>реализованы./</w:t>
      </w:r>
      <w:proofErr w:type="gramEnd"/>
      <w:r w:rsidRPr="00925F26">
        <w:rPr>
          <w:rStyle w:val="107"/>
          <w:rFonts w:eastAsiaTheme="minorHAnsi"/>
          <w:color w:val="000000" w:themeColor="text1"/>
          <w:sz w:val="16"/>
          <w:szCs w:val="16"/>
        </w:rPr>
        <w:t>.../3. Учитывая большую потребность в УИл-10, считаю необходимым выпуск продолжать, потребовать внесения всех изменений и дополнений, предусмотренных актами ГК НИИ ВВС КА» (17490).</w:t>
      </w:r>
    </w:p>
    <w:p w14:paraId="7B1A0359" w14:textId="77777777" w:rsidR="00C8021E" w:rsidRPr="00925F26" w:rsidRDefault="00C8021E" w:rsidP="00925F26">
      <w:pPr>
        <w:jc w:val="both"/>
        <w:rPr>
          <w:rStyle w:val="107"/>
          <w:rFonts w:eastAsiaTheme="minorHAnsi"/>
          <w:color w:val="000000" w:themeColor="text1"/>
          <w:sz w:val="16"/>
          <w:szCs w:val="16"/>
        </w:rPr>
      </w:pPr>
    </w:p>
    <w:p w14:paraId="2FFF71B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 июня 1945 закончились совместные испытания и доводки РЛС на самолете 104 А.Н.Т. - серийном Ту-2 N 104, но котором установили РЛС типа ПНБ-4, а также дополнительно 2 ВЯ, которые шли на аэродроме НММ Спецслужб КА с 10 августа 1945. По окончанию испытаний машину передали в ГК НИИ ВВС для гос. испытаний. 3 февраля 1947 104 самолет передали в ОКБ-51 (П.О.С.) для последующей переделки в УТБ (1835,59).</w:t>
      </w:r>
    </w:p>
    <w:p w14:paraId="75BAEB45" w14:textId="77777777" w:rsidR="006103B3" w:rsidRPr="00925F26" w:rsidRDefault="006103B3" w:rsidP="00925F26">
      <w:pPr>
        <w:autoSpaceDE w:val="0"/>
        <w:autoSpaceDN w:val="0"/>
        <w:adjustRightInd w:val="0"/>
        <w:jc w:val="both"/>
        <w:rPr>
          <w:color w:val="000000" w:themeColor="text1"/>
          <w:sz w:val="16"/>
          <w:szCs w:val="16"/>
        </w:rPr>
      </w:pPr>
    </w:p>
    <w:p w14:paraId="1EE0BC31" w14:textId="77777777" w:rsidR="00D7144C" w:rsidRPr="00925F26" w:rsidRDefault="00D7144C" w:rsidP="00925F26">
      <w:pPr>
        <w:jc w:val="both"/>
        <w:rPr>
          <w:color w:val="000000" w:themeColor="text1"/>
          <w:sz w:val="16"/>
          <w:szCs w:val="16"/>
        </w:rPr>
      </w:pPr>
      <w:r w:rsidRPr="00925F26">
        <w:rPr>
          <w:bCs/>
          <w:color w:val="000000" w:themeColor="text1"/>
          <w:sz w:val="16"/>
          <w:szCs w:val="16"/>
        </w:rPr>
        <w:t>7 июня</w:t>
      </w:r>
      <w:r w:rsidRPr="00925F26">
        <w:rPr>
          <w:color w:val="000000" w:themeColor="text1"/>
          <w:sz w:val="16"/>
          <w:szCs w:val="16"/>
        </w:rPr>
        <w:t xml:space="preserve"> в 1945 году завершились (с 10 августа 1944 года) совместные испытания и доводка радиолокационной аппаратуры ПНБ-4 на серийном самолете </w:t>
      </w:r>
      <w:hyperlink r:id="rId142" w:tgtFrame="_blank" w:history="1">
        <w:r w:rsidRPr="00925F26">
          <w:rPr>
            <w:color w:val="000000" w:themeColor="text1"/>
            <w:sz w:val="16"/>
            <w:szCs w:val="16"/>
          </w:rPr>
          <w:t xml:space="preserve">«Ту-2» </w:t>
        </w:r>
      </w:hyperlink>
      <w:r w:rsidRPr="00925F26">
        <w:rPr>
          <w:color w:val="000000" w:themeColor="text1"/>
          <w:sz w:val="16"/>
          <w:szCs w:val="16"/>
        </w:rPr>
        <w:t>№104 (выпущенного в 1942 году Омским заводом №166), по окончанию которых самолет был передан в ГК НИИ ВВС для Государственных испытаний.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Л.Л.Кербер (14915).</w:t>
      </w:r>
    </w:p>
    <w:p w14:paraId="2EA05CAC" w14:textId="77777777" w:rsidR="00D7144C" w:rsidRPr="00925F26" w:rsidRDefault="00D7144C" w:rsidP="00925F26">
      <w:pPr>
        <w:jc w:val="both"/>
        <w:rPr>
          <w:color w:val="000000" w:themeColor="text1"/>
          <w:sz w:val="16"/>
          <w:szCs w:val="16"/>
        </w:rPr>
      </w:pPr>
    </w:p>
    <w:p w14:paraId="591007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7/8 июня 1945 года врид начальника ВВС ВМФ генерал-лейтенант авиации Бартновский писал письмо N 105499с Шахурину.</w:t>
      </w:r>
    </w:p>
    <w:p w14:paraId="56EF46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Прошу Вашего указания об изготовлении в 1945 году для ВВС ВМФ двух геликоптеров конструкции Братухина И.П., необходимых для проведения испытаний в целях выявления степени их применимости в условиях моря и определения целесообразности вооружения ими кораблей флота, а </w:t>
      </w:r>
      <w:proofErr w:type="gramStart"/>
      <w:r w:rsidRPr="00925F26">
        <w:rPr>
          <w:color w:val="000000" w:themeColor="text1"/>
          <w:sz w:val="16"/>
          <w:szCs w:val="16"/>
        </w:rPr>
        <w:t>так же</w:t>
      </w:r>
      <w:proofErr w:type="gramEnd"/>
      <w:r w:rsidRPr="00925F26">
        <w:rPr>
          <w:color w:val="000000" w:themeColor="text1"/>
          <w:sz w:val="16"/>
          <w:szCs w:val="16"/>
        </w:rPr>
        <w:t xml:space="preserve"> для доработки и уточнения специальных тактико-технических требований к морскому геликоптеру.</w:t>
      </w:r>
    </w:p>
    <w:p w14:paraId="3479F6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Ваше решение по этому вопросу прошу мне сообщить (2595).</w:t>
      </w:r>
    </w:p>
    <w:p w14:paraId="45F5B33B" w14:textId="77777777" w:rsidR="006103B3" w:rsidRPr="00925F26" w:rsidRDefault="006103B3" w:rsidP="00925F26">
      <w:pPr>
        <w:autoSpaceDE w:val="0"/>
        <w:autoSpaceDN w:val="0"/>
        <w:adjustRightInd w:val="0"/>
        <w:jc w:val="both"/>
        <w:rPr>
          <w:color w:val="000000" w:themeColor="text1"/>
          <w:sz w:val="16"/>
          <w:szCs w:val="16"/>
        </w:rPr>
      </w:pPr>
    </w:p>
    <w:p w14:paraId="7DE9B6F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 июня 1942 г. приказом НКАП №424 для более целесообразного использования площадей и создания нормальной работы ЦИАМ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(10777).</w:t>
      </w:r>
    </w:p>
    <w:p w14:paraId="0A1E49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46EEE1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555811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2EA006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4C24D4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3BFCFB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7355AC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925F26">
        <w:rPr>
          <w:color w:val="000000" w:themeColor="text1"/>
          <w:sz w:val="16"/>
          <w:szCs w:val="16"/>
        </w:rPr>
        <w:t>.</w:t>
      </w:r>
      <w:proofErr w:type="gramEnd"/>
      <w:r w:rsidRPr="00925F26">
        <w:rPr>
          <w:color w:val="000000" w:themeColor="text1"/>
          <w:sz w:val="16"/>
          <w:szCs w:val="16"/>
        </w:rPr>
        <w:t xml:space="preserve"> и гл.к. назначен В.В.Уваров (приказ №546 от 15.8.46 г.). Штат формировался в основном за счет опытного и серийного КБ завода. </w:t>
      </w:r>
    </w:p>
    <w:p w14:paraId="38C2360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0D9FF7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 .7.48 г. завод передан из 8ГУ в 4ГУ (моторные агрегаты), с 1.7.49 г. - во 2ГУ МАП (самолетные агрегаты). </w:t>
      </w:r>
    </w:p>
    <w:p w14:paraId="4CF12E1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А.Т.Завитаев (1946-48гг). Далее дир. - Ю.А.Мизюров (до 1950 г.), И.А.Лихачев (в 1950-53гг.). </w:t>
      </w:r>
    </w:p>
    <w:p w14:paraId="5B82D7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925F26">
        <w:rPr>
          <w:color w:val="000000" w:themeColor="text1"/>
          <w:sz w:val="16"/>
          <w:szCs w:val="16"/>
        </w:rPr>
        <w:t>гл.инж</w:t>
      </w:r>
      <w:proofErr w:type="gramEnd"/>
      <w:r w:rsidRPr="00925F26">
        <w:rPr>
          <w:color w:val="000000" w:themeColor="text1"/>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458FD9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3AA264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0307F7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63B483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Авангард, Московский машиностроительный завод, ОАО (ОАО "ММЗ "Авангард") </w:t>
      </w:r>
    </w:p>
    <w:p w14:paraId="1F2C85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09F82D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- 125130 г.Москва ул.Цеткин К., 33 (10777).</w:t>
      </w:r>
    </w:p>
    <w:p w14:paraId="10FEACF6" w14:textId="77777777" w:rsidR="006103B3" w:rsidRPr="00925F26" w:rsidRDefault="006103B3" w:rsidP="00925F26">
      <w:pPr>
        <w:autoSpaceDE w:val="0"/>
        <w:autoSpaceDN w:val="0"/>
        <w:adjustRightInd w:val="0"/>
        <w:jc w:val="both"/>
        <w:rPr>
          <w:color w:val="000000" w:themeColor="text1"/>
          <w:sz w:val="16"/>
          <w:szCs w:val="16"/>
        </w:rPr>
      </w:pPr>
    </w:p>
    <w:p w14:paraId="29A69DCF" w14:textId="77777777" w:rsidR="00ED178F" w:rsidRPr="00925F26" w:rsidRDefault="00ED178F" w:rsidP="00ED178F">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800D275" w14:textId="77777777" w:rsidR="00ED178F" w:rsidRPr="00925F26" w:rsidRDefault="00ED178F" w:rsidP="00ED178F">
      <w:pPr>
        <w:autoSpaceDE w:val="0"/>
        <w:autoSpaceDN w:val="0"/>
        <w:adjustRightInd w:val="0"/>
        <w:jc w:val="both"/>
        <w:rPr>
          <w:iCs/>
          <w:color w:val="000000" w:themeColor="text1"/>
          <w:sz w:val="16"/>
          <w:szCs w:val="16"/>
        </w:rPr>
      </w:pPr>
    </w:p>
    <w:p w14:paraId="7614A3D3" w14:textId="77777777" w:rsidR="00ED178F" w:rsidRPr="001A0BAA" w:rsidRDefault="00ED178F" w:rsidP="00ED178F">
      <w:pPr>
        <w:jc w:val="both"/>
        <w:rPr>
          <w:color w:val="0070C0"/>
          <w:sz w:val="16"/>
          <w:szCs w:val="16"/>
        </w:rPr>
      </w:pPr>
      <w:r w:rsidRPr="001A0BAA">
        <w:rPr>
          <w:rStyle w:val="aff0"/>
          <w:rFonts w:ascii="Times New Roman" w:hAnsi="Times New Roman" w:cs="Times New Roman"/>
          <w:color w:val="0070C0"/>
          <w:spacing w:val="0"/>
          <w:sz w:val="16"/>
          <w:szCs w:val="16"/>
        </w:rPr>
        <w:t>7 июня 1945 г. в отчете Гороховецкого испытательного полигона в «Заключении» сказано, что полигонные испытания пушка 85 мм противотанковой ЗИС-Д-44 не выдержала, в том числе «из-за неудовлетворительной экстракции гильз при высоком режиме огня» (25440).</w:t>
      </w:r>
    </w:p>
    <w:p w14:paraId="10DDDC27" w14:textId="77777777" w:rsidR="00ED178F" w:rsidRPr="001A0BAA" w:rsidRDefault="00ED178F" w:rsidP="00ED178F">
      <w:pPr>
        <w:jc w:val="both"/>
        <w:rPr>
          <w:color w:val="0070C0"/>
          <w:sz w:val="16"/>
          <w:szCs w:val="16"/>
        </w:rPr>
      </w:pPr>
    </w:p>
    <w:p w14:paraId="153E06E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79C765C" w14:textId="77777777" w:rsidR="006103B3" w:rsidRPr="00925F26" w:rsidRDefault="006103B3" w:rsidP="00925F26">
      <w:pPr>
        <w:autoSpaceDE w:val="0"/>
        <w:autoSpaceDN w:val="0"/>
        <w:adjustRightInd w:val="0"/>
        <w:jc w:val="both"/>
        <w:rPr>
          <w:iCs/>
          <w:color w:val="000000" w:themeColor="text1"/>
          <w:sz w:val="16"/>
          <w:szCs w:val="16"/>
        </w:rPr>
      </w:pPr>
    </w:p>
    <w:p w14:paraId="18756D1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 июня 1945 вышло постановление СНК № 1644 О плане и метериально-техническом обеспечении производства запчастей к тракторам и сельхозмашинам в 3 кв. 1945 - обязали оборонные заводв (7543, 106).</w:t>
      </w:r>
    </w:p>
    <w:p w14:paraId="6BE77BCC" w14:textId="77777777" w:rsidR="006103B3" w:rsidRPr="00925F26" w:rsidRDefault="006103B3" w:rsidP="00925F26">
      <w:pPr>
        <w:autoSpaceDE w:val="0"/>
        <w:autoSpaceDN w:val="0"/>
        <w:adjustRightInd w:val="0"/>
        <w:jc w:val="both"/>
        <w:rPr>
          <w:color w:val="000000" w:themeColor="text1"/>
          <w:sz w:val="16"/>
          <w:szCs w:val="16"/>
        </w:rPr>
      </w:pPr>
    </w:p>
    <w:p w14:paraId="2A853CE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47DD35D" w14:textId="77777777" w:rsidR="006103B3" w:rsidRPr="00925F26" w:rsidRDefault="006103B3" w:rsidP="00925F26">
      <w:pPr>
        <w:autoSpaceDE w:val="0"/>
        <w:autoSpaceDN w:val="0"/>
        <w:adjustRightInd w:val="0"/>
        <w:jc w:val="both"/>
        <w:rPr>
          <w:iCs/>
          <w:color w:val="000000" w:themeColor="text1"/>
          <w:sz w:val="16"/>
          <w:szCs w:val="16"/>
        </w:rPr>
      </w:pPr>
    </w:p>
    <w:p w14:paraId="7A227D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 июня 1945 военачальники союзных держав Г.К.Ж., Эйзенхауэр, Монтгомери и Делатр де Тассиньи подписали в Берлине Декларацию о поражении Германии и принятии верховной власти в ней правительствами СССР, США, Великобритании и Франции (3263,296).</w:t>
      </w:r>
    </w:p>
    <w:p w14:paraId="18278634" w14:textId="77777777" w:rsidR="006103B3" w:rsidRPr="00925F26" w:rsidRDefault="006103B3" w:rsidP="00925F26">
      <w:pPr>
        <w:autoSpaceDE w:val="0"/>
        <w:autoSpaceDN w:val="0"/>
        <w:adjustRightInd w:val="0"/>
        <w:jc w:val="both"/>
        <w:rPr>
          <w:color w:val="000000" w:themeColor="text1"/>
          <w:sz w:val="16"/>
          <w:szCs w:val="16"/>
        </w:rPr>
      </w:pPr>
    </w:p>
    <w:p w14:paraId="3F542E5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B81A076" w14:textId="77777777" w:rsidR="006103B3" w:rsidRPr="00925F26" w:rsidRDefault="006103B3" w:rsidP="00925F26">
      <w:pPr>
        <w:autoSpaceDE w:val="0"/>
        <w:autoSpaceDN w:val="0"/>
        <w:adjustRightInd w:val="0"/>
        <w:jc w:val="both"/>
        <w:rPr>
          <w:iCs/>
          <w:color w:val="000000" w:themeColor="text1"/>
          <w:sz w:val="16"/>
          <w:szCs w:val="16"/>
        </w:rPr>
      </w:pPr>
    </w:p>
    <w:p w14:paraId="56F589D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7 июня 1945 всем немецким жителям в зонах оккупации союзников приказано посмотреть фильмы о злодеяниях нацистов в Бухенвальде (4962).</w:t>
      </w:r>
    </w:p>
    <w:p w14:paraId="24B5AEB6"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8FC3908"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F24DB99" w14:textId="77777777" w:rsidR="006103B3" w:rsidRPr="00925F26" w:rsidRDefault="006103B3" w:rsidP="00925F26">
      <w:pPr>
        <w:autoSpaceDE w:val="0"/>
        <w:autoSpaceDN w:val="0"/>
        <w:adjustRightInd w:val="0"/>
        <w:jc w:val="both"/>
        <w:rPr>
          <w:iCs/>
          <w:color w:val="000000" w:themeColor="text1"/>
          <w:sz w:val="16"/>
          <w:szCs w:val="16"/>
        </w:rPr>
      </w:pPr>
    </w:p>
    <w:p w14:paraId="340941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 ГК НИИ ВВС проходил гос. испытания модифицированный самолет УИл-2 с мотором АМ-38Ф (самолет N 18841133 производства 18 завода, апрель 1945) (тема 2 - 1945), которые проходили с 31 мая 1945. Ви - ли - ик - Е.В.Зюскевич, второй ли - ст. л. Олейников. Облетали п Долгов, Тиняков и Фролов. Выполнили 26 полетов продолжительностью 13:06.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220631E" w14:textId="77777777" w:rsidR="006103B3" w:rsidRPr="00925F26" w:rsidRDefault="006103B3" w:rsidP="00925F26">
      <w:pPr>
        <w:autoSpaceDE w:val="0"/>
        <w:autoSpaceDN w:val="0"/>
        <w:adjustRightInd w:val="0"/>
        <w:jc w:val="both"/>
        <w:rPr>
          <w:color w:val="000000" w:themeColor="text1"/>
          <w:sz w:val="16"/>
          <w:szCs w:val="16"/>
        </w:rPr>
      </w:pPr>
    </w:p>
    <w:p w14:paraId="0F8752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Ф.Ф.Опадчий закончил заводские испытания Ту-10 (68) и начались гос. испытания, которые шли до 20 ноября 1946 (4,182).</w:t>
      </w:r>
    </w:p>
    <w:p w14:paraId="556C92E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Заводские испытания шли с 17 мая 1945, хотя первый полет был сделан 19 мая. 68 - фронтовой скоростной бомбардировщик с АМ-39ФНВ, сделанный на основе Ту-2 (1835,58).</w:t>
      </w:r>
    </w:p>
    <w:p w14:paraId="414DC1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другим данным гос. испытания 68 проходили с 28 июня по 30 июля 1945, но так и не были закончены (1835,58).</w:t>
      </w:r>
    </w:p>
    <w:p w14:paraId="5F07192F" w14:textId="77777777" w:rsidR="006103B3" w:rsidRPr="00925F26" w:rsidRDefault="006103B3" w:rsidP="00925F26">
      <w:pPr>
        <w:autoSpaceDE w:val="0"/>
        <w:autoSpaceDN w:val="0"/>
        <w:adjustRightInd w:val="0"/>
        <w:jc w:val="both"/>
        <w:rPr>
          <w:color w:val="000000" w:themeColor="text1"/>
          <w:sz w:val="16"/>
          <w:szCs w:val="16"/>
        </w:rPr>
      </w:pPr>
    </w:p>
    <w:p w14:paraId="2E5E0D8C" w14:textId="77777777" w:rsidR="00D7144C" w:rsidRPr="00925F26" w:rsidRDefault="00D7144C" w:rsidP="00925F26">
      <w:pPr>
        <w:jc w:val="both"/>
        <w:rPr>
          <w:color w:val="000000" w:themeColor="text1"/>
          <w:sz w:val="16"/>
          <w:szCs w:val="16"/>
        </w:rPr>
      </w:pPr>
      <w:r w:rsidRPr="00925F26">
        <w:rPr>
          <w:bCs/>
          <w:color w:val="000000" w:themeColor="text1"/>
          <w:sz w:val="16"/>
          <w:szCs w:val="16"/>
        </w:rPr>
        <w:t>8 июня</w:t>
      </w:r>
      <w:r w:rsidRPr="00925F26">
        <w:rPr>
          <w:color w:val="000000" w:themeColor="text1"/>
          <w:sz w:val="16"/>
          <w:szCs w:val="16"/>
        </w:rPr>
        <w:t xml:space="preserve"> в 1945 году закончились заводские испытания самолета </w:t>
      </w:r>
      <w:hyperlink r:id="rId143" w:tgtFrame="_blank" w:history="1">
        <w:r w:rsidRPr="00925F26">
          <w:rPr>
            <w:color w:val="000000" w:themeColor="text1"/>
            <w:sz w:val="16"/>
            <w:szCs w:val="16"/>
          </w:rPr>
          <w:t xml:space="preserve">"68" 2хАМ-39ФНВ </w:t>
        </w:r>
      </w:hyperlink>
      <w:r w:rsidRPr="00925F26">
        <w:rPr>
          <w:color w:val="000000" w:themeColor="text1"/>
          <w:sz w:val="16"/>
          <w:szCs w:val="16"/>
        </w:rPr>
        <w:t>Неделю на самолете устраняли выявленные дефекты, а 16 июня сдали НИИ ВВС на государственные испытания (14916).</w:t>
      </w:r>
    </w:p>
    <w:p w14:paraId="693A75CB" w14:textId="77777777" w:rsidR="00D7144C" w:rsidRPr="00925F26" w:rsidRDefault="00D7144C" w:rsidP="00925F26">
      <w:pPr>
        <w:jc w:val="both"/>
        <w:rPr>
          <w:color w:val="000000" w:themeColor="text1"/>
          <w:sz w:val="16"/>
          <w:szCs w:val="16"/>
        </w:rPr>
      </w:pPr>
    </w:p>
    <w:p w14:paraId="02C5E6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8 июня 1945 Нарком </w:t>
      </w:r>
      <w:proofErr w:type="gramStart"/>
      <w:r w:rsidRPr="00925F26">
        <w:rPr>
          <w:color w:val="000000" w:themeColor="text1"/>
          <w:sz w:val="16"/>
          <w:szCs w:val="16"/>
        </w:rPr>
        <w:t>ВМФ</w:t>
      </w:r>
      <w:proofErr w:type="gramEnd"/>
      <w:r w:rsidRPr="00925F26">
        <w:rPr>
          <w:color w:val="000000" w:themeColor="text1"/>
          <w:sz w:val="16"/>
          <w:szCs w:val="16"/>
        </w:rPr>
        <w:t xml:space="preserve"> а Кузнецов издал приказ о переоборудовании двух Ли-2 в тральщики, который разработал в КБ завода 89 А.П.Голубков и поручил провести испытания в декабре (3772).</w:t>
      </w:r>
    </w:p>
    <w:p w14:paraId="7D3A024B" w14:textId="77777777" w:rsidR="006103B3" w:rsidRPr="00925F26" w:rsidRDefault="006103B3" w:rsidP="00925F26">
      <w:pPr>
        <w:autoSpaceDE w:val="0"/>
        <w:autoSpaceDN w:val="0"/>
        <w:adjustRightInd w:val="0"/>
        <w:jc w:val="both"/>
        <w:rPr>
          <w:color w:val="000000" w:themeColor="text1"/>
          <w:sz w:val="16"/>
          <w:szCs w:val="16"/>
        </w:rPr>
      </w:pPr>
    </w:p>
    <w:p w14:paraId="3576E76B" w14:textId="77777777" w:rsidR="00D7144C" w:rsidRPr="00925F26" w:rsidRDefault="00D7144C" w:rsidP="00925F26">
      <w:pPr>
        <w:jc w:val="both"/>
        <w:rPr>
          <w:color w:val="000000" w:themeColor="text1"/>
          <w:sz w:val="16"/>
          <w:szCs w:val="16"/>
        </w:rPr>
      </w:pPr>
      <w:r w:rsidRPr="00925F26">
        <w:rPr>
          <w:bCs/>
          <w:color w:val="000000" w:themeColor="text1"/>
          <w:sz w:val="16"/>
          <w:szCs w:val="16"/>
        </w:rPr>
        <w:t>8 июня</w:t>
      </w:r>
      <w:r w:rsidRPr="00925F26">
        <w:rPr>
          <w:color w:val="000000" w:themeColor="text1"/>
          <w:sz w:val="16"/>
          <w:szCs w:val="16"/>
        </w:rPr>
        <w:t xml:space="preserve"> в 1945 году приказ Наркома ВМФ СССР адмирала Кузнецова о переоборудовании двух </w:t>
      </w:r>
      <w:hyperlink r:id="rId144" w:tgtFrame="_blank" w:history="1">
        <w:r w:rsidRPr="00925F26">
          <w:rPr>
            <w:color w:val="000000" w:themeColor="text1"/>
            <w:sz w:val="16"/>
            <w:szCs w:val="16"/>
          </w:rPr>
          <w:t xml:space="preserve">«Ли-2» </w:t>
        </w:r>
      </w:hyperlink>
      <w:r w:rsidRPr="00925F26">
        <w:rPr>
          <w:color w:val="000000" w:themeColor="text1"/>
          <w:sz w:val="16"/>
          <w:szCs w:val="16"/>
        </w:rPr>
        <w:t>в самолеты-тральщики и проведении в декабре первых испытательных полетов. Это был уже не первый документ подобного рода, и пока не обнаружено подтверждений, что он был исполнен. В 1943 г. главный конструктор КБ завода № 89 А.П.Голубков по заданию наркома ВМФ разработал и предложил эскизный проект авиационного тральщика для борьбы с магнитными минами «ПС-84-Т». Идея была не нова, так как годом раньше аналогичную машину разработали немцы "на базе «Ju-52». В нашей стране первый подобный проект, «ПС-84Т» или «ПС-84Тр», создали на заводе № 89 в 1943 году. Под крыльями и фюзеляжем располагалось огромное кольцо с обмоткой внутри. Оно удерживалось системой тросов и расчалок. Ток в обмотке создавал электрогенератор, работавший от дополнительного двигателя «МВ-6» в фюзеляже. Идя на высоте 20 м со скоростью 200 км/ч, «ПС-84Т» мог протралить полосу шириной 45 м, уничтожая мины на глубинах до 30 м. Проект был поддержан наркомом ВМФ Н.Г.Кузнецовым. В 1944 года на заводе № 456 предложили новый вариант тральщика с более мощным дополнительным мотором «М-105». Разработка «ПС-84Т», впоследствии переименованного в «Ли-2МТ», потихоньку шла всю войну, переходя из одной организации в другую. Наконец, им занялось ОКБ-30. В июне 1946 года МАП предписало испытать в ЛИИ опытный образец "тральщика Голубкова". Командиром экипажа испытателей был П.Е.Генаев. Последние упоминания о «Ли-2МТ» относятся к 1949 году, когда подготовили проект с установкой в качестве вспомогательного двигателя нового авиамотора «М-14». В августе того же года ОКБ-30 подписало с командованием ВМФ договор о эскизном проектировании самолета, а в декабре — договор о разработке основного узла, электромагнитного трала. Но данных об их выполнении пока найти не удалось (14916).</w:t>
      </w:r>
    </w:p>
    <w:p w14:paraId="2D98BB21" w14:textId="77777777" w:rsidR="00D7144C" w:rsidRPr="00925F26" w:rsidRDefault="00D7144C" w:rsidP="00925F26">
      <w:pPr>
        <w:jc w:val="both"/>
        <w:rPr>
          <w:color w:val="000000" w:themeColor="text1"/>
          <w:sz w:val="16"/>
          <w:szCs w:val="16"/>
        </w:rPr>
      </w:pPr>
    </w:p>
    <w:p w14:paraId="574FB0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начались наземные испытания первого опытного Ил-12 (3846,21).</w:t>
      </w:r>
    </w:p>
    <w:p w14:paraId="2740D9E4" w14:textId="77777777" w:rsidR="006103B3" w:rsidRPr="00925F26" w:rsidRDefault="006103B3" w:rsidP="00925F26">
      <w:pPr>
        <w:autoSpaceDE w:val="0"/>
        <w:autoSpaceDN w:val="0"/>
        <w:adjustRightInd w:val="0"/>
        <w:jc w:val="both"/>
        <w:rPr>
          <w:color w:val="000000" w:themeColor="text1"/>
          <w:sz w:val="16"/>
          <w:szCs w:val="16"/>
        </w:rPr>
      </w:pPr>
    </w:p>
    <w:p w14:paraId="7DF3BDD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г. был предъявлен макет скоростного бомбардировщика Ил-14 с четырьмя моторами АМ-43, оснащенными двухскоростными нагнетателями. В этом варианте взлетная мощность двигателей составляла 2500 л.с., боевая - 2450 л.с. на высоте 2000 м, а номинальная - 1750 л.с. на высоте 8000 м. По расчетам Ил-14 на высоте 9000 м мог развить максимальную скорость 760 км/ч. В 1946 г. было построено пять самолетов Ил-14, но из-за отсутствия двигателей машины не поднимались в воздух (9032).</w:t>
      </w:r>
    </w:p>
    <w:p w14:paraId="0AC7D6C7" w14:textId="77777777" w:rsidR="006103B3" w:rsidRPr="00925F26" w:rsidRDefault="006103B3" w:rsidP="00925F26">
      <w:pPr>
        <w:autoSpaceDE w:val="0"/>
        <w:autoSpaceDN w:val="0"/>
        <w:adjustRightInd w:val="0"/>
        <w:jc w:val="both"/>
        <w:rPr>
          <w:color w:val="000000" w:themeColor="text1"/>
          <w:sz w:val="16"/>
          <w:szCs w:val="16"/>
        </w:rPr>
      </w:pPr>
    </w:p>
    <w:p w14:paraId="2F873D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г. состоялось заседание государственной макетной комиссии по самолету Ил-14 (первого самолета под таким обозначением), предназначавшегося для замены самолета Ил-4 и способного превысить скорость 700 км/ч. После ознакомления с чертежами, схемами и осмотром строящегося Ил-14 комиссия в целом одобрила самолет, но рекомендовала завершить его постройку в варианте с двухместной кабиной летчиков, сидящих рядом, увеличить боезапас оборонительного вооружения и установить спаренные пушки для защиты задней полусферы, причем пушечные установки вверху и внизу должны были обеспечивать круговой обстрел. Несмотря на положительное заключение военных, в связи с окончанием Второй мировой войны постройку опытного самолета Ил-14 прекратили (9528).</w:t>
      </w:r>
    </w:p>
    <w:p w14:paraId="7259B895" w14:textId="77777777" w:rsidR="006103B3" w:rsidRPr="00925F26" w:rsidRDefault="006103B3" w:rsidP="00925F26">
      <w:pPr>
        <w:autoSpaceDE w:val="0"/>
        <w:autoSpaceDN w:val="0"/>
        <w:adjustRightInd w:val="0"/>
        <w:jc w:val="both"/>
        <w:rPr>
          <w:color w:val="000000" w:themeColor="text1"/>
          <w:sz w:val="16"/>
          <w:szCs w:val="16"/>
        </w:rPr>
      </w:pPr>
    </w:p>
    <w:p w14:paraId="3811F808" w14:textId="77777777" w:rsidR="00FB7692" w:rsidRPr="001A0BAA" w:rsidRDefault="00FB7692" w:rsidP="00FB7692">
      <w:pPr>
        <w:jc w:val="both"/>
        <w:rPr>
          <w:color w:val="0070C0"/>
          <w:sz w:val="16"/>
          <w:szCs w:val="16"/>
        </w:rPr>
      </w:pPr>
      <w:r w:rsidRPr="001A0BAA">
        <w:rPr>
          <w:color w:val="0070C0"/>
          <w:sz w:val="16"/>
          <w:szCs w:val="16"/>
        </w:rPr>
        <w:t>8 июня 1945 года состоялась государственная макетная комиссия, которая одобрила проект бомбардировщика Ил-14, но внесла важные изменения:</w:t>
      </w:r>
    </w:p>
    <w:p w14:paraId="2465207A" w14:textId="77777777" w:rsidR="00FB7692" w:rsidRPr="001A0BAA" w:rsidRDefault="00FB7692" w:rsidP="00FB7692">
      <w:pPr>
        <w:jc w:val="both"/>
        <w:rPr>
          <w:color w:val="0070C0"/>
          <w:sz w:val="16"/>
          <w:szCs w:val="16"/>
        </w:rPr>
      </w:pPr>
      <w:r w:rsidRPr="001A0BAA">
        <w:rPr>
          <w:color w:val="0070C0"/>
          <w:sz w:val="16"/>
          <w:szCs w:val="16"/>
        </w:rPr>
        <w:t>переход на двухместную кабину лётчиков, сидящих рядом;</w:t>
      </w:r>
    </w:p>
    <w:p w14:paraId="569BAC6E" w14:textId="77777777" w:rsidR="00FB7692" w:rsidRPr="001A0BAA" w:rsidRDefault="00FB7692" w:rsidP="00FB7692">
      <w:pPr>
        <w:jc w:val="both"/>
        <w:rPr>
          <w:color w:val="0070C0"/>
          <w:sz w:val="16"/>
          <w:szCs w:val="16"/>
        </w:rPr>
      </w:pPr>
      <w:r w:rsidRPr="001A0BAA">
        <w:rPr>
          <w:color w:val="0070C0"/>
          <w:sz w:val="16"/>
          <w:szCs w:val="16"/>
        </w:rPr>
        <w:t>увеличение боезапаса;</w:t>
      </w:r>
    </w:p>
    <w:p w14:paraId="2D32D613" w14:textId="77777777" w:rsidR="00FB7692" w:rsidRPr="001A0BAA" w:rsidRDefault="00FB7692" w:rsidP="00FB7692">
      <w:pPr>
        <w:jc w:val="both"/>
        <w:rPr>
          <w:color w:val="0070C0"/>
          <w:sz w:val="16"/>
          <w:szCs w:val="16"/>
        </w:rPr>
      </w:pPr>
      <w:r w:rsidRPr="001A0BAA">
        <w:rPr>
          <w:color w:val="0070C0"/>
          <w:sz w:val="16"/>
          <w:szCs w:val="16"/>
        </w:rPr>
        <w:t>установку спаренных пушек для обстрела задней полусферы.</w:t>
      </w:r>
    </w:p>
    <w:p w14:paraId="124B4FC7" w14:textId="77777777" w:rsidR="00FB7692" w:rsidRPr="001A0BAA" w:rsidRDefault="00FB7692" w:rsidP="00FB7692">
      <w:pPr>
        <w:jc w:val="both"/>
        <w:rPr>
          <w:color w:val="0070C0"/>
          <w:sz w:val="16"/>
          <w:szCs w:val="16"/>
        </w:rPr>
      </w:pPr>
      <w:r w:rsidRPr="001A0BAA">
        <w:rPr>
          <w:color w:val="0070C0"/>
          <w:sz w:val="16"/>
          <w:szCs w:val="16"/>
        </w:rPr>
        <w:t>Проект Ил-14 поражал амбициозностью технических решений, особенно для своего времени.</w:t>
      </w:r>
    </w:p>
    <w:p w14:paraId="6E403399" w14:textId="77777777" w:rsidR="00FB7692" w:rsidRPr="001A0BAA" w:rsidRDefault="00FB7692" w:rsidP="00FB7692">
      <w:pPr>
        <w:jc w:val="both"/>
        <w:rPr>
          <w:color w:val="0070C0"/>
          <w:sz w:val="16"/>
          <w:szCs w:val="16"/>
        </w:rPr>
      </w:pPr>
      <w:r w:rsidRPr="001A0BAA">
        <w:rPr>
          <w:color w:val="0070C0"/>
          <w:sz w:val="16"/>
          <w:szCs w:val="16"/>
        </w:rPr>
        <w:t>Силовая установка: 4 двигателя АМ-43НВ жидкостного охлаждения, каждый мощностью 2460 л.с. в взлётном режиме.</w:t>
      </w:r>
    </w:p>
    <w:p w14:paraId="3008582A" w14:textId="77777777" w:rsidR="00FB7692" w:rsidRPr="001A0BAA" w:rsidRDefault="00FB7692" w:rsidP="00FB7692">
      <w:pPr>
        <w:jc w:val="both"/>
        <w:rPr>
          <w:color w:val="0070C0"/>
          <w:sz w:val="16"/>
          <w:szCs w:val="16"/>
        </w:rPr>
      </w:pPr>
      <w:r w:rsidRPr="001A0BAA">
        <w:rPr>
          <w:color w:val="0070C0"/>
          <w:sz w:val="16"/>
          <w:szCs w:val="16"/>
        </w:rPr>
        <w:t>Схема размещения двигателей: тандем на концах центроплана — по два двигателя с тянущим и толкающим винтами, что обеспечивало высокую эффективность и компактность мотогондол.</w:t>
      </w:r>
    </w:p>
    <w:p w14:paraId="4B2B062B" w14:textId="77777777" w:rsidR="00FB7692" w:rsidRPr="001A0BAA" w:rsidRDefault="00FB7692" w:rsidP="00FB7692">
      <w:pPr>
        <w:jc w:val="both"/>
        <w:rPr>
          <w:color w:val="0070C0"/>
          <w:sz w:val="16"/>
          <w:szCs w:val="16"/>
        </w:rPr>
      </w:pPr>
      <w:r w:rsidRPr="001A0BAA">
        <w:rPr>
          <w:color w:val="0070C0"/>
          <w:sz w:val="16"/>
          <w:szCs w:val="16"/>
        </w:rPr>
        <w:t>Крыло: высокоплан с большим удлинением — 9,25, что способствовало высокому аэродинамическому качеству. Удельная нагрузка на крыло — 257 кг/м², что указывало на высокоскоростную ориентацию.</w:t>
      </w:r>
    </w:p>
    <w:p w14:paraId="4C988154" w14:textId="77777777" w:rsidR="00FB7692" w:rsidRPr="001A0BAA" w:rsidRDefault="00FB7692" w:rsidP="00FB7692">
      <w:pPr>
        <w:jc w:val="both"/>
        <w:rPr>
          <w:color w:val="0070C0"/>
          <w:sz w:val="16"/>
          <w:szCs w:val="16"/>
        </w:rPr>
      </w:pPr>
      <w:r w:rsidRPr="001A0BAA">
        <w:rPr>
          <w:color w:val="0070C0"/>
          <w:sz w:val="16"/>
          <w:szCs w:val="16"/>
        </w:rPr>
        <w:t>Площадь крыла: 83,8 м².</w:t>
      </w:r>
    </w:p>
    <w:p w14:paraId="11A647F7" w14:textId="77777777" w:rsidR="00FB7692" w:rsidRPr="001A0BAA" w:rsidRDefault="00FB7692" w:rsidP="00FB7692">
      <w:pPr>
        <w:jc w:val="both"/>
        <w:rPr>
          <w:color w:val="0070C0"/>
          <w:sz w:val="16"/>
          <w:szCs w:val="16"/>
        </w:rPr>
      </w:pPr>
      <w:r w:rsidRPr="001A0BAA">
        <w:rPr>
          <w:color w:val="0070C0"/>
          <w:sz w:val="16"/>
          <w:szCs w:val="16"/>
        </w:rPr>
        <w:t>Экипаж: 4 человека — пилот, штурман, стрелок-радист, воздушный стрелок.</w:t>
      </w:r>
    </w:p>
    <w:p w14:paraId="3323770B" w14:textId="77777777" w:rsidR="00FB7692" w:rsidRPr="001A0BAA" w:rsidRDefault="00FB7692" w:rsidP="00FB7692">
      <w:pPr>
        <w:jc w:val="both"/>
        <w:rPr>
          <w:color w:val="0070C0"/>
          <w:sz w:val="16"/>
          <w:szCs w:val="16"/>
        </w:rPr>
      </w:pPr>
      <w:r w:rsidRPr="001A0BAA">
        <w:rPr>
          <w:color w:val="0070C0"/>
          <w:sz w:val="16"/>
          <w:szCs w:val="16"/>
        </w:rPr>
        <w:t>Вес: нормальный полётный вес — 21 500 кг, максимальный — 22 250 кг.</w:t>
      </w:r>
    </w:p>
    <w:p w14:paraId="729AB031" w14:textId="77777777" w:rsidR="00FB7692" w:rsidRPr="001A0BAA" w:rsidRDefault="00FB7692" w:rsidP="00FB7692">
      <w:pPr>
        <w:jc w:val="both"/>
        <w:rPr>
          <w:color w:val="0070C0"/>
          <w:sz w:val="16"/>
          <w:szCs w:val="16"/>
        </w:rPr>
      </w:pPr>
      <w:r w:rsidRPr="001A0BAA">
        <w:rPr>
          <w:color w:val="0070C0"/>
          <w:sz w:val="16"/>
          <w:szCs w:val="16"/>
        </w:rPr>
        <w:t>Максимальная скорость: 760 км/ч на высоте 9 300 м, у земли — 600 км/ч.</w:t>
      </w:r>
    </w:p>
    <w:p w14:paraId="336647C8" w14:textId="77777777" w:rsidR="00FB7692" w:rsidRPr="001A0BAA" w:rsidRDefault="00FB7692" w:rsidP="00FB7692">
      <w:pPr>
        <w:jc w:val="both"/>
        <w:rPr>
          <w:color w:val="0070C0"/>
          <w:sz w:val="16"/>
          <w:szCs w:val="16"/>
        </w:rPr>
      </w:pPr>
      <w:r w:rsidRPr="001A0BAA">
        <w:rPr>
          <w:color w:val="0070C0"/>
          <w:sz w:val="16"/>
          <w:szCs w:val="16"/>
        </w:rPr>
        <w:t>Дальность полёта: 2 500 км при крейсерской скорости 500 км/ч.</w:t>
      </w:r>
    </w:p>
    <w:p w14:paraId="75DC806C" w14:textId="77777777" w:rsidR="00FB7692" w:rsidRPr="001A0BAA" w:rsidRDefault="00FB7692" w:rsidP="00FB7692">
      <w:pPr>
        <w:jc w:val="both"/>
        <w:rPr>
          <w:color w:val="0070C0"/>
          <w:sz w:val="16"/>
          <w:szCs w:val="16"/>
        </w:rPr>
      </w:pPr>
      <w:r w:rsidRPr="001A0BAA">
        <w:rPr>
          <w:color w:val="0070C0"/>
          <w:sz w:val="16"/>
          <w:szCs w:val="16"/>
        </w:rPr>
        <w:t>Практический потолок: 12 500 м.</w:t>
      </w:r>
    </w:p>
    <w:p w14:paraId="273794FD" w14:textId="77777777" w:rsidR="00FB7692" w:rsidRPr="001A0BAA" w:rsidRDefault="00FB7692" w:rsidP="00FB7692">
      <w:pPr>
        <w:jc w:val="both"/>
        <w:rPr>
          <w:color w:val="0070C0"/>
          <w:sz w:val="16"/>
          <w:szCs w:val="16"/>
        </w:rPr>
      </w:pPr>
      <w:r w:rsidRPr="001A0BAA">
        <w:rPr>
          <w:color w:val="0070C0"/>
          <w:sz w:val="16"/>
          <w:szCs w:val="16"/>
        </w:rPr>
        <w:t>Время набора высоты 5 000 м: 5 минут.</w:t>
      </w:r>
    </w:p>
    <w:p w14:paraId="1A5B7B2A" w14:textId="77777777" w:rsidR="00FB7692" w:rsidRPr="001A0BAA" w:rsidRDefault="00FB7692" w:rsidP="00FB7692">
      <w:pPr>
        <w:jc w:val="both"/>
        <w:rPr>
          <w:color w:val="0070C0"/>
          <w:sz w:val="16"/>
          <w:szCs w:val="16"/>
        </w:rPr>
      </w:pPr>
      <w:r w:rsidRPr="001A0BAA">
        <w:rPr>
          <w:color w:val="0070C0"/>
          <w:sz w:val="16"/>
          <w:szCs w:val="16"/>
        </w:rPr>
        <w:t>Разбег при взлёте: 560 м.</w:t>
      </w:r>
    </w:p>
    <w:p w14:paraId="4290B826" w14:textId="77777777" w:rsidR="00FB7692" w:rsidRPr="001A0BAA" w:rsidRDefault="00FB7692" w:rsidP="00FB7692">
      <w:pPr>
        <w:jc w:val="both"/>
        <w:rPr>
          <w:color w:val="0070C0"/>
          <w:sz w:val="16"/>
          <w:szCs w:val="16"/>
        </w:rPr>
      </w:pPr>
      <w:r w:rsidRPr="001A0BAA">
        <w:rPr>
          <w:color w:val="0070C0"/>
          <w:sz w:val="16"/>
          <w:szCs w:val="16"/>
        </w:rPr>
        <w:t>Посадочная скорость: 145 км/ч.</w:t>
      </w:r>
    </w:p>
    <w:p w14:paraId="44F564FE" w14:textId="77777777" w:rsidR="00FB7692" w:rsidRPr="001A0BAA" w:rsidRDefault="00FB7692" w:rsidP="00FB7692">
      <w:pPr>
        <w:jc w:val="both"/>
        <w:rPr>
          <w:color w:val="0070C0"/>
          <w:sz w:val="16"/>
          <w:szCs w:val="16"/>
        </w:rPr>
      </w:pPr>
      <w:r w:rsidRPr="001A0BAA">
        <w:rPr>
          <w:color w:val="0070C0"/>
          <w:sz w:val="16"/>
          <w:szCs w:val="16"/>
        </w:rPr>
        <w:t>Такие характеристики делали Ил-14 одним из самых скоростных бомбардировщиков своего времени — быстрее, чем многие истребители 1944 года.</w:t>
      </w:r>
    </w:p>
    <w:p w14:paraId="1530404A" w14:textId="77777777" w:rsidR="00FB7692" w:rsidRPr="001A0BAA" w:rsidRDefault="00FB7692" w:rsidP="00FB7692">
      <w:pPr>
        <w:jc w:val="both"/>
        <w:rPr>
          <w:color w:val="0070C0"/>
          <w:sz w:val="16"/>
          <w:szCs w:val="16"/>
        </w:rPr>
      </w:pPr>
      <w:r w:rsidRPr="001A0BAA">
        <w:rPr>
          <w:color w:val="0070C0"/>
          <w:sz w:val="16"/>
          <w:szCs w:val="16"/>
        </w:rPr>
        <w:t>Однако с окончанием войны приоритеты изменились. Финансирование сократилось, а внимание переключилось на реактивную авиацию. Постройка опытного Ил-14 была остановлена, и проект остался на бумаге (25685</w:t>
      </w:r>
      <w:proofErr w:type="gramStart"/>
      <w:r w:rsidRPr="001A0BAA">
        <w:rPr>
          <w:color w:val="0070C0"/>
          <w:sz w:val="16"/>
          <w:szCs w:val="16"/>
        </w:rPr>
        <w:t>)..</w:t>
      </w:r>
      <w:proofErr w:type="gramEnd"/>
    </w:p>
    <w:p w14:paraId="771F0C74" w14:textId="77777777" w:rsidR="00FB7692" w:rsidRPr="001A0BAA" w:rsidRDefault="00FB7692" w:rsidP="00FB7692">
      <w:pPr>
        <w:jc w:val="both"/>
        <w:rPr>
          <w:color w:val="0070C0"/>
          <w:sz w:val="16"/>
          <w:szCs w:val="16"/>
        </w:rPr>
      </w:pPr>
    </w:p>
    <w:p w14:paraId="770B1C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8987 О вывозе оборудования с немецких авиационных заводов в районе г. Ратенов, в местечке Рангсдорф и в г. Бург на предприятия Наркомавиапрома. РГАНИР, Фонд ГКО, д. 426, лл. 99-101 (11012).</w:t>
      </w:r>
    </w:p>
    <w:p w14:paraId="0049664E" w14:textId="77777777" w:rsidR="006103B3" w:rsidRPr="00925F26" w:rsidRDefault="006103B3" w:rsidP="00925F26">
      <w:pPr>
        <w:autoSpaceDE w:val="0"/>
        <w:autoSpaceDN w:val="0"/>
        <w:adjustRightInd w:val="0"/>
        <w:jc w:val="both"/>
        <w:rPr>
          <w:color w:val="000000" w:themeColor="text1"/>
          <w:sz w:val="16"/>
          <w:szCs w:val="16"/>
        </w:rPr>
      </w:pPr>
    </w:p>
    <w:p w14:paraId="1AE677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года нарком авиационной промышленности Шахурин в докладной записке писал:</w:t>
      </w:r>
    </w:p>
    <w:p w14:paraId="1694BFA2"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«…Институт задолго до прихода Красной Армии был эвакуирован в среднею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 (11688).</w:t>
      </w:r>
    </w:p>
    <w:p w14:paraId="6388729B" w14:textId="77777777" w:rsidR="006103B3" w:rsidRPr="00925F26" w:rsidRDefault="006103B3" w:rsidP="00925F26">
      <w:pPr>
        <w:widowControl w:val="0"/>
        <w:autoSpaceDE w:val="0"/>
        <w:autoSpaceDN w:val="0"/>
        <w:adjustRightInd w:val="0"/>
        <w:jc w:val="both"/>
        <w:rPr>
          <w:color w:val="000000" w:themeColor="text1"/>
          <w:sz w:val="16"/>
          <w:szCs w:val="16"/>
        </w:rPr>
      </w:pPr>
    </w:p>
    <w:p w14:paraId="04A18C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июня 1945 г. была Докладная записка А.И. Шахурина Г.М. Маленкову о результатах обследования германского реактивного научно-испытательного института в Пенемюнде</w:t>
      </w:r>
    </w:p>
    <w:p w14:paraId="449650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Секретно</w:t>
      </w:r>
    </w:p>
    <w:p w14:paraId="55A5A7D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 товарищу Маленкову Г.М.</w:t>
      </w:r>
    </w:p>
    <w:p w14:paraId="4F2439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Вам результаты обследования германского научно-исследовательского института ракетного вооружения в Пенемюнде (так в документе. Правильно: Германский реактивный научно-испытательный институт ракетного вооружения.), про</w:t>
      </w:r>
      <w:r w:rsidRPr="00925F26">
        <w:rPr>
          <w:color w:val="000000" w:themeColor="text1"/>
          <w:sz w:val="16"/>
          <w:szCs w:val="16"/>
        </w:rPr>
        <w:softHyphen/>
        <w:t>изведенного заместителем начальника НИИ-1 профессором Абрамови</w:t>
      </w:r>
      <w:r w:rsidRPr="00925F26">
        <w:rPr>
          <w:color w:val="000000" w:themeColor="text1"/>
          <w:sz w:val="16"/>
          <w:szCs w:val="16"/>
        </w:rPr>
        <w:softHyphen/>
        <w:t>чем Г.Н., который был послан в Германию с комиссией генерал-майора Петрова Н.И.</w:t>
      </w:r>
    </w:p>
    <w:p w14:paraId="3BAE45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Институт в Пенемюнде представляет собой огромный комбинат, зани</w:t>
      </w:r>
      <w:r w:rsidRPr="00925F26">
        <w:rPr>
          <w:color w:val="000000" w:themeColor="text1"/>
          <w:sz w:val="16"/>
          <w:szCs w:val="16"/>
        </w:rPr>
        <w:softHyphen/>
        <w:t>мавшийся разработкой и испытанием ракетных снарядов.</w:t>
      </w:r>
    </w:p>
    <w:p w14:paraId="27A191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Институт располагался на территории площадью около 80 кв. киломе</w:t>
      </w:r>
      <w:r w:rsidRPr="00925F26">
        <w:rPr>
          <w:color w:val="000000" w:themeColor="text1"/>
          <w:sz w:val="16"/>
          <w:szCs w:val="16"/>
        </w:rPr>
        <w:softHyphen/>
        <w:t>тров, имея более 150 зданий и сооружений общей площадью более 200 тысяч квадратных метров. Мощность сохранившейся электростанции института 30 тысяч киловатт. Число сотрудников и рабочих в институте доходило до 7500 человек.</w:t>
      </w:r>
    </w:p>
    <w:p w14:paraId="7C50977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Институт входил в систему управления вооружением Рейхсвера. Руководил им специальный уполномоченный Гитлера генерал СС Кеммлер (заместитель Гимлера). Координацией работы института и промышленности ведал представитель министра вооружения Шпеера. Научным руководителем института был профессор фон Браун, который работал над ракетными снарядами еще с 1932 года. Строительство института в Пенемюнде началось в 1935 году. Масштабы работы института можно оценить по 11 гигантским стендам высотой до 30 метров, которые легко вмещали для различного характера испыта</w:t>
      </w:r>
      <w:r w:rsidRPr="00925F26">
        <w:rPr>
          <w:color w:val="000000" w:themeColor="text1"/>
          <w:sz w:val="16"/>
          <w:szCs w:val="16"/>
        </w:rPr>
        <w:softHyphen/>
        <w:t>ний (в том числе и при действующих двигателях) такие крупные снаряды, как фау-2, в натуральную величину. Стенды были оборудованы водоохлаждаемыми стенками, динамометрами для измерения сил, действующих на снаря</w:t>
      </w:r>
      <w:r w:rsidRPr="00925F26">
        <w:rPr>
          <w:color w:val="000000" w:themeColor="text1"/>
          <w:sz w:val="16"/>
          <w:szCs w:val="16"/>
        </w:rPr>
        <w:softHyphen/>
        <w:t>ды, приборами для измерения угловых ускорений свободноподвешенного снаряда, аппаратурой для тепловых измерений и т. п.</w:t>
      </w:r>
    </w:p>
    <w:p w14:paraId="3ACF44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Обращает на себя внимание исключительная целеустремленность работ института. Здесь, несмотря на большую мощь и большое число сотрудни</w:t>
      </w:r>
      <w:r w:rsidRPr="00925F26">
        <w:rPr>
          <w:color w:val="000000" w:themeColor="text1"/>
          <w:sz w:val="16"/>
          <w:szCs w:val="16"/>
        </w:rPr>
        <w:softHyphen/>
        <w:t>ков, занимались только ракетной артиллерией — ракетными снарядами, действующими только на жидком топливе и жидком окислителе.</w:t>
      </w:r>
    </w:p>
    <w:p w14:paraId="3C909D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Эта целеустремленность подчеркивается еще тем обстоятельством, что помещавшаяся рядом с институтом станция испытания самолетов-снаря</w:t>
      </w:r>
      <w:r w:rsidRPr="00925F26">
        <w:rPr>
          <w:color w:val="000000" w:themeColor="text1"/>
          <w:sz w:val="16"/>
          <w:szCs w:val="16"/>
        </w:rPr>
        <w:softHyphen/>
        <w:t>дов Фау-1 (по показаниям оставшихся в Пенемюнде бывших работников института) не имела никакого отношения к системе института и, в отли</w:t>
      </w:r>
      <w:r w:rsidRPr="00925F26">
        <w:rPr>
          <w:color w:val="000000" w:themeColor="text1"/>
          <w:sz w:val="16"/>
          <w:szCs w:val="16"/>
        </w:rPr>
        <w:softHyphen/>
        <w:t>чие от последнего, подчинялась непосредственно управлению военно-воздушных сил.</w:t>
      </w:r>
    </w:p>
    <w:p w14:paraId="1301EB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Институт задолго до прихода Красной Армии был эвакуирован в сред</w:t>
      </w:r>
      <w:r w:rsidRPr="00925F26">
        <w:rPr>
          <w:color w:val="000000" w:themeColor="text1"/>
          <w:sz w:val="16"/>
          <w:szCs w:val="16"/>
        </w:rPr>
        <w:softHyphen/>
        <w:t>нюю Германию (в Тюрингию), куда вывезено все производственное обо</w:t>
      </w:r>
      <w:r w:rsidRPr="00925F26">
        <w:rPr>
          <w:color w:val="000000" w:themeColor="text1"/>
          <w:sz w:val="16"/>
          <w:szCs w:val="16"/>
        </w:rPr>
        <w:softHyphen/>
        <w:t>рудование, основные кадры сотрудников во главе с профессором фон Бра</w:t>
      </w:r>
      <w:r w:rsidRPr="00925F26">
        <w:rPr>
          <w:color w:val="000000" w:themeColor="text1"/>
          <w:sz w:val="16"/>
          <w:szCs w:val="16"/>
        </w:rPr>
        <w:softHyphen/>
        <w:t>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сохранившиеся два больших кислородных завода, действующая электростанция и детали от различных ракетных снарядов.</w:t>
      </w:r>
    </w:p>
    <w:p w14:paraId="4BC3EC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оставшимся сооружениям, найденным деталям снарядов и опросу оставшихся (второстепенных) работников института можно сделать сле</w:t>
      </w:r>
      <w:r w:rsidRPr="00925F26">
        <w:rPr>
          <w:color w:val="000000" w:themeColor="text1"/>
          <w:sz w:val="16"/>
          <w:szCs w:val="16"/>
        </w:rPr>
        <w:softHyphen/>
        <w:t>дующие заключения:</w:t>
      </w:r>
    </w:p>
    <w:p w14:paraId="36543C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Основной тематикой работы института была отработка дальнобой</w:t>
      </w:r>
      <w:r w:rsidRPr="00925F26">
        <w:rPr>
          <w:color w:val="000000" w:themeColor="text1"/>
          <w:sz w:val="16"/>
          <w:szCs w:val="16"/>
        </w:rPr>
        <w:softHyphen/>
        <w:t>ных снарядов Фау-2 (длиной 14 метров) с дальностью стрельбы 300-350 км. Снаряды эти были разработаны еще в 1942 году на двигателе со спиртом в качестве топлива и жидким кислородом в качестве окислителя. Однако в полете эти снаряды давали преждевременные разрывы и недо</w:t>
      </w:r>
      <w:r w:rsidRPr="00925F26">
        <w:rPr>
          <w:color w:val="000000" w:themeColor="text1"/>
          <w:sz w:val="16"/>
          <w:szCs w:val="16"/>
        </w:rPr>
        <w:softHyphen/>
        <w:t>статочно точно управлялись по радио, что удалось устранить лишь в конце 1944 года, после чего они нашли применение при бомбардировках Лондона (техническое наименование этого снаряда — А-4). Велась работа по улуч</w:t>
      </w:r>
      <w:r w:rsidRPr="00925F26">
        <w:rPr>
          <w:color w:val="000000" w:themeColor="text1"/>
          <w:sz w:val="16"/>
          <w:szCs w:val="16"/>
        </w:rPr>
        <w:softHyphen/>
        <w:t>шению кучности и увеличению дальности снарядов Фау-2 до 550-600 км.</w:t>
      </w:r>
    </w:p>
    <w:p w14:paraId="58A7597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 институте велась разработка ракетных зенитных снарядов с радио</w:t>
      </w:r>
      <w:r w:rsidRPr="00925F26">
        <w:rPr>
          <w:color w:val="000000" w:themeColor="text1"/>
          <w:sz w:val="16"/>
          <w:szCs w:val="16"/>
        </w:rPr>
        <w:softHyphen/>
        <w:t>управлением. По форме ракетный зенитный снаряд напоминает снаряд Фау-2, но отличается от него меньшими размерами (длина 8 метров). Двигатель работает на азотной кислоте в качестве окислителя (кислород непригоден для зенитного снаряда из-за своей быстрой испаряемости, тогда как зенитный снаряд должен долго храниться в состоянии полной готовности к стрельбе).</w:t>
      </w:r>
    </w:p>
    <w:p w14:paraId="2720D8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результате работы комиссии обнаружены снаряды, а также некоторые чертежи, которые позволяют изучить устройство и действие немецких ра</w:t>
      </w:r>
      <w:r w:rsidRPr="00925F26">
        <w:rPr>
          <w:color w:val="000000" w:themeColor="text1"/>
          <w:sz w:val="16"/>
          <w:szCs w:val="16"/>
        </w:rPr>
        <w:softHyphen/>
        <w:t>кетных снарядов, установить тенденции в их развитии и учесть опыт их разработки.</w:t>
      </w:r>
    </w:p>
    <w:p w14:paraId="3212AA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 материалов обследования германского института ракетного воору</w:t>
      </w:r>
      <w:r w:rsidRPr="00925F26">
        <w:rPr>
          <w:color w:val="000000" w:themeColor="text1"/>
          <w:sz w:val="16"/>
          <w:szCs w:val="16"/>
        </w:rPr>
        <w:softHyphen/>
        <w:t>жения в Пенемюнде видно, что работа по созданию Фау-2 и других типов ракетных снарядов имеет артиллерийский профиль, и поэтому ее целесо</w:t>
      </w:r>
      <w:r w:rsidRPr="00925F26">
        <w:rPr>
          <w:color w:val="000000" w:themeColor="text1"/>
          <w:sz w:val="16"/>
          <w:szCs w:val="16"/>
        </w:rPr>
        <w:softHyphen/>
        <w:t>образно поручить Народному комиссариату боеприпасов, передав ему все сохранившееся оборудование института в г. Пенемюнде.</w:t>
      </w:r>
    </w:p>
    <w:p w14:paraId="1114097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А. Шахурин</w:t>
      </w:r>
    </w:p>
    <w:p w14:paraId="48BC4DF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Помета: «В секр. архив. О вывозе оборудования института в Пенемюнде принято постановление ГОКО. Институт вывозится для НКБ 10.06.45».</w:t>
      </w:r>
    </w:p>
    <w:p w14:paraId="7B088D0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АП РФ. Ф. 3. Оп. 47. Д. 182. Лл. 70-72. Подлинник. На бланке Народного комиссара авиационной промышленности № Н-22/2524 от 8 июня 1945 г. Подпись — автограф (11751).</w:t>
      </w:r>
    </w:p>
    <w:p w14:paraId="1216D5C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1150359" w14:textId="77777777" w:rsidR="004A092D" w:rsidRPr="00925F26" w:rsidRDefault="004A092D" w:rsidP="00925F26">
      <w:pPr>
        <w:jc w:val="both"/>
        <w:rPr>
          <w:color w:val="000000" w:themeColor="text1"/>
          <w:sz w:val="16"/>
          <w:szCs w:val="16"/>
        </w:rPr>
      </w:pPr>
      <w:r w:rsidRPr="00925F26">
        <w:rPr>
          <w:color w:val="000000" w:themeColor="text1"/>
          <w:sz w:val="16"/>
          <w:szCs w:val="16"/>
        </w:rPr>
        <w:t>8 июля 1945 г. шезависимо от СВАГ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«Рабе»/»Нордхаузен».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П .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6E2E3A0E" w14:textId="77777777" w:rsidR="004A092D" w:rsidRPr="00925F26" w:rsidRDefault="004A092D" w:rsidP="00925F26">
      <w:pPr>
        <w:jc w:val="both"/>
        <w:rPr>
          <w:color w:val="000000" w:themeColor="text1"/>
          <w:sz w:val="16"/>
          <w:szCs w:val="16"/>
        </w:rPr>
      </w:pPr>
    </w:p>
    <w:p w14:paraId="7E762B49" w14:textId="77777777" w:rsidR="004A092D" w:rsidRPr="00925F26" w:rsidRDefault="004A092D" w:rsidP="00925F26">
      <w:pPr>
        <w:jc w:val="both"/>
        <w:rPr>
          <w:color w:val="000000" w:themeColor="text1"/>
          <w:sz w:val="16"/>
          <w:szCs w:val="16"/>
        </w:rPr>
      </w:pPr>
      <w:r w:rsidRPr="00925F26">
        <w:rPr>
          <w:color w:val="000000" w:themeColor="text1"/>
          <w:sz w:val="16"/>
          <w:szCs w:val="16"/>
        </w:rPr>
        <w:t>8 июня 1945г.</w:t>
      </w:r>
    </w:p>
    <w:p w14:paraId="166787A2" w14:textId="77777777" w:rsidR="004A092D" w:rsidRPr="00925F26" w:rsidRDefault="004A092D" w:rsidP="00925F26">
      <w:pPr>
        <w:jc w:val="both"/>
        <w:rPr>
          <w:color w:val="000000" w:themeColor="text1"/>
          <w:sz w:val="16"/>
          <w:szCs w:val="16"/>
        </w:rPr>
      </w:pPr>
      <w:r w:rsidRPr="00925F26">
        <w:rPr>
          <w:color w:val="000000" w:themeColor="text1"/>
          <w:sz w:val="16"/>
          <w:szCs w:val="16"/>
        </w:rPr>
        <w:t>О результатах обследования германского реактивного научно-исследовательского института в Пенемюнде</w:t>
      </w:r>
    </w:p>
    <w:p w14:paraId="1CCB0BEC" w14:textId="77777777" w:rsidR="004A092D" w:rsidRPr="00925F26" w:rsidRDefault="004A092D" w:rsidP="00925F26">
      <w:pPr>
        <w:jc w:val="both"/>
        <w:rPr>
          <w:color w:val="000000" w:themeColor="text1"/>
          <w:sz w:val="16"/>
          <w:szCs w:val="16"/>
        </w:rPr>
      </w:pPr>
      <w:r w:rsidRPr="00925F26">
        <w:rPr>
          <w:color w:val="000000" w:themeColor="text1"/>
          <w:sz w:val="16"/>
          <w:szCs w:val="16"/>
        </w:rPr>
        <w:t>Докладная записка А.И. Шахурина Г.Н. Маленкову от 8 июня 1945 г. о результатах обследования германского реактивного научно-исследовательского института в Пенемюнде</w:t>
      </w:r>
    </w:p>
    <w:p w14:paraId="34952DCF" w14:textId="77777777" w:rsidR="004A092D" w:rsidRPr="00925F26" w:rsidRDefault="004A092D" w:rsidP="00925F26">
      <w:pPr>
        <w:jc w:val="both"/>
        <w:rPr>
          <w:color w:val="000000" w:themeColor="text1"/>
          <w:sz w:val="16"/>
          <w:szCs w:val="16"/>
        </w:rPr>
      </w:pPr>
      <w:r w:rsidRPr="00925F26">
        <w:rPr>
          <w:color w:val="000000" w:themeColor="text1"/>
          <w:sz w:val="16"/>
          <w:szCs w:val="16"/>
        </w:rPr>
        <w:t>8 июня 1945г.</w:t>
      </w:r>
    </w:p>
    <w:p w14:paraId="5A0B2634" w14:textId="77777777" w:rsidR="004A092D" w:rsidRPr="00925F26" w:rsidRDefault="004A092D" w:rsidP="00925F26">
      <w:pPr>
        <w:jc w:val="both"/>
        <w:rPr>
          <w:color w:val="000000" w:themeColor="text1"/>
          <w:sz w:val="16"/>
          <w:szCs w:val="16"/>
        </w:rPr>
      </w:pPr>
      <w:r w:rsidRPr="00925F26">
        <w:rPr>
          <w:color w:val="000000" w:themeColor="text1"/>
          <w:sz w:val="16"/>
          <w:szCs w:val="16"/>
        </w:rPr>
        <w:t>Секретно</w:t>
      </w:r>
    </w:p>
    <w:p w14:paraId="78C58815" w14:textId="77777777" w:rsidR="004A092D" w:rsidRPr="00925F26" w:rsidRDefault="004A092D" w:rsidP="00925F26">
      <w:pPr>
        <w:jc w:val="both"/>
        <w:rPr>
          <w:color w:val="000000" w:themeColor="text1"/>
          <w:sz w:val="16"/>
          <w:szCs w:val="16"/>
        </w:rPr>
      </w:pPr>
      <w:r w:rsidRPr="00925F26">
        <w:rPr>
          <w:color w:val="000000" w:themeColor="text1"/>
          <w:sz w:val="16"/>
          <w:szCs w:val="16"/>
        </w:rPr>
        <w:t>Государственный Комитет Обороны</w:t>
      </w:r>
    </w:p>
    <w:p w14:paraId="4D027CBF" w14:textId="77777777" w:rsidR="004A092D" w:rsidRPr="00925F26" w:rsidRDefault="004A092D" w:rsidP="00925F26">
      <w:pPr>
        <w:jc w:val="both"/>
        <w:rPr>
          <w:color w:val="000000" w:themeColor="text1"/>
          <w:sz w:val="16"/>
          <w:szCs w:val="16"/>
        </w:rPr>
      </w:pPr>
      <w:r w:rsidRPr="00925F26">
        <w:rPr>
          <w:color w:val="000000" w:themeColor="text1"/>
          <w:sz w:val="16"/>
          <w:szCs w:val="16"/>
        </w:rPr>
        <w:t>товарищу Маленкову Г.Н.</w:t>
      </w:r>
    </w:p>
    <w:p w14:paraId="7378939C" w14:textId="77777777" w:rsidR="004A092D" w:rsidRPr="00925F26" w:rsidRDefault="004A092D" w:rsidP="00925F26">
      <w:pPr>
        <w:jc w:val="both"/>
        <w:rPr>
          <w:color w:val="000000" w:themeColor="text1"/>
          <w:sz w:val="16"/>
          <w:szCs w:val="16"/>
        </w:rPr>
      </w:pPr>
      <w:r w:rsidRPr="00925F26">
        <w:rPr>
          <w:color w:val="000000" w:themeColor="text1"/>
          <w:sz w:val="16"/>
          <w:szCs w:val="16"/>
        </w:rPr>
        <w:t>Докладываю Вам результаты обследования германского научно-исследовательского института ракетного вооружения в Пенемюнде, произведенного заместителем начальника НИИ-1 профессором Абрамовичем Г.Н., который был послан в Германию с комиссией генерал-майора Петрова Н.И.</w:t>
      </w:r>
    </w:p>
    <w:p w14:paraId="73C3BAE9" w14:textId="77777777" w:rsidR="004A092D" w:rsidRPr="00925F26" w:rsidRDefault="004A092D" w:rsidP="00925F26">
      <w:pPr>
        <w:jc w:val="both"/>
        <w:rPr>
          <w:color w:val="000000" w:themeColor="text1"/>
          <w:sz w:val="16"/>
          <w:szCs w:val="16"/>
        </w:rPr>
      </w:pPr>
      <w:r w:rsidRPr="00925F26">
        <w:rPr>
          <w:color w:val="000000" w:themeColor="text1"/>
          <w:sz w:val="16"/>
          <w:szCs w:val="16"/>
        </w:rPr>
        <w:t>Институт в Пенемюнде представляет собой огромный комбинат, занимавшийся разработкой и испытанием ракетных снарядов.</w:t>
      </w:r>
    </w:p>
    <w:p w14:paraId="36E66492" w14:textId="77777777" w:rsidR="004A092D" w:rsidRPr="00925F26" w:rsidRDefault="004A092D" w:rsidP="00925F26">
      <w:pPr>
        <w:jc w:val="both"/>
        <w:rPr>
          <w:color w:val="000000" w:themeColor="text1"/>
          <w:sz w:val="16"/>
          <w:szCs w:val="16"/>
        </w:rPr>
      </w:pPr>
      <w:r w:rsidRPr="00925F26">
        <w:rPr>
          <w:color w:val="000000" w:themeColor="text1"/>
          <w:sz w:val="16"/>
          <w:szCs w:val="16"/>
        </w:rPr>
        <w:t>Институт располагался на территории площадью около 80 кв. километров, имея более 150 зданий и сооружений общей площадью более 200 тысяч квадратных метров. Мощность сохранившейся электростанции института 30 тысяч киловатт. Число сотрудников и рабочих в институте доходило до 7 500 человек.</w:t>
      </w:r>
    </w:p>
    <w:p w14:paraId="3FAD0C7B" w14:textId="6CC63295" w:rsidR="004A092D" w:rsidRPr="00925F26" w:rsidRDefault="004A092D" w:rsidP="00925F26">
      <w:pPr>
        <w:jc w:val="both"/>
        <w:rPr>
          <w:color w:val="000000" w:themeColor="text1"/>
          <w:sz w:val="16"/>
          <w:szCs w:val="16"/>
        </w:rPr>
      </w:pPr>
      <w:r w:rsidRPr="00925F26">
        <w:rPr>
          <w:color w:val="000000" w:themeColor="text1"/>
          <w:sz w:val="16"/>
          <w:szCs w:val="16"/>
        </w:rPr>
        <w:t>Институт входил систему управления вооружения Рейхсвера. Руководил им специальный уполномоченный Гитлера генерал СС Каммлер (заместитель Гиммлера). Координацией работы института и промышленности ведал представитель министра вооружений Шпеера. Научным руководителем институты был профессор фон Браун, который работал над ракетными снарядами еще 1932 года. Строительство института в Пенемюнде началось в 1935 году. Масштабы работы института можно оценить по 11 гигантским стендам высотою до 30 метров, которые легко вмещали для различного характера испытаний (в том числе и при действующих двигателях) такие крупные снаряды, как</w:t>
      </w:r>
      <w:r w:rsidR="00997EDF" w:rsidRPr="00925F26">
        <w:rPr>
          <w:color w:val="000000" w:themeColor="text1"/>
          <w:sz w:val="16"/>
          <w:szCs w:val="16"/>
        </w:rPr>
        <w:t xml:space="preserve">  </w:t>
      </w:r>
      <w:hyperlink r:id="rId145" w:history="1">
        <w:r w:rsidRPr="00925F26">
          <w:rPr>
            <w:rStyle w:val="a5"/>
            <w:color w:val="000000" w:themeColor="text1"/>
            <w:sz w:val="16"/>
            <w:szCs w:val="16"/>
          </w:rPr>
          <w:t>Фау-2</w:t>
        </w:r>
      </w:hyperlink>
      <w:r w:rsidRPr="00925F26">
        <w:rPr>
          <w:color w:val="000000" w:themeColor="text1"/>
          <w:sz w:val="16"/>
          <w:szCs w:val="16"/>
        </w:rPr>
        <w:t>, в натуральную величину. Стенды были оборудованы водоохлаждаемыми стенками, динамометрами для измерения сил, действующих на снаряды, приборами для измерения угловых ускорений свободноподвешенного снаряда, аппаратурой для тепловых измерений и т.п.</w:t>
      </w:r>
    </w:p>
    <w:p w14:paraId="6CC4A38C" w14:textId="77777777" w:rsidR="004A092D" w:rsidRPr="00925F26" w:rsidRDefault="004A092D" w:rsidP="00925F26">
      <w:pPr>
        <w:jc w:val="both"/>
        <w:rPr>
          <w:color w:val="000000" w:themeColor="text1"/>
          <w:sz w:val="16"/>
          <w:szCs w:val="16"/>
        </w:rPr>
      </w:pPr>
      <w:r w:rsidRPr="00925F26">
        <w:rPr>
          <w:color w:val="000000" w:themeColor="text1"/>
          <w:sz w:val="16"/>
          <w:szCs w:val="16"/>
        </w:rPr>
        <w:t>Обращает на себя внимание исключительная целеустремленность работ института. Здесь, не смотря на большую мощь и большое число сотрудников, занимались только ракетной артиллерией — ракетными снарядами, действующими только на жидком топливе и жидком окислителе.</w:t>
      </w:r>
    </w:p>
    <w:p w14:paraId="4EC31C08" w14:textId="77777777" w:rsidR="004A092D" w:rsidRPr="00925F26" w:rsidRDefault="004A092D" w:rsidP="00925F26">
      <w:pPr>
        <w:jc w:val="both"/>
        <w:rPr>
          <w:color w:val="000000" w:themeColor="text1"/>
          <w:sz w:val="16"/>
          <w:szCs w:val="16"/>
        </w:rPr>
      </w:pPr>
      <w:r w:rsidRPr="00925F26">
        <w:rPr>
          <w:color w:val="000000" w:themeColor="text1"/>
          <w:sz w:val="16"/>
          <w:szCs w:val="16"/>
        </w:rPr>
        <w:t>Эта целеустремленность подчеркивается еще тем обстоятельством, что помещавшаяся рядом с институтом станция испытания самолетов–снарядов Фау-1 (по показаниям оставшихся в Пенемюнде бывших работников института) не имела никакого отношения к системе института и, в отличие от последнего, подчинялись непосредственно управлению военно-воздушных сил.</w:t>
      </w:r>
    </w:p>
    <w:p w14:paraId="2E174795" w14:textId="77777777" w:rsidR="004A092D" w:rsidRPr="00925F26" w:rsidRDefault="004A092D" w:rsidP="00925F26">
      <w:pPr>
        <w:jc w:val="both"/>
        <w:rPr>
          <w:color w:val="000000" w:themeColor="text1"/>
          <w:sz w:val="16"/>
          <w:szCs w:val="16"/>
        </w:rPr>
      </w:pPr>
      <w:r w:rsidRPr="00925F26">
        <w:rPr>
          <w:color w:val="000000" w:themeColor="text1"/>
          <w:sz w:val="16"/>
          <w:szCs w:val="16"/>
        </w:rPr>
        <w:t>Институт задолго до прихода Красной Армии был эвакуирован в среднюю Германию (в Тюрингию), куда было вывезено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сохранившиеся два больших кислородных завода, действующая электростанция и детали от различных ракетных снарядов.</w:t>
      </w:r>
    </w:p>
    <w:p w14:paraId="4E21EF74" w14:textId="77777777" w:rsidR="004A092D" w:rsidRPr="00925F26" w:rsidRDefault="004A092D" w:rsidP="00925F26">
      <w:pPr>
        <w:jc w:val="both"/>
        <w:rPr>
          <w:color w:val="000000" w:themeColor="text1"/>
          <w:sz w:val="16"/>
          <w:szCs w:val="16"/>
        </w:rPr>
      </w:pPr>
      <w:r w:rsidRPr="00925F26">
        <w:rPr>
          <w:color w:val="000000" w:themeColor="text1"/>
          <w:sz w:val="16"/>
          <w:szCs w:val="16"/>
        </w:rPr>
        <w:t>По оставшимся сооружениям, найденным деталям снарядов и опросу оставшихся (второстепенных) работников института можно сделать следующие заключения:</w:t>
      </w:r>
    </w:p>
    <w:p w14:paraId="06EC0432" w14:textId="77777777" w:rsidR="004A092D" w:rsidRPr="00925F26" w:rsidRDefault="004A092D" w:rsidP="00925F26">
      <w:pPr>
        <w:jc w:val="both"/>
        <w:rPr>
          <w:color w:val="000000" w:themeColor="text1"/>
          <w:sz w:val="16"/>
          <w:szCs w:val="16"/>
        </w:rPr>
      </w:pPr>
      <w:r w:rsidRPr="00925F26">
        <w:rPr>
          <w:color w:val="000000" w:themeColor="text1"/>
          <w:sz w:val="16"/>
          <w:szCs w:val="16"/>
        </w:rPr>
        <w:t>Основной тематикой работы института была отработка дальнобойных снарядов Фау-2 (длиной 14 метров) с дальностью стрельбы 300-350 км. Снаряды эти были разработаны еще в 1942 году на двигателе со спиртом в качестве топлива и жидким кислородом в качестве окислителя. Однако в полете эти снаряды давали преждевременные разрывы и недостаточно точно управлялись по радио, что удалось устранить лишь в конце 1944 года, после чего они нашли применение при бомбардировках Лондона (техническое наименование этого снаряда — А-4). Велась работа по улучшению кучности и увеличению дальности снарядов Фау-2 до 550-600 км.</w:t>
      </w:r>
    </w:p>
    <w:p w14:paraId="2769977B" w14:textId="77777777" w:rsidR="004A092D" w:rsidRPr="00925F26" w:rsidRDefault="004A092D" w:rsidP="00925F26">
      <w:pPr>
        <w:jc w:val="both"/>
        <w:rPr>
          <w:color w:val="000000" w:themeColor="text1"/>
          <w:sz w:val="16"/>
          <w:szCs w:val="16"/>
        </w:rPr>
      </w:pPr>
      <w:r w:rsidRPr="00925F26">
        <w:rPr>
          <w:color w:val="000000" w:themeColor="text1"/>
          <w:sz w:val="16"/>
          <w:szCs w:val="16"/>
        </w:rPr>
        <w:t>В институте велась разработка ракетных зенитных снарядов с радиоуправлением. По форме зенитный ракетный снаряд напоминает снаряд Фау-2, но отличается от него меньшими размерами (длина 8 метров). Двигатель работает на азотной кислоте в качестве окислителя (кислород не пригоден для зенитного снаряда из-за своей быстрой испаряемости, тогда как зенитный снаряд должен долго храниться в состоянии полной готовности к стрельбе).</w:t>
      </w:r>
    </w:p>
    <w:p w14:paraId="18E50EB2" w14:textId="77777777" w:rsidR="004A092D" w:rsidRPr="00925F26" w:rsidRDefault="004A092D" w:rsidP="00925F26">
      <w:pPr>
        <w:jc w:val="both"/>
        <w:rPr>
          <w:color w:val="000000" w:themeColor="text1"/>
          <w:sz w:val="16"/>
          <w:szCs w:val="16"/>
        </w:rPr>
      </w:pPr>
      <w:r w:rsidRPr="00925F26">
        <w:rPr>
          <w:color w:val="000000" w:themeColor="text1"/>
          <w:sz w:val="16"/>
          <w:szCs w:val="16"/>
        </w:rPr>
        <w:lastRenderedPageBreak/>
        <w:t>В результате работы комиссии обнаружены снаряды, а также некоторые чертежи, которые позволяют изучить устройство и действие немецких ракетных снарядов, установить тенденции в их развитии и учесть опыт их разработки.</w:t>
      </w:r>
    </w:p>
    <w:p w14:paraId="2671814E" w14:textId="77777777" w:rsidR="004A092D" w:rsidRPr="00925F26" w:rsidRDefault="004A092D" w:rsidP="00925F26">
      <w:pPr>
        <w:jc w:val="both"/>
        <w:rPr>
          <w:color w:val="000000" w:themeColor="text1"/>
          <w:sz w:val="16"/>
          <w:szCs w:val="16"/>
        </w:rPr>
      </w:pPr>
      <w:r w:rsidRPr="00925F26">
        <w:rPr>
          <w:color w:val="000000" w:themeColor="text1"/>
          <w:sz w:val="16"/>
          <w:szCs w:val="16"/>
        </w:rPr>
        <w:t>Из материалов обследования германского института ракетного вооружения в Пенемюнде видно, что работа по созданию Фау-2 и других типов ракетных снарядов имеет артиллерийский профиль, и поэтому ее целесообразно поручить Народному комиссариату боеприпасов, передав ему все сохранившееся оборудование института в г. Пенемюнде.</w:t>
      </w:r>
    </w:p>
    <w:p w14:paraId="6B7A617A" w14:textId="77777777" w:rsidR="004A092D" w:rsidRPr="00925F26" w:rsidRDefault="004A092D" w:rsidP="00925F26">
      <w:pPr>
        <w:jc w:val="both"/>
        <w:rPr>
          <w:color w:val="000000" w:themeColor="text1"/>
          <w:sz w:val="16"/>
          <w:szCs w:val="16"/>
        </w:rPr>
      </w:pPr>
      <w:r w:rsidRPr="00925F26">
        <w:rPr>
          <w:color w:val="000000" w:themeColor="text1"/>
          <w:sz w:val="16"/>
          <w:szCs w:val="16"/>
        </w:rPr>
        <w:t>А. Шахурин (19623).</w:t>
      </w:r>
    </w:p>
    <w:p w14:paraId="50FA84D9" w14:textId="77777777" w:rsidR="004A092D" w:rsidRPr="00925F26" w:rsidRDefault="004A092D" w:rsidP="00925F26">
      <w:pPr>
        <w:jc w:val="both"/>
        <w:rPr>
          <w:color w:val="000000" w:themeColor="text1"/>
          <w:sz w:val="16"/>
          <w:szCs w:val="16"/>
        </w:rPr>
      </w:pPr>
    </w:p>
    <w:p w14:paraId="23702D11" w14:textId="77777777" w:rsidR="00FB7692" w:rsidRPr="001A0BAA" w:rsidRDefault="00FB7692" w:rsidP="00FB7692">
      <w:pPr>
        <w:jc w:val="both"/>
        <w:rPr>
          <w:color w:val="0070C0"/>
          <w:sz w:val="16"/>
          <w:szCs w:val="16"/>
        </w:rPr>
      </w:pPr>
      <w:r w:rsidRPr="001A0BAA">
        <w:rPr>
          <w:color w:val="0070C0"/>
          <w:sz w:val="16"/>
          <w:szCs w:val="16"/>
        </w:rPr>
        <w:t>8 июня 1945 г. Нарком авиапромышленности Алексей Шахурин доложил члену ГКО Георгию Маленкову о результатах деятельности группы Победоносцева, изложенные в отчете профессора Генриха Абрамовича (1911–1995).</w:t>
      </w:r>
    </w:p>
    <w:p w14:paraId="217DB8CC" w14:textId="77777777" w:rsidR="00FB7692" w:rsidRPr="001A0BAA" w:rsidRDefault="00FB7692" w:rsidP="00FB7692">
      <w:pPr>
        <w:jc w:val="both"/>
        <w:rPr>
          <w:color w:val="0070C0"/>
          <w:sz w:val="16"/>
          <w:szCs w:val="16"/>
        </w:rPr>
      </w:pPr>
      <w:r w:rsidRPr="001A0BAA">
        <w:rPr>
          <w:color w:val="0070C0"/>
          <w:sz w:val="16"/>
          <w:szCs w:val="16"/>
        </w:rPr>
        <w:t>Нарком сообщил, что ракетный «институт задолго до прихода Красной Армии был эвакуирован в среднюю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w:t>
      </w:r>
    </w:p>
    <w:p w14:paraId="6F2738DB" w14:textId="77777777" w:rsidR="00FB7692" w:rsidRPr="001A0BAA" w:rsidRDefault="00FB7692" w:rsidP="00FB7692">
      <w:pPr>
        <w:jc w:val="both"/>
        <w:rPr>
          <w:color w:val="0070C0"/>
          <w:sz w:val="16"/>
          <w:szCs w:val="16"/>
        </w:rPr>
      </w:pPr>
      <w:r w:rsidRPr="001A0BAA">
        <w:rPr>
          <w:color w:val="0070C0"/>
          <w:sz w:val="16"/>
          <w:szCs w:val="16"/>
        </w:rPr>
        <w:t>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w:t>
      </w:r>
    </w:p>
    <w:p w14:paraId="4EBD2617" w14:textId="77777777" w:rsidR="00FB7692" w:rsidRPr="001A0BAA" w:rsidRDefault="00FB7692" w:rsidP="00FB7692">
      <w:pPr>
        <w:jc w:val="both"/>
        <w:rPr>
          <w:color w:val="0070C0"/>
          <w:sz w:val="16"/>
          <w:szCs w:val="16"/>
        </w:rPr>
      </w:pPr>
      <w:r w:rsidRPr="001A0BAA">
        <w:rPr>
          <w:color w:val="0070C0"/>
          <w:sz w:val="16"/>
          <w:szCs w:val="16"/>
        </w:rPr>
        <w:t>Выслушав доклад Шахурина и его ответы на вопросы, Маленков понял, что необходимо координировать деятельность групп, представлявших разные ведомства, на основе единого руководства. Он обратился по этому вопросу к Сталину, тот одобрил его предложения, и 8 июля 1945 г. Постановлением ГКО № 9475сс была создана межведомственная Комиссия по сбору материалов и изучению немецкого опыта создания реактивной техники (24989).</w:t>
      </w:r>
    </w:p>
    <w:p w14:paraId="496B1600" w14:textId="77777777" w:rsidR="00FB7692" w:rsidRPr="001A0BAA" w:rsidRDefault="00FB7692" w:rsidP="00FB7692">
      <w:pPr>
        <w:jc w:val="both"/>
        <w:rPr>
          <w:color w:val="0070C0"/>
          <w:sz w:val="16"/>
          <w:szCs w:val="16"/>
        </w:rPr>
      </w:pPr>
    </w:p>
    <w:p w14:paraId="35C758A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BA157D0" w14:textId="77777777" w:rsidR="006103B3" w:rsidRPr="00925F26" w:rsidRDefault="006103B3" w:rsidP="00925F26">
      <w:pPr>
        <w:autoSpaceDE w:val="0"/>
        <w:autoSpaceDN w:val="0"/>
        <w:adjustRightInd w:val="0"/>
        <w:jc w:val="both"/>
        <w:rPr>
          <w:iCs/>
          <w:color w:val="000000" w:themeColor="text1"/>
          <w:sz w:val="16"/>
          <w:szCs w:val="16"/>
        </w:rPr>
      </w:pPr>
    </w:p>
    <w:p w14:paraId="37B2892D"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8 июня 1945 г. нарком промышленности стройматериалов Л. Соснин направил по поводу его судьбы письмо Н.А. Вознесенскому:</w:t>
      </w:r>
    </w:p>
    <w:p w14:paraId="5745492E"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 xml:space="preserve"> «Московский завод им. Войкова выпускал до войны ежегодно 600—700 тыс. кв. м отопительных радиаторов. В 1942 г. этот завод был временно передан в систему Наркомата Боеприпасов СССР. В настоящее время продукция, которую вырабатывал завод, с производства снимается. В связи с резким увеличением потребности в радиаторах для нужд восстановления жилого фонда, прошу СНК СССР возвратить завод им. Войкова из Наркомбоеприпасов в систему Наркомстройматериалов СССР, для восстановления на нем производства радиаторов. Проект распоряжения СНК СССР прилагается».</w:t>
      </w:r>
    </w:p>
    <w:p w14:paraId="18154EA4"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В ответ Ванников и поддержавший его заместитель председателя Госплана Борисов направили Вознесенскому свое письмо с возражениями:</w:t>
      </w:r>
    </w:p>
    <w:p w14:paraId="0476B6C2"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«По вашему поручению, в связи с письмом Наркомстройматериалов СССР (т. Соснина) № НВ-11903 от 8/VI-1945 года о возврате завода № 557 НКБ (им. Войкова) в систему НКПСМ для производства отопительных радиаторов, докладываем:</w:t>
      </w:r>
    </w:p>
    <w:p w14:paraId="594DE766"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1. Завод № 557 НКБ (им. Войкова) был передан Наркомату боеприпасов в апреле 1942 года для производства корпусов 76 мм снарядов сталистого чугуна. При этом основная часть оборудования для производства радиаторов и 27 чел. мастеров этого производства переданы заводам Наркомстройматериалов. За годы Отечественной войны производство корпусов 76 мм снарядов на заводе № 557 НКВ было усилено за счет переброски специального оборудования и рабочих с других заводов НКБ, дополнительной поставки оборудования по фондам НКБ и дополнительного получения рабочих по планам распределения рабочей силы для НКБ. Производство боеприпасов на этом заводе организовано на основе передовой технологии, механизации потока и всего технологического процесса, что дало возможность довести выпуск снарядов до 200 тыс. штук в месяц готовых корпусов и 150 тыс. штук в месяц поставки литья их на сторону.</w:t>
      </w:r>
    </w:p>
    <w:p w14:paraId="1CB3135E"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В результате этого совершенно изменился профиль завода. Из пяти ранее действовавших литейных цехов — три заняты под механические цеха с большим количеством станочного оборудования.</w:t>
      </w:r>
    </w:p>
    <w:p w14:paraId="1CFAB26D"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2. Учитывая, что постановлением ГОКО № 8804 сс от 26/V-1945 года все предприятия других наркоматов освобождены от производства корпусов 76 мм снарядов, считаем целесообразным сохранить завод № 557, как базу для производства корпусов 76 мм снарядов сталистого чугуна, в системе наркомата боеприпасов и обязать НКБ на временно освобождающихся мощностях от производства боеприпасов, не нарушая механизации и потока по ним, организовать выпуск гражданской продукции, в том числе:</w:t>
      </w:r>
    </w:p>
    <w:tbl>
      <w:tblPr>
        <w:tblW w:w="7155"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5"/>
        <w:gridCol w:w="963"/>
        <w:gridCol w:w="877"/>
        <w:gridCol w:w="671"/>
        <w:gridCol w:w="1479"/>
      </w:tblGrid>
      <w:tr w:rsidR="000F5689" w:rsidRPr="00925F26" w14:paraId="7CE24B93" w14:textId="77777777" w:rsidTr="004E29EA">
        <w:trPr>
          <w:trHeight w:val="46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589BB8B1" w14:textId="3D7B59CD" w:rsidR="00D7144C" w:rsidRPr="00925F26" w:rsidRDefault="00997EDF" w:rsidP="00925F26">
            <w:pPr>
              <w:jc w:val="both"/>
              <w:rPr>
                <w:color w:val="000000" w:themeColor="text1"/>
                <w:sz w:val="16"/>
                <w:szCs w:val="16"/>
              </w:rPr>
            </w:pPr>
            <w:r w:rsidRPr="00925F26">
              <w:rPr>
                <w:color w:val="000000" w:themeColor="text1"/>
                <w:sz w:val="16"/>
                <w:szCs w:val="16"/>
              </w:rPr>
              <w:t xml:space="preserve">  </w:t>
            </w:r>
          </w:p>
        </w:tc>
        <w:tc>
          <w:tcPr>
            <w:tcW w:w="963" w:type="dxa"/>
            <w:tcBorders>
              <w:top w:val="outset" w:sz="6" w:space="0" w:color="auto"/>
              <w:left w:val="outset" w:sz="6" w:space="0" w:color="auto"/>
              <w:bottom w:val="outset" w:sz="6" w:space="0" w:color="auto"/>
              <w:right w:val="outset" w:sz="6" w:space="0" w:color="auto"/>
            </w:tcBorders>
            <w:vAlign w:val="center"/>
            <w:hideMark/>
          </w:tcPr>
          <w:p w14:paraId="690947DF" w14:textId="77777777" w:rsidR="00D7144C" w:rsidRPr="00925F26" w:rsidRDefault="00D7144C" w:rsidP="00925F26">
            <w:pPr>
              <w:jc w:val="both"/>
              <w:rPr>
                <w:color w:val="000000" w:themeColor="text1"/>
                <w:sz w:val="16"/>
                <w:szCs w:val="16"/>
              </w:rPr>
            </w:pPr>
            <w:r w:rsidRPr="00925F26">
              <w:rPr>
                <w:rStyle w:val="a7"/>
                <w:b w:val="0"/>
                <w:color w:val="000000" w:themeColor="text1"/>
                <w:sz w:val="16"/>
                <w:szCs w:val="16"/>
              </w:rPr>
              <w:t>Един. измер.</w:t>
            </w:r>
          </w:p>
        </w:tc>
        <w:tc>
          <w:tcPr>
            <w:tcW w:w="877" w:type="dxa"/>
            <w:tcBorders>
              <w:top w:val="outset" w:sz="6" w:space="0" w:color="auto"/>
              <w:left w:val="outset" w:sz="6" w:space="0" w:color="auto"/>
              <w:bottom w:val="outset" w:sz="6" w:space="0" w:color="auto"/>
              <w:right w:val="outset" w:sz="6" w:space="0" w:color="auto"/>
            </w:tcBorders>
            <w:vAlign w:val="center"/>
            <w:hideMark/>
          </w:tcPr>
          <w:p w14:paraId="24173398" w14:textId="77777777" w:rsidR="00D7144C" w:rsidRPr="00925F26" w:rsidRDefault="00D7144C" w:rsidP="00925F26">
            <w:pPr>
              <w:jc w:val="both"/>
              <w:rPr>
                <w:color w:val="000000" w:themeColor="text1"/>
                <w:sz w:val="16"/>
                <w:szCs w:val="16"/>
              </w:rPr>
            </w:pPr>
            <w:r w:rsidRPr="00925F26">
              <w:rPr>
                <w:rStyle w:val="a7"/>
                <w:b w:val="0"/>
                <w:color w:val="000000" w:themeColor="text1"/>
                <w:sz w:val="16"/>
                <w:szCs w:val="16"/>
              </w:rPr>
              <w:t>1945</w:t>
            </w:r>
          </w:p>
        </w:tc>
        <w:tc>
          <w:tcPr>
            <w:tcW w:w="671" w:type="dxa"/>
            <w:tcBorders>
              <w:top w:val="outset" w:sz="6" w:space="0" w:color="auto"/>
              <w:left w:val="outset" w:sz="6" w:space="0" w:color="auto"/>
              <w:bottom w:val="outset" w:sz="6" w:space="0" w:color="auto"/>
              <w:right w:val="outset" w:sz="6" w:space="0" w:color="auto"/>
            </w:tcBorders>
            <w:vAlign w:val="center"/>
            <w:hideMark/>
          </w:tcPr>
          <w:p w14:paraId="2923122E" w14:textId="77777777" w:rsidR="00D7144C" w:rsidRPr="00925F26" w:rsidRDefault="00D7144C" w:rsidP="00925F26">
            <w:pPr>
              <w:jc w:val="both"/>
              <w:rPr>
                <w:color w:val="000000" w:themeColor="text1"/>
                <w:sz w:val="16"/>
                <w:szCs w:val="16"/>
              </w:rPr>
            </w:pPr>
            <w:r w:rsidRPr="00925F26">
              <w:rPr>
                <w:rStyle w:val="a7"/>
                <w:b w:val="0"/>
                <w:color w:val="000000" w:themeColor="text1"/>
                <w:sz w:val="16"/>
                <w:szCs w:val="16"/>
              </w:rPr>
              <w:t>1946</w:t>
            </w:r>
          </w:p>
        </w:tc>
        <w:tc>
          <w:tcPr>
            <w:tcW w:w="1479" w:type="dxa"/>
            <w:tcBorders>
              <w:top w:val="outset" w:sz="6" w:space="0" w:color="auto"/>
              <w:left w:val="outset" w:sz="6" w:space="0" w:color="auto"/>
              <w:bottom w:val="outset" w:sz="6" w:space="0" w:color="auto"/>
              <w:right w:val="outset" w:sz="6" w:space="0" w:color="auto"/>
            </w:tcBorders>
            <w:vAlign w:val="center"/>
            <w:hideMark/>
          </w:tcPr>
          <w:p w14:paraId="417D3EE2" w14:textId="77777777" w:rsidR="00D7144C" w:rsidRPr="00925F26" w:rsidRDefault="00D7144C" w:rsidP="00925F26">
            <w:pPr>
              <w:jc w:val="both"/>
              <w:rPr>
                <w:color w:val="000000" w:themeColor="text1"/>
                <w:sz w:val="16"/>
                <w:szCs w:val="16"/>
              </w:rPr>
            </w:pPr>
            <w:r w:rsidRPr="00925F26">
              <w:rPr>
                <w:rStyle w:val="a7"/>
                <w:b w:val="0"/>
                <w:color w:val="000000" w:themeColor="text1"/>
                <w:sz w:val="16"/>
                <w:szCs w:val="16"/>
              </w:rPr>
              <w:t>Фактический выпуск в 1940 г.</w:t>
            </w:r>
          </w:p>
        </w:tc>
      </w:tr>
      <w:tr w:rsidR="000F5689" w:rsidRPr="00925F26" w14:paraId="6B3480E4" w14:textId="77777777" w:rsidTr="004E29EA">
        <w:trPr>
          <w:trHeight w:val="31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07A40B0" w14:textId="77777777" w:rsidR="00D7144C" w:rsidRPr="00925F26" w:rsidRDefault="00D7144C" w:rsidP="00925F26">
            <w:pPr>
              <w:jc w:val="both"/>
              <w:rPr>
                <w:color w:val="000000" w:themeColor="text1"/>
                <w:sz w:val="16"/>
                <w:szCs w:val="16"/>
              </w:rPr>
            </w:pPr>
            <w:r w:rsidRPr="00925F26">
              <w:rPr>
                <w:color w:val="000000" w:themeColor="text1"/>
                <w:sz w:val="16"/>
                <w:szCs w:val="16"/>
              </w:rPr>
              <w:t>Радиаторы отопительные</w:t>
            </w:r>
          </w:p>
        </w:tc>
        <w:tc>
          <w:tcPr>
            <w:tcW w:w="963" w:type="dxa"/>
            <w:tcBorders>
              <w:top w:val="outset" w:sz="6" w:space="0" w:color="auto"/>
              <w:left w:val="outset" w:sz="6" w:space="0" w:color="auto"/>
              <w:bottom w:val="outset" w:sz="6" w:space="0" w:color="auto"/>
              <w:right w:val="outset" w:sz="6" w:space="0" w:color="auto"/>
            </w:tcBorders>
            <w:vAlign w:val="center"/>
            <w:hideMark/>
          </w:tcPr>
          <w:p w14:paraId="3D106433" w14:textId="77777777" w:rsidR="00D7144C" w:rsidRPr="00925F26" w:rsidRDefault="00D7144C" w:rsidP="00925F26">
            <w:pPr>
              <w:jc w:val="both"/>
              <w:rPr>
                <w:color w:val="000000" w:themeColor="text1"/>
                <w:sz w:val="16"/>
                <w:szCs w:val="16"/>
              </w:rPr>
            </w:pPr>
            <w:r w:rsidRPr="00925F26">
              <w:rPr>
                <w:color w:val="000000" w:themeColor="text1"/>
                <w:sz w:val="16"/>
                <w:szCs w:val="16"/>
              </w:rPr>
              <w:t>тыс. м</w:t>
            </w:r>
            <w:r w:rsidRPr="00925F26">
              <w:rPr>
                <w:color w:val="000000" w:themeColor="text1"/>
                <w:sz w:val="16"/>
                <w:szCs w:val="16"/>
                <w:vertAlign w:val="superscript"/>
              </w:rPr>
              <w:t>2</w:t>
            </w:r>
          </w:p>
        </w:tc>
        <w:tc>
          <w:tcPr>
            <w:tcW w:w="877" w:type="dxa"/>
            <w:tcBorders>
              <w:top w:val="outset" w:sz="6" w:space="0" w:color="auto"/>
              <w:left w:val="outset" w:sz="6" w:space="0" w:color="auto"/>
              <w:bottom w:val="outset" w:sz="6" w:space="0" w:color="auto"/>
              <w:right w:val="outset" w:sz="6" w:space="0" w:color="auto"/>
            </w:tcBorders>
            <w:vAlign w:val="center"/>
            <w:hideMark/>
          </w:tcPr>
          <w:p w14:paraId="38E0BE36" w14:textId="77777777" w:rsidR="00D7144C" w:rsidRPr="00925F26" w:rsidRDefault="00D7144C" w:rsidP="00925F26">
            <w:pPr>
              <w:jc w:val="both"/>
              <w:rPr>
                <w:color w:val="000000" w:themeColor="text1"/>
                <w:sz w:val="16"/>
                <w:szCs w:val="16"/>
              </w:rPr>
            </w:pPr>
            <w:r w:rsidRPr="00925F26">
              <w:rPr>
                <w:color w:val="000000" w:themeColor="text1"/>
                <w:sz w:val="16"/>
                <w:szCs w:val="16"/>
              </w:rPr>
              <w:t>80</w:t>
            </w:r>
          </w:p>
        </w:tc>
        <w:tc>
          <w:tcPr>
            <w:tcW w:w="671" w:type="dxa"/>
            <w:tcBorders>
              <w:top w:val="outset" w:sz="6" w:space="0" w:color="auto"/>
              <w:left w:val="outset" w:sz="6" w:space="0" w:color="auto"/>
              <w:bottom w:val="outset" w:sz="6" w:space="0" w:color="auto"/>
              <w:right w:val="outset" w:sz="6" w:space="0" w:color="auto"/>
            </w:tcBorders>
            <w:vAlign w:val="center"/>
            <w:hideMark/>
          </w:tcPr>
          <w:p w14:paraId="20EDF49C" w14:textId="77777777" w:rsidR="00D7144C" w:rsidRPr="00925F26" w:rsidRDefault="00D7144C" w:rsidP="00925F26">
            <w:pPr>
              <w:jc w:val="both"/>
              <w:rPr>
                <w:color w:val="000000" w:themeColor="text1"/>
                <w:sz w:val="16"/>
                <w:szCs w:val="16"/>
              </w:rPr>
            </w:pPr>
            <w:r w:rsidRPr="00925F26">
              <w:rPr>
                <w:color w:val="000000" w:themeColor="text1"/>
                <w:sz w:val="16"/>
                <w:szCs w:val="16"/>
              </w:rPr>
              <w:t>250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63CDDA17" w14:textId="77777777" w:rsidR="00D7144C" w:rsidRPr="00925F26" w:rsidRDefault="00D7144C" w:rsidP="00925F26">
            <w:pPr>
              <w:jc w:val="both"/>
              <w:rPr>
                <w:color w:val="000000" w:themeColor="text1"/>
                <w:sz w:val="16"/>
                <w:szCs w:val="16"/>
              </w:rPr>
            </w:pPr>
            <w:r w:rsidRPr="00925F26">
              <w:rPr>
                <w:color w:val="000000" w:themeColor="text1"/>
                <w:sz w:val="16"/>
                <w:szCs w:val="16"/>
              </w:rPr>
              <w:t>450</w:t>
            </w:r>
          </w:p>
        </w:tc>
      </w:tr>
      <w:tr w:rsidR="000F5689" w:rsidRPr="00925F26" w14:paraId="0EA2AF6E"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5841912E" w14:textId="77777777" w:rsidR="00D7144C" w:rsidRPr="00925F26" w:rsidRDefault="00D7144C" w:rsidP="00925F26">
            <w:pPr>
              <w:jc w:val="both"/>
              <w:rPr>
                <w:color w:val="000000" w:themeColor="text1"/>
                <w:sz w:val="16"/>
                <w:szCs w:val="16"/>
              </w:rPr>
            </w:pPr>
            <w:r w:rsidRPr="00925F26">
              <w:rPr>
                <w:color w:val="000000" w:themeColor="text1"/>
                <w:sz w:val="16"/>
                <w:szCs w:val="16"/>
              </w:rPr>
              <w:t>Судовые иллюминаторы</w:t>
            </w:r>
          </w:p>
        </w:tc>
        <w:tc>
          <w:tcPr>
            <w:tcW w:w="963" w:type="dxa"/>
            <w:tcBorders>
              <w:top w:val="outset" w:sz="6" w:space="0" w:color="auto"/>
              <w:left w:val="outset" w:sz="6" w:space="0" w:color="auto"/>
              <w:bottom w:val="outset" w:sz="6" w:space="0" w:color="auto"/>
              <w:right w:val="outset" w:sz="6" w:space="0" w:color="auto"/>
            </w:tcBorders>
            <w:vAlign w:val="center"/>
            <w:hideMark/>
          </w:tcPr>
          <w:p w14:paraId="666B7058" w14:textId="77777777" w:rsidR="00D7144C" w:rsidRPr="00925F26" w:rsidRDefault="00D7144C" w:rsidP="00925F26">
            <w:pPr>
              <w:jc w:val="both"/>
              <w:rPr>
                <w:color w:val="000000" w:themeColor="text1"/>
                <w:sz w:val="16"/>
                <w:szCs w:val="16"/>
              </w:rPr>
            </w:pPr>
            <w:r w:rsidRPr="00925F26">
              <w:rPr>
                <w:color w:val="000000" w:themeColor="text1"/>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42C1C99E" w14:textId="77777777" w:rsidR="00D7144C" w:rsidRPr="00925F26" w:rsidRDefault="00D7144C" w:rsidP="00925F26">
            <w:pPr>
              <w:jc w:val="both"/>
              <w:rPr>
                <w:color w:val="000000" w:themeColor="text1"/>
                <w:sz w:val="16"/>
                <w:szCs w:val="16"/>
              </w:rPr>
            </w:pPr>
            <w:r w:rsidRPr="00925F26">
              <w:rPr>
                <w:color w:val="000000" w:themeColor="text1"/>
                <w:sz w:val="16"/>
                <w:szCs w:val="16"/>
              </w:rPr>
              <w:t>2</w:t>
            </w:r>
          </w:p>
        </w:tc>
        <w:tc>
          <w:tcPr>
            <w:tcW w:w="671" w:type="dxa"/>
            <w:tcBorders>
              <w:top w:val="outset" w:sz="6" w:space="0" w:color="auto"/>
              <w:left w:val="outset" w:sz="6" w:space="0" w:color="auto"/>
              <w:bottom w:val="outset" w:sz="6" w:space="0" w:color="auto"/>
              <w:right w:val="outset" w:sz="6" w:space="0" w:color="auto"/>
            </w:tcBorders>
            <w:vAlign w:val="center"/>
            <w:hideMark/>
          </w:tcPr>
          <w:p w14:paraId="1F609096" w14:textId="77777777" w:rsidR="00D7144C" w:rsidRPr="00925F26" w:rsidRDefault="00D7144C" w:rsidP="00925F26">
            <w:pPr>
              <w:jc w:val="both"/>
              <w:rPr>
                <w:color w:val="000000" w:themeColor="text1"/>
                <w:sz w:val="16"/>
                <w:szCs w:val="16"/>
              </w:rPr>
            </w:pPr>
            <w:r w:rsidRPr="00925F26">
              <w:rPr>
                <w:color w:val="000000" w:themeColor="text1"/>
                <w:sz w:val="16"/>
                <w:szCs w:val="16"/>
              </w:rPr>
              <w:t>8</w:t>
            </w:r>
          </w:p>
        </w:tc>
        <w:tc>
          <w:tcPr>
            <w:tcW w:w="1479" w:type="dxa"/>
            <w:tcBorders>
              <w:top w:val="outset" w:sz="6" w:space="0" w:color="auto"/>
              <w:left w:val="outset" w:sz="6" w:space="0" w:color="auto"/>
              <w:bottom w:val="outset" w:sz="6" w:space="0" w:color="auto"/>
              <w:right w:val="outset" w:sz="6" w:space="0" w:color="auto"/>
            </w:tcBorders>
            <w:vAlign w:val="center"/>
            <w:hideMark/>
          </w:tcPr>
          <w:p w14:paraId="56978A54" w14:textId="77777777" w:rsidR="00D7144C" w:rsidRPr="00925F26" w:rsidRDefault="00D7144C" w:rsidP="00925F26">
            <w:pPr>
              <w:jc w:val="both"/>
              <w:rPr>
                <w:color w:val="000000" w:themeColor="text1"/>
                <w:sz w:val="16"/>
                <w:szCs w:val="16"/>
              </w:rPr>
            </w:pPr>
            <w:r w:rsidRPr="00925F26">
              <w:rPr>
                <w:color w:val="000000" w:themeColor="text1"/>
                <w:sz w:val="16"/>
                <w:szCs w:val="16"/>
              </w:rPr>
              <w:t>—</w:t>
            </w:r>
          </w:p>
        </w:tc>
      </w:tr>
      <w:tr w:rsidR="000F5689" w:rsidRPr="00925F26" w14:paraId="49577F10" w14:textId="77777777" w:rsidTr="004E29EA">
        <w:trPr>
          <w:trHeight w:val="270"/>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230CC8E" w14:textId="77777777" w:rsidR="00D7144C" w:rsidRPr="00925F26" w:rsidRDefault="00D7144C" w:rsidP="00925F26">
            <w:pPr>
              <w:jc w:val="both"/>
              <w:rPr>
                <w:color w:val="000000" w:themeColor="text1"/>
                <w:sz w:val="16"/>
                <w:szCs w:val="16"/>
              </w:rPr>
            </w:pPr>
            <w:r w:rsidRPr="00925F26">
              <w:rPr>
                <w:color w:val="000000" w:themeColor="text1"/>
                <w:sz w:val="16"/>
                <w:szCs w:val="16"/>
              </w:rPr>
              <w:t>Тюбинги замковые для метро</w:t>
            </w:r>
          </w:p>
        </w:tc>
        <w:tc>
          <w:tcPr>
            <w:tcW w:w="963" w:type="dxa"/>
            <w:tcBorders>
              <w:top w:val="outset" w:sz="6" w:space="0" w:color="auto"/>
              <w:left w:val="outset" w:sz="6" w:space="0" w:color="auto"/>
              <w:bottom w:val="outset" w:sz="6" w:space="0" w:color="auto"/>
              <w:right w:val="outset" w:sz="6" w:space="0" w:color="auto"/>
            </w:tcBorders>
            <w:vAlign w:val="center"/>
            <w:hideMark/>
          </w:tcPr>
          <w:p w14:paraId="752422E6" w14:textId="77777777" w:rsidR="00D7144C" w:rsidRPr="00925F26" w:rsidRDefault="00D7144C" w:rsidP="00925F26">
            <w:pPr>
              <w:jc w:val="both"/>
              <w:rPr>
                <w:color w:val="000000" w:themeColor="text1"/>
                <w:sz w:val="16"/>
                <w:szCs w:val="16"/>
              </w:rPr>
            </w:pPr>
            <w:r w:rsidRPr="00925F26">
              <w:rPr>
                <w:color w:val="000000" w:themeColor="text1"/>
                <w:sz w:val="16"/>
                <w:szCs w:val="16"/>
              </w:rPr>
              <w:t>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065BBE0E" w14:textId="77777777" w:rsidR="00D7144C" w:rsidRPr="00925F26" w:rsidRDefault="00D7144C" w:rsidP="00925F26">
            <w:pPr>
              <w:jc w:val="both"/>
              <w:rPr>
                <w:color w:val="000000" w:themeColor="text1"/>
                <w:sz w:val="16"/>
                <w:szCs w:val="16"/>
              </w:rPr>
            </w:pPr>
            <w:r w:rsidRPr="00925F26">
              <w:rPr>
                <w:color w:val="000000" w:themeColor="text1"/>
                <w:sz w:val="16"/>
                <w:szCs w:val="16"/>
              </w:rPr>
              <w:t>400</w:t>
            </w:r>
          </w:p>
        </w:tc>
        <w:tc>
          <w:tcPr>
            <w:tcW w:w="671" w:type="dxa"/>
            <w:tcBorders>
              <w:top w:val="outset" w:sz="6" w:space="0" w:color="auto"/>
              <w:left w:val="outset" w:sz="6" w:space="0" w:color="auto"/>
              <w:bottom w:val="outset" w:sz="6" w:space="0" w:color="auto"/>
              <w:right w:val="outset" w:sz="6" w:space="0" w:color="auto"/>
            </w:tcBorders>
            <w:vAlign w:val="center"/>
            <w:hideMark/>
          </w:tcPr>
          <w:p w14:paraId="0896D32A" w14:textId="77777777" w:rsidR="00D7144C" w:rsidRPr="00925F26" w:rsidRDefault="00D7144C" w:rsidP="00925F26">
            <w:pPr>
              <w:jc w:val="both"/>
              <w:rPr>
                <w:color w:val="000000" w:themeColor="text1"/>
                <w:sz w:val="16"/>
                <w:szCs w:val="16"/>
              </w:rPr>
            </w:pPr>
            <w:r w:rsidRPr="00925F26">
              <w:rPr>
                <w:color w:val="000000" w:themeColor="text1"/>
                <w:sz w:val="16"/>
                <w:szCs w:val="16"/>
              </w:rPr>
              <w:t>800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1D2FAEF4" w14:textId="77777777" w:rsidR="00D7144C" w:rsidRPr="00925F26" w:rsidRDefault="00D7144C" w:rsidP="00925F26">
            <w:pPr>
              <w:jc w:val="both"/>
              <w:rPr>
                <w:color w:val="000000" w:themeColor="text1"/>
                <w:sz w:val="16"/>
                <w:szCs w:val="16"/>
              </w:rPr>
            </w:pPr>
            <w:r w:rsidRPr="00925F26">
              <w:rPr>
                <w:color w:val="000000" w:themeColor="text1"/>
                <w:sz w:val="16"/>
                <w:szCs w:val="16"/>
              </w:rPr>
              <w:t>—</w:t>
            </w:r>
          </w:p>
        </w:tc>
      </w:tr>
      <w:tr w:rsidR="000F5689" w:rsidRPr="00925F26" w14:paraId="7D85DF5E"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3CB25A09" w14:textId="77777777" w:rsidR="00D7144C" w:rsidRPr="00925F26" w:rsidRDefault="00D7144C" w:rsidP="00925F26">
            <w:pPr>
              <w:jc w:val="both"/>
              <w:rPr>
                <w:color w:val="000000" w:themeColor="text1"/>
                <w:sz w:val="16"/>
                <w:szCs w:val="16"/>
              </w:rPr>
            </w:pPr>
            <w:r w:rsidRPr="00925F26">
              <w:rPr>
                <w:color w:val="000000" w:themeColor="text1"/>
                <w:sz w:val="16"/>
                <w:szCs w:val="16"/>
              </w:rPr>
              <w:t>Цепи Кейстона</w:t>
            </w:r>
          </w:p>
        </w:tc>
        <w:tc>
          <w:tcPr>
            <w:tcW w:w="963" w:type="dxa"/>
            <w:tcBorders>
              <w:top w:val="outset" w:sz="6" w:space="0" w:color="auto"/>
              <w:left w:val="outset" w:sz="6" w:space="0" w:color="auto"/>
              <w:bottom w:val="outset" w:sz="6" w:space="0" w:color="auto"/>
              <w:right w:val="outset" w:sz="6" w:space="0" w:color="auto"/>
            </w:tcBorders>
            <w:vAlign w:val="center"/>
            <w:hideMark/>
          </w:tcPr>
          <w:p w14:paraId="2134E137" w14:textId="77777777" w:rsidR="00D7144C" w:rsidRPr="00925F26" w:rsidRDefault="00D7144C" w:rsidP="00925F26">
            <w:pPr>
              <w:jc w:val="both"/>
              <w:rPr>
                <w:color w:val="000000" w:themeColor="text1"/>
                <w:sz w:val="16"/>
                <w:szCs w:val="16"/>
              </w:rPr>
            </w:pPr>
            <w:r w:rsidRPr="00925F26">
              <w:rPr>
                <w:color w:val="000000" w:themeColor="text1"/>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04B0BB93" w14:textId="77777777" w:rsidR="00D7144C" w:rsidRPr="00925F26" w:rsidRDefault="00D7144C" w:rsidP="00925F26">
            <w:pPr>
              <w:jc w:val="both"/>
              <w:rPr>
                <w:color w:val="000000" w:themeColor="text1"/>
                <w:sz w:val="16"/>
                <w:szCs w:val="16"/>
              </w:rPr>
            </w:pPr>
            <w:r w:rsidRPr="00925F26">
              <w:rPr>
                <w:color w:val="000000" w:themeColor="text1"/>
                <w:sz w:val="16"/>
                <w:szCs w:val="16"/>
              </w:rPr>
              <w:t>18</w:t>
            </w:r>
          </w:p>
        </w:tc>
        <w:tc>
          <w:tcPr>
            <w:tcW w:w="671" w:type="dxa"/>
            <w:tcBorders>
              <w:top w:val="outset" w:sz="6" w:space="0" w:color="auto"/>
              <w:left w:val="outset" w:sz="6" w:space="0" w:color="auto"/>
              <w:bottom w:val="outset" w:sz="6" w:space="0" w:color="auto"/>
              <w:right w:val="outset" w:sz="6" w:space="0" w:color="auto"/>
            </w:tcBorders>
            <w:vAlign w:val="center"/>
            <w:hideMark/>
          </w:tcPr>
          <w:p w14:paraId="0B18998C" w14:textId="77777777" w:rsidR="00D7144C" w:rsidRPr="00925F26" w:rsidRDefault="00D7144C" w:rsidP="00925F26">
            <w:pPr>
              <w:jc w:val="both"/>
              <w:rPr>
                <w:color w:val="000000" w:themeColor="text1"/>
                <w:sz w:val="16"/>
                <w:szCs w:val="16"/>
              </w:rPr>
            </w:pPr>
            <w:r w:rsidRPr="00925F26">
              <w:rPr>
                <w:color w:val="000000" w:themeColor="text1"/>
                <w:sz w:val="16"/>
                <w:szCs w:val="16"/>
              </w:rPr>
              <w:t>30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49C74A9A" w14:textId="77777777" w:rsidR="00D7144C" w:rsidRPr="00925F26" w:rsidRDefault="00D7144C" w:rsidP="00925F26">
            <w:pPr>
              <w:jc w:val="both"/>
              <w:rPr>
                <w:color w:val="000000" w:themeColor="text1"/>
                <w:sz w:val="16"/>
                <w:szCs w:val="16"/>
              </w:rPr>
            </w:pPr>
            <w:r w:rsidRPr="00925F26">
              <w:rPr>
                <w:color w:val="000000" w:themeColor="text1"/>
                <w:sz w:val="16"/>
                <w:szCs w:val="16"/>
              </w:rPr>
              <w:t>—</w:t>
            </w:r>
          </w:p>
        </w:tc>
      </w:tr>
      <w:tr w:rsidR="000F5689" w:rsidRPr="00925F26" w14:paraId="544271BD"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3D708CB" w14:textId="77777777" w:rsidR="00D7144C" w:rsidRPr="00925F26" w:rsidRDefault="00D7144C" w:rsidP="00925F26">
            <w:pPr>
              <w:jc w:val="both"/>
              <w:rPr>
                <w:color w:val="000000" w:themeColor="text1"/>
                <w:sz w:val="16"/>
                <w:szCs w:val="16"/>
              </w:rPr>
            </w:pPr>
            <w:r w:rsidRPr="00925F26">
              <w:rPr>
                <w:color w:val="000000" w:themeColor="text1"/>
                <w:sz w:val="16"/>
                <w:szCs w:val="16"/>
              </w:rPr>
              <w:t>Литье деталей насосов для НКСС</w:t>
            </w:r>
          </w:p>
        </w:tc>
        <w:tc>
          <w:tcPr>
            <w:tcW w:w="963" w:type="dxa"/>
            <w:tcBorders>
              <w:top w:val="outset" w:sz="6" w:space="0" w:color="auto"/>
              <w:left w:val="outset" w:sz="6" w:space="0" w:color="auto"/>
              <w:bottom w:val="outset" w:sz="6" w:space="0" w:color="auto"/>
              <w:right w:val="outset" w:sz="6" w:space="0" w:color="auto"/>
            </w:tcBorders>
            <w:vAlign w:val="center"/>
            <w:hideMark/>
          </w:tcPr>
          <w:p w14:paraId="3B792019" w14:textId="77777777" w:rsidR="00D7144C" w:rsidRPr="00925F26" w:rsidRDefault="00D7144C" w:rsidP="00925F26">
            <w:pPr>
              <w:jc w:val="both"/>
              <w:rPr>
                <w:color w:val="000000" w:themeColor="text1"/>
                <w:sz w:val="16"/>
                <w:szCs w:val="16"/>
              </w:rPr>
            </w:pPr>
            <w:r w:rsidRPr="00925F26">
              <w:rPr>
                <w:color w:val="000000" w:themeColor="text1"/>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30D13C72" w14:textId="77777777" w:rsidR="00D7144C" w:rsidRPr="00925F26" w:rsidRDefault="00D7144C" w:rsidP="00925F26">
            <w:pPr>
              <w:jc w:val="both"/>
              <w:rPr>
                <w:color w:val="000000" w:themeColor="text1"/>
                <w:sz w:val="16"/>
                <w:szCs w:val="16"/>
              </w:rPr>
            </w:pPr>
            <w:r w:rsidRPr="00925F26">
              <w:rPr>
                <w:color w:val="000000" w:themeColor="text1"/>
                <w:sz w:val="16"/>
                <w:szCs w:val="16"/>
              </w:rPr>
              <w:t>60</w:t>
            </w:r>
          </w:p>
        </w:tc>
        <w:tc>
          <w:tcPr>
            <w:tcW w:w="671" w:type="dxa"/>
            <w:tcBorders>
              <w:top w:val="outset" w:sz="6" w:space="0" w:color="auto"/>
              <w:left w:val="outset" w:sz="6" w:space="0" w:color="auto"/>
              <w:bottom w:val="outset" w:sz="6" w:space="0" w:color="auto"/>
              <w:right w:val="outset" w:sz="6" w:space="0" w:color="auto"/>
            </w:tcBorders>
            <w:vAlign w:val="center"/>
            <w:hideMark/>
          </w:tcPr>
          <w:p w14:paraId="6608A153" w14:textId="77777777" w:rsidR="00D7144C" w:rsidRPr="00925F26" w:rsidRDefault="00D7144C" w:rsidP="00925F26">
            <w:pPr>
              <w:jc w:val="both"/>
              <w:rPr>
                <w:color w:val="000000" w:themeColor="text1"/>
                <w:sz w:val="16"/>
                <w:szCs w:val="16"/>
              </w:rPr>
            </w:pPr>
            <w:r w:rsidRPr="00925F26">
              <w:rPr>
                <w:color w:val="000000" w:themeColor="text1"/>
                <w:sz w:val="16"/>
                <w:szCs w:val="16"/>
              </w:rPr>
              <w:t>100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7421EB07" w14:textId="77777777" w:rsidR="00D7144C" w:rsidRPr="00925F26" w:rsidRDefault="00D7144C" w:rsidP="00925F26">
            <w:pPr>
              <w:jc w:val="both"/>
              <w:rPr>
                <w:color w:val="000000" w:themeColor="text1"/>
                <w:sz w:val="16"/>
                <w:szCs w:val="16"/>
              </w:rPr>
            </w:pPr>
            <w:r w:rsidRPr="00925F26">
              <w:rPr>
                <w:color w:val="000000" w:themeColor="text1"/>
                <w:sz w:val="16"/>
                <w:szCs w:val="16"/>
              </w:rPr>
              <w:t>—</w:t>
            </w:r>
          </w:p>
        </w:tc>
      </w:tr>
      <w:tr w:rsidR="000F5689" w:rsidRPr="00925F26" w14:paraId="4AF80D3C" w14:textId="77777777" w:rsidTr="004E29EA">
        <w:trPr>
          <w:trHeight w:val="25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41245CA" w14:textId="77777777" w:rsidR="00D7144C" w:rsidRPr="00925F26" w:rsidRDefault="00D7144C" w:rsidP="00925F26">
            <w:pPr>
              <w:jc w:val="both"/>
              <w:rPr>
                <w:color w:val="000000" w:themeColor="text1"/>
                <w:sz w:val="16"/>
                <w:szCs w:val="16"/>
              </w:rPr>
            </w:pPr>
            <w:r w:rsidRPr="00925F26">
              <w:rPr>
                <w:color w:val="000000" w:themeColor="text1"/>
                <w:sz w:val="16"/>
                <w:szCs w:val="16"/>
              </w:rPr>
              <w:t>Котлы отопительные</w:t>
            </w:r>
          </w:p>
        </w:tc>
        <w:tc>
          <w:tcPr>
            <w:tcW w:w="963" w:type="dxa"/>
            <w:tcBorders>
              <w:top w:val="outset" w:sz="6" w:space="0" w:color="auto"/>
              <w:left w:val="outset" w:sz="6" w:space="0" w:color="auto"/>
              <w:bottom w:val="outset" w:sz="6" w:space="0" w:color="auto"/>
              <w:right w:val="outset" w:sz="6" w:space="0" w:color="auto"/>
            </w:tcBorders>
            <w:vAlign w:val="center"/>
            <w:hideMark/>
          </w:tcPr>
          <w:p w14:paraId="1C0C1FF7" w14:textId="77777777" w:rsidR="00D7144C" w:rsidRPr="00925F26" w:rsidRDefault="00D7144C" w:rsidP="00925F26">
            <w:pPr>
              <w:jc w:val="both"/>
              <w:rPr>
                <w:color w:val="000000" w:themeColor="text1"/>
                <w:sz w:val="16"/>
                <w:szCs w:val="16"/>
              </w:rPr>
            </w:pPr>
            <w:r w:rsidRPr="00925F26">
              <w:rPr>
                <w:color w:val="000000" w:themeColor="text1"/>
                <w:sz w:val="16"/>
                <w:szCs w:val="16"/>
              </w:rPr>
              <w:t>тыс. м</w:t>
            </w:r>
            <w:r w:rsidRPr="00925F26">
              <w:rPr>
                <w:color w:val="000000" w:themeColor="text1"/>
                <w:sz w:val="16"/>
                <w:szCs w:val="16"/>
                <w:vertAlign w:val="superscript"/>
              </w:rPr>
              <w:t>2</w:t>
            </w:r>
          </w:p>
        </w:tc>
        <w:tc>
          <w:tcPr>
            <w:tcW w:w="877" w:type="dxa"/>
            <w:tcBorders>
              <w:top w:val="outset" w:sz="6" w:space="0" w:color="auto"/>
              <w:left w:val="outset" w:sz="6" w:space="0" w:color="auto"/>
              <w:bottom w:val="outset" w:sz="6" w:space="0" w:color="auto"/>
              <w:right w:val="outset" w:sz="6" w:space="0" w:color="auto"/>
            </w:tcBorders>
            <w:vAlign w:val="center"/>
            <w:hideMark/>
          </w:tcPr>
          <w:p w14:paraId="18330872" w14:textId="77777777" w:rsidR="00D7144C" w:rsidRPr="00925F26" w:rsidRDefault="00D7144C" w:rsidP="00925F26">
            <w:pPr>
              <w:jc w:val="both"/>
              <w:rPr>
                <w:color w:val="000000" w:themeColor="text1"/>
                <w:sz w:val="16"/>
                <w:szCs w:val="16"/>
              </w:rPr>
            </w:pPr>
            <w:r w:rsidRPr="00925F26">
              <w:rPr>
                <w:color w:val="000000" w:themeColor="text1"/>
                <w:sz w:val="16"/>
                <w:szCs w:val="16"/>
              </w:rPr>
              <w:t>—</w:t>
            </w:r>
          </w:p>
        </w:tc>
        <w:tc>
          <w:tcPr>
            <w:tcW w:w="671" w:type="dxa"/>
            <w:tcBorders>
              <w:top w:val="outset" w:sz="6" w:space="0" w:color="auto"/>
              <w:left w:val="outset" w:sz="6" w:space="0" w:color="auto"/>
              <w:bottom w:val="outset" w:sz="6" w:space="0" w:color="auto"/>
              <w:right w:val="outset" w:sz="6" w:space="0" w:color="auto"/>
            </w:tcBorders>
            <w:vAlign w:val="center"/>
            <w:hideMark/>
          </w:tcPr>
          <w:p w14:paraId="78D7BC5A" w14:textId="77777777" w:rsidR="00D7144C" w:rsidRPr="00925F26" w:rsidRDefault="00D7144C" w:rsidP="00925F26">
            <w:pPr>
              <w:jc w:val="both"/>
              <w:rPr>
                <w:color w:val="000000" w:themeColor="text1"/>
                <w:sz w:val="16"/>
                <w:szCs w:val="16"/>
              </w:rPr>
            </w:pPr>
            <w:r w:rsidRPr="00925F26">
              <w:rPr>
                <w:color w:val="000000" w:themeColor="text1"/>
                <w:sz w:val="16"/>
                <w:szCs w:val="16"/>
              </w:rPr>
              <w:t>—</w:t>
            </w:r>
          </w:p>
        </w:tc>
        <w:tc>
          <w:tcPr>
            <w:tcW w:w="1479" w:type="dxa"/>
            <w:tcBorders>
              <w:top w:val="outset" w:sz="6" w:space="0" w:color="auto"/>
              <w:left w:val="outset" w:sz="6" w:space="0" w:color="auto"/>
              <w:bottom w:val="outset" w:sz="6" w:space="0" w:color="auto"/>
              <w:right w:val="outset" w:sz="6" w:space="0" w:color="auto"/>
            </w:tcBorders>
            <w:vAlign w:val="center"/>
            <w:hideMark/>
          </w:tcPr>
          <w:p w14:paraId="0761B8B8" w14:textId="77777777" w:rsidR="00D7144C" w:rsidRPr="00925F26" w:rsidRDefault="00D7144C" w:rsidP="00925F26">
            <w:pPr>
              <w:jc w:val="both"/>
              <w:rPr>
                <w:color w:val="000000" w:themeColor="text1"/>
                <w:sz w:val="16"/>
                <w:szCs w:val="16"/>
              </w:rPr>
            </w:pPr>
            <w:r w:rsidRPr="00925F26">
              <w:rPr>
                <w:color w:val="000000" w:themeColor="text1"/>
                <w:sz w:val="16"/>
                <w:szCs w:val="16"/>
              </w:rPr>
              <w:t>20</w:t>
            </w:r>
          </w:p>
        </w:tc>
      </w:tr>
    </w:tbl>
    <w:p w14:paraId="29209EF3"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Проект постановления СНК СССР по этому вопросу прилагаем для Вашего рассмотрения и утверждения».</w:t>
      </w:r>
    </w:p>
    <w:p w14:paraId="637E962F" w14:textId="77777777" w:rsidR="00D7144C" w:rsidRPr="00925F26" w:rsidRDefault="00D7144C" w:rsidP="00925F26">
      <w:pPr>
        <w:shd w:val="clear" w:color="auto" w:fill="FFFFFF"/>
        <w:jc w:val="both"/>
        <w:rPr>
          <w:color w:val="000000" w:themeColor="text1"/>
          <w:sz w:val="16"/>
          <w:szCs w:val="16"/>
        </w:rPr>
      </w:pPr>
      <w:r w:rsidRPr="00925F26">
        <w:rPr>
          <w:color w:val="000000" w:themeColor="text1"/>
          <w:sz w:val="16"/>
          <w:szCs w:val="16"/>
        </w:rPr>
        <w:t>Как видим, в этом письме основной упор в аргументации все еще сделан на важности сохранения военного производства. Сами по себе они были довольно уязвимы: дело в том, что боеприпасы из сталистого чугуна производились в качестве вынужденной меры в период войны и необходимость в продолжении их производства в период мирного времени вызывает сомнения. Но наряду с этими старыми аргументами уже появляются новые доводы: Ванников и Борисов пишут о собственных конверсионных планах. Видимо, система аргументов в их письме оказалась все же недостаточно убедительной, и борьба за предприятие продолжилась (15847).</w:t>
      </w:r>
    </w:p>
    <w:p w14:paraId="0A5474F9" w14:textId="77777777" w:rsidR="00D7144C" w:rsidRPr="00925F26" w:rsidRDefault="00D7144C" w:rsidP="00925F26">
      <w:pPr>
        <w:shd w:val="clear" w:color="auto" w:fill="FFFFFF"/>
        <w:jc w:val="both"/>
        <w:rPr>
          <w:color w:val="000000" w:themeColor="text1"/>
          <w:sz w:val="16"/>
          <w:szCs w:val="16"/>
        </w:rPr>
      </w:pPr>
    </w:p>
    <w:p w14:paraId="65183D8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8941 [О дополнительном выделении мазута НКСС, НКТМ, НКздраву, НКЛП, НКМВ и Одесскому горисполкому за счет вывоза из Румынии.] (7348, 3).</w:t>
      </w:r>
    </w:p>
    <w:p w14:paraId="6DFCA83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0CF7B0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8942 [О реэвакуации из Ярославля и Алма-Аты ленинградских училища военных сообщений и электротехнического института инженеров сигнализации и связи НКПС.] (7348, 4).</w:t>
      </w:r>
    </w:p>
    <w:p w14:paraId="02AFF5B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3733BF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8943 [Об упразднении Военно-промышленного отдела НКПС.] (7348, 5).</w:t>
      </w:r>
    </w:p>
    <w:p w14:paraId="66D02036"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970B2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8944. О дополнительном выделении бензина НКЧМ в июне 1945 г. РГАНИР, Фонд ГКО, д. 426, лл. 6 (11012).</w:t>
      </w:r>
    </w:p>
    <w:p w14:paraId="53740E88" w14:textId="77777777" w:rsidR="006103B3" w:rsidRPr="00925F26" w:rsidRDefault="006103B3" w:rsidP="00925F26">
      <w:pPr>
        <w:autoSpaceDE w:val="0"/>
        <w:autoSpaceDN w:val="0"/>
        <w:adjustRightInd w:val="0"/>
        <w:jc w:val="both"/>
        <w:rPr>
          <w:color w:val="000000" w:themeColor="text1"/>
          <w:sz w:val="16"/>
          <w:szCs w:val="16"/>
        </w:rPr>
      </w:pPr>
    </w:p>
    <w:p w14:paraId="265E4E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8945. Об освобождении жилья для рабочих завода № 784 НКВ в Киеве. РГАНИР, Фонд ГКО, д. 426, лл. 7 (11012).</w:t>
      </w:r>
    </w:p>
    <w:p w14:paraId="0B03B3B3" w14:textId="77777777" w:rsidR="006103B3" w:rsidRPr="00925F26" w:rsidRDefault="006103B3" w:rsidP="00925F26">
      <w:pPr>
        <w:autoSpaceDE w:val="0"/>
        <w:autoSpaceDN w:val="0"/>
        <w:adjustRightInd w:val="0"/>
        <w:jc w:val="both"/>
        <w:rPr>
          <w:color w:val="000000" w:themeColor="text1"/>
          <w:sz w:val="16"/>
          <w:szCs w:val="16"/>
        </w:rPr>
      </w:pPr>
    </w:p>
    <w:p w14:paraId="28119D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8946. О мерах по обеспечению сырьем установленного на июнь 1945 г. плана выработки бензина и топочного мазута на Саратовском крекинг-заводе. РГАНИР, Фонд ГКО, д. 426, лл. 8-9 (11012).</w:t>
      </w:r>
    </w:p>
    <w:p w14:paraId="46E10358" w14:textId="77777777" w:rsidR="006103B3" w:rsidRPr="00925F26" w:rsidRDefault="006103B3" w:rsidP="00925F26">
      <w:pPr>
        <w:autoSpaceDE w:val="0"/>
        <w:autoSpaceDN w:val="0"/>
        <w:adjustRightInd w:val="0"/>
        <w:jc w:val="both"/>
        <w:rPr>
          <w:color w:val="000000" w:themeColor="text1"/>
          <w:sz w:val="16"/>
          <w:szCs w:val="16"/>
        </w:rPr>
      </w:pPr>
    </w:p>
    <w:p w14:paraId="414A105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8947 Об изменении лимитов мощности и отпуска электроэнергии промышленным наркоматам на июнь 1945 года. РГАНИР, Фонд ГКО, д. 426, лл. 10, 11-14 (11012).</w:t>
      </w:r>
    </w:p>
    <w:p w14:paraId="51611352" w14:textId="77777777" w:rsidR="006103B3" w:rsidRPr="00925F26" w:rsidRDefault="006103B3" w:rsidP="00925F26">
      <w:pPr>
        <w:autoSpaceDE w:val="0"/>
        <w:autoSpaceDN w:val="0"/>
        <w:adjustRightInd w:val="0"/>
        <w:jc w:val="both"/>
        <w:rPr>
          <w:color w:val="000000" w:themeColor="text1"/>
          <w:sz w:val="16"/>
          <w:szCs w:val="16"/>
        </w:rPr>
      </w:pPr>
    </w:p>
    <w:p w14:paraId="142F227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8948 [О дополнительном выделении бензина СНК Таджикской ССР для перевозки спецпереселенцев.] (7348, 15).</w:t>
      </w:r>
    </w:p>
    <w:p w14:paraId="6F49AB0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8334B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8949 О вывозе оборудования на заводы Наркомсредмаша. РГАНИР, Фонд ГКО, д. 426, лл. 16-18, 19 (11012).</w:t>
      </w:r>
    </w:p>
    <w:p w14:paraId="62E4D94C" w14:textId="77777777" w:rsidR="006103B3" w:rsidRPr="00925F26" w:rsidRDefault="006103B3" w:rsidP="00925F26">
      <w:pPr>
        <w:autoSpaceDE w:val="0"/>
        <w:autoSpaceDN w:val="0"/>
        <w:adjustRightInd w:val="0"/>
        <w:jc w:val="both"/>
        <w:rPr>
          <w:color w:val="000000" w:themeColor="text1"/>
          <w:sz w:val="16"/>
          <w:szCs w:val="16"/>
        </w:rPr>
      </w:pPr>
    </w:p>
    <w:p w14:paraId="00712A6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8950 О вывозе оборудования немецких предприятий на заводы Наркомсредмаша. РГАНИР, Фонд ГКО, д. 426, лл. 20-21, 22 (11012).</w:t>
      </w:r>
    </w:p>
    <w:p w14:paraId="10756E11" w14:textId="77777777" w:rsidR="006103B3" w:rsidRPr="00925F26" w:rsidRDefault="006103B3" w:rsidP="00925F26">
      <w:pPr>
        <w:autoSpaceDE w:val="0"/>
        <w:autoSpaceDN w:val="0"/>
        <w:adjustRightInd w:val="0"/>
        <w:jc w:val="both"/>
        <w:rPr>
          <w:color w:val="000000" w:themeColor="text1"/>
          <w:sz w:val="16"/>
          <w:szCs w:val="16"/>
        </w:rPr>
      </w:pPr>
    </w:p>
    <w:p w14:paraId="040C4D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8951 О вывозе оборудования завода фирмы "Вандерер" в г. Хемниц. РГАНИР, Фонд ГКО, д. 426, лл. 23-24 (11012).</w:t>
      </w:r>
    </w:p>
    <w:p w14:paraId="66F9BC3B" w14:textId="77777777" w:rsidR="006103B3" w:rsidRPr="00925F26" w:rsidRDefault="006103B3" w:rsidP="00925F26">
      <w:pPr>
        <w:autoSpaceDE w:val="0"/>
        <w:autoSpaceDN w:val="0"/>
        <w:adjustRightInd w:val="0"/>
        <w:jc w:val="both"/>
        <w:rPr>
          <w:color w:val="000000" w:themeColor="text1"/>
          <w:sz w:val="16"/>
          <w:szCs w:val="16"/>
        </w:rPr>
      </w:pPr>
    </w:p>
    <w:p w14:paraId="15B715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8 июня 1945 вышло Постановление ГКО № 8952 О вывозе оборудования немецких предприятий на заводы Наркомтяжмаша. РГАНИР, Фонд ГКО, д. 426, лл. 25-26 (11012).</w:t>
      </w:r>
    </w:p>
    <w:p w14:paraId="2BCC9DC9" w14:textId="77777777" w:rsidR="006103B3" w:rsidRPr="00925F26" w:rsidRDefault="006103B3" w:rsidP="00925F26">
      <w:pPr>
        <w:autoSpaceDE w:val="0"/>
        <w:autoSpaceDN w:val="0"/>
        <w:adjustRightInd w:val="0"/>
        <w:jc w:val="both"/>
        <w:rPr>
          <w:color w:val="000000" w:themeColor="text1"/>
          <w:sz w:val="16"/>
          <w:szCs w:val="16"/>
        </w:rPr>
      </w:pPr>
    </w:p>
    <w:p w14:paraId="63CDFD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8953 О вывозе оборудования кислородного завода электромеханического общества в г. Псенмюнде (Померания). РГАНИР, Фонд ГКО, д. 426, лл. 27 (11012).</w:t>
      </w:r>
    </w:p>
    <w:p w14:paraId="7094AD51" w14:textId="77777777" w:rsidR="006103B3" w:rsidRPr="00925F26" w:rsidRDefault="006103B3" w:rsidP="00925F26">
      <w:pPr>
        <w:autoSpaceDE w:val="0"/>
        <w:autoSpaceDN w:val="0"/>
        <w:adjustRightInd w:val="0"/>
        <w:jc w:val="both"/>
        <w:rPr>
          <w:color w:val="000000" w:themeColor="text1"/>
          <w:sz w:val="16"/>
          <w:szCs w:val="16"/>
        </w:rPr>
      </w:pPr>
    </w:p>
    <w:p w14:paraId="12C9EC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8954 О вывозе оборудования немецких заводов в г. г. Берлин, Фрейталь, Дебельн и Тарандт на заводы Наркомата станкостроения. РГАНИР, Фонд ГКО, д. 426, лл. 28-30, 31-32 (11012).</w:t>
      </w:r>
    </w:p>
    <w:p w14:paraId="677ADA6D" w14:textId="77777777" w:rsidR="006103B3" w:rsidRPr="00925F26" w:rsidRDefault="006103B3" w:rsidP="00925F26">
      <w:pPr>
        <w:autoSpaceDE w:val="0"/>
        <w:autoSpaceDN w:val="0"/>
        <w:adjustRightInd w:val="0"/>
        <w:jc w:val="both"/>
        <w:rPr>
          <w:color w:val="000000" w:themeColor="text1"/>
          <w:sz w:val="16"/>
          <w:szCs w:val="16"/>
        </w:rPr>
      </w:pPr>
    </w:p>
    <w:p w14:paraId="6F1A77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8955 О вывозе оборудования ТЭЦ с немецкого завода фирмы "Юлиус Пинч" в г. Фюрстенвальде и оборудования завода "Нордойчмашин" в г. Виттенберг на завод № 444 НКСП в г. Николаев. РГАНИР, Фонд ГКО, д. 426, лл. 33-34 (11012).</w:t>
      </w:r>
    </w:p>
    <w:p w14:paraId="657A106E" w14:textId="77777777" w:rsidR="006103B3" w:rsidRPr="00925F26" w:rsidRDefault="006103B3" w:rsidP="00925F26">
      <w:pPr>
        <w:autoSpaceDE w:val="0"/>
        <w:autoSpaceDN w:val="0"/>
        <w:adjustRightInd w:val="0"/>
        <w:jc w:val="both"/>
        <w:rPr>
          <w:color w:val="000000" w:themeColor="text1"/>
          <w:sz w:val="16"/>
          <w:szCs w:val="16"/>
        </w:rPr>
      </w:pPr>
    </w:p>
    <w:p w14:paraId="16D53E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8956 О вывозе оборудования с различных заводов, расположенных в г. г. Рослау, Каменец, Гюстров, Варнемюнде, Рейхенберг, Виттенберг, Ландесгут, Штральзунд на предприятия Наркомсудпрома. РГАНИР, Фонд ГКО, д. 426, лл. 35-37 (11012).</w:t>
      </w:r>
    </w:p>
    <w:p w14:paraId="0DDDCFB2" w14:textId="77777777" w:rsidR="006103B3" w:rsidRPr="00925F26" w:rsidRDefault="006103B3" w:rsidP="00925F26">
      <w:pPr>
        <w:autoSpaceDE w:val="0"/>
        <w:autoSpaceDN w:val="0"/>
        <w:adjustRightInd w:val="0"/>
        <w:jc w:val="both"/>
        <w:rPr>
          <w:color w:val="000000" w:themeColor="text1"/>
          <w:sz w:val="16"/>
          <w:szCs w:val="16"/>
        </w:rPr>
      </w:pPr>
    </w:p>
    <w:p w14:paraId="11758F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8957 О вывозе оборудования и лесоматериалов с немецких лесопильных заводов в г. г. Прауют, Унтер-Кальбуде и Штеттин - Факенвальде. РГАНИР, Фонд ГКО, д. 426, лл. 38-39 (11012).</w:t>
      </w:r>
    </w:p>
    <w:p w14:paraId="65FF64BB" w14:textId="77777777" w:rsidR="006103B3" w:rsidRPr="00925F26" w:rsidRDefault="006103B3" w:rsidP="00925F26">
      <w:pPr>
        <w:autoSpaceDE w:val="0"/>
        <w:autoSpaceDN w:val="0"/>
        <w:adjustRightInd w:val="0"/>
        <w:jc w:val="both"/>
        <w:rPr>
          <w:color w:val="000000" w:themeColor="text1"/>
          <w:sz w:val="16"/>
          <w:szCs w:val="16"/>
        </w:rPr>
      </w:pPr>
    </w:p>
    <w:p w14:paraId="11C852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8958 О вывозе оборудования с немецких заводов "Остермана" в г. г. Гарц-на-Одере и г. Вольгост на завод № 189 в г. ЛенинграРГАНИР, Фонд ГКО, д. РГАНИР, Фонд ГКО, д. 426, лл. 40 (11012).</w:t>
      </w:r>
    </w:p>
    <w:p w14:paraId="4D00505A" w14:textId="77777777" w:rsidR="006103B3" w:rsidRPr="00925F26" w:rsidRDefault="006103B3" w:rsidP="00925F26">
      <w:pPr>
        <w:autoSpaceDE w:val="0"/>
        <w:autoSpaceDN w:val="0"/>
        <w:adjustRightInd w:val="0"/>
        <w:jc w:val="both"/>
        <w:rPr>
          <w:color w:val="000000" w:themeColor="text1"/>
          <w:sz w:val="16"/>
          <w:szCs w:val="16"/>
        </w:rPr>
      </w:pPr>
    </w:p>
    <w:p w14:paraId="20177D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8959 о вывозе 4 турбогенераторов общей мощностью 33 тыс. киловатт с электростанций г. г. Штральзунд и Пеенемюнде (Западная Померания) и металлоконструкции зданий демонтированных электростанций в г. г. Блехгаммер и Освенцим. РГАНИР, Фонд ГКО, д. 426, лл. 41-4 (11012).</w:t>
      </w:r>
    </w:p>
    <w:p w14:paraId="40298063" w14:textId="77777777" w:rsidR="006103B3" w:rsidRPr="00925F26" w:rsidRDefault="006103B3" w:rsidP="00925F26">
      <w:pPr>
        <w:autoSpaceDE w:val="0"/>
        <w:autoSpaceDN w:val="0"/>
        <w:adjustRightInd w:val="0"/>
        <w:jc w:val="both"/>
        <w:rPr>
          <w:color w:val="000000" w:themeColor="text1"/>
          <w:sz w:val="16"/>
          <w:szCs w:val="16"/>
        </w:rPr>
      </w:pPr>
    </w:p>
    <w:p w14:paraId="132F1E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8960 О вывозе оборудования с предприятий электротехнической промышленности в г. г. Берлин, Дрезден, Фрейбург и Софиенау. РГАНИР, Фонд ГКО, д. 426, лл. 43-45 (11012).</w:t>
      </w:r>
    </w:p>
    <w:p w14:paraId="11AEE184" w14:textId="77777777" w:rsidR="006103B3" w:rsidRPr="00925F26" w:rsidRDefault="006103B3" w:rsidP="00925F26">
      <w:pPr>
        <w:autoSpaceDE w:val="0"/>
        <w:autoSpaceDN w:val="0"/>
        <w:adjustRightInd w:val="0"/>
        <w:jc w:val="both"/>
        <w:rPr>
          <w:color w:val="000000" w:themeColor="text1"/>
          <w:sz w:val="16"/>
          <w:szCs w:val="16"/>
        </w:rPr>
      </w:pPr>
    </w:p>
    <w:p w14:paraId="7D0E34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8961 О вывозе оборудования по производству приборов видения в темноте с опытного завода в г. Берлин. РГАНИР, Фонд ГКО, д. 426, лл. 46 (11012).</w:t>
      </w:r>
    </w:p>
    <w:p w14:paraId="25136B95" w14:textId="77777777" w:rsidR="006103B3" w:rsidRPr="00925F26" w:rsidRDefault="006103B3" w:rsidP="00925F26">
      <w:pPr>
        <w:autoSpaceDE w:val="0"/>
        <w:autoSpaceDN w:val="0"/>
        <w:adjustRightInd w:val="0"/>
        <w:jc w:val="both"/>
        <w:rPr>
          <w:color w:val="000000" w:themeColor="text1"/>
          <w:sz w:val="16"/>
          <w:szCs w:val="16"/>
        </w:rPr>
      </w:pPr>
    </w:p>
    <w:p w14:paraId="75130A4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8962 О вывозе оборудования для прокатки и волочения тугоплавких металлов с завода фирмы "Телефункен" в г. Берлин. РГАНИР, Фонд ГКО, д. 426, лл. 47 (11012).</w:t>
      </w:r>
    </w:p>
    <w:p w14:paraId="767DDC6B" w14:textId="77777777" w:rsidR="006103B3" w:rsidRPr="00925F26" w:rsidRDefault="006103B3" w:rsidP="00925F26">
      <w:pPr>
        <w:autoSpaceDE w:val="0"/>
        <w:autoSpaceDN w:val="0"/>
        <w:adjustRightInd w:val="0"/>
        <w:jc w:val="both"/>
        <w:rPr>
          <w:color w:val="000000" w:themeColor="text1"/>
          <w:sz w:val="16"/>
          <w:szCs w:val="16"/>
        </w:rPr>
      </w:pPr>
    </w:p>
    <w:p w14:paraId="557DEF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8963 О вывозе оборудования с немецких угольных карьеров и брикетных фабрик в район г. Дрезден на предприятия Наркомугля. РГАНИР, Фонд ГКО, д. 426, лл. 48-49 (11012).</w:t>
      </w:r>
    </w:p>
    <w:p w14:paraId="5B60B4F6" w14:textId="77777777" w:rsidR="006103B3" w:rsidRPr="00925F26" w:rsidRDefault="006103B3" w:rsidP="00925F26">
      <w:pPr>
        <w:autoSpaceDE w:val="0"/>
        <w:autoSpaceDN w:val="0"/>
        <w:adjustRightInd w:val="0"/>
        <w:jc w:val="both"/>
        <w:rPr>
          <w:color w:val="000000" w:themeColor="text1"/>
          <w:sz w:val="16"/>
          <w:szCs w:val="16"/>
        </w:rPr>
      </w:pPr>
    </w:p>
    <w:p w14:paraId="280B17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8964 О вывозе оборудования завода фирмы "Крупп", размещенного в корпусах текстильной фабрики в г. Вирсте-Гирсердорф. РГАНИР, Фонд ГКО, д. 426, лл. 50 (11012).</w:t>
      </w:r>
    </w:p>
    <w:p w14:paraId="4C92B843" w14:textId="77777777" w:rsidR="006103B3" w:rsidRPr="00925F26" w:rsidRDefault="006103B3" w:rsidP="00925F26">
      <w:pPr>
        <w:autoSpaceDE w:val="0"/>
        <w:autoSpaceDN w:val="0"/>
        <w:adjustRightInd w:val="0"/>
        <w:jc w:val="both"/>
        <w:rPr>
          <w:color w:val="000000" w:themeColor="text1"/>
          <w:sz w:val="16"/>
          <w:szCs w:val="16"/>
        </w:rPr>
      </w:pPr>
    </w:p>
    <w:p w14:paraId="33B3C5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8965 О вывозе оборудования с котельного завода фирмы "Айзенбау Манигал" в местечке Рулланд (35 км. севернее г. Дрезден), с филиала машиностроительного завода фирмы "Фриц Крупп" в селе Дицдорф (4 км. южнее г. Неймаркт ) и с котлостроительного завода в селе Мерцдорф (в районе г. Котбус) на предприятия Наркомнефти. РГАНИР, Фонд ГКО, д. 426, лл. 51-52 (11012).</w:t>
      </w:r>
    </w:p>
    <w:p w14:paraId="12B9D1B4" w14:textId="77777777" w:rsidR="006103B3" w:rsidRPr="00925F26" w:rsidRDefault="006103B3" w:rsidP="00925F26">
      <w:pPr>
        <w:autoSpaceDE w:val="0"/>
        <w:autoSpaceDN w:val="0"/>
        <w:adjustRightInd w:val="0"/>
        <w:jc w:val="both"/>
        <w:rPr>
          <w:color w:val="000000" w:themeColor="text1"/>
          <w:sz w:val="16"/>
          <w:szCs w:val="16"/>
        </w:rPr>
      </w:pPr>
    </w:p>
    <w:p w14:paraId="7DAE9E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8966 О вывозе оборудования из трех механических мастерских фирм "Вильказна", "ЮлиусИост" и "Кобе" в г. Лукенвальде, с механического инструментального завода фирмы "Рихлинг Питерс" в г. Финовфурт (12 км западнее г. Эберсвальде), с геофизической базы фирмы "Гезельшафт Юфр Трактише Лагерштеттефоршунг" в г. Бизеланге (6 км. Юго-восточнее г. Науен) и с лесопильного завода "Генрих Арренд" в г. Эберсвальде. РГАНИР, Фонд ГКО, д. 426, лл. 53-55 (11012).</w:t>
      </w:r>
    </w:p>
    <w:p w14:paraId="2F1242A8" w14:textId="77777777" w:rsidR="006103B3" w:rsidRPr="00925F26" w:rsidRDefault="006103B3" w:rsidP="00925F26">
      <w:pPr>
        <w:autoSpaceDE w:val="0"/>
        <w:autoSpaceDN w:val="0"/>
        <w:adjustRightInd w:val="0"/>
        <w:jc w:val="both"/>
        <w:rPr>
          <w:color w:val="000000" w:themeColor="text1"/>
          <w:sz w:val="16"/>
          <w:szCs w:val="16"/>
        </w:rPr>
      </w:pPr>
    </w:p>
    <w:p w14:paraId="6A93F8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8967 О вывозе оборудования с химического завода "Унион" в г. Штеттин (Штольценхаген). РГАНИР, Фонд ГКО, д. 426, лл. 56 (11012).</w:t>
      </w:r>
    </w:p>
    <w:p w14:paraId="49C18A64" w14:textId="77777777" w:rsidR="006103B3" w:rsidRPr="00925F26" w:rsidRDefault="006103B3" w:rsidP="00925F26">
      <w:pPr>
        <w:autoSpaceDE w:val="0"/>
        <w:autoSpaceDN w:val="0"/>
        <w:adjustRightInd w:val="0"/>
        <w:jc w:val="both"/>
        <w:rPr>
          <w:color w:val="000000" w:themeColor="text1"/>
          <w:sz w:val="16"/>
          <w:szCs w:val="16"/>
        </w:rPr>
      </w:pPr>
    </w:p>
    <w:p w14:paraId="20E7068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8968 О вывозе оборудования химического завода "Параксоль" из предместья г. Берлин - Нидерлеме. РГАНИР, Фонд ГКО, д. 426, лл. 57 (11012).</w:t>
      </w:r>
    </w:p>
    <w:p w14:paraId="59F34276" w14:textId="77777777" w:rsidR="006103B3" w:rsidRPr="00925F26" w:rsidRDefault="006103B3" w:rsidP="00925F26">
      <w:pPr>
        <w:autoSpaceDE w:val="0"/>
        <w:autoSpaceDN w:val="0"/>
        <w:adjustRightInd w:val="0"/>
        <w:jc w:val="both"/>
        <w:rPr>
          <w:color w:val="000000" w:themeColor="text1"/>
          <w:sz w:val="16"/>
          <w:szCs w:val="16"/>
        </w:rPr>
      </w:pPr>
    </w:p>
    <w:p w14:paraId="644990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8969 О выводе оборудования с химического завода фирмы "Александер Ваккер" в г. Мюкенберг (севернее г. Дрезден), с завода ферросплавов той же фирмы в г. Мюккенберг, с завода пластмасс фирмы "Новак" в г. Бауцен, с химического завода фирмы "Фон-Хайден" в районе г. Дрезден и с завода химических реактивов фирмы "Теодор Шухарт" в г. Герлиц. РГАНИР, Фонд ГКО, д. 426, лл. 58-60 (11012).</w:t>
      </w:r>
    </w:p>
    <w:p w14:paraId="753ED35E" w14:textId="77777777" w:rsidR="006103B3" w:rsidRPr="00925F26" w:rsidRDefault="006103B3" w:rsidP="00925F26">
      <w:pPr>
        <w:autoSpaceDE w:val="0"/>
        <w:autoSpaceDN w:val="0"/>
        <w:adjustRightInd w:val="0"/>
        <w:jc w:val="both"/>
        <w:rPr>
          <w:color w:val="000000" w:themeColor="text1"/>
          <w:sz w:val="16"/>
          <w:szCs w:val="16"/>
        </w:rPr>
      </w:pPr>
    </w:p>
    <w:p w14:paraId="063FBDA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8970 О вывозе оборудования немецкого химического завода в местечке Кансдорф-Пишельдорф (Австрия). РГАНИР, Фонд ГКО, д. 426, лл. 61 (11012).</w:t>
      </w:r>
    </w:p>
    <w:p w14:paraId="565B76EC" w14:textId="77777777" w:rsidR="006103B3" w:rsidRPr="00925F26" w:rsidRDefault="006103B3" w:rsidP="00925F26">
      <w:pPr>
        <w:autoSpaceDE w:val="0"/>
        <w:autoSpaceDN w:val="0"/>
        <w:adjustRightInd w:val="0"/>
        <w:jc w:val="both"/>
        <w:rPr>
          <w:color w:val="000000" w:themeColor="text1"/>
          <w:sz w:val="16"/>
          <w:szCs w:val="16"/>
        </w:rPr>
      </w:pPr>
    </w:p>
    <w:p w14:paraId="0DEE31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Распоряжение ГКО № 8971. О комиссии по изучению газового хозяйства г. Берлин. РГАНИР, Фонд ГКО, д. 426, лл. 62 (11012).</w:t>
      </w:r>
    </w:p>
    <w:p w14:paraId="05FFE910" w14:textId="77777777" w:rsidR="006103B3" w:rsidRPr="00925F26" w:rsidRDefault="006103B3" w:rsidP="00925F26">
      <w:pPr>
        <w:autoSpaceDE w:val="0"/>
        <w:autoSpaceDN w:val="0"/>
        <w:adjustRightInd w:val="0"/>
        <w:jc w:val="both"/>
        <w:rPr>
          <w:color w:val="000000" w:themeColor="text1"/>
          <w:sz w:val="16"/>
          <w:szCs w:val="16"/>
        </w:rPr>
      </w:pPr>
    </w:p>
    <w:p w14:paraId="459CC8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8972 О вывозе оборудования с завода пластмасс фирмы "Курт Ганфе" в г. Дрезден, с завода пластмасс фирмы "Элингер и Гейслер" в местечке Хокендорф (близ г. Дрезден) и с лакокрасочного завода фирмы "Каст и Эхингер " в г. Берлин. РГАНИР, Фонд ГКО, д. 426 (11012).</w:t>
      </w:r>
    </w:p>
    <w:p w14:paraId="2AD23C52" w14:textId="77777777" w:rsidR="006103B3" w:rsidRPr="00925F26" w:rsidRDefault="006103B3" w:rsidP="00925F26">
      <w:pPr>
        <w:autoSpaceDE w:val="0"/>
        <w:autoSpaceDN w:val="0"/>
        <w:adjustRightInd w:val="0"/>
        <w:jc w:val="both"/>
        <w:rPr>
          <w:color w:val="000000" w:themeColor="text1"/>
          <w:sz w:val="16"/>
          <w:szCs w:val="16"/>
        </w:rPr>
      </w:pPr>
    </w:p>
    <w:p w14:paraId="5E60E9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8973 О вывозе оборудования арматурного завода фирмы "Густав Макенберг" в г. Штеттин. РГАНИР, Фонд ГКО, д. 426, лл. 65 (11012).</w:t>
      </w:r>
    </w:p>
    <w:p w14:paraId="46ECEFA3" w14:textId="77777777" w:rsidR="006103B3" w:rsidRPr="00925F26" w:rsidRDefault="006103B3" w:rsidP="00925F26">
      <w:pPr>
        <w:autoSpaceDE w:val="0"/>
        <w:autoSpaceDN w:val="0"/>
        <w:adjustRightInd w:val="0"/>
        <w:jc w:val="both"/>
        <w:rPr>
          <w:color w:val="000000" w:themeColor="text1"/>
          <w:sz w:val="16"/>
          <w:szCs w:val="16"/>
        </w:rPr>
      </w:pPr>
    </w:p>
    <w:p w14:paraId="0AB20E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8974 О вывозе оборудования химического завода фирмы "Фон-Хайден" в г. Дрезден. РГАНИР, Фонд ГКО, д. 426, лл. 66-67 (11012).</w:t>
      </w:r>
    </w:p>
    <w:p w14:paraId="6BD55151" w14:textId="77777777" w:rsidR="006103B3" w:rsidRPr="00925F26" w:rsidRDefault="006103B3" w:rsidP="00925F26">
      <w:pPr>
        <w:autoSpaceDE w:val="0"/>
        <w:autoSpaceDN w:val="0"/>
        <w:adjustRightInd w:val="0"/>
        <w:jc w:val="both"/>
        <w:rPr>
          <w:color w:val="000000" w:themeColor="text1"/>
          <w:sz w:val="16"/>
          <w:szCs w:val="16"/>
        </w:rPr>
      </w:pPr>
    </w:p>
    <w:p w14:paraId="719D933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8975 О вывозе оборудования и материалов с заводав асбестовой промышленности в районе г. Дрезден на предприятия Наркомрезинпрома. РГАНИР, Фонд ГКО, д. 426, лл. 68-69 (11012).</w:t>
      </w:r>
    </w:p>
    <w:p w14:paraId="4526DDC9" w14:textId="77777777" w:rsidR="006103B3" w:rsidRPr="00925F26" w:rsidRDefault="006103B3" w:rsidP="00925F26">
      <w:pPr>
        <w:autoSpaceDE w:val="0"/>
        <w:autoSpaceDN w:val="0"/>
        <w:adjustRightInd w:val="0"/>
        <w:jc w:val="both"/>
        <w:rPr>
          <w:color w:val="000000" w:themeColor="text1"/>
          <w:sz w:val="16"/>
          <w:szCs w:val="16"/>
        </w:rPr>
      </w:pPr>
    </w:p>
    <w:p w14:paraId="7F17324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8976 О вывозе оборудования с завода резиновых изделий фирмы "Даубитс" в г. Берлин. РГАНИР, Фонд ГКО, д. 426, лл. 70 (11012).</w:t>
      </w:r>
    </w:p>
    <w:p w14:paraId="37F0817F" w14:textId="77777777" w:rsidR="006103B3" w:rsidRPr="00925F26" w:rsidRDefault="006103B3" w:rsidP="00925F26">
      <w:pPr>
        <w:autoSpaceDE w:val="0"/>
        <w:autoSpaceDN w:val="0"/>
        <w:adjustRightInd w:val="0"/>
        <w:jc w:val="both"/>
        <w:rPr>
          <w:color w:val="000000" w:themeColor="text1"/>
          <w:sz w:val="16"/>
          <w:szCs w:val="16"/>
        </w:rPr>
      </w:pPr>
    </w:p>
    <w:p w14:paraId="20A4A5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8977 О вывозе оборудования с заводов резиновой промышленности в г. Фюрстенвальде на предприятия Наркомрезинпрома. РГАНИР, Фонд ГКО, д. 426, лл. 71 (11012).</w:t>
      </w:r>
    </w:p>
    <w:p w14:paraId="676DFA76" w14:textId="77777777" w:rsidR="006103B3" w:rsidRPr="00925F26" w:rsidRDefault="006103B3" w:rsidP="00925F26">
      <w:pPr>
        <w:autoSpaceDE w:val="0"/>
        <w:autoSpaceDN w:val="0"/>
        <w:adjustRightInd w:val="0"/>
        <w:jc w:val="both"/>
        <w:rPr>
          <w:color w:val="000000" w:themeColor="text1"/>
          <w:sz w:val="16"/>
          <w:szCs w:val="16"/>
        </w:rPr>
      </w:pPr>
    </w:p>
    <w:p w14:paraId="012E6E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8978 О вывозе оборудования с заводов резиновой промышленности в г. Берлин на предприятия Наркомрезинпрома. РГАНИР, Фонд ГКО, д. 426, лл. 72-73 (11012).</w:t>
      </w:r>
    </w:p>
    <w:p w14:paraId="6D4BC18A" w14:textId="77777777" w:rsidR="006103B3" w:rsidRPr="00925F26" w:rsidRDefault="006103B3" w:rsidP="00925F26">
      <w:pPr>
        <w:autoSpaceDE w:val="0"/>
        <w:autoSpaceDN w:val="0"/>
        <w:adjustRightInd w:val="0"/>
        <w:jc w:val="both"/>
        <w:rPr>
          <w:color w:val="000000" w:themeColor="text1"/>
          <w:sz w:val="16"/>
          <w:szCs w:val="16"/>
        </w:rPr>
      </w:pPr>
    </w:p>
    <w:p w14:paraId="0E4CC5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8 июня 1945 вышло Постановление ГКО № 8979 О вывозе оборудования с механических заводов в г. Берлин на предприятия Наркомрезинпрома. РГАНИР, Фонд ГКО, д. 426, лл. 74-75 (11012).</w:t>
      </w:r>
    </w:p>
    <w:p w14:paraId="323B89E0" w14:textId="77777777" w:rsidR="006103B3" w:rsidRPr="00925F26" w:rsidRDefault="006103B3" w:rsidP="00925F26">
      <w:pPr>
        <w:autoSpaceDE w:val="0"/>
        <w:autoSpaceDN w:val="0"/>
        <w:adjustRightInd w:val="0"/>
        <w:jc w:val="both"/>
        <w:rPr>
          <w:color w:val="000000" w:themeColor="text1"/>
          <w:sz w:val="16"/>
          <w:szCs w:val="16"/>
        </w:rPr>
      </w:pPr>
    </w:p>
    <w:p w14:paraId="3125261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8980 О вывозе оборудования с завода синтеза бензина фирмы "Брабаг" в Шварцхайде (в 50 км от г. Дрезден). РГАНИР, Фонд ГКО, д. 426, лл. 76-77 (11012).</w:t>
      </w:r>
    </w:p>
    <w:p w14:paraId="7933711C" w14:textId="77777777" w:rsidR="006103B3" w:rsidRPr="00925F26" w:rsidRDefault="006103B3" w:rsidP="00925F26">
      <w:pPr>
        <w:autoSpaceDE w:val="0"/>
        <w:autoSpaceDN w:val="0"/>
        <w:adjustRightInd w:val="0"/>
        <w:jc w:val="both"/>
        <w:rPr>
          <w:color w:val="000000" w:themeColor="text1"/>
          <w:sz w:val="16"/>
          <w:szCs w:val="16"/>
        </w:rPr>
      </w:pPr>
    </w:p>
    <w:p w14:paraId="45872B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8981 О вывозе оборудования с немецкого завода по производству свинцового проката в г. Фрейберг для Наркомцветмета. РГАНИР, Фонд ГКО, д. 426, лл. 78 (11012).</w:t>
      </w:r>
    </w:p>
    <w:p w14:paraId="6DA8D973" w14:textId="77777777" w:rsidR="006103B3" w:rsidRPr="00925F26" w:rsidRDefault="006103B3" w:rsidP="00925F26">
      <w:pPr>
        <w:autoSpaceDE w:val="0"/>
        <w:autoSpaceDN w:val="0"/>
        <w:adjustRightInd w:val="0"/>
        <w:jc w:val="both"/>
        <w:rPr>
          <w:color w:val="000000" w:themeColor="text1"/>
          <w:sz w:val="16"/>
          <w:szCs w:val="16"/>
        </w:rPr>
      </w:pPr>
    </w:p>
    <w:p w14:paraId="01AAF9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8982 О вывозе оборудования из г. Берлин на предприятия НКПС. РГАНИР, Фонд ГКО, д. 426, лл. 79-81 (11012).</w:t>
      </w:r>
    </w:p>
    <w:p w14:paraId="1733877D" w14:textId="77777777" w:rsidR="006103B3" w:rsidRPr="00925F26" w:rsidRDefault="006103B3" w:rsidP="00925F26">
      <w:pPr>
        <w:autoSpaceDE w:val="0"/>
        <w:autoSpaceDN w:val="0"/>
        <w:adjustRightInd w:val="0"/>
        <w:jc w:val="both"/>
        <w:rPr>
          <w:color w:val="000000" w:themeColor="text1"/>
          <w:sz w:val="16"/>
          <w:szCs w:val="16"/>
        </w:rPr>
      </w:pPr>
    </w:p>
    <w:p w14:paraId="2EE178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8983 Об укомплектовании восстановительных, вагоноремонтных и шпалозаготовительных предприятий НКПС лесопильным и деревообрабатывающим оборудованием с немецких лесозаводов. РГАНИР, Фонд ГКО, д. 426, лл. 82, 83-87 (11012).</w:t>
      </w:r>
    </w:p>
    <w:p w14:paraId="1AE883D3" w14:textId="77777777" w:rsidR="006103B3" w:rsidRPr="00925F26" w:rsidRDefault="006103B3" w:rsidP="00925F26">
      <w:pPr>
        <w:autoSpaceDE w:val="0"/>
        <w:autoSpaceDN w:val="0"/>
        <w:adjustRightInd w:val="0"/>
        <w:jc w:val="both"/>
        <w:rPr>
          <w:color w:val="000000" w:themeColor="text1"/>
          <w:sz w:val="16"/>
          <w:szCs w:val="16"/>
        </w:rPr>
      </w:pPr>
    </w:p>
    <w:p w14:paraId="6515EE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8984 О разборке узкоколейных железнодорожных линий на территории Восточной Пруссии. РГАНИР, Фонд ГКО, д. 426, лл. 88-89, 90-94 (11012).</w:t>
      </w:r>
    </w:p>
    <w:p w14:paraId="1577DED6" w14:textId="77777777" w:rsidR="006103B3" w:rsidRPr="00925F26" w:rsidRDefault="006103B3" w:rsidP="00925F26">
      <w:pPr>
        <w:autoSpaceDE w:val="0"/>
        <w:autoSpaceDN w:val="0"/>
        <w:adjustRightInd w:val="0"/>
        <w:jc w:val="both"/>
        <w:rPr>
          <w:color w:val="000000" w:themeColor="text1"/>
          <w:sz w:val="16"/>
          <w:szCs w:val="16"/>
        </w:rPr>
      </w:pPr>
    </w:p>
    <w:p w14:paraId="32AC647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8985 О дополнительной разборке узкоколейных линий на территории Восточной Пруссии. (7348, 95).</w:t>
      </w:r>
    </w:p>
    <w:p w14:paraId="1A9760A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C63D9A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8986 О частичном изменении постановления ГОКО № 7688сс от 6 марта 1945 г. и дополнительной разборке 800 километров железнодорожных линий на территории Восточной Пруссии. (7348, 96-97,98).</w:t>
      </w:r>
    </w:p>
    <w:p w14:paraId="5DA2E17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CAFA83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8988 О вывозе оборудования с семи оптико-механических заводов концерна "Цейс-Икон" в г. Дрезден. РГАНИР, Фонд ГКО, д. 426, лл. 102-103 (11012).</w:t>
      </w:r>
    </w:p>
    <w:p w14:paraId="09D4D246" w14:textId="77777777" w:rsidR="006103B3" w:rsidRPr="00925F26" w:rsidRDefault="006103B3" w:rsidP="00925F26">
      <w:pPr>
        <w:autoSpaceDE w:val="0"/>
        <w:autoSpaceDN w:val="0"/>
        <w:adjustRightInd w:val="0"/>
        <w:jc w:val="both"/>
        <w:rPr>
          <w:color w:val="000000" w:themeColor="text1"/>
          <w:sz w:val="16"/>
          <w:szCs w:val="16"/>
        </w:rPr>
      </w:pPr>
    </w:p>
    <w:p w14:paraId="449372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8989 О вывозе оборудования с фабрик фотоаппаратуры фирм "Бейер", и "Церто" и "Вельта Камера Верке" в г. Дрезден. РГАНИР, Фонд ГКО, д. 426, лл. 104-105 (11012).</w:t>
      </w:r>
    </w:p>
    <w:p w14:paraId="67A875EB" w14:textId="77777777" w:rsidR="006103B3" w:rsidRPr="00925F26" w:rsidRDefault="006103B3" w:rsidP="00925F26">
      <w:pPr>
        <w:autoSpaceDE w:val="0"/>
        <w:autoSpaceDN w:val="0"/>
        <w:adjustRightInd w:val="0"/>
        <w:jc w:val="both"/>
        <w:rPr>
          <w:color w:val="000000" w:themeColor="text1"/>
          <w:sz w:val="16"/>
          <w:szCs w:val="16"/>
        </w:rPr>
      </w:pPr>
    </w:p>
    <w:p w14:paraId="44C0A8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8990 О вывозе оборудования по производству оптических прицепов с завода фирмы "Олгее и Маузер" в г. Берлин. РГАНИР, Фонд ГКО, д. 426, лл. 106 (11012).</w:t>
      </w:r>
    </w:p>
    <w:p w14:paraId="2E1A0C3C" w14:textId="77777777" w:rsidR="006103B3" w:rsidRPr="00925F26" w:rsidRDefault="006103B3" w:rsidP="00925F26">
      <w:pPr>
        <w:autoSpaceDE w:val="0"/>
        <w:autoSpaceDN w:val="0"/>
        <w:adjustRightInd w:val="0"/>
        <w:jc w:val="both"/>
        <w:rPr>
          <w:color w:val="000000" w:themeColor="text1"/>
          <w:sz w:val="16"/>
          <w:szCs w:val="16"/>
        </w:rPr>
      </w:pPr>
    </w:p>
    <w:p w14:paraId="385422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8991 О вывозе оборудования по производству взрывателей с немецкого завода фирмы "Цейс-Икон" в г. Дрезден. РГАНИР, Фонд ГКО, д. 426, лл. 107 (11012).</w:t>
      </w:r>
    </w:p>
    <w:p w14:paraId="0EB2E3E5" w14:textId="77777777" w:rsidR="006103B3" w:rsidRPr="00925F26" w:rsidRDefault="006103B3" w:rsidP="00925F26">
      <w:pPr>
        <w:autoSpaceDE w:val="0"/>
        <w:autoSpaceDN w:val="0"/>
        <w:adjustRightInd w:val="0"/>
        <w:jc w:val="both"/>
        <w:rPr>
          <w:color w:val="000000" w:themeColor="text1"/>
          <w:sz w:val="16"/>
          <w:szCs w:val="16"/>
        </w:rPr>
      </w:pPr>
    </w:p>
    <w:p w14:paraId="7FDD78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8992 О вывозе оборудования по производству гексогена с немецкого завода в поселке Дюбериц-Сапель (в районе г. Ратенов). РГАНИР, Фонд ГКО, д. 426, лл. 108-109 (11012).</w:t>
      </w:r>
    </w:p>
    <w:p w14:paraId="6E59E6BD" w14:textId="77777777" w:rsidR="006103B3" w:rsidRPr="00925F26" w:rsidRDefault="006103B3" w:rsidP="00925F26">
      <w:pPr>
        <w:autoSpaceDE w:val="0"/>
        <w:autoSpaceDN w:val="0"/>
        <w:adjustRightInd w:val="0"/>
        <w:jc w:val="both"/>
        <w:rPr>
          <w:color w:val="000000" w:themeColor="text1"/>
          <w:sz w:val="16"/>
          <w:szCs w:val="16"/>
        </w:rPr>
      </w:pPr>
    </w:p>
    <w:p w14:paraId="09F5DE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8993 О вывозе оборудования с механических мастерских фирм "Клаус Гетбарт" в местечке Клаусдорф (район г. Ютербок ). РГАНИР, Фонд ГКО, д. 426, лл. 110 (11012).</w:t>
      </w:r>
    </w:p>
    <w:p w14:paraId="3858D4B0" w14:textId="77777777" w:rsidR="006103B3" w:rsidRPr="00925F26" w:rsidRDefault="006103B3" w:rsidP="00925F26">
      <w:pPr>
        <w:autoSpaceDE w:val="0"/>
        <w:autoSpaceDN w:val="0"/>
        <w:adjustRightInd w:val="0"/>
        <w:jc w:val="both"/>
        <w:rPr>
          <w:color w:val="000000" w:themeColor="text1"/>
          <w:sz w:val="16"/>
          <w:szCs w:val="16"/>
        </w:rPr>
      </w:pPr>
    </w:p>
    <w:p w14:paraId="42E43F3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8994 О вывозе оборудования с автоматической телефонной станции в г. Штральзунд. РГАНИР, Фонд ГКО, д. 426, лл. 111 (11012).</w:t>
      </w:r>
    </w:p>
    <w:p w14:paraId="49596A82" w14:textId="77777777" w:rsidR="006103B3" w:rsidRPr="00925F26" w:rsidRDefault="006103B3" w:rsidP="00925F26">
      <w:pPr>
        <w:autoSpaceDE w:val="0"/>
        <w:autoSpaceDN w:val="0"/>
        <w:adjustRightInd w:val="0"/>
        <w:jc w:val="both"/>
        <w:rPr>
          <w:color w:val="000000" w:themeColor="text1"/>
          <w:sz w:val="16"/>
          <w:szCs w:val="16"/>
        </w:rPr>
      </w:pPr>
    </w:p>
    <w:p w14:paraId="0657D5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8995 О вывозе оборудования по производству морских шаровых мин с немецкого завода фирмы "Август Баштедт" в г. Гюстров. РГАНИР, Фонд ГКО, д. 426, лл. 112 (11012).</w:t>
      </w:r>
    </w:p>
    <w:p w14:paraId="7294DC56" w14:textId="77777777" w:rsidR="006103B3" w:rsidRPr="00925F26" w:rsidRDefault="006103B3" w:rsidP="00925F26">
      <w:pPr>
        <w:autoSpaceDE w:val="0"/>
        <w:autoSpaceDN w:val="0"/>
        <w:adjustRightInd w:val="0"/>
        <w:jc w:val="both"/>
        <w:rPr>
          <w:color w:val="000000" w:themeColor="text1"/>
          <w:sz w:val="16"/>
          <w:szCs w:val="16"/>
        </w:rPr>
      </w:pPr>
    </w:p>
    <w:p w14:paraId="53D5CB2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8996 О вывозе оборудования с мастерских немецкого военно-морского лагеря в районе г. Варен. РГАНИР, Фонд ГКО, д. 426, лл. 113 (11012).</w:t>
      </w:r>
    </w:p>
    <w:p w14:paraId="4BE0419B" w14:textId="77777777" w:rsidR="006103B3" w:rsidRPr="00925F26" w:rsidRDefault="006103B3" w:rsidP="00925F26">
      <w:pPr>
        <w:autoSpaceDE w:val="0"/>
        <w:autoSpaceDN w:val="0"/>
        <w:adjustRightInd w:val="0"/>
        <w:jc w:val="both"/>
        <w:rPr>
          <w:color w:val="000000" w:themeColor="text1"/>
          <w:sz w:val="16"/>
          <w:szCs w:val="16"/>
        </w:rPr>
      </w:pPr>
    </w:p>
    <w:p w14:paraId="7541C3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8997 О вывозе оборудования с оптико-механического завода "Эрнеман-Верке" в г. Дрезден. РГАНИР, Фонд ГКО, д. 426, лл. 114 (11012).</w:t>
      </w:r>
    </w:p>
    <w:p w14:paraId="76F0510C" w14:textId="77777777" w:rsidR="006103B3" w:rsidRPr="00925F26" w:rsidRDefault="006103B3" w:rsidP="00925F26">
      <w:pPr>
        <w:autoSpaceDE w:val="0"/>
        <w:autoSpaceDN w:val="0"/>
        <w:adjustRightInd w:val="0"/>
        <w:jc w:val="both"/>
        <w:rPr>
          <w:color w:val="000000" w:themeColor="text1"/>
          <w:sz w:val="16"/>
          <w:szCs w:val="16"/>
        </w:rPr>
      </w:pPr>
    </w:p>
    <w:p w14:paraId="7C6235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8998 О вывозе оборудования с фабрик по производству кинофотоматериалов фирм "Мимоза" и "Вебер" в г. Дрезден и наиболее ценных кинокартин из фильмохранилища в г. Берлин. РГАНИР, Фонд ГКО, д. 426, лл. 115-116 (11012).</w:t>
      </w:r>
    </w:p>
    <w:p w14:paraId="5EA0628F" w14:textId="77777777" w:rsidR="006103B3" w:rsidRPr="00925F26" w:rsidRDefault="006103B3" w:rsidP="00925F26">
      <w:pPr>
        <w:autoSpaceDE w:val="0"/>
        <w:autoSpaceDN w:val="0"/>
        <w:adjustRightInd w:val="0"/>
        <w:jc w:val="both"/>
        <w:rPr>
          <w:color w:val="000000" w:themeColor="text1"/>
          <w:sz w:val="16"/>
          <w:szCs w:val="16"/>
        </w:rPr>
      </w:pPr>
    </w:p>
    <w:p w14:paraId="49F1F1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8999 О вывозе оборудования с немецких заводов в г. Губен для Наркомугля. РГАНИР, Фонд ГКО, д. 426, лл. 117 (11012).</w:t>
      </w:r>
    </w:p>
    <w:p w14:paraId="61BFF969" w14:textId="77777777" w:rsidR="006103B3" w:rsidRPr="00925F26" w:rsidRDefault="006103B3" w:rsidP="00925F26">
      <w:pPr>
        <w:autoSpaceDE w:val="0"/>
        <w:autoSpaceDN w:val="0"/>
        <w:adjustRightInd w:val="0"/>
        <w:jc w:val="both"/>
        <w:rPr>
          <w:color w:val="000000" w:themeColor="text1"/>
          <w:sz w:val="16"/>
          <w:szCs w:val="16"/>
        </w:rPr>
      </w:pPr>
    </w:p>
    <w:p w14:paraId="1CD02BF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9000 О вывозе оборудования с немецкого завода фирмы "Нора-радио" и его филиала в г. Швейндниц на опытный завод ЦКБ-17 НКАП г. Москва. РГАНИР, Фонд ГКО, д. 426, лл. 118 (11012).</w:t>
      </w:r>
    </w:p>
    <w:p w14:paraId="7932FE50" w14:textId="77777777" w:rsidR="006103B3" w:rsidRPr="00925F26" w:rsidRDefault="006103B3" w:rsidP="00925F26">
      <w:pPr>
        <w:autoSpaceDE w:val="0"/>
        <w:autoSpaceDN w:val="0"/>
        <w:adjustRightInd w:val="0"/>
        <w:jc w:val="both"/>
        <w:rPr>
          <w:color w:val="000000" w:themeColor="text1"/>
          <w:sz w:val="16"/>
          <w:szCs w:val="16"/>
        </w:rPr>
      </w:pPr>
    </w:p>
    <w:p w14:paraId="345338A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9001 О вывозе деревообрабатывающего и механического оборудования с немецких предприятий на протезные заводы Наркомсобеса РСФСР. РГАНИР, Фонд ГКО, д. 426, лл. 119-121 (11012).</w:t>
      </w:r>
    </w:p>
    <w:p w14:paraId="77B02BD0" w14:textId="77777777" w:rsidR="006103B3" w:rsidRPr="00925F26" w:rsidRDefault="006103B3" w:rsidP="00925F26">
      <w:pPr>
        <w:autoSpaceDE w:val="0"/>
        <w:autoSpaceDN w:val="0"/>
        <w:adjustRightInd w:val="0"/>
        <w:jc w:val="both"/>
        <w:rPr>
          <w:color w:val="000000" w:themeColor="text1"/>
          <w:sz w:val="16"/>
          <w:szCs w:val="16"/>
        </w:rPr>
      </w:pPr>
    </w:p>
    <w:p w14:paraId="3C8DB4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9002 О вывозе оборудования двух фабрик по производству армейских погон в г. Дрезден и г. Фрейберг (Германия). РГАНИР, Фонд ГКО, д. 426, лл. 122 (11012).</w:t>
      </w:r>
    </w:p>
    <w:p w14:paraId="23589907" w14:textId="77777777" w:rsidR="006103B3" w:rsidRPr="00925F26" w:rsidRDefault="006103B3" w:rsidP="00925F26">
      <w:pPr>
        <w:autoSpaceDE w:val="0"/>
        <w:autoSpaceDN w:val="0"/>
        <w:adjustRightInd w:val="0"/>
        <w:jc w:val="both"/>
        <w:rPr>
          <w:color w:val="000000" w:themeColor="text1"/>
          <w:sz w:val="16"/>
          <w:szCs w:val="16"/>
        </w:rPr>
      </w:pPr>
    </w:p>
    <w:p w14:paraId="18F36F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9003 О вывозе оборудования с типографии "Мюллер" в г. Эберсвальде (Германия). РГАНИР, Фонд ГКО, д. 426, лл. 123 (11012).</w:t>
      </w:r>
    </w:p>
    <w:p w14:paraId="4DF6E59D" w14:textId="77777777" w:rsidR="006103B3" w:rsidRPr="00925F26" w:rsidRDefault="006103B3" w:rsidP="00925F26">
      <w:pPr>
        <w:autoSpaceDE w:val="0"/>
        <w:autoSpaceDN w:val="0"/>
        <w:adjustRightInd w:val="0"/>
        <w:jc w:val="both"/>
        <w:rPr>
          <w:color w:val="000000" w:themeColor="text1"/>
          <w:sz w:val="16"/>
          <w:szCs w:val="16"/>
        </w:rPr>
      </w:pPr>
    </w:p>
    <w:p w14:paraId="13D386D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9004 О вывозе оборудования и аппаратуры Ветеринарного научно-исследовательского института на острове Римс (Германия). РГАНИР, Фонд ГКО, д. 426, лл. 124-125 (11012).</w:t>
      </w:r>
    </w:p>
    <w:p w14:paraId="34E9830F" w14:textId="77777777" w:rsidR="006103B3" w:rsidRPr="00925F26" w:rsidRDefault="006103B3" w:rsidP="00925F26">
      <w:pPr>
        <w:autoSpaceDE w:val="0"/>
        <w:autoSpaceDN w:val="0"/>
        <w:adjustRightInd w:val="0"/>
        <w:jc w:val="both"/>
        <w:rPr>
          <w:color w:val="000000" w:themeColor="text1"/>
          <w:sz w:val="16"/>
          <w:szCs w:val="16"/>
        </w:rPr>
      </w:pPr>
    </w:p>
    <w:p w14:paraId="7D55A7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9005 Об укомплектовании металлообрабатывающими станками предприятий Наркомугля, Наркомэлектростанций, Наркомхимпрома и Наркомрезинпрома. РГАНИР, Фонд ГКО, д. 426, лл. 126 (11012).</w:t>
      </w:r>
    </w:p>
    <w:p w14:paraId="5A14072B" w14:textId="77777777" w:rsidR="006103B3" w:rsidRPr="00925F26" w:rsidRDefault="006103B3" w:rsidP="00925F26">
      <w:pPr>
        <w:autoSpaceDE w:val="0"/>
        <w:autoSpaceDN w:val="0"/>
        <w:adjustRightInd w:val="0"/>
        <w:jc w:val="both"/>
        <w:rPr>
          <w:color w:val="000000" w:themeColor="text1"/>
          <w:sz w:val="16"/>
          <w:szCs w:val="16"/>
        </w:rPr>
      </w:pPr>
    </w:p>
    <w:p w14:paraId="4D63DB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9006 О вывозе оборудования подсобного радиоузла Верховного командования германской армии в г. Бельциг и имущества связи с трофейных складов 1-го Белорусского фронта. РГАНИР, Фонд ГКО, д. 426, лл. 127 (11012).</w:t>
      </w:r>
    </w:p>
    <w:p w14:paraId="0AE4F602" w14:textId="77777777" w:rsidR="006103B3" w:rsidRPr="00925F26" w:rsidRDefault="006103B3" w:rsidP="00925F26">
      <w:pPr>
        <w:autoSpaceDE w:val="0"/>
        <w:autoSpaceDN w:val="0"/>
        <w:adjustRightInd w:val="0"/>
        <w:jc w:val="both"/>
        <w:rPr>
          <w:color w:val="000000" w:themeColor="text1"/>
          <w:sz w:val="16"/>
          <w:szCs w:val="16"/>
        </w:rPr>
      </w:pPr>
    </w:p>
    <w:p w14:paraId="0CBE5A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9007 О вывозе оборудования с завода фирмы "Карл Фербериэ" и механической мастерской фирмы "Бруно Хубрих" в районе Нейкелльн г. Берлин. РГАНИР, Фонд ГКО, д. 426, лл. 128 (11012).</w:t>
      </w:r>
    </w:p>
    <w:p w14:paraId="7D9B4949" w14:textId="77777777" w:rsidR="006103B3" w:rsidRPr="00925F26" w:rsidRDefault="006103B3" w:rsidP="00925F26">
      <w:pPr>
        <w:autoSpaceDE w:val="0"/>
        <w:autoSpaceDN w:val="0"/>
        <w:adjustRightInd w:val="0"/>
        <w:jc w:val="both"/>
        <w:rPr>
          <w:color w:val="000000" w:themeColor="text1"/>
          <w:sz w:val="16"/>
          <w:szCs w:val="16"/>
        </w:rPr>
      </w:pPr>
    </w:p>
    <w:p w14:paraId="4957656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9008 8 июня 1945 вышло Постановление ГКО О вывозе санитарно-технических и отделочных материалов и оборудования с трофейных военно-инженерных складов Саксонии и немецкой Силезии. РГАНИР, Фонд ГКО, д. 426, лл. 129, 130-131 (11012).</w:t>
      </w:r>
    </w:p>
    <w:p w14:paraId="38D96826" w14:textId="77777777" w:rsidR="006103B3" w:rsidRPr="00925F26" w:rsidRDefault="006103B3" w:rsidP="00925F26">
      <w:pPr>
        <w:autoSpaceDE w:val="0"/>
        <w:autoSpaceDN w:val="0"/>
        <w:adjustRightInd w:val="0"/>
        <w:jc w:val="both"/>
        <w:rPr>
          <w:color w:val="000000" w:themeColor="text1"/>
          <w:sz w:val="16"/>
          <w:szCs w:val="16"/>
        </w:rPr>
      </w:pPr>
    </w:p>
    <w:p w14:paraId="077D43D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9009 О вывозе станочного оборудования с трофейных складов фронтов. РГАНИР, Фонд ГКО, д. 426, лл. 132 (11012).</w:t>
      </w:r>
    </w:p>
    <w:p w14:paraId="6BA02DE6" w14:textId="77777777" w:rsidR="006103B3" w:rsidRPr="00925F26" w:rsidRDefault="006103B3" w:rsidP="00925F26">
      <w:pPr>
        <w:autoSpaceDE w:val="0"/>
        <w:autoSpaceDN w:val="0"/>
        <w:adjustRightInd w:val="0"/>
        <w:jc w:val="both"/>
        <w:rPr>
          <w:color w:val="000000" w:themeColor="text1"/>
          <w:sz w:val="16"/>
          <w:szCs w:val="16"/>
        </w:rPr>
      </w:pPr>
    </w:p>
    <w:p w14:paraId="7B0DC3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9010 О вывозе оборудования с двух фармацевтических фабрик "Мадаус" и "Хейне и К'", а также 150 стационарных рентгеновских аппаратов с товарных складов фирмы "Коха Штерцель" в районе г. Дрезден. РГАНИР, Фонд ГКО, д. 426, лл. 133-134 (11012).</w:t>
      </w:r>
    </w:p>
    <w:p w14:paraId="5A11AB30" w14:textId="77777777" w:rsidR="006103B3" w:rsidRPr="00925F26" w:rsidRDefault="006103B3" w:rsidP="00925F26">
      <w:pPr>
        <w:autoSpaceDE w:val="0"/>
        <w:autoSpaceDN w:val="0"/>
        <w:adjustRightInd w:val="0"/>
        <w:jc w:val="both"/>
        <w:rPr>
          <w:color w:val="000000" w:themeColor="text1"/>
          <w:sz w:val="16"/>
          <w:szCs w:val="16"/>
        </w:rPr>
      </w:pPr>
    </w:p>
    <w:p w14:paraId="72E138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9011 О вывозе оборудования немецкого завода органопрепаратов в г. Берлин на мясокомбинат Наркоммясомолпрома СССР в г. Москву. РГАНИР, Фонд ГКО, д. 426, лл. 135 (11012).</w:t>
      </w:r>
    </w:p>
    <w:p w14:paraId="453C1F27" w14:textId="77777777" w:rsidR="006103B3" w:rsidRPr="00925F26" w:rsidRDefault="006103B3" w:rsidP="00925F26">
      <w:pPr>
        <w:autoSpaceDE w:val="0"/>
        <w:autoSpaceDN w:val="0"/>
        <w:adjustRightInd w:val="0"/>
        <w:jc w:val="both"/>
        <w:rPr>
          <w:color w:val="000000" w:themeColor="text1"/>
          <w:sz w:val="16"/>
          <w:szCs w:val="16"/>
        </w:rPr>
      </w:pPr>
    </w:p>
    <w:p w14:paraId="2E83ED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9012 О вывозе оборудования немецких предприятий в г. г. Штеттин и Магдебург на заводы Наркомпищепрома СССР. РГАНИР, Фонд ГКО, д. 426, лл. 136-138 (11012).</w:t>
      </w:r>
    </w:p>
    <w:p w14:paraId="16302CDA" w14:textId="77777777" w:rsidR="006103B3" w:rsidRPr="00925F26" w:rsidRDefault="006103B3" w:rsidP="00925F26">
      <w:pPr>
        <w:autoSpaceDE w:val="0"/>
        <w:autoSpaceDN w:val="0"/>
        <w:adjustRightInd w:val="0"/>
        <w:jc w:val="both"/>
        <w:rPr>
          <w:color w:val="000000" w:themeColor="text1"/>
          <w:sz w:val="16"/>
          <w:szCs w:val="16"/>
        </w:rPr>
      </w:pPr>
    </w:p>
    <w:p w14:paraId="513560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9013 О вывозе оборудования с химических заводов "Шеринг Кольбаум" в г. Берлин на предприятия Наркомхимпрома и Наркомздрава СССР. РГАНИР, Фонд ГКО, д. 426, лл. 139-141 (11012).</w:t>
      </w:r>
    </w:p>
    <w:p w14:paraId="07CFFF8E" w14:textId="77777777" w:rsidR="006103B3" w:rsidRPr="00925F26" w:rsidRDefault="006103B3" w:rsidP="00925F26">
      <w:pPr>
        <w:autoSpaceDE w:val="0"/>
        <w:autoSpaceDN w:val="0"/>
        <w:adjustRightInd w:val="0"/>
        <w:jc w:val="both"/>
        <w:rPr>
          <w:color w:val="000000" w:themeColor="text1"/>
          <w:sz w:val="16"/>
          <w:szCs w:val="16"/>
        </w:rPr>
      </w:pPr>
    </w:p>
    <w:p w14:paraId="518BA4F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9014 О мерах по ускорению вывоза оборудования с немецкого завода гидрирования угля в г. Блеххаммер. РГАНИР, Фонд ГКО, д. 426, лл. 142-144 (11012).</w:t>
      </w:r>
    </w:p>
    <w:p w14:paraId="75441195" w14:textId="77777777" w:rsidR="006103B3" w:rsidRPr="00925F26" w:rsidRDefault="006103B3" w:rsidP="00925F26">
      <w:pPr>
        <w:autoSpaceDE w:val="0"/>
        <w:autoSpaceDN w:val="0"/>
        <w:adjustRightInd w:val="0"/>
        <w:jc w:val="both"/>
        <w:rPr>
          <w:color w:val="000000" w:themeColor="text1"/>
          <w:sz w:val="16"/>
          <w:szCs w:val="16"/>
        </w:rPr>
      </w:pPr>
    </w:p>
    <w:p w14:paraId="4F6385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9015 О вывозе драгоценных и цветных металлов с немецких заводов по выплавке цветных металлов из руды в районе г. Фрейберг - Управлению драгоценных металлов Наркомфина СССР в г. Москва и на базу ГУГМР при СНК СССР в г. Свердловск. Ф.644, оп.1, (11012).</w:t>
      </w:r>
    </w:p>
    <w:p w14:paraId="3800A4A5" w14:textId="77777777" w:rsidR="006103B3" w:rsidRPr="00925F26" w:rsidRDefault="006103B3" w:rsidP="00925F26">
      <w:pPr>
        <w:autoSpaceDE w:val="0"/>
        <w:autoSpaceDN w:val="0"/>
        <w:adjustRightInd w:val="0"/>
        <w:jc w:val="both"/>
        <w:rPr>
          <w:color w:val="000000" w:themeColor="text1"/>
          <w:sz w:val="16"/>
          <w:szCs w:val="16"/>
        </w:rPr>
      </w:pPr>
    </w:p>
    <w:p w14:paraId="0BB90F9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9016 О вывозе писчей бумаги с немецких складов в г. Штеттин. РГАНИР, Фонд ГКО, д. 426, лл. 146 (11012).</w:t>
      </w:r>
    </w:p>
    <w:p w14:paraId="55977F19" w14:textId="77777777" w:rsidR="006103B3" w:rsidRPr="00925F26" w:rsidRDefault="006103B3" w:rsidP="00925F26">
      <w:pPr>
        <w:autoSpaceDE w:val="0"/>
        <w:autoSpaceDN w:val="0"/>
        <w:adjustRightInd w:val="0"/>
        <w:jc w:val="both"/>
        <w:rPr>
          <w:color w:val="000000" w:themeColor="text1"/>
          <w:sz w:val="16"/>
          <w:szCs w:val="16"/>
        </w:rPr>
      </w:pPr>
    </w:p>
    <w:p w14:paraId="2FF3D6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9017 О прекращении отгрузки металла и троса, а также прекращении демонтажа и вывоза оборудования с предприятий и складов на территории Венгрии. РГАНИР, Фонд ГКО, д. 426, лл. 147 (11012).</w:t>
      </w:r>
    </w:p>
    <w:p w14:paraId="386E1103" w14:textId="77777777" w:rsidR="006103B3" w:rsidRPr="00925F26" w:rsidRDefault="006103B3" w:rsidP="00925F26">
      <w:pPr>
        <w:autoSpaceDE w:val="0"/>
        <w:autoSpaceDN w:val="0"/>
        <w:adjustRightInd w:val="0"/>
        <w:jc w:val="both"/>
        <w:rPr>
          <w:color w:val="000000" w:themeColor="text1"/>
          <w:sz w:val="16"/>
          <w:szCs w:val="16"/>
        </w:rPr>
      </w:pPr>
    </w:p>
    <w:p w14:paraId="718F84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9018 О вывозе оборудования с немецких предприятий в г. г. Фелькенвальде, Фрейталь, Фрейберг и Дрезден (Германия) на заводы Наркомстройматериалов СССР. РГАНИР, Фонд ГКО, д. 426, лл. 148-149 (11012).</w:t>
      </w:r>
    </w:p>
    <w:p w14:paraId="29E63E62" w14:textId="77777777" w:rsidR="006103B3" w:rsidRPr="00925F26" w:rsidRDefault="006103B3" w:rsidP="00925F26">
      <w:pPr>
        <w:autoSpaceDE w:val="0"/>
        <w:autoSpaceDN w:val="0"/>
        <w:adjustRightInd w:val="0"/>
        <w:jc w:val="both"/>
        <w:rPr>
          <w:color w:val="000000" w:themeColor="text1"/>
          <w:sz w:val="16"/>
          <w:szCs w:val="16"/>
        </w:rPr>
      </w:pPr>
    </w:p>
    <w:p w14:paraId="00F3F8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9019 О частичных изменениях в постановлениях ГОКО о вывозе оборудования с трофейных предприятий с территории Польши, Восточной Пруссии, Померании и Силезии. РГАНИР, Фонд ГКО, д. 426, лл. 150-151 (11012).</w:t>
      </w:r>
    </w:p>
    <w:p w14:paraId="2AA2DA86" w14:textId="77777777" w:rsidR="006103B3" w:rsidRPr="00925F26" w:rsidRDefault="006103B3" w:rsidP="00925F26">
      <w:pPr>
        <w:autoSpaceDE w:val="0"/>
        <w:autoSpaceDN w:val="0"/>
        <w:adjustRightInd w:val="0"/>
        <w:jc w:val="both"/>
        <w:rPr>
          <w:color w:val="000000" w:themeColor="text1"/>
          <w:sz w:val="16"/>
          <w:szCs w:val="16"/>
        </w:rPr>
      </w:pPr>
    </w:p>
    <w:p w14:paraId="44A6026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9020 о вывозе оборудования с завода сельскохозяйственных машин фирмы "Кауфман", с автогенного цеха завода фирмы "Баксмунг", с завода фирмы "Томсен Шварцкопф", сфилиала машиностроительного завода на территории текстил ьной фабрики фирмы "Каспари (11012).</w:t>
      </w:r>
    </w:p>
    <w:p w14:paraId="2FB6DF7B" w14:textId="77777777" w:rsidR="006103B3" w:rsidRPr="00925F26" w:rsidRDefault="006103B3" w:rsidP="00925F26">
      <w:pPr>
        <w:autoSpaceDE w:val="0"/>
        <w:autoSpaceDN w:val="0"/>
        <w:adjustRightInd w:val="0"/>
        <w:jc w:val="both"/>
        <w:rPr>
          <w:color w:val="000000" w:themeColor="text1"/>
          <w:sz w:val="16"/>
          <w:szCs w:val="16"/>
        </w:rPr>
      </w:pPr>
    </w:p>
    <w:p w14:paraId="15A83A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9021 О вывозе оборудования по производству патронов с немецкого государственного завода в г. Фигов. РГАНИР, Фонд ГКО, д. 427, лл. 1 (11012).</w:t>
      </w:r>
    </w:p>
    <w:p w14:paraId="71D3E2F7" w14:textId="77777777" w:rsidR="006103B3" w:rsidRPr="00925F26" w:rsidRDefault="006103B3" w:rsidP="00925F26">
      <w:pPr>
        <w:autoSpaceDE w:val="0"/>
        <w:autoSpaceDN w:val="0"/>
        <w:adjustRightInd w:val="0"/>
        <w:jc w:val="both"/>
        <w:rPr>
          <w:color w:val="000000" w:themeColor="text1"/>
          <w:sz w:val="16"/>
          <w:szCs w:val="16"/>
        </w:rPr>
      </w:pPr>
    </w:p>
    <w:p w14:paraId="68B70E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9022 О вывозе оборудования по производству гранат фирмы "Динамит Акстольон Гозельшафт" в местечке Людвигсдорф (район г. Мельке ). РГАНИР, Фонд ГКО, д. 427, лл. 2 (11012).</w:t>
      </w:r>
    </w:p>
    <w:p w14:paraId="51A5A6C8" w14:textId="77777777" w:rsidR="006103B3" w:rsidRPr="00925F26" w:rsidRDefault="006103B3" w:rsidP="00925F26">
      <w:pPr>
        <w:autoSpaceDE w:val="0"/>
        <w:autoSpaceDN w:val="0"/>
        <w:adjustRightInd w:val="0"/>
        <w:jc w:val="both"/>
        <w:rPr>
          <w:color w:val="000000" w:themeColor="text1"/>
          <w:sz w:val="16"/>
          <w:szCs w:val="16"/>
        </w:rPr>
      </w:pPr>
    </w:p>
    <w:p w14:paraId="5AFC399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9023 О вывозе оборудования по производству триеров с завода фирмы "Фламмер Цудзе и К'" в г. Родебойль. РГАНИР, Фонд ГКО, д. 427, лл. 3 (11012).</w:t>
      </w:r>
    </w:p>
    <w:p w14:paraId="193A6E7D" w14:textId="77777777" w:rsidR="006103B3" w:rsidRPr="00925F26" w:rsidRDefault="006103B3" w:rsidP="00925F26">
      <w:pPr>
        <w:autoSpaceDE w:val="0"/>
        <w:autoSpaceDN w:val="0"/>
        <w:adjustRightInd w:val="0"/>
        <w:jc w:val="both"/>
        <w:rPr>
          <w:color w:val="000000" w:themeColor="text1"/>
          <w:sz w:val="16"/>
          <w:szCs w:val="16"/>
        </w:rPr>
      </w:pPr>
    </w:p>
    <w:p w14:paraId="71AD64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9024 О вывозе оборудования с немецких заводов в г. Берлин, Фалькенберг и на станции Нидефинов для Наркомстроя. РГАНИР, Фонд ГКО, д. 427, лл. 4-5 (11012).</w:t>
      </w:r>
    </w:p>
    <w:p w14:paraId="24070A02" w14:textId="77777777" w:rsidR="006103B3" w:rsidRPr="00925F26" w:rsidRDefault="006103B3" w:rsidP="00925F26">
      <w:pPr>
        <w:autoSpaceDE w:val="0"/>
        <w:autoSpaceDN w:val="0"/>
        <w:adjustRightInd w:val="0"/>
        <w:jc w:val="both"/>
        <w:rPr>
          <w:color w:val="000000" w:themeColor="text1"/>
          <w:sz w:val="16"/>
          <w:szCs w:val="16"/>
        </w:rPr>
      </w:pPr>
    </w:p>
    <w:p w14:paraId="3D17C41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9025 О вывозе оборудования немецкого цементного завода фирмы "Пресишен Бергверк унд Гуттен А.Г. Берлинен Абтайлунг" в г. Рюдерсдорф. РГАНИР, Фонд ГКО, д. 427, лл. 6 (11012).</w:t>
      </w:r>
    </w:p>
    <w:p w14:paraId="53C9BC1B" w14:textId="77777777" w:rsidR="006103B3" w:rsidRPr="00925F26" w:rsidRDefault="006103B3" w:rsidP="00925F26">
      <w:pPr>
        <w:autoSpaceDE w:val="0"/>
        <w:autoSpaceDN w:val="0"/>
        <w:adjustRightInd w:val="0"/>
        <w:jc w:val="both"/>
        <w:rPr>
          <w:color w:val="000000" w:themeColor="text1"/>
          <w:sz w:val="16"/>
          <w:szCs w:val="16"/>
        </w:rPr>
      </w:pPr>
    </w:p>
    <w:p w14:paraId="7D4242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9026 О вывозе оборудования немецких заводов специального стекла в г. г. Пирна, Мейссен и Тчерниц на заводы Наркомстройматериалов СССР. РГАНИР, Фонд ГКО, д. 427, лл. 7-8 (11012).</w:t>
      </w:r>
    </w:p>
    <w:p w14:paraId="71F5A243" w14:textId="77777777" w:rsidR="006103B3" w:rsidRPr="00925F26" w:rsidRDefault="006103B3" w:rsidP="00925F26">
      <w:pPr>
        <w:autoSpaceDE w:val="0"/>
        <w:autoSpaceDN w:val="0"/>
        <w:adjustRightInd w:val="0"/>
        <w:jc w:val="both"/>
        <w:rPr>
          <w:color w:val="000000" w:themeColor="text1"/>
          <w:sz w:val="16"/>
          <w:szCs w:val="16"/>
        </w:rPr>
      </w:pPr>
    </w:p>
    <w:p w14:paraId="775EE9E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9027 О вывозе оборудования с немецких заводов деревообрабатывающей промышленности в городах Мюльрозе и Потсдам на домостроительные предприятия Наркомлеса СССР. РГАНИР, Фонд ГКО, д. 427, лл. 9-10 (11012).</w:t>
      </w:r>
    </w:p>
    <w:p w14:paraId="0F4170EF" w14:textId="77777777" w:rsidR="006103B3" w:rsidRPr="00925F26" w:rsidRDefault="006103B3" w:rsidP="00925F26">
      <w:pPr>
        <w:autoSpaceDE w:val="0"/>
        <w:autoSpaceDN w:val="0"/>
        <w:adjustRightInd w:val="0"/>
        <w:jc w:val="both"/>
        <w:rPr>
          <w:color w:val="000000" w:themeColor="text1"/>
          <w:sz w:val="16"/>
          <w:szCs w:val="16"/>
        </w:rPr>
      </w:pPr>
    </w:p>
    <w:p w14:paraId="5C9645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9028 О вывозе оборудования немецких предприятий в г. г. Франфурт-на-Одере, Берлин и Вайсвассер на заводы Наркомпищепрома СССР. РГАНИР, Фонд ГКО, д. 427, лл. 11, 12 (11012).</w:t>
      </w:r>
    </w:p>
    <w:p w14:paraId="0BE522AE" w14:textId="77777777" w:rsidR="006103B3" w:rsidRPr="00925F26" w:rsidRDefault="006103B3" w:rsidP="00925F26">
      <w:pPr>
        <w:autoSpaceDE w:val="0"/>
        <w:autoSpaceDN w:val="0"/>
        <w:adjustRightInd w:val="0"/>
        <w:jc w:val="both"/>
        <w:rPr>
          <w:color w:val="000000" w:themeColor="text1"/>
          <w:sz w:val="16"/>
          <w:szCs w:val="16"/>
        </w:rPr>
      </w:pPr>
    </w:p>
    <w:p w14:paraId="70701DD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9029 О вывозе оборудования лесопильных заводов в г. г. Ярлин, Фридлянд и Гайнрихсвальде на предприятия Наркомгражданстроя РСФСР. РГАНИР, Фонд ГКО, д. 427, лл. 13-14 (11012).</w:t>
      </w:r>
    </w:p>
    <w:p w14:paraId="18359687" w14:textId="77777777" w:rsidR="006103B3" w:rsidRPr="00925F26" w:rsidRDefault="006103B3" w:rsidP="00925F26">
      <w:pPr>
        <w:autoSpaceDE w:val="0"/>
        <w:autoSpaceDN w:val="0"/>
        <w:adjustRightInd w:val="0"/>
        <w:jc w:val="both"/>
        <w:rPr>
          <w:color w:val="000000" w:themeColor="text1"/>
          <w:sz w:val="16"/>
          <w:szCs w:val="16"/>
        </w:rPr>
      </w:pPr>
    </w:p>
    <w:p w14:paraId="5ADC6F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9030 О вывозе черных и цветных металлов с завода "Дюрметалл Верке" в г. Берлин на базы Главметаллосбыта в ГУГМР при СНК СССР. РГАНИР, Фонд ГКО, д. 427, лл. 15-16 (11012).</w:t>
      </w:r>
    </w:p>
    <w:p w14:paraId="55A37755" w14:textId="77777777" w:rsidR="006103B3" w:rsidRPr="00925F26" w:rsidRDefault="006103B3" w:rsidP="00925F26">
      <w:pPr>
        <w:autoSpaceDE w:val="0"/>
        <w:autoSpaceDN w:val="0"/>
        <w:adjustRightInd w:val="0"/>
        <w:jc w:val="both"/>
        <w:rPr>
          <w:color w:val="000000" w:themeColor="text1"/>
          <w:sz w:val="16"/>
          <w:szCs w:val="16"/>
        </w:rPr>
      </w:pPr>
    </w:p>
    <w:p w14:paraId="7B25D6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9031 О вывозе оборудования с немецких предприятий деревообрабатывающей промышленности для укомплектования деревообрабатывающего завода Псковского облисполкома. РГАНИР, Фонд ГКО, д. 427, лл. 17-18 (11012).</w:t>
      </w:r>
    </w:p>
    <w:p w14:paraId="759D897F" w14:textId="77777777" w:rsidR="006103B3" w:rsidRPr="00925F26" w:rsidRDefault="006103B3" w:rsidP="00925F26">
      <w:pPr>
        <w:autoSpaceDE w:val="0"/>
        <w:autoSpaceDN w:val="0"/>
        <w:adjustRightInd w:val="0"/>
        <w:jc w:val="both"/>
        <w:rPr>
          <w:color w:val="000000" w:themeColor="text1"/>
          <w:sz w:val="16"/>
          <w:szCs w:val="16"/>
        </w:rPr>
      </w:pPr>
    </w:p>
    <w:p w14:paraId="37B0B3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9032 О вывозе оборудования на особую базу № 3. РГАНИР, Фонд ГКО, д. 427, лл. 19 (11012).</w:t>
      </w:r>
    </w:p>
    <w:p w14:paraId="10E580D8" w14:textId="77777777" w:rsidR="006103B3" w:rsidRPr="00925F26" w:rsidRDefault="006103B3" w:rsidP="00925F26">
      <w:pPr>
        <w:autoSpaceDE w:val="0"/>
        <w:autoSpaceDN w:val="0"/>
        <w:adjustRightInd w:val="0"/>
        <w:jc w:val="both"/>
        <w:rPr>
          <w:color w:val="000000" w:themeColor="text1"/>
          <w:sz w:val="16"/>
          <w:szCs w:val="16"/>
        </w:rPr>
      </w:pPr>
    </w:p>
    <w:p w14:paraId="4F8C96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9033 О вывозе оборудования фабрики искусственного волокна и шерсти для Наркомтекстиля СССР. РГАНИР, Фонд ГКО, д. 427, лл. 20-26 (11012).</w:t>
      </w:r>
    </w:p>
    <w:p w14:paraId="5F7CDA70" w14:textId="77777777" w:rsidR="006103B3" w:rsidRPr="00925F26" w:rsidRDefault="006103B3" w:rsidP="00925F26">
      <w:pPr>
        <w:autoSpaceDE w:val="0"/>
        <w:autoSpaceDN w:val="0"/>
        <w:adjustRightInd w:val="0"/>
        <w:jc w:val="both"/>
        <w:rPr>
          <w:color w:val="000000" w:themeColor="text1"/>
          <w:sz w:val="16"/>
          <w:szCs w:val="16"/>
        </w:rPr>
      </w:pPr>
    </w:p>
    <w:p w14:paraId="53D4DC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9034 О вывозе оборудования фабрики искусственной кожи "Вайтинг Гезельшафт". РГАНИР, Фонд ГКО, д. 427, лл. 22 (11012).</w:t>
      </w:r>
    </w:p>
    <w:p w14:paraId="282EE21A" w14:textId="77777777" w:rsidR="006103B3" w:rsidRPr="00925F26" w:rsidRDefault="006103B3" w:rsidP="00925F26">
      <w:pPr>
        <w:autoSpaceDE w:val="0"/>
        <w:autoSpaceDN w:val="0"/>
        <w:adjustRightInd w:val="0"/>
        <w:jc w:val="both"/>
        <w:rPr>
          <w:color w:val="000000" w:themeColor="text1"/>
          <w:sz w:val="16"/>
          <w:szCs w:val="16"/>
        </w:rPr>
      </w:pPr>
    </w:p>
    <w:p w14:paraId="29A4D38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9035 О вывозе оборудования для восстановления обозного производства на предприятиях местной промышленности и промкооперации Украинской ССР. РГАНИР, Фонд ГКО, д. 427, лл. 23-25 (11012).</w:t>
      </w:r>
    </w:p>
    <w:p w14:paraId="33534127" w14:textId="77777777" w:rsidR="006103B3" w:rsidRPr="00925F26" w:rsidRDefault="006103B3" w:rsidP="00925F26">
      <w:pPr>
        <w:autoSpaceDE w:val="0"/>
        <w:autoSpaceDN w:val="0"/>
        <w:adjustRightInd w:val="0"/>
        <w:jc w:val="both"/>
        <w:rPr>
          <w:color w:val="000000" w:themeColor="text1"/>
          <w:sz w:val="16"/>
          <w:szCs w:val="16"/>
        </w:rPr>
      </w:pPr>
    </w:p>
    <w:p w14:paraId="1BF7329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55D6269" w14:textId="77777777" w:rsidR="006103B3" w:rsidRPr="00925F26" w:rsidRDefault="006103B3" w:rsidP="00925F26">
      <w:pPr>
        <w:autoSpaceDE w:val="0"/>
        <w:autoSpaceDN w:val="0"/>
        <w:adjustRightInd w:val="0"/>
        <w:jc w:val="both"/>
        <w:rPr>
          <w:iCs/>
          <w:color w:val="000000" w:themeColor="text1"/>
          <w:sz w:val="16"/>
          <w:szCs w:val="16"/>
        </w:rPr>
      </w:pPr>
    </w:p>
    <w:p w14:paraId="1A954A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июня 1945 вышло Постановление ГКО № 8940 О снабжении продовольствием населения г. Хемниц. РГАНИР, Фонд ГКО, д. 426, лл. 1-2 (11012).</w:t>
      </w:r>
    </w:p>
    <w:p w14:paraId="6C6699F0" w14:textId="77777777" w:rsidR="006103B3" w:rsidRPr="00925F26" w:rsidRDefault="006103B3" w:rsidP="00925F26">
      <w:pPr>
        <w:autoSpaceDE w:val="0"/>
        <w:autoSpaceDN w:val="0"/>
        <w:adjustRightInd w:val="0"/>
        <w:jc w:val="both"/>
        <w:rPr>
          <w:color w:val="000000" w:themeColor="text1"/>
          <w:sz w:val="16"/>
          <w:szCs w:val="16"/>
        </w:rPr>
      </w:pPr>
    </w:p>
    <w:p w14:paraId="372C843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1D9583F" w14:textId="77777777" w:rsidR="006103B3" w:rsidRPr="00925F26" w:rsidRDefault="006103B3" w:rsidP="00925F26">
      <w:pPr>
        <w:autoSpaceDE w:val="0"/>
        <w:autoSpaceDN w:val="0"/>
        <w:adjustRightInd w:val="0"/>
        <w:jc w:val="both"/>
        <w:rPr>
          <w:iCs/>
          <w:color w:val="000000" w:themeColor="text1"/>
          <w:sz w:val="16"/>
          <w:szCs w:val="16"/>
        </w:rPr>
      </w:pPr>
    </w:p>
    <w:p w14:paraId="4A1B450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8 июня 1945 у берегов Явы английская подлодка затопила японский крейсер “Ашигара” (4962).</w:t>
      </w:r>
    </w:p>
    <w:p w14:paraId="1334C73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97BE9E1" w14:textId="77777777" w:rsidR="00B5377E" w:rsidRPr="00925F26" w:rsidRDefault="00B5377E" w:rsidP="00925F26">
      <w:pPr>
        <w:jc w:val="both"/>
        <w:rPr>
          <w:color w:val="000000" w:themeColor="text1"/>
          <w:sz w:val="16"/>
          <w:szCs w:val="16"/>
        </w:rPr>
      </w:pPr>
      <w:r w:rsidRPr="00925F26">
        <w:rPr>
          <w:color w:val="000000" w:themeColor="text1"/>
          <w:sz w:val="16"/>
          <w:szCs w:val="16"/>
        </w:rPr>
        <w:lastRenderedPageBreak/>
        <w:t>8 июня 1945 г.</w:t>
      </w:r>
    </w:p>
    <w:p w14:paraId="21C8541A" w14:textId="77777777" w:rsidR="00B5377E" w:rsidRPr="00925F26" w:rsidRDefault="00B5377E" w:rsidP="00925F26">
      <w:pPr>
        <w:jc w:val="both"/>
        <w:rPr>
          <w:color w:val="000000" w:themeColor="text1"/>
          <w:sz w:val="16"/>
          <w:szCs w:val="16"/>
        </w:rPr>
      </w:pPr>
      <w:r w:rsidRPr="00925F26">
        <w:rPr>
          <w:color w:val="000000" w:themeColor="text1"/>
          <w:sz w:val="16"/>
          <w:szCs w:val="16"/>
        </w:rPr>
        <w:t>ИЗ ЗАКЛЮЧЕНИЯ НАЧАЛЬНИКОВ ШТАБОВ ВЕЛИКОБРИТАНИИ ОТНОСИТЕЛЬНО ПЛАНА ВОЙНЫ ПРОТИВ СССР</w:t>
      </w:r>
    </w:p>
    <w:p w14:paraId="1D4F2A8F" w14:textId="77777777" w:rsidR="00B5377E" w:rsidRPr="00925F26" w:rsidRDefault="00B5377E" w:rsidP="00925F26">
      <w:pPr>
        <w:jc w:val="both"/>
        <w:rPr>
          <w:color w:val="000000" w:themeColor="text1"/>
          <w:sz w:val="16"/>
          <w:szCs w:val="16"/>
        </w:rPr>
      </w:pPr>
      <w:r w:rsidRPr="00925F26">
        <w:rPr>
          <w:color w:val="000000" w:themeColor="text1"/>
          <w:sz w:val="16"/>
          <w:szCs w:val="16"/>
        </w:rPr>
        <w:t>(ПЛАНА «НЕМЫСЛИМОЕ»)</w:t>
      </w:r>
    </w:p>
    <w:p w14:paraId="012083E0" w14:textId="77777777" w:rsidR="00B5377E" w:rsidRPr="00925F26" w:rsidRDefault="00B5377E" w:rsidP="00925F26">
      <w:pPr>
        <w:jc w:val="both"/>
        <w:rPr>
          <w:color w:val="000000" w:themeColor="text1"/>
          <w:sz w:val="16"/>
          <w:szCs w:val="16"/>
        </w:rPr>
      </w:pPr>
      <w:r w:rsidRPr="00925F26">
        <w:rPr>
          <w:color w:val="000000" w:themeColor="text1"/>
          <w:sz w:val="16"/>
          <w:szCs w:val="16"/>
        </w:rPr>
        <w:t>8 июня 1945 г.</w:t>
      </w:r>
    </w:p>
    <w:p w14:paraId="576FC645" w14:textId="77777777" w:rsidR="00B5377E" w:rsidRPr="00925F26" w:rsidRDefault="00B5377E" w:rsidP="00925F26">
      <w:pPr>
        <w:jc w:val="both"/>
        <w:rPr>
          <w:color w:val="000000" w:themeColor="text1"/>
          <w:sz w:val="16"/>
          <w:szCs w:val="16"/>
        </w:rPr>
      </w:pPr>
      <w:r w:rsidRPr="00925F26">
        <w:rPr>
          <w:color w:val="000000" w:themeColor="text1"/>
          <w:sz w:val="16"/>
          <w:szCs w:val="16"/>
        </w:rPr>
        <w:t>Премьер-министру</w:t>
      </w:r>
    </w:p>
    <w:p w14:paraId="7616311C" w14:textId="77777777" w:rsidR="00B5377E" w:rsidRPr="00925F26" w:rsidRDefault="00B5377E" w:rsidP="00925F26">
      <w:pPr>
        <w:jc w:val="both"/>
        <w:rPr>
          <w:color w:val="000000" w:themeColor="text1"/>
          <w:sz w:val="16"/>
          <w:szCs w:val="16"/>
        </w:rPr>
      </w:pPr>
      <w:r w:rsidRPr="00925F26">
        <w:rPr>
          <w:color w:val="000000" w:themeColor="text1"/>
          <w:sz w:val="16"/>
          <w:szCs w:val="16"/>
        </w:rPr>
        <w:t>В соответствии с Вашими инструкциями, мы рассмотрели наши потенциальные возможности оказания давления на Россию путем угрозы или применения силы. Мы ограничиваемся тем, о чем свидетельствуют конкретные факты и цифры. Мы готовы обсудить их с Вами, если Вы того пожелаете.</w:t>
      </w:r>
    </w:p>
    <w:p w14:paraId="4C6707FE" w14:textId="77777777" w:rsidR="00B5377E" w:rsidRPr="00925F26" w:rsidRDefault="00B5377E" w:rsidP="00925F26">
      <w:pPr>
        <w:jc w:val="both"/>
        <w:rPr>
          <w:color w:val="000000" w:themeColor="text1"/>
          <w:sz w:val="16"/>
          <w:szCs w:val="16"/>
        </w:rPr>
      </w:pPr>
      <w:r w:rsidRPr="00925F26">
        <w:rPr>
          <w:color w:val="000000" w:themeColor="text1"/>
          <w:sz w:val="16"/>
          <w:szCs w:val="16"/>
        </w:rPr>
        <w:t>а) Сухопутные войска</w:t>
      </w:r>
    </w:p>
    <w:p w14:paraId="27AA68D3" w14:textId="77777777" w:rsidR="00B5377E" w:rsidRPr="00925F26" w:rsidRDefault="00B5377E" w:rsidP="00925F26">
      <w:pPr>
        <w:jc w:val="both"/>
        <w:rPr>
          <w:color w:val="000000" w:themeColor="text1"/>
          <w:sz w:val="16"/>
          <w:szCs w:val="16"/>
        </w:rPr>
      </w:pPr>
      <w:r w:rsidRPr="00925F26">
        <w:rPr>
          <w:color w:val="000000" w:themeColor="text1"/>
          <w:sz w:val="16"/>
          <w:szCs w:val="16"/>
        </w:rPr>
        <w:t>Русская дивизия отличается по своему составу от дивизии союзников. Поэтому мы пересчитали русские дивизии на их британский эквивалент. Наша оценка общего соотношения сил в Европе по состоянию на 1 июля:</w:t>
      </w:r>
    </w:p>
    <w:p w14:paraId="4F84406A" w14:textId="77777777" w:rsidR="00B5377E" w:rsidRPr="00925F26" w:rsidRDefault="00B5377E" w:rsidP="00925F26">
      <w:pPr>
        <w:jc w:val="both"/>
        <w:rPr>
          <w:color w:val="000000" w:themeColor="text1"/>
          <w:sz w:val="16"/>
          <w:szCs w:val="16"/>
        </w:rPr>
      </w:pPr>
      <w:r w:rsidRPr="00925F26">
        <w:rPr>
          <w:color w:val="000000" w:themeColor="text1"/>
          <w:sz w:val="16"/>
          <w:szCs w:val="16"/>
        </w:rPr>
        <w:t>Союзники</w:t>
      </w:r>
      <w:r w:rsidRPr="00925F26">
        <w:rPr>
          <w:color w:val="000000" w:themeColor="text1"/>
          <w:sz w:val="16"/>
          <w:szCs w:val="16"/>
        </w:rPr>
        <w:tab/>
      </w:r>
      <w:r w:rsidRPr="00925F26">
        <w:rPr>
          <w:color w:val="000000" w:themeColor="text1"/>
          <w:sz w:val="16"/>
          <w:szCs w:val="16"/>
        </w:rPr>
        <w:tab/>
        <w:t>Русские</w:t>
      </w:r>
    </w:p>
    <w:p w14:paraId="1FA81394" w14:textId="77777777" w:rsidR="00B5377E" w:rsidRPr="00925F26" w:rsidRDefault="00B5377E" w:rsidP="00925F26">
      <w:pPr>
        <w:jc w:val="both"/>
        <w:rPr>
          <w:color w:val="000000" w:themeColor="text1"/>
          <w:sz w:val="16"/>
          <w:szCs w:val="16"/>
        </w:rPr>
      </w:pPr>
      <w:r w:rsidRPr="00925F26">
        <w:rPr>
          <w:color w:val="000000" w:themeColor="text1"/>
          <w:sz w:val="16"/>
          <w:szCs w:val="16"/>
        </w:rPr>
        <w:t>США</w:t>
      </w:r>
      <w:r w:rsidRPr="00925F26">
        <w:rPr>
          <w:color w:val="000000" w:themeColor="text1"/>
          <w:sz w:val="16"/>
          <w:szCs w:val="16"/>
        </w:rPr>
        <w:tab/>
        <w:t>64 дивизии</w:t>
      </w:r>
      <w:r w:rsidRPr="00925F26">
        <w:rPr>
          <w:color w:val="000000" w:themeColor="text1"/>
          <w:sz w:val="16"/>
          <w:szCs w:val="16"/>
        </w:rPr>
        <w:tab/>
      </w:r>
    </w:p>
    <w:p w14:paraId="0E03CBEB" w14:textId="77777777" w:rsidR="00B5377E" w:rsidRPr="00925F26" w:rsidRDefault="00B5377E" w:rsidP="00925F26">
      <w:pPr>
        <w:jc w:val="both"/>
        <w:rPr>
          <w:color w:val="000000" w:themeColor="text1"/>
          <w:sz w:val="16"/>
          <w:szCs w:val="16"/>
        </w:rPr>
      </w:pPr>
      <w:r w:rsidRPr="00925F26">
        <w:rPr>
          <w:color w:val="000000" w:themeColor="text1"/>
          <w:sz w:val="16"/>
          <w:szCs w:val="16"/>
        </w:rPr>
        <w:t>Британия и доминионы</w:t>
      </w:r>
      <w:r w:rsidRPr="00925F26">
        <w:rPr>
          <w:color w:val="000000" w:themeColor="text1"/>
          <w:sz w:val="16"/>
          <w:szCs w:val="16"/>
        </w:rPr>
        <w:tab/>
        <w:t>35 дивизий</w:t>
      </w:r>
      <w:r w:rsidRPr="00925F26">
        <w:rPr>
          <w:color w:val="000000" w:themeColor="text1"/>
          <w:sz w:val="16"/>
          <w:szCs w:val="16"/>
        </w:rPr>
        <w:tab/>
      </w:r>
    </w:p>
    <w:p w14:paraId="42B29DDC" w14:textId="77777777" w:rsidR="00B5377E" w:rsidRPr="00925F26" w:rsidRDefault="00B5377E" w:rsidP="00925F26">
      <w:pPr>
        <w:jc w:val="both"/>
        <w:rPr>
          <w:color w:val="000000" w:themeColor="text1"/>
          <w:sz w:val="16"/>
          <w:szCs w:val="16"/>
        </w:rPr>
      </w:pPr>
      <w:r w:rsidRPr="00925F26">
        <w:rPr>
          <w:color w:val="000000" w:themeColor="text1"/>
          <w:sz w:val="16"/>
          <w:szCs w:val="16"/>
        </w:rPr>
        <w:t>Польша</w:t>
      </w:r>
      <w:r w:rsidRPr="00925F26">
        <w:rPr>
          <w:color w:val="000000" w:themeColor="text1"/>
          <w:sz w:val="16"/>
          <w:szCs w:val="16"/>
        </w:rPr>
        <w:tab/>
        <w:t>4 дивизии</w:t>
      </w:r>
      <w:r w:rsidRPr="00925F26">
        <w:rPr>
          <w:color w:val="000000" w:themeColor="text1"/>
          <w:sz w:val="16"/>
          <w:szCs w:val="16"/>
        </w:rPr>
        <w:tab/>
      </w:r>
    </w:p>
    <w:p w14:paraId="595ED032" w14:textId="77777777" w:rsidR="00B5377E" w:rsidRPr="00925F26" w:rsidRDefault="00B5377E" w:rsidP="00925F26">
      <w:pPr>
        <w:jc w:val="both"/>
        <w:rPr>
          <w:color w:val="000000" w:themeColor="text1"/>
          <w:sz w:val="16"/>
          <w:szCs w:val="16"/>
        </w:rPr>
      </w:pPr>
      <w:r w:rsidRPr="00925F26">
        <w:rPr>
          <w:color w:val="000000" w:themeColor="text1"/>
          <w:sz w:val="16"/>
          <w:szCs w:val="16"/>
        </w:rPr>
        <w:t>Всего</w:t>
      </w:r>
      <w:r w:rsidRPr="00925F26">
        <w:rPr>
          <w:color w:val="000000" w:themeColor="text1"/>
          <w:sz w:val="16"/>
          <w:szCs w:val="16"/>
        </w:rPr>
        <w:tab/>
        <w:t>103 дивизии (в т. ч. 36 танковых)</w:t>
      </w:r>
      <w:r w:rsidRPr="00925F26">
        <w:rPr>
          <w:color w:val="000000" w:themeColor="text1"/>
          <w:sz w:val="16"/>
          <w:szCs w:val="16"/>
        </w:rPr>
        <w:tab/>
        <w:t>264 дивизии</w:t>
      </w:r>
    </w:p>
    <w:p w14:paraId="2565EEC0" w14:textId="77777777" w:rsidR="00B5377E" w:rsidRPr="00925F26" w:rsidRDefault="00B5377E" w:rsidP="00925F26">
      <w:pPr>
        <w:jc w:val="both"/>
        <w:rPr>
          <w:color w:val="000000" w:themeColor="text1"/>
          <w:sz w:val="16"/>
          <w:szCs w:val="16"/>
        </w:rPr>
      </w:pPr>
      <w:r w:rsidRPr="00925F26">
        <w:rPr>
          <w:color w:val="000000" w:themeColor="text1"/>
          <w:sz w:val="16"/>
          <w:szCs w:val="16"/>
        </w:rPr>
        <w:t>б) Военно-воздушные силы</w:t>
      </w:r>
    </w:p>
    <w:p w14:paraId="5284F465" w14:textId="77777777" w:rsidR="00B5377E" w:rsidRPr="00925F26" w:rsidRDefault="00B5377E" w:rsidP="00925F26">
      <w:pPr>
        <w:jc w:val="both"/>
        <w:rPr>
          <w:color w:val="000000" w:themeColor="text1"/>
          <w:sz w:val="16"/>
          <w:szCs w:val="16"/>
        </w:rPr>
      </w:pPr>
      <w:r w:rsidRPr="00925F26">
        <w:rPr>
          <w:color w:val="000000" w:themeColor="text1"/>
          <w:sz w:val="16"/>
          <w:szCs w:val="16"/>
        </w:rPr>
        <w:t>Союзники (число самолетов)</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roofErr w:type="gramStart"/>
      <w:r w:rsidRPr="00925F26">
        <w:rPr>
          <w:color w:val="000000" w:themeColor="text1"/>
          <w:sz w:val="16"/>
          <w:szCs w:val="16"/>
        </w:rPr>
        <w:t>Русские  (</w:t>
      </w:r>
      <w:proofErr w:type="gramEnd"/>
      <w:r w:rsidRPr="00925F26">
        <w:rPr>
          <w:color w:val="000000" w:themeColor="text1"/>
          <w:sz w:val="16"/>
          <w:szCs w:val="16"/>
        </w:rPr>
        <w:t>число самолетов)</w:t>
      </w:r>
      <w:r w:rsidRPr="00925F26">
        <w:rPr>
          <w:color w:val="000000" w:themeColor="text1"/>
          <w:sz w:val="16"/>
          <w:szCs w:val="16"/>
        </w:rPr>
        <w:tab/>
      </w:r>
    </w:p>
    <w:p w14:paraId="51A0ACD1" w14:textId="77777777" w:rsidR="00B5377E" w:rsidRPr="00925F26" w:rsidRDefault="00B5377E" w:rsidP="00925F26">
      <w:pPr>
        <w:jc w:val="both"/>
        <w:rPr>
          <w:color w:val="000000" w:themeColor="text1"/>
          <w:sz w:val="16"/>
          <w:szCs w:val="16"/>
        </w:rPr>
      </w:pPr>
      <w:r w:rsidRPr="00925F26">
        <w:rPr>
          <w:color w:val="000000" w:themeColor="text1"/>
          <w:sz w:val="16"/>
          <w:szCs w:val="16"/>
        </w:rPr>
        <w:tab/>
        <w:t>тактическая</w:t>
      </w:r>
      <w:r w:rsidRPr="00925F26">
        <w:rPr>
          <w:color w:val="000000" w:themeColor="text1"/>
          <w:sz w:val="16"/>
          <w:szCs w:val="16"/>
        </w:rPr>
        <w:tab/>
        <w:t>стратегическая</w:t>
      </w:r>
      <w:r w:rsidRPr="00925F26">
        <w:rPr>
          <w:color w:val="000000" w:themeColor="text1"/>
          <w:sz w:val="16"/>
          <w:szCs w:val="16"/>
        </w:rPr>
        <w:tab/>
        <w:t>тактическая</w:t>
      </w:r>
      <w:r w:rsidRPr="00925F26">
        <w:rPr>
          <w:color w:val="000000" w:themeColor="text1"/>
          <w:sz w:val="16"/>
          <w:szCs w:val="16"/>
        </w:rPr>
        <w:tab/>
        <w:t>стратегическая</w:t>
      </w:r>
    </w:p>
    <w:p w14:paraId="1C12BDDF" w14:textId="77777777" w:rsidR="00B5377E" w:rsidRPr="00925F26" w:rsidRDefault="00B5377E" w:rsidP="00925F26">
      <w:pPr>
        <w:jc w:val="both"/>
        <w:rPr>
          <w:color w:val="000000" w:themeColor="text1"/>
          <w:sz w:val="16"/>
          <w:szCs w:val="16"/>
        </w:rPr>
      </w:pPr>
      <w:r w:rsidRPr="00925F26">
        <w:rPr>
          <w:color w:val="000000" w:themeColor="text1"/>
          <w:sz w:val="16"/>
          <w:szCs w:val="16"/>
        </w:rPr>
        <w:tab/>
        <w:t>авиация</w:t>
      </w:r>
      <w:r w:rsidRPr="00925F26">
        <w:rPr>
          <w:color w:val="000000" w:themeColor="text1"/>
          <w:sz w:val="16"/>
          <w:szCs w:val="16"/>
        </w:rPr>
        <w:tab/>
        <w:t>авиация</w:t>
      </w:r>
      <w:r w:rsidRPr="00925F26">
        <w:rPr>
          <w:color w:val="000000" w:themeColor="text1"/>
          <w:sz w:val="16"/>
          <w:szCs w:val="16"/>
        </w:rPr>
        <w:tab/>
        <w:t>авиация</w:t>
      </w:r>
      <w:r w:rsidRPr="00925F26">
        <w:rPr>
          <w:color w:val="000000" w:themeColor="text1"/>
          <w:sz w:val="16"/>
          <w:szCs w:val="16"/>
        </w:rPr>
        <w:tab/>
        <w:t>авиация</w:t>
      </w:r>
    </w:p>
    <w:p w14:paraId="160AD5BA" w14:textId="77777777" w:rsidR="00B5377E" w:rsidRPr="00925F26" w:rsidRDefault="00B5377E" w:rsidP="00925F26">
      <w:pPr>
        <w:jc w:val="both"/>
        <w:rPr>
          <w:color w:val="000000" w:themeColor="text1"/>
          <w:sz w:val="16"/>
          <w:szCs w:val="16"/>
        </w:rPr>
      </w:pPr>
      <w:r w:rsidRPr="00925F26">
        <w:rPr>
          <w:color w:val="000000" w:themeColor="text1"/>
          <w:sz w:val="16"/>
          <w:szCs w:val="16"/>
        </w:rPr>
        <w:t>США</w:t>
      </w:r>
      <w:r w:rsidRPr="00925F26">
        <w:rPr>
          <w:color w:val="000000" w:themeColor="text1"/>
          <w:sz w:val="16"/>
          <w:szCs w:val="16"/>
        </w:rPr>
        <w:tab/>
        <w:t>3480</w:t>
      </w:r>
      <w:r w:rsidRPr="00925F26">
        <w:rPr>
          <w:color w:val="000000" w:themeColor="text1"/>
          <w:sz w:val="16"/>
          <w:szCs w:val="16"/>
        </w:rPr>
        <w:tab/>
        <w:t>1008</w:t>
      </w:r>
      <w:r w:rsidRPr="00925F26">
        <w:rPr>
          <w:color w:val="000000" w:themeColor="text1"/>
          <w:sz w:val="16"/>
          <w:szCs w:val="16"/>
        </w:rPr>
        <w:tab/>
      </w:r>
      <w:r w:rsidRPr="00925F26">
        <w:rPr>
          <w:color w:val="000000" w:themeColor="text1"/>
          <w:sz w:val="16"/>
          <w:szCs w:val="16"/>
        </w:rPr>
        <w:tab/>
      </w:r>
    </w:p>
    <w:p w14:paraId="38B5FF83" w14:textId="77777777" w:rsidR="00B5377E" w:rsidRPr="00925F26" w:rsidRDefault="00B5377E" w:rsidP="00925F26">
      <w:pPr>
        <w:jc w:val="both"/>
        <w:rPr>
          <w:color w:val="000000" w:themeColor="text1"/>
          <w:sz w:val="16"/>
          <w:szCs w:val="16"/>
        </w:rPr>
      </w:pPr>
      <w:r w:rsidRPr="00925F26">
        <w:rPr>
          <w:color w:val="000000" w:themeColor="text1"/>
          <w:sz w:val="16"/>
          <w:szCs w:val="16"/>
        </w:rPr>
        <w:t>Британия</w:t>
      </w:r>
      <w:r w:rsidRPr="00925F26">
        <w:rPr>
          <w:color w:val="000000" w:themeColor="text1"/>
          <w:sz w:val="16"/>
          <w:szCs w:val="16"/>
        </w:rPr>
        <w:tab/>
        <w:t>2370</w:t>
      </w:r>
      <w:r w:rsidRPr="00925F26">
        <w:rPr>
          <w:color w:val="000000" w:themeColor="text1"/>
          <w:sz w:val="16"/>
          <w:szCs w:val="16"/>
        </w:rPr>
        <w:tab/>
        <w:t>1722</w:t>
      </w:r>
      <w:r w:rsidRPr="00925F26">
        <w:rPr>
          <w:color w:val="000000" w:themeColor="text1"/>
          <w:sz w:val="16"/>
          <w:szCs w:val="16"/>
        </w:rPr>
        <w:tab/>
      </w:r>
      <w:r w:rsidRPr="00925F26">
        <w:rPr>
          <w:color w:val="000000" w:themeColor="text1"/>
          <w:sz w:val="16"/>
          <w:szCs w:val="16"/>
        </w:rPr>
        <w:tab/>
      </w:r>
    </w:p>
    <w:p w14:paraId="39180E3F" w14:textId="77777777" w:rsidR="00B5377E" w:rsidRPr="00925F26" w:rsidRDefault="00B5377E" w:rsidP="00925F26">
      <w:pPr>
        <w:jc w:val="both"/>
        <w:rPr>
          <w:color w:val="000000" w:themeColor="text1"/>
          <w:sz w:val="16"/>
          <w:szCs w:val="16"/>
        </w:rPr>
      </w:pPr>
      <w:r w:rsidRPr="00925F26">
        <w:rPr>
          <w:color w:val="000000" w:themeColor="text1"/>
          <w:sz w:val="16"/>
          <w:szCs w:val="16"/>
        </w:rPr>
        <w:t>И доминионы</w:t>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p>
    <w:p w14:paraId="6AE74F91" w14:textId="77777777" w:rsidR="00B5377E" w:rsidRPr="00925F26" w:rsidRDefault="00B5377E" w:rsidP="00925F26">
      <w:pPr>
        <w:jc w:val="both"/>
        <w:rPr>
          <w:color w:val="000000" w:themeColor="text1"/>
          <w:sz w:val="16"/>
          <w:szCs w:val="16"/>
        </w:rPr>
      </w:pPr>
      <w:r w:rsidRPr="00925F26">
        <w:rPr>
          <w:color w:val="000000" w:themeColor="text1"/>
          <w:sz w:val="16"/>
          <w:szCs w:val="16"/>
        </w:rPr>
        <w:t>Польша</w:t>
      </w:r>
      <w:r w:rsidRPr="00925F26">
        <w:rPr>
          <w:color w:val="000000" w:themeColor="text1"/>
          <w:sz w:val="16"/>
          <w:szCs w:val="16"/>
        </w:rPr>
        <w:tab/>
        <w:t>198</w:t>
      </w:r>
      <w:r w:rsidRPr="00925F26">
        <w:rPr>
          <w:color w:val="000000" w:themeColor="text1"/>
          <w:sz w:val="16"/>
          <w:szCs w:val="16"/>
        </w:rPr>
        <w:tab/>
        <w:t>20</w:t>
      </w:r>
      <w:r w:rsidRPr="00925F26">
        <w:rPr>
          <w:color w:val="000000" w:themeColor="text1"/>
          <w:sz w:val="16"/>
          <w:szCs w:val="16"/>
        </w:rPr>
        <w:tab/>
      </w:r>
      <w:r w:rsidRPr="00925F26">
        <w:rPr>
          <w:color w:val="000000" w:themeColor="text1"/>
          <w:sz w:val="16"/>
          <w:szCs w:val="16"/>
        </w:rPr>
        <w:tab/>
      </w:r>
    </w:p>
    <w:p w14:paraId="46E44EDC" w14:textId="77777777" w:rsidR="00B5377E" w:rsidRPr="00925F26" w:rsidRDefault="00B5377E" w:rsidP="00925F26">
      <w:pPr>
        <w:jc w:val="both"/>
        <w:rPr>
          <w:color w:val="000000" w:themeColor="text1"/>
          <w:sz w:val="16"/>
          <w:szCs w:val="16"/>
        </w:rPr>
      </w:pPr>
      <w:r w:rsidRPr="00925F26">
        <w:rPr>
          <w:color w:val="000000" w:themeColor="text1"/>
          <w:sz w:val="16"/>
          <w:szCs w:val="16"/>
        </w:rPr>
        <w:t>Всего</w:t>
      </w:r>
      <w:r w:rsidRPr="00925F26">
        <w:rPr>
          <w:color w:val="000000" w:themeColor="text1"/>
          <w:sz w:val="16"/>
          <w:szCs w:val="16"/>
        </w:rPr>
        <w:tab/>
        <w:t>6048</w:t>
      </w:r>
      <w:r w:rsidRPr="00925F26">
        <w:rPr>
          <w:color w:val="000000" w:themeColor="text1"/>
          <w:sz w:val="16"/>
          <w:szCs w:val="16"/>
        </w:rPr>
        <w:tab/>
        <w:t>2750</w:t>
      </w:r>
      <w:r w:rsidRPr="00925F26">
        <w:rPr>
          <w:color w:val="000000" w:themeColor="text1"/>
          <w:sz w:val="16"/>
          <w:szCs w:val="16"/>
        </w:rPr>
        <w:tab/>
        <w:t>И 802</w:t>
      </w:r>
      <w:r w:rsidRPr="00925F26">
        <w:rPr>
          <w:color w:val="000000" w:themeColor="text1"/>
          <w:sz w:val="16"/>
          <w:szCs w:val="16"/>
        </w:rPr>
        <w:tab/>
        <w:t>960</w:t>
      </w:r>
    </w:p>
    <w:p w14:paraId="3FB21807" w14:textId="77777777" w:rsidR="00B5377E" w:rsidRPr="00925F26" w:rsidRDefault="00B5377E" w:rsidP="00925F26">
      <w:pPr>
        <w:jc w:val="both"/>
        <w:rPr>
          <w:color w:val="000000" w:themeColor="text1"/>
          <w:sz w:val="16"/>
          <w:szCs w:val="16"/>
        </w:rPr>
      </w:pPr>
      <w:r w:rsidRPr="00925F26">
        <w:rPr>
          <w:color w:val="000000" w:themeColor="text1"/>
          <w:sz w:val="16"/>
          <w:szCs w:val="16"/>
        </w:rPr>
        <w:t>Превосходство в численности русской авиации будет в течение определенного времени компенсироваться значительным превосходством союзников в ее управлении и эффективности, особенно стратегической авиации. Однако, после определенного периода времени операций наши воздушные силы будут серьезно ослаблены из-за недостатка в восполнении самолетов и экипажей.</w:t>
      </w:r>
    </w:p>
    <w:p w14:paraId="2E5090AC" w14:textId="77777777" w:rsidR="00B5377E" w:rsidRPr="00925F26" w:rsidRDefault="00B5377E" w:rsidP="00925F26">
      <w:pPr>
        <w:jc w:val="both"/>
        <w:rPr>
          <w:color w:val="000000" w:themeColor="text1"/>
          <w:sz w:val="16"/>
          <w:szCs w:val="16"/>
        </w:rPr>
      </w:pPr>
      <w:r w:rsidRPr="00925F26">
        <w:rPr>
          <w:color w:val="000000" w:themeColor="text1"/>
          <w:sz w:val="16"/>
          <w:szCs w:val="16"/>
        </w:rPr>
        <w:t>в) Военно-морские силы</w:t>
      </w:r>
    </w:p>
    <w:p w14:paraId="63CADEF0" w14:textId="77777777" w:rsidR="00B5377E" w:rsidRPr="00925F26" w:rsidRDefault="00B5377E" w:rsidP="00925F26">
      <w:pPr>
        <w:jc w:val="both"/>
        <w:rPr>
          <w:color w:val="000000" w:themeColor="text1"/>
          <w:sz w:val="16"/>
          <w:szCs w:val="16"/>
        </w:rPr>
      </w:pPr>
      <w:r w:rsidRPr="00925F26">
        <w:rPr>
          <w:color w:val="000000" w:themeColor="text1"/>
          <w:sz w:val="16"/>
          <w:szCs w:val="16"/>
        </w:rPr>
        <w:t>Союзники безусловно могут обеспечить доминирующее превосходство своих сил на море.</w:t>
      </w:r>
    </w:p>
    <w:p w14:paraId="78D78FD3" w14:textId="77777777" w:rsidR="00B5377E" w:rsidRPr="00925F26" w:rsidRDefault="00B5377E" w:rsidP="00925F26">
      <w:pPr>
        <w:jc w:val="both"/>
        <w:rPr>
          <w:color w:val="000000" w:themeColor="text1"/>
          <w:sz w:val="16"/>
          <w:szCs w:val="16"/>
        </w:rPr>
      </w:pPr>
      <w:r w:rsidRPr="00925F26">
        <w:rPr>
          <w:color w:val="000000" w:themeColor="text1"/>
          <w:sz w:val="16"/>
          <w:szCs w:val="16"/>
        </w:rPr>
        <w:t>3. Из соотношения сухопутных сил сторон ясно, что мы не располагаем возможностями наступления с целью достижения быстрого успеха. Учитывая, однако, что русские и союзнические сухопутные войска соприкасаются от Балтики до Средиземного моря мы должны быть готовы к операциям на сухопутном театре.</w:t>
      </w:r>
    </w:p>
    <w:p w14:paraId="00B58E6A" w14:textId="77777777" w:rsidR="00B5377E" w:rsidRPr="00925F26" w:rsidRDefault="00B5377E" w:rsidP="00925F26">
      <w:pPr>
        <w:jc w:val="both"/>
        <w:rPr>
          <w:color w:val="000000" w:themeColor="text1"/>
          <w:sz w:val="16"/>
          <w:szCs w:val="16"/>
        </w:rPr>
      </w:pPr>
      <w:r w:rsidRPr="00925F26">
        <w:rPr>
          <w:color w:val="000000" w:themeColor="text1"/>
          <w:sz w:val="16"/>
          <w:szCs w:val="16"/>
        </w:rPr>
        <w:t>[...]</w:t>
      </w:r>
    </w:p>
    <w:p w14:paraId="50251641" w14:textId="77777777" w:rsidR="00B5377E" w:rsidRPr="00925F26" w:rsidRDefault="00B5377E" w:rsidP="00925F26">
      <w:pPr>
        <w:jc w:val="both"/>
        <w:rPr>
          <w:color w:val="000000" w:themeColor="text1"/>
          <w:sz w:val="16"/>
          <w:szCs w:val="16"/>
        </w:rPr>
      </w:pPr>
      <w:r w:rsidRPr="00925F26">
        <w:rPr>
          <w:color w:val="000000" w:themeColor="text1"/>
          <w:sz w:val="16"/>
          <w:szCs w:val="16"/>
        </w:rPr>
        <w:t xml:space="preserve">4. Поэтому мы считаем, </w:t>
      </w:r>
      <w:proofErr w:type="gramStart"/>
      <w:r w:rsidRPr="00925F26">
        <w:rPr>
          <w:color w:val="000000" w:themeColor="text1"/>
          <w:sz w:val="16"/>
          <w:szCs w:val="16"/>
        </w:rPr>
        <w:t>что</w:t>
      </w:r>
      <w:proofErr w:type="gramEnd"/>
      <w:r w:rsidRPr="00925F26">
        <w:rPr>
          <w:color w:val="000000" w:themeColor="text1"/>
          <w:sz w:val="16"/>
          <w:szCs w:val="16"/>
        </w:rPr>
        <w:t xml:space="preserve"> если начнется война достигнуть быстрого ограниченного успеха будет </w:t>
      </w:r>
      <w:proofErr w:type="gramStart"/>
      <w:r w:rsidRPr="00925F26">
        <w:rPr>
          <w:color w:val="000000" w:themeColor="text1"/>
          <w:sz w:val="16"/>
          <w:szCs w:val="16"/>
        </w:rPr>
        <w:t>вне наших возможностей</w:t>
      </w:r>
      <w:proofErr w:type="gramEnd"/>
      <w:r w:rsidRPr="00925F26">
        <w:rPr>
          <w:color w:val="000000" w:themeColor="text1"/>
          <w:sz w:val="16"/>
          <w:szCs w:val="16"/>
        </w:rPr>
        <w:t xml:space="preserve"> и мы окажемся втянутыми в длительную войну против превосходящих сил. Более того, превосходство этих сил может непомерно возрасти, если возрастет усталость и безразличие американцев и их оттянет на свою сторону магнит войны на Тихом океане. [...]</w:t>
      </w:r>
    </w:p>
    <w:p w14:paraId="39D399BA" w14:textId="77777777" w:rsidR="00B5377E" w:rsidRPr="00925F26" w:rsidRDefault="00B5377E" w:rsidP="00925F26">
      <w:pPr>
        <w:jc w:val="both"/>
        <w:rPr>
          <w:color w:val="000000" w:themeColor="text1"/>
          <w:sz w:val="16"/>
          <w:szCs w:val="16"/>
        </w:rPr>
      </w:pPr>
      <w:r w:rsidRPr="00925F26">
        <w:rPr>
          <w:color w:val="000000" w:themeColor="text1"/>
          <w:sz w:val="16"/>
          <w:szCs w:val="16"/>
        </w:rPr>
        <w:t>Начальник Имперского генерального штаба фельдмаршал А. БРУК</w:t>
      </w:r>
    </w:p>
    <w:p w14:paraId="05BD38E9" w14:textId="77777777" w:rsidR="00B5377E" w:rsidRPr="00925F26" w:rsidRDefault="00B5377E" w:rsidP="00925F26">
      <w:pPr>
        <w:jc w:val="both"/>
        <w:rPr>
          <w:color w:val="000000" w:themeColor="text1"/>
          <w:sz w:val="16"/>
          <w:szCs w:val="16"/>
        </w:rPr>
      </w:pPr>
      <w:r w:rsidRPr="00925F26">
        <w:rPr>
          <w:color w:val="000000" w:themeColor="text1"/>
          <w:sz w:val="16"/>
          <w:szCs w:val="16"/>
        </w:rPr>
        <w:t>[...]</w:t>
      </w:r>
    </w:p>
    <w:p w14:paraId="473CE8EF" w14:textId="77777777" w:rsidR="00B5377E" w:rsidRPr="00925F26" w:rsidRDefault="00B5377E" w:rsidP="00925F26">
      <w:pPr>
        <w:jc w:val="both"/>
        <w:rPr>
          <w:color w:val="000000" w:themeColor="text1"/>
          <w:sz w:val="16"/>
          <w:szCs w:val="16"/>
        </w:rPr>
      </w:pPr>
      <w:r w:rsidRPr="00925F26">
        <w:rPr>
          <w:color w:val="000000" w:themeColor="text1"/>
          <w:sz w:val="16"/>
          <w:szCs w:val="16"/>
        </w:rPr>
        <w:t>Ржешевский О. А. Секретные военные планы У. Черчилля против СССР в мае 1945 г. // Новая и новейшая история. 1999. № 3 (20922).</w:t>
      </w:r>
    </w:p>
    <w:p w14:paraId="06C0EBB3" w14:textId="77777777" w:rsidR="00B5377E" w:rsidRPr="00925F26" w:rsidRDefault="00B5377E" w:rsidP="00925F26">
      <w:pPr>
        <w:jc w:val="both"/>
        <w:rPr>
          <w:color w:val="000000" w:themeColor="text1"/>
          <w:sz w:val="16"/>
          <w:szCs w:val="16"/>
        </w:rPr>
      </w:pPr>
    </w:p>
    <w:p w14:paraId="6ACC158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2628F85" w14:textId="77777777" w:rsidR="006103B3" w:rsidRPr="00925F26" w:rsidRDefault="006103B3" w:rsidP="00925F26">
      <w:pPr>
        <w:autoSpaceDE w:val="0"/>
        <w:autoSpaceDN w:val="0"/>
        <w:adjustRightInd w:val="0"/>
        <w:jc w:val="both"/>
        <w:rPr>
          <w:iCs/>
          <w:color w:val="000000" w:themeColor="text1"/>
          <w:sz w:val="16"/>
          <w:szCs w:val="16"/>
        </w:rPr>
      </w:pPr>
    </w:p>
    <w:p w14:paraId="0A28B31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закончились заводские испытания на ЦА Як-3У с АШ-82ФН, построенного с 20 января по 23 апреля 1945 сначала в Новосибирске, а затем в Москве, которые шли с 29 апреля 1945. Первый вылет был 12 мая (летал П.Я.Федрови). Всего было 19 полетов продолжительностью 8:40. Ведущий к В.В.Барсуков, ведущий и по испытаниям - А.М.Дружинин, м - А.М.Гусев (65,198).</w:t>
      </w:r>
    </w:p>
    <w:p w14:paraId="566A4D2B" w14:textId="77777777" w:rsidR="006103B3" w:rsidRPr="00925F26" w:rsidRDefault="006103B3" w:rsidP="00925F26">
      <w:pPr>
        <w:autoSpaceDE w:val="0"/>
        <w:autoSpaceDN w:val="0"/>
        <w:adjustRightInd w:val="0"/>
        <w:jc w:val="both"/>
        <w:rPr>
          <w:color w:val="000000" w:themeColor="text1"/>
          <w:sz w:val="16"/>
          <w:szCs w:val="16"/>
        </w:rPr>
      </w:pPr>
    </w:p>
    <w:p w14:paraId="471F5B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года закончились государственные испытания Як-3 ВК-107А с металлическим крылом, которые шли с 21 мая, и акт по их результатам утвердили 27 июня 1945 года.</w:t>
      </w:r>
    </w:p>
    <w:p w14:paraId="18F64D7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3C075681" w14:textId="77777777" w:rsidR="006103B3" w:rsidRPr="00925F26" w:rsidRDefault="006103B3" w:rsidP="00925F26">
      <w:pPr>
        <w:autoSpaceDE w:val="0"/>
        <w:autoSpaceDN w:val="0"/>
        <w:adjustRightInd w:val="0"/>
        <w:jc w:val="both"/>
        <w:rPr>
          <w:color w:val="000000" w:themeColor="text1"/>
          <w:sz w:val="16"/>
          <w:szCs w:val="16"/>
        </w:rPr>
      </w:pPr>
    </w:p>
    <w:p w14:paraId="008E5F25" w14:textId="77777777" w:rsidR="00D7144C" w:rsidRPr="00925F26" w:rsidRDefault="00D7144C" w:rsidP="00925F26">
      <w:pPr>
        <w:jc w:val="both"/>
        <w:rPr>
          <w:color w:val="000000" w:themeColor="text1"/>
          <w:sz w:val="16"/>
          <w:szCs w:val="16"/>
        </w:rPr>
      </w:pPr>
      <w:r w:rsidRPr="00925F26">
        <w:rPr>
          <w:bCs/>
          <w:color w:val="000000" w:themeColor="text1"/>
          <w:sz w:val="16"/>
          <w:szCs w:val="16"/>
        </w:rPr>
        <w:t>9 июня</w:t>
      </w:r>
      <w:r w:rsidRPr="00925F26">
        <w:rPr>
          <w:color w:val="000000" w:themeColor="text1"/>
          <w:sz w:val="16"/>
          <w:szCs w:val="16"/>
        </w:rPr>
        <w:t xml:space="preserve"> в 1945 году на Центральном аэродроме Москвы завершились (с 29 апреля) заводские испытания самолета </w:t>
      </w:r>
      <w:hyperlink r:id="rId146" w:tgtFrame="_blank" w:history="1">
        <w:r w:rsidRPr="00925F26">
          <w:rPr>
            <w:color w:val="000000" w:themeColor="text1"/>
            <w:sz w:val="16"/>
            <w:szCs w:val="16"/>
          </w:rPr>
          <w:t xml:space="preserve">«Як-3У». </w:t>
        </w:r>
      </w:hyperlink>
      <w:r w:rsidRPr="00925F26">
        <w:rPr>
          <w:color w:val="000000" w:themeColor="text1"/>
          <w:sz w:val="16"/>
          <w:szCs w:val="16"/>
        </w:rPr>
        <w:t>«Як-ЗУ» построен ОКБ А.С.Яковлева по постановлению ГКО в одном экземпляре с 20 января по 23 апреля 1945 г. (постройка начата в Hовосибирске и закончена в Москве). Этот самолет представлял собой попытку «скрестить» планер Як-3 с двигателем Швецова. Большая мощ¬ность двигателя давала надежду на то, что «Як-3» в этой модификации может стать лучшим советским истребителем. Чтобы установить на истребитель звез¬дообразный двигатель потребовалось радикальным образом переработать носовую часть фюзеляжа. Некоторые конструктивные изменения пришлось внести и в другие части самолета. Первый вылет состоялся 12 мая 1945 года. Было произведено 19 полетов общей продолжительностью 8 ч 40 мин. Ведущий летчик-испытатель П.Я.Федрови, ведущий конструктор В.В.Барсуков, ведущий инженер по испытаниям А.М.Дружинин и механик А.М.Гусев. Были получены скорость 682 км/ч на высоте 6000 м и время набора высоты 5000 м - 3,9 мин. После завершения заводских испытаний самолет был 15 июня 1945 года возвращен в ОКБ для доработки, в процессе которой было установлено металлическое крыло взамен деревянного; увеличена эффективность триммера руля высоты; увеличен противокапотажный угол до 25° за счет увеличения выноса шасси на 80 мм и увеличения угла установки щкворней; произведена герметизация капота двигателя и выполнены некоторые другие работы. Полетная масса благодаря металлическому крылу должна была снизиться с 2792 до 2740 кг. Доработку закончили 25 сентября 1945 г. Самолет получился в общем удачным. Однако к концу войны он был уже не нужен, поэтому испытаний не проходил и все работы на нем были прекращены (14917).</w:t>
      </w:r>
    </w:p>
    <w:p w14:paraId="70E4BE78" w14:textId="77777777" w:rsidR="00D7144C" w:rsidRPr="00925F26" w:rsidRDefault="00D7144C" w:rsidP="00925F26">
      <w:pPr>
        <w:jc w:val="both"/>
        <w:rPr>
          <w:color w:val="000000" w:themeColor="text1"/>
          <w:sz w:val="16"/>
          <w:szCs w:val="16"/>
        </w:rPr>
      </w:pPr>
    </w:p>
    <w:p w14:paraId="126BEBFF"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14951F4" w14:textId="77777777" w:rsidR="006103B3" w:rsidRPr="00925F26" w:rsidRDefault="006103B3" w:rsidP="00925F26">
      <w:pPr>
        <w:autoSpaceDE w:val="0"/>
        <w:autoSpaceDN w:val="0"/>
        <w:adjustRightInd w:val="0"/>
        <w:jc w:val="both"/>
        <w:rPr>
          <w:iCs/>
          <w:color w:val="000000" w:themeColor="text1"/>
          <w:sz w:val="16"/>
          <w:szCs w:val="16"/>
        </w:rPr>
      </w:pPr>
    </w:p>
    <w:p w14:paraId="04D9DF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июня 1945 г. были подготовлены СООБРАЖЕНИЯ НАЧАЛЬНИКА УЧЕБНОГО ЦЕНТРА САМОХОДНОЙ АРТИЛЛЕРИИ БТ и МВ КА НАЧАЛЬНИКУ УСА ГБТУ КА О РАЗМЕЩЕНИИ БОЕПРИПАСОВ В БОЕУКЛАДКАХ САМОХОДНЫХ УСТАНОВОК №01725</w:t>
      </w:r>
    </w:p>
    <w:p w14:paraId="35712C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соответствии с Вашим письмом за №843079с от 25 мая с.г., на основании детальной проверки созданных для этого комиссий, сообщаем свои соображения о рациональном размещении боеприпа</w:t>
      </w:r>
      <w:r w:rsidRPr="00925F26">
        <w:rPr>
          <w:color w:val="000000" w:themeColor="text1"/>
          <w:sz w:val="16"/>
          <w:szCs w:val="16"/>
        </w:rPr>
        <w:softHyphen/>
        <w:t>сов в боеукладках по их назначению с учетом безопасности от детонации, и в какие цвета окрасить места расположения боеприпасов.</w:t>
      </w:r>
    </w:p>
    <w:p w14:paraId="51CE49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СУ-76</w:t>
      </w:r>
    </w:p>
    <w:p w14:paraId="71D6EFE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При боевом комплекте снарядов 35 осколочно-фугасных, 15 бронебойных и 10 подкалиберных:</w:t>
      </w:r>
    </w:p>
    <w:p w14:paraId="5DBEC7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осколочно-фугасные снаряды разместить в боевом отделении с правой стороны — 11 шт.; с левой стороны — 17 шт.; под люлькой — 7 шт.;</w:t>
      </w:r>
    </w:p>
    <w:p w14:paraId="7B044E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бронебойные — 15 шт. в верхней части ниши;</w:t>
      </w:r>
    </w:p>
    <w:p w14:paraId="6F3CD4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подкалиберные — 10 шт., в нижней части ниши.</w:t>
      </w:r>
    </w:p>
    <w:p w14:paraId="0BB923F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Размещение всех снарядов можно произвести путем переконструкции с изъятием нижних четырех гнезд ниши и переноса их в правую часть боевого отделения, где уменьшить на 10 см сиде</w:t>
      </w:r>
      <w:r w:rsidRPr="00925F26">
        <w:rPr>
          <w:color w:val="000000" w:themeColor="text1"/>
          <w:sz w:val="16"/>
          <w:szCs w:val="16"/>
        </w:rPr>
        <w:softHyphen/>
        <w:t>ния (см. чертеж №1</w:t>
      </w:r>
      <w:proofErr w:type="gramStart"/>
      <w:r w:rsidRPr="00925F26">
        <w:rPr>
          <w:color w:val="000000" w:themeColor="text1"/>
          <w:sz w:val="16"/>
          <w:szCs w:val="16"/>
        </w:rPr>
        <w:t>) ,</w:t>
      </w:r>
      <w:proofErr w:type="gramEnd"/>
      <w:r w:rsidRPr="00925F26">
        <w:rPr>
          <w:color w:val="000000" w:themeColor="text1"/>
          <w:sz w:val="16"/>
          <w:szCs w:val="16"/>
        </w:rPr>
        <w:t xml:space="preserve"> т.к. в нижней части ниши доставание снаряда крайне неудобно.</w:t>
      </w:r>
    </w:p>
    <w:p w14:paraId="58A53FC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Для безопасности от детонации необходимо изготовить крышки согласно чертежа №2 (обоз</w:t>
      </w:r>
      <w:r w:rsidRPr="00925F26">
        <w:rPr>
          <w:color w:val="000000" w:themeColor="text1"/>
          <w:sz w:val="16"/>
          <w:szCs w:val="16"/>
        </w:rPr>
        <w:softHyphen/>
        <w:t>наченные буквами А, Б, В).</w:t>
      </w:r>
    </w:p>
    <w:p w14:paraId="568B89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Окраску мест для боеприпасов рекомендуем следующую:</w:t>
      </w:r>
    </w:p>
    <w:p w14:paraId="4217C1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 осколочно-фугасные гранаты — в красный цвет;</w:t>
      </w:r>
    </w:p>
    <w:p w14:paraId="245E8C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бронебойные снаряды — в красный с черной полоской;</w:t>
      </w:r>
    </w:p>
    <w:p w14:paraId="5A5102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подкалиберные — в светло зеленый цвет.</w:t>
      </w:r>
    </w:p>
    <w:p w14:paraId="70CDDE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Окраску указанных цветов делать по наружной части дверок ниши, а внутри разделить броне</w:t>
      </w:r>
      <w:r w:rsidRPr="00925F26">
        <w:rPr>
          <w:color w:val="000000" w:themeColor="text1"/>
          <w:sz w:val="16"/>
          <w:szCs w:val="16"/>
        </w:rPr>
        <w:softHyphen/>
        <w:t>бойные от подкалиберных с желтой полоской по гнездам. Для осколочно-фугасных гранат все гнезда окрасить в красный цвет, а также окрасить часть брони, у которой расположены боеприпасы.</w:t>
      </w:r>
    </w:p>
    <w:p w14:paraId="24CD7B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СУ-100</w:t>
      </w:r>
    </w:p>
    <w:p w14:paraId="7A0DC6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а) осколочно-фугасные гранаты укладывать с правой и левой стороны внутреннего помещения СУ;</w:t>
      </w:r>
    </w:p>
    <w:p w14:paraId="7D8520F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снаряды специального назначения (бронетрассирующие, бронепрожигающие) следует укла</w:t>
      </w:r>
      <w:r w:rsidRPr="00925F26">
        <w:rPr>
          <w:color w:val="000000" w:themeColor="text1"/>
          <w:sz w:val="16"/>
          <w:szCs w:val="16"/>
        </w:rPr>
        <w:softHyphen/>
        <w:t>дывать к моторной перегородке;</w:t>
      </w:r>
    </w:p>
    <w:p w14:paraId="774ECF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снаряды, которые будут чувствительны к взрыву от детонации, также следует укладывать к моторной перегородке, что сохранит их от воспринятия различных ударов, т.к. будут отдалены от внешних стенок СУ;</w:t>
      </w:r>
    </w:p>
    <w:p w14:paraId="25828E0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 для исключения удара ногой по взрывателю экипажем при влезании в СУ следует устроить откидывающийся металлический козырек с амортизатором. 2. Окраску делать рекомендуется следующую:</w:t>
      </w:r>
    </w:p>
    <w:p w14:paraId="1C9026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осколочно-фугасные снаряды — красный;</w:t>
      </w:r>
    </w:p>
    <w:p w14:paraId="6126677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бронебойно-трассирующие — красный с черной полоской;</w:t>
      </w:r>
    </w:p>
    <w:p w14:paraId="195B57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бронебойно-прожигающие (кумулятивные) — черная.</w:t>
      </w:r>
    </w:p>
    <w:p w14:paraId="603506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боевых машин ИСУ-122-152</w:t>
      </w:r>
    </w:p>
    <w:p w14:paraId="6D3BAF1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С целью предохранения от детонации, особенно осколочных выстрелов, как наиболее чувстви</w:t>
      </w:r>
      <w:r w:rsidRPr="00925F26">
        <w:rPr>
          <w:color w:val="000000" w:themeColor="text1"/>
          <w:sz w:val="16"/>
          <w:szCs w:val="16"/>
        </w:rPr>
        <w:softHyphen/>
        <w:t>тельных, целесообразно:</w:t>
      </w:r>
    </w:p>
    <w:p w14:paraId="25B7DF2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в самоходной установке ИСУ-122 в отделении осколочных выстрелов крайний ряд от борто</w:t>
      </w:r>
      <w:r w:rsidRPr="00925F26">
        <w:rPr>
          <w:color w:val="000000" w:themeColor="text1"/>
          <w:sz w:val="16"/>
          <w:szCs w:val="16"/>
        </w:rPr>
        <w:softHyphen/>
        <w:t>вого листа заменить бронебойными выстрелами, а свободные кассеты в первом внутреннем ряду заполнить осколочными и расходовать их в первую очередь;</w:t>
      </w:r>
    </w:p>
    <w:p w14:paraId="19F92C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места размещения снарядов окрашивать нет необходимости, так как снаряды осколочные от бронебойных резко различаются;</w:t>
      </w:r>
    </w:p>
    <w:p w14:paraId="073C10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боевые снаряды оставить в том же расположении, но места их окрасить — для бронебойных зарядов в красный с черной полоской, а для осколочных в красный.</w:t>
      </w:r>
    </w:p>
    <w:p w14:paraId="2650F6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 ИСУ-152 боевую укладку оставить по-старому, но места размещения зарядов окрасить в тот же цвет, как и в ИСУ-122.</w:t>
      </w:r>
    </w:p>
    <w:p w14:paraId="0B0D991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учебного центра самоходной артиллерии БТ и МВ КА</w:t>
      </w:r>
    </w:p>
    <w:p w14:paraId="23B5F1B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генерал-майор артиллерии Касаткин</w:t>
      </w:r>
    </w:p>
    <w:p w14:paraId="16072A2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Начальник штаба учебного центра самоходной артиллерии БТ и МВ КА</w:t>
      </w:r>
    </w:p>
    <w:p w14:paraId="2BE94C9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полковник Евграфов</w:t>
      </w:r>
    </w:p>
    <w:p w14:paraId="302B69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11369. Д. 517. Л. 132-133. Подлинник (11420).</w:t>
      </w:r>
    </w:p>
    <w:p w14:paraId="0C7C8736" w14:textId="77777777" w:rsidR="006103B3" w:rsidRPr="00925F26" w:rsidRDefault="006103B3" w:rsidP="00925F26">
      <w:pPr>
        <w:autoSpaceDE w:val="0"/>
        <w:autoSpaceDN w:val="0"/>
        <w:adjustRightInd w:val="0"/>
        <w:jc w:val="both"/>
        <w:rPr>
          <w:color w:val="000000" w:themeColor="text1"/>
          <w:sz w:val="16"/>
          <w:szCs w:val="16"/>
        </w:rPr>
      </w:pPr>
    </w:p>
    <w:p w14:paraId="205BDF5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июня 1945 вышло Распоряжение ГКО № 9037 [О выработке к 15 июня проекта постановления ГКО о мерах по увеличению добычи нефти в Баку.] (7349, 28).</w:t>
      </w:r>
    </w:p>
    <w:p w14:paraId="7F92B87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ABC3E4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вышло Распоряжение ГКО № 9038. О выработке к 15 июня проекта постановления ГКО об организации в 1945 г. геологоразведочных и буровых работ на нефть в Северном Иране. РГАНИР, Фонд ГКО, д. 427, лл. 29 (11012).</w:t>
      </w:r>
    </w:p>
    <w:p w14:paraId="62ADB302" w14:textId="77777777" w:rsidR="006103B3" w:rsidRPr="00925F26" w:rsidRDefault="006103B3" w:rsidP="00925F26">
      <w:pPr>
        <w:autoSpaceDE w:val="0"/>
        <w:autoSpaceDN w:val="0"/>
        <w:adjustRightInd w:val="0"/>
        <w:jc w:val="both"/>
        <w:rPr>
          <w:color w:val="000000" w:themeColor="text1"/>
          <w:sz w:val="16"/>
          <w:szCs w:val="16"/>
        </w:rPr>
      </w:pPr>
    </w:p>
    <w:p w14:paraId="3CB93AA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июня 1945 вышло Распоряжение ГКО № 9039 [О поставках НКМВ железным дорогам Дальнего Востока 50 насосов в июне-июле.] (7349, 30).</w:t>
      </w:r>
    </w:p>
    <w:p w14:paraId="290CEEB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02EC3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вышло Распоряжение ГКО № 9040. О поставках прессов НКМП РСФСР для НКО. РГАНИР, Фонд ГКО, д. 427, лл. 31 (11012).</w:t>
      </w:r>
    </w:p>
    <w:p w14:paraId="4D123AEA" w14:textId="77777777" w:rsidR="006103B3" w:rsidRPr="00925F26" w:rsidRDefault="006103B3" w:rsidP="00925F26">
      <w:pPr>
        <w:autoSpaceDE w:val="0"/>
        <w:autoSpaceDN w:val="0"/>
        <w:adjustRightInd w:val="0"/>
        <w:jc w:val="both"/>
        <w:rPr>
          <w:color w:val="000000" w:themeColor="text1"/>
          <w:sz w:val="16"/>
          <w:szCs w:val="16"/>
        </w:rPr>
      </w:pPr>
    </w:p>
    <w:p w14:paraId="4F6B12B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вышло Распоряжение ГКО № 9041. Об отпуске конной упряжи НКлесу. РГАНИР, Фонд ГКО, д. 427, лл. 32 (11012).</w:t>
      </w:r>
    </w:p>
    <w:p w14:paraId="59BA3CBD" w14:textId="77777777" w:rsidR="006103B3" w:rsidRPr="00925F26" w:rsidRDefault="006103B3" w:rsidP="00925F26">
      <w:pPr>
        <w:autoSpaceDE w:val="0"/>
        <w:autoSpaceDN w:val="0"/>
        <w:adjustRightInd w:val="0"/>
        <w:jc w:val="both"/>
        <w:rPr>
          <w:color w:val="000000" w:themeColor="text1"/>
          <w:sz w:val="16"/>
          <w:szCs w:val="16"/>
        </w:rPr>
      </w:pPr>
    </w:p>
    <w:p w14:paraId="58B9105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9 июня 1945 в составе Госплана была образована специальная комиссия, которой поручалось рассмотрение проектов специализации з-в вооружения, боеприпасов, танковых и авиационных, высвобождаемых от пр-ва военной продукции (7543, 14).</w:t>
      </w:r>
    </w:p>
    <w:p w14:paraId="4EB42F0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17DB2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г. в составе Госплана СССР была образована особая комиссия из наиболее квалифицированных сотрудников, которой поручалось, в частности, рассмотрение проектов специализации заводов вооружения, боеприпасов, танковых и авиационных, освобождаемых от производства военной продукции (7543).</w:t>
      </w:r>
    </w:p>
    <w:p w14:paraId="7E39B694" w14:textId="77777777" w:rsidR="006103B3" w:rsidRPr="00925F26" w:rsidRDefault="006103B3" w:rsidP="00925F26">
      <w:pPr>
        <w:autoSpaceDE w:val="0"/>
        <w:autoSpaceDN w:val="0"/>
        <w:adjustRightInd w:val="0"/>
        <w:jc w:val="both"/>
        <w:rPr>
          <w:color w:val="000000" w:themeColor="text1"/>
          <w:sz w:val="16"/>
          <w:szCs w:val="16"/>
        </w:rPr>
      </w:pPr>
    </w:p>
    <w:p w14:paraId="071E36B1" w14:textId="2C15FD0B" w:rsidR="00D7144C" w:rsidRPr="00925F26" w:rsidRDefault="00D7144C" w:rsidP="00925F26">
      <w:pPr>
        <w:pStyle w:val="book"/>
        <w:ind w:firstLine="0"/>
        <w:jc w:val="both"/>
        <w:rPr>
          <w:color w:val="000000" w:themeColor="text1"/>
          <w:sz w:val="16"/>
          <w:szCs w:val="16"/>
        </w:rPr>
      </w:pPr>
      <w:r w:rsidRPr="00925F26">
        <w:rPr>
          <w:color w:val="000000" w:themeColor="text1"/>
          <w:sz w:val="16"/>
          <w:szCs w:val="16"/>
        </w:rPr>
        <w:t xml:space="preserve">9 июня 1945 г. англичане захватили пароход «Иберия». Лайнер был построен по заказу немецкой судоходной компании на верфи «Шихау» в Вольном городе Данциге в 1928 г. для эксплуатации на линии Европа — Центральная Америка — Вест-Индия под именем «Магдалена». В первый рейс лайнер вышел 29 декабря 1928 г. Двухвальная энергоустановка из двух 8-цилиндровых дизельных двигателей «Зульцер» марки 8SM68 мощностью по 3500 л.с. каждый позволяла теплоходу развивать скорость до 15,5 узла, работая на два четырехлопастных гребных винта. 8 февраля 1934 г. у острова Кюрасао теплоход сел на мель, с которой его удалось снять лишь 25 августа. Пройдя полугодичный ремонт и переоборудование на верфи «Блом и Фосс» в Гамбурге, лайнер «Магдалена» вышел оттуда однотрубным теплоходом с новым названием «Иберия». С началом Второй мировой войны «Иберия» была мобилизована и использовалась в качестве плавбазы Кригсмарине в Киле. 18 февраля 1946 г. не пострадавшая в военных действиях «Иберия» по репарации была передана СССР и вошла в состав Черноморского морского пароходства под названием «Победа». Предварительно был проведен ремонт судна и малая модернизация. Вместимость лайнера увеличилась до 600 пассажирских мест. Пассажирские каюты — от просторных комфортабельных люксов до маленьких внутренних комнатушек — размещались на четырех палубах. К услугам пассажиров были несколько ресторанов, музыкальный салон, просторные фойе и другие общественные помещения. Имущество пассажиров и коммерческий груз перевозились в шести трюмах в носовой и кормовой частях судна. Лайнер курсировал на линии Одесса — Нью-Йорк — Одесса. 31 июля 1948 г. теплоход «Победа» с 323 пассажирами и 277 т груза на борту вышел из порта Нью-Йорка в Одессу. В числе пассажиров были в основном работники министерств иностранных дел и внешней торговли с семьями, а также несколько представителей других ведомств и семья китайского маршала Фэн Юйсяна, направлявшегося в Китай через Советский Союз. На подходе к Гибралтару капитан получил указание зайти в Александрию и принять на борт еще около двух тысяч армян-репатриантов из Египта, возвращавшихся в Армению. Также было дополнительно погружено 1500 т груза. Таким образом, все нормы пассажировместимости были превышены. Несмотря на это, лайнер благополучно достиг порта назначения Батуми, где репатрианты сошли на берег. 31 августа судно вышло из Батуми в Одессу. На борту оставалось 310 пассажиров и члены экипажа. 1 сентября в час дня радиостанция Черноморского пароходства в Одессе получила плановое донесение с теплохода о том, что прошли Новороссийск и к двум часам 2 сентября предполагается прибытие в Одессу. После этого радиосвязь с судном прекратилась. Утром 2 сентября в Черноморском пароходстве начали предпринимать меры к выяснению причин молчания теплохода, запросив суда в море и порты на пути следования лайнера. Однако безрезультатно — никто связи с «Победой» не имел и сигналов SOS не слышал. Тогда руководство пароходства обратилось за помощью к командованию Черноморского флота, направившему в море поисковые самолеты морской авиации. В 21.00 один из летчиков сообщил, что обнаружил обгоревший теплоход «Победа» в 70 милях к юго-востоку от Ялты и возле него пять шлюпок с людьми. К аварийному судну из Феодосии, Севастополя, других мест направились спасатели, а из Одессы — курсанты и преподаватели Одесского высшего мореходного училища. «Следствие установило, что 1 сентября 1948 г. около 13 часов лайнер миновал Новороссийский порт. В это время исполняющий обязанности судового киномеханика радиотехник Коваленко решил подготовить к сдаче на культбазу партию кинофильмов, взятых в рейс, и попросил матроса Скрипникова перемотать киноленты после просмотра. Фильмы хранились в небольшой кладовой в центральной части судна. Часть была упакована в жестяные коробки, а часть, предназначенная к перемотке, лежала на столе в открытом виде. В этой же кладовой хранилось около 2 тысяч патефонных пластинок. Примерно в 15 часов при перемотке на ручном станке лента заискрила и вспыхнула. От нее загорелись рядом лежащие мотки. Через несколько секунд пламя охватило кладовую, вспыхнула одежда на матросе. Скрипников выскочил из кладовой, захлопнул дверь и с криками о помощи кинулся бежать по коридору. Раскаленным воздухом в кладовой выбило дверь, и вырвавшийся огненный смерч охватил ковровые дорожки и фанерные переборки кают. Пламя, вытягиваемое по коридору мощной струей воздуха, дошло до трапа, ведущего в вестибюль вышележащей палубы, и оттуда по двум вертикальным шахтам лестницы достигло верхнего мостика, воспламеняя все на своем пути. В считаные минуты огонь охватил центральную часть судна, в том числе штурманскую, рулевую и радиорубку, каюты капитана и штурманов. Пожар начал распространяться по жилым помещениям на нос и корму, на шлюпочную палубу, приблизился к трюмам и машинному отделению. Вахтенный радист Веденеев, застигнутый огнем, выскочил из рубки через иллюминатор, не успев передать ни сигнал бедствия, ни сообщение о том, что вынужден покинуть вахту. Капитан приказал дать сигнал SOS по запасной рации, однако она уже сгорела в штурманской рубке. Общесудовую пожарную тревогу объявили лишь через несколько минут судовым колоколом. Тушением занимались несколько самостоятельных, случайно образовавшихся групп в разных частях судна. В ночь на 3 сентября, когда к судну подошли спасатели, основной пожар был уже потушен. Теплоход повели на буксире, но затем выяснилось, что он может идти самостоятельно. 5 сентября "Победа" пришла в Одессу, спасенные пассажиры прибыли на турбоходе "Вячеслав Молотов". При пожаре погибли два члена экипажа — буфетчица Г. Гуньян и матрос В. Скрипников и 40 пассажиров, включая 19 женщин и 15 детей, среди них были китайский маршал Фэн Юйсян и его дочь. </w:t>
      </w:r>
      <w:proofErr w:type="gramStart"/>
      <w:r w:rsidRPr="00925F26">
        <w:rPr>
          <w:color w:val="000000" w:themeColor="text1"/>
          <w:sz w:val="16"/>
          <w:szCs w:val="16"/>
        </w:rPr>
        <w:t>О</w:t>
      </w:r>
      <w:r w:rsidR="00997EDF" w:rsidRPr="00925F26">
        <w:rPr>
          <w:color w:val="000000" w:themeColor="text1"/>
          <w:sz w:val="16"/>
          <w:szCs w:val="16"/>
        </w:rPr>
        <w:t xml:space="preserve">  </w:t>
      </w:r>
      <w:r w:rsidRPr="00925F26">
        <w:rPr>
          <w:color w:val="000000" w:themeColor="text1"/>
          <w:sz w:val="16"/>
          <w:szCs w:val="16"/>
        </w:rPr>
        <w:t>пожаре</w:t>
      </w:r>
      <w:proofErr w:type="gramEnd"/>
      <w:r w:rsidRPr="00925F26">
        <w:rPr>
          <w:color w:val="000000" w:themeColor="text1"/>
          <w:sz w:val="16"/>
          <w:szCs w:val="16"/>
        </w:rPr>
        <w:t xml:space="preserve"> на теплоходе "Победа" и гибели китайского маршала сразу же было доложено Сталину. Существует мнение, что первоначально в происшествии была заподозрена диверсия. Постановлением Совета Министров СССР от 14 сентября полностью и немедленно отменена репатриация в СССР зарубежных армян и воспрещен прием армянских переселенцев в Армению». </w:t>
      </w:r>
      <w:r w:rsidRPr="00925F26">
        <w:rPr>
          <w:color w:val="000000" w:themeColor="text1"/>
          <w:sz w:val="16"/>
          <w:szCs w:val="16"/>
        </w:rPr>
        <w:lastRenderedPageBreak/>
        <w:t>В начале 1949 г. состоялся закрытый суд над виновниками случившегося. Ими были признаны нештатный киномеханик Коваленко, помогавший ему матрос Скрипников, капитан теплохода Пахолок и два его помощника, а также радист, не передавший сигнал SOS, и диспетчер пароходства. Капитан судна Николай Пахолок и киномеханик Коваленко были приговорены к 15 годам лишения свободы, помполит Першуков — к десяти, радист Веденеев — к восьми. Работники береговых служб, косвенно виновные в трагедии, получили более мягкие приговоры. А строже всех был наказан старпом Александр Набокин, отвечавший за пожарную безопасность: он был приговорен к 25 годам лишения свободы — тогдашней высшей мере. После ремонта лайнер «Победа» продолжала использоваться Черноморским морским пароходством на внутренних и зарубежных линиях. В середине 1950-х годов он считался одним из лучших судов пароходства. В 1962 г. во время Карибского кризиса судно использовали для перевозки советских войск на Кубу, в конце 1970-х годов оно было списано из состава флота и утилизировано на берегу Гадани-бич в городе Читтагонг (Бангладеш) (15225).</w:t>
      </w:r>
    </w:p>
    <w:p w14:paraId="2D24DF92" w14:textId="77777777" w:rsidR="00D7144C" w:rsidRPr="00925F26" w:rsidRDefault="00D7144C" w:rsidP="00925F26">
      <w:pPr>
        <w:pStyle w:val="book"/>
        <w:ind w:firstLine="0"/>
        <w:jc w:val="both"/>
        <w:rPr>
          <w:color w:val="000000" w:themeColor="text1"/>
          <w:sz w:val="16"/>
          <w:szCs w:val="16"/>
        </w:rPr>
      </w:pPr>
    </w:p>
    <w:p w14:paraId="7AA1B183"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823E7C0" w14:textId="77777777" w:rsidR="006103B3" w:rsidRPr="00925F26" w:rsidRDefault="006103B3" w:rsidP="00925F26">
      <w:pPr>
        <w:autoSpaceDE w:val="0"/>
        <w:autoSpaceDN w:val="0"/>
        <w:adjustRightInd w:val="0"/>
        <w:jc w:val="both"/>
        <w:rPr>
          <w:iCs/>
          <w:color w:val="000000" w:themeColor="text1"/>
          <w:sz w:val="16"/>
          <w:szCs w:val="16"/>
        </w:rPr>
      </w:pPr>
    </w:p>
    <w:p w14:paraId="047E7F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иап Нормандия-Неман отбыл во Францию (438,952).</w:t>
      </w:r>
    </w:p>
    <w:p w14:paraId="03F3E76A" w14:textId="77777777" w:rsidR="006103B3" w:rsidRPr="00925F26" w:rsidRDefault="006103B3" w:rsidP="00925F26">
      <w:pPr>
        <w:autoSpaceDE w:val="0"/>
        <w:autoSpaceDN w:val="0"/>
        <w:adjustRightInd w:val="0"/>
        <w:jc w:val="both"/>
        <w:rPr>
          <w:color w:val="000000" w:themeColor="text1"/>
          <w:sz w:val="16"/>
          <w:szCs w:val="16"/>
        </w:rPr>
      </w:pPr>
    </w:p>
    <w:p w14:paraId="3F017465" w14:textId="77777777" w:rsidR="00D7144C" w:rsidRPr="00925F26" w:rsidRDefault="00D7144C" w:rsidP="00925F26">
      <w:pPr>
        <w:pStyle w:val="book"/>
        <w:ind w:firstLine="0"/>
        <w:jc w:val="both"/>
        <w:rPr>
          <w:color w:val="000000" w:themeColor="text1"/>
          <w:sz w:val="16"/>
          <w:szCs w:val="16"/>
        </w:rPr>
      </w:pPr>
      <w:r w:rsidRPr="00925F26">
        <w:rPr>
          <w:color w:val="000000" w:themeColor="text1"/>
          <w:sz w:val="16"/>
          <w:szCs w:val="16"/>
        </w:rPr>
        <w:t>9 июня 1945 г. приказом Сталина было узаконено взятие трофеев. Солдатам разрешалось пересылать регламентированное количество посылок плюс все, что смогут унести на себе при демобилизации. Генералам бесплатно выдавалось по автомобилю, офицерам — по мотоциклу или велосипеду. Офицерам продавали по низким ценам ковры, меха, сервизы, фотоаппараты, а полковникам — автомобили (15225).</w:t>
      </w:r>
    </w:p>
    <w:p w14:paraId="35DB2AF2" w14:textId="77777777" w:rsidR="00D7144C" w:rsidRPr="00925F26" w:rsidRDefault="00D7144C" w:rsidP="00925F26">
      <w:pPr>
        <w:pStyle w:val="book"/>
        <w:ind w:firstLine="0"/>
        <w:jc w:val="both"/>
        <w:rPr>
          <w:color w:val="000000" w:themeColor="text1"/>
          <w:sz w:val="16"/>
          <w:szCs w:val="16"/>
        </w:rPr>
      </w:pPr>
    </w:p>
    <w:p w14:paraId="340B611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вышло Постановление ГКО № 9036 О выдаче офицерам и генералам трофейного имущества. РГАНИР, Фонд ГКО, д. 427, лл. 26-27 (11012).</w:t>
      </w:r>
    </w:p>
    <w:p w14:paraId="3398FE75" w14:textId="77777777" w:rsidR="006103B3" w:rsidRPr="00925F26" w:rsidRDefault="006103B3" w:rsidP="00925F26">
      <w:pPr>
        <w:autoSpaceDE w:val="0"/>
        <w:autoSpaceDN w:val="0"/>
        <w:adjustRightInd w:val="0"/>
        <w:jc w:val="both"/>
        <w:rPr>
          <w:color w:val="000000" w:themeColor="text1"/>
          <w:sz w:val="16"/>
          <w:szCs w:val="16"/>
        </w:rPr>
      </w:pPr>
    </w:p>
    <w:p w14:paraId="0F66AA7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0A58604" w14:textId="77777777" w:rsidR="006103B3" w:rsidRPr="00925F26" w:rsidRDefault="006103B3" w:rsidP="00925F26">
      <w:pPr>
        <w:autoSpaceDE w:val="0"/>
        <w:autoSpaceDN w:val="0"/>
        <w:adjustRightInd w:val="0"/>
        <w:jc w:val="both"/>
        <w:rPr>
          <w:iCs/>
          <w:color w:val="000000" w:themeColor="text1"/>
          <w:sz w:val="16"/>
          <w:szCs w:val="16"/>
        </w:rPr>
      </w:pPr>
    </w:p>
    <w:p w14:paraId="191346E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года к наркому Берии письмо начальника Ухтинского комбината НКВД комиссара ГБ 3 ранга С. Н. Бурдакова:</w:t>
      </w:r>
    </w:p>
    <w:p w14:paraId="13940B1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“Особыми указаниями НКВД СССР и Прокурора Союза на время войны был введен ряд чрезвычайных положений по лагерям:</w:t>
      </w:r>
    </w:p>
    <w:p w14:paraId="317994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Лица, осужденные за особо опасные преступления против государства, хотя и окончившие сроки наказания, были оставлены на положении заключенных до конца военных действий. Таких заключенных у нас имеется 1905 человек (7560).</w:t>
      </w:r>
    </w:p>
    <w:p w14:paraId="204C29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Лица, осужденные за контрреволюционные преступления, по отбытии срока наказания были освобождены из лагеря, но прикреплены к производству до конца военных действий. Таких лиц имеется 1654 человека (7560).</w:t>
      </w:r>
    </w:p>
    <w:p w14:paraId="24EA4D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Лица, освобожденные из лагеря, осужденные в прошлом за маловажные преступления и имеющие право свободного выезда за пределы лагеря, оставлялись нами на работе в лагере, иногда и против их желания. В интересах производства, как владеющие определенными специальностями или получившие таковые за время пребывания в лагере (7560).</w:t>
      </w:r>
    </w:p>
    <w:p w14:paraId="4BA6E5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время войны были мобилизованы и направлены на работу в Ухтинский комбинат НКВД 3538 человек немок и 1500 человек корейцев и болгар (7560).</w:t>
      </w:r>
    </w:p>
    <w:p w14:paraId="5CCC49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связи с победоносным завершением войны с фашистской Германией, среди заключенных, окончивших сроки, прикрепленных к производству и мобилизованных, наблюдаются массовые настроения выезда из лагеря, и сейчас создалось такое положение, что многие из них начинают плохо работать, ожидая специального Правительственного указа, позволяющего им выехать из лагеря в места прежнего жительства. По этому поводу в лагере идут всевозможные толки (7560).</w:t>
      </w:r>
    </w:p>
    <w:p w14:paraId="2419E5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Всех контингентов, имеющих право выезда из лагеря, насчитывается 8597 человек, или почти 50% всего рабочего состава (7560).</w:t>
      </w:r>
    </w:p>
    <w:p w14:paraId="107748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Совершенно ясно, что мы не можем одновременно отпустить такое огромное количество людей. Так как это нарушит нормальную работу производства и может привести к весьма тяжелому положению (7560).</w:t>
      </w:r>
    </w:p>
    <w:p w14:paraId="4B12FA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Исходя из интересов выполнения государственных планов, установленных для Комбината, имея в виду невозможность освободить одновременно такое огромное количество людей и принимая во внимание, что большинство из них привыкло к природным условиям Севера и приобрело определенные специальности, - считаю возможным внести на Ваше решение следующие предложения:</w:t>
      </w:r>
    </w:p>
    <w:p w14:paraId="322A792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В отношении задержанных в лагере до конца военных действий:</w:t>
      </w:r>
    </w:p>
    <w:p w14:paraId="2276D27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Всех лиц, окончивших сроки наказания, но задержанных в лагере до конца военных действий, оставить на постоянное жительство на территории Ухтинского комбината с использованием их по специальности. Разрешить им привезти в Ухту семьи и обзавестись хозяйством. Разрешить выехать из лагеря только тем, которые не нужны для производства, инвалидам и больным (7560).</w:t>
      </w:r>
    </w:p>
    <w:p w14:paraId="4374FE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В отношении прикрепленных к производству:</w:t>
      </w:r>
    </w:p>
    <w:p w14:paraId="7A5010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Лиц, окончивших сроки наказания, освобожденных из лагеря, но прикрепленных к производству до конца военных действий, оставить на постоянное жительство в лагере, разрешив им привезти семьи и обзавестись хозяйством. Выезд разрешить только больным, инвалидам и не представляющим никакой ценности для лагеря (7560).</w:t>
      </w:r>
    </w:p>
    <w:p w14:paraId="6C83C4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обоих случаях считал бы необходимым сделать специальные оговорки в паспортах этих лиц, ограничивающие свободу их передвижения (7560).</w:t>
      </w:r>
    </w:p>
    <w:p w14:paraId="160C67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В отношении трудмобилизованных немок, корейцев и болгар:</w:t>
      </w:r>
    </w:p>
    <w:p w14:paraId="74E59F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Всех, без исключения, немок оставить на постоянное жительство на территории лагеря, с использованием их на производстве (7560).</w:t>
      </w:r>
    </w:p>
    <w:p w14:paraId="282B30E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Всех корейцев и болгар, получивших определенные специальности и привыкнувших к климатическим условиям Севера, оставить на жительство в лагере, предоставив возможность выехать из лагеря только тем, кто не имеет никакой специальности, или кому состояние здоровья не позволяет находиться на Севере. Разрешить немкам официально выходить замуж, привозить свои семьи и обзаводиться хозяйством (7560).</w:t>
      </w:r>
    </w:p>
    <w:p w14:paraId="1BFFB0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Проблема освоения Севера в первую очередь зависит от народонаселения, которого здесь очень мало. Оставление сравнительно большого количества людей указанных категорий на Севере даст возможность быстро его заселить и обеспечить рабочей силой растущую промышленность (7560).</w:t>
      </w:r>
    </w:p>
    <w:p w14:paraId="3B102F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Совершенно очевидно, что освоение такого большого количества людей и перевод их на положение вольнонаемного состава будет проходить с большими трудностями: в первую очередь потребуется большое жилстроительство: необходимо будет дать этим хозяйствам скот, птицу и т. д. Но во всяком случае это мероприятие будет оправдано (7560).</w:t>
      </w:r>
    </w:p>
    <w:p w14:paraId="76F5FF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 условии оставления этих категорий на постоянное место жительство в Ухтинском комбинате, ряд наших подразделений мы полностью можем перевести на вольнонаемный состав: Водный промысел, Асфальтитовый рудник, сажевые заводы, Нефтеперегонный завод, Ремонтно-Механический завод, систему энергохозяйства и другие (7560).</w:t>
      </w:r>
    </w:p>
    <w:p w14:paraId="56593B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Докладываю Вам, что настроения о выезде из Ухты сейчас наблюдаются не только среди указанных выше категорий, но и среди вольнонаемного состава, которые считают, что они уже достаточно поработали на Севере и имеют право выехать в более благоприятные по климатическим условиям места (7560).</w:t>
      </w:r>
    </w:p>
    <w:p w14:paraId="384DA78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Мне кажется совершенно необходимым восстановить все льготы, существовавшие до войны для работников Севера, и распространить их также на контингенты, о которых указано выше (7560).</w:t>
      </w:r>
    </w:p>
    <w:p w14:paraId="162189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указаний” (7560).</w:t>
      </w:r>
    </w:p>
    <w:p w14:paraId="1F99D7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письме имеется резолюция Берии: “Тов. Чернышов! Переговорите со мной” (7560).</w:t>
      </w:r>
    </w:p>
    <w:p w14:paraId="6BE47F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июле 1945 года находившемуся в Потсдаме Берии было направлено письмо за подписями В. Н. Меркулова, Б. З. Кобулова и В. В. Чернышова:</w:t>
      </w:r>
    </w:p>
    <w:p w14:paraId="37FD5B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“Представляем на Ваше рассмотрение проект приказа НКВД, НКГБ, НКЮ и Прокурора СССР “Об отмене специальных мероприятий НКВД, НКГБ и Прокуратуры СССР на период войны и о порядке применения амнистии к некоторым категориям преступников” (7560).</w:t>
      </w:r>
    </w:p>
    <w:p w14:paraId="0DB96C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Приказом намечаются к проведению следующие мероприятия:</w:t>
      </w:r>
    </w:p>
    <w:p w14:paraId="1D8EB2B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Освободить из тюрем, исправительно-трудовых лагерей и колоний НКВД заключенных, отбывших сроки наказания, но задержанных в местах заключения до конца войны (7560).</w:t>
      </w:r>
    </w:p>
    <w:p w14:paraId="066AAE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Всего подлежит освобождению заключенных этой категории 21.156 человек, в том числе:</w:t>
      </w:r>
    </w:p>
    <w:p w14:paraId="45AAFD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Осужденных за участие в правотроцкистских, меньшевистских, эсеровских и других антисоветских организациях - 9014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4BCCF3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бандитизм, разбой и умышленные убийства - 4199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10ADAA5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шпионаж - 2372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716D7C3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террор - 1707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104225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диверсии - 334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54A318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 измену Родине - 126 </w:t>
      </w:r>
      <w:proofErr w:type="gramStart"/>
      <w:r w:rsidRPr="00925F26">
        <w:rPr>
          <w:color w:val="000000" w:themeColor="text1"/>
          <w:sz w:val="16"/>
          <w:szCs w:val="16"/>
        </w:rPr>
        <w:t>чел</w:t>
      </w:r>
      <w:proofErr w:type="gramEnd"/>
      <w:r w:rsidRPr="00925F26">
        <w:rPr>
          <w:color w:val="000000" w:themeColor="text1"/>
          <w:sz w:val="16"/>
          <w:szCs w:val="16"/>
        </w:rPr>
        <w:t xml:space="preserve"> (7560).</w:t>
      </w:r>
    </w:p>
    <w:p w14:paraId="0FDD6B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Освобождение заключенных, в отношении которых имеются материалы об их антисоветской работе за время нахождения в заключении, будет задержано (7560).</w:t>
      </w:r>
    </w:p>
    <w:p w14:paraId="3C835E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Для рассмотрения материалов и решения вопросов об их аресте и новом привлечении к уголовной ответственности или освобождении (за отсутствием достаточных оснований к аресту) создаются специальные комиссии НКВД, НКГБ и Прокуратуры (7560).</w:t>
      </w:r>
    </w:p>
    <w:p w14:paraId="16C5E1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Освобождаемым разрешается проживание на территории СССР, кроме режимных местностей (7560).</w:t>
      </w:r>
    </w:p>
    <w:p w14:paraId="40650B0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 Освободить из исправительно-трудовых лагерей НКВД заключенных, осужденных на срок до окончания войны (7560).</w:t>
      </w:r>
    </w:p>
    <w:p w14:paraId="7F65DB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Заключенных этой категории в лагерях содержится 816 человек, все они осуждены за сдачу в плен войскам Финляндии в советско-финскую войну 1939-1940 годов (7560).</w:t>
      </w:r>
    </w:p>
    <w:p w14:paraId="019DA9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Разрешить выезд из лагерей и колоний НКВД к местам жительства, с соблюдением режимных ограничений, бывшим заключенным, отбывшим сроки наказания и оставленным до окончания войны в лагерях и колониях НКВД на положении вольнонаемных (7560).</w:t>
      </w:r>
    </w:p>
    <w:p w14:paraId="1883F7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Всего таких лиц в лагерях и колониях НКВД работает 71.511 человек (7560).</w:t>
      </w:r>
    </w:p>
    <w:p w14:paraId="19CBB01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Освобождаемые заключенные:</w:t>
      </w:r>
    </w:p>
    <w:p w14:paraId="362E67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подданные и граждане Германии, Италии, Финляндии, Румынии и Венгрии (всего 798 человек) - переводятся в лагери НКВД для интернированных;</w:t>
      </w:r>
    </w:p>
    <w:p w14:paraId="2D45DAE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подданные и граждане союзных и нейтральных государств (всего 1052 человека) - высылаются из пределов СССР в установленном порядке;</w:t>
      </w:r>
    </w:p>
    <w:p w14:paraId="6BEC9F7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не имеющие гражданства (3813 человек) - расселяются в отдаленных местностях СССР под надзор органов НКВД-НКГБ;</w:t>
      </w:r>
    </w:p>
    <w:p w14:paraId="6FADC1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немцы, итальянцы, финны, румыны и венгры, состоящие в советском гражданстве (1500 человек) - передаются в рабочие колонны;</w:t>
      </w:r>
    </w:p>
    <w:p w14:paraId="77D55F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 калмыки, карачаевцы, чеченцы, ингуши, балкарцы, крымские татары, турки, курды и другие спецпереселенцы - по освобождении направляются на жительство в места расселения их семей (7560).</w:t>
      </w:r>
    </w:p>
    <w:p w14:paraId="4FC7453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Кроме того, в приказе разъясняется порядок применения амнистии к ссыльным, высланным и к лицам, арестованным, как социально-опасный элемент:</w:t>
      </w:r>
    </w:p>
    <w:p w14:paraId="2AB6D0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К ссыльным и высланным по решению судебных органов и Особого Совещания при НКВД СССР на срок до трех лет, предлагается применить статью 1-ю Указа “Об амнистии” и освободить их (7560).</w:t>
      </w:r>
    </w:p>
    <w:p w14:paraId="427729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ссыльным и высланным на срок свыше 3-х лет предлагается применить статью 2-ю того же Указа о сокращении неотбытого срока наказания наполовину (7560).</w:t>
      </w:r>
    </w:p>
    <w:p w14:paraId="708B08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Всего в ссылке и высылке по решениям судов и Особого Совещания числится 17.287 человек (7560).</w:t>
      </w:r>
    </w:p>
    <w:p w14:paraId="20C349A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Высланных на основании Указа Президиума Верховного Совета Союза ССР от 22 июня 1941 года “О военном положении”, а также высланных органами НКВД, НКГБ в административном порядке до и в период войны, за исключением лиц, высланных из Прибалтики, Западных областей Украины и Белоруссии, Молдавской ССР и Дальнего Востока, - от высылки освободить и разрешить им свободное проживание по территории СССР, кроме режимных областей (7560).</w:t>
      </w:r>
    </w:p>
    <w:p w14:paraId="7EED75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Всего по этому пункту: подлежит освобождению от высылки 9.118 человек, остаются на положении административно высланных - 18.433 человека (7560).</w:t>
      </w:r>
    </w:p>
    <w:p w14:paraId="76B1E2F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Приказом предлагается не применять амнистию к арестованным по статье 7/35 УК РСФСР (как социально-опасный элемент), если они подпадают под это определение по признаку своей антисоветской деятельности; к арестованным социально-опасным элементам по признакам уголовно-бытового порядка амнистия будет применяться на общих основаниях (7560).</w:t>
      </w:r>
    </w:p>
    <w:p w14:paraId="215E43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Просим Вашего решения” (7560).</w:t>
      </w:r>
    </w:p>
    <w:p w14:paraId="384AB1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письме имеется резолюция Берии: “Решить в Москве”; решение, однако, затянулось (7560).</w:t>
      </w:r>
    </w:p>
    <w:p w14:paraId="247A2C3C" w14:textId="77777777" w:rsidR="006103B3" w:rsidRPr="00925F26" w:rsidRDefault="006103B3" w:rsidP="00925F26">
      <w:pPr>
        <w:autoSpaceDE w:val="0"/>
        <w:autoSpaceDN w:val="0"/>
        <w:adjustRightInd w:val="0"/>
        <w:jc w:val="both"/>
        <w:rPr>
          <w:color w:val="000000" w:themeColor="text1"/>
          <w:sz w:val="16"/>
          <w:szCs w:val="16"/>
        </w:rPr>
      </w:pPr>
    </w:p>
    <w:p w14:paraId="7DFFCD3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96FB102" w14:textId="77777777" w:rsidR="006103B3" w:rsidRPr="00925F26" w:rsidRDefault="006103B3" w:rsidP="00925F26">
      <w:pPr>
        <w:autoSpaceDE w:val="0"/>
        <w:autoSpaceDN w:val="0"/>
        <w:adjustRightInd w:val="0"/>
        <w:jc w:val="both"/>
        <w:rPr>
          <w:iCs/>
          <w:color w:val="000000" w:themeColor="text1"/>
          <w:sz w:val="16"/>
          <w:szCs w:val="16"/>
        </w:rPr>
      </w:pPr>
    </w:p>
    <w:p w14:paraId="2CE67C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СССР учредил в Восточной части Германии собственную военную администрацию (3907,257).</w:t>
      </w:r>
    </w:p>
    <w:p w14:paraId="2139C459" w14:textId="77777777" w:rsidR="006103B3" w:rsidRPr="00925F26" w:rsidRDefault="006103B3" w:rsidP="00925F26">
      <w:pPr>
        <w:autoSpaceDE w:val="0"/>
        <w:autoSpaceDN w:val="0"/>
        <w:adjustRightInd w:val="0"/>
        <w:jc w:val="both"/>
        <w:rPr>
          <w:color w:val="000000" w:themeColor="text1"/>
          <w:sz w:val="16"/>
          <w:szCs w:val="16"/>
        </w:rPr>
      </w:pPr>
    </w:p>
    <w:p w14:paraId="402E520A" w14:textId="77777777" w:rsidR="00D7144C" w:rsidRPr="00925F26" w:rsidRDefault="00D7144C" w:rsidP="00925F26">
      <w:pPr>
        <w:jc w:val="both"/>
        <w:rPr>
          <w:color w:val="000000" w:themeColor="text1"/>
          <w:sz w:val="16"/>
          <w:szCs w:val="16"/>
        </w:rPr>
      </w:pPr>
      <w:r w:rsidRPr="00925F26">
        <w:rPr>
          <w:bCs/>
          <w:color w:val="000000" w:themeColor="text1"/>
          <w:sz w:val="16"/>
          <w:szCs w:val="16"/>
        </w:rPr>
        <w:t>9 июня</w:t>
      </w:r>
      <w:r w:rsidRPr="00925F26">
        <w:rPr>
          <w:color w:val="000000" w:themeColor="text1"/>
          <w:sz w:val="16"/>
          <w:szCs w:val="16"/>
        </w:rPr>
        <w:t xml:space="preserve"> в 1945 году первый Главнокомандующий советскими оккупационными войсками Маршал Советского Союза Г.К.Жуков подписал приказ № 1 об образовании военной администрации по управлению советской зоной оккупации в Германии, задачей которой является осуществление контроля за выполнением Германией условий безоговорочной капитуляции. С 10 июня приступит к выполнению своих задач Группа советских оккупационных войск в Германии (ГСОВГ), которая в 1949 в связи с образованием ГДР будет преобразована в Группу советских войск в Германии (ГСВГ); с 1989 - Западная группа войск (ЗГВ). 31 августа 1994 будет завершен вывод российских войск на родину (14917).</w:t>
      </w:r>
    </w:p>
    <w:p w14:paraId="4C0E1CF4" w14:textId="77777777" w:rsidR="00D7144C" w:rsidRPr="00925F26" w:rsidRDefault="00D7144C" w:rsidP="00925F26">
      <w:pPr>
        <w:jc w:val="both"/>
        <w:rPr>
          <w:color w:val="000000" w:themeColor="text1"/>
          <w:sz w:val="16"/>
          <w:szCs w:val="16"/>
        </w:rPr>
      </w:pPr>
    </w:p>
    <w:p w14:paraId="547995E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777BF64" w14:textId="77777777" w:rsidR="006103B3" w:rsidRPr="00925F26" w:rsidRDefault="006103B3" w:rsidP="00925F26">
      <w:pPr>
        <w:autoSpaceDE w:val="0"/>
        <w:autoSpaceDN w:val="0"/>
        <w:adjustRightInd w:val="0"/>
        <w:jc w:val="both"/>
        <w:rPr>
          <w:iCs/>
          <w:color w:val="000000" w:themeColor="text1"/>
          <w:sz w:val="16"/>
          <w:szCs w:val="16"/>
        </w:rPr>
      </w:pPr>
    </w:p>
    <w:p w14:paraId="27F63353" w14:textId="77777777" w:rsidR="00D7144C" w:rsidRPr="00925F26" w:rsidRDefault="00D7144C" w:rsidP="00925F26">
      <w:pPr>
        <w:jc w:val="both"/>
        <w:rPr>
          <w:color w:val="000000" w:themeColor="text1"/>
          <w:sz w:val="16"/>
          <w:szCs w:val="16"/>
        </w:rPr>
      </w:pPr>
      <w:r w:rsidRPr="00925F26">
        <w:rPr>
          <w:bCs/>
          <w:color w:val="000000" w:themeColor="text1"/>
          <w:sz w:val="16"/>
          <w:szCs w:val="16"/>
        </w:rPr>
        <w:t>9 июня</w:t>
      </w:r>
      <w:r w:rsidRPr="00925F26">
        <w:rPr>
          <w:color w:val="000000" w:themeColor="text1"/>
          <w:sz w:val="16"/>
          <w:szCs w:val="16"/>
        </w:rPr>
        <w:t xml:space="preserve"> в 1945 году в Белграде подписано соглашение между Югославией с одной стороны и США и Великобританией с другой о выводе югославских войск из Триеста и земене их англо-американскими (14917).</w:t>
      </w:r>
    </w:p>
    <w:p w14:paraId="2B1BC262" w14:textId="77777777" w:rsidR="00D7144C" w:rsidRPr="00925F26" w:rsidRDefault="00D7144C" w:rsidP="00925F26">
      <w:pPr>
        <w:jc w:val="both"/>
        <w:rPr>
          <w:color w:val="000000" w:themeColor="text1"/>
          <w:sz w:val="16"/>
          <w:szCs w:val="16"/>
        </w:rPr>
      </w:pPr>
    </w:p>
    <w:p w14:paraId="62FCEB29" w14:textId="77777777" w:rsidR="00D7144C" w:rsidRPr="00925F26" w:rsidRDefault="00D7144C" w:rsidP="00925F26">
      <w:pPr>
        <w:jc w:val="both"/>
        <w:rPr>
          <w:color w:val="000000" w:themeColor="text1"/>
          <w:sz w:val="16"/>
          <w:szCs w:val="16"/>
        </w:rPr>
      </w:pPr>
      <w:r w:rsidRPr="00925F26">
        <w:rPr>
          <w:bCs/>
          <w:color w:val="000000" w:themeColor="text1"/>
          <w:sz w:val="16"/>
          <w:szCs w:val="16"/>
        </w:rPr>
        <w:t>9 июня</w:t>
      </w:r>
      <w:r w:rsidRPr="00925F26">
        <w:rPr>
          <w:color w:val="000000" w:themeColor="text1"/>
          <w:sz w:val="16"/>
          <w:szCs w:val="16"/>
        </w:rPr>
        <w:t xml:space="preserve"> в 1945 году японский парламент утвердил законы «О чрезвычайных мерах военного времени», «О добровольной военной службе населения» (14917).</w:t>
      </w:r>
    </w:p>
    <w:p w14:paraId="1BD681A0" w14:textId="77777777" w:rsidR="00D7144C" w:rsidRPr="00925F26" w:rsidRDefault="00D7144C" w:rsidP="00925F26">
      <w:pPr>
        <w:jc w:val="both"/>
        <w:rPr>
          <w:color w:val="000000" w:themeColor="text1"/>
          <w:sz w:val="16"/>
          <w:szCs w:val="16"/>
        </w:rPr>
      </w:pPr>
    </w:p>
    <w:p w14:paraId="0F37A9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июня 1945 Премьер министров Японии Кантаро Сузуки заявил, что Япония лучше будет сражаться до последнего, чем примет безусловную капитуляцию (2100).</w:t>
      </w:r>
    </w:p>
    <w:p w14:paraId="655C131C" w14:textId="77777777" w:rsidR="006103B3" w:rsidRPr="00925F26" w:rsidRDefault="006103B3" w:rsidP="00925F26">
      <w:pPr>
        <w:autoSpaceDE w:val="0"/>
        <w:autoSpaceDN w:val="0"/>
        <w:adjustRightInd w:val="0"/>
        <w:jc w:val="both"/>
        <w:rPr>
          <w:color w:val="000000" w:themeColor="text1"/>
          <w:sz w:val="16"/>
          <w:szCs w:val="16"/>
        </w:rPr>
      </w:pPr>
    </w:p>
    <w:p w14:paraId="1856016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68072EF" w14:textId="77777777" w:rsidR="006103B3" w:rsidRPr="00925F26" w:rsidRDefault="006103B3" w:rsidP="00925F26">
      <w:pPr>
        <w:autoSpaceDE w:val="0"/>
        <w:autoSpaceDN w:val="0"/>
        <w:adjustRightInd w:val="0"/>
        <w:jc w:val="both"/>
        <w:rPr>
          <w:iCs/>
          <w:color w:val="000000" w:themeColor="text1"/>
          <w:sz w:val="16"/>
          <w:szCs w:val="16"/>
        </w:rPr>
      </w:pPr>
    </w:p>
    <w:p w14:paraId="78C5FC3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июня 1945 опытный Ил-16 под управле</w:t>
      </w:r>
      <w:r w:rsidRPr="00925F26">
        <w:rPr>
          <w:color w:val="000000" w:themeColor="text1"/>
          <w:sz w:val="16"/>
          <w:szCs w:val="16"/>
        </w:rPr>
        <w:softHyphen/>
        <w:t>нием летчика В.К. Коккинаки ушел в пер</w:t>
      </w:r>
      <w:r w:rsidRPr="00925F26">
        <w:rPr>
          <w:color w:val="000000" w:themeColor="text1"/>
          <w:sz w:val="16"/>
          <w:szCs w:val="16"/>
        </w:rPr>
        <w:softHyphen/>
        <w:t>вый испытательный полет. Сильный ре</w:t>
      </w:r>
      <w:r w:rsidRPr="00925F26">
        <w:rPr>
          <w:color w:val="000000" w:themeColor="text1"/>
          <w:sz w:val="16"/>
          <w:szCs w:val="16"/>
        </w:rPr>
        <w:softHyphen/>
        <w:t>активный момент от винта в сочетании с узкой базой шасси создал значительные затруднения на взлете. В полете само</w:t>
      </w:r>
      <w:r w:rsidRPr="00925F26">
        <w:rPr>
          <w:color w:val="000000" w:themeColor="text1"/>
          <w:sz w:val="16"/>
          <w:szCs w:val="16"/>
        </w:rPr>
        <w:softHyphen/>
        <w:t>лету недоставало продольной устойчи</w:t>
      </w:r>
      <w:r w:rsidRPr="00925F26">
        <w:rPr>
          <w:color w:val="000000" w:themeColor="text1"/>
          <w:sz w:val="16"/>
          <w:szCs w:val="16"/>
        </w:rPr>
        <w:softHyphen/>
        <w:t xml:space="preserve">вости. Этот полет выявил и серьезные недостатки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(ВМГ). До конца месяца на Ил-16 удалось выполнить еще один полет, после чего приняли решение передать одну маши</w:t>
      </w:r>
      <w:r w:rsidRPr="00925F26">
        <w:rPr>
          <w:color w:val="000000" w:themeColor="text1"/>
          <w:sz w:val="16"/>
          <w:szCs w:val="16"/>
        </w:rPr>
        <w:softHyphen/>
        <w:t>ну на завод № 240 для доводки ВМГ и продолжения летных испытаний, кото</w:t>
      </w:r>
      <w:r w:rsidRPr="00925F26">
        <w:rPr>
          <w:color w:val="000000" w:themeColor="text1"/>
          <w:sz w:val="16"/>
          <w:szCs w:val="16"/>
        </w:rPr>
        <w:softHyphen/>
        <w:t>рые из-за недоведенности мотора АМ-43 сильно затянулись. Второй экземпляр перед испытаниями подвергся существенной переделке. Хвостовую часть фюзеляжа удлинили на 50 см, увеличили высоту и площадь хво</w:t>
      </w:r>
      <w:r w:rsidRPr="00925F26">
        <w:rPr>
          <w:color w:val="000000" w:themeColor="text1"/>
          <w:sz w:val="16"/>
          <w:szCs w:val="16"/>
        </w:rPr>
        <w:softHyphen/>
        <w:t>стового оперения; на руле направления поставили триммер. Все это улучшило продольную устойчивость. Несмотря на постоянные проблемы с мотором, испытательной бригаде все же удалось снять почти все основные лет</w:t>
      </w:r>
      <w:r w:rsidRPr="00925F26">
        <w:rPr>
          <w:color w:val="000000" w:themeColor="text1"/>
          <w:sz w:val="16"/>
          <w:szCs w:val="16"/>
        </w:rPr>
        <w:softHyphen/>
        <w:t>ные данные Ил-16. При полетном весе 5980 кг он показал скорость у земли 525 км/ч, на высоте 3000 м - 575 км/ч. Дальность полета на высоте 500 м на скорости 373 км/ч с бомбовой нагрузкой 400 кг и запасом топлива 535 кг состави</w:t>
      </w:r>
      <w:r w:rsidRPr="00925F26">
        <w:rPr>
          <w:color w:val="000000" w:themeColor="text1"/>
          <w:sz w:val="16"/>
          <w:szCs w:val="16"/>
        </w:rPr>
        <w:softHyphen/>
        <w:t>ла 700 км. Время подъема на высоту 4000 м - 6,0 мин, а на высоту 5000 м -8,5 мин; потолок - 8500 м; посадочная скорость - 140 км/ч. Еще в период испытаний распоряже</w:t>
      </w:r>
      <w:r w:rsidRPr="00925F26">
        <w:rPr>
          <w:color w:val="000000" w:themeColor="text1"/>
          <w:sz w:val="16"/>
          <w:szCs w:val="16"/>
        </w:rPr>
        <w:softHyphen/>
        <w:t>нием начальника 10-го главного управления НКАП Н.И. Кузнецова на заводе № 30 начали делать малую серию Ил-16 из 25 экземпляров. Срок завершения этой работы не устанавливался. К 1 ок</w:t>
      </w:r>
      <w:r w:rsidRPr="00925F26">
        <w:rPr>
          <w:color w:val="000000" w:themeColor="text1"/>
          <w:sz w:val="16"/>
          <w:szCs w:val="16"/>
        </w:rPr>
        <w:softHyphen/>
        <w:t>тября 1945 г. один серийный самолет был построен и находился на летно-</w:t>
      </w:r>
      <w:proofErr w:type="gramStart"/>
      <w:r w:rsidRPr="00925F26">
        <w:rPr>
          <w:color w:val="000000" w:themeColor="text1"/>
          <w:sz w:val="16"/>
          <w:szCs w:val="16"/>
        </w:rPr>
        <w:t>ис-пытательной</w:t>
      </w:r>
      <w:proofErr w:type="gramEnd"/>
      <w:r w:rsidRPr="00925F26">
        <w:rPr>
          <w:color w:val="000000" w:themeColor="text1"/>
          <w:sz w:val="16"/>
          <w:szCs w:val="16"/>
        </w:rPr>
        <w:t xml:space="preserve"> станции завода, два пре</w:t>
      </w:r>
      <w:r w:rsidRPr="00925F26">
        <w:rPr>
          <w:color w:val="000000" w:themeColor="text1"/>
          <w:sz w:val="16"/>
          <w:szCs w:val="16"/>
        </w:rPr>
        <w:softHyphen/>
        <w:t>бывали в цехе окончательной сборки, а в цехе предварительной сборки шла стыковка еще трех штурмовиков. Кроме этого, завод изготовил агрегаты и ком</w:t>
      </w:r>
      <w:r w:rsidRPr="00925F26">
        <w:rPr>
          <w:color w:val="000000" w:themeColor="text1"/>
          <w:sz w:val="16"/>
          <w:szCs w:val="16"/>
        </w:rPr>
        <w:softHyphen/>
        <w:t>плектующие на восемь машин; еще на девять они находились в стадии завер</w:t>
      </w:r>
      <w:r w:rsidRPr="00925F26">
        <w:rPr>
          <w:color w:val="000000" w:themeColor="text1"/>
          <w:sz w:val="16"/>
          <w:szCs w:val="16"/>
        </w:rPr>
        <w:softHyphen/>
        <w:t>шения. Но мотор АМ-43 так и не довели до массового производства, поэтому ле</w:t>
      </w:r>
      <w:r w:rsidRPr="00925F26">
        <w:rPr>
          <w:color w:val="000000" w:themeColor="text1"/>
          <w:sz w:val="16"/>
          <w:szCs w:val="16"/>
        </w:rPr>
        <w:softHyphen/>
        <w:t>том 1946 г. работы по Ил-16 прекратили (10681).</w:t>
      </w:r>
    </w:p>
    <w:p w14:paraId="5E6A799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5C76FFF"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F2050D2" w14:textId="77777777" w:rsidR="006103B3" w:rsidRPr="00925F26" w:rsidRDefault="006103B3" w:rsidP="00925F26">
      <w:pPr>
        <w:autoSpaceDE w:val="0"/>
        <w:autoSpaceDN w:val="0"/>
        <w:adjustRightInd w:val="0"/>
        <w:jc w:val="both"/>
        <w:rPr>
          <w:iCs/>
          <w:color w:val="000000" w:themeColor="text1"/>
          <w:sz w:val="16"/>
          <w:szCs w:val="16"/>
        </w:rPr>
      </w:pPr>
    </w:p>
    <w:p w14:paraId="55C95131" w14:textId="77777777" w:rsidR="00D7144C" w:rsidRPr="00925F26" w:rsidRDefault="00D7144C"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10 июня 1945 года командую</w:t>
      </w:r>
      <w:r w:rsidRPr="00925F26">
        <w:rPr>
          <w:rFonts w:ascii="Times New Roman" w:cs="Times New Roman"/>
          <w:color w:val="000000" w:themeColor="text1"/>
          <w:spacing w:val="0"/>
        </w:rPr>
        <w:softHyphen/>
        <w:t>щий бронетанковыми и механизированны</w:t>
      </w:r>
      <w:r w:rsidRPr="00925F26">
        <w:rPr>
          <w:rFonts w:ascii="Times New Roman" w:cs="Times New Roman"/>
          <w:color w:val="000000" w:themeColor="text1"/>
          <w:spacing w:val="0"/>
        </w:rPr>
        <w:softHyphen/>
        <w:t>ми войсками Красной Армии Я. Федоренко докладывал заместителю наркома обороны СССР Н. Булганину:</w:t>
      </w:r>
    </w:p>
    <w:p w14:paraId="273CBAE4" w14:textId="77777777" w:rsidR="00D7144C" w:rsidRPr="00925F26" w:rsidRDefault="00D7144C"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«На бронетанковых ремонтных заводах Главного управления ремонта танков Крас</w:t>
      </w:r>
      <w:r w:rsidRPr="00925F26">
        <w:rPr>
          <w:rFonts w:ascii="Times New Roman" w:cs="Times New Roman"/>
          <w:color w:val="000000" w:themeColor="text1"/>
          <w:spacing w:val="0"/>
        </w:rPr>
        <w:softHyphen/>
        <w:t>ной Армии имеются требующие капитально</w:t>
      </w:r>
      <w:r w:rsidRPr="00925F26">
        <w:rPr>
          <w:rFonts w:ascii="Times New Roman" w:cs="Times New Roman"/>
          <w:color w:val="000000" w:themeColor="text1"/>
          <w:spacing w:val="0"/>
        </w:rPr>
        <w:softHyphen/>
        <w:t xml:space="preserve">го ремонта танки </w:t>
      </w:r>
      <w:r w:rsidRPr="00925F26">
        <w:rPr>
          <w:rFonts w:ascii="Times New Roman" w:cs="Times New Roman"/>
          <w:color w:val="000000" w:themeColor="text1"/>
          <w:spacing w:val="0"/>
          <w:lang w:val="en-US"/>
        </w:rPr>
        <w:t>KB</w:t>
      </w:r>
      <w:r w:rsidRPr="00925F26">
        <w:rPr>
          <w:rFonts w:ascii="Times New Roman" w:cs="Times New Roman"/>
          <w:color w:val="000000" w:themeColor="text1"/>
          <w:spacing w:val="0"/>
        </w:rPr>
        <w:t xml:space="preserve"> с 76-мм пушкой в ко</w:t>
      </w:r>
      <w:r w:rsidRPr="00925F26">
        <w:rPr>
          <w:rFonts w:ascii="Times New Roman" w:cs="Times New Roman"/>
          <w:color w:val="000000" w:themeColor="text1"/>
          <w:spacing w:val="0"/>
        </w:rPr>
        <w:softHyphen/>
        <w:t>личестве 205 штук и самоходные артилле</w:t>
      </w:r>
      <w:r w:rsidRPr="00925F26">
        <w:rPr>
          <w:rFonts w:ascii="Times New Roman" w:cs="Times New Roman"/>
          <w:color w:val="000000" w:themeColor="text1"/>
          <w:spacing w:val="0"/>
        </w:rPr>
        <w:softHyphen/>
        <w:t xml:space="preserve">рийские установки СУ-152, изготовленные на базе танков </w:t>
      </w:r>
      <w:r w:rsidRPr="00925F26">
        <w:rPr>
          <w:rFonts w:ascii="Times New Roman" w:cs="Times New Roman"/>
          <w:color w:val="000000" w:themeColor="text1"/>
          <w:spacing w:val="0"/>
          <w:lang w:val="en-US"/>
        </w:rPr>
        <w:t>KB</w:t>
      </w:r>
      <w:r w:rsidRPr="00925F26">
        <w:rPr>
          <w:rFonts w:ascii="Times New Roman" w:cs="Times New Roman"/>
          <w:color w:val="000000" w:themeColor="text1"/>
          <w:spacing w:val="0"/>
        </w:rPr>
        <w:t xml:space="preserve"> - 151 штука. Всего имеет</w:t>
      </w:r>
      <w:r w:rsidRPr="00925F26">
        <w:rPr>
          <w:rFonts w:ascii="Times New Roman" w:cs="Times New Roman"/>
          <w:color w:val="000000" w:themeColor="text1"/>
          <w:spacing w:val="0"/>
        </w:rPr>
        <w:softHyphen/>
        <w:t>ся 356 штук.</w:t>
      </w:r>
    </w:p>
    <w:p w14:paraId="5FDA7A7E" w14:textId="77777777" w:rsidR="00D7144C" w:rsidRPr="00925F26" w:rsidRDefault="00D7144C"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Эти танки и самоходные установки, как устаревшие, на укомплектование танковых частей не используются.</w:t>
      </w:r>
    </w:p>
    <w:p w14:paraId="5B9A206B" w14:textId="77777777" w:rsidR="00D7144C" w:rsidRPr="00925F26" w:rsidRDefault="00D7144C"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марте месяце с.г. Вами было разреше</w:t>
      </w:r>
      <w:r w:rsidRPr="00925F26">
        <w:rPr>
          <w:rFonts w:ascii="Times New Roman" w:cs="Times New Roman"/>
          <w:color w:val="000000" w:themeColor="text1"/>
          <w:spacing w:val="0"/>
        </w:rPr>
        <w:softHyphen/>
        <w:t xml:space="preserve">но переделать 40 танков </w:t>
      </w:r>
      <w:r w:rsidRPr="00925F26">
        <w:rPr>
          <w:rFonts w:ascii="Times New Roman" w:cs="Times New Roman"/>
          <w:color w:val="000000" w:themeColor="text1"/>
          <w:spacing w:val="0"/>
          <w:lang w:val="en-US"/>
        </w:rPr>
        <w:t>KB</w:t>
      </w:r>
      <w:r w:rsidRPr="00925F26">
        <w:rPr>
          <w:rFonts w:ascii="Times New Roman" w:cs="Times New Roman"/>
          <w:color w:val="000000" w:themeColor="text1"/>
          <w:spacing w:val="0"/>
        </w:rPr>
        <w:t xml:space="preserve"> на тягачи. Этого количества для покрытия потребности тан</w:t>
      </w:r>
      <w:r w:rsidRPr="00925F26">
        <w:rPr>
          <w:rFonts w:ascii="Times New Roman" w:cs="Times New Roman"/>
          <w:color w:val="000000" w:themeColor="text1"/>
          <w:spacing w:val="0"/>
        </w:rPr>
        <w:softHyphen/>
        <w:t>ковых частей Красной Армии недостаточно.</w:t>
      </w:r>
    </w:p>
    <w:p w14:paraId="42DA913F" w14:textId="77777777" w:rsidR="00D7144C" w:rsidRPr="00925F26" w:rsidRDefault="00D7144C"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Прошу Вашего разрешения переделать указанные выше танки на тягачи для эва</w:t>
      </w:r>
      <w:r w:rsidRPr="00925F26">
        <w:rPr>
          <w:rFonts w:ascii="Times New Roman" w:cs="Times New Roman"/>
          <w:color w:val="000000" w:themeColor="text1"/>
          <w:spacing w:val="0"/>
        </w:rPr>
        <w:softHyphen/>
        <w:t>куации танков. Тягачи в настоящее время для танковых частей Красной Армии крайне необходимы» (15226).</w:t>
      </w:r>
    </w:p>
    <w:p w14:paraId="5602F8B3" w14:textId="77777777" w:rsidR="00D7144C" w:rsidRPr="00925F26" w:rsidRDefault="00D7144C" w:rsidP="00925F26">
      <w:pPr>
        <w:pStyle w:val="27"/>
        <w:shd w:val="clear" w:color="auto" w:fill="auto"/>
        <w:spacing w:after="0" w:line="240" w:lineRule="auto"/>
        <w:ind w:firstLine="0"/>
        <w:rPr>
          <w:rFonts w:ascii="Times New Roman" w:cs="Times New Roman"/>
          <w:color w:val="000000" w:themeColor="text1"/>
          <w:spacing w:val="0"/>
        </w:rPr>
      </w:pPr>
    </w:p>
    <w:p w14:paraId="4B0BCA9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июня 1945 вышло Распоряжение ГКО № 9042 [О мерах по обеспечению строительными материалами строек НКЧМ, НКЦМ, НКЭС, НКПС, НКУП и НКНП.] (7349, 33-34,35-52).</w:t>
      </w:r>
    </w:p>
    <w:p w14:paraId="1E66C07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6F374D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вышло Постановление ГКО № 9043 О плане снабжения горюче-смазочными материалами Красной Армии и Военно-Морского Флота на июнь 1945 года. РГАНИР, Фонд ГКО, д. 427, лл. 53-54, 55-75 (11012).</w:t>
      </w:r>
    </w:p>
    <w:p w14:paraId="24D75359" w14:textId="77777777" w:rsidR="006103B3" w:rsidRPr="00925F26" w:rsidRDefault="006103B3" w:rsidP="00925F26">
      <w:pPr>
        <w:autoSpaceDE w:val="0"/>
        <w:autoSpaceDN w:val="0"/>
        <w:adjustRightInd w:val="0"/>
        <w:jc w:val="both"/>
        <w:rPr>
          <w:color w:val="000000" w:themeColor="text1"/>
          <w:sz w:val="16"/>
          <w:szCs w:val="16"/>
        </w:rPr>
      </w:pPr>
    </w:p>
    <w:p w14:paraId="73A549FB"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июня 1945 вышло Распоряжение ГКО № 9044 [О подготовке вопроса о выделении в самостоятельную дорогу железнодорожных линий на территории Азербайджанской ССР.] (7349, 76).</w:t>
      </w:r>
    </w:p>
    <w:p w14:paraId="27141B6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96CAD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10 июня 1945 вышло Распоряжение ГКО № 9045. О выделении строительству газопровода Саратов-Москва финских домов, леса и пиломатериалов. РГАНИР, Фонд ГКО, д. 427, лл. 77 (11012).</w:t>
      </w:r>
    </w:p>
    <w:p w14:paraId="6954EB83" w14:textId="77777777" w:rsidR="006103B3" w:rsidRPr="00925F26" w:rsidRDefault="006103B3" w:rsidP="00925F26">
      <w:pPr>
        <w:autoSpaceDE w:val="0"/>
        <w:autoSpaceDN w:val="0"/>
        <w:adjustRightInd w:val="0"/>
        <w:jc w:val="both"/>
        <w:rPr>
          <w:color w:val="000000" w:themeColor="text1"/>
          <w:sz w:val="16"/>
          <w:szCs w:val="16"/>
        </w:rPr>
      </w:pPr>
    </w:p>
    <w:p w14:paraId="79DBF0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вышло Распоряжение ГКО № 9046. Об организации на предприятиях НКБ производства бурового и эксплуатационного оборудования для НКНП. РГАНИР, Фонд ГКО, д. 427, лл. 78 (11012).</w:t>
      </w:r>
    </w:p>
    <w:p w14:paraId="05A4999D" w14:textId="77777777" w:rsidR="006103B3" w:rsidRPr="00925F26" w:rsidRDefault="006103B3" w:rsidP="00925F26">
      <w:pPr>
        <w:autoSpaceDE w:val="0"/>
        <w:autoSpaceDN w:val="0"/>
        <w:adjustRightInd w:val="0"/>
        <w:jc w:val="both"/>
        <w:rPr>
          <w:color w:val="000000" w:themeColor="text1"/>
          <w:sz w:val="16"/>
          <w:szCs w:val="16"/>
        </w:rPr>
      </w:pPr>
    </w:p>
    <w:p w14:paraId="16A5DF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вышло Постановление ГКО № 9047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 РГАНИР, Фонд ГКО, д. 427, лл. 79-85, 86-92 (11012).</w:t>
      </w:r>
    </w:p>
    <w:p w14:paraId="746C8B5C" w14:textId="77777777" w:rsidR="006103B3" w:rsidRPr="00925F26" w:rsidRDefault="006103B3" w:rsidP="00925F26">
      <w:pPr>
        <w:autoSpaceDE w:val="0"/>
        <w:autoSpaceDN w:val="0"/>
        <w:adjustRightInd w:val="0"/>
        <w:jc w:val="both"/>
        <w:rPr>
          <w:color w:val="000000" w:themeColor="text1"/>
          <w:sz w:val="16"/>
          <w:szCs w:val="16"/>
        </w:rPr>
      </w:pPr>
    </w:p>
    <w:p w14:paraId="032B3A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года 4-е главное управление по наземной радиолокационной аппаратуре было образовано в Наркомате вооружений (10109).</w:t>
      </w:r>
    </w:p>
    <w:p w14:paraId="2C82CB69" w14:textId="77777777" w:rsidR="006103B3" w:rsidRPr="00925F26" w:rsidRDefault="006103B3" w:rsidP="00925F26">
      <w:pPr>
        <w:autoSpaceDE w:val="0"/>
        <w:autoSpaceDN w:val="0"/>
        <w:adjustRightInd w:val="0"/>
        <w:jc w:val="both"/>
        <w:rPr>
          <w:color w:val="000000" w:themeColor="text1"/>
          <w:sz w:val="16"/>
          <w:szCs w:val="16"/>
        </w:rPr>
      </w:pPr>
    </w:p>
    <w:p w14:paraId="30C24A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10 июня 1945 </w:t>
      </w:r>
      <w:proofErr w:type="gramStart"/>
      <w:r w:rsidRPr="00925F26">
        <w:rPr>
          <w:color w:val="000000" w:themeColor="text1"/>
          <w:sz w:val="16"/>
          <w:szCs w:val="16"/>
        </w:rPr>
        <w:t>года</w:t>
      </w:r>
      <w:proofErr w:type="gramEnd"/>
      <w:r w:rsidRPr="00925F26">
        <w:rPr>
          <w:color w:val="000000" w:themeColor="text1"/>
          <w:sz w:val="16"/>
          <w:szCs w:val="16"/>
        </w:rPr>
        <w:t xml:space="preserve"> В соответствии с постановлением ГКО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 на заводах страны начались подготовительные работы. Для комплексного проектирования СОН, ПУАЗО и ССП образовано Центральное конструкторское бюро (ЦКБ-20). Патронные и радиотехнические заводы №№ 79 (Коломна), 304 (Кунцево), 465 (Москва), 526 (Новокузнецк), 569 (Загорск), 780 (Ленинград), а также ЦКБ-20 (Москва) переданы 4-му (радиолокационному) главному управлению Наркомата </w:t>
      </w:r>
      <w:proofErr w:type="gramStart"/>
      <w:r w:rsidRPr="00925F26">
        <w:rPr>
          <w:color w:val="000000" w:themeColor="text1"/>
          <w:sz w:val="16"/>
          <w:szCs w:val="16"/>
        </w:rPr>
        <w:t>вооружений..</w:t>
      </w:r>
      <w:proofErr w:type="gramEnd"/>
      <w:r w:rsidRPr="00925F26">
        <w:rPr>
          <w:color w:val="000000" w:themeColor="text1"/>
          <w:sz w:val="16"/>
          <w:szCs w:val="16"/>
        </w:rPr>
        <w:t xml:space="preserve"> Для подготовки специалистов в Ленинградской Военной академии связи имени С.М.Буденного был организован радиолокационный факультет. Кунцевский завод № 304 стал основным заводом НКВ по производству СОН. Прекратив производство патронов, завод развернул подготовительные работы к выпуску СОН “Юпитер-3” по технической документации НИИ-10 Наркомсудпрома.</w:t>
      </w:r>
    </w:p>
    <w:p w14:paraId="28A822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Загорский завод № 569 в марте 1946 года приступил к организации производства ПУАЗО. В этом же году на заводе создано ОКБ-569 по счетно-решающим приборам. Позже начато освоение аппаратуры для систем С-25, С-50 и С-75 (10109).</w:t>
      </w:r>
    </w:p>
    <w:p w14:paraId="5548A4AA" w14:textId="77777777" w:rsidR="006103B3" w:rsidRPr="00925F26" w:rsidRDefault="006103B3" w:rsidP="00925F26">
      <w:pPr>
        <w:autoSpaceDE w:val="0"/>
        <w:autoSpaceDN w:val="0"/>
        <w:adjustRightInd w:val="0"/>
        <w:jc w:val="both"/>
        <w:rPr>
          <w:color w:val="000000" w:themeColor="text1"/>
          <w:sz w:val="16"/>
          <w:szCs w:val="16"/>
        </w:rPr>
      </w:pPr>
    </w:p>
    <w:p w14:paraId="5EE1F3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г. КБ завода № 465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1D58F4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(1942 г.-)- А.Я. Брейтбарт (СОН-2).</w:t>
      </w:r>
    </w:p>
    <w:p w14:paraId="78B898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конструкторов: (1942 г.-)- С.П. Рабинович (СОН-2) (11982).</w:t>
      </w:r>
    </w:p>
    <w:p w14:paraId="5CD0FB0B" w14:textId="77777777" w:rsidR="006103B3" w:rsidRPr="00925F26" w:rsidRDefault="006103B3" w:rsidP="00925F26">
      <w:pPr>
        <w:autoSpaceDE w:val="0"/>
        <w:autoSpaceDN w:val="0"/>
        <w:adjustRightInd w:val="0"/>
        <w:jc w:val="both"/>
        <w:rPr>
          <w:color w:val="000000" w:themeColor="text1"/>
          <w:sz w:val="16"/>
          <w:szCs w:val="16"/>
        </w:rPr>
      </w:pPr>
    </w:p>
    <w:p w14:paraId="583BC1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вышло Постановление ГКО № 9048 О материально-техническом обеспечении работ по ремонту нефтеперерабатывающих заводов Наркомнефти. РГАНИР, Фонд ГКО, д. 427, лл. 93-98, 99-106 (11012).</w:t>
      </w:r>
    </w:p>
    <w:p w14:paraId="077DB916" w14:textId="77777777" w:rsidR="006103B3" w:rsidRPr="00925F26" w:rsidRDefault="006103B3" w:rsidP="00925F26">
      <w:pPr>
        <w:autoSpaceDE w:val="0"/>
        <w:autoSpaceDN w:val="0"/>
        <w:adjustRightInd w:val="0"/>
        <w:jc w:val="both"/>
        <w:rPr>
          <w:color w:val="000000" w:themeColor="text1"/>
          <w:sz w:val="16"/>
          <w:szCs w:val="16"/>
        </w:rPr>
      </w:pPr>
    </w:p>
    <w:p w14:paraId="7D3239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вышло Постановление ГКО № 9049 О восстановлении и развитии сланцевой промышленности Эстонской ССР и Ленинградской области и об обеспечении газом г. Ленинграда. РГАНИР, Фонд ГКО, д. 427, лл. 107-118, 119-263 (11012).</w:t>
      </w:r>
    </w:p>
    <w:p w14:paraId="0AD7287A" w14:textId="77777777" w:rsidR="006103B3" w:rsidRPr="00925F26" w:rsidRDefault="006103B3" w:rsidP="00925F26">
      <w:pPr>
        <w:autoSpaceDE w:val="0"/>
        <w:autoSpaceDN w:val="0"/>
        <w:adjustRightInd w:val="0"/>
        <w:jc w:val="both"/>
        <w:rPr>
          <w:color w:val="000000" w:themeColor="text1"/>
          <w:sz w:val="16"/>
          <w:szCs w:val="16"/>
        </w:rPr>
      </w:pPr>
    </w:p>
    <w:p w14:paraId="7B3877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10 июня 1945 г. КБ завода 465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40590F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33B375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Есть информация, что в 1954 г. НИИ-20 переименован в НИИ-244.</w:t>
      </w:r>
    </w:p>
    <w:p w14:paraId="06B6CD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2E0534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1954 г. работала группа гл. конструктора Н.А. Викторова (далее- в НИИ-244) по разработке АРГС для снаряда «Щука».</w:t>
      </w:r>
    </w:p>
    <w:p w14:paraId="18CE98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конце 1940-х г. НИР «Топаз» по созданию систем радиоуправления МБР (Б.М. Коноплев).60 </w:t>
      </w:r>
    </w:p>
    <w:p w14:paraId="48B33D3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1F3F63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5DCFA8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027B5D1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51AE28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гл. конструктор (1958-70 г.-) - В.П. Ефремов.</w:t>
      </w:r>
    </w:p>
    <w:p w14:paraId="21460A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Ген. директор- Ю.И. Бадалов, (2002 г.) - Ю.М. Свирин (до этого был директором Марийского МЗ).</w:t>
      </w:r>
    </w:p>
    <w:p w14:paraId="16FB741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47A0EC5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Ген. конструктор «Антея» (2002-03 г.-)- В.П. Ефремов.</w:t>
      </w:r>
    </w:p>
    <w:p w14:paraId="0396E3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(1970 г.)- И.М. Дризе.</w:t>
      </w:r>
    </w:p>
    <w:p w14:paraId="4EA08E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Президент ПК «Концерн «Антей» (1999 г.)- Ю.И. Бадалов.</w:t>
      </w:r>
    </w:p>
    <w:p w14:paraId="008A17B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совета директоров ПК «Концерн «Антей» (2001 г.-)- В. Иванов.</w:t>
      </w:r>
    </w:p>
    <w:p w14:paraId="4CBC5C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Член совета директоров (2002 г.)- А.А. Ноговицын.</w:t>
      </w:r>
    </w:p>
    <w:p w14:paraId="71258F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(-1958-75 г.-)- И.М. Дризе (9А330), (1960 г.)- М.М. Косичкин.</w:t>
      </w:r>
    </w:p>
    <w:p w14:paraId="491098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1CC0C3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2A0DB0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6A40CB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Москва Ленинградский пр., 80 (1947 г.)/</w:t>
      </w:r>
    </w:p>
    <w:p w14:paraId="52BF326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121471 г. Москва, ул. Верейская, 41 тел. 448-94-60, 448-75-32/</w:t>
      </w:r>
    </w:p>
    <w:p w14:paraId="0BFD3D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Ленинградский филиал НИИ-20 НКОП</w:t>
      </w:r>
    </w:p>
    <w:p w14:paraId="0D3159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Ленинград ул. Красной Связи</w:t>
      </w:r>
    </w:p>
    <w:p w14:paraId="39399B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7221BA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1939 г. филиал, как и НИИ-20, передан из ОТУ в 7ГУ. </w:t>
      </w:r>
    </w:p>
    <w:p w14:paraId="1304996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филиала (1937 г.)- Медведев.</w:t>
      </w:r>
    </w:p>
    <w:p w14:paraId="327D002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ОАО «НИИ «Стрела»</w:t>
      </w:r>
    </w:p>
    <w:p w14:paraId="007C5A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Тула, ул. Горького, 6</w:t>
      </w:r>
    </w:p>
    <w:p w14:paraId="3DBAC4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11B89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Гендиректор (2005 г.)- Н. Зайцев.</w:t>
      </w:r>
    </w:p>
    <w:p w14:paraId="5885CA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гендиректора: по производству (11.2005 г.-)- В. Кузьмин; по экономическим вопросам (2005 г.)- Ю. Гавриков.</w:t>
      </w:r>
    </w:p>
    <w:p w14:paraId="1FB055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Создано: комплексы разведки и стрельбы: «Зоопарк», «Фара»; РЛС «Кредо-М1», «Гамма-ПВ».</w:t>
      </w:r>
    </w:p>
    <w:p w14:paraId="4AD1DC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ВНИИ радиоаппаратуры РАСУ</w:t>
      </w:r>
    </w:p>
    <w:p w14:paraId="6FF795C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Директор (2003 г.)- Г.Н. Громов.</w:t>
      </w:r>
    </w:p>
    <w:p w14:paraId="083952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ОАО «Концерн ПВО «Алмаз-Антей»</w:t>
      </w:r>
    </w:p>
    <w:p w14:paraId="1A2396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62506B5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Председатель совета директоров (04.2002-05 г.-)- В. Иванов.</w:t>
      </w:r>
    </w:p>
    <w:p w14:paraId="423291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290DF5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Ген. конструктор (2005 г.)- А.И. Савин.</w:t>
      </w:r>
    </w:p>
    <w:p w14:paraId="178285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1-й зам. ген. конструктора (2005 г.)- П. Созинов.</w:t>
      </w:r>
    </w:p>
    <w:p w14:paraId="0546740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7ADE15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Зам. гендиректора (04.2002- 02.2003 г.)- И. Климов, (2002 г.-)- И. </w:t>
      </w:r>
      <w:proofErr w:type="gramStart"/>
      <w:r w:rsidRPr="00925F26">
        <w:rPr>
          <w:color w:val="000000" w:themeColor="text1"/>
          <w:sz w:val="16"/>
          <w:szCs w:val="16"/>
        </w:rPr>
        <w:t>Ашурбейли,Ъ</w:t>
      </w:r>
      <w:proofErr w:type="gramEnd"/>
      <w:r w:rsidRPr="00925F26">
        <w:rPr>
          <w:color w:val="000000" w:themeColor="text1"/>
          <w:sz w:val="16"/>
          <w:szCs w:val="16"/>
        </w:rPr>
        <w:t>-17.02.03 (-2003-05 г.-)- Я. Новиков, (2005 г.)- П. Созинов (10776).</w:t>
      </w:r>
    </w:p>
    <w:p w14:paraId="34FBCF5C" w14:textId="77777777" w:rsidR="006103B3" w:rsidRPr="00925F26" w:rsidRDefault="006103B3" w:rsidP="00925F26">
      <w:pPr>
        <w:autoSpaceDE w:val="0"/>
        <w:autoSpaceDN w:val="0"/>
        <w:adjustRightInd w:val="0"/>
        <w:jc w:val="both"/>
        <w:rPr>
          <w:color w:val="000000" w:themeColor="text1"/>
          <w:sz w:val="16"/>
          <w:szCs w:val="16"/>
        </w:rPr>
      </w:pPr>
    </w:p>
    <w:p w14:paraId="3B4EC0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10 июня 1945 г. КБ завода № 465 было преобразовано в ЦКБ-20(ЦКБ-20, НИИ-20 НКВ, </w:t>
      </w:r>
      <w:r w:rsidRPr="00925F26">
        <w:rPr>
          <w:color w:val="000000" w:themeColor="text1"/>
          <w:sz w:val="16"/>
          <w:szCs w:val="16"/>
          <w:lang w:val="en-US"/>
        </w:rPr>
        <w:t>MB</w:t>
      </w:r>
      <w:r w:rsidRPr="00925F26">
        <w:rPr>
          <w:color w:val="000000" w:themeColor="text1"/>
          <w:sz w:val="16"/>
          <w:szCs w:val="16"/>
        </w:rPr>
        <w:t>, МИСС, МОП, ГКРЭ, Научно -исследовательский электромеханический институт (НИЭМИ) МРП, ОАО «НИЭМИ» / г. Москва Ленинградский пр., 80 (1947 г.)/ /121471  г. Москва ул. Верейская, 41 тел. 448-94-60,443-79-59/). В 1946 г. (в соответствии с пост. СНК от 29.09.1945 г.) ЦКБ-20 преобразовано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574E3E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Велась разработка РЛС «Нептун» и СОН-4. В 1945 г. получено задание на разработку РЛС «Плутон» для обнаружения БР на дальности до 2000 км по программе «Анти-ФАУ» (научный руководитель - Н.А. Баршай). В соответствии с </w:t>
      </w:r>
      <w:proofErr w:type="gramStart"/>
      <w:r w:rsidRPr="00925F26">
        <w:rPr>
          <w:color w:val="000000" w:themeColor="text1"/>
          <w:sz w:val="16"/>
          <w:szCs w:val="16"/>
        </w:rPr>
        <w:t>пост.ениями</w:t>
      </w:r>
      <w:proofErr w:type="gramEnd"/>
      <w:r w:rsidRPr="00925F26">
        <w:rPr>
          <w:color w:val="000000" w:themeColor="text1"/>
          <w:sz w:val="16"/>
          <w:szCs w:val="16"/>
        </w:rPr>
        <w:t xml:space="preserve"> СМ СССР от 14.04(02). 1948 г. и от 6.02.1949 г. институт определен головным по разработке РЛС системы борьбы с БР (тема И-32). Начата НИР «Разработка РЛС для дальнего обнаружения и пеленга скорости ракет дальнего действия...». В 1950 г. выполнен отчет по работе, но дальнейшие работы отложены. Разработаны первые в стране РЛС с высокой точностью определения координат воздушных целей и повышенной помехозащищенностью «Крона», «Просвет».</w:t>
      </w:r>
    </w:p>
    <w:p w14:paraId="6FC9C5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1946 г. группа специалистов из НИИ-20 была переведена во вновь созданный НИИ-885.</w:t>
      </w:r>
    </w:p>
    <w:p w14:paraId="2AABC95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Сначала НИИ-20 базировался в Москве на Ленинградском пр-те. 29.08.1947 г. создан отдел № 24 по РЛ управлению под руководством С.Л. Берия, 8.09.1947 г. отдел преобразован в самостоятельное СБ-1 </w:t>
      </w:r>
      <w:r w:rsidRPr="00925F26">
        <w:rPr>
          <w:color w:val="000000" w:themeColor="text1"/>
          <w:sz w:val="16"/>
          <w:szCs w:val="16"/>
          <w:lang w:val="en-US"/>
        </w:rPr>
        <w:t>MB</w:t>
      </w:r>
      <w:r w:rsidRPr="00925F26">
        <w:rPr>
          <w:color w:val="000000" w:themeColor="text1"/>
          <w:sz w:val="16"/>
          <w:szCs w:val="16"/>
        </w:rPr>
        <w:t xml:space="preserve">. В 08.1950 г. после образования на его территории и стремительного роста КБ-1 приказом </w:t>
      </w:r>
      <w:r w:rsidRPr="00925F26">
        <w:rPr>
          <w:color w:val="000000" w:themeColor="text1"/>
          <w:sz w:val="16"/>
          <w:szCs w:val="16"/>
          <w:lang w:val="en-US"/>
        </w:rPr>
        <w:t>MB</w:t>
      </w:r>
      <w:r w:rsidRPr="00925F26">
        <w:rPr>
          <w:color w:val="000000" w:themeColor="text1"/>
          <w:sz w:val="16"/>
          <w:szCs w:val="16"/>
        </w:rPr>
        <w:t xml:space="preserve"> все помещения института переданы КБ-1, а НИИ-20 переведен в Кунцево на площадку завода № 304.</w:t>
      </w:r>
    </w:p>
    <w:p w14:paraId="1B5743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1948 г. НИИ-20 - в подчинении </w:t>
      </w:r>
      <w:r w:rsidRPr="00925F26">
        <w:rPr>
          <w:color w:val="000000" w:themeColor="text1"/>
          <w:sz w:val="16"/>
          <w:szCs w:val="16"/>
          <w:lang w:val="en-US"/>
        </w:rPr>
        <w:t>MB</w:t>
      </w:r>
      <w:r w:rsidRPr="00925F26">
        <w:rPr>
          <w:color w:val="000000" w:themeColor="text1"/>
          <w:sz w:val="16"/>
          <w:szCs w:val="16"/>
        </w:rPr>
        <w:t>, в 1949 г. - МПСС, в 1956 г. - в ведении МОП, в 1958 г. - ГКРЭ,</w:t>
      </w:r>
      <w:r w:rsidRPr="00925F26">
        <w:rPr>
          <w:color w:val="000000" w:themeColor="text1"/>
          <w:sz w:val="16"/>
          <w:szCs w:val="16"/>
          <w:vertAlign w:val="superscript"/>
        </w:rPr>
        <w:t xml:space="preserve">57 </w:t>
      </w:r>
      <w:r w:rsidRPr="00925F26">
        <w:rPr>
          <w:color w:val="000000" w:themeColor="text1"/>
          <w:sz w:val="16"/>
          <w:szCs w:val="16"/>
        </w:rPr>
        <w:t>ГКОТ.</w:t>
      </w:r>
      <w:r w:rsidRPr="00925F26">
        <w:rPr>
          <w:color w:val="000000" w:themeColor="text1"/>
          <w:sz w:val="16"/>
          <w:szCs w:val="16"/>
          <w:vertAlign w:val="superscript"/>
        </w:rPr>
        <w:t>104</w:t>
      </w:r>
      <w:r w:rsidRPr="00925F26">
        <w:rPr>
          <w:color w:val="000000" w:themeColor="text1"/>
          <w:sz w:val="16"/>
          <w:szCs w:val="16"/>
        </w:rPr>
        <w:t xml:space="preserve"> В 1966 г. НИИ-20 преобразован в НИЭМИ МРП (и на 1970 г.). НПО «Антей» образовалось в 1983 г. в результате объединения НИЭМИ (головной) и НИИ «Стрела».</w:t>
      </w:r>
      <w:r w:rsidRPr="00925F26">
        <w:rPr>
          <w:color w:val="000000" w:themeColor="text1"/>
          <w:sz w:val="16"/>
          <w:szCs w:val="16"/>
          <w:vertAlign w:val="superscript"/>
        </w:rPr>
        <w:t>58</w:t>
      </w:r>
      <w:r w:rsidRPr="00925F26">
        <w:rPr>
          <w:color w:val="000000" w:themeColor="text1"/>
          <w:sz w:val="16"/>
          <w:szCs w:val="16"/>
        </w:rPr>
        <w:t xml:space="preserve"> В НПО вошел также Тульский завод «Арсенал».</w:t>
      </w:r>
    </w:p>
    <w:p w14:paraId="7DC94B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После войны разрабатывались радиоприборные комплексы (РПК) управления огнем зенитной артиллерии, приборы управления артиллерийским зенитным огнем (ПУАЗО), артиллерийские РЛС обнаружения минометов (АРСОМ).</w:t>
      </w:r>
    </w:p>
    <w:p w14:paraId="2E6638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конце 1940-</w:t>
      </w:r>
      <w:proofErr w:type="gramStart"/>
      <w:r w:rsidRPr="00925F26">
        <w:rPr>
          <w:color w:val="000000" w:themeColor="text1"/>
          <w:sz w:val="16"/>
          <w:szCs w:val="16"/>
        </w:rPr>
        <w:t>х  г.</w:t>
      </w:r>
      <w:proofErr w:type="gramEnd"/>
      <w:r w:rsidRPr="00925F26">
        <w:rPr>
          <w:color w:val="000000" w:themeColor="text1"/>
          <w:sz w:val="16"/>
          <w:szCs w:val="16"/>
        </w:rPr>
        <w:t xml:space="preserve"> НИР «Топаз» по созданию систем радиоуправления МБР (Б.М. Коноплев).</w:t>
      </w:r>
      <w:r w:rsidRPr="00925F26">
        <w:rPr>
          <w:color w:val="000000" w:themeColor="text1"/>
          <w:sz w:val="16"/>
          <w:szCs w:val="16"/>
          <w:vertAlign w:val="superscript"/>
        </w:rPr>
        <w:t>60</w:t>
      </w:r>
    </w:p>
    <w:p w14:paraId="22A297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787-341сс от 27.04.1954 г. РЛС «Гром-2» пнв. В соответствии с ПСМ № 2142-1012сс от 16.10.1954 г. пнв РЛС АРСОМ-2.</w:t>
      </w:r>
    </w:p>
    <w:p w14:paraId="52A6FD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1956 г. институту выдано задание на разработку РЛС визирования противоракет (РСВПР) для системы ПРО «А», в 1959 г. она была создана. С 1957 г. начаты работы по созданию техники ПВО. 13.02.1958 г. вышло постановление СМ СССР № 188-88 о создании ЗРК «Круг». В НИИ для него создавалась станция наведения ракет 1С32. В соответствии с ПСМ № 966-377 от 26.11.1964 г. ЗРК пнв.</w:t>
      </w:r>
    </w:p>
    <w:p w14:paraId="6B654E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2452-1179сс от 17.12.1954 г. ПУАЗО-6 пнв.</w:t>
      </w:r>
    </w:p>
    <w:p w14:paraId="287857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1956 г. начата разработка ЗРК войсковой ПВО. 27.10.1960 г. - постановление СМ СССР о создании ЗРК 9КЗЗ «Оса» (проектное название- «Эллипсоид»).</w:t>
      </w:r>
    </w:p>
    <w:p w14:paraId="2BCC35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ПСМ № 736-307 от 13.07.1960 г. ОПК-1 «Ваза» пнв.</w:t>
      </w:r>
    </w:p>
    <w:p w14:paraId="542B53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1962 г. груша специалистов по ПРО во главе с С.П. Рабиновичем переведена в СКБ-30.</w:t>
      </w:r>
    </w:p>
    <w:p w14:paraId="1D30E2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Работы по созданию дивизионного автономного самоходного ЗРК «Тор» (9К330) начались в соответствии с Пост. ЦК КПСС и СМ СССР от 4.02.1975 г.</w:t>
      </w:r>
    </w:p>
    <w:p w14:paraId="77693F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составе института действовало КБ (1960-е).</w:t>
      </w:r>
    </w:p>
    <w:p w14:paraId="1BB284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Выполнены НИР: «Тема-2, -3».</w:t>
      </w:r>
    </w:p>
    <w:p w14:paraId="2A8D19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1994 г. образовано ОАО «Промышленная компания «Концерн «Антей». 2002 г. в Концерн «Антей» входили: Марийский машиностроительный завод, МЗИК, ИЭМЗ «Купол».</w:t>
      </w:r>
      <w:r w:rsidRPr="00925F26">
        <w:rPr>
          <w:color w:val="000000" w:themeColor="text1"/>
          <w:sz w:val="16"/>
          <w:szCs w:val="16"/>
          <w:vertAlign w:val="superscript"/>
        </w:rPr>
        <w:t>69</w:t>
      </w:r>
      <w:r w:rsidRPr="00925F26">
        <w:rPr>
          <w:color w:val="000000" w:themeColor="text1"/>
          <w:sz w:val="16"/>
          <w:szCs w:val="16"/>
        </w:rPr>
        <w:t xml:space="preserve"> По Указу Президента РФ № 1009 от 4.08.2004 г. ОАО НИЭМИ вошло в число стратегических оборонных предприятий.</w:t>
      </w:r>
    </w:p>
    <w:p w14:paraId="021D55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И.О. директора (1942 г.)- </w:t>
      </w:r>
      <w:r w:rsidRPr="00925F26">
        <w:rPr>
          <w:color w:val="000000" w:themeColor="text1"/>
          <w:sz w:val="16"/>
          <w:szCs w:val="16"/>
          <w:lang w:val="en-US"/>
        </w:rPr>
        <w:t>M</w:t>
      </w:r>
      <w:r w:rsidRPr="00925F26">
        <w:rPr>
          <w:color w:val="000000" w:themeColor="text1"/>
          <w:sz w:val="16"/>
          <w:szCs w:val="16"/>
        </w:rPr>
        <w:t>.</w:t>
      </w:r>
      <w:r w:rsidRPr="00925F26">
        <w:rPr>
          <w:color w:val="000000" w:themeColor="text1"/>
          <w:sz w:val="16"/>
          <w:szCs w:val="16"/>
          <w:lang w:val="en-US"/>
        </w:rPr>
        <w:t>JI</w:t>
      </w:r>
      <w:r w:rsidRPr="00925F26">
        <w:rPr>
          <w:color w:val="000000" w:themeColor="text1"/>
          <w:sz w:val="16"/>
          <w:szCs w:val="16"/>
        </w:rPr>
        <w:t xml:space="preserve">. Слиозбер г. Директор (1942-45 г.)- А.А. Форштер, (1945-47 г.)- </w:t>
      </w:r>
      <w:r w:rsidRPr="00925F26">
        <w:rPr>
          <w:color w:val="000000" w:themeColor="text1"/>
          <w:sz w:val="16"/>
          <w:szCs w:val="16"/>
          <w:lang w:val="en-US"/>
        </w:rPr>
        <w:t>M</w:t>
      </w:r>
      <w:r w:rsidRPr="00925F26">
        <w:rPr>
          <w:color w:val="000000" w:themeColor="text1"/>
          <w:sz w:val="16"/>
          <w:szCs w:val="16"/>
        </w:rPr>
        <w:t>.</w:t>
      </w:r>
      <w:r w:rsidRPr="00925F26">
        <w:rPr>
          <w:color w:val="000000" w:themeColor="text1"/>
          <w:sz w:val="16"/>
          <w:szCs w:val="16"/>
          <w:lang w:val="en-US"/>
        </w:rPr>
        <w:t>JI</w:t>
      </w:r>
      <w:r w:rsidRPr="00925F26">
        <w:rPr>
          <w:color w:val="000000" w:themeColor="text1"/>
          <w:sz w:val="16"/>
          <w:szCs w:val="16"/>
        </w:rPr>
        <w:t>. Слиозберг, Н.Н. Чистяков, (1951-54 г.)- К.М. Герасимов, (1954-64 г.)- П.М. Чудаков, (1964-68 г.)- М.М. Косичкин, (1969-83 г.)- В.П. Ефремов, (1984-93 г.)-  Г.И. Сергеев, (1993-99 г.)- М.А. Горбачев. Гендиректор (1999-2004 г.)- В.А. Попов, (2005 г.)- А.А. Мурафетов, (2007 г.)-  Г.И. Сергеев.</w:t>
      </w:r>
    </w:p>
    <w:p w14:paraId="3A7881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1-й зам. гендиректора (2007 г.)- С.К. Раевский. Зам. директора, гендиректора: по госзаказу (2000-е)- В.А. Попов; (-1988 г.)- Ю.И. Бадалов, А.П. Белоусов.</w:t>
      </w:r>
    </w:p>
    <w:p w14:paraId="3C02A8B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(24.10.1945 г.-)- С.П. Рабинович, (1969-83 г.)- В.П. Ефремов («Тор»). Ген. конструктор (1984- 2005 г.)- академик (1992 г.) В.П. Ефремов {22.05.1926-16.09.2006}.</w:t>
      </w:r>
    </w:p>
    <w:p w14:paraId="4D0FAE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1-й зам. ген. конструктора (2000-е)- Ю.Л. Усов. Зам. гл. конструктора (1970 г.)- И.М. Дризе.</w:t>
      </w:r>
    </w:p>
    <w:p w14:paraId="6DA46B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Научный руководитель (1968-69; 2005-06 г.)- В.П. Ефремов. Ответственный научно-технический руководитель (1992-95 г.)- В.П. Ефремов.</w:t>
      </w:r>
    </w:p>
    <w:p w14:paraId="57BE46F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М.Л. Слиозберг, Ю.И. Бадалов, (2007 г.)- С.К. Раевский.</w:t>
      </w:r>
    </w:p>
    <w:p w14:paraId="39B5C7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инженера: (1954-66 г.)- В.П. Ефремов, (-1958 г.)- К.Н. Богданов, (-1979 г.)- Б.Н. Степанов, (-2000 г.)- В. А. Богданов.</w:t>
      </w:r>
    </w:p>
    <w:p w14:paraId="0DAD9C1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(-1983 г.)- К.А. Петров.</w:t>
      </w:r>
    </w:p>
    <w:p w14:paraId="5848FF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отделений: технологического (2000-е)- И.И. Жуков; конструкторского (-2006 г.)- В.И. Матросов.</w:t>
      </w:r>
    </w:p>
    <w:p w14:paraId="038D546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отделения: (-2000 г.)- А.И. Извеков.</w:t>
      </w:r>
    </w:p>
    <w:p w14:paraId="5FEC8C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(1942-50 г.)- А.Я. Брейтбарт (СОН-2, «Плутон»), (1945-62 г.)- С.П. Рабинович (СОН-4, РСВПР), М.Л. Слиозберг («Шпага»), (-1958-75 г.-&gt; И.М. Дризе (1С32, 9А330), (1958-88 г.-)- В.П. Ефремов («Круг», «Оса», С-300В, «Тор», «Антей-2500»), (1960 г.)- М.М. Косичкин (АРСОМ, «Марс», «Ваза», «Байкал», «Оса»), В.Н. Епифанов, В.П. Нечаев, Б.Н. Степанов, А.Я. Фиошин, (2000-е)- В.П. Чувилин; направления- С.А. Барсукова.</w:t>
      </w:r>
    </w:p>
    <w:p w14:paraId="10D5E4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конструкторов: (1950-е)- В.И. Фролов (РСВПР), (1950-е-62 г.)- А.К. Нелопко (РСВПР), (1950-е)- В.Т. Киселев (РСВПР), В.И. Абрамов, Б.З. Белокринилкий, (-1996 г.)- В.А. Винокуров, В.А. Грачев, Ю.Я. Зотов, В. Г. Костиков, Ю.В. Леонов, В.И. Матросов, В.В. Осипов, Д.В. Петрушевский, Д.И. Прокофьев, А.М. Рожнов, Э.И. Соренков, Э.К. Спрингис, Б.Н. Степанов (СОН-4), М.А. Толкачев, Р.С. Толмачев, (2000-е)- С.И. Чибисов, (2000- е)- В.Н. Шебеко.</w:t>
      </w:r>
    </w:p>
    <w:p w14:paraId="78B008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 КБ (1960-66 г.)- А.В. Кривозубов.</w:t>
      </w:r>
    </w:p>
    <w:p w14:paraId="144953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Начальники отделов: С.А. Барсукова, (1945 г.-)- К.Н. Богданов, А.Я. Брейтбарт, (-1945 г.)- А.А. Гапеев, С.Б. Добровольский, И.М. Дризе, В.Н. Епифанов, (1959-68 г.)- В.П. Ефремов, А.Ю. Заславский, В.М. Константиновский (ЭВМ), (2000-е)- В. Г. Костиков, (-1997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Кротков («Дископ»), Н.Ф. Лавров, (2000-е)- В.А. Марков, (-1968 г.)- Л.П. Налетов, (-2004 г.)- В.П. Нечаев, (-1995 г.)- В.З. Пескин, (1983 г.)- К.А. Петров, Д.И. Прокофьев, (-1970 г.)- М.Л. Слиозберг, (-2002 г.)- Э.И. Соренков, (2000-е)- Ю.Л. Усов, А.Я. Фиошин, (-1997 г.)- В.Н. Фомин, (-2003 г.)- Р.А. Фомин, (2000-е)- В.Ф. Церцек.</w:t>
      </w:r>
    </w:p>
    <w:p w14:paraId="5C0F65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отдела: К.Я. Гохштейн, М.Б. Дуэль, Н.А. Забелин.</w:t>
      </w:r>
    </w:p>
    <w:p w14:paraId="55AC6C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Начальники секторов: (2000-е)- М.А. Безверхов, (1966-2005 г.)- А.К. Ботвинов, (-2003 г.)- И.Д. Волков, К.Я. Гохштейн, В.А. Грачев, М.Б. Дуэль, А.С. Захарченко, (-2004 г.)- А.С. Кирильцев, (2000-е)- В.И. Леонидов, (2000- е)- Ю.В. Леонов, Е.А. Немчинов, М.И. Николенко, (-1977 г.)- М.М. Новиков, (2000-е)- А.И. Парфенов, Д.В. Петрушевский, (-1986 г.)- А. Г. Подцветов, (-1985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Рожнов, А.И. Смаржевский, (-1998 г.)- В.М. Сыроквасовский, (2000-е)- В.А. Терлецкий, М.А. Толкачев, Р.С. Толмачев, С.И. Чибисов.</w:t>
      </w:r>
    </w:p>
    <w:p w14:paraId="52C53DD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лабораторий: (1945-51 г.)- В.А. Афанасьев, (1942 г.-)- А.Я. Брейтбарт, А.А. Гапеев, И.М. Дризе, (1946 г.-)- Н.А. Забелин, Ю.Я. Зотов, (2000-е)- В.В. Осипов, (1951 г.-)- С.П. Рабинович, М.Л. Слиозберг, (2000-е)- Э.К. Спрингис, (2000-е)- И.А. Черепанов, В.П. Чувилин, В.Н. Шебеко.</w:t>
      </w:r>
    </w:p>
    <w:p w14:paraId="73E335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лаборатории: (1956 г.-)- М.А. Безверхов. Зам. начальника цеха (-1988 г.)- П.А. Солодовников.</w:t>
      </w:r>
    </w:p>
    <w:p w14:paraId="6E8B56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бюро: (2007 г.)- А.А. Рогов.</w:t>
      </w:r>
    </w:p>
    <w:p w14:paraId="72951B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Научные руководители НИР: (1950-е)- В.П. Ефремов («Тема-2, -3»).</w:t>
      </w:r>
    </w:p>
    <w:p w14:paraId="5D42488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Создано: </w:t>
      </w:r>
      <w:r w:rsidRPr="00925F26">
        <w:rPr>
          <w:color w:val="000000" w:themeColor="text1"/>
          <w:sz w:val="16"/>
          <w:szCs w:val="16"/>
          <w:lang w:val="en-US"/>
        </w:rPr>
        <w:t>PJJC</w:t>
      </w:r>
      <w:r w:rsidRPr="00925F26">
        <w:rPr>
          <w:color w:val="000000" w:themeColor="text1"/>
          <w:sz w:val="16"/>
          <w:szCs w:val="16"/>
        </w:rPr>
        <w:t xml:space="preserve">: «Нептун», «Луч», СОН-4 «Зенит» (1940-е), «Конус», СОН-15 «Гром-12», подвижная орудийной наводки «Гром-2» (пнв 27.04.1954 г.), СОН-ЗО (1950-е), «Плутон» (1945-50), «Крона», «Просвет», «Просвет-К», «Восход», «Март», «Снайпер», «Визир», «Тантал», измерительная «Кама» (1950-е), РСВПР системы «А» (1959); «Комплекс-30», «Молния», «Буксир», 9С32; дальнего обнаружения «Шпага»; обнаружения позиций стреляющих минометов АРСОМ-1 (1950-е), АРСОМ-2 </w:t>
      </w:r>
      <w:r w:rsidRPr="00925F26">
        <w:rPr>
          <w:color w:val="000000" w:themeColor="text1"/>
          <w:sz w:val="16"/>
          <w:szCs w:val="16"/>
        </w:rPr>
        <w:lastRenderedPageBreak/>
        <w:t>(«Искра», пнв 16.10.1954 г.), АРСОМ-3; метеорологическая РМС-1 «Метеор» (1950-е); радиомаяк «Опал» (1945); телеметрическая система «Бразилионит» (копия немецкой системы «Мессина»); РЛ прибор управления ПУ ЗУР «Ворон» (1950-е), ПУАЗО «Алмаз», ПУАЗО-5, -6 (пнв 17.12.1954 г.), -30, -СК, МПУАЗО-СОЮЗ; радиоприборные комплексы (РПК): «Байкал» для ЗСУ-37-2 «Енисей», управления огнем войсковой зенитной артиллерии ОПК-1 «Ваза» (пнв 13.07.1960 г.); счетно- решающее устройство для ЗСУ «Тунгуска», КП 9С457 и РЛС программного обзора «Имбирь» 9С19М2 и спецЭВМ 9С483/М1, СЦВМ-3 для С-300В; противотанковый комплекс «Омар» (1950-е); РЖ «Зоопарк-1», радиопеленгационный метеорологический комплекс 1Б44 «Улыбка»; аппаратура топопривязки и орентирования для БРК «Бал-Э»; прибор слежения за полетом МБР ППН-1; диалоговая система отладки прикладного ПО «Дископ»; ЗРК: «Круг» (2К11, пнв 26.11.1964 г.), «Круг-А» (2К11А, пнв в 1967 г.), «Круг-М» (2К11М, пнв в 1971 г.), «Круг-М 1» (2К11М1, пнв в 1974 г.), «Оса» (9КЗЗ, пнв 4.10.1971 г., экспортный- «Ромб»), «Оса-М» (пнв в 1973 г.), «Оса-АК» (9КЗЗМ2, пнв в 1975 г.), «Оса-АКМ» (9ЮЗМЗ, пнв в 1980 г.), морской «Оса-МА» (пнв в 1980 г.), «Оса-МА2» (пнв в 1984 г.); С-300В (9К81, пнв в 1983 г.), С-300ВМ («Антей-2500») (1990-е), «Тор» (9К330, пнв 19.03.1986 г.), «Тор-М1» (9К331, пнв в 1991 г.);</w:t>
      </w:r>
      <w:r w:rsidRPr="00925F26">
        <w:rPr>
          <w:color w:val="000000" w:themeColor="text1"/>
          <w:sz w:val="16"/>
          <w:szCs w:val="16"/>
          <w:vertAlign w:val="superscript"/>
        </w:rPr>
        <w:t>57</w:t>
      </w:r>
      <w:r w:rsidRPr="00925F26">
        <w:rPr>
          <w:color w:val="000000" w:themeColor="text1"/>
          <w:sz w:val="16"/>
          <w:szCs w:val="16"/>
        </w:rPr>
        <w:t xml:space="preserve"> УР-ВС (опытный, 1960 г.); М-31 (опытный, 1961); физиотерапевтический аппарат «Инфита» (11982).</w:t>
      </w:r>
    </w:p>
    <w:p w14:paraId="52E52F65" w14:textId="77777777" w:rsidR="006103B3" w:rsidRPr="00925F26" w:rsidRDefault="006103B3" w:rsidP="00925F26">
      <w:pPr>
        <w:autoSpaceDE w:val="0"/>
        <w:autoSpaceDN w:val="0"/>
        <w:adjustRightInd w:val="0"/>
        <w:jc w:val="both"/>
        <w:rPr>
          <w:color w:val="000000" w:themeColor="text1"/>
          <w:sz w:val="16"/>
          <w:szCs w:val="16"/>
        </w:rPr>
      </w:pPr>
    </w:p>
    <w:p w14:paraId="3D58130D" w14:textId="2E66B8CF" w:rsidR="00B147AB" w:rsidRPr="00925F26" w:rsidRDefault="00B147AB" w:rsidP="00925F26">
      <w:pPr>
        <w:pStyle w:val="ae"/>
        <w:spacing w:before="0" w:after="0"/>
        <w:jc w:val="both"/>
        <w:rPr>
          <w:color w:val="000000" w:themeColor="text1"/>
          <w:sz w:val="16"/>
          <w:szCs w:val="16"/>
          <w:shd w:val="clear" w:color="auto" w:fill="F0FFFF"/>
        </w:rPr>
      </w:pPr>
      <w:r w:rsidRPr="00925F26">
        <w:rPr>
          <w:color w:val="000000" w:themeColor="text1"/>
          <w:sz w:val="16"/>
          <w:szCs w:val="16"/>
        </w:rPr>
        <w:t>10 июня 1945 года сразу после заводских испытаний, п/л М-401 прошла государственную приемку, которая продолжалась до конца года. Комиссию госприемки возглавлял К.М. Бубнов. На скоростных испытаниях корабль развил достаточно высокую скорость: надводная 19,1 уз., подводная 12,5 уз., при том, что «М-401» была в два раза меньше</w:t>
      </w:r>
      <w:r w:rsidR="00997EDF" w:rsidRPr="00925F26">
        <w:rPr>
          <w:color w:val="000000" w:themeColor="text1"/>
          <w:sz w:val="16"/>
          <w:szCs w:val="16"/>
        </w:rPr>
        <w:t xml:space="preserve">  </w:t>
      </w:r>
      <w:hyperlink r:id="rId147" w:history="1">
        <w:r w:rsidRPr="00925F26">
          <w:rPr>
            <w:rStyle w:val="a5"/>
            <w:rFonts w:eastAsiaTheme="majorEastAsia"/>
            <w:color w:val="000000" w:themeColor="text1"/>
            <w:sz w:val="16"/>
            <w:szCs w:val="16"/>
          </w:rPr>
          <w:t>«малюток» XII серии</w:t>
        </w:r>
      </w:hyperlink>
      <w:r w:rsidRPr="00925F26">
        <w:rPr>
          <w:color w:val="000000" w:themeColor="text1"/>
          <w:sz w:val="16"/>
          <w:szCs w:val="16"/>
        </w:rPr>
        <w:t>. Всего субмарина совершила 74 выхода в море, произвела 68 погружений/всплытий, прошла 2800 миль, из них 360 под водой с использованием технологии «замкнутого цикла».</w:t>
      </w:r>
    </w:p>
    <w:p w14:paraId="76DFBFFF" w14:textId="77777777" w:rsidR="00B147AB" w:rsidRPr="00925F26" w:rsidRDefault="00B147AB" w:rsidP="00925F26">
      <w:pPr>
        <w:pStyle w:val="ae"/>
        <w:spacing w:before="0" w:after="0"/>
        <w:jc w:val="both"/>
        <w:rPr>
          <w:color w:val="000000" w:themeColor="text1"/>
          <w:sz w:val="16"/>
          <w:szCs w:val="16"/>
          <w:shd w:val="clear" w:color="auto" w:fill="F0FFFF"/>
        </w:rPr>
      </w:pPr>
      <w:r w:rsidRPr="00925F26">
        <w:rPr>
          <w:color w:val="000000" w:themeColor="text1"/>
          <w:sz w:val="16"/>
          <w:szCs w:val="16"/>
        </w:rPr>
        <w:t>В 1946 году подводная лодка с учетом замечаний комиссии госприемки была принята в состав ВМФ. В акте отмечались следующие недостатки: малые автономность и время пребывания в готовности, необитаемость дизельного отсека при работе по «замкнутому циклу», шумность дизелей и малый моторесурс главных двигателей, низкий уровень обитаемости. 25 февраля 1946 года подводная лодка зачислена в состав учебного дивизиона ПЛ учебной бригады ПЛ Северо-Балтийского флота (с января 1947 года – 8-й ВМФ).</w:t>
      </w:r>
    </w:p>
    <w:p w14:paraId="00D59785" w14:textId="77777777" w:rsidR="00B147AB" w:rsidRPr="00925F26" w:rsidRDefault="00B147AB" w:rsidP="00925F26">
      <w:pPr>
        <w:pStyle w:val="ae"/>
        <w:spacing w:before="0" w:after="0"/>
        <w:jc w:val="both"/>
        <w:rPr>
          <w:color w:val="000000" w:themeColor="text1"/>
          <w:sz w:val="16"/>
          <w:szCs w:val="16"/>
        </w:rPr>
      </w:pPr>
      <w:r w:rsidRPr="00925F26">
        <w:rPr>
          <w:color w:val="000000" w:themeColor="text1"/>
          <w:sz w:val="16"/>
          <w:szCs w:val="16"/>
        </w:rPr>
        <w:t>Вскоре «М-401» по железной дороге перевезли в Ленинград, где на заводе № 196 она прошла текущий ремонт, но после этого работы по «проекту 95» прекратили. С 1949 года «М-401» использовалась в качестве плавучего стенда для отработки «единого двигателя», на ней велась подготовка специалистов для подводных лодок пр. А615, а также разрабатывались различные опытовые конструкции.</w:t>
      </w:r>
    </w:p>
    <w:p w14:paraId="1D2282CA" w14:textId="77777777" w:rsidR="00B147AB" w:rsidRPr="00925F26" w:rsidRDefault="00B147AB" w:rsidP="00925F26">
      <w:pPr>
        <w:pStyle w:val="ae"/>
        <w:spacing w:before="0" w:after="0"/>
        <w:jc w:val="both"/>
        <w:rPr>
          <w:color w:val="000000" w:themeColor="text1"/>
          <w:sz w:val="16"/>
          <w:szCs w:val="16"/>
          <w:shd w:val="clear" w:color="auto" w:fill="F0FFFF"/>
        </w:rPr>
      </w:pPr>
      <w:r w:rsidRPr="00925F26">
        <w:rPr>
          <w:color w:val="000000" w:themeColor="text1"/>
          <w:sz w:val="16"/>
          <w:szCs w:val="16"/>
        </w:rPr>
        <w:t>27 января 1953 года субмарина переформирована в кабинет боевой подготовки «КБП-26», поставлена на прикол в Зимней гавани Кронштадта (впоследствии на установлена на территории подразделения ПЛ). 25 февраля она переформирована в учебно-тренировочную станцию «УТС-66», а 18 апреля 1959 года исключена из списков ВМФ и разделана на металл в Ленинграде</w:t>
      </w:r>
      <w:r w:rsidRPr="00925F26">
        <w:rPr>
          <w:color w:val="000000" w:themeColor="text1"/>
          <w:sz w:val="16"/>
          <w:szCs w:val="16"/>
          <w:shd w:val="clear" w:color="auto" w:fill="F0FFFF"/>
        </w:rPr>
        <w:t xml:space="preserve"> </w:t>
      </w:r>
      <w:r w:rsidRPr="00925F26">
        <w:rPr>
          <w:color w:val="000000" w:themeColor="text1"/>
          <w:sz w:val="16"/>
          <w:szCs w:val="16"/>
        </w:rPr>
        <w:t>(19841).</w:t>
      </w:r>
    </w:p>
    <w:p w14:paraId="50003F13" w14:textId="77777777" w:rsidR="00B147AB" w:rsidRPr="00925F26" w:rsidRDefault="00B147AB" w:rsidP="00925F26">
      <w:pPr>
        <w:pStyle w:val="ae"/>
        <w:spacing w:before="0" w:after="0"/>
        <w:jc w:val="both"/>
        <w:rPr>
          <w:color w:val="000000" w:themeColor="text1"/>
          <w:sz w:val="16"/>
          <w:szCs w:val="16"/>
          <w:shd w:val="clear" w:color="auto" w:fill="F0FFFF"/>
        </w:rPr>
      </w:pPr>
    </w:p>
    <w:p w14:paraId="34808A0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23B8FF9" w14:textId="77777777" w:rsidR="006103B3" w:rsidRPr="00925F26" w:rsidRDefault="006103B3" w:rsidP="00925F26">
      <w:pPr>
        <w:autoSpaceDE w:val="0"/>
        <w:autoSpaceDN w:val="0"/>
        <w:adjustRightInd w:val="0"/>
        <w:jc w:val="both"/>
        <w:rPr>
          <w:iCs/>
          <w:color w:val="000000" w:themeColor="text1"/>
          <w:sz w:val="16"/>
          <w:szCs w:val="16"/>
        </w:rPr>
      </w:pPr>
    </w:p>
    <w:p w14:paraId="020F19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состоянию на 11 июня 1945 г. в шес</w:t>
      </w:r>
      <w:r w:rsidRPr="00925F26">
        <w:rPr>
          <w:color w:val="000000" w:themeColor="text1"/>
          <w:sz w:val="16"/>
          <w:szCs w:val="16"/>
        </w:rPr>
        <w:softHyphen/>
        <w:t>ти полках 7-го ШАК, первого соедине</w:t>
      </w:r>
      <w:r w:rsidRPr="00925F26">
        <w:rPr>
          <w:color w:val="000000" w:themeColor="text1"/>
          <w:sz w:val="16"/>
          <w:szCs w:val="16"/>
        </w:rPr>
        <w:softHyphen/>
        <w:t>ния ВВС КА, полностью перевооружен</w:t>
      </w:r>
      <w:r w:rsidRPr="00925F26">
        <w:rPr>
          <w:color w:val="000000" w:themeColor="text1"/>
          <w:sz w:val="16"/>
          <w:szCs w:val="16"/>
        </w:rPr>
        <w:softHyphen/>
        <w:t>ного на самолет Ил-10, насчитывалось 74,7% боеготовых самолетов, осталь</w:t>
      </w:r>
      <w:r w:rsidRPr="00925F26">
        <w:rPr>
          <w:color w:val="000000" w:themeColor="text1"/>
          <w:sz w:val="16"/>
          <w:szCs w:val="16"/>
        </w:rPr>
        <w:softHyphen/>
        <w:t>ные были неисправными (11161).</w:t>
      </w:r>
    </w:p>
    <w:p w14:paraId="1842C58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4A07FA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июня 1945 1-й Белорусский фронт расформирован и его управление передано Группе Советских Войск в Германии. 2-й Белорусский фронт расформирован и его управление передано Северной Группе Советских Войск в Польше (</w:t>
      </w:r>
      <w:proofErr w:type="gramStart"/>
      <w:r w:rsidRPr="00925F26">
        <w:rPr>
          <w:color w:val="000000" w:themeColor="text1"/>
          <w:sz w:val="16"/>
          <w:szCs w:val="16"/>
        </w:rPr>
        <w:t>4963 )</w:t>
      </w:r>
      <w:proofErr w:type="gramEnd"/>
      <w:r w:rsidRPr="00925F26">
        <w:rPr>
          <w:color w:val="000000" w:themeColor="text1"/>
          <w:sz w:val="16"/>
          <w:szCs w:val="16"/>
        </w:rPr>
        <w:t>.</w:t>
      </w:r>
    </w:p>
    <w:p w14:paraId="2C4EB9B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33829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год, сел на брюхо последний из В-25 - B-25J Р.Уолбринка, сильно поврежденный японскими зенитчиками. Всего на Камчатке приземлились 12 В-25.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7C983E09" w14:textId="77777777" w:rsidR="006103B3" w:rsidRPr="00925F26" w:rsidRDefault="006103B3" w:rsidP="00925F26">
      <w:pPr>
        <w:autoSpaceDE w:val="0"/>
        <w:autoSpaceDN w:val="0"/>
        <w:adjustRightInd w:val="0"/>
        <w:jc w:val="both"/>
        <w:rPr>
          <w:color w:val="000000" w:themeColor="text1"/>
          <w:sz w:val="16"/>
          <w:szCs w:val="16"/>
        </w:rPr>
      </w:pPr>
    </w:p>
    <w:p w14:paraId="7790CA4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10 июня 1945 г. была подготовлена ДОКЛАДНАЯ ЗАПИСКА КОМАНДУЮЩЕГО БТ и МВ КА ЗАМЕСТИТЕЛЮ НАРКОМА ОБОРОНЫ СССР ГЕНЕРАЛУ АРМИИ Н.А. БУЛГАНИНУ О ПЕРЕДЕЛКЕ СТАРЫХ ТАНКОВ И СУ В ТЯГАЧИ № 0859293</w:t>
      </w:r>
    </w:p>
    <w:p w14:paraId="08AC7B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бронетанковых ремонтных заводах Главного управления ремонта танков Красной Армии имеются требующие капитального ремонта танки КВ с 76-мм пушкой в количестве 205 штук и само</w:t>
      </w:r>
      <w:r w:rsidRPr="00925F26">
        <w:rPr>
          <w:color w:val="000000" w:themeColor="text1"/>
          <w:sz w:val="16"/>
          <w:szCs w:val="16"/>
        </w:rPr>
        <w:softHyphen/>
        <w:t>ходные артиллерийские установки СУ-152, изготовленные на базе танков КВ, — 151 штук. Всего имеется 356 штук.</w:t>
      </w:r>
    </w:p>
    <w:p w14:paraId="5C0048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Эти танки и самоходные установки, как устаревшие, на укомплектование танковых частей не используются.</w:t>
      </w:r>
    </w:p>
    <w:p w14:paraId="11F957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марте месяце с.г. Вами было разрешено передать 40 танков КВ на тягачи. Этого количества для покрытия потребности танковых частей Красной Армии недостаточно.</w:t>
      </w:r>
    </w:p>
    <w:p w14:paraId="259CC3F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Прошу Вашего разрешения передать указанные выше танки на тягачи для эвакуации тяжелых танков. Тягачи в настоящее время для танковых частей Красной Армии крайне необходимы.</w:t>
      </w:r>
    </w:p>
    <w:p w14:paraId="0A160D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0B1896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11380. Д. 290. Л. 29. Копия (11420).</w:t>
      </w:r>
    </w:p>
    <w:p w14:paraId="495AF300" w14:textId="77777777" w:rsidR="006103B3" w:rsidRPr="00925F26" w:rsidRDefault="006103B3" w:rsidP="00925F26">
      <w:pPr>
        <w:autoSpaceDE w:val="0"/>
        <w:autoSpaceDN w:val="0"/>
        <w:adjustRightInd w:val="0"/>
        <w:jc w:val="both"/>
        <w:rPr>
          <w:color w:val="000000" w:themeColor="text1"/>
          <w:sz w:val="16"/>
          <w:szCs w:val="16"/>
        </w:rPr>
      </w:pPr>
    </w:p>
    <w:p w14:paraId="41291EE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6192ED23" w14:textId="77777777" w:rsidR="006103B3" w:rsidRPr="00925F26" w:rsidRDefault="006103B3" w:rsidP="00925F26">
      <w:pPr>
        <w:autoSpaceDE w:val="0"/>
        <w:autoSpaceDN w:val="0"/>
        <w:adjustRightInd w:val="0"/>
        <w:jc w:val="both"/>
        <w:rPr>
          <w:iCs/>
          <w:color w:val="000000" w:themeColor="text1"/>
          <w:sz w:val="16"/>
          <w:szCs w:val="16"/>
        </w:rPr>
      </w:pPr>
    </w:p>
    <w:p w14:paraId="5CA04F8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СВАГ разрешила деятельность антифашистских партий и профсоюзов в Германии (3186).</w:t>
      </w:r>
    </w:p>
    <w:p w14:paraId="0D17B288" w14:textId="77777777" w:rsidR="006103B3" w:rsidRPr="00925F26" w:rsidRDefault="006103B3" w:rsidP="00925F26">
      <w:pPr>
        <w:autoSpaceDE w:val="0"/>
        <w:autoSpaceDN w:val="0"/>
        <w:adjustRightInd w:val="0"/>
        <w:jc w:val="both"/>
        <w:rPr>
          <w:color w:val="000000" w:themeColor="text1"/>
          <w:sz w:val="16"/>
          <w:szCs w:val="16"/>
        </w:rPr>
      </w:pPr>
    </w:p>
    <w:p w14:paraId="6128BFA1" w14:textId="77777777" w:rsidR="00D7144C" w:rsidRPr="00925F26" w:rsidRDefault="00D7144C" w:rsidP="00925F26">
      <w:pPr>
        <w:jc w:val="both"/>
        <w:rPr>
          <w:color w:val="000000" w:themeColor="text1"/>
          <w:sz w:val="16"/>
          <w:szCs w:val="16"/>
        </w:rPr>
      </w:pPr>
      <w:r w:rsidRPr="00925F26">
        <w:rPr>
          <w:bCs/>
          <w:color w:val="000000" w:themeColor="text1"/>
          <w:sz w:val="16"/>
          <w:szCs w:val="16"/>
        </w:rPr>
        <w:t>10 июня</w:t>
      </w:r>
      <w:r w:rsidRPr="00925F26">
        <w:rPr>
          <w:color w:val="000000" w:themeColor="text1"/>
          <w:sz w:val="16"/>
          <w:szCs w:val="16"/>
        </w:rPr>
        <w:t xml:space="preserve"> в 1945 году 1-й Белорусский фронт расформирован и его управление передано Группе Советских Войск в Германии. 2-й Белорусский фронт расформирован и его управление передано Северной Группе Советских Войск в Польше (14918).</w:t>
      </w:r>
    </w:p>
    <w:p w14:paraId="734C747A" w14:textId="77777777" w:rsidR="00D7144C" w:rsidRPr="00925F26" w:rsidRDefault="00D7144C" w:rsidP="00925F26">
      <w:pPr>
        <w:jc w:val="both"/>
        <w:rPr>
          <w:color w:val="000000" w:themeColor="text1"/>
          <w:sz w:val="16"/>
          <w:szCs w:val="16"/>
        </w:rPr>
      </w:pPr>
    </w:p>
    <w:p w14:paraId="571D693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июня 1945 во Франкфурте маршал Жуков вручил советский орден “Победа” Эйзенхауэру и Монтгомери (4962).</w:t>
      </w:r>
    </w:p>
    <w:p w14:paraId="1E5AA81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6F05CC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E23AB30" w14:textId="77777777" w:rsidR="006103B3" w:rsidRPr="00925F26" w:rsidRDefault="006103B3" w:rsidP="00925F26">
      <w:pPr>
        <w:autoSpaceDE w:val="0"/>
        <w:autoSpaceDN w:val="0"/>
        <w:adjustRightInd w:val="0"/>
        <w:jc w:val="both"/>
        <w:rPr>
          <w:iCs/>
          <w:color w:val="000000" w:themeColor="text1"/>
          <w:sz w:val="16"/>
          <w:szCs w:val="16"/>
        </w:rPr>
      </w:pPr>
    </w:p>
    <w:p w14:paraId="596B1E1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англичане арестовали И.Риббентропа (2248,7).</w:t>
      </w:r>
    </w:p>
    <w:p w14:paraId="7D6D2C8B" w14:textId="77777777" w:rsidR="006103B3" w:rsidRPr="00925F26" w:rsidRDefault="006103B3" w:rsidP="00925F26">
      <w:pPr>
        <w:autoSpaceDE w:val="0"/>
        <w:autoSpaceDN w:val="0"/>
        <w:adjustRightInd w:val="0"/>
        <w:jc w:val="both"/>
        <w:rPr>
          <w:color w:val="000000" w:themeColor="text1"/>
          <w:sz w:val="16"/>
          <w:szCs w:val="16"/>
        </w:rPr>
      </w:pPr>
    </w:p>
    <w:p w14:paraId="6052BD71" w14:textId="77777777" w:rsidR="00D7144C" w:rsidRPr="00925F26" w:rsidRDefault="00D7144C" w:rsidP="00925F26">
      <w:pPr>
        <w:jc w:val="both"/>
        <w:rPr>
          <w:color w:val="000000" w:themeColor="text1"/>
          <w:sz w:val="16"/>
          <w:szCs w:val="16"/>
        </w:rPr>
      </w:pPr>
      <w:r w:rsidRPr="00925F26">
        <w:rPr>
          <w:bCs/>
          <w:color w:val="000000" w:themeColor="text1"/>
          <w:sz w:val="16"/>
          <w:szCs w:val="16"/>
        </w:rPr>
        <w:t>10 июня</w:t>
      </w:r>
      <w:r w:rsidRPr="00925F26">
        <w:rPr>
          <w:color w:val="000000" w:themeColor="text1"/>
          <w:sz w:val="16"/>
          <w:szCs w:val="16"/>
        </w:rPr>
        <w:t xml:space="preserve"> в 1945 году премьер-министр Японии Судзуки заявил, выступая в парламенте, что Япония будет защищаться во что бы то ни стало (14918).</w:t>
      </w:r>
    </w:p>
    <w:p w14:paraId="613A7616" w14:textId="77777777" w:rsidR="00D7144C" w:rsidRPr="00925F26" w:rsidRDefault="00D7144C" w:rsidP="00925F26">
      <w:pPr>
        <w:jc w:val="both"/>
        <w:rPr>
          <w:color w:val="000000" w:themeColor="text1"/>
          <w:sz w:val="16"/>
          <w:szCs w:val="16"/>
        </w:rPr>
      </w:pPr>
    </w:p>
    <w:p w14:paraId="1AD10243" w14:textId="77777777" w:rsidR="00D7144C" w:rsidRPr="00925F26" w:rsidRDefault="00D7144C" w:rsidP="00925F26">
      <w:pPr>
        <w:jc w:val="both"/>
        <w:rPr>
          <w:color w:val="000000" w:themeColor="text1"/>
          <w:sz w:val="16"/>
          <w:szCs w:val="16"/>
        </w:rPr>
      </w:pPr>
      <w:r w:rsidRPr="00925F26">
        <w:rPr>
          <w:bCs/>
          <w:color w:val="000000" w:themeColor="text1"/>
          <w:sz w:val="16"/>
          <w:szCs w:val="16"/>
        </w:rPr>
        <w:t>10 июня</w:t>
      </w:r>
      <w:r w:rsidRPr="00925F26">
        <w:rPr>
          <w:color w:val="000000" w:themeColor="text1"/>
          <w:sz w:val="16"/>
          <w:szCs w:val="16"/>
        </w:rPr>
        <w:t xml:space="preserve"> в 1945 году у Окинавы, после удачной атаки японских камикадзе, потоплен эсминец «USS William D.Porter» («DD-579») (14918).</w:t>
      </w:r>
    </w:p>
    <w:p w14:paraId="5F5076C4" w14:textId="77777777" w:rsidR="00D7144C" w:rsidRPr="00925F26" w:rsidRDefault="00D7144C" w:rsidP="00925F26">
      <w:pPr>
        <w:jc w:val="both"/>
        <w:rPr>
          <w:color w:val="000000" w:themeColor="text1"/>
          <w:sz w:val="16"/>
          <w:szCs w:val="16"/>
        </w:rPr>
      </w:pPr>
    </w:p>
    <w:p w14:paraId="2CE9206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10 июня 1945 Австралийские войска высадились на остроеве Борнео (</w:t>
      </w:r>
      <w:proofErr w:type="gramStart"/>
      <w:r w:rsidRPr="00925F26">
        <w:rPr>
          <w:color w:val="000000" w:themeColor="text1"/>
          <w:sz w:val="16"/>
          <w:szCs w:val="16"/>
        </w:rPr>
        <w:t>4963 )</w:t>
      </w:r>
      <w:proofErr w:type="gramEnd"/>
      <w:r w:rsidRPr="00925F26">
        <w:rPr>
          <w:color w:val="000000" w:themeColor="text1"/>
          <w:sz w:val="16"/>
          <w:szCs w:val="16"/>
        </w:rPr>
        <w:t>.</w:t>
      </w:r>
    </w:p>
    <w:p w14:paraId="068D228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F7177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июня 1945 Х.Бустаменте был избран президентом Перу (3907,257).</w:t>
      </w:r>
    </w:p>
    <w:p w14:paraId="6F0F7029" w14:textId="77777777" w:rsidR="006103B3" w:rsidRPr="00925F26" w:rsidRDefault="006103B3" w:rsidP="00925F26">
      <w:pPr>
        <w:autoSpaceDE w:val="0"/>
        <w:autoSpaceDN w:val="0"/>
        <w:adjustRightInd w:val="0"/>
        <w:jc w:val="both"/>
        <w:rPr>
          <w:color w:val="000000" w:themeColor="text1"/>
          <w:sz w:val="16"/>
          <w:szCs w:val="16"/>
        </w:rPr>
      </w:pPr>
    </w:p>
    <w:p w14:paraId="3E4EB4E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C7DE970" w14:textId="77777777" w:rsidR="006103B3" w:rsidRPr="00925F26" w:rsidRDefault="006103B3" w:rsidP="00925F26">
      <w:pPr>
        <w:autoSpaceDE w:val="0"/>
        <w:autoSpaceDN w:val="0"/>
        <w:adjustRightInd w:val="0"/>
        <w:jc w:val="both"/>
        <w:rPr>
          <w:iCs/>
          <w:color w:val="000000" w:themeColor="text1"/>
          <w:sz w:val="16"/>
          <w:szCs w:val="16"/>
        </w:rPr>
      </w:pPr>
    </w:p>
    <w:p w14:paraId="357155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На 11 июня 1945 г. в двух дивизиях 7-го </w:t>
      </w:r>
      <w:r w:rsidRPr="00925F26">
        <w:rPr>
          <w:iCs/>
          <w:color w:val="000000" w:themeColor="text1"/>
          <w:sz w:val="16"/>
          <w:szCs w:val="16"/>
        </w:rPr>
        <w:t xml:space="preserve">шак, </w:t>
      </w:r>
      <w:r w:rsidRPr="00925F26">
        <w:rPr>
          <w:color w:val="000000" w:themeColor="text1"/>
          <w:sz w:val="16"/>
          <w:szCs w:val="16"/>
        </w:rPr>
        <w:t xml:space="preserve">первого соединения ВВС КА, полностью перевооруженного </w:t>
      </w:r>
      <w:proofErr w:type="gramStart"/>
      <w:r w:rsidRPr="00925F26">
        <w:rPr>
          <w:color w:val="000000" w:themeColor="text1"/>
          <w:sz w:val="16"/>
          <w:szCs w:val="16"/>
        </w:rPr>
        <w:t>на Ил-10</w:t>
      </w:r>
      <w:proofErr w:type="gramEnd"/>
      <w:r w:rsidRPr="00925F26">
        <w:rPr>
          <w:color w:val="000000" w:themeColor="text1"/>
          <w:sz w:val="16"/>
          <w:szCs w:val="16"/>
        </w:rPr>
        <w:t xml:space="preserve"> насчитывалось 74,7% боего-товых самолетов, остальные были не</w:t>
      </w:r>
      <w:r w:rsidRPr="00925F26">
        <w:rPr>
          <w:color w:val="000000" w:themeColor="text1"/>
          <w:sz w:val="16"/>
          <w:szCs w:val="16"/>
        </w:rPr>
        <w:softHyphen/>
        <w:t>исправными.</w:t>
      </w:r>
    </w:p>
    <w:p w14:paraId="57E59FC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всех полках, эксплуатирующих Ил-10, имели место случаи дефор</w:t>
      </w:r>
      <w:r w:rsidRPr="00925F26">
        <w:rPr>
          <w:color w:val="000000" w:themeColor="text1"/>
          <w:sz w:val="16"/>
          <w:szCs w:val="16"/>
        </w:rPr>
        <w:softHyphen/>
        <w:t>мации верхней и нижней обшивки консольной части крыла, срез и от</w:t>
      </w:r>
      <w:r w:rsidRPr="00925F26">
        <w:rPr>
          <w:color w:val="000000" w:themeColor="text1"/>
          <w:sz w:val="16"/>
          <w:szCs w:val="16"/>
        </w:rPr>
        <w:softHyphen/>
        <w:t>рыв заклепок. На некоторых маши</w:t>
      </w:r>
      <w:r w:rsidRPr="00925F26">
        <w:rPr>
          <w:color w:val="000000" w:themeColor="text1"/>
          <w:sz w:val="16"/>
          <w:szCs w:val="16"/>
        </w:rPr>
        <w:softHyphen/>
        <w:t>нах наблюдалось отставание листов нижней обшивки центроплана, со</w:t>
      </w:r>
      <w:r w:rsidRPr="00925F26">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925F26">
        <w:rPr>
          <w:color w:val="000000" w:themeColor="text1"/>
          <w:sz w:val="16"/>
          <w:szCs w:val="16"/>
        </w:rPr>
        <w:softHyphen/>
        <w:t>лабления заклепочных швов обшив</w:t>
      </w:r>
      <w:r w:rsidRPr="00925F26">
        <w:rPr>
          <w:color w:val="000000" w:themeColor="text1"/>
          <w:sz w:val="16"/>
          <w:szCs w:val="16"/>
        </w:rPr>
        <w:softHyphen/>
        <w:t>ки фюзеляжа в области крепления костыльной установки, а также по листу перехода килевой части фю</w:t>
      </w:r>
      <w:r w:rsidRPr="00925F26">
        <w:rPr>
          <w:color w:val="000000" w:themeColor="text1"/>
          <w:sz w:val="16"/>
          <w:szCs w:val="16"/>
        </w:rPr>
        <w:softHyphen/>
        <w:t>зеляжа. Система шасси оказалась довольно слабой в прочностном от</w:t>
      </w:r>
      <w:r w:rsidRPr="00925F26">
        <w:rPr>
          <w:color w:val="000000" w:themeColor="text1"/>
          <w:sz w:val="16"/>
          <w:szCs w:val="16"/>
        </w:rPr>
        <w:softHyphen/>
        <w:t>ношении и ненадежной: ломались складывающиеся подкосы шасси и обтекатели хвостового колеса, на</w:t>
      </w:r>
      <w:r w:rsidRPr="00925F26">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1F2FE6A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Много проблем было и с воору</w:t>
      </w:r>
      <w:r w:rsidRPr="00925F26">
        <w:rPr>
          <w:color w:val="000000" w:themeColor="text1"/>
          <w:sz w:val="16"/>
          <w:szCs w:val="16"/>
        </w:rPr>
        <w:softHyphen/>
        <w:t>жением. Постоянно рвались и зае</w:t>
      </w:r>
      <w:r w:rsidRPr="00925F26">
        <w:rPr>
          <w:color w:val="000000" w:themeColor="text1"/>
          <w:sz w:val="16"/>
          <w:szCs w:val="16"/>
        </w:rPr>
        <w:softHyphen/>
        <w:t>дали троса бомболюков, створки бомболюков деформировались при загрузке мелких бомб и поврежда</w:t>
      </w:r>
      <w:r w:rsidRPr="00925F26">
        <w:rPr>
          <w:color w:val="000000" w:themeColor="text1"/>
          <w:sz w:val="16"/>
          <w:szCs w:val="16"/>
        </w:rPr>
        <w:softHyphen/>
        <w:t>лись при сбросе бомб крупного ка</w:t>
      </w:r>
      <w:r w:rsidRPr="00925F26">
        <w:rPr>
          <w:color w:val="000000" w:themeColor="text1"/>
          <w:sz w:val="16"/>
          <w:szCs w:val="16"/>
        </w:rPr>
        <w:softHyphen/>
        <w:t>либра. Все это приводило к тому, что</w:t>
      </w:r>
    </w:p>
    <w:p w14:paraId="0BB00E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над целью экипажи после сброса бомб зачастую продолжали выпол</w:t>
      </w:r>
      <w:r w:rsidRPr="00925F26">
        <w:rPr>
          <w:color w:val="000000" w:themeColor="text1"/>
          <w:sz w:val="16"/>
          <w:szCs w:val="16"/>
        </w:rPr>
        <w:softHyphen/>
        <w:t xml:space="preserve">нять атаки с открытыми </w:t>
      </w:r>
      <w:proofErr w:type="gramStart"/>
      <w:r w:rsidRPr="00925F26">
        <w:rPr>
          <w:color w:val="000000" w:themeColor="text1"/>
          <w:sz w:val="16"/>
          <w:szCs w:val="16"/>
        </w:rPr>
        <w:t>бомболюка-ми</w:t>
      </w:r>
      <w:proofErr w:type="gramEnd"/>
      <w:r w:rsidRPr="00925F26">
        <w:rPr>
          <w:color w:val="000000" w:themeColor="text1"/>
          <w:sz w:val="16"/>
          <w:szCs w:val="16"/>
        </w:rPr>
        <w:t xml:space="preserve">. В результате </w:t>
      </w:r>
      <w:r w:rsidRPr="00925F26">
        <w:rPr>
          <w:iCs/>
          <w:color w:val="000000" w:themeColor="text1"/>
          <w:sz w:val="16"/>
          <w:szCs w:val="16"/>
        </w:rPr>
        <w:t xml:space="preserve">"самолет терял в маневренности". </w:t>
      </w:r>
      <w:r w:rsidRPr="00925F26">
        <w:rPr>
          <w:color w:val="000000" w:themeColor="text1"/>
          <w:sz w:val="16"/>
          <w:szCs w:val="16"/>
        </w:rPr>
        <w:t>Кроме этого, име</w:t>
      </w:r>
      <w:r w:rsidRPr="00925F26">
        <w:rPr>
          <w:color w:val="000000" w:themeColor="text1"/>
          <w:sz w:val="16"/>
          <w:szCs w:val="16"/>
        </w:rPr>
        <w:softHyphen/>
        <w:t>лись случаи, когда створки бомбо</w:t>
      </w:r>
      <w:r w:rsidRPr="00925F26">
        <w:rPr>
          <w:color w:val="000000" w:themeColor="text1"/>
          <w:sz w:val="16"/>
          <w:szCs w:val="16"/>
        </w:rPr>
        <w:softHyphen/>
        <w:t>вых отсеков открывались не полнос</w:t>
      </w:r>
      <w:r w:rsidRPr="00925F26">
        <w:rPr>
          <w:color w:val="000000" w:themeColor="text1"/>
          <w:sz w:val="16"/>
          <w:szCs w:val="16"/>
        </w:rPr>
        <w:softHyphen/>
        <w:t>тью и бомбы зависали.</w:t>
      </w:r>
    </w:p>
    <w:p w14:paraId="7C32A8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Специальная комиссия ВВС в се</w:t>
      </w:r>
      <w:r w:rsidRPr="00925F26">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3E6AAAA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судя по до</w:t>
      </w:r>
      <w:r w:rsidRPr="00925F26">
        <w:rPr>
          <w:color w:val="000000" w:themeColor="text1"/>
          <w:sz w:val="16"/>
          <w:szCs w:val="16"/>
        </w:rPr>
        <w:softHyphen/>
        <w:t>кументам, недостатки и дефекты мо</w:t>
      </w:r>
      <w:r w:rsidRPr="00925F26">
        <w:rPr>
          <w:color w:val="000000" w:themeColor="text1"/>
          <w:sz w:val="16"/>
          <w:szCs w:val="16"/>
        </w:rPr>
        <w:softHyphen/>
        <w:t>тора АМ-42 обуславливались не только объективными трудностями, но также и "особым" отношением мо</w:t>
      </w:r>
      <w:r w:rsidRPr="00925F26">
        <w:rPr>
          <w:color w:val="000000" w:themeColor="text1"/>
          <w:sz w:val="16"/>
          <w:szCs w:val="16"/>
        </w:rPr>
        <w:softHyphen/>
        <w:t>тористов к вопросу выяснения истин</w:t>
      </w:r>
      <w:r w:rsidRPr="00925F26">
        <w:rPr>
          <w:color w:val="000000" w:themeColor="text1"/>
          <w:sz w:val="16"/>
          <w:szCs w:val="16"/>
        </w:rPr>
        <w:softHyphen/>
        <w:t xml:space="preserve">ных причин </w:t>
      </w:r>
      <w:r w:rsidRPr="00925F26">
        <w:rPr>
          <w:iCs/>
          <w:color w:val="000000" w:themeColor="text1"/>
          <w:sz w:val="16"/>
          <w:szCs w:val="16"/>
        </w:rPr>
        <w:t xml:space="preserve">"летных происшествий, происходящих по причине отказа моторов". </w:t>
      </w:r>
      <w:r w:rsidRPr="00925F26">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925F26">
        <w:rPr>
          <w:iCs/>
          <w:color w:val="000000" w:themeColor="text1"/>
          <w:sz w:val="16"/>
          <w:szCs w:val="16"/>
        </w:rPr>
        <w:t>"...представители завода запу</w:t>
      </w:r>
      <w:r w:rsidRPr="00925F26">
        <w:rPr>
          <w:iCs/>
          <w:color w:val="000000" w:themeColor="text1"/>
          <w:sz w:val="16"/>
          <w:szCs w:val="16"/>
        </w:rPr>
        <w:softHyphen/>
        <w:t>тывают расследования причин отка</w:t>
      </w:r>
      <w:r w:rsidRPr="00925F26">
        <w:rPr>
          <w:iCs/>
          <w:color w:val="000000" w:themeColor="text1"/>
          <w:sz w:val="16"/>
          <w:szCs w:val="16"/>
        </w:rPr>
        <w:softHyphen/>
        <w:t>зов моторов, а значит, стремятся за</w:t>
      </w:r>
      <w:r w:rsidRPr="00925F26">
        <w:rPr>
          <w:iCs/>
          <w:color w:val="000000" w:themeColor="text1"/>
          <w:sz w:val="16"/>
          <w:szCs w:val="16"/>
        </w:rPr>
        <w:softHyphen/>
        <w:t>мазать их. Расследования затягива</w:t>
      </w:r>
      <w:r w:rsidRPr="00925F26">
        <w:rPr>
          <w:iCs/>
          <w:color w:val="000000" w:themeColor="text1"/>
          <w:sz w:val="16"/>
          <w:szCs w:val="16"/>
        </w:rPr>
        <w:softHyphen/>
        <w:t>ются на полгода и более. Такое "рас</w:t>
      </w:r>
      <w:r w:rsidRPr="00925F26">
        <w:rPr>
          <w:iCs/>
          <w:color w:val="000000" w:themeColor="text1"/>
          <w:sz w:val="16"/>
          <w:szCs w:val="16"/>
        </w:rPr>
        <w:softHyphen/>
        <w:t>следование" не может предупредить вовремя повторение летных проис</w:t>
      </w:r>
      <w:r w:rsidRPr="00925F26">
        <w:rPr>
          <w:iCs/>
          <w:color w:val="000000" w:themeColor="text1"/>
          <w:sz w:val="16"/>
          <w:szCs w:val="16"/>
        </w:rPr>
        <w:softHyphen/>
        <w:t>шествий по тем же причинам. Завя</w:t>
      </w:r>
      <w:r w:rsidRPr="00925F26">
        <w:rPr>
          <w:iCs/>
          <w:color w:val="000000" w:themeColor="text1"/>
          <w:sz w:val="16"/>
          <w:szCs w:val="16"/>
        </w:rPr>
        <w:softHyphen/>
        <w:t>зывается бессмысленная переписка, в результате которой все же Вам при</w:t>
      </w:r>
      <w:r w:rsidRPr="00925F26">
        <w:rPr>
          <w:iCs/>
          <w:color w:val="000000" w:themeColor="text1"/>
          <w:sz w:val="16"/>
          <w:szCs w:val="16"/>
        </w:rPr>
        <w:softHyphen/>
        <w:t>ходиться признавать вину за заво</w:t>
      </w:r>
      <w:r w:rsidRPr="00925F26">
        <w:rPr>
          <w:iCs/>
          <w:color w:val="000000" w:themeColor="text1"/>
          <w:sz w:val="16"/>
          <w:szCs w:val="16"/>
        </w:rPr>
        <w:softHyphen/>
        <w:t>дом. Нелогичность "особых" мнений и отсутствие в них обоснования го</w:t>
      </w:r>
      <w:r w:rsidRPr="00925F26">
        <w:rPr>
          <w:iCs/>
          <w:color w:val="000000" w:themeColor="text1"/>
          <w:sz w:val="16"/>
          <w:szCs w:val="16"/>
        </w:rPr>
        <w:softHyphen/>
        <w:t>ворит о чрезвычайно низкой техни</w:t>
      </w:r>
      <w:r w:rsidRPr="00925F26">
        <w:rPr>
          <w:iCs/>
          <w:color w:val="000000" w:themeColor="text1"/>
          <w:sz w:val="16"/>
          <w:szCs w:val="16"/>
        </w:rPr>
        <w:softHyphen/>
        <w:t>ческой грамотности представителей завода, работающих в бригаде..."</w:t>
      </w:r>
    </w:p>
    <w:p w14:paraId="1D2291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Забегая вперед, укажем, что до</w:t>
      </w:r>
      <w:r w:rsidRPr="00925F26">
        <w:rPr>
          <w:color w:val="000000" w:themeColor="text1"/>
          <w:sz w:val="16"/>
          <w:szCs w:val="16"/>
        </w:rPr>
        <w:softHyphen/>
        <w:t>водка АМ-42 затянулась фактически до середины 1947 г., когда были вне</w:t>
      </w:r>
      <w:r w:rsidRPr="00925F26">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925F26">
        <w:rPr>
          <w:color w:val="000000" w:themeColor="text1"/>
          <w:sz w:val="16"/>
          <w:szCs w:val="16"/>
        </w:rPr>
        <w:softHyphen/>
        <w:t>мени, недостаточная его надежность определяла и довольно высокую ава</w:t>
      </w:r>
      <w:r w:rsidRPr="00925F26">
        <w:rPr>
          <w:color w:val="000000" w:themeColor="text1"/>
          <w:sz w:val="16"/>
          <w:szCs w:val="16"/>
        </w:rPr>
        <w:softHyphen/>
        <w:t xml:space="preserve">рийность в частях ВВС. Например, в феврале-марте 1946 г. в частях 10-й </w:t>
      </w:r>
      <w:r w:rsidRPr="00925F26">
        <w:rPr>
          <w:iCs/>
          <w:color w:val="000000" w:themeColor="text1"/>
          <w:sz w:val="16"/>
          <w:szCs w:val="16"/>
        </w:rPr>
        <w:t xml:space="preserve">гшад </w:t>
      </w:r>
      <w:r w:rsidRPr="00925F26">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2248B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проблем с мотором, се</w:t>
      </w:r>
      <w:r w:rsidRPr="00925F26">
        <w:rPr>
          <w:color w:val="000000" w:themeColor="text1"/>
          <w:sz w:val="16"/>
          <w:szCs w:val="16"/>
        </w:rPr>
        <w:softHyphen/>
        <w:t>рийные Ил-10 характеризовались и пониженными летными данными в сравнении с опытной машиной. Ут</w:t>
      </w:r>
      <w:r w:rsidRPr="00925F26">
        <w:rPr>
          <w:color w:val="000000" w:themeColor="text1"/>
          <w:sz w:val="16"/>
          <w:szCs w:val="16"/>
        </w:rPr>
        <w:softHyphen/>
        <w:t>вержденные на совместном совеща</w:t>
      </w:r>
      <w:r w:rsidRPr="00925F26">
        <w:rPr>
          <w:color w:val="000000" w:themeColor="text1"/>
          <w:sz w:val="16"/>
          <w:szCs w:val="16"/>
        </w:rPr>
        <w:softHyphen/>
        <w:t>нии ВВС и НКАП в январе 1945 г. технические условия на самолет Ил-10 оказались для заводов высокими.</w:t>
      </w:r>
    </w:p>
    <w:p w14:paraId="5EFA22D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Усиление конструкции самолета (кры</w:t>
      </w:r>
      <w:r w:rsidRPr="00925F26">
        <w:rPr>
          <w:color w:val="000000" w:themeColor="text1"/>
          <w:sz w:val="16"/>
          <w:szCs w:val="16"/>
        </w:rPr>
        <w:softHyphen/>
        <w:t>ло, фюзеляж, шасси и т.д.), внесение различного рода изменений и дора</w:t>
      </w:r>
      <w:r w:rsidRPr="00925F26">
        <w:rPr>
          <w:color w:val="000000" w:themeColor="text1"/>
          <w:sz w:val="16"/>
          <w:szCs w:val="16"/>
        </w:rPr>
        <w:softHyphen/>
        <w:t>ботки машины, естественно, сопро</w:t>
      </w:r>
      <w:r w:rsidRPr="00925F26">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25F26">
        <w:rPr>
          <w:color w:val="000000" w:themeColor="text1"/>
          <w:sz w:val="16"/>
          <w:szCs w:val="16"/>
        </w:rPr>
        <w:softHyphen/>
        <w:t>емности. Естественно, усилились тре</w:t>
      </w:r>
      <w:r w:rsidRPr="00925F26">
        <w:rPr>
          <w:color w:val="000000" w:themeColor="text1"/>
          <w:sz w:val="16"/>
          <w:szCs w:val="16"/>
        </w:rPr>
        <w:softHyphen/>
        <w:t>ния между заводами и военными представителями по вопросам при</w:t>
      </w:r>
      <w:r w:rsidRPr="00925F26">
        <w:rPr>
          <w:color w:val="000000" w:themeColor="text1"/>
          <w:sz w:val="16"/>
          <w:szCs w:val="16"/>
        </w:rPr>
        <w:softHyphen/>
        <w:t>емки самолетов и их оплаты. На мно</w:t>
      </w:r>
      <w:r w:rsidRPr="00925F26">
        <w:rPr>
          <w:color w:val="000000" w:themeColor="text1"/>
          <w:sz w:val="16"/>
          <w:szCs w:val="16"/>
        </w:rPr>
        <w:softHyphen/>
        <w:t>гочисленных совещаниях по устране</w:t>
      </w:r>
      <w:r w:rsidRPr="00925F26">
        <w:rPr>
          <w:color w:val="000000" w:themeColor="text1"/>
          <w:sz w:val="16"/>
          <w:szCs w:val="16"/>
        </w:rPr>
        <w:softHyphen/>
        <w:t>нию дефектов Ил-10 не всегда уда</w:t>
      </w:r>
      <w:r w:rsidRPr="00925F26">
        <w:rPr>
          <w:color w:val="000000" w:themeColor="text1"/>
          <w:sz w:val="16"/>
          <w:szCs w:val="16"/>
        </w:rPr>
        <w:softHyphen/>
        <w:t>валось прийти к соглашению. Пред</w:t>
      </w:r>
      <w:r w:rsidRPr="00925F26">
        <w:rPr>
          <w:color w:val="000000" w:themeColor="text1"/>
          <w:sz w:val="16"/>
          <w:szCs w:val="16"/>
        </w:rPr>
        <w:softHyphen/>
        <w:t>ставители промышленности каждый раз принимали на себя обязатель</w:t>
      </w:r>
      <w:r w:rsidRPr="00925F26">
        <w:rPr>
          <w:color w:val="000000" w:themeColor="text1"/>
          <w:sz w:val="16"/>
          <w:szCs w:val="16"/>
        </w:rPr>
        <w:softHyphen/>
        <w:t>ства по улучшению летных и эксплу</w:t>
      </w:r>
      <w:r w:rsidRPr="00925F26">
        <w:rPr>
          <w:color w:val="000000" w:themeColor="text1"/>
          <w:sz w:val="16"/>
          <w:szCs w:val="16"/>
        </w:rPr>
        <w:softHyphen/>
        <w:t>атационных качеств машины и вся</w:t>
      </w:r>
      <w:r w:rsidRPr="00925F26">
        <w:rPr>
          <w:color w:val="000000" w:themeColor="text1"/>
          <w:sz w:val="16"/>
          <w:szCs w:val="16"/>
        </w:rPr>
        <w:softHyphen/>
        <w:t>кий раз их не выдерживали. Соот</w:t>
      </w:r>
      <w:r w:rsidRPr="00925F26">
        <w:rPr>
          <w:color w:val="000000" w:themeColor="text1"/>
          <w:sz w:val="16"/>
          <w:szCs w:val="16"/>
        </w:rPr>
        <w:softHyphen/>
        <w:t>ветственно, военные делали офици</w:t>
      </w:r>
      <w:r w:rsidRPr="00925F26">
        <w:rPr>
          <w:color w:val="000000" w:themeColor="text1"/>
          <w:sz w:val="16"/>
          <w:szCs w:val="16"/>
        </w:rPr>
        <w:softHyphen/>
        <w:t xml:space="preserve">альные выводы: </w:t>
      </w:r>
      <w:r w:rsidRPr="00925F26">
        <w:rPr>
          <w:iCs/>
          <w:color w:val="000000" w:themeColor="text1"/>
          <w:sz w:val="16"/>
          <w:szCs w:val="16"/>
        </w:rPr>
        <w:t>"Со стороны НКАП сроки выполнения Постановлений ГОКО, СНК и приказов НКАП не вы</w:t>
      </w:r>
      <w:r w:rsidRPr="00925F26">
        <w:rPr>
          <w:iCs/>
          <w:color w:val="000000" w:themeColor="text1"/>
          <w:sz w:val="16"/>
          <w:szCs w:val="16"/>
        </w:rPr>
        <w:softHyphen/>
        <w:t xml:space="preserve">держиваются". </w:t>
      </w:r>
      <w:r w:rsidRPr="00925F26">
        <w:rPr>
          <w:color w:val="000000" w:themeColor="text1"/>
          <w:sz w:val="16"/>
          <w:szCs w:val="16"/>
        </w:rPr>
        <w:t>Напряженность во взаимоотношениях ВВС и НКАП на</w:t>
      </w:r>
      <w:r w:rsidRPr="00925F26">
        <w:rPr>
          <w:color w:val="000000" w:themeColor="text1"/>
          <w:sz w:val="16"/>
          <w:szCs w:val="16"/>
        </w:rPr>
        <w:softHyphen/>
        <w:t>растала с каждым месяцем (11431).</w:t>
      </w:r>
    </w:p>
    <w:p w14:paraId="3D167D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2E2EF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 июня 1945 года вышел приказ НКАП:</w:t>
      </w:r>
    </w:p>
    <w:p w14:paraId="7713057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Утвердить Васильева В.К. директором завода № 469 (8958)</w:t>
      </w:r>
    </w:p>
    <w:p w14:paraId="2FC572BC" w14:textId="77777777" w:rsidR="006103B3" w:rsidRPr="00925F26" w:rsidRDefault="006103B3" w:rsidP="00925F26">
      <w:pPr>
        <w:autoSpaceDE w:val="0"/>
        <w:autoSpaceDN w:val="0"/>
        <w:adjustRightInd w:val="0"/>
        <w:jc w:val="both"/>
        <w:rPr>
          <w:iCs/>
          <w:color w:val="000000" w:themeColor="text1"/>
          <w:sz w:val="16"/>
          <w:szCs w:val="16"/>
        </w:rPr>
      </w:pPr>
    </w:p>
    <w:p w14:paraId="44CF5B4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1EEA456" w14:textId="77777777" w:rsidR="006103B3" w:rsidRPr="00925F26" w:rsidRDefault="006103B3" w:rsidP="00925F26">
      <w:pPr>
        <w:autoSpaceDE w:val="0"/>
        <w:autoSpaceDN w:val="0"/>
        <w:adjustRightInd w:val="0"/>
        <w:jc w:val="both"/>
        <w:rPr>
          <w:iCs/>
          <w:color w:val="000000" w:themeColor="text1"/>
          <w:sz w:val="16"/>
          <w:szCs w:val="16"/>
        </w:rPr>
      </w:pPr>
    </w:p>
    <w:p w14:paraId="1B2371C1" w14:textId="77777777" w:rsidR="00BB4FEE" w:rsidRPr="00925F26" w:rsidRDefault="00BB4FEE" w:rsidP="00925F26">
      <w:pPr>
        <w:pStyle w:val="ae"/>
        <w:shd w:val="clear" w:color="auto" w:fill="FFFFFF"/>
        <w:spacing w:before="0" w:after="0"/>
        <w:jc w:val="both"/>
        <w:rPr>
          <w:color w:val="000000" w:themeColor="text1"/>
          <w:sz w:val="16"/>
          <w:szCs w:val="16"/>
        </w:rPr>
      </w:pPr>
      <w:r w:rsidRPr="00925F26">
        <w:rPr>
          <w:color w:val="000000" w:themeColor="text1"/>
          <w:sz w:val="16"/>
          <w:szCs w:val="16"/>
        </w:rPr>
        <w:t>11 июня 1945 года был разработан проект тактико-технических требований на тяжелый танк. Согласно ему, боевая масса утверждалась в 60 тонн, экипаж увеличился до 5 человек (добавился второй заряжающий). Броня должна была обеспечивать защиту танка от 128-мм немецкой пушки. В качестве вооружение утверждалась либо 122-мм пушка с начальной скоростью 1000 м/с, либо 130-мм пушка. Подвеска по типу американского танка М4А2 все еще рассматривалась, правда, уже как запасной вариант. Торсионная подвеска снова стала считаться приоритетной, но при условии, что ее удастся разместить вне корпуса танка. Таким образом, Объект 257 оказывался не удел, а коллективу завода №100 предстояло на его базе построить новый танк. История ИС-7 только начиналась (17209).</w:t>
      </w:r>
    </w:p>
    <w:p w14:paraId="39CFABEA" w14:textId="77777777" w:rsidR="00BB4FEE" w:rsidRPr="00925F26" w:rsidRDefault="00BB4FEE" w:rsidP="00925F26">
      <w:pPr>
        <w:jc w:val="both"/>
        <w:rPr>
          <w:color w:val="000000" w:themeColor="text1"/>
          <w:sz w:val="16"/>
          <w:szCs w:val="16"/>
        </w:rPr>
      </w:pPr>
    </w:p>
    <w:p w14:paraId="6F030FB0" w14:textId="77777777" w:rsidR="00EB4C06" w:rsidRPr="00925F26" w:rsidRDefault="00EB4C06" w:rsidP="00925F26">
      <w:pPr>
        <w:jc w:val="both"/>
        <w:rPr>
          <w:rStyle w:val="107"/>
          <w:rFonts w:eastAsiaTheme="minorHAnsi"/>
          <w:color w:val="000000" w:themeColor="text1"/>
          <w:sz w:val="16"/>
          <w:szCs w:val="16"/>
        </w:rPr>
      </w:pPr>
      <w:r w:rsidRPr="00925F26">
        <w:rPr>
          <w:color w:val="000000" w:themeColor="text1"/>
          <w:sz w:val="16"/>
          <w:szCs w:val="16"/>
        </w:rPr>
        <w:t>11 июня 1945 года был разработан проект тактико-технических требований на тяжёлый танк. Согласно ему, боевая масса утверждалась в 60 тонн, экипаж увеличился до 5 человек (добавился второй заряжающий). Броня должна была обеспечивать защиту танка от 128-мм немецкой пушки. В качестве вооружения утверждалась либо 122-мм пушка с начальной скоростью 1000 м/с, либо 130-мм пушка. Подвеска по типу американского танка М4А2 всё ещё рассматривалась, правда, уже как запасной вариант. Торсионная подвеска снова стала считаться приоритетной, но при условии, что её удастся разместить вне корпуса танка. Таким образом, Объект 257 оказывался не удел, а коллективу завода №100 предстояло на его базе построить новый танк (17635).</w:t>
      </w:r>
    </w:p>
    <w:p w14:paraId="637DD16A" w14:textId="77777777" w:rsidR="00EB4C06" w:rsidRPr="00925F26" w:rsidRDefault="00EB4C06" w:rsidP="00925F26">
      <w:pPr>
        <w:jc w:val="both"/>
        <w:rPr>
          <w:rStyle w:val="107"/>
          <w:rFonts w:eastAsiaTheme="minorHAnsi"/>
          <w:color w:val="000000" w:themeColor="text1"/>
          <w:sz w:val="16"/>
          <w:szCs w:val="16"/>
        </w:rPr>
      </w:pPr>
    </w:p>
    <w:p w14:paraId="6CD7C0B9" w14:textId="77777777" w:rsidR="00EB4C06" w:rsidRPr="00925F26" w:rsidRDefault="00EB4C06" w:rsidP="00925F26">
      <w:pPr>
        <w:shd w:val="clear" w:color="auto" w:fill="FFFFFF"/>
        <w:jc w:val="both"/>
        <w:rPr>
          <w:color w:val="000000" w:themeColor="text1"/>
          <w:sz w:val="16"/>
          <w:szCs w:val="16"/>
        </w:rPr>
      </w:pPr>
      <w:r w:rsidRPr="00925F26">
        <w:rPr>
          <w:color w:val="000000" w:themeColor="text1"/>
          <w:sz w:val="16"/>
          <w:szCs w:val="16"/>
        </w:rPr>
        <w:t>11 июня 1945 года был разработан проект тактико-технических требований для нового тяжёлого танка. Его боевая масса утверждалась в пределах 60 тонн, экипаж увеличился до 5 человек. Броня должна была обеспечивать защиту танка от 128-мм немецкой пушки. Кроме того, в дополнении к пушке БЛ-13 появилось требование и на другое орудие, калибра 130 мм. Кроме как запуском программы по созданию «противомышиного» танка, эти тактико-технические объяснить сложно. Именно из них и родился танк, известный как ИС-7.</w:t>
      </w:r>
    </w:p>
    <w:p w14:paraId="2C0964A8" w14:textId="77777777" w:rsidR="00EB4C06" w:rsidRPr="00925F26" w:rsidRDefault="00EB4C06" w:rsidP="00925F26">
      <w:pPr>
        <w:shd w:val="clear" w:color="auto" w:fill="FFFFFF"/>
        <w:jc w:val="both"/>
        <w:rPr>
          <w:color w:val="000000" w:themeColor="text1"/>
          <w:sz w:val="16"/>
          <w:szCs w:val="16"/>
        </w:rPr>
      </w:pPr>
      <w:r w:rsidRPr="00925F26">
        <w:rPr>
          <w:color w:val="000000" w:themeColor="text1"/>
          <w:sz w:val="16"/>
          <w:szCs w:val="16"/>
        </w:rPr>
        <w:t xml:space="preserve">Обнаруженный немецкий танк спровоцировал вторую волну гонки вооружений, аналогичную той, что породила </w:t>
      </w:r>
      <w:hyperlink r:id="rId148" w:history="1">
        <w:r w:rsidRPr="00925F26">
          <w:rPr>
            <w:color w:val="000000" w:themeColor="text1"/>
            <w:sz w:val="16"/>
            <w:szCs w:val="16"/>
          </w:rPr>
          <w:t>КВ-3</w:t>
        </w:r>
      </w:hyperlink>
      <w:r w:rsidRPr="00925F26">
        <w:rPr>
          <w:color w:val="000000" w:themeColor="text1"/>
          <w:sz w:val="16"/>
          <w:szCs w:val="16"/>
        </w:rPr>
        <w:t xml:space="preserve">, </w:t>
      </w:r>
      <w:hyperlink r:id="rId149" w:history="1">
        <w:r w:rsidRPr="00925F26">
          <w:rPr>
            <w:color w:val="000000" w:themeColor="text1"/>
            <w:sz w:val="16"/>
            <w:szCs w:val="16"/>
          </w:rPr>
          <w:t>КВ-4 и КВ-5</w:t>
        </w:r>
      </w:hyperlink>
      <w:r w:rsidRPr="00925F26">
        <w:rPr>
          <w:color w:val="000000" w:themeColor="text1"/>
          <w:sz w:val="16"/>
          <w:szCs w:val="16"/>
        </w:rPr>
        <w:t xml:space="preserve">. Вместо того чтобы сконцентрироваться на совершенствовании уже имеющихся неплохих образцов, конструкторы начали работы по созданию стальных монстров. Даже ИС-4 теперь уже казался устаревшим: по планам на вторую пятилетку 40-х годов, с 1948 года предполагалось выпускать по 2760 тяжёлых танков нового типа (ИС-7) в год. К слову, «Объект 260» оказался далеко не самым тяжёлым и сильно вооружённым. В Челябинске работали над проектом тяжёлого танка «Объект 705», самая его тяжёлая версия должна была иметь пушку калибра 152 мм, а боевая масса составляла бы 100 тонн. Помимо танков, прорабатывались еще и </w:t>
      </w:r>
      <w:hyperlink r:id="rId150" w:history="1">
        <w:r w:rsidRPr="00925F26">
          <w:rPr>
            <w:color w:val="000000" w:themeColor="text1"/>
            <w:sz w:val="16"/>
            <w:szCs w:val="16"/>
          </w:rPr>
          <w:t>самоходные установки на базе ИС-4 и ИС-7</w:t>
        </w:r>
      </w:hyperlink>
      <w:r w:rsidRPr="00925F26">
        <w:rPr>
          <w:color w:val="000000" w:themeColor="text1"/>
          <w:sz w:val="16"/>
          <w:szCs w:val="16"/>
        </w:rPr>
        <w:t xml:space="preserve"> с длинноствольными орудиями калибра 152 мм (17676).</w:t>
      </w:r>
    </w:p>
    <w:p w14:paraId="7F6746C9" w14:textId="77777777" w:rsidR="00EB4C06" w:rsidRPr="00925F26" w:rsidRDefault="00EB4C06" w:rsidP="00925F26">
      <w:pPr>
        <w:jc w:val="both"/>
        <w:rPr>
          <w:rStyle w:val="107"/>
          <w:rFonts w:eastAsiaTheme="minorHAnsi"/>
          <w:color w:val="000000" w:themeColor="text1"/>
          <w:sz w:val="16"/>
          <w:szCs w:val="16"/>
        </w:rPr>
      </w:pPr>
    </w:p>
    <w:p w14:paraId="3E29AF86" w14:textId="77777777" w:rsidR="00FB7692" w:rsidRPr="001A0BAA" w:rsidRDefault="00FB7692" w:rsidP="00FB7692">
      <w:pPr>
        <w:jc w:val="both"/>
        <w:rPr>
          <w:color w:val="0070C0"/>
          <w:sz w:val="16"/>
          <w:szCs w:val="16"/>
        </w:rPr>
      </w:pPr>
      <w:r w:rsidRPr="001A0BAA">
        <w:rPr>
          <w:color w:val="0070C0"/>
          <w:sz w:val="16"/>
          <w:szCs w:val="16"/>
        </w:rPr>
        <w:t>11 июня 1945 года были подготовлены новые тактико-технические требования на тяжелый танк. Вообще они предназначались для ВАММ КА, но вполне соответствовали новым пожеланиям ГБТУ КА. Боевая масса возрастала до 60 тонн, а экипаж увеличился до 5 человек. Вооружение предполагалось либо в виде 122-мм пушки БЛ-13, либо 130-мм пушки. Броневая защита теперь должна была «держать» снаряды 128-мм немецкой пушки. Блокированная подвеска (уже новая, по типу HVSS) еще рассматривалась, но приоритетом становились торсионы. Одним словом, ИС-7 требовал серьёзной переработки. В результате проект Объекта 257 затерялся в архивах, как будто его и не было (25507).</w:t>
      </w:r>
    </w:p>
    <w:p w14:paraId="603F8377" w14:textId="77777777" w:rsidR="00FB7692" w:rsidRPr="001A0BAA" w:rsidRDefault="00FB7692" w:rsidP="00FB7692">
      <w:pPr>
        <w:jc w:val="both"/>
        <w:rPr>
          <w:color w:val="0070C0"/>
          <w:sz w:val="16"/>
          <w:szCs w:val="16"/>
        </w:rPr>
      </w:pPr>
    </w:p>
    <w:p w14:paraId="38139158"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июня 1945 года вышел приказ № 256 НКВ</w:t>
      </w:r>
    </w:p>
    <w:p w14:paraId="61BBAE6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дополнение к приказу НВ № 226-сс от 31 мая 1945 года:</w:t>
      </w:r>
    </w:p>
    <w:p w14:paraId="781F035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Для осуществления сдачи-приемки завода № 350 заводу № 69.</w:t>
      </w:r>
    </w:p>
    <w:p w14:paraId="58D094A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Незавершенное производство ……</w:t>
      </w:r>
      <w:proofErr w:type="gramStart"/>
      <w:r w:rsidRPr="00925F26">
        <w:rPr>
          <w:color w:val="000000" w:themeColor="text1"/>
          <w:sz w:val="16"/>
          <w:szCs w:val="16"/>
        </w:rPr>
        <w:t>…….</w:t>
      </w:r>
      <w:proofErr w:type="gramEnd"/>
      <w:r w:rsidRPr="00925F26">
        <w:rPr>
          <w:color w:val="000000" w:themeColor="text1"/>
          <w:sz w:val="16"/>
          <w:szCs w:val="16"/>
        </w:rPr>
        <w:t>. по морскому приборостроению завода № 350 передать заводу № 349 (6445, 59).</w:t>
      </w:r>
    </w:p>
    <w:p w14:paraId="54E36F0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4267D3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июня 1945 года вышел приказ № 257 НКВ</w:t>
      </w:r>
    </w:p>
    <w:p w14:paraId="439F5B0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дополнение к приказу НВ № 226-сс от 31 мая 1945 года:</w:t>
      </w:r>
    </w:p>
    <w:p w14:paraId="5373515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Для осуществления сдачи-приемки завода № 588 заводу № 69 на правах отдельного цеха</w:t>
      </w:r>
    </w:p>
    <w:p w14:paraId="0A053D5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(6445, 66).</w:t>
      </w:r>
    </w:p>
    <w:p w14:paraId="06101E29"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361CA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 июня 1945 г. завод № 523 (Завод № 523 НКреЗИНПрома, НКСМ, Завод «Металл» НКХП, Завод «Автоарматура» НКСМ /г. Ленинград/)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49A87E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газовых рулей для ЗУР Р-101 (1948 г.).</w:t>
      </w:r>
      <w:r w:rsidRPr="00925F26">
        <w:rPr>
          <w:color w:val="000000" w:themeColor="text1"/>
          <w:sz w:val="16"/>
          <w:szCs w:val="16"/>
          <w:vertAlign w:val="superscript"/>
        </w:rPr>
        <w:t>57</w:t>
      </w:r>
    </w:p>
    <w:p w14:paraId="601BFE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1969 г. завод «Автоарматура» вошел в состав ПО «Ленинградский карбюраторный завод им. В.В. Куйбышева».</w:t>
      </w:r>
      <w:r w:rsidRPr="00925F26">
        <w:rPr>
          <w:color w:val="000000" w:themeColor="text1"/>
          <w:sz w:val="16"/>
          <w:szCs w:val="16"/>
          <w:vertAlign w:val="superscript"/>
        </w:rPr>
        <w:t>131</w:t>
      </w:r>
    </w:p>
    <w:p w14:paraId="2D008CB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0922EB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Государственный завод «Знамя труда </w:t>
      </w:r>
      <w:proofErr w:type="gramStart"/>
      <w:r w:rsidRPr="00925F26">
        <w:rPr>
          <w:color w:val="000000" w:themeColor="text1"/>
          <w:sz w:val="16"/>
          <w:szCs w:val="16"/>
        </w:rPr>
        <w:t>« №</w:t>
      </w:r>
      <w:proofErr w:type="gramEnd"/>
      <w:r w:rsidRPr="00925F26">
        <w:rPr>
          <w:color w:val="000000" w:themeColor="text1"/>
          <w:sz w:val="16"/>
          <w:szCs w:val="16"/>
        </w:rPr>
        <w:t xml:space="preserve">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1BBBD3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карбюраторов (1932 г.).</w:t>
      </w:r>
    </w:p>
    <w:p w14:paraId="0FB1E8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925F26">
        <w:rPr>
          <w:color w:val="000000" w:themeColor="text1"/>
          <w:sz w:val="16"/>
          <w:szCs w:val="16"/>
          <w:vertAlign w:val="superscript"/>
        </w:rPr>
        <w:t>65</w:t>
      </w:r>
    </w:p>
    <w:p w14:paraId="373EE39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02ADDD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6304AF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1993 г. завод преобразован в АООТ «Карбюраторный завод им. В.В. Куйбышева», в 1996 г. преобразован в ОАО «Карбюраторный завод «Пекар», был в 2004 г. (11982).</w:t>
      </w:r>
    </w:p>
    <w:p w14:paraId="45BB91D0" w14:textId="77777777" w:rsidR="006103B3" w:rsidRPr="00925F26" w:rsidRDefault="006103B3" w:rsidP="00925F26">
      <w:pPr>
        <w:autoSpaceDE w:val="0"/>
        <w:autoSpaceDN w:val="0"/>
        <w:adjustRightInd w:val="0"/>
        <w:jc w:val="both"/>
        <w:rPr>
          <w:color w:val="000000" w:themeColor="text1"/>
          <w:sz w:val="16"/>
          <w:szCs w:val="16"/>
        </w:rPr>
      </w:pPr>
    </w:p>
    <w:p w14:paraId="47D5A31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июня 1945 вышло Постановление ГКО № 9050 [О включении в состав Морской комиссии (см. Постановление ГКО № 8814 от 30 мая 1945 г.) зам. наркома рыбной промышленности Скорнякова Н.Е.] (7350, 1).</w:t>
      </w:r>
    </w:p>
    <w:p w14:paraId="69DF857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F10490D" w14:textId="77777777" w:rsidR="00D7144C" w:rsidRPr="00925F26" w:rsidRDefault="00D7144C" w:rsidP="00925F26">
      <w:pPr>
        <w:jc w:val="both"/>
        <w:rPr>
          <w:color w:val="000000" w:themeColor="text1"/>
          <w:sz w:val="16"/>
          <w:szCs w:val="16"/>
        </w:rPr>
      </w:pPr>
      <w:r w:rsidRPr="00925F26">
        <w:rPr>
          <w:color w:val="000000" w:themeColor="text1"/>
          <w:sz w:val="16"/>
          <w:szCs w:val="16"/>
        </w:rPr>
        <w:t xml:space="preserve">11 июня </w:t>
      </w:r>
      <w:smartTag w:uri="urn:schemas-microsoft-com:office:smarttags" w:element="metricconverter">
        <w:smartTagPr>
          <w:attr w:name="ProductID" w:val="1945 г"/>
        </w:smartTagPr>
        <w:r w:rsidRPr="00925F26">
          <w:rPr>
            <w:color w:val="000000" w:themeColor="text1"/>
            <w:sz w:val="16"/>
            <w:szCs w:val="16"/>
          </w:rPr>
          <w:t>1945 г</w:t>
        </w:r>
      </w:smartTag>
      <w:r w:rsidRPr="00925F26">
        <w:rPr>
          <w:color w:val="000000" w:themeColor="text1"/>
          <w:sz w:val="16"/>
          <w:szCs w:val="16"/>
        </w:rPr>
        <w:t>. гор. Москва «ПРИКАЗ</w:t>
      </w:r>
    </w:p>
    <w:p w14:paraId="6ECF463F" w14:textId="77777777" w:rsidR="00D7144C" w:rsidRPr="00925F26" w:rsidRDefault="00D7144C" w:rsidP="00925F26">
      <w:pPr>
        <w:jc w:val="both"/>
        <w:rPr>
          <w:color w:val="000000" w:themeColor="text1"/>
          <w:sz w:val="16"/>
          <w:szCs w:val="16"/>
        </w:rPr>
      </w:pPr>
      <w:r w:rsidRPr="00925F26">
        <w:rPr>
          <w:color w:val="000000" w:themeColor="text1"/>
          <w:sz w:val="16"/>
          <w:szCs w:val="16"/>
        </w:rPr>
        <w:t>начальника инженерных войск Красной Армии</w:t>
      </w:r>
    </w:p>
    <w:p w14:paraId="20C6C684" w14:textId="77777777" w:rsidR="00D7144C" w:rsidRPr="00925F26" w:rsidRDefault="00D7144C" w:rsidP="00925F26">
      <w:pPr>
        <w:jc w:val="both"/>
        <w:rPr>
          <w:color w:val="000000" w:themeColor="text1"/>
          <w:sz w:val="16"/>
          <w:szCs w:val="16"/>
        </w:rPr>
      </w:pPr>
      <w:r w:rsidRPr="00925F26">
        <w:rPr>
          <w:color w:val="000000" w:themeColor="text1"/>
          <w:sz w:val="16"/>
          <w:szCs w:val="16"/>
        </w:rPr>
        <w:t>§1. Завод №342 Наркомсудпрома СССР является одним из основных заводов по поставке для инженерных войск Красной Армии тяжелых, средних и легких понтонно-мостовых парков.</w:t>
      </w:r>
    </w:p>
    <w:p w14:paraId="04BA7186" w14:textId="77777777" w:rsidR="00D7144C" w:rsidRPr="00925F26" w:rsidRDefault="00D7144C" w:rsidP="00925F26">
      <w:pPr>
        <w:jc w:val="both"/>
        <w:rPr>
          <w:color w:val="000000" w:themeColor="text1"/>
          <w:sz w:val="16"/>
          <w:szCs w:val="16"/>
        </w:rPr>
      </w:pPr>
      <w:r w:rsidRPr="00925F26">
        <w:rPr>
          <w:color w:val="000000" w:themeColor="text1"/>
          <w:sz w:val="16"/>
          <w:szCs w:val="16"/>
        </w:rPr>
        <w:t>За время Отечественной войны завод № 342 в минимально короткий срок освоил массовое производство понтонно-мостовых парков, благодаря чему Красная Армия никогда не ощущала острой нужды в парках, всегда обеспечивалась средствами в нужных количествах.</w:t>
      </w:r>
    </w:p>
    <w:p w14:paraId="7FA1E4A9" w14:textId="77777777" w:rsidR="00D7144C" w:rsidRPr="00925F26" w:rsidRDefault="00D7144C" w:rsidP="00925F26">
      <w:pPr>
        <w:jc w:val="both"/>
        <w:rPr>
          <w:color w:val="000000" w:themeColor="text1"/>
          <w:sz w:val="16"/>
          <w:szCs w:val="16"/>
        </w:rPr>
      </w:pPr>
      <w:r w:rsidRPr="00925F26">
        <w:rPr>
          <w:color w:val="000000" w:themeColor="text1"/>
          <w:sz w:val="16"/>
          <w:szCs w:val="16"/>
        </w:rPr>
        <w:t>Изготовленные заводом №342 понтонно-мостовые парки участвовали на всех фронтах Отечественной войны и показали себя только с хорошей стороны.</w:t>
      </w:r>
    </w:p>
    <w:p w14:paraId="00CE3670" w14:textId="77777777" w:rsidR="00D7144C" w:rsidRPr="00925F26" w:rsidRDefault="00D7144C" w:rsidP="00925F26">
      <w:pPr>
        <w:jc w:val="both"/>
        <w:rPr>
          <w:color w:val="000000" w:themeColor="text1"/>
          <w:sz w:val="16"/>
          <w:szCs w:val="16"/>
        </w:rPr>
      </w:pPr>
      <w:r w:rsidRPr="00925F26">
        <w:rPr>
          <w:color w:val="000000" w:themeColor="text1"/>
          <w:sz w:val="16"/>
          <w:szCs w:val="16"/>
        </w:rPr>
        <w:t>В процессе серийного производства парков завод проделал большую работу по модернизации основных парков, благодаря чему улучшено качество и тактико-технические показатели этих средств.</w:t>
      </w:r>
    </w:p>
    <w:p w14:paraId="020B10BA" w14:textId="77777777" w:rsidR="00D7144C" w:rsidRPr="00925F26" w:rsidRDefault="00D7144C" w:rsidP="00925F26">
      <w:pPr>
        <w:jc w:val="both"/>
        <w:rPr>
          <w:color w:val="000000" w:themeColor="text1"/>
          <w:sz w:val="16"/>
          <w:szCs w:val="16"/>
        </w:rPr>
      </w:pPr>
      <w:r w:rsidRPr="00925F26">
        <w:rPr>
          <w:color w:val="000000" w:themeColor="text1"/>
          <w:sz w:val="16"/>
          <w:szCs w:val="16"/>
        </w:rPr>
        <w:t>§2. Достигнутые успехи оказались возможными благодаря пониманию задач и упорному труду со стороны всего коллектива рабочих, служащих и инженерно-технических работников завода №342, благодаря инициативной, энергичной и успешной работе со стороны директора завода т. Карпова Василия Павловича, который правильно нацеливал коллектив завода на выполнение поставленных задач.</w:t>
      </w:r>
    </w:p>
    <w:p w14:paraId="7D8D5F39" w14:textId="77777777" w:rsidR="00D7144C" w:rsidRPr="00925F26" w:rsidRDefault="00D7144C" w:rsidP="00925F26">
      <w:pPr>
        <w:jc w:val="both"/>
        <w:rPr>
          <w:color w:val="000000" w:themeColor="text1"/>
          <w:sz w:val="16"/>
          <w:szCs w:val="16"/>
        </w:rPr>
      </w:pPr>
      <w:r w:rsidRPr="00925F26">
        <w:rPr>
          <w:color w:val="000000" w:themeColor="text1"/>
          <w:sz w:val="16"/>
          <w:szCs w:val="16"/>
        </w:rPr>
        <w:t>§3. За успешную и плодотворную работу заводу №342 НКСП ССР по поставке для инженерных войск Кранной Армии понтонно-мостовых парков:</w:t>
      </w:r>
    </w:p>
    <w:p w14:paraId="338B0721" w14:textId="77777777" w:rsidR="00D7144C" w:rsidRPr="00925F26" w:rsidRDefault="00D7144C" w:rsidP="00925F26">
      <w:pPr>
        <w:jc w:val="both"/>
        <w:rPr>
          <w:color w:val="000000" w:themeColor="text1"/>
          <w:sz w:val="16"/>
          <w:szCs w:val="16"/>
        </w:rPr>
      </w:pPr>
      <w:r w:rsidRPr="00925F26">
        <w:rPr>
          <w:color w:val="000000" w:themeColor="text1"/>
          <w:sz w:val="16"/>
          <w:szCs w:val="16"/>
        </w:rPr>
        <w:t>а) объявляю благодарность коллективу рабочих, служащих и инженерно-технических работников завода №342;</w:t>
      </w:r>
    </w:p>
    <w:p w14:paraId="779D3A0D" w14:textId="77777777" w:rsidR="00D7144C" w:rsidRPr="00925F26" w:rsidRDefault="00D7144C" w:rsidP="00925F26">
      <w:pPr>
        <w:jc w:val="both"/>
        <w:rPr>
          <w:color w:val="000000" w:themeColor="text1"/>
          <w:sz w:val="16"/>
          <w:szCs w:val="16"/>
        </w:rPr>
      </w:pPr>
      <w:r w:rsidRPr="00925F26">
        <w:rPr>
          <w:color w:val="000000" w:themeColor="text1"/>
          <w:sz w:val="16"/>
          <w:szCs w:val="16"/>
        </w:rPr>
        <w:t>б) директору завода №342 т. Карпову В.П. объявляю благодарность и награждаю ценным подарком.</w:t>
      </w:r>
    </w:p>
    <w:p w14:paraId="65C90659" w14:textId="77777777" w:rsidR="00D7144C" w:rsidRPr="00925F26" w:rsidRDefault="00D7144C" w:rsidP="00925F26">
      <w:pPr>
        <w:jc w:val="both"/>
        <w:rPr>
          <w:color w:val="000000" w:themeColor="text1"/>
          <w:sz w:val="16"/>
          <w:szCs w:val="16"/>
        </w:rPr>
      </w:pPr>
      <w:r w:rsidRPr="00925F26">
        <w:rPr>
          <w:color w:val="000000" w:themeColor="text1"/>
          <w:sz w:val="16"/>
          <w:szCs w:val="16"/>
        </w:rPr>
        <w:t>§4. Начальнику ГВИУ КА предоставить мне материалы для вхождения в Правительство о награждении орденом завода и лучших работников правительственными наградами.</w:t>
      </w:r>
    </w:p>
    <w:p w14:paraId="6C056776" w14:textId="77777777" w:rsidR="00D7144C" w:rsidRPr="00925F26" w:rsidRDefault="00D7144C" w:rsidP="00925F26">
      <w:pPr>
        <w:jc w:val="both"/>
        <w:rPr>
          <w:color w:val="000000" w:themeColor="text1"/>
          <w:sz w:val="16"/>
          <w:szCs w:val="16"/>
        </w:rPr>
      </w:pPr>
      <w:r w:rsidRPr="00925F26">
        <w:rPr>
          <w:color w:val="000000" w:themeColor="text1"/>
          <w:sz w:val="16"/>
          <w:szCs w:val="16"/>
        </w:rPr>
        <w:t>Начальник инженерных войск Красной Армии</w:t>
      </w:r>
    </w:p>
    <w:p w14:paraId="265EFF9F" w14:textId="77777777" w:rsidR="00D7144C" w:rsidRPr="00925F26" w:rsidRDefault="00D7144C" w:rsidP="00925F26">
      <w:pPr>
        <w:jc w:val="both"/>
        <w:rPr>
          <w:color w:val="000000" w:themeColor="text1"/>
          <w:sz w:val="16"/>
          <w:szCs w:val="16"/>
        </w:rPr>
      </w:pPr>
      <w:r w:rsidRPr="00925F26">
        <w:rPr>
          <w:color w:val="000000" w:themeColor="text1"/>
          <w:sz w:val="16"/>
          <w:szCs w:val="16"/>
        </w:rPr>
        <w:t>маршал инженерных войск М. Воробьев».</w:t>
      </w:r>
    </w:p>
    <w:p w14:paraId="25814404" w14:textId="77777777" w:rsidR="00D7144C" w:rsidRPr="00925F26" w:rsidRDefault="00D7144C" w:rsidP="00925F26">
      <w:pPr>
        <w:shd w:val="clear" w:color="auto" w:fill="FFFFFF"/>
        <w:jc w:val="both"/>
        <w:rPr>
          <w:color w:val="000000" w:themeColor="text1"/>
          <w:sz w:val="16"/>
          <w:szCs w:val="16"/>
        </w:rPr>
      </w:pPr>
    </w:p>
    <w:p w14:paraId="6B1B0B5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78F0A29" w14:textId="77777777" w:rsidR="006103B3" w:rsidRPr="00925F26" w:rsidRDefault="006103B3" w:rsidP="00925F26">
      <w:pPr>
        <w:autoSpaceDE w:val="0"/>
        <w:autoSpaceDN w:val="0"/>
        <w:adjustRightInd w:val="0"/>
        <w:jc w:val="both"/>
        <w:rPr>
          <w:iCs/>
          <w:color w:val="000000" w:themeColor="text1"/>
          <w:sz w:val="16"/>
          <w:szCs w:val="16"/>
        </w:rPr>
      </w:pPr>
    </w:p>
    <w:p w14:paraId="15857C9F" w14:textId="77777777" w:rsidR="00A42EE3" w:rsidRPr="00925F26" w:rsidRDefault="00A42EE3" w:rsidP="00925F26">
      <w:pPr>
        <w:jc w:val="both"/>
        <w:rPr>
          <w:color w:val="000000" w:themeColor="text1"/>
          <w:sz w:val="16"/>
          <w:szCs w:val="16"/>
        </w:rPr>
      </w:pPr>
      <w:r w:rsidRPr="00925F26">
        <w:rPr>
          <w:bCs/>
          <w:color w:val="000000" w:themeColor="text1"/>
          <w:sz w:val="16"/>
          <w:szCs w:val="16"/>
        </w:rPr>
        <w:t>11 июня</w:t>
      </w:r>
      <w:r w:rsidRPr="00925F26">
        <w:rPr>
          <w:color w:val="000000" w:themeColor="text1"/>
          <w:sz w:val="16"/>
          <w:szCs w:val="16"/>
        </w:rPr>
        <w:t xml:space="preserve"> в 1945 году обращение Центрального Комитета Коммунистической партии Германии к народу с программой демократического переустройства страны (14919).</w:t>
      </w:r>
    </w:p>
    <w:p w14:paraId="3D0A9C4E" w14:textId="77777777" w:rsidR="00A42EE3" w:rsidRPr="00925F26" w:rsidRDefault="00A42EE3" w:rsidP="00925F26">
      <w:pPr>
        <w:jc w:val="both"/>
        <w:rPr>
          <w:color w:val="000000" w:themeColor="text1"/>
          <w:sz w:val="16"/>
          <w:szCs w:val="16"/>
        </w:rPr>
      </w:pPr>
    </w:p>
    <w:p w14:paraId="5B1B2D2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июня 1945 советские власти начали депортацию судетских немцев из Чехословакии в Германию (4962).</w:t>
      </w:r>
    </w:p>
    <w:p w14:paraId="3CA13D8A"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0C2AC5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759DA26" w14:textId="77777777" w:rsidR="006103B3" w:rsidRPr="00925F26" w:rsidRDefault="006103B3" w:rsidP="00925F26">
      <w:pPr>
        <w:autoSpaceDE w:val="0"/>
        <w:autoSpaceDN w:val="0"/>
        <w:adjustRightInd w:val="0"/>
        <w:jc w:val="both"/>
        <w:rPr>
          <w:iCs/>
          <w:color w:val="000000" w:themeColor="text1"/>
          <w:sz w:val="16"/>
          <w:szCs w:val="16"/>
        </w:rPr>
      </w:pPr>
    </w:p>
    <w:p w14:paraId="6D12B027"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11 июня 1945 австралийские войска высадились на острове Борнео (4962).</w:t>
      </w:r>
    </w:p>
    <w:p w14:paraId="00FCCBE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D26D04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5103311" w14:textId="77777777" w:rsidR="006103B3" w:rsidRPr="00925F26" w:rsidRDefault="006103B3" w:rsidP="00925F26">
      <w:pPr>
        <w:autoSpaceDE w:val="0"/>
        <w:autoSpaceDN w:val="0"/>
        <w:adjustRightInd w:val="0"/>
        <w:jc w:val="both"/>
        <w:rPr>
          <w:iCs/>
          <w:color w:val="000000" w:themeColor="text1"/>
          <w:sz w:val="16"/>
          <w:szCs w:val="16"/>
        </w:rPr>
      </w:pPr>
    </w:p>
    <w:p w14:paraId="6983F64E" w14:textId="77777777" w:rsidR="005F32F4" w:rsidRPr="00925F26" w:rsidRDefault="005F32F4" w:rsidP="00925F26">
      <w:pPr>
        <w:jc w:val="both"/>
        <w:rPr>
          <w:color w:val="000000" w:themeColor="text1"/>
          <w:sz w:val="16"/>
          <w:szCs w:val="16"/>
        </w:rPr>
      </w:pPr>
      <w:r w:rsidRPr="00925F26">
        <w:rPr>
          <w:color w:val="000000" w:themeColor="text1"/>
          <w:sz w:val="16"/>
          <w:szCs w:val="16"/>
        </w:rPr>
        <w:t>12 июня 1945 г. на имя главного мар</w:t>
      </w:r>
      <w:r w:rsidRPr="00925F26">
        <w:rPr>
          <w:color w:val="000000" w:themeColor="text1"/>
          <w:sz w:val="16"/>
          <w:szCs w:val="16"/>
        </w:rPr>
        <w:softHyphen/>
        <w:t>шала авиации А.А. Новикова ушло обращение за подписью главного конструктора самолета Ил-2 С.В. Ильюшина, начальника техническо</w:t>
      </w:r>
      <w:r w:rsidRPr="00925F26">
        <w:rPr>
          <w:color w:val="000000" w:themeColor="text1"/>
          <w:sz w:val="16"/>
          <w:szCs w:val="16"/>
        </w:rPr>
        <w:softHyphen/>
        <w:t>го отдела НКАП А.Т. Туманова и заместителя начальника ВИАМ С.Т. Кишкина. Они отмеча</w:t>
      </w:r>
      <w:r w:rsidRPr="00925F26">
        <w:rPr>
          <w:color w:val="000000" w:themeColor="text1"/>
          <w:sz w:val="16"/>
          <w:szCs w:val="16"/>
        </w:rPr>
        <w:softHyphen/>
        <w:t>ли, что изменения правил приемки без согла</w:t>
      </w:r>
      <w:r w:rsidRPr="00925F26">
        <w:rPr>
          <w:color w:val="000000" w:themeColor="text1"/>
          <w:sz w:val="16"/>
          <w:szCs w:val="16"/>
        </w:rPr>
        <w:softHyphen/>
        <w:t>сования с главным конструктором самолета и Наркоматом авиационной промышленности является беспрецедентным случаем. Главным виновником считался районный инженер 5-го отдела УЗСиМ ГУЗ ВВС инженер-майор Фрид</w:t>
      </w:r>
      <w:r w:rsidRPr="00925F26">
        <w:rPr>
          <w:color w:val="000000" w:themeColor="text1"/>
          <w:sz w:val="16"/>
          <w:szCs w:val="16"/>
        </w:rPr>
        <w:softHyphen/>
        <w:t>ман, который</w:t>
      </w:r>
      <w:r w:rsidRPr="00925F26">
        <w:rPr>
          <w:rStyle w:val="aff6"/>
          <w:rFonts w:ascii="Times New Roman" w:hAnsi="Times New Roman" w:cs="Times New Roman"/>
          <w:i w:val="0"/>
          <w:color w:val="000000" w:themeColor="text1"/>
        </w:rPr>
        <w:t xml:space="preserve"> «предложил взамен брони АБ-2 цементованную броню ХД в гомогенном вари</w:t>
      </w:r>
      <w:r w:rsidRPr="00925F26">
        <w:rPr>
          <w:rStyle w:val="aff6"/>
          <w:rFonts w:ascii="Times New Roman" w:hAnsi="Times New Roman" w:cs="Times New Roman"/>
          <w:i w:val="0"/>
          <w:color w:val="000000" w:themeColor="text1"/>
        </w:rPr>
        <w:softHyphen/>
        <w:t>анте и занял резко отрицательную позицию по отношению к броне АБ-3».</w:t>
      </w:r>
    </w:p>
    <w:p w14:paraId="068CF418" w14:textId="77777777" w:rsidR="005F32F4" w:rsidRPr="00925F26" w:rsidRDefault="005F32F4" w:rsidP="00925F26">
      <w:pPr>
        <w:jc w:val="both"/>
        <w:rPr>
          <w:color w:val="000000" w:themeColor="text1"/>
          <w:sz w:val="16"/>
          <w:szCs w:val="16"/>
        </w:rPr>
      </w:pPr>
      <w:r w:rsidRPr="00925F26">
        <w:rPr>
          <w:color w:val="000000" w:themeColor="text1"/>
          <w:sz w:val="16"/>
          <w:szCs w:val="16"/>
        </w:rPr>
        <w:t>По их единодушному мнению,</w:t>
      </w:r>
      <w:r w:rsidRPr="00925F26">
        <w:rPr>
          <w:rStyle w:val="aff6"/>
          <w:rFonts w:ascii="Times New Roman" w:hAnsi="Times New Roman" w:cs="Times New Roman"/>
          <w:i w:val="0"/>
          <w:color w:val="000000" w:themeColor="text1"/>
        </w:rPr>
        <w:t xml:space="preserve"> «вопрос о новых требованиях к броне, с учетом оружия крупного калибра, должен быть рассмотрен особо, причем повышение противоснарядной живучести брони не должно идти за счет сни</w:t>
      </w:r>
      <w:r w:rsidRPr="00925F26">
        <w:rPr>
          <w:rStyle w:val="aff6"/>
          <w:rFonts w:ascii="Times New Roman" w:hAnsi="Times New Roman" w:cs="Times New Roman"/>
          <w:i w:val="0"/>
          <w:color w:val="000000" w:themeColor="text1"/>
        </w:rPr>
        <w:softHyphen/>
        <w:t>жения ее пулестойкости».</w:t>
      </w:r>
      <w:r w:rsidRPr="00925F26">
        <w:rPr>
          <w:color w:val="000000" w:themeColor="text1"/>
          <w:sz w:val="16"/>
          <w:szCs w:val="16"/>
        </w:rPr>
        <w:t xml:space="preserve"> Между тем, именно этому требованию броня ХД, созданная специ</w:t>
      </w:r>
      <w:r w:rsidRPr="00925F26">
        <w:rPr>
          <w:color w:val="000000" w:themeColor="text1"/>
          <w:sz w:val="16"/>
          <w:szCs w:val="16"/>
        </w:rPr>
        <w:softHyphen/>
        <w:t>ально как цементованная (с низким содержа</w:t>
      </w:r>
      <w:r w:rsidRPr="00925F26">
        <w:rPr>
          <w:color w:val="000000" w:themeColor="text1"/>
          <w:sz w:val="16"/>
          <w:szCs w:val="16"/>
        </w:rPr>
        <w:softHyphen/>
        <w:t>нием углерода при высоком - хрома), не могла отвечать в гомогенном варианте.</w:t>
      </w:r>
    </w:p>
    <w:p w14:paraId="687CE374" w14:textId="77777777" w:rsidR="005F32F4" w:rsidRPr="00925F26" w:rsidRDefault="005F32F4" w:rsidP="00925F26">
      <w:pPr>
        <w:pStyle w:val="45"/>
        <w:shd w:val="clear" w:color="auto" w:fill="auto"/>
        <w:spacing w:before="0" w:line="240" w:lineRule="auto"/>
        <w:jc w:val="both"/>
        <w:rPr>
          <w:rStyle w:val="4e"/>
          <w:rFonts w:ascii="Times New Roman" w:eastAsia="Calibri" w:hAnsi="Times New Roman" w:cs="Times New Roman"/>
          <w:i w:val="0"/>
          <w:color w:val="000000" w:themeColor="text1"/>
          <w:sz w:val="16"/>
          <w:szCs w:val="16"/>
        </w:rPr>
      </w:pPr>
      <w:r w:rsidRPr="00925F26">
        <w:rPr>
          <w:rStyle w:val="4e"/>
          <w:rFonts w:ascii="Times New Roman" w:eastAsia="Calibri" w:hAnsi="Times New Roman" w:cs="Times New Roman"/>
          <w:i w:val="0"/>
          <w:color w:val="000000" w:themeColor="text1"/>
          <w:sz w:val="16"/>
          <w:szCs w:val="16"/>
        </w:rPr>
        <w:t>В заключение они просили маршала Но</w:t>
      </w:r>
      <w:r w:rsidRPr="00925F26">
        <w:rPr>
          <w:rStyle w:val="4e"/>
          <w:rFonts w:ascii="Times New Roman" w:eastAsia="Calibri" w:hAnsi="Times New Roman" w:cs="Times New Roman"/>
          <w:i w:val="0"/>
          <w:color w:val="000000" w:themeColor="text1"/>
          <w:sz w:val="16"/>
          <w:szCs w:val="16"/>
        </w:rPr>
        <w:softHyphen/>
        <w:t>викова</w:t>
      </w:r>
      <w:r w:rsidRPr="00925F26">
        <w:rPr>
          <w:rFonts w:ascii="Times New Roman" w:cs="Times New Roman"/>
          <w:color w:val="000000" w:themeColor="text1"/>
          <w:sz w:val="16"/>
          <w:szCs w:val="16"/>
        </w:rPr>
        <w:t xml:space="preserve"> «решить вопрос о приемке броневых деталей из стали АБ-3 по ТУ на броню АБ-2, взамен которой и рекомендована броня АБ-3». </w:t>
      </w:r>
      <w:r w:rsidRPr="00925F26">
        <w:rPr>
          <w:rStyle w:val="4e"/>
          <w:rFonts w:ascii="Times New Roman" w:eastAsia="Calibri" w:hAnsi="Times New Roman" w:cs="Times New Roman"/>
          <w:i w:val="0"/>
          <w:color w:val="000000" w:themeColor="text1"/>
          <w:sz w:val="16"/>
          <w:szCs w:val="16"/>
        </w:rPr>
        <w:t>Ответный доклад был подготовлен и 19 июня доложен командующему ВВС (17479).</w:t>
      </w:r>
    </w:p>
    <w:p w14:paraId="1A2ED5D3"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p>
    <w:p w14:paraId="2297477E" w14:textId="77777777" w:rsidR="003203B4" w:rsidRPr="00925F26" w:rsidRDefault="003203B4" w:rsidP="00925F26">
      <w:pPr>
        <w:jc w:val="both"/>
        <w:rPr>
          <w:color w:val="000000" w:themeColor="text1"/>
          <w:sz w:val="16"/>
          <w:szCs w:val="16"/>
        </w:rPr>
      </w:pPr>
      <w:r w:rsidRPr="00925F26">
        <w:rPr>
          <w:color w:val="000000" w:themeColor="text1"/>
          <w:sz w:val="16"/>
          <w:szCs w:val="16"/>
        </w:rPr>
        <w:t>12 июня 1945 г. суд</w:t>
      </w:r>
      <w:r w:rsidRPr="00925F26">
        <w:rPr>
          <w:color w:val="000000" w:themeColor="text1"/>
          <w:sz w:val="16"/>
          <w:szCs w:val="16"/>
        </w:rPr>
        <w:softHyphen/>
        <w:t>но «Саннитиан» с 53 истреби</w:t>
      </w:r>
      <w:r w:rsidRPr="00925F26">
        <w:rPr>
          <w:color w:val="000000" w:themeColor="text1"/>
          <w:sz w:val="16"/>
          <w:szCs w:val="16"/>
        </w:rPr>
        <w:softHyphen/>
        <w:t>телями Спитфайр 1Х на борту пришло в Молотовск (Северодвинск).</w:t>
      </w:r>
    </w:p>
    <w:p w14:paraId="209E6413" w14:textId="77777777" w:rsidR="003203B4" w:rsidRPr="00925F26" w:rsidRDefault="003203B4" w:rsidP="00925F26">
      <w:pPr>
        <w:jc w:val="both"/>
        <w:rPr>
          <w:color w:val="000000" w:themeColor="text1"/>
          <w:sz w:val="16"/>
          <w:szCs w:val="16"/>
        </w:rPr>
      </w:pPr>
      <w:r w:rsidRPr="00925F26">
        <w:rPr>
          <w:color w:val="000000" w:themeColor="text1"/>
          <w:sz w:val="16"/>
          <w:szCs w:val="16"/>
        </w:rPr>
        <w:t>Всего в Советский Союз ввезли 1185 «Спитфайров» IX, из них 1183 типа LF IX и два HF IX. Среди самолетов, прибывших весной 1945 г., были и девять внешне неот</w:t>
      </w:r>
      <w:r w:rsidRPr="00925F26">
        <w:rPr>
          <w:color w:val="000000" w:themeColor="text1"/>
          <w:sz w:val="16"/>
          <w:szCs w:val="16"/>
        </w:rPr>
        <w:softHyphen/>
        <w:t>личимых LFXVI.</w:t>
      </w:r>
    </w:p>
    <w:p w14:paraId="7771E253" w14:textId="77777777" w:rsidR="003203B4" w:rsidRPr="00925F26" w:rsidRDefault="003203B4" w:rsidP="00925F26">
      <w:pPr>
        <w:jc w:val="both"/>
        <w:rPr>
          <w:color w:val="000000" w:themeColor="text1"/>
          <w:sz w:val="16"/>
          <w:szCs w:val="16"/>
        </w:rPr>
      </w:pPr>
      <w:r w:rsidRPr="00925F26">
        <w:rPr>
          <w:color w:val="000000" w:themeColor="text1"/>
          <w:sz w:val="16"/>
          <w:szCs w:val="16"/>
        </w:rPr>
        <w:t>«Спитфайры» IX разных вариантов были досконально изучены в НИИ ВВС. Первый из них, типа LFIX, испытывался там в сентябре 1944 г. Испытания показа</w:t>
      </w:r>
      <w:r w:rsidRPr="00925F26">
        <w:rPr>
          <w:color w:val="000000" w:themeColor="text1"/>
          <w:sz w:val="16"/>
          <w:szCs w:val="16"/>
        </w:rPr>
        <w:softHyphen/>
        <w:t>ли: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12 500 м, а прошедший ис</w:t>
      </w:r>
      <w:r w:rsidRPr="00925F26">
        <w:rPr>
          <w:color w:val="000000" w:themeColor="text1"/>
          <w:sz w:val="16"/>
          <w:szCs w:val="16"/>
        </w:rPr>
        <w:softHyphen/>
        <w:t>пытания в мае — августе 1945 г. HF IX — 1310 м. Это на 2450 м превосходило пото</w:t>
      </w:r>
      <w:r w:rsidRPr="00925F26">
        <w:rPr>
          <w:color w:val="000000" w:themeColor="text1"/>
          <w:sz w:val="16"/>
          <w:szCs w:val="16"/>
        </w:rPr>
        <w:softHyphen/>
        <w:t>лок Як-9У и на 2350 м — Ла-7. Английский истребитель превосходил их также по скороподъемности и мощи вооружения. Имевшееся на «Спитфайре» оборудование также выделяло его в лучшую сторону.</w:t>
      </w:r>
    </w:p>
    <w:p w14:paraId="6704778C" w14:textId="77777777" w:rsidR="003203B4" w:rsidRPr="00925F26" w:rsidRDefault="003203B4" w:rsidP="00925F26">
      <w:pPr>
        <w:jc w:val="both"/>
        <w:rPr>
          <w:color w:val="000000" w:themeColor="text1"/>
          <w:sz w:val="16"/>
          <w:szCs w:val="16"/>
        </w:rPr>
      </w:pPr>
      <w:r w:rsidRPr="00925F26">
        <w:rPr>
          <w:color w:val="000000" w:themeColor="text1"/>
          <w:sz w:val="16"/>
          <w:szCs w:val="16"/>
        </w:rPr>
        <w:t>Но на малых и средних высотах LF IX серьезно уступал новейшим советским ис</w:t>
      </w:r>
      <w:r w:rsidRPr="00925F26">
        <w:rPr>
          <w:color w:val="000000" w:themeColor="text1"/>
          <w:sz w:val="16"/>
          <w:szCs w:val="16"/>
        </w:rPr>
        <w:softHyphen/>
        <w:t>требителям. Например, в скорости у зем</w:t>
      </w:r>
      <w:r w:rsidRPr="00925F26">
        <w:rPr>
          <w:color w:val="000000" w:themeColor="text1"/>
          <w:sz w:val="16"/>
          <w:szCs w:val="16"/>
        </w:rPr>
        <w:softHyphen/>
        <w:t>ли он проигрывал Ла-7 целых 100 км/ч. Поэтому использование «Спитфайров» на фронте признали нецелесообразным, по</w:t>
      </w:r>
      <w:r w:rsidRPr="00925F26">
        <w:rPr>
          <w:color w:val="000000" w:themeColor="text1"/>
          <w:sz w:val="16"/>
          <w:szCs w:val="16"/>
        </w:rPr>
        <w:softHyphen/>
        <w:t>чти все их направили в полки ПВО (23513).</w:t>
      </w:r>
    </w:p>
    <w:p w14:paraId="316B1731" w14:textId="77777777" w:rsidR="003203B4" w:rsidRPr="00925F26" w:rsidRDefault="003203B4" w:rsidP="00925F26">
      <w:pPr>
        <w:jc w:val="both"/>
        <w:rPr>
          <w:color w:val="000000" w:themeColor="text1"/>
          <w:sz w:val="16"/>
          <w:szCs w:val="16"/>
        </w:rPr>
      </w:pPr>
    </w:p>
    <w:p w14:paraId="11CDBCB9"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На 12 июня 1945 состояние опытного строительства на заводе № 81 было следующим:</w:t>
      </w:r>
    </w:p>
    <w:p w14:paraId="1CCDBA1C"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По с-ту “К” все работы прекращены.</w:t>
      </w:r>
    </w:p>
    <w:p w14:paraId="1B6980CB"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Изделие 120Р (АШ-83 и РД-1) - строительство с-та закончено. Нет РД-1</w:t>
      </w:r>
    </w:p>
    <w:p w14:paraId="397E9D33"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с АШ-82 с 3 пушками Шпитального калибра 20 мм - произведен отстрел 2-х б/к в тире. В дальнейшем на с-те Ла-7 АШ-82ФН завода № 81 согласно приказу Шахурина будут ставить 3 облегченные пушки калибра 23мм. Все работы по установке 3-х 23 мм пушек предполагается закончить к 1 июля</w:t>
      </w:r>
    </w:p>
    <w:p w14:paraId="496182DF"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Ла-7 АШ-82ФН с 2 пушками НС-23 и Ла-7 УТИ - с-ты переданы в ГК НИИ ВВС</w:t>
      </w:r>
    </w:p>
    <w:p w14:paraId="3CE67A95"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Изделие 150 (реактивный с-т с ВРД) - с-т с ЮМО-004 представляет собой одноместный одномоторный истребитель цельнометаллической конструкциис векрхним расположением крыла. ВРД расположен в фюзеляже позади кабины л. Забор воздуха производится из передней части через специальные каналы к воздухоприемнику ВРД. Крыло с ламинизированным профилем с толщиной 12%, площадью 10 м2. Установлены 2 пушки НС-23. Шасси - трехколесное с гидравлической уборкой. Горючее рпазмещено в бензобаке объемом 540 л (25-28 минут на номинальном режиме). Полетный вес 2800 кг. Утвержден эскизный проект. Изготовлены чертежи на макет. Начато изготовление макета (738,37).</w:t>
      </w:r>
    </w:p>
    <w:p w14:paraId="70F96A3C" w14:textId="77777777" w:rsidR="006103B3" w:rsidRPr="00925F26" w:rsidRDefault="006103B3" w:rsidP="00925F26">
      <w:pPr>
        <w:widowControl w:val="0"/>
        <w:autoSpaceDE w:val="0"/>
        <w:autoSpaceDN w:val="0"/>
        <w:adjustRightInd w:val="0"/>
        <w:jc w:val="both"/>
        <w:rPr>
          <w:color w:val="000000" w:themeColor="text1"/>
          <w:sz w:val="16"/>
          <w:szCs w:val="16"/>
        </w:rPr>
      </w:pPr>
    </w:p>
    <w:p w14:paraId="2B6D844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вышел вышло распоряжение СНК № 9154р:</w:t>
      </w:r>
    </w:p>
    <w:p w14:paraId="23782A4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 Директору з-да 493 Дьяченко передать НКХП помещения, занимаемые з-м 493 в Кемерово.</w:t>
      </w:r>
    </w:p>
    <w:p w14:paraId="53FBA0A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2....обеспечить перевозку рабочих з-да и оборудования на базу площадки з-да 307 в Ржеве Калиниской обл., в течение 3-го кв. 1945</w:t>
      </w:r>
    </w:p>
    <w:p w14:paraId="774E9728"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Дементьев (1891, 70).</w:t>
      </w:r>
    </w:p>
    <w:p w14:paraId="1D09C2B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A805A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 июня 1945 года вышло постановление СНК за № 9154р о том, что на старую территорию завода № 307 переводится завод № 493 НКАП (8972).</w:t>
      </w:r>
    </w:p>
    <w:p w14:paraId="4923510D" w14:textId="77777777" w:rsidR="006103B3" w:rsidRPr="00925F26" w:rsidRDefault="006103B3" w:rsidP="00925F26">
      <w:pPr>
        <w:autoSpaceDE w:val="0"/>
        <w:autoSpaceDN w:val="0"/>
        <w:adjustRightInd w:val="0"/>
        <w:jc w:val="both"/>
        <w:rPr>
          <w:color w:val="000000" w:themeColor="text1"/>
          <w:sz w:val="16"/>
          <w:szCs w:val="16"/>
        </w:rPr>
      </w:pPr>
    </w:p>
    <w:p w14:paraId="6AE92E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 июня 1945 года на основании решения Совнаркома за № 3154с, завод № 493 НКАП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0E976EE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62865B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Ржев Калининской области</w:t>
      </w:r>
    </w:p>
    <w:p w14:paraId="577B9C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Производственный профиль – создание и изготовление сварочной аппаратуры в среде защитных газов (9860).</w:t>
      </w:r>
    </w:p>
    <w:p w14:paraId="3C23AE6F" w14:textId="77777777" w:rsidR="006103B3" w:rsidRPr="00925F26" w:rsidRDefault="006103B3" w:rsidP="00925F26">
      <w:pPr>
        <w:autoSpaceDE w:val="0"/>
        <w:autoSpaceDN w:val="0"/>
        <w:adjustRightInd w:val="0"/>
        <w:jc w:val="both"/>
        <w:rPr>
          <w:color w:val="000000" w:themeColor="text1"/>
          <w:sz w:val="16"/>
          <w:szCs w:val="16"/>
        </w:rPr>
      </w:pPr>
    </w:p>
    <w:p w14:paraId="3FE7BFB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8B30F86" w14:textId="77777777" w:rsidR="006103B3" w:rsidRPr="00925F26" w:rsidRDefault="006103B3" w:rsidP="00925F26">
      <w:pPr>
        <w:autoSpaceDE w:val="0"/>
        <w:autoSpaceDN w:val="0"/>
        <w:adjustRightInd w:val="0"/>
        <w:jc w:val="both"/>
        <w:rPr>
          <w:iCs/>
          <w:color w:val="000000" w:themeColor="text1"/>
          <w:sz w:val="16"/>
          <w:szCs w:val="16"/>
        </w:rPr>
      </w:pPr>
    </w:p>
    <w:p w14:paraId="4867500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вышло распоряжение № 10630-р о производстве деталей и зап. частей к гардинно-тюлевому и кружевенному оборудованию на заводах НК минометного вооружения (7543, 93).</w:t>
      </w:r>
    </w:p>
    <w:p w14:paraId="3E773B1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F23EEC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12 июня 1945 г. Совет Народных Комиссаров Союза ССР выпустил Распоряжение № 10630-р</w:t>
      </w:r>
    </w:p>
    <w:p w14:paraId="208C0BF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37B36A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целях увеличения выпуска текстильно-галантерейных изделий гражданского ассортимента (платков, кашне, ко</w:t>
      </w:r>
      <w:r w:rsidRPr="00925F26">
        <w:rPr>
          <w:color w:val="000000" w:themeColor="text1"/>
          <w:sz w:val="16"/>
          <w:szCs w:val="16"/>
        </w:rPr>
        <w:softHyphen/>
        <w:t>сынок, тюля, гардин, кружев и др.) во П полугодии 1945 года на 12 млн. рублей, в том числе: гардинного полотна на 280 тыс. метров, вышитых купонов на 40 тыс. штук, рези</w:t>
      </w:r>
      <w:r w:rsidRPr="00925F26">
        <w:rPr>
          <w:color w:val="000000" w:themeColor="text1"/>
          <w:sz w:val="16"/>
          <w:szCs w:val="16"/>
        </w:rPr>
        <w:softHyphen/>
        <w:t>новых изделий на 560 тыс. метров, шелковых лент на 700 тыс. метров и ботиночного шнура на 6 млн. пар.</w:t>
      </w:r>
    </w:p>
    <w:p w14:paraId="7904E3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Обязать Наркомат Минометного Вооружения (т.Паршина) приступить во втором полугодии 1945 года к изготовлению деталей и запасных частей для гардинно-тюлевого и кружевного оборудования.</w:t>
      </w:r>
    </w:p>
    <w:p w14:paraId="4BA424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Обязать Наркомтекстиль СССР (т. Седина):</w:t>
      </w:r>
    </w:p>
    <w:p w14:paraId="730B258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изготовить до 1 января 1946 г. для Главного Управ</w:t>
      </w:r>
      <w:r w:rsidRPr="00925F26">
        <w:rPr>
          <w:color w:val="000000" w:themeColor="text1"/>
          <w:sz w:val="16"/>
          <w:szCs w:val="16"/>
        </w:rPr>
        <w:softHyphen/>
        <w:t>ления текстильно-галантерейной промышленности Нар-комлегпрома РСФСР:</w:t>
      </w:r>
    </w:p>
    <w:p w14:paraId="0DAAE1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бердочного зуба — 500 тыс. штук,</w:t>
      </w:r>
    </w:p>
    <w:p w14:paraId="6F967C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галев металлических — 500</w:t>
      </w:r>
    </w:p>
    <w:p w14:paraId="7B3897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выделять ежеквартально гардинно-тюлевой фабрике имени Самойлова 20 тонн хлопчатобумажной пряжи с Ленинградских текстильных фабрик;</w:t>
      </w:r>
    </w:p>
    <w:p w14:paraId="4511BC1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организовать при Московском текстильном институ</w:t>
      </w:r>
      <w:r w:rsidRPr="00925F26">
        <w:rPr>
          <w:color w:val="000000" w:themeColor="text1"/>
          <w:sz w:val="16"/>
          <w:szCs w:val="16"/>
        </w:rPr>
        <w:softHyphen/>
        <w:t>те и Московском текстильном техникуме группы по подготовке специалистов для текстильно-галантерейной промышленности.</w:t>
      </w:r>
    </w:p>
    <w:p w14:paraId="5469AB13"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3. Обязать Главснаблес при Совнаркоме СССР (т. Лопухова) выделить во втором полугодии 1945 г. Нар-комлегпрому РСФСР для текстильно-галантерейной промышленности 200 кбм бука белого, 300 кбм пилома</w:t>
      </w:r>
      <w:r w:rsidRPr="00925F26">
        <w:rPr>
          <w:color w:val="000000" w:themeColor="text1"/>
          <w:sz w:val="16"/>
          <w:szCs w:val="16"/>
        </w:rPr>
        <w:softHyphen/>
        <w:t>териалов и 50 кбм фанеры.</w:t>
      </w:r>
    </w:p>
    <w:p w14:paraId="74D4E73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4. Обязать Главснабуголь при Совнаркоме СССР (т. Курмашева) поставить в </w:t>
      </w:r>
      <w:r w:rsidRPr="00925F26">
        <w:rPr>
          <w:color w:val="000000" w:themeColor="text1"/>
          <w:sz w:val="16"/>
          <w:szCs w:val="16"/>
          <w:lang w:val="en-US"/>
        </w:rPr>
        <w:t>III</w:t>
      </w:r>
      <w:r w:rsidRPr="00925F26">
        <w:rPr>
          <w:color w:val="000000" w:themeColor="text1"/>
          <w:sz w:val="16"/>
          <w:szCs w:val="16"/>
        </w:rPr>
        <w:t xml:space="preserve"> квартале 1945 года фабри</w:t>
      </w:r>
      <w:r w:rsidRPr="00925F26">
        <w:rPr>
          <w:color w:val="000000" w:themeColor="text1"/>
          <w:sz w:val="16"/>
          <w:szCs w:val="16"/>
        </w:rPr>
        <w:softHyphen/>
        <w:t>ке № 7 Главного Управления текстильно-галантерейной промышленности донецкого угля в количестве 900 тони за счет фондов Наркомлегпрома СССР.</w:t>
      </w:r>
    </w:p>
    <w:p w14:paraId="26B8329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5. Обязать Наркомат Среднего Машиностроения (т. Акопова) выделить в </w:t>
      </w:r>
      <w:r w:rsidRPr="00925F26">
        <w:rPr>
          <w:color w:val="000000" w:themeColor="text1"/>
          <w:sz w:val="16"/>
          <w:szCs w:val="16"/>
          <w:lang w:val="en-US"/>
        </w:rPr>
        <w:t>III</w:t>
      </w:r>
      <w:r w:rsidRPr="00925F26">
        <w:rPr>
          <w:color w:val="000000" w:themeColor="text1"/>
          <w:sz w:val="16"/>
          <w:szCs w:val="16"/>
        </w:rPr>
        <w:t xml:space="preserve"> квартале 1945 года Нарком-легпрому РСФСР для текстильно-галантерейной про</w:t>
      </w:r>
      <w:r w:rsidRPr="00925F26">
        <w:rPr>
          <w:color w:val="000000" w:themeColor="text1"/>
          <w:sz w:val="16"/>
          <w:szCs w:val="16"/>
        </w:rPr>
        <w:softHyphen/>
        <w:t>мышленности 20 автомашин за счет фондов Наркомлегп</w:t>
      </w:r>
      <w:r w:rsidRPr="00925F26">
        <w:rPr>
          <w:color w:val="000000" w:themeColor="text1"/>
          <w:sz w:val="16"/>
          <w:szCs w:val="16"/>
        </w:rPr>
        <w:softHyphen/>
        <w:t>рома СССР.</w:t>
      </w:r>
    </w:p>
    <w:p w14:paraId="037937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6. Обязать Наркомстройматериалов СССР (т. Соснина) выделить в </w:t>
      </w:r>
      <w:r w:rsidRPr="00925F26">
        <w:rPr>
          <w:color w:val="000000" w:themeColor="text1"/>
          <w:sz w:val="16"/>
          <w:szCs w:val="16"/>
          <w:lang w:val="en-US"/>
        </w:rPr>
        <w:t>III</w:t>
      </w:r>
      <w:r w:rsidRPr="00925F26">
        <w:rPr>
          <w:color w:val="000000" w:themeColor="text1"/>
          <w:sz w:val="16"/>
          <w:szCs w:val="16"/>
        </w:rPr>
        <w:t xml:space="preserve"> кв. 1945 г. Наркомлегпрому РСФСР для тек</w:t>
      </w:r>
      <w:r w:rsidRPr="00925F26">
        <w:rPr>
          <w:color w:val="000000" w:themeColor="text1"/>
          <w:sz w:val="16"/>
          <w:szCs w:val="16"/>
        </w:rPr>
        <w:softHyphen/>
        <w:t>стильно-галантерейной промышленности 40 тонн цемента и 500 рулонов толя за счет остатков промышленности.</w:t>
      </w:r>
    </w:p>
    <w:p w14:paraId="5C5C8E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Разрешить Главному Управлению текстильно-галанте</w:t>
      </w:r>
      <w:r w:rsidRPr="00925F26">
        <w:rPr>
          <w:color w:val="000000" w:themeColor="text1"/>
          <w:sz w:val="16"/>
          <w:szCs w:val="16"/>
        </w:rPr>
        <w:softHyphen/>
        <w:t>рейной промышленности Наркомлегпрома РСФСР реэва</w:t>
      </w:r>
      <w:r w:rsidRPr="00925F26">
        <w:rPr>
          <w:color w:val="000000" w:themeColor="text1"/>
          <w:sz w:val="16"/>
          <w:szCs w:val="16"/>
        </w:rPr>
        <w:softHyphen/>
        <w:t>куировать в Москву 100 работников с их семьями.</w:t>
      </w:r>
    </w:p>
    <w:p w14:paraId="65CED9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Зам.Председателя Совета Народных Комиссаров Союза ССР</w:t>
      </w:r>
    </w:p>
    <w:p w14:paraId="4B7EFC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(А.Косыгин)</w:t>
      </w:r>
    </w:p>
    <w:p w14:paraId="61A0277F"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Г АРФ. Ф. 5446. Оп .2. Д. 128. Л. 18, 19. Подлинник (11461).</w:t>
      </w:r>
    </w:p>
    <w:p w14:paraId="581823D4" w14:textId="77777777" w:rsidR="006103B3" w:rsidRPr="00925F26" w:rsidRDefault="006103B3" w:rsidP="00925F26">
      <w:pPr>
        <w:widowControl w:val="0"/>
        <w:autoSpaceDE w:val="0"/>
        <w:autoSpaceDN w:val="0"/>
        <w:adjustRightInd w:val="0"/>
        <w:jc w:val="both"/>
        <w:rPr>
          <w:color w:val="000000" w:themeColor="text1"/>
          <w:sz w:val="16"/>
          <w:szCs w:val="16"/>
        </w:rPr>
      </w:pPr>
    </w:p>
    <w:p w14:paraId="71B5A42C" w14:textId="3061D637" w:rsidR="00B2773E" w:rsidRPr="00B2773E" w:rsidRDefault="00B2773E" w:rsidP="00925F26">
      <w:pPr>
        <w:tabs>
          <w:tab w:val="left" w:pos="11199"/>
        </w:tabs>
        <w:autoSpaceDE w:val="0"/>
        <w:autoSpaceDN w:val="0"/>
        <w:adjustRightInd w:val="0"/>
        <w:jc w:val="both"/>
        <w:rPr>
          <w:color w:val="0070C0"/>
          <w:sz w:val="16"/>
          <w:szCs w:val="16"/>
        </w:rPr>
      </w:pPr>
      <w:r w:rsidRPr="00B2773E">
        <w:rPr>
          <w:color w:val="0070C0"/>
          <w:sz w:val="16"/>
          <w:szCs w:val="16"/>
        </w:rPr>
        <w:t>12 июня 1945 г. вышло правительственное постановление, согласно которому фонды на металлорежущие станки и прессы, выделенные во 2 квартале Наркомату танковой промышленности (НКТП), сокращались. Глава наркомата В.</w:t>
      </w:r>
      <w:proofErr w:type="gramStart"/>
      <w:r w:rsidRPr="00B2773E">
        <w:rPr>
          <w:color w:val="0070C0"/>
          <w:sz w:val="16"/>
          <w:szCs w:val="16"/>
        </w:rPr>
        <w:t>А .Малышев</w:t>
      </w:r>
      <w:proofErr w:type="gramEnd"/>
      <w:r w:rsidRPr="00B2773E">
        <w:rPr>
          <w:color w:val="0070C0"/>
          <w:sz w:val="16"/>
          <w:szCs w:val="16"/>
        </w:rPr>
        <w:t xml:space="preserve"> обратился с письмом к Л.П. Берии как куратору ВПК в правительстве, с просьбой отменить данное решение. Аргументы Малышева сводились к тому, что оборудование предназначалось для выпуска железнодорожных цистерн и судовых дизелей, то есть для гражданской </w:t>
      </w:r>
      <w:proofErr w:type="gramStart"/>
      <w:r w:rsidRPr="00B2773E">
        <w:rPr>
          <w:color w:val="0070C0"/>
          <w:sz w:val="16"/>
          <w:szCs w:val="16"/>
        </w:rPr>
        <w:t>про-дукции</w:t>
      </w:r>
      <w:proofErr w:type="gramEnd"/>
      <w:r w:rsidRPr="00B2773E">
        <w:rPr>
          <w:color w:val="0070C0"/>
          <w:sz w:val="16"/>
          <w:szCs w:val="16"/>
        </w:rPr>
        <w:t xml:space="preserve">. Обращение Малышева пошло по бюрократической цепочке. Берия поручил заниматься этим вопросом Госплану. Его руководитель Н.А. Вознесенский дал указание своим заместителям Н.М. Силуянову и Н.П. Борисову выяснить, сколько станков было выделено НКТП по особым поставкам. После того как были подготовлены соответствующие материалы, просьба Малышева была удовлетворена, о чем свидетельствует резолюция на документе: «В дело. Принято постановлением ГКО 26.06.1945» (25780). </w:t>
      </w:r>
    </w:p>
    <w:p w14:paraId="188AD291" w14:textId="77777777" w:rsidR="00B2773E" w:rsidRPr="00B2773E" w:rsidRDefault="00B2773E" w:rsidP="00925F26">
      <w:pPr>
        <w:tabs>
          <w:tab w:val="left" w:pos="11199"/>
        </w:tabs>
        <w:autoSpaceDE w:val="0"/>
        <w:autoSpaceDN w:val="0"/>
        <w:adjustRightInd w:val="0"/>
        <w:jc w:val="both"/>
        <w:rPr>
          <w:color w:val="0070C0"/>
          <w:sz w:val="16"/>
          <w:szCs w:val="16"/>
        </w:rPr>
      </w:pPr>
    </w:p>
    <w:p w14:paraId="31235D0D" w14:textId="60683374"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года вышел приказ № 219с НКБ</w:t>
      </w:r>
      <w:r w:rsidR="00B2773E">
        <w:rPr>
          <w:color w:val="000000" w:themeColor="text1"/>
          <w:sz w:val="16"/>
          <w:szCs w:val="16"/>
        </w:rPr>
        <w:t>.</w:t>
      </w:r>
    </w:p>
    <w:p w14:paraId="34B577D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Совнаркома от 8 июня 1945 года № 8906-рс:</w:t>
      </w:r>
    </w:p>
    <w:p w14:paraId="30C25A5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Передать из ведения Наркомата боеприпасов завод № 105 в систему Горьковского треста “Сельэлектро” Наркомзема (5795, 17).</w:t>
      </w:r>
    </w:p>
    <w:p w14:paraId="2B10145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2E946E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A525BC4" w14:textId="77777777" w:rsidR="006103B3" w:rsidRPr="00925F26" w:rsidRDefault="006103B3" w:rsidP="00925F26">
      <w:pPr>
        <w:autoSpaceDE w:val="0"/>
        <w:autoSpaceDN w:val="0"/>
        <w:adjustRightInd w:val="0"/>
        <w:jc w:val="both"/>
        <w:rPr>
          <w:iCs/>
          <w:color w:val="000000" w:themeColor="text1"/>
          <w:sz w:val="16"/>
          <w:szCs w:val="16"/>
        </w:rPr>
      </w:pPr>
    </w:p>
    <w:p w14:paraId="74976975" w14:textId="77777777" w:rsidR="00B147AB" w:rsidRPr="00925F26" w:rsidRDefault="00B147AB" w:rsidP="00925F26">
      <w:pPr>
        <w:jc w:val="both"/>
        <w:rPr>
          <w:color w:val="000000" w:themeColor="text1"/>
          <w:sz w:val="16"/>
          <w:szCs w:val="16"/>
        </w:rPr>
      </w:pPr>
      <w:r w:rsidRPr="00925F26">
        <w:rPr>
          <w:color w:val="000000" w:themeColor="text1"/>
          <w:sz w:val="16"/>
          <w:szCs w:val="16"/>
        </w:rPr>
        <w:t>12 июня 1945. Снижены цены на спиртные напитки в среднем на 16,7% (18688).</w:t>
      </w:r>
    </w:p>
    <w:p w14:paraId="6FB5A5FC" w14:textId="77777777" w:rsidR="00B147AB" w:rsidRPr="00925F26" w:rsidRDefault="00B147AB" w:rsidP="00925F26">
      <w:pPr>
        <w:jc w:val="both"/>
        <w:rPr>
          <w:color w:val="000000" w:themeColor="text1"/>
          <w:sz w:val="16"/>
          <w:szCs w:val="16"/>
        </w:rPr>
      </w:pPr>
    </w:p>
    <w:p w14:paraId="26ADB7C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вышло Постановление ГКО № 9052 Об организации Балтийского государственного рыбопромышленного треста Наркомрыбпрома СССР в г. Кенигсберг. (7350, 3,4-6).</w:t>
      </w:r>
    </w:p>
    <w:p w14:paraId="716EF65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8ECA31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вышло Постановление ГКО № 9053 О переселении колхозников в районы Карельского перешейка Ленинградской области. (7350, 7-13,14).</w:t>
      </w:r>
    </w:p>
    <w:p w14:paraId="393AB581"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C51D62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A916A2B" w14:textId="77777777" w:rsidR="006103B3" w:rsidRPr="00925F26" w:rsidRDefault="006103B3" w:rsidP="00925F26">
      <w:pPr>
        <w:autoSpaceDE w:val="0"/>
        <w:autoSpaceDN w:val="0"/>
        <w:adjustRightInd w:val="0"/>
        <w:jc w:val="both"/>
        <w:rPr>
          <w:iCs/>
          <w:color w:val="000000" w:themeColor="text1"/>
          <w:sz w:val="16"/>
          <w:szCs w:val="16"/>
        </w:rPr>
      </w:pPr>
    </w:p>
    <w:p w14:paraId="07A298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 июня 1945 вышло Постановление ГКО № 9051 О поставке силезского угля для нужд г. Берлин. РГАНИР, Фонд ГКО, д. 428, лл. 2 (11012).</w:t>
      </w:r>
    </w:p>
    <w:p w14:paraId="03C0B4FA" w14:textId="77777777" w:rsidR="006103B3" w:rsidRPr="00925F26" w:rsidRDefault="006103B3" w:rsidP="00925F26">
      <w:pPr>
        <w:autoSpaceDE w:val="0"/>
        <w:autoSpaceDN w:val="0"/>
        <w:adjustRightInd w:val="0"/>
        <w:jc w:val="both"/>
        <w:rPr>
          <w:color w:val="000000" w:themeColor="text1"/>
          <w:sz w:val="16"/>
          <w:szCs w:val="16"/>
        </w:rPr>
      </w:pPr>
    </w:p>
    <w:p w14:paraId="12EB8BD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15FEF8C" w14:textId="77777777" w:rsidR="006103B3" w:rsidRPr="00925F26" w:rsidRDefault="006103B3" w:rsidP="00925F26">
      <w:pPr>
        <w:autoSpaceDE w:val="0"/>
        <w:autoSpaceDN w:val="0"/>
        <w:adjustRightInd w:val="0"/>
        <w:jc w:val="both"/>
        <w:rPr>
          <w:iCs/>
          <w:color w:val="000000" w:themeColor="text1"/>
          <w:sz w:val="16"/>
          <w:szCs w:val="16"/>
        </w:rPr>
      </w:pPr>
    </w:p>
    <w:p w14:paraId="0875BC28" w14:textId="785CE2A3" w:rsidR="00A42EE3" w:rsidRPr="00925F26" w:rsidRDefault="00A42EE3" w:rsidP="00925F26">
      <w:pPr>
        <w:jc w:val="both"/>
        <w:rPr>
          <w:bCs/>
          <w:color w:val="000000" w:themeColor="text1"/>
          <w:sz w:val="16"/>
          <w:szCs w:val="16"/>
        </w:rPr>
      </w:pPr>
      <w:r w:rsidRPr="00925F26">
        <w:rPr>
          <w:bCs/>
          <w:color w:val="000000" w:themeColor="text1"/>
          <w:sz w:val="16"/>
          <w:szCs w:val="16"/>
        </w:rPr>
        <w:t>12 июня</w:t>
      </w:r>
      <w:r w:rsidRPr="00925F26">
        <w:rPr>
          <w:color w:val="000000" w:themeColor="text1"/>
          <w:sz w:val="16"/>
          <w:szCs w:val="16"/>
        </w:rPr>
        <w:t xml:space="preserve"> в 1945 году на острове Уоллопс (штат Вирджиния, США) был создан ракетный полигон «Уоллопс» («Wallops Island</w:t>
      </w:r>
      <w:r w:rsidR="00EA774D" w:rsidRPr="00925F26">
        <w:rPr>
          <w:color w:val="000000" w:themeColor="text1"/>
          <w:sz w:val="16"/>
          <w:szCs w:val="16"/>
        </w:rPr>
        <w:t>) (22463).</w:t>
      </w:r>
    </w:p>
    <w:p w14:paraId="27C00C65" w14:textId="77777777" w:rsidR="00A42EE3" w:rsidRPr="00925F26" w:rsidRDefault="00A42EE3" w:rsidP="00925F26">
      <w:pPr>
        <w:jc w:val="both"/>
        <w:rPr>
          <w:bCs/>
          <w:color w:val="000000" w:themeColor="text1"/>
          <w:sz w:val="16"/>
          <w:szCs w:val="16"/>
        </w:rPr>
      </w:pPr>
    </w:p>
    <w:p w14:paraId="0DA84B92"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во Франции отменена цензура печати, введенная во время войны (4962).</w:t>
      </w:r>
    </w:p>
    <w:p w14:paraId="0C67E17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840E89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12 июня 1945 под нажимом союзников югославские войска Броз Тито покинули Триест (4962).</w:t>
      </w:r>
    </w:p>
    <w:p w14:paraId="3D27032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CB1C2E5" w14:textId="77777777" w:rsidR="00A42EE3" w:rsidRPr="00925F26" w:rsidRDefault="00A42EE3" w:rsidP="00925F26">
      <w:pPr>
        <w:jc w:val="both"/>
        <w:rPr>
          <w:color w:val="000000" w:themeColor="text1"/>
          <w:sz w:val="16"/>
          <w:szCs w:val="16"/>
        </w:rPr>
      </w:pPr>
      <w:r w:rsidRPr="00925F26">
        <w:rPr>
          <w:bCs/>
          <w:color w:val="000000" w:themeColor="text1"/>
          <w:sz w:val="16"/>
          <w:szCs w:val="16"/>
        </w:rPr>
        <w:t>12 июня</w:t>
      </w:r>
      <w:r w:rsidRPr="00925F26">
        <w:rPr>
          <w:color w:val="000000" w:themeColor="text1"/>
          <w:sz w:val="16"/>
          <w:szCs w:val="16"/>
        </w:rPr>
        <w:t xml:space="preserve"> в 1945 году провозглашена независимая Вьетнамская Империя во главе с императором Бао Даем (14920).</w:t>
      </w:r>
    </w:p>
    <w:p w14:paraId="6A8E9418" w14:textId="77777777" w:rsidR="00A42EE3" w:rsidRPr="00925F26" w:rsidRDefault="00A42EE3" w:rsidP="00925F26">
      <w:pPr>
        <w:jc w:val="both"/>
        <w:rPr>
          <w:color w:val="000000" w:themeColor="text1"/>
          <w:sz w:val="16"/>
          <w:szCs w:val="16"/>
        </w:rPr>
      </w:pPr>
    </w:p>
    <w:p w14:paraId="7AD452C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E798CDE" w14:textId="77777777" w:rsidR="006103B3" w:rsidRPr="00925F26" w:rsidRDefault="006103B3" w:rsidP="00925F26">
      <w:pPr>
        <w:autoSpaceDE w:val="0"/>
        <w:autoSpaceDN w:val="0"/>
        <w:adjustRightInd w:val="0"/>
        <w:jc w:val="both"/>
        <w:rPr>
          <w:iCs/>
          <w:color w:val="000000" w:themeColor="text1"/>
          <w:sz w:val="16"/>
          <w:szCs w:val="16"/>
        </w:rPr>
      </w:pPr>
    </w:p>
    <w:p w14:paraId="581DE701"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13 июня 1945 в НИИ ВВС официально начались испытания Ил-10 с пылефильтром, предъявлкенного 7 июня, но вскоре были приостановлены. По инициативе Подлесецкого 18 июня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0E3400B6" w14:textId="77777777" w:rsidR="00B40434" w:rsidRPr="00925F26" w:rsidRDefault="00B40434" w:rsidP="00925F26">
      <w:pPr>
        <w:jc w:val="both"/>
        <w:rPr>
          <w:color w:val="000000" w:themeColor="text1"/>
          <w:sz w:val="16"/>
          <w:szCs w:val="16"/>
        </w:rPr>
      </w:pPr>
    </w:p>
    <w:p w14:paraId="7C0BF671"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До 13 июня 1945 в 14-м отделе ЦИАМ, начальником которого был Р. С. Кисаношвили велись работы по торсиографирование мотора М-43 зав. № 4302. Непосредственным руководителем был старший научный сотрудник В. К. Житомирский. Отчет утвердил начальник ЦИАМ профессор, доктор технических наук В. И. Поликовский 15 июня.</w:t>
      </w:r>
    </w:p>
    <w:p w14:paraId="71FA5352"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Торсиографирование мотора М-43 зав. № 4302 проводилось на винте АВ-5Л-18 Б диаметром 3,8 м по дроссельной характеристике в диапазоне 700-2450 об/мин и по внешней характеристике - 2300-2800 об/мин.</w:t>
      </w:r>
    </w:p>
    <w:p w14:paraId="2B5B5DD0"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lastRenderedPageBreak/>
        <w:t xml:space="preserve">Выяснилось, что «роликовый демпфер в большой шестерне редуктора, настроенный на 1/ гармонику, работает на моторе М-43 хорошо, обеспечивая смещение резонанса на 3020 об/мин и снижение напряжений при 2600 об/мин от 1/ гармоники до ±110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вместо ±500 кг/см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xml:space="preserve"> в двигателе без демпфера (в наиболее напряженной шатунной шейке)».</w:t>
      </w:r>
    </w:p>
    <w:p w14:paraId="6B2AB320"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В то же время «демпфер, настроенный на 4/ порядок, работает не вполне удовлетворительно, вследствие больших углов колебаний грузов», хотя он и «понизил напряжения на 15 % и сделал колебания 4/ порядка неустойчивыми». Для улучшения его работы считалось необходимым «увеличить его момент инерции не менее чем на 50 % и обеспечить достаточно острую настройку всех грузов».</w:t>
      </w:r>
    </w:p>
    <w:p w14:paraId="6026C62A"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По результатам торсиографирования рекомендовалось «для М-43 применение испытанных демпферов и одновременно смягчение привода к нагнетателю».</w:t>
      </w:r>
    </w:p>
    <w:p w14:paraId="4A8D16B1"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Однако при первых же гонках мотора М-43 с демпферами на первом экземпляре Ил-16 (экз. № 1), рулежках и пробежках по аэродрому обнаружилась сильная тряска на самолете. Машину сразу же передали в ЦИАМ для выявления причин появления тряски.</w:t>
      </w:r>
    </w:p>
    <w:p w14:paraId="21AC718C"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Оказалось, что основной причиной тряски на самолете Ил-16 является резонанс подмоторной рамы под действием 1/ гармоники крутящего момента мотора АМ-43, наступающий при оборотах 1910 об/мин.</w:t>
      </w:r>
    </w:p>
    <w:p w14:paraId="6F8CDB41"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09C42CD3"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На самолете Ил-10 с АМ-42 также наблюдался резонанс подмоторной рамы, но на более низких оборотах мотора - 1810 об/мин.</w:t>
      </w:r>
    </w:p>
    <w:p w14:paraId="45F856D2" w14:textId="77777777" w:rsidR="00B40434" w:rsidRPr="00925F26" w:rsidRDefault="00B40434"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При этом амплитуда колебаний на самолете Ил-10 по абсолютной величине в 1,5 раза была меньше, чем на Ил-16. Это объяснялось тем, «что при более высоких оборотах 1/ гармоника вообще несколько сильнее, и тем, что мотор АМ-43 мощнее АМ-42».</w:t>
      </w:r>
    </w:p>
    <w:p w14:paraId="63278AA8"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В выводах отчета указывалось, что «1/ гармоника сильна на моторе АМ -43 и устранение ее из рабочего диапазона практически невозможно. Вследствие различия в нагрузке цилиндров 1/ гармоника на одних моторах может сказываться сильнее, чем на других».</w:t>
      </w:r>
    </w:p>
    <w:p w14:paraId="7EFF3D19" w14:textId="77777777" w:rsidR="00B40434" w:rsidRPr="00925F26" w:rsidRDefault="00B40434" w:rsidP="00925F26">
      <w:pPr>
        <w:jc w:val="both"/>
        <w:rPr>
          <w:color w:val="000000" w:themeColor="text1"/>
          <w:sz w:val="16"/>
          <w:szCs w:val="16"/>
        </w:rPr>
      </w:pPr>
      <w:r w:rsidRPr="00925F26">
        <w:rPr>
          <w:rStyle w:val="107"/>
          <w:rFonts w:eastAsiaTheme="minorHAnsi"/>
          <w:color w:val="000000" w:themeColor="text1"/>
          <w:sz w:val="16"/>
          <w:szCs w:val="16"/>
        </w:rPr>
        <w:t>Для уменьшения тряски на самолете Ил-16 рекомендовалось «уменьшить жесткость подвески мотора, чтобы сдвинуть резонанс в область низких оборотов мотора» (17490).</w:t>
      </w:r>
    </w:p>
    <w:p w14:paraId="20D7E1C5" w14:textId="77777777" w:rsidR="00B40434" w:rsidRPr="00925F26" w:rsidRDefault="00B40434" w:rsidP="00925F26">
      <w:pPr>
        <w:jc w:val="both"/>
        <w:rPr>
          <w:color w:val="000000" w:themeColor="text1"/>
          <w:sz w:val="16"/>
          <w:szCs w:val="16"/>
        </w:rPr>
      </w:pPr>
    </w:p>
    <w:p w14:paraId="14FCF572"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До 13 июня 1945 в 14-м отделе ЦИАМ, начальником которого был Р.С. Кисаношвили проводилось торсиографирование мотора</w:t>
      </w:r>
      <w:r w:rsidRPr="00925F26">
        <w:rPr>
          <w:rStyle w:val="0pt1"/>
          <w:rFonts w:eastAsia="Calibri"/>
          <w:b w:val="0"/>
          <w:color w:val="000000" w:themeColor="text1"/>
          <w:spacing w:val="0"/>
          <w:sz w:val="16"/>
          <w:szCs w:val="16"/>
        </w:rPr>
        <w:t xml:space="preserve"> М-43 </w:t>
      </w:r>
      <w:r w:rsidRPr="00925F26">
        <w:rPr>
          <w:rFonts w:ascii="Times New Roman" w:hAnsi="Times New Roman" w:cs="Times New Roman"/>
          <w:color w:val="000000" w:themeColor="text1"/>
          <w:sz w:val="16"/>
          <w:szCs w:val="16"/>
        </w:rPr>
        <w:t>зав. №4302 на винте АВ-5Л-18Б диаметром 3,8 м по дрос</w:t>
      </w:r>
      <w:r w:rsidRPr="00925F26">
        <w:rPr>
          <w:rFonts w:ascii="Times New Roman" w:hAnsi="Times New Roman" w:cs="Times New Roman"/>
          <w:color w:val="000000" w:themeColor="text1"/>
          <w:sz w:val="16"/>
          <w:szCs w:val="16"/>
        </w:rPr>
        <w:softHyphen/>
        <w:t>сельной характеристике в диапазоне 700-2450 об/мин и по внешней характе</w:t>
      </w:r>
      <w:r w:rsidRPr="00925F26">
        <w:rPr>
          <w:rFonts w:ascii="Times New Roman" w:hAnsi="Times New Roman" w:cs="Times New Roman"/>
          <w:color w:val="000000" w:themeColor="text1"/>
          <w:sz w:val="16"/>
          <w:szCs w:val="16"/>
        </w:rPr>
        <w:softHyphen/>
        <w:t>ристике - 2300-2800 об/мин.</w:t>
      </w:r>
    </w:p>
    <w:p w14:paraId="4760D6B4"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Выяснилось, что «роликовый дем</w:t>
      </w:r>
      <w:r w:rsidRPr="00925F26">
        <w:rPr>
          <w:rFonts w:ascii="Times New Roman" w:hAnsi="Times New Roman" w:cs="Times New Roman"/>
          <w:color w:val="000000" w:themeColor="text1"/>
          <w:sz w:val="16"/>
          <w:szCs w:val="16"/>
        </w:rPr>
        <w:softHyphen/>
        <w:t>пфер в большой шестерне редуктора, настроенный на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гармонику, работа</w:t>
      </w:r>
      <w:r w:rsidRPr="00925F26">
        <w:rPr>
          <w:rFonts w:ascii="Times New Roman" w:hAnsi="Times New Roman" w:cs="Times New Roman"/>
          <w:color w:val="000000" w:themeColor="text1"/>
          <w:sz w:val="16"/>
          <w:szCs w:val="16"/>
        </w:rPr>
        <w:softHyphen/>
        <w:t>ет на моторе М-43 хорошо, обеспечивая смещение резонанса на 3020 об/мин и снижение напряжений при 2600 об/мин от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гармоники до ±110 кг/см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вместо ±500 кг/см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xml:space="preserve"> в двигателе без демпфе</w:t>
      </w:r>
      <w:r w:rsidRPr="00925F26">
        <w:rPr>
          <w:rFonts w:ascii="Times New Roman" w:hAnsi="Times New Roman" w:cs="Times New Roman"/>
          <w:color w:val="000000" w:themeColor="text1"/>
          <w:sz w:val="16"/>
          <w:szCs w:val="16"/>
        </w:rPr>
        <w:softHyphen/>
        <w:t>ра (в наиболее напряженной шатунной шейке)».</w:t>
      </w:r>
    </w:p>
    <w:p w14:paraId="69198B62"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то же время «демпфер, настроен</w:t>
      </w:r>
      <w:r w:rsidRPr="00925F26">
        <w:rPr>
          <w:rFonts w:ascii="Times New Roman" w:hAnsi="Times New Roman" w:cs="Times New Roman"/>
          <w:color w:val="000000" w:themeColor="text1"/>
          <w:sz w:val="16"/>
          <w:szCs w:val="16"/>
        </w:rPr>
        <w:softHyphen/>
        <w:t>ный на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порядок, работает не вполне удовлетворительно, вследствие боль</w:t>
      </w:r>
      <w:r w:rsidRPr="00925F26">
        <w:rPr>
          <w:rFonts w:ascii="Times New Roman" w:hAnsi="Times New Roman" w:cs="Times New Roman"/>
          <w:color w:val="000000" w:themeColor="text1"/>
          <w:sz w:val="16"/>
          <w:szCs w:val="16"/>
        </w:rPr>
        <w:softHyphen/>
        <w:t>ших углов колебаний грузов», хотя он и «понизил напряжения на 15% и сделал колебания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925F26">
        <w:rPr>
          <w:rFonts w:ascii="Times New Roman" w:hAnsi="Times New Roman" w:cs="Times New Roman"/>
          <w:color w:val="000000" w:themeColor="text1"/>
          <w:sz w:val="16"/>
          <w:szCs w:val="16"/>
        </w:rPr>
        <w:softHyphen/>
        <w:t>чить достаточно острую настройку всех грузов».</w:t>
      </w:r>
    </w:p>
    <w:p w14:paraId="14052032"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 результатам торсиографирова- ния рекомендовалось «для М-43 приме</w:t>
      </w:r>
      <w:r w:rsidRPr="00925F26">
        <w:rPr>
          <w:rFonts w:ascii="Times New Roman" w:hAnsi="Times New Roman" w:cs="Times New Roman"/>
          <w:color w:val="000000" w:themeColor="text1"/>
          <w:sz w:val="16"/>
          <w:szCs w:val="16"/>
        </w:rPr>
        <w:softHyphen/>
        <w:t>нение испытанных демпферов и однов</w:t>
      </w:r>
      <w:r w:rsidRPr="00925F26">
        <w:rPr>
          <w:rFonts w:ascii="Times New Roman" w:hAnsi="Times New Roman" w:cs="Times New Roman"/>
          <w:color w:val="000000" w:themeColor="text1"/>
          <w:sz w:val="16"/>
          <w:szCs w:val="16"/>
        </w:rPr>
        <w:softHyphen/>
        <w:t>ременно смягчение привода к нагнета</w:t>
      </w:r>
      <w:r w:rsidRPr="00925F26">
        <w:rPr>
          <w:rFonts w:ascii="Times New Roman" w:hAnsi="Times New Roman" w:cs="Times New Roman"/>
          <w:color w:val="000000" w:themeColor="text1"/>
          <w:sz w:val="16"/>
          <w:szCs w:val="16"/>
        </w:rPr>
        <w:softHyphen/>
        <w:t>телю».</w:t>
      </w:r>
    </w:p>
    <w:p w14:paraId="23B0DFB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Однако при первых же гонках мото</w:t>
      </w:r>
      <w:r w:rsidRPr="00925F26">
        <w:rPr>
          <w:rFonts w:ascii="Times New Roman" w:hAnsi="Times New Roman" w:cs="Times New Roman"/>
          <w:color w:val="000000" w:themeColor="text1"/>
          <w:sz w:val="16"/>
          <w:szCs w:val="16"/>
        </w:rPr>
        <w:softHyphen/>
        <w:t>ра М-43 с демпферами на первом эк</w:t>
      </w:r>
      <w:r w:rsidRPr="00925F26">
        <w:rPr>
          <w:rFonts w:ascii="Times New Roman" w:hAnsi="Times New Roman" w:cs="Times New Roman"/>
          <w:color w:val="000000" w:themeColor="text1"/>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925F26">
        <w:rPr>
          <w:rFonts w:ascii="Times New Roman" w:hAnsi="Times New Roman" w:cs="Times New Roman"/>
          <w:color w:val="000000" w:themeColor="text1"/>
          <w:sz w:val="16"/>
          <w:szCs w:val="16"/>
        </w:rPr>
        <w:softHyphen/>
        <w:t>ния причин появления тряски.</w:t>
      </w:r>
    </w:p>
    <w:p w14:paraId="5383B9F0"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Оказалось, что основной причиной тряски на самолете Ил-16 является ре</w:t>
      </w:r>
      <w:r w:rsidRPr="00925F26">
        <w:rPr>
          <w:rFonts w:ascii="Times New Roman" w:hAnsi="Times New Roman" w:cs="Times New Roman"/>
          <w:color w:val="000000" w:themeColor="text1"/>
          <w:sz w:val="16"/>
          <w:szCs w:val="16"/>
        </w:rPr>
        <w:softHyphen/>
        <w:t>зонанс подмоторной рамы под дейст</w:t>
      </w:r>
      <w:r w:rsidRPr="00925F26">
        <w:rPr>
          <w:rFonts w:ascii="Times New Roman" w:hAnsi="Times New Roman" w:cs="Times New Roman"/>
          <w:color w:val="000000" w:themeColor="text1"/>
          <w:sz w:val="16"/>
          <w:szCs w:val="16"/>
        </w:rPr>
        <w:softHyphen/>
        <w:t>вием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гармоники крутящего момента мотора АМ-43, наступающий при оборо</w:t>
      </w:r>
      <w:r w:rsidRPr="00925F26">
        <w:rPr>
          <w:rFonts w:ascii="Times New Roman" w:hAnsi="Times New Roman" w:cs="Times New Roman"/>
          <w:color w:val="000000" w:themeColor="text1"/>
          <w:sz w:val="16"/>
          <w:szCs w:val="16"/>
        </w:rPr>
        <w:softHyphen/>
        <w:t>тах 1910 об/мин.</w:t>
      </w:r>
    </w:p>
    <w:p w14:paraId="7F80FE15"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резонансе подмоторная рама сильно колебалась из стороны в сторону в горизонтальной плоскости, значитель</w:t>
      </w:r>
      <w:r w:rsidRPr="00925F26">
        <w:rPr>
          <w:rFonts w:ascii="Times New Roman" w:hAnsi="Times New Roman" w:cs="Times New Roman"/>
          <w:color w:val="000000" w:themeColor="text1"/>
          <w:sz w:val="16"/>
          <w:szCs w:val="16"/>
        </w:rPr>
        <w:softHyphen/>
        <w:t>но слабее в продольном направлении и совсем незначительно - в вертикальной плоскости.</w:t>
      </w:r>
    </w:p>
    <w:p w14:paraId="12A059ED"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самолете Ил-10 с АМ-42 также наблюдался резонанс подмоторной рамы, но на более низких оборотах мо</w:t>
      </w:r>
      <w:r w:rsidRPr="00925F26">
        <w:rPr>
          <w:rFonts w:ascii="Times New Roman" w:hAnsi="Times New Roman" w:cs="Times New Roman"/>
          <w:color w:val="000000" w:themeColor="text1"/>
          <w:sz w:val="16"/>
          <w:szCs w:val="16"/>
        </w:rPr>
        <w:softHyphen/>
        <w:t>тора- 1810 об/мин.</w:t>
      </w:r>
    </w:p>
    <w:p w14:paraId="2CA69AF6"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этом амплитуда колебаний на самолете Ил-10 по абсолютной вели</w:t>
      </w:r>
      <w:r w:rsidRPr="00925F26">
        <w:rPr>
          <w:rFonts w:ascii="Times New Roman" w:hAnsi="Times New Roman" w:cs="Times New Roman"/>
          <w:color w:val="000000" w:themeColor="text1"/>
          <w:sz w:val="16"/>
          <w:szCs w:val="16"/>
        </w:rPr>
        <w:softHyphen/>
        <w:t>чине в 1,5 раза была меньше, чем на Ил-16. Это объяснялось тем, «что при более высоких оборотах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гармоника вообще несколько сильнее и тем, что мотор АМ-43 мощнее АМ-42».</w:t>
      </w:r>
    </w:p>
    <w:p w14:paraId="0E939C3F"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выводах отчета указывалось, что: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гармоника сильна на моторе АМ-43 и устранение ее из рабочего диапазона практически невозможно. Вследствие различия в нагрузке цилиндров 1</w:t>
      </w:r>
      <w:r w:rsidRPr="00925F26">
        <w:rPr>
          <w:rFonts w:ascii="Times New Roman" w:hAnsi="Times New Roman" w:cs="Times New Roman"/>
          <w:color w:val="000000" w:themeColor="text1"/>
          <w:sz w:val="16"/>
          <w:szCs w:val="16"/>
          <w:vertAlign w:val="superscript"/>
        </w:rPr>
        <w:t>1</w:t>
      </w:r>
      <w:r w:rsidRPr="00925F26">
        <w:rPr>
          <w:rFonts w:ascii="Times New Roman" w:hAnsi="Times New Roman" w:cs="Times New Roman"/>
          <w:color w:val="000000" w:themeColor="text1"/>
          <w:sz w:val="16"/>
          <w:szCs w:val="16"/>
        </w:rPr>
        <w:t>'</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xml:space="preserve"> гар</w:t>
      </w:r>
      <w:r w:rsidRPr="00925F26">
        <w:rPr>
          <w:rFonts w:ascii="Times New Roman" w:hAnsi="Times New Roman" w:cs="Times New Roman"/>
          <w:color w:val="000000" w:themeColor="text1"/>
          <w:sz w:val="16"/>
          <w:szCs w:val="16"/>
        </w:rPr>
        <w:softHyphen/>
        <w:t>моника на одних моторах может сказы</w:t>
      </w:r>
      <w:r w:rsidRPr="00925F26">
        <w:rPr>
          <w:rFonts w:ascii="Times New Roman" w:hAnsi="Times New Roman" w:cs="Times New Roman"/>
          <w:color w:val="000000" w:themeColor="text1"/>
          <w:sz w:val="16"/>
          <w:szCs w:val="16"/>
        </w:rPr>
        <w:softHyphen/>
        <w:t>ваться сильнее, чем на других».</w:t>
      </w:r>
    </w:p>
    <w:p w14:paraId="4FDDDE4C"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Для уменьшения тряски на само</w:t>
      </w:r>
      <w:r w:rsidRPr="00925F26">
        <w:rPr>
          <w:rFonts w:ascii="Times New Roman" w:hAnsi="Times New Roman" w:cs="Times New Roman"/>
          <w:color w:val="000000" w:themeColor="text1"/>
          <w:sz w:val="16"/>
          <w:szCs w:val="16"/>
        </w:rPr>
        <w:softHyphen/>
        <w:t>лете Ил-16 рекомендовалось «умень</w:t>
      </w:r>
      <w:r w:rsidRPr="00925F26">
        <w:rPr>
          <w:rFonts w:ascii="Times New Roman" w:hAnsi="Times New Roman" w:cs="Times New Roman"/>
          <w:color w:val="000000" w:themeColor="text1"/>
          <w:sz w:val="16"/>
          <w:szCs w:val="16"/>
        </w:rPr>
        <w:softHyphen/>
        <w:t>шить жесткость подвески мотора, что</w:t>
      </w:r>
      <w:r w:rsidRPr="00925F26">
        <w:rPr>
          <w:rFonts w:ascii="Times New Roman" w:hAnsi="Times New Roman" w:cs="Times New Roman"/>
          <w:color w:val="000000" w:themeColor="text1"/>
          <w:sz w:val="16"/>
          <w:szCs w:val="16"/>
        </w:rPr>
        <w:softHyphen/>
        <w:t>бы сдвинуть резонанс в область низких оборотов мотора».</w:t>
      </w:r>
    </w:p>
    <w:p w14:paraId="0DA5F968"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Непо</w:t>
      </w:r>
      <w:r w:rsidRPr="00925F26">
        <w:rPr>
          <w:rFonts w:ascii="Times New Roman" w:hAnsi="Times New Roman" w:cs="Times New Roman"/>
          <w:color w:val="000000" w:themeColor="text1"/>
          <w:sz w:val="16"/>
          <w:szCs w:val="16"/>
        </w:rPr>
        <w:softHyphen/>
        <w:t>средственным руководителем был стар</w:t>
      </w:r>
      <w:r w:rsidRPr="00925F26">
        <w:rPr>
          <w:rFonts w:ascii="Times New Roman" w:hAnsi="Times New Roman" w:cs="Times New Roman"/>
          <w:color w:val="000000" w:themeColor="text1"/>
          <w:sz w:val="16"/>
          <w:szCs w:val="16"/>
        </w:rPr>
        <w:softHyphen/>
        <w:t>ший научный сотрудник В.К. Житомир</w:t>
      </w:r>
      <w:r w:rsidRPr="00925F26">
        <w:rPr>
          <w:rFonts w:ascii="Times New Roman" w:hAnsi="Times New Roman" w:cs="Times New Roman"/>
          <w:color w:val="000000" w:themeColor="text1"/>
          <w:sz w:val="16"/>
          <w:szCs w:val="16"/>
        </w:rPr>
        <w:softHyphen/>
        <w:t>ский. Отчет утвердил начальник ЦИАМ профессор доктор технических наук В.И. Поликовский 15 июня (17469).</w:t>
      </w:r>
    </w:p>
    <w:p w14:paraId="335DBE8F"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7C879CA" w14:textId="77777777" w:rsidR="00A73D97" w:rsidRPr="001A0BAA" w:rsidRDefault="00A73D97" w:rsidP="00A73D97">
      <w:pPr>
        <w:jc w:val="both"/>
        <w:rPr>
          <w:color w:val="0070C0"/>
          <w:sz w:val="16"/>
          <w:szCs w:val="16"/>
        </w:rPr>
      </w:pPr>
      <w:r w:rsidRPr="001A0BAA">
        <w:rPr>
          <w:color w:val="0070C0"/>
          <w:sz w:val="16"/>
          <w:szCs w:val="16"/>
        </w:rPr>
        <w:t>13 июня 1945 г.</w:t>
      </w:r>
      <w:r w:rsidRPr="001A0BAA">
        <w:rPr>
          <w:b/>
          <w:bCs/>
          <w:color w:val="0070C0"/>
          <w:sz w:val="16"/>
          <w:szCs w:val="16"/>
        </w:rPr>
        <w:t xml:space="preserve"> </w:t>
      </w:r>
      <w:r w:rsidRPr="001A0BAA">
        <w:rPr>
          <w:color w:val="0070C0"/>
          <w:sz w:val="16"/>
          <w:szCs w:val="16"/>
        </w:rPr>
        <w:t>Приказом НКАП главному конструк</w:t>
      </w:r>
      <w:r w:rsidRPr="001A0BAA">
        <w:rPr>
          <w:color w:val="0070C0"/>
          <w:sz w:val="16"/>
          <w:szCs w:val="16"/>
        </w:rPr>
        <w:softHyphen/>
        <w:t>тору Колосову было дано задание освоить и обеспечить конст</w:t>
      </w:r>
      <w:r w:rsidRPr="001A0BAA">
        <w:rPr>
          <w:color w:val="0070C0"/>
          <w:sz w:val="16"/>
          <w:szCs w:val="16"/>
        </w:rPr>
        <w:softHyphen/>
        <w:t>рукторским руководством ТРД BMW-003, постройка которого под маркой РД-20 была поручена заводу № 16 в г. Казань.</w:t>
      </w:r>
    </w:p>
    <w:p w14:paraId="30F4FA7C" w14:textId="77777777" w:rsidR="00A73D97" w:rsidRPr="001A0BAA" w:rsidRDefault="00A73D97" w:rsidP="00A73D97">
      <w:pPr>
        <w:jc w:val="both"/>
        <w:rPr>
          <w:color w:val="0070C0"/>
          <w:sz w:val="16"/>
          <w:szCs w:val="16"/>
        </w:rPr>
      </w:pPr>
      <w:r w:rsidRPr="001A0BAA">
        <w:rPr>
          <w:color w:val="0070C0"/>
          <w:sz w:val="16"/>
          <w:szCs w:val="16"/>
        </w:rPr>
        <w:t>Двигатели BMW-003A изготавливались серией на Казанс</w:t>
      </w:r>
      <w:r w:rsidRPr="001A0BAA">
        <w:rPr>
          <w:color w:val="0070C0"/>
          <w:sz w:val="16"/>
          <w:szCs w:val="16"/>
        </w:rPr>
        <w:softHyphen/>
        <w:t>ком объединенном заводе № 16 (ныне Казанское моторострои</w:t>
      </w:r>
      <w:r w:rsidRPr="001A0BAA">
        <w:rPr>
          <w:color w:val="0070C0"/>
          <w:sz w:val="16"/>
          <w:szCs w:val="16"/>
        </w:rPr>
        <w:softHyphen/>
        <w:t>тельное ПО) и носили названия:</w:t>
      </w:r>
    </w:p>
    <w:p w14:paraId="413A3CCD" w14:textId="77777777" w:rsidR="00A73D97" w:rsidRPr="001A0BAA" w:rsidRDefault="00A73D97" w:rsidP="00A73D97">
      <w:pPr>
        <w:jc w:val="both"/>
        <w:rPr>
          <w:color w:val="0070C0"/>
          <w:sz w:val="16"/>
          <w:szCs w:val="16"/>
        </w:rPr>
      </w:pPr>
      <w:r w:rsidRPr="001A0BAA">
        <w:rPr>
          <w:color w:val="0070C0"/>
          <w:sz w:val="16"/>
          <w:szCs w:val="16"/>
        </w:rPr>
        <w:t>— РД-20 (тяга на взлетном режиме — 800 кгс, для само</w:t>
      </w:r>
      <w:r w:rsidRPr="001A0BAA">
        <w:rPr>
          <w:color w:val="0070C0"/>
          <w:sz w:val="16"/>
          <w:szCs w:val="16"/>
        </w:rPr>
        <w:softHyphen/>
        <w:t>летов И-300, МиГ-9, И-301Т);</w:t>
      </w:r>
    </w:p>
    <w:p w14:paraId="723B6D2F" w14:textId="77777777" w:rsidR="00A73D97" w:rsidRPr="001A0BAA" w:rsidRDefault="00A73D97" w:rsidP="00A73D97">
      <w:pPr>
        <w:jc w:val="both"/>
        <w:rPr>
          <w:color w:val="0070C0"/>
          <w:sz w:val="16"/>
          <w:szCs w:val="16"/>
        </w:rPr>
      </w:pPr>
      <w:r w:rsidRPr="001A0BAA">
        <w:rPr>
          <w:color w:val="0070C0"/>
          <w:sz w:val="16"/>
          <w:szCs w:val="16"/>
        </w:rPr>
        <w:t>— РД-20Ф (тяга на взлетном режиме — 1000 кгс);</w:t>
      </w:r>
    </w:p>
    <w:p w14:paraId="6CD88B06" w14:textId="77777777" w:rsidR="00A73D97" w:rsidRPr="001A0BAA" w:rsidRDefault="00A73D97" w:rsidP="00A73D97">
      <w:pPr>
        <w:jc w:val="both"/>
        <w:rPr>
          <w:color w:val="0070C0"/>
          <w:sz w:val="16"/>
          <w:szCs w:val="16"/>
        </w:rPr>
      </w:pPr>
      <w:r w:rsidRPr="001A0BAA">
        <w:rPr>
          <w:color w:val="0070C0"/>
          <w:sz w:val="16"/>
          <w:szCs w:val="16"/>
        </w:rPr>
        <w:t>— РД-21 (тяга на взлетном режиме — 1050 кгс, для само</w:t>
      </w:r>
      <w:r w:rsidRPr="001A0BAA">
        <w:rPr>
          <w:color w:val="0070C0"/>
          <w:sz w:val="16"/>
          <w:szCs w:val="16"/>
        </w:rPr>
        <w:softHyphen/>
        <w:t>лета МиГ-9М) [59. С. 179] (24920).</w:t>
      </w:r>
    </w:p>
    <w:p w14:paraId="4A5A5532" w14:textId="77777777" w:rsidR="00A73D97" w:rsidRPr="001A0BAA" w:rsidRDefault="00A73D97" w:rsidP="00A73D97">
      <w:pPr>
        <w:jc w:val="both"/>
        <w:rPr>
          <w:color w:val="0070C0"/>
          <w:sz w:val="16"/>
          <w:szCs w:val="16"/>
        </w:rPr>
      </w:pPr>
    </w:p>
    <w:p w14:paraId="2E643B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июня 1945 вышел указ о награждении 52 работников ОКБ П.О.С. орденами, но П.О.С. не получил, так как не был офицером, а так и остался прапорщиком российской армии (1454,12).</w:t>
      </w:r>
    </w:p>
    <w:p w14:paraId="563D5041" w14:textId="77777777" w:rsidR="006103B3" w:rsidRPr="00925F26" w:rsidRDefault="006103B3" w:rsidP="00925F26">
      <w:pPr>
        <w:autoSpaceDE w:val="0"/>
        <w:autoSpaceDN w:val="0"/>
        <w:adjustRightInd w:val="0"/>
        <w:jc w:val="both"/>
        <w:rPr>
          <w:color w:val="000000" w:themeColor="text1"/>
          <w:sz w:val="16"/>
          <w:szCs w:val="16"/>
        </w:rPr>
      </w:pPr>
    </w:p>
    <w:p w14:paraId="093CC3B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13 июня 1945 вышел приказ НКАП, которым ГК Колосова обязали освоить и обеспечить конструкторским руководством ТРД </w:t>
      </w:r>
      <w:proofErr w:type="gramStart"/>
      <w:r w:rsidRPr="00925F26">
        <w:rPr>
          <w:color w:val="000000" w:themeColor="text1"/>
          <w:sz w:val="16"/>
          <w:szCs w:val="16"/>
        </w:rPr>
        <w:t>BMW-003</w:t>
      </w:r>
      <w:proofErr w:type="gramEnd"/>
      <w:r w:rsidRPr="00925F26">
        <w:rPr>
          <w:color w:val="000000" w:themeColor="text1"/>
          <w:sz w:val="16"/>
          <w:szCs w:val="16"/>
        </w:rPr>
        <w:t xml:space="preserve"> и постройка под маркой РД-20 была поручена 16 заводу (2449,13).</w:t>
      </w:r>
    </w:p>
    <w:p w14:paraId="7B2C8E0E" w14:textId="77777777" w:rsidR="006103B3" w:rsidRPr="00925F26" w:rsidRDefault="006103B3" w:rsidP="00925F26">
      <w:pPr>
        <w:autoSpaceDE w:val="0"/>
        <w:autoSpaceDN w:val="0"/>
        <w:adjustRightInd w:val="0"/>
        <w:jc w:val="both"/>
        <w:rPr>
          <w:color w:val="000000" w:themeColor="text1"/>
          <w:sz w:val="16"/>
          <w:szCs w:val="16"/>
        </w:rPr>
      </w:pPr>
    </w:p>
    <w:p w14:paraId="77529BB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июня 1945 г. приказом НКАП № 247сс заводу № 16 поручалось освоить производство реактивных двигателей РД-20 (по типу БМВ-003) (9033).</w:t>
      </w:r>
    </w:p>
    <w:p w14:paraId="372D3D76" w14:textId="77777777" w:rsidR="006103B3" w:rsidRPr="00925F26" w:rsidRDefault="006103B3" w:rsidP="00925F26">
      <w:pPr>
        <w:autoSpaceDE w:val="0"/>
        <w:autoSpaceDN w:val="0"/>
        <w:adjustRightInd w:val="0"/>
        <w:jc w:val="both"/>
        <w:rPr>
          <w:color w:val="000000" w:themeColor="text1"/>
          <w:sz w:val="16"/>
          <w:szCs w:val="16"/>
        </w:rPr>
      </w:pPr>
    </w:p>
    <w:p w14:paraId="5D9B9A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июня 1945 С.П.К. завершил предварительные расчеты пороховых ракет дальнего действия Д-1 (баллистическая), Д-2 (крылатая), Д-3 (сдвоенная Д-1) (ААН, р. 4, оп. 17, № 127; АРКК, № 6503) (10676).</w:t>
      </w:r>
    </w:p>
    <w:p w14:paraId="357C66C7" w14:textId="77777777" w:rsidR="006103B3" w:rsidRPr="00925F26" w:rsidRDefault="006103B3" w:rsidP="00925F26">
      <w:pPr>
        <w:autoSpaceDE w:val="0"/>
        <w:autoSpaceDN w:val="0"/>
        <w:adjustRightInd w:val="0"/>
        <w:jc w:val="both"/>
        <w:rPr>
          <w:color w:val="000000" w:themeColor="text1"/>
          <w:sz w:val="16"/>
          <w:szCs w:val="16"/>
        </w:rPr>
      </w:pPr>
    </w:p>
    <w:p w14:paraId="007FA71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C3A5CDF" w14:textId="77777777" w:rsidR="006103B3" w:rsidRPr="00925F26" w:rsidRDefault="006103B3" w:rsidP="00925F26">
      <w:pPr>
        <w:autoSpaceDE w:val="0"/>
        <w:autoSpaceDN w:val="0"/>
        <w:adjustRightInd w:val="0"/>
        <w:jc w:val="both"/>
        <w:rPr>
          <w:iCs/>
          <w:color w:val="000000" w:themeColor="text1"/>
          <w:sz w:val="16"/>
          <w:szCs w:val="16"/>
        </w:rPr>
      </w:pPr>
    </w:p>
    <w:p w14:paraId="2609BB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13 июня 1945 г. согласно записке в правительство ЦСУ СССР главным источником финансирования военных расходов в 1943 г. были: накопление государственных предприятий и ор</w:t>
      </w:r>
      <w:r w:rsidRPr="00925F26">
        <w:rPr>
          <w:color w:val="000000" w:themeColor="text1"/>
          <w:sz w:val="16"/>
          <w:szCs w:val="16"/>
        </w:rPr>
        <w:softHyphen/>
        <w:t>ганизаций и их амортизационные отчисления (более 100 млд. руб.), размещение займов среди населения и их добровольные взносы (около 25 млд. руб.), налоги (30 млд. руб.) и эмиссия (11,5 млд. руб.). В общем объеме финансовых ресурсов эмиссия определялась Госпланом в количестве не более 5%. Военные же расходы, как сказано выше, составили около 220 млд. руб. За счет чего были Покрыты остальные 53 млд. руб., если государственный бюджет 1943 г. составлялся без дефицита? Дополнительным источником Покрытия военных расходов являлось повышение цен на товары широкого потребления государственной розничной торговли, ко</w:t>
      </w:r>
      <w:r w:rsidRPr="00925F26">
        <w:rPr>
          <w:color w:val="000000" w:themeColor="text1"/>
          <w:sz w:val="16"/>
          <w:szCs w:val="16"/>
        </w:rPr>
        <w:softHyphen/>
        <w:t>торое составило не менее 30 млд. руб. (РГАЭ ф. 4372, оп. 94, д. 115, л. 48).</w:t>
      </w:r>
    </w:p>
    <w:p w14:paraId="5E64E63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Неясны источники покрытия оставшихся 23 млд.руб. Вероят</w:t>
      </w:r>
      <w:r w:rsidRPr="00925F26">
        <w:rPr>
          <w:color w:val="000000" w:themeColor="text1"/>
          <w:sz w:val="16"/>
          <w:szCs w:val="16"/>
        </w:rPr>
        <w:softHyphen/>
        <w:t xml:space="preserve">нее всего их покрыла кредитная эмиссия Государственного Банка СССР. Если в финансовых ресурсах, направленных на покрытие </w:t>
      </w:r>
      <w:proofErr w:type="gramStart"/>
      <w:r w:rsidRPr="00925F26">
        <w:rPr>
          <w:color w:val="000000" w:themeColor="text1"/>
          <w:sz w:val="16"/>
          <w:szCs w:val="16"/>
        </w:rPr>
        <w:t>государственных.расходов</w:t>
      </w:r>
      <w:proofErr w:type="gramEnd"/>
      <w:r w:rsidRPr="00925F26">
        <w:rPr>
          <w:color w:val="000000" w:themeColor="text1"/>
          <w:sz w:val="16"/>
          <w:szCs w:val="16"/>
        </w:rPr>
        <w:t>, эмиссия измерялась в 1943 г. в ко</w:t>
      </w:r>
      <w:r w:rsidRPr="00925F26">
        <w:rPr>
          <w:color w:val="000000" w:themeColor="text1"/>
          <w:sz w:val="16"/>
          <w:szCs w:val="16"/>
        </w:rPr>
        <w:softHyphen/>
        <w:t>личестве 5%, то в финансовых ресурсах Государственного Банка СССР эмиссия составляла более 50% /83/. То есть объем эмис</w:t>
      </w:r>
      <w:r w:rsidRPr="00925F26">
        <w:rPr>
          <w:color w:val="000000" w:themeColor="text1"/>
          <w:sz w:val="16"/>
          <w:szCs w:val="16"/>
        </w:rPr>
        <w:softHyphen/>
        <w:t>сионных денег в обращении, связанных с финансированием на</w:t>
      </w:r>
      <w:r w:rsidRPr="00925F26">
        <w:rPr>
          <w:color w:val="000000" w:themeColor="text1"/>
          <w:sz w:val="16"/>
          <w:szCs w:val="16"/>
        </w:rPr>
        <w:softHyphen/>
        <w:t>родного хозяйства, по нашему мнению, в действительности, был более значительным, чем его показывала официальная ста</w:t>
      </w:r>
      <w:r w:rsidRPr="00925F26">
        <w:rPr>
          <w:color w:val="000000" w:themeColor="text1"/>
          <w:sz w:val="16"/>
          <w:szCs w:val="16"/>
        </w:rPr>
        <w:softHyphen/>
        <w:t>тистика (1566).</w:t>
      </w:r>
    </w:p>
    <w:p w14:paraId="5FE10E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807258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13 июня 1945 года вышел приказ № 220с НКБ</w:t>
      </w:r>
    </w:p>
    <w:p w14:paraId="25371D5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ГКО от 5 июня 1945 года за № 8928:</w:t>
      </w:r>
    </w:p>
    <w:p w14:paraId="4E6E152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Организовать КБ по авиавыстрелу с опытным заводом для изготовления новых образцов и опытных партий авиавыстрелов.</w:t>
      </w:r>
    </w:p>
    <w:p w14:paraId="702F7FD7"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Присвоить № 398 вновь организованному КБ, подчинить 8 Гл. управлению. Помещение бывшего завода № 398 по Зацепе 21 (5795, 20-21).</w:t>
      </w:r>
    </w:p>
    <w:p w14:paraId="69485E2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850F2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13 июня 1945 года вышел приказ НКБ за № 220 во исполнение Постановления ГОКО за № 8928 от 5 июня </w:t>
      </w:r>
      <w:proofErr w:type="gramStart"/>
      <w:r w:rsidRPr="00925F26">
        <w:rPr>
          <w:color w:val="000000" w:themeColor="text1"/>
          <w:sz w:val="16"/>
          <w:szCs w:val="16"/>
        </w:rPr>
        <w:t>1945 года</w:t>
      </w:r>
      <w:proofErr w:type="gramEnd"/>
      <w:r w:rsidRPr="00925F26">
        <w:rPr>
          <w:color w:val="000000" w:themeColor="text1"/>
          <w:sz w:val="16"/>
          <w:szCs w:val="16"/>
        </w:rPr>
        <w:t xml:space="preserve"> которым было основано ГСКБ-398.</w:t>
      </w:r>
    </w:p>
    <w:p w14:paraId="747528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момент организации перед ГСКБ ставились задачи по обработке новых образцов и модернизации существующих образцов боеприпасов для авиационного вооружения.</w:t>
      </w:r>
    </w:p>
    <w:p w14:paraId="4DA40D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ГСКБ-398 осуществляет отработку новых образцов боеприпасов и модернизацию существующих, предназначаемых для автоматических пушек калибра до 37 мм. Работы выполняются по договорам с ВВС, ГАУ и ВМФ.</w:t>
      </w:r>
    </w:p>
    <w:p w14:paraId="29AFEB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ГСКБ проводит НИР по изучению перспектив дальнейшего развития малокалиберного выстрела к автоматическим пушкам.</w:t>
      </w:r>
    </w:p>
    <w:p w14:paraId="5CEA26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Москва, Зацепа, д. 21</w:t>
      </w:r>
    </w:p>
    <w:p w14:paraId="1DE055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ГСКБ-398 организовано на базе вспомогательных помещений завода № 398 (9491).</w:t>
      </w:r>
    </w:p>
    <w:p w14:paraId="4241C752" w14:textId="77777777" w:rsidR="006103B3" w:rsidRPr="00925F26" w:rsidRDefault="006103B3" w:rsidP="00925F26">
      <w:pPr>
        <w:autoSpaceDE w:val="0"/>
        <w:autoSpaceDN w:val="0"/>
        <w:adjustRightInd w:val="0"/>
        <w:jc w:val="both"/>
        <w:rPr>
          <w:color w:val="000000" w:themeColor="text1"/>
          <w:sz w:val="16"/>
          <w:szCs w:val="16"/>
        </w:rPr>
      </w:pPr>
    </w:p>
    <w:p w14:paraId="708879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июня 1945 г. на базе завода создано КБ-398 (Завод № 398 НКОП, НКБ,</w:t>
      </w:r>
      <w:r w:rsidRPr="00925F26">
        <w:rPr>
          <w:smallCaps/>
          <w:color w:val="000000" w:themeColor="text1"/>
          <w:sz w:val="16"/>
          <w:szCs w:val="16"/>
        </w:rPr>
        <w:t xml:space="preserve"> цкб</w:t>
      </w:r>
      <w:r w:rsidRPr="00925F26">
        <w:rPr>
          <w:color w:val="000000" w:themeColor="text1"/>
          <w:sz w:val="16"/>
          <w:szCs w:val="16"/>
        </w:rPr>
        <w:t>-23 нкоп, гс</w:t>
      </w:r>
      <w:r w:rsidRPr="00925F26">
        <w:rPr>
          <w:smallCaps/>
          <w:color w:val="000000" w:themeColor="text1"/>
          <w:sz w:val="16"/>
          <w:szCs w:val="16"/>
        </w:rPr>
        <w:t xml:space="preserve"> кб</w:t>
      </w:r>
      <w:r w:rsidRPr="00925F26">
        <w:rPr>
          <w:color w:val="000000" w:themeColor="text1"/>
          <w:sz w:val="16"/>
          <w:szCs w:val="16"/>
        </w:rPr>
        <w:t>-23 нкоп, Специальное КБ НКТП, п/я 1354 /г. Москва 54 п/я 1354 «Пружина» (1942-43 г.)/).</w:t>
      </w:r>
    </w:p>
    <w:p w14:paraId="3EB255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оборудования (04.1943 г.)- 733 ед.</w:t>
      </w:r>
    </w:p>
    <w:p w14:paraId="5A747E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Площадь (1943 г.): производственная- 4893 м</w:t>
      </w:r>
      <w:r w:rsidRPr="00925F26">
        <w:rPr>
          <w:color w:val="000000" w:themeColor="text1"/>
          <w:sz w:val="16"/>
          <w:szCs w:val="16"/>
          <w:vertAlign w:val="superscript"/>
        </w:rPr>
        <w:t>2</w:t>
      </w:r>
      <w:r w:rsidRPr="00925F26">
        <w:rPr>
          <w:color w:val="000000" w:themeColor="text1"/>
          <w:sz w:val="16"/>
          <w:szCs w:val="16"/>
        </w:rPr>
        <w:t>; вспомогательная- 1828 м</w:t>
      </w:r>
      <w:r w:rsidRPr="00925F26">
        <w:rPr>
          <w:color w:val="000000" w:themeColor="text1"/>
          <w:sz w:val="16"/>
          <w:szCs w:val="16"/>
          <w:vertAlign w:val="superscript"/>
        </w:rPr>
        <w:t>2</w:t>
      </w:r>
      <w:r w:rsidRPr="00925F26">
        <w:rPr>
          <w:color w:val="000000" w:themeColor="text1"/>
          <w:sz w:val="16"/>
          <w:szCs w:val="16"/>
        </w:rPr>
        <w:t>.</w:t>
      </w:r>
    </w:p>
    <w:p w14:paraId="421C4A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(09.1941 г.)- 634 чел., (12.1942 г.)- 2191 чел.</w:t>
      </w:r>
    </w:p>
    <w:p w14:paraId="5262BD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(07.1937 г.)- Карпов, (12.1942 г.)- Антонов, (04.1943 г.)- А. Волков.</w:t>
      </w:r>
    </w:p>
    <w:p w14:paraId="310DEA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(06.1937 г.)-</w:t>
      </w:r>
      <w:r w:rsidRPr="00925F26">
        <w:rPr>
          <w:iCs/>
          <w:color w:val="000000" w:themeColor="text1"/>
          <w:sz w:val="16"/>
          <w:szCs w:val="16"/>
        </w:rPr>
        <w:t xml:space="preserve"> Я.</w:t>
      </w:r>
      <w:r w:rsidRPr="00925F26">
        <w:rPr>
          <w:color w:val="000000" w:themeColor="text1"/>
          <w:sz w:val="16"/>
          <w:szCs w:val="16"/>
        </w:rPr>
        <w:t>Д. Савельев. Помощник директора по найму и увольнению (12.1942 г.)- Сердюков.</w:t>
      </w:r>
    </w:p>
    <w:p w14:paraId="7DEE6B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(06.1937 г.)- Я.Д. Савельев.</w:t>
      </w:r>
      <w:r w:rsidRPr="00925F26">
        <w:rPr>
          <w:color w:val="000000" w:themeColor="text1"/>
          <w:sz w:val="16"/>
          <w:szCs w:val="16"/>
          <w:vertAlign w:val="superscript"/>
        </w:rPr>
        <w:t>139</w:t>
      </w:r>
    </w:p>
    <w:p w14:paraId="3EA16E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планово-экономического (04.1943 г.)- Кисляк; ОТК (1941-44 г.)- А.С. Егоров-Кузьмин.</w:t>
      </w:r>
      <w:r w:rsidRPr="00925F26">
        <w:rPr>
          <w:color w:val="000000" w:themeColor="text1"/>
          <w:sz w:val="16"/>
          <w:szCs w:val="16"/>
          <w:vertAlign w:val="superscript"/>
        </w:rPr>
        <w:t>130</w:t>
      </w:r>
    </w:p>
    <w:p w14:paraId="52078A37"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трубки ВМ-7, ВМ-16 (-1941); К-6, МП-82 (1943).</w:t>
      </w:r>
      <w:r w:rsidRPr="00925F26">
        <w:rPr>
          <w:color w:val="000000" w:themeColor="text1"/>
          <w:sz w:val="16"/>
          <w:szCs w:val="16"/>
          <w:vertAlign w:val="superscript"/>
        </w:rPr>
        <w:t>132</w:t>
      </w:r>
    </w:p>
    <w:p w14:paraId="064E41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КБ-398, ГСКБ-398 МСХМ, МОП, НИИ приборов (НИИП), НПО «Прибор», ГНПП «Прибор», Московский научно-производственный комплекс (МНПК) «Прибор», ГУП «ФНПЦ «Прибор» Росбоеприпаса /117519  г. Москва ул. Кировоградская, 1 тел. 311-07-90/</w:t>
      </w:r>
    </w:p>
    <w:p w14:paraId="032992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КБ-398 по взрывателям создано на базе опытного завода № 398 НКБ по приказу от 13.06.1945 г. В 1947 г. получило статус ГС КБ-398. Работы по снарядам (взрывателям для них) для авиапушек НС-23, Н-37 и др.</w:t>
      </w:r>
    </w:p>
    <w:p w14:paraId="6CD8EFE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1947 г. ГСКБ-398 передан завод № 548 в качестве опытного производства для сборки опытных партий боеприпасов. В том же году по приказу Министерства автотракторной промышленности № 425 завод № 548 преобразован в НЗТА.</w:t>
      </w:r>
    </w:p>
    <w:p w14:paraId="597970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1962 г. ГСКБ-398 преобразовано в НИИП. В 1977 г. на базе НИИП и его Ногинского филиала создано НПО «Прибор». В 1982 г. преобразовано в ГНПП «Прибор. Пост, правительства от 1.07.1998 г. присвоен статус ФНПЦ «Прибор». По приказу МЭ № 428 от 4.11.1998 г. предприятие получило название ГУП «ФНПЦ «Прибор».</w:t>
      </w:r>
    </w:p>
    <w:p w14:paraId="22E861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ФНПЦ «Прибор» имел несколько филиалов. При ФНПЦ в 2000 г. создан Координационный НТС.</w:t>
      </w:r>
    </w:p>
    <w:p w14:paraId="47F80C74" w14:textId="77777777" w:rsidR="006103B3" w:rsidRPr="00925F26" w:rsidRDefault="006103B3"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В соответствии с пост</w:t>
      </w:r>
      <w:proofErr w:type="gramEnd"/>
      <w:r w:rsidRPr="00925F26">
        <w:rPr>
          <w:color w:val="000000" w:themeColor="text1"/>
          <w:sz w:val="16"/>
          <w:szCs w:val="16"/>
        </w:rPr>
        <w:t>, правительства № 713 от 11.10.2001 г. на базе ФНПЦ «Прибор», как головной организации планировалось создание Государственной научно-производственной корпорации «Малокалиберный выстрел».</w:t>
      </w:r>
    </w:p>
    <w:p w14:paraId="1202997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и производство (2002-05 г.): боеприпасы нового поколения; кислородные газогенераторы; лазерное оборудование; минизаводы для пищевой промышленности, оборудование для вакуумной упаковки; медоборудование; модернизация существующих боеприпасов. В 2000-</w:t>
      </w:r>
      <w:proofErr w:type="gramStart"/>
      <w:r w:rsidRPr="00925F26">
        <w:rPr>
          <w:color w:val="000000" w:themeColor="text1"/>
          <w:sz w:val="16"/>
          <w:szCs w:val="16"/>
        </w:rPr>
        <w:t>е  г.</w:t>
      </w:r>
      <w:proofErr w:type="gramEnd"/>
      <w:r w:rsidRPr="00925F26">
        <w:rPr>
          <w:color w:val="000000" w:themeColor="text1"/>
          <w:sz w:val="16"/>
          <w:szCs w:val="16"/>
        </w:rPr>
        <w:t xml:space="preserve"> велась разработка лазерных скальпелей. Руководитель проекта (2005 г.)- В. Тищенко.</w:t>
      </w:r>
    </w:p>
    <w:p w14:paraId="08C6C7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Головной разработчик (2005 г.) артиллерийских боеприпасов к автоматическим пушечным комплексам вооружения ВВС, Сухопутных войск и ВМФ, выстрелов для подствольных и автоматических гранатометов.</w:t>
      </w:r>
    </w:p>
    <w:p w14:paraId="4CD775C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0CD8F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2005 г. создано и сдано в серию более 100 видов боеприпасов к артсистемам калибра 20, 23, 25, 30 и 37 мм.</w:t>
      </w:r>
    </w:p>
    <w:p w14:paraId="690932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А.А. Бобровский, (1960-70 г.)- А.П. Артамонов, (1970-90 г.)- С.С. Голембиовский. Гендиректор (1990-2005 г.-&gt; О.Т. Чижевский.</w:t>
      </w:r>
    </w:p>
    <w:p w14:paraId="20F6368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(2005 г.)- О.Т. Чижевский.</w:t>
      </w:r>
    </w:p>
    <w:p w14:paraId="2095DE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(начало 1950-</w:t>
      </w:r>
      <w:proofErr w:type="gramStart"/>
      <w:r w:rsidRPr="00925F26">
        <w:rPr>
          <w:color w:val="000000" w:themeColor="text1"/>
          <w:sz w:val="16"/>
          <w:szCs w:val="16"/>
        </w:rPr>
        <w:t>х  г.</w:t>
      </w:r>
      <w:proofErr w:type="gramEnd"/>
      <w:r w:rsidRPr="00925F26">
        <w:rPr>
          <w:color w:val="000000" w:themeColor="text1"/>
          <w:sz w:val="16"/>
          <w:szCs w:val="16"/>
        </w:rPr>
        <w:t>)- А.А. Бобровский (гл. инженер ГУ по взрывателям в НКБ).</w:t>
      </w:r>
      <w:r w:rsidRPr="00925F26">
        <w:rPr>
          <w:color w:val="000000" w:themeColor="text1"/>
          <w:sz w:val="16"/>
          <w:szCs w:val="16"/>
          <w:vertAlign w:val="superscript"/>
        </w:rPr>
        <w:t>101</w:t>
      </w:r>
    </w:p>
    <w:p w14:paraId="307E68AC"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патроны: к авиапушкам калибра 23 и 37 мм, 30-мм АО-18, ЗУОФ7 к ЗУ-23 (2004);</w:t>
      </w:r>
      <w:r w:rsidRPr="00925F26">
        <w:rPr>
          <w:iCs/>
          <w:color w:val="000000" w:themeColor="text1"/>
          <w:sz w:val="16"/>
          <w:szCs w:val="16"/>
        </w:rPr>
        <w:t xml:space="preserve"> выстрелы для гранатометов:</w:t>
      </w:r>
      <w:r w:rsidRPr="00925F26">
        <w:rPr>
          <w:color w:val="000000" w:themeColor="text1"/>
          <w:sz w:val="16"/>
          <w:szCs w:val="16"/>
        </w:rPr>
        <w:t xml:space="preserve"> 7П17 к ГП-25 (2004), ВОГ-17, ВОГ-25, ВОГ-25П, -25М, -25ПМ, ВОГ-ЗО, практический 7П44У; лазерный скальпель «Лазон-10-П» (11982).</w:t>
      </w:r>
    </w:p>
    <w:p w14:paraId="7C825E81" w14:textId="77777777" w:rsidR="006103B3" w:rsidRPr="00925F26" w:rsidRDefault="006103B3" w:rsidP="00925F26">
      <w:pPr>
        <w:autoSpaceDE w:val="0"/>
        <w:autoSpaceDN w:val="0"/>
        <w:adjustRightInd w:val="0"/>
        <w:jc w:val="both"/>
        <w:rPr>
          <w:color w:val="000000" w:themeColor="text1"/>
          <w:sz w:val="16"/>
          <w:szCs w:val="16"/>
        </w:rPr>
      </w:pPr>
    </w:p>
    <w:p w14:paraId="30707AC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13 июня 1945 г. был организован Ленинградский филиал СКБ НКСП (с 1949 г.- НИИ-303 МСП). </w:t>
      </w:r>
    </w:p>
    <w:p w14:paraId="66228D70" w14:textId="77777777" w:rsidR="006103B3" w:rsidRPr="00925F26" w:rsidRDefault="006103B3" w:rsidP="00925F26">
      <w:pPr>
        <w:autoSpaceDE w:val="0"/>
        <w:autoSpaceDN w:val="0"/>
        <w:adjustRightInd w:val="0"/>
        <w:jc w:val="both"/>
        <w:rPr>
          <w:iCs/>
          <w:color w:val="000000" w:themeColor="text1"/>
          <w:sz w:val="16"/>
          <w:szCs w:val="16"/>
        </w:rPr>
      </w:pPr>
    </w:p>
    <w:p w14:paraId="5698F2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июня 1945 г. был организован Ленинградский филиал СКБ НКСП для решения задач высокоточной морской навигации. Основу коллектива составили работники военно-морской части завода «Электроприбор». В 1949 г. филиал преобразован в самостоятельный НИИ-303 МСП (НИИ-303 ГКС, ГКРЭ, МСП, Ленинградский филиал СКБ НКСП, ЦНИИ «Электроприбор», ФГУП ГНЦ РФ «ЦНИИ «Электроприбор» /197046  г. Ленинград ул. Братьев Васильевых/ /197046  г. Санкт-Петербург ул. М. Посадская, 30 тел. 232-59-15/). С 1953 г.- разработка навигационной аппаратуры для АПЛ.</w:t>
      </w:r>
    </w:p>
    <w:p w14:paraId="449D14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гироскопов: с начала 1950-</w:t>
      </w:r>
      <w:proofErr w:type="gramStart"/>
      <w:r w:rsidRPr="00925F26">
        <w:rPr>
          <w:color w:val="000000" w:themeColor="text1"/>
          <w:sz w:val="16"/>
          <w:szCs w:val="16"/>
        </w:rPr>
        <w:t>х  г.</w:t>
      </w:r>
      <w:proofErr w:type="gramEnd"/>
      <w:r w:rsidRPr="00925F26">
        <w:rPr>
          <w:color w:val="000000" w:themeColor="text1"/>
          <w:sz w:val="16"/>
          <w:szCs w:val="16"/>
        </w:rPr>
        <w:t>_ - на аэродинамическом подвесе для НК 2-го поколения; с электростатическим подвесом -сферического ротора (ЭСГ) для НК 3-го поколения; с магнитно-резонансным подвесом сферического ротора (МСГ) для НК 4-го поколения (1980-е-90-е); волоконно-оптических (ВОГ) для БИНС (1990-е); лазерных гироскопов.</w:t>
      </w:r>
    </w:p>
    <w:p w14:paraId="591591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Работы: по КР П-20; по НК 1-го поколения для кораблей и ПЛ (1950-60-е  г., В.И. Маслевский); НК 2-го и 3-го поколения (1970-е-80-е).</w:t>
      </w:r>
    </w:p>
    <w:p w14:paraId="2B742B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1957 г. в состав института в качестве опытного завода включен завод «Электроприбор». В 1966 г. НИИ-303 переименован в ЦНИИ «Электроприбор». Для производства гироскопов был построен филиал института в Гатчине.</w:t>
      </w:r>
    </w:p>
    <w:p w14:paraId="22B51F3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Находился в ведении ГКС, затем передан в ГКРЭ. В 1974 г. на базе института образовано Ленинградское НПО «Азимут». В 1991 г. НПО расформировано, институт вновь стал самостоятельным.</w:t>
      </w:r>
    </w:p>
    <w:p w14:paraId="197A91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Институтом создано 4 поколения навигационных комплексов (НК) для ПЛ более чем 30 проектов; инерциальные навигационные системы (ИНС); радиоастрооптические навигационные системы (РАНК), не имевшие аналогов в мире; бескарданные ИНС (БИНС). Разработаны системы: управления вооружением кораблей; гироскопической стабилизации; управления движением экранопланов, СПК и СВП; морские радиоастрономические и гравиметрические; прецизионная система ориентации ИСЗ.</w:t>
      </w:r>
    </w:p>
    <w:p w14:paraId="0E2397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068537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1998 г. бывший опытный завод «Электроприбор» стал дочерним предприятием ФГУП «ЦНИИ «Электроприбор» - «Азимут-Электроприбор». Имел Гатчинский филиал (2002 г.). В 2002 г. в состав ЦНИИ в качестве ИТЦ вошло ГУП «КБ «Связьморпроект».</w:t>
      </w:r>
    </w:p>
    <w:p w14:paraId="3FBD50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составе института (2005 г.): опытное производство; научно-технологический гироскопический комплекс; ИТЦ «КБ «Связьморпроект» с производством и испытательным центром; ипытательная база.</w:t>
      </w:r>
    </w:p>
    <w:p w14:paraId="5CBCE3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Работы (2005 г.): прецизионный свободный гироскоп с электростатическим подвесом ротора и инерциальные НС на его основе; высокоточный управляемый гироскоп с магниторезонансным подвесом ротора и НС на его основе (не имеет аналогов в мире); перископные радиоастрооптические НС (не имеют аналогов в мире); высокостабильные морские гидрографичекие и навигационные гравиметры; интегрированная спутниково- инерциальная НС; мобильный аэроморской гравиметр; медтехника (прецизионный нейрохирургический стереотаксический манипулятор).</w:t>
      </w:r>
      <w:r w:rsidRPr="00925F26">
        <w:rPr>
          <w:color w:val="000000" w:themeColor="text1"/>
          <w:sz w:val="16"/>
          <w:szCs w:val="16"/>
          <w:vertAlign w:val="superscript"/>
        </w:rPr>
        <w:t>101</w:t>
      </w:r>
    </w:p>
    <w:p w14:paraId="557237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(1945-77 г.)- В.М. Грибов, (1980-е-2005 г.-)- академик В. Г. Пешехонов.</w:t>
      </w:r>
    </w:p>
    <w:p w14:paraId="19B867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1-й зам. директора (1945-78 г.)- С.Ф. Фармаковский.</w:t>
      </w:r>
    </w:p>
    <w:p w14:paraId="525E637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В.И. Маслевский.</w:t>
      </w:r>
    </w:p>
    <w:p w14:paraId="0A1B66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(1950-е)- С.Ф. Фармаковский (Север-А644У), (1964 г.)- А. Г. Пинчук (МПП-315).</w:t>
      </w:r>
    </w:p>
    <w:p w14:paraId="5831C6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Ведущие конструкторы: (1960-е)- В.Б. Диомидов.</w:t>
      </w:r>
    </w:p>
    <w:p w14:paraId="08939E74"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Создано: НК:</w:t>
      </w:r>
      <w:r w:rsidRPr="00925F26">
        <w:rPr>
          <w:color w:val="000000" w:themeColor="text1"/>
          <w:sz w:val="16"/>
          <w:szCs w:val="16"/>
        </w:rPr>
        <w:t xml:space="preserve"> I поколения «Сила-Н» для АПЛ пр. 627 (пнв в 1962 г.), «Сигма», II поколения «Медведица» (1977), «Андромеда» для ТАРК, III поколения «Симфония», IV поколения «Апассионата-ЭКМ» для пр. 877ЭКМ, «Апассионата-ЭКМ.1» для пр. 636 (1997); системы ПУС: «Молния АЦ-68бис» для пр. 68бис (1947-49), для корабельной РСЗО С-39 (начало 1950-х); выносной индикатор МПП-315 для РЛС «Волга» (пнв в 1964 г.); СУ стрельбой «Север-А644У» для ПЛ пр. 644 (1950-е); гироазимут-горизонт для СУ стрельбой «Лев-214» (1976), гирогоризонт-компас «Зенит-СК» (2000-е); центральная система гиростабилизации «Надир» (1973); системы для экранопланов: пилотажной индикации и контроля координат движения «Гамма» для КМ (1960-е), стабилизации и демпфирования «изд. 127» (1960-е), автоматического управления движением «Смена-4» для пр. 904 (1974); инерциальный корректор на базе ЭСГ «Скандий»;</w:t>
      </w:r>
      <w:r w:rsidRPr="00925F26">
        <w:rPr>
          <w:iCs/>
          <w:color w:val="000000" w:themeColor="text1"/>
          <w:sz w:val="16"/>
          <w:szCs w:val="16"/>
        </w:rPr>
        <w:t xml:space="preserve"> ИНС:</w:t>
      </w:r>
      <w:r w:rsidRPr="00925F26">
        <w:rPr>
          <w:color w:val="000000" w:themeColor="text1"/>
          <w:sz w:val="16"/>
          <w:szCs w:val="16"/>
        </w:rPr>
        <w:t xml:space="preserve"> «Стрелец» (1977), «Алеут», «Ладога-МЭ» (1990-е), БИНС «Съемка-СИПК» (1990-е), спутниковая «Мининавигация» (1990-е); картографическая навигационная система «Маркер» (1990-е); всплывающее аварийное радионавигационное устройство «Надежда» для ПЛ (2004); унифицированный перископный комплекс УПК, его экспортный вариант «Парус-98Э» (2000-е); комплекс средств связи: для БРК «Бал-Э», «Дистанция-Э»; СУ системы электродвижения ПЛ СУ СЭД-1 (2000-е); мобильный морской гравиметр «Чекан-АМ» (1990-е); гироскопический ориентатор для КА «Космос-4», система измерения микроускорений «Синус» для КА «Фотон», гироскопический командный прибор для системы ориентации КА, блок перенацеливания и сканирования со следящей системой для оптического телескопа КА, система управления астрономического телескопа СОДАРТ (2002);</w:t>
      </w:r>
      <w:r w:rsidRPr="00925F26">
        <w:rPr>
          <w:color w:val="000000" w:themeColor="text1"/>
          <w:sz w:val="16"/>
          <w:szCs w:val="16"/>
          <w:vertAlign w:val="superscript"/>
        </w:rPr>
        <w:t>69</w:t>
      </w:r>
      <w:r w:rsidRPr="00925F26">
        <w:rPr>
          <w:color w:val="000000" w:themeColor="text1"/>
          <w:sz w:val="16"/>
          <w:szCs w:val="16"/>
        </w:rPr>
        <w:t xml:space="preserve"> стереотаксический манипулятор для операций на головном мозге (2000-е); ветроэнергетические установки малой мощности (2000-е).</w:t>
      </w:r>
    </w:p>
    <w:p w14:paraId="223272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Гатчинский филиал ЦНИИ «Электроприбор» /188350  г. Гатчина Ленинградской обл. Промзона тел. 21-984/</w:t>
      </w:r>
    </w:p>
    <w:p w14:paraId="0455DE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Создан для производства гироскопов.</w:t>
      </w:r>
    </w:p>
    <w:p w14:paraId="6D3B8D9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Разработка и производство (2002 г.): гироскопы, акселерометры.</w:t>
      </w:r>
    </w:p>
    <w:p w14:paraId="20B3EC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(2002 г.)- А.А. Смолов.</w:t>
      </w:r>
      <w:r w:rsidRPr="00925F26">
        <w:rPr>
          <w:color w:val="000000" w:themeColor="text1"/>
          <w:sz w:val="16"/>
          <w:szCs w:val="16"/>
          <w:vertAlign w:val="superscript"/>
        </w:rPr>
        <w:t xml:space="preserve">69 </w:t>
      </w:r>
      <w:r w:rsidRPr="00925F26">
        <w:rPr>
          <w:color w:val="000000" w:themeColor="text1"/>
          <w:sz w:val="16"/>
          <w:szCs w:val="16"/>
        </w:rPr>
        <w:t>КБ «Связьморпроект», ГУП «КБ «Связьморпроект» МСП, Инженерно-технический центр (ИТЦ)</w:t>
      </w:r>
    </w:p>
    <w:p w14:paraId="317EA3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«КБ «Связьморпроект»</w:t>
      </w:r>
    </w:p>
    <w:p w14:paraId="6258A2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Создано в 1935 г. Разработка корабельных антенн всех типов.</w:t>
      </w:r>
    </w:p>
    <w:p w14:paraId="7D6C11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01.2002 г. в качестве ИТЦ вошло в состав ЦНИИ «Электроприбор».</w:t>
      </w:r>
    </w:p>
    <w:p w14:paraId="35DEF4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Создана аппаратура внутрикорабельной безбатарейной телефонной связи для ПЛ (2000-е).</w:t>
      </w:r>
    </w:p>
    <w:p w14:paraId="454A75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(1949 г.)</w:t>
      </w:r>
      <w:proofErr w:type="gramStart"/>
      <w:r w:rsidRPr="00925F26">
        <w:rPr>
          <w:color w:val="000000" w:themeColor="text1"/>
          <w:sz w:val="16"/>
          <w:szCs w:val="16"/>
        </w:rPr>
        <w:t>-  Г.</w:t>
      </w:r>
      <w:proofErr w:type="gramEnd"/>
      <w:r w:rsidRPr="00925F26">
        <w:rPr>
          <w:color w:val="000000" w:themeColor="text1"/>
          <w:sz w:val="16"/>
          <w:szCs w:val="16"/>
        </w:rPr>
        <w:t xml:space="preserve"> Г. Власов.</w:t>
      </w:r>
    </w:p>
    <w:p w14:paraId="5487EC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Ленинградское НПО «Азимут» МСП</w:t>
      </w:r>
    </w:p>
    <w:p w14:paraId="7D8143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Ленинградское НПО «Азимут» образовано в 1974 г. на базе ЦНИИ «Электроприбор», в его состав вошел также завод «Электроприбор». В 1991 г. НПО расформировано.</w:t>
      </w:r>
    </w:p>
    <w:p w14:paraId="62F54373" w14:textId="77777777" w:rsidR="006103B3" w:rsidRPr="00925F26" w:rsidRDefault="006103B3" w:rsidP="00925F26">
      <w:pPr>
        <w:tabs>
          <w:tab w:val="left" w:pos="9127"/>
        </w:tabs>
        <w:autoSpaceDE w:val="0"/>
        <w:autoSpaceDN w:val="0"/>
        <w:adjustRightInd w:val="0"/>
        <w:jc w:val="both"/>
        <w:rPr>
          <w:color w:val="000000" w:themeColor="text1"/>
          <w:sz w:val="16"/>
          <w:szCs w:val="16"/>
        </w:rPr>
      </w:pPr>
      <w:r w:rsidRPr="00925F26">
        <w:rPr>
          <w:color w:val="000000" w:themeColor="text1"/>
          <w:sz w:val="16"/>
          <w:szCs w:val="16"/>
        </w:rPr>
        <w:t>Созданы приборы управления стрельбой для РПК-5 «Ливень» (1970-е).</w:t>
      </w:r>
    </w:p>
    <w:p w14:paraId="76297F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ОАО «Концерн «ЦНИИ «Электроприбор»</w:t>
      </w:r>
    </w:p>
    <w:p w14:paraId="311899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Концерн создан по Указу Президента РФ от 22.03.2007 г. на базе ЦНИИ «Электроприбор». В его состав вошло также ОАО «АПЗ «Ротор» </w:t>
      </w:r>
      <w:proofErr w:type="gramStart"/>
      <w:r w:rsidRPr="00925F26">
        <w:rPr>
          <w:color w:val="000000" w:themeColor="text1"/>
          <w:sz w:val="16"/>
          <w:szCs w:val="16"/>
        </w:rPr>
        <w:t>( г.</w:t>
      </w:r>
      <w:proofErr w:type="gramEnd"/>
      <w:r w:rsidRPr="00925F26">
        <w:rPr>
          <w:color w:val="000000" w:themeColor="text1"/>
          <w:sz w:val="16"/>
          <w:szCs w:val="16"/>
        </w:rPr>
        <w:t xml:space="preserve"> Барнаул) (11982).</w:t>
      </w:r>
    </w:p>
    <w:p w14:paraId="17D75F17" w14:textId="77777777" w:rsidR="006103B3" w:rsidRPr="00925F26" w:rsidRDefault="006103B3" w:rsidP="00925F26">
      <w:pPr>
        <w:autoSpaceDE w:val="0"/>
        <w:autoSpaceDN w:val="0"/>
        <w:adjustRightInd w:val="0"/>
        <w:jc w:val="both"/>
        <w:rPr>
          <w:color w:val="000000" w:themeColor="text1"/>
          <w:sz w:val="16"/>
          <w:szCs w:val="16"/>
        </w:rPr>
      </w:pPr>
    </w:p>
    <w:p w14:paraId="3C67BE56" w14:textId="77777777" w:rsidR="00B147AB" w:rsidRPr="00925F26" w:rsidRDefault="00B147AB"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2FDBFEE" w14:textId="77777777" w:rsidR="00B147AB" w:rsidRPr="00925F26" w:rsidRDefault="00B147AB" w:rsidP="00925F26">
      <w:pPr>
        <w:autoSpaceDE w:val="0"/>
        <w:autoSpaceDN w:val="0"/>
        <w:adjustRightInd w:val="0"/>
        <w:jc w:val="both"/>
        <w:rPr>
          <w:iCs/>
          <w:color w:val="000000" w:themeColor="text1"/>
          <w:sz w:val="16"/>
          <w:szCs w:val="16"/>
        </w:rPr>
      </w:pPr>
    </w:p>
    <w:p w14:paraId="0BB913BC" w14:textId="77777777" w:rsidR="00B147AB" w:rsidRPr="00925F26" w:rsidRDefault="00B147AB" w:rsidP="00925F26">
      <w:pPr>
        <w:jc w:val="both"/>
        <w:rPr>
          <w:color w:val="000000" w:themeColor="text1"/>
          <w:sz w:val="16"/>
          <w:szCs w:val="16"/>
        </w:rPr>
      </w:pPr>
      <w:r w:rsidRPr="00925F26">
        <w:rPr>
          <w:color w:val="000000" w:themeColor="text1"/>
          <w:sz w:val="16"/>
          <w:szCs w:val="16"/>
        </w:rPr>
        <w:t>13 июня 1945 г. была записка ЦСУ в Правительство, согласно которым главным источником финансирования военных расходов на переломном этапе войны в 1943 г. были: накопления государственных предприятий и организаций и их амортизационные отчисления (свыше 100 млрд. руб.), размещение займов среди населения и их добровольные взносы (около 25 млрд. руб.), налоги (30 млрд. руб.) и эмиссия (11,5 млрд. руб.). Дополнительным источником покрытия военных расходов (помимо эмиссии, которая в общем объеме финансовых ресурсов составляла не более 5%) являлось повышение цен на товары широкого потребления государственной розничной торговли, которое (по некоторым сведениям) составило не менее 30 млрд. руб. &lt;1&gt;. Хотя, по официальным данным, розничные цены государственной и кооперативной торговли были повышены лишь на спиртные напитки и табачные изделия; нормированное снабжение населения продовольствием и промышленными товарами производилось в основном по низким довоенным ценам.</w:t>
      </w:r>
    </w:p>
    <w:p w14:paraId="5636D9F4" w14:textId="77777777" w:rsidR="00B147AB" w:rsidRPr="00925F26" w:rsidRDefault="00B147AB" w:rsidP="00925F26">
      <w:pPr>
        <w:jc w:val="both"/>
        <w:rPr>
          <w:color w:val="000000" w:themeColor="text1"/>
          <w:sz w:val="16"/>
          <w:szCs w:val="16"/>
        </w:rPr>
      </w:pPr>
      <w:r w:rsidRPr="00925F26">
        <w:rPr>
          <w:color w:val="000000" w:themeColor="text1"/>
          <w:sz w:val="16"/>
          <w:szCs w:val="16"/>
        </w:rPr>
        <w:t>В 1943 г. военные расходы СССР составили около 150 млрд. руб., или 36% национального дохода. С учетом строительства и реконструкции военных заводов общая сумма всех затрат измерялась в сумме 220 млрд. руб., или 52,2% от величины национального дохода, рассчитанной в действующих ценах (18390).</w:t>
      </w:r>
    </w:p>
    <w:p w14:paraId="11544A7F" w14:textId="77777777" w:rsidR="00B147AB" w:rsidRPr="00925F26" w:rsidRDefault="00B147AB" w:rsidP="00925F26">
      <w:pPr>
        <w:jc w:val="both"/>
        <w:rPr>
          <w:color w:val="000000" w:themeColor="text1"/>
          <w:sz w:val="16"/>
          <w:szCs w:val="16"/>
        </w:rPr>
      </w:pPr>
    </w:p>
    <w:p w14:paraId="69BAB058" w14:textId="77777777" w:rsidR="006103B3"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3A0C0160" w14:textId="77777777" w:rsidR="006103B3" w:rsidRPr="00925F26" w:rsidRDefault="006103B3" w:rsidP="00925F26">
      <w:pPr>
        <w:autoSpaceDE w:val="0"/>
        <w:autoSpaceDN w:val="0"/>
        <w:adjustRightInd w:val="0"/>
        <w:jc w:val="both"/>
        <w:rPr>
          <w:iCs/>
          <w:color w:val="000000" w:themeColor="text1"/>
          <w:sz w:val="16"/>
          <w:szCs w:val="16"/>
          <w:lang w:val="en-US"/>
        </w:rPr>
      </w:pPr>
    </w:p>
    <w:p w14:paraId="799D9ECE"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 xml:space="preserve">June 13 1945 A ramjet engine produced power in supersonic flight in a test conducted by the Applied Physics Laboratory at Island Beach, N.J. The ramjet unit was launched by a booster of four </w:t>
      </w:r>
      <w:proofErr w:type="gramStart"/>
      <w:r w:rsidRPr="00925F26">
        <w:rPr>
          <w:color w:val="000000" w:themeColor="text1"/>
          <w:sz w:val="16"/>
          <w:szCs w:val="16"/>
          <w:lang w:val="en-US"/>
        </w:rPr>
        <w:t>5-inch high</w:t>
      </w:r>
      <w:proofErr w:type="gramEnd"/>
      <w:r w:rsidRPr="00925F26">
        <w:rPr>
          <w:color w:val="000000" w:themeColor="text1"/>
          <w:sz w:val="16"/>
          <w:szCs w:val="16"/>
          <w:lang w:val="en-US"/>
        </w:rPr>
        <w:t xml:space="preserve"> velocity aircraft rockets and achieved a range of 11,000 yards, nearly double that of similarly launched, cold units (1090).</w:t>
      </w:r>
    </w:p>
    <w:p w14:paraId="2EE24A5C" w14:textId="77777777" w:rsidR="006103B3" w:rsidRPr="00925F26" w:rsidRDefault="006103B3" w:rsidP="00925F26">
      <w:pPr>
        <w:autoSpaceDE w:val="0"/>
        <w:autoSpaceDN w:val="0"/>
        <w:adjustRightInd w:val="0"/>
        <w:jc w:val="both"/>
        <w:rPr>
          <w:color w:val="000000" w:themeColor="text1"/>
          <w:sz w:val="16"/>
          <w:szCs w:val="16"/>
          <w:lang w:val="en-US"/>
        </w:rPr>
      </w:pPr>
    </w:p>
    <w:p w14:paraId="3A4B79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июня 1945 прямоточный двигатель развил в США скорость, равную 2-м скоростям звука (1090).</w:t>
      </w:r>
    </w:p>
    <w:p w14:paraId="7C7841B3" w14:textId="77777777" w:rsidR="006103B3" w:rsidRPr="00925F26" w:rsidRDefault="006103B3" w:rsidP="00925F26">
      <w:pPr>
        <w:autoSpaceDE w:val="0"/>
        <w:autoSpaceDN w:val="0"/>
        <w:adjustRightInd w:val="0"/>
        <w:jc w:val="both"/>
        <w:rPr>
          <w:color w:val="000000" w:themeColor="text1"/>
          <w:sz w:val="16"/>
          <w:szCs w:val="16"/>
        </w:rPr>
      </w:pPr>
    </w:p>
    <w:p w14:paraId="2C7D76F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44A0D8A" w14:textId="77777777" w:rsidR="006103B3" w:rsidRPr="00925F26" w:rsidRDefault="006103B3" w:rsidP="00925F26">
      <w:pPr>
        <w:autoSpaceDE w:val="0"/>
        <w:autoSpaceDN w:val="0"/>
        <w:adjustRightInd w:val="0"/>
        <w:jc w:val="both"/>
        <w:rPr>
          <w:iCs/>
          <w:color w:val="000000" w:themeColor="text1"/>
          <w:sz w:val="16"/>
          <w:szCs w:val="16"/>
        </w:rPr>
      </w:pPr>
    </w:p>
    <w:p w14:paraId="07F654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14 июня 1945 г. в письме ко</w:t>
      </w:r>
      <w:r w:rsidRPr="00925F26">
        <w:rPr>
          <w:color w:val="000000" w:themeColor="text1"/>
          <w:sz w:val="16"/>
          <w:szCs w:val="16"/>
        </w:rPr>
        <w:softHyphen/>
        <w:t>мандира 1-й запасной штурмовой авиабригады генерал-майора А. И. Подольского директору завода № 24 М. С. Жезлову отмечалось, что: «...пред</w:t>
      </w:r>
      <w:r w:rsidRPr="00925F26">
        <w:rPr>
          <w:color w:val="000000" w:themeColor="text1"/>
          <w:sz w:val="16"/>
          <w:szCs w:val="16"/>
        </w:rPr>
        <w:softHyphen/>
        <w:t>ставители завода запутывают рас</w:t>
      </w:r>
      <w:r w:rsidRPr="00925F26">
        <w:rPr>
          <w:color w:val="000000" w:themeColor="text1"/>
          <w:sz w:val="16"/>
          <w:szCs w:val="16"/>
        </w:rPr>
        <w:softHyphen/>
        <w:t>следования причин отказов мото</w:t>
      </w:r>
      <w:r w:rsidRPr="00925F26">
        <w:rPr>
          <w:color w:val="000000" w:themeColor="text1"/>
          <w:sz w:val="16"/>
          <w:szCs w:val="16"/>
        </w:rPr>
        <w:softHyphen/>
        <w:t>ров, а значит, стремятся замазать их.Расследования затягиваются на полгода и более. Такое «расследо</w:t>
      </w:r>
      <w:r w:rsidRPr="00925F26">
        <w:rPr>
          <w:color w:val="000000" w:themeColor="text1"/>
          <w:sz w:val="16"/>
          <w:szCs w:val="16"/>
        </w:rPr>
        <w:softHyphen/>
        <w:t>вание» не может предупредить вовремя повторение летных про</w:t>
      </w:r>
      <w:r w:rsidRPr="00925F26">
        <w:rPr>
          <w:color w:val="000000" w:themeColor="text1"/>
          <w:sz w:val="16"/>
          <w:szCs w:val="16"/>
        </w:rPr>
        <w:softHyphen/>
        <w:t>исшествий по тем же причинам.За</w:t>
      </w:r>
      <w:r w:rsidRPr="00925F26">
        <w:rPr>
          <w:color w:val="000000" w:themeColor="text1"/>
          <w:sz w:val="16"/>
          <w:szCs w:val="16"/>
        </w:rPr>
        <w:softHyphen/>
        <w:t>вязывается бессмысленная пере</w:t>
      </w:r>
      <w:r w:rsidRPr="00925F26">
        <w:rPr>
          <w:color w:val="000000" w:themeColor="text1"/>
          <w:sz w:val="16"/>
          <w:szCs w:val="16"/>
        </w:rPr>
        <w:softHyphen/>
        <w:t>писка, в результате которой все же Вам приходиться признавать вину за заводом. Нелогичность «осо</w:t>
      </w:r>
      <w:r w:rsidRPr="00925F26">
        <w:rPr>
          <w:color w:val="000000" w:themeColor="text1"/>
          <w:sz w:val="16"/>
          <w:szCs w:val="16"/>
        </w:rPr>
        <w:softHyphen/>
        <w:t>бых» мнений и отсутствие в них обо</w:t>
      </w:r>
      <w:r w:rsidRPr="00925F26">
        <w:rPr>
          <w:color w:val="000000" w:themeColor="text1"/>
          <w:sz w:val="16"/>
          <w:szCs w:val="16"/>
        </w:rPr>
        <w:softHyphen/>
        <w:t>снования говорит о чрезвычайно низкой технической грамотности представителей завода, работаю</w:t>
      </w:r>
      <w:r w:rsidRPr="00925F26">
        <w:rPr>
          <w:color w:val="000000" w:themeColor="text1"/>
          <w:sz w:val="16"/>
          <w:szCs w:val="16"/>
        </w:rPr>
        <w:softHyphen/>
        <w:t>щих в бригаде...» (11132). Забегая вперед, укажем, что до</w:t>
      </w:r>
      <w:r w:rsidRPr="00925F26">
        <w:rPr>
          <w:color w:val="000000" w:themeColor="text1"/>
          <w:sz w:val="16"/>
          <w:szCs w:val="16"/>
        </w:rPr>
        <w:softHyphen/>
        <w:t>водка АМ-42 затянулась фактически до середины 1947 г., когда были внесены кардинальные изменения в его конструкцию, после чего мо</w:t>
      </w:r>
      <w:r w:rsidRPr="00925F26">
        <w:rPr>
          <w:color w:val="000000" w:themeColor="text1"/>
          <w:sz w:val="16"/>
          <w:szCs w:val="16"/>
        </w:rPr>
        <w:softHyphen/>
        <w:t>тор стал нормально работать. А до этого времени, недостаточная его надежность определяла и доволь</w:t>
      </w:r>
      <w:r w:rsidRPr="00925F26">
        <w:rPr>
          <w:color w:val="000000" w:themeColor="text1"/>
          <w:sz w:val="16"/>
          <w:szCs w:val="16"/>
        </w:rPr>
        <w:softHyphen/>
        <w:t>но высокую аварийность в частях ВВС. Например, в феврале-марте 1946 г. в частях 10-й гшад произо</w:t>
      </w:r>
      <w:r w:rsidRPr="00925F26">
        <w:rPr>
          <w:color w:val="000000" w:themeColor="text1"/>
          <w:sz w:val="16"/>
          <w:szCs w:val="16"/>
        </w:rPr>
        <w:softHyphen/>
        <w:t>шел массовый выход из строя мото</w:t>
      </w:r>
      <w:r w:rsidRPr="00925F26">
        <w:rPr>
          <w:color w:val="000000" w:themeColor="text1"/>
          <w:sz w:val="16"/>
          <w:szCs w:val="16"/>
        </w:rPr>
        <w:softHyphen/>
        <w:t>ров АМ-42, что привело к многочис</w:t>
      </w:r>
      <w:r w:rsidRPr="00925F26">
        <w:rPr>
          <w:color w:val="000000" w:themeColor="text1"/>
          <w:sz w:val="16"/>
          <w:szCs w:val="16"/>
        </w:rPr>
        <w:softHyphen/>
        <w:t>ленным авариям и даже катастро</w:t>
      </w:r>
      <w:r w:rsidRPr="00925F26">
        <w:rPr>
          <w:color w:val="000000" w:themeColor="text1"/>
          <w:sz w:val="16"/>
          <w:szCs w:val="16"/>
        </w:rPr>
        <w:softHyphen/>
        <w:t>фам. В конце 1946 г. при перегонке в части авиации ВМФ 40 Ил-10 из-за мотора произошло три аварии</w:t>
      </w:r>
      <w:proofErr w:type="gramStart"/>
      <w:r w:rsidRPr="00925F26">
        <w:rPr>
          <w:color w:val="000000" w:themeColor="text1"/>
          <w:sz w:val="16"/>
          <w:szCs w:val="16"/>
        </w:rPr>
        <w:t>...(</w:t>
      </w:r>
      <w:proofErr w:type="gramEnd"/>
      <w:r w:rsidRPr="00925F26">
        <w:rPr>
          <w:color w:val="000000" w:themeColor="text1"/>
          <w:sz w:val="16"/>
          <w:szCs w:val="16"/>
        </w:rPr>
        <w:t>11132).</w:t>
      </w:r>
    </w:p>
    <w:p w14:paraId="100A20E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F9CB34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14 июня 1945 г. в письме командира 1-й запасной штурмовой авиабригады генерал-майора А. И. Подольского директору завода № 24 М. С. Жезлову от отмечалось, что: </w:t>
      </w:r>
      <w:r w:rsidRPr="00925F26">
        <w:rPr>
          <w:iCs/>
          <w:color w:val="000000" w:themeColor="text1"/>
          <w:sz w:val="16"/>
          <w:szCs w:val="16"/>
        </w:rPr>
        <w:t>"...представители завода запу</w:t>
      </w:r>
      <w:r w:rsidRPr="00925F26">
        <w:rPr>
          <w:iCs/>
          <w:color w:val="000000" w:themeColor="text1"/>
          <w:sz w:val="16"/>
          <w:szCs w:val="16"/>
        </w:rPr>
        <w:softHyphen/>
        <w:t>тывают расследования причин отка</w:t>
      </w:r>
      <w:r w:rsidRPr="00925F26">
        <w:rPr>
          <w:iCs/>
          <w:color w:val="000000" w:themeColor="text1"/>
          <w:sz w:val="16"/>
          <w:szCs w:val="16"/>
        </w:rPr>
        <w:softHyphen/>
        <w:t>зов моторов, а значит, стремятся за</w:t>
      </w:r>
      <w:r w:rsidRPr="00925F26">
        <w:rPr>
          <w:iCs/>
          <w:color w:val="000000" w:themeColor="text1"/>
          <w:sz w:val="16"/>
          <w:szCs w:val="16"/>
        </w:rPr>
        <w:softHyphen/>
        <w:t>мазать их. Расследования затягива</w:t>
      </w:r>
      <w:r w:rsidRPr="00925F26">
        <w:rPr>
          <w:iCs/>
          <w:color w:val="000000" w:themeColor="text1"/>
          <w:sz w:val="16"/>
          <w:szCs w:val="16"/>
        </w:rPr>
        <w:softHyphen/>
        <w:t>ются на полгода и более. Такое "рас</w:t>
      </w:r>
      <w:r w:rsidRPr="00925F26">
        <w:rPr>
          <w:iCs/>
          <w:color w:val="000000" w:themeColor="text1"/>
          <w:sz w:val="16"/>
          <w:szCs w:val="16"/>
        </w:rPr>
        <w:softHyphen/>
        <w:t>следование" не может предупредить вовремя повторение летных проис</w:t>
      </w:r>
      <w:r w:rsidRPr="00925F26">
        <w:rPr>
          <w:iCs/>
          <w:color w:val="000000" w:themeColor="text1"/>
          <w:sz w:val="16"/>
          <w:szCs w:val="16"/>
        </w:rPr>
        <w:softHyphen/>
        <w:t>шествий по тем же причинам. Завя</w:t>
      </w:r>
      <w:r w:rsidRPr="00925F26">
        <w:rPr>
          <w:iCs/>
          <w:color w:val="000000" w:themeColor="text1"/>
          <w:sz w:val="16"/>
          <w:szCs w:val="16"/>
        </w:rPr>
        <w:softHyphen/>
        <w:t>зывается бессмысленная переписка, в результате которой все же Вам при</w:t>
      </w:r>
      <w:r w:rsidRPr="00925F26">
        <w:rPr>
          <w:iCs/>
          <w:color w:val="000000" w:themeColor="text1"/>
          <w:sz w:val="16"/>
          <w:szCs w:val="16"/>
        </w:rPr>
        <w:softHyphen/>
        <w:t>ходиться признавать вину за заво</w:t>
      </w:r>
      <w:r w:rsidRPr="00925F26">
        <w:rPr>
          <w:iCs/>
          <w:color w:val="000000" w:themeColor="text1"/>
          <w:sz w:val="16"/>
          <w:szCs w:val="16"/>
        </w:rPr>
        <w:softHyphen/>
        <w:t>дом. Нелогичность "особых" мнений и отсутствие в них обоснования го</w:t>
      </w:r>
      <w:r w:rsidRPr="00925F26">
        <w:rPr>
          <w:iCs/>
          <w:color w:val="000000" w:themeColor="text1"/>
          <w:sz w:val="16"/>
          <w:szCs w:val="16"/>
        </w:rPr>
        <w:softHyphen/>
        <w:t>ворит о чрезвычайно низкой техни</w:t>
      </w:r>
      <w:r w:rsidRPr="00925F26">
        <w:rPr>
          <w:iCs/>
          <w:color w:val="000000" w:themeColor="text1"/>
          <w:sz w:val="16"/>
          <w:szCs w:val="16"/>
        </w:rPr>
        <w:softHyphen/>
        <w:t>ческой грамотности представителей завода, работающих в бригаде..."</w:t>
      </w:r>
    </w:p>
    <w:p w14:paraId="69968C9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Забегая вперед, укажем, что до</w:t>
      </w:r>
      <w:r w:rsidRPr="00925F26">
        <w:rPr>
          <w:color w:val="000000" w:themeColor="text1"/>
          <w:sz w:val="16"/>
          <w:szCs w:val="16"/>
        </w:rPr>
        <w:softHyphen/>
        <w:t>водка АМ-42 затянулась фактически до середины 1947 г., когда были вне</w:t>
      </w:r>
      <w:r w:rsidRPr="00925F26">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925F26">
        <w:rPr>
          <w:color w:val="000000" w:themeColor="text1"/>
          <w:sz w:val="16"/>
          <w:szCs w:val="16"/>
        </w:rPr>
        <w:softHyphen/>
        <w:t>мени, недостаточная его надежность определяла и довольно высокую ава</w:t>
      </w:r>
      <w:r w:rsidRPr="00925F26">
        <w:rPr>
          <w:color w:val="000000" w:themeColor="text1"/>
          <w:sz w:val="16"/>
          <w:szCs w:val="16"/>
        </w:rPr>
        <w:softHyphen/>
        <w:t xml:space="preserve">рийность в частях ВВС. Например, в феврале-марте 1946 г. в частях 10-й </w:t>
      </w:r>
      <w:r w:rsidRPr="00925F26">
        <w:rPr>
          <w:iCs/>
          <w:color w:val="000000" w:themeColor="text1"/>
          <w:sz w:val="16"/>
          <w:szCs w:val="16"/>
        </w:rPr>
        <w:t xml:space="preserve">гшад </w:t>
      </w:r>
      <w:r w:rsidRPr="00925F26">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4F9BBE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Помимо проблем с мотором, се</w:t>
      </w:r>
      <w:r w:rsidRPr="00925F26">
        <w:rPr>
          <w:color w:val="000000" w:themeColor="text1"/>
          <w:sz w:val="16"/>
          <w:szCs w:val="16"/>
        </w:rPr>
        <w:softHyphen/>
        <w:t>рийные Ил-10 характеризовались и пониженными летными данными в сравнении с опытной машиной. Ут</w:t>
      </w:r>
      <w:r w:rsidRPr="00925F26">
        <w:rPr>
          <w:color w:val="000000" w:themeColor="text1"/>
          <w:sz w:val="16"/>
          <w:szCs w:val="16"/>
        </w:rPr>
        <w:softHyphen/>
        <w:t>вержденные на совместном совеща</w:t>
      </w:r>
      <w:r w:rsidRPr="00925F26">
        <w:rPr>
          <w:color w:val="000000" w:themeColor="text1"/>
          <w:sz w:val="16"/>
          <w:szCs w:val="16"/>
        </w:rPr>
        <w:softHyphen/>
        <w:t>нии ВВС и НКАП в январе 1945 г. технические условия на самолет Ил-10 оказались для заводов высокими.</w:t>
      </w:r>
    </w:p>
    <w:p w14:paraId="24F7025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Усиление конструкции самолета (кры</w:t>
      </w:r>
      <w:r w:rsidRPr="00925F26">
        <w:rPr>
          <w:color w:val="000000" w:themeColor="text1"/>
          <w:sz w:val="16"/>
          <w:szCs w:val="16"/>
        </w:rPr>
        <w:softHyphen/>
        <w:t>ло, фюзеляж, шасси и т.д.), внесение различного рода изменений и дора</w:t>
      </w:r>
      <w:r w:rsidRPr="00925F26">
        <w:rPr>
          <w:color w:val="000000" w:themeColor="text1"/>
          <w:sz w:val="16"/>
          <w:szCs w:val="16"/>
        </w:rPr>
        <w:softHyphen/>
        <w:t>ботки машины, естественно, сопро</w:t>
      </w:r>
      <w:r w:rsidRPr="00925F26">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25F26">
        <w:rPr>
          <w:color w:val="000000" w:themeColor="text1"/>
          <w:sz w:val="16"/>
          <w:szCs w:val="16"/>
        </w:rPr>
        <w:softHyphen/>
        <w:t>емности. Естественно, усилились тре</w:t>
      </w:r>
      <w:r w:rsidRPr="00925F26">
        <w:rPr>
          <w:color w:val="000000" w:themeColor="text1"/>
          <w:sz w:val="16"/>
          <w:szCs w:val="16"/>
        </w:rPr>
        <w:softHyphen/>
        <w:t>ния между заводами и военными представителями по вопросам при</w:t>
      </w:r>
      <w:r w:rsidRPr="00925F26">
        <w:rPr>
          <w:color w:val="000000" w:themeColor="text1"/>
          <w:sz w:val="16"/>
          <w:szCs w:val="16"/>
        </w:rPr>
        <w:softHyphen/>
        <w:t>емки самолетов и их оплаты. На мно</w:t>
      </w:r>
      <w:r w:rsidRPr="00925F26">
        <w:rPr>
          <w:color w:val="000000" w:themeColor="text1"/>
          <w:sz w:val="16"/>
          <w:szCs w:val="16"/>
        </w:rPr>
        <w:softHyphen/>
        <w:t>гочисленных совещаниях по устране</w:t>
      </w:r>
      <w:r w:rsidRPr="00925F26">
        <w:rPr>
          <w:color w:val="000000" w:themeColor="text1"/>
          <w:sz w:val="16"/>
          <w:szCs w:val="16"/>
        </w:rPr>
        <w:softHyphen/>
        <w:t>нию дефектов Ил-10 не всегда уда</w:t>
      </w:r>
      <w:r w:rsidRPr="00925F26">
        <w:rPr>
          <w:color w:val="000000" w:themeColor="text1"/>
          <w:sz w:val="16"/>
          <w:szCs w:val="16"/>
        </w:rPr>
        <w:softHyphen/>
        <w:t>валось прийти к соглашению. Пред</w:t>
      </w:r>
      <w:r w:rsidRPr="00925F26">
        <w:rPr>
          <w:color w:val="000000" w:themeColor="text1"/>
          <w:sz w:val="16"/>
          <w:szCs w:val="16"/>
        </w:rPr>
        <w:softHyphen/>
        <w:t>ставители промышленности каждый раз принимали на себя обязатель</w:t>
      </w:r>
      <w:r w:rsidRPr="00925F26">
        <w:rPr>
          <w:color w:val="000000" w:themeColor="text1"/>
          <w:sz w:val="16"/>
          <w:szCs w:val="16"/>
        </w:rPr>
        <w:softHyphen/>
        <w:t>ства по улучшению летных и эксплу</w:t>
      </w:r>
      <w:r w:rsidRPr="00925F26">
        <w:rPr>
          <w:color w:val="000000" w:themeColor="text1"/>
          <w:sz w:val="16"/>
          <w:szCs w:val="16"/>
        </w:rPr>
        <w:softHyphen/>
        <w:t>атационных качеств машины и вся</w:t>
      </w:r>
      <w:r w:rsidRPr="00925F26">
        <w:rPr>
          <w:color w:val="000000" w:themeColor="text1"/>
          <w:sz w:val="16"/>
          <w:szCs w:val="16"/>
        </w:rPr>
        <w:softHyphen/>
        <w:t>кий раз их не выдерживали. Соот</w:t>
      </w:r>
      <w:r w:rsidRPr="00925F26">
        <w:rPr>
          <w:color w:val="000000" w:themeColor="text1"/>
          <w:sz w:val="16"/>
          <w:szCs w:val="16"/>
        </w:rPr>
        <w:softHyphen/>
        <w:t>ветственно, военные делали офици</w:t>
      </w:r>
      <w:r w:rsidRPr="00925F26">
        <w:rPr>
          <w:color w:val="000000" w:themeColor="text1"/>
          <w:sz w:val="16"/>
          <w:szCs w:val="16"/>
        </w:rPr>
        <w:softHyphen/>
        <w:t xml:space="preserve">альные выводы: </w:t>
      </w:r>
      <w:r w:rsidRPr="00925F26">
        <w:rPr>
          <w:iCs/>
          <w:color w:val="000000" w:themeColor="text1"/>
          <w:sz w:val="16"/>
          <w:szCs w:val="16"/>
        </w:rPr>
        <w:t>"Со стороны НКАП сроки выполнения Постановлений ГОКО, СНК и приказов НКАП не вы</w:t>
      </w:r>
      <w:r w:rsidRPr="00925F26">
        <w:rPr>
          <w:iCs/>
          <w:color w:val="000000" w:themeColor="text1"/>
          <w:sz w:val="16"/>
          <w:szCs w:val="16"/>
        </w:rPr>
        <w:softHyphen/>
        <w:t xml:space="preserve">держиваются". </w:t>
      </w:r>
      <w:r w:rsidRPr="00925F26">
        <w:rPr>
          <w:color w:val="000000" w:themeColor="text1"/>
          <w:sz w:val="16"/>
          <w:szCs w:val="16"/>
        </w:rPr>
        <w:t>Напряженность во взаимоотношениях ВВС и НКАП на</w:t>
      </w:r>
      <w:r w:rsidRPr="00925F26">
        <w:rPr>
          <w:color w:val="000000" w:themeColor="text1"/>
          <w:sz w:val="16"/>
          <w:szCs w:val="16"/>
        </w:rPr>
        <w:softHyphen/>
        <w:t>растала с каждым месяцем (11431).</w:t>
      </w:r>
    </w:p>
    <w:p w14:paraId="3322022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AB94246" w14:textId="77777777" w:rsidR="0002077A" w:rsidRPr="00925F26" w:rsidRDefault="0002077A" w:rsidP="00925F26">
      <w:pPr>
        <w:jc w:val="both"/>
        <w:rPr>
          <w:color w:val="000000" w:themeColor="text1"/>
          <w:sz w:val="16"/>
          <w:szCs w:val="16"/>
        </w:rPr>
      </w:pPr>
      <w:r w:rsidRPr="00925F26">
        <w:rPr>
          <w:color w:val="000000" w:themeColor="text1"/>
          <w:sz w:val="16"/>
          <w:szCs w:val="16"/>
        </w:rPr>
        <w:t>14 июня 1945 состоялся контрольный полёт высотного Ла-7 до вы</w:t>
      </w:r>
      <w:r w:rsidRPr="00925F26">
        <w:rPr>
          <w:color w:val="000000" w:themeColor="text1"/>
          <w:sz w:val="16"/>
          <w:szCs w:val="16"/>
        </w:rPr>
        <w:softHyphen/>
        <w:t>соты 1000 м без включения турбокомпрессора, факел образовался только при посадке, для его устране</w:t>
      </w:r>
      <w:r w:rsidRPr="00925F26">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925F26">
        <w:rPr>
          <w:color w:val="000000" w:themeColor="text1"/>
          <w:sz w:val="16"/>
          <w:szCs w:val="16"/>
        </w:rPr>
        <w:softHyphen/>
        <w:t>явился факел, его длина достигала 2 м, тогда как в предыдущий раз — 80 см. Снова про</w:t>
      </w:r>
      <w:r w:rsidRPr="00925F26">
        <w:rPr>
          <w:color w:val="000000" w:themeColor="text1"/>
          <w:sz w:val="16"/>
          <w:szCs w:val="16"/>
        </w:rPr>
        <w:softHyphen/>
        <w:t xml:space="preserve">извели регулировку мотора. После нескольких дней нелётной погоды для высотных </w:t>
      </w:r>
      <w:r w:rsidRPr="00925F26">
        <w:rPr>
          <w:rStyle w:val="aff6"/>
          <w:rFonts w:ascii="Times New Roman" w:eastAsia="Arial Unicode MS" w:hAnsi="Times New Roman" w:cs="Times New Roman"/>
          <w:i w:val="0"/>
          <w:color w:val="000000" w:themeColor="text1"/>
        </w:rPr>
        <w:t>полётов,</w:t>
      </w:r>
      <w:r w:rsidRPr="00925F26">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925F26">
        <w:rPr>
          <w:color w:val="000000" w:themeColor="text1"/>
          <w:sz w:val="16"/>
          <w:szCs w:val="16"/>
        </w:rPr>
        <w:softHyphen/>
        <w:t>вом полёте задание выполнить не удалось. В повторном полёте, после устранения это</w:t>
      </w:r>
      <w:r w:rsidRPr="00925F26">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925F26">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925F26">
        <w:rPr>
          <w:color w:val="000000" w:themeColor="text1"/>
          <w:sz w:val="16"/>
          <w:szCs w:val="16"/>
        </w:rPr>
        <w:softHyphen/>
        <w:t>рофы послужила потеря лётчиком сознания на высоте.</w:t>
      </w:r>
    </w:p>
    <w:p w14:paraId="7030426E" w14:textId="77777777" w:rsidR="0002077A" w:rsidRPr="00925F26" w:rsidRDefault="0002077A" w:rsidP="00925F26">
      <w:pPr>
        <w:jc w:val="both"/>
        <w:rPr>
          <w:color w:val="000000" w:themeColor="text1"/>
          <w:sz w:val="16"/>
          <w:szCs w:val="16"/>
        </w:rPr>
      </w:pPr>
      <w:r w:rsidRPr="00925F26">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925F26">
        <w:rPr>
          <w:color w:val="000000" w:themeColor="text1"/>
          <w:sz w:val="16"/>
          <w:szCs w:val="16"/>
        </w:rPr>
        <w:softHyphen/>
        <w:t>требителям. На этом закончилось развитие опытных самолётов С.А. Лавочкина с ТК (15830).</w:t>
      </w:r>
    </w:p>
    <w:p w14:paraId="06716F59" w14:textId="77777777" w:rsidR="0002077A" w:rsidRPr="00925F26" w:rsidRDefault="0002077A" w:rsidP="00925F26">
      <w:pPr>
        <w:jc w:val="both"/>
        <w:rPr>
          <w:color w:val="000000" w:themeColor="text1"/>
          <w:sz w:val="16"/>
          <w:szCs w:val="16"/>
        </w:rPr>
      </w:pPr>
    </w:p>
    <w:p w14:paraId="48C966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 июня 1945 вышел приказ НКАП N 248сс "Об оборудовании самолета Ли-2 в самолет-тральщик" в исполнение постановления ГКО от 4 июня 1945 N 8920сс в целях проверки в условиях боевого использования возможности принятия на вооружение ВМФ переоборудованного самолета Ли-2 в самолет тральщик для траления магнитных и индукционных мин по проекту, разработанному ГК завода 456 Голубковым:</w:t>
      </w:r>
    </w:p>
    <w:p w14:paraId="7175B1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Директору завода 456:</w:t>
      </w:r>
    </w:p>
    <w:p w14:paraId="4B32D7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переоборудовать 2 самолета Ли-2 по проекту завода и НИИ 627 НКЭП в самолет-тральщик магнитных мин и предъявить НКВМФ на летные испытания: 1-й - 1 октября 1945, 2-й - 1 ноября 1945.</w:t>
      </w:r>
    </w:p>
    <w:p w14:paraId="78941E7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закончить к 1 августа 1945 установку мотор-генератора на самолет Ли-2 для монтажа электрооборудования." (1996,55).</w:t>
      </w:r>
    </w:p>
    <w:p w14:paraId="65624945" w14:textId="77777777" w:rsidR="006103B3" w:rsidRPr="00925F26" w:rsidRDefault="006103B3" w:rsidP="00925F26">
      <w:pPr>
        <w:autoSpaceDE w:val="0"/>
        <w:autoSpaceDN w:val="0"/>
        <w:adjustRightInd w:val="0"/>
        <w:jc w:val="both"/>
        <w:rPr>
          <w:color w:val="000000" w:themeColor="text1"/>
          <w:sz w:val="16"/>
          <w:szCs w:val="16"/>
        </w:rPr>
      </w:pPr>
    </w:p>
    <w:p w14:paraId="06A1CE30" w14:textId="77777777" w:rsidR="00B147AB" w:rsidRPr="00925F26" w:rsidRDefault="00B147AB" w:rsidP="00925F26">
      <w:pPr>
        <w:shd w:val="clear" w:color="auto" w:fill="FFFFFF"/>
        <w:jc w:val="both"/>
        <w:rPr>
          <w:color w:val="000000" w:themeColor="text1"/>
          <w:sz w:val="16"/>
          <w:szCs w:val="16"/>
        </w:rPr>
      </w:pPr>
      <w:r w:rsidRPr="00925F26">
        <w:rPr>
          <w:color w:val="000000" w:themeColor="text1"/>
          <w:sz w:val="16"/>
          <w:szCs w:val="16"/>
        </w:rPr>
        <w:lastRenderedPageBreak/>
        <w:t>14 июня 1945 г. из ОКБ-16 при шел двигатель РД-1ХЗ новой модификации для Ла-7Р-2 Его оборудовали специальны ми пусковым и сливным клапанами, ввели последовательное включение форсунок обоих компонентов топлива, существен но повышающее эффективность зажигательного факела и де лающее запуск двигателя плавным, без удара. Двигатель был установлен на Ла-7Р-2 25 июля 1945 г. [27].</w:t>
      </w:r>
    </w:p>
    <w:p w14:paraId="086FAD0E" w14:textId="77777777" w:rsidR="00B147AB" w:rsidRPr="00925F26" w:rsidRDefault="00B147AB" w:rsidP="00925F26">
      <w:pPr>
        <w:shd w:val="clear" w:color="auto" w:fill="FFFFFF"/>
        <w:jc w:val="both"/>
        <w:rPr>
          <w:color w:val="000000" w:themeColor="text1"/>
          <w:sz w:val="16"/>
          <w:szCs w:val="16"/>
        </w:rPr>
      </w:pPr>
      <w:r w:rsidRPr="00925F26">
        <w:rPr>
          <w:color w:val="000000" w:themeColor="text1"/>
          <w:sz w:val="16"/>
          <w:szCs w:val="16"/>
        </w:rPr>
        <w:t>До 16 сентября 1945 г. на этом самолете было совершено 14 полетов. Из 49 запусков двигателя 8 произвели в воздухе.</w:t>
      </w:r>
    </w:p>
    <w:p w14:paraId="3F4EAC9B" w14:textId="77777777" w:rsidR="00B147AB" w:rsidRPr="00925F26" w:rsidRDefault="00B147AB" w:rsidP="00925F26">
      <w:pPr>
        <w:shd w:val="clear" w:color="auto" w:fill="FFFFFF"/>
        <w:jc w:val="both"/>
        <w:rPr>
          <w:color w:val="000000" w:themeColor="text1"/>
          <w:sz w:val="16"/>
          <w:szCs w:val="16"/>
        </w:rPr>
      </w:pPr>
      <w:r w:rsidRPr="00925F26">
        <w:rPr>
          <w:color w:val="000000" w:themeColor="text1"/>
          <w:sz w:val="16"/>
          <w:szCs w:val="16"/>
        </w:rPr>
        <w:t>За этот период были заменены 4 камеры РД-1ХЗ и два насоса.</w:t>
      </w:r>
    </w:p>
    <w:p w14:paraId="48408AD4" w14:textId="77777777" w:rsidR="00B147AB" w:rsidRPr="00925F26" w:rsidRDefault="00B147AB" w:rsidP="00925F26">
      <w:pPr>
        <w:shd w:val="clear" w:color="auto" w:fill="FFFFFF"/>
        <w:jc w:val="both"/>
        <w:rPr>
          <w:color w:val="000000" w:themeColor="text1"/>
          <w:sz w:val="16"/>
          <w:szCs w:val="16"/>
        </w:rPr>
      </w:pPr>
      <w:r w:rsidRPr="00925F26">
        <w:rPr>
          <w:color w:val="000000" w:themeColor="text1"/>
          <w:sz w:val="16"/>
          <w:szCs w:val="16"/>
        </w:rPr>
        <w:t>Двигатель отказывал 23 раза, но на долю зажигания выпало только 2 отказа. Испытания довели до конца. На Ла-7Р-2 была достигнута максимальная скорость полета 795 км/ч на высо те 6300 м (19588).</w:t>
      </w:r>
    </w:p>
    <w:p w14:paraId="6F1ABCA8" w14:textId="77777777" w:rsidR="00B147AB" w:rsidRPr="00925F26" w:rsidRDefault="00B147AB" w:rsidP="00925F26">
      <w:pPr>
        <w:shd w:val="clear" w:color="auto" w:fill="FFFFFF"/>
        <w:jc w:val="both"/>
        <w:rPr>
          <w:color w:val="000000" w:themeColor="text1"/>
          <w:sz w:val="16"/>
          <w:szCs w:val="16"/>
        </w:rPr>
      </w:pPr>
    </w:p>
    <w:p w14:paraId="10DCA368" w14:textId="77777777" w:rsidR="00A73D97" w:rsidRPr="001A0BAA" w:rsidRDefault="00A73D97" w:rsidP="00A73D97">
      <w:pPr>
        <w:jc w:val="both"/>
        <w:rPr>
          <w:color w:val="0070C0"/>
          <w:sz w:val="16"/>
          <w:szCs w:val="16"/>
        </w:rPr>
      </w:pPr>
      <w:r w:rsidRPr="001A0BAA">
        <w:rPr>
          <w:color w:val="0070C0"/>
          <w:sz w:val="16"/>
          <w:szCs w:val="16"/>
        </w:rPr>
        <w:t>14 июня 1945 г. В ОКБ С.А.Л. прибыл двигатель РД-1ХЗ новой модификации для Ла-7Р-2 из ОКБ-16. Его оборудовали специальными пусковым и сливным клапанами, ввели последовательное включение форсунок обоих компонентов топлива, существен</w:t>
      </w:r>
      <w:r w:rsidRPr="001A0BAA">
        <w:rPr>
          <w:color w:val="0070C0"/>
          <w:sz w:val="16"/>
          <w:szCs w:val="16"/>
        </w:rPr>
        <w:softHyphen/>
        <w:t>но повышающее эффективность зажигательного факела и де</w:t>
      </w:r>
      <w:r w:rsidRPr="001A0BAA">
        <w:rPr>
          <w:color w:val="0070C0"/>
          <w:sz w:val="16"/>
          <w:szCs w:val="16"/>
        </w:rPr>
        <w:softHyphen/>
        <w:t>лающее запуск двигателя плавным, без удара. Двигатель был установлен на Ла-7Р-2 25 июля 1945 г. [27].</w:t>
      </w:r>
    </w:p>
    <w:p w14:paraId="7B75825A" w14:textId="77777777" w:rsidR="00A73D97" w:rsidRPr="001A0BAA" w:rsidRDefault="00A73D97" w:rsidP="00A73D97">
      <w:pPr>
        <w:jc w:val="both"/>
        <w:rPr>
          <w:color w:val="0070C0"/>
          <w:sz w:val="16"/>
          <w:szCs w:val="16"/>
        </w:rPr>
      </w:pPr>
      <w:r w:rsidRPr="001A0BAA">
        <w:rPr>
          <w:color w:val="0070C0"/>
          <w:sz w:val="16"/>
          <w:szCs w:val="16"/>
        </w:rPr>
        <w:t>До 16 сентября 1945 г. на этом самолете было совершено 14 полетов. Из 49 запусков двигателя 8 произвели в воздухе. За этот период были заменены 4 камеры РД-1ХЗ и два насоса. Двигатель отказывал 23 раза, но на долю зажигания выпало только 2 отказа. Испытания довели до конца. На Ла-7Р-2 была достигнута максимальная скорость полета 795 км/ч на высо</w:t>
      </w:r>
      <w:r w:rsidRPr="001A0BAA">
        <w:rPr>
          <w:color w:val="0070C0"/>
          <w:sz w:val="16"/>
          <w:szCs w:val="16"/>
        </w:rPr>
        <w:softHyphen/>
        <w:t>те 6300 м [27] (24920).</w:t>
      </w:r>
    </w:p>
    <w:p w14:paraId="6616B206" w14:textId="77777777" w:rsidR="00A73D97" w:rsidRPr="001A0BAA" w:rsidRDefault="00A73D97" w:rsidP="00A73D97">
      <w:pPr>
        <w:jc w:val="both"/>
        <w:rPr>
          <w:color w:val="0070C0"/>
          <w:sz w:val="16"/>
          <w:szCs w:val="16"/>
        </w:rPr>
      </w:pPr>
    </w:p>
    <w:p w14:paraId="0FB88FC9" w14:textId="77777777" w:rsidR="00A73D97" w:rsidRPr="001A0BAA" w:rsidRDefault="00A73D97" w:rsidP="00A73D97">
      <w:pPr>
        <w:jc w:val="both"/>
        <w:rPr>
          <w:color w:val="0070C0"/>
          <w:sz w:val="16"/>
          <w:szCs w:val="16"/>
        </w:rPr>
      </w:pPr>
      <w:r w:rsidRPr="001A0BAA">
        <w:rPr>
          <w:color w:val="0070C0"/>
          <w:sz w:val="16"/>
          <w:szCs w:val="16"/>
        </w:rPr>
        <w:t>14 июня 1945 г. В ОКБ С.А.Л. прибыл двигатель РД-1ХЗ новой модификации для Ла-7Р-2 из ОКБ-16. Его оборудовали специальными пусковым и сливным клапанами, ввели последовательное включение форсунок обоих компонентов топлива, существен</w:t>
      </w:r>
      <w:r w:rsidRPr="001A0BAA">
        <w:rPr>
          <w:color w:val="0070C0"/>
          <w:sz w:val="16"/>
          <w:szCs w:val="16"/>
        </w:rPr>
        <w:softHyphen/>
        <w:t>но повышающее эффективность зажигательного факела и де</w:t>
      </w:r>
      <w:r w:rsidRPr="001A0BAA">
        <w:rPr>
          <w:color w:val="0070C0"/>
          <w:sz w:val="16"/>
          <w:szCs w:val="16"/>
        </w:rPr>
        <w:softHyphen/>
        <w:t>лающее запуск двигателя плавным, без удара (24920).</w:t>
      </w:r>
    </w:p>
    <w:p w14:paraId="3670D24F" w14:textId="77777777" w:rsidR="00A73D97" w:rsidRPr="001A0BAA" w:rsidRDefault="00A73D97" w:rsidP="00A73D97">
      <w:pPr>
        <w:jc w:val="both"/>
        <w:rPr>
          <w:color w:val="0070C0"/>
          <w:sz w:val="16"/>
          <w:szCs w:val="16"/>
        </w:rPr>
      </w:pPr>
    </w:p>
    <w:p w14:paraId="6FC46A78"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D357E18" w14:textId="77777777" w:rsidR="006103B3" w:rsidRPr="00925F26" w:rsidRDefault="006103B3" w:rsidP="00925F26">
      <w:pPr>
        <w:autoSpaceDE w:val="0"/>
        <w:autoSpaceDN w:val="0"/>
        <w:adjustRightInd w:val="0"/>
        <w:jc w:val="both"/>
        <w:rPr>
          <w:iCs/>
          <w:color w:val="000000" w:themeColor="text1"/>
          <w:sz w:val="16"/>
          <w:szCs w:val="16"/>
        </w:rPr>
      </w:pPr>
    </w:p>
    <w:p w14:paraId="68334C5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июня 1945 года вышел приказ № 265 НКВ</w:t>
      </w:r>
    </w:p>
    <w:p w14:paraId="1304757B"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ГОКО № 9047 от 10 июня 1945 года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w:t>
      </w:r>
    </w:p>
    <w:p w14:paraId="2D1BBB4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Организовать ЦКБ-20 НКВ</w:t>
      </w:r>
    </w:p>
    <w:p w14:paraId="1BECC3E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Специализировать завод № 304 НКВ по производству СОН и ПУАЗО для сухопутной зенитной артиллерии</w:t>
      </w:r>
    </w:p>
    <w:p w14:paraId="65251DDB"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(6445, 85).</w:t>
      </w:r>
    </w:p>
    <w:p w14:paraId="5BF754B1"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A78E6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 июня 1945 г. приказом Наркомата вооружения СССР было создано Центральное конструкторское бюро № 20 (ЦКБ-20). Приказом Министерства вооружения СССР от 16 июля 1946 г. бюро переименовано в Научно-исследовательский институт № 20 (НИИ-20), который приказом Министерства радиопромышленности СССР от 24 марта 1966 года переименован в Научно-исследовательский электромеханический институт (НИЭМИ) (12101).</w:t>
      </w:r>
    </w:p>
    <w:p w14:paraId="4B4245D6" w14:textId="77777777" w:rsidR="0002077A" w:rsidRPr="00925F26" w:rsidRDefault="0002077A" w:rsidP="00925F26">
      <w:pPr>
        <w:autoSpaceDE w:val="0"/>
        <w:autoSpaceDN w:val="0"/>
        <w:adjustRightInd w:val="0"/>
        <w:jc w:val="both"/>
        <w:rPr>
          <w:color w:val="000000" w:themeColor="text1"/>
          <w:sz w:val="16"/>
          <w:szCs w:val="16"/>
        </w:rPr>
      </w:pPr>
    </w:p>
    <w:p w14:paraId="487DF8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14 июня 1945 г. приказом НКВ № 265с в соответствии с пост. ГКО № 9047с от 10.06.1945 г. завод завод № 304 НКВ (Завод № 304 НКВ, </w:t>
      </w:r>
      <w:r w:rsidRPr="00925F26">
        <w:rPr>
          <w:color w:val="000000" w:themeColor="text1"/>
          <w:sz w:val="16"/>
          <w:szCs w:val="16"/>
          <w:lang w:val="en-US"/>
        </w:rPr>
        <w:t>MB</w:t>
      </w:r>
      <w:r w:rsidRPr="00925F26">
        <w:rPr>
          <w:color w:val="000000" w:themeColor="text1"/>
          <w:sz w:val="16"/>
          <w:szCs w:val="16"/>
        </w:rPr>
        <w:t>,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  г. Москва ул. Верейская, 29 тел. 444-97-77,443-71-40/) перепрофилирован на производство радиотехнической аппаратуры. В конце 1945 г. на заводе создан ОГК для обеспечения производства конструкторской и технологической документацией. В 1946 г. заводу поручено производство радиотехники для ПВО страны, завод определен головным по этому направлению. С конца 1940-</w:t>
      </w:r>
      <w:proofErr w:type="gramStart"/>
      <w:r w:rsidRPr="00925F26">
        <w:rPr>
          <w:color w:val="000000" w:themeColor="text1"/>
          <w:sz w:val="16"/>
          <w:szCs w:val="16"/>
        </w:rPr>
        <w:t>х  г.</w:t>
      </w:r>
      <w:proofErr w:type="gramEnd"/>
      <w:r w:rsidRPr="00925F26">
        <w:rPr>
          <w:color w:val="000000" w:themeColor="text1"/>
          <w:sz w:val="16"/>
          <w:szCs w:val="16"/>
        </w:rPr>
        <w:t xml:space="preserve"> начат выпуск станций орудийного наведения СОН. В 1950 г. начато освоение производства системы ПВО С-25, в 1952 г. завод определен головным по производству аппаратуры центральной РЛС наведения (ЦРН) С-25.</w:t>
      </w:r>
      <w:r w:rsidRPr="00925F26">
        <w:rPr>
          <w:iCs/>
          <w:color w:val="000000" w:themeColor="text1"/>
          <w:sz w:val="16"/>
          <w:szCs w:val="16"/>
        </w:rPr>
        <w:t xml:space="preserve"> Для </w:t>
      </w:r>
      <w:r w:rsidRPr="00925F26">
        <w:rPr>
          <w:color w:val="000000" w:themeColor="text1"/>
          <w:sz w:val="16"/>
          <w:szCs w:val="16"/>
        </w:rPr>
        <w:t xml:space="preserve">этого он был освобожден от выпуска </w:t>
      </w:r>
      <w:r w:rsidRPr="00925F26">
        <w:rPr>
          <w:color w:val="000000" w:themeColor="text1"/>
          <w:sz w:val="16"/>
          <w:szCs w:val="16"/>
          <w:lang w:val="en-US"/>
        </w:rPr>
        <w:t>PJIC</w:t>
      </w:r>
      <w:r w:rsidRPr="00925F26">
        <w:rPr>
          <w:color w:val="000000" w:themeColor="text1"/>
          <w:sz w:val="16"/>
          <w:szCs w:val="16"/>
        </w:rPr>
        <w:t xml:space="preserve"> орудийной наводки; реконструированы старые цеха и построены новые.</w:t>
      </w:r>
    </w:p>
    <w:p w14:paraId="23C5B8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Завод № 304 (назывался также Кунцевский радиотехнический завод) находился в ведении </w:t>
      </w:r>
      <w:r w:rsidRPr="00925F26">
        <w:rPr>
          <w:color w:val="000000" w:themeColor="text1"/>
          <w:sz w:val="16"/>
          <w:szCs w:val="16"/>
          <w:lang w:val="en-US"/>
        </w:rPr>
        <w:t>MB</w:t>
      </w:r>
      <w:r w:rsidRPr="00925F26">
        <w:rPr>
          <w:color w:val="000000" w:themeColor="text1"/>
          <w:sz w:val="16"/>
          <w:szCs w:val="16"/>
        </w:rPr>
        <w:t>, затем (вероятно, с момента образования в 1953 г.) в 1953-57</w:t>
      </w:r>
      <w:proofErr w:type="gramStart"/>
      <w:r w:rsidRPr="00925F26">
        <w:rPr>
          <w:color w:val="000000" w:themeColor="text1"/>
          <w:sz w:val="16"/>
          <w:szCs w:val="16"/>
        </w:rPr>
        <w:t>г,-</w:t>
      </w:r>
      <w:proofErr w:type="gramEnd"/>
      <w:r w:rsidRPr="00925F26">
        <w:rPr>
          <w:color w:val="000000" w:themeColor="text1"/>
          <w:sz w:val="16"/>
          <w:szCs w:val="16"/>
        </w:rPr>
        <w:t xml:space="preserve"> в ведении 8ГУ МОП. В 1957-61 г. - в ведении МособлСНХ, в 1961-65 г.- МосгорСНХ. В 1963 г. завод № 304 переименован в Кунцевский механический завод (КМЗ). С 1965 г.- в ведении 13ГУ МРП.</w:t>
      </w:r>
    </w:p>
    <w:p w14:paraId="7331041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1946 г. ОГК завода преобразовано в ОКБ завода. Затем КБ при заводе организовывались в 1956 г. и в 1966 г.</w:t>
      </w:r>
    </w:p>
    <w:p w14:paraId="3A7788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21.02.1952 г. при заводе № 304 образовано СМУ-304 для проведения завершающего этапа работ по монтажу, настройке, проведению испытаний и вводу в эксплуатацию объектов системы ПВО С-25. В 1960 г. предприятие выделено из состава завода № 304 и преобразовано в СМУ Мособлсовнархоза (далее- ГПТП).</w:t>
      </w:r>
    </w:p>
    <w:p w14:paraId="16C715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1953 г. освоен выпуск телевизоров. В 1960 г. начата разработка и производство ультразвуковой аппаратуры для медицины и народного хозяйства.</w:t>
      </w:r>
    </w:p>
    <w:p w14:paraId="6E95AB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1970-х по 1990-</w:t>
      </w:r>
      <w:proofErr w:type="gramStart"/>
      <w:r w:rsidRPr="00925F26">
        <w:rPr>
          <w:color w:val="000000" w:themeColor="text1"/>
          <w:sz w:val="16"/>
          <w:szCs w:val="16"/>
        </w:rPr>
        <w:t>е  г.</w:t>
      </w:r>
      <w:proofErr w:type="gramEnd"/>
      <w:r w:rsidRPr="00925F26">
        <w:rPr>
          <w:color w:val="000000" w:themeColor="text1"/>
          <w:sz w:val="16"/>
          <w:szCs w:val="16"/>
        </w:rPr>
        <w:t>- производство телевизионных станций. В 1970-е-90-</w:t>
      </w:r>
      <w:proofErr w:type="gramStart"/>
      <w:r w:rsidRPr="00925F26">
        <w:rPr>
          <w:color w:val="000000" w:themeColor="text1"/>
          <w:sz w:val="16"/>
          <w:szCs w:val="16"/>
        </w:rPr>
        <w:t>е  г.</w:t>
      </w:r>
      <w:proofErr w:type="gramEnd"/>
      <w:r w:rsidRPr="00925F26">
        <w:rPr>
          <w:color w:val="000000" w:themeColor="text1"/>
          <w:sz w:val="16"/>
          <w:szCs w:val="16"/>
        </w:rPr>
        <w:t xml:space="preserve"> прошла реконструкция завода, и освоен выпуск аппаратуры для СПРН и ПРО. С 1992 г. освоен выпуск ручного электроинструмента.</w:t>
      </w:r>
    </w:p>
    <w:p w14:paraId="7EDEBB6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МРП № 711 от 18.01.1971 г. КМЗ переименован в Московский радиотехнический завод. 27.08.1993 г. предприятие преобразовано в АООТ «МРТЗ», с 10.01.2002 г. - ОАО «НПО «МРТЗ». Крупнейшее предприятие РЭ промышленности РФ. Входит в МФПГ «Оборонительные системы», с 2002 г.- в концерн «Алмаз- Антей». По решению правительства № 22-р от 9.01.2004 г. вошло в перечень стратегических предприятий.</w:t>
      </w:r>
    </w:p>
    <w:p w14:paraId="41C7746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Имеет производства (2005 г.): инструментальное; литейное; изделий из пластмасс; механообрабатывающее; метизов; сборочно-каркасное; штамповочное; сборочное; керамическое, ферритовое и электротехническое; лакокрасочных и гальванических покрытий; печатных плат; лаборатория типовых испытаний.</w:t>
      </w:r>
    </w:p>
    <w:p w14:paraId="1BC91FC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Директор (10.1941-03.1942 г.)- Н.Я. Каприз, (01.1944-45 г.)- Н.Ф. Червяков, (1945-50 г.)- А.А. Форштер, (1951- 52; 1960-75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Чучалов, (1953-54 г.)- Ю.В. Яхонтов, (1954-60 г.)- М.А. Брежнев, (1975-81 г.)- Е.И. Котельников, (1982-83 г.)- Ю.Н. Захаров, (1983-97 г.)- В.П. Милованов. Гендиректор (1997-98 г.)- А.В. Гусев, (1998-2003 г.)- Ю.Л. Булкин, (2003-11.2004 г.)- А.Б. Романов, (2004-05 г.-&gt; С.В. Бочков.</w:t>
      </w:r>
    </w:p>
    <w:p w14:paraId="0DD514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Гл. инженер (-1952 г.)- И.В. Илларионов, (1952-60 г.)- </w:t>
      </w:r>
      <w:r w:rsidRPr="00925F26">
        <w:rPr>
          <w:color w:val="000000" w:themeColor="text1"/>
          <w:sz w:val="16"/>
          <w:szCs w:val="16"/>
          <w:lang w:val="en-US"/>
        </w:rPr>
        <w:t>A</w:t>
      </w:r>
      <w:r w:rsidRPr="00925F26">
        <w:rPr>
          <w:color w:val="000000" w:themeColor="text1"/>
          <w:sz w:val="16"/>
          <w:szCs w:val="16"/>
        </w:rPr>
        <w:t>.</w:t>
      </w:r>
      <w:r w:rsidRPr="00925F26">
        <w:rPr>
          <w:color w:val="000000" w:themeColor="text1"/>
          <w:sz w:val="16"/>
          <w:szCs w:val="16"/>
          <w:lang w:val="en-US"/>
        </w:rPr>
        <w:t>M</w:t>
      </w:r>
      <w:r w:rsidRPr="00925F26">
        <w:rPr>
          <w:color w:val="000000" w:themeColor="text1"/>
          <w:sz w:val="16"/>
          <w:szCs w:val="16"/>
        </w:rPr>
        <w:t>. Чучалов, (-1971 г.)- В.В. Вюнш, (1972-75 г.)- Е.И. Котельников, (-1983 г.)- В.П. Милованов.</w:t>
      </w:r>
    </w:p>
    <w:p w14:paraId="427B5C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инженера (1945 г.-)- В.Н. Казанцев, (1960-62 г.)</w:t>
      </w:r>
      <w:proofErr w:type="gramStart"/>
      <w:r w:rsidRPr="00925F26">
        <w:rPr>
          <w:color w:val="000000" w:themeColor="text1"/>
          <w:sz w:val="16"/>
          <w:szCs w:val="16"/>
        </w:rPr>
        <w:t>-  Г.Т.</w:t>
      </w:r>
      <w:proofErr w:type="gramEnd"/>
      <w:r w:rsidRPr="00925F26">
        <w:rPr>
          <w:color w:val="000000" w:themeColor="text1"/>
          <w:sz w:val="16"/>
          <w:szCs w:val="16"/>
        </w:rPr>
        <w:t xml:space="preserve"> Парамонов.</w:t>
      </w:r>
    </w:p>
    <w:p w14:paraId="11A1FC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конструктора (1951-55г,)- И.В. Илларионов.</w:t>
      </w:r>
    </w:p>
    <w:p w14:paraId="0E562C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технолог- В.П. Милованов.</w:t>
      </w:r>
    </w:p>
    <w:p w14:paraId="1AE455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телевизионного (1976 г.)- М.Т. Афанасьев; (-1970 г.)- Е.И. Котельников, В.П. Милованов.</w:t>
      </w:r>
    </w:p>
    <w:p w14:paraId="44BE33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лабораторий: ЦЗЛ (-1974 г.)- Е.П. Котов; Е.И. Котельников.</w:t>
      </w:r>
    </w:p>
    <w:p w14:paraId="4FDD0F5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бюро: КБ- В.П. Милованов; технического (1997-2001 г.)- Е.И. Котельников.</w:t>
      </w:r>
    </w:p>
    <w:p w14:paraId="6EA1FFFA"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патроны для ППШ, пулеметов 12,7 мм, противотанковых ружей (ВОВ); с танции: СОН-2, СОН-3, СОН-4 (1940-е), Б-200; аппаратура для систем С-25 (1952-), С-75 (1959), С-125, С-200, С-300, пункт боевого управления 54К6Е и другая аппаратура для ЗРК С-300ПМУ1; системы радиотехнического контроля полета ракет и КА: РКТ (1950), «Иртыш», «Бинокль», РЛС траекторных измерений: «Истра» (1950-е), «Кама» (1960), «Кама-А, -М, -Н» (1980-е-2004-), «Кубань» (1960-е); фазовый пеленгатор «Висла»; приемные устройства РЛС РКЦ-35 системы А-35 (1966); радиотехническая аппаратура для системы УС-К (1970-е); ЗРК «Печора-2М» (2005); приемная аппаратура станции телевещания «Орбита» (1966-); аппаратура радиорелейной связи «Заря», «Рассвет» (1966-), «Курс»-( 1980-е); радиодальномер РД-75 «Амазонка»</w:t>
      </w:r>
    </w:p>
    <w:p w14:paraId="57E5FA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(1965-);</w:t>
      </w:r>
      <w:r w:rsidRPr="00925F26">
        <w:rPr>
          <w:color w:val="000000" w:themeColor="text1"/>
          <w:sz w:val="16"/>
          <w:szCs w:val="16"/>
          <w:vertAlign w:val="superscript"/>
        </w:rPr>
        <w:t>130</w:t>
      </w:r>
    </w:p>
    <w:p w14:paraId="2CC140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механический электрогравировальный автомат «МЭГА» (1966-); рентгенографическая установка досмотра багажа «Визир-1» (1990-е), «Контроль-1М» (1998-); фильтры присоединительные и разделительные для электроэнергетики (1994-); ультразвуковой генератор (УЗГ) (1960-е-);</w:t>
      </w:r>
      <w:r w:rsidRPr="00925F26">
        <w:rPr>
          <w:iCs/>
          <w:color w:val="000000" w:themeColor="text1"/>
          <w:sz w:val="16"/>
          <w:szCs w:val="16"/>
        </w:rPr>
        <w:t xml:space="preserve"> телевизоры:</w:t>
      </w:r>
      <w:r w:rsidRPr="00925F26">
        <w:rPr>
          <w:color w:val="000000" w:themeColor="text1"/>
          <w:sz w:val="16"/>
          <w:szCs w:val="16"/>
        </w:rPr>
        <w:t xml:space="preserve"> «Зенит» (1954-), «Луч» (1950- е), «Старт» (1955-), «Старт-2, -3 (1959-), -ЗМ, -4 (1967-), -6, -308, -310», «Свет-702» (1976-), «Юность» (1959-), «Юность-2 (1</w:t>
      </w:r>
      <w:r w:rsidRPr="00925F26">
        <w:rPr>
          <w:iCs/>
          <w:color w:val="000000" w:themeColor="text1"/>
          <w:sz w:val="16"/>
          <w:szCs w:val="16"/>
        </w:rPr>
        <w:t>969-),</w:t>
      </w:r>
      <w:r w:rsidRPr="00925F26">
        <w:rPr>
          <w:color w:val="000000" w:themeColor="text1"/>
          <w:sz w:val="16"/>
          <w:szCs w:val="16"/>
        </w:rPr>
        <w:t xml:space="preserve"> -401, -402, -403, -405 (1980-), -406, -602, -603, 31ТБ-410, 31ТБ-4127, 31ТБ-4301, Ц-401, Ц-440, Ц-442, 32ТЦ-309 (1991), 32ТЦ-312, </w:t>
      </w:r>
      <w:r w:rsidRPr="00925F26">
        <w:rPr>
          <w:color w:val="000000" w:themeColor="text1"/>
          <w:sz w:val="16"/>
          <w:szCs w:val="16"/>
          <w:lang w:val="en-US"/>
        </w:rPr>
        <w:t>TVR</w:t>
      </w:r>
      <w:r w:rsidRPr="00925F26">
        <w:rPr>
          <w:color w:val="000000" w:themeColor="text1"/>
          <w:sz w:val="16"/>
          <w:szCs w:val="16"/>
        </w:rPr>
        <w:t>-8» (-2000)- всего более 10 млн.;</w:t>
      </w:r>
      <w:r w:rsidRPr="00925F26">
        <w:rPr>
          <w:color w:val="000000" w:themeColor="text1"/>
          <w:sz w:val="16"/>
          <w:szCs w:val="16"/>
          <w:vertAlign w:val="superscript"/>
        </w:rPr>
        <w:t>101</w:t>
      </w:r>
      <w:r w:rsidRPr="00925F26">
        <w:rPr>
          <w:color w:val="000000" w:themeColor="text1"/>
          <w:sz w:val="16"/>
          <w:szCs w:val="16"/>
        </w:rPr>
        <w:t xml:space="preserve"> радиоприемник «Эхо»; пилы электрические ручные: дисковые, цепные; рубанок электрический, электрокультиватор (1992-) (11982).</w:t>
      </w:r>
    </w:p>
    <w:p w14:paraId="0CD671D6" w14:textId="77777777" w:rsidR="006103B3" w:rsidRPr="00925F26" w:rsidRDefault="006103B3" w:rsidP="00925F26">
      <w:pPr>
        <w:autoSpaceDE w:val="0"/>
        <w:autoSpaceDN w:val="0"/>
        <w:adjustRightInd w:val="0"/>
        <w:jc w:val="both"/>
        <w:rPr>
          <w:color w:val="000000" w:themeColor="text1"/>
          <w:sz w:val="16"/>
          <w:szCs w:val="16"/>
        </w:rPr>
      </w:pPr>
    </w:p>
    <w:p w14:paraId="19D9E7F3" w14:textId="77777777" w:rsidR="00B147AB" w:rsidRPr="00925F26" w:rsidRDefault="00B147AB" w:rsidP="00925F26">
      <w:pPr>
        <w:jc w:val="both"/>
        <w:rPr>
          <w:color w:val="000000" w:themeColor="text1"/>
          <w:sz w:val="16"/>
          <w:szCs w:val="16"/>
        </w:rPr>
      </w:pPr>
      <w:r w:rsidRPr="00925F26">
        <w:rPr>
          <w:color w:val="000000" w:themeColor="text1"/>
          <w:sz w:val="16"/>
          <w:szCs w:val="16"/>
        </w:rPr>
        <w:t>14 июня 1945 г. Приказом НКЭП № К-330с впервые после начала войны был утвержден «Сводный план основных научно-исследовательских работ и новых разработок НКЭП на 1945 г.». В соответствии с ним заводу им. Козицкого ставилась задача разработки КВ передатчика мощностью 250 Вт для вооружения кораблей всех типов. Он был призван заменить станции «Бухта» завода им. Коминтерна, «Дельфин» завода № 197 и «БризМК» самого завода им. Козицкого3. Взамен радиостанций «Бухта» и «Бриз-МК», устанавливаемых на подводных лодках, началась разработка новой КВ станции мощностью 50 Вт. Для проведения всех этих работ в сентябре 1945 г. на предприятии была организована специальная лаборатория передающих устройств4. Необходимо подчеркнуть, что с самого начала проведения новых разработок упор сделан был на то, чтобы обеспечить возможность использования морских радиоустановок в армейских частях РККА (18297).</w:t>
      </w:r>
    </w:p>
    <w:p w14:paraId="57A41A83" w14:textId="77777777" w:rsidR="00B147AB" w:rsidRPr="00925F26" w:rsidRDefault="00B147AB" w:rsidP="00925F26">
      <w:pPr>
        <w:jc w:val="both"/>
        <w:rPr>
          <w:color w:val="000000" w:themeColor="text1"/>
          <w:sz w:val="16"/>
          <w:szCs w:val="16"/>
        </w:rPr>
      </w:pPr>
    </w:p>
    <w:p w14:paraId="4D99E722" w14:textId="77777777" w:rsidR="00B90038" w:rsidRPr="00925F26" w:rsidRDefault="00B90038" w:rsidP="00925F26">
      <w:pPr>
        <w:jc w:val="both"/>
        <w:rPr>
          <w:color w:val="000000" w:themeColor="text1"/>
          <w:sz w:val="16"/>
          <w:szCs w:val="16"/>
        </w:rPr>
      </w:pPr>
      <w:r w:rsidRPr="00925F26">
        <w:rPr>
          <w:color w:val="000000" w:themeColor="text1"/>
          <w:sz w:val="16"/>
          <w:szCs w:val="16"/>
        </w:rPr>
        <w:t>14 июня 1946 г. Письмо заместителя председателя Комитета по делам геологии при СМ СССР И.Ф. Григорьева В.А. Махневу с представлением протокола Всесоюзной комиссии по запасам полезных ископаемых</w:t>
      </w:r>
    </w:p>
    <w:p w14:paraId="2444F180" w14:textId="77777777" w:rsidR="00B90038" w:rsidRPr="00925F26" w:rsidRDefault="00B90038" w:rsidP="00925F26">
      <w:pPr>
        <w:jc w:val="both"/>
        <w:rPr>
          <w:color w:val="000000" w:themeColor="text1"/>
          <w:sz w:val="16"/>
          <w:szCs w:val="16"/>
        </w:rPr>
      </w:pPr>
      <w:r w:rsidRPr="00925F26">
        <w:rPr>
          <w:color w:val="000000" w:themeColor="text1"/>
          <w:sz w:val="16"/>
          <w:szCs w:val="16"/>
        </w:rPr>
        <w:lastRenderedPageBreak/>
        <w:t>Сов. секретно</w:t>
      </w:r>
    </w:p>
    <w:p w14:paraId="03F16F6E" w14:textId="77777777" w:rsidR="00B90038" w:rsidRPr="00925F26" w:rsidRDefault="00B90038" w:rsidP="00925F26">
      <w:pPr>
        <w:jc w:val="both"/>
        <w:rPr>
          <w:color w:val="000000" w:themeColor="text1"/>
          <w:sz w:val="16"/>
          <w:szCs w:val="16"/>
        </w:rPr>
      </w:pPr>
      <w:r w:rsidRPr="00925F26">
        <w:rPr>
          <w:color w:val="000000" w:themeColor="text1"/>
          <w:sz w:val="16"/>
          <w:szCs w:val="16"/>
        </w:rPr>
        <w:t>Совет Министров Союза СССР Товарищу Махневу В.А.</w:t>
      </w:r>
    </w:p>
    <w:p w14:paraId="604C7DB7" w14:textId="77777777" w:rsidR="00B90038" w:rsidRPr="00925F26" w:rsidRDefault="00B90038" w:rsidP="00925F26">
      <w:pPr>
        <w:jc w:val="both"/>
        <w:rPr>
          <w:color w:val="000000" w:themeColor="text1"/>
          <w:sz w:val="16"/>
          <w:szCs w:val="16"/>
        </w:rPr>
      </w:pPr>
      <w:r w:rsidRPr="00925F26">
        <w:rPr>
          <w:color w:val="000000" w:themeColor="text1"/>
          <w:sz w:val="16"/>
          <w:szCs w:val="16"/>
        </w:rPr>
        <w:t xml:space="preserve">Направляю Вам протокол № 3827 от 6 апреля 1946 г. заседания Всесоюзной комиссии по запасам по вопросу: Рассмотрение материалов Первого главного управления при Совете Министров Союза ССР «Ураноносные районы и месторождения </w:t>
      </w:r>
      <w:proofErr w:type="gramStart"/>
      <w:r w:rsidRPr="00925F26">
        <w:rPr>
          <w:color w:val="000000" w:themeColor="text1"/>
          <w:sz w:val="16"/>
          <w:szCs w:val="16"/>
        </w:rPr>
        <w:t>Болгарии</w:t>
      </w:r>
      <w:proofErr w:type="gramEnd"/>
      <w:r w:rsidRPr="00925F26">
        <w:rPr>
          <w:color w:val="000000" w:themeColor="text1"/>
          <w:sz w:val="16"/>
          <w:szCs w:val="16"/>
        </w:rPr>
        <w:t xml:space="preserve"> и предварительная оценка их перспектив и промышленного значения».</w:t>
      </w:r>
    </w:p>
    <w:p w14:paraId="717FBC81" w14:textId="77777777" w:rsidR="00B90038" w:rsidRPr="00925F26" w:rsidRDefault="00B90038" w:rsidP="00925F26">
      <w:pPr>
        <w:jc w:val="both"/>
        <w:rPr>
          <w:color w:val="000000" w:themeColor="text1"/>
          <w:sz w:val="16"/>
          <w:szCs w:val="16"/>
        </w:rPr>
      </w:pPr>
      <w:r w:rsidRPr="00925F26">
        <w:rPr>
          <w:color w:val="000000" w:themeColor="text1"/>
          <w:sz w:val="16"/>
          <w:szCs w:val="16"/>
        </w:rPr>
        <w:t>Приложение: Упомянутое на 4 листах.</w:t>
      </w:r>
    </w:p>
    <w:p w14:paraId="4C6F97B3" w14:textId="77777777" w:rsidR="00B90038" w:rsidRPr="00925F26" w:rsidRDefault="00B90038" w:rsidP="00925F26">
      <w:pPr>
        <w:jc w:val="both"/>
        <w:rPr>
          <w:color w:val="000000" w:themeColor="text1"/>
          <w:sz w:val="16"/>
          <w:szCs w:val="16"/>
        </w:rPr>
      </w:pPr>
      <w:r w:rsidRPr="00925F26">
        <w:rPr>
          <w:color w:val="000000" w:themeColor="text1"/>
          <w:sz w:val="16"/>
          <w:szCs w:val="16"/>
        </w:rPr>
        <w:t>Зам. председателя Комитета по делам геологии при Совете Министров СССР</w:t>
      </w:r>
    </w:p>
    <w:p w14:paraId="701B8B29" w14:textId="77777777" w:rsidR="00B90038" w:rsidRPr="00925F26" w:rsidRDefault="00B90038" w:rsidP="00925F26">
      <w:pPr>
        <w:jc w:val="both"/>
        <w:rPr>
          <w:color w:val="000000" w:themeColor="text1"/>
          <w:sz w:val="16"/>
          <w:szCs w:val="16"/>
        </w:rPr>
      </w:pPr>
      <w:r w:rsidRPr="00925F26">
        <w:rPr>
          <w:color w:val="000000" w:themeColor="text1"/>
          <w:sz w:val="16"/>
          <w:szCs w:val="16"/>
        </w:rPr>
        <w:t>И. Григорьев</w:t>
      </w:r>
    </w:p>
    <w:p w14:paraId="6BB69BA1" w14:textId="77777777" w:rsidR="00B90038" w:rsidRPr="00925F26" w:rsidRDefault="00B90038" w:rsidP="00925F26">
      <w:pPr>
        <w:jc w:val="both"/>
        <w:rPr>
          <w:color w:val="000000" w:themeColor="text1"/>
          <w:sz w:val="16"/>
          <w:szCs w:val="16"/>
        </w:rPr>
      </w:pPr>
      <w:r w:rsidRPr="00925F26">
        <w:rPr>
          <w:color w:val="000000" w:themeColor="text1"/>
          <w:sz w:val="16"/>
          <w:szCs w:val="16"/>
        </w:rPr>
        <w:t>Приложение</w:t>
      </w:r>
    </w:p>
    <w:p w14:paraId="577D5384" w14:textId="77777777" w:rsidR="00B90038" w:rsidRPr="00925F26" w:rsidRDefault="00B90038" w:rsidP="00925F26">
      <w:pPr>
        <w:jc w:val="both"/>
        <w:rPr>
          <w:color w:val="000000" w:themeColor="text1"/>
          <w:sz w:val="16"/>
          <w:szCs w:val="16"/>
        </w:rPr>
      </w:pPr>
      <w:r w:rsidRPr="00925F26">
        <w:rPr>
          <w:color w:val="000000" w:themeColor="text1"/>
          <w:sz w:val="16"/>
          <w:szCs w:val="16"/>
        </w:rPr>
        <w:t>Протокол № 3827 заседания Всесоюзной комиссии по запасам полезных ископаемых Комитета по делам геологии при Совете Министров Союза ССР</w:t>
      </w:r>
    </w:p>
    <w:p w14:paraId="7DF9DBAC" w14:textId="77777777" w:rsidR="00B90038" w:rsidRPr="00925F26" w:rsidRDefault="00B90038" w:rsidP="00925F26">
      <w:pPr>
        <w:jc w:val="both"/>
        <w:rPr>
          <w:color w:val="000000" w:themeColor="text1"/>
          <w:sz w:val="16"/>
          <w:szCs w:val="16"/>
        </w:rPr>
      </w:pPr>
      <w:r w:rsidRPr="00925F26">
        <w:rPr>
          <w:color w:val="000000" w:themeColor="text1"/>
          <w:sz w:val="16"/>
          <w:szCs w:val="16"/>
        </w:rPr>
        <w:t>г. Москва 6 апреля 1946 г.</w:t>
      </w:r>
    </w:p>
    <w:p w14:paraId="756D44D3" w14:textId="77777777" w:rsidR="00B90038" w:rsidRPr="00925F26" w:rsidRDefault="00B90038" w:rsidP="00925F26">
      <w:pPr>
        <w:jc w:val="both"/>
        <w:rPr>
          <w:color w:val="000000" w:themeColor="text1"/>
          <w:sz w:val="16"/>
          <w:szCs w:val="16"/>
        </w:rPr>
      </w:pPr>
      <w:r w:rsidRPr="00925F26">
        <w:rPr>
          <w:color w:val="000000" w:themeColor="text1"/>
          <w:sz w:val="16"/>
          <w:szCs w:val="16"/>
        </w:rPr>
        <w:t>Повестка дня: Рассмотрение материалов Первого главного управления при Совете Министров Союза ССР3 «Ураноносные районы и месторождения Болгарии и предварительная оценка их перспектив и промышленного значения» (автор — проф. Русаков М. П.).</w:t>
      </w:r>
    </w:p>
    <w:p w14:paraId="7BF64FDB" w14:textId="77777777" w:rsidR="00B90038" w:rsidRPr="00925F26" w:rsidRDefault="00B90038" w:rsidP="00925F26">
      <w:pPr>
        <w:jc w:val="both"/>
        <w:rPr>
          <w:color w:val="000000" w:themeColor="text1"/>
          <w:sz w:val="16"/>
          <w:szCs w:val="16"/>
        </w:rPr>
      </w:pPr>
      <w:r w:rsidRPr="00925F26">
        <w:rPr>
          <w:color w:val="000000" w:themeColor="text1"/>
          <w:sz w:val="16"/>
          <w:szCs w:val="16"/>
        </w:rPr>
        <w:t>Слушали:</w:t>
      </w:r>
    </w:p>
    <w:p w14:paraId="3362727B" w14:textId="77777777" w:rsidR="00B90038" w:rsidRPr="00925F26" w:rsidRDefault="00B90038" w:rsidP="00925F26">
      <w:pPr>
        <w:jc w:val="both"/>
        <w:rPr>
          <w:color w:val="000000" w:themeColor="text1"/>
          <w:sz w:val="16"/>
          <w:szCs w:val="16"/>
        </w:rPr>
      </w:pPr>
      <w:r w:rsidRPr="00925F26">
        <w:rPr>
          <w:color w:val="000000" w:themeColor="text1"/>
          <w:sz w:val="16"/>
          <w:szCs w:val="16"/>
        </w:rPr>
        <w:t>1. Доклад проф.. доктора Русакова М. П. по работе «Ураноносные районы и месторождения Болгарии и предварительная оценка их перспектив и промышленного значения».</w:t>
      </w:r>
    </w:p>
    <w:p w14:paraId="62CE9E24" w14:textId="77777777" w:rsidR="00B90038" w:rsidRPr="00925F26" w:rsidRDefault="00B90038" w:rsidP="00925F26">
      <w:pPr>
        <w:jc w:val="both"/>
        <w:rPr>
          <w:color w:val="000000" w:themeColor="text1"/>
          <w:sz w:val="16"/>
          <w:szCs w:val="16"/>
        </w:rPr>
      </w:pPr>
      <w:r w:rsidRPr="00925F26">
        <w:rPr>
          <w:color w:val="000000" w:themeColor="text1"/>
          <w:sz w:val="16"/>
          <w:szCs w:val="16"/>
        </w:rPr>
        <w:t>2. Экспертное заключение эксперта— члена ВКЗ, проф.. доктора Щербакова А.И. (см. прил 1937 вышел приказ НКОП № I4).</w:t>
      </w:r>
    </w:p>
    <w:p w14:paraId="2B95B388" w14:textId="77777777" w:rsidR="00B90038" w:rsidRPr="00925F26" w:rsidRDefault="00B90038" w:rsidP="00925F26">
      <w:pPr>
        <w:jc w:val="both"/>
        <w:rPr>
          <w:color w:val="000000" w:themeColor="text1"/>
          <w:sz w:val="16"/>
          <w:szCs w:val="16"/>
        </w:rPr>
      </w:pPr>
      <w:r w:rsidRPr="00925F26">
        <w:rPr>
          <w:color w:val="000000" w:themeColor="text1"/>
          <w:sz w:val="16"/>
          <w:szCs w:val="16"/>
        </w:rPr>
        <w:t>3. Экспертное заключение эксперта— члена ВКЗ, нач. сектора № 6 ВИМСа Альтгаузена М.Н. (см. прил 1937 вышел приказ НКОП № 24).</w:t>
      </w:r>
    </w:p>
    <w:p w14:paraId="291523D3" w14:textId="77777777" w:rsidR="00B90038" w:rsidRPr="00925F26" w:rsidRDefault="00B90038" w:rsidP="00925F26">
      <w:pPr>
        <w:jc w:val="both"/>
        <w:rPr>
          <w:color w:val="000000" w:themeColor="text1"/>
          <w:sz w:val="16"/>
          <w:szCs w:val="16"/>
        </w:rPr>
      </w:pPr>
      <w:r w:rsidRPr="00925F26">
        <w:rPr>
          <w:color w:val="000000" w:themeColor="text1"/>
          <w:sz w:val="16"/>
          <w:szCs w:val="16"/>
        </w:rPr>
        <w:t>4. Экспертное заключение эксперта— члена ВКЗ, проф., доктора Крейтера В.М. (см. прил 1937 вышел приказ НКОП № З4).</w:t>
      </w:r>
    </w:p>
    <w:p w14:paraId="2B0C3111" w14:textId="77777777" w:rsidR="00B90038" w:rsidRPr="00925F26" w:rsidRDefault="00B90038" w:rsidP="00925F26">
      <w:pPr>
        <w:jc w:val="both"/>
        <w:rPr>
          <w:color w:val="000000" w:themeColor="text1"/>
          <w:sz w:val="16"/>
          <w:szCs w:val="16"/>
        </w:rPr>
      </w:pPr>
      <w:r w:rsidRPr="00925F26">
        <w:rPr>
          <w:color w:val="000000" w:themeColor="text1"/>
          <w:sz w:val="16"/>
          <w:szCs w:val="16"/>
        </w:rPr>
        <w:t>ВКЗ констатирует:</w:t>
      </w:r>
    </w:p>
    <w:p w14:paraId="0DC323BC" w14:textId="77777777" w:rsidR="00B90038" w:rsidRPr="00925F26" w:rsidRDefault="00B90038" w:rsidP="00925F26">
      <w:pPr>
        <w:jc w:val="both"/>
        <w:rPr>
          <w:color w:val="000000" w:themeColor="text1"/>
          <w:sz w:val="16"/>
          <w:szCs w:val="16"/>
        </w:rPr>
      </w:pPr>
      <w:r w:rsidRPr="00925F26">
        <w:rPr>
          <w:color w:val="000000" w:themeColor="text1"/>
          <w:sz w:val="16"/>
          <w:szCs w:val="16"/>
        </w:rPr>
        <w:t>1. Рассматриваемая работа представляет необычайно расширенное экспертное заключение об урановых месторождениях Болгарии, основанное на личном полевом осмотре автором месторождений Готен и Стрелча и на анализе существующей литературы.</w:t>
      </w:r>
    </w:p>
    <w:p w14:paraId="123E8C83" w14:textId="77777777" w:rsidR="00B90038" w:rsidRPr="00925F26" w:rsidRDefault="00B90038" w:rsidP="00925F26">
      <w:pPr>
        <w:jc w:val="both"/>
        <w:rPr>
          <w:color w:val="000000" w:themeColor="text1"/>
          <w:sz w:val="16"/>
          <w:szCs w:val="16"/>
        </w:rPr>
      </w:pPr>
      <w:r w:rsidRPr="00925F26">
        <w:rPr>
          <w:color w:val="000000" w:themeColor="text1"/>
          <w:sz w:val="16"/>
          <w:szCs w:val="16"/>
        </w:rPr>
        <w:t>2. Кроме освещения и экспертизы рудных полей и месторождений урана, автором затронуты в работе весьма широкие вопросы общей структуры складчатых комплексов, интрузивных циклов и металлогении крупных областей Болгарии, а также дано общее заключение по минерально-сырьевой базе по урану в СССР.</w:t>
      </w:r>
    </w:p>
    <w:p w14:paraId="04A12D53" w14:textId="77777777" w:rsidR="00B90038" w:rsidRPr="00925F26" w:rsidRDefault="00B90038" w:rsidP="00925F26">
      <w:pPr>
        <w:jc w:val="both"/>
        <w:rPr>
          <w:color w:val="000000" w:themeColor="text1"/>
          <w:sz w:val="16"/>
          <w:szCs w:val="16"/>
        </w:rPr>
      </w:pPr>
      <w:r w:rsidRPr="00925F26">
        <w:rPr>
          <w:color w:val="000000" w:themeColor="text1"/>
          <w:sz w:val="16"/>
          <w:szCs w:val="16"/>
        </w:rPr>
        <w:t>3. Указанное выше загромождение работы соображениями, не имеющими прямого отношения к ее задаче, привело к излишнему объему статьи (353 страницы машинописи) и обусловило появление в ней неоднократных повторений, чрезмерно гипотетических концепций и явно ошибочных утверждений (в отношении оценки сырьевой базы СССР по урану— неправильная оценка ресурсов и промышленного значения месторождений Волыни, Акчатау, Каратау, Прибалтики).</w:t>
      </w:r>
    </w:p>
    <w:p w14:paraId="36547151" w14:textId="77777777" w:rsidR="00B90038" w:rsidRPr="00925F26" w:rsidRDefault="00B90038" w:rsidP="00925F26">
      <w:pPr>
        <w:jc w:val="both"/>
        <w:rPr>
          <w:color w:val="000000" w:themeColor="text1"/>
          <w:sz w:val="16"/>
          <w:szCs w:val="16"/>
        </w:rPr>
      </w:pPr>
      <w:r w:rsidRPr="00925F26">
        <w:rPr>
          <w:color w:val="000000" w:themeColor="text1"/>
          <w:sz w:val="16"/>
          <w:szCs w:val="16"/>
        </w:rPr>
        <w:t>4. Для месторождения Готен к моменту экспертизы его проф. М.П. Русаковым имелась только компасная съемка м. 1:1 800. расширенная им глазомерно с измерением расстояний шагами. Разведочно-эксплуатационные выработки, пройденные на месторождении болгарскими предпринимателями, оказались недоступными для осмотра; количество естественных обнажений оказалось очень невелико; никаких графических материалов — планов, зарисовок, профилей по месторождению— не существует: участок месторождения сильно задернован.</w:t>
      </w:r>
    </w:p>
    <w:p w14:paraId="608BF1B0" w14:textId="77777777" w:rsidR="00B90038" w:rsidRPr="00925F26" w:rsidRDefault="00B90038" w:rsidP="00925F26">
      <w:pPr>
        <w:jc w:val="both"/>
        <w:rPr>
          <w:color w:val="000000" w:themeColor="text1"/>
          <w:sz w:val="16"/>
          <w:szCs w:val="16"/>
        </w:rPr>
      </w:pPr>
      <w:r w:rsidRPr="00925F26">
        <w:rPr>
          <w:color w:val="000000" w:themeColor="text1"/>
          <w:sz w:val="16"/>
          <w:szCs w:val="16"/>
        </w:rPr>
        <w:t>5. Из изложенного видно, что для оценки месторождения Готен М.П. Русаков мог располагать лишь весьма СКУДНЫМ Фактическим материалом и не вполне достоверными литературными данными.</w:t>
      </w:r>
    </w:p>
    <w:p w14:paraId="73C3CECA" w14:textId="77777777" w:rsidR="00B90038" w:rsidRPr="00925F26" w:rsidRDefault="00B90038" w:rsidP="00925F26">
      <w:pPr>
        <w:jc w:val="both"/>
        <w:rPr>
          <w:color w:val="000000" w:themeColor="text1"/>
          <w:sz w:val="16"/>
          <w:szCs w:val="16"/>
        </w:rPr>
      </w:pPr>
      <w:r w:rsidRPr="00925F26">
        <w:rPr>
          <w:color w:val="000000" w:themeColor="text1"/>
          <w:sz w:val="16"/>
          <w:szCs w:val="16"/>
        </w:rPr>
        <w:t>6. Экспертизой М.П. Русакова достоверно установлено наличие на Готенском месторождении почти неразведанной рудной зоны, насыщенной вторичными урановыми минералами, типичными для зоны окисления. Оценка среднего содержания U30g в этой окисленной руде произведена М.П. Русаковым в достаточной мере обоснованно. Однако предположение его о трубообразной форме рудного тела, сложенного6 первичными рудами, весьма гипотетично и ни в коей мере не обосновано фактическими данными. Совершенно не доказано также ни фактическими, ни литературными данными наличие под зоной окисления промышленно ценных первичных руд.</w:t>
      </w:r>
    </w:p>
    <w:p w14:paraId="39E12421" w14:textId="77777777" w:rsidR="00B90038" w:rsidRPr="00925F26" w:rsidRDefault="00B90038" w:rsidP="00925F26">
      <w:pPr>
        <w:jc w:val="both"/>
        <w:rPr>
          <w:color w:val="000000" w:themeColor="text1"/>
          <w:sz w:val="16"/>
          <w:szCs w:val="16"/>
        </w:rPr>
      </w:pPr>
      <w:r w:rsidRPr="00925F26">
        <w:rPr>
          <w:color w:val="000000" w:themeColor="text1"/>
          <w:sz w:val="16"/>
          <w:szCs w:val="16"/>
        </w:rPr>
        <w:t>На основании изложенного В КЗ постановила:</w:t>
      </w:r>
    </w:p>
    <w:p w14:paraId="0D33CC80" w14:textId="77777777" w:rsidR="00B90038" w:rsidRPr="00925F26" w:rsidRDefault="00B90038" w:rsidP="00925F26">
      <w:pPr>
        <w:jc w:val="both"/>
        <w:rPr>
          <w:color w:val="000000" w:themeColor="text1"/>
          <w:sz w:val="16"/>
          <w:szCs w:val="16"/>
        </w:rPr>
      </w:pPr>
      <w:r w:rsidRPr="00925F26">
        <w:rPr>
          <w:color w:val="000000" w:themeColor="text1"/>
          <w:sz w:val="16"/>
          <w:szCs w:val="16"/>
        </w:rPr>
        <w:t>1. Отметить, что проф. М.П. Русаковым проделана в весьма короткий срок и в необычайно трудных условиях (даже для геолога высшей квалификации) огромная работа по экспертизе урановых рудопроявлений в Болгарии.</w:t>
      </w:r>
    </w:p>
    <w:p w14:paraId="1738FB0E" w14:textId="77777777" w:rsidR="00B90038" w:rsidRPr="00925F26" w:rsidRDefault="00B90038" w:rsidP="00925F26">
      <w:pPr>
        <w:jc w:val="both"/>
        <w:rPr>
          <w:color w:val="000000" w:themeColor="text1"/>
          <w:sz w:val="16"/>
          <w:szCs w:val="16"/>
        </w:rPr>
      </w:pPr>
      <w:r w:rsidRPr="00925F26">
        <w:rPr>
          <w:color w:val="000000" w:themeColor="text1"/>
          <w:sz w:val="16"/>
          <w:szCs w:val="16"/>
        </w:rPr>
        <w:t>2. Отметить, что проф. М.П. Русаковым правильно и своевременно поднят вопрос о необходимости и целесообразности освоения месторождения Готен и об организации геолого-по- исковых и геологоразведочных работ на уран на территории Болгарии.</w:t>
      </w:r>
    </w:p>
    <w:p w14:paraId="0004168A" w14:textId="77777777" w:rsidR="00B90038" w:rsidRPr="00925F26" w:rsidRDefault="00B90038" w:rsidP="00925F26">
      <w:pPr>
        <w:jc w:val="both"/>
        <w:rPr>
          <w:color w:val="000000" w:themeColor="text1"/>
          <w:sz w:val="16"/>
          <w:szCs w:val="16"/>
        </w:rPr>
      </w:pPr>
      <w:r w:rsidRPr="00925F26">
        <w:rPr>
          <w:color w:val="000000" w:themeColor="text1"/>
          <w:sz w:val="16"/>
          <w:szCs w:val="16"/>
        </w:rPr>
        <w:t>3. ПРИНЯТЬ запасы, подсчитанные М.П. Русаковым по 1-му варианту, в количестве 131 тонны U308, как геологически перспективные по категории С2 по состоянию на 01.01.1945 г. при среднем содержании U30g в руде 0.22% и количестве руды 58 ООО тонн.</w:t>
      </w:r>
    </w:p>
    <w:p w14:paraId="37E1666E" w14:textId="77777777" w:rsidR="00B90038" w:rsidRPr="00925F26" w:rsidRDefault="00B90038" w:rsidP="00925F26">
      <w:pPr>
        <w:jc w:val="both"/>
        <w:rPr>
          <w:color w:val="000000" w:themeColor="text1"/>
          <w:sz w:val="16"/>
          <w:szCs w:val="16"/>
        </w:rPr>
      </w:pPr>
      <w:r w:rsidRPr="00925F26">
        <w:rPr>
          <w:color w:val="000000" w:themeColor="text1"/>
          <w:sz w:val="16"/>
          <w:szCs w:val="16"/>
        </w:rPr>
        <w:t>4. Рекомендовать Первому главному управлению при Совете Министров СССР и Первому главному управлению при Комитете по делам геологии при Совете Министров СССР организовать изучение и разведку месторождений Готен и Стрелча, а также геолого-поисковые работы на уран на территории Болгарии.</w:t>
      </w:r>
    </w:p>
    <w:p w14:paraId="5D234993" w14:textId="77777777" w:rsidR="00B90038" w:rsidRPr="00925F26" w:rsidRDefault="00B90038" w:rsidP="00925F26">
      <w:pPr>
        <w:jc w:val="both"/>
        <w:rPr>
          <w:color w:val="000000" w:themeColor="text1"/>
          <w:sz w:val="16"/>
          <w:szCs w:val="16"/>
        </w:rPr>
      </w:pPr>
      <w:r w:rsidRPr="00925F26">
        <w:rPr>
          <w:color w:val="000000" w:themeColor="text1"/>
          <w:sz w:val="16"/>
          <w:szCs w:val="16"/>
        </w:rPr>
        <w:t>Председатель ВКЗ профессор, доктор Татаринов П.М.</w:t>
      </w:r>
    </w:p>
    <w:p w14:paraId="2DCA7C46" w14:textId="77777777" w:rsidR="00B90038" w:rsidRPr="00925F26" w:rsidRDefault="00B90038" w:rsidP="00925F26">
      <w:pPr>
        <w:jc w:val="both"/>
        <w:rPr>
          <w:color w:val="000000" w:themeColor="text1"/>
          <w:sz w:val="16"/>
          <w:szCs w:val="16"/>
        </w:rPr>
      </w:pPr>
      <w:r w:rsidRPr="00925F26">
        <w:rPr>
          <w:color w:val="000000" w:themeColor="text1"/>
          <w:sz w:val="16"/>
          <w:szCs w:val="16"/>
        </w:rPr>
        <w:t>Члены ВКЗ Шутлив Ф.А.</w:t>
      </w:r>
    </w:p>
    <w:p w14:paraId="4C0E442C" w14:textId="77777777" w:rsidR="00B90038" w:rsidRPr="00925F26" w:rsidRDefault="00B90038" w:rsidP="00925F26">
      <w:pPr>
        <w:jc w:val="both"/>
        <w:rPr>
          <w:color w:val="000000" w:themeColor="text1"/>
          <w:sz w:val="16"/>
          <w:szCs w:val="16"/>
        </w:rPr>
      </w:pPr>
      <w:r w:rsidRPr="00925F26">
        <w:rPr>
          <w:color w:val="000000" w:themeColor="text1"/>
          <w:sz w:val="16"/>
          <w:szCs w:val="16"/>
        </w:rPr>
        <w:t>Щербаков Д.И. Альтгаузен М.Н. Крейтер В.М.</w:t>
      </w:r>
    </w:p>
    <w:p w14:paraId="5A5A3568" w14:textId="77777777" w:rsidR="00B90038" w:rsidRPr="00925F26" w:rsidRDefault="00B90038" w:rsidP="00925F26">
      <w:pPr>
        <w:jc w:val="both"/>
        <w:rPr>
          <w:color w:val="000000" w:themeColor="text1"/>
          <w:sz w:val="16"/>
          <w:szCs w:val="16"/>
        </w:rPr>
      </w:pPr>
      <w:r w:rsidRPr="00925F26">
        <w:rPr>
          <w:color w:val="000000" w:themeColor="text1"/>
          <w:sz w:val="16"/>
          <w:szCs w:val="16"/>
        </w:rPr>
        <w:t>Резолюция В.А. Махнева, от руки: m. Сизову (подчеркнуто). Доложите вместе с заявлением проф. Русакова.8 (подпись) 14/VI (15720).</w:t>
      </w:r>
    </w:p>
    <w:p w14:paraId="51BFC66C" w14:textId="77777777" w:rsidR="00B90038" w:rsidRPr="00925F26" w:rsidRDefault="00B90038" w:rsidP="00925F26">
      <w:pPr>
        <w:jc w:val="both"/>
        <w:rPr>
          <w:color w:val="000000" w:themeColor="text1"/>
          <w:sz w:val="16"/>
          <w:szCs w:val="16"/>
        </w:rPr>
      </w:pPr>
    </w:p>
    <w:p w14:paraId="452C0FCD" w14:textId="46B497DD" w:rsidR="00873386" w:rsidRPr="00925F26" w:rsidRDefault="00873386" w:rsidP="00925F26">
      <w:pPr>
        <w:jc w:val="both"/>
        <w:rPr>
          <w:color w:val="000000" w:themeColor="text1"/>
          <w:sz w:val="16"/>
          <w:szCs w:val="16"/>
        </w:rPr>
      </w:pPr>
      <w:r w:rsidRPr="00925F26">
        <w:rPr>
          <w:color w:val="000000" w:themeColor="text1"/>
          <w:sz w:val="16"/>
          <w:szCs w:val="16"/>
        </w:rPr>
        <w:t xml:space="preserve">14 </w:t>
      </w:r>
      <w:r w:rsidR="00997EDF" w:rsidRPr="00925F26">
        <w:rPr>
          <w:color w:val="000000" w:themeColor="text1"/>
          <w:sz w:val="16"/>
          <w:szCs w:val="16"/>
        </w:rPr>
        <w:t xml:space="preserve">  </w:t>
      </w:r>
      <w:r w:rsidRPr="00925F26">
        <w:rPr>
          <w:color w:val="000000" w:themeColor="text1"/>
          <w:sz w:val="16"/>
          <w:szCs w:val="16"/>
        </w:rPr>
        <w:t>июня</w:t>
      </w:r>
      <w:r w:rsidR="00997EDF" w:rsidRPr="00925F26">
        <w:rPr>
          <w:color w:val="000000" w:themeColor="text1"/>
          <w:sz w:val="16"/>
          <w:szCs w:val="16"/>
        </w:rPr>
        <w:t xml:space="preserve">  </w:t>
      </w:r>
      <w:r w:rsidRPr="00925F26">
        <w:rPr>
          <w:color w:val="000000" w:themeColor="text1"/>
          <w:sz w:val="16"/>
          <w:szCs w:val="16"/>
        </w:rPr>
        <w:t xml:space="preserve"> </w:t>
      </w:r>
      <w:bookmarkStart w:id="31" w:name="YANDEX_7"/>
      <w:bookmarkEnd w:id="31"/>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приказом Командующего 4-м ВМФ Балтийского моря адмирала Левченко за № 0132</w:t>
      </w:r>
      <w:r w:rsidR="00997EDF" w:rsidRPr="00925F26">
        <w:rPr>
          <w:color w:val="000000" w:themeColor="text1"/>
          <w:sz w:val="16"/>
          <w:szCs w:val="16"/>
        </w:rPr>
        <w:t xml:space="preserve">    </w:t>
      </w:r>
      <w:r w:rsidRPr="00925F26">
        <w:rPr>
          <w:color w:val="000000" w:themeColor="text1"/>
          <w:sz w:val="16"/>
          <w:szCs w:val="16"/>
        </w:rPr>
        <w:t>в разряд действующих судоремонтных предприятий ВМС СССР</w:t>
      </w:r>
      <w:r w:rsidR="00997EDF" w:rsidRPr="00925F26">
        <w:rPr>
          <w:color w:val="000000" w:themeColor="text1"/>
          <w:sz w:val="16"/>
          <w:szCs w:val="16"/>
        </w:rPr>
        <w:t xml:space="preserve">    </w:t>
      </w:r>
      <w:r w:rsidRPr="00925F26">
        <w:rPr>
          <w:color w:val="000000" w:themeColor="text1"/>
          <w:sz w:val="16"/>
          <w:szCs w:val="16"/>
        </w:rPr>
        <w:t xml:space="preserve">был введен бывший Пиллаусский морской </w:t>
      </w:r>
      <w:bookmarkStart w:id="32" w:name="YANDEX_4"/>
      <w:bookmarkEnd w:id="32"/>
      <w:r w:rsidR="00997EDF" w:rsidRPr="00925F26">
        <w:rPr>
          <w:color w:val="000000" w:themeColor="text1"/>
          <w:sz w:val="16"/>
          <w:szCs w:val="16"/>
        </w:rPr>
        <w:t xml:space="preserve">  </w:t>
      </w:r>
      <w:r w:rsidRPr="00925F26">
        <w:rPr>
          <w:color w:val="000000" w:themeColor="text1"/>
          <w:sz w:val="16"/>
          <w:szCs w:val="16"/>
        </w:rPr>
        <w:t>завод</w:t>
      </w:r>
      <w:r w:rsidR="00997EDF" w:rsidRPr="00925F26">
        <w:rPr>
          <w:color w:val="000000" w:themeColor="text1"/>
          <w:sz w:val="16"/>
          <w:szCs w:val="16"/>
        </w:rPr>
        <w:t xml:space="preserve">  </w:t>
      </w:r>
      <w:r w:rsidRPr="00925F26">
        <w:rPr>
          <w:color w:val="000000" w:themeColor="text1"/>
          <w:sz w:val="16"/>
          <w:szCs w:val="16"/>
        </w:rPr>
        <w:t>Данцингской судостроительной фирмы «Шихау», созданный в 1889 - будущий завод № 33.</w:t>
      </w:r>
    </w:p>
    <w:p w14:paraId="4666FAE6" w14:textId="0C166CA5" w:rsidR="00873386" w:rsidRPr="00925F26" w:rsidRDefault="00873386" w:rsidP="00925F26">
      <w:pPr>
        <w:jc w:val="both"/>
        <w:rPr>
          <w:color w:val="000000" w:themeColor="text1"/>
          <w:sz w:val="16"/>
          <w:szCs w:val="16"/>
        </w:rPr>
      </w:pPr>
      <w:r w:rsidRPr="00925F26">
        <w:rPr>
          <w:color w:val="000000" w:themeColor="text1"/>
          <w:sz w:val="16"/>
          <w:szCs w:val="16"/>
        </w:rPr>
        <w:t>Для организации военного</w:t>
      </w:r>
      <w:r w:rsidR="00997EDF" w:rsidRPr="00925F26">
        <w:rPr>
          <w:color w:val="000000" w:themeColor="text1"/>
          <w:sz w:val="16"/>
          <w:szCs w:val="16"/>
        </w:rPr>
        <w:t xml:space="preserve">    </w:t>
      </w:r>
      <w:r w:rsidRPr="00925F26">
        <w:rPr>
          <w:color w:val="000000" w:themeColor="text1"/>
          <w:sz w:val="16"/>
          <w:szCs w:val="16"/>
        </w:rPr>
        <w:t xml:space="preserve">судоремонта на базе </w:t>
      </w:r>
      <w:r w:rsidR="00997EDF" w:rsidRPr="00925F26">
        <w:rPr>
          <w:color w:val="000000" w:themeColor="text1"/>
          <w:sz w:val="16"/>
          <w:szCs w:val="16"/>
        </w:rPr>
        <w:t xml:space="preserve">  </w:t>
      </w:r>
      <w:r w:rsidRPr="00925F26">
        <w:rPr>
          <w:color w:val="000000" w:themeColor="text1"/>
          <w:sz w:val="16"/>
          <w:szCs w:val="16"/>
        </w:rPr>
        <w:t xml:space="preserve">Пиллаусского морского </w:t>
      </w:r>
      <w:bookmarkStart w:id="33" w:name="YANDEX_8"/>
      <w:bookmarkEnd w:id="33"/>
      <w:r w:rsidR="00997EDF" w:rsidRPr="00925F26">
        <w:rPr>
          <w:color w:val="000000" w:themeColor="text1"/>
          <w:sz w:val="16"/>
          <w:szCs w:val="16"/>
        </w:rPr>
        <w:t xml:space="preserve">  </w:t>
      </w:r>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 xml:space="preserve"> начальник технического отдела БФ назначил инженер-капитан-лейтенанта Хохлова Павла Михайловича. Одновременно с этим было отдано приказание командиру судоремонтного батальона в Ленинграде о направлении в Пиллау одного судоремонтного взвода. Захватив с собой материалы и запасные части со складов технического отдела ЛенВМБ, колонна автомашин 25 мая </w:t>
      </w:r>
      <w:bookmarkStart w:id="34" w:name="YANDEX_9"/>
      <w:bookmarkEnd w:id="34"/>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прибыла в г. Пиллау.</w:t>
      </w:r>
    </w:p>
    <w:p w14:paraId="77B411B5" w14:textId="60809658" w:rsidR="00873386" w:rsidRPr="00925F26" w:rsidRDefault="00873386" w:rsidP="00925F26">
      <w:pPr>
        <w:jc w:val="both"/>
        <w:rPr>
          <w:color w:val="000000" w:themeColor="text1"/>
          <w:sz w:val="16"/>
          <w:szCs w:val="16"/>
        </w:rPr>
      </w:pPr>
      <w:r w:rsidRPr="00925F26">
        <w:rPr>
          <w:color w:val="000000" w:themeColor="text1"/>
          <w:sz w:val="16"/>
          <w:szCs w:val="16"/>
        </w:rPr>
        <w:t xml:space="preserve">26 мая </w:t>
      </w:r>
      <w:bookmarkStart w:id="35" w:name="YANDEX_10"/>
      <w:bookmarkEnd w:id="35"/>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на </w:t>
      </w:r>
      <w:bookmarkStart w:id="36" w:name="YANDEX_11"/>
      <w:bookmarkEnd w:id="36"/>
      <w:r w:rsidR="00997EDF" w:rsidRPr="00925F26">
        <w:rPr>
          <w:color w:val="000000" w:themeColor="text1"/>
          <w:sz w:val="16"/>
          <w:szCs w:val="16"/>
        </w:rPr>
        <w:t xml:space="preserve">  </w:t>
      </w:r>
      <w:r w:rsidRPr="00925F26">
        <w:rPr>
          <w:color w:val="000000" w:themeColor="text1"/>
          <w:sz w:val="16"/>
          <w:szCs w:val="16"/>
        </w:rPr>
        <w:t>завод</w:t>
      </w:r>
      <w:r w:rsidR="00997EDF" w:rsidRPr="00925F26">
        <w:rPr>
          <w:color w:val="000000" w:themeColor="text1"/>
          <w:sz w:val="16"/>
          <w:szCs w:val="16"/>
        </w:rPr>
        <w:t xml:space="preserve">  </w:t>
      </w:r>
      <w:r w:rsidRPr="00925F26">
        <w:rPr>
          <w:color w:val="000000" w:themeColor="text1"/>
          <w:sz w:val="16"/>
          <w:szCs w:val="16"/>
        </w:rPr>
        <w:t xml:space="preserve"> прибыл Командующий Юго-Западным морским оборонительным районом (ЮЗМОР) вице-адмирал Виноградов Н.И. и поставил первым организаторам завода три основные задачи:</w:t>
      </w:r>
    </w:p>
    <w:p w14:paraId="521849E2" w14:textId="50DBA3B2" w:rsidR="00873386" w:rsidRPr="00925F26" w:rsidRDefault="00873386" w:rsidP="00925F26">
      <w:pPr>
        <w:jc w:val="both"/>
        <w:rPr>
          <w:color w:val="000000" w:themeColor="text1"/>
          <w:sz w:val="16"/>
          <w:szCs w:val="16"/>
        </w:rPr>
      </w:pPr>
      <w:r w:rsidRPr="00925F26">
        <w:rPr>
          <w:color w:val="000000" w:themeColor="text1"/>
          <w:sz w:val="16"/>
          <w:szCs w:val="16"/>
        </w:rPr>
        <w:t xml:space="preserve">-восстановить разрушенные здания и ввести в строй основное оборудование </w:t>
      </w:r>
      <w:bookmarkStart w:id="37" w:name="YANDEX_12"/>
      <w:bookmarkEnd w:id="37"/>
      <w:r w:rsidR="00997EDF" w:rsidRPr="00925F26">
        <w:rPr>
          <w:color w:val="000000" w:themeColor="text1"/>
          <w:sz w:val="16"/>
          <w:szCs w:val="16"/>
        </w:rPr>
        <w:t xml:space="preserve">  </w:t>
      </w:r>
      <w:proofErr w:type="gramStart"/>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w:t>
      </w:r>
      <w:proofErr w:type="gramEnd"/>
    </w:p>
    <w:p w14:paraId="08D74A22" w14:textId="77777777" w:rsidR="00873386" w:rsidRPr="00925F26" w:rsidRDefault="00873386" w:rsidP="00925F26">
      <w:pPr>
        <w:jc w:val="both"/>
        <w:rPr>
          <w:color w:val="000000" w:themeColor="text1"/>
          <w:sz w:val="16"/>
          <w:szCs w:val="16"/>
        </w:rPr>
      </w:pPr>
      <w:r w:rsidRPr="00925F26">
        <w:rPr>
          <w:color w:val="000000" w:themeColor="text1"/>
          <w:sz w:val="16"/>
          <w:szCs w:val="16"/>
        </w:rPr>
        <w:t>-обеспечить ремонт кораблей, в первую очередь – тральщиков, занятых боевым тралением;</w:t>
      </w:r>
    </w:p>
    <w:p w14:paraId="4643A476" w14:textId="4A253CD1" w:rsidR="00873386" w:rsidRPr="00925F26" w:rsidRDefault="00873386" w:rsidP="00925F26">
      <w:pPr>
        <w:jc w:val="both"/>
        <w:rPr>
          <w:color w:val="000000" w:themeColor="text1"/>
          <w:sz w:val="16"/>
          <w:szCs w:val="16"/>
        </w:rPr>
      </w:pPr>
      <w:r w:rsidRPr="00925F26">
        <w:rPr>
          <w:color w:val="000000" w:themeColor="text1"/>
          <w:sz w:val="16"/>
          <w:szCs w:val="16"/>
        </w:rPr>
        <w:t>-оказать помощь инженерному отделу военно-морской базы в восстановлении водоснабжения и</w:t>
      </w:r>
      <w:r w:rsidR="00997EDF" w:rsidRPr="00925F26">
        <w:rPr>
          <w:color w:val="000000" w:themeColor="text1"/>
          <w:sz w:val="16"/>
          <w:szCs w:val="16"/>
        </w:rPr>
        <w:t xml:space="preserve">    </w:t>
      </w:r>
      <w:r w:rsidRPr="00925F26">
        <w:rPr>
          <w:color w:val="000000" w:themeColor="text1"/>
          <w:sz w:val="16"/>
          <w:szCs w:val="16"/>
        </w:rPr>
        <w:t>энергетики базы.</w:t>
      </w:r>
    </w:p>
    <w:p w14:paraId="2C091FDB" w14:textId="42C3D75E" w:rsidR="00873386" w:rsidRPr="00925F26" w:rsidRDefault="00873386" w:rsidP="00925F26">
      <w:pPr>
        <w:jc w:val="both"/>
        <w:rPr>
          <w:color w:val="000000" w:themeColor="text1"/>
          <w:sz w:val="16"/>
          <w:szCs w:val="16"/>
        </w:rPr>
      </w:pPr>
      <w:r w:rsidRPr="00925F26">
        <w:rPr>
          <w:color w:val="000000" w:themeColor="text1"/>
          <w:sz w:val="16"/>
          <w:szCs w:val="16"/>
        </w:rPr>
        <w:t xml:space="preserve">27 мая </w:t>
      </w:r>
      <w:bookmarkStart w:id="38" w:name="YANDEX_13"/>
      <w:bookmarkEnd w:id="38"/>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инженер-капитан-лейтенант Хохлов П.М. подписал приказ №1 об организации Пиллаусского судоремонтного </w:t>
      </w:r>
      <w:bookmarkStart w:id="39" w:name="YANDEX_14"/>
      <w:bookmarkEnd w:id="39"/>
      <w:r w:rsidR="00997EDF" w:rsidRPr="00925F26">
        <w:rPr>
          <w:color w:val="000000" w:themeColor="text1"/>
          <w:sz w:val="16"/>
          <w:szCs w:val="16"/>
        </w:rPr>
        <w:t xml:space="preserve">  </w:t>
      </w:r>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 xml:space="preserve"> и назначил исполняющим обязанности Главного инженера — инженера-капитана М.М. Ципина, Главного механика — старшину 1 статьи Резниченко и других специалистов. В этот же день прошло первое производственное совещание руководящего состава </w:t>
      </w:r>
      <w:bookmarkStart w:id="40" w:name="YANDEX_15"/>
      <w:bookmarkEnd w:id="40"/>
      <w:r w:rsidR="00997EDF" w:rsidRPr="00925F26">
        <w:rPr>
          <w:color w:val="000000" w:themeColor="text1"/>
          <w:sz w:val="16"/>
          <w:szCs w:val="16"/>
        </w:rPr>
        <w:t xml:space="preserve">  </w:t>
      </w:r>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 xml:space="preserve"> по реализации плана восстановления </w:t>
      </w:r>
      <w:bookmarkStart w:id="41" w:name="YANDEX_16"/>
      <w:bookmarkEnd w:id="41"/>
      <w:r w:rsidR="00997EDF" w:rsidRPr="00925F26">
        <w:rPr>
          <w:color w:val="000000" w:themeColor="text1"/>
          <w:sz w:val="16"/>
          <w:szCs w:val="16"/>
        </w:rPr>
        <w:t xml:space="preserve">  </w:t>
      </w:r>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 xml:space="preserve"> и организации судоремонта.</w:t>
      </w:r>
    </w:p>
    <w:p w14:paraId="7517D7FE" w14:textId="62CE9C74" w:rsidR="00873386" w:rsidRPr="00925F26" w:rsidRDefault="00873386" w:rsidP="00925F26">
      <w:pPr>
        <w:jc w:val="both"/>
        <w:rPr>
          <w:color w:val="000000" w:themeColor="text1"/>
          <w:sz w:val="16"/>
          <w:szCs w:val="16"/>
        </w:rPr>
      </w:pPr>
      <w:r w:rsidRPr="00925F26">
        <w:rPr>
          <w:color w:val="000000" w:themeColor="text1"/>
          <w:sz w:val="16"/>
          <w:szCs w:val="16"/>
        </w:rPr>
        <w:t xml:space="preserve">1 июля </w:t>
      </w:r>
      <w:bookmarkStart w:id="42" w:name="YANDEX_17"/>
      <w:bookmarkEnd w:id="42"/>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на </w:t>
      </w:r>
      <w:bookmarkStart w:id="43" w:name="YANDEX_18"/>
      <w:bookmarkEnd w:id="43"/>
      <w:r w:rsidR="00997EDF" w:rsidRPr="00925F26">
        <w:rPr>
          <w:color w:val="000000" w:themeColor="text1"/>
          <w:sz w:val="16"/>
          <w:szCs w:val="16"/>
        </w:rPr>
        <w:t xml:space="preserve">  </w:t>
      </w:r>
      <w:r w:rsidRPr="00925F26">
        <w:rPr>
          <w:color w:val="000000" w:themeColor="text1"/>
          <w:sz w:val="16"/>
          <w:szCs w:val="16"/>
        </w:rPr>
        <w:t>завод</w:t>
      </w:r>
      <w:r w:rsidR="00997EDF" w:rsidRPr="00925F26">
        <w:rPr>
          <w:color w:val="000000" w:themeColor="text1"/>
          <w:sz w:val="16"/>
          <w:szCs w:val="16"/>
        </w:rPr>
        <w:t xml:space="preserve">  </w:t>
      </w:r>
      <w:r w:rsidRPr="00925F26">
        <w:rPr>
          <w:color w:val="000000" w:themeColor="text1"/>
          <w:sz w:val="16"/>
          <w:szCs w:val="16"/>
        </w:rPr>
        <w:t xml:space="preserve"> прибыл первый официальный начальник </w:t>
      </w:r>
      <w:bookmarkStart w:id="44" w:name="YANDEX_19"/>
      <w:bookmarkEnd w:id="44"/>
      <w:r w:rsidR="00997EDF" w:rsidRPr="00925F26">
        <w:rPr>
          <w:color w:val="000000" w:themeColor="text1"/>
          <w:sz w:val="16"/>
          <w:szCs w:val="16"/>
        </w:rPr>
        <w:t xml:space="preserve">  </w:t>
      </w:r>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 xml:space="preserve"> – капитан 3 ранга Чарторижский Николай Леонтьевич, а 3 июля – Главный инженер </w:t>
      </w:r>
      <w:bookmarkStart w:id="45" w:name="YANDEX_20"/>
      <w:bookmarkEnd w:id="45"/>
      <w:r w:rsidR="00997EDF" w:rsidRPr="00925F26">
        <w:rPr>
          <w:color w:val="000000" w:themeColor="text1"/>
          <w:sz w:val="16"/>
          <w:szCs w:val="16"/>
        </w:rPr>
        <w:t xml:space="preserve">  </w:t>
      </w:r>
      <w:r w:rsidRPr="00925F26">
        <w:rPr>
          <w:color w:val="000000" w:themeColor="text1"/>
          <w:sz w:val="16"/>
          <w:szCs w:val="16"/>
        </w:rPr>
        <w:t>завода</w:t>
      </w:r>
      <w:r w:rsidR="00997EDF" w:rsidRPr="00925F26">
        <w:rPr>
          <w:color w:val="000000" w:themeColor="text1"/>
          <w:sz w:val="16"/>
          <w:szCs w:val="16"/>
        </w:rPr>
        <w:t xml:space="preserve">  </w:t>
      </w:r>
      <w:r w:rsidRPr="00925F26">
        <w:rPr>
          <w:color w:val="000000" w:themeColor="text1"/>
          <w:sz w:val="16"/>
          <w:szCs w:val="16"/>
        </w:rPr>
        <w:t xml:space="preserve"> – инженер-капитан 3 ранга Сешко Иван Петрович. Инженер-капитан-лейтенант Хохлов П.М. был назначен Главным строителем.</w:t>
      </w:r>
    </w:p>
    <w:p w14:paraId="2EC61765" w14:textId="4A38C95D" w:rsidR="00873386" w:rsidRPr="00925F26" w:rsidRDefault="00873386" w:rsidP="00925F26">
      <w:pPr>
        <w:jc w:val="both"/>
        <w:rPr>
          <w:color w:val="000000" w:themeColor="text1"/>
          <w:sz w:val="16"/>
          <w:szCs w:val="16"/>
        </w:rPr>
      </w:pPr>
      <w:r w:rsidRPr="00925F26">
        <w:rPr>
          <w:color w:val="000000" w:themeColor="text1"/>
          <w:sz w:val="16"/>
          <w:szCs w:val="16"/>
        </w:rPr>
        <w:t xml:space="preserve">К середине лета </w:t>
      </w:r>
      <w:bookmarkStart w:id="46" w:name="YANDEX_21"/>
      <w:bookmarkEnd w:id="46"/>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на </w:t>
      </w:r>
      <w:bookmarkStart w:id="47" w:name="YANDEX_22"/>
      <w:bookmarkEnd w:id="47"/>
      <w:r w:rsidR="00997EDF" w:rsidRPr="00925F26">
        <w:rPr>
          <w:color w:val="000000" w:themeColor="text1"/>
          <w:sz w:val="16"/>
          <w:szCs w:val="16"/>
        </w:rPr>
        <w:t xml:space="preserve">  </w:t>
      </w:r>
      <w:r w:rsidRPr="00925F26">
        <w:rPr>
          <w:color w:val="000000" w:themeColor="text1"/>
          <w:sz w:val="16"/>
          <w:szCs w:val="16"/>
        </w:rPr>
        <w:t>заводе</w:t>
      </w:r>
      <w:r w:rsidR="00997EDF" w:rsidRPr="00925F26">
        <w:rPr>
          <w:color w:val="000000" w:themeColor="text1"/>
          <w:sz w:val="16"/>
          <w:szCs w:val="16"/>
        </w:rPr>
        <w:t xml:space="preserve">  </w:t>
      </w:r>
      <w:r w:rsidRPr="00925F26">
        <w:rPr>
          <w:color w:val="000000" w:themeColor="text1"/>
          <w:sz w:val="16"/>
          <w:szCs w:val="16"/>
        </w:rPr>
        <w:t xml:space="preserve"> уже работали слесарно-механический, дизелеремонтный и электротехнический цеха, подняли и ввели в строй затонувший у причала плавучий док, отремонтировали и частично углубили причальные стенки. </w:t>
      </w:r>
      <w:r w:rsidR="00997EDF" w:rsidRPr="00925F26">
        <w:rPr>
          <w:color w:val="000000" w:themeColor="text1"/>
          <w:sz w:val="16"/>
          <w:szCs w:val="16"/>
        </w:rPr>
        <w:t xml:space="preserve">  </w:t>
      </w:r>
      <w:r w:rsidRPr="00925F26">
        <w:rPr>
          <w:color w:val="000000" w:themeColor="text1"/>
          <w:sz w:val="16"/>
          <w:szCs w:val="16"/>
        </w:rPr>
        <w:t>Завод</w:t>
      </w:r>
      <w:r w:rsidR="00997EDF" w:rsidRPr="00925F26">
        <w:rPr>
          <w:color w:val="000000" w:themeColor="text1"/>
          <w:sz w:val="16"/>
          <w:szCs w:val="16"/>
        </w:rPr>
        <w:t xml:space="preserve">  </w:t>
      </w:r>
      <w:r w:rsidRPr="00925F26">
        <w:rPr>
          <w:color w:val="000000" w:themeColor="text1"/>
          <w:sz w:val="16"/>
          <w:szCs w:val="16"/>
        </w:rPr>
        <w:t xml:space="preserve"> успешно осваивал ремонт больших охотников пр. 122Б, буксиров, катерных тральщиков – 100-тонников, торпедных катеров Г-5, вспомогательных судов.</w:t>
      </w:r>
    </w:p>
    <w:p w14:paraId="007C5BBB" w14:textId="44EB1F21" w:rsidR="00873386" w:rsidRPr="00925F26" w:rsidRDefault="00873386" w:rsidP="00925F26">
      <w:pPr>
        <w:jc w:val="both"/>
        <w:rPr>
          <w:color w:val="000000" w:themeColor="text1"/>
          <w:sz w:val="16"/>
          <w:szCs w:val="16"/>
        </w:rPr>
      </w:pPr>
      <w:r w:rsidRPr="00925F26">
        <w:rPr>
          <w:color w:val="000000" w:themeColor="text1"/>
          <w:sz w:val="16"/>
          <w:szCs w:val="16"/>
        </w:rPr>
        <w:t xml:space="preserve">Начиная с </w:t>
      </w:r>
      <w:r w:rsidR="00997EDF" w:rsidRPr="00925F26">
        <w:rPr>
          <w:color w:val="000000" w:themeColor="text1"/>
          <w:sz w:val="16"/>
          <w:szCs w:val="16"/>
        </w:rPr>
        <w:t xml:space="preserve">  </w:t>
      </w:r>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 xml:space="preserve"> года, каждую зиму на ремонт становились паровые землечерпалки и землесосы ЗМС-6. Все четыре землечерпалки с шаландами (т.н. караваны) очень интенсивно работали на дноуглубительных работах в гаванях Военно-Морской базы и на акватории </w:t>
      </w:r>
      <w:r w:rsidR="00997EDF" w:rsidRPr="00925F26">
        <w:rPr>
          <w:color w:val="000000" w:themeColor="text1"/>
          <w:sz w:val="16"/>
          <w:szCs w:val="16"/>
        </w:rPr>
        <w:t xml:space="preserve">  </w:t>
      </w:r>
      <w:proofErr w:type="gramStart"/>
      <w:r w:rsidRPr="00925F26">
        <w:rPr>
          <w:color w:val="000000" w:themeColor="text1"/>
          <w:sz w:val="16"/>
          <w:szCs w:val="16"/>
        </w:rPr>
        <w:t>завода</w:t>
      </w:r>
      <w:r w:rsidR="00997EDF" w:rsidRPr="00925F26">
        <w:rPr>
          <w:color w:val="000000" w:themeColor="text1"/>
          <w:sz w:val="16"/>
          <w:szCs w:val="16"/>
        </w:rPr>
        <w:t xml:space="preserve">  </w:t>
      </w:r>
      <w:bookmarkStart w:id="48" w:name="YANDEX_LAST"/>
      <w:bookmarkEnd w:id="48"/>
      <w:r w:rsidRPr="00925F26">
        <w:rPr>
          <w:color w:val="000000" w:themeColor="text1"/>
          <w:sz w:val="16"/>
          <w:szCs w:val="16"/>
        </w:rPr>
        <w:t>,</w:t>
      </w:r>
      <w:proofErr w:type="gramEnd"/>
      <w:r w:rsidRPr="00925F26">
        <w:rPr>
          <w:color w:val="000000" w:themeColor="text1"/>
          <w:sz w:val="16"/>
          <w:szCs w:val="16"/>
        </w:rPr>
        <w:t xml:space="preserve"> вывозя в море тысячи тонн ила и грязи.</w:t>
      </w:r>
    </w:p>
    <w:p w14:paraId="3DD7C6D6" w14:textId="77777777" w:rsidR="00873386" w:rsidRPr="00925F26" w:rsidRDefault="00873386" w:rsidP="00925F26">
      <w:pPr>
        <w:jc w:val="both"/>
        <w:rPr>
          <w:color w:val="000000" w:themeColor="text1"/>
          <w:sz w:val="16"/>
          <w:szCs w:val="16"/>
        </w:rPr>
      </w:pPr>
      <w:r w:rsidRPr="00925F26">
        <w:rPr>
          <w:color w:val="000000" w:themeColor="text1"/>
          <w:sz w:val="16"/>
          <w:szCs w:val="16"/>
        </w:rPr>
        <w:t>Наличие незамерзающих гаваней завода, оборудованных причалов, доков, квалифицированных специалистов позволило освоить за истекшие 61 год ремонт более 80 проектов военных кораблей и вспомогательных судов Дважды Краснознаменного Балтийского флота.</w:t>
      </w:r>
    </w:p>
    <w:p w14:paraId="19F3D889" w14:textId="77777777" w:rsidR="00873386" w:rsidRPr="00925F26" w:rsidRDefault="00873386" w:rsidP="00925F26">
      <w:pPr>
        <w:jc w:val="both"/>
        <w:rPr>
          <w:color w:val="000000" w:themeColor="text1"/>
          <w:sz w:val="16"/>
          <w:szCs w:val="16"/>
        </w:rPr>
      </w:pPr>
      <w:r w:rsidRPr="00925F26">
        <w:rPr>
          <w:color w:val="000000" w:themeColor="text1"/>
          <w:sz w:val="16"/>
          <w:szCs w:val="16"/>
        </w:rPr>
        <w:t>С конца 80-х годов прошлого века завод освоил ремонт гражданских судов рыбопромыслового флота, нефтеналивных, сухогрузов и научно-исследовательских судов.</w:t>
      </w:r>
    </w:p>
    <w:p w14:paraId="3AC6C813" w14:textId="77777777" w:rsidR="00873386" w:rsidRPr="00925F26" w:rsidRDefault="00873386" w:rsidP="00925F26">
      <w:pPr>
        <w:jc w:val="both"/>
        <w:rPr>
          <w:color w:val="000000" w:themeColor="text1"/>
          <w:sz w:val="16"/>
          <w:szCs w:val="16"/>
        </w:rPr>
      </w:pPr>
      <w:r w:rsidRPr="00925F26">
        <w:rPr>
          <w:color w:val="000000" w:themeColor="text1"/>
          <w:sz w:val="16"/>
          <w:szCs w:val="16"/>
        </w:rPr>
        <w:t>Экономический кризис в стране 1997-1998 годов затронул и наш завод. Генеральный заказчик – ВМФ – значительно сократил пакет заказов, в 1998 году оплата по счетам за выполненный судоремонт составила лишь 27% (17450).</w:t>
      </w:r>
    </w:p>
    <w:p w14:paraId="65A4C9F1" w14:textId="77777777" w:rsidR="00873386" w:rsidRPr="00925F26" w:rsidRDefault="00873386" w:rsidP="00925F26">
      <w:pPr>
        <w:jc w:val="both"/>
        <w:rPr>
          <w:color w:val="000000" w:themeColor="text1"/>
          <w:sz w:val="16"/>
          <w:szCs w:val="16"/>
        </w:rPr>
      </w:pPr>
    </w:p>
    <w:p w14:paraId="7DE40C4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0B7BE96" w14:textId="77777777" w:rsidR="006103B3" w:rsidRPr="00925F26" w:rsidRDefault="006103B3" w:rsidP="00925F26">
      <w:pPr>
        <w:autoSpaceDE w:val="0"/>
        <w:autoSpaceDN w:val="0"/>
        <w:adjustRightInd w:val="0"/>
        <w:jc w:val="both"/>
        <w:rPr>
          <w:iCs/>
          <w:color w:val="000000" w:themeColor="text1"/>
          <w:sz w:val="16"/>
          <w:szCs w:val="16"/>
        </w:rPr>
      </w:pPr>
    </w:p>
    <w:p w14:paraId="14173C5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июня 1945 вышло Постановление ГКО № 9054 О мероприятиях, связанных с проведением закона о демобилизации старших возрастов личного состава действующей армии. (7350, 15-21,22-27).</w:t>
      </w:r>
    </w:p>
    <w:p w14:paraId="5A73744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A40C6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 июня 1945 иап Нормандия-Неман на 38 Як-3 вылетел во Францию (438,952).</w:t>
      </w:r>
    </w:p>
    <w:p w14:paraId="42061627" w14:textId="77777777" w:rsidR="006103B3" w:rsidRPr="00925F26" w:rsidRDefault="006103B3" w:rsidP="00925F26">
      <w:pPr>
        <w:autoSpaceDE w:val="0"/>
        <w:autoSpaceDN w:val="0"/>
        <w:adjustRightInd w:val="0"/>
        <w:jc w:val="both"/>
        <w:rPr>
          <w:color w:val="000000" w:themeColor="text1"/>
          <w:sz w:val="16"/>
          <w:szCs w:val="16"/>
        </w:rPr>
      </w:pPr>
    </w:p>
    <w:p w14:paraId="7E8CBD7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За рубежом:</w:t>
      </w:r>
    </w:p>
    <w:p w14:paraId="784E771E" w14:textId="77777777" w:rsidR="006103B3" w:rsidRPr="00925F26" w:rsidRDefault="006103B3" w:rsidP="00925F26">
      <w:pPr>
        <w:autoSpaceDE w:val="0"/>
        <w:autoSpaceDN w:val="0"/>
        <w:adjustRightInd w:val="0"/>
        <w:jc w:val="both"/>
        <w:rPr>
          <w:iCs/>
          <w:color w:val="000000" w:themeColor="text1"/>
          <w:sz w:val="16"/>
          <w:szCs w:val="16"/>
        </w:rPr>
      </w:pPr>
    </w:p>
    <w:p w14:paraId="73AC3CFD" w14:textId="77777777" w:rsidR="004533E5" w:rsidRPr="00925F26" w:rsidRDefault="004533E5" w:rsidP="00925F26">
      <w:pPr>
        <w:jc w:val="both"/>
        <w:rPr>
          <w:color w:val="000000" w:themeColor="text1"/>
          <w:sz w:val="16"/>
          <w:szCs w:val="16"/>
        </w:rPr>
      </w:pPr>
      <w:r w:rsidRPr="00925F26">
        <w:rPr>
          <w:color w:val="000000" w:themeColor="text1"/>
          <w:sz w:val="16"/>
          <w:szCs w:val="16"/>
        </w:rPr>
        <w:t>14 июня 1945 первый полет Avro Tudor 1 G-AGPF, первого британского гражданский герметичного самолета (20371).</w:t>
      </w:r>
    </w:p>
    <w:p w14:paraId="31ACAB40" w14:textId="77777777" w:rsidR="004533E5" w:rsidRPr="00925F26" w:rsidRDefault="004533E5" w:rsidP="00925F26">
      <w:pPr>
        <w:jc w:val="both"/>
        <w:rPr>
          <w:color w:val="000000" w:themeColor="text1"/>
          <w:sz w:val="16"/>
          <w:szCs w:val="16"/>
        </w:rPr>
      </w:pPr>
    </w:p>
    <w:p w14:paraId="753CACE9" w14:textId="77777777" w:rsidR="0002077A" w:rsidRPr="00925F26" w:rsidRDefault="0002077A"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июня 1945 в Гамбурге английскими солдатами арестован скрывшийся министр иностранных дел Германии И. Риббентроп (4962).</w:t>
      </w:r>
    </w:p>
    <w:p w14:paraId="33C25FF4" w14:textId="77777777" w:rsidR="0002077A" w:rsidRPr="00925F26" w:rsidRDefault="0002077A" w:rsidP="00925F26">
      <w:pPr>
        <w:tabs>
          <w:tab w:val="left" w:pos="11199"/>
        </w:tabs>
        <w:autoSpaceDE w:val="0"/>
        <w:autoSpaceDN w:val="0"/>
        <w:adjustRightInd w:val="0"/>
        <w:jc w:val="both"/>
        <w:rPr>
          <w:color w:val="000000" w:themeColor="text1"/>
          <w:sz w:val="16"/>
          <w:szCs w:val="16"/>
        </w:rPr>
      </w:pPr>
    </w:p>
    <w:p w14:paraId="42E7F07A" w14:textId="77777777" w:rsidR="0002077A" w:rsidRPr="00925F26" w:rsidRDefault="0002077A" w:rsidP="00925F26">
      <w:pPr>
        <w:autoSpaceDE w:val="0"/>
        <w:autoSpaceDN w:val="0"/>
        <w:adjustRightInd w:val="0"/>
        <w:jc w:val="both"/>
        <w:rPr>
          <w:color w:val="000000" w:themeColor="text1"/>
          <w:sz w:val="16"/>
          <w:szCs w:val="16"/>
        </w:rPr>
      </w:pPr>
      <w:r w:rsidRPr="00925F26">
        <w:rPr>
          <w:color w:val="000000" w:themeColor="text1"/>
          <w:sz w:val="16"/>
          <w:szCs w:val="16"/>
        </w:rPr>
        <w:t>14 июня 1945 в Гамбурге был схвачен Иоахим фон Риббентроп и потом попал под Нюрнбергский трибунал (3263,328).</w:t>
      </w:r>
    </w:p>
    <w:p w14:paraId="5701542E" w14:textId="77777777" w:rsidR="0002077A" w:rsidRPr="00925F26" w:rsidRDefault="0002077A" w:rsidP="00925F26">
      <w:pPr>
        <w:autoSpaceDE w:val="0"/>
        <w:autoSpaceDN w:val="0"/>
        <w:adjustRightInd w:val="0"/>
        <w:jc w:val="both"/>
        <w:rPr>
          <w:color w:val="000000" w:themeColor="text1"/>
          <w:sz w:val="16"/>
          <w:szCs w:val="16"/>
        </w:rPr>
      </w:pPr>
    </w:p>
    <w:p w14:paraId="69075D13" w14:textId="77777777" w:rsidR="0002077A" w:rsidRPr="00925F26" w:rsidRDefault="0002077A" w:rsidP="00925F26">
      <w:pPr>
        <w:jc w:val="both"/>
        <w:rPr>
          <w:color w:val="000000" w:themeColor="text1"/>
          <w:sz w:val="16"/>
          <w:szCs w:val="16"/>
        </w:rPr>
      </w:pPr>
      <w:r w:rsidRPr="00925F26">
        <w:rPr>
          <w:bCs/>
          <w:color w:val="000000" w:themeColor="text1"/>
          <w:sz w:val="16"/>
          <w:szCs w:val="16"/>
        </w:rPr>
        <w:t>14 июня</w:t>
      </w:r>
      <w:r w:rsidRPr="00925F26">
        <w:rPr>
          <w:color w:val="000000" w:themeColor="text1"/>
          <w:sz w:val="16"/>
          <w:szCs w:val="16"/>
        </w:rPr>
        <w:t xml:space="preserve"> в 1945 году в Гамбурге схвачен пытавшийся скрыться Иоахим Риббентроп, министр иностранных дел фашистской Германии. Он предстанет перед Нюрнбергским трибуналом в числе главных военных преступников (14922).</w:t>
      </w:r>
    </w:p>
    <w:p w14:paraId="5A8A7F1D" w14:textId="77777777" w:rsidR="0002077A" w:rsidRPr="00925F26" w:rsidRDefault="0002077A" w:rsidP="00925F26">
      <w:pPr>
        <w:jc w:val="both"/>
        <w:rPr>
          <w:color w:val="000000" w:themeColor="text1"/>
          <w:sz w:val="16"/>
          <w:szCs w:val="16"/>
        </w:rPr>
      </w:pPr>
    </w:p>
    <w:p w14:paraId="0E3B53E1" w14:textId="77777777" w:rsidR="0002077A" w:rsidRPr="00925F26" w:rsidRDefault="0002077A" w:rsidP="00925F26">
      <w:pPr>
        <w:jc w:val="both"/>
        <w:rPr>
          <w:color w:val="000000" w:themeColor="text1"/>
          <w:sz w:val="16"/>
          <w:szCs w:val="16"/>
        </w:rPr>
      </w:pPr>
      <w:r w:rsidRPr="00925F26">
        <w:rPr>
          <w:bCs/>
          <w:color w:val="000000" w:themeColor="text1"/>
          <w:sz w:val="16"/>
          <w:szCs w:val="16"/>
        </w:rPr>
        <w:t>14 июня</w:t>
      </w:r>
      <w:r w:rsidRPr="00925F26">
        <w:rPr>
          <w:color w:val="000000" w:themeColor="text1"/>
          <w:sz w:val="16"/>
          <w:szCs w:val="16"/>
        </w:rPr>
        <w:t xml:space="preserve"> в 1945 году У.Черчилль в предвыборной полемике заявил, </w:t>
      </w:r>
      <w:proofErr w:type="gramStart"/>
      <w:r w:rsidRPr="00925F26">
        <w:rPr>
          <w:color w:val="000000" w:themeColor="text1"/>
          <w:sz w:val="16"/>
          <w:szCs w:val="16"/>
        </w:rPr>
        <w:t>что</w:t>
      </w:r>
      <w:proofErr w:type="gramEnd"/>
      <w:r w:rsidRPr="00925F26">
        <w:rPr>
          <w:color w:val="000000" w:themeColor="text1"/>
          <w:sz w:val="16"/>
          <w:szCs w:val="16"/>
        </w:rPr>
        <w:t xml:space="preserve"> если лейбористы получат власть, в Великобритании неизбежно возникнет гестапо (14922).</w:t>
      </w:r>
    </w:p>
    <w:p w14:paraId="150D9823" w14:textId="77777777" w:rsidR="0002077A" w:rsidRPr="00925F26" w:rsidRDefault="0002077A" w:rsidP="00925F26">
      <w:pPr>
        <w:jc w:val="both"/>
        <w:rPr>
          <w:color w:val="000000" w:themeColor="text1"/>
          <w:sz w:val="16"/>
          <w:szCs w:val="16"/>
        </w:rPr>
      </w:pPr>
    </w:p>
    <w:p w14:paraId="45922F70" w14:textId="77777777" w:rsidR="0002077A" w:rsidRPr="00925F26" w:rsidRDefault="0002077A" w:rsidP="00925F26">
      <w:pPr>
        <w:jc w:val="both"/>
        <w:rPr>
          <w:color w:val="000000" w:themeColor="text1"/>
          <w:sz w:val="16"/>
          <w:szCs w:val="16"/>
        </w:rPr>
      </w:pPr>
      <w:r w:rsidRPr="00925F26">
        <w:rPr>
          <w:bCs/>
          <w:color w:val="000000" w:themeColor="text1"/>
          <w:sz w:val="16"/>
          <w:szCs w:val="16"/>
        </w:rPr>
        <w:t>14 июня</w:t>
      </w:r>
      <w:r w:rsidRPr="00925F26">
        <w:rPr>
          <w:color w:val="000000" w:themeColor="text1"/>
          <w:sz w:val="16"/>
          <w:szCs w:val="16"/>
        </w:rPr>
        <w:t xml:space="preserve"> в 1945 году несколько радиостанций различных стран сообщают о том, что Гитлер жив и может скрываться в Испании, Аргентине или Ирландии (14922).</w:t>
      </w:r>
    </w:p>
    <w:p w14:paraId="1432A26C" w14:textId="77777777" w:rsidR="0002077A" w:rsidRPr="00925F26" w:rsidRDefault="0002077A" w:rsidP="00925F26">
      <w:pPr>
        <w:jc w:val="both"/>
        <w:rPr>
          <w:color w:val="000000" w:themeColor="text1"/>
          <w:sz w:val="16"/>
          <w:szCs w:val="16"/>
        </w:rPr>
      </w:pPr>
    </w:p>
    <w:p w14:paraId="758DCEB1" w14:textId="77777777" w:rsidR="0002077A" w:rsidRPr="00925F26" w:rsidRDefault="0002077A" w:rsidP="00925F26">
      <w:pPr>
        <w:jc w:val="both"/>
        <w:rPr>
          <w:color w:val="000000" w:themeColor="text1"/>
          <w:sz w:val="16"/>
          <w:szCs w:val="16"/>
        </w:rPr>
      </w:pPr>
      <w:r w:rsidRPr="00925F26">
        <w:rPr>
          <w:bCs/>
          <w:color w:val="000000" w:themeColor="text1"/>
          <w:sz w:val="16"/>
          <w:szCs w:val="16"/>
        </w:rPr>
        <w:t>14 июня</w:t>
      </w:r>
      <w:r w:rsidRPr="00925F26">
        <w:rPr>
          <w:color w:val="000000" w:themeColor="text1"/>
          <w:sz w:val="16"/>
          <w:szCs w:val="16"/>
        </w:rPr>
        <w:t xml:space="preserve"> в 1945 году началось выселение судетских немцев из Чехословакии (14922).</w:t>
      </w:r>
    </w:p>
    <w:p w14:paraId="5C3F44C0" w14:textId="77777777" w:rsidR="0002077A" w:rsidRPr="00925F26" w:rsidRDefault="0002077A" w:rsidP="00925F26">
      <w:pPr>
        <w:jc w:val="both"/>
        <w:rPr>
          <w:color w:val="000000" w:themeColor="text1"/>
          <w:sz w:val="16"/>
          <w:szCs w:val="16"/>
        </w:rPr>
      </w:pPr>
    </w:p>
    <w:p w14:paraId="023D5BAF" w14:textId="77777777" w:rsidR="0002077A" w:rsidRPr="00925F26" w:rsidRDefault="0002077A" w:rsidP="00925F26">
      <w:pPr>
        <w:jc w:val="both"/>
        <w:rPr>
          <w:color w:val="000000" w:themeColor="text1"/>
          <w:sz w:val="16"/>
          <w:szCs w:val="16"/>
        </w:rPr>
      </w:pPr>
      <w:r w:rsidRPr="00925F26">
        <w:rPr>
          <w:bCs/>
          <w:color w:val="000000" w:themeColor="text1"/>
          <w:sz w:val="16"/>
          <w:szCs w:val="16"/>
        </w:rPr>
        <w:t>14 июня</w:t>
      </w:r>
      <w:r w:rsidRPr="00925F26">
        <w:rPr>
          <w:color w:val="000000" w:themeColor="text1"/>
          <w:sz w:val="16"/>
          <w:szCs w:val="16"/>
        </w:rPr>
        <w:t xml:space="preserve"> в 1945 году (14-15 июня) рейд английских торпедоносцев на острова Трук (14922).</w:t>
      </w:r>
    </w:p>
    <w:p w14:paraId="06F30B90" w14:textId="77777777" w:rsidR="0002077A" w:rsidRPr="00925F26" w:rsidRDefault="0002077A" w:rsidP="00925F26">
      <w:pPr>
        <w:jc w:val="both"/>
        <w:rPr>
          <w:color w:val="000000" w:themeColor="text1"/>
          <w:sz w:val="16"/>
          <w:szCs w:val="16"/>
        </w:rPr>
      </w:pPr>
    </w:p>
    <w:p w14:paraId="350F55A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14 июня 1945 английские войска полностью освободили Бирму от японских фашистов (4962).</w:t>
      </w:r>
    </w:p>
    <w:p w14:paraId="2854C27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6B446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 июня 1945 английские войска освободили Бирму (2100).</w:t>
      </w:r>
    </w:p>
    <w:p w14:paraId="5CF400DF" w14:textId="77777777" w:rsidR="006103B3" w:rsidRPr="00925F26" w:rsidRDefault="006103B3" w:rsidP="00925F26">
      <w:pPr>
        <w:autoSpaceDE w:val="0"/>
        <w:autoSpaceDN w:val="0"/>
        <w:adjustRightInd w:val="0"/>
        <w:jc w:val="both"/>
        <w:rPr>
          <w:color w:val="000000" w:themeColor="text1"/>
          <w:sz w:val="16"/>
          <w:szCs w:val="16"/>
        </w:rPr>
      </w:pPr>
    </w:p>
    <w:p w14:paraId="17D2641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7D56DAEF" w14:textId="77777777" w:rsidR="006103B3" w:rsidRPr="00925F26" w:rsidRDefault="006103B3" w:rsidP="00925F26">
      <w:pPr>
        <w:autoSpaceDE w:val="0"/>
        <w:autoSpaceDN w:val="0"/>
        <w:adjustRightInd w:val="0"/>
        <w:jc w:val="both"/>
        <w:rPr>
          <w:iCs/>
          <w:color w:val="000000" w:themeColor="text1"/>
          <w:sz w:val="16"/>
          <w:szCs w:val="16"/>
        </w:rPr>
      </w:pPr>
    </w:p>
    <w:p w14:paraId="081A0A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июня 1945 г. С.В. Ильюшин направил на имя командующего ВВС главного маршала авиации А.А. Но</w:t>
      </w:r>
      <w:r w:rsidRPr="00925F26">
        <w:rPr>
          <w:color w:val="000000" w:themeColor="text1"/>
          <w:sz w:val="16"/>
          <w:szCs w:val="16"/>
        </w:rPr>
        <w:softHyphen/>
        <w:t>викова письмо, в котором говорилось: «...Считаю необходимым доложить Вам, что самолет Ил-10 является штурмови</w:t>
      </w:r>
      <w:r w:rsidRPr="00925F26">
        <w:rPr>
          <w:color w:val="000000" w:themeColor="text1"/>
          <w:sz w:val="16"/>
          <w:szCs w:val="16"/>
        </w:rPr>
        <w:softHyphen/>
        <w:t>ком, с запасом прочности 8,28 крат и по</w:t>
      </w:r>
      <w:r w:rsidRPr="00925F26">
        <w:rPr>
          <w:color w:val="000000" w:themeColor="text1"/>
          <w:sz w:val="16"/>
          <w:szCs w:val="16"/>
        </w:rPr>
        <w:softHyphen/>
        <w:t>этому он должен эксплуатироваться в частях ВВС КА как штурмовик в соответ</w:t>
      </w:r>
      <w:r w:rsidRPr="00925F26">
        <w:rPr>
          <w:color w:val="000000" w:themeColor="text1"/>
          <w:sz w:val="16"/>
          <w:szCs w:val="16"/>
        </w:rPr>
        <w:softHyphen/>
        <w:t>ствии с существующей инструкцией по боевому применению штурмовиков Ил-2, о чем и прошу дать указание авиацион</w:t>
      </w:r>
      <w:r w:rsidRPr="00925F26">
        <w:rPr>
          <w:color w:val="000000" w:themeColor="text1"/>
          <w:sz w:val="16"/>
          <w:szCs w:val="16"/>
        </w:rPr>
        <w:softHyphen/>
        <w:t>ным частям.</w:t>
      </w:r>
    </w:p>
    <w:p w14:paraId="6A0F888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w:t>
      </w:r>
      <w:r w:rsidRPr="00925F26">
        <w:rPr>
          <w:color w:val="000000" w:themeColor="text1"/>
          <w:sz w:val="16"/>
          <w:szCs w:val="16"/>
        </w:rPr>
        <w:softHyphen/>
        <w:t>лете, то прошу Вас сообщить об этом, чтобы я мог принять соответствующие конструктивные решения по самолету Ил-10».</w:t>
      </w:r>
    </w:p>
    <w:p w14:paraId="70F6CB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 самым Ильюшин в определенной степени возлагал ответственность за поломки крыла на летчиков, якобы де</w:t>
      </w:r>
      <w:r w:rsidRPr="00925F26">
        <w:rPr>
          <w:color w:val="000000" w:themeColor="text1"/>
          <w:sz w:val="16"/>
          <w:szCs w:val="16"/>
        </w:rPr>
        <w:softHyphen/>
        <w:t>лавших с самолетом то, на что он прин</w:t>
      </w:r>
      <w:r w:rsidRPr="00925F26">
        <w:rPr>
          <w:color w:val="000000" w:themeColor="text1"/>
          <w:sz w:val="16"/>
          <w:szCs w:val="16"/>
        </w:rPr>
        <w:softHyphen/>
        <w:t>ципиально был неспособен (например, фигуры высшего пилотажа). Надо ска</w:t>
      </w:r>
      <w:r w:rsidRPr="00925F26">
        <w:rPr>
          <w:color w:val="000000" w:themeColor="text1"/>
          <w:sz w:val="16"/>
          <w:szCs w:val="16"/>
        </w:rPr>
        <w:softHyphen/>
        <w:t>зать, что такая страховка, учитывая тог</w:t>
      </w:r>
      <w:r w:rsidRPr="00925F26">
        <w:rPr>
          <w:color w:val="000000" w:themeColor="text1"/>
          <w:sz w:val="16"/>
          <w:szCs w:val="16"/>
        </w:rPr>
        <w:softHyphen/>
        <w:t>дашнюю обстановку, была вовсе не лишней</w:t>
      </w:r>
      <w:proofErr w:type="gramStart"/>
      <w:r w:rsidRPr="00925F26">
        <w:rPr>
          <w:color w:val="000000" w:themeColor="text1"/>
          <w:sz w:val="16"/>
          <w:szCs w:val="16"/>
        </w:rPr>
        <w:t>...(</w:t>
      </w:r>
      <w:proofErr w:type="gramEnd"/>
      <w:r w:rsidRPr="00925F26">
        <w:rPr>
          <w:color w:val="000000" w:themeColor="text1"/>
          <w:sz w:val="16"/>
          <w:szCs w:val="16"/>
        </w:rPr>
        <w:t>10680).</w:t>
      </w:r>
    </w:p>
    <w:p w14:paraId="46E19A98" w14:textId="77777777" w:rsidR="006103B3" w:rsidRPr="00925F26" w:rsidRDefault="006103B3" w:rsidP="00925F26">
      <w:pPr>
        <w:autoSpaceDE w:val="0"/>
        <w:autoSpaceDN w:val="0"/>
        <w:adjustRightInd w:val="0"/>
        <w:jc w:val="both"/>
        <w:rPr>
          <w:color w:val="000000" w:themeColor="text1"/>
          <w:sz w:val="16"/>
          <w:szCs w:val="16"/>
        </w:rPr>
      </w:pPr>
    </w:p>
    <w:p w14:paraId="3DC15EF2" w14:textId="77777777" w:rsidR="00EA774D" w:rsidRPr="00925F26" w:rsidRDefault="00EA774D" w:rsidP="00925F26">
      <w:pPr>
        <w:jc w:val="both"/>
        <w:rPr>
          <w:color w:val="000000" w:themeColor="text1"/>
          <w:sz w:val="16"/>
          <w:szCs w:val="16"/>
        </w:rPr>
      </w:pPr>
      <w:r w:rsidRPr="00925F26">
        <w:rPr>
          <w:color w:val="000000" w:themeColor="text1"/>
          <w:sz w:val="16"/>
          <w:szCs w:val="16"/>
        </w:rPr>
        <w:t>15 июня 1945 С.В.И. вынужден был сообщить Шахурину:</w:t>
      </w:r>
    </w:p>
    <w:p w14:paraId="3E644494" w14:textId="77777777" w:rsidR="00EA774D" w:rsidRPr="00925F26" w:rsidRDefault="00EA774D" w:rsidP="00925F26">
      <w:pPr>
        <w:jc w:val="both"/>
        <w:rPr>
          <w:color w:val="000000" w:themeColor="text1"/>
          <w:sz w:val="16"/>
          <w:szCs w:val="16"/>
        </w:rPr>
      </w:pPr>
      <w:r w:rsidRPr="00925F26">
        <w:rPr>
          <w:color w:val="000000" w:themeColor="text1"/>
          <w:sz w:val="16"/>
          <w:szCs w:val="16"/>
        </w:rPr>
        <w:t>«Ил-10 вследствие легкого управления и высо</w:t>
      </w:r>
      <w:r w:rsidRPr="00925F26">
        <w:rPr>
          <w:color w:val="000000" w:themeColor="text1"/>
          <w:sz w:val="16"/>
          <w:szCs w:val="16"/>
        </w:rPr>
        <w:softHyphen/>
        <w:t>кой маневренности в частях ВВС КА эксплуатируется с выполнением всех фигур высшего пилотажа.</w:t>
      </w:r>
    </w:p>
    <w:p w14:paraId="27A7B35D" w14:textId="77777777" w:rsidR="00EA774D" w:rsidRPr="00925F26" w:rsidRDefault="00EA774D" w:rsidP="00925F26">
      <w:pPr>
        <w:jc w:val="both"/>
        <w:rPr>
          <w:color w:val="000000" w:themeColor="text1"/>
          <w:sz w:val="16"/>
          <w:szCs w:val="16"/>
        </w:rPr>
      </w:pPr>
      <w:r w:rsidRPr="00925F26">
        <w:rPr>
          <w:color w:val="000000" w:themeColor="text1"/>
          <w:sz w:val="16"/>
          <w:szCs w:val="16"/>
        </w:rPr>
        <w:t>Считаю необходимым доложить Вам, что само</w:t>
      </w:r>
      <w:r w:rsidRPr="00925F26">
        <w:rPr>
          <w:color w:val="000000" w:themeColor="text1"/>
          <w:sz w:val="16"/>
          <w:szCs w:val="16"/>
        </w:rPr>
        <w:softHyphen/>
        <w:t>лет Ил-10 является штурмовиком, с запасом прочно</w:t>
      </w:r>
      <w:r w:rsidRPr="00925F26">
        <w:rPr>
          <w:color w:val="000000" w:themeColor="text1"/>
          <w:sz w:val="16"/>
          <w:szCs w:val="16"/>
        </w:rPr>
        <w:softHyphen/>
        <w:t>сти 8,28 &lt;...&gt; и потому он должен эксплуатироваться в частях ВВС КА как штурмовик в соответствии с су</w:t>
      </w:r>
      <w:r w:rsidRPr="00925F26">
        <w:rPr>
          <w:color w:val="000000" w:themeColor="text1"/>
          <w:sz w:val="16"/>
          <w:szCs w:val="16"/>
        </w:rPr>
        <w:softHyphen/>
        <w:t>ществующей инструкцией по боевому применению штурмовика Ил-2, о чем и прошу дать указания ави</w:t>
      </w:r>
      <w:r w:rsidRPr="00925F26">
        <w:rPr>
          <w:color w:val="000000" w:themeColor="text1"/>
          <w:sz w:val="16"/>
          <w:szCs w:val="16"/>
        </w:rPr>
        <w:softHyphen/>
        <w:t>ационным частям.</w:t>
      </w:r>
    </w:p>
    <w:p w14:paraId="6798C934" w14:textId="77777777" w:rsidR="00EA774D" w:rsidRPr="00925F26" w:rsidRDefault="00EA774D" w:rsidP="00925F26">
      <w:pPr>
        <w:jc w:val="both"/>
        <w:rPr>
          <w:color w:val="000000" w:themeColor="text1"/>
          <w:sz w:val="16"/>
          <w:szCs w:val="16"/>
        </w:rPr>
      </w:pPr>
      <w:r w:rsidRPr="00925F26">
        <w:rPr>
          <w:color w:val="000000" w:themeColor="text1"/>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w:t>
      </w:r>
      <w:r w:rsidRPr="00925F26">
        <w:rPr>
          <w:color w:val="000000" w:themeColor="text1"/>
          <w:sz w:val="16"/>
          <w:szCs w:val="16"/>
        </w:rPr>
        <w:softHyphen/>
        <w:t>лете, то прошу Вас сообщить об этом, чтобы я мог принять соответствующие конструктивные решения по самолету Ил-10» (23188).</w:t>
      </w:r>
    </w:p>
    <w:p w14:paraId="6B6BC899" w14:textId="77777777" w:rsidR="00EA774D" w:rsidRPr="00925F26" w:rsidRDefault="00EA774D" w:rsidP="00925F26">
      <w:pPr>
        <w:jc w:val="both"/>
        <w:rPr>
          <w:color w:val="000000" w:themeColor="text1"/>
          <w:sz w:val="16"/>
          <w:szCs w:val="16"/>
        </w:rPr>
      </w:pPr>
    </w:p>
    <w:p w14:paraId="01232F3B" w14:textId="77777777" w:rsidR="00594339" w:rsidRPr="001A0BAA" w:rsidRDefault="00594339" w:rsidP="00594339">
      <w:pPr>
        <w:jc w:val="both"/>
        <w:rPr>
          <w:color w:val="0070C0"/>
          <w:sz w:val="16"/>
          <w:szCs w:val="16"/>
        </w:rPr>
      </w:pPr>
      <w:r w:rsidRPr="001A0BAA">
        <w:rPr>
          <w:rStyle w:val="aff0"/>
          <w:rFonts w:ascii="Times New Roman" w:hAnsi="Times New Roman" w:cs="Times New Roman"/>
          <w:color w:val="0070C0"/>
          <w:spacing w:val="0"/>
          <w:sz w:val="16"/>
          <w:szCs w:val="16"/>
        </w:rPr>
        <w:t>15 июня 1945 г. массовые случаи выполнения фигур высшего пилотажа на Ил-10 обеспокоили Ильюшина, и он вынужден был сообщить Шахурину:</w:t>
      </w:r>
    </w:p>
    <w:p w14:paraId="3DD78B07" w14:textId="77777777" w:rsidR="00594339" w:rsidRPr="001A0BAA" w:rsidRDefault="00594339" w:rsidP="00594339">
      <w:pPr>
        <w:jc w:val="both"/>
        <w:rPr>
          <w:color w:val="0070C0"/>
          <w:sz w:val="16"/>
          <w:szCs w:val="16"/>
        </w:rPr>
      </w:pPr>
      <w:r w:rsidRPr="001A0BAA">
        <w:rPr>
          <w:rStyle w:val="aff0"/>
          <w:rFonts w:ascii="Times New Roman" w:hAnsi="Times New Roman" w:cs="Times New Roman"/>
          <w:color w:val="0070C0"/>
          <w:spacing w:val="0"/>
          <w:sz w:val="16"/>
          <w:szCs w:val="16"/>
        </w:rPr>
        <w:t>«Ил-10 вследствие легкого управления и высокой манев</w:t>
      </w:r>
      <w:r w:rsidRPr="001A0BAA">
        <w:rPr>
          <w:rStyle w:val="aff0"/>
          <w:rFonts w:ascii="Times New Roman" w:hAnsi="Times New Roman" w:cs="Times New Roman"/>
          <w:color w:val="0070C0"/>
          <w:spacing w:val="0"/>
          <w:sz w:val="16"/>
          <w:szCs w:val="16"/>
        </w:rPr>
        <w:softHyphen/>
        <w:t>ренности в частях ВВС КА эксплуатируется с выполнением всех фигур высшего пилотажа.</w:t>
      </w:r>
    </w:p>
    <w:p w14:paraId="10FD65E9" w14:textId="77777777" w:rsidR="00594339" w:rsidRPr="001A0BAA" w:rsidRDefault="00594339" w:rsidP="00594339">
      <w:pPr>
        <w:jc w:val="both"/>
        <w:rPr>
          <w:color w:val="0070C0"/>
          <w:sz w:val="16"/>
          <w:szCs w:val="16"/>
        </w:rPr>
      </w:pPr>
      <w:r w:rsidRPr="001A0BAA">
        <w:rPr>
          <w:rStyle w:val="aff0"/>
          <w:rFonts w:ascii="Times New Roman" w:hAnsi="Times New Roman" w:cs="Times New Roman"/>
          <w:color w:val="0070C0"/>
          <w:spacing w:val="0"/>
          <w:sz w:val="16"/>
          <w:szCs w:val="16"/>
        </w:rPr>
        <w:t xml:space="preserve">Считаю необходимым доложить Вам, что самолет Ил-10 является штурмовиком, с запасом прочности 8,28 </w:t>
      </w:r>
      <w:proofErr w:type="gramStart"/>
      <w:r w:rsidRPr="001A0BAA">
        <w:rPr>
          <w:rStyle w:val="aff0"/>
          <w:rFonts w:ascii="Times New Roman" w:hAnsi="Times New Roman" w:cs="Times New Roman"/>
          <w:color w:val="0070C0"/>
          <w:spacing w:val="0"/>
          <w:sz w:val="16"/>
          <w:szCs w:val="16"/>
        </w:rPr>
        <w:t>&lt; ...</w:t>
      </w:r>
      <w:proofErr w:type="gramEnd"/>
      <w:r w:rsidRPr="001A0BAA">
        <w:rPr>
          <w:rStyle w:val="aff0"/>
          <w:rFonts w:ascii="Times New Roman" w:hAnsi="Times New Roman" w:cs="Times New Roman"/>
          <w:color w:val="0070C0"/>
          <w:spacing w:val="0"/>
          <w:sz w:val="16"/>
          <w:szCs w:val="16"/>
        </w:rPr>
        <w:t xml:space="preserve"> &gt;, и по</w:t>
      </w:r>
      <w:r w:rsidRPr="001A0BAA">
        <w:rPr>
          <w:rStyle w:val="aff0"/>
          <w:rFonts w:ascii="Times New Roman" w:hAnsi="Times New Roman" w:cs="Times New Roman"/>
          <w:color w:val="0070C0"/>
          <w:spacing w:val="0"/>
          <w:sz w:val="16"/>
          <w:szCs w:val="16"/>
        </w:rPr>
        <w:softHyphen/>
        <w:t>тому он должен эксплуатироваться в частях ВВС КА как штурмовик в соответствии с существующей инструкцией по боевому применению штурмовика Ил-2, о чем и прошу дать указания авиационным частям.</w:t>
      </w:r>
    </w:p>
    <w:p w14:paraId="643B5CD5" w14:textId="77777777" w:rsidR="00594339" w:rsidRPr="001A0BAA" w:rsidRDefault="00594339" w:rsidP="00594339">
      <w:pPr>
        <w:jc w:val="both"/>
        <w:rPr>
          <w:color w:val="0070C0"/>
          <w:sz w:val="16"/>
          <w:szCs w:val="16"/>
        </w:rPr>
      </w:pPr>
      <w:r w:rsidRPr="001A0BAA">
        <w:rPr>
          <w:rStyle w:val="aff0"/>
          <w:rFonts w:ascii="Times New Roman" w:hAnsi="Times New Roman" w:cs="Times New Roman"/>
          <w:color w:val="0070C0"/>
          <w:spacing w:val="0"/>
          <w:sz w:val="16"/>
          <w:szCs w:val="16"/>
        </w:rPr>
        <w:t>Если опыт войны требует изменения инструкции по бое</w:t>
      </w:r>
      <w:r w:rsidRPr="001A0BAA">
        <w:rPr>
          <w:rStyle w:val="aff0"/>
          <w:rFonts w:ascii="Times New Roman" w:hAnsi="Times New Roman" w:cs="Times New Roman"/>
          <w:color w:val="0070C0"/>
          <w:spacing w:val="0"/>
          <w:sz w:val="16"/>
          <w:szCs w:val="16"/>
        </w:rPr>
        <w:softHyphen/>
        <w:t>вому применению штурмовиков Ил и если это изменение ин</w:t>
      </w:r>
      <w:r w:rsidRPr="001A0BAA">
        <w:rPr>
          <w:rStyle w:val="aff0"/>
          <w:rFonts w:ascii="Times New Roman" w:hAnsi="Times New Roman" w:cs="Times New Roman"/>
          <w:color w:val="0070C0"/>
          <w:spacing w:val="0"/>
          <w:sz w:val="16"/>
          <w:szCs w:val="16"/>
        </w:rPr>
        <w:softHyphen/>
        <w:t>струкции требует изменений в самолете, то прошу Вас сообщить об этом, чтобы я мог принять соответствующие кон</w:t>
      </w:r>
      <w:r w:rsidRPr="001A0BAA">
        <w:rPr>
          <w:rStyle w:val="aff0"/>
          <w:rFonts w:ascii="Times New Roman" w:hAnsi="Times New Roman" w:cs="Times New Roman"/>
          <w:color w:val="0070C0"/>
          <w:spacing w:val="0"/>
          <w:sz w:val="16"/>
          <w:szCs w:val="16"/>
        </w:rPr>
        <w:softHyphen/>
        <w:t>структивные решения по самолету Ил-10» (25091).</w:t>
      </w:r>
    </w:p>
    <w:p w14:paraId="54653244" w14:textId="77777777" w:rsidR="00594339" w:rsidRPr="001A0BAA" w:rsidRDefault="00594339" w:rsidP="00594339">
      <w:pPr>
        <w:jc w:val="both"/>
        <w:rPr>
          <w:color w:val="0070C0"/>
          <w:sz w:val="16"/>
          <w:szCs w:val="16"/>
        </w:rPr>
      </w:pPr>
    </w:p>
    <w:p w14:paraId="57F4826C" w14:textId="77777777" w:rsidR="009A64F5" w:rsidRPr="00925F26" w:rsidRDefault="009A64F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15 июня 1945 Ильюшин вместо ответа генералу Лапину (его письмо он переадресовал на завод № 18 своему заместителю Бугайскому) направил на имя командующего ВВС КА главного маршала авиации Новикова письмо, в котором указывал: «Бронированный штурмовик, самолет Ил-10 вследствие легкого управления и высокой маневренности в частях ВВС КА эксплуатируется с выполнением всех фигур высшего пилотажа.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 -2, о чем и прошу дать указание авиационным частям. 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w:t>
      </w:r>
    </w:p>
    <w:p w14:paraId="5A3C54D5" w14:textId="77777777" w:rsidR="009A64F5" w:rsidRPr="00925F26" w:rsidRDefault="009A64F5"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Позиция военных по этому вопросу была проста и вполне надежна. Инструкция по боевому применению Ил-2 ориентирована на его летные данные. Зачем же тогда строить самолет с лучшими летными данными (Ил-10 с АМ-42), чтобы затем эти самые лучшие летные данные не использовать в бою. Кроме того, инструкции по боевому применению нового образца авиационной техники отрабатываются только после того, как становятся известными его фактические летно -боевые и эксплуатационные качества. К тому же пилотаж крутили всего лишь отдельные летчики 108 гшап, а «десятки» «посыпались» во всех полках, и в 118 гшап, и в 571 шап. Положение дел в частях 1 заб также было не лучше, но самолет в бригаде все это время эксплуатировался строго по инструкции (17490).</w:t>
      </w:r>
    </w:p>
    <w:p w14:paraId="578F42EC" w14:textId="77777777" w:rsidR="009A64F5" w:rsidRPr="00925F26" w:rsidRDefault="009A64F5" w:rsidP="00925F26">
      <w:pPr>
        <w:jc w:val="both"/>
        <w:rPr>
          <w:rStyle w:val="107"/>
          <w:rFonts w:eastAsiaTheme="minorHAnsi"/>
          <w:color w:val="000000" w:themeColor="text1"/>
          <w:sz w:val="16"/>
          <w:szCs w:val="16"/>
        </w:rPr>
      </w:pPr>
    </w:p>
    <w:p w14:paraId="2E0745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1945 г. в связи с попытками использовать Ил-10 для воздушного боя "Главный Конструктор самолетов Ил" С.В.Ильюшин направил на имя Главкома ВВС КА А.А.Новикова письмо, в котором писал: "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Ил-2, о чем и прошу дать указание авиационным частям (7489).</w:t>
      </w:r>
    </w:p>
    <w:p w14:paraId="6810A3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 (7489).</w:t>
      </w:r>
    </w:p>
    <w:p w14:paraId="614B18A9" w14:textId="77777777" w:rsidR="006103B3" w:rsidRPr="00925F26" w:rsidRDefault="006103B3" w:rsidP="00925F26">
      <w:pPr>
        <w:autoSpaceDE w:val="0"/>
        <w:autoSpaceDN w:val="0"/>
        <w:adjustRightInd w:val="0"/>
        <w:jc w:val="both"/>
        <w:rPr>
          <w:color w:val="000000" w:themeColor="text1"/>
          <w:sz w:val="16"/>
          <w:szCs w:val="16"/>
        </w:rPr>
      </w:pPr>
    </w:p>
    <w:p w14:paraId="18FDF26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15 июня 1945 с 30 мая, пока первый летный экземпляр готовился к полету, второй построенный Ил-16 находился в ЦИАМ, где исследовались причины появления тряски на самолете, ко</w:t>
      </w:r>
      <w:r w:rsidRPr="00925F26">
        <w:rPr>
          <w:color w:val="000000" w:themeColor="text1"/>
          <w:sz w:val="16"/>
          <w:szCs w:val="16"/>
        </w:rPr>
        <w:softHyphen/>
        <w:t>торые обнаружились еще при первых рулежках и пробежках по аэродрому. Одновременно с Ил-16 (экз. № 2) в институте ис</w:t>
      </w:r>
      <w:r w:rsidRPr="00925F26">
        <w:rPr>
          <w:color w:val="000000" w:themeColor="text1"/>
          <w:sz w:val="16"/>
          <w:szCs w:val="16"/>
        </w:rPr>
        <w:softHyphen/>
        <w:t>следовался и серийный самолет Ил-10 с мотором АМ-42.</w:t>
      </w:r>
    </w:p>
    <w:p w14:paraId="6149E9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Работа проводилась в 14-м отделе, начальником которого был Р.С. Кисаношвили. Непосредственно руководил этими работами старший научный сотрудник В.К. Житомирский. Отчет утвердил начальник ЦИАМ профессор доктор техниче</w:t>
      </w:r>
      <w:r w:rsidRPr="00925F26">
        <w:rPr>
          <w:color w:val="000000" w:themeColor="text1"/>
          <w:sz w:val="16"/>
          <w:szCs w:val="16"/>
        </w:rPr>
        <w:softHyphen/>
        <w:t>ских наук В.И. Поликовский.</w:t>
      </w:r>
    </w:p>
    <w:p w14:paraId="6B97A1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Оказалось, что основной причиной тряски на самолете Ил-16 является резонанс подмоторной рамы под действием 1,0 гармоники крутящего момента мотора АМ-43, наступающий при оборотах 1910 об/мин.</w:t>
      </w:r>
    </w:p>
    <w:p w14:paraId="3324B9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22EBA9A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самолете Ил-10 с АМ-42 также наблюдался резонанс подмоторной рамы, но на более низких оборотах мотора — 1810 об/мин.</w:t>
      </w:r>
    </w:p>
    <w:p w14:paraId="45D73D1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 этом амплитуда колебаний на самолете Ил-10 по абсо</w:t>
      </w:r>
      <w:r w:rsidRPr="00925F26">
        <w:rPr>
          <w:color w:val="000000" w:themeColor="text1"/>
          <w:sz w:val="16"/>
          <w:szCs w:val="16"/>
        </w:rPr>
        <w:softHyphen/>
        <w:t>лютной величине в 1,5 раза была меньше, чем на Ил-16. Это объясняется тем, «что при более высоких оборотах 1,0 гармо</w:t>
      </w:r>
      <w:r w:rsidRPr="00925F26">
        <w:rPr>
          <w:color w:val="000000" w:themeColor="text1"/>
          <w:sz w:val="16"/>
          <w:szCs w:val="16"/>
        </w:rPr>
        <w:softHyphen/>
        <w:t>ника вообще несколько сильнее, и тем, что мотор АМ-43 мощ</w:t>
      </w:r>
      <w:r w:rsidRPr="00925F26">
        <w:rPr>
          <w:color w:val="000000" w:themeColor="text1"/>
          <w:sz w:val="16"/>
          <w:szCs w:val="16"/>
        </w:rPr>
        <w:softHyphen/>
        <w:t>нее АМ-42».</w:t>
      </w:r>
    </w:p>
    <w:p w14:paraId="6D4F46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выводах отчета указывалось, что: «1,0 гармоника сильна на моторе АМ-43 и устранение ее из рабочего диапазона прак</w:t>
      </w:r>
      <w:r w:rsidRPr="00925F26">
        <w:rPr>
          <w:color w:val="000000" w:themeColor="text1"/>
          <w:sz w:val="16"/>
          <w:szCs w:val="16"/>
        </w:rPr>
        <w:softHyphen/>
        <w:t>тически невозможно. Вследствие различия в нагрузке цилинд</w:t>
      </w:r>
      <w:r w:rsidRPr="00925F26">
        <w:rPr>
          <w:color w:val="000000" w:themeColor="text1"/>
          <w:sz w:val="16"/>
          <w:szCs w:val="16"/>
        </w:rPr>
        <w:softHyphen/>
        <w:t>ров 1,0 гармоника на одних моторах может сказываться силь</w:t>
      </w:r>
      <w:r w:rsidRPr="00925F26">
        <w:rPr>
          <w:color w:val="000000" w:themeColor="text1"/>
          <w:sz w:val="16"/>
          <w:szCs w:val="16"/>
        </w:rPr>
        <w:softHyphen/>
        <w:t>нее, чем на других».</w:t>
      </w:r>
    </w:p>
    <w:p w14:paraId="154861C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Для уменьшения тряски на самолете Ил-16 рекомендова</w:t>
      </w:r>
      <w:r w:rsidRPr="00925F26">
        <w:rPr>
          <w:color w:val="000000" w:themeColor="text1"/>
          <w:sz w:val="16"/>
          <w:szCs w:val="16"/>
        </w:rPr>
        <w:softHyphen/>
        <w:t>лось «уменьшить жесткость подвески мотора, чтобы сдвинуть резонанс в область низких оборотов мотора» (11474,532).</w:t>
      </w:r>
    </w:p>
    <w:p w14:paraId="14DC8B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BE376A4"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lastRenderedPageBreak/>
        <w:t>15 июня 1945 начальник ЦИАМ профессор доктор технических наук В.И. Поликовский утвердил Отчет о торсиографировании мотора</w:t>
      </w:r>
      <w:r w:rsidRPr="00925F26">
        <w:rPr>
          <w:rStyle w:val="0pt1"/>
          <w:rFonts w:eastAsia="Calibri"/>
          <w:b w:val="0"/>
          <w:color w:val="000000" w:themeColor="text1"/>
          <w:spacing w:val="0"/>
          <w:sz w:val="16"/>
          <w:szCs w:val="16"/>
        </w:rPr>
        <w:t xml:space="preserve"> М-43 </w:t>
      </w:r>
      <w:r w:rsidRPr="00925F26">
        <w:rPr>
          <w:rFonts w:ascii="Times New Roman" w:hAnsi="Times New Roman" w:cs="Times New Roman"/>
          <w:color w:val="000000" w:themeColor="text1"/>
          <w:sz w:val="16"/>
          <w:szCs w:val="16"/>
        </w:rPr>
        <w:t>зав. №4302 на винте АВ-5Л-18Б диаметром 3,8 м по дрос</w:t>
      </w:r>
      <w:r w:rsidRPr="00925F26">
        <w:rPr>
          <w:rFonts w:ascii="Times New Roman" w:hAnsi="Times New Roman" w:cs="Times New Roman"/>
          <w:color w:val="000000" w:themeColor="text1"/>
          <w:sz w:val="16"/>
          <w:szCs w:val="16"/>
        </w:rPr>
        <w:softHyphen/>
        <w:t>сельной характеристике в диапазоне 700-2450 об/мин и по внешней характе</w:t>
      </w:r>
      <w:r w:rsidRPr="00925F26">
        <w:rPr>
          <w:rFonts w:ascii="Times New Roman" w:hAnsi="Times New Roman" w:cs="Times New Roman"/>
          <w:color w:val="000000" w:themeColor="text1"/>
          <w:sz w:val="16"/>
          <w:szCs w:val="16"/>
        </w:rPr>
        <w:softHyphen/>
        <w:t>ристике - 2300-2800 об/мин., которое до 13 июня 1945 велось в 14-м отделе ЦИАМ, начальником которого был Р.С. Кисаношвили.</w:t>
      </w:r>
    </w:p>
    <w:p w14:paraId="104B7588"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Выяснилось, что «роликовый дем</w:t>
      </w:r>
      <w:r w:rsidRPr="00925F26">
        <w:rPr>
          <w:rFonts w:ascii="Times New Roman" w:hAnsi="Times New Roman" w:cs="Times New Roman"/>
          <w:color w:val="000000" w:themeColor="text1"/>
          <w:sz w:val="16"/>
          <w:szCs w:val="16"/>
        </w:rPr>
        <w:softHyphen/>
        <w:t>пфер в большой шестерне редуктора, настроенный на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гармонику, работа</w:t>
      </w:r>
      <w:r w:rsidRPr="00925F26">
        <w:rPr>
          <w:rFonts w:ascii="Times New Roman" w:hAnsi="Times New Roman" w:cs="Times New Roman"/>
          <w:color w:val="000000" w:themeColor="text1"/>
          <w:sz w:val="16"/>
          <w:szCs w:val="16"/>
        </w:rPr>
        <w:softHyphen/>
        <w:t>ет на моторе М-43 хорошо, обеспечивая смещение резонанса на 3020 об/мин и снижение напряжений при 2600 об/мин от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гармоники до ±110 кг/см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вместо ±500 кг/см</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xml:space="preserve"> в двигателе без демпфе</w:t>
      </w:r>
      <w:r w:rsidRPr="00925F26">
        <w:rPr>
          <w:rFonts w:ascii="Times New Roman" w:hAnsi="Times New Roman" w:cs="Times New Roman"/>
          <w:color w:val="000000" w:themeColor="text1"/>
          <w:sz w:val="16"/>
          <w:szCs w:val="16"/>
        </w:rPr>
        <w:softHyphen/>
        <w:t>ра (в наиболее напряженной шатунной шейке)».</w:t>
      </w:r>
    </w:p>
    <w:p w14:paraId="39E890F0"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то же время «демпфер, настроен</w:t>
      </w:r>
      <w:r w:rsidRPr="00925F26">
        <w:rPr>
          <w:rFonts w:ascii="Times New Roman" w:hAnsi="Times New Roman" w:cs="Times New Roman"/>
          <w:color w:val="000000" w:themeColor="text1"/>
          <w:sz w:val="16"/>
          <w:szCs w:val="16"/>
        </w:rPr>
        <w:softHyphen/>
        <w:t>ный на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порядок, работает не вполне удовлетворительно, вследствие боль</w:t>
      </w:r>
      <w:r w:rsidRPr="00925F26">
        <w:rPr>
          <w:rFonts w:ascii="Times New Roman" w:hAnsi="Times New Roman" w:cs="Times New Roman"/>
          <w:color w:val="000000" w:themeColor="text1"/>
          <w:sz w:val="16"/>
          <w:szCs w:val="16"/>
        </w:rPr>
        <w:softHyphen/>
        <w:t>ших углов колебаний грузов», хотя он и «понизил напряжения на 15% и сделал колебания 4</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925F26">
        <w:rPr>
          <w:rFonts w:ascii="Times New Roman" w:hAnsi="Times New Roman" w:cs="Times New Roman"/>
          <w:color w:val="000000" w:themeColor="text1"/>
          <w:sz w:val="16"/>
          <w:szCs w:val="16"/>
        </w:rPr>
        <w:softHyphen/>
        <w:t>чить достаточно острую настройку всех грузов».</w:t>
      </w:r>
    </w:p>
    <w:p w14:paraId="2A0D1950"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 результатам торсиографирова- ния рекомендовалось «для М-43 приме</w:t>
      </w:r>
      <w:r w:rsidRPr="00925F26">
        <w:rPr>
          <w:rFonts w:ascii="Times New Roman" w:hAnsi="Times New Roman" w:cs="Times New Roman"/>
          <w:color w:val="000000" w:themeColor="text1"/>
          <w:sz w:val="16"/>
          <w:szCs w:val="16"/>
        </w:rPr>
        <w:softHyphen/>
        <w:t>нение испытанных демпферов и однов</w:t>
      </w:r>
      <w:r w:rsidRPr="00925F26">
        <w:rPr>
          <w:rFonts w:ascii="Times New Roman" w:hAnsi="Times New Roman" w:cs="Times New Roman"/>
          <w:color w:val="000000" w:themeColor="text1"/>
          <w:sz w:val="16"/>
          <w:szCs w:val="16"/>
        </w:rPr>
        <w:softHyphen/>
        <w:t>ременно смягчение привода к нагнета</w:t>
      </w:r>
      <w:r w:rsidRPr="00925F26">
        <w:rPr>
          <w:rFonts w:ascii="Times New Roman" w:hAnsi="Times New Roman" w:cs="Times New Roman"/>
          <w:color w:val="000000" w:themeColor="text1"/>
          <w:sz w:val="16"/>
          <w:szCs w:val="16"/>
        </w:rPr>
        <w:softHyphen/>
        <w:t>телю».</w:t>
      </w:r>
    </w:p>
    <w:p w14:paraId="5390C889"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Однако при первых же гонках мото</w:t>
      </w:r>
      <w:r w:rsidRPr="00925F26">
        <w:rPr>
          <w:rFonts w:ascii="Times New Roman" w:hAnsi="Times New Roman" w:cs="Times New Roman"/>
          <w:color w:val="000000" w:themeColor="text1"/>
          <w:sz w:val="16"/>
          <w:szCs w:val="16"/>
        </w:rPr>
        <w:softHyphen/>
        <w:t>ра М-43 с демпферами на первом эк</w:t>
      </w:r>
      <w:r w:rsidRPr="00925F26">
        <w:rPr>
          <w:rFonts w:ascii="Times New Roman" w:hAnsi="Times New Roman" w:cs="Times New Roman"/>
          <w:color w:val="000000" w:themeColor="text1"/>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925F26">
        <w:rPr>
          <w:rFonts w:ascii="Times New Roman" w:hAnsi="Times New Roman" w:cs="Times New Roman"/>
          <w:color w:val="000000" w:themeColor="text1"/>
          <w:sz w:val="16"/>
          <w:szCs w:val="16"/>
        </w:rPr>
        <w:softHyphen/>
        <w:t>ния причин появления тряски.</w:t>
      </w:r>
    </w:p>
    <w:p w14:paraId="746A0BA1"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Оказалось, что основной причиной тряски на самолете Ил-16 является ре</w:t>
      </w:r>
      <w:r w:rsidRPr="00925F26">
        <w:rPr>
          <w:rFonts w:ascii="Times New Roman" w:hAnsi="Times New Roman" w:cs="Times New Roman"/>
          <w:color w:val="000000" w:themeColor="text1"/>
          <w:sz w:val="16"/>
          <w:szCs w:val="16"/>
        </w:rPr>
        <w:softHyphen/>
        <w:t>зонанс подмоторной рамы под дейст</w:t>
      </w:r>
      <w:r w:rsidRPr="00925F26">
        <w:rPr>
          <w:rFonts w:ascii="Times New Roman" w:hAnsi="Times New Roman" w:cs="Times New Roman"/>
          <w:color w:val="000000" w:themeColor="text1"/>
          <w:sz w:val="16"/>
          <w:szCs w:val="16"/>
        </w:rPr>
        <w:softHyphen/>
        <w:t>вием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гармоники крутящего момента мотора АМ-43, наступающий при оборо</w:t>
      </w:r>
      <w:r w:rsidRPr="00925F26">
        <w:rPr>
          <w:rFonts w:ascii="Times New Roman" w:hAnsi="Times New Roman" w:cs="Times New Roman"/>
          <w:color w:val="000000" w:themeColor="text1"/>
          <w:sz w:val="16"/>
          <w:szCs w:val="16"/>
        </w:rPr>
        <w:softHyphen/>
        <w:t>тах 1910 об/мин.</w:t>
      </w:r>
    </w:p>
    <w:p w14:paraId="234D13DB"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резонансе подмоторная рама сильно колебалась из стороны в сторону в горизонтальной плоскости, значитель</w:t>
      </w:r>
      <w:r w:rsidRPr="00925F26">
        <w:rPr>
          <w:rFonts w:ascii="Times New Roman" w:hAnsi="Times New Roman" w:cs="Times New Roman"/>
          <w:color w:val="000000" w:themeColor="text1"/>
          <w:sz w:val="16"/>
          <w:szCs w:val="16"/>
        </w:rPr>
        <w:softHyphen/>
        <w:t>но слабее в продольном направлении и совсем незначительно - в вертикальной плоскости.</w:t>
      </w:r>
    </w:p>
    <w:p w14:paraId="5EFF6F7B"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На самолете Ил-10 с АМ-42 также наблюдался резонанс подмоторной рамы, но на более низких оборотах мо</w:t>
      </w:r>
      <w:r w:rsidRPr="00925F26">
        <w:rPr>
          <w:rFonts w:ascii="Times New Roman" w:hAnsi="Times New Roman" w:cs="Times New Roman"/>
          <w:color w:val="000000" w:themeColor="text1"/>
          <w:sz w:val="16"/>
          <w:szCs w:val="16"/>
        </w:rPr>
        <w:softHyphen/>
        <w:t>тора- 1810 об/мин.</w:t>
      </w:r>
    </w:p>
    <w:p w14:paraId="0864A0FF"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этом амплитуда колебаний на самолете Ил-10 по абсолютной вели</w:t>
      </w:r>
      <w:r w:rsidRPr="00925F26">
        <w:rPr>
          <w:rFonts w:ascii="Times New Roman" w:hAnsi="Times New Roman" w:cs="Times New Roman"/>
          <w:color w:val="000000" w:themeColor="text1"/>
          <w:sz w:val="16"/>
          <w:szCs w:val="16"/>
        </w:rPr>
        <w:softHyphen/>
        <w:t>чине в 1,5 раза была меньше, чем на Ил-16. Это объяснялось тем, «что при более высоких оборотах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гармоника вообще несколько сильнее и тем, что мотор АМ-43 мощнее АМ-42».</w:t>
      </w:r>
    </w:p>
    <w:p w14:paraId="17810BE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 выводах отчета указывалось, что: «1</w:t>
      </w:r>
      <w:r w:rsidRPr="00925F26">
        <w:rPr>
          <w:rFonts w:ascii="Times New Roman" w:hAnsi="Times New Roman" w:cs="Times New Roman"/>
          <w:color w:val="000000" w:themeColor="text1"/>
          <w:sz w:val="16"/>
          <w:szCs w:val="16"/>
          <w:vertAlign w:val="superscript"/>
        </w:rPr>
        <w:t>1/2</w:t>
      </w:r>
      <w:r w:rsidRPr="00925F26">
        <w:rPr>
          <w:rFonts w:ascii="Times New Roman" w:hAnsi="Times New Roman" w:cs="Times New Roman"/>
          <w:color w:val="000000" w:themeColor="text1"/>
          <w:sz w:val="16"/>
          <w:szCs w:val="16"/>
        </w:rPr>
        <w:t xml:space="preserve"> гармоника сильна на моторе АМ-43 и устранение ее из рабочего диапазона практически невозможно. Вследствие различия в нагрузке цилиндров 1</w:t>
      </w:r>
      <w:r w:rsidRPr="00925F26">
        <w:rPr>
          <w:rFonts w:ascii="Times New Roman" w:hAnsi="Times New Roman" w:cs="Times New Roman"/>
          <w:color w:val="000000" w:themeColor="text1"/>
          <w:sz w:val="16"/>
          <w:szCs w:val="16"/>
          <w:vertAlign w:val="superscript"/>
        </w:rPr>
        <w:t>1</w:t>
      </w:r>
      <w:r w:rsidRPr="00925F26">
        <w:rPr>
          <w:rFonts w:ascii="Times New Roman" w:hAnsi="Times New Roman" w:cs="Times New Roman"/>
          <w:color w:val="000000" w:themeColor="text1"/>
          <w:sz w:val="16"/>
          <w:szCs w:val="16"/>
        </w:rPr>
        <w:t>'</w:t>
      </w:r>
      <w:r w:rsidRPr="00925F26">
        <w:rPr>
          <w:rFonts w:ascii="Times New Roman" w:hAnsi="Times New Roman" w:cs="Times New Roman"/>
          <w:color w:val="000000" w:themeColor="text1"/>
          <w:sz w:val="16"/>
          <w:szCs w:val="16"/>
          <w:vertAlign w:val="superscript"/>
        </w:rPr>
        <w:t>2</w:t>
      </w:r>
      <w:r w:rsidRPr="00925F26">
        <w:rPr>
          <w:rFonts w:ascii="Times New Roman" w:hAnsi="Times New Roman" w:cs="Times New Roman"/>
          <w:color w:val="000000" w:themeColor="text1"/>
          <w:sz w:val="16"/>
          <w:szCs w:val="16"/>
        </w:rPr>
        <w:t xml:space="preserve"> гар</w:t>
      </w:r>
      <w:r w:rsidRPr="00925F26">
        <w:rPr>
          <w:rFonts w:ascii="Times New Roman" w:hAnsi="Times New Roman" w:cs="Times New Roman"/>
          <w:color w:val="000000" w:themeColor="text1"/>
          <w:sz w:val="16"/>
          <w:szCs w:val="16"/>
        </w:rPr>
        <w:softHyphen/>
        <w:t>моника на одних моторах может сказы</w:t>
      </w:r>
      <w:r w:rsidRPr="00925F26">
        <w:rPr>
          <w:rFonts w:ascii="Times New Roman" w:hAnsi="Times New Roman" w:cs="Times New Roman"/>
          <w:color w:val="000000" w:themeColor="text1"/>
          <w:sz w:val="16"/>
          <w:szCs w:val="16"/>
        </w:rPr>
        <w:softHyphen/>
        <w:t>ваться сильнее, чем на других».</w:t>
      </w:r>
    </w:p>
    <w:p w14:paraId="4CB2C91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Для уменьшения тряски на само</w:t>
      </w:r>
      <w:r w:rsidRPr="00925F26">
        <w:rPr>
          <w:rFonts w:ascii="Times New Roman" w:hAnsi="Times New Roman" w:cs="Times New Roman"/>
          <w:color w:val="000000" w:themeColor="text1"/>
          <w:sz w:val="16"/>
          <w:szCs w:val="16"/>
        </w:rPr>
        <w:softHyphen/>
        <w:t>лете Ил-16 рекомендовалось «умень</w:t>
      </w:r>
      <w:r w:rsidRPr="00925F26">
        <w:rPr>
          <w:rFonts w:ascii="Times New Roman" w:hAnsi="Times New Roman" w:cs="Times New Roman"/>
          <w:color w:val="000000" w:themeColor="text1"/>
          <w:sz w:val="16"/>
          <w:szCs w:val="16"/>
        </w:rPr>
        <w:softHyphen/>
        <w:t>шить жесткость подвески мотора, что</w:t>
      </w:r>
      <w:r w:rsidRPr="00925F26">
        <w:rPr>
          <w:rFonts w:ascii="Times New Roman" w:hAnsi="Times New Roman" w:cs="Times New Roman"/>
          <w:color w:val="000000" w:themeColor="text1"/>
          <w:sz w:val="16"/>
          <w:szCs w:val="16"/>
        </w:rPr>
        <w:softHyphen/>
        <w:t>бы сдвинуть резонанс в область низких оборотов мотора».Непо</w:t>
      </w:r>
      <w:r w:rsidRPr="00925F26">
        <w:rPr>
          <w:rFonts w:ascii="Times New Roman" w:hAnsi="Times New Roman" w:cs="Times New Roman"/>
          <w:color w:val="000000" w:themeColor="text1"/>
          <w:sz w:val="16"/>
          <w:szCs w:val="16"/>
        </w:rPr>
        <w:softHyphen/>
        <w:t>средственным руководителем был стар</w:t>
      </w:r>
      <w:r w:rsidRPr="00925F26">
        <w:rPr>
          <w:rFonts w:ascii="Times New Roman" w:hAnsi="Times New Roman" w:cs="Times New Roman"/>
          <w:color w:val="000000" w:themeColor="text1"/>
          <w:sz w:val="16"/>
          <w:szCs w:val="16"/>
        </w:rPr>
        <w:softHyphen/>
        <w:t>ший научный сотрудник В.К. Житомир</w:t>
      </w:r>
      <w:r w:rsidRPr="00925F26">
        <w:rPr>
          <w:rFonts w:ascii="Times New Roman" w:hAnsi="Times New Roman" w:cs="Times New Roman"/>
          <w:color w:val="000000" w:themeColor="text1"/>
          <w:sz w:val="16"/>
          <w:szCs w:val="16"/>
        </w:rPr>
        <w:softHyphen/>
        <w:t>ский. Отчет утвердил начальник ЦИАМ профессор доктор технических наук В.И. Поликовский 15 июня (17469).</w:t>
      </w:r>
    </w:p>
    <w:p w14:paraId="01D9D406"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CA79B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15 июня 1945 заводские испытания Су-5, которые проходили с 6 апреля 1945 г. на Тушинском аэродроме, прекратились из-за аварии дви</w:t>
      </w:r>
      <w:r w:rsidRPr="00925F26">
        <w:rPr>
          <w:color w:val="000000" w:themeColor="text1"/>
          <w:sz w:val="16"/>
          <w:szCs w:val="16"/>
        </w:rPr>
        <w:softHyphen/>
        <w:t>гателя ВК-107А. К этому моменту были выполнены 23 полета с общим нале</w:t>
      </w:r>
      <w:r w:rsidRPr="00925F26">
        <w:rPr>
          <w:color w:val="000000" w:themeColor="text1"/>
          <w:sz w:val="16"/>
          <w:szCs w:val="16"/>
        </w:rPr>
        <w:softHyphen/>
        <w:t>том 8 ч. 50 мин. По их результатам составили отчет, в котором указыва</w:t>
      </w:r>
      <w:r w:rsidRPr="00925F26">
        <w:rPr>
          <w:color w:val="000000" w:themeColor="text1"/>
          <w:sz w:val="16"/>
          <w:szCs w:val="16"/>
        </w:rPr>
        <w:softHyphen/>
        <w:t>лось:</w:t>
      </w:r>
    </w:p>
    <w:p w14:paraId="64F36C3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1. Винтомоторная установка в части питания, смазки и охлаждения работает на всех режимах вполне удов</w:t>
      </w:r>
      <w:r w:rsidRPr="00925F26">
        <w:rPr>
          <w:color w:val="000000" w:themeColor="text1"/>
          <w:sz w:val="16"/>
          <w:szCs w:val="16"/>
        </w:rPr>
        <w:softHyphen/>
        <w:t>летворительно.</w:t>
      </w:r>
    </w:p>
    <w:p w14:paraId="698BFA9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Управляемость и устойчивость самолета на различных скоростях и эволюциях - нормальная.</w:t>
      </w:r>
    </w:p>
    <w:p w14:paraId="3A1A111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При производстве полета на сверхмаксимальную скорость никаких элементов срыва и вибраций не на</w:t>
      </w:r>
      <w:r w:rsidRPr="00925F26">
        <w:rPr>
          <w:color w:val="000000" w:themeColor="text1"/>
          <w:sz w:val="16"/>
          <w:szCs w:val="16"/>
        </w:rPr>
        <w:softHyphen/>
        <w:t>блюдалось.</w:t>
      </w:r>
    </w:p>
    <w:p w14:paraId="150E276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Полученная максимальная ско</w:t>
      </w:r>
      <w:r w:rsidRPr="00925F26">
        <w:rPr>
          <w:color w:val="000000" w:themeColor="text1"/>
          <w:sz w:val="16"/>
          <w:szCs w:val="16"/>
        </w:rPr>
        <w:softHyphen/>
        <w:t>рость на высоте Н=4350 м равна 793 км/ч. При дальнейших полетах подтвердить полученную однажды ско</w:t>
      </w:r>
      <w:r w:rsidRPr="00925F26">
        <w:rPr>
          <w:color w:val="000000" w:themeColor="text1"/>
          <w:sz w:val="16"/>
          <w:szCs w:val="16"/>
        </w:rPr>
        <w:softHyphen/>
        <w:t xml:space="preserve">рость не </w:t>
      </w:r>
      <w:proofErr w:type="gramStart"/>
      <w:r w:rsidRPr="00925F26">
        <w:rPr>
          <w:color w:val="000000" w:themeColor="text1"/>
          <w:sz w:val="16"/>
          <w:szCs w:val="16"/>
        </w:rPr>
        <w:t>удалось..</w:t>
      </w:r>
      <w:proofErr w:type="gramEnd"/>
      <w:r w:rsidRPr="00925F26">
        <w:rPr>
          <w:color w:val="000000" w:themeColor="text1"/>
          <w:sz w:val="16"/>
          <w:szCs w:val="16"/>
        </w:rPr>
        <w:t>/', что объяснялось не-доведенностью ВРДК (10669).</w:t>
      </w:r>
    </w:p>
    <w:p w14:paraId="5B09520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F9DEE88"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15 июня 1945 из-за аварии двигателя ВК-107А испытания были прекращены. К этому моменту были выполнены 23 полета с общим налетом 8 ч. 50 мин.</w:t>
      </w:r>
    </w:p>
    <w:p w14:paraId="38D48C28"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По результатам испытаний был выпущен отчет:</w:t>
      </w:r>
    </w:p>
    <w:p w14:paraId="4D11AF93"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 1. Винтомоторная установка в части питания, смазки и охлаждения работает на всех режимах вполне удовлетво рительно.</w:t>
      </w:r>
    </w:p>
    <w:p w14:paraId="3A897A76"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2. Управляемость и устойчивость самолета на различных скоростях и эволюциях — нормальная.</w:t>
      </w:r>
    </w:p>
    <w:p w14:paraId="472BD576"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3. При производстве полета на сверхмаксимальную ско рость никаких элементов срыва и вибраций не наблюдалось.</w:t>
      </w:r>
    </w:p>
    <w:p w14:paraId="77A8EC7A"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2684F1A4"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5536FB04" w14:textId="77777777" w:rsidR="00230342" w:rsidRPr="00925F26" w:rsidRDefault="00230342" w:rsidP="00925F26">
      <w:pPr>
        <w:pStyle w:val="ae"/>
        <w:shd w:val="clear" w:color="auto" w:fill="FFFFFF"/>
        <w:spacing w:before="0" w:after="0"/>
        <w:jc w:val="both"/>
        <w:rPr>
          <w:color w:val="000000" w:themeColor="text1"/>
          <w:sz w:val="16"/>
          <w:szCs w:val="16"/>
        </w:rPr>
      </w:pPr>
      <w:r w:rsidRPr="00925F26">
        <w:rPr>
          <w:color w:val="000000" w:themeColor="text1"/>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3948AB82" w14:textId="77777777" w:rsidR="00230342" w:rsidRPr="00925F26" w:rsidRDefault="00230342" w:rsidP="00925F26">
      <w:pPr>
        <w:pStyle w:val="ae"/>
        <w:shd w:val="clear" w:color="auto" w:fill="FFFFFF"/>
        <w:spacing w:before="0" w:after="0"/>
        <w:jc w:val="both"/>
        <w:rPr>
          <w:color w:val="000000" w:themeColor="text1"/>
          <w:sz w:val="16"/>
          <w:szCs w:val="16"/>
        </w:rPr>
      </w:pPr>
    </w:p>
    <w:p w14:paraId="0ABC43FC" w14:textId="77777777" w:rsidR="003203B4" w:rsidRPr="00925F26" w:rsidRDefault="003203B4" w:rsidP="00925F26">
      <w:pPr>
        <w:jc w:val="both"/>
        <w:rPr>
          <w:color w:val="000000" w:themeColor="text1"/>
          <w:sz w:val="16"/>
          <w:szCs w:val="16"/>
        </w:rPr>
      </w:pPr>
      <w:r w:rsidRPr="00925F26">
        <w:rPr>
          <w:color w:val="000000" w:themeColor="text1"/>
          <w:sz w:val="16"/>
          <w:szCs w:val="16"/>
        </w:rPr>
        <w:t>15 июня 1945 г. в 23-м полете у Су-5разрушился дви</w:t>
      </w:r>
      <w:r w:rsidRPr="00925F26">
        <w:rPr>
          <w:color w:val="000000" w:themeColor="text1"/>
          <w:sz w:val="16"/>
          <w:szCs w:val="16"/>
        </w:rPr>
        <w:softHyphen/>
        <w:t>гатель ВК-107А. К тому времени была достигнута скорость 793 км/ч на высоте 4350 метров.</w:t>
      </w:r>
    </w:p>
    <w:p w14:paraId="7388CFE5" w14:textId="77777777" w:rsidR="003203B4" w:rsidRPr="00925F26" w:rsidRDefault="003203B4" w:rsidP="00925F26">
      <w:pPr>
        <w:jc w:val="both"/>
        <w:rPr>
          <w:color w:val="000000" w:themeColor="text1"/>
          <w:sz w:val="16"/>
          <w:szCs w:val="16"/>
        </w:rPr>
      </w:pPr>
      <w:r w:rsidRPr="00925F26">
        <w:rPr>
          <w:color w:val="000000" w:themeColor="text1"/>
          <w:sz w:val="16"/>
          <w:szCs w:val="16"/>
        </w:rPr>
        <w:t>В период вынужденного простоя из-за отсутствия двигателя на самолете установи</w:t>
      </w:r>
      <w:r w:rsidRPr="00925F26">
        <w:rPr>
          <w:color w:val="000000" w:themeColor="text1"/>
          <w:sz w:val="16"/>
          <w:szCs w:val="16"/>
        </w:rPr>
        <w:softHyphen/>
        <w:t>ли новое крыло с ламинарным профилем.</w:t>
      </w:r>
    </w:p>
    <w:p w14:paraId="629C6A9E" w14:textId="77777777" w:rsidR="003203B4" w:rsidRPr="00925F26" w:rsidRDefault="003203B4" w:rsidP="00925F26">
      <w:pPr>
        <w:jc w:val="both"/>
        <w:rPr>
          <w:color w:val="000000" w:themeColor="text1"/>
          <w:sz w:val="16"/>
          <w:szCs w:val="16"/>
        </w:rPr>
      </w:pPr>
      <w:r w:rsidRPr="00925F26">
        <w:rPr>
          <w:color w:val="000000" w:themeColor="text1"/>
          <w:sz w:val="16"/>
          <w:szCs w:val="16"/>
        </w:rPr>
        <w:t>В дальнейших полетах подтвердить полученную однажды скорость не удалось из-за недоведенности ВРДК (23462).</w:t>
      </w:r>
    </w:p>
    <w:p w14:paraId="25B314EE" w14:textId="77777777" w:rsidR="003203B4" w:rsidRPr="00925F26" w:rsidRDefault="003203B4" w:rsidP="00925F26">
      <w:pPr>
        <w:jc w:val="both"/>
        <w:rPr>
          <w:color w:val="000000" w:themeColor="text1"/>
          <w:sz w:val="16"/>
          <w:szCs w:val="16"/>
        </w:rPr>
      </w:pPr>
    </w:p>
    <w:p w14:paraId="5A982964" w14:textId="77777777" w:rsidR="00594339" w:rsidRPr="001A0BAA" w:rsidRDefault="00594339" w:rsidP="00594339">
      <w:pPr>
        <w:jc w:val="both"/>
        <w:rPr>
          <w:color w:val="0070C0"/>
          <w:sz w:val="16"/>
          <w:szCs w:val="16"/>
        </w:rPr>
      </w:pPr>
      <w:r w:rsidRPr="001A0BAA">
        <w:rPr>
          <w:color w:val="0070C0"/>
          <w:sz w:val="16"/>
          <w:szCs w:val="16"/>
        </w:rPr>
        <w:t>15 июня 1945 г. из-за аварии двигателя ВК-107А испытания Су-5 были прекращены. К этому моменту с 6 апреля были выполнены 23 полета с общим налетом 8 ч. 50 мин.</w:t>
      </w:r>
    </w:p>
    <w:p w14:paraId="1A78CB0E" w14:textId="77777777" w:rsidR="00594339" w:rsidRPr="001A0BAA" w:rsidRDefault="00594339" w:rsidP="00594339">
      <w:pPr>
        <w:jc w:val="both"/>
        <w:rPr>
          <w:color w:val="0070C0"/>
          <w:sz w:val="16"/>
          <w:szCs w:val="16"/>
        </w:rPr>
      </w:pPr>
      <w:r w:rsidRPr="001A0BAA">
        <w:rPr>
          <w:color w:val="0070C0"/>
          <w:sz w:val="16"/>
          <w:szCs w:val="16"/>
        </w:rPr>
        <w:t>По результатам испытаний был выпущен отчет:</w:t>
      </w:r>
    </w:p>
    <w:p w14:paraId="271296E1" w14:textId="77777777" w:rsidR="00594339" w:rsidRPr="001A0BAA" w:rsidRDefault="00594339" w:rsidP="00594339">
      <w:pPr>
        <w:jc w:val="both"/>
        <w:rPr>
          <w:color w:val="0070C0"/>
          <w:sz w:val="16"/>
          <w:szCs w:val="16"/>
        </w:rPr>
      </w:pPr>
      <w:r w:rsidRPr="001A0BAA">
        <w:rPr>
          <w:color w:val="0070C0"/>
          <w:sz w:val="16"/>
          <w:szCs w:val="16"/>
        </w:rPr>
        <w:t>«... 1. Винтомоторная установка в части питания, смазки и охлаждения работает на всех режимах вполне удовлетво</w:t>
      </w:r>
      <w:r w:rsidRPr="001A0BAA">
        <w:rPr>
          <w:color w:val="0070C0"/>
          <w:sz w:val="16"/>
          <w:szCs w:val="16"/>
        </w:rPr>
        <w:softHyphen/>
        <w:t>рительно.</w:t>
      </w:r>
    </w:p>
    <w:p w14:paraId="0F32F176" w14:textId="77777777" w:rsidR="00594339" w:rsidRPr="001A0BAA" w:rsidRDefault="00594339" w:rsidP="00594339">
      <w:pPr>
        <w:widowControl w:val="0"/>
        <w:tabs>
          <w:tab w:val="left" w:pos="629"/>
        </w:tabs>
        <w:jc w:val="both"/>
        <w:rPr>
          <w:color w:val="0070C0"/>
          <w:sz w:val="16"/>
          <w:szCs w:val="16"/>
        </w:rPr>
      </w:pPr>
      <w:r w:rsidRPr="001A0BAA">
        <w:rPr>
          <w:color w:val="0070C0"/>
          <w:sz w:val="16"/>
          <w:szCs w:val="16"/>
        </w:rPr>
        <w:t>2. Управляемость и устойчивость самолета на различных скоростях и эволюциях — нормальная.</w:t>
      </w:r>
    </w:p>
    <w:p w14:paraId="3065E66E" w14:textId="77777777" w:rsidR="00594339" w:rsidRPr="001A0BAA" w:rsidRDefault="00594339" w:rsidP="00594339">
      <w:pPr>
        <w:widowControl w:val="0"/>
        <w:tabs>
          <w:tab w:val="left" w:pos="630"/>
        </w:tabs>
        <w:jc w:val="both"/>
        <w:rPr>
          <w:color w:val="0070C0"/>
          <w:sz w:val="16"/>
          <w:szCs w:val="16"/>
        </w:rPr>
      </w:pPr>
      <w:r w:rsidRPr="001A0BAA">
        <w:rPr>
          <w:color w:val="0070C0"/>
          <w:sz w:val="16"/>
          <w:szCs w:val="16"/>
        </w:rPr>
        <w:t>3. При производстве полета на сверхмаксимальную ско</w:t>
      </w:r>
      <w:r w:rsidRPr="001A0BAA">
        <w:rPr>
          <w:color w:val="0070C0"/>
          <w:sz w:val="16"/>
          <w:szCs w:val="16"/>
        </w:rPr>
        <w:softHyphen/>
        <w:t>рость никаких элементов срыва и вибраций не наблюдалось.</w:t>
      </w:r>
    </w:p>
    <w:p w14:paraId="5045C408" w14:textId="77777777" w:rsidR="00594339" w:rsidRPr="001A0BAA" w:rsidRDefault="00594339" w:rsidP="00594339">
      <w:pPr>
        <w:widowControl w:val="0"/>
        <w:tabs>
          <w:tab w:val="left" w:pos="634"/>
        </w:tabs>
        <w:jc w:val="both"/>
        <w:rPr>
          <w:color w:val="0070C0"/>
          <w:sz w:val="16"/>
          <w:szCs w:val="16"/>
        </w:rPr>
      </w:pPr>
      <w:r w:rsidRPr="001A0BAA">
        <w:rPr>
          <w:color w:val="0070C0"/>
          <w:sz w:val="16"/>
          <w:szCs w:val="16"/>
        </w:rPr>
        <w:t>4. Полученная максимальная скорость на высоте 4 350 м равна 793 км/ч. При дальнейших полетах подтвердить полу</w:t>
      </w:r>
      <w:r w:rsidRPr="001A0BAA">
        <w:rPr>
          <w:color w:val="0070C0"/>
          <w:sz w:val="16"/>
          <w:szCs w:val="16"/>
        </w:rPr>
        <w:softHyphen/>
        <w:t>ченную однажды скорость не удалось...», что объяснялось недоведенностью ВРДК.</w:t>
      </w:r>
    </w:p>
    <w:p w14:paraId="1F7E37FB" w14:textId="77777777" w:rsidR="00594339" w:rsidRPr="001A0BAA" w:rsidRDefault="00594339" w:rsidP="00594339">
      <w:pPr>
        <w:jc w:val="both"/>
        <w:rPr>
          <w:color w:val="0070C0"/>
          <w:sz w:val="16"/>
          <w:szCs w:val="16"/>
        </w:rPr>
      </w:pPr>
      <w:r w:rsidRPr="001A0BAA">
        <w:rPr>
          <w:color w:val="0070C0"/>
          <w:sz w:val="16"/>
          <w:szCs w:val="16"/>
        </w:rPr>
        <w:t>За время вынужденного простоя из-за отсутствия двигате</w:t>
      </w:r>
      <w:r w:rsidRPr="001A0BAA">
        <w:rPr>
          <w:color w:val="0070C0"/>
          <w:sz w:val="16"/>
          <w:szCs w:val="16"/>
        </w:rPr>
        <w:softHyphen/>
        <w:t>ля на самолете было установлено новое крыло с ламинаризированным профилем ЦАГИ. Кроме этого, в связи с подготовкой к авиационному параду, по распоряжению НКАП, ЛИС завода № 134 была передислоцирована на Центральный аэро</w:t>
      </w:r>
      <w:r w:rsidRPr="001A0BAA">
        <w:rPr>
          <w:color w:val="0070C0"/>
          <w:sz w:val="16"/>
          <w:szCs w:val="16"/>
        </w:rPr>
        <w:softHyphen/>
        <w:t>дром [72] (24920).</w:t>
      </w:r>
    </w:p>
    <w:p w14:paraId="48366031" w14:textId="77777777" w:rsidR="00594339" w:rsidRPr="001A0BAA" w:rsidRDefault="00594339" w:rsidP="00594339">
      <w:pPr>
        <w:jc w:val="both"/>
        <w:rPr>
          <w:color w:val="0070C0"/>
          <w:sz w:val="16"/>
          <w:szCs w:val="16"/>
        </w:rPr>
      </w:pPr>
    </w:p>
    <w:p w14:paraId="691500A1" w14:textId="77777777" w:rsidR="00594339" w:rsidRPr="001A0BAA" w:rsidRDefault="00594339" w:rsidP="00594339">
      <w:pPr>
        <w:jc w:val="both"/>
        <w:rPr>
          <w:color w:val="0070C0"/>
          <w:sz w:val="16"/>
          <w:szCs w:val="16"/>
        </w:rPr>
      </w:pPr>
      <w:r w:rsidRPr="001A0BAA">
        <w:rPr>
          <w:color w:val="0070C0"/>
          <w:sz w:val="16"/>
          <w:szCs w:val="16"/>
        </w:rPr>
        <w:t>15 июня 1945 произошла поломка двигателя Су-5 и испытания вынуждены были прекратить. К этому моменту было выполнено 23 полета с общим налетом в 9 часов. Пока велась подготовка нового двигателя, на истребитель установили другое крыло с измененным профилем. Новый двигатель ВК-107А получили 7 июля, а доработанный компрессор ВРДК — 2 августа. Заводские испытания возобновились 7 августа и продолжались до 18 октября (25240).</w:t>
      </w:r>
    </w:p>
    <w:p w14:paraId="65C60F9B" w14:textId="77777777" w:rsidR="00594339" w:rsidRPr="001A0BAA" w:rsidRDefault="00594339" w:rsidP="00594339">
      <w:pPr>
        <w:jc w:val="both"/>
        <w:rPr>
          <w:color w:val="0070C0"/>
          <w:sz w:val="16"/>
          <w:szCs w:val="16"/>
        </w:rPr>
      </w:pPr>
    </w:p>
    <w:p w14:paraId="33E87903" w14:textId="77777777" w:rsidR="00230342" w:rsidRPr="00925F26" w:rsidRDefault="00230342" w:rsidP="00925F26">
      <w:pPr>
        <w:autoSpaceDE w:val="0"/>
        <w:autoSpaceDN w:val="0"/>
        <w:adjustRightInd w:val="0"/>
        <w:jc w:val="both"/>
        <w:rPr>
          <w:color w:val="000000" w:themeColor="text1"/>
          <w:sz w:val="16"/>
          <w:szCs w:val="16"/>
        </w:rPr>
      </w:pPr>
      <w:r w:rsidRPr="00925F26">
        <w:rPr>
          <w:color w:val="000000" w:themeColor="text1"/>
          <w:sz w:val="16"/>
          <w:szCs w:val="16"/>
        </w:rPr>
        <w:t>С 15 июня по 25 сентября 1945 в ОКБ А.С.Я. дорабатывали Як-3У с АШ-82ФН по результатам гос. испытаний, которые шли с 29 апреля по 9 июня 1945. Установили металлическое крыло взамен деревянного, увеличили вынос шасси на 80 мм и т.п. Машина простояла в цеху 11 месяцев, ее передали в ЛИС, а затем списали. Запускать в серию не стали, так как пошел Як-7 с АШ-21, в серии ставший Як-11 (65,198).</w:t>
      </w:r>
    </w:p>
    <w:p w14:paraId="7877394F" w14:textId="77777777" w:rsidR="00230342" w:rsidRPr="00925F26" w:rsidRDefault="00230342" w:rsidP="00925F26">
      <w:pPr>
        <w:autoSpaceDE w:val="0"/>
        <w:autoSpaceDN w:val="0"/>
        <w:adjustRightInd w:val="0"/>
        <w:jc w:val="both"/>
        <w:rPr>
          <w:color w:val="000000" w:themeColor="text1"/>
          <w:sz w:val="16"/>
          <w:szCs w:val="16"/>
        </w:rPr>
      </w:pPr>
    </w:p>
    <w:p w14:paraId="10DE880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1945 вышел приказ НКАП № 249с:</w:t>
      </w:r>
    </w:p>
    <w:p w14:paraId="441475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целях организации производства специальных керамических изделий для радиолокационных з-в 17 ГУ:</w:t>
      </w:r>
    </w:p>
    <w:p w14:paraId="5FE84DC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Передать 17 ГУ в г. Ленинграде площадку № 2 з-да 273 (б. З-д Каракозова) для организации на этой территории з-да по производству спец. керамических изделий, присвоив ему № 794 (1896, 66).</w:t>
      </w:r>
    </w:p>
    <w:p w14:paraId="6DFD8E75" w14:textId="77777777" w:rsidR="006103B3" w:rsidRPr="00925F26" w:rsidRDefault="006103B3" w:rsidP="00925F26">
      <w:pPr>
        <w:autoSpaceDE w:val="0"/>
        <w:autoSpaceDN w:val="0"/>
        <w:adjustRightInd w:val="0"/>
        <w:jc w:val="both"/>
        <w:rPr>
          <w:color w:val="000000" w:themeColor="text1"/>
          <w:sz w:val="16"/>
          <w:szCs w:val="16"/>
        </w:rPr>
      </w:pPr>
    </w:p>
    <w:p w14:paraId="334F08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1945 года по приказу НКАП за № 249 заводу № 794 МАП, который с 1 июня 1945 года потерял площадку, которая была передана НК среднего машиностроения, была предоставлена новая площадка бывш. завода № 273 (Волковская ул., д. 23), который занимался выпуском лыж и катеров.</w:t>
      </w:r>
    </w:p>
    <w:p w14:paraId="79FE5E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переходом на новую площадку изменился и профиль завода.</w:t>
      </w:r>
    </w:p>
    <w:p w14:paraId="2E6C9C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17C390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 А.П. – с 1 апреля 1945 года</w:t>
      </w:r>
    </w:p>
    <w:p w14:paraId="449167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ОКБ:</w:t>
      </w:r>
    </w:p>
    <w:p w14:paraId="194AFD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Комедатов Ю.Г. – с 3 июня 1946 года по 3 сентября 1950 года</w:t>
      </w:r>
    </w:p>
    <w:p w14:paraId="6CE54A2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Котов А.А. – с 3 сентября 1950 года по 23 сентября 1954 года</w:t>
      </w:r>
    </w:p>
    <w:p w14:paraId="335A43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Зазорин Е.А. – с 23 сентября 1954 года</w:t>
      </w:r>
    </w:p>
    <w:p w14:paraId="28EEEC9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 Петров</w:t>
      </w:r>
    </w:p>
    <w:p w14:paraId="70F759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Ленинград, Волковская ул., д. 27 (9866).</w:t>
      </w:r>
    </w:p>
    <w:p w14:paraId="5C2180F9" w14:textId="77777777" w:rsidR="006103B3" w:rsidRPr="00925F26" w:rsidRDefault="006103B3" w:rsidP="00925F26">
      <w:pPr>
        <w:autoSpaceDE w:val="0"/>
        <w:autoSpaceDN w:val="0"/>
        <w:adjustRightInd w:val="0"/>
        <w:jc w:val="both"/>
        <w:rPr>
          <w:color w:val="000000" w:themeColor="text1"/>
          <w:sz w:val="16"/>
          <w:szCs w:val="16"/>
        </w:rPr>
      </w:pPr>
    </w:p>
    <w:p w14:paraId="0C5DC48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15 июня 1945 г. по приказу № 249с  завод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925F26">
        <w:rPr>
          <w:color w:val="000000" w:themeColor="text1"/>
          <w:sz w:val="16"/>
          <w:szCs w:val="16"/>
          <w:lang w:val="en-US"/>
        </w:rPr>
        <w:t>PJI</w:t>
      </w:r>
      <w:r w:rsidRPr="00925F26">
        <w:rPr>
          <w:color w:val="000000" w:themeColor="text1"/>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04490A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1959 г.- НИР «Прима» (работы по РЛС обеспечения безопасности полета низколетящего бомбардировщика).</w:t>
      </w:r>
    </w:p>
    <w:p w14:paraId="0112244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3006960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07B75DE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МРП № 680 от 20.07.1990 г. было создано ГП «Завод «Радиоприбор», 20.09.1993 г. ГП преобразовано в АООТ, с 12.08.1996 г.- ОАО.</w:t>
      </w:r>
    </w:p>
    <w:p w14:paraId="2099F2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4CEA5B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Производственные площади (2003 г.)- более 60 тыс. м</w:t>
      </w:r>
      <w:r w:rsidRPr="00925F26">
        <w:rPr>
          <w:color w:val="000000" w:themeColor="text1"/>
          <w:sz w:val="16"/>
          <w:szCs w:val="16"/>
          <w:vertAlign w:val="superscript"/>
        </w:rPr>
        <w:t>2</w:t>
      </w:r>
      <w:r w:rsidRPr="00925F26">
        <w:rPr>
          <w:color w:val="000000" w:themeColor="text1"/>
          <w:sz w:val="16"/>
          <w:szCs w:val="16"/>
        </w:rPr>
        <w:t>.</w:t>
      </w:r>
    </w:p>
    <w:p w14:paraId="55D382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w:t>
      </w:r>
      <w:proofErr w:type="gramStart"/>
      <w:r w:rsidRPr="00925F26">
        <w:rPr>
          <w:color w:val="000000" w:themeColor="text1"/>
          <w:sz w:val="16"/>
          <w:szCs w:val="16"/>
        </w:rPr>
        <w:t>2003  г.</w:t>
      </w:r>
      <w:proofErr w:type="gramEnd"/>
      <w:r w:rsidRPr="00925F26">
        <w:rPr>
          <w:color w:val="000000" w:themeColor="text1"/>
          <w:sz w:val="16"/>
          <w:szCs w:val="16"/>
        </w:rPr>
        <w:t>)- около 1000 чел.</w:t>
      </w:r>
    </w:p>
    <w:p w14:paraId="2E5342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(02.1945-57 г.)- А.П. Петров, (1957-63 г.)- А.П. Зубов, (1963-68 г.)- В.Т. Бедняков, (1968-72 г.)- Ю.Т. Машенков, (08,1991-93 г.)- А.О. Бураков. Гендиректор (1993-2007 г.-)- А.О. Бураков.</w:t>
      </w:r>
    </w:p>
    <w:p w14:paraId="4B2CDD6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директора, гендиректора: по производству (-1991 г.)- А.О. Бураков; по коммерческим вопросам (2003 г.)- А.Н. Окунев.</w:t>
      </w:r>
    </w:p>
    <w:p w14:paraId="1335E1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(-1972 г.)- О.Ф. Бураков, (2003 г.)- Б.К. Румянцев.</w:t>
      </w:r>
    </w:p>
    <w:p w14:paraId="151310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гл. инженера- А.О. Бураков.</w:t>
      </w:r>
    </w:p>
    <w:p w14:paraId="177F84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производства (1983 г.-)- А.О. Бураков.</w:t>
      </w:r>
    </w:p>
    <w:p w14:paraId="1217F82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ОМТС (2003 г.)- А.З. Ялышев; ОВКиК (2003 г.)-  Г.В. Кузнецова; кадров (2003 г.)- В.В. Макаров; маркетинга (2003 г.)- Ю.В. Дженчако.</w:t>
      </w:r>
    </w:p>
    <w:p w14:paraId="3C97FE62"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РЛ бомбоприцел «Кобальт-1М, -2М» для Ту-4, -16 (1950-е);</w:t>
      </w:r>
      <w:r w:rsidRPr="00925F26">
        <w:rPr>
          <w:iCs/>
          <w:color w:val="000000" w:themeColor="text1"/>
          <w:sz w:val="16"/>
          <w:szCs w:val="16"/>
          <w:lang w:val="en-US"/>
        </w:rPr>
        <w:t>PJI</w:t>
      </w:r>
      <w:r w:rsidRPr="00925F26">
        <w:rPr>
          <w:iCs/>
          <w:color w:val="000000" w:themeColor="text1"/>
          <w:sz w:val="16"/>
          <w:szCs w:val="16"/>
        </w:rPr>
        <w:t>- дальномеры:</w:t>
      </w:r>
      <w:r w:rsidRPr="00925F26">
        <w:rPr>
          <w:color w:val="000000" w:themeColor="text1"/>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925F26">
        <w:rPr>
          <w:iCs/>
          <w:color w:val="000000" w:themeColor="text1"/>
          <w:sz w:val="16"/>
          <w:szCs w:val="16"/>
        </w:rPr>
        <w:t>); телевизоры:</w:t>
      </w:r>
      <w:r w:rsidRPr="00925F26">
        <w:rPr>
          <w:color w:val="000000" w:themeColor="text1"/>
          <w:sz w:val="16"/>
          <w:szCs w:val="16"/>
        </w:rPr>
        <w:t xml:space="preserve"> «Сигнал» (1963-), «Балтика», «Атлант»;</w:t>
      </w:r>
      <w:r w:rsidRPr="00925F26">
        <w:rPr>
          <w:iCs/>
          <w:color w:val="000000" w:themeColor="text1"/>
          <w:sz w:val="16"/>
          <w:szCs w:val="16"/>
        </w:rPr>
        <w:t xml:space="preserve"> радиоприемники:</w:t>
      </w:r>
      <w:r w:rsidRPr="00925F26">
        <w:rPr>
          <w:color w:val="000000" w:themeColor="text1"/>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925F26">
        <w:rPr>
          <w:color w:val="000000" w:themeColor="text1"/>
          <w:sz w:val="16"/>
          <w:szCs w:val="16"/>
          <w:lang w:val="en-US"/>
        </w:rPr>
        <w:t>l</w:t>
      </w:r>
      <w:r w:rsidRPr="00925F26">
        <w:rPr>
          <w:color w:val="000000" w:themeColor="text1"/>
          <w:sz w:val="16"/>
          <w:szCs w:val="16"/>
        </w:rPr>
        <w:t>-).</w:t>
      </w:r>
    </w:p>
    <w:p w14:paraId="2E06C6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ОКБ-794 МАП, ГКАТ, ГКРЭ /г. Ленинград/</w:t>
      </w:r>
    </w:p>
    <w:p w14:paraId="54E6C4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w:t>
      </w:r>
      <w:r w:rsidRPr="00925F26">
        <w:rPr>
          <w:color w:val="000000" w:themeColor="text1"/>
          <w:sz w:val="16"/>
          <w:szCs w:val="16"/>
          <w:lang w:val="en-US"/>
        </w:rPr>
        <w:t>PJI</w:t>
      </w:r>
      <w:r w:rsidRPr="00925F26">
        <w:rPr>
          <w:color w:val="000000" w:themeColor="text1"/>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925F26">
        <w:rPr>
          <w:color w:val="000000" w:themeColor="text1"/>
          <w:sz w:val="16"/>
          <w:szCs w:val="16"/>
          <w:lang w:val="en-US"/>
        </w:rPr>
        <w:t>PJIC</w:t>
      </w:r>
      <w:r w:rsidRPr="00925F26">
        <w:rPr>
          <w:color w:val="000000" w:themeColor="text1"/>
          <w:sz w:val="16"/>
          <w:szCs w:val="16"/>
        </w:rPr>
        <w:t xml:space="preserve"> «Изумруд», аппаратуры управления К-1 ракетой «КС», радиодальномера СРД-1М.</w:t>
      </w:r>
    </w:p>
    <w:p w14:paraId="33FABB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1950-</w:t>
      </w:r>
      <w:proofErr w:type="gramStart"/>
      <w:r w:rsidRPr="00925F26">
        <w:rPr>
          <w:color w:val="000000" w:themeColor="text1"/>
          <w:sz w:val="16"/>
          <w:szCs w:val="16"/>
        </w:rPr>
        <w:t>х  г.</w:t>
      </w:r>
      <w:proofErr w:type="gramEnd"/>
      <w:r w:rsidRPr="00925F26">
        <w:rPr>
          <w:color w:val="000000" w:themeColor="text1"/>
          <w:sz w:val="16"/>
          <w:szCs w:val="16"/>
        </w:rPr>
        <w:t xml:space="preserve">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34F317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6CD0207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08.1957 г. ОКБ- в ведении 4ГУ ГКАТ. Для концентрации работ по радиоэлектронике в 12.1958 г. ОКБ передано во вновь образованный ГКРЭ.</w:t>
      </w:r>
    </w:p>
    <w:p w14:paraId="077A0E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708786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 (04.1946 г.-)- А.А. Котов.</w:t>
      </w:r>
    </w:p>
    <w:p w14:paraId="1A4BF4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Ю. Г. Комедатов, (-1956-59 г.)- Е. А. Зазорин (затем- руководитель СКБ-3 НИИ-131).</w:t>
      </w:r>
    </w:p>
    <w:p w14:paraId="6EEA78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конструкторы: (1947 г.-)- А.С. Чефранов («Залив»), (1950-е)- Е.А. Зазорин (радиодальномеры, ДИСС), (- 1959 г.)- В.Л. Коблов («Эмблема»).</w:t>
      </w:r>
    </w:p>
    <w:p w14:paraId="340ED2B1"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Создано:</w:t>
      </w:r>
      <w:r w:rsidRPr="00925F26">
        <w:rPr>
          <w:color w:val="000000" w:themeColor="text1"/>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37B5A8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СЛ-П (СЛ-11) при заводе № 794 МАП</w:t>
      </w:r>
    </w:p>
    <w:p w14:paraId="4F07FB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Специальная лаборатория СЛ-П (СЛ-11) создана в 1956 г.</w:t>
      </w:r>
    </w:p>
    <w:p w14:paraId="0055C9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762A29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1959 г. на базе СЛ-П создано СКБ-2 НИИ-131 (11982).</w:t>
      </w:r>
    </w:p>
    <w:p w14:paraId="4A84813C" w14:textId="77777777" w:rsidR="006103B3" w:rsidRPr="00925F26" w:rsidRDefault="006103B3" w:rsidP="00925F26">
      <w:pPr>
        <w:autoSpaceDE w:val="0"/>
        <w:autoSpaceDN w:val="0"/>
        <w:adjustRightInd w:val="0"/>
        <w:jc w:val="both"/>
        <w:rPr>
          <w:color w:val="000000" w:themeColor="text1"/>
          <w:sz w:val="16"/>
          <w:szCs w:val="16"/>
        </w:rPr>
      </w:pPr>
    </w:p>
    <w:p w14:paraId="585EB10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1945 года вышел приказ НКАП № 251сс во исполнение Постановления ГКО № 8934сс от 6 июня 1945 года о сокращении плана производства самолетов и на освобожденных мощностях завода № 99 было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3BAA9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AF5DD1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Завод продолжал ремонт самолетов ЛА-9 до 1951 года.</w:t>
      </w:r>
    </w:p>
    <w:p w14:paraId="753011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Завод, начиная с 1951 года начал серийный выпуск самолета </w:t>
      </w:r>
      <w:proofErr w:type="gramStart"/>
      <w:r w:rsidRPr="00925F26">
        <w:rPr>
          <w:color w:val="000000" w:themeColor="text1"/>
          <w:sz w:val="16"/>
          <w:szCs w:val="16"/>
        </w:rPr>
        <w:t>МИГ-15 с крыльями</w:t>
      </w:r>
      <w:proofErr w:type="gramEnd"/>
      <w:r w:rsidRPr="00925F26">
        <w:rPr>
          <w:color w:val="000000" w:themeColor="text1"/>
          <w:sz w:val="16"/>
          <w:szCs w:val="16"/>
        </w:rPr>
        <w:t xml:space="preserve"> получаемыми с родственных заводов.</w:t>
      </w:r>
    </w:p>
    <w:p w14:paraId="500AFB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Местонахождение – завод расположен в 12 км от Улан-Удэ</w:t>
      </w:r>
    </w:p>
    <w:p w14:paraId="504E58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самолетостроительный завод по выпуску самолетов УТИ МИГ-15 и вертолетов КА-15</w:t>
      </w:r>
    </w:p>
    <w:p w14:paraId="68A4F4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1B49495C" w14:textId="77777777" w:rsidR="006103B3" w:rsidRPr="00925F26" w:rsidRDefault="006103B3" w:rsidP="00925F26">
      <w:pPr>
        <w:autoSpaceDE w:val="0"/>
        <w:autoSpaceDN w:val="0"/>
        <w:adjustRightInd w:val="0"/>
        <w:jc w:val="both"/>
        <w:rPr>
          <w:color w:val="000000" w:themeColor="text1"/>
          <w:sz w:val="16"/>
          <w:szCs w:val="16"/>
        </w:rPr>
      </w:pPr>
    </w:p>
    <w:p w14:paraId="659020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1945 г. приказом НКУП в соответствии с пост. СНК от 10.06.1945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6548D0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57FAD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925F26">
        <w:rPr>
          <w:color w:val="000000" w:themeColor="text1"/>
          <w:sz w:val="16"/>
          <w:szCs w:val="16"/>
          <w:vertAlign w:val="superscript"/>
        </w:rPr>
        <w:t>131</w:t>
      </w:r>
    </w:p>
    <w:p w14:paraId="7E2858D5" w14:textId="77777777" w:rsidR="0002077A" w:rsidRPr="00925F26" w:rsidRDefault="0002077A" w:rsidP="00925F26">
      <w:pPr>
        <w:autoSpaceDE w:val="0"/>
        <w:autoSpaceDN w:val="0"/>
        <w:adjustRightInd w:val="0"/>
        <w:jc w:val="both"/>
        <w:rPr>
          <w:color w:val="000000" w:themeColor="text1"/>
          <w:sz w:val="16"/>
          <w:szCs w:val="16"/>
        </w:rPr>
      </w:pPr>
      <w:r w:rsidRPr="00925F26">
        <w:rPr>
          <w:color w:val="000000" w:themeColor="text1"/>
          <w:sz w:val="16"/>
          <w:szCs w:val="16"/>
        </w:rPr>
        <w:t>НПО «Ленстройробот»</w:t>
      </w:r>
    </w:p>
    <w:p w14:paraId="6CE4D8D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22608F4C" w14:textId="77777777" w:rsidR="0002077A" w:rsidRPr="00925F26" w:rsidRDefault="0002077A" w:rsidP="00925F26">
      <w:pPr>
        <w:autoSpaceDE w:val="0"/>
        <w:autoSpaceDN w:val="0"/>
        <w:adjustRightInd w:val="0"/>
        <w:jc w:val="both"/>
        <w:rPr>
          <w:iCs/>
          <w:color w:val="000000" w:themeColor="text1"/>
          <w:sz w:val="16"/>
          <w:szCs w:val="16"/>
        </w:rPr>
      </w:pPr>
    </w:p>
    <w:p w14:paraId="6D66179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0A32864" w14:textId="77777777" w:rsidR="006103B3" w:rsidRPr="00925F26" w:rsidRDefault="006103B3" w:rsidP="00925F26">
      <w:pPr>
        <w:autoSpaceDE w:val="0"/>
        <w:autoSpaceDN w:val="0"/>
        <w:adjustRightInd w:val="0"/>
        <w:jc w:val="both"/>
        <w:rPr>
          <w:iCs/>
          <w:color w:val="000000" w:themeColor="text1"/>
          <w:sz w:val="16"/>
          <w:szCs w:val="16"/>
        </w:rPr>
      </w:pPr>
    </w:p>
    <w:p w14:paraId="0E512A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1944 года на аэродроме Елизово после налета на Шумшу приземлились первые машины Локхид PV-1 из эскадрильи VВ-135. Сначала сел PV-1 Р. Бона с поврежденным двигателем. Чуть позже И-16 привел к аэродрому самолет летчика Шуэтта, блуждавший в поисках места для посадки. У него были пробиты баки и горючего не хватило бы на обратный путь к острову Атту (3457,123).</w:t>
      </w:r>
    </w:p>
    <w:p w14:paraId="5ADCC245" w14:textId="77777777" w:rsidR="006103B3" w:rsidRPr="00925F26" w:rsidRDefault="006103B3" w:rsidP="00925F26">
      <w:pPr>
        <w:autoSpaceDE w:val="0"/>
        <w:autoSpaceDN w:val="0"/>
        <w:adjustRightInd w:val="0"/>
        <w:jc w:val="both"/>
        <w:rPr>
          <w:color w:val="000000" w:themeColor="text1"/>
          <w:sz w:val="16"/>
          <w:szCs w:val="16"/>
        </w:rPr>
      </w:pPr>
    </w:p>
    <w:p w14:paraId="6215B2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15 июня 1945 вышло распоряжение СНК № 9279-р:</w:t>
      </w:r>
    </w:p>
    <w:p w14:paraId="75685B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Разрешить Нач. Тыла КА т. Хрулеву, Нач. Инженерных войск т. Воробьеву и Нач. Управления снабжения горючим КА т. Кормилицыну передать Наркомтекстилю транспортные ср-ва, интсрумент, тару и проволоку согласно приложению.</w:t>
      </w:r>
    </w:p>
    <w:p w14:paraId="3F7C9D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В.М.М. (7543, 96).</w:t>
      </w:r>
    </w:p>
    <w:p w14:paraId="2AA33354" w14:textId="77777777" w:rsidR="006103B3" w:rsidRPr="00925F26" w:rsidRDefault="006103B3" w:rsidP="00925F26">
      <w:pPr>
        <w:autoSpaceDE w:val="0"/>
        <w:autoSpaceDN w:val="0"/>
        <w:adjustRightInd w:val="0"/>
        <w:jc w:val="both"/>
        <w:rPr>
          <w:color w:val="000000" w:themeColor="text1"/>
          <w:sz w:val="16"/>
          <w:szCs w:val="16"/>
        </w:rPr>
      </w:pPr>
    </w:p>
    <w:p w14:paraId="51F4EB4A" w14:textId="77777777" w:rsidR="0002077A"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BF3648D" w14:textId="77777777" w:rsidR="0002077A" w:rsidRPr="00925F26" w:rsidRDefault="0002077A" w:rsidP="00925F26">
      <w:pPr>
        <w:autoSpaceDE w:val="0"/>
        <w:autoSpaceDN w:val="0"/>
        <w:adjustRightInd w:val="0"/>
        <w:jc w:val="both"/>
        <w:rPr>
          <w:iCs/>
          <w:color w:val="000000" w:themeColor="text1"/>
          <w:sz w:val="16"/>
          <w:szCs w:val="16"/>
        </w:rPr>
      </w:pPr>
    </w:p>
    <w:p w14:paraId="036559EE" w14:textId="77777777" w:rsidR="0002077A" w:rsidRPr="00925F26" w:rsidRDefault="0002077A" w:rsidP="00925F26">
      <w:pPr>
        <w:jc w:val="both"/>
        <w:rPr>
          <w:color w:val="000000" w:themeColor="text1"/>
          <w:sz w:val="16"/>
          <w:szCs w:val="16"/>
        </w:rPr>
      </w:pPr>
      <w:r w:rsidRPr="00925F26">
        <w:rPr>
          <w:bCs/>
          <w:color w:val="000000" w:themeColor="text1"/>
          <w:sz w:val="16"/>
          <w:szCs w:val="16"/>
        </w:rPr>
        <w:t>15 июня</w:t>
      </w:r>
      <w:r w:rsidRPr="00925F26">
        <w:rPr>
          <w:color w:val="000000" w:themeColor="text1"/>
          <w:sz w:val="16"/>
          <w:szCs w:val="16"/>
        </w:rPr>
        <w:t xml:space="preserve"> в 1945 году (15 июня - 2 июля) юбилейная сессия Академии наук СССР, посвященная 220-летию со времени ее основания (14923).</w:t>
      </w:r>
    </w:p>
    <w:p w14:paraId="6237B7BB" w14:textId="77777777" w:rsidR="0002077A" w:rsidRPr="00925F26" w:rsidRDefault="0002077A" w:rsidP="00925F26">
      <w:pPr>
        <w:jc w:val="both"/>
        <w:rPr>
          <w:color w:val="000000" w:themeColor="text1"/>
          <w:sz w:val="16"/>
          <w:szCs w:val="16"/>
        </w:rPr>
      </w:pPr>
    </w:p>
    <w:p w14:paraId="0E906A9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555B450" w14:textId="77777777" w:rsidR="006103B3" w:rsidRPr="00925F26" w:rsidRDefault="006103B3" w:rsidP="00925F26">
      <w:pPr>
        <w:autoSpaceDE w:val="0"/>
        <w:autoSpaceDN w:val="0"/>
        <w:adjustRightInd w:val="0"/>
        <w:jc w:val="both"/>
        <w:rPr>
          <w:iCs/>
          <w:color w:val="000000" w:themeColor="text1"/>
          <w:sz w:val="16"/>
          <w:szCs w:val="16"/>
        </w:rPr>
      </w:pPr>
    </w:p>
    <w:p w14:paraId="53F3474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июня 1945 Венгрия обязалась поставить в СССР товары в возмещение ущерба, нанесенного военными действиями венгров против СССР (4962).</w:t>
      </w:r>
    </w:p>
    <w:p w14:paraId="3701CC4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B059734" w14:textId="77777777" w:rsidR="0002077A" w:rsidRPr="00925F26" w:rsidRDefault="0002077A" w:rsidP="00925F26">
      <w:pPr>
        <w:jc w:val="both"/>
        <w:rPr>
          <w:color w:val="000000" w:themeColor="text1"/>
          <w:sz w:val="16"/>
          <w:szCs w:val="16"/>
        </w:rPr>
      </w:pPr>
      <w:r w:rsidRPr="00925F26">
        <w:rPr>
          <w:bCs/>
          <w:color w:val="000000" w:themeColor="text1"/>
          <w:sz w:val="16"/>
          <w:szCs w:val="16"/>
        </w:rPr>
        <w:t>15 июня</w:t>
      </w:r>
      <w:r w:rsidRPr="00925F26">
        <w:rPr>
          <w:color w:val="000000" w:themeColor="text1"/>
          <w:sz w:val="16"/>
          <w:szCs w:val="16"/>
        </w:rPr>
        <w:t xml:space="preserve"> в 1945 году в Будапеште подписано соглашение между Советским правительством и Временным национальным правительством Венгрии о поставках Венгрией товаров в возмещение убытков, причиненных Советскому Союзу военными действиями и оккупацией советских территорий (14923).</w:t>
      </w:r>
    </w:p>
    <w:p w14:paraId="00868B93" w14:textId="77777777" w:rsidR="0002077A" w:rsidRPr="00925F26" w:rsidRDefault="0002077A" w:rsidP="00925F26">
      <w:pPr>
        <w:jc w:val="both"/>
        <w:rPr>
          <w:color w:val="000000" w:themeColor="text1"/>
          <w:sz w:val="16"/>
          <w:szCs w:val="16"/>
        </w:rPr>
      </w:pPr>
    </w:p>
    <w:p w14:paraId="44A5262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EB6406D" w14:textId="77777777" w:rsidR="006103B3" w:rsidRPr="00925F26" w:rsidRDefault="006103B3" w:rsidP="00925F26">
      <w:pPr>
        <w:autoSpaceDE w:val="0"/>
        <w:autoSpaceDN w:val="0"/>
        <w:adjustRightInd w:val="0"/>
        <w:jc w:val="both"/>
        <w:rPr>
          <w:iCs/>
          <w:color w:val="000000" w:themeColor="text1"/>
          <w:sz w:val="16"/>
          <w:szCs w:val="16"/>
        </w:rPr>
      </w:pPr>
    </w:p>
    <w:p w14:paraId="75BBE97B" w14:textId="67E1F115" w:rsidR="004533E5" w:rsidRPr="001F76AE" w:rsidRDefault="004533E5" w:rsidP="00925F26">
      <w:pPr>
        <w:jc w:val="both"/>
        <w:rPr>
          <w:color w:val="000000" w:themeColor="text1"/>
          <w:sz w:val="16"/>
          <w:szCs w:val="16"/>
          <w:lang w:val="en-US"/>
        </w:rPr>
      </w:pPr>
      <w:r w:rsidRPr="001F76AE">
        <w:rPr>
          <w:color w:val="000000" w:themeColor="text1"/>
          <w:sz w:val="16"/>
          <w:szCs w:val="16"/>
          <w:lang w:val="en-US"/>
        </w:rPr>
        <w:t xml:space="preserve">15 </w:t>
      </w:r>
      <w:r w:rsidRPr="00925F26">
        <w:rPr>
          <w:color w:val="000000" w:themeColor="text1"/>
          <w:sz w:val="16"/>
          <w:szCs w:val="16"/>
        </w:rPr>
        <w:t>июня</w:t>
      </w:r>
      <w:r w:rsidRPr="001F76AE">
        <w:rPr>
          <w:color w:val="000000" w:themeColor="text1"/>
          <w:sz w:val="16"/>
          <w:szCs w:val="16"/>
          <w:lang w:val="en-US"/>
        </w:rPr>
        <w:t xml:space="preserve"> </w:t>
      </w:r>
      <w:proofErr w:type="gramStart"/>
      <w:r w:rsidRPr="001F76AE">
        <w:rPr>
          <w:color w:val="000000" w:themeColor="text1"/>
          <w:sz w:val="16"/>
          <w:szCs w:val="16"/>
          <w:lang w:val="en-US"/>
        </w:rPr>
        <w:t>1945</w:t>
      </w:r>
      <w:r w:rsidR="00997EDF" w:rsidRPr="001F76AE">
        <w:rPr>
          <w:color w:val="000000" w:themeColor="text1"/>
          <w:sz w:val="16"/>
          <w:szCs w:val="16"/>
          <w:lang w:val="en-US"/>
        </w:rPr>
        <w:t xml:space="preserve">  </w:t>
      </w:r>
      <w:r w:rsidRPr="001F76AE">
        <w:rPr>
          <w:color w:val="000000" w:themeColor="text1"/>
          <w:sz w:val="16"/>
          <w:szCs w:val="16"/>
          <w:lang w:val="en-US"/>
        </w:rPr>
        <w:t>-</w:t>
      </w:r>
      <w:proofErr w:type="gramEnd"/>
      <w:r w:rsidRPr="001F76AE">
        <w:rPr>
          <w:color w:val="000000" w:themeColor="text1"/>
          <w:sz w:val="16"/>
          <w:szCs w:val="16"/>
          <w:lang w:val="en-US"/>
        </w:rPr>
        <w:t xml:space="preserve"> </w:t>
      </w:r>
      <w:r w:rsidRPr="00925F26">
        <w:rPr>
          <w:color w:val="000000" w:themeColor="text1"/>
          <w:sz w:val="16"/>
          <w:szCs w:val="16"/>
        </w:rPr>
        <w:t>Первый</w:t>
      </w:r>
      <w:r w:rsidRPr="001F76AE">
        <w:rPr>
          <w:color w:val="000000" w:themeColor="text1"/>
          <w:sz w:val="16"/>
          <w:szCs w:val="16"/>
          <w:lang w:val="en-US"/>
        </w:rPr>
        <w:t xml:space="preserve"> </w:t>
      </w:r>
      <w:r w:rsidRPr="00925F26">
        <w:rPr>
          <w:color w:val="000000" w:themeColor="text1"/>
          <w:sz w:val="16"/>
          <w:szCs w:val="16"/>
        </w:rPr>
        <w:t>полет</w:t>
      </w:r>
      <w:r w:rsidRPr="001F76AE">
        <w:rPr>
          <w:color w:val="000000" w:themeColor="text1"/>
          <w:sz w:val="16"/>
          <w:szCs w:val="16"/>
          <w:lang w:val="en-US"/>
        </w:rPr>
        <w:t xml:space="preserve"> </w:t>
      </w:r>
      <w:r w:rsidRPr="00925F26">
        <w:rPr>
          <w:color w:val="000000" w:themeColor="text1"/>
          <w:sz w:val="16"/>
          <w:szCs w:val="16"/>
          <w:lang w:val="en-US"/>
        </w:rPr>
        <w:t>North</w:t>
      </w:r>
      <w:r w:rsidRPr="001F76AE">
        <w:rPr>
          <w:color w:val="000000" w:themeColor="text1"/>
          <w:sz w:val="16"/>
          <w:szCs w:val="16"/>
          <w:lang w:val="en-US"/>
        </w:rPr>
        <w:t xml:space="preserve"> </w:t>
      </w:r>
      <w:r w:rsidRPr="00925F26">
        <w:rPr>
          <w:color w:val="000000" w:themeColor="text1"/>
          <w:sz w:val="16"/>
          <w:szCs w:val="16"/>
          <w:lang w:val="en-US"/>
        </w:rPr>
        <w:t>American</w:t>
      </w:r>
      <w:r w:rsidRPr="001F76AE">
        <w:rPr>
          <w:color w:val="000000" w:themeColor="text1"/>
          <w:sz w:val="16"/>
          <w:szCs w:val="16"/>
          <w:lang w:val="en-US"/>
        </w:rPr>
        <w:t xml:space="preserve"> </w:t>
      </w:r>
      <w:r w:rsidRPr="00925F26">
        <w:rPr>
          <w:color w:val="000000" w:themeColor="text1"/>
          <w:sz w:val="16"/>
          <w:szCs w:val="16"/>
          <w:lang w:val="en-US"/>
        </w:rPr>
        <w:t>F</w:t>
      </w:r>
      <w:r w:rsidRPr="001F76AE">
        <w:rPr>
          <w:color w:val="000000" w:themeColor="text1"/>
          <w:sz w:val="16"/>
          <w:szCs w:val="16"/>
          <w:lang w:val="en-US"/>
        </w:rPr>
        <w:t xml:space="preserve">-82 </w:t>
      </w:r>
      <w:r w:rsidRPr="00925F26">
        <w:rPr>
          <w:color w:val="000000" w:themeColor="text1"/>
          <w:sz w:val="16"/>
          <w:szCs w:val="16"/>
          <w:lang w:val="en-US"/>
        </w:rPr>
        <w:t>Twin</w:t>
      </w:r>
      <w:r w:rsidRPr="001F76AE">
        <w:rPr>
          <w:color w:val="000000" w:themeColor="text1"/>
          <w:sz w:val="16"/>
          <w:szCs w:val="16"/>
          <w:lang w:val="en-US"/>
        </w:rPr>
        <w:t xml:space="preserve"> </w:t>
      </w:r>
      <w:r w:rsidRPr="00925F26">
        <w:rPr>
          <w:color w:val="000000" w:themeColor="text1"/>
          <w:sz w:val="16"/>
          <w:szCs w:val="16"/>
          <w:lang w:val="en-US"/>
        </w:rPr>
        <w:t>Mustang</w:t>
      </w:r>
      <w:r w:rsidRPr="001F76AE">
        <w:rPr>
          <w:color w:val="000000" w:themeColor="text1"/>
          <w:sz w:val="16"/>
          <w:szCs w:val="16"/>
          <w:lang w:val="en-US"/>
        </w:rPr>
        <w:t xml:space="preserve">, </w:t>
      </w:r>
      <w:r w:rsidRPr="00925F26">
        <w:rPr>
          <w:color w:val="000000" w:themeColor="text1"/>
          <w:sz w:val="16"/>
          <w:szCs w:val="16"/>
          <w:lang w:val="en-US"/>
        </w:rPr>
        <w:t>J</w:t>
      </w:r>
      <w:r w:rsidRPr="001F76AE">
        <w:rPr>
          <w:color w:val="000000" w:themeColor="text1"/>
          <w:sz w:val="16"/>
          <w:szCs w:val="16"/>
          <w:lang w:val="en-US"/>
        </w:rPr>
        <w:t xml:space="preserve">. </w:t>
      </w:r>
      <w:r w:rsidRPr="00925F26">
        <w:rPr>
          <w:color w:val="000000" w:themeColor="text1"/>
          <w:sz w:val="16"/>
          <w:szCs w:val="16"/>
          <w:lang w:val="en-US"/>
        </w:rPr>
        <w:t>E</w:t>
      </w:r>
      <w:r w:rsidRPr="001F76AE">
        <w:rPr>
          <w:color w:val="000000" w:themeColor="text1"/>
          <w:sz w:val="16"/>
          <w:szCs w:val="16"/>
          <w:lang w:val="en-US"/>
        </w:rPr>
        <w:t xml:space="preserve">. </w:t>
      </w:r>
      <w:r w:rsidRPr="00925F26">
        <w:rPr>
          <w:color w:val="000000" w:themeColor="text1"/>
          <w:sz w:val="16"/>
          <w:szCs w:val="16"/>
          <w:lang w:val="en-US"/>
        </w:rPr>
        <w:t>Barton</w:t>
      </w:r>
      <w:r w:rsidRPr="001F76AE">
        <w:rPr>
          <w:color w:val="000000" w:themeColor="text1"/>
          <w:sz w:val="16"/>
          <w:szCs w:val="16"/>
          <w:lang w:val="en-US"/>
        </w:rPr>
        <w:t>.</w:t>
      </w:r>
    </w:p>
    <w:p w14:paraId="44F919A8" w14:textId="77777777" w:rsidR="004533E5" w:rsidRPr="00925F26" w:rsidRDefault="004533E5" w:rsidP="00925F26">
      <w:pPr>
        <w:jc w:val="both"/>
        <w:rPr>
          <w:color w:val="000000" w:themeColor="text1"/>
          <w:sz w:val="16"/>
          <w:szCs w:val="16"/>
        </w:rPr>
      </w:pPr>
      <w:r w:rsidRPr="00925F26">
        <w:rPr>
          <w:color w:val="000000" w:themeColor="text1"/>
          <w:sz w:val="16"/>
          <w:szCs w:val="16"/>
        </w:rPr>
        <w:t>Разработка самолета началась в конце 1943 года, когда многие осознали, что большие расстояния, на которые приходилось летать одноместным истребителям на Tихом океане, накладывают на пилотов очень большую физическую нагрузку. В ходе многих полетов пилоты истребителей проводили в воздухе до восьми часов. После возврата из таких полетов пилоты, зачастую так уставали, что не могли самостоятельно передвигаться.</w:t>
      </w:r>
    </w:p>
    <w:p w14:paraId="235A132E" w14:textId="77777777" w:rsidR="004533E5" w:rsidRPr="00925F26" w:rsidRDefault="004533E5" w:rsidP="00925F26">
      <w:pPr>
        <w:jc w:val="both"/>
        <w:rPr>
          <w:color w:val="000000" w:themeColor="text1"/>
          <w:sz w:val="16"/>
          <w:szCs w:val="16"/>
        </w:rPr>
      </w:pPr>
      <w:r w:rsidRPr="00925F26">
        <w:rPr>
          <w:color w:val="000000" w:themeColor="text1"/>
          <w:sz w:val="16"/>
          <w:szCs w:val="16"/>
        </w:rPr>
        <w:t>Именно в это время родилась идея создания истребителя со вторым местом для второго пилота. Инженеры North American Aviation предложили соединить два фюзеляжа Mustang посредством крыла с постоянной хордой и прямоугольным хвостовым стабилизатором с использованием с другой стороны стандартного крыла. Проект получил обозначение внутри компании NA-120.</w:t>
      </w:r>
    </w:p>
    <w:p w14:paraId="519E9AAF" w14:textId="77777777" w:rsidR="004533E5" w:rsidRPr="00925F26" w:rsidRDefault="004533E5" w:rsidP="00925F26">
      <w:pPr>
        <w:jc w:val="both"/>
        <w:rPr>
          <w:color w:val="000000" w:themeColor="text1"/>
          <w:sz w:val="16"/>
          <w:szCs w:val="16"/>
        </w:rPr>
      </w:pPr>
      <w:r w:rsidRPr="00925F26">
        <w:rPr>
          <w:color w:val="000000" w:themeColor="text1"/>
          <w:sz w:val="16"/>
          <w:szCs w:val="16"/>
        </w:rPr>
        <w:t>Первые Twin Mustang стали поступать в части в ходе 1948 года. Twin Mustang широко применялся в Корее в роли истребителя сопровождения и штурмовика до ноября 1951 года. Однако F-82 всегда играл второстепенную роль по сравнению со своим предшественником - одномоторным F-51. Поскольку к концу 1951 года на вооружение воюющих сторон поступило большое количество реактивных самолетов, конкурировать с которыми Twin Mustang не мог, F-82 перестали применять для боевых вылетов и вскоре сняли с вооружения. Последний Twin Mustang сняли с вооружения в середине 1953 года (22460).</w:t>
      </w:r>
    </w:p>
    <w:p w14:paraId="4CA116A5" w14:textId="77777777" w:rsidR="004533E5" w:rsidRPr="00925F26" w:rsidRDefault="004533E5" w:rsidP="00925F26">
      <w:pPr>
        <w:jc w:val="both"/>
        <w:rPr>
          <w:color w:val="000000" w:themeColor="text1"/>
          <w:sz w:val="16"/>
          <w:szCs w:val="16"/>
        </w:rPr>
      </w:pPr>
    </w:p>
    <w:p w14:paraId="00D25DC2"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июня 1945 в Англии распущен военный парламент, просуществовавший девять с половиной лет (4962).</w:t>
      </w:r>
    </w:p>
    <w:p w14:paraId="21638BE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2FA1D9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15 июня 1945 английскими войсками освобожден индийский политик Дж. Неру (4962).</w:t>
      </w:r>
    </w:p>
    <w:p w14:paraId="504F047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98ACC70" w14:textId="77777777" w:rsidR="001A271A" w:rsidRPr="00925F26" w:rsidRDefault="001A271A" w:rsidP="001A271A">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CD19B9C" w14:textId="77777777" w:rsidR="001A271A" w:rsidRPr="00925F26" w:rsidRDefault="001A271A" w:rsidP="001A271A">
      <w:pPr>
        <w:autoSpaceDE w:val="0"/>
        <w:autoSpaceDN w:val="0"/>
        <w:adjustRightInd w:val="0"/>
        <w:jc w:val="both"/>
        <w:rPr>
          <w:iCs/>
          <w:color w:val="000000" w:themeColor="text1"/>
          <w:sz w:val="16"/>
          <w:szCs w:val="16"/>
        </w:rPr>
      </w:pPr>
    </w:p>
    <w:p w14:paraId="7940BB9A" w14:textId="77777777" w:rsidR="001A271A" w:rsidRPr="001A0BAA" w:rsidRDefault="001A271A" w:rsidP="001A271A">
      <w:pPr>
        <w:jc w:val="both"/>
        <w:rPr>
          <w:color w:val="0070C0"/>
          <w:sz w:val="16"/>
          <w:szCs w:val="16"/>
        </w:rPr>
      </w:pPr>
      <w:r w:rsidRPr="001A0BAA">
        <w:rPr>
          <w:rStyle w:val="aff0"/>
          <w:rFonts w:ascii="Times New Roman" w:hAnsi="Times New Roman" w:cs="Times New Roman"/>
          <w:color w:val="0070C0"/>
          <w:spacing w:val="0"/>
          <w:sz w:val="16"/>
          <w:szCs w:val="16"/>
        </w:rPr>
        <w:t>В середине июня 1945 г. Уполномоченный по подготовке к параду Победы генерал Туркелз вызвал В.Н. Бугайского, бывшего главного конст</w:t>
      </w:r>
      <w:r w:rsidRPr="001A0BAA">
        <w:rPr>
          <w:rStyle w:val="aff0"/>
          <w:rFonts w:ascii="Times New Roman" w:hAnsi="Times New Roman" w:cs="Times New Roman"/>
          <w:color w:val="0070C0"/>
          <w:spacing w:val="0"/>
          <w:sz w:val="16"/>
          <w:szCs w:val="16"/>
        </w:rPr>
        <w:softHyphen/>
        <w:t>руктора завода № 18 и одновременно заместителя С.В. Иль</w:t>
      </w:r>
      <w:r w:rsidRPr="001A0BAA">
        <w:rPr>
          <w:rStyle w:val="aff0"/>
          <w:rFonts w:ascii="Times New Roman" w:hAnsi="Times New Roman" w:cs="Times New Roman"/>
          <w:color w:val="0070C0"/>
          <w:spacing w:val="0"/>
          <w:sz w:val="16"/>
          <w:szCs w:val="16"/>
        </w:rPr>
        <w:softHyphen/>
        <w:t>юшина на командный пункт аэродрома и заявил, что будет докладывать Сталину о невозможности самоле</w:t>
      </w:r>
      <w:r w:rsidRPr="001A0BAA">
        <w:rPr>
          <w:rStyle w:val="aff0"/>
          <w:rFonts w:ascii="Times New Roman" w:hAnsi="Times New Roman" w:cs="Times New Roman"/>
          <w:color w:val="0070C0"/>
          <w:spacing w:val="0"/>
          <w:sz w:val="16"/>
          <w:szCs w:val="16"/>
        </w:rPr>
        <w:softHyphen/>
        <w:t>тов Ил-10 участвовать в параде.</w:t>
      </w:r>
    </w:p>
    <w:p w14:paraId="4369F031" w14:textId="77777777" w:rsidR="001A271A" w:rsidRPr="001A0BAA" w:rsidRDefault="001A271A" w:rsidP="001A271A">
      <w:pPr>
        <w:jc w:val="both"/>
        <w:rPr>
          <w:color w:val="0070C0"/>
          <w:sz w:val="16"/>
          <w:szCs w:val="16"/>
        </w:rPr>
      </w:pPr>
      <w:r w:rsidRPr="001A0BAA">
        <w:rPr>
          <w:rStyle w:val="aff0"/>
          <w:rFonts w:ascii="Times New Roman" w:hAnsi="Times New Roman" w:cs="Times New Roman"/>
          <w:color w:val="0070C0"/>
          <w:spacing w:val="0"/>
          <w:sz w:val="16"/>
          <w:szCs w:val="16"/>
        </w:rPr>
        <w:t>Попросив генерала дать ему еще пару дней, Бугайский собрал кон</w:t>
      </w:r>
      <w:r w:rsidRPr="001A0BAA">
        <w:rPr>
          <w:rStyle w:val="aff0"/>
          <w:rFonts w:ascii="Times New Roman" w:hAnsi="Times New Roman" w:cs="Times New Roman"/>
          <w:color w:val="0070C0"/>
          <w:spacing w:val="0"/>
          <w:sz w:val="16"/>
          <w:szCs w:val="16"/>
        </w:rPr>
        <w:softHyphen/>
        <w:t>структоров и рассказал об обстановке. Не услышав ничего дельного, он почему-то вспомнил про замки подвески авиа</w:t>
      </w:r>
      <w:r w:rsidRPr="001A0BAA">
        <w:rPr>
          <w:rStyle w:val="aff0"/>
          <w:rFonts w:ascii="Times New Roman" w:hAnsi="Times New Roman" w:cs="Times New Roman"/>
          <w:color w:val="0070C0"/>
          <w:spacing w:val="0"/>
          <w:sz w:val="16"/>
          <w:szCs w:val="16"/>
        </w:rPr>
        <w:softHyphen/>
        <w:t>бомб; ему было точно известно - они никогда не отказы</w:t>
      </w:r>
      <w:r w:rsidRPr="001A0BAA">
        <w:rPr>
          <w:rStyle w:val="aff0"/>
          <w:rFonts w:ascii="Times New Roman" w:hAnsi="Times New Roman" w:cs="Times New Roman"/>
          <w:color w:val="0070C0"/>
          <w:spacing w:val="0"/>
          <w:sz w:val="16"/>
          <w:szCs w:val="16"/>
        </w:rPr>
        <w:softHyphen/>
        <w:t>вают.</w:t>
      </w:r>
    </w:p>
    <w:p w14:paraId="52305B58" w14:textId="77777777" w:rsidR="001A271A" w:rsidRPr="001A0BAA" w:rsidRDefault="001A271A" w:rsidP="001A271A">
      <w:pPr>
        <w:jc w:val="both"/>
        <w:rPr>
          <w:color w:val="0070C0"/>
          <w:sz w:val="16"/>
          <w:szCs w:val="16"/>
        </w:rPr>
      </w:pPr>
      <w:r w:rsidRPr="001A0BAA">
        <w:rPr>
          <w:rStyle w:val="aff0"/>
          <w:rFonts w:ascii="Times New Roman" w:hAnsi="Times New Roman" w:cs="Times New Roman"/>
          <w:color w:val="0070C0"/>
          <w:spacing w:val="0"/>
          <w:sz w:val="16"/>
          <w:szCs w:val="16"/>
        </w:rPr>
        <w:t>Сравнивая их, выяснили, что крюк замка шасси при зацеп</w:t>
      </w:r>
      <w:r w:rsidRPr="001A0BAA">
        <w:rPr>
          <w:rStyle w:val="aff0"/>
          <w:rFonts w:ascii="Times New Roman" w:hAnsi="Times New Roman" w:cs="Times New Roman"/>
          <w:color w:val="0070C0"/>
          <w:spacing w:val="0"/>
          <w:sz w:val="16"/>
          <w:szCs w:val="16"/>
        </w:rPr>
        <w:softHyphen/>
        <w:t>лении охватывает более 300 градусов окружности валика скобы на стойке шасси, а у бомбового - почти в два раза меньше, и при его раскрытии отсутствовали дополнитель</w:t>
      </w:r>
      <w:r w:rsidRPr="001A0BAA">
        <w:rPr>
          <w:rStyle w:val="aff0"/>
          <w:rFonts w:ascii="Times New Roman" w:hAnsi="Times New Roman" w:cs="Times New Roman"/>
          <w:color w:val="0070C0"/>
          <w:spacing w:val="0"/>
          <w:sz w:val="16"/>
          <w:szCs w:val="16"/>
        </w:rPr>
        <w:softHyphen/>
        <w:t>ные силы трения.</w:t>
      </w:r>
    </w:p>
    <w:p w14:paraId="242D2D1E" w14:textId="77777777" w:rsidR="001A271A" w:rsidRPr="001A0BAA" w:rsidRDefault="001A271A" w:rsidP="001A271A">
      <w:pPr>
        <w:jc w:val="both"/>
        <w:rPr>
          <w:color w:val="0070C0"/>
          <w:sz w:val="16"/>
          <w:szCs w:val="16"/>
        </w:rPr>
      </w:pPr>
      <w:r w:rsidRPr="001A0BAA">
        <w:rPr>
          <w:rStyle w:val="aff0"/>
          <w:rFonts w:ascii="Times New Roman" w:hAnsi="Times New Roman" w:cs="Times New Roman"/>
          <w:color w:val="0070C0"/>
          <w:spacing w:val="0"/>
          <w:sz w:val="16"/>
          <w:szCs w:val="16"/>
        </w:rPr>
        <w:t>Рабочие срочно доработали замки на всех машинах, уст</w:t>
      </w:r>
      <w:r w:rsidRPr="001A0BAA">
        <w:rPr>
          <w:rStyle w:val="aff0"/>
          <w:rFonts w:ascii="Times New Roman" w:hAnsi="Times New Roman" w:cs="Times New Roman"/>
          <w:color w:val="0070C0"/>
          <w:spacing w:val="0"/>
          <w:sz w:val="16"/>
          <w:szCs w:val="16"/>
        </w:rPr>
        <w:softHyphen/>
        <w:t>ранив дефект, но в параде Победы Ил-10 не участвовали из- за плохой погоды (25091).</w:t>
      </w:r>
    </w:p>
    <w:p w14:paraId="74288BD2" w14:textId="77777777" w:rsidR="001A271A" w:rsidRPr="001A0BAA" w:rsidRDefault="001A271A" w:rsidP="001A271A">
      <w:pPr>
        <w:jc w:val="both"/>
        <w:rPr>
          <w:color w:val="0070C0"/>
          <w:sz w:val="16"/>
          <w:szCs w:val="16"/>
        </w:rPr>
      </w:pPr>
    </w:p>
    <w:p w14:paraId="026A0A35" w14:textId="77777777" w:rsidR="00B9003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91646F5" w14:textId="77777777" w:rsidR="00B90038" w:rsidRPr="00925F26" w:rsidRDefault="00B90038" w:rsidP="00925F26">
      <w:pPr>
        <w:autoSpaceDE w:val="0"/>
        <w:autoSpaceDN w:val="0"/>
        <w:adjustRightInd w:val="0"/>
        <w:jc w:val="both"/>
        <w:rPr>
          <w:iCs/>
          <w:color w:val="000000" w:themeColor="text1"/>
          <w:sz w:val="16"/>
          <w:szCs w:val="16"/>
        </w:rPr>
      </w:pPr>
    </w:p>
    <w:p w14:paraId="26ACE539" w14:textId="77777777" w:rsidR="00230342" w:rsidRPr="00925F26" w:rsidRDefault="00230342" w:rsidP="00925F26">
      <w:pPr>
        <w:jc w:val="both"/>
        <w:rPr>
          <w:color w:val="000000" w:themeColor="text1"/>
          <w:sz w:val="16"/>
          <w:szCs w:val="16"/>
        </w:rPr>
      </w:pPr>
      <w:r w:rsidRPr="00925F26">
        <w:rPr>
          <w:color w:val="000000" w:themeColor="text1"/>
          <w:sz w:val="16"/>
          <w:szCs w:val="16"/>
        </w:rPr>
        <w:t>К середине июня 1945 года, согласно переписке, окончательно собрали «Кировец-2». Далее машина направилась на московский завод №37, а оттуда на НИБТ Полигон. Там самоходная установка ожидала отправки на артиллерийские испытания. Ходовых испытаний НИБТ Полигон не проводил, поскольку на это не было указаний. Тем не менее на полигоне составили краткое описание машины. Испытатели отметили повысившуюся броневую защиту. Нередко в публикациях, посвящённых «Кировцу-2», говорится о том, что специалисты НИБТ Полигона признали боевое отделение тесным, но летом 1945 года оценка оказалась совсем иной:</w:t>
      </w:r>
    </w:p>
    <w:p w14:paraId="51E2795F" w14:textId="77777777" w:rsidR="00230342" w:rsidRPr="00925F26" w:rsidRDefault="00230342" w:rsidP="00925F26">
      <w:pPr>
        <w:jc w:val="both"/>
        <w:rPr>
          <w:color w:val="000000" w:themeColor="text1"/>
          <w:sz w:val="16"/>
          <w:szCs w:val="16"/>
        </w:rPr>
      </w:pPr>
      <w:r w:rsidRPr="00925F26">
        <w:rPr>
          <w:color w:val="000000" w:themeColor="text1"/>
          <w:sz w:val="16"/>
          <w:szCs w:val="16"/>
        </w:rPr>
        <w:t>Ввиду различных согласований артиллерийские испытания «Кировца-2» прошли только осенью 1945 года.</w:t>
      </w:r>
    </w:p>
    <w:p w14:paraId="78571E28" w14:textId="77777777" w:rsidR="00230342" w:rsidRPr="00925F26" w:rsidRDefault="00230342" w:rsidP="00925F26">
      <w:pPr>
        <w:jc w:val="both"/>
        <w:rPr>
          <w:color w:val="000000" w:themeColor="text1"/>
          <w:sz w:val="16"/>
          <w:szCs w:val="16"/>
        </w:rPr>
      </w:pPr>
      <w:r w:rsidRPr="00925F26">
        <w:rPr>
          <w:color w:val="000000" w:themeColor="text1"/>
          <w:sz w:val="16"/>
          <w:szCs w:val="16"/>
        </w:rPr>
        <w:t>Ситуация вокруг «Кировца-2» выглядела несколько комичной ввиду того, что Наркомат вооружений просил отправить машину на Ленинградский артиллерийский научно-исследовательский опытный полигон (АНИОП). Это указание было вполне логичным, поскольку требовалось испытать прежде всего вооружение машины, с которого и началась разработка. В то же время «Кировец-2» продолжал находиться в Кубинке без всякого движения. Даже утверждённая НКВ программа испытаний МЛ-20см и письмо Устинова, датированное концом июля 1945 года, поначалу не особо помогли. В августе на проведение испытаний согласилось руководство ГАУ КА, и «Кировец-2» отправили на АНИОП. Тем не менее ни в августе, ни в сентябре 1945 года никаких испытаний не проводилось. На сей раз виновниками стали представители завода №172, которые на полигон не поехали.</w:t>
      </w:r>
    </w:p>
    <w:p w14:paraId="412CCCE8" w14:textId="77777777" w:rsidR="00230342" w:rsidRPr="00925F26" w:rsidRDefault="00230342" w:rsidP="00925F26">
      <w:pPr>
        <w:jc w:val="both"/>
        <w:rPr>
          <w:color w:val="000000" w:themeColor="text1"/>
          <w:sz w:val="16"/>
          <w:szCs w:val="16"/>
        </w:rPr>
      </w:pPr>
      <w:r w:rsidRPr="00925F26">
        <w:rPr>
          <w:color w:val="000000" w:themeColor="text1"/>
          <w:sz w:val="16"/>
          <w:szCs w:val="16"/>
        </w:rPr>
        <w:t>Наконец, к 24 сентября представители завода прибыли, но лишь для того, чтобы спустя несколько дней уехать, оставив одного конструктора, не имевшего полномочий на проведение испытаний. Таким образом, только за счёт различных проволочек и согласований было потеряно полгода. Обычно такие действия ни к чему хорошему не приводили, и история «Кировца-2» не стала исключением.</w:t>
      </w:r>
    </w:p>
    <w:p w14:paraId="6EBDBB2B" w14:textId="77777777" w:rsidR="00230342" w:rsidRPr="00925F26" w:rsidRDefault="00230342" w:rsidP="00925F26">
      <w:pPr>
        <w:jc w:val="both"/>
        <w:rPr>
          <w:color w:val="000000" w:themeColor="text1"/>
          <w:sz w:val="16"/>
          <w:szCs w:val="16"/>
        </w:rPr>
      </w:pPr>
      <w:r w:rsidRPr="00925F26">
        <w:rPr>
          <w:color w:val="000000" w:themeColor="text1"/>
          <w:sz w:val="16"/>
          <w:szCs w:val="16"/>
        </w:rPr>
        <w:t>По итогам всех согласований и задержек испытания растянулись с 25 сентября по 13 ноября 1945 года. От завода №172 на них прибыли Кузнецов и старший инженер-конструктор Назаров. Всего за это время было произведено 65 выстрелов на полном заряде, и 244 — на усиленном заряде. Стрельба прошла успешно, а иногда случавшиеся проблемы экстракции гильз оказались связаны с их деформацией, не имевшей к орудию никакого отношения. Одной из немногих проблем, на которую указали при испытаниях МЛ-2см, стала необходимость введения лючка в подвижной бронировке для доступа к воздушному вентилю тормоза отката.</w:t>
      </w:r>
    </w:p>
    <w:p w14:paraId="7FC2471F" w14:textId="77777777" w:rsidR="00230342" w:rsidRPr="00925F26" w:rsidRDefault="00230342" w:rsidP="00925F26">
      <w:pPr>
        <w:jc w:val="both"/>
        <w:rPr>
          <w:color w:val="000000" w:themeColor="text1"/>
          <w:sz w:val="16"/>
          <w:szCs w:val="16"/>
        </w:rPr>
      </w:pPr>
      <w:r w:rsidRPr="00925F26">
        <w:rPr>
          <w:color w:val="000000" w:themeColor="text1"/>
          <w:sz w:val="16"/>
          <w:szCs w:val="16"/>
        </w:rPr>
        <w:t>Хвалебных отзывов к орудию оказалось больше. Однозначным плюсом назвали отсутствие дульного тормоза, что снизило демаскировку при стрельбе. Правда, при стрельбе разбило фару, в результате было принято решение поставить её на амортизаторе. Также похвалили спусковой механизм, снабжённый рычажным и электрическим спуском. Высокой оценки удостоился и прицел ТШ-17, более удобный, чем СТ-10. При стрельбе почти не наблюдалось сбиваемости прицела.</w:t>
      </w:r>
    </w:p>
    <w:p w14:paraId="5B2F5CAE" w14:textId="1E2E7C75" w:rsidR="00230342" w:rsidRPr="00925F26" w:rsidRDefault="00230342" w:rsidP="00925F26">
      <w:pPr>
        <w:jc w:val="both"/>
        <w:rPr>
          <w:color w:val="000000" w:themeColor="text1"/>
          <w:sz w:val="16"/>
          <w:szCs w:val="16"/>
        </w:rPr>
      </w:pPr>
      <w:r w:rsidRPr="00925F26">
        <w:rPr>
          <w:color w:val="000000" w:themeColor="text1"/>
          <w:sz w:val="16"/>
          <w:szCs w:val="16"/>
        </w:rPr>
        <w:t>Оценка боевого отделения «Кировца-2» оказалась такой же, как у испытателей НИБТ Полигона. Удобство работы механика-водителя признали более высоким, чем на СУ-152 и ИСУ-152, причём это касалось не только вождения, но и доступа. Ещё более высокой оценки удостоилось место командира. В отличие от</w:t>
      </w:r>
      <w:r w:rsidR="00997EDF" w:rsidRPr="00925F26">
        <w:rPr>
          <w:color w:val="000000" w:themeColor="text1"/>
          <w:sz w:val="16"/>
          <w:szCs w:val="16"/>
        </w:rPr>
        <w:t xml:space="preserve">  </w:t>
      </w:r>
      <w:hyperlink r:id="rId151" w:history="1">
        <w:r w:rsidRPr="00925F26">
          <w:rPr>
            <w:rStyle w:val="a5"/>
            <w:color w:val="000000" w:themeColor="text1"/>
            <w:sz w:val="16"/>
            <w:szCs w:val="16"/>
          </w:rPr>
          <w:t>СУ-152</w:t>
        </w:r>
      </w:hyperlink>
      <w:r w:rsidR="00997EDF" w:rsidRPr="00925F26">
        <w:rPr>
          <w:color w:val="000000" w:themeColor="text1"/>
          <w:sz w:val="16"/>
          <w:szCs w:val="16"/>
        </w:rPr>
        <w:t xml:space="preserve">  </w:t>
      </w:r>
      <w:r w:rsidRPr="00925F26">
        <w:rPr>
          <w:color w:val="000000" w:themeColor="text1"/>
          <w:sz w:val="16"/>
          <w:szCs w:val="16"/>
        </w:rPr>
        <w:t>и ИСУ-152, он сидел по ходу движения машины, а не боком. Существенно выше оказалась обзорность, похвалили и люк, вращавшийся вокруг своей оси. Наводчик также получил более удобное рабочее место.</w:t>
      </w:r>
    </w:p>
    <w:p w14:paraId="4303791F" w14:textId="77777777" w:rsidR="00230342" w:rsidRPr="00925F26" w:rsidRDefault="00230342" w:rsidP="00925F26">
      <w:pPr>
        <w:jc w:val="both"/>
        <w:rPr>
          <w:color w:val="000000" w:themeColor="text1"/>
          <w:sz w:val="16"/>
          <w:szCs w:val="16"/>
        </w:rPr>
      </w:pPr>
      <w:r w:rsidRPr="00925F26">
        <w:rPr>
          <w:color w:val="000000" w:themeColor="text1"/>
          <w:sz w:val="16"/>
          <w:szCs w:val="16"/>
        </w:rPr>
        <w:t>Хуже была ситуация с заряжающими. Комиссия признала, что из 20 снарядов удобно заряжать 12, находящихся на левом борту. До остальных было добираться сложнее, впрочем, аналогичные проблемы имелись и у ИСУ-152. С точки зрения заряжающего наклонные борта рубки признали плохой идеей, поскольку уменьшался боекомплект. Комиссия предлагала от рациональных углов наклона отказаться. Наименее удобными оказались условия работы замкового (впрочем, стоит отметить, что у ИСУ-152 наблюдались похожие трудности).</w:t>
      </w:r>
    </w:p>
    <w:p w14:paraId="774A620A" w14:textId="77777777" w:rsidR="00230342" w:rsidRPr="00925F26" w:rsidRDefault="00230342" w:rsidP="00925F26">
      <w:pPr>
        <w:jc w:val="both"/>
        <w:rPr>
          <w:color w:val="000000" w:themeColor="text1"/>
          <w:sz w:val="16"/>
          <w:szCs w:val="16"/>
        </w:rPr>
      </w:pPr>
      <w:r w:rsidRPr="00925F26">
        <w:rPr>
          <w:color w:val="000000" w:themeColor="text1"/>
          <w:sz w:val="16"/>
          <w:szCs w:val="16"/>
        </w:rPr>
        <w:t>Самоходную установку «Кировец-2» и орудие МЛ-20см признали выдержавшими испытания. В планах НИБТ Полигона появился пункт о проведении ходовых испытаний, но драгоценное время было потеряно (18636).</w:t>
      </w:r>
    </w:p>
    <w:p w14:paraId="7BA01A48" w14:textId="77777777" w:rsidR="00230342" w:rsidRPr="00925F26" w:rsidRDefault="00230342" w:rsidP="00925F26">
      <w:pPr>
        <w:jc w:val="both"/>
        <w:rPr>
          <w:color w:val="000000" w:themeColor="text1"/>
          <w:sz w:val="16"/>
          <w:szCs w:val="16"/>
        </w:rPr>
      </w:pPr>
    </w:p>
    <w:p w14:paraId="481D37B6" w14:textId="77777777" w:rsidR="00B90038" w:rsidRPr="00925F26" w:rsidRDefault="00B90038" w:rsidP="00925F26">
      <w:pPr>
        <w:shd w:val="clear" w:color="auto" w:fill="FFFFFF"/>
        <w:jc w:val="both"/>
        <w:rPr>
          <w:color w:val="000000" w:themeColor="text1"/>
          <w:sz w:val="16"/>
          <w:szCs w:val="16"/>
        </w:rPr>
      </w:pPr>
      <w:r w:rsidRPr="00925F26">
        <w:rPr>
          <w:color w:val="000000" w:themeColor="text1"/>
          <w:sz w:val="16"/>
          <w:szCs w:val="16"/>
        </w:rPr>
        <w:t>В середине июня 1945 года в Берлин приехала специальная комиссия Совета по радиолокации, созданная решением ГКО для установления научно-технического уровня радиолокации, электроники и радиосвязи, которого достигла Германия ко времени окончания войны. Председателем комиссии был назначен капитан 1-го ранга А.И. Шокин, будущий министр электронной промышленности (14927).</w:t>
      </w:r>
    </w:p>
    <w:p w14:paraId="23EF2F30" w14:textId="77777777" w:rsidR="00B90038" w:rsidRPr="00925F26" w:rsidRDefault="00B90038" w:rsidP="00925F26">
      <w:pPr>
        <w:shd w:val="clear" w:color="auto" w:fill="FFFFFF"/>
        <w:jc w:val="both"/>
        <w:rPr>
          <w:color w:val="000000" w:themeColor="text1"/>
          <w:sz w:val="16"/>
          <w:szCs w:val="16"/>
        </w:rPr>
      </w:pPr>
    </w:p>
    <w:p w14:paraId="29F217C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478646B7" w14:textId="77777777" w:rsidR="006103B3" w:rsidRPr="00925F26" w:rsidRDefault="006103B3" w:rsidP="00925F26">
      <w:pPr>
        <w:autoSpaceDE w:val="0"/>
        <w:autoSpaceDN w:val="0"/>
        <w:adjustRightInd w:val="0"/>
        <w:jc w:val="both"/>
        <w:rPr>
          <w:iCs/>
          <w:color w:val="000000" w:themeColor="text1"/>
          <w:sz w:val="16"/>
          <w:szCs w:val="16"/>
        </w:rPr>
      </w:pPr>
    </w:p>
    <w:p w14:paraId="0553C1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середине июня 1945 с авиазавода № 24 в 571 шап прибыла бригада во главе с «меха</w:t>
      </w:r>
      <w:r w:rsidRPr="00925F26">
        <w:rPr>
          <w:color w:val="000000" w:themeColor="text1"/>
          <w:sz w:val="16"/>
          <w:szCs w:val="16"/>
        </w:rPr>
        <w:softHyphen/>
        <w:t>ником Кузнецовым и представителем НКАП инженером Серебряковым». В ее задачу входила замена нагнетателей на всех моторах. Кроме этого, с авиаза</w:t>
      </w:r>
      <w:r w:rsidRPr="00925F26">
        <w:rPr>
          <w:color w:val="000000" w:themeColor="text1"/>
          <w:sz w:val="16"/>
          <w:szCs w:val="16"/>
        </w:rPr>
        <w:softHyphen/>
        <w:t>вода № 18 были «доставлены добавоч</w:t>
      </w:r>
      <w:r w:rsidRPr="00925F26">
        <w:rPr>
          <w:color w:val="000000" w:themeColor="text1"/>
          <w:sz w:val="16"/>
          <w:szCs w:val="16"/>
        </w:rPr>
        <w:softHyphen/>
        <w:t xml:space="preserve">ные фильтры для постановки снаружи всасывающей </w:t>
      </w:r>
      <w:proofErr w:type="gramStart"/>
      <w:r w:rsidRPr="00925F26">
        <w:rPr>
          <w:color w:val="000000" w:themeColor="text1"/>
          <w:sz w:val="16"/>
          <w:szCs w:val="16"/>
        </w:rPr>
        <w:t>трубы»...</w:t>
      </w:r>
      <w:proofErr w:type="gramEnd"/>
      <w:r w:rsidRPr="00925F26">
        <w:rPr>
          <w:color w:val="000000" w:themeColor="text1"/>
          <w:sz w:val="16"/>
          <w:szCs w:val="16"/>
        </w:rPr>
        <w:t>(11157).</w:t>
      </w:r>
    </w:p>
    <w:p w14:paraId="7925095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CE4669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13F63E1" w14:textId="77777777" w:rsidR="006103B3" w:rsidRPr="00925F26" w:rsidRDefault="006103B3" w:rsidP="00925F26">
      <w:pPr>
        <w:autoSpaceDE w:val="0"/>
        <w:autoSpaceDN w:val="0"/>
        <w:adjustRightInd w:val="0"/>
        <w:jc w:val="both"/>
        <w:rPr>
          <w:iCs/>
          <w:color w:val="000000" w:themeColor="text1"/>
          <w:sz w:val="16"/>
          <w:szCs w:val="16"/>
        </w:rPr>
      </w:pPr>
    </w:p>
    <w:p w14:paraId="77E75F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середине июня 1945 года на фирме Кокусай группой капитана Мизуама был построен первый и единственный прототип самолета - специального легкого штурмовика - Та-Го (4800).</w:t>
      </w:r>
    </w:p>
    <w:p w14:paraId="0250CDED" w14:textId="77777777" w:rsidR="006103B3" w:rsidRPr="00925F26" w:rsidRDefault="006103B3" w:rsidP="00925F26">
      <w:pPr>
        <w:autoSpaceDE w:val="0"/>
        <w:autoSpaceDN w:val="0"/>
        <w:adjustRightInd w:val="0"/>
        <w:jc w:val="both"/>
        <w:rPr>
          <w:color w:val="000000" w:themeColor="text1"/>
          <w:sz w:val="16"/>
          <w:szCs w:val="16"/>
        </w:rPr>
      </w:pPr>
    </w:p>
    <w:p w14:paraId="70F8AA4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EA953F1" w14:textId="77777777" w:rsidR="006103B3" w:rsidRPr="00925F26" w:rsidRDefault="006103B3" w:rsidP="00925F26">
      <w:pPr>
        <w:autoSpaceDE w:val="0"/>
        <w:autoSpaceDN w:val="0"/>
        <w:adjustRightInd w:val="0"/>
        <w:jc w:val="both"/>
        <w:rPr>
          <w:iCs/>
          <w:color w:val="000000" w:themeColor="text1"/>
          <w:sz w:val="16"/>
          <w:szCs w:val="16"/>
        </w:rPr>
      </w:pPr>
    </w:p>
    <w:p w14:paraId="11060F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16 июня 1945 года П. Дементьев писал письмо N Н-32/2668 начальнику УЗОМ ГУЗ ВВС генерал-лейтенанту ИАС Селезневу, зам. наркома химической промышленности Касаткину, зам. наркома промышленности стройматериалов Шилову, зам. гл. инженера ВВС генерал-лейтенанту</w:t>
      </w:r>
    </w:p>
    <w:p w14:paraId="308F8D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N 703336 от 18 мая 1945 года.</w:t>
      </w:r>
    </w:p>
    <w:p w14:paraId="0E3857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Наркомавиапром согласен с требованием о части снижения по новым ТУ оптического искажения прозрачной авиаброни для передних деталей в пределах 6 мин. и для заголовных - в пределах 12 минут.</w:t>
      </w:r>
    </w:p>
    <w:p w14:paraId="226FEB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Для обеспечения выполнения этого требования заводами НКАП, необходимо наркомату промышленности стройматериалов обеспечить выпуск силикатного стекла двухсторонней шлифовки с величиной оптического искажения не выше 2-х минут.</w:t>
      </w:r>
    </w:p>
    <w:p w14:paraId="3AA6C7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Температуру нагрева образцов прозрачной авиаброни перед определением ее теплостойкости считаем целесообразным установить 55 градусов, так как именно такая температура принята по новым ТУ для определения термоводостойкости (1879).</w:t>
      </w:r>
    </w:p>
    <w:p w14:paraId="2B37C81C" w14:textId="77777777" w:rsidR="006103B3" w:rsidRPr="00925F26" w:rsidRDefault="006103B3" w:rsidP="00925F26">
      <w:pPr>
        <w:autoSpaceDE w:val="0"/>
        <w:autoSpaceDN w:val="0"/>
        <w:adjustRightInd w:val="0"/>
        <w:jc w:val="both"/>
        <w:rPr>
          <w:color w:val="000000" w:themeColor="text1"/>
          <w:sz w:val="16"/>
          <w:szCs w:val="16"/>
        </w:rPr>
      </w:pPr>
    </w:p>
    <w:p w14:paraId="1604A16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AB1C8D6" w14:textId="77777777" w:rsidR="006103B3" w:rsidRPr="00925F26" w:rsidRDefault="006103B3" w:rsidP="00925F26">
      <w:pPr>
        <w:autoSpaceDE w:val="0"/>
        <w:autoSpaceDN w:val="0"/>
        <w:adjustRightInd w:val="0"/>
        <w:jc w:val="both"/>
        <w:rPr>
          <w:iCs/>
          <w:color w:val="000000" w:themeColor="text1"/>
          <w:sz w:val="16"/>
          <w:szCs w:val="16"/>
        </w:rPr>
      </w:pPr>
    </w:p>
    <w:p w14:paraId="217285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16 июня 1945 г. вышел ПРИКАЗ № 0114 О ПРОВЕДЕНИИ ВОЙСКОВЫХ ИСПЫТАНИЙ ОПЫТНЫХ ОБРАЗЦОВ СТРЕЛКОВОГО ВООРУЖЕНИЯ</w:t>
      </w:r>
    </w:p>
    <w:p w14:paraId="417265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Одобрен Народным комиссаром обороны СССР</w:t>
      </w:r>
    </w:p>
    <w:p w14:paraId="5CA7D6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Главному инспектору пехоты в период июль — август т. г. провести войсковые испытания следующих опытных образцов стрелкового вооружения:</w:t>
      </w:r>
    </w:p>
    <w:p w14:paraId="2DE1FE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7,62-мм ручной пулемет РПД конструкции Дегтярева под 7,62-мм промежуточный патрон обр. 1943 г.;</w:t>
      </w:r>
    </w:p>
    <w:p w14:paraId="51FFE6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7,62-мм автомат АС-44 конструкции Судаева под 7,62-мм промежуточный патрон обр. 1943 г.;</w:t>
      </w:r>
    </w:p>
    <w:p w14:paraId="613059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7,62-мм ручной пулемет ДПМ с ленточным питанием под штатный винтовочный патрон;</w:t>
      </w:r>
    </w:p>
    <w:p w14:paraId="16EEE4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 7,62-мм укороченную винтовку обр 1891/30 гг. с неотъемным штыком. Целью испытаний ставится:</w:t>
      </w:r>
    </w:p>
    <w:p w14:paraId="65BEEC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выявление боевых, служебных и тактико-технических свойств перечисленных выше образцов и проверка соответствия их требованиям войск, вытекающим из опыта Отечественной войны;</w:t>
      </w:r>
    </w:p>
    <w:p w14:paraId="6879BF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составление мотивированного заключения о необходимости принятия их на вооружение армии и определение места испытываемым образцам в системе стрелкового вооружения.</w:t>
      </w:r>
    </w:p>
    <w:p w14:paraId="21B61A1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Испытания провести в следующих военных округах и фронтах: Московском, Среднеазиатском, Закавказском и на курсах усовершенствования офицерского состава “Выстрел”.</w:t>
      </w:r>
    </w:p>
    <w:p w14:paraId="621432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Главному инспектору пехоты дать указания военным советам округов и фронтов, где проводятся испытания, и начальнику КУОС “Выстрел” — о назначении комиссий для проведения испытания опытных образцов вооружения.</w:t>
      </w:r>
    </w:p>
    <w:p w14:paraId="3BED0C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состав комиссий включить представителей от инспекции пехоты, Главного артиллерийского управления и командующего кавалерией Красной Армии.</w:t>
      </w:r>
    </w:p>
    <w:p w14:paraId="10096A0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Комиссиям при проведении испытаний руководствоваться указаниями главного инспектора пехоты Красной Армии.</w:t>
      </w:r>
    </w:p>
    <w:p w14:paraId="54347E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Начальнику ГАУ обеспечить отправку материальной части и боеприпасов в округа не позднее 20 июня 1945 г.</w:t>
      </w:r>
    </w:p>
    <w:p w14:paraId="7CD5BD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Акты комиссий, утвержденные командующими округами (фронтами) и начальником “Выстрел” представить главному инспектору пехоты и начальнику ГАУ к 1 сентября 1945 г.</w:t>
      </w:r>
    </w:p>
    <w:p w14:paraId="2EDA6B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Главному инспектору пехоты и начальнику ГАУ результаты войсковых испытаний со своими заключениями доложить мне.</w:t>
      </w:r>
    </w:p>
    <w:p w14:paraId="0C632B9E"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Заместитель Народного комиссара обороны СССР генерал армии БУЛГАНИН</w:t>
      </w:r>
      <w:r w:rsidRPr="00925F26">
        <w:rPr>
          <w:color w:val="000000" w:themeColor="text1"/>
          <w:sz w:val="16"/>
          <w:szCs w:val="16"/>
        </w:rPr>
        <w:t xml:space="preserve"> (9844).</w:t>
      </w:r>
    </w:p>
    <w:p w14:paraId="538D0199" w14:textId="77777777" w:rsidR="006103B3" w:rsidRPr="00925F26" w:rsidRDefault="006103B3" w:rsidP="00925F26">
      <w:pPr>
        <w:autoSpaceDE w:val="0"/>
        <w:autoSpaceDN w:val="0"/>
        <w:adjustRightInd w:val="0"/>
        <w:jc w:val="both"/>
        <w:rPr>
          <w:color w:val="000000" w:themeColor="text1"/>
          <w:sz w:val="16"/>
          <w:szCs w:val="16"/>
        </w:rPr>
      </w:pPr>
    </w:p>
    <w:p w14:paraId="63832312"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июня 1945 вышло Постановление ГКО № 9055 О порядке отправки советских репатриантов с фронтовых лагерей и сборно-пересыльных пунктов к месту постоянного жительства. (7350, 28-30,31).</w:t>
      </w:r>
    </w:p>
    <w:p w14:paraId="38E5573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1506FA3" w14:textId="77777777" w:rsidR="0002077A"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5D7AE10" w14:textId="77777777" w:rsidR="0002077A" w:rsidRPr="00925F26" w:rsidRDefault="0002077A" w:rsidP="00925F26">
      <w:pPr>
        <w:autoSpaceDE w:val="0"/>
        <w:autoSpaceDN w:val="0"/>
        <w:adjustRightInd w:val="0"/>
        <w:jc w:val="both"/>
        <w:rPr>
          <w:iCs/>
          <w:color w:val="000000" w:themeColor="text1"/>
          <w:sz w:val="16"/>
          <w:szCs w:val="16"/>
        </w:rPr>
      </w:pPr>
    </w:p>
    <w:p w14:paraId="0E3D5A3B" w14:textId="77777777" w:rsidR="0002077A" w:rsidRPr="00925F26" w:rsidRDefault="0002077A" w:rsidP="00925F26">
      <w:pPr>
        <w:pStyle w:val="book"/>
        <w:ind w:firstLine="0"/>
        <w:jc w:val="both"/>
        <w:rPr>
          <w:color w:val="000000" w:themeColor="text1"/>
          <w:sz w:val="16"/>
          <w:szCs w:val="16"/>
        </w:rPr>
      </w:pPr>
      <w:r w:rsidRPr="00925F26">
        <w:rPr>
          <w:color w:val="000000" w:themeColor="text1"/>
          <w:sz w:val="16"/>
          <w:szCs w:val="16"/>
        </w:rPr>
        <w:t>16 июня 1945 года генерад Берзарин вместе со своим ординарцем разбился на мотоцикле, налетев на "Студебеккер" (15225).</w:t>
      </w:r>
    </w:p>
    <w:p w14:paraId="62BB48AC" w14:textId="77777777" w:rsidR="0002077A" w:rsidRPr="00925F26" w:rsidRDefault="0002077A" w:rsidP="00925F26">
      <w:pPr>
        <w:pStyle w:val="book"/>
        <w:ind w:firstLine="0"/>
        <w:jc w:val="both"/>
        <w:rPr>
          <w:color w:val="000000" w:themeColor="text1"/>
          <w:sz w:val="16"/>
          <w:szCs w:val="16"/>
        </w:rPr>
      </w:pPr>
    </w:p>
    <w:p w14:paraId="45DFD403"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36D555A6" w14:textId="77777777" w:rsidR="006103B3" w:rsidRPr="00925F26" w:rsidRDefault="006103B3" w:rsidP="00925F26">
      <w:pPr>
        <w:autoSpaceDE w:val="0"/>
        <w:autoSpaceDN w:val="0"/>
        <w:adjustRightInd w:val="0"/>
        <w:jc w:val="both"/>
        <w:rPr>
          <w:iCs/>
          <w:color w:val="000000" w:themeColor="text1"/>
          <w:sz w:val="16"/>
          <w:szCs w:val="16"/>
        </w:rPr>
      </w:pPr>
    </w:p>
    <w:p w14:paraId="3143A3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16 июня 1945 года в Кремле состоялся большой смотр перспективных образцов отечественной автомобильной техники, где в числе прочих образцов руководству Партии и Правительства были предъявлены образцы модернизированного КИМ-10-52 и трофейного Опель-Кадет К-38. В процессе осмотра этих образцов И.В. Сталиным было окончательно принято и озвучено решение о постановке на производство на МЗМА автомобиля Опель-Кадет в его существующем виде, несмотря на уже выявленный ряд слабых мест в конструкции его двигателя и трансмиссии. 20 июня 1945 года все работы по модернизации автомобилей КИМ-10-52 и подготовке их производства были свернуты. 26 августа 1945 года Постановлением Государственного Комитета Обороны СССР № 9905 были утверждены опытный образец и техническая характеристика нового объекта производства. Завод приступил к освоению производства своего первого послевоенного автомобиля модели М-400, которому было присвоено имя «Москвич». В процессе подготовки его производства из Германии было вывезено в Москву 539 единиц репарационного оборудования. 26 августа 1945 года Постановлением Государственного Комитета Обороны СССР № 9905 были утверждены опытный образец и техническая характеристика нового автомобиля. В соответствии с Приказом Наркома Среднего Машиностроения №541 от 23 октября 1945 года «О подготовке и обслуживании производства и выпуска малолитражных автомобилей «Москвич» в 1946 году заводу предписывалось в срок до 1 ноября 1945 года сдать в подготовку производства чертежи шасси, в срок до 20 января 1946 года – чертежи заново разработанного четырехдверного кузова, а в срок до 25 декабря 1945 года – завершить разработку технологического процесса. Выпуск первых пяти автомобилей по графику подготовки производства намечался на июль 1946 года. Однако, в связи с многочисленными задержками подготовки производства на заводах-смежниках и в связи со сложностями в организации ремонта крайне разнотипного (в том числе репарационного) заводского оборудования Приказом Министра Автотракторной промышленности СССР №368 от 17 августа 1946 года начало производства было перенесено на VI-й квартал 1946 года (10766).</w:t>
      </w:r>
    </w:p>
    <w:p w14:paraId="0AF6DCDB" w14:textId="77777777" w:rsidR="006103B3" w:rsidRPr="00925F26" w:rsidRDefault="006103B3" w:rsidP="00925F26">
      <w:pPr>
        <w:autoSpaceDE w:val="0"/>
        <w:autoSpaceDN w:val="0"/>
        <w:adjustRightInd w:val="0"/>
        <w:jc w:val="both"/>
        <w:rPr>
          <w:color w:val="000000" w:themeColor="text1"/>
          <w:sz w:val="16"/>
          <w:szCs w:val="16"/>
        </w:rPr>
      </w:pPr>
    </w:p>
    <w:p w14:paraId="3B837D0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E602340" w14:textId="77777777" w:rsidR="006103B3" w:rsidRPr="00925F26" w:rsidRDefault="006103B3" w:rsidP="00925F26">
      <w:pPr>
        <w:autoSpaceDE w:val="0"/>
        <w:autoSpaceDN w:val="0"/>
        <w:adjustRightInd w:val="0"/>
        <w:jc w:val="both"/>
        <w:rPr>
          <w:iCs/>
          <w:color w:val="000000" w:themeColor="text1"/>
          <w:sz w:val="16"/>
          <w:szCs w:val="16"/>
        </w:rPr>
      </w:pPr>
    </w:p>
    <w:p w14:paraId="0935207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16 июня 1945 в автокатастрофе погиб первый военный комендант Берлина , командующий 5-ой ударной армией Герой Советского Союза генерал-полковник Н.Э. Берзарин (4963 ).</w:t>
      </w:r>
    </w:p>
    <w:p w14:paraId="562A993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B44D11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A16075E" w14:textId="77777777" w:rsidR="006103B3" w:rsidRPr="00925F26" w:rsidRDefault="006103B3" w:rsidP="00925F26">
      <w:pPr>
        <w:autoSpaceDE w:val="0"/>
        <w:autoSpaceDN w:val="0"/>
        <w:adjustRightInd w:val="0"/>
        <w:jc w:val="both"/>
        <w:rPr>
          <w:iCs/>
          <w:color w:val="000000" w:themeColor="text1"/>
          <w:sz w:val="16"/>
          <w:szCs w:val="16"/>
        </w:rPr>
      </w:pPr>
    </w:p>
    <w:p w14:paraId="1A257A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9078. Об оставлении в распоряжении НКАП 24 отремонтированных там машин. РГАНИР, Фонд ГКО, д. 428, лл. 57 (11012).</w:t>
      </w:r>
    </w:p>
    <w:p w14:paraId="2AE64DD8" w14:textId="77777777" w:rsidR="006103B3" w:rsidRPr="00925F26" w:rsidRDefault="006103B3" w:rsidP="00925F26">
      <w:pPr>
        <w:autoSpaceDE w:val="0"/>
        <w:autoSpaceDN w:val="0"/>
        <w:adjustRightInd w:val="0"/>
        <w:jc w:val="both"/>
        <w:rPr>
          <w:color w:val="000000" w:themeColor="text1"/>
          <w:sz w:val="16"/>
          <w:szCs w:val="16"/>
        </w:rPr>
      </w:pPr>
    </w:p>
    <w:p w14:paraId="604512B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4ECAA23" w14:textId="77777777" w:rsidR="006103B3" w:rsidRPr="00925F26" w:rsidRDefault="006103B3" w:rsidP="00925F26">
      <w:pPr>
        <w:autoSpaceDE w:val="0"/>
        <w:autoSpaceDN w:val="0"/>
        <w:adjustRightInd w:val="0"/>
        <w:jc w:val="both"/>
        <w:rPr>
          <w:iCs/>
          <w:color w:val="000000" w:themeColor="text1"/>
          <w:sz w:val="16"/>
          <w:szCs w:val="16"/>
        </w:rPr>
      </w:pPr>
    </w:p>
    <w:p w14:paraId="1647D38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9056 [О мерах по ремонту железных дорог на Дальнем Востоке.] (7350, 32).</w:t>
      </w:r>
    </w:p>
    <w:p w14:paraId="5C8A176A"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8B11AA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17 июня 1945 вышло Постановление ГКО № 9057 О восстановлении железнодорожного участка Коканд - Наманган Ташкентской жел. дороги. (7350, 33).</w:t>
      </w:r>
    </w:p>
    <w:p w14:paraId="7D57FD4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39DC9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9058. О дополнительном выделении нефти заводу № 742 НКРП в июне 1945 г. РГАНИР, Фонд ГКО, д. 428, лл. 34 (11012).</w:t>
      </w:r>
    </w:p>
    <w:p w14:paraId="47590156" w14:textId="77777777" w:rsidR="006103B3" w:rsidRPr="00925F26" w:rsidRDefault="006103B3" w:rsidP="00925F26">
      <w:pPr>
        <w:autoSpaceDE w:val="0"/>
        <w:autoSpaceDN w:val="0"/>
        <w:adjustRightInd w:val="0"/>
        <w:jc w:val="both"/>
        <w:rPr>
          <w:color w:val="000000" w:themeColor="text1"/>
          <w:sz w:val="16"/>
          <w:szCs w:val="16"/>
        </w:rPr>
      </w:pPr>
    </w:p>
    <w:p w14:paraId="3C9511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9059. Об освобождении завода № 88 НКВ от поставки НКВМФ в июне-июле спаренных морских артустановок. РГАНИР, Фонд ГКО, д. 428, лл. 35 (11012).</w:t>
      </w:r>
    </w:p>
    <w:p w14:paraId="3DCBD82C" w14:textId="77777777" w:rsidR="006103B3" w:rsidRPr="00925F26" w:rsidRDefault="006103B3" w:rsidP="00925F26">
      <w:pPr>
        <w:autoSpaceDE w:val="0"/>
        <w:autoSpaceDN w:val="0"/>
        <w:adjustRightInd w:val="0"/>
        <w:jc w:val="both"/>
        <w:rPr>
          <w:color w:val="000000" w:themeColor="text1"/>
          <w:sz w:val="16"/>
          <w:szCs w:val="16"/>
        </w:rPr>
      </w:pPr>
    </w:p>
    <w:p w14:paraId="5030F6E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9060. О дополнительном выделении угля заводу Казахсельмаш НКВМ в июне 1945 г. РГАНИР, Фонд ГКО, д. 428, лл. 36 (11012).</w:t>
      </w:r>
    </w:p>
    <w:p w14:paraId="017E1EB2" w14:textId="77777777" w:rsidR="006103B3" w:rsidRPr="00925F26" w:rsidRDefault="006103B3" w:rsidP="00925F26">
      <w:pPr>
        <w:autoSpaceDE w:val="0"/>
        <w:autoSpaceDN w:val="0"/>
        <w:adjustRightInd w:val="0"/>
        <w:jc w:val="both"/>
        <w:rPr>
          <w:color w:val="000000" w:themeColor="text1"/>
          <w:sz w:val="16"/>
          <w:szCs w:val="16"/>
        </w:rPr>
      </w:pPr>
    </w:p>
    <w:p w14:paraId="5E6C4D68"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9061 [О производстве на подольском заводе "Красный котельщик" НКТМ котлов для НКНП.] (7350, 37).</w:t>
      </w:r>
    </w:p>
    <w:p w14:paraId="7BE2783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A2A5E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9062. О помощи заводу № 637 НКБ в Комсомольске-на-Амуре поставкой рельсов, проведением работ по МПВО и усилением охраны НКВРГАНИР, Фонд ГКО, д. РГАНИР, Фонд ГКО, д. 428, лл. 38-39 (11012).</w:t>
      </w:r>
    </w:p>
    <w:p w14:paraId="0664EA43" w14:textId="77777777" w:rsidR="006103B3" w:rsidRPr="00925F26" w:rsidRDefault="006103B3" w:rsidP="00925F26">
      <w:pPr>
        <w:autoSpaceDE w:val="0"/>
        <w:autoSpaceDN w:val="0"/>
        <w:adjustRightInd w:val="0"/>
        <w:jc w:val="both"/>
        <w:rPr>
          <w:color w:val="000000" w:themeColor="text1"/>
          <w:sz w:val="16"/>
          <w:szCs w:val="16"/>
        </w:rPr>
      </w:pPr>
    </w:p>
    <w:p w14:paraId="687BD20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9063 [О передаче ГУЛЖДС НКВД совхоза №11 в Узбекской ССР.] (7350, 40).</w:t>
      </w:r>
    </w:p>
    <w:p w14:paraId="7135072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A60F8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9064. О лимите отпуска электроэнергии некоторым предприятиям НКХП, НКВ и НКПС. РГАНИР, Фонд ГКО, д. 428, лл. 41 (11012).</w:t>
      </w:r>
    </w:p>
    <w:p w14:paraId="152663F5" w14:textId="77777777" w:rsidR="006103B3" w:rsidRPr="00925F26" w:rsidRDefault="006103B3" w:rsidP="00925F26">
      <w:pPr>
        <w:autoSpaceDE w:val="0"/>
        <w:autoSpaceDN w:val="0"/>
        <w:adjustRightInd w:val="0"/>
        <w:jc w:val="both"/>
        <w:rPr>
          <w:color w:val="000000" w:themeColor="text1"/>
          <w:sz w:val="16"/>
          <w:szCs w:val="16"/>
        </w:rPr>
      </w:pPr>
    </w:p>
    <w:p w14:paraId="7CD56D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9065. О дополнительном выделении бензина НКстрою в июне 1945 г. РГАНИР, Фонд ГКО, д. 428, лл. 42 (11012).</w:t>
      </w:r>
    </w:p>
    <w:p w14:paraId="22E987C3" w14:textId="77777777" w:rsidR="006103B3" w:rsidRPr="00925F26" w:rsidRDefault="006103B3" w:rsidP="00925F26">
      <w:pPr>
        <w:autoSpaceDE w:val="0"/>
        <w:autoSpaceDN w:val="0"/>
        <w:adjustRightInd w:val="0"/>
        <w:jc w:val="both"/>
        <w:rPr>
          <w:color w:val="000000" w:themeColor="text1"/>
          <w:sz w:val="16"/>
          <w:szCs w:val="16"/>
        </w:rPr>
      </w:pPr>
    </w:p>
    <w:p w14:paraId="7409F9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9066. О дополнительном выделении сланцев для НКО и НКПСМ. РГАНИР, Фонд ГКО, д. 428, лл. 43 (11012).</w:t>
      </w:r>
    </w:p>
    <w:p w14:paraId="3DAC6CBC" w14:textId="77777777" w:rsidR="006103B3" w:rsidRPr="00925F26" w:rsidRDefault="006103B3" w:rsidP="00925F26">
      <w:pPr>
        <w:autoSpaceDE w:val="0"/>
        <w:autoSpaceDN w:val="0"/>
        <w:adjustRightInd w:val="0"/>
        <w:jc w:val="both"/>
        <w:rPr>
          <w:color w:val="000000" w:themeColor="text1"/>
          <w:sz w:val="16"/>
          <w:szCs w:val="16"/>
        </w:rPr>
      </w:pPr>
    </w:p>
    <w:p w14:paraId="1AD449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9067. О дополнительном выделении угля УНКВД Ленинградской обл. и ХЭМЗ НКЭП. РГАНИР, Фонд ГКО, д. 428, лл. 44 (11012).</w:t>
      </w:r>
    </w:p>
    <w:p w14:paraId="5D197D74" w14:textId="77777777" w:rsidR="006103B3" w:rsidRPr="00925F26" w:rsidRDefault="006103B3" w:rsidP="00925F26">
      <w:pPr>
        <w:autoSpaceDE w:val="0"/>
        <w:autoSpaceDN w:val="0"/>
        <w:adjustRightInd w:val="0"/>
        <w:jc w:val="both"/>
        <w:rPr>
          <w:color w:val="000000" w:themeColor="text1"/>
          <w:sz w:val="16"/>
          <w:szCs w:val="16"/>
        </w:rPr>
      </w:pPr>
    </w:p>
    <w:p w14:paraId="35EEAE6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9068 [О дополнительном выделении угля НКВМФ, НКВ и НКсовхозов.] (7350, 45).</w:t>
      </w:r>
    </w:p>
    <w:p w14:paraId="20A6329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2EE832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9069. О выделении угля заводу № 742 НКРП и НКПСМ в июне 1945 г. РГАНИР, Фонд ГКО, д. 428, лл. 46 (11012).</w:t>
      </w:r>
    </w:p>
    <w:p w14:paraId="332B060D" w14:textId="77777777" w:rsidR="006103B3" w:rsidRPr="00925F26" w:rsidRDefault="006103B3" w:rsidP="00925F26">
      <w:pPr>
        <w:autoSpaceDE w:val="0"/>
        <w:autoSpaceDN w:val="0"/>
        <w:adjustRightInd w:val="0"/>
        <w:jc w:val="both"/>
        <w:rPr>
          <w:color w:val="000000" w:themeColor="text1"/>
          <w:sz w:val="16"/>
          <w:szCs w:val="16"/>
        </w:rPr>
      </w:pPr>
    </w:p>
    <w:p w14:paraId="1493FD1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Постановление ГКО № 9070 О дополнительной организации топливных складов на железных дорогах Дальнего Востока для хранения угля государственного резерва. (7350, 47,48).</w:t>
      </w:r>
    </w:p>
    <w:p w14:paraId="0C61F39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4CAA83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9071 [О дополнительном выделении бензина НКГБ в июне 1945 г.] (7350, 49).</w:t>
      </w:r>
    </w:p>
    <w:p w14:paraId="0DA4474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25068C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9072 [О дополнительном выделении нефти СНК Туркменской ССР.] (7350, 50).</w:t>
      </w:r>
    </w:p>
    <w:p w14:paraId="11D18F2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F6D05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Постановление ГКО № 9073 О расформировании части военно-санитарных поездов и передаче высвобождающихся вагонов из этих поездов НКПС для эксплуатации. РГАНИР, Фонд ГКО, д. 428, лл. 51 (11012).</w:t>
      </w:r>
    </w:p>
    <w:p w14:paraId="047B229C" w14:textId="77777777" w:rsidR="006103B3" w:rsidRPr="00925F26" w:rsidRDefault="006103B3" w:rsidP="00925F26">
      <w:pPr>
        <w:autoSpaceDE w:val="0"/>
        <w:autoSpaceDN w:val="0"/>
        <w:adjustRightInd w:val="0"/>
        <w:jc w:val="both"/>
        <w:rPr>
          <w:color w:val="000000" w:themeColor="text1"/>
          <w:sz w:val="16"/>
          <w:szCs w:val="16"/>
        </w:rPr>
      </w:pPr>
    </w:p>
    <w:p w14:paraId="02EB5E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9074. О передаче НКМВ заводских корпусов, принадлежащих НКБ. РГАНИР, Фонд ГКО, д. 428, лл. 52 (11012).</w:t>
      </w:r>
    </w:p>
    <w:p w14:paraId="1A865528" w14:textId="77777777" w:rsidR="006103B3" w:rsidRPr="00925F26" w:rsidRDefault="006103B3" w:rsidP="00925F26">
      <w:pPr>
        <w:autoSpaceDE w:val="0"/>
        <w:autoSpaceDN w:val="0"/>
        <w:adjustRightInd w:val="0"/>
        <w:jc w:val="both"/>
        <w:rPr>
          <w:color w:val="000000" w:themeColor="text1"/>
          <w:sz w:val="16"/>
          <w:szCs w:val="16"/>
        </w:rPr>
      </w:pPr>
    </w:p>
    <w:p w14:paraId="2E7D921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9075 [Об автоколоннах централизованного резерва в Латвийской ССР и Смоленской обл.] (7350, 53).</w:t>
      </w:r>
    </w:p>
    <w:p w14:paraId="225B1DF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C98F50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9076 [О выделении Башкирской АССР одной автоколонны централизованного резерва.] (7350, 54-55).</w:t>
      </w:r>
    </w:p>
    <w:p w14:paraId="32FDE4A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1393727"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вышло Распоряжение ГКО № 9077 [О направлении двух автоколонн централизованного резерва вместо Туркменской ССР в Распоряжение ГКО НКНП.] (7350, 56).</w:t>
      </w:r>
    </w:p>
    <w:p w14:paraId="1B05A943"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33B3DDD" w14:textId="77777777" w:rsidR="0002077A" w:rsidRPr="00925F26" w:rsidRDefault="0002077A" w:rsidP="00925F26">
      <w:pPr>
        <w:jc w:val="both"/>
        <w:rPr>
          <w:color w:val="000000" w:themeColor="text1"/>
          <w:sz w:val="16"/>
          <w:szCs w:val="16"/>
        </w:rPr>
      </w:pPr>
      <w:r w:rsidRPr="00925F26">
        <w:rPr>
          <w:color w:val="000000" w:themeColor="text1"/>
          <w:sz w:val="16"/>
          <w:szCs w:val="16"/>
        </w:rPr>
        <w:t>17 июня 1946 г. Письмо Б.Л. Ванникова В.А. Махневу о верстке статьи Л.Д. Ландау «Атомная энергия» с представлением отзыва В.Г. Левича</w:t>
      </w:r>
    </w:p>
    <w:p w14:paraId="52C12EE9" w14:textId="77777777" w:rsidR="0002077A" w:rsidRPr="00925F26" w:rsidRDefault="0002077A" w:rsidP="00925F26">
      <w:pPr>
        <w:jc w:val="both"/>
        <w:rPr>
          <w:color w:val="000000" w:themeColor="text1"/>
          <w:sz w:val="16"/>
          <w:szCs w:val="16"/>
        </w:rPr>
      </w:pPr>
      <w:r w:rsidRPr="00925F26">
        <w:rPr>
          <w:color w:val="000000" w:themeColor="text1"/>
          <w:sz w:val="16"/>
          <w:szCs w:val="16"/>
        </w:rPr>
        <w:t>Сов. секретно</w:t>
      </w:r>
    </w:p>
    <w:p w14:paraId="58318280" w14:textId="77777777" w:rsidR="0002077A" w:rsidRPr="00925F26" w:rsidRDefault="0002077A" w:rsidP="00925F26">
      <w:pPr>
        <w:jc w:val="both"/>
        <w:rPr>
          <w:color w:val="000000" w:themeColor="text1"/>
          <w:sz w:val="16"/>
          <w:szCs w:val="16"/>
        </w:rPr>
      </w:pPr>
      <w:r w:rsidRPr="00925F26">
        <w:rPr>
          <w:color w:val="000000" w:themeColor="text1"/>
          <w:sz w:val="16"/>
          <w:szCs w:val="16"/>
        </w:rPr>
        <w:t>Товарищу Махневу В.А.</w:t>
      </w:r>
    </w:p>
    <w:p w14:paraId="7E684AE1" w14:textId="77777777" w:rsidR="0002077A" w:rsidRPr="00925F26" w:rsidRDefault="0002077A" w:rsidP="00925F26">
      <w:pPr>
        <w:jc w:val="both"/>
        <w:rPr>
          <w:color w:val="000000" w:themeColor="text1"/>
          <w:sz w:val="16"/>
          <w:szCs w:val="16"/>
        </w:rPr>
      </w:pPr>
      <w:r w:rsidRPr="00925F26">
        <w:rPr>
          <w:color w:val="000000" w:themeColor="text1"/>
          <w:sz w:val="16"/>
          <w:szCs w:val="16"/>
        </w:rPr>
        <w:t>На № 3/375с от 8. VI46 г.</w:t>
      </w:r>
    </w:p>
    <w:p w14:paraId="020D868A" w14:textId="77777777" w:rsidR="0002077A" w:rsidRPr="00925F26" w:rsidRDefault="0002077A" w:rsidP="00925F26">
      <w:pPr>
        <w:jc w:val="both"/>
        <w:rPr>
          <w:color w:val="000000" w:themeColor="text1"/>
          <w:sz w:val="16"/>
          <w:szCs w:val="16"/>
        </w:rPr>
      </w:pPr>
      <w:r w:rsidRPr="00925F26">
        <w:rPr>
          <w:color w:val="000000" w:themeColor="text1"/>
          <w:sz w:val="16"/>
          <w:szCs w:val="16"/>
        </w:rPr>
        <w:t>По вопросу статьи Л. Ландау сообщаю:</w:t>
      </w:r>
    </w:p>
    <w:p w14:paraId="5BEF05B7" w14:textId="77777777" w:rsidR="0002077A" w:rsidRPr="00925F26" w:rsidRDefault="0002077A" w:rsidP="00925F26">
      <w:pPr>
        <w:jc w:val="both"/>
        <w:rPr>
          <w:color w:val="000000" w:themeColor="text1"/>
          <w:sz w:val="16"/>
          <w:szCs w:val="16"/>
        </w:rPr>
      </w:pPr>
      <w:r w:rsidRPr="00925F26">
        <w:rPr>
          <w:color w:val="000000" w:themeColor="text1"/>
          <w:sz w:val="16"/>
          <w:szCs w:val="16"/>
        </w:rPr>
        <w:t>Статья Л. Ландау «Атомная энергия» рассматривалась профессором Леви чем В.Г.</w:t>
      </w:r>
    </w:p>
    <w:p w14:paraId="7BBB366A" w14:textId="77777777" w:rsidR="0002077A" w:rsidRPr="00925F26" w:rsidRDefault="0002077A" w:rsidP="00925F26">
      <w:pPr>
        <w:jc w:val="both"/>
        <w:rPr>
          <w:color w:val="000000" w:themeColor="text1"/>
          <w:sz w:val="16"/>
          <w:szCs w:val="16"/>
        </w:rPr>
      </w:pPr>
      <w:r w:rsidRPr="00925F26">
        <w:rPr>
          <w:color w:val="000000" w:themeColor="text1"/>
          <w:sz w:val="16"/>
          <w:szCs w:val="16"/>
        </w:rPr>
        <w:t>Профессор Левич В.Г. считает целесообразным из статьи изъять следующие места, сообщение которых выходит за рамки официальной американской информации (книги Смита):</w:t>
      </w:r>
    </w:p>
    <w:p w14:paraId="582377CB" w14:textId="77777777" w:rsidR="0002077A" w:rsidRPr="00925F26" w:rsidRDefault="0002077A" w:rsidP="00925F26">
      <w:pPr>
        <w:jc w:val="both"/>
        <w:rPr>
          <w:color w:val="000000" w:themeColor="text1"/>
          <w:sz w:val="16"/>
          <w:szCs w:val="16"/>
        </w:rPr>
      </w:pPr>
      <w:r w:rsidRPr="00925F26">
        <w:rPr>
          <w:color w:val="000000" w:themeColor="text1"/>
          <w:sz w:val="16"/>
          <w:szCs w:val="16"/>
        </w:rPr>
        <w:t>1. Масса бомбы — стр. 147.</w:t>
      </w:r>
    </w:p>
    <w:p w14:paraId="63B7872D" w14:textId="77777777" w:rsidR="0002077A" w:rsidRPr="00925F26" w:rsidRDefault="0002077A" w:rsidP="00925F26">
      <w:pPr>
        <w:jc w:val="both"/>
        <w:rPr>
          <w:color w:val="000000" w:themeColor="text1"/>
          <w:sz w:val="16"/>
          <w:szCs w:val="16"/>
        </w:rPr>
      </w:pPr>
      <w:r w:rsidRPr="00925F26">
        <w:rPr>
          <w:color w:val="000000" w:themeColor="text1"/>
          <w:sz w:val="16"/>
          <w:szCs w:val="16"/>
        </w:rPr>
        <w:t>2. Замечания о характере сближения частей бомбы — стр. 147.</w:t>
      </w:r>
    </w:p>
    <w:p w14:paraId="12C9C0C9" w14:textId="77777777" w:rsidR="0002077A" w:rsidRPr="00925F26" w:rsidRDefault="0002077A" w:rsidP="00925F26">
      <w:pPr>
        <w:jc w:val="both"/>
        <w:rPr>
          <w:color w:val="000000" w:themeColor="text1"/>
          <w:sz w:val="16"/>
          <w:szCs w:val="16"/>
        </w:rPr>
      </w:pPr>
      <w:r w:rsidRPr="00925F26">
        <w:rPr>
          <w:color w:val="000000" w:themeColor="text1"/>
          <w:sz w:val="16"/>
          <w:szCs w:val="16"/>
        </w:rPr>
        <w:t>3. Количество U-235 в американской бомбе — стр. 147.</w:t>
      </w:r>
    </w:p>
    <w:p w14:paraId="60F5A706" w14:textId="77777777" w:rsidR="0002077A" w:rsidRPr="00925F26" w:rsidRDefault="0002077A" w:rsidP="00925F26">
      <w:pPr>
        <w:jc w:val="both"/>
        <w:rPr>
          <w:color w:val="000000" w:themeColor="text1"/>
          <w:sz w:val="16"/>
          <w:szCs w:val="16"/>
        </w:rPr>
      </w:pPr>
      <w:r w:rsidRPr="00925F26">
        <w:rPr>
          <w:color w:val="000000" w:themeColor="text1"/>
          <w:sz w:val="16"/>
          <w:szCs w:val="16"/>
        </w:rPr>
        <w:t>4. Вопрос об использовании тория — стр. 151-152.</w:t>
      </w:r>
    </w:p>
    <w:p w14:paraId="4B15805F" w14:textId="77777777" w:rsidR="0002077A" w:rsidRPr="00925F26" w:rsidRDefault="0002077A" w:rsidP="00925F26">
      <w:pPr>
        <w:jc w:val="both"/>
        <w:rPr>
          <w:color w:val="000000" w:themeColor="text1"/>
          <w:sz w:val="16"/>
          <w:szCs w:val="16"/>
        </w:rPr>
      </w:pPr>
      <w:r w:rsidRPr="00925F26">
        <w:rPr>
          <w:color w:val="000000" w:themeColor="text1"/>
          <w:sz w:val="16"/>
          <w:szCs w:val="16"/>
        </w:rPr>
        <w:t>5. Обсуждение возможности цепной реакции в легких элементах — стр. 152. Произведенные сокращения не изменят существенно общий характер статьи и могут быть проведены без всякого для нее ущерба.</w:t>
      </w:r>
    </w:p>
    <w:p w14:paraId="12EAABA2" w14:textId="77777777" w:rsidR="0002077A" w:rsidRPr="00925F26" w:rsidRDefault="0002077A" w:rsidP="00925F26">
      <w:pPr>
        <w:jc w:val="both"/>
        <w:rPr>
          <w:color w:val="000000" w:themeColor="text1"/>
          <w:sz w:val="16"/>
          <w:szCs w:val="16"/>
        </w:rPr>
      </w:pPr>
      <w:r w:rsidRPr="00925F26">
        <w:rPr>
          <w:color w:val="000000" w:themeColor="text1"/>
          <w:sz w:val="16"/>
          <w:szCs w:val="16"/>
        </w:rPr>
        <w:t>Заключение профессора Левича В.Г. и статья Л. Ландау прилагаются.</w:t>
      </w:r>
    </w:p>
    <w:p w14:paraId="4FC727A3" w14:textId="77777777" w:rsidR="0002077A" w:rsidRPr="00925F26" w:rsidRDefault="0002077A" w:rsidP="00925F26">
      <w:pPr>
        <w:jc w:val="both"/>
        <w:rPr>
          <w:color w:val="000000" w:themeColor="text1"/>
          <w:sz w:val="16"/>
          <w:szCs w:val="16"/>
        </w:rPr>
      </w:pPr>
      <w:r w:rsidRPr="00925F26">
        <w:rPr>
          <w:color w:val="000000" w:themeColor="text1"/>
          <w:sz w:val="16"/>
          <w:szCs w:val="16"/>
        </w:rPr>
        <w:t>Б. Ванников</w:t>
      </w:r>
    </w:p>
    <w:p w14:paraId="2648847D" w14:textId="77777777" w:rsidR="0002077A" w:rsidRPr="00925F26" w:rsidRDefault="0002077A" w:rsidP="00925F26">
      <w:pPr>
        <w:jc w:val="both"/>
        <w:rPr>
          <w:color w:val="000000" w:themeColor="text1"/>
          <w:sz w:val="16"/>
          <w:szCs w:val="16"/>
        </w:rPr>
      </w:pPr>
      <w:r w:rsidRPr="00925F26">
        <w:rPr>
          <w:color w:val="000000" w:themeColor="text1"/>
          <w:sz w:val="16"/>
          <w:szCs w:val="16"/>
        </w:rPr>
        <w:t>Приложение № 1</w:t>
      </w:r>
    </w:p>
    <w:p w14:paraId="470F74F2" w14:textId="77777777" w:rsidR="0002077A" w:rsidRPr="00925F26" w:rsidRDefault="0002077A" w:rsidP="00925F26">
      <w:pPr>
        <w:jc w:val="both"/>
        <w:rPr>
          <w:color w:val="000000" w:themeColor="text1"/>
          <w:sz w:val="16"/>
          <w:szCs w:val="16"/>
        </w:rPr>
      </w:pPr>
      <w:r w:rsidRPr="00925F26">
        <w:rPr>
          <w:color w:val="000000" w:themeColor="text1"/>
          <w:sz w:val="16"/>
          <w:szCs w:val="16"/>
        </w:rPr>
        <w:t>Отзыв на верстку статьи проф. Л. Ландау «Атомная энергия»</w:t>
      </w:r>
    </w:p>
    <w:p w14:paraId="370630F8" w14:textId="77777777" w:rsidR="0002077A" w:rsidRPr="00925F26" w:rsidRDefault="0002077A" w:rsidP="00925F26">
      <w:pPr>
        <w:jc w:val="both"/>
        <w:rPr>
          <w:color w:val="000000" w:themeColor="text1"/>
          <w:sz w:val="16"/>
          <w:szCs w:val="16"/>
        </w:rPr>
      </w:pPr>
      <w:r w:rsidRPr="00925F26">
        <w:rPr>
          <w:color w:val="000000" w:themeColor="text1"/>
          <w:sz w:val="16"/>
          <w:szCs w:val="16"/>
        </w:rPr>
        <w:t>Секретно</w:t>
      </w:r>
    </w:p>
    <w:p w14:paraId="039177C2" w14:textId="77777777" w:rsidR="0002077A" w:rsidRPr="00925F26" w:rsidRDefault="0002077A" w:rsidP="00925F26">
      <w:pPr>
        <w:jc w:val="both"/>
        <w:rPr>
          <w:color w:val="000000" w:themeColor="text1"/>
          <w:sz w:val="16"/>
          <w:szCs w:val="16"/>
        </w:rPr>
      </w:pPr>
      <w:r w:rsidRPr="00925F26">
        <w:rPr>
          <w:color w:val="000000" w:themeColor="text1"/>
          <w:sz w:val="16"/>
          <w:szCs w:val="16"/>
        </w:rPr>
        <w:t>Считаю, что из статьи следует изъять следующие места, выходящие за рамки официальной американской информации (книги Смита):</w:t>
      </w:r>
    </w:p>
    <w:p w14:paraId="7EAC02E6" w14:textId="77777777" w:rsidR="0002077A" w:rsidRPr="00925F26" w:rsidRDefault="0002077A" w:rsidP="00925F26">
      <w:pPr>
        <w:jc w:val="both"/>
        <w:rPr>
          <w:color w:val="000000" w:themeColor="text1"/>
          <w:sz w:val="16"/>
          <w:szCs w:val="16"/>
        </w:rPr>
      </w:pPr>
      <w:r w:rsidRPr="00925F26">
        <w:rPr>
          <w:color w:val="000000" w:themeColor="text1"/>
          <w:sz w:val="16"/>
          <w:szCs w:val="16"/>
        </w:rPr>
        <w:t>1. Масса бомбы — стр. 147.</w:t>
      </w:r>
    </w:p>
    <w:p w14:paraId="27F81EF4" w14:textId="77777777" w:rsidR="0002077A" w:rsidRPr="00925F26" w:rsidRDefault="0002077A" w:rsidP="00925F26">
      <w:pPr>
        <w:jc w:val="both"/>
        <w:rPr>
          <w:color w:val="000000" w:themeColor="text1"/>
          <w:sz w:val="16"/>
          <w:szCs w:val="16"/>
        </w:rPr>
      </w:pPr>
      <w:r w:rsidRPr="00925F26">
        <w:rPr>
          <w:color w:val="000000" w:themeColor="text1"/>
          <w:sz w:val="16"/>
          <w:szCs w:val="16"/>
        </w:rPr>
        <w:t>2. Замечания о характере сближения частей бомбы — стр. 147.</w:t>
      </w:r>
    </w:p>
    <w:p w14:paraId="74C8319B" w14:textId="77777777" w:rsidR="0002077A" w:rsidRPr="00925F26" w:rsidRDefault="0002077A" w:rsidP="00925F26">
      <w:pPr>
        <w:jc w:val="both"/>
        <w:rPr>
          <w:color w:val="000000" w:themeColor="text1"/>
          <w:sz w:val="16"/>
          <w:szCs w:val="16"/>
        </w:rPr>
      </w:pPr>
      <w:r w:rsidRPr="00925F26">
        <w:rPr>
          <w:color w:val="000000" w:themeColor="text1"/>
          <w:sz w:val="16"/>
          <w:szCs w:val="16"/>
        </w:rPr>
        <w:t>3. Количество U-235 в американской бомбе — стр. 147.</w:t>
      </w:r>
    </w:p>
    <w:p w14:paraId="3F2405A3" w14:textId="77777777" w:rsidR="0002077A" w:rsidRPr="00925F26" w:rsidRDefault="0002077A" w:rsidP="00925F26">
      <w:pPr>
        <w:jc w:val="both"/>
        <w:rPr>
          <w:color w:val="000000" w:themeColor="text1"/>
          <w:sz w:val="16"/>
          <w:szCs w:val="16"/>
        </w:rPr>
      </w:pPr>
      <w:r w:rsidRPr="00925F26">
        <w:rPr>
          <w:color w:val="000000" w:themeColor="text1"/>
          <w:sz w:val="16"/>
          <w:szCs w:val="16"/>
        </w:rPr>
        <w:t>4. Вопрос об использовании тория — стр. 151-152. (По-видимому, последний вопрос все же обсуждался в открытой американской литературе, но за краткостью времени на составление отзыва я не мог уточнить это обстоятельство.)</w:t>
      </w:r>
    </w:p>
    <w:p w14:paraId="63F921A5" w14:textId="77777777" w:rsidR="0002077A" w:rsidRPr="00925F26" w:rsidRDefault="0002077A" w:rsidP="00925F26">
      <w:pPr>
        <w:jc w:val="both"/>
        <w:rPr>
          <w:color w:val="000000" w:themeColor="text1"/>
          <w:sz w:val="16"/>
          <w:szCs w:val="16"/>
        </w:rPr>
      </w:pPr>
      <w:r w:rsidRPr="00925F26">
        <w:rPr>
          <w:color w:val="000000" w:themeColor="text1"/>
          <w:sz w:val="16"/>
          <w:szCs w:val="16"/>
        </w:rPr>
        <w:t>5. Обсуждение возможности цепной реакции в легких элементах — стр. 152.</w:t>
      </w:r>
    </w:p>
    <w:p w14:paraId="678C9234" w14:textId="77777777" w:rsidR="0002077A" w:rsidRPr="00925F26" w:rsidRDefault="0002077A" w:rsidP="00925F26">
      <w:pPr>
        <w:jc w:val="both"/>
        <w:rPr>
          <w:color w:val="000000" w:themeColor="text1"/>
          <w:sz w:val="16"/>
          <w:szCs w:val="16"/>
        </w:rPr>
      </w:pPr>
      <w:r w:rsidRPr="00925F26">
        <w:rPr>
          <w:color w:val="000000" w:themeColor="text1"/>
          <w:sz w:val="16"/>
          <w:szCs w:val="16"/>
        </w:rPr>
        <w:t>Указанные сокращения не изменят существенно общий характер статьи и могут быть проведены без всякого для нее ущерба.</w:t>
      </w:r>
    </w:p>
    <w:p w14:paraId="16D1B7E0" w14:textId="77777777" w:rsidR="0002077A" w:rsidRPr="00925F26" w:rsidRDefault="0002077A" w:rsidP="00925F26">
      <w:pPr>
        <w:jc w:val="both"/>
        <w:rPr>
          <w:color w:val="000000" w:themeColor="text1"/>
          <w:sz w:val="16"/>
          <w:szCs w:val="16"/>
        </w:rPr>
      </w:pPr>
      <w:r w:rsidRPr="00925F26">
        <w:rPr>
          <w:color w:val="000000" w:themeColor="text1"/>
          <w:sz w:val="16"/>
          <w:szCs w:val="16"/>
        </w:rPr>
        <w:t>Проф. В. Левич (15720).</w:t>
      </w:r>
    </w:p>
    <w:p w14:paraId="0687BDD5" w14:textId="77777777" w:rsidR="0002077A" w:rsidRPr="00925F26" w:rsidRDefault="0002077A" w:rsidP="00925F26">
      <w:pPr>
        <w:jc w:val="both"/>
        <w:rPr>
          <w:color w:val="000000" w:themeColor="text1"/>
          <w:sz w:val="16"/>
          <w:szCs w:val="16"/>
        </w:rPr>
      </w:pPr>
      <w:r w:rsidRPr="00925F26">
        <w:rPr>
          <w:color w:val="000000" w:themeColor="text1"/>
          <w:sz w:val="16"/>
          <w:szCs w:val="16"/>
        </w:rPr>
        <w:t>КОМИТЕТ ПО РАДИОФИКАЦИИ И РАДИОВЕЩАНИЮ при СОВЕТЕ МИНИСТРОВ СССР В ПОМОЩЬ МЕСТНЫМ РАДИОКОМИТЕТАМ</w:t>
      </w:r>
    </w:p>
    <w:p w14:paraId="208A435C" w14:textId="77777777" w:rsidR="0002077A" w:rsidRPr="00925F26" w:rsidRDefault="0002077A" w:rsidP="00925F26">
      <w:pPr>
        <w:jc w:val="both"/>
        <w:rPr>
          <w:color w:val="000000" w:themeColor="text1"/>
          <w:sz w:val="16"/>
          <w:szCs w:val="16"/>
        </w:rPr>
      </w:pPr>
      <w:r w:rsidRPr="00925F26">
        <w:rPr>
          <w:color w:val="000000" w:themeColor="text1"/>
          <w:sz w:val="16"/>
          <w:szCs w:val="16"/>
        </w:rPr>
        <w:t>На правах рукописи</w:t>
      </w:r>
    </w:p>
    <w:p w14:paraId="7346F5FD" w14:textId="77777777" w:rsidR="0002077A" w:rsidRPr="00925F26" w:rsidRDefault="0002077A" w:rsidP="00925F26">
      <w:pPr>
        <w:jc w:val="both"/>
        <w:rPr>
          <w:color w:val="000000" w:themeColor="text1"/>
          <w:sz w:val="16"/>
          <w:szCs w:val="16"/>
        </w:rPr>
      </w:pPr>
      <w:r w:rsidRPr="00925F26">
        <w:rPr>
          <w:color w:val="000000" w:themeColor="text1"/>
          <w:sz w:val="16"/>
          <w:szCs w:val="16"/>
        </w:rPr>
        <w:t>МАТЕРИАЛЫ ЦЕНТРАЛЬНОГО РАДИОВЕЩАНИЯ</w:t>
      </w:r>
    </w:p>
    <w:p w14:paraId="0457D563" w14:textId="77777777" w:rsidR="0002077A" w:rsidRPr="00925F26" w:rsidRDefault="0002077A" w:rsidP="00925F26">
      <w:pPr>
        <w:jc w:val="both"/>
        <w:rPr>
          <w:color w:val="000000" w:themeColor="text1"/>
          <w:sz w:val="16"/>
          <w:szCs w:val="16"/>
        </w:rPr>
      </w:pPr>
      <w:r w:rsidRPr="00925F26">
        <w:rPr>
          <w:color w:val="000000" w:themeColor="text1"/>
          <w:sz w:val="16"/>
          <w:szCs w:val="16"/>
        </w:rPr>
        <w:t>ЛАУРЕАТ СТАЛИНСКОЙ ПРЕМИИ. ДОКТОР ФИЗИКО-МАТЕМАТИЧЕСКИХ НАУК. ПРОФЕССОР ЛЕВ ДАВЫДОВИЧ ЛАНДАУ</w:t>
      </w:r>
    </w:p>
    <w:p w14:paraId="38A1EECA" w14:textId="77777777" w:rsidR="0002077A" w:rsidRPr="00925F26" w:rsidRDefault="0002077A" w:rsidP="00925F26">
      <w:pPr>
        <w:jc w:val="both"/>
        <w:rPr>
          <w:color w:val="000000" w:themeColor="text1"/>
          <w:sz w:val="16"/>
          <w:szCs w:val="16"/>
        </w:rPr>
      </w:pPr>
      <w:r w:rsidRPr="00925F26">
        <w:rPr>
          <w:color w:val="000000" w:themeColor="text1"/>
          <w:sz w:val="16"/>
          <w:szCs w:val="16"/>
        </w:rPr>
        <w:t>АТОМНАЯ ЭНЕРГИЯ</w:t>
      </w:r>
    </w:p>
    <w:p w14:paraId="37527B39" w14:textId="77777777" w:rsidR="0002077A" w:rsidRPr="00925F26" w:rsidRDefault="0002077A" w:rsidP="00925F26">
      <w:pPr>
        <w:jc w:val="both"/>
        <w:rPr>
          <w:color w:val="000000" w:themeColor="text1"/>
          <w:sz w:val="16"/>
          <w:szCs w:val="16"/>
        </w:rPr>
      </w:pPr>
      <w:r w:rsidRPr="00925F26">
        <w:rPr>
          <w:color w:val="000000" w:themeColor="text1"/>
          <w:sz w:val="16"/>
          <w:szCs w:val="16"/>
        </w:rPr>
        <w:t>Приложение № 2</w:t>
      </w:r>
    </w:p>
    <w:p w14:paraId="724E0A41" w14:textId="77777777" w:rsidR="0002077A" w:rsidRPr="00925F26" w:rsidRDefault="0002077A" w:rsidP="00925F26">
      <w:pPr>
        <w:jc w:val="both"/>
        <w:rPr>
          <w:color w:val="000000" w:themeColor="text1"/>
          <w:sz w:val="16"/>
          <w:szCs w:val="16"/>
        </w:rPr>
      </w:pPr>
      <w:r w:rsidRPr="00925F26">
        <w:rPr>
          <w:color w:val="000000" w:themeColor="text1"/>
          <w:sz w:val="16"/>
          <w:szCs w:val="16"/>
        </w:rPr>
        <w:t>Статья Л.Д. Ландау «Атомная энергия»</w:t>
      </w:r>
    </w:p>
    <w:p w14:paraId="36EC4392" w14:textId="77777777" w:rsidR="0002077A" w:rsidRPr="00925F26" w:rsidRDefault="0002077A" w:rsidP="00925F26">
      <w:pPr>
        <w:jc w:val="both"/>
        <w:rPr>
          <w:color w:val="000000" w:themeColor="text1"/>
          <w:sz w:val="16"/>
          <w:szCs w:val="16"/>
        </w:rPr>
      </w:pPr>
      <w:r w:rsidRPr="00925F26">
        <w:rPr>
          <w:color w:val="000000" w:themeColor="text1"/>
          <w:sz w:val="16"/>
          <w:szCs w:val="16"/>
        </w:rPr>
        <w:lastRenderedPageBreak/>
        <w:t>Лауреат Сталинской премии, доктор физико-математических наук, профессор Лев Давидович Ландау</w:t>
      </w:r>
    </w:p>
    <w:p w14:paraId="20E8F781" w14:textId="77777777" w:rsidR="0002077A" w:rsidRPr="00925F26" w:rsidRDefault="0002077A" w:rsidP="00925F26">
      <w:pPr>
        <w:jc w:val="both"/>
        <w:rPr>
          <w:color w:val="000000" w:themeColor="text1"/>
          <w:sz w:val="16"/>
          <w:szCs w:val="16"/>
        </w:rPr>
      </w:pPr>
      <w:r w:rsidRPr="00925F26">
        <w:rPr>
          <w:color w:val="000000" w:themeColor="text1"/>
          <w:sz w:val="16"/>
          <w:szCs w:val="16"/>
        </w:rPr>
        <w:t>Атомная энергия</w:t>
      </w:r>
    </w:p>
    <w:p w14:paraId="246BE3EF" w14:textId="77777777" w:rsidR="0002077A" w:rsidRPr="00925F26" w:rsidRDefault="0002077A" w:rsidP="00925F26">
      <w:pPr>
        <w:jc w:val="both"/>
        <w:rPr>
          <w:color w:val="000000" w:themeColor="text1"/>
          <w:sz w:val="16"/>
          <w:szCs w:val="16"/>
        </w:rPr>
      </w:pPr>
      <w:r w:rsidRPr="00925F26">
        <w:rPr>
          <w:color w:val="000000" w:themeColor="text1"/>
          <w:sz w:val="16"/>
          <w:szCs w:val="16"/>
        </w:rPr>
        <w:t>О существовании внутриатомной энергии стало известно человечеству очень недавно. Можно даже назвать дату, когда она вдруг неожиданно «объявилась» и удивила физиков. Это было ровно полвека назад.</w:t>
      </w:r>
    </w:p>
    <w:p w14:paraId="5A141A05" w14:textId="77777777" w:rsidR="0002077A" w:rsidRPr="00925F26" w:rsidRDefault="0002077A" w:rsidP="00925F26">
      <w:pPr>
        <w:jc w:val="both"/>
        <w:rPr>
          <w:color w:val="000000" w:themeColor="text1"/>
          <w:sz w:val="16"/>
          <w:szCs w:val="16"/>
        </w:rPr>
      </w:pPr>
      <w:r w:rsidRPr="00925F26">
        <w:rPr>
          <w:color w:val="000000" w:themeColor="text1"/>
          <w:sz w:val="16"/>
          <w:szCs w:val="16"/>
        </w:rPr>
        <w:t>Что же представляла собой физика в то время?</w:t>
      </w:r>
    </w:p>
    <w:p w14:paraId="5037159F" w14:textId="77777777" w:rsidR="0002077A" w:rsidRPr="00925F26" w:rsidRDefault="0002077A" w:rsidP="00925F26">
      <w:pPr>
        <w:jc w:val="both"/>
        <w:rPr>
          <w:color w:val="000000" w:themeColor="text1"/>
          <w:sz w:val="16"/>
          <w:szCs w:val="16"/>
        </w:rPr>
      </w:pPr>
      <w:r w:rsidRPr="00925F26">
        <w:rPr>
          <w:color w:val="000000" w:themeColor="text1"/>
          <w:sz w:val="16"/>
          <w:szCs w:val="16"/>
        </w:rPr>
        <w:t>Еще в конце восемнадцатого века французский химик Лавуазье показал, что все вещества окружающей природы построены из неизменных составных частей — простых тел, элементов. Вода есть соединение кислорода и водорода. Но кислород и водород ни из каких других веществ не образуются. Они неразложимы. К концу прошлого века было известно более семидесяти таких элементов. Физики знали, что все они состоят из мельчайших частичек— атомов. Это твердо установил еще английский ученый Дальтон. Легче всех— атом водорода. Самый тяжелый, почти в 240 раз тяжелее, — атом урана.</w:t>
      </w:r>
    </w:p>
    <w:p w14:paraId="6C454C80" w14:textId="77777777" w:rsidR="0002077A" w:rsidRPr="00925F26" w:rsidRDefault="0002077A" w:rsidP="00925F26">
      <w:pPr>
        <w:jc w:val="both"/>
        <w:rPr>
          <w:color w:val="000000" w:themeColor="text1"/>
          <w:sz w:val="16"/>
          <w:szCs w:val="16"/>
        </w:rPr>
      </w:pPr>
      <w:r w:rsidRPr="00925F26">
        <w:rPr>
          <w:color w:val="000000" w:themeColor="text1"/>
          <w:sz w:val="16"/>
          <w:szCs w:val="16"/>
        </w:rPr>
        <w:t>Когда великий русский химик Менделеев расположил элементы в порядке возрастающего веса их атомов, у него получилась замечательная таблица, с помощью которой он предсказал существование новых, неизвестных элементов. Они потом действительно были открыты.</w:t>
      </w:r>
    </w:p>
    <w:p w14:paraId="3994BF3D" w14:textId="77777777" w:rsidR="0002077A" w:rsidRPr="00925F26" w:rsidRDefault="0002077A" w:rsidP="00925F26">
      <w:pPr>
        <w:jc w:val="both"/>
        <w:rPr>
          <w:color w:val="000000" w:themeColor="text1"/>
          <w:sz w:val="16"/>
          <w:szCs w:val="16"/>
        </w:rPr>
      </w:pPr>
      <w:r w:rsidRPr="00925F26">
        <w:rPr>
          <w:color w:val="000000" w:themeColor="text1"/>
          <w:sz w:val="16"/>
          <w:szCs w:val="16"/>
        </w:rPr>
        <w:t>Место, которое занимает каждый элемент в таблице, оказалось в дальнейшем еще более важным, чем думал сам Менделеев. Оно называется атомным номером.</w:t>
      </w:r>
    </w:p>
    <w:p w14:paraId="1A796100" w14:textId="77777777" w:rsidR="0002077A" w:rsidRPr="00925F26" w:rsidRDefault="0002077A" w:rsidP="00925F26">
      <w:pPr>
        <w:jc w:val="both"/>
        <w:rPr>
          <w:color w:val="000000" w:themeColor="text1"/>
          <w:sz w:val="16"/>
          <w:szCs w:val="16"/>
        </w:rPr>
      </w:pPr>
      <w:r w:rsidRPr="00925F26">
        <w:rPr>
          <w:color w:val="000000" w:themeColor="text1"/>
          <w:sz w:val="16"/>
          <w:szCs w:val="16"/>
        </w:rPr>
        <w:t>Водород открывает таблицу и обозначен номером первым. За ним идет гелий — под номером два. Самый последний — уран — имеет девяносто второй номер.</w:t>
      </w:r>
    </w:p>
    <w:p w14:paraId="3D8B0EAC" w14:textId="77777777" w:rsidR="0002077A" w:rsidRPr="00925F26" w:rsidRDefault="0002077A" w:rsidP="00925F26">
      <w:pPr>
        <w:jc w:val="both"/>
        <w:rPr>
          <w:color w:val="000000" w:themeColor="text1"/>
          <w:sz w:val="16"/>
          <w:szCs w:val="16"/>
        </w:rPr>
      </w:pPr>
      <w:r w:rsidRPr="00925F26">
        <w:rPr>
          <w:color w:val="000000" w:themeColor="text1"/>
          <w:sz w:val="16"/>
          <w:szCs w:val="16"/>
        </w:rPr>
        <w:t>В 1896 году было сделано удивительное открытие, поставившее науку в тупик. Французский физик Анри Беккерель обнаружил, что уран и все его соединения без всякой внешней причины испускают невидимые для глаз лучи. Этому явлению дали название радиоактивности (от латинского слова «радиус» — луч) и стали прилежно его изучать.</w:t>
      </w:r>
    </w:p>
    <w:p w14:paraId="1ABEB5E0" w14:textId="77777777" w:rsidR="0002077A" w:rsidRPr="00925F26" w:rsidRDefault="0002077A" w:rsidP="00925F26">
      <w:pPr>
        <w:jc w:val="both"/>
        <w:rPr>
          <w:color w:val="000000" w:themeColor="text1"/>
          <w:sz w:val="16"/>
          <w:szCs w:val="16"/>
        </w:rPr>
      </w:pPr>
      <w:r w:rsidRPr="00925F26">
        <w:rPr>
          <w:color w:val="000000" w:themeColor="text1"/>
          <w:sz w:val="16"/>
          <w:szCs w:val="16"/>
        </w:rPr>
        <w:t>Вскоре выяснилось, что радиоактивными являются все девять последних элементов периодической системы — от восемьдесят четвертого до девяносто второго.</w:t>
      </w:r>
    </w:p>
    <w:p w14:paraId="2154209A" w14:textId="77777777" w:rsidR="0002077A" w:rsidRPr="00925F26" w:rsidRDefault="0002077A" w:rsidP="00925F26">
      <w:pPr>
        <w:jc w:val="both"/>
        <w:rPr>
          <w:color w:val="000000" w:themeColor="text1"/>
          <w:sz w:val="16"/>
          <w:szCs w:val="16"/>
        </w:rPr>
      </w:pPr>
      <w:r w:rsidRPr="00925F26">
        <w:rPr>
          <w:color w:val="000000" w:themeColor="text1"/>
          <w:sz w:val="16"/>
          <w:szCs w:val="16"/>
        </w:rPr>
        <w:t>Радиоактивные вещества требуют большой осторожности в обращении. Беккерель держал некоторое время крупицы радия в жилетном кармане; в результате у него на груди образовалась рана, которая потребовала длительного лечения. Таково действие лучей радиоактивных веществ на живые ткани. В дальнейшем выяснилось, что еще более разрушительное действие оказывает радиоактивность на клетки раковых опухолей. Поэтому эти вещества получили широкое применение в медицине.</w:t>
      </w:r>
    </w:p>
    <w:p w14:paraId="33737FB3" w14:textId="77777777" w:rsidR="0002077A" w:rsidRPr="00925F26" w:rsidRDefault="0002077A" w:rsidP="00925F26">
      <w:pPr>
        <w:jc w:val="both"/>
        <w:rPr>
          <w:color w:val="000000" w:themeColor="text1"/>
          <w:sz w:val="16"/>
          <w:szCs w:val="16"/>
        </w:rPr>
      </w:pPr>
      <w:r w:rsidRPr="00925F26">
        <w:rPr>
          <w:color w:val="000000" w:themeColor="text1"/>
          <w:sz w:val="16"/>
          <w:szCs w:val="16"/>
        </w:rPr>
        <w:t>Природу радиоактивности объяснил один из крупнейших физиков двадцатого века — англичанин Эрнест Резерфорд. Оказалось, что считавшиеся неизменными атомы вещества на самом деле распадаются и лучи представляют собою летящие во все стороны осколки. Радий распадается на тяжелые атомы радиоактивного элемента радона и на более легкие атомы гелия, летящие с громадной скоростью пятнадцати тысяч километров в секунду и получившие название альфа-лучей.</w:t>
      </w:r>
    </w:p>
    <w:p w14:paraId="70F6C201" w14:textId="77777777" w:rsidR="0002077A" w:rsidRPr="00925F26" w:rsidRDefault="0002077A" w:rsidP="00925F26">
      <w:pPr>
        <w:jc w:val="both"/>
        <w:rPr>
          <w:color w:val="000000" w:themeColor="text1"/>
          <w:sz w:val="16"/>
          <w:szCs w:val="16"/>
        </w:rPr>
      </w:pPr>
      <w:r w:rsidRPr="00925F26">
        <w:rPr>
          <w:color w:val="000000" w:themeColor="text1"/>
          <w:sz w:val="16"/>
          <w:szCs w:val="16"/>
        </w:rPr>
        <w:t>Процесс распада радиоактивных атомов происходит с различной быстротой. Уран распадается необычайно медленно: количество его на Земле уменьшится вдвое примерно через пять миллиардов лет. За два-три миллиарда лет существования Земли около четвертой части имевшегося урана уже распалось. Гораздо быстрее распадается радий. Его запасы уменьшаются вдвое примерно за полторы тысячи лет. Ясно, что весь радий, когда-то бывший на Земле, давно исчез, а тот, что имеется сейчас, непрерывно возникает из урана. Неудивительно, что его добыто всего лишь около килограмма.</w:t>
      </w:r>
    </w:p>
    <w:p w14:paraId="457D813F" w14:textId="77777777" w:rsidR="0002077A" w:rsidRPr="00925F26" w:rsidRDefault="0002077A" w:rsidP="00925F26">
      <w:pPr>
        <w:jc w:val="both"/>
        <w:rPr>
          <w:color w:val="000000" w:themeColor="text1"/>
          <w:sz w:val="16"/>
          <w:szCs w:val="16"/>
        </w:rPr>
      </w:pPr>
      <w:r w:rsidRPr="00925F26">
        <w:rPr>
          <w:color w:val="000000" w:themeColor="text1"/>
          <w:sz w:val="16"/>
          <w:szCs w:val="16"/>
        </w:rPr>
        <w:t>Распад атомов сопровождается выделением энергии. Один килограмм урана при распаде выделяет столько же тепла, сколько дают пятьдесят тонн угля. Казалось бы, энергии немало, но она постепенно выделяется в течение нескольких миллиардов лет. Поэтому целые тонны урана не смогут отопить даже маленькой комнаты. Легко рассчитать, что всего собранного на Земле радия хватило бы разве на то, чтобы вскипятить за сутки два больших чайника. Правда, их можно кипятить в продолжение тысячелетий, но вряд ли стоит этим заниматься. Другое дело, если процесс радиоактивного распада можно было бы ускорить. Перспектива замены ста тонн угля двумя килограммами урана выглядит очень заманчиво. Однако все попытки повлиять на скорость радиоактивного распада оказались безрезультатными. Он продолжается с точностью, далеко превосходящей лучшие часовые механизмы.</w:t>
      </w:r>
    </w:p>
    <w:p w14:paraId="7AD4227A" w14:textId="77777777" w:rsidR="0002077A" w:rsidRPr="00925F26" w:rsidRDefault="0002077A" w:rsidP="00925F26">
      <w:pPr>
        <w:jc w:val="both"/>
        <w:rPr>
          <w:color w:val="000000" w:themeColor="text1"/>
          <w:sz w:val="16"/>
          <w:szCs w:val="16"/>
        </w:rPr>
      </w:pPr>
      <w:r w:rsidRPr="00925F26">
        <w:rPr>
          <w:color w:val="000000" w:themeColor="text1"/>
          <w:sz w:val="16"/>
          <w:szCs w:val="16"/>
        </w:rPr>
        <w:t>Что собою представляют таинственные атомы, которые невозможно разбить, несмотря ни на какие старания, и которые, с другой стороны, ни с того ни с сего сами распадаются? На этот вопрос наука отвечает ясно и определенно. Никакого сплошного атома не существует. Он похож на солнечную систему с тяжелым ядром посредине и легкими электронами, движущимися вокруг него. Тяжесть ядра, конечно, относительная. Самое тяжелое ядро весит в сотни миллиардов раз меньше грамма. Ученые определили и силы, которые действуют между частицами, входящими в состав атома. Это силы электрического притяжения и отталкивания. Ядро заряжено положительным электричеством, электроны — отрицательным. Поэтому электроны притягиваются к ядру и отталкиваются друг от друга.</w:t>
      </w:r>
    </w:p>
    <w:p w14:paraId="373BA54C" w14:textId="77777777" w:rsidR="0002077A" w:rsidRPr="00925F26" w:rsidRDefault="0002077A" w:rsidP="00925F26">
      <w:pPr>
        <w:jc w:val="both"/>
        <w:rPr>
          <w:color w:val="000000" w:themeColor="text1"/>
          <w:sz w:val="16"/>
          <w:szCs w:val="16"/>
        </w:rPr>
      </w:pPr>
      <w:r w:rsidRPr="00925F26">
        <w:rPr>
          <w:color w:val="000000" w:themeColor="text1"/>
          <w:sz w:val="16"/>
          <w:szCs w:val="16"/>
        </w:rPr>
        <w:t>Значение этого открытия огромно. Теперь, наконец, человечество впервые узнало, как построена материя. После того как установили механику движения электронов в атоме, люди научились распознавать свойства веществ иногда лучше, чем свойства машин, которые сами создали.</w:t>
      </w:r>
    </w:p>
    <w:p w14:paraId="06411B92" w14:textId="77777777" w:rsidR="0002077A" w:rsidRPr="00925F26" w:rsidRDefault="0002077A" w:rsidP="00925F26">
      <w:pPr>
        <w:jc w:val="both"/>
        <w:rPr>
          <w:color w:val="000000" w:themeColor="text1"/>
          <w:sz w:val="16"/>
          <w:szCs w:val="16"/>
        </w:rPr>
      </w:pPr>
      <w:r w:rsidRPr="00925F26">
        <w:rPr>
          <w:color w:val="000000" w:themeColor="text1"/>
          <w:sz w:val="16"/>
          <w:szCs w:val="16"/>
        </w:rPr>
        <w:t>Все электроны совершенно одинаковы. Их число в атоме определяется зарядом его ядра.</w:t>
      </w:r>
    </w:p>
    <w:p w14:paraId="0ACB640B" w14:textId="77777777" w:rsidR="0002077A" w:rsidRPr="00925F26" w:rsidRDefault="0002077A" w:rsidP="00925F26">
      <w:pPr>
        <w:jc w:val="both"/>
        <w:rPr>
          <w:color w:val="000000" w:themeColor="text1"/>
          <w:sz w:val="16"/>
          <w:szCs w:val="16"/>
        </w:rPr>
      </w:pPr>
      <w:r w:rsidRPr="00925F26">
        <w:rPr>
          <w:color w:val="000000" w:themeColor="text1"/>
          <w:sz w:val="16"/>
          <w:szCs w:val="16"/>
        </w:rPr>
        <w:t>Электрический заряд ядра имеет для свойств атома несравненно большее значение, чем его вес или масса. Два ядра с одинаковым зарядом, но различной массой дают атомы настолько похожие, что их почти невозможно различить. Мы всегда принимаем их за атомы того же самого элемента. В действительности они не совсем одинаковы. Их называют изотопами. У водорода наряду с обычными ядрами — протонами — иногда присутствуют в ничтожном количестве дейтроны, вес которых вдвое больше. Водород с ядрами удвоенного веса называется тяжелым водородом, а вода, приготовленная из него, — тяжелой водой. Она составляет всего около сотой доли процента природной воды, и добывать ее приходится с чрезвычайным трудом. Тяжелая вода кипит при ста трех градусах, и вообще разница между обыкновенной и тяжелой водой очень невелика. У водорода, таким образом, один изотоп является ничтожной примесью. В других случаях дело обстоит иначе. Например, в любом количестве хлора около половины его атомов несколько легче, другая — тяжелее. Он состоит из смеси двух изотопов почти поровну.</w:t>
      </w:r>
    </w:p>
    <w:p w14:paraId="37C9AFB8" w14:textId="77777777" w:rsidR="0002077A" w:rsidRPr="00925F26" w:rsidRDefault="0002077A" w:rsidP="00925F26">
      <w:pPr>
        <w:jc w:val="both"/>
        <w:rPr>
          <w:color w:val="000000" w:themeColor="text1"/>
          <w:sz w:val="16"/>
          <w:szCs w:val="16"/>
        </w:rPr>
      </w:pPr>
      <w:r w:rsidRPr="00925F26">
        <w:rPr>
          <w:color w:val="000000" w:themeColor="text1"/>
          <w:sz w:val="16"/>
          <w:szCs w:val="16"/>
        </w:rPr>
        <w:t>Радиоактивность — это распад атомного ядра, распад той маленькой частицы, которая находится в центре атома. Но она сама имеет сложное строение. Тяжелые ядра химических элементов, стоящих в последнем ряду системы Менделеева, неустойчивы и постепенно одно за другим распадаются.</w:t>
      </w:r>
    </w:p>
    <w:p w14:paraId="4F6708C0" w14:textId="77777777" w:rsidR="0002077A" w:rsidRPr="00925F26" w:rsidRDefault="0002077A" w:rsidP="00925F26">
      <w:pPr>
        <w:jc w:val="both"/>
        <w:rPr>
          <w:color w:val="000000" w:themeColor="text1"/>
          <w:sz w:val="16"/>
          <w:szCs w:val="16"/>
        </w:rPr>
      </w:pPr>
      <w:r w:rsidRPr="00925F26">
        <w:rPr>
          <w:color w:val="000000" w:themeColor="text1"/>
          <w:sz w:val="16"/>
          <w:szCs w:val="16"/>
        </w:rPr>
        <w:t>Большое количество энергии, выделяющееся при распаде, показывает, что взаимодействие частиц внутри ядер гораздо сильнее, чем взаимодействие между электронами и ядром. Это и естественно, если принять во внимание колоссальную тесноту, необычайную уплотненность вещества внутри ядер. Расстояние между частицами в ядрах в десятки тысяч раз меньше, чем расстояние между ядром и окружающими его электронами.</w:t>
      </w:r>
    </w:p>
    <w:p w14:paraId="3EC77E99" w14:textId="77777777" w:rsidR="0002077A" w:rsidRPr="00925F26" w:rsidRDefault="0002077A" w:rsidP="00925F26">
      <w:pPr>
        <w:jc w:val="both"/>
        <w:rPr>
          <w:color w:val="000000" w:themeColor="text1"/>
          <w:sz w:val="16"/>
          <w:szCs w:val="16"/>
        </w:rPr>
      </w:pPr>
      <w:r w:rsidRPr="00925F26">
        <w:rPr>
          <w:color w:val="000000" w:themeColor="text1"/>
          <w:sz w:val="16"/>
          <w:szCs w:val="16"/>
        </w:rPr>
        <w:t>Физики не любят ограничиваться простым наблюдением того, что происходит в природе независимо от них. Им всегда хочется вмешаться самим. Двадцать семь лет назад Резерфорду удалось искусственным путем расщепить атомное ядро. Идея его эксперимента была очень проста. Он облучал различные вещества лучами радиоактивных элементов, то есть обстреливал их пулями, состоящими из ядер атомов гелия, движущихся со скоростью пятнадцать тысяч километров в секунду— в несколько тысяч раз быстрее, чем пушечный снаряд. При облучении азота ему удалось, наконец, осуществить превращение элементов. Это было мечтой алхимиков и почти полтора столетия считалось совершенно невозможным. В результате обстрела ядро атома азота поглотило альфа-частицу и тотчас же выбросило из себя протон. На месте азота оказался ничего общего с ним не имеющий кислород. Так азот и гелий были превращены в кислород и водород.</w:t>
      </w:r>
    </w:p>
    <w:p w14:paraId="06508D0D" w14:textId="77777777" w:rsidR="0002077A" w:rsidRPr="00925F26" w:rsidRDefault="0002077A" w:rsidP="00925F26">
      <w:pPr>
        <w:jc w:val="both"/>
        <w:rPr>
          <w:color w:val="000000" w:themeColor="text1"/>
          <w:sz w:val="16"/>
          <w:szCs w:val="16"/>
        </w:rPr>
      </w:pPr>
      <w:r w:rsidRPr="00925F26">
        <w:rPr>
          <w:color w:val="000000" w:themeColor="text1"/>
          <w:sz w:val="16"/>
          <w:szCs w:val="16"/>
        </w:rPr>
        <w:t>Только четверть века прошло с того времени, когда человек осуществил первую ядерную реакцию. Но теперь число их достигло многих сотен. Правда, возможности для этого необычайно возросли. Сейчас уже нет необходимости ограничиваться альфа-лучами радиоактивных веществ. В распоряжении физиков имеются более удобные пулеметы, дающие значительно больше пуль, движущихся с гораздо большей скоростью. Существует много различных приборов этого рода. С помощью аппарата циклотрона получают мощные пучки протонов, дейтронов или альфа-частиц, скорость которых достигает более тридцати тысяч километров в секунду.</w:t>
      </w:r>
    </w:p>
    <w:p w14:paraId="5B3FDA8D" w14:textId="77777777" w:rsidR="0002077A" w:rsidRPr="00925F26" w:rsidRDefault="0002077A" w:rsidP="00925F26">
      <w:pPr>
        <w:jc w:val="both"/>
        <w:rPr>
          <w:color w:val="000000" w:themeColor="text1"/>
          <w:sz w:val="16"/>
          <w:szCs w:val="16"/>
        </w:rPr>
      </w:pPr>
      <w:r w:rsidRPr="00925F26">
        <w:rPr>
          <w:color w:val="000000" w:themeColor="text1"/>
          <w:sz w:val="16"/>
          <w:szCs w:val="16"/>
        </w:rPr>
        <w:t>При многих ядерных реакциях энергии выделяется больше, чем в процессе радиоактивного распада. Однако она не поддается использованию. Дело в том, что ядерные реакции крайне неэффективны. Летящие частицы, положительно заряженные, как и ядро атома, отталкиваются от него. Только очень быстро двигаясь, они могут влететь внутрь ядра и вызвать реакцию. Между тем эти частицы, находясь внутри материи, постепенно замедляются и становятся бессильными преодолеть отталкивание.</w:t>
      </w:r>
    </w:p>
    <w:p w14:paraId="3BB04138" w14:textId="77777777" w:rsidR="0002077A" w:rsidRPr="00925F26" w:rsidRDefault="0002077A" w:rsidP="00925F26">
      <w:pPr>
        <w:jc w:val="both"/>
        <w:rPr>
          <w:color w:val="000000" w:themeColor="text1"/>
          <w:sz w:val="16"/>
          <w:szCs w:val="16"/>
        </w:rPr>
      </w:pPr>
      <w:r w:rsidRPr="00925F26">
        <w:rPr>
          <w:color w:val="000000" w:themeColor="text1"/>
          <w:sz w:val="16"/>
          <w:szCs w:val="16"/>
        </w:rPr>
        <w:t>Для ничтожно малой альфа-частицы, летящей внутри вещества, расстояния между атомами, между ядрами и окружающими их электронами так велики, что вероятность попадания ее в какое-нибудь ядро крайне сомнительна. Представьте себе лес, где каждое дерево находится от другого в пяти километрах. Можно ли попасть снарядом в какое-нибудь дерево без прицела? Ясно, что при этих условиях в лучшем случае удается вызвать одну ядерную реакцию с помощью миллиона частиц. Таким образом, на ускорение множества летящих частиц в циклотроне приходится затрачивать энергии гораздо больше, чем можно получить в результате ядерной реакции. Положение выглядело настолько безнадежно, что физики долгое время относились к перспективе использования внутриядерной энергии примерно так же, как к проблеме вечного двигателя.</w:t>
      </w:r>
    </w:p>
    <w:p w14:paraId="73C2CDB1" w14:textId="77777777" w:rsidR="0002077A" w:rsidRPr="00925F26" w:rsidRDefault="0002077A" w:rsidP="00925F26">
      <w:pPr>
        <w:jc w:val="both"/>
        <w:rPr>
          <w:color w:val="000000" w:themeColor="text1"/>
          <w:sz w:val="16"/>
          <w:szCs w:val="16"/>
        </w:rPr>
      </w:pPr>
      <w:r w:rsidRPr="00925F26">
        <w:rPr>
          <w:color w:val="000000" w:themeColor="text1"/>
          <w:sz w:val="16"/>
          <w:szCs w:val="16"/>
        </w:rPr>
        <w:t>Хитрая природа, оказывается, только дразнила физиков. Там, где все казалось ясным, вдруг открылись новые, неожиданные явления. Ученые обнаружили, что при облучении альфа-лучами элемента бериллия из его ядра выбрасываются новые частицы, отличающиеся электрической нейтральностью. Они получили название нейтронов. Далее выяснилось, что в действительности нейтроны, наряду с протонами, являются теми кирпичами, из которых построены все ядра атомов, вся материя. Например, дейтрон — это соединение одного протона и одного нейтрона, гелий — соединение двух протонов и двух нейтронов и т.д. Ядро урана содержит девяносто два протона и сто сорок шесть нейтронов.</w:t>
      </w:r>
    </w:p>
    <w:p w14:paraId="135A0307" w14:textId="77777777" w:rsidR="0002077A" w:rsidRPr="00925F26" w:rsidRDefault="0002077A" w:rsidP="00925F26">
      <w:pPr>
        <w:jc w:val="both"/>
        <w:rPr>
          <w:color w:val="000000" w:themeColor="text1"/>
          <w:sz w:val="16"/>
          <w:szCs w:val="16"/>
        </w:rPr>
      </w:pPr>
      <w:r w:rsidRPr="00925F26">
        <w:rPr>
          <w:color w:val="000000" w:themeColor="text1"/>
          <w:sz w:val="16"/>
          <w:szCs w:val="16"/>
        </w:rPr>
        <w:t>Открытие нейтронов произвело переворот в ядерной артиллерии. Ведь они не отталкиваются, и поэтому ничто не препятствует им проникнуть в ядро. Они путешествуют в материи до тех пор, пока не влетят в какое-нибудь ядро и не застрянут в нем, либо поглотившись, либо вызвав другую ядерную реакцию. Нейтроны во всех случаях безотказно вызывают ядерные превращения. Это заговоренные пули, которые всегда находят намеченную жертву.</w:t>
      </w:r>
    </w:p>
    <w:p w14:paraId="7F32E39A" w14:textId="77777777" w:rsidR="0002077A" w:rsidRPr="00925F26" w:rsidRDefault="0002077A" w:rsidP="00925F26">
      <w:pPr>
        <w:jc w:val="both"/>
        <w:rPr>
          <w:color w:val="000000" w:themeColor="text1"/>
          <w:sz w:val="16"/>
          <w:szCs w:val="16"/>
        </w:rPr>
      </w:pPr>
      <w:r w:rsidRPr="00925F26">
        <w:rPr>
          <w:color w:val="000000" w:themeColor="text1"/>
          <w:sz w:val="16"/>
          <w:szCs w:val="16"/>
        </w:rPr>
        <w:t>Нейтрон открыл вход в зачарованный замок, где хранится внутриядерная энергия. Но здесь осталась еще более прочная дверь, как бы окованная железом. Когда нейтрон производит реакцию, из ядра вместо нейтрона вылетает заряженный протон или альфа-частица. Они застревают в материи, и реакция останавливается. Надежда на успех казалась обманчивой. Но главное все же было сделано: мысль о доступности внутриатомной энергии стала крепнуть.</w:t>
      </w:r>
    </w:p>
    <w:p w14:paraId="5E5296C3" w14:textId="77777777" w:rsidR="0002077A" w:rsidRPr="00925F26" w:rsidRDefault="0002077A" w:rsidP="00925F26">
      <w:pPr>
        <w:jc w:val="both"/>
        <w:rPr>
          <w:color w:val="000000" w:themeColor="text1"/>
          <w:sz w:val="16"/>
          <w:szCs w:val="16"/>
        </w:rPr>
      </w:pPr>
      <w:r w:rsidRPr="00925F26">
        <w:rPr>
          <w:color w:val="000000" w:themeColor="text1"/>
          <w:sz w:val="16"/>
          <w:szCs w:val="16"/>
        </w:rPr>
        <w:lastRenderedPageBreak/>
        <w:t>Семь лет назад появилось сообщение, что ядро урана при поглощении нейтронов не выбрасывает из себя, как обычно, протона или альфа-частицы, а делится на две части. Этот новый тип ядерной реакции получил название деления.</w:t>
      </w:r>
    </w:p>
    <w:p w14:paraId="216E8E95" w14:textId="77777777" w:rsidR="0002077A" w:rsidRPr="00925F26" w:rsidRDefault="0002077A" w:rsidP="00925F26">
      <w:pPr>
        <w:jc w:val="both"/>
        <w:rPr>
          <w:color w:val="000000" w:themeColor="text1"/>
          <w:sz w:val="16"/>
          <w:szCs w:val="16"/>
        </w:rPr>
      </w:pPr>
      <w:r w:rsidRPr="00925F26">
        <w:rPr>
          <w:color w:val="000000" w:themeColor="text1"/>
          <w:sz w:val="16"/>
          <w:szCs w:val="16"/>
        </w:rPr>
        <w:t>Казалось бы, что ничего особо важного не произошло. Однако именно деление явилось тем волшебным ключом, который открыл последнюю дверь, за которой скрывалась внутриядерная энергия. Тяжелый темно-серый металл уран, известный уже около ста лет, оказался тем философским камнем, который так долго и бесплодно искали алхимики. Дело даже не в том, что деление дает энергии в десять раз больше, чем обычная ядерная реакция. Оказалось, что в процессе деления из ядра выбрасываются от двух до трех новых нейтронов. Нейтроны, таким образом, не погибают, а возрождаются в удвоенном числе, опять проникают в соседние ядра урана, делят их, и так самопроизвольно, быстро нарастая, процесс может развиваться дальше. Это произвело на физиков ошеломляющее впечатление. Открылась клетка, в которой сидел зверь, страшную силу которого мы очень хорошо себе представляли.</w:t>
      </w:r>
    </w:p>
    <w:p w14:paraId="2960B881" w14:textId="77777777" w:rsidR="0002077A" w:rsidRPr="00925F26" w:rsidRDefault="0002077A" w:rsidP="00925F26">
      <w:pPr>
        <w:jc w:val="both"/>
        <w:rPr>
          <w:color w:val="000000" w:themeColor="text1"/>
          <w:sz w:val="16"/>
          <w:szCs w:val="16"/>
        </w:rPr>
      </w:pPr>
      <w:r w:rsidRPr="00925F26">
        <w:rPr>
          <w:color w:val="000000" w:themeColor="text1"/>
          <w:sz w:val="16"/>
          <w:szCs w:val="16"/>
        </w:rPr>
        <w:t>Однако сразу же возникли некоторые трудности. Природный уран содержит в основном изотоп с атомным весом 238 и ничтожную примесь изотопа 235. Оказалось, что уран-235 делится любыми нейтронами безотказно, а уран-238 — только очень быстрыми нейтронами. Нейтроны, движущиеся с меньшей скоростью, не только не делят ядер урана-238, но просто поглощаются им и выходят из игры. Значит, обычный, встречающийся в природе уран непригоден для деления.</w:t>
      </w:r>
    </w:p>
    <w:p w14:paraId="7E93068D" w14:textId="77777777" w:rsidR="0002077A" w:rsidRPr="00925F26" w:rsidRDefault="0002077A" w:rsidP="00925F26">
      <w:pPr>
        <w:jc w:val="both"/>
        <w:rPr>
          <w:color w:val="000000" w:themeColor="text1"/>
          <w:sz w:val="16"/>
          <w:szCs w:val="16"/>
        </w:rPr>
      </w:pPr>
      <w:r w:rsidRPr="00925F26">
        <w:rPr>
          <w:color w:val="000000" w:themeColor="text1"/>
          <w:sz w:val="16"/>
          <w:szCs w:val="16"/>
        </w:rPr>
        <w:t>Чтобы решить задачу, остается выделить из обычного урана чистый уран-235. Задача эта очень нелегкая, так как различие свойств этих двух изотопов совершенно ничтожно. Но физики нашли способ их разделения. Оставалось только преобразовать лабораторную технику в промышленную. Этим и занялись физики разных стран, подстегиваемые второй мировой войной. Грандиозность поставленной задачи видна уже из того, что американцы и англичане, имея в своем распоряжении громадные ресурсы техники и большинство физиков мира, вынуждены были напряженно работать более четырех лет.</w:t>
      </w:r>
    </w:p>
    <w:p w14:paraId="696F3952" w14:textId="77777777" w:rsidR="0002077A" w:rsidRPr="00925F26" w:rsidRDefault="0002077A" w:rsidP="00925F26">
      <w:pPr>
        <w:jc w:val="both"/>
        <w:rPr>
          <w:color w:val="000000" w:themeColor="text1"/>
          <w:sz w:val="16"/>
          <w:szCs w:val="16"/>
        </w:rPr>
      </w:pPr>
      <w:r w:rsidRPr="00925F26">
        <w:rPr>
          <w:color w:val="000000" w:themeColor="text1"/>
          <w:sz w:val="16"/>
          <w:szCs w:val="16"/>
        </w:rPr>
        <w:t>Решить эту проблему пыталась и фашистская Германия. Обанкротившийся Гитлер лихорадочно торопился создать новое орудие разрушения. Если немцы не достигли цели, то заслуга в этом принадлежит советскому народу, который уничтожил фашистского зверя в его берлоге, не дав ему совершить последний страшный прыжок. Немало объектов, имеющих отношение к созданию атомной бомбы, разрушила на территории Германии и союзная авиация.</w:t>
      </w:r>
    </w:p>
    <w:p w14:paraId="6AF6E06B" w14:textId="77777777" w:rsidR="0002077A" w:rsidRPr="00925F26" w:rsidRDefault="0002077A" w:rsidP="00925F26">
      <w:pPr>
        <w:jc w:val="both"/>
        <w:rPr>
          <w:color w:val="000000" w:themeColor="text1"/>
          <w:sz w:val="16"/>
          <w:szCs w:val="16"/>
        </w:rPr>
      </w:pPr>
      <w:r w:rsidRPr="00925F26">
        <w:rPr>
          <w:color w:val="000000" w:themeColor="text1"/>
          <w:sz w:val="16"/>
          <w:szCs w:val="16"/>
        </w:rPr>
        <w:t>Когда собрано достаточное количество урана-235, то для реакции все готово. Если же его слишком мало, то нейтроны, прежде чем попасть в ядро, будут бесплодно уходить в воздух. Размножения нейтронов не произойдет, и деление прекратится. Необходимое количество урана зависит от того, как он геометрически расположен. Его потребуется всего несколько килограммов в том случае, если всю массу собрать в форме шара.</w:t>
      </w:r>
    </w:p>
    <w:p w14:paraId="1C0C5CB6" w14:textId="77777777" w:rsidR="0002077A" w:rsidRPr="00925F26" w:rsidRDefault="0002077A" w:rsidP="00925F26">
      <w:pPr>
        <w:jc w:val="both"/>
        <w:rPr>
          <w:color w:val="000000" w:themeColor="text1"/>
          <w:sz w:val="16"/>
          <w:szCs w:val="16"/>
        </w:rPr>
      </w:pPr>
      <w:r w:rsidRPr="00925F26">
        <w:rPr>
          <w:color w:val="000000" w:themeColor="text1"/>
          <w:sz w:val="16"/>
          <w:szCs w:val="16"/>
        </w:rPr>
        <w:t>Чтобы получить мгновенный взрыв, можно, например, взять два куска урана, каждый из которых слишком мал для взрыва, и выстрелить одним в другой, «поджигая» нейтронами в момент попадания.</w:t>
      </w:r>
    </w:p>
    <w:p w14:paraId="214D8511" w14:textId="77777777" w:rsidR="0002077A" w:rsidRPr="00925F26" w:rsidRDefault="0002077A" w:rsidP="00925F26">
      <w:pPr>
        <w:jc w:val="both"/>
        <w:rPr>
          <w:color w:val="000000" w:themeColor="text1"/>
          <w:sz w:val="16"/>
          <w:szCs w:val="16"/>
        </w:rPr>
      </w:pPr>
      <w:r w:rsidRPr="00925F26">
        <w:rPr>
          <w:color w:val="000000" w:themeColor="text1"/>
          <w:sz w:val="16"/>
          <w:szCs w:val="16"/>
        </w:rPr>
        <w:t>Как показали дальнейшие исследования, разделение изотопов урана не единственный способ получения внутриатомной энергии. Оказывается, если сильно замедлить скорость движения нейтронов, реакция деления может произойти и на природном уране. Таким замедлителем служат легкие ядра других веществ, сталкиваясь с которыми нейтроны теряют заметную часть своей энергии движения.</w:t>
      </w:r>
    </w:p>
    <w:p w14:paraId="35F69393" w14:textId="77777777" w:rsidR="0002077A" w:rsidRPr="00925F26" w:rsidRDefault="0002077A" w:rsidP="00925F26">
      <w:pPr>
        <w:jc w:val="both"/>
        <w:rPr>
          <w:color w:val="000000" w:themeColor="text1"/>
          <w:sz w:val="16"/>
          <w:szCs w:val="16"/>
        </w:rPr>
      </w:pPr>
      <w:r w:rsidRPr="00925F26">
        <w:rPr>
          <w:color w:val="000000" w:themeColor="text1"/>
          <w:sz w:val="16"/>
          <w:szCs w:val="16"/>
        </w:rPr>
        <w:t>Лучшие замедлители — это тяжелый водород или тяжелая вода и углерод. Но этот медленный процесс деления непригоден для взрывов. Такой способ реакции был использован для создания уранового котла, настоящей ядерной кухни, в которой шныряют нейтроны и происходят ядерные реакции в неслыханных масштабах.</w:t>
      </w:r>
    </w:p>
    <w:p w14:paraId="4F88434C" w14:textId="77777777" w:rsidR="0002077A" w:rsidRPr="00925F26" w:rsidRDefault="0002077A" w:rsidP="00925F26">
      <w:pPr>
        <w:jc w:val="both"/>
        <w:rPr>
          <w:color w:val="000000" w:themeColor="text1"/>
          <w:sz w:val="16"/>
          <w:szCs w:val="16"/>
        </w:rPr>
      </w:pPr>
      <w:r w:rsidRPr="00925F26">
        <w:rPr>
          <w:color w:val="000000" w:themeColor="text1"/>
          <w:sz w:val="16"/>
          <w:szCs w:val="16"/>
        </w:rPr>
        <w:t>Для «поджигания» урана в котле нет необходимости впускать нейтроны со стороны.</w:t>
      </w:r>
    </w:p>
    <w:p w14:paraId="398A8CBB" w14:textId="77777777" w:rsidR="0002077A" w:rsidRPr="00925F26" w:rsidRDefault="0002077A" w:rsidP="00925F26">
      <w:pPr>
        <w:jc w:val="both"/>
        <w:rPr>
          <w:color w:val="000000" w:themeColor="text1"/>
          <w:sz w:val="16"/>
          <w:szCs w:val="16"/>
        </w:rPr>
      </w:pPr>
      <w:r w:rsidRPr="00925F26">
        <w:rPr>
          <w:color w:val="000000" w:themeColor="text1"/>
          <w:sz w:val="16"/>
          <w:szCs w:val="16"/>
        </w:rPr>
        <w:t>В 1940 году два молодых советских физика Флеров и Петржак установили, что уран понемногу делится сам по себе. Правда, это происходит страшно медленно, но все же каждую секунду в нем рождаются сотни тысяч нейтронов, которых вполне достаточно для начала реакции. В ходе реакции в котле из урана получаются два не известных ранее новых химических элемента, следующих за ураном. Их назвали нептуний и плутоний. При этом оказалось, что плутоний годится для атомной бомбы не менее, чем уран-235. Получение его из смеси не требует чрезвычайно трудоемкого разделения изотопов. Он не изотоп урана, а самостоятельный химический элемент. Поэтому выделить его можно обычным способом. В приготовлении плутония наиболее трудным является отвод громадного количества тепла, образующегося в котле. Для охлаждения приходится выпускать на котел чуть ли не целую реку. Производство одного килограмма плутония сопровождается выделением такого количества тепла, которого достаточно, чтобы вскипятить озеро воды в двести тысяч кубометров.</w:t>
      </w:r>
    </w:p>
    <w:p w14:paraId="1345BEC6" w14:textId="77777777" w:rsidR="0002077A" w:rsidRPr="00925F26" w:rsidRDefault="0002077A" w:rsidP="00925F26">
      <w:pPr>
        <w:jc w:val="both"/>
        <w:rPr>
          <w:color w:val="000000" w:themeColor="text1"/>
          <w:sz w:val="16"/>
          <w:szCs w:val="16"/>
        </w:rPr>
      </w:pPr>
      <w:r w:rsidRPr="00925F26">
        <w:rPr>
          <w:color w:val="000000" w:themeColor="text1"/>
          <w:sz w:val="16"/>
          <w:szCs w:val="16"/>
        </w:rPr>
        <w:t>Урановый котел представляет интерес еще и с другой стороны. В результате деления урана получаются радиоактивные ядра. Сроки распада их невелики — от минуты до нескольких лет. Но именно благодаря этому степень их радиоактивности чудовищна. Радиоактивность продуктов распада одного килограмма урана в миллион раз превышает радиоактивность килограмма радия, то есть всего запаса его на Земле. Урановый котел дает человечеству источник радиоактивности, совершенно несравнимый с тем, что имелось до сих пор. Трудно даже предсказать, какую роль это может сыграть, например, в медицине.</w:t>
      </w:r>
    </w:p>
    <w:p w14:paraId="75B4676D" w14:textId="77777777" w:rsidR="0002077A" w:rsidRPr="00925F26" w:rsidRDefault="0002077A" w:rsidP="00925F26">
      <w:pPr>
        <w:jc w:val="both"/>
        <w:rPr>
          <w:color w:val="000000" w:themeColor="text1"/>
          <w:sz w:val="16"/>
          <w:szCs w:val="16"/>
        </w:rPr>
      </w:pPr>
      <w:r w:rsidRPr="00925F26">
        <w:rPr>
          <w:color w:val="000000" w:themeColor="text1"/>
          <w:sz w:val="16"/>
          <w:szCs w:val="16"/>
        </w:rPr>
        <w:t>Возникает вопрос: могут ли служить источником получения внутриатомной энергии и другие химические элементы?</w:t>
      </w:r>
    </w:p>
    <w:p w14:paraId="24F0B4F7" w14:textId="77777777" w:rsidR="0002077A" w:rsidRPr="00925F26" w:rsidRDefault="0002077A" w:rsidP="00925F26">
      <w:pPr>
        <w:jc w:val="both"/>
        <w:rPr>
          <w:color w:val="000000" w:themeColor="text1"/>
          <w:sz w:val="16"/>
          <w:szCs w:val="16"/>
        </w:rPr>
      </w:pPr>
      <w:r w:rsidRPr="00925F26">
        <w:rPr>
          <w:color w:val="000000" w:themeColor="text1"/>
          <w:sz w:val="16"/>
          <w:szCs w:val="16"/>
        </w:rPr>
        <w:t>Надо считать, что в современных условиях для этой цели пригодны только уран и, возможно, элемент торий, запасов которого на Земле больше, чем урана.</w:t>
      </w:r>
    </w:p>
    <w:p w14:paraId="415B1EA7" w14:textId="77777777" w:rsidR="0002077A" w:rsidRPr="00925F26" w:rsidRDefault="0002077A" w:rsidP="00925F26">
      <w:pPr>
        <w:jc w:val="both"/>
        <w:rPr>
          <w:color w:val="000000" w:themeColor="text1"/>
          <w:sz w:val="16"/>
          <w:szCs w:val="16"/>
        </w:rPr>
      </w:pPr>
      <w:r w:rsidRPr="00925F26">
        <w:rPr>
          <w:color w:val="000000" w:themeColor="text1"/>
          <w:sz w:val="16"/>
          <w:szCs w:val="16"/>
        </w:rPr>
        <w:t>Использование ядерной энергии в мирных целях является многообещающей, но довольно трудной проблемой. Прежде всего стоит вопрос об энергетическом применении ядерного топлива. Главная трудность здесь — в создании двигателей. Ведь объем, который занимает урановый котел, сравнительно невелик, а современная техника пока не знает способа извлечения огромных мощностей с малой поверхности. Особый интерес представляет использование урана для специальных двигателей и, в частности, для межпланетных сообщений.</w:t>
      </w:r>
    </w:p>
    <w:p w14:paraId="5FB3CBFA" w14:textId="77777777" w:rsidR="0002077A" w:rsidRPr="00925F26" w:rsidRDefault="0002077A" w:rsidP="00925F26">
      <w:pPr>
        <w:jc w:val="both"/>
        <w:rPr>
          <w:color w:val="000000" w:themeColor="text1"/>
          <w:sz w:val="16"/>
          <w:szCs w:val="16"/>
        </w:rPr>
      </w:pPr>
      <w:r w:rsidRPr="00925F26">
        <w:rPr>
          <w:color w:val="000000" w:themeColor="text1"/>
          <w:sz w:val="16"/>
          <w:szCs w:val="16"/>
        </w:rPr>
        <w:t>Использование атомной энергии в промышленности и транспорте, несомненно, означает начало новой эры в мировой технике. Русские ученые внесли свой вклад в решение проблемы атома. Роль советской науки в этих исследованиях непрерывно возрастает.</w:t>
      </w:r>
    </w:p>
    <w:p w14:paraId="0FA51176" w14:textId="77777777" w:rsidR="0002077A" w:rsidRPr="00925F26" w:rsidRDefault="0002077A" w:rsidP="00925F26">
      <w:pPr>
        <w:jc w:val="both"/>
        <w:rPr>
          <w:color w:val="000000" w:themeColor="text1"/>
          <w:sz w:val="16"/>
          <w:szCs w:val="16"/>
        </w:rPr>
      </w:pPr>
      <w:r w:rsidRPr="00925F26">
        <w:rPr>
          <w:color w:val="000000" w:themeColor="text1"/>
          <w:sz w:val="16"/>
          <w:szCs w:val="16"/>
        </w:rPr>
        <w:t>В плане новой пятилетки восстановления и развития хозяйства намечены экспериментальные и теоретические работы, которые должны привести к практическому использованию атомной энергии на благо нашей родины и в интересах всего человечества (15720).</w:t>
      </w:r>
    </w:p>
    <w:p w14:paraId="4A9B94F6" w14:textId="77777777" w:rsidR="0002077A" w:rsidRPr="00925F26" w:rsidRDefault="0002077A" w:rsidP="00925F26">
      <w:pPr>
        <w:jc w:val="both"/>
        <w:rPr>
          <w:color w:val="000000" w:themeColor="text1"/>
          <w:sz w:val="16"/>
          <w:szCs w:val="16"/>
        </w:rPr>
      </w:pPr>
    </w:p>
    <w:p w14:paraId="4DAE8AF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C1516C5" w14:textId="77777777" w:rsidR="006103B3" w:rsidRPr="00925F26" w:rsidRDefault="006103B3" w:rsidP="00925F26">
      <w:pPr>
        <w:autoSpaceDE w:val="0"/>
        <w:autoSpaceDN w:val="0"/>
        <w:adjustRightInd w:val="0"/>
        <w:jc w:val="both"/>
        <w:rPr>
          <w:iCs/>
          <w:color w:val="000000" w:themeColor="text1"/>
          <w:sz w:val="16"/>
          <w:szCs w:val="16"/>
        </w:rPr>
      </w:pPr>
    </w:p>
    <w:p w14:paraId="118756A7" w14:textId="77777777" w:rsidR="007B3FB8" w:rsidRPr="00925F26" w:rsidRDefault="007B3FB8" w:rsidP="00925F26">
      <w:pPr>
        <w:jc w:val="both"/>
        <w:rPr>
          <w:color w:val="000000" w:themeColor="text1"/>
          <w:sz w:val="16"/>
          <w:szCs w:val="16"/>
        </w:rPr>
      </w:pPr>
      <w:r w:rsidRPr="00925F26">
        <w:rPr>
          <w:color w:val="000000" w:themeColor="text1"/>
          <w:sz w:val="16"/>
          <w:szCs w:val="16"/>
        </w:rPr>
        <w:t>17 июня 1945 457 B-29 Superfortress сбрасывают 3 195 тонн (2 898 485 кг) бомб на Омута и другие города Японии (20371).</w:t>
      </w:r>
    </w:p>
    <w:p w14:paraId="1013F7D9" w14:textId="77777777" w:rsidR="007B3FB8" w:rsidRPr="00925F26" w:rsidRDefault="007B3FB8" w:rsidP="00925F26">
      <w:pPr>
        <w:jc w:val="both"/>
        <w:rPr>
          <w:color w:val="000000" w:themeColor="text1"/>
          <w:sz w:val="16"/>
          <w:szCs w:val="16"/>
        </w:rPr>
      </w:pPr>
    </w:p>
    <w:p w14:paraId="10174788"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17 июня 1945 окруженный американцами покончил с собой командующий японской военно-морской базой на Окинаве адмирал Минору Ота (4962).</w:t>
      </w:r>
    </w:p>
    <w:p w14:paraId="681FD63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869E375" w14:textId="77777777" w:rsidR="00B90038"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147D36E" w14:textId="77777777" w:rsidR="00B90038" w:rsidRPr="00925F26" w:rsidRDefault="00B90038" w:rsidP="00925F26">
      <w:pPr>
        <w:autoSpaceDE w:val="0"/>
        <w:autoSpaceDN w:val="0"/>
        <w:adjustRightInd w:val="0"/>
        <w:jc w:val="both"/>
        <w:rPr>
          <w:iCs/>
          <w:color w:val="000000" w:themeColor="text1"/>
          <w:sz w:val="16"/>
          <w:szCs w:val="16"/>
        </w:rPr>
      </w:pPr>
    </w:p>
    <w:p w14:paraId="3B86C0DC" w14:textId="77777777" w:rsidR="00B92A5E" w:rsidRPr="00925F26" w:rsidRDefault="00B92A5E" w:rsidP="00925F26">
      <w:pPr>
        <w:jc w:val="both"/>
        <w:rPr>
          <w:color w:val="000000" w:themeColor="text1"/>
          <w:sz w:val="16"/>
          <w:szCs w:val="16"/>
        </w:rPr>
      </w:pPr>
      <w:r w:rsidRPr="00925F26">
        <w:rPr>
          <w:rStyle w:val="107"/>
          <w:rFonts w:eastAsiaTheme="minorHAnsi"/>
          <w:color w:val="000000" w:themeColor="text1"/>
          <w:sz w:val="16"/>
          <w:szCs w:val="16"/>
        </w:rPr>
        <w:t>18 июня 1945 по инициативе начальника 1-го отдела ГУ ИАС ВВС КА инженер -полковника Подлесецкого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3BA17D9B" w14:textId="77777777" w:rsidR="00B92A5E" w:rsidRPr="00925F26" w:rsidRDefault="00B92A5E" w:rsidP="00925F26">
      <w:pPr>
        <w:jc w:val="both"/>
        <w:rPr>
          <w:color w:val="000000" w:themeColor="text1"/>
          <w:sz w:val="16"/>
          <w:szCs w:val="16"/>
        </w:rPr>
      </w:pPr>
    </w:p>
    <w:p w14:paraId="3D5C85C4" w14:textId="77777777" w:rsidR="00B90038" w:rsidRPr="00925F26" w:rsidRDefault="00B90038" w:rsidP="00925F26">
      <w:pPr>
        <w:jc w:val="both"/>
        <w:rPr>
          <w:color w:val="000000" w:themeColor="text1"/>
          <w:sz w:val="16"/>
          <w:szCs w:val="16"/>
        </w:rPr>
      </w:pPr>
      <w:r w:rsidRPr="00925F26">
        <w:rPr>
          <w:color w:val="000000" w:themeColor="text1"/>
          <w:sz w:val="16"/>
          <w:szCs w:val="16"/>
        </w:rPr>
        <w:t>18 июня 1945 г. Из докладной записки директора завода № 16 М. М. Лукина в Татарский обком ВКП (б) об основных показателях работы завода за май и 5 месяцев 1945 г.</w:t>
      </w:r>
    </w:p>
    <w:p w14:paraId="21847D9B" w14:textId="77777777" w:rsidR="00B90038" w:rsidRPr="00925F26" w:rsidRDefault="00B90038" w:rsidP="00925F26">
      <w:pPr>
        <w:jc w:val="both"/>
        <w:rPr>
          <w:color w:val="000000" w:themeColor="text1"/>
          <w:sz w:val="16"/>
          <w:szCs w:val="16"/>
        </w:rPr>
      </w:pPr>
      <w:r w:rsidRPr="00925F26">
        <w:rPr>
          <w:color w:val="000000" w:themeColor="text1"/>
          <w:sz w:val="16"/>
          <w:szCs w:val="16"/>
        </w:rPr>
        <w:t>Сообщаю основные показатели работы завода за май месяц и за 5 месяцев 1945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7"/>
        <w:gridCol w:w="850"/>
        <w:gridCol w:w="851"/>
        <w:gridCol w:w="709"/>
        <w:gridCol w:w="1134"/>
        <w:gridCol w:w="850"/>
        <w:gridCol w:w="851"/>
        <w:gridCol w:w="1134"/>
      </w:tblGrid>
      <w:tr w:rsidR="000F5689" w:rsidRPr="00925F26" w14:paraId="235F9B72" w14:textId="77777777" w:rsidTr="004E29EA">
        <w:trPr>
          <w:tblCellSpacing w:w="0" w:type="dxa"/>
        </w:trPr>
        <w:tc>
          <w:tcPr>
            <w:tcW w:w="1977" w:type="dxa"/>
            <w:vMerge w:val="restart"/>
            <w:tcBorders>
              <w:top w:val="outset" w:sz="6" w:space="0" w:color="auto"/>
              <w:left w:val="outset" w:sz="6" w:space="0" w:color="auto"/>
              <w:bottom w:val="outset" w:sz="6" w:space="0" w:color="auto"/>
              <w:right w:val="outset" w:sz="6" w:space="0" w:color="auto"/>
            </w:tcBorders>
            <w:hideMark/>
          </w:tcPr>
          <w:p w14:paraId="72D36F22" w14:textId="77777777" w:rsidR="00B90038" w:rsidRPr="00925F26" w:rsidRDefault="00B90038" w:rsidP="00925F26">
            <w:pPr>
              <w:jc w:val="both"/>
              <w:rPr>
                <w:color w:val="000000" w:themeColor="text1"/>
                <w:sz w:val="16"/>
                <w:szCs w:val="16"/>
              </w:rPr>
            </w:pPr>
            <w:r w:rsidRPr="00925F26">
              <w:rPr>
                <w:color w:val="000000" w:themeColor="text1"/>
                <w:sz w:val="16"/>
                <w:szCs w:val="16"/>
              </w:rPr>
              <w:t>Основные показатели</w:t>
            </w:r>
          </w:p>
        </w:tc>
        <w:tc>
          <w:tcPr>
            <w:tcW w:w="850" w:type="dxa"/>
            <w:vMerge w:val="restart"/>
            <w:tcBorders>
              <w:top w:val="outset" w:sz="6" w:space="0" w:color="auto"/>
              <w:left w:val="outset" w:sz="6" w:space="0" w:color="auto"/>
              <w:bottom w:val="outset" w:sz="6" w:space="0" w:color="auto"/>
              <w:right w:val="outset" w:sz="6" w:space="0" w:color="auto"/>
            </w:tcBorders>
            <w:hideMark/>
          </w:tcPr>
          <w:p w14:paraId="345B64A9" w14:textId="77777777" w:rsidR="00B90038" w:rsidRPr="00925F26" w:rsidRDefault="00B90038" w:rsidP="00925F26">
            <w:pPr>
              <w:jc w:val="both"/>
              <w:rPr>
                <w:color w:val="000000" w:themeColor="text1"/>
                <w:sz w:val="16"/>
                <w:szCs w:val="16"/>
              </w:rPr>
            </w:pPr>
            <w:r w:rsidRPr="00925F26">
              <w:rPr>
                <w:color w:val="000000" w:themeColor="text1"/>
                <w:sz w:val="16"/>
                <w:szCs w:val="16"/>
              </w:rPr>
              <w:t>Ед. изм.</w:t>
            </w:r>
          </w:p>
        </w:tc>
        <w:tc>
          <w:tcPr>
            <w:tcW w:w="1560" w:type="dxa"/>
            <w:gridSpan w:val="2"/>
            <w:tcBorders>
              <w:top w:val="outset" w:sz="6" w:space="0" w:color="auto"/>
              <w:left w:val="outset" w:sz="6" w:space="0" w:color="auto"/>
              <w:bottom w:val="outset" w:sz="6" w:space="0" w:color="auto"/>
              <w:right w:val="outset" w:sz="6" w:space="0" w:color="auto"/>
            </w:tcBorders>
            <w:hideMark/>
          </w:tcPr>
          <w:p w14:paraId="3131843B" w14:textId="77777777" w:rsidR="00B90038" w:rsidRPr="00925F26" w:rsidRDefault="00B90038" w:rsidP="00925F26">
            <w:pPr>
              <w:jc w:val="both"/>
              <w:rPr>
                <w:color w:val="000000" w:themeColor="text1"/>
                <w:sz w:val="16"/>
                <w:szCs w:val="16"/>
              </w:rPr>
            </w:pPr>
            <w:r w:rsidRPr="00925F26">
              <w:rPr>
                <w:color w:val="000000" w:themeColor="text1"/>
                <w:sz w:val="16"/>
                <w:szCs w:val="16"/>
              </w:rPr>
              <w:t>май 1945 г.</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3AAA74B" w14:textId="77777777" w:rsidR="00B90038" w:rsidRPr="00925F26" w:rsidRDefault="00B90038" w:rsidP="00925F26">
            <w:pPr>
              <w:jc w:val="both"/>
              <w:rPr>
                <w:color w:val="000000" w:themeColor="text1"/>
                <w:sz w:val="16"/>
                <w:szCs w:val="16"/>
              </w:rPr>
            </w:pPr>
            <w:r w:rsidRPr="00925F26">
              <w:rPr>
                <w:color w:val="000000" w:themeColor="text1"/>
                <w:sz w:val="16"/>
                <w:szCs w:val="16"/>
              </w:rPr>
              <w:t>% вып.</w:t>
            </w:r>
          </w:p>
        </w:tc>
        <w:tc>
          <w:tcPr>
            <w:tcW w:w="1701" w:type="dxa"/>
            <w:gridSpan w:val="2"/>
            <w:tcBorders>
              <w:top w:val="outset" w:sz="6" w:space="0" w:color="auto"/>
              <w:left w:val="outset" w:sz="6" w:space="0" w:color="auto"/>
              <w:bottom w:val="outset" w:sz="6" w:space="0" w:color="auto"/>
              <w:right w:val="outset" w:sz="6" w:space="0" w:color="auto"/>
            </w:tcBorders>
            <w:hideMark/>
          </w:tcPr>
          <w:p w14:paraId="54E0DC9C" w14:textId="77777777" w:rsidR="00B90038" w:rsidRPr="00925F26" w:rsidRDefault="00B90038" w:rsidP="00925F26">
            <w:pPr>
              <w:jc w:val="both"/>
              <w:rPr>
                <w:color w:val="000000" w:themeColor="text1"/>
                <w:sz w:val="16"/>
                <w:szCs w:val="16"/>
              </w:rPr>
            </w:pPr>
            <w:r w:rsidRPr="00925F26">
              <w:rPr>
                <w:color w:val="000000" w:themeColor="text1"/>
                <w:sz w:val="16"/>
                <w:szCs w:val="16"/>
              </w:rPr>
              <w:t>за 5 месяцев</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17C29E2" w14:textId="77777777" w:rsidR="00B90038" w:rsidRPr="00925F26" w:rsidRDefault="00B90038" w:rsidP="00925F26">
            <w:pPr>
              <w:jc w:val="both"/>
              <w:rPr>
                <w:color w:val="000000" w:themeColor="text1"/>
                <w:sz w:val="16"/>
                <w:szCs w:val="16"/>
              </w:rPr>
            </w:pPr>
            <w:r w:rsidRPr="00925F26">
              <w:rPr>
                <w:color w:val="000000" w:themeColor="text1"/>
                <w:sz w:val="16"/>
                <w:szCs w:val="16"/>
              </w:rPr>
              <w:t>% выполнения</w:t>
            </w:r>
          </w:p>
        </w:tc>
      </w:tr>
      <w:tr w:rsidR="000F5689" w:rsidRPr="00925F26" w14:paraId="07EC14EC" w14:textId="77777777" w:rsidTr="004E29EA">
        <w:trPr>
          <w:tblCellSpacing w:w="0" w:type="dxa"/>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25DB1DD0" w14:textId="77777777" w:rsidR="00B90038" w:rsidRPr="00925F26" w:rsidRDefault="00B90038" w:rsidP="00925F26">
            <w:pPr>
              <w:jc w:val="both"/>
              <w:rPr>
                <w:color w:val="000000" w:themeColor="text1"/>
                <w:sz w:val="16"/>
                <w:szCs w:val="16"/>
              </w:rPr>
            </w:pPr>
          </w:p>
        </w:tc>
        <w:tc>
          <w:tcPr>
            <w:tcW w:w="850" w:type="dxa"/>
            <w:vMerge/>
            <w:tcBorders>
              <w:top w:val="outset" w:sz="6" w:space="0" w:color="auto"/>
              <w:left w:val="outset" w:sz="6" w:space="0" w:color="auto"/>
              <w:bottom w:val="outset" w:sz="6" w:space="0" w:color="auto"/>
              <w:right w:val="outset" w:sz="6" w:space="0" w:color="auto"/>
            </w:tcBorders>
            <w:vAlign w:val="center"/>
            <w:hideMark/>
          </w:tcPr>
          <w:p w14:paraId="62136D48" w14:textId="77777777" w:rsidR="00B90038" w:rsidRPr="00925F26" w:rsidRDefault="00B90038" w:rsidP="00925F26">
            <w:pPr>
              <w:jc w:val="both"/>
              <w:rPr>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1E545041" w14:textId="77777777" w:rsidR="00B90038" w:rsidRPr="00925F26" w:rsidRDefault="00B90038" w:rsidP="00925F26">
            <w:pPr>
              <w:jc w:val="both"/>
              <w:rPr>
                <w:color w:val="000000" w:themeColor="text1"/>
                <w:sz w:val="16"/>
                <w:szCs w:val="16"/>
              </w:rPr>
            </w:pPr>
            <w:r w:rsidRPr="00925F26">
              <w:rPr>
                <w:color w:val="000000" w:themeColor="text1"/>
                <w:sz w:val="16"/>
                <w:szCs w:val="16"/>
              </w:rPr>
              <w:t>план</w:t>
            </w:r>
          </w:p>
        </w:tc>
        <w:tc>
          <w:tcPr>
            <w:tcW w:w="709" w:type="dxa"/>
            <w:tcBorders>
              <w:top w:val="outset" w:sz="6" w:space="0" w:color="auto"/>
              <w:left w:val="outset" w:sz="6" w:space="0" w:color="auto"/>
              <w:bottom w:val="outset" w:sz="6" w:space="0" w:color="auto"/>
              <w:right w:val="outset" w:sz="6" w:space="0" w:color="auto"/>
            </w:tcBorders>
            <w:hideMark/>
          </w:tcPr>
          <w:p w14:paraId="23979313" w14:textId="77777777" w:rsidR="00B90038" w:rsidRPr="00925F26" w:rsidRDefault="00B90038" w:rsidP="00925F26">
            <w:pPr>
              <w:jc w:val="both"/>
              <w:rPr>
                <w:color w:val="000000" w:themeColor="text1"/>
                <w:sz w:val="16"/>
                <w:szCs w:val="16"/>
              </w:rPr>
            </w:pPr>
            <w:r w:rsidRPr="00925F26">
              <w:rPr>
                <w:color w:val="000000" w:themeColor="text1"/>
                <w:sz w:val="16"/>
                <w:szCs w:val="16"/>
              </w:rPr>
              <w:t>факт.</w:t>
            </w: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08F201FE" w14:textId="77777777" w:rsidR="00B90038" w:rsidRPr="00925F26" w:rsidRDefault="00B90038" w:rsidP="00925F26">
            <w:pPr>
              <w:jc w:val="both"/>
              <w:rPr>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474328B1" w14:textId="77777777" w:rsidR="00B90038" w:rsidRPr="00925F26" w:rsidRDefault="00B90038" w:rsidP="00925F26">
            <w:pPr>
              <w:jc w:val="both"/>
              <w:rPr>
                <w:color w:val="000000" w:themeColor="text1"/>
                <w:sz w:val="16"/>
                <w:szCs w:val="16"/>
              </w:rPr>
            </w:pPr>
            <w:r w:rsidRPr="00925F26">
              <w:rPr>
                <w:color w:val="000000" w:themeColor="text1"/>
                <w:sz w:val="16"/>
                <w:szCs w:val="16"/>
              </w:rPr>
              <w:t>план</w:t>
            </w:r>
          </w:p>
        </w:tc>
        <w:tc>
          <w:tcPr>
            <w:tcW w:w="851" w:type="dxa"/>
            <w:tcBorders>
              <w:top w:val="outset" w:sz="6" w:space="0" w:color="auto"/>
              <w:left w:val="outset" w:sz="6" w:space="0" w:color="auto"/>
              <w:bottom w:val="outset" w:sz="6" w:space="0" w:color="auto"/>
              <w:right w:val="outset" w:sz="6" w:space="0" w:color="auto"/>
            </w:tcBorders>
            <w:hideMark/>
          </w:tcPr>
          <w:p w14:paraId="767CE9B6" w14:textId="77777777" w:rsidR="00B90038" w:rsidRPr="00925F26" w:rsidRDefault="00B90038" w:rsidP="00925F26">
            <w:pPr>
              <w:jc w:val="both"/>
              <w:rPr>
                <w:color w:val="000000" w:themeColor="text1"/>
                <w:sz w:val="16"/>
                <w:szCs w:val="16"/>
              </w:rPr>
            </w:pPr>
            <w:r w:rsidRPr="00925F26">
              <w:rPr>
                <w:color w:val="000000" w:themeColor="text1"/>
                <w:sz w:val="16"/>
                <w:szCs w:val="16"/>
              </w:rPr>
              <w:t>факт.</w:t>
            </w: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311EDC09" w14:textId="77777777" w:rsidR="00B90038" w:rsidRPr="00925F26" w:rsidRDefault="00B90038" w:rsidP="00925F26">
            <w:pPr>
              <w:jc w:val="both"/>
              <w:rPr>
                <w:color w:val="000000" w:themeColor="text1"/>
                <w:sz w:val="16"/>
                <w:szCs w:val="16"/>
              </w:rPr>
            </w:pPr>
          </w:p>
        </w:tc>
      </w:tr>
      <w:tr w:rsidR="000F5689" w:rsidRPr="00925F26" w14:paraId="195184B2" w14:textId="77777777" w:rsidTr="004E29EA">
        <w:trPr>
          <w:tblCellSpacing w:w="0" w:type="dxa"/>
        </w:trPr>
        <w:tc>
          <w:tcPr>
            <w:tcW w:w="1977" w:type="dxa"/>
            <w:tcBorders>
              <w:top w:val="outset" w:sz="6" w:space="0" w:color="auto"/>
              <w:left w:val="outset" w:sz="6" w:space="0" w:color="auto"/>
              <w:bottom w:val="outset" w:sz="6" w:space="0" w:color="auto"/>
              <w:right w:val="outset" w:sz="6" w:space="0" w:color="auto"/>
            </w:tcBorders>
            <w:hideMark/>
          </w:tcPr>
          <w:p w14:paraId="06EB5870" w14:textId="77777777" w:rsidR="00B90038" w:rsidRPr="00925F26" w:rsidRDefault="00B90038" w:rsidP="00925F26">
            <w:pPr>
              <w:jc w:val="both"/>
              <w:rPr>
                <w:color w:val="000000" w:themeColor="text1"/>
                <w:sz w:val="16"/>
                <w:szCs w:val="16"/>
              </w:rPr>
            </w:pPr>
            <w:r w:rsidRPr="00925F26">
              <w:rPr>
                <w:color w:val="000000" w:themeColor="text1"/>
                <w:sz w:val="16"/>
                <w:szCs w:val="16"/>
              </w:rPr>
              <w:t>Моторы</w:t>
            </w:r>
          </w:p>
        </w:tc>
        <w:tc>
          <w:tcPr>
            <w:tcW w:w="850" w:type="dxa"/>
            <w:tcBorders>
              <w:top w:val="outset" w:sz="6" w:space="0" w:color="auto"/>
              <w:left w:val="outset" w:sz="6" w:space="0" w:color="auto"/>
              <w:bottom w:val="outset" w:sz="6" w:space="0" w:color="auto"/>
              <w:right w:val="outset" w:sz="6" w:space="0" w:color="auto"/>
            </w:tcBorders>
            <w:hideMark/>
          </w:tcPr>
          <w:p w14:paraId="0DAC64BB" w14:textId="77777777" w:rsidR="00B90038" w:rsidRPr="00925F26" w:rsidRDefault="00B90038" w:rsidP="00925F26">
            <w:pPr>
              <w:jc w:val="both"/>
              <w:rPr>
                <w:color w:val="000000" w:themeColor="text1"/>
                <w:sz w:val="16"/>
                <w:szCs w:val="16"/>
              </w:rPr>
            </w:pPr>
            <w:r w:rsidRPr="00925F26">
              <w:rPr>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9A11B93" w14:textId="77777777" w:rsidR="00B90038" w:rsidRPr="00925F26" w:rsidRDefault="00B90038" w:rsidP="00925F26">
            <w:pPr>
              <w:jc w:val="both"/>
              <w:rPr>
                <w:color w:val="000000" w:themeColor="text1"/>
                <w:sz w:val="16"/>
                <w:szCs w:val="16"/>
              </w:rPr>
            </w:pPr>
            <w:r w:rsidRPr="00925F26">
              <w:rPr>
                <w:color w:val="000000" w:themeColor="text1"/>
                <w:sz w:val="16"/>
                <w:szCs w:val="16"/>
              </w:rPr>
              <w:t>456</w:t>
            </w:r>
          </w:p>
        </w:tc>
        <w:tc>
          <w:tcPr>
            <w:tcW w:w="709" w:type="dxa"/>
            <w:tcBorders>
              <w:top w:val="outset" w:sz="6" w:space="0" w:color="auto"/>
              <w:left w:val="outset" w:sz="6" w:space="0" w:color="auto"/>
              <w:bottom w:val="outset" w:sz="6" w:space="0" w:color="auto"/>
              <w:right w:val="outset" w:sz="6" w:space="0" w:color="auto"/>
            </w:tcBorders>
            <w:hideMark/>
          </w:tcPr>
          <w:p w14:paraId="24AB8E60" w14:textId="77777777" w:rsidR="00B90038" w:rsidRPr="00925F26" w:rsidRDefault="00B90038" w:rsidP="00925F26">
            <w:pPr>
              <w:jc w:val="both"/>
              <w:rPr>
                <w:color w:val="000000" w:themeColor="text1"/>
                <w:sz w:val="16"/>
                <w:szCs w:val="16"/>
              </w:rPr>
            </w:pPr>
            <w:r w:rsidRPr="00925F26">
              <w:rPr>
                <w:color w:val="000000" w:themeColor="text1"/>
                <w:sz w:val="16"/>
                <w:szCs w:val="16"/>
              </w:rPr>
              <w:t>480</w:t>
            </w:r>
          </w:p>
        </w:tc>
        <w:tc>
          <w:tcPr>
            <w:tcW w:w="1134" w:type="dxa"/>
            <w:tcBorders>
              <w:top w:val="outset" w:sz="6" w:space="0" w:color="auto"/>
              <w:left w:val="outset" w:sz="6" w:space="0" w:color="auto"/>
              <w:bottom w:val="outset" w:sz="6" w:space="0" w:color="auto"/>
              <w:right w:val="outset" w:sz="6" w:space="0" w:color="auto"/>
            </w:tcBorders>
            <w:hideMark/>
          </w:tcPr>
          <w:p w14:paraId="6481C6A6" w14:textId="77777777" w:rsidR="00B90038" w:rsidRPr="00925F26" w:rsidRDefault="00B90038" w:rsidP="00925F26">
            <w:pPr>
              <w:jc w:val="both"/>
              <w:rPr>
                <w:color w:val="000000" w:themeColor="text1"/>
                <w:sz w:val="16"/>
                <w:szCs w:val="16"/>
              </w:rPr>
            </w:pPr>
            <w:r w:rsidRPr="00925F26">
              <w:rPr>
                <w:color w:val="000000" w:themeColor="text1"/>
                <w:sz w:val="16"/>
                <w:szCs w:val="16"/>
              </w:rPr>
              <w:t>105,3</w:t>
            </w:r>
          </w:p>
        </w:tc>
        <w:tc>
          <w:tcPr>
            <w:tcW w:w="850" w:type="dxa"/>
            <w:tcBorders>
              <w:top w:val="outset" w:sz="6" w:space="0" w:color="auto"/>
              <w:left w:val="outset" w:sz="6" w:space="0" w:color="auto"/>
              <w:bottom w:val="outset" w:sz="6" w:space="0" w:color="auto"/>
              <w:right w:val="outset" w:sz="6" w:space="0" w:color="auto"/>
            </w:tcBorders>
            <w:hideMark/>
          </w:tcPr>
          <w:p w14:paraId="61AEBCF9" w14:textId="77777777" w:rsidR="00B90038" w:rsidRPr="00925F26" w:rsidRDefault="00B90038" w:rsidP="00925F26">
            <w:pPr>
              <w:jc w:val="both"/>
              <w:rPr>
                <w:color w:val="000000" w:themeColor="text1"/>
                <w:sz w:val="16"/>
                <w:szCs w:val="16"/>
              </w:rPr>
            </w:pPr>
            <w:r w:rsidRPr="00925F26">
              <w:rPr>
                <w:color w:val="000000" w:themeColor="text1"/>
                <w:sz w:val="16"/>
                <w:szCs w:val="16"/>
              </w:rPr>
              <w:t>2284</w:t>
            </w:r>
          </w:p>
        </w:tc>
        <w:tc>
          <w:tcPr>
            <w:tcW w:w="851" w:type="dxa"/>
            <w:tcBorders>
              <w:top w:val="outset" w:sz="6" w:space="0" w:color="auto"/>
              <w:left w:val="outset" w:sz="6" w:space="0" w:color="auto"/>
              <w:bottom w:val="outset" w:sz="6" w:space="0" w:color="auto"/>
              <w:right w:val="outset" w:sz="6" w:space="0" w:color="auto"/>
            </w:tcBorders>
            <w:hideMark/>
          </w:tcPr>
          <w:p w14:paraId="0794812A" w14:textId="77777777" w:rsidR="00B90038" w:rsidRPr="00925F26" w:rsidRDefault="00B90038" w:rsidP="00925F26">
            <w:pPr>
              <w:jc w:val="both"/>
              <w:rPr>
                <w:color w:val="000000" w:themeColor="text1"/>
                <w:sz w:val="16"/>
                <w:szCs w:val="16"/>
              </w:rPr>
            </w:pPr>
            <w:r w:rsidRPr="00925F26">
              <w:rPr>
                <w:color w:val="000000" w:themeColor="text1"/>
                <w:sz w:val="16"/>
                <w:szCs w:val="16"/>
              </w:rPr>
              <w:t>2408</w:t>
            </w:r>
          </w:p>
        </w:tc>
        <w:tc>
          <w:tcPr>
            <w:tcW w:w="1134" w:type="dxa"/>
            <w:tcBorders>
              <w:top w:val="outset" w:sz="6" w:space="0" w:color="auto"/>
              <w:left w:val="outset" w:sz="6" w:space="0" w:color="auto"/>
              <w:bottom w:val="outset" w:sz="6" w:space="0" w:color="auto"/>
              <w:right w:val="outset" w:sz="6" w:space="0" w:color="auto"/>
            </w:tcBorders>
            <w:hideMark/>
          </w:tcPr>
          <w:p w14:paraId="672BE087" w14:textId="77777777" w:rsidR="00B90038" w:rsidRPr="00925F26" w:rsidRDefault="00B90038" w:rsidP="00925F26">
            <w:pPr>
              <w:jc w:val="both"/>
              <w:rPr>
                <w:color w:val="000000" w:themeColor="text1"/>
                <w:sz w:val="16"/>
                <w:szCs w:val="16"/>
              </w:rPr>
            </w:pPr>
            <w:r w:rsidRPr="00925F26">
              <w:rPr>
                <w:color w:val="000000" w:themeColor="text1"/>
                <w:sz w:val="16"/>
                <w:szCs w:val="16"/>
              </w:rPr>
              <w:t>105,4</w:t>
            </w:r>
          </w:p>
        </w:tc>
      </w:tr>
      <w:tr w:rsidR="000F5689" w:rsidRPr="00925F26" w14:paraId="77AA1F56" w14:textId="77777777" w:rsidTr="004E29EA">
        <w:trPr>
          <w:tblCellSpacing w:w="0" w:type="dxa"/>
        </w:trPr>
        <w:tc>
          <w:tcPr>
            <w:tcW w:w="1977" w:type="dxa"/>
            <w:tcBorders>
              <w:top w:val="outset" w:sz="6" w:space="0" w:color="auto"/>
              <w:left w:val="outset" w:sz="6" w:space="0" w:color="auto"/>
              <w:bottom w:val="outset" w:sz="6" w:space="0" w:color="auto"/>
              <w:right w:val="outset" w:sz="6" w:space="0" w:color="auto"/>
            </w:tcBorders>
            <w:hideMark/>
          </w:tcPr>
          <w:p w14:paraId="675C587C" w14:textId="77777777" w:rsidR="00B90038" w:rsidRPr="00925F26" w:rsidRDefault="00B90038" w:rsidP="00925F26">
            <w:pPr>
              <w:jc w:val="both"/>
              <w:rPr>
                <w:color w:val="000000" w:themeColor="text1"/>
                <w:sz w:val="16"/>
                <w:szCs w:val="16"/>
              </w:rPr>
            </w:pPr>
            <w:r w:rsidRPr="00925F26">
              <w:rPr>
                <w:color w:val="000000" w:themeColor="text1"/>
                <w:sz w:val="16"/>
                <w:szCs w:val="16"/>
              </w:rPr>
              <w:t>Групповые комплекты</w:t>
            </w:r>
          </w:p>
        </w:tc>
        <w:tc>
          <w:tcPr>
            <w:tcW w:w="850" w:type="dxa"/>
            <w:tcBorders>
              <w:top w:val="outset" w:sz="6" w:space="0" w:color="auto"/>
              <w:left w:val="outset" w:sz="6" w:space="0" w:color="auto"/>
              <w:bottom w:val="outset" w:sz="6" w:space="0" w:color="auto"/>
              <w:right w:val="outset" w:sz="6" w:space="0" w:color="auto"/>
            </w:tcBorders>
            <w:hideMark/>
          </w:tcPr>
          <w:p w14:paraId="5CBB733F" w14:textId="77777777" w:rsidR="00B90038" w:rsidRPr="00925F26" w:rsidRDefault="00B90038" w:rsidP="00925F26">
            <w:pPr>
              <w:jc w:val="both"/>
              <w:rPr>
                <w:color w:val="000000" w:themeColor="text1"/>
                <w:sz w:val="16"/>
                <w:szCs w:val="16"/>
              </w:rPr>
            </w:pPr>
            <w:r w:rsidRPr="00925F26">
              <w:rPr>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1E412ECD" w14:textId="77777777" w:rsidR="00B90038" w:rsidRPr="00925F26" w:rsidRDefault="00B90038" w:rsidP="00925F26">
            <w:pPr>
              <w:jc w:val="both"/>
              <w:rPr>
                <w:color w:val="000000" w:themeColor="text1"/>
                <w:sz w:val="16"/>
                <w:szCs w:val="16"/>
              </w:rPr>
            </w:pPr>
            <w:r w:rsidRPr="00925F26">
              <w:rPr>
                <w:color w:val="000000" w:themeColor="text1"/>
                <w:sz w:val="16"/>
                <w:szCs w:val="16"/>
              </w:rPr>
              <w:t>48</w:t>
            </w:r>
          </w:p>
        </w:tc>
        <w:tc>
          <w:tcPr>
            <w:tcW w:w="709" w:type="dxa"/>
            <w:tcBorders>
              <w:top w:val="outset" w:sz="6" w:space="0" w:color="auto"/>
              <w:left w:val="outset" w:sz="6" w:space="0" w:color="auto"/>
              <w:bottom w:val="outset" w:sz="6" w:space="0" w:color="auto"/>
              <w:right w:val="outset" w:sz="6" w:space="0" w:color="auto"/>
            </w:tcBorders>
            <w:hideMark/>
          </w:tcPr>
          <w:p w14:paraId="45AD2C10" w14:textId="77777777" w:rsidR="00B90038" w:rsidRPr="00925F26" w:rsidRDefault="00B90038" w:rsidP="00925F26">
            <w:pPr>
              <w:jc w:val="both"/>
              <w:rPr>
                <w:color w:val="000000" w:themeColor="text1"/>
                <w:sz w:val="16"/>
                <w:szCs w:val="16"/>
              </w:rPr>
            </w:pPr>
            <w:r w:rsidRPr="00925F26">
              <w:rPr>
                <w:color w:val="000000" w:themeColor="text1"/>
                <w:sz w:val="16"/>
                <w:szCs w:val="16"/>
              </w:rPr>
              <w:t>48</w:t>
            </w:r>
          </w:p>
        </w:tc>
        <w:tc>
          <w:tcPr>
            <w:tcW w:w="1134" w:type="dxa"/>
            <w:tcBorders>
              <w:top w:val="outset" w:sz="6" w:space="0" w:color="auto"/>
              <w:left w:val="outset" w:sz="6" w:space="0" w:color="auto"/>
              <w:bottom w:val="outset" w:sz="6" w:space="0" w:color="auto"/>
              <w:right w:val="outset" w:sz="6" w:space="0" w:color="auto"/>
            </w:tcBorders>
            <w:hideMark/>
          </w:tcPr>
          <w:p w14:paraId="1F80477E" w14:textId="77777777" w:rsidR="00B90038" w:rsidRPr="00925F26" w:rsidRDefault="00B90038" w:rsidP="00925F26">
            <w:pPr>
              <w:jc w:val="both"/>
              <w:rPr>
                <w:color w:val="000000" w:themeColor="text1"/>
                <w:sz w:val="16"/>
                <w:szCs w:val="16"/>
              </w:rPr>
            </w:pPr>
            <w:r w:rsidRPr="00925F26">
              <w:rPr>
                <w:color w:val="000000" w:themeColor="text1"/>
                <w:sz w:val="16"/>
                <w:szCs w:val="16"/>
              </w:rPr>
              <w:t>100,0</w:t>
            </w:r>
          </w:p>
        </w:tc>
        <w:tc>
          <w:tcPr>
            <w:tcW w:w="850" w:type="dxa"/>
            <w:tcBorders>
              <w:top w:val="outset" w:sz="6" w:space="0" w:color="auto"/>
              <w:left w:val="outset" w:sz="6" w:space="0" w:color="auto"/>
              <w:bottom w:val="outset" w:sz="6" w:space="0" w:color="auto"/>
              <w:right w:val="outset" w:sz="6" w:space="0" w:color="auto"/>
            </w:tcBorders>
            <w:hideMark/>
          </w:tcPr>
          <w:p w14:paraId="174372E9" w14:textId="77777777" w:rsidR="00B90038" w:rsidRPr="00925F26" w:rsidRDefault="00B90038" w:rsidP="00925F26">
            <w:pPr>
              <w:jc w:val="both"/>
              <w:rPr>
                <w:color w:val="000000" w:themeColor="text1"/>
                <w:sz w:val="16"/>
                <w:szCs w:val="16"/>
              </w:rPr>
            </w:pPr>
            <w:r w:rsidRPr="00925F26">
              <w:rPr>
                <w:color w:val="000000" w:themeColor="text1"/>
                <w:sz w:val="16"/>
                <w:szCs w:val="16"/>
              </w:rPr>
              <w:t>231</w:t>
            </w:r>
          </w:p>
        </w:tc>
        <w:tc>
          <w:tcPr>
            <w:tcW w:w="851" w:type="dxa"/>
            <w:tcBorders>
              <w:top w:val="outset" w:sz="6" w:space="0" w:color="auto"/>
              <w:left w:val="outset" w:sz="6" w:space="0" w:color="auto"/>
              <w:bottom w:val="outset" w:sz="6" w:space="0" w:color="auto"/>
              <w:right w:val="outset" w:sz="6" w:space="0" w:color="auto"/>
            </w:tcBorders>
            <w:hideMark/>
          </w:tcPr>
          <w:p w14:paraId="119C08B9" w14:textId="77777777" w:rsidR="00B90038" w:rsidRPr="00925F26" w:rsidRDefault="00B90038" w:rsidP="00925F26">
            <w:pPr>
              <w:jc w:val="both"/>
              <w:rPr>
                <w:color w:val="000000" w:themeColor="text1"/>
                <w:sz w:val="16"/>
                <w:szCs w:val="16"/>
              </w:rPr>
            </w:pPr>
            <w:r w:rsidRPr="00925F26">
              <w:rPr>
                <w:color w:val="000000" w:themeColor="text1"/>
                <w:sz w:val="16"/>
                <w:szCs w:val="16"/>
              </w:rPr>
              <w:t>248</w:t>
            </w:r>
          </w:p>
        </w:tc>
        <w:tc>
          <w:tcPr>
            <w:tcW w:w="1134" w:type="dxa"/>
            <w:tcBorders>
              <w:top w:val="outset" w:sz="6" w:space="0" w:color="auto"/>
              <w:left w:val="outset" w:sz="6" w:space="0" w:color="auto"/>
              <w:bottom w:val="outset" w:sz="6" w:space="0" w:color="auto"/>
              <w:right w:val="outset" w:sz="6" w:space="0" w:color="auto"/>
            </w:tcBorders>
            <w:hideMark/>
          </w:tcPr>
          <w:p w14:paraId="2A075DE7" w14:textId="77777777" w:rsidR="00B90038" w:rsidRPr="00925F26" w:rsidRDefault="00B90038" w:rsidP="00925F26">
            <w:pPr>
              <w:jc w:val="both"/>
              <w:rPr>
                <w:color w:val="000000" w:themeColor="text1"/>
                <w:sz w:val="16"/>
                <w:szCs w:val="16"/>
              </w:rPr>
            </w:pPr>
            <w:r w:rsidRPr="00925F26">
              <w:rPr>
                <w:color w:val="000000" w:themeColor="text1"/>
                <w:sz w:val="16"/>
                <w:szCs w:val="16"/>
              </w:rPr>
              <w:t>107,4[…]</w:t>
            </w:r>
            <w:hyperlink r:id="rId152" w:anchor="_ftn1" w:history="1">
              <w:r w:rsidRPr="00925F26">
                <w:rPr>
                  <w:color w:val="000000" w:themeColor="text1"/>
                  <w:sz w:val="16"/>
                  <w:szCs w:val="16"/>
                </w:rPr>
                <w:t>[1]</w:t>
              </w:r>
            </w:hyperlink>
          </w:p>
        </w:tc>
      </w:tr>
    </w:tbl>
    <w:p w14:paraId="54811DD4" w14:textId="77777777" w:rsidR="00B90038" w:rsidRPr="00925F26" w:rsidRDefault="00B90038" w:rsidP="00925F26">
      <w:pPr>
        <w:jc w:val="both"/>
        <w:rPr>
          <w:color w:val="000000" w:themeColor="text1"/>
          <w:sz w:val="16"/>
          <w:szCs w:val="16"/>
        </w:rPr>
      </w:pPr>
      <w:r w:rsidRPr="00925F26">
        <w:rPr>
          <w:color w:val="000000" w:themeColor="text1"/>
          <w:sz w:val="16"/>
          <w:szCs w:val="16"/>
        </w:rPr>
        <w:t>Директор завода № 16 Лукин</w:t>
      </w:r>
    </w:p>
    <w:p w14:paraId="786223F5" w14:textId="77777777" w:rsidR="00B90038" w:rsidRPr="00925F26" w:rsidRDefault="00B90038" w:rsidP="00925F26">
      <w:pPr>
        <w:jc w:val="both"/>
        <w:rPr>
          <w:color w:val="000000" w:themeColor="text1"/>
          <w:sz w:val="16"/>
          <w:szCs w:val="16"/>
        </w:rPr>
      </w:pPr>
      <w:r w:rsidRPr="00925F26">
        <w:rPr>
          <w:color w:val="000000" w:themeColor="text1"/>
          <w:sz w:val="16"/>
          <w:szCs w:val="16"/>
        </w:rPr>
        <w:t>Начальник планового отдела Снимщикова</w:t>
      </w:r>
    </w:p>
    <w:p w14:paraId="680A54F4" w14:textId="77777777" w:rsidR="00B90038" w:rsidRPr="00925F26" w:rsidRDefault="00B90038" w:rsidP="00925F26">
      <w:pPr>
        <w:jc w:val="both"/>
        <w:rPr>
          <w:color w:val="000000" w:themeColor="text1"/>
          <w:sz w:val="16"/>
          <w:szCs w:val="16"/>
        </w:rPr>
      </w:pPr>
      <w:r w:rsidRPr="00925F26">
        <w:rPr>
          <w:color w:val="000000" w:themeColor="text1"/>
          <w:sz w:val="16"/>
          <w:szCs w:val="16"/>
        </w:rPr>
        <w:t>НА РТ. Ф. Р-5940. Оп. 1. Д. 183. Л. 31-32. Отпуск (15494).</w:t>
      </w:r>
    </w:p>
    <w:p w14:paraId="6F6A04A8" w14:textId="77777777" w:rsidR="00B90038" w:rsidRPr="00925F26" w:rsidRDefault="00B90038" w:rsidP="00925F26">
      <w:pPr>
        <w:jc w:val="both"/>
        <w:rPr>
          <w:color w:val="000000" w:themeColor="text1"/>
          <w:sz w:val="16"/>
          <w:szCs w:val="16"/>
        </w:rPr>
      </w:pPr>
    </w:p>
    <w:p w14:paraId="370C5FF8" w14:textId="77777777" w:rsidR="003203B4" w:rsidRPr="00925F26" w:rsidRDefault="003203B4" w:rsidP="00925F26">
      <w:pPr>
        <w:jc w:val="both"/>
        <w:rPr>
          <w:color w:val="000000" w:themeColor="text1"/>
          <w:sz w:val="16"/>
          <w:szCs w:val="16"/>
        </w:rPr>
      </w:pPr>
      <w:r w:rsidRPr="00925F26">
        <w:rPr>
          <w:color w:val="000000" w:themeColor="text1"/>
          <w:sz w:val="16"/>
          <w:szCs w:val="16"/>
        </w:rPr>
        <w:t>18 июня 1945 г. Из докладной записки директора завода № 16 М. М. Лукина в Татарский обком ВКП (б)об основных показателях работы завода за май и 5 месяцев 1945 г.</w:t>
      </w:r>
    </w:p>
    <w:p w14:paraId="70CA7180" w14:textId="77777777" w:rsidR="003203B4" w:rsidRPr="00925F26" w:rsidRDefault="003203B4" w:rsidP="00925F26">
      <w:pPr>
        <w:jc w:val="both"/>
        <w:rPr>
          <w:color w:val="000000" w:themeColor="text1"/>
          <w:sz w:val="16"/>
          <w:szCs w:val="16"/>
        </w:rPr>
      </w:pPr>
      <w:r w:rsidRPr="00925F26">
        <w:rPr>
          <w:color w:val="000000" w:themeColor="text1"/>
          <w:sz w:val="16"/>
          <w:szCs w:val="16"/>
        </w:rPr>
        <w:t>Сообщаю основные показатели работы завода за май месяц и за 5 месяцев 1945 г.</w:t>
      </w:r>
    </w:p>
    <w:p w14:paraId="2171357C" w14:textId="77777777" w:rsidR="003203B4" w:rsidRPr="00925F26" w:rsidRDefault="003203B4" w:rsidP="00925F26">
      <w:pPr>
        <w:jc w:val="both"/>
        <w:rPr>
          <w:color w:val="000000" w:themeColor="text1"/>
          <w:sz w:val="16"/>
          <w:szCs w:val="16"/>
        </w:rPr>
      </w:pPr>
      <w:r w:rsidRPr="00925F26">
        <w:rPr>
          <w:color w:val="000000" w:themeColor="text1"/>
          <w:sz w:val="16"/>
          <w:szCs w:val="16"/>
        </w:rPr>
        <w:t>Основные</w:t>
      </w:r>
      <w:r w:rsidRPr="00925F26">
        <w:rPr>
          <w:color w:val="000000" w:themeColor="text1"/>
          <w:sz w:val="16"/>
          <w:szCs w:val="16"/>
        </w:rPr>
        <w:tab/>
        <w:t>Ед.</w:t>
      </w:r>
      <w:r w:rsidRPr="00925F26">
        <w:rPr>
          <w:color w:val="000000" w:themeColor="text1"/>
          <w:sz w:val="16"/>
          <w:szCs w:val="16"/>
        </w:rPr>
        <w:tab/>
        <w:t>май 1945 г.</w:t>
      </w:r>
      <w:r w:rsidRPr="00925F26">
        <w:rPr>
          <w:color w:val="000000" w:themeColor="text1"/>
          <w:sz w:val="16"/>
          <w:szCs w:val="16"/>
        </w:rPr>
        <w:tab/>
      </w:r>
      <w:r w:rsidRPr="00925F26">
        <w:rPr>
          <w:color w:val="000000" w:themeColor="text1"/>
          <w:sz w:val="16"/>
          <w:szCs w:val="16"/>
        </w:rPr>
        <w:tab/>
      </w:r>
      <w:proofErr w:type="gramStart"/>
      <w:r w:rsidRPr="00925F26">
        <w:rPr>
          <w:color w:val="000000" w:themeColor="text1"/>
          <w:sz w:val="16"/>
          <w:szCs w:val="16"/>
        </w:rPr>
        <w:t>о,  И</w:t>
      </w:r>
      <w:proofErr w:type="gramEnd"/>
      <w:r w:rsidRPr="00925F26">
        <w:rPr>
          <w:color w:val="000000" w:themeColor="text1"/>
          <w:sz w:val="16"/>
          <w:szCs w:val="16"/>
        </w:rPr>
        <w:t>&gt;</w:t>
      </w:r>
      <w:r w:rsidRPr="00925F26">
        <w:rPr>
          <w:color w:val="000000" w:themeColor="text1"/>
          <w:sz w:val="16"/>
          <w:szCs w:val="16"/>
        </w:rPr>
        <w:tab/>
        <w:t>за 5 месяцев</w:t>
      </w:r>
      <w:r w:rsidRPr="00925F26">
        <w:rPr>
          <w:color w:val="000000" w:themeColor="text1"/>
          <w:sz w:val="16"/>
          <w:szCs w:val="16"/>
        </w:rPr>
        <w:tab/>
      </w:r>
      <w:r w:rsidRPr="00925F26">
        <w:rPr>
          <w:color w:val="000000" w:themeColor="text1"/>
          <w:sz w:val="16"/>
          <w:szCs w:val="16"/>
        </w:rPr>
        <w:tab/>
        <w:t>%</w:t>
      </w:r>
    </w:p>
    <w:p w14:paraId="0F1DA4CD" w14:textId="77777777" w:rsidR="003203B4" w:rsidRPr="00925F26" w:rsidRDefault="003203B4" w:rsidP="00925F26">
      <w:pPr>
        <w:jc w:val="both"/>
        <w:rPr>
          <w:color w:val="000000" w:themeColor="text1"/>
          <w:sz w:val="16"/>
          <w:szCs w:val="16"/>
        </w:rPr>
      </w:pPr>
      <w:r w:rsidRPr="00925F26">
        <w:rPr>
          <w:color w:val="000000" w:themeColor="text1"/>
          <w:sz w:val="16"/>
          <w:szCs w:val="16"/>
        </w:rPr>
        <w:t>показатели</w:t>
      </w:r>
      <w:r w:rsidRPr="00925F26">
        <w:rPr>
          <w:color w:val="000000" w:themeColor="text1"/>
          <w:sz w:val="16"/>
          <w:szCs w:val="16"/>
        </w:rPr>
        <w:tab/>
        <w:t>изм.</w:t>
      </w:r>
      <w:r w:rsidRPr="00925F26">
        <w:rPr>
          <w:color w:val="000000" w:themeColor="text1"/>
          <w:sz w:val="16"/>
          <w:szCs w:val="16"/>
        </w:rPr>
        <w:tab/>
        <w:t>план</w:t>
      </w:r>
      <w:r w:rsidRPr="00925F26">
        <w:rPr>
          <w:color w:val="000000" w:themeColor="text1"/>
          <w:sz w:val="16"/>
          <w:szCs w:val="16"/>
        </w:rPr>
        <w:tab/>
        <w:t>факт.</w:t>
      </w:r>
      <w:r w:rsidRPr="00925F26">
        <w:rPr>
          <w:color w:val="000000" w:themeColor="text1"/>
          <w:sz w:val="16"/>
          <w:szCs w:val="16"/>
        </w:rPr>
        <w:tab/>
        <w:t>вып.</w:t>
      </w:r>
      <w:r w:rsidRPr="00925F26">
        <w:rPr>
          <w:color w:val="000000" w:themeColor="text1"/>
          <w:sz w:val="16"/>
          <w:szCs w:val="16"/>
        </w:rPr>
        <w:tab/>
        <w:t>план</w:t>
      </w:r>
      <w:r w:rsidRPr="00925F26">
        <w:rPr>
          <w:color w:val="000000" w:themeColor="text1"/>
          <w:sz w:val="16"/>
          <w:szCs w:val="16"/>
        </w:rPr>
        <w:tab/>
        <w:t>факт.</w:t>
      </w:r>
      <w:r w:rsidRPr="00925F26">
        <w:rPr>
          <w:color w:val="000000" w:themeColor="text1"/>
          <w:sz w:val="16"/>
          <w:szCs w:val="16"/>
        </w:rPr>
        <w:tab/>
        <w:t>выполнения</w:t>
      </w:r>
    </w:p>
    <w:p w14:paraId="7F47FC46" w14:textId="77777777" w:rsidR="003203B4" w:rsidRPr="00925F26" w:rsidRDefault="003203B4" w:rsidP="00925F26">
      <w:pPr>
        <w:jc w:val="both"/>
        <w:rPr>
          <w:color w:val="000000" w:themeColor="text1"/>
          <w:sz w:val="16"/>
          <w:szCs w:val="16"/>
        </w:rPr>
      </w:pPr>
      <w:r w:rsidRPr="00925F26">
        <w:rPr>
          <w:color w:val="000000" w:themeColor="text1"/>
          <w:sz w:val="16"/>
          <w:szCs w:val="16"/>
        </w:rPr>
        <w:t>Моторы</w:t>
      </w:r>
      <w:r w:rsidRPr="00925F26">
        <w:rPr>
          <w:color w:val="000000" w:themeColor="text1"/>
          <w:sz w:val="16"/>
          <w:szCs w:val="16"/>
        </w:rPr>
        <w:tab/>
        <w:t>шт.</w:t>
      </w:r>
      <w:r w:rsidRPr="00925F26">
        <w:rPr>
          <w:color w:val="000000" w:themeColor="text1"/>
          <w:sz w:val="16"/>
          <w:szCs w:val="16"/>
        </w:rPr>
        <w:tab/>
        <w:t>456</w:t>
      </w:r>
      <w:r w:rsidRPr="00925F26">
        <w:rPr>
          <w:color w:val="000000" w:themeColor="text1"/>
          <w:sz w:val="16"/>
          <w:szCs w:val="16"/>
        </w:rPr>
        <w:tab/>
        <w:t>480</w:t>
      </w:r>
      <w:r w:rsidRPr="00925F26">
        <w:rPr>
          <w:color w:val="000000" w:themeColor="text1"/>
          <w:sz w:val="16"/>
          <w:szCs w:val="16"/>
        </w:rPr>
        <w:tab/>
        <w:t>105,3</w:t>
      </w:r>
      <w:r w:rsidRPr="00925F26">
        <w:rPr>
          <w:color w:val="000000" w:themeColor="text1"/>
          <w:sz w:val="16"/>
          <w:szCs w:val="16"/>
        </w:rPr>
        <w:tab/>
        <w:t>2284</w:t>
      </w:r>
      <w:r w:rsidRPr="00925F26">
        <w:rPr>
          <w:color w:val="000000" w:themeColor="text1"/>
          <w:sz w:val="16"/>
          <w:szCs w:val="16"/>
        </w:rPr>
        <w:tab/>
        <w:t>2408</w:t>
      </w:r>
      <w:r w:rsidRPr="00925F26">
        <w:rPr>
          <w:color w:val="000000" w:themeColor="text1"/>
          <w:sz w:val="16"/>
          <w:szCs w:val="16"/>
        </w:rPr>
        <w:tab/>
        <w:t>105,4</w:t>
      </w:r>
    </w:p>
    <w:p w14:paraId="07A6054A" w14:textId="77777777" w:rsidR="003203B4" w:rsidRPr="00925F26" w:rsidRDefault="003203B4" w:rsidP="00925F26">
      <w:pPr>
        <w:jc w:val="both"/>
        <w:rPr>
          <w:color w:val="000000" w:themeColor="text1"/>
          <w:sz w:val="16"/>
          <w:szCs w:val="16"/>
        </w:rPr>
      </w:pPr>
      <w:proofErr w:type="gramStart"/>
      <w:r w:rsidRPr="00925F26">
        <w:rPr>
          <w:color w:val="000000" w:themeColor="text1"/>
          <w:sz w:val="16"/>
          <w:szCs w:val="16"/>
        </w:rPr>
        <w:t>Групповые  комплекты</w:t>
      </w:r>
      <w:proofErr w:type="gramEnd"/>
      <w:r w:rsidRPr="00925F26">
        <w:rPr>
          <w:color w:val="000000" w:themeColor="text1"/>
          <w:sz w:val="16"/>
          <w:szCs w:val="16"/>
        </w:rPr>
        <w:tab/>
        <w:t>шт I</w:t>
      </w:r>
      <w:r w:rsidRPr="00925F26">
        <w:rPr>
          <w:color w:val="000000" w:themeColor="text1"/>
          <w:sz w:val="16"/>
          <w:szCs w:val="16"/>
        </w:rPr>
        <w:tab/>
        <w:t>48</w:t>
      </w:r>
      <w:r w:rsidRPr="00925F26">
        <w:rPr>
          <w:color w:val="000000" w:themeColor="text1"/>
          <w:sz w:val="16"/>
          <w:szCs w:val="16"/>
        </w:rPr>
        <w:tab/>
        <w:t>48</w:t>
      </w:r>
      <w:r w:rsidRPr="00925F26">
        <w:rPr>
          <w:color w:val="000000" w:themeColor="text1"/>
          <w:sz w:val="16"/>
          <w:szCs w:val="16"/>
        </w:rPr>
        <w:tab/>
        <w:t>100,0</w:t>
      </w:r>
      <w:r w:rsidRPr="00925F26">
        <w:rPr>
          <w:color w:val="000000" w:themeColor="text1"/>
          <w:sz w:val="16"/>
          <w:szCs w:val="16"/>
        </w:rPr>
        <w:tab/>
        <w:t>231</w:t>
      </w:r>
      <w:r w:rsidRPr="00925F26">
        <w:rPr>
          <w:color w:val="000000" w:themeColor="text1"/>
          <w:sz w:val="16"/>
          <w:szCs w:val="16"/>
        </w:rPr>
        <w:tab/>
        <w:t>248</w:t>
      </w:r>
      <w:r w:rsidRPr="00925F26">
        <w:rPr>
          <w:color w:val="000000" w:themeColor="text1"/>
          <w:sz w:val="16"/>
          <w:szCs w:val="16"/>
        </w:rPr>
        <w:tab/>
        <w:t>10 7, 4 [... ]1</w:t>
      </w:r>
    </w:p>
    <w:p w14:paraId="0725A51A" w14:textId="77777777" w:rsidR="003203B4" w:rsidRPr="00925F26" w:rsidRDefault="003203B4" w:rsidP="00925F26">
      <w:pPr>
        <w:jc w:val="both"/>
        <w:rPr>
          <w:color w:val="000000" w:themeColor="text1"/>
          <w:sz w:val="16"/>
          <w:szCs w:val="16"/>
        </w:rPr>
      </w:pPr>
      <w:r w:rsidRPr="00925F26">
        <w:rPr>
          <w:color w:val="000000" w:themeColor="text1"/>
          <w:sz w:val="16"/>
          <w:szCs w:val="16"/>
        </w:rPr>
        <w:lastRenderedPageBreak/>
        <w:t>Директор завода № 16</w:t>
      </w:r>
      <w:r w:rsidRPr="00925F26">
        <w:rPr>
          <w:color w:val="000000" w:themeColor="text1"/>
          <w:sz w:val="16"/>
          <w:szCs w:val="16"/>
        </w:rPr>
        <w:tab/>
        <w:t>Лукин</w:t>
      </w:r>
    </w:p>
    <w:p w14:paraId="4A3B9948" w14:textId="77777777" w:rsidR="003203B4" w:rsidRPr="00925F26" w:rsidRDefault="003203B4" w:rsidP="00925F26">
      <w:pPr>
        <w:jc w:val="both"/>
        <w:rPr>
          <w:color w:val="000000" w:themeColor="text1"/>
          <w:sz w:val="16"/>
          <w:szCs w:val="16"/>
        </w:rPr>
      </w:pPr>
      <w:r w:rsidRPr="00925F26">
        <w:rPr>
          <w:color w:val="000000" w:themeColor="text1"/>
          <w:sz w:val="16"/>
          <w:szCs w:val="16"/>
        </w:rPr>
        <w:t>Начальник планового отдела Снимщикова</w:t>
      </w:r>
    </w:p>
    <w:p w14:paraId="6B7439E4" w14:textId="77777777" w:rsidR="003203B4" w:rsidRPr="00925F26" w:rsidRDefault="003203B4" w:rsidP="00925F26">
      <w:pPr>
        <w:jc w:val="both"/>
        <w:rPr>
          <w:color w:val="000000" w:themeColor="text1"/>
          <w:sz w:val="16"/>
          <w:szCs w:val="16"/>
        </w:rPr>
      </w:pPr>
      <w:r w:rsidRPr="00925F26">
        <w:rPr>
          <w:color w:val="000000" w:themeColor="text1"/>
          <w:sz w:val="16"/>
          <w:szCs w:val="16"/>
        </w:rPr>
        <w:t>НА РТ Ф. P-5940. On. 1. Д. 183. Л. 31-32. Отпуск.</w:t>
      </w:r>
    </w:p>
    <w:p w14:paraId="64DDDEC1" w14:textId="77777777" w:rsidR="003203B4" w:rsidRPr="00925F26" w:rsidRDefault="003203B4" w:rsidP="00925F26">
      <w:pPr>
        <w:jc w:val="both"/>
        <w:rPr>
          <w:color w:val="000000" w:themeColor="text1"/>
          <w:sz w:val="16"/>
          <w:szCs w:val="16"/>
        </w:rPr>
      </w:pPr>
    </w:p>
    <w:p w14:paraId="51419013"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B410A3C" w14:textId="77777777" w:rsidR="006103B3" w:rsidRPr="00925F26" w:rsidRDefault="006103B3" w:rsidP="00925F26">
      <w:pPr>
        <w:autoSpaceDE w:val="0"/>
        <w:autoSpaceDN w:val="0"/>
        <w:adjustRightInd w:val="0"/>
        <w:jc w:val="both"/>
        <w:rPr>
          <w:iCs/>
          <w:color w:val="000000" w:themeColor="text1"/>
          <w:sz w:val="16"/>
          <w:szCs w:val="16"/>
        </w:rPr>
      </w:pPr>
    </w:p>
    <w:p w14:paraId="693277C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 июня 1945 г. фирма «Баджер» сообщает зам. наркома нефтяной промышленности Чекрыжеву, что воздушные фильтры для турбокомпрессоров «Гудри», а также масло для фильтров были отправлены двумя пароходами и «Отдел Снабжения Американской Военной Миссии сообщил им, что грузы с парохода «Жорж Вимс» уже приняты, а пароход «Ф.Т. Фрелингхьюсен» прибыл в Мурманск» (11475).</w:t>
      </w:r>
    </w:p>
    <w:p w14:paraId="5029571F" w14:textId="77777777" w:rsidR="006103B3" w:rsidRPr="00925F26" w:rsidRDefault="006103B3" w:rsidP="00925F26">
      <w:pPr>
        <w:autoSpaceDE w:val="0"/>
        <w:autoSpaceDN w:val="0"/>
        <w:adjustRightInd w:val="0"/>
        <w:jc w:val="both"/>
        <w:rPr>
          <w:color w:val="000000" w:themeColor="text1"/>
          <w:sz w:val="16"/>
          <w:szCs w:val="16"/>
        </w:rPr>
      </w:pPr>
    </w:p>
    <w:p w14:paraId="5D000D9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6161EB6" w14:textId="77777777" w:rsidR="006103B3" w:rsidRPr="00925F26" w:rsidRDefault="006103B3" w:rsidP="00925F26">
      <w:pPr>
        <w:autoSpaceDE w:val="0"/>
        <w:autoSpaceDN w:val="0"/>
        <w:adjustRightInd w:val="0"/>
        <w:jc w:val="both"/>
        <w:rPr>
          <w:iCs/>
          <w:color w:val="000000" w:themeColor="text1"/>
          <w:sz w:val="16"/>
          <w:szCs w:val="16"/>
        </w:rPr>
      </w:pPr>
    </w:p>
    <w:p w14:paraId="79A5298B"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июня 1945 французский авиаполк “Нормандия-Неман” вылетел из СССР во Францию на подаренных советским правительством самолетах (4962).</w:t>
      </w:r>
    </w:p>
    <w:p w14:paraId="5037BC3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53D9562" w14:textId="77777777" w:rsidR="00697AC7" w:rsidRPr="00925F26" w:rsidRDefault="00697AC7" w:rsidP="00925F26">
      <w:pPr>
        <w:autoSpaceDE w:val="0"/>
        <w:autoSpaceDN w:val="0"/>
        <w:adjustRightInd w:val="0"/>
        <w:jc w:val="both"/>
        <w:rPr>
          <w:color w:val="000000" w:themeColor="text1"/>
          <w:sz w:val="16"/>
          <w:szCs w:val="16"/>
        </w:rPr>
      </w:pPr>
      <w:r w:rsidRPr="00925F26">
        <w:rPr>
          <w:color w:val="000000" w:themeColor="text1"/>
          <w:sz w:val="16"/>
          <w:szCs w:val="16"/>
        </w:rPr>
        <w:t>18 или 19 июня (1945)</w:t>
      </w:r>
      <w:r w:rsidRPr="00925F26">
        <w:rPr>
          <w:bCs/>
          <w:color w:val="000000" w:themeColor="text1"/>
          <w:sz w:val="16"/>
          <w:szCs w:val="16"/>
        </w:rPr>
        <w:t xml:space="preserve"> И.В.С. вызвал к себе на дачу Жукова и, уточнив, не разучился ли тот ездить верхом, сказал, что Жуков будет принимать, а Рокоссовский командовать парадом. При этом Сталин не счел нужным рассказывать, что он попробовал проехать верхом на коне, но был сброшен на опилки манежа и сильно ушиб </w:t>
      </w:r>
      <w:proofErr w:type="gramStart"/>
      <w:r w:rsidRPr="00925F26">
        <w:rPr>
          <w:bCs/>
          <w:color w:val="000000" w:themeColor="text1"/>
          <w:sz w:val="16"/>
          <w:szCs w:val="16"/>
        </w:rPr>
        <w:t>руку(</w:t>
      </w:r>
      <w:proofErr w:type="gramEnd"/>
      <w:r w:rsidRPr="00925F26">
        <w:rPr>
          <w:bCs/>
          <w:color w:val="000000" w:themeColor="text1"/>
          <w:sz w:val="16"/>
          <w:szCs w:val="16"/>
        </w:rPr>
        <w:t>17459).</w:t>
      </w:r>
    </w:p>
    <w:p w14:paraId="26987192" w14:textId="77777777" w:rsidR="00697AC7" w:rsidRPr="00925F26" w:rsidRDefault="00697AC7" w:rsidP="00925F26">
      <w:pPr>
        <w:autoSpaceDE w:val="0"/>
        <w:autoSpaceDN w:val="0"/>
        <w:adjustRightInd w:val="0"/>
        <w:jc w:val="both"/>
        <w:rPr>
          <w:color w:val="000000" w:themeColor="text1"/>
          <w:sz w:val="16"/>
          <w:szCs w:val="16"/>
        </w:rPr>
      </w:pPr>
    </w:p>
    <w:p w14:paraId="4149C4E2" w14:textId="77777777" w:rsidR="00697AC7" w:rsidRPr="00925F26" w:rsidRDefault="00697AC7" w:rsidP="00925F26">
      <w:pPr>
        <w:autoSpaceDE w:val="0"/>
        <w:autoSpaceDN w:val="0"/>
        <w:adjustRightInd w:val="0"/>
        <w:jc w:val="both"/>
        <w:rPr>
          <w:iCs/>
          <w:color w:val="000000" w:themeColor="text1"/>
          <w:sz w:val="16"/>
          <w:szCs w:val="16"/>
        </w:rPr>
      </w:pPr>
      <w:r w:rsidRPr="00925F26">
        <w:rPr>
          <w:color w:val="000000" w:themeColor="text1"/>
          <w:sz w:val="16"/>
          <w:szCs w:val="16"/>
        </w:rPr>
        <w:t xml:space="preserve">18 июня 1945 г. в Москве начался открытый процесс над 16-ю польскими оппозиционерами. 27 марта 1945 г. поляков пригласили на переговоры с представителями маршала Георгия Жукова, но 28 марта 1945 г. переговорщиков арестовали, отвезли в Москву и предали суду. Через 3 дня «процесс 16-ти» закончился. «Судьба» распорядилась с поляками по-разному: 3-е оправданы, 6 получили от 4 месяцев до 1,5 лет, 2-е по 5 лет – выжил один, один — 8 лет – умер (убит?) по окончании срока. Главный обвиняемый последний командующий А.К. генерал Леопольд Окулицкий, который распустил А.К. 19 января 1945 – получил 10 лет и пропал. Через 10 лет на запрос </w:t>
      </w:r>
      <w:proofErr w:type="gramStart"/>
      <w:r w:rsidRPr="00925F26">
        <w:rPr>
          <w:color w:val="000000" w:themeColor="text1"/>
          <w:sz w:val="16"/>
          <w:szCs w:val="16"/>
        </w:rPr>
        <w:t>поляков,-</w:t>
      </w:r>
      <w:proofErr w:type="gramEnd"/>
      <w:r w:rsidRPr="00925F26">
        <w:rPr>
          <w:color w:val="000000" w:themeColor="text1"/>
          <w:sz w:val="16"/>
          <w:szCs w:val="16"/>
        </w:rPr>
        <w:t xml:space="preserve"> из Москвы сообщили, что генерал Леопольд Окулицкий умер от сердечной недостаточности 24 декабря 1946 г., тело кремировано (17459).</w:t>
      </w:r>
    </w:p>
    <w:p w14:paraId="4612D995" w14:textId="77777777" w:rsidR="00697AC7" w:rsidRPr="00925F26" w:rsidRDefault="00697AC7" w:rsidP="00925F26">
      <w:pPr>
        <w:autoSpaceDE w:val="0"/>
        <w:autoSpaceDN w:val="0"/>
        <w:adjustRightInd w:val="0"/>
        <w:jc w:val="both"/>
        <w:rPr>
          <w:iCs/>
          <w:color w:val="000000" w:themeColor="text1"/>
          <w:sz w:val="16"/>
          <w:szCs w:val="16"/>
        </w:rPr>
      </w:pPr>
    </w:p>
    <w:p w14:paraId="5C320DE8"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74C62E3" w14:textId="77777777" w:rsidR="006103B3" w:rsidRPr="00925F26" w:rsidRDefault="006103B3" w:rsidP="00925F26">
      <w:pPr>
        <w:autoSpaceDE w:val="0"/>
        <w:autoSpaceDN w:val="0"/>
        <w:adjustRightInd w:val="0"/>
        <w:jc w:val="both"/>
        <w:rPr>
          <w:iCs/>
          <w:color w:val="000000" w:themeColor="text1"/>
          <w:sz w:val="16"/>
          <w:szCs w:val="16"/>
        </w:rPr>
      </w:pPr>
    </w:p>
    <w:p w14:paraId="187A5D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 июня 1945 в Ленинграде вышел на маршрут первый после блокады троллейбус (3960, 238).</w:t>
      </w:r>
    </w:p>
    <w:p w14:paraId="2966C80D" w14:textId="77777777" w:rsidR="006103B3" w:rsidRPr="00925F26" w:rsidRDefault="006103B3" w:rsidP="00925F26">
      <w:pPr>
        <w:autoSpaceDE w:val="0"/>
        <w:autoSpaceDN w:val="0"/>
        <w:adjustRightInd w:val="0"/>
        <w:jc w:val="both"/>
        <w:rPr>
          <w:color w:val="000000" w:themeColor="text1"/>
          <w:sz w:val="16"/>
          <w:szCs w:val="16"/>
        </w:rPr>
      </w:pPr>
    </w:p>
    <w:p w14:paraId="6715570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8B8FCF1" w14:textId="77777777" w:rsidR="006103B3" w:rsidRPr="00925F26" w:rsidRDefault="006103B3" w:rsidP="00925F26">
      <w:pPr>
        <w:autoSpaceDE w:val="0"/>
        <w:autoSpaceDN w:val="0"/>
        <w:adjustRightInd w:val="0"/>
        <w:jc w:val="both"/>
        <w:rPr>
          <w:iCs/>
          <w:color w:val="000000" w:themeColor="text1"/>
          <w:sz w:val="16"/>
          <w:szCs w:val="16"/>
        </w:rPr>
      </w:pPr>
    </w:p>
    <w:p w14:paraId="2BCC6904" w14:textId="77777777" w:rsidR="00B90038" w:rsidRPr="00925F26" w:rsidRDefault="00B90038" w:rsidP="00925F26">
      <w:pPr>
        <w:jc w:val="both"/>
        <w:rPr>
          <w:color w:val="000000" w:themeColor="text1"/>
          <w:sz w:val="16"/>
          <w:szCs w:val="16"/>
        </w:rPr>
      </w:pPr>
      <w:r w:rsidRPr="00925F26">
        <w:rPr>
          <w:bCs/>
          <w:color w:val="000000" w:themeColor="text1"/>
          <w:sz w:val="16"/>
          <w:szCs w:val="16"/>
        </w:rPr>
        <w:t>18 июня</w:t>
      </w:r>
      <w:r w:rsidRPr="00925F26">
        <w:rPr>
          <w:color w:val="000000" w:themeColor="text1"/>
          <w:sz w:val="16"/>
          <w:szCs w:val="16"/>
        </w:rPr>
        <w:t xml:space="preserve"> в 1945 году французский авиаполк "Нормандия-Неман" вылетел из СССР во Францию на подаренных советским правительством самолетах (14926).</w:t>
      </w:r>
    </w:p>
    <w:p w14:paraId="5BE59285" w14:textId="77777777" w:rsidR="00B90038" w:rsidRPr="00925F26" w:rsidRDefault="00B90038" w:rsidP="00925F26">
      <w:pPr>
        <w:jc w:val="both"/>
        <w:rPr>
          <w:color w:val="000000" w:themeColor="text1"/>
          <w:sz w:val="16"/>
          <w:szCs w:val="16"/>
        </w:rPr>
      </w:pPr>
    </w:p>
    <w:p w14:paraId="1132F0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 июня 1945 Москва. Советско-албанские переговоры (7594).</w:t>
      </w:r>
    </w:p>
    <w:p w14:paraId="6A4FA52D" w14:textId="77777777" w:rsidR="006103B3" w:rsidRPr="00925F26" w:rsidRDefault="006103B3" w:rsidP="00925F26">
      <w:pPr>
        <w:autoSpaceDE w:val="0"/>
        <w:autoSpaceDN w:val="0"/>
        <w:adjustRightInd w:val="0"/>
        <w:jc w:val="both"/>
        <w:rPr>
          <w:color w:val="000000" w:themeColor="text1"/>
          <w:sz w:val="16"/>
          <w:szCs w:val="16"/>
        </w:rPr>
      </w:pPr>
    </w:p>
    <w:p w14:paraId="0C80AD75" w14:textId="77777777" w:rsidR="006103B3" w:rsidRPr="00925F26" w:rsidRDefault="001561D1" w:rsidP="00925F26">
      <w:pPr>
        <w:autoSpaceDE w:val="0"/>
        <w:autoSpaceDN w:val="0"/>
        <w:adjustRightInd w:val="0"/>
        <w:jc w:val="both"/>
        <w:rPr>
          <w:iCs/>
          <w:color w:val="000000" w:themeColor="text1"/>
          <w:sz w:val="16"/>
          <w:szCs w:val="16"/>
          <w:lang w:val="en-US"/>
        </w:rPr>
      </w:pPr>
      <w:r w:rsidRPr="00925F26">
        <w:rPr>
          <w:i/>
          <w:iCs/>
          <w:color w:val="000000" w:themeColor="text1"/>
          <w:sz w:val="16"/>
          <w:szCs w:val="16"/>
        </w:rPr>
        <w:t>За</w:t>
      </w:r>
      <w:r w:rsidRPr="00925F26">
        <w:rPr>
          <w:i/>
          <w:iCs/>
          <w:color w:val="000000" w:themeColor="text1"/>
          <w:sz w:val="16"/>
          <w:szCs w:val="16"/>
          <w:lang w:val="en-US"/>
        </w:rPr>
        <w:t xml:space="preserve"> </w:t>
      </w:r>
      <w:r w:rsidRPr="00925F26">
        <w:rPr>
          <w:i/>
          <w:iCs/>
          <w:color w:val="000000" w:themeColor="text1"/>
          <w:sz w:val="16"/>
          <w:szCs w:val="16"/>
        </w:rPr>
        <w:t>рубежом</w:t>
      </w:r>
      <w:r w:rsidRPr="00925F26">
        <w:rPr>
          <w:i/>
          <w:iCs/>
          <w:color w:val="000000" w:themeColor="text1"/>
          <w:sz w:val="16"/>
          <w:szCs w:val="16"/>
          <w:lang w:val="en-US"/>
        </w:rPr>
        <w:t>:</w:t>
      </w:r>
    </w:p>
    <w:p w14:paraId="3F8B0984" w14:textId="77777777" w:rsidR="006103B3" w:rsidRPr="00925F26" w:rsidRDefault="006103B3" w:rsidP="00925F26">
      <w:pPr>
        <w:autoSpaceDE w:val="0"/>
        <w:autoSpaceDN w:val="0"/>
        <w:adjustRightInd w:val="0"/>
        <w:jc w:val="both"/>
        <w:rPr>
          <w:iCs/>
          <w:color w:val="000000" w:themeColor="text1"/>
          <w:sz w:val="16"/>
          <w:szCs w:val="16"/>
          <w:lang w:val="en-US"/>
        </w:rPr>
      </w:pPr>
    </w:p>
    <w:p w14:paraId="53F8E6A4"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June 18 1945 Truman approves DOWNFALL. JCS predict 200,000 casualties (1052).</w:t>
      </w:r>
    </w:p>
    <w:p w14:paraId="0EB50BAE" w14:textId="77777777" w:rsidR="006103B3" w:rsidRPr="00925F26" w:rsidRDefault="006103B3" w:rsidP="00925F26">
      <w:pPr>
        <w:autoSpaceDE w:val="0"/>
        <w:autoSpaceDN w:val="0"/>
        <w:adjustRightInd w:val="0"/>
        <w:jc w:val="both"/>
        <w:rPr>
          <w:color w:val="000000" w:themeColor="text1"/>
          <w:sz w:val="16"/>
          <w:szCs w:val="16"/>
          <w:lang w:val="en-US"/>
        </w:rPr>
      </w:pPr>
    </w:p>
    <w:p w14:paraId="528DCD7A"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June 18. 1945 Truman meets with Secretary of War, Joint Chiefs, and approves plan briefed by Marshall for invasion of Japan (1287).</w:t>
      </w:r>
    </w:p>
    <w:p w14:paraId="2510B529" w14:textId="77777777" w:rsidR="006103B3" w:rsidRPr="00925F26" w:rsidRDefault="006103B3" w:rsidP="00925F26">
      <w:pPr>
        <w:autoSpaceDE w:val="0"/>
        <w:autoSpaceDN w:val="0"/>
        <w:adjustRightInd w:val="0"/>
        <w:jc w:val="both"/>
        <w:rPr>
          <w:color w:val="000000" w:themeColor="text1"/>
          <w:sz w:val="16"/>
          <w:szCs w:val="16"/>
          <w:lang w:val="en-US"/>
        </w:rPr>
      </w:pPr>
    </w:p>
    <w:p w14:paraId="0D02B8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 июня 1945 Г.Трумэн одобрил план вторжения в Японию (1052;1287) и предполагалось до 200000 потерь (3186).</w:t>
      </w:r>
    </w:p>
    <w:p w14:paraId="3C742D20" w14:textId="77777777" w:rsidR="006103B3" w:rsidRPr="00925F26" w:rsidRDefault="006103B3" w:rsidP="00925F26">
      <w:pPr>
        <w:autoSpaceDE w:val="0"/>
        <w:autoSpaceDN w:val="0"/>
        <w:adjustRightInd w:val="0"/>
        <w:jc w:val="both"/>
        <w:rPr>
          <w:color w:val="000000" w:themeColor="text1"/>
          <w:sz w:val="16"/>
          <w:szCs w:val="16"/>
        </w:rPr>
      </w:pPr>
    </w:p>
    <w:p w14:paraId="4FF401C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18 июня 1945 на Окинаве шрапнелью убит командующий 10-й американской армией генерал С. Бакнер (4962).</w:t>
      </w:r>
    </w:p>
    <w:p w14:paraId="5EF46736"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12866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 июня 1945 экипаж судна Виктория сообщил о том, что в этот день в месте с координатами 36/40 северной широты и 14/44 восточной долготы наблюдали за всплытием трех ослепительных дисков, казавшиеся в пять раз больше луны, которые были связаны тонкими сверкающими нитями и поднялись в небо (3710).</w:t>
      </w:r>
    </w:p>
    <w:p w14:paraId="65F0F4D8" w14:textId="77777777" w:rsidR="006103B3" w:rsidRPr="00925F26" w:rsidRDefault="006103B3" w:rsidP="00925F26">
      <w:pPr>
        <w:autoSpaceDE w:val="0"/>
        <w:autoSpaceDN w:val="0"/>
        <w:adjustRightInd w:val="0"/>
        <w:jc w:val="both"/>
        <w:rPr>
          <w:color w:val="000000" w:themeColor="text1"/>
          <w:sz w:val="16"/>
          <w:szCs w:val="16"/>
        </w:rPr>
      </w:pPr>
    </w:p>
    <w:p w14:paraId="67EDF31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E936D0F" w14:textId="77777777" w:rsidR="006103B3" w:rsidRPr="00925F26" w:rsidRDefault="006103B3" w:rsidP="00925F26">
      <w:pPr>
        <w:autoSpaceDE w:val="0"/>
        <w:autoSpaceDN w:val="0"/>
        <w:adjustRightInd w:val="0"/>
        <w:jc w:val="both"/>
        <w:rPr>
          <w:iCs/>
          <w:color w:val="000000" w:themeColor="text1"/>
          <w:sz w:val="16"/>
          <w:szCs w:val="16"/>
        </w:rPr>
      </w:pPr>
    </w:p>
    <w:p w14:paraId="68CB98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Зам. ком. ВВС, г-п ИАС Репин утвердил "Акт N 109 по результатам гос. испытаний модифицированного самолета УИл-2 с мотором АМ-38Ф (самолет N 18841133 производства 18 завода, апрель 1945).", тема 2 - 1945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5AC7EC8" w14:textId="77777777" w:rsidR="006103B3" w:rsidRPr="00925F26" w:rsidRDefault="006103B3" w:rsidP="00925F26">
      <w:pPr>
        <w:autoSpaceDE w:val="0"/>
        <w:autoSpaceDN w:val="0"/>
        <w:adjustRightInd w:val="0"/>
        <w:jc w:val="both"/>
        <w:rPr>
          <w:color w:val="000000" w:themeColor="text1"/>
          <w:sz w:val="16"/>
          <w:szCs w:val="16"/>
        </w:rPr>
      </w:pPr>
    </w:p>
    <w:p w14:paraId="2588B45F" w14:textId="77777777" w:rsidR="005F32F4" w:rsidRPr="00925F26" w:rsidRDefault="005F32F4" w:rsidP="00925F26">
      <w:pPr>
        <w:jc w:val="both"/>
        <w:rPr>
          <w:color w:val="000000" w:themeColor="text1"/>
          <w:sz w:val="16"/>
          <w:szCs w:val="16"/>
        </w:rPr>
      </w:pPr>
      <w:r w:rsidRPr="00925F26">
        <w:rPr>
          <w:color w:val="000000" w:themeColor="text1"/>
          <w:sz w:val="16"/>
          <w:szCs w:val="16"/>
        </w:rPr>
        <w:t>19 июня 1945 старший военпред УЗСиМ ГУЗ ВВС КА на заводе №207 инженер-капитан И.П. Близнюк в письме от на имя ди</w:t>
      </w:r>
      <w:r w:rsidRPr="00925F26">
        <w:rPr>
          <w:color w:val="000000" w:themeColor="text1"/>
          <w:sz w:val="16"/>
          <w:szCs w:val="16"/>
        </w:rPr>
        <w:softHyphen/>
        <w:t>ректора завода инженер-полковника В.И. За- сульского предложил изгбтовлять гомогенные авиабронедетали толщиной 8 и 15 мм только из стали ХД. При этом он отказывался прини</w:t>
      </w:r>
      <w:r w:rsidRPr="00925F26">
        <w:rPr>
          <w:color w:val="000000" w:themeColor="text1"/>
          <w:sz w:val="16"/>
          <w:szCs w:val="16"/>
        </w:rPr>
        <w:softHyphen/>
        <w:t>мать изготовленную в июне из стали АБ-2 пар</w:t>
      </w:r>
      <w:r w:rsidRPr="00925F26">
        <w:rPr>
          <w:color w:val="000000" w:themeColor="text1"/>
          <w:sz w:val="16"/>
          <w:szCs w:val="16"/>
        </w:rPr>
        <w:softHyphen/>
        <w:t>тию деталей для Ту-2 в количестве 75 комплек</w:t>
      </w:r>
      <w:r w:rsidRPr="00925F26">
        <w:rPr>
          <w:color w:val="000000" w:themeColor="text1"/>
          <w:sz w:val="16"/>
          <w:szCs w:val="16"/>
        </w:rPr>
        <w:softHyphen/>
        <w:t>тов. Одновременно он запретил принимать и бронекорпуса самолетов Ил-2 из стали АБ-3, которых к этому времени на заводе имелось десять комплектов. Как следует из докумен</w:t>
      </w:r>
      <w:r w:rsidRPr="00925F26">
        <w:rPr>
          <w:color w:val="000000" w:themeColor="text1"/>
          <w:sz w:val="16"/>
          <w:szCs w:val="16"/>
        </w:rPr>
        <w:softHyphen/>
        <w:t>тов, это письмо было подготовлено по распо</w:t>
      </w:r>
      <w:r w:rsidRPr="00925F26">
        <w:rPr>
          <w:color w:val="000000" w:themeColor="text1"/>
          <w:sz w:val="16"/>
          <w:szCs w:val="16"/>
        </w:rPr>
        <w:softHyphen/>
        <w:t>ряжению районного инженера УЗСиМ ГУЗ ВВС КА инженер-майора В.Г. Фридмана.</w:t>
      </w:r>
    </w:p>
    <w:p w14:paraId="087C61B4" w14:textId="77777777" w:rsidR="005F32F4" w:rsidRPr="00925F26" w:rsidRDefault="005F32F4" w:rsidP="00925F26">
      <w:pPr>
        <w:jc w:val="both"/>
        <w:rPr>
          <w:color w:val="000000" w:themeColor="text1"/>
          <w:sz w:val="16"/>
          <w:szCs w:val="16"/>
        </w:rPr>
      </w:pPr>
      <w:r w:rsidRPr="00925F26">
        <w:rPr>
          <w:color w:val="000000" w:themeColor="text1"/>
          <w:sz w:val="16"/>
          <w:szCs w:val="16"/>
        </w:rPr>
        <w:t>Дирекция завода №207 пыталась давить как на военное представительство на заводе, так и на руководство 5-го отдела УЗСиМ ГУЗ ВВС. Но из этого ничего не получилось. Воен</w:t>
      </w:r>
      <w:r w:rsidRPr="00925F26">
        <w:rPr>
          <w:color w:val="000000" w:themeColor="text1"/>
          <w:sz w:val="16"/>
          <w:szCs w:val="16"/>
        </w:rPr>
        <w:softHyphen/>
        <w:t>ные «стояли насмерть», ссылаясь на указание ГК НИИ ВВС КА за № омк/079, предусматри</w:t>
      </w:r>
      <w:r w:rsidRPr="00925F26">
        <w:rPr>
          <w:color w:val="000000" w:themeColor="text1"/>
          <w:sz w:val="16"/>
          <w:szCs w:val="16"/>
        </w:rPr>
        <w:softHyphen/>
        <w:t>вавшее, что</w:t>
      </w:r>
      <w:r w:rsidRPr="00925F26">
        <w:rPr>
          <w:rStyle w:val="aff6"/>
          <w:rFonts w:ascii="Times New Roman" w:hAnsi="Times New Roman" w:cs="Times New Roman"/>
          <w:i w:val="0"/>
          <w:color w:val="000000" w:themeColor="text1"/>
        </w:rPr>
        <w:t xml:space="preserve"> «гомогенная авиаброня толщиной 8 и 15 мм изготавливается только из стали марки ХД».</w:t>
      </w:r>
    </w:p>
    <w:p w14:paraId="26BCEAEB" w14:textId="77777777" w:rsidR="005F32F4" w:rsidRPr="00925F26" w:rsidRDefault="005F32F4" w:rsidP="00925F26">
      <w:pPr>
        <w:jc w:val="both"/>
        <w:rPr>
          <w:color w:val="000000" w:themeColor="text1"/>
          <w:sz w:val="16"/>
          <w:szCs w:val="16"/>
        </w:rPr>
      </w:pPr>
      <w:r w:rsidRPr="00925F26">
        <w:rPr>
          <w:color w:val="000000" w:themeColor="text1"/>
          <w:sz w:val="16"/>
          <w:szCs w:val="16"/>
        </w:rPr>
        <w:t xml:space="preserve">Для разбора конфликтной ситуации 22 июня сформировали совместную комиссию ВВС и НКАП, которая выехала на завод №207 в г. Куйбышев. В случае существенного различия химического состава стали АБ-3 требовалось </w:t>
      </w:r>
      <w:r w:rsidRPr="00925F26">
        <w:rPr>
          <w:rStyle w:val="aff6"/>
          <w:rFonts w:ascii="Times New Roman" w:hAnsi="Times New Roman" w:cs="Times New Roman"/>
          <w:i w:val="0"/>
          <w:color w:val="000000" w:themeColor="text1"/>
        </w:rPr>
        <w:t>«провести по существующим техническим условиям на обстрел стали АБ-2, испытания плавок опытной партии стали АБ-3».</w:t>
      </w:r>
      <w:r w:rsidRPr="00925F26">
        <w:rPr>
          <w:color w:val="000000" w:themeColor="text1"/>
          <w:sz w:val="16"/>
          <w:szCs w:val="16"/>
        </w:rPr>
        <w:t xml:space="preserve"> При этом считалось, что</w:t>
      </w:r>
      <w:r w:rsidRPr="00925F26">
        <w:rPr>
          <w:rStyle w:val="aff6"/>
          <w:rFonts w:ascii="Times New Roman" w:hAnsi="Times New Roman" w:cs="Times New Roman"/>
          <w:i w:val="0"/>
          <w:color w:val="000000" w:themeColor="text1"/>
        </w:rPr>
        <w:t xml:space="preserve"> «наличие в стали титана больше 0,07% является существенным для различия в химсоставе сталей».</w:t>
      </w:r>
      <w:r w:rsidRPr="00925F26">
        <w:rPr>
          <w:color w:val="000000" w:themeColor="text1"/>
          <w:sz w:val="16"/>
          <w:szCs w:val="16"/>
        </w:rPr>
        <w:t xml:space="preserve"> Кроме того, требовалось провести обстрел АБ-3 боеприпасами калибра 12,7 и 20 мм (17479).</w:t>
      </w:r>
    </w:p>
    <w:p w14:paraId="388CF983" w14:textId="77777777" w:rsidR="005F32F4" w:rsidRPr="00925F26" w:rsidRDefault="005F32F4" w:rsidP="00925F26">
      <w:pPr>
        <w:jc w:val="both"/>
        <w:rPr>
          <w:color w:val="000000" w:themeColor="text1"/>
          <w:sz w:val="16"/>
          <w:szCs w:val="16"/>
        </w:rPr>
      </w:pPr>
    </w:p>
    <w:p w14:paraId="134CDC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года начальник ГУГВФ маршал авиации Астахов писал письмо Шахурину А.И.</w:t>
      </w:r>
    </w:p>
    <w:p w14:paraId="06B99F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связи с увеличением пассажирских перевозок на воздушных линиях ГВФ значительно возросла потребность в пассажирских самолетах.</w:t>
      </w:r>
    </w:p>
    <w:p w14:paraId="1A33561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Прошу дать распоряжение переоборудовать ежемесячно 5 самолетов С-47 в пассажирский вариант (8972).</w:t>
      </w:r>
    </w:p>
    <w:p w14:paraId="3E7B2838" w14:textId="77777777" w:rsidR="006103B3" w:rsidRPr="00925F26" w:rsidRDefault="006103B3" w:rsidP="00925F26">
      <w:pPr>
        <w:autoSpaceDE w:val="0"/>
        <w:autoSpaceDN w:val="0"/>
        <w:adjustRightInd w:val="0"/>
        <w:jc w:val="both"/>
        <w:rPr>
          <w:color w:val="000000" w:themeColor="text1"/>
          <w:sz w:val="16"/>
          <w:szCs w:val="16"/>
        </w:rPr>
      </w:pPr>
    </w:p>
    <w:p w14:paraId="15C2C1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г. вышло постановление, согласно которому в Куйбышеве разрабатывался М-</w:t>
      </w:r>
      <w:proofErr w:type="gramStart"/>
      <w:r w:rsidRPr="00925F26">
        <w:rPr>
          <w:color w:val="000000" w:themeColor="text1"/>
          <w:sz w:val="16"/>
          <w:szCs w:val="16"/>
        </w:rPr>
        <w:t>45  (</w:t>
      </w:r>
      <w:proofErr w:type="gramEnd"/>
      <w:r w:rsidRPr="00925F26">
        <w:rPr>
          <w:color w:val="000000" w:themeColor="text1"/>
          <w:sz w:val="16"/>
          <w:szCs w:val="16"/>
        </w:rPr>
        <w:t>он уже не именовался АМ- 45), который вел родословную от АМ-42 и заимствовал многие конструктивные решения АМ-43. Некоторые документы говорят, что предварительные проработки велись и ранее, еще с января. Для этого двигателя в ЦИАМ специально проектировали двухступенчатый четырехскоростной нагнетатель Э-174, испытанный там же на стенде в марте-апреле 1945 г.</w:t>
      </w:r>
    </w:p>
    <w:p w14:paraId="6B7653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М-45 Флисский отказался от многих характерных для Микулина конструкторских решений, шедших зачастую еще от М-34. Так, гильзы ставились в блок не свободно, а с натягом. Вместо непосредственного привода клапанов появился рычажный механизм, один в один копирующий изделия "Юн- керс моторенбау". Вообще знакомство с германскими двигателями изрядно повлияло на М-45. В частности, на соединении шатуна с его крышкой ввели довольно типичные для немцев трехгранные шлицы. Все последние моторы Микулина имели редуктор с шевронными шестернями, посредством которых осевая нагрузка с винта частично передавалось на опоры в носке коленчатого вала. Флисский предпочел прямозубые шестерни, а на носок коленчатого вала установил демпфер крутильных колебаний. На самом валу смонтировали съемные противовесы. Поскольку по сравнению с предшественниками обороты повысились, то редуктор сделали с понижением в соотношении 0,462. Кроме того, но М-45 немного изменили верхний картер, предусмотрели толстостенные коренные вкладыши, литые впускные воздуховоды с улучшенной гидравликой (мотор с самого начала делался под непосредственный впрыск) и водо-воздушный интеркулер. Степень сжатия оставалась довольно низкой - 5,8, хотя мотор рассчитывался на эксплуатацию на высококачественном этилированном бензине.</w:t>
      </w:r>
    </w:p>
    <w:p w14:paraId="356FBA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w:t>
      </w:r>
    </w:p>
    <w:p w14:paraId="1A4784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 июля 1946 г. М-45 испытывался со старым одноступенчатым ПЦН. Основной задачей считалась отработка нового редуктора. Его шестерни поначалу выкрашивались, но после внесения ряда изменений все пришло в норму. В сентябре 1946 г. убрали, как бесполезный, демпфер, утолщили днища поршней, доработали насос непосредственного впрыска, ужесточили вал редуктора и </w:t>
      </w:r>
      <w:proofErr w:type="gramStart"/>
      <w:r w:rsidRPr="00925F26">
        <w:rPr>
          <w:color w:val="000000" w:themeColor="text1"/>
          <w:sz w:val="16"/>
          <w:szCs w:val="16"/>
        </w:rPr>
        <w:t>поставили</w:t>
      </w:r>
      <w:proofErr w:type="gramEnd"/>
      <w:r w:rsidRPr="00925F26">
        <w:rPr>
          <w:color w:val="000000" w:themeColor="text1"/>
          <w:sz w:val="16"/>
          <w:szCs w:val="16"/>
        </w:rPr>
        <w:t xml:space="preserve">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44BEAE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624696C4" w14:textId="77777777" w:rsidR="006103B3" w:rsidRPr="00925F26" w:rsidRDefault="006103B3" w:rsidP="00925F26">
      <w:pPr>
        <w:autoSpaceDE w:val="0"/>
        <w:autoSpaceDN w:val="0"/>
        <w:adjustRightInd w:val="0"/>
        <w:jc w:val="both"/>
        <w:rPr>
          <w:color w:val="000000" w:themeColor="text1"/>
          <w:sz w:val="16"/>
          <w:szCs w:val="16"/>
        </w:rPr>
      </w:pPr>
    </w:p>
    <w:p w14:paraId="4912D88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309D8DB" w14:textId="77777777" w:rsidR="006103B3" w:rsidRPr="00925F26" w:rsidRDefault="006103B3" w:rsidP="00925F26">
      <w:pPr>
        <w:autoSpaceDE w:val="0"/>
        <w:autoSpaceDN w:val="0"/>
        <w:adjustRightInd w:val="0"/>
        <w:jc w:val="both"/>
        <w:rPr>
          <w:iCs/>
          <w:color w:val="000000" w:themeColor="text1"/>
          <w:sz w:val="16"/>
          <w:szCs w:val="16"/>
        </w:rPr>
      </w:pPr>
    </w:p>
    <w:p w14:paraId="5BD148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19 июня 1945 г. ьыла подготовлена ДИРЕКТИВА ЗАМЕСТИТЕЛЯ КОМАНДУЮЩЕГО БТ и МВ КА О СЛУЧАЯХ НЕПРАВИЛЬНОГО ИСПОЛЬЗОВАНИЯ САМОХОДНЫХ АРТУСТАНОВОК СУ-76 №850469</w:t>
      </w:r>
    </w:p>
    <w:p w14:paraId="06DC717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имеющимся в УЭТ ГБТУ КА сведениям имеют место случаи неправильного использования самоходных установок СУ-76 легких самоходных артиллерийских полков, приданных стрелковым корпусам.</w:t>
      </w:r>
    </w:p>
    <w:p w14:paraId="51F9399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Так, например, в 37 и 39 стрелковых корпусах 9 гв. армии самоходные установки СУ-76 1513 и 1524 ЛСАП-ов, приданных этим корпусам, по 4-6 дней работали, как тягачи по буксировке трофей</w:t>
      </w:r>
      <w:r w:rsidRPr="00925F26">
        <w:rPr>
          <w:color w:val="000000" w:themeColor="text1"/>
          <w:sz w:val="16"/>
          <w:szCs w:val="16"/>
        </w:rPr>
        <w:softHyphen/>
        <w:t>ных машин, на что было израсходовано, каждой самоходной установкой, до 25-30 моточасов и прой</w:t>
      </w:r>
      <w:r w:rsidRPr="00925F26">
        <w:rPr>
          <w:color w:val="000000" w:themeColor="text1"/>
          <w:sz w:val="16"/>
          <w:szCs w:val="16"/>
        </w:rPr>
        <w:softHyphen/>
        <w:t>дено по 250-450 км.</w:t>
      </w:r>
    </w:p>
    <w:p w14:paraId="6124515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ПРИКАЗЫВАЮ:</w:t>
      </w:r>
    </w:p>
    <w:p w14:paraId="49525D5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Запретить использование танков и самоходных установок частей и соединений БТ и МВ войск Красной Армии для буксирования машин; для этой цели использовать имеющиеся в частях тракторы и тягачи.</w:t>
      </w:r>
    </w:p>
    <w:p w14:paraId="77D486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Командующим БТ и МВ фронтов проверить правильность использования танков и самоход</w:t>
      </w:r>
      <w:r w:rsidRPr="00925F26">
        <w:rPr>
          <w:color w:val="000000" w:themeColor="text1"/>
          <w:sz w:val="16"/>
          <w:szCs w:val="16"/>
        </w:rPr>
        <w:softHyphen/>
        <w:t>ных установок во всех танковых и самоходных артиллерийских полках, приданных стрелковым корпусам.</w:t>
      </w:r>
    </w:p>
    <w:p w14:paraId="2F4969F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Командующему БТ и МВ 2-го Украинского фронта расследовать случаи неправильного исполь</w:t>
      </w:r>
      <w:r w:rsidRPr="00925F26">
        <w:rPr>
          <w:color w:val="000000" w:themeColor="text1"/>
          <w:sz w:val="16"/>
          <w:szCs w:val="16"/>
        </w:rPr>
        <w:softHyphen/>
        <w:t>зования самоходных установок СУ-76 в 1513 и 1524 ЛСАП-ах, приданных 37 и 39 стрелковым корпу</w:t>
      </w:r>
      <w:r w:rsidRPr="00925F26">
        <w:rPr>
          <w:color w:val="000000" w:themeColor="text1"/>
          <w:sz w:val="16"/>
          <w:szCs w:val="16"/>
        </w:rPr>
        <w:softHyphen/>
        <w:t>сам, и виновных привлечь к ответственности.</w:t>
      </w:r>
    </w:p>
    <w:p w14:paraId="2E7345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Настоящую директиву довести до командиров частей и соединений БТ и МВ Красной Армии и командиров стрелковых корпусов, коим приданы танковые и самоходные артиллерийские полки.</w:t>
      </w:r>
    </w:p>
    <w:p w14:paraId="1745F8D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 выполнении донести к 10 июля с.г.</w:t>
      </w:r>
    </w:p>
    <w:p w14:paraId="7267F98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Заместитель командующего БТ и МВ КА генерал-полковник танковых войск Коробков</w:t>
      </w:r>
    </w:p>
    <w:p w14:paraId="19DD0E2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ЦАМО. Ф. 38. Оп. 11362. Д. 16. Л. 23. Подлинник (11420).</w:t>
      </w:r>
    </w:p>
    <w:p w14:paraId="5073F08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ADEBA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г. состоялся смотр руководителями нашего правительства новых моделей автомобилей. Они получили одобрение, и 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1D9F72E6" w14:textId="77777777" w:rsidR="006103B3" w:rsidRPr="00925F26" w:rsidRDefault="006103B3" w:rsidP="00925F26">
      <w:pPr>
        <w:autoSpaceDE w:val="0"/>
        <w:autoSpaceDN w:val="0"/>
        <w:adjustRightInd w:val="0"/>
        <w:jc w:val="both"/>
        <w:rPr>
          <w:color w:val="000000" w:themeColor="text1"/>
          <w:sz w:val="16"/>
          <w:szCs w:val="16"/>
        </w:rPr>
      </w:pPr>
    </w:p>
    <w:p w14:paraId="0907AC7D" w14:textId="77777777" w:rsidR="00C84475" w:rsidRPr="00925F26" w:rsidRDefault="00C84475" w:rsidP="00925F26">
      <w:pPr>
        <w:pStyle w:val="book"/>
        <w:ind w:firstLine="0"/>
        <w:jc w:val="both"/>
        <w:rPr>
          <w:color w:val="000000" w:themeColor="text1"/>
          <w:sz w:val="16"/>
          <w:szCs w:val="16"/>
        </w:rPr>
      </w:pPr>
      <w:r w:rsidRPr="00925F26">
        <w:rPr>
          <w:color w:val="000000" w:themeColor="text1"/>
          <w:sz w:val="16"/>
          <w:szCs w:val="16"/>
        </w:rPr>
        <w:t>С 19 июня 1945 г. на Сталинградский тракторный завод прибывает оборудование с лесозаводов № 1 и № 2 из г. Белау, а также из Австрии, с демонтированных заводов "Беллер", "Небелунгенверке", "Штенвер Демлер Пух", "Гамбринусверке". В конце июля на СТЗ стало поступать оборудование с предприятий фирмы "Алкет", специализировавшейся в годы войны на производстве самоходных артиллерийских установок, а также с завода "Даймлер-Бенц", выпускавшего танки. На Сталинградский тракторный завод оборудование поступало в таких объемах, что для транспортировки пришлось проложить дополнительные железнодорожные пути, а также использовать шесть тракторов с лебедками. Даже этих транспортных средств не хватало, поэтому поступил приказ развозить оборудование по цехам без составления актов о его получении и спецификации. В результате этого решения серьезно пострадал учет репарационного имущества, но другого выхода в сложившейся ситуации у администрации завода не было (15225).</w:t>
      </w:r>
    </w:p>
    <w:p w14:paraId="0670DD1A" w14:textId="77777777" w:rsidR="00C84475" w:rsidRPr="00925F26" w:rsidRDefault="00C84475" w:rsidP="00925F26">
      <w:pPr>
        <w:pStyle w:val="book"/>
        <w:ind w:firstLine="0"/>
        <w:jc w:val="both"/>
        <w:rPr>
          <w:color w:val="000000" w:themeColor="text1"/>
          <w:sz w:val="16"/>
          <w:szCs w:val="16"/>
        </w:rPr>
      </w:pPr>
    </w:p>
    <w:p w14:paraId="32DEEFEF" w14:textId="77777777" w:rsidR="00C84475" w:rsidRPr="00925F26" w:rsidRDefault="00C84475" w:rsidP="00925F26">
      <w:pPr>
        <w:jc w:val="both"/>
        <w:rPr>
          <w:color w:val="000000" w:themeColor="text1"/>
          <w:sz w:val="16"/>
          <w:szCs w:val="16"/>
        </w:rPr>
      </w:pPr>
      <w:r w:rsidRPr="00925F26">
        <w:rPr>
          <w:bCs/>
          <w:color w:val="000000" w:themeColor="text1"/>
          <w:sz w:val="16"/>
          <w:szCs w:val="16"/>
        </w:rPr>
        <w:t xml:space="preserve">19 июня </w:t>
      </w:r>
      <w:r w:rsidRPr="00925F26">
        <w:rPr>
          <w:color w:val="000000" w:themeColor="text1"/>
          <w:sz w:val="16"/>
          <w:szCs w:val="16"/>
        </w:rPr>
        <w:t>в 1945 году в канун Парада Победы группа инженеров Горьковского автозавода представила И.В.Сталину новую модель легкового автомобиля «ГАЗ-М-20» «Победа» (главный конструктор А.А.Липгарт). Уже летом 1946 г. «Победа» стала серийной моделью ГАЗа, первым послевоенным легковым автомобилем СССР. Выпускалась в Советском Союзе с 1946 по 1958 г. с кузовами седан и кабриолет. После снятия «Победы» с конвейера лицензия на производство была передана Польше, где модель выпускалась до 1974 г. под названием «Варшава» (14927).</w:t>
      </w:r>
    </w:p>
    <w:p w14:paraId="2DA77439" w14:textId="77777777" w:rsidR="00C84475" w:rsidRPr="00925F26" w:rsidRDefault="00C84475" w:rsidP="00925F26">
      <w:pPr>
        <w:jc w:val="both"/>
        <w:rPr>
          <w:color w:val="000000" w:themeColor="text1"/>
          <w:sz w:val="16"/>
          <w:szCs w:val="16"/>
        </w:rPr>
      </w:pPr>
    </w:p>
    <w:p w14:paraId="0C2284B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г. на осмотре послевоенных моделей, состоявшемся в Кремле, И. В. Сталин отметил, что ГАЗ-20 с шестицилиндровым двигателем недостаточно экономичен, хотя в послевоенные годы положение в стране с жидким топливом не обещало быть радужным. Присутствовавший на осмотре А. А. Липгарт указал, что завод предусмотрел вариант автомобиля с четырехцилиндровым мотором. По-видимому, такое объяснение несколько смягчило критическое отношение Сталина к машине. И когда директор ГАЗа И. К. Лоскутов обратился к нему с просьбой закрепить за новой моделью наименование "Победа", услышал такой ответ: "Невелика победа, но пусть будет "Победа". Первую партию новых машин завод собрал 28 июня 1946 г.,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довольно быстро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первой промышленной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234A9B21" w14:textId="77777777" w:rsidR="006103B3" w:rsidRPr="00925F26" w:rsidRDefault="006103B3" w:rsidP="00925F26">
      <w:pPr>
        <w:autoSpaceDE w:val="0"/>
        <w:autoSpaceDN w:val="0"/>
        <w:adjustRightInd w:val="0"/>
        <w:jc w:val="both"/>
        <w:rPr>
          <w:color w:val="000000" w:themeColor="text1"/>
          <w:sz w:val="16"/>
          <w:szCs w:val="16"/>
        </w:rPr>
      </w:pPr>
    </w:p>
    <w:p w14:paraId="002E0660" w14:textId="77777777" w:rsidR="00F60434" w:rsidRPr="00925F26" w:rsidRDefault="00F60434" w:rsidP="00925F26">
      <w:pPr>
        <w:jc w:val="both"/>
        <w:rPr>
          <w:color w:val="000000" w:themeColor="text1"/>
          <w:sz w:val="16"/>
          <w:szCs w:val="16"/>
        </w:rPr>
      </w:pPr>
      <w:r w:rsidRPr="00925F26">
        <w:rPr>
          <w:color w:val="000000" w:themeColor="text1"/>
          <w:sz w:val="16"/>
          <w:szCs w:val="16"/>
        </w:rPr>
        <w:t>19 июня 1945 года, за 5 дней до парада Победы, автомобиль ГАЗ М20 предстал на суд Иосифу Сталину. К машине с шестеркой Сталин отнесся скептически. Кроме того, в послевоенной стране была напряженка с топливом, а вариант с четверкой был очень экономичен. В итоге после долгого изучения обеих машин Сталин сказал: «Надо принять машину с четверкой, машина хорошая».</w:t>
      </w:r>
    </w:p>
    <w:p w14:paraId="00B74BFF" w14:textId="77777777" w:rsidR="00F60434" w:rsidRPr="00925F26" w:rsidRDefault="00F60434" w:rsidP="00925F26">
      <w:pPr>
        <w:jc w:val="both"/>
        <w:rPr>
          <w:color w:val="000000" w:themeColor="text1"/>
          <w:sz w:val="16"/>
          <w:szCs w:val="16"/>
        </w:rPr>
      </w:pPr>
      <w:r w:rsidRPr="00925F26">
        <w:rPr>
          <w:color w:val="000000" w:themeColor="text1"/>
          <w:sz w:val="16"/>
          <w:szCs w:val="16"/>
        </w:rPr>
        <w:t>И вскоре постановлением ГКО «О восстановлении и развитии автомобильной промышленности» было предусмотрено с 28 июня 1946 года начать серийный выпуск нового автомобиля.</w:t>
      </w:r>
    </w:p>
    <w:p w14:paraId="12EB352E" w14:textId="77777777" w:rsidR="00F60434" w:rsidRPr="00925F26" w:rsidRDefault="00F60434" w:rsidP="00925F26">
      <w:pPr>
        <w:jc w:val="both"/>
        <w:rPr>
          <w:color w:val="000000" w:themeColor="text1"/>
          <w:sz w:val="16"/>
          <w:szCs w:val="16"/>
        </w:rPr>
      </w:pPr>
      <w:r w:rsidRPr="00925F26">
        <w:rPr>
          <w:color w:val="000000" w:themeColor="text1"/>
          <w:sz w:val="16"/>
          <w:szCs w:val="16"/>
        </w:rPr>
        <w:t>Первоначально автомобиль планировали назвать «Родина» («Победа» была запасным вариантом). Спросили у Сталина. «А сколько будет стоить Родина?» – спросил Сталин. И машину назвали Победой. А сколько стоит ПОБЕДА, Сталин знал</w:t>
      </w:r>
      <w:proofErr w:type="gramStart"/>
      <w:r w:rsidRPr="00925F26">
        <w:rPr>
          <w:color w:val="000000" w:themeColor="text1"/>
          <w:sz w:val="16"/>
          <w:szCs w:val="16"/>
        </w:rPr>
        <w:t>…(</w:t>
      </w:r>
      <w:proofErr w:type="gramEnd"/>
      <w:r w:rsidRPr="00925F26">
        <w:rPr>
          <w:color w:val="000000" w:themeColor="text1"/>
          <w:sz w:val="16"/>
          <w:szCs w:val="16"/>
        </w:rPr>
        <w:t>18294)</w:t>
      </w:r>
    </w:p>
    <w:p w14:paraId="6463E8C2" w14:textId="77777777" w:rsidR="00F60434" w:rsidRPr="00925F26" w:rsidRDefault="00F60434" w:rsidP="00925F26">
      <w:pPr>
        <w:jc w:val="both"/>
        <w:rPr>
          <w:color w:val="000000" w:themeColor="text1"/>
          <w:sz w:val="16"/>
          <w:szCs w:val="16"/>
        </w:rPr>
      </w:pPr>
    </w:p>
    <w:p w14:paraId="3EB88253" w14:textId="77777777" w:rsidR="001A271A" w:rsidRPr="001A0BAA" w:rsidRDefault="001A271A" w:rsidP="001A271A">
      <w:pPr>
        <w:jc w:val="both"/>
        <w:rPr>
          <w:color w:val="0070C0"/>
          <w:sz w:val="16"/>
          <w:szCs w:val="16"/>
        </w:rPr>
      </w:pPr>
      <w:r w:rsidRPr="001A0BAA">
        <w:rPr>
          <w:color w:val="0070C0"/>
          <w:sz w:val="16"/>
          <w:szCs w:val="16"/>
        </w:rPr>
        <w:t>19 июня 1945</w:t>
      </w:r>
      <w:r w:rsidRPr="001A0BAA">
        <w:rPr>
          <w:color w:val="0070C0"/>
          <w:sz w:val="16"/>
          <w:szCs w:val="16"/>
        </w:rPr>
        <w:noBreakHyphen/>
        <w:t>го руководству СССР показывали перспективные послевоенные автомобили. Среди них был и КИМ-10</w:t>
      </w:r>
      <w:r w:rsidRPr="001A0BAA">
        <w:rPr>
          <w:color w:val="0070C0"/>
          <w:sz w:val="16"/>
          <w:szCs w:val="16"/>
        </w:rPr>
        <w:noBreakHyphen/>
        <w:t>52, внешне напоминающий столь привечаемый вождем Opel Kadett.</w:t>
      </w:r>
    </w:p>
    <w:p w14:paraId="476C7F58" w14:textId="77777777" w:rsidR="001A271A" w:rsidRPr="001A0BAA" w:rsidRDefault="001A271A" w:rsidP="001A271A">
      <w:pPr>
        <w:jc w:val="both"/>
        <w:rPr>
          <w:color w:val="0070C0"/>
          <w:sz w:val="16"/>
          <w:szCs w:val="16"/>
        </w:rPr>
      </w:pPr>
      <w:r w:rsidRPr="001A0BAA">
        <w:rPr>
          <w:color w:val="0070C0"/>
          <w:sz w:val="16"/>
          <w:szCs w:val="16"/>
        </w:rPr>
        <w:lastRenderedPageBreak/>
        <w:t>Главный конструктор МЗМА, сформированного на месте юридически переставшего существовать в 1941</w:t>
      </w:r>
      <w:r w:rsidRPr="001A0BAA">
        <w:rPr>
          <w:color w:val="0070C0"/>
          <w:sz w:val="16"/>
          <w:szCs w:val="16"/>
        </w:rPr>
        <w:noBreakHyphen/>
        <w:t>м завода КИМ Олег Дыбов и начальник экспериментального цеха — будущий главный конструктор Александр Андронов пригнали на смотр и КИМ и немецкий Opel Kadett. Сталин, как вспоминали свидетели, даже не посмотрел в сторону спроектированной до войны машины, на которую завод имел техническую документацию, а указал на Opel. Так кончилась история КИМ и началась история Москвича-400. Именно ему суждено было в корне изменить советскую автомобильную жизнь, став первой машиной, действительно доступным простым советским людям</w:t>
      </w:r>
      <w:proofErr w:type="gramStart"/>
      <w:r w:rsidRPr="001A0BAA">
        <w:rPr>
          <w:color w:val="0070C0"/>
          <w:sz w:val="16"/>
          <w:szCs w:val="16"/>
        </w:rPr>
        <w:t>…(</w:t>
      </w:r>
      <w:proofErr w:type="gramEnd"/>
      <w:r w:rsidRPr="001A0BAA">
        <w:rPr>
          <w:color w:val="0070C0"/>
          <w:sz w:val="16"/>
          <w:szCs w:val="16"/>
        </w:rPr>
        <w:t>25716).</w:t>
      </w:r>
    </w:p>
    <w:p w14:paraId="285E40F7" w14:textId="77777777" w:rsidR="001A271A" w:rsidRPr="001A0BAA" w:rsidRDefault="001A271A" w:rsidP="001A271A">
      <w:pPr>
        <w:jc w:val="both"/>
        <w:rPr>
          <w:color w:val="0070C0"/>
          <w:sz w:val="16"/>
          <w:szCs w:val="16"/>
        </w:rPr>
      </w:pPr>
    </w:p>
    <w:p w14:paraId="67E53EB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0A4671F" w14:textId="77777777" w:rsidR="006103B3" w:rsidRPr="00925F26" w:rsidRDefault="006103B3" w:rsidP="00925F26">
      <w:pPr>
        <w:autoSpaceDE w:val="0"/>
        <w:autoSpaceDN w:val="0"/>
        <w:adjustRightInd w:val="0"/>
        <w:jc w:val="both"/>
        <w:rPr>
          <w:iCs/>
          <w:color w:val="000000" w:themeColor="text1"/>
          <w:sz w:val="16"/>
          <w:szCs w:val="16"/>
        </w:rPr>
      </w:pPr>
    </w:p>
    <w:p w14:paraId="1E14EC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года командующий 4 воздушной армией генерал-полковник авиации Вершинин писал письмо гл. маршалу авиации Новикову.</w:t>
      </w:r>
    </w:p>
    <w:p w14:paraId="23B915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Допрос произвел военный переводчик - ст. лейтенант административной службы - Мальцев.</w:t>
      </w:r>
    </w:p>
    <w:p w14:paraId="0E758C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Докладываю показания военнопленных генералов немецкой армии о действиях авиации 4 воздушной армии в районе города Данциг.</w:t>
      </w:r>
    </w:p>
    <w:p w14:paraId="4E8D33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Командующий армейской группировкой "Восточная Пруссия" генерал-полковник танковых войск фон Заукен показал:</w:t>
      </w:r>
    </w:p>
    <w:p w14:paraId="1A1049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"Авиация в успехе русских войск, особенно в последнее время, имела исключительно большое значение. Воздушные силы Германии в последние 2 года значительно отставали в своем развитии от авиации русских. Появление самолетов на поле боя имело большое значение в исходе боев на земле. Эффективность действия русской авиации в районе Данциг огромна. Командование КА сосредоточило в этом районе большие силы авиации. Авиация парализовала маневренность наших войск и препятствовала подходу резервов к фронту, постоянно действуя по нашим коммуникациям. Мы не могли противопоставить этой воздушной мощи русских, чтобы защитить свои войска от массированных налетов, ни своей авиации, ни сильного огня артиллерии, потому что наши истребители были подавлены огромным превосходством в воздухе, а зенитная артиллерия была в значительной степени выведена из строя в наземных боях или же осталась без боеприпасов. Русская авиация почти беспрепятственно и безнаказанно совершила налеты на наши войска в районе Данциг и в Восточной Пруссии, нанося значительные потери нашим войскам бомбовыми и штурмовыми ударами. Оценить эти потери я затрудняюсь, так как удары авиации наносились одновременно с такими же мощными ударами наземных войск. особенно большие потери наносила авиация военной технике, транспорту и движущимся колоннам в районе Данциг. В районе Пиллау, где наши войска были плотно сосредоточены на узком участке, прямым попаданием бомб уничтожено много артиллерии.</w:t>
      </w:r>
    </w:p>
    <w:p w14:paraId="7DE55B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Особенно хорошо действовали штурмовики ИЛ-2, которые непрерывно совершали налеты на позиции пехоты, артиллерии и транспорт на дорогах, умело используя бортовое оружие и осколочные бомбы. Кроме дневных налетов нас постоянно беспокоили налеты ночных бомбардировщиков У-2. Учитывая узкий участок фронта, на котором было сосредоточено большое количество войск (в районе Данциг), эти налеты наносили нашим войскам существенные потери и препятствовали нормальному движению.</w:t>
      </w:r>
    </w:p>
    <w:p w14:paraId="62EEC9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Следует отметить особенно хорошее взаимодействие наземных войск и авиации русских, что имело важное значение в тактике боев. У нас это взаимодействие было организовано плохо. Я не раз сожалел о разрыве в действиях наших воздушных сил с наземными войсками и не мог получить в свое распоряжение ближних воздушных разведчиков. Считаю, что взаимодействие авиации с наземными войсками является основой успеха в наземных боях.</w:t>
      </w:r>
    </w:p>
    <w:p w14:paraId="7DABFE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Моральное действие налетов русской авиации исключительно большое, особенно там, где войска были сосредоточены на узком участке фронта. Русские летчики дерутся хорошо, действуют смело и дерзко. Я объясняю это тем, что молодежь увлекается авиацией и техникой, умело используя ее достижения, что имеет большое значение в боях."</w:t>
      </w:r>
    </w:p>
    <w:p w14:paraId="4A4DB6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1-й бригады тяжелых минометов, подчиненной 2-й армии, генерал-майор Гроте, показал:</w:t>
      </w:r>
    </w:p>
    <w:p w14:paraId="226511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начале войны русская авиация была в пеленках, тогда как наша авиация значительно превосходила ее в техническом и в количественном отношении. Но в течение войны авиация русских непрерывно развивалась и росла. Впервые мы испытали массированные налеты на Северном Кавказе. Это было для нас неприятным сюрпризом. С течением времени можно было заметить, как боевой дух русских летчиков все повышался, тогда как с нашей стороны наблюдалось обратное явление. Русские летчики действовали смело и дерзко.</w:t>
      </w:r>
    </w:p>
    <w:p w14:paraId="1A4D72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последних боях русские в значительной степени применили массированное действие штурмовиков. Штурмовики являются эффективным оружием, поддерживающим действие наземных войск. Не всегда применение штурмовиков на поле боя вызывает большие потери, но моральное действие их всегда исключительно большое.</w:t>
      </w:r>
    </w:p>
    <w:p w14:paraId="283AEF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Особенно эффективно действовала русская авиация в боях в районе Данциг, где она была применена в больших масштабах. Я оцениваю потери, понесенные войсками при налетах русской авиации в артиллерии и ее прислуге (на позициях) до 60% от общих потерь. Артиллерия находилась под постоянными ударами штурмовиков и ночных бомбардировщиков. У-2, этот маленький самолет, мы по праву ненавидим, так как никогда нельзя угадать его появление над целью. Налеты этих самолетов сильно действуют на нервы.</w:t>
      </w:r>
    </w:p>
    <w:p w14:paraId="780F76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Массированные действия авиации русских на участке в районе Данциг и на косе Фриш-Нерунг имело большое угнетающее действие на наши войска, хотя в последнее время чувства солдат были настолько притуплены, что многие перестали бояться ужасных налетов русских штурмовиков.</w:t>
      </w:r>
    </w:p>
    <w:p w14:paraId="043F08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Можно с уверенностью сказать, что в общих успехах русских войск в последних операциях авиация имела, по моему мнению, решающее значение".</w:t>
      </w:r>
    </w:p>
    <w:p w14:paraId="012FDC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203 ПД, генерал-майор Гедике, показал:</w:t>
      </w:r>
    </w:p>
    <w:p w14:paraId="242089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"Значение русской авиации в последних боях было решающим. В то же время с немецкой стороны действия авиации по войскам противника почти не было. Поэтому в боях за Данциг воздушные силы сыграли одну из значительных ролей. Постоянные массированные налеты наносили довольно ощутительные потери в людях и технике, кроме большого психологического действия на солдат. </w:t>
      </w:r>
      <w:proofErr w:type="gramStart"/>
      <w:r w:rsidRPr="00925F26">
        <w:rPr>
          <w:color w:val="000000" w:themeColor="text1"/>
          <w:sz w:val="16"/>
          <w:szCs w:val="16"/>
        </w:rPr>
        <w:t>Так например</w:t>
      </w:r>
      <w:proofErr w:type="gramEnd"/>
      <w:r w:rsidRPr="00925F26">
        <w:rPr>
          <w:color w:val="000000" w:themeColor="text1"/>
          <w:sz w:val="16"/>
          <w:szCs w:val="16"/>
        </w:rPr>
        <w:t>, за два ночных налета на Данциг было убито свыше 600 солдат и такое же количество, примерно, ранено. Авиацией разрушены или уничтожены в Данциге склады боеприпасов и продовольствия, казармы и т.п. На дорогах в этом районе уничтожено много машин, техники и людей. В боях в районе Хайлигенбайль в феврале налетами штурмовиков, в основном, была подавлена наша артиллерия. Особенно эффективными были налеты на порт Хель, где было потоплено и повреждено большое количество судов. В районе Пиллау, где были сосредоточены наши войска, на узком участке, авиация нанесла нам большой урон. В том числе ночные бомбардировщики У-2, которые у нас презрительно "швейные машины" или "кофейные мельницы" оправдали свое назначение.</w:t>
      </w:r>
    </w:p>
    <w:p w14:paraId="0F391A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Я считаю, что значение русской авиации если и не было решающим, то во всяком случае большим в общем успехе КА, т.к. авиация прокладывала дорогу пехоте, подавляя нашу артиллерию и минометы".</w:t>
      </w:r>
    </w:p>
    <w:p w14:paraId="1CC97D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558 народно-гренадерской дивизии генерал-лейтенант фон Беркен, показал:</w:t>
      </w:r>
    </w:p>
    <w:p w14:paraId="78E9F39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"Успехи русских войск в последних операциях в значительной степени обязаны массированному применению авиации. Воздушные налеты, кроме огромного деморализующего воздействия, наносили нам значительные потери в живой силе и военных материалах.</w:t>
      </w:r>
    </w:p>
    <w:p w14:paraId="42320E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последний год авиация русских многому научилась и в оперативно-тактическом отношении достигла совершенства. В техническом отношении самолеты на уровне современной техники. Целесообразно применяются легкие ночные бомбардировщики. Массированное применение штурмовиков по массовым целям очень эффективно. Если же не было массовых целей (скопления войск, транспорта и техники), то действие штурмовиков имело, главным образом, деморализующее значение.</w:t>
      </w:r>
    </w:p>
    <w:p w14:paraId="156EC02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Наша зенитная оборона в последнее время была </w:t>
      </w:r>
      <w:proofErr w:type="gramStart"/>
      <w:r w:rsidRPr="00925F26">
        <w:rPr>
          <w:color w:val="000000" w:themeColor="text1"/>
          <w:sz w:val="16"/>
          <w:szCs w:val="16"/>
        </w:rPr>
        <w:t>очень слабой</w:t>
      </w:r>
      <w:proofErr w:type="gramEnd"/>
      <w:r w:rsidRPr="00925F26">
        <w:rPr>
          <w:color w:val="000000" w:themeColor="text1"/>
          <w:sz w:val="16"/>
          <w:szCs w:val="16"/>
        </w:rPr>
        <w:t xml:space="preserve"> и русская авиация действовала свободно, часто атакуя наши войска на бреющем полете, умело используя при этом бортовое оружие.</w:t>
      </w:r>
    </w:p>
    <w:p w14:paraId="54CDED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Большие потери понесли наши войска в районе Пиллау."</w:t>
      </w:r>
    </w:p>
    <w:p w14:paraId="7B214C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23 пд, генерал-лейтенант Ширмер, показал:</w:t>
      </w:r>
    </w:p>
    <w:p w14:paraId="4790A5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участке моей дивизии юго-восточнее Данциг в последние недели налеты русской авиации были незначительны, это было некоторой передышкой для солдат, так как все они очень боятся авиации. Моральное действие в воздушных налетах очень большое, особенно при обстреле из бортового оружия штурмовиков. Вообще действие ИЛ-2 очень неприятно. Моя дивизия пережила всю тяжесть атак этих самолетов на полуострове Эзель, где войска были стеснены на небольшом пространстве и каждый налет приносил большие потери для нас".</w:t>
      </w:r>
    </w:p>
    <w:p w14:paraId="132F6F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армейской военной школы 2-й армии, генерал-майор Ноак, показал:</w:t>
      </w:r>
    </w:p>
    <w:p w14:paraId="1DD563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последнее время я находился на косе Путцигер-Нерунг и неоднократно испытал налеты русской авиации. Особенно эффективными были налеты на порт Хель, где я слышал было потоплено и повреждено ряд судов и транспортов. Русская авиация совершала частые массированные налеты по войскам на косе. Штурмовики волнами, делая по несколько заходов, атаковывали позиции пехоты и артиллерии, особенно страшна атака бортовым оружием. Бомбу можно слышать, пули и снаряд труднее </w:t>
      </w:r>
      <w:proofErr w:type="gramStart"/>
      <w:r w:rsidRPr="00925F26">
        <w:rPr>
          <w:color w:val="000000" w:themeColor="text1"/>
          <w:sz w:val="16"/>
          <w:szCs w:val="16"/>
        </w:rPr>
        <w:t>угадать</w:t>
      </w:r>
      <w:proofErr w:type="gramEnd"/>
      <w:r w:rsidRPr="00925F26">
        <w:rPr>
          <w:color w:val="000000" w:themeColor="text1"/>
          <w:sz w:val="16"/>
          <w:szCs w:val="16"/>
        </w:rPr>
        <w:t xml:space="preserve"> где они упадут. Войска постоянно старались держаться в укрытиях при налетах авиации".</w:t>
      </w:r>
    </w:p>
    <w:p w14:paraId="1E45FC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35 пд, генерал-лейтенант Рихерт, показал:</w:t>
      </w:r>
    </w:p>
    <w:p w14:paraId="7E0619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последние два года русская авиация значительно увеличилась и выросла в количественном отношении. Если в начале войны воздушные налеты русских почти не представляли никакой опасности для наших войск, то в дальнейшем они были все более ощутительны и, наконец, переросли в постоянную угрозу для наших войск. Наши коммуникации находились под непрерывным воздействием русской авиации. Транспорт и войска на марше в последнее время несли большие потери от налетов русской авиации.</w:t>
      </w:r>
    </w:p>
    <w:p w14:paraId="4B1D41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Авиации принадлежит значительная доля в успехе КА, она подавляла в большинстве случаев нашу артиллерию и особенно деморализующее действовала на войска. Со времени Бобруйской наступательной операции русских, наши войска все в возрастающей степени подвергались обработке штурмовой авиацией.</w:t>
      </w:r>
    </w:p>
    <w:p w14:paraId="3C5A88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последнее время, находясь в обороне в районе Мертвая Висла, моя дивизия подвергалась незначительным воздушным атакам, а при налетах несла небольшие потери, так как войска были рассредоточены.</w:t>
      </w:r>
    </w:p>
    <w:p w14:paraId="783F33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Русские летчики действуют храбро и умело."</w:t>
      </w:r>
    </w:p>
    <w:p w14:paraId="2BB25D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 12 авиаполевой дивизии, генерал-майор Шлипер, показал:</w:t>
      </w:r>
    </w:p>
    <w:p w14:paraId="74BB67E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"Я пережил сильные атаки русской авиации в районе Данциг. Действия штурмовиков более эффективны в смысле материальных и людских потерь при атаках бомбами и менее эффективны при атаках бортовым оружием, так как люди, как правило, прячутся в укрытиях при появлении авиации. Большие потери несли обозы. Главное значение русской авиации в боях в районе Данциг </w:t>
      </w:r>
      <w:proofErr w:type="gramStart"/>
      <w:r w:rsidRPr="00925F26">
        <w:rPr>
          <w:color w:val="000000" w:themeColor="text1"/>
          <w:sz w:val="16"/>
          <w:szCs w:val="16"/>
        </w:rPr>
        <w:t>- это удручающее моральное действие</w:t>
      </w:r>
      <w:proofErr w:type="gramEnd"/>
      <w:r w:rsidRPr="00925F26">
        <w:rPr>
          <w:color w:val="000000" w:themeColor="text1"/>
          <w:sz w:val="16"/>
          <w:szCs w:val="16"/>
        </w:rPr>
        <w:t xml:space="preserve"> на солдат и нарушение подвоза и маневренности войск на дорогах движения.</w:t>
      </w:r>
    </w:p>
    <w:p w14:paraId="548DCA8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Авиация русских сыграла значительную роль в успехе КА, хотя и не решающую. В тактическом отношении применение русской авиации я считаю правильным и умелым" (1879).</w:t>
      </w:r>
    </w:p>
    <w:p w14:paraId="5EA087EB" w14:textId="77777777" w:rsidR="006103B3" w:rsidRPr="00925F26" w:rsidRDefault="006103B3" w:rsidP="00925F26">
      <w:pPr>
        <w:autoSpaceDE w:val="0"/>
        <w:autoSpaceDN w:val="0"/>
        <w:adjustRightInd w:val="0"/>
        <w:jc w:val="both"/>
        <w:rPr>
          <w:color w:val="000000" w:themeColor="text1"/>
          <w:sz w:val="16"/>
          <w:szCs w:val="16"/>
        </w:rPr>
      </w:pPr>
    </w:p>
    <w:p w14:paraId="4F8B368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2AB707E6" w14:textId="77777777" w:rsidR="006103B3" w:rsidRPr="00925F26" w:rsidRDefault="006103B3" w:rsidP="00925F26">
      <w:pPr>
        <w:autoSpaceDE w:val="0"/>
        <w:autoSpaceDN w:val="0"/>
        <w:adjustRightInd w:val="0"/>
        <w:jc w:val="both"/>
        <w:rPr>
          <w:iCs/>
          <w:color w:val="000000" w:themeColor="text1"/>
          <w:sz w:val="16"/>
          <w:szCs w:val="16"/>
        </w:rPr>
      </w:pPr>
    </w:p>
    <w:p w14:paraId="4AB6C0E5" w14:textId="77777777" w:rsidR="00B90038" w:rsidRPr="00925F26" w:rsidRDefault="00B90038" w:rsidP="00925F26">
      <w:pPr>
        <w:jc w:val="both"/>
        <w:rPr>
          <w:color w:val="000000" w:themeColor="text1"/>
          <w:sz w:val="16"/>
          <w:szCs w:val="16"/>
        </w:rPr>
      </w:pPr>
      <w:r w:rsidRPr="00925F26">
        <w:rPr>
          <w:bCs/>
          <w:color w:val="000000" w:themeColor="text1"/>
          <w:sz w:val="16"/>
          <w:szCs w:val="16"/>
        </w:rPr>
        <w:t xml:space="preserve">19 июня </w:t>
      </w:r>
      <w:r w:rsidRPr="00925F26">
        <w:rPr>
          <w:color w:val="000000" w:themeColor="text1"/>
          <w:sz w:val="16"/>
          <w:szCs w:val="16"/>
        </w:rPr>
        <w:t>в 1945 году в советской зоне оккупации Германии создан совместный рабочий комитет Коммунистической и Социал-демократической партий Германии для координации политической деятельности (14927).</w:t>
      </w:r>
    </w:p>
    <w:p w14:paraId="6012EFD3" w14:textId="77777777" w:rsidR="00B90038" w:rsidRPr="00925F26" w:rsidRDefault="00B90038" w:rsidP="00925F26">
      <w:pPr>
        <w:jc w:val="both"/>
        <w:rPr>
          <w:color w:val="000000" w:themeColor="text1"/>
          <w:sz w:val="16"/>
          <w:szCs w:val="16"/>
        </w:rPr>
      </w:pPr>
    </w:p>
    <w:p w14:paraId="51875B4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июня 1945 в Москве начался открытый процесс над командирами польской партизанской Армией Краёвой (4962).</w:t>
      </w:r>
    </w:p>
    <w:p w14:paraId="50C6772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8D61FB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вышло Постановление ГКО № 9079 О снабжении продовольствием населения г. Будапешта. РГАНИР, Фонд ГКО, д. 428, лл. 58-59 (11012).</w:t>
      </w:r>
    </w:p>
    <w:p w14:paraId="798C3FD7" w14:textId="77777777" w:rsidR="006103B3" w:rsidRPr="00925F26" w:rsidRDefault="006103B3" w:rsidP="00925F26">
      <w:pPr>
        <w:autoSpaceDE w:val="0"/>
        <w:autoSpaceDN w:val="0"/>
        <w:adjustRightInd w:val="0"/>
        <w:jc w:val="both"/>
        <w:rPr>
          <w:color w:val="000000" w:themeColor="text1"/>
          <w:sz w:val="16"/>
          <w:szCs w:val="16"/>
        </w:rPr>
      </w:pPr>
    </w:p>
    <w:p w14:paraId="147A256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 июня 1945 года, руководство НКВД санкционировало первую попытку «инвентаризации» своих интеллектуальных «ресурсов» — высококвалифицированных «зэков»-специалистов. В тот день было издано распоряжение НКВД № 132 «Об учете специалистов, работающих в лагерях НКВД для военнопленных и интернированных», в котором говорилось:</w:t>
      </w:r>
    </w:p>
    <w:p w14:paraId="2CFA861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соответствии с приказом НКВД №0014 от 11 января 1945 г. учет специалистов, работающих в лагерях для военнопленных и интернированных, должен проводиться отделами кадров НКВД республик и УНКВД краев и областей, в связи с чем предлагается:</w:t>
      </w:r>
    </w:p>
    <w:p w14:paraId="21F5E7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Взять на учет всех специалистов с законченным высшим и средним специальным образованием, работающих как военнопленные и интернированные, и должны их учитывать в общих квартальных отчетах о движении специалистов по форме 52-Т (объявлена приказом НКВД СССР №002286 1942 г.), представляемых в отделы кадров НКВД.</w:t>
      </w:r>
    </w:p>
    <w:p w14:paraId="71CD9B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Представить в отдел кадров НКВД по установленной форме на указанных специалистов контрольные списки по состоянию на 1 июля 1945 г.» (Военнопленные в СССР. 1939-1956. Документы и материалы. М., 2000, с. 617.) (11765).</w:t>
      </w:r>
    </w:p>
    <w:p w14:paraId="77CB9669" w14:textId="77777777" w:rsidR="006103B3" w:rsidRPr="00925F26" w:rsidRDefault="006103B3" w:rsidP="00925F26">
      <w:pPr>
        <w:autoSpaceDE w:val="0"/>
        <w:autoSpaceDN w:val="0"/>
        <w:adjustRightInd w:val="0"/>
        <w:jc w:val="both"/>
        <w:rPr>
          <w:color w:val="000000" w:themeColor="text1"/>
          <w:sz w:val="16"/>
          <w:szCs w:val="16"/>
        </w:rPr>
      </w:pPr>
    </w:p>
    <w:p w14:paraId="5856383F" w14:textId="77777777" w:rsidR="00C8447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EB8BDB2" w14:textId="77777777" w:rsidR="00C84475" w:rsidRPr="00925F26" w:rsidRDefault="00C84475" w:rsidP="00925F26">
      <w:pPr>
        <w:autoSpaceDE w:val="0"/>
        <w:autoSpaceDN w:val="0"/>
        <w:adjustRightInd w:val="0"/>
        <w:jc w:val="both"/>
        <w:rPr>
          <w:iCs/>
          <w:color w:val="000000" w:themeColor="text1"/>
          <w:sz w:val="16"/>
          <w:szCs w:val="16"/>
        </w:rPr>
      </w:pPr>
    </w:p>
    <w:p w14:paraId="10525CB0" w14:textId="77777777" w:rsidR="00C84475" w:rsidRPr="00925F26" w:rsidRDefault="00C84475" w:rsidP="00925F26">
      <w:pPr>
        <w:jc w:val="both"/>
        <w:rPr>
          <w:color w:val="000000" w:themeColor="text1"/>
          <w:sz w:val="16"/>
          <w:szCs w:val="16"/>
        </w:rPr>
      </w:pPr>
      <w:r w:rsidRPr="00925F26">
        <w:rPr>
          <w:bCs/>
          <w:color w:val="000000" w:themeColor="text1"/>
          <w:sz w:val="16"/>
          <w:szCs w:val="16"/>
        </w:rPr>
        <w:t xml:space="preserve">19 июня </w:t>
      </w:r>
      <w:r w:rsidRPr="00925F26">
        <w:rPr>
          <w:color w:val="000000" w:themeColor="text1"/>
          <w:sz w:val="16"/>
          <w:szCs w:val="16"/>
        </w:rPr>
        <w:t>в 1945 году конференция стран – участниц ООН в Сан-Франциско одобрила внесенную делегацией Мексики резолюцию об отказе в приеме в члены ООН тем странам, политические режимы которых были установлены при помощи вооруженных сил стран «оси». Резолюция касалась прежде всего Испании (14927).</w:t>
      </w:r>
    </w:p>
    <w:p w14:paraId="42BA8BB4" w14:textId="77777777" w:rsidR="00C84475" w:rsidRPr="00925F26" w:rsidRDefault="00C84475" w:rsidP="00925F26">
      <w:pPr>
        <w:jc w:val="both"/>
        <w:rPr>
          <w:color w:val="000000" w:themeColor="text1"/>
          <w:sz w:val="16"/>
          <w:szCs w:val="16"/>
        </w:rPr>
      </w:pPr>
    </w:p>
    <w:p w14:paraId="098E41F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3185AF2C" w14:textId="77777777" w:rsidR="006103B3" w:rsidRPr="00925F26" w:rsidRDefault="006103B3" w:rsidP="00925F26">
      <w:pPr>
        <w:autoSpaceDE w:val="0"/>
        <w:autoSpaceDN w:val="0"/>
        <w:adjustRightInd w:val="0"/>
        <w:jc w:val="both"/>
        <w:rPr>
          <w:iCs/>
          <w:color w:val="000000" w:themeColor="text1"/>
          <w:sz w:val="16"/>
          <w:szCs w:val="16"/>
        </w:rPr>
      </w:pPr>
    </w:p>
    <w:p w14:paraId="709DE9EC" w14:textId="77777777" w:rsidR="00C84475" w:rsidRPr="00925F26" w:rsidRDefault="00C84475" w:rsidP="00925F26">
      <w:pPr>
        <w:jc w:val="both"/>
        <w:rPr>
          <w:color w:val="000000" w:themeColor="text1"/>
          <w:sz w:val="16"/>
          <w:szCs w:val="16"/>
        </w:rPr>
      </w:pPr>
      <w:r w:rsidRPr="00925F26">
        <w:rPr>
          <w:bCs/>
          <w:color w:val="000000" w:themeColor="text1"/>
          <w:sz w:val="16"/>
          <w:szCs w:val="16"/>
        </w:rPr>
        <w:t xml:space="preserve">19 июня </w:t>
      </w:r>
      <w:r w:rsidRPr="00925F26">
        <w:rPr>
          <w:color w:val="000000" w:themeColor="text1"/>
          <w:sz w:val="16"/>
          <w:szCs w:val="16"/>
        </w:rPr>
        <w:t>в 1945 году в ночь на 19 июня 1945 года в городе Прерау (ныне Пржеров) чешские солдаты остановили поезд с немцами, которых депортировали из их страны. Чешские солдаты под командованием офицера Карола Пазупа вывели всех немцев из поезда и заставили их вырыть себе братскую могилу. А потом расстреляли 265 немцев. Среди которых было 120 женщин и 74 ребенка. Самому старшему из убитых было 80 лет, а самому младшему – 8 месяцев (14927).</w:t>
      </w:r>
    </w:p>
    <w:p w14:paraId="7523F2C0" w14:textId="77777777" w:rsidR="00C84475" w:rsidRPr="00925F26" w:rsidRDefault="00C84475" w:rsidP="00925F26">
      <w:pPr>
        <w:jc w:val="both"/>
        <w:rPr>
          <w:color w:val="000000" w:themeColor="text1"/>
          <w:sz w:val="16"/>
          <w:szCs w:val="16"/>
        </w:rPr>
      </w:pPr>
    </w:p>
    <w:p w14:paraId="7F249ED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19 июня 1945 Испании отказано в праве вступления в ООН (4962).</w:t>
      </w:r>
    </w:p>
    <w:p w14:paraId="3AEF92E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6A0CFB5" w14:textId="77777777" w:rsidR="007B3FB8" w:rsidRPr="00925F26" w:rsidRDefault="007B3FB8" w:rsidP="00925F26">
      <w:pPr>
        <w:jc w:val="both"/>
        <w:rPr>
          <w:color w:val="000000" w:themeColor="text1"/>
          <w:sz w:val="16"/>
          <w:szCs w:val="16"/>
        </w:rPr>
      </w:pPr>
      <w:r w:rsidRPr="00925F26">
        <w:rPr>
          <w:color w:val="000000" w:themeColor="text1"/>
          <w:sz w:val="16"/>
          <w:szCs w:val="16"/>
        </w:rPr>
        <w:t>19 июня 1945 481 B-29 сбросил 3335 тонн (3025 492 кг) бомб на Тоёхаси и другие города Японии (20371).</w:t>
      </w:r>
    </w:p>
    <w:p w14:paraId="724D331C" w14:textId="77777777" w:rsidR="007B3FB8" w:rsidRPr="00925F26" w:rsidRDefault="007B3FB8" w:rsidP="00925F26">
      <w:pPr>
        <w:jc w:val="both"/>
        <w:rPr>
          <w:color w:val="000000" w:themeColor="text1"/>
          <w:sz w:val="16"/>
          <w:szCs w:val="16"/>
        </w:rPr>
      </w:pPr>
    </w:p>
    <w:p w14:paraId="16AEA9A4" w14:textId="77777777" w:rsidR="007B3FB8" w:rsidRPr="00925F26" w:rsidRDefault="007B3FB8" w:rsidP="00925F26">
      <w:pPr>
        <w:jc w:val="both"/>
        <w:rPr>
          <w:color w:val="000000" w:themeColor="text1"/>
          <w:sz w:val="16"/>
          <w:szCs w:val="16"/>
        </w:rPr>
      </w:pPr>
      <w:r w:rsidRPr="00925F26">
        <w:rPr>
          <w:color w:val="000000" w:themeColor="text1"/>
          <w:sz w:val="16"/>
          <w:szCs w:val="16"/>
        </w:rPr>
        <w:t>19 июня 1945 B-24 Liberators 404-й бомбардировочной эскадрильи ВВС США совершили самый продолжительный бомбардировочный полет в северной части Тихого океана во время Второй мировой войны, пролетев 2700 миль (4348 км) туда и обратно из Шеми, чтобы атаковать японскую базу в Круппу на Курильских островах. B-24s находится в воздухе в течение 15 1 / 2 часов (20371).</w:t>
      </w:r>
    </w:p>
    <w:p w14:paraId="45AEC4C8" w14:textId="77777777" w:rsidR="007B3FB8" w:rsidRPr="00925F26" w:rsidRDefault="007B3FB8" w:rsidP="00925F26">
      <w:pPr>
        <w:jc w:val="both"/>
        <w:rPr>
          <w:color w:val="000000" w:themeColor="text1"/>
          <w:sz w:val="16"/>
          <w:szCs w:val="16"/>
        </w:rPr>
      </w:pPr>
    </w:p>
    <w:p w14:paraId="13E2685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FC926E5" w14:textId="77777777" w:rsidR="006103B3" w:rsidRPr="00925F26" w:rsidRDefault="006103B3" w:rsidP="00925F26">
      <w:pPr>
        <w:autoSpaceDE w:val="0"/>
        <w:autoSpaceDN w:val="0"/>
        <w:adjustRightInd w:val="0"/>
        <w:jc w:val="both"/>
        <w:rPr>
          <w:iCs/>
          <w:color w:val="000000" w:themeColor="text1"/>
          <w:sz w:val="16"/>
          <w:szCs w:val="16"/>
        </w:rPr>
      </w:pPr>
    </w:p>
    <w:p w14:paraId="12E60AD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20/21 июня 1945 года N 5/100724с Шахурину.</w:t>
      </w:r>
    </w:p>
    <w:p w14:paraId="1E3B9A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Одним из основных типов торпедоносцев ВВС ВМФ являются самолеты Ил-4, которых на ВВС флотов имеется 207 шт. и в училищах 55 шт.</w:t>
      </w:r>
    </w:p>
    <w:p w14:paraId="6FB14E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этих самолетах стоят моторы, прошедшие 3-4 капитальных ремонта, не обеспечивающих надежности полетов в открытое море.</w:t>
      </w:r>
    </w:p>
    <w:p w14:paraId="000A52E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Резервный же моторный парк М-88б в количестве 390 шт. не может быть использован, так как по своему состоянию эти моторы </w:t>
      </w:r>
      <w:proofErr w:type="gramStart"/>
      <w:r w:rsidRPr="00925F26">
        <w:rPr>
          <w:color w:val="000000" w:themeColor="text1"/>
          <w:sz w:val="16"/>
          <w:szCs w:val="16"/>
        </w:rPr>
        <w:t>хуже</w:t>
      </w:r>
      <w:proofErr w:type="gramEnd"/>
      <w:r w:rsidRPr="00925F26">
        <w:rPr>
          <w:color w:val="000000" w:themeColor="text1"/>
          <w:sz w:val="16"/>
          <w:szCs w:val="16"/>
        </w:rPr>
        <w:t xml:space="preserve"> чем стоящие на самолетах, что подтверждается письмом Вашего заместителя генерал-майора инженерно-авиационной службы Завитаева от 9 июня с.г. N 1227.</w:t>
      </w:r>
    </w:p>
    <w:p w14:paraId="271B60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 о. ВВС ВМФ оказались совершенно необеспеченными моторным парком М-88 как резервным, так и на самолетах (2595).</w:t>
      </w:r>
    </w:p>
    <w:p w14:paraId="604B4C62" w14:textId="77777777" w:rsidR="006103B3" w:rsidRPr="00925F26" w:rsidRDefault="006103B3" w:rsidP="00925F26">
      <w:pPr>
        <w:autoSpaceDE w:val="0"/>
        <w:autoSpaceDN w:val="0"/>
        <w:adjustRightInd w:val="0"/>
        <w:jc w:val="both"/>
        <w:rPr>
          <w:color w:val="000000" w:themeColor="text1"/>
          <w:sz w:val="16"/>
          <w:szCs w:val="16"/>
        </w:rPr>
      </w:pPr>
    </w:p>
    <w:p w14:paraId="43BE3939" w14:textId="77777777" w:rsidR="00C84475" w:rsidRPr="00925F26" w:rsidRDefault="00C84475"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20 июня 1945 в развитие линии Пе-2И с ВК-107А и ДБ с ВК-108 постановлением ГОКО и приказом НКАП от 29 июня 1945 г. ОКБ-482 поручалось создать двухместный дальний истребитель со</w:t>
      </w:r>
      <w:r w:rsidRPr="00925F26">
        <w:rPr>
          <w:rFonts w:ascii="Times New Roman" w:cs="Times New Roman"/>
          <w:color w:val="000000" w:themeColor="text1"/>
          <w:spacing w:val="0"/>
        </w:rPr>
        <w:softHyphen/>
        <w:t>провождения ДИС 2ВК-107А.</w:t>
      </w:r>
    </w:p>
    <w:p w14:paraId="73A60F94" w14:textId="77777777" w:rsidR="00C84475" w:rsidRPr="00925F26" w:rsidRDefault="00C84475"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Интересно отметить, что в ходе подготовки проекта постановления В.М. Мясищев предлагал строить даль</w:t>
      </w:r>
      <w:r w:rsidRPr="00925F26">
        <w:rPr>
          <w:rFonts w:ascii="Times New Roman" w:cs="Times New Roman"/>
          <w:color w:val="000000" w:themeColor="text1"/>
          <w:spacing w:val="0"/>
        </w:rPr>
        <w:softHyphen/>
        <w:t>ний истребитель сопровождения на базе Пе-2И 2М-107А в одноместном ва</w:t>
      </w:r>
      <w:r w:rsidRPr="00925F26">
        <w:rPr>
          <w:rFonts w:ascii="Times New Roman" w:cs="Times New Roman"/>
          <w:color w:val="000000" w:themeColor="text1"/>
          <w:spacing w:val="0"/>
        </w:rPr>
        <w:softHyphen/>
        <w:t>рианте, «также как и американский са</w:t>
      </w:r>
      <w:r w:rsidRPr="00925F26">
        <w:rPr>
          <w:rFonts w:ascii="Times New Roman" w:cs="Times New Roman"/>
          <w:color w:val="000000" w:themeColor="text1"/>
          <w:spacing w:val="0"/>
        </w:rPr>
        <w:softHyphen/>
        <w:t>молет Лайтнинг». Максимальная ско</w:t>
      </w:r>
      <w:r w:rsidRPr="00925F26">
        <w:rPr>
          <w:rFonts w:ascii="Times New Roman" w:cs="Times New Roman"/>
          <w:color w:val="000000" w:themeColor="text1"/>
          <w:spacing w:val="0"/>
        </w:rPr>
        <w:softHyphen/>
        <w:t>рость по расчетам получалась 640 км/ч на высоте 5700 м, дальность полета без подвесных топливных баков - 4000 км, вооружение - две пушки калибра 20 мм и две пушки калибра 37 мм (или 45 мм), две бомбы калибра 500 кг. При исполь</w:t>
      </w:r>
      <w:r w:rsidRPr="00925F26">
        <w:rPr>
          <w:rFonts w:ascii="Times New Roman" w:cs="Times New Roman"/>
          <w:color w:val="000000" w:themeColor="text1"/>
          <w:spacing w:val="0"/>
        </w:rPr>
        <w:softHyphen/>
        <w:t xml:space="preserve">зовании более мощных моторов М-108 максимальная скорость возрастала до </w:t>
      </w:r>
      <w:r w:rsidRPr="00925F26">
        <w:rPr>
          <w:rStyle w:val="BookAntiqua10pt0pt"/>
          <w:rFonts w:ascii="Times New Roman" w:eastAsia="Arial Narrow" w:hAnsi="Times New Roman" w:cs="Times New Roman"/>
          <w:b w:val="0"/>
          <w:color w:val="000000" w:themeColor="text1"/>
          <w:spacing w:val="0"/>
          <w:sz w:val="16"/>
          <w:szCs w:val="16"/>
        </w:rPr>
        <w:t>680</w:t>
      </w:r>
      <w:r w:rsidRPr="00925F26">
        <w:rPr>
          <w:rFonts w:ascii="Times New Roman" w:cs="Times New Roman"/>
          <w:color w:val="000000" w:themeColor="text1"/>
          <w:spacing w:val="0"/>
        </w:rPr>
        <w:t xml:space="preserve"> км/ч при сохранении дальности и вооружения на прежнем уровне. Утвер</w:t>
      </w:r>
      <w:r w:rsidRPr="00925F26">
        <w:rPr>
          <w:rFonts w:ascii="Times New Roman" w:cs="Times New Roman"/>
          <w:color w:val="000000" w:themeColor="text1"/>
          <w:spacing w:val="0"/>
        </w:rPr>
        <w:softHyphen/>
        <w:t>ждалось, «что по дальности, скорости и вооружению предлагаемый истреби</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тель</w:t>
      </w:r>
      <w:r w:rsidRPr="00925F26">
        <w:rPr>
          <w:rFonts w:ascii="Times New Roman" w:cs="Times New Roman"/>
          <w:color w:val="000000" w:themeColor="text1"/>
          <w:spacing w:val="0"/>
        </w:rPr>
        <w:t xml:space="preserve"> сопровождения стоит на уровне лучших образцов иностранных самоле</w:t>
      </w:r>
      <w:r w:rsidRPr="00925F26">
        <w:rPr>
          <w:rFonts w:ascii="Times New Roman" w:cs="Times New Roman"/>
          <w:color w:val="000000" w:themeColor="text1"/>
          <w:spacing w:val="0"/>
        </w:rPr>
        <w:softHyphen/>
      </w:r>
      <w:r w:rsidRPr="00925F26">
        <w:rPr>
          <w:rStyle w:val="95pt-1pt"/>
          <w:rFonts w:ascii="Times New Roman" w:hAnsi="Times New Roman" w:cs="Times New Roman"/>
          <w:b w:val="0"/>
          <w:color w:val="000000" w:themeColor="text1"/>
          <w:spacing w:val="0"/>
          <w:sz w:val="16"/>
          <w:szCs w:val="16"/>
        </w:rPr>
        <w:t>те».</w:t>
      </w:r>
      <w:r w:rsidRPr="00925F26">
        <w:rPr>
          <w:rFonts w:ascii="Times New Roman" w:cs="Times New Roman"/>
          <w:color w:val="000000" w:themeColor="text1"/>
          <w:spacing w:val="0"/>
        </w:rPr>
        <w:t xml:space="preserve"> Самолет с небольшими изменени</w:t>
      </w:r>
      <w:r w:rsidRPr="00925F26">
        <w:rPr>
          <w:rFonts w:ascii="Times New Roman" w:cs="Times New Roman"/>
          <w:color w:val="000000" w:themeColor="text1"/>
          <w:spacing w:val="0"/>
        </w:rPr>
        <w:softHyphen/>
        <w:t xml:space="preserve">ям позволял также использование его </w:t>
      </w:r>
      <w:r w:rsidRPr="00925F26">
        <w:rPr>
          <w:rStyle w:val="TimesNewRoman10pt"/>
          <w:rFonts w:eastAsia="Arial Narrow"/>
          <w:b w:val="0"/>
          <w:color w:val="000000" w:themeColor="text1"/>
          <w:sz w:val="16"/>
          <w:szCs w:val="16"/>
        </w:rPr>
        <w:t>в</w:t>
      </w:r>
      <w:r w:rsidRPr="00925F26">
        <w:rPr>
          <w:rFonts w:ascii="Times New Roman" w:cs="Times New Roman"/>
          <w:color w:val="000000" w:themeColor="text1"/>
          <w:spacing w:val="0"/>
        </w:rPr>
        <w:t xml:space="preserve"> качестве дальнего разведчика и ноч</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ного</w:t>
      </w:r>
      <w:r w:rsidRPr="00925F26">
        <w:rPr>
          <w:rFonts w:ascii="Times New Roman" w:cs="Times New Roman"/>
          <w:color w:val="000000" w:themeColor="text1"/>
          <w:spacing w:val="0"/>
        </w:rPr>
        <w:t xml:space="preserve"> истребителя в системе ПВО при установке на нем радиолокационных устройств типа СЧ или «Гнейс». В пер</w:t>
      </w:r>
      <w:r w:rsidRPr="00925F26">
        <w:rPr>
          <w:rFonts w:ascii="Times New Roman" w:cs="Times New Roman"/>
          <w:color w:val="000000" w:themeColor="text1"/>
          <w:spacing w:val="0"/>
        </w:rPr>
        <w:softHyphen/>
        <w:t>спективе, «после отработки тов. Климо</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вым</w:t>
      </w:r>
      <w:r w:rsidRPr="00925F26">
        <w:rPr>
          <w:rFonts w:ascii="Times New Roman" w:cs="Times New Roman"/>
          <w:color w:val="000000" w:themeColor="text1"/>
          <w:spacing w:val="0"/>
        </w:rPr>
        <w:t xml:space="preserve"> высотных моторов ВК-109», пред</w:t>
      </w:r>
      <w:r w:rsidRPr="00925F26">
        <w:rPr>
          <w:rFonts w:ascii="Times New Roman" w:cs="Times New Roman"/>
          <w:color w:val="000000" w:themeColor="text1"/>
          <w:spacing w:val="0"/>
        </w:rPr>
        <w:softHyphen/>
        <w:t xml:space="preserve">полагался выпуск истребителя с этими моторами и гермокабиной для экипажа </w:t>
      </w:r>
      <w:r w:rsidRPr="00925F26">
        <w:rPr>
          <w:rStyle w:val="Candara10pt"/>
          <w:rFonts w:ascii="Times New Roman" w:hAnsi="Times New Roman" w:cs="Times New Roman"/>
          <w:b w:val="0"/>
          <w:color w:val="000000" w:themeColor="text1"/>
          <w:sz w:val="16"/>
          <w:szCs w:val="16"/>
        </w:rPr>
        <w:t>и</w:t>
      </w:r>
      <w:r w:rsidRPr="00925F26">
        <w:rPr>
          <w:rFonts w:ascii="Times New Roman" w:cs="Times New Roman"/>
          <w:color w:val="000000" w:themeColor="text1"/>
          <w:spacing w:val="0"/>
        </w:rPr>
        <w:t xml:space="preserve"> высотностью до 12000 м.</w:t>
      </w:r>
    </w:p>
    <w:p w14:paraId="44B092BB" w14:textId="77777777" w:rsidR="00C84475" w:rsidRPr="00925F26" w:rsidRDefault="00C84475"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 xml:space="preserve">Командующий ВВС КА маршал </w:t>
      </w:r>
      <w:r w:rsidRPr="00925F26">
        <w:rPr>
          <w:rStyle w:val="aff9"/>
          <w:rFonts w:ascii="Times New Roman" w:cs="Times New Roman"/>
          <w:b w:val="0"/>
          <w:color w:val="000000" w:themeColor="text1"/>
          <w:spacing w:val="0"/>
          <w:sz w:val="16"/>
          <w:szCs w:val="16"/>
        </w:rPr>
        <w:t>АА</w:t>
      </w:r>
      <w:r w:rsidRPr="00925F26">
        <w:rPr>
          <w:rFonts w:ascii="Times New Roman" w:cs="Times New Roman"/>
          <w:color w:val="000000" w:themeColor="text1"/>
          <w:spacing w:val="0"/>
        </w:rPr>
        <w:t xml:space="preserve"> Новиков возражал, считая лучшим вариантом дальний истребитель с эки</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пажем</w:t>
      </w:r>
      <w:r w:rsidRPr="00925F26">
        <w:rPr>
          <w:rFonts w:ascii="Times New Roman" w:cs="Times New Roman"/>
          <w:color w:val="000000" w:themeColor="text1"/>
          <w:spacing w:val="0"/>
        </w:rPr>
        <w:t xml:space="preserve"> из двух человек (летчик и штур</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ман)</w:t>
      </w:r>
      <w:r w:rsidRPr="00925F26">
        <w:rPr>
          <w:rFonts w:ascii="Times New Roman" w:cs="Times New Roman"/>
          <w:color w:val="000000" w:themeColor="text1"/>
          <w:spacing w:val="0"/>
        </w:rPr>
        <w:t xml:space="preserve"> и оборонительным вооружением для защиты от атак противника со сто</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роны</w:t>
      </w:r>
      <w:r w:rsidRPr="00925F26">
        <w:rPr>
          <w:rFonts w:ascii="Times New Roman" w:cs="Times New Roman"/>
          <w:color w:val="000000" w:themeColor="text1"/>
          <w:spacing w:val="0"/>
        </w:rPr>
        <w:t xml:space="preserve"> задней полусферы. Его не сму</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тило</w:t>
      </w:r>
      <w:r w:rsidRPr="00925F26">
        <w:rPr>
          <w:rFonts w:ascii="Times New Roman" w:cs="Times New Roman"/>
          <w:color w:val="000000" w:themeColor="text1"/>
          <w:spacing w:val="0"/>
        </w:rPr>
        <w:t xml:space="preserve"> неизбежное в этом случае сниже</w:t>
      </w:r>
      <w:r w:rsidRPr="00925F26">
        <w:rPr>
          <w:rFonts w:ascii="Times New Roman" w:cs="Times New Roman"/>
          <w:color w:val="000000" w:themeColor="text1"/>
          <w:spacing w:val="0"/>
        </w:rPr>
        <w:softHyphen/>
      </w:r>
      <w:r w:rsidRPr="00925F26">
        <w:rPr>
          <w:rStyle w:val="aff9"/>
          <w:rFonts w:ascii="Times New Roman" w:cs="Times New Roman"/>
          <w:b w:val="0"/>
          <w:color w:val="000000" w:themeColor="text1"/>
          <w:spacing w:val="0"/>
          <w:sz w:val="16"/>
          <w:szCs w:val="16"/>
        </w:rPr>
        <w:t>ние</w:t>
      </w:r>
      <w:r w:rsidRPr="00925F26">
        <w:rPr>
          <w:rFonts w:ascii="Times New Roman" w:cs="Times New Roman"/>
          <w:color w:val="000000" w:themeColor="text1"/>
          <w:spacing w:val="0"/>
        </w:rPr>
        <w:t xml:space="preserve"> летных данных самолета: скорости, дальности полета. Мнение Новикова оказалось решающим.</w:t>
      </w:r>
    </w:p>
    <w:p w14:paraId="44F9F46A" w14:textId="77777777" w:rsidR="00C84475" w:rsidRPr="00925F26" w:rsidRDefault="00C84475"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Планировалось строить сразу два экземпляра истребителя на заводе N9482 со сроком передачи на испытания не позже 15 августа 1945 г. Для их по</w:t>
      </w:r>
      <w:r w:rsidRPr="00925F26">
        <w:rPr>
          <w:rFonts w:ascii="Times New Roman" w:cs="Times New Roman"/>
          <w:color w:val="000000" w:themeColor="text1"/>
          <w:spacing w:val="0"/>
        </w:rPr>
        <w:softHyphen/>
        <w:t>стройки предполагалось использовать агрегаты и узлы уже изготовленного на заводе №22 самолета Пе-2И. Вопрос о серийном выпуске этих самолетов предлагалось решить после проведе</w:t>
      </w:r>
      <w:r w:rsidRPr="00925F26">
        <w:rPr>
          <w:rFonts w:ascii="Times New Roman" w:cs="Times New Roman"/>
          <w:color w:val="000000" w:themeColor="text1"/>
          <w:spacing w:val="0"/>
        </w:rPr>
        <w:softHyphen/>
        <w:t>ния летных испытаний. На строительст</w:t>
      </w:r>
      <w:r w:rsidRPr="00925F26">
        <w:rPr>
          <w:rFonts w:ascii="Times New Roman" w:cs="Times New Roman"/>
          <w:color w:val="000000" w:themeColor="text1"/>
          <w:spacing w:val="0"/>
        </w:rPr>
        <w:softHyphen/>
        <w:t>во двух опытных экземпляров самолета выделялось 5800 тыс. рублей (15758).</w:t>
      </w:r>
    </w:p>
    <w:p w14:paraId="4422503D" w14:textId="77777777" w:rsidR="00C84475" w:rsidRPr="00925F26" w:rsidRDefault="00C84475" w:rsidP="00925F26">
      <w:pPr>
        <w:pStyle w:val="27"/>
        <w:shd w:val="clear" w:color="auto" w:fill="auto"/>
        <w:spacing w:after="0" w:line="240" w:lineRule="auto"/>
        <w:ind w:firstLine="0"/>
        <w:rPr>
          <w:rFonts w:ascii="Times New Roman" w:cs="Times New Roman"/>
          <w:color w:val="000000" w:themeColor="text1"/>
          <w:spacing w:val="0"/>
        </w:rPr>
      </w:pPr>
    </w:p>
    <w:p w14:paraId="736D03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N 9080с от о создании в кратчайший срок самолетов истребителей сопровождения (1894127).</w:t>
      </w:r>
    </w:p>
    <w:p w14:paraId="3837F943" w14:textId="77777777" w:rsidR="006103B3" w:rsidRPr="00925F26" w:rsidRDefault="006103B3" w:rsidP="00925F26">
      <w:pPr>
        <w:autoSpaceDE w:val="0"/>
        <w:autoSpaceDN w:val="0"/>
        <w:adjustRightInd w:val="0"/>
        <w:jc w:val="both"/>
        <w:rPr>
          <w:color w:val="000000" w:themeColor="text1"/>
          <w:sz w:val="16"/>
          <w:szCs w:val="16"/>
        </w:rPr>
      </w:pPr>
    </w:p>
    <w:p w14:paraId="566249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9080 О постройке самолетов-истребителей сопровождения. РГАНИР, Фонд ГКО, д. 428, лл. 60 (11012).</w:t>
      </w:r>
    </w:p>
    <w:p w14:paraId="13B9A5C5" w14:textId="77777777" w:rsidR="006103B3" w:rsidRPr="00925F26" w:rsidRDefault="006103B3" w:rsidP="00925F26">
      <w:pPr>
        <w:autoSpaceDE w:val="0"/>
        <w:autoSpaceDN w:val="0"/>
        <w:adjustRightInd w:val="0"/>
        <w:jc w:val="both"/>
        <w:rPr>
          <w:color w:val="000000" w:themeColor="text1"/>
          <w:sz w:val="16"/>
          <w:szCs w:val="16"/>
        </w:rPr>
      </w:pPr>
    </w:p>
    <w:p w14:paraId="541926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за № 0349 Г.К.Жуковым и 22 июня в ГШ ВВС РККА за № 02252 было получено письмо Роберта Гюсснера</w:t>
      </w:r>
    </w:p>
    <w:p w14:paraId="63DF00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Коменданту Берлина</w:t>
      </w:r>
    </w:p>
    <w:p w14:paraId="7D14FF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через ст. л. Мочалина</w:t>
      </w:r>
    </w:p>
    <w:p w14:paraId="29ACFB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Виза</w:t>
      </w:r>
    </w:p>
    <w:p w14:paraId="6C3FFE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“Лично</w:t>
      </w:r>
    </w:p>
    <w:p w14:paraId="6E0EA3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В.Новикову А.А.</w:t>
      </w:r>
    </w:p>
    <w:p w14:paraId="42A75F8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Прошу разобраться, переговорить с т. Шахуриным и свое мнение доложить”</w:t>
      </w:r>
    </w:p>
    <w:p w14:paraId="2A089F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w:t>
      </w:r>
    </w:p>
    <w:p w14:paraId="27D6FDD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Ссылаясь на мои переговоры с г. ст. л. Мочалиным я вручаю, согласно высказанного мне пожелания, приложенную к сему сводку, передающую приблизительное содержание моих изложений.</w:t>
      </w:r>
    </w:p>
    <w:p w14:paraId="7DD5046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Применение приобретенных в области электрических колебаний познаний, законом и методов подсчета также в области механики и, в частности, машино строения могло бы внеспециалисте вызвать понятные сомнения в допустимости такового. Позволю себе указать на то, что правильность резонансного принципа в машинах осциляционно- и кругово-колебательного действия уже доказана. Резонансные машины изготовляются машиностроительными заводами акц. Обва Фридр. Крупа в Магдебурге, Акц.О-ва Иос. Фегеле в Мангейме, Акц.О-во Гутегофнукгсгютте Обергаузен в Дюссельдорфе, Акц.О-ве Гумбольт-Дейц-мотороз вКелън-Дейце и др. Эти крупные фирмы, ближе всего, пожалуй, стоящие к практике, действительности и хо</w:t>
      </w:r>
      <w:r w:rsidRPr="00925F26">
        <w:rPr>
          <w:color w:val="000000" w:themeColor="text1"/>
          <w:sz w:val="16"/>
          <w:szCs w:val="16"/>
        </w:rPr>
        <w:softHyphen/>
        <w:t>зяйственности, точнейшим образом исследовали, контролировали и путем точнейших измерений изучили резонансный принцип во всех его выявлениях и путем постройки и продажи таковых машин на сумму свыше 20 милионов марок они завоевали резонансному принципу признанное превосходство над до сих пор существующими вопреки всем нападкам со стороны влиятельных кругов нынешней профессорской династии.</w:t>
      </w:r>
    </w:p>
    <w:p w14:paraId="701617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Специалисту ныне уже ясно, что область резонансных машин, как и иные крупные отрасли техники, прогрессивно возрастет и в конечном итоге займет в механике то же положение, как напр. Отрасли машин переменного тока и высокой частоты в электротехнике.</w:t>
      </w:r>
    </w:p>
    <w:p w14:paraId="1A885D1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Дело касается здесь, значит, не какого-то частичного изобретения, затрагивающего конструкции одной какой-либо машины или категории машин, а до сих пор широкими кругами оставленного без внимания основного принципа дтч передачи полезного действия. Что этот испытанный принцип применим также в конструткции самолетов, и при том невообразиным полезным эффектом, это не подлежит для меня ни малейшему сомнению.</w:t>
      </w:r>
    </w:p>
    <w:p w14:paraId="7C68AB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 избежание недоразумений я </w:t>
      </w:r>
      <w:proofErr w:type="gramStart"/>
      <w:r w:rsidRPr="00925F26">
        <w:rPr>
          <w:color w:val="000000" w:themeColor="text1"/>
          <w:sz w:val="16"/>
          <w:szCs w:val="16"/>
        </w:rPr>
        <w:t>повторяю!,</w:t>
      </w:r>
      <w:proofErr w:type="gramEnd"/>
      <w:r w:rsidRPr="00925F26">
        <w:rPr>
          <w:color w:val="000000" w:themeColor="text1"/>
          <w:sz w:val="16"/>
          <w:szCs w:val="16"/>
        </w:rPr>
        <w:t xml:space="preserve"> что я не являюсь изобретателен этого принципа, а только сотрудничал в области изученимя принципов колебаний в течение 10 лет. Само собой разумеется, я попытаюсь привлечь и самого изобретателя - человека уже весьма преклонного возраста - к участию в работе и осущестлению предлашгаемого Вам проекта.</w:t>
      </w:r>
    </w:p>
    <w:p w14:paraId="56996CA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РЕЗОНАНСНЫЕ САМОЛЕТЫ.</w:t>
      </w:r>
    </w:p>
    <w:p w14:paraId="56E957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А. </w:t>
      </w:r>
      <w:r w:rsidRPr="00925F26">
        <w:rPr>
          <w:smallCaps/>
          <w:color w:val="000000" w:themeColor="text1"/>
          <w:sz w:val="16"/>
          <w:szCs w:val="16"/>
        </w:rPr>
        <w:t>развитИЕ ТЕХНИКИ полета.</w:t>
      </w:r>
    </w:p>
    <w:p w14:paraId="50C6CD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начала нынешнего столетия встречало всякое намерение полета при помощи “машин тяжелее воздуха” лишь недоверчивую улыбку. Даже признанные корифеи науки и практические техники, ка-то Гелъмгольц и Вернер Фон Зименс, высказывались ошибочно против такой возможности и нанесли этим германской летательной технике, занявшей с Отто Лилиенталем во главе тогда ведущее положение, не малый вред.</w:t>
      </w:r>
    </w:p>
    <w:p w14:paraId="75BE38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Тем временен разрешение этой проблемы теоретически и практически давно уже удалось, однако опять уже находятся отрица</w:t>
      </w:r>
      <w:r w:rsidRPr="00925F26">
        <w:rPr>
          <w:color w:val="000000" w:themeColor="text1"/>
          <w:sz w:val="16"/>
          <w:szCs w:val="16"/>
        </w:rPr>
        <w:softHyphen/>
        <w:t>тельно настроенные критики, старающиеся все ставить в смешном виде следующий важный шаг летательной техники, а именно подражателъное применение естественного колебательного полета. Ар</w:t>
      </w:r>
      <w:r w:rsidRPr="00925F26">
        <w:rPr>
          <w:color w:val="000000" w:themeColor="text1"/>
          <w:sz w:val="16"/>
          <w:szCs w:val="16"/>
        </w:rPr>
        <w:softHyphen/>
        <w:t>гументация их гласит приблизительно так:</w:t>
      </w:r>
    </w:p>
    <w:p w14:paraId="1D92C47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"Лучшим средством передвижения в воздушной среде является скользящая, движимая при помощи пропеллера плоскости, и этим средством пользовалась бы и природа, будь она в состоянии питать ротирующие наподобие пропеллера органы через обычную кровеносную система животного типа".</w:t>
      </w:r>
    </w:p>
    <w:p w14:paraId="22879F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Противопоставить этому можно, что животныйполет показывает многократно лучший коэффициент полезного дейстзия при одинако</w:t>
      </w:r>
      <w:r w:rsidRPr="00925F26">
        <w:rPr>
          <w:color w:val="000000" w:themeColor="text1"/>
          <w:sz w:val="16"/>
          <w:szCs w:val="16"/>
        </w:rPr>
        <w:softHyphen/>
        <w:t>вой затрате энергии, что он позволяет пользоваться точкообразными площадями для старта и посадки и во время полета в воздухе остановиться неподвижно; что дальше природа в лице полета на</w:t>
      </w:r>
      <w:r w:rsidRPr="00925F26">
        <w:rPr>
          <w:color w:val="000000" w:themeColor="text1"/>
          <w:sz w:val="16"/>
          <w:szCs w:val="16"/>
        </w:rPr>
        <w:softHyphen/>
        <w:t>секомых обладает летательным методом настолько поосто и легко применимым, что мастерски пользоваться им в состоянии даже жи</w:t>
      </w:r>
      <w:r w:rsidRPr="00925F26">
        <w:rPr>
          <w:color w:val="000000" w:themeColor="text1"/>
          <w:sz w:val="16"/>
          <w:szCs w:val="16"/>
        </w:rPr>
        <w:softHyphen/>
        <w:t>вотные, длительность жизни которых ограничена всего лишь не</w:t>
      </w:r>
      <w:r w:rsidRPr="00925F26">
        <w:rPr>
          <w:color w:val="000000" w:themeColor="text1"/>
          <w:sz w:val="16"/>
          <w:szCs w:val="16"/>
        </w:rPr>
        <w:softHyphen/>
        <w:t>сколькими днями либо часами, и следовательно не имеющие времени для улучшений в полете. Всеми этими соображениями не только опровергнуто ложное мнение, будто нами якобы превзойдення при</w:t>
      </w:r>
      <w:r w:rsidRPr="00925F26">
        <w:rPr>
          <w:color w:val="000000" w:themeColor="text1"/>
          <w:sz w:val="16"/>
          <w:szCs w:val="16"/>
        </w:rPr>
        <w:softHyphen/>
        <w:t>рода должна у нас учиться, но и доказана настоятельная обязан</w:t>
      </w:r>
      <w:r w:rsidRPr="00925F26">
        <w:rPr>
          <w:color w:val="000000" w:themeColor="text1"/>
          <w:sz w:val="16"/>
          <w:szCs w:val="16"/>
        </w:rPr>
        <w:softHyphen/>
        <w:t>ность для нас, извлечь для нас пользу из познанных преимуществ естественного полета.</w:t>
      </w:r>
    </w:p>
    <w:p w14:paraId="4803EF9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Последуюцие строки имеют целью доказать, что это действи</w:t>
      </w:r>
      <w:r w:rsidRPr="00925F26">
        <w:rPr>
          <w:color w:val="000000" w:themeColor="text1"/>
          <w:sz w:val="16"/>
          <w:szCs w:val="16"/>
        </w:rPr>
        <w:softHyphen/>
        <w:t>тельно реализуемо.</w:t>
      </w:r>
    </w:p>
    <w:p w14:paraId="5A0BDA6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Знакомые роды полета.</w:t>
      </w:r>
    </w:p>
    <w:p w14:paraId="13C6C47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Знакомые роды полета можно подразделить следующим образом:</w:t>
      </w:r>
    </w:p>
    <w:p w14:paraId="4B6BC64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lang w:val="en-US"/>
        </w:rPr>
        <w:t>I</w:t>
      </w:r>
      <w:r w:rsidRPr="00925F26">
        <w:rPr>
          <w:color w:val="000000" w:themeColor="text1"/>
          <w:sz w:val="16"/>
          <w:szCs w:val="16"/>
        </w:rPr>
        <w:t>) Скользящие плоскости, движимые вперед тяговой силой (пропеллером); на этом принципе построены все с успехом приме</w:t>
      </w:r>
      <w:r w:rsidRPr="00925F26">
        <w:rPr>
          <w:color w:val="000000" w:themeColor="text1"/>
          <w:sz w:val="16"/>
          <w:szCs w:val="16"/>
        </w:rPr>
        <w:softHyphen/>
        <w:t>няемые роды человеческих самолетов,</w:t>
      </w:r>
    </w:p>
    <w:p w14:paraId="00A32C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Естественный метод полета, применяемый птицами, и;</w:t>
      </w:r>
    </w:p>
    <w:p w14:paraId="0EFD49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иетод, преимущественно свойственный насекомым.</w:t>
      </w:r>
    </w:p>
    <w:p w14:paraId="260C6D1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п. 1. Первоуаомянутый метод полета является т.н. методом постоянной силы, т.е. постонно вращиающийся винтовой пропеллер вызывает в воздухе постоянные, направленные вперед силы, движузие скользящую плоскость - в зависимости от устанавливаемого угла наклона - постоянно вверх, горизонтально или вниз.</w:t>
      </w:r>
    </w:p>
    <w:p w14:paraId="45C1EC3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К п. 2 Второй метод полета пользуется физическим принципом переменных сил. Движение вперед вызывается переменнымми воздушнымси импульсами, создаваемыми ударяющими вверх-вниз крыльями </w:t>
      </w:r>
    </w:p>
    <w:p w14:paraId="3B8F44B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 а. 3. Третий метод полета зиждется на принципе т.н. круговых колебаний. При этом принципе наблюдаемы физические явления как постоянных, так и переменных сил, кроме того, управление применяется не только динамическое, действующее во время полета, но действующее в состоянии покоя статическое.</w:t>
      </w:r>
    </w:p>
    <w:p w14:paraId="024D17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Прежде, чем вдаваться в подробности, следует указать на то, что технике удалось осуществитвление первого метода полета, т.е. метода, вообще не имеющего аналога в </w:t>
      </w:r>
      <w:proofErr w:type="gramStart"/>
      <w:r w:rsidRPr="00925F26">
        <w:rPr>
          <w:color w:val="000000" w:themeColor="text1"/>
          <w:sz w:val="16"/>
          <w:szCs w:val="16"/>
        </w:rPr>
        <w:t>природе, только потому, что</w:t>
      </w:r>
      <w:proofErr w:type="gramEnd"/>
      <w:r w:rsidRPr="00925F26">
        <w:rPr>
          <w:color w:val="000000" w:themeColor="text1"/>
          <w:sz w:val="16"/>
          <w:szCs w:val="16"/>
        </w:rPr>
        <w:t xml:space="preserve"> она вплоть до последних годов владела из всех вышеназванных механических принципов дествительно суверенно только этим принципос постоянных сил. Из числа переменно-силовых явлений изучен был лишь тот, при котором данная масса двигалась попеременно в двух диаметрально противоположных направлениях при помощи неупругих элементов при граниченном размахе движения. Но как раз этот способ движения оказался в результате безчисленных практических опытов обсолютно непригодным.</w:t>
      </w:r>
    </w:p>
    <w:p w14:paraId="6299A09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Что при животном полете применяется исключительно колебательный процесс с переменной, ограниченной свободными силами амплитудой, достигающей своего максимума в случае равной настройки (резонанса), это было доказано уже в 1922 г. на конгрессе естествоведов в Лейпциге (100-й конгресс) и впоследствии было аналогично перенесено на все прочие являения переменных сил. Для механики этим была открыта совершенно новая область.</w:t>
      </w:r>
    </w:p>
    <w:p w14:paraId="3AB2FE9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Область динамической резонансной машины.</w:t>
      </w:r>
    </w:p>
    <w:p w14:paraId="7FDD3A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Что все до сих пор приложенные старания и предпринятые попытки подражания животному полету окончились полной неудачей доказывает явно, что тут оказался пробел в намем техническом знании. Лишь проведенное при помощи киносъемок точное доказательство того, что птицы при полете действительно пользуются принципом резонанса, вполне замкнула эту цепь мыслей. На первых порах сразу после открытия области резонансных машин казалось обоснованным выражение сомнения в том, что действительно ли этот принцип позволит столь существенно улучшать коэффициент полезного действия механической аппаратуры, и широчайшим образом таковые сомнения были высказаны. Тем </w:t>
      </w:r>
      <w:proofErr w:type="gramStart"/>
      <w:r w:rsidRPr="00925F26">
        <w:rPr>
          <w:color w:val="000000" w:themeColor="text1"/>
          <w:sz w:val="16"/>
          <w:szCs w:val="16"/>
        </w:rPr>
        <w:t>временем</w:t>
      </w:r>
      <w:proofErr w:type="gramEnd"/>
      <w:r w:rsidRPr="00925F26">
        <w:rPr>
          <w:color w:val="000000" w:themeColor="text1"/>
          <w:sz w:val="16"/>
          <w:szCs w:val="16"/>
        </w:rPr>
        <w:t xml:space="preserve"> однако развитие резонансных машин доказало воочию, что самыя оптимостическия предположения далеко были превзойдены действительностью. Так, например, резонансная просевная машина длинною 28 м и 20000 кг веса, приводящая в колебательные движения два сита весом 7400 кг, при частоте колебаний 320 периодов минуту и амплитудой колебаний 4 см, просевая при том 1000 т материала в минуту, требовала при этом двигательную силу всего в 3 л.с., тогда как при применении прежнего принципа потребовалась в равных условиях двигательная энергия в 50-60 лс, т.е. до 20 крано большая.</w:t>
      </w:r>
    </w:p>
    <w:p w14:paraId="652B452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Этот факт находится в полном сочетании с наблюдаемвми в летательной технике фактом, что животный резонансный полет работает с бросающейся в глаза значительно лучшим полезным эффектом, чем пропелерный полет.</w:t>
      </w:r>
    </w:p>
    <w:p w14:paraId="4809EB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Но и отрицательный факт, что техника даже при лучшем своем желании не могла осуществить животного полета, объясняется тем, что при применении (увеличении) числа оборотов или колебаний от 250 до 2000 потеря от трения при жестко двигаемых ситах возрастает с 0,42 до 96 лс (!) и кпд падает от 70% до 1,03%. Полезный эффект при том остается постоянным и равным 1 лс. При равных условиях возрастет потеря от трения при резонансных машинах всего лишь от 0,01 лс до 0,32 лс и кпд падает с 90% до 71%.</w:t>
      </w:r>
    </w:p>
    <w:p w14:paraId="3FAAB50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Эти цифры показывают, что технике до сих пор ей</w:t>
      </w:r>
      <w:r w:rsidRPr="00925F26">
        <w:rPr>
          <w:color w:val="000000" w:themeColor="text1"/>
          <w:sz w:val="16"/>
          <w:szCs w:val="16"/>
        </w:rPr>
        <w:tab/>
        <w:t xml:space="preserve"> известными средствами ограниченных движений, разрешение проблемы животного полета никогда и не могло удасться, т.к. в вышеуказанном примере от приложенных 100 лс осталось полезным эффектом в результате всего 1 лс.</w:t>
      </w:r>
    </w:p>
    <w:p w14:paraId="12EEF6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 Резонансный самолет</w:t>
      </w:r>
    </w:p>
    <w:p w14:paraId="7469DDF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Работающий по принципу птичбьего полета резонансом переменно-силовой самолет.</w:t>
      </w:r>
    </w:p>
    <w:p w14:paraId="1C767D4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Сами по себе периодически действующие крылья используются здесь путем движения их вверх и вниз как органы движения вперед и вызыватю на основании их эластичных и прочих свойств, главным образом при ударе вниз, в меньшей мере и при подъеме крыльев вверх, двигательные силы, направленные вперед.</w:t>
      </w:r>
    </w:p>
    <w:p w14:paraId="08B171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то время значит, как крылья сами по себе должны быть рассматриваемы, как апериодическое тело, масса крыльев соответственно с мускулатурой притцы является телом с колебательной способностью и ярко выраженным собственным периодом колебаний (2591).</w:t>
      </w:r>
    </w:p>
    <w:p w14:paraId="1A52774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8B675C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3AD1E3E2" w14:textId="77777777" w:rsidR="006103B3" w:rsidRPr="00925F26" w:rsidRDefault="006103B3" w:rsidP="00925F26">
      <w:pPr>
        <w:autoSpaceDE w:val="0"/>
        <w:autoSpaceDN w:val="0"/>
        <w:adjustRightInd w:val="0"/>
        <w:jc w:val="both"/>
        <w:rPr>
          <w:iCs/>
          <w:color w:val="000000" w:themeColor="text1"/>
          <w:sz w:val="16"/>
          <w:szCs w:val="16"/>
        </w:rPr>
      </w:pPr>
    </w:p>
    <w:p w14:paraId="6145D334" w14:textId="77777777" w:rsidR="004B7DC3" w:rsidRPr="00925F26" w:rsidRDefault="004B7DC3" w:rsidP="00925F26">
      <w:pPr>
        <w:jc w:val="both"/>
        <w:rPr>
          <w:color w:val="000000" w:themeColor="text1"/>
          <w:sz w:val="16"/>
          <w:szCs w:val="16"/>
        </w:rPr>
      </w:pPr>
      <w:r w:rsidRPr="00925F26">
        <w:rPr>
          <w:color w:val="000000" w:themeColor="text1"/>
          <w:sz w:val="16"/>
          <w:szCs w:val="16"/>
        </w:rPr>
        <w:t>20 июня 1945 г. ПОСТАНОВЛЕНИЕ ГКО № 9099сс «О вывозе из г. Берлина оборудования опытной установки по передаче электроэнергии постоянным током и станочного оборудования для ремонтных заводов НКЭ»</w:t>
      </w:r>
    </w:p>
    <w:p w14:paraId="4EC46F3F" w14:textId="77777777" w:rsidR="004B7DC3" w:rsidRPr="00925F26" w:rsidRDefault="004B7DC3" w:rsidP="00925F26">
      <w:pPr>
        <w:jc w:val="both"/>
        <w:rPr>
          <w:color w:val="000000" w:themeColor="text1"/>
          <w:sz w:val="16"/>
          <w:szCs w:val="16"/>
        </w:rPr>
      </w:pPr>
      <w:r w:rsidRPr="00925F26">
        <w:rPr>
          <w:color w:val="000000" w:themeColor="text1"/>
          <w:sz w:val="16"/>
          <w:szCs w:val="16"/>
        </w:rPr>
        <w:lastRenderedPageBreak/>
        <w:t>Москва, Кремль</w:t>
      </w:r>
    </w:p>
    <w:p w14:paraId="60EC994E" w14:textId="77777777" w:rsidR="004B7DC3" w:rsidRPr="00925F26" w:rsidRDefault="004B7DC3" w:rsidP="00925F26">
      <w:pPr>
        <w:jc w:val="both"/>
        <w:rPr>
          <w:color w:val="000000" w:themeColor="text1"/>
          <w:sz w:val="16"/>
          <w:szCs w:val="16"/>
        </w:rPr>
      </w:pPr>
      <w:r w:rsidRPr="00925F26">
        <w:rPr>
          <w:color w:val="000000" w:themeColor="text1"/>
          <w:sz w:val="16"/>
          <w:szCs w:val="16"/>
        </w:rPr>
        <w:t>Совершенно секретно</w:t>
      </w:r>
    </w:p>
    <w:p w14:paraId="6FC221DF" w14:textId="77777777" w:rsidR="004B7DC3" w:rsidRPr="00925F26" w:rsidRDefault="004B7DC3" w:rsidP="00925F26">
      <w:pPr>
        <w:jc w:val="both"/>
        <w:rPr>
          <w:color w:val="000000" w:themeColor="text1"/>
          <w:sz w:val="16"/>
          <w:szCs w:val="16"/>
        </w:rPr>
      </w:pPr>
      <w:r w:rsidRPr="00925F26">
        <w:rPr>
          <w:color w:val="000000" w:themeColor="text1"/>
          <w:sz w:val="16"/>
          <w:szCs w:val="16"/>
        </w:rPr>
        <w:t>Государственный Комитет Обороны постановляет:</w:t>
      </w:r>
    </w:p>
    <w:p w14:paraId="059A4E5E" w14:textId="77777777" w:rsidR="004B7DC3" w:rsidRPr="00925F26" w:rsidRDefault="004B7DC3" w:rsidP="00925F26">
      <w:pPr>
        <w:jc w:val="both"/>
        <w:rPr>
          <w:color w:val="000000" w:themeColor="text1"/>
          <w:sz w:val="16"/>
          <w:szCs w:val="16"/>
        </w:rPr>
      </w:pPr>
      <w:r w:rsidRPr="00925F26">
        <w:rPr>
          <w:color w:val="000000" w:themeColor="text1"/>
          <w:sz w:val="16"/>
          <w:szCs w:val="16"/>
        </w:rPr>
        <w:t>1. Обязать НКЭ (т. Жимерин) вывезти все оборудование опытной установки по передаче электроэнергии</w:t>
      </w:r>
    </w:p>
    <w:p w14:paraId="0BBD246C" w14:textId="77777777" w:rsidR="004B7DC3" w:rsidRPr="00925F26" w:rsidRDefault="004B7DC3" w:rsidP="00925F26">
      <w:pPr>
        <w:jc w:val="both"/>
        <w:rPr>
          <w:color w:val="000000" w:themeColor="text1"/>
          <w:sz w:val="16"/>
          <w:szCs w:val="16"/>
        </w:rPr>
      </w:pPr>
      <w:r w:rsidRPr="00925F26">
        <w:rPr>
          <w:color w:val="000000" w:themeColor="text1"/>
          <w:sz w:val="16"/>
          <w:szCs w:val="16"/>
        </w:rPr>
        <w:t>постоянным током 100 тыс. В между электростанциями Шарлотенбург и Маобит в г. Берлине, состоящее из 13 преобразователей вентильного типа, двух трансформаторов мощностью по 20 тыс. кВА каждый, пульта управления, коммутационной аппаратуры и кабеля — на Фрунзенскую ТЭЦ в г. Москву.</w:t>
      </w:r>
    </w:p>
    <w:p w14:paraId="722B0684" w14:textId="77777777" w:rsidR="004B7DC3" w:rsidRPr="00925F26" w:rsidRDefault="004B7DC3" w:rsidP="00925F26">
      <w:pPr>
        <w:jc w:val="both"/>
        <w:rPr>
          <w:color w:val="000000" w:themeColor="text1"/>
          <w:sz w:val="16"/>
          <w:szCs w:val="16"/>
        </w:rPr>
      </w:pPr>
      <w:r w:rsidRPr="00925F26">
        <w:rPr>
          <w:color w:val="000000" w:themeColor="text1"/>
          <w:sz w:val="16"/>
          <w:szCs w:val="16"/>
        </w:rPr>
        <w:t>2. Обязать НКЭ (т. Жимерин) вывезти из г. Берлина 323 единицы станочного оборудования для оснащения заводов по ремонту энергетического оборудования и производству запасных частей со следующих немецких заводов и складов:</w:t>
      </w:r>
    </w:p>
    <w:p w14:paraId="77A5FA80" w14:textId="77777777" w:rsidR="004B7DC3" w:rsidRPr="00925F26" w:rsidRDefault="004B7DC3" w:rsidP="00925F26">
      <w:pPr>
        <w:jc w:val="both"/>
        <w:rPr>
          <w:color w:val="000000" w:themeColor="text1"/>
          <w:sz w:val="16"/>
          <w:szCs w:val="16"/>
        </w:rPr>
      </w:pPr>
      <w:r w:rsidRPr="00925F26">
        <w:rPr>
          <w:color w:val="000000" w:themeColor="text1"/>
          <w:sz w:val="16"/>
          <w:szCs w:val="16"/>
        </w:rPr>
        <w:t>со склада при гараже «Олекс-Шелл» (Курфюрстенштрассе, 143) 50 металлообрабатывающих станков на ремонтный завод Киевэнерго в г. Киев;</w:t>
      </w:r>
    </w:p>
    <w:p w14:paraId="3587E6C7" w14:textId="77777777" w:rsidR="004B7DC3" w:rsidRPr="00925F26" w:rsidRDefault="004B7DC3" w:rsidP="00925F26">
      <w:pPr>
        <w:jc w:val="both"/>
        <w:rPr>
          <w:color w:val="000000" w:themeColor="text1"/>
          <w:sz w:val="16"/>
          <w:szCs w:val="16"/>
        </w:rPr>
      </w:pPr>
      <w:r w:rsidRPr="00925F26">
        <w:rPr>
          <w:color w:val="000000" w:themeColor="text1"/>
          <w:sz w:val="16"/>
          <w:szCs w:val="16"/>
        </w:rPr>
        <w:t>со склада при гараже фирмы «Хольц» (Лифляндишештрассе, 2) 50 станков на ремонтный завод Ленгосторфа;</w:t>
      </w:r>
    </w:p>
    <w:p w14:paraId="39AD37E3" w14:textId="77777777" w:rsidR="004B7DC3" w:rsidRPr="00925F26" w:rsidRDefault="004B7DC3" w:rsidP="00925F26">
      <w:pPr>
        <w:jc w:val="both"/>
        <w:rPr>
          <w:color w:val="000000" w:themeColor="text1"/>
          <w:sz w:val="16"/>
          <w:szCs w:val="16"/>
        </w:rPr>
      </w:pPr>
      <w:r w:rsidRPr="00925F26">
        <w:rPr>
          <w:color w:val="000000" w:themeColor="text1"/>
          <w:sz w:val="16"/>
          <w:szCs w:val="16"/>
        </w:rPr>
        <w:t>с завода фирмы «Карл Гартман» (Копейникерштрассе, 118) 32 станка на ремонтно-механический завод Белоруссэнерго в г. Минск;</w:t>
      </w:r>
    </w:p>
    <w:p w14:paraId="4545BFE7" w14:textId="77777777" w:rsidR="004B7DC3" w:rsidRPr="00925F26" w:rsidRDefault="004B7DC3" w:rsidP="00925F26">
      <w:pPr>
        <w:jc w:val="both"/>
        <w:rPr>
          <w:color w:val="000000" w:themeColor="text1"/>
          <w:sz w:val="16"/>
          <w:szCs w:val="16"/>
        </w:rPr>
      </w:pPr>
      <w:r w:rsidRPr="00925F26">
        <w:rPr>
          <w:color w:val="000000" w:themeColor="text1"/>
          <w:sz w:val="16"/>
          <w:szCs w:val="16"/>
        </w:rPr>
        <w:t>с механического завода фирмы «Линд» (Насшаусештрассе, 44) 104 станка на Ивановский механический завод;</w:t>
      </w:r>
    </w:p>
    <w:p w14:paraId="1FDFE2DA" w14:textId="77777777" w:rsidR="004B7DC3" w:rsidRPr="00925F26" w:rsidRDefault="004B7DC3" w:rsidP="00925F26">
      <w:pPr>
        <w:jc w:val="both"/>
        <w:rPr>
          <w:color w:val="000000" w:themeColor="text1"/>
          <w:sz w:val="16"/>
          <w:szCs w:val="16"/>
        </w:rPr>
      </w:pPr>
      <w:r w:rsidRPr="00925F26">
        <w:rPr>
          <w:color w:val="000000" w:themeColor="text1"/>
          <w:sz w:val="16"/>
          <w:szCs w:val="16"/>
        </w:rPr>
        <w:t>с завода фирмы «Белинг и Любке» (Адмиралштрассе, 16) 72 станка на ремонтно-механический завод Ростовэнерго;</w:t>
      </w:r>
    </w:p>
    <w:p w14:paraId="6B0E882E" w14:textId="77777777" w:rsidR="004B7DC3" w:rsidRPr="00925F26" w:rsidRDefault="004B7DC3" w:rsidP="00925F26">
      <w:pPr>
        <w:jc w:val="both"/>
        <w:rPr>
          <w:color w:val="000000" w:themeColor="text1"/>
          <w:sz w:val="16"/>
          <w:szCs w:val="16"/>
        </w:rPr>
      </w:pPr>
      <w:r w:rsidRPr="00925F26">
        <w:rPr>
          <w:color w:val="000000" w:themeColor="text1"/>
          <w:sz w:val="16"/>
          <w:szCs w:val="16"/>
        </w:rPr>
        <w:t>с деревообрабатывающей мастерской фирмы «Гаушит» (Худоверштрассе, 93) 15 станков на Сталинградский мачтопропиточный завод.</w:t>
      </w:r>
    </w:p>
    <w:p w14:paraId="278B3563" w14:textId="77777777" w:rsidR="004B7DC3" w:rsidRPr="00925F26" w:rsidRDefault="004B7DC3" w:rsidP="00925F26">
      <w:pPr>
        <w:jc w:val="both"/>
        <w:rPr>
          <w:color w:val="000000" w:themeColor="text1"/>
          <w:sz w:val="16"/>
          <w:szCs w:val="16"/>
        </w:rPr>
      </w:pPr>
      <w:r w:rsidRPr="00925F26">
        <w:rPr>
          <w:color w:val="000000" w:themeColor="text1"/>
          <w:sz w:val="16"/>
          <w:szCs w:val="16"/>
        </w:rPr>
        <w:t>3. Разрешить НКЭ отобрать по согласованию с НКЭП на заводах фирм «АЕГ» и «Сименс» в г. Берлине 200 шт. готовых электромоторов мощностью свыше 100 кВт для укомплектования турбинных и котельных агрегатов и вывезти их на свои базы в СССР.</w:t>
      </w:r>
    </w:p>
    <w:p w14:paraId="228BE75D" w14:textId="77777777" w:rsidR="004B7DC3" w:rsidRPr="00925F26" w:rsidRDefault="004B7DC3" w:rsidP="00925F26">
      <w:pPr>
        <w:jc w:val="both"/>
        <w:rPr>
          <w:color w:val="000000" w:themeColor="text1"/>
          <w:sz w:val="16"/>
          <w:szCs w:val="16"/>
        </w:rPr>
      </w:pPr>
      <w:r w:rsidRPr="00925F26">
        <w:rPr>
          <w:color w:val="000000" w:themeColor="text1"/>
          <w:sz w:val="16"/>
          <w:szCs w:val="16"/>
        </w:rPr>
        <w:t>4. Обязать Управление тыла Красной Армии (т. Хрулев) передать НКЭ и его предприятиям 40 трофейных исправных легковых автомашин.</w:t>
      </w:r>
    </w:p>
    <w:p w14:paraId="6C37B0CD" w14:textId="77777777" w:rsidR="004B7DC3" w:rsidRPr="00925F26" w:rsidRDefault="004B7DC3" w:rsidP="00925F26">
      <w:pPr>
        <w:jc w:val="both"/>
        <w:rPr>
          <w:color w:val="000000" w:themeColor="text1"/>
          <w:sz w:val="16"/>
          <w:szCs w:val="16"/>
        </w:rPr>
      </w:pPr>
      <w:r w:rsidRPr="00925F26">
        <w:rPr>
          <w:color w:val="000000" w:themeColor="text1"/>
          <w:sz w:val="16"/>
          <w:szCs w:val="16"/>
        </w:rPr>
        <w:t>5. Обязать Главное трофейное управление Красной Армии (т. Вахитов) приступить к демонтажу и вывозу оборудования, указанного в пунктах 2 и 3 настоящего постановления, не позднее 22 июня и закончить</w:t>
      </w:r>
    </w:p>
    <w:p w14:paraId="2F869665" w14:textId="77777777" w:rsidR="004B7DC3" w:rsidRPr="00925F26" w:rsidRDefault="004B7DC3" w:rsidP="00925F26">
      <w:pPr>
        <w:jc w:val="both"/>
        <w:rPr>
          <w:color w:val="000000" w:themeColor="text1"/>
          <w:sz w:val="16"/>
          <w:szCs w:val="16"/>
        </w:rPr>
      </w:pPr>
      <w:r w:rsidRPr="00925F26">
        <w:rPr>
          <w:color w:val="000000" w:themeColor="text1"/>
          <w:sz w:val="16"/>
          <w:szCs w:val="16"/>
        </w:rPr>
        <w:t>не позднее 15 июля 1945 г., выделив для выполнения этих работ необходимое количество рабочих и транспортынх средств. Оборудование опытной установки по передаче электроэнергии постоянным током перевезти не позднее 22 июня 1945 г. на базу НКЭ в районе г. Берлина с последующей переотправкой в г. Москву.</w:t>
      </w:r>
    </w:p>
    <w:p w14:paraId="59446626" w14:textId="77777777" w:rsidR="004B7DC3" w:rsidRPr="00925F26" w:rsidRDefault="004B7DC3" w:rsidP="00925F26">
      <w:pPr>
        <w:jc w:val="both"/>
        <w:rPr>
          <w:color w:val="000000" w:themeColor="text1"/>
          <w:sz w:val="16"/>
          <w:szCs w:val="16"/>
        </w:rPr>
      </w:pPr>
      <w:r w:rsidRPr="00925F26">
        <w:rPr>
          <w:color w:val="000000" w:themeColor="text1"/>
          <w:sz w:val="16"/>
          <w:szCs w:val="16"/>
        </w:rPr>
        <w:t xml:space="preserve">6. Для улучшения технического руководства демонтажом и вывозом оборудования с электростанций </w:t>
      </w:r>
    </w:p>
    <w:p w14:paraId="300FA842" w14:textId="77777777" w:rsidR="004B7DC3" w:rsidRPr="00925F26" w:rsidRDefault="004B7DC3" w:rsidP="00925F26">
      <w:pPr>
        <w:jc w:val="both"/>
        <w:rPr>
          <w:color w:val="000000" w:themeColor="text1"/>
          <w:sz w:val="16"/>
          <w:szCs w:val="16"/>
        </w:rPr>
      </w:pPr>
      <w:r w:rsidRPr="00925F26">
        <w:rPr>
          <w:color w:val="000000" w:themeColor="text1"/>
          <w:sz w:val="16"/>
          <w:szCs w:val="16"/>
        </w:rPr>
        <w:t>северо-восточных районов Германии разрешить НКЭ организовать в г. Штеттине отделение «Особэнергомонтажа».</w:t>
      </w:r>
    </w:p>
    <w:p w14:paraId="63B6A765" w14:textId="77777777" w:rsidR="004B7DC3" w:rsidRPr="00925F26" w:rsidRDefault="004B7DC3" w:rsidP="00925F26">
      <w:pPr>
        <w:jc w:val="both"/>
        <w:rPr>
          <w:color w:val="000000" w:themeColor="text1"/>
          <w:sz w:val="16"/>
          <w:szCs w:val="16"/>
        </w:rPr>
      </w:pPr>
      <w:r w:rsidRPr="00925F26">
        <w:rPr>
          <w:color w:val="000000" w:themeColor="text1"/>
          <w:sz w:val="16"/>
          <w:szCs w:val="16"/>
        </w:rPr>
        <w:t>И. Сталин</w:t>
      </w:r>
    </w:p>
    <w:p w14:paraId="7140A91A" w14:textId="77777777" w:rsidR="004B7DC3" w:rsidRPr="00925F26" w:rsidRDefault="004B7DC3" w:rsidP="00925F26">
      <w:pPr>
        <w:jc w:val="both"/>
        <w:rPr>
          <w:color w:val="000000" w:themeColor="text1"/>
          <w:sz w:val="16"/>
          <w:szCs w:val="16"/>
        </w:rPr>
      </w:pPr>
      <w:r w:rsidRPr="00925F26">
        <w:rPr>
          <w:color w:val="000000" w:themeColor="text1"/>
          <w:sz w:val="16"/>
          <w:szCs w:val="16"/>
        </w:rPr>
        <w:t>РГАСПИ. Ф. 644. Оп. 1. Д. 428. Л. 106, 107. Зав. Копия (23971).</w:t>
      </w:r>
    </w:p>
    <w:p w14:paraId="58A43B5C" w14:textId="77777777" w:rsidR="004B7DC3" w:rsidRPr="00925F26" w:rsidRDefault="004B7DC3" w:rsidP="00925F26">
      <w:pPr>
        <w:jc w:val="both"/>
        <w:rPr>
          <w:color w:val="000000" w:themeColor="text1"/>
          <w:sz w:val="16"/>
          <w:szCs w:val="16"/>
        </w:rPr>
      </w:pPr>
    </w:p>
    <w:p w14:paraId="212027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9081 О возвращении на родину из рабочих батальонов и лагерей военнопленных на территории СССР поляков - жителей Польши и переданных Польше территорий Германии. РГАНИР, Фонд ГКО, д. 428, лл. 61 (11012).</w:t>
      </w:r>
    </w:p>
    <w:p w14:paraId="699BF1E5" w14:textId="77777777" w:rsidR="006103B3" w:rsidRPr="00925F26" w:rsidRDefault="006103B3" w:rsidP="00925F26">
      <w:pPr>
        <w:autoSpaceDE w:val="0"/>
        <w:autoSpaceDN w:val="0"/>
        <w:adjustRightInd w:val="0"/>
        <w:jc w:val="both"/>
        <w:rPr>
          <w:color w:val="000000" w:themeColor="text1"/>
          <w:sz w:val="16"/>
          <w:szCs w:val="16"/>
        </w:rPr>
      </w:pPr>
    </w:p>
    <w:p w14:paraId="1E9BCB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9082 Об утверждении уполномоченных Особого комитета при ГОКО и их заместителей на территории Германии и Польши. РГАНИР, Фонд ГКО, д. 428, лл. 62-63 (11012).</w:t>
      </w:r>
    </w:p>
    <w:p w14:paraId="59E6BA6F" w14:textId="77777777" w:rsidR="006103B3" w:rsidRPr="00925F26" w:rsidRDefault="006103B3" w:rsidP="00925F26">
      <w:pPr>
        <w:autoSpaceDE w:val="0"/>
        <w:autoSpaceDN w:val="0"/>
        <w:adjustRightInd w:val="0"/>
        <w:jc w:val="both"/>
        <w:rPr>
          <w:color w:val="000000" w:themeColor="text1"/>
          <w:sz w:val="16"/>
          <w:szCs w:val="16"/>
        </w:rPr>
      </w:pPr>
    </w:p>
    <w:p w14:paraId="038B26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9083 О вывозе оборудования с немецких предприятий в г. г. Берлин, Риза, Куцдорф, Дрезден, Пирна, Фюрстенвальде и Мейсен для Наркомчермета. РГАНИР, Фонд ГКО, д. 428, лл. 64-67 (11012).</w:t>
      </w:r>
    </w:p>
    <w:p w14:paraId="0C48C94A" w14:textId="77777777" w:rsidR="006103B3" w:rsidRPr="00925F26" w:rsidRDefault="006103B3" w:rsidP="00925F26">
      <w:pPr>
        <w:autoSpaceDE w:val="0"/>
        <w:autoSpaceDN w:val="0"/>
        <w:adjustRightInd w:val="0"/>
        <w:jc w:val="both"/>
        <w:rPr>
          <w:color w:val="000000" w:themeColor="text1"/>
          <w:sz w:val="16"/>
          <w:szCs w:val="16"/>
        </w:rPr>
      </w:pPr>
    </w:p>
    <w:p w14:paraId="5F5EDE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9084 О вывозе оборудования с металлургического завода концерна "Миттельдейтше Штальверке-Зексише Гуштальверке Делен" в г. Дрезден на предприятия Наркомчермета и Наркомбоеприпасов. РГАНИР, Фонд ГКО, д. 428, лл. 68-69 (11012).</w:t>
      </w:r>
    </w:p>
    <w:p w14:paraId="559033B6" w14:textId="77777777" w:rsidR="006103B3" w:rsidRPr="00925F26" w:rsidRDefault="006103B3" w:rsidP="00925F26">
      <w:pPr>
        <w:autoSpaceDE w:val="0"/>
        <w:autoSpaceDN w:val="0"/>
        <w:adjustRightInd w:val="0"/>
        <w:jc w:val="both"/>
        <w:rPr>
          <w:color w:val="000000" w:themeColor="text1"/>
          <w:sz w:val="16"/>
          <w:szCs w:val="16"/>
        </w:rPr>
      </w:pPr>
    </w:p>
    <w:p w14:paraId="181CA9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9085 Об укомплектовании оборудованием Минского автозавода. РГАНИР, Фонд ГКО, д. 428, лл. 70-71, 72 (11012).</w:t>
      </w:r>
    </w:p>
    <w:p w14:paraId="1EAB11C4" w14:textId="77777777" w:rsidR="006103B3" w:rsidRPr="00925F26" w:rsidRDefault="006103B3" w:rsidP="00925F26">
      <w:pPr>
        <w:autoSpaceDE w:val="0"/>
        <w:autoSpaceDN w:val="0"/>
        <w:adjustRightInd w:val="0"/>
        <w:jc w:val="both"/>
        <w:rPr>
          <w:color w:val="000000" w:themeColor="text1"/>
          <w:sz w:val="16"/>
          <w:szCs w:val="16"/>
        </w:rPr>
      </w:pPr>
    </w:p>
    <w:p w14:paraId="23D53C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9086 О вывозе оборудования на заводы Наркомсредмаша. РГАНИР, Фонд ГКО, д. 428, лл. 73-74, 75 (11012).</w:t>
      </w:r>
    </w:p>
    <w:p w14:paraId="466ECE17" w14:textId="77777777" w:rsidR="006103B3" w:rsidRPr="00925F26" w:rsidRDefault="006103B3" w:rsidP="00925F26">
      <w:pPr>
        <w:autoSpaceDE w:val="0"/>
        <w:autoSpaceDN w:val="0"/>
        <w:adjustRightInd w:val="0"/>
        <w:jc w:val="both"/>
        <w:rPr>
          <w:color w:val="000000" w:themeColor="text1"/>
          <w:sz w:val="16"/>
          <w:szCs w:val="16"/>
        </w:rPr>
      </w:pPr>
    </w:p>
    <w:p w14:paraId="23E527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9087 О вывозе оборудования по производству швейных машин с завода акционерного общества "Зингер" в г. Виттенберг. РГАНИР, Фонд ГКО, д. 428, лл. 76-77 (11012).</w:t>
      </w:r>
    </w:p>
    <w:p w14:paraId="29326044" w14:textId="77777777" w:rsidR="006103B3" w:rsidRPr="00925F26" w:rsidRDefault="006103B3" w:rsidP="00925F26">
      <w:pPr>
        <w:autoSpaceDE w:val="0"/>
        <w:autoSpaceDN w:val="0"/>
        <w:adjustRightInd w:val="0"/>
        <w:jc w:val="both"/>
        <w:rPr>
          <w:color w:val="000000" w:themeColor="text1"/>
          <w:sz w:val="16"/>
          <w:szCs w:val="16"/>
        </w:rPr>
      </w:pPr>
    </w:p>
    <w:p w14:paraId="0CA3EC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9088 О вывозе оборудования с немецких заводов, расположенных в г. г. Берлин, Виттенберг, Хемниц, Бишофсверде, Глясс Хютте на предприятия Наркомсудпрома. РГАНИР, Фонд ГКО, д. 428, лл. 78-80 (11012).</w:t>
      </w:r>
    </w:p>
    <w:p w14:paraId="07A32596" w14:textId="77777777" w:rsidR="006103B3" w:rsidRPr="00925F26" w:rsidRDefault="006103B3" w:rsidP="00925F26">
      <w:pPr>
        <w:autoSpaceDE w:val="0"/>
        <w:autoSpaceDN w:val="0"/>
        <w:adjustRightInd w:val="0"/>
        <w:jc w:val="both"/>
        <w:rPr>
          <w:color w:val="000000" w:themeColor="text1"/>
          <w:sz w:val="16"/>
          <w:szCs w:val="16"/>
        </w:rPr>
      </w:pPr>
    </w:p>
    <w:p w14:paraId="18E598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9089 О вывозе оборудования с филиала немецкого завода фирмы "Аргус" в г. Берлин и завода фирмы МБА в г. Бабельсберг на предприятия Наркомсудпрома. РГАНИР, Фонд ГКО, д. 428, лл. 81-82 (11012).</w:t>
      </w:r>
    </w:p>
    <w:p w14:paraId="3B24AC5F" w14:textId="77777777" w:rsidR="006103B3" w:rsidRPr="00925F26" w:rsidRDefault="006103B3" w:rsidP="00925F26">
      <w:pPr>
        <w:autoSpaceDE w:val="0"/>
        <w:autoSpaceDN w:val="0"/>
        <w:adjustRightInd w:val="0"/>
        <w:jc w:val="both"/>
        <w:rPr>
          <w:color w:val="000000" w:themeColor="text1"/>
          <w:sz w:val="16"/>
          <w:szCs w:val="16"/>
        </w:rPr>
      </w:pPr>
    </w:p>
    <w:p w14:paraId="08F58A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9090 О вывозе оборудования 12 станкостроительных и инструментальных заводов в г. г. Берлин, Дрезден и Фрейталь на заводы Наркомстанкостроения. РГАНИР, Фонд ГКО, д. 428, лл. 83-84, 85 (11012).</w:t>
      </w:r>
    </w:p>
    <w:p w14:paraId="4ED165D1" w14:textId="77777777" w:rsidR="006103B3" w:rsidRPr="00925F26" w:rsidRDefault="006103B3" w:rsidP="00925F26">
      <w:pPr>
        <w:autoSpaceDE w:val="0"/>
        <w:autoSpaceDN w:val="0"/>
        <w:adjustRightInd w:val="0"/>
        <w:jc w:val="both"/>
        <w:rPr>
          <w:color w:val="000000" w:themeColor="text1"/>
          <w:sz w:val="16"/>
          <w:szCs w:val="16"/>
        </w:rPr>
      </w:pPr>
    </w:p>
    <w:p w14:paraId="523BE2E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9091 О вывозе оборудования, приборов и установок из высотной лаборатории при заводе "Борзиг" и с завода и лабораторий фирмы "Шварц" в г. Берлин для Наркомавиапрома. РГАНИР, Фонд ГКО, д. 428, лл. 86-87 (11012).</w:t>
      </w:r>
    </w:p>
    <w:p w14:paraId="5E7CD245" w14:textId="77777777" w:rsidR="006103B3" w:rsidRPr="00925F26" w:rsidRDefault="006103B3" w:rsidP="00925F26">
      <w:pPr>
        <w:autoSpaceDE w:val="0"/>
        <w:autoSpaceDN w:val="0"/>
        <w:adjustRightInd w:val="0"/>
        <w:jc w:val="both"/>
        <w:rPr>
          <w:color w:val="000000" w:themeColor="text1"/>
          <w:sz w:val="16"/>
          <w:szCs w:val="16"/>
        </w:rPr>
      </w:pPr>
    </w:p>
    <w:p w14:paraId="759B81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9092 Об укомплектовании оборудованием турбинного и танкового производства Кировского завода Наркомтанкопрома в г. Ленинград. РГАНИР, Фонд ГКО, д. 428, лл. 88-89 (11012).</w:t>
      </w:r>
    </w:p>
    <w:p w14:paraId="69CF5C0E" w14:textId="77777777" w:rsidR="006103B3" w:rsidRPr="00925F26" w:rsidRDefault="006103B3" w:rsidP="00925F26">
      <w:pPr>
        <w:autoSpaceDE w:val="0"/>
        <w:autoSpaceDN w:val="0"/>
        <w:adjustRightInd w:val="0"/>
        <w:jc w:val="both"/>
        <w:rPr>
          <w:color w:val="000000" w:themeColor="text1"/>
          <w:sz w:val="16"/>
          <w:szCs w:val="16"/>
        </w:rPr>
      </w:pPr>
    </w:p>
    <w:p w14:paraId="530B63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9093 О вывозе оборудования химического и механического заводов концерна "И.Г. Фарбениндустри" в г. Вальденбург и складов на угольной шахте "Густав Грубо" концерна "И.Г. Фарбендустри" и фирмы "Энергиябау" в местечке Шевенбах (12 км от Вальденбурга). РГАНИР, Фонд ГКО, д. 428, лл. 90-91 (11012).</w:t>
      </w:r>
    </w:p>
    <w:p w14:paraId="76E67486" w14:textId="77777777" w:rsidR="006103B3" w:rsidRPr="00925F26" w:rsidRDefault="006103B3" w:rsidP="00925F26">
      <w:pPr>
        <w:autoSpaceDE w:val="0"/>
        <w:autoSpaceDN w:val="0"/>
        <w:adjustRightInd w:val="0"/>
        <w:jc w:val="both"/>
        <w:rPr>
          <w:color w:val="000000" w:themeColor="text1"/>
          <w:sz w:val="16"/>
          <w:szCs w:val="16"/>
        </w:rPr>
      </w:pPr>
    </w:p>
    <w:p w14:paraId="021137D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9094 О вывозе оборудования с химического комбината концерна "И.Г. Фарбениндустри" в г. Гапель (Германия) и о частичном изменении постановления ГОКО № 8844сс от 31 мая 1945 г. о вывозе оборудования с завода "Хиаг Верке" фирмы "Дейче Гольд унд Зильбер Шейдеаншальт" в г Берлине район Вильдау.РГАНИР, Фонд ГКО, д. 428, лл. 92-93 (11012).</w:t>
      </w:r>
    </w:p>
    <w:p w14:paraId="6997C9A8" w14:textId="77777777" w:rsidR="006103B3" w:rsidRPr="00925F26" w:rsidRDefault="006103B3" w:rsidP="00925F26">
      <w:pPr>
        <w:autoSpaceDE w:val="0"/>
        <w:autoSpaceDN w:val="0"/>
        <w:adjustRightInd w:val="0"/>
        <w:jc w:val="both"/>
        <w:rPr>
          <w:color w:val="000000" w:themeColor="text1"/>
          <w:sz w:val="16"/>
          <w:szCs w:val="16"/>
        </w:rPr>
      </w:pPr>
    </w:p>
    <w:p w14:paraId="7F2025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9095 О вывозе из г. Лекнитц оборудования государственного военно-химического завода из г. Штеттин суперфосфатного завода фирмы "Померансдорф-Мильх" на предприятия Наркомхимпрома. РГАНИР, Фонд ГКО, д. 428, лл. 94-95 (11012).</w:t>
      </w:r>
    </w:p>
    <w:p w14:paraId="0F540613" w14:textId="77777777" w:rsidR="006103B3" w:rsidRPr="00925F26" w:rsidRDefault="006103B3" w:rsidP="00925F26">
      <w:pPr>
        <w:autoSpaceDE w:val="0"/>
        <w:autoSpaceDN w:val="0"/>
        <w:adjustRightInd w:val="0"/>
        <w:jc w:val="both"/>
        <w:rPr>
          <w:color w:val="000000" w:themeColor="text1"/>
          <w:sz w:val="16"/>
          <w:szCs w:val="16"/>
        </w:rPr>
      </w:pPr>
    </w:p>
    <w:p w14:paraId="2579AE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9096 О вывозе оборудования со строительства военно-химического завода и материалов из арсенала отравляющих веществ в селе Фолькенхаген (близ Франкфурта-на-Одере) и с завода по производству пресс-форм фирмы "Вилли-Шетц" в г. Дрезден. РГАНИР, Фонд ГКО, д. 428, лл. 96-97 (11012).</w:t>
      </w:r>
    </w:p>
    <w:p w14:paraId="482F8116" w14:textId="77777777" w:rsidR="006103B3" w:rsidRPr="00925F26" w:rsidRDefault="006103B3" w:rsidP="00925F26">
      <w:pPr>
        <w:autoSpaceDE w:val="0"/>
        <w:autoSpaceDN w:val="0"/>
        <w:adjustRightInd w:val="0"/>
        <w:jc w:val="both"/>
        <w:rPr>
          <w:color w:val="000000" w:themeColor="text1"/>
          <w:sz w:val="16"/>
          <w:szCs w:val="16"/>
        </w:rPr>
      </w:pPr>
    </w:p>
    <w:p w14:paraId="6177F9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9097 О вывозе оборудования с предприятий электротехнической промышленности Германии на предприятия Наркомэлектропрома. РГАНИР, Фонд ГКО, д. 428, лл. 98-102 (11012).</w:t>
      </w:r>
    </w:p>
    <w:p w14:paraId="529BC7DD" w14:textId="77777777" w:rsidR="006103B3" w:rsidRPr="00925F26" w:rsidRDefault="006103B3" w:rsidP="00925F26">
      <w:pPr>
        <w:autoSpaceDE w:val="0"/>
        <w:autoSpaceDN w:val="0"/>
        <w:adjustRightInd w:val="0"/>
        <w:jc w:val="both"/>
        <w:rPr>
          <w:color w:val="000000" w:themeColor="text1"/>
          <w:sz w:val="16"/>
          <w:szCs w:val="16"/>
        </w:rPr>
      </w:pPr>
    </w:p>
    <w:p w14:paraId="3D4F41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9098 О вывозе из г. Берлин оборудования на заводы Наркомтяжмаша. РГАНИР, Фонд ГКО, д. 428, лл. 103-104, 105 (11012).</w:t>
      </w:r>
    </w:p>
    <w:p w14:paraId="2489F767" w14:textId="77777777" w:rsidR="006103B3" w:rsidRPr="00925F26" w:rsidRDefault="006103B3" w:rsidP="00925F26">
      <w:pPr>
        <w:autoSpaceDE w:val="0"/>
        <w:autoSpaceDN w:val="0"/>
        <w:adjustRightInd w:val="0"/>
        <w:jc w:val="both"/>
        <w:rPr>
          <w:color w:val="000000" w:themeColor="text1"/>
          <w:sz w:val="16"/>
          <w:szCs w:val="16"/>
        </w:rPr>
      </w:pPr>
    </w:p>
    <w:p w14:paraId="5BE4F3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9099 О вывозе из г. Берлин оборудования опытной установки по передаче электроэнергии постоянным током и станочного оборудования для ремонтных заводов Наркомата электростанций. РГАНИР, Фонд ГКО, д. 428, лл. 106-107 (11012).</w:t>
      </w:r>
    </w:p>
    <w:p w14:paraId="7963065B" w14:textId="77777777" w:rsidR="006103B3" w:rsidRPr="00925F26" w:rsidRDefault="006103B3" w:rsidP="00925F26">
      <w:pPr>
        <w:autoSpaceDE w:val="0"/>
        <w:autoSpaceDN w:val="0"/>
        <w:adjustRightInd w:val="0"/>
        <w:jc w:val="both"/>
        <w:rPr>
          <w:color w:val="000000" w:themeColor="text1"/>
          <w:sz w:val="16"/>
          <w:szCs w:val="16"/>
        </w:rPr>
      </w:pPr>
    </w:p>
    <w:p w14:paraId="66F7CA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9100 О вывозе из г. Берлин электронного микроскопа. РГАНИР, Фонд ГКО, д. 428, лл. 108 (11012).</w:t>
      </w:r>
    </w:p>
    <w:p w14:paraId="4B3253F3" w14:textId="77777777" w:rsidR="006103B3" w:rsidRPr="00925F26" w:rsidRDefault="006103B3" w:rsidP="00925F26">
      <w:pPr>
        <w:autoSpaceDE w:val="0"/>
        <w:autoSpaceDN w:val="0"/>
        <w:adjustRightInd w:val="0"/>
        <w:jc w:val="both"/>
        <w:rPr>
          <w:color w:val="000000" w:themeColor="text1"/>
          <w:sz w:val="16"/>
          <w:szCs w:val="16"/>
        </w:rPr>
      </w:pPr>
    </w:p>
    <w:p w14:paraId="64CB72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9101 О вывозе оборудования с заводов резиноасбестовой промышленности в г. Дрезден и с машиностроительного завода фирмы "Коппель" в г. Хемниц на предприятия Наркомрезинпрома. РГАНИР, Фонд ГКО, д. 428, лл. 109-110 (11012).</w:t>
      </w:r>
    </w:p>
    <w:p w14:paraId="6BF5C2C4" w14:textId="77777777" w:rsidR="006103B3" w:rsidRPr="00925F26" w:rsidRDefault="006103B3" w:rsidP="00925F26">
      <w:pPr>
        <w:autoSpaceDE w:val="0"/>
        <w:autoSpaceDN w:val="0"/>
        <w:adjustRightInd w:val="0"/>
        <w:jc w:val="both"/>
        <w:rPr>
          <w:color w:val="000000" w:themeColor="text1"/>
          <w:sz w:val="16"/>
          <w:szCs w:val="16"/>
        </w:rPr>
      </w:pPr>
    </w:p>
    <w:p w14:paraId="4E3DC0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9102 О вывозе оборудования по производству буровых станков с завода фирмы "Ланге Лорке" в районе г. Дрезден на завод Наркомугля в г. Одесса. РГАНИР, Фонд ГКО, д. 428, лл. 111-112 (11012).</w:t>
      </w:r>
    </w:p>
    <w:p w14:paraId="3212C743" w14:textId="77777777" w:rsidR="006103B3" w:rsidRPr="00925F26" w:rsidRDefault="006103B3" w:rsidP="00925F26">
      <w:pPr>
        <w:autoSpaceDE w:val="0"/>
        <w:autoSpaceDN w:val="0"/>
        <w:adjustRightInd w:val="0"/>
        <w:jc w:val="both"/>
        <w:rPr>
          <w:color w:val="000000" w:themeColor="text1"/>
          <w:sz w:val="16"/>
          <w:szCs w:val="16"/>
        </w:rPr>
      </w:pPr>
    </w:p>
    <w:p w14:paraId="15731DB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9103 О вывозе оборудования с завода утилизационных котлов и стерилизаторов фирмы "Гартман" братьев Крюгер в г. Берлин. РГАНИР, Фонд ГКО, д. 428, лл. 113-114 (11012).</w:t>
      </w:r>
    </w:p>
    <w:p w14:paraId="7C480783" w14:textId="77777777" w:rsidR="006103B3" w:rsidRPr="00925F26" w:rsidRDefault="006103B3" w:rsidP="00925F26">
      <w:pPr>
        <w:autoSpaceDE w:val="0"/>
        <w:autoSpaceDN w:val="0"/>
        <w:adjustRightInd w:val="0"/>
        <w:jc w:val="both"/>
        <w:rPr>
          <w:color w:val="000000" w:themeColor="text1"/>
          <w:sz w:val="16"/>
          <w:szCs w:val="16"/>
        </w:rPr>
      </w:pPr>
    </w:p>
    <w:p w14:paraId="72552D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9104 О вывозе оборудования с немецких заводов в районе Дрездена на предприятия НКПС. РГАНИР, Фонд ГКО, д. 428, лл. 115-117 (11012).</w:t>
      </w:r>
    </w:p>
    <w:p w14:paraId="48BE1841" w14:textId="77777777" w:rsidR="006103B3" w:rsidRPr="00925F26" w:rsidRDefault="006103B3" w:rsidP="00925F26">
      <w:pPr>
        <w:autoSpaceDE w:val="0"/>
        <w:autoSpaceDN w:val="0"/>
        <w:adjustRightInd w:val="0"/>
        <w:jc w:val="both"/>
        <w:rPr>
          <w:color w:val="000000" w:themeColor="text1"/>
          <w:sz w:val="16"/>
          <w:szCs w:val="16"/>
        </w:rPr>
      </w:pPr>
    </w:p>
    <w:p w14:paraId="3FB550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9105 Об укомплектовании восстановительных и ремонтно-путевых предприятий НКПС станочным и энергетическим оборудованием. РГАНИР, Фонд ГКО, д. 428, лл. 118-120 (11012).</w:t>
      </w:r>
    </w:p>
    <w:p w14:paraId="29D86543" w14:textId="77777777" w:rsidR="006103B3" w:rsidRPr="00925F26" w:rsidRDefault="006103B3" w:rsidP="00925F26">
      <w:pPr>
        <w:autoSpaceDE w:val="0"/>
        <w:autoSpaceDN w:val="0"/>
        <w:adjustRightInd w:val="0"/>
        <w:jc w:val="both"/>
        <w:rPr>
          <w:color w:val="000000" w:themeColor="text1"/>
          <w:sz w:val="16"/>
          <w:szCs w:val="16"/>
        </w:rPr>
      </w:pPr>
    </w:p>
    <w:p w14:paraId="6DB189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9106 О вывозе оборудования с немецких предприятий в г. Берлин на предприятия НКПС. РГАНИР, Фонд ГКО, д. 428, лл. 121-124 (11012).</w:t>
      </w:r>
    </w:p>
    <w:p w14:paraId="4EFA2B4C" w14:textId="77777777" w:rsidR="006103B3" w:rsidRPr="00925F26" w:rsidRDefault="006103B3" w:rsidP="00925F26">
      <w:pPr>
        <w:autoSpaceDE w:val="0"/>
        <w:autoSpaceDN w:val="0"/>
        <w:adjustRightInd w:val="0"/>
        <w:jc w:val="both"/>
        <w:rPr>
          <w:color w:val="000000" w:themeColor="text1"/>
          <w:sz w:val="16"/>
          <w:szCs w:val="16"/>
        </w:rPr>
      </w:pPr>
    </w:p>
    <w:p w14:paraId="6E5BF0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9107 О вывозе оборудования по производству шестерен для танков с механического завода фирмы "Курт Монниш" в г. Дрезден. РГАНИР, Фонд ГКО, д. 428, лл. 125 (11012).</w:t>
      </w:r>
    </w:p>
    <w:p w14:paraId="5832D645" w14:textId="77777777" w:rsidR="006103B3" w:rsidRPr="00925F26" w:rsidRDefault="006103B3" w:rsidP="00925F26">
      <w:pPr>
        <w:autoSpaceDE w:val="0"/>
        <w:autoSpaceDN w:val="0"/>
        <w:adjustRightInd w:val="0"/>
        <w:jc w:val="both"/>
        <w:rPr>
          <w:color w:val="000000" w:themeColor="text1"/>
          <w:sz w:val="16"/>
          <w:szCs w:val="16"/>
        </w:rPr>
      </w:pPr>
    </w:p>
    <w:p w14:paraId="31530C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9108 О вывозе оборудования по производству полиграфических и текстильных машин с четырех немецких заводов. РГАНИР, Фонд ГКО, д. 428, лл. 126-127 (11012).</w:t>
      </w:r>
    </w:p>
    <w:p w14:paraId="5A1658BD" w14:textId="77777777" w:rsidR="006103B3" w:rsidRPr="00925F26" w:rsidRDefault="006103B3" w:rsidP="00925F26">
      <w:pPr>
        <w:autoSpaceDE w:val="0"/>
        <w:autoSpaceDN w:val="0"/>
        <w:adjustRightInd w:val="0"/>
        <w:jc w:val="both"/>
        <w:rPr>
          <w:color w:val="000000" w:themeColor="text1"/>
          <w:sz w:val="16"/>
          <w:szCs w:val="16"/>
        </w:rPr>
      </w:pPr>
    </w:p>
    <w:p w14:paraId="265735B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9109 О вывозе оборудования по производству счетных машин, деталей к ним и индикаторов с пяти заводов в г. Гласс-Хютте. РГАНИР, Фонд ГКО, д. 428, лл. 128-129 (11012).</w:t>
      </w:r>
    </w:p>
    <w:p w14:paraId="7AB5366C" w14:textId="77777777" w:rsidR="006103B3" w:rsidRPr="00925F26" w:rsidRDefault="006103B3" w:rsidP="00925F26">
      <w:pPr>
        <w:autoSpaceDE w:val="0"/>
        <w:autoSpaceDN w:val="0"/>
        <w:adjustRightInd w:val="0"/>
        <w:jc w:val="both"/>
        <w:rPr>
          <w:color w:val="000000" w:themeColor="text1"/>
          <w:sz w:val="16"/>
          <w:szCs w:val="16"/>
        </w:rPr>
      </w:pPr>
    </w:p>
    <w:p w14:paraId="14F5D8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9110 О вывозе оборудования по производству часов и других механизмов с трех заводов в г. Гласс-Хютте. РГАНИР, Фонд ГКО, д. 428, лл. 130-131 (11012).</w:t>
      </w:r>
    </w:p>
    <w:p w14:paraId="367500D0" w14:textId="77777777" w:rsidR="006103B3" w:rsidRPr="00925F26" w:rsidRDefault="006103B3" w:rsidP="00925F26">
      <w:pPr>
        <w:autoSpaceDE w:val="0"/>
        <w:autoSpaceDN w:val="0"/>
        <w:adjustRightInd w:val="0"/>
        <w:jc w:val="both"/>
        <w:rPr>
          <w:color w:val="000000" w:themeColor="text1"/>
          <w:sz w:val="16"/>
          <w:szCs w:val="16"/>
        </w:rPr>
      </w:pPr>
    </w:p>
    <w:p w14:paraId="41ACF9F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9111 О вывозе оборудования по производству пилорам, деревообрабатывающих станков и экскаваторов с четырех немецких заводов. РГАНИР, Фонд ГКО, д. 428, лл. 132-133 (11012).</w:t>
      </w:r>
    </w:p>
    <w:p w14:paraId="23FD45E1" w14:textId="77777777" w:rsidR="006103B3" w:rsidRPr="00925F26" w:rsidRDefault="006103B3" w:rsidP="00925F26">
      <w:pPr>
        <w:autoSpaceDE w:val="0"/>
        <w:autoSpaceDN w:val="0"/>
        <w:adjustRightInd w:val="0"/>
        <w:jc w:val="both"/>
        <w:rPr>
          <w:color w:val="000000" w:themeColor="text1"/>
          <w:sz w:val="16"/>
          <w:szCs w:val="16"/>
        </w:rPr>
      </w:pPr>
    </w:p>
    <w:p w14:paraId="466E8C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9112 О вывозе оборудования с оптико-механического завода фирмы "Густав Хайде" в г. Дрезден. РГАНИР, Фонд ГКО, д. 428, лл. 134 (11012).</w:t>
      </w:r>
    </w:p>
    <w:p w14:paraId="1A0FDF97" w14:textId="77777777" w:rsidR="006103B3" w:rsidRPr="00925F26" w:rsidRDefault="006103B3" w:rsidP="00925F26">
      <w:pPr>
        <w:autoSpaceDE w:val="0"/>
        <w:autoSpaceDN w:val="0"/>
        <w:adjustRightInd w:val="0"/>
        <w:jc w:val="both"/>
        <w:rPr>
          <w:color w:val="000000" w:themeColor="text1"/>
          <w:sz w:val="16"/>
          <w:szCs w:val="16"/>
        </w:rPr>
      </w:pPr>
    </w:p>
    <w:p w14:paraId="6E0171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9113 О вывозе оборудования по производству инициирующих веществ, капсюлей, детонаторов и нитроглицериновых порохов с двух немецких заводов в г. Мальхов и в местечке Гогензаген. РГАНИР, Фонд ГКО, д. 428, лл. 135-136 (11012).</w:t>
      </w:r>
    </w:p>
    <w:p w14:paraId="48659CAD" w14:textId="77777777" w:rsidR="006103B3" w:rsidRPr="00925F26" w:rsidRDefault="006103B3" w:rsidP="00925F26">
      <w:pPr>
        <w:autoSpaceDE w:val="0"/>
        <w:autoSpaceDN w:val="0"/>
        <w:adjustRightInd w:val="0"/>
        <w:jc w:val="both"/>
        <w:rPr>
          <w:color w:val="000000" w:themeColor="text1"/>
          <w:sz w:val="16"/>
          <w:szCs w:val="16"/>
        </w:rPr>
      </w:pPr>
    </w:p>
    <w:p w14:paraId="7D3867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9114 О вывозе оборудования с механических предприятий фирм "Биркарегулятор", "Гезельшафт Фюр Зельпстетиге Температуррегелюнг", "Пауль Зобанский", "Дейче Вортингтон" и "Леопольд Вебер" и из механической мастерской владельца Отто Лекс в г. Рин. РГАНИР, Фонд ГКО, д. 428, лл. 137-139 (11012).</w:t>
      </w:r>
    </w:p>
    <w:p w14:paraId="77F0EE7D" w14:textId="77777777" w:rsidR="006103B3" w:rsidRPr="00925F26" w:rsidRDefault="006103B3" w:rsidP="00925F26">
      <w:pPr>
        <w:autoSpaceDE w:val="0"/>
        <w:autoSpaceDN w:val="0"/>
        <w:adjustRightInd w:val="0"/>
        <w:jc w:val="both"/>
        <w:rPr>
          <w:color w:val="000000" w:themeColor="text1"/>
          <w:sz w:val="16"/>
          <w:szCs w:val="16"/>
        </w:rPr>
      </w:pPr>
    </w:p>
    <w:p w14:paraId="70FA25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9115 О вывозе оборудования с восьми заводов и фабрик по производству медицинских инструментов и химико-фармацевтических препаратов в г. Берлин, Дрезден и Раинсберг (Германия). РГАНИР, Фонд ГКО, д. 428, лл. 140-142 (11012).</w:t>
      </w:r>
    </w:p>
    <w:p w14:paraId="476B3B82" w14:textId="77777777" w:rsidR="006103B3" w:rsidRPr="00925F26" w:rsidRDefault="006103B3" w:rsidP="00925F26">
      <w:pPr>
        <w:autoSpaceDE w:val="0"/>
        <w:autoSpaceDN w:val="0"/>
        <w:adjustRightInd w:val="0"/>
        <w:jc w:val="both"/>
        <w:rPr>
          <w:color w:val="000000" w:themeColor="text1"/>
          <w:sz w:val="16"/>
          <w:szCs w:val="16"/>
        </w:rPr>
      </w:pPr>
    </w:p>
    <w:p w14:paraId="77D6CC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9116 О вывозе оборудования по производству толевого картона на заводы Наркомстройматериалов СССР. РГАНИР, Фонд ГКО, д. 428, лл. 143-144 (11012).</w:t>
      </w:r>
    </w:p>
    <w:p w14:paraId="066E835E" w14:textId="77777777" w:rsidR="006103B3" w:rsidRPr="00925F26" w:rsidRDefault="006103B3" w:rsidP="00925F26">
      <w:pPr>
        <w:autoSpaceDE w:val="0"/>
        <w:autoSpaceDN w:val="0"/>
        <w:adjustRightInd w:val="0"/>
        <w:jc w:val="both"/>
        <w:rPr>
          <w:color w:val="000000" w:themeColor="text1"/>
          <w:sz w:val="16"/>
          <w:szCs w:val="16"/>
        </w:rPr>
      </w:pPr>
    </w:p>
    <w:p w14:paraId="58B25F2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9117 О вывозе оборудования на заводы Наркомстройматериалов СССР. РГАНИР, Фонд ГКО, д. 428, лл. 145-146, 147 (11012).</w:t>
      </w:r>
    </w:p>
    <w:p w14:paraId="4DF82E62" w14:textId="77777777" w:rsidR="006103B3" w:rsidRPr="00925F26" w:rsidRDefault="006103B3" w:rsidP="00925F26">
      <w:pPr>
        <w:autoSpaceDE w:val="0"/>
        <w:autoSpaceDN w:val="0"/>
        <w:adjustRightInd w:val="0"/>
        <w:jc w:val="both"/>
        <w:rPr>
          <w:color w:val="000000" w:themeColor="text1"/>
          <w:sz w:val="16"/>
          <w:szCs w:val="16"/>
        </w:rPr>
      </w:pPr>
    </w:p>
    <w:p w14:paraId="451844B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9118 Об укомплектовании станочным оборудованием судоремонтных заводов Наркомморфлота в количестве 879 единиц за счет вывоза с немецких предприятий в г. г. Берлин, Лангэсхютте, Гишберг и Гессен на судоремонтные заводы Каспийского и Черноморского бассейнов. (11012).</w:t>
      </w:r>
    </w:p>
    <w:p w14:paraId="4F0FDAAB" w14:textId="77777777" w:rsidR="006103B3" w:rsidRPr="00925F26" w:rsidRDefault="006103B3" w:rsidP="00925F26">
      <w:pPr>
        <w:autoSpaceDE w:val="0"/>
        <w:autoSpaceDN w:val="0"/>
        <w:adjustRightInd w:val="0"/>
        <w:jc w:val="both"/>
        <w:rPr>
          <w:color w:val="000000" w:themeColor="text1"/>
          <w:sz w:val="16"/>
          <w:szCs w:val="16"/>
        </w:rPr>
      </w:pPr>
    </w:p>
    <w:p w14:paraId="2E44BD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9119 О вывозе оборудования с немецких механических заводов Лаунер и Шуберт и портальных кранов с пристаней в г. Берлин. РГАНИР, Фонд ГКО, д. 428, лл. 151-152 (11012).</w:t>
      </w:r>
    </w:p>
    <w:p w14:paraId="1E37AF01" w14:textId="77777777" w:rsidR="006103B3" w:rsidRPr="00925F26" w:rsidRDefault="006103B3" w:rsidP="00925F26">
      <w:pPr>
        <w:autoSpaceDE w:val="0"/>
        <w:autoSpaceDN w:val="0"/>
        <w:adjustRightInd w:val="0"/>
        <w:jc w:val="both"/>
        <w:rPr>
          <w:color w:val="000000" w:themeColor="text1"/>
          <w:sz w:val="16"/>
          <w:szCs w:val="16"/>
        </w:rPr>
      </w:pPr>
    </w:p>
    <w:p w14:paraId="594174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9120 О вывозе экспериментального оборудования и научных материалов морской метеорологической обсерватории военно-морского флота Германии в г. Грайфсвальд(Германия). РГАНИР, Фонд ГКО, д. 428, лл. 153-154 (11012).</w:t>
      </w:r>
    </w:p>
    <w:p w14:paraId="3F29F812" w14:textId="77777777" w:rsidR="006103B3" w:rsidRPr="00925F26" w:rsidRDefault="006103B3" w:rsidP="00925F26">
      <w:pPr>
        <w:autoSpaceDE w:val="0"/>
        <w:autoSpaceDN w:val="0"/>
        <w:adjustRightInd w:val="0"/>
        <w:jc w:val="both"/>
        <w:rPr>
          <w:color w:val="000000" w:themeColor="text1"/>
          <w:sz w:val="16"/>
          <w:szCs w:val="16"/>
        </w:rPr>
      </w:pPr>
    </w:p>
    <w:p w14:paraId="481E95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9121 О вывозе из г. Берлина оборудования электронно-оптической лаборатории Сименса по производству электронных микроскопов для Наркомэлектропрома. РГАНИР, Фонд ГКО, д. 428, лл. 155-156 (11012).</w:t>
      </w:r>
    </w:p>
    <w:p w14:paraId="584A894B" w14:textId="77777777" w:rsidR="006103B3" w:rsidRPr="00925F26" w:rsidRDefault="006103B3" w:rsidP="00925F26">
      <w:pPr>
        <w:autoSpaceDE w:val="0"/>
        <w:autoSpaceDN w:val="0"/>
        <w:adjustRightInd w:val="0"/>
        <w:jc w:val="both"/>
        <w:rPr>
          <w:color w:val="000000" w:themeColor="text1"/>
          <w:sz w:val="16"/>
          <w:szCs w:val="16"/>
        </w:rPr>
      </w:pPr>
    </w:p>
    <w:p w14:paraId="3E81D8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9122 О вывозе оборудования фабрики по производству фотоаппаратуры и фотопленок в г. Дрезден. РГАНИР, Фонд ГКО, д. 428, лл. 157 (11012).</w:t>
      </w:r>
    </w:p>
    <w:p w14:paraId="16555022" w14:textId="77777777" w:rsidR="006103B3" w:rsidRPr="00925F26" w:rsidRDefault="006103B3" w:rsidP="00925F26">
      <w:pPr>
        <w:autoSpaceDE w:val="0"/>
        <w:autoSpaceDN w:val="0"/>
        <w:adjustRightInd w:val="0"/>
        <w:jc w:val="both"/>
        <w:rPr>
          <w:color w:val="000000" w:themeColor="text1"/>
          <w:sz w:val="16"/>
          <w:szCs w:val="16"/>
        </w:rPr>
      </w:pPr>
    </w:p>
    <w:p w14:paraId="61EFE9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9123 Об укомплектовании оборудованием арсеналов ремонтных баз и полигонов Главного артиллерийского управления Красной Армии. РГАНИР, Фонд ГКО, д. 428, лл. 158-159 (11012).</w:t>
      </w:r>
    </w:p>
    <w:p w14:paraId="4BE20DE4" w14:textId="77777777" w:rsidR="006103B3" w:rsidRPr="00925F26" w:rsidRDefault="006103B3" w:rsidP="00925F26">
      <w:pPr>
        <w:autoSpaceDE w:val="0"/>
        <w:autoSpaceDN w:val="0"/>
        <w:adjustRightInd w:val="0"/>
        <w:jc w:val="both"/>
        <w:rPr>
          <w:color w:val="000000" w:themeColor="text1"/>
          <w:sz w:val="16"/>
          <w:szCs w:val="16"/>
        </w:rPr>
      </w:pPr>
    </w:p>
    <w:p w14:paraId="3A3BC6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9124 О вывозе оборудования с немецких заводов на бронетанковые ремонтные заводы Красной Армии. РГАНИР, Фонд ГКО, д. 428, лл. 160-161 (11012).</w:t>
      </w:r>
    </w:p>
    <w:p w14:paraId="222FCC0D" w14:textId="77777777" w:rsidR="006103B3" w:rsidRPr="00925F26" w:rsidRDefault="006103B3" w:rsidP="00925F26">
      <w:pPr>
        <w:autoSpaceDE w:val="0"/>
        <w:autoSpaceDN w:val="0"/>
        <w:adjustRightInd w:val="0"/>
        <w:jc w:val="both"/>
        <w:rPr>
          <w:color w:val="000000" w:themeColor="text1"/>
          <w:sz w:val="16"/>
          <w:szCs w:val="16"/>
        </w:rPr>
      </w:pPr>
    </w:p>
    <w:p w14:paraId="1EB3DE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9125 О вывозе оборудования с немецких заводов в г. г. Хальбе, Цеденик, Котбус, Врицен, в местечке Штаренберг и со склада на станции Рехален для Наркомстроя. РГАНИР, Фонд ГКО, д. 428, лл. 162-164 (11012).</w:t>
      </w:r>
    </w:p>
    <w:p w14:paraId="75723F0D" w14:textId="77777777" w:rsidR="006103B3" w:rsidRPr="00925F26" w:rsidRDefault="006103B3" w:rsidP="00925F26">
      <w:pPr>
        <w:autoSpaceDE w:val="0"/>
        <w:autoSpaceDN w:val="0"/>
        <w:adjustRightInd w:val="0"/>
        <w:jc w:val="both"/>
        <w:rPr>
          <w:color w:val="000000" w:themeColor="text1"/>
          <w:sz w:val="16"/>
          <w:szCs w:val="16"/>
        </w:rPr>
      </w:pPr>
    </w:p>
    <w:p w14:paraId="3AE9DC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9126 О вывозе оборудования для укомплектования домостроительных заводов Наркомстройматериалов СССР. РГАНИР, Фонд ГКО, д. 429, лл. 1-2, 3 (11012).</w:t>
      </w:r>
    </w:p>
    <w:p w14:paraId="38B7EBB9" w14:textId="77777777" w:rsidR="006103B3" w:rsidRPr="00925F26" w:rsidRDefault="006103B3" w:rsidP="00925F26">
      <w:pPr>
        <w:autoSpaceDE w:val="0"/>
        <w:autoSpaceDN w:val="0"/>
        <w:adjustRightInd w:val="0"/>
        <w:jc w:val="both"/>
        <w:rPr>
          <w:color w:val="000000" w:themeColor="text1"/>
          <w:sz w:val="16"/>
          <w:szCs w:val="16"/>
        </w:rPr>
      </w:pPr>
    </w:p>
    <w:p w14:paraId="02DAEF6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9127 О вывозе оборудования для восстановления кирпичного производства на заводах Наркомстройматериалов РСФСР. РГАНИР, Фонд ГКО, д. 429, лл. 4-5, 6 (11012).</w:t>
      </w:r>
    </w:p>
    <w:p w14:paraId="241FEC8F" w14:textId="77777777" w:rsidR="006103B3" w:rsidRPr="00925F26" w:rsidRDefault="006103B3" w:rsidP="00925F26">
      <w:pPr>
        <w:autoSpaceDE w:val="0"/>
        <w:autoSpaceDN w:val="0"/>
        <w:adjustRightInd w:val="0"/>
        <w:jc w:val="both"/>
        <w:rPr>
          <w:color w:val="000000" w:themeColor="text1"/>
          <w:sz w:val="16"/>
          <w:szCs w:val="16"/>
        </w:rPr>
      </w:pPr>
    </w:p>
    <w:p w14:paraId="77C2FA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9128 О вывозе оборудования с кирпичных и лесопильных предприятий в городах Мекленбургской провинции и Померании на предприятия Наркомгражданстроя РСФСР. РГАНИР, Фонд ГКО, д. 429, лл. 7-9 (11012).</w:t>
      </w:r>
    </w:p>
    <w:p w14:paraId="0E0275BE" w14:textId="77777777" w:rsidR="006103B3" w:rsidRPr="00925F26" w:rsidRDefault="006103B3" w:rsidP="00925F26">
      <w:pPr>
        <w:autoSpaceDE w:val="0"/>
        <w:autoSpaceDN w:val="0"/>
        <w:adjustRightInd w:val="0"/>
        <w:jc w:val="both"/>
        <w:rPr>
          <w:color w:val="000000" w:themeColor="text1"/>
          <w:sz w:val="16"/>
          <w:szCs w:val="16"/>
        </w:rPr>
      </w:pPr>
    </w:p>
    <w:p w14:paraId="0F6BC4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9129 О вывозе оборудования с предприятий полиграфической промышленности Германии. РГАНИР, Фонд ГКО, д. 429, лл. 10-14 (11012).</w:t>
      </w:r>
    </w:p>
    <w:p w14:paraId="346CB0D3" w14:textId="77777777" w:rsidR="006103B3" w:rsidRPr="00925F26" w:rsidRDefault="006103B3" w:rsidP="00925F26">
      <w:pPr>
        <w:autoSpaceDE w:val="0"/>
        <w:autoSpaceDN w:val="0"/>
        <w:adjustRightInd w:val="0"/>
        <w:jc w:val="both"/>
        <w:rPr>
          <w:color w:val="000000" w:themeColor="text1"/>
          <w:sz w:val="16"/>
          <w:szCs w:val="16"/>
        </w:rPr>
      </w:pPr>
    </w:p>
    <w:p w14:paraId="48C854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9130 Об укомплектовании оборудованием тарных заводов Наркоммясомолпрома СССР за счет вывоза оборудования с заводов по производству жестяной, деревянной и бумажной тары в г. Берлин. РГАНИР, Фонд ГКО, д. 429, лл. 15, 16-17 (11012).</w:t>
      </w:r>
    </w:p>
    <w:p w14:paraId="48555E5D" w14:textId="77777777" w:rsidR="006103B3" w:rsidRPr="00925F26" w:rsidRDefault="006103B3" w:rsidP="00925F26">
      <w:pPr>
        <w:autoSpaceDE w:val="0"/>
        <w:autoSpaceDN w:val="0"/>
        <w:adjustRightInd w:val="0"/>
        <w:jc w:val="both"/>
        <w:rPr>
          <w:color w:val="000000" w:themeColor="text1"/>
          <w:sz w:val="16"/>
          <w:szCs w:val="16"/>
        </w:rPr>
      </w:pPr>
    </w:p>
    <w:p w14:paraId="0E11EF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9131 О вывозе оборудования мерительной лаборатории германского морского ведомства в г. Лукенвальде (Германия). РГАНИР, Фонд ГКО, д. 429, лл. 18 (11012).</w:t>
      </w:r>
    </w:p>
    <w:p w14:paraId="61171F50" w14:textId="77777777" w:rsidR="006103B3" w:rsidRPr="00925F26" w:rsidRDefault="006103B3" w:rsidP="00925F26">
      <w:pPr>
        <w:autoSpaceDE w:val="0"/>
        <w:autoSpaceDN w:val="0"/>
        <w:adjustRightInd w:val="0"/>
        <w:jc w:val="both"/>
        <w:rPr>
          <w:color w:val="000000" w:themeColor="text1"/>
          <w:sz w:val="16"/>
          <w:szCs w:val="16"/>
        </w:rPr>
      </w:pPr>
    </w:p>
    <w:p w14:paraId="4F1929F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9132 О вывозе половины оборудования монетного двора и половины оборудования типографии по печатанию денежных знаков в г. Берлин. РГАНИР, Фонд ГКО, д. 429, лл. 19 (11012).</w:t>
      </w:r>
    </w:p>
    <w:p w14:paraId="136AA8EB" w14:textId="77777777" w:rsidR="006103B3" w:rsidRPr="00925F26" w:rsidRDefault="006103B3" w:rsidP="00925F26">
      <w:pPr>
        <w:autoSpaceDE w:val="0"/>
        <w:autoSpaceDN w:val="0"/>
        <w:adjustRightInd w:val="0"/>
        <w:jc w:val="both"/>
        <w:rPr>
          <w:color w:val="000000" w:themeColor="text1"/>
          <w:sz w:val="16"/>
          <w:szCs w:val="16"/>
        </w:rPr>
      </w:pPr>
    </w:p>
    <w:p w14:paraId="7DDEF2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9133 О вывозе оборудования с заводов фирм "Лауптнкт Верке ДМВН" в г. Берлин на восстанавливаемый радиозавод в г. Рига. РГАНИР, Фонд ГКО, д. 429, лл. 20 (11012).</w:t>
      </w:r>
    </w:p>
    <w:p w14:paraId="6D174080" w14:textId="77777777" w:rsidR="006103B3" w:rsidRPr="00925F26" w:rsidRDefault="006103B3" w:rsidP="00925F26">
      <w:pPr>
        <w:autoSpaceDE w:val="0"/>
        <w:autoSpaceDN w:val="0"/>
        <w:adjustRightInd w:val="0"/>
        <w:jc w:val="both"/>
        <w:rPr>
          <w:color w:val="000000" w:themeColor="text1"/>
          <w:sz w:val="16"/>
          <w:szCs w:val="16"/>
        </w:rPr>
      </w:pPr>
    </w:p>
    <w:p w14:paraId="30126E6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9134 О частичном изменении постановления ГОКО № 8680сс от 22 мая 1945 г. РГАНИР, Фонд ГКО, д. 429, лл. 21 (11012).</w:t>
      </w:r>
    </w:p>
    <w:p w14:paraId="4E2241A7" w14:textId="77777777" w:rsidR="006103B3" w:rsidRPr="00925F26" w:rsidRDefault="006103B3" w:rsidP="00925F26">
      <w:pPr>
        <w:autoSpaceDE w:val="0"/>
        <w:autoSpaceDN w:val="0"/>
        <w:adjustRightInd w:val="0"/>
        <w:jc w:val="both"/>
        <w:rPr>
          <w:color w:val="000000" w:themeColor="text1"/>
          <w:sz w:val="16"/>
          <w:szCs w:val="16"/>
        </w:rPr>
      </w:pPr>
    </w:p>
    <w:p w14:paraId="133D94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9135 О частичном изменении постановления ГОКО № 8100сс от 12.IV-1945 г. о вывозе оборудования с завода фирмы "Бойхельт" в г. Грюнберг. РГАНИР, Фонд ГКО, д. 429, лл. 22 (11012).</w:t>
      </w:r>
    </w:p>
    <w:p w14:paraId="3C772E32" w14:textId="77777777" w:rsidR="006103B3" w:rsidRPr="00925F26" w:rsidRDefault="006103B3" w:rsidP="00925F26">
      <w:pPr>
        <w:autoSpaceDE w:val="0"/>
        <w:autoSpaceDN w:val="0"/>
        <w:adjustRightInd w:val="0"/>
        <w:jc w:val="both"/>
        <w:rPr>
          <w:color w:val="000000" w:themeColor="text1"/>
          <w:sz w:val="16"/>
          <w:szCs w:val="16"/>
        </w:rPr>
      </w:pPr>
    </w:p>
    <w:p w14:paraId="43340E6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9136 О вывозе образцов радиотелемеханических приборов управления реактивной торпедой ФАУ-2 и технической документации из Высшей электротехнической школы в г. Вена. РГАНИР, Фонд ГКО, д. 429, лл. 23 (11012).</w:t>
      </w:r>
    </w:p>
    <w:p w14:paraId="3F186D64" w14:textId="77777777" w:rsidR="006103B3" w:rsidRPr="00925F26" w:rsidRDefault="006103B3" w:rsidP="00925F26">
      <w:pPr>
        <w:autoSpaceDE w:val="0"/>
        <w:autoSpaceDN w:val="0"/>
        <w:adjustRightInd w:val="0"/>
        <w:jc w:val="both"/>
        <w:rPr>
          <w:color w:val="000000" w:themeColor="text1"/>
          <w:sz w:val="16"/>
          <w:szCs w:val="16"/>
        </w:rPr>
      </w:pPr>
    </w:p>
    <w:p w14:paraId="27295A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9137 О передаче НКПС паровозоремонтных и вагоностроительных мастерских в г. Кенигсберг. РГАНИР, Фонд ГКО, д. 429, лл. 24 (11012).</w:t>
      </w:r>
    </w:p>
    <w:p w14:paraId="7872DAA1" w14:textId="77777777" w:rsidR="006103B3" w:rsidRPr="00925F26" w:rsidRDefault="006103B3" w:rsidP="00925F26">
      <w:pPr>
        <w:autoSpaceDE w:val="0"/>
        <w:autoSpaceDN w:val="0"/>
        <w:adjustRightInd w:val="0"/>
        <w:jc w:val="both"/>
        <w:rPr>
          <w:color w:val="000000" w:themeColor="text1"/>
          <w:sz w:val="16"/>
          <w:szCs w:val="16"/>
        </w:rPr>
      </w:pPr>
    </w:p>
    <w:p w14:paraId="693A59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9138 О передаче Наркомморфлоту Кенигсбергского морского торгового порта. РГАНИР, Фонд ГКО, д. 429, лл. 25 (11012).</w:t>
      </w:r>
    </w:p>
    <w:p w14:paraId="7E82F676" w14:textId="77777777" w:rsidR="006103B3" w:rsidRPr="00925F26" w:rsidRDefault="006103B3" w:rsidP="00925F26">
      <w:pPr>
        <w:autoSpaceDE w:val="0"/>
        <w:autoSpaceDN w:val="0"/>
        <w:adjustRightInd w:val="0"/>
        <w:jc w:val="both"/>
        <w:rPr>
          <w:color w:val="000000" w:themeColor="text1"/>
          <w:sz w:val="16"/>
          <w:szCs w:val="16"/>
        </w:rPr>
      </w:pPr>
    </w:p>
    <w:p w14:paraId="0135F71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9139 О вывозе оборудования для военно-морских баз Наркомвоенморфлота. РГАНИР, Фонд ГКО, д. 429, лл. 26-27 (11012).</w:t>
      </w:r>
    </w:p>
    <w:p w14:paraId="0E560342" w14:textId="77777777" w:rsidR="006103B3" w:rsidRPr="00925F26" w:rsidRDefault="006103B3" w:rsidP="00925F26">
      <w:pPr>
        <w:autoSpaceDE w:val="0"/>
        <w:autoSpaceDN w:val="0"/>
        <w:adjustRightInd w:val="0"/>
        <w:jc w:val="both"/>
        <w:rPr>
          <w:color w:val="000000" w:themeColor="text1"/>
          <w:sz w:val="16"/>
          <w:szCs w:val="16"/>
        </w:rPr>
      </w:pPr>
    </w:p>
    <w:p w14:paraId="14C7A7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9140 О вывозе 450 металлообрабатывающих и 200 деревообрабатывающих станков для восстановления производства обозного и сельскохозяйственного инвентаря и жилого фонда Белорусской ССР. РГАНИР, Фонд ГКО, д. 429, лл. 28-30 (11012).</w:t>
      </w:r>
    </w:p>
    <w:p w14:paraId="4A7CA0D3" w14:textId="77777777" w:rsidR="006103B3" w:rsidRPr="00925F26" w:rsidRDefault="006103B3" w:rsidP="00925F26">
      <w:pPr>
        <w:autoSpaceDE w:val="0"/>
        <w:autoSpaceDN w:val="0"/>
        <w:adjustRightInd w:val="0"/>
        <w:jc w:val="both"/>
        <w:rPr>
          <w:color w:val="000000" w:themeColor="text1"/>
          <w:sz w:val="16"/>
          <w:szCs w:val="16"/>
        </w:rPr>
      </w:pPr>
    </w:p>
    <w:p w14:paraId="2A3295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9141 О вывозе оборудования для восстановления производства машин торфяной и фосфоритной промышленности, а также укомплектования авторемонтных мастерских Эстонской ССР. РГАНИР, Фонд ГКО, д. 429, лл. 31-32 (11012).</w:t>
      </w:r>
    </w:p>
    <w:p w14:paraId="71AADFFF" w14:textId="77777777" w:rsidR="006103B3" w:rsidRPr="00925F26" w:rsidRDefault="006103B3" w:rsidP="00925F26">
      <w:pPr>
        <w:autoSpaceDE w:val="0"/>
        <w:autoSpaceDN w:val="0"/>
        <w:adjustRightInd w:val="0"/>
        <w:jc w:val="both"/>
        <w:rPr>
          <w:color w:val="000000" w:themeColor="text1"/>
          <w:sz w:val="16"/>
          <w:szCs w:val="16"/>
        </w:rPr>
      </w:pPr>
    </w:p>
    <w:p w14:paraId="43602E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9142 О вывозе оборудования на предприятия Наркомлегпрома СССР. РГАНИР, Фонд ГКО, д. 429, лл. 33 (11012).</w:t>
      </w:r>
    </w:p>
    <w:p w14:paraId="5BEE51FE" w14:textId="77777777" w:rsidR="006103B3" w:rsidRPr="00925F26" w:rsidRDefault="006103B3" w:rsidP="00925F26">
      <w:pPr>
        <w:autoSpaceDE w:val="0"/>
        <w:autoSpaceDN w:val="0"/>
        <w:adjustRightInd w:val="0"/>
        <w:jc w:val="both"/>
        <w:rPr>
          <w:color w:val="000000" w:themeColor="text1"/>
          <w:sz w:val="16"/>
          <w:szCs w:val="16"/>
        </w:rPr>
      </w:pPr>
    </w:p>
    <w:p w14:paraId="60CC59B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9143 О вывозе из Германии оборудования пяти судоверфей для восстановления разрушенных судоремонтных баз Наркомрыбпрома СССР на Черноморском, Азовском и Мурманском побережьях. РГАНИР, Фонд ГКО, д. 429, лл. 34-35 (11012).</w:t>
      </w:r>
    </w:p>
    <w:p w14:paraId="1A9B60AF" w14:textId="77777777" w:rsidR="006103B3" w:rsidRPr="00925F26" w:rsidRDefault="006103B3" w:rsidP="00925F26">
      <w:pPr>
        <w:autoSpaceDE w:val="0"/>
        <w:autoSpaceDN w:val="0"/>
        <w:adjustRightInd w:val="0"/>
        <w:jc w:val="both"/>
        <w:rPr>
          <w:color w:val="000000" w:themeColor="text1"/>
          <w:sz w:val="16"/>
          <w:szCs w:val="16"/>
        </w:rPr>
      </w:pPr>
    </w:p>
    <w:p w14:paraId="55D8D5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9144 О вывозе оборудования кирпично-черепичного завода фирмы "Густав Линке и К'" в г. Штольцхаген на полярные станции Главсерморпути при СНК СССР. РГАНИР, Фонд ГКО, д. 429, лл. 36 (11012).</w:t>
      </w:r>
    </w:p>
    <w:p w14:paraId="7A8F8E43" w14:textId="77777777" w:rsidR="006103B3" w:rsidRPr="00925F26" w:rsidRDefault="006103B3" w:rsidP="00925F26">
      <w:pPr>
        <w:autoSpaceDE w:val="0"/>
        <w:autoSpaceDN w:val="0"/>
        <w:adjustRightInd w:val="0"/>
        <w:jc w:val="both"/>
        <w:rPr>
          <w:color w:val="000000" w:themeColor="text1"/>
          <w:sz w:val="16"/>
          <w:szCs w:val="16"/>
        </w:rPr>
      </w:pPr>
    </w:p>
    <w:p w14:paraId="70518A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9145 О вывозе оборудования 11 автоматических телефонных станций с трофейных складов в городах Германии для нужд Наркомата обороны. РГАНИР, Фонд ГКО, д. 429, лл. 37 (11012).</w:t>
      </w:r>
    </w:p>
    <w:p w14:paraId="03330CBB" w14:textId="77777777" w:rsidR="006103B3" w:rsidRPr="00925F26" w:rsidRDefault="006103B3" w:rsidP="00925F26">
      <w:pPr>
        <w:autoSpaceDE w:val="0"/>
        <w:autoSpaceDN w:val="0"/>
        <w:adjustRightInd w:val="0"/>
        <w:jc w:val="both"/>
        <w:rPr>
          <w:color w:val="000000" w:themeColor="text1"/>
          <w:sz w:val="16"/>
          <w:szCs w:val="16"/>
        </w:rPr>
      </w:pPr>
    </w:p>
    <w:p w14:paraId="587C1F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9146 О вывозе оборудования с заводов и мастерских в г. Берлин для Главвоенпромстроя. РГАНИР, Фонд ГКО, д. 429, лл. 38-39 (11012).</w:t>
      </w:r>
    </w:p>
    <w:p w14:paraId="2CC99DC0" w14:textId="77777777" w:rsidR="006103B3" w:rsidRPr="00925F26" w:rsidRDefault="006103B3" w:rsidP="00925F26">
      <w:pPr>
        <w:autoSpaceDE w:val="0"/>
        <w:autoSpaceDN w:val="0"/>
        <w:adjustRightInd w:val="0"/>
        <w:jc w:val="both"/>
        <w:rPr>
          <w:color w:val="000000" w:themeColor="text1"/>
          <w:sz w:val="16"/>
          <w:szCs w:val="16"/>
        </w:rPr>
      </w:pPr>
    </w:p>
    <w:p w14:paraId="4DB591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9147 О вывозе оборудования с немецких механических заводов для укомплектования механических заводов Наркомзема СССР и Наркомсовхозов СССР. РГАНИР, Фонд ГКО, д. 429, лл. 40-42 (11012).</w:t>
      </w:r>
    </w:p>
    <w:p w14:paraId="49AA81B6" w14:textId="77777777" w:rsidR="006103B3" w:rsidRPr="00925F26" w:rsidRDefault="006103B3" w:rsidP="00925F26">
      <w:pPr>
        <w:autoSpaceDE w:val="0"/>
        <w:autoSpaceDN w:val="0"/>
        <w:adjustRightInd w:val="0"/>
        <w:jc w:val="both"/>
        <w:rPr>
          <w:color w:val="000000" w:themeColor="text1"/>
          <w:sz w:val="16"/>
          <w:szCs w:val="16"/>
        </w:rPr>
      </w:pPr>
    </w:p>
    <w:p w14:paraId="2D3F11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9148 О вывозе мельничного оборудования со складов Кенигсбергского порта для восстановления разрушенной мельницы Наркомзага на станции Бутерлиновка Воронежской области. РГАНИР, Фонд ГКО, д. 429, лл. 43 (11012).</w:t>
      </w:r>
    </w:p>
    <w:p w14:paraId="6791911C" w14:textId="77777777" w:rsidR="006103B3" w:rsidRPr="00925F26" w:rsidRDefault="006103B3" w:rsidP="00925F26">
      <w:pPr>
        <w:autoSpaceDE w:val="0"/>
        <w:autoSpaceDN w:val="0"/>
        <w:adjustRightInd w:val="0"/>
        <w:jc w:val="both"/>
        <w:rPr>
          <w:color w:val="000000" w:themeColor="text1"/>
          <w:sz w:val="16"/>
          <w:szCs w:val="16"/>
        </w:rPr>
      </w:pPr>
    </w:p>
    <w:p w14:paraId="5678CA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9149 О передаче Наркомстрою завода металлоконструкций в г. Кенигсберг, принадлежавшего фирме "Шихау". РГАНИР, Фонд ГКО, д. 429, лл. 44 (11012).</w:t>
      </w:r>
    </w:p>
    <w:p w14:paraId="72F0BC25" w14:textId="77777777" w:rsidR="006103B3" w:rsidRPr="00925F26" w:rsidRDefault="006103B3" w:rsidP="00925F26">
      <w:pPr>
        <w:autoSpaceDE w:val="0"/>
        <w:autoSpaceDN w:val="0"/>
        <w:adjustRightInd w:val="0"/>
        <w:jc w:val="both"/>
        <w:rPr>
          <w:color w:val="000000" w:themeColor="text1"/>
          <w:sz w:val="16"/>
          <w:szCs w:val="16"/>
        </w:rPr>
      </w:pPr>
    </w:p>
    <w:p w14:paraId="186EC03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9150 О вывозе проката черных металлов со складов трофейного управления 1-го Белорусского фронта и фирмы "Пионер-Парк" в г. Рехаген (Германия). РГАНИР, Фонд ГКО, д. 429, лл. 45-46 (11012).</w:t>
      </w:r>
    </w:p>
    <w:p w14:paraId="6BCFEF3D" w14:textId="77777777" w:rsidR="006103B3" w:rsidRPr="00925F26" w:rsidRDefault="006103B3" w:rsidP="00925F26">
      <w:pPr>
        <w:autoSpaceDE w:val="0"/>
        <w:autoSpaceDN w:val="0"/>
        <w:adjustRightInd w:val="0"/>
        <w:jc w:val="both"/>
        <w:rPr>
          <w:color w:val="000000" w:themeColor="text1"/>
          <w:sz w:val="16"/>
          <w:szCs w:val="16"/>
        </w:rPr>
      </w:pPr>
    </w:p>
    <w:p w14:paraId="2319F6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9151 О вывозе линейно-строительных материалов с железнодорожных складов Германии и Австрии на базы войск правительственной связи Наркомвнудела СССР. РГАНИР, Фонд ГКО, д. 429, лл. 47 (11012).</w:t>
      </w:r>
    </w:p>
    <w:p w14:paraId="360E1E4A" w14:textId="77777777" w:rsidR="006103B3" w:rsidRPr="00925F26" w:rsidRDefault="006103B3" w:rsidP="00925F26">
      <w:pPr>
        <w:autoSpaceDE w:val="0"/>
        <w:autoSpaceDN w:val="0"/>
        <w:adjustRightInd w:val="0"/>
        <w:jc w:val="both"/>
        <w:rPr>
          <w:color w:val="000000" w:themeColor="text1"/>
          <w:sz w:val="16"/>
          <w:szCs w:val="16"/>
        </w:rPr>
      </w:pPr>
    </w:p>
    <w:p w14:paraId="56ACCD0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9152 Об организации танкоремонтной базы в г. Кенигсберг. РГАНИР, Фонд ГКО, д. 429, лл. 48 (11012).</w:t>
      </w:r>
    </w:p>
    <w:p w14:paraId="3E437990" w14:textId="77777777" w:rsidR="006103B3" w:rsidRPr="00925F26" w:rsidRDefault="006103B3" w:rsidP="00925F26">
      <w:pPr>
        <w:autoSpaceDE w:val="0"/>
        <w:autoSpaceDN w:val="0"/>
        <w:adjustRightInd w:val="0"/>
        <w:jc w:val="both"/>
        <w:rPr>
          <w:color w:val="000000" w:themeColor="text1"/>
          <w:sz w:val="16"/>
          <w:szCs w:val="16"/>
        </w:rPr>
      </w:pPr>
    </w:p>
    <w:p w14:paraId="3D9B5D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9153 О передаче Совнаркому Эстонской ССР мелкосортного прокатного стана и электросталеплавильной печи, вывозимых Наркомчерметом с немецких заводов. РГАНИР, Фонд ГКО, д. 429, лл. 49 (11012).</w:t>
      </w:r>
    </w:p>
    <w:p w14:paraId="0C548B0F" w14:textId="77777777" w:rsidR="006103B3" w:rsidRPr="00925F26" w:rsidRDefault="006103B3" w:rsidP="00925F26">
      <w:pPr>
        <w:autoSpaceDE w:val="0"/>
        <w:autoSpaceDN w:val="0"/>
        <w:adjustRightInd w:val="0"/>
        <w:jc w:val="both"/>
        <w:rPr>
          <w:color w:val="000000" w:themeColor="text1"/>
          <w:sz w:val="16"/>
          <w:szCs w:val="16"/>
        </w:rPr>
      </w:pPr>
    </w:p>
    <w:p w14:paraId="226784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9154 О мерах по обеспечению вывоза оборудования и рельс с немецких предприятий. РГАНИР, Фонд ГКО, д. 429, лл. 50-55, 56-57 (11012).</w:t>
      </w:r>
    </w:p>
    <w:p w14:paraId="7844E357" w14:textId="77777777" w:rsidR="006103B3" w:rsidRPr="00925F26" w:rsidRDefault="006103B3" w:rsidP="00925F26">
      <w:pPr>
        <w:autoSpaceDE w:val="0"/>
        <w:autoSpaceDN w:val="0"/>
        <w:adjustRightInd w:val="0"/>
        <w:jc w:val="both"/>
        <w:rPr>
          <w:color w:val="000000" w:themeColor="text1"/>
          <w:sz w:val="16"/>
          <w:szCs w:val="16"/>
        </w:rPr>
      </w:pPr>
    </w:p>
    <w:p w14:paraId="05D27C6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76FABE80" w14:textId="77777777" w:rsidR="006103B3" w:rsidRPr="00925F26" w:rsidRDefault="006103B3" w:rsidP="00925F26">
      <w:pPr>
        <w:autoSpaceDE w:val="0"/>
        <w:autoSpaceDN w:val="0"/>
        <w:adjustRightInd w:val="0"/>
        <w:jc w:val="both"/>
        <w:rPr>
          <w:iCs/>
          <w:color w:val="000000" w:themeColor="text1"/>
          <w:sz w:val="16"/>
          <w:szCs w:val="16"/>
        </w:rPr>
      </w:pPr>
    </w:p>
    <w:p w14:paraId="0C6B1A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25 Ил-2 и 2 Ил-2Ут были официально переданы из ВВС СССР Минобороны Чехословакии и часть потом была переименована в 30 шап, базирующийся в Trenchanske-Biskupice и получивший имя Остравский (241,40).</w:t>
      </w:r>
    </w:p>
    <w:p w14:paraId="03F1FB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чехословацкой армии Ил-2 получили обозначение B-31, а Ил-2УТ - СВ-31. С вооружения машины были сняты в 1950 (241,40).</w:t>
      </w:r>
    </w:p>
    <w:p w14:paraId="7556DDA9" w14:textId="77777777" w:rsidR="006103B3" w:rsidRPr="00925F26" w:rsidRDefault="006103B3" w:rsidP="00925F26">
      <w:pPr>
        <w:autoSpaceDE w:val="0"/>
        <w:autoSpaceDN w:val="0"/>
        <w:adjustRightInd w:val="0"/>
        <w:jc w:val="both"/>
        <w:rPr>
          <w:color w:val="000000" w:themeColor="text1"/>
          <w:sz w:val="16"/>
          <w:szCs w:val="16"/>
        </w:rPr>
      </w:pPr>
    </w:p>
    <w:p w14:paraId="2082A0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К 20 июня 1945 в 255 полку имелось уже 63 самолета P-47 "Тандерболт" (в том числе два неисправных). Надо сказать, что летчикам 255-го полка нелегко давалось освоение "Тандерболта". Переход с легких и довольно маневренных "Аэрокобр" на тяжеловесные Р-47, по отзывам пилотов, выглядел "как смена торпедного катера на линкор". Местные остряки присвоили истребителю прозвище "Дубовый". Действительно, на нем запретили выполнение практически всех фигур пилотажа - переворотов, петель, бочек, крутого пикирования. Тем не менее, эскадрилья успешно закончила переучивание и обрела боевую готовность. В период службы в 255-м </w:t>
      </w:r>
      <w:r w:rsidRPr="00925F26">
        <w:rPr>
          <w:color w:val="000000" w:themeColor="text1"/>
          <w:sz w:val="16"/>
          <w:szCs w:val="16"/>
        </w:rPr>
        <w:lastRenderedPageBreak/>
        <w:t>полку "Тандерболты" даже приняли участие в съемках фильма "Остров Безымянный", где изображали немецкие "Фокке-Вульфы". Р-47 эксплуатировались на севере около года, потом их заменили находившимися на консервации "Аэрокобрами" и пустили на слом - раздавили трактором (3457,86).</w:t>
      </w:r>
    </w:p>
    <w:p w14:paraId="4E6523D4" w14:textId="77777777" w:rsidR="006103B3" w:rsidRPr="00925F26" w:rsidRDefault="006103B3" w:rsidP="00925F26">
      <w:pPr>
        <w:autoSpaceDE w:val="0"/>
        <w:autoSpaceDN w:val="0"/>
        <w:adjustRightInd w:val="0"/>
        <w:jc w:val="both"/>
        <w:rPr>
          <w:color w:val="000000" w:themeColor="text1"/>
          <w:sz w:val="16"/>
          <w:szCs w:val="16"/>
        </w:rPr>
      </w:pPr>
    </w:p>
    <w:p w14:paraId="191C53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полк Нормандия-Неман, имеющий на счету 273 победы, прибыл в Ле Бурже на 38 Як-3 подаренных И.В.С. Вылетели из Восточной Пруссии. Садились в Штутгарте (1758,28).</w:t>
      </w:r>
    </w:p>
    <w:p w14:paraId="6EBD683D" w14:textId="77777777" w:rsidR="006103B3" w:rsidRPr="00925F26" w:rsidRDefault="006103B3" w:rsidP="00925F26">
      <w:pPr>
        <w:autoSpaceDE w:val="0"/>
        <w:autoSpaceDN w:val="0"/>
        <w:adjustRightInd w:val="0"/>
        <w:jc w:val="both"/>
        <w:rPr>
          <w:color w:val="000000" w:themeColor="text1"/>
          <w:sz w:val="16"/>
          <w:szCs w:val="16"/>
        </w:rPr>
      </w:pPr>
    </w:p>
    <w:p w14:paraId="7354D2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20 июня 1945 ст. л П.Жилкин на Ли-2 привез из Берлина на Ходынку знамя победы в сопровождении М.Егорова и М.Кантария, К.Самсонова, С.Неустроева, С.Сьянова. Почетный караул возглавлял В.Варенников (1836,130).</w:t>
      </w:r>
    </w:p>
    <w:p w14:paraId="18114AB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Есть данные, что на другой аэродром из-за тумана (1836,130).</w:t>
      </w:r>
    </w:p>
    <w:p w14:paraId="6A6D2EDE" w14:textId="77777777" w:rsidR="006103B3" w:rsidRPr="00925F26" w:rsidRDefault="006103B3" w:rsidP="00925F26">
      <w:pPr>
        <w:autoSpaceDE w:val="0"/>
        <w:autoSpaceDN w:val="0"/>
        <w:adjustRightInd w:val="0"/>
        <w:jc w:val="both"/>
        <w:rPr>
          <w:color w:val="000000" w:themeColor="text1"/>
          <w:sz w:val="16"/>
          <w:szCs w:val="16"/>
        </w:rPr>
      </w:pPr>
    </w:p>
    <w:p w14:paraId="79ABDE4D"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июня 1945 вышло Постановление ГКО № 9162 [Справка о принятии постановления "по организационным мероприятиям Красной Армии" - штатной численности КА без ЗабФ и ДВФ; текст постановления в деле отсутствует.] (7351, 68).</w:t>
      </w:r>
    </w:p>
    <w:p w14:paraId="517C202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1E9DBC6" w14:textId="77777777" w:rsidR="00C8447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3A0F47A" w14:textId="77777777" w:rsidR="00C84475" w:rsidRPr="00925F26" w:rsidRDefault="00C84475" w:rsidP="00925F26">
      <w:pPr>
        <w:autoSpaceDE w:val="0"/>
        <w:autoSpaceDN w:val="0"/>
        <w:adjustRightInd w:val="0"/>
        <w:jc w:val="both"/>
        <w:rPr>
          <w:iCs/>
          <w:color w:val="000000" w:themeColor="text1"/>
          <w:sz w:val="16"/>
          <w:szCs w:val="16"/>
        </w:rPr>
      </w:pPr>
    </w:p>
    <w:p w14:paraId="70CFB2FA" w14:textId="77777777" w:rsidR="00C84475" w:rsidRPr="00925F26" w:rsidRDefault="00C84475" w:rsidP="00925F26">
      <w:pPr>
        <w:jc w:val="both"/>
        <w:rPr>
          <w:color w:val="000000" w:themeColor="text1"/>
          <w:sz w:val="16"/>
          <w:szCs w:val="16"/>
        </w:rPr>
      </w:pPr>
      <w:r w:rsidRPr="00925F26">
        <w:rPr>
          <w:bCs/>
          <w:color w:val="000000" w:themeColor="text1"/>
          <w:sz w:val="16"/>
          <w:szCs w:val="16"/>
        </w:rPr>
        <w:t>20 июня</w:t>
      </w:r>
      <w:r w:rsidRPr="00925F26">
        <w:rPr>
          <w:color w:val="000000" w:themeColor="text1"/>
          <w:sz w:val="16"/>
          <w:szCs w:val="16"/>
        </w:rPr>
        <w:t xml:space="preserve"> в 1945 году по радио передан репортаж о параде воинских частей Берлинского гарнизона Красной Армии по случаю торжественных проводов Знамени Победы в Москву (14928).</w:t>
      </w:r>
    </w:p>
    <w:p w14:paraId="6B1205AC" w14:textId="77777777" w:rsidR="00C84475" w:rsidRPr="00925F26" w:rsidRDefault="00C84475" w:rsidP="00925F26">
      <w:pPr>
        <w:jc w:val="both"/>
        <w:rPr>
          <w:color w:val="000000" w:themeColor="text1"/>
          <w:sz w:val="16"/>
          <w:szCs w:val="16"/>
        </w:rPr>
      </w:pPr>
    </w:p>
    <w:p w14:paraId="2D708435" w14:textId="77777777" w:rsidR="00C84475" w:rsidRPr="00925F26" w:rsidRDefault="00C84475" w:rsidP="00925F26">
      <w:pPr>
        <w:jc w:val="both"/>
        <w:rPr>
          <w:bCs/>
          <w:color w:val="000000" w:themeColor="text1"/>
          <w:sz w:val="16"/>
          <w:szCs w:val="16"/>
        </w:rPr>
      </w:pPr>
      <w:r w:rsidRPr="00925F26">
        <w:rPr>
          <w:bCs/>
          <w:color w:val="000000" w:themeColor="text1"/>
          <w:sz w:val="16"/>
          <w:szCs w:val="16"/>
        </w:rPr>
        <w:t>20 июня</w:t>
      </w:r>
      <w:r w:rsidRPr="00925F26">
        <w:rPr>
          <w:color w:val="000000" w:themeColor="text1"/>
          <w:sz w:val="16"/>
          <w:szCs w:val="16"/>
        </w:rPr>
        <w:t xml:space="preserve"> в 1945 году из Берлина в Москву </w:t>
      </w:r>
      <w:proofErr w:type="gramStart"/>
      <w:r w:rsidRPr="00925F26">
        <w:rPr>
          <w:color w:val="000000" w:themeColor="text1"/>
          <w:sz w:val="16"/>
          <w:szCs w:val="16"/>
        </w:rPr>
        <w:t>на транспортом</w:t>
      </w:r>
      <w:proofErr w:type="gramEnd"/>
      <w:r w:rsidRPr="00925F26">
        <w:rPr>
          <w:color w:val="000000" w:themeColor="text1"/>
          <w:sz w:val="16"/>
          <w:szCs w:val="16"/>
        </w:rPr>
        <w:t xml:space="preserve"> самолете доставлено Знамя Победы, Красное знамя, которое было водружено над рейхстагом 30 апреля 1945 разведчиками 150-й стрелковой дивизии М.А.Егоровым и М.В.Кантария. 24 июня 1945 года в Москве на Красной площади состоялся первый парад войск действующей армии, Военно-Морского Флота и Московского гарнизона в ознаменование Победы над Германией в Великой Отечественной войне. Решено было привезти из Берлина Красное знамя, которое было водружено над рейхстагом 30 апреля 1945 разведчиками 150-й стрелковой дивизии М.А.Егоровым и М.В.Кантария. Фотографии горящего рейхстага с реющим над его куполом знаменем Победы были опубликованы в московской газете «Правда» 3 мая 1945 года. В Берлине еще шли бои, в самом рейхстаге стреляли отдельные группы фашистов, а снимки уже стали историческими. Красное знамя, пробитое пулями, обагренное кровью, стало священной реликвией. Впервые идею водрузить красный стяг над столицей поверженной Германии высказал И.В.Сталин на торжественном заседании б ноября 1944 года. Тогда Военный совет армии принял решение: передовой отряд бойцов должен водрузить флаг над рейхстагом, что будет символизировать окончательное крушение нацизма. По образцу государственного флага СССР было срочно изготовлено девять стягов, по числу дивизий, входивших в состав 3-й ударной армии. Во главе атакующих цепей шли штурмовые группы, составленные из воинов-добровольцев. Каждая из них стремилась быстрее выполнить ответственную задачу.</w:t>
      </w:r>
    </w:p>
    <w:p w14:paraId="508CAE4F" w14:textId="77777777" w:rsidR="00C84475" w:rsidRPr="00925F26" w:rsidRDefault="00C84475" w:rsidP="00925F26">
      <w:pPr>
        <w:jc w:val="both"/>
        <w:rPr>
          <w:color w:val="000000" w:themeColor="text1"/>
          <w:sz w:val="16"/>
          <w:szCs w:val="16"/>
        </w:rPr>
      </w:pPr>
      <w:r w:rsidRPr="00925F26">
        <w:rPr>
          <w:color w:val="000000" w:themeColor="text1"/>
          <w:sz w:val="16"/>
          <w:szCs w:val="16"/>
        </w:rPr>
        <w:t>Флаг № 5, ставший Знаменем Победы, несла группа из трех бойцов, возглавляемая старшим сержантом Ивановым. Он получил смертельное ранение при прорыве к верхним этажам здания, но сержант М.Егоров и младший сержант М.Кантария, которых прикрывали их однополчане по 756-му полку, смогли водрузить знамя. Поздним вечером 30 апреля 1945 года над крышей рейхстага затрепетал красный флаг, а вслед за этим было поднято еще два. Во второй половине следующего дня красный флаг перенесли на стеклянный купол здания, где он оставался до дня Победы. 9 мая реликвия была передана в штаб 150-го полка, а вместо нее над рейхстагом взвился другой флаг. 20 июня 1945 года Знамя Победы на транспортном самолете доставили в Москву, и с тех пор оно хранится в Центральном музее Вооруженных сил. Победное знамя уже 60 лет находится в специальном хранилище. Подлинное знамя хранят в особых условиях - воздухопропускающий чехол, специальная бумага, на руках сотрудников - перчатки. Показывают его крайне редко: ткань слишком хрупкая, а кроме того, как объясняют в музее, это не просто знамя, а символ победы и история. Точная копия этого знамени - с пулевым отверстием, надставленным сеткой краем, с цифрой пять на обратной стороне - была сшита специально (14928).</w:t>
      </w:r>
    </w:p>
    <w:p w14:paraId="4007EA5C" w14:textId="77777777" w:rsidR="00C84475" w:rsidRPr="00925F26" w:rsidRDefault="00C84475" w:rsidP="00925F26">
      <w:pPr>
        <w:jc w:val="both"/>
        <w:rPr>
          <w:color w:val="000000" w:themeColor="text1"/>
          <w:sz w:val="16"/>
          <w:szCs w:val="16"/>
        </w:rPr>
      </w:pPr>
    </w:p>
    <w:p w14:paraId="0AB6A736" w14:textId="77777777" w:rsidR="00C84475"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C3989A7" w14:textId="77777777" w:rsidR="00C84475" w:rsidRPr="00925F26" w:rsidRDefault="00C84475" w:rsidP="00925F26">
      <w:pPr>
        <w:autoSpaceDE w:val="0"/>
        <w:autoSpaceDN w:val="0"/>
        <w:adjustRightInd w:val="0"/>
        <w:jc w:val="both"/>
        <w:rPr>
          <w:iCs/>
          <w:color w:val="000000" w:themeColor="text1"/>
          <w:sz w:val="16"/>
          <w:szCs w:val="16"/>
        </w:rPr>
      </w:pPr>
    </w:p>
    <w:p w14:paraId="666286A2" w14:textId="77777777" w:rsidR="00C84475" w:rsidRPr="00925F26" w:rsidRDefault="00C84475" w:rsidP="00925F26">
      <w:pPr>
        <w:jc w:val="both"/>
        <w:rPr>
          <w:color w:val="000000" w:themeColor="text1"/>
          <w:sz w:val="16"/>
          <w:szCs w:val="16"/>
        </w:rPr>
      </w:pPr>
      <w:r w:rsidRPr="00925F26">
        <w:rPr>
          <w:bCs/>
          <w:color w:val="000000" w:themeColor="text1"/>
          <w:sz w:val="16"/>
          <w:szCs w:val="16"/>
        </w:rPr>
        <w:t>20 июня</w:t>
      </w:r>
      <w:r w:rsidRPr="00925F26">
        <w:rPr>
          <w:color w:val="000000" w:themeColor="text1"/>
          <w:sz w:val="16"/>
          <w:szCs w:val="16"/>
        </w:rPr>
        <w:t xml:space="preserve"> в 1945 году на подаренных Сталиным самолетах-истребителях Як-3 на родину отбыли летчики французского авиаполка "Нормандия-Неман"</w:t>
      </w:r>
    </w:p>
    <w:p w14:paraId="6CD3F32E" w14:textId="77777777" w:rsidR="00C84475" w:rsidRPr="00925F26" w:rsidRDefault="00C84475" w:rsidP="00925F26">
      <w:pPr>
        <w:jc w:val="both"/>
        <w:rPr>
          <w:color w:val="000000" w:themeColor="text1"/>
          <w:sz w:val="16"/>
          <w:szCs w:val="16"/>
        </w:rPr>
      </w:pPr>
    </w:p>
    <w:p w14:paraId="1A250EF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ABCF3AD" w14:textId="77777777" w:rsidR="006103B3" w:rsidRPr="00925F26" w:rsidRDefault="006103B3" w:rsidP="00925F26">
      <w:pPr>
        <w:autoSpaceDE w:val="0"/>
        <w:autoSpaceDN w:val="0"/>
        <w:adjustRightInd w:val="0"/>
        <w:jc w:val="both"/>
        <w:rPr>
          <w:iCs/>
          <w:color w:val="000000" w:themeColor="text1"/>
          <w:sz w:val="16"/>
          <w:szCs w:val="16"/>
        </w:rPr>
      </w:pPr>
    </w:p>
    <w:p w14:paraId="5DDCFFA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20 июня 1945 в Нью-Йорке 4 млн. жителей приветствовали вернувшегося из Европы генерала Д. Эйзенхауэра (4962).</w:t>
      </w:r>
    </w:p>
    <w:p w14:paraId="024962CC"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45FE282" w14:textId="77777777" w:rsidR="00C84475" w:rsidRPr="00925F26" w:rsidRDefault="00C84475" w:rsidP="00925F26">
      <w:pPr>
        <w:jc w:val="both"/>
        <w:rPr>
          <w:color w:val="000000" w:themeColor="text1"/>
          <w:sz w:val="16"/>
          <w:szCs w:val="16"/>
        </w:rPr>
      </w:pPr>
      <w:r w:rsidRPr="00925F26">
        <w:rPr>
          <w:bCs/>
          <w:color w:val="000000" w:themeColor="text1"/>
          <w:sz w:val="16"/>
          <w:szCs w:val="16"/>
        </w:rPr>
        <w:t>20 июня</w:t>
      </w:r>
      <w:r w:rsidRPr="00925F26">
        <w:rPr>
          <w:color w:val="000000" w:themeColor="text1"/>
          <w:sz w:val="16"/>
          <w:szCs w:val="16"/>
        </w:rPr>
        <w:t xml:space="preserve"> в 1945 году немецкий конструктор Вернер фон Браун (Werner von Braun) вместе с командой специалистов-ракетчиков прибыл в США (14928).</w:t>
      </w:r>
    </w:p>
    <w:p w14:paraId="7D816A1F" w14:textId="77777777" w:rsidR="00C84475" w:rsidRPr="00925F26" w:rsidRDefault="00C84475" w:rsidP="00925F26">
      <w:pPr>
        <w:jc w:val="both"/>
        <w:rPr>
          <w:color w:val="000000" w:themeColor="text1"/>
          <w:sz w:val="16"/>
          <w:szCs w:val="16"/>
        </w:rPr>
      </w:pPr>
    </w:p>
    <w:p w14:paraId="68D1106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76E79CF" w14:textId="77777777" w:rsidR="006103B3" w:rsidRPr="00925F26" w:rsidRDefault="006103B3" w:rsidP="00925F26">
      <w:pPr>
        <w:autoSpaceDE w:val="0"/>
        <w:autoSpaceDN w:val="0"/>
        <w:adjustRightInd w:val="0"/>
        <w:jc w:val="both"/>
        <w:rPr>
          <w:iCs/>
          <w:color w:val="000000" w:themeColor="text1"/>
          <w:sz w:val="16"/>
          <w:szCs w:val="16"/>
        </w:rPr>
      </w:pPr>
    </w:p>
    <w:p w14:paraId="2443DD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Нач. штаба НИИ ВВС писал письмо N 0133 А.И.Ш.:</w:t>
      </w:r>
    </w:p>
    <w:p w14:paraId="5AA2E45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"Представляю акт по результатам гос. испытаний модифицированного самолета УИл-2 с мотором АМ-38Ф (самолет N 18841133 производства 18 завода,)." (1969,1).</w:t>
      </w:r>
    </w:p>
    <w:p w14:paraId="361F9A67" w14:textId="77777777" w:rsidR="006103B3" w:rsidRPr="00925F26" w:rsidRDefault="006103B3" w:rsidP="00925F26">
      <w:pPr>
        <w:autoSpaceDE w:val="0"/>
        <w:autoSpaceDN w:val="0"/>
        <w:adjustRightInd w:val="0"/>
        <w:jc w:val="both"/>
        <w:rPr>
          <w:color w:val="000000" w:themeColor="text1"/>
          <w:sz w:val="16"/>
          <w:szCs w:val="16"/>
        </w:rPr>
      </w:pPr>
    </w:p>
    <w:p w14:paraId="75733A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на ДВ закончили летные испытания В-29, которые велись с января 1945. Две машины находились в распоряжении ВВС ТОФ, а одна в составе специально созданной 35 отдельной бомбардировочной эскадрильи, в которую вошли и 2 В-25. Летали с аэродрома Романовский. В июне-июле два В-29 перегнали в Москву. Одну машину вел п/п С.Б.Рейдель с 2/п Моржакловым. Сели в Измайлово на базе 65 полка особого назначения морской авиации. Вторую машину вел Марунов и сел туда же. Один из В-29 N 42-6256 по просьбе командующего ДА А.Е.Голованова передали в 890 полк на аэродром Балбасово под Оршей под командованием Э.К.Пусэпа. На 1 июля там было 9 Пе-8, 19 В-25, 12 В-17 (F and G), а второй полк летал на В-24 (2645,25).</w:t>
      </w:r>
    </w:p>
    <w:p w14:paraId="6092A633" w14:textId="77777777" w:rsidR="006103B3" w:rsidRPr="00925F26" w:rsidRDefault="006103B3" w:rsidP="00925F26">
      <w:pPr>
        <w:autoSpaceDE w:val="0"/>
        <w:autoSpaceDN w:val="0"/>
        <w:adjustRightInd w:val="0"/>
        <w:jc w:val="both"/>
        <w:rPr>
          <w:color w:val="000000" w:themeColor="text1"/>
          <w:sz w:val="16"/>
          <w:szCs w:val="16"/>
        </w:rPr>
      </w:pPr>
    </w:p>
    <w:p w14:paraId="74FED7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21 июня 1945 на Дальнем Востоке продолжались испытания В-29. Удалось определить основные данные самолета. Они оказались несколько ниже полученных в США. Например, определенная на испытаниях максимальная скорость не превышала 580 км/ч, а набор высоты 5000 м занимал 16,5 минут. Впрочем, это было естественно, если учесть, что самолет был не новым и проходил ремонт. Было выполнено несколько высотных полетов, полеты на проверку предельной дальности по замкнутому маршруту п на бомбометание (3457,120).</w:t>
      </w:r>
    </w:p>
    <w:p w14:paraId="6F90F132" w14:textId="77777777" w:rsidR="006103B3" w:rsidRPr="00925F26" w:rsidRDefault="006103B3" w:rsidP="00925F26">
      <w:pPr>
        <w:autoSpaceDE w:val="0"/>
        <w:autoSpaceDN w:val="0"/>
        <w:adjustRightInd w:val="0"/>
        <w:jc w:val="both"/>
        <w:rPr>
          <w:color w:val="000000" w:themeColor="text1"/>
          <w:sz w:val="16"/>
          <w:szCs w:val="16"/>
        </w:rPr>
      </w:pPr>
    </w:p>
    <w:p w14:paraId="44D0E15D" w14:textId="77777777" w:rsidR="001A271A" w:rsidRPr="001A0BAA" w:rsidRDefault="001A271A" w:rsidP="001A271A">
      <w:pPr>
        <w:jc w:val="both"/>
        <w:rPr>
          <w:color w:val="0070C0"/>
          <w:sz w:val="16"/>
          <w:szCs w:val="16"/>
        </w:rPr>
      </w:pPr>
      <w:r w:rsidRPr="001A0BAA">
        <w:rPr>
          <w:color w:val="0070C0"/>
          <w:sz w:val="16"/>
          <w:szCs w:val="16"/>
        </w:rPr>
        <w:t>21–22 июня 1945 г. на аэродроме Угловая силами ИТС ТОФ произведена подготовка первого самолёта В-29 к перегонке в Москву. Группой инженеров были разработаны инструкции по подготовке самолёта, проверке оборудования и технике пилотирования. Перегонку первой машины, В-29 (42–6365), с оборудованием, поврежденным американским экипажем, выполнял экипаж под командованием опытного пилота – подполковника С. Б. Рейделя, второй пилот Моржаков, бортинженер М. М. Круглов. По другим данным, обязанности бортинженера выполнял инженер-майор Н. А. Кравцов, за что Рейдель и Кравцов были награждены орденами Ленина (25184).</w:t>
      </w:r>
    </w:p>
    <w:p w14:paraId="1C6295E9" w14:textId="77777777" w:rsidR="001A271A" w:rsidRPr="001A0BAA" w:rsidRDefault="001A271A" w:rsidP="001A271A">
      <w:pPr>
        <w:jc w:val="both"/>
        <w:rPr>
          <w:color w:val="0070C0"/>
          <w:sz w:val="16"/>
          <w:szCs w:val="16"/>
        </w:rPr>
      </w:pPr>
    </w:p>
    <w:p w14:paraId="2681F9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года Новиков писал письмо Шахурину.</w:t>
      </w:r>
    </w:p>
    <w:p w14:paraId="633D86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последнего времени из частей ВВС поступают жалобы о загрязнении воздуха в кабинах самолета Ла-7 и Ла-5 отработанными газами, а также о недопустимо высоких температурах воздуха в этих кабинах, в результате чего имели место обморочные состояния летного состава в полете, что в отдельных случаях заканчивалось катастрофами.</w:t>
      </w:r>
    </w:p>
    <w:p w14:paraId="4A5BD2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Загрязнение воздуха и недопустимо высокая температура в кабинах летчика на самолетах Ла-5 и Ла-7 отмечаются и отчетами ГК НИИ ВВС с момента испытания опытных образцов этих самолетов до настоящего времени.</w:t>
      </w:r>
    </w:p>
    <w:p w14:paraId="3F9CDC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Специальные испытания серийного самолета Ла-7 N 38102158 с улучшенной герметизацией и вентиляцией кабины, проведенные в марте с.г. в ГК НИИ ВВС показали, что в кабину самолета проникают выхлопные газы, в результате чего создается концентрация окиси углерода в зоне дыхания летчика до 0,128 мгр/литр, что превышает гигиенически допустимую норму в 4 раза. Наличие столь высоких концентраций окиси углерода в кабине, а также дополнительное загрязнение воздуха продуктами разложения масла - альдегидами, создают явную угрозу отравления летчика в продолжительных полетах, особенно когда летчик не пользуется кислородом.</w:t>
      </w:r>
    </w:p>
    <w:p w14:paraId="7FD172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Контрольными испытаниями серийного самолета N 45212225 в мае с.г. также установлено, что на малых и средних высотах в кабине жарко, в результате чего имеет место повышенная утомляемость летчика и снижение его работоспособности. В первых полетах на этом самолете в кабину попадал дым от тления ткани, наложенной поверх асбеста на трубку нейтрального газа, что приводило к прекращению полета из-за невозможности дыхания и слезоточения.</w:t>
      </w:r>
    </w:p>
    <w:p w14:paraId="212695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Новая вентиляция кабины с заборником воздуха установленным в нижней части фюзеляжа, перед маслорадиатором и улучшения герметизации кабины от замоторного пространства выполненные на самолете N 45213276 несколько снизили температуру воздуха в кабине по сравнению с температурами в кабине, имевшими место на </w:t>
      </w:r>
      <w:r w:rsidRPr="00925F26">
        <w:rPr>
          <w:color w:val="000000" w:themeColor="text1"/>
          <w:sz w:val="16"/>
          <w:szCs w:val="16"/>
        </w:rPr>
        <w:lastRenderedPageBreak/>
        <w:t>самолетах Ла-7 со старой трехрожковой вентиляцией, однако температура воздуха в кабине остается все еще высокой и достигает на уровне груди летчика 40 градусов при температуре наружного воздуха +14 градусов, температурах головок цилиндров 210 градусов и масла 70 градусов С.</w:t>
      </w:r>
    </w:p>
    <w:p w14:paraId="6037A1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распоряжений гл. конструктору Лавочкину о принятии чрезвычайных и срочных мер по доводке вентиляции и герметизации кабин самолетов Ла-7 и предъявлении модернизированного образца на повторные испытания в ГК НИИ ВВС, а также директорам заводов о тщательном выполнении на самолетах Ла-7 герметизации и вентиляции кабин в полном соответствии с чертежами гл. конструктора (1879).</w:t>
      </w:r>
    </w:p>
    <w:p w14:paraId="5143ECE7" w14:textId="77777777" w:rsidR="006103B3" w:rsidRPr="00925F26" w:rsidRDefault="006103B3" w:rsidP="00925F26">
      <w:pPr>
        <w:autoSpaceDE w:val="0"/>
        <w:autoSpaceDN w:val="0"/>
        <w:adjustRightInd w:val="0"/>
        <w:jc w:val="both"/>
        <w:rPr>
          <w:color w:val="000000" w:themeColor="text1"/>
          <w:sz w:val="16"/>
          <w:szCs w:val="16"/>
        </w:rPr>
      </w:pPr>
    </w:p>
    <w:p w14:paraId="35E44AB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года, народный комиссар авиационной промышленности СССР А.И. Шахурин издал приказ № 261 об организации на заводе № 45, созданном в 1942 г. на территории эвакуированного завода № 24, опытно-конструкторского бюро по созданию авиадизелей. Новое ОКБ начало работать под руководством главного конструктора завода Владимира Михайловича Яковлева. При этом предусматривалась организация на заводе опытно-конструкторского отдела.</w:t>
      </w:r>
    </w:p>
    <w:p w14:paraId="121203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1947 году доводку авиадизеля передали заводу № 500, а ОКБ-45 получило более важную на тот период времени задачу - обеспечить освоение производства на заводе № 45 английского турбореактивного двигателя "Нин" I.</w:t>
      </w:r>
    </w:p>
    <w:p w14:paraId="581FFCB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Следует отметить, что ранее на заводе № 45 уже изготавливались небольшие партии опытных отечественных ТРД. Это были двигатели ТР-1 и ТР-1А конструкции А.М. Люльки и АМТКРД-01 конструкции А.А. Микулина. Однако в дальнейшем изготовление этих двигателей пришлось свернуть из-за большого количества дефектов, выявленных при их испытаниях.</w:t>
      </w:r>
    </w:p>
    <w:p w14:paraId="5E2FAC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1947 году главным конструктором ОКБ-45 стал Владимир Яковлевич Климов. Ему предстояло в самые короткие сроки изучить конструкцию "Нин" I., изготовить комплект конструкторской и технологической документации и запустить в серийное производство двигатель, аналогичный английскому ТРД. К тому времени партия таких моторов была закуплена в Великобритании и доставлена в СССР. Через несколько месяцев конструкторы ОКБ-45 разработали полный комплект чертежей двигателя. Одновременно сотрудники ОКБ проводили по новому двигателю достаточно сложные расчеты, в том числе газодинамические. В ОКБ-45 в то время работали всего 12 человек. Им помогали работники отдела главного технолога завода № 45. Затем в ОКБ-45 были переведены конструкторы из других московских заводов, и общая численность ИТР возросла до 129 человек. Ответственным за перевод всей полученной из Англии технической документации и анализ регулярно получаемых зарубежных технических журналов был А.М. Яковлев, неплохо знавший английский язык. Всеми работами непосредственно руководил В.Я. Климов и его заместитель Н.Г. Мецхваришвили. Через полгода на заводе № 45 по выпущенным чертежам были изготовлены первые реактивные двигатели РД-45 - так стали именовать "Нины" I отечественного производства.</w:t>
      </w:r>
    </w:p>
    <w:p w14:paraId="65F70C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процессе испытаний двигателя выявилось разрушение лопаток ротора турбины - в условиях высокой температуры металл не выдерживал нагрузок, а сроки "поджимали". Кроме того, освоение нового двигателя в серийном производстве лично контролировал И.В. Сталин. Поэтому для быстрого и надежного устранения выявившегося дефекта в ОКБ-45 применили метод одновременного испытания нескольких лопаток, изготовленных из различных сплавов и установленных на один диск турбины.</w:t>
      </w:r>
    </w:p>
    <w:p w14:paraId="51BA50F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Впоследствии серийное изготовление двигателя было организовано на шести заводах отрасли. При этом ведущим заводом по этим двигателям оставался завод № 45, на территории которого к тому времени уже успешно функционировало ОКБ-45. Бюро быстро росло и развивалось по мере решения непростых задач, которые возникали в этот период становления в СССР реактивной авиации.</w:t>
      </w:r>
    </w:p>
    <w:p w14:paraId="73C165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Многое тогда в нашей стране делалось впервые. В ОКБ-45 впервые была создана форсажная камера и створчатое регулируемое сопло. Впоследствии такая конструктивная схема была применена почти на всех двигателях сверхзвуковых боевых самолетов. На смену РД-45 в серийное производство пришел более мощный двигатель РД-45Ф, с которым на самолете МиГ-17 впервые была достигнута сверхзвуковая скорость полета.</w:t>
      </w:r>
    </w:p>
    <w:p w14:paraId="5D5DFC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1947-1949 годах под руководством В.Я. Климова был разработан усовершенствованный двигатель ВК-1. Большим достоинством двигателя ВК-1 по сравнению с РД-45 явилось наличие системы автоматического запуска двигателя. При разработке ВК-1 значительный вклад в усовершенствование топливной системы двигателя внес конструктор ОКБ-45 С.Л. Гаазе.</w:t>
      </w:r>
    </w:p>
    <w:p w14:paraId="79B7AF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создание и освоения в серийном производстве двигателя ВК-1 в 1952 году большая группа работников ОКБ-45 и завода № 45 была удостоена Сталинской премии. Реактивные двигатели РД-45 и ВК-1 устанавливались на самолеты ВВС и ПВО МиГ-15, Ла-15, Ил-28, Ту-14 и др.</w:t>
      </w:r>
    </w:p>
    <w:p w14:paraId="16DCF3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Затем был разработан еще более мощный ТРД ВК-1Ф. При внедрении и освоении этого двигателя в серийном производстве пришлось отлаживать процессы горения и осуществлять доводку проточной части реактивного сопла. Этой работой руководил конструктор ОКБ-45 И.Ю. Черкис. На основе оригинальной конструкции регулируемого реактивного сопла ВК-1Ф впоследствии создавались аналогичные узлы для других ТРД.</w:t>
      </w:r>
    </w:p>
    <w:p w14:paraId="357AE3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началу пятидесятых годов прошлого века ОКБ-45 под руководством В.Я. Климова и его заместителя Н.Г. Мецхваришвили превратилось в полноценный творческий коллектив. В ОКБ было создано летно-испытательное подразделение.</w:t>
      </w:r>
    </w:p>
    <w:p w14:paraId="466BA7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1966 году ОКБ-45 стало именоваться МКБ "Гранит". На протяжении всего периода существования конструкторского бюро при разработке и доводке новых двигателей в процессе их серийного изготовления и эксплуатации оно всегда обеспечивало конструкторское сопровождение всего жизненного цикла каждого типа двигателей.</w:t>
      </w:r>
    </w:p>
    <w:p w14:paraId="2B0A552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Целый ряд двигателей был разработан в МКБ "Гранит" и после проведения государственных испытаний они были внедрены в серийное производство.</w:t>
      </w:r>
    </w:p>
    <w:p w14:paraId="4671A3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Конструкторы МКБ "Гранит" всегда следили за изготовлением "своих" двигателей на серийных заводах отрасли, ежедневно откликаясь на многочисленные вопросы. По каждому выявленному дефекту немедленно открывалась так называемая "тема". По мере организации ремонта двигателей, выработавших гарантийный ресурс, МКБ "Гранит" подключалось к решению специфических вопросов, связанных с их ремонтом на серийных заводах и ремонтных базах заказчика.</w:t>
      </w:r>
    </w:p>
    <w:p w14:paraId="109CC8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начала "перестройки" в нашей стране при проведении всех этих работ МКБ "Гранит" было способно самостоятельно обеспечить полный цикл изготовления необходимой материальной части (за исключением крупных поковок, штамповок и литья), провести сложнейшие лабораторные исследования, включая испытания агрегатов, автономные испытания камер сгорания и прочностные испытания лопаток турбины, а также выполнить полный объем стендовых испытаний двигателя с проведением необходимого термометрирования и тензометрирования, в том числе и роторных деталей. Для этого на испытательной станции МКБ были построены уникальные стенды, позволявшие проводить испытание двигателей с наддувом и подогревом воздуха на входе до 300 °С.</w:t>
      </w:r>
    </w:p>
    <w:p w14:paraId="69D0DD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 указанные работы в разные годы обеспечивались такими высокими профессионалами своего дела, как Н.И. Болтунов, Н.Г. Румянцев, Н.А. Крупенин, В.И. Миронов, В.И. Холоднов, С.Г. Тайбер, Ю.А. Дроздов, Н.Ф. Федотов, Г.Ф. Кузнецов, К.П. Курганов, А.П. Дроздова, А.П. Куликов, В.А. Климчуков, Б.Л. Петровский, А.П. Дзюбенко, Н.К. Ручкин, В.К. Морозов, И.Ф. Минин и многими другими талантливыми производственниками, технологами, экспериментаторами и испытателями.</w:t>
      </w:r>
    </w:p>
    <w:p w14:paraId="0CC5E7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Каждый этап любой работы заранее планировался, а ее результаты тщательно анализировались.</w:t>
      </w:r>
    </w:p>
    <w:p w14:paraId="1F4D0D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Отдельно надо отметить, что, начиная с момента своего создания и до настоящего времени, деятельность МКБ "Гранит" - ОКБ-45 всегда была тесно связана с ведущим предприятием отрасли - заводом "Салют", ранее именовавшимся заводом № 45. В большинстве случаев завод "Салют" являлся головным предприятием, ответственным за серийное изготовление в отрасли авиационных двигателей, которые курировало МКБ "Гранит".</w:t>
      </w:r>
    </w:p>
    <w:p w14:paraId="6A1A482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период до 1954 года под руководством Николая Георгиевича Мецхваришвили, ставшего в 1956 году главным конструктором, в ОКБ-45 проводилась разработка двигателей семейства "ВК" с центробежным компрессором. После промежуточных моделей ВК-3 и ВК-5 началась доводка двигателя ВК-7, в котором по предложению ведущего конструктора К.Р. Хачатурова и газодинамика Л.М. Титова впервые в стране лопасти крыльчатки компрессора были выполнены по особому профилю, криволинейными. В 1955 году ОКБ-45 начинает заниматься необычным по тому времени двигателем ВК-11 с шестиступенчатым осевым компрессором, у которого первая ступень была сверхзвуковой и изготавливалась из титана. У этого двигателя при меньших по сравнению с ВК-7 габаритах и увеличенным до 80 кг/с расходом воздуха удалось получить тягу 5000 кгс. Однако в серийное производства этот двигатель внедрен не был, так как в то время под руководством главного конструктора А.М. Люлька уже был создан и прошел длительные испытания более совершенный двигатель АЛ-7.</w:t>
      </w:r>
    </w:p>
    <w:p w14:paraId="0D4FE5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1956 года судьба ОКБ-45 становится на многие годы связанной с двигателями, созданными в ОКБ-165 под руководством главного, а затем генерального конструктора Архипа Михайловича Люльки.</w:t>
      </w:r>
    </w:p>
    <w:p w14:paraId="4D27229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этом же году ОКБ-45 приступило к освоению и доводке двигателя АЛ-7, разработанного в ОКБ-165. В 1957 году главным конструктором ОКБ-45 стал Эдуард Эдуардович Лусс, один из ближайших помощников А.М. Люльки. Вместе с ним в конструкторское бюро из ОКБ-165 пришли несколько опытных инженеров, в том числе В.Г. Афанасьев, возглавивший впоследствии летно-испытательную службу ОКБ, Б.А. Оводенко, талантливый инженер, ставший начальником группы газодинамических расчетов, ведущий конструктор В.Н. Чобаногло и др. При этом ряд ведущих специалистов во главе с Н.Г. Мецхваришвили был переведен в ОКБ-500 для обеспечения работ над другими отечественными ТРД.</w:t>
      </w:r>
    </w:p>
    <w:p w14:paraId="71664A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Освоение АЛ-7 в серийном производстве проходило с большими трудностями, в том числе из-за того, что переданные из ОКБ-165 чертежи не были отработаны применительно к серийному производству, а конструктивная доводка двигателя по результатам продолжавшихся стендовых и летных испытаний проводилась параллельно с серийным освоением АЛ-7.</w:t>
      </w:r>
    </w:p>
    <w:p w14:paraId="7C31D1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процессе освоения серийного изготовления камер сгорания очень трудно давалось обеспечение требуемой равномерности температурного поля газа. Проведение испытаний камер обеспечивал начальник лаборатории камер сгорания А.И. Виноградов. Анализ полученных результатов, проведенных конструкторами под руководством начальника группы М.П. Хаюрова, позволил устранить недостатки.</w:t>
      </w:r>
    </w:p>
    <w:p w14:paraId="1E4753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Позднее в серийном производстве были освоены две усовершенствованные модификации двигателя: АЛ-7Ф-1 для истребителей-бомбардировщиков Су-7Б и истребителей-перехватчиков Су-9 и более мощная АЛ-7Ф-2 для истребителей-перехватчиков Су-11 и дальних перехватчиков Ту-128.</w:t>
      </w:r>
    </w:p>
    <w:p w14:paraId="314B6BB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Более 10 лет ОКБ-45 совместно с ОКБ-165 обеспечивало ресурсную доводку и конструкторское сопровождение серийного изготовления этих двигателей на заводе № 45 и Рыбинском моторном заводе. При этом в Рыбинске было организовано постоянное представительство ОКБ-45, где под руководством одного из заместителей главного конструктора П.И. Орманова посменно работали конструкторы всех групп ОКБ.</w:t>
      </w:r>
    </w:p>
    <w:p w14:paraId="356FA3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Одновременно с освоением двигателей АЛ-7, в начале шестидесятых годов, ОКБ-45, которое в то время именовалось п/я 282, под руководством Э.Э. Лусса было поручено освоение и внедрение в серийное производство нового мощного турбореактивного двигателя Р15Б-300, разработанного в ОКБ-300 под руководством генерального конструктора Сергея Константиновича Туманского. Двигатель Р15Б-300 предназначался для установки на самолет МиГ-25.</w:t>
      </w:r>
    </w:p>
    <w:p w14:paraId="16EA8C1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заводе № 45 серийное изготовление двигателя Р15Б-300 начиналось при его гарантированном ресурсе всего 50 часов.</w:t>
      </w:r>
    </w:p>
    <w:p w14:paraId="3F0C37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процессе конструктивной доработки двигателя его узлы подверглись значительным изменениям. Для обеспечения надежного запуска двигатель Р15Б-300 оснастили турбостартером С-3 мощностью 150 л.с., доводкой которого в ОКБ-45 занималась специальная группа под руководством М.А. Честнова.</w:t>
      </w:r>
    </w:p>
    <w:p w14:paraId="52B257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решении этих и многих других вопросов, с которыми приходилось сталкиваться в процессе эксплуатации двигателя, самое активное участие принимали специалисты МКБ "Гранит": Ю.П. Маточкин, Л.Д. Шульман, З.И. Серебряный, С.А.Александров, В.А. Овчиников, Ю.Ю.Черкис, В.С. Афанасьев, П.П. Данчеев, Е.Е. Егармин, И.Н. Мещерский, С.Л. Гаазе, А.А. Ткаченко, Л.Я. Стависский, Н.Н. Ковачич, В.А. Макаров, В.М. Андряков, М.П. Ханеров и многие другие.</w:t>
      </w:r>
    </w:p>
    <w:p w14:paraId="1ED82F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Применительно к двигателю Р15Б-300 впервые в СССР была отработана и внедрена в эксплуатацию прогрессивная методика установления ресурса по техническому состоянию, которая с тех пор является обязательной для всех отечественных авиационных двигателей. За эту работу группа специалистов МКБ "Гранит", включавшая Ф.В. Шухова, Н.Я. Булычева, В.И. Могилевкина, Ю.А. Бочагова, была удостоена премии Совета министров СССР за 1982 год.</w:t>
      </w:r>
    </w:p>
    <w:p w14:paraId="66A8D8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самолете МиГ-25, оснащенном двигателем Р15Б-300, летчики ОКБ-155 установили более 20 мировых рекордов. На заводе № 45 этот двигатель серийно выпускался более 20 лет (11407).</w:t>
      </w:r>
    </w:p>
    <w:p w14:paraId="768D8232" w14:textId="77777777" w:rsidR="006103B3" w:rsidRPr="00925F26" w:rsidRDefault="006103B3" w:rsidP="00925F26">
      <w:pPr>
        <w:autoSpaceDE w:val="0"/>
        <w:autoSpaceDN w:val="0"/>
        <w:adjustRightInd w:val="0"/>
        <w:jc w:val="both"/>
        <w:rPr>
          <w:color w:val="000000" w:themeColor="text1"/>
          <w:sz w:val="16"/>
          <w:szCs w:val="16"/>
        </w:rPr>
      </w:pPr>
    </w:p>
    <w:p w14:paraId="2DC8A31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года командующий ВВС гл. маршал авиации писал письмо N 625143 Шахурину.</w:t>
      </w:r>
    </w:p>
    <w:p w14:paraId="052564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Фотокинопулеметы за период 1944-45 г.г. в авиачастях на фронте нашли широкое применение не только при обучении, но и при выполнении боевых заданий.</w:t>
      </w:r>
    </w:p>
    <w:p w14:paraId="06921B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Полезность использования фотокинопулеметов осознана всеми передовыми летчиками и авиачастями. Фотокинопулеметы в боевых частях устанавливаются на все типы самолетов Лавочкина, С.В.И. и Яковлева в зависимости от имеющихся в наличии в частях фотокинопулеметов.</w:t>
      </w:r>
    </w:p>
    <w:p w14:paraId="2E39B5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серийном производстве освоены и выпускаются самолеты с фотокинопулеметами на заводах N 21, 381, 1, 18 и 30.</w:t>
      </w:r>
    </w:p>
    <w:p w14:paraId="76FE08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самолетах Яковлева в серийном производстве установка фотокинопулеметов не производится, что считаю совершенно неправильным, т.к. отсутствие фотокинопулеметов не позволяет контролировать воздушный бой у летчика, проверять правдивость его доклада и не дает возможности летчику вскрывать его ошибки при стрельбе.</w:t>
      </w:r>
    </w:p>
    <w:p w14:paraId="0AA649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Прошу обсудить данный вопрос и внедрить в серийное производство установку фотокинопулеметов и на самолеты Яковлева.</w:t>
      </w:r>
    </w:p>
    <w:p w14:paraId="2870808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 принятом решении прошу меня уведомить (2591,70).</w:t>
      </w:r>
    </w:p>
    <w:p w14:paraId="7F0018FA" w14:textId="77777777" w:rsidR="006103B3" w:rsidRPr="00925F26" w:rsidRDefault="006103B3" w:rsidP="00925F26">
      <w:pPr>
        <w:autoSpaceDE w:val="0"/>
        <w:autoSpaceDN w:val="0"/>
        <w:adjustRightInd w:val="0"/>
        <w:jc w:val="both"/>
        <w:rPr>
          <w:color w:val="000000" w:themeColor="text1"/>
          <w:sz w:val="16"/>
          <w:szCs w:val="16"/>
        </w:rPr>
      </w:pPr>
    </w:p>
    <w:p w14:paraId="41CB2FC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AF489A3" w14:textId="77777777" w:rsidR="006103B3" w:rsidRPr="00925F26" w:rsidRDefault="006103B3" w:rsidP="00925F26">
      <w:pPr>
        <w:autoSpaceDE w:val="0"/>
        <w:autoSpaceDN w:val="0"/>
        <w:adjustRightInd w:val="0"/>
        <w:jc w:val="both"/>
        <w:rPr>
          <w:iCs/>
          <w:color w:val="000000" w:themeColor="text1"/>
          <w:sz w:val="16"/>
          <w:szCs w:val="16"/>
        </w:rPr>
      </w:pPr>
    </w:p>
    <w:p w14:paraId="0250E9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 по распоряжению СНК СССР № 9646/р правопреемником завода № 562 (ГС Завод № 562 НКБ, ГС завод НИИ № 6, п/я 368 /г. Москва 9 п/я 368 «Иншесть» (1943 г.)/) стал НИИ-6, куда были переведены основные кадры.</w:t>
      </w:r>
    </w:p>
    <w:p w14:paraId="751562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(12.1942 г.)- 1707 чел., (конец 1943 г.)- 1574 чел.</w:t>
      </w:r>
    </w:p>
    <w:p w14:paraId="5075D6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Площадь: производственная- 5760 м</w:t>
      </w:r>
      <w:r w:rsidRPr="00925F26">
        <w:rPr>
          <w:color w:val="000000" w:themeColor="text1"/>
          <w:sz w:val="16"/>
          <w:szCs w:val="16"/>
          <w:vertAlign w:val="superscript"/>
        </w:rPr>
        <w:t>2</w:t>
      </w:r>
      <w:r w:rsidRPr="00925F26">
        <w:rPr>
          <w:color w:val="000000" w:themeColor="text1"/>
          <w:sz w:val="16"/>
          <w:szCs w:val="16"/>
        </w:rPr>
        <w:t>; вспомогательная- 65 м</w:t>
      </w:r>
      <w:r w:rsidRPr="00925F26">
        <w:rPr>
          <w:color w:val="000000" w:themeColor="text1"/>
          <w:sz w:val="16"/>
          <w:szCs w:val="16"/>
          <w:vertAlign w:val="superscript"/>
        </w:rPr>
        <w:t>2</w:t>
      </w:r>
      <w:r w:rsidRPr="00925F26">
        <w:rPr>
          <w:color w:val="000000" w:themeColor="text1"/>
          <w:sz w:val="16"/>
          <w:szCs w:val="16"/>
        </w:rPr>
        <w:t>.</w:t>
      </w:r>
    </w:p>
    <w:p w14:paraId="53B2711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(26.11.1941 -28.09.1942 г.)- М.З. Тененбаум, (09.1942-44 г.-)- А.П. Закощиков (одновременно был директором НИИ-6).</w:t>
      </w:r>
    </w:p>
    <w:p w14:paraId="7FA89C7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(1941 г.)- А.Н. Рабинович, (-1942-44 г.-&gt; С.М. Голубков.</w:t>
      </w:r>
    </w:p>
    <w:p w14:paraId="0286CA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конструктор (</w:t>
      </w:r>
      <w:r w:rsidRPr="00925F26">
        <w:rPr>
          <w:color w:val="000000" w:themeColor="text1"/>
          <w:sz w:val="16"/>
          <w:szCs w:val="16"/>
          <w:lang w:val="en-US"/>
        </w:rPr>
        <w:t>BOB</w:t>
      </w:r>
      <w:r w:rsidRPr="00925F26">
        <w:rPr>
          <w:color w:val="000000" w:themeColor="text1"/>
          <w:sz w:val="16"/>
          <w:szCs w:val="16"/>
        </w:rPr>
        <w:t xml:space="preserve">)- </w:t>
      </w:r>
      <w:r w:rsidRPr="00925F26">
        <w:rPr>
          <w:color w:val="000000" w:themeColor="text1"/>
          <w:sz w:val="16"/>
          <w:szCs w:val="16"/>
          <w:lang w:val="en-US"/>
        </w:rPr>
        <w:t>JI</w:t>
      </w:r>
      <w:r w:rsidRPr="00925F26">
        <w:rPr>
          <w:color w:val="000000" w:themeColor="text1"/>
          <w:sz w:val="16"/>
          <w:szCs w:val="16"/>
        </w:rPr>
        <w:t>.</w:t>
      </w:r>
      <w:r w:rsidRPr="00925F26">
        <w:rPr>
          <w:color w:val="000000" w:themeColor="text1"/>
          <w:sz w:val="16"/>
          <w:szCs w:val="16"/>
          <w:lang w:val="en-US"/>
        </w:rPr>
        <w:t>A</w:t>
      </w:r>
      <w:r w:rsidRPr="00925F26">
        <w:rPr>
          <w:color w:val="000000" w:themeColor="text1"/>
          <w:sz w:val="16"/>
          <w:szCs w:val="16"/>
        </w:rPr>
        <w:t>. Смирнов.</w:t>
      </w:r>
    </w:p>
    <w:p w14:paraId="08178C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цехов: № 1 (1944 г.)- А. Сидоров; № 6- ДА. Смирнов, (1944 г.)- И.Н. Кузнецов; № 9 (1944 г.)- П.П. Вахрушев; баллиститного пороха (</w:t>
      </w:r>
      <w:r w:rsidRPr="00925F26">
        <w:rPr>
          <w:color w:val="000000" w:themeColor="text1"/>
          <w:sz w:val="16"/>
          <w:szCs w:val="16"/>
          <w:lang w:val="en-US"/>
        </w:rPr>
        <w:t>BOB</w:t>
      </w:r>
      <w:r w:rsidRPr="00925F26">
        <w:rPr>
          <w:color w:val="000000" w:themeColor="text1"/>
          <w:sz w:val="16"/>
          <w:szCs w:val="16"/>
        </w:rPr>
        <w:t xml:space="preserve">)- </w:t>
      </w:r>
      <w:r w:rsidRPr="00925F26">
        <w:rPr>
          <w:color w:val="000000" w:themeColor="text1"/>
          <w:sz w:val="16"/>
          <w:szCs w:val="16"/>
          <w:lang w:val="en-US"/>
        </w:rPr>
        <w:t>B</w:t>
      </w:r>
      <w:r w:rsidRPr="00925F26">
        <w:rPr>
          <w:color w:val="000000" w:themeColor="text1"/>
          <w:sz w:val="16"/>
          <w:szCs w:val="16"/>
        </w:rPr>
        <w:t>.</w:t>
      </w:r>
      <w:r w:rsidRPr="00925F26">
        <w:rPr>
          <w:color w:val="000000" w:themeColor="text1"/>
          <w:sz w:val="16"/>
          <w:szCs w:val="16"/>
          <w:lang w:val="en-US"/>
        </w:rPr>
        <w:t>C</w:t>
      </w:r>
      <w:r w:rsidRPr="00925F26">
        <w:rPr>
          <w:color w:val="000000" w:themeColor="text1"/>
          <w:sz w:val="16"/>
          <w:szCs w:val="16"/>
        </w:rPr>
        <w:t>. Дерновой.</w:t>
      </w:r>
    </w:p>
    <w:p w14:paraId="0A7ABAA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Зам. начальника цеха: баллиститного пороха (ВОВ)- Н.П. Сазонов.</w:t>
      </w:r>
    </w:p>
    <w:p w14:paraId="21588CE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 КБ (ВОВ)- А.Н. Сладкое.</w:t>
      </w:r>
    </w:p>
    <w:p w14:paraId="5D22537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Начальники отделов: 2-го (04.1943 г.)- Гинзбур г.</w:t>
      </w:r>
    </w:p>
    <w:p w14:paraId="08E99FA1"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заряды: к </w:t>
      </w:r>
      <w:r w:rsidRPr="00925F26">
        <w:rPr>
          <w:color w:val="000000" w:themeColor="text1"/>
          <w:sz w:val="16"/>
          <w:szCs w:val="16"/>
          <w:lang w:val="en-US"/>
        </w:rPr>
        <w:t>PC</w:t>
      </w:r>
      <w:r w:rsidRPr="00925F26">
        <w:rPr>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925F26">
        <w:rPr>
          <w:iCs/>
          <w:color w:val="000000" w:themeColor="text1"/>
          <w:sz w:val="16"/>
          <w:szCs w:val="16"/>
        </w:rPr>
        <w:t xml:space="preserve"> порох:</w:t>
      </w:r>
      <w:r w:rsidRPr="00925F26">
        <w:rPr>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059DA654" w14:textId="77777777" w:rsidR="006103B3" w:rsidRPr="00925F26" w:rsidRDefault="006103B3" w:rsidP="00925F26">
      <w:pPr>
        <w:autoSpaceDE w:val="0"/>
        <w:autoSpaceDN w:val="0"/>
        <w:adjustRightInd w:val="0"/>
        <w:jc w:val="both"/>
        <w:rPr>
          <w:color w:val="000000" w:themeColor="text1"/>
          <w:sz w:val="16"/>
          <w:szCs w:val="16"/>
        </w:rPr>
      </w:pPr>
    </w:p>
    <w:p w14:paraId="0C0298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9155 О выплате денежного содержания военнослужащим и суточных денег вольнонаемному составу Военно-Морского Флота на территории Дании. РГАНИР, Фонд ГКО, д. 429, лл. 58-59 (11012).</w:t>
      </w:r>
    </w:p>
    <w:p w14:paraId="5AB03B64" w14:textId="77777777" w:rsidR="006103B3" w:rsidRPr="00925F26" w:rsidRDefault="006103B3" w:rsidP="00925F26">
      <w:pPr>
        <w:autoSpaceDE w:val="0"/>
        <w:autoSpaceDN w:val="0"/>
        <w:adjustRightInd w:val="0"/>
        <w:jc w:val="both"/>
        <w:rPr>
          <w:color w:val="000000" w:themeColor="text1"/>
          <w:sz w:val="16"/>
          <w:szCs w:val="16"/>
        </w:rPr>
      </w:pPr>
    </w:p>
    <w:p w14:paraId="35E35F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Распоряжение ГКО № 9156. Об увеличении в плане производства НКРП продукции для народного хозяйства и населения. РГАНИР, Фонд ГКО, д. 429, лл. 60 (11012).</w:t>
      </w:r>
    </w:p>
    <w:p w14:paraId="6EE665FE" w14:textId="77777777" w:rsidR="006103B3" w:rsidRPr="00925F26" w:rsidRDefault="006103B3" w:rsidP="00925F26">
      <w:pPr>
        <w:autoSpaceDE w:val="0"/>
        <w:autoSpaceDN w:val="0"/>
        <w:adjustRightInd w:val="0"/>
        <w:jc w:val="both"/>
        <w:rPr>
          <w:color w:val="000000" w:themeColor="text1"/>
          <w:sz w:val="16"/>
          <w:szCs w:val="16"/>
        </w:rPr>
      </w:pPr>
    </w:p>
    <w:p w14:paraId="17E3AF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Распоряжение ГКО № 9157. О дополнительном выделении мазута предприятиям НКРП. РГАНИР, Фонд ГКО, д. 429, лл. 61 (11012).</w:t>
      </w:r>
    </w:p>
    <w:p w14:paraId="14D0561C" w14:textId="77777777" w:rsidR="006103B3" w:rsidRPr="00925F26" w:rsidRDefault="006103B3" w:rsidP="00925F26">
      <w:pPr>
        <w:autoSpaceDE w:val="0"/>
        <w:autoSpaceDN w:val="0"/>
        <w:adjustRightInd w:val="0"/>
        <w:jc w:val="both"/>
        <w:rPr>
          <w:color w:val="000000" w:themeColor="text1"/>
          <w:sz w:val="16"/>
          <w:szCs w:val="16"/>
        </w:rPr>
      </w:pPr>
    </w:p>
    <w:p w14:paraId="178421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Распоряжение ГКО № 9158. Об обеспечении завода № 112 НКТП в Горьком пиломатериалами для жилищного строительства, тканями для спецодежды и белья, обувью и мазутом. РГАНИР, Фонд ГКО, д. 429, лл. 62-63 (11012).</w:t>
      </w:r>
    </w:p>
    <w:p w14:paraId="43108C36" w14:textId="77777777" w:rsidR="006103B3" w:rsidRPr="00925F26" w:rsidRDefault="006103B3" w:rsidP="00925F26">
      <w:pPr>
        <w:autoSpaceDE w:val="0"/>
        <w:autoSpaceDN w:val="0"/>
        <w:adjustRightInd w:val="0"/>
        <w:jc w:val="both"/>
        <w:rPr>
          <w:color w:val="000000" w:themeColor="text1"/>
          <w:sz w:val="16"/>
          <w:szCs w:val="16"/>
        </w:rPr>
      </w:pPr>
    </w:p>
    <w:p w14:paraId="6CDFC0F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Распоряжение ГКО № 9159 [О поставке тротила НКРФ в Ш кв. 1945 г.] (7351, 64).</w:t>
      </w:r>
    </w:p>
    <w:p w14:paraId="5EF9C8C6"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F982B1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Распоряжение ГКО № 9160. О мерах по восстановлению завода № 59 НКБ (Петровеньки Ворошиловградской обл.). РГАНИР, Фонд ГКО, д. 429, лл. 65 (11012).</w:t>
      </w:r>
    </w:p>
    <w:p w14:paraId="7BB934E4" w14:textId="77777777" w:rsidR="006103B3" w:rsidRPr="00925F26" w:rsidRDefault="006103B3" w:rsidP="00925F26">
      <w:pPr>
        <w:autoSpaceDE w:val="0"/>
        <w:autoSpaceDN w:val="0"/>
        <w:adjustRightInd w:val="0"/>
        <w:jc w:val="both"/>
        <w:rPr>
          <w:color w:val="000000" w:themeColor="text1"/>
          <w:sz w:val="16"/>
          <w:szCs w:val="16"/>
        </w:rPr>
      </w:pPr>
    </w:p>
    <w:p w14:paraId="0B2F09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Распоряжение ГКО № 9161. О поставках электромоторов Печорскому угольному бассейну в Ш кв. 1945 г. РГАНИР, Фонд ГКО, д. 429, лл. 66, 67 (11012).</w:t>
      </w:r>
    </w:p>
    <w:p w14:paraId="268BC13A" w14:textId="77777777" w:rsidR="006103B3" w:rsidRPr="00925F26" w:rsidRDefault="006103B3" w:rsidP="00925F26">
      <w:pPr>
        <w:autoSpaceDE w:val="0"/>
        <w:autoSpaceDN w:val="0"/>
        <w:adjustRightInd w:val="0"/>
        <w:jc w:val="both"/>
        <w:rPr>
          <w:color w:val="000000" w:themeColor="text1"/>
          <w:sz w:val="16"/>
          <w:szCs w:val="16"/>
        </w:rPr>
      </w:pPr>
    </w:p>
    <w:p w14:paraId="5A8086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9163 О Всесоюзном социалистическом соревновании колхозов, МТС, районов, областей, краев и республик за получение высокого урожая и подъем колхозного животноводства в 1945 году. РГАНИР, Фонд ГКО, д. 429, лл. 69-71 (11012).</w:t>
      </w:r>
    </w:p>
    <w:p w14:paraId="0FA601A5" w14:textId="77777777" w:rsidR="006103B3" w:rsidRPr="00925F26" w:rsidRDefault="006103B3" w:rsidP="00925F26">
      <w:pPr>
        <w:autoSpaceDE w:val="0"/>
        <w:autoSpaceDN w:val="0"/>
        <w:adjustRightInd w:val="0"/>
        <w:jc w:val="both"/>
        <w:rPr>
          <w:color w:val="000000" w:themeColor="text1"/>
          <w:sz w:val="16"/>
          <w:szCs w:val="16"/>
        </w:rPr>
      </w:pPr>
    </w:p>
    <w:p w14:paraId="6E99DB2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9164 О передаче 15000 трофейных автомашин с 1-го и 2-го Украинских, 2-го Белорусского и Ленинградского фронтов для народного хозяйства. РГАНИР, Фонд ГКО, д. 429, лл. 72-73 (11012).</w:t>
      </w:r>
    </w:p>
    <w:p w14:paraId="1F783FB5" w14:textId="77777777" w:rsidR="006103B3" w:rsidRPr="00925F26" w:rsidRDefault="006103B3" w:rsidP="00925F26">
      <w:pPr>
        <w:autoSpaceDE w:val="0"/>
        <w:autoSpaceDN w:val="0"/>
        <w:adjustRightInd w:val="0"/>
        <w:jc w:val="both"/>
        <w:rPr>
          <w:color w:val="000000" w:themeColor="text1"/>
          <w:sz w:val="16"/>
          <w:szCs w:val="16"/>
        </w:rPr>
      </w:pPr>
    </w:p>
    <w:p w14:paraId="6330B7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9165 Об увеличении производства и поставки НКО СССР 57 мм, 100 мм, 122 мм пушек, 152 мм гаубиц и 160 мм минометов. РГАНИР, Фонд ГКО, д. 429, лл. 74-85, 86-89 (11012).</w:t>
      </w:r>
    </w:p>
    <w:p w14:paraId="5EFF84C7" w14:textId="77777777" w:rsidR="006103B3" w:rsidRPr="00925F26" w:rsidRDefault="006103B3" w:rsidP="00925F26">
      <w:pPr>
        <w:autoSpaceDE w:val="0"/>
        <w:autoSpaceDN w:val="0"/>
        <w:adjustRightInd w:val="0"/>
        <w:jc w:val="both"/>
        <w:rPr>
          <w:color w:val="000000" w:themeColor="text1"/>
          <w:sz w:val="16"/>
          <w:szCs w:val="16"/>
        </w:rPr>
      </w:pPr>
    </w:p>
    <w:p w14:paraId="0B95A2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9166 О плане производства боеприпасов в августе и сентябре 1945 г. РГАНИР, Фонд ГКО, д. 429, лл. 90-97, 98-109 (11012).</w:t>
      </w:r>
    </w:p>
    <w:p w14:paraId="067D8668" w14:textId="77777777" w:rsidR="006103B3" w:rsidRPr="00925F26" w:rsidRDefault="006103B3" w:rsidP="00925F26">
      <w:pPr>
        <w:autoSpaceDE w:val="0"/>
        <w:autoSpaceDN w:val="0"/>
        <w:adjustRightInd w:val="0"/>
        <w:jc w:val="both"/>
        <w:rPr>
          <w:color w:val="000000" w:themeColor="text1"/>
          <w:sz w:val="16"/>
          <w:szCs w:val="16"/>
        </w:rPr>
      </w:pPr>
    </w:p>
    <w:p w14:paraId="1899F68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9167 О плане производства и поставок НКО и НКВМФ артиллерийского, минометного и стрелкового вооружения, военных приборов, патронов и боевых установок на август и сентябрь 1945 года. РГАНИР, Фонд ГКО, д. 429, лл. 110-119, 120-135 (11012).</w:t>
      </w:r>
    </w:p>
    <w:p w14:paraId="6592B1F1" w14:textId="77777777" w:rsidR="006103B3" w:rsidRPr="00925F26" w:rsidRDefault="006103B3" w:rsidP="00925F26">
      <w:pPr>
        <w:autoSpaceDE w:val="0"/>
        <w:autoSpaceDN w:val="0"/>
        <w:adjustRightInd w:val="0"/>
        <w:jc w:val="both"/>
        <w:rPr>
          <w:color w:val="000000" w:themeColor="text1"/>
          <w:sz w:val="16"/>
          <w:szCs w:val="16"/>
        </w:rPr>
      </w:pPr>
    </w:p>
    <w:p w14:paraId="47C146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 вышло Постановление ГКО № 9168 «О геологоразведочных работах на нефть в Северном Иране» (Д. 507. Л. 144–147, 149).</w:t>
      </w:r>
    </w:p>
    <w:p w14:paraId="5CC57DDC" w14:textId="77777777" w:rsidR="006103B3" w:rsidRPr="00925F26" w:rsidRDefault="006103B3" w:rsidP="00925F26">
      <w:pPr>
        <w:autoSpaceDE w:val="0"/>
        <w:autoSpaceDN w:val="0"/>
        <w:adjustRightInd w:val="0"/>
        <w:jc w:val="both"/>
        <w:rPr>
          <w:color w:val="000000" w:themeColor="text1"/>
          <w:sz w:val="16"/>
          <w:szCs w:val="16"/>
        </w:rPr>
      </w:pPr>
    </w:p>
    <w:p w14:paraId="1F7A4FE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9169 Об организации Азербайджанской железной дороги. (7351, 141-144,145-146).</w:t>
      </w:r>
    </w:p>
    <w:p w14:paraId="3257B80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A3C4C2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9170 О мероприятиях по обеспечению сборки судов на озере Байкал и о материально-техническом обеспечении строительства Байкальской переправы. (7351, 147-155,156-161).</w:t>
      </w:r>
    </w:p>
    <w:p w14:paraId="2642129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FCFFAF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9171 О мерах помощи Южно-Уральской железной дороге по выполнению плана капитальных работ 1945 г. (7351, 162-171,172-185).</w:t>
      </w:r>
    </w:p>
    <w:p w14:paraId="78DB432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EABE0D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9172 О мерах помощи строительству железнодорожной линии Иркутск - Слюдянка НКПС. (7351, 186-191,192-193).</w:t>
      </w:r>
    </w:p>
    <w:p w14:paraId="72DDA8CA"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CA143E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9173 О мероприятиях по восстановлению Новороссийского порта Наркомморфлота. РГАНИР, Фонд ГКО, д. 429, лл. 194-197, 198-200 (11012).</w:t>
      </w:r>
    </w:p>
    <w:p w14:paraId="11B77600" w14:textId="77777777" w:rsidR="006103B3" w:rsidRPr="00925F26" w:rsidRDefault="006103B3" w:rsidP="00925F26">
      <w:pPr>
        <w:autoSpaceDE w:val="0"/>
        <w:autoSpaceDN w:val="0"/>
        <w:adjustRightInd w:val="0"/>
        <w:jc w:val="both"/>
        <w:rPr>
          <w:color w:val="000000" w:themeColor="text1"/>
          <w:sz w:val="16"/>
          <w:szCs w:val="16"/>
        </w:rPr>
      </w:pPr>
    </w:p>
    <w:p w14:paraId="463699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9174 О возвращении Наркомречфлоту завода № 638 Наркомсудпрома. РГАНИР, Фонд ГКО, д. 429, лл. 201-203, 204 (11012).</w:t>
      </w:r>
    </w:p>
    <w:p w14:paraId="37AB5928" w14:textId="77777777" w:rsidR="006103B3" w:rsidRPr="00925F26" w:rsidRDefault="006103B3" w:rsidP="00925F26">
      <w:pPr>
        <w:autoSpaceDE w:val="0"/>
        <w:autoSpaceDN w:val="0"/>
        <w:adjustRightInd w:val="0"/>
        <w:jc w:val="both"/>
        <w:rPr>
          <w:color w:val="000000" w:themeColor="text1"/>
          <w:sz w:val="16"/>
          <w:szCs w:val="16"/>
        </w:rPr>
      </w:pPr>
    </w:p>
    <w:p w14:paraId="438819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июня 1945 г. вышло Постановление ГОКО № 9174 с О возвращении Наркомречфлоту завода № 638 Наркомсудпрома</w:t>
      </w:r>
    </w:p>
    <w:p w14:paraId="5758E8A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Секретно</w:t>
      </w:r>
    </w:p>
    <w:p w14:paraId="08E32DC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0E6031F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окончанием программы военного судострое</w:t>
      </w:r>
      <w:r w:rsidRPr="00925F26">
        <w:rPr>
          <w:color w:val="000000" w:themeColor="text1"/>
          <w:sz w:val="16"/>
          <w:szCs w:val="16"/>
        </w:rPr>
        <w:softHyphen/>
        <w:t>ния на заводе № 638 Наркомсудпрома Государственный Комитет Обороны постановляет:</w:t>
      </w:r>
    </w:p>
    <w:p w14:paraId="1B68ADB0"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1. Обязать Наркомсудпром (т. Носенко) возвратить Наркомречфлоту до 15 июля 1945 года Астраханский за-</w:t>
      </w:r>
      <w:r w:rsidRPr="00925F26">
        <w:rPr>
          <w:color w:val="000000" w:themeColor="text1"/>
          <w:sz w:val="16"/>
          <w:szCs w:val="16"/>
          <w:vertAlign w:val="superscript"/>
        </w:rPr>
        <w:t>В</w:t>
      </w:r>
      <w:r w:rsidRPr="00925F26">
        <w:rPr>
          <w:color w:val="000000" w:themeColor="text1"/>
          <w:sz w:val="16"/>
          <w:szCs w:val="16"/>
        </w:rPr>
        <w:t>°Д № 638, переданный Наркомсудпрому в соответствии</w:t>
      </w:r>
    </w:p>
    <w:p w14:paraId="19DC093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распоряжением Совнаркома СССР от 2 сентября 1941 года № 9460 рс.</w:t>
      </w:r>
    </w:p>
    <w:p w14:paraId="29593E8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Передачу произвести по балансу на 1 мая 1945 года.</w:t>
      </w:r>
    </w:p>
    <w:p w14:paraId="5FC044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Установить, что передаче Наркомречфлоту подлежат:</w:t>
      </w:r>
    </w:p>
    <w:p w14:paraId="6E01F78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производственные, служебные и жилые здания, под</w:t>
      </w:r>
      <w:r w:rsidRPr="00925F26">
        <w:rPr>
          <w:color w:val="000000" w:themeColor="text1"/>
          <w:sz w:val="16"/>
          <w:szCs w:val="16"/>
        </w:rPr>
        <w:softHyphen/>
        <w:t>собные хозяйства и технологическое оборудование, пере</w:t>
      </w:r>
      <w:r w:rsidRPr="00925F26">
        <w:rPr>
          <w:color w:val="000000" w:themeColor="text1"/>
          <w:sz w:val="16"/>
          <w:szCs w:val="16"/>
        </w:rPr>
        <w:softHyphen/>
        <w:t>данное Наркомречфлотом Наркомсудпрому, а также обо</w:t>
      </w:r>
      <w:r w:rsidRPr="00925F26">
        <w:rPr>
          <w:color w:val="000000" w:themeColor="text1"/>
          <w:sz w:val="16"/>
          <w:szCs w:val="16"/>
        </w:rPr>
        <w:softHyphen/>
        <w:t>рудование, эвакуированное с других заводов Наркомсуд-прома, согласно приложению*;</w:t>
      </w:r>
    </w:p>
    <w:p w14:paraId="5C8204E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транспортные средства, инструмент и другие мате</w:t>
      </w:r>
      <w:r w:rsidRPr="00925F26">
        <w:rPr>
          <w:color w:val="000000" w:themeColor="text1"/>
          <w:sz w:val="16"/>
          <w:szCs w:val="16"/>
        </w:rPr>
        <w:softHyphen/>
        <w:t>риальные ценности, принадлежавшие заводу до передачи его Наркомсудпрому. Транспортные средства, инстру</w:t>
      </w:r>
      <w:r w:rsidRPr="00925F26">
        <w:rPr>
          <w:color w:val="000000" w:themeColor="text1"/>
          <w:sz w:val="16"/>
          <w:szCs w:val="16"/>
        </w:rPr>
        <w:softHyphen/>
        <w:t>мент, материалы и другие ценности, использованные или пришедшие в негодность за время эксплуатации завода, возмещаются Наркомсудпромом из имеющегося наличия на заводе;</w:t>
      </w:r>
    </w:p>
    <w:p w14:paraId="0304074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личный состав рабочих, инженерно-технических ра</w:t>
      </w:r>
      <w:r w:rsidRPr="00925F26">
        <w:rPr>
          <w:color w:val="000000" w:themeColor="text1"/>
          <w:sz w:val="16"/>
          <w:szCs w:val="16"/>
        </w:rPr>
        <w:softHyphen/>
        <w:t>ботников и служащих, за исключением рабочих, инже</w:t>
      </w:r>
      <w:r w:rsidRPr="00925F26">
        <w:rPr>
          <w:color w:val="000000" w:themeColor="text1"/>
          <w:sz w:val="16"/>
          <w:szCs w:val="16"/>
        </w:rPr>
        <w:softHyphen/>
        <w:t>нерно-технических работников и служащих, эвакуиро</w:t>
      </w:r>
      <w:r w:rsidRPr="00925F26">
        <w:rPr>
          <w:color w:val="000000" w:themeColor="text1"/>
          <w:sz w:val="16"/>
          <w:szCs w:val="16"/>
        </w:rPr>
        <w:softHyphen/>
        <w:t>ванных с других заводов Наркомсудпрома.</w:t>
      </w:r>
    </w:p>
    <w:p w14:paraId="4C9859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Обязать Наркомсудпром (т. Носенко) до 15 июля 1945 года вывезти с завода № 638 на завод № 444 в Ни</w:t>
      </w:r>
      <w:r w:rsidRPr="00925F26">
        <w:rPr>
          <w:color w:val="000000" w:themeColor="text1"/>
          <w:sz w:val="16"/>
          <w:szCs w:val="16"/>
        </w:rPr>
        <w:softHyphen/>
        <w:t>колаев рабочих, технологическое оборудование, транс</w:t>
      </w:r>
      <w:r w:rsidRPr="00925F26">
        <w:rPr>
          <w:color w:val="000000" w:themeColor="text1"/>
          <w:sz w:val="16"/>
          <w:szCs w:val="16"/>
        </w:rPr>
        <w:softHyphen/>
        <w:t>портные средства, инструмент, а также механическое и электротехническое оборудование, отдельные вещи, заго</w:t>
      </w:r>
      <w:r w:rsidRPr="00925F26">
        <w:rPr>
          <w:color w:val="000000" w:themeColor="text1"/>
          <w:sz w:val="16"/>
          <w:szCs w:val="16"/>
        </w:rPr>
        <w:softHyphen/>
        <w:t>товки материалов и труб, предназначенные для военного судостроения, за исключением оборудования и других ценностей, передаваемых Наркомречфлоту согласно пун</w:t>
      </w:r>
      <w:r w:rsidRPr="00925F26">
        <w:rPr>
          <w:color w:val="000000" w:themeColor="text1"/>
          <w:sz w:val="16"/>
          <w:szCs w:val="16"/>
        </w:rPr>
        <w:softHyphen/>
        <w:t>кту 2 настоящего постановления.</w:t>
      </w:r>
    </w:p>
    <w:p w14:paraId="0BB9147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Разрешить Наркомсудпрому не передавать Наркомреч</w:t>
      </w:r>
      <w:r w:rsidRPr="00925F26">
        <w:rPr>
          <w:color w:val="000000" w:themeColor="text1"/>
          <w:sz w:val="16"/>
          <w:szCs w:val="16"/>
        </w:rPr>
        <w:softHyphen/>
        <w:t>флоту Бакинскую достроечную базу завода, расположенную на 18 пристани торгового порта Наркомморфлота, и сохра</w:t>
      </w:r>
      <w:r w:rsidRPr="00925F26">
        <w:rPr>
          <w:color w:val="000000" w:themeColor="text1"/>
          <w:sz w:val="16"/>
          <w:szCs w:val="16"/>
        </w:rPr>
        <w:softHyphen/>
        <w:t>нить ее в качестве филиала завода № 445 до окончательной достройки подводной лодки № 134 серии 1Х-бис.</w:t>
      </w:r>
    </w:p>
    <w:p w14:paraId="5652FCA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Обязать Наркомречфлот (т. Шашкова):</w:t>
      </w:r>
    </w:p>
    <w:p w14:paraId="48B3BA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 сохранить на заводе № 638 недостроенные корпуса трех тральщиков №№ 25, 109, 110 и все принадлежащее им оборудование до момента их перевода к месту окон</w:t>
      </w:r>
      <w:r w:rsidRPr="00925F26">
        <w:rPr>
          <w:color w:val="000000" w:themeColor="text1"/>
          <w:sz w:val="16"/>
          <w:szCs w:val="16"/>
        </w:rPr>
        <w:softHyphen/>
        <w:t>чательной достройки;</w:t>
      </w:r>
    </w:p>
    <w:p w14:paraId="320CA20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 предоставить Наркомсудпрому в Астрахани необхо</w:t>
      </w:r>
      <w:r w:rsidRPr="00925F26">
        <w:rPr>
          <w:color w:val="000000" w:themeColor="text1"/>
          <w:sz w:val="16"/>
          <w:szCs w:val="16"/>
        </w:rPr>
        <w:softHyphen/>
        <w:t>димые плавучие средства для перевозки оборудования и материалов с завода № 638 к местам погрузки на желез</w:t>
      </w:r>
      <w:r w:rsidRPr="00925F26">
        <w:rPr>
          <w:color w:val="000000" w:themeColor="text1"/>
          <w:sz w:val="16"/>
          <w:szCs w:val="16"/>
        </w:rPr>
        <w:softHyphen/>
        <w:t>нодорожный транспорт.</w:t>
      </w:r>
    </w:p>
    <w:p w14:paraId="29B024E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6. Обязать Наркомморфлот (т. Ширшова) предоставить Наркомсудпрому в Астрахани 40-тонный плавучий кран на время погрузки и разгрузки оборудования и материа</w:t>
      </w:r>
      <w:r w:rsidRPr="00925F26">
        <w:rPr>
          <w:color w:val="000000" w:themeColor="text1"/>
          <w:sz w:val="16"/>
          <w:szCs w:val="16"/>
        </w:rPr>
        <w:softHyphen/>
        <w:t>лов, перевозимых с завода № 638 на завод № 444 Нар</w:t>
      </w:r>
      <w:r w:rsidRPr="00925F26">
        <w:rPr>
          <w:color w:val="000000" w:themeColor="text1"/>
          <w:sz w:val="16"/>
          <w:szCs w:val="16"/>
        </w:rPr>
        <w:softHyphen/>
        <w:t>комсудпрома.</w:t>
      </w:r>
    </w:p>
    <w:p w14:paraId="6584AD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7. Обязать НКПС (т. Ковалева) выделить Наркомсудп</w:t>
      </w:r>
      <w:r w:rsidRPr="00925F26">
        <w:rPr>
          <w:color w:val="000000" w:themeColor="text1"/>
          <w:sz w:val="16"/>
          <w:szCs w:val="16"/>
        </w:rPr>
        <w:softHyphen/>
        <w:t>рому, в счет его плана, в июне-июле 1945 года для пере</w:t>
      </w:r>
      <w:r w:rsidRPr="00925F26">
        <w:rPr>
          <w:color w:val="000000" w:themeColor="text1"/>
          <w:sz w:val="16"/>
          <w:szCs w:val="16"/>
        </w:rPr>
        <w:softHyphen/>
        <w:t>возки из Астрахани в Николаев рабочих, инженерно-технических работников и служащих с семьями, а также оборудования и материальных ценностей 120 вагонов, из них 10 пассажирских, в том числе в июне 1945 года — 50 вагонов и до 15 июля 1945 года - 70 вагонов.</w:t>
      </w:r>
    </w:p>
    <w:p w14:paraId="2E05A8B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8. Обязать Наркомфин СССР (т. Зверева) выделить Наркомсудпрому необходимые ассигнования на реэвакуа</w:t>
      </w:r>
      <w:r w:rsidRPr="00925F26">
        <w:rPr>
          <w:color w:val="000000" w:themeColor="text1"/>
          <w:sz w:val="16"/>
          <w:szCs w:val="16"/>
        </w:rPr>
        <w:softHyphen/>
        <w:t>цию из Астрахани с завода № 638 на завод № 444 в Ни</w:t>
      </w:r>
      <w:r w:rsidRPr="00925F26">
        <w:rPr>
          <w:color w:val="000000" w:themeColor="text1"/>
          <w:sz w:val="16"/>
          <w:szCs w:val="16"/>
        </w:rPr>
        <w:softHyphen/>
        <w:t>колаев оборудования, материалов, а также рабочих, инже</w:t>
      </w:r>
      <w:r w:rsidRPr="00925F26">
        <w:rPr>
          <w:color w:val="000000" w:themeColor="text1"/>
          <w:sz w:val="16"/>
          <w:szCs w:val="16"/>
        </w:rPr>
        <w:softHyphen/>
        <w:t>нерно-технических работников и служащих с семьями.</w:t>
      </w:r>
    </w:p>
    <w:p w14:paraId="2A2578C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9. Командировать в г. Астрахань для решения на месте вопросов по передаче завода № 638 Наркомсудпрома Наркомречфлоту комиссию в составе: тт. Нелепо Л.Г. (председатель), Чернова М.И. (от Наркомречфлота) и Шварцмана М.Д. (от Наркомсудпрома).</w:t>
      </w:r>
    </w:p>
    <w:p w14:paraId="7A97220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Государственного Комитета Обороны</w:t>
      </w:r>
    </w:p>
    <w:p w14:paraId="1301B8D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Круглая печать:</w:t>
      </w:r>
    </w:p>
    <w:p w14:paraId="441DF16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Государственный Комитет Обороны.</w:t>
      </w:r>
    </w:p>
    <w:p w14:paraId="4BC273E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Протокольная часть ГОКО»</w:t>
      </w:r>
    </w:p>
    <w:p w14:paraId="7DE43D7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И.Сталин</w:t>
      </w:r>
    </w:p>
    <w:p w14:paraId="381666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Приложение не публикуется.</w:t>
      </w:r>
    </w:p>
    <w:p w14:paraId="4E5DA0A8"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РЦХИДНИ. Ф. 644. Оп. 1. Д. 429. Л. 201-203 Заверенная копия (11461).</w:t>
      </w:r>
    </w:p>
    <w:p w14:paraId="78E92D16" w14:textId="77777777" w:rsidR="006103B3" w:rsidRPr="00925F26" w:rsidRDefault="006103B3" w:rsidP="00925F26">
      <w:pPr>
        <w:widowControl w:val="0"/>
        <w:autoSpaceDE w:val="0"/>
        <w:autoSpaceDN w:val="0"/>
        <w:adjustRightInd w:val="0"/>
        <w:jc w:val="both"/>
        <w:rPr>
          <w:color w:val="000000" w:themeColor="text1"/>
          <w:sz w:val="16"/>
          <w:szCs w:val="16"/>
        </w:rPr>
      </w:pPr>
    </w:p>
    <w:p w14:paraId="24739FF4" w14:textId="77777777" w:rsidR="00C84475" w:rsidRPr="00925F26" w:rsidRDefault="00C84475" w:rsidP="00925F26">
      <w:pPr>
        <w:jc w:val="both"/>
        <w:rPr>
          <w:color w:val="000000" w:themeColor="text1"/>
          <w:sz w:val="16"/>
          <w:szCs w:val="16"/>
        </w:rPr>
      </w:pPr>
      <w:r w:rsidRPr="00925F26">
        <w:rPr>
          <w:color w:val="000000" w:themeColor="text1"/>
          <w:sz w:val="16"/>
          <w:szCs w:val="16"/>
        </w:rPr>
        <w:t>21 июня 1945 г. ГОСУДАРСТВЕННЫЙ КОМИТЕТ ОБОРОНЫ ПОСТАНОВЛЕНИЕ № ГКО-9174с</w:t>
      </w:r>
    </w:p>
    <w:p w14:paraId="02CC09F8"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Москва, Кремль </w:t>
      </w:r>
    </w:p>
    <w:p w14:paraId="68A716A7"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О возвращении Наркомречфлоту завода № 638 Наркомсудпрома </w:t>
      </w:r>
    </w:p>
    <w:p w14:paraId="6D1D0146"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В связи с окончанием программы военного судостроения на заводе № 638 Наркомсудпрома Государственный Комитет Обороны постановляет: </w:t>
      </w:r>
    </w:p>
    <w:p w14:paraId="0CC6CDE6"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1. Обязать Наркомсудпром (т. Носенко) возвратить Наркомречфлоту до 15 июля 1945 года Астраханский завод № 638, переданный Наркомсудпрому в соответствии с распоряжением Совнаркома СССР от 2 сентября 1941 года № 9460 рс. </w:t>
      </w:r>
    </w:p>
    <w:p w14:paraId="41D5A095"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Передачу произвести по балансу на 1 мая 1945 года. </w:t>
      </w:r>
    </w:p>
    <w:p w14:paraId="3B7E5E87"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2. Установить, что передаче Наркомречфлоту подлежат: </w:t>
      </w:r>
    </w:p>
    <w:p w14:paraId="79FD382E" w14:textId="7AB051B4" w:rsidR="00C84475" w:rsidRPr="00925F26" w:rsidRDefault="00C84475" w:rsidP="00925F26">
      <w:pPr>
        <w:jc w:val="both"/>
        <w:rPr>
          <w:color w:val="000000" w:themeColor="text1"/>
          <w:sz w:val="16"/>
          <w:szCs w:val="16"/>
        </w:rPr>
      </w:pPr>
      <w:r w:rsidRPr="00925F26">
        <w:rPr>
          <w:color w:val="000000" w:themeColor="text1"/>
          <w:sz w:val="16"/>
          <w:szCs w:val="16"/>
        </w:rPr>
        <w:t>а) производственные, служебные и жилые здания, подсобные хозяйства и технологическое оборудование, переданное Наркомречфлотом Наркомсудпрому, а также оборудование, эвакуированное с других заводов Наркомсудпрома, согласно приложению</w:t>
      </w:r>
      <w:r w:rsidR="00997EDF" w:rsidRPr="00925F26">
        <w:rPr>
          <w:color w:val="000000" w:themeColor="text1"/>
          <w:sz w:val="16"/>
          <w:szCs w:val="16"/>
        </w:rPr>
        <w:t xml:space="preserve">  </w:t>
      </w:r>
      <w:hyperlink r:id="rId153" w:anchor="1" w:history="1">
        <w:r w:rsidRPr="00925F26">
          <w:rPr>
            <w:rStyle w:val="a5"/>
            <w:color w:val="000000" w:themeColor="text1"/>
            <w:sz w:val="16"/>
            <w:szCs w:val="16"/>
            <w:vertAlign w:val="superscript"/>
          </w:rPr>
          <w:t>1</w:t>
        </w:r>
      </w:hyperlink>
      <w:r w:rsidRPr="00925F26">
        <w:rPr>
          <w:color w:val="000000" w:themeColor="text1"/>
          <w:sz w:val="16"/>
          <w:szCs w:val="16"/>
        </w:rPr>
        <w:t xml:space="preserve">; </w:t>
      </w:r>
    </w:p>
    <w:p w14:paraId="0261466F"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б) транспортные средства, инструмент и другие материальные ценности, принадлежавшие заводу до передачи его Наркомсудпрому. Транспортные средства, инструмент, материалы и другие ценности, использованные или пришедшие в негодность за время эксплуатации завода, возмещаются Наркомсудпромом из имеющегося наличия на заводе; </w:t>
      </w:r>
    </w:p>
    <w:p w14:paraId="68D7BE67"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в) личный состав рабочих, инженерно-технических работников и служащих, за исключением рабочих, инженерно-технических работников и служащих, эвакуированных с других заводов Наркомсудпрома. </w:t>
      </w:r>
    </w:p>
    <w:p w14:paraId="37B06A76"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3. Обязать Наркомсудпром (т. Носенко) до 15 июля 1945 года вывезти с завода № 638 на завод № 444 в Николаев рабочих, технологическое оборудование, транспортные средства, инструмент, а также механическое и электротехническое оборудование, отдельные вещи, заготовки материалов и труб, предназначенные для военного судостроения, за исключением оборудования и других ценностей, передаваемых Наркомречфлоту согласно пункту 2 настоящего постановления. </w:t>
      </w:r>
    </w:p>
    <w:p w14:paraId="05F0F0B6"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4. Разрешить Наркомсудпрому не передавать Наркомречфлоту Бакинскую достроечную базу завода, расположенную на 18 пристани торгового порта Наркомморфлота, и сохранить ее в качестве филиала завода № 445 до окончательной достройки подводной лодки № 134 серии IX-бис. </w:t>
      </w:r>
    </w:p>
    <w:p w14:paraId="074F204E"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5. Обязать Наркомречфлот (т. Шашкова): </w:t>
      </w:r>
    </w:p>
    <w:p w14:paraId="01970DEE"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а) сохранить на заводе № 638 недостроенные корпуса трех тральщиков №№ 25, 109, 110 и все принадлежащее им оборудование до момента их перевода к месту окончательной достройки; </w:t>
      </w:r>
    </w:p>
    <w:p w14:paraId="1AFE22C7"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б) предоставить Наркомсудпрому в Астрахани необходимые плавучие средства для перевозки оборудования и материалов с завода № 638 к местам погрузки на железнодорожный транспорт. </w:t>
      </w:r>
    </w:p>
    <w:p w14:paraId="2288F26E"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6. Обязать Наркомморфлот (т. Ширшова) предоставить Наркомсудпрому в Астрахани 40-тонный плавучий кран на время погрузки и разгрузки оборудования и материалов, перевозимых с завода № 638 на завод № 444 Наркомсудпрома. </w:t>
      </w:r>
    </w:p>
    <w:p w14:paraId="7AC92589" w14:textId="77777777" w:rsidR="00C84475" w:rsidRPr="00925F26" w:rsidRDefault="00C84475" w:rsidP="00925F26">
      <w:pPr>
        <w:jc w:val="both"/>
        <w:rPr>
          <w:color w:val="000000" w:themeColor="text1"/>
          <w:sz w:val="16"/>
          <w:szCs w:val="16"/>
        </w:rPr>
      </w:pPr>
      <w:r w:rsidRPr="00925F26">
        <w:rPr>
          <w:color w:val="000000" w:themeColor="text1"/>
          <w:sz w:val="16"/>
          <w:szCs w:val="16"/>
        </w:rPr>
        <w:lastRenderedPageBreak/>
        <w:t xml:space="preserve">7. Обязать НКПС (т. Ковалева) выделить Наркомсудпрому, в счет его плана, в июне-июле 1945 года для перевозки из Астрахани в Николаев рабочих, инженерно-технических работников и служащих с семьями, а также оборудования и материальных ценностей 120 вагонов, из них 10 пассажирских, в том числе в июне 1945 года – 50 вагонов и до 15 июля 1945 года – 70 вагонов. </w:t>
      </w:r>
    </w:p>
    <w:p w14:paraId="11B1EA7A"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8. Обязать Наркомфин СССР (т. Зверева) выделить Наркомсудпрому необходимые ассигнования на реэвакуацию из Астрахани с завода № 638 на завод № 444 в Николаев оборудования, материалов, а также рабочих, инженерно-технических работников и служащих с семьями. </w:t>
      </w:r>
    </w:p>
    <w:p w14:paraId="717D0330" w14:textId="77777777" w:rsidR="00C84475" w:rsidRPr="00925F26" w:rsidRDefault="00C84475" w:rsidP="00925F26">
      <w:pPr>
        <w:jc w:val="both"/>
        <w:rPr>
          <w:color w:val="000000" w:themeColor="text1"/>
          <w:sz w:val="16"/>
          <w:szCs w:val="16"/>
        </w:rPr>
      </w:pPr>
      <w:r w:rsidRPr="00925F26">
        <w:rPr>
          <w:color w:val="000000" w:themeColor="text1"/>
          <w:sz w:val="16"/>
          <w:szCs w:val="16"/>
        </w:rPr>
        <w:t xml:space="preserve">9. Командировать в г. Астрахань для решения на месте вопросов по передаче завода № 638 Наркомсудпрома Наркомречфлоту комиссию в составе: тт. Нелепо Л.Г. (председатель), Чернова М.И. (от Наркомречфлота) и Шварцмана М.Д. (от Наркомсудпрома). </w:t>
      </w:r>
    </w:p>
    <w:p w14:paraId="63F04378" w14:textId="77777777" w:rsidR="00C84475" w:rsidRPr="00925F26" w:rsidRDefault="00C84475" w:rsidP="00925F26">
      <w:pPr>
        <w:jc w:val="both"/>
        <w:rPr>
          <w:color w:val="000000" w:themeColor="text1"/>
          <w:sz w:val="16"/>
          <w:szCs w:val="16"/>
        </w:rPr>
      </w:pPr>
      <w:r w:rsidRPr="00925F26">
        <w:rPr>
          <w:color w:val="000000" w:themeColor="text1"/>
          <w:sz w:val="16"/>
          <w:szCs w:val="16"/>
        </w:rPr>
        <w:t>ПРЕДСЕДАТЕЛЬ ГОСУДАРСТВЕННОГО КОМИТЕТА ОБОРОНЫ И.СТАЛИН(12645).</w:t>
      </w:r>
    </w:p>
    <w:p w14:paraId="13593654" w14:textId="77777777" w:rsidR="00C84475" w:rsidRPr="00925F26" w:rsidRDefault="00C84475" w:rsidP="00925F26">
      <w:pPr>
        <w:tabs>
          <w:tab w:val="left" w:pos="11199"/>
        </w:tabs>
        <w:autoSpaceDE w:val="0"/>
        <w:autoSpaceDN w:val="0"/>
        <w:adjustRightInd w:val="0"/>
        <w:jc w:val="both"/>
        <w:rPr>
          <w:color w:val="000000" w:themeColor="text1"/>
          <w:sz w:val="16"/>
          <w:szCs w:val="16"/>
        </w:rPr>
      </w:pPr>
    </w:p>
    <w:p w14:paraId="6085DEE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9175с О возврашщении НКРФ з-да № 638 НКСП - Астрахань (7543, 97).</w:t>
      </w:r>
    </w:p>
    <w:p w14:paraId="0AC5FC99"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8782C8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 вышло Постановление ГОКО “О возвращении Нарком-речфлоту завода № 638 Наркомсудпрома” (7543).</w:t>
      </w:r>
    </w:p>
    <w:p w14:paraId="65514B06" w14:textId="77777777" w:rsidR="006103B3" w:rsidRPr="00925F26" w:rsidRDefault="006103B3" w:rsidP="00925F26">
      <w:pPr>
        <w:autoSpaceDE w:val="0"/>
        <w:autoSpaceDN w:val="0"/>
        <w:adjustRightInd w:val="0"/>
        <w:jc w:val="both"/>
        <w:rPr>
          <w:color w:val="000000" w:themeColor="text1"/>
          <w:sz w:val="16"/>
          <w:szCs w:val="16"/>
        </w:rPr>
      </w:pPr>
    </w:p>
    <w:p w14:paraId="7AB81B6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9175 О порядке проезда граждан по железным дорогам и водным путям СССР. РГАНИР, Фонд ГКО, д. 429, лл. 205-207 (11012).</w:t>
      </w:r>
    </w:p>
    <w:p w14:paraId="0400A37A" w14:textId="77777777" w:rsidR="006103B3" w:rsidRPr="00925F26" w:rsidRDefault="006103B3" w:rsidP="00925F26">
      <w:pPr>
        <w:autoSpaceDE w:val="0"/>
        <w:autoSpaceDN w:val="0"/>
        <w:adjustRightInd w:val="0"/>
        <w:jc w:val="both"/>
        <w:rPr>
          <w:color w:val="000000" w:themeColor="text1"/>
          <w:sz w:val="16"/>
          <w:szCs w:val="16"/>
        </w:rPr>
      </w:pPr>
    </w:p>
    <w:p w14:paraId="278C3D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9176 Об усилении научно-исследовательской базы Государственного Краснознаменного научно-испытательного института ВВС КА. РГАНИР, Фонд ГКО, д. 429, лл. 208-211, 212-215 (11012).</w:t>
      </w:r>
    </w:p>
    <w:p w14:paraId="4A1DBB6B" w14:textId="77777777" w:rsidR="006103B3" w:rsidRPr="00925F26" w:rsidRDefault="006103B3" w:rsidP="00925F26">
      <w:pPr>
        <w:autoSpaceDE w:val="0"/>
        <w:autoSpaceDN w:val="0"/>
        <w:adjustRightInd w:val="0"/>
        <w:jc w:val="both"/>
        <w:rPr>
          <w:color w:val="000000" w:themeColor="text1"/>
          <w:sz w:val="16"/>
          <w:szCs w:val="16"/>
        </w:rPr>
      </w:pPr>
    </w:p>
    <w:p w14:paraId="71ABC78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СНК № 1464 О восстановлении цехов ТШП на промышленных предприятиях - возродили довоенную систему - восстановили действие постановления № 234 от 2 июня 1940, согласно которому вся прибыль от ТШП из отходов оставляли в распоряжении предприятия (7543, 27).</w:t>
      </w:r>
    </w:p>
    <w:p w14:paraId="6612166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EF151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 вышло Постановление СНК СССР “О восстановлении цехов по производству товаров широкого потребления на промышленных предприятиях” (7543).</w:t>
      </w:r>
    </w:p>
    <w:p w14:paraId="6ADBA851" w14:textId="77777777" w:rsidR="006103B3" w:rsidRPr="00925F26" w:rsidRDefault="006103B3" w:rsidP="00925F26">
      <w:pPr>
        <w:autoSpaceDE w:val="0"/>
        <w:autoSpaceDN w:val="0"/>
        <w:adjustRightInd w:val="0"/>
        <w:jc w:val="both"/>
        <w:rPr>
          <w:color w:val="000000" w:themeColor="text1"/>
          <w:sz w:val="16"/>
          <w:szCs w:val="16"/>
        </w:rPr>
      </w:pPr>
    </w:p>
    <w:p w14:paraId="07D527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21 июня 1945 года Совнарком СССР издал специальное постановление № 1464 “О восстановлении цехов по производству товаров широкого потребления на промышленных предприятиях”. Этим </w:t>
      </w:r>
      <w:proofErr w:type="gramStart"/>
      <w:r w:rsidRPr="00925F26">
        <w:rPr>
          <w:color w:val="000000" w:themeColor="text1"/>
          <w:sz w:val="16"/>
          <w:szCs w:val="16"/>
        </w:rPr>
        <w:t>постановлением по существу</w:t>
      </w:r>
      <w:proofErr w:type="gramEnd"/>
      <w:r w:rsidRPr="00925F26">
        <w:rPr>
          <w:color w:val="000000" w:themeColor="text1"/>
          <w:sz w:val="16"/>
          <w:szCs w:val="16"/>
        </w:rPr>
        <w:t xml:space="preserve"> возрождалась система, существовавшая до войны. Цеха должны были работать без ущерба выполнению установленной заводам основной государственной программы. Совнарком восстановил действие своего постановления от 2 июня 1940 г. № 234, согласно которому вся прибыль от изготовления товаров широкого потребления из промышленных отходов оставалась в распоряжении соответствующего предприятия. Заводам и фабрикам союзных наркоматов, восстановившим и организовавшим цеха по производству товаров широкого потребления, разрешалось продавать через свою торговую сеть рабочим и служащим предприятия до 25% продукции, выпускаемой цехами ширпотреба от отходов данного предприятия. Это повышало заинтересованность рабочих в выпуске товаров широкого потребления и явилось дополнительным вкладом в повышение жизненного уровня трудящихся (7543).</w:t>
      </w:r>
    </w:p>
    <w:p w14:paraId="1767D7B4" w14:textId="77777777" w:rsidR="006103B3" w:rsidRPr="00925F26" w:rsidRDefault="006103B3" w:rsidP="00925F26">
      <w:pPr>
        <w:autoSpaceDE w:val="0"/>
        <w:autoSpaceDN w:val="0"/>
        <w:adjustRightInd w:val="0"/>
        <w:jc w:val="both"/>
        <w:rPr>
          <w:color w:val="000000" w:themeColor="text1"/>
          <w:sz w:val="16"/>
          <w:szCs w:val="16"/>
        </w:rPr>
      </w:pPr>
    </w:p>
    <w:p w14:paraId="05CADCA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21 июня 1945 г.Совет Народных Комиссаров СССР выпустил Постановление №64 О восстановлении цехов по производству товаров широкого потребления на промышленных предприятиях</w:t>
      </w:r>
    </w:p>
    <w:p w14:paraId="527E9D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Москва, Кремль</w:t>
      </w:r>
    </w:p>
    <w:p w14:paraId="5E6CF3E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Совет Народных Комиссаров Союза ССР ПОСТАНОВЛЯЕТ:</w:t>
      </w:r>
    </w:p>
    <w:p w14:paraId="14D55B1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1. Считать утратившим силу пункт 12 Постановления Совнаркома СССР и ЦК ВКП(б) от 7 января 1941 г. № 54 и обязать народных комиссаров союзных промыш</w:t>
      </w:r>
      <w:r w:rsidRPr="00925F26">
        <w:rPr>
          <w:color w:val="000000" w:themeColor="text1"/>
          <w:sz w:val="16"/>
          <w:szCs w:val="16"/>
        </w:rPr>
        <w:softHyphen/>
        <w:t>ленных наркоматов восстановить и, при наличии воз</w:t>
      </w:r>
      <w:r w:rsidRPr="00925F26">
        <w:rPr>
          <w:color w:val="000000" w:themeColor="text1"/>
          <w:sz w:val="16"/>
          <w:szCs w:val="16"/>
        </w:rPr>
        <w:softHyphen/>
        <w:t>можности, вновь организовать цеха по производству то</w:t>
      </w:r>
      <w:r w:rsidRPr="00925F26">
        <w:rPr>
          <w:color w:val="000000" w:themeColor="text1"/>
          <w:sz w:val="16"/>
          <w:szCs w:val="16"/>
        </w:rPr>
        <w:softHyphen/>
        <w:t>варов широкого потребления на промышленных пред</w:t>
      </w:r>
      <w:r w:rsidRPr="00925F26">
        <w:rPr>
          <w:color w:val="000000" w:themeColor="text1"/>
          <w:sz w:val="16"/>
          <w:szCs w:val="16"/>
        </w:rPr>
        <w:softHyphen/>
        <w:t>приятиях, без ущерба выполнению установленной пред</w:t>
      </w:r>
      <w:r w:rsidRPr="00925F26">
        <w:rPr>
          <w:color w:val="000000" w:themeColor="text1"/>
          <w:sz w:val="16"/>
          <w:szCs w:val="16"/>
        </w:rPr>
        <w:softHyphen/>
        <w:t>приятиям основной государственной программы.</w:t>
      </w:r>
    </w:p>
    <w:p w14:paraId="5814D62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 Восстановить действие Постановления Совнаркома СССР от 2 июня 1940 г. № 934, согласно которому вся прибыль от изготовления товаров широкого потребления из промышленных отходов остается в распоряжении со</w:t>
      </w:r>
      <w:r w:rsidRPr="00925F26">
        <w:rPr>
          <w:color w:val="000000" w:themeColor="text1"/>
          <w:sz w:val="16"/>
          <w:szCs w:val="16"/>
        </w:rPr>
        <w:softHyphen/>
        <w:t>ответствующего предприятия.</w:t>
      </w:r>
    </w:p>
    <w:p w14:paraId="32686A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 Разрешить промышленным предприятиям союзных наркоматов, указанных в п. 1, продавать через свою торго</w:t>
      </w:r>
      <w:r w:rsidRPr="00925F26">
        <w:rPr>
          <w:color w:val="000000" w:themeColor="text1"/>
          <w:sz w:val="16"/>
          <w:szCs w:val="16"/>
        </w:rPr>
        <w:softHyphen/>
        <w:t>вую сеть рабочим и служащим предприятий до 25% про</w:t>
      </w:r>
      <w:r w:rsidRPr="00925F26">
        <w:rPr>
          <w:color w:val="000000" w:themeColor="text1"/>
          <w:sz w:val="16"/>
          <w:szCs w:val="16"/>
        </w:rPr>
        <w:softHyphen/>
        <w:t>дукции, выпускаемой цехами по производству товаров широкого потребления из отходов данного предприятия.</w:t>
      </w:r>
    </w:p>
    <w:p w14:paraId="6ACED7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4. Обязать народных комиссаров промышленных нар</w:t>
      </w:r>
      <w:r w:rsidRPr="00925F26">
        <w:rPr>
          <w:color w:val="000000" w:themeColor="text1"/>
          <w:sz w:val="16"/>
          <w:szCs w:val="16"/>
        </w:rPr>
        <w:softHyphen/>
        <w:t>коматов представить в Совнарком СССР к 25 июня 1945 г. план восстановления ликвидированных цехов по производству товаров широкого потребления и организа</w:t>
      </w:r>
      <w:r w:rsidRPr="00925F26">
        <w:rPr>
          <w:color w:val="000000" w:themeColor="text1"/>
          <w:sz w:val="16"/>
          <w:szCs w:val="16"/>
        </w:rPr>
        <w:softHyphen/>
        <w:t>ции новых цехов по производству товаров широкого по</w:t>
      </w:r>
      <w:r w:rsidRPr="00925F26">
        <w:rPr>
          <w:color w:val="000000" w:themeColor="text1"/>
          <w:sz w:val="16"/>
          <w:szCs w:val="16"/>
        </w:rPr>
        <w:softHyphen/>
        <w:t xml:space="preserve">требления на </w:t>
      </w:r>
      <w:r w:rsidRPr="00925F26">
        <w:rPr>
          <w:color w:val="000000" w:themeColor="text1"/>
          <w:sz w:val="16"/>
          <w:szCs w:val="16"/>
          <w:lang w:val="en-US"/>
        </w:rPr>
        <w:t>III</w:t>
      </w:r>
      <w:r w:rsidRPr="00925F26">
        <w:rPr>
          <w:color w:val="000000" w:themeColor="text1"/>
          <w:sz w:val="16"/>
          <w:szCs w:val="16"/>
        </w:rPr>
        <w:t xml:space="preserve"> квартал 1945 г., а также восстановить в составе центрального аппарата отделы или сектора това-</w:t>
      </w:r>
    </w:p>
    <w:p w14:paraId="1C36305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широкого потребления, упраздненные в связи с вой</w:t>
      </w:r>
      <w:r w:rsidRPr="00925F26">
        <w:rPr>
          <w:color w:val="000000" w:themeColor="text1"/>
          <w:sz w:val="16"/>
          <w:szCs w:val="16"/>
        </w:rPr>
        <w:softHyphen/>
        <w:t>ной, со штатом, действовавшим до их упразднения.</w:t>
      </w:r>
    </w:p>
    <w:p w14:paraId="65E86D1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5. Отменить подпункт «б» пункта 7 Постановления Со</w:t>
      </w:r>
      <w:r w:rsidRPr="00925F26">
        <w:rPr>
          <w:color w:val="000000" w:themeColor="text1"/>
          <w:sz w:val="16"/>
          <w:szCs w:val="16"/>
        </w:rPr>
        <w:softHyphen/>
        <w:t>внаркома СССР от 2 июля 1941 г. № 1804-804 с.</w:t>
      </w:r>
    </w:p>
    <w:p w14:paraId="20AEDBA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Председатель Совета</w:t>
      </w:r>
    </w:p>
    <w:p w14:paraId="6F2CB77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Народных Комиссаров Союза ССР</w:t>
      </w:r>
    </w:p>
    <w:p w14:paraId="2187DD8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Управляющий Делами Совета Народных комиссаров</w:t>
      </w:r>
    </w:p>
    <w:p w14:paraId="744A30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И.Сталин</w:t>
      </w:r>
    </w:p>
    <w:p w14:paraId="5D3846E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Я.Чадаев</w:t>
      </w:r>
    </w:p>
    <w:p w14:paraId="53044782"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ГЛРФ. Ф. 5446. Оп. 1. Д. 255. Л. 250, 251. Подлинник (11461).</w:t>
      </w:r>
    </w:p>
    <w:p w14:paraId="66382648" w14:textId="77777777" w:rsidR="006103B3" w:rsidRPr="00925F26" w:rsidRDefault="006103B3" w:rsidP="00925F26">
      <w:pPr>
        <w:widowControl w:val="0"/>
        <w:autoSpaceDE w:val="0"/>
        <w:autoSpaceDN w:val="0"/>
        <w:adjustRightInd w:val="0"/>
        <w:jc w:val="both"/>
        <w:rPr>
          <w:color w:val="000000" w:themeColor="text1"/>
          <w:sz w:val="16"/>
          <w:szCs w:val="16"/>
        </w:rPr>
      </w:pPr>
    </w:p>
    <w:p w14:paraId="1321931E" w14:textId="77777777" w:rsidR="00C84475" w:rsidRPr="00925F26" w:rsidRDefault="00C84475" w:rsidP="00925F26">
      <w:pPr>
        <w:jc w:val="both"/>
        <w:rPr>
          <w:color w:val="000000" w:themeColor="text1"/>
          <w:sz w:val="16"/>
          <w:szCs w:val="16"/>
        </w:rPr>
      </w:pPr>
      <w:r w:rsidRPr="00925F26">
        <w:rPr>
          <w:bCs/>
          <w:color w:val="000000" w:themeColor="text1"/>
          <w:sz w:val="16"/>
          <w:szCs w:val="16"/>
        </w:rPr>
        <w:t>21 июня</w:t>
      </w:r>
      <w:r w:rsidRPr="00925F26">
        <w:rPr>
          <w:color w:val="000000" w:themeColor="text1"/>
          <w:sz w:val="16"/>
          <w:szCs w:val="16"/>
        </w:rPr>
        <w:t xml:space="preserve"> в 1945 году создано ОКБ-45, ныне ФГУП "Научно-технический центр "Машиностроительное конструкторское бюро "Гранит". Основные направления деятельности: Двигатели для легких самолетов и вертолетов. Главный конструктор - Саркисов Семен Рафаэлович (14929).</w:t>
      </w:r>
    </w:p>
    <w:p w14:paraId="0A159C26" w14:textId="77777777" w:rsidR="00C84475" w:rsidRPr="00925F26" w:rsidRDefault="00C84475" w:rsidP="00925F26">
      <w:pPr>
        <w:jc w:val="both"/>
        <w:rPr>
          <w:color w:val="000000" w:themeColor="text1"/>
          <w:sz w:val="16"/>
          <w:szCs w:val="16"/>
        </w:rPr>
      </w:pPr>
    </w:p>
    <w:p w14:paraId="7A1424C2"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1D32733" w14:textId="77777777" w:rsidR="006103B3" w:rsidRPr="00925F26" w:rsidRDefault="006103B3" w:rsidP="00925F26">
      <w:pPr>
        <w:autoSpaceDE w:val="0"/>
        <w:autoSpaceDN w:val="0"/>
        <w:adjustRightInd w:val="0"/>
        <w:jc w:val="both"/>
        <w:rPr>
          <w:iCs/>
          <w:color w:val="000000" w:themeColor="text1"/>
          <w:sz w:val="16"/>
          <w:szCs w:val="16"/>
        </w:rPr>
      </w:pPr>
    </w:p>
    <w:p w14:paraId="4C93D22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вышло Постановление ГКО № 9175 О порядке проезда граждан по железным дорогам и водным путям СССР. (7351, 205-207).</w:t>
      </w:r>
    </w:p>
    <w:p w14:paraId="5DF1068A"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294D213" w14:textId="77777777" w:rsidR="00990E1D" w:rsidRPr="00925F26" w:rsidRDefault="00990E1D" w:rsidP="00925F26">
      <w:pPr>
        <w:jc w:val="both"/>
        <w:rPr>
          <w:color w:val="000000" w:themeColor="text1"/>
          <w:sz w:val="16"/>
          <w:szCs w:val="16"/>
        </w:rPr>
      </w:pPr>
      <w:r w:rsidRPr="00925F26">
        <w:rPr>
          <w:bCs/>
          <w:color w:val="000000" w:themeColor="text1"/>
          <w:sz w:val="16"/>
          <w:szCs w:val="16"/>
        </w:rPr>
        <w:t>21 июня</w:t>
      </w:r>
      <w:r w:rsidRPr="00925F26">
        <w:rPr>
          <w:color w:val="000000" w:themeColor="text1"/>
          <w:sz w:val="16"/>
          <w:szCs w:val="16"/>
        </w:rPr>
        <w:t xml:space="preserve"> в 1945 году постановление СНК СССР о восстановлении на промышленных предприятиях цехов по производству товаров широкого потребления (14929).</w:t>
      </w:r>
    </w:p>
    <w:p w14:paraId="224BD2A2" w14:textId="77777777" w:rsidR="00990E1D" w:rsidRPr="00925F26" w:rsidRDefault="00990E1D" w:rsidP="00925F26">
      <w:pPr>
        <w:jc w:val="both"/>
        <w:rPr>
          <w:color w:val="000000" w:themeColor="text1"/>
          <w:sz w:val="16"/>
          <w:szCs w:val="16"/>
        </w:rPr>
      </w:pPr>
    </w:p>
    <w:p w14:paraId="51DC5F6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E43E482" w14:textId="77777777" w:rsidR="006103B3" w:rsidRPr="00925F26" w:rsidRDefault="006103B3" w:rsidP="00925F26">
      <w:pPr>
        <w:autoSpaceDE w:val="0"/>
        <w:autoSpaceDN w:val="0"/>
        <w:adjustRightInd w:val="0"/>
        <w:jc w:val="both"/>
        <w:rPr>
          <w:iCs/>
          <w:color w:val="000000" w:themeColor="text1"/>
          <w:sz w:val="16"/>
          <w:szCs w:val="16"/>
        </w:rPr>
      </w:pPr>
    </w:p>
    <w:p w14:paraId="5DA201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г. в результате переговоров в Москве была достигнута договоренность о создании обновленного польского правительства, в котором промосковская фракция доминировала (3871).</w:t>
      </w:r>
    </w:p>
    <w:p w14:paraId="2B2646E0" w14:textId="77777777" w:rsidR="006103B3" w:rsidRPr="00925F26" w:rsidRDefault="006103B3" w:rsidP="00925F26">
      <w:pPr>
        <w:autoSpaceDE w:val="0"/>
        <w:autoSpaceDN w:val="0"/>
        <w:adjustRightInd w:val="0"/>
        <w:jc w:val="both"/>
        <w:rPr>
          <w:color w:val="000000" w:themeColor="text1"/>
          <w:sz w:val="16"/>
          <w:szCs w:val="16"/>
        </w:rPr>
      </w:pPr>
    </w:p>
    <w:p w14:paraId="7679C5BB" w14:textId="77777777" w:rsidR="00990E1D" w:rsidRPr="00925F26" w:rsidRDefault="00990E1D" w:rsidP="00925F26">
      <w:pPr>
        <w:jc w:val="both"/>
        <w:rPr>
          <w:color w:val="000000" w:themeColor="text1"/>
          <w:sz w:val="16"/>
          <w:szCs w:val="16"/>
        </w:rPr>
      </w:pPr>
      <w:r w:rsidRPr="00925F26">
        <w:rPr>
          <w:bCs/>
          <w:color w:val="000000" w:themeColor="text1"/>
          <w:sz w:val="16"/>
          <w:szCs w:val="16"/>
        </w:rPr>
        <w:t>21 июня</w:t>
      </w:r>
      <w:r w:rsidRPr="00925F26">
        <w:rPr>
          <w:color w:val="000000" w:themeColor="text1"/>
          <w:sz w:val="16"/>
          <w:szCs w:val="16"/>
        </w:rPr>
        <w:t xml:space="preserve"> в 1945 году в Москве состоялось первое заседание Межсоюзной репарационной комиссии (14929).</w:t>
      </w:r>
    </w:p>
    <w:p w14:paraId="38A38647" w14:textId="77777777" w:rsidR="00990E1D" w:rsidRPr="00925F26" w:rsidRDefault="00990E1D" w:rsidP="00925F26">
      <w:pPr>
        <w:jc w:val="both"/>
        <w:rPr>
          <w:color w:val="000000" w:themeColor="text1"/>
          <w:sz w:val="16"/>
          <w:szCs w:val="16"/>
        </w:rPr>
      </w:pPr>
    </w:p>
    <w:p w14:paraId="746328A2" w14:textId="77777777"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21 июня 1945 на первом официальном заседании МРК бы образован руководящий комитет в составе: от СССР – Майский и Сабуров, от США – Э. Поули и И. Любин, от Великобритании – У. Монктон и Д. Уэйли. Советская Комиссия по возмещению ущерба, возглавляемая Майским, была преобразована в советскую часть МРК. Можно было начинать работу. Майский внес на рассмотрение МРК документ «Основные линии плана репараций в Германии», в котором повторялись основные положения, высказанные им на Крымской конференции (общая сумма репараций – 20 млрд долларов, на долю СССР – 10 млрд долларов). Но западные представители обсуждать это не стали, ссылаясь на недостаточную обоснованность.</w:t>
      </w:r>
    </w:p>
    <w:p w14:paraId="1B1ABCB3" w14:textId="77777777"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3 июля Поули заявил об отказе США от признания общей суммы репараций в 20 млрд долл. 12 июля он же предлагает проект соглашения о процентном распределении общей суммы репараций: СССР – 56%, Великобритания – 22%, США – 22%, при этом каждая из трех держав выделяет определенную долю другим странам, получателям репараций [5. Т. 2. С. 725. Прим. 40].</w:t>
      </w:r>
    </w:p>
    <w:p w14:paraId="6BC5DD97" w14:textId="77777777"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13 июля 1945 состоялось последнее заседание МРК. Не приняв никакого общего решения, участники МРК отправились на Берлинскую конференцию глав трех великих держав. Майскому так и не удалось повернуть работу МРК в сторону учета интересов СССР (19851).</w:t>
      </w:r>
    </w:p>
    <w:p w14:paraId="20D2DD66" w14:textId="77777777" w:rsidR="00F60434" w:rsidRPr="00925F26" w:rsidRDefault="00F60434" w:rsidP="00925F26">
      <w:pPr>
        <w:pStyle w:val="ae"/>
        <w:shd w:val="clear" w:color="auto" w:fill="FFFFFF"/>
        <w:spacing w:before="0" w:after="0"/>
        <w:jc w:val="both"/>
        <w:rPr>
          <w:color w:val="000000" w:themeColor="text1"/>
          <w:sz w:val="16"/>
          <w:szCs w:val="16"/>
        </w:rPr>
      </w:pPr>
    </w:p>
    <w:p w14:paraId="5484492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71F63DDE" w14:textId="77777777" w:rsidR="006103B3" w:rsidRPr="00925F26" w:rsidRDefault="006103B3" w:rsidP="00925F26">
      <w:pPr>
        <w:autoSpaceDE w:val="0"/>
        <w:autoSpaceDN w:val="0"/>
        <w:adjustRightInd w:val="0"/>
        <w:jc w:val="both"/>
        <w:rPr>
          <w:iCs/>
          <w:color w:val="000000" w:themeColor="text1"/>
          <w:sz w:val="16"/>
          <w:szCs w:val="16"/>
        </w:rPr>
      </w:pPr>
    </w:p>
    <w:p w14:paraId="0EB06769" w14:textId="77777777" w:rsidR="00990E1D" w:rsidRPr="00925F26" w:rsidRDefault="00990E1D" w:rsidP="00925F26">
      <w:pPr>
        <w:jc w:val="both"/>
        <w:rPr>
          <w:color w:val="000000" w:themeColor="text1"/>
          <w:sz w:val="16"/>
          <w:szCs w:val="16"/>
        </w:rPr>
      </w:pPr>
      <w:r w:rsidRPr="00925F26">
        <w:rPr>
          <w:bCs/>
          <w:color w:val="000000" w:themeColor="text1"/>
          <w:sz w:val="16"/>
          <w:szCs w:val="16"/>
        </w:rPr>
        <w:lastRenderedPageBreak/>
        <w:t>21 июня</w:t>
      </w:r>
      <w:r w:rsidRPr="00925F26">
        <w:rPr>
          <w:color w:val="000000" w:themeColor="text1"/>
          <w:sz w:val="16"/>
          <w:szCs w:val="16"/>
        </w:rPr>
        <w:t xml:space="preserve"> в 1945 году в Италии сформировано правительство на базе Комитета Национального Освобождения, включающего все основные политические партии страны (14929).</w:t>
      </w:r>
    </w:p>
    <w:p w14:paraId="207BE111" w14:textId="77777777" w:rsidR="00990E1D" w:rsidRPr="00925F26" w:rsidRDefault="00990E1D" w:rsidP="00925F26">
      <w:pPr>
        <w:jc w:val="both"/>
        <w:rPr>
          <w:color w:val="000000" w:themeColor="text1"/>
          <w:sz w:val="16"/>
          <w:szCs w:val="16"/>
        </w:rPr>
      </w:pPr>
    </w:p>
    <w:p w14:paraId="4B760C50" w14:textId="77777777" w:rsidR="00990E1D" w:rsidRPr="00925F26" w:rsidRDefault="00990E1D" w:rsidP="00925F26">
      <w:pPr>
        <w:jc w:val="both"/>
        <w:rPr>
          <w:color w:val="000000" w:themeColor="text1"/>
          <w:sz w:val="16"/>
          <w:szCs w:val="16"/>
        </w:rPr>
      </w:pPr>
      <w:r w:rsidRPr="00925F26">
        <w:rPr>
          <w:bCs/>
          <w:color w:val="000000" w:themeColor="text1"/>
          <w:sz w:val="16"/>
          <w:szCs w:val="16"/>
        </w:rPr>
        <w:t>21 июня</w:t>
      </w:r>
      <w:r w:rsidRPr="00925F26">
        <w:rPr>
          <w:color w:val="000000" w:themeColor="text1"/>
          <w:sz w:val="16"/>
          <w:szCs w:val="16"/>
        </w:rPr>
        <w:t xml:space="preserve"> в 1945 году в Чехословакии принят декрет о безвозмездной конфискации на территории Чехословакии земель, скота и и нвентаря, принадлежавших немецкому и венгерскому населению страны (14929).</w:t>
      </w:r>
    </w:p>
    <w:p w14:paraId="0AC32950" w14:textId="77777777" w:rsidR="00990E1D" w:rsidRPr="00925F26" w:rsidRDefault="00990E1D" w:rsidP="00925F26">
      <w:pPr>
        <w:jc w:val="both"/>
        <w:rPr>
          <w:color w:val="000000" w:themeColor="text1"/>
          <w:sz w:val="16"/>
          <w:szCs w:val="16"/>
        </w:rPr>
      </w:pPr>
    </w:p>
    <w:p w14:paraId="7C14AA2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японский император Хирохито поручил правительству найти дипломатические пути для выхода Японии из войны (4962).</w:t>
      </w:r>
    </w:p>
    <w:p w14:paraId="3FD01D3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DFE983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21 июня 1945 после трехмесячных боев японские войска на Окинаве капитулировали перед американцами (4962).</w:t>
      </w:r>
    </w:p>
    <w:p w14:paraId="1B22FEEE"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89AAEBA"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June 21, 1945 The Battle of Okinawa, the last major island campaign in the Pacific, ended after nearly three months of savage fighting (1035).</w:t>
      </w:r>
    </w:p>
    <w:p w14:paraId="512DED3C" w14:textId="77777777" w:rsidR="006103B3" w:rsidRPr="00925F26" w:rsidRDefault="006103B3" w:rsidP="00925F26">
      <w:pPr>
        <w:autoSpaceDE w:val="0"/>
        <w:autoSpaceDN w:val="0"/>
        <w:adjustRightInd w:val="0"/>
        <w:jc w:val="both"/>
        <w:rPr>
          <w:color w:val="000000" w:themeColor="text1"/>
          <w:sz w:val="16"/>
          <w:szCs w:val="16"/>
          <w:lang w:val="en-US"/>
        </w:rPr>
      </w:pPr>
    </w:p>
    <w:p w14:paraId="69F304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21 июня 1945 закончилась битва за Окинаву (1035).</w:t>
      </w:r>
    </w:p>
    <w:p w14:paraId="2B030C7D" w14:textId="77777777" w:rsidR="006103B3" w:rsidRPr="00925F26" w:rsidRDefault="006103B3" w:rsidP="00925F26">
      <w:pPr>
        <w:autoSpaceDE w:val="0"/>
        <w:autoSpaceDN w:val="0"/>
        <w:adjustRightInd w:val="0"/>
        <w:jc w:val="both"/>
        <w:rPr>
          <w:color w:val="000000" w:themeColor="text1"/>
          <w:sz w:val="16"/>
          <w:szCs w:val="16"/>
        </w:rPr>
      </w:pPr>
    </w:p>
    <w:p w14:paraId="2F02DAC6" w14:textId="77777777" w:rsidR="00990E1D" w:rsidRPr="00925F26" w:rsidRDefault="00990E1D" w:rsidP="00925F26">
      <w:pPr>
        <w:jc w:val="both"/>
        <w:rPr>
          <w:color w:val="000000" w:themeColor="text1"/>
          <w:sz w:val="16"/>
          <w:szCs w:val="16"/>
        </w:rPr>
      </w:pPr>
      <w:r w:rsidRPr="00925F26">
        <w:rPr>
          <w:bCs/>
          <w:color w:val="000000" w:themeColor="text1"/>
          <w:sz w:val="16"/>
          <w:szCs w:val="16"/>
        </w:rPr>
        <w:t>21 июня</w:t>
      </w:r>
      <w:r w:rsidRPr="00925F26">
        <w:rPr>
          <w:color w:val="000000" w:themeColor="text1"/>
          <w:sz w:val="16"/>
          <w:szCs w:val="16"/>
        </w:rPr>
        <w:t xml:space="preserve"> в 1945 году после трехмесячных боев японские войска на Окинаве капитулировали </w:t>
      </w:r>
      <w:proofErr w:type="gramStart"/>
      <w:r w:rsidRPr="00925F26">
        <w:rPr>
          <w:color w:val="000000" w:themeColor="text1"/>
          <w:sz w:val="16"/>
          <w:szCs w:val="16"/>
        </w:rPr>
        <w:t>перед американцами</w:t>
      </w:r>
      <w:proofErr w:type="gramEnd"/>
      <w:r w:rsidRPr="00925F26">
        <w:rPr>
          <w:color w:val="000000" w:themeColor="text1"/>
          <w:sz w:val="16"/>
          <w:szCs w:val="16"/>
        </w:rPr>
        <w:t xml:space="preserve"> Японский император Хирохито поручил правительству найти дипломатические пути для выхода Японии из войны (14929).</w:t>
      </w:r>
    </w:p>
    <w:p w14:paraId="1B8F9CB9" w14:textId="77777777" w:rsidR="00990E1D" w:rsidRPr="00925F26" w:rsidRDefault="00990E1D" w:rsidP="00925F26">
      <w:pPr>
        <w:jc w:val="both"/>
        <w:rPr>
          <w:color w:val="000000" w:themeColor="text1"/>
          <w:sz w:val="16"/>
          <w:szCs w:val="16"/>
        </w:rPr>
      </w:pPr>
    </w:p>
    <w:p w14:paraId="6F7C20EC" w14:textId="77777777" w:rsidR="00990E1D" w:rsidRPr="00925F26" w:rsidRDefault="00990E1D" w:rsidP="00925F26">
      <w:pPr>
        <w:jc w:val="both"/>
        <w:rPr>
          <w:color w:val="000000" w:themeColor="text1"/>
          <w:sz w:val="16"/>
          <w:szCs w:val="16"/>
        </w:rPr>
      </w:pPr>
      <w:r w:rsidRPr="00925F26">
        <w:rPr>
          <w:bCs/>
          <w:color w:val="000000" w:themeColor="text1"/>
          <w:sz w:val="16"/>
          <w:szCs w:val="16"/>
        </w:rPr>
        <w:t>21 июня</w:t>
      </w:r>
      <w:r w:rsidRPr="00925F26">
        <w:rPr>
          <w:color w:val="000000" w:themeColor="text1"/>
          <w:sz w:val="16"/>
          <w:szCs w:val="16"/>
        </w:rPr>
        <w:t xml:space="preserve"> в 1945 году США наносят поражение японским войскам на Окинаве в ходе Второй Мировой войны (14929).</w:t>
      </w:r>
    </w:p>
    <w:p w14:paraId="0807F506" w14:textId="77777777" w:rsidR="00990E1D" w:rsidRPr="00925F26" w:rsidRDefault="00990E1D" w:rsidP="00925F26">
      <w:pPr>
        <w:jc w:val="both"/>
        <w:rPr>
          <w:color w:val="000000" w:themeColor="text1"/>
          <w:sz w:val="16"/>
          <w:szCs w:val="16"/>
        </w:rPr>
      </w:pPr>
    </w:p>
    <w:p w14:paraId="7F918540" w14:textId="77777777" w:rsidR="00C019B2" w:rsidRPr="00925F26" w:rsidRDefault="00C019B2" w:rsidP="00925F26">
      <w:pPr>
        <w:jc w:val="both"/>
        <w:rPr>
          <w:color w:val="000000" w:themeColor="text1"/>
          <w:sz w:val="16"/>
          <w:szCs w:val="16"/>
        </w:rPr>
      </w:pPr>
      <w:r w:rsidRPr="00925F26">
        <w:rPr>
          <w:color w:val="000000" w:themeColor="text1"/>
          <w:sz w:val="16"/>
          <w:szCs w:val="16"/>
        </w:rPr>
        <w:t>21–22 июня 1945 в десятой и последней атаке японцев кикусуи у Окинавы участвуют всего 45 камикадзе. Они потопили средний десантный корабль и остов списанного эсминца и повредили два тендера для гидросамолетов и два меньших корабля (20371).</w:t>
      </w:r>
    </w:p>
    <w:p w14:paraId="0CB1E263" w14:textId="77777777" w:rsidR="00C019B2" w:rsidRPr="00925F26" w:rsidRDefault="00C019B2" w:rsidP="00925F26">
      <w:pPr>
        <w:jc w:val="both"/>
        <w:rPr>
          <w:color w:val="000000" w:themeColor="text1"/>
          <w:sz w:val="16"/>
          <w:szCs w:val="16"/>
        </w:rPr>
      </w:pPr>
    </w:p>
    <w:p w14:paraId="344FA14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DE9E552" w14:textId="77777777" w:rsidR="006103B3" w:rsidRPr="00925F26" w:rsidRDefault="006103B3" w:rsidP="00925F26">
      <w:pPr>
        <w:autoSpaceDE w:val="0"/>
        <w:autoSpaceDN w:val="0"/>
        <w:adjustRightInd w:val="0"/>
        <w:jc w:val="both"/>
        <w:rPr>
          <w:iCs/>
          <w:color w:val="000000" w:themeColor="text1"/>
          <w:sz w:val="16"/>
          <w:szCs w:val="16"/>
        </w:rPr>
      </w:pPr>
    </w:p>
    <w:p w14:paraId="410F6929" w14:textId="77777777" w:rsidR="00B92A5E" w:rsidRPr="00925F26" w:rsidRDefault="00B92A5E" w:rsidP="00925F26">
      <w:pPr>
        <w:jc w:val="both"/>
        <w:rPr>
          <w:color w:val="000000" w:themeColor="text1"/>
          <w:sz w:val="16"/>
          <w:szCs w:val="16"/>
        </w:rPr>
      </w:pPr>
      <w:r w:rsidRPr="00925F26">
        <w:rPr>
          <w:rStyle w:val="107"/>
          <w:rFonts w:eastAsiaTheme="minorHAnsi"/>
          <w:color w:val="000000" w:themeColor="text1"/>
          <w:sz w:val="16"/>
          <w:szCs w:val="16"/>
        </w:rPr>
        <w:t>22 июня 1945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074212CE" w14:textId="77777777" w:rsidR="00B92A5E" w:rsidRPr="00925F26" w:rsidRDefault="00B92A5E" w:rsidP="00925F26">
      <w:pPr>
        <w:jc w:val="both"/>
        <w:rPr>
          <w:color w:val="000000" w:themeColor="text1"/>
          <w:sz w:val="16"/>
          <w:szCs w:val="16"/>
        </w:rPr>
      </w:pPr>
    </w:p>
    <w:p w14:paraId="0CD8123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вышел приказ НКАП в исполнение постановления ГКО от 6 июня 1945 о копировании и запуске в серию В-29. Поручалось начальнику 10 ГУ А.И.Кузнецову, директору 22 завода В.А.Акулову и ГК А.Н.Т. В течении июня-июля 1945 три В-29 перегнали с Дальнего Востока в Москву. Пришлось удлинять полосы (1051,53). 42-6256 передали в ЛИИ для обучения персонала и составления инструкций по эксплуатации. 42-6365 решили разобрать для изучения конструкции и изготовления чертежей. 42-6358 оставили в качестве эталона. А.Н.Т. потребовал три года, И.В.С. пообещал поддержку Л.П.Б. и поручил сделать за два, чтобы участвовать в параде 1947 (1051,54).</w:t>
      </w:r>
    </w:p>
    <w:p w14:paraId="583EEC31" w14:textId="77777777" w:rsidR="006103B3" w:rsidRPr="00925F26" w:rsidRDefault="006103B3" w:rsidP="00925F26">
      <w:pPr>
        <w:autoSpaceDE w:val="0"/>
        <w:autoSpaceDN w:val="0"/>
        <w:adjustRightInd w:val="0"/>
        <w:jc w:val="both"/>
        <w:rPr>
          <w:color w:val="000000" w:themeColor="text1"/>
          <w:sz w:val="16"/>
          <w:szCs w:val="16"/>
        </w:rPr>
      </w:pPr>
    </w:p>
    <w:p w14:paraId="00F8007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22 июня 1945 г. приказом НКАП № 263 на 22-м заводе началась подготовка к серийному производству бомбардировщика Б-4 (Ту-4), главным конструктором которого назначили А.Н.Туполева (3337).</w:t>
      </w:r>
    </w:p>
    <w:p w14:paraId="4535FDCA" w14:textId="77777777" w:rsidR="006103B3" w:rsidRPr="00925F26" w:rsidRDefault="006103B3" w:rsidP="00925F26">
      <w:pPr>
        <w:autoSpaceDE w:val="0"/>
        <w:autoSpaceDN w:val="0"/>
        <w:adjustRightInd w:val="0"/>
        <w:jc w:val="both"/>
        <w:rPr>
          <w:color w:val="000000" w:themeColor="text1"/>
          <w:sz w:val="16"/>
          <w:szCs w:val="16"/>
        </w:rPr>
      </w:pPr>
    </w:p>
    <w:p w14:paraId="43560932" w14:textId="77777777" w:rsidR="00500674" w:rsidRPr="00925F26" w:rsidRDefault="00500674"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С 22 июня 1945 года приказом НКАП № 263 на заводе № 22 началась подготовка к серийному про</w:t>
      </w:r>
      <w:r w:rsidRPr="00925F26">
        <w:rPr>
          <w:color w:val="000000" w:themeColor="text1"/>
          <w:sz w:val="16"/>
          <w:szCs w:val="16"/>
        </w:rPr>
        <w:softHyphen/>
        <w:t>изводству бомбардировщика Б-4 (Ту-4), главным конструктором которого назначи</w:t>
      </w:r>
      <w:r w:rsidRPr="00925F26">
        <w:rPr>
          <w:color w:val="000000" w:themeColor="text1"/>
          <w:sz w:val="16"/>
          <w:szCs w:val="16"/>
        </w:rPr>
        <w:softHyphen/>
        <w:t>ли А.Н.Туполева (12292).</w:t>
      </w:r>
    </w:p>
    <w:p w14:paraId="56ABAE29" w14:textId="77777777" w:rsidR="00500674" w:rsidRPr="00925F26" w:rsidRDefault="00500674" w:rsidP="00925F26">
      <w:pPr>
        <w:pStyle w:val="92"/>
        <w:shd w:val="clear" w:color="auto" w:fill="auto"/>
        <w:spacing w:after="0" w:line="240" w:lineRule="auto"/>
        <w:ind w:firstLine="0"/>
        <w:jc w:val="both"/>
        <w:rPr>
          <w:color w:val="000000" w:themeColor="text1"/>
          <w:sz w:val="16"/>
          <w:szCs w:val="16"/>
        </w:rPr>
      </w:pPr>
    </w:p>
    <w:p w14:paraId="134543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г. вышел Приказ Наркомата авиационной промышленности СССР о производстве на заводе № 22 бомбардировщика Б-4</w:t>
      </w:r>
    </w:p>
    <w:p w14:paraId="633848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Во исполнение решения Государственного Комитета Обороны от 6 июня 1945 г. приказываю:</w:t>
      </w:r>
    </w:p>
    <w:p w14:paraId="0146D3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Начальнику 10-го главного управления - заместителю наркома тов. Кузнецову А. И., директору завода № 22 - тов. Окулову и главному конструктору - тов. Туполеву организовать на заводе № 22 производство четырехмоторных бомбардировщиков Б-4.</w:t>
      </w:r>
    </w:p>
    <w:p w14:paraId="151B8B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Директору завода № 22 - тов. Окулову производство самолетов Пе-2 с двумя моторами ВК-105ПФ на заводе № 22 прекратить. Оставшийся задел по этому самолету использовать на выпуск 250 самолетов Пе-2 в учебном варианте (с двойным управлением).Производство бомбардировщиков Пе-2 с моторами ВК-107А прекратить.</w:t>
      </w:r>
    </w:p>
    <w:p w14:paraId="5CB0E4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Главным конструктором по самолету Б-4 назначить тов. Туполева А. Н.</w:t>
      </w:r>
    </w:p>
    <w:p w14:paraId="093B1C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 Главному конструктору тов. Туполеву немедленно приступить к разработке чертежей плазов и технической документации на самолете Б-4, считая эту работу первоочередной задачей конструкторского и производственного коллективов завода № 156; обеспечить сдачу заводу № 22 плазов и чертежей в следующие сроки:</w:t>
      </w:r>
    </w:p>
    <w:p w14:paraId="3BB648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Теоретические чертежи общих видов с 25 июня до 1 августа 1945 г.</w:t>
      </w:r>
    </w:p>
    <w:p w14:paraId="5B1AF8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Плазы общих видов агрегатов самолета с 15 июля до 15 сентября 1945 г.</w:t>
      </w:r>
    </w:p>
    <w:p w14:paraId="34AA61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Рабочие чертежи шасси с 15 июля до 1 ноября 1945 г.</w:t>
      </w:r>
    </w:p>
    <w:p w14:paraId="07603C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Рабочие чертежи и плазы: оперения с 1 августа до 1 ноября 1945 г.;</w:t>
      </w:r>
    </w:p>
    <w:p w14:paraId="120537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крыла с 1 августа до 1 ноября 1945 г.; моторных рам, капотов и мотогондол с 10 августа до 15 января 1946 г.; фюзеляжа, центроплана и управления самолетом с 15 августа до 1 февраля 1946 г.; рабочие чертежи узлов крепления, вооружения и оборудования с 1 сентября до 1 февраля 1946 г.</w:t>
      </w:r>
    </w:p>
    <w:p w14:paraId="6D32FE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 остальные рабочие чертежи и плазы передать до 15 марта 1946 г.</w:t>
      </w:r>
    </w:p>
    <w:p w14:paraId="586C12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В целях всемерного форсирования работ по самолету Б-4 создать на заводе № 22 в помощь основному ОКБ1 тов. Туполева опытно-конструкторское бюро по самолету Б-4 с включением в него всего личного состава ОКБ тов. Незваля, ОКБ тов. Мясищева на заводе № 22 и опытного цеха завода № 22.</w:t>
      </w:r>
    </w:p>
    <w:p w14:paraId="450B277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Главному конструктору - тов. Туполеву расстыковку самолета Б-4 на основные агрегаты, снятие теоретических обводов, демонтаж всего оборудования и передачу его заводам-смежникам произвести в г. Москве. Детальную разборку каркасов агрегатов и узлов самолета, изготовление рабочих плазов и детальных рабочих чертежей организовать на заводе № 22.</w:t>
      </w:r>
    </w:p>
    <w:p w14:paraId="57F64B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 Начальнику ВИАМ2 - тов. Туманову немедленно организовать изучение всех материалов и полуфабрикатов, из которых будет строиться самолет Б-4, и на все неосвоенные материалы подготовить совместно с главным конструктором тов. Туполевым техническую документацию для заказа этих материалов на соответствующих заводах.</w:t>
      </w:r>
    </w:p>
    <w:p w14:paraId="1EB312C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Начальнику ЦИАМ3 - тов. Поликовскому немедленно организовать изучение винтомоторной группы самолета Б-4 и провести необходимые испытания, обеспечивающие постановку на самолет моторов АШ-73 и специальных ТК. Представить не позднее 15 августа с. г. все материалы по результатам испытания.</w:t>
      </w:r>
    </w:p>
    <w:p w14:paraId="56E50F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 Начальнику ЦАГИ - тов. Шишкину немедленно организовать изучение аэродинамики и вопросов прочности самолета Б-4 и обеспечить проведение всех необходимых экспериментальных работ по плану, согласованному с главным конструктором тов. Туполевым.</w:t>
      </w:r>
    </w:p>
    <w:p w14:paraId="2C9BF05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 Начальнику НИСО - тов. Петрову немедленно организовать изучение оборудования самолета Б-4 и обеспечить подготовку технических условий и спецификаций для размещения заказов на заводах-поставщиках.</w:t>
      </w:r>
    </w:p>
    <w:p w14:paraId="755FC3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11. Директору завода № 22 - тов. Окулову и главному конструктору - тов. Туполеву немедленно приступить к подготовке производства самолета Б-4, организовав разработку технологии, проектирование оснастки и инструмента параллельно с изготовлением чертежей и плазов самолета Б-4 с таким расчетом, чтобы первые самолеты были выпущены в июле месяце 1946 г.</w:t>
      </w:r>
    </w:p>
    <w:p w14:paraId="75ECF7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 Главному конструктору - тов. Туполеву представить 23 июня спецификацию агрегатов и готовых изделий, подлежащих изготовлению на заводах НКАП4 и других наркоматов.</w:t>
      </w:r>
    </w:p>
    <w:p w14:paraId="1ED81D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 Имея в виду, что постановка производства новых четырехмоторных бомбардировщиков вызовет необходимость создания и освоения в серии нового, более совершенного самолетного оборудования, агрегатов, аппаратуры и новых материалов, заместителю наркома тов. Кузнецову А. И., заместителю наркома тов. Завитаеву, начальнику 4-го Главного управления тов. Брусникину, начальнику 5-го Главного управления тов. Гоце-ридзе, начальнику 9-го Главного управления тов. Белову, начальнику 14-го Главного управления тов. Еремееву, начальнику 17-го Главного управления тов. Балакиреву, начальнику 12-го Главного управления тов. Васильеву, начальнику Главснаба тов. Калинину и начальнику 13-го Главного управления тов. Фарманянцу представить к [...]5 июня с. г. мероприятия по обеспечению самолетов Б-4 готовыми изделиями, поковками и материалами.</w:t>
      </w:r>
    </w:p>
    <w:p w14:paraId="63EF25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 заказы по самолету Б-4 считать важнейшими и обеспечить выполнение их вне всякой очереди.</w:t>
      </w:r>
    </w:p>
    <w:p w14:paraId="6883BC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14. Заместителю народного комиссара - тов. Дементьеву П. В. выделить заводу № 22 необходимое оборудование для постановки на производство самолета Б-4.</w:t>
      </w:r>
    </w:p>
    <w:p w14:paraId="20D11BE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15. Назначить тов. Незваля И. Ф. Заместителем главного конструктора самолета Б-4 и начальником опытно-конструкторского бюро на заводе № 22, сохранив за ним присвоенное ему звание главного конструктора 2-й степени.</w:t>
      </w:r>
    </w:p>
    <w:p w14:paraId="1128521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16. Откомандировать в распоряжение главного конструктора тов. Туполева: тов. Мещерякова А. В., освободив его от работы на заводе № 153; тов. Минкнера К. В., освободив его от работы на заводе № 482.</w:t>
      </w:r>
    </w:p>
    <w:p w14:paraId="52E15E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Народный комиссар авиационной промышленности СССР А. Шахурин (подпись).</w:t>
      </w:r>
    </w:p>
    <w:p w14:paraId="2AF7CAB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РТ, ф. Р-2845, оп. 3, д. 309 а, л. 217-219 (11315).</w:t>
      </w:r>
    </w:p>
    <w:p w14:paraId="7F277C01" w14:textId="77777777" w:rsidR="006103B3" w:rsidRPr="00925F26" w:rsidRDefault="006103B3" w:rsidP="00925F26">
      <w:pPr>
        <w:autoSpaceDE w:val="0"/>
        <w:autoSpaceDN w:val="0"/>
        <w:adjustRightInd w:val="0"/>
        <w:jc w:val="both"/>
        <w:rPr>
          <w:color w:val="000000" w:themeColor="text1"/>
          <w:sz w:val="16"/>
          <w:szCs w:val="16"/>
        </w:rPr>
      </w:pPr>
    </w:p>
    <w:p w14:paraId="28CD29C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 22 июня 1945 года приказом НКАП № 263 на 22-м заводе началась подготовка к серийному производст</w:t>
      </w:r>
      <w:r w:rsidRPr="00925F26">
        <w:rPr>
          <w:color w:val="000000" w:themeColor="text1"/>
          <w:sz w:val="16"/>
          <w:szCs w:val="16"/>
        </w:rPr>
        <w:softHyphen/>
        <w:t>ву бомбардировщика Б-4 (Ту-4), главным конструкто</w:t>
      </w:r>
      <w:r w:rsidRPr="00925F26">
        <w:rPr>
          <w:color w:val="000000" w:themeColor="text1"/>
          <w:sz w:val="16"/>
          <w:szCs w:val="16"/>
        </w:rPr>
        <w:softHyphen/>
        <w:t>ром которого назначили А.Н.Туполева (11446).</w:t>
      </w:r>
    </w:p>
    <w:p w14:paraId="61C965A0" w14:textId="77777777" w:rsidR="006103B3" w:rsidRPr="00925F26" w:rsidRDefault="006103B3" w:rsidP="00925F26">
      <w:pPr>
        <w:autoSpaceDE w:val="0"/>
        <w:autoSpaceDN w:val="0"/>
        <w:adjustRightInd w:val="0"/>
        <w:jc w:val="both"/>
        <w:rPr>
          <w:color w:val="000000" w:themeColor="text1"/>
          <w:sz w:val="16"/>
          <w:szCs w:val="16"/>
        </w:rPr>
      </w:pPr>
    </w:p>
    <w:p w14:paraId="064CA8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спустя четыре года после начала войны, вышел приказ НКАП «об организации на заводе № 22 выпуска 4-моторных бомбардировщиков Б-4». Производство Пе-2 и вариантов с ВК-107А надлежало прекратить, задел использовать для выпуска 250 экземпляров в учебном варианте.</w:t>
      </w:r>
    </w:p>
    <w:p w14:paraId="45DFAC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заводскому приказу от 11 июля все внимание требовалось сосредоточить на новой машине. Главным конструктором назначался А.Н. Туполев. Цитируем этот приказ:</w:t>
      </w:r>
    </w:p>
    <w:p w14:paraId="30E920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«...Немедленно приступить к изготовлению чертежей Б-4. К 1 марту следующего года изготовить чертежи общих видов, плазы отдельных агрегатов, а также чертежи шасси, оперения, моторов, рам, капотов, мотогондол, фюзеляжа, центроплана, управление самолетом, узлов крепления вооружения и оборудования. Все остальные чертежи изготовить к 15 марта.</w:t>
      </w:r>
    </w:p>
    <w:p w14:paraId="7A895B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помощь заводу передаются ОКБ Незваля, Мясищева и опытный цех.</w:t>
      </w:r>
    </w:p>
    <w:p w14:paraId="02987C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Первые самолеты выпустить в июле 1946 г.</w:t>
      </w:r>
    </w:p>
    <w:p w14:paraId="2EDF8AC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Тов. Незваль назначается заместителем Главного конструктора Б-4 и начальником ОКБ.</w:t>
      </w:r>
    </w:p>
    <w:p w14:paraId="50DAFC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Командировать на завод № 156 из Казани 150 человек. ОКБ Мясищева влить в ОКБ завода № 22.</w:t>
      </w:r>
    </w:p>
    <w:p w14:paraId="7C2360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Передать на завод № 482 (Владыкино) два самолета Пе-2И, центроплан с увеличенным бомбоотсеком по чертежам ДБ-2, комплект крыльев ДБ-2, агрегаты, узлы и др. Сохранить серийную оснастку и инструмент по Пе-2 для последующей передачи другому серийному заводу. Передать Пе-2И № 04 и № 05 в цех № 60 (решение позднее отменено)» (12049).</w:t>
      </w:r>
    </w:p>
    <w:p w14:paraId="742FAF3E" w14:textId="77777777" w:rsidR="006103B3" w:rsidRPr="00925F26" w:rsidRDefault="006103B3" w:rsidP="00925F26">
      <w:pPr>
        <w:autoSpaceDE w:val="0"/>
        <w:autoSpaceDN w:val="0"/>
        <w:adjustRightInd w:val="0"/>
        <w:jc w:val="both"/>
        <w:rPr>
          <w:color w:val="000000" w:themeColor="text1"/>
          <w:sz w:val="16"/>
          <w:szCs w:val="16"/>
        </w:rPr>
      </w:pPr>
    </w:p>
    <w:p w14:paraId="6462C87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г. в связи с началом масштабных работ по Б-4 (Ту-4) в соответствии с пост. ГКО № 8934 от 6.06.1945 г., по приказу № 263сс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 (11982).</w:t>
      </w:r>
    </w:p>
    <w:p w14:paraId="3CB09F0C" w14:textId="77777777" w:rsidR="006103B3" w:rsidRPr="00925F26" w:rsidRDefault="006103B3" w:rsidP="00925F26">
      <w:pPr>
        <w:autoSpaceDE w:val="0"/>
        <w:autoSpaceDN w:val="0"/>
        <w:adjustRightInd w:val="0"/>
        <w:jc w:val="both"/>
        <w:rPr>
          <w:color w:val="000000" w:themeColor="text1"/>
          <w:sz w:val="16"/>
          <w:szCs w:val="16"/>
        </w:rPr>
      </w:pPr>
    </w:p>
    <w:p w14:paraId="305173C7" w14:textId="77777777" w:rsidR="001A271A" w:rsidRPr="001A0BAA" w:rsidRDefault="001A271A" w:rsidP="001A271A">
      <w:pPr>
        <w:jc w:val="both"/>
        <w:rPr>
          <w:color w:val="0070C0"/>
          <w:sz w:val="16"/>
          <w:szCs w:val="16"/>
        </w:rPr>
      </w:pPr>
      <w:r w:rsidRPr="001A0BAA">
        <w:rPr>
          <w:color w:val="0070C0"/>
          <w:sz w:val="16"/>
          <w:szCs w:val="16"/>
        </w:rPr>
        <w:t>22 июня 1945 г. вышел приказ НКАП № 263 во исполнение постановления ГКО от 6 июня о копировании В-29:</w:t>
      </w:r>
    </w:p>
    <w:p w14:paraId="3FD35E27" w14:textId="77777777" w:rsidR="001A271A" w:rsidRPr="001A0BAA" w:rsidRDefault="001A271A" w:rsidP="001A271A">
      <w:pPr>
        <w:jc w:val="both"/>
        <w:rPr>
          <w:color w:val="0070C0"/>
          <w:sz w:val="16"/>
          <w:szCs w:val="16"/>
        </w:rPr>
      </w:pPr>
      <w:r w:rsidRPr="001A0BAA">
        <w:rPr>
          <w:color w:val="0070C0"/>
          <w:sz w:val="16"/>
          <w:szCs w:val="16"/>
        </w:rPr>
        <w:t>«Главному конструктору тов. Туполеву немедленно приступить к разработке чертежей, планов и технической документации на самолёт Б-4, считая эту работу первоочередной задачей для конструкторского и производственного коллективов завода № 156… В целях всемерного форсирования работ по самолёту Б-4 создать на заводе № 22 в помощь основному ОКБ тов. Туполева опытно-конструкторское бюро по самолёту Б-4 с включением в него всего личного состава ОКБ тов. Незваля, ОКБ тов. Мясищева на заводе № 22 и опытного цеха завода № 22».</w:t>
      </w:r>
    </w:p>
    <w:p w14:paraId="2ACFD53C" w14:textId="77777777" w:rsidR="001A271A" w:rsidRPr="001A0BAA" w:rsidRDefault="001A271A" w:rsidP="001A271A">
      <w:pPr>
        <w:jc w:val="both"/>
        <w:rPr>
          <w:color w:val="0070C0"/>
          <w:sz w:val="16"/>
          <w:szCs w:val="16"/>
        </w:rPr>
      </w:pPr>
      <w:r w:rsidRPr="001A0BAA">
        <w:rPr>
          <w:color w:val="0070C0"/>
          <w:sz w:val="16"/>
          <w:szCs w:val="16"/>
        </w:rPr>
        <w:t>Далее приказом уточнялся круг задач различных организаций. Туполеву поручалось расстыковать В-29 на агрегаты, снять теоретические обводы, демонтировать оборудование и передать его соответствующим заводам; начальнику ВИАМ Туманову – организовать изучение всех конструкционных материалов B-29 и дать заказы заводам на неосвоенные материалы; начальнику ЦИАМ Поликовскому – организовать изучение винтомоторной группы и провести необходимые испытания и доработки, которые позволили бы поставить на новый самолёт отечественные двигатели АШ-73 и специальные турбокомпрессоры; начальнику ЦАГИ Шишкину – заняться изучением аэродинамики и прочности самолёта; начальнику Научного института самолётного оборудования – провести изучение оборудования B-29 и подготовить задания для заводов по его серийному выпуску (25184).</w:t>
      </w:r>
    </w:p>
    <w:p w14:paraId="02343B30" w14:textId="77777777" w:rsidR="001A271A" w:rsidRPr="001A0BAA" w:rsidRDefault="001A271A" w:rsidP="001A271A">
      <w:pPr>
        <w:jc w:val="both"/>
        <w:rPr>
          <w:color w:val="0070C0"/>
          <w:sz w:val="16"/>
          <w:szCs w:val="16"/>
        </w:rPr>
      </w:pPr>
    </w:p>
    <w:p w14:paraId="5ED25C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вышел приказ НКАП № 258с:</w:t>
      </w:r>
    </w:p>
    <w:p w14:paraId="474050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Во исполнение постановления ГКО № 9049с от 10 июня 1945 “О мероприятиях по строительству газосланцевых и сланцеперерабатывающих з-в”:</w:t>
      </w:r>
    </w:p>
    <w:p w14:paraId="095E8C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Нач. 9ГУ Белову передать НКХП ф-л з-да 496 в Ленинграде для организации горношахтного оборудования.</w:t>
      </w:r>
    </w:p>
    <w:p w14:paraId="0B5270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Шахурин (1895, 120).</w:t>
      </w:r>
    </w:p>
    <w:p w14:paraId="74A4E673" w14:textId="77777777" w:rsidR="006103B3" w:rsidRPr="00925F26" w:rsidRDefault="006103B3" w:rsidP="00925F26">
      <w:pPr>
        <w:autoSpaceDE w:val="0"/>
        <w:autoSpaceDN w:val="0"/>
        <w:adjustRightInd w:val="0"/>
        <w:jc w:val="both"/>
        <w:rPr>
          <w:color w:val="000000" w:themeColor="text1"/>
          <w:sz w:val="16"/>
          <w:szCs w:val="16"/>
        </w:rPr>
      </w:pPr>
    </w:p>
    <w:p w14:paraId="7529AD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г. металлургический филиал завода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образованный в 1940 г. на площадке ремонтно- механического завода НКПС в Ленинграде, по приказу № 258с был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w:t>
      </w:r>
    </w:p>
    <w:p w14:paraId="5AF7E4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приказу № 473с/847с от 22.12.1945 г. завод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925F26">
        <w:rPr>
          <w:color w:val="000000" w:themeColor="text1"/>
          <w:sz w:val="16"/>
          <w:szCs w:val="16"/>
          <w:vertAlign w:val="superscript"/>
        </w:rPr>
        <w:t>78</w:t>
      </w:r>
      <w:r w:rsidRPr="00925F26">
        <w:rPr>
          <w:color w:val="000000" w:themeColor="text1"/>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7311F7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134622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04AAEA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Всего к 2000 г. выпущено более 720 турбогенраторов и 83 тыс. крупных электрических машин.</w:t>
      </w:r>
    </w:p>
    <w:p w14:paraId="2BE8A3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(2000-е)- 1359 чел.</w:t>
      </w:r>
    </w:p>
    <w:p w14:paraId="16CE11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(1941 г.)- Н.В. Захаров, (-02-10.1944 г.-)- Соснушкин.</w:t>
      </w:r>
    </w:p>
    <w:p w14:paraId="7A87E21F" w14:textId="77777777" w:rsidR="006103B3" w:rsidRPr="00925F26" w:rsidRDefault="006103B3" w:rsidP="00925F26">
      <w:pPr>
        <w:jc w:val="both"/>
        <w:rPr>
          <w:color w:val="000000" w:themeColor="text1"/>
          <w:sz w:val="16"/>
          <w:szCs w:val="16"/>
        </w:rPr>
      </w:pPr>
      <w:r w:rsidRPr="00925F26">
        <w:rPr>
          <w:color w:val="000000" w:themeColor="text1"/>
          <w:sz w:val="16"/>
          <w:szCs w:val="16"/>
        </w:rPr>
        <w:t>Завод «Ленметаллургстрой» НКТП, «Ленкранстрой» НКМС /г. Ленинград/</w:t>
      </w:r>
    </w:p>
    <w:p w14:paraId="49FAB0C7" w14:textId="77777777" w:rsidR="006103B3" w:rsidRPr="00925F26" w:rsidRDefault="006103B3" w:rsidP="00925F26">
      <w:pPr>
        <w:jc w:val="both"/>
        <w:rPr>
          <w:color w:val="000000" w:themeColor="text1"/>
          <w:sz w:val="16"/>
          <w:szCs w:val="16"/>
        </w:rPr>
      </w:pPr>
      <w:r w:rsidRPr="00925F26">
        <w:rPr>
          <w:color w:val="000000" w:themeColor="text1"/>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315CA354" w14:textId="77777777" w:rsidR="006103B3" w:rsidRPr="00925F26" w:rsidRDefault="006103B3" w:rsidP="00925F26">
      <w:pPr>
        <w:jc w:val="both"/>
        <w:rPr>
          <w:color w:val="000000" w:themeColor="text1"/>
          <w:sz w:val="16"/>
          <w:szCs w:val="16"/>
        </w:rPr>
      </w:pPr>
      <w:r w:rsidRPr="00925F26">
        <w:rPr>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49F2899C" w14:textId="77777777" w:rsidR="006103B3" w:rsidRPr="00925F26" w:rsidRDefault="006103B3" w:rsidP="00925F26">
      <w:pPr>
        <w:jc w:val="both"/>
        <w:rPr>
          <w:color w:val="000000" w:themeColor="text1"/>
          <w:sz w:val="16"/>
          <w:szCs w:val="16"/>
        </w:rPr>
      </w:pPr>
      <w:r w:rsidRPr="00925F26">
        <w:rPr>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w:t>
      </w:r>
    </w:p>
    <w:p w14:paraId="7895F312" w14:textId="77777777" w:rsidR="006103B3" w:rsidRPr="00925F26" w:rsidRDefault="006103B3" w:rsidP="00925F26">
      <w:pPr>
        <w:jc w:val="both"/>
        <w:rPr>
          <w:color w:val="000000" w:themeColor="text1"/>
          <w:sz w:val="16"/>
          <w:szCs w:val="16"/>
        </w:rPr>
      </w:pPr>
      <w:r w:rsidRPr="00925F26">
        <w:rPr>
          <w:color w:val="000000" w:themeColor="text1"/>
          <w:sz w:val="16"/>
          <w:szCs w:val="16"/>
        </w:rPr>
        <w:t>Ленинградский завод строительного машиностроения (ЛЗСМ), Машиностроительная фирма (МФ) «ЛЗСМ», МФ «Барс», АООТ «МФ «Барс»</w:t>
      </w:r>
    </w:p>
    <w:p w14:paraId="2B9AEBB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715237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w:t>
      </w:r>
      <w:r w:rsidRPr="00925F26">
        <w:rPr>
          <w:color w:val="000000" w:themeColor="text1"/>
          <w:sz w:val="16"/>
          <w:szCs w:val="16"/>
        </w:rPr>
        <w:lastRenderedPageBreak/>
        <w:t>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7A368F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925F26">
        <w:rPr>
          <w:color w:val="000000" w:themeColor="text1"/>
          <w:sz w:val="16"/>
          <w:szCs w:val="16"/>
          <w:vertAlign w:val="superscript"/>
        </w:rPr>
        <w:t>131</w:t>
      </w:r>
    </w:p>
    <w:p w14:paraId="1A2BF68C" w14:textId="77777777" w:rsidR="006103B3" w:rsidRPr="00925F26" w:rsidRDefault="006103B3" w:rsidP="00925F26">
      <w:pPr>
        <w:jc w:val="both"/>
        <w:rPr>
          <w:color w:val="000000" w:themeColor="text1"/>
          <w:sz w:val="16"/>
          <w:szCs w:val="16"/>
        </w:rPr>
      </w:pPr>
      <w:r w:rsidRPr="00925F26">
        <w:rPr>
          <w:color w:val="000000" w:themeColor="text1"/>
          <w:sz w:val="16"/>
          <w:szCs w:val="16"/>
        </w:rPr>
        <w:t>НПО «Ленстройробот»</w:t>
      </w:r>
    </w:p>
    <w:p w14:paraId="239E12A2" w14:textId="77777777" w:rsidR="006103B3" w:rsidRPr="00925F26" w:rsidRDefault="006103B3" w:rsidP="00925F26">
      <w:pPr>
        <w:jc w:val="both"/>
        <w:rPr>
          <w:color w:val="000000" w:themeColor="text1"/>
          <w:sz w:val="16"/>
          <w:szCs w:val="16"/>
        </w:rPr>
      </w:pPr>
      <w:r w:rsidRPr="00925F26">
        <w:rPr>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023D860E" w14:textId="77777777" w:rsidR="008C0D43" w:rsidRPr="00925F26" w:rsidRDefault="008C0D43" w:rsidP="00925F26">
      <w:pPr>
        <w:jc w:val="both"/>
        <w:rPr>
          <w:color w:val="000000" w:themeColor="text1"/>
          <w:sz w:val="16"/>
          <w:szCs w:val="16"/>
        </w:rPr>
      </w:pPr>
    </w:p>
    <w:p w14:paraId="0D4C7937" w14:textId="77777777" w:rsidR="006103B3" w:rsidRPr="00925F26" w:rsidRDefault="006103B3" w:rsidP="00925F26">
      <w:pPr>
        <w:jc w:val="both"/>
        <w:rPr>
          <w:color w:val="000000" w:themeColor="text1"/>
          <w:sz w:val="16"/>
          <w:szCs w:val="16"/>
        </w:rPr>
      </w:pPr>
      <w:r w:rsidRPr="00925F26">
        <w:rPr>
          <w:color w:val="000000" w:themeColor="text1"/>
          <w:sz w:val="16"/>
          <w:szCs w:val="16"/>
        </w:rPr>
        <w:t>22 июня 1945 г. по приказу № 258с металлургический филиал передан в ведение НКугля. В соответствии с пост. СНК от 10.06.1945 г. и приказом НКУП от 15 мюня 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49D2FA50" w14:textId="77777777" w:rsidR="006103B3" w:rsidRPr="00925F26" w:rsidRDefault="006103B3" w:rsidP="00925F26">
      <w:pPr>
        <w:jc w:val="both"/>
        <w:rPr>
          <w:color w:val="000000" w:themeColor="text1"/>
          <w:sz w:val="16"/>
          <w:szCs w:val="16"/>
        </w:rPr>
      </w:pPr>
      <w:r w:rsidRPr="00925F26">
        <w:rPr>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DD9BCE6" w14:textId="77777777" w:rsidR="006103B3" w:rsidRPr="00925F26" w:rsidRDefault="006103B3" w:rsidP="00925F26">
      <w:pPr>
        <w:jc w:val="both"/>
        <w:rPr>
          <w:color w:val="000000" w:themeColor="text1"/>
          <w:sz w:val="16"/>
          <w:szCs w:val="16"/>
        </w:rPr>
      </w:pPr>
      <w:r w:rsidRPr="00925F26">
        <w:rPr>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баланс.131</w:t>
      </w:r>
    </w:p>
    <w:p w14:paraId="6530990C" w14:textId="77777777" w:rsidR="006103B3" w:rsidRPr="00925F26" w:rsidRDefault="006103B3" w:rsidP="00925F26">
      <w:pPr>
        <w:jc w:val="both"/>
        <w:rPr>
          <w:color w:val="000000" w:themeColor="text1"/>
          <w:sz w:val="16"/>
          <w:szCs w:val="16"/>
        </w:rPr>
      </w:pPr>
      <w:r w:rsidRPr="00925F26">
        <w:rPr>
          <w:color w:val="000000" w:themeColor="text1"/>
          <w:sz w:val="16"/>
          <w:szCs w:val="16"/>
        </w:rPr>
        <w:t>НПО «Ленстройробот»</w:t>
      </w:r>
    </w:p>
    <w:p w14:paraId="146C44DE" w14:textId="77777777" w:rsidR="006103B3" w:rsidRPr="00925F26" w:rsidRDefault="006103B3" w:rsidP="00925F26">
      <w:pPr>
        <w:jc w:val="both"/>
        <w:rPr>
          <w:color w:val="000000" w:themeColor="text1"/>
          <w:sz w:val="16"/>
          <w:szCs w:val="16"/>
        </w:rPr>
      </w:pPr>
      <w:r w:rsidRPr="00925F26">
        <w:rPr>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189AB485" w14:textId="77777777" w:rsidR="006103B3" w:rsidRPr="00925F26" w:rsidRDefault="006103B3" w:rsidP="00925F26">
      <w:pPr>
        <w:jc w:val="both"/>
        <w:rPr>
          <w:color w:val="000000" w:themeColor="text1"/>
          <w:sz w:val="16"/>
          <w:szCs w:val="16"/>
        </w:rPr>
      </w:pPr>
    </w:p>
    <w:p w14:paraId="020C0AD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вышло Распоряжение ГКО № 9182. О снижении лимитов отпуска электроэнергии для предприятий НКАП и увеличении - для предприятий НКтекстиля, НКММП, московского трамвая и троллейбуса, строительства газопровода Саратов-Москва, предприятий НК ТП Омской обл. РГАНИР, Фонд ГКО, д. 430, лл. 9 (11012).</w:t>
      </w:r>
    </w:p>
    <w:p w14:paraId="2307A5C1" w14:textId="77777777" w:rsidR="006103B3" w:rsidRPr="00925F26" w:rsidRDefault="006103B3" w:rsidP="00925F26">
      <w:pPr>
        <w:autoSpaceDE w:val="0"/>
        <w:autoSpaceDN w:val="0"/>
        <w:adjustRightInd w:val="0"/>
        <w:jc w:val="both"/>
        <w:rPr>
          <w:color w:val="000000" w:themeColor="text1"/>
          <w:sz w:val="16"/>
          <w:szCs w:val="16"/>
        </w:rPr>
      </w:pPr>
    </w:p>
    <w:p w14:paraId="776EAEEF"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6C3A0527" w14:textId="77777777" w:rsidR="006103B3" w:rsidRPr="00925F26" w:rsidRDefault="006103B3" w:rsidP="00925F26">
      <w:pPr>
        <w:autoSpaceDE w:val="0"/>
        <w:autoSpaceDN w:val="0"/>
        <w:adjustRightInd w:val="0"/>
        <w:jc w:val="both"/>
        <w:rPr>
          <w:iCs/>
          <w:color w:val="000000" w:themeColor="text1"/>
          <w:sz w:val="16"/>
          <w:szCs w:val="16"/>
        </w:rPr>
      </w:pPr>
    </w:p>
    <w:p w14:paraId="08E48C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вышло Распоряжение ГКО № 9177. О сокращении поставок топочного мазута НКХП и НКБ и увеличении - НКрыбпрому и НКПСМ. РГАНИР, Фонд ГКО, д. 430, лл. 1 (11012).</w:t>
      </w:r>
    </w:p>
    <w:p w14:paraId="42F2A4EB" w14:textId="77777777" w:rsidR="006103B3" w:rsidRPr="00925F26" w:rsidRDefault="006103B3" w:rsidP="00925F26">
      <w:pPr>
        <w:autoSpaceDE w:val="0"/>
        <w:autoSpaceDN w:val="0"/>
        <w:adjustRightInd w:val="0"/>
        <w:jc w:val="both"/>
        <w:rPr>
          <w:color w:val="000000" w:themeColor="text1"/>
          <w:sz w:val="16"/>
          <w:szCs w:val="16"/>
        </w:rPr>
      </w:pPr>
    </w:p>
    <w:p w14:paraId="71ADB5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вышло Распоряжение ГКО № 9178. О компенсации расхода угля, дополнительно выделенного НКПС, за счет НКБ. РГАНИР, Фонд ГКО, д. 430, лл. 2 (11012).</w:t>
      </w:r>
    </w:p>
    <w:p w14:paraId="3011DE7C" w14:textId="77777777" w:rsidR="006103B3" w:rsidRPr="00925F26" w:rsidRDefault="006103B3" w:rsidP="00925F26">
      <w:pPr>
        <w:autoSpaceDE w:val="0"/>
        <w:autoSpaceDN w:val="0"/>
        <w:adjustRightInd w:val="0"/>
        <w:jc w:val="both"/>
        <w:rPr>
          <w:color w:val="000000" w:themeColor="text1"/>
          <w:sz w:val="16"/>
          <w:szCs w:val="16"/>
        </w:rPr>
      </w:pPr>
    </w:p>
    <w:p w14:paraId="389110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вышло Распоряжение ГКО № 9179. О передаче Грозненской ТЭЦ НКЭС импортной турбины. РГАНИР, Фонд ГКО, д. 430, лл. 3 (11012).</w:t>
      </w:r>
    </w:p>
    <w:p w14:paraId="303FE11F" w14:textId="77777777" w:rsidR="006103B3" w:rsidRPr="00925F26" w:rsidRDefault="006103B3" w:rsidP="00925F26">
      <w:pPr>
        <w:autoSpaceDE w:val="0"/>
        <w:autoSpaceDN w:val="0"/>
        <w:adjustRightInd w:val="0"/>
        <w:jc w:val="both"/>
        <w:rPr>
          <w:color w:val="000000" w:themeColor="text1"/>
          <w:sz w:val="16"/>
          <w:szCs w:val="16"/>
        </w:rPr>
      </w:pPr>
    </w:p>
    <w:p w14:paraId="1DAC3403"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июня 1945 вышло Распоряжение ГКО № 9180 [О повышении должностных окладов руководящим работникам Московско-Киевской ж.д.] (7352, 4).</w:t>
      </w:r>
    </w:p>
    <w:p w14:paraId="7254111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E20431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июня 1945 вышло Распоряжение ГКО № 9181 [О графике перевозки военнопленных для работы в СССР.] (7352, 5,6-7).</w:t>
      </w:r>
    </w:p>
    <w:p w14:paraId="56BAE24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A87D9F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г. приказом по Госплану СССР № 820 группа товаров ширпотреба была преобразована в отдел производства товаров широкого потребления, включавший 4 сектора: товарооборота, реализации товаров, производства товаров широкого потребления и общественного питания (7543).</w:t>
      </w:r>
    </w:p>
    <w:p w14:paraId="28C0E112" w14:textId="77777777" w:rsidR="006103B3" w:rsidRPr="00925F26" w:rsidRDefault="006103B3" w:rsidP="00925F26">
      <w:pPr>
        <w:autoSpaceDE w:val="0"/>
        <w:autoSpaceDN w:val="0"/>
        <w:adjustRightInd w:val="0"/>
        <w:jc w:val="both"/>
        <w:rPr>
          <w:color w:val="000000" w:themeColor="text1"/>
          <w:sz w:val="16"/>
          <w:szCs w:val="16"/>
        </w:rPr>
      </w:pPr>
    </w:p>
    <w:p w14:paraId="0A87464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22 июня 1945 года. была подготовлена справка Контрольно-ревизионного управления НКФ СССР:</w:t>
      </w:r>
    </w:p>
    <w:p w14:paraId="02A1053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«Многих руководителей предприятий, глав</w:t>
      </w:r>
      <w:r w:rsidRPr="00925F26">
        <w:rPr>
          <w:color w:val="000000" w:themeColor="text1"/>
          <w:sz w:val="16"/>
          <w:szCs w:val="16"/>
        </w:rPr>
        <w:softHyphen/>
        <w:t>ков и наркоматов, — говорится в документе, — мало беспокоит, что в результате нарушения принципов хозрасчета они попадают в тяжелое финансовое положение. Многие из них не только не заботятся о сохранении и преумножении выделенных им госу</w:t>
      </w:r>
      <w:r w:rsidRPr="00925F26">
        <w:rPr>
          <w:color w:val="000000" w:themeColor="text1"/>
          <w:sz w:val="16"/>
          <w:szCs w:val="16"/>
        </w:rPr>
        <w:softHyphen/>
        <w:t>дарством средств, но, наоборот, пытаются свою плохую работу «забалансировать» за счет государственного бюджета. Проще го</w:t>
      </w:r>
      <w:r w:rsidRPr="00925F26">
        <w:rPr>
          <w:color w:val="000000" w:themeColor="text1"/>
          <w:sz w:val="16"/>
          <w:szCs w:val="16"/>
        </w:rPr>
        <w:softHyphen/>
        <w:t>воря, не чувствуют никакой моральной и не несут никакой мате</w:t>
      </w:r>
      <w:r w:rsidRPr="00925F26">
        <w:rPr>
          <w:color w:val="000000" w:themeColor="text1"/>
          <w:sz w:val="16"/>
          <w:szCs w:val="16"/>
        </w:rPr>
        <w:softHyphen/>
        <w:t>риальной ответственности. Например, Наркомат боеприпасов план накопления выполнил в 4-м квартале 1944 г. только на 53,3%, обязательств перед бюджетом невыполнил и, кроме того, получил дефицит оборотных средств на сумму свыше 200 млн. руб. Перерасход финансовых средств и бесхозяйственные поте</w:t>
      </w:r>
      <w:r w:rsidRPr="00925F26">
        <w:rPr>
          <w:color w:val="000000" w:themeColor="text1"/>
          <w:sz w:val="16"/>
          <w:szCs w:val="16"/>
        </w:rPr>
        <w:softHyphen/>
        <w:t>ри, отнесенные на себестоимость продукции, только по одному этому наркомату составили в 1944 г. свыше 0,5 млд. руб.» (РГАЭ ф. 7733, оп. 36, д. 1927, л. 98) (1566)</w:t>
      </w:r>
    </w:p>
    <w:p w14:paraId="7651D18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BDF9A2F"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C2AD6C4" w14:textId="77777777" w:rsidR="006103B3" w:rsidRPr="00925F26" w:rsidRDefault="006103B3" w:rsidP="00925F26">
      <w:pPr>
        <w:autoSpaceDE w:val="0"/>
        <w:autoSpaceDN w:val="0"/>
        <w:adjustRightInd w:val="0"/>
        <w:jc w:val="both"/>
        <w:rPr>
          <w:iCs/>
          <w:color w:val="000000" w:themeColor="text1"/>
          <w:sz w:val="16"/>
          <w:szCs w:val="16"/>
        </w:rPr>
      </w:pPr>
    </w:p>
    <w:p w14:paraId="627DE0F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22-23 июня 1945 XII сессия Верховного Совета СССР. Принятие Закона о демобилизации старших возрастов личного состава действующей армии (4962).</w:t>
      </w:r>
    </w:p>
    <w:p w14:paraId="122B38D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F2F9DC4" w14:textId="77777777" w:rsidR="008C0D43" w:rsidRPr="00925F26" w:rsidRDefault="008C0D43" w:rsidP="00925F26">
      <w:pPr>
        <w:jc w:val="both"/>
        <w:rPr>
          <w:color w:val="000000" w:themeColor="text1"/>
          <w:sz w:val="16"/>
          <w:szCs w:val="16"/>
        </w:rPr>
      </w:pPr>
      <w:r w:rsidRPr="00925F26">
        <w:rPr>
          <w:color w:val="000000" w:themeColor="text1"/>
          <w:sz w:val="16"/>
          <w:szCs w:val="16"/>
        </w:rPr>
        <w:t>22 июня в 1945 году (22-23 июня) XII сессия Верховного Совета СССР первого созыва, принявшая Закон о демобилизации старших возрастов личного состава действующей армии (всего до 3 млн. человек) (14930).</w:t>
      </w:r>
    </w:p>
    <w:p w14:paraId="00C43B01" w14:textId="77777777" w:rsidR="008C0D43" w:rsidRPr="00925F26" w:rsidRDefault="008C0D43" w:rsidP="00925F26">
      <w:pPr>
        <w:jc w:val="both"/>
        <w:rPr>
          <w:color w:val="000000" w:themeColor="text1"/>
          <w:sz w:val="16"/>
          <w:szCs w:val="16"/>
        </w:rPr>
      </w:pPr>
    </w:p>
    <w:p w14:paraId="03183DD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408A4CA" w14:textId="77777777" w:rsidR="006103B3" w:rsidRPr="00925F26" w:rsidRDefault="006103B3" w:rsidP="00925F26">
      <w:pPr>
        <w:autoSpaceDE w:val="0"/>
        <w:autoSpaceDN w:val="0"/>
        <w:adjustRightInd w:val="0"/>
        <w:jc w:val="both"/>
        <w:rPr>
          <w:iCs/>
          <w:color w:val="000000" w:themeColor="text1"/>
          <w:sz w:val="16"/>
          <w:szCs w:val="16"/>
        </w:rPr>
      </w:pPr>
    </w:p>
    <w:p w14:paraId="6AA6B6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 июня 1945 в Москве было сформировано правительство национального единства Польши (2070,238).</w:t>
      </w:r>
    </w:p>
    <w:p w14:paraId="18AAB72E" w14:textId="77777777" w:rsidR="006103B3" w:rsidRPr="00925F26" w:rsidRDefault="006103B3" w:rsidP="00925F26">
      <w:pPr>
        <w:autoSpaceDE w:val="0"/>
        <w:autoSpaceDN w:val="0"/>
        <w:adjustRightInd w:val="0"/>
        <w:jc w:val="both"/>
        <w:rPr>
          <w:color w:val="000000" w:themeColor="text1"/>
          <w:sz w:val="16"/>
          <w:szCs w:val="16"/>
        </w:rPr>
      </w:pPr>
    </w:p>
    <w:p w14:paraId="684211D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9B32C70" w14:textId="77777777" w:rsidR="006103B3" w:rsidRPr="00925F26" w:rsidRDefault="006103B3" w:rsidP="00925F26">
      <w:pPr>
        <w:autoSpaceDE w:val="0"/>
        <w:autoSpaceDN w:val="0"/>
        <w:adjustRightInd w:val="0"/>
        <w:jc w:val="both"/>
        <w:rPr>
          <w:iCs/>
          <w:color w:val="000000" w:themeColor="text1"/>
          <w:sz w:val="16"/>
          <w:szCs w:val="16"/>
        </w:rPr>
      </w:pPr>
    </w:p>
    <w:p w14:paraId="79BC9B87" w14:textId="77777777" w:rsidR="00BA6D09" w:rsidRPr="00925F26" w:rsidRDefault="00BA6D09" w:rsidP="00925F26">
      <w:pPr>
        <w:jc w:val="both"/>
        <w:rPr>
          <w:color w:val="000000" w:themeColor="text1"/>
          <w:sz w:val="16"/>
          <w:szCs w:val="16"/>
        </w:rPr>
      </w:pPr>
      <w:r w:rsidRPr="00925F26">
        <w:rPr>
          <w:color w:val="000000" w:themeColor="text1"/>
          <w:sz w:val="16"/>
          <w:szCs w:val="16"/>
        </w:rPr>
        <w:t xml:space="preserve">22 июня в 1945 году взлетел третий прототип английского среднемагистрального пассажирского самолета </w:t>
      </w:r>
      <w:hyperlink r:id="rId154" w:tgtFrame="_blank" w:history="1">
        <w:r w:rsidRPr="00925F26">
          <w:rPr>
            <w:color w:val="000000" w:themeColor="text1"/>
            <w:sz w:val="16"/>
            <w:szCs w:val="16"/>
          </w:rPr>
          <w:t xml:space="preserve">"Викинг". </w:t>
        </w:r>
      </w:hyperlink>
      <w:r w:rsidRPr="00925F26">
        <w:rPr>
          <w:color w:val="000000" w:themeColor="text1"/>
          <w:sz w:val="16"/>
          <w:szCs w:val="16"/>
        </w:rPr>
        <w:t>Он стал первым послевоенным лайнером, отвечавшим требованиям ИКАО к взлету с одним остановленным мотором. В топливные баки, расположенные в крыле и мотогондолах, заливалось до 4550 л бензина, что обеспечивало дальность 2740 км при скорости 340 км/ ч на высоте 3000 м (14930).</w:t>
      </w:r>
    </w:p>
    <w:p w14:paraId="53A777E3" w14:textId="77777777" w:rsidR="00BA6D09" w:rsidRPr="00925F26" w:rsidRDefault="00BA6D09" w:rsidP="00925F26">
      <w:pPr>
        <w:jc w:val="both"/>
        <w:rPr>
          <w:color w:val="000000" w:themeColor="text1"/>
          <w:sz w:val="16"/>
          <w:szCs w:val="16"/>
        </w:rPr>
      </w:pPr>
    </w:p>
    <w:p w14:paraId="139453C3" w14:textId="77777777" w:rsidR="0044284D" w:rsidRPr="00925F26" w:rsidRDefault="0044284D" w:rsidP="00925F26">
      <w:pPr>
        <w:jc w:val="both"/>
        <w:rPr>
          <w:color w:val="000000" w:themeColor="text1"/>
          <w:sz w:val="16"/>
          <w:szCs w:val="16"/>
        </w:rPr>
      </w:pPr>
      <w:r w:rsidRPr="00925F26">
        <w:rPr>
          <w:color w:val="000000" w:themeColor="text1"/>
          <w:sz w:val="16"/>
          <w:szCs w:val="16"/>
        </w:rPr>
        <w:t>22 июня 1945 первый полет Vickers Viking, прототипа G-AGOK (20371).</w:t>
      </w:r>
    </w:p>
    <w:p w14:paraId="3C5E11F8" w14:textId="77777777" w:rsidR="0044284D" w:rsidRPr="00925F26" w:rsidRDefault="0044284D" w:rsidP="00925F26">
      <w:pPr>
        <w:jc w:val="both"/>
        <w:rPr>
          <w:color w:val="000000" w:themeColor="text1"/>
          <w:sz w:val="16"/>
          <w:szCs w:val="16"/>
        </w:rPr>
      </w:pPr>
    </w:p>
    <w:p w14:paraId="7FE41E6C" w14:textId="302C326E" w:rsidR="0044284D" w:rsidRPr="00925F26" w:rsidRDefault="0044284D" w:rsidP="00925F26">
      <w:pPr>
        <w:jc w:val="both"/>
        <w:rPr>
          <w:color w:val="000000" w:themeColor="text1"/>
          <w:sz w:val="16"/>
          <w:szCs w:val="16"/>
        </w:rPr>
      </w:pPr>
      <w:r w:rsidRPr="00925F26">
        <w:rPr>
          <w:color w:val="000000" w:themeColor="text1"/>
          <w:sz w:val="16"/>
          <w:szCs w:val="16"/>
        </w:rPr>
        <w:t>22 июня 1945</w:t>
      </w:r>
      <w:r w:rsidR="00997EDF" w:rsidRPr="00925F26">
        <w:rPr>
          <w:color w:val="000000" w:themeColor="text1"/>
          <w:sz w:val="16"/>
          <w:szCs w:val="16"/>
        </w:rPr>
        <w:t xml:space="preserve">  </w:t>
      </w:r>
      <w:r w:rsidRPr="00925F26">
        <w:rPr>
          <w:color w:val="000000" w:themeColor="text1"/>
          <w:sz w:val="16"/>
          <w:szCs w:val="16"/>
        </w:rPr>
        <w:t>-</w:t>
      </w:r>
      <w:r w:rsidR="00997EDF" w:rsidRPr="00925F26">
        <w:rPr>
          <w:color w:val="000000" w:themeColor="text1"/>
          <w:sz w:val="16"/>
          <w:szCs w:val="16"/>
        </w:rPr>
        <w:t xml:space="preserve">    </w:t>
      </w:r>
      <w:r w:rsidRPr="00925F26">
        <w:rPr>
          <w:color w:val="000000" w:themeColor="text1"/>
          <w:sz w:val="16"/>
          <w:szCs w:val="16"/>
        </w:rPr>
        <w:t>Взлетел первый прототип английского среднемагистрального пассажирского самолета "Викинг" (фирменное обозначение Тип 491, регистрационный номер G-AGOK) под управлением лётчика-испытателя Мата Саммерса (Mutt Summers) — первого пилота знаменитого «Спитфайра». Он стал первым послевоенным лайнером, отвечавшим требованиям ИКАО к взлету с одним остановленным мотором. В топливные баки, расположенные в крыле и мотогондолах, заливалось до 4550 л бензина, что обеспечивало дальность 2740 км при скорости 340 км/ ч на высоте 3000 м.</w:t>
      </w:r>
    </w:p>
    <w:p w14:paraId="6D701270" w14:textId="77777777" w:rsidR="0044284D" w:rsidRPr="00925F26" w:rsidRDefault="0044284D" w:rsidP="00925F26">
      <w:pPr>
        <w:jc w:val="both"/>
        <w:rPr>
          <w:color w:val="000000" w:themeColor="text1"/>
          <w:sz w:val="16"/>
          <w:szCs w:val="16"/>
        </w:rPr>
      </w:pPr>
      <w:r w:rsidRPr="00925F26">
        <w:rPr>
          <w:color w:val="000000" w:themeColor="text1"/>
          <w:sz w:val="16"/>
          <w:szCs w:val="16"/>
        </w:rPr>
        <w:t>Один из «Викингов» на стадии производства был оснащен двумя турбореактивными двигателями Роллс-Ройс Нин. Этот самолёт, совершивший свой первый полёт 6 апреля 1946 года, стал первым в мире реактивным авиалайнером, хотя и экспериментальным. Самолёт получил заводское обозначение Тип 618 Нин-Викинг (22453).</w:t>
      </w:r>
    </w:p>
    <w:p w14:paraId="7F80409B" w14:textId="77777777" w:rsidR="0044284D" w:rsidRPr="00925F26" w:rsidRDefault="0044284D" w:rsidP="00925F26">
      <w:pPr>
        <w:jc w:val="both"/>
        <w:rPr>
          <w:color w:val="000000" w:themeColor="text1"/>
          <w:sz w:val="16"/>
          <w:szCs w:val="16"/>
        </w:rPr>
      </w:pPr>
    </w:p>
    <w:p w14:paraId="5AAF246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22 июня 1945 Американская 10-я армия окончательно овладела островом Окинава. Командующий японскими войсками на острове генерал-лейтенант Митсуру Ушиджима И все офицеры его штаба покончили жизнь самоубийством (4963 ).</w:t>
      </w:r>
    </w:p>
    <w:p w14:paraId="0C1403D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6E538E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22 июня 1945 г. было очередное боевое применение самолетов-снарядов. В три часа утра в воздух поднялись 6 носителей самолетов-снарядов Ока и 8 Зеро с 250-килограммовыми бомбами. В последний боевой вылет «Богов грома» сопровождало 66 истребителей. Через час полета 25 истребителей из-за неполадок в двигателях </w:t>
      </w:r>
      <w:r w:rsidRPr="00925F26">
        <w:rPr>
          <w:color w:val="000000" w:themeColor="text1"/>
          <w:sz w:val="16"/>
          <w:szCs w:val="16"/>
        </w:rPr>
        <w:lastRenderedPageBreak/>
        <w:t>вернулось на базу. Спустя некоторое время оставшиеся истребители вступили в бой с американскими самолетами, а камикадзе продолжили полет к Окинаве без прикрытия. Истребительно-авиационный заслон американских кораблей сбил четыре Бетти с самолетами Ока на борту. Два других носителя вернулись на базу, так и не применив своего оружия. Это был провал последнего вылета «Богов грома», и одновременно провал последней операции «Кикусуй». В ходе этой операции японцы потопили один корабль, три было поражено, в результате чего они были исключены из списков, и один корабль вышел из строя на срок более месяца.</w:t>
      </w:r>
    </w:p>
    <w:p w14:paraId="52C608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корпус «Боги грома» понес тяжелые потери, так и не раскрыв все свои потенциальные боевые возможности. Из 185 самолетов Ока, использованных для атак, 118 были уничтожены противником, унесены жизни 438 летчиков, в том числе 56 пилотов самолетов-снарядов. Всего было построено 852 самолета Ока различных вариантов (Иванов Ю.Г. Камикадзе: пилоты-смертники. Смоленск: Русич, 2001.). Из них к марту 1945 г.было выпущено 755 Окамодель 11 (Navy Suicide Attacker Ohka Model 11).</w:t>
      </w:r>
    </w:p>
    <w:p w14:paraId="1232DB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Кроме рассмотренных выше моделей, были изготовлены опытные образцы и в проекте существовала одноместная «модель 11» со стальным крылом pазpаботки Hакадзимы; «модель 21» – планер «модели 22» с двигателем «модели 11»; «модель 53» с туpбоpеактивным двигателем Nе-20, котоpую планиpовалось доставлять к цели на буксиpе за дpугим самолетом и т.д. (Иванов Ю.Г. Камикадзе: пилоты-смертники. Смоленск: Русич, 2001; Хроника (ЭИ № 55, ноябрь 1945 г.); Захват на Окинаве неповрежденного «Бака». Авиация во время Второй мировой войны. Совместный выпуск 1 КрыльяДайджест и Авиационного сборника, ЦАГИ, 1995. С. 76.).</w:t>
      </w:r>
    </w:p>
    <w:p w14:paraId="442E58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целом комбинация G4М2Е/Ока не оправдала надежд японского императорского флота – носители были слишком тяжелыми и медленными, чтобы действовать в условиях превосходства авиации союзников.</w:t>
      </w:r>
    </w:p>
    <w:p w14:paraId="4100F7B9" w14:textId="77777777" w:rsidR="006103B3" w:rsidRPr="00925F26" w:rsidRDefault="006103B3" w:rsidP="00925F26">
      <w:pPr>
        <w:autoSpaceDE w:val="0"/>
        <w:autoSpaceDN w:val="0"/>
        <w:adjustRightInd w:val="0"/>
        <w:jc w:val="both"/>
        <w:rPr>
          <w:color w:val="000000" w:themeColor="text1"/>
          <w:sz w:val="16"/>
          <w:szCs w:val="16"/>
        </w:rPr>
      </w:pPr>
    </w:p>
    <w:p w14:paraId="5FE9D26A" w14:textId="77777777" w:rsidR="0044284D" w:rsidRPr="00925F26" w:rsidRDefault="0044284D" w:rsidP="00925F26">
      <w:pPr>
        <w:jc w:val="both"/>
        <w:rPr>
          <w:color w:val="000000" w:themeColor="text1"/>
          <w:sz w:val="16"/>
          <w:szCs w:val="16"/>
        </w:rPr>
      </w:pPr>
      <w:r w:rsidRPr="00925F26">
        <w:rPr>
          <w:color w:val="000000" w:themeColor="text1"/>
          <w:sz w:val="16"/>
          <w:szCs w:val="16"/>
        </w:rPr>
        <w:t>22 июня 1945 412 B-29 сбросили 2290 тонн (2 077 474 кг) бомб на Куре, Вакаяму и другие города Японии (20371).</w:t>
      </w:r>
    </w:p>
    <w:p w14:paraId="283A0AC5" w14:textId="77777777" w:rsidR="0044284D" w:rsidRPr="00925F26" w:rsidRDefault="0044284D" w:rsidP="00925F26">
      <w:pPr>
        <w:jc w:val="both"/>
        <w:rPr>
          <w:color w:val="000000" w:themeColor="text1"/>
          <w:sz w:val="16"/>
          <w:szCs w:val="16"/>
        </w:rPr>
      </w:pPr>
    </w:p>
    <w:p w14:paraId="5D2C4B6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07565890" w14:textId="77777777" w:rsidR="006103B3" w:rsidRPr="00925F26" w:rsidRDefault="006103B3" w:rsidP="00925F26">
      <w:pPr>
        <w:autoSpaceDE w:val="0"/>
        <w:autoSpaceDN w:val="0"/>
        <w:adjustRightInd w:val="0"/>
        <w:jc w:val="both"/>
        <w:rPr>
          <w:iCs/>
          <w:color w:val="000000" w:themeColor="text1"/>
          <w:sz w:val="16"/>
          <w:szCs w:val="16"/>
        </w:rPr>
      </w:pPr>
    </w:p>
    <w:p w14:paraId="3CDB2993" w14:textId="77777777" w:rsidR="004B7DC3" w:rsidRPr="00925F26" w:rsidRDefault="004B7DC3" w:rsidP="00925F26">
      <w:pPr>
        <w:jc w:val="both"/>
        <w:rPr>
          <w:color w:val="000000" w:themeColor="text1"/>
          <w:sz w:val="16"/>
          <w:szCs w:val="16"/>
        </w:rPr>
      </w:pPr>
      <w:r w:rsidRPr="00925F26">
        <w:rPr>
          <w:color w:val="000000" w:themeColor="text1"/>
          <w:sz w:val="16"/>
          <w:szCs w:val="16"/>
        </w:rPr>
        <w:t>23 июня 1945 года первый опытный самолет Ту-2Д был списан по выработке ресурса (24140).</w:t>
      </w:r>
    </w:p>
    <w:p w14:paraId="3ED6D2C1" w14:textId="77777777" w:rsidR="004B7DC3" w:rsidRPr="00925F26" w:rsidRDefault="004B7DC3" w:rsidP="00925F26">
      <w:pPr>
        <w:jc w:val="both"/>
        <w:rPr>
          <w:color w:val="000000" w:themeColor="text1"/>
          <w:sz w:val="16"/>
          <w:szCs w:val="16"/>
        </w:rPr>
      </w:pPr>
    </w:p>
    <w:p w14:paraId="1690362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23 июня 1945 в Москву прибыл тот самый В-29 № 42-6365, который затем препарировали, а машина № 42-6256 использовался в качестве летающей лаборатории, в т.ч. для доводки и испытаний АШ-73ТК (7225, 3).</w:t>
      </w:r>
    </w:p>
    <w:p w14:paraId="35792ABD" w14:textId="77777777" w:rsidR="006103B3" w:rsidRPr="00925F26" w:rsidRDefault="006103B3" w:rsidP="00925F26">
      <w:pPr>
        <w:autoSpaceDE w:val="0"/>
        <w:autoSpaceDN w:val="0"/>
        <w:adjustRightInd w:val="0"/>
        <w:jc w:val="both"/>
        <w:rPr>
          <w:color w:val="000000" w:themeColor="text1"/>
          <w:sz w:val="16"/>
          <w:szCs w:val="16"/>
        </w:rPr>
      </w:pPr>
    </w:p>
    <w:p w14:paraId="04696895" w14:textId="77777777" w:rsidR="00500674" w:rsidRPr="00925F26" w:rsidRDefault="00500674"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23 ию</w:t>
      </w:r>
      <w:r w:rsidRPr="00925F26">
        <w:rPr>
          <w:color w:val="000000" w:themeColor="text1"/>
          <w:sz w:val="16"/>
          <w:szCs w:val="16"/>
        </w:rPr>
        <w:softHyphen/>
        <w:t>ня 1945 года второй «американец» (№ 42-6365), со</w:t>
      </w:r>
      <w:r w:rsidRPr="00925F26">
        <w:rPr>
          <w:color w:val="000000" w:themeColor="text1"/>
          <w:sz w:val="16"/>
          <w:szCs w:val="16"/>
        </w:rPr>
        <w:softHyphen/>
        <w:t>гласно архивным документам, пилотируе</w:t>
      </w:r>
      <w:r w:rsidRPr="00925F26">
        <w:rPr>
          <w:color w:val="000000" w:themeColor="text1"/>
          <w:sz w:val="16"/>
          <w:szCs w:val="16"/>
        </w:rPr>
        <w:softHyphen/>
        <w:t>мый Маруновым, прибыл в столицу с посадкой на аэродроме ЛИИ.Затем по тому же маршруту с Дальнего Востока в Москву перегнали третий В-29 № 42-6358 «Динг Хоа».</w:t>
      </w:r>
    </w:p>
    <w:p w14:paraId="5ADDE063" w14:textId="77777777" w:rsidR="00500674" w:rsidRPr="00925F26" w:rsidRDefault="00500674" w:rsidP="00925F26">
      <w:pPr>
        <w:pStyle w:val="92"/>
        <w:shd w:val="clear" w:color="auto" w:fill="auto"/>
        <w:spacing w:after="0" w:line="240" w:lineRule="auto"/>
        <w:ind w:firstLine="0"/>
        <w:jc w:val="both"/>
        <w:rPr>
          <w:color w:val="000000" w:themeColor="text1"/>
          <w:sz w:val="16"/>
          <w:szCs w:val="16"/>
        </w:rPr>
      </w:pPr>
      <w:r w:rsidRPr="00925F26">
        <w:rPr>
          <w:color w:val="000000" w:themeColor="text1"/>
          <w:sz w:val="16"/>
          <w:szCs w:val="16"/>
        </w:rPr>
        <w:t>В ночь на 11 июля В-29 (№42-6365) «Гене</w:t>
      </w:r>
      <w:r w:rsidRPr="00925F26">
        <w:rPr>
          <w:color w:val="000000" w:themeColor="text1"/>
          <w:sz w:val="16"/>
          <w:szCs w:val="16"/>
        </w:rPr>
        <w:softHyphen/>
        <w:t>рал Арнольд» перелетел на Центральный аэ</w:t>
      </w:r>
      <w:r w:rsidRPr="00925F26">
        <w:rPr>
          <w:color w:val="000000" w:themeColor="text1"/>
          <w:sz w:val="16"/>
          <w:szCs w:val="16"/>
        </w:rPr>
        <w:softHyphen/>
        <w:t>родром столицы и был помещен в ангар для последующего препарирования. Все, что касалось планера и его агрегатов, передали в ОКБ-156, а оборудование и ряд систем - в различные институты для копирования и выпуска рабочих чертежей. Когда «опера</w:t>
      </w:r>
      <w:r w:rsidRPr="00925F26">
        <w:rPr>
          <w:color w:val="000000" w:themeColor="text1"/>
          <w:sz w:val="16"/>
          <w:szCs w:val="16"/>
        </w:rPr>
        <w:softHyphen/>
        <w:t>ция» по копированию «Генерала Арноль</w:t>
      </w:r>
      <w:r w:rsidRPr="00925F26">
        <w:rPr>
          <w:color w:val="000000" w:themeColor="text1"/>
          <w:sz w:val="16"/>
          <w:szCs w:val="16"/>
        </w:rPr>
        <w:softHyphen/>
        <w:t>да», получившего у нас бортовой № 365, за</w:t>
      </w:r>
      <w:r w:rsidRPr="00925F26">
        <w:rPr>
          <w:color w:val="000000" w:themeColor="text1"/>
          <w:sz w:val="16"/>
          <w:szCs w:val="16"/>
        </w:rPr>
        <w:softHyphen/>
        <w:t>вершилась, весной 1948 года его агрегаты перевезли на завод № 22 в Казань, где осва</w:t>
      </w:r>
      <w:r w:rsidRPr="00925F26">
        <w:rPr>
          <w:color w:val="000000" w:themeColor="text1"/>
          <w:sz w:val="16"/>
          <w:szCs w:val="16"/>
        </w:rPr>
        <w:softHyphen/>
        <w:t>ивался серийный выпуск Б-4. и впоследст</w:t>
      </w:r>
      <w:r w:rsidRPr="00925F26">
        <w:rPr>
          <w:color w:val="000000" w:themeColor="text1"/>
          <w:sz w:val="16"/>
          <w:szCs w:val="16"/>
        </w:rPr>
        <w:softHyphen/>
        <w:t>вии для ускорения постройки пассажирско</w:t>
      </w:r>
      <w:r w:rsidRPr="00925F26">
        <w:rPr>
          <w:color w:val="000000" w:themeColor="text1"/>
          <w:sz w:val="16"/>
          <w:szCs w:val="16"/>
        </w:rPr>
        <w:softHyphen/>
        <w:t>го самолета Ту-70 использовали консоли его крыла, закрылки, мотогондолы, оперение и основные опоры шасси (12292).</w:t>
      </w:r>
    </w:p>
    <w:p w14:paraId="0CF62204" w14:textId="77777777" w:rsidR="00500674" w:rsidRPr="00925F26" w:rsidRDefault="00500674" w:rsidP="00925F26">
      <w:pPr>
        <w:pStyle w:val="92"/>
        <w:shd w:val="clear" w:color="auto" w:fill="auto"/>
        <w:spacing w:after="0" w:line="240" w:lineRule="auto"/>
        <w:ind w:firstLine="0"/>
        <w:jc w:val="both"/>
        <w:rPr>
          <w:color w:val="000000" w:themeColor="text1"/>
          <w:sz w:val="16"/>
          <w:szCs w:val="16"/>
        </w:rPr>
      </w:pPr>
    </w:p>
    <w:p w14:paraId="36F43A80" w14:textId="77777777" w:rsidR="000E3D70" w:rsidRPr="001A0BAA" w:rsidRDefault="000E3D70" w:rsidP="000E3D70">
      <w:pPr>
        <w:jc w:val="both"/>
        <w:rPr>
          <w:color w:val="0070C0"/>
          <w:sz w:val="16"/>
          <w:szCs w:val="16"/>
        </w:rPr>
      </w:pPr>
      <w:r w:rsidRPr="001A0BAA">
        <w:rPr>
          <w:color w:val="0070C0"/>
          <w:sz w:val="16"/>
          <w:szCs w:val="16"/>
        </w:rPr>
        <w:t>23 июня 1945 г. первый самолёт В-29 (42–6365) совершил посадку на аэродроме в Измайлово на окраине Москвы. С учетом весьма короткой взлётно-посадочной полосы, перед посадкой пришлось выработать остатки горючего. Там располагался 65-й полк особого назначения, совмещавший транспортные и экспериментально-испытательные задачи в системе морской авиации.</w:t>
      </w:r>
    </w:p>
    <w:p w14:paraId="5275231B" w14:textId="77777777" w:rsidR="000E3D70" w:rsidRPr="001A0BAA" w:rsidRDefault="000E3D70" w:rsidP="000E3D70">
      <w:pPr>
        <w:jc w:val="both"/>
        <w:rPr>
          <w:color w:val="0070C0"/>
          <w:sz w:val="16"/>
          <w:szCs w:val="16"/>
        </w:rPr>
      </w:pPr>
      <w:r w:rsidRPr="001A0BAA">
        <w:rPr>
          <w:color w:val="0070C0"/>
          <w:sz w:val="16"/>
          <w:szCs w:val="16"/>
        </w:rPr>
        <w:t>На аэродроме в Измайлове благополучно приземлился второй самолёт В-29, пилотируемый Маруновым.</w:t>
      </w:r>
    </w:p>
    <w:p w14:paraId="72D09E25" w14:textId="77777777" w:rsidR="000E3D70" w:rsidRPr="001A0BAA" w:rsidRDefault="000E3D70" w:rsidP="000E3D70">
      <w:pPr>
        <w:jc w:val="both"/>
        <w:rPr>
          <w:color w:val="0070C0"/>
          <w:sz w:val="16"/>
          <w:szCs w:val="16"/>
        </w:rPr>
      </w:pPr>
      <w:r w:rsidRPr="001A0BAA">
        <w:rPr>
          <w:color w:val="0070C0"/>
          <w:sz w:val="16"/>
          <w:szCs w:val="16"/>
        </w:rPr>
        <w:t>В Москву с Дальнего Востока перелетел и третий самолёт В-29.</w:t>
      </w:r>
    </w:p>
    <w:p w14:paraId="484FDB64" w14:textId="77777777" w:rsidR="000E3D70" w:rsidRPr="001A0BAA" w:rsidRDefault="000E3D70" w:rsidP="000E3D70">
      <w:pPr>
        <w:jc w:val="both"/>
        <w:rPr>
          <w:color w:val="0070C0"/>
          <w:sz w:val="16"/>
          <w:szCs w:val="16"/>
        </w:rPr>
      </w:pPr>
      <w:r w:rsidRPr="001A0BAA">
        <w:rPr>
          <w:color w:val="0070C0"/>
          <w:sz w:val="16"/>
          <w:szCs w:val="16"/>
        </w:rPr>
        <w:t>Все три интернированных самолёта В-29 были перегнаны на Центральный московский аэродром в Щёлкове, а «Рэмп-Трэмп» сначала перегнали в Балбасово (г. Орша), а затем в ЛИИ (г. Жуковский).</w:t>
      </w:r>
    </w:p>
    <w:p w14:paraId="3AA05F2C" w14:textId="77777777" w:rsidR="000E3D70" w:rsidRPr="001A0BAA" w:rsidRDefault="000E3D70" w:rsidP="000E3D70">
      <w:pPr>
        <w:jc w:val="both"/>
        <w:rPr>
          <w:color w:val="0070C0"/>
          <w:sz w:val="16"/>
          <w:szCs w:val="16"/>
        </w:rPr>
      </w:pPr>
      <w:r w:rsidRPr="001A0BAA">
        <w:rPr>
          <w:color w:val="0070C0"/>
          <w:sz w:val="16"/>
          <w:szCs w:val="16"/>
        </w:rPr>
        <w:t>Самолёт В-29 (42–6256) «Рэмп-Трэмп» по просьбе командующего дальней авиацией маршала А. Е. Голованова перегнали из Щёлкова на аэродром Балбасово, где дислоцировался 890-й дальнебомбардировочный авиаполк (25184).</w:t>
      </w:r>
    </w:p>
    <w:p w14:paraId="356FFEA4" w14:textId="77777777" w:rsidR="000E3D70" w:rsidRPr="001A0BAA" w:rsidRDefault="000E3D70" w:rsidP="000E3D70">
      <w:pPr>
        <w:jc w:val="both"/>
        <w:rPr>
          <w:color w:val="0070C0"/>
          <w:sz w:val="16"/>
          <w:szCs w:val="16"/>
        </w:rPr>
      </w:pPr>
    </w:p>
    <w:p w14:paraId="2488A362" w14:textId="77777777" w:rsidR="000E3D70" w:rsidRPr="001A0BAA" w:rsidRDefault="000E3D70" w:rsidP="000E3D70">
      <w:pPr>
        <w:jc w:val="both"/>
        <w:rPr>
          <w:color w:val="0070C0"/>
          <w:sz w:val="16"/>
          <w:szCs w:val="16"/>
        </w:rPr>
      </w:pPr>
      <w:r w:rsidRPr="001A0BAA">
        <w:rPr>
          <w:rStyle w:val="aff0"/>
          <w:rFonts w:ascii="Times New Roman" w:hAnsi="Times New Roman" w:cs="Times New Roman"/>
          <w:color w:val="0070C0"/>
          <w:spacing w:val="0"/>
          <w:sz w:val="16"/>
          <w:szCs w:val="16"/>
        </w:rPr>
        <w:t>С 23 июня по 31 августа 1945 г. 18 экипажей советской морской авиации перегнали в Москву по северному маршруту (Элизабет-Сити-Гандер-Рейкьявик- Прествик- Кольберг) 28 последних «Каталин», представлявших новую модифи</w:t>
      </w:r>
      <w:r w:rsidRPr="001A0BAA">
        <w:rPr>
          <w:rStyle w:val="aff0"/>
          <w:rFonts w:ascii="Times New Roman" w:hAnsi="Times New Roman" w:cs="Times New Roman"/>
          <w:color w:val="0070C0"/>
          <w:spacing w:val="0"/>
          <w:sz w:val="16"/>
          <w:szCs w:val="16"/>
        </w:rPr>
        <w:softHyphen/>
        <w:t>кацию самолётов-амфибий ПБУ-6А. Дважды водил гидро</w:t>
      </w:r>
      <w:r w:rsidRPr="001A0BAA">
        <w:rPr>
          <w:rStyle w:val="aff0"/>
          <w:rFonts w:ascii="Times New Roman" w:hAnsi="Times New Roman" w:cs="Times New Roman"/>
          <w:color w:val="0070C0"/>
          <w:spacing w:val="0"/>
          <w:sz w:val="16"/>
          <w:szCs w:val="16"/>
        </w:rPr>
        <w:softHyphen/>
        <w:t>самолёты из США в Советский Союз командир спецгруппы М.Н. Чибисов (в феврале 1945 г. - по южному маршруту Элизабет-Сити-Баку и в октябре 1945 г. - по новому марш</w:t>
      </w:r>
      <w:r w:rsidRPr="001A0BAA">
        <w:rPr>
          <w:rStyle w:val="aff0"/>
          <w:rFonts w:ascii="Times New Roman" w:hAnsi="Times New Roman" w:cs="Times New Roman"/>
          <w:color w:val="0070C0"/>
          <w:spacing w:val="0"/>
          <w:sz w:val="16"/>
          <w:szCs w:val="16"/>
        </w:rPr>
        <w:softHyphen/>
        <w:t>руту Элизабет-Сити-Сан-Хуан (о. Пуэрто-Рико)-Белен (Бразилия) о. Фернанду-ди-Норонья (Бразилия)-Дакар (Сенегал) Касабланка (Марокко)-Париж (Франция) Кольберг (ныне Колобжег, Польша)-Москва (25653).</w:t>
      </w:r>
    </w:p>
    <w:p w14:paraId="28F0BD38" w14:textId="77777777" w:rsidR="000E3D70" w:rsidRPr="001A0BAA" w:rsidRDefault="000E3D70" w:rsidP="000E3D70">
      <w:pPr>
        <w:jc w:val="both"/>
        <w:rPr>
          <w:color w:val="0070C0"/>
          <w:sz w:val="16"/>
          <w:szCs w:val="16"/>
        </w:rPr>
      </w:pPr>
    </w:p>
    <w:p w14:paraId="5983A415" w14:textId="77777777" w:rsidR="00F60434" w:rsidRPr="00925F26" w:rsidRDefault="00F60434"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A3A8F0C" w14:textId="77777777" w:rsidR="00F60434" w:rsidRPr="00925F26" w:rsidRDefault="00F60434" w:rsidP="00925F26">
      <w:pPr>
        <w:autoSpaceDE w:val="0"/>
        <w:autoSpaceDN w:val="0"/>
        <w:adjustRightInd w:val="0"/>
        <w:jc w:val="both"/>
        <w:rPr>
          <w:iCs/>
          <w:color w:val="000000" w:themeColor="text1"/>
          <w:sz w:val="16"/>
          <w:szCs w:val="16"/>
        </w:rPr>
      </w:pPr>
    </w:p>
    <w:p w14:paraId="238E9BE6" w14:textId="7466B3CC"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23</w:t>
      </w:r>
      <w:r w:rsidR="00997EDF" w:rsidRPr="00925F26">
        <w:rPr>
          <w:color w:val="000000" w:themeColor="text1"/>
          <w:sz w:val="16"/>
          <w:szCs w:val="16"/>
        </w:rPr>
        <w:t xml:space="preserve">  </w:t>
      </w:r>
      <w:r w:rsidRPr="00925F26">
        <w:rPr>
          <w:color w:val="000000" w:themeColor="text1"/>
          <w:sz w:val="16"/>
          <w:szCs w:val="16"/>
        </w:rPr>
        <w:t>июня 1945</w:t>
      </w:r>
      <w:r w:rsidR="00997EDF" w:rsidRPr="00925F26">
        <w:rPr>
          <w:color w:val="000000" w:themeColor="text1"/>
          <w:sz w:val="16"/>
          <w:szCs w:val="16"/>
        </w:rPr>
        <w:t xml:space="preserve">  </w:t>
      </w:r>
      <w:r w:rsidRPr="00925F26">
        <w:rPr>
          <w:color w:val="000000" w:themeColor="text1"/>
          <w:sz w:val="16"/>
          <w:szCs w:val="16"/>
        </w:rPr>
        <w:t>года нарком ВМФ Н.Г.</w:t>
      </w:r>
      <w:r w:rsidR="00997EDF" w:rsidRPr="00925F26">
        <w:rPr>
          <w:color w:val="000000" w:themeColor="text1"/>
          <w:sz w:val="16"/>
          <w:szCs w:val="16"/>
        </w:rPr>
        <w:t xml:space="preserve">  </w:t>
      </w:r>
      <w:r w:rsidRPr="00925F26">
        <w:rPr>
          <w:color w:val="000000" w:themeColor="text1"/>
          <w:sz w:val="16"/>
          <w:szCs w:val="16"/>
        </w:rPr>
        <w:t>Кузнецов подписал директиву №</w:t>
      </w:r>
      <w:r w:rsidR="00997EDF" w:rsidRPr="00925F26">
        <w:rPr>
          <w:color w:val="000000" w:themeColor="text1"/>
          <w:sz w:val="16"/>
          <w:szCs w:val="16"/>
        </w:rPr>
        <w:t xml:space="preserve">  </w:t>
      </w:r>
      <w:r w:rsidRPr="00925F26">
        <w:rPr>
          <w:color w:val="000000" w:themeColor="text1"/>
          <w:sz w:val="16"/>
          <w:szCs w:val="16"/>
        </w:rPr>
        <w:t>147 о создании в Берлине конструкторского бюро1. Начальником КБ с подчинением начальнику Управления кораблестроения ВМФ был назначен инженер-капитан 1</w:t>
      </w:r>
      <w:r w:rsidR="00997EDF" w:rsidRPr="00925F26">
        <w:rPr>
          <w:color w:val="000000" w:themeColor="text1"/>
          <w:sz w:val="16"/>
          <w:szCs w:val="16"/>
        </w:rPr>
        <w:t xml:space="preserve">  </w:t>
      </w:r>
      <w:r w:rsidRPr="00925F26">
        <w:rPr>
          <w:color w:val="000000" w:themeColor="text1"/>
          <w:sz w:val="16"/>
          <w:szCs w:val="16"/>
        </w:rPr>
        <w:t>ранга Л.А.</w:t>
      </w:r>
      <w:r w:rsidR="00997EDF" w:rsidRPr="00925F26">
        <w:rPr>
          <w:color w:val="000000" w:themeColor="text1"/>
          <w:sz w:val="16"/>
          <w:szCs w:val="16"/>
        </w:rPr>
        <w:t xml:space="preserve">  </w:t>
      </w:r>
      <w:r w:rsidRPr="00925F26">
        <w:rPr>
          <w:color w:val="000000" w:themeColor="text1"/>
          <w:sz w:val="16"/>
          <w:szCs w:val="16"/>
        </w:rPr>
        <w:t>Коршунов, а его заместителем инженер-капитан 1</w:t>
      </w:r>
      <w:r w:rsidR="00997EDF" w:rsidRPr="00925F26">
        <w:rPr>
          <w:color w:val="000000" w:themeColor="text1"/>
          <w:sz w:val="16"/>
          <w:szCs w:val="16"/>
        </w:rPr>
        <w:t xml:space="preserve">  </w:t>
      </w:r>
      <w:r w:rsidRPr="00925F26">
        <w:rPr>
          <w:color w:val="000000" w:themeColor="text1"/>
          <w:sz w:val="16"/>
          <w:szCs w:val="16"/>
        </w:rPr>
        <w:t>ранга В.И.</w:t>
      </w:r>
      <w:r w:rsidR="00997EDF" w:rsidRPr="00925F26">
        <w:rPr>
          <w:color w:val="000000" w:themeColor="text1"/>
          <w:sz w:val="16"/>
          <w:szCs w:val="16"/>
        </w:rPr>
        <w:t xml:space="preserve">  </w:t>
      </w:r>
      <w:r w:rsidRPr="00925F26">
        <w:rPr>
          <w:color w:val="000000" w:themeColor="text1"/>
          <w:sz w:val="16"/>
          <w:szCs w:val="16"/>
        </w:rPr>
        <w:t>Фёдоров.</w:t>
      </w:r>
    </w:p>
    <w:p w14:paraId="30FF868B" w14:textId="261F6C65"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Вскоре дополнительным распоряжением был определён штат КБ. Он включал должности, замещавшиеся военнослужащими и вольнонаёмными специалистами — советскими и немецкими. Общая численность КБ составляла </w:t>
      </w:r>
      <w:proofErr w:type="gramStart"/>
      <w:r w:rsidRPr="00925F26">
        <w:rPr>
          <w:color w:val="000000" w:themeColor="text1"/>
          <w:sz w:val="16"/>
          <w:szCs w:val="16"/>
        </w:rPr>
        <w:t>107</w:t>
      </w:r>
      <w:r w:rsidR="00997EDF" w:rsidRPr="00925F26">
        <w:rPr>
          <w:color w:val="000000" w:themeColor="text1"/>
          <w:sz w:val="16"/>
          <w:szCs w:val="16"/>
        </w:rPr>
        <w:t xml:space="preserve">  </w:t>
      </w:r>
      <w:r w:rsidRPr="00925F26">
        <w:rPr>
          <w:color w:val="000000" w:themeColor="text1"/>
          <w:sz w:val="16"/>
          <w:szCs w:val="16"/>
        </w:rPr>
        <w:t>человек</w:t>
      </w:r>
      <w:proofErr w:type="gramEnd"/>
      <w:r w:rsidRPr="00925F26">
        <w:rPr>
          <w:color w:val="000000" w:themeColor="text1"/>
          <w:sz w:val="16"/>
          <w:szCs w:val="16"/>
        </w:rPr>
        <w:t>. В это число входили 37</w:t>
      </w:r>
      <w:r w:rsidR="00997EDF" w:rsidRPr="00925F26">
        <w:rPr>
          <w:color w:val="000000" w:themeColor="text1"/>
          <w:sz w:val="16"/>
          <w:szCs w:val="16"/>
        </w:rPr>
        <w:t xml:space="preserve">  </w:t>
      </w:r>
      <w:r w:rsidRPr="00925F26">
        <w:rPr>
          <w:color w:val="000000" w:themeColor="text1"/>
          <w:sz w:val="16"/>
          <w:szCs w:val="16"/>
        </w:rPr>
        <w:t>военнослужащих: 16</w:t>
      </w:r>
      <w:r w:rsidR="00997EDF" w:rsidRPr="00925F26">
        <w:rPr>
          <w:color w:val="000000" w:themeColor="text1"/>
          <w:sz w:val="16"/>
          <w:szCs w:val="16"/>
        </w:rPr>
        <w:t xml:space="preserve">  </w:t>
      </w:r>
      <w:r w:rsidRPr="00925F26">
        <w:rPr>
          <w:color w:val="000000" w:themeColor="text1"/>
          <w:sz w:val="16"/>
          <w:szCs w:val="16"/>
        </w:rPr>
        <w:t>офицеров, 11</w:t>
      </w:r>
      <w:r w:rsidR="00997EDF" w:rsidRPr="00925F26">
        <w:rPr>
          <w:color w:val="000000" w:themeColor="text1"/>
          <w:sz w:val="16"/>
          <w:szCs w:val="16"/>
        </w:rPr>
        <w:t xml:space="preserve">  </w:t>
      </w:r>
      <w:r w:rsidRPr="00925F26">
        <w:rPr>
          <w:color w:val="000000" w:themeColor="text1"/>
          <w:sz w:val="16"/>
          <w:szCs w:val="16"/>
        </w:rPr>
        <w:t>старшин, 10</w:t>
      </w:r>
      <w:r w:rsidR="00997EDF" w:rsidRPr="00925F26">
        <w:rPr>
          <w:color w:val="000000" w:themeColor="text1"/>
          <w:sz w:val="16"/>
          <w:szCs w:val="16"/>
        </w:rPr>
        <w:t xml:space="preserve">  </w:t>
      </w:r>
      <w:r w:rsidRPr="00925F26">
        <w:rPr>
          <w:color w:val="000000" w:themeColor="text1"/>
          <w:sz w:val="16"/>
          <w:szCs w:val="16"/>
        </w:rPr>
        <w:t>рядовых, а также 70</w:t>
      </w:r>
      <w:r w:rsidR="00997EDF" w:rsidRPr="00925F26">
        <w:rPr>
          <w:color w:val="000000" w:themeColor="text1"/>
          <w:sz w:val="16"/>
          <w:szCs w:val="16"/>
        </w:rPr>
        <w:t xml:space="preserve">  </w:t>
      </w:r>
      <w:r w:rsidRPr="00925F26">
        <w:rPr>
          <w:color w:val="000000" w:themeColor="text1"/>
          <w:sz w:val="16"/>
          <w:szCs w:val="16"/>
        </w:rPr>
        <w:t>вольнонаёмных сотрудников, из них 11</w:t>
      </w:r>
      <w:r w:rsidR="00997EDF" w:rsidRPr="00925F26">
        <w:rPr>
          <w:color w:val="000000" w:themeColor="text1"/>
          <w:sz w:val="16"/>
          <w:szCs w:val="16"/>
        </w:rPr>
        <w:t xml:space="preserve">  </w:t>
      </w:r>
      <w:r w:rsidRPr="00925F26">
        <w:rPr>
          <w:color w:val="000000" w:themeColor="text1"/>
          <w:sz w:val="16"/>
          <w:szCs w:val="16"/>
        </w:rPr>
        <w:t>граждан СССР и 59 немецких специалистов2. Итак, в Берлине предстояло создать КБ ВМФ СССР.</w:t>
      </w:r>
    </w:p>
    <w:p w14:paraId="55D960FB" w14:textId="1962C930"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Перед убытием в Германию Л.А.</w:t>
      </w:r>
      <w:r w:rsidR="00997EDF" w:rsidRPr="00925F26">
        <w:rPr>
          <w:color w:val="000000" w:themeColor="text1"/>
          <w:sz w:val="16"/>
          <w:szCs w:val="16"/>
        </w:rPr>
        <w:t xml:space="preserve">  </w:t>
      </w:r>
      <w:r w:rsidRPr="00925F26">
        <w:rPr>
          <w:color w:val="000000" w:themeColor="text1"/>
          <w:sz w:val="16"/>
          <w:szCs w:val="16"/>
        </w:rPr>
        <w:t>Коршунова принял заместитель наркома ВМФ по кораблестроению Л.М.</w:t>
      </w:r>
      <w:r w:rsidR="00997EDF" w:rsidRPr="00925F26">
        <w:rPr>
          <w:color w:val="000000" w:themeColor="text1"/>
          <w:sz w:val="16"/>
          <w:szCs w:val="16"/>
        </w:rPr>
        <w:t xml:space="preserve">  </w:t>
      </w:r>
      <w:r w:rsidRPr="00925F26">
        <w:rPr>
          <w:color w:val="000000" w:themeColor="text1"/>
          <w:sz w:val="16"/>
          <w:szCs w:val="16"/>
        </w:rPr>
        <w:t>Галлер. Он заметил, что работать придётся в сложных условиях. Обратил внимание на неизбежные трудности, которые возникнут при создании необычной для ВМФ организации, подчеркнул необходимость «найти правильный политически корректный подход к немецким специалистам с тем, чтобы получить от них полезные для нас сведения»3.</w:t>
      </w:r>
    </w:p>
    <w:p w14:paraId="0F6A58E6" w14:textId="244753C7" w:rsidR="00F60434" w:rsidRPr="00925F26" w:rsidRDefault="00F60434" w:rsidP="00925F26">
      <w:pPr>
        <w:pStyle w:val="ae"/>
        <w:shd w:val="clear" w:color="auto" w:fill="FFFFFF"/>
        <w:spacing w:before="0" w:after="0"/>
        <w:jc w:val="both"/>
        <w:rPr>
          <w:color w:val="000000" w:themeColor="text1"/>
          <w:sz w:val="16"/>
          <w:szCs w:val="16"/>
        </w:rPr>
      </w:pPr>
      <w:r w:rsidRPr="00925F26">
        <w:rPr>
          <w:color w:val="000000" w:themeColor="text1"/>
          <w:sz w:val="16"/>
          <w:szCs w:val="16"/>
        </w:rPr>
        <w:t xml:space="preserve">В первых числах августа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года</w:t>
      </w:r>
      <w:proofErr w:type="gramEnd"/>
      <w:r w:rsidRPr="00925F26">
        <w:rPr>
          <w:color w:val="000000" w:themeColor="text1"/>
          <w:sz w:val="16"/>
          <w:szCs w:val="16"/>
        </w:rPr>
        <w:t xml:space="preserve"> бюро уже имело адрес — г.</w:t>
      </w:r>
      <w:r w:rsidR="00997EDF" w:rsidRPr="00925F26">
        <w:rPr>
          <w:color w:val="000000" w:themeColor="text1"/>
          <w:sz w:val="16"/>
          <w:szCs w:val="16"/>
        </w:rPr>
        <w:t xml:space="preserve">  </w:t>
      </w:r>
      <w:r w:rsidRPr="00925F26">
        <w:rPr>
          <w:color w:val="000000" w:themeColor="text1"/>
          <w:sz w:val="16"/>
          <w:szCs w:val="16"/>
        </w:rPr>
        <w:t>Берлин, Карлсхорст, Юнке-Йорк штрассе, дом №</w:t>
      </w:r>
      <w:r w:rsidR="00997EDF" w:rsidRPr="00925F26">
        <w:rPr>
          <w:color w:val="000000" w:themeColor="text1"/>
          <w:sz w:val="16"/>
          <w:szCs w:val="16"/>
        </w:rPr>
        <w:t xml:space="preserve">  </w:t>
      </w:r>
      <w:r w:rsidRPr="00925F26">
        <w:rPr>
          <w:color w:val="000000" w:themeColor="text1"/>
          <w:sz w:val="16"/>
          <w:szCs w:val="16"/>
        </w:rPr>
        <w:t>9. В разделённом по числу победителей на четыре оккупационных сектора Берлине Карлсхорст был наименее пострадавшим во время войны окраинным районом советского сектора. Немцы из него были выселены, для них он был закрыт. Вход в закрытую часть Карлсхорста осуществлялся строго по пропускам. Они выдавались и немцам, работавшим в советских организациях (19147).</w:t>
      </w:r>
    </w:p>
    <w:p w14:paraId="7DE12F9D" w14:textId="77777777" w:rsidR="00F60434" w:rsidRPr="00925F26" w:rsidRDefault="00F60434" w:rsidP="00925F26">
      <w:pPr>
        <w:jc w:val="both"/>
        <w:rPr>
          <w:color w:val="000000" w:themeColor="text1"/>
          <w:sz w:val="16"/>
          <w:szCs w:val="16"/>
        </w:rPr>
      </w:pPr>
    </w:p>
    <w:p w14:paraId="42ECA5D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BA373F1" w14:textId="77777777" w:rsidR="006103B3" w:rsidRPr="00925F26" w:rsidRDefault="006103B3" w:rsidP="00925F26">
      <w:pPr>
        <w:autoSpaceDE w:val="0"/>
        <w:autoSpaceDN w:val="0"/>
        <w:adjustRightInd w:val="0"/>
        <w:jc w:val="both"/>
        <w:rPr>
          <w:iCs/>
          <w:color w:val="000000" w:themeColor="text1"/>
          <w:sz w:val="16"/>
          <w:szCs w:val="16"/>
        </w:rPr>
      </w:pPr>
    </w:p>
    <w:p w14:paraId="18A38C9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23 июня 1945 сессия Верховного Совета СССР приняла Закон "О демобилизации старших возрастов личного состава действующей армии" (</w:t>
      </w:r>
      <w:proofErr w:type="gramStart"/>
      <w:r w:rsidRPr="00925F26">
        <w:rPr>
          <w:color w:val="000000" w:themeColor="text1"/>
          <w:sz w:val="16"/>
          <w:szCs w:val="16"/>
        </w:rPr>
        <w:t>4963 )</w:t>
      </w:r>
      <w:proofErr w:type="gramEnd"/>
      <w:r w:rsidRPr="00925F26">
        <w:rPr>
          <w:color w:val="000000" w:themeColor="text1"/>
          <w:sz w:val="16"/>
          <w:szCs w:val="16"/>
        </w:rPr>
        <w:t>.</w:t>
      </w:r>
    </w:p>
    <w:p w14:paraId="55544A0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DA7CC1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23 июня 1945 12 сессия ВС приняла закон о демобилизации 13 старших возрастов (1074,393).</w:t>
      </w:r>
    </w:p>
    <w:p w14:paraId="494DBCB7" w14:textId="77777777" w:rsidR="006103B3" w:rsidRPr="00925F26" w:rsidRDefault="006103B3" w:rsidP="00925F26">
      <w:pPr>
        <w:autoSpaceDE w:val="0"/>
        <w:autoSpaceDN w:val="0"/>
        <w:adjustRightInd w:val="0"/>
        <w:jc w:val="both"/>
        <w:rPr>
          <w:color w:val="000000" w:themeColor="text1"/>
          <w:sz w:val="16"/>
          <w:szCs w:val="16"/>
        </w:rPr>
      </w:pPr>
    </w:p>
    <w:p w14:paraId="464D85F5" w14:textId="77777777" w:rsidR="00BA6D09" w:rsidRPr="00925F26" w:rsidRDefault="00BA6D09" w:rsidP="00925F26">
      <w:pPr>
        <w:jc w:val="both"/>
        <w:rPr>
          <w:color w:val="000000" w:themeColor="text1"/>
          <w:sz w:val="16"/>
          <w:szCs w:val="16"/>
        </w:rPr>
      </w:pPr>
      <w:r w:rsidRPr="00925F26">
        <w:rPr>
          <w:bCs/>
          <w:color w:val="000000" w:themeColor="text1"/>
          <w:sz w:val="16"/>
          <w:szCs w:val="16"/>
        </w:rPr>
        <w:t>23 июня</w:t>
      </w:r>
      <w:r w:rsidRPr="00925F26">
        <w:rPr>
          <w:color w:val="000000" w:themeColor="text1"/>
          <w:sz w:val="16"/>
          <w:szCs w:val="16"/>
        </w:rPr>
        <w:t xml:space="preserve"> в 1945 году сессия Верховного Совета СССР приняла Закон "О демобилизации старших возрастов личного состава действующей армии" (14931).</w:t>
      </w:r>
    </w:p>
    <w:p w14:paraId="2718DACD" w14:textId="77777777" w:rsidR="00BA6D09" w:rsidRPr="00925F26" w:rsidRDefault="00BA6D09" w:rsidP="00925F26">
      <w:pPr>
        <w:jc w:val="both"/>
        <w:rPr>
          <w:color w:val="000000" w:themeColor="text1"/>
          <w:sz w:val="16"/>
          <w:szCs w:val="16"/>
        </w:rPr>
      </w:pPr>
    </w:p>
    <w:p w14:paraId="7F8EB94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16775BF" w14:textId="77777777" w:rsidR="006103B3" w:rsidRPr="00925F26" w:rsidRDefault="006103B3" w:rsidP="00925F26">
      <w:pPr>
        <w:autoSpaceDE w:val="0"/>
        <w:autoSpaceDN w:val="0"/>
        <w:adjustRightInd w:val="0"/>
        <w:jc w:val="both"/>
        <w:rPr>
          <w:iCs/>
          <w:color w:val="000000" w:themeColor="text1"/>
          <w:sz w:val="16"/>
          <w:szCs w:val="16"/>
        </w:rPr>
      </w:pPr>
    </w:p>
    <w:p w14:paraId="191CF1D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вышел приказ НКАП N 263сс в исполнение решения ГКО от 6 июня 1945 N 8934сс:</w:t>
      </w:r>
    </w:p>
    <w:p w14:paraId="067663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Нач. 10 ГУ - зам. наркома Кузнецову, директору завода 22 Окулову и ГК А.Н.Т. организовать на заводе 22 производство 4-х моторных бомбардировщиков Б-4.</w:t>
      </w:r>
    </w:p>
    <w:p w14:paraId="06C982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Директору завода 22 производство самолетов Пе-2 с 2хВК-105ПФ на заводе 22 прекратить. оставшийся задел по этому самолету использовать на выпуск 250 самолетов Пе-2 в учебном варианте (с двойным управлением). Производство бомбардировщиков Пе-2 с ВК-107А прекратить.</w:t>
      </w:r>
    </w:p>
    <w:p w14:paraId="7BA658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ГК по опытному самолету Б-4 назначить А.Н.Т." (1894,23).</w:t>
      </w:r>
    </w:p>
    <w:p w14:paraId="378BB4B9" w14:textId="77777777" w:rsidR="006103B3" w:rsidRPr="00925F26" w:rsidRDefault="006103B3" w:rsidP="00925F26">
      <w:pPr>
        <w:autoSpaceDE w:val="0"/>
        <w:autoSpaceDN w:val="0"/>
        <w:adjustRightInd w:val="0"/>
        <w:jc w:val="both"/>
        <w:rPr>
          <w:color w:val="000000" w:themeColor="text1"/>
          <w:sz w:val="16"/>
          <w:szCs w:val="16"/>
        </w:rPr>
      </w:pPr>
    </w:p>
    <w:p w14:paraId="05A0EF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9189. Об уменьшении поставки самолетного вооружения заводами НКВ в связи с сокращением выпуска самолетов в июне. РГАНИР, Фонд ГКО, д. 430, лл. 15-18 (11012).</w:t>
      </w:r>
    </w:p>
    <w:p w14:paraId="0A07667C" w14:textId="77777777" w:rsidR="006103B3" w:rsidRPr="00925F26" w:rsidRDefault="006103B3" w:rsidP="00925F26">
      <w:pPr>
        <w:autoSpaceDE w:val="0"/>
        <w:autoSpaceDN w:val="0"/>
        <w:adjustRightInd w:val="0"/>
        <w:jc w:val="both"/>
        <w:rPr>
          <w:color w:val="000000" w:themeColor="text1"/>
          <w:sz w:val="16"/>
          <w:szCs w:val="16"/>
        </w:rPr>
      </w:pPr>
    </w:p>
    <w:p w14:paraId="58F35CAA"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24 июня 1945 г. нарком авиационной промышленности А. И. Шахурин обратился в ЦКВКП(б) с письмом следующего содержания: </w:t>
      </w:r>
    </w:p>
    <w:p w14:paraId="0B36D9C0" w14:textId="77777777" w:rsidR="00500674" w:rsidRPr="00925F26" w:rsidRDefault="00500674" w:rsidP="00925F26">
      <w:pPr>
        <w:pStyle w:val="Blockquote"/>
        <w:spacing w:before="0" w:after="0"/>
        <w:ind w:left="0" w:right="0"/>
        <w:jc w:val="both"/>
        <w:rPr>
          <w:color w:val="000000" w:themeColor="text1"/>
          <w:sz w:val="16"/>
          <w:szCs w:val="16"/>
          <w:lang w:val="ru-RU"/>
        </w:rPr>
      </w:pPr>
      <w:r w:rsidRPr="00925F26">
        <w:rPr>
          <w:color w:val="000000" w:themeColor="text1"/>
          <w:sz w:val="16"/>
          <w:szCs w:val="16"/>
          <w:lang w:val="ru-RU"/>
        </w:rPr>
        <w:t xml:space="preserve">"С нашей точки зрения, было бы целесообразно иметь </w:t>
      </w:r>
      <w:proofErr w:type="gramStart"/>
      <w:r w:rsidRPr="00925F26">
        <w:rPr>
          <w:color w:val="000000" w:themeColor="text1"/>
          <w:sz w:val="16"/>
          <w:szCs w:val="16"/>
          <w:lang w:val="ru-RU"/>
        </w:rPr>
        <w:t>на территории</w:t>
      </w:r>
      <w:proofErr w:type="gramEnd"/>
      <w:r w:rsidRPr="00925F26">
        <w:rPr>
          <w:color w:val="000000" w:themeColor="text1"/>
          <w:sz w:val="16"/>
          <w:szCs w:val="16"/>
          <w:lang w:val="ru-RU"/>
        </w:rPr>
        <w:t xml:space="preserve">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w:t>
      </w:r>
    </w:p>
    <w:p w14:paraId="524C551E" w14:textId="77777777" w:rsidR="00500674" w:rsidRPr="00925F26" w:rsidRDefault="00500674" w:rsidP="00925F26">
      <w:pPr>
        <w:jc w:val="both"/>
        <w:rPr>
          <w:color w:val="000000" w:themeColor="text1"/>
          <w:sz w:val="16"/>
          <w:szCs w:val="16"/>
        </w:rPr>
      </w:pPr>
      <w:r w:rsidRPr="00925F26">
        <w:rPr>
          <w:color w:val="000000" w:themeColor="text1"/>
          <w:sz w:val="16"/>
          <w:szCs w:val="16"/>
        </w:rPr>
        <w:lastRenderedPageBreak/>
        <w:t xml:space="preserve">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w:t>
      </w:r>
    </w:p>
    <w:p w14:paraId="556A4CD8"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w:t>
      </w:r>
    </w:p>
    <w:p w14:paraId="6A12D85A" w14:textId="77777777" w:rsidR="00500674" w:rsidRPr="00925F26" w:rsidRDefault="00500674" w:rsidP="00925F26">
      <w:pPr>
        <w:jc w:val="both"/>
        <w:rPr>
          <w:color w:val="000000" w:themeColor="text1"/>
          <w:sz w:val="16"/>
          <w:szCs w:val="16"/>
        </w:rPr>
      </w:pPr>
      <w:r w:rsidRPr="00925F26">
        <w:rPr>
          <w:color w:val="000000" w:themeColor="text1"/>
          <w:sz w:val="16"/>
          <w:szCs w:val="16"/>
        </w:rPr>
        <w:t>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w:t>
      </w:r>
    </w:p>
    <w:p w14:paraId="7002E563"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К началу октября 1946 г. общее число немецких специалистов, работающих по выполнению заданий МАП, составляло около 8 тыс. человек, среди них - 635 докторов технических наук, профессоров и дипломированных инженеров. </w:t>
      </w:r>
    </w:p>
    <w:p w14:paraId="3A26E7FF" w14:textId="77777777" w:rsidR="00500674" w:rsidRPr="00925F26" w:rsidRDefault="00500674" w:rsidP="00925F26">
      <w:pPr>
        <w:jc w:val="both"/>
        <w:rPr>
          <w:color w:val="000000" w:themeColor="text1"/>
          <w:sz w:val="16"/>
          <w:szCs w:val="16"/>
        </w:rPr>
      </w:pPr>
      <w:r w:rsidRPr="00925F26">
        <w:rPr>
          <w:color w:val="000000" w:themeColor="text1"/>
          <w:sz w:val="16"/>
          <w:szCs w:val="16"/>
        </w:rPr>
        <w:t>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w:t>
      </w:r>
    </w:p>
    <w:p w14:paraId="019F042C" w14:textId="77777777" w:rsidR="00500674" w:rsidRPr="00925F26" w:rsidRDefault="00500674" w:rsidP="00925F26">
      <w:pPr>
        <w:jc w:val="both"/>
        <w:rPr>
          <w:color w:val="000000" w:themeColor="text1"/>
          <w:sz w:val="16"/>
          <w:szCs w:val="16"/>
        </w:rPr>
      </w:pPr>
      <w:r w:rsidRPr="00925F26">
        <w:rPr>
          <w:color w:val="000000" w:themeColor="text1"/>
          <w:sz w:val="16"/>
          <w:szCs w:val="16"/>
        </w:rPr>
        <w:t>Правительственная комиссия СССР, во главе с И. А. Серовым и заместителем наркома авиационной промышленности A.C. Яковлевым выпустила постановление № 874–3ббсс от 17 апреля 1946 г., в котором были расписаны научно-производственные программы, которые должны выполнить созданные ОТБ и сроки выполнения заданий.</w:t>
      </w:r>
    </w:p>
    <w:p w14:paraId="4C6FB9FD"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753F0CFA"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0EE1D7F9"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В соответствии с постановление № 874 - Зббсс Главный конструктор доктор Шайбе должен был: </w:t>
      </w:r>
    </w:p>
    <w:p w14:paraId="09271665"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а) организовать работы по форсированию создания двигателя Jumo-004F с тягой на земле 1200 кгс. (вместо 900 кгс.); </w:t>
      </w:r>
    </w:p>
    <w:p w14:paraId="3B92D73D"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0B5821FE"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По самолетному отделу Главный конструктор доктор Бааде должен был организовать следующие работы: </w:t>
      </w:r>
    </w:p>
    <w:p w14:paraId="4F1CD727"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а) закончить постройку опытного образца реактивного бомбардировщика Юнкере Ju-131 (EF-131) в сентябре 1946 г.; </w:t>
      </w:r>
    </w:p>
    <w:p w14:paraId="2076D0C1"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093350F0"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в) закончить постройку реактивного штурмовика Юнкере Ju-126 (EF-126) с ПуВРД Jumo-226 "Аргус" (скорость 780 км/ч) и в мае-июне 1946 г.; </w:t>
      </w:r>
    </w:p>
    <w:p w14:paraId="10B4ABFB"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г) провести летные испытания на территории СССР самолетов EF-131, EF-132, EF-126. </w:t>
      </w:r>
    </w:p>
    <w:p w14:paraId="7E3676C6"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Прикомандированные к ОКБ-1 советские специалисты, должны были досконально разобраться в этих работах (12129). </w:t>
      </w:r>
    </w:p>
    <w:p w14:paraId="0A778BC9" w14:textId="77777777" w:rsidR="00500674" w:rsidRPr="00925F26" w:rsidRDefault="00500674" w:rsidP="00925F26">
      <w:pPr>
        <w:jc w:val="both"/>
        <w:rPr>
          <w:color w:val="000000" w:themeColor="text1"/>
          <w:sz w:val="16"/>
          <w:szCs w:val="16"/>
        </w:rPr>
      </w:pPr>
    </w:p>
    <w:p w14:paraId="273A49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24 июня 1945 г. нарком авиационной промышленности А. И. Шахурин обратился в ЦКВКП(б) с письмом следующего содержания: </w:t>
      </w:r>
    </w:p>
    <w:p w14:paraId="0219150A" w14:textId="77777777" w:rsidR="006103B3" w:rsidRPr="00925F26" w:rsidRDefault="006103B3" w:rsidP="00925F26">
      <w:pPr>
        <w:widowControl w:val="0"/>
        <w:autoSpaceDE w:val="0"/>
        <w:autoSpaceDN w:val="0"/>
        <w:adjustRightInd w:val="0"/>
        <w:jc w:val="both"/>
        <w:rPr>
          <w:color w:val="000000" w:themeColor="text1"/>
          <w:sz w:val="16"/>
          <w:szCs w:val="16"/>
        </w:rPr>
      </w:pPr>
      <w:r w:rsidRPr="00925F26">
        <w:rPr>
          <w:color w:val="000000" w:themeColor="text1"/>
          <w:sz w:val="16"/>
          <w:szCs w:val="16"/>
        </w:rPr>
        <w:t xml:space="preserve">"С нашей точки зрения, было бы целесообразно иметь </w:t>
      </w:r>
      <w:proofErr w:type="gramStart"/>
      <w:r w:rsidRPr="00925F26">
        <w:rPr>
          <w:color w:val="000000" w:themeColor="text1"/>
          <w:sz w:val="16"/>
          <w:szCs w:val="16"/>
        </w:rPr>
        <w:t>на территории</w:t>
      </w:r>
      <w:proofErr w:type="gramEnd"/>
      <w:r w:rsidRPr="00925F26">
        <w:rPr>
          <w:color w:val="000000" w:themeColor="text1"/>
          <w:sz w:val="16"/>
          <w:szCs w:val="16"/>
        </w:rPr>
        <w:t xml:space="preserve">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w:t>
      </w:r>
    </w:p>
    <w:p w14:paraId="1748CC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w:t>
      </w:r>
    </w:p>
    <w:p w14:paraId="5EDE94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w:t>
      </w:r>
    </w:p>
    <w:p w14:paraId="1BFE7C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 (12107).</w:t>
      </w:r>
    </w:p>
    <w:p w14:paraId="0D06642C" w14:textId="77777777" w:rsidR="006103B3" w:rsidRPr="00925F26" w:rsidRDefault="006103B3" w:rsidP="00925F26">
      <w:pPr>
        <w:autoSpaceDE w:val="0"/>
        <w:autoSpaceDN w:val="0"/>
        <w:adjustRightInd w:val="0"/>
        <w:jc w:val="both"/>
        <w:rPr>
          <w:color w:val="000000" w:themeColor="text1"/>
          <w:sz w:val="16"/>
          <w:szCs w:val="16"/>
        </w:rPr>
      </w:pPr>
    </w:p>
    <w:p w14:paraId="493D9917" w14:textId="586B6275" w:rsidR="00F60434" w:rsidRPr="00925F26" w:rsidRDefault="00F60434" w:rsidP="00925F26">
      <w:pPr>
        <w:jc w:val="both"/>
        <w:rPr>
          <w:color w:val="000000" w:themeColor="text1"/>
          <w:sz w:val="16"/>
          <w:szCs w:val="16"/>
        </w:rPr>
      </w:pPr>
      <w:r w:rsidRPr="00925F26">
        <w:rPr>
          <w:color w:val="000000" w:themeColor="text1"/>
          <w:sz w:val="16"/>
          <w:szCs w:val="16"/>
        </w:rPr>
        <w:t>24 июня 1945</w:t>
      </w:r>
      <w:r w:rsidR="00997EDF" w:rsidRPr="00925F26">
        <w:rPr>
          <w:color w:val="000000" w:themeColor="text1"/>
          <w:sz w:val="16"/>
          <w:szCs w:val="16"/>
        </w:rPr>
        <w:t xml:space="preserve">  </w:t>
      </w:r>
      <w:r w:rsidRPr="00925F26">
        <w:rPr>
          <w:color w:val="000000" w:themeColor="text1"/>
          <w:sz w:val="16"/>
          <w:szCs w:val="16"/>
        </w:rPr>
        <w:t>г. нарком авиационной промышленности А.</w:t>
      </w:r>
      <w:r w:rsidR="00997EDF" w:rsidRPr="00925F26">
        <w:rPr>
          <w:color w:val="000000" w:themeColor="text1"/>
          <w:sz w:val="16"/>
          <w:szCs w:val="16"/>
        </w:rPr>
        <w:t xml:space="preserve">  </w:t>
      </w:r>
      <w:r w:rsidRPr="00925F26">
        <w:rPr>
          <w:color w:val="000000" w:themeColor="text1"/>
          <w:sz w:val="16"/>
          <w:szCs w:val="16"/>
        </w:rPr>
        <w:t xml:space="preserve">И. Шахурин обратился в ЦКВКП(б) с письмом следующего содержания: «С нашей точки зрения, было бы целесообразно иметь </w:t>
      </w:r>
      <w:proofErr w:type="gramStart"/>
      <w:r w:rsidRPr="00925F26">
        <w:rPr>
          <w:color w:val="000000" w:themeColor="text1"/>
          <w:sz w:val="16"/>
          <w:szCs w:val="16"/>
        </w:rPr>
        <w:t>на территории</w:t>
      </w:r>
      <w:proofErr w:type="gramEnd"/>
      <w:r w:rsidRPr="00925F26">
        <w:rPr>
          <w:color w:val="000000" w:themeColor="text1"/>
          <w:sz w:val="16"/>
          <w:szCs w:val="16"/>
        </w:rPr>
        <w:t xml:space="preserve">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 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w:t>
      </w:r>
      <w:r w:rsidR="00997EDF" w:rsidRPr="00925F26">
        <w:rPr>
          <w:color w:val="000000" w:themeColor="text1"/>
          <w:sz w:val="16"/>
          <w:szCs w:val="16"/>
        </w:rPr>
        <w:t xml:space="preserve">  </w:t>
      </w:r>
      <w:r w:rsidRPr="00925F26">
        <w:rPr>
          <w:color w:val="000000" w:themeColor="text1"/>
          <w:sz w:val="16"/>
          <w:szCs w:val="16"/>
        </w:rPr>
        <w:t xml:space="preserve">Г. Фарбениндустри» в Лейпциге. Возобновление работы ряда авиационных заводов и КБ в советской зоне оккупации Германии противоречило решениям Крымской конференции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о запрете военного производства на территории Германии после окончания войны, поэтому работы проводились в обстановке полной секретности. 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w:t>
      </w:r>
      <w:r w:rsidR="00997EDF" w:rsidRPr="00925F26">
        <w:rPr>
          <w:color w:val="000000" w:themeColor="text1"/>
          <w:sz w:val="16"/>
          <w:szCs w:val="16"/>
        </w:rPr>
        <w:t xml:space="preserve">  </w:t>
      </w:r>
      <w:r w:rsidRPr="00925F26">
        <w:rPr>
          <w:color w:val="000000" w:themeColor="text1"/>
          <w:sz w:val="16"/>
          <w:szCs w:val="16"/>
        </w:rPr>
        <w:t>П. Берии, генерал-полковника И.</w:t>
      </w:r>
      <w:r w:rsidR="00997EDF" w:rsidRPr="00925F26">
        <w:rPr>
          <w:color w:val="000000" w:themeColor="text1"/>
          <w:sz w:val="16"/>
          <w:szCs w:val="16"/>
        </w:rPr>
        <w:t xml:space="preserve">  </w:t>
      </w:r>
      <w:r w:rsidRPr="00925F26">
        <w:rPr>
          <w:color w:val="000000" w:themeColor="text1"/>
          <w:sz w:val="16"/>
          <w:szCs w:val="16"/>
        </w:rPr>
        <w:t xml:space="preserve">А. Серова поиск ученых и квалифицированных рабочих велся также в лагерях для военнопленных. К началу октября </w:t>
      </w:r>
      <w:proofErr w:type="gramStart"/>
      <w:r w:rsidRPr="00925F26">
        <w:rPr>
          <w:color w:val="000000" w:themeColor="text1"/>
          <w:sz w:val="16"/>
          <w:szCs w:val="16"/>
        </w:rPr>
        <w:t>1946</w:t>
      </w:r>
      <w:r w:rsidR="00997EDF" w:rsidRPr="00925F26">
        <w:rPr>
          <w:color w:val="000000" w:themeColor="text1"/>
          <w:sz w:val="16"/>
          <w:szCs w:val="16"/>
        </w:rPr>
        <w:t xml:space="preserve">  </w:t>
      </w:r>
      <w:r w:rsidRPr="00925F26">
        <w:rPr>
          <w:color w:val="000000" w:themeColor="text1"/>
          <w:sz w:val="16"/>
          <w:szCs w:val="16"/>
        </w:rPr>
        <w:t>г.</w:t>
      </w:r>
      <w:proofErr w:type="gramEnd"/>
      <w:r w:rsidRPr="00925F26">
        <w:rPr>
          <w:color w:val="000000" w:themeColor="text1"/>
          <w:sz w:val="16"/>
          <w:szCs w:val="16"/>
        </w:rPr>
        <w:t xml:space="preserve"> общее число немецких специалистов, работающих по выполнению заданий МАП, составляло около </w:t>
      </w:r>
      <w:proofErr w:type="gramStart"/>
      <w:r w:rsidRPr="00925F26">
        <w:rPr>
          <w:color w:val="000000" w:themeColor="text1"/>
          <w:sz w:val="16"/>
          <w:szCs w:val="16"/>
        </w:rPr>
        <w:t>8</w:t>
      </w:r>
      <w:r w:rsidR="00997EDF" w:rsidRPr="00925F26">
        <w:rPr>
          <w:color w:val="000000" w:themeColor="text1"/>
          <w:sz w:val="16"/>
          <w:szCs w:val="16"/>
        </w:rPr>
        <w:t xml:space="preserve">  </w:t>
      </w:r>
      <w:r w:rsidRPr="00925F26">
        <w:rPr>
          <w:color w:val="000000" w:themeColor="text1"/>
          <w:sz w:val="16"/>
          <w:szCs w:val="16"/>
        </w:rPr>
        <w:t>тыс.</w:t>
      </w:r>
      <w:proofErr w:type="gramEnd"/>
      <w:r w:rsidRPr="00925F26">
        <w:rPr>
          <w:color w:val="000000" w:themeColor="text1"/>
          <w:sz w:val="16"/>
          <w:szCs w:val="16"/>
        </w:rPr>
        <w:t xml:space="preserve"> человек, среди них — 635 докторов технических наук, профессоров и дипломированных инженеров. 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 (18668).</w:t>
      </w:r>
    </w:p>
    <w:p w14:paraId="5B26EE88" w14:textId="77777777" w:rsidR="00F60434" w:rsidRPr="00925F26" w:rsidRDefault="00F60434" w:rsidP="00925F26">
      <w:pPr>
        <w:jc w:val="both"/>
        <w:rPr>
          <w:color w:val="000000" w:themeColor="text1"/>
          <w:sz w:val="16"/>
          <w:szCs w:val="16"/>
        </w:rPr>
      </w:pPr>
    </w:p>
    <w:p w14:paraId="7F99B5D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6E0E7AB" w14:textId="77777777" w:rsidR="006103B3" w:rsidRPr="00925F26" w:rsidRDefault="006103B3" w:rsidP="00925F26">
      <w:pPr>
        <w:autoSpaceDE w:val="0"/>
        <w:autoSpaceDN w:val="0"/>
        <w:adjustRightInd w:val="0"/>
        <w:jc w:val="both"/>
        <w:rPr>
          <w:iCs/>
          <w:color w:val="000000" w:themeColor="text1"/>
          <w:sz w:val="16"/>
          <w:szCs w:val="16"/>
        </w:rPr>
      </w:pPr>
    </w:p>
    <w:p w14:paraId="3D2475BF" w14:textId="77777777" w:rsidR="00BA6D09" w:rsidRPr="00925F26" w:rsidRDefault="00BA6D09" w:rsidP="00925F26">
      <w:pPr>
        <w:jc w:val="both"/>
        <w:rPr>
          <w:color w:val="000000" w:themeColor="text1"/>
          <w:sz w:val="16"/>
          <w:szCs w:val="16"/>
        </w:rPr>
      </w:pPr>
      <w:r w:rsidRPr="00925F26">
        <w:rPr>
          <w:color w:val="000000" w:themeColor="text1"/>
          <w:sz w:val="16"/>
          <w:szCs w:val="16"/>
        </w:rPr>
        <w:t>24 июня 1945 г. Из статьи секретаря Казанского горкома ВКП (б) А. Г. Барышникова «Труд, приравненный к подвигу» в газете «Красная Татария» - о работе в годы войны оборонных заводов</w:t>
      </w:r>
    </w:p>
    <w:p w14:paraId="3AC5E612" w14:textId="77777777" w:rsidR="00BA6D09" w:rsidRPr="00925F26" w:rsidRDefault="00BA6D09" w:rsidP="00925F26">
      <w:pPr>
        <w:jc w:val="both"/>
        <w:rPr>
          <w:color w:val="000000" w:themeColor="text1"/>
          <w:sz w:val="16"/>
          <w:szCs w:val="16"/>
        </w:rPr>
      </w:pPr>
      <w:r w:rsidRPr="00925F26">
        <w:rPr>
          <w:color w:val="000000" w:themeColor="text1"/>
          <w:sz w:val="16"/>
          <w:szCs w:val="16"/>
        </w:rPr>
        <w:t>В первые дни войны трудящиеся столицы Татарии города Казани дали клятву Родине, товарищу Сталину перестроить работу промышленности на военный лад, все силы и знания отдать на помощь фронту, на дело разгрома немецких захватчиков.</w:t>
      </w:r>
    </w:p>
    <w:p w14:paraId="55181788" w14:textId="77777777" w:rsidR="00BA6D09" w:rsidRPr="00925F26" w:rsidRDefault="00BA6D09" w:rsidP="00925F26">
      <w:pPr>
        <w:jc w:val="both"/>
        <w:rPr>
          <w:color w:val="000000" w:themeColor="text1"/>
          <w:sz w:val="16"/>
          <w:szCs w:val="16"/>
        </w:rPr>
      </w:pPr>
      <w:r w:rsidRPr="00925F26">
        <w:rPr>
          <w:color w:val="000000" w:themeColor="text1"/>
          <w:sz w:val="16"/>
          <w:szCs w:val="16"/>
        </w:rPr>
        <w:t>Перед промышленностью города были поставлены огромные задачи. Мы должны были разместить значительное количество предприятий, эвакуированных из западных областей Советского Союза, увеличить выпуск боевой продукции. Эти задачи трудящиеся Казани выполнили с честью. Наш город превратился в один из важных арсеналов Родины, снабжал фронт вооружением, боеприпасами, обмундированием. Выпуск валовой продукции на предприятиях увеличился по сравнению с 1940 годом в три с лишним раза.</w:t>
      </w:r>
    </w:p>
    <w:p w14:paraId="184B91D4" w14:textId="77777777" w:rsidR="00BA6D09" w:rsidRPr="00925F26" w:rsidRDefault="00BA6D09" w:rsidP="00925F26">
      <w:pPr>
        <w:jc w:val="both"/>
        <w:rPr>
          <w:color w:val="000000" w:themeColor="text1"/>
          <w:sz w:val="16"/>
          <w:szCs w:val="16"/>
        </w:rPr>
      </w:pPr>
      <w:r w:rsidRPr="00925F26">
        <w:rPr>
          <w:color w:val="000000" w:themeColor="text1"/>
          <w:sz w:val="16"/>
          <w:szCs w:val="16"/>
        </w:rPr>
        <w:t>Получая повышенные задания, фабрики и заводы Казани не только выполняли, но и намного перевыполняли их. Достаточно сказать, что план 1944 года промышленностью города был выполнен к 23 декабря, а в конце года предприятия Казани дали на 105 миллионов рублей сверхплановых изделий.</w:t>
      </w:r>
    </w:p>
    <w:p w14:paraId="26262831" w14:textId="77777777" w:rsidR="00BA6D09" w:rsidRPr="00925F26" w:rsidRDefault="00BA6D09" w:rsidP="00925F26">
      <w:pPr>
        <w:jc w:val="both"/>
        <w:rPr>
          <w:color w:val="000000" w:themeColor="text1"/>
          <w:sz w:val="16"/>
          <w:szCs w:val="16"/>
        </w:rPr>
      </w:pPr>
      <w:r w:rsidRPr="00925F26">
        <w:rPr>
          <w:color w:val="000000" w:themeColor="text1"/>
          <w:sz w:val="16"/>
          <w:szCs w:val="16"/>
        </w:rPr>
        <w:t>Велики заслуги перед Родиной коллектива завода им. Горбунова (Завод № 22) и завода, где главным инженером т. Месяцев (Завод № 16). Рабочие, мастера, инженеры, техники и руководители этих предприятий трудились, не зная устали, выполняя важнейшие задания Государственного Комитета Обороны. Их продукция заслужила одобрение героев-фронтовиков.</w:t>
      </w:r>
    </w:p>
    <w:p w14:paraId="20E09FCB" w14:textId="77777777" w:rsidR="00BA6D09" w:rsidRPr="00925F26" w:rsidRDefault="00BA6D09" w:rsidP="00925F26">
      <w:pPr>
        <w:jc w:val="both"/>
        <w:rPr>
          <w:color w:val="000000" w:themeColor="text1"/>
          <w:sz w:val="16"/>
          <w:szCs w:val="16"/>
        </w:rPr>
      </w:pPr>
      <w:r w:rsidRPr="00925F26">
        <w:rPr>
          <w:color w:val="000000" w:themeColor="text1"/>
          <w:sz w:val="16"/>
          <w:szCs w:val="16"/>
        </w:rPr>
        <w:t>Из месяца в месяц перевыполнял ответственные задания Государственного Комитета Обороны коллектив старейшего предприятия Татарии – завода имени Ленина (Завод № 40). План прошлого года он выполнил за одиннадцать месяцев, при этом себестоимость продукции снизил на 2,8 процента и от рационализации производства дал шесть миллионов рублей экономии. […]</w:t>
      </w:r>
    </w:p>
    <w:p w14:paraId="645EE6DE" w14:textId="77777777" w:rsidR="00BA6D09" w:rsidRPr="00925F26" w:rsidRDefault="00BA6D09" w:rsidP="00925F26">
      <w:pPr>
        <w:jc w:val="both"/>
        <w:rPr>
          <w:color w:val="000000" w:themeColor="text1"/>
          <w:sz w:val="16"/>
          <w:szCs w:val="16"/>
        </w:rPr>
      </w:pPr>
      <w:r w:rsidRPr="00925F26">
        <w:rPr>
          <w:color w:val="000000" w:themeColor="text1"/>
          <w:sz w:val="16"/>
          <w:szCs w:val="16"/>
        </w:rPr>
        <w:t>В 1944 году передовым предприятиям Казани – победителям во Всесоюзном социалистическом соревновании – 22 раза присуждались Красные Знамена Государственного Комитета Обороны. Эту награду уверенно держат в руках коллективы завода, где главным инженером т. Месяцев и ордена Ленина завода им. Горбунова. Неоднократно получали переходящие Красные Знамена коллективы заводов, где главными инженерами тт. Зафьянцев (Завод № 387), Касаткин (Завод № 349). […]</w:t>
      </w:r>
    </w:p>
    <w:p w14:paraId="27CBAE5D" w14:textId="77777777" w:rsidR="00BA6D09" w:rsidRPr="00925F26" w:rsidRDefault="00BA6D09" w:rsidP="00925F26">
      <w:pPr>
        <w:jc w:val="both"/>
        <w:rPr>
          <w:color w:val="000000" w:themeColor="text1"/>
          <w:sz w:val="16"/>
          <w:szCs w:val="16"/>
        </w:rPr>
      </w:pPr>
      <w:r w:rsidRPr="00925F26">
        <w:rPr>
          <w:color w:val="000000" w:themeColor="text1"/>
          <w:sz w:val="16"/>
          <w:szCs w:val="16"/>
        </w:rPr>
        <w:t>Бесчисленны примеры героического труда. Их можно найти на любом предприятии.</w:t>
      </w:r>
    </w:p>
    <w:p w14:paraId="4BECE5D9" w14:textId="77777777" w:rsidR="00BA6D09" w:rsidRPr="00925F26" w:rsidRDefault="00BA6D09" w:rsidP="00925F26">
      <w:pPr>
        <w:jc w:val="both"/>
        <w:rPr>
          <w:color w:val="000000" w:themeColor="text1"/>
          <w:sz w:val="16"/>
          <w:szCs w:val="16"/>
        </w:rPr>
      </w:pPr>
      <w:r w:rsidRPr="00925F26">
        <w:rPr>
          <w:color w:val="000000" w:themeColor="text1"/>
          <w:sz w:val="16"/>
          <w:szCs w:val="16"/>
        </w:rPr>
        <w:lastRenderedPageBreak/>
        <w:t>На заводе им. Ленина по инициативе стахановцев в дни войны были введены особые «фронтовые задания». Они в полтора-два раза превышали план выпуска продукции. И десятки стахановцев не только выполняли, но намного перевыполняли их. Молодая работница Матрена Фадеева вырабатывала до пяти норм в смену и получила звание гвардейца трудового фронта. Фронтовая бригада т. Филатовой нередко выполняла месячное задание за 10-12 дней.</w:t>
      </w:r>
    </w:p>
    <w:p w14:paraId="5A3A9B49" w14:textId="77777777" w:rsidR="00BA6D09" w:rsidRPr="00925F26" w:rsidRDefault="00BA6D09" w:rsidP="00925F26">
      <w:pPr>
        <w:jc w:val="both"/>
        <w:rPr>
          <w:color w:val="000000" w:themeColor="text1"/>
          <w:sz w:val="16"/>
          <w:szCs w:val="16"/>
        </w:rPr>
      </w:pPr>
      <w:r w:rsidRPr="00925F26">
        <w:rPr>
          <w:color w:val="000000" w:themeColor="text1"/>
          <w:sz w:val="16"/>
          <w:szCs w:val="16"/>
        </w:rPr>
        <w:t>Фронтовая бригада т. Шарипова с завода им. Горбунова, применив метод Егора Агаркова, вдвое сократила свой состав. В этой бригаде осталось четыре человека, но они обслуживают двенадцать сложных станков. На том же заводе фронтовая бригада Михаила Коновалова, состоящая из трех стахановцев, выполняет объем работы, рассчитанной на 20 человек. […]</w:t>
      </w:r>
    </w:p>
    <w:p w14:paraId="1564171D" w14:textId="77777777" w:rsidR="00BA6D09" w:rsidRPr="00925F26" w:rsidRDefault="00BA6D09" w:rsidP="00925F26">
      <w:pPr>
        <w:jc w:val="both"/>
        <w:rPr>
          <w:color w:val="000000" w:themeColor="text1"/>
          <w:sz w:val="16"/>
          <w:szCs w:val="16"/>
        </w:rPr>
      </w:pPr>
      <w:r w:rsidRPr="00925F26">
        <w:rPr>
          <w:color w:val="000000" w:themeColor="text1"/>
          <w:sz w:val="16"/>
          <w:szCs w:val="16"/>
        </w:rPr>
        <w:t>В дни войны сотни и тысячи квалифицированных рабочих наших предприятий ушли на фронт. На их место встали жены, дочери и матери фронтовиков. Быстро овладели они сложными профессиями. На заводе имени Ленина женщины-работницы столярной мастерской в течение четырех-пяти месяцев овладели профессией и стали выполнять по полторы нормы.</w:t>
      </w:r>
    </w:p>
    <w:p w14:paraId="3BD773F9" w14:textId="77777777" w:rsidR="00BA6D09" w:rsidRPr="00925F26" w:rsidRDefault="00BA6D09" w:rsidP="00925F26">
      <w:pPr>
        <w:jc w:val="both"/>
        <w:rPr>
          <w:color w:val="000000" w:themeColor="text1"/>
          <w:sz w:val="16"/>
          <w:szCs w:val="16"/>
        </w:rPr>
      </w:pPr>
      <w:r w:rsidRPr="00925F26">
        <w:rPr>
          <w:color w:val="000000" w:themeColor="text1"/>
          <w:sz w:val="16"/>
          <w:szCs w:val="16"/>
        </w:rPr>
        <w:t>Сотни молодых бригад города подхватили замечательную инициативу московской комсомолки Кати Барышниковой. Они сумели высвободить для нашей промышленности более 1500 человек. В результате объединения 80 молодежных бригад, участков и цехов по методу Егора Агаркова высвобождено около 1000 квалифицированных рабочих и мастеров.</w:t>
      </w:r>
    </w:p>
    <w:p w14:paraId="5388F963" w14:textId="77777777" w:rsidR="00BA6D09" w:rsidRPr="00925F26" w:rsidRDefault="00BA6D09" w:rsidP="00925F26">
      <w:pPr>
        <w:jc w:val="both"/>
        <w:rPr>
          <w:color w:val="000000" w:themeColor="text1"/>
          <w:sz w:val="16"/>
          <w:szCs w:val="16"/>
        </w:rPr>
      </w:pPr>
      <w:r w:rsidRPr="00925F26">
        <w:rPr>
          <w:color w:val="000000" w:themeColor="text1"/>
          <w:sz w:val="16"/>
          <w:szCs w:val="16"/>
        </w:rPr>
        <w:t>Трудовые подвиги гвардейцев тыла высоко оценены Советским правительством. Только в 1944 году около 500 стахановцев, инженеров и техников предприятий Казани за успешное выполнение государственных заданий награждены орденами и медалями Советского Союза. В 1945 году награждена новая группа работников промышленности. Труд стахановцев приравнен по своему значению к фронтовой работе и значительное количество гвардейцев трудового фронта награждено боевыми орденами и медалями. […]</w:t>
      </w:r>
    </w:p>
    <w:p w14:paraId="48D43450" w14:textId="77777777" w:rsidR="00BA6D09" w:rsidRPr="00925F26" w:rsidRDefault="00BA6D09" w:rsidP="00925F26">
      <w:pPr>
        <w:jc w:val="both"/>
        <w:rPr>
          <w:color w:val="000000" w:themeColor="text1"/>
          <w:sz w:val="16"/>
          <w:szCs w:val="16"/>
        </w:rPr>
      </w:pPr>
      <w:r w:rsidRPr="00925F26">
        <w:rPr>
          <w:color w:val="000000" w:themeColor="text1"/>
          <w:sz w:val="16"/>
          <w:szCs w:val="16"/>
        </w:rPr>
        <w:t>Секретарь ГК ВКП (б) А.Барышников</w:t>
      </w:r>
    </w:p>
    <w:p w14:paraId="0FE7C9BE" w14:textId="77777777" w:rsidR="00BA6D09" w:rsidRPr="00925F26" w:rsidRDefault="00BA6D09" w:rsidP="00925F26">
      <w:pPr>
        <w:jc w:val="both"/>
        <w:rPr>
          <w:color w:val="000000" w:themeColor="text1"/>
          <w:sz w:val="16"/>
          <w:szCs w:val="16"/>
        </w:rPr>
      </w:pPr>
      <w:r w:rsidRPr="00925F26">
        <w:rPr>
          <w:color w:val="000000" w:themeColor="text1"/>
          <w:sz w:val="16"/>
          <w:szCs w:val="16"/>
        </w:rPr>
        <w:t>Красная Татария. – 1945. – 24 июня. - № 123 (15494).</w:t>
      </w:r>
    </w:p>
    <w:p w14:paraId="4A3327FC" w14:textId="77777777" w:rsidR="00BA6D09" w:rsidRPr="00925F26" w:rsidRDefault="00BA6D09" w:rsidP="00925F26">
      <w:pPr>
        <w:jc w:val="both"/>
        <w:rPr>
          <w:color w:val="000000" w:themeColor="text1"/>
          <w:sz w:val="16"/>
          <w:szCs w:val="16"/>
        </w:rPr>
      </w:pPr>
    </w:p>
    <w:p w14:paraId="2791BD9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9183 [О передаче ж.-д. участка Саратов - Камышин в состав Рязано-Уральской ж.д.] (7352, 9).</w:t>
      </w:r>
    </w:p>
    <w:p w14:paraId="1D236243"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17D69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9184. О поставке топочного мазута заводу "Амурсталь" НКЧМ. РГАНИР, Фонд ГКО, д. 430, лл. 10 (11012).</w:t>
      </w:r>
    </w:p>
    <w:p w14:paraId="733F6055" w14:textId="77777777" w:rsidR="006103B3" w:rsidRPr="00925F26" w:rsidRDefault="006103B3" w:rsidP="00925F26">
      <w:pPr>
        <w:autoSpaceDE w:val="0"/>
        <w:autoSpaceDN w:val="0"/>
        <w:adjustRightInd w:val="0"/>
        <w:jc w:val="both"/>
        <w:rPr>
          <w:color w:val="000000" w:themeColor="text1"/>
          <w:sz w:val="16"/>
          <w:szCs w:val="16"/>
        </w:rPr>
      </w:pPr>
    </w:p>
    <w:p w14:paraId="615F976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9185. О мерах по обеспечению электроэнергией Кузнецкого металлургического комбината НКЧМ на период ремонта турбины Кемеровской ГРЭС. РГАНИР, Фонд ГКО, д. 430, лл. 11 (11012).</w:t>
      </w:r>
    </w:p>
    <w:p w14:paraId="2B3F8A35" w14:textId="77777777" w:rsidR="006103B3" w:rsidRPr="00925F26" w:rsidRDefault="006103B3" w:rsidP="00925F26">
      <w:pPr>
        <w:autoSpaceDE w:val="0"/>
        <w:autoSpaceDN w:val="0"/>
        <w:adjustRightInd w:val="0"/>
        <w:jc w:val="both"/>
        <w:rPr>
          <w:color w:val="000000" w:themeColor="text1"/>
          <w:sz w:val="16"/>
          <w:szCs w:val="16"/>
        </w:rPr>
      </w:pPr>
    </w:p>
    <w:p w14:paraId="3FA5D38B"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9186 [О производстве электродвигателей для нефтяной промышленности в Бакинской ИТК.] (7352, 12).</w:t>
      </w:r>
    </w:p>
    <w:p w14:paraId="57B14F7D"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84360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9187. О мерах по обеспечению цементом заводов НКБ для установки импортного оборудования. РГАНИР, Фонд ГКО, д. 430, лл. 13 (11012).</w:t>
      </w:r>
    </w:p>
    <w:p w14:paraId="5BC6C7ED" w14:textId="77777777" w:rsidR="006103B3" w:rsidRPr="00925F26" w:rsidRDefault="006103B3" w:rsidP="00925F26">
      <w:pPr>
        <w:autoSpaceDE w:val="0"/>
        <w:autoSpaceDN w:val="0"/>
        <w:adjustRightInd w:val="0"/>
        <w:jc w:val="both"/>
        <w:rPr>
          <w:color w:val="000000" w:themeColor="text1"/>
          <w:sz w:val="16"/>
          <w:szCs w:val="16"/>
        </w:rPr>
      </w:pPr>
    </w:p>
    <w:p w14:paraId="73F0A676"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9188 [О мерах по организации производства пороховой целлюлозы по техническим условиям мирного времени на Соликамском и Архангельском целлюлозно-бумажных комбинатах.] (7352, 14).</w:t>
      </w:r>
    </w:p>
    <w:p w14:paraId="722EF52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E7EBAF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вышло Распоряжение ГКО № 9190. О мерах по обеспечению поставки кирпича строительству лаборатории № 2 АН СССР. РГАНИР, Фонд ГКО, д. 430, лл. 19-20, 21-23 (11012).</w:t>
      </w:r>
    </w:p>
    <w:p w14:paraId="2ED8918B" w14:textId="77777777" w:rsidR="006103B3" w:rsidRPr="00925F26" w:rsidRDefault="006103B3" w:rsidP="00925F26">
      <w:pPr>
        <w:autoSpaceDE w:val="0"/>
        <w:autoSpaceDN w:val="0"/>
        <w:adjustRightInd w:val="0"/>
        <w:jc w:val="both"/>
        <w:rPr>
          <w:color w:val="000000" w:themeColor="text1"/>
          <w:sz w:val="16"/>
          <w:szCs w:val="16"/>
        </w:rPr>
      </w:pPr>
    </w:p>
    <w:p w14:paraId="455451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вышло Постановление ГКО № 9191 О ремонте взрывоопасных пороховых и снаряжательных заводов Народного комиссариата боеприпасов. РГАНИР, Фонд ГКО, д. 430, лл. 24-26, 27-30 (11012).</w:t>
      </w:r>
    </w:p>
    <w:p w14:paraId="4EBCB55F" w14:textId="77777777" w:rsidR="006103B3" w:rsidRPr="00925F26" w:rsidRDefault="006103B3" w:rsidP="00925F26">
      <w:pPr>
        <w:autoSpaceDE w:val="0"/>
        <w:autoSpaceDN w:val="0"/>
        <w:adjustRightInd w:val="0"/>
        <w:jc w:val="both"/>
        <w:rPr>
          <w:color w:val="000000" w:themeColor="text1"/>
          <w:sz w:val="16"/>
          <w:szCs w:val="16"/>
        </w:rPr>
      </w:pPr>
    </w:p>
    <w:p w14:paraId="3886EA2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2AD1E8E8" w14:textId="77777777" w:rsidR="006103B3" w:rsidRPr="00925F26" w:rsidRDefault="006103B3" w:rsidP="00925F26">
      <w:pPr>
        <w:autoSpaceDE w:val="0"/>
        <w:autoSpaceDN w:val="0"/>
        <w:adjustRightInd w:val="0"/>
        <w:jc w:val="both"/>
        <w:rPr>
          <w:iCs/>
          <w:color w:val="000000" w:themeColor="text1"/>
          <w:sz w:val="16"/>
          <w:szCs w:val="16"/>
        </w:rPr>
      </w:pPr>
    </w:p>
    <w:p w14:paraId="51E0E7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вышла директива командующего ВВС по переброске авиации в Японию (340,221).</w:t>
      </w:r>
    </w:p>
    <w:p w14:paraId="3C0E6341" w14:textId="77777777" w:rsidR="006103B3" w:rsidRPr="00925F26" w:rsidRDefault="006103B3" w:rsidP="00925F26">
      <w:pPr>
        <w:autoSpaceDE w:val="0"/>
        <w:autoSpaceDN w:val="0"/>
        <w:adjustRightInd w:val="0"/>
        <w:jc w:val="both"/>
        <w:rPr>
          <w:color w:val="000000" w:themeColor="text1"/>
          <w:sz w:val="16"/>
          <w:szCs w:val="16"/>
        </w:rPr>
      </w:pPr>
    </w:p>
    <w:p w14:paraId="0F027EC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DC704D7" w14:textId="77777777" w:rsidR="006103B3" w:rsidRPr="00925F26" w:rsidRDefault="006103B3" w:rsidP="00925F26">
      <w:pPr>
        <w:autoSpaceDE w:val="0"/>
        <w:autoSpaceDN w:val="0"/>
        <w:adjustRightInd w:val="0"/>
        <w:jc w:val="both"/>
        <w:rPr>
          <w:iCs/>
          <w:color w:val="000000" w:themeColor="text1"/>
          <w:sz w:val="16"/>
          <w:szCs w:val="16"/>
        </w:rPr>
      </w:pPr>
    </w:p>
    <w:p w14:paraId="071196C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июня 1945 в Москве на Красной площади состоялся Парад Победы (4962).</w:t>
      </w:r>
    </w:p>
    <w:p w14:paraId="48D3297D"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7EB73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в Москве был Парад Победы (1032,5). Из-за нелетной погоды воздушный парад, который должны были открыть 9 Як-3, сначала отложили, а затем отменили (1100,12).</w:t>
      </w:r>
    </w:p>
    <w:p w14:paraId="4EB266F3" w14:textId="77777777" w:rsidR="006103B3" w:rsidRPr="00925F26" w:rsidRDefault="006103B3" w:rsidP="00925F26">
      <w:pPr>
        <w:autoSpaceDE w:val="0"/>
        <w:autoSpaceDN w:val="0"/>
        <w:adjustRightInd w:val="0"/>
        <w:jc w:val="both"/>
        <w:rPr>
          <w:color w:val="000000" w:themeColor="text1"/>
          <w:sz w:val="16"/>
          <w:szCs w:val="16"/>
        </w:rPr>
      </w:pPr>
    </w:p>
    <w:p w14:paraId="2D2451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24 июня 1945 была назначена еще одна дата празднования победы в войне, которая должна была сопровождаться грандиозным воздушным парадом. В отношении этого воздушного парада Стерлигов записал следующее:</w:t>
      </w:r>
    </w:p>
    <w:p w14:paraId="654F7B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"...Тридцатого мая началась новая подготовка воздушного парада, проведение которого должно было состояться в день празднования Победы, назначенного на 24 июня. Командующим воздушным парадом был назначен главный маршал авиации А.А.Новиков, я, по традиции, - главным штурманом.</w:t>
      </w:r>
    </w:p>
    <w:p w14:paraId="35549F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этом параде должны были принять участие по одной дивизии каждого рода авиации, из числа наиболее прославившихся в войне, в том числе, и дивизия транспортных самолетов ГВФ, осуществлявшая связь с партизанами. Флагманский самолет Пе-8 должен был идти в сопровождении двух звеньев истребителей. Всего в параде должно было участвовать около 800 самолетов. Снова начались тренировки и репетиции парада.</w:t>
      </w:r>
    </w:p>
    <w:p w14:paraId="0A7CD3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Двадцать первого июня главный маршал лично провел на флагманском Пе-8 генеральную репетицию парада. После разбора репетиции А.А.Новиков отозвал меня в сторону и тихо сказал:</w:t>
      </w:r>
    </w:p>
    <w:p w14:paraId="71DC2A2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Борис Васильевич, для нас с Вами война еще не кончилась, собирайтесь на Дальний Восток. Вылетаем 29 июня. Но никому ни слова, даже жене.</w:t>
      </w:r>
    </w:p>
    <w:p w14:paraId="264922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Двадцать четвертого июня в день Парада Победы с утра шел дождь, и надежд на просветление метеорология не давала. Воздушный парад был отменен и мы, в новой парадной форме цвета "морской волны", оказались на трибунах у Мавзолея среди других общевойсковых генералов и наблюдали парад наземных войск с известной церемонией бросания фашистских знамен перед Мавзолеем.</w:t>
      </w:r>
    </w:p>
    <w:p w14:paraId="5EC92B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...Двадцать девятого июня, вместе с главным маршалом авиации Новиковым, мы вылетели на Дальний Восток. Накануне отлета мы узнали, что флагманский корабль Пе-8, на котором мы должны были лететь на Параде Победы, потерпел катастрофу при перегонке его с Центрального аэродрома на постоянный аэродром базирования под Москвой. Причина катастрофы установлена не была. Она произошла на 20 минуте полета. Если бы парад состоялся </w:t>
      </w:r>
      <w:proofErr w:type="gramStart"/>
      <w:r w:rsidRPr="00925F26">
        <w:rPr>
          <w:color w:val="000000" w:themeColor="text1"/>
          <w:sz w:val="16"/>
          <w:szCs w:val="16"/>
        </w:rPr>
        <w:t>- это</w:t>
      </w:r>
      <w:proofErr w:type="gramEnd"/>
      <w:r w:rsidRPr="00925F26">
        <w:rPr>
          <w:color w:val="000000" w:themeColor="text1"/>
          <w:sz w:val="16"/>
          <w:szCs w:val="16"/>
        </w:rPr>
        <w:t xml:space="preserve"> произошло бы на главной петле сбора. Да, вот она судьба авиаторов. Войны уже нет, а смерть прошла рядом!".</w:t>
      </w:r>
    </w:p>
    <w:p w14:paraId="66989D9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сожалению, установить достоверно факт катастрофы хотя бы одного из Пе-8 во второй половине июня 1945 г. на данный момент не удалось. Возможно, Борис Васильевич Стерлигов при подготовке своих воспоминаний несколько сместил даты и объединил в своем повествовании разные события: парад Победы на Красной площади 24 июня 1945 г. и воздушный парад, назначенный на 19 августа 1945 г. А известная история с разбившимся самолетом имела отношение к сентябрьским событиям того же года... (12025).</w:t>
      </w:r>
    </w:p>
    <w:p w14:paraId="07E24369" w14:textId="77777777" w:rsidR="006103B3" w:rsidRPr="00925F26" w:rsidRDefault="006103B3" w:rsidP="00925F26">
      <w:pPr>
        <w:autoSpaceDE w:val="0"/>
        <w:autoSpaceDN w:val="0"/>
        <w:adjustRightInd w:val="0"/>
        <w:jc w:val="both"/>
        <w:rPr>
          <w:color w:val="000000" w:themeColor="text1"/>
          <w:sz w:val="16"/>
          <w:szCs w:val="16"/>
        </w:rPr>
      </w:pPr>
    </w:p>
    <w:p w14:paraId="0E40C44D" w14:textId="77777777" w:rsidR="00BA6D09" w:rsidRPr="00925F26" w:rsidRDefault="00BA6D09" w:rsidP="00925F26">
      <w:pPr>
        <w:jc w:val="both"/>
        <w:rPr>
          <w:bCs/>
          <w:color w:val="000000" w:themeColor="text1"/>
          <w:sz w:val="16"/>
          <w:szCs w:val="16"/>
        </w:rPr>
      </w:pPr>
      <w:r w:rsidRPr="00925F26">
        <w:rPr>
          <w:bCs/>
          <w:color w:val="000000" w:themeColor="text1"/>
          <w:sz w:val="16"/>
          <w:szCs w:val="16"/>
        </w:rPr>
        <w:t>24 июня</w:t>
      </w:r>
      <w:r w:rsidRPr="00925F26">
        <w:rPr>
          <w:color w:val="000000" w:themeColor="text1"/>
          <w:sz w:val="16"/>
          <w:szCs w:val="16"/>
        </w:rPr>
        <w:t xml:space="preserve"> в 1945 году в Москве на Красной площади состоялся исторический Парад Победы воинов-победителей в Великой Отечественной войне. 22 июня в газетах был опубликован приказ Верховного Главнокомандующего: «В ознаменование Победы над Германией в Великой Отечественной войне назначаю 24 июня 1945 года в Москве на Красной площади парад войск действующей армии, Военно-Морского Флота и Московского гарнизона - Парад Победы… Парад Победы принять моему заместителю Маршалу Советского Союза Г.К.Жукову, командовать парадом Маршалу Советского Союза К.К.Рокоссовскому. И.Сталин».</w:t>
      </w:r>
    </w:p>
    <w:p w14:paraId="65B77771" w14:textId="77777777" w:rsidR="00BA6D09" w:rsidRPr="00925F26" w:rsidRDefault="00BA6D09" w:rsidP="00925F26">
      <w:pPr>
        <w:jc w:val="both"/>
        <w:rPr>
          <w:bCs/>
          <w:color w:val="000000" w:themeColor="text1"/>
          <w:sz w:val="16"/>
          <w:szCs w:val="16"/>
        </w:rPr>
      </w:pPr>
      <w:r w:rsidRPr="00925F26">
        <w:rPr>
          <w:color w:val="000000" w:themeColor="text1"/>
          <w:sz w:val="16"/>
          <w:szCs w:val="16"/>
        </w:rPr>
        <w:t>В конце мая и начале июня шла усиленная подготовка к параду. В десятых числах июня весь состав участников уже был одет в новую парадную форму и приступил к предпраздничной тренировке. Для участия в параде были сформированы и подготовлены сводные полки от каждого действовавшего в конце войны фронта. Кроме того, в Параде Победы участвовали военные академии, военные училища и части Московского гарнизона. В состав полков включались Герои Советского Союза, кавалеры орденов Славы, прославленные снайперы и наиболее отличившиеся орденоносцы.</w:t>
      </w:r>
    </w:p>
    <w:p w14:paraId="4A6E101A" w14:textId="77777777" w:rsidR="00BA6D09" w:rsidRPr="00925F26" w:rsidRDefault="00BA6D09" w:rsidP="00925F26">
      <w:pPr>
        <w:jc w:val="both"/>
        <w:rPr>
          <w:bCs/>
          <w:color w:val="000000" w:themeColor="text1"/>
          <w:sz w:val="16"/>
          <w:szCs w:val="16"/>
        </w:rPr>
      </w:pPr>
      <w:r w:rsidRPr="00925F26">
        <w:rPr>
          <w:color w:val="000000" w:themeColor="text1"/>
          <w:sz w:val="16"/>
          <w:szCs w:val="16"/>
        </w:rPr>
        <w:t>В каждом полку были представлены пехота, артиллеристы, танкисты и летчики, кавалеристы, саперы и связисты. В состав полков входили специально подготовленные знаменосцы с ассистентами, которые должны были нести по 36 боевых знамен наиболее отличившихся в боях соединений и частей. Всего каждый полк насчитывал свыше одной тысячи человек, сводные фронтовые полки должны были возглавляться командующими фронтами. Решено было привезти из Берлина Красное знамя, которое было водружено над рейхстагом, а также боевые знамена немецко-фашистских войск, захваченные в сражениях советскими войсками.</w:t>
      </w:r>
    </w:p>
    <w:p w14:paraId="7B6C9E6B" w14:textId="77777777" w:rsidR="00BA6D09" w:rsidRPr="00925F26" w:rsidRDefault="00BA6D09" w:rsidP="00925F26">
      <w:pPr>
        <w:jc w:val="both"/>
        <w:rPr>
          <w:bCs/>
          <w:color w:val="000000" w:themeColor="text1"/>
          <w:sz w:val="16"/>
          <w:szCs w:val="16"/>
        </w:rPr>
      </w:pPr>
      <w:r w:rsidRPr="00925F26">
        <w:rPr>
          <w:color w:val="000000" w:themeColor="text1"/>
          <w:sz w:val="16"/>
          <w:szCs w:val="16"/>
        </w:rPr>
        <w:lastRenderedPageBreak/>
        <w:t>Построение парада было определено в порядке общей линии действующих фронтов, справа налево. Для каждого сводного полка были специально выбраны военные марши, которые были особенно ими любимы. В короткий срок все сводные полки были блестяще подготовлены и производили внушительное впечатление. 24 июня 1945 года ровно в 10 часов утра Маршал Советского Союза Георгий Жуков. выехал на белом жеребце по кличке Цепкий из Спасских ворот на Красную площадь. Прозвучала команда: «Парад, смирно!», и по площади прокатился гул аплодисментов. После рапорта командующего парадом Константина Рокоссовского Георгию Жукову и объезда ими войск прозвучал сигнал «Слушайте все!», и сводный военный оркестр в составе 1400 человек исполнил гимн «Славься, русский народ!» Михаила Глинки.</w:t>
      </w:r>
    </w:p>
    <w:p w14:paraId="11065B12" w14:textId="77777777" w:rsidR="00BA6D09" w:rsidRPr="00925F26" w:rsidRDefault="00BA6D09" w:rsidP="00925F26">
      <w:pPr>
        <w:jc w:val="both"/>
        <w:rPr>
          <w:bCs/>
          <w:color w:val="000000" w:themeColor="text1"/>
          <w:sz w:val="16"/>
          <w:szCs w:val="16"/>
        </w:rPr>
      </w:pPr>
      <w:r w:rsidRPr="00925F26">
        <w:rPr>
          <w:color w:val="000000" w:themeColor="text1"/>
          <w:sz w:val="16"/>
          <w:szCs w:val="16"/>
        </w:rPr>
        <w:t>Георгий Жуков с трибуны мавзолея произнес приветственную речь, был исполнен гимн Советского Союза, и начался торжественный марш войск.</w:t>
      </w:r>
    </w:p>
    <w:p w14:paraId="3BE0801B" w14:textId="77777777" w:rsidR="00BA6D09" w:rsidRPr="00925F26" w:rsidRDefault="00BA6D09" w:rsidP="00925F26">
      <w:pPr>
        <w:jc w:val="both"/>
        <w:rPr>
          <w:color w:val="000000" w:themeColor="text1"/>
          <w:sz w:val="16"/>
          <w:szCs w:val="16"/>
        </w:rPr>
      </w:pPr>
      <w:r w:rsidRPr="00925F26">
        <w:rPr>
          <w:color w:val="000000" w:themeColor="text1"/>
          <w:sz w:val="16"/>
          <w:szCs w:val="16"/>
        </w:rPr>
        <w:t>Вслед за полками фронтов и ВМФ на Красную площадь вступила сводная колонна советских воинов, которые несли опущенные до земли 200 знамен немецко-фашистских войск, разгромленных на полях сражений. Эти знамена под барабанный бой были брошены к подножию мавзолея. Затем торжественным маршем прошли сводный полк Наркомата обороны, слушатели военных академий, курсанты военных и воспитанники суворовских училищ. После этого на площадь вступила сводная кавалерийская бригада, а за ней - военная техника различных видов войск (14932).</w:t>
      </w:r>
    </w:p>
    <w:p w14:paraId="2E9F58FC" w14:textId="77777777" w:rsidR="00BA6D09" w:rsidRPr="00925F26" w:rsidRDefault="00BA6D09" w:rsidP="00925F26">
      <w:pPr>
        <w:jc w:val="both"/>
        <w:rPr>
          <w:color w:val="000000" w:themeColor="text1"/>
          <w:sz w:val="16"/>
          <w:szCs w:val="16"/>
        </w:rPr>
      </w:pPr>
    </w:p>
    <w:p w14:paraId="322598D5" w14:textId="77777777" w:rsidR="00BA6D09" w:rsidRPr="00925F26" w:rsidRDefault="00BA6D09" w:rsidP="00925F26">
      <w:pPr>
        <w:jc w:val="both"/>
        <w:rPr>
          <w:color w:val="000000" w:themeColor="text1"/>
          <w:sz w:val="16"/>
          <w:szCs w:val="16"/>
        </w:rPr>
      </w:pPr>
      <w:r w:rsidRPr="00925F26">
        <w:rPr>
          <w:bCs/>
          <w:color w:val="000000" w:themeColor="text1"/>
          <w:sz w:val="16"/>
          <w:szCs w:val="16"/>
        </w:rPr>
        <w:t>24 июня</w:t>
      </w:r>
      <w:r w:rsidRPr="00925F26">
        <w:rPr>
          <w:color w:val="000000" w:themeColor="text1"/>
          <w:sz w:val="16"/>
          <w:szCs w:val="16"/>
        </w:rPr>
        <w:t xml:space="preserve"> в 1945 году все радиостанции транслировали репортаж с Красной площади Москвы о Параде Победы над гитлеровской Германией. Радиорепортаж вели писатели А.Сурков, Б.Полевой, Л.Кассиль, В.Ардаматский, дикторы Всесоюзного радио Ю.Левитан и О.Высоцкая. Одновременно Московское радио вело рассказ о параде для зарубежных слушателей на иностранных языках (14932).</w:t>
      </w:r>
    </w:p>
    <w:p w14:paraId="676502B0" w14:textId="77777777" w:rsidR="00BA6D09" w:rsidRPr="00925F26" w:rsidRDefault="00BA6D09" w:rsidP="00925F26">
      <w:pPr>
        <w:jc w:val="both"/>
        <w:rPr>
          <w:color w:val="000000" w:themeColor="text1"/>
          <w:sz w:val="16"/>
          <w:szCs w:val="16"/>
        </w:rPr>
      </w:pPr>
    </w:p>
    <w:p w14:paraId="2924F594" w14:textId="77777777" w:rsidR="00EC27E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9EDE7DD" w14:textId="77777777" w:rsidR="00EC27E3" w:rsidRPr="00925F26" w:rsidRDefault="00EC27E3" w:rsidP="00925F26">
      <w:pPr>
        <w:autoSpaceDE w:val="0"/>
        <w:autoSpaceDN w:val="0"/>
        <w:adjustRightInd w:val="0"/>
        <w:jc w:val="both"/>
        <w:rPr>
          <w:iCs/>
          <w:color w:val="000000" w:themeColor="text1"/>
          <w:sz w:val="16"/>
          <w:szCs w:val="16"/>
        </w:rPr>
      </w:pPr>
    </w:p>
    <w:p w14:paraId="06E4CC80" w14:textId="77777777" w:rsidR="00EC27E3" w:rsidRPr="00925F26" w:rsidRDefault="00EC27E3" w:rsidP="00925F26">
      <w:pPr>
        <w:jc w:val="both"/>
        <w:rPr>
          <w:color w:val="000000" w:themeColor="text1"/>
          <w:sz w:val="16"/>
          <w:szCs w:val="16"/>
        </w:rPr>
      </w:pPr>
      <w:r w:rsidRPr="00925F26">
        <w:rPr>
          <w:bCs/>
          <w:color w:val="000000" w:themeColor="text1"/>
          <w:sz w:val="16"/>
          <w:szCs w:val="16"/>
        </w:rPr>
        <w:t>24 июня</w:t>
      </w:r>
      <w:r w:rsidRPr="00925F26">
        <w:rPr>
          <w:color w:val="000000" w:themeColor="text1"/>
          <w:sz w:val="16"/>
          <w:szCs w:val="16"/>
        </w:rPr>
        <w:t xml:space="preserve"> в 1945 году бывший премьер-министр Японии К.Хирота встретился с послом СССР в Японии Я.А.Маликом и заявил ему, что Япония предлагает СССР некоторые стратегические материалы в обмен на поставки советской нефти (14932).</w:t>
      </w:r>
    </w:p>
    <w:p w14:paraId="1285FB5B" w14:textId="77777777" w:rsidR="00EC27E3" w:rsidRPr="00925F26" w:rsidRDefault="00EC27E3" w:rsidP="00925F26">
      <w:pPr>
        <w:jc w:val="both"/>
        <w:rPr>
          <w:color w:val="000000" w:themeColor="text1"/>
          <w:sz w:val="16"/>
          <w:szCs w:val="16"/>
        </w:rPr>
      </w:pPr>
    </w:p>
    <w:p w14:paraId="3908960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19700DFE" w14:textId="77777777" w:rsidR="006103B3" w:rsidRPr="00925F26" w:rsidRDefault="006103B3" w:rsidP="00925F26">
      <w:pPr>
        <w:autoSpaceDE w:val="0"/>
        <w:autoSpaceDN w:val="0"/>
        <w:adjustRightInd w:val="0"/>
        <w:jc w:val="both"/>
        <w:rPr>
          <w:iCs/>
          <w:color w:val="000000" w:themeColor="text1"/>
          <w:sz w:val="16"/>
          <w:szCs w:val="16"/>
        </w:rPr>
      </w:pPr>
    </w:p>
    <w:p w14:paraId="7AD58A62" w14:textId="77777777" w:rsidR="00EC27E3" w:rsidRPr="00925F26" w:rsidRDefault="00EC27E3" w:rsidP="00925F26">
      <w:pPr>
        <w:jc w:val="both"/>
        <w:rPr>
          <w:color w:val="000000" w:themeColor="text1"/>
          <w:sz w:val="16"/>
          <w:szCs w:val="16"/>
        </w:rPr>
      </w:pPr>
      <w:r w:rsidRPr="00925F26">
        <w:rPr>
          <w:bCs/>
          <w:color w:val="000000" w:themeColor="text1"/>
          <w:sz w:val="16"/>
          <w:szCs w:val="16"/>
        </w:rPr>
        <w:t>24 июня</w:t>
      </w:r>
      <w:r w:rsidRPr="00925F26">
        <w:rPr>
          <w:color w:val="000000" w:themeColor="text1"/>
          <w:sz w:val="16"/>
          <w:szCs w:val="16"/>
        </w:rPr>
        <w:t xml:space="preserve"> в 1945 году модифицированный самолет </w:t>
      </w:r>
      <w:hyperlink r:id="rId155" w:tgtFrame="_blank" w:history="1">
        <w:r w:rsidRPr="00925F26">
          <w:rPr>
            <w:color w:val="000000" w:themeColor="text1"/>
            <w:sz w:val="16"/>
            <w:szCs w:val="16"/>
          </w:rPr>
          <w:t xml:space="preserve">«Supermarine Spiteful» </w:t>
        </w:r>
      </w:hyperlink>
      <w:r w:rsidRPr="00925F26">
        <w:rPr>
          <w:color w:val="000000" w:themeColor="text1"/>
          <w:sz w:val="16"/>
          <w:szCs w:val="16"/>
        </w:rPr>
        <w:t>«NN664» с новой хвостовой чвстью был облетан Куиллом. Площадь киля и руля направления увеличилась на 28 процентов, стабилизатора и рулей высоты - на 27 процентов, при этом размах стабилизатора увеличился на 28 дюймов (71 см) по сравнению с таковыми на «Spitfire 21». В результате этих изменений улучшилась, что и не удивительно, путевая устойчивость и управляемость по горизонтали на скоростях, близких к срыву (14932).</w:t>
      </w:r>
    </w:p>
    <w:p w14:paraId="6D2ACBE2" w14:textId="77777777" w:rsidR="00EC27E3" w:rsidRPr="00925F26" w:rsidRDefault="00EC27E3" w:rsidP="00925F26">
      <w:pPr>
        <w:jc w:val="both"/>
        <w:rPr>
          <w:color w:val="000000" w:themeColor="text1"/>
          <w:sz w:val="16"/>
          <w:szCs w:val="16"/>
        </w:rPr>
      </w:pPr>
    </w:p>
    <w:p w14:paraId="1DDC87B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24 июня 1945 Британские бомбардировщики разбомбили знаменитый мост через реку Квай (4963 ).</w:t>
      </w:r>
    </w:p>
    <w:p w14:paraId="304FB05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C2C647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4E176D9E" w14:textId="77777777" w:rsidR="006103B3" w:rsidRPr="00925F26" w:rsidRDefault="006103B3" w:rsidP="00925F26">
      <w:pPr>
        <w:autoSpaceDE w:val="0"/>
        <w:autoSpaceDN w:val="0"/>
        <w:adjustRightInd w:val="0"/>
        <w:jc w:val="both"/>
        <w:rPr>
          <w:iCs/>
          <w:color w:val="000000" w:themeColor="text1"/>
          <w:sz w:val="16"/>
          <w:szCs w:val="16"/>
        </w:rPr>
      </w:pPr>
    </w:p>
    <w:p w14:paraId="73D52362" w14:textId="77777777" w:rsidR="00EC27E3" w:rsidRPr="00925F26" w:rsidRDefault="00EC27E3" w:rsidP="00925F26">
      <w:pPr>
        <w:jc w:val="both"/>
        <w:rPr>
          <w:color w:val="000000" w:themeColor="text1"/>
          <w:sz w:val="16"/>
          <w:szCs w:val="16"/>
        </w:rPr>
      </w:pPr>
      <w:r w:rsidRPr="00925F26">
        <w:rPr>
          <w:color w:val="000000" w:themeColor="text1"/>
          <w:sz w:val="16"/>
          <w:szCs w:val="16"/>
        </w:rPr>
        <w:t>25 июня 1945 возобновили полеты на высотном Ла-7.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925F26">
        <w:rPr>
          <w:color w:val="000000" w:themeColor="text1"/>
          <w:sz w:val="16"/>
          <w:szCs w:val="16"/>
        </w:rPr>
        <w:softHyphen/>
        <w:t>вом полёте задание выполнить не удалось. В повторном полёте, после устранения это</w:t>
      </w:r>
      <w:r w:rsidRPr="00925F26">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925F26">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925F26">
        <w:rPr>
          <w:color w:val="000000" w:themeColor="text1"/>
          <w:sz w:val="16"/>
          <w:szCs w:val="16"/>
        </w:rPr>
        <w:softHyphen/>
        <w:t>рофы послужила потеря лётчиком сознания на высоте.</w:t>
      </w:r>
    </w:p>
    <w:p w14:paraId="52BB5066" w14:textId="77777777" w:rsidR="00EC27E3" w:rsidRPr="00925F26" w:rsidRDefault="00EC27E3" w:rsidP="00925F26">
      <w:pPr>
        <w:jc w:val="both"/>
        <w:rPr>
          <w:color w:val="000000" w:themeColor="text1"/>
          <w:sz w:val="16"/>
          <w:szCs w:val="16"/>
        </w:rPr>
      </w:pPr>
      <w:r w:rsidRPr="00925F26">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925F26">
        <w:rPr>
          <w:color w:val="000000" w:themeColor="text1"/>
          <w:sz w:val="16"/>
          <w:szCs w:val="16"/>
        </w:rPr>
        <w:softHyphen/>
        <w:t>требителям. На этом закончилось развитие опытных самолётов С.А. Лавочкина с ТК (15830).</w:t>
      </w:r>
    </w:p>
    <w:p w14:paraId="7708452C" w14:textId="77777777" w:rsidR="00EC27E3" w:rsidRPr="00925F26" w:rsidRDefault="00EC27E3" w:rsidP="00925F26">
      <w:pPr>
        <w:jc w:val="both"/>
        <w:rPr>
          <w:color w:val="000000" w:themeColor="text1"/>
          <w:sz w:val="16"/>
          <w:szCs w:val="16"/>
        </w:rPr>
      </w:pPr>
    </w:p>
    <w:p w14:paraId="1352AD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25 июня 1945 года нарком лесной промышленности М. Салтыков писал письмо зам. председателя СНК Молотову В.М.:</w:t>
      </w:r>
    </w:p>
    <w:p w14:paraId="65CF81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Для военных надобностей, в соответствии с постановлениями Правительства, НК лес передал другим наркоматам ряд созданных им предприятий фабрично-заводской промышленности.</w:t>
      </w:r>
    </w:p>
    <w:p w14:paraId="649A53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Только НКАП было передано 19 деревообделочных предприятий, в том числе 5 московских, Саратовская, Свердловская, Куйбышевская, Новосибирская мебельные фабрики, Шумерлинский комбинат и 8 номерных заводов в Лениграде, Рязани, Пензе, Омске, Казани, Химках, Сызрани и Кунцево, производивших специзделия деревообработки, строительные детали и мебель.</w:t>
      </w:r>
    </w:p>
    <w:p w14:paraId="0F7A18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Список деревообрабатывающих предприятий, подлежащих возвращению НКАПом в систему НК леса:</w:t>
      </w:r>
    </w:p>
    <w:p w14:paraId="5A09A4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Московская мебельная фабрика № 2 им. Мазевского (завод № 301)</w:t>
      </w:r>
    </w:p>
    <w:p w14:paraId="3EFBE5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Московская мебельная фабрика № 3 (завод № 30)</w:t>
      </w:r>
    </w:p>
    <w:p w14:paraId="608E5C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Московская мебельная фабрика № 4 (завод № 381)</w:t>
      </w:r>
    </w:p>
    <w:p w14:paraId="507585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Московская мебельная фабрика № 6</w:t>
      </w:r>
    </w:p>
    <w:p w14:paraId="478C64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Московский завод № 161 (Красносельская мебельная фабрика)</w:t>
      </w:r>
    </w:p>
    <w:p w14:paraId="6FF22A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Шумерлинский лесокомбинат (завод № 471)</w:t>
      </w:r>
    </w:p>
    <w:p w14:paraId="3862F7D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Свердловская мебельная фабрика (завод № 307)</w:t>
      </w:r>
    </w:p>
    <w:p w14:paraId="47C9C1E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Куйбышевская мебельная фабрика (филиал завода № 134)</w:t>
      </w:r>
    </w:p>
    <w:p w14:paraId="22207E8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Новосибирская мебельная фабрика (филиал завода № 153)</w:t>
      </w:r>
    </w:p>
    <w:p w14:paraId="53A1EE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Ленинградский завод № 162</w:t>
      </w:r>
    </w:p>
    <w:p w14:paraId="0649B9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Рязанский завод № 168</w:t>
      </w:r>
    </w:p>
    <w:p w14:paraId="5564A7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Кунцевский завод № 164 (8949).</w:t>
      </w:r>
    </w:p>
    <w:p w14:paraId="116DF27E" w14:textId="77777777" w:rsidR="006103B3" w:rsidRPr="00925F26" w:rsidRDefault="006103B3" w:rsidP="00925F26">
      <w:pPr>
        <w:autoSpaceDE w:val="0"/>
        <w:autoSpaceDN w:val="0"/>
        <w:adjustRightInd w:val="0"/>
        <w:jc w:val="both"/>
        <w:rPr>
          <w:iCs/>
          <w:color w:val="000000" w:themeColor="text1"/>
          <w:sz w:val="16"/>
          <w:szCs w:val="16"/>
        </w:rPr>
      </w:pPr>
    </w:p>
    <w:p w14:paraId="41FC856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F964152" w14:textId="77777777" w:rsidR="006103B3" w:rsidRPr="00925F26" w:rsidRDefault="006103B3" w:rsidP="00925F26">
      <w:pPr>
        <w:autoSpaceDE w:val="0"/>
        <w:autoSpaceDN w:val="0"/>
        <w:adjustRightInd w:val="0"/>
        <w:jc w:val="both"/>
        <w:rPr>
          <w:iCs/>
          <w:color w:val="000000" w:themeColor="text1"/>
          <w:sz w:val="16"/>
          <w:szCs w:val="16"/>
        </w:rPr>
      </w:pPr>
    </w:p>
    <w:p w14:paraId="1254A129" w14:textId="77777777" w:rsidR="004709B0" w:rsidRPr="00925F26" w:rsidRDefault="004709B0" w:rsidP="00925F26">
      <w:pPr>
        <w:jc w:val="both"/>
        <w:rPr>
          <w:color w:val="000000" w:themeColor="text1"/>
          <w:sz w:val="16"/>
          <w:szCs w:val="16"/>
        </w:rPr>
      </w:pPr>
      <w:r w:rsidRPr="00925F26">
        <w:rPr>
          <w:color w:val="000000" w:themeColor="text1"/>
          <w:sz w:val="16"/>
          <w:szCs w:val="16"/>
        </w:rPr>
        <w:t>25 июня 1945. В Кремле состоялся прием участников парада победы (18688).</w:t>
      </w:r>
    </w:p>
    <w:p w14:paraId="53B7687A" w14:textId="77777777" w:rsidR="004709B0" w:rsidRPr="00925F26" w:rsidRDefault="004709B0" w:rsidP="00925F26">
      <w:pPr>
        <w:jc w:val="both"/>
        <w:rPr>
          <w:color w:val="000000" w:themeColor="text1"/>
          <w:sz w:val="16"/>
          <w:szCs w:val="16"/>
        </w:rPr>
      </w:pPr>
    </w:p>
    <w:p w14:paraId="3E2FEE3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25 июня 1945 И. Сталин поднял тост за “винтики”, которые держат государственный механизм СССР (4962).</w:t>
      </w:r>
    </w:p>
    <w:p w14:paraId="4FD2319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4DC50229" w14:textId="77777777" w:rsidR="00781BF4" w:rsidRPr="00925F26" w:rsidRDefault="00781BF4" w:rsidP="00925F26">
      <w:pPr>
        <w:jc w:val="both"/>
        <w:rPr>
          <w:color w:val="000000" w:themeColor="text1"/>
          <w:sz w:val="16"/>
          <w:szCs w:val="16"/>
        </w:rPr>
      </w:pPr>
      <w:r w:rsidRPr="00925F26">
        <w:rPr>
          <w:bCs/>
          <w:color w:val="000000" w:themeColor="text1"/>
          <w:sz w:val="16"/>
          <w:szCs w:val="16"/>
        </w:rPr>
        <w:t>25 июня</w:t>
      </w:r>
      <w:r w:rsidRPr="00925F26">
        <w:rPr>
          <w:color w:val="000000" w:themeColor="text1"/>
          <w:sz w:val="16"/>
          <w:szCs w:val="16"/>
        </w:rPr>
        <w:t xml:space="preserve"> в 1945 году И.В.Сталин в своей речи на приеме в Кремле в честь участников Парада Победы, состоявшегося днем ранее сказал: «Я бы хотел выпить за здоровье людей, у которых чинов мало и звание незавидное. За людей, которых считают «винтиками» великого государственного механизма, но без которых все мы - маршалы и командующие фронтами и армиями, говоря грубо, ни черта не стоим. Какой-либо «винтик» разладился - и кончено. Я поднимаю тост за людей простых, обычных, скромных, за «винтики», которые держат в состоянии активности наш великий государственный механизм во всех отраслях науки, хозяйства и военного дела. Их очень много, имя им легион, потому что это десятки миллионов людей. Это - скромные люди. Никто о них ничего не пишет, звания у них нет, чинов мало, но это - люди, которые держат нас, как основание держит пирамиду» (14933).</w:t>
      </w:r>
    </w:p>
    <w:p w14:paraId="19F0C15A" w14:textId="77777777" w:rsidR="00781BF4" w:rsidRPr="00925F26" w:rsidRDefault="00781BF4" w:rsidP="00925F26">
      <w:pPr>
        <w:jc w:val="both"/>
        <w:rPr>
          <w:color w:val="000000" w:themeColor="text1"/>
          <w:sz w:val="16"/>
          <w:szCs w:val="16"/>
        </w:rPr>
      </w:pPr>
    </w:p>
    <w:p w14:paraId="4436671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761DF5E8" w14:textId="77777777" w:rsidR="006103B3" w:rsidRPr="00925F26" w:rsidRDefault="006103B3" w:rsidP="00925F26">
      <w:pPr>
        <w:autoSpaceDE w:val="0"/>
        <w:autoSpaceDN w:val="0"/>
        <w:adjustRightInd w:val="0"/>
        <w:jc w:val="both"/>
        <w:rPr>
          <w:iCs/>
          <w:color w:val="000000" w:themeColor="text1"/>
          <w:sz w:val="16"/>
          <w:szCs w:val="16"/>
        </w:rPr>
      </w:pPr>
    </w:p>
    <w:p w14:paraId="766FBE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25 июня 1941 в Сан-Франциско началась международная конференция по подписанию Устава ООН (3186).</w:t>
      </w:r>
    </w:p>
    <w:p w14:paraId="37EF83B1" w14:textId="77777777" w:rsidR="006103B3" w:rsidRPr="00925F26" w:rsidRDefault="006103B3" w:rsidP="00925F26">
      <w:pPr>
        <w:autoSpaceDE w:val="0"/>
        <w:autoSpaceDN w:val="0"/>
        <w:adjustRightInd w:val="0"/>
        <w:jc w:val="both"/>
        <w:rPr>
          <w:color w:val="000000" w:themeColor="text1"/>
          <w:sz w:val="16"/>
          <w:szCs w:val="16"/>
        </w:rPr>
      </w:pPr>
    </w:p>
    <w:p w14:paraId="7A9BF9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25 июня 1945 вышло Распоряжение ГКО № 9192. О передаче торгпредству СССР в Польше некоторого трофейного имущества. РГАНИР, Фонд ГКО, д. 430, лл. 31 (11012).</w:t>
      </w:r>
    </w:p>
    <w:p w14:paraId="4CB56E21" w14:textId="77777777" w:rsidR="006103B3" w:rsidRPr="00925F26" w:rsidRDefault="006103B3" w:rsidP="00925F26">
      <w:pPr>
        <w:autoSpaceDE w:val="0"/>
        <w:autoSpaceDN w:val="0"/>
        <w:adjustRightInd w:val="0"/>
        <w:jc w:val="both"/>
        <w:rPr>
          <w:color w:val="000000" w:themeColor="text1"/>
          <w:sz w:val="16"/>
          <w:szCs w:val="16"/>
        </w:rPr>
      </w:pPr>
    </w:p>
    <w:p w14:paraId="674EC13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357B4B9" w14:textId="77777777" w:rsidR="006103B3" w:rsidRPr="00925F26" w:rsidRDefault="006103B3" w:rsidP="00925F26">
      <w:pPr>
        <w:autoSpaceDE w:val="0"/>
        <w:autoSpaceDN w:val="0"/>
        <w:adjustRightInd w:val="0"/>
        <w:jc w:val="both"/>
        <w:rPr>
          <w:iCs/>
          <w:color w:val="000000" w:themeColor="text1"/>
          <w:sz w:val="16"/>
          <w:szCs w:val="16"/>
        </w:rPr>
      </w:pPr>
    </w:p>
    <w:p w14:paraId="66BCF133" w14:textId="77777777" w:rsidR="00781BF4" w:rsidRPr="00925F26" w:rsidRDefault="00781BF4" w:rsidP="00925F26">
      <w:pPr>
        <w:jc w:val="both"/>
        <w:rPr>
          <w:color w:val="000000" w:themeColor="text1"/>
          <w:sz w:val="16"/>
          <w:szCs w:val="16"/>
        </w:rPr>
      </w:pPr>
      <w:r w:rsidRPr="00925F26">
        <w:rPr>
          <w:bCs/>
          <w:color w:val="000000" w:themeColor="text1"/>
          <w:sz w:val="16"/>
          <w:szCs w:val="16"/>
        </w:rPr>
        <w:lastRenderedPageBreak/>
        <w:t>25 июня</w:t>
      </w:r>
      <w:r w:rsidRPr="00925F26">
        <w:rPr>
          <w:color w:val="000000" w:themeColor="text1"/>
          <w:sz w:val="16"/>
          <w:szCs w:val="16"/>
        </w:rPr>
        <w:t xml:space="preserve"> в 1945 году выкачен из ангара первый прототип </w:t>
      </w:r>
      <w:hyperlink r:id="rId156" w:tgtFrame="_blank" w:history="1">
        <w:r w:rsidRPr="00925F26">
          <w:rPr>
            <w:color w:val="000000" w:themeColor="text1"/>
            <w:sz w:val="16"/>
            <w:szCs w:val="16"/>
          </w:rPr>
          <w:t xml:space="preserve">«XF5U-1». </w:t>
        </w:r>
      </w:hyperlink>
      <w:r w:rsidRPr="00925F26">
        <w:rPr>
          <w:color w:val="000000" w:themeColor="text1"/>
          <w:sz w:val="16"/>
          <w:szCs w:val="16"/>
        </w:rPr>
        <w:t>К этому времени фирма получила разрешение на проведение летных испытаний на хорошо оборудованном полигоне Мурок Драй Лейк (Калифорния). Ранее, 24 марта, она обратилась к ВМС с просьбой продолжить финансирование проекта, так как кредит, выделенный на «XF5U-12, был уже растрачен. Для экономии средств урезали программу летных испытаний, в частности, ее полетную часть и статические испытания (14933).</w:t>
      </w:r>
    </w:p>
    <w:p w14:paraId="797E231E" w14:textId="77777777" w:rsidR="00781BF4" w:rsidRPr="00925F26" w:rsidRDefault="00781BF4" w:rsidP="00925F26">
      <w:pPr>
        <w:jc w:val="both"/>
        <w:rPr>
          <w:color w:val="000000" w:themeColor="text1"/>
          <w:sz w:val="16"/>
          <w:szCs w:val="16"/>
        </w:rPr>
      </w:pPr>
    </w:p>
    <w:p w14:paraId="77161D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25 июня 1945 года заводской пилот фирмы Кокусай поднял в воздух созданный на фирме Кокусай группой капитана Мизуама первый и единственный прототип самолета - специального легкого штурмовика - Та-Го. Испытания проводились ускоренными темпами, но упрощенная конструкция создавала ряд проблем в эксплуатации и требовала доводок и доработок. Однако времени не было и сырую машину старались как можно быстрее вытолкнуть в производство. Фирма "Кокусай" изготовила комплект оснастки для производства самолета, который капитан Мизуама через свое начальство пытался пристроить в какую-нибудь фирму для выпуска серии, но до конца войны ни одного серийного самолета сделано не было, а союзникам достался только единственный опытный самолет. Хотя он предназначался для армейской авиации, но официального обозначения "Ки + порядковый номер" он не имел, а получил от своих создателей имя "Та-Го", под которым и вошел в историю. Прототип был окрашен в темно-зеленый цвет на всех поверхностях. На фюзеляже и крыльях наносился красный круг в белой окантовке. На киле белой краской был нанесен иероглиф "Та" - сокращение от "Бамбуковое копье" (4800).</w:t>
      </w:r>
    </w:p>
    <w:p w14:paraId="2682FF18" w14:textId="77777777" w:rsidR="006103B3" w:rsidRDefault="006103B3" w:rsidP="00925F26">
      <w:pPr>
        <w:autoSpaceDE w:val="0"/>
        <w:autoSpaceDN w:val="0"/>
        <w:adjustRightInd w:val="0"/>
        <w:jc w:val="both"/>
        <w:rPr>
          <w:color w:val="000000" w:themeColor="text1"/>
          <w:sz w:val="16"/>
          <w:szCs w:val="16"/>
        </w:rPr>
      </w:pPr>
    </w:p>
    <w:p w14:paraId="72FD90F4" w14:textId="604604BF" w:rsidR="00681C7C" w:rsidRPr="00681C7C" w:rsidRDefault="00681C7C" w:rsidP="00681C7C">
      <w:pPr>
        <w:jc w:val="both"/>
        <w:rPr>
          <w:color w:val="0070C0"/>
          <w:sz w:val="16"/>
          <w:szCs w:val="16"/>
        </w:rPr>
      </w:pPr>
      <w:r w:rsidRPr="00681C7C">
        <w:rPr>
          <w:rStyle w:val="aff0"/>
          <w:rFonts w:ascii="Times New Roman" w:hAnsi="Times New Roman" w:cs="Times New Roman"/>
          <w:color w:val="0070C0"/>
          <w:spacing w:val="0"/>
          <w:sz w:val="16"/>
          <w:szCs w:val="16"/>
        </w:rPr>
        <w:t>25 июня 1945 года</w:t>
      </w:r>
      <w:r w:rsidRPr="00681C7C">
        <w:rPr>
          <w:rStyle w:val="aff0"/>
          <w:rFonts w:ascii="Times New Roman" w:hAnsi="Times New Roman" w:cs="Times New Roman"/>
          <w:color w:val="0070C0"/>
          <w:spacing w:val="0"/>
          <w:sz w:val="16"/>
          <w:szCs w:val="16"/>
        </w:rPr>
        <w:t xml:space="preserve"> </w:t>
      </w:r>
      <w:r>
        <w:rPr>
          <w:rStyle w:val="aff0"/>
          <w:rFonts w:ascii="Times New Roman" w:hAnsi="Times New Roman" w:cs="Times New Roman"/>
          <w:color w:val="0070C0"/>
          <w:spacing w:val="0"/>
          <w:sz w:val="16"/>
          <w:szCs w:val="16"/>
        </w:rPr>
        <w:t>п</w:t>
      </w:r>
      <w:r w:rsidRPr="00681C7C">
        <w:rPr>
          <w:rStyle w:val="aff0"/>
          <w:rFonts w:ascii="Times New Roman" w:hAnsi="Times New Roman" w:cs="Times New Roman"/>
          <w:color w:val="0070C0"/>
          <w:spacing w:val="0"/>
          <w:sz w:val="16"/>
          <w:szCs w:val="16"/>
        </w:rPr>
        <w:t xml:space="preserve">ервый </w:t>
      </w:r>
      <w:r w:rsidRPr="00681C7C">
        <w:rPr>
          <w:rStyle w:val="aff0"/>
          <w:rFonts w:ascii="Times New Roman" w:hAnsi="Times New Roman" w:cs="Times New Roman"/>
          <w:color w:val="0070C0"/>
          <w:spacing w:val="0"/>
          <w:sz w:val="16"/>
          <w:szCs w:val="16"/>
          <w:lang w:val="en-US" w:eastAsia="en-US"/>
        </w:rPr>
        <w:t>Kikka</w:t>
      </w:r>
      <w:r w:rsidRPr="00681C7C">
        <w:rPr>
          <w:rStyle w:val="aff0"/>
          <w:rFonts w:ascii="Times New Roman" w:hAnsi="Times New Roman" w:cs="Times New Roman"/>
          <w:color w:val="0070C0"/>
          <w:spacing w:val="0"/>
          <w:sz w:val="16"/>
          <w:szCs w:val="16"/>
          <w:lang w:eastAsia="en-US"/>
        </w:rPr>
        <w:t xml:space="preserve"> </w:t>
      </w:r>
      <w:r w:rsidRPr="00681C7C">
        <w:rPr>
          <w:rStyle w:val="aff0"/>
          <w:rFonts w:ascii="Times New Roman" w:hAnsi="Times New Roman" w:cs="Times New Roman"/>
          <w:color w:val="0070C0"/>
          <w:spacing w:val="0"/>
          <w:sz w:val="16"/>
          <w:szCs w:val="16"/>
        </w:rPr>
        <w:t>доставили на завод Коизуми для установки двигателей</w:t>
      </w:r>
      <w:r w:rsidRPr="00681C7C">
        <w:rPr>
          <w:rStyle w:val="aff0"/>
          <w:rFonts w:ascii="Times New Roman" w:hAnsi="Times New Roman" w:cs="Times New Roman"/>
          <w:color w:val="0070C0"/>
          <w:spacing w:val="0"/>
          <w:sz w:val="16"/>
          <w:szCs w:val="16"/>
          <w:lang w:eastAsia="en-US"/>
        </w:rPr>
        <w:t xml:space="preserve"> </w:t>
      </w:r>
      <w:r w:rsidRPr="00681C7C">
        <w:rPr>
          <w:rStyle w:val="aff0"/>
          <w:rFonts w:ascii="Times New Roman" w:hAnsi="Times New Roman" w:cs="Times New Roman"/>
          <w:color w:val="0070C0"/>
          <w:spacing w:val="0"/>
          <w:sz w:val="16"/>
          <w:szCs w:val="16"/>
          <w:lang w:val="en-US" w:eastAsia="en-US"/>
        </w:rPr>
        <w:t>Ne</w:t>
      </w:r>
      <w:r w:rsidRPr="00681C7C">
        <w:rPr>
          <w:rStyle w:val="aff0"/>
          <w:rFonts w:ascii="Times New Roman" w:hAnsi="Times New Roman" w:cs="Times New Roman"/>
          <w:color w:val="0070C0"/>
          <w:spacing w:val="0"/>
          <w:sz w:val="16"/>
          <w:szCs w:val="16"/>
          <w:lang w:eastAsia="en-US"/>
        </w:rPr>
        <w:t>-20</w:t>
      </w:r>
      <w:r w:rsidRPr="00681C7C">
        <w:rPr>
          <w:rStyle w:val="aff0"/>
          <w:rFonts w:ascii="Times New Roman" w:hAnsi="Times New Roman" w:cs="Times New Roman"/>
          <w:color w:val="0070C0"/>
          <w:spacing w:val="0"/>
          <w:sz w:val="16"/>
          <w:szCs w:val="16"/>
        </w:rPr>
        <w:t>. 29 июня его объявили годным к полетам, но взлетно-посадочная полоса оказалась слиш</w:t>
      </w:r>
      <w:r w:rsidRPr="00681C7C">
        <w:rPr>
          <w:rStyle w:val="aff0"/>
          <w:rFonts w:ascii="Times New Roman" w:hAnsi="Times New Roman" w:cs="Times New Roman"/>
          <w:color w:val="0070C0"/>
          <w:spacing w:val="0"/>
          <w:sz w:val="16"/>
          <w:szCs w:val="16"/>
        </w:rPr>
        <w:softHyphen/>
        <w:t>ком короткой, поэтому испытания перенесли на авиабазу Кисарадзу на побережье Токий</w:t>
      </w:r>
      <w:r w:rsidRPr="00681C7C">
        <w:rPr>
          <w:rStyle w:val="aff0"/>
          <w:rFonts w:ascii="Times New Roman" w:hAnsi="Times New Roman" w:cs="Times New Roman"/>
          <w:color w:val="0070C0"/>
          <w:spacing w:val="0"/>
          <w:sz w:val="16"/>
          <w:szCs w:val="16"/>
        </w:rPr>
        <w:softHyphen/>
        <w:t>ского залива (25794).</w:t>
      </w:r>
    </w:p>
    <w:p w14:paraId="23AC2982" w14:textId="77777777" w:rsidR="00681C7C" w:rsidRPr="00925F26" w:rsidRDefault="00681C7C" w:rsidP="00925F26">
      <w:pPr>
        <w:autoSpaceDE w:val="0"/>
        <w:autoSpaceDN w:val="0"/>
        <w:adjustRightInd w:val="0"/>
        <w:jc w:val="both"/>
        <w:rPr>
          <w:color w:val="000000" w:themeColor="text1"/>
          <w:sz w:val="16"/>
          <w:szCs w:val="16"/>
        </w:rPr>
      </w:pPr>
    </w:p>
    <w:p w14:paraId="0A8114AA" w14:textId="77777777" w:rsidR="00781BF4" w:rsidRPr="00925F26" w:rsidRDefault="00781BF4" w:rsidP="00925F26">
      <w:pPr>
        <w:jc w:val="both"/>
        <w:rPr>
          <w:color w:val="000000" w:themeColor="text1"/>
          <w:sz w:val="16"/>
          <w:szCs w:val="16"/>
        </w:rPr>
      </w:pPr>
      <w:r w:rsidRPr="00925F26">
        <w:rPr>
          <w:bCs/>
          <w:color w:val="000000" w:themeColor="text1"/>
          <w:sz w:val="16"/>
          <w:szCs w:val="16"/>
        </w:rPr>
        <w:t>25 июня</w:t>
      </w:r>
      <w:r w:rsidRPr="00925F26">
        <w:rPr>
          <w:color w:val="000000" w:themeColor="text1"/>
          <w:sz w:val="16"/>
          <w:szCs w:val="16"/>
        </w:rPr>
        <w:t xml:space="preserve"> в 1945 году поднят в небо заводским пилотом первый и единственный прототип ударного самолета для камикадзе </w:t>
      </w:r>
      <w:hyperlink r:id="rId157" w:tgtFrame="_blank" w:history="1">
        <w:r w:rsidRPr="00925F26">
          <w:rPr>
            <w:color w:val="000000" w:themeColor="text1"/>
            <w:sz w:val="16"/>
            <w:szCs w:val="16"/>
          </w:rPr>
          <w:t xml:space="preserve">«Та-Го», </w:t>
        </w:r>
      </w:hyperlink>
      <w:r w:rsidRPr="00925F26">
        <w:rPr>
          <w:color w:val="000000" w:themeColor="text1"/>
          <w:sz w:val="16"/>
          <w:szCs w:val="16"/>
        </w:rPr>
        <w:t>построенный группой единомышленников капитана Мизуама в середине июня 1945 года. Тяжелая обстановка способствовала появлению на свет "оружия последней надежды" - пилотируемых самолетов, предназначенных для массированных самоубийственных атак против флота вторжения союзников. При этом выяснилось, что обычных боевых самолетов (истребителей, бомбардировщиков и учебных машин), стоящих на вооружении флота и армии, для выполнения массовых атак камикадзе уже не хватает и увеличить их выпуск в условиях бомбардировок и нехватки многих материалов было невозможно. Поэтому на свет появились совершенно уникальные самолеты, которые никогда ранее не появлялись и вряд ли появятся в будущем. Единственным их предназначением было выполнить один боевой вылет с самоубийственной атакой корабля противника. Это предназначение, а также условия, в которых они создавались, наложили на их конструкцию совершенно необычный отпечаток. Самолет хотели сделать настолько простым, что его производство могла бы освоить любая столярная мастерская. Поэтому основным материалом была выбрана древесина. Металлическими были только моторама и стойки шасси. Фюзеляж набирался из деревянных реек на фанерных и металлических косынках и обшивался фанерой и полотном. В фюзеляже размещалась небольшая кабина с маленьким фонарем, переплеты которого были из дерева, а остекление выполнялось из плоских листов плексигласа. В качестве двигателя применялся звездообразный двигатель воздушного охлаждения «Хитачи» «Ха-13 Ко», стартовой мощностью 510 л.с, капот которого предполагалось сделать из оцинкованной жести. Крыло также изготавливалось деревянным с обшивкой из фанеры и, частично, из полотна. Вооружение самолета состояло из одной 500 кг бомбы (14933).</w:t>
      </w:r>
    </w:p>
    <w:p w14:paraId="1502622D" w14:textId="77777777" w:rsidR="00781BF4" w:rsidRPr="00925F26" w:rsidRDefault="00781BF4" w:rsidP="00925F26">
      <w:pPr>
        <w:jc w:val="both"/>
        <w:rPr>
          <w:color w:val="000000" w:themeColor="text1"/>
          <w:sz w:val="16"/>
          <w:szCs w:val="16"/>
        </w:rPr>
      </w:pPr>
    </w:p>
    <w:p w14:paraId="177D167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4D39CF6" w14:textId="77777777" w:rsidR="006103B3" w:rsidRPr="00925F26" w:rsidRDefault="006103B3" w:rsidP="00925F26">
      <w:pPr>
        <w:autoSpaceDE w:val="0"/>
        <w:autoSpaceDN w:val="0"/>
        <w:adjustRightInd w:val="0"/>
        <w:jc w:val="both"/>
        <w:rPr>
          <w:iCs/>
          <w:color w:val="000000" w:themeColor="text1"/>
          <w:sz w:val="16"/>
          <w:szCs w:val="16"/>
        </w:rPr>
      </w:pPr>
    </w:p>
    <w:p w14:paraId="35395904" w14:textId="77777777" w:rsidR="00B92A5E" w:rsidRPr="00925F26" w:rsidRDefault="00B92A5E" w:rsidP="00925F26">
      <w:pPr>
        <w:jc w:val="both"/>
        <w:rPr>
          <w:color w:val="000000" w:themeColor="text1"/>
          <w:sz w:val="16"/>
          <w:szCs w:val="16"/>
        </w:rPr>
      </w:pPr>
      <w:r w:rsidRPr="00925F26">
        <w:rPr>
          <w:rStyle w:val="107"/>
          <w:rFonts w:eastAsiaTheme="minorHAnsi"/>
          <w:color w:val="000000" w:themeColor="text1"/>
          <w:sz w:val="16"/>
          <w:szCs w:val="16"/>
        </w:rPr>
        <w:t xml:space="preserve">26 июня 1945 Начальник Главного управления формирования и обучения ВВС КА генерал-полковник А. В. Никитин в замечаниях к акту об испытаниях модифицированного самолета УИл-10 № 106085 указывал: «1. Все требования правильны и должны быть </w:t>
      </w:r>
      <w:proofErr w:type="gramStart"/>
      <w:r w:rsidRPr="00925F26">
        <w:rPr>
          <w:rStyle w:val="107"/>
          <w:rFonts w:eastAsiaTheme="minorHAnsi"/>
          <w:color w:val="000000" w:themeColor="text1"/>
          <w:sz w:val="16"/>
          <w:szCs w:val="16"/>
        </w:rPr>
        <w:t>реализованы./</w:t>
      </w:r>
      <w:proofErr w:type="gramEnd"/>
      <w:r w:rsidRPr="00925F26">
        <w:rPr>
          <w:rStyle w:val="107"/>
          <w:rFonts w:eastAsiaTheme="minorHAnsi"/>
          <w:color w:val="000000" w:themeColor="text1"/>
          <w:sz w:val="16"/>
          <w:szCs w:val="16"/>
        </w:rPr>
        <w:t>.../3. Учитывая большую потребность в УИл-10, считаю необходимым выпуск продолжать, потребовать внесения всех изменений и дополнений, предусмотренных актами ГК НИИ ВВС КА» (17490).</w:t>
      </w:r>
    </w:p>
    <w:p w14:paraId="7418CB83" w14:textId="77777777" w:rsidR="00B92A5E" w:rsidRPr="00925F26" w:rsidRDefault="00B92A5E" w:rsidP="00925F26">
      <w:pPr>
        <w:jc w:val="both"/>
        <w:rPr>
          <w:rStyle w:val="107"/>
          <w:rFonts w:eastAsiaTheme="minorHAnsi"/>
          <w:color w:val="000000" w:themeColor="text1"/>
          <w:sz w:val="16"/>
          <w:szCs w:val="16"/>
        </w:rPr>
      </w:pPr>
    </w:p>
    <w:p w14:paraId="7644515B" w14:textId="77777777" w:rsidR="005F32F4" w:rsidRPr="00925F26" w:rsidRDefault="005F32F4" w:rsidP="00925F26">
      <w:pPr>
        <w:jc w:val="both"/>
        <w:rPr>
          <w:color w:val="000000" w:themeColor="text1"/>
          <w:sz w:val="16"/>
          <w:szCs w:val="16"/>
        </w:rPr>
      </w:pPr>
      <w:r w:rsidRPr="00925F26">
        <w:rPr>
          <w:color w:val="000000" w:themeColor="text1"/>
          <w:sz w:val="16"/>
          <w:szCs w:val="16"/>
        </w:rPr>
        <w:t>26 июня 1945, учитывая нездоровую атмосферу, скла</w:t>
      </w:r>
      <w:r w:rsidRPr="00925F26">
        <w:rPr>
          <w:color w:val="000000" w:themeColor="text1"/>
          <w:sz w:val="16"/>
          <w:szCs w:val="16"/>
        </w:rPr>
        <w:softHyphen/>
        <w:t>дывающуюся вокруг бронестали АБ-3, заме</w:t>
      </w:r>
      <w:r w:rsidRPr="00925F26">
        <w:rPr>
          <w:color w:val="000000" w:themeColor="text1"/>
          <w:sz w:val="16"/>
          <w:szCs w:val="16"/>
        </w:rPr>
        <w:softHyphen/>
        <w:t>ститель начальника ВИАМ по научной работе д.т.н. С.Т. Кишкин обратился непо</w:t>
      </w:r>
      <w:r w:rsidRPr="00925F26">
        <w:rPr>
          <w:color w:val="000000" w:themeColor="text1"/>
          <w:sz w:val="16"/>
          <w:szCs w:val="16"/>
        </w:rPr>
        <w:softHyphen/>
        <w:t>средственно к генерал-лейтенанту А.А. Ла</w:t>
      </w:r>
      <w:r w:rsidRPr="00925F26">
        <w:rPr>
          <w:color w:val="000000" w:themeColor="text1"/>
          <w:sz w:val="16"/>
          <w:szCs w:val="16"/>
        </w:rPr>
        <w:softHyphen/>
        <w:t>пину. В письме он разъяснял как позицию ВИАМа, так и изложил свою личную точку зре</w:t>
      </w:r>
      <w:r w:rsidRPr="00925F26">
        <w:rPr>
          <w:color w:val="000000" w:themeColor="text1"/>
          <w:sz w:val="16"/>
          <w:szCs w:val="16"/>
        </w:rPr>
        <w:softHyphen/>
        <w:t>ния по вопросу содержания титана в броне АБ-3. Кишкин указывал, что</w:t>
      </w:r>
      <w:r w:rsidRPr="00925F26">
        <w:rPr>
          <w:rStyle w:val="aff6"/>
          <w:rFonts w:ascii="Times New Roman" w:hAnsi="Times New Roman" w:cs="Times New Roman"/>
          <w:i w:val="0"/>
          <w:color w:val="000000" w:themeColor="text1"/>
        </w:rPr>
        <w:t xml:space="preserve"> «титан ни в коем случае нельзя рассматривать как элемент, мо</w:t>
      </w:r>
      <w:r w:rsidRPr="00925F26">
        <w:rPr>
          <w:rStyle w:val="aff6"/>
          <w:rFonts w:ascii="Times New Roman" w:hAnsi="Times New Roman" w:cs="Times New Roman"/>
          <w:i w:val="0"/>
          <w:color w:val="000000" w:themeColor="text1"/>
        </w:rPr>
        <w:softHyphen/>
        <w:t>гущий оказать влияние на свойства броневой стали подобное влиянию никеля».</w:t>
      </w:r>
      <w:r w:rsidRPr="00925F26">
        <w:rPr>
          <w:color w:val="000000" w:themeColor="text1"/>
          <w:sz w:val="16"/>
          <w:szCs w:val="16"/>
        </w:rPr>
        <w:t xml:space="preserve"> Содержа</w:t>
      </w:r>
      <w:r w:rsidRPr="00925F26">
        <w:rPr>
          <w:color w:val="000000" w:themeColor="text1"/>
          <w:sz w:val="16"/>
          <w:szCs w:val="16"/>
        </w:rPr>
        <w:softHyphen/>
        <w:t>ние титана, когда заказывалась первая плавка стали АБ-3, оговаривалось в пределах 0,10%. Более высокий процент титана,</w:t>
      </w:r>
      <w:r w:rsidRPr="00925F26">
        <w:rPr>
          <w:rStyle w:val="aff6"/>
          <w:rFonts w:ascii="Times New Roman" w:hAnsi="Times New Roman" w:cs="Times New Roman"/>
          <w:i w:val="0"/>
          <w:color w:val="000000" w:themeColor="text1"/>
        </w:rPr>
        <w:t xml:space="preserve"> «связывающе</w:t>
      </w:r>
      <w:r w:rsidRPr="00925F26">
        <w:rPr>
          <w:rStyle w:val="aff6"/>
          <w:rFonts w:ascii="Times New Roman" w:hAnsi="Times New Roman" w:cs="Times New Roman"/>
          <w:i w:val="0"/>
          <w:color w:val="000000" w:themeColor="text1"/>
        </w:rPr>
        <w:softHyphen/>
        <w:t>го углерод в нерастворимые при нагреве под закалку карбиды»,</w:t>
      </w:r>
      <w:r w:rsidRPr="00925F26">
        <w:rPr>
          <w:color w:val="000000" w:themeColor="text1"/>
          <w:sz w:val="16"/>
          <w:szCs w:val="16"/>
        </w:rPr>
        <w:t xml:space="preserve"> мог бы</w:t>
      </w:r>
      <w:r w:rsidRPr="00925F26">
        <w:rPr>
          <w:rStyle w:val="aff6"/>
          <w:rFonts w:ascii="Times New Roman" w:hAnsi="Times New Roman" w:cs="Times New Roman"/>
          <w:i w:val="0"/>
          <w:color w:val="000000" w:themeColor="text1"/>
        </w:rPr>
        <w:t xml:space="preserve"> «понизить прокали- ваемость стали, что нежелательно».</w:t>
      </w:r>
      <w:r w:rsidRPr="00925F26">
        <w:rPr>
          <w:color w:val="000000" w:themeColor="text1"/>
          <w:sz w:val="16"/>
          <w:szCs w:val="16"/>
        </w:rPr>
        <w:t xml:space="preserve"> Нижний предел содержания титана не оговаривался, т.е. содержание титана могло быть равным нулю. Это объяснялось тем, что при таком низ</w:t>
      </w:r>
      <w:r w:rsidRPr="00925F26">
        <w:rPr>
          <w:color w:val="000000" w:themeColor="text1"/>
          <w:sz w:val="16"/>
          <w:szCs w:val="16"/>
        </w:rPr>
        <w:softHyphen/>
        <w:t>ком содержании титана (менее 0,10%) послед</w:t>
      </w:r>
      <w:r w:rsidRPr="00925F26">
        <w:rPr>
          <w:color w:val="000000" w:themeColor="text1"/>
          <w:sz w:val="16"/>
          <w:szCs w:val="16"/>
        </w:rPr>
        <w:softHyphen/>
        <w:t>ний являлся чисто металлургическим факто</w:t>
      </w:r>
      <w:r w:rsidRPr="00925F26">
        <w:rPr>
          <w:color w:val="000000" w:themeColor="text1"/>
          <w:sz w:val="16"/>
          <w:szCs w:val="16"/>
        </w:rPr>
        <w:softHyphen/>
        <w:t>ром, причем полное раскисление стали вполне обеспечивалось и без титана. Последнее об</w:t>
      </w:r>
      <w:r w:rsidRPr="00925F26">
        <w:rPr>
          <w:color w:val="000000" w:themeColor="text1"/>
          <w:sz w:val="16"/>
          <w:szCs w:val="16"/>
        </w:rPr>
        <w:softHyphen/>
        <w:t>стоятельство (наряду с появлением новых рас- кислителей, по качеству превосходящих титан) позволило в дальнейшем не оговаривать в ТУ раскисление титаном при поставке стали.</w:t>
      </w:r>
    </w:p>
    <w:p w14:paraId="35F1F823"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eastAsia="Calibri" w:hAnsi="Times New Roman" w:cs="Times New Roman"/>
          <w:i w:val="0"/>
          <w:color w:val="000000" w:themeColor="text1"/>
          <w:sz w:val="16"/>
          <w:szCs w:val="16"/>
        </w:rPr>
        <w:t xml:space="preserve">Кузнецкий металлургический комбинат, </w:t>
      </w:r>
      <w:r w:rsidRPr="00925F26">
        <w:rPr>
          <w:rFonts w:ascii="Times New Roman" w:cs="Times New Roman"/>
          <w:color w:val="000000" w:themeColor="text1"/>
          <w:sz w:val="16"/>
          <w:szCs w:val="16"/>
        </w:rPr>
        <w:t>«раскислявший первую плавку титаном и понимающий, что в стали АБ-3, при содер</w:t>
      </w:r>
      <w:r w:rsidRPr="00925F26">
        <w:rPr>
          <w:rFonts w:ascii="Times New Roman" w:cs="Times New Roman"/>
          <w:color w:val="000000" w:themeColor="text1"/>
          <w:sz w:val="16"/>
          <w:szCs w:val="16"/>
        </w:rPr>
        <w:softHyphen/>
        <w:t>жании титана меньше 0,10% титан не может быть специальным легирующим элементом, в своем паспорте (на эту первую плавку), по</w:t>
      </w:r>
      <w:r w:rsidRPr="00925F26">
        <w:rPr>
          <w:rFonts w:ascii="Times New Roman" w:cs="Times New Roman"/>
          <w:color w:val="000000" w:themeColor="text1"/>
          <w:sz w:val="16"/>
          <w:szCs w:val="16"/>
        </w:rPr>
        <w:softHyphen/>
        <w:t>сланным заводу №207, не указал количества остаточного титана в стали после ее раскис</w:t>
      </w:r>
      <w:r w:rsidRPr="00925F26">
        <w:rPr>
          <w:rFonts w:ascii="Times New Roman" w:cs="Times New Roman"/>
          <w:color w:val="000000" w:themeColor="text1"/>
          <w:sz w:val="16"/>
          <w:szCs w:val="16"/>
        </w:rPr>
        <w:softHyphen/>
        <w:t>ления».</w:t>
      </w:r>
    </w:p>
    <w:p w14:paraId="1EC915BB" w14:textId="77777777" w:rsidR="005F32F4" w:rsidRPr="00925F26" w:rsidRDefault="005F32F4" w:rsidP="00925F26">
      <w:pPr>
        <w:jc w:val="both"/>
        <w:rPr>
          <w:color w:val="000000" w:themeColor="text1"/>
          <w:sz w:val="16"/>
          <w:szCs w:val="16"/>
        </w:rPr>
      </w:pPr>
      <w:r w:rsidRPr="00925F26">
        <w:rPr>
          <w:color w:val="000000" w:themeColor="text1"/>
          <w:sz w:val="16"/>
          <w:szCs w:val="16"/>
        </w:rPr>
        <w:t>Констатировалось, что сам по себе ферро- титан -</w:t>
      </w:r>
      <w:r w:rsidRPr="00925F26">
        <w:rPr>
          <w:rStyle w:val="aff6"/>
          <w:rFonts w:ascii="Times New Roman" w:hAnsi="Times New Roman" w:cs="Times New Roman"/>
          <w:i w:val="0"/>
          <w:color w:val="000000" w:themeColor="text1"/>
        </w:rPr>
        <w:t xml:space="preserve"> «элемент достаточно дешевый и неде</w:t>
      </w:r>
      <w:r w:rsidRPr="00925F26">
        <w:rPr>
          <w:rStyle w:val="aff6"/>
          <w:rFonts w:ascii="Times New Roman" w:hAnsi="Times New Roman" w:cs="Times New Roman"/>
          <w:i w:val="0"/>
          <w:color w:val="000000" w:themeColor="text1"/>
        </w:rPr>
        <w:softHyphen/>
        <w:t>фицитный».</w:t>
      </w:r>
      <w:r w:rsidRPr="00925F26">
        <w:rPr>
          <w:color w:val="000000" w:themeColor="text1"/>
          <w:sz w:val="16"/>
          <w:szCs w:val="16"/>
        </w:rPr>
        <w:t xml:space="preserve"> Поэтому введение титана в сталь никогда не вызывало возражений со стороны Госплана СССР. В химическом составе стали марки АБ-3 возможность ее раскисления тита</w:t>
      </w:r>
      <w:r w:rsidRPr="00925F26">
        <w:rPr>
          <w:color w:val="000000" w:themeColor="text1"/>
          <w:sz w:val="16"/>
          <w:szCs w:val="16"/>
        </w:rPr>
        <w:softHyphen/>
        <w:t>ном предусматривалась.</w:t>
      </w:r>
    </w:p>
    <w:p w14:paraId="2353778F"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eastAsia="Calibri" w:hAnsi="Times New Roman" w:cs="Times New Roman"/>
          <w:i w:val="0"/>
          <w:color w:val="000000" w:themeColor="text1"/>
          <w:sz w:val="16"/>
          <w:szCs w:val="16"/>
        </w:rPr>
        <w:t>Таким образом, вопрос о том раскислять сталь титаном или не раскислять, в сущности, должен был решаться заводом-поставщиком стали самостоятельно. Другое дело, что ВВС были</w:t>
      </w:r>
      <w:r w:rsidRPr="00925F26">
        <w:rPr>
          <w:rFonts w:ascii="Times New Roman" w:cs="Times New Roman"/>
          <w:color w:val="000000" w:themeColor="text1"/>
          <w:sz w:val="16"/>
          <w:szCs w:val="16"/>
        </w:rPr>
        <w:t xml:space="preserve"> «вправе требовать, чтобы металл был хорошо раскислен и вправе предъявлять пре</w:t>
      </w:r>
      <w:r w:rsidRPr="00925F26">
        <w:rPr>
          <w:rFonts w:ascii="Times New Roman" w:cs="Times New Roman"/>
          <w:color w:val="000000" w:themeColor="text1"/>
          <w:sz w:val="16"/>
          <w:szCs w:val="16"/>
        </w:rPr>
        <w:softHyphen/>
        <w:t>тензии, если металл был недоброкачественно выплавлен или плохо раскислен, что может сказаться на его поведении в эксплуатации».</w:t>
      </w:r>
    </w:p>
    <w:p w14:paraId="541E6D82"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eastAsia="Calibri" w:hAnsi="Times New Roman" w:cs="Times New Roman"/>
          <w:i w:val="0"/>
          <w:color w:val="000000" w:themeColor="text1"/>
          <w:sz w:val="16"/>
          <w:szCs w:val="16"/>
        </w:rPr>
        <w:t>Одновременно Кишкин ставил Лапина в известность о фактах, характеризующих по</w:t>
      </w:r>
      <w:r w:rsidRPr="00925F26">
        <w:rPr>
          <w:rStyle w:val="4e"/>
          <w:rFonts w:ascii="Times New Roman" w:eastAsia="Calibri" w:hAnsi="Times New Roman" w:cs="Times New Roman"/>
          <w:i w:val="0"/>
          <w:color w:val="000000" w:themeColor="text1"/>
          <w:sz w:val="16"/>
          <w:szCs w:val="16"/>
        </w:rPr>
        <w:softHyphen/>
        <w:t>пытки сорвать внедрение стали АБ-3 вместо АБ-2. В частности, он указывал, что районный инженер 5-го отдела УЗСиМ ГУЗ ВВС инженер-майор Фридман,</w:t>
      </w:r>
      <w:r w:rsidRPr="00925F26">
        <w:rPr>
          <w:rFonts w:ascii="Times New Roman" w:cs="Times New Roman"/>
          <w:color w:val="000000" w:themeColor="text1"/>
          <w:sz w:val="16"/>
          <w:szCs w:val="16"/>
        </w:rPr>
        <w:t xml:space="preserve"> «выехав на завод №207, потребовал отправки в Москву для тарировки хронографа Гольдена».</w:t>
      </w:r>
      <w:r w:rsidRPr="00925F26">
        <w:rPr>
          <w:rStyle w:val="4e"/>
          <w:rFonts w:ascii="Times New Roman" w:eastAsia="Calibri" w:hAnsi="Times New Roman" w:cs="Times New Roman"/>
          <w:i w:val="0"/>
          <w:color w:val="000000" w:themeColor="text1"/>
          <w:sz w:val="16"/>
          <w:szCs w:val="16"/>
        </w:rPr>
        <w:t xml:space="preserve"> По его мнению, это </w:t>
      </w:r>
      <w:r w:rsidRPr="00925F26">
        <w:rPr>
          <w:rFonts w:ascii="Times New Roman" w:cs="Times New Roman"/>
          <w:color w:val="000000" w:themeColor="text1"/>
          <w:sz w:val="16"/>
          <w:szCs w:val="16"/>
        </w:rPr>
        <w:t>«является не столько безграмотностью, сколь</w:t>
      </w:r>
      <w:r w:rsidRPr="00925F26">
        <w:rPr>
          <w:rFonts w:ascii="Times New Roman" w:cs="Times New Roman"/>
          <w:color w:val="000000" w:themeColor="text1"/>
          <w:sz w:val="16"/>
          <w:szCs w:val="16"/>
        </w:rPr>
        <w:softHyphen/>
        <w:t>ко желанием задержать испытания на заводе №207, чтобы успеть раньше провести испыта</w:t>
      </w:r>
      <w:r w:rsidRPr="00925F26">
        <w:rPr>
          <w:rFonts w:ascii="Times New Roman" w:cs="Times New Roman"/>
          <w:color w:val="000000" w:themeColor="text1"/>
          <w:sz w:val="16"/>
          <w:szCs w:val="16"/>
        </w:rPr>
        <w:softHyphen/>
        <w:t>ния стали ХД на заводе № 125».</w:t>
      </w:r>
    </w:p>
    <w:p w14:paraId="2E5BF5C9"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eastAsia="Calibri" w:hAnsi="Times New Roman" w:cs="Times New Roman"/>
          <w:i w:val="0"/>
          <w:color w:val="000000" w:themeColor="text1"/>
          <w:sz w:val="16"/>
          <w:szCs w:val="16"/>
        </w:rPr>
        <w:t xml:space="preserve">В письме утверждалось, что даже если </w:t>
      </w:r>
      <w:r w:rsidRPr="00925F26">
        <w:rPr>
          <w:rFonts w:ascii="Times New Roman" w:cs="Times New Roman"/>
          <w:color w:val="000000" w:themeColor="text1"/>
          <w:sz w:val="16"/>
          <w:szCs w:val="16"/>
        </w:rPr>
        <w:t>«последние плавки стали АБ-3, по каким-либо показателям окажутся хуже первой плавки, но будут соответствовать ТУ на сталь АБ-2»,</w:t>
      </w:r>
      <w:r w:rsidRPr="00925F26">
        <w:rPr>
          <w:rStyle w:val="4e"/>
          <w:rFonts w:ascii="Times New Roman" w:eastAsia="Calibri" w:hAnsi="Times New Roman" w:cs="Times New Roman"/>
          <w:i w:val="0"/>
          <w:color w:val="000000" w:themeColor="text1"/>
          <w:sz w:val="16"/>
          <w:szCs w:val="16"/>
        </w:rPr>
        <w:t xml:space="preserve"> их предлагалось</w:t>
      </w:r>
      <w:r w:rsidRPr="00925F26">
        <w:rPr>
          <w:rFonts w:ascii="Times New Roman" w:cs="Times New Roman"/>
          <w:color w:val="000000" w:themeColor="text1"/>
          <w:sz w:val="16"/>
          <w:szCs w:val="16"/>
        </w:rPr>
        <w:t xml:space="preserve"> «запустить в производство на</w:t>
      </w:r>
      <w:r w:rsidRPr="00925F26">
        <w:rPr>
          <w:rFonts w:ascii="Times New Roman" w:cs="Times New Roman"/>
          <w:color w:val="000000" w:themeColor="text1"/>
          <w:sz w:val="16"/>
          <w:szCs w:val="16"/>
        </w:rPr>
        <w:softHyphen/>
        <w:t>ряду со сталью АБ-2, одновременно поставив вопрос об улучшении технологии выплавки и разливки стали перед заводом-поставщиком» (17479).</w:t>
      </w:r>
    </w:p>
    <w:p w14:paraId="18F0E688" w14:textId="77777777" w:rsidR="005F32F4" w:rsidRPr="00925F26" w:rsidRDefault="005F32F4" w:rsidP="00925F26">
      <w:pPr>
        <w:jc w:val="both"/>
        <w:rPr>
          <w:color w:val="000000" w:themeColor="text1"/>
          <w:sz w:val="16"/>
          <w:szCs w:val="16"/>
        </w:rPr>
      </w:pPr>
    </w:p>
    <w:p w14:paraId="6CC89F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на Як-3ПД с ВКУ-105ПВ достигли скорость 710 км/час на 11000 м (65,176).</w:t>
      </w:r>
    </w:p>
    <w:p w14:paraId="67AD6ED1" w14:textId="77777777" w:rsidR="006103B3" w:rsidRPr="00925F26" w:rsidRDefault="006103B3" w:rsidP="00925F26">
      <w:pPr>
        <w:autoSpaceDE w:val="0"/>
        <w:autoSpaceDN w:val="0"/>
        <w:adjustRightInd w:val="0"/>
        <w:jc w:val="both"/>
        <w:rPr>
          <w:color w:val="000000" w:themeColor="text1"/>
          <w:sz w:val="16"/>
          <w:szCs w:val="16"/>
        </w:rPr>
      </w:pPr>
    </w:p>
    <w:p w14:paraId="038128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июне-июле 1945 в ЛИИ проходил испытания Як-3ПД с ВК-105ПВ N 1006-43 и нагнетателем Э-100. Испытания проводили л И.И.Шкнейко, ви ЛИИ Е.Ф.Шварцбург и А.В.Евдокимов, а от ОКБ - К.Н.Мкртчан. Летали с полным боекомплектом НС-23 (65,176).</w:t>
      </w:r>
    </w:p>
    <w:p w14:paraId="0D01A1FB" w14:textId="77777777" w:rsidR="006103B3" w:rsidRPr="00925F26" w:rsidRDefault="006103B3" w:rsidP="00925F26">
      <w:pPr>
        <w:autoSpaceDE w:val="0"/>
        <w:autoSpaceDN w:val="0"/>
        <w:adjustRightInd w:val="0"/>
        <w:jc w:val="both"/>
        <w:rPr>
          <w:color w:val="000000" w:themeColor="text1"/>
          <w:sz w:val="16"/>
          <w:szCs w:val="16"/>
        </w:rPr>
      </w:pPr>
    </w:p>
    <w:p w14:paraId="12AFD1B5" w14:textId="77777777" w:rsidR="00576B22" w:rsidRPr="00925F26" w:rsidRDefault="00576B22" w:rsidP="00925F26">
      <w:pPr>
        <w:jc w:val="both"/>
        <w:rPr>
          <w:color w:val="000000" w:themeColor="text1"/>
          <w:sz w:val="16"/>
          <w:szCs w:val="16"/>
        </w:rPr>
      </w:pPr>
      <w:r w:rsidRPr="00925F26">
        <w:rPr>
          <w:bCs/>
          <w:color w:val="000000" w:themeColor="text1"/>
          <w:sz w:val="16"/>
          <w:szCs w:val="16"/>
        </w:rPr>
        <w:t>26 июня</w:t>
      </w:r>
      <w:r w:rsidRPr="00925F26">
        <w:rPr>
          <w:color w:val="000000" w:themeColor="text1"/>
          <w:sz w:val="16"/>
          <w:szCs w:val="16"/>
        </w:rPr>
        <w:t xml:space="preserve"> в 1945 году на истребителе </w:t>
      </w:r>
      <w:hyperlink r:id="rId158" w:tgtFrame="_blank" w:history="1">
        <w:r w:rsidRPr="00925F26">
          <w:rPr>
            <w:color w:val="000000" w:themeColor="text1"/>
            <w:sz w:val="16"/>
            <w:szCs w:val="16"/>
          </w:rPr>
          <w:t xml:space="preserve">«Як-3ПД» </w:t>
        </w:r>
      </w:hyperlink>
      <w:r w:rsidRPr="00925F26">
        <w:rPr>
          <w:color w:val="000000" w:themeColor="text1"/>
          <w:sz w:val="16"/>
          <w:szCs w:val="16"/>
        </w:rPr>
        <w:t>была достигнута скорость 710 км/ч на высоте 11 000 м (2-я граница высотности), а 6 июля - практический потолок 13 300 м (14934).</w:t>
      </w:r>
    </w:p>
    <w:p w14:paraId="7E0CD714" w14:textId="77777777" w:rsidR="00576B22" w:rsidRPr="00925F26" w:rsidRDefault="00576B22" w:rsidP="00925F26">
      <w:pPr>
        <w:jc w:val="both"/>
        <w:rPr>
          <w:color w:val="000000" w:themeColor="text1"/>
          <w:sz w:val="16"/>
          <w:szCs w:val="16"/>
        </w:rPr>
      </w:pPr>
    </w:p>
    <w:p w14:paraId="4DA421A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на завод 22 пришел приказ Наркома Авиационной Промышленности Шахурина №263сс об организации на заводе №22 производства самолётов Б-4 и прекращении строительства УПе-2. Приказ был объявлен 11 июля 1945 г и эту дату следует считать началом работы завода по освоению нового бомбардировщика. Тем же приказом Наркома, Главным Конструктором самолёта Б-4 был назначен А.Н. Туполев, а его заместителем И.Ф. Незваль (6394).</w:t>
      </w:r>
    </w:p>
    <w:p w14:paraId="2CAC32ED" w14:textId="77777777" w:rsidR="006103B3" w:rsidRPr="00925F26" w:rsidRDefault="006103B3" w:rsidP="00925F26">
      <w:pPr>
        <w:autoSpaceDE w:val="0"/>
        <w:autoSpaceDN w:val="0"/>
        <w:adjustRightInd w:val="0"/>
        <w:jc w:val="both"/>
        <w:rPr>
          <w:color w:val="000000" w:themeColor="text1"/>
          <w:sz w:val="16"/>
          <w:szCs w:val="16"/>
        </w:rPr>
      </w:pPr>
    </w:p>
    <w:p w14:paraId="652A8277" w14:textId="77777777" w:rsidR="00781BF4" w:rsidRPr="00925F26" w:rsidRDefault="00781BF4" w:rsidP="00925F26">
      <w:pPr>
        <w:jc w:val="both"/>
        <w:rPr>
          <w:color w:val="000000" w:themeColor="text1"/>
          <w:sz w:val="16"/>
          <w:szCs w:val="16"/>
        </w:rPr>
      </w:pPr>
      <w:r w:rsidRPr="00925F26">
        <w:rPr>
          <w:color w:val="000000" w:themeColor="text1"/>
          <w:sz w:val="16"/>
          <w:szCs w:val="16"/>
        </w:rPr>
        <w:t>26 июня 1945 г. Приказ наркома авиационной промышленности об организации на Казанском авиационном заводе № 22 производства самолета Б-4 (будущий бомбардировщик Ту-4) ознаменовал новый этап в жизни предприятия. Потребовалось создание новых цехов, производственных мастерских, бытовых помещений и кладовых, перемещение более 2500 единиц оборудования. В течение 1946 г. была проведена коренная реконструкция всех цехов завода. Придавая особое значение вопросам перестройки завода, директор В.А. Окулов своим приказом предоставил начальнику отдела реконструкции Н.С. Бутаеву права заместителя главного инженера завода (15726).</w:t>
      </w:r>
    </w:p>
    <w:p w14:paraId="2ADBFD4D" w14:textId="77777777" w:rsidR="00781BF4" w:rsidRPr="00925F26" w:rsidRDefault="00781BF4" w:rsidP="00925F26">
      <w:pPr>
        <w:jc w:val="both"/>
        <w:rPr>
          <w:color w:val="000000" w:themeColor="text1"/>
          <w:sz w:val="16"/>
          <w:szCs w:val="16"/>
        </w:rPr>
      </w:pPr>
    </w:p>
    <w:p w14:paraId="5491464B" w14:textId="77777777" w:rsidR="00781BF4" w:rsidRPr="00925F26" w:rsidRDefault="00781BF4" w:rsidP="00925F26">
      <w:pPr>
        <w:pStyle w:val="a3"/>
        <w:rPr>
          <w:color w:val="000000" w:themeColor="text1"/>
          <w:lang w:val="ru-RU"/>
        </w:rPr>
      </w:pPr>
      <w:r w:rsidRPr="00925F26">
        <w:rPr>
          <w:color w:val="000000" w:themeColor="text1"/>
          <w:lang w:val="ru-RU"/>
        </w:rPr>
        <w:t>С 26 июня по 23 августа 1945 г. личный состав 18-й Гвардейской Орловско-</w:t>
      </w:r>
      <w:proofErr w:type="gramStart"/>
      <w:r w:rsidRPr="00925F26">
        <w:rPr>
          <w:color w:val="000000" w:themeColor="text1"/>
          <w:lang w:val="ru-RU"/>
        </w:rPr>
        <w:t>Будапешт- ской</w:t>
      </w:r>
      <w:proofErr w:type="gramEnd"/>
      <w:r w:rsidRPr="00925F26">
        <w:rPr>
          <w:color w:val="000000" w:themeColor="text1"/>
          <w:lang w:val="ru-RU"/>
        </w:rPr>
        <w:t xml:space="preserve"> бомбардировочной дивизии и представители ГК НИИ ВВС провели войсковые испы</w:t>
      </w:r>
      <w:r w:rsidRPr="00925F26">
        <w:rPr>
          <w:color w:val="000000" w:themeColor="text1"/>
          <w:lang w:val="ru-RU"/>
        </w:rPr>
        <w:softHyphen/>
        <w:t>тания Ер-2 2АЧ-30Б с воздушными винтами АВ-5ЛВ-116. Целью испытаний становилось выявление лётно-тактических, боевых и эксплуатационных качеств самолёта. Испытани</w:t>
      </w:r>
      <w:r w:rsidRPr="00925F26">
        <w:rPr>
          <w:color w:val="000000" w:themeColor="text1"/>
          <w:lang w:val="ru-RU"/>
        </w:rPr>
        <w:softHyphen/>
        <w:t>ям подверглись машины 1, 3, 5-7, 9-9а и 10-13 серий, всего 21 самолёт. Выделенные машины объединили в специальные группы, базировавшиеся на аэродроме Белая Цер</w:t>
      </w:r>
      <w:r w:rsidRPr="00925F26">
        <w:rPr>
          <w:color w:val="000000" w:themeColor="text1"/>
          <w:lang w:val="ru-RU"/>
        </w:rPr>
        <w:softHyphen/>
        <w:t>ковь. За время испытаний выполнили 330 полётов с общим налётом 1158 час 58 мин. В процессе испытаний имели место 58 лётных происшествий, из них 55 с вынужденной посадкой, а 10 августа в районе Полтавы потерпел катастрофу самолёт с борт. № 13 (№ 7013907). В итоге Ер-2 2АЧ-30Б войсковых испытаний не выдержал (15810).</w:t>
      </w:r>
    </w:p>
    <w:p w14:paraId="6442847C" w14:textId="77777777" w:rsidR="00781BF4" w:rsidRPr="00925F26" w:rsidRDefault="00781BF4" w:rsidP="00925F26">
      <w:pPr>
        <w:pStyle w:val="a3"/>
        <w:rPr>
          <w:color w:val="000000" w:themeColor="text1"/>
          <w:lang w:val="ru-RU"/>
        </w:rPr>
      </w:pPr>
    </w:p>
    <w:p w14:paraId="66E16FB2" w14:textId="77777777" w:rsidR="00781BF4" w:rsidRPr="00925F26" w:rsidRDefault="00781BF4" w:rsidP="00925F26">
      <w:pPr>
        <w:shd w:val="clear" w:color="auto" w:fill="FFFFFF"/>
        <w:jc w:val="both"/>
        <w:rPr>
          <w:color w:val="000000" w:themeColor="text1"/>
          <w:sz w:val="16"/>
          <w:szCs w:val="16"/>
        </w:rPr>
      </w:pPr>
      <w:r w:rsidRPr="00925F26">
        <w:rPr>
          <w:color w:val="000000" w:themeColor="text1"/>
          <w:sz w:val="16"/>
          <w:szCs w:val="16"/>
        </w:rPr>
        <w:t>С 26-го июня по 23 августа 1945 в 18-й бомбардировочной авиадивизии с участием представителей НИИ ВВС прошли войсковые испытания бомбардировщиков Ер-2, закончившиеся отрицательным результатом. Приказ НКАП № 359сс от 31-го августа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7186FA05" w14:textId="77777777" w:rsidR="00781BF4" w:rsidRPr="00925F26" w:rsidRDefault="00781BF4" w:rsidP="00925F26">
      <w:pPr>
        <w:shd w:val="clear" w:color="auto" w:fill="FFFFFF"/>
        <w:jc w:val="both"/>
        <w:rPr>
          <w:color w:val="000000" w:themeColor="text1"/>
          <w:sz w:val="16"/>
          <w:szCs w:val="16"/>
        </w:rPr>
      </w:pPr>
    </w:p>
    <w:p w14:paraId="623283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года Визирян писал письмо зам. председателя Госплана Силуянову Н.М.</w:t>
      </w:r>
    </w:p>
    <w:p w14:paraId="46E814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НКАП сообщает, что в соответствии с постановлением СНК от 12 июня 1945 года за № 9154р, на старую территорию завода № 307 переводится завод № 493 НКАП (8972).</w:t>
      </w:r>
    </w:p>
    <w:p w14:paraId="506F3B1F" w14:textId="77777777" w:rsidR="006103B3" w:rsidRPr="00925F26" w:rsidRDefault="006103B3" w:rsidP="00925F26">
      <w:pPr>
        <w:autoSpaceDE w:val="0"/>
        <w:autoSpaceDN w:val="0"/>
        <w:adjustRightInd w:val="0"/>
        <w:jc w:val="both"/>
        <w:rPr>
          <w:color w:val="000000" w:themeColor="text1"/>
          <w:sz w:val="16"/>
          <w:szCs w:val="16"/>
        </w:rPr>
      </w:pPr>
    </w:p>
    <w:p w14:paraId="563BE628"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2F97AD3" w14:textId="77777777" w:rsidR="006103B3" w:rsidRPr="00925F26" w:rsidRDefault="006103B3" w:rsidP="00925F26">
      <w:pPr>
        <w:autoSpaceDE w:val="0"/>
        <w:autoSpaceDN w:val="0"/>
        <w:adjustRightInd w:val="0"/>
        <w:jc w:val="both"/>
        <w:rPr>
          <w:iCs/>
          <w:color w:val="000000" w:themeColor="text1"/>
          <w:sz w:val="16"/>
          <w:szCs w:val="16"/>
        </w:rPr>
      </w:pPr>
    </w:p>
    <w:p w14:paraId="47E9D8E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вышло Распоряжение ГКО № 9193 [О реэвакуации в Москву завода №1 Метростроя.] (7352, 32).</w:t>
      </w:r>
    </w:p>
    <w:p w14:paraId="7131FC9D"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5B4FAD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вышло Распоряжение ГКО № 9194 [О дополнительной поставке нефти СНК Узбекской ССР в III кв. 1945 г.] (7352, 33).</w:t>
      </w:r>
    </w:p>
    <w:p w14:paraId="2B06C71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E0FB84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вышло Распоряжение ГКО № 9195 [О дополнительном выделении бензина Базстрою НКВД в июне 1945 г.] (7352, 34).</w:t>
      </w:r>
    </w:p>
    <w:p w14:paraId="7C1D8B9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4809C6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вышло Распоряжение ГКО № 9196 [О мерах по обеспечению пропитки шпал на железнодорожном транспорте.] (7352, 35).</w:t>
      </w:r>
    </w:p>
    <w:p w14:paraId="24FD3480"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20D3C98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Распоряжение ГКО № 9197. О продлении до 1 августа 1945 г. срока работы военнообязанных на предприятиях НКрыбпрома в Каспийском бассейне. РГАНИР, Фонд ГКО, д. 430, лл. 36 (11012).</w:t>
      </w:r>
    </w:p>
    <w:p w14:paraId="77E5F369" w14:textId="77777777" w:rsidR="006103B3" w:rsidRPr="00925F26" w:rsidRDefault="006103B3" w:rsidP="00925F26">
      <w:pPr>
        <w:autoSpaceDE w:val="0"/>
        <w:autoSpaceDN w:val="0"/>
        <w:adjustRightInd w:val="0"/>
        <w:jc w:val="both"/>
        <w:rPr>
          <w:color w:val="000000" w:themeColor="text1"/>
          <w:sz w:val="16"/>
          <w:szCs w:val="16"/>
        </w:rPr>
      </w:pPr>
    </w:p>
    <w:p w14:paraId="4BB801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9198 О вывозе оборудования на заводы Наркомсредмаша. РГАНИР, Фонд ГКО, д. 430, лл. 37 (11012).</w:t>
      </w:r>
    </w:p>
    <w:p w14:paraId="6D0C2303" w14:textId="77777777" w:rsidR="006103B3" w:rsidRPr="00925F26" w:rsidRDefault="006103B3" w:rsidP="00925F26">
      <w:pPr>
        <w:autoSpaceDE w:val="0"/>
        <w:autoSpaceDN w:val="0"/>
        <w:adjustRightInd w:val="0"/>
        <w:jc w:val="both"/>
        <w:rPr>
          <w:color w:val="000000" w:themeColor="text1"/>
          <w:sz w:val="16"/>
          <w:szCs w:val="16"/>
        </w:rPr>
      </w:pPr>
    </w:p>
    <w:p w14:paraId="05A8102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9199 О вывозе оборудования для Наркомсредмаша. РГАНИР, Фонд ГКО, д. 430, лл. 38-39, 40 (11012).</w:t>
      </w:r>
    </w:p>
    <w:p w14:paraId="1B801E34" w14:textId="77777777" w:rsidR="006103B3" w:rsidRPr="00925F26" w:rsidRDefault="006103B3" w:rsidP="00925F26">
      <w:pPr>
        <w:autoSpaceDE w:val="0"/>
        <w:autoSpaceDN w:val="0"/>
        <w:adjustRightInd w:val="0"/>
        <w:jc w:val="both"/>
        <w:rPr>
          <w:color w:val="000000" w:themeColor="text1"/>
          <w:sz w:val="16"/>
          <w:szCs w:val="16"/>
        </w:rPr>
      </w:pPr>
    </w:p>
    <w:p w14:paraId="1D1384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9200 О вывозе образцов новейшей радиотехнической аппаратуры с трофейных складов в Курляндии на предприятия Наркомэлектропрома. РГАНИР, Фонд ГКО, д. 430, лл. 41-42 (11012).</w:t>
      </w:r>
    </w:p>
    <w:p w14:paraId="10D52416" w14:textId="77777777" w:rsidR="006103B3" w:rsidRPr="00925F26" w:rsidRDefault="006103B3" w:rsidP="00925F26">
      <w:pPr>
        <w:autoSpaceDE w:val="0"/>
        <w:autoSpaceDN w:val="0"/>
        <w:adjustRightInd w:val="0"/>
        <w:jc w:val="both"/>
        <w:rPr>
          <w:color w:val="000000" w:themeColor="text1"/>
          <w:sz w:val="16"/>
          <w:szCs w:val="16"/>
        </w:rPr>
      </w:pPr>
    </w:p>
    <w:p w14:paraId="5BD6078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9201 О вывозе 7 турбогенераторов общей мощностью 132 тысячи киловатт и 12 котлов с электростанций г. г. Мюкенберг, Плесс и Хемниц. РГАНИР, Фонд ГКО, д. 430, лл. 43-44 (11012).</w:t>
      </w:r>
    </w:p>
    <w:p w14:paraId="3CECA8D4" w14:textId="77777777" w:rsidR="006103B3" w:rsidRPr="00925F26" w:rsidRDefault="006103B3" w:rsidP="00925F26">
      <w:pPr>
        <w:autoSpaceDE w:val="0"/>
        <w:autoSpaceDN w:val="0"/>
        <w:adjustRightInd w:val="0"/>
        <w:jc w:val="both"/>
        <w:rPr>
          <w:color w:val="000000" w:themeColor="text1"/>
          <w:sz w:val="16"/>
          <w:szCs w:val="16"/>
        </w:rPr>
      </w:pPr>
    </w:p>
    <w:p w14:paraId="5E15A97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9202 О вывозе оборудования на заводы Наркомтяжмаша. РГАНИР, Фонд ГКО, д. 430, лл. 45-47, 48 (11012).</w:t>
      </w:r>
    </w:p>
    <w:p w14:paraId="00138CB5" w14:textId="77777777" w:rsidR="006103B3" w:rsidRPr="00925F26" w:rsidRDefault="006103B3" w:rsidP="00925F26">
      <w:pPr>
        <w:autoSpaceDE w:val="0"/>
        <w:autoSpaceDN w:val="0"/>
        <w:adjustRightInd w:val="0"/>
        <w:jc w:val="both"/>
        <w:rPr>
          <w:color w:val="000000" w:themeColor="text1"/>
          <w:sz w:val="16"/>
          <w:szCs w:val="16"/>
        </w:rPr>
      </w:pPr>
    </w:p>
    <w:p w14:paraId="0909B8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9203 О вывозе оборудования на заводы Наркомата станкостроения. РГАНИР, Фонд ГКО, д. 430, лл. 49-51, 52-53 (11012).</w:t>
      </w:r>
    </w:p>
    <w:p w14:paraId="54E48CFA" w14:textId="77777777" w:rsidR="006103B3" w:rsidRPr="00925F26" w:rsidRDefault="006103B3" w:rsidP="00925F26">
      <w:pPr>
        <w:autoSpaceDE w:val="0"/>
        <w:autoSpaceDN w:val="0"/>
        <w:adjustRightInd w:val="0"/>
        <w:jc w:val="both"/>
        <w:rPr>
          <w:color w:val="000000" w:themeColor="text1"/>
          <w:sz w:val="16"/>
          <w:szCs w:val="16"/>
        </w:rPr>
      </w:pPr>
    </w:p>
    <w:p w14:paraId="5F0124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9204 О вывозе оборудования 14 заводов из г. г. Дрезден, Бауцен, Гросс Хартелли на заводы Наркомата станкостроения. РГАНИР, Фонд ГКО, д. 430, лл. 54-56, 57-58 (11012).</w:t>
      </w:r>
    </w:p>
    <w:p w14:paraId="49D147E3" w14:textId="77777777" w:rsidR="006103B3" w:rsidRPr="00925F26" w:rsidRDefault="006103B3" w:rsidP="00925F26">
      <w:pPr>
        <w:autoSpaceDE w:val="0"/>
        <w:autoSpaceDN w:val="0"/>
        <w:adjustRightInd w:val="0"/>
        <w:jc w:val="both"/>
        <w:rPr>
          <w:color w:val="000000" w:themeColor="text1"/>
          <w:sz w:val="16"/>
          <w:szCs w:val="16"/>
        </w:rPr>
      </w:pPr>
    </w:p>
    <w:p w14:paraId="7CBFB3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9205 О вывозе оборудования 12 заводов из г. г. Хемниц, Дрезден, Вальденбург и Фрайберг на заводы Наркомата станкостроения. РГАНИР, Фонд ГКО, д. 430, лл. 59-61, 62-63 (11012).</w:t>
      </w:r>
    </w:p>
    <w:p w14:paraId="615B9529" w14:textId="77777777" w:rsidR="006103B3" w:rsidRPr="00925F26" w:rsidRDefault="006103B3" w:rsidP="00925F26">
      <w:pPr>
        <w:autoSpaceDE w:val="0"/>
        <w:autoSpaceDN w:val="0"/>
        <w:adjustRightInd w:val="0"/>
        <w:jc w:val="both"/>
        <w:rPr>
          <w:color w:val="000000" w:themeColor="text1"/>
          <w:sz w:val="16"/>
          <w:szCs w:val="16"/>
        </w:rPr>
      </w:pPr>
    </w:p>
    <w:p w14:paraId="1176260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9206 О вывозе оборудования с заводов электротехнической промышленности в г. г. Берлин и Фюнстервальде на предприятия Наркомэлектропрома. РГАНИР, Фонд ГКО, д. 430, лл. 64-65 (11012).</w:t>
      </w:r>
    </w:p>
    <w:p w14:paraId="7C9DB61A" w14:textId="77777777" w:rsidR="006103B3" w:rsidRPr="00925F26" w:rsidRDefault="006103B3" w:rsidP="00925F26">
      <w:pPr>
        <w:autoSpaceDE w:val="0"/>
        <w:autoSpaceDN w:val="0"/>
        <w:adjustRightInd w:val="0"/>
        <w:jc w:val="both"/>
        <w:rPr>
          <w:color w:val="000000" w:themeColor="text1"/>
          <w:sz w:val="16"/>
          <w:szCs w:val="16"/>
        </w:rPr>
      </w:pPr>
    </w:p>
    <w:p w14:paraId="4960024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9207 О вывозе оборудования немецких предприятий на особые базы. РГАНИР, Фонд ГКО, д. 430, лл. 66-67 (11012).</w:t>
      </w:r>
    </w:p>
    <w:p w14:paraId="03450B62" w14:textId="77777777" w:rsidR="006103B3" w:rsidRPr="00925F26" w:rsidRDefault="006103B3" w:rsidP="00925F26">
      <w:pPr>
        <w:autoSpaceDE w:val="0"/>
        <w:autoSpaceDN w:val="0"/>
        <w:adjustRightInd w:val="0"/>
        <w:jc w:val="both"/>
        <w:rPr>
          <w:color w:val="000000" w:themeColor="text1"/>
          <w:sz w:val="16"/>
          <w:szCs w:val="16"/>
        </w:rPr>
      </w:pPr>
    </w:p>
    <w:p w14:paraId="0AD2660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9208 О вывозе 720 станков из г. г. Дрезден и Хемниц для ремонтно-механических заводов Наркомата электростанций. РГАНИР, Фонд ГКО, д. 430, лл. 68 (11012).</w:t>
      </w:r>
    </w:p>
    <w:p w14:paraId="44A1C416" w14:textId="77777777" w:rsidR="006103B3" w:rsidRPr="00925F26" w:rsidRDefault="006103B3" w:rsidP="00925F26">
      <w:pPr>
        <w:autoSpaceDE w:val="0"/>
        <w:autoSpaceDN w:val="0"/>
        <w:adjustRightInd w:val="0"/>
        <w:jc w:val="both"/>
        <w:rPr>
          <w:color w:val="000000" w:themeColor="text1"/>
          <w:sz w:val="16"/>
          <w:szCs w:val="16"/>
        </w:rPr>
      </w:pPr>
    </w:p>
    <w:p w14:paraId="0CEC55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9209 О передаче в ведение Наркомата электростанций 4 электростанций общей мощностью 149 тысяч киловатт и высоковольтных сетей в районах Восточной Пруссии. РГАНИР, Фонд ГКО, д. 430, лл. 69-71 (11012).</w:t>
      </w:r>
    </w:p>
    <w:p w14:paraId="61A37D05" w14:textId="77777777" w:rsidR="006103B3" w:rsidRPr="00925F26" w:rsidRDefault="006103B3" w:rsidP="00925F26">
      <w:pPr>
        <w:autoSpaceDE w:val="0"/>
        <w:autoSpaceDN w:val="0"/>
        <w:adjustRightInd w:val="0"/>
        <w:jc w:val="both"/>
        <w:rPr>
          <w:color w:val="000000" w:themeColor="text1"/>
          <w:sz w:val="16"/>
          <w:szCs w:val="16"/>
        </w:rPr>
      </w:pPr>
    </w:p>
    <w:p w14:paraId="58001E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9210 О вывозе оборудования высоковольтного учебного института из г. Потсдам. РГАНИР, Фонд ГКО, д. 430, лл. 72-73 (11012).</w:t>
      </w:r>
    </w:p>
    <w:p w14:paraId="17AB8814" w14:textId="77777777" w:rsidR="006103B3" w:rsidRPr="00925F26" w:rsidRDefault="006103B3" w:rsidP="00925F26">
      <w:pPr>
        <w:autoSpaceDE w:val="0"/>
        <w:autoSpaceDN w:val="0"/>
        <w:adjustRightInd w:val="0"/>
        <w:jc w:val="both"/>
        <w:rPr>
          <w:color w:val="000000" w:themeColor="text1"/>
          <w:sz w:val="16"/>
          <w:szCs w:val="16"/>
        </w:rPr>
      </w:pPr>
    </w:p>
    <w:p w14:paraId="2A9031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9211 О возврате со складов в г. Заколан и местечке Одалена Вода (Чехословакия) вывезенного немцами оборудования Днепрогэс и других электростанций Украинской ССР. РГАНИР, Фонд ГКО, д. 430, лл. 74-75 (11012).</w:t>
      </w:r>
    </w:p>
    <w:p w14:paraId="78CE551E" w14:textId="77777777" w:rsidR="006103B3" w:rsidRPr="00925F26" w:rsidRDefault="006103B3" w:rsidP="00925F26">
      <w:pPr>
        <w:autoSpaceDE w:val="0"/>
        <w:autoSpaceDN w:val="0"/>
        <w:adjustRightInd w:val="0"/>
        <w:jc w:val="both"/>
        <w:rPr>
          <w:color w:val="000000" w:themeColor="text1"/>
          <w:sz w:val="16"/>
          <w:szCs w:val="16"/>
        </w:rPr>
      </w:pPr>
    </w:p>
    <w:p w14:paraId="1EA464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9212 О вывозе оборудования с немецких лесопильных и деревообрабатывающих заводов в г. г. Гюстров, Штафенгоген (Мекленбург) и Петерсдорф (Бранденбург) на строительные предприятия НКПС. РГАНИР, Фонд ГКО, д. 430, лл. 76-77 (11012).</w:t>
      </w:r>
    </w:p>
    <w:p w14:paraId="23B40F6F" w14:textId="77777777" w:rsidR="006103B3" w:rsidRPr="00925F26" w:rsidRDefault="006103B3" w:rsidP="00925F26">
      <w:pPr>
        <w:autoSpaceDE w:val="0"/>
        <w:autoSpaceDN w:val="0"/>
        <w:adjustRightInd w:val="0"/>
        <w:jc w:val="both"/>
        <w:rPr>
          <w:color w:val="000000" w:themeColor="text1"/>
          <w:sz w:val="16"/>
          <w:szCs w:val="16"/>
        </w:rPr>
      </w:pPr>
    </w:p>
    <w:p w14:paraId="4DC0E4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9213 О вывозе оборудования с немецких предприятий в г. г. Берлин, Рудов, Бабельсберг (близ Берлина) и Дрезден на предприятиях НКПС. РГАНИР, Фонд ГКО, д. 430, лл. 78-80 (11012).</w:t>
      </w:r>
    </w:p>
    <w:p w14:paraId="7C0EA229" w14:textId="77777777" w:rsidR="006103B3" w:rsidRPr="00925F26" w:rsidRDefault="006103B3" w:rsidP="00925F26">
      <w:pPr>
        <w:autoSpaceDE w:val="0"/>
        <w:autoSpaceDN w:val="0"/>
        <w:adjustRightInd w:val="0"/>
        <w:jc w:val="both"/>
        <w:rPr>
          <w:color w:val="000000" w:themeColor="text1"/>
          <w:sz w:val="16"/>
          <w:szCs w:val="16"/>
        </w:rPr>
      </w:pPr>
    </w:p>
    <w:p w14:paraId="587004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9214 О вывозе оборудования с филиала завода фирмы "Блаупункт" в г. Берлин для Гражданского воздушного флота (ГВФ). РГАНИР, Фонд ГКО, д. 430, лл. 81 (11012).</w:t>
      </w:r>
    </w:p>
    <w:p w14:paraId="5C608AD4" w14:textId="77777777" w:rsidR="006103B3" w:rsidRPr="00925F26" w:rsidRDefault="006103B3" w:rsidP="00925F26">
      <w:pPr>
        <w:autoSpaceDE w:val="0"/>
        <w:autoSpaceDN w:val="0"/>
        <w:adjustRightInd w:val="0"/>
        <w:jc w:val="both"/>
        <w:rPr>
          <w:color w:val="000000" w:themeColor="text1"/>
          <w:sz w:val="16"/>
          <w:szCs w:val="16"/>
        </w:rPr>
      </w:pPr>
    </w:p>
    <w:p w14:paraId="7EBAD6F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9215 О вывозе оборудования с немецкой судостроительной верфи фирмы Энгельбрехт в г. Берлин. РГАНИР, Фонд ГКО, д. 430, лл. 82 (11012).</w:t>
      </w:r>
    </w:p>
    <w:p w14:paraId="60D55D14" w14:textId="77777777" w:rsidR="006103B3" w:rsidRPr="00925F26" w:rsidRDefault="006103B3" w:rsidP="00925F26">
      <w:pPr>
        <w:autoSpaceDE w:val="0"/>
        <w:autoSpaceDN w:val="0"/>
        <w:adjustRightInd w:val="0"/>
        <w:jc w:val="both"/>
        <w:rPr>
          <w:color w:val="000000" w:themeColor="text1"/>
          <w:sz w:val="16"/>
          <w:szCs w:val="16"/>
        </w:rPr>
      </w:pPr>
    </w:p>
    <w:p w14:paraId="7460AD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9216 О передаче Наркомречфлоту Кенигсбергских судоремонтных мастерских. РГАНИР, Фонд ГКО, д. 430, лл. 83 (11012).</w:t>
      </w:r>
    </w:p>
    <w:p w14:paraId="3BF26391" w14:textId="77777777" w:rsidR="006103B3" w:rsidRPr="00925F26" w:rsidRDefault="006103B3" w:rsidP="00925F26">
      <w:pPr>
        <w:autoSpaceDE w:val="0"/>
        <w:autoSpaceDN w:val="0"/>
        <w:adjustRightInd w:val="0"/>
        <w:jc w:val="both"/>
        <w:rPr>
          <w:color w:val="000000" w:themeColor="text1"/>
          <w:sz w:val="16"/>
          <w:szCs w:val="16"/>
        </w:rPr>
      </w:pPr>
    </w:p>
    <w:p w14:paraId="5CE276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9217 О вывозе оборудования с немецких заводов, расположенных в г. г. Козвит, Дамгартен, Грайфенберг и Вальденбург на предприятия Наркомсудпрома. РГАНИР, Фонд ГКО, д. 430, лл. 84-85 (11012).</w:t>
      </w:r>
    </w:p>
    <w:p w14:paraId="76DEBD5A" w14:textId="77777777" w:rsidR="006103B3" w:rsidRPr="00925F26" w:rsidRDefault="006103B3" w:rsidP="00925F26">
      <w:pPr>
        <w:autoSpaceDE w:val="0"/>
        <w:autoSpaceDN w:val="0"/>
        <w:adjustRightInd w:val="0"/>
        <w:jc w:val="both"/>
        <w:rPr>
          <w:color w:val="000000" w:themeColor="text1"/>
          <w:sz w:val="16"/>
          <w:szCs w:val="16"/>
        </w:rPr>
      </w:pPr>
    </w:p>
    <w:p w14:paraId="5A1312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9218 О вывозе радиолокационного имущества с немецкого научно-исследовательского института, расположенного в г. Геренпунк Коифт (остров Рюген). РГАНИР, Фонд ГКО, д. 430, лл. 86 (11012).</w:t>
      </w:r>
    </w:p>
    <w:p w14:paraId="28BC1BAB" w14:textId="77777777" w:rsidR="006103B3" w:rsidRPr="00925F26" w:rsidRDefault="006103B3" w:rsidP="00925F26">
      <w:pPr>
        <w:autoSpaceDE w:val="0"/>
        <w:autoSpaceDN w:val="0"/>
        <w:adjustRightInd w:val="0"/>
        <w:jc w:val="both"/>
        <w:rPr>
          <w:color w:val="000000" w:themeColor="text1"/>
          <w:sz w:val="16"/>
          <w:szCs w:val="16"/>
        </w:rPr>
      </w:pPr>
    </w:p>
    <w:p w14:paraId="537E44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26 июня 1945 вышло Постановление ГКО № 9219 О вывозе оборудования по производству компрессоров, насосов и сельскохозяйственных машин с трех немецких заводов в г. г. Вишовсверде, Фрайталь и местечке Шлоттвитц. РГАНИР, Фонд ГКО, д. 430, лл. 87-88 (11012).</w:t>
      </w:r>
    </w:p>
    <w:p w14:paraId="2E183EAC" w14:textId="77777777" w:rsidR="006103B3" w:rsidRPr="00925F26" w:rsidRDefault="006103B3" w:rsidP="00925F26">
      <w:pPr>
        <w:autoSpaceDE w:val="0"/>
        <w:autoSpaceDN w:val="0"/>
        <w:adjustRightInd w:val="0"/>
        <w:jc w:val="both"/>
        <w:rPr>
          <w:color w:val="000000" w:themeColor="text1"/>
          <w:sz w:val="16"/>
          <w:szCs w:val="16"/>
        </w:rPr>
      </w:pPr>
    </w:p>
    <w:p w14:paraId="73290C7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9220 О вывозе оборудования по производству весов, холодильных и текстильных машин с четырех немецких заводов в г. г. Берлин, Радеберг и Хемниц. РГАНИР, Фонд ГКО, д. 430, лл. 89-90 (11012).</w:t>
      </w:r>
    </w:p>
    <w:p w14:paraId="08D05C72" w14:textId="77777777" w:rsidR="006103B3" w:rsidRPr="00925F26" w:rsidRDefault="006103B3" w:rsidP="00925F26">
      <w:pPr>
        <w:autoSpaceDE w:val="0"/>
        <w:autoSpaceDN w:val="0"/>
        <w:adjustRightInd w:val="0"/>
        <w:jc w:val="both"/>
        <w:rPr>
          <w:color w:val="000000" w:themeColor="text1"/>
          <w:sz w:val="16"/>
          <w:szCs w:val="16"/>
        </w:rPr>
      </w:pPr>
    </w:p>
    <w:p w14:paraId="3C7736D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9221 О вывозе оборудования по производству деталей для часов и приборов, матриц для линотипов и насосов с четырех немецких заводов в г. г. Берлин и Хемниц. РГАНИР, Фонд ГКО, д. 430, лл. 91-92 (11012).</w:t>
      </w:r>
    </w:p>
    <w:p w14:paraId="447F9D23" w14:textId="77777777" w:rsidR="006103B3" w:rsidRPr="00925F26" w:rsidRDefault="006103B3" w:rsidP="00925F26">
      <w:pPr>
        <w:autoSpaceDE w:val="0"/>
        <w:autoSpaceDN w:val="0"/>
        <w:adjustRightInd w:val="0"/>
        <w:jc w:val="both"/>
        <w:rPr>
          <w:color w:val="000000" w:themeColor="text1"/>
          <w:sz w:val="16"/>
          <w:szCs w:val="16"/>
        </w:rPr>
      </w:pPr>
    </w:p>
    <w:p w14:paraId="6EBC29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9222 О вывозе оборудования по производству пишущих, швейных, чулочных и текстильных машин с пяти немецких заводов в г. г. Берлин, Дрезден, Гайденау и Хемниц. РГАНИР, Фонд ГКО, д. 430, лл. 93-94 (11012).</w:t>
      </w:r>
    </w:p>
    <w:p w14:paraId="437F8953" w14:textId="77777777" w:rsidR="006103B3" w:rsidRPr="00925F26" w:rsidRDefault="006103B3" w:rsidP="00925F26">
      <w:pPr>
        <w:autoSpaceDE w:val="0"/>
        <w:autoSpaceDN w:val="0"/>
        <w:adjustRightInd w:val="0"/>
        <w:jc w:val="both"/>
        <w:rPr>
          <w:color w:val="000000" w:themeColor="text1"/>
          <w:sz w:val="16"/>
          <w:szCs w:val="16"/>
        </w:rPr>
      </w:pPr>
    </w:p>
    <w:p w14:paraId="0EC418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9223 О вывозе оборудования с цвето-литейного завода фирмы "Приппенав" в г. Хемниц. РГАНИР, Фонд ГКО, д. 430, лл. 95-96 (11012).</w:t>
      </w:r>
    </w:p>
    <w:p w14:paraId="13EFE765" w14:textId="77777777" w:rsidR="006103B3" w:rsidRPr="00925F26" w:rsidRDefault="006103B3" w:rsidP="00925F26">
      <w:pPr>
        <w:autoSpaceDE w:val="0"/>
        <w:autoSpaceDN w:val="0"/>
        <w:adjustRightInd w:val="0"/>
        <w:jc w:val="both"/>
        <w:rPr>
          <w:color w:val="000000" w:themeColor="text1"/>
          <w:sz w:val="16"/>
          <w:szCs w:val="16"/>
        </w:rPr>
      </w:pPr>
    </w:p>
    <w:p w14:paraId="758CCA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9224 О вывозе оборудования с трех немецких оптических заводов фирмы "Астра-Гезельшафт" в г. Носсен, "Гуго Майер" в г. Герлиц и "Гильдебранда" в районе г. Дрезден. РГАНИР, Фонд ГКО, д. 430, лл. 97-98 (11012).</w:t>
      </w:r>
    </w:p>
    <w:p w14:paraId="353A1084" w14:textId="77777777" w:rsidR="006103B3" w:rsidRPr="00925F26" w:rsidRDefault="006103B3" w:rsidP="00925F26">
      <w:pPr>
        <w:autoSpaceDE w:val="0"/>
        <w:autoSpaceDN w:val="0"/>
        <w:adjustRightInd w:val="0"/>
        <w:jc w:val="both"/>
        <w:rPr>
          <w:color w:val="000000" w:themeColor="text1"/>
          <w:sz w:val="16"/>
          <w:szCs w:val="16"/>
        </w:rPr>
      </w:pPr>
    </w:p>
    <w:p w14:paraId="0F986D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9225 О вывозе оборудования по производству патронов с немецкого завода Фирмы "Верк С" (Зальцман) в г. Одеран (Германия). РГАНИР, Фонд ГКО, д. 430, лл. 99 (11012).</w:t>
      </w:r>
    </w:p>
    <w:p w14:paraId="65A5D22D" w14:textId="77777777" w:rsidR="006103B3" w:rsidRPr="00925F26" w:rsidRDefault="006103B3" w:rsidP="00925F26">
      <w:pPr>
        <w:autoSpaceDE w:val="0"/>
        <w:autoSpaceDN w:val="0"/>
        <w:adjustRightInd w:val="0"/>
        <w:jc w:val="both"/>
        <w:rPr>
          <w:color w:val="000000" w:themeColor="text1"/>
          <w:sz w:val="16"/>
          <w:szCs w:val="16"/>
        </w:rPr>
      </w:pPr>
    </w:p>
    <w:p w14:paraId="257CF2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9226 О вывозе оборудования по производству фаустпатронов с немецкого завода фирмы "Роб Тюммлер" в г. Дёбельн. РГАНИР, Фонд ГКО, д. 430, лл. 100 (11012).</w:t>
      </w:r>
    </w:p>
    <w:p w14:paraId="457C4066" w14:textId="77777777" w:rsidR="006103B3" w:rsidRPr="00925F26" w:rsidRDefault="006103B3" w:rsidP="00925F26">
      <w:pPr>
        <w:autoSpaceDE w:val="0"/>
        <w:autoSpaceDN w:val="0"/>
        <w:adjustRightInd w:val="0"/>
        <w:jc w:val="both"/>
        <w:rPr>
          <w:color w:val="000000" w:themeColor="text1"/>
          <w:sz w:val="16"/>
          <w:szCs w:val="16"/>
        </w:rPr>
      </w:pPr>
    </w:p>
    <w:p w14:paraId="4ABF68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9227 О вывозе оборудования с медеэлектролитного завода "Хюгенверке Кайзер" в г. Ораниенбург для Наркомцветмета. РГАНИР, Фонд ГКО, д. 430, лл. 101-102 (11012).</w:t>
      </w:r>
    </w:p>
    <w:p w14:paraId="2C10B38E" w14:textId="77777777" w:rsidR="006103B3" w:rsidRPr="00925F26" w:rsidRDefault="006103B3" w:rsidP="00925F26">
      <w:pPr>
        <w:autoSpaceDE w:val="0"/>
        <w:autoSpaceDN w:val="0"/>
        <w:adjustRightInd w:val="0"/>
        <w:jc w:val="both"/>
        <w:rPr>
          <w:color w:val="000000" w:themeColor="text1"/>
          <w:sz w:val="16"/>
          <w:szCs w:val="16"/>
        </w:rPr>
      </w:pPr>
    </w:p>
    <w:p w14:paraId="17C50BC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9228 О вывозе оборудования с металлургического завода "Лаухгаммерверке" фирмы "Миттельдейтше Штальверке" в поселке Гредитц (район г. Ризе) для Наркомчермета и Наркомбоеприпасов. РГАНИР, Фонд ГКО, д. 430, лл. 103-104 (11012).</w:t>
      </w:r>
    </w:p>
    <w:p w14:paraId="7D62A0AB" w14:textId="77777777" w:rsidR="006103B3" w:rsidRPr="00925F26" w:rsidRDefault="006103B3" w:rsidP="00925F26">
      <w:pPr>
        <w:autoSpaceDE w:val="0"/>
        <w:autoSpaceDN w:val="0"/>
        <w:adjustRightInd w:val="0"/>
        <w:jc w:val="both"/>
        <w:rPr>
          <w:color w:val="000000" w:themeColor="text1"/>
          <w:sz w:val="16"/>
          <w:szCs w:val="16"/>
        </w:rPr>
      </w:pPr>
    </w:p>
    <w:p w14:paraId="4BBAC1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9229 О вывозе оборудования и материалов с немецких заводов и складов в г. г. Бранденбург, Франкенберг, Фрейберг, Мальхин, Брюель и Штернберг для Наркомавиапрома. РГАНИР, Фонд ГКО, д. 430, лл. 105-107 (11012).</w:t>
      </w:r>
    </w:p>
    <w:p w14:paraId="56938059" w14:textId="77777777" w:rsidR="006103B3" w:rsidRPr="00925F26" w:rsidRDefault="006103B3" w:rsidP="00925F26">
      <w:pPr>
        <w:autoSpaceDE w:val="0"/>
        <w:autoSpaceDN w:val="0"/>
        <w:adjustRightInd w:val="0"/>
        <w:jc w:val="both"/>
        <w:rPr>
          <w:color w:val="000000" w:themeColor="text1"/>
          <w:sz w:val="16"/>
          <w:szCs w:val="16"/>
        </w:rPr>
      </w:pPr>
    </w:p>
    <w:p w14:paraId="73AFAB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9230 О вывозе оборудования с химических и металлообрабатывающих предприятий из районов г. г. Дрезден, Хемниц и Виттенберг на предприятия Наркомхимпрома. РГАНИР, Фонд ГКО, д. 430, лл. 108-111 (11012).</w:t>
      </w:r>
    </w:p>
    <w:p w14:paraId="3557018C" w14:textId="77777777" w:rsidR="006103B3" w:rsidRPr="00925F26" w:rsidRDefault="006103B3" w:rsidP="00925F26">
      <w:pPr>
        <w:autoSpaceDE w:val="0"/>
        <w:autoSpaceDN w:val="0"/>
        <w:adjustRightInd w:val="0"/>
        <w:jc w:val="both"/>
        <w:rPr>
          <w:color w:val="000000" w:themeColor="text1"/>
          <w:sz w:val="16"/>
          <w:szCs w:val="16"/>
        </w:rPr>
      </w:pPr>
    </w:p>
    <w:p w14:paraId="65E320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9231 О вывозе оборудования с завода по производству противогазов акционерного общества "Ауер-Гезельшафт" в г. Ораниенбурге, с завода пластмасс "Шпилькар Бурги Меденгафен" в г. Цоссени др.РГАНИР, Фонд ГКО, д. 430, лл. 112-114 (11012).</w:t>
      </w:r>
    </w:p>
    <w:p w14:paraId="5555CFF6" w14:textId="77777777" w:rsidR="006103B3" w:rsidRPr="00925F26" w:rsidRDefault="006103B3" w:rsidP="00925F26">
      <w:pPr>
        <w:autoSpaceDE w:val="0"/>
        <w:autoSpaceDN w:val="0"/>
        <w:adjustRightInd w:val="0"/>
        <w:jc w:val="both"/>
        <w:rPr>
          <w:color w:val="000000" w:themeColor="text1"/>
          <w:sz w:val="16"/>
          <w:szCs w:val="16"/>
        </w:rPr>
      </w:pPr>
    </w:p>
    <w:p w14:paraId="5817EF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9232 О вывозе оборудования завода по производству резиновых деталей и шлангов высокого давления фирмы "Пека Гуммиверке" в г. Берлин. РГАНИР, Фонд ГКО, д. 430, лл. 115 (11012).</w:t>
      </w:r>
    </w:p>
    <w:p w14:paraId="2938BCA7" w14:textId="77777777" w:rsidR="006103B3" w:rsidRPr="00925F26" w:rsidRDefault="006103B3" w:rsidP="00925F26">
      <w:pPr>
        <w:autoSpaceDE w:val="0"/>
        <w:autoSpaceDN w:val="0"/>
        <w:adjustRightInd w:val="0"/>
        <w:jc w:val="both"/>
        <w:rPr>
          <w:color w:val="000000" w:themeColor="text1"/>
          <w:sz w:val="16"/>
          <w:szCs w:val="16"/>
        </w:rPr>
      </w:pPr>
    </w:p>
    <w:p w14:paraId="00AA0A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9233 О вывозе оборудования и архивов Института растительной физиологии из г. Берлин во Всесоюзный научно-исследовательский институт каучуконосов Наркомрезинпрома. РГАНИР, Фонд ГКО, д. 430, лл. 116 (11012).</w:t>
      </w:r>
    </w:p>
    <w:p w14:paraId="1661439D" w14:textId="77777777" w:rsidR="006103B3" w:rsidRPr="00925F26" w:rsidRDefault="006103B3" w:rsidP="00925F26">
      <w:pPr>
        <w:autoSpaceDE w:val="0"/>
        <w:autoSpaceDN w:val="0"/>
        <w:adjustRightInd w:val="0"/>
        <w:jc w:val="both"/>
        <w:rPr>
          <w:color w:val="000000" w:themeColor="text1"/>
          <w:sz w:val="16"/>
          <w:szCs w:val="16"/>
        </w:rPr>
      </w:pPr>
    </w:p>
    <w:p w14:paraId="2C6BAE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9234 О вывозе оборудования с механических, лесопильных и кирпичных заводов Германии на предприятия Наркомстроя. РГАНИР, Фонд ГКО, д. 430, лл. 117-122 (11012).</w:t>
      </w:r>
    </w:p>
    <w:p w14:paraId="3A157996" w14:textId="77777777" w:rsidR="006103B3" w:rsidRPr="00925F26" w:rsidRDefault="006103B3" w:rsidP="00925F26">
      <w:pPr>
        <w:autoSpaceDE w:val="0"/>
        <w:autoSpaceDN w:val="0"/>
        <w:adjustRightInd w:val="0"/>
        <w:jc w:val="both"/>
        <w:rPr>
          <w:color w:val="000000" w:themeColor="text1"/>
          <w:sz w:val="16"/>
          <w:szCs w:val="16"/>
        </w:rPr>
      </w:pPr>
    </w:p>
    <w:p w14:paraId="64E63D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9235 О вывозе оборудования радиостанций немецкого морского ведомства из г. Свинемюнде и населенных пунктов Штуппенкоммер и Гроссцикен (остров Рюген). РГАНИР, Фонд ГКО, д. 430, лл. 123-124 (11012).</w:t>
      </w:r>
    </w:p>
    <w:p w14:paraId="6FD07815" w14:textId="77777777" w:rsidR="006103B3" w:rsidRPr="00925F26" w:rsidRDefault="006103B3" w:rsidP="00925F26">
      <w:pPr>
        <w:autoSpaceDE w:val="0"/>
        <w:autoSpaceDN w:val="0"/>
        <w:adjustRightInd w:val="0"/>
        <w:jc w:val="both"/>
        <w:rPr>
          <w:color w:val="000000" w:themeColor="text1"/>
          <w:sz w:val="16"/>
          <w:szCs w:val="16"/>
        </w:rPr>
      </w:pPr>
    </w:p>
    <w:p w14:paraId="2B9BC1E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9236 О вывозе из Германии железнодорожных рельс широкой колеи для строительства железной дороги Мукри-Гаурдак в Туркменистане. РГАНИР, Фонд ГКО, д. 430, лл. 125-126 (11012).</w:t>
      </w:r>
    </w:p>
    <w:p w14:paraId="11699F25" w14:textId="77777777" w:rsidR="006103B3" w:rsidRPr="00925F26" w:rsidRDefault="006103B3" w:rsidP="00925F26">
      <w:pPr>
        <w:autoSpaceDE w:val="0"/>
        <w:autoSpaceDN w:val="0"/>
        <w:adjustRightInd w:val="0"/>
        <w:jc w:val="both"/>
        <w:rPr>
          <w:color w:val="000000" w:themeColor="text1"/>
          <w:sz w:val="16"/>
          <w:szCs w:val="16"/>
        </w:rPr>
      </w:pPr>
    </w:p>
    <w:p w14:paraId="1C0B10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9237 О вывозе из г. Берлин оборудования механических предприятий для Наркомстроя. РГАНИР, Фонд ГКО, д. 430, лл. 127-129 (11012).</w:t>
      </w:r>
    </w:p>
    <w:p w14:paraId="6F74AD99" w14:textId="77777777" w:rsidR="006103B3" w:rsidRPr="00925F26" w:rsidRDefault="006103B3" w:rsidP="00925F26">
      <w:pPr>
        <w:autoSpaceDE w:val="0"/>
        <w:autoSpaceDN w:val="0"/>
        <w:adjustRightInd w:val="0"/>
        <w:jc w:val="both"/>
        <w:rPr>
          <w:color w:val="000000" w:themeColor="text1"/>
          <w:sz w:val="16"/>
          <w:szCs w:val="16"/>
        </w:rPr>
      </w:pPr>
    </w:p>
    <w:p w14:paraId="6A34BA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9238 О вывозе оборудования с предприятий Германии для Наркомстроя. РГАНИР, Фонд ГКО, д. 430, лл. 130-133 (11012).</w:t>
      </w:r>
    </w:p>
    <w:p w14:paraId="03EC13AB" w14:textId="77777777" w:rsidR="006103B3" w:rsidRPr="00925F26" w:rsidRDefault="006103B3" w:rsidP="00925F26">
      <w:pPr>
        <w:autoSpaceDE w:val="0"/>
        <w:autoSpaceDN w:val="0"/>
        <w:adjustRightInd w:val="0"/>
        <w:jc w:val="both"/>
        <w:rPr>
          <w:color w:val="000000" w:themeColor="text1"/>
          <w:sz w:val="16"/>
          <w:szCs w:val="16"/>
        </w:rPr>
      </w:pPr>
    </w:p>
    <w:p w14:paraId="12BB2D0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9239 О вывозе оборудования цементного завода и 3 заводов бетонно-шлаковых конструкций на завод Наркомстройматериалов СССР. РГАНИР, Фонд ГКО, д. 430, лл. 134-135 (11012).</w:t>
      </w:r>
    </w:p>
    <w:p w14:paraId="31BB88AA" w14:textId="77777777" w:rsidR="006103B3" w:rsidRPr="00925F26" w:rsidRDefault="006103B3" w:rsidP="00925F26">
      <w:pPr>
        <w:autoSpaceDE w:val="0"/>
        <w:autoSpaceDN w:val="0"/>
        <w:adjustRightInd w:val="0"/>
        <w:jc w:val="both"/>
        <w:rPr>
          <w:color w:val="000000" w:themeColor="text1"/>
          <w:sz w:val="16"/>
          <w:szCs w:val="16"/>
        </w:rPr>
      </w:pPr>
    </w:p>
    <w:p w14:paraId="0276A5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9240 О вывозе оборудования немецких заводов для восстановления производства рулонных кровельных материалов на предприятиях Наркомстройматериалов СССР. РГАНИР, Фонд ГКО, д. 430, лл. 136-138, 139 (11012).</w:t>
      </w:r>
    </w:p>
    <w:p w14:paraId="1CC333E4" w14:textId="77777777" w:rsidR="006103B3" w:rsidRPr="00925F26" w:rsidRDefault="006103B3" w:rsidP="00925F26">
      <w:pPr>
        <w:autoSpaceDE w:val="0"/>
        <w:autoSpaceDN w:val="0"/>
        <w:adjustRightInd w:val="0"/>
        <w:jc w:val="both"/>
        <w:rPr>
          <w:color w:val="000000" w:themeColor="text1"/>
          <w:sz w:val="16"/>
          <w:szCs w:val="16"/>
        </w:rPr>
      </w:pPr>
    </w:p>
    <w:p w14:paraId="07AA6E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9241 О вывозе оборудования немецких заводов для восстановления производства санитарно-технических изделий на предприятиях Наркомстройматериалов СССР. РГАНИР, Фонд ГКО, д. 430, лл. 140-142, 143-144 (11012).</w:t>
      </w:r>
    </w:p>
    <w:p w14:paraId="306A5996" w14:textId="77777777" w:rsidR="006103B3" w:rsidRPr="00925F26" w:rsidRDefault="006103B3" w:rsidP="00925F26">
      <w:pPr>
        <w:autoSpaceDE w:val="0"/>
        <w:autoSpaceDN w:val="0"/>
        <w:adjustRightInd w:val="0"/>
        <w:jc w:val="both"/>
        <w:rPr>
          <w:color w:val="000000" w:themeColor="text1"/>
          <w:sz w:val="16"/>
          <w:szCs w:val="16"/>
        </w:rPr>
      </w:pPr>
    </w:p>
    <w:p w14:paraId="7AFBAD8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9242 О вывозе оборудования меловых карьеров на острове Рюген на заводы Наркомстройматериалов СССР. РГАНИР, Фонд ГКО, д. 430, лл. 145-146 (11012).</w:t>
      </w:r>
    </w:p>
    <w:p w14:paraId="243CEC4F" w14:textId="77777777" w:rsidR="006103B3" w:rsidRPr="00925F26" w:rsidRDefault="006103B3" w:rsidP="00925F26">
      <w:pPr>
        <w:autoSpaceDE w:val="0"/>
        <w:autoSpaceDN w:val="0"/>
        <w:adjustRightInd w:val="0"/>
        <w:jc w:val="both"/>
        <w:rPr>
          <w:color w:val="000000" w:themeColor="text1"/>
          <w:sz w:val="16"/>
          <w:szCs w:val="16"/>
        </w:rPr>
      </w:pPr>
    </w:p>
    <w:p w14:paraId="50426B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9243 О вывозе оборудования с трех лесопильных заводов в районе г. Мюльхаузен (Померания) на предприятия Наркомгражданстроя РСФСР. РГАНИР, Фонд ГКО, д. 430, лл. 147-148 (11012).</w:t>
      </w:r>
    </w:p>
    <w:p w14:paraId="1F283D5C" w14:textId="77777777" w:rsidR="006103B3" w:rsidRPr="00925F26" w:rsidRDefault="006103B3" w:rsidP="00925F26">
      <w:pPr>
        <w:autoSpaceDE w:val="0"/>
        <w:autoSpaceDN w:val="0"/>
        <w:adjustRightInd w:val="0"/>
        <w:jc w:val="both"/>
        <w:rPr>
          <w:color w:val="000000" w:themeColor="text1"/>
          <w:sz w:val="16"/>
          <w:szCs w:val="16"/>
        </w:rPr>
      </w:pPr>
    </w:p>
    <w:p w14:paraId="65C6B0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9244 О вывозе оборудования немецкого завода фирмы "Рапидо-Верке" в г. Радебойль - Дрезден. РГАНИР, Фонд ГКО, д. 430, лл. 149 (11012).</w:t>
      </w:r>
    </w:p>
    <w:p w14:paraId="126F67DE" w14:textId="77777777" w:rsidR="006103B3" w:rsidRPr="00925F26" w:rsidRDefault="006103B3" w:rsidP="00925F26">
      <w:pPr>
        <w:autoSpaceDE w:val="0"/>
        <w:autoSpaceDN w:val="0"/>
        <w:adjustRightInd w:val="0"/>
        <w:jc w:val="both"/>
        <w:rPr>
          <w:color w:val="000000" w:themeColor="text1"/>
          <w:sz w:val="16"/>
          <w:szCs w:val="16"/>
        </w:rPr>
      </w:pPr>
    </w:p>
    <w:p w14:paraId="56F058E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9245 О вывозе оборудования завода паровой и водопроводной арматуры фирмы "Карл Зайдман" в г. Берлин. РГАНИР, Фонд ГКО, д. 430, лл. 150 (11012).</w:t>
      </w:r>
    </w:p>
    <w:p w14:paraId="5D90A5E2" w14:textId="77777777" w:rsidR="006103B3" w:rsidRPr="00925F26" w:rsidRDefault="006103B3" w:rsidP="00925F26">
      <w:pPr>
        <w:autoSpaceDE w:val="0"/>
        <w:autoSpaceDN w:val="0"/>
        <w:adjustRightInd w:val="0"/>
        <w:jc w:val="both"/>
        <w:rPr>
          <w:color w:val="000000" w:themeColor="text1"/>
          <w:sz w:val="16"/>
          <w:szCs w:val="16"/>
        </w:rPr>
      </w:pPr>
    </w:p>
    <w:p w14:paraId="1138BF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9246 О вывозе оборудования и имущества из немецкого военно-морского минно-трального арсенала на острове Рюген. РГАНИР, Фонд ГКО, д. 430, лл. 151 (11012).</w:t>
      </w:r>
    </w:p>
    <w:p w14:paraId="49258FA6" w14:textId="77777777" w:rsidR="006103B3" w:rsidRPr="00925F26" w:rsidRDefault="006103B3" w:rsidP="00925F26">
      <w:pPr>
        <w:autoSpaceDE w:val="0"/>
        <w:autoSpaceDN w:val="0"/>
        <w:adjustRightInd w:val="0"/>
        <w:jc w:val="both"/>
        <w:rPr>
          <w:color w:val="000000" w:themeColor="text1"/>
          <w:sz w:val="16"/>
          <w:szCs w:val="16"/>
        </w:rPr>
      </w:pPr>
    </w:p>
    <w:p w14:paraId="4104B1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9247 О вывозе оборудования немецких предприятий на предприятия Наркомтекстиля СССР. РГАНИР, Фонд ГКО, д. 430, лл. 152-156, 157-158 (11012).</w:t>
      </w:r>
    </w:p>
    <w:p w14:paraId="6C1FAE5A" w14:textId="77777777" w:rsidR="006103B3" w:rsidRPr="00925F26" w:rsidRDefault="006103B3" w:rsidP="00925F26">
      <w:pPr>
        <w:autoSpaceDE w:val="0"/>
        <w:autoSpaceDN w:val="0"/>
        <w:adjustRightInd w:val="0"/>
        <w:jc w:val="both"/>
        <w:rPr>
          <w:color w:val="000000" w:themeColor="text1"/>
          <w:sz w:val="16"/>
          <w:szCs w:val="16"/>
        </w:rPr>
      </w:pPr>
    </w:p>
    <w:p w14:paraId="1670A1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9248 О вывозе санитарно-технического и электроустановочного оборудования с трофейных складов 1-го Украинского фронта для НКГБ СССР. РГАНИР, Фонд ГКО, д. 430, лл. 159, 160-161 (11012).</w:t>
      </w:r>
    </w:p>
    <w:p w14:paraId="79EB518F" w14:textId="77777777" w:rsidR="006103B3" w:rsidRPr="00925F26" w:rsidRDefault="006103B3" w:rsidP="00925F26">
      <w:pPr>
        <w:autoSpaceDE w:val="0"/>
        <w:autoSpaceDN w:val="0"/>
        <w:adjustRightInd w:val="0"/>
        <w:jc w:val="both"/>
        <w:rPr>
          <w:color w:val="000000" w:themeColor="text1"/>
          <w:sz w:val="16"/>
          <w:szCs w:val="16"/>
        </w:rPr>
      </w:pPr>
    </w:p>
    <w:p w14:paraId="53A4E6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9249 О вывозе станочного оборудования с механической мастерской "Отто Вальцер" в г. Берлин, санитарно-технического и электроустановочного имущества с трофейных складов 1-го Белорусского фронта на базы НКГБ СССР в Москву. РГАНИР, Фонд ГКО, д. 430, лл. 162-165 (11012).</w:t>
      </w:r>
    </w:p>
    <w:p w14:paraId="783B8488" w14:textId="77777777" w:rsidR="006103B3" w:rsidRPr="00925F26" w:rsidRDefault="006103B3" w:rsidP="00925F26">
      <w:pPr>
        <w:autoSpaceDE w:val="0"/>
        <w:autoSpaceDN w:val="0"/>
        <w:adjustRightInd w:val="0"/>
        <w:jc w:val="both"/>
        <w:rPr>
          <w:color w:val="000000" w:themeColor="text1"/>
          <w:sz w:val="16"/>
          <w:szCs w:val="16"/>
        </w:rPr>
      </w:pPr>
    </w:p>
    <w:p w14:paraId="1E585A5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9250 О вывозе оборудования с немецких предприятий Саксонии на стройки и в лагеря НКВРГАНИР, Фонд ГКО, д. РГАНИР, Фонд ГКО, д. 430, лл. 166-167 (11012).</w:t>
      </w:r>
    </w:p>
    <w:p w14:paraId="3E8E2B59" w14:textId="77777777" w:rsidR="006103B3" w:rsidRPr="00925F26" w:rsidRDefault="006103B3" w:rsidP="00925F26">
      <w:pPr>
        <w:autoSpaceDE w:val="0"/>
        <w:autoSpaceDN w:val="0"/>
        <w:adjustRightInd w:val="0"/>
        <w:jc w:val="both"/>
        <w:rPr>
          <w:color w:val="000000" w:themeColor="text1"/>
          <w:sz w:val="16"/>
          <w:szCs w:val="16"/>
        </w:rPr>
      </w:pPr>
    </w:p>
    <w:p w14:paraId="6F21BF3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9251 О вывозе оборудования с аэродрома Вустров Ростокского округа на базу аэродромного строительства НКВРГАНИР, Фонд ГКО, д. РГАНИР, Фонд ГКО, д. 430, лл. 168 (11012).</w:t>
      </w:r>
    </w:p>
    <w:p w14:paraId="7CB15833" w14:textId="77777777" w:rsidR="006103B3" w:rsidRPr="00925F26" w:rsidRDefault="006103B3" w:rsidP="00925F26">
      <w:pPr>
        <w:autoSpaceDE w:val="0"/>
        <w:autoSpaceDN w:val="0"/>
        <w:adjustRightInd w:val="0"/>
        <w:jc w:val="both"/>
        <w:rPr>
          <w:color w:val="000000" w:themeColor="text1"/>
          <w:sz w:val="16"/>
          <w:szCs w:val="16"/>
        </w:rPr>
      </w:pPr>
    </w:p>
    <w:p w14:paraId="3A9197C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9252 О вывозе с четырех заводов оборудования по производству звукозаписывающей, звукопроизводящей и киноаппаратуры в г. г. Бюкхен (вблизи г. Котбус), Минхендорф (вблизи г. Берлин), Ратенов и Штарков. РГАНИР, Фонд ГКО, д. 430, лл. 169-170 (11012).</w:t>
      </w:r>
    </w:p>
    <w:p w14:paraId="7E78CC36" w14:textId="77777777" w:rsidR="006103B3" w:rsidRPr="00925F26" w:rsidRDefault="006103B3" w:rsidP="00925F26">
      <w:pPr>
        <w:autoSpaceDE w:val="0"/>
        <w:autoSpaceDN w:val="0"/>
        <w:adjustRightInd w:val="0"/>
        <w:jc w:val="both"/>
        <w:rPr>
          <w:color w:val="000000" w:themeColor="text1"/>
          <w:sz w:val="16"/>
          <w:szCs w:val="16"/>
        </w:rPr>
      </w:pPr>
    </w:p>
    <w:p w14:paraId="7B3F3DC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9253 О вывозе полиграфического оборудования из г. г. Берлин, Бельциг, Беелитц и Вена. РГАНИР, Фонд ГКО, д. 430, лл. 171-173 (11012).</w:t>
      </w:r>
    </w:p>
    <w:p w14:paraId="44321FC3" w14:textId="77777777" w:rsidR="006103B3" w:rsidRPr="00925F26" w:rsidRDefault="006103B3" w:rsidP="00925F26">
      <w:pPr>
        <w:autoSpaceDE w:val="0"/>
        <w:autoSpaceDN w:val="0"/>
        <w:adjustRightInd w:val="0"/>
        <w:jc w:val="both"/>
        <w:rPr>
          <w:color w:val="000000" w:themeColor="text1"/>
          <w:sz w:val="16"/>
          <w:szCs w:val="16"/>
        </w:rPr>
      </w:pPr>
    </w:p>
    <w:p w14:paraId="51F94A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9254 О вывозе 30 000 копальных лопат и 15 000 топоров с трофейных складов инженерных войск Красной Армии. РГАНИР, Фонд ГКО, д. 430, лл. 174 (11012).</w:t>
      </w:r>
    </w:p>
    <w:p w14:paraId="63A3D98A" w14:textId="77777777" w:rsidR="006103B3" w:rsidRPr="00925F26" w:rsidRDefault="006103B3" w:rsidP="00925F26">
      <w:pPr>
        <w:autoSpaceDE w:val="0"/>
        <w:autoSpaceDN w:val="0"/>
        <w:adjustRightInd w:val="0"/>
        <w:jc w:val="both"/>
        <w:rPr>
          <w:color w:val="000000" w:themeColor="text1"/>
          <w:sz w:val="16"/>
          <w:szCs w:val="16"/>
        </w:rPr>
      </w:pPr>
    </w:p>
    <w:p w14:paraId="1FDD69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9255 О вывозе лаборатории и станочного оборудования, реактивов и технической библиотеки из разрушенных зданий Высшего технического училища и с трофейных складов в г. Берлин. РГАНИР, Фонд ГКО, д. 430, лл. 175-176 (11012).</w:t>
      </w:r>
    </w:p>
    <w:p w14:paraId="0C16392E" w14:textId="77777777" w:rsidR="006103B3" w:rsidRPr="00925F26" w:rsidRDefault="006103B3" w:rsidP="00925F26">
      <w:pPr>
        <w:autoSpaceDE w:val="0"/>
        <w:autoSpaceDN w:val="0"/>
        <w:adjustRightInd w:val="0"/>
        <w:jc w:val="both"/>
        <w:rPr>
          <w:color w:val="000000" w:themeColor="text1"/>
          <w:sz w:val="16"/>
          <w:szCs w:val="16"/>
        </w:rPr>
      </w:pPr>
    </w:p>
    <w:p w14:paraId="4B9C63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9256 О вывозе художественных ценностей с трофейных складов в г. Дрезден. РГАНИР, Фонд ГКО, д. 430, лл. 177-178 (11012).</w:t>
      </w:r>
    </w:p>
    <w:p w14:paraId="49A85550" w14:textId="77777777" w:rsidR="006103B3" w:rsidRPr="00925F26" w:rsidRDefault="006103B3" w:rsidP="00925F26">
      <w:pPr>
        <w:autoSpaceDE w:val="0"/>
        <w:autoSpaceDN w:val="0"/>
        <w:adjustRightInd w:val="0"/>
        <w:jc w:val="both"/>
        <w:rPr>
          <w:color w:val="000000" w:themeColor="text1"/>
          <w:sz w:val="16"/>
          <w:szCs w:val="16"/>
        </w:rPr>
      </w:pPr>
    </w:p>
    <w:p w14:paraId="59DDAEC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9257 Об укомплектовании оборудованием ремонтно-механических заводов Наркомзема СССР и Наркомсовхозов СССР за счет вывозимого оборудования с немецких предприятий. РГАНИР, Фонд ГКО, д. 430, лл. 179-180 (11012).</w:t>
      </w:r>
    </w:p>
    <w:p w14:paraId="28863A5F" w14:textId="77777777" w:rsidR="006103B3" w:rsidRPr="00925F26" w:rsidRDefault="006103B3" w:rsidP="00925F26">
      <w:pPr>
        <w:autoSpaceDE w:val="0"/>
        <w:autoSpaceDN w:val="0"/>
        <w:adjustRightInd w:val="0"/>
        <w:jc w:val="both"/>
        <w:rPr>
          <w:color w:val="000000" w:themeColor="text1"/>
          <w:sz w:val="16"/>
          <w:szCs w:val="16"/>
        </w:rPr>
      </w:pPr>
    </w:p>
    <w:p w14:paraId="407A05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9258 О восстановлении рыбообрабатывающих и вспомогательных предприятий Наркомрыбпрома СССР за счет вывоза оборудования с немецких заводов. РГАНИР, Фонд ГКО, д. 430, лл. 181-182 (11012).</w:t>
      </w:r>
    </w:p>
    <w:p w14:paraId="24351260" w14:textId="77777777" w:rsidR="006103B3" w:rsidRPr="00925F26" w:rsidRDefault="006103B3" w:rsidP="00925F26">
      <w:pPr>
        <w:autoSpaceDE w:val="0"/>
        <w:autoSpaceDN w:val="0"/>
        <w:adjustRightInd w:val="0"/>
        <w:jc w:val="both"/>
        <w:rPr>
          <w:color w:val="000000" w:themeColor="text1"/>
          <w:sz w:val="16"/>
          <w:szCs w:val="16"/>
        </w:rPr>
      </w:pPr>
    </w:p>
    <w:p w14:paraId="230EC0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9259 О вывозе с трех заводов оборудования по производству медицинских препаратов и таблеточных машин в г. г. Берлин, Хемниц и Вена. РГАНИР, Фонд ГКО, д. 430, лл. 183-184 (11012).</w:t>
      </w:r>
    </w:p>
    <w:p w14:paraId="07F2F747" w14:textId="77777777" w:rsidR="006103B3" w:rsidRPr="00925F26" w:rsidRDefault="006103B3" w:rsidP="00925F26">
      <w:pPr>
        <w:autoSpaceDE w:val="0"/>
        <w:autoSpaceDN w:val="0"/>
        <w:adjustRightInd w:val="0"/>
        <w:jc w:val="both"/>
        <w:rPr>
          <w:color w:val="000000" w:themeColor="text1"/>
          <w:sz w:val="16"/>
          <w:szCs w:val="16"/>
        </w:rPr>
      </w:pPr>
    </w:p>
    <w:p w14:paraId="0F051A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9260 О вывозе с трофейных складов двух локомобилей для шахт Дзун-Булак и Югодзырь МНР, поставляющих уголь 17-й армии. РГАНИР, Фонд ГКО, д. 430, лл. 185 (11012).</w:t>
      </w:r>
    </w:p>
    <w:p w14:paraId="51E823BC" w14:textId="77777777" w:rsidR="006103B3" w:rsidRPr="00925F26" w:rsidRDefault="006103B3" w:rsidP="00925F26">
      <w:pPr>
        <w:autoSpaceDE w:val="0"/>
        <w:autoSpaceDN w:val="0"/>
        <w:adjustRightInd w:val="0"/>
        <w:jc w:val="both"/>
        <w:rPr>
          <w:color w:val="000000" w:themeColor="text1"/>
          <w:sz w:val="16"/>
          <w:szCs w:val="16"/>
        </w:rPr>
      </w:pPr>
    </w:p>
    <w:p w14:paraId="51AFD1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9261 О вывозе оборудования с бензинового завода в г. Берлин. РГАНИР, Фонд ГКО, д. 430, лл. 186 (11012).</w:t>
      </w:r>
    </w:p>
    <w:p w14:paraId="60FFD678" w14:textId="77777777" w:rsidR="006103B3" w:rsidRPr="00925F26" w:rsidRDefault="006103B3" w:rsidP="00925F26">
      <w:pPr>
        <w:autoSpaceDE w:val="0"/>
        <w:autoSpaceDN w:val="0"/>
        <w:adjustRightInd w:val="0"/>
        <w:jc w:val="both"/>
        <w:rPr>
          <w:color w:val="000000" w:themeColor="text1"/>
          <w:sz w:val="16"/>
          <w:szCs w:val="16"/>
        </w:rPr>
      </w:pPr>
    </w:p>
    <w:p w14:paraId="51D392D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9262 О вывозе оборудования с механического завода фирмы "Шварц и К'" в г. Губен (Германия). РГАНИР, Фонд ГКО, д. 430, лл. 187 (11012).</w:t>
      </w:r>
    </w:p>
    <w:p w14:paraId="3CB4DC08" w14:textId="77777777" w:rsidR="006103B3" w:rsidRPr="00925F26" w:rsidRDefault="006103B3" w:rsidP="00925F26">
      <w:pPr>
        <w:autoSpaceDE w:val="0"/>
        <w:autoSpaceDN w:val="0"/>
        <w:adjustRightInd w:val="0"/>
        <w:jc w:val="both"/>
        <w:rPr>
          <w:color w:val="000000" w:themeColor="text1"/>
          <w:sz w:val="16"/>
          <w:szCs w:val="16"/>
        </w:rPr>
      </w:pPr>
    </w:p>
    <w:p w14:paraId="0169F2E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9263 О частичном изменении постановления Государственного Комитета Обороны от 10 мая 1945 г. № 8465сс. РГАНИР, Фонд ГКО, д. 430, лл. 188-189 (11012).</w:t>
      </w:r>
    </w:p>
    <w:p w14:paraId="58985325" w14:textId="77777777" w:rsidR="006103B3" w:rsidRPr="00925F26" w:rsidRDefault="006103B3" w:rsidP="00925F26">
      <w:pPr>
        <w:autoSpaceDE w:val="0"/>
        <w:autoSpaceDN w:val="0"/>
        <w:adjustRightInd w:val="0"/>
        <w:jc w:val="both"/>
        <w:rPr>
          <w:color w:val="000000" w:themeColor="text1"/>
          <w:sz w:val="16"/>
          <w:szCs w:val="16"/>
        </w:rPr>
      </w:pPr>
    </w:p>
    <w:p w14:paraId="66BA9A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9264 О мероприятиях по обеспечению вывоза оборудования с немецких предприятий, расположенных на территории Польши. РГАНИР, Фонд ГКО, д. 430, лл. 190-194 (11012).</w:t>
      </w:r>
    </w:p>
    <w:p w14:paraId="1FC0EAFB" w14:textId="77777777" w:rsidR="006103B3" w:rsidRPr="00925F26" w:rsidRDefault="006103B3" w:rsidP="00925F26">
      <w:pPr>
        <w:autoSpaceDE w:val="0"/>
        <w:autoSpaceDN w:val="0"/>
        <w:adjustRightInd w:val="0"/>
        <w:jc w:val="both"/>
        <w:rPr>
          <w:color w:val="000000" w:themeColor="text1"/>
          <w:sz w:val="16"/>
          <w:szCs w:val="16"/>
        </w:rPr>
      </w:pPr>
    </w:p>
    <w:p w14:paraId="47036910"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9265 О вывозе оборудования с немецких предприятий водным путем. (7352, 195-204).</w:t>
      </w:r>
    </w:p>
    <w:p w14:paraId="68E2686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0CBE5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9266 О вывозе оборудования трех немецких заводов в г. г. Гишберг, Найкирх, Шмидеберк и Гайденау на предприятия Наркомминвооружения. РГАНИР, Фонд ГКО, д. 431, лл. 1-2 (11012).</w:t>
      </w:r>
    </w:p>
    <w:p w14:paraId="393E8D87" w14:textId="77777777" w:rsidR="006103B3" w:rsidRPr="00925F26" w:rsidRDefault="006103B3" w:rsidP="00925F26">
      <w:pPr>
        <w:autoSpaceDE w:val="0"/>
        <w:autoSpaceDN w:val="0"/>
        <w:adjustRightInd w:val="0"/>
        <w:jc w:val="both"/>
        <w:rPr>
          <w:color w:val="000000" w:themeColor="text1"/>
          <w:sz w:val="16"/>
          <w:szCs w:val="16"/>
        </w:rPr>
      </w:pPr>
    </w:p>
    <w:p w14:paraId="2FC855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9267 О вывозе оборудования по производству патронов и снарядов с завода акционерного общества "Фриц Вернер Берлин" в г. Штраусберг. РГАНИР, Фонд ГКО, д. 431, лл. 3-4 (11012).</w:t>
      </w:r>
    </w:p>
    <w:p w14:paraId="3371BC7D" w14:textId="77777777" w:rsidR="006103B3" w:rsidRPr="00925F26" w:rsidRDefault="006103B3" w:rsidP="00925F26">
      <w:pPr>
        <w:autoSpaceDE w:val="0"/>
        <w:autoSpaceDN w:val="0"/>
        <w:adjustRightInd w:val="0"/>
        <w:jc w:val="both"/>
        <w:rPr>
          <w:color w:val="000000" w:themeColor="text1"/>
          <w:sz w:val="16"/>
          <w:szCs w:val="16"/>
        </w:rPr>
      </w:pPr>
    </w:p>
    <w:p w14:paraId="2D58D8E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9268 О вывозе оборудования по производству коллоксилина с немецкого завода фирмы ДАГ в районе г. Одерберг. РГАНИР, Фонд ГКО, д. 431, лл. 5-6 (11012).</w:t>
      </w:r>
    </w:p>
    <w:p w14:paraId="44871447" w14:textId="77777777" w:rsidR="006103B3" w:rsidRPr="00925F26" w:rsidRDefault="006103B3" w:rsidP="00925F26">
      <w:pPr>
        <w:autoSpaceDE w:val="0"/>
        <w:autoSpaceDN w:val="0"/>
        <w:adjustRightInd w:val="0"/>
        <w:jc w:val="both"/>
        <w:rPr>
          <w:color w:val="000000" w:themeColor="text1"/>
          <w:sz w:val="16"/>
          <w:szCs w:val="16"/>
        </w:rPr>
      </w:pPr>
    </w:p>
    <w:p w14:paraId="0D21BE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9269 О вывозе оборудования завода "Гехтер и Кюне" в г. Гайденау для восстановления Сталинградского машиностроительного завода НКПП СССР. РГАНИР, Фонд ГКО, д. 431, лл. 7 (11012).</w:t>
      </w:r>
    </w:p>
    <w:p w14:paraId="628CDB57" w14:textId="77777777" w:rsidR="006103B3" w:rsidRPr="00925F26" w:rsidRDefault="006103B3" w:rsidP="00925F26">
      <w:pPr>
        <w:autoSpaceDE w:val="0"/>
        <w:autoSpaceDN w:val="0"/>
        <w:adjustRightInd w:val="0"/>
        <w:jc w:val="both"/>
        <w:rPr>
          <w:color w:val="000000" w:themeColor="text1"/>
          <w:sz w:val="16"/>
          <w:szCs w:val="16"/>
        </w:rPr>
      </w:pPr>
    </w:p>
    <w:p w14:paraId="50C791F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Постановление ГКО № 9270 О вывозе оборудования немецких заводов для восстановления производства спец. стекла "Триплекс" и технического стекла на предприятиях Наркомстройматериалов СССР. РГАНИР, Фонд ГКО, д. 431, лл. 8-10 (11012).</w:t>
      </w:r>
    </w:p>
    <w:p w14:paraId="13387AA5" w14:textId="77777777" w:rsidR="006103B3" w:rsidRPr="00925F26" w:rsidRDefault="006103B3" w:rsidP="00925F26">
      <w:pPr>
        <w:autoSpaceDE w:val="0"/>
        <w:autoSpaceDN w:val="0"/>
        <w:adjustRightInd w:val="0"/>
        <w:jc w:val="both"/>
        <w:rPr>
          <w:color w:val="000000" w:themeColor="text1"/>
          <w:sz w:val="16"/>
          <w:szCs w:val="16"/>
        </w:rPr>
      </w:pPr>
    </w:p>
    <w:p w14:paraId="78C5B6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вышло Распоряжение ГКО № 9271. О мерах по созданию более эффективных средств борьбы авиации с подводными лодками и надводными кораблями противника. РГАНИР, Фонд ГКО, д. 431, лл. 11-12 (11012).</w:t>
      </w:r>
    </w:p>
    <w:p w14:paraId="53F16D31" w14:textId="77777777" w:rsidR="006103B3" w:rsidRPr="00925F26" w:rsidRDefault="006103B3" w:rsidP="00925F26">
      <w:pPr>
        <w:autoSpaceDE w:val="0"/>
        <w:autoSpaceDN w:val="0"/>
        <w:adjustRightInd w:val="0"/>
        <w:jc w:val="both"/>
        <w:rPr>
          <w:color w:val="000000" w:themeColor="text1"/>
          <w:sz w:val="16"/>
          <w:szCs w:val="16"/>
        </w:rPr>
      </w:pPr>
    </w:p>
    <w:p w14:paraId="6FF6CA3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69B78806" w14:textId="77777777" w:rsidR="006103B3" w:rsidRPr="00925F26" w:rsidRDefault="006103B3" w:rsidP="00925F26">
      <w:pPr>
        <w:autoSpaceDE w:val="0"/>
        <w:autoSpaceDN w:val="0"/>
        <w:adjustRightInd w:val="0"/>
        <w:jc w:val="both"/>
        <w:rPr>
          <w:iCs/>
          <w:color w:val="000000" w:themeColor="text1"/>
          <w:sz w:val="16"/>
          <w:szCs w:val="16"/>
        </w:rPr>
      </w:pPr>
    </w:p>
    <w:p w14:paraId="40EA404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 СССР введено звание генералисимуса СС (3960, 249).</w:t>
      </w:r>
    </w:p>
    <w:p w14:paraId="75B16F95"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312AE60" w14:textId="77777777" w:rsidR="00781BF4" w:rsidRPr="00925F26" w:rsidRDefault="00781BF4" w:rsidP="00925F26">
      <w:pPr>
        <w:jc w:val="both"/>
        <w:rPr>
          <w:color w:val="000000" w:themeColor="text1"/>
          <w:sz w:val="16"/>
          <w:szCs w:val="16"/>
        </w:rPr>
      </w:pPr>
      <w:r w:rsidRPr="00925F26">
        <w:rPr>
          <w:bCs/>
          <w:color w:val="000000" w:themeColor="text1"/>
          <w:sz w:val="16"/>
          <w:szCs w:val="16"/>
        </w:rPr>
        <w:t>26 июня</w:t>
      </w:r>
      <w:r w:rsidRPr="00925F26">
        <w:rPr>
          <w:color w:val="000000" w:themeColor="text1"/>
          <w:sz w:val="16"/>
          <w:szCs w:val="16"/>
        </w:rPr>
        <w:t xml:space="preserve"> в 1945 году в СССР введено звание Генералиссимус Советского Союза. «Генералиссимус» в переводе с латинского - общий, наиглавнейший в армии. В словаре В.И.Даля это слово истолковывается как «главнокомандующий, начальник всей военной силы государства». Впервые звание генералиссимуса было пожаловано французским королем Карлом IX в 1569 году его восемнадцатилетнему брату Анри (впоследствии король Генрих III). В присвоении высшего воинского звания не было единообразия: в одних случаях генералиссимусами становились пожизненно, а в других - только на период той или иной военной кампании. Венецианский полководец Морозини, к примеру, носил титул генералиссимуса четырежды - в 1678, 1681, 1684 и 1694 годах, а эрцгерцог Карл Австрийский - дважды. В русский язык слово «генералиссимус» было привнесено иноземными начальниками во время правления царя Алексея Михайловича при их обращении к Большому воеводе. Впервые в отечественной истории первым русским генералиссимусом стал в 1696 году соратник молодого царя Петра боярин Алексей Семенович Шеин, командовавший всеми войсками во втором Азовском походе. Вторым российским генералиссимусом был ближайший сподвижник Петра I светлейший князь Александр Данилович Меншиков. С его именем связаны многие победы в русско-шведской Северной войне (1700-1721). На поле Полтавской победы (1709) торжествующий Петр произвел своего любимца и соратника в генерал-фельдмаршалы. Однако следующее высшее звание – генералиссимус - А.Д.Меншиков получил </w:t>
      </w:r>
      <w:r w:rsidRPr="00925F26">
        <w:rPr>
          <w:color w:val="000000" w:themeColor="text1"/>
          <w:sz w:val="16"/>
          <w:szCs w:val="16"/>
        </w:rPr>
        <w:lastRenderedPageBreak/>
        <w:t xml:space="preserve">после смерти Петра Великого от его внука императора Петра II. Звание генералиссимуса в России наряду с крупнейшими полководцами имели и члены семей императорской династии. Анна Леопольдовна (мать не царствовавшего императора-младенца Иоанна VI) за время своего короткого правления в ноябре 1740 года присвоила этот чин своему 26-летнему супругу принцу Антону-Ульриху Брауншвейгскому, не имевшему никаких военных заслуг. 28 октября 1799 года генералиссимусом российских сухопутных и морских сил стал великий русский полководец Александр Васильевич Суворов, победоносно завершивший свой легендарный Швейцарский поход (1799). Император Павел I, возводя А.В.Суворова в ранг генералиссимуса, писал: «Ныне, награждая Вас по мере признательности моей и ставя на вышний степень, чести и геройству предоставленный, уверен, что возвожу </w:t>
      </w:r>
      <w:proofErr w:type="gramStart"/>
      <w:r w:rsidRPr="00925F26">
        <w:rPr>
          <w:color w:val="000000" w:themeColor="text1"/>
          <w:sz w:val="16"/>
          <w:szCs w:val="16"/>
        </w:rPr>
        <w:t>на оный знаменитейшего Полководца</w:t>
      </w:r>
      <w:proofErr w:type="gramEnd"/>
      <w:r w:rsidRPr="00925F26">
        <w:rPr>
          <w:color w:val="000000" w:themeColor="text1"/>
          <w:sz w:val="16"/>
          <w:szCs w:val="16"/>
        </w:rPr>
        <w:t xml:space="preserve"> сего и других веков». В СССР воинское звание Генералиссимус Советского Союза было введено после окончания Великой Отечественной войны Указом Президиума Верховного Совета СССР от 26 июня 1945 года, а на следующий день звание генералиссимуса было присвоено И.В.Сталину «за выдающиеся заслуги перед Советской Родиной в деле руководства всеми вооруженными силами государства во время Великой Отечественной войны». Сталин был единственным в СССР генералиссимусом. В ХХ веке в зарубежных странах звание генералиссимуса имели Ф.Франко (Испания), Чан Кайши (Китай) и др. В 1992 году звание генералиссимуса присвоено Ким Ир Сену (КНДР) (14934).</w:t>
      </w:r>
    </w:p>
    <w:p w14:paraId="6EB86D77" w14:textId="77777777" w:rsidR="00781BF4" w:rsidRPr="00925F26" w:rsidRDefault="00781BF4" w:rsidP="00925F26">
      <w:pPr>
        <w:jc w:val="both"/>
        <w:rPr>
          <w:color w:val="000000" w:themeColor="text1"/>
          <w:sz w:val="16"/>
          <w:szCs w:val="16"/>
        </w:rPr>
      </w:pPr>
    </w:p>
    <w:p w14:paraId="344C7135" w14:textId="77777777" w:rsidR="00576B22"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39FC535" w14:textId="77777777" w:rsidR="00576B22" w:rsidRPr="00925F26" w:rsidRDefault="00576B22" w:rsidP="00925F26">
      <w:pPr>
        <w:autoSpaceDE w:val="0"/>
        <w:autoSpaceDN w:val="0"/>
        <w:adjustRightInd w:val="0"/>
        <w:jc w:val="both"/>
        <w:rPr>
          <w:iCs/>
          <w:color w:val="000000" w:themeColor="text1"/>
          <w:sz w:val="16"/>
          <w:szCs w:val="16"/>
        </w:rPr>
      </w:pPr>
    </w:p>
    <w:p w14:paraId="535D82FB" w14:textId="77777777" w:rsidR="00576B22" w:rsidRPr="00925F26" w:rsidRDefault="00576B22" w:rsidP="00925F26">
      <w:pPr>
        <w:pStyle w:val="book"/>
        <w:ind w:firstLine="0"/>
        <w:jc w:val="both"/>
        <w:rPr>
          <w:color w:val="000000" w:themeColor="text1"/>
          <w:sz w:val="16"/>
          <w:szCs w:val="16"/>
        </w:rPr>
      </w:pPr>
      <w:r w:rsidRPr="00925F26">
        <w:rPr>
          <w:color w:val="000000" w:themeColor="text1"/>
          <w:sz w:val="16"/>
          <w:szCs w:val="16"/>
        </w:rPr>
        <w:t>26 июня 1945 г. вышло Постановление ГКО № 9256: «Обязать Комитет по делам искусств при СНК СССР (т. Храпченко) вывезти из базы Комитета в г. Москву для пополнения государственных музеев наиболее ценные художественные произведения живописи, скульптуры и предметы прикладного искусства, а также антикварные музейные ценности в количестве не более 2000 единиц с трофейных складов в г. Дрездене...</w:t>
      </w:r>
    </w:p>
    <w:p w14:paraId="4576B36C" w14:textId="77777777" w:rsidR="00576B22" w:rsidRPr="00925F26" w:rsidRDefault="00576B22" w:rsidP="00925F26">
      <w:pPr>
        <w:pStyle w:val="book"/>
        <w:ind w:firstLine="0"/>
        <w:jc w:val="both"/>
        <w:rPr>
          <w:color w:val="000000" w:themeColor="text1"/>
          <w:sz w:val="16"/>
          <w:szCs w:val="16"/>
        </w:rPr>
      </w:pPr>
      <w:r w:rsidRPr="00925F26">
        <w:rPr>
          <w:color w:val="000000" w:themeColor="text1"/>
          <w:sz w:val="16"/>
          <w:szCs w:val="16"/>
        </w:rPr>
        <w:t>Утвердить руководителем работы по отгрузке художественных ценностей с трофейных складов в г. Дрездене полковника Ротатаева А.С. Тов. Храпченко командировать в распоряжение т. Ротатаева 10 специалистов» (15225).</w:t>
      </w:r>
    </w:p>
    <w:p w14:paraId="75CE00B6" w14:textId="77777777" w:rsidR="00576B22" w:rsidRPr="00925F26" w:rsidRDefault="00576B22" w:rsidP="00925F26">
      <w:pPr>
        <w:pStyle w:val="book"/>
        <w:ind w:firstLine="0"/>
        <w:jc w:val="both"/>
        <w:rPr>
          <w:color w:val="000000" w:themeColor="text1"/>
          <w:sz w:val="16"/>
          <w:szCs w:val="16"/>
        </w:rPr>
      </w:pPr>
    </w:p>
    <w:p w14:paraId="7AFE351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5476749" w14:textId="77777777" w:rsidR="006103B3" w:rsidRPr="00925F26" w:rsidRDefault="006103B3" w:rsidP="00925F26">
      <w:pPr>
        <w:autoSpaceDE w:val="0"/>
        <w:autoSpaceDN w:val="0"/>
        <w:adjustRightInd w:val="0"/>
        <w:jc w:val="both"/>
        <w:rPr>
          <w:iCs/>
          <w:color w:val="000000" w:themeColor="text1"/>
          <w:sz w:val="16"/>
          <w:szCs w:val="16"/>
        </w:rPr>
      </w:pPr>
    </w:p>
    <w:p w14:paraId="1F520A5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26 июня 1945 в Сан-Франциско представители 50 государств подписали Устав ООН (4962).</w:t>
      </w:r>
    </w:p>
    <w:p w14:paraId="2963E65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887F0DD"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June 26 1945 United Nations World Charter of Security signed in San Francisco (1050).</w:t>
      </w:r>
    </w:p>
    <w:p w14:paraId="12305203" w14:textId="77777777" w:rsidR="006103B3" w:rsidRPr="00925F26" w:rsidRDefault="006103B3" w:rsidP="00925F26">
      <w:pPr>
        <w:autoSpaceDE w:val="0"/>
        <w:autoSpaceDN w:val="0"/>
        <w:adjustRightInd w:val="0"/>
        <w:jc w:val="both"/>
        <w:rPr>
          <w:color w:val="000000" w:themeColor="text1"/>
          <w:sz w:val="16"/>
          <w:szCs w:val="16"/>
          <w:lang w:val="en-US"/>
        </w:rPr>
      </w:pPr>
    </w:p>
    <w:p w14:paraId="62C6FD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 Сан Франциско 50 странами была подписана хартия безопасности ООН (1050), формально учредив ООН (2248,8).</w:t>
      </w:r>
    </w:p>
    <w:p w14:paraId="06EAA6A0" w14:textId="77777777" w:rsidR="006103B3" w:rsidRPr="00925F26" w:rsidRDefault="006103B3" w:rsidP="00925F26">
      <w:pPr>
        <w:autoSpaceDE w:val="0"/>
        <w:autoSpaceDN w:val="0"/>
        <w:adjustRightInd w:val="0"/>
        <w:jc w:val="both"/>
        <w:rPr>
          <w:color w:val="000000" w:themeColor="text1"/>
          <w:sz w:val="16"/>
          <w:szCs w:val="16"/>
        </w:rPr>
      </w:pPr>
    </w:p>
    <w:p w14:paraId="7306F95A" w14:textId="77777777" w:rsidR="00576B22" w:rsidRPr="00925F26" w:rsidRDefault="00576B22" w:rsidP="00925F26">
      <w:pPr>
        <w:jc w:val="both"/>
        <w:rPr>
          <w:color w:val="000000" w:themeColor="text1"/>
          <w:sz w:val="16"/>
          <w:szCs w:val="16"/>
        </w:rPr>
      </w:pPr>
      <w:r w:rsidRPr="00925F26">
        <w:rPr>
          <w:bCs/>
          <w:color w:val="000000" w:themeColor="text1"/>
          <w:sz w:val="16"/>
          <w:szCs w:val="16"/>
        </w:rPr>
        <w:t>26 июня</w:t>
      </w:r>
      <w:r w:rsidRPr="00925F26">
        <w:rPr>
          <w:color w:val="000000" w:themeColor="text1"/>
          <w:sz w:val="16"/>
          <w:szCs w:val="16"/>
        </w:rPr>
        <w:t xml:space="preserve"> в 1945 году в Сан-Франциско представителями пятидесяти государств подписывается Устав ООН, который вступит в силу с 24 октября (14934).</w:t>
      </w:r>
    </w:p>
    <w:p w14:paraId="6D98D87F" w14:textId="77777777" w:rsidR="00576B22" w:rsidRPr="00925F26" w:rsidRDefault="00576B22" w:rsidP="00925F26">
      <w:pPr>
        <w:jc w:val="both"/>
        <w:rPr>
          <w:color w:val="000000" w:themeColor="text1"/>
          <w:sz w:val="16"/>
          <w:szCs w:val="16"/>
        </w:rPr>
      </w:pPr>
    </w:p>
    <w:p w14:paraId="1BB66212" w14:textId="77777777" w:rsidR="00576B22" w:rsidRPr="00925F26" w:rsidRDefault="00576B22" w:rsidP="00925F26">
      <w:pPr>
        <w:jc w:val="both"/>
        <w:rPr>
          <w:color w:val="000000" w:themeColor="text1"/>
          <w:sz w:val="16"/>
          <w:szCs w:val="16"/>
        </w:rPr>
      </w:pPr>
      <w:r w:rsidRPr="00925F26">
        <w:rPr>
          <w:bCs/>
          <w:color w:val="000000" w:themeColor="text1"/>
          <w:sz w:val="16"/>
          <w:szCs w:val="16"/>
        </w:rPr>
        <w:t>26 июня</w:t>
      </w:r>
      <w:r w:rsidRPr="00925F26">
        <w:rPr>
          <w:color w:val="000000" w:themeColor="text1"/>
          <w:sz w:val="16"/>
          <w:szCs w:val="16"/>
        </w:rPr>
        <w:t xml:space="preserve"> в 1945 году президент США Г.Трумэн, выступая на конференции в Сан-Франциско, заявил: «Фашизм целиком не исчез. Легче убрать тиранов и уничтожить концентрационные лагеря, чему убить идеи, которые привели к их возникновению и дали им силу» (14934).</w:t>
      </w:r>
    </w:p>
    <w:p w14:paraId="3EDD0F9A" w14:textId="77777777" w:rsidR="00576B22" w:rsidRPr="00925F26" w:rsidRDefault="00576B22" w:rsidP="00925F26">
      <w:pPr>
        <w:jc w:val="both"/>
        <w:rPr>
          <w:color w:val="000000" w:themeColor="text1"/>
          <w:sz w:val="16"/>
          <w:szCs w:val="16"/>
        </w:rPr>
      </w:pPr>
    </w:p>
    <w:p w14:paraId="41AC503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A8E8D47" w14:textId="77777777" w:rsidR="006103B3" w:rsidRPr="00925F26" w:rsidRDefault="006103B3" w:rsidP="00925F26">
      <w:pPr>
        <w:autoSpaceDE w:val="0"/>
        <w:autoSpaceDN w:val="0"/>
        <w:adjustRightInd w:val="0"/>
        <w:jc w:val="both"/>
        <w:rPr>
          <w:iCs/>
          <w:color w:val="000000" w:themeColor="text1"/>
          <w:sz w:val="16"/>
          <w:szCs w:val="16"/>
        </w:rPr>
      </w:pPr>
    </w:p>
    <w:p w14:paraId="0BD181BF" w14:textId="77777777" w:rsidR="0044284D" w:rsidRPr="00925F26" w:rsidRDefault="0044284D" w:rsidP="00925F26">
      <w:pPr>
        <w:jc w:val="both"/>
        <w:rPr>
          <w:color w:val="000000" w:themeColor="text1"/>
          <w:sz w:val="16"/>
          <w:szCs w:val="16"/>
        </w:rPr>
      </w:pPr>
      <w:r w:rsidRPr="00925F26">
        <w:rPr>
          <w:color w:val="000000" w:themeColor="text1"/>
          <w:sz w:val="16"/>
          <w:szCs w:val="16"/>
        </w:rPr>
        <w:t>26 июня 1945 г. впервые взлетел первый опытный ХР-82 Твин Мустанг. Первый опытный ХР-82 был передан на наземную отработку систем 15 мая 1945, а 25 мая 1945 г. летчик-испытатель Бартон попытался взлететь на нем с заводского аэродрома Майнз Филд. Хотя длины полосы 1372 м по расчетам хватало, он так и не смог оторваться. После многих неудачных попыток в субботу 12 июня летчики Бартон и Верджин смогли с частичной заправкой совершить подлет на 15 м. Проблема оказалась в том, что струи левого и правого воздушных винтов, направление вращения которых было выбрано из условия полета с одним отказавшим двигателем, «сходились» над центропланом, повышая давление над ним и снижая подъемную силу. Двигатели поменяли местами — и в таком виде самолет состоялся первый полет.</w:t>
      </w:r>
    </w:p>
    <w:p w14:paraId="7F6B3135" w14:textId="77777777" w:rsidR="0044284D" w:rsidRPr="00925F26" w:rsidRDefault="0044284D" w:rsidP="00925F26">
      <w:pPr>
        <w:jc w:val="both"/>
        <w:rPr>
          <w:color w:val="000000" w:themeColor="text1"/>
          <w:sz w:val="16"/>
          <w:szCs w:val="16"/>
        </w:rPr>
      </w:pPr>
      <w:r w:rsidRPr="00925F26">
        <w:rPr>
          <w:color w:val="000000" w:themeColor="text1"/>
          <w:sz w:val="16"/>
          <w:szCs w:val="16"/>
        </w:rPr>
        <w:t>Моторы V-1650-23/25 мощностью по 1810 л.с. на высоте 6950 м разгоняли ХР-82 до 753 км/ч, тогда как лучшие советские истребители Як-3 послевоенного выпуска имели скорость лишь 706 км/ч на границе высотности 5100 м. Вскоре был облетан второй ХР-82, а 30 августа 1945 г. к полетам на первой машине приступили военные. Спешили очень, но не успели — через три дня война с Японией закончилась (23019).</w:t>
      </w:r>
    </w:p>
    <w:p w14:paraId="4E4BC0A1" w14:textId="77777777" w:rsidR="0044284D" w:rsidRPr="00925F26" w:rsidRDefault="0044284D" w:rsidP="00925F26">
      <w:pPr>
        <w:jc w:val="both"/>
        <w:rPr>
          <w:color w:val="000000" w:themeColor="text1"/>
          <w:sz w:val="16"/>
          <w:szCs w:val="16"/>
        </w:rPr>
      </w:pPr>
    </w:p>
    <w:p w14:paraId="19CE85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 Берлине создан ХДС (3960, 249).</w:t>
      </w:r>
    </w:p>
    <w:p w14:paraId="22F1EAB7" w14:textId="77777777" w:rsidR="006103B3" w:rsidRPr="00925F26" w:rsidRDefault="006103B3" w:rsidP="00925F26">
      <w:pPr>
        <w:autoSpaceDE w:val="0"/>
        <w:autoSpaceDN w:val="0"/>
        <w:adjustRightInd w:val="0"/>
        <w:jc w:val="both"/>
        <w:rPr>
          <w:color w:val="000000" w:themeColor="text1"/>
          <w:sz w:val="16"/>
          <w:szCs w:val="16"/>
        </w:rPr>
      </w:pPr>
    </w:p>
    <w:p w14:paraId="35C64540" w14:textId="77777777" w:rsidR="00576B22" w:rsidRPr="00925F26" w:rsidRDefault="00576B22" w:rsidP="00925F26">
      <w:pPr>
        <w:jc w:val="both"/>
        <w:rPr>
          <w:color w:val="000000" w:themeColor="text1"/>
          <w:sz w:val="16"/>
          <w:szCs w:val="16"/>
        </w:rPr>
      </w:pPr>
      <w:r w:rsidRPr="00925F26">
        <w:rPr>
          <w:bCs/>
          <w:color w:val="000000" w:themeColor="text1"/>
          <w:sz w:val="16"/>
          <w:szCs w:val="16"/>
        </w:rPr>
        <w:t>26 июня</w:t>
      </w:r>
      <w:r w:rsidRPr="00925F26">
        <w:rPr>
          <w:color w:val="000000" w:themeColor="text1"/>
          <w:sz w:val="16"/>
          <w:szCs w:val="16"/>
        </w:rPr>
        <w:t xml:space="preserve"> в 1945 году в Берлине основан Христианско-демократический союз (ХДС) – одна из ведущих политических партий Германии. Организационно сформировался в 1950 г (14934).</w:t>
      </w:r>
    </w:p>
    <w:p w14:paraId="125B68C4" w14:textId="77777777" w:rsidR="00576B22" w:rsidRPr="00925F26" w:rsidRDefault="00576B22" w:rsidP="00925F26">
      <w:pPr>
        <w:jc w:val="both"/>
        <w:rPr>
          <w:color w:val="000000" w:themeColor="text1"/>
          <w:sz w:val="16"/>
          <w:szCs w:val="16"/>
        </w:rPr>
      </w:pPr>
    </w:p>
    <w:p w14:paraId="57CEE9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Правительства США, Англии и Китая предложили Японии прекратить сопротивление, но японцы отказались (1074,359).</w:t>
      </w:r>
    </w:p>
    <w:p w14:paraId="37E9DC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американцам это было 29 июля</w:t>
      </w:r>
    </w:p>
    <w:p w14:paraId="21CBD984" w14:textId="77777777" w:rsidR="006103B3" w:rsidRPr="00925F26" w:rsidRDefault="006103B3" w:rsidP="00925F26">
      <w:pPr>
        <w:autoSpaceDE w:val="0"/>
        <w:autoSpaceDN w:val="0"/>
        <w:adjustRightInd w:val="0"/>
        <w:jc w:val="both"/>
        <w:rPr>
          <w:color w:val="000000" w:themeColor="text1"/>
          <w:sz w:val="16"/>
          <w:szCs w:val="16"/>
        </w:rPr>
      </w:pPr>
    </w:p>
    <w:p w14:paraId="246469C2"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rPr>
        <w:t xml:space="preserve">June 26, 1945. </w:t>
      </w:r>
      <w:r w:rsidRPr="00925F26">
        <w:rPr>
          <w:color w:val="000000" w:themeColor="text1"/>
          <w:sz w:val="16"/>
          <w:szCs w:val="16"/>
          <w:lang w:val="en-US"/>
        </w:rPr>
        <w:t>B-29 crews begin nighttime raids on Japanese oil refineries (1089).</w:t>
      </w:r>
    </w:p>
    <w:p w14:paraId="3B39F1EC" w14:textId="77777777" w:rsidR="006103B3" w:rsidRPr="00925F26" w:rsidRDefault="006103B3" w:rsidP="00925F26">
      <w:pPr>
        <w:autoSpaceDE w:val="0"/>
        <w:autoSpaceDN w:val="0"/>
        <w:adjustRightInd w:val="0"/>
        <w:jc w:val="both"/>
        <w:rPr>
          <w:color w:val="000000" w:themeColor="text1"/>
          <w:sz w:val="16"/>
          <w:szCs w:val="16"/>
          <w:lang w:val="en-US"/>
        </w:rPr>
      </w:pPr>
    </w:p>
    <w:p w14:paraId="3902B8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 июня 1945 В-29 начали ночные налеты на японские НПЗ (1089).</w:t>
      </w:r>
    </w:p>
    <w:p w14:paraId="3864A249" w14:textId="77777777" w:rsidR="006103B3" w:rsidRPr="00925F26" w:rsidRDefault="006103B3" w:rsidP="00925F26">
      <w:pPr>
        <w:autoSpaceDE w:val="0"/>
        <w:autoSpaceDN w:val="0"/>
        <w:adjustRightInd w:val="0"/>
        <w:jc w:val="both"/>
        <w:rPr>
          <w:color w:val="000000" w:themeColor="text1"/>
          <w:sz w:val="16"/>
          <w:szCs w:val="16"/>
        </w:rPr>
      </w:pPr>
    </w:p>
    <w:p w14:paraId="18FB3A4E" w14:textId="77777777" w:rsidR="00F23D44" w:rsidRPr="00925F26" w:rsidRDefault="00F23D44" w:rsidP="00925F26">
      <w:pPr>
        <w:jc w:val="both"/>
        <w:rPr>
          <w:color w:val="000000" w:themeColor="text1"/>
          <w:sz w:val="16"/>
          <w:szCs w:val="16"/>
        </w:rPr>
      </w:pPr>
      <w:r w:rsidRPr="00925F26">
        <w:rPr>
          <w:color w:val="000000" w:themeColor="text1"/>
          <w:sz w:val="16"/>
          <w:szCs w:val="16"/>
        </w:rPr>
        <w:t>26 июня 1945 468 самолетов B-29 сбросили 3058 тонн (2774199 кг) бомб на Осаку и другие города Японии (20371).</w:t>
      </w:r>
    </w:p>
    <w:p w14:paraId="78F876DC" w14:textId="77777777" w:rsidR="00F23D44" w:rsidRPr="00925F26" w:rsidRDefault="00F23D44" w:rsidP="00925F26">
      <w:pPr>
        <w:jc w:val="both"/>
        <w:rPr>
          <w:color w:val="000000" w:themeColor="text1"/>
          <w:sz w:val="16"/>
          <w:szCs w:val="16"/>
        </w:rPr>
      </w:pPr>
    </w:p>
    <w:p w14:paraId="07B2953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9138937" w14:textId="77777777" w:rsidR="006103B3" w:rsidRPr="00925F26" w:rsidRDefault="006103B3" w:rsidP="00925F26">
      <w:pPr>
        <w:autoSpaceDE w:val="0"/>
        <w:autoSpaceDN w:val="0"/>
        <w:adjustRightInd w:val="0"/>
        <w:jc w:val="both"/>
        <w:rPr>
          <w:iCs/>
          <w:color w:val="000000" w:themeColor="text1"/>
          <w:sz w:val="16"/>
          <w:szCs w:val="16"/>
        </w:rPr>
      </w:pPr>
    </w:p>
    <w:p w14:paraId="2D83F732" w14:textId="77777777" w:rsidR="005F32F4" w:rsidRPr="00925F26" w:rsidRDefault="005F32F4" w:rsidP="00925F26">
      <w:pPr>
        <w:jc w:val="both"/>
        <w:rPr>
          <w:color w:val="000000" w:themeColor="text1"/>
          <w:sz w:val="16"/>
          <w:szCs w:val="16"/>
        </w:rPr>
      </w:pPr>
      <w:r w:rsidRPr="00925F26">
        <w:rPr>
          <w:color w:val="000000" w:themeColor="text1"/>
          <w:sz w:val="16"/>
          <w:szCs w:val="16"/>
        </w:rPr>
        <w:t>27 июня 1945 в адрес заместителя начальника ГК НИИ ВВС генерал-лейтенанта П.А. Лосюкова ушло письмо за подписью ди</w:t>
      </w:r>
      <w:r w:rsidRPr="00925F26">
        <w:rPr>
          <w:color w:val="000000" w:themeColor="text1"/>
          <w:sz w:val="16"/>
          <w:szCs w:val="16"/>
        </w:rPr>
        <w:softHyphen/>
        <w:t>ректора завод №207 В.И. Засульского, глав</w:t>
      </w:r>
      <w:r w:rsidRPr="00925F26">
        <w:rPr>
          <w:color w:val="000000" w:themeColor="text1"/>
          <w:sz w:val="16"/>
          <w:szCs w:val="16"/>
        </w:rPr>
        <w:softHyphen/>
        <w:t>ного металлурга завода В. И Маханева и заме</w:t>
      </w:r>
      <w:r w:rsidRPr="00925F26">
        <w:rPr>
          <w:color w:val="000000" w:themeColor="text1"/>
          <w:sz w:val="16"/>
          <w:szCs w:val="16"/>
        </w:rPr>
        <w:softHyphen/>
        <w:t>стителя начальника броне-лаборатории ВИАМ Н.М. Склярова. До сведения Лосюкова дово</w:t>
      </w:r>
      <w:r w:rsidRPr="00925F26">
        <w:rPr>
          <w:color w:val="000000" w:themeColor="text1"/>
          <w:sz w:val="16"/>
          <w:szCs w:val="16"/>
        </w:rPr>
        <w:softHyphen/>
        <w:t>дилось,</w:t>
      </w:r>
      <w:r w:rsidRPr="00925F26">
        <w:rPr>
          <w:rStyle w:val="aff6"/>
          <w:rFonts w:ascii="Times New Roman" w:hAnsi="Times New Roman" w:cs="Times New Roman"/>
          <w:i w:val="0"/>
          <w:color w:val="000000" w:themeColor="text1"/>
        </w:rPr>
        <w:t xml:space="preserve"> «что заводом №207 с августа 1944 г. и по настоящее время бронедетали толщиной 15 и 8 мм изготавливаются только из стали АБ-2».</w:t>
      </w:r>
      <w:r w:rsidRPr="00925F26">
        <w:rPr>
          <w:color w:val="000000" w:themeColor="text1"/>
          <w:sz w:val="16"/>
          <w:szCs w:val="16"/>
        </w:rPr>
        <w:t xml:space="preserve"> Всего за это время изготовили 1885 комплектов (13195 деталей) бронедеталей толщиной 8 мм для самолетов Ил-10 и 150 комплектов (450 деталей) бронедеталей тол</w:t>
      </w:r>
      <w:r w:rsidRPr="00925F26">
        <w:rPr>
          <w:color w:val="000000" w:themeColor="text1"/>
          <w:sz w:val="16"/>
          <w:szCs w:val="16"/>
        </w:rPr>
        <w:softHyphen/>
        <w:t>щиной 15 мм для Ту-2. Еще 75 комплектов бро</w:t>
      </w:r>
      <w:r w:rsidRPr="00925F26">
        <w:rPr>
          <w:color w:val="000000" w:themeColor="text1"/>
          <w:sz w:val="16"/>
          <w:szCs w:val="16"/>
        </w:rPr>
        <w:softHyphen/>
        <w:t>ни (225 деталей) для Ту-2 завод изготовил, но они не прошли военную приемку.</w:t>
      </w:r>
    </w:p>
    <w:p w14:paraId="3AAF0870"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eastAsia="Calibri" w:hAnsi="Times New Roman" w:cs="Times New Roman"/>
          <w:i w:val="0"/>
          <w:color w:val="000000" w:themeColor="text1"/>
          <w:sz w:val="16"/>
          <w:szCs w:val="16"/>
        </w:rPr>
        <w:t>Отмечалось:</w:t>
      </w:r>
      <w:r w:rsidRPr="00925F26">
        <w:rPr>
          <w:rFonts w:ascii="Times New Roman" w:cs="Times New Roman"/>
          <w:color w:val="000000" w:themeColor="text1"/>
          <w:sz w:val="16"/>
          <w:szCs w:val="16"/>
        </w:rPr>
        <w:t xml:space="preserve"> «За это время никаких пока</w:t>
      </w:r>
      <w:r w:rsidRPr="00925F26">
        <w:rPr>
          <w:rFonts w:ascii="Times New Roman" w:cs="Times New Roman"/>
          <w:color w:val="000000" w:themeColor="text1"/>
          <w:sz w:val="16"/>
          <w:szCs w:val="16"/>
        </w:rPr>
        <w:softHyphen/>
        <w:t>зателей как технологических, так и полигон</w:t>
      </w:r>
      <w:r w:rsidRPr="00925F26">
        <w:rPr>
          <w:rFonts w:ascii="Times New Roman" w:cs="Times New Roman"/>
          <w:color w:val="000000" w:themeColor="text1"/>
          <w:sz w:val="16"/>
          <w:szCs w:val="16"/>
        </w:rPr>
        <w:softHyphen/>
        <w:t>ных, сколько-нибудь достаточных для требова</w:t>
      </w:r>
      <w:r w:rsidRPr="00925F26">
        <w:rPr>
          <w:rFonts w:ascii="Times New Roman" w:cs="Times New Roman"/>
          <w:color w:val="000000" w:themeColor="text1"/>
          <w:sz w:val="16"/>
          <w:szCs w:val="16"/>
        </w:rPr>
        <w:softHyphen/>
        <w:t>ния перехода на другую марку стали, обнару</w:t>
      </w:r>
      <w:r w:rsidRPr="00925F26">
        <w:rPr>
          <w:rFonts w:ascii="Times New Roman" w:cs="Times New Roman"/>
          <w:color w:val="000000" w:themeColor="text1"/>
          <w:sz w:val="16"/>
          <w:szCs w:val="16"/>
        </w:rPr>
        <w:softHyphen/>
        <w:t>жено не было. Процент технологического бра</w:t>
      </w:r>
      <w:r w:rsidRPr="00925F26">
        <w:rPr>
          <w:rFonts w:ascii="Times New Roman" w:cs="Times New Roman"/>
          <w:color w:val="000000" w:themeColor="text1"/>
          <w:sz w:val="16"/>
          <w:szCs w:val="16"/>
        </w:rPr>
        <w:softHyphen/>
        <w:t>ка составил менее 1%».</w:t>
      </w:r>
      <w:r w:rsidRPr="00925F26">
        <w:rPr>
          <w:rStyle w:val="4e"/>
          <w:rFonts w:ascii="Times New Roman" w:eastAsia="Calibri" w:hAnsi="Times New Roman" w:cs="Times New Roman"/>
          <w:i w:val="0"/>
          <w:color w:val="000000" w:themeColor="text1"/>
          <w:sz w:val="16"/>
          <w:szCs w:val="16"/>
        </w:rPr>
        <w:t xml:space="preserve"> Других видов брака (хрупких разрушений и пр.) также не имелось.</w:t>
      </w:r>
    </w:p>
    <w:p w14:paraId="67E39145" w14:textId="77777777" w:rsidR="005F32F4" w:rsidRPr="00925F26" w:rsidRDefault="005F32F4" w:rsidP="00925F26">
      <w:pPr>
        <w:jc w:val="both"/>
        <w:rPr>
          <w:color w:val="000000" w:themeColor="text1"/>
          <w:sz w:val="16"/>
          <w:szCs w:val="16"/>
        </w:rPr>
      </w:pPr>
      <w:r w:rsidRPr="00925F26">
        <w:rPr>
          <w:color w:val="000000" w:themeColor="text1"/>
          <w:sz w:val="16"/>
          <w:szCs w:val="16"/>
        </w:rPr>
        <w:t>По мнению специалистов завода №207 и ВИАМ, никаких оснований для замены стали КП-2 сталью марки ХД из опыта производст</w:t>
      </w:r>
      <w:r w:rsidRPr="00925F26">
        <w:rPr>
          <w:color w:val="000000" w:themeColor="text1"/>
          <w:sz w:val="16"/>
          <w:szCs w:val="16"/>
        </w:rPr>
        <w:softHyphen/>
        <w:t>ва деталей толщиной 8 и 15 мм</w:t>
      </w:r>
      <w:r w:rsidRPr="00925F26">
        <w:rPr>
          <w:rStyle w:val="8pt0pt"/>
          <w:rFonts w:ascii="Times New Roman" w:hAnsi="Times New Roman" w:cs="Times New Roman"/>
          <w:color w:val="000000" w:themeColor="text1"/>
          <w:spacing w:val="0"/>
        </w:rPr>
        <w:t xml:space="preserve"> не имелось. </w:t>
      </w:r>
      <w:r w:rsidRPr="00925F26">
        <w:rPr>
          <w:color w:val="000000" w:themeColor="text1"/>
          <w:sz w:val="16"/>
          <w:szCs w:val="16"/>
        </w:rPr>
        <w:t>Внимание Лосюкова обращалось</w:t>
      </w:r>
      <w:r w:rsidRPr="00925F26">
        <w:rPr>
          <w:rStyle w:val="8pt0pt"/>
          <w:rFonts w:ascii="Times New Roman" w:hAnsi="Times New Roman" w:cs="Times New Roman"/>
          <w:color w:val="000000" w:themeColor="text1"/>
          <w:spacing w:val="0"/>
        </w:rPr>
        <w:t xml:space="preserve"> на меньшую </w:t>
      </w:r>
      <w:r w:rsidRPr="00925F26">
        <w:rPr>
          <w:color w:val="000000" w:themeColor="text1"/>
          <w:sz w:val="16"/>
          <w:szCs w:val="16"/>
        </w:rPr>
        <w:t>твердость стали ХД по сравнению</w:t>
      </w:r>
      <w:r w:rsidRPr="00925F26">
        <w:rPr>
          <w:rStyle w:val="8pt0pt"/>
          <w:rFonts w:ascii="Times New Roman" w:hAnsi="Times New Roman" w:cs="Times New Roman"/>
          <w:color w:val="000000" w:themeColor="text1"/>
          <w:spacing w:val="0"/>
        </w:rPr>
        <w:t xml:space="preserve"> со сталью </w:t>
      </w:r>
      <w:r w:rsidRPr="00925F26">
        <w:rPr>
          <w:color w:val="000000" w:themeColor="text1"/>
          <w:sz w:val="16"/>
          <w:szCs w:val="16"/>
        </w:rPr>
        <w:t>КП-2, а следовательно, -</w:t>
      </w:r>
      <w:r w:rsidRPr="00925F26">
        <w:rPr>
          <w:rStyle w:val="8pt0pt"/>
          <w:rFonts w:ascii="Times New Roman" w:hAnsi="Times New Roman" w:cs="Times New Roman"/>
          <w:color w:val="000000" w:themeColor="text1"/>
          <w:spacing w:val="0"/>
        </w:rPr>
        <w:t xml:space="preserve"> и</w:t>
      </w:r>
      <w:r w:rsidRPr="00925F26">
        <w:rPr>
          <w:color w:val="000000" w:themeColor="text1"/>
          <w:sz w:val="16"/>
          <w:szCs w:val="16"/>
        </w:rPr>
        <w:t xml:space="preserve"> пулестойкостъ.</w:t>
      </w:r>
    </w:p>
    <w:p w14:paraId="2048E314" w14:textId="77777777" w:rsidR="005F32F4" w:rsidRPr="00925F26" w:rsidRDefault="005F32F4" w:rsidP="00925F26">
      <w:pPr>
        <w:jc w:val="both"/>
        <w:rPr>
          <w:color w:val="000000" w:themeColor="text1"/>
          <w:sz w:val="16"/>
          <w:szCs w:val="16"/>
        </w:rPr>
      </w:pPr>
      <w:r w:rsidRPr="00925F26">
        <w:rPr>
          <w:color w:val="000000" w:themeColor="text1"/>
          <w:sz w:val="16"/>
          <w:szCs w:val="16"/>
        </w:rPr>
        <w:t>В период с 25 июня по</w:t>
      </w:r>
      <w:r w:rsidRPr="00925F26">
        <w:rPr>
          <w:rStyle w:val="8pt0pt"/>
          <w:rFonts w:ascii="Times New Roman" w:hAnsi="Times New Roman" w:cs="Times New Roman"/>
          <w:color w:val="000000" w:themeColor="text1"/>
          <w:spacing w:val="0"/>
        </w:rPr>
        <w:t xml:space="preserve"> 8 июля на заводе </w:t>
      </w:r>
      <w:r w:rsidRPr="00925F26">
        <w:rPr>
          <w:color w:val="000000" w:themeColor="text1"/>
          <w:sz w:val="16"/>
          <w:szCs w:val="16"/>
        </w:rPr>
        <w:t>№207 НКАП провели сравнительные</w:t>
      </w:r>
      <w:r w:rsidRPr="00925F26">
        <w:rPr>
          <w:rStyle w:val="8pt0pt"/>
          <w:rFonts w:ascii="Times New Roman" w:hAnsi="Times New Roman" w:cs="Times New Roman"/>
          <w:color w:val="000000" w:themeColor="text1"/>
          <w:spacing w:val="0"/>
        </w:rPr>
        <w:t xml:space="preserve"> полигон</w:t>
      </w:r>
      <w:r w:rsidRPr="00925F26">
        <w:rPr>
          <w:rStyle w:val="8pt0pt"/>
          <w:rFonts w:ascii="Times New Roman" w:hAnsi="Times New Roman" w:cs="Times New Roman"/>
          <w:color w:val="000000" w:themeColor="text1"/>
          <w:spacing w:val="0"/>
        </w:rPr>
        <w:softHyphen/>
      </w:r>
      <w:r w:rsidRPr="00925F26">
        <w:rPr>
          <w:color w:val="000000" w:themeColor="text1"/>
          <w:sz w:val="16"/>
          <w:szCs w:val="16"/>
        </w:rPr>
        <w:t>ные испытания опытно-валовых</w:t>
      </w:r>
      <w:r w:rsidRPr="00925F26">
        <w:rPr>
          <w:rStyle w:val="8pt0pt"/>
          <w:rFonts w:ascii="Times New Roman" w:hAnsi="Times New Roman" w:cs="Times New Roman"/>
          <w:color w:val="000000" w:themeColor="text1"/>
          <w:spacing w:val="0"/>
        </w:rPr>
        <w:t xml:space="preserve"> плавок стали </w:t>
      </w:r>
      <w:r w:rsidRPr="00925F26">
        <w:rPr>
          <w:color w:val="000000" w:themeColor="text1"/>
          <w:sz w:val="16"/>
          <w:szCs w:val="16"/>
        </w:rPr>
        <w:t>АБ-3 и серийных плавок стали АБ</w:t>
      </w:r>
      <w:r w:rsidRPr="00925F26">
        <w:rPr>
          <w:rStyle w:val="8pt0pt"/>
          <w:rFonts w:ascii="Times New Roman" w:hAnsi="Times New Roman" w:cs="Times New Roman"/>
          <w:color w:val="000000" w:themeColor="text1"/>
          <w:spacing w:val="0"/>
        </w:rPr>
        <w:t xml:space="preserve">-3 и ХД. Они </w:t>
      </w:r>
      <w:r w:rsidRPr="00925F26">
        <w:rPr>
          <w:color w:val="000000" w:themeColor="text1"/>
          <w:sz w:val="16"/>
          <w:szCs w:val="16"/>
        </w:rPr>
        <w:t>проводились</w:t>
      </w:r>
      <w:r w:rsidRPr="00925F26">
        <w:rPr>
          <w:rStyle w:val="aff6"/>
          <w:rFonts w:ascii="Times New Roman" w:hAnsi="Times New Roman" w:cs="Times New Roman"/>
          <w:i w:val="0"/>
          <w:color w:val="000000" w:themeColor="text1"/>
        </w:rPr>
        <w:t xml:space="preserve"> «на картах, вырезанных</w:t>
      </w:r>
      <w:r w:rsidRPr="00925F26">
        <w:rPr>
          <w:rStyle w:val="8pt0pt0"/>
          <w:rFonts w:ascii="Times New Roman" w:hAnsi="Times New Roman" w:cs="Times New Roman"/>
          <w:i w:val="0"/>
          <w:color w:val="000000" w:themeColor="text1"/>
          <w:spacing w:val="0"/>
        </w:rPr>
        <w:t xml:space="preserve"> из раз</w:t>
      </w:r>
      <w:r w:rsidRPr="00925F26">
        <w:rPr>
          <w:rStyle w:val="8pt0pt0"/>
          <w:rFonts w:ascii="Times New Roman" w:hAnsi="Times New Roman" w:cs="Times New Roman"/>
          <w:i w:val="0"/>
          <w:color w:val="000000" w:themeColor="text1"/>
          <w:spacing w:val="0"/>
        </w:rPr>
        <w:softHyphen/>
      </w:r>
      <w:r w:rsidRPr="00925F26">
        <w:rPr>
          <w:rStyle w:val="aff6"/>
          <w:rFonts w:ascii="Times New Roman" w:hAnsi="Times New Roman" w:cs="Times New Roman"/>
          <w:i w:val="0"/>
          <w:color w:val="000000" w:themeColor="text1"/>
        </w:rPr>
        <w:t>ных плавок, разных марок сталей</w:t>
      </w:r>
      <w:r w:rsidRPr="00925F26">
        <w:rPr>
          <w:rStyle w:val="8pt0pt0"/>
          <w:rFonts w:ascii="Times New Roman" w:hAnsi="Times New Roman" w:cs="Times New Roman"/>
          <w:i w:val="0"/>
          <w:color w:val="000000" w:themeColor="text1"/>
          <w:spacing w:val="0"/>
        </w:rPr>
        <w:t xml:space="preserve"> и</w:t>
      </w:r>
      <w:r w:rsidRPr="00925F26">
        <w:rPr>
          <w:rStyle w:val="aff6"/>
          <w:rFonts w:ascii="Times New Roman" w:hAnsi="Times New Roman" w:cs="Times New Roman"/>
          <w:i w:val="0"/>
          <w:color w:val="000000" w:themeColor="text1"/>
        </w:rPr>
        <w:t xml:space="preserve"> на</w:t>
      </w:r>
      <w:r w:rsidRPr="00925F26">
        <w:rPr>
          <w:rStyle w:val="8pt0pt0"/>
          <w:rFonts w:ascii="Times New Roman" w:hAnsi="Times New Roman" w:cs="Times New Roman"/>
          <w:i w:val="0"/>
          <w:color w:val="000000" w:themeColor="text1"/>
          <w:spacing w:val="0"/>
        </w:rPr>
        <w:t xml:space="preserve"> толщи</w:t>
      </w:r>
      <w:r w:rsidRPr="00925F26">
        <w:rPr>
          <w:rStyle w:val="8pt0pt0"/>
          <w:rFonts w:ascii="Times New Roman" w:hAnsi="Times New Roman" w:cs="Times New Roman"/>
          <w:i w:val="0"/>
          <w:color w:val="000000" w:themeColor="text1"/>
          <w:spacing w:val="0"/>
        </w:rPr>
        <w:softHyphen/>
      </w:r>
      <w:r w:rsidRPr="00925F26">
        <w:rPr>
          <w:rStyle w:val="aff6"/>
          <w:rFonts w:ascii="Times New Roman" w:hAnsi="Times New Roman" w:cs="Times New Roman"/>
          <w:i w:val="0"/>
          <w:color w:val="000000" w:themeColor="text1"/>
        </w:rPr>
        <w:t>нах от 4 до 8 мм».</w:t>
      </w:r>
      <w:r w:rsidRPr="00925F26">
        <w:rPr>
          <w:color w:val="000000" w:themeColor="text1"/>
          <w:sz w:val="16"/>
          <w:szCs w:val="16"/>
        </w:rPr>
        <w:t xml:space="preserve"> Все карты испытали на</w:t>
      </w:r>
      <w:r w:rsidRPr="00925F26">
        <w:rPr>
          <w:rStyle w:val="8pt0pt"/>
          <w:rFonts w:ascii="Times New Roman" w:hAnsi="Times New Roman" w:cs="Times New Roman"/>
          <w:color w:val="000000" w:themeColor="text1"/>
          <w:spacing w:val="0"/>
        </w:rPr>
        <w:t xml:space="preserve"> поли</w:t>
      </w:r>
      <w:r w:rsidRPr="00925F26">
        <w:rPr>
          <w:rStyle w:val="8pt0pt"/>
          <w:rFonts w:ascii="Times New Roman" w:hAnsi="Times New Roman" w:cs="Times New Roman"/>
          <w:color w:val="000000" w:themeColor="text1"/>
          <w:spacing w:val="0"/>
        </w:rPr>
        <w:softHyphen/>
      </w:r>
      <w:r w:rsidRPr="00925F26">
        <w:rPr>
          <w:color w:val="000000" w:themeColor="text1"/>
          <w:sz w:val="16"/>
          <w:szCs w:val="16"/>
        </w:rPr>
        <w:t>гоне обстрелом пулями Б-32 калибра 7,62</w:t>
      </w:r>
      <w:r w:rsidRPr="00925F26">
        <w:rPr>
          <w:rStyle w:val="8pt0pt"/>
          <w:rFonts w:ascii="Times New Roman" w:hAnsi="Times New Roman" w:cs="Times New Roman"/>
          <w:color w:val="000000" w:themeColor="text1"/>
          <w:spacing w:val="0"/>
        </w:rPr>
        <w:t xml:space="preserve"> мм </w:t>
      </w:r>
      <w:r w:rsidRPr="00925F26">
        <w:rPr>
          <w:color w:val="000000" w:themeColor="text1"/>
          <w:sz w:val="16"/>
          <w:szCs w:val="16"/>
        </w:rPr>
        <w:t>с определением углов предела тыльной проч</w:t>
      </w:r>
      <w:r w:rsidRPr="00925F26">
        <w:rPr>
          <w:color w:val="000000" w:themeColor="text1"/>
          <w:sz w:val="16"/>
          <w:szCs w:val="16"/>
        </w:rPr>
        <w:softHyphen/>
        <w:t>ности с дистанции обстрела, соответствующей ударной скорости пули 750 м/с. Кроме того, карты толщиной 8 мм испытывались обстрела</w:t>
      </w:r>
      <w:r w:rsidRPr="00925F26">
        <w:rPr>
          <w:color w:val="000000" w:themeColor="text1"/>
          <w:sz w:val="16"/>
          <w:szCs w:val="16"/>
        </w:rPr>
        <w:softHyphen/>
        <w:t>ми осколочно-зажигательными снарядами ка</w:t>
      </w:r>
      <w:r w:rsidRPr="00925F26">
        <w:rPr>
          <w:color w:val="000000" w:themeColor="text1"/>
          <w:sz w:val="16"/>
          <w:szCs w:val="16"/>
        </w:rPr>
        <w:softHyphen/>
        <w:t>либра 20 мм немецкой пушки МГ-151. Дистан</w:t>
      </w:r>
      <w:r w:rsidRPr="00925F26">
        <w:rPr>
          <w:color w:val="000000" w:themeColor="text1"/>
          <w:sz w:val="16"/>
          <w:szCs w:val="16"/>
        </w:rPr>
        <w:softHyphen/>
        <w:t>ция обстрела составляла 100 м, карты прохо</w:t>
      </w:r>
      <w:r w:rsidRPr="00925F26">
        <w:rPr>
          <w:color w:val="000000" w:themeColor="text1"/>
          <w:sz w:val="16"/>
          <w:szCs w:val="16"/>
        </w:rPr>
        <w:softHyphen/>
        <w:t>дили термическую обработку при температуре низкого отпуска 275 С.</w:t>
      </w:r>
    </w:p>
    <w:p w14:paraId="273C3608" w14:textId="77777777" w:rsidR="005F32F4" w:rsidRPr="00925F26" w:rsidRDefault="005F32F4" w:rsidP="00925F26">
      <w:pPr>
        <w:jc w:val="both"/>
        <w:rPr>
          <w:color w:val="000000" w:themeColor="text1"/>
          <w:sz w:val="16"/>
          <w:szCs w:val="16"/>
        </w:rPr>
      </w:pPr>
      <w:r w:rsidRPr="00925F26">
        <w:rPr>
          <w:color w:val="000000" w:themeColor="text1"/>
          <w:sz w:val="16"/>
          <w:szCs w:val="16"/>
        </w:rPr>
        <w:t>Обе марки стали (АБ-2 и АБ-3) на всех толщинах и термически обработанные по уста</w:t>
      </w:r>
      <w:r w:rsidRPr="00925F26">
        <w:rPr>
          <w:color w:val="000000" w:themeColor="text1"/>
          <w:sz w:val="16"/>
          <w:szCs w:val="16"/>
        </w:rPr>
        <w:softHyphen/>
        <w:t>новленным режимам полностью отвечали тре</w:t>
      </w:r>
      <w:r w:rsidRPr="00925F26">
        <w:rPr>
          <w:color w:val="000000" w:themeColor="text1"/>
          <w:sz w:val="16"/>
          <w:szCs w:val="16"/>
        </w:rPr>
        <w:softHyphen/>
        <w:t>бованиям ТУ при обстреле их пулями калибра 7,62 мм и на толщине 8 мм имели значитель</w:t>
      </w:r>
      <w:r w:rsidRPr="00925F26">
        <w:rPr>
          <w:color w:val="000000" w:themeColor="text1"/>
          <w:sz w:val="16"/>
          <w:szCs w:val="16"/>
        </w:rPr>
        <w:softHyphen/>
        <w:t>ный запас пулестойкости (около 10"). Сталь марки ХД на толщине 8 мм также удовлетво</w:t>
      </w:r>
      <w:r w:rsidRPr="00925F26">
        <w:rPr>
          <w:color w:val="000000" w:themeColor="text1"/>
          <w:sz w:val="16"/>
          <w:szCs w:val="16"/>
        </w:rPr>
        <w:softHyphen/>
        <w:t>ряла заданным требованиям против пуль кали</w:t>
      </w:r>
      <w:r w:rsidRPr="00925F26">
        <w:rPr>
          <w:color w:val="000000" w:themeColor="text1"/>
          <w:sz w:val="16"/>
          <w:szCs w:val="16"/>
        </w:rPr>
        <w:softHyphen/>
        <w:t>бра 7,62 мм, однако запаса пулестойкости не имела.</w:t>
      </w:r>
    </w:p>
    <w:p w14:paraId="4BF19A7C" w14:textId="77777777" w:rsidR="005F32F4" w:rsidRPr="00925F26" w:rsidRDefault="005F32F4" w:rsidP="00925F26">
      <w:pPr>
        <w:jc w:val="both"/>
        <w:rPr>
          <w:color w:val="000000" w:themeColor="text1"/>
          <w:sz w:val="16"/>
          <w:szCs w:val="16"/>
        </w:rPr>
      </w:pPr>
      <w:r w:rsidRPr="00925F26">
        <w:rPr>
          <w:color w:val="000000" w:themeColor="text1"/>
          <w:sz w:val="16"/>
          <w:szCs w:val="16"/>
        </w:rPr>
        <w:t>При обстреле карт толщиной 8 мм из ста</w:t>
      </w:r>
      <w:r w:rsidRPr="00925F26">
        <w:rPr>
          <w:color w:val="000000" w:themeColor="text1"/>
          <w:sz w:val="16"/>
          <w:szCs w:val="16"/>
        </w:rPr>
        <w:softHyphen/>
        <w:t>лей АБ-2 и АБ-3, обработанных с температурой отпуска 260°С, установили, что они выдер</w:t>
      </w:r>
      <w:r w:rsidRPr="00925F26">
        <w:rPr>
          <w:color w:val="000000" w:themeColor="text1"/>
          <w:sz w:val="16"/>
          <w:szCs w:val="16"/>
        </w:rPr>
        <w:softHyphen/>
        <w:t>живают обстрел осколочно-зажигательными снарядами МГ-151 калибра 20 мм с дистанции 100 м по нормали. При этом</w:t>
      </w:r>
      <w:r w:rsidRPr="00925F26">
        <w:rPr>
          <w:rStyle w:val="aff6"/>
          <w:rFonts w:ascii="Times New Roman" w:hAnsi="Times New Roman" w:cs="Times New Roman"/>
          <w:i w:val="0"/>
          <w:color w:val="000000" w:themeColor="text1"/>
        </w:rPr>
        <w:t xml:space="preserve"> «с тыльной сторо</w:t>
      </w:r>
      <w:r w:rsidRPr="00925F26">
        <w:rPr>
          <w:rStyle w:val="aff6"/>
          <w:rFonts w:ascii="Times New Roman" w:hAnsi="Times New Roman" w:cs="Times New Roman"/>
          <w:i w:val="0"/>
          <w:color w:val="000000" w:themeColor="text1"/>
        </w:rPr>
        <w:softHyphen/>
        <w:t>ны карт образуются отдулины, которые свиде</w:t>
      </w:r>
      <w:r w:rsidRPr="00925F26">
        <w:rPr>
          <w:rStyle w:val="aff6"/>
          <w:rFonts w:ascii="Times New Roman" w:hAnsi="Times New Roman" w:cs="Times New Roman"/>
          <w:i w:val="0"/>
          <w:color w:val="000000" w:themeColor="text1"/>
        </w:rPr>
        <w:softHyphen/>
        <w:t>тельствуют о значительном запасе пластиче</w:t>
      </w:r>
      <w:r w:rsidRPr="00925F26">
        <w:rPr>
          <w:rStyle w:val="aff6"/>
          <w:rFonts w:ascii="Times New Roman" w:hAnsi="Times New Roman" w:cs="Times New Roman"/>
          <w:i w:val="0"/>
          <w:color w:val="000000" w:themeColor="text1"/>
        </w:rPr>
        <w:softHyphen/>
        <w:t>ских свойств этих сталей».</w:t>
      </w:r>
      <w:r w:rsidRPr="00925F26">
        <w:rPr>
          <w:color w:val="000000" w:themeColor="text1"/>
          <w:sz w:val="16"/>
          <w:szCs w:val="16"/>
        </w:rPr>
        <w:t xml:space="preserve"> То есть, полностью подтвердились результаты аналогичных испы</w:t>
      </w:r>
      <w:r w:rsidRPr="00925F26">
        <w:rPr>
          <w:color w:val="000000" w:themeColor="text1"/>
          <w:sz w:val="16"/>
          <w:szCs w:val="16"/>
        </w:rPr>
        <w:softHyphen/>
        <w:t>таний стали марки АБ-3, проведенных в 1944 г.</w:t>
      </w:r>
    </w:p>
    <w:p w14:paraId="0EC06F20"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hAnsi="Times New Roman" w:cs="Times New Roman"/>
          <w:i w:val="0"/>
          <w:color w:val="000000" w:themeColor="text1"/>
          <w:sz w:val="16"/>
          <w:szCs w:val="16"/>
        </w:rPr>
        <w:t>Карты из стали</w:t>
      </w:r>
      <w:r w:rsidRPr="00925F26">
        <w:rPr>
          <w:rFonts w:ascii="Times New Roman" w:cs="Times New Roman"/>
          <w:color w:val="000000" w:themeColor="text1"/>
          <w:sz w:val="16"/>
          <w:szCs w:val="16"/>
        </w:rPr>
        <w:t xml:space="preserve"> «марки АБ-2 толщиной 8 мм, обработанные с отпуском на 215'С, при обстреле из осколочно-зажигательными сна</w:t>
      </w:r>
      <w:r w:rsidRPr="00925F26">
        <w:rPr>
          <w:rFonts w:ascii="Times New Roman" w:cs="Times New Roman"/>
          <w:color w:val="000000" w:themeColor="text1"/>
          <w:sz w:val="16"/>
          <w:szCs w:val="16"/>
        </w:rPr>
        <w:softHyphen/>
        <w:t>рядами калибра 20 мм давали вязкие разрывы с отколами больших пятачков с тыльной сторо</w:t>
      </w:r>
      <w:r w:rsidRPr="00925F26">
        <w:rPr>
          <w:rFonts w:ascii="Times New Roman" w:cs="Times New Roman"/>
          <w:color w:val="000000" w:themeColor="text1"/>
          <w:sz w:val="16"/>
          <w:szCs w:val="16"/>
        </w:rPr>
        <w:softHyphen/>
        <w:t>ны карты».</w:t>
      </w:r>
    </w:p>
    <w:p w14:paraId="0773DD92" w14:textId="77777777" w:rsidR="005F32F4" w:rsidRPr="00925F26" w:rsidRDefault="005F32F4" w:rsidP="00925F26">
      <w:pPr>
        <w:jc w:val="both"/>
        <w:rPr>
          <w:color w:val="000000" w:themeColor="text1"/>
          <w:sz w:val="16"/>
          <w:szCs w:val="16"/>
        </w:rPr>
      </w:pPr>
      <w:r w:rsidRPr="00925F26">
        <w:rPr>
          <w:color w:val="000000" w:themeColor="text1"/>
          <w:sz w:val="16"/>
          <w:szCs w:val="16"/>
        </w:rPr>
        <w:lastRenderedPageBreak/>
        <w:t>Кроме того, с целью проверки стали мар</w:t>
      </w:r>
      <w:r w:rsidRPr="00925F26">
        <w:rPr>
          <w:color w:val="000000" w:themeColor="text1"/>
          <w:sz w:val="16"/>
          <w:szCs w:val="16"/>
        </w:rPr>
        <w:softHyphen/>
        <w:t>ки АБ-3 на живучесть при обстреле ее пулями калибра 12,7 мм и осколочно-зажигательными снарядами калибра 20 мм осуществили ис</w:t>
      </w:r>
      <w:r w:rsidRPr="00925F26">
        <w:rPr>
          <w:color w:val="000000" w:themeColor="text1"/>
          <w:sz w:val="16"/>
          <w:szCs w:val="16"/>
        </w:rPr>
        <w:softHyphen/>
        <w:t>пытания карт размером 500x300 мм для пуль калибра 12,7 мм и 500x500 мм - для снарядов калибра 20 мм. Во всех случаях хрупких разру</w:t>
      </w:r>
      <w:r w:rsidRPr="00925F26">
        <w:rPr>
          <w:color w:val="000000" w:themeColor="text1"/>
          <w:sz w:val="16"/>
          <w:szCs w:val="16"/>
        </w:rPr>
        <w:softHyphen/>
        <w:t>шений брони не наблюдалось.</w:t>
      </w:r>
    </w:p>
    <w:p w14:paraId="0307CD56" w14:textId="77777777" w:rsidR="005F32F4" w:rsidRPr="00925F26" w:rsidRDefault="005F32F4" w:rsidP="00925F26">
      <w:pPr>
        <w:jc w:val="both"/>
        <w:rPr>
          <w:color w:val="000000" w:themeColor="text1"/>
          <w:sz w:val="16"/>
          <w:szCs w:val="16"/>
        </w:rPr>
      </w:pPr>
      <w:r w:rsidRPr="00925F26">
        <w:rPr>
          <w:color w:val="000000" w:themeColor="text1"/>
          <w:sz w:val="16"/>
          <w:szCs w:val="16"/>
        </w:rPr>
        <w:t>Делались следующие выводы:</w:t>
      </w:r>
    </w:p>
    <w:p w14:paraId="5D5CFE8F"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«1. Сталь марки АБ-3, проверенная на 3-х плавках 1945 г. и на одной плавке в 1944 г., является вполне равноценным заменителем стали АБ-2.</w:t>
      </w:r>
    </w:p>
    <w:p w14:paraId="539E9522" w14:textId="77777777" w:rsidR="005F32F4" w:rsidRPr="00925F26" w:rsidRDefault="005F32F4" w:rsidP="00925F26">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2. Сталь марки ХД обладает хорошим за</w:t>
      </w:r>
      <w:r w:rsidRPr="00925F26">
        <w:rPr>
          <w:rFonts w:ascii="Times New Roman" w:cs="Times New Roman"/>
          <w:color w:val="000000" w:themeColor="text1"/>
          <w:sz w:val="16"/>
          <w:szCs w:val="16"/>
        </w:rPr>
        <w:softHyphen/>
        <w:t>пасом вязкости, но последняя достигается за счет снижения стойкости против пуль кали</w:t>
      </w:r>
      <w:r w:rsidRPr="00925F26">
        <w:rPr>
          <w:rFonts w:ascii="Times New Roman" w:cs="Times New Roman"/>
          <w:color w:val="000000" w:themeColor="text1"/>
          <w:sz w:val="16"/>
          <w:szCs w:val="16"/>
        </w:rPr>
        <w:softHyphen/>
        <w:t>бра 7,62</w:t>
      </w:r>
      <w:r w:rsidRPr="00925F26">
        <w:rPr>
          <w:rStyle w:val="4e"/>
          <w:rFonts w:ascii="Times New Roman" w:hAnsi="Times New Roman" w:cs="Times New Roman"/>
          <w:i w:val="0"/>
          <w:color w:val="000000" w:themeColor="text1"/>
          <w:sz w:val="16"/>
          <w:szCs w:val="16"/>
        </w:rPr>
        <w:t xml:space="preserve"> мм.</w:t>
      </w:r>
    </w:p>
    <w:p w14:paraId="05CC1A63" w14:textId="77777777" w:rsidR="005F32F4" w:rsidRPr="00925F26" w:rsidRDefault="005F32F4" w:rsidP="00925F26">
      <w:pPr>
        <w:pStyle w:val="45"/>
        <w:shd w:val="clear" w:color="auto" w:fill="auto"/>
        <w:tabs>
          <w:tab w:val="left" w:pos="505"/>
        </w:tabs>
        <w:spacing w:before="0" w:line="240" w:lineRule="auto"/>
        <w:jc w:val="both"/>
        <w:rPr>
          <w:rFonts w:ascii="Times New Roman" w:cs="Times New Roman"/>
          <w:color w:val="000000" w:themeColor="text1"/>
          <w:sz w:val="16"/>
          <w:szCs w:val="16"/>
        </w:rPr>
      </w:pPr>
      <w:r w:rsidRPr="00925F26">
        <w:rPr>
          <w:rFonts w:ascii="Times New Roman" w:cs="Times New Roman"/>
          <w:color w:val="000000" w:themeColor="text1"/>
          <w:sz w:val="16"/>
          <w:szCs w:val="16"/>
        </w:rPr>
        <w:t>3. В валовом производстве штампуемых бронедеталей толщиной 4-8 мм из сталей ма</w:t>
      </w:r>
      <w:r w:rsidRPr="00925F26">
        <w:rPr>
          <w:rFonts w:ascii="Times New Roman" w:cs="Times New Roman"/>
          <w:color w:val="000000" w:themeColor="text1"/>
          <w:sz w:val="16"/>
          <w:szCs w:val="16"/>
        </w:rPr>
        <w:softHyphen/>
        <w:t>рок АБ-2 и АБ-3 более целесообразным явля</w:t>
      </w:r>
      <w:r w:rsidRPr="00925F26">
        <w:rPr>
          <w:rFonts w:ascii="Times New Roman" w:cs="Times New Roman"/>
          <w:color w:val="000000" w:themeColor="text1"/>
          <w:sz w:val="16"/>
          <w:szCs w:val="16"/>
        </w:rPr>
        <w:softHyphen/>
        <w:t>ется низкий отпуск при температуре 260-280°, обеспечивающий при сохранении существую</w:t>
      </w:r>
      <w:r w:rsidRPr="00925F26">
        <w:rPr>
          <w:rFonts w:ascii="Times New Roman" w:cs="Times New Roman"/>
          <w:color w:val="000000" w:themeColor="text1"/>
          <w:sz w:val="16"/>
          <w:szCs w:val="16"/>
        </w:rPr>
        <w:softHyphen/>
        <w:t>щей пулестойкости достаточный запас вязких свойств и исключающий хрупкие разрушения при поражении брони 6нарядами 03 калиб</w:t>
      </w:r>
      <w:r w:rsidRPr="00925F26">
        <w:rPr>
          <w:rFonts w:ascii="Times New Roman" w:cs="Times New Roman"/>
          <w:color w:val="000000" w:themeColor="text1"/>
          <w:sz w:val="16"/>
          <w:szCs w:val="16"/>
        </w:rPr>
        <w:softHyphen/>
        <w:t>ра 20 мм».</w:t>
      </w:r>
    </w:p>
    <w:p w14:paraId="021D0410" w14:textId="77777777" w:rsidR="005F32F4" w:rsidRPr="00925F26" w:rsidRDefault="005F32F4" w:rsidP="00925F26">
      <w:pPr>
        <w:pStyle w:val="45"/>
        <w:shd w:val="clear" w:color="auto" w:fill="auto"/>
        <w:spacing w:before="0" w:line="240" w:lineRule="auto"/>
        <w:jc w:val="both"/>
        <w:rPr>
          <w:rFonts w:ascii="Times New Roman" w:cs="Times New Roman"/>
          <w:color w:val="000000" w:themeColor="text1"/>
          <w:sz w:val="16"/>
          <w:szCs w:val="16"/>
        </w:rPr>
      </w:pPr>
      <w:r w:rsidRPr="00925F26">
        <w:rPr>
          <w:rStyle w:val="4e"/>
          <w:rFonts w:ascii="Times New Roman" w:hAnsi="Times New Roman" w:cs="Times New Roman"/>
          <w:i w:val="0"/>
          <w:color w:val="000000" w:themeColor="text1"/>
          <w:sz w:val="16"/>
          <w:szCs w:val="16"/>
        </w:rPr>
        <w:t>Считалось необходимым поставить вопрос о целесообразности проведения испытаний на живучесть не в условиях предела сквозного пробития, а в условиях предела тыльной проч</w:t>
      </w:r>
      <w:r w:rsidRPr="00925F26">
        <w:rPr>
          <w:rStyle w:val="4e"/>
          <w:rFonts w:ascii="Times New Roman" w:hAnsi="Times New Roman" w:cs="Times New Roman"/>
          <w:i w:val="0"/>
          <w:color w:val="000000" w:themeColor="text1"/>
          <w:sz w:val="16"/>
          <w:szCs w:val="16"/>
        </w:rPr>
        <w:softHyphen/>
        <w:t>ности,</w:t>
      </w:r>
      <w:r w:rsidRPr="00925F26">
        <w:rPr>
          <w:rFonts w:ascii="Times New Roman" w:cs="Times New Roman"/>
          <w:color w:val="000000" w:themeColor="text1"/>
          <w:sz w:val="16"/>
          <w:szCs w:val="16"/>
        </w:rPr>
        <w:t xml:space="preserve"> «исключающих отрывы кусков и вязких разрушений карт малых размеров».</w:t>
      </w:r>
      <w:r w:rsidRPr="00925F26">
        <w:rPr>
          <w:rStyle w:val="4e"/>
          <w:rFonts w:ascii="Times New Roman" w:hAnsi="Times New Roman" w:cs="Times New Roman"/>
          <w:i w:val="0"/>
          <w:color w:val="000000" w:themeColor="text1"/>
          <w:sz w:val="16"/>
          <w:szCs w:val="16"/>
        </w:rPr>
        <w:t xml:space="preserve"> Отмеча</w:t>
      </w:r>
      <w:r w:rsidRPr="00925F26">
        <w:rPr>
          <w:rStyle w:val="4e"/>
          <w:rFonts w:ascii="Times New Roman" w:hAnsi="Times New Roman" w:cs="Times New Roman"/>
          <w:i w:val="0"/>
          <w:color w:val="000000" w:themeColor="text1"/>
          <w:sz w:val="16"/>
          <w:szCs w:val="16"/>
        </w:rPr>
        <w:softHyphen/>
        <w:t>лось, что</w:t>
      </w:r>
      <w:r w:rsidRPr="00925F26">
        <w:rPr>
          <w:rFonts w:ascii="Times New Roman" w:cs="Times New Roman"/>
          <w:color w:val="000000" w:themeColor="text1"/>
          <w:sz w:val="16"/>
          <w:szCs w:val="16"/>
        </w:rPr>
        <w:t xml:space="preserve"> «такое уточнение метода испытаний на живучесть полностью согласуется и самой сущностью работы брони, поскольку вопросы сохранения конструктивной целостности дета</w:t>
      </w:r>
      <w:r w:rsidRPr="00925F26">
        <w:rPr>
          <w:rFonts w:ascii="Times New Roman" w:cs="Times New Roman"/>
          <w:color w:val="000000" w:themeColor="text1"/>
          <w:sz w:val="16"/>
          <w:szCs w:val="16"/>
        </w:rPr>
        <w:softHyphen/>
        <w:t>ли на самолете имеют смысл только в услови</w:t>
      </w:r>
      <w:r w:rsidRPr="00925F26">
        <w:rPr>
          <w:rFonts w:ascii="Times New Roman" w:cs="Times New Roman"/>
          <w:color w:val="000000" w:themeColor="text1"/>
          <w:sz w:val="16"/>
          <w:szCs w:val="16"/>
        </w:rPr>
        <w:softHyphen/>
        <w:t>ях ее непробития».</w:t>
      </w:r>
    </w:p>
    <w:p w14:paraId="2E3180DA" w14:textId="77777777" w:rsidR="005F32F4" w:rsidRPr="00925F26" w:rsidRDefault="005F32F4" w:rsidP="00925F26">
      <w:pPr>
        <w:jc w:val="both"/>
        <w:rPr>
          <w:rStyle w:val="aff6"/>
          <w:rFonts w:ascii="Times New Roman" w:hAnsi="Times New Roman" w:cs="Times New Roman"/>
          <w:i w:val="0"/>
          <w:color w:val="000000" w:themeColor="text1"/>
        </w:rPr>
      </w:pPr>
      <w:r w:rsidRPr="00925F26">
        <w:rPr>
          <w:color w:val="000000" w:themeColor="text1"/>
          <w:sz w:val="16"/>
          <w:szCs w:val="16"/>
        </w:rPr>
        <w:t>Предлагался следующий порядок испы</w:t>
      </w:r>
      <w:r w:rsidRPr="00925F26">
        <w:rPr>
          <w:color w:val="000000" w:themeColor="text1"/>
          <w:sz w:val="16"/>
          <w:szCs w:val="16"/>
        </w:rPr>
        <w:softHyphen/>
        <w:t>таний. Проверка качества брони должна была производиться путем обстрела карт размера</w:t>
      </w:r>
      <w:r w:rsidRPr="00925F26">
        <w:rPr>
          <w:color w:val="000000" w:themeColor="text1"/>
          <w:sz w:val="16"/>
          <w:szCs w:val="16"/>
        </w:rPr>
        <w:softHyphen/>
        <w:t>ми 800x800 мм пулями Б-32 калибра 7,62 мм и осколочно-зажигательными снарядами кали</w:t>
      </w:r>
      <w:r w:rsidRPr="00925F26">
        <w:rPr>
          <w:color w:val="000000" w:themeColor="text1"/>
          <w:sz w:val="16"/>
          <w:szCs w:val="16"/>
        </w:rPr>
        <w:softHyphen/>
        <w:t>бра 20 мм с дистанции 100 м: три попадания 20-мм снарядами - по нормали, пять попада</w:t>
      </w:r>
      <w:r w:rsidRPr="00925F26">
        <w:rPr>
          <w:color w:val="000000" w:themeColor="text1"/>
          <w:sz w:val="16"/>
          <w:szCs w:val="16"/>
        </w:rPr>
        <w:softHyphen/>
        <w:t>ний пулями Б-32 - под углами 20, 35, 45, 60°. Затем следовало провести индивидуальные испытания бронедеталей толщиной 4-8 мм в соответствии с ТУ, за исключением деталей толщиной 8 мм, для которых угол обстрела устанавливался 20° к нормали вместо 25°. Для испытания брони толщиной более 8 мм требо</w:t>
      </w:r>
      <w:r w:rsidRPr="00925F26">
        <w:rPr>
          <w:color w:val="000000" w:themeColor="text1"/>
          <w:sz w:val="16"/>
          <w:szCs w:val="16"/>
        </w:rPr>
        <w:softHyphen/>
        <w:t>валось</w:t>
      </w:r>
      <w:r w:rsidRPr="00925F26">
        <w:rPr>
          <w:rStyle w:val="aff6"/>
          <w:rFonts w:ascii="Times New Roman" w:hAnsi="Times New Roman" w:cs="Times New Roman"/>
          <w:i w:val="0"/>
          <w:color w:val="000000" w:themeColor="text1"/>
        </w:rPr>
        <w:t xml:space="preserve"> «разработать условия испытаний более мощным снарядом, чем снаряд 03 ШВАК и МГ-151-20 мм, сохраняя в основном обстрел пулями Б-32 калибра 12,7 мм» (17479).</w:t>
      </w:r>
    </w:p>
    <w:p w14:paraId="3C28F707" w14:textId="77777777" w:rsidR="005F32F4" w:rsidRPr="00925F26" w:rsidRDefault="005F32F4" w:rsidP="00925F26">
      <w:pPr>
        <w:jc w:val="both"/>
        <w:rPr>
          <w:color w:val="000000" w:themeColor="text1"/>
          <w:sz w:val="16"/>
          <w:szCs w:val="16"/>
        </w:rPr>
      </w:pPr>
    </w:p>
    <w:p w14:paraId="0A998B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вышел приказ Командующего ВВС и НКАП N 0128/265с "О проведении гос. испытаний опытного самолета 68 с 2хАМ-39ФНВ и винтами АВ-5ЛВ-22А конструкции А.Н.Т.:</w:t>
      </w:r>
    </w:p>
    <w:p w14:paraId="3F7B44A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Испытания начать 28 июня и закончить: наземные в 16 календарных дней, летные - в 20 летных дней." (1894,43).</w:t>
      </w:r>
    </w:p>
    <w:p w14:paraId="7706C34A" w14:textId="77777777" w:rsidR="006103B3" w:rsidRPr="00925F26" w:rsidRDefault="006103B3" w:rsidP="00925F26">
      <w:pPr>
        <w:autoSpaceDE w:val="0"/>
        <w:autoSpaceDN w:val="0"/>
        <w:adjustRightInd w:val="0"/>
        <w:jc w:val="both"/>
        <w:rPr>
          <w:color w:val="000000" w:themeColor="text1"/>
          <w:sz w:val="16"/>
          <w:szCs w:val="16"/>
        </w:rPr>
      </w:pPr>
    </w:p>
    <w:p w14:paraId="597EE6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года был утвержден акт по государственным испытаниям Як-3 ВК- 107А с металлическим крылом, которые шли с 21 мая по 9 июня 1945.</w:t>
      </w:r>
    </w:p>
    <w:p w14:paraId="7455A13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14159564" w14:textId="77777777" w:rsidR="006103B3" w:rsidRPr="00925F26" w:rsidRDefault="006103B3" w:rsidP="00925F26">
      <w:pPr>
        <w:autoSpaceDE w:val="0"/>
        <w:autoSpaceDN w:val="0"/>
        <w:adjustRightInd w:val="0"/>
        <w:jc w:val="both"/>
        <w:rPr>
          <w:color w:val="000000" w:themeColor="text1"/>
          <w:sz w:val="16"/>
          <w:szCs w:val="16"/>
        </w:rPr>
      </w:pPr>
    </w:p>
    <w:p w14:paraId="1B10E6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А.И.Ш. писал в ЦК ВКП(б) письмо о необходимости использования немецких специалистов для развития реактивной техники и апеллировал, что САСШ уже используют. "С нашей точки зрения, было бы целесообразно иметь на территории СССР или в оккупированной нами зоне Германии специального типа организации с особым режимом (под наблюдением НКВД), где немецкие ученые могли бы вести НИР по нашим заданиям. Основное руководство и направление НИР таких организаций должны возглавляться советскими учеными, немцы должны быть изолированы от общения с нашими научными и опытными организациями. Ввиду чрезвычайной важности вопроса, прошу доложить его тов. Сталину с тем, чтобы поручить НКАП и НКВД совместно подготовить проект решения по этому вопросу" (1795,61).</w:t>
      </w:r>
    </w:p>
    <w:p w14:paraId="727A1A39" w14:textId="77777777" w:rsidR="006103B3" w:rsidRPr="00925F26" w:rsidRDefault="006103B3" w:rsidP="00925F26">
      <w:pPr>
        <w:autoSpaceDE w:val="0"/>
        <w:autoSpaceDN w:val="0"/>
        <w:adjustRightInd w:val="0"/>
        <w:jc w:val="both"/>
        <w:rPr>
          <w:color w:val="000000" w:themeColor="text1"/>
          <w:sz w:val="16"/>
          <w:szCs w:val="16"/>
        </w:rPr>
      </w:pPr>
    </w:p>
    <w:p w14:paraId="514D04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года нарком авиационной промышленности А. И. Шахурин обратился с письмом в ЦК ВКП(б). Под ним могли бы подписаться руководители других наркоматов. Вот текст этого документа:</w:t>
      </w:r>
    </w:p>
    <w:p w14:paraId="12A8FBB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«Большое количество немецких специалистов и ученых в области авиации находится сейчас в наших руках. Эти ученые и специалисты обладают огромным запасом знаний, накопленных за время работы в научно-исследовательских и опытных организациях Германии. Часть этих специалистов находятся в зоне, занимаемой союзниками, но, по имеющимся у нас сведениям, уже используется союзниками и некоторые из них отправлены в США и Англию.</w:t>
      </w:r>
    </w:p>
    <w:p w14:paraId="77CD8D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Имеются также сведения и о том, что среди немецких ученых, находящихся в советской оккупационной зоне, наблюдается большое стремление попасть в Англию и США, что для нашей страны было бы чрезвычайно нежелательно. Необходимо не только не допустить перетекание германских ученых к союзникам, но, наоборот, принять меры к использованию (их) в наших интересах.</w:t>
      </w:r>
    </w:p>
    <w:p w14:paraId="23CC51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нашей точки зрения, было бы целесообразно на территории СССР или в оккупированной нами зоне Германии организовать специального типа организации с особым режимом (под наблюдением НКВД), где немецкие ученые могли бы вести научно-исследовательские работы по нашим заданиям. Основное руководство и направление научно-исследовательских работ таких организаций должны возглавляться советскими учеными; немцы должны быть изолированы от общения с нашими научными и опытными организациями.</w:t>
      </w:r>
    </w:p>
    <w:p w14:paraId="706F4A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Ввиду чрезвычайной важности вопроса, прошу доложить его товарищу Сталину с тем, чтобы поручить НКАП и НКВД совместно подготовить проект решения по этому вопросу» (Соболев Д. А. Немецкий след в истории советской авиации. Об участии немецких специалистов в развитии авиастроения в СССР. — М., 1996, с. 61.) (11765).</w:t>
      </w:r>
    </w:p>
    <w:p w14:paraId="788488C8" w14:textId="77777777" w:rsidR="006103B3" w:rsidRPr="00925F26" w:rsidRDefault="006103B3" w:rsidP="00925F26">
      <w:pPr>
        <w:autoSpaceDE w:val="0"/>
        <w:autoSpaceDN w:val="0"/>
        <w:adjustRightInd w:val="0"/>
        <w:jc w:val="both"/>
        <w:rPr>
          <w:color w:val="000000" w:themeColor="text1"/>
          <w:sz w:val="16"/>
          <w:szCs w:val="16"/>
        </w:rPr>
      </w:pPr>
    </w:p>
    <w:p w14:paraId="3B78405F" w14:textId="77777777" w:rsidR="006F2FCB" w:rsidRPr="001A0BAA" w:rsidRDefault="006F2FCB" w:rsidP="006F2FCB">
      <w:pPr>
        <w:jc w:val="both"/>
        <w:rPr>
          <w:color w:val="0070C0"/>
          <w:sz w:val="16"/>
          <w:szCs w:val="16"/>
        </w:rPr>
      </w:pPr>
      <w:r w:rsidRPr="001A0BAA">
        <w:rPr>
          <w:color w:val="0070C0"/>
          <w:sz w:val="16"/>
          <w:szCs w:val="16"/>
        </w:rPr>
        <w:t>27 июня 1945 г. Нарком авиапромышленности А.И. Шахурин обратился в ЦК ВКП (б) с письмом по поводу исполь</w:t>
      </w:r>
      <w:r w:rsidRPr="001A0BAA">
        <w:rPr>
          <w:color w:val="0070C0"/>
          <w:sz w:val="16"/>
          <w:szCs w:val="16"/>
        </w:rPr>
        <w:softHyphen/>
        <w:t>зования немецких специалистов для развития отечественной реактивной авиации. В связи с этим предложением оконча</w:t>
      </w:r>
      <w:r w:rsidRPr="001A0BAA">
        <w:rPr>
          <w:color w:val="0070C0"/>
          <w:sz w:val="16"/>
          <w:szCs w:val="16"/>
        </w:rPr>
        <w:softHyphen/>
        <w:t>тельный демонтаж ряда крупных предприятий, занимающих</w:t>
      </w:r>
      <w:r w:rsidRPr="001A0BAA">
        <w:rPr>
          <w:color w:val="0070C0"/>
          <w:sz w:val="16"/>
          <w:szCs w:val="16"/>
        </w:rPr>
        <w:softHyphen/>
        <w:t>ся в годы войны выпуском реактивных самолетов и двигате</w:t>
      </w:r>
      <w:r w:rsidRPr="001A0BAA">
        <w:rPr>
          <w:color w:val="0070C0"/>
          <w:sz w:val="16"/>
          <w:szCs w:val="16"/>
        </w:rPr>
        <w:softHyphen/>
        <w:t>лей, был отложен на более поздний срок.</w:t>
      </w:r>
    </w:p>
    <w:p w14:paraId="0F4A432C" w14:textId="77777777" w:rsidR="006F2FCB" w:rsidRPr="001A0BAA" w:rsidRDefault="006F2FCB" w:rsidP="006F2FCB">
      <w:pPr>
        <w:jc w:val="both"/>
        <w:rPr>
          <w:color w:val="0070C0"/>
          <w:sz w:val="16"/>
          <w:szCs w:val="16"/>
        </w:rPr>
      </w:pPr>
      <w:r w:rsidRPr="001A0BAA">
        <w:rPr>
          <w:color w:val="0070C0"/>
          <w:sz w:val="16"/>
          <w:szCs w:val="16"/>
        </w:rPr>
        <w:t>Для изучения опыта, накопленного этими организациями, был организован поиск работающих там сотрудников.</w:t>
      </w:r>
    </w:p>
    <w:p w14:paraId="2EFFAD7A" w14:textId="77777777" w:rsidR="006F2FCB" w:rsidRPr="001A0BAA" w:rsidRDefault="006F2FCB" w:rsidP="006F2FCB">
      <w:pPr>
        <w:jc w:val="both"/>
        <w:rPr>
          <w:color w:val="0070C0"/>
          <w:sz w:val="16"/>
          <w:szCs w:val="16"/>
        </w:rPr>
      </w:pPr>
      <w:r w:rsidRPr="001A0BAA">
        <w:rPr>
          <w:color w:val="0070C0"/>
          <w:sz w:val="16"/>
          <w:szCs w:val="16"/>
        </w:rPr>
        <w:t>В этом приняли участие представители НКАП и спецслуж</w:t>
      </w:r>
      <w:r w:rsidRPr="001A0BAA">
        <w:rPr>
          <w:color w:val="0070C0"/>
          <w:sz w:val="16"/>
          <w:szCs w:val="16"/>
        </w:rPr>
        <w:softHyphen/>
        <w:t>бы Советской военной администрации в Германии (СВАТ).</w:t>
      </w:r>
    </w:p>
    <w:p w14:paraId="21AEE788" w14:textId="77777777" w:rsidR="006F2FCB" w:rsidRPr="001A0BAA" w:rsidRDefault="006F2FCB" w:rsidP="006F2FCB">
      <w:pPr>
        <w:jc w:val="both"/>
        <w:rPr>
          <w:color w:val="0070C0"/>
          <w:sz w:val="16"/>
          <w:szCs w:val="16"/>
        </w:rPr>
      </w:pPr>
      <w:r w:rsidRPr="001A0BAA">
        <w:rPr>
          <w:color w:val="0070C0"/>
          <w:sz w:val="16"/>
          <w:szCs w:val="16"/>
        </w:rPr>
        <w:t>Когда А.И. Шахурин обращался к И.В. Сталину с пись</w:t>
      </w:r>
      <w:r w:rsidRPr="001A0BAA">
        <w:rPr>
          <w:color w:val="0070C0"/>
          <w:sz w:val="16"/>
          <w:szCs w:val="16"/>
        </w:rPr>
        <w:softHyphen/>
        <w:t>мом, на отечественную авиацию работало 17 немецких специ</w:t>
      </w:r>
      <w:r w:rsidRPr="001A0BAA">
        <w:rPr>
          <w:color w:val="0070C0"/>
          <w:sz w:val="16"/>
          <w:szCs w:val="16"/>
        </w:rPr>
        <w:softHyphen/>
        <w:t>алистов, а после нескольких последующих месяцев к работе удалось привлечь свыше тысячи человек [63].</w:t>
      </w:r>
    </w:p>
    <w:p w14:paraId="4DF50773" w14:textId="77777777" w:rsidR="006F2FCB" w:rsidRPr="001A0BAA" w:rsidRDefault="006F2FCB" w:rsidP="006F2FCB">
      <w:pPr>
        <w:jc w:val="both"/>
        <w:rPr>
          <w:color w:val="0070C0"/>
          <w:sz w:val="16"/>
          <w:szCs w:val="16"/>
        </w:rPr>
      </w:pPr>
      <w:r w:rsidRPr="001A0BAA">
        <w:rPr>
          <w:color w:val="0070C0"/>
          <w:sz w:val="16"/>
          <w:szCs w:val="16"/>
        </w:rPr>
        <w:t>Из немецких специалистов-конструкторов были организо</w:t>
      </w:r>
      <w:r w:rsidRPr="001A0BAA">
        <w:rPr>
          <w:color w:val="0070C0"/>
          <w:sz w:val="16"/>
          <w:szCs w:val="16"/>
        </w:rPr>
        <w:softHyphen/>
        <w:t>ваны особые технические бюро (ОТБ), руководство которыми осуществляли представители заводов и научных организаций НКАП. Научный сотрудник ЦИАМ Н.М. Олехнович руково</w:t>
      </w:r>
      <w:r w:rsidRPr="001A0BAA">
        <w:rPr>
          <w:color w:val="0070C0"/>
          <w:sz w:val="16"/>
          <w:szCs w:val="16"/>
        </w:rPr>
        <w:softHyphen/>
        <w:t>дил ОТБ-1 в Дессау. Начальник цеха завода № 500 А.И. Иса</w:t>
      </w:r>
      <w:r w:rsidRPr="001A0BAA">
        <w:rPr>
          <w:color w:val="0070C0"/>
          <w:sz w:val="16"/>
          <w:szCs w:val="16"/>
        </w:rPr>
        <w:softHyphen/>
        <w:t>ев руководил ОТБ-2, в Штрасфурте. Работник Первого глав</w:t>
      </w:r>
      <w:r w:rsidRPr="001A0BAA">
        <w:rPr>
          <w:color w:val="0070C0"/>
          <w:sz w:val="16"/>
          <w:szCs w:val="16"/>
        </w:rPr>
        <w:softHyphen/>
        <w:t>ного управления НКАП Н. Власов руководил ОТБ-3 в Галле. Сотрудник БНТ НКАП Н.Н. Леонтьев руководил ОТБ-4 в Бер</w:t>
      </w:r>
      <w:r w:rsidRPr="001A0BAA">
        <w:rPr>
          <w:color w:val="0070C0"/>
          <w:sz w:val="16"/>
          <w:szCs w:val="16"/>
        </w:rPr>
        <w:softHyphen/>
        <w:t>лине. Общий контроль за работами по авиации в Германии был поручен заместителю Наркома авиапромышленности В.П. Кузнецову.</w:t>
      </w:r>
    </w:p>
    <w:p w14:paraId="4C2BA5B6" w14:textId="77777777" w:rsidR="006F2FCB" w:rsidRPr="001A0BAA" w:rsidRDefault="006F2FCB" w:rsidP="006F2FCB">
      <w:pPr>
        <w:jc w:val="both"/>
        <w:rPr>
          <w:color w:val="0070C0"/>
          <w:sz w:val="16"/>
          <w:szCs w:val="16"/>
        </w:rPr>
      </w:pPr>
      <w:r w:rsidRPr="001A0BAA">
        <w:rPr>
          <w:color w:val="0070C0"/>
          <w:sz w:val="16"/>
          <w:szCs w:val="16"/>
        </w:rPr>
        <w:t>Сначала работа немецких специалистов сводилась, в основ</w:t>
      </w:r>
      <w:r w:rsidRPr="001A0BAA">
        <w:rPr>
          <w:color w:val="0070C0"/>
          <w:sz w:val="16"/>
          <w:szCs w:val="16"/>
        </w:rPr>
        <w:softHyphen/>
        <w:t>ном, к ответам на вопросы. Были сделаны отчеты и доклады по всем направлениям деятельности немецких специалистов.</w:t>
      </w:r>
    </w:p>
    <w:p w14:paraId="41811647" w14:textId="77777777" w:rsidR="006F2FCB" w:rsidRPr="001A0BAA" w:rsidRDefault="006F2FCB" w:rsidP="006F2FCB">
      <w:pPr>
        <w:jc w:val="both"/>
        <w:rPr>
          <w:color w:val="0070C0"/>
          <w:sz w:val="16"/>
          <w:szCs w:val="16"/>
        </w:rPr>
      </w:pPr>
      <w:r w:rsidRPr="001A0BAA">
        <w:rPr>
          <w:color w:val="0070C0"/>
          <w:sz w:val="16"/>
          <w:szCs w:val="16"/>
        </w:rPr>
        <w:t>до окончания войны и перспективным их разработкам. В об</w:t>
      </w:r>
      <w:r w:rsidRPr="001A0BAA">
        <w:rPr>
          <w:color w:val="0070C0"/>
          <w:sz w:val="16"/>
          <w:szCs w:val="16"/>
        </w:rPr>
        <w:softHyphen/>
        <w:t>ластях: аэродинамика и самолетостроение; авиамоторострое</w:t>
      </w:r>
      <w:r w:rsidRPr="001A0BAA">
        <w:rPr>
          <w:color w:val="0070C0"/>
          <w:sz w:val="16"/>
          <w:szCs w:val="16"/>
        </w:rPr>
        <w:softHyphen/>
        <w:t>ние, авиационное материаловедение. Кроме 160 отчетов, под</w:t>
      </w:r>
      <w:r w:rsidRPr="001A0BAA">
        <w:rPr>
          <w:color w:val="0070C0"/>
          <w:sz w:val="16"/>
          <w:szCs w:val="16"/>
        </w:rPr>
        <w:softHyphen/>
        <w:t>готовленных немецкими специалистами, был продолжен по</w:t>
      </w:r>
      <w:r w:rsidRPr="001A0BAA">
        <w:rPr>
          <w:color w:val="0070C0"/>
          <w:sz w:val="16"/>
          <w:szCs w:val="16"/>
        </w:rPr>
        <w:softHyphen/>
        <w:t>иск оригинальной технической документации и самих образцов реактивной техники. В результате к концу 1945 г. в СССР были отправлены: 10 истребителей Me-163 (из них 7 — двух</w:t>
      </w:r>
      <w:r w:rsidRPr="001A0BAA">
        <w:rPr>
          <w:color w:val="0070C0"/>
          <w:sz w:val="16"/>
          <w:szCs w:val="16"/>
        </w:rPr>
        <w:softHyphen/>
        <w:t>местных, учебно-тренировочных), 7 истребителей Не-162, 3 ис</w:t>
      </w:r>
      <w:r w:rsidRPr="001A0BAA">
        <w:rPr>
          <w:color w:val="0070C0"/>
          <w:sz w:val="16"/>
          <w:szCs w:val="16"/>
        </w:rPr>
        <w:softHyphen/>
        <w:t>требителя Ме-262, 2 бомбардировщика Аг-234 (один — в двух</w:t>
      </w:r>
      <w:r w:rsidRPr="001A0BAA">
        <w:rPr>
          <w:color w:val="0070C0"/>
          <w:sz w:val="16"/>
          <w:szCs w:val="16"/>
        </w:rPr>
        <w:softHyphen/>
        <w:t>двигательном варианте), 39 ТРД Jumo-004, 3 BMW-003, 2 опытных Хейнкель HeS-8a, несколько ЖРД «Вальтер» 109— 509, опытных ЖРД фирмы «БМВ» (модель 3390с, 3395) и сбра</w:t>
      </w:r>
      <w:r w:rsidRPr="001A0BAA">
        <w:rPr>
          <w:color w:val="0070C0"/>
          <w:sz w:val="16"/>
          <w:szCs w:val="16"/>
        </w:rPr>
        <w:softHyphen/>
        <w:t>сываемые ЖРД-ускорителей.</w:t>
      </w:r>
    </w:p>
    <w:p w14:paraId="10406F7F" w14:textId="77777777" w:rsidR="006F2FCB" w:rsidRPr="001A0BAA" w:rsidRDefault="006F2FCB" w:rsidP="006F2FCB">
      <w:pPr>
        <w:jc w:val="both"/>
        <w:rPr>
          <w:color w:val="0070C0"/>
          <w:sz w:val="16"/>
          <w:szCs w:val="16"/>
        </w:rPr>
      </w:pPr>
      <w:r w:rsidRPr="001A0BAA">
        <w:rPr>
          <w:color w:val="0070C0"/>
          <w:sz w:val="16"/>
          <w:szCs w:val="16"/>
        </w:rPr>
        <w:t>Большинство техники досталось советским специалистам в поврежденном или некомплектном состоянии. Из всех самоле</w:t>
      </w:r>
      <w:r w:rsidRPr="001A0BAA">
        <w:rPr>
          <w:color w:val="0070C0"/>
          <w:sz w:val="16"/>
          <w:szCs w:val="16"/>
        </w:rPr>
        <w:softHyphen/>
        <w:t>тов годных к полетам было только 3 (Не-162, Ме-262 и Ме-163). Остальные машины надо было восстанавливать или вообще от</w:t>
      </w:r>
      <w:r w:rsidRPr="001A0BAA">
        <w:rPr>
          <w:color w:val="0070C0"/>
          <w:sz w:val="16"/>
          <w:szCs w:val="16"/>
        </w:rPr>
        <w:softHyphen/>
        <w:t>браковывать (24920).</w:t>
      </w:r>
    </w:p>
    <w:p w14:paraId="13021C7A" w14:textId="77777777" w:rsidR="006F2FCB" w:rsidRPr="001A0BAA" w:rsidRDefault="006F2FCB" w:rsidP="006F2FCB">
      <w:pPr>
        <w:jc w:val="both"/>
        <w:rPr>
          <w:color w:val="0070C0"/>
          <w:sz w:val="16"/>
          <w:szCs w:val="16"/>
        </w:rPr>
      </w:pPr>
    </w:p>
    <w:p w14:paraId="530B36C8" w14:textId="77777777" w:rsidR="006F2FCB" w:rsidRPr="001A0BAA" w:rsidRDefault="006F2FCB" w:rsidP="006F2FCB">
      <w:pPr>
        <w:jc w:val="both"/>
        <w:rPr>
          <w:color w:val="0070C0"/>
          <w:sz w:val="16"/>
          <w:szCs w:val="16"/>
        </w:rPr>
      </w:pPr>
      <w:r w:rsidRPr="001A0BAA">
        <w:rPr>
          <w:color w:val="0070C0"/>
          <w:sz w:val="16"/>
          <w:szCs w:val="16"/>
        </w:rPr>
        <w:t>27 июня 1945 г. нарком авиационной промышленности А. И. Шахурин обратился в ЦК ВКП(б) с письмом, где говорилось: «Большое количество немецких специалистов и учёных в области авиации находятся сейчас в наших руках. Эти учёные и специалисты обладают огромными запасами знаний, накопленных за время работы в научно-исследовательских и опытных организациях Германии. Часть таких специалистов, находящихся в зоне, занимаемой союзниками, по имеющимся у нас сведениям уже используются союзниками и некоторых из них отправлены в САСШ и Англию.</w:t>
      </w:r>
    </w:p>
    <w:p w14:paraId="704174EA" w14:textId="77777777" w:rsidR="006F2FCB" w:rsidRPr="001A0BAA" w:rsidRDefault="006F2FCB" w:rsidP="006F2FCB">
      <w:pPr>
        <w:jc w:val="both"/>
        <w:rPr>
          <w:color w:val="0070C0"/>
          <w:sz w:val="16"/>
          <w:szCs w:val="16"/>
        </w:rPr>
      </w:pPr>
      <w:r w:rsidRPr="001A0BAA">
        <w:rPr>
          <w:color w:val="0070C0"/>
          <w:sz w:val="16"/>
          <w:szCs w:val="16"/>
        </w:rPr>
        <w:t>Имеются также сведения о том, что среди немецких учёных, находящихся в Советской оккупационной зоне, наблюдается большое стремление попасть в Англию и САСШ, что для нашей страны было бы чрезвычайно нежелательно. Необходимо не только не допустить перетекания германских учёных к союзникам, но, наоборот, принять меры к использованию их в наших интересах.</w:t>
      </w:r>
    </w:p>
    <w:p w14:paraId="1A2F222E" w14:textId="77777777" w:rsidR="006F2FCB" w:rsidRPr="001A0BAA" w:rsidRDefault="006F2FCB" w:rsidP="006F2FCB">
      <w:pPr>
        <w:jc w:val="both"/>
        <w:rPr>
          <w:color w:val="0070C0"/>
          <w:sz w:val="16"/>
          <w:szCs w:val="16"/>
        </w:rPr>
      </w:pPr>
      <w:r w:rsidRPr="001A0BAA">
        <w:rPr>
          <w:color w:val="0070C0"/>
          <w:sz w:val="16"/>
          <w:szCs w:val="16"/>
        </w:rPr>
        <w:lastRenderedPageBreak/>
        <w:t>С нашей точки зрения, было бы целесообразно иметь на территории СССР или в оккупированной нами зоне Германии специального типа организации с особым режимом (под наблюдением НКВД), где немецкие учёные могли бы вести научно-исследовательскую работу по нашим заданиям. Основное руководство и направление научно-исследовательских работ таких организаций должны возглавляться советскими учёными; немцы должны быть изолированы от общения с нашими научными и опытными организациями.</w:t>
      </w:r>
    </w:p>
    <w:p w14:paraId="1D3F0B37" w14:textId="77777777" w:rsidR="006F2FCB" w:rsidRPr="001A0BAA" w:rsidRDefault="006F2FCB" w:rsidP="006F2FCB">
      <w:pPr>
        <w:jc w:val="both"/>
        <w:rPr>
          <w:color w:val="0070C0"/>
          <w:sz w:val="16"/>
          <w:szCs w:val="16"/>
        </w:rPr>
      </w:pPr>
      <w:r w:rsidRPr="001A0BAA">
        <w:rPr>
          <w:color w:val="0070C0"/>
          <w:sz w:val="16"/>
          <w:szCs w:val="16"/>
        </w:rPr>
        <w:t>В виду чрезвычайной важности вопроса, прошу доложить его товарищу Сталину с тем, чтобы поручить НКАП и НКВД совместно подготовить проект решения по этому вопросу» (25184).</w:t>
      </w:r>
    </w:p>
    <w:p w14:paraId="169E01EB" w14:textId="77777777" w:rsidR="006F2FCB" w:rsidRPr="001A0BAA" w:rsidRDefault="006F2FCB" w:rsidP="006F2FCB">
      <w:pPr>
        <w:jc w:val="both"/>
        <w:rPr>
          <w:color w:val="0070C0"/>
          <w:sz w:val="16"/>
          <w:szCs w:val="16"/>
        </w:rPr>
      </w:pPr>
    </w:p>
    <w:p w14:paraId="0F804716"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733D628" w14:textId="77777777" w:rsidR="006103B3" w:rsidRPr="00925F26" w:rsidRDefault="006103B3" w:rsidP="00925F26">
      <w:pPr>
        <w:autoSpaceDE w:val="0"/>
        <w:autoSpaceDN w:val="0"/>
        <w:adjustRightInd w:val="0"/>
        <w:jc w:val="both"/>
        <w:rPr>
          <w:iCs/>
          <w:color w:val="000000" w:themeColor="text1"/>
          <w:sz w:val="16"/>
          <w:szCs w:val="16"/>
        </w:rPr>
      </w:pPr>
    </w:p>
    <w:p w14:paraId="2AAB9B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27 июня 1945 на заседании Госплана обсуждался вопрос о номенклатуре гражданской продукции на предприятиях, освобождаемых от спецзаказов. Комиссии Госплана предлагалось “принять меры к размещению в комплексном виде оборудования для угольной и нефтяной пр-ти, металлургии, цементной пр-ти и строительных </w:t>
      </w:r>
      <w:proofErr w:type="gramStart"/>
      <w:r w:rsidRPr="00925F26">
        <w:rPr>
          <w:color w:val="000000" w:themeColor="text1"/>
          <w:sz w:val="16"/>
          <w:szCs w:val="16"/>
        </w:rPr>
        <w:t>машин”(</w:t>
      </w:r>
      <w:proofErr w:type="gramEnd"/>
      <w:r w:rsidRPr="00925F26">
        <w:rPr>
          <w:color w:val="000000" w:themeColor="text1"/>
          <w:sz w:val="16"/>
          <w:szCs w:val="16"/>
        </w:rPr>
        <w:t>7543, 15).</w:t>
      </w:r>
    </w:p>
    <w:p w14:paraId="1469A40A" w14:textId="77777777" w:rsidR="006103B3" w:rsidRPr="00925F26" w:rsidRDefault="006103B3" w:rsidP="00925F26">
      <w:pPr>
        <w:autoSpaceDE w:val="0"/>
        <w:autoSpaceDN w:val="0"/>
        <w:adjustRightInd w:val="0"/>
        <w:jc w:val="both"/>
        <w:rPr>
          <w:color w:val="000000" w:themeColor="text1"/>
          <w:sz w:val="16"/>
          <w:szCs w:val="16"/>
        </w:rPr>
      </w:pPr>
    </w:p>
    <w:p w14:paraId="33C6CF9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на заседании Госплана обсуждался вопрос о номенклатуре производства гражданской продукции на предприятиях, освобождаемых от специальных заказов. Комиссия по рассмотрение проектов специализации заводов вооружения, боеприпасов, танковых и авиационных, освобождаемых от производства военной продукции предлагалось в первую очередь “принять меры к размещению в комплексном виде оборудования для угольной и нефтяной промышленности, металлургии, цементной промышленности и строительных машин”, а также “согласовать план специализации и программу производства на III квартал с наркоматами-производителями и наркоматами-потребителями” (7543).</w:t>
      </w:r>
    </w:p>
    <w:p w14:paraId="6D16203A" w14:textId="77777777" w:rsidR="006103B3" w:rsidRPr="00925F26" w:rsidRDefault="006103B3" w:rsidP="00925F26">
      <w:pPr>
        <w:autoSpaceDE w:val="0"/>
        <w:autoSpaceDN w:val="0"/>
        <w:adjustRightInd w:val="0"/>
        <w:jc w:val="both"/>
        <w:rPr>
          <w:color w:val="000000" w:themeColor="text1"/>
          <w:sz w:val="16"/>
          <w:szCs w:val="16"/>
        </w:rPr>
      </w:pPr>
    </w:p>
    <w:p w14:paraId="04DF4B8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вышло Постановление ГКО № 9272 О перераспределении пиломатериалов за счет уменьшения потребности в спецукупорке. РГАНИР, Фонд ГКО, д. 431, лл. 13-14, 15-19 (11012).</w:t>
      </w:r>
    </w:p>
    <w:p w14:paraId="05606637" w14:textId="77777777" w:rsidR="006103B3" w:rsidRPr="00925F26" w:rsidRDefault="006103B3" w:rsidP="00925F26">
      <w:pPr>
        <w:autoSpaceDE w:val="0"/>
        <w:autoSpaceDN w:val="0"/>
        <w:adjustRightInd w:val="0"/>
        <w:jc w:val="both"/>
        <w:rPr>
          <w:color w:val="000000" w:themeColor="text1"/>
          <w:sz w:val="16"/>
          <w:szCs w:val="16"/>
        </w:rPr>
      </w:pPr>
    </w:p>
    <w:p w14:paraId="5E3DF0FE" w14:textId="77777777" w:rsidR="00576B22"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09533624" w14:textId="77777777" w:rsidR="00576B22" w:rsidRPr="00925F26" w:rsidRDefault="00576B22" w:rsidP="00925F26">
      <w:pPr>
        <w:autoSpaceDE w:val="0"/>
        <w:autoSpaceDN w:val="0"/>
        <w:adjustRightInd w:val="0"/>
        <w:jc w:val="both"/>
        <w:rPr>
          <w:iCs/>
          <w:color w:val="000000" w:themeColor="text1"/>
          <w:sz w:val="16"/>
          <w:szCs w:val="16"/>
        </w:rPr>
      </w:pPr>
    </w:p>
    <w:p w14:paraId="5850ABD7" w14:textId="77777777" w:rsidR="00576B22" w:rsidRPr="00925F26" w:rsidRDefault="00576B22" w:rsidP="00925F26">
      <w:pPr>
        <w:jc w:val="both"/>
        <w:rPr>
          <w:color w:val="000000" w:themeColor="text1"/>
          <w:sz w:val="16"/>
          <w:szCs w:val="16"/>
        </w:rPr>
      </w:pPr>
      <w:r w:rsidRPr="00925F26">
        <w:rPr>
          <w:bCs/>
          <w:color w:val="000000" w:themeColor="text1"/>
          <w:sz w:val="16"/>
          <w:szCs w:val="16"/>
        </w:rPr>
        <w:t>27 июня</w:t>
      </w:r>
      <w:r w:rsidRPr="00925F26">
        <w:rPr>
          <w:color w:val="000000" w:themeColor="text1"/>
          <w:sz w:val="16"/>
          <w:szCs w:val="16"/>
        </w:rPr>
        <w:t xml:space="preserve"> в 1945 году звание генералиссимус присвоено В.И.Сталину (14935).</w:t>
      </w:r>
    </w:p>
    <w:p w14:paraId="29DD29C1" w14:textId="77777777" w:rsidR="00576B22" w:rsidRPr="00925F26" w:rsidRDefault="00576B22" w:rsidP="00925F26">
      <w:pPr>
        <w:jc w:val="both"/>
        <w:rPr>
          <w:color w:val="000000" w:themeColor="text1"/>
          <w:sz w:val="16"/>
          <w:szCs w:val="16"/>
        </w:rPr>
      </w:pPr>
    </w:p>
    <w:p w14:paraId="2497920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65C8EF60" w14:textId="77777777" w:rsidR="006103B3" w:rsidRPr="00925F26" w:rsidRDefault="006103B3" w:rsidP="00925F26">
      <w:pPr>
        <w:autoSpaceDE w:val="0"/>
        <w:autoSpaceDN w:val="0"/>
        <w:adjustRightInd w:val="0"/>
        <w:jc w:val="both"/>
        <w:rPr>
          <w:iCs/>
          <w:color w:val="000000" w:themeColor="text1"/>
          <w:sz w:val="16"/>
          <w:szCs w:val="16"/>
        </w:rPr>
      </w:pPr>
    </w:p>
    <w:p w14:paraId="68942C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27 июня 1945 И.В.С. было присвоено звание Генералиссимуса (3398,221).</w:t>
      </w:r>
    </w:p>
    <w:p w14:paraId="1789DED9" w14:textId="77777777" w:rsidR="006103B3" w:rsidRPr="00925F26" w:rsidRDefault="006103B3" w:rsidP="00925F26">
      <w:pPr>
        <w:autoSpaceDE w:val="0"/>
        <w:autoSpaceDN w:val="0"/>
        <w:adjustRightInd w:val="0"/>
        <w:jc w:val="both"/>
        <w:rPr>
          <w:color w:val="000000" w:themeColor="text1"/>
          <w:sz w:val="16"/>
          <w:szCs w:val="16"/>
        </w:rPr>
      </w:pPr>
    </w:p>
    <w:p w14:paraId="1F36E60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1823610E" w14:textId="77777777" w:rsidR="006103B3" w:rsidRPr="00925F26" w:rsidRDefault="006103B3" w:rsidP="00925F26">
      <w:pPr>
        <w:autoSpaceDE w:val="0"/>
        <w:autoSpaceDN w:val="0"/>
        <w:adjustRightInd w:val="0"/>
        <w:jc w:val="both"/>
        <w:rPr>
          <w:iCs/>
          <w:color w:val="000000" w:themeColor="text1"/>
          <w:sz w:val="16"/>
          <w:szCs w:val="16"/>
        </w:rPr>
      </w:pPr>
    </w:p>
    <w:p w14:paraId="204F06A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27 июня 1945 советское правительство приняло решение о выводе своих войск из Чехословакии (4962).</w:t>
      </w:r>
    </w:p>
    <w:p w14:paraId="12BE9008"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33A83D34" w14:textId="77777777" w:rsidR="00576B22" w:rsidRPr="00925F26" w:rsidRDefault="00576B22" w:rsidP="00925F26">
      <w:pPr>
        <w:jc w:val="both"/>
        <w:rPr>
          <w:color w:val="000000" w:themeColor="text1"/>
          <w:sz w:val="16"/>
          <w:szCs w:val="16"/>
        </w:rPr>
      </w:pPr>
      <w:r w:rsidRPr="00925F26">
        <w:rPr>
          <w:bCs/>
          <w:color w:val="000000" w:themeColor="text1"/>
          <w:sz w:val="16"/>
          <w:szCs w:val="16"/>
        </w:rPr>
        <w:t>27 июня</w:t>
      </w:r>
      <w:r w:rsidRPr="00925F26">
        <w:rPr>
          <w:color w:val="000000" w:themeColor="text1"/>
          <w:sz w:val="16"/>
          <w:szCs w:val="16"/>
        </w:rPr>
        <w:t xml:space="preserve"> в 1945 году Ставка ВГК издала директиву о выводе советских войск из Чехословакии (14935).</w:t>
      </w:r>
    </w:p>
    <w:p w14:paraId="5840B381" w14:textId="77777777" w:rsidR="00576B22" w:rsidRPr="00925F26" w:rsidRDefault="00576B22" w:rsidP="00925F26">
      <w:pPr>
        <w:jc w:val="both"/>
        <w:rPr>
          <w:color w:val="000000" w:themeColor="text1"/>
          <w:sz w:val="16"/>
          <w:szCs w:val="16"/>
        </w:rPr>
      </w:pPr>
    </w:p>
    <w:p w14:paraId="45333DDF" w14:textId="77777777" w:rsidR="00576B22"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59D95DF7" w14:textId="77777777" w:rsidR="00576B22" w:rsidRPr="00925F26" w:rsidRDefault="00576B22" w:rsidP="00925F26">
      <w:pPr>
        <w:autoSpaceDE w:val="0"/>
        <w:autoSpaceDN w:val="0"/>
        <w:adjustRightInd w:val="0"/>
        <w:jc w:val="both"/>
        <w:rPr>
          <w:iCs/>
          <w:color w:val="000000" w:themeColor="text1"/>
          <w:sz w:val="16"/>
          <w:szCs w:val="16"/>
        </w:rPr>
      </w:pPr>
    </w:p>
    <w:p w14:paraId="02F6B14A" w14:textId="77777777" w:rsidR="00576B22" w:rsidRPr="00925F26" w:rsidRDefault="00576B22" w:rsidP="00925F26">
      <w:pPr>
        <w:jc w:val="both"/>
        <w:rPr>
          <w:color w:val="000000" w:themeColor="text1"/>
          <w:sz w:val="16"/>
          <w:szCs w:val="16"/>
        </w:rPr>
      </w:pPr>
      <w:r w:rsidRPr="00925F26">
        <w:rPr>
          <w:bCs/>
          <w:color w:val="000000" w:themeColor="text1"/>
          <w:sz w:val="16"/>
          <w:szCs w:val="16"/>
        </w:rPr>
        <w:t>27 июня</w:t>
      </w:r>
      <w:r w:rsidRPr="00925F26">
        <w:rPr>
          <w:color w:val="000000" w:themeColor="text1"/>
          <w:sz w:val="16"/>
          <w:szCs w:val="16"/>
        </w:rPr>
        <w:t xml:space="preserve"> в 1945 году модернизирован и представлен на испытания «XF7F-3N» (№80548), ставший прототипом «XF7F-4N». Модификация «F7F-4N» вобрала в себя практически все изменения, вносившиеся в конструкцию предшественников в ходе эксплуатации: вертикальное оперение увеличенной высоты, усиленную конструкцию крыла и фюзеляжа, а также модифицированное шасси и посадочный крюк. В отличие от предыдущих модификаций "четверка" имела только один вариант - двухместный ночной истребитель, оснащенный радаром «AN/APS-19», вооружение которого состояло из четырех 20-мм пушек в крыле с боезапасом 200 выстрелов на ствол. Кроме того, машина могла нести на пилонах под крылом бомбы, ракеты и подвесные топливные баки. В основном переделки заключались в установке на самолет соответствующего радиоэлектронного и другого оборудования "четверки" (радар, автопилот «Р-1», прицел «Mk.8» и тому подобное</w:t>
      </w:r>
      <w:proofErr w:type="gramStart"/>
      <w:r w:rsidRPr="00925F26">
        <w:rPr>
          <w:color w:val="000000" w:themeColor="text1"/>
          <w:sz w:val="16"/>
          <w:szCs w:val="16"/>
        </w:rPr>
        <w:t>) ,</w:t>
      </w:r>
      <w:proofErr w:type="gramEnd"/>
      <w:r w:rsidRPr="00925F26">
        <w:rPr>
          <w:color w:val="000000" w:themeColor="text1"/>
          <w:sz w:val="16"/>
          <w:szCs w:val="16"/>
        </w:rPr>
        <w:t xml:space="preserve"> и не касались усиления конструкции. Серийные «F7F-4N» были поставлены заказчику в период с 17 сентября по 7 ноября 1946 г. в количестве 12 штук (№№80609-80620). Окончание войны и появление реактивной авиации поставили крест на «F7F-4N» (14935).</w:t>
      </w:r>
    </w:p>
    <w:p w14:paraId="4CFC0E38" w14:textId="77777777" w:rsidR="00576B22" w:rsidRPr="00925F26" w:rsidRDefault="00576B22" w:rsidP="00925F26">
      <w:pPr>
        <w:jc w:val="both"/>
        <w:rPr>
          <w:color w:val="000000" w:themeColor="text1"/>
          <w:sz w:val="16"/>
          <w:szCs w:val="16"/>
        </w:rPr>
      </w:pPr>
    </w:p>
    <w:p w14:paraId="7CBA45DF" w14:textId="77777777" w:rsidR="00576B22" w:rsidRPr="00925F26" w:rsidRDefault="00576B22" w:rsidP="00925F26">
      <w:pPr>
        <w:jc w:val="both"/>
        <w:rPr>
          <w:color w:val="000000" w:themeColor="text1"/>
          <w:sz w:val="16"/>
          <w:szCs w:val="16"/>
        </w:rPr>
      </w:pPr>
      <w:r w:rsidRPr="00925F26">
        <w:rPr>
          <w:bCs/>
          <w:color w:val="000000" w:themeColor="text1"/>
          <w:sz w:val="16"/>
          <w:szCs w:val="16"/>
        </w:rPr>
        <w:t>27 июня</w:t>
      </w:r>
      <w:r w:rsidRPr="00925F26">
        <w:rPr>
          <w:color w:val="000000" w:themeColor="text1"/>
          <w:sz w:val="16"/>
          <w:szCs w:val="16"/>
        </w:rPr>
        <w:t xml:space="preserve"> в 1945 году федеральная комиссия по связи США определила тринадцать каналов для телевидения (14935).</w:t>
      </w:r>
    </w:p>
    <w:p w14:paraId="11177074" w14:textId="77777777" w:rsidR="00576B22" w:rsidRPr="00925F26" w:rsidRDefault="00576B22" w:rsidP="00925F26">
      <w:pPr>
        <w:jc w:val="both"/>
        <w:rPr>
          <w:color w:val="000000" w:themeColor="text1"/>
          <w:sz w:val="16"/>
          <w:szCs w:val="16"/>
        </w:rPr>
      </w:pPr>
    </w:p>
    <w:p w14:paraId="4B41D01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6D97DF7" w14:textId="77777777" w:rsidR="006103B3" w:rsidRPr="00925F26" w:rsidRDefault="006103B3" w:rsidP="00925F26">
      <w:pPr>
        <w:autoSpaceDE w:val="0"/>
        <w:autoSpaceDN w:val="0"/>
        <w:adjustRightInd w:val="0"/>
        <w:jc w:val="both"/>
        <w:rPr>
          <w:iCs/>
          <w:color w:val="000000" w:themeColor="text1"/>
          <w:sz w:val="16"/>
          <w:szCs w:val="16"/>
        </w:rPr>
      </w:pPr>
    </w:p>
    <w:p w14:paraId="50C2449F" w14:textId="77777777" w:rsidR="004709B0" w:rsidRPr="00925F26" w:rsidRDefault="004709B0" w:rsidP="00925F26">
      <w:pPr>
        <w:jc w:val="both"/>
        <w:textAlignment w:val="top"/>
        <w:rPr>
          <w:color w:val="000000" w:themeColor="text1"/>
          <w:sz w:val="16"/>
          <w:szCs w:val="16"/>
        </w:rPr>
      </w:pPr>
      <w:r w:rsidRPr="00925F26">
        <w:rPr>
          <w:color w:val="000000" w:themeColor="text1"/>
          <w:sz w:val="16"/>
          <w:szCs w:val="16"/>
        </w:rPr>
        <w:t>28 июня 1945 вышел приказ НКАП</w:t>
      </w:r>
    </w:p>
    <w:p w14:paraId="47CF6413" w14:textId="77777777" w:rsidR="004709B0" w:rsidRPr="00925F26" w:rsidRDefault="004709B0" w:rsidP="00925F26">
      <w:pPr>
        <w:jc w:val="both"/>
        <w:textAlignment w:val="top"/>
        <w:rPr>
          <w:color w:val="000000" w:themeColor="text1"/>
          <w:sz w:val="16"/>
          <w:szCs w:val="16"/>
        </w:rPr>
      </w:pPr>
      <w:r w:rsidRPr="00925F26">
        <w:rPr>
          <w:color w:val="000000" w:themeColor="text1"/>
          <w:sz w:val="16"/>
          <w:szCs w:val="16"/>
        </w:rPr>
        <w:t>О серийном производстве на з-де N1 двухмоторных бомбардировщиков Ту-2 с моторами АМ-39ФН.</w:t>
      </w:r>
    </w:p>
    <w:p w14:paraId="7A3EFE59" w14:textId="77777777" w:rsidR="004709B0" w:rsidRPr="00925F26" w:rsidRDefault="004709B0" w:rsidP="00925F26">
      <w:pPr>
        <w:jc w:val="both"/>
        <w:textAlignment w:val="top"/>
        <w:rPr>
          <w:color w:val="000000" w:themeColor="text1"/>
          <w:sz w:val="16"/>
          <w:szCs w:val="16"/>
        </w:rPr>
      </w:pPr>
    </w:p>
    <w:p w14:paraId="5DB0872E" w14:textId="77777777" w:rsidR="004709B0" w:rsidRPr="00925F26" w:rsidRDefault="004709B0" w:rsidP="00925F26">
      <w:pPr>
        <w:autoSpaceDE w:val="0"/>
        <w:autoSpaceDN w:val="0"/>
        <w:adjustRightInd w:val="0"/>
        <w:jc w:val="both"/>
        <w:rPr>
          <w:color w:val="000000" w:themeColor="text1"/>
          <w:sz w:val="16"/>
          <w:szCs w:val="16"/>
        </w:rPr>
      </w:pPr>
      <w:r w:rsidRPr="00925F26">
        <w:rPr>
          <w:color w:val="000000" w:themeColor="text1"/>
          <w:sz w:val="16"/>
          <w:szCs w:val="16"/>
        </w:rPr>
        <w:t>Гос. испытания 68 машины А.Н.Т. - фронтового скоростного бомбардировщика - проходили с 28 июня по 30 июля 1945, но так и не были закончены (1835,58).</w:t>
      </w:r>
    </w:p>
    <w:p w14:paraId="583ECA73" w14:textId="77777777" w:rsidR="004709B0" w:rsidRPr="00925F26" w:rsidRDefault="004709B0" w:rsidP="00925F26">
      <w:pPr>
        <w:autoSpaceDE w:val="0"/>
        <w:autoSpaceDN w:val="0"/>
        <w:adjustRightInd w:val="0"/>
        <w:jc w:val="both"/>
        <w:rPr>
          <w:color w:val="000000" w:themeColor="text1"/>
          <w:sz w:val="16"/>
          <w:szCs w:val="16"/>
        </w:rPr>
      </w:pPr>
    </w:p>
    <w:p w14:paraId="7BE9765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года начальник гл. управления заказов ВВС генерал-лейтенант ИАС Селезнев писал письмо N 703898 Шахурину.</w:t>
      </w:r>
    </w:p>
    <w:p w14:paraId="466DDC4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октябре 1944 года в ГК НИИ ВВС прошел государственные испытания самолет Ще-2, оборудованный в качестве летающего штурманского класса.</w:t>
      </w:r>
    </w:p>
    <w:p w14:paraId="7FA815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прошли успешно - самолет был рекомендован для снабжения школ ВВС.</w:t>
      </w:r>
    </w:p>
    <w:p w14:paraId="6E5B8E1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Силами 2-й Чкаловской Авиашколы и завода N 47 в 1944-1945 г.г. было оборудовано 12 самолетов Ще-2 в штурманском варианте, эксплуатация которых показала полную их целесообразность и пригодность для обучения летного состава ВВС радиосвязи и аэронавигации.</w:t>
      </w:r>
    </w:p>
    <w:p w14:paraId="4967A5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решению командования ВВС для укомплектования школ ВВС в 1945 году ежемесячно требуется 10 самолетов Ще-2 в штурманском варианте.</w:t>
      </w:r>
    </w:p>
    <w:p w14:paraId="283D99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Прошу Ваших указаний заводу N 47 о выпуске в III квартале и последующих месяцах 1945 года по 10 самолетов Ще-2 в штурманском варианте ежемесячно (1879).</w:t>
      </w:r>
    </w:p>
    <w:p w14:paraId="5E290B4A" w14:textId="77777777" w:rsidR="006103B3" w:rsidRPr="00925F26" w:rsidRDefault="006103B3" w:rsidP="00925F26">
      <w:pPr>
        <w:autoSpaceDE w:val="0"/>
        <w:autoSpaceDN w:val="0"/>
        <w:adjustRightInd w:val="0"/>
        <w:jc w:val="both"/>
        <w:rPr>
          <w:color w:val="000000" w:themeColor="text1"/>
          <w:sz w:val="16"/>
          <w:szCs w:val="16"/>
        </w:rPr>
      </w:pPr>
    </w:p>
    <w:p w14:paraId="67A2F07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года был утвержден акт по результатам Государственные испытания второго экземпляра "СДБ".</w:t>
      </w:r>
    </w:p>
    <w:p w14:paraId="70F01C9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6857D0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A1A945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Самолет не может быть рекомендован на вооружение Красной Армии в качестве бомбардировщика".</w:t>
      </w:r>
    </w:p>
    <w:p w14:paraId="38B8BD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242C63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6BB930E" w14:textId="77777777" w:rsidR="006103B3" w:rsidRPr="00925F26" w:rsidRDefault="006103B3" w:rsidP="00925F26">
      <w:pPr>
        <w:autoSpaceDE w:val="0"/>
        <w:autoSpaceDN w:val="0"/>
        <w:adjustRightInd w:val="0"/>
        <w:jc w:val="both"/>
        <w:rPr>
          <w:color w:val="000000" w:themeColor="text1"/>
          <w:sz w:val="16"/>
          <w:szCs w:val="16"/>
        </w:rPr>
      </w:pPr>
    </w:p>
    <w:p w14:paraId="150587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28 июня по 30 июля 1945 машина А.Н.Т. 68 (Ту-4 ил потом Ту-10) была на гос. испытаниях в НИИ ВВС - до аварии (2546,37).</w:t>
      </w:r>
    </w:p>
    <w:p w14:paraId="101FDCBC" w14:textId="77777777" w:rsidR="006103B3" w:rsidRPr="00925F26" w:rsidRDefault="006103B3" w:rsidP="00925F26">
      <w:pPr>
        <w:autoSpaceDE w:val="0"/>
        <w:autoSpaceDN w:val="0"/>
        <w:adjustRightInd w:val="0"/>
        <w:jc w:val="both"/>
        <w:rPr>
          <w:color w:val="000000" w:themeColor="text1"/>
          <w:sz w:val="16"/>
          <w:szCs w:val="16"/>
        </w:rPr>
      </w:pPr>
    </w:p>
    <w:p w14:paraId="3163D6CA" w14:textId="77777777" w:rsidR="00576B22" w:rsidRPr="00925F26" w:rsidRDefault="00576B22" w:rsidP="00925F26">
      <w:pPr>
        <w:jc w:val="both"/>
        <w:rPr>
          <w:color w:val="000000" w:themeColor="text1"/>
          <w:sz w:val="16"/>
          <w:szCs w:val="16"/>
        </w:rPr>
      </w:pPr>
      <w:r w:rsidRPr="00925F26">
        <w:rPr>
          <w:bCs/>
          <w:color w:val="000000" w:themeColor="text1"/>
          <w:sz w:val="16"/>
          <w:szCs w:val="16"/>
        </w:rPr>
        <w:t>28 июня</w:t>
      </w:r>
      <w:r w:rsidRPr="00925F26">
        <w:rPr>
          <w:color w:val="000000" w:themeColor="text1"/>
          <w:sz w:val="16"/>
          <w:szCs w:val="16"/>
        </w:rPr>
        <w:t xml:space="preserve"> в 1945 году в НИИ ВВС начались (по 30 июля) государственные испытания </w:t>
      </w:r>
      <w:hyperlink r:id="rId159" w:tgtFrame="_blank" w:history="1">
        <w:r w:rsidRPr="00925F26">
          <w:rPr>
            <w:color w:val="000000" w:themeColor="text1"/>
            <w:sz w:val="16"/>
            <w:szCs w:val="16"/>
          </w:rPr>
          <w:t xml:space="preserve">«Ту-10». </w:t>
        </w:r>
      </w:hyperlink>
      <w:r w:rsidRPr="00925F26">
        <w:rPr>
          <w:color w:val="000000" w:themeColor="text1"/>
          <w:sz w:val="16"/>
          <w:szCs w:val="16"/>
        </w:rPr>
        <w:t>На 35-м полете при аварийной посадке с убранным шасси самолет получил повреждения, и испытания были прерваны. С 30 июля по 16 ноября машина находилась в ремонте (14936).</w:t>
      </w:r>
    </w:p>
    <w:p w14:paraId="5E33C997" w14:textId="77777777" w:rsidR="00576B22" w:rsidRPr="00925F26" w:rsidRDefault="00576B22" w:rsidP="00925F26">
      <w:pPr>
        <w:jc w:val="both"/>
        <w:rPr>
          <w:color w:val="000000" w:themeColor="text1"/>
          <w:sz w:val="16"/>
          <w:szCs w:val="16"/>
        </w:rPr>
      </w:pPr>
    </w:p>
    <w:p w14:paraId="03C987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28 июня 1945 вышел приказ НКАП N 268 в исполнение постановления ГОКО от 6 июня 1945 N 8934сс - 1894,73), которым ОКБ А.Н.Т. было поручено внедрение 68 самолета (с АМ39ФН - 1894,73) в серию на заводе 1 в Куйбышеве. Хотели 2 в ноябре и 5 в декабре с расчетом выпуска 1 машины в сутки в феврале и 6 с ноября 1946 - 1894,73. </w:t>
      </w:r>
      <w:proofErr w:type="gramStart"/>
      <w:r w:rsidRPr="00925F26">
        <w:rPr>
          <w:color w:val="000000" w:themeColor="text1"/>
          <w:sz w:val="16"/>
          <w:szCs w:val="16"/>
        </w:rPr>
        <w:t>При подготовки</w:t>
      </w:r>
      <w:proofErr w:type="gramEnd"/>
      <w:r w:rsidRPr="00925F26">
        <w:rPr>
          <w:color w:val="000000" w:themeColor="text1"/>
          <w:sz w:val="16"/>
          <w:szCs w:val="16"/>
        </w:rPr>
        <w:t xml:space="preserve"> тех. документации для серии учитывались результаты испытаний 68 и доводок других машин на основе Ту-2. Первая и последняя серия из 10 машин появилась только в начале 1947 и обозначение Ту-4, которое передали Б-4, заменили на Ту-10 (1835,58).</w:t>
      </w:r>
    </w:p>
    <w:p w14:paraId="6556F446" w14:textId="77777777" w:rsidR="006103B3" w:rsidRPr="00925F26" w:rsidRDefault="006103B3" w:rsidP="00925F26">
      <w:pPr>
        <w:autoSpaceDE w:val="0"/>
        <w:autoSpaceDN w:val="0"/>
        <w:adjustRightInd w:val="0"/>
        <w:jc w:val="both"/>
        <w:rPr>
          <w:color w:val="000000" w:themeColor="text1"/>
          <w:sz w:val="16"/>
          <w:szCs w:val="16"/>
        </w:rPr>
      </w:pPr>
    </w:p>
    <w:p w14:paraId="53E600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28 июня по 30 июля 1945 г. проходил государственные испытания самолет Туполева типа "68" с двигателями АМ-39ФНВ. Оказалось, что АМ-39ФНВ, созданный на базе мотора АМ-38Ф, не мог обеспечить достаточно надежную работу на режимах взлетной и боевой мощности. В связи с этим Микулин решил изменить базу с АМ-38Ф на АМ-42 (9032).</w:t>
      </w:r>
    </w:p>
    <w:p w14:paraId="39B16E8F" w14:textId="77777777" w:rsidR="006103B3" w:rsidRPr="00925F26" w:rsidRDefault="006103B3" w:rsidP="00925F26">
      <w:pPr>
        <w:autoSpaceDE w:val="0"/>
        <w:autoSpaceDN w:val="0"/>
        <w:adjustRightInd w:val="0"/>
        <w:jc w:val="both"/>
        <w:rPr>
          <w:color w:val="000000" w:themeColor="text1"/>
          <w:sz w:val="16"/>
          <w:szCs w:val="16"/>
        </w:rPr>
      </w:pPr>
    </w:p>
    <w:p w14:paraId="14C8FD6B" w14:textId="77777777" w:rsidR="00184E53" w:rsidRPr="001A0BAA" w:rsidRDefault="00184E53" w:rsidP="00184E53">
      <w:pPr>
        <w:jc w:val="both"/>
        <w:rPr>
          <w:color w:val="0070C0"/>
          <w:sz w:val="16"/>
          <w:szCs w:val="16"/>
        </w:rPr>
      </w:pPr>
      <w:r w:rsidRPr="001A0BAA">
        <w:rPr>
          <w:color w:val="0070C0"/>
          <w:sz w:val="16"/>
          <w:szCs w:val="16"/>
        </w:rPr>
        <w:t>С 28 июня по 30 июля 1945 года проходили государственные испытания машины А.Н.Т. «68», фронтового бомбардировщика, который также обозначался как Ту</w:t>
      </w:r>
      <w:r w:rsidRPr="001A0BAA">
        <w:rPr>
          <w:color w:val="0070C0"/>
          <w:sz w:val="16"/>
          <w:szCs w:val="16"/>
        </w:rPr>
        <w:noBreakHyphen/>
        <w:t>10 или Ту</w:t>
      </w:r>
      <w:r w:rsidRPr="001A0BAA">
        <w:rPr>
          <w:color w:val="0070C0"/>
          <w:sz w:val="16"/>
          <w:szCs w:val="16"/>
        </w:rPr>
        <w:noBreakHyphen/>
        <w:t>4.</w:t>
      </w:r>
    </w:p>
    <w:p w14:paraId="7DAEA964" w14:textId="77777777" w:rsidR="00184E53" w:rsidRPr="001A0BAA" w:rsidRDefault="00184E53" w:rsidP="00184E53">
      <w:pPr>
        <w:jc w:val="both"/>
        <w:rPr>
          <w:color w:val="0070C0"/>
          <w:sz w:val="16"/>
          <w:szCs w:val="16"/>
        </w:rPr>
      </w:pPr>
      <w:r w:rsidRPr="001A0BAA">
        <w:rPr>
          <w:color w:val="0070C0"/>
          <w:sz w:val="16"/>
          <w:szCs w:val="16"/>
        </w:rPr>
        <w:t>От серийного Ту</w:t>
      </w:r>
      <w:r w:rsidRPr="001A0BAA">
        <w:rPr>
          <w:color w:val="0070C0"/>
          <w:sz w:val="16"/>
          <w:szCs w:val="16"/>
        </w:rPr>
        <w:noBreakHyphen/>
        <w:t>2 он отличался в следующих деталях:</w:t>
      </w:r>
    </w:p>
    <w:p w14:paraId="30A55206" w14:textId="77777777" w:rsidR="00184E53" w:rsidRPr="001A0BAA" w:rsidRDefault="00184E53" w:rsidP="00184E53">
      <w:pPr>
        <w:jc w:val="both"/>
        <w:rPr>
          <w:color w:val="0070C0"/>
          <w:sz w:val="16"/>
          <w:szCs w:val="16"/>
        </w:rPr>
      </w:pPr>
      <w:r w:rsidRPr="001A0BAA">
        <w:rPr>
          <w:color w:val="0070C0"/>
          <w:sz w:val="16"/>
          <w:szCs w:val="16"/>
        </w:rPr>
        <w:t>Увеличенная площадь остекления в носовой части фюзеляжа, три бортовых окна заменены одним большим. В центроплан перенесли радиаторы;</w:t>
      </w:r>
    </w:p>
    <w:p w14:paraId="51486AD9" w14:textId="77777777" w:rsidR="00184E53" w:rsidRPr="001A0BAA" w:rsidRDefault="00184E53" w:rsidP="00184E53">
      <w:pPr>
        <w:jc w:val="both"/>
        <w:rPr>
          <w:color w:val="0070C0"/>
          <w:sz w:val="16"/>
          <w:szCs w:val="16"/>
        </w:rPr>
      </w:pPr>
      <w:r w:rsidRPr="001A0BAA">
        <w:rPr>
          <w:color w:val="0070C0"/>
          <w:sz w:val="16"/>
          <w:szCs w:val="16"/>
        </w:rPr>
        <w:t>Установлены двигатели АМ</w:t>
      </w:r>
      <w:r w:rsidRPr="001A0BAA">
        <w:rPr>
          <w:color w:val="0070C0"/>
          <w:sz w:val="16"/>
          <w:szCs w:val="16"/>
        </w:rPr>
        <w:noBreakHyphen/>
        <w:t>39ФНВ;</w:t>
      </w:r>
    </w:p>
    <w:p w14:paraId="6237E949" w14:textId="77777777" w:rsidR="00184E53" w:rsidRPr="001A0BAA" w:rsidRDefault="00184E53" w:rsidP="00184E53">
      <w:pPr>
        <w:jc w:val="both"/>
        <w:rPr>
          <w:color w:val="0070C0"/>
          <w:sz w:val="16"/>
          <w:szCs w:val="16"/>
        </w:rPr>
      </w:pPr>
      <w:r w:rsidRPr="001A0BAA">
        <w:rPr>
          <w:color w:val="0070C0"/>
          <w:sz w:val="16"/>
          <w:szCs w:val="16"/>
        </w:rPr>
        <w:t>Изменили планировку кабины штурмана и стрелка</w:t>
      </w:r>
      <w:r w:rsidRPr="001A0BAA">
        <w:rPr>
          <w:color w:val="0070C0"/>
          <w:sz w:val="16"/>
          <w:szCs w:val="16"/>
        </w:rPr>
        <w:noBreakHyphen/>
        <w:t>радиста, модифицировали огневую точку в нижней части фюзеляжа</w:t>
      </w:r>
    </w:p>
    <w:p w14:paraId="15FD8949" w14:textId="77777777" w:rsidR="00184E53" w:rsidRPr="001A0BAA" w:rsidRDefault="00184E53" w:rsidP="00184E53">
      <w:pPr>
        <w:jc w:val="both"/>
        <w:rPr>
          <w:color w:val="0070C0"/>
          <w:sz w:val="16"/>
          <w:szCs w:val="16"/>
        </w:rPr>
      </w:pPr>
      <w:r w:rsidRPr="001A0BAA">
        <w:rPr>
          <w:color w:val="0070C0"/>
          <w:sz w:val="16"/>
          <w:szCs w:val="16"/>
        </w:rPr>
        <w:t>В испытаниях участвовал экипаж в составе: пилот А.Д. Перелет и инженер Б.Н. Гроздов. Характеристики самолета:</w:t>
      </w:r>
    </w:p>
    <w:p w14:paraId="3A888159" w14:textId="77777777" w:rsidR="00184E53" w:rsidRPr="001A0BAA" w:rsidRDefault="00184E53" w:rsidP="00184E53">
      <w:pPr>
        <w:jc w:val="both"/>
        <w:rPr>
          <w:color w:val="0070C0"/>
          <w:sz w:val="16"/>
          <w:szCs w:val="16"/>
        </w:rPr>
      </w:pPr>
      <w:r w:rsidRPr="001A0BAA">
        <w:rPr>
          <w:color w:val="0070C0"/>
          <w:sz w:val="16"/>
          <w:szCs w:val="16"/>
        </w:rPr>
        <w:t>Двигатели: два АМ</w:t>
      </w:r>
      <w:r w:rsidRPr="001A0BAA">
        <w:rPr>
          <w:color w:val="0070C0"/>
          <w:sz w:val="16"/>
          <w:szCs w:val="16"/>
        </w:rPr>
        <w:noBreakHyphen/>
        <w:t>39ФНВ</w:t>
      </w:r>
    </w:p>
    <w:p w14:paraId="21D70648" w14:textId="77777777" w:rsidR="00184E53" w:rsidRPr="001A0BAA" w:rsidRDefault="00184E53" w:rsidP="00184E53">
      <w:pPr>
        <w:jc w:val="both"/>
        <w:rPr>
          <w:color w:val="0070C0"/>
          <w:sz w:val="16"/>
          <w:szCs w:val="16"/>
        </w:rPr>
      </w:pPr>
      <w:r w:rsidRPr="001A0BAA">
        <w:rPr>
          <w:color w:val="0070C0"/>
          <w:sz w:val="16"/>
          <w:szCs w:val="16"/>
        </w:rPr>
        <w:t>Винты: трехлопастные АВ</w:t>
      </w:r>
      <w:r w:rsidRPr="001A0BAA">
        <w:rPr>
          <w:color w:val="0070C0"/>
          <w:sz w:val="16"/>
          <w:szCs w:val="16"/>
        </w:rPr>
        <w:noBreakHyphen/>
        <w:t>5ЛВ</w:t>
      </w:r>
      <w:r w:rsidRPr="001A0BAA">
        <w:rPr>
          <w:color w:val="0070C0"/>
          <w:sz w:val="16"/>
          <w:szCs w:val="16"/>
        </w:rPr>
        <w:noBreakHyphen/>
        <w:t>22А диаметром 3,6 м</w:t>
      </w:r>
    </w:p>
    <w:p w14:paraId="5118AE8E" w14:textId="77777777" w:rsidR="00184E53" w:rsidRPr="001A0BAA" w:rsidRDefault="00184E53" w:rsidP="00184E53">
      <w:pPr>
        <w:jc w:val="both"/>
        <w:rPr>
          <w:color w:val="0070C0"/>
          <w:sz w:val="16"/>
          <w:szCs w:val="16"/>
        </w:rPr>
      </w:pPr>
      <w:r w:rsidRPr="001A0BAA">
        <w:rPr>
          <w:color w:val="0070C0"/>
          <w:sz w:val="16"/>
          <w:szCs w:val="16"/>
        </w:rPr>
        <w:t>Взлетная масса: 11370 кг</w:t>
      </w:r>
    </w:p>
    <w:p w14:paraId="3AED527B" w14:textId="77777777" w:rsidR="00184E53" w:rsidRPr="001A0BAA" w:rsidRDefault="00184E53" w:rsidP="00184E53">
      <w:pPr>
        <w:jc w:val="both"/>
        <w:rPr>
          <w:color w:val="0070C0"/>
          <w:sz w:val="16"/>
          <w:szCs w:val="16"/>
        </w:rPr>
      </w:pPr>
      <w:r w:rsidRPr="001A0BAA">
        <w:rPr>
          <w:color w:val="0070C0"/>
          <w:sz w:val="16"/>
          <w:szCs w:val="16"/>
        </w:rPr>
        <w:t>Нормальная бомбовая нагрузка: 1000 кг</w:t>
      </w:r>
    </w:p>
    <w:p w14:paraId="3D820ACE" w14:textId="77777777" w:rsidR="00184E53" w:rsidRPr="001A0BAA" w:rsidRDefault="00184E53" w:rsidP="00184E53">
      <w:pPr>
        <w:jc w:val="both"/>
        <w:rPr>
          <w:color w:val="0070C0"/>
          <w:sz w:val="16"/>
          <w:szCs w:val="16"/>
        </w:rPr>
      </w:pPr>
      <w:r w:rsidRPr="001A0BAA">
        <w:rPr>
          <w:color w:val="0070C0"/>
          <w:sz w:val="16"/>
          <w:szCs w:val="16"/>
        </w:rPr>
        <w:t>Максимальная бомбовая нагрузка: 4000 кг</w:t>
      </w:r>
    </w:p>
    <w:p w14:paraId="40E55DAC" w14:textId="77777777" w:rsidR="00184E53" w:rsidRPr="001A0BAA" w:rsidRDefault="00184E53" w:rsidP="00184E53">
      <w:pPr>
        <w:jc w:val="both"/>
        <w:rPr>
          <w:color w:val="0070C0"/>
          <w:sz w:val="16"/>
          <w:szCs w:val="16"/>
        </w:rPr>
      </w:pPr>
      <w:r w:rsidRPr="001A0BAA">
        <w:rPr>
          <w:color w:val="0070C0"/>
          <w:sz w:val="16"/>
          <w:szCs w:val="16"/>
        </w:rPr>
        <w:t>Максимальная скорость: 635 км/ч на высоте 7100 м</w:t>
      </w:r>
    </w:p>
    <w:p w14:paraId="3A476B59" w14:textId="77777777" w:rsidR="00184E53" w:rsidRPr="001A0BAA" w:rsidRDefault="00184E53" w:rsidP="00184E53">
      <w:pPr>
        <w:jc w:val="both"/>
        <w:rPr>
          <w:color w:val="0070C0"/>
          <w:sz w:val="16"/>
          <w:szCs w:val="16"/>
        </w:rPr>
      </w:pPr>
      <w:r w:rsidRPr="001A0BAA">
        <w:rPr>
          <w:color w:val="0070C0"/>
          <w:sz w:val="16"/>
          <w:szCs w:val="16"/>
        </w:rPr>
        <w:t>Скороподъемность: 5000 м за 11,1 мин</w:t>
      </w:r>
    </w:p>
    <w:p w14:paraId="60EE0355" w14:textId="77777777" w:rsidR="00184E53" w:rsidRPr="001A0BAA" w:rsidRDefault="00184E53" w:rsidP="00184E53">
      <w:pPr>
        <w:jc w:val="both"/>
        <w:rPr>
          <w:color w:val="0070C0"/>
          <w:sz w:val="16"/>
          <w:szCs w:val="16"/>
        </w:rPr>
      </w:pPr>
      <w:r w:rsidRPr="001A0BAA">
        <w:rPr>
          <w:color w:val="0070C0"/>
          <w:sz w:val="16"/>
          <w:szCs w:val="16"/>
        </w:rPr>
        <w:t>Потолок: 9800 м</w:t>
      </w:r>
    </w:p>
    <w:p w14:paraId="2602B117" w14:textId="77777777" w:rsidR="00184E53" w:rsidRPr="001A0BAA" w:rsidRDefault="00184E53" w:rsidP="00184E53">
      <w:pPr>
        <w:jc w:val="both"/>
        <w:rPr>
          <w:color w:val="0070C0"/>
          <w:sz w:val="16"/>
          <w:szCs w:val="16"/>
        </w:rPr>
      </w:pPr>
      <w:r w:rsidRPr="001A0BAA">
        <w:rPr>
          <w:color w:val="0070C0"/>
          <w:sz w:val="16"/>
          <w:szCs w:val="16"/>
        </w:rPr>
        <w:t>Техническая дальность полета: 1660 км</w:t>
      </w:r>
    </w:p>
    <w:p w14:paraId="505097B2" w14:textId="77777777" w:rsidR="00184E53" w:rsidRPr="001A0BAA" w:rsidRDefault="00184E53" w:rsidP="00184E53">
      <w:pPr>
        <w:jc w:val="both"/>
        <w:rPr>
          <w:color w:val="0070C0"/>
          <w:sz w:val="16"/>
          <w:szCs w:val="16"/>
        </w:rPr>
      </w:pPr>
      <w:r w:rsidRPr="001A0BAA">
        <w:rPr>
          <w:color w:val="0070C0"/>
          <w:sz w:val="16"/>
          <w:szCs w:val="16"/>
        </w:rPr>
        <w:t>Вооружение: две 20</w:t>
      </w:r>
      <w:r w:rsidRPr="001A0BAA">
        <w:rPr>
          <w:color w:val="0070C0"/>
          <w:sz w:val="16"/>
          <w:szCs w:val="16"/>
        </w:rPr>
        <w:noBreakHyphen/>
        <w:t>мм пушки и три 12,7</w:t>
      </w:r>
      <w:r w:rsidRPr="001A0BAA">
        <w:rPr>
          <w:color w:val="0070C0"/>
          <w:sz w:val="16"/>
          <w:szCs w:val="16"/>
        </w:rPr>
        <w:noBreakHyphen/>
        <w:t>мм пулемета</w:t>
      </w:r>
    </w:p>
    <w:p w14:paraId="3ED8676C" w14:textId="77777777" w:rsidR="00184E53" w:rsidRPr="001A0BAA" w:rsidRDefault="00184E53" w:rsidP="00184E53">
      <w:pPr>
        <w:jc w:val="both"/>
        <w:rPr>
          <w:color w:val="0070C0"/>
          <w:sz w:val="16"/>
          <w:szCs w:val="16"/>
        </w:rPr>
      </w:pPr>
      <w:r w:rsidRPr="001A0BAA">
        <w:rPr>
          <w:color w:val="0070C0"/>
          <w:sz w:val="16"/>
          <w:szCs w:val="16"/>
        </w:rPr>
        <w:t>Экипаж: 4 человека.</w:t>
      </w:r>
    </w:p>
    <w:p w14:paraId="0F047952" w14:textId="77777777" w:rsidR="00184E53" w:rsidRPr="001A0BAA" w:rsidRDefault="00184E53" w:rsidP="00184E53">
      <w:pPr>
        <w:jc w:val="both"/>
        <w:rPr>
          <w:color w:val="0070C0"/>
          <w:sz w:val="16"/>
          <w:szCs w:val="16"/>
        </w:rPr>
      </w:pPr>
      <w:r w:rsidRPr="001A0BAA">
        <w:rPr>
          <w:color w:val="0070C0"/>
          <w:sz w:val="16"/>
          <w:szCs w:val="16"/>
        </w:rPr>
        <w:t>Испытания не завершили, так как во время 35</w:t>
      </w:r>
      <w:r w:rsidRPr="001A0BAA">
        <w:rPr>
          <w:color w:val="0070C0"/>
          <w:sz w:val="16"/>
          <w:szCs w:val="16"/>
        </w:rPr>
        <w:noBreakHyphen/>
        <w:t>го полета пришлось сажать машину на брюхо. Ремонт длился с 30 июля по 16 ноября 1945 года, после чего бомбардировщик направили на повторные заводские испытания. Испытания длились до 8 февраля 1946 года (25073).</w:t>
      </w:r>
    </w:p>
    <w:p w14:paraId="39AF0586" w14:textId="77777777" w:rsidR="00184E53" w:rsidRPr="001A0BAA" w:rsidRDefault="00184E53" w:rsidP="00184E53">
      <w:pPr>
        <w:jc w:val="both"/>
        <w:rPr>
          <w:color w:val="0070C0"/>
          <w:sz w:val="16"/>
          <w:szCs w:val="16"/>
        </w:rPr>
      </w:pPr>
    </w:p>
    <w:p w14:paraId="0A73AB24" w14:textId="77777777" w:rsidR="00184E53" w:rsidRPr="001A0BAA" w:rsidRDefault="00184E53" w:rsidP="00184E53">
      <w:pPr>
        <w:jc w:val="both"/>
        <w:rPr>
          <w:color w:val="0070C0"/>
          <w:sz w:val="16"/>
          <w:szCs w:val="16"/>
        </w:rPr>
      </w:pPr>
      <w:r w:rsidRPr="001A0BAA">
        <w:rPr>
          <w:color w:val="0070C0"/>
          <w:sz w:val="16"/>
          <w:szCs w:val="16"/>
        </w:rPr>
        <w:t>28 июня 1945 года появился приказ Министерства авиационной промышленности № 258, в котором предписывалось начать выпуск самолетов типа «68» 2АМ</w:t>
      </w:r>
      <w:r w:rsidRPr="001A0BAA">
        <w:rPr>
          <w:color w:val="0070C0"/>
          <w:sz w:val="16"/>
          <w:szCs w:val="16"/>
        </w:rPr>
        <w:noBreakHyphen/>
        <w:t>39ФН2 на заводе № 1 в Куйбышеве. Самолет «68» отличался от серийного Ту</w:t>
      </w:r>
      <w:r w:rsidRPr="001A0BAA">
        <w:rPr>
          <w:color w:val="0070C0"/>
          <w:sz w:val="16"/>
          <w:szCs w:val="16"/>
        </w:rPr>
        <w:noBreakHyphen/>
        <w:t>2 следующими деталями:</w:t>
      </w:r>
    </w:p>
    <w:p w14:paraId="1279462B" w14:textId="77777777" w:rsidR="00184E53" w:rsidRPr="001A0BAA" w:rsidRDefault="00184E53" w:rsidP="00184E53">
      <w:pPr>
        <w:jc w:val="both"/>
        <w:rPr>
          <w:color w:val="0070C0"/>
          <w:sz w:val="16"/>
          <w:szCs w:val="16"/>
        </w:rPr>
      </w:pPr>
      <w:r w:rsidRPr="001A0BAA">
        <w:rPr>
          <w:color w:val="0070C0"/>
          <w:sz w:val="16"/>
          <w:szCs w:val="16"/>
        </w:rPr>
        <w:t>Полностью изменена двигательная установка;</w:t>
      </w:r>
    </w:p>
    <w:p w14:paraId="51859B0A" w14:textId="77777777" w:rsidR="00184E53" w:rsidRPr="001A0BAA" w:rsidRDefault="00184E53" w:rsidP="00184E53">
      <w:pPr>
        <w:jc w:val="both"/>
        <w:rPr>
          <w:color w:val="0070C0"/>
          <w:sz w:val="16"/>
          <w:szCs w:val="16"/>
        </w:rPr>
      </w:pPr>
      <w:r w:rsidRPr="001A0BAA">
        <w:rPr>
          <w:color w:val="0070C0"/>
          <w:sz w:val="16"/>
          <w:szCs w:val="16"/>
        </w:rPr>
        <w:t>Установлен новый фонарь кабины;</w:t>
      </w:r>
    </w:p>
    <w:p w14:paraId="0D99AA0C" w14:textId="77777777" w:rsidR="00184E53" w:rsidRPr="001A0BAA" w:rsidRDefault="00184E53" w:rsidP="00184E53">
      <w:pPr>
        <w:jc w:val="both"/>
        <w:rPr>
          <w:color w:val="0070C0"/>
          <w:sz w:val="16"/>
          <w:szCs w:val="16"/>
        </w:rPr>
      </w:pPr>
      <w:r w:rsidRPr="001A0BAA">
        <w:rPr>
          <w:color w:val="0070C0"/>
          <w:sz w:val="16"/>
          <w:szCs w:val="16"/>
        </w:rPr>
        <w:t>Усилена хвостовая часть.</w:t>
      </w:r>
    </w:p>
    <w:p w14:paraId="5B1D58E9" w14:textId="77777777" w:rsidR="00184E53" w:rsidRPr="001A0BAA" w:rsidRDefault="00184E53" w:rsidP="00184E53">
      <w:pPr>
        <w:jc w:val="both"/>
        <w:rPr>
          <w:color w:val="0070C0"/>
          <w:sz w:val="16"/>
          <w:szCs w:val="16"/>
        </w:rPr>
      </w:pPr>
      <w:r w:rsidRPr="001A0BAA">
        <w:rPr>
          <w:color w:val="0070C0"/>
          <w:sz w:val="16"/>
          <w:szCs w:val="16"/>
        </w:rPr>
        <w:t>В начале 1947 года завод выпустил первую серию машин, обозначенных как Ту</w:t>
      </w:r>
      <w:r w:rsidRPr="001A0BAA">
        <w:rPr>
          <w:color w:val="0070C0"/>
          <w:sz w:val="16"/>
          <w:szCs w:val="16"/>
        </w:rPr>
        <w:noBreakHyphen/>
        <w:t>10. В апреле 1947 года один из этих десяти бомбардировщиков проходил государственные испытания. Выпуск Ту</w:t>
      </w:r>
      <w:r w:rsidRPr="001A0BAA">
        <w:rPr>
          <w:color w:val="0070C0"/>
          <w:sz w:val="16"/>
          <w:szCs w:val="16"/>
        </w:rPr>
        <w:noBreakHyphen/>
        <w:t>10 на этом закончился (25074).</w:t>
      </w:r>
    </w:p>
    <w:p w14:paraId="0FE8D896" w14:textId="77777777" w:rsidR="00184E53" w:rsidRPr="001A0BAA" w:rsidRDefault="00184E53" w:rsidP="00184E53">
      <w:pPr>
        <w:jc w:val="both"/>
        <w:rPr>
          <w:color w:val="0070C0"/>
          <w:sz w:val="16"/>
          <w:szCs w:val="16"/>
        </w:rPr>
      </w:pPr>
    </w:p>
    <w:p w14:paraId="66EB25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года вышел приказ НКАП за № 268сс во исполнение Постановления ГКО за № 8934сс от 6 июня 1945 года, согласно которому завод № 207 освоил производство бронезащиты ТУ-2.</w:t>
      </w:r>
    </w:p>
    <w:p w14:paraId="66024A58" w14:textId="77777777" w:rsidR="006103B3" w:rsidRPr="00925F26" w:rsidRDefault="006103B3" w:rsidP="00925F26">
      <w:pPr>
        <w:autoSpaceDE w:val="0"/>
        <w:autoSpaceDN w:val="0"/>
        <w:adjustRightInd w:val="0"/>
        <w:jc w:val="both"/>
        <w:rPr>
          <w:color w:val="000000" w:themeColor="text1"/>
          <w:sz w:val="16"/>
          <w:szCs w:val="16"/>
        </w:rPr>
      </w:pPr>
      <w:proofErr w:type="gramStart"/>
      <w:r w:rsidRPr="00925F26">
        <w:rPr>
          <w:color w:val="000000" w:themeColor="text1"/>
          <w:sz w:val="16"/>
          <w:szCs w:val="16"/>
        </w:rPr>
        <w:t>Кроме этого</w:t>
      </w:r>
      <w:proofErr w:type="gramEnd"/>
      <w:r w:rsidRPr="00925F26">
        <w:rPr>
          <w:color w:val="000000" w:themeColor="text1"/>
          <w:sz w:val="16"/>
          <w:szCs w:val="16"/>
        </w:rPr>
        <w:t xml:space="preserve"> завод приступил к осовению производства новой конструкции бронекорпуса ИЛ-16.</w:t>
      </w:r>
    </w:p>
    <w:p w14:paraId="00EAF0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w:t>
      </w:r>
      <w:proofErr w:type="gramStart"/>
      <w:r w:rsidRPr="00925F26">
        <w:rPr>
          <w:color w:val="000000" w:themeColor="text1"/>
          <w:sz w:val="16"/>
          <w:szCs w:val="16"/>
        </w:rPr>
        <w:t>а следовательно</w:t>
      </w:r>
      <w:proofErr w:type="gramEnd"/>
      <w:r w:rsidRPr="00925F26">
        <w:rPr>
          <w:color w:val="000000" w:themeColor="text1"/>
          <w:sz w:val="16"/>
          <w:szCs w:val="16"/>
        </w:rPr>
        <w:t xml:space="preserve">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500ECE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630AECF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3531161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Куйбышев</w:t>
      </w:r>
    </w:p>
    <w:p w14:paraId="37288A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295CFC65" w14:textId="77777777" w:rsidR="006103B3" w:rsidRPr="00925F26" w:rsidRDefault="006103B3" w:rsidP="00925F26">
      <w:pPr>
        <w:autoSpaceDE w:val="0"/>
        <w:autoSpaceDN w:val="0"/>
        <w:adjustRightInd w:val="0"/>
        <w:jc w:val="both"/>
        <w:rPr>
          <w:color w:val="000000" w:themeColor="text1"/>
          <w:sz w:val="16"/>
          <w:szCs w:val="16"/>
        </w:rPr>
      </w:pPr>
    </w:p>
    <w:p w14:paraId="6F4B779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года вышел приказ № 242 НКАП</w:t>
      </w:r>
    </w:p>
    <w:p w14:paraId="3D37F8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связи с передачей завода № 499 и части завода № 273 на завод № 272 (8965).</w:t>
      </w:r>
    </w:p>
    <w:p w14:paraId="273DAC5E" w14:textId="77777777" w:rsidR="006103B3" w:rsidRPr="00925F26" w:rsidRDefault="006103B3" w:rsidP="00925F26">
      <w:pPr>
        <w:autoSpaceDE w:val="0"/>
        <w:autoSpaceDN w:val="0"/>
        <w:adjustRightInd w:val="0"/>
        <w:jc w:val="both"/>
        <w:rPr>
          <w:color w:val="000000" w:themeColor="text1"/>
          <w:sz w:val="16"/>
          <w:szCs w:val="16"/>
        </w:rPr>
      </w:pPr>
    </w:p>
    <w:p w14:paraId="040A58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приказом НК ВМФ №0346 была принята на вооружение модификация прицела стал ПТН - ПТН-45, выполнявшая задачу одновременного прицеливания двух торпед с небольшим углом растворения между ними. Эта версия создавалась специально для нового торпедоносца Ту-2 (12002).</w:t>
      </w:r>
    </w:p>
    <w:p w14:paraId="1BEF5C57" w14:textId="77777777" w:rsidR="006103B3" w:rsidRPr="00925F26" w:rsidRDefault="006103B3" w:rsidP="00925F26">
      <w:pPr>
        <w:autoSpaceDE w:val="0"/>
        <w:autoSpaceDN w:val="0"/>
        <w:adjustRightInd w:val="0"/>
        <w:jc w:val="both"/>
        <w:rPr>
          <w:color w:val="000000" w:themeColor="text1"/>
          <w:sz w:val="16"/>
          <w:szCs w:val="16"/>
        </w:rPr>
      </w:pPr>
    </w:p>
    <w:p w14:paraId="523D6B30" w14:textId="77777777" w:rsidR="004B7DC3" w:rsidRPr="00925F26" w:rsidRDefault="004B7DC3" w:rsidP="00925F26">
      <w:pPr>
        <w:jc w:val="both"/>
        <w:rPr>
          <w:color w:val="000000" w:themeColor="text1"/>
          <w:sz w:val="16"/>
          <w:szCs w:val="16"/>
        </w:rPr>
      </w:pPr>
      <w:r w:rsidRPr="00925F26">
        <w:rPr>
          <w:color w:val="000000" w:themeColor="text1"/>
          <w:sz w:val="16"/>
          <w:szCs w:val="16"/>
        </w:rPr>
        <w:t>28 июня 1945 при</w:t>
      </w:r>
      <w:r w:rsidRPr="00925F26">
        <w:rPr>
          <w:color w:val="000000" w:themeColor="text1"/>
          <w:sz w:val="16"/>
          <w:szCs w:val="16"/>
        </w:rPr>
        <w:softHyphen/>
        <w:t>казом НК ВМФ №0346 была принята на вооружение последняя модификация прицела низкого торпелометания ПТН-5 под названием ПТН-45. Этот прицел выполнял задачу одновремен</w:t>
      </w:r>
      <w:r w:rsidRPr="00925F26">
        <w:rPr>
          <w:color w:val="000000" w:themeColor="text1"/>
          <w:sz w:val="16"/>
          <w:szCs w:val="16"/>
        </w:rPr>
        <w:softHyphen/>
        <w:t>ного прицеливания двух торпед с небольшим уг</w:t>
      </w:r>
      <w:r w:rsidRPr="00925F26">
        <w:rPr>
          <w:color w:val="000000" w:themeColor="text1"/>
          <w:sz w:val="16"/>
          <w:szCs w:val="16"/>
        </w:rPr>
        <w:softHyphen/>
        <w:t>лом растворения между ними. Данная версия созда</w:t>
      </w:r>
      <w:r w:rsidRPr="00925F26">
        <w:rPr>
          <w:color w:val="000000" w:themeColor="text1"/>
          <w:sz w:val="16"/>
          <w:szCs w:val="16"/>
        </w:rPr>
        <w:softHyphen/>
        <w:t>валась специально для нового торпедоносца Ту-2 (23464).</w:t>
      </w:r>
    </w:p>
    <w:p w14:paraId="19460029" w14:textId="77777777" w:rsidR="004B7DC3" w:rsidRPr="00925F26" w:rsidRDefault="004B7DC3" w:rsidP="00925F26">
      <w:pPr>
        <w:jc w:val="both"/>
        <w:rPr>
          <w:color w:val="000000" w:themeColor="text1"/>
          <w:sz w:val="16"/>
          <w:szCs w:val="16"/>
        </w:rPr>
      </w:pPr>
    </w:p>
    <w:p w14:paraId="48B62A0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0F783A9F" w14:textId="77777777" w:rsidR="006103B3" w:rsidRPr="00925F26" w:rsidRDefault="006103B3" w:rsidP="00925F26">
      <w:pPr>
        <w:autoSpaceDE w:val="0"/>
        <w:autoSpaceDN w:val="0"/>
        <w:adjustRightInd w:val="0"/>
        <w:jc w:val="both"/>
        <w:rPr>
          <w:iCs/>
          <w:color w:val="000000" w:themeColor="text1"/>
          <w:sz w:val="16"/>
          <w:szCs w:val="16"/>
        </w:rPr>
      </w:pPr>
    </w:p>
    <w:p w14:paraId="126DAF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Постановление ГКО № 9273 О мероприятиях по организации производства судовых дизелей М-50 на заводе № 800 Наркомтанкопрома. РГАНИР, Фонд ГКО, д. 431, лл. 20-30, 31-35 (11012).</w:t>
      </w:r>
    </w:p>
    <w:p w14:paraId="150383A6" w14:textId="77777777" w:rsidR="006103B3" w:rsidRPr="00925F26" w:rsidRDefault="006103B3" w:rsidP="00925F26">
      <w:pPr>
        <w:autoSpaceDE w:val="0"/>
        <w:autoSpaceDN w:val="0"/>
        <w:adjustRightInd w:val="0"/>
        <w:jc w:val="both"/>
        <w:rPr>
          <w:color w:val="000000" w:themeColor="text1"/>
          <w:sz w:val="16"/>
          <w:szCs w:val="16"/>
        </w:rPr>
      </w:pPr>
    </w:p>
    <w:p w14:paraId="42DE3BA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июня 1945 вышло Постановление ГКО № 9274 Об окончании строительства тоннелей на Черноморской железнодорожной линии. (7353, 36-39,40-42).</w:t>
      </w:r>
    </w:p>
    <w:p w14:paraId="62A2CF3A"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AF4DD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Постановление ГКО № 9275 О мерах по увеличению добычи нефти в Баку. РГАНИР, Фонд ГКО, д. 431, лл. 43-71, 72-76 (11012).</w:t>
      </w:r>
    </w:p>
    <w:p w14:paraId="3EDACF21" w14:textId="77777777" w:rsidR="006103B3" w:rsidRPr="00925F26" w:rsidRDefault="006103B3" w:rsidP="00925F26">
      <w:pPr>
        <w:autoSpaceDE w:val="0"/>
        <w:autoSpaceDN w:val="0"/>
        <w:adjustRightInd w:val="0"/>
        <w:jc w:val="both"/>
        <w:rPr>
          <w:color w:val="000000" w:themeColor="text1"/>
          <w:sz w:val="16"/>
          <w:szCs w:val="16"/>
        </w:rPr>
      </w:pPr>
    </w:p>
    <w:p w14:paraId="6B48FE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Постановление ГКО № 9276 О передаче Польскому правительству авиационных заводов в г. г. Мелец и Жешув. РГАНИР, Фонд ГКО, д. 431, лл. 77 (11012).</w:t>
      </w:r>
    </w:p>
    <w:p w14:paraId="6A453E1C" w14:textId="77777777" w:rsidR="006103B3" w:rsidRPr="00925F26" w:rsidRDefault="006103B3" w:rsidP="00925F26">
      <w:pPr>
        <w:autoSpaceDE w:val="0"/>
        <w:autoSpaceDN w:val="0"/>
        <w:adjustRightInd w:val="0"/>
        <w:jc w:val="both"/>
        <w:rPr>
          <w:color w:val="000000" w:themeColor="text1"/>
          <w:sz w:val="16"/>
          <w:szCs w:val="16"/>
        </w:rPr>
      </w:pPr>
    </w:p>
    <w:p w14:paraId="7D6C989A"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9277 [О поставке НКРФ топочного мазута.] (7353, 78).</w:t>
      </w:r>
    </w:p>
    <w:p w14:paraId="4A274361"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F50CEC2"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lastRenderedPageBreak/>
        <w:t>28 июня 1945 вышло Распоряжение ГКО № 9278 [О поставках оборудования для организуемой в Институте энергетики АН УССР лаборатории по реактивной технике.] (7353, 79,80).</w:t>
      </w:r>
    </w:p>
    <w:p w14:paraId="3A18BF3F"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26D946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9279. Об организации Государственного союзного конструкторского бюро № 30 НКБ по разработке средств ближнего боя. РГАНИР, Фонд ГКО, д. 431, лл. 81-82 (11012).</w:t>
      </w:r>
    </w:p>
    <w:p w14:paraId="20E2F5F5" w14:textId="77777777" w:rsidR="006103B3" w:rsidRPr="00925F26" w:rsidRDefault="006103B3" w:rsidP="00925F26">
      <w:pPr>
        <w:autoSpaceDE w:val="0"/>
        <w:autoSpaceDN w:val="0"/>
        <w:adjustRightInd w:val="0"/>
        <w:jc w:val="both"/>
        <w:rPr>
          <w:color w:val="000000" w:themeColor="text1"/>
          <w:sz w:val="16"/>
          <w:szCs w:val="16"/>
        </w:rPr>
      </w:pPr>
    </w:p>
    <w:p w14:paraId="3E0276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9280. Об изготовлении НКМВ для ГАУ КА железнодорожной электролизной установки. РГАНИР, Фонд ГКО, д. 431, лл. 83-84, 85-86 (11012).</w:t>
      </w:r>
    </w:p>
    <w:p w14:paraId="7F970BB2" w14:textId="77777777" w:rsidR="006103B3" w:rsidRPr="00925F26" w:rsidRDefault="006103B3" w:rsidP="00925F26">
      <w:pPr>
        <w:autoSpaceDE w:val="0"/>
        <w:autoSpaceDN w:val="0"/>
        <w:adjustRightInd w:val="0"/>
        <w:jc w:val="both"/>
        <w:rPr>
          <w:color w:val="000000" w:themeColor="text1"/>
          <w:sz w:val="16"/>
          <w:szCs w:val="16"/>
        </w:rPr>
      </w:pPr>
    </w:p>
    <w:p w14:paraId="60A89ED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9281. О перепрофилировании производства на заводах № 395 и 103 НКХП. РГАНИР, Фонд ГКО, д. 431, лл. 87 (11012).</w:t>
      </w:r>
    </w:p>
    <w:p w14:paraId="3FE20BE6" w14:textId="77777777" w:rsidR="006103B3" w:rsidRPr="00925F26" w:rsidRDefault="006103B3" w:rsidP="00925F26">
      <w:pPr>
        <w:autoSpaceDE w:val="0"/>
        <w:autoSpaceDN w:val="0"/>
        <w:adjustRightInd w:val="0"/>
        <w:jc w:val="both"/>
        <w:rPr>
          <w:color w:val="000000" w:themeColor="text1"/>
          <w:sz w:val="16"/>
          <w:szCs w:val="16"/>
        </w:rPr>
      </w:pPr>
    </w:p>
    <w:p w14:paraId="5DEF4B1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9282. О плане выработки нефтепродуктов на заводах № 409 и 419 НКНП. РГАНИР, Фонд ГКО, д. 431, лл. 88 (11012).</w:t>
      </w:r>
    </w:p>
    <w:p w14:paraId="401FED8C" w14:textId="77777777" w:rsidR="006103B3" w:rsidRPr="00925F26" w:rsidRDefault="006103B3" w:rsidP="00925F26">
      <w:pPr>
        <w:autoSpaceDE w:val="0"/>
        <w:autoSpaceDN w:val="0"/>
        <w:adjustRightInd w:val="0"/>
        <w:jc w:val="both"/>
        <w:rPr>
          <w:color w:val="000000" w:themeColor="text1"/>
          <w:sz w:val="16"/>
          <w:szCs w:val="16"/>
        </w:rPr>
      </w:pPr>
    </w:p>
    <w:p w14:paraId="23E8DEF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9283 [О продлении до 1 октября 1945 г. срока работы автоколонн, направленных в Подмосковный угольный бассейн.] (7353, 89).</w:t>
      </w:r>
    </w:p>
    <w:p w14:paraId="37BD772D"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A91D8F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июня 1945 вышло Распоряжение ГКО № 9284 [О поставках труб и нефтепродуктов строительству на Карагандинской ж.д. для снабжения паровозов водой.] (7353, 90-91).</w:t>
      </w:r>
    </w:p>
    <w:p w14:paraId="483D002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73BA73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768ADB05" w14:textId="77777777" w:rsidR="006103B3" w:rsidRPr="00925F26" w:rsidRDefault="006103B3" w:rsidP="00925F26">
      <w:pPr>
        <w:autoSpaceDE w:val="0"/>
        <w:autoSpaceDN w:val="0"/>
        <w:adjustRightInd w:val="0"/>
        <w:jc w:val="both"/>
        <w:rPr>
          <w:iCs/>
          <w:color w:val="000000" w:themeColor="text1"/>
          <w:sz w:val="16"/>
          <w:szCs w:val="16"/>
        </w:rPr>
      </w:pPr>
    </w:p>
    <w:p w14:paraId="48013A3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И.В.С. стал генералиссимусом (1348,123).</w:t>
      </w:r>
    </w:p>
    <w:p w14:paraId="72222883" w14:textId="77777777" w:rsidR="006103B3" w:rsidRPr="00925F26" w:rsidRDefault="006103B3" w:rsidP="00925F26">
      <w:pPr>
        <w:autoSpaceDE w:val="0"/>
        <w:autoSpaceDN w:val="0"/>
        <w:adjustRightInd w:val="0"/>
        <w:jc w:val="both"/>
        <w:rPr>
          <w:color w:val="000000" w:themeColor="text1"/>
          <w:sz w:val="16"/>
          <w:szCs w:val="16"/>
        </w:rPr>
      </w:pPr>
    </w:p>
    <w:p w14:paraId="23792B11"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28 июня 1945 И. Сталину присвоено звание генералиссимуса (4962).</w:t>
      </w:r>
    </w:p>
    <w:p w14:paraId="7A760037"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1BF34468" w14:textId="77777777" w:rsidR="00576B22" w:rsidRPr="00925F26" w:rsidRDefault="00576B22" w:rsidP="00925F26">
      <w:pPr>
        <w:jc w:val="both"/>
        <w:rPr>
          <w:color w:val="000000" w:themeColor="text1"/>
          <w:sz w:val="16"/>
          <w:szCs w:val="16"/>
        </w:rPr>
      </w:pPr>
      <w:r w:rsidRPr="00925F26">
        <w:rPr>
          <w:bCs/>
          <w:color w:val="000000" w:themeColor="text1"/>
          <w:sz w:val="16"/>
          <w:szCs w:val="16"/>
        </w:rPr>
        <w:t>28 июня</w:t>
      </w:r>
      <w:r w:rsidRPr="00925F26">
        <w:rPr>
          <w:color w:val="000000" w:themeColor="text1"/>
          <w:sz w:val="16"/>
          <w:szCs w:val="16"/>
        </w:rPr>
        <w:t xml:space="preserve"> в 1945 году приказ с объявлением “Закона о демобилизации старших возрастов личного состава действующей армии” (14936).</w:t>
      </w:r>
    </w:p>
    <w:p w14:paraId="5E93F829" w14:textId="77777777" w:rsidR="00576B22" w:rsidRPr="00925F26" w:rsidRDefault="00576B22" w:rsidP="00925F26">
      <w:pPr>
        <w:jc w:val="both"/>
        <w:rPr>
          <w:color w:val="000000" w:themeColor="text1"/>
          <w:sz w:val="16"/>
          <w:szCs w:val="16"/>
        </w:rPr>
      </w:pPr>
    </w:p>
    <w:p w14:paraId="6DA4277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4D89FF21" w14:textId="77777777" w:rsidR="006103B3" w:rsidRPr="00925F26" w:rsidRDefault="006103B3" w:rsidP="00925F26">
      <w:pPr>
        <w:autoSpaceDE w:val="0"/>
        <w:autoSpaceDN w:val="0"/>
        <w:adjustRightInd w:val="0"/>
        <w:jc w:val="both"/>
        <w:rPr>
          <w:iCs/>
          <w:color w:val="000000" w:themeColor="text1"/>
          <w:sz w:val="16"/>
          <w:szCs w:val="16"/>
        </w:rPr>
      </w:pPr>
    </w:p>
    <w:p w14:paraId="420D702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в Варшаве было объявлено о создании временного правительства национального единства, куда наряду с деятелями просоветского Комитета национального освобождения вошли также бывший глава эмигрантского правительства С.Миколайчик и некоторые министры этого правительства (3186).</w:t>
      </w:r>
    </w:p>
    <w:p w14:paraId="18954A5D" w14:textId="77777777" w:rsidR="006103B3" w:rsidRPr="00925F26" w:rsidRDefault="006103B3" w:rsidP="00925F26">
      <w:pPr>
        <w:autoSpaceDE w:val="0"/>
        <w:autoSpaceDN w:val="0"/>
        <w:adjustRightInd w:val="0"/>
        <w:jc w:val="both"/>
        <w:rPr>
          <w:color w:val="000000" w:themeColor="text1"/>
          <w:sz w:val="16"/>
          <w:szCs w:val="16"/>
        </w:rPr>
      </w:pPr>
    </w:p>
    <w:p w14:paraId="325287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г. - в Польше создано коалиционное правительство Осубки-Моравского - С. Миколайчика, а 5 июля 1945 года западные державы отказывают в признании польскому правительству в эмиграции Томаша Арцишевского. Официальное руководство польским подпольем из Лондона прекращено (7451).</w:t>
      </w:r>
    </w:p>
    <w:p w14:paraId="231FA965" w14:textId="77777777" w:rsidR="006103B3" w:rsidRPr="00925F26" w:rsidRDefault="006103B3" w:rsidP="00925F26">
      <w:pPr>
        <w:autoSpaceDE w:val="0"/>
        <w:autoSpaceDN w:val="0"/>
        <w:adjustRightInd w:val="0"/>
        <w:jc w:val="both"/>
        <w:rPr>
          <w:color w:val="000000" w:themeColor="text1"/>
          <w:sz w:val="16"/>
          <w:szCs w:val="16"/>
        </w:rPr>
      </w:pPr>
    </w:p>
    <w:p w14:paraId="10B23A6C" w14:textId="77777777" w:rsidR="00576B22" w:rsidRPr="00925F26" w:rsidRDefault="00576B22" w:rsidP="00925F26">
      <w:pPr>
        <w:jc w:val="both"/>
        <w:rPr>
          <w:color w:val="000000" w:themeColor="text1"/>
          <w:sz w:val="16"/>
          <w:szCs w:val="16"/>
        </w:rPr>
      </w:pPr>
      <w:r w:rsidRPr="00925F26">
        <w:rPr>
          <w:bCs/>
          <w:color w:val="000000" w:themeColor="text1"/>
          <w:sz w:val="16"/>
          <w:szCs w:val="16"/>
        </w:rPr>
        <w:t>28 июня</w:t>
      </w:r>
      <w:r w:rsidRPr="00925F26">
        <w:rPr>
          <w:color w:val="000000" w:themeColor="text1"/>
          <w:sz w:val="16"/>
          <w:szCs w:val="16"/>
        </w:rPr>
        <w:t xml:space="preserve"> в 1945 году по итогам "круглого стола" в Москве (с 17 июня) в Польше формируется Правительство национального единства, в которое входят 16 министров из прежнего Временного правительства и 5 новых министров. Премьер-министром назначается Эдвард Особка-Моравский (14936).</w:t>
      </w:r>
    </w:p>
    <w:p w14:paraId="2077F397" w14:textId="77777777" w:rsidR="00576B22" w:rsidRPr="00925F26" w:rsidRDefault="00576B22" w:rsidP="00925F26">
      <w:pPr>
        <w:jc w:val="both"/>
        <w:rPr>
          <w:color w:val="000000" w:themeColor="text1"/>
          <w:sz w:val="16"/>
          <w:szCs w:val="16"/>
        </w:rPr>
      </w:pPr>
    </w:p>
    <w:p w14:paraId="34C89DB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0F57D96A" w14:textId="77777777" w:rsidR="006103B3" w:rsidRPr="00925F26" w:rsidRDefault="006103B3" w:rsidP="00925F26">
      <w:pPr>
        <w:autoSpaceDE w:val="0"/>
        <w:autoSpaceDN w:val="0"/>
        <w:adjustRightInd w:val="0"/>
        <w:jc w:val="both"/>
        <w:rPr>
          <w:iCs/>
          <w:color w:val="000000" w:themeColor="text1"/>
          <w:sz w:val="16"/>
          <w:szCs w:val="16"/>
        </w:rPr>
      </w:pPr>
    </w:p>
    <w:p w14:paraId="383C801D" w14:textId="77777777" w:rsidR="00576B22" w:rsidRPr="00925F26" w:rsidRDefault="00576B22" w:rsidP="00925F26">
      <w:pPr>
        <w:jc w:val="both"/>
        <w:rPr>
          <w:color w:val="000000" w:themeColor="text1"/>
          <w:sz w:val="16"/>
          <w:szCs w:val="16"/>
        </w:rPr>
      </w:pPr>
      <w:r w:rsidRPr="00925F26">
        <w:rPr>
          <w:bCs/>
          <w:color w:val="000000" w:themeColor="text1"/>
          <w:sz w:val="16"/>
          <w:szCs w:val="16"/>
        </w:rPr>
        <w:t>28 июня</w:t>
      </w:r>
      <w:r w:rsidRPr="00925F26">
        <w:rPr>
          <w:color w:val="000000" w:themeColor="text1"/>
          <w:sz w:val="16"/>
          <w:szCs w:val="16"/>
        </w:rPr>
        <w:t xml:space="preserve"> в 1945 году первый полет самолета «Cessna» «Model 140». «Cessna 140» - легкий многоцелевой самолет, разработанный американской фирмой Cessna Aircraft Co. и являющаясяся дальнейшим развитием легкого самолета «Cessna» «Model 120». Базовая модель «Cessna 140» была дополнена моделью «Cessna 140» "Lux", имевшей закрылки с ручным управлением, дополнительные иллюминаторы в кабине и единую электрическую систему (14936).</w:t>
      </w:r>
    </w:p>
    <w:p w14:paraId="040BB2C1" w14:textId="77777777" w:rsidR="00576B22" w:rsidRPr="00925F26" w:rsidRDefault="00576B22" w:rsidP="00925F26">
      <w:pPr>
        <w:jc w:val="both"/>
        <w:rPr>
          <w:color w:val="000000" w:themeColor="text1"/>
          <w:sz w:val="16"/>
          <w:szCs w:val="16"/>
        </w:rPr>
      </w:pPr>
    </w:p>
    <w:p w14:paraId="5BE022A7" w14:textId="77777777" w:rsidR="00F23D44" w:rsidRPr="00925F26" w:rsidRDefault="00F23D44" w:rsidP="00925F26">
      <w:pPr>
        <w:jc w:val="both"/>
        <w:rPr>
          <w:color w:val="000000" w:themeColor="text1"/>
          <w:sz w:val="16"/>
          <w:szCs w:val="16"/>
        </w:rPr>
      </w:pPr>
      <w:r w:rsidRPr="00925F26">
        <w:rPr>
          <w:color w:val="000000" w:themeColor="text1"/>
          <w:sz w:val="16"/>
          <w:szCs w:val="16"/>
        </w:rPr>
        <w:t xml:space="preserve">28 июня 1945 первый полет </w:t>
      </w:r>
      <w:r w:rsidRPr="00925F26">
        <w:rPr>
          <w:color w:val="000000" w:themeColor="text1"/>
          <w:sz w:val="16"/>
          <w:szCs w:val="16"/>
          <w:lang w:val="en-US"/>
        </w:rPr>
        <w:t>Cessna</w:t>
      </w:r>
      <w:r w:rsidRPr="00925F26">
        <w:rPr>
          <w:color w:val="000000" w:themeColor="text1"/>
          <w:sz w:val="16"/>
          <w:szCs w:val="16"/>
        </w:rPr>
        <w:t xml:space="preserve"> 140 (20371).</w:t>
      </w:r>
    </w:p>
    <w:p w14:paraId="409E3EA1" w14:textId="77777777" w:rsidR="00F23D44" w:rsidRPr="00925F26" w:rsidRDefault="00F23D44" w:rsidP="00925F26">
      <w:pPr>
        <w:jc w:val="both"/>
        <w:rPr>
          <w:color w:val="000000" w:themeColor="text1"/>
          <w:sz w:val="16"/>
          <w:szCs w:val="16"/>
        </w:rPr>
      </w:pPr>
    </w:p>
    <w:p w14:paraId="3D852B4B" w14:textId="4A004624" w:rsidR="00F23D44" w:rsidRPr="00925F26" w:rsidRDefault="00F23D44" w:rsidP="00925F26">
      <w:pPr>
        <w:jc w:val="both"/>
        <w:rPr>
          <w:color w:val="000000" w:themeColor="text1"/>
          <w:sz w:val="16"/>
          <w:szCs w:val="16"/>
        </w:rPr>
      </w:pPr>
      <w:r w:rsidRPr="00925F26">
        <w:rPr>
          <w:color w:val="000000" w:themeColor="text1"/>
          <w:sz w:val="16"/>
          <w:szCs w:val="16"/>
        </w:rPr>
        <w:t xml:space="preserve">28 июня </w:t>
      </w:r>
      <w:proofErr w:type="gramStart"/>
      <w:r w:rsidRPr="00925F26">
        <w:rPr>
          <w:color w:val="000000" w:themeColor="text1"/>
          <w:sz w:val="16"/>
          <w:szCs w:val="16"/>
        </w:rPr>
        <w:t>1945</w:t>
      </w:r>
      <w:r w:rsidR="00997EDF" w:rsidRPr="00925F26">
        <w:rPr>
          <w:color w:val="000000" w:themeColor="text1"/>
          <w:sz w:val="16"/>
          <w:szCs w:val="16"/>
        </w:rPr>
        <w:t xml:space="preserve">  </w:t>
      </w:r>
      <w:r w:rsidRPr="00925F26">
        <w:rPr>
          <w:color w:val="000000" w:themeColor="text1"/>
          <w:sz w:val="16"/>
          <w:szCs w:val="16"/>
        </w:rPr>
        <w:t>-</w:t>
      </w:r>
      <w:proofErr w:type="gramEnd"/>
      <w:r w:rsidRPr="00925F26">
        <w:rPr>
          <w:color w:val="000000" w:themeColor="text1"/>
          <w:sz w:val="16"/>
          <w:szCs w:val="16"/>
        </w:rPr>
        <w:t xml:space="preserve"> Самый последний из 18482 тяжёлых бомбардировщиков B-24 Liberator сошёл с конвейера авиазавода в компании Ford Willow Run (22446).</w:t>
      </w:r>
    </w:p>
    <w:p w14:paraId="38DAA620" w14:textId="77777777" w:rsidR="00F23D44" w:rsidRPr="00925F26" w:rsidRDefault="00F23D44" w:rsidP="00925F26">
      <w:pPr>
        <w:jc w:val="both"/>
        <w:rPr>
          <w:color w:val="000000" w:themeColor="text1"/>
          <w:sz w:val="16"/>
          <w:szCs w:val="16"/>
        </w:rPr>
      </w:pPr>
    </w:p>
    <w:p w14:paraId="4FD53DE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28 июня 1945 нач. штаба ВВС Франции г Вален предложил реорганизовать полк Нормандия-Неман, которые прилетели в Ле Бурже 20 июня 1945. Требовалось 50 машин, но И.В.С. дал 38 (1758,28).</w:t>
      </w:r>
    </w:p>
    <w:p w14:paraId="42B48BB4" w14:textId="77777777" w:rsidR="006103B3" w:rsidRPr="00925F26" w:rsidRDefault="006103B3" w:rsidP="00925F26">
      <w:pPr>
        <w:autoSpaceDE w:val="0"/>
        <w:autoSpaceDN w:val="0"/>
        <w:adjustRightInd w:val="0"/>
        <w:jc w:val="both"/>
        <w:rPr>
          <w:color w:val="000000" w:themeColor="text1"/>
          <w:sz w:val="16"/>
          <w:szCs w:val="16"/>
        </w:rPr>
      </w:pPr>
    </w:p>
    <w:p w14:paraId="2E573ED8" w14:textId="77777777" w:rsidR="00F23D44" w:rsidRPr="00925F26" w:rsidRDefault="00F23D44" w:rsidP="00925F26">
      <w:pPr>
        <w:jc w:val="both"/>
        <w:rPr>
          <w:color w:val="000000" w:themeColor="text1"/>
          <w:sz w:val="16"/>
          <w:szCs w:val="16"/>
        </w:rPr>
      </w:pPr>
      <w:r w:rsidRPr="00925F26">
        <w:rPr>
          <w:color w:val="000000" w:themeColor="text1"/>
          <w:sz w:val="16"/>
          <w:szCs w:val="16"/>
        </w:rPr>
        <w:t>28 июня 1945 485 B-29s сбросили 3,519 тонн (3,192,416 кг) бомб на Окаяма, Сасебо и Модзи, Япония (29371).</w:t>
      </w:r>
    </w:p>
    <w:p w14:paraId="64129F23" w14:textId="77777777" w:rsidR="00F23D44" w:rsidRPr="00925F26" w:rsidRDefault="00F23D44" w:rsidP="00925F26">
      <w:pPr>
        <w:jc w:val="both"/>
        <w:rPr>
          <w:color w:val="000000" w:themeColor="text1"/>
          <w:sz w:val="16"/>
          <w:szCs w:val="16"/>
        </w:rPr>
      </w:pPr>
    </w:p>
    <w:p w14:paraId="2360487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FC9C3EB" w14:textId="77777777" w:rsidR="006103B3" w:rsidRPr="00925F26" w:rsidRDefault="006103B3" w:rsidP="00925F26">
      <w:pPr>
        <w:autoSpaceDE w:val="0"/>
        <w:autoSpaceDN w:val="0"/>
        <w:adjustRightInd w:val="0"/>
        <w:jc w:val="both"/>
        <w:rPr>
          <w:iCs/>
          <w:color w:val="000000" w:themeColor="text1"/>
          <w:sz w:val="16"/>
          <w:szCs w:val="16"/>
        </w:rPr>
      </w:pPr>
    </w:p>
    <w:p w14:paraId="3A6DE66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июня/2 июля 1945 года зам. начальника ВВС ВМФ по тылу генерал-лейтенант интендантской службы Купреев писал письмо N 5/100724с Шахурину.</w:t>
      </w:r>
    </w:p>
    <w:p w14:paraId="252D346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Одним из основных типов торпедоносцев ВВС ВМФ являются самолеты Ил-4, которых на ВВС флотов имеется 207 шт. и в училищах 55 шт.</w:t>
      </w:r>
    </w:p>
    <w:p w14:paraId="523FCFE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этих самолетах стоят моторы, прошедшие 3-4 капитальных ремонта, не обеспечивающих надежности полетов в открытое море.</w:t>
      </w:r>
    </w:p>
    <w:p w14:paraId="75176FC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Резервный же моторный парк М-88б в количестве 390 шт. не может быть использован, так как по своему состоянию эти моторы </w:t>
      </w:r>
      <w:proofErr w:type="gramStart"/>
      <w:r w:rsidRPr="00925F26">
        <w:rPr>
          <w:color w:val="000000" w:themeColor="text1"/>
          <w:sz w:val="16"/>
          <w:szCs w:val="16"/>
        </w:rPr>
        <w:t>хуже</w:t>
      </w:r>
      <w:proofErr w:type="gramEnd"/>
      <w:r w:rsidRPr="00925F26">
        <w:rPr>
          <w:color w:val="000000" w:themeColor="text1"/>
          <w:sz w:val="16"/>
          <w:szCs w:val="16"/>
        </w:rPr>
        <w:t xml:space="preserve"> чем стоящие на самолетах, что подтверждается письмом Вашего заместителя генерал-майора инженерно-авиационной службы Завитаева от 9 июня с.г. N 1227.</w:t>
      </w:r>
    </w:p>
    <w:p w14:paraId="1F286BE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Таким образом ВВС ВМФ оказались совершенно необеспеченными моторным парком М-88 как резервным, так и на самолетах.</w:t>
      </w:r>
    </w:p>
    <w:p w14:paraId="6CC151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 находя других путей для разрешения этой трудности, возрастающей с каждым днем, прошу указаний на поставку ВВС ВМФ необходимого количества резервных моторов М-88б и запасных частей (цилиндры и россыпь) для восстановления ремфонда и обязать 3 Гл. управление НКАП в сжатые сроки восстановить ремфонд ВВС ВМФ на заводе N 478.</w:t>
      </w:r>
    </w:p>
    <w:p w14:paraId="4F5971A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 Вашем решении прошу сообщить (2595,76).</w:t>
      </w:r>
    </w:p>
    <w:p w14:paraId="356B17B9" w14:textId="77777777" w:rsidR="006103B3" w:rsidRPr="00925F26" w:rsidRDefault="006103B3" w:rsidP="00925F26">
      <w:pPr>
        <w:autoSpaceDE w:val="0"/>
        <w:autoSpaceDN w:val="0"/>
        <w:adjustRightInd w:val="0"/>
        <w:jc w:val="both"/>
        <w:rPr>
          <w:color w:val="000000" w:themeColor="text1"/>
          <w:sz w:val="16"/>
          <w:szCs w:val="16"/>
        </w:rPr>
      </w:pPr>
    </w:p>
    <w:p w14:paraId="6879E32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 1945 вышел приказ НКАП N 270сс в исполнение постановления ГКО N 9080с от 20 июня 1945 о создании в кратчайший срок самолетов истребителей сопровождения":</w:t>
      </w:r>
    </w:p>
    <w:p w14:paraId="270D46C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"ГК В.М.М.:</w:t>
      </w:r>
    </w:p>
    <w:p w14:paraId="436156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 спроектировать и построить на заводе 482 на базе модифицированного самолета Пе-2 с ВК-107А 2-х местный самолет истребитель сопровождения в 2-х экз., со следующими ЛТД:</w:t>
      </w:r>
    </w:p>
    <w:p w14:paraId="0832D47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Макс. скорость на 5700 м - 625 км/час</w:t>
      </w:r>
    </w:p>
    <w:p w14:paraId="210C7D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Наибольшая дальность полета</w:t>
      </w:r>
    </w:p>
    <w:p w14:paraId="774A40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со сбрасываемыми подвесными</w:t>
      </w:r>
    </w:p>
    <w:p w14:paraId="76A031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баками - 4000 км</w:t>
      </w:r>
    </w:p>
    <w:p w14:paraId="7A85768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без баков - 3200 км</w:t>
      </w:r>
    </w:p>
    <w:p w14:paraId="6D21715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Стрелковое вооружение:</w:t>
      </w:r>
    </w:p>
    <w:p w14:paraId="3706BF8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неподвижное вперед: 2х37 мм + 2х20 мм</w:t>
      </w:r>
    </w:p>
    <w:p w14:paraId="18EF31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подвижное назад: 1х20 мм</w:t>
      </w:r>
    </w:p>
    <w:p w14:paraId="2B52AA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Экипаж: 1 л и 1 стрелок-ш</w:t>
      </w:r>
    </w:p>
    <w:p w14:paraId="1D5258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 самолет выпустить на летные испытания 15 августа 1945." (1894,127).</w:t>
      </w:r>
    </w:p>
    <w:p w14:paraId="7B0D19DF" w14:textId="77777777" w:rsidR="006103B3" w:rsidRPr="00925F26" w:rsidRDefault="006103B3" w:rsidP="00925F26">
      <w:pPr>
        <w:autoSpaceDE w:val="0"/>
        <w:autoSpaceDN w:val="0"/>
        <w:adjustRightInd w:val="0"/>
        <w:jc w:val="both"/>
        <w:rPr>
          <w:color w:val="000000" w:themeColor="text1"/>
          <w:sz w:val="16"/>
          <w:szCs w:val="16"/>
        </w:rPr>
      </w:pPr>
    </w:p>
    <w:p w14:paraId="40A67F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29 июня 1945 вышел приказ НКАП № 270сс, которым за В.М.Мясищевым сохранялась ответственность по конструкторскому наблюдению и технической помощи при эксплуатации парка самолетов Пе-2, находящихся в частях ВВС КА и разрешалось перевести на 482-й завод 15 сотрудников из Казани во главе с его заместителем </w:t>
      </w:r>
      <w:r w:rsidRPr="00925F26">
        <w:rPr>
          <w:color w:val="000000" w:themeColor="text1"/>
          <w:sz w:val="16"/>
          <w:szCs w:val="16"/>
        </w:rPr>
        <w:lastRenderedPageBreak/>
        <w:t>Ю.Т.Шаталовым. Следует отметить, что оба приказа вышли спустя неделю после принятия решения об организации производства самолетов Б-4 на 22-м заводе и прекращении выпуска бомбардировщиков Пе-2 с двигателями ВК-107А, а также назначении А.Н.Туполева главным конструктором Б-4 (3337).</w:t>
      </w:r>
    </w:p>
    <w:p w14:paraId="4E6F1147" w14:textId="77777777" w:rsidR="006103B3" w:rsidRPr="00925F26" w:rsidRDefault="006103B3" w:rsidP="00925F26">
      <w:pPr>
        <w:autoSpaceDE w:val="0"/>
        <w:autoSpaceDN w:val="0"/>
        <w:adjustRightInd w:val="0"/>
        <w:jc w:val="both"/>
        <w:rPr>
          <w:color w:val="000000" w:themeColor="text1"/>
          <w:sz w:val="16"/>
          <w:szCs w:val="16"/>
        </w:rPr>
      </w:pPr>
    </w:p>
    <w:p w14:paraId="26F0F2EF" w14:textId="77777777" w:rsidR="004B7DC3" w:rsidRPr="00925F26" w:rsidRDefault="004B7DC3" w:rsidP="00925F26">
      <w:pPr>
        <w:jc w:val="both"/>
        <w:rPr>
          <w:color w:val="000000" w:themeColor="text1"/>
          <w:sz w:val="16"/>
          <w:szCs w:val="16"/>
        </w:rPr>
      </w:pPr>
      <w:r w:rsidRPr="00925F26">
        <w:rPr>
          <w:color w:val="000000" w:themeColor="text1"/>
          <w:sz w:val="16"/>
          <w:szCs w:val="16"/>
        </w:rPr>
        <w:t>29 июня 1945 г. вышел приказ по НКАП, которым за В.М. Мясищевым сохранялась ответственность по конструкторскому наблюдению и технической помощи при эксплуатации парка самолетов Пе-2, находящихся в частях ВВС КА и разрешалось перевести на 482-й завод 15 сотрудников из Казани во главе с его заместителем Ю.Т. Шаталовым.</w:t>
      </w:r>
    </w:p>
    <w:p w14:paraId="04A48F0C" w14:textId="77777777" w:rsidR="004B7DC3" w:rsidRPr="00925F26" w:rsidRDefault="004B7DC3" w:rsidP="00925F26">
      <w:pPr>
        <w:jc w:val="both"/>
        <w:rPr>
          <w:color w:val="000000" w:themeColor="text1"/>
          <w:sz w:val="16"/>
          <w:szCs w:val="16"/>
        </w:rPr>
      </w:pPr>
      <w:r w:rsidRPr="00925F26">
        <w:rPr>
          <w:color w:val="000000" w:themeColor="text1"/>
          <w:sz w:val="16"/>
          <w:szCs w:val="16"/>
        </w:rPr>
        <w:t>Выпуск самолетов в варианте УПе-2 на заводе завершен в декабре 1945 г. (23570).</w:t>
      </w:r>
    </w:p>
    <w:p w14:paraId="38107921" w14:textId="77777777" w:rsidR="004B7DC3" w:rsidRPr="00925F26" w:rsidRDefault="004B7DC3" w:rsidP="00925F26">
      <w:pPr>
        <w:jc w:val="both"/>
        <w:rPr>
          <w:color w:val="000000" w:themeColor="text1"/>
          <w:sz w:val="16"/>
          <w:szCs w:val="16"/>
        </w:rPr>
      </w:pPr>
    </w:p>
    <w:p w14:paraId="15F6BC3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 1945 г. вышел приказ НКАП № 270, которым двухместный истребитель ДИС-2ВК-107А планировали оснастить радиолокатором “Гнейс-3”, вооружить батареей из двух 45-мм пушек, разработанной для третьего опытного Пе-2И, и снабдить проти-вообледенительной системой с целью обеспечения всепогодности. По требованию макетной комиссии Мясищеву пришлось радикально пересмотреть бензосистему самолета, заменив все металлические баки на мягкие, более живучие и лучше сохранявшие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заклинения центроплана на 2°.</w:t>
      </w:r>
    </w:p>
    <w:p w14:paraId="35A05C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полета ДИС на границе высотности моторов по расчетам должна была составить 660-670 км/ч (4476).</w:t>
      </w:r>
    </w:p>
    <w:p w14:paraId="63FB5460" w14:textId="77777777" w:rsidR="006103B3" w:rsidRPr="00925F26" w:rsidRDefault="006103B3" w:rsidP="00925F26">
      <w:pPr>
        <w:autoSpaceDE w:val="0"/>
        <w:autoSpaceDN w:val="0"/>
        <w:adjustRightInd w:val="0"/>
        <w:jc w:val="both"/>
        <w:rPr>
          <w:color w:val="000000" w:themeColor="text1"/>
          <w:sz w:val="16"/>
          <w:szCs w:val="16"/>
        </w:rPr>
      </w:pPr>
    </w:p>
    <w:p w14:paraId="3BE0C06A"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 июня 1945 года вышел приказ НКАП № 270, в соответствии с которым на заводе № 22 строили еще одну машину — дублер с максимальной скоро</w:t>
      </w:r>
      <w:r w:rsidRPr="00925F26">
        <w:rPr>
          <w:color w:val="000000" w:themeColor="text1"/>
          <w:sz w:val="16"/>
          <w:szCs w:val="16"/>
        </w:rPr>
        <w:softHyphen/>
        <w:t>стью 625 км/ч на высоте 5700 м. Дальность должна быть не меньше 3200 км, а с подвесными баками — 4000 км. На нее требовалось установить для стрельбы вперед по две пушки калибра 37 и 20 мм, а для защиты задней полусферы — одну пушку калибра 20 мм. В со</w:t>
      </w:r>
      <w:r w:rsidRPr="00925F26">
        <w:rPr>
          <w:color w:val="000000" w:themeColor="text1"/>
          <w:sz w:val="16"/>
          <w:szCs w:val="16"/>
        </w:rPr>
        <w:softHyphen/>
        <w:t>ответствии со следующим приказом за В.М. Мясище-вым сохранялась ответственность по конструкторско</w:t>
      </w:r>
      <w:r w:rsidRPr="00925F26">
        <w:rPr>
          <w:color w:val="000000" w:themeColor="text1"/>
          <w:sz w:val="16"/>
          <w:szCs w:val="16"/>
        </w:rPr>
        <w:softHyphen/>
        <w:t>му наблюдению и технической помощи при эксплуата</w:t>
      </w:r>
      <w:r w:rsidRPr="00925F26">
        <w:rPr>
          <w:color w:val="000000" w:themeColor="text1"/>
          <w:sz w:val="16"/>
          <w:szCs w:val="16"/>
        </w:rPr>
        <w:softHyphen/>
        <w:t>ции парка самолетов Пе-2, находящихся в частях ВВС, и разрешалось перевести на 482-й завод 15 сотрудни</w:t>
      </w:r>
      <w:r w:rsidRPr="00925F26">
        <w:rPr>
          <w:color w:val="000000" w:themeColor="text1"/>
          <w:sz w:val="16"/>
          <w:szCs w:val="16"/>
        </w:rPr>
        <w:softHyphen/>
        <w:t>ков из Казани во главе с его заместителем Ю.Т. Шата</w:t>
      </w:r>
      <w:r w:rsidRPr="00925F26">
        <w:rPr>
          <w:color w:val="000000" w:themeColor="text1"/>
          <w:sz w:val="16"/>
          <w:szCs w:val="16"/>
        </w:rPr>
        <w:softHyphen/>
        <w:t>ловым.</w:t>
      </w:r>
    </w:p>
    <w:p w14:paraId="38427EA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Следует отметить, что оба приказа вышли спустя неделю после принятия решения об организации про</w:t>
      </w:r>
      <w:r w:rsidRPr="00925F26">
        <w:rPr>
          <w:color w:val="000000" w:themeColor="text1"/>
          <w:sz w:val="16"/>
          <w:szCs w:val="16"/>
        </w:rPr>
        <w:softHyphen/>
        <w:t>изводства самолетов Б-4 на 22-м заводе и прекраще</w:t>
      </w:r>
      <w:r w:rsidRPr="00925F26">
        <w:rPr>
          <w:color w:val="000000" w:themeColor="text1"/>
          <w:sz w:val="16"/>
          <w:szCs w:val="16"/>
        </w:rPr>
        <w:softHyphen/>
        <w:t>нии выпуска бомбардировщиков Пе-2 с двигателями ВК-107А, а также назначения А.Н. Туполева главным конструктором Б-4.</w:t>
      </w:r>
    </w:p>
    <w:p w14:paraId="6A024FF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дублере «ДИСа» для сокращения разбега уве</w:t>
      </w:r>
      <w:r w:rsidRPr="00925F26">
        <w:rPr>
          <w:color w:val="000000" w:themeColor="text1"/>
          <w:sz w:val="16"/>
          <w:szCs w:val="16"/>
        </w:rPr>
        <w:softHyphen/>
        <w:t>личили угол установки центроплана на два градуса, изменили компоновку кабины штурмана в связи с раз</w:t>
      </w:r>
      <w:r w:rsidRPr="00925F26">
        <w:rPr>
          <w:color w:val="000000" w:themeColor="text1"/>
          <w:sz w:val="16"/>
          <w:szCs w:val="16"/>
        </w:rPr>
        <w:softHyphen/>
        <w:t>мещением верхней стрелковой установки ВЭУ-1. По</w:t>
      </w:r>
      <w:r w:rsidRPr="00925F26">
        <w:rPr>
          <w:color w:val="000000" w:themeColor="text1"/>
          <w:sz w:val="16"/>
          <w:szCs w:val="16"/>
        </w:rPr>
        <w:softHyphen/>
        <w:t>следнее мероприятие, увеличившее длину кабины на 100 мм, привело к разработке фактически новой носо</w:t>
      </w:r>
      <w:r w:rsidRPr="00925F26">
        <w:rPr>
          <w:color w:val="000000" w:themeColor="text1"/>
          <w:sz w:val="16"/>
          <w:szCs w:val="16"/>
        </w:rPr>
        <w:softHyphen/>
        <w:t>вой части самолета, который планировали построить к 1 июля 1945 года. Но в связи с переездом сотрудников ОКБ-22 в Москву работы затянулись, и лишь 10 ноября приказом НКАП № 436 на самолет назначили летчика-испытателя Ф.Ф. Опадчего. Последний срок окончания постройки машины установили 10 февраля 1946 г. (11446)</w:t>
      </w:r>
    </w:p>
    <w:p w14:paraId="75C3B65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7037E7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 1945 г. приказом НКАП № 270 был задан двухместный истребительДИС-2ВК-107А, планировали оснастить радиолокатором "Гнейс-3" и вооружить батареей из двух 45 мм пушек. По требованию макетной комиссии Мясищеву пришлось радикально пересмотреть бензосистему самолета, заменив все металлические баки мягкими, более живучими и лучше сохранявшими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установки крыла на 2°.</w:t>
      </w:r>
    </w:p>
    <w:p w14:paraId="2BBDB6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Максимальная скорость полета ДИС на границе высотности моторов по расчетам должна была составить 660-670 км/ч. В конце 1945 г. были начаты заводские испытания первого опытного экземпляра дальнего истребителя.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w:t>
      </w:r>
    </w:p>
    <w:p w14:paraId="281D697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Советском Союзе также разработали несколько образцов самолетных РЛС, предназначенных для размещения на двухмоторных машинах (значительная масса оборудования и необходимость в специалисте-операторе на борту в то время исключали оснащение ими одномоторных носителей). Ночные истребители, способные часами барражировать над охраняемыми объектами, невозможно было оснастить прожорливыми реактивными двигателями первого поколения. В связи с этим "экологическая ниша" для винтового дальнего истребителя сохранялась в ВВС ряда стран на протяжении 5-7 лет после окончания войны. Так, в Великобритании довольно долго оставались на вооружении "Москито" NF.36, а в США - Р-61 "Блэк Уидоу" (12042).</w:t>
      </w:r>
    </w:p>
    <w:p w14:paraId="0B630B7D" w14:textId="77777777" w:rsidR="006103B3" w:rsidRPr="00925F26" w:rsidRDefault="006103B3" w:rsidP="00925F26">
      <w:pPr>
        <w:autoSpaceDE w:val="0"/>
        <w:autoSpaceDN w:val="0"/>
        <w:adjustRightInd w:val="0"/>
        <w:jc w:val="both"/>
        <w:rPr>
          <w:color w:val="000000" w:themeColor="text1"/>
          <w:sz w:val="16"/>
          <w:szCs w:val="16"/>
        </w:rPr>
      </w:pPr>
    </w:p>
    <w:p w14:paraId="71BC826A" w14:textId="77777777" w:rsidR="004709B0" w:rsidRPr="00925F26" w:rsidRDefault="004709B0" w:rsidP="00925F26">
      <w:pPr>
        <w:jc w:val="both"/>
        <w:rPr>
          <w:color w:val="000000" w:themeColor="text1"/>
          <w:sz w:val="16"/>
          <w:szCs w:val="16"/>
        </w:rPr>
      </w:pPr>
      <w:r w:rsidRPr="00925F26">
        <w:rPr>
          <w:color w:val="000000" w:themeColor="text1"/>
          <w:sz w:val="16"/>
          <w:szCs w:val="16"/>
        </w:rPr>
        <w:t>29 июня 1946 г.</w:t>
      </w:r>
    </w:p>
    <w:p w14:paraId="67E40BB3" w14:textId="77777777" w:rsidR="004709B0" w:rsidRPr="00925F26" w:rsidRDefault="004709B0" w:rsidP="00925F26">
      <w:pPr>
        <w:jc w:val="both"/>
        <w:rPr>
          <w:color w:val="000000" w:themeColor="text1"/>
          <w:sz w:val="16"/>
          <w:szCs w:val="16"/>
        </w:rPr>
      </w:pPr>
      <w:r w:rsidRPr="00925F26">
        <w:rPr>
          <w:color w:val="000000" w:themeColor="text1"/>
          <w:sz w:val="16"/>
          <w:szCs w:val="16"/>
        </w:rPr>
        <w:t xml:space="preserve">Письмо министра внутренних дел СССР С.Н.Круглова и министра авиационной промышленности СССР М.В.Хруничева </w:t>
      </w:r>
      <w:proofErr w:type="gramStart"/>
      <w:r w:rsidRPr="00925F26">
        <w:rPr>
          <w:color w:val="000000" w:themeColor="text1"/>
          <w:sz w:val="16"/>
          <w:szCs w:val="16"/>
        </w:rPr>
        <w:t>И.В</w:t>
      </w:r>
      <w:proofErr w:type="gramEnd"/>
      <w:r w:rsidRPr="00925F26">
        <w:rPr>
          <w:color w:val="000000" w:themeColor="text1"/>
          <w:sz w:val="16"/>
          <w:szCs w:val="16"/>
        </w:rPr>
        <w:t>.Сталину о проектировании в Четвертом спецотделе МВД СССР транспортного двухмоторного самолета и необходимости организации конструкторского бюро для его постройки</w:t>
      </w:r>
    </w:p>
    <w:p w14:paraId="32A1C126" w14:textId="77777777" w:rsidR="004709B0" w:rsidRPr="00925F26" w:rsidRDefault="004709B0" w:rsidP="00925F26">
      <w:pPr>
        <w:jc w:val="both"/>
        <w:rPr>
          <w:color w:val="000000" w:themeColor="text1"/>
          <w:sz w:val="16"/>
          <w:szCs w:val="16"/>
        </w:rPr>
      </w:pPr>
      <w:r w:rsidRPr="00925F26">
        <w:rPr>
          <w:color w:val="000000" w:themeColor="text1"/>
          <w:sz w:val="16"/>
          <w:szCs w:val="16"/>
        </w:rPr>
        <w:t>29 июня 1946 г.</w:t>
      </w:r>
    </w:p>
    <w:p w14:paraId="027B9099"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Совершенно секретно</w:t>
      </w:r>
    </w:p>
    <w:p w14:paraId="5966DD20"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 2818/к</w:t>
      </w:r>
    </w:p>
    <w:p w14:paraId="5A3E0086"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Товарищу И.В. Сталину</w:t>
      </w:r>
    </w:p>
    <w:p w14:paraId="17A6F4BE"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Группой заключенных специалистов 4 Спецотдела МВД СССР разработан проект транспортного двухмоторного самолета Т-117 с моторами АШ-73</w:t>
      </w:r>
      <w:r w:rsidRPr="00925F26">
        <w:rPr>
          <w:color w:val="000000" w:themeColor="text1"/>
          <w:sz w:val="16"/>
          <w:szCs w:val="16"/>
          <w:vertAlign w:val="superscript"/>
        </w:rPr>
        <w:t>326</w:t>
      </w:r>
      <w:r w:rsidRPr="00925F26">
        <w:rPr>
          <w:color w:val="000000" w:themeColor="text1"/>
          <w:sz w:val="16"/>
          <w:szCs w:val="16"/>
        </w:rPr>
        <w:t>.</w:t>
      </w:r>
    </w:p>
    <w:p w14:paraId="7B07CB40"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В зависимости от назначения самолет Т-117 может быть применен в воен</w:t>
      </w:r>
      <w:r w:rsidRPr="00925F26">
        <w:rPr>
          <w:color w:val="000000" w:themeColor="text1"/>
          <w:sz w:val="16"/>
          <w:szCs w:val="16"/>
        </w:rPr>
        <w:softHyphen/>
        <w:t>но-транспортном, грузовом, десантном, санитарном, пассажирском вариантах, а также в варианте, рассчитанном на перевозку в комфортабельных условиях 16 пассажиров на расстояние до 7500 км.</w:t>
      </w:r>
    </w:p>
    <w:p w14:paraId="750D5939"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Самолет имеет следующие данные:</w:t>
      </w:r>
    </w:p>
    <w:p w14:paraId="1C24CD08" w14:textId="77777777" w:rsidR="004709B0" w:rsidRPr="00925F26" w:rsidRDefault="004709B0" w:rsidP="00925F26">
      <w:pPr>
        <w:pStyle w:val="216"/>
        <w:shd w:val="clear" w:color="auto" w:fill="auto"/>
        <w:tabs>
          <w:tab w:val="left" w:pos="4002"/>
        </w:tabs>
        <w:spacing w:before="0" w:after="0" w:line="240" w:lineRule="auto"/>
        <w:ind w:firstLine="0"/>
        <w:jc w:val="both"/>
        <w:rPr>
          <w:color w:val="000000" w:themeColor="text1"/>
          <w:sz w:val="16"/>
          <w:szCs w:val="16"/>
        </w:rPr>
      </w:pPr>
      <w:r w:rsidRPr="00925F26">
        <w:rPr>
          <w:color w:val="000000" w:themeColor="text1"/>
          <w:sz w:val="16"/>
          <w:szCs w:val="16"/>
        </w:rPr>
        <w:t>нормальный полетный вес 22 600 кг максимальная скорость</w:t>
      </w:r>
      <w:r w:rsidRPr="00925F26">
        <w:rPr>
          <w:color w:val="000000" w:themeColor="text1"/>
          <w:sz w:val="16"/>
          <w:szCs w:val="16"/>
        </w:rPr>
        <w:tab/>
        <w:t>450 км/час</w:t>
      </w:r>
    </w:p>
    <w:p w14:paraId="4ADA5FFB" w14:textId="77777777" w:rsidR="004709B0" w:rsidRPr="00925F26" w:rsidRDefault="004709B0" w:rsidP="00925F26">
      <w:pPr>
        <w:pStyle w:val="216"/>
        <w:shd w:val="clear" w:color="auto" w:fill="auto"/>
        <w:tabs>
          <w:tab w:val="left" w:pos="4006"/>
        </w:tabs>
        <w:spacing w:before="0" w:after="0" w:line="240" w:lineRule="auto"/>
        <w:ind w:firstLine="0"/>
        <w:jc w:val="both"/>
        <w:rPr>
          <w:color w:val="000000" w:themeColor="text1"/>
          <w:sz w:val="16"/>
          <w:szCs w:val="16"/>
        </w:rPr>
      </w:pPr>
      <w:r w:rsidRPr="00925F26">
        <w:rPr>
          <w:color w:val="000000" w:themeColor="text1"/>
          <w:sz w:val="16"/>
          <w:szCs w:val="16"/>
        </w:rPr>
        <w:t>крейсерская скорость</w:t>
      </w:r>
      <w:r w:rsidRPr="00925F26">
        <w:rPr>
          <w:color w:val="000000" w:themeColor="text1"/>
          <w:sz w:val="16"/>
          <w:szCs w:val="16"/>
        </w:rPr>
        <w:tab/>
        <w:t>360 км/час</w:t>
      </w:r>
    </w:p>
    <w:p w14:paraId="36A1033D" w14:textId="77777777" w:rsidR="004709B0" w:rsidRPr="00925F26" w:rsidRDefault="004709B0" w:rsidP="00925F26">
      <w:pPr>
        <w:pStyle w:val="216"/>
        <w:shd w:val="clear" w:color="auto" w:fill="auto"/>
        <w:tabs>
          <w:tab w:val="left" w:pos="4022"/>
        </w:tabs>
        <w:spacing w:before="0" w:after="0" w:line="240" w:lineRule="auto"/>
        <w:ind w:firstLine="0"/>
        <w:jc w:val="both"/>
        <w:rPr>
          <w:color w:val="000000" w:themeColor="text1"/>
          <w:sz w:val="16"/>
          <w:szCs w:val="16"/>
        </w:rPr>
      </w:pPr>
      <w:r w:rsidRPr="00925F26">
        <w:rPr>
          <w:color w:val="000000" w:themeColor="text1"/>
          <w:sz w:val="16"/>
          <w:szCs w:val="16"/>
        </w:rPr>
        <w:t>посадочная скорость</w:t>
      </w:r>
      <w:r w:rsidRPr="00925F26">
        <w:rPr>
          <w:color w:val="000000" w:themeColor="text1"/>
          <w:sz w:val="16"/>
          <w:szCs w:val="16"/>
        </w:rPr>
        <w:tab/>
        <w:t>122 км/час</w:t>
      </w:r>
    </w:p>
    <w:p w14:paraId="5A0619F1" w14:textId="77777777" w:rsidR="004709B0" w:rsidRPr="00925F26" w:rsidRDefault="004709B0" w:rsidP="00925F26">
      <w:pPr>
        <w:pStyle w:val="216"/>
        <w:shd w:val="clear" w:color="auto" w:fill="auto"/>
        <w:tabs>
          <w:tab w:val="left" w:pos="4037"/>
        </w:tabs>
        <w:spacing w:before="0" w:after="0" w:line="240" w:lineRule="auto"/>
        <w:ind w:firstLine="0"/>
        <w:jc w:val="both"/>
        <w:rPr>
          <w:color w:val="000000" w:themeColor="text1"/>
          <w:sz w:val="16"/>
          <w:szCs w:val="16"/>
        </w:rPr>
      </w:pPr>
      <w:r w:rsidRPr="00925F26">
        <w:rPr>
          <w:color w:val="000000" w:themeColor="text1"/>
          <w:sz w:val="16"/>
          <w:szCs w:val="16"/>
        </w:rPr>
        <w:t>дальность нормальная</w:t>
      </w:r>
      <w:r w:rsidRPr="00925F26">
        <w:rPr>
          <w:color w:val="000000" w:themeColor="text1"/>
          <w:sz w:val="16"/>
          <w:szCs w:val="16"/>
        </w:rPr>
        <w:tab/>
        <w:t>1600 км</w:t>
      </w:r>
    </w:p>
    <w:p w14:paraId="371E2A23" w14:textId="77777777" w:rsidR="004709B0" w:rsidRPr="00925F26" w:rsidRDefault="004709B0" w:rsidP="00925F26">
      <w:pPr>
        <w:pStyle w:val="216"/>
        <w:shd w:val="clear" w:color="auto" w:fill="auto"/>
        <w:tabs>
          <w:tab w:val="left" w:pos="4010"/>
        </w:tabs>
        <w:spacing w:before="0" w:after="0" w:line="240" w:lineRule="auto"/>
        <w:ind w:firstLine="0"/>
        <w:jc w:val="both"/>
        <w:rPr>
          <w:color w:val="000000" w:themeColor="text1"/>
          <w:sz w:val="16"/>
          <w:szCs w:val="16"/>
        </w:rPr>
      </w:pPr>
      <w:r w:rsidRPr="00925F26">
        <w:rPr>
          <w:color w:val="000000" w:themeColor="text1"/>
          <w:sz w:val="16"/>
          <w:szCs w:val="16"/>
        </w:rPr>
        <w:t>экипаж</w:t>
      </w:r>
      <w:r w:rsidRPr="00925F26">
        <w:rPr>
          <w:color w:val="000000" w:themeColor="text1"/>
          <w:sz w:val="16"/>
          <w:szCs w:val="16"/>
        </w:rPr>
        <w:tab/>
        <w:t>5 чел.</w:t>
      </w:r>
    </w:p>
    <w:p w14:paraId="1B4356A9"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В военно-транспортном варианте самолет рассчитан на перевозку 2 танке</w:t>
      </w:r>
      <w:r w:rsidRPr="00925F26">
        <w:rPr>
          <w:color w:val="000000" w:themeColor="text1"/>
          <w:sz w:val="16"/>
          <w:szCs w:val="16"/>
        </w:rPr>
        <w:softHyphen/>
        <w:t>ток типа Т-40 или 8 полевых 76 мм пушек с зарядными ящиками, или 3 про</w:t>
      </w:r>
      <w:r w:rsidRPr="00925F26">
        <w:rPr>
          <w:color w:val="000000" w:themeColor="text1"/>
          <w:sz w:val="16"/>
          <w:szCs w:val="16"/>
        </w:rPr>
        <w:softHyphen/>
        <w:t>тивотанковых пушек с автомашинами типа «Виллис» общим весом до 8 тонн.</w:t>
      </w:r>
    </w:p>
    <w:p w14:paraId="016051FD"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Десантный вариант рассчитан на перевозку 80 бойцов или 60 парашютис</w:t>
      </w:r>
      <w:r w:rsidRPr="00925F26">
        <w:rPr>
          <w:color w:val="000000" w:themeColor="text1"/>
          <w:sz w:val="16"/>
          <w:szCs w:val="16"/>
        </w:rPr>
        <w:softHyphen/>
        <w:t>тов со снаряжением и вооружением.</w:t>
      </w:r>
    </w:p>
    <w:p w14:paraId="6735FA0D"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Санитарный вариант рассчитан на перевозку 60 тяжелораненых.</w:t>
      </w:r>
    </w:p>
    <w:p w14:paraId="1CC6A5D5"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Пассажирский вариант рассчитан на 50 пассажиров и 50 кг багажа.</w:t>
      </w:r>
    </w:p>
    <w:p w14:paraId="0BD4AAE8"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Проект самолета Т-117 был направлен на заключение НИИ ВВС и НИИ ГВФ, которые дали положительную оценку проекта и считают целесообразным постройку опытных образцов.</w:t>
      </w:r>
    </w:p>
    <w:p w14:paraId="78AD478A"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Рассмотрев совместно проект самолета Т-117, считаем необходимым созда</w:t>
      </w:r>
      <w:r w:rsidRPr="00925F26">
        <w:rPr>
          <w:color w:val="000000" w:themeColor="text1"/>
          <w:sz w:val="16"/>
          <w:szCs w:val="16"/>
        </w:rPr>
        <w:softHyphen/>
        <w:t>ние конструкторского бюро с выделением производственной базы соответст</w:t>
      </w:r>
      <w:r w:rsidRPr="00925F26">
        <w:rPr>
          <w:color w:val="000000" w:themeColor="text1"/>
          <w:sz w:val="16"/>
          <w:szCs w:val="16"/>
        </w:rPr>
        <w:softHyphen/>
        <w:t>вующей мощности.</w:t>
      </w:r>
    </w:p>
    <w:p w14:paraId="2A9E815B" w14:textId="77777777" w:rsidR="004709B0" w:rsidRPr="00925F26" w:rsidRDefault="004709B0" w:rsidP="00925F26">
      <w:pPr>
        <w:pStyle w:val="216"/>
        <w:shd w:val="clear" w:color="auto" w:fill="auto"/>
        <w:spacing w:before="0" w:after="0" w:line="240" w:lineRule="auto"/>
        <w:ind w:firstLine="0"/>
        <w:jc w:val="both"/>
        <w:rPr>
          <w:color w:val="000000" w:themeColor="text1"/>
          <w:sz w:val="16"/>
          <w:szCs w:val="16"/>
        </w:rPr>
      </w:pPr>
      <w:r w:rsidRPr="00925F26">
        <w:rPr>
          <w:color w:val="000000" w:themeColor="text1"/>
          <w:sz w:val="16"/>
          <w:szCs w:val="16"/>
        </w:rPr>
        <w:t>Просим Вашего согласия на представление в Совет Министров проекта по</w:t>
      </w:r>
      <w:r w:rsidRPr="00925F26">
        <w:rPr>
          <w:color w:val="000000" w:themeColor="text1"/>
          <w:sz w:val="16"/>
          <w:szCs w:val="16"/>
        </w:rPr>
        <w:softHyphen/>
        <w:t>становления о постройке самолета Т-117.</w:t>
      </w:r>
    </w:p>
    <w:p w14:paraId="1DD53C3A" w14:textId="77777777" w:rsidR="004709B0" w:rsidRPr="00925F26" w:rsidRDefault="004709B0" w:rsidP="00925F26">
      <w:pPr>
        <w:pStyle w:val="216"/>
        <w:shd w:val="clear" w:color="auto" w:fill="auto"/>
        <w:tabs>
          <w:tab w:val="left" w:pos="6885"/>
        </w:tabs>
        <w:spacing w:before="0" w:after="0" w:line="240" w:lineRule="auto"/>
        <w:ind w:firstLine="0"/>
        <w:jc w:val="both"/>
        <w:rPr>
          <w:color w:val="000000" w:themeColor="text1"/>
          <w:sz w:val="16"/>
          <w:szCs w:val="16"/>
        </w:rPr>
      </w:pPr>
      <w:r w:rsidRPr="00925F26">
        <w:rPr>
          <w:color w:val="000000" w:themeColor="text1"/>
          <w:sz w:val="16"/>
          <w:szCs w:val="16"/>
        </w:rPr>
        <w:t>Министр внутренних дел СССР</w:t>
      </w:r>
      <w:r w:rsidRPr="00925F26">
        <w:rPr>
          <w:color w:val="000000" w:themeColor="text1"/>
          <w:sz w:val="16"/>
          <w:szCs w:val="16"/>
        </w:rPr>
        <w:tab/>
        <w:t>С.Круглов</w:t>
      </w:r>
    </w:p>
    <w:p w14:paraId="18745171" w14:textId="77777777" w:rsidR="004709B0" w:rsidRPr="00925F26" w:rsidRDefault="004709B0" w:rsidP="00925F26">
      <w:pPr>
        <w:pStyle w:val="216"/>
        <w:shd w:val="clear" w:color="auto" w:fill="auto"/>
        <w:tabs>
          <w:tab w:val="left" w:pos="6692"/>
        </w:tabs>
        <w:spacing w:before="0" w:after="0" w:line="240" w:lineRule="auto"/>
        <w:ind w:firstLine="0"/>
        <w:jc w:val="both"/>
        <w:rPr>
          <w:color w:val="000000" w:themeColor="text1"/>
          <w:sz w:val="16"/>
          <w:szCs w:val="16"/>
        </w:rPr>
      </w:pPr>
      <w:r w:rsidRPr="00925F26">
        <w:rPr>
          <w:color w:val="000000" w:themeColor="text1"/>
          <w:sz w:val="16"/>
          <w:szCs w:val="16"/>
        </w:rPr>
        <w:t>Министр авиационной промышленности СССР</w:t>
      </w:r>
      <w:r w:rsidRPr="00925F26">
        <w:rPr>
          <w:color w:val="000000" w:themeColor="text1"/>
          <w:sz w:val="16"/>
          <w:szCs w:val="16"/>
        </w:rPr>
        <w:tab/>
        <w:t>М.Хруничев</w:t>
      </w:r>
    </w:p>
    <w:p w14:paraId="416523C2" w14:textId="77777777" w:rsidR="004709B0" w:rsidRPr="00925F26" w:rsidRDefault="004709B0" w:rsidP="00925F26">
      <w:pPr>
        <w:pStyle w:val="34"/>
        <w:shd w:val="clear" w:color="auto" w:fill="auto"/>
        <w:spacing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ГА</w:t>
      </w:r>
      <w:r w:rsidRPr="00087C4A">
        <w:rPr>
          <w:rFonts w:ascii="Times New Roman" w:cs="Times New Roman"/>
          <w:color w:val="000000" w:themeColor="text1"/>
          <w:spacing w:val="0"/>
          <w:sz w:val="16"/>
          <w:szCs w:val="16"/>
          <w:lang w:val="en-US"/>
        </w:rPr>
        <w:t xml:space="preserve"> </w:t>
      </w:r>
      <w:r w:rsidRPr="00925F26">
        <w:rPr>
          <w:rFonts w:ascii="Times New Roman" w:cs="Times New Roman"/>
          <w:color w:val="000000" w:themeColor="text1"/>
          <w:spacing w:val="0"/>
          <w:sz w:val="16"/>
          <w:szCs w:val="16"/>
        </w:rPr>
        <w:t>РФ</w:t>
      </w:r>
      <w:r w:rsidRPr="00087C4A">
        <w:rPr>
          <w:rFonts w:ascii="Times New Roman" w:cs="Times New Roman"/>
          <w:color w:val="000000" w:themeColor="text1"/>
          <w:spacing w:val="0"/>
          <w:sz w:val="16"/>
          <w:szCs w:val="16"/>
          <w:lang w:val="en-US"/>
        </w:rPr>
        <w:t xml:space="preserve">. </w:t>
      </w:r>
      <w:r w:rsidRPr="00925F26">
        <w:rPr>
          <w:rFonts w:ascii="Times New Roman" w:cs="Times New Roman"/>
          <w:color w:val="000000" w:themeColor="text1"/>
          <w:spacing w:val="0"/>
          <w:sz w:val="16"/>
          <w:szCs w:val="16"/>
        </w:rPr>
        <w:t>Ф</w:t>
      </w:r>
      <w:r w:rsidRPr="00087C4A">
        <w:rPr>
          <w:rFonts w:ascii="Times New Roman" w:cs="Times New Roman"/>
          <w:color w:val="000000" w:themeColor="text1"/>
          <w:spacing w:val="0"/>
          <w:sz w:val="16"/>
          <w:szCs w:val="16"/>
          <w:lang w:val="en-US"/>
        </w:rPr>
        <w:t xml:space="preserve">. </w:t>
      </w:r>
      <w:r w:rsidRPr="00925F26">
        <w:rPr>
          <w:rFonts w:ascii="Times New Roman" w:cs="Times New Roman"/>
          <w:color w:val="000000" w:themeColor="text1"/>
          <w:spacing w:val="0"/>
          <w:sz w:val="16"/>
          <w:szCs w:val="16"/>
        </w:rPr>
        <w:t>Р</w:t>
      </w:r>
      <w:r w:rsidRPr="00087C4A">
        <w:rPr>
          <w:rFonts w:ascii="Times New Roman" w:cs="Times New Roman"/>
          <w:color w:val="000000" w:themeColor="text1"/>
          <w:spacing w:val="0"/>
          <w:sz w:val="16"/>
          <w:szCs w:val="16"/>
          <w:lang w:val="en-US"/>
        </w:rPr>
        <w:t xml:space="preserve">-9401, </w:t>
      </w:r>
      <w:r w:rsidRPr="00925F26">
        <w:rPr>
          <w:rFonts w:ascii="Times New Roman" w:cs="Times New Roman"/>
          <w:color w:val="000000" w:themeColor="text1"/>
          <w:spacing w:val="0"/>
          <w:sz w:val="16"/>
          <w:szCs w:val="16"/>
          <w:lang w:val="en-US"/>
        </w:rPr>
        <w:t>On</w:t>
      </w:r>
      <w:r w:rsidRPr="00087C4A">
        <w:rPr>
          <w:rFonts w:ascii="Times New Roman" w:cs="Times New Roman"/>
          <w:color w:val="000000" w:themeColor="text1"/>
          <w:spacing w:val="0"/>
          <w:sz w:val="16"/>
          <w:szCs w:val="16"/>
          <w:lang w:val="en-US"/>
        </w:rPr>
        <w:t xml:space="preserve">. 2. </w:t>
      </w:r>
      <w:r w:rsidRPr="00925F26">
        <w:rPr>
          <w:rFonts w:ascii="Times New Roman" w:cs="Times New Roman"/>
          <w:color w:val="000000" w:themeColor="text1"/>
          <w:spacing w:val="0"/>
          <w:sz w:val="16"/>
          <w:szCs w:val="16"/>
        </w:rPr>
        <w:t>Д</w:t>
      </w:r>
      <w:r w:rsidRPr="00087C4A">
        <w:rPr>
          <w:rFonts w:ascii="Times New Roman" w:cs="Times New Roman"/>
          <w:color w:val="000000" w:themeColor="text1"/>
          <w:spacing w:val="0"/>
          <w:sz w:val="16"/>
          <w:szCs w:val="16"/>
          <w:lang w:val="en-US"/>
        </w:rPr>
        <w:t xml:space="preserve">. 137. </w:t>
      </w:r>
      <w:r w:rsidRPr="00925F26">
        <w:rPr>
          <w:rFonts w:ascii="Times New Roman" w:cs="Times New Roman"/>
          <w:color w:val="000000" w:themeColor="text1"/>
          <w:spacing w:val="0"/>
          <w:sz w:val="16"/>
          <w:szCs w:val="16"/>
        </w:rPr>
        <w:t>Л</w:t>
      </w:r>
      <w:r w:rsidRPr="00087C4A">
        <w:rPr>
          <w:rFonts w:ascii="Times New Roman" w:cs="Times New Roman"/>
          <w:color w:val="000000" w:themeColor="text1"/>
          <w:spacing w:val="0"/>
          <w:sz w:val="16"/>
          <w:szCs w:val="16"/>
          <w:lang w:val="en-US"/>
        </w:rPr>
        <w:t xml:space="preserve">. 378-379. </w:t>
      </w:r>
      <w:r w:rsidRPr="00925F26">
        <w:rPr>
          <w:rFonts w:ascii="Times New Roman" w:cs="Times New Roman"/>
          <w:color w:val="000000" w:themeColor="text1"/>
          <w:spacing w:val="0"/>
          <w:sz w:val="16"/>
          <w:szCs w:val="16"/>
        </w:rPr>
        <w:t xml:space="preserve">Заверенная копия. </w:t>
      </w:r>
      <w:r w:rsidRPr="00925F26">
        <w:rPr>
          <w:rStyle w:val="3115pt"/>
          <w:rFonts w:eastAsia="Arial Narrow"/>
          <w:b w:val="0"/>
          <w:i w:val="0"/>
          <w:color w:val="000000" w:themeColor="text1"/>
          <w:sz w:val="16"/>
          <w:szCs w:val="16"/>
        </w:rPr>
        <w:t>№ 172 (19097).</w:t>
      </w:r>
    </w:p>
    <w:p w14:paraId="60199CCC" w14:textId="77777777" w:rsidR="004709B0" w:rsidRPr="00925F26" w:rsidRDefault="004709B0" w:rsidP="00925F26">
      <w:pPr>
        <w:jc w:val="both"/>
        <w:rPr>
          <w:color w:val="000000" w:themeColor="text1"/>
          <w:sz w:val="16"/>
          <w:szCs w:val="16"/>
        </w:rPr>
      </w:pPr>
    </w:p>
    <w:p w14:paraId="51A1175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2C0997FC" w14:textId="77777777" w:rsidR="006103B3" w:rsidRPr="00925F26" w:rsidRDefault="006103B3" w:rsidP="00925F26">
      <w:pPr>
        <w:autoSpaceDE w:val="0"/>
        <w:autoSpaceDN w:val="0"/>
        <w:adjustRightInd w:val="0"/>
        <w:jc w:val="both"/>
        <w:rPr>
          <w:iCs/>
          <w:color w:val="000000" w:themeColor="text1"/>
          <w:sz w:val="16"/>
          <w:szCs w:val="16"/>
        </w:rPr>
      </w:pPr>
    </w:p>
    <w:p w14:paraId="0718728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29 июня 1945 г. была подготовлена ДОКЛАДНАЯ ЗАПИСКА КОМАНДУЮЩЕГО БТ и МВ КА ПРЕДСЕДАТЕЛЮ ГКО ГЕНЕРАЛИССИМУСУ СОВЕТСКОГО СОЮЗА И. В. СТАЛИНУ О НОВЫХ ОБРАЗЦАХ СВЕРХТЯЖЕЛЫХ НЕМЕЦКИХ ТАНКОВ №32-241</w:t>
      </w:r>
    </w:p>
    <w:p w14:paraId="4FEF09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Докладываю, что 4 июня с.г. советскими войсками в Германии были найдены два сверхтяжелых немецких танка.</w:t>
      </w:r>
    </w:p>
    <w:p w14:paraId="2054E62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Один из них, с вооруженной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740D7DB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Особенностью сверхтяжелых танков является применение электротрансмиссии и спаренной установки пушек: крупного калибра (128 мм) и калибра 75 мм.</w:t>
      </w:r>
    </w:p>
    <w:p w14:paraId="449CCD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По показаниям немецких инженеров, работавших на танковом полигоне, сверхтяжелые танки проектировались конструктором Порше в районе Штутгарт-Боблинген и были изготовлены фирмой Нибелунгенверке (в Австрии).</w:t>
      </w:r>
    </w:p>
    <w:p w14:paraId="4E8DBA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конце декабря 1944 года оба танка были доставлены на танковый полигон для испытаний, отку</w:t>
      </w:r>
      <w:r w:rsidRPr="00925F26">
        <w:rPr>
          <w:color w:val="000000" w:themeColor="text1"/>
          <w:sz w:val="16"/>
          <w:szCs w:val="16"/>
        </w:rPr>
        <w:softHyphen/>
        <w:t>да один (вооруженный) образец в марте с.г. был своим ходом доставлен в Штамлагер.</w:t>
      </w:r>
    </w:p>
    <w:p w14:paraId="2E268DB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lastRenderedPageBreak/>
        <w:t>Представляю тактико-техническую характеристику сверхтяжелого танка.</w:t>
      </w:r>
    </w:p>
    <w:p w14:paraId="1818546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Характеристика является ориентировочной, так как оба танка оказались подорванными и под</w:t>
      </w:r>
      <w:r w:rsidRPr="00925F26">
        <w:rPr>
          <w:color w:val="000000" w:themeColor="text1"/>
          <w:sz w:val="16"/>
          <w:szCs w:val="16"/>
        </w:rPr>
        <w:softHyphen/>
        <w:t>робно специалистами еще не изучались.</w:t>
      </w:r>
    </w:p>
    <w:p w14:paraId="786B4E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Более точные данные доложу Вам после тщательного изучения этих танков специалистами.</w:t>
      </w:r>
    </w:p>
    <w:p w14:paraId="47B56F4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Командующий БТ и МВ КА маршал бронетанковых войск Я. Федоренко</w:t>
      </w:r>
    </w:p>
    <w:p w14:paraId="167BC8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ЦАМО. Ф. 38. Оп. 11355. Д. 2725. Л. 15. Копия (11420).</w:t>
      </w:r>
    </w:p>
    <w:p w14:paraId="25D8BBF0" w14:textId="77777777" w:rsidR="006103B3" w:rsidRPr="00925F26" w:rsidRDefault="006103B3" w:rsidP="00925F26">
      <w:pPr>
        <w:autoSpaceDE w:val="0"/>
        <w:autoSpaceDN w:val="0"/>
        <w:adjustRightInd w:val="0"/>
        <w:jc w:val="both"/>
        <w:rPr>
          <w:color w:val="000000" w:themeColor="text1"/>
          <w:sz w:val="16"/>
          <w:szCs w:val="16"/>
        </w:rPr>
      </w:pPr>
    </w:p>
    <w:p w14:paraId="06AEBFBB"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29 июня 1945 года в адрес руководства Государственного комитета обороны (ГКО), включая Сталина и Берию, были отправлены докладные записки за подписью начальника Главного автобронетанкового управления Красной армии (ГАБТУ КА) маршала бронетанковых войск Я. Н. Федоренко:</w:t>
      </w:r>
    </w:p>
    <w:p w14:paraId="78FE1EBB"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«Докладываю, что 4 июня сего года советскими оккупационными войсками в Германии были найдены два сверхтяжёлых немецких танка.</w:t>
      </w:r>
    </w:p>
    <w:p w14:paraId="47EDD5CF"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Один из них, с вооружённой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0A303301"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Особенностью сверхтяжёлых танков является применение электротрансмиссии и спаренной установки пушек — крупного калибра (128 мм) и калибра 75 мм.</w:t>
      </w:r>
    </w:p>
    <w:p w14:paraId="762167CE"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По показаниям немецких инженеров, работавших на танковом полигоне, сверхтяжёлые танки проектировались конструктором Порше в районе Штутгарт-Боблинген и были изготовлены фирмой Нибелунгенверке (в Австрии).</w:t>
      </w:r>
    </w:p>
    <w:p w14:paraId="7A983DBF"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В конце декабря 1944 года оба танка были доставлены на танковый полигон для испытаний, откуда один (вооружённый) образец в марте сего года был своим ходом доставлен в Штамлагер.</w:t>
      </w:r>
    </w:p>
    <w:p w14:paraId="3D85C897"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Представляю тактико-техническую характеристику сверхтяжёлого танка.</w:t>
      </w:r>
    </w:p>
    <w:p w14:paraId="506D1A9A"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Характеристика является ориентировочной, так как оба танка оказались подорванными и подробно специалистами не изучены.</w:t>
      </w:r>
    </w:p>
    <w:p w14:paraId="04A2664F" w14:textId="77777777" w:rsidR="00797499" w:rsidRPr="00925F26" w:rsidRDefault="00797499" w:rsidP="00925F26">
      <w:pPr>
        <w:shd w:val="clear" w:color="auto" w:fill="FFFFFF"/>
        <w:jc w:val="both"/>
        <w:rPr>
          <w:color w:val="000000" w:themeColor="text1"/>
          <w:sz w:val="16"/>
          <w:szCs w:val="16"/>
        </w:rPr>
      </w:pPr>
      <w:r w:rsidRPr="00925F26">
        <w:rPr>
          <w:iCs/>
          <w:color w:val="000000" w:themeColor="text1"/>
          <w:sz w:val="16"/>
          <w:szCs w:val="16"/>
        </w:rPr>
        <w:t>Более точные данные доложу Вам после тщательного изучения этих танков специалистами».</w:t>
      </w:r>
    </w:p>
    <w:p w14:paraId="653B8870"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 xml:space="preserve">Наибольший интерес вызвал второй образец сверхтяжёлого танка.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внутренний взрыв нанёс ему очень серьёзные повреждения, изучали в основном именно его. Дело в том, что первый образец не имел вооружения, а вместо башни на него был установлен </w:t>
      </w:r>
      <w:proofErr w:type="gramStart"/>
      <w:r w:rsidRPr="00925F26">
        <w:rPr>
          <w:color w:val="000000" w:themeColor="text1"/>
          <w:sz w:val="16"/>
          <w:szCs w:val="16"/>
        </w:rPr>
        <w:t>массо-габаритный</w:t>
      </w:r>
      <w:proofErr w:type="gramEnd"/>
      <w:r w:rsidRPr="00925F26">
        <w:rPr>
          <w:color w:val="000000" w:themeColor="text1"/>
          <w:sz w:val="16"/>
          <w:szCs w:val="16"/>
        </w:rPr>
        <w:t xml:space="preserve"> макет.</w:t>
      </w:r>
    </w:p>
    <w:p w14:paraId="37EE232E"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На место обнаружения прибыли специалисты, которые приступили к изучению подорванного танка. Для начала было решено составить краткое техническое описание машины. Доклад получился небольшим — всего на 18 страниц. Это было связано с тем, что сверху пришёл приказ составить описание обнаруженной машины в кратчайшие сроки. Такая спешка не выглядела странной: в руках советских военных оказался танк, который выглядел гораздо более опасным противником, чем все боевые машины, с которыми они ранее встречались.</w:t>
      </w:r>
    </w:p>
    <w:p w14:paraId="45C8642B"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Противоречивые показания немецких военнопленных и сильные повреждения стали причиной ряда неточностей в составленном описании. Например, боевая масса танка оценивалась в нём в 120 тонн. Причиной этой неточности не была ошибка советских военных. Точно такую же боевую массу указывали в конце 1944 года и немецкие военнопленные, которые оказались у союзников. И это не являлось умышленной дезинформацией. Военнопленные говорили правду, Pz.Kpfw. Maus действительно когда-то весил 120 тонн. Правда, было это ещё на «бумажной стадии»: такой оказалась изначальная проектная масса танка, датированная началом июня 1942 года. С того времени воплощённая в металле машина успела «поправиться» более чем в полтора раза.</w:t>
      </w:r>
    </w:p>
    <w:p w14:paraId="33B791E6"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 xml:space="preserve">Ещё одна серьёзная неточность вкралась в описание вооружения. Помимо 128-мм длинноствольной и 75-мм короткоствольной пушки, в описание попали и два пулемёта странного калибра 7,65 мм. Куда более удивительным выглядит то, что среди вооружения была указана и автоматическая пушка калибра 20 мм. Появилась она в описании, вероятно, тоже со слов военнопленных. </w:t>
      </w:r>
      <w:proofErr w:type="gramStart"/>
      <w:r w:rsidRPr="00925F26">
        <w:rPr>
          <w:color w:val="000000" w:themeColor="text1"/>
          <w:sz w:val="16"/>
          <w:szCs w:val="16"/>
        </w:rPr>
        <w:t>Как ни странно</w:t>
      </w:r>
      <w:proofErr w:type="gramEnd"/>
      <w:r w:rsidRPr="00925F26">
        <w:rPr>
          <w:color w:val="000000" w:themeColor="text1"/>
          <w:sz w:val="16"/>
          <w:szCs w:val="16"/>
        </w:rPr>
        <w:t xml:space="preserve"> это прозвучит, такая информация тоже не является полной дезинформацией. Действительно, в начале 1943 года в проектах Pz.Kpfw. Maus фигурировала 20-мм автоматическая пушка MG 152/20 в качестве зенитного вооружения. Правда, от этой идеи благоразумно отказались, поскольку наводилась она только по вертикали, а использование огромной башни танка для наведения зенитного орудия по горизонтали было нелепой затеей.</w:t>
      </w:r>
    </w:p>
    <w:p w14:paraId="2464FAF3"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Несмотря на подобное ошибки, в целом техническое описание давало весьма подробную картину внутреннего устройства танка и его бронезащиты. Разумеется, и здесь имелись некоторые неточности, но они оказались относительно небольшими.</w:t>
      </w:r>
    </w:p>
    <w:p w14:paraId="50FC0050" w14:textId="77777777" w:rsidR="00797499" w:rsidRPr="00925F26" w:rsidRDefault="00797499" w:rsidP="00925F26">
      <w:pPr>
        <w:shd w:val="clear" w:color="auto" w:fill="FFFFFF"/>
        <w:jc w:val="both"/>
        <w:rPr>
          <w:color w:val="000000" w:themeColor="text1"/>
          <w:sz w:val="16"/>
          <w:szCs w:val="16"/>
        </w:rPr>
      </w:pPr>
      <w:r w:rsidRPr="00925F26">
        <w:rPr>
          <w:color w:val="000000" w:themeColor="text1"/>
          <w:sz w:val="16"/>
          <w:szCs w:val="16"/>
        </w:rPr>
        <w:t>Особое внимание советские специалисты уделили силовой установке и трансмиссии сверхтяжёлого танка. Этим вопросам была посвящена едва ли не половина технического описания. Такое внимание не выглядит удивительным: за год до того в СССР активно шли работы по электрической танковой трансмиссии, которые закончились в целом неудачно. Теперь же в руках советских военных оказался танк с электротрансмиссией, да ещё и сверхтяжёлый. Его двигатель специалисты разобрали прямо на месте и изучили. Также поступили с гитарой (шестерёночной передачей) и ведущим колесом. Подробному изучению подверглась и ходовая часть танка (17676).</w:t>
      </w:r>
    </w:p>
    <w:p w14:paraId="6EA4D434" w14:textId="77777777" w:rsidR="00797499" w:rsidRPr="00925F26" w:rsidRDefault="00797499" w:rsidP="00925F26">
      <w:pPr>
        <w:jc w:val="both"/>
        <w:rPr>
          <w:rStyle w:val="107"/>
          <w:rFonts w:eastAsiaTheme="minorHAnsi"/>
          <w:color w:val="000000" w:themeColor="text1"/>
          <w:sz w:val="16"/>
          <w:szCs w:val="16"/>
        </w:rPr>
      </w:pPr>
    </w:p>
    <w:p w14:paraId="446DB23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июня 1945 года вышел приказ № 244с НКБ</w:t>
      </w:r>
    </w:p>
    <w:p w14:paraId="3F5BEF5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В соответствии с распоряжением СНК № 9687-рс от 24 июня 1945 года о ликвидации завода № 479:</w:t>
      </w:r>
    </w:p>
    <w:p w14:paraId="44F95E8E"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Начальнику 6-го Гл. управления и директору завода № 479 Ахназарову передать Наркоммясомолпрому помещение завода № 479 и завод № 271 НКСП согласно ранее данным приказам и распоряжениям.</w:t>
      </w:r>
    </w:p>
    <w:p w14:paraId="2DAD3CC9"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Перебросить на завод № 386 все оборудование, материалы, инструмент, незавершенное производство, автотранспорт и лошадей (5796, 106).</w:t>
      </w:r>
    </w:p>
    <w:p w14:paraId="6A01C4A2"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60E15D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 1945 г. приказом НКБ № 244 в соответствии с пост. СНК № 9687 от 24 июня 1945 г. завод № 479 (ГС Завод № 479 НКАП, НКБ, Завод «Пресс» НКМП РСФСР, п/я 102 /г. Серпухов Московской обл.;  г. Бийск Алтайского кр. п/я 102 «Шайба» (1943 г.)/) ликвидирован, на его месте создан завод «Мясомолмаш».</w:t>
      </w:r>
    </w:p>
    <w:p w14:paraId="40DF4BF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Площадь (1943 г.): производственная- 2163 м</w:t>
      </w:r>
      <w:r w:rsidRPr="00925F26">
        <w:rPr>
          <w:color w:val="000000" w:themeColor="text1"/>
          <w:sz w:val="16"/>
          <w:szCs w:val="16"/>
          <w:vertAlign w:val="superscript"/>
        </w:rPr>
        <w:t>2</w:t>
      </w:r>
      <w:r w:rsidRPr="00925F26">
        <w:rPr>
          <w:color w:val="000000" w:themeColor="text1"/>
          <w:sz w:val="16"/>
          <w:szCs w:val="16"/>
        </w:rPr>
        <w:t>; вспомогательная- 973 м</w:t>
      </w:r>
      <w:r w:rsidRPr="00925F26">
        <w:rPr>
          <w:color w:val="000000" w:themeColor="text1"/>
          <w:sz w:val="16"/>
          <w:szCs w:val="16"/>
          <w:vertAlign w:val="superscript"/>
        </w:rPr>
        <w:t>2</w:t>
      </w:r>
      <w:r w:rsidRPr="00925F26">
        <w:rPr>
          <w:color w:val="000000" w:themeColor="text1"/>
          <w:sz w:val="16"/>
          <w:szCs w:val="16"/>
        </w:rPr>
        <w:t>; прочая- 207 м</w:t>
      </w:r>
      <w:r w:rsidRPr="00925F26">
        <w:rPr>
          <w:color w:val="000000" w:themeColor="text1"/>
          <w:sz w:val="16"/>
          <w:szCs w:val="16"/>
          <w:vertAlign w:val="superscript"/>
        </w:rPr>
        <w:t>2</w:t>
      </w:r>
      <w:r w:rsidRPr="00925F26">
        <w:rPr>
          <w:color w:val="000000" w:themeColor="text1"/>
          <w:sz w:val="16"/>
          <w:szCs w:val="16"/>
        </w:rPr>
        <w:t>.</w:t>
      </w:r>
    </w:p>
    <w:p w14:paraId="517103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(12.1942 г.)- 827 чел.</w:t>
      </w:r>
    </w:p>
    <w:p w14:paraId="7798043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(1940-42 г.)- И.П. Девяткин, (04.1943 г.)- Ахназаров.</w:t>
      </w:r>
    </w:p>
    <w:p w14:paraId="1DE5FBF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(04.1943 г.)- Филин.</w:t>
      </w:r>
    </w:p>
    <w:p w14:paraId="1AFFC158" w14:textId="77777777" w:rsidR="006103B3" w:rsidRPr="00925F26" w:rsidRDefault="006103B3" w:rsidP="00925F26">
      <w:pPr>
        <w:autoSpaceDE w:val="0"/>
        <w:autoSpaceDN w:val="0"/>
        <w:adjustRightInd w:val="0"/>
        <w:jc w:val="both"/>
        <w:rPr>
          <w:color w:val="000000" w:themeColor="text1"/>
          <w:sz w:val="16"/>
          <w:szCs w:val="16"/>
        </w:rPr>
      </w:pPr>
      <w:r w:rsidRPr="00925F26">
        <w:rPr>
          <w:iCs/>
          <w:color w:val="000000" w:themeColor="text1"/>
          <w:sz w:val="16"/>
          <w:szCs w:val="16"/>
        </w:rPr>
        <w:t>Производство:</w:t>
      </w:r>
      <w:r w:rsidRPr="00925F26">
        <w:rPr>
          <w:color w:val="000000" w:themeColor="text1"/>
          <w:sz w:val="16"/>
          <w:szCs w:val="16"/>
        </w:rPr>
        <w:t xml:space="preserve"> ручные гранаты РГД-33 (ВОВ), РГ-42 (1943); взрыватель УЗРГ; КД-8 (1943) (11982).</w:t>
      </w:r>
    </w:p>
    <w:p w14:paraId="60A9108D" w14:textId="77777777" w:rsidR="00576B22" w:rsidRPr="00925F26" w:rsidRDefault="00576B22" w:rsidP="00925F26">
      <w:pPr>
        <w:autoSpaceDE w:val="0"/>
        <w:autoSpaceDN w:val="0"/>
        <w:adjustRightInd w:val="0"/>
        <w:jc w:val="both"/>
        <w:rPr>
          <w:iCs/>
          <w:color w:val="000000" w:themeColor="text1"/>
          <w:sz w:val="16"/>
          <w:szCs w:val="16"/>
        </w:rPr>
      </w:pPr>
    </w:p>
    <w:p w14:paraId="50ECEB48"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2C0AFEE0" w14:textId="77777777" w:rsidR="006103B3" w:rsidRPr="00925F26" w:rsidRDefault="006103B3" w:rsidP="00925F26">
      <w:pPr>
        <w:autoSpaceDE w:val="0"/>
        <w:autoSpaceDN w:val="0"/>
        <w:adjustRightInd w:val="0"/>
        <w:jc w:val="both"/>
        <w:rPr>
          <w:iCs/>
          <w:color w:val="000000" w:themeColor="text1"/>
          <w:sz w:val="16"/>
          <w:szCs w:val="16"/>
        </w:rPr>
      </w:pPr>
    </w:p>
    <w:p w14:paraId="3CE0A96C"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июня 1945 вышло распоряжение СНК № 9908-р, которое обязало ГВИУ КА передать тресту Сталинградствой инструмент, оборудование и трофейное имущество (7543, 103).</w:t>
      </w:r>
    </w:p>
    <w:p w14:paraId="11D06A1B"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383476F"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июня 1945 вышло распоряжение СНК № 9915-р, которое обязало НКВ после реэвакуации з-да № 545 передать все оставшееся, включая жилые дома, Челябинскому (7543, 105).</w:t>
      </w:r>
    </w:p>
    <w:p w14:paraId="5E581496"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741A9F3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C5B3AA7" w14:textId="77777777" w:rsidR="006103B3" w:rsidRPr="00925F26" w:rsidRDefault="006103B3" w:rsidP="00925F26">
      <w:pPr>
        <w:autoSpaceDE w:val="0"/>
        <w:autoSpaceDN w:val="0"/>
        <w:adjustRightInd w:val="0"/>
        <w:jc w:val="both"/>
        <w:rPr>
          <w:iCs/>
          <w:color w:val="000000" w:themeColor="text1"/>
          <w:sz w:val="16"/>
          <w:szCs w:val="16"/>
        </w:rPr>
      </w:pPr>
    </w:p>
    <w:p w14:paraId="12E5F6B5"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29 июня 1945 СССР и Чехословакия подписали договор о присоединении Закарпатской Украины к УССР (4962).</w:t>
      </w:r>
    </w:p>
    <w:p w14:paraId="1B362FA9"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08CF18D3" w14:textId="77777777" w:rsidR="00576B22" w:rsidRPr="00925F26" w:rsidRDefault="00576B22" w:rsidP="00925F26">
      <w:pPr>
        <w:jc w:val="both"/>
        <w:rPr>
          <w:color w:val="000000" w:themeColor="text1"/>
          <w:sz w:val="16"/>
          <w:szCs w:val="16"/>
        </w:rPr>
      </w:pPr>
      <w:r w:rsidRPr="00925F26">
        <w:rPr>
          <w:bCs/>
          <w:color w:val="000000" w:themeColor="text1"/>
          <w:sz w:val="16"/>
          <w:szCs w:val="16"/>
        </w:rPr>
        <w:t>29 июня</w:t>
      </w:r>
      <w:r w:rsidRPr="00925F26">
        <w:rPr>
          <w:color w:val="000000" w:themeColor="text1"/>
          <w:sz w:val="16"/>
          <w:szCs w:val="16"/>
        </w:rPr>
        <w:t xml:space="preserve"> в 1945 году в Москве подписан Договор между СССР и Чехословацкой Республикой о Закарпатской Украине. Закарпатская Украина (по чехословацкой конституции — Подкарпатская Русь), исходя из проявленного ее населением желания, воссоединялась с Украиной и включалась в состав Украинской ССР</w:t>
      </w:r>
    </w:p>
    <w:p w14:paraId="0BF8137F" w14:textId="77777777" w:rsidR="00576B22" w:rsidRPr="00925F26" w:rsidRDefault="00576B22" w:rsidP="00925F26">
      <w:pPr>
        <w:jc w:val="both"/>
        <w:rPr>
          <w:color w:val="000000" w:themeColor="text1"/>
          <w:sz w:val="16"/>
          <w:szCs w:val="16"/>
        </w:rPr>
      </w:pPr>
    </w:p>
    <w:p w14:paraId="4710B5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 1945 Закарпатская Украина была включена в состав СССР (3481).</w:t>
      </w:r>
    </w:p>
    <w:p w14:paraId="670F921D" w14:textId="77777777" w:rsidR="006103B3" w:rsidRPr="00925F26" w:rsidRDefault="006103B3" w:rsidP="00925F26">
      <w:pPr>
        <w:autoSpaceDE w:val="0"/>
        <w:autoSpaceDN w:val="0"/>
        <w:adjustRightInd w:val="0"/>
        <w:jc w:val="both"/>
        <w:rPr>
          <w:color w:val="000000" w:themeColor="text1"/>
          <w:sz w:val="16"/>
          <w:szCs w:val="16"/>
        </w:rPr>
      </w:pPr>
    </w:p>
    <w:p w14:paraId="5B655F9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 июня 1945 Чехословакия уступила Рутению СССР (3481).</w:t>
      </w:r>
    </w:p>
    <w:p w14:paraId="5B1103C3" w14:textId="77777777" w:rsidR="006103B3" w:rsidRPr="00925F26" w:rsidRDefault="006103B3" w:rsidP="00925F26">
      <w:pPr>
        <w:autoSpaceDE w:val="0"/>
        <w:autoSpaceDN w:val="0"/>
        <w:adjustRightInd w:val="0"/>
        <w:jc w:val="both"/>
        <w:rPr>
          <w:color w:val="000000" w:themeColor="text1"/>
          <w:sz w:val="16"/>
          <w:szCs w:val="16"/>
        </w:rPr>
      </w:pPr>
    </w:p>
    <w:p w14:paraId="36CA3CD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lastRenderedPageBreak/>
        <w:t>Авиапромышленность:</w:t>
      </w:r>
    </w:p>
    <w:p w14:paraId="078DA8C7" w14:textId="77777777" w:rsidR="006103B3" w:rsidRPr="00925F26" w:rsidRDefault="006103B3" w:rsidP="00925F26">
      <w:pPr>
        <w:autoSpaceDE w:val="0"/>
        <w:autoSpaceDN w:val="0"/>
        <w:adjustRightInd w:val="0"/>
        <w:jc w:val="both"/>
        <w:rPr>
          <w:iCs/>
          <w:color w:val="000000" w:themeColor="text1"/>
          <w:sz w:val="16"/>
          <w:szCs w:val="16"/>
        </w:rPr>
      </w:pPr>
    </w:p>
    <w:p w14:paraId="6090A08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На 30 июня 1945, согласно письма С. В. Ильюшина командующему ВВС главному мар</w:t>
      </w:r>
      <w:r w:rsidRPr="00925F26">
        <w:rPr>
          <w:color w:val="000000" w:themeColor="text1"/>
          <w:sz w:val="16"/>
          <w:szCs w:val="16"/>
        </w:rPr>
        <w:softHyphen/>
        <w:t>шалу А. А. Новикову от 25 мая 1945 г., был заплани</w:t>
      </w:r>
      <w:r w:rsidRPr="00925F26">
        <w:rPr>
          <w:color w:val="000000" w:themeColor="text1"/>
          <w:sz w:val="16"/>
          <w:szCs w:val="16"/>
        </w:rPr>
        <w:softHyphen/>
        <w:t>рован первый поле</w:t>
      </w:r>
      <w:r w:rsidRPr="00925F26">
        <w:rPr>
          <w:color w:val="000000" w:themeColor="text1"/>
          <w:sz w:val="16"/>
          <w:szCs w:val="16"/>
        </w:rPr>
        <w:softHyphen/>
        <w:t>т нового штурмовика Ил-16 с мо</w:t>
      </w:r>
      <w:r w:rsidRPr="00925F26">
        <w:rPr>
          <w:color w:val="000000" w:themeColor="text1"/>
          <w:sz w:val="16"/>
          <w:szCs w:val="16"/>
        </w:rPr>
        <w:softHyphen/>
        <w:t xml:space="preserve">тором АМ-43 и предлагал </w:t>
      </w:r>
      <w:r w:rsidRPr="00925F26">
        <w:rPr>
          <w:iCs/>
          <w:color w:val="000000" w:themeColor="text1"/>
          <w:sz w:val="16"/>
          <w:szCs w:val="16"/>
        </w:rPr>
        <w:t>"з-д № 30 ...ориентировать на серийную по</w:t>
      </w:r>
      <w:r w:rsidRPr="00925F26">
        <w:rPr>
          <w:iCs/>
          <w:color w:val="000000" w:themeColor="text1"/>
          <w:sz w:val="16"/>
          <w:szCs w:val="16"/>
        </w:rPr>
        <w:softHyphen/>
        <w:t>стройку этого самолета".</w:t>
      </w:r>
    </w:p>
    <w:p w14:paraId="276A2FE9" w14:textId="77777777" w:rsidR="006103B3" w:rsidRPr="00925F26" w:rsidRDefault="006103B3" w:rsidP="00925F26">
      <w:pPr>
        <w:numPr>
          <w:ilvl w:val="12"/>
          <w:numId w:val="0"/>
        </w:numPr>
        <w:autoSpaceDE w:val="0"/>
        <w:autoSpaceDN w:val="0"/>
        <w:adjustRightInd w:val="0"/>
        <w:jc w:val="both"/>
        <w:rPr>
          <w:color w:val="000000" w:themeColor="text1"/>
          <w:sz w:val="16"/>
          <w:szCs w:val="16"/>
        </w:rPr>
      </w:pPr>
      <w:r w:rsidRPr="00925F26">
        <w:rPr>
          <w:color w:val="000000" w:themeColor="text1"/>
          <w:sz w:val="16"/>
          <w:szCs w:val="16"/>
        </w:rPr>
        <w:t>Военные отреагировали быстро и вполне адекватно. Главный инже</w:t>
      </w:r>
      <w:r w:rsidRPr="00925F26">
        <w:rPr>
          <w:color w:val="000000" w:themeColor="text1"/>
          <w:sz w:val="16"/>
          <w:szCs w:val="16"/>
        </w:rPr>
        <w:softHyphen/>
        <w:t>нер ВВС КА генерал-полковник А. К. Репин, давая Новикову пояснения по данному вопросу, обратил внимание командующего на следующие обсто</w:t>
      </w:r>
      <w:r w:rsidRPr="00925F26">
        <w:rPr>
          <w:color w:val="000000" w:themeColor="text1"/>
          <w:sz w:val="16"/>
          <w:szCs w:val="16"/>
        </w:rPr>
        <w:softHyphen/>
        <w:t xml:space="preserve">ятельства, сопутствующие постройке Ил-16: </w:t>
      </w:r>
      <w:r w:rsidRPr="00925F26">
        <w:rPr>
          <w:iCs/>
          <w:color w:val="000000" w:themeColor="text1"/>
          <w:sz w:val="16"/>
          <w:szCs w:val="16"/>
        </w:rPr>
        <w:t>"...ЛТД ...являются проектны</w:t>
      </w:r>
      <w:r w:rsidRPr="00925F26">
        <w:rPr>
          <w:iCs/>
          <w:color w:val="000000" w:themeColor="text1"/>
          <w:sz w:val="16"/>
          <w:szCs w:val="16"/>
        </w:rPr>
        <w:softHyphen/>
        <w:t>ми. Эскизный проект и макет само</w:t>
      </w:r>
      <w:r w:rsidRPr="00925F26">
        <w:rPr>
          <w:iCs/>
          <w:color w:val="000000" w:themeColor="text1"/>
          <w:sz w:val="16"/>
          <w:szCs w:val="16"/>
        </w:rPr>
        <w:softHyphen/>
        <w:t>лета на заключение в ГК НИИ ВВС не представлялся, самолет строится без ТТТ. При постройке самолета не учтены выявленные при войсковых ис</w:t>
      </w:r>
      <w:r w:rsidRPr="00925F26">
        <w:rPr>
          <w:iCs/>
          <w:color w:val="000000" w:themeColor="text1"/>
          <w:sz w:val="16"/>
          <w:szCs w:val="16"/>
        </w:rPr>
        <w:softHyphen/>
        <w:t>пытаниях конструктивные недостатки однотипного самолета Ил-10. Основ</w:t>
      </w:r>
      <w:r w:rsidRPr="00925F26">
        <w:rPr>
          <w:iCs/>
          <w:color w:val="000000" w:themeColor="text1"/>
          <w:sz w:val="16"/>
          <w:szCs w:val="16"/>
        </w:rPr>
        <w:softHyphen/>
        <w:t>ными из этих оставшихся на самоле</w:t>
      </w:r>
      <w:r w:rsidRPr="00925F26">
        <w:rPr>
          <w:iCs/>
          <w:color w:val="000000" w:themeColor="text1"/>
          <w:sz w:val="16"/>
          <w:szCs w:val="16"/>
        </w:rPr>
        <w:softHyphen/>
        <w:t>те Ил-16, являются: расчет прочнос</w:t>
      </w:r>
      <w:r w:rsidRPr="00925F26">
        <w:rPr>
          <w:iCs/>
          <w:color w:val="000000" w:themeColor="text1"/>
          <w:sz w:val="16"/>
          <w:szCs w:val="16"/>
        </w:rPr>
        <w:softHyphen/>
        <w:t>ти самолета по классу "Б" (ограни</w:t>
      </w:r>
      <w:r w:rsidRPr="00925F26">
        <w:rPr>
          <w:iCs/>
          <w:color w:val="000000" w:themeColor="text1"/>
          <w:sz w:val="16"/>
          <w:szCs w:val="16"/>
        </w:rPr>
        <w:softHyphen/>
        <w:t>ченно маневренные самолеты), в то время как он должен быть отнесен к классу "А" (маневренные самолеты); ослабление бронирования по срав</w:t>
      </w:r>
      <w:r w:rsidRPr="00925F26">
        <w:rPr>
          <w:iCs/>
          <w:color w:val="000000" w:themeColor="text1"/>
          <w:sz w:val="16"/>
          <w:szCs w:val="16"/>
        </w:rPr>
        <w:softHyphen/>
        <w:t>нению с самолетов Ил-10; ...слож</w:t>
      </w:r>
      <w:r w:rsidRPr="00925F26">
        <w:rPr>
          <w:iCs/>
          <w:color w:val="000000" w:themeColor="text1"/>
          <w:sz w:val="16"/>
          <w:szCs w:val="16"/>
        </w:rPr>
        <w:softHyphen/>
        <w:t>ная и громоздкая система подвески наружных бомб; ...отсутствие систе</w:t>
      </w:r>
      <w:r w:rsidRPr="00925F26">
        <w:rPr>
          <w:iCs/>
          <w:color w:val="000000" w:themeColor="text1"/>
          <w:sz w:val="16"/>
          <w:szCs w:val="16"/>
        </w:rPr>
        <w:softHyphen/>
        <w:t xml:space="preserve">мы нейтральных газов и пылефильтров " </w:t>
      </w:r>
      <w:r w:rsidRPr="00925F26">
        <w:rPr>
          <w:color w:val="000000" w:themeColor="text1"/>
          <w:sz w:val="16"/>
          <w:szCs w:val="16"/>
        </w:rPr>
        <w:t>(11431).</w:t>
      </w:r>
    </w:p>
    <w:p w14:paraId="2FBCB637" w14:textId="77777777" w:rsidR="006103B3" w:rsidRPr="00925F26" w:rsidRDefault="006103B3" w:rsidP="00925F26">
      <w:pPr>
        <w:numPr>
          <w:ilvl w:val="12"/>
          <w:numId w:val="0"/>
        </w:numPr>
        <w:autoSpaceDE w:val="0"/>
        <w:autoSpaceDN w:val="0"/>
        <w:adjustRightInd w:val="0"/>
        <w:jc w:val="both"/>
        <w:rPr>
          <w:color w:val="000000" w:themeColor="text1"/>
          <w:sz w:val="16"/>
          <w:szCs w:val="16"/>
        </w:rPr>
      </w:pPr>
    </w:p>
    <w:p w14:paraId="75A73B2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закончились гос. испытания СДБ А.Н.Т. (4,182).</w:t>
      </w:r>
    </w:p>
    <w:p w14:paraId="2B94A1C8" w14:textId="77777777" w:rsidR="006103B3" w:rsidRPr="00925F26" w:rsidRDefault="006103B3" w:rsidP="00925F26">
      <w:pPr>
        <w:autoSpaceDE w:val="0"/>
        <w:autoSpaceDN w:val="0"/>
        <w:adjustRightInd w:val="0"/>
        <w:jc w:val="both"/>
        <w:rPr>
          <w:color w:val="000000" w:themeColor="text1"/>
          <w:sz w:val="16"/>
          <w:szCs w:val="16"/>
        </w:rPr>
      </w:pPr>
    </w:p>
    <w:p w14:paraId="000F3713"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июня 1945 г. списали по износу последние два МиГ-3 №4504 и №6015. Эти машины принадлежали 41-му иап ВВС Северотихоокеанс</w:t>
      </w:r>
      <w:r w:rsidRPr="00925F26">
        <w:rPr>
          <w:color w:val="000000" w:themeColor="text1"/>
          <w:sz w:val="16"/>
          <w:szCs w:val="16"/>
        </w:rPr>
        <w:softHyphen/>
        <w:t>кой флотилии (11761).</w:t>
      </w:r>
    </w:p>
    <w:p w14:paraId="62C076F8" w14:textId="77777777" w:rsidR="00576B22" w:rsidRPr="00925F26" w:rsidRDefault="00576B22" w:rsidP="00925F26">
      <w:pPr>
        <w:autoSpaceDE w:val="0"/>
        <w:autoSpaceDN w:val="0"/>
        <w:adjustRightInd w:val="0"/>
        <w:jc w:val="both"/>
        <w:rPr>
          <w:color w:val="000000" w:themeColor="text1"/>
          <w:sz w:val="16"/>
          <w:szCs w:val="16"/>
        </w:rPr>
      </w:pPr>
    </w:p>
    <w:p w14:paraId="0CA0E23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вышел приказ НКАП N 273с:</w:t>
      </w:r>
    </w:p>
    <w:p w14:paraId="1313EC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"Об изготовлении образца геликоптера Омега конструкции Братухина на заводе 82" к 1 августа 1945 (1893,29).</w:t>
      </w:r>
    </w:p>
    <w:p w14:paraId="7E69348C" w14:textId="77777777" w:rsidR="006103B3" w:rsidRPr="00925F26" w:rsidRDefault="006103B3" w:rsidP="00925F26">
      <w:pPr>
        <w:autoSpaceDE w:val="0"/>
        <w:autoSpaceDN w:val="0"/>
        <w:adjustRightInd w:val="0"/>
        <w:jc w:val="both"/>
        <w:rPr>
          <w:color w:val="000000" w:themeColor="text1"/>
          <w:sz w:val="16"/>
          <w:szCs w:val="16"/>
        </w:rPr>
      </w:pPr>
    </w:p>
    <w:p w14:paraId="2511E62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30 июня 1945 г. вышел приказ Нар</w:t>
      </w:r>
      <w:r w:rsidRPr="00925F26">
        <w:rPr>
          <w:color w:val="000000" w:themeColor="text1"/>
          <w:sz w:val="16"/>
          <w:szCs w:val="16"/>
        </w:rPr>
        <w:softHyphen/>
        <w:t>комата авиационной промышленности о разработке вертолета с новыми двигателями, причем этим приказом в помощь ОКБ-3, не располагавшему необходимой производственной летно-доводочной базой, выделялся Тушинский авиационный завод № 82. В течение 1945—1946 гг. было построено два опытных верто</w:t>
      </w:r>
      <w:r w:rsidRPr="00925F26">
        <w:rPr>
          <w:color w:val="000000" w:themeColor="text1"/>
          <w:sz w:val="16"/>
          <w:szCs w:val="16"/>
        </w:rPr>
        <w:softHyphen/>
        <w:t>лета, получивших наименование «Артиллерийский корректиров</w:t>
      </w:r>
      <w:r w:rsidRPr="00925F26">
        <w:rPr>
          <w:color w:val="000000" w:themeColor="text1"/>
          <w:sz w:val="16"/>
          <w:szCs w:val="16"/>
        </w:rPr>
        <w:softHyphen/>
        <w:t>щик» (АК) и новое обозначение Г-3 (геликоптер 3), которое в даль</w:t>
      </w:r>
      <w:r w:rsidRPr="00925F26">
        <w:rPr>
          <w:color w:val="000000" w:themeColor="text1"/>
          <w:sz w:val="16"/>
          <w:szCs w:val="16"/>
        </w:rPr>
        <w:softHyphen/>
        <w:t>нейшем стало использоваться для новых геликоптеров ОКБ-3 (10736).</w:t>
      </w:r>
    </w:p>
    <w:p w14:paraId="3AB84E5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BA28BC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С.П.Королев написал о разработке проектов ракет Д-1 и Д-2 (1136,267).</w:t>
      </w:r>
    </w:p>
    <w:p w14:paraId="35D9ADF5" w14:textId="77777777" w:rsidR="006103B3" w:rsidRPr="00925F26" w:rsidRDefault="006103B3" w:rsidP="00925F26">
      <w:pPr>
        <w:autoSpaceDE w:val="0"/>
        <w:autoSpaceDN w:val="0"/>
        <w:adjustRightInd w:val="0"/>
        <w:jc w:val="both"/>
        <w:rPr>
          <w:color w:val="000000" w:themeColor="text1"/>
          <w:sz w:val="16"/>
          <w:szCs w:val="16"/>
        </w:rPr>
      </w:pPr>
    </w:p>
    <w:p w14:paraId="7AF3673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С.П.К. подготовил ТЗ на пороховые ракеты дальнего действия Д-1 (баллистическая) и Д-2 (крылатая) (ААН, р. 4, оп. 17, № 131) (10676).</w:t>
      </w:r>
    </w:p>
    <w:p w14:paraId="66CBB9AA" w14:textId="77777777" w:rsidR="006103B3" w:rsidRPr="00925F26" w:rsidRDefault="006103B3" w:rsidP="00925F26">
      <w:pPr>
        <w:autoSpaceDE w:val="0"/>
        <w:autoSpaceDN w:val="0"/>
        <w:adjustRightInd w:val="0"/>
        <w:jc w:val="both"/>
        <w:rPr>
          <w:color w:val="000000" w:themeColor="text1"/>
          <w:sz w:val="16"/>
          <w:szCs w:val="16"/>
        </w:rPr>
      </w:pPr>
    </w:p>
    <w:p w14:paraId="309EA5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С.П.К. завершил подготовку проекта мероприятий для организации работ по ракетам дальнего действия. Среди других есть такие предложения: "1. Организовать с 1 ноября 1945 г. (...) специальное опытное конструкторское бюро (Спецбюро) со своей производственной базой и экспериментальной частью для осуществления ракет дальнего действия (...) 7. Ознакомить ведущих работников Спецбюро с трофейной ракетной техникой и по возможности с последними английскими и американскими новинками в этой области" (Там же, № 106, л. 1-4) (10676).</w:t>
      </w:r>
    </w:p>
    <w:p w14:paraId="513AF598" w14:textId="77777777" w:rsidR="006103B3" w:rsidRPr="00925F26" w:rsidRDefault="006103B3" w:rsidP="00925F26">
      <w:pPr>
        <w:autoSpaceDE w:val="0"/>
        <w:autoSpaceDN w:val="0"/>
        <w:adjustRightInd w:val="0"/>
        <w:jc w:val="both"/>
        <w:rPr>
          <w:color w:val="000000" w:themeColor="text1"/>
          <w:sz w:val="16"/>
          <w:szCs w:val="16"/>
        </w:rPr>
      </w:pPr>
    </w:p>
    <w:p w14:paraId="6D5B43A0" w14:textId="13EA8F48" w:rsidR="00F23D44" w:rsidRPr="00925F26" w:rsidRDefault="00F23D44" w:rsidP="00925F26">
      <w:pPr>
        <w:jc w:val="both"/>
        <w:rPr>
          <w:color w:val="000000" w:themeColor="text1"/>
          <w:sz w:val="16"/>
          <w:szCs w:val="16"/>
          <w:shd w:val="clear" w:color="auto" w:fill="FFFFFF"/>
        </w:rPr>
      </w:pPr>
      <w:r w:rsidRPr="00925F26">
        <w:rPr>
          <w:color w:val="000000" w:themeColor="text1"/>
          <w:sz w:val="16"/>
          <w:szCs w:val="16"/>
          <w:shd w:val="clear" w:color="auto" w:fill="FFFFFF"/>
        </w:rPr>
        <w:t>30 июня 1945 года С.П.К. вновь обратился в Наркомат авиационной промышленности с предложением об организации Специального бюро по ракетам дальнего действия. На этот раз он сформулировал свои перспективные планы более конкретно, остановившись на разработке «объекта Д-2» как ближайшей задаче на 1945-1946 годы. Подчёркивая реалистичность своих предложений, Королёв предлагал начать работы над ракетным снарядом с продувок моделей в аэродинамических трубах Центрального аэрогидродинамического института (ЦАГИ) (20875).</w:t>
      </w:r>
    </w:p>
    <w:p w14:paraId="613E3634" w14:textId="77777777" w:rsidR="00F23D44" w:rsidRPr="00925F26" w:rsidRDefault="00F23D44" w:rsidP="00925F26">
      <w:pPr>
        <w:jc w:val="both"/>
        <w:rPr>
          <w:color w:val="000000" w:themeColor="text1"/>
          <w:sz w:val="16"/>
          <w:szCs w:val="16"/>
          <w:shd w:val="clear" w:color="auto" w:fill="FFFFFF"/>
        </w:rPr>
      </w:pPr>
    </w:p>
    <w:p w14:paraId="09AC1318" w14:textId="77777777" w:rsidR="00184E53" w:rsidRPr="001A0BAA" w:rsidRDefault="00184E53" w:rsidP="00184E53">
      <w:pPr>
        <w:jc w:val="both"/>
        <w:rPr>
          <w:color w:val="0070C0"/>
          <w:sz w:val="16"/>
          <w:szCs w:val="16"/>
        </w:rPr>
      </w:pPr>
      <w:r w:rsidRPr="001A0BAA">
        <w:rPr>
          <w:color w:val="0070C0"/>
          <w:sz w:val="16"/>
          <w:szCs w:val="16"/>
        </w:rPr>
        <w:t>30 июня 1945 г. Королёв вновь обратился с письмом в Наркомат авиапромышленности. В нем он назвал разработку «объекта Д-2» ближайшей задачей на 1945–1946 гг. и предлагал как можно скорее начать работу по созданию ракетоплана с продувки его модели в аэродинамической трубе ЦАГИ (24989).</w:t>
      </w:r>
    </w:p>
    <w:p w14:paraId="296523E9" w14:textId="77777777" w:rsidR="00184E53" w:rsidRPr="001A0BAA" w:rsidRDefault="00184E53" w:rsidP="00184E53">
      <w:pPr>
        <w:jc w:val="both"/>
        <w:rPr>
          <w:color w:val="0070C0"/>
          <w:sz w:val="16"/>
          <w:szCs w:val="16"/>
        </w:rPr>
      </w:pPr>
    </w:p>
    <w:p w14:paraId="5DEC980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890BC73" w14:textId="77777777" w:rsidR="006103B3" w:rsidRPr="00925F26" w:rsidRDefault="006103B3" w:rsidP="00925F26">
      <w:pPr>
        <w:autoSpaceDE w:val="0"/>
        <w:autoSpaceDN w:val="0"/>
        <w:adjustRightInd w:val="0"/>
        <w:jc w:val="both"/>
        <w:rPr>
          <w:iCs/>
          <w:color w:val="000000" w:themeColor="text1"/>
          <w:sz w:val="16"/>
          <w:szCs w:val="16"/>
        </w:rPr>
      </w:pPr>
    </w:p>
    <w:p w14:paraId="0FA5F01A" w14:textId="77777777" w:rsidR="00184E53" w:rsidRPr="001A0BAA" w:rsidRDefault="00184E53" w:rsidP="00184E53">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С 30 июня по 4 августа 1945 г. прошли полигонные испытания новых танковых пушек.</w:t>
      </w:r>
    </w:p>
    <w:p w14:paraId="6BF8C253"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Наиболее мощной системой Грабина, созданной в ходе войны для самоходных установок, стала пушка С-26. Она имела две трубы: одну 122</w:t>
      </w:r>
      <w:r w:rsidRPr="001A0BAA">
        <w:rPr>
          <w:rStyle w:val="aff0"/>
          <w:rFonts w:ascii="Times New Roman" w:hAnsi="Times New Roman" w:cs="Times New Roman"/>
          <w:color w:val="0070C0"/>
          <w:spacing w:val="0"/>
          <w:sz w:val="16"/>
          <w:szCs w:val="16"/>
        </w:rPr>
        <w:softHyphen/>
        <w:t>мм калибра, которая получила индекс С-26-1, другую — 130-мм — под индексом С-26.</w:t>
      </w:r>
    </w:p>
    <w:p w14:paraId="4143E2CA"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Вариант 130-мм пушки имел баллистику корабельной 130-мм пушки Б-13 (снаряд весом 33,5 кг имел начальную скорость около 900 м/с). Но в отличие от прототипа С-26 имела клиновой затвор и раздельно-гильзовое заряжание.</w:t>
      </w:r>
    </w:p>
    <w:p w14:paraId="646023F1"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Пушка С-26-1 имела оригинальную баллистику, лучшую, чем у 122-мм пушки А-19. Так, у нее была более глубокая нарезка. Для снаряда весом 25 кг расчетная начальная скорость составляла 1000 м/с, а на испытаниях была получена скорость 994 м/с. Дальность стрельбы осколочно-фугасной гранатой на испытаниях составила 9,8 км, что было связано с малым углом возвышения (14°).</w:t>
      </w:r>
    </w:p>
    <w:p w14:paraId="574FB61B"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Ствол пушек С-26 и С-26-1 представлял собой моноблок со съемным казенником, скрепленным со стволом с помощью муфты. Затвор — горизонтальный клиновой с полуавтоматикой копирного типа. Заряжание обеих пушек — раздельно-гильзовое, причем применялась укороченная гильза 152-мм пушки Кане.</w:t>
      </w:r>
    </w:p>
    <w:p w14:paraId="280A16AE"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Люлька — литая цилиндрической формы. Подъемный механизм секторного типа, а поворотный механизм — винтовой.</w:t>
      </w:r>
    </w:p>
    <w:p w14:paraId="2614E821"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Оба орудия снабжены механизмом продувания для удаления сжатым воздухом газов в канале ствола (эжекция). Эжекция производилась автоматически при накате, в момент экстракции гильзы.</w:t>
      </w:r>
    </w:p>
    <w:p w14:paraId="0B1A0871"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Опытные экземпляры пушек С-26 и С-26-1 были изготовлены на заводе № 172 и установлены в тяжелые САУ, созданные на базе танка ИС-2. Пушку С-26-1 поставили на самоходную артустановку ИСУ-122-3 (объект 251), а пушку С-26 — на самоходку ИСУ-130 (объект 250).</w:t>
      </w:r>
    </w:p>
    <w:p w14:paraId="00C29159" w14:textId="77777777" w:rsidR="00184E53" w:rsidRPr="001A0BAA" w:rsidRDefault="00184E53" w:rsidP="00184E53">
      <w:pPr>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Пушки С-26 и С-26-1 проходили полигонные испытания на конкурсной основе. Их конкурентом была 122-мм пушка БЛ-9, спроектированная в ОКБ-172 и установленная на самоходной артустановке ИСУ-122-1 (объект 243).</w:t>
      </w:r>
    </w:p>
    <w:p w14:paraId="434EC2F2" w14:textId="77777777" w:rsidR="00184E53" w:rsidRPr="001A0BAA" w:rsidRDefault="00184E53" w:rsidP="00184E53">
      <w:pPr>
        <w:jc w:val="both"/>
        <w:rPr>
          <w:color w:val="0070C0"/>
          <w:sz w:val="16"/>
          <w:szCs w:val="16"/>
        </w:rPr>
      </w:pPr>
      <w:r w:rsidRPr="001A0BAA">
        <w:rPr>
          <w:rStyle w:val="aff0"/>
          <w:rFonts w:ascii="Times New Roman" w:hAnsi="Times New Roman" w:cs="Times New Roman"/>
          <w:color w:val="0070C0"/>
          <w:spacing w:val="0"/>
          <w:sz w:val="16"/>
          <w:szCs w:val="16"/>
        </w:rPr>
        <w:t>Испытания выявили преимущества пушек Грабина. Однако на вооружение ни одна из испытывавшихся САУ не поступила. Руководство ГБТУ и ГАУ было абсолютно уверено, что штатной 122-мм пушки Д-25С (с баллистикой пушки А-19) вполне будет достаточно для поражения как существовавших, так и проектируемых бронеобъектов вероятного противника. К сожалению, прозрели наши военачальники с большим опозданием — лишь в конце 50-х гг. (25440).</w:t>
      </w:r>
    </w:p>
    <w:p w14:paraId="3F999FEC" w14:textId="77777777" w:rsidR="00184E53" w:rsidRPr="001A0BAA" w:rsidRDefault="00184E53" w:rsidP="00184E53">
      <w:pPr>
        <w:jc w:val="both"/>
        <w:rPr>
          <w:color w:val="0070C0"/>
          <w:sz w:val="16"/>
          <w:szCs w:val="16"/>
        </w:rPr>
      </w:pPr>
    </w:p>
    <w:p w14:paraId="439A70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30 июня по 4 августа 1945 проходили полигонные испытания ИСУ-130 на базе ИС-3 с пушкой Б-13, но проявились недостатки - неудовлетворительная кучность, низкая скорострельность (2 выстрела в минуту), неустойчивость при выстреле, недостаточные горизонтальные и вертикальные углы. Дорабатывать не стали (7437, 36).</w:t>
      </w:r>
    </w:p>
    <w:p w14:paraId="16D322BA" w14:textId="77777777" w:rsidR="006103B3" w:rsidRPr="00925F26" w:rsidRDefault="006103B3" w:rsidP="00925F26">
      <w:pPr>
        <w:autoSpaceDE w:val="0"/>
        <w:autoSpaceDN w:val="0"/>
        <w:adjustRightInd w:val="0"/>
        <w:jc w:val="both"/>
        <w:rPr>
          <w:color w:val="000000" w:themeColor="text1"/>
          <w:sz w:val="16"/>
          <w:szCs w:val="16"/>
        </w:rPr>
      </w:pPr>
    </w:p>
    <w:p w14:paraId="3CE7EA80" w14:textId="018D362B" w:rsidR="00576B22" w:rsidRPr="00925F26" w:rsidRDefault="00576B22" w:rsidP="00925F26">
      <w:pPr>
        <w:jc w:val="both"/>
        <w:rPr>
          <w:color w:val="000000" w:themeColor="text1"/>
          <w:sz w:val="16"/>
          <w:szCs w:val="16"/>
        </w:rPr>
      </w:pPr>
      <w:r w:rsidRPr="00925F26">
        <w:rPr>
          <w:color w:val="000000" w:themeColor="text1"/>
          <w:sz w:val="16"/>
          <w:szCs w:val="16"/>
        </w:rPr>
        <w:t>С 30 июня по 4 августа 1945 г. самоходная установка ИСУ-130 (в раме бронерубки САУ на базе ИС-3 была смонтирована качающаяся</w:t>
      </w:r>
      <w:r w:rsidR="00997EDF" w:rsidRPr="00925F26">
        <w:rPr>
          <w:color w:val="000000" w:themeColor="text1"/>
          <w:sz w:val="16"/>
          <w:szCs w:val="16"/>
        </w:rPr>
        <w:t xml:space="preserve">  </w:t>
      </w:r>
      <w:r w:rsidRPr="00925F26">
        <w:rPr>
          <w:color w:val="000000" w:themeColor="text1"/>
          <w:sz w:val="16"/>
          <w:szCs w:val="16"/>
        </w:rPr>
        <w:t xml:space="preserve">часть 130-мм корабельной пушки Б-13) прошла полигонные испытания, на которых выявились её недостатки. ИСУ-130 нуждалась в доработках, но с окончанием ВОВ </w:t>
      </w:r>
      <w:proofErr w:type="gramStart"/>
      <w:r w:rsidRPr="00925F26">
        <w:rPr>
          <w:color w:val="000000" w:themeColor="text1"/>
          <w:sz w:val="16"/>
          <w:szCs w:val="16"/>
        </w:rPr>
        <w:t>доработка</w:t>
      </w:r>
      <w:r w:rsidR="00997EDF" w:rsidRPr="00925F26">
        <w:rPr>
          <w:color w:val="000000" w:themeColor="text1"/>
          <w:sz w:val="16"/>
          <w:szCs w:val="16"/>
        </w:rPr>
        <w:t xml:space="preserve">  </w:t>
      </w:r>
      <w:r w:rsidRPr="00925F26">
        <w:rPr>
          <w:color w:val="000000" w:themeColor="text1"/>
          <w:sz w:val="16"/>
          <w:szCs w:val="16"/>
        </w:rPr>
        <w:t>и</w:t>
      </w:r>
      <w:proofErr w:type="gramEnd"/>
      <w:r w:rsidRPr="00925F26">
        <w:rPr>
          <w:color w:val="000000" w:themeColor="text1"/>
          <w:sz w:val="16"/>
          <w:szCs w:val="16"/>
        </w:rPr>
        <w:t xml:space="preserve"> совершенствование ИСУ-130 были признаны нецелесообразными, дальнейшие работы были прекращены. Установка осталась только в </w:t>
      </w:r>
      <w:proofErr w:type="gramStart"/>
      <w:r w:rsidRPr="00925F26">
        <w:rPr>
          <w:color w:val="000000" w:themeColor="text1"/>
          <w:sz w:val="16"/>
          <w:szCs w:val="16"/>
        </w:rPr>
        <w:t>опытном</w:t>
      </w:r>
      <w:r w:rsidR="00997EDF" w:rsidRPr="00925F26">
        <w:rPr>
          <w:color w:val="000000" w:themeColor="text1"/>
          <w:sz w:val="16"/>
          <w:szCs w:val="16"/>
        </w:rPr>
        <w:t xml:space="preserve">  </w:t>
      </w:r>
      <w:r w:rsidRPr="00925F26">
        <w:rPr>
          <w:color w:val="000000" w:themeColor="text1"/>
          <w:sz w:val="16"/>
          <w:szCs w:val="16"/>
        </w:rPr>
        <w:t>образце</w:t>
      </w:r>
      <w:proofErr w:type="gramEnd"/>
      <w:r w:rsidRPr="00925F26">
        <w:rPr>
          <w:color w:val="000000" w:themeColor="text1"/>
          <w:sz w:val="16"/>
          <w:szCs w:val="16"/>
        </w:rPr>
        <w:t xml:space="preserve"> (15132).</w:t>
      </w:r>
    </w:p>
    <w:p w14:paraId="281BFB6E" w14:textId="77777777" w:rsidR="00576B22" w:rsidRPr="00925F26" w:rsidRDefault="00576B22" w:rsidP="00925F26">
      <w:pPr>
        <w:jc w:val="both"/>
        <w:rPr>
          <w:color w:val="000000" w:themeColor="text1"/>
          <w:sz w:val="16"/>
          <w:szCs w:val="16"/>
        </w:rPr>
      </w:pPr>
    </w:p>
    <w:p w14:paraId="548977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вышло Распоряжение ГКО № 9285. О выделении жилплощади в Москве для рабочих завода № 788 НКМВ в III кв. 1945 г. РГАНИР, Фонд ГКО, д. 431, лл. 92 (11012).</w:t>
      </w:r>
    </w:p>
    <w:p w14:paraId="38A795F1" w14:textId="77777777" w:rsidR="006103B3" w:rsidRPr="00925F26" w:rsidRDefault="006103B3" w:rsidP="00925F26">
      <w:pPr>
        <w:autoSpaceDE w:val="0"/>
        <w:autoSpaceDN w:val="0"/>
        <w:adjustRightInd w:val="0"/>
        <w:jc w:val="both"/>
        <w:rPr>
          <w:color w:val="000000" w:themeColor="text1"/>
          <w:sz w:val="16"/>
          <w:szCs w:val="16"/>
        </w:rPr>
      </w:pPr>
    </w:p>
    <w:p w14:paraId="10300EF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вышло Распоряжение ГКО № 9286. О плане производства щелочного состава по НКНП. РГАНИР, Фонд ГКО, д. 431, лл. 93 (11012).</w:t>
      </w:r>
    </w:p>
    <w:p w14:paraId="1EBA564C" w14:textId="77777777" w:rsidR="006103B3" w:rsidRPr="00925F26" w:rsidRDefault="006103B3" w:rsidP="00925F26">
      <w:pPr>
        <w:autoSpaceDE w:val="0"/>
        <w:autoSpaceDN w:val="0"/>
        <w:adjustRightInd w:val="0"/>
        <w:jc w:val="both"/>
        <w:rPr>
          <w:color w:val="000000" w:themeColor="text1"/>
          <w:sz w:val="16"/>
          <w:szCs w:val="16"/>
        </w:rPr>
      </w:pPr>
    </w:p>
    <w:p w14:paraId="6D8D69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вышло Распоряжение ГКО № 9287. О мерах по ускорению строительства второго Бакинского водопровода. РГАНИР, Фонд ГКО, д. 431, лл. 94, 95-96 (11012).</w:t>
      </w:r>
    </w:p>
    <w:p w14:paraId="65085C01" w14:textId="77777777" w:rsidR="006103B3" w:rsidRPr="00925F26" w:rsidRDefault="006103B3" w:rsidP="00925F26">
      <w:pPr>
        <w:autoSpaceDE w:val="0"/>
        <w:autoSpaceDN w:val="0"/>
        <w:adjustRightInd w:val="0"/>
        <w:jc w:val="both"/>
        <w:rPr>
          <w:color w:val="000000" w:themeColor="text1"/>
          <w:sz w:val="16"/>
          <w:szCs w:val="16"/>
        </w:rPr>
      </w:pPr>
    </w:p>
    <w:p w14:paraId="0CBE7400"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Жизнь и внутренняя политика:</w:t>
      </w:r>
    </w:p>
    <w:p w14:paraId="0174CB1E" w14:textId="77777777" w:rsidR="006103B3" w:rsidRPr="00925F26" w:rsidRDefault="006103B3" w:rsidP="00925F26">
      <w:pPr>
        <w:autoSpaceDE w:val="0"/>
        <w:autoSpaceDN w:val="0"/>
        <w:adjustRightInd w:val="0"/>
        <w:jc w:val="both"/>
        <w:rPr>
          <w:iCs/>
          <w:color w:val="000000" w:themeColor="text1"/>
          <w:sz w:val="16"/>
          <w:szCs w:val="16"/>
        </w:rPr>
      </w:pPr>
    </w:p>
    <w:p w14:paraId="78A0EA54" w14:textId="77777777" w:rsidR="006103B3" w:rsidRPr="00925F26" w:rsidRDefault="006103B3" w:rsidP="00925F26">
      <w:pPr>
        <w:tabs>
          <w:tab w:val="left" w:pos="11199"/>
        </w:tabs>
        <w:autoSpaceDE w:val="0"/>
        <w:autoSpaceDN w:val="0"/>
        <w:adjustRightInd w:val="0"/>
        <w:jc w:val="both"/>
        <w:rPr>
          <w:color w:val="000000" w:themeColor="text1"/>
          <w:sz w:val="16"/>
          <w:szCs w:val="16"/>
        </w:rPr>
      </w:pPr>
      <w:r w:rsidRPr="00925F26">
        <w:rPr>
          <w:color w:val="000000" w:themeColor="text1"/>
          <w:sz w:val="16"/>
          <w:szCs w:val="16"/>
        </w:rPr>
        <w:t>30 июня 1945 в СССР восстановлены отпуска (4962).</w:t>
      </w:r>
    </w:p>
    <w:p w14:paraId="504A8DB4" w14:textId="77777777" w:rsidR="006103B3" w:rsidRPr="00925F26" w:rsidRDefault="006103B3" w:rsidP="00925F26">
      <w:pPr>
        <w:tabs>
          <w:tab w:val="left" w:pos="11199"/>
        </w:tabs>
        <w:autoSpaceDE w:val="0"/>
        <w:autoSpaceDN w:val="0"/>
        <w:adjustRightInd w:val="0"/>
        <w:jc w:val="both"/>
        <w:rPr>
          <w:color w:val="000000" w:themeColor="text1"/>
          <w:sz w:val="16"/>
          <w:szCs w:val="16"/>
        </w:rPr>
      </w:pPr>
    </w:p>
    <w:p w14:paraId="572B1B10" w14:textId="77777777" w:rsidR="006103B3" w:rsidRPr="00925F26" w:rsidRDefault="006103B3" w:rsidP="00925F26">
      <w:pPr>
        <w:autoSpaceDE w:val="0"/>
        <w:autoSpaceDN w:val="0"/>
        <w:adjustRightInd w:val="0"/>
        <w:jc w:val="both"/>
        <w:rPr>
          <w:bCs/>
          <w:color w:val="000000" w:themeColor="text1"/>
          <w:sz w:val="16"/>
          <w:szCs w:val="16"/>
        </w:rPr>
      </w:pPr>
      <w:r w:rsidRPr="00925F26">
        <w:rPr>
          <w:color w:val="000000" w:themeColor="text1"/>
          <w:sz w:val="16"/>
          <w:szCs w:val="16"/>
        </w:rPr>
        <w:t>30 июня 1945 г. вышел УКАЗ ПРЕЗИДИУМА ВЕРХОВНОГО СОВЕТА СССР ОБ ОТПУСКАХ РАБОЧИМ И СЛУЖАЩИМ</w:t>
      </w:r>
    </w:p>
    <w:p w14:paraId="2BBA2B8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связи с окончанием Великой Отечественной войны Президиум Верховного Совета СССР постановляет:</w:t>
      </w:r>
    </w:p>
    <w:p w14:paraId="20239C8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Восстановить с 1 июля 1945 г. очередные и дополнительные отпуска рабочим и служащим, отмененные на период военного времени Указом Президиума Верховного Совета СССР от 26 июня 1941 г. “О режиме рабочего времени рабочих и служащих в военное время”.</w:t>
      </w:r>
    </w:p>
    <w:p w14:paraId="113998E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Предоставить Совету Народных Комиссаров СССР право отсрочить предоставление отпусков рабочим и служащим в отдельных отраслях промышленности до конца 1945 г. с тем, чтобы за </w:t>
      </w:r>
      <w:proofErr w:type="gramStart"/>
      <w:r w:rsidRPr="00925F26">
        <w:rPr>
          <w:color w:val="000000" w:themeColor="text1"/>
          <w:sz w:val="16"/>
          <w:szCs w:val="16"/>
        </w:rPr>
        <w:t>неиспользованный</w:t>
      </w:r>
      <w:proofErr w:type="gramEnd"/>
      <w:r w:rsidRPr="00925F26">
        <w:rPr>
          <w:color w:val="000000" w:themeColor="text1"/>
          <w:sz w:val="16"/>
          <w:szCs w:val="16"/>
        </w:rPr>
        <w:t xml:space="preserve"> в связи с этим отпуск в текущем году выплатить рабочим и служащим соответствующую денежную компенсацию.</w:t>
      </w:r>
    </w:p>
    <w:p w14:paraId="69AB9A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В соответствии со статьей I настоящего Указа прекратить, начиная с 1 июля 1945 г., перечисление государственными, кооперативными и общественными предприятиями, организациями и учреждениями в сберегательные кассы денежной компенсации за неиспользованный отпуск в качестве специальных вкладов рабочих и служащих.</w:t>
      </w:r>
    </w:p>
    <w:p w14:paraId="77635B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Поручить Совету Народных Комиссаров СССР установить порядок и сроки выдачи рабочим и служащим сумм денежной компенсации за неиспользованный отпуск, переведенных в качестве специальных вкладов в сберегательные кассы.</w:t>
      </w:r>
    </w:p>
    <w:p w14:paraId="39AAC897" w14:textId="77777777" w:rsidR="006103B3" w:rsidRPr="00925F26" w:rsidRDefault="006103B3" w:rsidP="00925F26">
      <w:pPr>
        <w:autoSpaceDE w:val="0"/>
        <w:autoSpaceDN w:val="0"/>
        <w:adjustRightInd w:val="0"/>
        <w:jc w:val="both"/>
        <w:rPr>
          <w:iCs/>
          <w:color w:val="000000" w:themeColor="text1"/>
          <w:sz w:val="16"/>
          <w:szCs w:val="16"/>
        </w:rPr>
      </w:pPr>
      <w:r w:rsidRPr="00925F26">
        <w:rPr>
          <w:iCs/>
          <w:color w:val="000000" w:themeColor="text1"/>
          <w:sz w:val="16"/>
          <w:szCs w:val="16"/>
        </w:rPr>
        <w:t>Председатель Президиума Верховного Совета СССР М КАЛ И НИН</w:t>
      </w:r>
    </w:p>
    <w:p w14:paraId="67DE2218" w14:textId="77777777" w:rsidR="006103B3" w:rsidRPr="00925F26" w:rsidRDefault="006103B3" w:rsidP="00925F26">
      <w:pPr>
        <w:autoSpaceDE w:val="0"/>
        <w:autoSpaceDN w:val="0"/>
        <w:adjustRightInd w:val="0"/>
        <w:jc w:val="both"/>
        <w:rPr>
          <w:iCs/>
          <w:color w:val="000000" w:themeColor="text1"/>
          <w:sz w:val="16"/>
          <w:szCs w:val="16"/>
        </w:rPr>
      </w:pPr>
      <w:r w:rsidRPr="00925F26">
        <w:rPr>
          <w:iCs/>
          <w:color w:val="000000" w:themeColor="text1"/>
          <w:sz w:val="16"/>
          <w:szCs w:val="16"/>
        </w:rPr>
        <w:t>Секретарь Президиума Верховного Совета СССР А. ГОРКИН</w:t>
      </w:r>
    </w:p>
    <w:p w14:paraId="4FCED9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Москва, Кремль (9844).</w:t>
      </w:r>
    </w:p>
    <w:p w14:paraId="4D75E581" w14:textId="77777777" w:rsidR="006103B3" w:rsidRPr="00925F26" w:rsidRDefault="006103B3" w:rsidP="00925F26">
      <w:pPr>
        <w:autoSpaceDE w:val="0"/>
        <w:autoSpaceDN w:val="0"/>
        <w:adjustRightInd w:val="0"/>
        <w:jc w:val="both"/>
        <w:rPr>
          <w:color w:val="000000" w:themeColor="text1"/>
          <w:sz w:val="16"/>
          <w:szCs w:val="16"/>
        </w:rPr>
      </w:pPr>
    </w:p>
    <w:p w14:paraId="3EF27774" w14:textId="77777777" w:rsidR="00974A4B" w:rsidRPr="00925F26" w:rsidRDefault="00974A4B" w:rsidP="00925F26">
      <w:pPr>
        <w:jc w:val="both"/>
        <w:rPr>
          <w:color w:val="000000" w:themeColor="text1"/>
          <w:sz w:val="16"/>
          <w:szCs w:val="16"/>
        </w:rPr>
      </w:pPr>
      <w:r w:rsidRPr="00925F26">
        <w:rPr>
          <w:color w:val="000000" w:themeColor="text1"/>
          <w:sz w:val="16"/>
          <w:szCs w:val="16"/>
        </w:rPr>
        <w:t>30 июня 1945. Патриарх Московский и всея Руси Алексий - Сталину: "Русская православная церковь, всегда призывающая благословение Божие на Ваши, дорогой Иосиф Виссарионович, необъятные труды во благо нашей страны, вместе со всем народом нашим сердечно приветствует Вас, радуется Вашей всемирной славе и единодушно поет Вам, Великому Генералиссимусу нашей любимой Родины и нашего победоносного воинства, многая, многая лета" (18688).</w:t>
      </w:r>
    </w:p>
    <w:p w14:paraId="76DD8510" w14:textId="77777777" w:rsidR="00974A4B" w:rsidRPr="00925F26" w:rsidRDefault="00974A4B" w:rsidP="00925F26">
      <w:pPr>
        <w:jc w:val="both"/>
        <w:rPr>
          <w:color w:val="000000" w:themeColor="text1"/>
          <w:sz w:val="16"/>
          <w:szCs w:val="16"/>
        </w:rPr>
      </w:pPr>
    </w:p>
    <w:p w14:paraId="2B46B48B" w14:textId="77777777" w:rsidR="00576B22"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52890A8B" w14:textId="77777777" w:rsidR="00576B22" w:rsidRPr="00925F26" w:rsidRDefault="00576B22" w:rsidP="00925F26">
      <w:pPr>
        <w:autoSpaceDE w:val="0"/>
        <w:autoSpaceDN w:val="0"/>
        <w:adjustRightInd w:val="0"/>
        <w:jc w:val="both"/>
        <w:rPr>
          <w:iCs/>
          <w:color w:val="000000" w:themeColor="text1"/>
          <w:sz w:val="16"/>
          <w:szCs w:val="16"/>
        </w:rPr>
      </w:pPr>
    </w:p>
    <w:p w14:paraId="6E664C5D" w14:textId="77777777" w:rsidR="00576B22" w:rsidRPr="00925F26" w:rsidRDefault="00576B22" w:rsidP="00925F26">
      <w:pPr>
        <w:jc w:val="both"/>
        <w:rPr>
          <w:color w:val="000000" w:themeColor="text1"/>
          <w:sz w:val="16"/>
          <w:szCs w:val="16"/>
        </w:rPr>
      </w:pPr>
      <w:r w:rsidRPr="00925F26">
        <w:rPr>
          <w:bCs/>
          <w:color w:val="000000" w:themeColor="text1"/>
          <w:sz w:val="16"/>
          <w:szCs w:val="16"/>
        </w:rPr>
        <w:t>30 июня</w:t>
      </w:r>
      <w:r w:rsidRPr="00925F26">
        <w:rPr>
          <w:color w:val="000000" w:themeColor="text1"/>
          <w:sz w:val="16"/>
          <w:szCs w:val="16"/>
        </w:rPr>
        <w:t xml:space="preserve"> в 1945 году японское правительство предложило СССР экономическое сотрудничество, заявив, что «если Советскому Союзу нужен каучук, свинец, олово, вольфрам и другие материалы, то можно найти пути к получению этих материалов на острове Суматра и других островах Юга» (14938).</w:t>
      </w:r>
    </w:p>
    <w:p w14:paraId="658C6BC4" w14:textId="77777777" w:rsidR="00576B22" w:rsidRPr="00925F26" w:rsidRDefault="00576B22" w:rsidP="00925F26">
      <w:pPr>
        <w:jc w:val="both"/>
        <w:rPr>
          <w:color w:val="000000" w:themeColor="text1"/>
          <w:sz w:val="16"/>
          <w:szCs w:val="16"/>
        </w:rPr>
      </w:pPr>
    </w:p>
    <w:p w14:paraId="570F3244" w14:textId="77777777" w:rsidR="00576B22" w:rsidRPr="00925F26" w:rsidRDefault="00576B22" w:rsidP="00925F26">
      <w:pPr>
        <w:jc w:val="both"/>
        <w:rPr>
          <w:color w:val="000000" w:themeColor="text1"/>
          <w:sz w:val="16"/>
          <w:szCs w:val="16"/>
        </w:rPr>
      </w:pPr>
      <w:r w:rsidRPr="00925F26">
        <w:rPr>
          <w:bCs/>
          <w:color w:val="000000" w:themeColor="text1"/>
          <w:sz w:val="16"/>
          <w:szCs w:val="16"/>
        </w:rPr>
        <w:t>30 июня</w:t>
      </w:r>
      <w:r w:rsidRPr="00925F26">
        <w:rPr>
          <w:color w:val="000000" w:themeColor="text1"/>
          <w:sz w:val="16"/>
          <w:szCs w:val="16"/>
        </w:rPr>
        <w:t xml:space="preserve"> в 1945 году США и Великобритания отвели войска из ряда областей в центральной Германии, уступив СССР часть оккупационной зоны площадью около 45000 км2 с населением 7 </w:t>
      </w:r>
      <w:proofErr w:type="gramStart"/>
      <w:r w:rsidRPr="00925F26">
        <w:rPr>
          <w:color w:val="000000" w:themeColor="text1"/>
          <w:sz w:val="16"/>
          <w:szCs w:val="16"/>
        </w:rPr>
        <w:t>млн.чел</w:t>
      </w:r>
      <w:proofErr w:type="gramEnd"/>
      <w:r w:rsidRPr="00925F26">
        <w:rPr>
          <w:color w:val="000000" w:themeColor="text1"/>
          <w:sz w:val="16"/>
          <w:szCs w:val="16"/>
        </w:rPr>
        <w:t xml:space="preserve"> (14938).</w:t>
      </w:r>
    </w:p>
    <w:p w14:paraId="7D084267" w14:textId="77777777" w:rsidR="00576B22" w:rsidRPr="00925F26" w:rsidRDefault="00576B22" w:rsidP="00925F26">
      <w:pPr>
        <w:jc w:val="both"/>
        <w:rPr>
          <w:color w:val="000000" w:themeColor="text1"/>
          <w:sz w:val="16"/>
          <w:szCs w:val="16"/>
        </w:rPr>
      </w:pPr>
    </w:p>
    <w:p w14:paraId="40E8523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2BA7F2DC" w14:textId="77777777" w:rsidR="006103B3" w:rsidRPr="00925F26" w:rsidRDefault="006103B3" w:rsidP="00925F26">
      <w:pPr>
        <w:autoSpaceDE w:val="0"/>
        <w:autoSpaceDN w:val="0"/>
        <w:adjustRightInd w:val="0"/>
        <w:jc w:val="both"/>
        <w:rPr>
          <w:iCs/>
          <w:color w:val="000000" w:themeColor="text1"/>
          <w:sz w:val="16"/>
          <w:szCs w:val="16"/>
        </w:rPr>
      </w:pPr>
    </w:p>
    <w:p w14:paraId="68E52B01" w14:textId="77777777" w:rsidR="00F23D44" w:rsidRPr="00925F26" w:rsidRDefault="00F23D44" w:rsidP="00925F26">
      <w:pPr>
        <w:jc w:val="both"/>
        <w:rPr>
          <w:color w:val="000000" w:themeColor="text1"/>
          <w:sz w:val="16"/>
          <w:szCs w:val="16"/>
        </w:rPr>
      </w:pPr>
      <w:r w:rsidRPr="00925F26">
        <w:rPr>
          <w:color w:val="000000" w:themeColor="text1"/>
          <w:sz w:val="16"/>
          <w:szCs w:val="16"/>
        </w:rPr>
        <w:t>30 июня 1945 военный министр США Генри Л. Стимсон одобряет запрос ВВС США к компании Douglas Aircraft Company на разработку самолета, способного развивать постоянную скорость 2 Маха на высоте 30 000 футов (9 144 метра) и лететь в течение не менее 30 минут, а взлет и посадка осуществлять самостоятельно (20371).</w:t>
      </w:r>
    </w:p>
    <w:p w14:paraId="3AAFC484" w14:textId="77777777" w:rsidR="00F23D44" w:rsidRPr="00925F26" w:rsidRDefault="00F23D44" w:rsidP="00925F26">
      <w:pPr>
        <w:jc w:val="both"/>
        <w:rPr>
          <w:color w:val="000000" w:themeColor="text1"/>
          <w:sz w:val="16"/>
          <w:szCs w:val="16"/>
        </w:rPr>
      </w:pPr>
    </w:p>
    <w:p w14:paraId="651CAF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китайские войска вторглись в Индокитай (2248,8).</w:t>
      </w:r>
    </w:p>
    <w:p w14:paraId="188D2E56" w14:textId="77777777" w:rsidR="006103B3" w:rsidRPr="00925F26" w:rsidRDefault="006103B3" w:rsidP="00925F26">
      <w:pPr>
        <w:autoSpaceDE w:val="0"/>
        <w:autoSpaceDN w:val="0"/>
        <w:adjustRightInd w:val="0"/>
        <w:jc w:val="both"/>
        <w:rPr>
          <w:color w:val="000000" w:themeColor="text1"/>
          <w:sz w:val="16"/>
          <w:szCs w:val="16"/>
        </w:rPr>
      </w:pPr>
    </w:p>
    <w:p w14:paraId="7B375794" w14:textId="77777777" w:rsidR="006103B3" w:rsidRPr="00925F26" w:rsidRDefault="006103B3" w:rsidP="00925F26">
      <w:pPr>
        <w:autoSpaceDE w:val="0"/>
        <w:autoSpaceDN w:val="0"/>
        <w:adjustRightInd w:val="0"/>
        <w:jc w:val="both"/>
        <w:rPr>
          <w:color w:val="000000" w:themeColor="text1"/>
          <w:sz w:val="16"/>
          <w:szCs w:val="16"/>
          <w:lang w:val="en-US"/>
        </w:rPr>
      </w:pPr>
      <w:r w:rsidRPr="00925F26">
        <w:rPr>
          <w:color w:val="000000" w:themeColor="text1"/>
          <w:sz w:val="16"/>
          <w:szCs w:val="16"/>
          <w:lang w:val="en-US"/>
        </w:rPr>
        <w:t>June 30 1945 Battle on Okinawa ends (1287).</w:t>
      </w:r>
    </w:p>
    <w:p w14:paraId="1527CDC4" w14:textId="77777777" w:rsidR="006103B3" w:rsidRPr="00925F26" w:rsidRDefault="006103B3" w:rsidP="00925F26">
      <w:pPr>
        <w:autoSpaceDE w:val="0"/>
        <w:autoSpaceDN w:val="0"/>
        <w:adjustRightInd w:val="0"/>
        <w:jc w:val="both"/>
        <w:rPr>
          <w:color w:val="000000" w:themeColor="text1"/>
          <w:sz w:val="16"/>
          <w:szCs w:val="16"/>
          <w:lang w:val="en-US"/>
        </w:rPr>
      </w:pPr>
    </w:p>
    <w:p w14:paraId="330D9B9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30 июня 1945 закончилась битва на Окинаве (1287).</w:t>
      </w:r>
    </w:p>
    <w:p w14:paraId="2C15C878" w14:textId="77777777" w:rsidR="006103B3" w:rsidRPr="00925F26" w:rsidRDefault="006103B3" w:rsidP="00925F26">
      <w:pPr>
        <w:autoSpaceDE w:val="0"/>
        <w:autoSpaceDN w:val="0"/>
        <w:adjustRightInd w:val="0"/>
        <w:jc w:val="both"/>
        <w:rPr>
          <w:color w:val="000000" w:themeColor="text1"/>
          <w:sz w:val="16"/>
          <w:szCs w:val="16"/>
        </w:rPr>
      </w:pPr>
    </w:p>
    <w:p w14:paraId="5AB85F4F" w14:textId="77777777" w:rsidR="002A5DBF"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E2D50FC" w14:textId="77777777" w:rsidR="002A5DBF" w:rsidRPr="00925F26" w:rsidRDefault="002A5DBF" w:rsidP="00925F26">
      <w:pPr>
        <w:autoSpaceDE w:val="0"/>
        <w:autoSpaceDN w:val="0"/>
        <w:adjustRightInd w:val="0"/>
        <w:jc w:val="both"/>
        <w:rPr>
          <w:iCs/>
          <w:color w:val="000000" w:themeColor="text1"/>
          <w:sz w:val="16"/>
          <w:szCs w:val="16"/>
        </w:rPr>
      </w:pPr>
    </w:p>
    <w:p w14:paraId="5B88B3F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До конца июня месяца 1945 на Ил-16 (экз. №1), доработанном по результатам торсиографирования М-43, уда</w:t>
      </w:r>
      <w:r w:rsidRPr="00925F26">
        <w:rPr>
          <w:rFonts w:ascii="Times New Roman" w:hAnsi="Times New Roman" w:cs="Times New Roman"/>
          <w:color w:val="000000" w:themeColor="text1"/>
          <w:sz w:val="16"/>
          <w:szCs w:val="16"/>
        </w:rPr>
        <w:softHyphen/>
        <w:t>лось выполнить два испытательных по</w:t>
      </w:r>
      <w:r w:rsidRPr="00925F26">
        <w:rPr>
          <w:rFonts w:ascii="Times New Roman" w:hAnsi="Times New Roman" w:cs="Times New Roman"/>
          <w:color w:val="000000" w:themeColor="text1"/>
          <w:sz w:val="16"/>
          <w:szCs w:val="16"/>
        </w:rPr>
        <w:softHyphen/>
        <w:t>лета, из них второй полет - с уборкой и выпуском шасси. Летал шеф-пилот ОКБ-240 генерал-майор В.К. Коккинаки. Сильный реактивный момент от винта в сочетании с узкой колеей шасси создал значительные затруднения на взлете. В полете самолету недоставало про</w:t>
      </w:r>
      <w:r w:rsidRPr="00925F26">
        <w:rPr>
          <w:rFonts w:ascii="Times New Roman" w:hAnsi="Times New Roman" w:cs="Times New Roman"/>
          <w:color w:val="000000" w:themeColor="text1"/>
          <w:sz w:val="16"/>
          <w:szCs w:val="16"/>
        </w:rPr>
        <w:softHyphen/>
        <w:t>дольной устойчивости. Самолет сильно трясло, мотор дымил, недодавал мощ</w:t>
      </w:r>
      <w:r w:rsidRPr="00925F26">
        <w:rPr>
          <w:rFonts w:ascii="Times New Roman" w:hAnsi="Times New Roman" w:cs="Times New Roman"/>
          <w:color w:val="000000" w:themeColor="text1"/>
          <w:sz w:val="16"/>
          <w:szCs w:val="16"/>
        </w:rPr>
        <w:softHyphen/>
        <w:t>ности, в масле была стружка и т.д. По этим причинам приняли решение пере</w:t>
      </w:r>
      <w:r w:rsidRPr="00925F26">
        <w:rPr>
          <w:rFonts w:ascii="Times New Roman" w:hAnsi="Times New Roman" w:cs="Times New Roman"/>
          <w:color w:val="000000" w:themeColor="text1"/>
          <w:sz w:val="16"/>
          <w:szCs w:val="16"/>
        </w:rPr>
        <w:softHyphen/>
        <w:t>дать самолет на завод №240 для довод</w:t>
      </w:r>
      <w:r w:rsidRPr="00925F26">
        <w:rPr>
          <w:rFonts w:ascii="Times New Roman" w:hAnsi="Times New Roman" w:cs="Times New Roman"/>
          <w:color w:val="000000" w:themeColor="text1"/>
          <w:sz w:val="16"/>
          <w:szCs w:val="16"/>
        </w:rPr>
        <w:softHyphen/>
        <w:t>ки винтомоторной группы.</w:t>
      </w:r>
    </w:p>
    <w:p w14:paraId="266D7555"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К этому времени третий опытный эк</w:t>
      </w:r>
      <w:r w:rsidRPr="00925F26">
        <w:rPr>
          <w:rFonts w:ascii="Times New Roman" w:hAnsi="Times New Roman" w:cs="Times New Roman"/>
          <w:color w:val="000000" w:themeColor="text1"/>
          <w:sz w:val="16"/>
          <w:szCs w:val="16"/>
        </w:rPr>
        <w:softHyphen/>
        <w:t>земпляр самолета удовлетворительно прошел полный комплекс статических испытаний. В качестве главного недо</w:t>
      </w:r>
      <w:r w:rsidRPr="00925F26">
        <w:rPr>
          <w:rFonts w:ascii="Times New Roman" w:hAnsi="Times New Roman" w:cs="Times New Roman"/>
          <w:color w:val="000000" w:themeColor="text1"/>
          <w:sz w:val="16"/>
          <w:szCs w:val="16"/>
        </w:rPr>
        <w:softHyphen/>
        <w:t>статка отмечалась недостаточная проч</w:t>
      </w:r>
      <w:r w:rsidRPr="00925F26">
        <w:rPr>
          <w:rFonts w:ascii="Times New Roman" w:hAnsi="Times New Roman" w:cs="Times New Roman"/>
          <w:color w:val="000000" w:themeColor="text1"/>
          <w:sz w:val="16"/>
          <w:szCs w:val="16"/>
        </w:rPr>
        <w:softHyphen/>
        <w:t>ность заднего лонжерона центроплана между нервюрами 1-1, который сломал</w:t>
      </w:r>
      <w:r w:rsidRPr="00925F26">
        <w:rPr>
          <w:rFonts w:ascii="Times New Roman" w:hAnsi="Times New Roman" w:cs="Times New Roman"/>
          <w:color w:val="000000" w:themeColor="text1"/>
          <w:sz w:val="16"/>
          <w:szCs w:val="16"/>
        </w:rPr>
        <w:softHyphen/>
        <w:t>ся при 100% нагрузке.</w:t>
      </w:r>
    </w:p>
    <w:p w14:paraId="503B0CD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Второй летный экземпляр Ил-16 (экз. №2) перед испытаниями подвергся существенной переделке. Хвостовую часть фюзеляжа удлинили на 50 см. Уве</w:t>
      </w:r>
      <w:r w:rsidRPr="00925F26">
        <w:rPr>
          <w:rFonts w:ascii="Times New Roman" w:hAnsi="Times New Roman" w:cs="Times New Roman"/>
          <w:color w:val="000000" w:themeColor="text1"/>
          <w:sz w:val="16"/>
          <w:szCs w:val="16"/>
        </w:rPr>
        <w:softHyphen/>
        <w:t>личили высоту и площадь вертикально</w:t>
      </w:r>
      <w:r w:rsidRPr="00925F26">
        <w:rPr>
          <w:rFonts w:ascii="Times New Roman" w:hAnsi="Times New Roman" w:cs="Times New Roman"/>
          <w:color w:val="000000" w:themeColor="text1"/>
          <w:sz w:val="16"/>
          <w:szCs w:val="16"/>
        </w:rPr>
        <w:softHyphen/>
        <w:t>го оперения. Усилили задний лонжерон центроплана по результатам статиче</w:t>
      </w:r>
      <w:r w:rsidRPr="00925F26">
        <w:rPr>
          <w:rFonts w:ascii="Times New Roman" w:hAnsi="Times New Roman" w:cs="Times New Roman"/>
          <w:color w:val="000000" w:themeColor="text1"/>
          <w:sz w:val="16"/>
          <w:szCs w:val="16"/>
        </w:rPr>
        <w:softHyphen/>
        <w:t>ских испытаний. На руле направления поставили триммер. Одновременно улучшили систему амортизации мотора по рекомендации ЦИАМ, а также дове</w:t>
      </w:r>
      <w:r w:rsidRPr="00925F26">
        <w:rPr>
          <w:rFonts w:ascii="Times New Roman" w:hAnsi="Times New Roman" w:cs="Times New Roman"/>
          <w:color w:val="000000" w:themeColor="text1"/>
          <w:sz w:val="16"/>
          <w:szCs w:val="16"/>
        </w:rPr>
        <w:softHyphen/>
        <w:t>ли бомбовую нагрузку с 200 до 400 кг в нормальном варианте и с 400 до 500 кг в перегрузку.</w:t>
      </w:r>
    </w:p>
    <w:p w14:paraId="0468F246"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Полеты показали, что продольная устойчивость самолета повысилась, тряска несколько уменьшилась. Однако мотор работал ненадежно.</w:t>
      </w:r>
    </w:p>
    <w:p w14:paraId="49230A32"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Несмотря на постоянные проблемы с мотором, испытательной бригаде все же удалось снять почти все основные летные данные Ил-16 (экз. №2).</w:t>
      </w:r>
    </w:p>
    <w:p w14:paraId="604B04CB"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r w:rsidRPr="00925F26">
        <w:rPr>
          <w:rFonts w:ascii="Times New Roman" w:hAnsi="Times New Roman" w:cs="Times New Roman"/>
          <w:color w:val="000000" w:themeColor="text1"/>
          <w:sz w:val="16"/>
          <w:szCs w:val="16"/>
        </w:rPr>
        <w:t>При полетном весе 5980 кг самолет показал скорость у земли - 525 км/ч, на высоте 3000 м - 575 км/ч. Дальность полета на высоте 500 м при скорости 373 км/ч с бомбовой нагрузкой 400 кг составила 700 км. Время подъема на высоту 4000 м - 6,0 мин, потолок - 8500 м, посадочная скорость - 145 км/ч, разбег - 400 м (17469).</w:t>
      </w:r>
    </w:p>
    <w:p w14:paraId="3903B76A" w14:textId="77777777" w:rsidR="005F32F4" w:rsidRPr="00925F26" w:rsidRDefault="005F32F4" w:rsidP="00925F26">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EA024EA"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До конца июня месяца 1945 после небольших доработок на Ил-16 (экз. № 1) удалось выполнить два испытательных полета, из них второй полет - с уборкой и выпуском шасси. Летал шеф-пилот ОКБ-240 генерал-майор В. К. Коккинаки. Сильный реактивный момент от винта в сочетании с узкой колеей шасси создал значительные затруднения на взлете. В полете самолету недоставало продольной устойчивости. Самолет сильно трясло, мотор дымил, недодавал мощности, в масле была стружка и т. д. По этим причинам приняли решение передать самолет на завод № 240 для доводки винтомоторной группы.</w:t>
      </w:r>
    </w:p>
    <w:p w14:paraId="40B502D1"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К этому времени второй опытный экземпляр самолета удовлетворительно прошел полный комплекс статических испытаний. В качестве главного недостатка отмечалась недостаточная прочность заднего лонжерона центроплана между нервюрами 1-1, который сломался при 100 %-ной нагрузке.</w:t>
      </w:r>
    </w:p>
    <w:p w14:paraId="7B39F5A5"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Третий опытный экземпляр Ил-16 (экз. № 3) перед испытаниями подвергся существенной переделке. Хвостовую часть фюзеляжа удлинили на 50 см. Увеличили высоту и площадь вертикального оперения. Усилили задний лонжерон центроплана по результатам статических испытаний. На руле направления поставили триммер. Одновременно улучшили систему амортизации мотора по рекомендации ЦИАМ, а также довели бомбовую нагрузку с 200 до 400 кг в нормальном варианте и с 400 до 500 кг в перегрузку.</w:t>
      </w:r>
    </w:p>
    <w:p w14:paraId="7991C674"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Полеты показали, что продольная устойчивость самолета повысилась, тряска несколько уменьшилась. Однако мотор работал ненадежно.</w:t>
      </w:r>
    </w:p>
    <w:p w14:paraId="687758BC"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Несмотря на постоянные проблемы с мотором, испытательной бригаде все же удалось снять почти все основные летные данные Ил-16 (экз. № 3).</w:t>
      </w:r>
    </w:p>
    <w:p w14:paraId="4594033B"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При полетном весе 5980 кг самолет показал скорость у земли 525 км/ч, на высоте 3000 м - 575 км/ч. Дальность полета на высоте 500 м при скорости 373 км/ч с бомбовой нагрузкой 400 кг составила 700 км. Время подъема на высоту 4000 м - 6 мин, потолок - 8500 м, посадочная скорость - 145 км/ч, разбег - 400 м.</w:t>
      </w:r>
    </w:p>
    <w:p w14:paraId="5A4CCD97" w14:textId="77777777" w:rsidR="00A30E3B" w:rsidRPr="00925F26" w:rsidRDefault="00A30E3B"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Еще в период испытаний распоряжением начальника 10-го главного управления НКАП Н И. Кузнецова без согласования с ВВС на заводе № 30 начали строить малую серию Ил-16 из 25 экземпляров. Срок завершения этой работы не устанавливался (17490).</w:t>
      </w:r>
    </w:p>
    <w:p w14:paraId="4F780DEB" w14:textId="77777777" w:rsidR="00A30E3B" w:rsidRPr="00925F26" w:rsidRDefault="00A30E3B" w:rsidP="00925F26">
      <w:pPr>
        <w:jc w:val="both"/>
        <w:rPr>
          <w:rStyle w:val="107"/>
          <w:rFonts w:eastAsiaTheme="minorHAnsi"/>
          <w:color w:val="000000" w:themeColor="text1"/>
          <w:sz w:val="16"/>
          <w:szCs w:val="16"/>
        </w:rPr>
      </w:pPr>
    </w:p>
    <w:p w14:paraId="4BBAD812" w14:textId="77777777" w:rsidR="002A5DBF" w:rsidRPr="00925F26" w:rsidRDefault="002A5DBF" w:rsidP="00925F26">
      <w:pPr>
        <w:pStyle w:val="36"/>
        <w:shd w:val="clear" w:color="auto" w:fill="auto"/>
        <w:spacing w:after="0" w:line="240" w:lineRule="auto"/>
        <w:jc w:val="both"/>
        <w:rPr>
          <w:rFonts w:ascii="Times New Roman" w:cs="Times New Roman"/>
          <w:color w:val="000000" w:themeColor="text1"/>
          <w:spacing w:val="0"/>
          <w:sz w:val="16"/>
          <w:szCs w:val="16"/>
        </w:rPr>
      </w:pPr>
      <w:r w:rsidRPr="00925F26">
        <w:rPr>
          <w:rFonts w:ascii="Times New Roman" w:cs="Times New Roman"/>
          <w:color w:val="000000" w:themeColor="text1"/>
          <w:spacing w:val="0"/>
          <w:sz w:val="16"/>
          <w:szCs w:val="16"/>
        </w:rPr>
        <w:t>В конце июня 1945 нарком авиапромышленности А.И. Шахурин обра</w:t>
      </w:r>
      <w:r w:rsidRPr="00925F26">
        <w:rPr>
          <w:rFonts w:ascii="Times New Roman" w:cs="Times New Roman"/>
          <w:color w:val="000000" w:themeColor="text1"/>
          <w:spacing w:val="0"/>
          <w:sz w:val="16"/>
          <w:szCs w:val="16"/>
        </w:rPr>
        <w:softHyphen/>
        <w:t>тился в ЦК ВКП(б) с идеей об использовании немецких специалистов. Окончательный демонтаж опытных заводов, институтов и КБ приостановили. Начались поиски работав</w:t>
      </w:r>
      <w:r w:rsidRPr="00925F26">
        <w:rPr>
          <w:rFonts w:ascii="Times New Roman" w:cs="Times New Roman"/>
          <w:color w:val="000000" w:themeColor="text1"/>
          <w:spacing w:val="0"/>
          <w:sz w:val="16"/>
          <w:szCs w:val="16"/>
        </w:rPr>
        <w:softHyphen/>
        <w:t>ших там сотрудников. Определялись темы, которыми могли бы заниматься немецкие специалисты. Естественно, в первую очередь это стали двигатели. С самолётной тема</w:t>
      </w:r>
      <w:r w:rsidRPr="00925F26">
        <w:rPr>
          <w:rFonts w:ascii="Times New Roman" w:cs="Times New Roman"/>
          <w:color w:val="000000" w:themeColor="text1"/>
          <w:spacing w:val="0"/>
          <w:sz w:val="16"/>
          <w:szCs w:val="16"/>
        </w:rPr>
        <w:softHyphen/>
        <w:t>тикой оказалось сложнее, но и здесь вырисовывались ведущие направления (15791).</w:t>
      </w:r>
    </w:p>
    <w:p w14:paraId="5A00135D" w14:textId="77777777" w:rsidR="002A5DBF" w:rsidRPr="00925F26" w:rsidRDefault="002A5DBF" w:rsidP="00925F26">
      <w:pPr>
        <w:pStyle w:val="36"/>
        <w:shd w:val="clear" w:color="auto" w:fill="auto"/>
        <w:spacing w:after="0" w:line="240" w:lineRule="auto"/>
        <w:jc w:val="both"/>
        <w:rPr>
          <w:rFonts w:ascii="Times New Roman" w:cs="Times New Roman"/>
          <w:color w:val="000000" w:themeColor="text1"/>
          <w:spacing w:val="0"/>
          <w:sz w:val="16"/>
          <w:szCs w:val="16"/>
        </w:rPr>
      </w:pPr>
    </w:p>
    <w:p w14:paraId="67134F01" w14:textId="3A378EDF" w:rsidR="004B7DC3" w:rsidRPr="00925F26" w:rsidRDefault="004B7DC3" w:rsidP="00925F26">
      <w:pPr>
        <w:autoSpaceDE w:val="0"/>
        <w:autoSpaceDN w:val="0"/>
        <w:adjustRightInd w:val="0"/>
        <w:jc w:val="both"/>
        <w:rPr>
          <w:i/>
          <w:iCs/>
          <w:color w:val="000000" w:themeColor="text1"/>
          <w:sz w:val="16"/>
          <w:szCs w:val="16"/>
        </w:rPr>
      </w:pPr>
      <w:r w:rsidRPr="00925F26">
        <w:rPr>
          <w:i/>
          <w:iCs/>
          <w:color w:val="000000" w:themeColor="text1"/>
          <w:sz w:val="16"/>
          <w:szCs w:val="16"/>
        </w:rPr>
        <w:t>Другие оборонные отрасли:</w:t>
      </w:r>
    </w:p>
    <w:p w14:paraId="7E74961C" w14:textId="77777777" w:rsidR="004B7DC3" w:rsidRPr="00925F26" w:rsidRDefault="004B7DC3" w:rsidP="00925F26">
      <w:pPr>
        <w:autoSpaceDE w:val="0"/>
        <w:autoSpaceDN w:val="0"/>
        <w:adjustRightInd w:val="0"/>
        <w:jc w:val="both"/>
        <w:rPr>
          <w:i/>
          <w:iCs/>
          <w:color w:val="000000" w:themeColor="text1"/>
          <w:sz w:val="16"/>
          <w:szCs w:val="16"/>
        </w:rPr>
      </w:pPr>
    </w:p>
    <w:p w14:paraId="59AFA97B" w14:textId="77777777" w:rsidR="004B7DC3" w:rsidRPr="00925F26" w:rsidRDefault="004B7DC3" w:rsidP="00925F26">
      <w:pPr>
        <w:jc w:val="both"/>
        <w:rPr>
          <w:color w:val="000000" w:themeColor="text1"/>
          <w:sz w:val="16"/>
          <w:szCs w:val="16"/>
        </w:rPr>
      </w:pPr>
      <w:r w:rsidRPr="00925F26">
        <w:rPr>
          <w:color w:val="000000" w:themeColor="text1"/>
          <w:sz w:val="16"/>
          <w:szCs w:val="16"/>
        </w:rPr>
        <w:t>К концу июня 1945 обе машины вышли на испытания. На сей раз СУ-101 показала себя куда лучше, хотя проблема с перегревом уходить не собиралась. Битва с системой охлаждения продолжалась и дальше, осенью 1945 года отчасти победить ее удалось. Но дальше начались другие проблемы - концептуальные. Кроме того, УЗТМ постепенно возвращался к мирной продукции, выпуск СУ-100 перетекал в Омск. Наконец, более перспективной базой стали считать Т-54. В результате в 1946 году начались работы по САУ на базе Т-54, причем концептуально она была больше похожа на СУ-122-44. Ну а СУ-101 так и осела на НИБТ Полигоне, куда ее прислали в 1946 году (23527).</w:t>
      </w:r>
    </w:p>
    <w:p w14:paraId="4305B085" w14:textId="77777777" w:rsidR="004B7DC3" w:rsidRPr="00925F26" w:rsidRDefault="004B7DC3" w:rsidP="00925F26">
      <w:pPr>
        <w:jc w:val="both"/>
        <w:rPr>
          <w:color w:val="000000" w:themeColor="text1"/>
          <w:sz w:val="16"/>
          <w:szCs w:val="16"/>
        </w:rPr>
      </w:pPr>
    </w:p>
    <w:p w14:paraId="4FF3B50B" w14:textId="6ACABAFE"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5375542A" w14:textId="77777777" w:rsidR="006103B3" w:rsidRPr="00925F26" w:rsidRDefault="006103B3" w:rsidP="00925F26">
      <w:pPr>
        <w:autoSpaceDE w:val="0"/>
        <w:autoSpaceDN w:val="0"/>
        <w:adjustRightInd w:val="0"/>
        <w:jc w:val="both"/>
        <w:rPr>
          <w:iCs/>
          <w:color w:val="000000" w:themeColor="text1"/>
          <w:sz w:val="16"/>
          <w:szCs w:val="16"/>
        </w:rPr>
      </w:pPr>
    </w:p>
    <w:p w14:paraId="572AC2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конце июня 1945 дивизии Ту-2 получили приказ перебазироваться на новые места. С 1 июля самолеты отправились на восток. Так, 113-я дивизия перелетела из Познани в Монголию, покрыв расстояние около 10 000 км с восемью промежуточными посадками. 6-й бап 1 июля был в Польше, 2 июля - в подмосковной Кубинке, 10-го - в Новосибирске. 17 июля самолеты остановились в Баде, в Забайкалье. Оттуда полк с полным запасом горючего и боекомплектом 5 августа перелетел на "точку №5" в Монголии. Ее прозвали "пятой точкой". Почему? Это был огромный кусок ровной степи с некоторым количеством палаток. Больше ничего не имелось. Поэтому и везли и горючее, и бомбы, и патроны "на себе". В подобных условиях на полевых площадках располагались и другие полки.</w:t>
      </w:r>
    </w:p>
    <w:p w14:paraId="1E632A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132-й бап оказался на аэродроме Домна в Забайкалье. Оттуда с 16 июля его самолеты начали летать на разведку позиций японцев.</w:t>
      </w:r>
    </w:p>
    <w:p w14:paraId="5D6984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 трем дивизиям Ту-2, успевшим принять участие в войне с Германией, добавили еще одну, 179-ю, полки которой прошли переучивание при 27-м запасном полку в Московском военном округе весной 1945 г. и на советско-германский фронт уже не попали. Так, 10-й гв. бап был отозван с передовой в апреле 1945 г. Когда переподготовка завершилась, немцы к тому времени капитулировали. Аналогичный путь прошел 114-й гв. бап, отведенный с Карельского фронта в Подмосковье еще раньше, в декабре 1944 г. Третьим полком дивизии стал 860-й, перебравшийся в тыл примерно в это же время. Все три части ранее летали на американских бомбардировщиках A-20G.</w:t>
      </w:r>
    </w:p>
    <w:p w14:paraId="33FD64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Четыре дивизии Ту-2 свели в два корпуса. В 6-й корпус вошли 326-я и 334-я бад, в 7-й - 113-я и 179-я. Оба корпуса включили в состав 12-й воздушной армии, поддерживавшей действия Забайкальского фронта (11988).</w:t>
      </w:r>
    </w:p>
    <w:p w14:paraId="1B0990FC" w14:textId="77777777" w:rsidR="006103B3" w:rsidRPr="00925F26" w:rsidRDefault="006103B3" w:rsidP="00925F26">
      <w:pPr>
        <w:autoSpaceDE w:val="0"/>
        <w:autoSpaceDN w:val="0"/>
        <w:adjustRightInd w:val="0"/>
        <w:jc w:val="both"/>
        <w:rPr>
          <w:color w:val="000000" w:themeColor="text1"/>
          <w:sz w:val="16"/>
          <w:szCs w:val="16"/>
        </w:rPr>
      </w:pPr>
    </w:p>
    <w:p w14:paraId="590BE4F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385CCF1F" w14:textId="77777777" w:rsidR="006103B3" w:rsidRPr="00925F26" w:rsidRDefault="006103B3" w:rsidP="00925F26">
      <w:pPr>
        <w:autoSpaceDE w:val="0"/>
        <w:autoSpaceDN w:val="0"/>
        <w:adjustRightInd w:val="0"/>
        <w:jc w:val="both"/>
        <w:rPr>
          <w:iCs/>
          <w:color w:val="000000" w:themeColor="text1"/>
          <w:sz w:val="16"/>
          <w:szCs w:val="16"/>
        </w:rPr>
      </w:pPr>
    </w:p>
    <w:p w14:paraId="5B82B2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конце июня - начале июля </w:t>
      </w:r>
      <w:proofErr w:type="gramStart"/>
      <w:r w:rsidRPr="00925F26">
        <w:rPr>
          <w:color w:val="000000" w:themeColor="text1"/>
          <w:sz w:val="16"/>
          <w:szCs w:val="16"/>
        </w:rPr>
        <w:t>1945 согласно Крымским договоренностям</w:t>
      </w:r>
      <w:proofErr w:type="gramEnd"/>
      <w:r w:rsidRPr="00925F26">
        <w:rPr>
          <w:color w:val="000000" w:themeColor="text1"/>
          <w:sz w:val="16"/>
          <w:szCs w:val="16"/>
        </w:rPr>
        <w:t xml:space="preserve"> была изменена демаркационная линя оккупационных зон Германии и в нашу зону попали Саксония, Тюрингия и кое-что еще. В советской зоне было 600 авиапредприятий и организаций, включая 213 основных, в т.ч. 57 Юнкерса, 38 Арадо, 18 Хейнкель, 7 Фокке-Вульф, 6 Зибель, 5 Дорнье, 11 БМВ, 4 Даймлер-Бенц, 5 АЕГ, 7 Сименс, 3 Цейс, 2 Аскания (1795,58).</w:t>
      </w:r>
    </w:p>
    <w:p w14:paraId="40141FD3" w14:textId="77777777" w:rsidR="006103B3" w:rsidRPr="00925F26" w:rsidRDefault="006103B3" w:rsidP="00925F26">
      <w:pPr>
        <w:autoSpaceDE w:val="0"/>
        <w:autoSpaceDN w:val="0"/>
        <w:adjustRightInd w:val="0"/>
        <w:jc w:val="both"/>
        <w:rPr>
          <w:color w:val="000000" w:themeColor="text1"/>
          <w:sz w:val="16"/>
          <w:szCs w:val="16"/>
        </w:rPr>
      </w:pPr>
    </w:p>
    <w:p w14:paraId="5F15B83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5F482822" w14:textId="77777777" w:rsidR="006103B3" w:rsidRPr="00925F26" w:rsidRDefault="006103B3" w:rsidP="00925F26">
      <w:pPr>
        <w:autoSpaceDE w:val="0"/>
        <w:autoSpaceDN w:val="0"/>
        <w:adjustRightInd w:val="0"/>
        <w:jc w:val="both"/>
        <w:rPr>
          <w:iCs/>
          <w:color w:val="000000" w:themeColor="text1"/>
          <w:sz w:val="16"/>
          <w:szCs w:val="16"/>
        </w:rPr>
      </w:pPr>
    </w:p>
    <w:p w14:paraId="6E38959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июня 1945 г. заводы № 1 и № 18 перешли на выпуск только нового штурмовика Ил-10 (ГАСО. Ф. Р-3454. Оп. 1. Д. 54. Л. 1-2.) (11714).</w:t>
      </w:r>
    </w:p>
    <w:p w14:paraId="0BD08C25" w14:textId="77777777" w:rsidR="006103B3" w:rsidRPr="00925F26" w:rsidRDefault="006103B3" w:rsidP="00925F26">
      <w:pPr>
        <w:autoSpaceDE w:val="0"/>
        <w:autoSpaceDN w:val="0"/>
        <w:adjustRightInd w:val="0"/>
        <w:jc w:val="both"/>
        <w:rPr>
          <w:color w:val="000000" w:themeColor="text1"/>
          <w:sz w:val="16"/>
          <w:szCs w:val="16"/>
        </w:rPr>
      </w:pPr>
    </w:p>
    <w:p w14:paraId="75DA26B2" w14:textId="77777777" w:rsidR="00051ED8" w:rsidRPr="001A0BAA" w:rsidRDefault="00051ED8" w:rsidP="00051ED8">
      <w:pPr>
        <w:jc w:val="both"/>
        <w:rPr>
          <w:color w:val="0070C0"/>
          <w:sz w:val="16"/>
          <w:szCs w:val="16"/>
        </w:rPr>
      </w:pPr>
      <w:r w:rsidRPr="001A0BAA">
        <w:rPr>
          <w:color w:val="0070C0"/>
          <w:sz w:val="16"/>
          <w:szCs w:val="16"/>
        </w:rPr>
        <w:t>В июне 1945 куйбышевские предприятия полностью перешли на новую машину, а сборка Ил-2 была свёрнута (25127).</w:t>
      </w:r>
    </w:p>
    <w:p w14:paraId="4D0B825C" w14:textId="77777777" w:rsidR="00051ED8" w:rsidRPr="001A0BAA" w:rsidRDefault="00051ED8" w:rsidP="00051ED8">
      <w:pPr>
        <w:jc w:val="both"/>
        <w:rPr>
          <w:color w:val="0070C0"/>
          <w:sz w:val="16"/>
          <w:szCs w:val="16"/>
        </w:rPr>
      </w:pPr>
    </w:p>
    <w:p w14:paraId="5A9D0E5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приступили к летным испытаниям первого Ил-16, строительство которого в 3-х экз. вели на 30 заводе и первый закончили к концу мая 1945. Вследствие того, что мотор М-43 был не доведен ГК С.В.И. дальнейшее испытание Ил-16 прекратил и рекомендацию о запуске его в серию снял (2490).</w:t>
      </w:r>
    </w:p>
    <w:p w14:paraId="563B90C5" w14:textId="77777777" w:rsidR="006103B3" w:rsidRPr="00925F26" w:rsidRDefault="006103B3" w:rsidP="00925F26">
      <w:pPr>
        <w:autoSpaceDE w:val="0"/>
        <w:autoSpaceDN w:val="0"/>
        <w:adjustRightInd w:val="0"/>
        <w:jc w:val="both"/>
        <w:rPr>
          <w:color w:val="000000" w:themeColor="text1"/>
          <w:sz w:val="16"/>
          <w:szCs w:val="16"/>
        </w:rPr>
      </w:pPr>
    </w:p>
    <w:p w14:paraId="6D2817C1" w14:textId="77777777" w:rsidR="006D1A4B" w:rsidRPr="00925F26" w:rsidRDefault="006D1A4B" w:rsidP="006D1A4B">
      <w:pPr>
        <w:autoSpaceDE w:val="0"/>
        <w:autoSpaceDN w:val="0"/>
        <w:adjustRightInd w:val="0"/>
        <w:jc w:val="both"/>
        <w:rPr>
          <w:color w:val="000000" w:themeColor="text1"/>
          <w:sz w:val="16"/>
          <w:szCs w:val="16"/>
        </w:rPr>
      </w:pPr>
      <w:r w:rsidRPr="00925F26">
        <w:rPr>
          <w:color w:val="000000" w:themeColor="text1"/>
          <w:sz w:val="16"/>
          <w:szCs w:val="16"/>
        </w:rPr>
        <w:t>В июне 1945 в НИИ ВВС испытывали паровую отопительную установку для Ил-4, сконструированную инженером Усачевым в 5-й лаборатории ЛИИ. Вода нагревалась в кожухе пламегасителя и в виде пара шла в радиаторы. Но испытания провалились - через 12 часов работы котел лопнул. Более отоплением на Ил-4 не занимались (7666).</w:t>
      </w:r>
    </w:p>
    <w:p w14:paraId="362441D9" w14:textId="77777777" w:rsidR="006D1A4B" w:rsidRPr="00925F26" w:rsidRDefault="006D1A4B" w:rsidP="006D1A4B">
      <w:pPr>
        <w:autoSpaceDE w:val="0"/>
        <w:autoSpaceDN w:val="0"/>
        <w:adjustRightInd w:val="0"/>
        <w:jc w:val="both"/>
        <w:rPr>
          <w:color w:val="000000" w:themeColor="text1"/>
          <w:sz w:val="16"/>
          <w:szCs w:val="16"/>
        </w:rPr>
      </w:pPr>
    </w:p>
    <w:p w14:paraId="462DB0C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 1945 г. в НИИ ВВС испытывали паровую отопительную установку, сконструированную инжене</w:t>
      </w:r>
      <w:r w:rsidRPr="00925F26">
        <w:rPr>
          <w:color w:val="000000" w:themeColor="text1"/>
          <w:sz w:val="16"/>
          <w:szCs w:val="16"/>
        </w:rPr>
        <w:softHyphen/>
        <w:t>ром Усачевым в 5-й лаборатории ЛИИ. Вода нагревалась в кожухе пламегаси</w:t>
      </w:r>
      <w:r w:rsidRPr="00925F26">
        <w:rPr>
          <w:color w:val="000000" w:themeColor="text1"/>
          <w:sz w:val="16"/>
          <w:szCs w:val="16"/>
        </w:rPr>
        <w:softHyphen/>
        <w:t>теля и в виде пара шла в радиаторы. Но испытания провалились — через 12 ча</w:t>
      </w:r>
      <w:r w:rsidRPr="00925F26">
        <w:rPr>
          <w:color w:val="000000" w:themeColor="text1"/>
          <w:sz w:val="16"/>
          <w:szCs w:val="16"/>
        </w:rPr>
        <w:softHyphen/>
        <w:t>сов работы котел лопнул. Более отоп</w:t>
      </w:r>
      <w:r w:rsidRPr="00925F26">
        <w:rPr>
          <w:color w:val="000000" w:themeColor="text1"/>
          <w:sz w:val="16"/>
          <w:szCs w:val="16"/>
        </w:rPr>
        <w:softHyphen/>
        <w:t>лением на Ил-4 не занимались (10734,82).</w:t>
      </w:r>
    </w:p>
    <w:p w14:paraId="61E2B82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1BE7F9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в НИИ ВВС испытывали паровую отопительную установку для Ил-4, сконструированную инженером Усачевым в 5-й лаборатории ЛИИ. Вода нагревалась в кожухе пламегасителя и в виде пара шла в радиаторы. Но испытания провалились - через 12 часов работы котел лопнул. Более отоплением на Ил-4 не занимались (12021).</w:t>
      </w:r>
    </w:p>
    <w:p w14:paraId="14308C49" w14:textId="77777777" w:rsidR="006103B3" w:rsidRPr="00925F26" w:rsidRDefault="006103B3" w:rsidP="00925F26">
      <w:pPr>
        <w:autoSpaceDE w:val="0"/>
        <w:autoSpaceDN w:val="0"/>
        <w:adjustRightInd w:val="0"/>
        <w:jc w:val="both"/>
        <w:rPr>
          <w:color w:val="000000" w:themeColor="text1"/>
          <w:sz w:val="16"/>
          <w:szCs w:val="16"/>
        </w:rPr>
      </w:pPr>
    </w:p>
    <w:p w14:paraId="08ABE6C7" w14:textId="77777777" w:rsidR="00FA1D24" w:rsidRPr="00925F26" w:rsidRDefault="00FA1D24" w:rsidP="00925F26">
      <w:pPr>
        <w:jc w:val="both"/>
        <w:rPr>
          <w:color w:val="000000" w:themeColor="text1"/>
          <w:sz w:val="16"/>
          <w:szCs w:val="16"/>
        </w:rPr>
      </w:pPr>
      <w:r w:rsidRPr="00925F26">
        <w:rPr>
          <w:color w:val="000000" w:themeColor="text1"/>
          <w:sz w:val="16"/>
          <w:szCs w:val="16"/>
        </w:rPr>
        <w:t>В июне 1945 Государственная. макетная комиссия, осмотрев строящийся самолёт – бомбардировщик Ил-14, рекомендовала завершить его постройку в варианте с двухместной кабиной лётчиков, сидящих рядом, увеличить боезапас оборонительного вооружения и установить спаренные пушки для защиты задней полусферы, причём пушечные установки вверху и внизу должны были обеспечивать круговой обстрел (С.В.Ильюшин с этим не согласился). В связи с окончанием Второй мировой войны постройку самолёта, несмотря на возражения военных, прекратили. Весной 1946 г., после известной речи У.Черчилля в Фултоне, провозгласившей начало «холодной войны», была предпринята попытка разработать на основе конструкции этого бомбарди</w:t>
      </w:r>
      <w:r w:rsidRPr="00925F26">
        <w:rPr>
          <w:color w:val="000000" w:themeColor="text1"/>
          <w:sz w:val="16"/>
          <w:szCs w:val="16"/>
        </w:rPr>
        <w:softHyphen/>
        <w:t>ровщика тяжёлый барражирующий истребитель с радиолокационным оборудованием и с мощным наступательным вооружением, состоявшим из двух пушек калибра 45 мм с общим боезапасом в 400 снарядов. Самолёт предназначался для отражения массированных налётов тяжёлых бомбардировщиков типа Боинг В-29 и В-50, состоявших на вооружении ВВС США. Однако затем правительство СССР сделало ставку на создание более перспективного оружия - зенитных управляемых ракет, и работа над указанным проектом была прекращена Постановлением СМ СССР от 30 ноября 1946 г. (23907).</w:t>
      </w:r>
    </w:p>
    <w:p w14:paraId="45C11B43" w14:textId="77777777" w:rsidR="00FA1D24" w:rsidRPr="00925F26" w:rsidRDefault="00FA1D24" w:rsidP="00925F26">
      <w:pPr>
        <w:jc w:val="both"/>
        <w:rPr>
          <w:color w:val="000000" w:themeColor="text1"/>
          <w:sz w:val="16"/>
          <w:szCs w:val="16"/>
        </w:rPr>
      </w:pPr>
    </w:p>
    <w:p w14:paraId="25827F3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июне 1945 закончились гос. испытания ДБ-108 ВМ-16 и был закончен ВМ-17, но полных испытаний не </w:t>
      </w:r>
      <w:proofErr w:type="gramStart"/>
      <w:r w:rsidRPr="00925F26">
        <w:rPr>
          <w:color w:val="000000" w:themeColor="text1"/>
          <w:sz w:val="16"/>
          <w:szCs w:val="16"/>
        </w:rPr>
        <w:t>проходил</w:t>
      </w:r>
      <w:proofErr w:type="gramEnd"/>
      <w:r w:rsidRPr="00925F26">
        <w:rPr>
          <w:color w:val="000000" w:themeColor="text1"/>
          <w:sz w:val="16"/>
          <w:szCs w:val="16"/>
        </w:rPr>
        <w:t xml:space="preserve"> как и ВМ-18 (336).</w:t>
      </w:r>
    </w:p>
    <w:p w14:paraId="1A586C9B" w14:textId="77777777" w:rsidR="006103B3" w:rsidRPr="00925F26" w:rsidRDefault="006103B3" w:rsidP="00925F26">
      <w:pPr>
        <w:autoSpaceDE w:val="0"/>
        <w:autoSpaceDN w:val="0"/>
        <w:adjustRightInd w:val="0"/>
        <w:jc w:val="both"/>
        <w:rPr>
          <w:color w:val="000000" w:themeColor="text1"/>
          <w:sz w:val="16"/>
          <w:szCs w:val="16"/>
        </w:rPr>
      </w:pPr>
    </w:p>
    <w:p w14:paraId="6675FD3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w:t>
      </w:r>
    </w:p>
    <w:p w14:paraId="577F1B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ходе испытаний Хрипков получил на второй границе высотности максимальную скорость 630 км/ч. Время набора высоты 5000 м увеличилось на 1,8 мин по сравнению с Пе-2И, а дальность полета уменьшилась на 225 км. Такова была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величиной порядка 48 км/ч, вдвое больше той, которую заплатили конструкторы ОКО-22.</w:t>
      </w:r>
    </w:p>
    <w:p w14:paraId="423C36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связи с введением третьего члена экипажа, увеличением массы бронирования и вооружения Пе-2М оказался заметно тяжелее предшественника и перестал соответствовать нормам прочности по ряду показателей. Стойки шасси и колеса уже “не держали” двенадцатитонную машину. Усложнилось покидание самолета в воздухе, поскольку установка ВУ-5-20 серьезно мешала сбросу фонаря. По-прежнему досаждали дефекты моторов ВК-107А. Они нарабатывали по 47-54 ч в воздухе, после чего с завидной регулярностью принимались “стрелять шатунами”. Течи водяных и маслора-диаторов, а также различных уплотнений считались почти нормальным явлением. Отмечались другие отказы, в том числе и у новых подвижных установок вооружения. Механизированные пушечные установки получились тяжелыми, инертными и плохо управляемыми. К моменту окончания госиспытаний Пе-2М “на самом верху” уже было принято принципиальное решение о прекращении производства всех вариантов “пешек”. Поэтому заключение акта по испытаниям имело уклончивый характер:</w:t>
      </w:r>
    </w:p>
    <w:p w14:paraId="1B079D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Предъявленный на государственные испытания дневной бомбардировщик Пе-2М с 2ВК-107А по летно-техническим данным отвечает современным требованиям к данному типу самолетов...</w:t>
      </w:r>
    </w:p>
    <w:p w14:paraId="0E2271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 (4476).</w:t>
      </w:r>
    </w:p>
    <w:p w14:paraId="5A753F6F" w14:textId="77777777" w:rsidR="006103B3" w:rsidRPr="00925F26" w:rsidRDefault="006103B3" w:rsidP="00925F26">
      <w:pPr>
        <w:autoSpaceDE w:val="0"/>
        <w:autoSpaceDN w:val="0"/>
        <w:adjustRightInd w:val="0"/>
        <w:jc w:val="both"/>
        <w:rPr>
          <w:color w:val="000000" w:themeColor="text1"/>
          <w:sz w:val="16"/>
          <w:szCs w:val="16"/>
        </w:rPr>
      </w:pPr>
    </w:p>
    <w:p w14:paraId="036920B8" w14:textId="77777777" w:rsidR="006D1A4B" w:rsidRPr="001A0BAA" w:rsidRDefault="006D1A4B" w:rsidP="006D1A4B">
      <w:pPr>
        <w:jc w:val="both"/>
        <w:rPr>
          <w:color w:val="0070C0"/>
          <w:sz w:val="16"/>
          <w:szCs w:val="16"/>
        </w:rPr>
      </w:pPr>
      <w:r w:rsidRPr="001A0BAA">
        <w:rPr>
          <w:color w:val="0070C0"/>
          <w:sz w:val="16"/>
          <w:szCs w:val="16"/>
        </w:rPr>
        <w:t>В июне 1945 г. была окончательно закрыта программа Пе</w:t>
      </w:r>
      <w:r w:rsidRPr="001A0BAA">
        <w:rPr>
          <w:color w:val="0070C0"/>
          <w:sz w:val="16"/>
          <w:szCs w:val="16"/>
        </w:rPr>
        <w:noBreakHyphen/>
        <w:t>2М.</w:t>
      </w:r>
    </w:p>
    <w:p w14:paraId="7318EA37" w14:textId="77777777" w:rsidR="006D1A4B" w:rsidRPr="001A0BAA" w:rsidRDefault="006D1A4B" w:rsidP="006D1A4B">
      <w:pPr>
        <w:jc w:val="both"/>
        <w:rPr>
          <w:color w:val="0070C0"/>
          <w:sz w:val="16"/>
          <w:szCs w:val="16"/>
        </w:rPr>
      </w:pPr>
      <w:r w:rsidRPr="001A0BAA">
        <w:rPr>
          <w:color w:val="0070C0"/>
          <w:sz w:val="16"/>
          <w:szCs w:val="16"/>
        </w:rPr>
        <w:t>Пе</w:t>
      </w:r>
      <w:r w:rsidRPr="001A0BAA">
        <w:rPr>
          <w:color w:val="0070C0"/>
          <w:sz w:val="16"/>
          <w:szCs w:val="16"/>
        </w:rPr>
        <w:noBreakHyphen/>
        <w:t>2М представлял собой трехместный скоростной бомбардировщик, который получился в результате радикального пересмотра конструкции Пе</w:t>
      </w:r>
      <w:r w:rsidRPr="001A0BAA">
        <w:rPr>
          <w:color w:val="0070C0"/>
          <w:sz w:val="16"/>
          <w:szCs w:val="16"/>
        </w:rPr>
        <w:noBreakHyphen/>
        <w:t>2 359</w:t>
      </w:r>
      <w:r w:rsidRPr="001A0BAA">
        <w:rPr>
          <w:color w:val="0070C0"/>
          <w:sz w:val="16"/>
          <w:szCs w:val="16"/>
        </w:rPr>
        <w:noBreakHyphen/>
        <w:t>й производственной серии. Самолет стал значительно более «чистым» аэродинамически. Конструкторы постарались в максимальной степени учесть рекомендации специалистов ЦАГИ по результатам натурных продувок серийного Пе</w:t>
      </w:r>
      <w:r w:rsidRPr="001A0BAA">
        <w:rPr>
          <w:color w:val="0070C0"/>
          <w:sz w:val="16"/>
          <w:szCs w:val="16"/>
        </w:rPr>
        <w:noBreakHyphen/>
        <w:t>2. На Пе</w:t>
      </w:r>
      <w:r w:rsidRPr="001A0BAA">
        <w:rPr>
          <w:color w:val="0070C0"/>
          <w:sz w:val="16"/>
          <w:szCs w:val="16"/>
        </w:rPr>
        <w:noBreakHyphen/>
        <w:t>2М установили два двигателя ВК</w:t>
      </w:r>
      <w:r w:rsidRPr="001A0BAA">
        <w:rPr>
          <w:color w:val="0070C0"/>
          <w:sz w:val="16"/>
          <w:szCs w:val="16"/>
        </w:rPr>
        <w:noBreakHyphen/>
        <w:t>107А мощностью по 1650 л.с.</w:t>
      </w:r>
    </w:p>
    <w:p w14:paraId="1DDE22BD" w14:textId="77777777" w:rsidR="006D1A4B" w:rsidRPr="001A0BAA" w:rsidRDefault="006D1A4B" w:rsidP="006D1A4B">
      <w:pPr>
        <w:jc w:val="both"/>
        <w:rPr>
          <w:color w:val="0070C0"/>
          <w:sz w:val="16"/>
          <w:szCs w:val="16"/>
        </w:rPr>
      </w:pPr>
      <w:r w:rsidRPr="001A0BAA">
        <w:rPr>
          <w:color w:val="0070C0"/>
          <w:sz w:val="16"/>
          <w:szCs w:val="16"/>
        </w:rPr>
        <w:t>Размах крыла Пе</w:t>
      </w:r>
      <w:r w:rsidRPr="001A0BAA">
        <w:rPr>
          <w:color w:val="0070C0"/>
          <w:sz w:val="16"/>
          <w:szCs w:val="16"/>
        </w:rPr>
        <w:noBreakHyphen/>
        <w:t xml:space="preserve">2М – 17,99 м, длина самолета – 13,57 м, площадь крыла – 43,5 м², масса пустого – 7458 кг, взлетная масса </w:t>
      </w:r>
      <w:r w:rsidRPr="001A0BAA">
        <w:rPr>
          <w:color w:val="0070C0"/>
          <w:sz w:val="16"/>
          <w:szCs w:val="16"/>
        </w:rPr>
        <w:noBreakHyphen/>
        <w:t>10 170 кг.</w:t>
      </w:r>
    </w:p>
    <w:p w14:paraId="6DE76FB8" w14:textId="77777777" w:rsidR="006D1A4B" w:rsidRPr="001A0BAA" w:rsidRDefault="006D1A4B" w:rsidP="006D1A4B">
      <w:pPr>
        <w:jc w:val="both"/>
        <w:rPr>
          <w:color w:val="0070C0"/>
          <w:sz w:val="16"/>
          <w:szCs w:val="16"/>
        </w:rPr>
      </w:pPr>
      <w:r w:rsidRPr="001A0BAA">
        <w:rPr>
          <w:color w:val="0070C0"/>
          <w:sz w:val="16"/>
          <w:szCs w:val="16"/>
        </w:rPr>
        <w:t>Прототип Пе</w:t>
      </w:r>
      <w:r w:rsidRPr="001A0BAA">
        <w:rPr>
          <w:color w:val="0070C0"/>
          <w:sz w:val="16"/>
          <w:szCs w:val="16"/>
        </w:rPr>
        <w:noBreakHyphen/>
        <w:t>2М изготовили в сентябре 1944 г. В ходе летных испытания самолет показал на высоте 5500 м максимальную скорость 630 км/ч, на 110 км/ч больше, чем Пе</w:t>
      </w:r>
      <w:r w:rsidRPr="001A0BAA">
        <w:rPr>
          <w:color w:val="0070C0"/>
          <w:sz w:val="16"/>
          <w:szCs w:val="16"/>
        </w:rPr>
        <w:noBreakHyphen/>
        <w:t>2 359</w:t>
      </w:r>
      <w:r w:rsidRPr="001A0BAA">
        <w:rPr>
          <w:color w:val="0070C0"/>
          <w:sz w:val="16"/>
          <w:szCs w:val="16"/>
        </w:rPr>
        <w:noBreakHyphen/>
        <w:t>й серии. Дальность полета составила 2050 км. Вооружение Пе</w:t>
      </w:r>
      <w:r w:rsidRPr="001A0BAA">
        <w:rPr>
          <w:color w:val="0070C0"/>
          <w:sz w:val="16"/>
          <w:szCs w:val="16"/>
        </w:rPr>
        <w:noBreakHyphen/>
        <w:t>2М включало три 20</w:t>
      </w:r>
      <w:r w:rsidRPr="001A0BAA">
        <w:rPr>
          <w:color w:val="0070C0"/>
          <w:sz w:val="16"/>
          <w:szCs w:val="16"/>
        </w:rPr>
        <w:noBreakHyphen/>
        <w:t>мм автоматических пушки Б</w:t>
      </w:r>
      <w:r w:rsidRPr="001A0BAA">
        <w:rPr>
          <w:color w:val="0070C0"/>
          <w:sz w:val="16"/>
          <w:szCs w:val="16"/>
        </w:rPr>
        <w:noBreakHyphen/>
        <w:t>20 конструкции Березина с боекомплектом по 520 снарядов на ствол. Одна пушка стояла в носовой части фюзеляжа, одна – на турели штурмана и одна – на турели стрелка</w:t>
      </w:r>
      <w:r w:rsidRPr="001A0BAA">
        <w:rPr>
          <w:color w:val="0070C0"/>
          <w:sz w:val="16"/>
          <w:szCs w:val="16"/>
        </w:rPr>
        <w:noBreakHyphen/>
        <w:t>радиста. В увеличенном внутреннем отсеке можно было разместить бомбовую нагрузку массой до 2000 кг.</w:t>
      </w:r>
    </w:p>
    <w:p w14:paraId="62B5D57C" w14:textId="77777777" w:rsidR="006D1A4B" w:rsidRPr="001A0BAA" w:rsidRDefault="006D1A4B" w:rsidP="006D1A4B">
      <w:pPr>
        <w:jc w:val="both"/>
        <w:rPr>
          <w:color w:val="0070C0"/>
          <w:sz w:val="16"/>
          <w:szCs w:val="16"/>
        </w:rPr>
      </w:pPr>
      <w:r w:rsidRPr="001A0BAA">
        <w:rPr>
          <w:color w:val="0070C0"/>
          <w:sz w:val="16"/>
          <w:szCs w:val="16"/>
        </w:rPr>
        <w:t>Летные характеристики Пе</w:t>
      </w:r>
      <w:r w:rsidRPr="001A0BAA">
        <w:rPr>
          <w:color w:val="0070C0"/>
          <w:sz w:val="16"/>
          <w:szCs w:val="16"/>
        </w:rPr>
        <w:noBreakHyphen/>
        <w:t>2М снимались в ходе заводских испытаний. На Государственных испытания в НИИ ВВС военные обнаружили у самолета массу дефектов. в первую очередь нарекания вызывала ненадежная работа двигателей ВК</w:t>
      </w:r>
      <w:r w:rsidRPr="001A0BAA">
        <w:rPr>
          <w:color w:val="0070C0"/>
          <w:sz w:val="16"/>
          <w:szCs w:val="16"/>
        </w:rPr>
        <w:noBreakHyphen/>
        <w:t xml:space="preserve">107А (25072). </w:t>
      </w:r>
    </w:p>
    <w:p w14:paraId="74CBE8C2" w14:textId="77777777" w:rsidR="006D1A4B" w:rsidRPr="001A0BAA" w:rsidRDefault="006D1A4B" w:rsidP="006D1A4B">
      <w:pPr>
        <w:jc w:val="both"/>
        <w:rPr>
          <w:color w:val="0070C0"/>
          <w:sz w:val="16"/>
          <w:szCs w:val="16"/>
        </w:rPr>
      </w:pPr>
    </w:p>
    <w:p w14:paraId="5F0F5D5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 июне 1945 г. в соответствии с постановлением ГКО завод № 22 прекратил выпуск боевых вариантов Пе-2 и полностью перешел на производство УПе-2, начиная с машины № 5/492 (4476).</w:t>
      </w:r>
    </w:p>
    <w:p w14:paraId="6B7DA308" w14:textId="77777777" w:rsidR="006103B3" w:rsidRPr="00925F26" w:rsidRDefault="006103B3" w:rsidP="00925F26">
      <w:pPr>
        <w:autoSpaceDE w:val="0"/>
        <w:autoSpaceDN w:val="0"/>
        <w:adjustRightInd w:val="0"/>
        <w:jc w:val="both"/>
        <w:rPr>
          <w:color w:val="000000" w:themeColor="text1"/>
          <w:sz w:val="16"/>
          <w:szCs w:val="16"/>
        </w:rPr>
      </w:pPr>
    </w:p>
    <w:p w14:paraId="4DE459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последовало решение о прекращении всех работ по боевым вариантам Пе-2 и их серийного производства. Завод № 22 с 492-й серии продолжал выпускать только учебные УПе-2. Их производство продолжалось до декабря 1945 г. За год изготовили 1634 "пешки", в том числе 232 после войны. Всего за 1940-1945 гг. по официальным данным было выпущено 11070 бомбардировщиков, разведчиков и учебных Пе-2, из которых ВВС приняли 10574 самолета, в том числе пять Пе-2И. Из этого количества основную долю - 10058 машин - построил завод № 22, 764 - завод № 39, 104 - завод № 124 и 144 - завод № 125 (3542).</w:t>
      </w:r>
    </w:p>
    <w:p w14:paraId="4C4962A1" w14:textId="77777777" w:rsidR="006103B3" w:rsidRPr="00925F26" w:rsidRDefault="006103B3" w:rsidP="00925F26">
      <w:pPr>
        <w:autoSpaceDE w:val="0"/>
        <w:autoSpaceDN w:val="0"/>
        <w:adjustRightInd w:val="0"/>
        <w:jc w:val="both"/>
        <w:rPr>
          <w:color w:val="000000" w:themeColor="text1"/>
          <w:sz w:val="16"/>
          <w:szCs w:val="16"/>
        </w:rPr>
      </w:pPr>
    </w:p>
    <w:p w14:paraId="365995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в соответствии с постановлением ГКО завод № 22 прекратил выпуск боевых вариантов Пе-2 и, начиная с машины № 5/492, полностью перешел на производство УПе-2.</w:t>
      </w:r>
    </w:p>
    <w:p w14:paraId="25B60B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Вплоть до конца 1944 г. машина выпускалась без изменений. Но улучшение ситуации на фронте позволило,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путем снятия протекторов бензобаков, переднего пулемета ШКАС с боезапасом и бронирования кабин экипажа. Следовало радикально улучшить обзор из кабины инструктора, сдвинув ее максимально вперед и заменив фанерный обтекатель основной кабины прозрачным плексигласовым. Планировалось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нашли отражение в тактико-технических требованиях к самолету УПе-2 на 1945 г. Самолет этой модификации предназначался не только для переучивания,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w:t>
      </w:r>
    </w:p>
    <w:p w14:paraId="53D1BFD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Однако НКАП и ОКО-22 не спешили удовлетворять требования военных. В итоге выпускавшийся серийно в 1945 г. УПе-2 отличался от машины № 10/231 только маркой моторов (ВК-105ПФ), индивидуальными выхлопными патрубками, измененной формой тоннелей водяных и маслорадиаторов, переносом мачты антенны на козырек фонаря кабины и рядом других изменений, характерных для боевых Пе-2 соответствующего периода. Правда, на нескольких УПе-2 сделали прозрачный обтекатель фонаря кабины летчика и штурмана, увеличили остекление в носовой части Ф-1 и сняли бронирование с места стрелка. Унаследованный от боевых Пе-2 атавизм - броня кресел пилота и штурмана, абсолютно ненужная на учебных машинах, сохранилась, как и протекторы бензобаков, система нейтрального газа и ряд других элементов.</w:t>
      </w:r>
    </w:p>
    <w:p w14:paraId="30B9931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августе 1945 г. в НИИ ВВС прошел испытания серийный самолет № 20/501 послевоенного выпуска. Полученные в ходе испытаний летные данные самолета № 20/501 почти не отличались от данных УПе-2 № 10/231: максимальная скорость у земли - 452 км/ч, на высоте 3900 м - 512 км/ч при нормальной полетной массе 7000-7200 кг в зависимости от численности экипажа. После проведения контрольных испытаний началось постепенное свертывание производства УПе-2, которое практически прекратилось к декабрю 1945 г., хотя самолеты УПе-2 еще долго летали в учебных частях вместе с УТБ, созданным на базе Ту-2. Всего построили 671 учебно-тре- нировочный Пе-2. На них прошли обучение 6000-7000 экипажей ближних бомбардировщиков, в определенной мере решивших судьбу войны (12042).</w:t>
      </w:r>
    </w:p>
    <w:p w14:paraId="5A4BC598" w14:textId="77777777" w:rsidR="006103B3" w:rsidRPr="00925F26" w:rsidRDefault="006103B3" w:rsidP="00925F26">
      <w:pPr>
        <w:autoSpaceDE w:val="0"/>
        <w:autoSpaceDN w:val="0"/>
        <w:adjustRightInd w:val="0"/>
        <w:jc w:val="both"/>
        <w:rPr>
          <w:color w:val="000000" w:themeColor="text1"/>
          <w:sz w:val="16"/>
          <w:szCs w:val="16"/>
        </w:rPr>
      </w:pPr>
    </w:p>
    <w:p w14:paraId="49CB64F1" w14:textId="77777777" w:rsidR="00FA1D24" w:rsidRPr="00925F26" w:rsidRDefault="00FA1D24" w:rsidP="00925F26">
      <w:pPr>
        <w:jc w:val="both"/>
        <w:rPr>
          <w:color w:val="000000" w:themeColor="text1"/>
          <w:sz w:val="16"/>
          <w:szCs w:val="16"/>
        </w:rPr>
      </w:pPr>
      <w:r w:rsidRPr="00925F26">
        <w:rPr>
          <w:color w:val="000000" w:themeColor="text1"/>
          <w:sz w:val="16"/>
          <w:szCs w:val="16"/>
        </w:rPr>
        <w:t>С июня 1945 г. завод № 22 прекратил выпуск самолетов Пе-2 в боевой модификации и с машины №5/492 производил только УПе-2.</w:t>
      </w:r>
    </w:p>
    <w:p w14:paraId="1AEC3B95" w14:textId="77777777" w:rsidR="00FA1D24" w:rsidRPr="00925F26" w:rsidRDefault="00FA1D24" w:rsidP="00925F26">
      <w:pPr>
        <w:jc w:val="both"/>
        <w:rPr>
          <w:color w:val="000000" w:themeColor="text1"/>
          <w:sz w:val="16"/>
          <w:szCs w:val="16"/>
        </w:rPr>
      </w:pPr>
      <w:r w:rsidRPr="00925F26">
        <w:rPr>
          <w:color w:val="000000" w:themeColor="text1"/>
          <w:sz w:val="16"/>
          <w:szCs w:val="16"/>
        </w:rPr>
        <w:t>В августе 1945 г. прошли КИ самолета 20/501, которые показали, что требования по улучшению самолета, выдвинутые ВВС (см. ниже) выполнены не были. В декабре 1945 г. производство УПе-2 было завершено. Всего был выпущен 671 самолет Пе-2УТ и УПе-2.</w:t>
      </w:r>
    </w:p>
    <w:p w14:paraId="73B68849" w14:textId="77777777" w:rsidR="00FA1D24" w:rsidRPr="00925F26" w:rsidRDefault="00FA1D24" w:rsidP="00925F26">
      <w:pPr>
        <w:jc w:val="both"/>
        <w:rPr>
          <w:color w:val="000000" w:themeColor="text1"/>
          <w:sz w:val="16"/>
          <w:szCs w:val="16"/>
        </w:rPr>
      </w:pPr>
      <w:r w:rsidRPr="00925F26">
        <w:rPr>
          <w:color w:val="000000" w:themeColor="text1"/>
          <w:sz w:val="16"/>
          <w:szCs w:val="16"/>
        </w:rPr>
        <w:t>Самолеты УПе-2 стали последними в семействе (23555).</w:t>
      </w:r>
    </w:p>
    <w:p w14:paraId="3C974B76" w14:textId="77777777" w:rsidR="00FA1D24" w:rsidRPr="00925F26" w:rsidRDefault="00FA1D24" w:rsidP="00925F26">
      <w:pPr>
        <w:jc w:val="both"/>
        <w:rPr>
          <w:color w:val="000000" w:themeColor="text1"/>
          <w:sz w:val="16"/>
          <w:szCs w:val="16"/>
        </w:rPr>
      </w:pPr>
    </w:p>
    <w:p w14:paraId="415EF471" w14:textId="77777777" w:rsidR="006D1A4B" w:rsidRPr="001A0BAA" w:rsidRDefault="006D1A4B" w:rsidP="006D1A4B">
      <w:pPr>
        <w:jc w:val="both"/>
        <w:rPr>
          <w:color w:val="0070C0"/>
          <w:sz w:val="16"/>
          <w:szCs w:val="16"/>
        </w:rPr>
      </w:pPr>
      <w:r w:rsidRPr="001A0BAA">
        <w:rPr>
          <w:color w:val="0070C0"/>
          <w:sz w:val="16"/>
          <w:szCs w:val="16"/>
        </w:rPr>
        <w:t>В июне 1945 г. последовало решение о прекращении всех работ по боевым вариантам Пе-2 и снятии их с произ</w:t>
      </w:r>
      <w:r w:rsidRPr="001A0BAA">
        <w:rPr>
          <w:color w:val="0070C0"/>
          <w:sz w:val="16"/>
          <w:szCs w:val="16"/>
        </w:rPr>
        <w:softHyphen/>
        <w:t xml:space="preserve">водства. Завод № 22 с 492-й серии выпускал только учебные УПе-2, их делали до декабря 1945 </w:t>
      </w:r>
      <w:proofErr w:type="gramStart"/>
      <w:r w:rsidRPr="001A0BAA">
        <w:rPr>
          <w:color w:val="0070C0"/>
          <w:sz w:val="16"/>
          <w:szCs w:val="16"/>
        </w:rPr>
        <w:t>г За</w:t>
      </w:r>
      <w:proofErr w:type="gramEnd"/>
      <w:r w:rsidRPr="001A0BAA">
        <w:rPr>
          <w:color w:val="0070C0"/>
          <w:sz w:val="16"/>
          <w:szCs w:val="16"/>
        </w:rPr>
        <w:t xml:space="preserve"> год изго</w:t>
      </w:r>
      <w:r w:rsidRPr="001A0BAA">
        <w:rPr>
          <w:color w:val="0070C0"/>
          <w:sz w:val="16"/>
          <w:szCs w:val="16"/>
        </w:rPr>
        <w:softHyphen/>
        <w:t>товили 1634 «Пешки», в том числе 232 после войны. Всего за 1940 - 1945 гг. по официальным данным выпустили 11 070 бомбардировщиков, разведчи</w:t>
      </w:r>
      <w:r w:rsidRPr="001A0BAA">
        <w:rPr>
          <w:color w:val="0070C0"/>
          <w:sz w:val="16"/>
          <w:szCs w:val="16"/>
        </w:rPr>
        <w:softHyphen/>
        <w:t>ков и учебных Пе-2, из которых ВВС приняли 10 574. Из этого количества 10 058 машин построил завод № 22, 764-№ 39, 104-№ 124и 144-№ 125.</w:t>
      </w:r>
    </w:p>
    <w:p w14:paraId="72D4634C" w14:textId="77777777" w:rsidR="006D1A4B" w:rsidRPr="001A0BAA" w:rsidRDefault="006D1A4B" w:rsidP="006D1A4B">
      <w:pPr>
        <w:jc w:val="both"/>
        <w:rPr>
          <w:color w:val="0070C0"/>
          <w:sz w:val="16"/>
          <w:szCs w:val="16"/>
        </w:rPr>
      </w:pPr>
      <w:r w:rsidRPr="001A0BAA">
        <w:rPr>
          <w:color w:val="0070C0"/>
          <w:sz w:val="16"/>
          <w:szCs w:val="16"/>
        </w:rPr>
        <w:t>Ни один советский бомбардировщик ни до, ни после Пе-2 не выпускался в таких количествах. Для сравнения ДБ-3 и Ил-4 всех модификаций изго</w:t>
      </w:r>
      <w:r w:rsidRPr="001A0BAA">
        <w:rPr>
          <w:color w:val="0070C0"/>
          <w:sz w:val="16"/>
          <w:szCs w:val="16"/>
        </w:rPr>
        <w:softHyphen/>
        <w:t>товили 6784, Ту-2 - всего 2527, при</w:t>
      </w:r>
      <w:r w:rsidRPr="001A0BAA">
        <w:rPr>
          <w:color w:val="0070C0"/>
          <w:sz w:val="16"/>
          <w:szCs w:val="16"/>
        </w:rPr>
        <w:softHyphen/>
        <w:t>чем большую часть последних - после войны</w:t>
      </w:r>
    </w:p>
    <w:tbl>
      <w:tblPr>
        <w:tblOverlap w:val="never"/>
        <w:tblW w:w="0" w:type="auto"/>
        <w:tblLayout w:type="fixed"/>
        <w:tblCellMar>
          <w:left w:w="10" w:type="dxa"/>
          <w:right w:w="10" w:type="dxa"/>
        </w:tblCellMar>
        <w:tblLook w:val="04A0" w:firstRow="1" w:lastRow="0" w:firstColumn="1" w:lastColumn="0" w:noHBand="0" w:noVBand="1"/>
      </w:tblPr>
      <w:tblGrid>
        <w:gridCol w:w="1224"/>
        <w:gridCol w:w="979"/>
        <w:gridCol w:w="979"/>
        <w:gridCol w:w="970"/>
        <w:gridCol w:w="970"/>
        <w:gridCol w:w="974"/>
        <w:gridCol w:w="984"/>
      </w:tblGrid>
      <w:tr w:rsidR="006D1A4B" w:rsidRPr="001A0BAA" w14:paraId="61E96E08" w14:textId="77777777" w:rsidTr="00B56A2A">
        <w:trPr>
          <w:trHeight w:hRule="exact" w:val="480"/>
          <w:tblHeader/>
        </w:trPr>
        <w:tc>
          <w:tcPr>
            <w:tcW w:w="7080" w:type="dxa"/>
            <w:gridSpan w:val="7"/>
            <w:tcBorders>
              <w:top w:val="single" w:sz="4" w:space="0" w:color="auto"/>
              <w:left w:val="single" w:sz="4" w:space="0" w:color="auto"/>
              <w:right w:val="single" w:sz="4" w:space="0" w:color="auto"/>
            </w:tcBorders>
            <w:shd w:val="clear" w:color="auto" w:fill="FFFFFF"/>
            <w:vAlign w:val="center"/>
          </w:tcPr>
          <w:p w14:paraId="58F2490D"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Выпуск самолетов Пе-2 (по данным Г.В. Костырченко)</w:t>
            </w:r>
          </w:p>
        </w:tc>
      </w:tr>
      <w:tr w:rsidR="006D1A4B" w:rsidRPr="001A0BAA" w14:paraId="538DAB29" w14:textId="77777777" w:rsidTr="00B56A2A">
        <w:trPr>
          <w:trHeight w:hRule="exact" w:val="331"/>
        </w:trPr>
        <w:tc>
          <w:tcPr>
            <w:tcW w:w="1224" w:type="dxa"/>
            <w:tcBorders>
              <w:top w:val="single" w:sz="4" w:space="0" w:color="auto"/>
              <w:left w:val="single" w:sz="4" w:space="0" w:color="auto"/>
            </w:tcBorders>
            <w:shd w:val="clear" w:color="auto" w:fill="FFFFFF"/>
          </w:tcPr>
          <w:p w14:paraId="532F21D7" w14:textId="77777777" w:rsidR="006D1A4B" w:rsidRPr="001A0BAA" w:rsidRDefault="006D1A4B" w:rsidP="00B56A2A">
            <w:pPr>
              <w:jc w:val="both"/>
              <w:rPr>
                <w:color w:val="0070C0"/>
                <w:sz w:val="16"/>
                <w:szCs w:val="16"/>
              </w:rPr>
            </w:pPr>
          </w:p>
        </w:tc>
        <w:tc>
          <w:tcPr>
            <w:tcW w:w="979" w:type="dxa"/>
            <w:tcBorders>
              <w:top w:val="single" w:sz="4" w:space="0" w:color="auto"/>
              <w:left w:val="single" w:sz="4" w:space="0" w:color="auto"/>
            </w:tcBorders>
            <w:shd w:val="clear" w:color="auto" w:fill="FFFFFF"/>
            <w:vAlign w:val="center"/>
          </w:tcPr>
          <w:p w14:paraId="52321563"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I940</w:t>
            </w:r>
          </w:p>
        </w:tc>
        <w:tc>
          <w:tcPr>
            <w:tcW w:w="979" w:type="dxa"/>
            <w:tcBorders>
              <w:top w:val="single" w:sz="4" w:space="0" w:color="auto"/>
              <w:left w:val="single" w:sz="4" w:space="0" w:color="auto"/>
            </w:tcBorders>
            <w:shd w:val="clear" w:color="auto" w:fill="FFFFFF"/>
            <w:vAlign w:val="center"/>
          </w:tcPr>
          <w:p w14:paraId="666B6076"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I941</w:t>
            </w:r>
          </w:p>
        </w:tc>
        <w:tc>
          <w:tcPr>
            <w:tcW w:w="970" w:type="dxa"/>
            <w:tcBorders>
              <w:top w:val="single" w:sz="4" w:space="0" w:color="auto"/>
              <w:left w:val="single" w:sz="4" w:space="0" w:color="auto"/>
            </w:tcBorders>
            <w:shd w:val="clear" w:color="auto" w:fill="FFFFFF"/>
            <w:vAlign w:val="center"/>
          </w:tcPr>
          <w:p w14:paraId="4060857B"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1942</w:t>
            </w:r>
          </w:p>
        </w:tc>
        <w:tc>
          <w:tcPr>
            <w:tcW w:w="970" w:type="dxa"/>
            <w:tcBorders>
              <w:top w:val="single" w:sz="4" w:space="0" w:color="auto"/>
              <w:left w:val="single" w:sz="4" w:space="0" w:color="auto"/>
            </w:tcBorders>
            <w:shd w:val="clear" w:color="auto" w:fill="FFFFFF"/>
            <w:vAlign w:val="center"/>
          </w:tcPr>
          <w:p w14:paraId="51ED87C4"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1943</w:t>
            </w:r>
          </w:p>
        </w:tc>
        <w:tc>
          <w:tcPr>
            <w:tcW w:w="974" w:type="dxa"/>
            <w:tcBorders>
              <w:top w:val="single" w:sz="4" w:space="0" w:color="auto"/>
              <w:left w:val="single" w:sz="4" w:space="0" w:color="auto"/>
            </w:tcBorders>
            <w:shd w:val="clear" w:color="auto" w:fill="FFFFFF"/>
            <w:vAlign w:val="center"/>
          </w:tcPr>
          <w:p w14:paraId="207E3A01"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1944</w:t>
            </w:r>
          </w:p>
        </w:tc>
        <w:tc>
          <w:tcPr>
            <w:tcW w:w="984" w:type="dxa"/>
            <w:tcBorders>
              <w:top w:val="single" w:sz="4" w:space="0" w:color="auto"/>
              <w:left w:val="single" w:sz="4" w:space="0" w:color="auto"/>
              <w:right w:val="single" w:sz="4" w:space="0" w:color="auto"/>
            </w:tcBorders>
            <w:shd w:val="clear" w:color="auto" w:fill="FFFFFF"/>
            <w:vAlign w:val="center"/>
          </w:tcPr>
          <w:p w14:paraId="2583FD00"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1945</w:t>
            </w:r>
          </w:p>
        </w:tc>
      </w:tr>
      <w:tr w:rsidR="006D1A4B" w:rsidRPr="001A0BAA" w14:paraId="1211506F" w14:textId="77777777" w:rsidTr="00B56A2A">
        <w:trPr>
          <w:trHeight w:hRule="exact" w:val="278"/>
        </w:trPr>
        <w:tc>
          <w:tcPr>
            <w:tcW w:w="1224" w:type="dxa"/>
            <w:tcBorders>
              <w:top w:val="single" w:sz="4" w:space="0" w:color="auto"/>
              <w:left w:val="single" w:sz="4" w:space="0" w:color="auto"/>
            </w:tcBorders>
            <w:shd w:val="clear" w:color="auto" w:fill="FFFFFF"/>
            <w:vAlign w:val="center"/>
          </w:tcPr>
          <w:p w14:paraId="7CEC2CA4"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Завод № 22</w:t>
            </w:r>
          </w:p>
        </w:tc>
        <w:tc>
          <w:tcPr>
            <w:tcW w:w="979" w:type="dxa"/>
            <w:tcBorders>
              <w:top w:val="single" w:sz="4" w:space="0" w:color="auto"/>
              <w:left w:val="single" w:sz="4" w:space="0" w:color="auto"/>
            </w:tcBorders>
            <w:shd w:val="clear" w:color="auto" w:fill="FFFFFF"/>
            <w:vAlign w:val="center"/>
          </w:tcPr>
          <w:p w14:paraId="0B798D3D"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9" w:type="dxa"/>
            <w:tcBorders>
              <w:top w:val="single" w:sz="4" w:space="0" w:color="auto"/>
              <w:left w:val="single" w:sz="4" w:space="0" w:color="auto"/>
            </w:tcBorders>
            <w:shd w:val="clear" w:color="auto" w:fill="FFFFFF"/>
            <w:vAlign w:val="center"/>
          </w:tcPr>
          <w:p w14:paraId="512C01CD"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1120</w:t>
            </w:r>
          </w:p>
        </w:tc>
        <w:tc>
          <w:tcPr>
            <w:tcW w:w="970" w:type="dxa"/>
            <w:tcBorders>
              <w:top w:val="single" w:sz="4" w:space="0" w:color="auto"/>
              <w:left w:val="single" w:sz="4" w:space="0" w:color="auto"/>
            </w:tcBorders>
            <w:shd w:val="clear" w:color="auto" w:fill="FFFFFF"/>
            <w:vAlign w:val="center"/>
          </w:tcPr>
          <w:p w14:paraId="204DE87F"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1937</w:t>
            </w:r>
          </w:p>
        </w:tc>
        <w:tc>
          <w:tcPr>
            <w:tcW w:w="970" w:type="dxa"/>
            <w:tcBorders>
              <w:top w:val="single" w:sz="4" w:space="0" w:color="auto"/>
              <w:left w:val="single" w:sz="4" w:space="0" w:color="auto"/>
            </w:tcBorders>
            <w:shd w:val="clear" w:color="auto" w:fill="FFFFFF"/>
            <w:vAlign w:val="center"/>
          </w:tcPr>
          <w:p w14:paraId="67DD0D80"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2423</w:t>
            </w:r>
          </w:p>
        </w:tc>
        <w:tc>
          <w:tcPr>
            <w:tcW w:w="974" w:type="dxa"/>
            <w:tcBorders>
              <w:top w:val="single" w:sz="4" w:space="0" w:color="auto"/>
              <w:left w:val="single" w:sz="4" w:space="0" w:color="auto"/>
            </w:tcBorders>
            <w:shd w:val="clear" w:color="auto" w:fill="FFFFFF"/>
            <w:vAlign w:val="center"/>
          </w:tcPr>
          <w:p w14:paraId="265BDEA3"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2944</w:t>
            </w:r>
          </w:p>
        </w:tc>
        <w:tc>
          <w:tcPr>
            <w:tcW w:w="984" w:type="dxa"/>
            <w:tcBorders>
              <w:top w:val="single" w:sz="4" w:space="0" w:color="auto"/>
              <w:left w:val="single" w:sz="4" w:space="0" w:color="auto"/>
              <w:right w:val="single" w:sz="4" w:space="0" w:color="auto"/>
            </w:tcBorders>
            <w:shd w:val="clear" w:color="auto" w:fill="FFFFFF"/>
            <w:vAlign w:val="center"/>
          </w:tcPr>
          <w:p w14:paraId="2D78E5B6"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1634</w:t>
            </w:r>
          </w:p>
        </w:tc>
      </w:tr>
      <w:tr w:rsidR="006D1A4B" w:rsidRPr="001A0BAA" w14:paraId="1380F54B" w14:textId="77777777" w:rsidTr="00B56A2A">
        <w:trPr>
          <w:trHeight w:hRule="exact" w:val="278"/>
        </w:trPr>
        <w:tc>
          <w:tcPr>
            <w:tcW w:w="1224" w:type="dxa"/>
            <w:tcBorders>
              <w:top w:val="single" w:sz="4" w:space="0" w:color="auto"/>
              <w:left w:val="single" w:sz="4" w:space="0" w:color="auto"/>
            </w:tcBorders>
            <w:shd w:val="clear" w:color="auto" w:fill="FFFFFF"/>
            <w:vAlign w:val="center"/>
          </w:tcPr>
          <w:p w14:paraId="3D477995"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Завод № 39</w:t>
            </w:r>
          </w:p>
        </w:tc>
        <w:tc>
          <w:tcPr>
            <w:tcW w:w="979" w:type="dxa"/>
            <w:tcBorders>
              <w:top w:val="single" w:sz="4" w:space="0" w:color="auto"/>
              <w:left w:val="single" w:sz="4" w:space="0" w:color="auto"/>
            </w:tcBorders>
            <w:shd w:val="clear" w:color="auto" w:fill="FFFFFF"/>
            <w:vAlign w:val="center"/>
          </w:tcPr>
          <w:p w14:paraId="7A101900"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I</w:t>
            </w:r>
          </w:p>
        </w:tc>
        <w:tc>
          <w:tcPr>
            <w:tcW w:w="979" w:type="dxa"/>
            <w:tcBorders>
              <w:top w:val="single" w:sz="4" w:space="0" w:color="auto"/>
              <w:left w:val="single" w:sz="4" w:space="0" w:color="auto"/>
            </w:tcBorders>
            <w:shd w:val="clear" w:color="auto" w:fill="FFFFFF"/>
            <w:vAlign w:val="center"/>
          </w:tcPr>
          <w:p w14:paraId="569C06F7"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303</w:t>
            </w:r>
          </w:p>
        </w:tc>
        <w:tc>
          <w:tcPr>
            <w:tcW w:w="970" w:type="dxa"/>
            <w:tcBorders>
              <w:top w:val="single" w:sz="4" w:space="0" w:color="auto"/>
              <w:left w:val="single" w:sz="4" w:space="0" w:color="auto"/>
            </w:tcBorders>
            <w:shd w:val="clear" w:color="auto" w:fill="FFFFFF"/>
            <w:vAlign w:val="center"/>
          </w:tcPr>
          <w:p w14:paraId="3AC41636"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587</w:t>
            </w:r>
          </w:p>
        </w:tc>
        <w:tc>
          <w:tcPr>
            <w:tcW w:w="970" w:type="dxa"/>
            <w:tcBorders>
              <w:top w:val="single" w:sz="4" w:space="0" w:color="auto"/>
              <w:left w:val="single" w:sz="4" w:space="0" w:color="auto"/>
            </w:tcBorders>
            <w:shd w:val="clear" w:color="auto" w:fill="FFFFFF"/>
            <w:vAlign w:val="center"/>
          </w:tcPr>
          <w:p w14:paraId="0F94DF5A"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w:t>
            </w:r>
          </w:p>
        </w:tc>
        <w:tc>
          <w:tcPr>
            <w:tcW w:w="974" w:type="dxa"/>
            <w:tcBorders>
              <w:top w:val="single" w:sz="4" w:space="0" w:color="auto"/>
              <w:left w:val="single" w:sz="4" w:space="0" w:color="auto"/>
            </w:tcBorders>
            <w:shd w:val="clear" w:color="auto" w:fill="FFFFFF"/>
            <w:vAlign w:val="center"/>
          </w:tcPr>
          <w:p w14:paraId="5D4928FB"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84" w:type="dxa"/>
            <w:tcBorders>
              <w:top w:val="single" w:sz="4" w:space="0" w:color="auto"/>
              <w:left w:val="single" w:sz="4" w:space="0" w:color="auto"/>
              <w:right w:val="single" w:sz="4" w:space="0" w:color="auto"/>
            </w:tcBorders>
            <w:shd w:val="clear" w:color="auto" w:fill="FFFFFF"/>
            <w:vAlign w:val="center"/>
          </w:tcPr>
          <w:p w14:paraId="5AB6023E"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r>
      <w:tr w:rsidR="006D1A4B" w:rsidRPr="001A0BAA" w14:paraId="21611341" w14:textId="77777777" w:rsidTr="00B56A2A">
        <w:trPr>
          <w:trHeight w:hRule="exact" w:val="278"/>
        </w:trPr>
        <w:tc>
          <w:tcPr>
            <w:tcW w:w="1224" w:type="dxa"/>
            <w:tcBorders>
              <w:top w:val="single" w:sz="4" w:space="0" w:color="auto"/>
              <w:left w:val="single" w:sz="4" w:space="0" w:color="auto"/>
            </w:tcBorders>
            <w:shd w:val="clear" w:color="auto" w:fill="FFFFFF"/>
            <w:vAlign w:val="center"/>
          </w:tcPr>
          <w:p w14:paraId="554EFFE2"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Завод № 124</w:t>
            </w:r>
          </w:p>
        </w:tc>
        <w:tc>
          <w:tcPr>
            <w:tcW w:w="979" w:type="dxa"/>
            <w:tcBorders>
              <w:top w:val="single" w:sz="4" w:space="0" w:color="auto"/>
              <w:left w:val="single" w:sz="4" w:space="0" w:color="auto"/>
            </w:tcBorders>
            <w:shd w:val="clear" w:color="auto" w:fill="FFFFFF"/>
            <w:vAlign w:val="center"/>
          </w:tcPr>
          <w:p w14:paraId="52BB5F6F"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9" w:type="dxa"/>
            <w:tcBorders>
              <w:top w:val="single" w:sz="4" w:space="0" w:color="auto"/>
              <w:left w:val="single" w:sz="4" w:space="0" w:color="auto"/>
            </w:tcBorders>
            <w:shd w:val="clear" w:color="auto" w:fill="FFFFFF"/>
            <w:vAlign w:val="center"/>
          </w:tcPr>
          <w:p w14:paraId="79491976"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104</w:t>
            </w:r>
          </w:p>
        </w:tc>
        <w:tc>
          <w:tcPr>
            <w:tcW w:w="970" w:type="dxa"/>
            <w:tcBorders>
              <w:top w:val="single" w:sz="4" w:space="0" w:color="auto"/>
              <w:left w:val="single" w:sz="4" w:space="0" w:color="auto"/>
            </w:tcBorders>
            <w:shd w:val="clear" w:color="auto" w:fill="FFFFFF"/>
            <w:vAlign w:val="center"/>
          </w:tcPr>
          <w:p w14:paraId="0462B28A"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0" w:type="dxa"/>
            <w:tcBorders>
              <w:top w:val="single" w:sz="4" w:space="0" w:color="auto"/>
              <w:left w:val="single" w:sz="4" w:space="0" w:color="auto"/>
            </w:tcBorders>
            <w:shd w:val="clear" w:color="auto" w:fill="FFFFFF"/>
            <w:vAlign w:val="center"/>
          </w:tcPr>
          <w:p w14:paraId="5968168C"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4" w:type="dxa"/>
            <w:tcBorders>
              <w:top w:val="single" w:sz="4" w:space="0" w:color="auto"/>
              <w:left w:val="single" w:sz="4" w:space="0" w:color="auto"/>
            </w:tcBorders>
            <w:shd w:val="clear" w:color="auto" w:fill="FFFFFF"/>
            <w:vAlign w:val="center"/>
          </w:tcPr>
          <w:p w14:paraId="0935DE77"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84" w:type="dxa"/>
            <w:tcBorders>
              <w:top w:val="single" w:sz="4" w:space="0" w:color="auto"/>
              <w:left w:val="single" w:sz="4" w:space="0" w:color="auto"/>
              <w:right w:val="single" w:sz="4" w:space="0" w:color="auto"/>
            </w:tcBorders>
            <w:shd w:val="clear" w:color="auto" w:fill="FFFFFF"/>
            <w:vAlign w:val="center"/>
          </w:tcPr>
          <w:p w14:paraId="72A43A64"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r>
      <w:tr w:rsidR="006D1A4B" w:rsidRPr="001A0BAA" w14:paraId="6A9B8F10" w14:textId="77777777" w:rsidTr="00B56A2A">
        <w:trPr>
          <w:trHeight w:hRule="exact" w:val="298"/>
        </w:trPr>
        <w:tc>
          <w:tcPr>
            <w:tcW w:w="1224" w:type="dxa"/>
            <w:tcBorders>
              <w:top w:val="single" w:sz="4" w:space="0" w:color="auto"/>
              <w:left w:val="single" w:sz="4" w:space="0" w:color="auto"/>
              <w:bottom w:val="single" w:sz="4" w:space="0" w:color="auto"/>
            </w:tcBorders>
            <w:shd w:val="clear" w:color="auto" w:fill="FFFFFF"/>
            <w:vAlign w:val="center"/>
          </w:tcPr>
          <w:p w14:paraId="242C6115"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Завод № 125</w:t>
            </w:r>
          </w:p>
        </w:tc>
        <w:tc>
          <w:tcPr>
            <w:tcW w:w="979" w:type="dxa"/>
            <w:tcBorders>
              <w:top w:val="single" w:sz="4" w:space="0" w:color="auto"/>
              <w:left w:val="single" w:sz="4" w:space="0" w:color="auto"/>
              <w:bottom w:val="single" w:sz="4" w:space="0" w:color="auto"/>
            </w:tcBorders>
            <w:shd w:val="clear" w:color="auto" w:fill="FFFFFF"/>
            <w:vAlign w:val="center"/>
          </w:tcPr>
          <w:p w14:paraId="55952C82"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9" w:type="dxa"/>
            <w:tcBorders>
              <w:top w:val="single" w:sz="4" w:space="0" w:color="auto"/>
              <w:left w:val="single" w:sz="4" w:space="0" w:color="auto"/>
              <w:bottom w:val="single" w:sz="4" w:space="0" w:color="auto"/>
            </w:tcBorders>
            <w:shd w:val="clear" w:color="auto" w:fill="FFFFFF"/>
            <w:vAlign w:val="center"/>
          </w:tcPr>
          <w:p w14:paraId="56D954D0"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144</w:t>
            </w:r>
          </w:p>
        </w:tc>
        <w:tc>
          <w:tcPr>
            <w:tcW w:w="970" w:type="dxa"/>
            <w:tcBorders>
              <w:top w:val="single" w:sz="4" w:space="0" w:color="auto"/>
              <w:left w:val="single" w:sz="4" w:space="0" w:color="auto"/>
              <w:bottom w:val="single" w:sz="4" w:space="0" w:color="auto"/>
            </w:tcBorders>
            <w:shd w:val="clear" w:color="auto" w:fill="FFFFFF"/>
            <w:vAlign w:val="center"/>
          </w:tcPr>
          <w:p w14:paraId="6A978461"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0" w:type="dxa"/>
            <w:tcBorders>
              <w:top w:val="single" w:sz="4" w:space="0" w:color="auto"/>
              <w:left w:val="single" w:sz="4" w:space="0" w:color="auto"/>
              <w:bottom w:val="single" w:sz="4" w:space="0" w:color="auto"/>
            </w:tcBorders>
            <w:shd w:val="clear" w:color="auto" w:fill="FFFFFF"/>
            <w:vAlign w:val="center"/>
          </w:tcPr>
          <w:p w14:paraId="51BE6EC1"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74" w:type="dxa"/>
            <w:tcBorders>
              <w:top w:val="single" w:sz="4" w:space="0" w:color="auto"/>
              <w:left w:val="single" w:sz="4" w:space="0" w:color="auto"/>
              <w:bottom w:val="single" w:sz="4" w:space="0" w:color="auto"/>
            </w:tcBorders>
            <w:shd w:val="clear" w:color="auto" w:fill="FFFFFF"/>
            <w:vAlign w:val="center"/>
          </w:tcPr>
          <w:p w14:paraId="11ABC313"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984" w:type="dxa"/>
            <w:tcBorders>
              <w:top w:val="single" w:sz="4" w:space="0" w:color="auto"/>
              <w:left w:val="single" w:sz="4" w:space="0" w:color="auto"/>
              <w:bottom w:val="single" w:sz="4" w:space="0" w:color="auto"/>
              <w:right w:val="single" w:sz="4" w:space="0" w:color="auto"/>
            </w:tcBorders>
            <w:shd w:val="clear" w:color="auto" w:fill="FFFFFF"/>
            <w:vAlign w:val="center"/>
          </w:tcPr>
          <w:p w14:paraId="05676508" w14:textId="77777777" w:rsidR="006D1A4B" w:rsidRPr="001A0BAA" w:rsidRDefault="006D1A4B" w:rsidP="00B56A2A">
            <w:pPr>
              <w:pStyle w:val="afff8"/>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r>
    </w:tbl>
    <w:p w14:paraId="6CCC4AA0" w14:textId="77777777" w:rsidR="006D1A4B" w:rsidRPr="001A0BAA" w:rsidRDefault="006D1A4B" w:rsidP="006D1A4B">
      <w:pPr>
        <w:jc w:val="both"/>
        <w:rPr>
          <w:color w:val="0070C0"/>
          <w:sz w:val="16"/>
          <w:szCs w:val="16"/>
        </w:rPr>
      </w:pPr>
      <w:r w:rsidRPr="001A0BAA">
        <w:rPr>
          <w:color w:val="0070C0"/>
          <w:sz w:val="16"/>
          <w:szCs w:val="16"/>
        </w:rPr>
        <w:t>(24934).</w:t>
      </w:r>
    </w:p>
    <w:p w14:paraId="7457D8F4" w14:textId="77777777" w:rsidR="006D1A4B" w:rsidRPr="001A0BAA" w:rsidRDefault="006D1A4B" w:rsidP="006D1A4B">
      <w:pPr>
        <w:jc w:val="both"/>
        <w:rPr>
          <w:color w:val="0070C0"/>
          <w:sz w:val="16"/>
          <w:szCs w:val="16"/>
        </w:rPr>
      </w:pPr>
    </w:p>
    <w:p w14:paraId="27E850EE" w14:textId="5B0CDB0C"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И.В.С. закрыл работы А.Н.Т. по проектам 64 и В.М.М. ДВБ-302 (1645,47).</w:t>
      </w:r>
    </w:p>
    <w:p w14:paraId="167585D7" w14:textId="77777777" w:rsidR="006103B3" w:rsidRPr="00925F26" w:rsidRDefault="006103B3" w:rsidP="00925F26">
      <w:pPr>
        <w:autoSpaceDE w:val="0"/>
        <w:autoSpaceDN w:val="0"/>
        <w:adjustRightInd w:val="0"/>
        <w:jc w:val="both"/>
        <w:rPr>
          <w:color w:val="000000" w:themeColor="text1"/>
          <w:sz w:val="16"/>
          <w:szCs w:val="16"/>
        </w:rPr>
      </w:pPr>
    </w:p>
    <w:p w14:paraId="2EB12A2E" w14:textId="77777777" w:rsidR="006D1A4B" w:rsidRPr="001A0BAA" w:rsidRDefault="006D1A4B" w:rsidP="006D1A4B">
      <w:pPr>
        <w:jc w:val="both"/>
        <w:rPr>
          <w:color w:val="0070C0"/>
          <w:sz w:val="16"/>
          <w:szCs w:val="16"/>
        </w:rPr>
      </w:pPr>
      <w:r w:rsidRPr="001A0BAA">
        <w:rPr>
          <w:color w:val="0070C0"/>
          <w:sz w:val="16"/>
          <w:szCs w:val="16"/>
        </w:rPr>
        <w:t xml:space="preserve">В июне 1945 года Туполеву было приказано прекратить разработку самолета «64» и все силы направить на копирование В-29. Мясищев же, не имеющий таких ресурсов как Туполев, не дошел даже до макетного этапа (25286). </w:t>
      </w:r>
    </w:p>
    <w:p w14:paraId="5DABF130" w14:textId="77777777" w:rsidR="006D1A4B" w:rsidRPr="001A0BAA" w:rsidRDefault="006D1A4B" w:rsidP="006D1A4B">
      <w:pPr>
        <w:jc w:val="both"/>
        <w:rPr>
          <w:color w:val="0070C0"/>
          <w:sz w:val="16"/>
          <w:szCs w:val="16"/>
        </w:rPr>
      </w:pPr>
    </w:p>
    <w:p w14:paraId="39128400" w14:textId="77777777" w:rsidR="006D1A4B" w:rsidRPr="001A0BAA" w:rsidRDefault="006D1A4B" w:rsidP="006D1A4B">
      <w:pPr>
        <w:jc w:val="both"/>
        <w:rPr>
          <w:color w:val="0070C0"/>
          <w:sz w:val="16"/>
          <w:szCs w:val="16"/>
        </w:rPr>
      </w:pPr>
      <w:r w:rsidRPr="001A0BAA">
        <w:rPr>
          <w:color w:val="0070C0"/>
          <w:sz w:val="16"/>
          <w:szCs w:val="16"/>
        </w:rPr>
        <w:t>В июне 1945 года Министерство авиационной промышленности дало задание выпустить десять образцовых Ту</w:t>
      </w:r>
      <w:r w:rsidRPr="001A0BAA">
        <w:rPr>
          <w:color w:val="0070C0"/>
          <w:sz w:val="16"/>
          <w:szCs w:val="16"/>
        </w:rPr>
        <w:noBreakHyphen/>
        <w:t>2 и направить их на испытания.</w:t>
      </w:r>
    </w:p>
    <w:p w14:paraId="165EC321" w14:textId="77777777" w:rsidR="006D1A4B" w:rsidRPr="001A0BAA" w:rsidRDefault="006D1A4B" w:rsidP="006D1A4B">
      <w:pPr>
        <w:jc w:val="both"/>
        <w:rPr>
          <w:color w:val="0070C0"/>
          <w:sz w:val="16"/>
          <w:szCs w:val="16"/>
        </w:rPr>
      </w:pPr>
      <w:r w:rsidRPr="001A0BAA">
        <w:rPr>
          <w:color w:val="0070C0"/>
          <w:sz w:val="16"/>
          <w:szCs w:val="16"/>
        </w:rPr>
        <w:t>Модификация этих десяти машин была проведена совместными усилиями ОКБ и завода № 23. Главные изменения заключались в следующем:</w:t>
      </w:r>
    </w:p>
    <w:p w14:paraId="4C707545" w14:textId="77777777" w:rsidR="006D1A4B" w:rsidRPr="001A0BAA" w:rsidRDefault="006D1A4B" w:rsidP="006D1A4B">
      <w:pPr>
        <w:jc w:val="both"/>
        <w:rPr>
          <w:color w:val="0070C0"/>
          <w:sz w:val="16"/>
          <w:szCs w:val="16"/>
        </w:rPr>
      </w:pPr>
      <w:r w:rsidRPr="001A0BAA">
        <w:rPr>
          <w:color w:val="0070C0"/>
          <w:sz w:val="16"/>
          <w:szCs w:val="16"/>
        </w:rPr>
        <w:t>Переднюю часть фюзеляжа герметизировали;</w:t>
      </w:r>
    </w:p>
    <w:p w14:paraId="114FBF52" w14:textId="77777777" w:rsidR="006D1A4B" w:rsidRPr="001A0BAA" w:rsidRDefault="006D1A4B" w:rsidP="006D1A4B">
      <w:pPr>
        <w:jc w:val="both"/>
        <w:rPr>
          <w:color w:val="0070C0"/>
          <w:sz w:val="16"/>
          <w:szCs w:val="16"/>
        </w:rPr>
      </w:pPr>
      <w:r w:rsidRPr="001A0BAA">
        <w:rPr>
          <w:color w:val="0070C0"/>
          <w:sz w:val="16"/>
          <w:szCs w:val="16"/>
        </w:rPr>
        <w:t>Самолет оснастили подвеской для торпед;</w:t>
      </w:r>
    </w:p>
    <w:p w14:paraId="3B6B6BCE" w14:textId="77777777" w:rsidR="006D1A4B" w:rsidRPr="001A0BAA" w:rsidRDefault="006D1A4B" w:rsidP="006D1A4B">
      <w:pPr>
        <w:jc w:val="both"/>
        <w:rPr>
          <w:color w:val="0070C0"/>
          <w:sz w:val="16"/>
          <w:szCs w:val="16"/>
        </w:rPr>
      </w:pPr>
      <w:r w:rsidRPr="001A0BAA">
        <w:rPr>
          <w:color w:val="0070C0"/>
          <w:sz w:val="16"/>
          <w:szCs w:val="16"/>
        </w:rPr>
        <w:t>Самолет оснастили новыми противопылевыми воздушными фильтрами, усилили колеса шасси, оснастили винтами, способными переходить в режим наименьшего сопротивления потоку.</w:t>
      </w:r>
    </w:p>
    <w:p w14:paraId="23138E76" w14:textId="77777777" w:rsidR="006D1A4B" w:rsidRPr="001A0BAA" w:rsidRDefault="006D1A4B" w:rsidP="006D1A4B">
      <w:pPr>
        <w:jc w:val="both"/>
        <w:rPr>
          <w:color w:val="0070C0"/>
          <w:sz w:val="16"/>
          <w:szCs w:val="16"/>
        </w:rPr>
      </w:pPr>
      <w:r w:rsidRPr="001A0BAA">
        <w:rPr>
          <w:color w:val="0070C0"/>
          <w:sz w:val="16"/>
          <w:szCs w:val="16"/>
        </w:rPr>
        <w:t>Всего список изменений насчитывал 142 пункта, которые благоприятно сказались на характеристиках и эксплуатационных качествах самолета. Испытания одного из этих десяти Ту</w:t>
      </w:r>
      <w:r w:rsidRPr="001A0BAA">
        <w:rPr>
          <w:color w:val="0070C0"/>
          <w:sz w:val="16"/>
          <w:szCs w:val="16"/>
        </w:rPr>
        <w:noBreakHyphen/>
        <w:t>2 («38/49») дали следующие результаты:</w:t>
      </w:r>
    </w:p>
    <w:p w14:paraId="404D096D" w14:textId="77777777" w:rsidR="006D1A4B" w:rsidRPr="001A0BAA" w:rsidRDefault="006D1A4B" w:rsidP="006D1A4B">
      <w:pPr>
        <w:jc w:val="both"/>
        <w:rPr>
          <w:color w:val="0070C0"/>
          <w:sz w:val="16"/>
          <w:szCs w:val="16"/>
        </w:rPr>
      </w:pPr>
      <w:r w:rsidRPr="001A0BAA">
        <w:rPr>
          <w:color w:val="0070C0"/>
          <w:sz w:val="16"/>
          <w:szCs w:val="16"/>
        </w:rPr>
        <w:t>Взлетная масса: 10900 кг</w:t>
      </w:r>
    </w:p>
    <w:p w14:paraId="666F7C27" w14:textId="77777777" w:rsidR="006D1A4B" w:rsidRPr="001A0BAA" w:rsidRDefault="006D1A4B" w:rsidP="006D1A4B">
      <w:pPr>
        <w:jc w:val="both"/>
        <w:rPr>
          <w:color w:val="0070C0"/>
          <w:sz w:val="16"/>
          <w:szCs w:val="16"/>
        </w:rPr>
      </w:pPr>
      <w:r w:rsidRPr="001A0BAA">
        <w:rPr>
          <w:color w:val="0070C0"/>
          <w:sz w:val="16"/>
          <w:szCs w:val="16"/>
        </w:rPr>
        <w:t>Максимальная скорость: 550 км/ч на высоте 5460 м</w:t>
      </w:r>
    </w:p>
    <w:p w14:paraId="5DFAD10A" w14:textId="77777777" w:rsidR="006D1A4B" w:rsidRPr="001A0BAA" w:rsidRDefault="006D1A4B" w:rsidP="006D1A4B">
      <w:pPr>
        <w:jc w:val="both"/>
        <w:rPr>
          <w:color w:val="0070C0"/>
          <w:sz w:val="16"/>
          <w:szCs w:val="16"/>
        </w:rPr>
      </w:pPr>
      <w:r w:rsidRPr="001A0BAA">
        <w:rPr>
          <w:color w:val="0070C0"/>
          <w:sz w:val="16"/>
          <w:szCs w:val="16"/>
        </w:rPr>
        <w:t>Потолок: 9100 м</w:t>
      </w:r>
    </w:p>
    <w:p w14:paraId="7A32438C" w14:textId="77777777" w:rsidR="006D1A4B" w:rsidRPr="001A0BAA" w:rsidRDefault="006D1A4B" w:rsidP="006D1A4B">
      <w:pPr>
        <w:jc w:val="both"/>
        <w:rPr>
          <w:color w:val="0070C0"/>
          <w:sz w:val="16"/>
          <w:szCs w:val="16"/>
        </w:rPr>
      </w:pPr>
      <w:r w:rsidRPr="001A0BAA">
        <w:rPr>
          <w:color w:val="0070C0"/>
          <w:sz w:val="16"/>
          <w:szCs w:val="16"/>
        </w:rPr>
        <w:t>Скороподъемность: на 5000 м за 10,3 мни</w:t>
      </w:r>
    </w:p>
    <w:p w14:paraId="755646AB" w14:textId="77777777" w:rsidR="006D1A4B" w:rsidRPr="001A0BAA" w:rsidRDefault="006D1A4B" w:rsidP="006D1A4B">
      <w:pPr>
        <w:jc w:val="both"/>
        <w:rPr>
          <w:color w:val="0070C0"/>
          <w:sz w:val="16"/>
          <w:szCs w:val="16"/>
        </w:rPr>
      </w:pPr>
      <w:r w:rsidRPr="001A0BAA">
        <w:rPr>
          <w:color w:val="0070C0"/>
          <w:sz w:val="16"/>
          <w:szCs w:val="16"/>
        </w:rPr>
        <w:t>Дальность полета: 2250 км</w:t>
      </w:r>
    </w:p>
    <w:p w14:paraId="09E21538" w14:textId="77777777" w:rsidR="006D1A4B" w:rsidRPr="001A0BAA" w:rsidRDefault="006D1A4B" w:rsidP="006D1A4B">
      <w:pPr>
        <w:jc w:val="both"/>
        <w:rPr>
          <w:color w:val="0070C0"/>
          <w:sz w:val="16"/>
          <w:szCs w:val="16"/>
        </w:rPr>
      </w:pPr>
      <w:r w:rsidRPr="001A0BAA">
        <w:rPr>
          <w:color w:val="0070C0"/>
          <w:sz w:val="16"/>
          <w:szCs w:val="16"/>
        </w:rPr>
        <w:t>Разбег: 465 м</w:t>
      </w:r>
    </w:p>
    <w:p w14:paraId="4154CC00" w14:textId="77777777" w:rsidR="006D1A4B" w:rsidRPr="001A0BAA" w:rsidRDefault="006D1A4B" w:rsidP="006D1A4B">
      <w:pPr>
        <w:jc w:val="both"/>
        <w:rPr>
          <w:color w:val="0070C0"/>
          <w:sz w:val="16"/>
          <w:szCs w:val="16"/>
        </w:rPr>
      </w:pPr>
      <w:r w:rsidRPr="001A0BAA">
        <w:rPr>
          <w:color w:val="0070C0"/>
          <w:sz w:val="16"/>
          <w:szCs w:val="16"/>
        </w:rPr>
        <w:t>Пробег: 875 м</w:t>
      </w:r>
    </w:p>
    <w:p w14:paraId="6D2300DA" w14:textId="77777777" w:rsidR="006D1A4B" w:rsidRPr="001A0BAA" w:rsidRDefault="006D1A4B" w:rsidP="006D1A4B">
      <w:pPr>
        <w:jc w:val="both"/>
        <w:rPr>
          <w:color w:val="0070C0"/>
          <w:sz w:val="16"/>
          <w:szCs w:val="16"/>
        </w:rPr>
      </w:pPr>
      <w:r w:rsidRPr="001A0BAA">
        <w:rPr>
          <w:color w:val="0070C0"/>
          <w:sz w:val="16"/>
          <w:szCs w:val="16"/>
        </w:rPr>
        <w:t>В рапорте отмечалось, что характеристики десяти образцовых Ту</w:t>
      </w:r>
      <w:r w:rsidRPr="001A0BAA">
        <w:rPr>
          <w:color w:val="0070C0"/>
          <w:sz w:val="16"/>
          <w:szCs w:val="16"/>
        </w:rPr>
        <w:noBreakHyphen/>
        <w:t>2 полностью отвечают предъявляемым требованиям, поэтому аналогичные переделки предписывалось провести на всех серийных самолетах.</w:t>
      </w:r>
    </w:p>
    <w:p w14:paraId="72E497C3" w14:textId="77777777" w:rsidR="006D1A4B" w:rsidRPr="001A0BAA" w:rsidRDefault="006D1A4B" w:rsidP="006D1A4B">
      <w:pPr>
        <w:jc w:val="both"/>
        <w:rPr>
          <w:color w:val="0070C0"/>
          <w:sz w:val="16"/>
          <w:szCs w:val="16"/>
        </w:rPr>
      </w:pPr>
      <w:r w:rsidRPr="001A0BAA">
        <w:rPr>
          <w:color w:val="0070C0"/>
          <w:sz w:val="16"/>
          <w:szCs w:val="16"/>
        </w:rPr>
        <w:t>По результатам испытаний десяти Ту</w:t>
      </w:r>
      <w:r w:rsidRPr="001A0BAA">
        <w:rPr>
          <w:color w:val="0070C0"/>
          <w:sz w:val="16"/>
          <w:szCs w:val="16"/>
        </w:rPr>
        <w:noBreakHyphen/>
        <w:t>2 49</w:t>
      </w:r>
      <w:r w:rsidRPr="001A0BAA">
        <w:rPr>
          <w:color w:val="0070C0"/>
          <w:sz w:val="16"/>
          <w:szCs w:val="16"/>
        </w:rPr>
        <w:noBreakHyphen/>
        <w:t>й серии завода № 23 в НИИ ВВС был разработан самолет «71» 2АШ</w:t>
      </w:r>
      <w:r w:rsidRPr="001A0BAA">
        <w:rPr>
          <w:color w:val="0070C0"/>
          <w:sz w:val="16"/>
          <w:szCs w:val="16"/>
        </w:rPr>
        <w:noBreakHyphen/>
        <w:t>82М. На самолет планировалось установить двигатели АШ</w:t>
      </w:r>
      <w:r w:rsidRPr="001A0BAA">
        <w:rPr>
          <w:color w:val="0070C0"/>
          <w:sz w:val="16"/>
          <w:szCs w:val="16"/>
        </w:rPr>
        <w:noBreakHyphen/>
        <w:t>82М (М</w:t>
      </w:r>
      <w:r w:rsidRPr="001A0BAA">
        <w:rPr>
          <w:color w:val="0070C0"/>
          <w:sz w:val="16"/>
          <w:szCs w:val="16"/>
        </w:rPr>
        <w:noBreakHyphen/>
        <w:t>93) и полностью переработать носовую часть фюзеляжа. Но развитие этого проекта остановилось на стадии макета носовой части (25074).</w:t>
      </w:r>
    </w:p>
    <w:p w14:paraId="469F1BAF" w14:textId="77777777" w:rsidR="006D1A4B" w:rsidRPr="001A0BAA" w:rsidRDefault="006D1A4B" w:rsidP="006D1A4B">
      <w:pPr>
        <w:jc w:val="both"/>
        <w:rPr>
          <w:color w:val="0070C0"/>
          <w:sz w:val="16"/>
          <w:szCs w:val="16"/>
        </w:rPr>
      </w:pPr>
    </w:p>
    <w:p w14:paraId="60F5EE8D" w14:textId="77777777" w:rsidR="006D1A4B" w:rsidRPr="001A0BAA" w:rsidRDefault="006D1A4B" w:rsidP="006D1A4B">
      <w:pPr>
        <w:jc w:val="both"/>
        <w:rPr>
          <w:color w:val="0070C0"/>
          <w:sz w:val="16"/>
          <w:szCs w:val="16"/>
        </w:rPr>
      </w:pPr>
      <w:r w:rsidRPr="001A0BAA">
        <w:rPr>
          <w:color w:val="0070C0"/>
          <w:sz w:val="16"/>
          <w:szCs w:val="16"/>
        </w:rPr>
        <w:t>В июне 1945 года самолет-перехватчик «104» приступил к заводским испытаниям. По сравнению с серийным Ту</w:t>
      </w:r>
      <w:r w:rsidRPr="001A0BAA">
        <w:rPr>
          <w:color w:val="0070C0"/>
          <w:sz w:val="16"/>
          <w:szCs w:val="16"/>
        </w:rPr>
        <w:noBreakHyphen/>
        <w:t>2 самолет отличался следующим:</w:t>
      </w:r>
    </w:p>
    <w:p w14:paraId="55CD793A" w14:textId="77777777" w:rsidR="006D1A4B" w:rsidRPr="001A0BAA" w:rsidRDefault="006D1A4B" w:rsidP="006D1A4B">
      <w:pPr>
        <w:jc w:val="both"/>
        <w:rPr>
          <w:color w:val="0070C0"/>
          <w:sz w:val="16"/>
          <w:szCs w:val="16"/>
        </w:rPr>
      </w:pPr>
      <w:r w:rsidRPr="001A0BAA">
        <w:rPr>
          <w:color w:val="0070C0"/>
          <w:sz w:val="16"/>
          <w:szCs w:val="16"/>
        </w:rPr>
        <w:t>В нижней части фюзеляжа установлены две 23</w:t>
      </w:r>
      <w:r w:rsidRPr="001A0BAA">
        <w:rPr>
          <w:color w:val="0070C0"/>
          <w:sz w:val="16"/>
          <w:szCs w:val="16"/>
        </w:rPr>
        <w:noBreakHyphen/>
        <w:t>мм пушки ВЯ;</w:t>
      </w:r>
    </w:p>
    <w:p w14:paraId="46B09663" w14:textId="77777777" w:rsidR="006D1A4B" w:rsidRPr="001A0BAA" w:rsidRDefault="006D1A4B" w:rsidP="006D1A4B">
      <w:pPr>
        <w:jc w:val="both"/>
        <w:rPr>
          <w:color w:val="0070C0"/>
          <w:sz w:val="16"/>
          <w:szCs w:val="16"/>
        </w:rPr>
      </w:pPr>
      <w:r w:rsidRPr="001A0BAA">
        <w:rPr>
          <w:color w:val="0070C0"/>
          <w:sz w:val="16"/>
          <w:szCs w:val="16"/>
        </w:rPr>
        <w:t>Установлен автомат курса и подвижный стабилизатор, отклоняющийся в пределах 0…</w:t>
      </w:r>
      <w:r w:rsidRPr="001A0BAA">
        <w:rPr>
          <w:color w:val="0070C0"/>
          <w:sz w:val="16"/>
          <w:szCs w:val="16"/>
        </w:rPr>
        <w:noBreakHyphen/>
        <w:t>40;</w:t>
      </w:r>
    </w:p>
    <w:p w14:paraId="7F863884" w14:textId="77777777" w:rsidR="006D1A4B" w:rsidRPr="001A0BAA" w:rsidRDefault="006D1A4B" w:rsidP="006D1A4B">
      <w:pPr>
        <w:jc w:val="both"/>
        <w:rPr>
          <w:color w:val="0070C0"/>
          <w:sz w:val="16"/>
          <w:szCs w:val="16"/>
        </w:rPr>
      </w:pPr>
      <w:r w:rsidRPr="001A0BAA">
        <w:rPr>
          <w:color w:val="0070C0"/>
          <w:sz w:val="16"/>
          <w:szCs w:val="16"/>
        </w:rPr>
        <w:t>Установлена радиолокационная станция ПНБ</w:t>
      </w:r>
      <w:r w:rsidRPr="001A0BAA">
        <w:rPr>
          <w:color w:val="0070C0"/>
          <w:sz w:val="16"/>
          <w:szCs w:val="16"/>
        </w:rPr>
        <w:noBreakHyphen/>
        <w:t>4.</w:t>
      </w:r>
    </w:p>
    <w:p w14:paraId="5B331703" w14:textId="77777777" w:rsidR="006D1A4B" w:rsidRPr="001A0BAA" w:rsidRDefault="006D1A4B" w:rsidP="006D1A4B">
      <w:pPr>
        <w:jc w:val="both"/>
        <w:rPr>
          <w:color w:val="0070C0"/>
          <w:sz w:val="16"/>
          <w:szCs w:val="16"/>
        </w:rPr>
      </w:pPr>
      <w:r w:rsidRPr="001A0BAA">
        <w:rPr>
          <w:color w:val="0070C0"/>
          <w:sz w:val="16"/>
          <w:szCs w:val="16"/>
        </w:rPr>
        <w:t>Самолет «104» испытывали при взлетной массе 9814 кг. Испытания завершились безрезультатно. Самолет вернули Туполеву, а в 1947 году эту машину переделали в учебный самолет УТБ (25073).</w:t>
      </w:r>
    </w:p>
    <w:p w14:paraId="5206C00E" w14:textId="77777777" w:rsidR="006D1A4B" w:rsidRPr="001A0BAA" w:rsidRDefault="006D1A4B" w:rsidP="006D1A4B">
      <w:pPr>
        <w:jc w:val="both"/>
        <w:rPr>
          <w:color w:val="0070C0"/>
          <w:sz w:val="16"/>
          <w:szCs w:val="16"/>
        </w:rPr>
      </w:pPr>
    </w:p>
    <w:p w14:paraId="78822D85" w14:textId="77777777" w:rsidR="006D1A4B" w:rsidRPr="001A0BAA" w:rsidRDefault="006D1A4B" w:rsidP="006D1A4B">
      <w:pPr>
        <w:jc w:val="both"/>
        <w:rPr>
          <w:color w:val="0070C0"/>
          <w:sz w:val="16"/>
          <w:szCs w:val="16"/>
        </w:rPr>
      </w:pPr>
      <w:r w:rsidRPr="001A0BAA">
        <w:rPr>
          <w:color w:val="0070C0"/>
          <w:sz w:val="16"/>
          <w:szCs w:val="16"/>
        </w:rPr>
        <w:t>В июне 1945 года заверши</w:t>
      </w:r>
      <w:r w:rsidRPr="001A0BAA">
        <w:rPr>
          <w:color w:val="0070C0"/>
          <w:sz w:val="16"/>
          <w:szCs w:val="16"/>
        </w:rPr>
        <w:softHyphen/>
        <w:t>лись государственные испытания СДБ А.Н.Т. Основными дефектами машины были недостаточная прочность колес размером 1000 х 350 мм, малоэффективные и ненадежные пневматические тормоза, паде</w:t>
      </w:r>
      <w:r w:rsidRPr="001A0BAA">
        <w:rPr>
          <w:color w:val="0070C0"/>
          <w:sz w:val="16"/>
          <w:szCs w:val="16"/>
        </w:rPr>
        <w:softHyphen/>
        <w:t>ние давления масла в двигателях на высотах 5000-7000 метров, отсутствие противопыль- ных фильтров на всасывающих патрубках моторов, а также размещение рамки радиополу</w:t>
      </w:r>
      <w:r w:rsidRPr="001A0BAA">
        <w:rPr>
          <w:color w:val="0070C0"/>
          <w:sz w:val="16"/>
          <w:szCs w:val="16"/>
        </w:rPr>
        <w:softHyphen/>
        <w:t>компаса РПК-10 под металлической обшивкой самолета, снижавшей его чувствительность.</w:t>
      </w:r>
    </w:p>
    <w:p w14:paraId="351933D0" w14:textId="77777777" w:rsidR="006D1A4B" w:rsidRPr="001A0BAA" w:rsidRDefault="006D1A4B" w:rsidP="006D1A4B">
      <w:pPr>
        <w:jc w:val="both"/>
        <w:rPr>
          <w:color w:val="0070C0"/>
          <w:sz w:val="16"/>
          <w:szCs w:val="16"/>
        </w:rPr>
      </w:pPr>
      <w:r w:rsidRPr="001A0BAA">
        <w:rPr>
          <w:color w:val="0070C0"/>
          <w:sz w:val="16"/>
          <w:szCs w:val="16"/>
        </w:rPr>
        <w:t>В заключении НИИ ВВС, в частности, отмечалось: «Самолет «63» ...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w:t>
      </w:r>
      <w:r w:rsidRPr="001A0BAA">
        <w:rPr>
          <w:color w:val="0070C0"/>
          <w:sz w:val="16"/>
          <w:szCs w:val="16"/>
        </w:rPr>
        <w:softHyphen/>
        <w:t>тировки, отыскание цели и вывод самолета на цель при бомбометании, значительно сни</w:t>
      </w:r>
      <w:r w:rsidRPr="001A0BAA">
        <w:rPr>
          <w:color w:val="0070C0"/>
          <w:sz w:val="16"/>
          <w:szCs w:val="16"/>
        </w:rPr>
        <w:softHyphen/>
        <w:t>жает его качество как бомбардировщика.</w:t>
      </w:r>
    </w:p>
    <w:p w14:paraId="22E58D01" w14:textId="77777777" w:rsidR="006D1A4B" w:rsidRPr="001A0BAA" w:rsidRDefault="006D1A4B" w:rsidP="006D1A4B">
      <w:pPr>
        <w:jc w:val="both"/>
        <w:rPr>
          <w:color w:val="0070C0"/>
          <w:sz w:val="16"/>
          <w:szCs w:val="16"/>
        </w:rPr>
      </w:pPr>
      <w:r w:rsidRPr="001A0BAA">
        <w:rPr>
          <w:color w:val="0070C0"/>
          <w:sz w:val="16"/>
          <w:szCs w:val="16"/>
        </w:rPr>
        <w:t>Самолет не может быть рекомендован на вооружение Красной Армии в качестве бомбардировщика» (24991).</w:t>
      </w:r>
    </w:p>
    <w:p w14:paraId="5B5F1C0E" w14:textId="77777777" w:rsidR="006D1A4B" w:rsidRPr="001A0BAA" w:rsidRDefault="006D1A4B" w:rsidP="006D1A4B">
      <w:pPr>
        <w:jc w:val="both"/>
        <w:rPr>
          <w:color w:val="0070C0"/>
          <w:sz w:val="16"/>
          <w:szCs w:val="16"/>
        </w:rPr>
      </w:pPr>
    </w:p>
    <w:p w14:paraId="359C58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года задание на разработку учебно-тренировочного бомбардировщика первоначального обучения получило ОКБ, возглавлявшееся П.О. Сухим. В соответствии с тематическим планом МАП на 1946 год требовалось создать учебно-тренировочный бомбардировщик (УТБ) со скоростью не менее 375 км/ч на высоте 2000 метров, способный набирать 3000 метров за 11 минут, иметь практический потолок 6000 метров и дальность 800 км при посадочной скорости не более 125 км/ч.</w:t>
      </w:r>
    </w:p>
    <w:p w14:paraId="4A00016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Самолет должен был поднимать 200 кг бомб, а в перегрузку - 400 кг. Хотя машина рассчитывалась на экипаж из трех человек, на борту предусмотрели четыре рабочих места: двух пилотов, штурмана и стрелка- радиста.</w:t>
      </w:r>
    </w:p>
    <w:p w14:paraId="7D43D1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основу УТБ положили все тот же проверенный Ту-2. В соответствии с заданием полностью переделали носовую часть фюзеляжа, разместив курсанта и инструктора в ряд. Из-за этого фюзеляж получил специфическую форму головастика. Грузовой отсек заделали, разместив бомбы на наружной подвеске. В связи со значительно меньшим взлетным весом, по сравнению с Ту-2, облегчили шасси.</w:t>
      </w:r>
    </w:p>
    <w:p w14:paraId="2DDAFE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Двигатели заменили менее мощными AШ с карбюратором (однорядная звезда воздушного охлаждения с приводным центробежным нагнетателем, создан на базе АШ-82ФН) взлетной мощностью 700 л.с. Ведь УТБ не требовались большие скорость и грузоподъемность, зато появилась возможность снизить эксплуатационные расходы. Доработали топливную и масляную системы. Были и другие, более мелкие изменения, связанные с новым функциональным назначением машины.</w:t>
      </w:r>
    </w:p>
    <w:p w14:paraId="455C5B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Для подготовки воздушных стрелков и штурманов предусмотрели верхнюю ограниченно подвижную стрелковую установку с фотопулеметом ПАУ-22 и пулеметом УБТ калибра 12,7 мм (боезапас 60 патронов), "защищавшую" задний сектор верхней полусферы. Для отработки упражнений, связанных со "стрельбой" вперед, имелся еще один ПАУ-22.</w:t>
      </w:r>
    </w:p>
    <w:p w14:paraId="032EF5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Первую опытную машину переделали из серийного Ту-2С. Заводские испытания (ведущий летчик Н.Д. Фиксон), завершившиеся в июне 1946 года, показали, что самолет по основным данным почти соответствует заданию. Исключение составили лишь максимальная скорость (меньше на 3 км/ч) и завышенная на 10 км/ч посадочная скорость. Подвеску под крылом ограничили двумя бомбами по 100 кг или четырьмя по 50 км. </w:t>
      </w:r>
    </w:p>
    <w:p w14:paraId="3B9490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Этого было вполне достаточно для обучения курсантов.</w:t>
      </w:r>
    </w:p>
    <w:p w14:paraId="4D7262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Видимо недостаточными оказались запасы путевой и продольной устойчивости, из- за чего на первой серийной машине завода № 381 удлинили носовую часть фюзеляжа на 300 мм, а моторы сместили вперед на 100 мм. Доработали маслосистему, перенеся маслобаки в отсеки между моторами и противопожарными перегородками. Одновременно двухлопастные винты ВИШ-111В-36 заменили на ВИШ-111В-38 диаметром, возросшим до 3,45 метров. В итоге задняя центровка не превышала 32,3% средней аэродинамической хорды.</w:t>
      </w:r>
    </w:p>
    <w:p w14:paraId="383114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таком виде машина прошла в мае заводские, а в октябре 1947 года - госиспытания. По мнению летчиков-испытателей самолет отличался хорошей устойчивостью и управляемостью, мог совершать горизонтальный полет на одном двигателе.</w:t>
      </w:r>
    </w:p>
    <w:p w14:paraId="4DE319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Весной 1947 года заказчик пожелал, чтобы УТБ решал задачи пикирующего бомбардировщика. В требованиях к этой машине, изложенных в мартовском 1947 года постановлении правительства, отмечалось, что скорость на высоте 2000 метров должна быть не менее 370 км/ч, время набора 3000 метров - 8 минут, потолок - 6000 метров, дальность - 1000 км, а разбег и пробег в пределах 460 и 375 метров соответственно.</w:t>
      </w:r>
    </w:p>
    <w:p w14:paraId="1C5017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этой целью на четвертый серийный УТБ после контрольных испытаний в НИИ ВВС (июль-август) на заводе № 134 установили крыльевые тормозные решетки и автомат пикирования с реле времени, позволявший задавать углы пикирования от 40 до 80 градусов. При этом скорость доходила до 630 км/ч с потерей 1700-2000 метров высоты, а самолет выходил в горизонтальный полет на 600 метрах. Установили новые маслобаки для обеспечения работы двигателей при отрицательных перегрузках.</w:t>
      </w:r>
    </w:p>
    <w:p w14:paraId="47B528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конце лета 1948 года модифицированный УТБ вновь поступил в НИИ ВВС. Ведущими по нему были инженер В. Моло- жавцев, летчики И. Крутиков и Д. Гапонен- ко. Облетали машину летчики В. Жданов, М. Субботин, И. Пискунов, А. Соколов и штурман Шишков.</w:t>
      </w:r>
    </w:p>
    <w:p w14:paraId="0BE4EC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ходе государственных испытаний, завершившихся в начале июля 1948 года, подтвердилась техническая дальность 1025 км в полете по маршруту Чкаловская - Орел - Чкаловская. По-прежнему в "пилотском" варианте был невозможен визуальный вывод самолета на цель (инструктор сильно ограничивал штурману обзор вперед) и все надеялись на летчика. Машина так и осталась в единичном экземпляре.</w:t>
      </w:r>
    </w:p>
    <w:p w14:paraId="684C0B3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заключение НИИ ВВС отмечалось, в частности, что "самолет испытания не выдержал, так как маслосистема на пикировании при отрицательных перегрузках не обеспечивает необходимое давление масла в моторах и не выполняются требования ВВС к пикирующему учебно-тренировочному бомбардировщику".</w:t>
      </w:r>
    </w:p>
    <w:p w14:paraId="485630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Как уже отмечалось, в УТБ переделывали серийные Ту-2, поступавшие из строевых частей. В 1947-1949 годах в общей сложности переоборудовали 176 машин.</w:t>
      </w:r>
    </w:p>
    <w:p w14:paraId="2D80B62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УТБ эксплуатировался не только в училищах, но и в строевых частях. Впоследствии круг </w:t>
      </w:r>
      <w:proofErr w:type="gramStart"/>
      <w:r w:rsidRPr="00925F26">
        <w:rPr>
          <w:color w:val="000000" w:themeColor="text1"/>
          <w:sz w:val="16"/>
          <w:szCs w:val="16"/>
        </w:rPr>
        <w:t>задач</w:t>
      </w:r>
      <w:proofErr w:type="gramEnd"/>
      <w:r w:rsidRPr="00925F26">
        <w:rPr>
          <w:color w:val="000000" w:themeColor="text1"/>
          <w:sz w:val="16"/>
          <w:szCs w:val="16"/>
        </w:rPr>
        <w:t xml:space="preserve"> решавшихся с помощью этого самолета расширился. Их использовали в качестве буксировщиков конусов-мишеней, предназначавшихся для тренировки летчиков-истребителей. Часть машин передали в ГВФ для подготовки пилотов гражданской авиации.</w:t>
      </w:r>
    </w:p>
    <w:p w14:paraId="3DD8EC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Таблица № 4.</w:t>
      </w:r>
    </w:p>
    <w:p w14:paraId="45F21D6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Основные данные УТБ с двигателями АШ-21 взлетной мощностью по 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F5689" w:rsidRPr="00925F26" w14:paraId="4B6B2DA1" w14:textId="77777777">
        <w:tc>
          <w:tcPr>
            <w:tcW w:w="2242" w:type="dxa"/>
            <w:tcBorders>
              <w:top w:val="single" w:sz="12" w:space="0" w:color="auto"/>
            </w:tcBorders>
          </w:tcPr>
          <w:p w14:paraId="745E1D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Тип самолета</w:t>
            </w:r>
          </w:p>
        </w:tc>
        <w:tc>
          <w:tcPr>
            <w:tcW w:w="2242" w:type="dxa"/>
            <w:tcBorders>
              <w:top w:val="single" w:sz="12" w:space="0" w:color="auto"/>
            </w:tcBorders>
          </w:tcPr>
          <w:p w14:paraId="598B98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Опытный</w:t>
            </w:r>
          </w:p>
        </w:tc>
        <w:tc>
          <w:tcPr>
            <w:tcW w:w="2242" w:type="dxa"/>
            <w:tcBorders>
              <w:top w:val="single" w:sz="12" w:space="0" w:color="auto"/>
            </w:tcBorders>
          </w:tcPr>
          <w:p w14:paraId="5B65C74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Серийный</w:t>
            </w:r>
          </w:p>
        </w:tc>
        <w:tc>
          <w:tcPr>
            <w:tcW w:w="2242" w:type="dxa"/>
            <w:tcBorders>
              <w:top w:val="single" w:sz="12" w:space="0" w:color="auto"/>
            </w:tcBorders>
          </w:tcPr>
          <w:p w14:paraId="6A99EC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Серийный</w:t>
            </w:r>
          </w:p>
        </w:tc>
        <w:tc>
          <w:tcPr>
            <w:tcW w:w="2242" w:type="dxa"/>
            <w:tcBorders>
              <w:top w:val="single" w:sz="12" w:space="0" w:color="auto"/>
            </w:tcBorders>
          </w:tcPr>
          <w:p w14:paraId="2E09DC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Пикирующий</w:t>
            </w:r>
          </w:p>
        </w:tc>
      </w:tr>
      <w:tr w:rsidR="000F5689" w:rsidRPr="00925F26" w14:paraId="0DC1A6E5" w14:textId="77777777">
        <w:tc>
          <w:tcPr>
            <w:tcW w:w="2242" w:type="dxa"/>
          </w:tcPr>
          <w:p w14:paraId="69C2526D"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5EE110BD"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7B4C072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№3810001</w:t>
            </w:r>
          </w:p>
        </w:tc>
        <w:tc>
          <w:tcPr>
            <w:tcW w:w="2242" w:type="dxa"/>
          </w:tcPr>
          <w:p w14:paraId="2EBAB9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№3810004</w:t>
            </w:r>
          </w:p>
        </w:tc>
        <w:tc>
          <w:tcPr>
            <w:tcW w:w="2242" w:type="dxa"/>
          </w:tcPr>
          <w:p w14:paraId="4C7709D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бомбардировщик</w:t>
            </w:r>
          </w:p>
        </w:tc>
      </w:tr>
      <w:tr w:rsidR="000F5689" w:rsidRPr="00925F26" w14:paraId="1D900AB0" w14:textId="77777777">
        <w:tc>
          <w:tcPr>
            <w:tcW w:w="2242" w:type="dxa"/>
          </w:tcPr>
          <w:p w14:paraId="592C699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Размах крыла, м</w:t>
            </w:r>
          </w:p>
        </w:tc>
        <w:tc>
          <w:tcPr>
            <w:tcW w:w="2242" w:type="dxa"/>
          </w:tcPr>
          <w:p w14:paraId="17DBD4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18,86</w:t>
            </w:r>
          </w:p>
        </w:tc>
        <w:tc>
          <w:tcPr>
            <w:tcW w:w="2242" w:type="dxa"/>
          </w:tcPr>
          <w:p w14:paraId="676946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18,86</w:t>
            </w:r>
          </w:p>
        </w:tc>
        <w:tc>
          <w:tcPr>
            <w:tcW w:w="2242" w:type="dxa"/>
          </w:tcPr>
          <w:p w14:paraId="4CC94E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18,86</w:t>
            </w:r>
          </w:p>
        </w:tc>
        <w:tc>
          <w:tcPr>
            <w:tcW w:w="2242" w:type="dxa"/>
          </w:tcPr>
          <w:p w14:paraId="61E808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18,86</w:t>
            </w:r>
          </w:p>
        </w:tc>
      </w:tr>
      <w:tr w:rsidR="000F5689" w:rsidRPr="00925F26" w14:paraId="05987A27" w14:textId="77777777">
        <w:tc>
          <w:tcPr>
            <w:tcW w:w="2242" w:type="dxa"/>
          </w:tcPr>
          <w:p w14:paraId="39F6BA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Длина, м</w:t>
            </w:r>
          </w:p>
        </w:tc>
        <w:tc>
          <w:tcPr>
            <w:tcW w:w="2242" w:type="dxa"/>
          </w:tcPr>
          <w:p w14:paraId="49526CE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13,68</w:t>
            </w:r>
          </w:p>
        </w:tc>
        <w:tc>
          <w:tcPr>
            <w:tcW w:w="2242" w:type="dxa"/>
          </w:tcPr>
          <w:p w14:paraId="7A28B8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13,985</w:t>
            </w:r>
          </w:p>
        </w:tc>
        <w:tc>
          <w:tcPr>
            <w:tcW w:w="2242" w:type="dxa"/>
          </w:tcPr>
          <w:p w14:paraId="072BA3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13,985</w:t>
            </w:r>
          </w:p>
        </w:tc>
        <w:tc>
          <w:tcPr>
            <w:tcW w:w="2242" w:type="dxa"/>
          </w:tcPr>
          <w:p w14:paraId="3031E7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13,985</w:t>
            </w:r>
          </w:p>
        </w:tc>
      </w:tr>
      <w:tr w:rsidR="000F5689" w:rsidRPr="00925F26" w14:paraId="5B5B9DFA" w14:textId="77777777">
        <w:tc>
          <w:tcPr>
            <w:tcW w:w="2242" w:type="dxa"/>
          </w:tcPr>
          <w:p w14:paraId="4592E97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Площадь крыла, м2</w:t>
            </w:r>
          </w:p>
        </w:tc>
        <w:tc>
          <w:tcPr>
            <w:tcW w:w="2242" w:type="dxa"/>
          </w:tcPr>
          <w:p w14:paraId="3014002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48,8</w:t>
            </w:r>
          </w:p>
        </w:tc>
        <w:tc>
          <w:tcPr>
            <w:tcW w:w="2242" w:type="dxa"/>
          </w:tcPr>
          <w:p w14:paraId="0A57BF2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48,8</w:t>
            </w:r>
          </w:p>
        </w:tc>
        <w:tc>
          <w:tcPr>
            <w:tcW w:w="2242" w:type="dxa"/>
          </w:tcPr>
          <w:p w14:paraId="634CF7D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48,8</w:t>
            </w:r>
          </w:p>
        </w:tc>
        <w:tc>
          <w:tcPr>
            <w:tcW w:w="2242" w:type="dxa"/>
          </w:tcPr>
          <w:p w14:paraId="1ACD91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48,8</w:t>
            </w:r>
          </w:p>
        </w:tc>
      </w:tr>
      <w:tr w:rsidR="000F5689" w:rsidRPr="00925F26" w14:paraId="600DE537" w14:textId="77777777">
        <w:tc>
          <w:tcPr>
            <w:tcW w:w="2242" w:type="dxa"/>
          </w:tcPr>
          <w:p w14:paraId="64C855C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 взлетный, кг</w:t>
            </w:r>
          </w:p>
        </w:tc>
        <w:tc>
          <w:tcPr>
            <w:tcW w:w="2242" w:type="dxa"/>
          </w:tcPr>
          <w:p w14:paraId="748F00CA"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2D1E3541"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7AEDB96E"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0CEFA15B" w14:textId="77777777" w:rsidR="006103B3" w:rsidRPr="00925F26" w:rsidRDefault="006103B3" w:rsidP="00925F26">
            <w:pPr>
              <w:autoSpaceDE w:val="0"/>
              <w:autoSpaceDN w:val="0"/>
              <w:adjustRightInd w:val="0"/>
              <w:jc w:val="both"/>
              <w:rPr>
                <w:color w:val="000000" w:themeColor="text1"/>
                <w:sz w:val="16"/>
                <w:szCs w:val="16"/>
              </w:rPr>
            </w:pPr>
          </w:p>
        </w:tc>
      </w:tr>
      <w:tr w:rsidR="000F5689" w:rsidRPr="00925F26" w14:paraId="525A2513" w14:textId="77777777">
        <w:tc>
          <w:tcPr>
            <w:tcW w:w="2242" w:type="dxa"/>
          </w:tcPr>
          <w:p w14:paraId="101F61E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 боевом применении</w:t>
            </w:r>
          </w:p>
        </w:tc>
        <w:tc>
          <w:tcPr>
            <w:tcW w:w="2242" w:type="dxa"/>
          </w:tcPr>
          <w:p w14:paraId="1EFC66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6632</w:t>
            </w:r>
          </w:p>
        </w:tc>
        <w:tc>
          <w:tcPr>
            <w:tcW w:w="2242" w:type="dxa"/>
          </w:tcPr>
          <w:p w14:paraId="53FA552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6580</w:t>
            </w:r>
          </w:p>
        </w:tc>
        <w:tc>
          <w:tcPr>
            <w:tcW w:w="2242" w:type="dxa"/>
          </w:tcPr>
          <w:p w14:paraId="45A0ABA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6640</w:t>
            </w:r>
          </w:p>
        </w:tc>
        <w:tc>
          <w:tcPr>
            <w:tcW w:w="2242" w:type="dxa"/>
          </w:tcPr>
          <w:p w14:paraId="3FE514C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6850</w:t>
            </w:r>
          </w:p>
        </w:tc>
      </w:tr>
      <w:tr w:rsidR="000F5689" w:rsidRPr="00925F26" w14:paraId="05CFF8FE" w14:textId="77777777">
        <w:tc>
          <w:tcPr>
            <w:tcW w:w="2242" w:type="dxa"/>
          </w:tcPr>
          <w:p w14:paraId="674D38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вывозном варианте</w:t>
            </w:r>
          </w:p>
        </w:tc>
        <w:tc>
          <w:tcPr>
            <w:tcW w:w="2242" w:type="dxa"/>
          </w:tcPr>
          <w:p w14:paraId="187D3D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42" w:type="dxa"/>
          </w:tcPr>
          <w:p w14:paraId="17BB76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64 003)</w:t>
            </w:r>
          </w:p>
        </w:tc>
        <w:tc>
          <w:tcPr>
            <w:tcW w:w="2242" w:type="dxa"/>
          </w:tcPr>
          <w:p w14:paraId="0DC8267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6400</w:t>
            </w:r>
          </w:p>
        </w:tc>
        <w:tc>
          <w:tcPr>
            <w:tcW w:w="2242" w:type="dxa"/>
          </w:tcPr>
          <w:p w14:paraId="5278F8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6650</w:t>
            </w:r>
          </w:p>
        </w:tc>
      </w:tr>
      <w:tr w:rsidR="000F5689" w:rsidRPr="00925F26" w14:paraId="5EE674B2" w14:textId="77777777">
        <w:tc>
          <w:tcPr>
            <w:tcW w:w="2242" w:type="dxa"/>
          </w:tcPr>
          <w:p w14:paraId="168FD0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 пустого, кг</w:t>
            </w:r>
          </w:p>
        </w:tc>
        <w:tc>
          <w:tcPr>
            <w:tcW w:w="2242" w:type="dxa"/>
          </w:tcPr>
          <w:p w14:paraId="2641D9B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5438</w:t>
            </w:r>
          </w:p>
        </w:tc>
        <w:tc>
          <w:tcPr>
            <w:tcW w:w="2242" w:type="dxa"/>
          </w:tcPr>
          <w:p w14:paraId="474934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5339</w:t>
            </w:r>
          </w:p>
        </w:tc>
        <w:tc>
          <w:tcPr>
            <w:tcW w:w="2242" w:type="dxa"/>
          </w:tcPr>
          <w:p w14:paraId="5E7FD82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5470</w:t>
            </w:r>
          </w:p>
        </w:tc>
        <w:tc>
          <w:tcPr>
            <w:tcW w:w="2242" w:type="dxa"/>
          </w:tcPr>
          <w:p w14:paraId="69939C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5643</w:t>
            </w:r>
          </w:p>
        </w:tc>
      </w:tr>
      <w:tr w:rsidR="000F5689" w:rsidRPr="00925F26" w14:paraId="306621B3" w14:textId="77777777">
        <w:tc>
          <w:tcPr>
            <w:tcW w:w="2242" w:type="dxa"/>
          </w:tcPr>
          <w:p w14:paraId="4A17A6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 топлива, кг</w:t>
            </w:r>
          </w:p>
        </w:tc>
        <w:tc>
          <w:tcPr>
            <w:tcW w:w="2242" w:type="dxa"/>
          </w:tcPr>
          <w:p w14:paraId="086DCE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2242" w:type="dxa"/>
          </w:tcPr>
          <w:p w14:paraId="779C38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500</w:t>
            </w:r>
          </w:p>
        </w:tc>
        <w:tc>
          <w:tcPr>
            <w:tcW w:w="2242" w:type="dxa"/>
          </w:tcPr>
          <w:p w14:paraId="3F289E9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515</w:t>
            </w:r>
          </w:p>
        </w:tc>
        <w:tc>
          <w:tcPr>
            <w:tcW w:w="2242" w:type="dxa"/>
          </w:tcPr>
          <w:p w14:paraId="1458DEC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515</w:t>
            </w:r>
          </w:p>
        </w:tc>
      </w:tr>
      <w:tr w:rsidR="000F5689" w:rsidRPr="00925F26" w14:paraId="2DF9FA02" w14:textId="77777777">
        <w:tc>
          <w:tcPr>
            <w:tcW w:w="2242" w:type="dxa"/>
          </w:tcPr>
          <w:p w14:paraId="5927A17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Скорость макс., км/ч</w:t>
            </w:r>
          </w:p>
        </w:tc>
        <w:tc>
          <w:tcPr>
            <w:tcW w:w="2242" w:type="dxa"/>
          </w:tcPr>
          <w:p w14:paraId="606A89CE"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72357E6C"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093FE63B" w14:textId="77777777" w:rsidR="006103B3" w:rsidRPr="00925F26" w:rsidRDefault="006103B3" w:rsidP="00925F26">
            <w:pPr>
              <w:autoSpaceDE w:val="0"/>
              <w:autoSpaceDN w:val="0"/>
              <w:adjustRightInd w:val="0"/>
              <w:jc w:val="both"/>
              <w:rPr>
                <w:color w:val="000000" w:themeColor="text1"/>
                <w:sz w:val="16"/>
                <w:szCs w:val="16"/>
              </w:rPr>
            </w:pPr>
          </w:p>
        </w:tc>
        <w:tc>
          <w:tcPr>
            <w:tcW w:w="2242" w:type="dxa"/>
          </w:tcPr>
          <w:p w14:paraId="7370159C" w14:textId="77777777" w:rsidR="006103B3" w:rsidRPr="00925F26" w:rsidRDefault="006103B3" w:rsidP="00925F26">
            <w:pPr>
              <w:autoSpaceDE w:val="0"/>
              <w:autoSpaceDN w:val="0"/>
              <w:adjustRightInd w:val="0"/>
              <w:jc w:val="both"/>
              <w:rPr>
                <w:color w:val="000000" w:themeColor="text1"/>
                <w:sz w:val="16"/>
                <w:szCs w:val="16"/>
              </w:rPr>
            </w:pPr>
          </w:p>
        </w:tc>
      </w:tr>
      <w:tr w:rsidR="000F5689" w:rsidRPr="00925F26" w14:paraId="596CECB7" w14:textId="77777777">
        <w:tc>
          <w:tcPr>
            <w:tcW w:w="2242" w:type="dxa"/>
          </w:tcPr>
          <w:p w14:paraId="69F8ED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 земли</w:t>
            </w:r>
          </w:p>
        </w:tc>
        <w:tc>
          <w:tcPr>
            <w:tcW w:w="2242" w:type="dxa"/>
          </w:tcPr>
          <w:p w14:paraId="0DC6B6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340</w:t>
            </w:r>
          </w:p>
        </w:tc>
        <w:tc>
          <w:tcPr>
            <w:tcW w:w="2242" w:type="dxa"/>
          </w:tcPr>
          <w:p w14:paraId="1B66337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359</w:t>
            </w:r>
          </w:p>
        </w:tc>
        <w:tc>
          <w:tcPr>
            <w:tcW w:w="2242" w:type="dxa"/>
          </w:tcPr>
          <w:p w14:paraId="3AD141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364</w:t>
            </w:r>
          </w:p>
        </w:tc>
        <w:tc>
          <w:tcPr>
            <w:tcW w:w="2242" w:type="dxa"/>
          </w:tcPr>
          <w:p w14:paraId="08C06E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357</w:t>
            </w:r>
          </w:p>
        </w:tc>
      </w:tr>
      <w:tr w:rsidR="000F5689" w:rsidRPr="00925F26" w14:paraId="1990B5B3" w14:textId="77777777">
        <w:tc>
          <w:tcPr>
            <w:tcW w:w="2242" w:type="dxa"/>
          </w:tcPr>
          <w:p w14:paraId="42C208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высоте, м</w:t>
            </w:r>
          </w:p>
        </w:tc>
        <w:tc>
          <w:tcPr>
            <w:tcW w:w="2242" w:type="dxa"/>
          </w:tcPr>
          <w:p w14:paraId="28C00B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372/1800</w:t>
            </w:r>
          </w:p>
        </w:tc>
        <w:tc>
          <w:tcPr>
            <w:tcW w:w="2242" w:type="dxa"/>
          </w:tcPr>
          <w:p w14:paraId="6A812CB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393/1900</w:t>
            </w:r>
          </w:p>
        </w:tc>
        <w:tc>
          <w:tcPr>
            <w:tcW w:w="2242" w:type="dxa"/>
          </w:tcPr>
          <w:p w14:paraId="789DC70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395/2100</w:t>
            </w:r>
          </w:p>
        </w:tc>
        <w:tc>
          <w:tcPr>
            <w:tcW w:w="2242" w:type="dxa"/>
          </w:tcPr>
          <w:p w14:paraId="57E8D0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387/1900</w:t>
            </w:r>
          </w:p>
        </w:tc>
      </w:tr>
      <w:tr w:rsidR="000F5689" w:rsidRPr="00925F26" w14:paraId="7B27261A" w14:textId="77777777">
        <w:tc>
          <w:tcPr>
            <w:tcW w:w="2242" w:type="dxa"/>
          </w:tcPr>
          <w:p w14:paraId="5F974E2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посадочная</w:t>
            </w:r>
          </w:p>
        </w:tc>
        <w:tc>
          <w:tcPr>
            <w:tcW w:w="2242" w:type="dxa"/>
          </w:tcPr>
          <w:p w14:paraId="4A9EC6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2242" w:type="dxa"/>
          </w:tcPr>
          <w:p w14:paraId="481FBE6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125</w:t>
            </w:r>
          </w:p>
        </w:tc>
        <w:tc>
          <w:tcPr>
            <w:tcW w:w="2242" w:type="dxa"/>
          </w:tcPr>
          <w:p w14:paraId="04D94B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tc>
        <w:tc>
          <w:tcPr>
            <w:tcW w:w="2242" w:type="dxa"/>
          </w:tcPr>
          <w:p w14:paraId="1F2575D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tc>
      </w:tr>
      <w:tr w:rsidR="000F5689" w:rsidRPr="00925F26" w14:paraId="0A29DFF9" w14:textId="77777777">
        <w:tc>
          <w:tcPr>
            <w:tcW w:w="2242" w:type="dxa"/>
          </w:tcPr>
          <w:p w14:paraId="27EDA19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Практический потолок, м</w:t>
            </w:r>
          </w:p>
        </w:tc>
        <w:tc>
          <w:tcPr>
            <w:tcW w:w="2242" w:type="dxa"/>
          </w:tcPr>
          <w:p w14:paraId="625CF8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6750</w:t>
            </w:r>
          </w:p>
        </w:tc>
        <w:tc>
          <w:tcPr>
            <w:tcW w:w="2242" w:type="dxa"/>
          </w:tcPr>
          <w:p w14:paraId="23AE38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6260</w:t>
            </w:r>
          </w:p>
        </w:tc>
        <w:tc>
          <w:tcPr>
            <w:tcW w:w="2242" w:type="dxa"/>
          </w:tcPr>
          <w:p w14:paraId="6DB2C0C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7000</w:t>
            </w:r>
          </w:p>
        </w:tc>
        <w:tc>
          <w:tcPr>
            <w:tcW w:w="2242" w:type="dxa"/>
          </w:tcPr>
          <w:p w14:paraId="7D99A3B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6350</w:t>
            </w:r>
          </w:p>
        </w:tc>
      </w:tr>
      <w:tr w:rsidR="000F5689" w:rsidRPr="00925F26" w14:paraId="4593E3CD" w14:textId="77777777">
        <w:tc>
          <w:tcPr>
            <w:tcW w:w="2242" w:type="dxa"/>
          </w:tcPr>
          <w:p w14:paraId="0382142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Время набора высоты 3000 м, мин</w:t>
            </w:r>
          </w:p>
        </w:tc>
        <w:tc>
          <w:tcPr>
            <w:tcW w:w="2242" w:type="dxa"/>
          </w:tcPr>
          <w:p w14:paraId="304AB9B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9,7</w:t>
            </w:r>
          </w:p>
        </w:tc>
        <w:tc>
          <w:tcPr>
            <w:tcW w:w="2242" w:type="dxa"/>
          </w:tcPr>
          <w:p w14:paraId="3DC43E4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7,6</w:t>
            </w:r>
          </w:p>
        </w:tc>
        <w:tc>
          <w:tcPr>
            <w:tcW w:w="2242" w:type="dxa"/>
          </w:tcPr>
          <w:p w14:paraId="2C9639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8,5</w:t>
            </w:r>
          </w:p>
        </w:tc>
        <w:tc>
          <w:tcPr>
            <w:tcW w:w="2242" w:type="dxa"/>
          </w:tcPr>
          <w:p w14:paraId="1A3A31C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w:t>
            </w:r>
          </w:p>
        </w:tc>
      </w:tr>
      <w:tr w:rsidR="000F5689" w:rsidRPr="00925F26" w14:paraId="6BE2488C" w14:textId="77777777">
        <w:tc>
          <w:tcPr>
            <w:tcW w:w="2242" w:type="dxa"/>
          </w:tcPr>
          <w:p w14:paraId="559700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Дальность макс., км</w:t>
            </w:r>
          </w:p>
        </w:tc>
        <w:tc>
          <w:tcPr>
            <w:tcW w:w="2242" w:type="dxa"/>
          </w:tcPr>
          <w:p w14:paraId="1D05627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870"</w:t>
            </w:r>
          </w:p>
        </w:tc>
        <w:tc>
          <w:tcPr>
            <w:tcW w:w="2242" w:type="dxa"/>
          </w:tcPr>
          <w:p w14:paraId="729FC5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10002'</w:t>
            </w:r>
          </w:p>
        </w:tc>
        <w:tc>
          <w:tcPr>
            <w:tcW w:w="2242" w:type="dxa"/>
          </w:tcPr>
          <w:p w14:paraId="765B330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940</w:t>
            </w:r>
          </w:p>
        </w:tc>
        <w:tc>
          <w:tcPr>
            <w:tcW w:w="2242" w:type="dxa"/>
          </w:tcPr>
          <w:p w14:paraId="23C2311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1025</w:t>
            </w:r>
          </w:p>
        </w:tc>
      </w:tr>
      <w:tr w:rsidR="000F5689" w:rsidRPr="00925F26" w14:paraId="1D630244" w14:textId="77777777">
        <w:tc>
          <w:tcPr>
            <w:tcW w:w="2242" w:type="dxa"/>
            <w:tcBorders>
              <w:bottom w:val="single" w:sz="12" w:space="0" w:color="auto"/>
            </w:tcBorders>
          </w:tcPr>
          <w:p w14:paraId="6306131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Разбег/пробег, м</w:t>
            </w:r>
          </w:p>
        </w:tc>
        <w:tc>
          <w:tcPr>
            <w:tcW w:w="2242" w:type="dxa"/>
            <w:tcBorders>
              <w:bottom w:val="single" w:sz="12" w:space="0" w:color="auto"/>
            </w:tcBorders>
          </w:tcPr>
          <w:p w14:paraId="7B17AA2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400/390</w:t>
            </w:r>
          </w:p>
        </w:tc>
        <w:tc>
          <w:tcPr>
            <w:tcW w:w="2242" w:type="dxa"/>
            <w:tcBorders>
              <w:bottom w:val="single" w:sz="12" w:space="0" w:color="auto"/>
            </w:tcBorders>
          </w:tcPr>
          <w:p w14:paraId="55E8897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415/440</w:t>
            </w:r>
          </w:p>
        </w:tc>
        <w:tc>
          <w:tcPr>
            <w:tcW w:w="2242" w:type="dxa"/>
            <w:tcBorders>
              <w:bottom w:val="single" w:sz="12" w:space="0" w:color="auto"/>
            </w:tcBorders>
          </w:tcPr>
          <w:p w14:paraId="54EE83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420/415</w:t>
            </w:r>
          </w:p>
        </w:tc>
        <w:tc>
          <w:tcPr>
            <w:tcW w:w="2242" w:type="dxa"/>
            <w:tcBorders>
              <w:bottom w:val="single" w:sz="12" w:space="0" w:color="auto"/>
            </w:tcBorders>
          </w:tcPr>
          <w:p w14:paraId="5D3D8D4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450/430</w:t>
            </w:r>
          </w:p>
        </w:tc>
      </w:tr>
    </w:tbl>
    <w:p w14:paraId="7A5ABA2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Расчетная.</w:t>
      </w:r>
    </w:p>
    <w:p w14:paraId="05A34C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С бомбовой нагрузкой.</w:t>
      </w:r>
    </w:p>
    <w:p w14:paraId="64ACFE4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Без бомб.</w:t>
      </w:r>
    </w:p>
    <w:p w14:paraId="5BA3FE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Следует отметить, что УТБ пользовался популярностью среди летного состава и машины вырабатывали свой ресурс до предела. Например, в 1951 году одну сильно изношенную машину временно передали в МАП. Определив техническое состояние, моторостроительный завод предложил ее списать. Но владелец, узнав об этом, запротестовал, обвинив последнего в негосударственном подходе и потребовал отремонтировать УТБ. С наступлением эры реактивной авиации функции УТБ прочно и на десятилетия перешли к учебному самолету Ил-28У (12035). </w:t>
      </w:r>
    </w:p>
    <w:p w14:paraId="3D542A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после замены разрушенного фюзеляжа новым, И-225 №02 ПОКИНУЛ сборочный цех. На заводских испытаниях второго экземпляра И-225 была достигнута максимальная скорость 560 км/ ч у земли и 726 км/ч на высоте 10000 м, которую самолет набирал за 8,8 мин. Время подъема на высоту 5000 м составило 4 мин. (5852,40).</w:t>
      </w:r>
    </w:p>
    <w:p w14:paraId="60F9F9E5" w14:textId="77777777" w:rsidR="006103B3" w:rsidRPr="00925F26" w:rsidRDefault="006103B3" w:rsidP="00925F26">
      <w:pPr>
        <w:autoSpaceDE w:val="0"/>
        <w:autoSpaceDN w:val="0"/>
        <w:adjustRightInd w:val="0"/>
        <w:jc w:val="both"/>
        <w:rPr>
          <w:color w:val="000000" w:themeColor="text1"/>
          <w:sz w:val="16"/>
          <w:szCs w:val="16"/>
        </w:rPr>
      </w:pPr>
    </w:p>
    <w:p w14:paraId="2480E1A3" w14:textId="77777777" w:rsidR="006D1A4B" w:rsidRPr="001A0BAA" w:rsidRDefault="006D1A4B" w:rsidP="006D1A4B">
      <w:pPr>
        <w:jc w:val="both"/>
        <w:rPr>
          <w:color w:val="0070C0"/>
          <w:sz w:val="16"/>
          <w:szCs w:val="16"/>
        </w:rPr>
      </w:pPr>
      <w:r w:rsidRPr="001A0BAA">
        <w:rPr>
          <w:color w:val="0070C0"/>
          <w:sz w:val="16"/>
          <w:szCs w:val="16"/>
        </w:rPr>
        <w:t>В июне 1945 года задание на разработку учебно-тренировочный бомбардировщик УТБ получило ОКБ, возглавлявшееся П О. Сухим В соответствии с тематическим планом МАП на 1946 год требовалось создать учебно-тренировочный бомбардировщик (УТБ) со скоростью не менее 375 км/ч на высоте 2000 метров, способный набирать 3000 метров за 11 минут, иметь практический потолок 6000 метров и дальность 800 км при посадочной скорости не более 125 км/ч.</w:t>
      </w:r>
    </w:p>
    <w:p w14:paraId="7F5CE75A" w14:textId="77777777" w:rsidR="006D1A4B" w:rsidRPr="001A0BAA" w:rsidRDefault="006D1A4B" w:rsidP="006D1A4B">
      <w:pPr>
        <w:jc w:val="both"/>
        <w:rPr>
          <w:color w:val="0070C0"/>
          <w:sz w:val="16"/>
          <w:szCs w:val="16"/>
        </w:rPr>
      </w:pPr>
      <w:r w:rsidRPr="001A0BAA">
        <w:rPr>
          <w:color w:val="0070C0"/>
          <w:sz w:val="16"/>
          <w:szCs w:val="16"/>
        </w:rPr>
        <w:t>Самолет должен был поднимать 200 кг бомб, а в перегрузку - 400 кг. Хотя машина рассчитывалась на экипаж из трех человек, на борту предусмотрели четыре рабочих места: двух пилотов, штурмана и стрелка-радиста.</w:t>
      </w:r>
    </w:p>
    <w:p w14:paraId="2A24704B" w14:textId="77777777" w:rsidR="006D1A4B" w:rsidRPr="001A0BAA" w:rsidRDefault="006D1A4B" w:rsidP="006D1A4B">
      <w:pPr>
        <w:jc w:val="both"/>
        <w:rPr>
          <w:color w:val="0070C0"/>
          <w:sz w:val="16"/>
          <w:szCs w:val="16"/>
        </w:rPr>
      </w:pPr>
      <w:r w:rsidRPr="001A0BAA">
        <w:rPr>
          <w:color w:val="0070C0"/>
          <w:sz w:val="16"/>
          <w:szCs w:val="16"/>
        </w:rPr>
        <w:t>В основу УТБ положили все тот же проверенный Ту-2. В соответствии с заданием пол</w:t>
      </w:r>
      <w:r w:rsidRPr="001A0BAA">
        <w:rPr>
          <w:color w:val="0070C0"/>
          <w:sz w:val="16"/>
          <w:szCs w:val="16"/>
        </w:rPr>
        <w:softHyphen/>
        <w:t>ностью переделали носовую часть фюзеляжа, разместив курсанта и инструктора в ряд. Из-за этого фюзеляж получил специфическую форму головастика. Грузовой отсек заделали, раз</w:t>
      </w:r>
      <w:r w:rsidRPr="001A0BAA">
        <w:rPr>
          <w:color w:val="0070C0"/>
          <w:sz w:val="16"/>
          <w:szCs w:val="16"/>
        </w:rPr>
        <w:softHyphen/>
        <w:t>местив бомбы на наружной подвеске. В связи со значительно меньшим взлетным весом по сравнению с Ту-2 облегчили шасси.</w:t>
      </w:r>
    </w:p>
    <w:p w14:paraId="52F4A5D1" w14:textId="77777777" w:rsidR="006D1A4B" w:rsidRPr="001A0BAA" w:rsidRDefault="006D1A4B" w:rsidP="006D1A4B">
      <w:pPr>
        <w:jc w:val="both"/>
        <w:rPr>
          <w:color w:val="0070C0"/>
          <w:sz w:val="16"/>
          <w:szCs w:val="16"/>
        </w:rPr>
      </w:pPr>
      <w:r w:rsidRPr="001A0BAA">
        <w:rPr>
          <w:color w:val="0070C0"/>
          <w:sz w:val="16"/>
          <w:szCs w:val="16"/>
        </w:rPr>
        <w:t>Двигатели заменили менее мощными АШ-21 с карбюратором (однорядная звезда воз</w:t>
      </w:r>
      <w:r w:rsidRPr="001A0BAA">
        <w:rPr>
          <w:color w:val="0070C0"/>
          <w:sz w:val="16"/>
          <w:szCs w:val="16"/>
        </w:rPr>
        <w:softHyphen/>
        <w:t>душного охлаждения с приводным центробежным нагнетателем, создан на базе АШ-82ФН) взлетной мощностью 700 л.с. Ведь УТБ не требовались большие скорость и грузоподъем</w:t>
      </w:r>
      <w:r w:rsidRPr="001A0BAA">
        <w:rPr>
          <w:color w:val="0070C0"/>
          <w:sz w:val="16"/>
          <w:szCs w:val="16"/>
        </w:rPr>
        <w:softHyphen/>
        <w:t>ность, зато появилась возможность снизить эксплуатационные расходы. Доработали топлив</w:t>
      </w:r>
      <w:r w:rsidRPr="001A0BAA">
        <w:rPr>
          <w:color w:val="0070C0"/>
          <w:sz w:val="16"/>
          <w:szCs w:val="16"/>
        </w:rPr>
        <w:softHyphen/>
        <w:t>ную и масляную системы. Были и другие, более мелкие изменения, связанные с новым функ</w:t>
      </w:r>
      <w:r w:rsidRPr="001A0BAA">
        <w:rPr>
          <w:color w:val="0070C0"/>
          <w:sz w:val="16"/>
          <w:szCs w:val="16"/>
        </w:rPr>
        <w:softHyphen/>
        <w:t>циональным назначением машины.</w:t>
      </w:r>
    </w:p>
    <w:p w14:paraId="0E8A2217" w14:textId="77777777" w:rsidR="006D1A4B" w:rsidRPr="001A0BAA" w:rsidRDefault="006D1A4B" w:rsidP="006D1A4B">
      <w:pPr>
        <w:jc w:val="both"/>
        <w:rPr>
          <w:color w:val="0070C0"/>
          <w:sz w:val="16"/>
          <w:szCs w:val="16"/>
        </w:rPr>
      </w:pPr>
      <w:r w:rsidRPr="001A0BAA">
        <w:rPr>
          <w:color w:val="0070C0"/>
          <w:sz w:val="16"/>
          <w:szCs w:val="16"/>
        </w:rPr>
        <w:t>Для подготовки воздушных стрелков и штурманов предусмотрели верхнюю огра</w:t>
      </w:r>
      <w:r w:rsidRPr="001A0BAA">
        <w:rPr>
          <w:color w:val="0070C0"/>
          <w:sz w:val="16"/>
          <w:szCs w:val="16"/>
        </w:rPr>
        <w:softHyphen/>
        <w:t>ниченно подвижную стрелковую установку с фотопулеметом ПАУ-22 и пулеметом УБТ калибра 12,7 мм (боезапас 60 патронов), «защищавшую» задний сектор верхней полусферы. Для отработки упражнений, связанных со «стрельбой» вперед, имелся еще один ПАУ-22 (24991).</w:t>
      </w:r>
    </w:p>
    <w:p w14:paraId="644A73B1" w14:textId="77777777" w:rsidR="006D1A4B" w:rsidRPr="001A0BAA" w:rsidRDefault="006D1A4B" w:rsidP="006D1A4B">
      <w:pPr>
        <w:jc w:val="both"/>
        <w:rPr>
          <w:color w:val="0070C0"/>
          <w:sz w:val="16"/>
          <w:szCs w:val="16"/>
        </w:rPr>
      </w:pPr>
    </w:p>
    <w:p w14:paraId="70F4AB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коллектив микояновского ОКБ-155 приступил к разработке одноместного истребителя с двумя реактивными двигателями BMW 003, который получил наименование И-300 и заводской шифр "Ф". Первоначально в соответствии с утвержденным графиком проектирования и постройки срок готовности первого экземпляра на аэродром был определен 15 октября 1945 г. В отличие от истребителя И-260, проект которого в ОКБ прорабатывали с мая, у И-300 двигатели разместили не под консолями крыла (как на Ме-262), а в фюзеляже. Такая компоновка была признана наиболее удачной, поэтому работы над И-260 были свернуты, а все силы ОКБ сосредоточились на И-300. Ведущим инженером по теме был назначен А.Г. Брунов, ведущим инженером по летным испытаниям - А.Т. Карев (11179).</w:t>
      </w:r>
    </w:p>
    <w:p w14:paraId="756C9066" w14:textId="77777777" w:rsidR="006103B3" w:rsidRPr="00925F26" w:rsidRDefault="006103B3" w:rsidP="00925F26">
      <w:pPr>
        <w:autoSpaceDE w:val="0"/>
        <w:autoSpaceDN w:val="0"/>
        <w:adjustRightInd w:val="0"/>
        <w:jc w:val="both"/>
        <w:rPr>
          <w:color w:val="000000" w:themeColor="text1"/>
          <w:sz w:val="16"/>
          <w:szCs w:val="16"/>
        </w:rPr>
      </w:pPr>
    </w:p>
    <w:p w14:paraId="60ECA23F" w14:textId="77777777" w:rsidR="00500674" w:rsidRPr="00925F26" w:rsidRDefault="00500674" w:rsidP="00925F26">
      <w:pPr>
        <w:jc w:val="both"/>
        <w:rPr>
          <w:color w:val="000000" w:themeColor="text1"/>
          <w:sz w:val="16"/>
          <w:szCs w:val="16"/>
        </w:rPr>
      </w:pPr>
      <w:r w:rsidRPr="00925F26">
        <w:rPr>
          <w:color w:val="000000" w:themeColor="text1"/>
          <w:sz w:val="16"/>
          <w:szCs w:val="16"/>
        </w:rPr>
        <w:t>В июне 1945 г. ОКБ-155 приступило к разработке нового истребителя И-300 с двумя турбореактивными двигателями BMW-003. Первоначальный оптимизм по поводу И-250 стал угасать, а работы по нему отошли на второй план.</w:t>
      </w:r>
    </w:p>
    <w:p w14:paraId="71193B34" w14:textId="77777777" w:rsidR="00500674" w:rsidRPr="00925F26" w:rsidRDefault="00500674" w:rsidP="00925F26">
      <w:pPr>
        <w:jc w:val="both"/>
        <w:rPr>
          <w:color w:val="000000" w:themeColor="text1"/>
          <w:sz w:val="16"/>
          <w:szCs w:val="16"/>
        </w:rPr>
      </w:pPr>
      <w:r w:rsidRPr="00925F26">
        <w:rPr>
          <w:color w:val="000000" w:themeColor="text1"/>
          <w:sz w:val="16"/>
          <w:szCs w:val="16"/>
        </w:rPr>
        <w:t>Тем не менее испытания И-250 продолжались. В сентябре 1945 г. эстафету принял летчик-испытатель А.Н. Чернобуров, пришедший в ОКБ-155 с завода № 163, а 21 сентября свой первый ознакомительный полет на истребителе совершил И.Т. Иващенко, которого перевели с завода № 301. Одновременно шла подготовка серии на заводе № 381 в Москве (12207).</w:t>
      </w:r>
    </w:p>
    <w:p w14:paraId="70011E71" w14:textId="77777777" w:rsidR="00500674" w:rsidRPr="00925F26" w:rsidRDefault="00500674" w:rsidP="00925F26">
      <w:pPr>
        <w:jc w:val="both"/>
        <w:rPr>
          <w:color w:val="000000" w:themeColor="text1"/>
          <w:sz w:val="16"/>
          <w:szCs w:val="16"/>
        </w:rPr>
      </w:pPr>
    </w:p>
    <w:p w14:paraId="75F9CC42" w14:textId="77777777" w:rsidR="00500674" w:rsidRPr="00925F26" w:rsidRDefault="00500674" w:rsidP="00925F26">
      <w:pPr>
        <w:jc w:val="both"/>
        <w:rPr>
          <w:color w:val="000000" w:themeColor="text1"/>
          <w:sz w:val="16"/>
          <w:szCs w:val="16"/>
        </w:rPr>
      </w:pPr>
      <w:r w:rsidRPr="00925F26">
        <w:rPr>
          <w:color w:val="000000" w:themeColor="text1"/>
          <w:sz w:val="16"/>
          <w:szCs w:val="16"/>
        </w:rPr>
        <w:t>В июне 1945 г. коллектив ОКБ-155 приступил к разработке одноместного истребителя с двумя реактивными двигателями BMW-003. Самолет получил наименование И-300 и заводской шифр «Ф». В соответствии с утвержденным графиком проектирования и постройки выкатка первого экземпляра на аэродром была запланирована на 15 октября 1945 г.</w:t>
      </w:r>
      <w:r w:rsidR="00C46885" w:rsidRPr="00925F26">
        <w:rPr>
          <w:color w:val="000000" w:themeColor="text1"/>
          <w:sz w:val="16"/>
          <w:szCs w:val="16"/>
        </w:rPr>
        <w:fldChar w:fldCharType="begin"/>
      </w:r>
      <w:r w:rsidR="00C46885" w:rsidRPr="00925F26">
        <w:rPr>
          <w:color w:val="000000" w:themeColor="text1"/>
          <w:sz w:val="16"/>
          <w:szCs w:val="16"/>
        </w:rPr>
        <w:instrText xml:space="preserve">ref HYPERLINK  \l "n_182" \* MERGEFORMAT </w:instrText>
      </w:r>
      <w:r w:rsidR="00C46885" w:rsidRPr="00925F26">
        <w:rPr>
          <w:color w:val="000000" w:themeColor="text1"/>
          <w:sz w:val="16"/>
          <w:szCs w:val="16"/>
        </w:rPr>
        <w:fldChar w:fldCharType="separate"/>
      </w:r>
      <w:r w:rsidRPr="00925F26">
        <w:rPr>
          <w:color w:val="000000" w:themeColor="text1"/>
          <w:sz w:val="16"/>
          <w:szCs w:val="16"/>
        </w:rPr>
        <w:t>[182]</w:t>
      </w:r>
      <w:r w:rsidR="00C46885" w:rsidRPr="00925F26">
        <w:rPr>
          <w:color w:val="000000" w:themeColor="text1"/>
          <w:sz w:val="16"/>
          <w:szCs w:val="16"/>
        </w:rPr>
        <w:fldChar w:fldCharType="end"/>
      </w:r>
      <w:r w:rsidRPr="00925F26">
        <w:rPr>
          <w:color w:val="000000" w:themeColor="text1"/>
          <w:sz w:val="16"/>
          <w:szCs w:val="16"/>
        </w:rPr>
        <w:t xml:space="preserve"> Ведущим инженером по теме был назначен А.Г. Брунов, ведущим инженером по летным испытаниям – А.Т. Карев. В конце осени был утвержден рабочий проект машины и началась постройка макета, а в опытном производстве изготовление агрегатов и узлов (12207).</w:t>
      </w:r>
    </w:p>
    <w:p w14:paraId="0B1DFFE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июне 1945 г. в ГК НИИ ВВС был испытан серийный самолет завода N 21 с новой конструкцией вентиляции, который показал, что при работе мотора </w:t>
      </w:r>
      <w:proofErr w:type="gramStart"/>
      <w:r w:rsidRPr="00925F26">
        <w:rPr>
          <w:color w:val="000000" w:themeColor="text1"/>
          <w:sz w:val="16"/>
          <w:szCs w:val="16"/>
        </w:rPr>
        <w:t>на форса же</w:t>
      </w:r>
      <w:proofErr w:type="gramEnd"/>
      <w:r w:rsidRPr="00925F26">
        <w:rPr>
          <w:color w:val="000000" w:themeColor="text1"/>
          <w:sz w:val="16"/>
          <w:szCs w:val="16"/>
        </w:rPr>
        <w:t xml:space="preserve"> вблизи земли и при температуре наружного воздуха +15 градусов С, температура в кабине равна 38 градусов (1879,210).</w:t>
      </w:r>
    </w:p>
    <w:p w14:paraId="18EE36FA" w14:textId="77777777" w:rsidR="006103B3" w:rsidRPr="00925F26" w:rsidRDefault="006103B3" w:rsidP="00925F26">
      <w:pPr>
        <w:autoSpaceDE w:val="0"/>
        <w:autoSpaceDN w:val="0"/>
        <w:adjustRightInd w:val="0"/>
        <w:jc w:val="both"/>
        <w:rPr>
          <w:color w:val="000000" w:themeColor="text1"/>
          <w:sz w:val="16"/>
          <w:szCs w:val="16"/>
        </w:rPr>
      </w:pPr>
    </w:p>
    <w:p w14:paraId="3D3A04F5" w14:textId="77777777" w:rsidR="00FA1D24" w:rsidRPr="00925F26" w:rsidRDefault="00FA1D24" w:rsidP="00925F26">
      <w:pPr>
        <w:jc w:val="both"/>
        <w:rPr>
          <w:color w:val="000000" w:themeColor="text1"/>
          <w:sz w:val="16"/>
          <w:szCs w:val="16"/>
        </w:rPr>
      </w:pPr>
      <w:r w:rsidRPr="00925F26">
        <w:rPr>
          <w:color w:val="000000" w:themeColor="text1"/>
          <w:sz w:val="16"/>
          <w:szCs w:val="16"/>
        </w:rPr>
        <w:t>В июне 1945 в ОКБ-155 компоновку машины, получившей назва</w:t>
      </w:r>
      <w:r w:rsidRPr="00925F26">
        <w:rPr>
          <w:color w:val="000000" w:themeColor="text1"/>
          <w:sz w:val="16"/>
          <w:szCs w:val="16"/>
        </w:rPr>
        <w:softHyphen/>
        <w:t>ние И-290 и заводской шифр «Z» с Jumo 004В с тягой 900 кгс под консолями крыла, сменили на «К» и полностью переработали. Двигатели решили установить не под консолями крыла, а в фюзеляже, вписав их в его обво</w:t>
      </w:r>
      <w:r w:rsidRPr="00925F26">
        <w:rPr>
          <w:color w:val="000000" w:themeColor="text1"/>
          <w:sz w:val="16"/>
          <w:szCs w:val="16"/>
        </w:rPr>
        <w:softHyphen/>
        <w:t>ды. Во-первых, такое размещение являлось наиболее выгодным в отношении миделя и интерференции, све</w:t>
      </w:r>
      <w:r w:rsidRPr="00925F26">
        <w:rPr>
          <w:color w:val="000000" w:themeColor="text1"/>
          <w:sz w:val="16"/>
          <w:szCs w:val="16"/>
        </w:rPr>
        <w:softHyphen/>
        <w:t>дённой к минимуму благодаря отсутствию мотогондол на крыле. Во-вторых, расположение двух двигателей ря</w:t>
      </w:r>
      <w:r w:rsidRPr="00925F26">
        <w:rPr>
          <w:color w:val="000000" w:themeColor="text1"/>
          <w:sz w:val="16"/>
          <w:szCs w:val="16"/>
        </w:rPr>
        <w:softHyphen/>
        <w:t>дом практически не нарушало управляемость машины в случае выхода из строя одного из них и давало воз</w:t>
      </w:r>
      <w:r w:rsidRPr="00925F26">
        <w:rPr>
          <w:color w:val="000000" w:themeColor="text1"/>
          <w:sz w:val="16"/>
          <w:szCs w:val="16"/>
        </w:rPr>
        <w:softHyphen/>
        <w:t>можность вполне сносно лететь на одном исправном.</w:t>
      </w:r>
    </w:p>
    <w:p w14:paraId="75DD030B" w14:textId="77777777" w:rsidR="00FA1D24" w:rsidRPr="00925F26" w:rsidRDefault="00FA1D24" w:rsidP="00925F26">
      <w:pPr>
        <w:jc w:val="both"/>
        <w:rPr>
          <w:color w:val="000000" w:themeColor="text1"/>
          <w:sz w:val="16"/>
          <w:szCs w:val="16"/>
        </w:rPr>
      </w:pPr>
      <w:r w:rsidRPr="00925F26">
        <w:rPr>
          <w:color w:val="000000" w:themeColor="text1"/>
          <w:sz w:val="16"/>
          <w:szCs w:val="16"/>
        </w:rPr>
        <w:t>Чтобы не слишком раздувать фюзеляж, реши</w:t>
      </w:r>
      <w:r w:rsidRPr="00925F26">
        <w:rPr>
          <w:color w:val="000000" w:themeColor="text1"/>
          <w:sz w:val="16"/>
          <w:szCs w:val="16"/>
        </w:rPr>
        <w:softHyphen/>
        <w:t>ли использовать менее габаритные BMW 003, имев</w:t>
      </w:r>
      <w:r w:rsidRPr="00925F26">
        <w:rPr>
          <w:color w:val="000000" w:themeColor="text1"/>
          <w:sz w:val="16"/>
          <w:szCs w:val="16"/>
        </w:rPr>
        <w:softHyphen/>
        <w:t>шие максимальные диаметр 680 мм и длину 3300 мм (у Jumo 004В — соответственно 810 мм и 3940 мм). Правда, при этом пришлось согласиться с уменьшени</w:t>
      </w:r>
      <w:r w:rsidRPr="00925F26">
        <w:rPr>
          <w:color w:val="000000" w:themeColor="text1"/>
          <w:sz w:val="16"/>
          <w:szCs w:val="16"/>
        </w:rPr>
        <w:softHyphen/>
        <w:t>ем суммарной тяги. Огневую мощь у И-290 увеличи</w:t>
      </w:r>
      <w:r w:rsidRPr="00925F26">
        <w:rPr>
          <w:color w:val="000000" w:themeColor="text1"/>
          <w:sz w:val="16"/>
          <w:szCs w:val="16"/>
        </w:rPr>
        <w:softHyphen/>
        <w:t>ли, выбрав в качестве главного калибра 57-мм пушку с боезапасом 20 патронов. Кроме того, до 1600 литров вырос запас топлива. Истребителю присвоили новый шифр «Ф», а затем, в июле, и новое название И-300 (23379).</w:t>
      </w:r>
    </w:p>
    <w:p w14:paraId="3ACAA73F" w14:textId="77777777" w:rsidR="00FA1D24" w:rsidRPr="00925F26" w:rsidRDefault="00FA1D24" w:rsidP="00925F26">
      <w:pPr>
        <w:jc w:val="both"/>
        <w:rPr>
          <w:color w:val="000000" w:themeColor="text1"/>
          <w:sz w:val="16"/>
          <w:szCs w:val="16"/>
        </w:rPr>
      </w:pPr>
    </w:p>
    <w:p w14:paraId="0B7EE53F" w14:textId="77777777" w:rsidR="00FA1D24" w:rsidRPr="00925F26" w:rsidRDefault="00FA1D24" w:rsidP="00925F26">
      <w:pPr>
        <w:jc w:val="both"/>
        <w:rPr>
          <w:color w:val="000000" w:themeColor="text1"/>
          <w:sz w:val="16"/>
          <w:szCs w:val="16"/>
        </w:rPr>
      </w:pPr>
      <w:r w:rsidRPr="00925F26">
        <w:rPr>
          <w:color w:val="000000" w:themeColor="text1"/>
          <w:sz w:val="16"/>
          <w:szCs w:val="16"/>
        </w:rPr>
        <w:t>В июне 1945 г. в ОКБ-155 приступили к выпуску рабочих чертежей реактивного истребителя, опытное производство начало готовить оснаст</w:t>
      </w:r>
      <w:r w:rsidRPr="00925F26">
        <w:rPr>
          <w:color w:val="000000" w:themeColor="text1"/>
          <w:sz w:val="16"/>
          <w:szCs w:val="16"/>
        </w:rPr>
        <w:softHyphen/>
        <w:t>ку, и в августе уже можно было собирать агрегаты и узлы планера. Для экономии времени от изготовления макета отказались, рассудив, что всё равно многое придётся менять по ходу рабо</w:t>
      </w:r>
      <w:r w:rsidRPr="00925F26">
        <w:rPr>
          <w:color w:val="000000" w:themeColor="text1"/>
          <w:sz w:val="16"/>
          <w:szCs w:val="16"/>
        </w:rPr>
        <w:softHyphen/>
        <w:t>ты (23379).</w:t>
      </w:r>
    </w:p>
    <w:p w14:paraId="1E2D4EB2" w14:textId="77777777" w:rsidR="00FA1D24" w:rsidRPr="00925F26" w:rsidRDefault="00FA1D24" w:rsidP="00925F26">
      <w:pPr>
        <w:jc w:val="both"/>
        <w:rPr>
          <w:color w:val="000000" w:themeColor="text1"/>
          <w:sz w:val="16"/>
          <w:szCs w:val="16"/>
        </w:rPr>
      </w:pPr>
    </w:p>
    <w:p w14:paraId="4B30CDF7" w14:textId="77777777" w:rsidR="00FA1D24" w:rsidRPr="00925F26" w:rsidRDefault="00FA1D24" w:rsidP="00925F26">
      <w:pPr>
        <w:jc w:val="both"/>
        <w:rPr>
          <w:color w:val="000000" w:themeColor="text1"/>
          <w:sz w:val="16"/>
          <w:szCs w:val="16"/>
        </w:rPr>
      </w:pPr>
      <w:r w:rsidRPr="00925F26">
        <w:rPr>
          <w:color w:val="000000" w:themeColor="text1"/>
          <w:sz w:val="16"/>
          <w:szCs w:val="16"/>
        </w:rPr>
        <w:t>В июне 1945 г. отремонтированный И-225 №02 сдали на 2-й этап заводских испытаний. В его ходе были достигнуты ещё более высокие летные данные - ско</w:t>
      </w:r>
      <w:r w:rsidRPr="00925F26">
        <w:rPr>
          <w:color w:val="000000" w:themeColor="text1"/>
          <w:sz w:val="16"/>
          <w:szCs w:val="16"/>
        </w:rPr>
        <w:softHyphen/>
        <w:t>рость 726 км/ч на границе высотности 10 000 м, время набора которой состави</w:t>
      </w:r>
      <w:r w:rsidRPr="00925F26">
        <w:rPr>
          <w:color w:val="000000" w:themeColor="text1"/>
          <w:sz w:val="16"/>
          <w:szCs w:val="16"/>
        </w:rPr>
        <w:softHyphen/>
        <w:t>ло 8,8 мин. Хотя даже после занявшей по</w:t>
      </w:r>
      <w:r w:rsidRPr="00925F26">
        <w:rPr>
          <w:color w:val="000000" w:themeColor="text1"/>
          <w:sz w:val="16"/>
          <w:szCs w:val="16"/>
        </w:rPr>
        <w:softHyphen/>
        <w:t>чти три месяца доводки не было полу</w:t>
      </w:r>
      <w:r w:rsidRPr="00925F26">
        <w:rPr>
          <w:color w:val="000000" w:themeColor="text1"/>
          <w:sz w:val="16"/>
          <w:szCs w:val="16"/>
        </w:rPr>
        <w:softHyphen/>
        <w:t>чено главное - устойчивая работа мото</w:t>
      </w:r>
      <w:r w:rsidRPr="00925F26">
        <w:rPr>
          <w:color w:val="000000" w:themeColor="text1"/>
          <w:sz w:val="16"/>
          <w:szCs w:val="16"/>
        </w:rPr>
        <w:softHyphen/>
        <w:t>ра АМ-42ФБ и его наддува, вышел приказ о гоиспытаниях (23586).</w:t>
      </w:r>
    </w:p>
    <w:p w14:paraId="2A5A6BA0" w14:textId="77777777" w:rsidR="00FA1D24" w:rsidRPr="00925F26" w:rsidRDefault="00FA1D24" w:rsidP="00925F26">
      <w:pPr>
        <w:jc w:val="both"/>
        <w:rPr>
          <w:color w:val="000000" w:themeColor="text1"/>
          <w:sz w:val="16"/>
          <w:szCs w:val="16"/>
        </w:rPr>
      </w:pPr>
    </w:p>
    <w:p w14:paraId="0E48BFE6" w14:textId="77777777" w:rsidR="00046A81" w:rsidRPr="00925F26" w:rsidRDefault="00046A81" w:rsidP="00046A81">
      <w:pPr>
        <w:autoSpaceDE w:val="0"/>
        <w:autoSpaceDN w:val="0"/>
        <w:adjustRightInd w:val="0"/>
        <w:jc w:val="both"/>
        <w:rPr>
          <w:color w:val="000000" w:themeColor="text1"/>
          <w:sz w:val="16"/>
          <w:szCs w:val="16"/>
        </w:rPr>
      </w:pPr>
      <w:r w:rsidRPr="00925F26">
        <w:rPr>
          <w:color w:val="000000" w:themeColor="text1"/>
          <w:sz w:val="16"/>
          <w:szCs w:val="16"/>
        </w:rPr>
        <w:t xml:space="preserve">В июне 1945 г. в ОКБ-155 начали проектные работы над другим вариантом истребителя с двумя двигателями BMW-003, получившим наименование И-300 и шифр "Ф". В отличие от И-260 у И-300 двигатели разместили не на консолях </w:t>
      </w:r>
      <w:proofErr w:type="gramStart"/>
      <w:r w:rsidRPr="00925F26">
        <w:rPr>
          <w:color w:val="000000" w:themeColor="text1"/>
          <w:sz w:val="16"/>
          <w:szCs w:val="16"/>
        </w:rPr>
        <w:t>крыла</w:t>
      </w:r>
      <w:proofErr w:type="gramEnd"/>
      <w:r w:rsidRPr="00925F26">
        <w:rPr>
          <w:color w:val="000000" w:themeColor="text1"/>
          <w:sz w:val="16"/>
          <w:szCs w:val="16"/>
        </w:rPr>
        <w:t xml:space="preserve"> а в фюзеляже. Такая компоновка силовой установки оказалась наиболее перспективной, поэтому работы над И-260 были свернуты (6272).</w:t>
      </w:r>
    </w:p>
    <w:p w14:paraId="17F69095" w14:textId="77777777" w:rsidR="00046A81" w:rsidRPr="00925F26" w:rsidRDefault="00046A81" w:rsidP="00046A81">
      <w:pPr>
        <w:autoSpaceDE w:val="0"/>
        <w:autoSpaceDN w:val="0"/>
        <w:adjustRightInd w:val="0"/>
        <w:jc w:val="both"/>
        <w:rPr>
          <w:color w:val="000000" w:themeColor="text1"/>
          <w:sz w:val="16"/>
          <w:szCs w:val="16"/>
        </w:rPr>
      </w:pPr>
    </w:p>
    <w:p w14:paraId="6915562E" w14:textId="77777777" w:rsidR="00046A81" w:rsidRPr="00925F26" w:rsidRDefault="00046A81" w:rsidP="00046A81">
      <w:pPr>
        <w:autoSpaceDE w:val="0"/>
        <w:autoSpaceDN w:val="0"/>
        <w:adjustRightInd w:val="0"/>
        <w:jc w:val="both"/>
        <w:rPr>
          <w:color w:val="000000" w:themeColor="text1"/>
          <w:sz w:val="16"/>
          <w:szCs w:val="16"/>
        </w:rPr>
      </w:pPr>
      <w:r w:rsidRPr="00925F26">
        <w:rPr>
          <w:color w:val="000000" w:themeColor="text1"/>
          <w:sz w:val="16"/>
          <w:szCs w:val="16"/>
        </w:rPr>
        <w:t>В июне 1945 г. коллектив микояновского ОКБ-155 приступил к разработке одноместного истребителя с двумя реактивными двигателями BMW 003, который получил наименование И-300 и заводской шифр "Ф". Первоначально в соответствии с утвержденным графиком проектирования и постройки срок готовности первого экземпляра на аэродром был определен 15 октября 1945 г. В отличие от истребителя И-260, проект которого в ОКБ прорабатывали с мая, у И-300 двигатели разместили не под консолями крыла (как на Ме-262), а в фюзеляже. Такая компоновка была признана наиболее удачной, поэтому работы над И-260 были свернуты, а все силы ОКБ сосредоточились на И-300. Ведущим инженером по теме был назначен А.Г. Брунов, ведущим инженером по летным испытаниям - А.Т. Карев (11407).</w:t>
      </w:r>
    </w:p>
    <w:p w14:paraId="7298096F" w14:textId="77777777" w:rsidR="00046A81" w:rsidRPr="00925F26" w:rsidRDefault="00046A81" w:rsidP="00046A81">
      <w:pPr>
        <w:autoSpaceDE w:val="0"/>
        <w:autoSpaceDN w:val="0"/>
        <w:adjustRightInd w:val="0"/>
        <w:jc w:val="both"/>
        <w:rPr>
          <w:color w:val="000000" w:themeColor="text1"/>
          <w:sz w:val="16"/>
          <w:szCs w:val="16"/>
        </w:rPr>
      </w:pPr>
    </w:p>
    <w:p w14:paraId="4DAEE8A6" w14:textId="77777777" w:rsidR="00046A81" w:rsidRPr="00925F26" w:rsidRDefault="00046A81" w:rsidP="00046A81">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 1945 в ОКБ МиГ провели ра</w:t>
      </w:r>
      <w:r w:rsidRPr="00925F26">
        <w:rPr>
          <w:color w:val="000000" w:themeColor="text1"/>
          <w:sz w:val="16"/>
          <w:szCs w:val="16"/>
        </w:rPr>
        <w:softHyphen/>
        <w:t>дикальную перекомпоновку машины «2». Двигатели решили разместить не под крыльями, а в фюзеляже. Это дава</w:t>
      </w:r>
      <w:r w:rsidRPr="00925F26">
        <w:rPr>
          <w:color w:val="000000" w:themeColor="text1"/>
          <w:sz w:val="16"/>
          <w:szCs w:val="16"/>
        </w:rPr>
        <w:softHyphen/>
        <w:t>ло возможность совершать крейсерс</w:t>
      </w:r>
      <w:r w:rsidRPr="00925F26">
        <w:rPr>
          <w:color w:val="000000" w:themeColor="text1"/>
          <w:sz w:val="16"/>
          <w:szCs w:val="16"/>
        </w:rPr>
        <w:softHyphen/>
        <w:t>кий полет на одном двигателе, что уве</w:t>
      </w:r>
      <w:r w:rsidRPr="00925F26">
        <w:rPr>
          <w:color w:val="000000" w:themeColor="text1"/>
          <w:sz w:val="16"/>
          <w:szCs w:val="16"/>
        </w:rPr>
        <w:softHyphen/>
        <w:t>личивало продолжительность пребы</w:t>
      </w:r>
      <w:r w:rsidRPr="00925F26">
        <w:rPr>
          <w:color w:val="000000" w:themeColor="text1"/>
          <w:sz w:val="16"/>
          <w:szCs w:val="16"/>
        </w:rPr>
        <w:softHyphen/>
        <w:t>вания самолета в воздухе. Для этой цели использовали менее габаритные ВММ-003 имевшие максимальные диа</w:t>
      </w:r>
      <w:r w:rsidRPr="00925F26">
        <w:rPr>
          <w:color w:val="000000" w:themeColor="text1"/>
          <w:sz w:val="16"/>
          <w:szCs w:val="16"/>
        </w:rPr>
        <w:softHyphen/>
        <w:t>метр и длину соответственно 680 мм и 3300 мм против 810 мм и 3940 мм у ^то-004В. Правда, при этом при</w:t>
      </w:r>
      <w:r w:rsidRPr="00925F26">
        <w:rPr>
          <w:color w:val="000000" w:themeColor="text1"/>
          <w:sz w:val="16"/>
          <w:szCs w:val="16"/>
        </w:rPr>
        <w:softHyphen/>
        <w:t xml:space="preserve">шлось согласиться с уменьшением тяги. Также у И-290 увеличили огневую </w:t>
      </w:r>
      <w:proofErr w:type="gramStart"/>
      <w:r w:rsidRPr="00925F26">
        <w:rPr>
          <w:color w:val="000000" w:themeColor="text1"/>
          <w:sz w:val="16"/>
          <w:szCs w:val="16"/>
        </w:rPr>
        <w:t>мощь,установив</w:t>
      </w:r>
      <w:proofErr w:type="gramEnd"/>
      <w:r w:rsidRPr="00925F26">
        <w:rPr>
          <w:color w:val="000000" w:themeColor="text1"/>
          <w:sz w:val="16"/>
          <w:szCs w:val="16"/>
        </w:rPr>
        <w:t xml:space="preserve"> главным калибром 57-мм пушку с боезапасом 20 патронов. Кроме этого, до 1600 л вырос запас топлива. Истребителю сначала при</w:t>
      </w:r>
      <w:r w:rsidRPr="00925F26">
        <w:rPr>
          <w:color w:val="000000" w:themeColor="text1"/>
          <w:sz w:val="16"/>
          <w:szCs w:val="16"/>
        </w:rPr>
        <w:softHyphen/>
        <w:t>своили новый шифр «Ф», а затем, в июле, и новое наименование И-300. Ведущим инженером по теме назначили А.Г.Брунова, а ведущим инжене</w:t>
      </w:r>
      <w:r w:rsidRPr="00925F26">
        <w:rPr>
          <w:color w:val="000000" w:themeColor="text1"/>
          <w:sz w:val="16"/>
          <w:szCs w:val="16"/>
        </w:rPr>
        <w:softHyphen/>
        <w:t>ром по летным испытаниям А.Т.Каре</w:t>
      </w:r>
      <w:r w:rsidRPr="00925F26">
        <w:rPr>
          <w:color w:val="000000" w:themeColor="text1"/>
          <w:sz w:val="16"/>
          <w:szCs w:val="16"/>
        </w:rPr>
        <w:softHyphen/>
        <w:t>ва. В соответствии с утвержденным графиком проектирования и построй</w:t>
      </w:r>
      <w:r w:rsidRPr="00925F26">
        <w:rPr>
          <w:color w:val="000000" w:themeColor="text1"/>
          <w:sz w:val="16"/>
          <w:szCs w:val="16"/>
        </w:rPr>
        <w:softHyphen/>
        <w:t>ки выкатку первого экземпляра на аэродром запланировали на 15 октяб</w:t>
      </w:r>
      <w:r w:rsidRPr="00925F26">
        <w:rPr>
          <w:color w:val="000000" w:themeColor="text1"/>
          <w:sz w:val="16"/>
          <w:szCs w:val="16"/>
        </w:rPr>
        <w:softHyphen/>
        <w:t>ря 1945 г. Макет машины решили не делать. В ОКБ уже в июне приступили к выпуску рабочих чертежей. В то же время в опытном производстве нача</w:t>
      </w:r>
      <w:r w:rsidRPr="00925F26">
        <w:rPr>
          <w:color w:val="000000" w:themeColor="text1"/>
          <w:sz w:val="16"/>
          <w:szCs w:val="16"/>
        </w:rPr>
        <w:softHyphen/>
        <w:t>ли изготовление стапелей, а с августа приступили к изготовлению агрегатов и узлов. Эскизный проект новой ма</w:t>
      </w:r>
      <w:r w:rsidRPr="00925F26">
        <w:rPr>
          <w:color w:val="000000" w:themeColor="text1"/>
          <w:sz w:val="16"/>
          <w:szCs w:val="16"/>
        </w:rPr>
        <w:softHyphen/>
        <w:t>шины был утвержден в конце осени (11128).</w:t>
      </w:r>
    </w:p>
    <w:p w14:paraId="4A2015ED" w14:textId="77777777" w:rsidR="00046A81" w:rsidRPr="00925F26" w:rsidRDefault="00046A81" w:rsidP="00046A81">
      <w:pPr>
        <w:shd w:val="clear" w:color="auto" w:fill="FFFFFF"/>
        <w:autoSpaceDE w:val="0"/>
        <w:autoSpaceDN w:val="0"/>
        <w:adjustRightInd w:val="0"/>
        <w:jc w:val="both"/>
        <w:rPr>
          <w:color w:val="000000" w:themeColor="text1"/>
          <w:sz w:val="16"/>
          <w:szCs w:val="16"/>
        </w:rPr>
      </w:pPr>
    </w:p>
    <w:p w14:paraId="4BF5F4F9" w14:textId="77777777" w:rsidR="00046A81" w:rsidRPr="00925F26" w:rsidRDefault="00046A81" w:rsidP="00046A81">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xml:space="preserve">В июне 1945 г. второй экземпляр истребителя И—225 во второй раз вывели из сборочного цеха. В ходе заводских испытаний была достигнута максимальная скорость 560 км/ч у земли и 726 км/ч на высоте 10000 м, которую </w:t>
      </w:r>
      <w:r w:rsidRPr="00925F26">
        <w:rPr>
          <w:iCs/>
          <w:color w:val="000000" w:themeColor="text1"/>
          <w:sz w:val="16"/>
          <w:szCs w:val="16"/>
        </w:rPr>
        <w:t xml:space="preserve">И—225 </w:t>
      </w:r>
      <w:r w:rsidRPr="00925F26">
        <w:rPr>
          <w:color w:val="000000" w:themeColor="text1"/>
          <w:sz w:val="16"/>
          <w:szCs w:val="16"/>
        </w:rPr>
        <w:t>наби</w:t>
      </w:r>
      <w:r w:rsidRPr="00925F26">
        <w:rPr>
          <w:color w:val="000000" w:themeColor="text1"/>
          <w:sz w:val="16"/>
          <w:szCs w:val="16"/>
        </w:rPr>
        <w:softHyphen/>
        <w:t>рал всего за 8,8 мин. Время подъема на высоту 5000 м было рекордно малым — всего 4 мин (9984).</w:t>
      </w:r>
    </w:p>
    <w:p w14:paraId="35C3C010" w14:textId="77777777" w:rsidR="00046A81" w:rsidRPr="00925F26" w:rsidRDefault="00046A81" w:rsidP="00046A81">
      <w:pPr>
        <w:shd w:val="clear" w:color="auto" w:fill="FFFFFF"/>
        <w:autoSpaceDE w:val="0"/>
        <w:autoSpaceDN w:val="0"/>
        <w:adjustRightInd w:val="0"/>
        <w:jc w:val="both"/>
        <w:rPr>
          <w:color w:val="000000" w:themeColor="text1"/>
          <w:sz w:val="16"/>
          <w:szCs w:val="16"/>
        </w:rPr>
      </w:pPr>
    </w:p>
    <w:p w14:paraId="51DE13E2" w14:textId="77777777" w:rsidR="00D018BD" w:rsidRPr="001A0BAA" w:rsidRDefault="00D018BD" w:rsidP="00D018BD">
      <w:pPr>
        <w:jc w:val="both"/>
        <w:rPr>
          <w:color w:val="0070C0"/>
          <w:sz w:val="16"/>
          <w:szCs w:val="16"/>
        </w:rPr>
      </w:pPr>
      <w:r w:rsidRPr="001A0BAA">
        <w:rPr>
          <w:color w:val="0070C0"/>
          <w:sz w:val="16"/>
          <w:szCs w:val="16"/>
        </w:rPr>
        <w:t>В июне 1945 года был завершен ремонт второго экземпляра И-225 (5А) МиГ после аварии 26-ого апреля 1945 г. во время шестнадцатого полета (25214).</w:t>
      </w:r>
    </w:p>
    <w:p w14:paraId="4FADB737" w14:textId="77777777" w:rsidR="00D018BD" w:rsidRPr="001A0BAA" w:rsidRDefault="00D018BD" w:rsidP="00D018BD">
      <w:pPr>
        <w:jc w:val="both"/>
        <w:rPr>
          <w:color w:val="0070C0"/>
          <w:sz w:val="16"/>
          <w:szCs w:val="16"/>
        </w:rPr>
      </w:pPr>
    </w:p>
    <w:p w14:paraId="42E225F3" w14:textId="77777777" w:rsidR="00046A81" w:rsidRPr="001A0BAA" w:rsidRDefault="00046A81" w:rsidP="00046A81">
      <w:pPr>
        <w:jc w:val="both"/>
        <w:rPr>
          <w:color w:val="0070C0"/>
          <w:sz w:val="16"/>
          <w:szCs w:val="16"/>
        </w:rPr>
      </w:pPr>
      <w:r w:rsidRPr="001A0BAA">
        <w:rPr>
          <w:color w:val="0070C0"/>
          <w:sz w:val="16"/>
          <w:szCs w:val="16"/>
        </w:rPr>
        <w:t>В июне 1945 г., после замены разрушенного фюзеляжа новым, И-225 №02 покинул сборочный цех. На заводских испытаниях второго экземпляра И-225 была достигнута максимальная скорость 560 км/ ч у земли и 726 км/ч на высоте 10000 м, которую самолет набирал за 8,8 мин. Время подъема на высоту 5000 м составило 4 мин.</w:t>
      </w:r>
    </w:p>
    <w:p w14:paraId="78D6BC9B" w14:textId="77777777" w:rsidR="00046A81" w:rsidRPr="001A0BAA" w:rsidRDefault="00046A81" w:rsidP="00046A81">
      <w:pPr>
        <w:jc w:val="both"/>
        <w:rPr>
          <w:color w:val="0070C0"/>
          <w:sz w:val="16"/>
          <w:szCs w:val="16"/>
        </w:rPr>
      </w:pPr>
      <w:r w:rsidRPr="001A0BAA">
        <w:rPr>
          <w:color w:val="0070C0"/>
          <w:sz w:val="16"/>
          <w:szCs w:val="16"/>
        </w:rPr>
        <w:t>После замены мотора, выработавшего свой ресурс, и ряда контрольных полетов по проверке его границы высотности самолет 30 октября 1945 г. отправили в ГК НИИ ВВС на государственные испытания (25230)/</w:t>
      </w:r>
    </w:p>
    <w:p w14:paraId="610E84A3" w14:textId="77777777" w:rsidR="00046A81" w:rsidRPr="001A0BAA" w:rsidRDefault="00046A81" w:rsidP="00046A81">
      <w:pPr>
        <w:jc w:val="both"/>
        <w:rPr>
          <w:color w:val="0070C0"/>
          <w:sz w:val="16"/>
          <w:szCs w:val="16"/>
        </w:rPr>
      </w:pPr>
    </w:p>
    <w:p w14:paraId="78707AF4" w14:textId="77777777" w:rsidR="00046A81" w:rsidRPr="001A0BAA" w:rsidRDefault="00046A81" w:rsidP="00046A81">
      <w:pPr>
        <w:jc w:val="both"/>
        <w:rPr>
          <w:color w:val="0070C0"/>
          <w:sz w:val="16"/>
          <w:szCs w:val="16"/>
        </w:rPr>
      </w:pPr>
      <w:r w:rsidRPr="001A0BAA">
        <w:rPr>
          <w:color w:val="0070C0"/>
          <w:sz w:val="16"/>
          <w:szCs w:val="16"/>
        </w:rPr>
        <w:lastRenderedPageBreak/>
        <w:t>В июне 1945 года) на контрольные испытания поступил Ла-7 № 45213276 21 завода. От машины № 45210203, испытывавшейся в октябре 1944 года, «свежий» истребитель отличался новой системой всасывания с пылефильтром и гидравлическим управлением заслонками, герметизировали все щели. Изменили вентиляцию кабины летчика с заборником воздуха, размещенном в нижней части фюзеляжа перед маслора- диатором. Установили дополнительные замки на центропланных щитках шасси и капоты мотора увеличенной жесткости. Тогда же обновили радиооборудование, заменив приемник на РСИ-4Д, а передат</w:t>
      </w:r>
      <w:r w:rsidRPr="001A0BAA">
        <w:rPr>
          <w:color w:val="0070C0"/>
          <w:sz w:val="16"/>
          <w:szCs w:val="16"/>
        </w:rPr>
        <w:softHyphen/>
        <w:t>чик — на РСИ-ЗМ-1. Усилили хвостовую часть обшивки фюзеляжа, продлив грани</w:t>
      </w:r>
      <w:r w:rsidRPr="001A0BAA">
        <w:rPr>
          <w:color w:val="0070C0"/>
          <w:sz w:val="16"/>
          <w:szCs w:val="16"/>
        </w:rPr>
        <w:softHyphen/>
        <w:t>цу 6-го слоя шпона с 6-го за 9-й шпангоут.</w:t>
      </w:r>
    </w:p>
    <w:p w14:paraId="0E29EBEA" w14:textId="77777777" w:rsidR="00046A81" w:rsidRPr="001A0BAA" w:rsidRDefault="00046A81" w:rsidP="00046A81">
      <w:pPr>
        <w:jc w:val="both"/>
        <w:rPr>
          <w:color w:val="0070C0"/>
          <w:sz w:val="16"/>
          <w:szCs w:val="16"/>
        </w:rPr>
      </w:pPr>
      <w:r w:rsidRPr="001A0BAA">
        <w:rPr>
          <w:color w:val="0070C0"/>
          <w:sz w:val="16"/>
          <w:szCs w:val="16"/>
        </w:rPr>
        <w:t>При этом скорость самолета возрос</w:t>
      </w:r>
      <w:r w:rsidRPr="001A0BAA">
        <w:rPr>
          <w:color w:val="0070C0"/>
          <w:sz w:val="16"/>
          <w:szCs w:val="16"/>
        </w:rPr>
        <w:softHyphen/>
        <w:t>ла, но по-прежнему отставала от «этало</w:t>
      </w:r>
      <w:r w:rsidRPr="001A0BAA">
        <w:rPr>
          <w:color w:val="0070C0"/>
          <w:sz w:val="16"/>
          <w:szCs w:val="16"/>
        </w:rPr>
        <w:softHyphen/>
        <w:t>на 1944 года» на 14-13 км/ч. Отмечались, в частности, большие нагрузки на педали от руля высоты, плохое качество остекле</w:t>
      </w:r>
      <w:r w:rsidRPr="001A0BAA">
        <w:rPr>
          <w:color w:val="0070C0"/>
          <w:sz w:val="16"/>
          <w:szCs w:val="16"/>
        </w:rPr>
        <w:softHyphen/>
        <w:t>ния, в кабине было жарко, разрушались выхлопные патрубки и прочие дефекты (24988).</w:t>
      </w:r>
    </w:p>
    <w:p w14:paraId="794C1A7D" w14:textId="77777777" w:rsidR="00046A81" w:rsidRPr="001A0BAA" w:rsidRDefault="00046A81" w:rsidP="00046A81">
      <w:pPr>
        <w:jc w:val="both"/>
        <w:rPr>
          <w:color w:val="0070C0"/>
          <w:sz w:val="16"/>
          <w:szCs w:val="16"/>
        </w:rPr>
      </w:pPr>
    </w:p>
    <w:p w14:paraId="77A12D3C" w14:textId="77777777" w:rsidR="00046A81" w:rsidRPr="001A0BAA" w:rsidRDefault="00046A81" w:rsidP="00046A81">
      <w:pPr>
        <w:jc w:val="both"/>
        <w:rPr>
          <w:color w:val="0070C0"/>
          <w:sz w:val="16"/>
          <w:szCs w:val="16"/>
        </w:rPr>
      </w:pPr>
      <w:r w:rsidRPr="001A0BAA">
        <w:rPr>
          <w:color w:val="0070C0"/>
          <w:sz w:val="16"/>
          <w:szCs w:val="16"/>
        </w:rPr>
        <w:t>В июне 1945 года первую спарку Ла-7, изготовленную на заводе № 21 с использованием серийного истребителя № 45211521, предъявили в НИИ ВВС. Ведущи</w:t>
      </w:r>
      <w:r w:rsidRPr="001A0BAA">
        <w:rPr>
          <w:color w:val="0070C0"/>
          <w:sz w:val="16"/>
          <w:szCs w:val="16"/>
        </w:rPr>
        <w:softHyphen/>
        <w:t>ми по ней были инженер Г.В. Чернявский и летчик А.Г. Прошаков, второй пилот — В.П. Трофимов. В ходе государственных испытаний, завершившихся 16 августа, выяснилось, что центровка машины чрез</w:t>
      </w:r>
      <w:r w:rsidRPr="001A0BAA">
        <w:rPr>
          <w:color w:val="0070C0"/>
          <w:sz w:val="16"/>
          <w:szCs w:val="16"/>
        </w:rPr>
        <w:softHyphen/>
        <w:t>мерно задняя (25% средней аэродина</w:t>
      </w:r>
      <w:r w:rsidRPr="001A0BAA">
        <w:rPr>
          <w:color w:val="0070C0"/>
          <w:sz w:val="16"/>
          <w:szCs w:val="16"/>
        </w:rPr>
        <w:softHyphen/>
        <w:t>мической хорды или САХ), а при посадке, начиная с центровки 23,5%, САХ давление на ручку управления самолетом пропада</w:t>
      </w:r>
      <w:r w:rsidRPr="001A0BAA">
        <w:rPr>
          <w:color w:val="0070C0"/>
          <w:sz w:val="16"/>
          <w:szCs w:val="16"/>
        </w:rPr>
        <w:softHyphen/>
        <w:t>ло и приземление, и без того считающе</w:t>
      </w:r>
      <w:r w:rsidRPr="001A0BAA">
        <w:rPr>
          <w:color w:val="0070C0"/>
          <w:sz w:val="16"/>
          <w:szCs w:val="16"/>
        </w:rPr>
        <w:softHyphen/>
        <w:t>еся самым сложным элементом полета, становилось просто опасным. На пробе</w:t>
      </w:r>
      <w:r w:rsidRPr="001A0BAA">
        <w:rPr>
          <w:color w:val="0070C0"/>
          <w:sz w:val="16"/>
          <w:szCs w:val="16"/>
        </w:rPr>
        <w:softHyphen/>
        <w:t>ге самолет оказался неустойчивым из-за отсутствия стопора хвостового колеса, а механизм аварийного сбрасывания под</w:t>
      </w:r>
      <w:r w:rsidRPr="001A0BAA">
        <w:rPr>
          <w:color w:val="0070C0"/>
          <w:sz w:val="16"/>
          <w:szCs w:val="16"/>
        </w:rPr>
        <w:softHyphen/>
        <w:t>вижной части фонаря задней кабины тре</w:t>
      </w:r>
      <w:r w:rsidRPr="001A0BAA">
        <w:rPr>
          <w:color w:val="0070C0"/>
          <w:sz w:val="16"/>
          <w:szCs w:val="16"/>
        </w:rPr>
        <w:softHyphen/>
        <w:t>бовал доработки.</w:t>
      </w:r>
    </w:p>
    <w:p w14:paraId="7D515280" w14:textId="77777777" w:rsidR="00046A81" w:rsidRPr="001A0BAA" w:rsidRDefault="00046A81" w:rsidP="00046A81">
      <w:pPr>
        <w:jc w:val="both"/>
        <w:rPr>
          <w:color w:val="0070C0"/>
          <w:sz w:val="16"/>
          <w:szCs w:val="16"/>
        </w:rPr>
      </w:pPr>
      <w:r w:rsidRPr="001A0BAA">
        <w:rPr>
          <w:color w:val="0070C0"/>
          <w:sz w:val="16"/>
          <w:szCs w:val="16"/>
        </w:rPr>
        <w:t>В кабинах самолета (особенно перед</w:t>
      </w:r>
      <w:r w:rsidRPr="001A0BAA">
        <w:rPr>
          <w:color w:val="0070C0"/>
          <w:sz w:val="16"/>
          <w:szCs w:val="16"/>
        </w:rPr>
        <w:softHyphen/>
        <w:t>ней) стояла если не африканская, то по крайней мере очень сильная жара. К тому же состав оборудования оказался недо</w:t>
      </w:r>
      <w:r w:rsidRPr="001A0BAA">
        <w:rPr>
          <w:color w:val="0070C0"/>
          <w:sz w:val="16"/>
          <w:szCs w:val="16"/>
        </w:rPr>
        <w:softHyphen/>
        <w:t>статочным для полноценного обучения курсантов летных школ и запасных авиа</w:t>
      </w:r>
      <w:r w:rsidRPr="001A0BAA">
        <w:rPr>
          <w:color w:val="0070C0"/>
          <w:sz w:val="16"/>
          <w:szCs w:val="16"/>
        </w:rPr>
        <w:softHyphen/>
        <w:t>полков. Машину вернули на завод для до</w:t>
      </w:r>
      <w:r w:rsidRPr="001A0BAA">
        <w:rPr>
          <w:color w:val="0070C0"/>
          <w:sz w:val="16"/>
          <w:szCs w:val="16"/>
        </w:rPr>
        <w:softHyphen/>
        <w:t>работки.</w:t>
      </w:r>
    </w:p>
    <w:p w14:paraId="33D6F482" w14:textId="77777777" w:rsidR="00046A81" w:rsidRPr="001A0BAA" w:rsidRDefault="00046A81" w:rsidP="00046A81">
      <w:pPr>
        <w:jc w:val="both"/>
        <w:rPr>
          <w:color w:val="0070C0"/>
          <w:sz w:val="16"/>
          <w:szCs w:val="16"/>
        </w:rPr>
      </w:pPr>
      <w:r w:rsidRPr="001A0BAA">
        <w:rPr>
          <w:color w:val="0070C0"/>
          <w:sz w:val="16"/>
          <w:szCs w:val="16"/>
        </w:rPr>
        <w:t>Тем не менее самолет запустили в се</w:t>
      </w:r>
      <w:r w:rsidRPr="001A0BAA">
        <w:rPr>
          <w:color w:val="0070C0"/>
          <w:sz w:val="16"/>
          <w:szCs w:val="16"/>
        </w:rPr>
        <w:softHyphen/>
        <w:t>рийное производство и в 1945 году по</w:t>
      </w:r>
      <w:r w:rsidRPr="001A0BAA">
        <w:rPr>
          <w:color w:val="0070C0"/>
          <w:sz w:val="16"/>
          <w:szCs w:val="16"/>
        </w:rPr>
        <w:softHyphen/>
        <w:t>строили 205 машин этого типа (24988).</w:t>
      </w:r>
    </w:p>
    <w:p w14:paraId="586EEA61" w14:textId="77777777" w:rsidR="00046A81" w:rsidRPr="001A0BAA" w:rsidRDefault="00046A81" w:rsidP="00046A81">
      <w:pPr>
        <w:jc w:val="both"/>
        <w:rPr>
          <w:color w:val="0070C0"/>
          <w:sz w:val="16"/>
          <w:szCs w:val="16"/>
        </w:rPr>
      </w:pPr>
    </w:p>
    <w:p w14:paraId="05BFDF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на 153 заводе закончилось серийное производство Як-9М, которое шло с мая 1944 вплоть до освоения Як-9У с ВК-107А (65,140).</w:t>
      </w:r>
    </w:p>
    <w:p w14:paraId="2CE65594" w14:textId="77777777" w:rsidR="006103B3" w:rsidRPr="00925F26" w:rsidRDefault="006103B3" w:rsidP="00925F26">
      <w:pPr>
        <w:autoSpaceDE w:val="0"/>
        <w:autoSpaceDN w:val="0"/>
        <w:adjustRightInd w:val="0"/>
        <w:jc w:val="both"/>
        <w:rPr>
          <w:color w:val="000000" w:themeColor="text1"/>
          <w:sz w:val="16"/>
          <w:szCs w:val="16"/>
        </w:rPr>
      </w:pPr>
    </w:p>
    <w:p w14:paraId="1B6DE8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вслед за машиной Як-3 №2229 на контрольные испытания в НИИ ВВС поступил самолет №4145, выпущенный в мае заводом 292.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628FB35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3DDFAF07" w14:textId="77777777" w:rsidR="006103B3" w:rsidRPr="00925F26" w:rsidRDefault="006103B3" w:rsidP="00925F26">
      <w:pPr>
        <w:autoSpaceDE w:val="0"/>
        <w:autoSpaceDN w:val="0"/>
        <w:adjustRightInd w:val="0"/>
        <w:jc w:val="both"/>
        <w:rPr>
          <w:color w:val="000000" w:themeColor="text1"/>
          <w:sz w:val="16"/>
          <w:szCs w:val="16"/>
        </w:rPr>
      </w:pPr>
    </w:p>
    <w:p w14:paraId="494A6FA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июне 1945 года начались испытания облагороженного Як-3ПД. Пока шли работы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летчиком-испытателем И.И. Шунейко, что исключило с дополнительным помпажные явления в компрессоре, и </w:t>
      </w:r>
      <w:proofErr w:type="gramStart"/>
      <w:r w:rsidRPr="00925F26">
        <w:rPr>
          <w:color w:val="000000" w:themeColor="text1"/>
          <w:sz w:val="16"/>
          <w:szCs w:val="16"/>
        </w:rPr>
        <w:t>для двигателем</w:t>
      </w:r>
      <w:proofErr w:type="gramEnd"/>
      <w:r w:rsidRPr="00925F26">
        <w:rPr>
          <w:color w:val="000000" w:themeColor="text1"/>
          <w:sz w:val="16"/>
          <w:szCs w:val="16"/>
        </w:rPr>
        <w:t xml:space="preserve">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 Доработки благоприятно сказались на ее летных характеристиках. Так, в полете 26 июня была достигнута скорость 710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47A9C7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7476F0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A7B7027" w14:textId="77777777" w:rsidR="006103B3" w:rsidRPr="00925F26" w:rsidRDefault="006103B3" w:rsidP="00925F26">
      <w:pPr>
        <w:autoSpaceDE w:val="0"/>
        <w:autoSpaceDN w:val="0"/>
        <w:adjustRightInd w:val="0"/>
        <w:jc w:val="both"/>
        <w:rPr>
          <w:color w:val="000000" w:themeColor="text1"/>
          <w:sz w:val="16"/>
          <w:szCs w:val="16"/>
        </w:rPr>
      </w:pPr>
    </w:p>
    <w:p w14:paraId="1C8A77B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С.А.Л. на заводе 81 получил макет РД-3Ц и начал разработку машины (2928,79).</w:t>
      </w:r>
    </w:p>
    <w:p w14:paraId="072052E6" w14:textId="77777777" w:rsidR="006103B3" w:rsidRPr="00925F26" w:rsidRDefault="006103B3" w:rsidP="00925F26">
      <w:pPr>
        <w:autoSpaceDE w:val="0"/>
        <w:autoSpaceDN w:val="0"/>
        <w:adjustRightInd w:val="0"/>
        <w:jc w:val="both"/>
        <w:rPr>
          <w:color w:val="000000" w:themeColor="text1"/>
          <w:sz w:val="16"/>
          <w:szCs w:val="16"/>
        </w:rPr>
      </w:pPr>
    </w:p>
    <w:p w14:paraId="7E18EEB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на заводе 82 был построен Як-9УВ (улучшенный вывозной) N 00-00 и без заводских был передан на гос. испытания (65,153).</w:t>
      </w:r>
    </w:p>
    <w:p w14:paraId="1D8B9072" w14:textId="77777777" w:rsidR="006103B3" w:rsidRPr="00925F26" w:rsidRDefault="006103B3" w:rsidP="00925F26">
      <w:pPr>
        <w:autoSpaceDE w:val="0"/>
        <w:autoSpaceDN w:val="0"/>
        <w:adjustRightInd w:val="0"/>
        <w:jc w:val="both"/>
        <w:rPr>
          <w:color w:val="000000" w:themeColor="text1"/>
          <w:sz w:val="16"/>
          <w:szCs w:val="16"/>
        </w:rPr>
      </w:pPr>
    </w:p>
    <w:p w14:paraId="0E3119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на 153 закончили серию Як-9Т, которая шла с марта 1943 и всего выпустили 2748 (65,116).</w:t>
      </w:r>
    </w:p>
    <w:p w14:paraId="0CABB378" w14:textId="77777777" w:rsidR="006103B3" w:rsidRPr="00925F26" w:rsidRDefault="006103B3" w:rsidP="00925F26">
      <w:pPr>
        <w:autoSpaceDE w:val="0"/>
        <w:autoSpaceDN w:val="0"/>
        <w:adjustRightInd w:val="0"/>
        <w:jc w:val="both"/>
        <w:rPr>
          <w:color w:val="000000" w:themeColor="text1"/>
          <w:sz w:val="16"/>
          <w:szCs w:val="16"/>
        </w:rPr>
      </w:pPr>
    </w:p>
    <w:p w14:paraId="4664944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в Москве в ГК НИИ ВВС л Н.П.Пискунов вместе с ви В.Я.Маргоном провели испытания Ме-410, который весной 1945 планерист А.И.Пьецух (потом построивший дом из бутылок) пригнал в Москву. Оказался лучше Пе-2 вВК-105ПФ и Ту-2 2АШ-82ФН. Потом передали в БНТ ЦАГИ (2961,46).</w:t>
      </w:r>
    </w:p>
    <w:p w14:paraId="1B990CBC" w14:textId="77777777" w:rsidR="006103B3" w:rsidRPr="00925F26" w:rsidRDefault="006103B3" w:rsidP="00925F26">
      <w:pPr>
        <w:autoSpaceDE w:val="0"/>
        <w:autoSpaceDN w:val="0"/>
        <w:adjustRightInd w:val="0"/>
        <w:jc w:val="both"/>
        <w:rPr>
          <w:color w:val="000000" w:themeColor="text1"/>
          <w:sz w:val="16"/>
          <w:szCs w:val="16"/>
        </w:rPr>
      </w:pPr>
    </w:p>
    <w:p w14:paraId="598A50D4" w14:textId="77777777" w:rsidR="002A5DBF" w:rsidRPr="00925F26" w:rsidRDefault="002A5DBF" w:rsidP="00925F26">
      <w:pPr>
        <w:pStyle w:val="a3"/>
        <w:rPr>
          <w:color w:val="000000" w:themeColor="text1"/>
          <w:lang w:val="ru-RU"/>
        </w:rPr>
      </w:pPr>
      <w:r w:rsidRPr="00925F26">
        <w:rPr>
          <w:color w:val="000000" w:themeColor="text1"/>
          <w:lang w:val="ru-RU"/>
        </w:rPr>
        <w:t>В июне 1945 г. самолет, уже получивший на</w:t>
      </w:r>
      <w:r w:rsidRPr="00925F26">
        <w:rPr>
          <w:color w:val="000000" w:themeColor="text1"/>
          <w:lang w:val="ru-RU"/>
        </w:rPr>
        <w:softHyphen/>
        <w:t>именование Ил-12, с двигателями АЧ-31 был передан на центральный аэродром для выполнения предпо</w:t>
      </w:r>
      <w:r w:rsidRPr="00925F26">
        <w:rPr>
          <w:color w:val="000000" w:themeColor="text1"/>
          <w:lang w:val="ru-RU"/>
        </w:rPr>
        <w:softHyphen/>
        <w:t>летных проверок, во время которых уже возникли проблемы, связанные с ненадежной работой установленных на нем двигателей. Поэтому с целью ду</w:t>
      </w:r>
      <w:r w:rsidRPr="00925F26">
        <w:rPr>
          <w:color w:val="000000" w:themeColor="text1"/>
          <w:lang w:val="ru-RU"/>
        </w:rPr>
        <w:softHyphen/>
        <w:t>блирования винтомоторной установки приказом наркома авиапрома С.В. Иль</w:t>
      </w:r>
      <w:r w:rsidRPr="00925F26">
        <w:rPr>
          <w:color w:val="000000" w:themeColor="text1"/>
          <w:lang w:val="ru-RU"/>
        </w:rPr>
        <w:softHyphen/>
        <w:t>юшину предписывалось установить на транспортном самолете Ил-12 моторы АШ-82ФН к 1 ноября 1945 г. Тем не ме</w:t>
      </w:r>
      <w:r w:rsidRPr="00925F26">
        <w:rPr>
          <w:color w:val="000000" w:themeColor="text1"/>
          <w:lang w:val="ru-RU"/>
        </w:rPr>
        <w:softHyphen/>
        <w:t>нее, самолет с дизельными двигателями успел выполнить несколько полетов, подтвердивших правильность принятого решения. Менее трех месяцев потребо</w:t>
      </w:r>
      <w:r w:rsidRPr="00925F26">
        <w:rPr>
          <w:color w:val="000000" w:themeColor="text1"/>
          <w:lang w:val="ru-RU"/>
        </w:rPr>
        <w:softHyphen/>
        <w:t>валось для того, чтобы выполнить рабо</w:t>
      </w:r>
      <w:r w:rsidRPr="00925F26">
        <w:rPr>
          <w:color w:val="000000" w:themeColor="text1"/>
          <w:lang w:val="ru-RU"/>
        </w:rPr>
        <w:softHyphen/>
        <w:t>чее проектирование, изготовить новые мотогондолы и смонтировать их на ма</w:t>
      </w:r>
      <w:r w:rsidRPr="00925F26">
        <w:rPr>
          <w:color w:val="000000" w:themeColor="text1"/>
          <w:lang w:val="ru-RU"/>
        </w:rPr>
        <w:softHyphen/>
        <w:t>шине. Одновременно были установлены сдвоенные колеса на стойках основных опор для улучшения проходимости на грунтовых аэродромах (15749).</w:t>
      </w:r>
    </w:p>
    <w:p w14:paraId="2A4BA843" w14:textId="77777777" w:rsidR="002A5DBF" w:rsidRPr="00925F26" w:rsidRDefault="002A5DBF" w:rsidP="00925F26">
      <w:pPr>
        <w:pStyle w:val="a3"/>
        <w:rPr>
          <w:color w:val="000000" w:themeColor="text1"/>
          <w:lang w:val="ru-RU"/>
        </w:rPr>
      </w:pPr>
    </w:p>
    <w:p w14:paraId="3382E49D" w14:textId="77777777" w:rsidR="00500674" w:rsidRPr="00925F26" w:rsidRDefault="00500674" w:rsidP="00925F26">
      <w:pPr>
        <w:jc w:val="both"/>
        <w:rPr>
          <w:color w:val="000000" w:themeColor="text1"/>
          <w:sz w:val="16"/>
          <w:szCs w:val="16"/>
        </w:rPr>
      </w:pPr>
      <w:r w:rsidRPr="00925F26">
        <w:rPr>
          <w:color w:val="000000" w:themeColor="text1"/>
          <w:sz w:val="16"/>
          <w:szCs w:val="16"/>
        </w:rPr>
        <w:t>В июне 1945 г. сообщалось о возможности испытаний двух экземпляров «Омега» на море. Пока шли доводки и испы</w:t>
      </w:r>
      <w:r w:rsidRPr="00925F26">
        <w:rPr>
          <w:color w:val="000000" w:themeColor="text1"/>
          <w:sz w:val="16"/>
          <w:szCs w:val="16"/>
        </w:rPr>
        <w:softHyphen/>
        <w:t>тания этого аппарата, в поле зрения моряков попал небольшой вертолет Ка-8 конструкто</w:t>
      </w:r>
      <w:r w:rsidRPr="00925F26">
        <w:rPr>
          <w:color w:val="000000" w:themeColor="text1"/>
          <w:sz w:val="16"/>
          <w:szCs w:val="16"/>
        </w:rPr>
        <w:softHyphen/>
        <w:t>ра Н.И.Камова, выполненный по так назы</w:t>
      </w:r>
      <w:r w:rsidRPr="00925F26">
        <w:rPr>
          <w:color w:val="000000" w:themeColor="text1"/>
          <w:sz w:val="16"/>
          <w:szCs w:val="16"/>
        </w:rPr>
        <w:softHyphen/>
        <w:t>ваемой соосной схеме. Приказ Министерства авиапромышленности СССР о его создании вышел 13 ноября 1946 г. А спустя несколь</w:t>
      </w:r>
      <w:r w:rsidRPr="00925F26">
        <w:rPr>
          <w:color w:val="000000" w:themeColor="text1"/>
          <w:sz w:val="16"/>
          <w:szCs w:val="16"/>
        </w:rPr>
        <w:softHyphen/>
        <w:t>ко месяцев командование ВМФ утвердило тактико-технические требования на новый вертолет (12301).</w:t>
      </w:r>
    </w:p>
    <w:p w14:paraId="3F891F72" w14:textId="77777777" w:rsidR="00500674" w:rsidRPr="00925F26" w:rsidRDefault="00500674" w:rsidP="00925F26">
      <w:pPr>
        <w:jc w:val="both"/>
        <w:rPr>
          <w:color w:val="000000" w:themeColor="text1"/>
          <w:sz w:val="16"/>
          <w:szCs w:val="16"/>
        </w:rPr>
      </w:pPr>
    </w:p>
    <w:p w14:paraId="0A882C0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закончились гос. испытания Як-10 и самолет был рекомендован в серию (4,351).</w:t>
      </w:r>
    </w:p>
    <w:p w14:paraId="250E2405" w14:textId="77777777" w:rsidR="006103B3" w:rsidRPr="00925F26" w:rsidRDefault="006103B3" w:rsidP="00925F26">
      <w:pPr>
        <w:autoSpaceDE w:val="0"/>
        <w:autoSpaceDN w:val="0"/>
        <w:adjustRightInd w:val="0"/>
        <w:jc w:val="both"/>
        <w:rPr>
          <w:color w:val="000000" w:themeColor="text1"/>
          <w:sz w:val="16"/>
          <w:szCs w:val="16"/>
        </w:rPr>
      </w:pPr>
    </w:p>
    <w:p w14:paraId="2A88A9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1945-го закончились заводские испытания Як-13, которые шли с февраля 1945. Ведущими на этапе заводских летных испытаний Як-13 были инженер А.Дружинин, летчик М.Павлов и механик О.Яницкий.</w:t>
      </w:r>
    </w:p>
    <w:p w14:paraId="57EDFE0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 время испытаний проведено 32 полета общей продолжительностью 22 часа 45 мин. В результате были получены такие данные: максимальная скорость у земли - 235 км/ч, на высоте 2500 м -205 км/ч. Крейсерская скорость -170 км/ ч. Время набора высоты 1000 м - 5,7 мин., 2500 м -16,9 мин. Скороподъемность у земли - 3,5 м/сек. Техническая дальность на скорости 170 км/ч - 700 км. Практический потолок - 4250 м. Разбег и пробег - 200 м.</w:t>
      </w:r>
    </w:p>
    <w:p w14:paraId="6037A92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После заключительного полета Михаил Павлов записал: " Як-13, благодаря хорошему обзору, простому и легкому управлению и хорошей устойчивости, является прекрасным штабным самолетом. Для взлета и посадки вполне достаточна площадка, годная для самолета УТ-2. Большое удобство и безопасность представляет запуск мотора сжатым воздухом, осуществляемый из кабины.</w:t>
      </w:r>
    </w:p>
    <w:p w14:paraId="526085F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Тормозные колеса сокращают пробег при посадке. Благодаря убирающемуся шасси, самолет имеет отличную скорость и делает более безопасной вынужденную посадку. Як-13 может быть успешно применен в качестве штабного самолета и как пассажирский для местных линий".</w:t>
      </w:r>
    </w:p>
    <w:p w14:paraId="5BFF73C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выводах после окончания заводских испытаний отмечалось, что опытный Як-13 по своим летным и эксплуатационным качествам, простоте и комфортабельности значительно превосходит все существующие в СССР типы легких пассажирских и связных самолетов с моторами М-11...</w:t>
      </w:r>
    </w:p>
    <w:p w14:paraId="72094B1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Як-13 рулит устойчиво при скорости 15-20 км/ч и оборотах мотора 650-700 об/ мин., не нуждаясь в сопровождении даже при ветре. На разбеге устойчив, тенденции к разворотам не имеет, для отрыва хвоста требует некоторого усилия на ручку от себя.</w:t>
      </w:r>
    </w:p>
    <w:p w14:paraId="6993B6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наборе высоты при скорости 140 км/ч устойчивость относительно всех трех осей нормальная, усилия на ручку управления при этом небольшие, кроме того, они легко снимаются триммером. В горизонтальном полете имеет хороший запас устойчивости при всех эксплуатационных центровках.</w:t>
      </w:r>
    </w:p>
    <w:p w14:paraId="62BD2AF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Триммером легко балансируется на режимах горизонтального полета.</w:t>
      </w:r>
    </w:p>
    <w:p w14:paraId="0E25BEF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 эволюциях самолета - виражах, горках - нагрузки на ручку управления от руля высоты несколько возрастают, что для легкого небоевого самолета является положительным фактором в отношении безопасности полета.</w:t>
      </w:r>
    </w:p>
    <w:p w14:paraId="591CBC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Поперечная устойчивость - нормальная. Запас путевой устойчивости большой, эффективность руля поворота и нагрузки от него на управление - нормальные. При крутом планировании на скоростях до 320 км/ч Як-13 ведет себя нормально, вибраций нет. На критических углах атаки тенденций к сваливанию на крыло не имеет, при потере скорости самолет сам переходит на нос и набирает скорость.</w:t>
      </w:r>
    </w:p>
    <w:p w14:paraId="3E74F37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Бафтинга и других видов тряски на больших углах атаки не наблюдается. Устойчиво планирует с выпущенными щитками и шасси на скоростях 125-130 км/ ч. На посадке нагрузки на ручку управления от руля высоты • умеренные и значительно понижаются при выбранном триммере. Посадочная скорость самолета -100-105 км/ч. На пробеге машина устойчива, хорошо слушается тормозов.</w:t>
      </w:r>
    </w:p>
    <w:p w14:paraId="27AC141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Як-13 позволяет производить полеты при любом эксплуатационном варианте загрузки. Кабина удобная, освещаемость достаточная, обзор хороший. Для улучшения обзора на рулежке сидение пилота сделано подъемным. Расположение приборов и рычагов управления удобное.</w:t>
      </w:r>
    </w:p>
    <w:p w14:paraId="0F8B684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Обслуживание </w:t>
      </w:r>
      <w:proofErr w:type="gramStart"/>
      <w:r w:rsidRPr="00925F26">
        <w:rPr>
          <w:color w:val="000000" w:themeColor="text1"/>
          <w:sz w:val="16"/>
          <w:szCs w:val="16"/>
        </w:rPr>
        <w:t>винто-моторной</w:t>
      </w:r>
      <w:proofErr w:type="gramEnd"/>
      <w:r w:rsidRPr="00925F26">
        <w:rPr>
          <w:color w:val="000000" w:themeColor="text1"/>
          <w:sz w:val="16"/>
          <w:szCs w:val="16"/>
        </w:rPr>
        <w:t xml:space="preserve"> группы простое, подходы ко всем агрегатам удобные, съемка и установка капотов производится легко и быстро. Благодаря наличию компрессора АК-40, пневмосисте-ма надежно обеспечивает выпуск шасси, закрылков и запуск мотора".</w:t>
      </w:r>
    </w:p>
    <w:p w14:paraId="722B84C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заключении, которое подписали А-Дружинин, М.Павлов, военпред К.Яновчук, отмечалось; "Як-13 прошел заводские испытания. Самолет может быть передан на государственные испытания в НИИ ВВС КА" (6411).</w:t>
      </w:r>
    </w:p>
    <w:p w14:paraId="0A913669" w14:textId="77777777" w:rsidR="006103B3" w:rsidRPr="00925F26" w:rsidRDefault="006103B3" w:rsidP="00925F26">
      <w:pPr>
        <w:autoSpaceDE w:val="0"/>
        <w:autoSpaceDN w:val="0"/>
        <w:adjustRightInd w:val="0"/>
        <w:jc w:val="both"/>
        <w:rPr>
          <w:color w:val="000000" w:themeColor="text1"/>
          <w:sz w:val="16"/>
          <w:szCs w:val="16"/>
        </w:rPr>
      </w:pPr>
    </w:p>
    <w:p w14:paraId="6887481A" w14:textId="77777777" w:rsidR="00D018BD" w:rsidRPr="001A0BAA" w:rsidRDefault="00D018BD" w:rsidP="00D018BD">
      <w:pPr>
        <w:jc w:val="both"/>
        <w:rPr>
          <w:color w:val="0070C0"/>
          <w:sz w:val="16"/>
          <w:szCs w:val="16"/>
        </w:rPr>
      </w:pPr>
      <w:r w:rsidRPr="001A0BAA">
        <w:rPr>
          <w:color w:val="0070C0"/>
          <w:sz w:val="16"/>
          <w:szCs w:val="16"/>
        </w:rPr>
        <w:t>С июня месяца 1945 года завод №464 в Долгопрудном прекратил производство По-2 и приступил к освоению легкого пассажирского самолета А.С.Яковле</w:t>
      </w:r>
      <w:r w:rsidRPr="001A0BAA">
        <w:rPr>
          <w:color w:val="0070C0"/>
          <w:sz w:val="16"/>
          <w:szCs w:val="16"/>
        </w:rPr>
        <w:softHyphen/>
        <w:t>ва Як-10 с мотором М-11Ф и воздушным вин</w:t>
      </w:r>
      <w:r w:rsidRPr="001A0BAA">
        <w:rPr>
          <w:color w:val="0070C0"/>
          <w:sz w:val="16"/>
          <w:szCs w:val="16"/>
        </w:rPr>
        <w:softHyphen/>
        <w:t>том ВИШ-327. Общий выпуск У-2 (По-2) со</w:t>
      </w:r>
      <w:r w:rsidRPr="001A0BAA">
        <w:rPr>
          <w:color w:val="0070C0"/>
          <w:sz w:val="16"/>
          <w:szCs w:val="16"/>
        </w:rPr>
        <w:softHyphen/>
        <w:t>ставил 1364 экземпляра.</w:t>
      </w:r>
    </w:p>
    <w:p w14:paraId="28E5EBC8" w14:textId="77777777" w:rsidR="00D018BD" w:rsidRPr="001A0BAA" w:rsidRDefault="00D018BD" w:rsidP="00D018BD">
      <w:pPr>
        <w:jc w:val="both"/>
        <w:rPr>
          <w:color w:val="0070C0"/>
          <w:sz w:val="16"/>
          <w:szCs w:val="16"/>
        </w:rPr>
      </w:pPr>
      <w:r w:rsidRPr="001A0BAA">
        <w:rPr>
          <w:color w:val="0070C0"/>
          <w:sz w:val="16"/>
          <w:szCs w:val="16"/>
        </w:rPr>
        <w:t xml:space="preserve">Позднее авиазавод №464 </w:t>
      </w:r>
      <w:proofErr w:type="gramStart"/>
      <w:r w:rsidRPr="001A0BAA">
        <w:rPr>
          <w:color w:val="0070C0"/>
          <w:sz w:val="16"/>
          <w:szCs w:val="16"/>
        </w:rPr>
        <w:t>утвердили</w:t>
      </w:r>
      <w:proofErr w:type="gramEnd"/>
      <w:r w:rsidRPr="001A0BAA">
        <w:rPr>
          <w:color w:val="0070C0"/>
          <w:sz w:val="16"/>
          <w:szCs w:val="16"/>
        </w:rPr>
        <w:t xml:space="preserve"> как опытный для производства самолетов Як-12 конструкции А.С.Яковлева (24969)</w:t>
      </w:r>
    </w:p>
    <w:p w14:paraId="1793256F" w14:textId="77777777" w:rsidR="00D018BD" w:rsidRPr="001A0BAA" w:rsidRDefault="00D018BD" w:rsidP="00D018BD">
      <w:pPr>
        <w:jc w:val="both"/>
        <w:rPr>
          <w:color w:val="0070C0"/>
          <w:sz w:val="16"/>
          <w:szCs w:val="16"/>
        </w:rPr>
      </w:pPr>
    </w:p>
    <w:p w14:paraId="17917DCA" w14:textId="77777777" w:rsidR="007B1D64" w:rsidRPr="00925F26" w:rsidRDefault="007B1D64" w:rsidP="00925F26">
      <w:pPr>
        <w:jc w:val="both"/>
        <w:rPr>
          <w:color w:val="000000" w:themeColor="text1"/>
          <w:sz w:val="16"/>
          <w:szCs w:val="16"/>
        </w:rPr>
      </w:pPr>
      <w:r w:rsidRPr="00925F26">
        <w:rPr>
          <w:color w:val="000000" w:themeColor="text1"/>
          <w:sz w:val="16"/>
          <w:szCs w:val="16"/>
        </w:rPr>
        <w:t>В июне 1945 первые AT-6F Тексан из новой партии в 225 машин пошли по трассе Алсиба. Самолеты перегонялись партиями по во</w:t>
      </w:r>
      <w:r w:rsidRPr="00925F26">
        <w:rPr>
          <w:color w:val="000000" w:themeColor="text1"/>
          <w:sz w:val="16"/>
          <w:szCs w:val="16"/>
        </w:rPr>
        <w:softHyphen/>
        <w:t>семь — десять штук без обычного в таких случаях лидирования, поскольку по крей</w:t>
      </w:r>
      <w:r w:rsidRPr="00925F26">
        <w:rPr>
          <w:color w:val="000000" w:themeColor="text1"/>
          <w:sz w:val="16"/>
          <w:szCs w:val="16"/>
        </w:rPr>
        <w:softHyphen/>
        <w:t>серской скорости «Тексан» значительно уступал использовавшимся на АЛСИБе в качестве лидеров А-20, В-25 или С-47. Поскольку потолок у AT-6F был невелик, то по обычному маршруту через Верхоянский хребет их пустить не могли. Поэтому лете</w:t>
      </w:r>
      <w:r w:rsidRPr="00925F26">
        <w:rPr>
          <w:color w:val="000000" w:themeColor="text1"/>
          <w:sz w:val="16"/>
          <w:szCs w:val="16"/>
        </w:rPr>
        <w:softHyphen/>
        <w:t>ли этапами до Сеймчана (причем прихо</w:t>
      </w:r>
      <w:r w:rsidRPr="00925F26">
        <w:rPr>
          <w:color w:val="000000" w:themeColor="text1"/>
          <w:sz w:val="16"/>
          <w:szCs w:val="16"/>
        </w:rPr>
        <w:softHyphen/>
        <w:t>дилось садиться на дозаправку в Омолоне, поскольку запаса горючего не хватало), затем шли на Оймякон, а оттуда в Якутск. Последняя группа «Лексанов» вылетела из Фэрбенкса в середине июля и уже к началу августа 1945 г. достигла Красноярска.</w:t>
      </w:r>
    </w:p>
    <w:p w14:paraId="43936D19" w14:textId="77777777" w:rsidR="007B1D64" w:rsidRPr="00925F26" w:rsidRDefault="007B1D64" w:rsidP="00925F26">
      <w:pPr>
        <w:jc w:val="both"/>
        <w:rPr>
          <w:color w:val="000000" w:themeColor="text1"/>
          <w:sz w:val="16"/>
          <w:szCs w:val="16"/>
        </w:rPr>
      </w:pPr>
      <w:r w:rsidRPr="00925F26">
        <w:rPr>
          <w:color w:val="000000" w:themeColor="text1"/>
          <w:sz w:val="16"/>
          <w:szCs w:val="16"/>
        </w:rPr>
        <w:t>Всего до завершения поставок по ленд-лизу советской стороне сдали 54 AT-6F. Все они благополучно прошли по трассе. 20 августа «Тексаны» участвовали в воз</w:t>
      </w:r>
      <w:r w:rsidRPr="00925F26">
        <w:rPr>
          <w:color w:val="000000" w:themeColor="text1"/>
          <w:sz w:val="16"/>
          <w:szCs w:val="16"/>
        </w:rPr>
        <w:softHyphen/>
        <w:t>душном празднике в Якутске: пара машин демонстрировала высший пилотаж.</w:t>
      </w:r>
    </w:p>
    <w:p w14:paraId="09CD3333" w14:textId="77777777" w:rsidR="007B1D64" w:rsidRPr="00925F26" w:rsidRDefault="007B1D64" w:rsidP="00925F26">
      <w:pPr>
        <w:jc w:val="both"/>
        <w:rPr>
          <w:color w:val="000000" w:themeColor="text1"/>
          <w:sz w:val="16"/>
          <w:szCs w:val="16"/>
        </w:rPr>
      </w:pPr>
      <w:r w:rsidRPr="00925F26">
        <w:rPr>
          <w:color w:val="000000" w:themeColor="text1"/>
          <w:sz w:val="16"/>
          <w:szCs w:val="16"/>
        </w:rPr>
        <w:t>АТ-6 распределили в основном между запасными бригадами и полками, зани</w:t>
      </w:r>
      <w:r w:rsidRPr="00925F26">
        <w:rPr>
          <w:color w:val="000000" w:themeColor="text1"/>
          <w:sz w:val="16"/>
          <w:szCs w:val="16"/>
        </w:rPr>
        <w:softHyphen/>
        <w:t>мавшимися переучиванием на импорт</w:t>
      </w:r>
      <w:r w:rsidRPr="00925F26">
        <w:rPr>
          <w:color w:val="000000" w:themeColor="text1"/>
          <w:sz w:val="16"/>
          <w:szCs w:val="16"/>
        </w:rPr>
        <w:softHyphen/>
        <w:t>ную технику, а также отправляли в летные училища. Первыми их начали осваивать в 4-й заб, затем они поступили в 6-ю заб. Остальные самолеты попали в другие ме</w:t>
      </w:r>
      <w:r w:rsidRPr="00925F26">
        <w:rPr>
          <w:color w:val="000000" w:themeColor="text1"/>
          <w:sz w:val="16"/>
          <w:szCs w:val="16"/>
        </w:rPr>
        <w:softHyphen/>
        <w:t>ста, в том числе поединично — в строе</w:t>
      </w:r>
      <w:r w:rsidRPr="00925F26">
        <w:rPr>
          <w:color w:val="000000" w:themeColor="text1"/>
          <w:sz w:val="16"/>
          <w:szCs w:val="16"/>
        </w:rPr>
        <w:softHyphen/>
        <w:t>вые истребительные полки. Три АТ-6С значились с апреля 1944 г. за 396-м пол</w:t>
      </w:r>
      <w:r w:rsidRPr="00925F26">
        <w:rPr>
          <w:color w:val="000000" w:themeColor="text1"/>
          <w:sz w:val="16"/>
          <w:szCs w:val="16"/>
        </w:rPr>
        <w:softHyphen/>
        <w:t>ком особого назначения, к декабрю к ним добавился четвертый. В мае одна из этих машин демонстрировалась на выставке, организованной для работников военного отдела ЦК ВКП(б). В 1945 г. один АТ-6 из 4-й эскадрильи 396-го полка был разбит в аварии и списан (23513).</w:t>
      </w:r>
    </w:p>
    <w:p w14:paraId="2031DA36" w14:textId="77777777" w:rsidR="007B1D64" w:rsidRPr="00925F26" w:rsidRDefault="007B1D64" w:rsidP="00925F26">
      <w:pPr>
        <w:jc w:val="both"/>
        <w:rPr>
          <w:color w:val="000000" w:themeColor="text1"/>
          <w:sz w:val="16"/>
          <w:szCs w:val="16"/>
        </w:rPr>
      </w:pPr>
    </w:p>
    <w:p w14:paraId="7FE1208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сняли с испытаний в связи с появлением активной коррозии БИ-7 с РД-1 Исаева вместо Д-1-А-1100 Л.С.Душкина. Машина выполнила 3 полета и летали Б.Н.Кудрин и М.К.Байкал (2928,21).</w:t>
      </w:r>
    </w:p>
    <w:p w14:paraId="7AA8BDD7" w14:textId="77777777" w:rsidR="006103B3" w:rsidRPr="00925F26" w:rsidRDefault="006103B3" w:rsidP="00925F26">
      <w:pPr>
        <w:autoSpaceDE w:val="0"/>
        <w:autoSpaceDN w:val="0"/>
        <w:adjustRightInd w:val="0"/>
        <w:jc w:val="both"/>
        <w:rPr>
          <w:color w:val="000000" w:themeColor="text1"/>
          <w:sz w:val="16"/>
          <w:szCs w:val="16"/>
        </w:rPr>
      </w:pPr>
    </w:p>
    <w:p w14:paraId="3687DE5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15686A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Характеристики:</w:t>
      </w:r>
    </w:p>
    <w:p w14:paraId="61CF1B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диаметр цилиндра/ход поршня 160/190 (в цилиндрах с прицепными шатунами 196,8) мм;</w:t>
      </w:r>
    </w:p>
    <w:p w14:paraId="61513BE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объем 46,66 л;</w:t>
      </w:r>
    </w:p>
    <w:p w14:paraId="0474B2A4"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мощность и вес в зависимости от модификации;</w:t>
      </w:r>
    </w:p>
    <w:p w14:paraId="0BF5F24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запуск сжатым воздухом.</w:t>
      </w:r>
    </w:p>
    <w:p w14:paraId="755B75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Известны три модификации:</w:t>
      </w:r>
    </w:p>
    <w:p w14:paraId="50BEC51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925F26">
        <w:rPr>
          <w:color w:val="000000" w:themeColor="text1"/>
          <w:sz w:val="16"/>
          <w:szCs w:val="16"/>
        </w:rPr>
        <w:softHyphen/>
        <w:t>ные испытания.</w:t>
      </w:r>
    </w:p>
    <w:p w14:paraId="419CE43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3AEB12E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АМ-45Ш, 2400/3000 л.с. Изготовлен в двух экземплярах в 1948 г., проходил заводские испытания.</w:t>
      </w:r>
    </w:p>
    <w:p w14:paraId="6740FF5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Существовал проект модификации Ил-10 с этим двигателем (11852).</w:t>
      </w:r>
    </w:p>
    <w:p w14:paraId="4391454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371BEBB2" w14:textId="77777777" w:rsidR="002A5DBF" w:rsidRPr="00925F26" w:rsidRDefault="002A5DBF" w:rsidP="00925F26">
      <w:pPr>
        <w:pStyle w:val="a3"/>
        <w:rPr>
          <w:color w:val="000000" w:themeColor="text1"/>
          <w:lang w:val="ru-RU"/>
        </w:rPr>
      </w:pPr>
      <w:r w:rsidRPr="00925F26">
        <w:rPr>
          <w:color w:val="000000" w:themeColor="text1"/>
          <w:lang w:val="ru-RU"/>
        </w:rPr>
        <w:t>В июне 1945 г. завершились наземные заводские испытания комбинации авиационного дизеля и воз</w:t>
      </w:r>
      <w:r w:rsidRPr="00925F26">
        <w:rPr>
          <w:color w:val="000000" w:themeColor="text1"/>
          <w:lang w:val="ru-RU"/>
        </w:rPr>
        <w:softHyphen/>
        <w:t>душно-реактивного двигателя компрессорного (ВРДК), получившую обозначение Э</w:t>
      </w:r>
      <w:r w:rsidRPr="00925F26">
        <w:rPr>
          <w:rStyle w:val="Garamond0"/>
          <w:rFonts w:ascii="Times New Roman" w:hAnsi="Times New Roman" w:cs="Times New Roman"/>
          <w:b w:val="0"/>
          <w:color w:val="000000" w:themeColor="text1"/>
          <w:spacing w:val="0"/>
          <w:sz w:val="16"/>
          <w:szCs w:val="16"/>
          <w:lang w:val="ru-RU"/>
        </w:rPr>
        <w:t>-3130</w:t>
      </w:r>
      <w:r w:rsidRPr="00925F26">
        <w:rPr>
          <w:color w:val="000000" w:themeColor="text1"/>
          <w:lang w:val="ru-RU"/>
        </w:rPr>
        <w:t>. Для лётной отработки комбинированной установки решили использовать Ер-2. Завод №</w:t>
      </w:r>
      <w:r w:rsidRPr="00925F26">
        <w:rPr>
          <w:rStyle w:val="Garamond0"/>
          <w:rFonts w:ascii="Times New Roman" w:hAnsi="Times New Roman" w:cs="Times New Roman"/>
          <w:b w:val="0"/>
          <w:color w:val="000000" w:themeColor="text1"/>
          <w:spacing w:val="0"/>
          <w:sz w:val="16"/>
          <w:szCs w:val="16"/>
          <w:lang w:val="ru-RU"/>
        </w:rPr>
        <w:t xml:space="preserve"> 134</w:t>
      </w:r>
      <w:r w:rsidRPr="00925F26">
        <w:rPr>
          <w:color w:val="000000" w:themeColor="text1"/>
          <w:lang w:val="ru-RU"/>
        </w:rPr>
        <w:t xml:space="preserve"> подготовил ком</w:t>
      </w:r>
      <w:r w:rsidRPr="00925F26">
        <w:rPr>
          <w:color w:val="000000" w:themeColor="text1"/>
          <w:lang w:val="ru-RU"/>
        </w:rPr>
        <w:softHyphen/>
        <w:t>плект чертежей по размещению Э-3130 на самолёте и отправил их в ЦИАМ. В производ</w:t>
      </w:r>
      <w:r w:rsidRPr="00925F26">
        <w:rPr>
          <w:color w:val="000000" w:themeColor="text1"/>
          <w:lang w:val="ru-RU"/>
        </w:rPr>
        <w:softHyphen/>
        <w:t>стве переоборудование Ер-2 не проводилось из-за отсутствия лётных образцов Э</w:t>
      </w:r>
      <w:r w:rsidRPr="00925F26">
        <w:rPr>
          <w:rStyle w:val="Garamond0"/>
          <w:rFonts w:ascii="Times New Roman" w:hAnsi="Times New Roman" w:cs="Times New Roman"/>
          <w:b w:val="0"/>
          <w:color w:val="000000" w:themeColor="text1"/>
          <w:spacing w:val="0"/>
          <w:sz w:val="16"/>
          <w:szCs w:val="16"/>
          <w:lang w:val="ru-RU"/>
        </w:rPr>
        <w:t xml:space="preserve">-3130 </w:t>
      </w:r>
      <w:r w:rsidRPr="00925F26">
        <w:rPr>
          <w:color w:val="000000" w:themeColor="text1"/>
          <w:lang w:val="ru-RU"/>
        </w:rPr>
        <w:t>и закрытия темы приказом НКАП от 6 марта 1946 г. (15810).</w:t>
      </w:r>
    </w:p>
    <w:p w14:paraId="452DCDE7" w14:textId="77777777" w:rsidR="002A5DBF" w:rsidRPr="00925F26" w:rsidRDefault="002A5DBF" w:rsidP="00925F26">
      <w:pPr>
        <w:pStyle w:val="a3"/>
        <w:rPr>
          <w:color w:val="000000" w:themeColor="text1"/>
          <w:lang w:val="ru-RU"/>
        </w:rPr>
      </w:pPr>
    </w:p>
    <w:p w14:paraId="0940E04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года гл. инженер ВВС генерал-полковник Репин писал письмо командующему ВВС гл. маршалу авиации Новикову А.А.</w:t>
      </w:r>
    </w:p>
    <w:p w14:paraId="18E8B09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материалу немецкого инженера Роберта Гюссенера "Резонансные самолеты" докладываю следующее:</w:t>
      </w:r>
    </w:p>
    <w:p w14:paraId="31CBCF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 В материале излагаются соображения общего характера о возможности осуществления полета самолета по принципу птиц и насекомых (колебательные и машущие движения несущих плоскостей).</w:t>
      </w:r>
    </w:p>
    <w:p w14:paraId="72DA92C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Вопрос излагается в общей форме, без конкретных расчетов и сравнений с существующими типами летательных аппаратов.</w:t>
      </w:r>
    </w:p>
    <w:p w14:paraId="463DD5E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 совершении таких движений несущих плоскостей, по мнению этого инженера, якобы, появляется возможность использовать эффект резонанса в полете, что обеспечивает наиболее эффективное использование летательного аппарата в отношении экономии энергии и грузоподъемности. По этим соображениям самолеты и названы резонансными. При этом самым главным является осуществление конструкции машущего крыла, использование же резонансного эффекта относится больше к методике применения подобных аппаратов.</w:t>
      </w:r>
    </w:p>
    <w:p w14:paraId="4D43D1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Идея применения машущих и колебательных движений крыла для полета самолета не является новой. В литературе всех стран можно найти много статей, освещающих этот вопрос, однако, преимущества этого принципа в сравнении с существующими никем не обоснованы, не обосновываются также и этим инженером.</w:t>
      </w:r>
    </w:p>
    <w:p w14:paraId="3DBFE9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3. До настоящего времени идея машущего крыла не имела практического разрешения, ввиду наличия больших трудностей осуществления достаточно прочной и надежной конструкции и неочевидности преимуществ.</w:t>
      </w:r>
    </w:p>
    <w:p w14:paraId="065D9A2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этим соображениям такие самолеты не будут иметь реальных перспектив на очень длительное время и, следовательно, этот вопрос в данное время практического интереса не представляет (2591).</w:t>
      </w:r>
    </w:p>
    <w:p w14:paraId="4FEEB31D" w14:textId="77777777" w:rsidR="006103B3" w:rsidRPr="00925F26" w:rsidRDefault="006103B3" w:rsidP="00925F26">
      <w:pPr>
        <w:autoSpaceDE w:val="0"/>
        <w:autoSpaceDN w:val="0"/>
        <w:adjustRightInd w:val="0"/>
        <w:jc w:val="both"/>
        <w:rPr>
          <w:color w:val="000000" w:themeColor="text1"/>
          <w:sz w:val="16"/>
          <w:szCs w:val="16"/>
        </w:rPr>
      </w:pPr>
    </w:p>
    <w:p w14:paraId="135A32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был подготовлен очет:</w:t>
      </w:r>
    </w:p>
    <w:p w14:paraId="0643F5F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 Красноярской воздушной трассе перегнано из США 4007 самолетов, в том числе 1509 бомбардировщиков, 2184 истребителя и 314 транспортных самолетов.</w:t>
      </w:r>
    </w:p>
    <w:p w14:paraId="783FC3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авиазаводов для ВВС, АДД и ГВФ перегнано и сдано 836 самолетов, в том числе 604 Ил-2 и 232 Ли-2.</w:t>
      </w:r>
    </w:p>
    <w:p w14:paraId="4145470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Кроме того, из Англии было перегнано 11 самолетов “Албимал” и 1 самолет “Москито”.</w:t>
      </w:r>
    </w:p>
    <w:p w14:paraId="19C202A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p w14:paraId="42EC7BD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Помимо ремонта самолетно-моторного парка в авиаремонтной базе № 404 (Свердловск), </w:t>
      </w:r>
      <w:proofErr w:type="gramStart"/>
      <w:r w:rsidRPr="00925F26">
        <w:rPr>
          <w:color w:val="000000" w:themeColor="text1"/>
          <w:sz w:val="16"/>
          <w:szCs w:val="16"/>
        </w:rPr>
        <w:t>согласно решения</w:t>
      </w:r>
      <w:proofErr w:type="gramEnd"/>
      <w:r w:rsidRPr="00925F26">
        <w:rPr>
          <w:color w:val="000000" w:themeColor="text1"/>
          <w:sz w:val="16"/>
          <w:szCs w:val="16"/>
        </w:rPr>
        <w:t xml:space="preserve"> ГОКО, изготовлено 449 тысяч спецдеталей к реактивному снаряду М-13.</w:t>
      </w:r>
    </w:p>
    <w:p w14:paraId="055893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p w14:paraId="322AA9A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Восстановлено 37 трофейных самолетов Ю-52 и 102 мотора БМВ-132.</w:t>
      </w:r>
    </w:p>
    <w:p w14:paraId="29BBAD3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Переделано под 3-х местный лимузин 204 самолета По-2, что позволило учебных самолет использовать для пассажирских перевозок и увеличить его грузоподъемность на 160 кг</w:t>
      </w:r>
    </w:p>
    <w:p w14:paraId="1FF0AAE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w:t>
      </w:r>
    </w:p>
    <w:p w14:paraId="6ED9929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Реорганизован завод № 245, ранее изготовлявший аэродромное оборудование, на изготовление запасных частей к самолетам и моторам.</w:t>
      </w:r>
    </w:p>
    <w:p w14:paraId="2BDABF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1942 и 1943 году организованы две бвзы: № 400 по ремонту самолетов Ли-2 и № 402 по ремонту самолетов По-2 и П-5 (8654).</w:t>
      </w:r>
    </w:p>
    <w:p w14:paraId="01FBB286" w14:textId="77777777" w:rsidR="006103B3" w:rsidRPr="00925F26" w:rsidRDefault="006103B3" w:rsidP="00925F26">
      <w:pPr>
        <w:autoSpaceDE w:val="0"/>
        <w:autoSpaceDN w:val="0"/>
        <w:adjustRightInd w:val="0"/>
        <w:jc w:val="both"/>
        <w:rPr>
          <w:color w:val="000000" w:themeColor="text1"/>
          <w:sz w:val="16"/>
          <w:szCs w:val="16"/>
        </w:rPr>
      </w:pPr>
    </w:p>
    <w:p w14:paraId="2FFC7C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С.П.К. подготоввил предложения в НКАП:</w:t>
      </w:r>
    </w:p>
    <w:p w14:paraId="044F47B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НЕОБХОДИМЫЕ МЕРОПРИЯТИЯ ДЛЯ ОРГАНИЗАЦИИ РАБОТ ПО РАКЕТАМ ДАЛЬНЕГО ДЕЙСТВИЯ</w:t>
      </w:r>
    </w:p>
    <w:p w14:paraId="707EF3A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1. Организовать с 1 ноября 1945 г. в филиале № 2 НИИ-1 НКАП специальное опытное конструкторское бюро (Спецбюро) со своей производственной базой и экспериментальной частью для осуществления ракет дальнего действия.</w:t>
      </w:r>
    </w:p>
    <w:p w14:paraId="5155FBA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Принять для Спецбюро объект Д-2 как основную тему работ на 1945-1946 гг.</w:t>
      </w:r>
    </w:p>
    <w:p w14:paraId="6AA4E3B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обеспечение этих работ выделить в 1945-1946 гг. филиалу № 2 НИИ-1 НКАП для Спецбюро необходимые материальные фонды, фонды на капитальное строительство, фонды на станочное оборудование, транспорт и приборы в соответствии с тематическим планом и заявками Спецбюро.</w:t>
      </w:r>
    </w:p>
    <w:p w14:paraId="52C051A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Обязать Спецбюро разработать тематический план работ и заявки и представить их в НКАП к 1 октября с.г.</w:t>
      </w:r>
    </w:p>
    <w:p w14:paraId="37091E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 Укомплектовать штат Спецбюро специалистами</w:t>
      </w:r>
      <w:r w:rsidRPr="00925F26">
        <w:rPr>
          <w:color w:val="000000" w:themeColor="text1"/>
          <w:sz w:val="16"/>
          <w:szCs w:val="16"/>
          <w:vertAlign w:val="superscript"/>
        </w:rPr>
        <w:t>1</w:t>
      </w:r>
      <w:r w:rsidRPr="00925F26">
        <w:rPr>
          <w:color w:val="000000" w:themeColor="text1"/>
          <w:sz w:val="16"/>
          <w:szCs w:val="16"/>
        </w:rPr>
        <w:t>&lt;...&gt;</w:t>
      </w:r>
    </w:p>
    <w:p w14:paraId="73DC57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6. Обязать ЦАГИ произвести в IV квартале 1945 г. и в 1946 г. продувки моделей ракет по заданиям Спецбюро.</w:t>
      </w:r>
    </w:p>
    <w:p w14:paraId="6710CAD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7. Ознакомить ведущих работников Спецбюро с трофейной ракетной техникой и по возможности с последними английскими и американскими новинками в этой области.</w:t>
      </w:r>
    </w:p>
    <w:p w14:paraId="0A41EF7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8. В целях наилучшего обеспечения и ускорения работ по созданию дальней ракеты "Д" эту работу в целом и необходимые по ней мероприятия желательно провести постановлением Государственного Комитета Обороны. (ААН, р. 4, оп. 17, № 106, л. 1,2) (10676).</w:t>
      </w:r>
    </w:p>
    <w:p w14:paraId="1E8CC13D" w14:textId="77777777" w:rsidR="006103B3" w:rsidRPr="00925F26" w:rsidRDefault="006103B3" w:rsidP="00925F26">
      <w:pPr>
        <w:autoSpaceDE w:val="0"/>
        <w:autoSpaceDN w:val="0"/>
        <w:adjustRightInd w:val="0"/>
        <w:jc w:val="both"/>
        <w:rPr>
          <w:color w:val="000000" w:themeColor="text1"/>
          <w:sz w:val="16"/>
          <w:szCs w:val="16"/>
        </w:rPr>
      </w:pPr>
    </w:p>
    <w:p w14:paraId="60B9CAE4" w14:textId="77777777" w:rsidR="00D018BD" w:rsidRPr="001A0BAA" w:rsidRDefault="00D018BD" w:rsidP="00D018BD">
      <w:pPr>
        <w:jc w:val="both"/>
        <w:rPr>
          <w:color w:val="0070C0"/>
          <w:sz w:val="16"/>
          <w:szCs w:val="16"/>
        </w:rPr>
      </w:pPr>
      <w:r w:rsidRPr="001A0BAA">
        <w:rPr>
          <w:color w:val="0070C0"/>
          <w:sz w:val="16"/>
          <w:szCs w:val="16"/>
        </w:rPr>
        <w:t>В июне 1945 года Аэрофлот ненадолго возобновил работу своего довоенного управления международных авиалиний УМВЛ, а через год включил его в состав УМВС, которое теперь восстановило свои собственные полеты (25659).</w:t>
      </w:r>
    </w:p>
    <w:p w14:paraId="52A97846" w14:textId="77777777" w:rsidR="00D018BD" w:rsidRPr="001A0BAA" w:rsidRDefault="00D018BD" w:rsidP="00D018BD">
      <w:pPr>
        <w:jc w:val="both"/>
        <w:rPr>
          <w:color w:val="0070C0"/>
          <w:sz w:val="16"/>
          <w:szCs w:val="16"/>
        </w:rPr>
      </w:pPr>
    </w:p>
    <w:p w14:paraId="18DDF131"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57AA8D7" w14:textId="77777777" w:rsidR="006103B3" w:rsidRPr="00925F26" w:rsidRDefault="006103B3" w:rsidP="00925F26">
      <w:pPr>
        <w:autoSpaceDE w:val="0"/>
        <w:autoSpaceDN w:val="0"/>
        <w:adjustRightInd w:val="0"/>
        <w:jc w:val="both"/>
        <w:rPr>
          <w:iCs/>
          <w:color w:val="000000" w:themeColor="text1"/>
          <w:sz w:val="16"/>
          <w:szCs w:val="16"/>
        </w:rPr>
      </w:pPr>
    </w:p>
    <w:p w14:paraId="1DABF0E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июня 1945 года и начиная с 1942 завод № 304 выпускал патроны ТТ, а с июня 1945 года он переведен на радиолокационную аппаратуру. С 1942 года ему был присвоен № 304.</w:t>
      </w:r>
    </w:p>
    <w:p w14:paraId="6844F1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ВОСР это был пистонный завод Бельгийского АО “Монтекристо”.</w:t>
      </w:r>
    </w:p>
    <w:p w14:paraId="37EFE9C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До 1936 года завод назывался “Красный снаряжатель” и выпускал патроны к мелкокалиберным ружьям.</w:t>
      </w:r>
    </w:p>
    <w:p w14:paraId="09E91E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1936 года до 1942 года заводу был присвоен № 46. В это время он изготавливал патроны для разных систем стрелкового оружия.</w:t>
      </w:r>
    </w:p>
    <w:p w14:paraId="4F38D50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Кунцево Московской области, п/я 15 (9549).</w:t>
      </w:r>
    </w:p>
    <w:p w14:paraId="52527950" w14:textId="77777777" w:rsidR="006103B3" w:rsidRPr="00925F26" w:rsidRDefault="006103B3" w:rsidP="00925F26">
      <w:pPr>
        <w:autoSpaceDE w:val="0"/>
        <w:autoSpaceDN w:val="0"/>
        <w:adjustRightInd w:val="0"/>
        <w:jc w:val="both"/>
        <w:rPr>
          <w:color w:val="000000" w:themeColor="text1"/>
          <w:sz w:val="16"/>
          <w:szCs w:val="16"/>
        </w:rPr>
      </w:pPr>
    </w:p>
    <w:p w14:paraId="4104DC3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завод (Завод № 568 НКБ /г. Москва/) прекратил свою деятельность, оборудование и кадры переданы на другие заводы НКБ и на площадку завода был переведен Инструментальный часовой завод Главчаспрома НКМВ.</w:t>
      </w:r>
    </w:p>
    <w:p w14:paraId="7281D26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Завод имел филиал - завод № 775, который в 1946 г. стал опытным заводом ГЦКБ-1 МСХМ.</w:t>
      </w:r>
    </w:p>
    <w:p w14:paraId="79715C6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(12.1942 г.)- 1128 чел.</w:t>
      </w:r>
    </w:p>
    <w:p w14:paraId="0CF2FB65" w14:textId="77777777" w:rsidR="006103B3" w:rsidRPr="00925F26" w:rsidRDefault="006103B3" w:rsidP="00925F26">
      <w:pPr>
        <w:autoSpaceDE w:val="0"/>
        <w:autoSpaceDN w:val="0"/>
        <w:adjustRightInd w:val="0"/>
        <w:jc w:val="both"/>
        <w:rPr>
          <w:color w:val="000000" w:themeColor="text1"/>
          <w:sz w:val="16"/>
          <w:szCs w:val="16"/>
          <w:vertAlign w:val="superscript"/>
        </w:rPr>
      </w:pPr>
      <w:r w:rsidRPr="00925F26">
        <w:rPr>
          <w:color w:val="000000" w:themeColor="text1"/>
          <w:sz w:val="16"/>
          <w:szCs w:val="16"/>
        </w:rPr>
        <w:t>Директор (ВОВ)- П.А. Большаков. Начальник (11.1943 г.)- Андрачников (11982).</w:t>
      </w:r>
    </w:p>
    <w:p w14:paraId="60A2FDAC" w14:textId="77777777" w:rsidR="006103B3" w:rsidRPr="00925F26" w:rsidRDefault="006103B3" w:rsidP="00925F26">
      <w:pPr>
        <w:autoSpaceDE w:val="0"/>
        <w:autoSpaceDN w:val="0"/>
        <w:adjustRightInd w:val="0"/>
        <w:jc w:val="both"/>
        <w:rPr>
          <w:color w:val="000000" w:themeColor="text1"/>
          <w:sz w:val="16"/>
          <w:szCs w:val="16"/>
        </w:rPr>
      </w:pPr>
    </w:p>
    <w:p w14:paraId="67EAA1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июня 1945 года взамен снятого с производства 152 мм снаряда завод № 110 в Сталино был приспособлен к производству с/х машин.</w:t>
      </w:r>
    </w:p>
    <w:p w14:paraId="2F37FD9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Адрес: Сталино, 7, п/я 3</w:t>
      </w:r>
    </w:p>
    <w:p w14:paraId="120799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 Березин (10030).</w:t>
      </w:r>
    </w:p>
    <w:p w14:paraId="488BB2E7" w14:textId="77777777" w:rsidR="006103B3" w:rsidRPr="00925F26" w:rsidRDefault="006103B3" w:rsidP="00925F26">
      <w:pPr>
        <w:autoSpaceDE w:val="0"/>
        <w:autoSpaceDN w:val="0"/>
        <w:adjustRightInd w:val="0"/>
        <w:jc w:val="both"/>
        <w:rPr>
          <w:color w:val="000000" w:themeColor="text1"/>
          <w:sz w:val="16"/>
          <w:szCs w:val="16"/>
        </w:rPr>
      </w:pPr>
    </w:p>
    <w:p w14:paraId="2C401F47" w14:textId="77777777" w:rsidR="00D018BD" w:rsidRPr="00925F26" w:rsidRDefault="00D018BD" w:rsidP="00D018BD">
      <w:pPr>
        <w:autoSpaceDE w:val="0"/>
        <w:autoSpaceDN w:val="0"/>
        <w:adjustRightInd w:val="0"/>
        <w:jc w:val="both"/>
        <w:rPr>
          <w:color w:val="000000" w:themeColor="text1"/>
          <w:sz w:val="16"/>
          <w:szCs w:val="16"/>
        </w:rPr>
      </w:pPr>
      <w:r w:rsidRPr="00925F26">
        <w:rPr>
          <w:color w:val="000000" w:themeColor="text1"/>
          <w:sz w:val="16"/>
          <w:szCs w:val="16"/>
        </w:rPr>
        <w:t>С июня 1945 проходили полигонные испытания 130 мм пушки С-26 з-да 172, которую хотели поставить на ИС и потом изготовили ИСУ-130, надобность в которой отпала после окончания войны (7437, 32).</w:t>
      </w:r>
    </w:p>
    <w:p w14:paraId="32FCBE76" w14:textId="77777777" w:rsidR="00D018BD" w:rsidRPr="00925F26" w:rsidRDefault="00D018BD" w:rsidP="00D018BD">
      <w:pPr>
        <w:autoSpaceDE w:val="0"/>
        <w:autoSpaceDN w:val="0"/>
        <w:adjustRightInd w:val="0"/>
        <w:jc w:val="both"/>
        <w:rPr>
          <w:color w:val="000000" w:themeColor="text1"/>
          <w:sz w:val="16"/>
          <w:szCs w:val="16"/>
        </w:rPr>
      </w:pPr>
    </w:p>
    <w:p w14:paraId="2B4B3481" w14:textId="77777777" w:rsidR="00D018BD" w:rsidRPr="001A0BAA" w:rsidRDefault="00D018BD" w:rsidP="00D018BD">
      <w:pPr>
        <w:jc w:val="both"/>
        <w:rPr>
          <w:color w:val="0070C0"/>
          <w:sz w:val="16"/>
          <w:szCs w:val="16"/>
        </w:rPr>
      </w:pPr>
      <w:r w:rsidRPr="001A0BAA">
        <w:rPr>
          <w:rStyle w:val="aff0"/>
          <w:rFonts w:ascii="Times New Roman" w:hAnsi="Times New Roman" w:cs="Times New Roman"/>
          <w:color w:val="0070C0"/>
          <w:spacing w:val="0"/>
          <w:sz w:val="16"/>
          <w:szCs w:val="16"/>
        </w:rPr>
        <w:t>В июне 1945 г. завершились корабельные испытания 76-мм пушки С-35 Грабина, спроектированной в ЦАКБ, для подводных лодок. Дальнейшие работы не проводились (25440).</w:t>
      </w:r>
    </w:p>
    <w:p w14:paraId="7F29F900" w14:textId="77777777" w:rsidR="00D018BD" w:rsidRPr="001A0BAA" w:rsidRDefault="00D018BD" w:rsidP="00D018BD">
      <w:pPr>
        <w:jc w:val="both"/>
        <w:rPr>
          <w:rStyle w:val="aff0"/>
          <w:rFonts w:ascii="Times New Roman" w:hAnsi="Times New Roman" w:cs="Times New Roman"/>
          <w:color w:val="0070C0"/>
          <w:spacing w:val="0"/>
          <w:sz w:val="16"/>
          <w:szCs w:val="16"/>
        </w:rPr>
      </w:pPr>
    </w:p>
    <w:p w14:paraId="092CC312" w14:textId="77777777" w:rsidR="00D018BD" w:rsidRPr="001A0BAA" w:rsidRDefault="00D018BD" w:rsidP="00D018BD">
      <w:pPr>
        <w:jc w:val="both"/>
        <w:rPr>
          <w:color w:val="0070C0"/>
          <w:sz w:val="16"/>
          <w:szCs w:val="16"/>
        </w:rPr>
      </w:pPr>
      <w:r w:rsidRPr="001A0BAA">
        <w:rPr>
          <w:color w:val="0070C0"/>
          <w:sz w:val="16"/>
          <w:szCs w:val="16"/>
        </w:rPr>
        <w:t>В июне 1945 года пушку В-13 изготовили на заводе №235. Представители завода приехали на ГАЗ, но их... не пустили. Липгарт четко обозначил позицию, что всё, с танковыми экспериментами закончено. Тем не менее, В-13 всё же оказалась установленной в самоход, правда, обходными путями. 5 июля 1945 года СУ-85Б прибыла на Гороховецкий АНИОП, а 25 июля туда привезли первый из двух стволов В-13 (24993).</w:t>
      </w:r>
    </w:p>
    <w:p w14:paraId="15443227" w14:textId="77777777" w:rsidR="00D018BD" w:rsidRPr="001A0BAA" w:rsidRDefault="00D018BD" w:rsidP="00D018BD">
      <w:pPr>
        <w:jc w:val="both"/>
        <w:rPr>
          <w:color w:val="0070C0"/>
          <w:sz w:val="16"/>
          <w:szCs w:val="16"/>
        </w:rPr>
      </w:pPr>
    </w:p>
    <w:p w14:paraId="325B2F2C" w14:textId="77777777" w:rsidR="003C588F" w:rsidRPr="00925F26" w:rsidRDefault="003C588F" w:rsidP="00925F26">
      <w:pPr>
        <w:jc w:val="both"/>
        <w:rPr>
          <w:color w:val="000000" w:themeColor="text1"/>
          <w:sz w:val="16"/>
          <w:szCs w:val="16"/>
        </w:rPr>
      </w:pPr>
      <w:r w:rsidRPr="00925F26">
        <w:rPr>
          <w:color w:val="000000" w:themeColor="text1"/>
          <w:sz w:val="16"/>
          <w:szCs w:val="16"/>
        </w:rPr>
        <w:t>По июнь 1945 года с декабря 1943 ЧКЗ сдал 3385 ИС-2. В июне отгрузили последние 63 машины, на заводе остался всего один ИС-2, который проходил длительные испытания. В октябре 1945 года вместо этой машины, которая требовала капитального ремонта, завод сдал лишний танк ИС-3 (18099).</w:t>
      </w:r>
    </w:p>
    <w:p w14:paraId="6F2D69FF" w14:textId="77777777" w:rsidR="003C588F" w:rsidRPr="00925F26" w:rsidRDefault="003C588F" w:rsidP="00925F26">
      <w:pPr>
        <w:jc w:val="both"/>
        <w:rPr>
          <w:color w:val="000000" w:themeColor="text1"/>
          <w:sz w:val="16"/>
          <w:szCs w:val="16"/>
        </w:rPr>
      </w:pPr>
    </w:p>
    <w:p w14:paraId="3C4852A0" w14:textId="77777777" w:rsidR="003C588F" w:rsidRPr="00925F26" w:rsidRDefault="003C588F" w:rsidP="00925F26">
      <w:pPr>
        <w:pStyle w:val="4f"/>
        <w:shd w:val="clear" w:color="auto" w:fill="FFFFFF"/>
        <w:spacing w:before="0" w:beforeAutospacing="0" w:after="0" w:afterAutospacing="0"/>
        <w:jc w:val="both"/>
        <w:textAlignment w:val="baseline"/>
        <w:rPr>
          <w:color w:val="000000" w:themeColor="text1"/>
          <w:sz w:val="16"/>
          <w:szCs w:val="16"/>
        </w:rPr>
      </w:pPr>
      <w:r w:rsidRPr="00925F26">
        <w:rPr>
          <w:iCs/>
          <w:color w:val="000000" w:themeColor="text1"/>
          <w:sz w:val="16"/>
          <w:szCs w:val="16"/>
          <w:bdr w:val="none" w:sz="0" w:space="0" w:color="auto" w:frame="1"/>
        </w:rPr>
        <w:t xml:space="preserve">В июне 1945 года производство тяжёлого танка ИС-2 окончательно завершилось, на конвейере он уступил место своему преемнику — ИС-3 (19772). </w:t>
      </w:r>
    </w:p>
    <w:p w14:paraId="3D9688AF" w14:textId="77777777" w:rsidR="003C588F" w:rsidRPr="00925F26" w:rsidRDefault="003C588F" w:rsidP="00925F26">
      <w:pPr>
        <w:pStyle w:val="ae"/>
        <w:shd w:val="clear" w:color="auto" w:fill="FFFFFF"/>
        <w:spacing w:before="0" w:after="0"/>
        <w:jc w:val="both"/>
        <w:textAlignment w:val="baseline"/>
        <w:rPr>
          <w:color w:val="000000" w:themeColor="text1"/>
          <w:sz w:val="16"/>
          <w:szCs w:val="16"/>
        </w:rPr>
      </w:pPr>
    </w:p>
    <w:p w14:paraId="53068321" w14:textId="77777777" w:rsidR="003C588F" w:rsidRPr="00925F26" w:rsidRDefault="003C58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С июня 1945 года ИС-3 стали поступать в войска. При этом на заводе продолжали лихорадочно бороться с перегревом системы охлаждения (преодолеть его удалось только в июле). По этой причине новые танки на первых порах были, скорее, учебными машинами. Ввиду перегрева системы охлаждения максимальную скорость развить не получалось. Лишь ближе к концу лета стали поступать боевые машины, имевшие 100% боеспособность. Такова была плата за столь стремительное развёртывание производства ИС-3. Впрочем, обвинять ГБТУ КА и НКТП не в чем. Никто не знал, сколько ещё продлится война, а к броневой защите ИС-2 уже давно накопилось немало претензий. Примерно в пределах одной боевой операции ИС-3 вполне «жил», а в условиях войны этого было вполне достаточно.</w:t>
      </w:r>
    </w:p>
    <w:p w14:paraId="3BE175DC" w14:textId="77777777" w:rsidR="003C588F" w:rsidRPr="00925F26" w:rsidRDefault="003C58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Несмотря на все «болячки», именно этому танку было доверено «нести флаг» советского танкопрома на Параде Победы 7 сентября 1945 года. Для данной задачи в Берлине собрали боеспособные части, оснащённые новыми танками. Честь пройти по Берлину выпала танкистам 2-й Гвардейской танковой армии. ИС-3 замыкали парад, при этом ни одной поломки не случилось — новые советские тяжёлые танки сработали на все сто. Для союзников по антигитлеровской коалиции новые тяжёлые танки стали настоящим шоком. У них и так не было ничего подобного ИС-2, а тут по Берлину прошли машины, выглядевшие как пришельцы из будущего. Можно сказать, что ИС-3 стали танками, открывшими Холодную войну. В течение последующих семи лет ИС-3 являлся для западных стран образцом современного танка. Откуда им было знать про все те драмы, которые происходили с танком в ходе производства и эксплуатации? Не знали они и о том, что уже в июле 1946 года выпуск ИС-3 прекратился, так как на вооружение приняли новый танк — ИС-4.</w:t>
      </w:r>
    </w:p>
    <w:p w14:paraId="53734FD6" w14:textId="77777777" w:rsidR="003C588F" w:rsidRPr="00925F26" w:rsidRDefault="003C58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случае с ИС-3 сложилась довольно занятная ситуация. Эти танки регулярно участвовали в парадах, причём не только в Москве. Вместе с тем, после окончания войны значительная их часть ушла не в войска, а на склады длительного хранения. Отчасти именно это стало одной из причин той драмы, в которую превратилась эксплуатация ИС-3. Дело в том, что в ходе эксплуатации ИС-2 из войск шла масса информации, которая аккумулировалась в ГБТУ КА, НКТП и на ЧКЗ. По итогам в конструкцию вносились изменения. А вот после войны ввиду существенно снизившихся объёмов использования танков поток информации существенно снизился — и на завод, и в Министерство транспортного машиностроения, которое в 1946 году стало наследником НКТП.</w:t>
      </w:r>
    </w:p>
    <w:p w14:paraId="09CAB98F" w14:textId="0BFE2D98" w:rsidR="003C588F" w:rsidRPr="00925F26" w:rsidRDefault="003C58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Тревогу забили в 1947 году. Первой выявившейся проблемой стали недостатки подмоторной рамы. По состоянию на 10 апреля 1947 года в Группе советских оккупационных войск в Германии из 315 танков раму усилили на 50, и это было только начало. Поток рекламаций постоянно рос, а вместе с этим ужесточались требования на доработку машины. По этой причине уже в 1948 году возник вопрос модернизации ИС-3, которую начали проводить с 1951 года — впрочем, это отдельная история. Стоит лишь отметить, что в исходном виде ИС-3 так и не повоевал. Машины, которые применили</w:t>
      </w:r>
      <w:r w:rsidR="00997EDF" w:rsidRPr="00925F26">
        <w:rPr>
          <w:color w:val="000000" w:themeColor="text1"/>
          <w:sz w:val="16"/>
          <w:szCs w:val="16"/>
        </w:rPr>
        <w:t xml:space="preserve">  </w:t>
      </w:r>
      <w:hyperlink r:id="rId160" w:history="1">
        <w:r w:rsidRPr="00925F26">
          <w:rPr>
            <w:rStyle w:val="a5"/>
            <w:rFonts w:eastAsiaTheme="majorEastAsia"/>
            <w:bCs/>
            <w:iCs/>
            <w:color w:val="000000" w:themeColor="text1"/>
            <w:sz w:val="16"/>
            <w:szCs w:val="16"/>
            <w:bdr w:val="none" w:sz="0" w:space="0" w:color="auto" w:frame="1"/>
          </w:rPr>
          <w:t>в Будапеште осенью 1956 года</w:t>
        </w:r>
      </w:hyperlink>
      <w:r w:rsidRPr="00925F26">
        <w:rPr>
          <w:color w:val="000000" w:themeColor="text1"/>
          <w:sz w:val="16"/>
          <w:szCs w:val="16"/>
        </w:rPr>
        <w:t>, уже прошли программу УКН (устранение конструктивных недостатков). Тем не менее, три танка в исходной конфигурации дожили до наших дней: из них два находятся в Польше, ещё один — в Чехии (19731).</w:t>
      </w:r>
    </w:p>
    <w:p w14:paraId="413D5D3E" w14:textId="77777777" w:rsidR="003C588F" w:rsidRPr="00925F26" w:rsidRDefault="003C588F" w:rsidP="00925F26">
      <w:pPr>
        <w:jc w:val="both"/>
        <w:rPr>
          <w:color w:val="000000" w:themeColor="text1"/>
          <w:sz w:val="16"/>
          <w:szCs w:val="16"/>
        </w:rPr>
      </w:pPr>
    </w:p>
    <w:p w14:paraId="6A2EF98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на заводе № 75 началась сборка серийных танков Т-44. Первая партия танков Т-44 в августе 1945 года отправлена на Дальний Восток, где в это время происходили военные действия с Японией (9154).</w:t>
      </w:r>
    </w:p>
    <w:p w14:paraId="27268582" w14:textId="77777777" w:rsidR="006103B3" w:rsidRPr="00925F26" w:rsidRDefault="006103B3" w:rsidP="00925F26">
      <w:pPr>
        <w:autoSpaceDE w:val="0"/>
        <w:autoSpaceDN w:val="0"/>
        <w:adjustRightInd w:val="0"/>
        <w:jc w:val="both"/>
        <w:rPr>
          <w:color w:val="000000" w:themeColor="text1"/>
          <w:sz w:val="16"/>
          <w:szCs w:val="16"/>
        </w:rPr>
      </w:pPr>
    </w:p>
    <w:p w14:paraId="5784251B" w14:textId="77777777" w:rsidR="00F23D44" w:rsidRPr="00925F26" w:rsidRDefault="00F23D44" w:rsidP="00925F26">
      <w:pPr>
        <w:jc w:val="both"/>
        <w:rPr>
          <w:color w:val="000000" w:themeColor="text1"/>
          <w:sz w:val="16"/>
          <w:szCs w:val="16"/>
        </w:rPr>
      </w:pPr>
      <w:r w:rsidRPr="00925F26">
        <w:rPr>
          <w:color w:val="000000" w:themeColor="text1"/>
          <w:sz w:val="16"/>
          <w:szCs w:val="16"/>
        </w:rPr>
        <w:t>С июня 1945 все СУ-100 и далее выпускаются только с орудиями Д-10СК.</w:t>
      </w:r>
    </w:p>
    <w:p w14:paraId="039067E3" w14:textId="77777777" w:rsidR="00F23D44" w:rsidRPr="00925F26" w:rsidRDefault="00F23D44" w:rsidP="00925F26">
      <w:pPr>
        <w:jc w:val="both"/>
        <w:rPr>
          <w:color w:val="000000" w:themeColor="text1"/>
          <w:sz w:val="16"/>
          <w:szCs w:val="16"/>
        </w:rPr>
      </w:pPr>
      <w:r w:rsidRPr="00925F26">
        <w:rPr>
          <w:color w:val="000000" w:themeColor="text1"/>
          <w:sz w:val="16"/>
          <w:szCs w:val="16"/>
        </w:rPr>
        <w:t>Поручни на МТО перенесены с кормы ближе к середине боковых крышек. Интерес</w:t>
      </w:r>
      <w:r w:rsidRPr="00925F26">
        <w:rPr>
          <w:color w:val="000000" w:themeColor="text1"/>
          <w:sz w:val="16"/>
          <w:szCs w:val="16"/>
        </w:rPr>
        <w:softHyphen/>
        <w:t>но, что позже - при модернизации 1960 г. - установленные в среднем положении поруч</w:t>
      </w:r>
      <w:r w:rsidRPr="00925F26">
        <w:rPr>
          <w:color w:val="000000" w:themeColor="text1"/>
          <w:sz w:val="16"/>
          <w:szCs w:val="16"/>
        </w:rPr>
        <w:softHyphen/>
        <w:t>ни нередко срезали и переносили в прежнюю позицию к корме ради возможности прива</w:t>
      </w:r>
      <w:r w:rsidRPr="00925F26">
        <w:rPr>
          <w:color w:val="000000" w:themeColor="text1"/>
          <w:sz w:val="16"/>
          <w:szCs w:val="16"/>
        </w:rPr>
        <w:softHyphen/>
        <w:t>рить ближе к задней стенке боевой рубки бонки крепления дымовых шашек МДШ-5 по- походному (19927).</w:t>
      </w:r>
    </w:p>
    <w:p w14:paraId="55EE123B" w14:textId="77777777" w:rsidR="00F23D44" w:rsidRPr="00925F26" w:rsidRDefault="00F23D44" w:rsidP="00925F26">
      <w:pPr>
        <w:jc w:val="both"/>
        <w:rPr>
          <w:color w:val="000000" w:themeColor="text1"/>
          <w:sz w:val="16"/>
          <w:szCs w:val="16"/>
        </w:rPr>
      </w:pPr>
    </w:p>
    <w:p w14:paraId="0BDC962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доработанная СУ-76М (СУ-12М; М - модернизированная) пошла в производство (3862).</w:t>
      </w:r>
    </w:p>
    <w:p w14:paraId="287A474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Эти машины отличались доработанным силовым агрегатом и трансмиссией, в производстве использовался задел старых корпусов от СУ-76 (3862).</w:t>
      </w:r>
    </w:p>
    <w:p w14:paraId="760CCC6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Введение в трансмиссию дополнительных пружинных муфт между двигателями и КПП и фрикционной проскальзывающей муфты на общем валу, а также применение подмоторных амортизаторов снизили аварийность, но все же не исключили ее (3862).</w:t>
      </w:r>
    </w:p>
    <w:p w14:paraId="640A56F2" w14:textId="77777777" w:rsidR="006103B3" w:rsidRPr="00925F26" w:rsidRDefault="006103B3" w:rsidP="00925F26">
      <w:pPr>
        <w:autoSpaceDE w:val="0"/>
        <w:autoSpaceDN w:val="0"/>
        <w:adjustRightInd w:val="0"/>
        <w:jc w:val="both"/>
        <w:rPr>
          <w:color w:val="000000" w:themeColor="text1"/>
          <w:sz w:val="16"/>
          <w:szCs w:val="16"/>
        </w:rPr>
      </w:pPr>
    </w:p>
    <w:p w14:paraId="00F2EF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 1945 г. закончились ходовые и артиллерийские испытания опытного образца самоходной установки ИСУ-130 ("Объект 250"). На вооружение и в серийное производство установка ИСУ-130 не принималась. Самоходная установка ИСУ-130 относилась к типу полностью бро</w:t>
      </w:r>
      <w:r w:rsidRPr="00925F26">
        <w:rPr>
          <w:color w:val="000000" w:themeColor="text1"/>
          <w:sz w:val="16"/>
          <w:szCs w:val="16"/>
        </w:rPr>
        <w:softHyphen/>
        <w:t>нированных самоходных установок с передним расположением броне</w:t>
      </w:r>
      <w:r w:rsidRPr="00925F26">
        <w:rPr>
          <w:color w:val="000000" w:themeColor="text1"/>
          <w:sz w:val="16"/>
          <w:szCs w:val="16"/>
        </w:rPr>
        <w:softHyphen/>
        <w:t>вой рубки. Машина была создана на базе ИСУ-122С путем замены 122-мм Д-25С на 130-мм пушку С-26 конструкции ЦАКБ, разработан</w:t>
      </w:r>
      <w:r w:rsidRPr="00925F26">
        <w:rPr>
          <w:color w:val="000000" w:themeColor="text1"/>
          <w:sz w:val="16"/>
          <w:szCs w:val="16"/>
        </w:rPr>
        <w:softHyphen/>
        <w:t>ную на базе морской пушки Б-13 и приспособленную для монтажа в са</w:t>
      </w:r>
      <w:r w:rsidRPr="00925F26">
        <w:rPr>
          <w:color w:val="000000" w:themeColor="text1"/>
          <w:sz w:val="16"/>
          <w:szCs w:val="16"/>
        </w:rPr>
        <w:softHyphen/>
        <w:t xml:space="preserve">моходную установку. В состав экипажа машины входили четыре-пять человек, которые </w:t>
      </w:r>
      <w:proofErr w:type="gramStart"/>
      <w:r w:rsidRPr="00925F26">
        <w:rPr>
          <w:color w:val="000000" w:themeColor="text1"/>
          <w:sz w:val="16"/>
          <w:szCs w:val="16"/>
        </w:rPr>
        <w:t>размещались</w:t>
      </w:r>
      <w:proofErr w:type="gramEnd"/>
      <w:r w:rsidRPr="00925F26">
        <w:rPr>
          <w:color w:val="000000" w:themeColor="text1"/>
          <w:sz w:val="16"/>
          <w:szCs w:val="16"/>
        </w:rPr>
        <w:t xml:space="preserve"> как и в самоходной установке ИСУ-122С (10703).</w:t>
      </w:r>
    </w:p>
    <w:p w14:paraId="02D397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A7513C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 июня 1945 проходили полигонные испытания ИСУ-122БМ со 122 мм пушкой С-26-1 ЦАКБ и з-да 172, надобность в которой отпала после окончания </w:t>
      </w:r>
      <w:proofErr w:type="gramStart"/>
      <w:r w:rsidRPr="00925F26">
        <w:rPr>
          <w:color w:val="000000" w:themeColor="text1"/>
          <w:sz w:val="16"/>
          <w:szCs w:val="16"/>
        </w:rPr>
        <w:t>войны(</w:t>
      </w:r>
      <w:proofErr w:type="gramEnd"/>
      <w:r w:rsidRPr="00925F26">
        <w:rPr>
          <w:color w:val="000000" w:themeColor="text1"/>
          <w:sz w:val="16"/>
          <w:szCs w:val="16"/>
        </w:rPr>
        <w:t>7437, 34).</w:t>
      </w:r>
    </w:p>
    <w:p w14:paraId="4883DA18" w14:textId="77777777" w:rsidR="006103B3" w:rsidRPr="00925F26" w:rsidRDefault="006103B3" w:rsidP="00925F26">
      <w:pPr>
        <w:autoSpaceDE w:val="0"/>
        <w:autoSpaceDN w:val="0"/>
        <w:adjustRightInd w:val="0"/>
        <w:jc w:val="both"/>
        <w:rPr>
          <w:color w:val="000000" w:themeColor="text1"/>
          <w:sz w:val="16"/>
          <w:szCs w:val="16"/>
        </w:rPr>
      </w:pPr>
    </w:p>
    <w:p w14:paraId="0552A9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 1945 г. была завершена доработка ствола ИСУ-122БМ (ИСУ-122-3) ("Объект 251") по замечаниям комиссии, тогда же планировалось провести повторные предварительные испыта</w:t>
      </w:r>
      <w:r w:rsidRPr="00925F26">
        <w:rPr>
          <w:color w:val="000000" w:themeColor="text1"/>
          <w:sz w:val="16"/>
          <w:szCs w:val="16"/>
        </w:rPr>
        <w:softHyphen/>
        <w:t>ния. На вооружение и в серийное производство установка ИСУ-122-3 не принималась (10703).</w:t>
      </w:r>
    </w:p>
    <w:p w14:paraId="4F39974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F6C7359" w14:textId="77777777" w:rsidR="002A5DBF" w:rsidRPr="00925F26" w:rsidRDefault="002A5DBF" w:rsidP="00925F26">
      <w:pPr>
        <w:pStyle w:val="27"/>
        <w:shd w:val="clear" w:color="auto" w:fill="auto"/>
        <w:spacing w:after="0" w:line="240" w:lineRule="auto"/>
        <w:ind w:firstLine="0"/>
        <w:rPr>
          <w:rFonts w:ascii="Times New Roman" w:cs="Times New Roman"/>
          <w:color w:val="000000" w:themeColor="text1"/>
          <w:spacing w:val="0"/>
        </w:rPr>
      </w:pPr>
      <w:r w:rsidRPr="00925F26">
        <w:rPr>
          <w:rFonts w:ascii="Times New Roman" w:cs="Times New Roman"/>
          <w:color w:val="000000" w:themeColor="text1"/>
          <w:spacing w:val="0"/>
        </w:rPr>
        <w:t>В июле 1945 г. и июле 1945 г. рассматривался на Техсовете НКТП и в ГАУ КА и в целом был одобрен. При</w:t>
      </w:r>
      <w:r w:rsidRPr="00925F26">
        <w:rPr>
          <w:rFonts w:ascii="Times New Roman" w:cs="Times New Roman"/>
          <w:color w:val="000000" w:themeColor="text1"/>
          <w:spacing w:val="0"/>
        </w:rPr>
        <w:softHyphen/>
        <w:t>нятое решение предусматривало изготовление опытной партии машин и последующую подго</w:t>
      </w:r>
      <w:r w:rsidRPr="00925F26">
        <w:rPr>
          <w:rFonts w:ascii="Times New Roman" w:cs="Times New Roman"/>
          <w:color w:val="000000" w:themeColor="text1"/>
          <w:spacing w:val="0"/>
        </w:rPr>
        <w:softHyphen/>
        <w:t>товку к их крупносерийному производству. Од</w:t>
      </w:r>
      <w:r w:rsidRPr="00925F26">
        <w:rPr>
          <w:rFonts w:ascii="Times New Roman" w:cs="Times New Roman"/>
          <w:color w:val="000000" w:themeColor="text1"/>
          <w:spacing w:val="0"/>
        </w:rPr>
        <w:softHyphen/>
        <w:t>нако проблемы с двигателем и недостаточный ресурс ходовой части не позволили реализо</w:t>
      </w:r>
      <w:r w:rsidRPr="00925F26">
        <w:rPr>
          <w:rFonts w:ascii="Times New Roman" w:cs="Times New Roman"/>
          <w:color w:val="000000" w:themeColor="text1"/>
          <w:spacing w:val="0"/>
        </w:rPr>
        <w:softHyphen/>
        <w:t>вать данный проект. Во многом решить нако</w:t>
      </w:r>
      <w:r w:rsidRPr="00925F26">
        <w:rPr>
          <w:rFonts w:ascii="Times New Roman" w:cs="Times New Roman"/>
          <w:color w:val="000000" w:themeColor="text1"/>
          <w:spacing w:val="0"/>
        </w:rPr>
        <w:softHyphen/>
        <w:t>пившиеся вопросы удалось при разработке конструкции тяжелого тягача АТ-Т уже в после</w:t>
      </w:r>
      <w:r w:rsidRPr="00925F26">
        <w:rPr>
          <w:rFonts w:ascii="Times New Roman" w:cs="Times New Roman"/>
          <w:color w:val="000000" w:themeColor="text1"/>
          <w:spacing w:val="0"/>
        </w:rPr>
        <w:softHyphen/>
        <w:t>военные годы (15765).</w:t>
      </w:r>
    </w:p>
    <w:p w14:paraId="2E921C43" w14:textId="77777777" w:rsidR="002A5DBF" w:rsidRPr="00925F26" w:rsidRDefault="002A5DBF" w:rsidP="00925F26">
      <w:pPr>
        <w:pStyle w:val="27"/>
        <w:shd w:val="clear" w:color="auto" w:fill="auto"/>
        <w:spacing w:after="0" w:line="240" w:lineRule="auto"/>
        <w:ind w:firstLine="0"/>
        <w:rPr>
          <w:rFonts w:ascii="Times New Roman" w:cs="Times New Roman"/>
          <w:color w:val="000000" w:themeColor="text1"/>
          <w:spacing w:val="0"/>
        </w:rPr>
      </w:pPr>
    </w:p>
    <w:p w14:paraId="5D025B62" w14:textId="77777777" w:rsidR="00D018BD" w:rsidRPr="001A0BAA" w:rsidRDefault="00D018BD" w:rsidP="00D018BD">
      <w:pPr>
        <w:jc w:val="both"/>
        <w:rPr>
          <w:color w:val="0070C0"/>
          <w:sz w:val="16"/>
          <w:szCs w:val="16"/>
        </w:rPr>
      </w:pPr>
      <w:r w:rsidRPr="001A0BAA">
        <w:rPr>
          <w:color w:val="0070C0"/>
          <w:sz w:val="16"/>
          <w:szCs w:val="16"/>
        </w:rPr>
        <w:t>В июне 1945 года ГАЗ покинула основная масса инженеров-танкостроителей. В этот момент судьба СУ-85Б была уже решена (24993).</w:t>
      </w:r>
    </w:p>
    <w:p w14:paraId="3E78A40E" w14:textId="77777777" w:rsidR="00D018BD" w:rsidRPr="001A0BAA" w:rsidRDefault="00D018BD" w:rsidP="00D018BD">
      <w:pPr>
        <w:jc w:val="both"/>
        <w:rPr>
          <w:color w:val="0070C0"/>
          <w:sz w:val="16"/>
          <w:szCs w:val="16"/>
        </w:rPr>
      </w:pPr>
    </w:p>
    <w:p w14:paraId="365304CA" w14:textId="77777777" w:rsidR="006103B3" w:rsidRPr="00925F26" w:rsidRDefault="006103B3" w:rsidP="00925F26">
      <w:pPr>
        <w:tabs>
          <w:tab w:val="left" w:pos="360"/>
        </w:tabs>
        <w:autoSpaceDE w:val="0"/>
        <w:autoSpaceDN w:val="0"/>
        <w:adjustRightInd w:val="0"/>
        <w:jc w:val="both"/>
        <w:rPr>
          <w:color w:val="000000" w:themeColor="text1"/>
          <w:sz w:val="16"/>
          <w:szCs w:val="16"/>
        </w:rPr>
      </w:pPr>
      <w:r w:rsidRPr="00925F26">
        <w:rPr>
          <w:color w:val="000000" w:themeColor="text1"/>
          <w:sz w:val="16"/>
          <w:szCs w:val="16"/>
        </w:rPr>
        <w:t>В июне 1945 года Инструментальный завод Главчаспрома с территории 2-го часового завода был переведен на территорию завода № 568 НКБ, который к этому времени прекратил свою деятельность (10447).</w:t>
      </w:r>
    </w:p>
    <w:p w14:paraId="29EB9A0B"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4E81579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 Инструментальный завод (Опытный завод НИИЧаспрома, Инструментальный завод ММиП /г. Москва, 57 п/я 1312 (1948 г.)/), созданный в январе 1945 и выделенный в мае 1945 в самостоятельный завод Главчаспрома для производства инструмента и станков для часовой промышленности Главчаспрома,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530ADDA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1947-48 г. завод - в ведении Главчаспрома ММиП.</w:t>
      </w:r>
    </w:p>
    <w:p w14:paraId="62E7262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58AFFDC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Количество оборудования: (1946 г.)- 327 ед., (1947 г.)- 473 ед.</w:t>
      </w:r>
    </w:p>
    <w:p w14:paraId="72A8E5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Площадь: территории (1947 г.)- 7,008 га; застройки (1947 г.)- 14126 м</w:t>
      </w:r>
      <w:r w:rsidRPr="00925F26">
        <w:rPr>
          <w:color w:val="000000" w:themeColor="text1"/>
          <w:sz w:val="16"/>
          <w:szCs w:val="16"/>
          <w:vertAlign w:val="superscript"/>
        </w:rPr>
        <w:t>2</w:t>
      </w:r>
      <w:r w:rsidRPr="00925F26">
        <w:rPr>
          <w:color w:val="000000" w:themeColor="text1"/>
          <w:sz w:val="16"/>
          <w:szCs w:val="16"/>
        </w:rPr>
        <w:t>; производственная (1946 г.)-8200 м</w:t>
      </w:r>
      <w:r w:rsidRPr="00925F26">
        <w:rPr>
          <w:color w:val="000000" w:themeColor="text1"/>
          <w:sz w:val="16"/>
          <w:szCs w:val="16"/>
          <w:vertAlign w:val="superscript"/>
        </w:rPr>
        <w:t>2</w:t>
      </w:r>
      <w:r w:rsidRPr="00925F26">
        <w:rPr>
          <w:color w:val="000000" w:themeColor="text1"/>
          <w:sz w:val="16"/>
          <w:szCs w:val="16"/>
        </w:rPr>
        <w:t>, (1947 г.)- 11065 м</w:t>
      </w:r>
      <w:r w:rsidRPr="00925F26">
        <w:rPr>
          <w:color w:val="000000" w:themeColor="text1"/>
          <w:sz w:val="16"/>
          <w:szCs w:val="16"/>
          <w:vertAlign w:val="superscript"/>
        </w:rPr>
        <w:t>2</w:t>
      </w:r>
      <w:r w:rsidRPr="00925F26">
        <w:rPr>
          <w:color w:val="000000" w:themeColor="text1"/>
          <w:sz w:val="16"/>
          <w:szCs w:val="16"/>
        </w:rPr>
        <w:t>.</w:t>
      </w:r>
    </w:p>
    <w:p w14:paraId="547006D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(1946 г.)- 878 чел., (1947 г.)- 843 чел.</w:t>
      </w:r>
    </w:p>
    <w:p w14:paraId="68C4501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(1948 г.)- Смирнов.</w:t>
      </w:r>
    </w:p>
    <w:p w14:paraId="4E4122E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(1948 г.)- Жардецкий.</w:t>
      </w:r>
    </w:p>
    <w:p w14:paraId="33E3BEC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431A6BC6" w14:textId="77777777" w:rsidR="006103B3" w:rsidRPr="00925F26" w:rsidRDefault="006103B3" w:rsidP="00925F26">
      <w:pPr>
        <w:autoSpaceDE w:val="0"/>
        <w:autoSpaceDN w:val="0"/>
        <w:adjustRightInd w:val="0"/>
        <w:jc w:val="both"/>
        <w:rPr>
          <w:color w:val="000000" w:themeColor="text1"/>
          <w:sz w:val="16"/>
          <w:szCs w:val="16"/>
        </w:rPr>
      </w:pPr>
    </w:p>
    <w:p w14:paraId="4B7E1F77" w14:textId="77777777" w:rsidR="007B1D64" w:rsidRPr="00925F26" w:rsidRDefault="007B1D64" w:rsidP="00925F26">
      <w:pPr>
        <w:jc w:val="both"/>
        <w:rPr>
          <w:color w:val="000000" w:themeColor="text1"/>
          <w:sz w:val="16"/>
          <w:szCs w:val="16"/>
        </w:rPr>
      </w:pPr>
      <w:r w:rsidRPr="00925F26">
        <w:rPr>
          <w:color w:val="000000" w:themeColor="text1"/>
          <w:sz w:val="16"/>
          <w:szCs w:val="16"/>
        </w:rPr>
        <w:t>В июне 1945 г. на основных предприятиях Свердловской области (всего на 51-м заводе) был проведен медосмотр молодых рабочих в возрасте от 14 до 17 лет. Осмотром было охвачено 8173 подростка (5715 юношей и 2458 девушек). По заявлению заведующего Свердловским облздравом Шаклеина у 3676 человек (что составило 45 % от общего числа исследуемых) были обнаружены нарушения здоровья. Наиболее распространенными оказались следующие заболевания: различные формы туберкулеза (244 случая), заболевания верхних дыхательных путей (262 случая) и сердечно</w:t>
      </w:r>
      <w:r w:rsidRPr="00925F26">
        <w:rPr>
          <w:color w:val="000000" w:themeColor="text1"/>
          <w:sz w:val="16"/>
          <w:szCs w:val="16"/>
        </w:rPr>
        <w:softHyphen/>
        <w:t xml:space="preserve">сосудистой системы (239 случаев), нарушение питания, физическое недоразвитие (1184 случая) и др. По мнению Шаклеина, причинами этого стали плохие условия труда и быта, низкое качество питания, а также отсутствие полноценного отдыха подростков. Школьники в течение года отдыхали на каникулах три раза в год в общей сложности более трех месяцев. И в то же время подростки, работающие на производстве, отпусков не имели (кроме относительно небольших, введенных в конце </w:t>
      </w:r>
      <w:proofErr w:type="gramStart"/>
      <w:r w:rsidRPr="00925F26">
        <w:rPr>
          <w:color w:val="000000" w:themeColor="text1"/>
          <w:sz w:val="16"/>
          <w:szCs w:val="16"/>
        </w:rPr>
        <w:t>войны)[</w:t>
      </w:r>
      <w:proofErr w:type="gramEnd"/>
      <w:r w:rsidRPr="00925F26">
        <w:rPr>
          <w:color w:val="000000" w:themeColor="text1"/>
          <w:sz w:val="16"/>
          <w:szCs w:val="16"/>
        </w:rPr>
        <w:t>981] (23536).</w:t>
      </w:r>
    </w:p>
    <w:p w14:paraId="408A04A7" w14:textId="77777777" w:rsidR="007B1D64" w:rsidRPr="00925F26" w:rsidRDefault="007B1D64" w:rsidP="00925F26">
      <w:pPr>
        <w:jc w:val="both"/>
        <w:rPr>
          <w:color w:val="000000" w:themeColor="text1"/>
          <w:sz w:val="16"/>
          <w:szCs w:val="16"/>
        </w:rPr>
      </w:pPr>
    </w:p>
    <w:p w14:paraId="67A56D75" w14:textId="77777777" w:rsidR="003C588F" w:rsidRPr="00925F26" w:rsidRDefault="003C588F" w:rsidP="00925F26">
      <w:pPr>
        <w:pStyle w:val="ae"/>
        <w:shd w:val="clear" w:color="auto" w:fill="FFFFFF"/>
        <w:spacing w:before="0" w:after="0"/>
        <w:jc w:val="both"/>
        <w:textAlignment w:val="baseline"/>
        <w:rPr>
          <w:color w:val="000000" w:themeColor="text1"/>
          <w:sz w:val="16"/>
          <w:szCs w:val="16"/>
        </w:rPr>
      </w:pPr>
      <w:r w:rsidRPr="00925F26">
        <w:rPr>
          <w:color w:val="000000" w:themeColor="text1"/>
          <w:sz w:val="16"/>
          <w:szCs w:val="16"/>
        </w:rPr>
        <w:t>В июне 1945 г. сотрудники отдела «С» НКВД-НКГБ (группа П. А. Судоплатова) вывезли из Германии видных ученых с семьями: нобелевского лауреата Генриха Герца, профессоров Роберта Дёпеля, Макса Фольмера, Хайнца Позе, Петера Тиссена — всего около двухсот специалистов, включая 33 доктора наук и 77 инженеров. В Малоярославце-10 был создан секретный центр по разработке, добыче и обогащению урановой руды и металлургии урана, укомплектованный немецкими специалистами. Немецкие ученые работали и в других уголках СССР: известные физики-ядерщики Ганс-Йоахим Борн, Роберт Ромпе и Карл Циммер — в Челябинской области, Густав Герц и его группа — в Сухуми (19846).</w:t>
      </w:r>
    </w:p>
    <w:p w14:paraId="50651C3C" w14:textId="77777777" w:rsidR="003C588F" w:rsidRPr="00925F26" w:rsidRDefault="003C588F" w:rsidP="00925F26">
      <w:pPr>
        <w:jc w:val="both"/>
        <w:rPr>
          <w:color w:val="000000" w:themeColor="text1"/>
          <w:sz w:val="16"/>
          <w:szCs w:val="16"/>
          <w:shd w:val="clear" w:color="auto" w:fill="FFFFFF"/>
        </w:rPr>
      </w:pPr>
    </w:p>
    <w:p w14:paraId="51F917D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июне 1945 Клаус Фукс передает советской разведке детальное описание американской плутониевой бомбы. </w:t>
      </w:r>
    </w:p>
    <w:p w14:paraId="5C1572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Фукс полностью описал плутониевую бомбу, которая к этому времени была сконструирована, и должна была пройти испытания &lt;...&gt;. Он представил набросок конструкции бомбы и ее элементов и привел все важнейшие размеры. – Холловэй. – С.149–150 (11321).</w:t>
      </w:r>
    </w:p>
    <w:p w14:paraId="3DE86D55" w14:textId="77777777" w:rsidR="006103B3" w:rsidRPr="00925F26" w:rsidRDefault="006103B3" w:rsidP="00925F26">
      <w:pPr>
        <w:autoSpaceDE w:val="0"/>
        <w:autoSpaceDN w:val="0"/>
        <w:adjustRightInd w:val="0"/>
        <w:jc w:val="both"/>
        <w:rPr>
          <w:color w:val="000000" w:themeColor="text1"/>
          <w:sz w:val="16"/>
          <w:szCs w:val="16"/>
        </w:rPr>
      </w:pPr>
    </w:p>
    <w:p w14:paraId="18B73C89" w14:textId="26F70F74" w:rsidR="00DE3C8D" w:rsidRPr="00925F26" w:rsidRDefault="00DE3C8D" w:rsidP="00925F26">
      <w:pPr>
        <w:jc w:val="both"/>
        <w:rPr>
          <w:color w:val="000000" w:themeColor="text1"/>
          <w:sz w:val="16"/>
          <w:szCs w:val="16"/>
        </w:rPr>
      </w:pP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июне</w:t>
      </w:r>
      <w:proofErr w:type="gramEnd"/>
      <w:r w:rsidRPr="00925F26">
        <w:rPr>
          <w:color w:val="000000" w:themeColor="text1"/>
          <w:sz w:val="16"/>
          <w:szCs w:val="16"/>
        </w:rPr>
        <w:t xml:space="preserve"> </w:t>
      </w:r>
      <w:r w:rsidR="00997EDF" w:rsidRPr="00925F26">
        <w:rPr>
          <w:rStyle w:val="highlight"/>
          <w:color w:val="000000" w:themeColor="text1"/>
          <w:sz w:val="16"/>
          <w:szCs w:val="16"/>
        </w:rPr>
        <w:t xml:space="preserve">  </w:t>
      </w:r>
      <w:r w:rsidRPr="00925F26">
        <w:rPr>
          <w:rStyle w:val="highlight"/>
          <w:color w:val="000000" w:themeColor="text1"/>
          <w:sz w:val="16"/>
          <w:szCs w:val="16"/>
        </w:rPr>
        <w:t>1945</w:t>
      </w:r>
      <w:r w:rsidR="00997EDF" w:rsidRPr="00925F26">
        <w:rPr>
          <w:rStyle w:val="highlight"/>
          <w:color w:val="000000" w:themeColor="text1"/>
          <w:sz w:val="16"/>
          <w:szCs w:val="16"/>
        </w:rPr>
        <w:t xml:space="preserve">  </w:t>
      </w:r>
      <w:r w:rsidR="00997EDF" w:rsidRPr="00925F26">
        <w:rPr>
          <w:color w:val="000000" w:themeColor="text1"/>
          <w:sz w:val="16"/>
          <w:szCs w:val="16"/>
        </w:rPr>
        <w:t xml:space="preserve">  </w:t>
      </w:r>
      <w:r w:rsidRPr="00925F26">
        <w:rPr>
          <w:color w:val="000000" w:themeColor="text1"/>
          <w:sz w:val="16"/>
          <w:szCs w:val="16"/>
        </w:rPr>
        <w:t xml:space="preserve">г. Фукс передал советской разведке полное описание сконструированной американцами плутониевой бомбы, дал набросок конструкции, ее элементов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привел</w:t>
      </w:r>
      <w:proofErr w:type="gramEnd"/>
      <w:r w:rsidRPr="00925F26">
        <w:rPr>
          <w:color w:val="000000" w:themeColor="text1"/>
          <w:sz w:val="16"/>
          <w:szCs w:val="16"/>
        </w:rPr>
        <w:t xml:space="preserve"> важнейшие размеры. </w:t>
      </w:r>
      <w:proofErr w:type="gramStart"/>
      <w:r w:rsidRPr="00925F26">
        <w:rPr>
          <w:color w:val="000000" w:themeColor="text1"/>
          <w:sz w:val="16"/>
          <w:szCs w:val="16"/>
        </w:rPr>
        <w:t>16</w:t>
      </w:r>
      <w:r w:rsidR="00997EDF" w:rsidRPr="00925F26">
        <w:rPr>
          <w:color w:val="000000" w:themeColor="text1"/>
          <w:sz w:val="16"/>
          <w:szCs w:val="16"/>
        </w:rPr>
        <w:t xml:space="preserve">  </w:t>
      </w:r>
      <w:r w:rsidRPr="00925F26">
        <w:rPr>
          <w:color w:val="000000" w:themeColor="text1"/>
          <w:sz w:val="16"/>
          <w:szCs w:val="16"/>
        </w:rPr>
        <w:t>июля</w:t>
      </w:r>
      <w:proofErr w:type="gramEnd"/>
      <w:r w:rsidRPr="00925F26">
        <w:rPr>
          <w:color w:val="000000" w:themeColor="text1"/>
          <w:sz w:val="16"/>
          <w:szCs w:val="16"/>
        </w:rPr>
        <w:t xml:space="preserve"> </w:t>
      </w:r>
      <w:r w:rsidR="00997EDF" w:rsidRPr="00925F26">
        <w:rPr>
          <w:rStyle w:val="highlight"/>
          <w:color w:val="000000" w:themeColor="text1"/>
          <w:sz w:val="16"/>
          <w:szCs w:val="16"/>
        </w:rPr>
        <w:t xml:space="preserve">  </w:t>
      </w:r>
      <w:r w:rsidRPr="00925F26">
        <w:rPr>
          <w:rStyle w:val="highlight"/>
          <w:color w:val="000000" w:themeColor="text1"/>
          <w:sz w:val="16"/>
          <w:szCs w:val="16"/>
        </w:rPr>
        <w:t>1945</w:t>
      </w:r>
      <w:r w:rsidR="00997EDF" w:rsidRPr="00925F26">
        <w:rPr>
          <w:rStyle w:val="highlight"/>
          <w:color w:val="000000" w:themeColor="text1"/>
          <w:sz w:val="16"/>
          <w:szCs w:val="16"/>
        </w:rPr>
        <w:t xml:space="preserve">  </w:t>
      </w:r>
      <w:r w:rsidR="00997EDF" w:rsidRPr="00925F26">
        <w:rPr>
          <w:color w:val="000000" w:themeColor="text1"/>
          <w:sz w:val="16"/>
          <w:szCs w:val="16"/>
        </w:rPr>
        <w:t xml:space="preserve">  </w:t>
      </w:r>
      <w:r w:rsidRPr="00925F26">
        <w:rPr>
          <w:color w:val="000000" w:themeColor="text1"/>
          <w:sz w:val="16"/>
          <w:szCs w:val="16"/>
        </w:rPr>
        <w:t xml:space="preserve">г. на полигоне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пустыне</w:t>
      </w:r>
      <w:proofErr w:type="gramEnd"/>
      <w:r w:rsidRPr="00925F26">
        <w:rPr>
          <w:color w:val="000000" w:themeColor="text1"/>
          <w:sz w:val="16"/>
          <w:szCs w:val="16"/>
        </w:rPr>
        <w:t xml:space="preserve"> под Аламогордо (штат Нью-Мексико) американцами был взорван атомный заряд мощностью </w:t>
      </w:r>
      <w:proofErr w:type="gramStart"/>
      <w:r w:rsidRPr="00925F26">
        <w:rPr>
          <w:color w:val="000000" w:themeColor="text1"/>
          <w:sz w:val="16"/>
          <w:szCs w:val="16"/>
        </w:rPr>
        <w:t>19</w:t>
      </w:r>
      <w:r w:rsidR="00997EDF" w:rsidRPr="00925F26">
        <w:rPr>
          <w:color w:val="000000" w:themeColor="text1"/>
          <w:sz w:val="16"/>
          <w:szCs w:val="16"/>
        </w:rPr>
        <w:t xml:space="preserve">  </w:t>
      </w:r>
      <w:r w:rsidRPr="00925F26">
        <w:rPr>
          <w:color w:val="000000" w:themeColor="text1"/>
          <w:sz w:val="16"/>
          <w:szCs w:val="16"/>
        </w:rPr>
        <w:t>килотонн</w:t>
      </w:r>
      <w:proofErr w:type="gramEnd"/>
      <w:r w:rsidRPr="00925F26">
        <w:rPr>
          <w:color w:val="000000" w:themeColor="text1"/>
          <w:sz w:val="16"/>
          <w:szCs w:val="16"/>
        </w:rPr>
        <w:t xml:space="preserve">. Человечество вступило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век</w:t>
      </w:r>
      <w:proofErr w:type="gramEnd"/>
      <w:r w:rsidRPr="00925F26">
        <w:rPr>
          <w:color w:val="000000" w:themeColor="text1"/>
          <w:sz w:val="16"/>
          <w:szCs w:val="16"/>
        </w:rPr>
        <w:t xml:space="preserve"> ядерных вооружений (17449).</w:t>
      </w:r>
    </w:p>
    <w:p w14:paraId="489A0167" w14:textId="77777777" w:rsidR="00DE3C8D" w:rsidRPr="00925F26" w:rsidRDefault="00DE3C8D" w:rsidP="00925F26">
      <w:pPr>
        <w:jc w:val="both"/>
        <w:rPr>
          <w:color w:val="000000" w:themeColor="text1"/>
          <w:sz w:val="16"/>
          <w:szCs w:val="16"/>
        </w:rPr>
      </w:pPr>
    </w:p>
    <w:p w14:paraId="573497A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17AA7CDF" w14:textId="77777777" w:rsidR="006103B3" w:rsidRPr="00925F26" w:rsidRDefault="006103B3" w:rsidP="00925F26">
      <w:pPr>
        <w:autoSpaceDE w:val="0"/>
        <w:autoSpaceDN w:val="0"/>
        <w:adjustRightInd w:val="0"/>
        <w:jc w:val="both"/>
        <w:rPr>
          <w:iCs/>
          <w:color w:val="000000" w:themeColor="text1"/>
          <w:sz w:val="16"/>
          <w:szCs w:val="16"/>
        </w:rPr>
      </w:pPr>
    </w:p>
    <w:p w14:paraId="028528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года полк "Нормандия - Неман", лидируемый бомбардировщиком Пе-2, направился в Ле Бурже на 38 самолетах Як-3 (из 40 подаренных советским правительством), совсем недавно покинувших сборочный цех авиазавода. На подходе к Штутгарту летчиков "Нормандии- Неман" встретили их земляки на английских "Спитфайрах" IXB, прилетевшие из Франции. После промежуточной посадки в Штутгарте и короткого митинга состоялся показательный воздушный бой между "яком" и "Спитфайром". Причем обе машины пилотировали признанные мастера высшего пилотажа. Победителем в этой "схватке" вышел лейтенант Роже Марки на... "яке".</w:t>
      </w:r>
    </w:p>
    <w:p w14:paraId="495CF35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Затем после короткого отдыха самолеты пересекли Рейн и французскую границу. Спустя пять дней, когда улеглись все эмоции, начальник Главного штаба ВВС Франции генерал Вален, учитывая обстановку, предложил не включать Як-3 в состав ВВС, поскольку СССР не дал согласия на поставку запасных частей к ним и обеспечение плановых ремонтов истребителей.</w:t>
      </w:r>
    </w:p>
    <w:p w14:paraId="0DF08BA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Тем не менее полк "Нормандия - Неман" остался в составе ВВС, хотя и без определения его назначения. Самолеты Як-3 использовались во Франции во время многочисленных авиационных праздников (12047).</w:t>
      </w:r>
    </w:p>
    <w:p w14:paraId="6029785A" w14:textId="77777777" w:rsidR="006103B3" w:rsidRPr="00925F26" w:rsidRDefault="006103B3" w:rsidP="00925F26">
      <w:pPr>
        <w:autoSpaceDE w:val="0"/>
        <w:autoSpaceDN w:val="0"/>
        <w:adjustRightInd w:val="0"/>
        <w:jc w:val="both"/>
        <w:rPr>
          <w:color w:val="000000" w:themeColor="text1"/>
          <w:sz w:val="16"/>
          <w:szCs w:val="16"/>
        </w:rPr>
      </w:pPr>
    </w:p>
    <w:p w14:paraId="31FAFEDF" w14:textId="77777777" w:rsidR="00500674" w:rsidRPr="00925F26" w:rsidRDefault="00500674" w:rsidP="00925F26">
      <w:pPr>
        <w:jc w:val="both"/>
        <w:rPr>
          <w:color w:val="000000" w:themeColor="text1"/>
          <w:sz w:val="16"/>
          <w:szCs w:val="16"/>
        </w:rPr>
      </w:pPr>
      <w:r w:rsidRPr="00925F26">
        <w:rPr>
          <w:color w:val="000000" w:themeColor="text1"/>
          <w:sz w:val="16"/>
          <w:szCs w:val="16"/>
        </w:rPr>
        <w:t>В июне 1945 г. после капитуляции Германии правительство США прекратило действие программы ленд-лиза в отношении многих стран. Но Советского Союза это не коснулось: для него подготовили специальное приложение к договору, по которому осуществлялись поставки всего необходимого для войны с Японией.</w:t>
      </w:r>
    </w:p>
    <w:p w14:paraId="05107341" w14:textId="77777777" w:rsidR="00500674" w:rsidRPr="00925F26" w:rsidRDefault="00500674" w:rsidP="00925F26">
      <w:pPr>
        <w:jc w:val="both"/>
        <w:rPr>
          <w:color w:val="000000" w:themeColor="text1"/>
          <w:sz w:val="16"/>
          <w:szCs w:val="16"/>
        </w:rPr>
      </w:pPr>
      <w:r w:rsidRPr="00925F26">
        <w:rPr>
          <w:color w:val="000000" w:themeColor="text1"/>
          <w:sz w:val="16"/>
          <w:szCs w:val="16"/>
        </w:rPr>
        <w:t>С Аляски группами продолжали уходить «кингкобры». В это время они остались единственным типом истребителя, следовавшим по трассе. Самолёт был уже достаточно хорошо освоен перегонщиками, но изредка все-таки случались аварии и катастрофы. Так, 7 июля 1945 г. лейтенант А.Н. Терентьев разбился на посадке в Сеймчане (12265).</w:t>
      </w:r>
    </w:p>
    <w:p w14:paraId="6322279A" w14:textId="77777777" w:rsidR="00500674" w:rsidRPr="00925F26" w:rsidRDefault="00500674" w:rsidP="00925F26">
      <w:pPr>
        <w:jc w:val="both"/>
        <w:rPr>
          <w:color w:val="000000" w:themeColor="text1"/>
          <w:sz w:val="16"/>
          <w:szCs w:val="16"/>
        </w:rPr>
      </w:pPr>
    </w:p>
    <w:p w14:paraId="3056387B" w14:textId="77777777" w:rsidR="003C588F" w:rsidRPr="00925F26" w:rsidRDefault="003C588F" w:rsidP="00925F26">
      <w:pPr>
        <w:jc w:val="both"/>
        <w:rPr>
          <w:color w:val="000000" w:themeColor="text1"/>
          <w:sz w:val="16"/>
          <w:szCs w:val="16"/>
          <w:shd w:val="clear" w:color="auto" w:fill="FFFFFF"/>
        </w:rPr>
      </w:pPr>
      <w:r w:rsidRPr="00925F26">
        <w:rPr>
          <w:color w:val="000000" w:themeColor="text1"/>
          <w:sz w:val="16"/>
          <w:szCs w:val="16"/>
          <w:shd w:val="clear" w:color="auto" w:fill="FFFFFF"/>
        </w:rPr>
        <w:t>В июне 1945 года в советских войсках насчитывалось 307 «Пантер», однако исправных среди них числилось всего 111. Спустя месяц, после сортировки и отбраковки части машин, «Пантер» на ходу осталось 63, ещё 83 штуки требовали ремонта (19688).</w:t>
      </w:r>
    </w:p>
    <w:p w14:paraId="76C191FC" w14:textId="77777777" w:rsidR="003C588F" w:rsidRPr="00925F26" w:rsidRDefault="003C588F" w:rsidP="00925F26">
      <w:pPr>
        <w:jc w:val="both"/>
        <w:rPr>
          <w:color w:val="000000" w:themeColor="text1"/>
          <w:sz w:val="16"/>
          <w:szCs w:val="16"/>
        </w:rPr>
      </w:pPr>
    </w:p>
    <w:p w14:paraId="7B0A5F70" w14:textId="77777777" w:rsidR="002A5DBF" w:rsidRPr="00925F26" w:rsidRDefault="002A5DBF" w:rsidP="00925F26">
      <w:pPr>
        <w:pStyle w:val="book"/>
        <w:ind w:firstLine="0"/>
        <w:jc w:val="both"/>
        <w:rPr>
          <w:color w:val="000000" w:themeColor="text1"/>
          <w:sz w:val="16"/>
          <w:szCs w:val="16"/>
        </w:rPr>
      </w:pPr>
      <w:r w:rsidRPr="00925F26">
        <w:rPr>
          <w:color w:val="000000" w:themeColor="text1"/>
          <w:sz w:val="16"/>
          <w:szCs w:val="16"/>
        </w:rPr>
        <w:lastRenderedPageBreak/>
        <w:t>В июне 1945 г. на базе трофейных управлений фронтов были организованы отдельные трофейные управления. После создания системы военного управления трофейные управления были усилены и вошли в состав групп войск с подчинением командующим (15225).</w:t>
      </w:r>
    </w:p>
    <w:p w14:paraId="57FC454C" w14:textId="77777777" w:rsidR="002A5DBF" w:rsidRPr="00925F26" w:rsidRDefault="002A5DBF" w:rsidP="00925F26">
      <w:pPr>
        <w:pStyle w:val="book"/>
        <w:ind w:firstLine="0"/>
        <w:jc w:val="both"/>
        <w:rPr>
          <w:color w:val="000000" w:themeColor="text1"/>
          <w:sz w:val="16"/>
          <w:szCs w:val="16"/>
        </w:rPr>
      </w:pPr>
    </w:p>
    <w:p w14:paraId="03FB46F6" w14:textId="77777777" w:rsidR="002A5DBF" w:rsidRPr="00925F26" w:rsidRDefault="002A5DBF" w:rsidP="00925F26">
      <w:pPr>
        <w:pStyle w:val="book"/>
        <w:ind w:firstLine="0"/>
        <w:jc w:val="both"/>
        <w:rPr>
          <w:color w:val="000000" w:themeColor="text1"/>
          <w:sz w:val="16"/>
          <w:szCs w:val="16"/>
        </w:rPr>
      </w:pPr>
      <w:r w:rsidRPr="00925F26">
        <w:rPr>
          <w:color w:val="000000" w:themeColor="text1"/>
          <w:sz w:val="16"/>
          <w:szCs w:val="16"/>
        </w:rPr>
        <w:t>В июне 1945 г. Трофейное управление 1-го Белорусского фронта передало команде заместителя начальника научно-исследовательского отдела Артиллерийского исторического музея полковник Н.Т. Сорокина в числе трофейного имущества старинные ружья, пистолеты, шпаги, средневековое оружие и т.д (15225).</w:t>
      </w:r>
    </w:p>
    <w:p w14:paraId="59DDF061" w14:textId="77777777" w:rsidR="002A5DBF" w:rsidRPr="00925F26" w:rsidRDefault="002A5DBF" w:rsidP="00925F26">
      <w:pPr>
        <w:pStyle w:val="book"/>
        <w:ind w:firstLine="0"/>
        <w:jc w:val="both"/>
        <w:rPr>
          <w:color w:val="000000" w:themeColor="text1"/>
          <w:sz w:val="16"/>
          <w:szCs w:val="16"/>
        </w:rPr>
      </w:pPr>
    </w:p>
    <w:p w14:paraId="325BAF1A"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Внешняя политика:</w:t>
      </w:r>
    </w:p>
    <w:p w14:paraId="02594793" w14:textId="77777777" w:rsidR="006103B3" w:rsidRPr="00925F26" w:rsidRDefault="006103B3" w:rsidP="00925F26">
      <w:pPr>
        <w:autoSpaceDE w:val="0"/>
        <w:autoSpaceDN w:val="0"/>
        <w:adjustRightInd w:val="0"/>
        <w:jc w:val="both"/>
        <w:rPr>
          <w:iCs/>
          <w:color w:val="000000" w:themeColor="text1"/>
          <w:sz w:val="16"/>
          <w:szCs w:val="16"/>
        </w:rPr>
      </w:pPr>
    </w:p>
    <w:p w14:paraId="361B7EB0" w14:textId="77777777" w:rsidR="003C588F" w:rsidRPr="00925F26" w:rsidRDefault="003C588F" w:rsidP="00925F26">
      <w:pPr>
        <w:pStyle w:val="ae"/>
        <w:spacing w:before="0" w:after="0"/>
        <w:jc w:val="both"/>
        <w:rPr>
          <w:color w:val="000000" w:themeColor="text1"/>
          <w:sz w:val="16"/>
          <w:szCs w:val="16"/>
        </w:rPr>
      </w:pPr>
      <w:r w:rsidRPr="00925F26">
        <w:rPr>
          <w:color w:val="000000" w:themeColor="text1"/>
          <w:sz w:val="16"/>
          <w:szCs w:val="16"/>
        </w:rPr>
        <w:t>В июне 1945 г. войска фронтов, находившихся в Советской зоне оккупации, были преобразованы в Группу советских оккупационных войск в Германии (ГСОВГ). Штаб и Полевое управление Группы формировались в основном на базе 1-го Белорусского фронта. Первоначально в состав ГСОВГ входили 47-я армия, 5-я ударная армия, 8-я гвардейская армия, 1-я гвардейская танковая армия, 2-я гвардейская танковая армия, 69-я армия, 33-я армия, 3-я армия, 61-я армия и 16-я воздушная армия. Затем боевой состав Группы постепенно сокращался, но и в 1970-е гг. она являлась самой мощной группировкой советских войск за рубежом и насчитывала около 350 тыс. человек личного состава. Главнокомандующим ГСОВГ был назначен Г. К. Жуков, одновременно он стал Главноначальствующим Советской военной администрации в Германии (19146).</w:t>
      </w:r>
    </w:p>
    <w:p w14:paraId="57D7E6D4" w14:textId="77777777" w:rsidR="003C588F" w:rsidRPr="00925F26" w:rsidRDefault="003C588F" w:rsidP="00925F26">
      <w:pPr>
        <w:pStyle w:val="ae"/>
        <w:spacing w:before="0" w:after="0"/>
        <w:jc w:val="both"/>
        <w:rPr>
          <w:color w:val="000000" w:themeColor="text1"/>
          <w:sz w:val="16"/>
          <w:szCs w:val="16"/>
        </w:rPr>
      </w:pPr>
    </w:p>
    <w:p w14:paraId="10BF2909" w14:textId="77777777" w:rsidR="003C588F" w:rsidRPr="00925F26" w:rsidRDefault="003C588F" w:rsidP="00925F26">
      <w:pPr>
        <w:pStyle w:val="ae"/>
        <w:spacing w:before="0" w:after="0"/>
        <w:jc w:val="both"/>
        <w:rPr>
          <w:color w:val="000000" w:themeColor="text1"/>
          <w:sz w:val="16"/>
          <w:szCs w:val="16"/>
        </w:rPr>
      </w:pPr>
      <w:r w:rsidRPr="00925F26">
        <w:rPr>
          <w:color w:val="000000" w:themeColor="text1"/>
          <w:sz w:val="16"/>
          <w:szCs w:val="16"/>
        </w:rPr>
        <w:t xml:space="preserve">В июне 1945 г. Репарационная комиссия провела всего одно официальное заседание в Москве (хотя представители ее комитетов встречались часто), однако каких-либо ключевых решений принято не было. Дальнейшее развитие вопроса зависело от итогов </w:t>
      </w:r>
      <w:proofErr w:type="gramStart"/>
      <w:r w:rsidRPr="00925F26">
        <w:rPr>
          <w:color w:val="000000" w:themeColor="text1"/>
          <w:sz w:val="16"/>
          <w:szCs w:val="16"/>
        </w:rPr>
        <w:t>Потсдамской  конференции</w:t>
      </w:r>
      <w:proofErr w:type="gramEnd"/>
      <w:r w:rsidRPr="00925F26">
        <w:rPr>
          <w:color w:val="000000" w:themeColor="text1"/>
          <w:sz w:val="16"/>
          <w:szCs w:val="16"/>
        </w:rPr>
        <w:t xml:space="preserve"> (19850).</w:t>
      </w:r>
    </w:p>
    <w:p w14:paraId="109605D4" w14:textId="77777777" w:rsidR="003C588F" w:rsidRPr="00925F26" w:rsidRDefault="003C588F" w:rsidP="00925F26">
      <w:pPr>
        <w:pStyle w:val="ae"/>
        <w:spacing w:before="0" w:after="0"/>
        <w:jc w:val="both"/>
        <w:rPr>
          <w:color w:val="000000" w:themeColor="text1"/>
          <w:sz w:val="16"/>
          <w:szCs w:val="16"/>
        </w:rPr>
      </w:pPr>
    </w:p>
    <w:p w14:paraId="666A5B6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новое японское правительство во главе с Кантаро Судзуки вновь попыталось через СССР обратиться к США и Великобритании с предложением мира, но без принятия условия безоговорочной капитуляции. Предложения эти были переданы советской стороной союзникам (3871).</w:t>
      </w:r>
    </w:p>
    <w:p w14:paraId="1941398A" w14:textId="77777777" w:rsidR="006103B3" w:rsidRPr="00925F26" w:rsidRDefault="006103B3" w:rsidP="00925F26">
      <w:pPr>
        <w:autoSpaceDE w:val="0"/>
        <w:autoSpaceDN w:val="0"/>
        <w:adjustRightInd w:val="0"/>
        <w:jc w:val="both"/>
        <w:rPr>
          <w:color w:val="000000" w:themeColor="text1"/>
          <w:sz w:val="16"/>
          <w:szCs w:val="16"/>
        </w:rPr>
      </w:pPr>
    </w:p>
    <w:p w14:paraId="764922A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 года, когда военное положение Японии стало почти безнадежным, японцы предложили СССР за сохранение нейтралитета то, что сами получили после победы в Русско-японской войне — Южный Сахалин и часть Курильских островов, а кроме того, полный отказ от рыболовной конвенции. Никакого другого выхода у них не оставалось: тот, кто утратил все возможности для маневра, проигрывает неизбежно и всегда (12066).</w:t>
      </w:r>
    </w:p>
    <w:p w14:paraId="6EC3FB85" w14:textId="77777777" w:rsidR="006103B3" w:rsidRPr="00925F26" w:rsidRDefault="006103B3" w:rsidP="00925F26">
      <w:pPr>
        <w:autoSpaceDE w:val="0"/>
        <w:autoSpaceDN w:val="0"/>
        <w:adjustRightInd w:val="0"/>
        <w:jc w:val="both"/>
        <w:rPr>
          <w:color w:val="000000" w:themeColor="text1"/>
          <w:sz w:val="16"/>
          <w:szCs w:val="16"/>
        </w:rPr>
      </w:pPr>
    </w:p>
    <w:p w14:paraId="6F9511D4"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44D9DD3D" w14:textId="77777777" w:rsidR="006103B3" w:rsidRPr="00925F26" w:rsidRDefault="006103B3" w:rsidP="00925F26">
      <w:pPr>
        <w:autoSpaceDE w:val="0"/>
        <w:autoSpaceDN w:val="0"/>
        <w:adjustRightInd w:val="0"/>
        <w:jc w:val="both"/>
        <w:rPr>
          <w:iCs/>
          <w:color w:val="000000" w:themeColor="text1"/>
          <w:sz w:val="16"/>
          <w:szCs w:val="16"/>
        </w:rPr>
      </w:pPr>
    </w:p>
    <w:p w14:paraId="246698CA" w14:textId="77777777" w:rsidR="0039556B" w:rsidRPr="00925F26" w:rsidRDefault="0039556B" w:rsidP="00925F26">
      <w:pPr>
        <w:jc w:val="both"/>
        <w:rPr>
          <w:color w:val="000000" w:themeColor="text1"/>
          <w:sz w:val="16"/>
          <w:szCs w:val="16"/>
        </w:rPr>
      </w:pPr>
      <w:r w:rsidRPr="00925F26">
        <w:rPr>
          <w:color w:val="000000" w:themeColor="text1"/>
          <w:sz w:val="16"/>
          <w:szCs w:val="16"/>
        </w:rPr>
        <w:t>В июне 1945 г. испанская фирма CASA, которая в 1944 г. приобрела лицензию на производство Ju 52/ 3mg7e, на заводе в Мадриде выпустил первый самолет под обозначением CASA 352. Машины испанского производства не несли вооружения. Первые 106 самопетов оснащались советскими моторами М-25А, выпуск которых республиканскому правительству когда-то помогли освоить наши специалисты (М-25А, в свою очередь, строился в СССР по лицензии американской фирмы «Райт»)</w:t>
      </w:r>
      <w:proofErr w:type="gramStart"/>
      <w:r w:rsidRPr="00925F26">
        <w:rPr>
          <w:color w:val="000000" w:themeColor="text1"/>
          <w:sz w:val="16"/>
          <w:szCs w:val="16"/>
        </w:rPr>
        <w:t>, После</w:t>
      </w:r>
      <w:proofErr w:type="gramEnd"/>
      <w:r w:rsidRPr="00925F26">
        <w:rPr>
          <w:color w:val="000000" w:themeColor="text1"/>
          <w:sz w:val="16"/>
          <w:szCs w:val="16"/>
        </w:rPr>
        <w:t xml:space="preserve"> капитуляции республиканцев в 1939 г. все досталось победителям. Внешне замена двигателя отразилась только в удлинении капота центрального двигателя.</w:t>
      </w:r>
    </w:p>
    <w:p w14:paraId="0F004338" w14:textId="77777777" w:rsidR="0039556B" w:rsidRPr="00925F26" w:rsidRDefault="0039556B" w:rsidP="00925F26">
      <w:pPr>
        <w:jc w:val="both"/>
        <w:rPr>
          <w:color w:val="000000" w:themeColor="text1"/>
          <w:sz w:val="16"/>
          <w:szCs w:val="16"/>
        </w:rPr>
      </w:pPr>
      <w:r w:rsidRPr="00925F26">
        <w:rPr>
          <w:color w:val="000000" w:themeColor="text1"/>
          <w:sz w:val="16"/>
          <w:szCs w:val="16"/>
        </w:rPr>
        <w:t>Со 107-го самолета завод перешел на усовершенствованную модификацию CASA 352L с моторами ENMASA В3 тоже местного производства, но большей мощности. Их делало предприятие в Барселоне. Все три двигателя закрывались удлиненными капотами типа NACA с верхним расположением воздухозаборника карбюратора. Маслорадиаторы расположили не в ряд, а по треугольнику. Выхлопные патрубки моторов на крыле существенно удлинили. Все машины оснащались радиокомпасами. Антенна радиокомпаса в каплевидном обтекателе размещалась над фюзеляжем. Всего выпустили 64 самолета CASA 352L. Они строились в трех вариантах: А-1 – грузовой и десантный, А-3 – пассажирский и С – учебный. В испанских ВВС все CASA 352 и CASA 352L обозначались Т.2В. Производство «юнкерсов» в Испании завершилось в 1954 г. Это были последние представители семейства Ju 52/3m, выпускавшиеся в мире (24199).</w:t>
      </w:r>
    </w:p>
    <w:p w14:paraId="181F79E9" w14:textId="77777777" w:rsidR="0039556B" w:rsidRPr="00925F26" w:rsidRDefault="0039556B" w:rsidP="00925F26">
      <w:pPr>
        <w:jc w:val="both"/>
        <w:rPr>
          <w:color w:val="000000" w:themeColor="text1"/>
          <w:sz w:val="16"/>
          <w:szCs w:val="16"/>
        </w:rPr>
      </w:pPr>
    </w:p>
    <w:p w14:paraId="750944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1945-го завод "Авиа" сдал новым заказчикам две первых машины Зибель. Там их делали до 1950-го, выпустив еще 179 самолетов. Это были пассажирские самолеты С-103С - с салоном на семь мест. Экипаж состоял из двух пилотов и радиста. Позднее появились еще две гражданские модификации: С-103В на шесть мест в более комфортабельном салоне и С-103А на девять пассажиров при одном пилоте. Эти машины эксплуатировались наряду с трофейными Si 204D сначала "военно-транспортным отделом", а затем компанией "Ческословенске аэролинии". С-103 обслуживали только внутренние линии, связывавшие Прагу с Карповыми Барами, Оломоуцем, Остравой, Ческе-Будейовицами. С 1948-го они постепенно списывались или передавались в ведомственную авиацию. Часть из них превратили в почтовые, сельскохозяйственные и лесоохранные. Последний С-103 "Ческословенских аэролиний" дожил до 1951-го. С-103, использовавшиеся военной авиацией, именовались C-3D. Каждая часть чехословацких ВВС получала по одному такому самолету для транспортных целей. Для военных строили специально С-ЗА - учебный для подготовки пилотов, C-3AN - летающий штурманский класс, C-3AF - аэрофотосъемочный. Последний имел одинарное управление и нес три фотоаппарата: Rb 20/30, Rb 50/30 и RD 75/30 (все - немецкие). Внешне C-3AF отличался большим обзорным блистером на правом борту и еще одним дополнительным окном с той же стороны. У этого окна при необходимости устанавливался пулемет. В 1950-1958-х годах эти машины переделывались в гражданские картографические C-3AFG. К трем уже имевшимся камерам добавили еще четыре, в том числе две перспективные - вперед и вбок, и ручной фотоаппарат у штурмана. На базе немецкого Si 204E чехи подготовили свою модификацию С-ЗВ, использовавшуюся не только в качестве учебно-боевой, но и как "настоящий" бомбардировщик. Дело в том, что к концу 1940-х полученные сразу после войны Пе-2 и "Москито" износились, а реактивные Ил-28 из СССР еще не поступили. Единственным бомбардировщиком чехословацких ВВС в этот период был С-ЗВ. Существовало несколько подвидов этой модификации. Базовый вариант, бомбардировщик, нес до 800 кг бомб калибра до 250 кг на наружной и внутренней подвесках. Из стрелкового вооружения имелся только один пулемет в окне правого борта. Часть машин несла четыре 13-мм пулемета vz. 131 (это тот же самый MG 131). Один монтировался на турели DL 131 сверху, два стояли в носовой части фюзеляжа неподвижно и четвертый - в окне. На каждый пулемет имелось по 500 патронов. От Si 204E эти машины внешне отличались блистером над кабиной в средней части фюзеляжа -для астронавигации. Экипаж С-ЗВ состоял из четырех человек: пилота, штурмана, радиста и стрелка. Часть первых С-ЗВ представляла собой переделку трофейных немецких Si 204D. Последним вариантом С-ЗВ являлся C-3BV - буксировщик мишеней-рукавов. Это были разоруженные боевые машины (5741,13).</w:t>
      </w:r>
    </w:p>
    <w:p w14:paraId="7F8E2153" w14:textId="77777777" w:rsidR="006103B3" w:rsidRPr="00925F26" w:rsidRDefault="006103B3" w:rsidP="00925F26">
      <w:pPr>
        <w:autoSpaceDE w:val="0"/>
        <w:autoSpaceDN w:val="0"/>
        <w:adjustRightInd w:val="0"/>
        <w:jc w:val="both"/>
        <w:rPr>
          <w:color w:val="000000" w:themeColor="text1"/>
          <w:sz w:val="16"/>
          <w:szCs w:val="16"/>
        </w:rPr>
      </w:pPr>
    </w:p>
    <w:p w14:paraId="4AF0EF55" w14:textId="77777777" w:rsidR="00F23D44" w:rsidRPr="00925F26" w:rsidRDefault="00F23D44" w:rsidP="00925F26">
      <w:pPr>
        <w:jc w:val="both"/>
        <w:rPr>
          <w:color w:val="000000" w:themeColor="text1"/>
          <w:sz w:val="16"/>
          <w:szCs w:val="16"/>
        </w:rPr>
      </w:pPr>
      <w:r w:rsidRPr="00925F26">
        <w:rPr>
          <w:color w:val="000000" w:themeColor="text1"/>
          <w:sz w:val="16"/>
          <w:szCs w:val="16"/>
        </w:rPr>
        <w:t>С июня 1945 г. несколько вертолетов Сикорского R-6 (S-49) использовались для поиска и спасания экипажей транспортных самолетов, потерпевших аварию на «воздушном мосту» Китай — Бирма — Индия. Всего за годы войны было выпущено около 400 вертолетов S-47, S-48 и S-49 вместе взятых. Кроме Бирмы и Китая, вертолеты «воевали» в Новой Гвинее, на Окинаве и Филиппинах, обеспечив эвакуацию от 125 до 150 раненых. Благодаря R-4 (S-47) и его дальнейшему развитию R-6 были заложены основы применения вертолетов в военных целях. В отличие от них, эксплуатация более тяжелых R-5 (S-48) оказалась достаточно сложной, а объем кабины - недостаточен (22830)</w:t>
      </w:r>
    </w:p>
    <w:p w14:paraId="181A7FAD" w14:textId="77777777" w:rsidR="00F23D44" w:rsidRPr="00925F26" w:rsidRDefault="00F23D44" w:rsidP="00925F26">
      <w:pPr>
        <w:jc w:val="both"/>
        <w:rPr>
          <w:color w:val="000000" w:themeColor="text1"/>
          <w:sz w:val="16"/>
          <w:szCs w:val="16"/>
        </w:rPr>
      </w:pPr>
    </w:p>
    <w:p w14:paraId="497C78E2" w14:textId="77777777" w:rsidR="00D018BD" w:rsidRPr="001A0BAA" w:rsidRDefault="00D018BD" w:rsidP="00D018BD">
      <w:pPr>
        <w:jc w:val="both"/>
        <w:rPr>
          <w:color w:val="0070C0"/>
          <w:sz w:val="16"/>
          <w:szCs w:val="16"/>
        </w:rPr>
      </w:pPr>
      <w:r w:rsidRPr="001A0BAA">
        <w:rPr>
          <w:rStyle w:val="70"/>
          <w:rFonts w:ascii="Times New Roman" w:cs="Times New Roman"/>
          <w:color w:val="0070C0"/>
          <w:spacing w:val="0"/>
          <w:sz w:val="16"/>
          <w:szCs w:val="16"/>
        </w:rPr>
        <w:t>В июне 1945 года завершилась постройка реактивного истребителя «Кикки», но еще за пять мес</w:t>
      </w:r>
      <w:r w:rsidRPr="001A0BAA">
        <w:rPr>
          <w:rStyle w:val="70"/>
          <w:rFonts w:ascii="Times New Roman" w:eastAsia="Courier New" w:cs="Times New Roman"/>
          <w:color w:val="0070C0"/>
          <w:spacing w:val="0"/>
          <w:sz w:val="16"/>
          <w:szCs w:val="16"/>
        </w:rPr>
        <w:t>яц</w:t>
      </w:r>
      <w:r w:rsidRPr="001A0BAA">
        <w:rPr>
          <w:rStyle w:val="70"/>
          <w:rFonts w:ascii="Times New Roman" w:cs="Times New Roman"/>
          <w:color w:val="0070C0"/>
          <w:spacing w:val="0"/>
          <w:sz w:val="16"/>
          <w:szCs w:val="16"/>
        </w:rPr>
        <w:t>ев до этого японцы запланировали изготовление 94 са</w:t>
      </w:r>
      <w:r w:rsidRPr="001A0BAA">
        <w:rPr>
          <w:rStyle w:val="70"/>
          <w:rFonts w:ascii="Times New Roman" w:cs="Times New Roman"/>
          <w:color w:val="0070C0"/>
          <w:spacing w:val="0"/>
          <w:sz w:val="16"/>
          <w:szCs w:val="16"/>
        </w:rPr>
        <w:softHyphen/>
        <w:t>молетов. Помешали развертыванию серий</w:t>
      </w:r>
      <w:r w:rsidRPr="001A0BAA">
        <w:rPr>
          <w:rStyle w:val="70"/>
          <w:rFonts w:ascii="Times New Roman" w:cs="Times New Roman"/>
          <w:color w:val="0070C0"/>
          <w:spacing w:val="0"/>
          <w:sz w:val="16"/>
          <w:szCs w:val="16"/>
        </w:rPr>
        <w:softHyphen/>
        <w:t>ного производства американские бомбарди</w:t>
      </w:r>
      <w:r w:rsidRPr="001A0BAA">
        <w:rPr>
          <w:rStyle w:val="70"/>
          <w:rFonts w:ascii="Times New Roman" w:cs="Times New Roman"/>
          <w:color w:val="0070C0"/>
          <w:spacing w:val="0"/>
          <w:sz w:val="16"/>
          <w:szCs w:val="16"/>
        </w:rPr>
        <w:softHyphen/>
        <w:t>ровки авиазаводов Страны восходящего солнца. Но даже если бы это и произошло, то участь Японии уже была предрешена (25113).</w:t>
      </w:r>
    </w:p>
    <w:p w14:paraId="47365B41" w14:textId="77777777" w:rsidR="00D018BD" w:rsidRPr="001A0BAA" w:rsidRDefault="00D018BD" w:rsidP="00D018BD">
      <w:pPr>
        <w:jc w:val="both"/>
        <w:rPr>
          <w:color w:val="0070C0"/>
          <w:sz w:val="16"/>
          <w:szCs w:val="16"/>
        </w:rPr>
      </w:pPr>
    </w:p>
    <w:p w14:paraId="1E7C1FB7" w14:textId="77777777" w:rsidR="00F23D44" w:rsidRPr="00925F26" w:rsidRDefault="00F23D44" w:rsidP="00925F26">
      <w:pPr>
        <w:jc w:val="both"/>
        <w:rPr>
          <w:color w:val="000000" w:themeColor="text1"/>
          <w:sz w:val="16"/>
          <w:szCs w:val="16"/>
        </w:rPr>
      </w:pPr>
      <w:r w:rsidRPr="00925F26">
        <w:rPr>
          <w:color w:val="000000" w:themeColor="text1"/>
          <w:sz w:val="16"/>
          <w:szCs w:val="16"/>
        </w:rPr>
        <w:t>В июне 1945 Соединенные Штаты владеет первыми в мире двумя атомными бомбами (20371).</w:t>
      </w:r>
    </w:p>
    <w:p w14:paraId="1AD9686E" w14:textId="77777777" w:rsidR="00F23D44" w:rsidRPr="00925F26" w:rsidRDefault="00F23D44" w:rsidP="00925F26">
      <w:pPr>
        <w:jc w:val="both"/>
        <w:rPr>
          <w:color w:val="000000" w:themeColor="text1"/>
          <w:sz w:val="16"/>
          <w:szCs w:val="16"/>
        </w:rPr>
      </w:pPr>
    </w:p>
    <w:p w14:paraId="52A619CE" w14:textId="77777777" w:rsidR="00F23D44" w:rsidRPr="00925F26" w:rsidRDefault="00F23D44" w:rsidP="00925F26">
      <w:pPr>
        <w:jc w:val="both"/>
        <w:rPr>
          <w:color w:val="000000" w:themeColor="text1"/>
          <w:sz w:val="16"/>
          <w:szCs w:val="16"/>
        </w:rPr>
      </w:pPr>
      <w:r w:rsidRPr="00925F26">
        <w:rPr>
          <w:color w:val="000000" w:themeColor="text1"/>
          <w:sz w:val="16"/>
          <w:szCs w:val="16"/>
        </w:rPr>
        <w:t>В июне 1945 США располагают девятью атомными бомбами, две из которых предназначены для испытаний. По оценкам Соединенных Штатов, в советских ВВС имеется 14 000 боевых самолетов, а в ВМФ СССР - 2 000 самолетов (20370).</w:t>
      </w:r>
    </w:p>
    <w:p w14:paraId="4938E221" w14:textId="77777777" w:rsidR="00F23D44" w:rsidRPr="00925F26" w:rsidRDefault="00F23D44" w:rsidP="00925F26">
      <w:pPr>
        <w:jc w:val="both"/>
        <w:rPr>
          <w:color w:val="000000" w:themeColor="text1"/>
          <w:sz w:val="16"/>
          <w:szCs w:val="16"/>
        </w:rPr>
      </w:pPr>
    </w:p>
    <w:p w14:paraId="2187F93D" w14:textId="77777777" w:rsidR="00F23D44" w:rsidRPr="00925F26" w:rsidRDefault="00F23D44" w:rsidP="00925F26">
      <w:pPr>
        <w:jc w:val="both"/>
        <w:rPr>
          <w:color w:val="000000" w:themeColor="text1"/>
          <w:sz w:val="16"/>
          <w:szCs w:val="16"/>
        </w:rPr>
      </w:pPr>
      <w:r w:rsidRPr="00925F26">
        <w:rPr>
          <w:color w:val="000000" w:themeColor="text1"/>
          <w:sz w:val="16"/>
          <w:szCs w:val="16"/>
        </w:rPr>
        <w:t>В июне 1945 основана никарагуанская авиакомпания LANICA. Он начнет полеты в 1946 году (20371).</w:t>
      </w:r>
    </w:p>
    <w:p w14:paraId="78715241" w14:textId="77777777" w:rsidR="00F23D44" w:rsidRPr="00925F26" w:rsidRDefault="00F23D44" w:rsidP="00925F26">
      <w:pPr>
        <w:jc w:val="both"/>
        <w:rPr>
          <w:color w:val="000000" w:themeColor="text1"/>
          <w:sz w:val="16"/>
          <w:szCs w:val="16"/>
        </w:rPr>
      </w:pPr>
    </w:p>
    <w:p w14:paraId="0AA167F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6D1E171D" w14:textId="77777777" w:rsidR="006103B3" w:rsidRPr="00925F26" w:rsidRDefault="006103B3" w:rsidP="00925F26">
      <w:pPr>
        <w:autoSpaceDE w:val="0"/>
        <w:autoSpaceDN w:val="0"/>
        <w:adjustRightInd w:val="0"/>
        <w:jc w:val="both"/>
        <w:rPr>
          <w:iCs/>
          <w:color w:val="000000" w:themeColor="text1"/>
          <w:sz w:val="16"/>
          <w:szCs w:val="16"/>
        </w:rPr>
      </w:pPr>
    </w:p>
    <w:p w14:paraId="3669B011" w14:textId="77777777" w:rsidR="002A5DBF" w:rsidRPr="00925F26" w:rsidRDefault="002A5DBF" w:rsidP="00925F26">
      <w:pPr>
        <w:jc w:val="both"/>
        <w:rPr>
          <w:color w:val="000000" w:themeColor="text1"/>
          <w:sz w:val="16"/>
          <w:szCs w:val="16"/>
        </w:rPr>
      </w:pPr>
      <w:r w:rsidRPr="00925F26">
        <w:rPr>
          <w:color w:val="000000" w:themeColor="text1"/>
          <w:sz w:val="16"/>
          <w:szCs w:val="16"/>
        </w:rPr>
        <w:t>В июне—июле 1945 г. Як-3 с М-105ПВ с Э-100.  проходил испытания в ЛИИ. 6 июля 1945 г. лётчику И.И. Шунейко на Як-3 с М-105ПВ и Э-100 удалось достигнуть высоты 13300 м.</w:t>
      </w:r>
    </w:p>
    <w:p w14:paraId="0F9451D2" w14:textId="77777777" w:rsidR="002A5DBF" w:rsidRPr="00925F26" w:rsidRDefault="002A5DBF" w:rsidP="00925F26">
      <w:pPr>
        <w:jc w:val="both"/>
        <w:rPr>
          <w:color w:val="000000" w:themeColor="text1"/>
          <w:sz w:val="16"/>
          <w:szCs w:val="16"/>
        </w:rPr>
      </w:pPr>
      <w:r w:rsidRPr="00925F26">
        <w:rPr>
          <w:color w:val="000000" w:themeColor="text1"/>
          <w:sz w:val="16"/>
          <w:szCs w:val="16"/>
        </w:rPr>
        <w:t>Ощущения И.И. Шунейко в том полёте очень образно описал И.И. Шелест:</w:t>
      </w:r>
    </w:p>
    <w:p w14:paraId="4813B05E" w14:textId="77777777" w:rsidR="002A5DBF" w:rsidRPr="00925F26" w:rsidRDefault="002A5DBF" w:rsidP="00925F26">
      <w:pPr>
        <w:jc w:val="both"/>
        <w:rPr>
          <w:color w:val="000000" w:themeColor="text1"/>
          <w:sz w:val="16"/>
          <w:szCs w:val="16"/>
        </w:rPr>
      </w:pPr>
      <w:r w:rsidRPr="00925F26">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925F26">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3661E023" w14:textId="77777777" w:rsidR="002A5DBF" w:rsidRPr="00925F26" w:rsidRDefault="002A5DBF" w:rsidP="00925F26">
      <w:pPr>
        <w:jc w:val="both"/>
        <w:rPr>
          <w:color w:val="000000" w:themeColor="text1"/>
          <w:sz w:val="16"/>
          <w:szCs w:val="16"/>
        </w:rPr>
      </w:pPr>
      <w:r w:rsidRPr="00925F26">
        <w:rPr>
          <w:color w:val="000000" w:themeColor="text1"/>
          <w:sz w:val="16"/>
          <w:szCs w:val="16"/>
        </w:rPr>
        <w:lastRenderedPageBreak/>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925F26">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63E07E52" w14:textId="77777777" w:rsidR="002A5DBF" w:rsidRPr="00925F26" w:rsidRDefault="002A5DBF" w:rsidP="00925F26">
      <w:pPr>
        <w:jc w:val="both"/>
        <w:rPr>
          <w:color w:val="000000" w:themeColor="text1"/>
          <w:sz w:val="16"/>
          <w:szCs w:val="16"/>
        </w:rPr>
      </w:pPr>
      <w:r w:rsidRPr="00925F26">
        <w:rPr>
          <w:color w:val="000000" w:themeColor="text1"/>
          <w:sz w:val="16"/>
          <w:szCs w:val="16"/>
        </w:rPr>
        <w:t>«Видно, это будет наш общий потолок — и мотора и мой, — продолжал свою заме</w:t>
      </w:r>
      <w:r w:rsidRPr="00925F26">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365B074D" w14:textId="77777777" w:rsidR="002A5DBF" w:rsidRPr="00925F26" w:rsidRDefault="002A5DBF" w:rsidP="00925F26">
      <w:pPr>
        <w:jc w:val="both"/>
        <w:rPr>
          <w:color w:val="000000" w:themeColor="text1"/>
          <w:sz w:val="16"/>
          <w:szCs w:val="16"/>
        </w:rPr>
      </w:pPr>
      <w:r w:rsidRPr="00925F26">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925F26">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5D33E3F2" w14:textId="77777777" w:rsidR="002A5DBF" w:rsidRPr="00925F26" w:rsidRDefault="002A5DBF" w:rsidP="00925F26">
      <w:pPr>
        <w:jc w:val="both"/>
        <w:rPr>
          <w:color w:val="000000" w:themeColor="text1"/>
          <w:sz w:val="16"/>
          <w:szCs w:val="16"/>
        </w:rPr>
      </w:pPr>
      <w:r w:rsidRPr="00925F26">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925F26">
        <w:rPr>
          <w:color w:val="000000" w:themeColor="text1"/>
          <w:sz w:val="16"/>
          <w:szCs w:val="16"/>
        </w:rPr>
        <w:softHyphen/>
        <w:t>лной грудью. И с этим вздохом в душу его влетела некая птица дотоле неведомой вели</w:t>
      </w:r>
      <w:r w:rsidRPr="00925F26">
        <w:rPr>
          <w:color w:val="000000" w:themeColor="text1"/>
          <w:sz w:val="16"/>
          <w:szCs w:val="16"/>
        </w:rPr>
        <w:softHyphen/>
        <w:t>кой радости. Он понял, что</w:t>
      </w:r>
      <w:r w:rsidRPr="00925F26">
        <w:rPr>
          <w:rStyle w:val="MSReferenceSansSerif85pt"/>
          <w:rFonts w:ascii="Times New Roman" w:hAnsi="Times New Roman" w:cs="Times New Roman"/>
          <w:b w:val="0"/>
          <w:i w:val="0"/>
          <w:color w:val="000000" w:themeColor="text1"/>
          <w:sz w:val="16"/>
          <w:szCs w:val="16"/>
        </w:rPr>
        <w:t xml:space="preserve"> этот день его.</w:t>
      </w:r>
      <w:r w:rsidRPr="00925F26">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2ABCA5FD" w14:textId="77777777" w:rsidR="002A5DBF" w:rsidRPr="00925F26" w:rsidRDefault="002A5DBF" w:rsidP="00925F26">
      <w:pPr>
        <w:jc w:val="both"/>
        <w:rPr>
          <w:color w:val="000000" w:themeColor="text1"/>
          <w:sz w:val="16"/>
          <w:szCs w:val="16"/>
        </w:rPr>
      </w:pPr>
      <w:r w:rsidRPr="00925F26">
        <w:rPr>
          <w:color w:val="000000" w:themeColor="text1"/>
          <w:sz w:val="16"/>
          <w:szCs w:val="16"/>
        </w:rPr>
        <w:t>Впоследствии начальник лётной части ЛИИ Даниил Степанович Зосим, сам инже</w:t>
      </w:r>
      <w:r w:rsidRPr="00925F26">
        <w:rPr>
          <w:color w:val="000000" w:themeColor="text1"/>
          <w:sz w:val="16"/>
          <w:szCs w:val="16"/>
        </w:rPr>
        <w:softHyphen/>
        <w:t>нер-лётчик, знакомый с высотными полётами (перед войной он принимал участие в ис</w:t>
      </w:r>
      <w:r w:rsidRPr="00925F26">
        <w:rPr>
          <w:color w:val="000000" w:themeColor="text1"/>
          <w:sz w:val="16"/>
          <w:szCs w:val="16"/>
        </w:rPr>
        <w:softHyphen/>
        <w:t>пытаниях одного из первых советских скафандров), спросил Шунейко:</w:t>
      </w:r>
    </w:p>
    <w:p w14:paraId="2238A40B" w14:textId="77777777" w:rsidR="002A5DBF" w:rsidRPr="00925F26" w:rsidRDefault="002A5DBF" w:rsidP="00925F26">
      <w:pPr>
        <w:numPr>
          <w:ilvl w:val="0"/>
          <w:numId w:val="1"/>
        </w:numPr>
        <w:tabs>
          <w:tab w:val="left" w:pos="423"/>
        </w:tabs>
        <w:jc w:val="both"/>
        <w:rPr>
          <w:color w:val="000000" w:themeColor="text1"/>
          <w:sz w:val="16"/>
          <w:szCs w:val="16"/>
        </w:rPr>
      </w:pPr>
      <w:r w:rsidRPr="00925F26">
        <w:rPr>
          <w:color w:val="000000" w:themeColor="text1"/>
          <w:sz w:val="16"/>
          <w:szCs w:val="16"/>
        </w:rPr>
        <w:t>Скажи, пожалуйста, Иван Иванович, будучи на моем месте, сколько бы ты запла</w:t>
      </w:r>
      <w:r w:rsidRPr="00925F26">
        <w:rPr>
          <w:color w:val="000000" w:themeColor="text1"/>
          <w:sz w:val="16"/>
          <w:szCs w:val="16"/>
        </w:rPr>
        <w:softHyphen/>
        <w:t>тил лётчику за риск таких полётов на высоту?</w:t>
      </w:r>
    </w:p>
    <w:p w14:paraId="71F9F842" w14:textId="77777777" w:rsidR="002A5DBF" w:rsidRPr="00925F26" w:rsidRDefault="002A5DBF" w:rsidP="00925F26">
      <w:pPr>
        <w:jc w:val="both"/>
        <w:rPr>
          <w:color w:val="000000" w:themeColor="text1"/>
          <w:sz w:val="16"/>
          <w:szCs w:val="16"/>
        </w:rPr>
      </w:pPr>
      <w:r w:rsidRPr="00925F26">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1DB5FA02" w14:textId="77777777" w:rsidR="002A5DBF" w:rsidRPr="00925F26" w:rsidRDefault="002A5DBF" w:rsidP="00925F26">
      <w:pPr>
        <w:numPr>
          <w:ilvl w:val="0"/>
          <w:numId w:val="1"/>
        </w:numPr>
        <w:tabs>
          <w:tab w:val="left" w:pos="420"/>
        </w:tabs>
        <w:jc w:val="both"/>
        <w:rPr>
          <w:color w:val="000000" w:themeColor="text1"/>
          <w:sz w:val="16"/>
          <w:szCs w:val="16"/>
        </w:rPr>
      </w:pPr>
      <w:r w:rsidRPr="00925F26">
        <w:rPr>
          <w:color w:val="000000" w:themeColor="text1"/>
          <w:sz w:val="16"/>
          <w:szCs w:val="16"/>
        </w:rPr>
        <w:t>На мой взгляд... эти полёты стоят столько, сколько стоит моя жизнь» (15830).</w:t>
      </w:r>
    </w:p>
    <w:p w14:paraId="6944E648" w14:textId="77777777" w:rsidR="002A5DBF" w:rsidRPr="00925F26" w:rsidRDefault="002A5DBF" w:rsidP="00925F26">
      <w:pPr>
        <w:tabs>
          <w:tab w:val="left" w:pos="420"/>
        </w:tabs>
        <w:jc w:val="both"/>
        <w:rPr>
          <w:color w:val="000000" w:themeColor="text1"/>
          <w:sz w:val="16"/>
          <w:szCs w:val="16"/>
        </w:rPr>
      </w:pPr>
    </w:p>
    <w:p w14:paraId="134343E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июне-июле 1945 два В-29 перегнали в Москву. Первый самолет вел Рейдель, вторым пилотом у него был майор Моржаков, бортинженером - М.М.Круглов. Посадку совершали на аэродроме в Измайлово, на окраине Москвы. Там располагался 65-й полк особого назначения, совмещавший транспортные и экспериментально-испытательные задачи в системе морской авиации. Взлетно-посадочная полоса там была довольно короткая, но, выработав остатки горючего, Рейделю удалось сесть. Благополучно приземлился и самолет, пилотируемый Маруновым. Позднее в Москву с Дальнего Востока прибыл и третий В-29. Один В-29 (№ 42-6256) по просьбе командующего дальней авиацией маршала А.Е.Голованова передали в 890-й полк, стоявший тогда на аэродроме Балбасово под городом Орша. Им командовал Э.К.Пусэп. Это был необычный полк. Из-за нехватки отечественных тяжелых бомбардировщиков советские ВВС начали собирать и восстанавливать американские самолеты, совершившие вынужденные посадки в Восточной Европе (3457,120).</w:t>
      </w:r>
    </w:p>
    <w:p w14:paraId="1690D667" w14:textId="77777777" w:rsidR="006103B3" w:rsidRPr="00925F26" w:rsidRDefault="006103B3" w:rsidP="00925F26">
      <w:pPr>
        <w:autoSpaceDE w:val="0"/>
        <w:autoSpaceDN w:val="0"/>
        <w:adjustRightInd w:val="0"/>
        <w:jc w:val="both"/>
        <w:rPr>
          <w:color w:val="000000" w:themeColor="text1"/>
          <w:sz w:val="16"/>
          <w:szCs w:val="16"/>
        </w:rPr>
      </w:pPr>
    </w:p>
    <w:p w14:paraId="4D7DECF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 - августе 1945 экипажи Московской авиагруппы Г/СМП перегнали из Германии среди прочих самолетов девять "Зибелей" (у нас они назывались Си-204). Два Си-204 остались в Москве для транспортных перевозок в средней полосе, а все остальные отправили в Красноярск, на завод №477 им. Побежимова для доработки под условия эксплуатации на севере. Для Си-204 сделали 10 комплектов лыж, так как планировалось получить всего 10 таких самолетов (9571,14).</w:t>
      </w:r>
    </w:p>
    <w:p w14:paraId="72F84E0A" w14:textId="77777777" w:rsidR="006103B3" w:rsidRPr="00925F26" w:rsidRDefault="006103B3" w:rsidP="00925F26">
      <w:pPr>
        <w:autoSpaceDE w:val="0"/>
        <w:autoSpaceDN w:val="0"/>
        <w:adjustRightInd w:val="0"/>
        <w:jc w:val="both"/>
        <w:rPr>
          <w:color w:val="000000" w:themeColor="text1"/>
          <w:sz w:val="16"/>
          <w:szCs w:val="16"/>
        </w:rPr>
      </w:pPr>
    </w:p>
    <w:p w14:paraId="3AD6CA1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июне-августе 1945 экипажи Московской авиагруппы ГУСМП перегнали из Германии один Ю-52 на колесах, один на поплавках, трёхмоторную летающую лодку Дорнье Do 24T, девять Си-204 и один “Шторх”. Два Си-204 остались в Москве для транспортных перевозок в средней полосе, а все остальное отправили в Красноярск, на завод № 477 им. Побежимова для доработки под условия эксплуатации на севере. Например, для Ю-52 спроектировали систему обогрева кабин, новые капоты моторов. Сконструировали, изготовили и с “положительным результатом” испытали лыжи. Чтобы восстановить эту машину, в декабре 1945 г разобрали на запчасти один из самолётов с выставки трофейного вооружения. “Юнкере” с номером Н-380 потом довольно долго служил в Игарской авиагруппе. Для Си-204 сделали 10 комплектов лыж, так как планировалось получить всего 10 таких самолётов. Уже в 1945 г начались полёты Си-204 на севере. В Чукотскую авиагруппу поступил самолёт Н-370. Его перегнали из Москвы в конце июля. Эта машина никак для холодов не оборудовалась и почти не использовалась. В сентябре 1946 г её вернули в Москву для доработки (6393).</w:t>
      </w:r>
    </w:p>
    <w:p w14:paraId="5D12F8DE" w14:textId="77777777" w:rsidR="006103B3" w:rsidRPr="00925F26" w:rsidRDefault="006103B3" w:rsidP="00925F26">
      <w:pPr>
        <w:autoSpaceDE w:val="0"/>
        <w:autoSpaceDN w:val="0"/>
        <w:adjustRightInd w:val="0"/>
        <w:jc w:val="both"/>
        <w:rPr>
          <w:color w:val="000000" w:themeColor="text1"/>
          <w:sz w:val="16"/>
          <w:szCs w:val="16"/>
        </w:rPr>
      </w:pPr>
    </w:p>
    <w:p w14:paraId="3BE23ECE"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71903CB9" w14:textId="77777777" w:rsidR="006103B3" w:rsidRPr="00925F26" w:rsidRDefault="006103B3" w:rsidP="00925F26">
      <w:pPr>
        <w:autoSpaceDE w:val="0"/>
        <w:autoSpaceDN w:val="0"/>
        <w:adjustRightInd w:val="0"/>
        <w:jc w:val="both"/>
        <w:rPr>
          <w:iCs/>
          <w:color w:val="000000" w:themeColor="text1"/>
          <w:sz w:val="16"/>
          <w:szCs w:val="16"/>
        </w:rPr>
      </w:pPr>
    </w:p>
    <w:p w14:paraId="457687E2" w14:textId="77777777" w:rsidR="002A5DBF" w:rsidRPr="00925F26" w:rsidRDefault="002A5DBF" w:rsidP="00925F26">
      <w:pPr>
        <w:pStyle w:val="book"/>
        <w:ind w:firstLine="0"/>
        <w:jc w:val="both"/>
        <w:rPr>
          <w:color w:val="000000" w:themeColor="text1"/>
          <w:sz w:val="16"/>
          <w:szCs w:val="16"/>
        </w:rPr>
      </w:pPr>
      <w:r w:rsidRPr="00925F26">
        <w:rPr>
          <w:color w:val="000000" w:themeColor="text1"/>
          <w:sz w:val="16"/>
          <w:szCs w:val="16"/>
        </w:rPr>
        <w:t>В июне—августе 1945 г. с завода «Карл Цейс» в Йене на киевский завод «Арсенал» было перевезено несколько сот станков и различного оборудования, а также около сотни конструкторов, технологов и квалифицированных рабочих-оптиков. В 1947 г. немцы уехали на родину. На заводе осталось лишь 5 человек, создавших в Киеве семьи. Кроме того, был вывезен задел деталей фотоаппаратов и объективов «Contax». В 1947 г. на «Арсенале» начался выпуск фотоаппарата «Киев-2», который являлся точной копией фотоаппарата «Contax II», а в 1952 г. — фотоаппарата «Киев-3» — копии «Contax III» (15225).</w:t>
      </w:r>
    </w:p>
    <w:p w14:paraId="6F47BA8C" w14:textId="77777777" w:rsidR="002A5DBF" w:rsidRPr="00925F26" w:rsidRDefault="002A5DBF" w:rsidP="00925F26">
      <w:pPr>
        <w:pStyle w:val="book"/>
        <w:ind w:firstLine="0"/>
        <w:jc w:val="both"/>
        <w:rPr>
          <w:color w:val="000000" w:themeColor="text1"/>
          <w:sz w:val="16"/>
          <w:szCs w:val="16"/>
        </w:rPr>
      </w:pPr>
    </w:p>
    <w:p w14:paraId="2DCC77B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июне—июле 1945 г. подводная лодка «М-401» проходи</w:t>
      </w:r>
      <w:r w:rsidRPr="00925F26">
        <w:rPr>
          <w:color w:val="000000" w:themeColor="text1"/>
          <w:sz w:val="16"/>
          <w:szCs w:val="16"/>
        </w:rPr>
        <w:softHyphen/>
        <w:t>ла на Каспии государственные испытания. Всего с момента по</w:t>
      </w:r>
      <w:r w:rsidRPr="00925F26">
        <w:rPr>
          <w:color w:val="000000" w:themeColor="text1"/>
          <w:sz w:val="16"/>
          <w:szCs w:val="16"/>
        </w:rPr>
        <w:softHyphen/>
        <w:t>стройки «М-401» совершила 74 выхода в море, 68 погруже</w:t>
      </w:r>
      <w:r w:rsidRPr="00925F26">
        <w:rPr>
          <w:color w:val="000000" w:themeColor="text1"/>
          <w:sz w:val="16"/>
          <w:szCs w:val="16"/>
        </w:rPr>
        <w:softHyphen/>
        <w:t>ний, прошла 2800 миль, из них 364 миль под водой под дизе</w:t>
      </w:r>
      <w:r w:rsidRPr="00925F26">
        <w:rPr>
          <w:color w:val="000000" w:themeColor="text1"/>
          <w:sz w:val="16"/>
          <w:szCs w:val="16"/>
        </w:rPr>
        <w:softHyphen/>
        <w:t>лями, работающими по замкнутому циклу. В1946 г. М-401 по железной дороге была доставлена в Ленинград на судостроительяый завод № 196, где произвели текущий ремонт. В дальнейшем подводная лодка использова</w:t>
      </w:r>
      <w:r w:rsidRPr="00925F26">
        <w:rPr>
          <w:color w:val="000000" w:themeColor="text1"/>
          <w:sz w:val="16"/>
          <w:szCs w:val="16"/>
        </w:rPr>
        <w:softHyphen/>
        <w:t>лась для отработки различных опытных конструкций, вне</w:t>
      </w:r>
      <w:r w:rsidRPr="00925F26">
        <w:rPr>
          <w:color w:val="000000" w:themeColor="text1"/>
          <w:sz w:val="16"/>
          <w:szCs w:val="16"/>
        </w:rPr>
        <w:softHyphen/>
        <w:t>дрявшихся на лодки с единым двигателем новых проектов, а также для подготовки специалистов (10675).</w:t>
      </w:r>
    </w:p>
    <w:p w14:paraId="1819357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A25FB57"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E2806E8" w14:textId="77777777" w:rsidR="006103B3" w:rsidRPr="00925F26" w:rsidRDefault="006103B3" w:rsidP="00925F26">
      <w:pPr>
        <w:autoSpaceDE w:val="0"/>
        <w:autoSpaceDN w:val="0"/>
        <w:adjustRightInd w:val="0"/>
        <w:jc w:val="both"/>
        <w:rPr>
          <w:iCs/>
          <w:color w:val="000000" w:themeColor="text1"/>
          <w:sz w:val="16"/>
          <w:szCs w:val="16"/>
        </w:rPr>
      </w:pPr>
    </w:p>
    <w:p w14:paraId="209DC50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Постройка Ил-12 была закончена летом 1945 (24,352).</w:t>
      </w:r>
    </w:p>
    <w:p w14:paraId="5F9B7F38" w14:textId="77777777" w:rsidR="006103B3" w:rsidRPr="00925F26" w:rsidRDefault="006103B3" w:rsidP="00925F26">
      <w:pPr>
        <w:autoSpaceDE w:val="0"/>
        <w:autoSpaceDN w:val="0"/>
        <w:adjustRightInd w:val="0"/>
        <w:jc w:val="both"/>
        <w:rPr>
          <w:color w:val="000000" w:themeColor="text1"/>
          <w:sz w:val="16"/>
          <w:szCs w:val="16"/>
        </w:rPr>
      </w:pPr>
    </w:p>
    <w:p w14:paraId="6B6C689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закончили сборку опытного экземпляра самолета Ил-12 (5156).</w:t>
      </w:r>
    </w:p>
    <w:p w14:paraId="38F5ACF2" w14:textId="77777777" w:rsidR="006103B3" w:rsidRPr="00925F26" w:rsidRDefault="006103B3" w:rsidP="00925F26">
      <w:pPr>
        <w:autoSpaceDE w:val="0"/>
        <w:autoSpaceDN w:val="0"/>
        <w:adjustRightInd w:val="0"/>
        <w:jc w:val="both"/>
        <w:rPr>
          <w:color w:val="000000" w:themeColor="text1"/>
          <w:sz w:val="16"/>
          <w:szCs w:val="16"/>
        </w:rPr>
      </w:pPr>
    </w:p>
    <w:p w14:paraId="43F8810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завершили постройку Ил-12 с дизелями (9528).</w:t>
      </w:r>
    </w:p>
    <w:p w14:paraId="2F7ABD77" w14:textId="77777777" w:rsidR="006103B3" w:rsidRPr="00925F26" w:rsidRDefault="006103B3" w:rsidP="00925F26">
      <w:pPr>
        <w:autoSpaceDE w:val="0"/>
        <w:autoSpaceDN w:val="0"/>
        <w:adjustRightInd w:val="0"/>
        <w:jc w:val="both"/>
        <w:rPr>
          <w:color w:val="000000" w:themeColor="text1"/>
          <w:sz w:val="16"/>
          <w:szCs w:val="16"/>
        </w:rPr>
      </w:pPr>
    </w:p>
    <w:p w14:paraId="48495517" w14:textId="77777777" w:rsidR="00F23D44" w:rsidRPr="00925F26" w:rsidRDefault="00F23D44" w:rsidP="00925F26">
      <w:pPr>
        <w:jc w:val="both"/>
        <w:rPr>
          <w:color w:val="000000" w:themeColor="text1"/>
          <w:sz w:val="16"/>
          <w:szCs w:val="16"/>
        </w:rPr>
      </w:pPr>
      <w:r w:rsidRPr="00925F26">
        <w:rPr>
          <w:color w:val="000000" w:themeColor="text1"/>
          <w:sz w:val="16"/>
          <w:szCs w:val="16"/>
        </w:rPr>
        <w:t>Летом 1945 г., после первых полетов опытного самолета Ил-12 с дизельными двигателями, было принято решение о замене на самолете Ил-18 дизелей АЧ-72 бензиновыми двигателями воздушного охлаждения АШ-73ТК с турбокомпрессорами ТК-19. Новые двигатели уже внедрялись в серийное производство под руководством А. Д. Швецова и имели взлетную мощность 1765 кВт (2400 л. с.) каждый. Двигатели приводили во вращение четырехлопастные автоматические воздушные винты АВ-16НМ-95 двойного действия (21548).</w:t>
      </w:r>
    </w:p>
    <w:p w14:paraId="4052312A" w14:textId="77777777" w:rsidR="00F23D44" w:rsidRPr="00925F26" w:rsidRDefault="00F23D44" w:rsidP="00925F26">
      <w:pPr>
        <w:jc w:val="both"/>
        <w:rPr>
          <w:color w:val="000000" w:themeColor="text1"/>
          <w:sz w:val="16"/>
          <w:szCs w:val="16"/>
        </w:rPr>
      </w:pPr>
    </w:p>
    <w:p w14:paraId="12C3427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после первых полетов опытного Ил-12 с дизелями, приняли решение о замене на Ил-18 дизелей АЧ-72 бензиновыми двигателями воздушного охлаждения АШ-73ТК с турбокомпрессорами ТК-19. Эти двигатели взлетной мощностью 2400 л.с. уже внедрялись в серийное производство. На Ил-18 они вращали четырехлопастные автоматические воздушные винты АВ-16НМ-95.</w:t>
      </w:r>
    </w:p>
    <w:p w14:paraId="67DAA17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Устанавливавшееся на Ил-18 оборудование позволяло эксплуатировать его днем и ночью в сложных метеоусловиях. Безопасность полетов обеспечивалась комплексом радионавигационных средств и защитой от обледенения стекол фонаря кабины пилотов, лопастей воздушных винтов, передних кромок крыла, стабилизатора и киля. Новая в то время электротепловая проти-вообледенительная система состояла из нанесенных на наружную поверхность обшивки передних кромок крыла, стабилизатора и киля секций токопроводящей резины, которую нагревали четыре установленных на двигателях электрогенератора. Одновременно с электротепловой для самолета спроектировали воздушно-тепловую противообледенительную систему, аналогичную используемой на первых серийных Ил-12 (9528).</w:t>
      </w:r>
    </w:p>
    <w:p w14:paraId="4970DC7F" w14:textId="77777777" w:rsidR="006103B3" w:rsidRPr="00925F26" w:rsidRDefault="006103B3" w:rsidP="00925F26">
      <w:pPr>
        <w:autoSpaceDE w:val="0"/>
        <w:autoSpaceDN w:val="0"/>
        <w:adjustRightInd w:val="0"/>
        <w:jc w:val="both"/>
        <w:rPr>
          <w:color w:val="000000" w:themeColor="text1"/>
          <w:sz w:val="16"/>
          <w:szCs w:val="16"/>
        </w:rPr>
      </w:pPr>
    </w:p>
    <w:p w14:paraId="09C7C98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С.В.И. решил заменить на Ил-18 двигатели АЧ-72 на АШ-73ТК с ТК-19 с винтом АВ-16НМ-95 (5,176).</w:t>
      </w:r>
    </w:p>
    <w:p w14:paraId="508C291F" w14:textId="77777777" w:rsidR="006103B3" w:rsidRPr="00925F26" w:rsidRDefault="006103B3" w:rsidP="00925F26">
      <w:pPr>
        <w:autoSpaceDE w:val="0"/>
        <w:autoSpaceDN w:val="0"/>
        <w:adjustRightInd w:val="0"/>
        <w:jc w:val="both"/>
        <w:rPr>
          <w:color w:val="000000" w:themeColor="text1"/>
          <w:sz w:val="16"/>
          <w:szCs w:val="16"/>
        </w:rPr>
      </w:pPr>
    </w:p>
    <w:p w14:paraId="2C12709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основная масса Пе-8 25-й дивизии базировалась на аэродроме в Орше. Именно отсюда для участия в воздушном параде в честь Победы под Москву прибыли 12 Пе-8 из состава 203-го авиаполка (бывшего 25-го Гвардейского). Как известно, этот воздушный парад, назначенный на 19 августа 1945 г., не состоялся по причине плохой погоды. При возвращении Пе-8-х к месту основного базирования 12 сентября случилось несчастье. У самолета № 42811, делающего прощальную горку над взлетной полосой оторвалось правое крыло. Экипаж командира эскадрильи Ищенко погиб. При осмотре состояния остальных Пе-8 было выявлено, что, несмотря на проведенные усиления и доработки, прочность лонжеронов центроплана у большинства машин недостаточна. После этого полеты на самолетах Пе-8 25-й авиадивизии прекратили, в начале 1946 г. они были выведены из боевого состава ВВС и начали списываться на слом.</w:t>
      </w:r>
    </w:p>
    <w:p w14:paraId="5A77158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После окончания войны отдельные экземпляры Пе-8 повторили судьбу многих списанных с военной службы самолетов. Первоначально один из Пе-8 с двигателями М-82 использовали для испытаний самолетов-снарядов "X" (10X, I4X, 16Х), разработанных в КБ В.Н.Челомея по типу немецкого самолета-снаряда с пульсирующим реактивным двигателем ФАУ-1 (V-l, Fi-ЮЗ). Советские беспилотные самолеты-снаряды "X" подвешивались под крылом бомбардировщика, с которого осуществлялись воздушные старты. Испытательные пуски проводились весной 1945 г. на полигоне в Средней Азии.</w:t>
      </w:r>
    </w:p>
    <w:p w14:paraId="25816B0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lastRenderedPageBreak/>
        <w:t>Следующим превратили в летающую лабораторию Пе-8 №4218 еше довоенной постройки. По заданию НИИ ВВС этот самолет, оснащенный двигателями жидкостного охлаждения АМ-35А, использовали для проведения дополнительных испытаний широко используемого в советской авиации двигателя воздушного охлаждения АШ-82ФН. Испытуемый двигатель стал пятым в силовой установке машины №4218. Он был размешен в носовой части фюзеляжа, на месте штурманской кабины.</w:t>
      </w:r>
    </w:p>
    <w:p w14:paraId="70F3D1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4АШ-82ФН №42412 стал самолетом-носителем опытного ракетного самолета "5" конструкции М.Р.Бисновата. Ракетный самолет "5" предназначался для исследований аэродинамики, характеристик устойчивости и управляемости на полетных скоростях, приближающихся к скорости звука. Достижение максимальной скорости этого экспериментального аппарата, оснащенного жидкостным ракетным двигателем, осуществлялось на высотах порядка 7000- 7500 метров. Так как работа ракетного двигателя была кратковременной, для достижения рабочей высоты самолета "5" было решено использовать специальный самолет- носитель.</w:t>
      </w:r>
    </w:p>
    <w:p w14:paraId="54CAFC8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На Пе-8 №42412 под правым крылом, между фюзеляжем и внутренним двигателем оборудовали специальный пилон, под которым подвешивался самолет "5". В период 1948-1949 гг. два экспериментальных аппарата ("5-1" и "5-2") произвели около десятка воздушных отцепок. Все эти полеты для ракетного самолета велись в варианте планера, фактов использования ЖРД не отмечено.</w:t>
      </w:r>
    </w:p>
    <w:p w14:paraId="0A475E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Однако, наиболее долго и впечатляюще в послевоенный период отметились Пе-8 в полярной авиации. Попытки использовать этот мощный четырехмоторный самолет для полетов в Арктике предпринимались еще до войны - достаточно вспомнить попытки Михаила Водопьянова в 1940 г. заполучить первый опытный экземпляр АНТ-42. В 1945 г. в конструкторское бюро И.Ф.Незваля обратился полярный летчик И.И.Черевичный с просьбой переоборудовать для Управления Полярной Авиации (УПА) два наиболее надежных Пе-8. Командование АДД выделило два самолета с двигателями ALU-82, которые модернизировали на заводе №22. С машин сняли все вооружение, установили дополнительные топливные баки, оборудовали пассажирские кабины и транспортные отсеки. Указанная работа выполнялась с учетом создания самолетов "особого назначения", однако понятно, что на этот раз к особым комфортным условиям при переоборудовании не стремились.</w:t>
      </w:r>
    </w:p>
    <w:p w14:paraId="6F05085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Самолеты получили обозначение СССР- Н395 и СССР-Н396, в 1946 г. они были приняты МАГОН УПА как экспедиционные машины. Практически сразу для проведения полноценных испытаний на них решили выполнить по два транспортных рейса. В одном из полетов у СССР-Н396 встали два двигателя, и летчик Титлов совершил вынужденную посадку (обошлось без повреждений).</w:t>
      </w:r>
    </w:p>
    <w:p w14:paraId="2F1D0B7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СССР-Н395 (зав. №42812) был разбит при взлете 7 июня 1947 г. на побережье Северного Ледовитого океана в районе мыса Косистый. Причиной аварии стала ошибка бортового механика, который на взлете перекрыл краны подачи горючего и все четыре мотора разом встали. Вину за эту тяжелую аварию взял на себя командир корабля Че- ревичный. Не пытаясь развивать далее тему этой аварии, автор считает нужным указать, что в практической деятельности знаменитого летчика Ивана Ивановича Черевичного было несколько подобных эпизодов, когда он защищал членов своих экипажей.</w:t>
      </w:r>
    </w:p>
    <w:p w14:paraId="084E317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Более двадцати лет СССР-Н395 продолжал лежать на месте своего последнего приземления. В 1979 г., когда в СССР началось увлечение подъемом и восстановлением исторической авиатехники, о разбитом самолете вспомнили. Фрагменты его отыскали, и на транспортном Ил-76 доставили в авиационный музей в Монино. Впрочем, до восстановления самолета дело не дошло.</w:t>
      </w:r>
    </w:p>
    <w:p w14:paraId="3ACD976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СССР-Н396 (зав. №42511) в 1947 г. включили в состав высокоширотной экспедиции "Север-2". В авиационную группировку этой экспедиции также вошли 6 Ли-2, 4 Ил-12 и 5 С-47, принадлежащие ВВС и Дальней авиации. Основной задачей являлся поиск ледовых аэродромов для базирования авиации в случае военного столкновения между СССР и США. В ходе работы "Север-2" было организовано 4 ледовых аэродрома в разных районах Арктики. Два аэродрома действовали ниже 80-й широты, аэродром №3 находился на 86? 30? с.ш, аэродром №4 - в районе полюса. Известно, что арктические аэродромы оказались капризными взлетными площадками - еще в ходе экспедиции многие льдины разломало, поэтому пришлось провести срочную эвакуацию техники и персонала.</w:t>
      </w:r>
    </w:p>
    <w:p w14:paraId="7C35073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последующем для нужд УПА переоборудовали еще три Пе-8 - СССР-Н419, СССР-Н550, СССР-Н552.</w:t>
      </w:r>
    </w:p>
    <w:p w14:paraId="1963359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Весной 1948 г. СССР-Н419 под управлением летчика В.Н.Задкова вошел в воздушную эскадру, которой руководил И.П.Мазу- рук. Кроме Пе-8 там имелось шесть Ли-2 и четыре Ил-12. Целью экспедиции называлось исследование района Арктики, известного как "область полюса относительной недоступности". Через год, в мае 1949 г. СССР- H4I9 командира корабля В.Н. Задкова в ходе эвакуации экспедиции "Север-4" осуществил беспосадочный перелет Северный по- л юс-Москва.</w:t>
      </w:r>
    </w:p>
    <w:p w14:paraId="0E0C46C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Пе-8 СССР-Н550 (зав. №42612) в 1950 г. входил в состав Московской авиагруппы особого назначения. В том году при совершении посадки на острове Диксон самолет получил поломку (первый пилот Б.Н.Агров, второй пилот С.С.Додонов).</w:t>
      </w:r>
    </w:p>
    <w:p w14:paraId="08037D5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весны 1950 г. в Полярной авиации начинает эксплуатироваться Пе-8 СССР-Н562 (зав. №42311) с двигателями AI1I-73 со снятыми ТК. Пе-8 СССР-Н562 стал известен тем, что в 1952 г. перевез под своим фюзеляжем вертолет Ми-1 к месту его базирования в районе полярных зимовок. Прибегать к таким ухищрениям пришлось по той причине, что ресурс несущего винта вертолета не превышал поначалу 200 часов, и добираться своим ходом было просто неразумно. Пе-8 СССР-Н562 эксплуатировался наиболее долго среди однотипных с ним машин. Самолет участвовал в высокоширотной воздушной экспедиции в 1954 г.</w:t>
      </w:r>
    </w:p>
    <w:p w14:paraId="08EB0AB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Впоследствии, упоминания о летающих экземплярах Пе-8 прекращаются. К сожалению, на настоящий момент не осталось ни одного такого самолета. Если отсчитывать историю Пе-8 с начала его проектирования в 1934 г., окажется, что вся она продолжалась ровно двадцать лет, а в эксплуатации, если считать с момента поступления в войска, самолет находился 14 лет (12025).</w:t>
      </w:r>
    </w:p>
    <w:p w14:paraId="3C066E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Выпуск Пе-8 (ТБ-7)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0F5689" w:rsidRPr="00925F26" w14:paraId="45591E36" w14:textId="77777777">
        <w:tc>
          <w:tcPr>
            <w:tcW w:w="1121" w:type="dxa"/>
            <w:tcBorders>
              <w:top w:val="single" w:sz="12" w:space="0" w:color="auto"/>
            </w:tcBorders>
          </w:tcPr>
          <w:p w14:paraId="5DC695D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Год</w:t>
            </w:r>
          </w:p>
        </w:tc>
        <w:tc>
          <w:tcPr>
            <w:tcW w:w="1121" w:type="dxa"/>
            <w:tcBorders>
              <w:top w:val="single" w:sz="12" w:space="0" w:color="auto"/>
            </w:tcBorders>
          </w:tcPr>
          <w:p w14:paraId="267083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1936</w:t>
            </w:r>
          </w:p>
        </w:tc>
        <w:tc>
          <w:tcPr>
            <w:tcW w:w="1121" w:type="dxa"/>
            <w:tcBorders>
              <w:top w:val="single" w:sz="12" w:space="0" w:color="auto"/>
            </w:tcBorders>
          </w:tcPr>
          <w:p w14:paraId="45641B4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1937</w:t>
            </w:r>
          </w:p>
        </w:tc>
        <w:tc>
          <w:tcPr>
            <w:tcW w:w="1121" w:type="dxa"/>
            <w:tcBorders>
              <w:top w:val="single" w:sz="12" w:space="0" w:color="auto"/>
            </w:tcBorders>
          </w:tcPr>
          <w:p w14:paraId="2C7832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1938</w:t>
            </w:r>
          </w:p>
        </w:tc>
        <w:tc>
          <w:tcPr>
            <w:tcW w:w="1121" w:type="dxa"/>
            <w:tcBorders>
              <w:top w:val="single" w:sz="12" w:space="0" w:color="auto"/>
            </w:tcBorders>
          </w:tcPr>
          <w:p w14:paraId="1A2E082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1939</w:t>
            </w:r>
          </w:p>
        </w:tc>
        <w:tc>
          <w:tcPr>
            <w:tcW w:w="1121" w:type="dxa"/>
            <w:tcBorders>
              <w:top w:val="single" w:sz="12" w:space="0" w:color="auto"/>
            </w:tcBorders>
          </w:tcPr>
          <w:p w14:paraId="72FB1CF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1940</w:t>
            </w:r>
          </w:p>
        </w:tc>
        <w:tc>
          <w:tcPr>
            <w:tcW w:w="1121" w:type="dxa"/>
            <w:tcBorders>
              <w:top w:val="single" w:sz="12" w:space="0" w:color="auto"/>
            </w:tcBorders>
          </w:tcPr>
          <w:p w14:paraId="2692883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1941</w:t>
            </w:r>
          </w:p>
        </w:tc>
        <w:tc>
          <w:tcPr>
            <w:tcW w:w="1121" w:type="dxa"/>
            <w:tcBorders>
              <w:top w:val="single" w:sz="12" w:space="0" w:color="auto"/>
            </w:tcBorders>
          </w:tcPr>
          <w:p w14:paraId="5E81970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1942</w:t>
            </w:r>
          </w:p>
        </w:tc>
        <w:tc>
          <w:tcPr>
            <w:tcW w:w="1121" w:type="dxa"/>
            <w:tcBorders>
              <w:top w:val="single" w:sz="12" w:space="0" w:color="auto"/>
            </w:tcBorders>
          </w:tcPr>
          <w:p w14:paraId="2C8ACB1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1943</w:t>
            </w:r>
          </w:p>
        </w:tc>
        <w:tc>
          <w:tcPr>
            <w:tcW w:w="1121" w:type="dxa"/>
            <w:tcBorders>
              <w:top w:val="single" w:sz="12" w:space="0" w:color="auto"/>
            </w:tcBorders>
          </w:tcPr>
          <w:p w14:paraId="639E27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1944</w:t>
            </w:r>
          </w:p>
        </w:tc>
      </w:tr>
      <w:tr w:rsidR="000F5689" w:rsidRPr="00925F26" w14:paraId="31F799DF" w14:textId="77777777">
        <w:tc>
          <w:tcPr>
            <w:tcW w:w="1121" w:type="dxa"/>
            <w:tcBorders>
              <w:bottom w:val="single" w:sz="12" w:space="0" w:color="auto"/>
            </w:tcBorders>
          </w:tcPr>
          <w:p w14:paraId="06E8C8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Выпущено: </w:t>
            </w:r>
          </w:p>
        </w:tc>
        <w:tc>
          <w:tcPr>
            <w:tcW w:w="1121" w:type="dxa"/>
            <w:tcBorders>
              <w:bottom w:val="single" w:sz="12" w:space="0" w:color="auto"/>
            </w:tcBorders>
          </w:tcPr>
          <w:p w14:paraId="2B4E4FD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121" w:type="dxa"/>
            <w:tcBorders>
              <w:bottom w:val="single" w:sz="12" w:space="0" w:color="auto"/>
            </w:tcBorders>
          </w:tcPr>
          <w:p w14:paraId="7658E34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21" w:type="dxa"/>
            <w:tcBorders>
              <w:bottom w:val="single" w:sz="12" w:space="0" w:color="auto"/>
            </w:tcBorders>
          </w:tcPr>
          <w:p w14:paraId="4B134F1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w:t>
            </w:r>
          </w:p>
        </w:tc>
        <w:tc>
          <w:tcPr>
            <w:tcW w:w="1121" w:type="dxa"/>
            <w:tcBorders>
              <w:bottom w:val="single" w:sz="12" w:space="0" w:color="auto"/>
            </w:tcBorders>
          </w:tcPr>
          <w:p w14:paraId="3ECEFA5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0</w:t>
            </w:r>
          </w:p>
        </w:tc>
        <w:tc>
          <w:tcPr>
            <w:tcW w:w="1121" w:type="dxa"/>
            <w:tcBorders>
              <w:bottom w:val="single" w:sz="12" w:space="0" w:color="auto"/>
            </w:tcBorders>
          </w:tcPr>
          <w:p w14:paraId="2567415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w:t>
            </w:r>
          </w:p>
        </w:tc>
        <w:tc>
          <w:tcPr>
            <w:tcW w:w="1121" w:type="dxa"/>
            <w:tcBorders>
              <w:bottom w:val="single" w:sz="12" w:space="0" w:color="auto"/>
            </w:tcBorders>
          </w:tcPr>
          <w:p w14:paraId="054256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23</w:t>
            </w:r>
          </w:p>
        </w:tc>
        <w:tc>
          <w:tcPr>
            <w:tcW w:w="1121" w:type="dxa"/>
            <w:tcBorders>
              <w:bottom w:val="single" w:sz="12" w:space="0" w:color="auto"/>
            </w:tcBorders>
          </w:tcPr>
          <w:p w14:paraId="5D026F40"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22</w:t>
            </w:r>
          </w:p>
        </w:tc>
        <w:tc>
          <w:tcPr>
            <w:tcW w:w="1121" w:type="dxa"/>
            <w:tcBorders>
              <w:bottom w:val="single" w:sz="12" w:space="0" w:color="auto"/>
            </w:tcBorders>
          </w:tcPr>
          <w:p w14:paraId="4172C16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29</w:t>
            </w:r>
          </w:p>
        </w:tc>
        <w:tc>
          <w:tcPr>
            <w:tcW w:w="1121" w:type="dxa"/>
            <w:tcBorders>
              <w:bottom w:val="single" w:sz="12" w:space="0" w:color="auto"/>
            </w:tcBorders>
          </w:tcPr>
          <w:p w14:paraId="6A71FCA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5</w:t>
            </w:r>
          </w:p>
        </w:tc>
      </w:tr>
    </w:tbl>
    <w:p w14:paraId="02D6C0C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Вместе с двумя опытными машинами АНТ-42 произведенными авиазаводом №156, всего построено 93 самолета типа Пе-8 (ТБ-7).</w:t>
      </w:r>
    </w:p>
    <w:p w14:paraId="03AD5D32"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(12025).</w:t>
      </w:r>
    </w:p>
    <w:p w14:paraId="2CDCF9AB" w14:textId="77777777" w:rsidR="006103B3" w:rsidRPr="00925F26" w:rsidRDefault="006103B3" w:rsidP="00925F26">
      <w:pPr>
        <w:autoSpaceDE w:val="0"/>
        <w:autoSpaceDN w:val="0"/>
        <w:adjustRightInd w:val="0"/>
        <w:jc w:val="both"/>
        <w:rPr>
          <w:color w:val="000000" w:themeColor="text1"/>
          <w:sz w:val="16"/>
          <w:szCs w:val="16"/>
        </w:rPr>
      </w:pPr>
    </w:p>
    <w:p w14:paraId="3462EF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самолет Ер-2 (заводской № 7023901) с моторами АЧ-30БФ и винтами АВ-ЗЛВ- 116 диаметром 3,95 м проходил совместные контрольные испытания в НИИ ВВС, в ходе которых выявилась необходимость увеличения аэродинамической компенсации элеронов и рулей высоты с установкой флеттнеров. Эту машину оборудовали новым вертикальным оперением, системой радиоопознавания, командной радиостанцией, кислородными приборами с измененной схемой питания, коническим стопором хвостового колеса и фильтрами в электрической цепи, устранявшими помехи при работе радиооборудования. После доработок испытания продолжились, завершились они 13 октября (11994).</w:t>
      </w:r>
    </w:p>
    <w:p w14:paraId="529B2762" w14:textId="77777777" w:rsidR="006103B3" w:rsidRPr="00925F26" w:rsidRDefault="006103B3" w:rsidP="00925F26">
      <w:pPr>
        <w:autoSpaceDE w:val="0"/>
        <w:autoSpaceDN w:val="0"/>
        <w:adjustRightInd w:val="0"/>
        <w:jc w:val="both"/>
        <w:rPr>
          <w:color w:val="000000" w:themeColor="text1"/>
          <w:sz w:val="16"/>
          <w:szCs w:val="16"/>
        </w:rPr>
      </w:pPr>
    </w:p>
    <w:p w14:paraId="2542B95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года в 8-й гвардейской авиадивизии должны были начаться войсковые испытания Ер-2, однако эти планы пришлось откорректировать. 12 июля нарком А.И. Шахурин писал командующему 18-й воздушной армией (так с 6 декабря 1944 г. стала именоваться АДД) А.А. Новикову: "Учитывая заявление главных конструкторов Чаромского и Сухого о возможности быстрого улучшения материальной части генерал-майора Тихонова, а также в связи с недостатком запасных частей мотора... и необходимостью подготовки группы самолетов к параду, прошу отложить войсковые испытания... Ер-2 на срок до особой договоренности".</w:t>
      </w:r>
    </w:p>
    <w:p w14:paraId="0BCD6C4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Несмотря на это, Ер-2 передали на войсковые испытания, проходившие на аэродроме Белая Церковь (Украина). Они завершились 23 августа с неудовлетворительной оценкой из-за большого количества дефектов, в том числе у дизелей.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62C02E5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01BFC40A" w14:textId="77777777" w:rsidR="006103B3" w:rsidRPr="00925F26" w:rsidRDefault="006103B3" w:rsidP="00925F26">
      <w:pPr>
        <w:autoSpaceDE w:val="0"/>
        <w:autoSpaceDN w:val="0"/>
        <w:adjustRightInd w:val="0"/>
        <w:jc w:val="both"/>
        <w:rPr>
          <w:color w:val="000000" w:themeColor="text1"/>
          <w:sz w:val="16"/>
          <w:szCs w:val="16"/>
        </w:rPr>
      </w:pPr>
    </w:p>
    <w:p w14:paraId="34D058B9" w14:textId="77777777" w:rsidR="001F396D" w:rsidRPr="00925F26" w:rsidRDefault="001F396D" w:rsidP="00925F26">
      <w:pPr>
        <w:pStyle w:val="ae"/>
        <w:spacing w:before="0" w:after="0"/>
        <w:jc w:val="both"/>
        <w:rPr>
          <w:color w:val="000000" w:themeColor="text1"/>
          <w:sz w:val="16"/>
          <w:szCs w:val="16"/>
        </w:rPr>
      </w:pPr>
      <w:r w:rsidRPr="00925F26">
        <w:rPr>
          <w:color w:val="000000" w:themeColor="text1"/>
          <w:sz w:val="16"/>
          <w:szCs w:val="16"/>
        </w:rPr>
        <w:t xml:space="preserve">С лета 1945 г. в ОКБ В.М. Мясищева проектировался скоростной Дневной бомбардировщик. Проект был выпол нен по тем временам отлично. Даже с сегодняшних высот опыта и знаний имеет смысл отметить, что силовая установка, завязанная, на первый взгляд, не совсем правильно, является вполне целесообразной. Она получилась такой вы нужденно, поскольку первые образцы ТРД, с которыми наши самолетостроители столкнулись в конце войны, не отличались особой компактностью и завидной удельной тягой, с чем при шлось, как на безрыбье, примириться. И в этой ситуации надо отдать должное В.М. Мясищеву, который утвердил схему си ловой установки, составленной из двух вертикальных спарок двигателей Jumo-004. Под высокорасположенным крылом (вполне естественным для бомбардировщика) были обеспече ны только два монтажных места для подвески четырех ТРД. </w:t>
      </w:r>
      <w:r w:rsidRPr="00925F26">
        <w:rPr>
          <w:color w:val="000000" w:themeColor="text1"/>
          <w:sz w:val="16"/>
          <w:szCs w:val="16"/>
          <w:shd w:val="clear" w:color="auto" w:fill="FFFFFF"/>
        </w:rPr>
        <w:t>Такой прием свидетельствовал об убежденности В.М. Мяси щева в том, что через каких-нибудь год-два появятся более совершенные турбореактивные двигатели, способные обеспе чить самолету достаточную тяговооруженность при вдвое мень шем их количестве.</w:t>
      </w:r>
      <w:r w:rsidRPr="00925F26">
        <w:rPr>
          <w:color w:val="000000" w:themeColor="text1"/>
          <w:sz w:val="16"/>
          <w:szCs w:val="16"/>
        </w:rPr>
        <w:t xml:space="preserve"> На начальной стадии созда ния первого советского реактивного бомбардировщика ДСБ- (ИДД-17, РБ-17 и ВМ-24) ОКБ-482 было ликвидировано (19586).</w:t>
      </w:r>
    </w:p>
    <w:p w14:paraId="37E887AD" w14:textId="77777777" w:rsidR="001F396D" w:rsidRPr="00925F26" w:rsidRDefault="001F396D" w:rsidP="00925F26">
      <w:pPr>
        <w:jc w:val="both"/>
        <w:rPr>
          <w:color w:val="000000" w:themeColor="text1"/>
          <w:sz w:val="16"/>
          <w:szCs w:val="16"/>
        </w:rPr>
      </w:pPr>
    </w:p>
    <w:p w14:paraId="6EA9D9D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Летом 1945 г. распоряжением НКАП выпуск малой серии опытных "150" поручили заводу № 381, который заканчивал производство поршневых истребителей Ла-7. Несмотря на быстрый выпуск документации, самолет "150" оказался в худшем положении по сравнению с Як-ЮМО и И-300. Яковлев и Микоян строили опытные </w:t>
      </w:r>
      <w:r w:rsidRPr="00925F26">
        <w:rPr>
          <w:color w:val="000000" w:themeColor="text1"/>
          <w:sz w:val="16"/>
          <w:szCs w:val="16"/>
        </w:rPr>
        <w:lastRenderedPageBreak/>
        <w:t>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05177084" w14:textId="77777777" w:rsidR="006103B3" w:rsidRPr="00925F26" w:rsidRDefault="006103B3" w:rsidP="00925F26">
      <w:pPr>
        <w:autoSpaceDE w:val="0"/>
        <w:autoSpaceDN w:val="0"/>
        <w:adjustRightInd w:val="0"/>
        <w:jc w:val="both"/>
        <w:rPr>
          <w:color w:val="000000" w:themeColor="text1"/>
          <w:sz w:val="16"/>
          <w:szCs w:val="16"/>
        </w:rPr>
      </w:pPr>
    </w:p>
    <w:p w14:paraId="5D9BD3FD" w14:textId="77777777" w:rsidR="007B1D64" w:rsidRPr="00925F26" w:rsidRDefault="007B1D64" w:rsidP="00925F26">
      <w:pPr>
        <w:jc w:val="both"/>
        <w:rPr>
          <w:color w:val="000000" w:themeColor="text1"/>
          <w:sz w:val="16"/>
          <w:szCs w:val="16"/>
        </w:rPr>
      </w:pPr>
      <w:r w:rsidRPr="00925F26">
        <w:rPr>
          <w:color w:val="000000" w:themeColor="text1"/>
          <w:sz w:val="16"/>
          <w:szCs w:val="16"/>
        </w:rPr>
        <w:t>Летом 1945 года на 381</w:t>
      </w:r>
      <w:r w:rsidRPr="00925F26">
        <w:rPr>
          <w:color w:val="000000" w:themeColor="text1"/>
          <w:sz w:val="16"/>
          <w:szCs w:val="16"/>
        </w:rPr>
        <w:noBreakHyphen/>
        <w:t>й завод передали заказ на изготовление малой серии (из десяти самолетов) созданного в КБ А. И. Микояна истребителя И</w:t>
      </w:r>
      <w:r w:rsidRPr="00925F26">
        <w:rPr>
          <w:color w:val="000000" w:themeColor="text1"/>
          <w:sz w:val="16"/>
          <w:szCs w:val="16"/>
        </w:rPr>
        <w:noBreakHyphen/>
        <w:t>250 с комбинированной двигательной установкой. Здесь же должно было начаться изготовление опытных образцов Ла</w:t>
      </w:r>
      <w:r w:rsidRPr="00925F26">
        <w:rPr>
          <w:color w:val="000000" w:themeColor="text1"/>
          <w:sz w:val="16"/>
          <w:szCs w:val="16"/>
        </w:rPr>
        <w:noBreakHyphen/>
        <w:t>150, выпустить первый из которых намечалось на 1 ноября 1945 года. Дальнейшими планами на заводе предусматривалось начать с июня 1946 года серийный выпуск немецкого реактивного истребителя «Мессершмитт</w:t>
      </w:r>
      <w:r w:rsidRPr="00925F26">
        <w:rPr>
          <w:color w:val="000000" w:themeColor="text1"/>
          <w:sz w:val="16"/>
          <w:szCs w:val="16"/>
        </w:rPr>
        <w:noBreakHyphen/>
        <w:t>262».</w:t>
      </w:r>
    </w:p>
    <w:p w14:paraId="3E2070BE" w14:textId="77777777" w:rsidR="007B1D64" w:rsidRPr="00925F26" w:rsidRDefault="007B1D64" w:rsidP="00925F26">
      <w:pPr>
        <w:jc w:val="both"/>
        <w:rPr>
          <w:color w:val="000000" w:themeColor="text1"/>
          <w:sz w:val="16"/>
          <w:szCs w:val="16"/>
        </w:rPr>
      </w:pPr>
      <w:r w:rsidRPr="00925F26">
        <w:rPr>
          <w:color w:val="000000" w:themeColor="text1"/>
          <w:sz w:val="16"/>
          <w:szCs w:val="16"/>
        </w:rPr>
        <w:t>Однако все сроки по выпуску здесь реактивных самолетов оказались сорванными, а планы нереализованными. 381</w:t>
      </w:r>
      <w:r w:rsidRPr="00925F26">
        <w:rPr>
          <w:color w:val="000000" w:themeColor="text1"/>
          <w:sz w:val="16"/>
          <w:szCs w:val="16"/>
        </w:rPr>
        <w:noBreakHyphen/>
        <w:t>й завод, создававшийся в годы войны как предприятие, технологически настроенное на выпуск деревянных самолетов (</w:t>
      </w:r>
      <w:proofErr w:type="gramStart"/>
      <w:r w:rsidRPr="00925F26">
        <w:rPr>
          <w:color w:val="000000" w:themeColor="text1"/>
          <w:sz w:val="16"/>
          <w:szCs w:val="16"/>
        </w:rPr>
        <w:t>каковыми собственно</w:t>
      </w:r>
      <w:proofErr w:type="gramEnd"/>
      <w:r w:rsidRPr="00925F26">
        <w:rPr>
          <w:color w:val="000000" w:themeColor="text1"/>
          <w:sz w:val="16"/>
          <w:szCs w:val="16"/>
        </w:rPr>
        <w:t xml:space="preserve"> и являлись Ла</w:t>
      </w:r>
      <w:r w:rsidRPr="00925F26">
        <w:rPr>
          <w:color w:val="000000" w:themeColor="text1"/>
          <w:sz w:val="16"/>
          <w:szCs w:val="16"/>
        </w:rPr>
        <w:noBreakHyphen/>
        <w:t>5 и Ла</w:t>
      </w:r>
      <w:r w:rsidRPr="00925F26">
        <w:rPr>
          <w:color w:val="000000" w:themeColor="text1"/>
          <w:sz w:val="16"/>
          <w:szCs w:val="16"/>
        </w:rPr>
        <w:noBreakHyphen/>
        <w:t>7), в 1945 году не имел никакого оборудования для производства реактивных цельнометаллических самолетов. Надежды руководства авиапромышленности в основном были связаны с прибытием на 381</w:t>
      </w:r>
      <w:r w:rsidRPr="00925F26">
        <w:rPr>
          <w:color w:val="000000" w:themeColor="text1"/>
          <w:sz w:val="16"/>
          <w:szCs w:val="16"/>
        </w:rPr>
        <w:noBreakHyphen/>
        <w:t>й завод металлообрабатывающего оборудования и станков из Германии. С этой целью демонтировалось и отправлялось в Москву оборудование авиазаводов Хейнкеля, находившихся в Ростоке (24213).</w:t>
      </w:r>
    </w:p>
    <w:p w14:paraId="7D920F13" w14:textId="77777777" w:rsidR="007B1D64" w:rsidRPr="00925F26" w:rsidRDefault="007B1D64" w:rsidP="00925F26">
      <w:pPr>
        <w:jc w:val="both"/>
        <w:rPr>
          <w:color w:val="000000" w:themeColor="text1"/>
          <w:sz w:val="16"/>
          <w:szCs w:val="16"/>
        </w:rPr>
      </w:pPr>
    </w:p>
    <w:p w14:paraId="6F443637"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был готов Б5 И.В.Четверикова и удовлетворительно прошел заводские испытания, но на гос. испытания не передавался (4,295).</w:t>
      </w:r>
    </w:p>
    <w:p w14:paraId="26E0DA03" w14:textId="77777777" w:rsidR="006103B3" w:rsidRPr="00925F26" w:rsidRDefault="006103B3" w:rsidP="00925F26">
      <w:pPr>
        <w:autoSpaceDE w:val="0"/>
        <w:autoSpaceDN w:val="0"/>
        <w:adjustRightInd w:val="0"/>
        <w:jc w:val="both"/>
        <w:rPr>
          <w:color w:val="000000" w:themeColor="text1"/>
          <w:sz w:val="16"/>
          <w:szCs w:val="16"/>
        </w:rPr>
      </w:pPr>
    </w:p>
    <w:p w14:paraId="1B186CA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было совещание у И.В.С., на котором тот спросил А.И.Шахурина, какие самолеты нужны сегодня - пассажирские, транспортные или бомбардировщики. А.И.Шахурин ответил, что в мире не спокойно и нужны бомбардировщики (1105,7).</w:t>
      </w:r>
    </w:p>
    <w:p w14:paraId="130CE1B1" w14:textId="77777777" w:rsidR="006103B3" w:rsidRPr="00925F26" w:rsidRDefault="006103B3" w:rsidP="00925F26">
      <w:pPr>
        <w:autoSpaceDE w:val="0"/>
        <w:autoSpaceDN w:val="0"/>
        <w:adjustRightInd w:val="0"/>
        <w:jc w:val="both"/>
        <w:rPr>
          <w:color w:val="000000" w:themeColor="text1"/>
          <w:sz w:val="16"/>
          <w:szCs w:val="16"/>
        </w:rPr>
      </w:pPr>
    </w:p>
    <w:p w14:paraId="703AFE6B" w14:textId="77777777" w:rsidR="00500674" w:rsidRPr="00925F26" w:rsidRDefault="00500674" w:rsidP="00925F26">
      <w:pPr>
        <w:jc w:val="both"/>
        <w:rPr>
          <w:color w:val="000000" w:themeColor="text1"/>
          <w:sz w:val="16"/>
          <w:szCs w:val="16"/>
        </w:rPr>
      </w:pPr>
      <w:r w:rsidRPr="00925F26">
        <w:rPr>
          <w:color w:val="000000" w:themeColor="text1"/>
          <w:sz w:val="16"/>
          <w:szCs w:val="16"/>
        </w:rPr>
        <w:t>Летом 1945 г. производство Г-11 и Г-11 У прекра</w:t>
      </w:r>
      <w:r w:rsidRPr="00925F26">
        <w:rPr>
          <w:color w:val="000000" w:themeColor="text1"/>
          <w:sz w:val="16"/>
          <w:szCs w:val="16"/>
        </w:rPr>
        <w:softHyphen/>
        <w:t>тили, а в июне 1946 г. восстановили. Выпуск их продолжался до 1948 г. Всего, по оценке А.П. Кра- сильщикова, выпустили около 500 эк</w:t>
      </w:r>
      <w:r w:rsidRPr="00925F26">
        <w:rPr>
          <w:color w:val="000000" w:themeColor="text1"/>
          <w:sz w:val="16"/>
          <w:szCs w:val="16"/>
        </w:rPr>
        <w:softHyphen/>
        <w:t>земпляров (12266).</w:t>
      </w:r>
    </w:p>
    <w:p w14:paraId="223F34C7" w14:textId="77777777" w:rsidR="00500674" w:rsidRPr="00925F26" w:rsidRDefault="00500674" w:rsidP="00925F26">
      <w:pPr>
        <w:jc w:val="both"/>
        <w:rPr>
          <w:color w:val="000000" w:themeColor="text1"/>
          <w:sz w:val="16"/>
          <w:szCs w:val="16"/>
        </w:rPr>
      </w:pPr>
    </w:p>
    <w:p w14:paraId="0083CF7B" w14:textId="77777777" w:rsidR="007B1D64" w:rsidRPr="00925F26" w:rsidRDefault="007B1D64" w:rsidP="00925F26">
      <w:pPr>
        <w:jc w:val="both"/>
        <w:rPr>
          <w:color w:val="000000" w:themeColor="text1"/>
          <w:sz w:val="16"/>
          <w:szCs w:val="16"/>
        </w:rPr>
      </w:pPr>
      <w:r w:rsidRPr="00925F26">
        <w:rPr>
          <w:color w:val="000000" w:themeColor="text1"/>
          <w:sz w:val="16"/>
          <w:szCs w:val="16"/>
        </w:rPr>
        <w:t>С лета 1945 г. началась перегонка из США амфибий PBY-6A. Эту модификацию строил завод в Новом Орлеане. По обо</w:t>
      </w:r>
      <w:r w:rsidRPr="00925F26">
        <w:rPr>
          <w:color w:val="000000" w:themeColor="text1"/>
          <w:sz w:val="16"/>
          <w:szCs w:val="16"/>
        </w:rPr>
        <w:softHyphen/>
        <w:t>рудованию эта последняя модификация «Каталины» превосходила все предыду</w:t>
      </w:r>
      <w:r w:rsidRPr="00925F26">
        <w:rPr>
          <w:color w:val="000000" w:themeColor="text1"/>
          <w:sz w:val="16"/>
          <w:szCs w:val="16"/>
        </w:rPr>
        <w:softHyphen/>
        <w:t>щие. 15 самолетов перегнали с Кодьяка, а остальные 33 получили в Элизабет-сити. Поначалу непривычно было садиться на лодке на сухопутные аэродромы, да еще при трехколесном шасси, но с этим быст</w:t>
      </w:r>
      <w:r w:rsidRPr="00925F26">
        <w:rPr>
          <w:color w:val="000000" w:themeColor="text1"/>
          <w:sz w:val="16"/>
          <w:szCs w:val="16"/>
        </w:rPr>
        <w:softHyphen/>
        <w:t>ро освоились. В отношении же поведения в воздухе PBY-6A мало отличался от «чис</w:t>
      </w:r>
      <w:r w:rsidRPr="00925F26">
        <w:rPr>
          <w:color w:val="000000" w:themeColor="text1"/>
          <w:sz w:val="16"/>
          <w:szCs w:val="16"/>
        </w:rPr>
        <w:softHyphen/>
        <w:t>тых» лодок, разве что за счет большего веса чуть инертнее реагировал на рули. В боевых операциях на западе амфибии не успели принять участия, но немного пово</w:t>
      </w:r>
      <w:r w:rsidRPr="00925F26">
        <w:rPr>
          <w:color w:val="000000" w:themeColor="text1"/>
          <w:sz w:val="16"/>
          <w:szCs w:val="16"/>
        </w:rPr>
        <w:softHyphen/>
        <w:t>евали на востоке</w:t>
      </w:r>
    </w:p>
    <w:p w14:paraId="5BBB5A67" w14:textId="77777777" w:rsidR="007B1D64" w:rsidRPr="00925F26" w:rsidRDefault="007B1D64" w:rsidP="00925F26">
      <w:pPr>
        <w:jc w:val="both"/>
        <w:rPr>
          <w:color w:val="000000" w:themeColor="text1"/>
          <w:sz w:val="16"/>
          <w:szCs w:val="16"/>
        </w:rPr>
      </w:pPr>
      <w:r w:rsidRPr="00925F26">
        <w:rPr>
          <w:color w:val="000000" w:themeColor="text1"/>
          <w:sz w:val="16"/>
          <w:szCs w:val="16"/>
        </w:rPr>
        <w:t>12 мая 1945 Рузвельт заявил, что в рамках ленд-лиза необходимо далее оказывать только ту помощь, которая понадобится для боевых действий на Дальнем Востоке. До 12 мая в СССР отправили 2983 самоле</w:t>
      </w:r>
      <w:r w:rsidRPr="00925F26">
        <w:rPr>
          <w:color w:val="000000" w:themeColor="text1"/>
          <w:sz w:val="16"/>
          <w:szCs w:val="16"/>
        </w:rPr>
        <w:softHyphen/>
        <w:t>та, включая 178 — от имени англичан (23513).</w:t>
      </w:r>
    </w:p>
    <w:p w14:paraId="3D880E84" w14:textId="77777777" w:rsidR="007B1D64" w:rsidRPr="00925F26" w:rsidRDefault="007B1D64" w:rsidP="00925F26">
      <w:pPr>
        <w:jc w:val="both"/>
        <w:rPr>
          <w:color w:val="000000" w:themeColor="text1"/>
          <w:sz w:val="16"/>
          <w:szCs w:val="16"/>
        </w:rPr>
      </w:pPr>
    </w:p>
    <w:p w14:paraId="6DD86AF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Летом 1945 года моторы АМ-39ФН (ФНВ) испытывались на бомбардиров</w:t>
      </w:r>
      <w:r w:rsidRPr="00925F26">
        <w:rPr>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925F26">
        <w:rPr>
          <w:color w:val="000000" w:themeColor="text1"/>
          <w:sz w:val="16"/>
          <w:szCs w:val="16"/>
        </w:rPr>
        <w:softHyphen/>
        <w:t>сматривалось проектом самолета СПС (11852).</w:t>
      </w:r>
    </w:p>
    <w:p w14:paraId="228C7A2C"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237A7F4" w14:textId="77777777" w:rsidR="002A5DBF" w:rsidRPr="00925F26" w:rsidRDefault="002A5DBF" w:rsidP="00925F26">
      <w:pPr>
        <w:jc w:val="both"/>
        <w:rPr>
          <w:color w:val="000000" w:themeColor="text1"/>
          <w:sz w:val="16"/>
          <w:szCs w:val="16"/>
        </w:rPr>
      </w:pPr>
      <w:r w:rsidRPr="00925F26">
        <w:rPr>
          <w:color w:val="000000" w:themeColor="text1"/>
          <w:sz w:val="16"/>
          <w:szCs w:val="16"/>
        </w:rPr>
        <w:t>Летом 1945 г. старший военпред завода №19 инженер-майор И.К. Четверика об</w:t>
      </w:r>
      <w:r w:rsidRPr="00925F26">
        <w:rPr>
          <w:color w:val="000000" w:themeColor="text1"/>
          <w:sz w:val="16"/>
          <w:szCs w:val="16"/>
        </w:rPr>
        <w:softHyphen/>
        <w:t>стоятельно изложил то, что происходило тогда на заводе № 19 на самом деле.</w:t>
      </w:r>
    </w:p>
    <w:p w14:paraId="2C32F76F" w14:textId="77777777" w:rsidR="002A5DBF" w:rsidRPr="00925F26" w:rsidRDefault="002A5DBF" w:rsidP="00925F26">
      <w:pPr>
        <w:jc w:val="both"/>
        <w:rPr>
          <w:color w:val="000000" w:themeColor="text1"/>
          <w:sz w:val="16"/>
          <w:szCs w:val="16"/>
        </w:rPr>
      </w:pPr>
      <w:r w:rsidRPr="00925F26">
        <w:rPr>
          <w:color w:val="000000" w:themeColor="text1"/>
          <w:sz w:val="16"/>
          <w:szCs w:val="16"/>
        </w:rPr>
        <w:t>«В основу проведения работ по борьбе с преждевременным износом и уступчатой вы</w:t>
      </w:r>
      <w:r w:rsidRPr="00925F26">
        <w:rPr>
          <w:color w:val="000000" w:themeColor="text1"/>
          <w:sz w:val="16"/>
          <w:szCs w:val="16"/>
        </w:rPr>
        <w:softHyphen/>
        <w:t>работки цилиндров моторов АШ-82ФН в 1945 году, за исключением нескольких предло</w:t>
      </w:r>
      <w:r w:rsidRPr="00925F26">
        <w:rPr>
          <w:color w:val="000000" w:themeColor="text1"/>
          <w:sz w:val="16"/>
          <w:szCs w:val="16"/>
        </w:rPr>
        <w:softHyphen/>
        <w:t>жений возникших в последнее время, были вновь положены предположения о причинах образования дефекта, уже неоднократно подвергавшиеся проверке в прошлые годы на различных типах выпускаемых заводом моторах.</w:t>
      </w:r>
    </w:p>
    <w:p w14:paraId="3A4B3538" w14:textId="77777777" w:rsidR="002A5DBF" w:rsidRPr="00925F26" w:rsidRDefault="002A5DBF" w:rsidP="00925F26">
      <w:pPr>
        <w:jc w:val="both"/>
        <w:rPr>
          <w:color w:val="000000" w:themeColor="text1"/>
          <w:sz w:val="16"/>
          <w:szCs w:val="16"/>
        </w:rPr>
      </w:pPr>
      <w:r w:rsidRPr="00925F26">
        <w:rPr>
          <w:color w:val="000000" w:themeColor="text1"/>
          <w:sz w:val="16"/>
          <w:szCs w:val="16"/>
        </w:rPr>
        <w:t>Кратко эти предложения сводятся к следующему:</w:t>
      </w:r>
    </w:p>
    <w:p w14:paraId="7245724B" w14:textId="77777777" w:rsidR="002A5DBF" w:rsidRPr="00925F26" w:rsidRDefault="002A5DBF" w:rsidP="00925F26">
      <w:pPr>
        <w:tabs>
          <w:tab w:val="left" w:pos="498"/>
        </w:tabs>
        <w:jc w:val="both"/>
        <w:rPr>
          <w:color w:val="000000" w:themeColor="text1"/>
          <w:sz w:val="16"/>
          <w:szCs w:val="16"/>
        </w:rPr>
      </w:pPr>
      <w:r w:rsidRPr="00925F26">
        <w:rPr>
          <w:color w:val="000000" w:themeColor="text1"/>
          <w:sz w:val="16"/>
          <w:szCs w:val="16"/>
        </w:rPr>
        <w:t>1. Неравномерная глубина и твердость азотированного слоя по длине рабочей по</w:t>
      </w:r>
      <w:r w:rsidRPr="00925F26">
        <w:rPr>
          <w:color w:val="000000" w:themeColor="text1"/>
          <w:sz w:val="16"/>
          <w:szCs w:val="16"/>
        </w:rPr>
        <w:softHyphen/>
        <w:t>верхности гильзы.</w:t>
      </w:r>
    </w:p>
    <w:p w14:paraId="6D3E95FD" w14:textId="77777777" w:rsidR="002A5DBF" w:rsidRPr="00925F26" w:rsidRDefault="002A5DBF" w:rsidP="00925F26">
      <w:pPr>
        <w:tabs>
          <w:tab w:val="left" w:pos="320"/>
        </w:tabs>
        <w:jc w:val="both"/>
        <w:rPr>
          <w:color w:val="000000" w:themeColor="text1"/>
          <w:sz w:val="16"/>
          <w:szCs w:val="16"/>
        </w:rPr>
      </w:pPr>
      <w:r w:rsidRPr="00925F26">
        <w:rPr>
          <w:color w:val="000000" w:themeColor="text1"/>
          <w:sz w:val="16"/>
          <w:szCs w:val="16"/>
        </w:rPr>
        <w:t>2. Распор силами газов верхнего поршневого кольца в такте расширения.</w:t>
      </w:r>
    </w:p>
    <w:p w14:paraId="150CF6BC" w14:textId="77777777" w:rsidR="002A5DBF" w:rsidRPr="00925F26" w:rsidRDefault="002A5DBF" w:rsidP="00925F26">
      <w:pPr>
        <w:tabs>
          <w:tab w:val="left" w:pos="483"/>
        </w:tabs>
        <w:jc w:val="both"/>
        <w:rPr>
          <w:color w:val="000000" w:themeColor="text1"/>
          <w:sz w:val="16"/>
          <w:szCs w:val="16"/>
        </w:rPr>
      </w:pPr>
      <w:r w:rsidRPr="00925F26">
        <w:rPr>
          <w:color w:val="000000" w:themeColor="text1"/>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сгоранию и коксованию в них масла и, следовательно, к быстрому износу цилиндров.</w:t>
      </w:r>
    </w:p>
    <w:p w14:paraId="2D624C76" w14:textId="77777777" w:rsidR="002A5DBF" w:rsidRPr="00925F26" w:rsidRDefault="002A5DBF" w:rsidP="00925F26">
      <w:pPr>
        <w:tabs>
          <w:tab w:val="left" w:pos="517"/>
        </w:tabs>
        <w:jc w:val="both"/>
        <w:rPr>
          <w:color w:val="000000" w:themeColor="text1"/>
          <w:sz w:val="16"/>
          <w:szCs w:val="16"/>
        </w:rPr>
      </w:pPr>
      <w:r w:rsidRPr="00925F26">
        <w:rPr>
          <w:color w:val="000000" w:themeColor="text1"/>
          <w:sz w:val="16"/>
          <w:szCs w:val="16"/>
        </w:rPr>
        <w:t>4. Высокая степень чистоты рабочей поверхности цилиндра, недостаточно хорошо удерживающая масло, особенно в верхней части цилиндра, в начальный период работы...</w:t>
      </w:r>
    </w:p>
    <w:p w14:paraId="2F1C0D41" w14:textId="77777777" w:rsidR="002A5DBF" w:rsidRPr="00925F26" w:rsidRDefault="002A5DBF" w:rsidP="00925F26">
      <w:pPr>
        <w:tabs>
          <w:tab w:val="left" w:pos="474"/>
        </w:tabs>
        <w:jc w:val="both"/>
        <w:rPr>
          <w:color w:val="000000" w:themeColor="text1"/>
          <w:sz w:val="16"/>
          <w:szCs w:val="16"/>
        </w:rPr>
      </w:pPr>
      <w:r w:rsidRPr="00925F26">
        <w:rPr>
          <w:color w:val="000000" w:themeColor="text1"/>
          <w:sz w:val="16"/>
          <w:szCs w:val="16"/>
        </w:rPr>
        <w:t>5. Отступления от технологии испытания моторов, заключающиеся в игнорировании за</w:t>
      </w:r>
      <w:r w:rsidRPr="00925F26">
        <w:rPr>
          <w:color w:val="000000" w:themeColor="text1"/>
          <w:sz w:val="16"/>
          <w:szCs w:val="16"/>
        </w:rPr>
        <w:softHyphen/>
        <w:t>ливки масла в цилиндры перед началом испытания, прокачки масломагистрали... горя</w:t>
      </w:r>
      <w:r w:rsidRPr="00925F26">
        <w:rPr>
          <w:color w:val="000000" w:themeColor="text1"/>
          <w:sz w:val="16"/>
          <w:szCs w:val="16"/>
        </w:rPr>
        <w:softHyphen/>
        <w:t>чим маслом перед запуском и недостаточном прогреве моторов во время приработки.</w:t>
      </w:r>
    </w:p>
    <w:p w14:paraId="62354DE7" w14:textId="77777777" w:rsidR="002A5DBF" w:rsidRPr="00925F26" w:rsidRDefault="002A5DBF" w:rsidP="00925F26">
      <w:pPr>
        <w:tabs>
          <w:tab w:val="left" w:pos="320"/>
        </w:tabs>
        <w:jc w:val="both"/>
        <w:rPr>
          <w:color w:val="000000" w:themeColor="text1"/>
          <w:sz w:val="16"/>
          <w:szCs w:val="16"/>
        </w:rPr>
      </w:pPr>
      <w:r w:rsidRPr="00925F26">
        <w:rPr>
          <w:color w:val="000000" w:themeColor="text1"/>
          <w:sz w:val="16"/>
          <w:szCs w:val="16"/>
        </w:rPr>
        <w:t>6. Короткая (по времени) приработка моторов перед контрольным испытанием.</w:t>
      </w:r>
    </w:p>
    <w:p w14:paraId="31FA8836" w14:textId="77777777" w:rsidR="002A5DBF" w:rsidRPr="00925F26" w:rsidRDefault="002A5DBF" w:rsidP="00925F26">
      <w:pPr>
        <w:tabs>
          <w:tab w:val="left" w:pos="478"/>
        </w:tabs>
        <w:jc w:val="both"/>
        <w:rPr>
          <w:color w:val="000000" w:themeColor="text1"/>
          <w:sz w:val="16"/>
          <w:szCs w:val="16"/>
        </w:rPr>
      </w:pPr>
      <w:r w:rsidRPr="00925F26">
        <w:rPr>
          <w:color w:val="000000" w:themeColor="text1"/>
          <w:sz w:val="16"/>
          <w:szCs w:val="16"/>
        </w:rPr>
        <w:t>7. Плохая работа топливной аппаратуры, могущая проявляться в некачественном рас</w:t>
      </w:r>
      <w:r w:rsidRPr="00925F26">
        <w:rPr>
          <w:color w:val="000000" w:themeColor="text1"/>
          <w:sz w:val="16"/>
          <w:szCs w:val="16"/>
        </w:rPr>
        <w:softHyphen/>
        <w:t>пыле топлива форсунками и неравномерной подаче топлива по цилиндрам насосом не</w:t>
      </w:r>
      <w:r w:rsidRPr="00925F26">
        <w:rPr>
          <w:color w:val="000000" w:themeColor="text1"/>
          <w:sz w:val="16"/>
          <w:szCs w:val="16"/>
        </w:rPr>
        <w:softHyphen/>
        <w:t>посредственного впрыска.</w:t>
      </w:r>
    </w:p>
    <w:p w14:paraId="73484BAB" w14:textId="77777777" w:rsidR="002A5DBF" w:rsidRPr="00925F26" w:rsidRDefault="002A5DBF" w:rsidP="00925F26">
      <w:pPr>
        <w:tabs>
          <w:tab w:val="left" w:pos="507"/>
        </w:tabs>
        <w:jc w:val="both"/>
        <w:rPr>
          <w:color w:val="000000" w:themeColor="text1"/>
          <w:sz w:val="16"/>
          <w:szCs w:val="16"/>
        </w:rPr>
      </w:pPr>
      <w:r w:rsidRPr="00925F26">
        <w:rPr>
          <w:color w:val="000000" w:themeColor="text1"/>
          <w:sz w:val="16"/>
          <w:szCs w:val="16"/>
        </w:rPr>
        <w:t>8. Неравномерное распределение воздуха воздушными дефлекторами, устанавли</w:t>
      </w:r>
      <w:r w:rsidRPr="00925F26">
        <w:rPr>
          <w:color w:val="000000" w:themeColor="text1"/>
          <w:sz w:val="16"/>
          <w:szCs w:val="16"/>
        </w:rPr>
        <w:softHyphen/>
        <w:t>ваемыми на цилиндры моторов, собираемых на контрольное испытание и ведущее к неравномерным тепловым деформациям цилиндров.</w:t>
      </w:r>
    </w:p>
    <w:p w14:paraId="378BC6F9" w14:textId="77777777" w:rsidR="002A5DBF" w:rsidRPr="00925F26" w:rsidRDefault="002A5DBF" w:rsidP="00925F26">
      <w:pPr>
        <w:tabs>
          <w:tab w:val="left" w:pos="464"/>
        </w:tabs>
        <w:jc w:val="both"/>
        <w:rPr>
          <w:color w:val="000000" w:themeColor="text1"/>
          <w:sz w:val="16"/>
          <w:szCs w:val="16"/>
        </w:rPr>
      </w:pPr>
      <w:r w:rsidRPr="00925F26">
        <w:rPr>
          <w:color w:val="000000" w:themeColor="text1"/>
          <w:sz w:val="16"/>
          <w:szCs w:val="16"/>
        </w:rPr>
        <w:t>9. Завышенные перекосы отверстий в главном шатуне под пальцы прицепных шатунов и фланца крепления цилиндров к зеркалу цилиндра, нарушающее движение поршня по рабочей поверхности цилиндра.</w:t>
      </w:r>
    </w:p>
    <w:p w14:paraId="085D0F02" w14:textId="77777777" w:rsidR="002A5DBF" w:rsidRPr="00925F26" w:rsidRDefault="002A5DBF" w:rsidP="00925F26">
      <w:pPr>
        <w:tabs>
          <w:tab w:val="left" w:pos="392"/>
        </w:tabs>
        <w:jc w:val="both"/>
        <w:rPr>
          <w:color w:val="000000" w:themeColor="text1"/>
          <w:sz w:val="16"/>
          <w:szCs w:val="16"/>
        </w:rPr>
      </w:pPr>
      <w:r w:rsidRPr="00925F26">
        <w:rPr>
          <w:color w:val="000000" w:themeColor="text1"/>
          <w:sz w:val="16"/>
          <w:szCs w:val="16"/>
        </w:rPr>
        <w:t>10. Осушающее действие маслосборных колец, расположенных в 4-й канавке поршня.</w:t>
      </w:r>
    </w:p>
    <w:p w14:paraId="75157D51" w14:textId="77777777" w:rsidR="002A5DBF" w:rsidRPr="00925F26" w:rsidRDefault="002A5DBF" w:rsidP="00925F26">
      <w:pPr>
        <w:tabs>
          <w:tab w:val="left" w:pos="411"/>
        </w:tabs>
        <w:jc w:val="both"/>
        <w:rPr>
          <w:color w:val="000000" w:themeColor="text1"/>
          <w:sz w:val="16"/>
          <w:szCs w:val="16"/>
        </w:rPr>
      </w:pPr>
      <w:r w:rsidRPr="00925F26">
        <w:rPr>
          <w:color w:val="000000" w:themeColor="text1"/>
          <w:sz w:val="16"/>
          <w:szCs w:val="16"/>
        </w:rPr>
        <w:t>11. Повышенное содержание в масле бензина.</w:t>
      </w:r>
    </w:p>
    <w:p w14:paraId="5475721A" w14:textId="77777777" w:rsidR="002A5DBF" w:rsidRPr="00925F26" w:rsidRDefault="002A5DBF" w:rsidP="00925F26">
      <w:pPr>
        <w:tabs>
          <w:tab w:val="left" w:pos="411"/>
        </w:tabs>
        <w:jc w:val="both"/>
        <w:rPr>
          <w:color w:val="000000" w:themeColor="text1"/>
          <w:sz w:val="16"/>
          <w:szCs w:val="16"/>
        </w:rPr>
      </w:pPr>
      <w:r w:rsidRPr="00925F26">
        <w:rPr>
          <w:color w:val="000000" w:themeColor="text1"/>
          <w:sz w:val="16"/>
          <w:szCs w:val="16"/>
        </w:rPr>
        <w:t>12.</w:t>
      </w:r>
      <w:r w:rsidRPr="00925F26">
        <w:rPr>
          <w:rStyle w:val="aff9"/>
          <w:rFonts w:ascii="Times New Roman" w:cs="Times New Roman"/>
          <w:b w:val="0"/>
          <w:color w:val="000000" w:themeColor="text1"/>
          <w:spacing w:val="0"/>
          <w:sz w:val="16"/>
          <w:szCs w:val="16"/>
        </w:rPr>
        <w:t xml:space="preserve"> Возможность</w:t>
      </w:r>
      <w:r w:rsidRPr="00925F26">
        <w:rPr>
          <w:color w:val="000000" w:themeColor="text1"/>
          <w:sz w:val="16"/>
          <w:szCs w:val="16"/>
        </w:rPr>
        <w:t xml:space="preserve"> дымления цилиндров, если на них отсутствует уступчатая</w:t>
      </w:r>
      <w:r w:rsidRPr="00925F26">
        <w:rPr>
          <w:rStyle w:val="aff9"/>
          <w:rFonts w:ascii="Times New Roman" w:cs="Times New Roman"/>
          <w:b w:val="0"/>
          <w:color w:val="000000" w:themeColor="text1"/>
          <w:spacing w:val="0"/>
          <w:sz w:val="16"/>
          <w:szCs w:val="16"/>
        </w:rPr>
        <w:t xml:space="preserve"> выработка, </w:t>
      </w:r>
      <w:r w:rsidRPr="00925F26">
        <w:rPr>
          <w:color w:val="000000" w:themeColor="text1"/>
          <w:sz w:val="16"/>
          <w:szCs w:val="16"/>
        </w:rPr>
        <w:t>от неравномерной затяжки цилиндровых гаек.</w:t>
      </w:r>
    </w:p>
    <w:p w14:paraId="38A73C04" w14:textId="77777777" w:rsidR="002A5DBF" w:rsidRPr="00925F26" w:rsidRDefault="002A5DBF" w:rsidP="00925F26">
      <w:pPr>
        <w:tabs>
          <w:tab w:val="left" w:pos="543"/>
        </w:tabs>
        <w:jc w:val="both"/>
        <w:rPr>
          <w:color w:val="000000" w:themeColor="text1"/>
          <w:sz w:val="16"/>
          <w:szCs w:val="16"/>
        </w:rPr>
      </w:pPr>
      <w:r w:rsidRPr="00925F26">
        <w:rPr>
          <w:color w:val="000000" w:themeColor="text1"/>
          <w:sz w:val="16"/>
          <w:szCs w:val="16"/>
        </w:rPr>
        <w:t>13. Режущее действие 1-го поршневого кольца, имеющего острую рабочую кромку и работающего по сравнению с другими кольцами в наиболее трудных условиях.</w:t>
      </w:r>
    </w:p>
    <w:p w14:paraId="02B646DD" w14:textId="77777777" w:rsidR="002A5DBF" w:rsidRPr="00925F26" w:rsidRDefault="002A5DBF" w:rsidP="00925F26">
      <w:pPr>
        <w:tabs>
          <w:tab w:val="left" w:pos="510"/>
        </w:tabs>
        <w:jc w:val="both"/>
        <w:rPr>
          <w:color w:val="000000" w:themeColor="text1"/>
          <w:sz w:val="16"/>
          <w:szCs w:val="16"/>
        </w:rPr>
      </w:pPr>
      <w:r w:rsidRPr="00925F26">
        <w:rPr>
          <w:color w:val="000000" w:themeColor="text1"/>
          <w:sz w:val="16"/>
          <w:szCs w:val="16"/>
        </w:rPr>
        <w:t>14. а) Раструб, получающийся в верхней части гильзы в результате тепловой деформа</w:t>
      </w:r>
      <w:r w:rsidRPr="00925F26">
        <w:rPr>
          <w:color w:val="000000" w:themeColor="text1"/>
          <w:sz w:val="16"/>
          <w:szCs w:val="16"/>
        </w:rPr>
        <w:softHyphen/>
        <w:t>ции цилиндра и усугубляющий режущее действие 1-го газоуплотнительного кольца.</w:t>
      </w:r>
    </w:p>
    <w:p w14:paraId="25C944DC" w14:textId="77777777" w:rsidR="002A5DBF" w:rsidRPr="00925F26" w:rsidRDefault="002A5DBF" w:rsidP="00925F26">
      <w:pPr>
        <w:jc w:val="both"/>
        <w:rPr>
          <w:color w:val="000000" w:themeColor="text1"/>
          <w:sz w:val="16"/>
          <w:szCs w:val="16"/>
        </w:rPr>
      </w:pPr>
      <w:r w:rsidRPr="00925F26">
        <w:rPr>
          <w:color w:val="000000" w:themeColor="text1"/>
          <w:sz w:val="16"/>
          <w:szCs w:val="16"/>
        </w:rPr>
        <w:t>б) Отрывание 1-го газоуплотнительного кольца от профиля рабочей поверхности на кривизне, образующей тепловой раструб в верхней части гильзы цилиндра.</w:t>
      </w:r>
    </w:p>
    <w:p w14:paraId="356364B9" w14:textId="77777777" w:rsidR="002A5DBF" w:rsidRPr="00925F26" w:rsidRDefault="002A5DBF" w:rsidP="00925F26">
      <w:pPr>
        <w:jc w:val="both"/>
        <w:rPr>
          <w:color w:val="000000" w:themeColor="text1"/>
          <w:sz w:val="16"/>
          <w:szCs w:val="16"/>
        </w:rPr>
      </w:pPr>
      <w:r w:rsidRPr="00925F26">
        <w:rPr>
          <w:color w:val="000000" w:themeColor="text1"/>
          <w:sz w:val="16"/>
          <w:szCs w:val="16"/>
        </w:rPr>
        <w:t>ПРОВЕДЕННЫЕ ОПЫТНЫЕ РАБОТЫ &lt;...&gt;</w:t>
      </w:r>
      <w:r w:rsidRPr="00925F26">
        <w:rPr>
          <w:color w:val="000000" w:themeColor="text1"/>
          <w:sz w:val="16"/>
          <w:szCs w:val="16"/>
          <w:vertAlign w:val="superscript"/>
        </w:rPr>
        <w:t>5</w:t>
      </w:r>
    </w:p>
    <w:p w14:paraId="411BCB8C" w14:textId="77777777" w:rsidR="002A5DBF" w:rsidRPr="00925F26" w:rsidRDefault="002A5DBF" w:rsidP="00925F26">
      <w:pPr>
        <w:jc w:val="both"/>
        <w:rPr>
          <w:color w:val="000000" w:themeColor="text1"/>
          <w:sz w:val="16"/>
          <w:szCs w:val="16"/>
        </w:rPr>
      </w:pPr>
      <w:r w:rsidRPr="00925F26">
        <w:rPr>
          <w:color w:val="000000" w:themeColor="text1"/>
          <w:sz w:val="16"/>
          <w:szCs w:val="16"/>
        </w:rPr>
        <w:t>...Вопрос создания профиля рабочей поверхности цилиндра, который в нагретом (ра</w:t>
      </w:r>
      <w:r w:rsidRPr="00925F26">
        <w:rPr>
          <w:color w:val="000000" w:themeColor="text1"/>
          <w:sz w:val="16"/>
          <w:szCs w:val="16"/>
        </w:rPr>
        <w:softHyphen/>
        <w:t>бочем) состоянии максимально соответствовал бы цилиндрическому, начал занимать внимание конструкторов нашего завода ещё в 1939 г., но тогда все начатые в этом на</w:t>
      </w:r>
      <w:r w:rsidRPr="00925F26">
        <w:rPr>
          <w:color w:val="000000" w:themeColor="text1"/>
          <w:sz w:val="16"/>
          <w:szCs w:val="16"/>
        </w:rPr>
        <w:softHyphen/>
        <w:t>правлении работы вследствие быстрой смены серийных объектов остались незакончен</w:t>
      </w:r>
      <w:r w:rsidRPr="00925F26">
        <w:rPr>
          <w:color w:val="000000" w:themeColor="text1"/>
          <w:sz w:val="16"/>
          <w:szCs w:val="16"/>
        </w:rPr>
        <w:softHyphen/>
        <w:t>ными. И только с начала 1943 г., после внедрение в серию мощного мотора АШ-82ФН этот вопрос приобрел соответствующую остроту в связи с наблюдавшимися на этих мо</w:t>
      </w:r>
      <w:r w:rsidRPr="00925F26">
        <w:rPr>
          <w:color w:val="000000" w:themeColor="text1"/>
          <w:sz w:val="16"/>
          <w:szCs w:val="16"/>
        </w:rPr>
        <w:softHyphen/>
        <w:t>торах дефектами преждевременного износа и уступчатой выработки цилиндров.</w:t>
      </w:r>
    </w:p>
    <w:p w14:paraId="625C987E" w14:textId="77777777" w:rsidR="002A5DBF" w:rsidRPr="00925F26" w:rsidRDefault="002A5DBF" w:rsidP="00925F26">
      <w:pPr>
        <w:jc w:val="both"/>
        <w:rPr>
          <w:color w:val="000000" w:themeColor="text1"/>
          <w:sz w:val="16"/>
          <w:szCs w:val="16"/>
        </w:rPr>
      </w:pPr>
      <w:r w:rsidRPr="00925F26">
        <w:rPr>
          <w:color w:val="000000" w:themeColor="text1"/>
          <w:sz w:val="16"/>
          <w:szCs w:val="16"/>
        </w:rPr>
        <w:t>С 1943 г. после ряда проведённых кратковременных и длительных испытаний (в том числе 2-х испытаний по 150 часов) были отработаны для внедрения в серийное произ</w:t>
      </w:r>
      <w:r w:rsidRPr="00925F26">
        <w:rPr>
          <w:color w:val="000000" w:themeColor="text1"/>
          <w:sz w:val="16"/>
          <w:szCs w:val="16"/>
        </w:rPr>
        <w:softHyphen/>
        <w:t>водство цилиндры с параболическим профилем рабочей поверхности в верхней части, обеспечивающим с расстояния 80-100 мм от верхнего торца гильзы плавное сужение верхнего отверстия гильзы на 0,15-0,25 мм.</w:t>
      </w:r>
    </w:p>
    <w:p w14:paraId="1553036D" w14:textId="77777777" w:rsidR="002A5DBF" w:rsidRPr="00925F26" w:rsidRDefault="002A5DBF" w:rsidP="00925F26">
      <w:pPr>
        <w:jc w:val="both"/>
        <w:rPr>
          <w:color w:val="000000" w:themeColor="text1"/>
          <w:sz w:val="16"/>
          <w:szCs w:val="16"/>
        </w:rPr>
      </w:pPr>
      <w:r w:rsidRPr="00925F26">
        <w:rPr>
          <w:color w:val="000000" w:themeColor="text1"/>
          <w:sz w:val="16"/>
          <w:szCs w:val="16"/>
        </w:rPr>
        <w:t>Такой профиль рабочей поверхности приблизительно на половину уменьшал тепловой раструб в верхней части цилиндра... и, по мнению конструкторов, должен был значитель</w:t>
      </w:r>
      <w:r w:rsidRPr="00925F26">
        <w:rPr>
          <w:color w:val="000000" w:themeColor="text1"/>
          <w:sz w:val="16"/>
          <w:szCs w:val="16"/>
        </w:rPr>
        <w:softHyphen/>
        <w:t>но уменьшить возможность образования на рабочей поверхности цилиндров уступчатой выработки и удлинить срок службы цилиндров за счёт увеличивающейся в этом случае нормы износа до прежнего ремонтного размера.</w:t>
      </w:r>
    </w:p>
    <w:p w14:paraId="2CB7246C" w14:textId="77777777" w:rsidR="002A5DBF" w:rsidRPr="00925F26" w:rsidRDefault="002A5DBF" w:rsidP="00925F26">
      <w:pPr>
        <w:jc w:val="both"/>
        <w:rPr>
          <w:color w:val="000000" w:themeColor="text1"/>
          <w:sz w:val="16"/>
          <w:szCs w:val="16"/>
        </w:rPr>
      </w:pPr>
      <w:r w:rsidRPr="00925F26">
        <w:rPr>
          <w:color w:val="000000" w:themeColor="text1"/>
          <w:sz w:val="16"/>
          <w:szCs w:val="16"/>
        </w:rPr>
        <w:t>Внедрение в серийное производство цилиндров с параболическим профилем зеркала началось в феврале месяце 1945 г. сборкой и испытанием одного—двух моторов в сутки.</w:t>
      </w:r>
    </w:p>
    <w:p w14:paraId="08FD0314" w14:textId="77777777" w:rsidR="002A5DBF" w:rsidRPr="00925F26" w:rsidRDefault="002A5DBF" w:rsidP="00925F26">
      <w:pPr>
        <w:jc w:val="both"/>
        <w:rPr>
          <w:color w:val="000000" w:themeColor="text1"/>
          <w:sz w:val="16"/>
          <w:szCs w:val="16"/>
        </w:rPr>
      </w:pPr>
      <w:r w:rsidRPr="00925F26">
        <w:rPr>
          <w:color w:val="000000" w:themeColor="text1"/>
          <w:sz w:val="16"/>
          <w:szCs w:val="16"/>
        </w:rPr>
        <w:t>За этот период было собрано и испытано около 70 моторов, из которых по дымлению и уступчатой выработке цилиндров было снято только 6 моторов.</w:t>
      </w:r>
    </w:p>
    <w:p w14:paraId="6D6BC073" w14:textId="77777777" w:rsidR="002A5DBF" w:rsidRPr="00925F26" w:rsidRDefault="002A5DBF" w:rsidP="00925F26">
      <w:pPr>
        <w:jc w:val="both"/>
        <w:rPr>
          <w:color w:val="000000" w:themeColor="text1"/>
          <w:sz w:val="16"/>
          <w:szCs w:val="16"/>
        </w:rPr>
      </w:pPr>
      <w:r w:rsidRPr="00925F26">
        <w:rPr>
          <w:color w:val="000000" w:themeColor="text1"/>
          <w:sz w:val="16"/>
          <w:szCs w:val="16"/>
        </w:rPr>
        <w:t>Полный переход на такие цилиндры осуществили в конце апреля 1945 г. вследствие резкого возрастания, по причине указанных дефектов, съёма с контрольного испытания моторов АШ-82ФН. Но этим поставленной цели достигнуть не удалось, так как дефект не только не снизился, а наоборот продолжал расти и в период половины мая достиг ка</w:t>
      </w:r>
      <w:r w:rsidRPr="00925F26">
        <w:rPr>
          <w:color w:val="000000" w:themeColor="text1"/>
          <w:sz w:val="16"/>
          <w:szCs w:val="16"/>
        </w:rPr>
        <w:softHyphen/>
        <w:t>тастрофической величины, составившей 40% съёма моторов от числа поставленных на испытание.</w:t>
      </w:r>
    </w:p>
    <w:p w14:paraId="59C2DFBB" w14:textId="77777777" w:rsidR="002A5DBF" w:rsidRPr="00925F26" w:rsidRDefault="002A5DBF" w:rsidP="00925F26">
      <w:pPr>
        <w:jc w:val="both"/>
        <w:rPr>
          <w:color w:val="000000" w:themeColor="text1"/>
          <w:sz w:val="16"/>
          <w:szCs w:val="16"/>
        </w:rPr>
      </w:pPr>
      <w:r w:rsidRPr="00925F26">
        <w:rPr>
          <w:color w:val="000000" w:themeColor="text1"/>
          <w:sz w:val="16"/>
          <w:szCs w:val="16"/>
        </w:rPr>
        <w:t>В результате такого положения, сложившегося у некоторых ответственных работни</w:t>
      </w:r>
      <w:r w:rsidRPr="00925F26">
        <w:rPr>
          <w:color w:val="000000" w:themeColor="text1"/>
          <w:sz w:val="16"/>
          <w:szCs w:val="16"/>
        </w:rPr>
        <w:softHyphen/>
        <w:t>ков завода убеждения, что основной причиной такого интенсивного развития дефекта являются вновь введенные цилиндры с параболическим профилем зеркала, последние с 15-го мая, по указанию директора завода, с производства сняты и заменены цилин</w:t>
      </w:r>
      <w:r w:rsidRPr="00925F26">
        <w:rPr>
          <w:color w:val="000000" w:themeColor="text1"/>
          <w:sz w:val="16"/>
          <w:szCs w:val="16"/>
        </w:rPr>
        <w:softHyphen/>
        <w:t>драми прежней конструкции, т.е. с цилиндрическим профилем зеркала.</w:t>
      </w:r>
    </w:p>
    <w:p w14:paraId="240DEEC3" w14:textId="77777777" w:rsidR="002A5DBF" w:rsidRPr="00925F26" w:rsidRDefault="002A5DBF" w:rsidP="00925F26">
      <w:pPr>
        <w:jc w:val="both"/>
        <w:rPr>
          <w:color w:val="000000" w:themeColor="text1"/>
          <w:sz w:val="16"/>
          <w:szCs w:val="16"/>
        </w:rPr>
      </w:pPr>
      <w:r w:rsidRPr="00925F26">
        <w:rPr>
          <w:color w:val="000000" w:themeColor="text1"/>
          <w:sz w:val="16"/>
          <w:szCs w:val="16"/>
        </w:rPr>
        <w:lastRenderedPageBreak/>
        <w:t>Несколько позднее, анализом статистических данных установлено, что действительно, параболический профиль рабочей поверхности в верхней части цилиндра работу цилин</w:t>
      </w:r>
      <w:r w:rsidRPr="00925F26">
        <w:rPr>
          <w:color w:val="000000" w:themeColor="text1"/>
          <w:sz w:val="16"/>
          <w:szCs w:val="16"/>
        </w:rPr>
        <w:softHyphen/>
        <w:t>дровой группы нисколько не улучшает, ибо съём моторов по дымлению и отбраковка ци</w:t>
      </w:r>
      <w:r w:rsidRPr="00925F26">
        <w:rPr>
          <w:color w:val="000000" w:themeColor="text1"/>
          <w:sz w:val="16"/>
          <w:szCs w:val="16"/>
        </w:rPr>
        <w:softHyphen/>
        <w:t>линдров по уступчатой выработке для цилиндров с параболическим профилем зеркала и цилиндров с нормальным профилем зеркала составляет одну и ту же величину.</w:t>
      </w:r>
    </w:p>
    <w:p w14:paraId="458D82E9" w14:textId="77777777" w:rsidR="002A5DBF" w:rsidRPr="00925F26" w:rsidRDefault="002A5DBF" w:rsidP="00925F26">
      <w:pPr>
        <w:jc w:val="both"/>
        <w:rPr>
          <w:color w:val="000000" w:themeColor="text1"/>
          <w:sz w:val="16"/>
          <w:szCs w:val="16"/>
        </w:rPr>
      </w:pPr>
      <w:r w:rsidRPr="00925F26">
        <w:rPr>
          <w:color w:val="000000" w:themeColor="text1"/>
          <w:sz w:val="16"/>
          <w:szCs w:val="16"/>
        </w:rPr>
        <w:t>Но на этом работы с исследованием профиля рабочей поверхности не прекратились, а продолжали развиваться дальше в свете новой гипотезы о природе образования уступов, высказанной Главным Конструктором А.Д. Швецовым.</w:t>
      </w:r>
    </w:p>
    <w:p w14:paraId="60E3F6D7" w14:textId="77777777" w:rsidR="002A5DBF" w:rsidRPr="00925F26" w:rsidRDefault="002A5DBF" w:rsidP="00925F26">
      <w:pPr>
        <w:jc w:val="both"/>
        <w:rPr>
          <w:color w:val="000000" w:themeColor="text1"/>
          <w:sz w:val="16"/>
          <w:szCs w:val="16"/>
        </w:rPr>
      </w:pPr>
      <w:r w:rsidRPr="00925F26">
        <w:rPr>
          <w:color w:val="000000" w:themeColor="text1"/>
          <w:sz w:val="16"/>
          <w:szCs w:val="16"/>
        </w:rPr>
        <w:t>Сущность этой гипотезы заключается в предположении периодического отставания главным образом первого газоуплотнительного кольца поршня от профиля зеркала ци</w:t>
      </w:r>
      <w:r w:rsidRPr="00925F26">
        <w:rPr>
          <w:color w:val="000000" w:themeColor="text1"/>
          <w:sz w:val="16"/>
          <w:szCs w:val="16"/>
        </w:rPr>
        <w:softHyphen/>
        <w:t>линдра в начале раструба, образующегося в верхней части гильзы в результате её те</w:t>
      </w:r>
      <w:r w:rsidRPr="00925F26">
        <w:rPr>
          <w:color w:val="000000" w:themeColor="text1"/>
          <w:sz w:val="16"/>
          <w:szCs w:val="16"/>
        </w:rPr>
        <w:softHyphen/>
        <w:t>пловой деформации. Отрыв кольца происходит под действием большой скорости движения, максимальные значения которой (17-20 мт/сек), как подтвердили исследо</w:t>
      </w:r>
      <w:r w:rsidRPr="00925F26">
        <w:rPr>
          <w:color w:val="000000" w:themeColor="text1"/>
          <w:sz w:val="16"/>
          <w:szCs w:val="16"/>
        </w:rPr>
        <w:softHyphen/>
        <w:t>вания профиля зеркала цилиндра в нагретом состоянии, совпадают с моментом про</w:t>
      </w:r>
      <w:r w:rsidRPr="00925F26">
        <w:rPr>
          <w:color w:val="000000" w:themeColor="text1"/>
          <w:sz w:val="16"/>
          <w:szCs w:val="16"/>
        </w:rPr>
        <w:softHyphen/>
        <w:t>хождения кольцом кривизны, образующей раструб.</w:t>
      </w:r>
    </w:p>
    <w:p w14:paraId="248179E9" w14:textId="77777777" w:rsidR="002A5DBF" w:rsidRPr="00925F26" w:rsidRDefault="002A5DBF" w:rsidP="00925F26">
      <w:pPr>
        <w:jc w:val="both"/>
        <w:rPr>
          <w:color w:val="000000" w:themeColor="text1"/>
          <w:sz w:val="16"/>
          <w:szCs w:val="16"/>
        </w:rPr>
      </w:pPr>
      <w:r w:rsidRPr="00925F26">
        <w:rPr>
          <w:color w:val="000000" w:themeColor="text1"/>
          <w:sz w:val="16"/>
          <w:szCs w:val="16"/>
        </w:rPr>
        <w:t>Периодически отрываясь от профиля рабочей поверхности, кольцо под действием силы упругости разжимается и с ударом вновь соприкасается с зеркалом, производя в месте удара уступчатую выработку. Наиболее вероятным тактом рабочего процесса, в котором происходит отрыв кольца от зеркала цилиндра, следует предполагать такт вы</w:t>
      </w:r>
      <w:r w:rsidRPr="00925F26">
        <w:rPr>
          <w:color w:val="000000" w:themeColor="text1"/>
          <w:sz w:val="16"/>
          <w:szCs w:val="16"/>
        </w:rPr>
        <w:softHyphen/>
        <w:t>хлопа, так как в этом такте верхнее кольцо свободно от воздействия на него газовых усилий и в основном находится только под влиянием сил собственной упругости и си</w:t>
      </w:r>
      <w:r w:rsidRPr="00925F26">
        <w:rPr>
          <w:color w:val="000000" w:themeColor="text1"/>
          <w:sz w:val="16"/>
          <w:szCs w:val="16"/>
        </w:rPr>
        <w:softHyphen/>
        <w:t>лы инерции, развивающейся от давления. Естественно, что для исключения явления отставания кольца от профиля рабочей поверхности этот профиль в нагретом состоя</w:t>
      </w:r>
      <w:r w:rsidRPr="00925F26">
        <w:rPr>
          <w:color w:val="000000" w:themeColor="text1"/>
          <w:sz w:val="16"/>
          <w:szCs w:val="16"/>
        </w:rPr>
        <w:softHyphen/>
        <w:t>нии должен максимально приближаться к цилиндрическому.</w:t>
      </w:r>
    </w:p>
    <w:p w14:paraId="162EB763" w14:textId="77777777" w:rsidR="002A5DBF" w:rsidRPr="00925F26" w:rsidRDefault="002A5DBF" w:rsidP="00925F26">
      <w:pPr>
        <w:jc w:val="both"/>
        <w:rPr>
          <w:color w:val="000000" w:themeColor="text1"/>
          <w:sz w:val="16"/>
          <w:szCs w:val="16"/>
        </w:rPr>
      </w:pPr>
      <w:r w:rsidRPr="00925F26">
        <w:rPr>
          <w:color w:val="000000" w:themeColor="text1"/>
          <w:sz w:val="16"/>
          <w:szCs w:val="16"/>
        </w:rPr>
        <w:t>Рядом проведенных опытов удалось установить, что лучшим профилем рабочей по</w:t>
      </w:r>
      <w:r w:rsidRPr="00925F26">
        <w:rPr>
          <w:color w:val="000000" w:themeColor="text1"/>
          <w:sz w:val="16"/>
          <w:szCs w:val="16"/>
        </w:rPr>
        <w:softHyphen/>
        <w:t>верхности цилиндра, который в нагретом состоянии максимально приближается к ци</w:t>
      </w:r>
      <w:r w:rsidRPr="00925F26">
        <w:rPr>
          <w:color w:val="000000" w:themeColor="text1"/>
          <w:sz w:val="16"/>
          <w:szCs w:val="16"/>
        </w:rPr>
        <w:softHyphen/>
        <w:t>линдрическому, является профиль, соответствующий деформации верхнего конца окончательно обработанной по зеркалу гильзы после навёртывания на нее головки.</w:t>
      </w:r>
    </w:p>
    <w:p w14:paraId="193E1F58" w14:textId="77777777" w:rsidR="002A5DBF" w:rsidRPr="00925F26" w:rsidRDefault="002A5DBF" w:rsidP="00925F26">
      <w:pPr>
        <w:jc w:val="both"/>
        <w:rPr>
          <w:color w:val="000000" w:themeColor="text1"/>
          <w:sz w:val="16"/>
          <w:szCs w:val="16"/>
        </w:rPr>
      </w:pPr>
      <w:r w:rsidRPr="00925F26">
        <w:rPr>
          <w:color w:val="000000" w:themeColor="text1"/>
          <w:sz w:val="16"/>
          <w:szCs w:val="16"/>
        </w:rPr>
        <w:t>В этом случае уменьшение диаметра верхнего отверстия гильзы обеспечивается по про</w:t>
      </w:r>
      <w:r w:rsidRPr="00925F26">
        <w:rPr>
          <w:color w:val="000000" w:themeColor="text1"/>
          <w:sz w:val="16"/>
          <w:szCs w:val="16"/>
        </w:rPr>
        <w:softHyphen/>
        <w:t>извольной кривой на величину от 0,3 до 0,5 мм на длине 50-65 мм от верхнего торца...</w:t>
      </w:r>
    </w:p>
    <w:p w14:paraId="7F45264B" w14:textId="77777777" w:rsidR="002A5DBF" w:rsidRPr="00925F26" w:rsidRDefault="002A5DBF" w:rsidP="00925F26">
      <w:pPr>
        <w:jc w:val="both"/>
        <w:rPr>
          <w:color w:val="000000" w:themeColor="text1"/>
          <w:sz w:val="16"/>
          <w:szCs w:val="16"/>
        </w:rPr>
      </w:pPr>
      <w:r w:rsidRPr="00925F26">
        <w:rPr>
          <w:color w:val="000000" w:themeColor="text1"/>
          <w:sz w:val="16"/>
          <w:szCs w:val="16"/>
        </w:rPr>
        <w:t>Для проверки работы цилиндров с таким профилем было проведено:</w:t>
      </w:r>
    </w:p>
    <w:p w14:paraId="1ADAF559" w14:textId="77777777" w:rsidR="002A5DBF" w:rsidRPr="00925F26" w:rsidRDefault="002A5DBF" w:rsidP="00925F26">
      <w:pPr>
        <w:tabs>
          <w:tab w:val="left" w:pos="467"/>
        </w:tabs>
        <w:jc w:val="both"/>
        <w:rPr>
          <w:color w:val="000000" w:themeColor="text1"/>
          <w:sz w:val="16"/>
          <w:szCs w:val="16"/>
        </w:rPr>
      </w:pPr>
      <w:r w:rsidRPr="00925F26">
        <w:rPr>
          <w:color w:val="000000" w:themeColor="text1"/>
          <w:sz w:val="16"/>
          <w:szCs w:val="16"/>
        </w:rPr>
        <w:t>а) 50-ти часовое испытание на одноцилиндровой установке в паре с серийными поршневыми кольцами.</w:t>
      </w:r>
    </w:p>
    <w:p w14:paraId="5D031299"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износ за 50-ти часовое испытание не превышает износа, по</w:t>
      </w:r>
      <w:r w:rsidRPr="00925F26">
        <w:rPr>
          <w:color w:val="000000" w:themeColor="text1"/>
          <w:sz w:val="16"/>
          <w:szCs w:val="16"/>
        </w:rPr>
        <w:softHyphen/>
        <w:t>лучающегося за 10 часов на серийном цилиндре. Состояние поршневых колец хорошее.</w:t>
      </w:r>
    </w:p>
    <w:p w14:paraId="59ED6B6B" w14:textId="77777777" w:rsidR="002A5DBF" w:rsidRPr="00925F26" w:rsidRDefault="002A5DBF" w:rsidP="00925F26">
      <w:pPr>
        <w:tabs>
          <w:tab w:val="left" w:pos="472"/>
        </w:tabs>
        <w:jc w:val="both"/>
        <w:rPr>
          <w:color w:val="000000" w:themeColor="text1"/>
          <w:sz w:val="16"/>
          <w:szCs w:val="16"/>
        </w:rPr>
      </w:pPr>
      <w:r w:rsidRPr="00925F26">
        <w:rPr>
          <w:color w:val="000000" w:themeColor="text1"/>
          <w:sz w:val="16"/>
          <w:szCs w:val="16"/>
        </w:rPr>
        <w:t>б) 10-ти часовое моторное испытание с газоуплотнительными кольцами и в первой канавке поршней хромированными по образующей (образующая конусная). Результат испытания: износ цилиндров не превышает 0,04 мм. Состояние колец хорошее.</w:t>
      </w:r>
    </w:p>
    <w:p w14:paraId="043EE109" w14:textId="77777777" w:rsidR="002A5DBF" w:rsidRPr="00925F26" w:rsidRDefault="002A5DBF" w:rsidP="00925F26">
      <w:pPr>
        <w:tabs>
          <w:tab w:val="left" w:pos="434"/>
        </w:tabs>
        <w:jc w:val="both"/>
        <w:rPr>
          <w:color w:val="000000" w:themeColor="text1"/>
          <w:sz w:val="16"/>
          <w:szCs w:val="16"/>
        </w:rPr>
      </w:pPr>
      <w:r w:rsidRPr="00925F26">
        <w:rPr>
          <w:color w:val="000000" w:themeColor="text1"/>
          <w:sz w:val="16"/>
          <w:szCs w:val="16"/>
        </w:rPr>
        <w:t>в) Испытание малой серии АШ-82ФН в количестве 60 моторов с постановкой в первую канавку всех поршней газоуплотнительного кольца с цилиндрической образующей.</w:t>
      </w:r>
    </w:p>
    <w:p w14:paraId="7B4BBEBA"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после сдаточного испытания из числа опытных цилиндров, бы</w:t>
      </w:r>
      <w:r w:rsidRPr="00925F26">
        <w:rPr>
          <w:color w:val="000000" w:themeColor="text1"/>
          <w:sz w:val="16"/>
          <w:szCs w:val="16"/>
        </w:rPr>
        <w:softHyphen/>
        <w:t>ло обнаружено 6 цилиндров с уступчатой выработкой, расположенной на высоте 224 мм от нижнего торца гильзы, которая в отличие от выработки, получающейся на цилинд</w:t>
      </w:r>
      <w:r w:rsidRPr="00925F26">
        <w:rPr>
          <w:color w:val="000000" w:themeColor="text1"/>
          <w:sz w:val="16"/>
          <w:szCs w:val="16"/>
        </w:rPr>
        <w:softHyphen/>
        <w:t>рах с обычным профилем, имела обратный характер...</w:t>
      </w:r>
    </w:p>
    <w:p w14:paraId="23E0E912" w14:textId="77777777" w:rsidR="002A5DBF" w:rsidRPr="00925F26" w:rsidRDefault="002A5DBF" w:rsidP="00925F26">
      <w:pPr>
        <w:jc w:val="both"/>
        <w:rPr>
          <w:color w:val="000000" w:themeColor="text1"/>
          <w:sz w:val="16"/>
          <w:szCs w:val="16"/>
        </w:rPr>
      </w:pPr>
      <w:r w:rsidRPr="00925F26">
        <w:rPr>
          <w:color w:val="000000" w:themeColor="text1"/>
          <w:sz w:val="16"/>
          <w:szCs w:val="16"/>
        </w:rPr>
        <w:t>Тотчас произведенными исследованиями установили, что причиной такой выработки являлась работа в распор 2-х маслосборных колец, находящихся в 4-й канавке поршня.</w:t>
      </w:r>
    </w:p>
    <w:p w14:paraId="065A28FD" w14:textId="77777777" w:rsidR="002A5DBF" w:rsidRPr="00925F26" w:rsidRDefault="002A5DBF" w:rsidP="00925F26">
      <w:pPr>
        <w:jc w:val="both"/>
        <w:rPr>
          <w:color w:val="000000" w:themeColor="text1"/>
          <w:sz w:val="16"/>
          <w:szCs w:val="16"/>
        </w:rPr>
      </w:pPr>
      <w:r w:rsidRPr="00925F26">
        <w:rPr>
          <w:color w:val="000000" w:themeColor="text1"/>
          <w:sz w:val="16"/>
          <w:szCs w:val="16"/>
        </w:rPr>
        <w:t>После соответствующего увеличения зазора в стыке этих колец, указанная выработка больше не наблюдалась.</w:t>
      </w:r>
    </w:p>
    <w:p w14:paraId="4BE33665" w14:textId="77777777" w:rsidR="002A5DBF" w:rsidRPr="00925F26" w:rsidRDefault="002A5DBF" w:rsidP="00925F26">
      <w:pPr>
        <w:jc w:val="both"/>
        <w:rPr>
          <w:color w:val="000000" w:themeColor="text1"/>
          <w:sz w:val="16"/>
          <w:szCs w:val="16"/>
        </w:rPr>
      </w:pPr>
      <w:r w:rsidRPr="00925F26">
        <w:rPr>
          <w:color w:val="000000" w:themeColor="text1"/>
          <w:sz w:val="16"/>
          <w:szCs w:val="16"/>
        </w:rPr>
        <w:t>Во время прохождения моторами контрольного испытания, из их числа сняли по дым</w:t>
      </w:r>
      <w:r w:rsidRPr="00925F26">
        <w:rPr>
          <w:color w:val="000000" w:themeColor="text1"/>
          <w:sz w:val="16"/>
          <w:szCs w:val="16"/>
        </w:rPr>
        <w:softHyphen/>
        <w:t>лению цилиндров только 3 мотора (5%). При вскры</w:t>
      </w:r>
      <w:r w:rsidRPr="00925F26">
        <w:rPr>
          <w:color w:val="000000" w:themeColor="text1"/>
          <w:sz w:val="16"/>
          <w:szCs w:val="16"/>
        </w:rPr>
        <w:softHyphen/>
        <w:t>тии и осмотре восьми дымивших цилиндров обнаружено, что 7 цилиндров находились в удовлетвори</w:t>
      </w:r>
      <w:r w:rsidRPr="00925F26">
        <w:rPr>
          <w:color w:val="000000" w:themeColor="text1"/>
          <w:sz w:val="16"/>
          <w:szCs w:val="16"/>
        </w:rPr>
        <w:softHyphen/>
        <w:t>тельном состоянии и один цилиндр имел прямую уступчатую выработку, расположенную по середине гильзы цилиндра.</w:t>
      </w:r>
    </w:p>
    <w:p w14:paraId="66AA9B47" w14:textId="77777777" w:rsidR="002A5DBF" w:rsidRPr="00925F26" w:rsidRDefault="002A5DBF" w:rsidP="00925F26">
      <w:pPr>
        <w:tabs>
          <w:tab w:val="left" w:pos="399"/>
        </w:tabs>
        <w:jc w:val="both"/>
        <w:rPr>
          <w:color w:val="000000" w:themeColor="text1"/>
          <w:sz w:val="16"/>
          <w:szCs w:val="16"/>
        </w:rPr>
      </w:pPr>
      <w:r w:rsidRPr="00925F26">
        <w:rPr>
          <w:color w:val="000000" w:themeColor="text1"/>
          <w:sz w:val="16"/>
          <w:szCs w:val="16"/>
        </w:rPr>
        <w:t>г) Длительное 50-ти часовое испытание мотора АШ-82ФН № 82142192, взятого из числа малой серии.</w:t>
      </w:r>
    </w:p>
    <w:p w14:paraId="3A13E3C9" w14:textId="77777777" w:rsidR="002A5DBF" w:rsidRPr="00925F26" w:rsidRDefault="002A5DBF" w:rsidP="00925F26">
      <w:pPr>
        <w:jc w:val="both"/>
        <w:rPr>
          <w:color w:val="000000" w:themeColor="text1"/>
          <w:sz w:val="16"/>
          <w:szCs w:val="16"/>
        </w:rPr>
      </w:pPr>
      <w:r w:rsidRPr="00925F26">
        <w:rPr>
          <w:color w:val="000000" w:themeColor="text1"/>
          <w:sz w:val="16"/>
          <w:szCs w:val="16"/>
        </w:rPr>
        <w:t>Поршневые кольца в первой канавке с цилиндрической образующей.</w:t>
      </w:r>
    </w:p>
    <w:p w14:paraId="28166C90"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удовлетворительный. Все цилиндры после испытания находи</w:t>
      </w:r>
      <w:r w:rsidRPr="00925F26">
        <w:rPr>
          <w:color w:val="000000" w:themeColor="text1"/>
          <w:sz w:val="16"/>
          <w:szCs w:val="16"/>
        </w:rPr>
        <w:softHyphen/>
        <w:t>лись в хорошем состоянии, пригодном для дальнейшей работы. Максимальный износ в верхнем поясе у 5-ти цилиндров составлял от 0,12 до 0,17 мм.</w:t>
      </w:r>
    </w:p>
    <w:p w14:paraId="7F4FA248" w14:textId="77777777" w:rsidR="002A5DBF" w:rsidRPr="00925F26" w:rsidRDefault="002A5DBF" w:rsidP="00925F26">
      <w:pPr>
        <w:jc w:val="both"/>
        <w:rPr>
          <w:color w:val="000000" w:themeColor="text1"/>
          <w:sz w:val="16"/>
          <w:szCs w:val="16"/>
        </w:rPr>
      </w:pPr>
      <w:r w:rsidRPr="00925F26">
        <w:rPr>
          <w:color w:val="000000" w:themeColor="text1"/>
          <w:sz w:val="16"/>
          <w:szCs w:val="16"/>
        </w:rPr>
        <w:t>Состояние поршневых колец хорошее.</w:t>
      </w:r>
    </w:p>
    <w:p w14:paraId="2D11996C" w14:textId="77777777" w:rsidR="002A5DBF" w:rsidRPr="00925F26" w:rsidRDefault="002A5DBF" w:rsidP="00925F26">
      <w:pPr>
        <w:tabs>
          <w:tab w:val="left" w:pos="495"/>
        </w:tabs>
        <w:jc w:val="both"/>
        <w:rPr>
          <w:color w:val="000000" w:themeColor="text1"/>
          <w:sz w:val="16"/>
          <w:szCs w:val="16"/>
        </w:rPr>
      </w:pPr>
      <w:r w:rsidRPr="00925F26">
        <w:rPr>
          <w:color w:val="000000" w:themeColor="text1"/>
          <w:sz w:val="16"/>
          <w:szCs w:val="16"/>
        </w:rPr>
        <w:t>д) Длительное 150-ти часовое Государственное испытание мотора АШ-82ФН № 82143252, также взятого из числа малой серии. Поршневые кольца в первой канав</w:t>
      </w:r>
      <w:r w:rsidRPr="00925F26">
        <w:rPr>
          <w:color w:val="000000" w:themeColor="text1"/>
          <w:sz w:val="16"/>
          <w:szCs w:val="16"/>
        </w:rPr>
        <w:softHyphen/>
        <w:t>ке поршней с цилиндрической образующей.</w:t>
      </w:r>
    </w:p>
    <w:p w14:paraId="1737820E"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удовлетворительный. Все цилиндры после испытания находи</w:t>
      </w:r>
      <w:r w:rsidRPr="00925F26">
        <w:rPr>
          <w:color w:val="000000" w:themeColor="text1"/>
          <w:sz w:val="16"/>
          <w:szCs w:val="16"/>
        </w:rPr>
        <w:softHyphen/>
        <w:t>лись в хорошем состоянии, пригодном для дальнейшей работы.</w:t>
      </w:r>
    </w:p>
    <w:p w14:paraId="478500F1" w14:textId="77777777" w:rsidR="002A5DBF" w:rsidRPr="00925F26" w:rsidRDefault="002A5DBF" w:rsidP="00925F26">
      <w:pPr>
        <w:jc w:val="both"/>
        <w:rPr>
          <w:color w:val="000000" w:themeColor="text1"/>
          <w:sz w:val="16"/>
          <w:szCs w:val="16"/>
        </w:rPr>
      </w:pPr>
      <w:r w:rsidRPr="00925F26">
        <w:rPr>
          <w:color w:val="000000" w:themeColor="text1"/>
          <w:sz w:val="16"/>
          <w:szCs w:val="16"/>
        </w:rPr>
        <w:t>Максимальный износ на 4-х цилиндрах достигал от 0,14 до 0,18 мм.</w:t>
      </w:r>
    </w:p>
    <w:p w14:paraId="5481FDAF" w14:textId="77777777" w:rsidR="002A5DBF" w:rsidRPr="00925F26" w:rsidRDefault="002A5DBF" w:rsidP="00925F26">
      <w:pPr>
        <w:jc w:val="both"/>
        <w:rPr>
          <w:color w:val="000000" w:themeColor="text1"/>
          <w:sz w:val="16"/>
          <w:szCs w:val="16"/>
        </w:rPr>
      </w:pPr>
      <w:r w:rsidRPr="00925F26">
        <w:rPr>
          <w:color w:val="000000" w:themeColor="text1"/>
          <w:sz w:val="16"/>
          <w:szCs w:val="16"/>
        </w:rPr>
        <w:t>Состояние поршневых колец хорошее.</w:t>
      </w:r>
    </w:p>
    <w:p w14:paraId="19EDFE24" w14:textId="77777777" w:rsidR="002A5DBF" w:rsidRPr="00925F26" w:rsidRDefault="002A5DBF" w:rsidP="00925F26">
      <w:pPr>
        <w:jc w:val="both"/>
        <w:rPr>
          <w:color w:val="000000" w:themeColor="text1"/>
          <w:sz w:val="16"/>
          <w:szCs w:val="16"/>
        </w:rPr>
      </w:pPr>
      <w:r w:rsidRPr="00925F26">
        <w:rPr>
          <w:color w:val="000000" w:themeColor="text1"/>
          <w:sz w:val="16"/>
          <w:szCs w:val="16"/>
        </w:rPr>
        <w:t>На основании положительных результатов перечисленных выше испытаний, цилиндры с гильзами, окончательно обработанными до соединения с головкой, и постановка в пер</w:t>
      </w:r>
      <w:r w:rsidRPr="00925F26">
        <w:rPr>
          <w:color w:val="000000" w:themeColor="text1"/>
          <w:sz w:val="16"/>
          <w:szCs w:val="16"/>
        </w:rPr>
        <w:softHyphen/>
        <w:t>вую канавку поршней газоуплотнительного кольца с цилиндрической образующей, с 1-го августа 1945 г. введена в серию для постановки на моторы АШ-82ФН» (15829).</w:t>
      </w:r>
    </w:p>
    <w:p w14:paraId="5A3B5D34" w14:textId="77777777" w:rsidR="002A5DBF" w:rsidRPr="00925F26" w:rsidRDefault="002A5DBF" w:rsidP="00925F26">
      <w:pPr>
        <w:jc w:val="both"/>
        <w:rPr>
          <w:color w:val="000000" w:themeColor="text1"/>
          <w:sz w:val="16"/>
          <w:szCs w:val="16"/>
        </w:rPr>
      </w:pPr>
    </w:p>
    <w:p w14:paraId="3273819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было принято правительственное постановление об организации серийного производства немецкиз реактивных двигателей в Советском Союзе - первого под наименованием РД-10 на заводе № 26 в Уфе, а второго под наименованием РД-20 на заводе № 16 в Казани. В 1946-1949 гг. этими предприятиями было выпущено 1911 РД-10 и 2911 РД-20. Кроме того, еще 812 несколько усовершенствованных двигателей РД-10А построил в 1950-1952 гг. казанский завод № 466. Почти все "десятки" предназначались для яковлевских реактивных истребителей (11179).</w:t>
      </w:r>
    </w:p>
    <w:p w14:paraId="143F2E56" w14:textId="77777777" w:rsidR="006103B3" w:rsidRPr="00925F26" w:rsidRDefault="006103B3" w:rsidP="00925F26">
      <w:pPr>
        <w:autoSpaceDE w:val="0"/>
        <w:autoSpaceDN w:val="0"/>
        <w:adjustRightInd w:val="0"/>
        <w:jc w:val="both"/>
        <w:rPr>
          <w:color w:val="000000" w:themeColor="text1"/>
          <w:sz w:val="16"/>
          <w:szCs w:val="16"/>
        </w:rPr>
      </w:pPr>
    </w:p>
    <w:p w14:paraId="7C9B1624" w14:textId="77777777" w:rsidR="00D018BD" w:rsidRPr="001A0BAA" w:rsidRDefault="00D018BD" w:rsidP="00D018BD">
      <w:pPr>
        <w:jc w:val="both"/>
        <w:rPr>
          <w:color w:val="0070C0"/>
          <w:sz w:val="16"/>
          <w:szCs w:val="16"/>
        </w:rPr>
      </w:pPr>
      <w:r w:rsidRPr="001A0BAA">
        <w:rPr>
          <w:rStyle w:val="114"/>
          <w:rFonts w:ascii="Times New Roman" w:eastAsia="Trebuchet MS" w:hAnsi="Times New Roman"/>
          <w:color w:val="0070C0"/>
          <w:sz w:val="16"/>
          <w:szCs w:val="16"/>
        </w:rPr>
        <w:t xml:space="preserve">Летом 1945 года в НИИ ВВС испытали на стенде двигатель </w:t>
      </w:r>
      <w:r w:rsidRPr="001A0BAA">
        <w:rPr>
          <w:rStyle w:val="114"/>
          <w:rFonts w:ascii="Times New Roman" w:eastAsia="Trebuchet MS" w:hAnsi="Times New Roman"/>
          <w:color w:val="0070C0"/>
          <w:sz w:val="16"/>
          <w:szCs w:val="16"/>
          <w:lang w:val="en-US"/>
        </w:rPr>
        <w:t>BMW</w:t>
      </w:r>
      <w:r w:rsidRPr="001A0BAA">
        <w:rPr>
          <w:rStyle w:val="114"/>
          <w:rFonts w:ascii="Times New Roman" w:eastAsia="Trebuchet MS" w:hAnsi="Times New Roman"/>
          <w:color w:val="0070C0"/>
          <w:sz w:val="16"/>
          <w:szCs w:val="16"/>
        </w:rPr>
        <w:t>-003, что позволило определить его тя</w:t>
      </w:r>
      <w:r w:rsidRPr="001A0BAA">
        <w:rPr>
          <w:rStyle w:val="114"/>
          <w:rFonts w:ascii="Times New Roman" w:eastAsia="Trebuchet MS" w:hAnsi="Times New Roman"/>
          <w:color w:val="0070C0"/>
          <w:sz w:val="16"/>
          <w:szCs w:val="16"/>
        </w:rPr>
        <w:softHyphen/>
        <w:t>говые расходные характеристики (25113).</w:t>
      </w:r>
    </w:p>
    <w:p w14:paraId="64AD568A" w14:textId="77777777" w:rsidR="00D018BD" w:rsidRPr="001A0BAA" w:rsidRDefault="00D018BD" w:rsidP="00D018BD">
      <w:pPr>
        <w:jc w:val="both"/>
        <w:rPr>
          <w:color w:val="0070C0"/>
          <w:sz w:val="16"/>
          <w:szCs w:val="16"/>
        </w:rPr>
      </w:pPr>
    </w:p>
    <w:p w14:paraId="68DDE8E3" w14:textId="77777777" w:rsidR="00D018BD" w:rsidRPr="001A0BAA" w:rsidRDefault="00D018BD" w:rsidP="00D018BD">
      <w:pPr>
        <w:jc w:val="both"/>
        <w:rPr>
          <w:color w:val="0070C0"/>
          <w:sz w:val="16"/>
          <w:szCs w:val="16"/>
        </w:rPr>
      </w:pPr>
      <w:r w:rsidRPr="001A0BAA">
        <w:rPr>
          <w:color w:val="0070C0"/>
          <w:sz w:val="16"/>
          <w:szCs w:val="16"/>
        </w:rPr>
        <w:t>Летом 1945 г. для изучения достижений немецких специалистов в реак</w:t>
      </w:r>
      <w:r w:rsidRPr="001A0BAA">
        <w:rPr>
          <w:color w:val="0070C0"/>
          <w:sz w:val="16"/>
          <w:szCs w:val="16"/>
        </w:rPr>
        <w:softHyphen/>
        <w:t>тивной технике и использования их в России по решению пра</w:t>
      </w:r>
      <w:r w:rsidRPr="001A0BAA">
        <w:rPr>
          <w:color w:val="0070C0"/>
          <w:sz w:val="16"/>
          <w:szCs w:val="16"/>
        </w:rPr>
        <w:softHyphen/>
        <w:t>вительства при Особом комитете ГКО была со</w:t>
      </w:r>
      <w:r w:rsidRPr="001A0BAA">
        <w:rPr>
          <w:color w:val="0070C0"/>
          <w:sz w:val="16"/>
          <w:szCs w:val="16"/>
        </w:rPr>
        <w:softHyphen/>
        <w:t>здана межведомственная Комиссия по реактивной технике. В нее входили руководители наркоматов авиационной промыш</w:t>
      </w:r>
      <w:r w:rsidRPr="001A0BAA">
        <w:rPr>
          <w:color w:val="0070C0"/>
          <w:sz w:val="16"/>
          <w:szCs w:val="16"/>
        </w:rPr>
        <w:softHyphen/>
        <w:t>ленности, боеприпасов, электротехнической промышленности, вооружения, судостроения, химической промышленности. В со</w:t>
      </w:r>
      <w:r w:rsidRPr="001A0BAA">
        <w:rPr>
          <w:color w:val="0070C0"/>
          <w:sz w:val="16"/>
          <w:szCs w:val="16"/>
        </w:rPr>
        <w:softHyphen/>
        <w:t>ставе комиссии были: А.И. Шахурин (председатель), Б.Л. Ван</w:t>
      </w:r>
      <w:r w:rsidRPr="001A0BAA">
        <w:rPr>
          <w:color w:val="0070C0"/>
          <w:sz w:val="16"/>
          <w:szCs w:val="16"/>
        </w:rPr>
        <w:softHyphen/>
        <w:t>ников, Н.Н. Воронов, А.И. Берг, Д.Ф. Устинов, Н.Д. Яковлев, А.К. Репин, И.Г. Кабанов, М.Г. Первухин, Л.М. Гайдуков.</w:t>
      </w:r>
    </w:p>
    <w:p w14:paraId="243C36DD" w14:textId="77777777" w:rsidR="00D018BD" w:rsidRPr="001A0BAA" w:rsidRDefault="00D018BD" w:rsidP="00D018BD">
      <w:pPr>
        <w:jc w:val="both"/>
        <w:rPr>
          <w:color w:val="0070C0"/>
          <w:sz w:val="16"/>
          <w:szCs w:val="16"/>
        </w:rPr>
      </w:pPr>
      <w:r w:rsidRPr="001A0BAA">
        <w:rPr>
          <w:color w:val="0070C0"/>
          <w:sz w:val="16"/>
          <w:szCs w:val="16"/>
        </w:rPr>
        <w:t>По рекомендации Комиссии, ГКО выпустило постановле</w:t>
      </w:r>
      <w:r w:rsidRPr="001A0BAA">
        <w:rPr>
          <w:color w:val="0070C0"/>
          <w:sz w:val="16"/>
          <w:szCs w:val="16"/>
        </w:rPr>
        <w:softHyphen/>
        <w:t>ние «О мероприятиях по изучению и освоению немецкой ре</w:t>
      </w:r>
      <w:r w:rsidRPr="001A0BAA">
        <w:rPr>
          <w:color w:val="0070C0"/>
          <w:sz w:val="16"/>
          <w:szCs w:val="16"/>
        </w:rPr>
        <w:softHyphen/>
        <w:t>активной техники (1945)». В соответствии с этим постановле</w:t>
      </w:r>
      <w:r w:rsidRPr="001A0BAA">
        <w:rPr>
          <w:color w:val="0070C0"/>
          <w:sz w:val="16"/>
          <w:szCs w:val="16"/>
        </w:rPr>
        <w:softHyphen/>
        <w:t>нием были распределены работы по изучению и освоению не</w:t>
      </w:r>
      <w:r w:rsidRPr="001A0BAA">
        <w:rPr>
          <w:color w:val="0070C0"/>
          <w:sz w:val="16"/>
          <w:szCs w:val="16"/>
        </w:rPr>
        <w:softHyphen/>
        <w:t>мецкой реактивной техники:</w:t>
      </w:r>
    </w:p>
    <w:p w14:paraId="3511936E" w14:textId="77777777" w:rsidR="00D018BD" w:rsidRPr="001A0BAA" w:rsidRDefault="00D018BD" w:rsidP="00D018BD">
      <w:pPr>
        <w:jc w:val="both"/>
        <w:rPr>
          <w:color w:val="0070C0"/>
          <w:sz w:val="16"/>
          <w:szCs w:val="16"/>
        </w:rPr>
      </w:pPr>
      <w:r w:rsidRPr="001A0BAA">
        <w:rPr>
          <w:color w:val="0070C0"/>
          <w:sz w:val="16"/>
          <w:szCs w:val="16"/>
        </w:rPr>
        <w:t>- НИИ-1 НКАП должен был изучить и освоить немецкие ЖРД Вальтер, BMW и двигатели, служащие ускорителями для взлета самолетов, изучить топлива, применявшиеся в немец</w:t>
      </w:r>
      <w:r w:rsidRPr="001A0BAA">
        <w:rPr>
          <w:color w:val="0070C0"/>
          <w:sz w:val="16"/>
          <w:szCs w:val="16"/>
        </w:rPr>
        <w:softHyphen/>
        <w:t>ких ЖРД; изучить ракетный истребитель Ме-163 с ЖРД Валь</w:t>
      </w:r>
      <w:r w:rsidRPr="001A0BAA">
        <w:rPr>
          <w:color w:val="0070C0"/>
          <w:sz w:val="16"/>
          <w:szCs w:val="16"/>
        </w:rPr>
        <w:softHyphen/>
        <w:t>тера; изучить все научные труды и материалы немецких НИИ и ОКБ в области ЖРД и ракетных самолетов с ЖРД;</w:t>
      </w:r>
    </w:p>
    <w:p w14:paraId="7E519FF3" w14:textId="77777777" w:rsidR="00D018BD" w:rsidRPr="001A0BAA" w:rsidRDefault="00D018BD" w:rsidP="00D018BD">
      <w:pPr>
        <w:jc w:val="both"/>
        <w:rPr>
          <w:color w:val="0070C0"/>
          <w:sz w:val="16"/>
          <w:szCs w:val="16"/>
        </w:rPr>
      </w:pPr>
      <w:r w:rsidRPr="001A0BAA">
        <w:rPr>
          <w:color w:val="0070C0"/>
          <w:sz w:val="16"/>
          <w:szCs w:val="16"/>
        </w:rPr>
        <w:t>- ЦАГИ должен был изучить все научно-исследовательс</w:t>
      </w:r>
      <w:r w:rsidRPr="001A0BAA">
        <w:rPr>
          <w:color w:val="0070C0"/>
          <w:sz w:val="16"/>
          <w:szCs w:val="16"/>
        </w:rPr>
        <w:softHyphen/>
        <w:t>кие и экспериментальные материалы, полученные из немец</w:t>
      </w:r>
      <w:r w:rsidRPr="001A0BAA">
        <w:rPr>
          <w:color w:val="0070C0"/>
          <w:sz w:val="16"/>
          <w:szCs w:val="16"/>
        </w:rPr>
        <w:softHyphen/>
        <w:t>ких НИИ и КБ в области аэродинамики реактивных самоле</w:t>
      </w:r>
      <w:r w:rsidRPr="001A0BAA">
        <w:rPr>
          <w:color w:val="0070C0"/>
          <w:sz w:val="16"/>
          <w:szCs w:val="16"/>
        </w:rPr>
        <w:softHyphen/>
        <w:t>тов и реактивных двигателей;</w:t>
      </w:r>
    </w:p>
    <w:p w14:paraId="1C7227F0" w14:textId="77777777" w:rsidR="00D018BD" w:rsidRPr="001A0BAA" w:rsidRDefault="00D018BD" w:rsidP="00D018BD">
      <w:pPr>
        <w:jc w:val="both"/>
        <w:rPr>
          <w:color w:val="0070C0"/>
          <w:sz w:val="16"/>
          <w:szCs w:val="16"/>
        </w:rPr>
      </w:pPr>
      <w:r w:rsidRPr="001A0BAA">
        <w:rPr>
          <w:color w:val="0070C0"/>
          <w:sz w:val="16"/>
          <w:szCs w:val="16"/>
        </w:rPr>
        <w:t>- ЦИАМ должен был обеспечить изучение всех работ по ТРД Jumo-004, BMW-003 и Хейнкеля (HeS); изучить все на</w:t>
      </w:r>
      <w:r w:rsidRPr="001A0BAA">
        <w:rPr>
          <w:color w:val="0070C0"/>
          <w:sz w:val="16"/>
          <w:szCs w:val="16"/>
        </w:rPr>
        <w:softHyphen/>
        <w:t>учно-исследовательские труды и материалы по ТРД получен</w:t>
      </w:r>
      <w:r w:rsidRPr="001A0BAA">
        <w:rPr>
          <w:color w:val="0070C0"/>
          <w:sz w:val="16"/>
          <w:szCs w:val="16"/>
        </w:rPr>
        <w:softHyphen/>
        <w:t>ные из DVL и КБ Юнкерса, Хейнкеля и БМВ;</w:t>
      </w:r>
    </w:p>
    <w:p w14:paraId="6272E300" w14:textId="77777777" w:rsidR="00D018BD" w:rsidRPr="001A0BAA" w:rsidRDefault="00D018BD" w:rsidP="00D018BD">
      <w:pPr>
        <w:jc w:val="both"/>
        <w:rPr>
          <w:color w:val="0070C0"/>
          <w:sz w:val="16"/>
          <w:szCs w:val="16"/>
        </w:rPr>
      </w:pPr>
      <w:r w:rsidRPr="001A0BAA">
        <w:rPr>
          <w:color w:val="0070C0"/>
          <w:sz w:val="16"/>
          <w:szCs w:val="16"/>
        </w:rPr>
        <w:t>- ВИАМ должен был обеспечить изучение физико-хими</w:t>
      </w:r>
      <w:r w:rsidRPr="001A0BAA">
        <w:rPr>
          <w:color w:val="0070C0"/>
          <w:sz w:val="16"/>
          <w:szCs w:val="16"/>
        </w:rPr>
        <w:softHyphen/>
        <w:t>ческих свойств материалов, применявшихся в немецких ТРД и ЖРД, а также реактивных самолетов;</w:t>
      </w:r>
    </w:p>
    <w:p w14:paraId="6C7B5568" w14:textId="77777777" w:rsidR="00D018BD" w:rsidRPr="001A0BAA" w:rsidRDefault="00D018BD" w:rsidP="00D018BD">
      <w:pPr>
        <w:jc w:val="both"/>
        <w:rPr>
          <w:color w:val="0070C0"/>
          <w:sz w:val="16"/>
          <w:szCs w:val="16"/>
        </w:rPr>
      </w:pPr>
      <w:r w:rsidRPr="001A0BAA">
        <w:rPr>
          <w:color w:val="0070C0"/>
          <w:sz w:val="16"/>
          <w:szCs w:val="16"/>
        </w:rPr>
        <w:t>- ЛИИ должен был развернуть испытания в полете всех полученных образцов реактивных самолетов;</w:t>
      </w:r>
    </w:p>
    <w:p w14:paraId="528871E3" w14:textId="77777777" w:rsidR="00D018BD" w:rsidRPr="001A0BAA" w:rsidRDefault="00D018BD" w:rsidP="00D018BD">
      <w:pPr>
        <w:widowControl w:val="0"/>
        <w:tabs>
          <w:tab w:val="left" w:pos="658"/>
        </w:tabs>
        <w:jc w:val="both"/>
        <w:rPr>
          <w:color w:val="0070C0"/>
          <w:sz w:val="16"/>
          <w:szCs w:val="16"/>
        </w:rPr>
      </w:pPr>
      <w:bookmarkStart w:id="49" w:name="bookmark399"/>
      <w:bookmarkEnd w:id="49"/>
      <w:r w:rsidRPr="001A0BAA">
        <w:rPr>
          <w:color w:val="0070C0"/>
          <w:sz w:val="16"/>
          <w:szCs w:val="16"/>
        </w:rPr>
        <w:t>- завод № 26 НКАП должен был изучить и освоить не</w:t>
      </w:r>
      <w:r w:rsidRPr="001A0BAA">
        <w:rPr>
          <w:color w:val="0070C0"/>
          <w:sz w:val="16"/>
          <w:szCs w:val="16"/>
        </w:rPr>
        <w:softHyphen/>
        <w:t>мецкий ТРД Jumo-004 и организовать его серийное производ</w:t>
      </w:r>
      <w:r w:rsidRPr="001A0BAA">
        <w:rPr>
          <w:color w:val="0070C0"/>
          <w:sz w:val="16"/>
          <w:szCs w:val="16"/>
        </w:rPr>
        <w:softHyphen/>
        <w:t>ство;</w:t>
      </w:r>
    </w:p>
    <w:p w14:paraId="5785FC16" w14:textId="77777777" w:rsidR="00D018BD" w:rsidRPr="001A0BAA" w:rsidRDefault="00D018BD" w:rsidP="00D018BD">
      <w:pPr>
        <w:widowControl w:val="0"/>
        <w:tabs>
          <w:tab w:val="left" w:pos="654"/>
        </w:tabs>
        <w:jc w:val="both"/>
        <w:rPr>
          <w:color w:val="0070C0"/>
          <w:sz w:val="16"/>
          <w:szCs w:val="16"/>
        </w:rPr>
      </w:pPr>
      <w:bookmarkStart w:id="50" w:name="bookmark400"/>
      <w:bookmarkEnd w:id="50"/>
      <w:r w:rsidRPr="001A0BAA">
        <w:rPr>
          <w:color w:val="0070C0"/>
          <w:sz w:val="16"/>
          <w:szCs w:val="16"/>
        </w:rPr>
        <w:t>- завод № 16 НКАП должен был изучить и освоить не</w:t>
      </w:r>
      <w:r w:rsidRPr="001A0BAA">
        <w:rPr>
          <w:color w:val="0070C0"/>
          <w:sz w:val="16"/>
          <w:szCs w:val="16"/>
        </w:rPr>
        <w:softHyphen/>
        <w:t>мецкий ТРД BMW-003 и организовать его серийное производ</w:t>
      </w:r>
      <w:r w:rsidRPr="001A0BAA">
        <w:rPr>
          <w:color w:val="0070C0"/>
          <w:sz w:val="16"/>
          <w:szCs w:val="16"/>
        </w:rPr>
        <w:softHyphen/>
        <w:t>ство;</w:t>
      </w:r>
    </w:p>
    <w:p w14:paraId="4A24C40A" w14:textId="77777777" w:rsidR="00D018BD" w:rsidRPr="001A0BAA" w:rsidRDefault="00D018BD" w:rsidP="00D018BD">
      <w:pPr>
        <w:jc w:val="both"/>
        <w:rPr>
          <w:color w:val="0070C0"/>
          <w:sz w:val="16"/>
          <w:szCs w:val="16"/>
        </w:rPr>
      </w:pPr>
      <w:r w:rsidRPr="001A0BAA">
        <w:rPr>
          <w:color w:val="0070C0"/>
          <w:sz w:val="16"/>
          <w:szCs w:val="16"/>
        </w:rPr>
        <w:t>- ОКБ-115 А. С. Яковлева должно было спроектировать и построить реактивный самолет-истребитель с использованием немецкого ТРД Jumo-004;</w:t>
      </w:r>
    </w:p>
    <w:p w14:paraId="7F818A9F" w14:textId="77777777" w:rsidR="00D018BD" w:rsidRPr="001A0BAA" w:rsidRDefault="00D018BD" w:rsidP="00D018BD">
      <w:pPr>
        <w:jc w:val="both"/>
        <w:rPr>
          <w:color w:val="0070C0"/>
          <w:sz w:val="16"/>
          <w:szCs w:val="16"/>
        </w:rPr>
      </w:pPr>
      <w:r w:rsidRPr="001A0BAA">
        <w:rPr>
          <w:color w:val="0070C0"/>
          <w:sz w:val="16"/>
          <w:szCs w:val="16"/>
        </w:rPr>
        <w:t>- ОКБ-155 А.И. Микояна должно было спроектировать и построить реактивный самолет-истребитель с использованием немецкого ТРД BMW-003;</w:t>
      </w:r>
    </w:p>
    <w:p w14:paraId="27AFF18C" w14:textId="77777777" w:rsidR="00D018BD" w:rsidRPr="001A0BAA" w:rsidRDefault="00D018BD" w:rsidP="00D018BD">
      <w:pPr>
        <w:jc w:val="both"/>
        <w:rPr>
          <w:color w:val="0070C0"/>
          <w:sz w:val="16"/>
          <w:szCs w:val="16"/>
        </w:rPr>
      </w:pPr>
      <w:r w:rsidRPr="001A0BAA">
        <w:rPr>
          <w:color w:val="0070C0"/>
          <w:sz w:val="16"/>
          <w:szCs w:val="16"/>
        </w:rPr>
        <w:t>- ОКБ-301 С.А. Лавочкина должно было спроектировать и построить реактивный самолет-истребитель с использовани</w:t>
      </w:r>
      <w:r w:rsidRPr="001A0BAA">
        <w:rPr>
          <w:color w:val="0070C0"/>
          <w:sz w:val="16"/>
          <w:szCs w:val="16"/>
        </w:rPr>
        <w:softHyphen/>
        <w:t>ем немецкого ТРД Jumo-004;</w:t>
      </w:r>
    </w:p>
    <w:p w14:paraId="23D23E09" w14:textId="77777777" w:rsidR="00D018BD" w:rsidRPr="001A0BAA" w:rsidRDefault="00D018BD" w:rsidP="00D018BD">
      <w:pPr>
        <w:jc w:val="both"/>
        <w:rPr>
          <w:color w:val="0070C0"/>
          <w:sz w:val="16"/>
          <w:szCs w:val="16"/>
        </w:rPr>
      </w:pPr>
      <w:r w:rsidRPr="001A0BAA">
        <w:rPr>
          <w:color w:val="0070C0"/>
          <w:sz w:val="16"/>
          <w:szCs w:val="16"/>
        </w:rPr>
        <w:t>- ОКБ-51 В.Н. Челомея должно было спроектировать, по</w:t>
      </w:r>
      <w:r w:rsidRPr="001A0BAA">
        <w:rPr>
          <w:color w:val="0070C0"/>
          <w:sz w:val="16"/>
          <w:szCs w:val="16"/>
        </w:rPr>
        <w:softHyphen/>
        <w:t>строить и довести самолет-снаряд по типу немецкого самоле</w:t>
      </w:r>
      <w:r w:rsidRPr="001A0BAA">
        <w:rPr>
          <w:color w:val="0070C0"/>
          <w:sz w:val="16"/>
          <w:szCs w:val="16"/>
        </w:rPr>
        <w:softHyphen/>
        <w:t>та-снаряда Фау-1 (24920).</w:t>
      </w:r>
    </w:p>
    <w:p w14:paraId="53A29F42" w14:textId="77777777" w:rsidR="00D018BD" w:rsidRPr="001A0BAA" w:rsidRDefault="00D018BD" w:rsidP="00D018BD">
      <w:pPr>
        <w:jc w:val="both"/>
        <w:rPr>
          <w:color w:val="0070C0"/>
          <w:sz w:val="16"/>
          <w:szCs w:val="16"/>
        </w:rPr>
      </w:pPr>
    </w:p>
    <w:p w14:paraId="20C48577" w14:textId="77777777" w:rsidR="00D018BD" w:rsidRPr="001A0BAA" w:rsidRDefault="00D018BD" w:rsidP="00D018BD">
      <w:pPr>
        <w:jc w:val="both"/>
        <w:rPr>
          <w:color w:val="0070C0"/>
          <w:sz w:val="16"/>
          <w:szCs w:val="16"/>
        </w:rPr>
      </w:pPr>
      <w:r w:rsidRPr="001A0BAA">
        <w:rPr>
          <w:color w:val="0070C0"/>
          <w:sz w:val="16"/>
          <w:szCs w:val="16"/>
        </w:rPr>
        <w:t>Летом 1945 года Аэрофлот начал регулярные рейсы из Москвы-Внуково в Берлин-Адлерсхоф с посадкой в Минске. К сентябрю 1945 года по этому маршруту выполнялось уже пять пар рейсов в день. Это сделало его самым загруженным маршрутом Аэрофлота в центральном расписании полетов. Берлинскую линию обслуживала 10-я авиатран</w:t>
      </w:r>
      <w:r w:rsidRPr="001A0BAA">
        <w:rPr>
          <w:color w:val="0070C0"/>
          <w:sz w:val="16"/>
          <w:szCs w:val="16"/>
        </w:rPr>
        <w:softHyphen/>
        <w:t>спортная дивизия ГВФ во Внуково (25659).</w:t>
      </w:r>
    </w:p>
    <w:p w14:paraId="2E40DB95" w14:textId="77777777" w:rsidR="00D018BD" w:rsidRPr="001A0BAA" w:rsidRDefault="00D018BD" w:rsidP="00D018BD">
      <w:pPr>
        <w:jc w:val="both"/>
        <w:rPr>
          <w:color w:val="0070C0"/>
          <w:sz w:val="16"/>
          <w:szCs w:val="16"/>
        </w:rPr>
      </w:pPr>
    </w:p>
    <w:p w14:paraId="56E160B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Летом 1945 г. было принято правительственное постановление об организации серийного производства двигателей Jumo 004 и BMW 003 - двух наиболее интересных для авиаторов образцов германских ГТД - в Советском Союзе - первого под наименованием РД-10 на заводе № 26 в Уфе, а второго под наименованием РД-20 на </w:t>
      </w:r>
      <w:r w:rsidRPr="00925F26">
        <w:rPr>
          <w:color w:val="000000" w:themeColor="text1"/>
          <w:sz w:val="16"/>
          <w:szCs w:val="16"/>
        </w:rPr>
        <w:lastRenderedPageBreak/>
        <w:t>заводе № 16 в Казани. В 1946-1949 гг. этими предприятиями было выпущено 1911 РД-10 и 2911 РД-20. Кроме того, еще 812 несколько усовершенствованных двигателей РД-10А построил в 1950-1952 гг. казанский завод № 466. Почти все "десятки" предназначались для яковлевских реактивных истребителей (11407).</w:t>
      </w:r>
    </w:p>
    <w:p w14:paraId="1F487DFD" w14:textId="77777777" w:rsidR="006103B3" w:rsidRPr="00925F26" w:rsidRDefault="006103B3" w:rsidP="00925F26">
      <w:pPr>
        <w:autoSpaceDE w:val="0"/>
        <w:autoSpaceDN w:val="0"/>
        <w:adjustRightInd w:val="0"/>
        <w:jc w:val="both"/>
        <w:rPr>
          <w:color w:val="000000" w:themeColor="text1"/>
          <w:sz w:val="16"/>
          <w:szCs w:val="16"/>
        </w:rPr>
      </w:pPr>
    </w:p>
    <w:p w14:paraId="3B1612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1945-го Управление полярной авиации начало пополняться трофейной техникой (5741,14).</w:t>
      </w:r>
    </w:p>
    <w:p w14:paraId="58C32155" w14:textId="77777777" w:rsidR="006103B3" w:rsidRPr="00925F26" w:rsidRDefault="006103B3" w:rsidP="00925F26">
      <w:pPr>
        <w:autoSpaceDE w:val="0"/>
        <w:autoSpaceDN w:val="0"/>
        <w:adjustRightInd w:val="0"/>
        <w:jc w:val="both"/>
        <w:rPr>
          <w:color w:val="000000" w:themeColor="text1"/>
          <w:sz w:val="16"/>
          <w:szCs w:val="16"/>
        </w:rPr>
      </w:pPr>
    </w:p>
    <w:p w14:paraId="50E29870" w14:textId="77777777" w:rsidR="002A5DBF" w:rsidRPr="00925F26" w:rsidRDefault="002A5DBF" w:rsidP="00925F26">
      <w:pPr>
        <w:autoSpaceDE w:val="0"/>
        <w:autoSpaceDN w:val="0"/>
        <w:adjustRightInd w:val="0"/>
        <w:jc w:val="both"/>
        <w:rPr>
          <w:color w:val="000000" w:themeColor="text1"/>
          <w:sz w:val="16"/>
          <w:szCs w:val="16"/>
        </w:rPr>
      </w:pPr>
      <w:r w:rsidRPr="00925F26">
        <w:rPr>
          <w:color w:val="000000" w:themeColor="text1"/>
          <w:sz w:val="16"/>
          <w:szCs w:val="16"/>
        </w:rPr>
        <w:t>Летом 1945 для комплексного изучения немецких достижений по реактивной технике и их использованию решением Правительства при Особом комитете ГКО была создана межведомственная комиссия по реактивной технике и входили руководители НКАП, боеприпасов, вооружения, электропрома, вооружения, судостроения, минпрома (1795,60).</w:t>
      </w:r>
    </w:p>
    <w:p w14:paraId="1FFEE35F" w14:textId="77777777" w:rsidR="002A5DBF" w:rsidRPr="00925F26" w:rsidRDefault="002A5DBF" w:rsidP="00925F26">
      <w:pPr>
        <w:autoSpaceDE w:val="0"/>
        <w:autoSpaceDN w:val="0"/>
        <w:adjustRightInd w:val="0"/>
        <w:jc w:val="both"/>
        <w:rPr>
          <w:color w:val="000000" w:themeColor="text1"/>
          <w:sz w:val="16"/>
          <w:szCs w:val="16"/>
        </w:rPr>
      </w:pPr>
    </w:p>
    <w:p w14:paraId="74FFE6FF" w14:textId="77777777" w:rsidR="00C46885" w:rsidRPr="00925F26" w:rsidRDefault="00C46885" w:rsidP="00925F26">
      <w:pPr>
        <w:jc w:val="both"/>
        <w:rPr>
          <w:color w:val="000000" w:themeColor="text1"/>
          <w:sz w:val="16"/>
          <w:szCs w:val="16"/>
        </w:rPr>
      </w:pPr>
      <w:r w:rsidRPr="00925F26">
        <w:rPr>
          <w:color w:val="000000" w:themeColor="text1"/>
          <w:sz w:val="16"/>
          <w:szCs w:val="16"/>
        </w:rPr>
        <w:t>Летом 1945 г. «СССР В-12» применялся для таксации леса в Кировской области. В ходе этих работ он выполнил 57 рейсов, налетал 212 часа. Команда под руководством В.М. Пикалкина (в 1960-е годы — доцент Московского лесотех</w:t>
      </w:r>
      <w:r w:rsidRPr="00925F26">
        <w:rPr>
          <w:color w:val="000000" w:themeColor="text1"/>
          <w:sz w:val="16"/>
          <w:szCs w:val="16"/>
        </w:rPr>
        <w:softHyphen/>
        <w:t>нического института) за шесть лётных дней про</w:t>
      </w:r>
      <w:r w:rsidRPr="00925F26">
        <w:rPr>
          <w:color w:val="000000" w:themeColor="text1"/>
          <w:sz w:val="16"/>
          <w:szCs w:val="16"/>
        </w:rPr>
        <w:softHyphen/>
        <w:t>вела с дирижабля изучение лесных площадей в 225 тыс. га, то есть такой объём исследований, на выполнение которых требовалась работа пяти лесоустроительных партий в течение года. В се</w:t>
      </w:r>
      <w:r w:rsidRPr="00925F26">
        <w:rPr>
          <w:color w:val="000000" w:themeColor="text1"/>
          <w:sz w:val="16"/>
          <w:szCs w:val="16"/>
        </w:rPr>
        <w:softHyphen/>
        <w:t>редине 1947 г. дирижабль сняли с эксплуатации (20120).</w:t>
      </w:r>
    </w:p>
    <w:p w14:paraId="184DC092" w14:textId="77777777" w:rsidR="00C46885" w:rsidRPr="00925F26" w:rsidRDefault="00C46885" w:rsidP="00925F26">
      <w:pPr>
        <w:jc w:val="both"/>
        <w:rPr>
          <w:color w:val="000000" w:themeColor="text1"/>
          <w:sz w:val="16"/>
          <w:szCs w:val="16"/>
        </w:rPr>
      </w:pPr>
    </w:p>
    <w:p w14:paraId="10656F75"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1E719AF8" w14:textId="77777777" w:rsidR="006103B3" w:rsidRPr="00925F26" w:rsidRDefault="006103B3" w:rsidP="00925F26">
      <w:pPr>
        <w:autoSpaceDE w:val="0"/>
        <w:autoSpaceDN w:val="0"/>
        <w:adjustRightInd w:val="0"/>
        <w:jc w:val="both"/>
        <w:rPr>
          <w:iCs/>
          <w:color w:val="000000" w:themeColor="text1"/>
          <w:sz w:val="16"/>
          <w:szCs w:val="16"/>
        </w:rPr>
      </w:pPr>
    </w:p>
    <w:p w14:paraId="0752F02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года Теверовский, который стал главным конструктором завода № 535, начал работы по модернизации своего 160-мм миномета. Главной целью модернизации стало увеличение дальности стрельбы. В новом миномете МТ-13Д длина ствола была увеличена на 50 мм, а дальность стрельбы до 7400 м. Для сравнительных испытаний было изготовлено по 4 миномета обеих систем. По результатам испытаний на вооружение был принят миномет СКБ-21 Б.И.Шавырина, как более дальнобойный и простой в эксплуатации (3861).</w:t>
      </w:r>
    </w:p>
    <w:p w14:paraId="13D44D75" w14:textId="77777777" w:rsidR="006103B3" w:rsidRPr="00925F26" w:rsidRDefault="006103B3" w:rsidP="00925F26">
      <w:pPr>
        <w:autoSpaceDE w:val="0"/>
        <w:autoSpaceDN w:val="0"/>
        <w:adjustRightInd w:val="0"/>
        <w:jc w:val="both"/>
        <w:rPr>
          <w:color w:val="000000" w:themeColor="text1"/>
          <w:sz w:val="16"/>
          <w:szCs w:val="16"/>
        </w:rPr>
      </w:pPr>
    </w:p>
    <w:p w14:paraId="5383146F" w14:textId="77777777" w:rsidR="00EC39A3" w:rsidRPr="001A0BAA" w:rsidRDefault="00EC39A3" w:rsidP="00EC39A3">
      <w:pPr>
        <w:jc w:val="both"/>
        <w:rPr>
          <w:color w:val="0070C0"/>
          <w:sz w:val="16"/>
          <w:szCs w:val="16"/>
        </w:rPr>
      </w:pPr>
      <w:r w:rsidRPr="001A0BAA">
        <w:rPr>
          <w:rStyle w:val="aff0"/>
          <w:rFonts w:ascii="Times New Roman" w:hAnsi="Times New Roman" w:cs="Times New Roman"/>
          <w:color w:val="0070C0"/>
          <w:spacing w:val="0"/>
          <w:sz w:val="16"/>
          <w:szCs w:val="16"/>
        </w:rPr>
        <w:t>Летом 1945 года И. Г. Теверовский, который стал главным конструктором завода № 535, начал работы по модернизации своего миномета МТ-13. Главной целью модернизации стало увеличение дальности стрельбы. В новом миномете МТ-13Д длина ствола бы</w:t>
      </w:r>
      <w:r w:rsidRPr="001A0BAA">
        <w:rPr>
          <w:rStyle w:val="aff0"/>
          <w:rFonts w:ascii="Times New Roman" w:hAnsi="Times New Roman" w:cs="Times New Roman"/>
          <w:color w:val="0070C0"/>
          <w:spacing w:val="0"/>
          <w:sz w:val="16"/>
          <w:szCs w:val="16"/>
        </w:rPr>
        <w:softHyphen/>
        <w:t>ла увеличена на 50 мм, а дальность стрельбы — до 7400 м. Для срав</w:t>
      </w:r>
      <w:r w:rsidRPr="001A0BAA">
        <w:rPr>
          <w:rStyle w:val="aff0"/>
          <w:rFonts w:ascii="Times New Roman" w:hAnsi="Times New Roman" w:cs="Times New Roman"/>
          <w:color w:val="0070C0"/>
          <w:spacing w:val="0"/>
          <w:sz w:val="16"/>
          <w:szCs w:val="16"/>
        </w:rPr>
        <w:softHyphen/>
        <w:t>нительных испытаний было изготовлено по 4 миномета обеих си</w:t>
      </w:r>
      <w:r w:rsidRPr="001A0BAA">
        <w:rPr>
          <w:rStyle w:val="aff0"/>
          <w:rFonts w:ascii="Times New Roman" w:hAnsi="Times New Roman" w:cs="Times New Roman"/>
          <w:color w:val="0070C0"/>
          <w:spacing w:val="0"/>
          <w:sz w:val="16"/>
          <w:szCs w:val="16"/>
        </w:rPr>
        <w:softHyphen/>
        <w:t>стем. По результатам испытаний на вооружение был принят ми</w:t>
      </w:r>
      <w:r w:rsidRPr="001A0BAA">
        <w:rPr>
          <w:rStyle w:val="aff0"/>
          <w:rFonts w:ascii="Times New Roman" w:hAnsi="Times New Roman" w:cs="Times New Roman"/>
          <w:color w:val="0070C0"/>
          <w:spacing w:val="0"/>
          <w:sz w:val="16"/>
          <w:szCs w:val="16"/>
        </w:rPr>
        <w:softHyphen/>
        <w:t>номет СКБ-21 как более дальнобойный и простой в эксплуатации.</w:t>
      </w:r>
    </w:p>
    <w:p w14:paraId="66B3CE8C" w14:textId="77777777" w:rsidR="00EC39A3" w:rsidRPr="001A0BAA" w:rsidRDefault="00EC39A3" w:rsidP="00EC39A3">
      <w:pPr>
        <w:jc w:val="both"/>
        <w:rPr>
          <w:color w:val="0070C0"/>
          <w:sz w:val="16"/>
          <w:szCs w:val="16"/>
        </w:rPr>
      </w:pPr>
      <w:r w:rsidRPr="001A0BAA">
        <w:rPr>
          <w:rStyle w:val="aff0"/>
          <w:rFonts w:ascii="Times New Roman" w:hAnsi="Times New Roman" w:cs="Times New Roman"/>
          <w:color w:val="0070C0"/>
          <w:spacing w:val="0"/>
          <w:sz w:val="16"/>
          <w:szCs w:val="16"/>
        </w:rPr>
        <w:t>В августе 1947 года на заводе № 535 производство минометов МТ-13 было прекращено. Всего к этому времени с 1944 года изго</w:t>
      </w:r>
      <w:r w:rsidRPr="001A0BAA">
        <w:rPr>
          <w:rStyle w:val="aff0"/>
          <w:rFonts w:ascii="Times New Roman" w:hAnsi="Times New Roman" w:cs="Times New Roman"/>
          <w:color w:val="0070C0"/>
          <w:spacing w:val="0"/>
          <w:sz w:val="16"/>
          <w:szCs w:val="16"/>
        </w:rPr>
        <w:softHyphen/>
        <w:t>товили 1557 этих минометов (25439).</w:t>
      </w:r>
    </w:p>
    <w:p w14:paraId="1B07C41A" w14:textId="77777777" w:rsidR="00EC39A3" w:rsidRPr="001A0BAA" w:rsidRDefault="00EC39A3" w:rsidP="00EC39A3">
      <w:pPr>
        <w:jc w:val="both"/>
        <w:rPr>
          <w:color w:val="0070C0"/>
          <w:sz w:val="16"/>
          <w:szCs w:val="16"/>
        </w:rPr>
      </w:pPr>
    </w:p>
    <w:p w14:paraId="52AC3EF2"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Летом 1945 года опыт</w:t>
      </w:r>
      <w:r w:rsidRPr="00925F26">
        <w:rPr>
          <w:color w:val="000000" w:themeColor="text1"/>
          <w:sz w:val="16"/>
          <w:szCs w:val="16"/>
        </w:rPr>
        <w:softHyphen/>
        <w:t>ный образец танка Т-34-85ПХ (ТПХ-2), который был разработан в 1944 - 1945 гг. конст</w:t>
      </w:r>
      <w:r w:rsidRPr="00925F26">
        <w:rPr>
          <w:color w:val="000000" w:themeColor="text1"/>
          <w:sz w:val="16"/>
          <w:szCs w:val="16"/>
        </w:rPr>
        <w:softHyphen/>
        <w:t>рукторским отделом завода "Красное Сормово" (ведущий конструкто</w:t>
      </w:r>
      <w:r w:rsidRPr="00925F26">
        <w:rPr>
          <w:color w:val="000000" w:themeColor="text1"/>
          <w:sz w:val="16"/>
          <w:szCs w:val="16"/>
        </w:rPr>
        <w:softHyphen/>
        <w:t>р машины Ю.П. Новиков), прошел полигонные испытания. На вооружение танк ТПХ-2 не принимался и в серийном производстве не состоял. Машина была создана на базе танка Т-34-85 обр. 1944 г. и отлича</w:t>
      </w:r>
      <w:r w:rsidRPr="00925F26">
        <w:rPr>
          <w:color w:val="000000" w:themeColor="text1"/>
          <w:sz w:val="16"/>
          <w:szCs w:val="16"/>
        </w:rPr>
        <w:softHyphen/>
        <w:t xml:space="preserve">лась от пего проведением дополнительных </w:t>
      </w:r>
      <w:proofErr w:type="gramStart"/>
      <w:r w:rsidRPr="00925F26">
        <w:rPr>
          <w:color w:val="000000" w:themeColor="text1"/>
          <w:sz w:val="16"/>
          <w:szCs w:val="16"/>
        </w:rPr>
        <w:t>мероприятий</w:t>
      </w:r>
      <w:proofErr w:type="gramEnd"/>
      <w:r w:rsidRPr="00925F26">
        <w:rPr>
          <w:color w:val="000000" w:themeColor="text1"/>
          <w:sz w:val="16"/>
          <w:szCs w:val="16"/>
        </w:rPr>
        <w:t xml:space="preserve"> но герметиза</w:t>
      </w:r>
      <w:r w:rsidRPr="00925F26">
        <w:rPr>
          <w:color w:val="000000" w:themeColor="text1"/>
          <w:sz w:val="16"/>
          <w:szCs w:val="16"/>
        </w:rPr>
        <w:softHyphen/>
        <w:t>ции корпуса и башни танка, а также установкой специального оборудо</w:t>
      </w:r>
      <w:r w:rsidRPr="00925F26">
        <w:rPr>
          <w:color w:val="000000" w:themeColor="text1"/>
          <w:sz w:val="16"/>
          <w:szCs w:val="16"/>
        </w:rPr>
        <w:softHyphen/>
        <w:t>вания, обеспечивавшего ему возможность свободного преодоления вод</w:t>
      </w:r>
      <w:r w:rsidRPr="00925F26">
        <w:rPr>
          <w:color w:val="000000" w:themeColor="text1"/>
          <w:sz w:val="16"/>
          <w:szCs w:val="16"/>
        </w:rPr>
        <w:softHyphen/>
        <w:t>ных преград по дну глубиной до 5 м (10703).</w:t>
      </w:r>
    </w:p>
    <w:p w14:paraId="34F7A1A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1B01786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завод № 183 проводил ОКР по дальнейшей модернизации танка Т-44 в направле</w:t>
      </w:r>
      <w:r w:rsidRPr="00925F26">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925F26">
        <w:rPr>
          <w:color w:val="000000" w:themeColor="text1"/>
          <w:sz w:val="16"/>
          <w:szCs w:val="16"/>
        </w:rPr>
        <w:softHyphen/>
        <w:t>чием стальных бортовых экранов, а на одном из них на крыше баш</w:t>
      </w:r>
      <w:r w:rsidRPr="00925F26">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925F26">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2275077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925F26">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7EAC70B0"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Во время испытаний выявилось большое количество дефек</w:t>
      </w:r>
      <w:r w:rsidRPr="00925F26">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925F26">
        <w:rPr>
          <w:color w:val="000000" w:themeColor="text1"/>
          <w:sz w:val="16"/>
          <w:szCs w:val="16"/>
        </w:rPr>
        <w:softHyphen/>
        <w:t>ботали без дефектов. Синхронизаторы коробки передач ожидае</w:t>
      </w:r>
      <w:r w:rsidRPr="00925F26">
        <w:rPr>
          <w:color w:val="000000" w:themeColor="text1"/>
          <w:sz w:val="16"/>
          <w:szCs w:val="16"/>
        </w:rPr>
        <w:softHyphen/>
        <w:t>мого эффекта не дали, так как время переключения передач со</w:t>
      </w:r>
      <w:r w:rsidRPr="00925F26">
        <w:rPr>
          <w:color w:val="000000" w:themeColor="text1"/>
          <w:sz w:val="16"/>
          <w:szCs w:val="16"/>
        </w:rPr>
        <w:softHyphen/>
        <w:t>ставляло 5 с. По результатам ходовых испытаний в конструкцию танка внесли еще 98 изменений (11770).</w:t>
      </w:r>
    </w:p>
    <w:p w14:paraId="386C17E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5DEF960" w14:textId="77777777" w:rsidR="001F396D" w:rsidRPr="00925F26" w:rsidRDefault="001F396D" w:rsidP="00925F26">
      <w:pPr>
        <w:jc w:val="both"/>
        <w:textAlignment w:val="baseline"/>
        <w:rPr>
          <w:color w:val="000000" w:themeColor="text1"/>
          <w:sz w:val="16"/>
          <w:szCs w:val="16"/>
        </w:rPr>
      </w:pPr>
      <w:r w:rsidRPr="00925F26">
        <w:rPr>
          <w:color w:val="000000" w:themeColor="text1"/>
          <w:sz w:val="16"/>
          <w:szCs w:val="16"/>
        </w:rPr>
        <w:t>Летом 1945 года начались поставки Т-44 в войска. Большинство Т-44 оказалось в составе 5-й Гвардейской механизированной армии и 8-й механизированной армии.</w:t>
      </w:r>
    </w:p>
    <w:p w14:paraId="7611B1A3" w14:textId="77777777" w:rsidR="001F396D" w:rsidRPr="00925F26" w:rsidRDefault="001F396D" w:rsidP="00925F26">
      <w:pPr>
        <w:pStyle w:val="ae"/>
        <w:spacing w:before="0" w:after="0"/>
        <w:jc w:val="both"/>
        <w:textAlignment w:val="baseline"/>
        <w:rPr>
          <w:color w:val="000000" w:themeColor="text1"/>
          <w:sz w:val="16"/>
          <w:szCs w:val="16"/>
        </w:rPr>
      </w:pPr>
      <w:r w:rsidRPr="00925F26">
        <w:rPr>
          <w:color w:val="000000" w:themeColor="text1"/>
          <w:sz w:val="16"/>
          <w:szCs w:val="16"/>
        </w:rPr>
        <w:t>С точки зрения боевой эффективности Т-44 оказался «промежуточным» танком. Принятие его на вооружение пришлось на своеобразную амплитуду, когда ГБТУ КА уже выработало новые требования на броневую защиту танков, но ещё не ужесточило требования по вооружению. В результате на вооружение поступил танк, имевший защиту от орудия Pz.Kpfw.Panther и отчасти от 88-мм пушки с длиной ствола 71 калибр, но неспособный пробить «Пантеру» в верхнюю лобовую деталь корпуса. О том, что неплохо бы поставить на Т-44 пушку Д-10Т, в ГАБТУ КА решили уже осенью 1944 года, когда вовсю шла подготовка к выпуску. Что же касается броневой защиты, то её можно понять по результатам обстрела корпуса и башни Т-44 выпуска сентября 1945 года. В ходе обстрела 85-мм снарядами с дистанции 100 м ни верхняя, ни нижняя лобовая детали корпуса пробиты не были. Также провели обстрел 88-мм пушкой Pak 43 L/71. Верхняя лобовая деталь корпуса также не была пробита, но отмечались проблемы со сварными швами. При обстреле нижняя лобовая деталь отломилась от корпуса. Кроме того, в ходе обстрела отмечалось появление трещин в днище корпуса (19047).</w:t>
      </w:r>
    </w:p>
    <w:p w14:paraId="1FD8AB49" w14:textId="77777777" w:rsidR="001F396D" w:rsidRPr="00925F26" w:rsidRDefault="001F396D" w:rsidP="00925F26">
      <w:pPr>
        <w:pStyle w:val="ae"/>
        <w:spacing w:before="0" w:after="0"/>
        <w:jc w:val="both"/>
        <w:textAlignment w:val="baseline"/>
        <w:rPr>
          <w:color w:val="000000" w:themeColor="text1"/>
          <w:sz w:val="16"/>
          <w:szCs w:val="16"/>
        </w:rPr>
      </w:pPr>
    </w:p>
    <w:p w14:paraId="562FC6BE"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Летом 1945 г. в ходе проведения ОКР по даль</w:t>
      </w:r>
      <w:r w:rsidRPr="00925F26">
        <w:rPr>
          <w:color w:val="000000" w:themeColor="text1"/>
          <w:sz w:val="16"/>
          <w:szCs w:val="16"/>
        </w:rPr>
        <w:softHyphen/>
        <w:t>нейшей модернизации танка Т-44 завод №183 изготовил два опытных образца тан</w:t>
      </w:r>
      <w:r w:rsidRPr="00925F26">
        <w:rPr>
          <w:color w:val="000000" w:themeColor="text1"/>
          <w:sz w:val="16"/>
          <w:szCs w:val="16"/>
        </w:rPr>
        <w:softHyphen/>
        <w:t>ка Т-44-100, вооруженных 100-мм танко</w:t>
      </w:r>
      <w:r w:rsidRPr="00925F26">
        <w:rPr>
          <w:color w:val="000000" w:themeColor="text1"/>
          <w:sz w:val="16"/>
          <w:szCs w:val="16"/>
        </w:rPr>
        <w:softHyphen/>
        <w:t>вой пушкой ЛБ-1. Помимо более мощного основного оружия, эти машины отличались от серийного Т-44 установкой стальных бортовых экранов, а на одном из них на крыше башни у люка заряжающего монти</w:t>
      </w:r>
      <w:r w:rsidRPr="00925F26">
        <w:rPr>
          <w:color w:val="000000" w:themeColor="text1"/>
          <w:sz w:val="16"/>
          <w:szCs w:val="16"/>
        </w:rPr>
        <w:softHyphen/>
        <w:t>ровалась турель с зенитным 12,7-мм пу</w:t>
      </w:r>
      <w:r w:rsidRPr="00925F26">
        <w:rPr>
          <w:color w:val="000000" w:themeColor="text1"/>
          <w:sz w:val="16"/>
          <w:szCs w:val="16"/>
        </w:rPr>
        <w:softHyphen/>
        <w:t>леметом ДШК.</w:t>
      </w:r>
    </w:p>
    <w:p w14:paraId="01E83BD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Установка более мощной артиллерий</w:t>
      </w:r>
      <w:r w:rsidRPr="00925F26">
        <w:rPr>
          <w:color w:val="000000" w:themeColor="text1"/>
          <w:sz w:val="16"/>
          <w:szCs w:val="16"/>
        </w:rPr>
        <w:softHyphen/>
        <w:t>ской системы повысила огневую мощь тан</w:t>
      </w:r>
      <w:r w:rsidRPr="00925F26">
        <w:rPr>
          <w:color w:val="000000" w:themeColor="text1"/>
          <w:sz w:val="16"/>
          <w:szCs w:val="16"/>
        </w:rPr>
        <w:softHyphen/>
        <w:t>ка, но ее размещение в башне прежней конструкции ухудшило вентиляцию боевого отделения и условия работы экипажа. Дальнейшие работы по танку Т-44-100 пре</w:t>
      </w:r>
      <w:r w:rsidRPr="00925F26">
        <w:rPr>
          <w:color w:val="000000" w:themeColor="text1"/>
          <w:sz w:val="16"/>
          <w:szCs w:val="16"/>
        </w:rPr>
        <w:softHyphen/>
        <w:t>кратились (11468).</w:t>
      </w:r>
    </w:p>
    <w:p w14:paraId="454C989F"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687ECB9"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лета - осени 1945 г. машина Уралмаш-1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925F26">
        <w:rPr>
          <w:color w:val="000000" w:themeColor="text1"/>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925F26">
        <w:rPr>
          <w:color w:val="000000" w:themeColor="text1"/>
          <w:sz w:val="16"/>
          <w:szCs w:val="16"/>
        </w:rPr>
        <w:softHyphen/>
        <w:t>пу полностью бронированных самоходных установок и являлась проти</w:t>
      </w:r>
      <w:r w:rsidRPr="00925F26">
        <w:rPr>
          <w:color w:val="000000" w:themeColor="text1"/>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925F26">
        <w:rPr>
          <w:color w:val="000000" w:themeColor="text1"/>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925F26">
        <w:rPr>
          <w:color w:val="000000" w:themeColor="text1"/>
          <w:sz w:val="16"/>
          <w:szCs w:val="16"/>
        </w:rPr>
        <w:softHyphen/>
        <w:t>нию проходимости из-за перегрузки передних опорных катков (10703).</w:t>
      </w:r>
    </w:p>
    <w:p w14:paraId="479141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A8448B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Летом 1945 года НКГБ перехватывал письма ленинградских рабочих, эвакуированных в Омск: </w:t>
      </w:r>
    </w:p>
    <w:p w14:paraId="2FE5C74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"Вы пишете, что можно уйти с завода. Нас так зажали, что сейчас об этом и думать нельзя. В последнее время много ребят сбежали с завода в Ленинград, но еще неизвестно, чем это закончится, так как есть указание верховного прокурора о возвращении всех бежавших в Омск для предания суду. Несмотря на это, я все равно решился бы бежать, если бы было куда. Мечтаю сбежать куда-нибудь, где потеплее, и если доживу до весны, то обязательно сбегу. Надежды на то, что я дотяну до весны, очень мало. Живу опять в цеху, спать приходится три-четыре часа в сутки на железном стеллаже, в отношении одежды тоже дело швах. Все мое обмундирование состоит из ремня, грязного комбинезона и рваных ботинок, которые валятся с ног. Надвигается зима, нет ничего теплого, да и вообще не во что даже переодеться после работы. На заводе платят очень скверно и ордеров никаких не дают, так как я в крупных неладах с начальством" (11587).</w:t>
      </w:r>
    </w:p>
    <w:p w14:paraId="1D1BD1BB" w14:textId="77777777" w:rsidR="006103B3" w:rsidRPr="00925F26" w:rsidRDefault="006103B3" w:rsidP="00925F26">
      <w:pPr>
        <w:autoSpaceDE w:val="0"/>
        <w:autoSpaceDN w:val="0"/>
        <w:adjustRightInd w:val="0"/>
        <w:jc w:val="both"/>
        <w:rPr>
          <w:color w:val="000000" w:themeColor="text1"/>
          <w:sz w:val="16"/>
          <w:szCs w:val="16"/>
        </w:rPr>
      </w:pPr>
    </w:p>
    <w:p w14:paraId="033E042D" w14:textId="77777777" w:rsidR="00C46885" w:rsidRPr="00925F26" w:rsidRDefault="00C46885" w:rsidP="00925F26">
      <w:pPr>
        <w:jc w:val="both"/>
        <w:rPr>
          <w:color w:val="000000" w:themeColor="text1"/>
          <w:sz w:val="16"/>
          <w:szCs w:val="16"/>
        </w:rPr>
      </w:pPr>
      <w:r w:rsidRPr="00925F26">
        <w:rPr>
          <w:color w:val="000000" w:themeColor="text1"/>
          <w:sz w:val="16"/>
          <w:szCs w:val="16"/>
        </w:rPr>
        <w:t>Летом 1945 г. в Кировабаде и Воронежской области проводились за</w:t>
      </w:r>
      <w:r w:rsidRPr="00925F26">
        <w:rPr>
          <w:color w:val="000000" w:themeColor="text1"/>
          <w:sz w:val="16"/>
          <w:szCs w:val="16"/>
        </w:rPr>
        <w:softHyphen/>
        <w:t>водские и государственные испытания дизельных тракторов «Кировец-Д35» (22518).</w:t>
      </w:r>
    </w:p>
    <w:p w14:paraId="7D32EF56" w14:textId="77777777" w:rsidR="00C46885" w:rsidRPr="00925F26" w:rsidRDefault="00C46885" w:rsidP="00925F26">
      <w:pPr>
        <w:jc w:val="both"/>
        <w:rPr>
          <w:color w:val="000000" w:themeColor="text1"/>
          <w:sz w:val="16"/>
          <w:szCs w:val="16"/>
        </w:rPr>
      </w:pPr>
    </w:p>
    <w:p w14:paraId="4F49B6F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оборудование завода из Дихернфурта на Одере (Силезия) "Аноргана Верк ГМБХ", входившего в концерн "ИГ Фарбениндустри" и специализировавшегося на производстве и снаряжении в химбоеприпасы фосфорных ОВ - табуна и зарина было складировано на промплощадке "М" завода N 91 в Сталинграде, где еще в 1937 г. было заложено строительство снаряжательного завода. Опытная установка по выпуску зарина 10 мая 1945 г. также была отгружена в Москву, в ГСНИИОХТ. Техническая документация для производств табуна и зарина обнаружена не была. На 91 завод поступило также оборудование химического завода "Оргацид ГМБХ" по производству иприта (мощность - 10800 т в год) из Аммендорфа (9066).</w:t>
      </w:r>
    </w:p>
    <w:p w14:paraId="59FD1F3C" w14:textId="77777777" w:rsidR="006103B3" w:rsidRPr="00925F26" w:rsidRDefault="006103B3" w:rsidP="00925F26">
      <w:pPr>
        <w:autoSpaceDE w:val="0"/>
        <w:autoSpaceDN w:val="0"/>
        <w:adjustRightInd w:val="0"/>
        <w:jc w:val="both"/>
        <w:rPr>
          <w:color w:val="000000" w:themeColor="text1"/>
          <w:sz w:val="16"/>
          <w:szCs w:val="16"/>
        </w:rPr>
      </w:pPr>
    </w:p>
    <w:p w14:paraId="5EA4242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с немецкого строящегося Государственного военно-химического завода и арсенала из Фалькенхагена оборудование было перевезено в Дзержинск и передано заводу N 96. Оборудование Государственного военно-химического завода из г.Лекнитц (производство жидких и вязких смесей ОВ и снаряжение химических боеприпасов) было переправлено в Чапаевск на завод N 102 (9066).</w:t>
      </w:r>
    </w:p>
    <w:p w14:paraId="5A0BC076" w14:textId="77777777" w:rsidR="006103B3" w:rsidRPr="00925F26" w:rsidRDefault="006103B3" w:rsidP="00925F26">
      <w:pPr>
        <w:autoSpaceDE w:val="0"/>
        <w:autoSpaceDN w:val="0"/>
        <w:adjustRightInd w:val="0"/>
        <w:jc w:val="both"/>
        <w:rPr>
          <w:color w:val="000000" w:themeColor="text1"/>
          <w:sz w:val="16"/>
          <w:szCs w:val="16"/>
        </w:rPr>
      </w:pPr>
    </w:p>
    <w:p w14:paraId="0FE355F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на завод Завод № 804 НКЭП, Харьковский завод «Южкабель», ЗАО «Завод «Южкабель» /Украина 61099 г. Харьков ул. Автогенная, 7/ прибыло 7 эшелонов из Будапешта с оборудованием фирмы «Сименс», вывезенным по репарации. В основном, это было оборудование для производства силовых кабелей с резиновой изоляцией, обмоточных и эмальпроводов. К началу 1946г. на заводе имелось 286 единиц оборудования. Действовало три основных цеха. Были также введены в строй лаковарочный участок, фильерная мастерская, цех ТНП. 9.05.1951г. правительством был утвержден новый техпаспорт завода, за 1952г. было введено в строй 126 единиц оборудования.</w:t>
      </w:r>
    </w:p>
    <w:p w14:paraId="1F65E28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26.04.1954г. завод № 804 был переименован в Харьковский завод «Южкабель» и получил статус всесоюзного.</w:t>
      </w:r>
    </w:p>
    <w:p w14:paraId="22B07AA3"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Численность персонала (1952г.)- около 1000 чел.</w:t>
      </w:r>
    </w:p>
    <w:p w14:paraId="675D830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Директор (1944г.)- Ю.А. Зыбин.</w:t>
      </w:r>
    </w:p>
    <w:p w14:paraId="097865C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Гл. инженер (1944г.)- В.И. Юзефов (11982).</w:t>
      </w:r>
    </w:p>
    <w:p w14:paraId="6AE57302" w14:textId="77777777" w:rsidR="006103B3" w:rsidRPr="00925F26" w:rsidRDefault="006103B3" w:rsidP="00925F26">
      <w:pPr>
        <w:autoSpaceDE w:val="0"/>
        <w:autoSpaceDN w:val="0"/>
        <w:adjustRightInd w:val="0"/>
        <w:jc w:val="both"/>
        <w:rPr>
          <w:color w:val="000000" w:themeColor="text1"/>
          <w:sz w:val="16"/>
          <w:szCs w:val="16"/>
        </w:rPr>
      </w:pPr>
    </w:p>
    <w:p w14:paraId="7F7A0D42" w14:textId="77777777" w:rsidR="002A5DBF" w:rsidRPr="00925F26" w:rsidRDefault="002A5DBF" w:rsidP="00925F26">
      <w:pPr>
        <w:jc w:val="both"/>
        <w:rPr>
          <w:color w:val="000000" w:themeColor="text1"/>
          <w:sz w:val="16"/>
          <w:szCs w:val="16"/>
        </w:rPr>
      </w:pPr>
      <w:r w:rsidRPr="00925F26">
        <w:rPr>
          <w:color w:val="000000" w:themeColor="text1"/>
          <w:sz w:val="16"/>
          <w:szCs w:val="16"/>
        </w:rPr>
        <w:t>Летом 1945 г. старший военпред завода №19 инженер-майор И.К. Четверика об</w:t>
      </w:r>
      <w:r w:rsidRPr="00925F26">
        <w:rPr>
          <w:color w:val="000000" w:themeColor="text1"/>
          <w:sz w:val="16"/>
          <w:szCs w:val="16"/>
        </w:rPr>
        <w:softHyphen/>
        <w:t>стоятельно изложил то, что происходило тогда на заводе № 19 на самом деле.</w:t>
      </w:r>
    </w:p>
    <w:p w14:paraId="085B8ECC" w14:textId="77777777" w:rsidR="002A5DBF" w:rsidRPr="00925F26" w:rsidRDefault="002A5DBF" w:rsidP="00925F26">
      <w:pPr>
        <w:jc w:val="both"/>
        <w:rPr>
          <w:color w:val="000000" w:themeColor="text1"/>
          <w:sz w:val="16"/>
          <w:szCs w:val="16"/>
        </w:rPr>
      </w:pPr>
      <w:r w:rsidRPr="00925F26">
        <w:rPr>
          <w:color w:val="000000" w:themeColor="text1"/>
          <w:sz w:val="16"/>
          <w:szCs w:val="16"/>
        </w:rPr>
        <w:t>«В основу проведения работ по борьбе с преждевременным износом и уступчатой вы</w:t>
      </w:r>
      <w:r w:rsidRPr="00925F26">
        <w:rPr>
          <w:color w:val="000000" w:themeColor="text1"/>
          <w:sz w:val="16"/>
          <w:szCs w:val="16"/>
        </w:rPr>
        <w:softHyphen/>
        <w:t>работки цилиндров моторов АШ-82ФН в 1945 году, за исключением нескольких предло</w:t>
      </w:r>
      <w:r w:rsidRPr="00925F26">
        <w:rPr>
          <w:color w:val="000000" w:themeColor="text1"/>
          <w:sz w:val="16"/>
          <w:szCs w:val="16"/>
        </w:rPr>
        <w:softHyphen/>
        <w:t>жений возникших в последнее время, были вновь положены предположения о причинах образования дефекта, уже неоднократно подвергавшиеся проверке в прошлые годы на различных типах выпускаемых заводом моторах.</w:t>
      </w:r>
    </w:p>
    <w:p w14:paraId="3B81D84A" w14:textId="77777777" w:rsidR="002A5DBF" w:rsidRPr="00925F26" w:rsidRDefault="002A5DBF" w:rsidP="00925F26">
      <w:pPr>
        <w:jc w:val="both"/>
        <w:rPr>
          <w:color w:val="000000" w:themeColor="text1"/>
          <w:sz w:val="16"/>
          <w:szCs w:val="16"/>
        </w:rPr>
      </w:pPr>
      <w:r w:rsidRPr="00925F26">
        <w:rPr>
          <w:color w:val="000000" w:themeColor="text1"/>
          <w:sz w:val="16"/>
          <w:szCs w:val="16"/>
        </w:rPr>
        <w:t>Кратко эти предложения сводятся к следующему:</w:t>
      </w:r>
    </w:p>
    <w:p w14:paraId="7F5360DA" w14:textId="77777777" w:rsidR="002A5DBF" w:rsidRPr="00925F26" w:rsidRDefault="002A5DBF" w:rsidP="00925F26">
      <w:pPr>
        <w:tabs>
          <w:tab w:val="left" w:pos="498"/>
        </w:tabs>
        <w:jc w:val="both"/>
        <w:rPr>
          <w:color w:val="000000" w:themeColor="text1"/>
          <w:sz w:val="16"/>
          <w:szCs w:val="16"/>
        </w:rPr>
      </w:pPr>
      <w:r w:rsidRPr="00925F26">
        <w:rPr>
          <w:color w:val="000000" w:themeColor="text1"/>
          <w:sz w:val="16"/>
          <w:szCs w:val="16"/>
        </w:rPr>
        <w:t>1. Неравномерная глубина и твердость азотированного слоя по длине рабочей по</w:t>
      </w:r>
      <w:r w:rsidRPr="00925F26">
        <w:rPr>
          <w:color w:val="000000" w:themeColor="text1"/>
          <w:sz w:val="16"/>
          <w:szCs w:val="16"/>
        </w:rPr>
        <w:softHyphen/>
        <w:t>верхности гильзы.</w:t>
      </w:r>
    </w:p>
    <w:p w14:paraId="3CB78075" w14:textId="77777777" w:rsidR="002A5DBF" w:rsidRPr="00925F26" w:rsidRDefault="002A5DBF" w:rsidP="00925F26">
      <w:pPr>
        <w:tabs>
          <w:tab w:val="left" w:pos="320"/>
        </w:tabs>
        <w:jc w:val="both"/>
        <w:rPr>
          <w:color w:val="000000" w:themeColor="text1"/>
          <w:sz w:val="16"/>
          <w:szCs w:val="16"/>
        </w:rPr>
      </w:pPr>
      <w:r w:rsidRPr="00925F26">
        <w:rPr>
          <w:color w:val="000000" w:themeColor="text1"/>
          <w:sz w:val="16"/>
          <w:szCs w:val="16"/>
        </w:rPr>
        <w:t>2. Распор силами газов верхнего поршневого кольца в такте расширения.</w:t>
      </w:r>
    </w:p>
    <w:p w14:paraId="66C7ECAE" w14:textId="77777777" w:rsidR="002A5DBF" w:rsidRPr="00925F26" w:rsidRDefault="002A5DBF" w:rsidP="00925F26">
      <w:pPr>
        <w:tabs>
          <w:tab w:val="left" w:pos="483"/>
        </w:tabs>
        <w:jc w:val="both"/>
        <w:rPr>
          <w:color w:val="000000" w:themeColor="text1"/>
          <w:sz w:val="16"/>
          <w:szCs w:val="16"/>
        </w:rPr>
      </w:pPr>
      <w:r w:rsidRPr="00925F26">
        <w:rPr>
          <w:color w:val="000000" w:themeColor="text1"/>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сгоранию и коксованию в них масла и, следовательно, к быстрому износу цилиндров.</w:t>
      </w:r>
    </w:p>
    <w:p w14:paraId="1ECFC9CC" w14:textId="77777777" w:rsidR="002A5DBF" w:rsidRPr="00925F26" w:rsidRDefault="002A5DBF" w:rsidP="00925F26">
      <w:pPr>
        <w:tabs>
          <w:tab w:val="left" w:pos="517"/>
        </w:tabs>
        <w:jc w:val="both"/>
        <w:rPr>
          <w:color w:val="000000" w:themeColor="text1"/>
          <w:sz w:val="16"/>
          <w:szCs w:val="16"/>
        </w:rPr>
      </w:pPr>
      <w:r w:rsidRPr="00925F26">
        <w:rPr>
          <w:color w:val="000000" w:themeColor="text1"/>
          <w:sz w:val="16"/>
          <w:szCs w:val="16"/>
        </w:rPr>
        <w:t>4. Высокая степень чистоты рабочей поверхности цилиндра, недостаточно хорошо удерживающая масло, особенно в верхней части цилиндра, в начальный период работы...</w:t>
      </w:r>
    </w:p>
    <w:p w14:paraId="247D50E2" w14:textId="77777777" w:rsidR="002A5DBF" w:rsidRPr="00925F26" w:rsidRDefault="002A5DBF" w:rsidP="00925F26">
      <w:pPr>
        <w:tabs>
          <w:tab w:val="left" w:pos="474"/>
        </w:tabs>
        <w:jc w:val="both"/>
        <w:rPr>
          <w:color w:val="000000" w:themeColor="text1"/>
          <w:sz w:val="16"/>
          <w:szCs w:val="16"/>
        </w:rPr>
      </w:pPr>
      <w:r w:rsidRPr="00925F26">
        <w:rPr>
          <w:color w:val="000000" w:themeColor="text1"/>
          <w:sz w:val="16"/>
          <w:szCs w:val="16"/>
        </w:rPr>
        <w:t>5. Отступления от технологии испытания моторов, заключающиеся в игнорировании за</w:t>
      </w:r>
      <w:r w:rsidRPr="00925F26">
        <w:rPr>
          <w:color w:val="000000" w:themeColor="text1"/>
          <w:sz w:val="16"/>
          <w:szCs w:val="16"/>
        </w:rPr>
        <w:softHyphen/>
        <w:t>ливки масла в цилиндры перед началом испытания, прокачки масломагистрали... горя</w:t>
      </w:r>
      <w:r w:rsidRPr="00925F26">
        <w:rPr>
          <w:color w:val="000000" w:themeColor="text1"/>
          <w:sz w:val="16"/>
          <w:szCs w:val="16"/>
        </w:rPr>
        <w:softHyphen/>
        <w:t>чим маслом перед запуском и недостаточном прогреве моторов во время приработки.</w:t>
      </w:r>
    </w:p>
    <w:p w14:paraId="7694A34C" w14:textId="77777777" w:rsidR="002A5DBF" w:rsidRPr="00925F26" w:rsidRDefault="002A5DBF" w:rsidP="00925F26">
      <w:pPr>
        <w:tabs>
          <w:tab w:val="left" w:pos="320"/>
        </w:tabs>
        <w:jc w:val="both"/>
        <w:rPr>
          <w:color w:val="000000" w:themeColor="text1"/>
          <w:sz w:val="16"/>
          <w:szCs w:val="16"/>
        </w:rPr>
      </w:pPr>
      <w:r w:rsidRPr="00925F26">
        <w:rPr>
          <w:color w:val="000000" w:themeColor="text1"/>
          <w:sz w:val="16"/>
          <w:szCs w:val="16"/>
        </w:rPr>
        <w:t>6. Короткая (по времени) приработка моторов перед контрольным испытанием.</w:t>
      </w:r>
    </w:p>
    <w:p w14:paraId="3F499977" w14:textId="77777777" w:rsidR="002A5DBF" w:rsidRPr="00925F26" w:rsidRDefault="002A5DBF" w:rsidP="00925F26">
      <w:pPr>
        <w:tabs>
          <w:tab w:val="left" w:pos="478"/>
        </w:tabs>
        <w:jc w:val="both"/>
        <w:rPr>
          <w:color w:val="000000" w:themeColor="text1"/>
          <w:sz w:val="16"/>
          <w:szCs w:val="16"/>
        </w:rPr>
      </w:pPr>
      <w:r w:rsidRPr="00925F26">
        <w:rPr>
          <w:color w:val="000000" w:themeColor="text1"/>
          <w:sz w:val="16"/>
          <w:szCs w:val="16"/>
        </w:rPr>
        <w:t>7. Плохая работа топливной аппаратуры, могущая проявляться в некачественном рас</w:t>
      </w:r>
      <w:r w:rsidRPr="00925F26">
        <w:rPr>
          <w:color w:val="000000" w:themeColor="text1"/>
          <w:sz w:val="16"/>
          <w:szCs w:val="16"/>
        </w:rPr>
        <w:softHyphen/>
        <w:t>пыле топлива форсунками и неравномерной подаче топлива по цилиндрам насосом не</w:t>
      </w:r>
      <w:r w:rsidRPr="00925F26">
        <w:rPr>
          <w:color w:val="000000" w:themeColor="text1"/>
          <w:sz w:val="16"/>
          <w:szCs w:val="16"/>
        </w:rPr>
        <w:softHyphen/>
        <w:t>посредственного впрыска.</w:t>
      </w:r>
    </w:p>
    <w:p w14:paraId="059131A4" w14:textId="77777777" w:rsidR="002A5DBF" w:rsidRPr="00925F26" w:rsidRDefault="002A5DBF" w:rsidP="00925F26">
      <w:pPr>
        <w:tabs>
          <w:tab w:val="left" w:pos="507"/>
        </w:tabs>
        <w:jc w:val="both"/>
        <w:rPr>
          <w:color w:val="000000" w:themeColor="text1"/>
          <w:sz w:val="16"/>
          <w:szCs w:val="16"/>
        </w:rPr>
      </w:pPr>
      <w:r w:rsidRPr="00925F26">
        <w:rPr>
          <w:color w:val="000000" w:themeColor="text1"/>
          <w:sz w:val="16"/>
          <w:szCs w:val="16"/>
        </w:rPr>
        <w:t>8. Неравномерное распределение воздуха воздушными дефлекторами, устанавли</w:t>
      </w:r>
      <w:r w:rsidRPr="00925F26">
        <w:rPr>
          <w:color w:val="000000" w:themeColor="text1"/>
          <w:sz w:val="16"/>
          <w:szCs w:val="16"/>
        </w:rPr>
        <w:softHyphen/>
        <w:t>ваемыми на цилиндры моторов, собираемых на контрольное испытание и ведущее к неравномерным тепловым деформациям цилиндров.</w:t>
      </w:r>
    </w:p>
    <w:p w14:paraId="2E2A1807" w14:textId="77777777" w:rsidR="002A5DBF" w:rsidRPr="00925F26" w:rsidRDefault="002A5DBF" w:rsidP="00925F26">
      <w:pPr>
        <w:tabs>
          <w:tab w:val="left" w:pos="464"/>
        </w:tabs>
        <w:jc w:val="both"/>
        <w:rPr>
          <w:color w:val="000000" w:themeColor="text1"/>
          <w:sz w:val="16"/>
          <w:szCs w:val="16"/>
        </w:rPr>
      </w:pPr>
      <w:r w:rsidRPr="00925F26">
        <w:rPr>
          <w:color w:val="000000" w:themeColor="text1"/>
          <w:sz w:val="16"/>
          <w:szCs w:val="16"/>
        </w:rPr>
        <w:t>9. Завышенные перекосы отверстий в главном шатуне под пальцы прицепных шатунов и фланца крепления цилиндров к зеркалу цилиндра, нарушающее движение поршня по рабочей поверхности цилиндра.</w:t>
      </w:r>
    </w:p>
    <w:p w14:paraId="1FE887E8" w14:textId="77777777" w:rsidR="002A5DBF" w:rsidRPr="00925F26" w:rsidRDefault="002A5DBF" w:rsidP="00925F26">
      <w:pPr>
        <w:tabs>
          <w:tab w:val="left" w:pos="392"/>
        </w:tabs>
        <w:jc w:val="both"/>
        <w:rPr>
          <w:color w:val="000000" w:themeColor="text1"/>
          <w:sz w:val="16"/>
          <w:szCs w:val="16"/>
        </w:rPr>
      </w:pPr>
      <w:r w:rsidRPr="00925F26">
        <w:rPr>
          <w:color w:val="000000" w:themeColor="text1"/>
          <w:sz w:val="16"/>
          <w:szCs w:val="16"/>
        </w:rPr>
        <w:t>10. Осушающее действие маслосборных колец, расположенных в 4-й канавке поршня.</w:t>
      </w:r>
    </w:p>
    <w:p w14:paraId="36B28E12" w14:textId="77777777" w:rsidR="002A5DBF" w:rsidRPr="00925F26" w:rsidRDefault="002A5DBF" w:rsidP="00925F26">
      <w:pPr>
        <w:tabs>
          <w:tab w:val="left" w:pos="411"/>
        </w:tabs>
        <w:jc w:val="both"/>
        <w:rPr>
          <w:color w:val="000000" w:themeColor="text1"/>
          <w:sz w:val="16"/>
          <w:szCs w:val="16"/>
        </w:rPr>
      </w:pPr>
      <w:r w:rsidRPr="00925F26">
        <w:rPr>
          <w:color w:val="000000" w:themeColor="text1"/>
          <w:sz w:val="16"/>
          <w:szCs w:val="16"/>
        </w:rPr>
        <w:t>11. Повышенное содержание в масле бензина.</w:t>
      </w:r>
    </w:p>
    <w:p w14:paraId="7B012A9E" w14:textId="77777777" w:rsidR="002A5DBF" w:rsidRPr="00925F26" w:rsidRDefault="002A5DBF" w:rsidP="00925F26">
      <w:pPr>
        <w:tabs>
          <w:tab w:val="left" w:pos="411"/>
        </w:tabs>
        <w:jc w:val="both"/>
        <w:rPr>
          <w:color w:val="000000" w:themeColor="text1"/>
          <w:sz w:val="16"/>
          <w:szCs w:val="16"/>
        </w:rPr>
      </w:pPr>
      <w:r w:rsidRPr="00925F26">
        <w:rPr>
          <w:color w:val="000000" w:themeColor="text1"/>
          <w:sz w:val="16"/>
          <w:szCs w:val="16"/>
        </w:rPr>
        <w:t>12.</w:t>
      </w:r>
      <w:r w:rsidRPr="00925F26">
        <w:rPr>
          <w:rStyle w:val="aff9"/>
          <w:rFonts w:ascii="Times New Roman" w:cs="Times New Roman"/>
          <w:b w:val="0"/>
          <w:color w:val="000000" w:themeColor="text1"/>
          <w:spacing w:val="0"/>
          <w:sz w:val="16"/>
          <w:szCs w:val="16"/>
        </w:rPr>
        <w:t xml:space="preserve"> Возможность</w:t>
      </w:r>
      <w:r w:rsidRPr="00925F26">
        <w:rPr>
          <w:color w:val="000000" w:themeColor="text1"/>
          <w:sz w:val="16"/>
          <w:szCs w:val="16"/>
        </w:rPr>
        <w:t xml:space="preserve"> дымления цилиндров, если на них отсутствует уступчатая</w:t>
      </w:r>
      <w:r w:rsidRPr="00925F26">
        <w:rPr>
          <w:rStyle w:val="aff9"/>
          <w:rFonts w:ascii="Times New Roman" w:cs="Times New Roman"/>
          <w:b w:val="0"/>
          <w:color w:val="000000" w:themeColor="text1"/>
          <w:spacing w:val="0"/>
          <w:sz w:val="16"/>
          <w:szCs w:val="16"/>
        </w:rPr>
        <w:t xml:space="preserve"> выработка, </w:t>
      </w:r>
      <w:r w:rsidRPr="00925F26">
        <w:rPr>
          <w:color w:val="000000" w:themeColor="text1"/>
          <w:sz w:val="16"/>
          <w:szCs w:val="16"/>
        </w:rPr>
        <w:t>от неравномерной затяжки цилиндровых гаек.</w:t>
      </w:r>
    </w:p>
    <w:p w14:paraId="76CCE6AE" w14:textId="77777777" w:rsidR="002A5DBF" w:rsidRPr="00925F26" w:rsidRDefault="002A5DBF" w:rsidP="00925F26">
      <w:pPr>
        <w:tabs>
          <w:tab w:val="left" w:pos="543"/>
        </w:tabs>
        <w:jc w:val="both"/>
        <w:rPr>
          <w:color w:val="000000" w:themeColor="text1"/>
          <w:sz w:val="16"/>
          <w:szCs w:val="16"/>
        </w:rPr>
      </w:pPr>
      <w:r w:rsidRPr="00925F26">
        <w:rPr>
          <w:color w:val="000000" w:themeColor="text1"/>
          <w:sz w:val="16"/>
          <w:szCs w:val="16"/>
        </w:rPr>
        <w:t>13. Режущее действие 1-го поршневого кольца, имеющего острую рабочую кромку и работающего по сравнению с другими кольцами в наиболее трудных условиях.</w:t>
      </w:r>
    </w:p>
    <w:p w14:paraId="2DBAA802" w14:textId="77777777" w:rsidR="002A5DBF" w:rsidRPr="00925F26" w:rsidRDefault="002A5DBF" w:rsidP="00925F26">
      <w:pPr>
        <w:tabs>
          <w:tab w:val="left" w:pos="510"/>
        </w:tabs>
        <w:jc w:val="both"/>
        <w:rPr>
          <w:color w:val="000000" w:themeColor="text1"/>
          <w:sz w:val="16"/>
          <w:szCs w:val="16"/>
        </w:rPr>
      </w:pPr>
      <w:r w:rsidRPr="00925F26">
        <w:rPr>
          <w:color w:val="000000" w:themeColor="text1"/>
          <w:sz w:val="16"/>
          <w:szCs w:val="16"/>
        </w:rPr>
        <w:t>14. а) Раструб, получающийся в верхней части гильзы в результате тепловой деформа</w:t>
      </w:r>
      <w:r w:rsidRPr="00925F26">
        <w:rPr>
          <w:color w:val="000000" w:themeColor="text1"/>
          <w:sz w:val="16"/>
          <w:szCs w:val="16"/>
        </w:rPr>
        <w:softHyphen/>
        <w:t>ции цилиндра и усугубляющий режущее действие 1-го газоуплотнительного кольца.</w:t>
      </w:r>
    </w:p>
    <w:p w14:paraId="6CCC25DF" w14:textId="77777777" w:rsidR="002A5DBF" w:rsidRPr="00925F26" w:rsidRDefault="002A5DBF" w:rsidP="00925F26">
      <w:pPr>
        <w:jc w:val="both"/>
        <w:rPr>
          <w:color w:val="000000" w:themeColor="text1"/>
          <w:sz w:val="16"/>
          <w:szCs w:val="16"/>
        </w:rPr>
      </w:pPr>
      <w:r w:rsidRPr="00925F26">
        <w:rPr>
          <w:color w:val="000000" w:themeColor="text1"/>
          <w:sz w:val="16"/>
          <w:szCs w:val="16"/>
        </w:rPr>
        <w:t>б) Отрывание 1-го газоуплотнительного кольца от профиля рабочей поверхности на кривизне, образующей тепловой раструб в верхней части гильзы цилиндра.</w:t>
      </w:r>
    </w:p>
    <w:p w14:paraId="6ED5D159" w14:textId="77777777" w:rsidR="002A5DBF" w:rsidRPr="00925F26" w:rsidRDefault="002A5DBF" w:rsidP="00925F26">
      <w:pPr>
        <w:jc w:val="both"/>
        <w:rPr>
          <w:color w:val="000000" w:themeColor="text1"/>
          <w:sz w:val="16"/>
          <w:szCs w:val="16"/>
        </w:rPr>
      </w:pPr>
      <w:r w:rsidRPr="00925F26">
        <w:rPr>
          <w:color w:val="000000" w:themeColor="text1"/>
          <w:sz w:val="16"/>
          <w:szCs w:val="16"/>
        </w:rPr>
        <w:t>ПРОВЕДЕННЫЕ ОПЫТНЫЕ РАБОТЫ &lt;...&gt;</w:t>
      </w:r>
      <w:r w:rsidRPr="00925F26">
        <w:rPr>
          <w:color w:val="000000" w:themeColor="text1"/>
          <w:sz w:val="16"/>
          <w:szCs w:val="16"/>
          <w:vertAlign w:val="superscript"/>
        </w:rPr>
        <w:t>5</w:t>
      </w:r>
    </w:p>
    <w:p w14:paraId="1BCD2E8F" w14:textId="77777777" w:rsidR="002A5DBF" w:rsidRPr="00925F26" w:rsidRDefault="002A5DBF" w:rsidP="00925F26">
      <w:pPr>
        <w:jc w:val="both"/>
        <w:rPr>
          <w:color w:val="000000" w:themeColor="text1"/>
          <w:sz w:val="16"/>
          <w:szCs w:val="16"/>
        </w:rPr>
      </w:pPr>
      <w:r w:rsidRPr="00925F26">
        <w:rPr>
          <w:color w:val="000000" w:themeColor="text1"/>
          <w:sz w:val="16"/>
          <w:szCs w:val="16"/>
        </w:rPr>
        <w:t>...Вопрос создания профиля рабочей поверхности цилиндра, который в нагретом (ра</w:t>
      </w:r>
      <w:r w:rsidRPr="00925F26">
        <w:rPr>
          <w:color w:val="000000" w:themeColor="text1"/>
          <w:sz w:val="16"/>
          <w:szCs w:val="16"/>
        </w:rPr>
        <w:softHyphen/>
        <w:t>бочем) состоянии максимально соответствовал бы цилиндрическому, начал занимать внимание конструкторов нашего завода ещё в 1939 г., но тогда все начатые в этом на</w:t>
      </w:r>
      <w:r w:rsidRPr="00925F26">
        <w:rPr>
          <w:color w:val="000000" w:themeColor="text1"/>
          <w:sz w:val="16"/>
          <w:szCs w:val="16"/>
        </w:rPr>
        <w:softHyphen/>
        <w:t>правлении работы вследствие быстрой смены серийных объектов остались незакончен</w:t>
      </w:r>
      <w:r w:rsidRPr="00925F26">
        <w:rPr>
          <w:color w:val="000000" w:themeColor="text1"/>
          <w:sz w:val="16"/>
          <w:szCs w:val="16"/>
        </w:rPr>
        <w:softHyphen/>
        <w:t>ными. И только с начала 1943 г., после внедрение в серию мощного мотора АШ-82ФН этот вопрос приобрел соответствующую остроту в связи с наблюдавшимися на этих мо</w:t>
      </w:r>
      <w:r w:rsidRPr="00925F26">
        <w:rPr>
          <w:color w:val="000000" w:themeColor="text1"/>
          <w:sz w:val="16"/>
          <w:szCs w:val="16"/>
        </w:rPr>
        <w:softHyphen/>
        <w:t>торах дефектами преждевременного износа и уступчатой выработки цилиндров.</w:t>
      </w:r>
    </w:p>
    <w:p w14:paraId="297FD4BB" w14:textId="77777777" w:rsidR="002A5DBF" w:rsidRPr="00925F26" w:rsidRDefault="002A5DBF" w:rsidP="00925F26">
      <w:pPr>
        <w:jc w:val="both"/>
        <w:rPr>
          <w:color w:val="000000" w:themeColor="text1"/>
          <w:sz w:val="16"/>
          <w:szCs w:val="16"/>
        </w:rPr>
      </w:pPr>
      <w:r w:rsidRPr="00925F26">
        <w:rPr>
          <w:color w:val="000000" w:themeColor="text1"/>
          <w:sz w:val="16"/>
          <w:szCs w:val="16"/>
        </w:rPr>
        <w:t>С 1943 г. после ряда проведённых кратковременных и длительных испытаний (в том числе 2-х испытаний по 150 часов) были отработаны для внедрения в серийное произ</w:t>
      </w:r>
      <w:r w:rsidRPr="00925F26">
        <w:rPr>
          <w:color w:val="000000" w:themeColor="text1"/>
          <w:sz w:val="16"/>
          <w:szCs w:val="16"/>
        </w:rPr>
        <w:softHyphen/>
        <w:t>водство цилиндры с параболическим профилем рабочей поверхности в верхней части, обеспечивающим с расстояния 80-100 мм от верхнего торца гильзы плавное сужение верхнего отверстия гильзы на 0,15-0,25 мм.</w:t>
      </w:r>
    </w:p>
    <w:p w14:paraId="2810C6ED" w14:textId="77777777" w:rsidR="002A5DBF" w:rsidRPr="00925F26" w:rsidRDefault="002A5DBF" w:rsidP="00925F26">
      <w:pPr>
        <w:jc w:val="both"/>
        <w:rPr>
          <w:color w:val="000000" w:themeColor="text1"/>
          <w:sz w:val="16"/>
          <w:szCs w:val="16"/>
        </w:rPr>
      </w:pPr>
      <w:r w:rsidRPr="00925F26">
        <w:rPr>
          <w:color w:val="000000" w:themeColor="text1"/>
          <w:sz w:val="16"/>
          <w:szCs w:val="16"/>
        </w:rPr>
        <w:t>Такой профиль рабочей поверхности приблизительно на половину уменьшал тепловой раструб в верхней части цилиндра... и, по мнению конструкторов, должен был значитель</w:t>
      </w:r>
      <w:r w:rsidRPr="00925F26">
        <w:rPr>
          <w:color w:val="000000" w:themeColor="text1"/>
          <w:sz w:val="16"/>
          <w:szCs w:val="16"/>
        </w:rPr>
        <w:softHyphen/>
        <w:t>но уменьшить возможность образования на рабочей поверхности цилиндров уступчатой выработки и удлинить срок службы цилиндров за счёт увеличивающейся в этом случае нормы износа до прежнего ремонтного размера.</w:t>
      </w:r>
    </w:p>
    <w:p w14:paraId="26AC4665" w14:textId="77777777" w:rsidR="002A5DBF" w:rsidRPr="00925F26" w:rsidRDefault="002A5DBF" w:rsidP="00925F26">
      <w:pPr>
        <w:jc w:val="both"/>
        <w:rPr>
          <w:color w:val="000000" w:themeColor="text1"/>
          <w:sz w:val="16"/>
          <w:szCs w:val="16"/>
        </w:rPr>
      </w:pPr>
      <w:r w:rsidRPr="00925F26">
        <w:rPr>
          <w:color w:val="000000" w:themeColor="text1"/>
          <w:sz w:val="16"/>
          <w:szCs w:val="16"/>
        </w:rPr>
        <w:t>Внедрение в серийное производство цилиндров с параболическим профилем зеркала началось в феврале месяце 1945 г. сборкой и испытанием одного—двух моторов в сутки.</w:t>
      </w:r>
    </w:p>
    <w:p w14:paraId="3A15516E" w14:textId="77777777" w:rsidR="002A5DBF" w:rsidRPr="00925F26" w:rsidRDefault="002A5DBF" w:rsidP="00925F26">
      <w:pPr>
        <w:jc w:val="both"/>
        <w:rPr>
          <w:color w:val="000000" w:themeColor="text1"/>
          <w:sz w:val="16"/>
          <w:szCs w:val="16"/>
        </w:rPr>
      </w:pPr>
      <w:r w:rsidRPr="00925F26">
        <w:rPr>
          <w:color w:val="000000" w:themeColor="text1"/>
          <w:sz w:val="16"/>
          <w:szCs w:val="16"/>
        </w:rPr>
        <w:t>За этот период было собрано и испытано около 70 моторов, из которых по дымлению и уступчатой выработке цилиндров было снято только 6 моторов.</w:t>
      </w:r>
    </w:p>
    <w:p w14:paraId="5EE1C067" w14:textId="77777777" w:rsidR="002A5DBF" w:rsidRPr="00925F26" w:rsidRDefault="002A5DBF" w:rsidP="00925F26">
      <w:pPr>
        <w:jc w:val="both"/>
        <w:rPr>
          <w:color w:val="000000" w:themeColor="text1"/>
          <w:sz w:val="16"/>
          <w:szCs w:val="16"/>
        </w:rPr>
      </w:pPr>
      <w:r w:rsidRPr="00925F26">
        <w:rPr>
          <w:color w:val="000000" w:themeColor="text1"/>
          <w:sz w:val="16"/>
          <w:szCs w:val="16"/>
        </w:rPr>
        <w:t>Полный переход на такие цилиндры осуществили в конце апреля 1945 г. вследствие резкого возрастания, по причине указанных дефектов, съёма с контрольного испытания моторов АШ-82ФН. Но этим поставленной цели достигнуть не удалось, так как дефект не только не снизился, а наоборот продолжал расти и в период половины мая достиг ка</w:t>
      </w:r>
      <w:r w:rsidRPr="00925F26">
        <w:rPr>
          <w:color w:val="000000" w:themeColor="text1"/>
          <w:sz w:val="16"/>
          <w:szCs w:val="16"/>
        </w:rPr>
        <w:softHyphen/>
        <w:t>тастрофической величины, составившей 40% съёма моторов от числа поставленных на испытание.</w:t>
      </w:r>
    </w:p>
    <w:p w14:paraId="159F0849" w14:textId="77777777" w:rsidR="002A5DBF" w:rsidRPr="00925F26" w:rsidRDefault="002A5DBF" w:rsidP="00925F26">
      <w:pPr>
        <w:jc w:val="both"/>
        <w:rPr>
          <w:color w:val="000000" w:themeColor="text1"/>
          <w:sz w:val="16"/>
          <w:szCs w:val="16"/>
        </w:rPr>
      </w:pPr>
      <w:r w:rsidRPr="00925F26">
        <w:rPr>
          <w:color w:val="000000" w:themeColor="text1"/>
          <w:sz w:val="16"/>
          <w:szCs w:val="16"/>
        </w:rPr>
        <w:t>В результате такого положения, сложившегося у некоторых ответственных работни</w:t>
      </w:r>
      <w:r w:rsidRPr="00925F26">
        <w:rPr>
          <w:color w:val="000000" w:themeColor="text1"/>
          <w:sz w:val="16"/>
          <w:szCs w:val="16"/>
        </w:rPr>
        <w:softHyphen/>
        <w:t>ков завода убеждения, что основной причиной такого интенсивного развития дефекта являются вновь введенные цилиндры с параболическим профилем зеркала, последние с 15-го мая, по указанию директора завода, с производства сняты и заменены цилин</w:t>
      </w:r>
      <w:r w:rsidRPr="00925F26">
        <w:rPr>
          <w:color w:val="000000" w:themeColor="text1"/>
          <w:sz w:val="16"/>
          <w:szCs w:val="16"/>
        </w:rPr>
        <w:softHyphen/>
        <w:t>драми прежней конструкции, т.е. с цилиндрическим профилем зеркала.</w:t>
      </w:r>
    </w:p>
    <w:p w14:paraId="110D9C55" w14:textId="77777777" w:rsidR="002A5DBF" w:rsidRPr="00925F26" w:rsidRDefault="002A5DBF" w:rsidP="00925F26">
      <w:pPr>
        <w:jc w:val="both"/>
        <w:rPr>
          <w:color w:val="000000" w:themeColor="text1"/>
          <w:sz w:val="16"/>
          <w:szCs w:val="16"/>
        </w:rPr>
      </w:pPr>
      <w:r w:rsidRPr="00925F26">
        <w:rPr>
          <w:color w:val="000000" w:themeColor="text1"/>
          <w:sz w:val="16"/>
          <w:szCs w:val="16"/>
        </w:rPr>
        <w:t>Несколько позднее, анализом статистических данных установлено, что действительно, параболический профиль рабочей поверхности в верхней части цилиндра работу цилин</w:t>
      </w:r>
      <w:r w:rsidRPr="00925F26">
        <w:rPr>
          <w:color w:val="000000" w:themeColor="text1"/>
          <w:sz w:val="16"/>
          <w:szCs w:val="16"/>
        </w:rPr>
        <w:softHyphen/>
        <w:t>дровой группы нисколько не улучшает, ибо съём моторов по дымлению и отбраковка ци</w:t>
      </w:r>
      <w:r w:rsidRPr="00925F26">
        <w:rPr>
          <w:color w:val="000000" w:themeColor="text1"/>
          <w:sz w:val="16"/>
          <w:szCs w:val="16"/>
        </w:rPr>
        <w:softHyphen/>
        <w:t>линдров по уступчатой выработке для цилиндров с параболическим профилем зеркала и цилиндров с нормальным профилем зеркала составляет одну и ту же величину.</w:t>
      </w:r>
    </w:p>
    <w:p w14:paraId="52332B1D" w14:textId="77777777" w:rsidR="002A5DBF" w:rsidRPr="00925F26" w:rsidRDefault="002A5DBF" w:rsidP="00925F26">
      <w:pPr>
        <w:jc w:val="both"/>
        <w:rPr>
          <w:color w:val="000000" w:themeColor="text1"/>
          <w:sz w:val="16"/>
          <w:szCs w:val="16"/>
        </w:rPr>
      </w:pPr>
      <w:r w:rsidRPr="00925F26">
        <w:rPr>
          <w:color w:val="000000" w:themeColor="text1"/>
          <w:sz w:val="16"/>
          <w:szCs w:val="16"/>
        </w:rPr>
        <w:t>Но на этом работы с исследованием профиля рабочей поверхности не прекратились, а продолжали развиваться дальше в свете новой гипотезы о природе образования уступов, высказанной Главным Конструктором А.Д. Швецовым.</w:t>
      </w:r>
    </w:p>
    <w:p w14:paraId="1009E742" w14:textId="77777777" w:rsidR="002A5DBF" w:rsidRPr="00925F26" w:rsidRDefault="002A5DBF" w:rsidP="00925F26">
      <w:pPr>
        <w:jc w:val="both"/>
        <w:rPr>
          <w:color w:val="000000" w:themeColor="text1"/>
          <w:sz w:val="16"/>
          <w:szCs w:val="16"/>
        </w:rPr>
      </w:pPr>
      <w:r w:rsidRPr="00925F26">
        <w:rPr>
          <w:color w:val="000000" w:themeColor="text1"/>
          <w:sz w:val="16"/>
          <w:szCs w:val="16"/>
        </w:rPr>
        <w:t>Сущность этой гипотезы заключается в предположении периодического отставания главным образом первого газоуплотнительного кольца поршня от профиля зеркала ци</w:t>
      </w:r>
      <w:r w:rsidRPr="00925F26">
        <w:rPr>
          <w:color w:val="000000" w:themeColor="text1"/>
          <w:sz w:val="16"/>
          <w:szCs w:val="16"/>
        </w:rPr>
        <w:softHyphen/>
        <w:t>линдра в начале раструба, образующегося в верхней части гильзы в результате её те</w:t>
      </w:r>
      <w:r w:rsidRPr="00925F26">
        <w:rPr>
          <w:color w:val="000000" w:themeColor="text1"/>
          <w:sz w:val="16"/>
          <w:szCs w:val="16"/>
        </w:rPr>
        <w:softHyphen/>
        <w:t>пловой деформации. Отрыв кольца происходит под действием большой скорости движения, максимальные значения которой (17-20 мт/сек), как подтвердили исследо</w:t>
      </w:r>
      <w:r w:rsidRPr="00925F26">
        <w:rPr>
          <w:color w:val="000000" w:themeColor="text1"/>
          <w:sz w:val="16"/>
          <w:szCs w:val="16"/>
        </w:rPr>
        <w:softHyphen/>
        <w:t>вания профиля зеркала цилиндра в нагретом состоянии, совпадают с моментом про</w:t>
      </w:r>
      <w:r w:rsidRPr="00925F26">
        <w:rPr>
          <w:color w:val="000000" w:themeColor="text1"/>
          <w:sz w:val="16"/>
          <w:szCs w:val="16"/>
        </w:rPr>
        <w:softHyphen/>
        <w:t>хождения кольцом кривизны, образующей раструб.</w:t>
      </w:r>
    </w:p>
    <w:p w14:paraId="66F97BC8" w14:textId="77777777" w:rsidR="002A5DBF" w:rsidRPr="00925F26" w:rsidRDefault="002A5DBF" w:rsidP="00925F26">
      <w:pPr>
        <w:jc w:val="both"/>
        <w:rPr>
          <w:color w:val="000000" w:themeColor="text1"/>
          <w:sz w:val="16"/>
          <w:szCs w:val="16"/>
        </w:rPr>
      </w:pPr>
      <w:r w:rsidRPr="00925F26">
        <w:rPr>
          <w:color w:val="000000" w:themeColor="text1"/>
          <w:sz w:val="16"/>
          <w:szCs w:val="16"/>
        </w:rPr>
        <w:t>Периодически отрываясь от профиля рабочей поверхности, кольцо под действием силы упругости разжимается и с ударом вновь соприкасается с зеркалом, производя в месте удара уступчатую выработку. Наиболее вероятным тактом рабочего процесса, в котором происходит отрыв кольца от зеркала цилиндра, следует предполагать такт вы</w:t>
      </w:r>
      <w:r w:rsidRPr="00925F26">
        <w:rPr>
          <w:color w:val="000000" w:themeColor="text1"/>
          <w:sz w:val="16"/>
          <w:szCs w:val="16"/>
        </w:rPr>
        <w:softHyphen/>
        <w:t>хлопа, так как в этом такте верхнее кольцо свободно от воздействия на него газовых усилий и в основном находится только под влиянием сил собственной упругости и си</w:t>
      </w:r>
      <w:r w:rsidRPr="00925F26">
        <w:rPr>
          <w:color w:val="000000" w:themeColor="text1"/>
          <w:sz w:val="16"/>
          <w:szCs w:val="16"/>
        </w:rPr>
        <w:softHyphen/>
        <w:t>лы инерции, развивающейся от давления. Естественно, что для исключения явления отставания кольца от профиля рабочей поверхности этот профиль в нагретом состоя</w:t>
      </w:r>
      <w:r w:rsidRPr="00925F26">
        <w:rPr>
          <w:color w:val="000000" w:themeColor="text1"/>
          <w:sz w:val="16"/>
          <w:szCs w:val="16"/>
        </w:rPr>
        <w:softHyphen/>
        <w:t>нии должен максимально приближаться к цилиндрическому.</w:t>
      </w:r>
    </w:p>
    <w:p w14:paraId="0C0E9953" w14:textId="77777777" w:rsidR="002A5DBF" w:rsidRPr="00925F26" w:rsidRDefault="002A5DBF" w:rsidP="00925F26">
      <w:pPr>
        <w:jc w:val="both"/>
        <w:rPr>
          <w:color w:val="000000" w:themeColor="text1"/>
          <w:sz w:val="16"/>
          <w:szCs w:val="16"/>
        </w:rPr>
      </w:pPr>
      <w:r w:rsidRPr="00925F26">
        <w:rPr>
          <w:color w:val="000000" w:themeColor="text1"/>
          <w:sz w:val="16"/>
          <w:szCs w:val="16"/>
        </w:rPr>
        <w:t>Рядом проведенных опытов удалось установить, что лучшим профилем рабочей по</w:t>
      </w:r>
      <w:r w:rsidRPr="00925F26">
        <w:rPr>
          <w:color w:val="000000" w:themeColor="text1"/>
          <w:sz w:val="16"/>
          <w:szCs w:val="16"/>
        </w:rPr>
        <w:softHyphen/>
        <w:t>верхности цилиндра, который в нагретом состоянии максимально приближается к ци</w:t>
      </w:r>
      <w:r w:rsidRPr="00925F26">
        <w:rPr>
          <w:color w:val="000000" w:themeColor="text1"/>
          <w:sz w:val="16"/>
          <w:szCs w:val="16"/>
        </w:rPr>
        <w:softHyphen/>
        <w:t>линдрическому, является профиль, соответствующий деформации верхнего конца окончательно обработанной по зеркалу гильзы после навёртывания на нее головки.</w:t>
      </w:r>
    </w:p>
    <w:p w14:paraId="271CCDAF" w14:textId="77777777" w:rsidR="002A5DBF" w:rsidRPr="00925F26" w:rsidRDefault="002A5DBF" w:rsidP="00925F26">
      <w:pPr>
        <w:jc w:val="both"/>
        <w:rPr>
          <w:color w:val="000000" w:themeColor="text1"/>
          <w:sz w:val="16"/>
          <w:szCs w:val="16"/>
        </w:rPr>
      </w:pPr>
      <w:r w:rsidRPr="00925F26">
        <w:rPr>
          <w:color w:val="000000" w:themeColor="text1"/>
          <w:sz w:val="16"/>
          <w:szCs w:val="16"/>
        </w:rPr>
        <w:t>В этом случае уменьшение диаметра верхнего отверстия гильзы обеспечивается по про</w:t>
      </w:r>
      <w:r w:rsidRPr="00925F26">
        <w:rPr>
          <w:color w:val="000000" w:themeColor="text1"/>
          <w:sz w:val="16"/>
          <w:szCs w:val="16"/>
        </w:rPr>
        <w:softHyphen/>
        <w:t>извольной кривой на величину от 0,3 до 0,5 мм на длине 50-65 мм от верхнего торца...</w:t>
      </w:r>
    </w:p>
    <w:p w14:paraId="170B85D3" w14:textId="77777777" w:rsidR="002A5DBF" w:rsidRPr="00925F26" w:rsidRDefault="002A5DBF" w:rsidP="00925F26">
      <w:pPr>
        <w:jc w:val="both"/>
        <w:rPr>
          <w:color w:val="000000" w:themeColor="text1"/>
          <w:sz w:val="16"/>
          <w:szCs w:val="16"/>
        </w:rPr>
      </w:pPr>
      <w:r w:rsidRPr="00925F26">
        <w:rPr>
          <w:color w:val="000000" w:themeColor="text1"/>
          <w:sz w:val="16"/>
          <w:szCs w:val="16"/>
        </w:rPr>
        <w:t>Для проверки работы цилиндров с таким профилем было проведено:</w:t>
      </w:r>
    </w:p>
    <w:p w14:paraId="30199B90" w14:textId="77777777" w:rsidR="002A5DBF" w:rsidRPr="00925F26" w:rsidRDefault="002A5DBF" w:rsidP="00925F26">
      <w:pPr>
        <w:tabs>
          <w:tab w:val="left" w:pos="467"/>
        </w:tabs>
        <w:jc w:val="both"/>
        <w:rPr>
          <w:color w:val="000000" w:themeColor="text1"/>
          <w:sz w:val="16"/>
          <w:szCs w:val="16"/>
        </w:rPr>
      </w:pPr>
      <w:r w:rsidRPr="00925F26">
        <w:rPr>
          <w:color w:val="000000" w:themeColor="text1"/>
          <w:sz w:val="16"/>
          <w:szCs w:val="16"/>
        </w:rPr>
        <w:t>а) 50-ти часовое испытание на одноцилиндровой установке в паре с серийными поршневыми кольцами.</w:t>
      </w:r>
    </w:p>
    <w:p w14:paraId="6171A7B8"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износ за 50-ти часовое испытание не превышает износа, по</w:t>
      </w:r>
      <w:r w:rsidRPr="00925F26">
        <w:rPr>
          <w:color w:val="000000" w:themeColor="text1"/>
          <w:sz w:val="16"/>
          <w:szCs w:val="16"/>
        </w:rPr>
        <w:softHyphen/>
        <w:t>лучающегося за 10 часов на серийном цилиндре. Состояние поршневых колец хорошее.</w:t>
      </w:r>
    </w:p>
    <w:p w14:paraId="603C37D3" w14:textId="77777777" w:rsidR="002A5DBF" w:rsidRPr="00925F26" w:rsidRDefault="002A5DBF" w:rsidP="00925F26">
      <w:pPr>
        <w:tabs>
          <w:tab w:val="left" w:pos="472"/>
        </w:tabs>
        <w:jc w:val="both"/>
        <w:rPr>
          <w:color w:val="000000" w:themeColor="text1"/>
          <w:sz w:val="16"/>
          <w:szCs w:val="16"/>
        </w:rPr>
      </w:pPr>
      <w:r w:rsidRPr="00925F26">
        <w:rPr>
          <w:color w:val="000000" w:themeColor="text1"/>
          <w:sz w:val="16"/>
          <w:szCs w:val="16"/>
        </w:rPr>
        <w:t>б) 10-ти часовое моторное испытание с газоуплотнительными кольцами и в первой канавке поршней хромированными по образующей (образующая конусная). Результат испытания: износ цилиндров не превышает 0,04 мм. Состояние колец хорошее.</w:t>
      </w:r>
    </w:p>
    <w:p w14:paraId="01368EC5" w14:textId="77777777" w:rsidR="002A5DBF" w:rsidRPr="00925F26" w:rsidRDefault="002A5DBF" w:rsidP="00925F26">
      <w:pPr>
        <w:tabs>
          <w:tab w:val="left" w:pos="434"/>
        </w:tabs>
        <w:jc w:val="both"/>
        <w:rPr>
          <w:color w:val="000000" w:themeColor="text1"/>
          <w:sz w:val="16"/>
          <w:szCs w:val="16"/>
        </w:rPr>
      </w:pPr>
      <w:r w:rsidRPr="00925F26">
        <w:rPr>
          <w:color w:val="000000" w:themeColor="text1"/>
          <w:sz w:val="16"/>
          <w:szCs w:val="16"/>
        </w:rPr>
        <w:t>в) Испытание малой серии АШ-82ФН в количестве 60 моторов с постановкой в первую канавку всех поршней газоуплотнительного кольца с цилиндрической образующей.</w:t>
      </w:r>
    </w:p>
    <w:p w14:paraId="250FCB5F" w14:textId="77777777" w:rsidR="002A5DBF" w:rsidRPr="00925F26" w:rsidRDefault="002A5DBF" w:rsidP="00925F26">
      <w:pPr>
        <w:jc w:val="both"/>
        <w:rPr>
          <w:color w:val="000000" w:themeColor="text1"/>
          <w:sz w:val="16"/>
          <w:szCs w:val="16"/>
        </w:rPr>
      </w:pPr>
      <w:r w:rsidRPr="00925F26">
        <w:rPr>
          <w:color w:val="000000" w:themeColor="text1"/>
          <w:sz w:val="16"/>
          <w:szCs w:val="16"/>
        </w:rPr>
        <w:lastRenderedPageBreak/>
        <w:t>Результат испытания: после сдаточного испытания из числа опытных цилиндров, бы</w:t>
      </w:r>
      <w:r w:rsidRPr="00925F26">
        <w:rPr>
          <w:color w:val="000000" w:themeColor="text1"/>
          <w:sz w:val="16"/>
          <w:szCs w:val="16"/>
        </w:rPr>
        <w:softHyphen/>
        <w:t>ло обнаружено 6 цилиндров с уступчатой выработкой, расположенной на высоте 224 мм от нижнего торца гильзы, которая в отличие от выработки, получающейся на цилинд</w:t>
      </w:r>
      <w:r w:rsidRPr="00925F26">
        <w:rPr>
          <w:color w:val="000000" w:themeColor="text1"/>
          <w:sz w:val="16"/>
          <w:szCs w:val="16"/>
        </w:rPr>
        <w:softHyphen/>
        <w:t>рах с обычным профилем, имела обратный характер...</w:t>
      </w:r>
    </w:p>
    <w:p w14:paraId="69F9D101" w14:textId="77777777" w:rsidR="002A5DBF" w:rsidRPr="00925F26" w:rsidRDefault="002A5DBF" w:rsidP="00925F26">
      <w:pPr>
        <w:jc w:val="both"/>
        <w:rPr>
          <w:color w:val="000000" w:themeColor="text1"/>
          <w:sz w:val="16"/>
          <w:szCs w:val="16"/>
        </w:rPr>
      </w:pPr>
      <w:r w:rsidRPr="00925F26">
        <w:rPr>
          <w:color w:val="000000" w:themeColor="text1"/>
          <w:sz w:val="16"/>
          <w:szCs w:val="16"/>
        </w:rPr>
        <w:t>Тотчас произведенными исследованиями установили, что причиной такой выработки являлась работа в распор 2-х маслосборных колец, находящихся в 4-й канавке поршня.</w:t>
      </w:r>
    </w:p>
    <w:p w14:paraId="2FD4025F" w14:textId="77777777" w:rsidR="002A5DBF" w:rsidRPr="00925F26" w:rsidRDefault="002A5DBF" w:rsidP="00925F26">
      <w:pPr>
        <w:jc w:val="both"/>
        <w:rPr>
          <w:color w:val="000000" w:themeColor="text1"/>
          <w:sz w:val="16"/>
          <w:szCs w:val="16"/>
        </w:rPr>
      </w:pPr>
      <w:r w:rsidRPr="00925F26">
        <w:rPr>
          <w:color w:val="000000" w:themeColor="text1"/>
          <w:sz w:val="16"/>
          <w:szCs w:val="16"/>
        </w:rPr>
        <w:t>После соответствующего увеличения зазора в стыке этих колец, указанная выработка больше не наблюдалась.</w:t>
      </w:r>
    </w:p>
    <w:p w14:paraId="736BC0FD" w14:textId="77777777" w:rsidR="002A5DBF" w:rsidRPr="00925F26" w:rsidRDefault="002A5DBF" w:rsidP="00925F26">
      <w:pPr>
        <w:jc w:val="both"/>
        <w:rPr>
          <w:color w:val="000000" w:themeColor="text1"/>
          <w:sz w:val="16"/>
          <w:szCs w:val="16"/>
        </w:rPr>
      </w:pPr>
      <w:r w:rsidRPr="00925F26">
        <w:rPr>
          <w:color w:val="000000" w:themeColor="text1"/>
          <w:sz w:val="16"/>
          <w:szCs w:val="16"/>
        </w:rPr>
        <w:t>Во время прохождения моторами контрольного испытания, из их числа сняли по дым</w:t>
      </w:r>
      <w:r w:rsidRPr="00925F26">
        <w:rPr>
          <w:color w:val="000000" w:themeColor="text1"/>
          <w:sz w:val="16"/>
          <w:szCs w:val="16"/>
        </w:rPr>
        <w:softHyphen/>
        <w:t>лению цилиндров только 3 мотора (5%). При вскры</w:t>
      </w:r>
      <w:r w:rsidRPr="00925F26">
        <w:rPr>
          <w:color w:val="000000" w:themeColor="text1"/>
          <w:sz w:val="16"/>
          <w:szCs w:val="16"/>
        </w:rPr>
        <w:softHyphen/>
        <w:t>тии и осмотре восьми дымивших цилиндров обнаружено, что 7 цилиндров находились в удовлетвори</w:t>
      </w:r>
      <w:r w:rsidRPr="00925F26">
        <w:rPr>
          <w:color w:val="000000" w:themeColor="text1"/>
          <w:sz w:val="16"/>
          <w:szCs w:val="16"/>
        </w:rPr>
        <w:softHyphen/>
        <w:t>тельном состоянии и один цилиндр имел прямую уступчатую выработку, расположенную по середине гильзы цилиндра.</w:t>
      </w:r>
    </w:p>
    <w:p w14:paraId="07D798E2" w14:textId="77777777" w:rsidR="002A5DBF" w:rsidRPr="00925F26" w:rsidRDefault="002A5DBF" w:rsidP="00925F26">
      <w:pPr>
        <w:tabs>
          <w:tab w:val="left" w:pos="399"/>
        </w:tabs>
        <w:jc w:val="both"/>
        <w:rPr>
          <w:color w:val="000000" w:themeColor="text1"/>
          <w:sz w:val="16"/>
          <w:szCs w:val="16"/>
        </w:rPr>
      </w:pPr>
      <w:r w:rsidRPr="00925F26">
        <w:rPr>
          <w:color w:val="000000" w:themeColor="text1"/>
          <w:sz w:val="16"/>
          <w:szCs w:val="16"/>
        </w:rPr>
        <w:t>г) Длительное 50-ти часовое испытание мотора АШ-82ФН № 82142192, взятого из числа малой серии.</w:t>
      </w:r>
    </w:p>
    <w:p w14:paraId="7510CA06" w14:textId="77777777" w:rsidR="002A5DBF" w:rsidRPr="00925F26" w:rsidRDefault="002A5DBF" w:rsidP="00925F26">
      <w:pPr>
        <w:jc w:val="both"/>
        <w:rPr>
          <w:color w:val="000000" w:themeColor="text1"/>
          <w:sz w:val="16"/>
          <w:szCs w:val="16"/>
        </w:rPr>
      </w:pPr>
      <w:r w:rsidRPr="00925F26">
        <w:rPr>
          <w:color w:val="000000" w:themeColor="text1"/>
          <w:sz w:val="16"/>
          <w:szCs w:val="16"/>
        </w:rPr>
        <w:t>Поршневые кольца в первой канавке с цилиндрической образующей.</w:t>
      </w:r>
    </w:p>
    <w:p w14:paraId="202343AA"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удовлетворительный. Все цилиндры после испытания находи</w:t>
      </w:r>
      <w:r w:rsidRPr="00925F26">
        <w:rPr>
          <w:color w:val="000000" w:themeColor="text1"/>
          <w:sz w:val="16"/>
          <w:szCs w:val="16"/>
        </w:rPr>
        <w:softHyphen/>
        <w:t>лись в хорошем состоянии, пригодном для дальнейшей работы. Максимальный износ в верхнем поясе у 5-ти цилиндров составлял от 0,12 до 0,17 мм.</w:t>
      </w:r>
    </w:p>
    <w:p w14:paraId="03E7916D" w14:textId="77777777" w:rsidR="002A5DBF" w:rsidRPr="00925F26" w:rsidRDefault="002A5DBF" w:rsidP="00925F26">
      <w:pPr>
        <w:jc w:val="both"/>
        <w:rPr>
          <w:color w:val="000000" w:themeColor="text1"/>
          <w:sz w:val="16"/>
          <w:szCs w:val="16"/>
        </w:rPr>
      </w:pPr>
      <w:r w:rsidRPr="00925F26">
        <w:rPr>
          <w:color w:val="000000" w:themeColor="text1"/>
          <w:sz w:val="16"/>
          <w:szCs w:val="16"/>
        </w:rPr>
        <w:t>Состояние поршневых колец хорошее.</w:t>
      </w:r>
    </w:p>
    <w:p w14:paraId="65C2ACB5" w14:textId="77777777" w:rsidR="002A5DBF" w:rsidRPr="00925F26" w:rsidRDefault="002A5DBF" w:rsidP="00925F26">
      <w:pPr>
        <w:tabs>
          <w:tab w:val="left" w:pos="495"/>
        </w:tabs>
        <w:jc w:val="both"/>
        <w:rPr>
          <w:color w:val="000000" w:themeColor="text1"/>
          <w:sz w:val="16"/>
          <w:szCs w:val="16"/>
        </w:rPr>
      </w:pPr>
      <w:r w:rsidRPr="00925F26">
        <w:rPr>
          <w:color w:val="000000" w:themeColor="text1"/>
          <w:sz w:val="16"/>
          <w:szCs w:val="16"/>
        </w:rPr>
        <w:t>д) Длительное 150-ти часовое Государственное испытание мотора АШ-82ФН № 82143252, также взятого из числа малой серии. Поршневые кольца в первой канав</w:t>
      </w:r>
      <w:r w:rsidRPr="00925F26">
        <w:rPr>
          <w:color w:val="000000" w:themeColor="text1"/>
          <w:sz w:val="16"/>
          <w:szCs w:val="16"/>
        </w:rPr>
        <w:softHyphen/>
        <w:t>ке поршней с цилиндрической образующей.</w:t>
      </w:r>
    </w:p>
    <w:p w14:paraId="786878BD" w14:textId="77777777" w:rsidR="002A5DBF" w:rsidRPr="00925F26" w:rsidRDefault="002A5DBF" w:rsidP="00925F26">
      <w:pPr>
        <w:jc w:val="both"/>
        <w:rPr>
          <w:color w:val="000000" w:themeColor="text1"/>
          <w:sz w:val="16"/>
          <w:szCs w:val="16"/>
        </w:rPr>
      </w:pPr>
      <w:r w:rsidRPr="00925F26">
        <w:rPr>
          <w:color w:val="000000" w:themeColor="text1"/>
          <w:sz w:val="16"/>
          <w:szCs w:val="16"/>
        </w:rPr>
        <w:t>Результат испытания удовлетворительный. Все цилиндры после испытания находи</w:t>
      </w:r>
      <w:r w:rsidRPr="00925F26">
        <w:rPr>
          <w:color w:val="000000" w:themeColor="text1"/>
          <w:sz w:val="16"/>
          <w:szCs w:val="16"/>
        </w:rPr>
        <w:softHyphen/>
        <w:t>лись в хорошем состоянии, пригодном для дальнейшей работы.</w:t>
      </w:r>
    </w:p>
    <w:p w14:paraId="5AECD475" w14:textId="77777777" w:rsidR="002A5DBF" w:rsidRPr="00925F26" w:rsidRDefault="002A5DBF" w:rsidP="00925F26">
      <w:pPr>
        <w:jc w:val="both"/>
        <w:rPr>
          <w:color w:val="000000" w:themeColor="text1"/>
          <w:sz w:val="16"/>
          <w:szCs w:val="16"/>
        </w:rPr>
      </w:pPr>
      <w:r w:rsidRPr="00925F26">
        <w:rPr>
          <w:color w:val="000000" w:themeColor="text1"/>
          <w:sz w:val="16"/>
          <w:szCs w:val="16"/>
        </w:rPr>
        <w:t>Максимальный износ на 4-х цилиндрах достигал от 0,14 до 0,18 мм.</w:t>
      </w:r>
    </w:p>
    <w:p w14:paraId="4A9F78A0" w14:textId="77777777" w:rsidR="002A5DBF" w:rsidRPr="00925F26" w:rsidRDefault="002A5DBF" w:rsidP="00925F26">
      <w:pPr>
        <w:jc w:val="both"/>
        <w:rPr>
          <w:color w:val="000000" w:themeColor="text1"/>
          <w:sz w:val="16"/>
          <w:szCs w:val="16"/>
        </w:rPr>
      </w:pPr>
      <w:r w:rsidRPr="00925F26">
        <w:rPr>
          <w:color w:val="000000" w:themeColor="text1"/>
          <w:sz w:val="16"/>
          <w:szCs w:val="16"/>
        </w:rPr>
        <w:t>Состояние поршневых колец хорошее.</w:t>
      </w:r>
    </w:p>
    <w:p w14:paraId="62E37015" w14:textId="77777777" w:rsidR="002A5DBF" w:rsidRPr="00925F26" w:rsidRDefault="002A5DBF" w:rsidP="00925F26">
      <w:pPr>
        <w:jc w:val="both"/>
        <w:rPr>
          <w:color w:val="000000" w:themeColor="text1"/>
          <w:sz w:val="16"/>
          <w:szCs w:val="16"/>
        </w:rPr>
      </w:pPr>
      <w:r w:rsidRPr="00925F26">
        <w:rPr>
          <w:color w:val="000000" w:themeColor="text1"/>
          <w:sz w:val="16"/>
          <w:szCs w:val="16"/>
        </w:rPr>
        <w:t>На основании положительных результатов перечисленных выше испытаний, цилиндры с гильзами, окончательно обработанными до соединения с головкой, и постановка в пер</w:t>
      </w:r>
      <w:r w:rsidRPr="00925F26">
        <w:rPr>
          <w:color w:val="000000" w:themeColor="text1"/>
          <w:sz w:val="16"/>
          <w:szCs w:val="16"/>
        </w:rPr>
        <w:softHyphen/>
        <w:t>вую канавку поршней газоуплотнительного кольца с цилиндрической образующей, с 1-го августа 1945 г. введена в серию для постановки на моторы АШ-82ФН» (15829).</w:t>
      </w:r>
    </w:p>
    <w:p w14:paraId="4A4FCD4A" w14:textId="77777777" w:rsidR="002A5DBF" w:rsidRPr="00925F26" w:rsidRDefault="002A5DBF" w:rsidP="00925F26">
      <w:pPr>
        <w:jc w:val="both"/>
        <w:rPr>
          <w:color w:val="000000" w:themeColor="text1"/>
          <w:sz w:val="16"/>
          <w:szCs w:val="16"/>
        </w:rPr>
      </w:pPr>
    </w:p>
    <w:p w14:paraId="665B6B0A" w14:textId="77777777" w:rsidR="00D06E58" w:rsidRPr="001A0BAA" w:rsidRDefault="00D06E58" w:rsidP="00D06E58">
      <w:pPr>
        <w:jc w:val="both"/>
        <w:rPr>
          <w:color w:val="0070C0"/>
          <w:sz w:val="16"/>
          <w:szCs w:val="16"/>
        </w:rPr>
      </w:pPr>
      <w:r w:rsidRPr="001A0BAA">
        <w:rPr>
          <w:color w:val="0070C0"/>
          <w:sz w:val="16"/>
          <w:szCs w:val="16"/>
        </w:rPr>
        <w:t>Летом 1945 г. в «контору» Л. А. Коршунова было доставлено множество германских серийных и опытных торпед, а также их производственная документация. Из политических соображений правительству пришлось убрать из нашей оккупационной зоны германо-советские конторы, занимавшиеся доводкой новинок рейха (25184).</w:t>
      </w:r>
    </w:p>
    <w:p w14:paraId="5C26540B" w14:textId="77777777" w:rsidR="00D06E58" w:rsidRPr="001A0BAA" w:rsidRDefault="00D06E58" w:rsidP="00D06E58">
      <w:pPr>
        <w:jc w:val="both"/>
        <w:rPr>
          <w:color w:val="0070C0"/>
          <w:sz w:val="16"/>
          <w:szCs w:val="16"/>
        </w:rPr>
      </w:pPr>
    </w:p>
    <w:p w14:paraId="45731C09" w14:textId="77777777" w:rsidR="00D06E58" w:rsidRPr="001A0BAA" w:rsidRDefault="00D06E58" w:rsidP="00D06E58">
      <w:pPr>
        <w:jc w:val="both"/>
        <w:rPr>
          <w:color w:val="0070C0"/>
          <w:sz w:val="16"/>
          <w:szCs w:val="16"/>
        </w:rPr>
      </w:pPr>
      <w:r w:rsidRPr="001A0BAA">
        <w:rPr>
          <w:color w:val="0070C0"/>
          <w:sz w:val="16"/>
          <w:szCs w:val="16"/>
        </w:rPr>
        <w:t>Летом 1945 г. советские военные химики рекомендовали Сталину затопить в Атлантическом океане захваченное в Восточной Германии химическое оружие. Однако сил и средств для этого у советского ВМФ не оказалось. Тогда военные предложили провести захоронение в Балтийском море. В 1946 г. в порт Вольгаст близ Пенемюнде на 42 железнодорожных эшелонах с соблюдением всех мер безопасности было доставлено 35 тысяч т химических боеприпасов Третьего рейха.</w:t>
      </w:r>
    </w:p>
    <w:p w14:paraId="6C0770A4" w14:textId="77777777" w:rsidR="00D06E58" w:rsidRPr="001A0BAA" w:rsidRDefault="00D06E58" w:rsidP="00D06E58">
      <w:pPr>
        <w:jc w:val="both"/>
        <w:rPr>
          <w:color w:val="0070C0"/>
          <w:sz w:val="16"/>
          <w:szCs w:val="16"/>
        </w:rPr>
      </w:pPr>
      <w:r w:rsidRPr="001A0BAA">
        <w:rPr>
          <w:color w:val="0070C0"/>
          <w:sz w:val="16"/>
          <w:szCs w:val="16"/>
        </w:rPr>
        <w:t>Командование советских войск зафрахтовало в английской зоне торговые суда, способные перевозить за рейс по 200–300 т. Экспедицию возглавил капитан 3 ранга К.П. Тереков. В результате операции со 2 июня по 28 декабря 1947 г. в Балтийском море было затоплено 35 тысяч т химического оружия. Еще 5 тысяч т захоронили в 65–70 милях к юго-западу от порта Лиепая. Еще 30 тысяч – южнее острова Кристиансе, к северу от датского острова Борнхольм.</w:t>
      </w:r>
    </w:p>
    <w:p w14:paraId="74792894" w14:textId="77777777" w:rsidR="00D06E58" w:rsidRPr="001A0BAA" w:rsidRDefault="00D06E58" w:rsidP="00D06E58">
      <w:pPr>
        <w:jc w:val="both"/>
        <w:rPr>
          <w:color w:val="0070C0"/>
          <w:sz w:val="16"/>
          <w:szCs w:val="16"/>
        </w:rPr>
      </w:pPr>
      <w:r w:rsidRPr="001A0BAA">
        <w:rPr>
          <w:color w:val="0070C0"/>
          <w:sz w:val="16"/>
          <w:szCs w:val="16"/>
        </w:rPr>
        <w:t>Всего советские военные затопили в Балтийском море:</w:t>
      </w:r>
    </w:p>
    <w:p w14:paraId="6716B045" w14:textId="77777777" w:rsidR="00D06E58" w:rsidRPr="001A0BAA" w:rsidRDefault="00D06E58" w:rsidP="00D06E58">
      <w:pPr>
        <w:jc w:val="both"/>
        <w:rPr>
          <w:color w:val="0070C0"/>
          <w:sz w:val="16"/>
          <w:szCs w:val="16"/>
        </w:rPr>
      </w:pPr>
      <w:r w:rsidRPr="001A0BAA">
        <w:rPr>
          <w:color w:val="0070C0"/>
          <w:sz w:val="16"/>
          <w:szCs w:val="16"/>
        </w:rPr>
        <w:t>– 250-кг авиабомб, снаряженных ипритом, – 71 469;</w:t>
      </w:r>
    </w:p>
    <w:p w14:paraId="6C7546AB" w14:textId="77777777" w:rsidR="00D06E58" w:rsidRPr="001A0BAA" w:rsidRDefault="00D06E58" w:rsidP="00D06E58">
      <w:pPr>
        <w:jc w:val="both"/>
        <w:rPr>
          <w:color w:val="0070C0"/>
          <w:sz w:val="16"/>
          <w:szCs w:val="16"/>
        </w:rPr>
      </w:pPr>
      <w:r w:rsidRPr="001A0BAA">
        <w:rPr>
          <w:color w:val="0070C0"/>
          <w:sz w:val="16"/>
          <w:szCs w:val="16"/>
        </w:rPr>
        <w:t>– 250-кг и 500-кг авиабомб, снаряженных хлорацетофеном, дифинилхлорарсином и арсиновым маслом, и 50-кг авиабомб, снаряженных адамитом, – 14 258;</w:t>
      </w:r>
    </w:p>
    <w:p w14:paraId="6A24F4C5" w14:textId="77777777" w:rsidR="00D06E58" w:rsidRPr="001A0BAA" w:rsidRDefault="00D06E58" w:rsidP="00D06E58">
      <w:pPr>
        <w:jc w:val="both"/>
        <w:rPr>
          <w:color w:val="0070C0"/>
          <w:sz w:val="16"/>
          <w:szCs w:val="16"/>
        </w:rPr>
      </w:pPr>
      <w:r w:rsidRPr="001A0BAA">
        <w:rPr>
          <w:color w:val="0070C0"/>
          <w:sz w:val="16"/>
          <w:szCs w:val="16"/>
        </w:rPr>
        <w:t>– артиллерийских снарядов калибра 7,5 см, 10,5 см и 15 см, снаряженных ипритом, – 408 565;</w:t>
      </w:r>
    </w:p>
    <w:p w14:paraId="26CF2413" w14:textId="77777777" w:rsidR="00D06E58" w:rsidRPr="001A0BAA" w:rsidRDefault="00D06E58" w:rsidP="00D06E58">
      <w:pPr>
        <w:jc w:val="both"/>
        <w:rPr>
          <w:color w:val="0070C0"/>
          <w:sz w:val="16"/>
          <w:szCs w:val="16"/>
        </w:rPr>
      </w:pPr>
      <w:r w:rsidRPr="001A0BAA">
        <w:rPr>
          <w:color w:val="0070C0"/>
          <w:sz w:val="16"/>
          <w:szCs w:val="16"/>
        </w:rPr>
        <w:t>– химических фугасов по 20 кг и 50 кг, снаряженных ипритом, – 34 592;</w:t>
      </w:r>
    </w:p>
    <w:p w14:paraId="73A7C610" w14:textId="77777777" w:rsidR="00D06E58" w:rsidRPr="001A0BAA" w:rsidRDefault="00D06E58" w:rsidP="00D06E58">
      <w:pPr>
        <w:jc w:val="both"/>
        <w:rPr>
          <w:color w:val="0070C0"/>
          <w:sz w:val="16"/>
          <w:szCs w:val="16"/>
        </w:rPr>
      </w:pPr>
      <w:r w:rsidRPr="001A0BAA">
        <w:rPr>
          <w:color w:val="0070C0"/>
          <w:sz w:val="16"/>
          <w:szCs w:val="16"/>
        </w:rPr>
        <w:t>– дымовых химических мин калибра 10 см – 10 420;</w:t>
      </w:r>
    </w:p>
    <w:p w14:paraId="066659DD" w14:textId="77777777" w:rsidR="00D06E58" w:rsidRPr="001A0BAA" w:rsidRDefault="00D06E58" w:rsidP="00D06E58">
      <w:pPr>
        <w:jc w:val="both"/>
        <w:rPr>
          <w:color w:val="0070C0"/>
          <w:sz w:val="16"/>
          <w:szCs w:val="16"/>
        </w:rPr>
      </w:pPr>
      <w:r w:rsidRPr="001A0BAA">
        <w:rPr>
          <w:color w:val="0070C0"/>
          <w:sz w:val="16"/>
          <w:szCs w:val="16"/>
        </w:rPr>
        <w:t>– технологических емкостей, содержащих 1506 т иприта, – 1004;</w:t>
      </w:r>
    </w:p>
    <w:p w14:paraId="1F92251D" w14:textId="77777777" w:rsidR="00D06E58" w:rsidRPr="001A0BAA" w:rsidRDefault="00D06E58" w:rsidP="00D06E58">
      <w:pPr>
        <w:jc w:val="both"/>
        <w:rPr>
          <w:color w:val="0070C0"/>
          <w:sz w:val="16"/>
          <w:szCs w:val="16"/>
        </w:rPr>
      </w:pPr>
      <w:r w:rsidRPr="001A0BAA">
        <w:rPr>
          <w:color w:val="0070C0"/>
          <w:sz w:val="16"/>
          <w:szCs w:val="16"/>
        </w:rPr>
        <w:t>– 8429 бочек, в которых находилось 1030 т адамсита и дифинилхлорарсина;</w:t>
      </w:r>
    </w:p>
    <w:p w14:paraId="44A69B5B" w14:textId="77777777" w:rsidR="00D06E58" w:rsidRPr="001A0BAA" w:rsidRDefault="00D06E58" w:rsidP="00D06E58">
      <w:pPr>
        <w:jc w:val="both"/>
        <w:rPr>
          <w:color w:val="0070C0"/>
          <w:sz w:val="16"/>
          <w:szCs w:val="16"/>
        </w:rPr>
      </w:pPr>
      <w:r w:rsidRPr="001A0BAA">
        <w:rPr>
          <w:color w:val="0070C0"/>
          <w:sz w:val="16"/>
          <w:szCs w:val="16"/>
        </w:rPr>
        <w:t>– 169 т технологических емкостей с отравляющими веществами, в которых находились цианистая соль, хлорарсин, цианарсин и аксельарсин (25385).</w:t>
      </w:r>
    </w:p>
    <w:p w14:paraId="46A2D962" w14:textId="77777777" w:rsidR="00D06E58" w:rsidRPr="001A0BAA" w:rsidRDefault="00D06E58" w:rsidP="00D06E58">
      <w:pPr>
        <w:jc w:val="both"/>
        <w:rPr>
          <w:color w:val="0070C0"/>
          <w:sz w:val="16"/>
          <w:szCs w:val="16"/>
        </w:rPr>
      </w:pPr>
    </w:p>
    <w:p w14:paraId="3C3CE1D3" w14:textId="77777777" w:rsidR="00D06E58" w:rsidRPr="001A0BAA" w:rsidRDefault="00D06E58" w:rsidP="00D06E58">
      <w:pPr>
        <w:pStyle w:val="59"/>
        <w:spacing w:line="240" w:lineRule="auto"/>
        <w:ind w:firstLine="0"/>
        <w:jc w:val="both"/>
        <w:rPr>
          <w:rFonts w:ascii="Times New Roman" w:hAnsi="Times New Roman"/>
          <w:color w:val="0070C0"/>
          <w:spacing w:val="0"/>
          <w:sz w:val="16"/>
          <w:szCs w:val="16"/>
        </w:rPr>
      </w:pPr>
      <w:r>
        <w:rPr>
          <w:rStyle w:val="5e"/>
          <w:rFonts w:ascii="Times New Roman" w:hAnsi="Times New Roman"/>
          <w:color w:val="0070C0"/>
          <w:spacing w:val="0"/>
          <w:sz w:val="16"/>
          <w:szCs w:val="16"/>
        </w:rPr>
        <w:t xml:space="preserve">Летом </w:t>
      </w:r>
      <w:r w:rsidRPr="001A0BAA">
        <w:rPr>
          <w:rStyle w:val="5e"/>
          <w:rFonts w:ascii="Times New Roman" w:hAnsi="Times New Roman"/>
          <w:color w:val="0070C0"/>
          <w:spacing w:val="0"/>
          <w:sz w:val="16"/>
          <w:szCs w:val="16"/>
        </w:rPr>
        <w:t xml:space="preserve">1945 г. Р.Адексеев посетил Ленинград, где подробно ознакомился с системой полупогруженных </w:t>
      </w:r>
      <w:r w:rsidRPr="001A0BAA">
        <w:rPr>
          <w:rStyle w:val="5e"/>
          <w:rFonts w:ascii="Times New Roman" w:hAnsi="Times New Roman"/>
          <w:color w:val="0070C0"/>
          <w:spacing w:val="0"/>
          <w:sz w:val="16"/>
          <w:szCs w:val="16"/>
          <w:lang w:val="en-US"/>
        </w:rPr>
        <w:t>V</w:t>
      </w:r>
      <w:r w:rsidRPr="001A0BAA">
        <w:rPr>
          <w:rStyle w:val="5e"/>
          <w:rFonts w:ascii="Times New Roman" w:hAnsi="Times New Roman"/>
          <w:color w:val="0070C0"/>
          <w:spacing w:val="0"/>
          <w:sz w:val="16"/>
          <w:szCs w:val="16"/>
        </w:rPr>
        <w:t xml:space="preserve">-образных крыльев Г. фон Шертеля на катере </w:t>
      </w:r>
      <w:r w:rsidRPr="001A0BAA">
        <w:rPr>
          <w:rStyle w:val="5e"/>
          <w:rFonts w:ascii="Times New Roman" w:hAnsi="Times New Roman"/>
          <w:color w:val="0070C0"/>
          <w:spacing w:val="0"/>
          <w:sz w:val="16"/>
          <w:szCs w:val="16"/>
          <w:lang w:val="en-US"/>
        </w:rPr>
        <w:t>VS</w:t>
      </w:r>
      <w:r w:rsidRPr="001A0BAA">
        <w:rPr>
          <w:rStyle w:val="5e"/>
          <w:rFonts w:ascii="Times New Roman" w:hAnsi="Times New Roman"/>
          <w:color w:val="0070C0"/>
          <w:spacing w:val="0"/>
          <w:sz w:val="16"/>
          <w:szCs w:val="16"/>
        </w:rPr>
        <w:t>-8, который был доставлен в Ленинград и поставлен в пла</w:t>
      </w:r>
      <w:r w:rsidRPr="001A0BAA">
        <w:rPr>
          <w:rStyle w:val="5e"/>
          <w:rFonts w:ascii="Times New Roman" w:hAnsi="Times New Roman"/>
          <w:color w:val="0070C0"/>
          <w:spacing w:val="0"/>
          <w:sz w:val="16"/>
          <w:szCs w:val="16"/>
        </w:rPr>
        <w:softHyphen/>
        <w:t>вучий док завода № 5 НКВД вместе с яхтой Геринга, доставшейся советскому ВМФ. Будучи тогда в Ленинграде Алексеев узнал, что верфь в Рослау (на Эльбе), где было построено несколько единиц немецких катеров на подводных крыльях, оказалась в советской оккупационной зоне, и в руки отечественных специали</w:t>
      </w:r>
      <w:r w:rsidRPr="001A0BAA">
        <w:rPr>
          <w:rStyle w:val="5e"/>
          <w:rFonts w:ascii="Times New Roman" w:hAnsi="Times New Roman"/>
          <w:color w:val="0070C0"/>
          <w:spacing w:val="0"/>
          <w:sz w:val="16"/>
          <w:szCs w:val="16"/>
        </w:rPr>
        <w:softHyphen/>
        <w:t xml:space="preserve">стов попали некоторые проектные материалы, а также несколько «живых» недостроенных катеров. В 1945 г. на базе проектного бюро этой верфи НКСП создало в Германии КБ по проектированию кораблей на подводных крыльях — </w:t>
      </w:r>
      <w:r w:rsidRPr="001A0BAA">
        <w:rPr>
          <w:rStyle w:val="5e"/>
          <w:rFonts w:ascii="Times New Roman" w:hAnsi="Times New Roman"/>
          <w:color w:val="0070C0"/>
          <w:spacing w:val="0"/>
          <w:sz w:val="16"/>
          <w:szCs w:val="16"/>
          <w:lang w:val="en-US"/>
        </w:rPr>
        <w:t>Sachsen</w:t>
      </w:r>
      <w:r w:rsidRPr="001A0BAA">
        <w:rPr>
          <w:rStyle w:val="5e"/>
          <w:rFonts w:ascii="Times New Roman" w:hAnsi="Times New Roman"/>
          <w:color w:val="0070C0"/>
          <w:spacing w:val="0"/>
          <w:sz w:val="16"/>
          <w:szCs w:val="16"/>
        </w:rPr>
        <w:t>-</w:t>
      </w:r>
      <w:r w:rsidRPr="001A0BAA">
        <w:rPr>
          <w:rStyle w:val="5e"/>
          <w:rFonts w:ascii="Times New Roman" w:hAnsi="Times New Roman"/>
          <w:color w:val="0070C0"/>
          <w:spacing w:val="0"/>
          <w:sz w:val="16"/>
          <w:szCs w:val="16"/>
          <w:lang w:val="en-US"/>
        </w:rPr>
        <w:t>berg</w:t>
      </w:r>
      <w:r w:rsidRPr="001A0BAA">
        <w:rPr>
          <w:rStyle w:val="5e"/>
          <w:rFonts w:ascii="Times New Roman" w:hAnsi="Times New Roman"/>
          <w:color w:val="0070C0"/>
          <w:spacing w:val="0"/>
          <w:sz w:val="16"/>
          <w:szCs w:val="16"/>
        </w:rPr>
        <w:t xml:space="preserve"> </w:t>
      </w:r>
      <w:r w:rsidRPr="001A0BAA">
        <w:rPr>
          <w:rStyle w:val="5e"/>
          <w:rFonts w:ascii="Times New Roman" w:hAnsi="Times New Roman"/>
          <w:color w:val="0070C0"/>
          <w:spacing w:val="0"/>
          <w:sz w:val="16"/>
          <w:szCs w:val="16"/>
          <w:lang w:val="en-US"/>
        </w:rPr>
        <w:t>Hydrofoil</w:t>
      </w:r>
      <w:r w:rsidRPr="001A0BAA">
        <w:rPr>
          <w:rStyle w:val="5e"/>
          <w:rFonts w:ascii="Times New Roman" w:hAnsi="Times New Roman"/>
          <w:color w:val="0070C0"/>
          <w:spacing w:val="0"/>
          <w:sz w:val="16"/>
          <w:szCs w:val="16"/>
        </w:rPr>
        <w:t xml:space="preserve"> </w:t>
      </w:r>
      <w:r w:rsidRPr="001A0BAA">
        <w:rPr>
          <w:rStyle w:val="5e"/>
          <w:rFonts w:ascii="Times New Roman" w:hAnsi="Times New Roman"/>
          <w:color w:val="0070C0"/>
          <w:spacing w:val="0"/>
          <w:sz w:val="16"/>
          <w:szCs w:val="16"/>
          <w:lang w:val="en-US"/>
        </w:rPr>
        <w:t>gyndicate</w:t>
      </w:r>
      <w:r w:rsidRPr="001A0BAA">
        <w:rPr>
          <w:rStyle w:val="5e"/>
          <w:rFonts w:ascii="Times New Roman" w:hAnsi="Times New Roman"/>
          <w:color w:val="0070C0"/>
          <w:spacing w:val="0"/>
          <w:sz w:val="16"/>
          <w:szCs w:val="16"/>
        </w:rPr>
        <w:t xml:space="preserve"> — под руководством самого Шертеля. Позже по результатам командировки в Германию В. А. Гартвиг составил очень обстоятельный отчет по катерам на подводных крыльях (25139).</w:t>
      </w:r>
    </w:p>
    <w:p w14:paraId="06B02277" w14:textId="77777777" w:rsidR="00D06E58" w:rsidRPr="001A0BAA" w:rsidRDefault="00D06E58" w:rsidP="00D06E58">
      <w:pPr>
        <w:jc w:val="both"/>
        <w:rPr>
          <w:color w:val="0070C0"/>
          <w:sz w:val="16"/>
          <w:szCs w:val="16"/>
        </w:rPr>
      </w:pPr>
    </w:p>
    <w:p w14:paraId="72836CCB"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Армия:</w:t>
      </w:r>
    </w:p>
    <w:p w14:paraId="36F18A94" w14:textId="77777777" w:rsidR="006103B3" w:rsidRPr="00925F26" w:rsidRDefault="006103B3" w:rsidP="00925F26">
      <w:pPr>
        <w:autoSpaceDE w:val="0"/>
        <w:autoSpaceDN w:val="0"/>
        <w:adjustRightInd w:val="0"/>
        <w:jc w:val="both"/>
        <w:rPr>
          <w:iCs/>
          <w:color w:val="000000" w:themeColor="text1"/>
          <w:sz w:val="16"/>
          <w:szCs w:val="16"/>
        </w:rPr>
      </w:pPr>
    </w:p>
    <w:p w14:paraId="6B5E19B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До лета 1945 г. л ТОФ летали на Ил-4 и старых ДБ-3Т; последних бы</w:t>
      </w:r>
      <w:r w:rsidRPr="00925F26">
        <w:rPr>
          <w:color w:val="000000" w:themeColor="text1"/>
          <w:sz w:val="16"/>
          <w:szCs w:val="16"/>
        </w:rPr>
        <w:softHyphen/>
        <w:t>ло до трех четвертей парка. В июле на</w:t>
      </w:r>
      <w:r w:rsidRPr="00925F26">
        <w:rPr>
          <w:color w:val="000000" w:themeColor="text1"/>
          <w:sz w:val="16"/>
          <w:szCs w:val="16"/>
        </w:rPr>
        <w:softHyphen/>
        <w:t>чали поступать американские А-20С и А-20Н, но их к началу кампании осво</w:t>
      </w:r>
      <w:r w:rsidRPr="00925F26">
        <w:rPr>
          <w:color w:val="000000" w:themeColor="text1"/>
          <w:sz w:val="16"/>
          <w:szCs w:val="16"/>
        </w:rPr>
        <w:softHyphen/>
        <w:t>ить не успели (10734,86).</w:t>
      </w:r>
    </w:p>
    <w:p w14:paraId="140D8C67"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66CFF5E6"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года машины Пе-8 45 ад адд базировались в Орше (7685).</w:t>
      </w:r>
    </w:p>
    <w:p w14:paraId="53197862" w14:textId="77777777" w:rsidR="006103B3" w:rsidRPr="00925F26" w:rsidRDefault="006103B3" w:rsidP="00925F26">
      <w:pPr>
        <w:autoSpaceDE w:val="0"/>
        <w:autoSpaceDN w:val="0"/>
        <w:adjustRightInd w:val="0"/>
        <w:jc w:val="both"/>
        <w:rPr>
          <w:color w:val="000000" w:themeColor="text1"/>
          <w:sz w:val="16"/>
          <w:szCs w:val="16"/>
        </w:rPr>
      </w:pPr>
    </w:p>
    <w:p w14:paraId="132C1CC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тяжёлые бомбардировщики базировались в Орше. По случаю парада в честь победы над Германией на аэродром Быково перегнали 12 Пе-8 из 203-го гв. полка (бывшего 746-го, а затем 25-го гв.). Воздушную часть парада из-за плохой погоды отменили, самолёты до сентября оставались в Быково, ожидая возвращения в Оршу. 12 сентября лидирующий Пе-8 лётчика Ищенко должен был повести всю группу домой. У самолёта долго не запускался один из двигателей М-82, но затем начал работать нормально, и машина пошла на взлёт. Ищенко поднял Пе-8 на высоту 400 м и выполнил круг над аэродромом, а после четвёртого разворота, проходя над лётным полем, "прижал" машину к полосе и сделал прощальную "горку". "Горка" и впрямь оказалась прощальной. При наборе высоты сложилась правая плоскость, и машина рухнула на землю, похоронив под обломками 14 человек. Этот самолёт проходил доработку лонжеронов, что не спасло его от гибели. После случившейся трагедии все Пе-8 45-й дивизии подвергли обследованию, и оказалось, что большинству из них грозит судьба погибшей машины (11996).</w:t>
      </w:r>
    </w:p>
    <w:p w14:paraId="1E5985BE" w14:textId="77777777" w:rsidR="006103B3" w:rsidRPr="00925F26" w:rsidRDefault="006103B3" w:rsidP="00925F26">
      <w:pPr>
        <w:autoSpaceDE w:val="0"/>
        <w:autoSpaceDN w:val="0"/>
        <w:adjustRightInd w:val="0"/>
        <w:jc w:val="both"/>
        <w:rPr>
          <w:color w:val="000000" w:themeColor="text1"/>
          <w:sz w:val="16"/>
          <w:szCs w:val="16"/>
        </w:rPr>
      </w:pPr>
    </w:p>
    <w:p w14:paraId="6B6C965F"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в ВВС началось внедрение новых истребителей Р-63. Приоритет отдали дальне восточным воздушным армиям, готовившимся к боевым действиям против Японии. Привычное направление движения по маршруту АЛСИБа изменилось. Из Маркова самолеты пошли на Петропавловск-Камчатский, а из Красноярска трасса перегонки продлилась до Уккурея в Забайкалье (через Читу) - для перевооружения 12-й воздушной армии. Часть машин летела сюда прямо из Якутска. Первой, по-видимому, Р-63А оснастили 190-ю дивизию генерал-майора В.В. Фокина, которая перебазировалась в Забайкалье в июне 1945 года. С 24 июня она начала получать "Кингкобры" и ко 2 августа закончила переучивание. Во время боевых операций в Маньчжурии она летала с двух аэродромов - "Урал" и "Ленинград" под г. Чойбалсаном в Монголии. После войны эта дивизия некоторое время стояла под Улан-Удэ. Там же, в 12-й воздушной армии на Забайкальском фронте воевала 245-я дивизия, в составе которой имелись два полка (940-й и 781-й), летавших на Р-63 (3457,78).</w:t>
      </w:r>
    </w:p>
    <w:p w14:paraId="3FD1BE3C" w14:textId="77777777" w:rsidR="006103B3" w:rsidRPr="00925F26" w:rsidRDefault="006103B3" w:rsidP="00925F26">
      <w:pPr>
        <w:autoSpaceDE w:val="0"/>
        <w:autoSpaceDN w:val="0"/>
        <w:adjustRightInd w:val="0"/>
        <w:jc w:val="both"/>
        <w:rPr>
          <w:color w:val="000000" w:themeColor="text1"/>
          <w:sz w:val="16"/>
          <w:szCs w:val="16"/>
        </w:rPr>
      </w:pPr>
    </w:p>
    <w:p w14:paraId="36D429B6" w14:textId="77777777" w:rsidR="0039556B" w:rsidRPr="00925F26" w:rsidRDefault="0039556B" w:rsidP="00925F26">
      <w:pPr>
        <w:jc w:val="both"/>
        <w:rPr>
          <w:color w:val="000000" w:themeColor="text1"/>
          <w:sz w:val="16"/>
          <w:szCs w:val="16"/>
        </w:rPr>
      </w:pPr>
      <w:r w:rsidRPr="00925F26">
        <w:rPr>
          <w:color w:val="000000" w:themeColor="text1"/>
          <w:sz w:val="16"/>
          <w:szCs w:val="16"/>
        </w:rPr>
        <w:t>Летом 1945 г. приоритет в распределении Р-63 отдали дальневосточным воздушным арми</w:t>
      </w:r>
      <w:r w:rsidRPr="00925F26">
        <w:rPr>
          <w:color w:val="000000" w:themeColor="text1"/>
          <w:sz w:val="16"/>
          <w:szCs w:val="16"/>
        </w:rPr>
        <w:softHyphen/>
        <w:t>ям, готовившимся к боевым действиям в Маньчжурии. Привычное направле</w:t>
      </w:r>
      <w:r w:rsidRPr="00925F26">
        <w:rPr>
          <w:color w:val="000000" w:themeColor="text1"/>
          <w:sz w:val="16"/>
          <w:szCs w:val="16"/>
        </w:rPr>
        <w:softHyphen/>
        <w:t>ние движения по маршруту АЛСИБа изменилось. Из Маркова самолеты по</w:t>
      </w:r>
      <w:r w:rsidRPr="00925F26">
        <w:rPr>
          <w:color w:val="000000" w:themeColor="text1"/>
          <w:sz w:val="16"/>
          <w:szCs w:val="16"/>
        </w:rPr>
        <w:softHyphen/>
        <w:t>шли на Петропавловск-Камчатский, а из Красноярска трасса перегонки продлилась до Уккурея в Забайкалье (через Читу) — для перевооружения 12-й воздушной ар</w:t>
      </w:r>
      <w:r w:rsidRPr="00925F26">
        <w:rPr>
          <w:color w:val="000000" w:themeColor="text1"/>
          <w:sz w:val="16"/>
          <w:szCs w:val="16"/>
        </w:rPr>
        <w:softHyphen/>
        <w:t>мии. Часть машин летела сюда прямо из Якутска.</w:t>
      </w:r>
    </w:p>
    <w:p w14:paraId="0450F560" w14:textId="77777777" w:rsidR="0039556B" w:rsidRPr="00925F26" w:rsidRDefault="0039556B" w:rsidP="00925F26">
      <w:pPr>
        <w:jc w:val="both"/>
        <w:rPr>
          <w:color w:val="000000" w:themeColor="text1"/>
          <w:sz w:val="16"/>
          <w:szCs w:val="16"/>
        </w:rPr>
      </w:pPr>
      <w:r w:rsidRPr="00925F26">
        <w:rPr>
          <w:color w:val="000000" w:themeColor="text1"/>
          <w:sz w:val="16"/>
          <w:szCs w:val="16"/>
        </w:rPr>
        <w:t>Первой, по-видимому, там оснасти</w:t>
      </w:r>
      <w:r w:rsidRPr="00925F26">
        <w:rPr>
          <w:color w:val="000000" w:themeColor="text1"/>
          <w:sz w:val="16"/>
          <w:szCs w:val="16"/>
        </w:rPr>
        <w:softHyphen/>
        <w:t>ли Р-63А 190-ю иад генерал-майора В.В. Фокина, которая перебазировалась в Забайкалье в июне 1945 г. С 24 июня она начала получать «Кингкобры» и к 2 августа закончила переучивание. Во время боевых операций в Маньчжурии она летала с двух аэродромов — «Урал» и «Ленинград» под Чойбалсаном в Монголии. После войны эта дивизия некоторое время стояла под Улан-Удэ.</w:t>
      </w:r>
    </w:p>
    <w:p w14:paraId="30E21794" w14:textId="77777777" w:rsidR="0039556B" w:rsidRPr="00925F26" w:rsidRDefault="0039556B" w:rsidP="00925F26">
      <w:pPr>
        <w:jc w:val="both"/>
        <w:rPr>
          <w:color w:val="000000" w:themeColor="text1"/>
          <w:sz w:val="16"/>
          <w:szCs w:val="16"/>
        </w:rPr>
      </w:pPr>
      <w:r w:rsidRPr="00925F26">
        <w:rPr>
          <w:color w:val="000000" w:themeColor="text1"/>
          <w:sz w:val="16"/>
          <w:szCs w:val="16"/>
        </w:rPr>
        <w:t>Там же, в 12-й воздушной армии на Забайкальском фронте воевала 245-я иад, в составе которой имелись два полка (940-й и 781-й), летавших на Р-63. В июле- августе первые «Кингкобры» поступили в 128-ю сад, базировавшуюся на Камчатке. Прибыли Р-63 также в 9-ю и 10-ю воздуш</w:t>
      </w:r>
      <w:r w:rsidRPr="00925F26">
        <w:rPr>
          <w:color w:val="000000" w:themeColor="text1"/>
          <w:sz w:val="16"/>
          <w:szCs w:val="16"/>
        </w:rPr>
        <w:softHyphen/>
        <w:t>ные армии. Для них перегонщики проло</w:t>
      </w:r>
      <w:r w:rsidRPr="00925F26">
        <w:rPr>
          <w:color w:val="000000" w:themeColor="text1"/>
          <w:sz w:val="16"/>
          <w:szCs w:val="16"/>
        </w:rPr>
        <w:softHyphen/>
        <w:t>жили маршрут до Хабаровска. Здесь к на</w:t>
      </w:r>
      <w:r w:rsidRPr="00925F26">
        <w:rPr>
          <w:color w:val="000000" w:themeColor="text1"/>
          <w:sz w:val="16"/>
          <w:szCs w:val="16"/>
        </w:rPr>
        <w:softHyphen/>
        <w:t>чалу боевых действий скопилось 97 Р-63, которые не успели распределить по полкам.</w:t>
      </w:r>
    </w:p>
    <w:p w14:paraId="6CAF48FA" w14:textId="77777777" w:rsidR="0039556B" w:rsidRPr="00925F26" w:rsidRDefault="0039556B" w:rsidP="00925F26">
      <w:pPr>
        <w:jc w:val="both"/>
        <w:rPr>
          <w:color w:val="000000" w:themeColor="text1"/>
          <w:sz w:val="16"/>
          <w:szCs w:val="16"/>
        </w:rPr>
      </w:pPr>
      <w:r w:rsidRPr="00925F26">
        <w:rPr>
          <w:color w:val="000000" w:themeColor="text1"/>
          <w:sz w:val="16"/>
          <w:szCs w:val="16"/>
        </w:rPr>
        <w:t>Во время недолгой кампании на Дальнем Востоке «Кингкобры» исполь</w:t>
      </w:r>
      <w:r w:rsidRPr="00925F26">
        <w:rPr>
          <w:color w:val="000000" w:themeColor="text1"/>
          <w:sz w:val="16"/>
          <w:szCs w:val="16"/>
        </w:rPr>
        <w:softHyphen/>
        <w:t>зовались для сопровождения бомбар</w:t>
      </w:r>
      <w:r w:rsidRPr="00925F26">
        <w:rPr>
          <w:color w:val="000000" w:themeColor="text1"/>
          <w:sz w:val="16"/>
          <w:szCs w:val="16"/>
        </w:rPr>
        <w:softHyphen/>
        <w:t>дировщиков и разведчиков, прикрытия с воздуха войск и кораблей, штурмовки и бомбардировки японских позиций. На второй день наступления 40 Ил-4 под прикрытием 50 Р-63 бомбили укрепрайон Сучжоу, откуда японцы обстреливали со</w:t>
      </w:r>
      <w:r w:rsidRPr="00925F26">
        <w:rPr>
          <w:color w:val="000000" w:themeColor="text1"/>
          <w:sz w:val="16"/>
          <w:szCs w:val="16"/>
        </w:rPr>
        <w:softHyphen/>
        <w:t>ветский город Иман. Части 190-й и 245-й дивизий поддерживали наступающие со</w:t>
      </w:r>
      <w:r w:rsidRPr="00925F26">
        <w:rPr>
          <w:color w:val="000000" w:themeColor="text1"/>
          <w:sz w:val="16"/>
          <w:szCs w:val="16"/>
        </w:rPr>
        <w:softHyphen/>
        <w:t>ветские и монгольские войска, действуя в основном как истребители-</w:t>
      </w:r>
      <w:r w:rsidRPr="00925F26">
        <w:rPr>
          <w:color w:val="000000" w:themeColor="text1"/>
          <w:sz w:val="16"/>
          <w:szCs w:val="16"/>
        </w:rPr>
        <w:lastRenderedPageBreak/>
        <w:t>бомбарди</w:t>
      </w:r>
      <w:r w:rsidRPr="00925F26">
        <w:rPr>
          <w:color w:val="000000" w:themeColor="text1"/>
          <w:sz w:val="16"/>
          <w:szCs w:val="16"/>
        </w:rPr>
        <w:softHyphen/>
        <w:t>ровщики и штурмовики, а также при</w:t>
      </w:r>
      <w:r w:rsidRPr="00925F26">
        <w:rPr>
          <w:color w:val="000000" w:themeColor="text1"/>
          <w:sz w:val="16"/>
          <w:szCs w:val="16"/>
        </w:rPr>
        <w:softHyphen/>
        <w:t>крывая транспортные самолеты, достав</w:t>
      </w:r>
      <w:r w:rsidRPr="00925F26">
        <w:rPr>
          <w:color w:val="000000" w:themeColor="text1"/>
          <w:sz w:val="16"/>
          <w:szCs w:val="16"/>
        </w:rPr>
        <w:softHyphen/>
        <w:t>лявшие горючее передовым танковым и механизированным подразделениям. Бомбы брали советские, ФАБ-100, для чего несколько переделывали бомбодержатели. Подкрыльные крупнокалиберные пулеме</w:t>
      </w:r>
      <w:r w:rsidRPr="00925F26">
        <w:rPr>
          <w:color w:val="000000" w:themeColor="text1"/>
          <w:sz w:val="16"/>
          <w:szCs w:val="16"/>
        </w:rPr>
        <w:softHyphen/>
        <w:t>ты обычно не ставили (23513).</w:t>
      </w:r>
    </w:p>
    <w:p w14:paraId="1B8F9236" w14:textId="77777777" w:rsidR="0039556B" w:rsidRPr="00925F26" w:rsidRDefault="0039556B" w:rsidP="00925F26">
      <w:pPr>
        <w:jc w:val="both"/>
        <w:rPr>
          <w:color w:val="000000" w:themeColor="text1"/>
          <w:sz w:val="16"/>
          <w:szCs w:val="16"/>
        </w:rPr>
      </w:pPr>
    </w:p>
    <w:p w14:paraId="6C7BEA3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 лета 1945 года началась перегонка из США амфибий PBY-6A. Эту модификацию строил завод в Новом Орлеане. По оборудованию эта последняя модификация "Каталины" превосходила все предыдущие. 15 самолетов перегнали с о. Кодьяк, а остальные 33 получили в Элизабет-сити. Поначалу непривычно было садиться на лодке на сухопутные аэродромы, да еще при трехколесном шасси, но с этим быстро освоились. В отношении же поведения в воздухе PBY-6A мало отличалась от "чистых" лодок, разве что за счет большего веса чуть инертнее реагировала на рули. В боевых операциях на западе амфибии не успели принять участия, но немного повоевали на востоке (3457,130).</w:t>
      </w:r>
    </w:p>
    <w:p w14:paraId="68D57228" w14:textId="77777777" w:rsidR="006103B3" w:rsidRPr="00925F26" w:rsidRDefault="006103B3" w:rsidP="00925F26">
      <w:pPr>
        <w:autoSpaceDE w:val="0"/>
        <w:autoSpaceDN w:val="0"/>
        <w:adjustRightInd w:val="0"/>
        <w:jc w:val="both"/>
        <w:rPr>
          <w:color w:val="000000" w:themeColor="text1"/>
          <w:sz w:val="16"/>
          <w:szCs w:val="16"/>
        </w:rPr>
      </w:pPr>
    </w:p>
    <w:p w14:paraId="5F8966A2" w14:textId="77777777" w:rsidR="00500674" w:rsidRPr="00925F26" w:rsidRDefault="00500674" w:rsidP="00925F26">
      <w:pPr>
        <w:jc w:val="both"/>
        <w:rPr>
          <w:color w:val="000000" w:themeColor="text1"/>
          <w:sz w:val="16"/>
          <w:szCs w:val="16"/>
        </w:rPr>
      </w:pPr>
      <w:r w:rsidRPr="00925F26">
        <w:rPr>
          <w:color w:val="000000" w:themeColor="text1"/>
          <w:sz w:val="16"/>
          <w:szCs w:val="16"/>
        </w:rPr>
        <w:t>Летом 1945 г. приоритет отдали дальневосточным воздушным армиям, готовившимся к боевым действиям в Маньчжурии. Привычное направление движения по маршруту АЛСИБа изменилось. Из Маркова самолёты пошли на Петропавловск-Камчатский, а из Красноярска трасса перегонки продлилась до Уккурея в Забайкалье (через Читу) - для перевооружения 12-й воздушной армии. Часть машин летела сюда прямо из Якутска.</w:t>
      </w:r>
    </w:p>
    <w:p w14:paraId="35334997" w14:textId="77777777" w:rsidR="00500674" w:rsidRPr="00925F26" w:rsidRDefault="00500674" w:rsidP="00925F26">
      <w:pPr>
        <w:jc w:val="both"/>
        <w:rPr>
          <w:color w:val="000000" w:themeColor="text1"/>
          <w:sz w:val="16"/>
          <w:szCs w:val="16"/>
        </w:rPr>
      </w:pPr>
      <w:r w:rsidRPr="00925F26">
        <w:rPr>
          <w:color w:val="000000" w:themeColor="text1"/>
          <w:sz w:val="16"/>
          <w:szCs w:val="16"/>
        </w:rPr>
        <w:t>Первой «кингкобрами», по-видимому, там оснастили 190-ю иад генерал-майора В.В. Фокина, которая перебазировалась в Забайкалье в июне 1945 г. С 24 июня она начала получать Р-63А и к 2 августа закончила переучивание. Во время боевых операций в Маньчжурии лётчики дивизии летали с двух аэродромов - «Урал» и «Ленинград» под г. Чойбалсаном в Монголии. После войны эта дивизия некоторое время стояла под Улан-Удэ.</w:t>
      </w:r>
    </w:p>
    <w:p w14:paraId="0B9AFF8C" w14:textId="77777777" w:rsidR="00500674" w:rsidRPr="00925F26" w:rsidRDefault="00500674" w:rsidP="00925F26">
      <w:pPr>
        <w:jc w:val="both"/>
        <w:rPr>
          <w:color w:val="000000" w:themeColor="text1"/>
          <w:sz w:val="16"/>
          <w:szCs w:val="16"/>
        </w:rPr>
      </w:pPr>
      <w:r w:rsidRPr="00925F26">
        <w:rPr>
          <w:color w:val="000000" w:themeColor="text1"/>
          <w:sz w:val="16"/>
          <w:szCs w:val="16"/>
        </w:rPr>
        <w:t>Там же, на Забайкальском фронте в 12-й воздушной армии воевала 245-я иад, в составе которой имелись два полка (940-й и 781-й), летавших на Р-63. В июле- августе первые «кингкобры» поступили в 128-ю сад, базировавшуюся на Камчатке. Прибыли Р-63 и в 9-ю и 10-ю воздушные армии. Для них перегонщики проложили маршрут до Хабаровска. Здесь к началу боевых действий скопилось 97 Р-63, которые не успели распределить по полкам.</w:t>
      </w:r>
    </w:p>
    <w:p w14:paraId="544A6198" w14:textId="77777777" w:rsidR="00500674" w:rsidRPr="00925F26" w:rsidRDefault="00500674" w:rsidP="00925F26">
      <w:pPr>
        <w:jc w:val="both"/>
        <w:rPr>
          <w:color w:val="000000" w:themeColor="text1"/>
          <w:sz w:val="16"/>
          <w:szCs w:val="16"/>
        </w:rPr>
      </w:pPr>
      <w:r w:rsidRPr="00925F26">
        <w:rPr>
          <w:color w:val="000000" w:themeColor="text1"/>
          <w:sz w:val="16"/>
          <w:szCs w:val="16"/>
        </w:rPr>
        <w:t>Во время недолгой кампании на Дальнем Востоке «кингкобры» использовались для сопровождения бомбардировщиков и разведчиков, прикрытия с воздуха войск и кораблей, штурмовки и бомбардировки японских позиций. На второй день наступления 40 Ил-4 под прикрытием 50 Р-63 бомбили укрепрайон Сучжоу, откуда японцы обстреливали советский город Иман. Части 190-й и 245-й дивизий поддерживали наступающие советские и монгольские войска, действуя в основном как истребители-бомбардировщики и штурмовики, а также прикрывая транспортные самолёты, доставлявшие горючее передовым танковым и механизированным подразделениям. Бомбы брали советские, ФАБ-100, для чего несколько переделывали американские бомбодержатели. Подкрыльные крупнокалиберные пулемёты обычно не ставили (12265).</w:t>
      </w:r>
    </w:p>
    <w:p w14:paraId="448EE5DA" w14:textId="77777777" w:rsidR="00500674" w:rsidRPr="00925F26" w:rsidRDefault="00500674" w:rsidP="00925F26">
      <w:pPr>
        <w:jc w:val="both"/>
        <w:rPr>
          <w:color w:val="000000" w:themeColor="text1"/>
          <w:sz w:val="16"/>
          <w:szCs w:val="16"/>
        </w:rPr>
      </w:pPr>
    </w:p>
    <w:p w14:paraId="3914A9AC"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За рубежом:</w:t>
      </w:r>
    </w:p>
    <w:p w14:paraId="68BDFE47" w14:textId="77777777" w:rsidR="006103B3" w:rsidRPr="00925F26" w:rsidRDefault="006103B3" w:rsidP="00925F26">
      <w:pPr>
        <w:autoSpaceDE w:val="0"/>
        <w:autoSpaceDN w:val="0"/>
        <w:adjustRightInd w:val="0"/>
        <w:jc w:val="both"/>
        <w:rPr>
          <w:iCs/>
          <w:color w:val="000000" w:themeColor="text1"/>
          <w:sz w:val="16"/>
          <w:szCs w:val="16"/>
        </w:rPr>
      </w:pPr>
    </w:p>
    <w:p w14:paraId="5BD0DEFB"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Летом 1945 г. один простейшего самолета для самоубийственных атак, без всякого учета аэродинамики, был построен на фирме «Кокусай» и получил название ТаГо. Его деревянно-металлическая конструкция с маломощным двигателем была упрощена до предела. 25 июля ТаГо был облетан, при этом выявилось много проблем, которые необходимо было решить для того, чтобы самолет смог выполнять простейшие полеты. Однако вскоре цех, где находился единственный прототип самолета ТаГо, был разрушен. Проект был предложен группой молодых японских офицеров во главе с капитаном Мидзуяма Ясиюки в качестве одного из средств отражения американского вторжения на Японские острова предложила проект. Предполагалось, что этот самолет можно будет построить в любой кустарной мастерской из доступных материалов. В самолете были складные крылья, и он мог быть укрыт в кустах, пещерах, в туннелях, в любых помещениях. При необходимости самолет быстро готовился к взлету, а затем пикировал на цель со 100-килограммовой бомбой, подвешенной к фюзеляжу (11686).</w:t>
      </w:r>
    </w:p>
    <w:p w14:paraId="77072051" w14:textId="77777777" w:rsidR="006103B3" w:rsidRPr="00925F26" w:rsidRDefault="006103B3" w:rsidP="00925F26">
      <w:pPr>
        <w:autoSpaceDE w:val="0"/>
        <w:autoSpaceDN w:val="0"/>
        <w:adjustRightInd w:val="0"/>
        <w:jc w:val="both"/>
        <w:rPr>
          <w:color w:val="000000" w:themeColor="text1"/>
          <w:sz w:val="16"/>
          <w:szCs w:val="16"/>
        </w:rPr>
      </w:pPr>
    </w:p>
    <w:p w14:paraId="02EFD2C6" w14:textId="77777777" w:rsidR="00C46885" w:rsidRPr="00925F26" w:rsidRDefault="00C46885" w:rsidP="00925F26">
      <w:pPr>
        <w:jc w:val="both"/>
        <w:rPr>
          <w:color w:val="000000" w:themeColor="text1"/>
          <w:sz w:val="16"/>
          <w:szCs w:val="16"/>
        </w:rPr>
      </w:pPr>
      <w:r w:rsidRPr="00925F26">
        <w:rPr>
          <w:color w:val="000000" w:themeColor="text1"/>
          <w:sz w:val="16"/>
          <w:szCs w:val="16"/>
        </w:rPr>
        <w:t>Летом 1945 года японцы в последний раз попытались использовать самолеты Н6К и Н8К для бомбардировки американских войск и кораблей, но это уже ничего не могло изменить. Сбитый американским тяжелым перехватчиком Р-61 одинокий Н8К стал последней жертвой в гигантской воздушной войне, захватившей большую половину мира на долгих шесть лет (22817).</w:t>
      </w:r>
    </w:p>
    <w:p w14:paraId="4575A942" w14:textId="77777777" w:rsidR="00C46885" w:rsidRPr="00925F26" w:rsidRDefault="00C46885" w:rsidP="00925F26">
      <w:pPr>
        <w:jc w:val="both"/>
        <w:rPr>
          <w:color w:val="000000" w:themeColor="text1"/>
          <w:sz w:val="16"/>
          <w:szCs w:val="16"/>
        </w:rPr>
      </w:pPr>
    </w:p>
    <w:p w14:paraId="676FBB29"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446BF7ED" w14:textId="77777777" w:rsidR="006103B3" w:rsidRPr="00925F26" w:rsidRDefault="006103B3" w:rsidP="00925F26">
      <w:pPr>
        <w:autoSpaceDE w:val="0"/>
        <w:autoSpaceDN w:val="0"/>
        <w:adjustRightInd w:val="0"/>
        <w:jc w:val="both"/>
        <w:rPr>
          <w:iCs/>
          <w:color w:val="000000" w:themeColor="text1"/>
          <w:sz w:val="16"/>
          <w:szCs w:val="16"/>
        </w:rPr>
      </w:pPr>
    </w:p>
    <w:p w14:paraId="7D13056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течение лета - осени 1945 г. опытный образец СУ-102 прошел заводские испытания и соответствующие доработки. На вооружении и в серийном производстве машина не состояла. Опыт работы над самоходной установкой СУ-102 был использован для созда</w:t>
      </w:r>
      <w:r w:rsidRPr="00925F26">
        <w:rPr>
          <w:color w:val="000000" w:themeColor="text1"/>
          <w:sz w:val="16"/>
          <w:szCs w:val="16"/>
        </w:rPr>
        <w:softHyphen/>
        <w:t>ния боевых машин артиллерии в послевоенный период. Самоходная установка СУ-102 относилась к типу полностью брони</w:t>
      </w:r>
      <w:r w:rsidRPr="00925F26">
        <w:rPr>
          <w:color w:val="000000" w:themeColor="text1"/>
          <w:sz w:val="16"/>
          <w:szCs w:val="16"/>
        </w:rPr>
        <w:softHyphen/>
        <w:t>рованных самоходных установок и по компоновке и общему устройст</w:t>
      </w:r>
      <w:r w:rsidRPr="00925F26">
        <w:rPr>
          <w:color w:val="000000" w:themeColor="text1"/>
          <w:sz w:val="16"/>
          <w:szCs w:val="16"/>
        </w:rPr>
        <w:softHyphen/>
        <w:t>ву, кроме вооружения, не отличалась от установки СУ-101. Экипаж ма</w:t>
      </w:r>
      <w:r w:rsidRPr="00925F26">
        <w:rPr>
          <w:color w:val="000000" w:themeColor="text1"/>
          <w:sz w:val="16"/>
          <w:szCs w:val="16"/>
        </w:rPr>
        <w:softHyphen/>
        <w:t>шины состоял из четырех человек (10703).</w:t>
      </w:r>
    </w:p>
    <w:p w14:paraId="5DC2429D"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0C987928" w14:textId="77777777" w:rsidR="00E73081" w:rsidRPr="001A0BAA" w:rsidRDefault="00E73081" w:rsidP="00E73081">
      <w:pPr>
        <w:jc w:val="both"/>
        <w:rPr>
          <w:color w:val="0070C0"/>
          <w:sz w:val="16"/>
          <w:szCs w:val="16"/>
        </w:rPr>
      </w:pPr>
      <w:r w:rsidRPr="001A0BAA">
        <w:rPr>
          <w:color w:val="0070C0"/>
          <w:sz w:val="16"/>
          <w:szCs w:val="16"/>
        </w:rPr>
        <w:t>В течение лета — осени 1945 года про</w:t>
      </w:r>
      <w:r w:rsidRPr="001A0BAA">
        <w:rPr>
          <w:color w:val="0070C0"/>
          <w:sz w:val="16"/>
          <w:szCs w:val="16"/>
        </w:rPr>
        <w:softHyphen/>
        <w:t>ходили заводские испытания обеих САУ (Су-101 и Су-102) и отработка их конструкции. Пришлось из</w:t>
      </w:r>
      <w:r w:rsidRPr="001A0BAA">
        <w:rPr>
          <w:color w:val="0070C0"/>
          <w:sz w:val="16"/>
          <w:szCs w:val="16"/>
        </w:rPr>
        <w:softHyphen/>
        <w:t>менять и дорабатывать ряд механизмов и устройств, переделывались агрегаты вен</w:t>
      </w:r>
      <w:r w:rsidRPr="001A0BAA">
        <w:rPr>
          <w:color w:val="0070C0"/>
          <w:sz w:val="16"/>
          <w:szCs w:val="16"/>
        </w:rPr>
        <w:softHyphen/>
        <w:t>тиляции и охлаждения двигателя из-за того, что температура в отделениях управ</w:t>
      </w:r>
      <w:r w:rsidRPr="001A0BAA">
        <w:rPr>
          <w:color w:val="0070C0"/>
          <w:sz w:val="16"/>
          <w:szCs w:val="16"/>
        </w:rPr>
        <w:softHyphen/>
        <w:t>ления (в особенности!) и боевом была очень высока, переделывалось все управ</w:t>
      </w:r>
      <w:r w:rsidRPr="001A0BAA">
        <w:rPr>
          <w:color w:val="0070C0"/>
          <w:sz w:val="16"/>
          <w:szCs w:val="16"/>
        </w:rPr>
        <w:softHyphen/>
        <w:t>ление машиной, перемещался в более удобное место механик-водитель и т.д. В результате интенсивной работы конструк</w:t>
      </w:r>
      <w:r w:rsidRPr="001A0BAA">
        <w:rPr>
          <w:color w:val="0070C0"/>
          <w:sz w:val="16"/>
          <w:szCs w:val="16"/>
        </w:rPr>
        <w:softHyphen/>
        <w:t>торов и слесарей-сборщиков, обе опытные машины были доведены до готовности к полигонным испытаниям.</w:t>
      </w:r>
    </w:p>
    <w:p w14:paraId="506CBC96" w14:textId="77777777" w:rsidR="00E73081" w:rsidRPr="001A0BAA" w:rsidRDefault="00E73081" w:rsidP="00E73081">
      <w:pPr>
        <w:jc w:val="both"/>
        <w:rPr>
          <w:color w:val="0070C0"/>
          <w:sz w:val="16"/>
          <w:szCs w:val="16"/>
        </w:rPr>
      </w:pPr>
      <w:r w:rsidRPr="001A0BAA">
        <w:rPr>
          <w:color w:val="0070C0"/>
          <w:sz w:val="16"/>
          <w:szCs w:val="16"/>
        </w:rPr>
        <w:t>Самоходные установки «Уралмаш-1» имели ряд существенных преимуществ по сравнению с ранее созданными отече</w:t>
      </w:r>
      <w:r w:rsidRPr="001A0BAA">
        <w:rPr>
          <w:color w:val="0070C0"/>
          <w:sz w:val="16"/>
          <w:szCs w:val="16"/>
        </w:rPr>
        <w:softHyphen/>
        <w:t>ственными САУ. Новая компоновка по</w:t>
      </w:r>
      <w:r w:rsidRPr="001A0BAA">
        <w:rPr>
          <w:color w:val="0070C0"/>
          <w:sz w:val="16"/>
          <w:szCs w:val="16"/>
        </w:rPr>
        <w:softHyphen/>
        <w:t>зволила сделать машину более компакт</w:t>
      </w:r>
      <w:r w:rsidRPr="001A0BAA">
        <w:rPr>
          <w:color w:val="0070C0"/>
          <w:sz w:val="16"/>
          <w:szCs w:val="16"/>
        </w:rPr>
        <w:softHyphen/>
        <w:t>ной, в результате повысилась маневрен</w:t>
      </w:r>
      <w:r w:rsidRPr="001A0BAA">
        <w:rPr>
          <w:color w:val="0070C0"/>
          <w:sz w:val="16"/>
          <w:szCs w:val="16"/>
        </w:rPr>
        <w:softHyphen/>
        <w:t>ность в ограниченных проходах и на пересеченной местности. Экипаж получил возможность в случае необходимости по</w:t>
      </w:r>
      <w:r w:rsidRPr="001A0BAA">
        <w:rPr>
          <w:color w:val="0070C0"/>
          <w:sz w:val="16"/>
          <w:szCs w:val="16"/>
        </w:rPr>
        <w:softHyphen/>
        <w:t>кидать машину через кормовой люк под прикрытием корпуса. Нельзя не отметить мощное бронирование — тоже результат более плотной компоновки. Общая оцен</w:t>
      </w:r>
      <w:r w:rsidRPr="001A0BAA">
        <w:rPr>
          <w:color w:val="0070C0"/>
          <w:sz w:val="16"/>
          <w:szCs w:val="16"/>
        </w:rPr>
        <w:softHyphen/>
        <w:t>ка конструкции корпуса после полигон</w:t>
      </w:r>
      <w:r w:rsidRPr="001A0BAA">
        <w:rPr>
          <w:color w:val="0070C0"/>
          <w:sz w:val="16"/>
          <w:szCs w:val="16"/>
        </w:rPr>
        <w:softHyphen/>
        <w:t>ных испытаний обстрелом была очень вы</w:t>
      </w:r>
      <w:r w:rsidRPr="001A0BAA">
        <w:rPr>
          <w:color w:val="0070C0"/>
          <w:sz w:val="16"/>
          <w:szCs w:val="16"/>
        </w:rPr>
        <w:softHyphen/>
        <w:t>сокой: корпус САУ «Уралмаш-1» оказал</w:t>
      </w:r>
      <w:r w:rsidRPr="001A0BAA">
        <w:rPr>
          <w:color w:val="0070C0"/>
          <w:sz w:val="16"/>
          <w:szCs w:val="16"/>
        </w:rPr>
        <w:softHyphen/>
        <w:t>ся по бронестойкости выше, чем корпуса всех других отечественных танков и САУ, в том числе ИС-2 и ИСУ-152. Равномер</w:t>
      </w:r>
      <w:r w:rsidRPr="001A0BAA">
        <w:rPr>
          <w:color w:val="0070C0"/>
          <w:sz w:val="16"/>
          <w:szCs w:val="16"/>
        </w:rPr>
        <w:softHyphen/>
        <w:t>ным было и распределение нагрузки на опорные катки ходовой части, что замет</w:t>
      </w:r>
      <w:r w:rsidRPr="001A0BAA">
        <w:rPr>
          <w:color w:val="0070C0"/>
          <w:sz w:val="16"/>
          <w:szCs w:val="16"/>
        </w:rPr>
        <w:softHyphen/>
        <w:t>но снизило ее износ. Размещение боевого отделения сзади позволяло, при необходи</w:t>
      </w:r>
      <w:r w:rsidRPr="001A0BAA">
        <w:rPr>
          <w:color w:val="0070C0"/>
          <w:sz w:val="16"/>
          <w:szCs w:val="16"/>
        </w:rPr>
        <w:softHyphen/>
        <w:t>мости, вооружить САУ еще более длинно</w:t>
      </w:r>
      <w:r w:rsidRPr="001A0BAA">
        <w:rPr>
          <w:color w:val="0070C0"/>
          <w:sz w:val="16"/>
          <w:szCs w:val="16"/>
        </w:rPr>
        <w:softHyphen/>
        <w:t>ствольным орудием.</w:t>
      </w:r>
    </w:p>
    <w:p w14:paraId="768BA426" w14:textId="77777777" w:rsidR="00E73081" w:rsidRPr="001A0BAA" w:rsidRDefault="00E73081" w:rsidP="00E73081">
      <w:pPr>
        <w:jc w:val="both"/>
        <w:rPr>
          <w:color w:val="0070C0"/>
          <w:sz w:val="16"/>
          <w:szCs w:val="16"/>
        </w:rPr>
      </w:pPr>
      <w:r w:rsidRPr="001A0BAA">
        <w:rPr>
          <w:color w:val="0070C0"/>
          <w:sz w:val="16"/>
          <w:szCs w:val="16"/>
        </w:rPr>
        <w:t>Вместе с тем после испытаний отмеча</w:t>
      </w:r>
      <w:r w:rsidRPr="001A0BAA">
        <w:rPr>
          <w:color w:val="0070C0"/>
          <w:sz w:val="16"/>
          <w:szCs w:val="16"/>
        </w:rPr>
        <w:softHyphen/>
        <w:t>лись и недостатки новых САУ. Не удалось преодолеть тесноту боевого отделения, в нем стало еще меньше свободного места чем у СУ-100. Несмотря на все усовершен</w:t>
      </w:r>
      <w:r w:rsidRPr="001A0BAA">
        <w:rPr>
          <w:color w:val="0070C0"/>
          <w:sz w:val="16"/>
          <w:szCs w:val="16"/>
        </w:rPr>
        <w:softHyphen/>
        <w:t>ствования в системе охлаждения двигате</w:t>
      </w:r>
      <w:r w:rsidRPr="001A0BAA">
        <w:rPr>
          <w:color w:val="0070C0"/>
          <w:sz w:val="16"/>
          <w:szCs w:val="16"/>
        </w:rPr>
        <w:softHyphen/>
        <w:t>ля, условия работы механика-водителя из- за высокой температуры в отделении уп</w:t>
      </w:r>
      <w:r w:rsidRPr="001A0BAA">
        <w:rPr>
          <w:color w:val="0070C0"/>
          <w:sz w:val="16"/>
          <w:szCs w:val="16"/>
        </w:rPr>
        <w:softHyphen/>
        <w:t>равления были невыносимыми. Отмеча</w:t>
      </w:r>
      <w:r w:rsidRPr="001A0BAA">
        <w:rPr>
          <w:color w:val="0070C0"/>
          <w:sz w:val="16"/>
          <w:szCs w:val="16"/>
        </w:rPr>
        <w:softHyphen/>
        <w:t>лось и сильное воздействие на переднюю часть крыши корпуса ударной волны при выстреле.</w:t>
      </w:r>
    </w:p>
    <w:p w14:paraId="662547F4" w14:textId="77777777" w:rsidR="00E73081" w:rsidRPr="001A0BAA" w:rsidRDefault="00E73081" w:rsidP="00E73081">
      <w:pPr>
        <w:jc w:val="both"/>
        <w:rPr>
          <w:color w:val="0070C0"/>
          <w:sz w:val="16"/>
          <w:szCs w:val="16"/>
        </w:rPr>
      </w:pPr>
      <w:r w:rsidRPr="001A0BAA">
        <w:rPr>
          <w:color w:val="0070C0"/>
          <w:sz w:val="16"/>
          <w:szCs w:val="16"/>
        </w:rPr>
        <w:t>Работы над ними были прекращены (25002).</w:t>
      </w:r>
    </w:p>
    <w:p w14:paraId="3F46491C" w14:textId="77777777" w:rsidR="00E73081" w:rsidRPr="001A0BAA" w:rsidRDefault="00E73081" w:rsidP="00E73081">
      <w:pPr>
        <w:jc w:val="both"/>
        <w:rPr>
          <w:color w:val="0070C0"/>
          <w:sz w:val="16"/>
          <w:szCs w:val="16"/>
        </w:rPr>
      </w:pPr>
    </w:p>
    <w:p w14:paraId="00825BED"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240D533D" w14:textId="77777777" w:rsidR="006103B3" w:rsidRPr="00925F26" w:rsidRDefault="006103B3" w:rsidP="00925F26">
      <w:pPr>
        <w:autoSpaceDE w:val="0"/>
        <w:autoSpaceDN w:val="0"/>
        <w:adjustRightInd w:val="0"/>
        <w:jc w:val="both"/>
        <w:rPr>
          <w:iCs/>
          <w:color w:val="000000" w:themeColor="text1"/>
          <w:sz w:val="16"/>
          <w:szCs w:val="16"/>
        </w:rPr>
      </w:pPr>
    </w:p>
    <w:p w14:paraId="2E3F1138"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середине 1945 года в ОКБ главного конструктора А.И.Микояна спроектировали истребитель И-260. Си</w:t>
      </w:r>
      <w:r w:rsidRPr="00925F26">
        <w:rPr>
          <w:color w:val="000000" w:themeColor="text1"/>
          <w:sz w:val="16"/>
          <w:szCs w:val="16"/>
        </w:rPr>
        <w:softHyphen/>
        <w:t>ловая установка его состояла из двух ТРД ВММ-ООЗ, размещенных под крылом. В дальнейшем работы по этому проекту были свернуты в пользу ис</w:t>
      </w:r>
      <w:r w:rsidRPr="00925F26">
        <w:rPr>
          <w:color w:val="000000" w:themeColor="text1"/>
          <w:sz w:val="16"/>
          <w:szCs w:val="16"/>
        </w:rPr>
        <w:softHyphen/>
        <w:t>требителя И-300 (МиГ-9) (10705).</w:t>
      </w:r>
    </w:p>
    <w:p w14:paraId="44847051"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27D5A2E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1945 А.Н.Т. во всю проектировал Ту-64 с 4хАМ-46ТК (88,188).</w:t>
      </w:r>
    </w:p>
    <w:p w14:paraId="49D6BD53" w14:textId="77777777" w:rsidR="006103B3" w:rsidRPr="00925F26" w:rsidRDefault="006103B3" w:rsidP="00925F26">
      <w:pPr>
        <w:autoSpaceDE w:val="0"/>
        <w:autoSpaceDN w:val="0"/>
        <w:adjustRightInd w:val="0"/>
        <w:jc w:val="both"/>
        <w:rPr>
          <w:color w:val="000000" w:themeColor="text1"/>
          <w:sz w:val="16"/>
          <w:szCs w:val="16"/>
        </w:rPr>
      </w:pPr>
    </w:p>
    <w:p w14:paraId="70135D8C" w14:textId="77777777" w:rsidR="0094430B" w:rsidRPr="00925F26" w:rsidRDefault="0094430B" w:rsidP="00925F26">
      <w:pPr>
        <w:jc w:val="both"/>
        <w:rPr>
          <w:color w:val="000000" w:themeColor="text1"/>
          <w:sz w:val="16"/>
          <w:szCs w:val="16"/>
        </w:rPr>
      </w:pPr>
      <w:r w:rsidRPr="00925F26">
        <w:rPr>
          <w:color w:val="000000" w:themeColor="text1"/>
          <w:sz w:val="16"/>
          <w:szCs w:val="16"/>
        </w:rPr>
        <w:t>В середине 1945 модифицированный Ще-2ТМ No. 422047 поступила в НИИ ВВС, не пройдя статических испытаний, что в итоге не позволило провести государственные испытания в полном объеме и рекомендовать ее в серийное производство. Тем не менее, подтвердилось значительное улучшение летных характеристик по сравнению с серийным образцом. Ведущими по машине на этом этапе испытаний были инженер А. П. Шаров и летчик-испытатель В. С. Холопов.</w:t>
      </w:r>
    </w:p>
    <w:p w14:paraId="31F8ACE9" w14:textId="77777777" w:rsidR="0094430B" w:rsidRPr="00925F26" w:rsidRDefault="0094430B" w:rsidP="00925F26">
      <w:pPr>
        <w:jc w:val="both"/>
        <w:rPr>
          <w:color w:val="000000" w:themeColor="text1"/>
          <w:sz w:val="16"/>
          <w:szCs w:val="16"/>
        </w:rPr>
      </w:pPr>
      <w:r w:rsidRPr="00925F26">
        <w:rPr>
          <w:color w:val="000000" w:themeColor="text1"/>
          <w:sz w:val="16"/>
          <w:szCs w:val="16"/>
        </w:rPr>
        <w:t>модифицированный Ще-2ТМ, выпущенный в 1945 году на заводе No. 47 стал последним вариантом самолета Ще-2. На машине установили в новых мотогондолах форсированные моторы М-11ФМ взлетной мощностью по 145 л.с. За счет сокращения размаха центроплана на 2,35 м была уменьшена площадь крыла с 63,9 до 54,9 мЛ. С самолета сняли закрылки и укоротили с 3,21 до 1,965 м подкосы крыла, внутренний объем которых использовался в качестве баллонов сжатого воздуха. Уменьшили с 10,14 до 8, 12 м" площадь горизонтального и с 5,48 до 4,86 мЛ вертикального оперения. За счет снятия передних бензобаков снизили запас горючего. Укоротили стойки шасси, одновременно уменьшив диаметр колеса. Выпуклые передние стекла фонаря кабины летчиков заменили на плоские. Облегчили перекрытие грузового пола между 9 и 10 шпангоутами. Проведенные доработки положительно сказались и на центровке самолета.</w:t>
      </w:r>
    </w:p>
    <w:p w14:paraId="2C0E3399" w14:textId="77777777" w:rsidR="0094430B" w:rsidRPr="00925F26" w:rsidRDefault="0094430B" w:rsidP="00925F26">
      <w:pPr>
        <w:jc w:val="both"/>
        <w:rPr>
          <w:color w:val="000000" w:themeColor="text1"/>
          <w:sz w:val="16"/>
          <w:szCs w:val="16"/>
        </w:rPr>
      </w:pPr>
      <w:r w:rsidRPr="00925F26">
        <w:rPr>
          <w:color w:val="000000" w:themeColor="text1"/>
          <w:sz w:val="16"/>
          <w:szCs w:val="16"/>
        </w:rPr>
        <w:t>Самолет испытывался с тремя винтами фиксированного шага и винтом изменяемого шага, но наилучшие результаты получили с винтами ВИШ-327-Д210. Однако в серию Ще-2ТМ не пошел, главным образом, из-за свертывания производства после окончания войны. По этой же причине не были завершены работы по Ще-2 с дизельными моторами, которого начались в июле 1945-го (24203).</w:t>
      </w:r>
    </w:p>
    <w:p w14:paraId="37DE3CF7" w14:textId="77777777" w:rsidR="0094430B" w:rsidRPr="00925F26" w:rsidRDefault="0094430B" w:rsidP="00925F26">
      <w:pPr>
        <w:jc w:val="both"/>
        <w:rPr>
          <w:color w:val="000000" w:themeColor="text1"/>
          <w:sz w:val="16"/>
          <w:szCs w:val="16"/>
        </w:rPr>
      </w:pPr>
    </w:p>
    <w:p w14:paraId="4E29F158"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1945 прекратили выпуск десантного планера Г-11У, однако, через год вновь восстановили и производили до 1948 (9080).</w:t>
      </w:r>
    </w:p>
    <w:p w14:paraId="3A1C8ECB" w14:textId="77777777" w:rsidR="006103B3" w:rsidRPr="00925F26" w:rsidRDefault="006103B3" w:rsidP="00925F26">
      <w:pPr>
        <w:autoSpaceDE w:val="0"/>
        <w:autoSpaceDN w:val="0"/>
        <w:adjustRightInd w:val="0"/>
        <w:jc w:val="both"/>
        <w:rPr>
          <w:color w:val="000000" w:themeColor="text1"/>
          <w:sz w:val="16"/>
          <w:szCs w:val="16"/>
        </w:rPr>
      </w:pPr>
    </w:p>
    <w:p w14:paraId="749EC2B5" w14:textId="77777777" w:rsidR="00500674" w:rsidRPr="00925F26" w:rsidRDefault="00500674" w:rsidP="00925F26">
      <w:pPr>
        <w:jc w:val="both"/>
        <w:rPr>
          <w:color w:val="000000" w:themeColor="text1"/>
          <w:sz w:val="16"/>
          <w:szCs w:val="16"/>
        </w:rPr>
      </w:pPr>
      <w:r w:rsidRPr="00925F26">
        <w:rPr>
          <w:color w:val="000000" w:themeColor="text1"/>
          <w:sz w:val="16"/>
          <w:szCs w:val="16"/>
        </w:rPr>
        <w:lastRenderedPageBreak/>
        <w:t>В середине 1945 г. производство Г-11У пре</w:t>
      </w:r>
      <w:r w:rsidRPr="00925F26">
        <w:rPr>
          <w:color w:val="000000" w:themeColor="text1"/>
          <w:sz w:val="16"/>
          <w:szCs w:val="16"/>
        </w:rPr>
        <w:softHyphen/>
        <w:t>кратили, однако спустя год вновь воз</w:t>
      </w:r>
      <w:r w:rsidRPr="00925F26">
        <w:rPr>
          <w:color w:val="000000" w:themeColor="text1"/>
          <w:sz w:val="16"/>
          <w:szCs w:val="16"/>
        </w:rPr>
        <w:softHyphen/>
        <w:t>обновили и продолжили вплоть до 1948 г. Сколько пла</w:t>
      </w:r>
      <w:r w:rsidRPr="00925F26">
        <w:rPr>
          <w:color w:val="000000" w:themeColor="text1"/>
          <w:sz w:val="16"/>
          <w:szCs w:val="16"/>
        </w:rPr>
        <w:softHyphen/>
        <w:t>неров было построено в этот период — неизвестно, но Кра</w:t>
      </w:r>
      <w:r w:rsidRPr="00925F26">
        <w:rPr>
          <w:color w:val="000000" w:themeColor="text1"/>
          <w:sz w:val="16"/>
          <w:szCs w:val="16"/>
        </w:rPr>
        <w:softHyphen/>
        <w:t>сильщиков А.П. — крупней</w:t>
      </w:r>
      <w:r w:rsidRPr="00925F26">
        <w:rPr>
          <w:color w:val="000000" w:themeColor="text1"/>
          <w:sz w:val="16"/>
          <w:szCs w:val="16"/>
        </w:rPr>
        <w:softHyphen/>
        <w:t>ший знаток планерного дела в СССР — считает, что общее количество выпущенных пла</w:t>
      </w:r>
      <w:r w:rsidRPr="00925F26">
        <w:rPr>
          <w:color w:val="000000" w:themeColor="text1"/>
          <w:sz w:val="16"/>
          <w:szCs w:val="16"/>
        </w:rPr>
        <w:softHyphen/>
        <w:t>неров Г-11 составляет около 500 штук.</w:t>
      </w:r>
    </w:p>
    <w:p w14:paraId="09A0861B" w14:textId="77777777" w:rsidR="00500674" w:rsidRPr="00925F26" w:rsidRDefault="00500674" w:rsidP="00925F26">
      <w:pPr>
        <w:jc w:val="both"/>
        <w:rPr>
          <w:color w:val="000000" w:themeColor="text1"/>
          <w:sz w:val="16"/>
          <w:szCs w:val="16"/>
        </w:rPr>
      </w:pPr>
      <w:r w:rsidRPr="00925F26">
        <w:rPr>
          <w:color w:val="000000" w:themeColor="text1"/>
          <w:sz w:val="16"/>
          <w:szCs w:val="16"/>
        </w:rPr>
        <w:t>Транспортно-десантный планер Г-11 предназначен для транспортирования 1 пилота и 10 десантников с вооружением или груза весом 1100 кг. Это был сво- боднонесущий высокоплан, с фюзеляжем коробчато</w:t>
      </w:r>
      <w:r w:rsidRPr="00925F26">
        <w:rPr>
          <w:color w:val="000000" w:themeColor="text1"/>
          <w:sz w:val="16"/>
          <w:szCs w:val="16"/>
        </w:rPr>
        <w:softHyphen/>
        <w:t>го сечения со скругленными углами. Низ фюзеляжа имел килеватость, в вершине которой размещалась деревянная посадочная лыжа. Планер сделан в ос</w:t>
      </w:r>
      <w:r w:rsidRPr="00925F26">
        <w:rPr>
          <w:color w:val="000000" w:themeColor="text1"/>
          <w:sz w:val="16"/>
          <w:szCs w:val="16"/>
        </w:rPr>
        <w:softHyphen/>
        <w:t xml:space="preserve">новном из дерева. Сталь применялась только в </w:t>
      </w:r>
      <w:proofErr w:type="gramStart"/>
      <w:r w:rsidRPr="00925F26">
        <w:rPr>
          <w:color w:val="000000" w:themeColor="text1"/>
          <w:sz w:val="16"/>
          <w:szCs w:val="16"/>
        </w:rPr>
        <w:t>вы- соконагруженных</w:t>
      </w:r>
      <w:proofErr w:type="gramEnd"/>
      <w:r w:rsidRPr="00925F26">
        <w:rPr>
          <w:color w:val="000000" w:themeColor="text1"/>
          <w:sz w:val="16"/>
          <w:szCs w:val="16"/>
        </w:rPr>
        <w:t xml:space="preserve"> частях, например, в шасси и в кре</w:t>
      </w:r>
      <w:r w:rsidRPr="00925F26">
        <w:rPr>
          <w:color w:val="000000" w:themeColor="text1"/>
          <w:sz w:val="16"/>
          <w:szCs w:val="16"/>
        </w:rPr>
        <w:softHyphen/>
        <w:t>пеже. Использовались также центропланом закрыто алюминиевой полосой. Стык центроплана с фюзеляжем закрыт зализами, выколо</w:t>
      </w:r>
      <w:r w:rsidRPr="00925F26">
        <w:rPr>
          <w:color w:val="000000" w:themeColor="text1"/>
          <w:sz w:val="16"/>
          <w:szCs w:val="16"/>
        </w:rPr>
        <w:softHyphen/>
        <w:t xml:space="preserve">ченными из алюминия и закрепленными шурупами. Подобные зализы установлены в местах сочленения стабилизатора и фюзеляжа. </w:t>
      </w:r>
    </w:p>
    <w:p w14:paraId="6E456018" w14:textId="77777777" w:rsidR="00500674" w:rsidRPr="00925F26" w:rsidRDefault="00500674" w:rsidP="00925F26">
      <w:pPr>
        <w:jc w:val="both"/>
        <w:rPr>
          <w:color w:val="000000" w:themeColor="text1"/>
          <w:sz w:val="16"/>
          <w:szCs w:val="16"/>
        </w:rPr>
      </w:pPr>
      <w:r w:rsidRPr="00925F26">
        <w:rPr>
          <w:color w:val="000000" w:themeColor="text1"/>
          <w:sz w:val="16"/>
          <w:szCs w:val="16"/>
        </w:rPr>
        <w:t>Крыло состояло из центро</w:t>
      </w:r>
      <w:r w:rsidRPr="00925F26">
        <w:rPr>
          <w:color w:val="000000" w:themeColor="text1"/>
          <w:sz w:val="16"/>
          <w:szCs w:val="16"/>
        </w:rPr>
        <w:softHyphen/>
        <w:t>плана и двух ОЧК. Площадь крыла — 30 м2, профиль — Р-И. Центроплан имеет двухлонже- ронную конструкцию с фанер</w:t>
      </w:r>
      <w:r w:rsidRPr="00925F26">
        <w:rPr>
          <w:color w:val="000000" w:themeColor="text1"/>
          <w:sz w:val="16"/>
          <w:szCs w:val="16"/>
        </w:rPr>
        <w:softHyphen/>
        <w:t>ной работающей обшивкой. Консоли имеют некоторую стреловидность по передней кромке, для обеспечения за</w:t>
      </w:r>
      <w:r w:rsidRPr="00925F26">
        <w:rPr>
          <w:color w:val="000000" w:themeColor="text1"/>
          <w:sz w:val="16"/>
          <w:szCs w:val="16"/>
        </w:rPr>
        <w:softHyphen/>
        <w:t>данной центровки. Задняя кромка расположена на од</w:t>
      </w:r>
      <w:r w:rsidRPr="00925F26">
        <w:rPr>
          <w:color w:val="000000" w:themeColor="text1"/>
          <w:sz w:val="16"/>
          <w:szCs w:val="16"/>
        </w:rPr>
        <w:softHyphen/>
        <w:t>ной прямой с задней кром</w:t>
      </w:r>
      <w:r w:rsidRPr="00925F26">
        <w:rPr>
          <w:color w:val="000000" w:themeColor="text1"/>
          <w:sz w:val="16"/>
          <w:szCs w:val="16"/>
        </w:rPr>
        <w:softHyphen/>
        <w:t>кой центроплана. ОЧК имеют лонжерон и вспомогательную стенку. Обшивка до лонжеро</w:t>
      </w:r>
      <w:r w:rsidRPr="00925F26">
        <w:rPr>
          <w:color w:val="000000" w:themeColor="text1"/>
          <w:sz w:val="16"/>
          <w:szCs w:val="16"/>
        </w:rPr>
        <w:softHyphen/>
        <w:t>на — фанерная, далее — по</w:t>
      </w:r>
      <w:r w:rsidRPr="00925F26">
        <w:rPr>
          <w:color w:val="000000" w:themeColor="text1"/>
          <w:sz w:val="16"/>
          <w:szCs w:val="16"/>
        </w:rPr>
        <w:softHyphen/>
        <w:t>лотно. Место стыковки ОЧК.</w:t>
      </w:r>
    </w:p>
    <w:p w14:paraId="768471F3" w14:textId="77777777" w:rsidR="00500674" w:rsidRPr="00925F26" w:rsidRDefault="00500674" w:rsidP="00925F26">
      <w:pPr>
        <w:jc w:val="both"/>
        <w:rPr>
          <w:color w:val="000000" w:themeColor="text1"/>
          <w:sz w:val="16"/>
          <w:szCs w:val="16"/>
        </w:rPr>
      </w:pPr>
      <w:r w:rsidRPr="00925F26">
        <w:rPr>
          <w:color w:val="000000" w:themeColor="text1"/>
          <w:sz w:val="16"/>
          <w:szCs w:val="16"/>
        </w:rPr>
        <w:t>На задней кромке распо</w:t>
      </w:r>
      <w:r w:rsidRPr="00925F26">
        <w:rPr>
          <w:color w:val="000000" w:themeColor="text1"/>
          <w:sz w:val="16"/>
          <w:szCs w:val="16"/>
        </w:rPr>
        <w:softHyphen/>
        <w:t>ложены посадочные щитки и элероны. На каждой ОЧК установлен элерон типа Фрайз, разделенный на две секции. Элероны и остальные рули имеют сходную конструкцию, основу которой составляют лонжерон и набор нервюр. Обшивка до лонжерона — фанерная, далее — полотно. Все рулевые поверхности имеют фигурные кронштейны, на которых закреплены противофлаттерные грузы. Снизу, под левой плоскостью центро</w:t>
      </w:r>
      <w:r w:rsidRPr="00925F26">
        <w:rPr>
          <w:color w:val="000000" w:themeColor="text1"/>
          <w:sz w:val="16"/>
          <w:szCs w:val="16"/>
        </w:rPr>
        <w:softHyphen/>
        <w:t>плана, размещалась фара, закрытая обтекателем. На законцовках крыла устанавливались аэронавигационные огни.</w:t>
      </w:r>
    </w:p>
    <w:p w14:paraId="52147395" w14:textId="77777777" w:rsidR="00500674" w:rsidRPr="00925F26" w:rsidRDefault="00500674" w:rsidP="00925F26">
      <w:pPr>
        <w:jc w:val="both"/>
        <w:rPr>
          <w:color w:val="000000" w:themeColor="text1"/>
          <w:sz w:val="16"/>
          <w:szCs w:val="16"/>
        </w:rPr>
      </w:pPr>
      <w:r w:rsidRPr="00925F26">
        <w:rPr>
          <w:color w:val="000000" w:themeColor="text1"/>
          <w:sz w:val="16"/>
          <w:szCs w:val="16"/>
        </w:rPr>
        <w:t>Фюзеляж полумонококовой конструкции набран из фанерных шпангоутов, деревянных стрин</w:t>
      </w:r>
      <w:r w:rsidRPr="00925F26">
        <w:rPr>
          <w:color w:val="000000" w:themeColor="text1"/>
          <w:sz w:val="16"/>
          <w:szCs w:val="16"/>
        </w:rPr>
        <w:softHyphen/>
        <w:t>геров и работающей фанерной обшивки. Кабина пилота ничем не отделялась от грузовой каби</w:t>
      </w:r>
      <w:r w:rsidRPr="00925F26">
        <w:rPr>
          <w:color w:val="000000" w:themeColor="text1"/>
          <w:sz w:val="16"/>
          <w:szCs w:val="16"/>
        </w:rPr>
        <w:softHyphen/>
        <w:t>ны. Там устанавливалось фанер</w:t>
      </w:r>
      <w:r w:rsidRPr="00925F26">
        <w:rPr>
          <w:color w:val="000000" w:themeColor="text1"/>
          <w:sz w:val="16"/>
          <w:szCs w:val="16"/>
        </w:rPr>
        <w:softHyphen/>
        <w:t>ное кресло, стандартный набор органов управления и приборная доска с минимумом приборов. Кабина закрывалась граненым фонарем, который откидывался вверх на шарнирах. В полете его можно было сбросить.</w:t>
      </w:r>
    </w:p>
    <w:p w14:paraId="75A30227" w14:textId="77777777" w:rsidR="00500674" w:rsidRPr="00925F26" w:rsidRDefault="00500674" w:rsidP="00925F26">
      <w:pPr>
        <w:jc w:val="both"/>
        <w:rPr>
          <w:color w:val="000000" w:themeColor="text1"/>
          <w:sz w:val="16"/>
          <w:szCs w:val="16"/>
        </w:rPr>
      </w:pPr>
      <w:r w:rsidRPr="00925F26">
        <w:rPr>
          <w:color w:val="000000" w:themeColor="text1"/>
          <w:sz w:val="16"/>
          <w:szCs w:val="16"/>
        </w:rPr>
        <w:t>Грузовая кабина имела пол, а вдоль бортов — скамейки для де</w:t>
      </w:r>
      <w:r w:rsidRPr="00925F26">
        <w:rPr>
          <w:color w:val="000000" w:themeColor="text1"/>
          <w:sz w:val="16"/>
          <w:szCs w:val="16"/>
        </w:rPr>
        <w:softHyphen/>
        <w:t>санта. Бойцы сидели лицом друг к другу. При перевозке грузов скамейки можно было сложить вниз. Погрузка осуществлялась через дверь, по ле</w:t>
      </w:r>
      <w:r w:rsidRPr="00925F26">
        <w:rPr>
          <w:color w:val="000000" w:themeColor="text1"/>
          <w:sz w:val="16"/>
          <w:szCs w:val="16"/>
        </w:rPr>
        <w:softHyphen/>
        <w:t>вому борту, размером 1200 х 700 мм, которую мож</w:t>
      </w:r>
      <w:r w:rsidRPr="00925F26">
        <w:rPr>
          <w:color w:val="000000" w:themeColor="text1"/>
          <w:sz w:val="16"/>
          <w:szCs w:val="16"/>
        </w:rPr>
        <w:softHyphen/>
        <w:t>но было снять во внутрь фюзеляжа. В 1944 г. дверь сместили вперед и увеличили ее размер до 1400 * 1175 мм. Сверху и снизу фюзеляжа были сделаны аварийные люки размером 520 х 460 мм. Эти люки, а также прямоугольные иллюминаторы в полете можно было снять для стрельбы по вражеским самолетам из оружия десанта. Как и в случае с английскими пла</w:t>
      </w:r>
      <w:r w:rsidRPr="00925F26">
        <w:rPr>
          <w:color w:val="000000" w:themeColor="text1"/>
          <w:sz w:val="16"/>
          <w:szCs w:val="16"/>
        </w:rPr>
        <w:softHyphen/>
        <w:t>нерами, эту возможность на практике ни разу не ис</w:t>
      </w:r>
      <w:r w:rsidRPr="00925F26">
        <w:rPr>
          <w:color w:val="000000" w:themeColor="text1"/>
          <w:sz w:val="16"/>
          <w:szCs w:val="16"/>
        </w:rPr>
        <w:softHyphen/>
        <w:t>пользовали.</w:t>
      </w:r>
    </w:p>
    <w:p w14:paraId="09968902" w14:textId="77777777" w:rsidR="00500674" w:rsidRPr="00925F26" w:rsidRDefault="00500674" w:rsidP="00925F26">
      <w:pPr>
        <w:jc w:val="both"/>
        <w:rPr>
          <w:color w:val="000000" w:themeColor="text1"/>
          <w:sz w:val="16"/>
          <w:szCs w:val="16"/>
        </w:rPr>
      </w:pPr>
      <w:r w:rsidRPr="00925F26">
        <w:rPr>
          <w:color w:val="000000" w:themeColor="text1"/>
          <w:sz w:val="16"/>
          <w:szCs w:val="16"/>
        </w:rPr>
        <w:t>Хвостовое оперение имело классическую схему и состояло из киля, выполненного заодно с фюзеля</w:t>
      </w:r>
      <w:r w:rsidRPr="00925F26">
        <w:rPr>
          <w:color w:val="000000" w:themeColor="text1"/>
          <w:sz w:val="16"/>
          <w:szCs w:val="16"/>
        </w:rPr>
        <w:softHyphen/>
        <w:t>жем, и свободнонесущего стабилизатора. Их обшив</w:t>
      </w:r>
      <w:r w:rsidRPr="00925F26">
        <w:rPr>
          <w:color w:val="000000" w:themeColor="text1"/>
          <w:sz w:val="16"/>
          <w:szCs w:val="16"/>
        </w:rPr>
        <w:softHyphen/>
        <w:t>ка была фанерной. Конструкция рулей аналогична конструкции элеронов. На левой половине руля вы</w:t>
      </w:r>
      <w:r w:rsidRPr="00925F26">
        <w:rPr>
          <w:color w:val="000000" w:themeColor="text1"/>
          <w:sz w:val="16"/>
          <w:szCs w:val="16"/>
        </w:rPr>
        <w:softHyphen/>
        <w:t>соты размещен управляемый триммер. Проводка управления всеми рулями — тросовая.</w:t>
      </w:r>
    </w:p>
    <w:p w14:paraId="6F12C87F" w14:textId="77777777" w:rsidR="00500674" w:rsidRPr="00925F26" w:rsidRDefault="00500674" w:rsidP="00925F26">
      <w:pPr>
        <w:jc w:val="both"/>
        <w:rPr>
          <w:color w:val="000000" w:themeColor="text1"/>
          <w:sz w:val="16"/>
          <w:szCs w:val="16"/>
        </w:rPr>
      </w:pPr>
      <w:r w:rsidRPr="00925F26">
        <w:rPr>
          <w:color w:val="000000" w:themeColor="text1"/>
          <w:sz w:val="16"/>
          <w:szCs w:val="16"/>
        </w:rPr>
        <w:t>Посадочные устройства планера состоят из двух колес размером 600 х 250 мм, на металлических стойках, и хвостового подпружиненного костыля. На нижней поверхности фюзеляжа размещена жесткая деревянная лыжа. Основные стойки имеют ломаю</w:t>
      </w:r>
      <w:r w:rsidRPr="00925F26">
        <w:rPr>
          <w:color w:val="000000" w:themeColor="text1"/>
          <w:sz w:val="16"/>
          <w:szCs w:val="16"/>
        </w:rPr>
        <w:softHyphen/>
        <w:t>щийся подкос, благодаря которому можно поднять колеса вверх и выполнить посадку на лыжу, резко со</w:t>
      </w:r>
      <w:r w:rsidRPr="00925F26">
        <w:rPr>
          <w:color w:val="000000" w:themeColor="text1"/>
          <w:sz w:val="16"/>
          <w:szCs w:val="16"/>
        </w:rPr>
        <w:softHyphen/>
        <w:t>кратив при этом длину пробега.</w:t>
      </w:r>
    </w:p>
    <w:p w14:paraId="3EA2A7DF" w14:textId="77777777" w:rsidR="00500674" w:rsidRPr="00925F26" w:rsidRDefault="00500674" w:rsidP="00925F26">
      <w:pPr>
        <w:jc w:val="both"/>
        <w:rPr>
          <w:color w:val="000000" w:themeColor="text1"/>
          <w:sz w:val="16"/>
          <w:szCs w:val="16"/>
        </w:rPr>
      </w:pPr>
      <w:r w:rsidRPr="00925F26">
        <w:rPr>
          <w:color w:val="000000" w:themeColor="text1"/>
          <w:sz w:val="16"/>
          <w:szCs w:val="16"/>
        </w:rPr>
        <w:t>В носу фюзеляжа установлена длинная штан</w:t>
      </w:r>
      <w:r w:rsidRPr="00925F26">
        <w:rPr>
          <w:color w:val="000000" w:themeColor="text1"/>
          <w:sz w:val="16"/>
          <w:szCs w:val="16"/>
        </w:rPr>
        <w:softHyphen/>
        <w:t>га с ПВД. Кроме размещения ПВД, с помощью штанги контролируют положение буксировочно</w:t>
      </w:r>
      <w:r w:rsidRPr="00925F26">
        <w:rPr>
          <w:color w:val="000000" w:themeColor="text1"/>
          <w:sz w:val="16"/>
          <w:szCs w:val="16"/>
        </w:rPr>
        <w:softHyphen/>
        <w:t>го леера в полете. Оборудование планера состоит из часов, указателя скорости, указателя крена и скольжения, высотомера и вариометра. Электро</w:t>
      </w:r>
      <w:r w:rsidRPr="00925F26">
        <w:rPr>
          <w:color w:val="000000" w:themeColor="text1"/>
          <w:sz w:val="16"/>
          <w:szCs w:val="16"/>
        </w:rPr>
        <w:softHyphen/>
        <w:t>оборудование состояло из посадочной фары, аэронавигационных огней и лампочек освещения каби</w:t>
      </w:r>
      <w:r w:rsidRPr="00925F26">
        <w:rPr>
          <w:color w:val="000000" w:themeColor="text1"/>
          <w:sz w:val="16"/>
          <w:szCs w:val="16"/>
        </w:rPr>
        <w:softHyphen/>
        <w:t>ны. Связь с буксировщиком осуществлялась путем подачи сигналов с помощью фонарика. Рация отсут</w:t>
      </w:r>
      <w:r w:rsidRPr="00925F26">
        <w:rPr>
          <w:color w:val="000000" w:themeColor="text1"/>
          <w:sz w:val="16"/>
          <w:szCs w:val="16"/>
        </w:rPr>
        <w:softHyphen/>
        <w:t>ствовала.</w:t>
      </w:r>
    </w:p>
    <w:p w14:paraId="010EFA0C" w14:textId="77777777" w:rsidR="00500674" w:rsidRPr="00925F26" w:rsidRDefault="00500674" w:rsidP="00925F26">
      <w:pPr>
        <w:jc w:val="both"/>
        <w:rPr>
          <w:color w:val="000000" w:themeColor="text1"/>
          <w:sz w:val="16"/>
          <w:szCs w:val="16"/>
        </w:rPr>
      </w:pPr>
      <w:r w:rsidRPr="00925F26">
        <w:rPr>
          <w:color w:val="000000" w:themeColor="text1"/>
          <w:sz w:val="16"/>
          <w:szCs w:val="16"/>
        </w:rPr>
        <w:t>В качестве буксировщика использовались само</w:t>
      </w:r>
      <w:r w:rsidRPr="00925F26">
        <w:rPr>
          <w:color w:val="000000" w:themeColor="text1"/>
          <w:sz w:val="16"/>
          <w:szCs w:val="16"/>
        </w:rPr>
        <w:softHyphen/>
        <w:t>леты СБ, Ли-2 или ДБ-ЗФ. Иногда применяли Р-6 или «Харрикейн». Основные данные планера Г-11 приве</w:t>
      </w:r>
      <w:r w:rsidRPr="00925F26">
        <w:rPr>
          <w:color w:val="000000" w:themeColor="text1"/>
          <w:sz w:val="16"/>
          <w:szCs w:val="16"/>
        </w:rPr>
        <w:softHyphen/>
        <w:t>дены в таблице</w:t>
      </w:r>
    </w:p>
    <w:p w14:paraId="369B3E48" w14:textId="77777777" w:rsidR="00500674" w:rsidRPr="00925F26" w:rsidRDefault="00500674" w:rsidP="00925F26">
      <w:pPr>
        <w:jc w:val="both"/>
        <w:rPr>
          <w:color w:val="000000" w:themeColor="text1"/>
          <w:sz w:val="16"/>
          <w:szCs w:val="16"/>
        </w:rPr>
      </w:pPr>
      <w:r w:rsidRPr="00925F26">
        <w:rPr>
          <w:color w:val="000000" w:themeColor="text1"/>
          <w:sz w:val="16"/>
          <w:szCs w:val="16"/>
        </w:rPr>
        <w:t>КРАТКИЕ ТЕХНИЧЕСКИЕ ХАРАКТЕРИСТИКИ ПЛАНЕРА Г-11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708"/>
        <w:gridCol w:w="1944"/>
        <w:gridCol w:w="1940"/>
        <w:gridCol w:w="2030"/>
      </w:tblGrid>
      <w:tr w:rsidR="000F5689" w:rsidRPr="00925F26" w14:paraId="3CEF057E" w14:textId="77777777" w:rsidTr="00E55150">
        <w:trPr>
          <w:trHeight w:val="47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CB1122A" w14:textId="77777777" w:rsidR="00500674" w:rsidRPr="00925F26" w:rsidRDefault="00500674" w:rsidP="00925F26">
            <w:pPr>
              <w:jc w:val="both"/>
              <w:rPr>
                <w:color w:val="000000" w:themeColor="text1"/>
                <w:sz w:val="16"/>
                <w:szCs w:val="16"/>
              </w:rPr>
            </w:pP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r>
            <w:r w:rsidRPr="00925F26">
              <w:rPr>
                <w:color w:val="000000" w:themeColor="text1"/>
                <w:sz w:val="16"/>
                <w:szCs w:val="16"/>
              </w:rPr>
              <w:tab/>
              <w:t>Типы планеров</w:t>
            </w:r>
          </w:p>
          <w:p w14:paraId="3012E1E6" w14:textId="77777777" w:rsidR="00500674" w:rsidRPr="00925F26" w:rsidRDefault="00500674" w:rsidP="00925F26">
            <w:pPr>
              <w:jc w:val="both"/>
              <w:rPr>
                <w:color w:val="000000" w:themeColor="text1"/>
                <w:sz w:val="16"/>
                <w:szCs w:val="16"/>
              </w:rPr>
            </w:pPr>
            <w:r w:rsidRPr="00925F26">
              <w:rPr>
                <w:color w:val="000000" w:themeColor="text1"/>
                <w:sz w:val="16"/>
                <w:szCs w:val="16"/>
              </w:rPr>
              <w:t>Характеристики ' —</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5F710C25" w14:textId="77777777" w:rsidR="00500674" w:rsidRPr="00925F26" w:rsidRDefault="00500674" w:rsidP="00925F26">
            <w:pPr>
              <w:jc w:val="both"/>
              <w:rPr>
                <w:color w:val="000000" w:themeColor="text1"/>
                <w:sz w:val="16"/>
                <w:szCs w:val="16"/>
              </w:rPr>
            </w:pPr>
            <w:r w:rsidRPr="00925F26">
              <w:rPr>
                <w:color w:val="000000" w:themeColor="text1"/>
                <w:sz w:val="16"/>
                <w:szCs w:val="16"/>
              </w:rPr>
              <w:t>Грибовский Г-11, СССР</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EEBCE3F" w14:textId="77777777" w:rsidR="00500674" w:rsidRPr="00925F26" w:rsidRDefault="00500674" w:rsidP="00925F26">
            <w:pPr>
              <w:jc w:val="both"/>
              <w:rPr>
                <w:color w:val="000000" w:themeColor="text1"/>
                <w:sz w:val="16"/>
                <w:szCs w:val="16"/>
              </w:rPr>
            </w:pPr>
            <w:r w:rsidRPr="00925F26">
              <w:rPr>
                <w:color w:val="000000" w:themeColor="text1"/>
                <w:sz w:val="16"/>
                <w:szCs w:val="16"/>
              </w:rPr>
              <w:t>ОР5-230, Германия</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7540275" w14:textId="77777777" w:rsidR="00500674" w:rsidRPr="00925F26" w:rsidRDefault="00500674" w:rsidP="00925F26">
            <w:pPr>
              <w:jc w:val="both"/>
              <w:rPr>
                <w:color w:val="000000" w:themeColor="text1"/>
                <w:sz w:val="16"/>
                <w:szCs w:val="16"/>
              </w:rPr>
            </w:pPr>
            <w:r w:rsidRPr="00925F26">
              <w:rPr>
                <w:color w:val="000000" w:themeColor="text1"/>
                <w:sz w:val="16"/>
                <w:szCs w:val="16"/>
              </w:rPr>
              <w:t>Но1$риг, Великобритания</w:t>
            </w:r>
          </w:p>
        </w:tc>
      </w:tr>
      <w:tr w:rsidR="000F5689" w:rsidRPr="00925F26" w14:paraId="39841C02"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38B27516" w14:textId="77777777" w:rsidR="00500674" w:rsidRPr="00925F26" w:rsidRDefault="00500674" w:rsidP="00925F26">
            <w:pPr>
              <w:jc w:val="both"/>
              <w:rPr>
                <w:color w:val="000000" w:themeColor="text1"/>
                <w:sz w:val="16"/>
                <w:szCs w:val="16"/>
              </w:rPr>
            </w:pPr>
            <w:r w:rsidRPr="00925F26">
              <w:rPr>
                <w:color w:val="000000" w:themeColor="text1"/>
                <w:sz w:val="16"/>
                <w:szCs w:val="16"/>
              </w:rPr>
              <w:t>Дата первого вылета</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31429D51" w14:textId="77777777" w:rsidR="00500674" w:rsidRPr="00925F26" w:rsidRDefault="00500674" w:rsidP="00925F26">
            <w:pPr>
              <w:jc w:val="both"/>
              <w:rPr>
                <w:color w:val="000000" w:themeColor="text1"/>
                <w:sz w:val="16"/>
                <w:szCs w:val="16"/>
              </w:rPr>
            </w:pPr>
            <w:r w:rsidRPr="00925F26">
              <w:rPr>
                <w:color w:val="000000" w:themeColor="text1"/>
                <w:sz w:val="16"/>
                <w:szCs w:val="16"/>
              </w:rPr>
              <w:t>Сентябрь 1941 г.</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399FB79" w14:textId="77777777" w:rsidR="00500674" w:rsidRPr="00925F26" w:rsidRDefault="00500674" w:rsidP="00925F26">
            <w:pPr>
              <w:jc w:val="both"/>
              <w:rPr>
                <w:color w:val="000000" w:themeColor="text1"/>
                <w:sz w:val="16"/>
                <w:szCs w:val="16"/>
              </w:rPr>
            </w:pPr>
            <w:r w:rsidRPr="00925F26">
              <w:rPr>
                <w:color w:val="000000" w:themeColor="text1"/>
                <w:sz w:val="16"/>
                <w:szCs w:val="16"/>
              </w:rPr>
              <w:t>1937 г.</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5514300" w14:textId="77777777" w:rsidR="00500674" w:rsidRPr="00925F26" w:rsidRDefault="00500674" w:rsidP="00925F26">
            <w:pPr>
              <w:jc w:val="both"/>
              <w:rPr>
                <w:color w:val="000000" w:themeColor="text1"/>
                <w:sz w:val="16"/>
                <w:szCs w:val="16"/>
              </w:rPr>
            </w:pPr>
            <w:r w:rsidRPr="00925F26">
              <w:rPr>
                <w:color w:val="000000" w:themeColor="text1"/>
                <w:sz w:val="16"/>
                <w:szCs w:val="16"/>
              </w:rPr>
              <w:t>4 ноября 1940 г.</w:t>
            </w:r>
          </w:p>
        </w:tc>
      </w:tr>
      <w:tr w:rsidR="000F5689" w:rsidRPr="00925F26" w14:paraId="5AB627DF"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C335DBB" w14:textId="77777777" w:rsidR="00500674" w:rsidRPr="00925F26" w:rsidRDefault="00500674" w:rsidP="00925F26">
            <w:pPr>
              <w:jc w:val="both"/>
              <w:rPr>
                <w:color w:val="000000" w:themeColor="text1"/>
                <w:sz w:val="16"/>
                <w:szCs w:val="16"/>
              </w:rPr>
            </w:pPr>
            <w:r w:rsidRPr="00925F26">
              <w:rPr>
                <w:color w:val="000000" w:themeColor="text1"/>
                <w:sz w:val="16"/>
                <w:szCs w:val="16"/>
              </w:rPr>
              <w:t>Длина,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799FA313" w14:textId="77777777" w:rsidR="00500674" w:rsidRPr="00925F26" w:rsidRDefault="00500674" w:rsidP="00925F26">
            <w:pPr>
              <w:jc w:val="both"/>
              <w:rPr>
                <w:color w:val="000000" w:themeColor="text1"/>
                <w:sz w:val="16"/>
                <w:szCs w:val="16"/>
              </w:rPr>
            </w:pPr>
            <w:r w:rsidRPr="00925F26">
              <w:rPr>
                <w:color w:val="000000" w:themeColor="text1"/>
                <w:sz w:val="16"/>
                <w:szCs w:val="16"/>
              </w:rPr>
              <w:t>9,8</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C400F6D" w14:textId="77777777" w:rsidR="00500674" w:rsidRPr="00925F26" w:rsidRDefault="00500674" w:rsidP="00925F26">
            <w:pPr>
              <w:jc w:val="both"/>
              <w:rPr>
                <w:color w:val="000000" w:themeColor="text1"/>
                <w:sz w:val="16"/>
                <w:szCs w:val="16"/>
              </w:rPr>
            </w:pPr>
            <w:r w:rsidRPr="00925F26">
              <w:rPr>
                <w:color w:val="000000" w:themeColor="text1"/>
                <w:sz w:val="16"/>
                <w:szCs w:val="16"/>
              </w:rPr>
              <w:t>11,24</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409CCECB" w14:textId="77777777" w:rsidR="00500674" w:rsidRPr="00925F26" w:rsidRDefault="00500674" w:rsidP="00925F26">
            <w:pPr>
              <w:jc w:val="both"/>
              <w:rPr>
                <w:color w:val="000000" w:themeColor="text1"/>
                <w:sz w:val="16"/>
                <w:szCs w:val="16"/>
              </w:rPr>
            </w:pPr>
            <w:r w:rsidRPr="00925F26">
              <w:rPr>
                <w:color w:val="000000" w:themeColor="text1"/>
                <w:sz w:val="16"/>
                <w:szCs w:val="16"/>
              </w:rPr>
              <w:t>12,1</w:t>
            </w:r>
          </w:p>
        </w:tc>
      </w:tr>
      <w:tr w:rsidR="000F5689" w:rsidRPr="00925F26" w14:paraId="4BAC8387"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92485F5" w14:textId="77777777" w:rsidR="00500674" w:rsidRPr="00925F26" w:rsidRDefault="00500674" w:rsidP="00925F26">
            <w:pPr>
              <w:jc w:val="both"/>
              <w:rPr>
                <w:color w:val="000000" w:themeColor="text1"/>
                <w:sz w:val="16"/>
                <w:szCs w:val="16"/>
              </w:rPr>
            </w:pPr>
            <w:r w:rsidRPr="00925F26">
              <w:rPr>
                <w:color w:val="000000" w:themeColor="text1"/>
                <w:sz w:val="16"/>
                <w:szCs w:val="16"/>
              </w:rPr>
              <w:t>Размах крыла,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933C9B8" w14:textId="77777777" w:rsidR="00500674" w:rsidRPr="00925F26" w:rsidRDefault="00500674" w:rsidP="00925F26">
            <w:pPr>
              <w:jc w:val="both"/>
              <w:rPr>
                <w:color w:val="000000" w:themeColor="text1"/>
                <w:sz w:val="16"/>
                <w:szCs w:val="16"/>
              </w:rPr>
            </w:pPr>
            <w:r w:rsidRPr="00925F26">
              <w:rPr>
                <w:color w:val="000000" w:themeColor="text1"/>
                <w:sz w:val="16"/>
                <w:szCs w:val="16"/>
              </w:rPr>
              <w:t>18</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42CE56C9" w14:textId="77777777" w:rsidR="00500674" w:rsidRPr="00925F26" w:rsidRDefault="00500674" w:rsidP="00925F26">
            <w:pPr>
              <w:jc w:val="both"/>
              <w:rPr>
                <w:color w:val="000000" w:themeColor="text1"/>
                <w:sz w:val="16"/>
                <w:szCs w:val="16"/>
              </w:rPr>
            </w:pPr>
            <w:r w:rsidRPr="00925F26">
              <w:rPr>
                <w:color w:val="000000" w:themeColor="text1"/>
                <w:sz w:val="16"/>
                <w:szCs w:val="16"/>
              </w:rPr>
              <w:t>22</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0E426AE" w14:textId="77777777" w:rsidR="00500674" w:rsidRPr="00925F26" w:rsidRDefault="00500674" w:rsidP="00925F26">
            <w:pPr>
              <w:jc w:val="both"/>
              <w:rPr>
                <w:color w:val="000000" w:themeColor="text1"/>
                <w:sz w:val="16"/>
                <w:szCs w:val="16"/>
              </w:rPr>
            </w:pPr>
            <w:r w:rsidRPr="00925F26">
              <w:rPr>
                <w:color w:val="000000" w:themeColor="text1"/>
                <w:sz w:val="16"/>
                <w:szCs w:val="16"/>
              </w:rPr>
              <w:t>15,21</w:t>
            </w:r>
          </w:p>
        </w:tc>
      </w:tr>
      <w:tr w:rsidR="000F5689" w:rsidRPr="00925F26" w14:paraId="1E14F165"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343EB33A" w14:textId="77777777" w:rsidR="00500674" w:rsidRPr="00925F26" w:rsidRDefault="00500674" w:rsidP="00925F26">
            <w:pPr>
              <w:jc w:val="both"/>
              <w:rPr>
                <w:color w:val="000000" w:themeColor="text1"/>
                <w:sz w:val="16"/>
                <w:szCs w:val="16"/>
              </w:rPr>
            </w:pPr>
            <w:r w:rsidRPr="00925F26">
              <w:rPr>
                <w:color w:val="000000" w:themeColor="text1"/>
                <w:sz w:val="16"/>
                <w:szCs w:val="16"/>
              </w:rPr>
              <w:t>Высота на стоянке,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46E8D90" w14:textId="77777777" w:rsidR="00500674" w:rsidRPr="00925F26" w:rsidRDefault="00500674" w:rsidP="00925F26">
            <w:pPr>
              <w:jc w:val="both"/>
              <w:rPr>
                <w:color w:val="000000" w:themeColor="text1"/>
                <w:sz w:val="16"/>
                <w:szCs w:val="16"/>
              </w:rPr>
            </w:pPr>
            <w:r w:rsidRPr="00925F26">
              <w:rPr>
                <w:color w:val="000000" w:themeColor="text1"/>
                <w:sz w:val="16"/>
                <w:szCs w:val="16"/>
              </w:rPr>
              <w:t>2,7</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039B0D2" w14:textId="77777777" w:rsidR="00500674" w:rsidRPr="00925F26" w:rsidRDefault="00500674" w:rsidP="00925F26">
            <w:pPr>
              <w:jc w:val="both"/>
              <w:rPr>
                <w:color w:val="000000" w:themeColor="text1"/>
                <w:sz w:val="16"/>
                <w:szCs w:val="16"/>
              </w:rPr>
            </w:pPr>
            <w:r w:rsidRPr="00925F26">
              <w:rPr>
                <w:color w:val="000000" w:themeColor="text1"/>
                <w:sz w:val="16"/>
                <w:szCs w:val="16"/>
              </w:rPr>
              <w:t>2,8</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40412428" w14:textId="77777777" w:rsidR="00500674" w:rsidRPr="00925F26" w:rsidRDefault="00500674" w:rsidP="00925F26">
            <w:pPr>
              <w:jc w:val="both"/>
              <w:rPr>
                <w:color w:val="000000" w:themeColor="text1"/>
                <w:sz w:val="16"/>
                <w:szCs w:val="16"/>
              </w:rPr>
            </w:pPr>
            <w:r w:rsidRPr="00925F26">
              <w:rPr>
                <w:color w:val="000000" w:themeColor="text1"/>
                <w:sz w:val="16"/>
                <w:szCs w:val="16"/>
              </w:rPr>
              <w:t>3,6</w:t>
            </w:r>
          </w:p>
        </w:tc>
      </w:tr>
      <w:tr w:rsidR="000F5689" w:rsidRPr="00925F26" w14:paraId="474A7667"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247D6FE8" w14:textId="77777777" w:rsidR="00500674" w:rsidRPr="00925F26" w:rsidRDefault="00500674" w:rsidP="00925F26">
            <w:pPr>
              <w:jc w:val="both"/>
              <w:rPr>
                <w:color w:val="000000" w:themeColor="text1"/>
                <w:sz w:val="16"/>
                <w:szCs w:val="16"/>
              </w:rPr>
            </w:pPr>
            <w:r w:rsidRPr="00925F26">
              <w:rPr>
                <w:color w:val="000000" w:themeColor="text1"/>
                <w:sz w:val="16"/>
                <w:szCs w:val="16"/>
              </w:rPr>
              <w:t>Площадь крыла, м2</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7B3AE44E" w14:textId="77777777" w:rsidR="00500674" w:rsidRPr="00925F26" w:rsidRDefault="00500674" w:rsidP="00925F26">
            <w:pPr>
              <w:jc w:val="both"/>
              <w:rPr>
                <w:color w:val="000000" w:themeColor="text1"/>
                <w:sz w:val="16"/>
                <w:szCs w:val="16"/>
              </w:rPr>
            </w:pPr>
            <w:r w:rsidRPr="00925F26">
              <w:rPr>
                <w:color w:val="000000" w:themeColor="text1"/>
                <w:sz w:val="16"/>
                <w:szCs w:val="16"/>
              </w:rPr>
              <w:t>30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1D557A0D" w14:textId="77777777" w:rsidR="00500674" w:rsidRPr="00925F26" w:rsidRDefault="00500674" w:rsidP="00925F26">
            <w:pPr>
              <w:jc w:val="both"/>
              <w:rPr>
                <w:color w:val="000000" w:themeColor="text1"/>
                <w:sz w:val="16"/>
                <w:szCs w:val="16"/>
              </w:rPr>
            </w:pPr>
            <w:r w:rsidRPr="00925F26">
              <w:rPr>
                <w:color w:val="000000" w:themeColor="text1"/>
                <w:sz w:val="16"/>
                <w:szCs w:val="16"/>
              </w:rPr>
              <w:t>41,26</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733805FB" w14:textId="77777777" w:rsidR="00500674" w:rsidRPr="00925F26" w:rsidRDefault="00500674" w:rsidP="00925F26">
            <w:pPr>
              <w:jc w:val="both"/>
              <w:rPr>
                <w:color w:val="000000" w:themeColor="text1"/>
                <w:sz w:val="16"/>
                <w:szCs w:val="16"/>
              </w:rPr>
            </w:pPr>
            <w:r w:rsidRPr="00925F26">
              <w:rPr>
                <w:color w:val="000000" w:themeColor="text1"/>
                <w:sz w:val="16"/>
                <w:szCs w:val="16"/>
              </w:rPr>
              <w:t>25,2</w:t>
            </w:r>
          </w:p>
        </w:tc>
      </w:tr>
      <w:tr w:rsidR="000F5689" w:rsidRPr="00925F26" w14:paraId="009E8063"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EAD2FF4" w14:textId="77777777" w:rsidR="00500674" w:rsidRPr="00925F26" w:rsidRDefault="00500674" w:rsidP="00925F26">
            <w:pPr>
              <w:jc w:val="both"/>
              <w:rPr>
                <w:color w:val="000000" w:themeColor="text1"/>
                <w:sz w:val="16"/>
                <w:szCs w:val="16"/>
              </w:rPr>
            </w:pPr>
            <w:r w:rsidRPr="00925F26">
              <w:rPr>
                <w:color w:val="000000" w:themeColor="text1"/>
                <w:sz w:val="16"/>
                <w:szCs w:val="16"/>
              </w:rPr>
              <w:t>Нагрузка на крыло, кг/м2</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51551A6" w14:textId="77777777" w:rsidR="00500674" w:rsidRPr="00925F26" w:rsidRDefault="00500674" w:rsidP="00925F26">
            <w:pPr>
              <w:jc w:val="both"/>
              <w:rPr>
                <w:color w:val="000000" w:themeColor="text1"/>
                <w:sz w:val="16"/>
                <w:szCs w:val="16"/>
              </w:rPr>
            </w:pPr>
            <w:r w:rsidRPr="00925F26">
              <w:rPr>
                <w:color w:val="000000" w:themeColor="text1"/>
                <w:sz w:val="16"/>
                <w:szCs w:val="16"/>
              </w:rPr>
              <w:t>83</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3DEA1503" w14:textId="77777777" w:rsidR="00500674" w:rsidRPr="00925F26" w:rsidRDefault="00500674" w:rsidP="00925F26">
            <w:pPr>
              <w:jc w:val="both"/>
              <w:rPr>
                <w:color w:val="000000" w:themeColor="text1"/>
                <w:sz w:val="16"/>
                <w:szCs w:val="16"/>
              </w:rPr>
            </w:pPr>
            <w:r w:rsidRPr="00925F26">
              <w:rPr>
                <w:color w:val="000000" w:themeColor="text1"/>
                <w:sz w:val="16"/>
                <w:szCs w:val="16"/>
              </w:rPr>
              <w:t>50,9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5834E769" w14:textId="77777777" w:rsidR="00500674" w:rsidRPr="00925F26" w:rsidRDefault="00500674" w:rsidP="00925F26">
            <w:pPr>
              <w:jc w:val="both"/>
              <w:rPr>
                <w:color w:val="000000" w:themeColor="text1"/>
                <w:sz w:val="16"/>
                <w:szCs w:val="16"/>
              </w:rPr>
            </w:pPr>
            <w:r w:rsidRPr="00925F26">
              <w:rPr>
                <w:color w:val="000000" w:themeColor="text1"/>
                <w:sz w:val="16"/>
                <w:szCs w:val="16"/>
              </w:rPr>
              <w:t>65,4</w:t>
            </w:r>
          </w:p>
        </w:tc>
      </w:tr>
      <w:tr w:rsidR="000F5689" w:rsidRPr="00925F26" w14:paraId="22FDA053"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5BB01641" w14:textId="77777777" w:rsidR="00500674" w:rsidRPr="00925F26" w:rsidRDefault="00500674" w:rsidP="00925F26">
            <w:pPr>
              <w:jc w:val="both"/>
              <w:rPr>
                <w:color w:val="000000" w:themeColor="text1"/>
                <w:sz w:val="16"/>
                <w:szCs w:val="16"/>
              </w:rPr>
            </w:pPr>
            <w:r w:rsidRPr="00925F26">
              <w:rPr>
                <w:color w:val="000000" w:themeColor="text1"/>
                <w:sz w:val="16"/>
                <w:szCs w:val="16"/>
              </w:rPr>
              <w:t>Вес полетный, кг</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0D528F9D" w14:textId="77777777" w:rsidR="00500674" w:rsidRPr="00925F26" w:rsidRDefault="00500674" w:rsidP="00925F26">
            <w:pPr>
              <w:jc w:val="both"/>
              <w:rPr>
                <w:color w:val="000000" w:themeColor="text1"/>
                <w:sz w:val="16"/>
                <w:szCs w:val="16"/>
              </w:rPr>
            </w:pPr>
            <w:r w:rsidRPr="00925F26">
              <w:rPr>
                <w:color w:val="000000" w:themeColor="text1"/>
                <w:sz w:val="16"/>
                <w:szCs w:val="16"/>
              </w:rPr>
              <w:t>2400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335C2A5D" w14:textId="77777777" w:rsidR="00500674" w:rsidRPr="00925F26" w:rsidRDefault="00500674" w:rsidP="00925F26">
            <w:pPr>
              <w:jc w:val="both"/>
              <w:rPr>
                <w:color w:val="000000" w:themeColor="text1"/>
                <w:sz w:val="16"/>
                <w:szCs w:val="16"/>
              </w:rPr>
            </w:pPr>
            <w:r w:rsidRPr="00925F26">
              <w:rPr>
                <w:color w:val="000000" w:themeColor="text1"/>
                <w:sz w:val="16"/>
                <w:szCs w:val="16"/>
              </w:rPr>
              <w:t>2100</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71D211B1" w14:textId="77777777" w:rsidR="00500674" w:rsidRPr="00925F26" w:rsidRDefault="00500674" w:rsidP="00925F26">
            <w:pPr>
              <w:jc w:val="both"/>
              <w:rPr>
                <w:color w:val="000000" w:themeColor="text1"/>
                <w:sz w:val="16"/>
                <w:szCs w:val="16"/>
              </w:rPr>
            </w:pPr>
            <w:r w:rsidRPr="00925F26">
              <w:rPr>
                <w:color w:val="000000" w:themeColor="text1"/>
                <w:sz w:val="16"/>
                <w:szCs w:val="16"/>
              </w:rPr>
              <w:t>1648</w:t>
            </w:r>
          </w:p>
        </w:tc>
      </w:tr>
      <w:tr w:rsidR="000F5689" w:rsidRPr="00925F26" w14:paraId="51A6A288"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6FC4EB7" w14:textId="77777777" w:rsidR="00500674" w:rsidRPr="00925F26" w:rsidRDefault="00500674" w:rsidP="00925F26">
            <w:pPr>
              <w:jc w:val="both"/>
              <w:rPr>
                <w:color w:val="000000" w:themeColor="text1"/>
                <w:sz w:val="16"/>
                <w:szCs w:val="16"/>
              </w:rPr>
            </w:pPr>
            <w:r w:rsidRPr="00925F26">
              <w:rPr>
                <w:color w:val="000000" w:themeColor="text1"/>
                <w:sz w:val="16"/>
                <w:szCs w:val="16"/>
              </w:rPr>
              <w:t>Вес пустого, кг</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4864B605" w14:textId="77777777" w:rsidR="00500674" w:rsidRPr="00925F26" w:rsidRDefault="00500674" w:rsidP="00925F26">
            <w:pPr>
              <w:jc w:val="both"/>
              <w:rPr>
                <w:color w:val="000000" w:themeColor="text1"/>
                <w:sz w:val="16"/>
                <w:szCs w:val="16"/>
              </w:rPr>
            </w:pPr>
            <w:r w:rsidRPr="00925F26">
              <w:rPr>
                <w:color w:val="000000" w:themeColor="text1"/>
                <w:sz w:val="16"/>
                <w:szCs w:val="16"/>
              </w:rPr>
              <w:t>1200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5AA7BB40" w14:textId="77777777" w:rsidR="00500674" w:rsidRPr="00925F26" w:rsidRDefault="00500674" w:rsidP="00925F26">
            <w:pPr>
              <w:jc w:val="both"/>
              <w:rPr>
                <w:color w:val="000000" w:themeColor="text1"/>
                <w:sz w:val="16"/>
                <w:szCs w:val="16"/>
              </w:rPr>
            </w:pPr>
            <w:r w:rsidRPr="00925F26">
              <w:rPr>
                <w:color w:val="000000" w:themeColor="text1"/>
                <w:sz w:val="16"/>
                <w:szCs w:val="16"/>
              </w:rPr>
              <w:t>860</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6FC7737E" w14:textId="77777777" w:rsidR="00500674" w:rsidRPr="00925F26" w:rsidRDefault="00500674" w:rsidP="00925F26">
            <w:pPr>
              <w:jc w:val="both"/>
              <w:rPr>
                <w:color w:val="000000" w:themeColor="text1"/>
                <w:sz w:val="16"/>
                <w:szCs w:val="16"/>
              </w:rPr>
            </w:pPr>
            <w:r w:rsidRPr="00925F26">
              <w:rPr>
                <w:color w:val="000000" w:themeColor="text1"/>
                <w:sz w:val="16"/>
                <w:szCs w:val="16"/>
              </w:rPr>
              <w:t>796</w:t>
            </w:r>
          </w:p>
        </w:tc>
      </w:tr>
      <w:tr w:rsidR="000F5689" w:rsidRPr="00925F26" w14:paraId="62A82627"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0B61BB1" w14:textId="77777777" w:rsidR="00500674" w:rsidRPr="00925F26" w:rsidRDefault="00500674" w:rsidP="00925F26">
            <w:pPr>
              <w:jc w:val="both"/>
              <w:rPr>
                <w:color w:val="000000" w:themeColor="text1"/>
                <w:sz w:val="16"/>
                <w:szCs w:val="16"/>
              </w:rPr>
            </w:pPr>
            <w:r w:rsidRPr="00925F26">
              <w:rPr>
                <w:color w:val="000000" w:themeColor="text1"/>
                <w:sz w:val="16"/>
                <w:szCs w:val="16"/>
              </w:rPr>
              <w:t>Кол</w:t>
            </w:r>
            <w:proofErr w:type="gramStart"/>
            <w:r w:rsidRPr="00925F26">
              <w:rPr>
                <w:color w:val="000000" w:themeColor="text1"/>
                <w:sz w:val="16"/>
                <w:szCs w:val="16"/>
              </w:rPr>
              <w:t>.</w:t>
            </w:r>
            <w:proofErr w:type="gramEnd"/>
            <w:r w:rsidRPr="00925F26">
              <w:rPr>
                <w:color w:val="000000" w:themeColor="text1"/>
                <w:sz w:val="16"/>
                <w:szCs w:val="16"/>
              </w:rPr>
              <w:t xml:space="preserve"> перевозимых десантников, чел.</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551186F" w14:textId="77777777" w:rsidR="00500674" w:rsidRPr="00925F26" w:rsidRDefault="00500674" w:rsidP="00925F26">
            <w:pPr>
              <w:jc w:val="both"/>
              <w:rPr>
                <w:color w:val="000000" w:themeColor="text1"/>
                <w:sz w:val="16"/>
                <w:szCs w:val="16"/>
              </w:rPr>
            </w:pPr>
            <w:r w:rsidRPr="00925F26">
              <w:rPr>
                <w:color w:val="000000" w:themeColor="text1"/>
                <w:sz w:val="16"/>
                <w:szCs w:val="16"/>
              </w:rPr>
              <w:t>1 + 10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32350EF" w14:textId="77777777" w:rsidR="00500674" w:rsidRPr="00925F26" w:rsidRDefault="00500674" w:rsidP="00925F26">
            <w:pPr>
              <w:jc w:val="both"/>
              <w:rPr>
                <w:color w:val="000000" w:themeColor="text1"/>
                <w:sz w:val="16"/>
                <w:szCs w:val="16"/>
              </w:rPr>
            </w:pPr>
            <w:r w:rsidRPr="00925F26">
              <w:rPr>
                <w:color w:val="000000" w:themeColor="text1"/>
                <w:sz w:val="16"/>
                <w:szCs w:val="16"/>
              </w:rPr>
              <w:t>1 +9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CE4DABC" w14:textId="77777777" w:rsidR="00500674" w:rsidRPr="00925F26" w:rsidRDefault="00500674" w:rsidP="00925F26">
            <w:pPr>
              <w:jc w:val="both"/>
              <w:rPr>
                <w:color w:val="000000" w:themeColor="text1"/>
                <w:sz w:val="16"/>
                <w:szCs w:val="16"/>
              </w:rPr>
            </w:pPr>
            <w:r w:rsidRPr="00925F26">
              <w:rPr>
                <w:color w:val="000000" w:themeColor="text1"/>
                <w:sz w:val="16"/>
                <w:szCs w:val="16"/>
              </w:rPr>
              <w:t>1+7</w:t>
            </w:r>
          </w:p>
        </w:tc>
      </w:tr>
      <w:tr w:rsidR="000F5689" w:rsidRPr="00925F26" w14:paraId="673CE7DC" w14:textId="77777777" w:rsidTr="00E55150">
        <w:trPr>
          <w:trHeight w:val="252"/>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67CC876C" w14:textId="77777777" w:rsidR="00500674" w:rsidRPr="00925F26" w:rsidRDefault="00500674" w:rsidP="00925F26">
            <w:pPr>
              <w:jc w:val="both"/>
              <w:rPr>
                <w:color w:val="000000" w:themeColor="text1"/>
                <w:sz w:val="16"/>
                <w:szCs w:val="16"/>
              </w:rPr>
            </w:pPr>
            <w:r w:rsidRPr="00925F26">
              <w:rPr>
                <w:color w:val="000000" w:themeColor="text1"/>
                <w:sz w:val="16"/>
                <w:szCs w:val="16"/>
              </w:rPr>
              <w:t>Макс, скорость при буксировке,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C743199" w14:textId="77777777" w:rsidR="00500674" w:rsidRPr="00925F26" w:rsidRDefault="00500674" w:rsidP="00925F26">
            <w:pPr>
              <w:jc w:val="both"/>
              <w:rPr>
                <w:color w:val="000000" w:themeColor="text1"/>
                <w:sz w:val="16"/>
                <w:szCs w:val="16"/>
              </w:rPr>
            </w:pPr>
            <w:r w:rsidRPr="00925F26">
              <w:rPr>
                <w:color w:val="000000" w:themeColor="text1"/>
                <w:sz w:val="16"/>
                <w:szCs w:val="16"/>
              </w:rPr>
              <w:t>280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09F7BA0" w14:textId="77777777" w:rsidR="00500674" w:rsidRPr="00925F26" w:rsidRDefault="00500674" w:rsidP="00925F26">
            <w:pPr>
              <w:jc w:val="both"/>
              <w:rPr>
                <w:color w:val="000000" w:themeColor="text1"/>
                <w:sz w:val="16"/>
                <w:szCs w:val="16"/>
              </w:rPr>
            </w:pPr>
            <w:r w:rsidRPr="00925F26">
              <w:rPr>
                <w:color w:val="000000" w:themeColor="text1"/>
                <w:sz w:val="16"/>
                <w:szCs w:val="16"/>
              </w:rPr>
              <w:t>209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1564FB8" w14:textId="77777777" w:rsidR="00500674" w:rsidRPr="00925F26" w:rsidRDefault="00500674" w:rsidP="00925F26">
            <w:pPr>
              <w:jc w:val="both"/>
              <w:rPr>
                <w:color w:val="000000" w:themeColor="text1"/>
                <w:sz w:val="16"/>
                <w:szCs w:val="16"/>
              </w:rPr>
            </w:pPr>
          </w:p>
        </w:tc>
      </w:tr>
      <w:tr w:rsidR="000F5689" w:rsidRPr="00925F26" w14:paraId="612335C9"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2697DA18" w14:textId="77777777" w:rsidR="00500674" w:rsidRPr="00925F26" w:rsidRDefault="00500674" w:rsidP="00925F26">
            <w:pPr>
              <w:jc w:val="both"/>
              <w:rPr>
                <w:color w:val="000000" w:themeColor="text1"/>
                <w:sz w:val="16"/>
                <w:szCs w:val="16"/>
              </w:rPr>
            </w:pPr>
            <w:r w:rsidRPr="00925F26">
              <w:rPr>
                <w:color w:val="000000" w:themeColor="text1"/>
                <w:sz w:val="16"/>
                <w:szCs w:val="16"/>
              </w:rPr>
              <w:t>Скорость планирования,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A969CEB" w14:textId="77777777" w:rsidR="00500674" w:rsidRPr="00925F26" w:rsidRDefault="00500674" w:rsidP="00925F26">
            <w:pPr>
              <w:jc w:val="both"/>
              <w:rPr>
                <w:color w:val="000000" w:themeColor="text1"/>
                <w:sz w:val="16"/>
                <w:szCs w:val="16"/>
              </w:rPr>
            </w:pPr>
            <w:r w:rsidRPr="00925F26">
              <w:rPr>
                <w:color w:val="000000" w:themeColor="text1"/>
                <w:sz w:val="16"/>
                <w:szCs w:val="16"/>
              </w:rPr>
              <w:t>146</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F0EA0CF" w14:textId="77777777" w:rsidR="00500674" w:rsidRPr="00925F26" w:rsidRDefault="00500674" w:rsidP="00925F26">
            <w:pPr>
              <w:jc w:val="both"/>
              <w:rPr>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1F3C234E" w14:textId="77777777" w:rsidR="00500674" w:rsidRPr="00925F26" w:rsidRDefault="00500674" w:rsidP="00925F26">
            <w:pPr>
              <w:jc w:val="both"/>
              <w:rPr>
                <w:color w:val="000000" w:themeColor="text1"/>
                <w:sz w:val="16"/>
                <w:szCs w:val="16"/>
              </w:rPr>
            </w:pPr>
          </w:p>
        </w:tc>
      </w:tr>
      <w:tr w:rsidR="000F5689" w:rsidRPr="00925F26" w14:paraId="6BBA9DE2"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ED340AE" w14:textId="77777777" w:rsidR="00500674" w:rsidRPr="00925F26" w:rsidRDefault="00500674" w:rsidP="00925F26">
            <w:pPr>
              <w:jc w:val="both"/>
              <w:rPr>
                <w:color w:val="000000" w:themeColor="text1"/>
                <w:sz w:val="16"/>
                <w:szCs w:val="16"/>
              </w:rPr>
            </w:pPr>
            <w:r w:rsidRPr="00925F26">
              <w:rPr>
                <w:color w:val="000000" w:themeColor="text1"/>
                <w:sz w:val="16"/>
                <w:szCs w:val="16"/>
              </w:rPr>
              <w:t xml:space="preserve">Скорость посадочная </w:t>
            </w:r>
            <w:proofErr w:type="gramStart"/>
            <w:r w:rsidRPr="00925F26">
              <w:rPr>
                <w:color w:val="000000" w:themeColor="text1"/>
                <w:sz w:val="16"/>
                <w:szCs w:val="16"/>
              </w:rPr>
              <w:t>при макс</w:t>
            </w:r>
            <w:proofErr w:type="gramEnd"/>
            <w:r w:rsidRPr="00925F26">
              <w:rPr>
                <w:color w:val="000000" w:themeColor="text1"/>
                <w:sz w:val="16"/>
                <w:szCs w:val="16"/>
              </w:rPr>
              <w:t>, весе,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96512D4" w14:textId="77777777" w:rsidR="00500674" w:rsidRPr="00925F26" w:rsidRDefault="00500674" w:rsidP="00925F26">
            <w:pPr>
              <w:jc w:val="both"/>
              <w:rPr>
                <w:color w:val="000000" w:themeColor="text1"/>
                <w:sz w:val="16"/>
                <w:szCs w:val="16"/>
              </w:rPr>
            </w:pPr>
            <w:r w:rsidRPr="00925F26">
              <w:rPr>
                <w:color w:val="000000" w:themeColor="text1"/>
                <w:sz w:val="16"/>
                <w:szCs w:val="16"/>
              </w:rPr>
              <w:t>82,5</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25900AA9" w14:textId="77777777" w:rsidR="00500674" w:rsidRPr="00925F26" w:rsidRDefault="00500674" w:rsidP="00925F26">
            <w:pPr>
              <w:jc w:val="both"/>
              <w:rPr>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1F5BF5A" w14:textId="77777777" w:rsidR="00500674" w:rsidRPr="00925F26" w:rsidRDefault="00500674" w:rsidP="00925F26">
            <w:pPr>
              <w:jc w:val="both"/>
              <w:rPr>
                <w:color w:val="000000" w:themeColor="text1"/>
                <w:sz w:val="16"/>
                <w:szCs w:val="16"/>
              </w:rPr>
            </w:pPr>
          </w:p>
        </w:tc>
      </w:tr>
      <w:tr w:rsidR="000F5689" w:rsidRPr="00925F26" w14:paraId="33C77E53"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147DE29" w14:textId="77777777" w:rsidR="00500674" w:rsidRPr="00925F26" w:rsidRDefault="00500674" w:rsidP="00925F26">
            <w:pPr>
              <w:jc w:val="both"/>
              <w:rPr>
                <w:color w:val="000000" w:themeColor="text1"/>
                <w:sz w:val="16"/>
                <w:szCs w:val="16"/>
              </w:rPr>
            </w:pPr>
            <w:r w:rsidRPr="00925F26">
              <w:rPr>
                <w:color w:val="000000" w:themeColor="text1"/>
                <w:sz w:val="16"/>
                <w:szCs w:val="16"/>
              </w:rPr>
              <w:t>Минимальная скорость снижения, м/с</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D22BCDC" w14:textId="77777777" w:rsidR="00500674" w:rsidRPr="00925F26" w:rsidRDefault="00500674" w:rsidP="00925F26">
            <w:pPr>
              <w:jc w:val="both"/>
              <w:rPr>
                <w:color w:val="000000" w:themeColor="text1"/>
                <w:sz w:val="16"/>
                <w:szCs w:val="16"/>
              </w:rPr>
            </w:pPr>
            <w:r w:rsidRPr="00925F26">
              <w:rPr>
                <w:color w:val="000000" w:themeColor="text1"/>
                <w:sz w:val="16"/>
                <w:szCs w:val="16"/>
              </w:rPr>
              <w:t>2,2</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8B42866" w14:textId="77777777" w:rsidR="00500674" w:rsidRPr="00925F26" w:rsidRDefault="00500674" w:rsidP="00925F26">
            <w:pPr>
              <w:jc w:val="both"/>
              <w:rPr>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627EC138" w14:textId="77777777" w:rsidR="00500674" w:rsidRPr="00925F26" w:rsidRDefault="00500674" w:rsidP="00925F26">
            <w:pPr>
              <w:jc w:val="both"/>
              <w:rPr>
                <w:color w:val="000000" w:themeColor="text1"/>
                <w:sz w:val="16"/>
                <w:szCs w:val="16"/>
              </w:rPr>
            </w:pPr>
          </w:p>
        </w:tc>
      </w:tr>
      <w:tr w:rsidR="000F5689" w:rsidRPr="00925F26" w14:paraId="402C76A3" w14:textId="77777777" w:rsidTr="00E55150">
        <w:trPr>
          <w:trHeight w:val="26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7460F19" w14:textId="77777777" w:rsidR="00500674" w:rsidRPr="00925F26" w:rsidRDefault="00500674" w:rsidP="00925F26">
            <w:pPr>
              <w:jc w:val="both"/>
              <w:rPr>
                <w:color w:val="000000" w:themeColor="text1"/>
                <w:sz w:val="16"/>
                <w:szCs w:val="16"/>
              </w:rPr>
            </w:pPr>
            <w:r w:rsidRPr="00925F26">
              <w:rPr>
                <w:color w:val="000000" w:themeColor="text1"/>
                <w:sz w:val="16"/>
                <w:szCs w:val="16"/>
              </w:rPr>
              <w:t>Максимальное качество при планировании</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5BDD680" w14:textId="77777777" w:rsidR="00500674" w:rsidRPr="00925F26" w:rsidRDefault="00500674" w:rsidP="00925F26">
            <w:pPr>
              <w:jc w:val="both"/>
              <w:rPr>
                <w:color w:val="000000" w:themeColor="text1"/>
                <w:sz w:val="16"/>
                <w:szCs w:val="16"/>
              </w:rPr>
            </w:pPr>
            <w:r w:rsidRPr="00925F26">
              <w:rPr>
                <w:color w:val="000000" w:themeColor="text1"/>
                <w:sz w:val="16"/>
                <w:szCs w:val="16"/>
              </w:rPr>
              <w:t>16</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EDAAA9D" w14:textId="77777777" w:rsidR="00500674" w:rsidRPr="00925F26" w:rsidRDefault="00500674" w:rsidP="00925F26">
            <w:pPr>
              <w:jc w:val="both"/>
              <w:rPr>
                <w:color w:val="000000" w:themeColor="text1"/>
                <w:sz w:val="16"/>
                <w:szCs w:val="16"/>
              </w:rPr>
            </w:pPr>
            <w:r w:rsidRPr="00925F26">
              <w:rPr>
                <w:color w:val="000000" w:themeColor="text1"/>
                <w:sz w:val="16"/>
                <w:szCs w:val="16"/>
              </w:rPr>
              <w:t>18</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5D03921" w14:textId="77777777" w:rsidR="00500674" w:rsidRPr="00925F26" w:rsidRDefault="00500674" w:rsidP="00925F26">
            <w:pPr>
              <w:jc w:val="both"/>
              <w:rPr>
                <w:color w:val="000000" w:themeColor="text1"/>
                <w:sz w:val="16"/>
                <w:szCs w:val="16"/>
              </w:rPr>
            </w:pPr>
          </w:p>
        </w:tc>
      </w:tr>
    </w:tbl>
    <w:p w14:paraId="04D02848" w14:textId="77777777" w:rsidR="00500674" w:rsidRPr="00925F26" w:rsidRDefault="00500674" w:rsidP="00925F26">
      <w:pPr>
        <w:jc w:val="both"/>
        <w:rPr>
          <w:color w:val="000000" w:themeColor="text1"/>
          <w:sz w:val="16"/>
          <w:szCs w:val="16"/>
        </w:rPr>
      </w:pPr>
      <w:r w:rsidRPr="00925F26">
        <w:rPr>
          <w:color w:val="000000" w:themeColor="text1"/>
          <w:sz w:val="16"/>
          <w:szCs w:val="16"/>
        </w:rPr>
        <w:t>(12300).</w:t>
      </w:r>
    </w:p>
    <w:p w14:paraId="40A5F632" w14:textId="77777777" w:rsidR="00500674" w:rsidRPr="00925F26" w:rsidRDefault="00500674" w:rsidP="00925F26">
      <w:pPr>
        <w:jc w:val="both"/>
        <w:rPr>
          <w:color w:val="000000" w:themeColor="text1"/>
          <w:sz w:val="16"/>
          <w:szCs w:val="16"/>
        </w:rPr>
      </w:pPr>
    </w:p>
    <w:p w14:paraId="39E2C42A" w14:textId="77777777" w:rsidR="00500674" w:rsidRPr="00925F26" w:rsidRDefault="00500674" w:rsidP="00925F26">
      <w:pPr>
        <w:shd w:val="clear" w:color="auto" w:fill="FFFFFF"/>
        <w:jc w:val="both"/>
        <w:rPr>
          <w:color w:val="000000" w:themeColor="text1"/>
          <w:sz w:val="16"/>
          <w:szCs w:val="16"/>
        </w:rPr>
      </w:pPr>
      <w:r w:rsidRPr="00925F26">
        <w:rPr>
          <w:color w:val="000000" w:themeColor="text1"/>
          <w:sz w:val="16"/>
          <w:szCs w:val="16"/>
        </w:rPr>
        <w:t>В середине 1945 г. производство Г-11У прекратилось, однако, спустя год возобновилось и продолжалось вплоть до 1948 г. (точных данных о количестве Г-11, произведенных в этот период, не обнаружено).</w:t>
      </w:r>
    </w:p>
    <w:p w14:paraId="4B8C5D98" w14:textId="77777777" w:rsidR="00500674" w:rsidRPr="00925F26" w:rsidRDefault="00500674" w:rsidP="00925F26">
      <w:pPr>
        <w:shd w:val="clear" w:color="auto" w:fill="FFFFFF"/>
        <w:jc w:val="both"/>
        <w:rPr>
          <w:color w:val="000000" w:themeColor="text1"/>
          <w:sz w:val="16"/>
          <w:szCs w:val="16"/>
        </w:rPr>
      </w:pPr>
      <w:r w:rsidRPr="00925F26">
        <w:rPr>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0F5689" w:rsidRPr="00925F26" w14:paraId="57044D41"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EF5DFE" w14:textId="77777777" w:rsidR="00500674" w:rsidRPr="00925F26" w:rsidRDefault="00500674" w:rsidP="00925F26">
            <w:pPr>
              <w:jc w:val="both"/>
              <w:rPr>
                <w:color w:val="000000" w:themeColor="text1"/>
                <w:sz w:val="16"/>
                <w:szCs w:val="16"/>
              </w:rPr>
            </w:pPr>
            <w:r w:rsidRPr="00925F26">
              <w:rPr>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F5C7F2" w14:textId="1DEFC809"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Г-11</w:t>
            </w:r>
          </w:p>
        </w:tc>
      </w:tr>
      <w:tr w:rsidR="000F5689" w:rsidRPr="00925F26" w14:paraId="23C614F5"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14953F" w14:textId="77777777" w:rsidR="00500674" w:rsidRPr="00925F26" w:rsidRDefault="00500674" w:rsidP="00925F26">
            <w:pPr>
              <w:jc w:val="both"/>
              <w:rPr>
                <w:color w:val="000000" w:themeColor="text1"/>
                <w:sz w:val="16"/>
                <w:szCs w:val="16"/>
              </w:rPr>
            </w:pPr>
            <w:r w:rsidRPr="00925F26">
              <w:rPr>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AE7B89" w14:textId="462E4717"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18.00</w:t>
            </w:r>
          </w:p>
        </w:tc>
      </w:tr>
      <w:tr w:rsidR="000F5689" w:rsidRPr="00925F26" w14:paraId="05E39A6A"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11EBAD9" w14:textId="77777777" w:rsidR="00500674" w:rsidRPr="00925F26" w:rsidRDefault="00500674" w:rsidP="00925F26">
            <w:pPr>
              <w:jc w:val="both"/>
              <w:rPr>
                <w:color w:val="000000" w:themeColor="text1"/>
                <w:sz w:val="16"/>
                <w:szCs w:val="16"/>
              </w:rPr>
            </w:pPr>
            <w:r w:rsidRPr="00925F26">
              <w:rPr>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2F2C105" w14:textId="1B41D13B"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10.84</w:t>
            </w:r>
          </w:p>
        </w:tc>
      </w:tr>
      <w:tr w:rsidR="000F5689" w:rsidRPr="00925F26" w14:paraId="0AA16EA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7A778F7" w14:textId="77777777" w:rsidR="00500674" w:rsidRPr="00925F26" w:rsidRDefault="00500674" w:rsidP="00925F26">
            <w:pPr>
              <w:jc w:val="both"/>
              <w:rPr>
                <w:color w:val="000000" w:themeColor="text1"/>
                <w:sz w:val="16"/>
                <w:szCs w:val="16"/>
              </w:rPr>
            </w:pPr>
            <w:r w:rsidRPr="00925F26">
              <w:rPr>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D84A26" w14:textId="159AC7BA" w:rsidR="00500674" w:rsidRPr="00925F26" w:rsidRDefault="00997EDF" w:rsidP="00925F26">
            <w:pPr>
              <w:jc w:val="both"/>
              <w:rPr>
                <w:color w:val="000000" w:themeColor="text1"/>
                <w:sz w:val="16"/>
                <w:szCs w:val="16"/>
              </w:rPr>
            </w:pPr>
            <w:r w:rsidRPr="00925F26">
              <w:rPr>
                <w:color w:val="000000" w:themeColor="text1"/>
                <w:sz w:val="16"/>
                <w:szCs w:val="16"/>
              </w:rPr>
              <w:t xml:space="preserve">  </w:t>
            </w:r>
          </w:p>
        </w:tc>
      </w:tr>
      <w:tr w:rsidR="000F5689" w:rsidRPr="00925F26" w14:paraId="67A5B794"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1EF2E7" w14:textId="77777777" w:rsidR="00500674" w:rsidRPr="00925F26" w:rsidRDefault="00500674" w:rsidP="00925F26">
            <w:pPr>
              <w:jc w:val="both"/>
              <w:rPr>
                <w:color w:val="000000" w:themeColor="text1"/>
                <w:sz w:val="16"/>
                <w:szCs w:val="16"/>
              </w:rPr>
            </w:pPr>
            <w:r w:rsidRPr="00925F26">
              <w:rPr>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5979E3" w14:textId="35AFE5C5"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30.00</w:t>
            </w:r>
          </w:p>
        </w:tc>
      </w:tr>
      <w:tr w:rsidR="000F5689" w:rsidRPr="00925F26" w14:paraId="767D611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8098DB" w14:textId="77777777" w:rsidR="00500674" w:rsidRPr="00925F26" w:rsidRDefault="00500674" w:rsidP="00925F26">
            <w:pPr>
              <w:jc w:val="both"/>
              <w:rPr>
                <w:color w:val="000000" w:themeColor="text1"/>
                <w:sz w:val="16"/>
                <w:szCs w:val="16"/>
              </w:rPr>
            </w:pPr>
            <w:r w:rsidRPr="00925F26">
              <w:rPr>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74FF91" w14:textId="20EC4149" w:rsidR="00500674" w:rsidRPr="00925F26" w:rsidRDefault="00997EDF" w:rsidP="00925F26">
            <w:pPr>
              <w:jc w:val="both"/>
              <w:rPr>
                <w:color w:val="000000" w:themeColor="text1"/>
                <w:sz w:val="16"/>
                <w:szCs w:val="16"/>
              </w:rPr>
            </w:pPr>
            <w:r w:rsidRPr="00925F26">
              <w:rPr>
                <w:color w:val="000000" w:themeColor="text1"/>
                <w:sz w:val="16"/>
                <w:szCs w:val="16"/>
              </w:rPr>
              <w:t xml:space="preserve">  </w:t>
            </w:r>
          </w:p>
        </w:tc>
      </w:tr>
      <w:tr w:rsidR="000F5689" w:rsidRPr="00925F26" w14:paraId="6ECC055D"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02ED00" w14:textId="05382866" w:rsidR="00500674" w:rsidRPr="00925F26" w:rsidRDefault="00997EDF" w:rsidP="00925F26">
            <w:pPr>
              <w:jc w:val="both"/>
              <w:rPr>
                <w:color w:val="000000" w:themeColor="text1"/>
                <w:sz w:val="16"/>
                <w:szCs w:val="16"/>
              </w:rPr>
            </w:pPr>
            <w:r w:rsidRPr="00925F26">
              <w:rPr>
                <w:color w:val="000000" w:themeColor="text1"/>
                <w:sz w:val="16"/>
                <w:szCs w:val="16"/>
              </w:rPr>
              <w:lastRenderedPageBreak/>
              <w:t xml:space="preserve">    </w:t>
            </w:r>
            <w:r w:rsidR="00500674" w:rsidRPr="00925F26">
              <w:rPr>
                <w:color w:val="000000" w:themeColor="text1"/>
                <w:sz w:val="16"/>
                <w:szCs w:val="16"/>
              </w:rPr>
              <w:t>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4AE8A6" w14:textId="050AC7C9"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960</w:t>
            </w:r>
          </w:p>
        </w:tc>
      </w:tr>
      <w:tr w:rsidR="000F5689" w:rsidRPr="00925F26" w14:paraId="702986E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F6B18E" w14:textId="0BCFC646"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A06564C" w14:textId="490C7BF4"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1660</w:t>
            </w:r>
          </w:p>
        </w:tc>
      </w:tr>
      <w:tr w:rsidR="000F5689" w:rsidRPr="00925F26" w14:paraId="0BD64BBE"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2988AB" w14:textId="77777777" w:rsidR="00500674" w:rsidRPr="00925F26" w:rsidRDefault="00500674" w:rsidP="00925F26">
            <w:pPr>
              <w:jc w:val="both"/>
              <w:rPr>
                <w:color w:val="000000" w:themeColor="text1"/>
                <w:sz w:val="16"/>
                <w:szCs w:val="16"/>
              </w:rPr>
            </w:pPr>
            <w:r w:rsidRPr="00925F26">
              <w:rPr>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86CAA83" w14:textId="28591622"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220</w:t>
            </w:r>
          </w:p>
        </w:tc>
      </w:tr>
      <w:tr w:rsidR="000F5689" w:rsidRPr="00925F26" w14:paraId="30F4357A"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247DEF" w14:textId="77777777" w:rsidR="00500674" w:rsidRPr="00925F26" w:rsidRDefault="00500674" w:rsidP="00925F26">
            <w:pPr>
              <w:jc w:val="both"/>
              <w:rPr>
                <w:color w:val="000000" w:themeColor="text1"/>
                <w:sz w:val="16"/>
                <w:szCs w:val="16"/>
              </w:rPr>
            </w:pPr>
            <w:r w:rsidRPr="00925F26">
              <w:rPr>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FFFF5C" w14:textId="7598F1C8" w:rsidR="00500674" w:rsidRPr="00925F26" w:rsidRDefault="00997EDF" w:rsidP="00925F26">
            <w:pPr>
              <w:jc w:val="both"/>
              <w:rPr>
                <w:color w:val="000000" w:themeColor="text1"/>
                <w:sz w:val="16"/>
                <w:szCs w:val="16"/>
              </w:rPr>
            </w:pPr>
            <w:r w:rsidRPr="00925F26">
              <w:rPr>
                <w:color w:val="000000" w:themeColor="text1"/>
                <w:sz w:val="16"/>
                <w:szCs w:val="16"/>
              </w:rPr>
              <w:t xml:space="preserve">  </w:t>
            </w:r>
            <w:r w:rsidR="00500674" w:rsidRPr="00925F26">
              <w:rPr>
                <w:color w:val="000000" w:themeColor="text1"/>
                <w:sz w:val="16"/>
                <w:szCs w:val="16"/>
              </w:rPr>
              <w:t xml:space="preserve"> 11 десантников</w:t>
            </w:r>
          </w:p>
        </w:tc>
      </w:tr>
    </w:tbl>
    <w:p w14:paraId="23B466FC" w14:textId="77777777" w:rsidR="00500674" w:rsidRPr="00925F26" w:rsidRDefault="00500674" w:rsidP="00925F26">
      <w:pPr>
        <w:pBdr>
          <w:bottom w:val="single" w:sz="6" w:space="2" w:color="EBEBEB"/>
        </w:pBdr>
        <w:shd w:val="clear" w:color="auto" w:fill="FFFFFF"/>
        <w:jc w:val="both"/>
        <w:rPr>
          <w:color w:val="000000" w:themeColor="text1"/>
          <w:sz w:val="16"/>
          <w:szCs w:val="16"/>
        </w:rPr>
      </w:pPr>
      <w:r w:rsidRPr="00925F26">
        <w:rPr>
          <w:color w:val="000000" w:themeColor="text1"/>
          <w:sz w:val="16"/>
          <w:szCs w:val="16"/>
        </w:rPr>
        <w:t>(12682).</w:t>
      </w:r>
    </w:p>
    <w:p w14:paraId="5ADF86F8" w14:textId="77777777" w:rsidR="00500674" w:rsidRPr="00925F26" w:rsidRDefault="00500674" w:rsidP="00925F26">
      <w:pPr>
        <w:jc w:val="both"/>
        <w:rPr>
          <w:color w:val="000000" w:themeColor="text1"/>
          <w:sz w:val="16"/>
          <w:szCs w:val="16"/>
        </w:rPr>
      </w:pPr>
    </w:p>
    <w:p w14:paraId="4F7E3611" w14:textId="36276011" w:rsidR="00C46885" w:rsidRPr="00925F26" w:rsidRDefault="00C46885" w:rsidP="00925F26">
      <w:pPr>
        <w:pStyle w:val="article-renderblock"/>
        <w:shd w:val="clear" w:color="auto" w:fill="FFFFFF"/>
        <w:spacing w:before="0" w:beforeAutospacing="0" w:after="0" w:afterAutospacing="0"/>
        <w:jc w:val="both"/>
        <w:rPr>
          <w:color w:val="000000" w:themeColor="text1"/>
          <w:sz w:val="16"/>
          <w:szCs w:val="16"/>
        </w:rPr>
      </w:pPr>
      <w:r w:rsidRPr="00925F26">
        <w:rPr>
          <w:color w:val="000000" w:themeColor="text1"/>
          <w:sz w:val="16"/>
          <w:szCs w:val="16"/>
        </w:rPr>
        <w:t>В середине 1945 году в</w:t>
      </w:r>
      <w:r w:rsidR="00997EDF" w:rsidRPr="00925F26">
        <w:rPr>
          <w:color w:val="000000" w:themeColor="text1"/>
          <w:sz w:val="16"/>
          <w:szCs w:val="16"/>
        </w:rPr>
        <w:t xml:space="preserve">  </w:t>
      </w:r>
      <w:r w:rsidRPr="00925F26">
        <w:rPr>
          <w:color w:val="000000" w:themeColor="text1"/>
          <w:sz w:val="16"/>
          <w:szCs w:val="16"/>
        </w:rPr>
        <w:t>ГосНИИ ГВФ</w:t>
      </w:r>
      <w:r w:rsidR="00997EDF" w:rsidRPr="00925F26">
        <w:rPr>
          <w:color w:val="000000" w:themeColor="text1"/>
          <w:sz w:val="16"/>
          <w:szCs w:val="16"/>
        </w:rPr>
        <w:t xml:space="preserve">  </w:t>
      </w:r>
      <w:r w:rsidRPr="00925F26">
        <w:rPr>
          <w:color w:val="000000" w:themeColor="text1"/>
          <w:sz w:val="16"/>
          <w:szCs w:val="16"/>
        </w:rPr>
        <w:t>, при участие летчиков</w:t>
      </w:r>
      <w:r w:rsidR="00997EDF" w:rsidRPr="00925F26">
        <w:rPr>
          <w:color w:val="000000" w:themeColor="text1"/>
          <w:sz w:val="16"/>
          <w:szCs w:val="16"/>
        </w:rPr>
        <w:t xml:space="preserve">  </w:t>
      </w:r>
      <w:r w:rsidRPr="00925F26">
        <w:rPr>
          <w:color w:val="000000" w:themeColor="text1"/>
          <w:sz w:val="16"/>
          <w:szCs w:val="16"/>
        </w:rPr>
        <w:t>С. Д. Спиваковского, С. В. Васильченко проходил испытания гражданский вариант самолета Ще-2 (19837).</w:t>
      </w:r>
    </w:p>
    <w:p w14:paraId="37ECFB40" w14:textId="77777777" w:rsidR="00C46885" w:rsidRPr="00925F26" w:rsidRDefault="00C46885" w:rsidP="00925F26">
      <w:pPr>
        <w:pStyle w:val="article-renderblock"/>
        <w:shd w:val="clear" w:color="auto" w:fill="FFFFFF"/>
        <w:spacing w:before="0" w:beforeAutospacing="0" w:after="0" w:afterAutospacing="0"/>
        <w:jc w:val="both"/>
        <w:rPr>
          <w:color w:val="000000" w:themeColor="text1"/>
          <w:sz w:val="16"/>
          <w:szCs w:val="16"/>
        </w:rPr>
      </w:pPr>
    </w:p>
    <w:p w14:paraId="4C49C57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С середины 1945 г. на конструкторов завода № 478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452A2DB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7E29A9F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1F6B3231"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6E714F33" w14:textId="77777777" w:rsidR="006103B3" w:rsidRPr="00925F26" w:rsidRDefault="006103B3" w:rsidP="00925F26">
      <w:pPr>
        <w:autoSpaceDE w:val="0"/>
        <w:autoSpaceDN w:val="0"/>
        <w:adjustRightInd w:val="0"/>
        <w:jc w:val="both"/>
        <w:rPr>
          <w:color w:val="000000" w:themeColor="text1"/>
          <w:sz w:val="16"/>
          <w:szCs w:val="16"/>
        </w:rPr>
      </w:pPr>
    </w:p>
    <w:p w14:paraId="0BF849B9"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1945 года советская авиационная промышленность получила в свое распоряжение более 600 заводов и фабрик, так или иначе связанных с авиастроением, расположенных в советской оккупационной зоне на территории Западной Европы. Из них 213 основных авиационных предприятий и 387 организаций, перепрофилированных в годы войны на выпуск авиационной продукции. Их общая производственная площадь составляла 4 миллиона кв. метров. Это более половины всего авиационно-технического потенциала Германии. Правда, большинство объектов было разрушено в результате многочисленных бомбардировок и артобстрелов, а часть специалистов и документации оказалась на Западе. Несмотря на это было вывезено 123 тысячи станков и другого промышленного оборудования, из них 66 тысяч непосредственно на предприятия Министерства авиационной промышленности СССР. Кроме оборудования из оккупационной зоны было доставлено огромное количество секретной документации (11765).</w:t>
      </w:r>
    </w:p>
    <w:p w14:paraId="4F30EACA" w14:textId="77777777" w:rsidR="006103B3" w:rsidRPr="00925F26" w:rsidRDefault="006103B3" w:rsidP="00925F26">
      <w:pPr>
        <w:autoSpaceDE w:val="0"/>
        <w:autoSpaceDN w:val="0"/>
        <w:adjustRightInd w:val="0"/>
        <w:jc w:val="both"/>
        <w:rPr>
          <w:color w:val="000000" w:themeColor="text1"/>
          <w:sz w:val="16"/>
          <w:szCs w:val="16"/>
        </w:rPr>
      </w:pPr>
    </w:p>
    <w:p w14:paraId="22AC2425" w14:textId="77777777" w:rsidR="006103B3" w:rsidRPr="00925F26" w:rsidRDefault="006103B3" w:rsidP="00925F26">
      <w:pPr>
        <w:shd w:val="clear" w:color="auto" w:fill="FFFFFF"/>
        <w:autoSpaceDE w:val="0"/>
        <w:autoSpaceDN w:val="0"/>
        <w:adjustRightInd w:val="0"/>
        <w:jc w:val="both"/>
        <w:rPr>
          <w:color w:val="000000" w:themeColor="text1"/>
          <w:sz w:val="16"/>
          <w:szCs w:val="16"/>
        </w:rPr>
      </w:pPr>
      <w:r w:rsidRPr="00925F26">
        <w:rPr>
          <w:color w:val="000000" w:themeColor="text1"/>
          <w:sz w:val="16"/>
          <w:szCs w:val="16"/>
        </w:rPr>
        <w:t>В середине 1945 с целью подготовки кадров для предприятий отрасли, по предложе</w:t>
      </w:r>
      <w:r w:rsidRPr="00925F26">
        <w:rPr>
          <w:color w:val="000000" w:themeColor="text1"/>
          <w:sz w:val="16"/>
          <w:szCs w:val="16"/>
        </w:rPr>
        <w:softHyphen/>
        <w:t>нию и при непосредственном участии А.Д. Надирадзе, С.А. Христиановича, Я.Б. Зельдовича, Я.Б. Шора, Е.А. Ланга, Ф.Р. Гантмахера и других в ММИ организовали факультет «специальной боевой техни</w:t>
      </w:r>
      <w:r w:rsidRPr="00925F26">
        <w:rPr>
          <w:color w:val="000000" w:themeColor="text1"/>
          <w:sz w:val="16"/>
          <w:szCs w:val="16"/>
        </w:rPr>
        <w:softHyphen/>
        <w:t>ки» (реактивного вооружения). В соста</w:t>
      </w:r>
      <w:r w:rsidRPr="00925F26">
        <w:rPr>
          <w:color w:val="000000" w:themeColor="text1"/>
          <w:sz w:val="16"/>
          <w:szCs w:val="16"/>
        </w:rPr>
        <w:softHyphen/>
        <w:t>ве ММИ было организовано ОКБ по раз</w:t>
      </w:r>
      <w:r w:rsidRPr="00925F26">
        <w:rPr>
          <w:color w:val="000000" w:themeColor="text1"/>
          <w:sz w:val="16"/>
          <w:szCs w:val="16"/>
        </w:rPr>
        <w:softHyphen/>
        <w:t>работке реактивных боеприпасов, на</w:t>
      </w:r>
      <w:r w:rsidRPr="00925F26">
        <w:rPr>
          <w:color w:val="000000" w:themeColor="text1"/>
          <w:sz w:val="16"/>
          <w:szCs w:val="16"/>
        </w:rPr>
        <w:softHyphen/>
        <w:t>чальником и главным конструктором ко</w:t>
      </w:r>
      <w:r w:rsidRPr="00925F26">
        <w:rPr>
          <w:color w:val="000000" w:themeColor="text1"/>
          <w:sz w:val="16"/>
          <w:szCs w:val="16"/>
        </w:rPr>
        <w:softHyphen/>
        <w:t>торого стал А.Д. Надирадзе, в будущем директор и главный конструктор МИТ, разрабатывавший подвижные ракетные комплексы стратегического назначения. Вместе с тем ведомственная разоб</w:t>
      </w:r>
      <w:r w:rsidRPr="00925F26">
        <w:rPr>
          <w:color w:val="000000" w:themeColor="text1"/>
          <w:sz w:val="16"/>
          <w:szCs w:val="16"/>
        </w:rPr>
        <w:softHyphen/>
        <w:t>щенность разработчиков РС (филиал №2 НИИ-1 Наркомата авиационной промышленности) и заводов-изготови</w:t>
      </w:r>
      <w:r w:rsidRPr="00925F26">
        <w:rPr>
          <w:color w:val="000000" w:themeColor="text1"/>
          <w:sz w:val="16"/>
          <w:szCs w:val="16"/>
        </w:rPr>
        <w:softHyphen/>
        <w:t>телей (Наркомат боеприпасов) не спо</w:t>
      </w:r>
      <w:r w:rsidRPr="00925F26">
        <w:rPr>
          <w:color w:val="000000" w:themeColor="text1"/>
          <w:sz w:val="16"/>
          <w:szCs w:val="16"/>
        </w:rPr>
        <w:softHyphen/>
        <w:t>собствовала тесному взаимодействию и эффективной работе создателей реак</w:t>
      </w:r>
      <w:r w:rsidRPr="00925F26">
        <w:rPr>
          <w:color w:val="000000" w:themeColor="text1"/>
          <w:sz w:val="16"/>
          <w:szCs w:val="16"/>
        </w:rPr>
        <w:softHyphen/>
        <w:t>тивных систем залпового огня. Осозна</w:t>
      </w:r>
      <w:r w:rsidRPr="00925F26">
        <w:rPr>
          <w:color w:val="000000" w:themeColor="text1"/>
          <w:sz w:val="16"/>
          <w:szCs w:val="16"/>
        </w:rPr>
        <w:softHyphen/>
        <w:t>вая необходимость создания проектно-конструкторской организации, а также руководствуясь складывающейся ситу</w:t>
      </w:r>
      <w:r w:rsidRPr="00925F26">
        <w:rPr>
          <w:color w:val="000000" w:themeColor="text1"/>
          <w:sz w:val="16"/>
          <w:szCs w:val="16"/>
        </w:rPr>
        <w:softHyphen/>
        <w:t>ацией с твердотопливными ракетами (к тому времени было «установлено на</w:t>
      </w:r>
      <w:r w:rsidRPr="00925F26">
        <w:rPr>
          <w:color w:val="000000" w:themeColor="text1"/>
          <w:sz w:val="16"/>
          <w:szCs w:val="16"/>
        </w:rPr>
        <w:softHyphen/>
        <w:t>личие у немцев образцов длиной до 14 м при диаметре до полуметра»), нарком боеприпасов Б.Л. Ванников 16 марта 1945 г. обратился к заместителю предсе</w:t>
      </w:r>
      <w:r w:rsidRPr="00925F26">
        <w:rPr>
          <w:color w:val="000000" w:themeColor="text1"/>
          <w:sz w:val="16"/>
          <w:szCs w:val="16"/>
        </w:rPr>
        <w:softHyphen/>
        <w:t>дателя ГКО Л.П. Берии с предложения</w:t>
      </w:r>
      <w:r w:rsidRPr="00925F26">
        <w:rPr>
          <w:color w:val="000000" w:themeColor="text1"/>
          <w:sz w:val="16"/>
          <w:szCs w:val="16"/>
        </w:rPr>
        <w:softHyphen/>
        <w:t>ми о создании новой проектно-конст-рукторской организации — Централь</w:t>
      </w:r>
      <w:r w:rsidRPr="00925F26">
        <w:rPr>
          <w:color w:val="000000" w:themeColor="text1"/>
          <w:sz w:val="16"/>
          <w:szCs w:val="16"/>
        </w:rPr>
        <w:softHyphen/>
        <w:t>ного конструкторского бюро по реак</w:t>
      </w:r>
      <w:r w:rsidRPr="00925F26">
        <w:rPr>
          <w:color w:val="000000" w:themeColor="text1"/>
          <w:sz w:val="16"/>
          <w:szCs w:val="16"/>
        </w:rPr>
        <w:softHyphen/>
        <w:t>тивным снарядам. Разместить это КБ предлагалось в Москве на территории завода №67 (бывший «Мастяжарт» — Мастерские тяжелой артиллерии) на Вельяминовской улице (11090).</w:t>
      </w:r>
    </w:p>
    <w:p w14:paraId="40F37456" w14:textId="77777777" w:rsidR="006103B3" w:rsidRPr="00925F26" w:rsidRDefault="006103B3" w:rsidP="00925F26">
      <w:pPr>
        <w:shd w:val="clear" w:color="auto" w:fill="FFFFFF"/>
        <w:autoSpaceDE w:val="0"/>
        <w:autoSpaceDN w:val="0"/>
        <w:adjustRightInd w:val="0"/>
        <w:jc w:val="both"/>
        <w:rPr>
          <w:color w:val="000000" w:themeColor="text1"/>
          <w:sz w:val="16"/>
          <w:szCs w:val="16"/>
        </w:rPr>
      </w:pPr>
    </w:p>
    <w:p w14:paraId="56C2D95D" w14:textId="77777777" w:rsidR="002A5DBF" w:rsidRPr="00925F26" w:rsidRDefault="002A5DBF" w:rsidP="00925F26">
      <w:pPr>
        <w:pStyle w:val="book"/>
        <w:ind w:firstLine="0"/>
        <w:jc w:val="both"/>
        <w:rPr>
          <w:color w:val="000000" w:themeColor="text1"/>
          <w:sz w:val="16"/>
          <w:szCs w:val="16"/>
        </w:rPr>
      </w:pPr>
      <w:r w:rsidRPr="00925F26">
        <w:rPr>
          <w:color w:val="000000" w:themeColor="text1"/>
          <w:sz w:val="16"/>
          <w:szCs w:val="16"/>
        </w:rPr>
        <w:t>В середине 1945 г. в СССР попали немецкие планирующие бомбы. В СССР трофейные бомбы «Фриц-Х» были испытаны в 1950 г. в КБ-2 Министерства сельскохозяйственного машиностроения. После этого на базе SD-1400 началось проектирование отечественных планирующих телеуправляемых бомб. 15 октября 1951 г. вышло Постановление Совмина СССР № 3969—1815, предусматривающее начало работ по созданию управляемых фугасных бомб УБ-2000Ф «Чайка» и УБ-5000Ф «Кондор», и бронебойной бомбы УБ-2000Б.</w:t>
      </w:r>
    </w:p>
    <w:p w14:paraId="0C19A1A0" w14:textId="77777777" w:rsidR="002A5DBF" w:rsidRPr="00925F26" w:rsidRDefault="002A5DBF" w:rsidP="00925F26">
      <w:pPr>
        <w:pStyle w:val="book"/>
        <w:ind w:firstLine="0"/>
        <w:jc w:val="both"/>
        <w:rPr>
          <w:color w:val="000000" w:themeColor="text1"/>
          <w:sz w:val="16"/>
          <w:szCs w:val="16"/>
        </w:rPr>
      </w:pPr>
      <w:r w:rsidRPr="00925F26">
        <w:rPr>
          <w:color w:val="000000" w:themeColor="text1"/>
          <w:sz w:val="16"/>
          <w:szCs w:val="16"/>
        </w:rPr>
        <w:t xml:space="preserve">Разработка бомб велась в КБ-2 Минсельхозмаша (позже переименовано в ГСНИИ-642) под руководством Адена Надирадзе. Радиокомандной системой управления занималось НИИ-648. </w:t>
      </w:r>
      <w:proofErr w:type="gramStart"/>
      <w:r w:rsidRPr="00925F26">
        <w:rPr>
          <w:color w:val="000000" w:themeColor="text1"/>
          <w:sz w:val="16"/>
          <w:szCs w:val="16"/>
        </w:rPr>
        <w:t>Согласно постановления</w:t>
      </w:r>
      <w:proofErr w:type="gramEnd"/>
      <w:r w:rsidRPr="00925F26">
        <w:rPr>
          <w:color w:val="000000" w:themeColor="text1"/>
          <w:sz w:val="16"/>
          <w:szCs w:val="16"/>
        </w:rPr>
        <w:t xml:space="preserve"> Совмина от 27 ноября 1953 г. — работы по бронебойной бомбе были прекращены. Управляемые бомбы «Чайка» и «Кондор» были очень похожи на свой прототип — немецкую бомбу «Фриц X»: крестообразные крылья, интерцепторное управление, система радиокомандного наведения и т.д. Подобно «Фрицу», наведение бомбы происходило по методу «трех точек» по радиокомандам самолета-носителя с помощью специального оптического прицела и трассеров, установленных на обеих законцовках стабилизаторов бомб. При полете самолета-носителя на высоте 7000 м она сбрасывалась на удалении 2,6 км от цели, пролетала вперед более 4 км, а затем возвращалась к цели, поражая ее к тому моменту, когда самолет уже уходил на 5 км от цели. При этом наклонная дальность от самолета до цели увеличивалась до 9 км. Наведение бомбы через оптический прицел с самолета-носителя существенно зависело от прозрачности атмосферы и исключалось при наличии тумана, дымовой завесы, поставленной противником, и т.д. В процессе всего наведения бомбы на цель самолет-носитель не должен был менять курс и скорость, что было крайне неудобно при открытии огня зенитной артиллерией и при атаке истребителей. По проекту носителем «Чайки» должен был быть реактивный бомбардировщик Ил-28, а «Кондора» — реактивный бомбардировщик Ту-16, но испытания их проводились за неимением Ту-16 на Ту-4 и Ил-28. Испытания на подтверждение заявленной точности проводились на полигоне Владимировка Астраханской области с ноября 1954 г. по февраль 1955 г. со сбросом 15 бомб с бомбардировщика Ил-28. Государственные испытания велись с 20 июля 1955 г. В ходе них было сброшено 20 бомб опытной партии. Постановлением Совмина № 2000—1070 от 1 декабря 1955 г. бомба УБ-2000Ф «Чайка» была принята на вооружение под индексами УБ-2Ф (4А-22). Самолеты Ту-16 могли нести по две УБ-2Ф на подкрыльевой подвеске, а Ил-28 — одну УБ-2Ф под фюзеляжем. В 1956 г. предусматривался выпуск установочной партии в 120 управляемых авиабомб и переоборудование двенадцати бомбардировщиков Ил-28 в их носители. По результатам испытаний на полигоне Владимировка для поражения цели размером 30 х 70 м требовалось сбросить две-три бомбы УБ-2Ф, что было эквивалентно применению 168 неуправляемых бомб ФАБ-1500. Этим же Постановлением Совмина предусматривалась разработка усовершенствованного варианта УБ-2Ф — «Чайка-2», оснащенного инфракрасной головкой самонаведения (ГСН) без использования командной радиолинии. Впереди боевой части «Чайки-2» размещалась инфракрасная ГСН. Чувствительность ее была довольно низкой. Она допускала применение по очень мощным источникам теплового излучения, например, металлургическим заводам, коксохимическим предприятиям, тепловым электростанциям, кораблям. После сброса бомба «Чайка-2» сначала выполняла автономный полет, переходя в планирование по направлению к цели, а затем, после захвата цели инфракрасной ГСН, бомба переходила на самонаведение. При установке инфракрасной ГСН отказались от системы радиокомандного управления, в результате вес бомбы «Чайка-2» увеличился всего на 50 кг, а длина — на 220 мм. Также прорабатывался вариант авиабомбы «Чайка-3» с пассивной радиолокационной головкой самонаведения (РГС) ПРГ-ЮВ. «Чайка-3» предназначалась для поражения радиолокаторов и станций постановки активных помех противника. Работы по «Чайке» шли с опережением рабом по «Кондору», который по своим основным конструктивным и схемным решениям представлял собой увеличенный вариант «Чайки». Летные испытания «Кондора» начались в сентябре 1954 г. Две экспериментальные бомбы были сброшены с бомбардировщика Ту-4. Скорость бомб достигла 0.9 М Испытания были признаны удовлетворительными. На заводских бомбах «Кондор» в целях снижения стоимости производства было решено перейти от клепаной конструкции крыла с обшивкой и силовым набором к монолитным крыльям из дюралевых пластин. В 1955 г. на полигон было направлено 18 бомб визуального наведения заводской партии и 2 макета для облетов на Ту-16, которые были выполнены в начале 1956 г. В марте 1956 г. на полигоне начались сбросы бомб с носителя Ту-16. Сразу возникли проблемы. За счет увеличения высоты полета самолета-носителя до 11 км и скорости до 800 км/час «Кондор», падая, разгонялся до </w:t>
      </w:r>
      <w:r w:rsidRPr="00925F26">
        <w:rPr>
          <w:color w:val="000000" w:themeColor="text1"/>
          <w:sz w:val="16"/>
          <w:szCs w:val="16"/>
        </w:rPr>
        <w:lastRenderedPageBreak/>
        <w:t>сверхзвуковой скорости (порядка 1,1 М). При отработке управляющей команды по каналу управления по курсу бомба теряла поперечную устойчивость и начинала вращаться. После этого на всех последующих бомбах увеличили интерцепторы управления по крену. Последующие сбросы выявили необходимость изменения аэродинамических форм бомбы. Параллельно с работами по радионаведению с помощью оптического прицела велись работы по наведению «Кондора» по телевизионному каналу. Осенью 1955 г. были испытаны три бомбы «Кондор» с телевизионной головкой самонаведения. Испытания прошли относительно удачно. Однако руководство приняло решение прекратить работы по «Кондору» с телевизионной системой управления. Проектирование пятитонной управляемой бомбы «внутренней подвески» УБВ-5 было начато по Постановлению Совмина СССР № 1311—747 от 19 июля 1955 г. Бомба проектировалась с фугасной и бронебойной боевыми частями. Бомбу УБВ-5 предполагалось оснастить телевизионной аппаратурой, разработанной во ВНИИ-380, или инфракрасной головкой самонаведения, разработанной в ЦКБ-585. Однако в середине 1950-х годов были прекращены все работы по «Кондору», «Чайке-2» и УБВ-5. В СССР начался «ракетный бум», и управляемые бомбы были сочтены устаревшим оружием (15225).</w:t>
      </w:r>
    </w:p>
    <w:p w14:paraId="4E5A2CA0" w14:textId="77777777" w:rsidR="002A5DBF" w:rsidRPr="00925F26" w:rsidRDefault="002A5DBF" w:rsidP="00925F26">
      <w:pPr>
        <w:pStyle w:val="book"/>
        <w:ind w:firstLine="0"/>
        <w:jc w:val="both"/>
        <w:rPr>
          <w:color w:val="000000" w:themeColor="text1"/>
          <w:sz w:val="16"/>
          <w:szCs w:val="16"/>
        </w:rPr>
      </w:pPr>
    </w:p>
    <w:p w14:paraId="746EC41F" w14:textId="77777777"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Другие оборонные отрасли:</w:t>
      </w:r>
    </w:p>
    <w:p w14:paraId="5866DCD6" w14:textId="77777777" w:rsidR="006103B3" w:rsidRPr="00925F26" w:rsidRDefault="006103B3" w:rsidP="00925F26">
      <w:pPr>
        <w:autoSpaceDE w:val="0"/>
        <w:autoSpaceDN w:val="0"/>
        <w:adjustRightInd w:val="0"/>
        <w:jc w:val="both"/>
        <w:rPr>
          <w:iCs/>
          <w:color w:val="000000" w:themeColor="text1"/>
          <w:sz w:val="16"/>
          <w:szCs w:val="16"/>
        </w:rPr>
      </w:pPr>
    </w:p>
    <w:p w14:paraId="7D32D614"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середине 1945 г. страна располагала семью автозаводами, которые после соответствующей реконструкции могли в ближайшие годы освоить выпуск автомобилей. Выросли новые предприятия-смежники, среди которых были шинный завод в Москве, заводы подшипников качения в Саратове, Куйбышеве, Свердловске, Томске, а также предприятия в других городах страны. Было создано Министерство автомобильной промышленности СССР - орган централизованного руководства отраслью по вертикали. Первым министром стал С. А. Акопов. Важным моментом, определившим послевоенное развитие советской автомобильной промышленности, явился осмотр 19 июня 1945 г. руководителями нашего правительства новых моделей автомобилей. Они получили одобрение, и 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224BC364" w14:textId="77777777" w:rsidR="006103B3" w:rsidRPr="00925F26" w:rsidRDefault="006103B3" w:rsidP="00925F26">
      <w:pPr>
        <w:autoSpaceDE w:val="0"/>
        <w:autoSpaceDN w:val="0"/>
        <w:adjustRightInd w:val="0"/>
        <w:jc w:val="both"/>
        <w:rPr>
          <w:color w:val="000000" w:themeColor="text1"/>
          <w:sz w:val="16"/>
          <w:szCs w:val="16"/>
        </w:rPr>
      </w:pPr>
    </w:p>
    <w:p w14:paraId="4F938C33"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В середине лета 1945 года техническое описание Маус отправилось в Москву. Тем временем захваченный Красной армией полигон в Куммерсдорфе постепенно исследовался советскими специалистами. Заодно допрашивались пленные немецкие военные и инженеры. Объём информации по сверхтяжёлым танкам стал резко расти. В руки советских военных попали и трофейные документы немецкого министерства вооружений, благодаря чему уже к концу лета 1945 года были получены точные данные о Pz.Kpfw. Maus. Кроме того, нашлась и часть заводских чертежей.</w:t>
      </w:r>
    </w:p>
    <w:p w14:paraId="6A765532"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В руки Красной армии попали оба опытных образца Pz.Kpfw. Maus. Первая из построенных машин была найдена на стрельбище Куммерсдорфского полигона. Хотя, согласно первоначально поступившей информации, Typ 205/I также подорвали, имеющиеся фотографии эту информацию опровергают. Машину если и пытались подорвать, то явно неудачно: повреждений, сопоставимых с повреждениями второго танка, полученными от подрыва боекомплекта, Typ 205/I не получил. Больше похоже на то, что машину уже на стрельбище частично разукомплектовали.</w:t>
      </w:r>
    </w:p>
    <w:p w14:paraId="58AF42BE"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К моменту обнаружения этого танка на его левом борту корпуса имелись четыре отметины от попадания крупнокалиберных бронебойных снарядов. Ещё одна отметина была на левом борту массогабаритного макета башни.</w:t>
      </w:r>
    </w:p>
    <w:p w14:paraId="56A05C39"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То, что эти отметины могут быть результатом обстрела танка советскими орудиями, исключено. Аналогичные по характеру попадания в количестве девяти штук имелись и на лобовом листе корпуса. Танк же стоял параллельно лесному массиву, и вести обстрел по лобовой проекции с другой точки было невозможно. К моменту обнаружения машины на стрельбище она находилось в нерабочем состоянии, и развернуть его для обстрела было физически невозможно. Одним словом, обстреливали машину сами немцы, не исключено даже, что огонь по Typ 205/I вёл второй прототип. К моменту обнаружения танка на защите ходовой части от фронтального огня имелись приварки креплений для запасных траков, причём и в районе этих узлов обнаружились три попадания.</w:t>
      </w:r>
    </w:p>
    <w:p w14:paraId="60FED172"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 xml:space="preserve">В течение лета и начала осени 1945 года обе машины постепенно начали разукомплектовывать. Связано это было с тем, что привести в рабочее состояние ни одну из них оказалось невозможно. Кроме того, агрегаты танков представляли интерес и по отдельности. Для упрощения процедуры демонтажа </w:t>
      </w:r>
      <w:proofErr w:type="gramStart"/>
      <w:r w:rsidRPr="00925F26">
        <w:rPr>
          <w:color w:val="000000" w:themeColor="text1"/>
          <w:sz w:val="16"/>
          <w:szCs w:val="16"/>
        </w:rPr>
        <w:t>массо-габаритный</w:t>
      </w:r>
      <w:proofErr w:type="gramEnd"/>
      <w:r w:rsidRPr="00925F26">
        <w:rPr>
          <w:color w:val="000000" w:themeColor="text1"/>
          <w:sz w:val="16"/>
          <w:szCs w:val="16"/>
        </w:rPr>
        <w:t xml:space="preserve"> макет башни с первого опытного образца танка скинули. Снятые узлы и агрегаты немедленно описывались. Осенью 1945 года снятые с танков агрегаты отправились в Ленинград на филиал опытного завода №100. Как раз в это время там шли работы по проектированию нового тяжёлого танка, и одна из его версий предусматривала использование электротрансмиссии.</w:t>
      </w:r>
    </w:p>
    <w:p w14:paraId="2AB5DAFB"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 xml:space="preserve">Совсем другая судьба ожидала сами танки. В конце лета 1945 года было решено собрать «гибрид» с использованием башни Typ 205/II и шасси Typ 205/I. Эта задача оказалась нетривиальной, поскольку просто так 50-тонную башню, покоящуюся на оторванном подбашенном листе, эвакуировать было непросто. Проблема была решена с помощью целой вереницы немецких полугусеничных </w:t>
      </w:r>
      <w:hyperlink r:id="rId161" w:history="1">
        <w:r w:rsidRPr="00925F26">
          <w:rPr>
            <w:color w:val="000000" w:themeColor="text1"/>
            <w:sz w:val="16"/>
            <w:szCs w:val="16"/>
          </w:rPr>
          <w:t>тягачей</w:t>
        </w:r>
      </w:hyperlink>
      <w:r w:rsidRPr="00925F26">
        <w:rPr>
          <w:color w:val="000000" w:themeColor="text1"/>
          <w:sz w:val="16"/>
          <w:szCs w:val="16"/>
        </w:rPr>
        <w:t xml:space="preserve"> (в основном Sd.Kfz.9). Не без труда эта кавалькада дотащила башню до Куммерсдорфа, где удалось отсоединить подбашенный погон. Уже в сентябре 1945 года собранный из частей обоих танков экземпляр Pz.Kpfw.Maus погрузили на специальную платформу, которая пережила войну.</w:t>
      </w:r>
    </w:p>
    <w:p w14:paraId="1D9E9D7C"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Интересно, что номера корпуса и башни разных танков совпадают: на корпусе с серийным номером 35141 установлена башня с тем же серийным номером 35141.</w:t>
      </w:r>
    </w:p>
    <w:p w14:paraId="690C70C4"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 xml:space="preserve">В таком виде в Куммерсдорфе танк простоял довольно долго. Несмотря на </w:t>
      </w:r>
      <w:proofErr w:type="gramStart"/>
      <w:r w:rsidRPr="00925F26">
        <w:rPr>
          <w:color w:val="000000" w:themeColor="text1"/>
          <w:sz w:val="16"/>
          <w:szCs w:val="16"/>
        </w:rPr>
        <w:t>то</w:t>
      </w:r>
      <w:proofErr w:type="gramEnd"/>
      <w:r w:rsidRPr="00925F26">
        <w:rPr>
          <w:color w:val="000000" w:themeColor="text1"/>
          <w:sz w:val="16"/>
          <w:szCs w:val="16"/>
        </w:rPr>
        <w:t xml:space="preserve"> что он был готов к отправке ещё осенью 1945 года, приказ о его перевозке на НИАБТ Полигон был отдан только полгода спустя. Согласно ведомости полигона, в Кубинку машина прибыла в мае 1946 года. Здесь изучение танка продолжилось, но в упрощённом режиме. Поскольку его агрегаты отправились в Ленинград, ни о каких ходовых испытаниях не было и речи. В основном в Кубинке готовились материалы, посвящённые изучению элементов ходовой части. Испытания стрельбой также были исключены, поскольку орудийная установка оказалась повреждена взрывом, и ствол 128-мм пушки фактически свободно болтался.</w:t>
      </w:r>
    </w:p>
    <w:p w14:paraId="1D4EFD6D"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Одним из немногих испытаний, которые провели на НИАБТ Полигоне, стал обстрел. Он производился в сокращённом объёме. По одному выстрелу было сделано по лобовой части корпуса и правому борту, а также в лоб башни и её правый борт. Все остальные следы от попаданий в танк имеют «немецкое» происхождение.</w:t>
      </w:r>
    </w:p>
    <w:p w14:paraId="7A5CF97D" w14:textId="77777777" w:rsidR="00A30E3B" w:rsidRPr="00925F26" w:rsidRDefault="00A30E3B" w:rsidP="00925F26">
      <w:pPr>
        <w:shd w:val="clear" w:color="auto" w:fill="FFFFFF"/>
        <w:jc w:val="both"/>
        <w:rPr>
          <w:color w:val="000000" w:themeColor="text1"/>
          <w:sz w:val="16"/>
          <w:szCs w:val="16"/>
        </w:rPr>
      </w:pPr>
      <w:r w:rsidRPr="00925F26">
        <w:rPr>
          <w:color w:val="000000" w:themeColor="text1"/>
          <w:sz w:val="16"/>
          <w:szCs w:val="16"/>
        </w:rPr>
        <w:t xml:space="preserve">В отличие от сверхтяжёлого танка </w:t>
      </w:r>
      <w:hyperlink r:id="rId162" w:history="1">
        <w:r w:rsidRPr="00925F26">
          <w:rPr>
            <w:color w:val="000000" w:themeColor="text1"/>
            <w:sz w:val="16"/>
            <w:szCs w:val="16"/>
          </w:rPr>
          <w:t>E-100</w:t>
        </w:r>
      </w:hyperlink>
      <w:r w:rsidRPr="00925F26">
        <w:rPr>
          <w:color w:val="000000" w:themeColor="text1"/>
          <w:sz w:val="16"/>
          <w:szCs w:val="16"/>
        </w:rPr>
        <w:t xml:space="preserve">, который англичане отправили на металлолом, его конкуренту повезло больше. После изучения Pz.Kpfw. Maus отбуксировали в музей при полигоне. На тот момент это была открытая площадка. Полноценный музей появился здесь уже в начале 70-х годов, когда </w:t>
      </w:r>
      <w:hyperlink r:id="rId163" w:history="1">
        <w:r w:rsidRPr="00925F26">
          <w:rPr>
            <w:color w:val="000000" w:themeColor="text1"/>
            <w:sz w:val="16"/>
            <w:szCs w:val="16"/>
          </w:rPr>
          <w:t>танк занял место в ангаре немецкой бронетанковой техники</w:t>
        </w:r>
      </w:hyperlink>
      <w:r w:rsidRPr="00925F26">
        <w:rPr>
          <w:color w:val="000000" w:themeColor="text1"/>
          <w:sz w:val="16"/>
          <w:szCs w:val="16"/>
        </w:rPr>
        <w:t xml:space="preserve"> (17676).</w:t>
      </w:r>
    </w:p>
    <w:p w14:paraId="5BDC27C5" w14:textId="77777777" w:rsidR="00A30E3B" w:rsidRPr="00925F26" w:rsidRDefault="00A30E3B" w:rsidP="00925F26">
      <w:pPr>
        <w:jc w:val="both"/>
        <w:rPr>
          <w:rStyle w:val="107"/>
          <w:rFonts w:eastAsiaTheme="minorHAnsi"/>
          <w:color w:val="000000" w:themeColor="text1"/>
          <w:sz w:val="16"/>
          <w:szCs w:val="16"/>
        </w:rPr>
      </w:pPr>
    </w:p>
    <w:p w14:paraId="27EE980B" w14:textId="24E08684" w:rsidR="001F396D" w:rsidRPr="00925F26" w:rsidRDefault="001F396D" w:rsidP="00925F26">
      <w:pPr>
        <w:jc w:val="both"/>
        <w:rPr>
          <w:color w:val="000000" w:themeColor="text1"/>
          <w:sz w:val="16"/>
          <w:szCs w:val="16"/>
        </w:rPr>
      </w:pPr>
      <w:proofErr w:type="gramStart"/>
      <w:r w:rsidRPr="00925F26">
        <w:rPr>
          <w:color w:val="000000" w:themeColor="text1"/>
          <w:sz w:val="16"/>
          <w:szCs w:val="16"/>
        </w:rPr>
        <w:t>К</w:t>
      </w:r>
      <w:r w:rsidR="00997EDF" w:rsidRPr="00925F26">
        <w:rPr>
          <w:color w:val="000000" w:themeColor="text1"/>
          <w:sz w:val="16"/>
          <w:szCs w:val="16"/>
        </w:rPr>
        <w:t xml:space="preserve">  </w:t>
      </w:r>
      <w:r w:rsidRPr="00925F26">
        <w:rPr>
          <w:color w:val="000000" w:themeColor="text1"/>
          <w:sz w:val="16"/>
          <w:szCs w:val="16"/>
        </w:rPr>
        <w:t>средине</w:t>
      </w:r>
      <w:proofErr w:type="gramEnd"/>
      <w:r w:rsidRPr="00925F26">
        <w:rPr>
          <w:color w:val="000000" w:themeColor="text1"/>
          <w:sz w:val="16"/>
          <w:szCs w:val="16"/>
        </w:rPr>
        <w:t xml:space="preserve"> 1945 года Алексеев провел необходимые испытания моделей катера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выполнил</w:t>
      </w:r>
      <w:proofErr w:type="gramEnd"/>
      <w:r w:rsidRPr="00925F26">
        <w:rPr>
          <w:color w:val="000000" w:themeColor="text1"/>
          <w:sz w:val="16"/>
          <w:szCs w:val="16"/>
        </w:rPr>
        <w:t xml:space="preserve">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помощью</w:t>
      </w:r>
      <w:proofErr w:type="gramEnd"/>
      <w:r w:rsidRPr="00925F26">
        <w:rPr>
          <w:color w:val="000000" w:themeColor="text1"/>
          <w:sz w:val="16"/>
          <w:szCs w:val="16"/>
        </w:rPr>
        <w:t xml:space="preserve"> немногочисленных помощников </w:t>
      </w:r>
      <w:proofErr w:type="gramStart"/>
      <w:r w:rsidRPr="00925F26">
        <w:rPr>
          <w:color w:val="000000" w:themeColor="text1"/>
          <w:sz w:val="16"/>
          <w:szCs w:val="16"/>
        </w:rPr>
        <w:t>из</w:t>
      </w:r>
      <w:r w:rsidR="00997EDF" w:rsidRPr="00925F26">
        <w:rPr>
          <w:color w:val="000000" w:themeColor="text1"/>
          <w:sz w:val="16"/>
          <w:szCs w:val="16"/>
        </w:rPr>
        <w:t xml:space="preserve">  </w:t>
      </w:r>
      <w:r w:rsidRPr="00925F26">
        <w:rPr>
          <w:color w:val="000000" w:themeColor="text1"/>
          <w:sz w:val="16"/>
          <w:szCs w:val="16"/>
        </w:rPr>
        <w:t>конструкторского</w:t>
      </w:r>
      <w:proofErr w:type="gramEnd"/>
      <w:r w:rsidRPr="00925F26">
        <w:rPr>
          <w:color w:val="000000" w:themeColor="text1"/>
          <w:sz w:val="16"/>
          <w:szCs w:val="16"/>
        </w:rPr>
        <w:t xml:space="preserve"> отдела завода «Красное Сормово» рабочие чертежи, нужные для развертывания постройки катера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подводными</w:t>
      </w:r>
      <w:proofErr w:type="gramEnd"/>
      <w:r w:rsidRPr="00925F26">
        <w:rPr>
          <w:color w:val="000000" w:themeColor="text1"/>
          <w:sz w:val="16"/>
          <w:szCs w:val="16"/>
        </w:rPr>
        <w:t xml:space="preserve"> крыльями нового типа, получившего заводское наименование А-5.</w:t>
      </w:r>
    </w:p>
    <w:p w14:paraId="074BB1EB" w14:textId="67F0ABB2" w:rsidR="001F396D" w:rsidRPr="00925F26" w:rsidRDefault="001F396D" w:rsidP="00925F26">
      <w:pPr>
        <w:jc w:val="both"/>
        <w:rPr>
          <w:color w:val="000000" w:themeColor="text1"/>
          <w:sz w:val="16"/>
          <w:szCs w:val="16"/>
        </w:rPr>
      </w:pPr>
      <w:r w:rsidRPr="00925F26">
        <w:rPr>
          <w:color w:val="000000" w:themeColor="text1"/>
          <w:sz w:val="16"/>
          <w:szCs w:val="16"/>
        </w:rPr>
        <w:t xml:space="preserve">Катер был выполнен </w:t>
      </w:r>
      <w:proofErr w:type="gramStart"/>
      <w:r w:rsidRPr="00925F26">
        <w:rPr>
          <w:color w:val="000000" w:themeColor="text1"/>
          <w:sz w:val="16"/>
          <w:szCs w:val="16"/>
        </w:rPr>
        <w:t>по</w:t>
      </w:r>
      <w:r w:rsidR="00997EDF" w:rsidRPr="00925F26">
        <w:rPr>
          <w:color w:val="000000" w:themeColor="text1"/>
          <w:sz w:val="16"/>
          <w:szCs w:val="16"/>
        </w:rPr>
        <w:t xml:space="preserve">  </w:t>
      </w:r>
      <w:r w:rsidRPr="00925F26">
        <w:rPr>
          <w:color w:val="000000" w:themeColor="text1"/>
          <w:sz w:val="16"/>
          <w:szCs w:val="16"/>
        </w:rPr>
        <w:t>схеме</w:t>
      </w:r>
      <w:proofErr w:type="gramEnd"/>
      <w:r w:rsidRPr="00925F26">
        <w:rPr>
          <w:color w:val="000000" w:themeColor="text1"/>
          <w:sz w:val="16"/>
          <w:szCs w:val="16"/>
        </w:rPr>
        <w:t xml:space="preserve">, изобретенной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разработанной</w:t>
      </w:r>
      <w:proofErr w:type="gramEnd"/>
      <w:r w:rsidRPr="00925F26">
        <w:rPr>
          <w:color w:val="000000" w:themeColor="text1"/>
          <w:sz w:val="16"/>
          <w:szCs w:val="16"/>
        </w:rPr>
        <w:t xml:space="preserve"> Алексеевым,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малопогруженных</w:t>
      </w:r>
      <w:proofErr w:type="gramEnd"/>
      <w:r w:rsidRPr="00925F26">
        <w:rPr>
          <w:color w:val="000000" w:themeColor="text1"/>
          <w:sz w:val="16"/>
          <w:szCs w:val="16"/>
        </w:rPr>
        <w:t xml:space="preserve"> подводных крыльях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жестким</w:t>
      </w:r>
      <w:proofErr w:type="gramEnd"/>
      <w:r w:rsidRPr="00925F26">
        <w:rPr>
          <w:color w:val="000000" w:themeColor="text1"/>
          <w:sz w:val="16"/>
          <w:szCs w:val="16"/>
        </w:rPr>
        <w:t xml:space="preserve"> креплением крыльев </w:t>
      </w:r>
      <w:proofErr w:type="gramStart"/>
      <w:r w:rsidRPr="00925F26">
        <w:rPr>
          <w:color w:val="000000" w:themeColor="text1"/>
          <w:sz w:val="16"/>
          <w:szCs w:val="16"/>
        </w:rPr>
        <w:t>к</w:t>
      </w:r>
      <w:r w:rsidR="00997EDF" w:rsidRPr="00925F26">
        <w:rPr>
          <w:color w:val="000000" w:themeColor="text1"/>
          <w:sz w:val="16"/>
          <w:szCs w:val="16"/>
        </w:rPr>
        <w:t xml:space="preserve">  </w:t>
      </w:r>
      <w:r w:rsidRPr="00925F26">
        <w:rPr>
          <w:color w:val="000000" w:themeColor="text1"/>
          <w:sz w:val="16"/>
          <w:szCs w:val="16"/>
        </w:rPr>
        <w:t>корпусу</w:t>
      </w:r>
      <w:proofErr w:type="gramEnd"/>
      <w:r w:rsidRPr="00925F26">
        <w:rPr>
          <w:color w:val="000000" w:themeColor="text1"/>
          <w:sz w:val="16"/>
          <w:szCs w:val="16"/>
        </w:rPr>
        <w:t xml:space="preserve"> при обеспечении собственной продольной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поперечной</w:t>
      </w:r>
      <w:proofErr w:type="gramEnd"/>
      <w:r w:rsidRPr="00925F26">
        <w:rPr>
          <w:color w:val="000000" w:themeColor="text1"/>
          <w:sz w:val="16"/>
          <w:szCs w:val="16"/>
        </w:rPr>
        <w:t xml:space="preserve"> остойчивости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всех</w:t>
      </w:r>
      <w:proofErr w:type="gramEnd"/>
      <w:r w:rsidRPr="00925F26">
        <w:rPr>
          <w:color w:val="000000" w:themeColor="text1"/>
          <w:sz w:val="16"/>
          <w:szCs w:val="16"/>
        </w:rPr>
        <w:t xml:space="preserve"> режимах движения.</w:t>
      </w:r>
      <w:r w:rsidR="00997EDF" w:rsidRPr="00925F26">
        <w:rPr>
          <w:color w:val="000000" w:themeColor="text1"/>
          <w:sz w:val="16"/>
          <w:szCs w:val="16"/>
        </w:rPr>
        <w:t xml:space="preserve">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1946</w:t>
      </w:r>
      <w:proofErr w:type="gramEnd"/>
      <w:r w:rsidR="00997EDF" w:rsidRPr="00925F26">
        <w:rPr>
          <w:color w:val="000000" w:themeColor="text1"/>
          <w:sz w:val="16"/>
          <w:szCs w:val="16"/>
        </w:rPr>
        <w:t xml:space="preserve">  </w:t>
      </w:r>
      <w:r w:rsidRPr="00925F26">
        <w:rPr>
          <w:color w:val="000000" w:themeColor="text1"/>
          <w:sz w:val="16"/>
          <w:szCs w:val="16"/>
        </w:rPr>
        <w:t xml:space="preserve">году, </w:t>
      </w:r>
      <w:proofErr w:type="gramStart"/>
      <w:r w:rsidRPr="00925F26">
        <w:rPr>
          <w:color w:val="000000" w:themeColor="text1"/>
          <w:sz w:val="16"/>
          <w:szCs w:val="16"/>
        </w:rPr>
        <w:t>к</w:t>
      </w:r>
      <w:r w:rsidR="00997EDF" w:rsidRPr="00925F26">
        <w:rPr>
          <w:color w:val="000000" w:themeColor="text1"/>
          <w:sz w:val="16"/>
          <w:szCs w:val="16"/>
        </w:rPr>
        <w:t xml:space="preserve">  </w:t>
      </w:r>
      <w:r w:rsidRPr="00925F26">
        <w:rPr>
          <w:color w:val="000000" w:themeColor="text1"/>
          <w:sz w:val="16"/>
          <w:szCs w:val="16"/>
        </w:rPr>
        <w:t>лету</w:t>
      </w:r>
      <w:proofErr w:type="gramEnd"/>
      <w:r w:rsidRPr="00925F26">
        <w:rPr>
          <w:color w:val="000000" w:themeColor="text1"/>
          <w:sz w:val="16"/>
          <w:szCs w:val="16"/>
        </w:rPr>
        <w:t>, катер А-5 был построен.</w:t>
      </w:r>
    </w:p>
    <w:p w14:paraId="7DF548A1" w14:textId="4BD4EE32" w:rsidR="001F396D" w:rsidRPr="00925F26" w:rsidRDefault="001F396D" w:rsidP="00925F26">
      <w:pPr>
        <w:jc w:val="both"/>
        <w:rPr>
          <w:color w:val="000000" w:themeColor="text1"/>
          <w:sz w:val="16"/>
          <w:szCs w:val="16"/>
        </w:rPr>
      </w:pPr>
      <w:proofErr w:type="gramStart"/>
      <w:r w:rsidRPr="00925F26">
        <w:rPr>
          <w:color w:val="000000" w:themeColor="text1"/>
          <w:sz w:val="16"/>
          <w:szCs w:val="16"/>
        </w:rPr>
        <w:t>Первые</w:t>
      </w:r>
      <w:r w:rsidR="00997EDF" w:rsidRPr="00925F26">
        <w:rPr>
          <w:color w:val="000000" w:themeColor="text1"/>
          <w:sz w:val="16"/>
          <w:szCs w:val="16"/>
        </w:rPr>
        <w:t xml:space="preserve">  </w:t>
      </w:r>
      <w:r w:rsidRPr="00925F26">
        <w:rPr>
          <w:color w:val="000000" w:themeColor="text1"/>
          <w:sz w:val="16"/>
          <w:szCs w:val="16"/>
        </w:rPr>
        <w:t>же</w:t>
      </w:r>
      <w:proofErr w:type="gramEnd"/>
      <w:r w:rsidRPr="00925F26">
        <w:rPr>
          <w:color w:val="000000" w:themeColor="text1"/>
          <w:sz w:val="16"/>
          <w:szCs w:val="16"/>
        </w:rPr>
        <w:t xml:space="preserve"> выходы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катере</w:t>
      </w:r>
      <w:proofErr w:type="gramEnd"/>
      <w:r w:rsidRPr="00925F26">
        <w:rPr>
          <w:color w:val="000000" w:themeColor="text1"/>
          <w:sz w:val="16"/>
          <w:szCs w:val="16"/>
        </w:rPr>
        <w:t xml:space="preserve"> показали, что новая схема подводных крыльев оправдала себя </w:t>
      </w:r>
      <w:proofErr w:type="gramStart"/>
      <w:r w:rsidRPr="00925F26">
        <w:rPr>
          <w:color w:val="000000" w:themeColor="text1"/>
          <w:sz w:val="16"/>
          <w:szCs w:val="16"/>
        </w:rPr>
        <w:t>по</w:t>
      </w:r>
      <w:r w:rsidR="00997EDF" w:rsidRPr="00925F26">
        <w:rPr>
          <w:color w:val="000000" w:themeColor="text1"/>
          <w:sz w:val="16"/>
          <w:szCs w:val="16"/>
        </w:rPr>
        <w:t xml:space="preserve">  </w:t>
      </w:r>
      <w:r w:rsidRPr="00925F26">
        <w:rPr>
          <w:color w:val="000000" w:themeColor="text1"/>
          <w:sz w:val="16"/>
          <w:szCs w:val="16"/>
        </w:rPr>
        <w:t>всем</w:t>
      </w:r>
      <w:proofErr w:type="gramEnd"/>
      <w:r w:rsidRPr="00925F26">
        <w:rPr>
          <w:color w:val="000000" w:themeColor="text1"/>
          <w:sz w:val="16"/>
          <w:szCs w:val="16"/>
        </w:rPr>
        <w:t xml:space="preserve"> направлениям.</w:t>
      </w:r>
    </w:p>
    <w:p w14:paraId="45F03489" w14:textId="587BE52E" w:rsidR="001F396D" w:rsidRPr="00925F26" w:rsidRDefault="001F396D" w:rsidP="00925F26">
      <w:pPr>
        <w:jc w:val="both"/>
        <w:rPr>
          <w:color w:val="000000" w:themeColor="text1"/>
          <w:sz w:val="16"/>
          <w:szCs w:val="16"/>
        </w:rPr>
      </w:pP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таком</w:t>
      </w:r>
      <w:proofErr w:type="gramEnd"/>
      <w:r w:rsidRPr="00925F26">
        <w:rPr>
          <w:color w:val="000000" w:themeColor="text1"/>
          <w:sz w:val="16"/>
          <w:szCs w:val="16"/>
        </w:rPr>
        <w:t xml:space="preserve"> положении Алексеев придумывает нестандартное решение: осуществить тайно переход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секретном</w:t>
      </w:r>
      <w:proofErr w:type="gramEnd"/>
      <w:r w:rsidRPr="00925F26">
        <w:rPr>
          <w:color w:val="000000" w:themeColor="text1"/>
          <w:sz w:val="16"/>
          <w:szCs w:val="16"/>
        </w:rPr>
        <w:t xml:space="preserve"> экспериментальном катере А-</w:t>
      </w:r>
      <w:proofErr w:type="gramStart"/>
      <w:r w:rsidRPr="00925F26">
        <w:rPr>
          <w:color w:val="000000" w:themeColor="text1"/>
          <w:sz w:val="16"/>
          <w:szCs w:val="16"/>
        </w:rPr>
        <w:t>5</w:t>
      </w:r>
      <w:r w:rsidR="00997EDF" w:rsidRPr="00925F26">
        <w:rPr>
          <w:color w:val="000000" w:themeColor="text1"/>
          <w:sz w:val="16"/>
          <w:szCs w:val="16"/>
        </w:rPr>
        <w:t xml:space="preserve">  </w:t>
      </w:r>
      <w:r w:rsidRPr="00925F26">
        <w:rPr>
          <w:color w:val="000000" w:themeColor="text1"/>
          <w:sz w:val="16"/>
          <w:szCs w:val="16"/>
        </w:rPr>
        <w:t>в</w:t>
      </w:r>
      <w:proofErr w:type="gramEnd"/>
      <w:r w:rsidRPr="00925F26">
        <w:rPr>
          <w:color w:val="000000" w:themeColor="text1"/>
          <w:sz w:val="16"/>
          <w:szCs w:val="16"/>
        </w:rPr>
        <w:t xml:space="preserve"> Москву, показать, что такой катер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подводными</w:t>
      </w:r>
      <w:proofErr w:type="gramEnd"/>
      <w:r w:rsidRPr="00925F26">
        <w:rPr>
          <w:color w:val="000000" w:themeColor="text1"/>
          <w:sz w:val="16"/>
          <w:szCs w:val="16"/>
        </w:rPr>
        <w:t xml:space="preserve"> крыльями обладает высокой скоростью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надежностью</w:t>
      </w:r>
      <w:proofErr w:type="gramEnd"/>
      <w:r w:rsidRPr="00925F26">
        <w:rPr>
          <w:color w:val="000000" w:themeColor="text1"/>
          <w:sz w:val="16"/>
          <w:szCs w:val="16"/>
        </w:rPr>
        <w:t xml:space="preserve">,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продемонстрировать</w:t>
      </w:r>
      <w:proofErr w:type="gramEnd"/>
      <w:r w:rsidRPr="00925F26">
        <w:rPr>
          <w:color w:val="000000" w:themeColor="text1"/>
          <w:sz w:val="16"/>
          <w:szCs w:val="16"/>
        </w:rPr>
        <w:t xml:space="preserve"> его непосредственно командованию заказчика </w:t>
      </w:r>
      <w:proofErr w:type="gramStart"/>
      <w:r w:rsidRPr="00925F26">
        <w:rPr>
          <w:color w:val="000000" w:themeColor="text1"/>
          <w:sz w:val="16"/>
          <w:szCs w:val="16"/>
        </w:rPr>
        <w:t>из</w:t>
      </w:r>
      <w:r w:rsidR="00997EDF" w:rsidRPr="00925F26">
        <w:rPr>
          <w:color w:val="000000" w:themeColor="text1"/>
          <w:sz w:val="16"/>
          <w:szCs w:val="16"/>
        </w:rPr>
        <w:t xml:space="preserve">  </w:t>
      </w:r>
      <w:r w:rsidRPr="00925F26">
        <w:rPr>
          <w:color w:val="000000" w:themeColor="text1"/>
          <w:sz w:val="16"/>
          <w:szCs w:val="16"/>
        </w:rPr>
        <w:t>Управления</w:t>
      </w:r>
      <w:proofErr w:type="gramEnd"/>
      <w:r w:rsidRPr="00925F26">
        <w:rPr>
          <w:color w:val="000000" w:themeColor="text1"/>
          <w:sz w:val="16"/>
          <w:szCs w:val="16"/>
        </w:rPr>
        <w:t xml:space="preserve"> кораблестроения ВМС.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вдвоем</w:t>
      </w:r>
      <w:proofErr w:type="gramEnd"/>
      <w:r w:rsidRPr="00925F26">
        <w:rPr>
          <w:color w:val="000000" w:themeColor="text1"/>
          <w:sz w:val="16"/>
          <w:szCs w:val="16"/>
        </w:rPr>
        <w:t xml:space="preserve"> </w:t>
      </w:r>
      <w:proofErr w:type="gramStart"/>
      <w:r w:rsidRPr="00925F26">
        <w:rPr>
          <w:color w:val="000000" w:themeColor="text1"/>
          <w:sz w:val="16"/>
          <w:szCs w:val="16"/>
        </w:rPr>
        <w:t>со</w:t>
      </w:r>
      <w:r w:rsidR="00997EDF" w:rsidRPr="00925F26">
        <w:rPr>
          <w:color w:val="000000" w:themeColor="text1"/>
          <w:sz w:val="16"/>
          <w:szCs w:val="16"/>
        </w:rPr>
        <w:t xml:space="preserve">  </w:t>
      </w:r>
      <w:r w:rsidRPr="00925F26">
        <w:rPr>
          <w:color w:val="000000" w:themeColor="text1"/>
          <w:sz w:val="16"/>
          <w:szCs w:val="16"/>
        </w:rPr>
        <w:t>своим</w:t>
      </w:r>
      <w:proofErr w:type="gramEnd"/>
      <w:r w:rsidRPr="00925F26">
        <w:rPr>
          <w:color w:val="000000" w:themeColor="text1"/>
          <w:sz w:val="16"/>
          <w:szCs w:val="16"/>
        </w:rPr>
        <w:t xml:space="preserve">, только что окончившим институт, верным помощником Лёней Поповым, летом 1946 года </w:t>
      </w:r>
      <w:proofErr w:type="gramStart"/>
      <w:r w:rsidRPr="00925F26">
        <w:rPr>
          <w:color w:val="000000" w:themeColor="text1"/>
          <w:sz w:val="16"/>
          <w:szCs w:val="16"/>
        </w:rPr>
        <w:t>он</w:t>
      </w:r>
      <w:r w:rsidR="00997EDF" w:rsidRPr="00925F26">
        <w:rPr>
          <w:color w:val="000000" w:themeColor="text1"/>
          <w:sz w:val="16"/>
          <w:szCs w:val="16"/>
        </w:rPr>
        <w:t xml:space="preserve">  </w:t>
      </w:r>
      <w:r w:rsidRPr="00925F26">
        <w:rPr>
          <w:color w:val="000000" w:themeColor="text1"/>
          <w:sz w:val="16"/>
          <w:szCs w:val="16"/>
        </w:rPr>
        <w:t>благополучно</w:t>
      </w:r>
      <w:proofErr w:type="gramEnd"/>
      <w:r w:rsidRPr="00925F26">
        <w:rPr>
          <w:color w:val="000000" w:themeColor="text1"/>
          <w:sz w:val="16"/>
          <w:szCs w:val="16"/>
        </w:rPr>
        <w:t xml:space="preserve">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быстро</w:t>
      </w:r>
      <w:proofErr w:type="gramEnd"/>
      <w:r w:rsidRPr="00925F26">
        <w:rPr>
          <w:color w:val="000000" w:themeColor="text1"/>
          <w:sz w:val="16"/>
          <w:szCs w:val="16"/>
        </w:rPr>
        <w:t xml:space="preserve"> осуществил переход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катере</w:t>
      </w:r>
      <w:proofErr w:type="gramEnd"/>
      <w:r w:rsidRPr="00925F26">
        <w:rPr>
          <w:color w:val="000000" w:themeColor="text1"/>
          <w:sz w:val="16"/>
          <w:szCs w:val="16"/>
        </w:rPr>
        <w:t xml:space="preserve">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Москву</w:t>
      </w:r>
      <w:proofErr w:type="gramEnd"/>
      <w:r w:rsidR="00997EDF" w:rsidRPr="00925F26">
        <w:rPr>
          <w:color w:val="000000" w:themeColor="text1"/>
          <w:sz w:val="16"/>
          <w:szCs w:val="16"/>
        </w:rPr>
        <w:t xml:space="preserve">  </w:t>
      </w:r>
      <w:r w:rsidRPr="00925F26">
        <w:rPr>
          <w:color w:val="000000" w:themeColor="text1"/>
          <w:sz w:val="16"/>
          <w:szCs w:val="16"/>
        </w:rPr>
        <w:t xml:space="preserve">и, оставив Лёню сторожить секретный катер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какой</w:t>
      </w:r>
      <w:proofErr w:type="gramEnd"/>
      <w:r w:rsidRPr="00925F26">
        <w:rPr>
          <w:color w:val="000000" w:themeColor="text1"/>
          <w:sz w:val="16"/>
          <w:szCs w:val="16"/>
        </w:rPr>
        <w:t xml:space="preserve">-то водной станции, отправился приглашать военных моряков продемонстрировать своё достижение. Военные сообщили «куда следует»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автор</w:t>
      </w:r>
      <w:proofErr w:type="gramEnd"/>
      <w:r w:rsidRPr="00925F26">
        <w:rPr>
          <w:color w:val="000000" w:themeColor="text1"/>
          <w:sz w:val="16"/>
          <w:szCs w:val="16"/>
        </w:rPr>
        <w:t xml:space="preserve"> вместе </w:t>
      </w:r>
      <w:proofErr w:type="gramStart"/>
      <w:r w:rsidRPr="00925F26">
        <w:rPr>
          <w:color w:val="000000" w:themeColor="text1"/>
          <w:sz w:val="16"/>
          <w:szCs w:val="16"/>
        </w:rPr>
        <w:t>с</w:t>
      </w:r>
      <w:r w:rsidR="00997EDF" w:rsidRPr="00925F26">
        <w:rPr>
          <w:color w:val="000000" w:themeColor="text1"/>
          <w:sz w:val="16"/>
          <w:szCs w:val="16"/>
        </w:rPr>
        <w:t xml:space="preserve">  </w:t>
      </w:r>
      <w:r w:rsidRPr="00925F26">
        <w:rPr>
          <w:color w:val="000000" w:themeColor="text1"/>
          <w:sz w:val="16"/>
          <w:szCs w:val="16"/>
        </w:rPr>
        <w:t>катером</w:t>
      </w:r>
      <w:proofErr w:type="gramEnd"/>
      <w:r w:rsidRPr="00925F26">
        <w:rPr>
          <w:color w:val="000000" w:themeColor="text1"/>
          <w:sz w:val="16"/>
          <w:szCs w:val="16"/>
        </w:rPr>
        <w:t xml:space="preserve"> был задержан. Однако,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конце</w:t>
      </w:r>
      <w:proofErr w:type="gramEnd"/>
      <w:r w:rsidRPr="00925F26">
        <w:rPr>
          <w:color w:val="000000" w:themeColor="text1"/>
          <w:sz w:val="16"/>
          <w:szCs w:val="16"/>
        </w:rPr>
        <w:t xml:space="preserve"> концов, командованию военных моряков катер удалось продемонстрировать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этим</w:t>
      </w:r>
      <w:proofErr w:type="gramEnd"/>
      <w:r w:rsidRPr="00925F26">
        <w:rPr>
          <w:color w:val="000000" w:themeColor="text1"/>
          <w:sz w:val="16"/>
          <w:szCs w:val="16"/>
        </w:rPr>
        <w:t xml:space="preserve"> убедить руководство Управления кораблестроения направить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завод</w:t>
      </w:r>
      <w:proofErr w:type="gramEnd"/>
      <w:r w:rsidRPr="00925F26">
        <w:rPr>
          <w:color w:val="000000" w:themeColor="text1"/>
          <w:sz w:val="16"/>
          <w:szCs w:val="16"/>
        </w:rPr>
        <w:t xml:space="preserve">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комиссию</w:t>
      </w:r>
      <w:proofErr w:type="gramEnd"/>
      <w:r w:rsidRPr="00925F26">
        <w:rPr>
          <w:color w:val="000000" w:themeColor="text1"/>
          <w:sz w:val="16"/>
          <w:szCs w:val="16"/>
        </w:rPr>
        <w:t xml:space="preserve"> для испытаний катера А-5 своего полномочного представителя.</w:t>
      </w:r>
    </w:p>
    <w:p w14:paraId="2B1C42EA" w14:textId="30EF865E" w:rsidR="001F396D" w:rsidRPr="00925F26" w:rsidRDefault="001F396D" w:rsidP="00925F26">
      <w:pPr>
        <w:jc w:val="both"/>
        <w:rPr>
          <w:color w:val="000000" w:themeColor="text1"/>
          <w:sz w:val="16"/>
          <w:szCs w:val="16"/>
        </w:rPr>
      </w:pPr>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сентябре 1946 года катер А-5 был всесторонне испытан комиссией в</w:t>
      </w:r>
      <w:r w:rsidR="00997EDF" w:rsidRPr="00925F26">
        <w:rPr>
          <w:color w:val="000000" w:themeColor="text1"/>
          <w:sz w:val="16"/>
          <w:szCs w:val="16"/>
        </w:rPr>
        <w:t xml:space="preserve">  </w:t>
      </w:r>
      <w:r w:rsidRPr="00925F26">
        <w:rPr>
          <w:color w:val="000000" w:themeColor="text1"/>
          <w:sz w:val="16"/>
          <w:szCs w:val="16"/>
        </w:rPr>
        <w:t>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w:t>
      </w:r>
      <w:r w:rsidR="00997EDF" w:rsidRPr="00925F26">
        <w:rPr>
          <w:color w:val="000000" w:themeColor="text1"/>
          <w:sz w:val="16"/>
          <w:szCs w:val="16"/>
        </w:rPr>
        <w:t xml:space="preserve">  </w:t>
      </w:r>
      <w:r w:rsidRPr="00925F26">
        <w:rPr>
          <w:color w:val="000000" w:themeColor="text1"/>
          <w:sz w:val="16"/>
          <w:szCs w:val="16"/>
        </w:rPr>
        <w:t>представителя испытателей конструкторского отдела завода Фикса.</w:t>
      </w:r>
    </w:p>
    <w:p w14:paraId="763FC7FF" w14:textId="140F6A8F" w:rsidR="001F396D" w:rsidRPr="00925F26" w:rsidRDefault="001F396D" w:rsidP="00925F26">
      <w:pPr>
        <w:jc w:val="both"/>
        <w:rPr>
          <w:color w:val="000000" w:themeColor="text1"/>
          <w:sz w:val="16"/>
          <w:szCs w:val="16"/>
        </w:rPr>
      </w:pPr>
      <w:r w:rsidRPr="00925F26">
        <w:rPr>
          <w:color w:val="000000" w:themeColor="text1"/>
          <w:sz w:val="16"/>
          <w:szCs w:val="16"/>
        </w:rPr>
        <w:lastRenderedPageBreak/>
        <w:t>Результаты работы были доложены Министру В.</w:t>
      </w:r>
      <w:r w:rsidR="00997EDF" w:rsidRPr="00925F26">
        <w:rPr>
          <w:color w:val="000000" w:themeColor="text1"/>
          <w:sz w:val="16"/>
          <w:szCs w:val="16"/>
        </w:rPr>
        <w:t xml:space="preserve">  </w:t>
      </w:r>
      <w:r w:rsidRPr="00925F26">
        <w:rPr>
          <w:color w:val="000000" w:themeColor="text1"/>
          <w:sz w:val="16"/>
          <w:szCs w:val="16"/>
        </w:rPr>
        <w:t xml:space="preserve">А. Малышеву,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докладе</w:t>
      </w:r>
      <w:proofErr w:type="gramEnd"/>
      <w:r w:rsidRPr="00925F26">
        <w:rPr>
          <w:color w:val="000000" w:themeColor="text1"/>
          <w:sz w:val="16"/>
          <w:szCs w:val="16"/>
        </w:rPr>
        <w:t xml:space="preserve"> было записано: «Созданный новой, оригинальной конструкции катер А-5 является первым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СССР</w:t>
      </w:r>
      <w:proofErr w:type="gramEnd"/>
      <w:r w:rsidRPr="00925F26">
        <w:rPr>
          <w:color w:val="000000" w:themeColor="text1"/>
          <w:sz w:val="16"/>
          <w:szCs w:val="16"/>
        </w:rPr>
        <w:t xml:space="preserve"> судном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подводных</w:t>
      </w:r>
      <w:proofErr w:type="gramEnd"/>
      <w:r w:rsidRPr="00925F26">
        <w:rPr>
          <w:color w:val="000000" w:themeColor="text1"/>
          <w:sz w:val="16"/>
          <w:szCs w:val="16"/>
        </w:rPr>
        <w:t xml:space="preserve"> крыльях, давшим положительные результаты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могущим</w:t>
      </w:r>
      <w:proofErr w:type="gramEnd"/>
      <w:r w:rsidRPr="00925F26">
        <w:rPr>
          <w:color w:val="000000" w:themeColor="text1"/>
          <w:sz w:val="16"/>
          <w:szCs w:val="16"/>
        </w:rPr>
        <w:t xml:space="preserve"> найти практическое применение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боевом</w:t>
      </w:r>
      <w:proofErr w:type="gramEnd"/>
      <w:r w:rsidRPr="00925F26">
        <w:rPr>
          <w:color w:val="000000" w:themeColor="text1"/>
          <w:sz w:val="16"/>
          <w:szCs w:val="16"/>
        </w:rPr>
        <w:t xml:space="preserve">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в</w:t>
      </w:r>
      <w:proofErr w:type="gramEnd"/>
      <w:r w:rsidR="00997EDF" w:rsidRPr="00925F26">
        <w:rPr>
          <w:color w:val="000000" w:themeColor="text1"/>
          <w:sz w:val="16"/>
          <w:szCs w:val="16"/>
        </w:rPr>
        <w:t xml:space="preserve">  </w:t>
      </w:r>
      <w:r w:rsidRPr="00925F26">
        <w:rPr>
          <w:color w:val="000000" w:themeColor="text1"/>
          <w:sz w:val="16"/>
          <w:szCs w:val="16"/>
        </w:rPr>
        <w:t>гражданском транспортном флоте».</w:t>
      </w:r>
    </w:p>
    <w:p w14:paraId="07E87C4C" w14:textId="41899BFF" w:rsidR="001F396D" w:rsidRPr="00925F26" w:rsidRDefault="001F396D" w:rsidP="00925F26">
      <w:pPr>
        <w:jc w:val="both"/>
        <w:rPr>
          <w:color w:val="000000" w:themeColor="text1"/>
          <w:sz w:val="16"/>
          <w:szCs w:val="16"/>
        </w:rPr>
      </w:pPr>
      <w:proofErr w:type="gramStart"/>
      <w:r w:rsidRPr="00925F26">
        <w:rPr>
          <w:color w:val="000000" w:themeColor="text1"/>
          <w:sz w:val="16"/>
          <w:szCs w:val="16"/>
        </w:rPr>
        <w:t>По</w:t>
      </w:r>
      <w:r w:rsidR="00997EDF" w:rsidRPr="00925F26">
        <w:rPr>
          <w:color w:val="000000" w:themeColor="text1"/>
          <w:sz w:val="16"/>
          <w:szCs w:val="16"/>
        </w:rPr>
        <w:t xml:space="preserve">  </w:t>
      </w:r>
      <w:r w:rsidRPr="00925F26">
        <w:rPr>
          <w:color w:val="000000" w:themeColor="text1"/>
          <w:sz w:val="16"/>
          <w:szCs w:val="16"/>
        </w:rPr>
        <w:t>инициативе</w:t>
      </w:r>
      <w:proofErr w:type="gramEnd"/>
      <w:r w:rsidRPr="00925F26">
        <w:rPr>
          <w:color w:val="000000" w:themeColor="text1"/>
          <w:sz w:val="16"/>
          <w:szCs w:val="16"/>
        </w:rPr>
        <w:t xml:space="preserve"> Алексеева конструкторский отдел завода «Красное Сормово» предложил Министерству Танкового машиностроения включить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план</w:t>
      </w:r>
      <w:proofErr w:type="gramEnd"/>
      <w:r w:rsidRPr="00925F26">
        <w:rPr>
          <w:color w:val="000000" w:themeColor="text1"/>
          <w:sz w:val="16"/>
          <w:szCs w:val="16"/>
        </w:rPr>
        <w:t xml:space="preserve"> конструкторского отдела 1947 года работу </w:t>
      </w:r>
      <w:proofErr w:type="gramStart"/>
      <w:r w:rsidRPr="00925F26">
        <w:rPr>
          <w:color w:val="000000" w:themeColor="text1"/>
          <w:sz w:val="16"/>
          <w:szCs w:val="16"/>
        </w:rPr>
        <w:t>по</w:t>
      </w:r>
      <w:r w:rsidR="00997EDF" w:rsidRPr="00925F26">
        <w:rPr>
          <w:color w:val="000000" w:themeColor="text1"/>
          <w:sz w:val="16"/>
          <w:szCs w:val="16"/>
        </w:rPr>
        <w:t xml:space="preserve">  </w:t>
      </w:r>
      <w:r w:rsidRPr="00925F26">
        <w:rPr>
          <w:color w:val="000000" w:themeColor="text1"/>
          <w:sz w:val="16"/>
          <w:szCs w:val="16"/>
        </w:rPr>
        <w:t>разработке</w:t>
      </w:r>
      <w:proofErr w:type="gramEnd"/>
      <w:r w:rsidRPr="00925F26">
        <w:rPr>
          <w:color w:val="000000" w:themeColor="text1"/>
          <w:sz w:val="16"/>
          <w:szCs w:val="16"/>
        </w:rPr>
        <w:t xml:space="preserve"> проекта быстроходного противолодочного катера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подводных</w:t>
      </w:r>
      <w:proofErr w:type="gramEnd"/>
      <w:r w:rsidRPr="00925F26">
        <w:rPr>
          <w:color w:val="000000" w:themeColor="text1"/>
          <w:sz w:val="16"/>
          <w:szCs w:val="16"/>
        </w:rPr>
        <w:t xml:space="preserve"> крыльях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базе</w:t>
      </w:r>
      <w:proofErr w:type="gramEnd"/>
      <w:r w:rsidRPr="00925F26">
        <w:rPr>
          <w:color w:val="000000" w:themeColor="text1"/>
          <w:sz w:val="16"/>
          <w:szCs w:val="16"/>
        </w:rPr>
        <w:t xml:space="preserve"> катера А-5 как самоходной модели. Такой боевой катер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заявках</w:t>
      </w:r>
      <w:proofErr w:type="gramEnd"/>
      <w:r w:rsidRPr="00925F26">
        <w:rPr>
          <w:color w:val="000000" w:themeColor="text1"/>
          <w:sz w:val="16"/>
          <w:szCs w:val="16"/>
        </w:rPr>
        <w:t xml:space="preserve"> </w:t>
      </w:r>
      <w:proofErr w:type="gramStart"/>
      <w:r w:rsidRPr="00925F26">
        <w:rPr>
          <w:color w:val="000000" w:themeColor="text1"/>
          <w:sz w:val="16"/>
          <w:szCs w:val="16"/>
        </w:rPr>
        <w:t>на</w:t>
      </w:r>
      <w:r w:rsidR="00997EDF" w:rsidRPr="00925F26">
        <w:rPr>
          <w:color w:val="000000" w:themeColor="text1"/>
          <w:sz w:val="16"/>
          <w:szCs w:val="16"/>
        </w:rPr>
        <w:t xml:space="preserve">  </w:t>
      </w:r>
      <w:r w:rsidRPr="00925F26">
        <w:rPr>
          <w:color w:val="000000" w:themeColor="text1"/>
          <w:sz w:val="16"/>
          <w:szCs w:val="16"/>
        </w:rPr>
        <w:t>план</w:t>
      </w:r>
      <w:proofErr w:type="gramEnd"/>
      <w:r w:rsidRPr="00925F26">
        <w:rPr>
          <w:color w:val="000000" w:themeColor="text1"/>
          <w:sz w:val="16"/>
          <w:szCs w:val="16"/>
        </w:rPr>
        <w:t xml:space="preserve"> конструкторского отдела завода «Красное Сормово» получил уже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заводское</w:t>
      </w:r>
      <w:proofErr w:type="gramEnd"/>
      <w:r w:rsidRPr="00925F26">
        <w:rPr>
          <w:color w:val="000000" w:themeColor="text1"/>
          <w:sz w:val="16"/>
          <w:szCs w:val="16"/>
        </w:rPr>
        <w:t xml:space="preserve"> имя А-6. Однако начал осуществляться утвержденный 10-летний план военного кораблестроения, принятый </w:t>
      </w:r>
      <w:proofErr w:type="gramStart"/>
      <w:r w:rsidRPr="00925F26">
        <w:rPr>
          <w:color w:val="000000" w:themeColor="text1"/>
          <w:sz w:val="16"/>
          <w:szCs w:val="16"/>
        </w:rPr>
        <w:t>в</w:t>
      </w:r>
      <w:r w:rsidR="00997EDF" w:rsidRPr="00925F26">
        <w:rPr>
          <w:color w:val="000000" w:themeColor="text1"/>
          <w:sz w:val="16"/>
          <w:szCs w:val="16"/>
        </w:rPr>
        <w:t xml:space="preserve">  </w:t>
      </w:r>
      <w:r w:rsidRPr="00925F26">
        <w:rPr>
          <w:color w:val="000000" w:themeColor="text1"/>
          <w:sz w:val="16"/>
          <w:szCs w:val="16"/>
        </w:rPr>
        <w:t>1946</w:t>
      </w:r>
      <w:proofErr w:type="gramEnd"/>
      <w:r w:rsidR="00997EDF" w:rsidRPr="00925F26">
        <w:rPr>
          <w:color w:val="000000" w:themeColor="text1"/>
          <w:sz w:val="16"/>
          <w:szCs w:val="16"/>
        </w:rPr>
        <w:t xml:space="preserve">  </w:t>
      </w:r>
      <w:r w:rsidRPr="00925F26">
        <w:rPr>
          <w:color w:val="000000" w:themeColor="text1"/>
          <w:sz w:val="16"/>
          <w:szCs w:val="16"/>
        </w:rPr>
        <w:t xml:space="preserve">году, </w:t>
      </w:r>
      <w:proofErr w:type="gramStart"/>
      <w:r w:rsidRPr="00925F26">
        <w:rPr>
          <w:color w:val="000000" w:themeColor="text1"/>
          <w:sz w:val="16"/>
          <w:szCs w:val="16"/>
        </w:rPr>
        <w:t>и</w:t>
      </w:r>
      <w:r w:rsidR="00997EDF" w:rsidRPr="00925F26">
        <w:rPr>
          <w:color w:val="000000" w:themeColor="text1"/>
          <w:sz w:val="16"/>
          <w:szCs w:val="16"/>
        </w:rPr>
        <w:t xml:space="preserve">  </w:t>
      </w:r>
      <w:r w:rsidRPr="00925F26">
        <w:rPr>
          <w:color w:val="000000" w:themeColor="text1"/>
          <w:sz w:val="16"/>
          <w:szCs w:val="16"/>
        </w:rPr>
        <w:t>предложение</w:t>
      </w:r>
      <w:proofErr w:type="gramEnd"/>
      <w:r w:rsidRPr="00925F26">
        <w:rPr>
          <w:color w:val="000000" w:themeColor="text1"/>
          <w:sz w:val="16"/>
          <w:szCs w:val="16"/>
        </w:rPr>
        <w:t xml:space="preserve"> завода «Красное Сормово» </w:t>
      </w:r>
      <w:proofErr w:type="gramStart"/>
      <w:r w:rsidRPr="00925F26">
        <w:rPr>
          <w:color w:val="000000" w:themeColor="text1"/>
          <w:sz w:val="16"/>
          <w:szCs w:val="16"/>
        </w:rPr>
        <w:t>не</w:t>
      </w:r>
      <w:r w:rsidR="00997EDF" w:rsidRPr="00925F26">
        <w:rPr>
          <w:color w:val="000000" w:themeColor="text1"/>
          <w:sz w:val="16"/>
          <w:szCs w:val="16"/>
        </w:rPr>
        <w:t xml:space="preserve">  </w:t>
      </w:r>
      <w:r w:rsidRPr="00925F26">
        <w:rPr>
          <w:color w:val="000000" w:themeColor="text1"/>
          <w:sz w:val="16"/>
          <w:szCs w:val="16"/>
        </w:rPr>
        <w:t>было</w:t>
      </w:r>
      <w:proofErr w:type="gramEnd"/>
      <w:r w:rsidRPr="00925F26">
        <w:rPr>
          <w:color w:val="000000" w:themeColor="text1"/>
          <w:sz w:val="16"/>
          <w:szCs w:val="16"/>
        </w:rPr>
        <w:t xml:space="preserve"> поддержано (19678).</w:t>
      </w:r>
    </w:p>
    <w:p w14:paraId="7CF5306B" w14:textId="77777777" w:rsidR="001F396D" w:rsidRPr="00925F26" w:rsidRDefault="001F396D" w:rsidP="00925F26">
      <w:pPr>
        <w:jc w:val="both"/>
        <w:rPr>
          <w:color w:val="000000" w:themeColor="text1"/>
          <w:sz w:val="16"/>
          <w:szCs w:val="16"/>
        </w:rPr>
      </w:pPr>
    </w:p>
    <w:p w14:paraId="3410ADFE" w14:textId="49A4D8DB" w:rsidR="0094430B" w:rsidRPr="00925F26" w:rsidRDefault="0094430B" w:rsidP="00925F26">
      <w:pPr>
        <w:autoSpaceDE w:val="0"/>
        <w:autoSpaceDN w:val="0"/>
        <w:adjustRightInd w:val="0"/>
        <w:jc w:val="both"/>
        <w:rPr>
          <w:i/>
          <w:iCs/>
          <w:color w:val="000000" w:themeColor="text1"/>
          <w:sz w:val="16"/>
          <w:szCs w:val="16"/>
        </w:rPr>
      </w:pPr>
      <w:r w:rsidRPr="00925F26">
        <w:rPr>
          <w:i/>
          <w:iCs/>
          <w:color w:val="000000" w:themeColor="text1"/>
          <w:sz w:val="16"/>
          <w:szCs w:val="16"/>
        </w:rPr>
        <w:t>Армия:</w:t>
      </w:r>
    </w:p>
    <w:p w14:paraId="4BAD68C8" w14:textId="77777777" w:rsidR="0094430B" w:rsidRPr="00925F26" w:rsidRDefault="0094430B" w:rsidP="00925F26">
      <w:pPr>
        <w:autoSpaceDE w:val="0"/>
        <w:autoSpaceDN w:val="0"/>
        <w:adjustRightInd w:val="0"/>
        <w:jc w:val="both"/>
        <w:rPr>
          <w:i/>
          <w:iCs/>
          <w:color w:val="000000" w:themeColor="text1"/>
          <w:sz w:val="16"/>
          <w:szCs w:val="16"/>
        </w:rPr>
      </w:pPr>
    </w:p>
    <w:p w14:paraId="56999519" w14:textId="77777777" w:rsidR="0094430B" w:rsidRPr="00925F26" w:rsidRDefault="0094430B" w:rsidP="00925F26">
      <w:pPr>
        <w:jc w:val="both"/>
        <w:rPr>
          <w:color w:val="000000" w:themeColor="text1"/>
          <w:sz w:val="16"/>
          <w:szCs w:val="16"/>
        </w:rPr>
      </w:pPr>
      <w:r w:rsidRPr="00925F26">
        <w:rPr>
          <w:color w:val="000000" w:themeColor="text1"/>
          <w:sz w:val="16"/>
          <w:szCs w:val="16"/>
        </w:rPr>
        <w:t>До середины 1945 г., несмотря на постоянно текущий че</w:t>
      </w:r>
      <w:r w:rsidRPr="00925F26">
        <w:rPr>
          <w:color w:val="000000" w:themeColor="text1"/>
          <w:sz w:val="16"/>
          <w:szCs w:val="16"/>
        </w:rPr>
        <w:softHyphen/>
        <w:t>рез Сибирь поток «Бостонов», на Дальний Восток они не посту</w:t>
      </w:r>
      <w:r w:rsidRPr="00925F26">
        <w:rPr>
          <w:color w:val="000000" w:themeColor="text1"/>
          <w:sz w:val="16"/>
          <w:szCs w:val="16"/>
        </w:rPr>
        <w:softHyphen/>
        <w:t>пали. И части ВВС, и морская авиация располагали в основном уже устаревши</w:t>
      </w:r>
      <w:r w:rsidRPr="00925F26">
        <w:rPr>
          <w:color w:val="000000" w:themeColor="text1"/>
          <w:sz w:val="16"/>
          <w:szCs w:val="16"/>
        </w:rPr>
        <w:softHyphen/>
        <w:t>ми типами бомбардировщиков и торпе</w:t>
      </w:r>
      <w:r w:rsidRPr="00925F26">
        <w:rPr>
          <w:color w:val="000000" w:themeColor="text1"/>
          <w:sz w:val="16"/>
          <w:szCs w:val="16"/>
        </w:rPr>
        <w:softHyphen/>
        <w:t>доносцев, такими как СБ и ДБ-ЗБ. Лишь в преддверии боевых действий против Японии на Дальний Восток начали по</w:t>
      </w:r>
      <w:r w:rsidRPr="00925F26">
        <w:rPr>
          <w:color w:val="000000" w:themeColor="text1"/>
          <w:sz w:val="16"/>
          <w:szCs w:val="16"/>
        </w:rPr>
        <w:softHyphen/>
        <w:t>ставлять современные самолеты. Среди них были и А-20 модификаций G, К, J и Н. Кроме этого в июле 1945 г. с Северного флота перебросили 36-й мтап в составе 14 A-20G. Его разместили на аэродроме «Романовка».</w:t>
      </w:r>
    </w:p>
    <w:p w14:paraId="5CF9D51E" w14:textId="77777777" w:rsidR="0094430B" w:rsidRPr="00925F26" w:rsidRDefault="0094430B" w:rsidP="00925F26">
      <w:pPr>
        <w:jc w:val="both"/>
        <w:rPr>
          <w:color w:val="000000" w:themeColor="text1"/>
          <w:sz w:val="16"/>
          <w:szCs w:val="16"/>
        </w:rPr>
      </w:pPr>
      <w:r w:rsidRPr="00925F26">
        <w:rPr>
          <w:color w:val="000000" w:themeColor="text1"/>
          <w:sz w:val="16"/>
          <w:szCs w:val="16"/>
        </w:rPr>
        <w:t>Авиация Тихоокеанского флота к моменту объявления войны Японии успела в общей сложности получить 46 «Бостонов»-торпедоносцев и 12 раз</w:t>
      </w:r>
      <w:r w:rsidRPr="00925F26">
        <w:rPr>
          <w:color w:val="000000" w:themeColor="text1"/>
          <w:sz w:val="16"/>
          <w:szCs w:val="16"/>
        </w:rPr>
        <w:softHyphen/>
        <w:t>ведчиков А-20К. Последние вошли в со</w:t>
      </w:r>
      <w:r w:rsidRPr="00925F26">
        <w:rPr>
          <w:color w:val="000000" w:themeColor="text1"/>
          <w:sz w:val="16"/>
          <w:szCs w:val="16"/>
        </w:rPr>
        <w:softHyphen/>
        <w:t>став 50-го орап. В ходе боевых действий этот полк вел разведку над южной ча</w:t>
      </w:r>
      <w:r w:rsidRPr="00925F26">
        <w:rPr>
          <w:color w:val="000000" w:themeColor="text1"/>
          <w:sz w:val="16"/>
          <w:szCs w:val="16"/>
        </w:rPr>
        <w:softHyphen/>
        <w:t>стью Сахалина, Курильскими острова</w:t>
      </w:r>
      <w:r w:rsidRPr="00925F26">
        <w:rPr>
          <w:color w:val="000000" w:themeColor="text1"/>
          <w:sz w:val="16"/>
          <w:szCs w:val="16"/>
        </w:rPr>
        <w:softHyphen/>
        <w:t>ми, портами северной Кореи и над самой Японией — островом Хоккайдо.</w:t>
      </w:r>
    </w:p>
    <w:p w14:paraId="7771D575" w14:textId="77777777" w:rsidR="0094430B" w:rsidRPr="00925F26" w:rsidRDefault="0094430B" w:rsidP="00925F26">
      <w:pPr>
        <w:jc w:val="both"/>
        <w:rPr>
          <w:color w:val="000000" w:themeColor="text1"/>
          <w:sz w:val="16"/>
          <w:szCs w:val="16"/>
        </w:rPr>
      </w:pPr>
      <w:r w:rsidRPr="00925F26">
        <w:rPr>
          <w:color w:val="000000" w:themeColor="text1"/>
          <w:sz w:val="16"/>
          <w:szCs w:val="16"/>
        </w:rPr>
        <w:t>Экипажи минно-торпедных полков А-20 к началу боевых операций освоить не успели. Лишь под самый конец они внесли свою скромную лепту. 18 августа 14 «Бостонов» 49-го полка участвовали в налете на железнодорожный узел Кисею. А последние бомбы в тот же день сброси</w:t>
      </w:r>
      <w:r w:rsidRPr="00925F26">
        <w:rPr>
          <w:color w:val="000000" w:themeColor="text1"/>
          <w:sz w:val="16"/>
          <w:szCs w:val="16"/>
        </w:rPr>
        <w:softHyphen/>
        <w:t>ли A-20G 36-го мтап, разрушившие мост у Сюоцюондзио. Морская авиация про</w:t>
      </w:r>
      <w:r w:rsidRPr="00925F26">
        <w:rPr>
          <w:color w:val="000000" w:themeColor="text1"/>
          <w:sz w:val="16"/>
          <w:szCs w:val="16"/>
        </w:rPr>
        <w:softHyphen/>
        <w:t>должала получать «Бостоны» до 31 авгу</w:t>
      </w:r>
      <w:r w:rsidRPr="00925F26">
        <w:rPr>
          <w:color w:val="000000" w:themeColor="text1"/>
          <w:sz w:val="16"/>
          <w:szCs w:val="16"/>
        </w:rPr>
        <w:softHyphen/>
        <w:t>ста. За период боевых действий успели принять еще 27 машин.</w:t>
      </w:r>
    </w:p>
    <w:p w14:paraId="6516E97B" w14:textId="77777777" w:rsidR="0094430B" w:rsidRPr="00925F26" w:rsidRDefault="0094430B" w:rsidP="00925F26">
      <w:pPr>
        <w:jc w:val="both"/>
        <w:rPr>
          <w:color w:val="000000" w:themeColor="text1"/>
          <w:sz w:val="16"/>
          <w:szCs w:val="16"/>
        </w:rPr>
      </w:pPr>
      <w:r w:rsidRPr="00925F26">
        <w:rPr>
          <w:color w:val="000000" w:themeColor="text1"/>
          <w:sz w:val="16"/>
          <w:szCs w:val="16"/>
        </w:rPr>
        <w:t>На «Бостоны» к началу боевых дейст</w:t>
      </w:r>
      <w:r w:rsidRPr="00925F26">
        <w:rPr>
          <w:color w:val="000000" w:themeColor="text1"/>
          <w:sz w:val="16"/>
          <w:szCs w:val="16"/>
        </w:rPr>
        <w:softHyphen/>
        <w:t>вий на Дальнем Востоке перешли и неко</w:t>
      </w:r>
      <w:r w:rsidRPr="00925F26">
        <w:rPr>
          <w:color w:val="000000" w:themeColor="text1"/>
          <w:sz w:val="16"/>
          <w:szCs w:val="16"/>
        </w:rPr>
        <w:softHyphen/>
        <w:t>торые части ВВС. Так, в августе 30 само</w:t>
      </w:r>
      <w:r w:rsidRPr="00925F26">
        <w:rPr>
          <w:color w:val="000000" w:themeColor="text1"/>
          <w:sz w:val="16"/>
          <w:szCs w:val="16"/>
        </w:rPr>
        <w:softHyphen/>
        <w:t>летов модификаций К-16, Н-11 и Н-16 получил 903-й бап 128-й сад на Камчатке, ранее вооруженный СБ. Их использовали в операциях на Курильских островах в ав</w:t>
      </w:r>
      <w:r w:rsidRPr="00925F26">
        <w:rPr>
          <w:color w:val="000000" w:themeColor="text1"/>
          <w:sz w:val="16"/>
          <w:szCs w:val="16"/>
        </w:rPr>
        <w:softHyphen/>
        <w:t>густе 1945 г. (23513).</w:t>
      </w:r>
    </w:p>
    <w:p w14:paraId="3B07F6D0" w14:textId="77777777" w:rsidR="0094430B" w:rsidRPr="00925F26" w:rsidRDefault="0094430B" w:rsidP="00925F26">
      <w:pPr>
        <w:jc w:val="both"/>
        <w:rPr>
          <w:color w:val="000000" w:themeColor="text1"/>
          <w:sz w:val="16"/>
          <w:szCs w:val="16"/>
        </w:rPr>
      </w:pPr>
    </w:p>
    <w:p w14:paraId="654F7DA4" w14:textId="7EEFAC2E" w:rsidR="006103B3" w:rsidRPr="00925F26" w:rsidRDefault="001561D1" w:rsidP="00925F26">
      <w:pPr>
        <w:autoSpaceDE w:val="0"/>
        <w:autoSpaceDN w:val="0"/>
        <w:adjustRightInd w:val="0"/>
        <w:jc w:val="both"/>
        <w:rPr>
          <w:iCs/>
          <w:color w:val="000000" w:themeColor="text1"/>
          <w:sz w:val="16"/>
          <w:szCs w:val="16"/>
        </w:rPr>
      </w:pPr>
      <w:r w:rsidRPr="00925F26">
        <w:rPr>
          <w:i/>
          <w:iCs/>
          <w:color w:val="000000" w:themeColor="text1"/>
          <w:sz w:val="16"/>
          <w:szCs w:val="16"/>
        </w:rPr>
        <w:t>Авиапромышленность:</w:t>
      </w:r>
    </w:p>
    <w:p w14:paraId="3593F7B0" w14:textId="77777777" w:rsidR="006103B3" w:rsidRPr="00925F26" w:rsidRDefault="006103B3" w:rsidP="00925F26">
      <w:pPr>
        <w:autoSpaceDE w:val="0"/>
        <w:autoSpaceDN w:val="0"/>
        <w:adjustRightInd w:val="0"/>
        <w:jc w:val="both"/>
        <w:rPr>
          <w:iCs/>
          <w:color w:val="000000" w:themeColor="text1"/>
          <w:sz w:val="16"/>
          <w:szCs w:val="16"/>
        </w:rPr>
      </w:pPr>
    </w:p>
    <w:p w14:paraId="0891DF20"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В течение первой половины 1945 года СКО заводов № 1 и № 18 выполнили большой объем исследовательской работы по обеспечению защиты мотора от попадания пыли и грязи при выполнении самолетом взлета и посадки. Наилучшие результаты получились у завода № 18.</w:t>
      </w:r>
    </w:p>
    <w:p w14:paraId="5F298D57"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Уже с 1-й машины 2-й серии производства завода № 18 было изменено управление всасывающей заслонкой: «поменено местами крепление пружин и троса управления к двухплечному рычагу заслонки, и прокладка троса произведена по носку крыла, что облегчило ее демонтаж».</w:t>
      </w:r>
    </w:p>
    <w:p w14:paraId="58201DB8"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«По первоначальным чертежам гл. конструктора» заслонка на земле (шасси выпущено) перекрывала вход снаружи и удерживалась в этом положении при помощи тросика. После изменения заслонка в положении на земле удерживалась пружиной и при работе мотора отклонялась за счет растяжения пружины, давая некоторый подсос воздуха через наружный вход.</w:t>
      </w:r>
    </w:p>
    <w:p w14:paraId="6320F0E3"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Вскоре выяснилось, что заслонка, при существующем управлении ею, все же не обеспечивает защиту наружного патрубка мотора от засорения снегом, грязью и пылью при движении самолета на земле.</w:t>
      </w:r>
    </w:p>
    <w:p w14:paraId="01C61487"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С 51-й машины 4-й серии была установлена дополнительная заслонка на наружный патрубок, кинематически связанная со старой заслонкой. При этом сетка, стоявшая на наружном патрубке, была перенесена за старую заслонку.</w:t>
      </w:r>
    </w:p>
    <w:p w14:paraId="270E2D47"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При испытании самолета с дополнительной заслонкой «было обнаружено уменьшение наддува на земле, так как подсос воздуха через наружный патрубок теперь исключился, а на пути воздуха из капота появилось лишнее сопротивление в виде сетки». Кроме того, в полете дополнительная наружная заслонка в открытом положении отжималась потоком воздуха, уменьшая проходное сечение патрубка, что также приводило к уменьшению давления наддува. В итоге от установки в серии дополнительной заслонки пришлось отказаться.</w:t>
      </w:r>
    </w:p>
    <w:p w14:paraId="65EBB30B" w14:textId="77777777" w:rsidR="00A30E3B" w:rsidRPr="00925F26" w:rsidRDefault="00A30E3B" w:rsidP="00925F26">
      <w:pPr>
        <w:jc w:val="both"/>
        <w:rPr>
          <w:rStyle w:val="107"/>
          <w:rFonts w:eastAsiaTheme="minorHAnsi"/>
          <w:color w:val="000000" w:themeColor="text1"/>
          <w:sz w:val="16"/>
          <w:szCs w:val="16"/>
        </w:rPr>
      </w:pPr>
      <w:r w:rsidRPr="00925F26">
        <w:rPr>
          <w:rStyle w:val="107"/>
          <w:rFonts w:eastAsiaTheme="minorHAnsi"/>
          <w:color w:val="000000" w:themeColor="text1"/>
          <w:sz w:val="16"/>
          <w:szCs w:val="16"/>
        </w:rPr>
        <w:t>К 24 февраля в СКО завода № 18 была разработана новая конструкция дополнительной заслонки наружного патрубка. Верхняя половина этой заслонки состояла из сетки типа «Дельбак», а внутренняя заслонка в положении на земле оставляла щель для прохода воздуха через наружный патрубок.</w:t>
      </w:r>
    </w:p>
    <w:p w14:paraId="1E408AF5"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В течение месяца измененный всасывающий патрубок проходил наземные и летные испытания на Ил-10 зав. № 1890404. Однако положительного результата получить все же не удалось. Наддув при взлете самолета с выпущенным и убранным шасси при оборотах 2 500 об/мин получался всего 1480 мм рт. ст. вместо необходимого взлетного наддува 1560±25 мм рт. ст.</w:t>
      </w:r>
    </w:p>
    <w:p w14:paraId="2D1FAA4D"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С целью определения влияния снижения взлетного наддува были проведены сравнительные замеры длины разбега самолета зав. № 1890404 с наружной заслонкой и без нее.</w:t>
      </w:r>
    </w:p>
    <w:p w14:paraId="32D528E3"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Оказалось, что с закрытой наружной заслонкой разбег составил 370,05 (усредненный за 10 взлетов), а с открытой заслонкой - 341,7 м (в среднем за 26 взлетов).</w:t>
      </w:r>
    </w:p>
    <w:p w14:paraId="368E48EF"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Пришлось разрабатывать новую конструкцию всасывающего патрубка. В очередном варианте на входе в патрубок была установлена глухая заслонка, кинематически связанная с системой уборки и выпуска шасси. Позади патрубка размещался воздухоочистительный фильтр из сетки «Дельбак». Когда шасси выпущено, заслонка перекрывала входное отверстие, а воздух поступал через сетчатый фильтр. При убранном положении шасси заслонка открывала свободный доступ воздуху. Внутри самого патрубка имелась сетка с ячейками 15^15 мм для удержания крупных предметов.</w:t>
      </w:r>
    </w:p>
    <w:p w14:paraId="0B90C2B5"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К 20 апреля новый вариант всасывающего патрубка был смонтирован на Ил-10 зав. № 1890404 и с положительным результатом испытан на земле и в воздухе.</w:t>
      </w:r>
    </w:p>
    <w:p w14:paraId="4B8A50FA"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14515BA4"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 xml:space="preserve">Кроме этого, в стенках тоннелей водорадиатора с обеих сторон были сделаны вырезы общей площадью 560 см </w:t>
      </w:r>
      <w:r w:rsidRPr="00925F26">
        <w:rPr>
          <w:rStyle w:val="107"/>
          <w:rFonts w:eastAsiaTheme="minorHAnsi"/>
          <w:color w:val="000000" w:themeColor="text1"/>
          <w:sz w:val="16"/>
          <w:szCs w:val="16"/>
          <w:vertAlign w:val="superscript"/>
        </w:rPr>
        <w:t>2</w:t>
      </w:r>
      <w:r w:rsidRPr="00925F26">
        <w:rPr>
          <w:rStyle w:val="107"/>
          <w:rFonts w:eastAsiaTheme="minorHAnsi"/>
          <w:color w:val="000000" w:themeColor="text1"/>
          <w:sz w:val="16"/>
          <w:szCs w:val="16"/>
        </w:rPr>
        <w:t>, закрытые сеткой «Дельбак» в один слой.</w:t>
      </w:r>
    </w:p>
    <w:p w14:paraId="10356DBC"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6CBF7FE3" w14:textId="77777777" w:rsidR="00A30E3B" w:rsidRPr="00925F26" w:rsidRDefault="00A30E3B" w:rsidP="00925F26">
      <w:pPr>
        <w:jc w:val="both"/>
        <w:rPr>
          <w:color w:val="000000" w:themeColor="text1"/>
          <w:sz w:val="16"/>
          <w:szCs w:val="16"/>
        </w:rPr>
      </w:pPr>
      <w:r w:rsidRPr="00925F26">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099A2952" w14:textId="77777777" w:rsidR="00A30E3B" w:rsidRPr="00925F26" w:rsidRDefault="00A30E3B" w:rsidP="00925F26">
      <w:pPr>
        <w:jc w:val="both"/>
        <w:rPr>
          <w:rStyle w:val="107"/>
          <w:rFonts w:eastAsiaTheme="minorHAnsi"/>
          <w:color w:val="000000" w:themeColor="text1"/>
          <w:sz w:val="16"/>
          <w:szCs w:val="16"/>
        </w:rPr>
      </w:pPr>
    </w:p>
    <w:p w14:paraId="7A2FDA05"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первом полугодии 1945 г. прошел испытания карбюраторный мотор АМ-38ФК-01. Выявился существенный антидетонационный эффект от применения форкамерного зажигания. Позднее был создан вариант АМ-38ФК-02 с непосредственным впрыском топлива в цилиндры и увеличенной степенью сжатия. При работе на боевом и взлетном режимах выявился серьезный дефект - детонация. В это время приняли решение об изменении базы мотора на АМ-42 (9030).</w:t>
      </w:r>
    </w:p>
    <w:p w14:paraId="18CBEA9B" w14:textId="77777777" w:rsidR="006103B3" w:rsidRPr="00925F26" w:rsidRDefault="006103B3" w:rsidP="00925F26">
      <w:pPr>
        <w:autoSpaceDE w:val="0"/>
        <w:autoSpaceDN w:val="0"/>
        <w:adjustRightInd w:val="0"/>
        <w:jc w:val="both"/>
        <w:rPr>
          <w:color w:val="000000" w:themeColor="text1"/>
          <w:sz w:val="16"/>
          <w:szCs w:val="16"/>
        </w:rPr>
      </w:pPr>
    </w:p>
    <w:p w14:paraId="61F3E84A"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первом полугодии 1945 г, прошел испытания карбюра</w:t>
      </w:r>
      <w:r w:rsidRPr="00925F26">
        <w:rPr>
          <w:color w:val="000000" w:themeColor="text1"/>
          <w:sz w:val="16"/>
          <w:szCs w:val="16"/>
        </w:rPr>
        <w:softHyphen/>
        <w:t>торный мотор АМ-38ФК-01 с новой пусковой системой и форкамерами с улучшенным охлаждением. Испытания за</w:t>
      </w:r>
      <w:r w:rsidRPr="00925F26">
        <w:rPr>
          <w:color w:val="000000" w:themeColor="text1"/>
          <w:sz w:val="16"/>
          <w:szCs w:val="16"/>
        </w:rPr>
        <w:softHyphen/>
        <w:t>вершились успешно: пусковая система работала безотказно, а охлаждение камер оказа</w:t>
      </w:r>
      <w:r w:rsidRPr="00925F26">
        <w:rPr>
          <w:color w:val="000000" w:themeColor="text1"/>
          <w:sz w:val="16"/>
          <w:szCs w:val="16"/>
        </w:rPr>
        <w:softHyphen/>
        <w:t>лось достаточным. Выявился существенный антидетонаци</w:t>
      </w:r>
      <w:r w:rsidRPr="00925F26">
        <w:rPr>
          <w:color w:val="000000" w:themeColor="text1"/>
          <w:sz w:val="16"/>
          <w:szCs w:val="16"/>
        </w:rPr>
        <w:softHyphen/>
        <w:t>онный эффект от применения форкамерного зажигания. Позднее был создан вариант АМ-38ФК-02 с непосредст</w:t>
      </w:r>
      <w:r w:rsidRPr="00925F26">
        <w:rPr>
          <w:color w:val="000000" w:themeColor="text1"/>
          <w:sz w:val="16"/>
          <w:szCs w:val="16"/>
        </w:rPr>
        <w:softHyphen/>
        <w:t>венным впрыском топлива в цилиндры и с увеличенной степенью сжа</w:t>
      </w:r>
      <w:r w:rsidRPr="00925F26">
        <w:rPr>
          <w:color w:val="000000" w:themeColor="text1"/>
          <w:sz w:val="16"/>
          <w:szCs w:val="16"/>
        </w:rPr>
        <w:softHyphen/>
        <w:t>тия. В июне 1945 г. этот мотор прошел 25-часовые стендовые испытания на экономическом режиме. Однако при работе на боевом и взлетном режимах выявился серьезный дефект — детонация. Преодо</w:t>
      </w:r>
      <w:r w:rsidRPr="00925F26">
        <w:rPr>
          <w:color w:val="000000" w:themeColor="text1"/>
          <w:sz w:val="16"/>
          <w:szCs w:val="16"/>
        </w:rPr>
        <w:softHyphen/>
        <w:t>леть этот недостаток с ходу не удалось, пришлось развернуть специ</w:t>
      </w:r>
      <w:r w:rsidRPr="00925F26">
        <w:rPr>
          <w:color w:val="000000" w:themeColor="text1"/>
          <w:sz w:val="16"/>
          <w:szCs w:val="16"/>
        </w:rPr>
        <w:softHyphen/>
        <w:t>альные исследования. Попутно было принято решение об изменении базы мотора на АМ-42, поскольку производство АМ-38Ф уже сворачи</w:t>
      </w:r>
      <w:r w:rsidRPr="00925F26">
        <w:rPr>
          <w:color w:val="000000" w:themeColor="text1"/>
          <w:sz w:val="16"/>
          <w:szCs w:val="16"/>
        </w:rPr>
        <w:softHyphen/>
        <w:t>валось (10781).</w:t>
      </w:r>
    </w:p>
    <w:p w14:paraId="6523509F" w14:textId="77777777" w:rsidR="006103B3" w:rsidRPr="00925F26" w:rsidRDefault="006103B3" w:rsidP="00925F26">
      <w:pPr>
        <w:autoSpaceDE w:val="0"/>
        <w:autoSpaceDN w:val="0"/>
        <w:adjustRightInd w:val="0"/>
        <w:jc w:val="both"/>
        <w:rPr>
          <w:color w:val="000000" w:themeColor="text1"/>
          <w:sz w:val="16"/>
          <w:szCs w:val="16"/>
        </w:rPr>
      </w:pPr>
    </w:p>
    <w:p w14:paraId="34744C97" w14:textId="77777777" w:rsidR="00E73081" w:rsidRPr="00925F26" w:rsidRDefault="00E73081" w:rsidP="00E73081">
      <w:pPr>
        <w:pStyle w:val="book"/>
        <w:ind w:firstLine="0"/>
        <w:jc w:val="both"/>
        <w:rPr>
          <w:color w:val="000000" w:themeColor="text1"/>
          <w:sz w:val="16"/>
          <w:szCs w:val="16"/>
        </w:rPr>
      </w:pPr>
      <w:r w:rsidRPr="00925F26">
        <w:rPr>
          <w:color w:val="000000" w:themeColor="text1"/>
          <w:sz w:val="16"/>
          <w:szCs w:val="16"/>
        </w:rPr>
        <w:t>В первой половине 1945 г. производство аэросаней стали сворачивать. Одновременно с этим стала осуществляться централизованная конверсия. В научно-производственный план ЦКБ ГСДП в 1945 г. в числе двух десятков пунктов наряду с оборонными заданиями была включена тема №9 с четырьмя разделами, подразумевавшая формирование профиля и программы предприятий главка после перехода на выпуск продукции мирного времени. В частности, предполагалось проектирование и изготовление опытных образцов мебели.</w:t>
      </w:r>
    </w:p>
    <w:p w14:paraId="6CAB1917" w14:textId="77777777" w:rsidR="00E73081" w:rsidRPr="00925F26" w:rsidRDefault="00E73081" w:rsidP="00E73081">
      <w:pPr>
        <w:pStyle w:val="book"/>
        <w:ind w:firstLine="0"/>
        <w:jc w:val="both"/>
        <w:rPr>
          <w:color w:val="000000" w:themeColor="text1"/>
          <w:sz w:val="16"/>
          <w:szCs w:val="16"/>
        </w:rPr>
      </w:pPr>
      <w:r w:rsidRPr="00925F26">
        <w:rPr>
          <w:color w:val="000000" w:themeColor="text1"/>
          <w:sz w:val="16"/>
          <w:szCs w:val="16"/>
        </w:rPr>
        <w:t>В январе 1946 г. на заводе №41 оставались последние шесть ремонтных аэросаней НКЛ-16 и одни новые НКЛ-16-42.</w:t>
      </w:r>
    </w:p>
    <w:p w14:paraId="7AEE7832" w14:textId="77777777" w:rsidR="00E73081" w:rsidRPr="00925F26" w:rsidRDefault="00E73081" w:rsidP="00E73081">
      <w:pPr>
        <w:pStyle w:val="book"/>
        <w:ind w:firstLine="0"/>
        <w:jc w:val="both"/>
        <w:rPr>
          <w:color w:val="000000" w:themeColor="text1"/>
          <w:sz w:val="16"/>
          <w:szCs w:val="16"/>
        </w:rPr>
      </w:pPr>
      <w:r w:rsidRPr="00925F26">
        <w:rPr>
          <w:color w:val="000000" w:themeColor="text1"/>
          <w:sz w:val="16"/>
          <w:szCs w:val="16"/>
        </w:rPr>
        <w:t>Построенная в 1945 г. техника выкупалась государством, отправлялась на временное хранение или непосредственно передавалась гражданским либо военным заказчикам (например, пограничникам). Таким образом, благодаря централизованно проведенной конверсии обеспечивалась загрузка производственных мощностей, а соответственно – не страдал социальный сектор. Обеспечивалось и трудоустройство части демобилизованных водителей (15468).</w:t>
      </w:r>
    </w:p>
    <w:p w14:paraId="29860549" w14:textId="77777777" w:rsidR="00E73081" w:rsidRPr="00925F26" w:rsidRDefault="00E73081" w:rsidP="00E73081">
      <w:pPr>
        <w:autoSpaceDE w:val="0"/>
        <w:autoSpaceDN w:val="0"/>
        <w:adjustRightInd w:val="0"/>
        <w:jc w:val="both"/>
        <w:rPr>
          <w:color w:val="000000" w:themeColor="text1"/>
          <w:sz w:val="16"/>
          <w:szCs w:val="16"/>
        </w:rPr>
      </w:pPr>
    </w:p>
    <w:p w14:paraId="45287D97" w14:textId="77777777" w:rsidR="00E73081" w:rsidRPr="001A0BAA" w:rsidRDefault="00E73081" w:rsidP="00E73081">
      <w:pPr>
        <w:jc w:val="both"/>
        <w:rPr>
          <w:color w:val="0070C0"/>
          <w:sz w:val="16"/>
          <w:szCs w:val="16"/>
        </w:rPr>
      </w:pPr>
      <w:r w:rsidRPr="001A0BAA">
        <w:rPr>
          <w:color w:val="0070C0"/>
          <w:sz w:val="16"/>
          <w:szCs w:val="16"/>
        </w:rPr>
        <w:t>В первой половине 1945 года в ОКБ Незваля полным ходом в инициативном порядке шло проектирование уже совершенно нового самолета. Был составлен эскизный проект и начаты работы по техническому проекту.</w:t>
      </w:r>
    </w:p>
    <w:p w14:paraId="3D66F335" w14:textId="77777777" w:rsidR="00E73081" w:rsidRPr="001A0BAA" w:rsidRDefault="00E73081" w:rsidP="00E73081">
      <w:pPr>
        <w:jc w:val="both"/>
        <w:rPr>
          <w:color w:val="0070C0"/>
          <w:sz w:val="16"/>
          <w:szCs w:val="16"/>
        </w:rPr>
      </w:pPr>
      <w:r w:rsidRPr="001A0BAA">
        <w:rPr>
          <w:color w:val="0070C0"/>
          <w:sz w:val="16"/>
          <w:szCs w:val="16"/>
        </w:rPr>
        <w:lastRenderedPageBreak/>
        <w:t>Незваль постоянно обращался к заместителю Наркома по опытному самолетостроению А.С. 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 Туполеву, и коллектив вплотную занялся Б-4 (Ту-4), а работы по тематикам новых бомбардировщиков Незваля были прекращены (25286).</w:t>
      </w:r>
    </w:p>
    <w:p w14:paraId="318CFA91" w14:textId="77777777" w:rsidR="00E73081" w:rsidRPr="001A0BAA" w:rsidRDefault="00E73081" w:rsidP="00E73081">
      <w:pPr>
        <w:jc w:val="both"/>
        <w:rPr>
          <w:color w:val="0070C0"/>
          <w:sz w:val="16"/>
          <w:szCs w:val="16"/>
        </w:rPr>
      </w:pPr>
    </w:p>
    <w:p w14:paraId="16D8D9A0" w14:textId="77777777" w:rsidR="00D713B1" w:rsidRPr="00925F26" w:rsidRDefault="00D713B1" w:rsidP="00925F26">
      <w:pPr>
        <w:pStyle w:val="rteindent11"/>
        <w:shd w:val="clear" w:color="auto" w:fill="FFFFFF"/>
        <w:spacing w:before="0" w:beforeAutospacing="0" w:after="0"/>
        <w:ind w:left="0" w:firstLine="0"/>
        <w:rPr>
          <w:rStyle w:val="a7"/>
          <w:b w:val="0"/>
          <w:color w:val="000000" w:themeColor="text1"/>
          <w:sz w:val="16"/>
          <w:szCs w:val="16"/>
        </w:rPr>
      </w:pPr>
      <w:r w:rsidRPr="00925F26">
        <w:rPr>
          <w:rStyle w:val="a7"/>
          <w:b w:val="0"/>
          <w:color w:val="000000" w:themeColor="text1"/>
          <w:sz w:val="16"/>
          <w:szCs w:val="16"/>
        </w:rPr>
        <w:t>В первом полугодии 1945 завод № 39 работал по серийно-операционной технологии, разработанной в III квартале 1944 года. В 1945 году завод продолжает выпуск бомбардировщиков Ер-2. Планом НКАП предусматривалась постройка 305-ти машин. В целях отработки машины и улучшения ее качества, а также соблюдения утвержденной технологической дисциплины, в январе был организован разбор повторяющихся дефектов. Всего рассмотрено 1070 дефектов, в том числе: конструктивных – 592, технологических – 177, производственных – 301. Устранение дефектов позволило снизить трудоемкость и повысить качество изготовления отдельных деталей, узлов и агрегатов (15223).</w:t>
      </w:r>
    </w:p>
    <w:p w14:paraId="18219E41" w14:textId="77777777" w:rsidR="00D713B1" w:rsidRPr="00925F26" w:rsidRDefault="00D713B1" w:rsidP="00925F26">
      <w:pPr>
        <w:pStyle w:val="rteindent11"/>
        <w:shd w:val="clear" w:color="auto" w:fill="FFFFFF"/>
        <w:spacing w:before="0" w:beforeAutospacing="0" w:after="0"/>
        <w:ind w:left="0" w:firstLine="0"/>
        <w:rPr>
          <w:rStyle w:val="a7"/>
          <w:b w:val="0"/>
          <w:color w:val="000000" w:themeColor="text1"/>
          <w:sz w:val="16"/>
          <w:szCs w:val="16"/>
        </w:rPr>
      </w:pPr>
    </w:p>
    <w:p w14:paraId="5CC0CFE5" w14:textId="77777777" w:rsidR="00D713B1" w:rsidRPr="00925F26" w:rsidRDefault="00D713B1" w:rsidP="00925F26">
      <w:pPr>
        <w:shd w:val="clear" w:color="auto" w:fill="FFFFFF"/>
        <w:jc w:val="both"/>
        <w:rPr>
          <w:color w:val="000000" w:themeColor="text1"/>
          <w:sz w:val="16"/>
          <w:szCs w:val="16"/>
        </w:rPr>
      </w:pPr>
      <w:r w:rsidRPr="00925F26">
        <w:rPr>
          <w:color w:val="000000" w:themeColor="text1"/>
          <w:sz w:val="16"/>
          <w:szCs w:val="16"/>
        </w:rPr>
        <w:t>В течение первого полугодия 1945 в цехах завода № 39 было внедрено 10 поточных линий по изготовлению деталей баков, общей сборки баков, сборки жалюзи водо - и маслорадиаторов, сборки передней части капота, других узлов и агрегатов. Шесть поточных линий механизированы и оснащены транспортными средствами. Вместе с ранее выпущенными, на заводе в 1945 году работали 29 поточных линий. Организация указанных линий потребовала изготовления 142-х единиц специальной оснастки и 92-х единиц специального инструмента, а также перестановки оборудования в количестве 85-ти единиц. Действующие поточные линии позволили сократить трудоемкость изготовляемых деталей на 916 часов, сократить средний цикл изготовления на 58 часов, уменьшить количество производственных рабочих на 153 человека. Удельный вес трудоемкости работ, выполняемых поточным методом, стал составлять 9,4% от общего объема работ единицы изделия. Кроме того, с внедрением поточных линий был обеспечен строго определенный порядок при изготовлении деталей, улучшены условия труда рабочих, упростилось диспетчирование внутри цехов, в ряде случаев «расшиты узкие места» (15223).</w:t>
      </w:r>
    </w:p>
    <w:p w14:paraId="6BF46B71" w14:textId="77777777" w:rsidR="00D713B1" w:rsidRPr="00925F26" w:rsidRDefault="00D713B1" w:rsidP="00925F26">
      <w:pPr>
        <w:shd w:val="clear" w:color="auto" w:fill="FFFFFF"/>
        <w:jc w:val="both"/>
        <w:rPr>
          <w:color w:val="000000" w:themeColor="text1"/>
          <w:sz w:val="16"/>
          <w:szCs w:val="16"/>
        </w:rPr>
      </w:pPr>
    </w:p>
    <w:p w14:paraId="1ACAB36E"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первой половине 1945 проходил летные испытания ДБ-108 - развитие Пе-2 В.М.М. Построили 3 (4,195).</w:t>
      </w:r>
    </w:p>
    <w:p w14:paraId="6D5253A8" w14:textId="77777777" w:rsidR="006103B3" w:rsidRPr="00925F26" w:rsidRDefault="006103B3" w:rsidP="00925F26">
      <w:pPr>
        <w:autoSpaceDE w:val="0"/>
        <w:autoSpaceDN w:val="0"/>
        <w:adjustRightInd w:val="0"/>
        <w:jc w:val="both"/>
        <w:rPr>
          <w:color w:val="000000" w:themeColor="text1"/>
          <w:sz w:val="16"/>
          <w:szCs w:val="16"/>
        </w:rPr>
      </w:pPr>
    </w:p>
    <w:p w14:paraId="0A6045ED"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первой половине 1945 года началось проектирование Ил-18. Опытный самолет Ил-18 является четырехмоторным пассажирским магистральным самолетом, предназначенным для эксплуатации на внутренних магистралях большой протяженности, для международных воздушных сообщений. В герметизированной пассажирской кабине самолета комфортабельно размещаются 66 пассажиров Ил-18 – цельнометаллический свободнонесущий моноплан с низким расположением крыла, с трехколесным шасси и однокилевым вертикальным оперением. В июле 1946 года самолет был в основном закончен и подготовлен к первому вылету. К апрелю 1947 был в основном закончен первый этап заводских испытаний самолета, в процессе которого проведены работы по проверке в воздухе и по доводке основных агрегатов и систем самолета. Заводские испытания проводятся в невысотном варианте из-за отсутствия на самолете турбокомпрессоров моторов, кабинных нагнетателей и автоматов-клапанов герметических кабин. За время первого этапа заводских испытаний самолет Ил-18 налетал около 43 часов.</w:t>
      </w:r>
    </w:p>
    <w:p w14:paraId="2A674C2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Самолет Ил-18 подготавливался ко второму этапу заводских испытаний, направленному на определение основных летных характеристик самолета и на проверку всех агрегатов и систем самолета в длительных рейсовых полетах. Ввиду задержки поступления от промышленности указанных выше агрегатов, обеспечивающих высотное использование самолета, гл. конструктор намерен передать самолет на госиспытания вначале в высотном варианте. Вероятный срок поступления самолета Ил-18 на госиспытания – июнь 1947 года (8652, 160-171).</w:t>
      </w:r>
    </w:p>
    <w:p w14:paraId="57E1FADE" w14:textId="77777777" w:rsidR="006103B3" w:rsidRPr="00925F26" w:rsidRDefault="006103B3" w:rsidP="00925F26">
      <w:pPr>
        <w:autoSpaceDE w:val="0"/>
        <w:autoSpaceDN w:val="0"/>
        <w:adjustRightInd w:val="0"/>
        <w:jc w:val="both"/>
        <w:rPr>
          <w:color w:val="000000" w:themeColor="text1"/>
          <w:sz w:val="16"/>
          <w:szCs w:val="16"/>
        </w:rPr>
      </w:pPr>
    </w:p>
    <w:p w14:paraId="1361EA0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первом полугодии 1945 года был составлен эскизный проект пассажирской машины ОКБ Незваля на 50 мест.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(7685).</w:t>
      </w:r>
    </w:p>
    <w:p w14:paraId="2E5C8835" w14:textId="77777777" w:rsidR="006103B3" w:rsidRPr="00925F26" w:rsidRDefault="006103B3" w:rsidP="00925F26">
      <w:pPr>
        <w:autoSpaceDE w:val="0"/>
        <w:autoSpaceDN w:val="0"/>
        <w:adjustRightInd w:val="0"/>
        <w:jc w:val="both"/>
        <w:rPr>
          <w:color w:val="000000" w:themeColor="text1"/>
          <w:sz w:val="16"/>
          <w:szCs w:val="16"/>
        </w:rPr>
      </w:pPr>
    </w:p>
    <w:p w14:paraId="2EE2156C" w14:textId="77777777" w:rsidR="00500674" w:rsidRPr="00925F26" w:rsidRDefault="00500674" w:rsidP="00925F26">
      <w:pPr>
        <w:jc w:val="both"/>
        <w:rPr>
          <w:color w:val="000000" w:themeColor="text1"/>
          <w:sz w:val="16"/>
          <w:szCs w:val="16"/>
        </w:rPr>
      </w:pPr>
      <w:r w:rsidRPr="00925F26">
        <w:rPr>
          <w:color w:val="000000" w:themeColor="text1"/>
          <w:sz w:val="16"/>
          <w:szCs w:val="16"/>
        </w:rPr>
        <w:t>В первой половине 1945-го завод № 381 НКАП успешно справился с планом выпуска истребителей Ла-7, выполнив его на 107,9 % (сдано 684 самолета вместо 634). Кроме того, были произведены сборка и облет 49 Ла-7, прибывших с завода № 21, а также 321 самолет отремонтирован в воинских частях, в том числе 290 Ла-5 и Ла-7, 28 Ил-4 и 3 «Бостона». За перевыполнение плана по количественным и качественным показателям заводу ежемесячно присуждали первое место во Всесоюзном социалистическом соревновании авиазаводов и вручали переходящее Красное Знамя ГКО. По окончании Великой Отечественной войны, когда приступили к переводу промышленности на выпуск гражданской продукции, заводу № 381 было поручено изготовление прогулочных шестиместных катеров КС-1, байдарок, изделий ширпотреба (14 наименований) и ремонт троллейбусов. Производство Ла-7, естественно, сворачивали – в соответствии с указаниями 1-го ГУ НКАП их выпуск ограничили 30-й машиной 73-й серии.</w:t>
      </w:r>
    </w:p>
    <w:p w14:paraId="325CA49B" w14:textId="77777777" w:rsidR="00500674" w:rsidRPr="00925F26" w:rsidRDefault="00500674" w:rsidP="00925F26">
      <w:pPr>
        <w:jc w:val="both"/>
        <w:rPr>
          <w:color w:val="000000" w:themeColor="text1"/>
          <w:sz w:val="16"/>
          <w:szCs w:val="16"/>
        </w:rPr>
      </w:pPr>
      <w:r w:rsidRPr="00925F26">
        <w:rPr>
          <w:color w:val="000000" w:themeColor="text1"/>
          <w:sz w:val="16"/>
          <w:szCs w:val="16"/>
        </w:rPr>
        <w:t>Одновременно перед заводом, с учетом его успехов в первом полугодии, поставили задачу по выпуску опытных серий реактивных самолетов. В соответствии с приказом НКАП № 311 от 27 июля 1945 г. директору завода № 381 В.И. Журавлеву предписывалось обеспечить постройку 10 экземпляров истребителя И-250. Причем уже в сентябре должны были быть готовы две первые машины, в октябре – три и в декабре – пять. ОКБ-155 надлежало до 30 июля передать заводу № 381 всю техническую документацию, плазы, шаблоны и необходимую оснастку, а также выделить на период освоения самолетов И-250 ведущих конструкторов и мастеров. В августе на завод были командированы ведущий инженер А.А. Андреев, его заместитель П.Н. Семенов, конструктор группы шасси Е.В. Хандомирова, конструктор винтомоторной группы Л.Ф. Назаров и конструктор плазового отделения И. Баранов.</w:t>
      </w:r>
    </w:p>
    <w:p w14:paraId="27239604" w14:textId="77777777" w:rsidR="00500674" w:rsidRPr="00925F26" w:rsidRDefault="00500674" w:rsidP="00925F26">
      <w:pPr>
        <w:jc w:val="both"/>
        <w:rPr>
          <w:color w:val="000000" w:themeColor="text1"/>
          <w:sz w:val="16"/>
          <w:szCs w:val="16"/>
        </w:rPr>
      </w:pPr>
      <w:r w:rsidRPr="00925F26">
        <w:rPr>
          <w:color w:val="000000" w:themeColor="text1"/>
          <w:sz w:val="16"/>
          <w:szCs w:val="16"/>
        </w:rPr>
        <w:t>Всех соисполнителей обязали к 15 августа начать поставку заводу № 381 требуемых для выпуска И-250 комплектующих (моторы ВК-107А – завод № 26, компрессоры с приводами – завод № 466, три форсуночные камеры и техдокументацию для их выпуска – ЦИАМ, винты АВ-10П-60 – завод № 150, радиаторы – завод № 124, другие готовые изделия – 12-е ГУ НКАП). Начальника ЦИАМ В.И. Поликовского еще в апреле обязали передать к 1 мая заводу № 466 десять комплектов необходимой техдокументации и один собранный ВРДК в качестве эталона для производства.</w:t>
      </w:r>
    </w:p>
    <w:p w14:paraId="1B3EEAC7" w14:textId="77777777" w:rsidR="00500674" w:rsidRPr="00925F26" w:rsidRDefault="00500674" w:rsidP="00925F26">
      <w:pPr>
        <w:jc w:val="both"/>
        <w:rPr>
          <w:color w:val="000000" w:themeColor="text1"/>
          <w:sz w:val="16"/>
          <w:szCs w:val="16"/>
        </w:rPr>
      </w:pPr>
      <w:r w:rsidRPr="00925F26">
        <w:rPr>
          <w:color w:val="000000" w:themeColor="text1"/>
          <w:sz w:val="16"/>
          <w:szCs w:val="16"/>
        </w:rPr>
        <w:t>Стоит отметить, что, помимо выпуска И-250, заводу приказом НКАП № 331 от 10/11 августа 1945 г.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57C1872B" w14:textId="77777777" w:rsidR="00500674" w:rsidRPr="00925F26" w:rsidRDefault="00500674" w:rsidP="00925F26">
      <w:pPr>
        <w:jc w:val="both"/>
        <w:rPr>
          <w:color w:val="000000" w:themeColor="text1"/>
          <w:sz w:val="16"/>
          <w:szCs w:val="16"/>
        </w:rPr>
      </w:pPr>
      <w:r w:rsidRPr="00925F26">
        <w:rPr>
          <w:color w:val="000000" w:themeColor="text1"/>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366B6346" w14:textId="77777777" w:rsidR="00500674" w:rsidRPr="00925F26" w:rsidRDefault="00500674" w:rsidP="00925F26">
      <w:pPr>
        <w:jc w:val="both"/>
        <w:rPr>
          <w:color w:val="000000" w:themeColor="text1"/>
          <w:sz w:val="16"/>
          <w:szCs w:val="16"/>
        </w:rPr>
      </w:pPr>
    </w:p>
    <w:p w14:paraId="218A30EB" w14:textId="77777777" w:rsidR="00E73081" w:rsidRPr="001A0BAA" w:rsidRDefault="00E73081" w:rsidP="00E73081">
      <w:pPr>
        <w:jc w:val="both"/>
        <w:rPr>
          <w:color w:val="0070C0"/>
          <w:sz w:val="16"/>
          <w:szCs w:val="16"/>
        </w:rPr>
      </w:pPr>
      <w:r w:rsidRPr="001A0BAA">
        <w:rPr>
          <w:color w:val="0070C0"/>
          <w:sz w:val="16"/>
          <w:szCs w:val="16"/>
        </w:rPr>
        <w:t>В первой половине 1945 года завод № 381 НКАП успешно справился с планом выпуска истребителей Ла-7, выполнив его на 107,9% (сдано 684 самолета вме</w:t>
      </w:r>
      <w:r w:rsidRPr="001A0BAA">
        <w:rPr>
          <w:color w:val="0070C0"/>
          <w:sz w:val="16"/>
          <w:szCs w:val="16"/>
        </w:rPr>
        <w:softHyphen/>
        <w:t>сто 634). Кроме того, были произведены сборка и облет 49 Ла-7, прибывших с за</w:t>
      </w:r>
      <w:r w:rsidRPr="001A0BAA">
        <w:rPr>
          <w:color w:val="0070C0"/>
          <w:sz w:val="16"/>
          <w:szCs w:val="16"/>
        </w:rPr>
        <w:softHyphen/>
        <w:t>вода № 21, а также 321 самолет отремон</w:t>
      </w:r>
      <w:r w:rsidRPr="001A0BAA">
        <w:rPr>
          <w:color w:val="0070C0"/>
          <w:sz w:val="16"/>
          <w:szCs w:val="16"/>
        </w:rPr>
        <w:softHyphen/>
        <w:t>тирован в воинских частях, в том числе 290 Ла-5 и Ла-7 и других машин. За это заводу присудили первое место во Все</w:t>
      </w:r>
      <w:r w:rsidRPr="001A0BAA">
        <w:rPr>
          <w:color w:val="0070C0"/>
          <w:sz w:val="16"/>
          <w:szCs w:val="16"/>
        </w:rPr>
        <w:softHyphen/>
        <w:t>союзном социалистическом соревнова</w:t>
      </w:r>
      <w:r w:rsidRPr="001A0BAA">
        <w:rPr>
          <w:color w:val="0070C0"/>
          <w:sz w:val="16"/>
          <w:szCs w:val="16"/>
        </w:rPr>
        <w:softHyphen/>
        <w:t>нии авиазаводов и вручили переходящее Красное знамя ГКО (24988).</w:t>
      </w:r>
    </w:p>
    <w:p w14:paraId="4D837645" w14:textId="77777777" w:rsidR="00E73081" w:rsidRPr="001A0BAA" w:rsidRDefault="00E73081" w:rsidP="00E73081">
      <w:pPr>
        <w:jc w:val="both"/>
        <w:rPr>
          <w:color w:val="0070C0"/>
          <w:sz w:val="16"/>
          <w:szCs w:val="16"/>
        </w:rPr>
      </w:pPr>
    </w:p>
    <w:p w14:paraId="5AF9378A" w14:textId="4254BF31" w:rsidR="00C46885" w:rsidRPr="00925F26" w:rsidRDefault="00C46885" w:rsidP="00925F26">
      <w:pPr>
        <w:jc w:val="both"/>
        <w:rPr>
          <w:rStyle w:val="690"/>
          <w:rFonts w:ascii="Times New Roman" w:hAnsi="Times New Roman" w:cs="Times New Roman"/>
          <w:color w:val="000000" w:themeColor="text1"/>
          <w:sz w:val="16"/>
          <w:szCs w:val="16"/>
        </w:rPr>
      </w:pPr>
      <w:r w:rsidRPr="00925F26">
        <w:rPr>
          <w:color w:val="000000" w:themeColor="text1"/>
          <w:sz w:val="16"/>
          <w:szCs w:val="16"/>
        </w:rPr>
        <w:t xml:space="preserve">За первое полугодие 1945 г. в Саратове Як-3 было построено </w:t>
      </w:r>
      <w:proofErr w:type="gramStart"/>
      <w:r w:rsidRPr="00925F26">
        <w:rPr>
          <w:color w:val="000000" w:themeColor="text1"/>
          <w:sz w:val="16"/>
          <w:szCs w:val="16"/>
        </w:rPr>
        <w:t>1</w:t>
      </w:r>
      <w:r w:rsidR="00997EDF" w:rsidRPr="00925F26">
        <w:rPr>
          <w:color w:val="000000" w:themeColor="text1"/>
          <w:sz w:val="16"/>
          <w:szCs w:val="16"/>
        </w:rPr>
        <w:t xml:space="preserve">  </w:t>
      </w:r>
      <w:r w:rsidRPr="00925F26">
        <w:rPr>
          <w:color w:val="000000" w:themeColor="text1"/>
          <w:sz w:val="16"/>
          <w:szCs w:val="16"/>
        </w:rPr>
        <w:t>495</w:t>
      </w:r>
      <w:proofErr w:type="gramEnd"/>
      <w:r w:rsidRPr="00925F26">
        <w:rPr>
          <w:color w:val="000000" w:themeColor="text1"/>
          <w:sz w:val="16"/>
          <w:szCs w:val="16"/>
        </w:rPr>
        <w:t xml:space="preserve"> Як-3, а всего до конца года с учетом снижения выпуска в связи с окончанием войны — 1 918. В послевоенном же 1946 г. завод № 292 построил только 240 Як-3 (последние самолеты были в основном трехпушечными Як-3П). В Тбилиси в первом полугодии 1945-го сделали 436 самолетов Як-3, а всего за тот год — 462 с мотором ВК-105ПФ2 и еще 40 новых с ВК-107А. Итого два завода с начала 1944 г. и до середины 1945 г. построили 4 111 серийных самолетов Як-3 из общего числа 5 220 штук всех модификаций, сделанных до конца 1946 г. Из самолетов постройки времен войны абсолютное большинство составили стандартные машины с мотором ВК-105ПФ2 и вооружением в составе мотор-пушки ШВАК и двух синхронных пулеметов УБ, которое по своей эффективности было примерно таким же, как и у основного немецкого истребителя Мессершмитт Bf 109 последних массовых модификаций G-6/10/14. Как мы видим, пополнение нашей авиации новейшими истребителями на завершающем этапе войны было значительным, но тогда в полки шли не только Як-3. Если в 1944 г. в строевые части ВВС и Морской авиации СССР Як-3 было поставлено несколько больше, чем Ла-7 — 1 340 и 1 044, соответственно, то на май 1945 г. Лавочкин почти вдвое обошел Яковлева: 1 913 Ла-7 по сравнению с 1 016 Як-3 (22751).</w:t>
      </w:r>
      <w:r w:rsidRPr="00925F26">
        <w:rPr>
          <w:rStyle w:val="690"/>
          <w:rFonts w:ascii="Times New Roman" w:hAnsi="Times New Roman" w:cs="Times New Roman"/>
          <w:color w:val="000000" w:themeColor="text1"/>
          <w:sz w:val="16"/>
          <w:szCs w:val="16"/>
        </w:rPr>
        <w:t xml:space="preserve"> </w:t>
      </w:r>
    </w:p>
    <w:p w14:paraId="25D47F9A" w14:textId="77777777" w:rsidR="00C46885" w:rsidRPr="00925F26" w:rsidRDefault="00C46885" w:rsidP="00925F26">
      <w:pPr>
        <w:jc w:val="both"/>
        <w:rPr>
          <w:rStyle w:val="690"/>
          <w:rFonts w:ascii="Times New Roman" w:hAnsi="Times New Roman" w:cs="Times New Roman"/>
          <w:color w:val="000000" w:themeColor="text1"/>
          <w:sz w:val="16"/>
          <w:szCs w:val="16"/>
        </w:rPr>
      </w:pPr>
    </w:p>
    <w:p w14:paraId="50CC486C" w14:textId="77777777" w:rsidR="006103B3" w:rsidRPr="00925F26" w:rsidRDefault="006103B3" w:rsidP="00925F26">
      <w:pPr>
        <w:autoSpaceDE w:val="0"/>
        <w:autoSpaceDN w:val="0"/>
        <w:adjustRightInd w:val="0"/>
        <w:jc w:val="both"/>
        <w:rPr>
          <w:color w:val="000000" w:themeColor="text1"/>
          <w:sz w:val="16"/>
          <w:szCs w:val="16"/>
        </w:rPr>
      </w:pPr>
      <w:r w:rsidRPr="00925F26">
        <w:rPr>
          <w:color w:val="000000" w:themeColor="text1"/>
          <w:sz w:val="16"/>
          <w:szCs w:val="16"/>
        </w:rPr>
        <w:t>В первом полугодии 1945 г. выполнили эскизный проект 48-местного самолёта с двигателями М-82, который являлся дальнейшей модификацией Пе-8, но в июле конструкторское бюро Незваля стало филиалом туполевского ОКБ-156 и было загружено работой по бомбардировщику Б-4 (будущему Ту-4). Проектирование пассажирской машины прекратили (11996).</w:t>
      </w:r>
    </w:p>
    <w:p w14:paraId="480348D3" w14:textId="77777777" w:rsidR="006103B3" w:rsidRPr="00925F26" w:rsidRDefault="006103B3" w:rsidP="00925F26">
      <w:pPr>
        <w:autoSpaceDE w:val="0"/>
        <w:autoSpaceDN w:val="0"/>
        <w:adjustRightInd w:val="0"/>
        <w:jc w:val="both"/>
        <w:rPr>
          <w:color w:val="000000" w:themeColor="text1"/>
          <w:sz w:val="16"/>
          <w:szCs w:val="16"/>
        </w:rPr>
      </w:pPr>
    </w:p>
    <w:p w14:paraId="28CE5EBF" w14:textId="77777777" w:rsidR="00E73081" w:rsidRPr="001A0BAA" w:rsidRDefault="00E73081" w:rsidP="00E73081">
      <w:pPr>
        <w:jc w:val="both"/>
        <w:rPr>
          <w:color w:val="0070C0"/>
          <w:sz w:val="16"/>
          <w:szCs w:val="16"/>
        </w:rPr>
      </w:pPr>
      <w:r w:rsidRPr="001A0BAA">
        <w:rPr>
          <w:rStyle w:val="aff0"/>
          <w:rFonts w:ascii="Times New Roman" w:hAnsi="Times New Roman" w:cs="Times New Roman"/>
          <w:color w:val="0070C0"/>
          <w:spacing w:val="0"/>
          <w:sz w:val="16"/>
          <w:szCs w:val="16"/>
        </w:rPr>
        <w:lastRenderedPageBreak/>
        <w:t>В первой половине 1945 года в Челябинске в конструкторском бюро Опытного завода № 100 приступили к эскизным прорисовкам нового тяжелого танка. Предполагалось, что эта машина воплотит в себе весь опыт, нако</w:t>
      </w:r>
      <w:r w:rsidRPr="001A0BAA">
        <w:rPr>
          <w:rStyle w:val="aff0"/>
          <w:rFonts w:ascii="Times New Roman" w:hAnsi="Times New Roman" w:cs="Times New Roman"/>
          <w:color w:val="0070C0"/>
          <w:spacing w:val="0"/>
          <w:sz w:val="16"/>
          <w:szCs w:val="16"/>
        </w:rPr>
        <w:softHyphen/>
        <w:t>пленный при конструировании, эксплуатации и боевом применении тяжелых танков в годы войны. Было выполнено несколько вариантов: «объект 257», «258», «259», «260» и «261». Ведущим инженером на этом этапе был ПЛ. Исаков. В основном проекты различались типом силовой установки и трансмиссией - электрической или механической (25484).</w:t>
      </w:r>
    </w:p>
    <w:p w14:paraId="10159B68" w14:textId="77777777" w:rsidR="00E73081" w:rsidRPr="001A0BAA" w:rsidRDefault="00E73081" w:rsidP="00E73081">
      <w:pPr>
        <w:jc w:val="both"/>
        <w:rPr>
          <w:color w:val="0070C0"/>
          <w:sz w:val="16"/>
          <w:szCs w:val="16"/>
        </w:rPr>
      </w:pPr>
    </w:p>
    <w:p w14:paraId="09CA520E" w14:textId="77777777" w:rsidR="00FE4E32" w:rsidRPr="00925F26" w:rsidRDefault="00FE4E32" w:rsidP="00925F26">
      <w:pPr>
        <w:autoSpaceDE w:val="0"/>
        <w:autoSpaceDN w:val="0"/>
        <w:adjustRightInd w:val="0"/>
        <w:jc w:val="both"/>
        <w:rPr>
          <w:color w:val="000000" w:themeColor="text1"/>
          <w:sz w:val="16"/>
          <w:szCs w:val="16"/>
        </w:rPr>
      </w:pPr>
    </w:p>
    <w:sectPr w:rsidR="00FE4E32" w:rsidRPr="00925F26" w:rsidSect="00F74F35">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1B0140F"/>
    <w:multiLevelType w:val="multilevel"/>
    <w:tmpl w:val="499A2B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start w:val="17"/>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3">
      <w:start w:val="2"/>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7">
      <w:start w:val="8"/>
      <w:numFmt w:val="upperLetter"/>
      <w:lvlText w:val="%8."/>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lvl w:ilvl="8">
      <w:start w:val="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abstractNum>
  <w:abstractNum w:abstractNumId="2" w15:restartNumberingAfterBreak="0">
    <w:nsid w:val="5E0C47D8"/>
    <w:multiLevelType w:val="multilevel"/>
    <w:tmpl w:val="FB4AF8EE"/>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6"/>
        <w:szCs w:val="16"/>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212226576">
    <w:abstractNumId w:val="0"/>
  </w:num>
  <w:num w:numId="2" w16cid:durableId="938945781">
    <w:abstractNumId w:val="1"/>
  </w:num>
  <w:num w:numId="3" w16cid:durableId="2031301229">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hideGrammatical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948"/>
    <w:rsid w:val="000025C6"/>
    <w:rsid w:val="00007B5B"/>
    <w:rsid w:val="00010A2F"/>
    <w:rsid w:val="00013858"/>
    <w:rsid w:val="00015826"/>
    <w:rsid w:val="0002077A"/>
    <w:rsid w:val="0002327B"/>
    <w:rsid w:val="00023647"/>
    <w:rsid w:val="0002726F"/>
    <w:rsid w:val="00030351"/>
    <w:rsid w:val="00031180"/>
    <w:rsid w:val="00040634"/>
    <w:rsid w:val="000409C9"/>
    <w:rsid w:val="00046A81"/>
    <w:rsid w:val="000510C1"/>
    <w:rsid w:val="000512A8"/>
    <w:rsid w:val="00051ED8"/>
    <w:rsid w:val="00053C2F"/>
    <w:rsid w:val="00063378"/>
    <w:rsid w:val="00065021"/>
    <w:rsid w:val="0006634D"/>
    <w:rsid w:val="000701C9"/>
    <w:rsid w:val="00070AF2"/>
    <w:rsid w:val="00073784"/>
    <w:rsid w:val="0008367D"/>
    <w:rsid w:val="000851D8"/>
    <w:rsid w:val="00086E53"/>
    <w:rsid w:val="00087C4A"/>
    <w:rsid w:val="00092917"/>
    <w:rsid w:val="00094AE4"/>
    <w:rsid w:val="00094C32"/>
    <w:rsid w:val="00095C37"/>
    <w:rsid w:val="000B23E5"/>
    <w:rsid w:val="000B2A68"/>
    <w:rsid w:val="000B5D98"/>
    <w:rsid w:val="000C1B0E"/>
    <w:rsid w:val="000C332D"/>
    <w:rsid w:val="000C481E"/>
    <w:rsid w:val="000C795D"/>
    <w:rsid w:val="000D0537"/>
    <w:rsid w:val="000D6FF7"/>
    <w:rsid w:val="000E3D70"/>
    <w:rsid w:val="000E7D6A"/>
    <w:rsid w:val="000F30A8"/>
    <w:rsid w:val="000F49EC"/>
    <w:rsid w:val="000F5689"/>
    <w:rsid w:val="0010105A"/>
    <w:rsid w:val="00102C23"/>
    <w:rsid w:val="00104B87"/>
    <w:rsid w:val="00113C6F"/>
    <w:rsid w:val="00113D98"/>
    <w:rsid w:val="00117BE3"/>
    <w:rsid w:val="00121858"/>
    <w:rsid w:val="00130095"/>
    <w:rsid w:val="00135115"/>
    <w:rsid w:val="001400D8"/>
    <w:rsid w:val="00141E45"/>
    <w:rsid w:val="00143828"/>
    <w:rsid w:val="001438DF"/>
    <w:rsid w:val="00144515"/>
    <w:rsid w:val="00145AFC"/>
    <w:rsid w:val="00147873"/>
    <w:rsid w:val="00147D93"/>
    <w:rsid w:val="00150B7E"/>
    <w:rsid w:val="0015539F"/>
    <w:rsid w:val="00155D62"/>
    <w:rsid w:val="001561D1"/>
    <w:rsid w:val="00161A39"/>
    <w:rsid w:val="00166A21"/>
    <w:rsid w:val="0017108B"/>
    <w:rsid w:val="00173F5C"/>
    <w:rsid w:val="00175890"/>
    <w:rsid w:val="00184E53"/>
    <w:rsid w:val="001907E8"/>
    <w:rsid w:val="00193FD5"/>
    <w:rsid w:val="0019755A"/>
    <w:rsid w:val="001A271A"/>
    <w:rsid w:val="001A5F95"/>
    <w:rsid w:val="001C14BF"/>
    <w:rsid w:val="001C340E"/>
    <w:rsid w:val="001C3F7A"/>
    <w:rsid w:val="001C4A6A"/>
    <w:rsid w:val="001D045B"/>
    <w:rsid w:val="001D1E05"/>
    <w:rsid w:val="001D37F4"/>
    <w:rsid w:val="001E4635"/>
    <w:rsid w:val="001E5A84"/>
    <w:rsid w:val="001F396D"/>
    <w:rsid w:val="001F76AE"/>
    <w:rsid w:val="001F7908"/>
    <w:rsid w:val="00201A26"/>
    <w:rsid w:val="002029E1"/>
    <w:rsid w:val="00202AFD"/>
    <w:rsid w:val="00206770"/>
    <w:rsid w:val="00213252"/>
    <w:rsid w:val="0021629B"/>
    <w:rsid w:val="00230159"/>
    <w:rsid w:val="00230342"/>
    <w:rsid w:val="0023295D"/>
    <w:rsid w:val="00235F2C"/>
    <w:rsid w:val="002365D7"/>
    <w:rsid w:val="00237152"/>
    <w:rsid w:val="00243360"/>
    <w:rsid w:val="002471D5"/>
    <w:rsid w:val="00247854"/>
    <w:rsid w:val="002527AE"/>
    <w:rsid w:val="0025587C"/>
    <w:rsid w:val="0027059D"/>
    <w:rsid w:val="0027332D"/>
    <w:rsid w:val="002764C0"/>
    <w:rsid w:val="0028571C"/>
    <w:rsid w:val="00286419"/>
    <w:rsid w:val="00290C82"/>
    <w:rsid w:val="002A04DB"/>
    <w:rsid w:val="002A359B"/>
    <w:rsid w:val="002A3A19"/>
    <w:rsid w:val="002A4526"/>
    <w:rsid w:val="002A5AD4"/>
    <w:rsid w:val="002A5DBF"/>
    <w:rsid w:val="002B07DD"/>
    <w:rsid w:val="002B4C11"/>
    <w:rsid w:val="002C1334"/>
    <w:rsid w:val="002C1BDA"/>
    <w:rsid w:val="002D2573"/>
    <w:rsid w:val="002D465A"/>
    <w:rsid w:val="002D4CA3"/>
    <w:rsid w:val="002E1B6D"/>
    <w:rsid w:val="002E24E6"/>
    <w:rsid w:val="002E5953"/>
    <w:rsid w:val="002E6E09"/>
    <w:rsid w:val="002F0C29"/>
    <w:rsid w:val="002F1089"/>
    <w:rsid w:val="002F4338"/>
    <w:rsid w:val="002F4C31"/>
    <w:rsid w:val="002F58B2"/>
    <w:rsid w:val="003028CD"/>
    <w:rsid w:val="003056AF"/>
    <w:rsid w:val="00306988"/>
    <w:rsid w:val="00312320"/>
    <w:rsid w:val="00317A72"/>
    <w:rsid w:val="003203B4"/>
    <w:rsid w:val="0032073A"/>
    <w:rsid w:val="0032140A"/>
    <w:rsid w:val="0032436D"/>
    <w:rsid w:val="00324FA8"/>
    <w:rsid w:val="00326301"/>
    <w:rsid w:val="00327D90"/>
    <w:rsid w:val="00334ED3"/>
    <w:rsid w:val="003366DD"/>
    <w:rsid w:val="00356648"/>
    <w:rsid w:val="003605FA"/>
    <w:rsid w:val="00361C8C"/>
    <w:rsid w:val="00362C75"/>
    <w:rsid w:val="00371372"/>
    <w:rsid w:val="0037412D"/>
    <w:rsid w:val="00374A7A"/>
    <w:rsid w:val="003751D3"/>
    <w:rsid w:val="003755B5"/>
    <w:rsid w:val="00382475"/>
    <w:rsid w:val="00382F18"/>
    <w:rsid w:val="00385035"/>
    <w:rsid w:val="0038610C"/>
    <w:rsid w:val="00392001"/>
    <w:rsid w:val="0039556B"/>
    <w:rsid w:val="003A3020"/>
    <w:rsid w:val="003A5F91"/>
    <w:rsid w:val="003B056E"/>
    <w:rsid w:val="003B0B5C"/>
    <w:rsid w:val="003B1DCF"/>
    <w:rsid w:val="003B3957"/>
    <w:rsid w:val="003C19E1"/>
    <w:rsid w:val="003C588F"/>
    <w:rsid w:val="003C7C9A"/>
    <w:rsid w:val="003D013D"/>
    <w:rsid w:val="003D47C5"/>
    <w:rsid w:val="003D5AF4"/>
    <w:rsid w:val="003D79A1"/>
    <w:rsid w:val="003E03D0"/>
    <w:rsid w:val="003E0642"/>
    <w:rsid w:val="003E442B"/>
    <w:rsid w:val="003E5301"/>
    <w:rsid w:val="003E545E"/>
    <w:rsid w:val="003E6ED8"/>
    <w:rsid w:val="00400D43"/>
    <w:rsid w:val="00403B6B"/>
    <w:rsid w:val="00413CD7"/>
    <w:rsid w:val="004146AC"/>
    <w:rsid w:val="004148AD"/>
    <w:rsid w:val="004176D6"/>
    <w:rsid w:val="004252F4"/>
    <w:rsid w:val="00425843"/>
    <w:rsid w:val="00426075"/>
    <w:rsid w:val="004371A6"/>
    <w:rsid w:val="0044284D"/>
    <w:rsid w:val="00446A93"/>
    <w:rsid w:val="00450976"/>
    <w:rsid w:val="004533E5"/>
    <w:rsid w:val="00460695"/>
    <w:rsid w:val="00460A18"/>
    <w:rsid w:val="00462C72"/>
    <w:rsid w:val="00462FCF"/>
    <w:rsid w:val="004633F2"/>
    <w:rsid w:val="004709B0"/>
    <w:rsid w:val="00473C5C"/>
    <w:rsid w:val="00475979"/>
    <w:rsid w:val="0047630E"/>
    <w:rsid w:val="00480A84"/>
    <w:rsid w:val="00483606"/>
    <w:rsid w:val="004842B7"/>
    <w:rsid w:val="004868FE"/>
    <w:rsid w:val="004945E9"/>
    <w:rsid w:val="0049598A"/>
    <w:rsid w:val="0049679F"/>
    <w:rsid w:val="0049788C"/>
    <w:rsid w:val="00497AEB"/>
    <w:rsid w:val="004A092D"/>
    <w:rsid w:val="004A3537"/>
    <w:rsid w:val="004A429A"/>
    <w:rsid w:val="004B0814"/>
    <w:rsid w:val="004B7DC3"/>
    <w:rsid w:val="004C221F"/>
    <w:rsid w:val="004D08EC"/>
    <w:rsid w:val="004D2A3F"/>
    <w:rsid w:val="004D5B9B"/>
    <w:rsid w:val="004D7EEE"/>
    <w:rsid w:val="004E29EA"/>
    <w:rsid w:val="004E4E55"/>
    <w:rsid w:val="004F22D7"/>
    <w:rsid w:val="004F4C5F"/>
    <w:rsid w:val="004F53AD"/>
    <w:rsid w:val="004F6CFB"/>
    <w:rsid w:val="004F7EC9"/>
    <w:rsid w:val="00500674"/>
    <w:rsid w:val="00503A32"/>
    <w:rsid w:val="00505829"/>
    <w:rsid w:val="005119C8"/>
    <w:rsid w:val="00516F49"/>
    <w:rsid w:val="00517B76"/>
    <w:rsid w:val="00524AEC"/>
    <w:rsid w:val="00524C9D"/>
    <w:rsid w:val="00525177"/>
    <w:rsid w:val="00525BF4"/>
    <w:rsid w:val="0052661D"/>
    <w:rsid w:val="00531F9E"/>
    <w:rsid w:val="0053208B"/>
    <w:rsid w:val="0054083F"/>
    <w:rsid w:val="005450C0"/>
    <w:rsid w:val="00546AC2"/>
    <w:rsid w:val="00546EA6"/>
    <w:rsid w:val="0055066D"/>
    <w:rsid w:val="005517D0"/>
    <w:rsid w:val="00561026"/>
    <w:rsid w:val="00561F31"/>
    <w:rsid w:val="005720F5"/>
    <w:rsid w:val="0057250B"/>
    <w:rsid w:val="00573476"/>
    <w:rsid w:val="00574D94"/>
    <w:rsid w:val="00576B22"/>
    <w:rsid w:val="00576D1E"/>
    <w:rsid w:val="00580BC7"/>
    <w:rsid w:val="005860CF"/>
    <w:rsid w:val="0058703C"/>
    <w:rsid w:val="005903DB"/>
    <w:rsid w:val="00590D1F"/>
    <w:rsid w:val="00594339"/>
    <w:rsid w:val="005A0732"/>
    <w:rsid w:val="005A1318"/>
    <w:rsid w:val="005A3EAB"/>
    <w:rsid w:val="005A6AF3"/>
    <w:rsid w:val="005B62C6"/>
    <w:rsid w:val="005C1F60"/>
    <w:rsid w:val="005C2D05"/>
    <w:rsid w:val="005C3848"/>
    <w:rsid w:val="005C3865"/>
    <w:rsid w:val="005C5BB4"/>
    <w:rsid w:val="005D0C39"/>
    <w:rsid w:val="005D0ED9"/>
    <w:rsid w:val="005D233C"/>
    <w:rsid w:val="005D3D2E"/>
    <w:rsid w:val="005D5B85"/>
    <w:rsid w:val="005E77B1"/>
    <w:rsid w:val="005F32F4"/>
    <w:rsid w:val="005F45C9"/>
    <w:rsid w:val="005F7535"/>
    <w:rsid w:val="00600B70"/>
    <w:rsid w:val="00606F47"/>
    <w:rsid w:val="006103B3"/>
    <w:rsid w:val="0061497A"/>
    <w:rsid w:val="0061576E"/>
    <w:rsid w:val="0062000C"/>
    <w:rsid w:val="00630DDD"/>
    <w:rsid w:val="00633902"/>
    <w:rsid w:val="0063556F"/>
    <w:rsid w:val="00637BF4"/>
    <w:rsid w:val="00645520"/>
    <w:rsid w:val="00646F42"/>
    <w:rsid w:val="00647A79"/>
    <w:rsid w:val="00650270"/>
    <w:rsid w:val="00653E92"/>
    <w:rsid w:val="0066127E"/>
    <w:rsid w:val="00665165"/>
    <w:rsid w:val="00666D77"/>
    <w:rsid w:val="00667228"/>
    <w:rsid w:val="00670896"/>
    <w:rsid w:val="00670D8A"/>
    <w:rsid w:val="0067688E"/>
    <w:rsid w:val="006773EC"/>
    <w:rsid w:val="00677D5F"/>
    <w:rsid w:val="00681972"/>
    <w:rsid w:val="00681C7C"/>
    <w:rsid w:val="0068213E"/>
    <w:rsid w:val="006825F8"/>
    <w:rsid w:val="00685DD5"/>
    <w:rsid w:val="006979C2"/>
    <w:rsid w:val="00697AC7"/>
    <w:rsid w:val="006A1A77"/>
    <w:rsid w:val="006B0B5F"/>
    <w:rsid w:val="006B155B"/>
    <w:rsid w:val="006B4C87"/>
    <w:rsid w:val="006C40C5"/>
    <w:rsid w:val="006C4B00"/>
    <w:rsid w:val="006D1A4B"/>
    <w:rsid w:val="006D22CF"/>
    <w:rsid w:val="006D7A23"/>
    <w:rsid w:val="006E65ED"/>
    <w:rsid w:val="006F0F05"/>
    <w:rsid w:val="006F2DF6"/>
    <w:rsid w:val="006F2FCB"/>
    <w:rsid w:val="006F43F1"/>
    <w:rsid w:val="006F67C2"/>
    <w:rsid w:val="0070110A"/>
    <w:rsid w:val="007048F1"/>
    <w:rsid w:val="00704E24"/>
    <w:rsid w:val="007060B9"/>
    <w:rsid w:val="007076F2"/>
    <w:rsid w:val="00711091"/>
    <w:rsid w:val="00712FB3"/>
    <w:rsid w:val="00715145"/>
    <w:rsid w:val="00720DFE"/>
    <w:rsid w:val="00720F7B"/>
    <w:rsid w:val="007220FA"/>
    <w:rsid w:val="007347DA"/>
    <w:rsid w:val="00736BA6"/>
    <w:rsid w:val="00740428"/>
    <w:rsid w:val="0074469E"/>
    <w:rsid w:val="00746A80"/>
    <w:rsid w:val="00747612"/>
    <w:rsid w:val="00750C95"/>
    <w:rsid w:val="00752607"/>
    <w:rsid w:val="00755443"/>
    <w:rsid w:val="00781BF4"/>
    <w:rsid w:val="007919C3"/>
    <w:rsid w:val="00797499"/>
    <w:rsid w:val="007A5DBF"/>
    <w:rsid w:val="007B1D64"/>
    <w:rsid w:val="007B38E4"/>
    <w:rsid w:val="007B3FB8"/>
    <w:rsid w:val="007C0C62"/>
    <w:rsid w:val="007C455A"/>
    <w:rsid w:val="007C4BB0"/>
    <w:rsid w:val="007C630F"/>
    <w:rsid w:val="007C7139"/>
    <w:rsid w:val="007D191E"/>
    <w:rsid w:val="007D65F3"/>
    <w:rsid w:val="007E3239"/>
    <w:rsid w:val="007E448A"/>
    <w:rsid w:val="00800D27"/>
    <w:rsid w:val="008019CE"/>
    <w:rsid w:val="0080789B"/>
    <w:rsid w:val="008108C0"/>
    <w:rsid w:val="00816E1B"/>
    <w:rsid w:val="0081738B"/>
    <w:rsid w:val="0082322E"/>
    <w:rsid w:val="00823A00"/>
    <w:rsid w:val="00824A4F"/>
    <w:rsid w:val="00827BBE"/>
    <w:rsid w:val="00832B68"/>
    <w:rsid w:val="0084047D"/>
    <w:rsid w:val="00847535"/>
    <w:rsid w:val="00852262"/>
    <w:rsid w:val="0085285E"/>
    <w:rsid w:val="00854708"/>
    <w:rsid w:val="008628F5"/>
    <w:rsid w:val="00866C07"/>
    <w:rsid w:val="00873386"/>
    <w:rsid w:val="008741BA"/>
    <w:rsid w:val="008775A3"/>
    <w:rsid w:val="00880E0E"/>
    <w:rsid w:val="00886C16"/>
    <w:rsid w:val="00886CF9"/>
    <w:rsid w:val="00893AF7"/>
    <w:rsid w:val="008A50E4"/>
    <w:rsid w:val="008A6626"/>
    <w:rsid w:val="008C0C09"/>
    <w:rsid w:val="008C0D43"/>
    <w:rsid w:val="008C396C"/>
    <w:rsid w:val="008C4451"/>
    <w:rsid w:val="008C5307"/>
    <w:rsid w:val="008D1FAE"/>
    <w:rsid w:val="008D249A"/>
    <w:rsid w:val="008D5ABD"/>
    <w:rsid w:val="008D6E07"/>
    <w:rsid w:val="008E0FBF"/>
    <w:rsid w:val="008E5220"/>
    <w:rsid w:val="008E7477"/>
    <w:rsid w:val="00902F85"/>
    <w:rsid w:val="009104CE"/>
    <w:rsid w:val="00911035"/>
    <w:rsid w:val="0091536A"/>
    <w:rsid w:val="00920EF0"/>
    <w:rsid w:val="00925F26"/>
    <w:rsid w:val="00926977"/>
    <w:rsid w:val="00927952"/>
    <w:rsid w:val="00934A89"/>
    <w:rsid w:val="0094430B"/>
    <w:rsid w:val="00950F76"/>
    <w:rsid w:val="00954CDF"/>
    <w:rsid w:val="0096198F"/>
    <w:rsid w:val="00965F83"/>
    <w:rsid w:val="00974A4B"/>
    <w:rsid w:val="0097795E"/>
    <w:rsid w:val="00986CD1"/>
    <w:rsid w:val="00990E1D"/>
    <w:rsid w:val="00990F31"/>
    <w:rsid w:val="00996484"/>
    <w:rsid w:val="00997EDF"/>
    <w:rsid w:val="009A3EFF"/>
    <w:rsid w:val="009A5781"/>
    <w:rsid w:val="009A64F5"/>
    <w:rsid w:val="009B0E9A"/>
    <w:rsid w:val="009B1228"/>
    <w:rsid w:val="009B2258"/>
    <w:rsid w:val="009B2B40"/>
    <w:rsid w:val="009B7AB9"/>
    <w:rsid w:val="009C37DA"/>
    <w:rsid w:val="009C4894"/>
    <w:rsid w:val="009D0510"/>
    <w:rsid w:val="009D1B31"/>
    <w:rsid w:val="009D2948"/>
    <w:rsid w:val="009D44EF"/>
    <w:rsid w:val="009D60E7"/>
    <w:rsid w:val="009E360D"/>
    <w:rsid w:val="009E68E9"/>
    <w:rsid w:val="009E712B"/>
    <w:rsid w:val="00A06685"/>
    <w:rsid w:val="00A11433"/>
    <w:rsid w:val="00A12CE2"/>
    <w:rsid w:val="00A2476C"/>
    <w:rsid w:val="00A278CB"/>
    <w:rsid w:val="00A30E3B"/>
    <w:rsid w:val="00A350B4"/>
    <w:rsid w:val="00A354F9"/>
    <w:rsid w:val="00A371FF"/>
    <w:rsid w:val="00A40927"/>
    <w:rsid w:val="00A40B71"/>
    <w:rsid w:val="00A42EE3"/>
    <w:rsid w:val="00A45A36"/>
    <w:rsid w:val="00A5033B"/>
    <w:rsid w:val="00A524F6"/>
    <w:rsid w:val="00A55037"/>
    <w:rsid w:val="00A64B86"/>
    <w:rsid w:val="00A65CB5"/>
    <w:rsid w:val="00A735C5"/>
    <w:rsid w:val="00A73D97"/>
    <w:rsid w:val="00A752EF"/>
    <w:rsid w:val="00A776CB"/>
    <w:rsid w:val="00A822EC"/>
    <w:rsid w:val="00A8589E"/>
    <w:rsid w:val="00A85B4C"/>
    <w:rsid w:val="00A87480"/>
    <w:rsid w:val="00A9131A"/>
    <w:rsid w:val="00A92DB9"/>
    <w:rsid w:val="00A92FC9"/>
    <w:rsid w:val="00A93DDD"/>
    <w:rsid w:val="00A952AA"/>
    <w:rsid w:val="00A954CF"/>
    <w:rsid w:val="00A96EA6"/>
    <w:rsid w:val="00AA1040"/>
    <w:rsid w:val="00AA32F2"/>
    <w:rsid w:val="00AA3EB5"/>
    <w:rsid w:val="00AA6296"/>
    <w:rsid w:val="00AA7BA7"/>
    <w:rsid w:val="00AB4033"/>
    <w:rsid w:val="00AB5FFD"/>
    <w:rsid w:val="00AB62EF"/>
    <w:rsid w:val="00AB6AA0"/>
    <w:rsid w:val="00AC061A"/>
    <w:rsid w:val="00AC12ED"/>
    <w:rsid w:val="00AC6457"/>
    <w:rsid w:val="00AD05DC"/>
    <w:rsid w:val="00AD329D"/>
    <w:rsid w:val="00AD5074"/>
    <w:rsid w:val="00AD7660"/>
    <w:rsid w:val="00AD7C9A"/>
    <w:rsid w:val="00AE1AD9"/>
    <w:rsid w:val="00AE29CF"/>
    <w:rsid w:val="00AF251F"/>
    <w:rsid w:val="00AF408C"/>
    <w:rsid w:val="00AF535B"/>
    <w:rsid w:val="00B00D54"/>
    <w:rsid w:val="00B12671"/>
    <w:rsid w:val="00B141BF"/>
    <w:rsid w:val="00B147AB"/>
    <w:rsid w:val="00B17B62"/>
    <w:rsid w:val="00B2773E"/>
    <w:rsid w:val="00B307A0"/>
    <w:rsid w:val="00B3398A"/>
    <w:rsid w:val="00B34788"/>
    <w:rsid w:val="00B35A1B"/>
    <w:rsid w:val="00B3672C"/>
    <w:rsid w:val="00B40434"/>
    <w:rsid w:val="00B44E2B"/>
    <w:rsid w:val="00B52070"/>
    <w:rsid w:val="00B5377E"/>
    <w:rsid w:val="00B570C6"/>
    <w:rsid w:val="00B5750A"/>
    <w:rsid w:val="00B6122E"/>
    <w:rsid w:val="00B633D2"/>
    <w:rsid w:val="00B65582"/>
    <w:rsid w:val="00B741FD"/>
    <w:rsid w:val="00B80BC3"/>
    <w:rsid w:val="00B81DD0"/>
    <w:rsid w:val="00B82EA2"/>
    <w:rsid w:val="00B837BE"/>
    <w:rsid w:val="00B84C42"/>
    <w:rsid w:val="00B87114"/>
    <w:rsid w:val="00B90038"/>
    <w:rsid w:val="00B92A5E"/>
    <w:rsid w:val="00B96C0B"/>
    <w:rsid w:val="00BA025E"/>
    <w:rsid w:val="00BA15CA"/>
    <w:rsid w:val="00BA1885"/>
    <w:rsid w:val="00BA196A"/>
    <w:rsid w:val="00BA20E6"/>
    <w:rsid w:val="00BA2B8F"/>
    <w:rsid w:val="00BA4C3E"/>
    <w:rsid w:val="00BA5166"/>
    <w:rsid w:val="00BA6D09"/>
    <w:rsid w:val="00BA7614"/>
    <w:rsid w:val="00BB0525"/>
    <w:rsid w:val="00BB1B0B"/>
    <w:rsid w:val="00BB21BC"/>
    <w:rsid w:val="00BB22F5"/>
    <w:rsid w:val="00BB2377"/>
    <w:rsid w:val="00BB4FEE"/>
    <w:rsid w:val="00BB647E"/>
    <w:rsid w:val="00BC1830"/>
    <w:rsid w:val="00BD009E"/>
    <w:rsid w:val="00BD0937"/>
    <w:rsid w:val="00BD351E"/>
    <w:rsid w:val="00BD3ED4"/>
    <w:rsid w:val="00BD44E6"/>
    <w:rsid w:val="00BD4B69"/>
    <w:rsid w:val="00BE2FB1"/>
    <w:rsid w:val="00BE5234"/>
    <w:rsid w:val="00BF0005"/>
    <w:rsid w:val="00BF18D8"/>
    <w:rsid w:val="00BF3067"/>
    <w:rsid w:val="00C019B2"/>
    <w:rsid w:val="00C116C3"/>
    <w:rsid w:val="00C16319"/>
    <w:rsid w:val="00C16E64"/>
    <w:rsid w:val="00C1740F"/>
    <w:rsid w:val="00C177E1"/>
    <w:rsid w:val="00C2313B"/>
    <w:rsid w:val="00C34926"/>
    <w:rsid w:val="00C3579C"/>
    <w:rsid w:val="00C42903"/>
    <w:rsid w:val="00C43715"/>
    <w:rsid w:val="00C43F02"/>
    <w:rsid w:val="00C441EE"/>
    <w:rsid w:val="00C46885"/>
    <w:rsid w:val="00C50EC9"/>
    <w:rsid w:val="00C52CB1"/>
    <w:rsid w:val="00C53BCE"/>
    <w:rsid w:val="00C55BB4"/>
    <w:rsid w:val="00C75651"/>
    <w:rsid w:val="00C8021E"/>
    <w:rsid w:val="00C82529"/>
    <w:rsid w:val="00C84475"/>
    <w:rsid w:val="00C87725"/>
    <w:rsid w:val="00C91EB6"/>
    <w:rsid w:val="00C963E6"/>
    <w:rsid w:val="00CA6D87"/>
    <w:rsid w:val="00CB201D"/>
    <w:rsid w:val="00CC6018"/>
    <w:rsid w:val="00CD1CBB"/>
    <w:rsid w:val="00CD7B36"/>
    <w:rsid w:val="00CE1517"/>
    <w:rsid w:val="00CE3F91"/>
    <w:rsid w:val="00CF3DC7"/>
    <w:rsid w:val="00D018BD"/>
    <w:rsid w:val="00D06E58"/>
    <w:rsid w:val="00D16EE0"/>
    <w:rsid w:val="00D2269A"/>
    <w:rsid w:val="00D23490"/>
    <w:rsid w:val="00D23D16"/>
    <w:rsid w:val="00D26E96"/>
    <w:rsid w:val="00D36A36"/>
    <w:rsid w:val="00D44763"/>
    <w:rsid w:val="00D54807"/>
    <w:rsid w:val="00D60908"/>
    <w:rsid w:val="00D628F5"/>
    <w:rsid w:val="00D645CD"/>
    <w:rsid w:val="00D66160"/>
    <w:rsid w:val="00D713B1"/>
    <w:rsid w:val="00D7144C"/>
    <w:rsid w:val="00D764D5"/>
    <w:rsid w:val="00D76EE0"/>
    <w:rsid w:val="00D80690"/>
    <w:rsid w:val="00D81AD4"/>
    <w:rsid w:val="00D83786"/>
    <w:rsid w:val="00D837F1"/>
    <w:rsid w:val="00D86C3E"/>
    <w:rsid w:val="00D92245"/>
    <w:rsid w:val="00D9707C"/>
    <w:rsid w:val="00DA485C"/>
    <w:rsid w:val="00DB1CA0"/>
    <w:rsid w:val="00DB35FE"/>
    <w:rsid w:val="00DB3663"/>
    <w:rsid w:val="00DB43FF"/>
    <w:rsid w:val="00DC18E0"/>
    <w:rsid w:val="00DC283B"/>
    <w:rsid w:val="00DC5271"/>
    <w:rsid w:val="00DC771B"/>
    <w:rsid w:val="00DD401F"/>
    <w:rsid w:val="00DD42F1"/>
    <w:rsid w:val="00DD6117"/>
    <w:rsid w:val="00DE25E5"/>
    <w:rsid w:val="00DE3435"/>
    <w:rsid w:val="00DE38A8"/>
    <w:rsid w:val="00DE3C8D"/>
    <w:rsid w:val="00DE5890"/>
    <w:rsid w:val="00DE7F04"/>
    <w:rsid w:val="00DF1ED7"/>
    <w:rsid w:val="00DF2E46"/>
    <w:rsid w:val="00DF4EAD"/>
    <w:rsid w:val="00E0115C"/>
    <w:rsid w:val="00E019C5"/>
    <w:rsid w:val="00E048E9"/>
    <w:rsid w:val="00E139CA"/>
    <w:rsid w:val="00E15769"/>
    <w:rsid w:val="00E16E55"/>
    <w:rsid w:val="00E23C2F"/>
    <w:rsid w:val="00E2487F"/>
    <w:rsid w:val="00E30087"/>
    <w:rsid w:val="00E31928"/>
    <w:rsid w:val="00E31C44"/>
    <w:rsid w:val="00E34C33"/>
    <w:rsid w:val="00E52CE4"/>
    <w:rsid w:val="00E55150"/>
    <w:rsid w:val="00E621F5"/>
    <w:rsid w:val="00E70305"/>
    <w:rsid w:val="00E707DF"/>
    <w:rsid w:val="00E726F2"/>
    <w:rsid w:val="00E73081"/>
    <w:rsid w:val="00E74102"/>
    <w:rsid w:val="00E74517"/>
    <w:rsid w:val="00E773F9"/>
    <w:rsid w:val="00E86366"/>
    <w:rsid w:val="00E90CF3"/>
    <w:rsid w:val="00E90D9A"/>
    <w:rsid w:val="00E937AB"/>
    <w:rsid w:val="00EA0CFB"/>
    <w:rsid w:val="00EA116E"/>
    <w:rsid w:val="00EA2540"/>
    <w:rsid w:val="00EA347D"/>
    <w:rsid w:val="00EA774D"/>
    <w:rsid w:val="00EB0B58"/>
    <w:rsid w:val="00EB192F"/>
    <w:rsid w:val="00EB4C06"/>
    <w:rsid w:val="00EC27E3"/>
    <w:rsid w:val="00EC39A3"/>
    <w:rsid w:val="00EC624D"/>
    <w:rsid w:val="00ED178F"/>
    <w:rsid w:val="00ED23B9"/>
    <w:rsid w:val="00EE4B80"/>
    <w:rsid w:val="00EE5230"/>
    <w:rsid w:val="00EE671E"/>
    <w:rsid w:val="00EE74D9"/>
    <w:rsid w:val="00EF1DB3"/>
    <w:rsid w:val="00F02E42"/>
    <w:rsid w:val="00F0528A"/>
    <w:rsid w:val="00F1364C"/>
    <w:rsid w:val="00F226AF"/>
    <w:rsid w:val="00F23D44"/>
    <w:rsid w:val="00F270A5"/>
    <w:rsid w:val="00F27BE3"/>
    <w:rsid w:val="00F30912"/>
    <w:rsid w:val="00F36DAA"/>
    <w:rsid w:val="00F37105"/>
    <w:rsid w:val="00F42464"/>
    <w:rsid w:val="00F4250C"/>
    <w:rsid w:val="00F51852"/>
    <w:rsid w:val="00F5318A"/>
    <w:rsid w:val="00F60434"/>
    <w:rsid w:val="00F60E3F"/>
    <w:rsid w:val="00F652D0"/>
    <w:rsid w:val="00F74F35"/>
    <w:rsid w:val="00F76B9F"/>
    <w:rsid w:val="00F77ACE"/>
    <w:rsid w:val="00F8392F"/>
    <w:rsid w:val="00F85807"/>
    <w:rsid w:val="00F90EAE"/>
    <w:rsid w:val="00F94661"/>
    <w:rsid w:val="00F94742"/>
    <w:rsid w:val="00F94B6C"/>
    <w:rsid w:val="00FA1D24"/>
    <w:rsid w:val="00FA3D9E"/>
    <w:rsid w:val="00FA59CB"/>
    <w:rsid w:val="00FA6533"/>
    <w:rsid w:val="00FB1A07"/>
    <w:rsid w:val="00FB7692"/>
    <w:rsid w:val="00FC1867"/>
    <w:rsid w:val="00FC3E2B"/>
    <w:rsid w:val="00FC5427"/>
    <w:rsid w:val="00FC6CDA"/>
    <w:rsid w:val="00FD262B"/>
    <w:rsid w:val="00FD2910"/>
    <w:rsid w:val="00FD324C"/>
    <w:rsid w:val="00FD716B"/>
    <w:rsid w:val="00FE4E32"/>
    <w:rsid w:val="00FF11DB"/>
    <w:rsid w:val="00FF14E5"/>
    <w:rsid w:val="00FF2E3B"/>
    <w:rsid w:val="00FF39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F116BAC"/>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476C"/>
    <w:rPr>
      <w:rFonts w:ascii="Times New Roman" w:eastAsia="Times New Roman" w:hAnsi="Times New Roman"/>
      <w:sz w:val="24"/>
      <w:szCs w:val="24"/>
    </w:rPr>
  </w:style>
  <w:style w:type="paragraph" w:styleId="1">
    <w:name w:val="heading 1"/>
    <w:basedOn w:val="a"/>
    <w:next w:val="a"/>
    <w:link w:val="10"/>
    <w:uiPriority w:val="9"/>
    <w:qFormat/>
    <w:rsid w:val="00362C75"/>
    <w:pPr>
      <w:keepNext/>
      <w:keepLines/>
      <w:autoSpaceDE w:val="0"/>
      <w:autoSpaceDN w:val="0"/>
      <w:adjustRightInd w:val="0"/>
      <w:spacing w:before="480"/>
      <w:outlineLvl w:val="0"/>
    </w:pPr>
    <w:rPr>
      <w:rFonts w:ascii="Cambria" w:hAnsi="Cambria"/>
      <w:b/>
      <w:bCs/>
      <w:color w:val="365F91"/>
      <w:sz w:val="28"/>
      <w:szCs w:val="28"/>
    </w:rPr>
  </w:style>
  <w:style w:type="paragraph" w:styleId="2">
    <w:name w:val="heading 2"/>
    <w:basedOn w:val="a"/>
    <w:next w:val="a"/>
    <w:link w:val="20"/>
    <w:uiPriority w:val="9"/>
    <w:unhideWhenUsed/>
    <w:qFormat/>
    <w:rsid w:val="00823A00"/>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qFormat/>
    <w:rsid w:val="00C2313B"/>
    <w:pPr>
      <w:keepNext/>
      <w:autoSpaceDE w:val="0"/>
      <w:autoSpaceDN w:val="0"/>
      <w:adjustRightInd w:val="0"/>
      <w:jc w:val="center"/>
      <w:outlineLvl w:val="2"/>
    </w:pPr>
    <w:rPr>
      <w:b/>
      <w:bCs/>
      <w:sz w:val="28"/>
      <w:szCs w:val="28"/>
    </w:rPr>
  </w:style>
  <w:style w:type="paragraph" w:styleId="4">
    <w:name w:val="heading 4"/>
    <w:basedOn w:val="a"/>
    <w:next w:val="a"/>
    <w:link w:val="40"/>
    <w:uiPriority w:val="9"/>
    <w:unhideWhenUsed/>
    <w:qFormat/>
    <w:rsid w:val="00823A00"/>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link w:val="50"/>
    <w:uiPriority w:val="9"/>
    <w:qFormat/>
    <w:rsid w:val="00362C75"/>
    <w:pPr>
      <w:spacing w:before="131"/>
      <w:outlineLvl w:val="4"/>
    </w:pPr>
    <w:rPr>
      <w:b/>
      <w:bCs/>
      <w:sz w:val="20"/>
      <w:szCs w:val="20"/>
    </w:rPr>
  </w:style>
  <w:style w:type="paragraph" w:styleId="6">
    <w:name w:val="heading 6"/>
    <w:basedOn w:val="a"/>
    <w:link w:val="60"/>
    <w:uiPriority w:val="9"/>
    <w:qFormat/>
    <w:rsid w:val="00362C75"/>
    <w:pPr>
      <w:spacing w:before="13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pPr>
    <w:rPr>
      <w:rFonts w:ascii="Arial" w:hAnsi="Arial" w:cs="Arial"/>
      <w:color w:val="0000FF"/>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3">
    <w:name w:val="Сноска"/>
    <w:basedOn w:val="a"/>
    <w:link w:val="aff4"/>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8">
    <w:name w:val="Заголовок №1"/>
    <w:basedOn w:val="a"/>
    <w:link w:val="19"/>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2">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7">
    <w:name w:val="Колонтитул"/>
    <w:basedOn w:val="a"/>
    <w:link w:val="aff8"/>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9">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link w:val="341"/>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5">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link w:val="371"/>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character" w:customStyle="1" w:styleId="30">
    <w:name w:val="Заголовок 3 Знак"/>
    <w:link w:val="3"/>
    <w:uiPriority w:val="9"/>
    <w:rsid w:val="00C2313B"/>
    <w:rPr>
      <w:rFonts w:ascii="Times New Roman" w:hAnsi="Times New Roman" w:cs="Times New Roman"/>
      <w:b/>
      <w:bCs/>
      <w:sz w:val="28"/>
      <w:szCs w:val="28"/>
    </w:rPr>
  </w:style>
  <w:style w:type="character" w:customStyle="1" w:styleId="221">
    <w:name w:val="Подпись к таблице (2)2"/>
    <w:uiPriority w:val="99"/>
    <w:rsid w:val="00C2313B"/>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C2313B"/>
    <w:pPr>
      <w:shd w:val="clear" w:color="auto" w:fill="FFFFFF"/>
      <w:autoSpaceDE w:val="0"/>
      <w:autoSpaceDN w:val="0"/>
      <w:adjustRightInd w:val="0"/>
      <w:spacing w:line="202" w:lineRule="exact"/>
      <w:jc w:val="center"/>
    </w:pPr>
    <w:rPr>
      <w:rFonts w:ascii="Franklin Gothic Book" w:hAnsi="Franklin Gothic Book" w:cs="Franklin Gothic Book"/>
      <w:b/>
      <w:bCs/>
      <w:noProof/>
      <w:sz w:val="15"/>
      <w:szCs w:val="15"/>
      <w:lang w:val="en-US"/>
    </w:rPr>
  </w:style>
  <w:style w:type="paragraph" w:customStyle="1" w:styleId="610">
    <w:name w:val="Основной текст (6)1"/>
    <w:basedOn w:val="a"/>
    <w:uiPriority w:val="99"/>
    <w:rsid w:val="00C2313B"/>
    <w:pPr>
      <w:shd w:val="clear" w:color="auto" w:fill="FFFFFF"/>
      <w:autoSpaceDE w:val="0"/>
      <w:autoSpaceDN w:val="0"/>
      <w:adjustRightInd w:val="0"/>
      <w:spacing w:line="202" w:lineRule="exact"/>
    </w:pPr>
    <w:rPr>
      <w:rFonts w:ascii="Microsoft Sans Serif" w:hAnsi="Microsoft Sans Serif" w:cs="Microsoft Sans Serif"/>
      <w:i/>
      <w:iCs/>
      <w:noProof/>
      <w:sz w:val="23"/>
      <w:szCs w:val="23"/>
      <w:lang w:val="en-US"/>
    </w:rPr>
  </w:style>
  <w:style w:type="paragraph" w:customStyle="1" w:styleId="1b">
    <w:name w:val="Текст1"/>
    <w:basedOn w:val="Iauiue"/>
    <w:rsid w:val="00573476"/>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4945E9"/>
    <w:pPr>
      <w:shd w:val="clear" w:color="auto" w:fill="FFFFFF"/>
      <w:overflowPunct w:val="0"/>
      <w:autoSpaceDE w:val="0"/>
      <w:autoSpaceDN w:val="0"/>
      <w:adjustRightInd w:val="0"/>
      <w:spacing w:after="1080" w:line="410" w:lineRule="exact"/>
      <w:ind w:hanging="2000"/>
      <w:jc w:val="center"/>
      <w:textAlignment w:val="baseline"/>
    </w:pPr>
    <w:rPr>
      <w:color w:val="000000"/>
      <w:sz w:val="18"/>
      <w:szCs w:val="20"/>
    </w:rPr>
  </w:style>
  <w:style w:type="character" w:customStyle="1" w:styleId="12pt">
    <w:name w:val="Основной текст + 12 pt"/>
    <w:rsid w:val="00BA2B8F"/>
    <w:rPr>
      <w:rFonts w:ascii="Times New Roman" w:hAnsi="Times New Roman"/>
      <w:spacing w:val="-10"/>
      <w:sz w:val="24"/>
    </w:rPr>
  </w:style>
  <w:style w:type="character" w:customStyle="1" w:styleId="aff2">
    <w:name w:val="Подпись к таблице_"/>
    <w:link w:val="aff1"/>
    <w:rsid w:val="006979C2"/>
    <w:rPr>
      <w:rFonts w:ascii="Arial Narrow" w:hAnsi="Arial Narrow" w:cs="Arial Narrow"/>
      <w:i/>
      <w:iCs/>
      <w:noProof/>
      <w:sz w:val="20"/>
      <w:szCs w:val="20"/>
      <w:shd w:val="clear" w:color="auto" w:fill="FFFFFF"/>
      <w:lang w:val="en-US"/>
    </w:rPr>
  </w:style>
  <w:style w:type="paragraph" w:customStyle="1" w:styleId="191">
    <w:name w:val="Основной текст (19)"/>
    <w:basedOn w:val="a"/>
    <w:link w:val="192"/>
    <w:uiPriority w:val="99"/>
    <w:rsid w:val="006979C2"/>
    <w:pPr>
      <w:shd w:val="clear" w:color="auto" w:fill="FFFFFF"/>
      <w:overflowPunct w:val="0"/>
      <w:autoSpaceDE w:val="0"/>
      <w:autoSpaceDN w:val="0"/>
      <w:adjustRightInd w:val="0"/>
      <w:spacing w:line="240" w:lineRule="atLeast"/>
      <w:textAlignment w:val="baseline"/>
    </w:pPr>
    <w:rPr>
      <w:rFonts w:ascii="Arial" w:hAnsi="Arial"/>
      <w:sz w:val="33"/>
      <w:szCs w:val="20"/>
    </w:rPr>
  </w:style>
  <w:style w:type="paragraph" w:customStyle="1" w:styleId="260">
    <w:name w:val="Основной текст (26)"/>
    <w:basedOn w:val="a"/>
    <w:link w:val="261"/>
    <w:rsid w:val="006979C2"/>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6979C2"/>
    <w:rPr>
      <w:rFonts w:ascii="Arial" w:eastAsia="Times New Roman" w:hAnsi="Arial" w:cs="Times New Roman"/>
      <w:sz w:val="14"/>
      <w:szCs w:val="20"/>
      <w:shd w:val="clear" w:color="auto" w:fill="FFFFFF"/>
      <w:lang w:eastAsia="ru-RU"/>
    </w:rPr>
  </w:style>
  <w:style w:type="paragraph" w:customStyle="1" w:styleId="301">
    <w:name w:val="Основной текст (30)"/>
    <w:basedOn w:val="a"/>
    <w:link w:val="302"/>
    <w:rsid w:val="006979C2"/>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paragraph" w:customStyle="1" w:styleId="380">
    <w:name w:val="Основной текст (38)"/>
    <w:basedOn w:val="a"/>
    <w:rsid w:val="006979C2"/>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paragraph" w:customStyle="1" w:styleId="67">
    <w:name w:val="Основной текст (6)"/>
    <w:basedOn w:val="a"/>
    <w:link w:val="68"/>
    <w:rsid w:val="006979C2"/>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371">
    <w:name w:val="Основной текст (37)_"/>
    <w:link w:val="370"/>
    <w:rsid w:val="006979C2"/>
    <w:rPr>
      <w:rFonts w:ascii="MS Reference Sans Serif" w:hAnsi="MS Reference Sans Serif" w:cs="MS Reference Sans Serif"/>
      <w:i/>
      <w:iCs/>
      <w:sz w:val="12"/>
      <w:szCs w:val="12"/>
      <w:shd w:val="clear" w:color="auto" w:fill="FFFFFF"/>
    </w:rPr>
  </w:style>
  <w:style w:type="paragraph" w:customStyle="1" w:styleId="400">
    <w:name w:val="Основной текст (40)"/>
    <w:basedOn w:val="a"/>
    <w:rsid w:val="006979C2"/>
    <w:pPr>
      <w:shd w:val="clear" w:color="auto" w:fill="FFFFFF"/>
      <w:overflowPunct w:val="0"/>
      <w:autoSpaceDE w:val="0"/>
      <w:autoSpaceDN w:val="0"/>
      <w:adjustRightInd w:val="0"/>
      <w:spacing w:line="240" w:lineRule="atLeast"/>
      <w:jc w:val="both"/>
      <w:textAlignment w:val="baseline"/>
    </w:pPr>
    <w:rPr>
      <w:rFonts w:ascii="Gungsuh" w:eastAsia="Gungsuh"/>
      <w:sz w:val="8"/>
      <w:szCs w:val="20"/>
    </w:rPr>
  </w:style>
  <w:style w:type="character" w:customStyle="1" w:styleId="308pt">
    <w:name w:val="Основной текст (30) + 8 pt"/>
    <w:rsid w:val="006979C2"/>
    <w:rPr>
      <w:rFonts w:ascii="Times New Roman" w:hAnsi="Times New Roman"/>
      <w:sz w:val="16"/>
    </w:rPr>
  </w:style>
  <w:style w:type="character" w:customStyle="1" w:styleId="68">
    <w:name w:val="Основной текст (6)_"/>
    <w:link w:val="67"/>
    <w:rsid w:val="006979C2"/>
    <w:rPr>
      <w:rFonts w:ascii="Calibri" w:eastAsia="Times New Roman" w:hAnsi="Calibri" w:cs="Times New Roman"/>
      <w:sz w:val="24"/>
      <w:szCs w:val="20"/>
      <w:shd w:val="clear" w:color="auto" w:fill="FFFFFF"/>
      <w:lang w:eastAsia="ru-RU"/>
    </w:rPr>
  </w:style>
  <w:style w:type="character" w:customStyle="1" w:styleId="302">
    <w:name w:val="Основной текст (30)_"/>
    <w:link w:val="301"/>
    <w:rsid w:val="006979C2"/>
    <w:rPr>
      <w:rFonts w:ascii="Gungsuh" w:eastAsia="Gungsuh" w:hAnsi="Times New Roman" w:cs="Times New Roman"/>
      <w:sz w:val="8"/>
      <w:szCs w:val="20"/>
      <w:shd w:val="clear" w:color="auto" w:fill="FFFFFF"/>
      <w:lang w:eastAsia="ru-RU"/>
    </w:rPr>
  </w:style>
  <w:style w:type="character" w:customStyle="1" w:styleId="192">
    <w:name w:val="Основной текст (19)_"/>
    <w:link w:val="191"/>
    <w:uiPriority w:val="99"/>
    <w:rsid w:val="006979C2"/>
    <w:rPr>
      <w:rFonts w:ascii="Arial" w:eastAsia="Times New Roman" w:hAnsi="Arial" w:cs="Times New Roman"/>
      <w:sz w:val="33"/>
      <w:szCs w:val="20"/>
      <w:shd w:val="clear" w:color="auto" w:fill="FFFFFF"/>
      <w:lang w:eastAsia="ru-RU"/>
    </w:rPr>
  </w:style>
  <w:style w:type="paragraph" w:customStyle="1" w:styleId="161">
    <w:name w:val="Основной текст (16)"/>
    <w:basedOn w:val="a"/>
    <w:link w:val="162"/>
    <w:uiPriority w:val="99"/>
    <w:rsid w:val="006979C2"/>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Candara">
    <w:name w:val="Основной текст (16) + Candara"/>
    <w:rsid w:val="006979C2"/>
    <w:rPr>
      <w:rFonts w:ascii="Candara" w:hAnsi="Candara"/>
      <w:spacing w:val="0"/>
      <w:sz w:val="18"/>
    </w:rPr>
  </w:style>
  <w:style w:type="character" w:customStyle="1" w:styleId="162">
    <w:name w:val="Основной текст (16)_"/>
    <w:link w:val="161"/>
    <w:uiPriority w:val="99"/>
    <w:rsid w:val="006979C2"/>
    <w:rPr>
      <w:rFonts w:ascii="Arial" w:eastAsia="Times New Roman" w:hAnsi="Arial" w:cs="Times New Roman"/>
      <w:sz w:val="28"/>
      <w:szCs w:val="20"/>
      <w:shd w:val="clear" w:color="auto" w:fill="FFFFFF"/>
      <w:lang w:eastAsia="ru-RU"/>
    </w:rPr>
  </w:style>
  <w:style w:type="character" w:customStyle="1" w:styleId="20">
    <w:name w:val="Заголовок 2 Знак"/>
    <w:link w:val="2"/>
    <w:uiPriority w:val="9"/>
    <w:rsid w:val="00823A00"/>
    <w:rPr>
      <w:rFonts w:ascii="Cambria" w:eastAsia="Times New Roman" w:hAnsi="Cambria" w:cs="Times New Roman"/>
      <w:color w:val="365F91"/>
      <w:sz w:val="26"/>
      <w:szCs w:val="26"/>
      <w:lang w:eastAsia="ru-RU"/>
    </w:rPr>
  </w:style>
  <w:style w:type="character" w:customStyle="1" w:styleId="40">
    <w:name w:val="Заголовок 4 Знак"/>
    <w:link w:val="4"/>
    <w:uiPriority w:val="9"/>
    <w:rsid w:val="00823A00"/>
    <w:rPr>
      <w:rFonts w:ascii="Cambria" w:eastAsia="Times New Roman" w:hAnsi="Cambria" w:cs="Times New Roman"/>
      <w:i/>
      <w:iCs/>
      <w:color w:val="365F91"/>
      <w:sz w:val="20"/>
      <w:szCs w:val="20"/>
      <w:lang w:eastAsia="ru-RU"/>
    </w:rPr>
  </w:style>
  <w:style w:type="paragraph" w:customStyle="1" w:styleId="83">
    <w:name w:val="Основной текст8"/>
    <w:basedOn w:val="a"/>
    <w:rsid w:val="00E55150"/>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59">
    <w:name w:val="Основной текст (5)"/>
    <w:basedOn w:val="a"/>
    <w:rsid w:val="00E55150"/>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table" w:styleId="affc">
    <w:name w:val="Table Grid"/>
    <w:basedOn w:val="a1"/>
    <w:uiPriority w:val="59"/>
    <w:rsid w:val="00E5515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764D5"/>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character" w:customStyle="1" w:styleId="10">
    <w:name w:val="Заголовок 1 Знак"/>
    <w:link w:val="1"/>
    <w:uiPriority w:val="9"/>
    <w:rsid w:val="00362C75"/>
    <w:rPr>
      <w:rFonts w:ascii="Cambria" w:eastAsia="Times New Roman" w:hAnsi="Cambria" w:cs="Times New Roman"/>
      <w:b/>
      <w:bCs/>
      <w:color w:val="365F91"/>
      <w:sz w:val="28"/>
      <w:szCs w:val="28"/>
    </w:rPr>
  </w:style>
  <w:style w:type="character" w:customStyle="1" w:styleId="50">
    <w:name w:val="Заголовок 5 Знак"/>
    <w:link w:val="5"/>
    <w:uiPriority w:val="9"/>
    <w:rsid w:val="00362C75"/>
    <w:rPr>
      <w:rFonts w:ascii="Times New Roman" w:eastAsia="Times New Roman" w:hAnsi="Times New Roman" w:cs="Times New Roman"/>
      <w:b/>
      <w:bCs/>
      <w:sz w:val="20"/>
      <w:szCs w:val="20"/>
      <w:lang w:eastAsia="ru-RU"/>
    </w:rPr>
  </w:style>
  <w:style w:type="character" w:customStyle="1" w:styleId="60">
    <w:name w:val="Заголовок 6 Знак"/>
    <w:link w:val="6"/>
    <w:uiPriority w:val="9"/>
    <w:rsid w:val="00362C75"/>
    <w:rPr>
      <w:rFonts w:ascii="Times New Roman" w:eastAsia="Times New Roman" w:hAnsi="Times New Roman" w:cs="Times New Roman"/>
      <w:b/>
      <w:bCs/>
      <w:sz w:val="15"/>
      <w:szCs w:val="15"/>
      <w:lang w:eastAsia="ru-RU"/>
    </w:rPr>
  </w:style>
  <w:style w:type="character" w:customStyle="1" w:styleId="1c">
    <w:name w:val="Выделение1"/>
    <w:rsid w:val="00362C75"/>
    <w:rPr>
      <w:rFonts w:ascii="Calibri" w:hAnsi="Calibri"/>
      <w:b/>
      <w:i/>
    </w:rPr>
  </w:style>
  <w:style w:type="character" w:customStyle="1" w:styleId="1d">
    <w:name w:val="Строгий1"/>
    <w:rsid w:val="00362C75"/>
    <w:rPr>
      <w:b/>
    </w:rPr>
  </w:style>
  <w:style w:type="character" w:customStyle="1" w:styleId="1e">
    <w:name w:val="Гиперссылка1"/>
    <w:rsid w:val="00362C75"/>
    <w:rPr>
      <w:color w:val="0000FF"/>
      <w:u w:val="single"/>
    </w:rPr>
  </w:style>
  <w:style w:type="paragraph" w:customStyle="1" w:styleId="1f">
    <w:name w:val="Обычный (веб)1"/>
    <w:basedOn w:val="a"/>
    <w:rsid w:val="00362C75"/>
    <w:pPr>
      <w:overflowPunct w:val="0"/>
      <w:autoSpaceDE w:val="0"/>
      <w:autoSpaceDN w:val="0"/>
      <w:adjustRightInd w:val="0"/>
      <w:spacing w:before="100" w:after="100"/>
      <w:textAlignment w:val="baseline"/>
    </w:pPr>
    <w:rPr>
      <w:szCs w:val="20"/>
    </w:rPr>
  </w:style>
  <w:style w:type="paragraph" w:customStyle="1" w:styleId="1210">
    <w:name w:val="Основной текст (12)1"/>
    <w:basedOn w:val="a"/>
    <w:uiPriority w:val="99"/>
    <w:rsid w:val="00362C75"/>
    <w:pPr>
      <w:shd w:val="clear" w:color="auto" w:fill="FFFFFF"/>
      <w:overflowPunct w:val="0"/>
      <w:autoSpaceDE w:val="0"/>
      <w:autoSpaceDN w:val="0"/>
      <w:adjustRightInd w:val="0"/>
      <w:spacing w:line="206" w:lineRule="exact"/>
      <w:textAlignment w:val="baseline"/>
    </w:pPr>
    <w:rPr>
      <w:rFonts w:ascii="MS Reference Sans Serif" w:hAnsi="MS Reference Sans Serif"/>
      <w:sz w:val="15"/>
      <w:szCs w:val="20"/>
      <w:lang w:val="en-US"/>
    </w:rPr>
  </w:style>
  <w:style w:type="character" w:customStyle="1" w:styleId="241">
    <w:name w:val="Подпись к таблице (2)4"/>
    <w:basedOn w:val="a0"/>
    <w:uiPriority w:val="99"/>
    <w:rsid w:val="00362C75"/>
  </w:style>
  <w:style w:type="character" w:customStyle="1" w:styleId="129">
    <w:name w:val="Основной текст (12)9"/>
    <w:basedOn w:val="a0"/>
    <w:uiPriority w:val="99"/>
    <w:rsid w:val="00362C75"/>
  </w:style>
  <w:style w:type="character" w:customStyle="1" w:styleId="720">
    <w:name w:val="Основной текст (7)2"/>
    <w:uiPriority w:val="99"/>
    <w:rsid w:val="00362C75"/>
    <w:rPr>
      <w:rFonts w:ascii="Franklin Gothic Medium" w:hAnsi="Franklin Gothic Medium"/>
      <w:b/>
      <w:sz w:val="23"/>
    </w:rPr>
  </w:style>
  <w:style w:type="character" w:customStyle="1" w:styleId="128">
    <w:name w:val="Основной текст (12)8"/>
    <w:basedOn w:val="a0"/>
    <w:uiPriority w:val="99"/>
    <w:rsid w:val="00362C75"/>
  </w:style>
  <w:style w:type="character" w:customStyle="1" w:styleId="aff8">
    <w:name w:val="Колонтитул_"/>
    <w:link w:val="aff7"/>
    <w:uiPriority w:val="99"/>
    <w:rsid w:val="00362C75"/>
    <w:rPr>
      <w:rFonts w:ascii="Times New Roman" w:hAnsi="Times New Roman" w:cs="Times New Roman"/>
      <w:sz w:val="20"/>
      <w:szCs w:val="20"/>
      <w:shd w:val="clear" w:color="auto" w:fill="FFFFFF"/>
    </w:rPr>
  </w:style>
  <w:style w:type="character" w:customStyle="1" w:styleId="ArialUnicodeMS">
    <w:name w:val="Колонтитул + Arial Unicode MS"/>
    <w:rsid w:val="00362C75"/>
    <w:rPr>
      <w:rFonts w:ascii="Arial Unicode MS" w:eastAsia="Arial Unicode MS"/>
      <w:spacing w:val="0"/>
      <w:sz w:val="19"/>
    </w:rPr>
  </w:style>
  <w:style w:type="paragraph" w:customStyle="1" w:styleId="103">
    <w:name w:val="Основной текст (10)"/>
    <w:basedOn w:val="a"/>
    <w:link w:val="104"/>
    <w:rsid w:val="00362C75"/>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362C75"/>
    <w:rPr>
      <w:rFonts w:ascii="Arial" w:eastAsia="Times New Roman" w:hAnsi="Arial" w:cs="Times New Roman"/>
      <w:sz w:val="11"/>
      <w:szCs w:val="20"/>
      <w:shd w:val="clear" w:color="auto" w:fill="FFFFFF"/>
      <w:lang w:eastAsia="ru-RU"/>
    </w:rPr>
  </w:style>
  <w:style w:type="character" w:customStyle="1" w:styleId="183">
    <w:name w:val="Основной текст (18)_"/>
    <w:link w:val="182"/>
    <w:uiPriority w:val="99"/>
    <w:rsid w:val="00362C75"/>
    <w:rPr>
      <w:rFonts w:ascii="Arial" w:hAnsi="Arial" w:cs="Arial"/>
      <w:sz w:val="24"/>
      <w:szCs w:val="24"/>
      <w:shd w:val="clear" w:color="auto" w:fill="FFFFFF"/>
    </w:rPr>
  </w:style>
  <w:style w:type="paragraph" w:customStyle="1" w:styleId="203">
    <w:name w:val="Основной текст (20)"/>
    <w:basedOn w:val="a"/>
    <w:uiPriority w:val="99"/>
    <w:rsid w:val="00362C75"/>
    <w:pPr>
      <w:shd w:val="clear" w:color="auto" w:fill="FFFFFF"/>
      <w:overflowPunct w:val="0"/>
      <w:autoSpaceDE w:val="0"/>
      <w:autoSpaceDN w:val="0"/>
      <w:adjustRightInd w:val="0"/>
      <w:spacing w:line="240" w:lineRule="atLeast"/>
      <w:textAlignment w:val="baseline"/>
    </w:pPr>
    <w:rPr>
      <w:rFonts w:ascii="Arial Narrow" w:hAnsi="Arial Narrow"/>
      <w:sz w:val="12"/>
      <w:szCs w:val="20"/>
    </w:rPr>
  </w:style>
  <w:style w:type="paragraph" w:customStyle="1" w:styleId="172">
    <w:name w:val="Основной текст (17)"/>
    <w:basedOn w:val="a"/>
    <w:link w:val="173"/>
    <w:uiPriority w:val="99"/>
    <w:rsid w:val="00362C75"/>
    <w:pPr>
      <w:shd w:val="clear" w:color="auto" w:fill="FFFFFF"/>
      <w:overflowPunct w:val="0"/>
      <w:autoSpaceDE w:val="0"/>
      <w:autoSpaceDN w:val="0"/>
      <w:adjustRightInd w:val="0"/>
      <w:spacing w:before="120" w:after="300" w:line="240" w:lineRule="atLeast"/>
      <w:jc w:val="both"/>
      <w:textAlignment w:val="baseline"/>
    </w:pPr>
    <w:rPr>
      <w:rFonts w:ascii="Arial Narrow" w:hAnsi="Arial Narrow"/>
      <w:sz w:val="35"/>
      <w:szCs w:val="20"/>
    </w:rPr>
  </w:style>
  <w:style w:type="character" w:customStyle="1" w:styleId="1pt0">
    <w:name w:val="Подпись к таблице + Интервал 1 pt"/>
    <w:rsid w:val="00362C75"/>
    <w:rPr>
      <w:rFonts w:ascii="Times New Roman" w:hAnsi="Times New Roman"/>
      <w:noProof w:val="0"/>
      <w:spacing w:val="20"/>
      <w:sz w:val="14"/>
      <w:lang w:val="en-US"/>
    </w:rPr>
  </w:style>
  <w:style w:type="paragraph" w:customStyle="1" w:styleId="213">
    <w:name w:val="Основной текст (21)"/>
    <w:basedOn w:val="a"/>
    <w:link w:val="214"/>
    <w:uiPriority w:val="99"/>
    <w:rsid w:val="00362C75"/>
    <w:pPr>
      <w:shd w:val="clear" w:color="auto" w:fill="FFFFFF"/>
      <w:overflowPunct w:val="0"/>
      <w:autoSpaceDE w:val="0"/>
      <w:autoSpaceDN w:val="0"/>
      <w:adjustRightInd w:val="0"/>
      <w:spacing w:after="60" w:line="240" w:lineRule="atLeast"/>
      <w:textAlignment w:val="baseline"/>
    </w:pPr>
    <w:rPr>
      <w:sz w:val="16"/>
      <w:szCs w:val="20"/>
    </w:rPr>
  </w:style>
  <w:style w:type="character" w:customStyle="1" w:styleId="ArialUnicodeMS0">
    <w:name w:val="Основной текст + Arial Unicode MS"/>
    <w:rsid w:val="00362C75"/>
    <w:rPr>
      <w:rFonts w:ascii="Arial Unicode MS" w:eastAsia="Arial Unicode MS"/>
      <w:b/>
      <w:spacing w:val="0"/>
      <w:sz w:val="16"/>
    </w:rPr>
  </w:style>
  <w:style w:type="character" w:customStyle="1" w:styleId="163">
    <w:name w:val="Основной текст (16) + Не курсив"/>
    <w:rsid w:val="00362C75"/>
    <w:rPr>
      <w:rFonts w:ascii="Times New Roman" w:hAnsi="Times New Roman"/>
      <w:i/>
      <w:spacing w:val="0"/>
      <w:sz w:val="18"/>
    </w:rPr>
  </w:style>
  <w:style w:type="character" w:customStyle="1" w:styleId="Arial1">
    <w:name w:val="Колонтитул + Arial1"/>
    <w:rsid w:val="00362C75"/>
    <w:rPr>
      <w:rFonts w:ascii="Arial" w:hAnsi="Arial"/>
      <w:i/>
      <w:sz w:val="8"/>
    </w:rPr>
  </w:style>
  <w:style w:type="paragraph" w:customStyle="1" w:styleId="130">
    <w:name w:val="Основной текст (13)"/>
    <w:basedOn w:val="a"/>
    <w:link w:val="131"/>
    <w:uiPriority w:val="99"/>
    <w:rsid w:val="00362C75"/>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3c">
    <w:name w:val="Оглавление (3)"/>
    <w:basedOn w:val="a"/>
    <w:rsid w:val="00362C75"/>
    <w:pPr>
      <w:shd w:val="clear" w:color="auto" w:fill="FFFFFF"/>
      <w:overflowPunct w:val="0"/>
      <w:autoSpaceDE w:val="0"/>
      <w:autoSpaceDN w:val="0"/>
      <w:adjustRightInd w:val="0"/>
      <w:spacing w:line="176" w:lineRule="exact"/>
      <w:textAlignment w:val="baseline"/>
    </w:pPr>
    <w:rPr>
      <w:sz w:val="15"/>
      <w:szCs w:val="20"/>
    </w:rPr>
  </w:style>
  <w:style w:type="character" w:customStyle="1" w:styleId="MicrosoftSansSerif">
    <w:name w:val="Колонтитул + Microsoft Sans Serif"/>
    <w:rsid w:val="00362C75"/>
    <w:rPr>
      <w:rFonts w:ascii="Microsoft Sans Serif" w:hAnsi="Microsoft Sans Serif"/>
      <w:spacing w:val="0"/>
      <w:sz w:val="19"/>
    </w:rPr>
  </w:style>
  <w:style w:type="character" w:customStyle="1" w:styleId="affb">
    <w:name w:val="Подпись к картинке_"/>
    <w:link w:val="affa"/>
    <w:uiPriority w:val="99"/>
    <w:rsid w:val="00362C75"/>
    <w:rPr>
      <w:rFonts w:ascii="MS Reference Sans Serif" w:hAnsi="MS Reference Sans Serif" w:cs="MS Reference Sans Serif"/>
      <w:b/>
      <w:bCs/>
      <w:sz w:val="13"/>
      <w:szCs w:val="13"/>
      <w:shd w:val="clear" w:color="auto" w:fill="FFFFFF"/>
    </w:rPr>
  </w:style>
  <w:style w:type="character" w:customStyle="1" w:styleId="MicrosoftSansSerif0">
    <w:name w:val="Основной текст + Microsoft Sans Serif"/>
    <w:rsid w:val="00362C75"/>
    <w:rPr>
      <w:rFonts w:ascii="Microsoft Sans Serif" w:hAnsi="Microsoft Sans Serif"/>
      <w:i/>
      <w:spacing w:val="10"/>
      <w:sz w:val="15"/>
    </w:rPr>
  </w:style>
  <w:style w:type="paragraph" w:customStyle="1" w:styleId="222">
    <w:name w:val="Основной текст (22)"/>
    <w:basedOn w:val="a"/>
    <w:uiPriority w:val="99"/>
    <w:rsid w:val="00362C75"/>
    <w:pPr>
      <w:shd w:val="clear" w:color="auto" w:fill="FFFFFF"/>
      <w:overflowPunct w:val="0"/>
      <w:autoSpaceDE w:val="0"/>
      <w:autoSpaceDN w:val="0"/>
      <w:adjustRightInd w:val="0"/>
      <w:spacing w:line="382" w:lineRule="exact"/>
      <w:textAlignment w:val="baseline"/>
    </w:pPr>
    <w:rPr>
      <w:sz w:val="29"/>
      <w:szCs w:val="20"/>
    </w:rPr>
  </w:style>
  <w:style w:type="character" w:customStyle="1" w:styleId="122pt">
    <w:name w:val="Основной текст (12) + Интервал 2 pt"/>
    <w:rsid w:val="00362C75"/>
    <w:rPr>
      <w:spacing w:val="50"/>
      <w:sz w:val="16"/>
    </w:rPr>
  </w:style>
  <w:style w:type="character" w:customStyle="1" w:styleId="122">
    <w:name w:val="Основной текст (12)_"/>
    <w:rsid w:val="00362C75"/>
    <w:rPr>
      <w:spacing w:val="20"/>
      <w:sz w:val="16"/>
    </w:rPr>
  </w:style>
  <w:style w:type="character" w:customStyle="1" w:styleId="11SimSun">
    <w:name w:val="Основной текст (11) + SimSun"/>
    <w:rsid w:val="00362C75"/>
    <w:rPr>
      <w:rFonts w:ascii="SimSun" w:eastAsia="SimSun" w:hAnsi="Arial"/>
      <w:spacing w:val="-10"/>
      <w:sz w:val="16"/>
    </w:rPr>
  </w:style>
  <w:style w:type="character" w:customStyle="1" w:styleId="114">
    <w:name w:val="Основной текст (11)_"/>
    <w:rsid w:val="00362C75"/>
    <w:rPr>
      <w:rFonts w:ascii="Arial" w:hAnsi="Arial"/>
      <w:sz w:val="36"/>
    </w:rPr>
  </w:style>
  <w:style w:type="paragraph" w:customStyle="1" w:styleId="230">
    <w:name w:val="Основной текст (23)"/>
    <w:basedOn w:val="a"/>
    <w:link w:val="231"/>
    <w:uiPriority w:val="99"/>
    <w:rsid w:val="00362C75"/>
    <w:pPr>
      <w:shd w:val="clear" w:color="auto" w:fill="FFFFFF"/>
      <w:overflowPunct w:val="0"/>
      <w:autoSpaceDE w:val="0"/>
      <w:autoSpaceDN w:val="0"/>
      <w:adjustRightInd w:val="0"/>
      <w:spacing w:line="240" w:lineRule="atLeast"/>
      <w:textAlignment w:val="baseline"/>
    </w:pPr>
    <w:rPr>
      <w:rFonts w:ascii="Arial" w:hAnsi="Arial"/>
      <w:sz w:val="19"/>
      <w:szCs w:val="20"/>
    </w:rPr>
  </w:style>
  <w:style w:type="character" w:customStyle="1" w:styleId="231">
    <w:name w:val="Основной текст (23)_"/>
    <w:link w:val="230"/>
    <w:uiPriority w:val="99"/>
    <w:rsid w:val="00362C75"/>
    <w:rPr>
      <w:rFonts w:ascii="Arial" w:eastAsia="Times New Roman" w:hAnsi="Arial" w:cs="Times New Roman"/>
      <w:sz w:val="19"/>
      <w:szCs w:val="20"/>
      <w:shd w:val="clear" w:color="auto" w:fill="FFFFFF"/>
      <w:lang w:eastAsia="ru-RU"/>
    </w:rPr>
  </w:style>
  <w:style w:type="character" w:customStyle="1" w:styleId="272">
    <w:name w:val="Основной текст (27)_"/>
    <w:rsid w:val="00362C75"/>
    <w:rPr>
      <w:rFonts w:ascii="Arial" w:hAnsi="Arial"/>
      <w:sz w:val="14"/>
      <w:shd w:val="clear" w:color="auto" w:fill="FFFFFF"/>
    </w:rPr>
  </w:style>
  <w:style w:type="paragraph" w:customStyle="1" w:styleId="242">
    <w:name w:val="Основной текст (24)"/>
    <w:basedOn w:val="a"/>
    <w:link w:val="243"/>
    <w:uiPriority w:val="99"/>
    <w:rsid w:val="00362C75"/>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3">
    <w:name w:val="Основной текст (24)_"/>
    <w:link w:val="242"/>
    <w:uiPriority w:val="99"/>
    <w:rsid w:val="00362C75"/>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362C75"/>
    <w:rPr>
      <w:rFonts w:ascii="Lucida Sans Unicode" w:hAnsi="Lucida Sans Unicode" w:cs="Lucida Sans Unicode"/>
      <w:spacing w:val="10"/>
      <w:sz w:val="24"/>
      <w:szCs w:val="24"/>
      <w:shd w:val="clear" w:color="auto" w:fill="FFFFFF"/>
    </w:rPr>
  </w:style>
  <w:style w:type="paragraph" w:customStyle="1" w:styleId="5a">
    <w:name w:val="Подпись к таблице (5)"/>
    <w:basedOn w:val="a"/>
    <w:rsid w:val="00362C75"/>
    <w:pPr>
      <w:shd w:val="clear" w:color="auto" w:fill="FFFFFF"/>
      <w:overflowPunct w:val="0"/>
      <w:autoSpaceDE w:val="0"/>
      <w:autoSpaceDN w:val="0"/>
      <w:adjustRightInd w:val="0"/>
      <w:spacing w:line="191" w:lineRule="exact"/>
      <w:textAlignment w:val="baseline"/>
    </w:pPr>
    <w:rPr>
      <w:sz w:val="16"/>
      <w:szCs w:val="20"/>
    </w:rPr>
  </w:style>
  <w:style w:type="character" w:customStyle="1" w:styleId="4-1pt">
    <w:name w:val="Подпись к картинке (4) + Интервал -1 pt"/>
    <w:rsid w:val="00362C75"/>
    <w:rPr>
      <w:rFonts w:ascii="Times New Roman" w:hAnsi="Times New Roman"/>
      <w:spacing w:val="-30"/>
      <w:sz w:val="48"/>
    </w:rPr>
  </w:style>
  <w:style w:type="character" w:customStyle="1" w:styleId="53">
    <w:name w:val="Заголовок №5_"/>
    <w:link w:val="52"/>
    <w:rsid w:val="00362C75"/>
    <w:rPr>
      <w:rFonts w:ascii="Arial Narrow" w:hAnsi="Arial Narrow" w:cs="Arial Narrow"/>
      <w:b/>
      <w:bCs/>
      <w:sz w:val="46"/>
      <w:szCs w:val="46"/>
      <w:shd w:val="clear" w:color="auto" w:fill="FFFFFF"/>
    </w:rPr>
  </w:style>
  <w:style w:type="character" w:customStyle="1" w:styleId="2pt">
    <w:name w:val="Основной текст + Интервал 2 pt"/>
    <w:rsid w:val="00362C75"/>
    <w:rPr>
      <w:rFonts w:ascii="Times New Roman" w:hAnsi="Times New Roman"/>
      <w:spacing w:val="40"/>
      <w:sz w:val="18"/>
    </w:rPr>
  </w:style>
  <w:style w:type="character" w:customStyle="1" w:styleId="52pt">
    <w:name w:val="Заголовок №5 + Интервал 2 pt"/>
    <w:rsid w:val="00362C75"/>
    <w:rPr>
      <w:rFonts w:ascii="Microsoft Sans Serif" w:hAnsi="Microsoft Sans Serif"/>
      <w:spacing w:val="50"/>
      <w:sz w:val="15"/>
    </w:rPr>
  </w:style>
  <w:style w:type="paragraph" w:customStyle="1" w:styleId="69">
    <w:name w:val="Подпись к таблице (6)"/>
    <w:basedOn w:val="a"/>
    <w:rsid w:val="00362C75"/>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character" w:customStyle="1" w:styleId="680">
    <w:name w:val="Подпись к таблице (6) + 8"/>
    <w:rsid w:val="00362C75"/>
    <w:rPr>
      <w:rFonts w:ascii="Microsoft Sans Serif" w:hAnsi="Microsoft Sans Serif"/>
      <w:b/>
      <w:sz w:val="17"/>
    </w:rPr>
  </w:style>
  <w:style w:type="paragraph" w:customStyle="1" w:styleId="49">
    <w:name w:val="Заголовок №4"/>
    <w:basedOn w:val="a"/>
    <w:link w:val="4a"/>
    <w:rsid w:val="00362C75"/>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paragraph" w:customStyle="1" w:styleId="4b">
    <w:name w:val="Подпись к таблице (4)"/>
    <w:basedOn w:val="a"/>
    <w:uiPriority w:val="99"/>
    <w:rsid w:val="00362C75"/>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character" w:customStyle="1" w:styleId="affd">
    <w:name w:val="Подпись к таблице + Не курсив"/>
    <w:rsid w:val="00362C75"/>
    <w:rPr>
      <w:rFonts w:ascii="Times New Roman" w:hAnsi="Times New Roman"/>
      <w:i/>
      <w:noProof w:val="0"/>
      <w:spacing w:val="0"/>
      <w:sz w:val="14"/>
      <w:lang w:val="en-US"/>
    </w:rPr>
  </w:style>
  <w:style w:type="character" w:customStyle="1" w:styleId="50pt">
    <w:name w:val="Подпись к таблице (5) + Интервал 0 pt"/>
    <w:rsid w:val="00362C75"/>
    <w:rPr>
      <w:rFonts w:ascii="Times New Roman" w:hAnsi="Times New Roman"/>
      <w:spacing w:val="10"/>
      <w:sz w:val="16"/>
    </w:rPr>
  </w:style>
  <w:style w:type="paragraph" w:customStyle="1" w:styleId="470">
    <w:name w:val="Основной текст (47)"/>
    <w:basedOn w:val="a"/>
    <w:rsid w:val="00362C75"/>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362C75"/>
    <w:pPr>
      <w:shd w:val="clear" w:color="auto" w:fill="FFFFFF"/>
      <w:overflowPunct w:val="0"/>
      <w:autoSpaceDE w:val="0"/>
      <w:autoSpaceDN w:val="0"/>
      <w:adjustRightInd w:val="0"/>
      <w:spacing w:after="120" w:line="140" w:lineRule="exact"/>
      <w:jc w:val="center"/>
      <w:textAlignment w:val="baseline"/>
    </w:pPr>
    <w:rPr>
      <w:sz w:val="12"/>
      <w:szCs w:val="20"/>
    </w:rPr>
  </w:style>
  <w:style w:type="paragraph" w:styleId="affe">
    <w:name w:val="footer"/>
    <w:basedOn w:val="a"/>
    <w:link w:val="afff"/>
    <w:rsid w:val="00362C75"/>
    <w:pPr>
      <w:tabs>
        <w:tab w:val="center" w:pos="4153"/>
        <w:tab w:val="right" w:pos="8306"/>
      </w:tabs>
      <w:overflowPunct w:val="0"/>
      <w:autoSpaceDE w:val="0"/>
      <w:autoSpaceDN w:val="0"/>
      <w:adjustRightInd w:val="0"/>
      <w:textAlignment w:val="baseline"/>
    </w:pPr>
    <w:rPr>
      <w:sz w:val="20"/>
      <w:szCs w:val="20"/>
    </w:rPr>
  </w:style>
  <w:style w:type="character" w:customStyle="1" w:styleId="afff">
    <w:name w:val="Нижний колонтитул Знак"/>
    <w:link w:val="affe"/>
    <w:rsid w:val="00362C75"/>
    <w:rPr>
      <w:rFonts w:ascii="Times New Roman" w:eastAsia="Times New Roman" w:hAnsi="Times New Roman" w:cs="Times New Roman"/>
      <w:sz w:val="20"/>
      <w:szCs w:val="20"/>
      <w:lang w:eastAsia="ru-RU"/>
    </w:rPr>
  </w:style>
  <w:style w:type="paragraph" w:styleId="2e">
    <w:name w:val="toc 2"/>
    <w:basedOn w:val="a"/>
    <w:next w:val="a"/>
    <w:semiHidden/>
    <w:rsid w:val="00362C75"/>
    <w:pPr>
      <w:overflowPunct w:val="0"/>
      <w:autoSpaceDE w:val="0"/>
      <w:autoSpaceDN w:val="0"/>
      <w:adjustRightInd w:val="0"/>
      <w:ind w:left="240"/>
      <w:textAlignment w:val="baseline"/>
    </w:pPr>
    <w:rPr>
      <w:szCs w:val="20"/>
      <w:lang w:val="en-US"/>
    </w:rPr>
  </w:style>
  <w:style w:type="character" w:customStyle="1" w:styleId="3Arial">
    <w:name w:val="Оглавление (3) + Arial"/>
    <w:rsid w:val="00362C75"/>
    <w:rPr>
      <w:rFonts w:ascii="Arial" w:hAnsi="Arial"/>
      <w:i/>
      <w:spacing w:val="0"/>
      <w:sz w:val="36"/>
    </w:rPr>
  </w:style>
  <w:style w:type="character" w:customStyle="1" w:styleId="5b">
    <w:name w:val="Оглавление (5)"/>
    <w:rsid w:val="00362C75"/>
    <w:rPr>
      <w:rFonts w:ascii="Times New Roman" w:hAnsi="Times New Roman"/>
      <w:spacing w:val="0"/>
      <w:sz w:val="14"/>
    </w:rPr>
  </w:style>
  <w:style w:type="paragraph" w:customStyle="1" w:styleId="4c">
    <w:name w:val="Оглавление (4)"/>
    <w:basedOn w:val="a"/>
    <w:rsid w:val="00362C75"/>
    <w:pPr>
      <w:shd w:val="clear" w:color="auto" w:fill="FFFFFF"/>
      <w:overflowPunct w:val="0"/>
      <w:autoSpaceDE w:val="0"/>
      <w:autoSpaceDN w:val="0"/>
      <w:adjustRightInd w:val="0"/>
      <w:spacing w:after="120" w:line="241" w:lineRule="exact"/>
      <w:jc w:val="right"/>
      <w:textAlignment w:val="baseline"/>
    </w:pPr>
    <w:rPr>
      <w:sz w:val="18"/>
      <w:szCs w:val="20"/>
    </w:rPr>
  </w:style>
  <w:style w:type="character" w:customStyle="1" w:styleId="LucidaSansUnicode">
    <w:name w:val="Основной текст + Lucida Sans Unicode"/>
    <w:rsid w:val="00362C75"/>
    <w:rPr>
      <w:rFonts w:ascii="Lucida Sans Unicode" w:hAnsi="Lucida Sans Unicode"/>
      <w:smallCaps/>
      <w:spacing w:val="-20"/>
      <w:sz w:val="17"/>
    </w:rPr>
  </w:style>
  <w:style w:type="character" w:customStyle="1" w:styleId="9pt2">
    <w:name w:val="Основной текст + 9 pt2"/>
    <w:rsid w:val="00362C75"/>
    <w:rPr>
      <w:rFonts w:ascii="Times New Roman" w:hAnsi="Times New Roman"/>
      <w:b/>
      <w:spacing w:val="-10"/>
      <w:sz w:val="18"/>
    </w:rPr>
  </w:style>
  <w:style w:type="character" w:customStyle="1" w:styleId="MicrosoftSansSerif1">
    <w:name w:val="Оглавление + Microsoft Sans Serif"/>
    <w:rsid w:val="00362C75"/>
    <w:rPr>
      <w:rFonts w:ascii="Microsoft Sans Serif" w:hAnsi="Microsoft Sans Serif"/>
      <w:b/>
      <w:i/>
      <w:noProof w:val="0"/>
      <w:spacing w:val="10"/>
      <w:sz w:val="15"/>
      <w:lang w:val="en-US"/>
    </w:rPr>
  </w:style>
  <w:style w:type="character" w:customStyle="1" w:styleId="106">
    <w:name w:val="Основной текст (10) + 6"/>
    <w:rsid w:val="00362C75"/>
    <w:rPr>
      <w:rFonts w:ascii="Microsoft Sans Serif" w:hAnsi="Microsoft Sans Serif"/>
      <w:b/>
      <w:spacing w:val="10"/>
      <w:sz w:val="13"/>
    </w:rPr>
  </w:style>
  <w:style w:type="character" w:customStyle="1" w:styleId="13Arial">
    <w:name w:val="Основной текст (13) + Arial"/>
    <w:rsid w:val="00362C75"/>
    <w:rPr>
      <w:rFonts w:ascii="Arial" w:hAnsi="Arial"/>
      <w:i/>
      <w:spacing w:val="0"/>
      <w:sz w:val="8"/>
    </w:rPr>
  </w:style>
  <w:style w:type="character" w:customStyle="1" w:styleId="198">
    <w:name w:val="Основной текст (19) + 8"/>
    <w:rsid w:val="00362C75"/>
    <w:rPr>
      <w:rFonts w:ascii="Times New Roman" w:hAnsi="Times New Roman"/>
      <w:sz w:val="17"/>
    </w:rPr>
  </w:style>
  <w:style w:type="character" w:customStyle="1" w:styleId="BookmanOldStyle">
    <w:name w:val="Основной текст + Bookman Old Style"/>
    <w:rsid w:val="00362C75"/>
    <w:rPr>
      <w:rFonts w:ascii="Bookman Old Style" w:hAnsi="Bookman Old Style"/>
      <w:spacing w:val="-10"/>
      <w:sz w:val="13"/>
    </w:rPr>
  </w:style>
  <w:style w:type="character" w:customStyle="1" w:styleId="381">
    <w:name w:val="Подпись к таблице (3) + 8"/>
    <w:rsid w:val="00362C75"/>
    <w:rPr>
      <w:rFonts w:ascii="Arial" w:hAnsi="Arial"/>
      <w:b/>
      <w:spacing w:val="10"/>
      <w:sz w:val="17"/>
    </w:rPr>
  </w:style>
  <w:style w:type="character" w:customStyle="1" w:styleId="3MicrosoftSansSerif">
    <w:name w:val="Подпись к таблице (3) + Microsoft Sans Serif"/>
    <w:rsid w:val="00362C75"/>
    <w:rPr>
      <w:rFonts w:ascii="Microsoft Sans Serif" w:hAnsi="Microsoft Sans Serif"/>
      <w:spacing w:val="10"/>
      <w:sz w:val="17"/>
    </w:rPr>
  </w:style>
  <w:style w:type="character" w:customStyle="1" w:styleId="251">
    <w:name w:val="Основной текст (25)"/>
    <w:rsid w:val="00362C75"/>
    <w:rPr>
      <w:rFonts w:ascii="Arial" w:hAnsi="Arial"/>
      <w:sz w:val="10"/>
    </w:rPr>
  </w:style>
  <w:style w:type="character" w:customStyle="1" w:styleId="258pt">
    <w:name w:val="Основной текст (25) + 8 pt"/>
    <w:rsid w:val="00362C75"/>
    <w:rPr>
      <w:rFonts w:ascii="Times New Roman" w:hAnsi="Times New Roman"/>
      <w:spacing w:val="0"/>
      <w:sz w:val="16"/>
    </w:rPr>
  </w:style>
  <w:style w:type="character" w:customStyle="1" w:styleId="252">
    <w:name w:val="Основной текст (25)_"/>
    <w:rsid w:val="00362C75"/>
    <w:rPr>
      <w:rFonts w:ascii="Arial" w:hAnsi="Arial"/>
      <w:sz w:val="10"/>
    </w:rPr>
  </w:style>
  <w:style w:type="character" w:customStyle="1" w:styleId="259pt">
    <w:name w:val="Основной текст (25) + 9 pt"/>
    <w:rsid w:val="00362C75"/>
    <w:rPr>
      <w:rFonts w:ascii="Times New Roman" w:hAnsi="Times New Roman"/>
      <w:spacing w:val="0"/>
      <w:sz w:val="18"/>
    </w:rPr>
  </w:style>
  <w:style w:type="character" w:customStyle="1" w:styleId="27TimesNewRoman">
    <w:name w:val="Основной текст (27) + Times New Roman"/>
    <w:rsid w:val="00362C75"/>
    <w:rPr>
      <w:rFonts w:ascii="Times New Roman" w:hAnsi="Times New Roman"/>
      <w:sz w:val="16"/>
    </w:rPr>
  </w:style>
  <w:style w:type="character" w:customStyle="1" w:styleId="26pt">
    <w:name w:val="Подпись к таблице (2) + 6 pt"/>
    <w:rsid w:val="00362C75"/>
    <w:rPr>
      <w:rFonts w:ascii="Arial" w:hAnsi="Arial"/>
      <w:b/>
      <w:sz w:val="12"/>
    </w:rPr>
  </w:style>
  <w:style w:type="character" w:customStyle="1" w:styleId="28TimesNewRoman">
    <w:name w:val="Основной текст (28) + Times New Roman"/>
    <w:rsid w:val="00362C75"/>
    <w:rPr>
      <w:rFonts w:ascii="Times New Roman" w:hAnsi="Times New Roman"/>
      <w:b/>
      <w:sz w:val="14"/>
    </w:rPr>
  </w:style>
  <w:style w:type="character" w:customStyle="1" w:styleId="478pt">
    <w:name w:val="Основной текст (47) + 8 pt"/>
    <w:rsid w:val="00362C75"/>
    <w:rPr>
      <w:rFonts w:ascii="Times New Roman" w:hAnsi="Times New Roman"/>
      <w:spacing w:val="0"/>
      <w:sz w:val="16"/>
    </w:rPr>
  </w:style>
  <w:style w:type="character" w:customStyle="1" w:styleId="47BookmanOldStyle">
    <w:name w:val="Основной текст (47) + Bookman Old Style"/>
    <w:rsid w:val="00362C75"/>
    <w:rPr>
      <w:rFonts w:ascii="Bookman Old Style" w:hAnsi="Bookman Old Style"/>
      <w:spacing w:val="0"/>
      <w:sz w:val="13"/>
    </w:rPr>
  </w:style>
  <w:style w:type="character" w:customStyle="1" w:styleId="2750">
    <w:name w:val="Основной текст (27) + 5"/>
    <w:rsid w:val="00362C75"/>
    <w:rPr>
      <w:rFonts w:ascii="Bookman Old Style" w:hAnsi="Bookman Old Style"/>
      <w:sz w:val="11"/>
    </w:rPr>
  </w:style>
  <w:style w:type="character" w:customStyle="1" w:styleId="6BookmanOldStyle">
    <w:name w:val="Основной текст (6) + Bookman Old Style"/>
    <w:rsid w:val="00362C75"/>
    <w:rPr>
      <w:rFonts w:ascii="Bookman Old Style" w:hAnsi="Bookman Old Style"/>
      <w:sz w:val="11"/>
    </w:rPr>
  </w:style>
  <w:style w:type="character" w:customStyle="1" w:styleId="68pt">
    <w:name w:val="Основной текст (6) + 8 pt"/>
    <w:aliases w:val="Интервал 1 pt"/>
    <w:uiPriority w:val="99"/>
    <w:rsid w:val="00362C75"/>
    <w:rPr>
      <w:rFonts w:ascii="Times New Roman" w:hAnsi="Times New Roman"/>
      <w:sz w:val="16"/>
    </w:rPr>
  </w:style>
  <w:style w:type="character" w:customStyle="1" w:styleId="18TimesNewRoman">
    <w:name w:val="Основной текст (18) + Times New Roman"/>
    <w:rsid w:val="00362C75"/>
    <w:rPr>
      <w:rFonts w:ascii="Times New Roman" w:hAnsi="Times New Roman"/>
      <w:b/>
      <w:spacing w:val="0"/>
      <w:sz w:val="17"/>
    </w:rPr>
  </w:style>
  <w:style w:type="paragraph" w:styleId="afff0">
    <w:name w:val="header"/>
    <w:basedOn w:val="a"/>
    <w:link w:val="afff1"/>
    <w:uiPriority w:val="99"/>
    <w:unhideWhenUsed/>
    <w:rsid w:val="00362C75"/>
    <w:pPr>
      <w:tabs>
        <w:tab w:val="center" w:pos="4677"/>
        <w:tab w:val="right" w:pos="9355"/>
      </w:tabs>
      <w:overflowPunct w:val="0"/>
      <w:autoSpaceDE w:val="0"/>
      <w:autoSpaceDN w:val="0"/>
      <w:adjustRightInd w:val="0"/>
      <w:textAlignment w:val="baseline"/>
    </w:pPr>
    <w:rPr>
      <w:sz w:val="20"/>
      <w:szCs w:val="20"/>
    </w:rPr>
  </w:style>
  <w:style w:type="character" w:customStyle="1" w:styleId="afff1">
    <w:name w:val="Верхний колонтитул Знак"/>
    <w:link w:val="afff0"/>
    <w:uiPriority w:val="99"/>
    <w:rsid w:val="00362C75"/>
    <w:rPr>
      <w:rFonts w:ascii="Times New Roman" w:eastAsia="Times New Roman" w:hAnsi="Times New Roman" w:cs="Times New Roman"/>
      <w:sz w:val="20"/>
      <w:szCs w:val="20"/>
      <w:lang w:eastAsia="ru-RU"/>
    </w:rPr>
  </w:style>
  <w:style w:type="character" w:customStyle="1" w:styleId="5c">
    <w:name w:val="Основной текст (5) + Не курсив"/>
    <w:rsid w:val="00362C75"/>
    <w:rPr>
      <w:rFonts w:ascii="Arial" w:hAnsi="Arial"/>
      <w:i/>
      <w:spacing w:val="0"/>
      <w:sz w:val="26"/>
    </w:rPr>
  </w:style>
  <w:style w:type="character" w:customStyle="1" w:styleId="5LucidaSansUnicode">
    <w:name w:val="Основной текст (5) + Lucida Sans Unicode"/>
    <w:rsid w:val="00362C75"/>
    <w:rPr>
      <w:rFonts w:ascii="Lucida Sans Unicode" w:hAnsi="Lucida Sans Unicode"/>
      <w:spacing w:val="0"/>
      <w:sz w:val="25"/>
    </w:rPr>
  </w:style>
  <w:style w:type="character" w:customStyle="1" w:styleId="5d">
    <w:name w:val="Основной текст5"/>
    <w:rsid w:val="00362C75"/>
    <w:rPr>
      <w:rFonts w:ascii="Arial" w:hAnsi="Arial"/>
      <w:spacing w:val="0"/>
      <w:sz w:val="26"/>
    </w:rPr>
  </w:style>
  <w:style w:type="character" w:customStyle="1" w:styleId="5e">
    <w:name w:val="Основной текст (5)_"/>
    <w:rsid w:val="00362C75"/>
    <w:rPr>
      <w:rFonts w:ascii="Arial" w:hAnsi="Arial"/>
      <w:spacing w:val="-10"/>
      <w:sz w:val="26"/>
    </w:rPr>
  </w:style>
  <w:style w:type="character" w:customStyle="1" w:styleId="132">
    <w:name w:val="Оглавление + 13"/>
    <w:rsid w:val="00362C75"/>
    <w:rPr>
      <w:rFonts w:ascii="Arial" w:hAnsi="Arial"/>
      <w:sz w:val="27"/>
    </w:rPr>
  </w:style>
  <w:style w:type="character" w:customStyle="1" w:styleId="afff2">
    <w:name w:val="Оглавление_"/>
    <w:rsid w:val="00362C75"/>
    <w:rPr>
      <w:rFonts w:ascii="Arial" w:hAnsi="Arial"/>
      <w:sz w:val="24"/>
      <w:shd w:val="clear" w:color="auto" w:fill="FFFFFF"/>
    </w:rPr>
  </w:style>
  <w:style w:type="paragraph" w:customStyle="1" w:styleId="2f">
    <w:name w:val="Оглавление (2)"/>
    <w:basedOn w:val="a"/>
    <w:link w:val="2f0"/>
    <w:rsid w:val="00362C75"/>
    <w:pPr>
      <w:shd w:val="clear" w:color="auto" w:fill="FFFFFF"/>
      <w:overflowPunct w:val="0"/>
      <w:autoSpaceDE w:val="0"/>
      <w:autoSpaceDN w:val="0"/>
      <w:adjustRightInd w:val="0"/>
      <w:spacing w:line="293" w:lineRule="exact"/>
      <w:jc w:val="both"/>
      <w:textAlignment w:val="baseline"/>
    </w:pPr>
    <w:rPr>
      <w:rFonts w:ascii="Arial" w:hAnsi="Arial"/>
      <w:spacing w:val="-10"/>
      <w:sz w:val="26"/>
      <w:szCs w:val="20"/>
    </w:rPr>
  </w:style>
  <w:style w:type="character" w:customStyle="1" w:styleId="2f0">
    <w:name w:val="Оглавление (2)_"/>
    <w:link w:val="2f"/>
    <w:rsid w:val="00362C75"/>
    <w:rPr>
      <w:rFonts w:ascii="Arial" w:eastAsia="Times New Roman" w:hAnsi="Arial" w:cs="Times New Roman"/>
      <w:spacing w:val="-10"/>
      <w:sz w:val="26"/>
      <w:szCs w:val="20"/>
      <w:shd w:val="clear" w:color="auto" w:fill="FFFFFF"/>
      <w:lang w:eastAsia="ru-RU"/>
    </w:rPr>
  </w:style>
  <w:style w:type="character" w:customStyle="1" w:styleId="311pt">
    <w:name w:val="Основной текст (31) + Интервал 1 pt"/>
    <w:rsid w:val="00362C75"/>
    <w:rPr>
      <w:rFonts w:ascii="Arial" w:hAnsi="Arial"/>
      <w:spacing w:val="30"/>
      <w:sz w:val="24"/>
    </w:rPr>
  </w:style>
  <w:style w:type="paragraph" w:customStyle="1" w:styleId="320">
    <w:name w:val="Основной текст (32)"/>
    <w:basedOn w:val="a"/>
    <w:link w:val="321"/>
    <w:rsid w:val="00362C75"/>
    <w:pPr>
      <w:shd w:val="clear" w:color="auto" w:fill="FFFFFF"/>
      <w:overflowPunct w:val="0"/>
      <w:autoSpaceDE w:val="0"/>
      <w:autoSpaceDN w:val="0"/>
      <w:adjustRightInd w:val="0"/>
      <w:spacing w:line="240" w:lineRule="atLeast"/>
      <w:textAlignment w:val="baseline"/>
    </w:pPr>
    <w:rPr>
      <w:rFonts w:ascii="Arial" w:hAnsi="Arial"/>
      <w:sz w:val="27"/>
      <w:szCs w:val="20"/>
    </w:rPr>
  </w:style>
  <w:style w:type="character" w:customStyle="1" w:styleId="321">
    <w:name w:val="Основной текст (32)_"/>
    <w:link w:val="320"/>
    <w:rsid w:val="00362C75"/>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362C75"/>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362C75"/>
    <w:rPr>
      <w:rFonts w:ascii="Arial" w:eastAsia="Times New Roman" w:hAnsi="Arial" w:cs="Times New Roman"/>
      <w:sz w:val="24"/>
      <w:szCs w:val="20"/>
      <w:shd w:val="clear" w:color="auto" w:fill="FFFFFF"/>
      <w:lang w:eastAsia="ru-RU"/>
    </w:rPr>
  </w:style>
  <w:style w:type="character" w:customStyle="1" w:styleId="1f0">
    <w:name w:val="Слабое выделение1"/>
    <w:rsid w:val="00362C75"/>
    <w:rPr>
      <w:i/>
      <w:color w:val="808080"/>
    </w:rPr>
  </w:style>
  <w:style w:type="character" w:customStyle="1" w:styleId="91">
    <w:name w:val="Основной текст (9)_"/>
    <w:link w:val="90"/>
    <w:uiPriority w:val="99"/>
    <w:rsid w:val="00362C75"/>
    <w:rPr>
      <w:rFonts w:ascii="Lucida Sans Unicode" w:hAnsi="Lucida Sans Unicode" w:cs="Lucida Sans Unicode"/>
      <w:sz w:val="14"/>
      <w:szCs w:val="14"/>
      <w:shd w:val="clear" w:color="auto" w:fill="FFFFFF"/>
    </w:rPr>
  </w:style>
  <w:style w:type="character" w:customStyle="1" w:styleId="440">
    <w:name w:val="Основной текст (44)_"/>
    <w:link w:val="44"/>
    <w:rsid w:val="00362C75"/>
    <w:rPr>
      <w:rFonts w:ascii="MS Mincho" w:eastAsia="MS Mincho" w:hAnsi="Times New Roman" w:cs="MS Mincho"/>
      <w:noProof/>
      <w:sz w:val="8"/>
      <w:szCs w:val="8"/>
      <w:shd w:val="clear" w:color="auto" w:fill="FFFFFF"/>
      <w:lang w:val="en-US"/>
    </w:rPr>
  </w:style>
  <w:style w:type="paragraph" w:customStyle="1" w:styleId="123">
    <w:name w:val="Основной текст12"/>
    <w:basedOn w:val="a"/>
    <w:link w:val="Bodytext"/>
    <w:rsid w:val="00362C75"/>
    <w:pPr>
      <w:shd w:val="clear" w:color="auto" w:fill="FFFFFF"/>
      <w:overflowPunct w:val="0"/>
      <w:autoSpaceDE w:val="0"/>
      <w:autoSpaceDN w:val="0"/>
      <w:adjustRightInd w:val="0"/>
      <w:spacing w:before="4080" w:line="323" w:lineRule="exact"/>
      <w:ind w:hanging="260"/>
      <w:jc w:val="both"/>
      <w:textAlignment w:val="baseline"/>
    </w:pPr>
    <w:rPr>
      <w:rFonts w:ascii="Lucida Sans Unicode" w:hAnsi="Lucida Sans Unicode"/>
      <w:color w:val="000000"/>
      <w:spacing w:val="-10"/>
      <w:sz w:val="25"/>
      <w:szCs w:val="20"/>
    </w:rPr>
  </w:style>
  <w:style w:type="paragraph" w:customStyle="1" w:styleId="rteright">
    <w:name w:val="rteright"/>
    <w:basedOn w:val="a"/>
    <w:rsid w:val="00362C75"/>
    <w:pPr>
      <w:overflowPunct w:val="0"/>
      <w:autoSpaceDE w:val="0"/>
      <w:autoSpaceDN w:val="0"/>
      <w:adjustRightInd w:val="0"/>
      <w:spacing w:before="120" w:after="216"/>
      <w:jc w:val="right"/>
      <w:textAlignment w:val="baseline"/>
    </w:pPr>
    <w:rPr>
      <w:szCs w:val="20"/>
    </w:rPr>
  </w:style>
  <w:style w:type="paragraph" w:customStyle="1" w:styleId="rtejustify">
    <w:name w:val="rtejustify"/>
    <w:basedOn w:val="a"/>
    <w:rsid w:val="00362C75"/>
    <w:pPr>
      <w:overflowPunct w:val="0"/>
      <w:autoSpaceDE w:val="0"/>
      <w:autoSpaceDN w:val="0"/>
      <w:adjustRightInd w:val="0"/>
      <w:spacing w:before="120" w:after="216"/>
      <w:jc w:val="both"/>
      <w:textAlignment w:val="baseline"/>
    </w:pPr>
    <w:rPr>
      <w:szCs w:val="20"/>
    </w:rPr>
  </w:style>
  <w:style w:type="paragraph" w:customStyle="1" w:styleId="rtecenter">
    <w:name w:val="rtecenter"/>
    <w:basedOn w:val="a"/>
    <w:rsid w:val="00362C75"/>
    <w:pPr>
      <w:spacing w:before="120" w:after="216"/>
      <w:jc w:val="center"/>
    </w:pPr>
  </w:style>
  <w:style w:type="paragraph" w:customStyle="1" w:styleId="rteindent1">
    <w:name w:val="rteindent1"/>
    <w:basedOn w:val="a"/>
    <w:rsid w:val="00362C75"/>
    <w:pPr>
      <w:spacing w:before="120" w:after="216"/>
      <w:ind w:left="349"/>
    </w:pPr>
  </w:style>
  <w:style w:type="character" w:customStyle="1" w:styleId="afff3">
    <w:name w:val="Текст выноски Знак"/>
    <w:link w:val="afff4"/>
    <w:uiPriority w:val="99"/>
    <w:semiHidden/>
    <w:rsid w:val="00362C75"/>
    <w:rPr>
      <w:rFonts w:ascii="Tahoma" w:hAnsi="Tahoma" w:cs="Tahoma"/>
      <w:sz w:val="16"/>
      <w:szCs w:val="16"/>
    </w:rPr>
  </w:style>
  <w:style w:type="paragraph" w:styleId="afff4">
    <w:name w:val="Balloon Text"/>
    <w:basedOn w:val="a"/>
    <w:link w:val="afff3"/>
    <w:uiPriority w:val="99"/>
    <w:semiHidden/>
    <w:unhideWhenUsed/>
    <w:rsid w:val="00362C75"/>
    <w:pPr>
      <w:autoSpaceDE w:val="0"/>
      <w:autoSpaceDN w:val="0"/>
      <w:adjustRightInd w:val="0"/>
    </w:pPr>
    <w:rPr>
      <w:rFonts w:ascii="Tahoma" w:hAnsi="Tahoma" w:cs="Tahoma"/>
      <w:sz w:val="16"/>
      <w:szCs w:val="16"/>
    </w:rPr>
  </w:style>
  <w:style w:type="character" w:customStyle="1" w:styleId="1f1">
    <w:name w:val="Текст выноски Знак1"/>
    <w:uiPriority w:val="99"/>
    <w:semiHidden/>
    <w:rsid w:val="00362C75"/>
    <w:rPr>
      <w:rFonts w:ascii="Segoe UI" w:hAnsi="Segoe UI" w:cs="Segoe UI"/>
      <w:sz w:val="18"/>
      <w:szCs w:val="18"/>
    </w:rPr>
  </w:style>
  <w:style w:type="character" w:customStyle="1" w:styleId="105">
    <w:name w:val="Основной текст (10)5"/>
    <w:uiPriority w:val="99"/>
    <w:rsid w:val="00362C75"/>
    <w:rPr>
      <w:rFonts w:ascii="MS Reference Sans Serif" w:hAnsi="MS Reference Sans Serif" w:cs="MS Reference Sans Serif"/>
      <w:b/>
      <w:bCs/>
      <w:sz w:val="23"/>
      <w:szCs w:val="23"/>
    </w:rPr>
  </w:style>
  <w:style w:type="character" w:customStyle="1" w:styleId="12100">
    <w:name w:val="Основной текст (12)10"/>
    <w:basedOn w:val="a0"/>
    <w:uiPriority w:val="99"/>
    <w:rsid w:val="00362C75"/>
  </w:style>
  <w:style w:type="character" w:customStyle="1" w:styleId="3d">
    <w:name w:val="Подпись к таблице (3)"/>
    <w:basedOn w:val="a0"/>
    <w:uiPriority w:val="99"/>
    <w:rsid w:val="00362C75"/>
  </w:style>
  <w:style w:type="character" w:customStyle="1" w:styleId="95">
    <w:name w:val="Основной текст (9)5"/>
    <w:basedOn w:val="a0"/>
    <w:uiPriority w:val="99"/>
    <w:rsid w:val="00362C75"/>
  </w:style>
  <w:style w:type="paragraph" w:customStyle="1" w:styleId="910">
    <w:name w:val="Основной текст (9)1"/>
    <w:basedOn w:val="a"/>
    <w:uiPriority w:val="99"/>
    <w:rsid w:val="00362C75"/>
    <w:pPr>
      <w:shd w:val="clear" w:color="auto" w:fill="FFFFFF"/>
      <w:autoSpaceDE w:val="0"/>
      <w:autoSpaceDN w:val="0"/>
      <w:adjustRightInd w:val="0"/>
      <w:spacing w:line="240" w:lineRule="atLeast"/>
    </w:pPr>
    <w:rPr>
      <w:rFonts w:ascii="Arial Unicode MS" w:eastAsia="Arial Unicode MS" w:cs="Arial Unicode MS"/>
      <w:sz w:val="15"/>
      <w:szCs w:val="15"/>
    </w:rPr>
  </w:style>
  <w:style w:type="paragraph" w:customStyle="1" w:styleId="314">
    <w:name w:val="Подпись к таблице (3)1"/>
    <w:basedOn w:val="a"/>
    <w:uiPriority w:val="99"/>
    <w:rsid w:val="00362C75"/>
    <w:pPr>
      <w:shd w:val="clear" w:color="auto" w:fill="FFFFFF"/>
      <w:autoSpaceDE w:val="0"/>
      <w:autoSpaceDN w:val="0"/>
      <w:adjustRightInd w:val="0"/>
      <w:spacing w:line="240" w:lineRule="atLeast"/>
    </w:pPr>
    <w:rPr>
      <w:rFonts w:ascii="Arial Unicode MS" w:eastAsia="Arial Unicode MS" w:cs="Arial Unicode MS"/>
      <w:sz w:val="15"/>
      <w:szCs w:val="15"/>
    </w:rPr>
  </w:style>
  <w:style w:type="paragraph" w:customStyle="1" w:styleId="1010">
    <w:name w:val="Основной текст (10)1"/>
    <w:basedOn w:val="a"/>
    <w:uiPriority w:val="99"/>
    <w:rsid w:val="00362C75"/>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362C75"/>
    <w:rPr>
      <w:rFonts w:ascii="MS Reference Sans Serif" w:hAnsi="MS Reference Sans Serif" w:cs="MS Reference Sans Serif"/>
      <w:b/>
      <w:bCs/>
      <w:sz w:val="23"/>
      <w:szCs w:val="23"/>
    </w:rPr>
  </w:style>
  <w:style w:type="character" w:customStyle="1" w:styleId="94">
    <w:name w:val="Основной текст (9)4"/>
    <w:basedOn w:val="a0"/>
    <w:uiPriority w:val="99"/>
    <w:rsid w:val="00362C75"/>
  </w:style>
  <w:style w:type="character" w:customStyle="1" w:styleId="93">
    <w:name w:val="Основной текст (9)3"/>
    <w:basedOn w:val="a0"/>
    <w:uiPriority w:val="99"/>
    <w:rsid w:val="00362C75"/>
  </w:style>
  <w:style w:type="character" w:customStyle="1" w:styleId="95pt1">
    <w:name w:val="Основной текст + 9.5 pt1.Полужирный"/>
    <w:uiPriority w:val="99"/>
    <w:rsid w:val="00362C75"/>
    <w:rPr>
      <w:rFonts w:ascii="Times New Roman" w:hAnsi="Times New Roman" w:cs="Times New Roman"/>
      <w:b/>
      <w:bCs/>
      <w:noProof/>
      <w:sz w:val="19"/>
      <w:szCs w:val="19"/>
    </w:rPr>
  </w:style>
  <w:style w:type="character" w:customStyle="1" w:styleId="1030">
    <w:name w:val="Основной текст (10)3"/>
    <w:uiPriority w:val="99"/>
    <w:rsid w:val="00362C75"/>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362C75"/>
    <w:rPr>
      <w:rFonts w:ascii="Courier New" w:hAnsi="Courier New" w:cs="Courier New"/>
    </w:rPr>
  </w:style>
  <w:style w:type="paragraph" w:styleId="HTML0">
    <w:name w:val="HTML Preformatted"/>
    <w:basedOn w:val="a"/>
    <w:link w:val="HTML"/>
    <w:uiPriority w:val="99"/>
    <w:semiHidden/>
    <w:unhideWhenUsed/>
    <w:rsid w:val="00362C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362C75"/>
    <w:rPr>
      <w:rFonts w:ascii="Consolas" w:hAnsi="Consolas" w:cs="Consolas"/>
      <w:sz w:val="20"/>
      <w:szCs w:val="20"/>
    </w:rPr>
  </w:style>
  <w:style w:type="character" w:customStyle="1" w:styleId="0pt0">
    <w:name w:val="Основной текст + Курсив;Интервал 0 pt"/>
    <w:rsid w:val="00362C75"/>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362C75"/>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362C75"/>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362C75"/>
    <w:rPr>
      <w:rFonts w:ascii="Arial" w:eastAsia="Arial" w:hAnsi="Arial" w:cs="Arial"/>
      <w:sz w:val="28"/>
      <w:szCs w:val="28"/>
      <w:shd w:val="clear" w:color="auto" w:fill="FFFFFF"/>
    </w:rPr>
  </w:style>
  <w:style w:type="paragraph" w:customStyle="1" w:styleId="116">
    <w:name w:val="Заголовок №11"/>
    <w:basedOn w:val="a"/>
    <w:link w:val="115"/>
    <w:rsid w:val="00362C75"/>
    <w:pPr>
      <w:shd w:val="clear" w:color="auto" w:fill="FFFFFF"/>
      <w:spacing w:line="338" w:lineRule="exact"/>
      <w:jc w:val="both"/>
    </w:pPr>
    <w:rPr>
      <w:rFonts w:ascii="Arial" w:eastAsia="Arial" w:hAnsi="Arial" w:cs="Arial"/>
      <w:sz w:val="28"/>
      <w:szCs w:val="28"/>
    </w:rPr>
  </w:style>
  <w:style w:type="character" w:customStyle="1" w:styleId="135pt">
    <w:name w:val="Оглавление + 13;5 pt"/>
    <w:rsid w:val="00362C75"/>
    <w:rPr>
      <w:rFonts w:ascii="Arial" w:hAnsi="Arial"/>
      <w:sz w:val="27"/>
      <w:szCs w:val="27"/>
      <w:shd w:val="clear" w:color="auto" w:fill="FFFFFF"/>
    </w:rPr>
  </w:style>
  <w:style w:type="character" w:customStyle="1" w:styleId="Arial18pt">
    <w:name w:val="Колонтитул + Arial;18 pt;Полужирный"/>
    <w:rsid w:val="00362C75"/>
    <w:rPr>
      <w:rFonts w:ascii="Arial" w:eastAsia="Arial" w:hAnsi="Arial" w:cs="Arial"/>
      <w:b/>
      <w:bCs/>
      <w:spacing w:val="0"/>
      <w:sz w:val="36"/>
      <w:szCs w:val="36"/>
      <w:shd w:val="clear" w:color="auto" w:fill="FFFFFF"/>
    </w:rPr>
  </w:style>
  <w:style w:type="character" w:customStyle="1" w:styleId="6a">
    <w:name w:val="Основной текст6"/>
    <w:rsid w:val="00362C75"/>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362C75"/>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362C75"/>
    <w:rPr>
      <w:i/>
      <w:iCs/>
      <w:color w:val="808080"/>
    </w:rPr>
  </w:style>
  <w:style w:type="paragraph" w:styleId="afff6">
    <w:name w:val="List Paragraph"/>
    <w:basedOn w:val="a"/>
    <w:uiPriority w:val="34"/>
    <w:qFormat/>
    <w:rsid w:val="00362C75"/>
    <w:pPr>
      <w:autoSpaceDE w:val="0"/>
      <w:autoSpaceDN w:val="0"/>
      <w:adjustRightInd w:val="0"/>
      <w:ind w:left="720"/>
      <w:contextualSpacing/>
    </w:pPr>
    <w:rPr>
      <w:sz w:val="20"/>
      <w:szCs w:val="20"/>
    </w:rPr>
  </w:style>
  <w:style w:type="paragraph" w:customStyle="1" w:styleId="node-unpublished">
    <w:name w:val="node-unpublished"/>
    <w:basedOn w:val="a"/>
    <w:rsid w:val="00362C75"/>
    <w:pPr>
      <w:shd w:val="clear" w:color="auto" w:fill="FFDDDD"/>
      <w:spacing w:before="120" w:after="216"/>
    </w:pPr>
  </w:style>
  <w:style w:type="paragraph" w:customStyle="1" w:styleId="terms-inline">
    <w:name w:val="terms-inline"/>
    <w:basedOn w:val="a"/>
    <w:rsid w:val="00362C75"/>
    <w:pPr>
      <w:spacing w:before="120" w:after="216"/>
    </w:pPr>
  </w:style>
  <w:style w:type="paragraph" w:customStyle="1" w:styleId="clear-block">
    <w:name w:val="clear-block"/>
    <w:basedOn w:val="a"/>
    <w:rsid w:val="00362C75"/>
    <w:pPr>
      <w:spacing w:before="120" w:after="216"/>
    </w:pPr>
  </w:style>
  <w:style w:type="paragraph" w:customStyle="1" w:styleId="breadcrumb">
    <w:name w:val="breadcrumb"/>
    <w:basedOn w:val="a"/>
    <w:rsid w:val="00362C75"/>
    <w:pPr>
      <w:spacing w:before="120" w:after="216"/>
    </w:pPr>
  </w:style>
  <w:style w:type="paragraph" w:customStyle="1" w:styleId="error">
    <w:name w:val="error"/>
    <w:basedOn w:val="a"/>
    <w:rsid w:val="00362C75"/>
    <w:pPr>
      <w:spacing w:before="120" w:after="216"/>
    </w:pPr>
    <w:rPr>
      <w:color w:val="EE5555"/>
    </w:rPr>
  </w:style>
  <w:style w:type="paragraph" w:customStyle="1" w:styleId="warning">
    <w:name w:val="warning"/>
    <w:basedOn w:val="a"/>
    <w:rsid w:val="00362C75"/>
    <w:pPr>
      <w:spacing w:before="120" w:after="216"/>
    </w:pPr>
    <w:rPr>
      <w:color w:val="E09010"/>
    </w:rPr>
  </w:style>
  <w:style w:type="paragraph" w:customStyle="1" w:styleId="ok">
    <w:name w:val="ok"/>
    <w:basedOn w:val="a"/>
    <w:rsid w:val="00362C75"/>
    <w:pPr>
      <w:spacing w:before="120" w:after="216"/>
    </w:pPr>
    <w:rPr>
      <w:color w:val="008000"/>
    </w:rPr>
  </w:style>
  <w:style w:type="paragraph" w:customStyle="1" w:styleId="form-item">
    <w:name w:val="form-item"/>
    <w:basedOn w:val="a"/>
    <w:rsid w:val="00362C75"/>
    <w:pPr>
      <w:spacing w:before="240" w:after="240"/>
    </w:pPr>
  </w:style>
  <w:style w:type="paragraph" w:customStyle="1" w:styleId="form-checkboxes">
    <w:name w:val="form-checkboxes"/>
    <w:basedOn w:val="a"/>
    <w:rsid w:val="00362C75"/>
    <w:pPr>
      <w:spacing w:before="240" w:after="240"/>
    </w:pPr>
  </w:style>
  <w:style w:type="paragraph" w:customStyle="1" w:styleId="form-radios">
    <w:name w:val="form-radios"/>
    <w:basedOn w:val="a"/>
    <w:rsid w:val="00362C75"/>
    <w:pPr>
      <w:spacing w:before="240" w:after="240"/>
    </w:pPr>
  </w:style>
  <w:style w:type="paragraph" w:customStyle="1" w:styleId="marker">
    <w:name w:val="marker"/>
    <w:basedOn w:val="a"/>
    <w:rsid w:val="00362C75"/>
    <w:pPr>
      <w:spacing w:before="120" w:after="216"/>
    </w:pPr>
    <w:rPr>
      <w:color w:val="FF0000"/>
    </w:rPr>
  </w:style>
  <w:style w:type="paragraph" w:customStyle="1" w:styleId="form-required">
    <w:name w:val="form-required"/>
    <w:basedOn w:val="a"/>
    <w:rsid w:val="00362C75"/>
    <w:pPr>
      <w:spacing w:before="120" w:after="216"/>
    </w:pPr>
    <w:rPr>
      <w:color w:val="FF0000"/>
    </w:rPr>
  </w:style>
  <w:style w:type="paragraph" w:customStyle="1" w:styleId="more-link">
    <w:name w:val="more-link"/>
    <w:basedOn w:val="a"/>
    <w:rsid w:val="00362C75"/>
    <w:pPr>
      <w:spacing w:before="120" w:after="216"/>
      <w:jc w:val="right"/>
    </w:pPr>
  </w:style>
  <w:style w:type="paragraph" w:customStyle="1" w:styleId="more-help-link">
    <w:name w:val="more-help-link"/>
    <w:basedOn w:val="a"/>
    <w:rsid w:val="00362C75"/>
    <w:pPr>
      <w:spacing w:before="120" w:after="216"/>
      <w:jc w:val="right"/>
    </w:pPr>
    <w:rPr>
      <w:sz w:val="20"/>
      <w:szCs w:val="20"/>
    </w:rPr>
  </w:style>
  <w:style w:type="paragraph" w:customStyle="1" w:styleId="nowrap">
    <w:name w:val="nowrap"/>
    <w:basedOn w:val="a"/>
    <w:rsid w:val="00362C75"/>
    <w:pPr>
      <w:spacing w:before="120" w:after="216"/>
    </w:pPr>
  </w:style>
  <w:style w:type="paragraph" w:customStyle="1" w:styleId="pager-current">
    <w:name w:val="pager-current"/>
    <w:basedOn w:val="a"/>
    <w:rsid w:val="00362C75"/>
    <w:pPr>
      <w:spacing w:before="120" w:after="216"/>
    </w:pPr>
    <w:rPr>
      <w:b/>
      <w:bCs/>
    </w:rPr>
  </w:style>
  <w:style w:type="paragraph" w:customStyle="1" w:styleId="tips">
    <w:name w:val="tips"/>
    <w:basedOn w:val="a"/>
    <w:rsid w:val="00362C75"/>
  </w:style>
  <w:style w:type="paragraph" w:customStyle="1" w:styleId="resizable-textarea">
    <w:name w:val="resizable-textarea"/>
    <w:basedOn w:val="a"/>
    <w:rsid w:val="00362C75"/>
    <w:pPr>
      <w:spacing w:before="120" w:after="216"/>
    </w:pPr>
  </w:style>
  <w:style w:type="paragraph" w:customStyle="1" w:styleId="teaser-checkbox">
    <w:name w:val="teaser-checkbox"/>
    <w:basedOn w:val="a"/>
    <w:rsid w:val="00362C75"/>
    <w:pPr>
      <w:spacing w:before="120" w:after="216"/>
    </w:pPr>
  </w:style>
  <w:style w:type="paragraph" w:customStyle="1" w:styleId="progress">
    <w:name w:val="progress"/>
    <w:basedOn w:val="a"/>
    <w:rsid w:val="00362C75"/>
    <w:pPr>
      <w:spacing w:before="120" w:after="216"/>
    </w:pPr>
    <w:rPr>
      <w:b/>
      <w:bCs/>
    </w:rPr>
  </w:style>
  <w:style w:type="paragraph" w:customStyle="1" w:styleId="ahah-progress-bar">
    <w:name w:val="ahah-progress-bar"/>
    <w:basedOn w:val="a"/>
    <w:rsid w:val="00362C75"/>
    <w:pPr>
      <w:spacing w:before="120" w:after="216"/>
    </w:pPr>
  </w:style>
  <w:style w:type="paragraph" w:customStyle="1" w:styleId="password-parent">
    <w:name w:val="password-parent"/>
    <w:basedOn w:val="a"/>
    <w:rsid w:val="00362C75"/>
  </w:style>
  <w:style w:type="paragraph" w:customStyle="1" w:styleId="confirm-parent">
    <w:name w:val="confirm-parent"/>
    <w:basedOn w:val="a"/>
    <w:rsid w:val="00362C75"/>
    <w:pPr>
      <w:spacing w:before="44"/>
    </w:pPr>
  </w:style>
  <w:style w:type="paragraph" w:customStyle="1" w:styleId="profile">
    <w:name w:val="profile"/>
    <w:basedOn w:val="a"/>
    <w:rsid w:val="00362C75"/>
    <w:pPr>
      <w:spacing w:before="240" w:after="240"/>
    </w:pPr>
  </w:style>
  <w:style w:type="paragraph" w:customStyle="1" w:styleId="content-multiple-remove-button">
    <w:name w:val="content-multiple-remove-button"/>
    <w:basedOn w:val="a"/>
    <w:rsid w:val="00362C75"/>
    <w:pPr>
      <w:pBdr>
        <w:bottom w:val="single" w:sz="4" w:space="0" w:color="C2C9CE"/>
        <w:right w:val="single" w:sz="4" w:space="0" w:color="C2C9CE"/>
      </w:pBdr>
      <w:spacing w:before="17" w:after="9"/>
    </w:pPr>
  </w:style>
  <w:style w:type="paragraph" w:customStyle="1" w:styleId="content-multiple-weight-header">
    <w:name w:val="content-multiple-weight-header"/>
    <w:basedOn w:val="a"/>
    <w:rsid w:val="00362C75"/>
    <w:pPr>
      <w:spacing w:before="120" w:after="216"/>
      <w:jc w:val="center"/>
    </w:pPr>
  </w:style>
  <w:style w:type="paragraph" w:customStyle="1" w:styleId="content-multiple-remove-header">
    <w:name w:val="content-multiple-remove-header"/>
    <w:basedOn w:val="a"/>
    <w:rsid w:val="00362C75"/>
    <w:pPr>
      <w:spacing w:before="120" w:after="216"/>
      <w:jc w:val="center"/>
    </w:pPr>
  </w:style>
  <w:style w:type="paragraph" w:customStyle="1" w:styleId="content-multiple-remove-cell">
    <w:name w:val="content-multiple-remove-cell"/>
    <w:basedOn w:val="a"/>
    <w:rsid w:val="00362C75"/>
    <w:pPr>
      <w:spacing w:before="120" w:after="216"/>
      <w:jc w:val="center"/>
    </w:pPr>
  </w:style>
  <w:style w:type="paragraph" w:customStyle="1" w:styleId="rteindent2">
    <w:name w:val="rteindent2"/>
    <w:basedOn w:val="a"/>
    <w:rsid w:val="00362C75"/>
    <w:pPr>
      <w:spacing w:before="120" w:after="216"/>
      <w:ind w:left="698"/>
    </w:pPr>
  </w:style>
  <w:style w:type="paragraph" w:customStyle="1" w:styleId="rteindent3">
    <w:name w:val="rteindent3"/>
    <w:basedOn w:val="a"/>
    <w:rsid w:val="00362C75"/>
    <w:pPr>
      <w:spacing w:before="120" w:after="216"/>
      <w:ind w:left="1047"/>
    </w:pPr>
  </w:style>
  <w:style w:type="paragraph" w:customStyle="1" w:styleId="rteindent4">
    <w:name w:val="rteindent4"/>
    <w:basedOn w:val="a"/>
    <w:rsid w:val="00362C75"/>
    <w:pPr>
      <w:spacing w:before="120" w:after="216"/>
      <w:ind w:left="1396"/>
    </w:pPr>
  </w:style>
  <w:style w:type="paragraph" w:customStyle="1" w:styleId="rteleft">
    <w:name w:val="rteleft"/>
    <w:basedOn w:val="a"/>
    <w:rsid w:val="00362C75"/>
    <w:pPr>
      <w:spacing w:before="120" w:after="216"/>
    </w:pPr>
  </w:style>
  <w:style w:type="paragraph" w:customStyle="1" w:styleId="ckepanellistitem">
    <w:name w:val="cke_panel_listitem"/>
    <w:basedOn w:val="a"/>
    <w:rsid w:val="00362C75"/>
    <w:pPr>
      <w:spacing w:before="120" w:after="216"/>
    </w:pPr>
  </w:style>
  <w:style w:type="paragraph" w:customStyle="1" w:styleId="ctools-locked">
    <w:name w:val="ctools-locked"/>
    <w:basedOn w:val="a"/>
    <w:rsid w:val="00362C75"/>
    <w:pPr>
      <w:pBdr>
        <w:top w:val="single" w:sz="4" w:space="12" w:color="FF0000"/>
        <w:left w:val="single" w:sz="4" w:space="12" w:color="FF0000"/>
        <w:bottom w:val="single" w:sz="4" w:space="12" w:color="FF0000"/>
        <w:right w:val="single" w:sz="4" w:space="12" w:color="FF0000"/>
      </w:pBdr>
      <w:spacing w:before="120" w:after="216"/>
    </w:pPr>
    <w:rPr>
      <w:color w:val="FF0000"/>
    </w:rPr>
  </w:style>
  <w:style w:type="paragraph" w:customStyle="1" w:styleId="ctools-owns-lock">
    <w:name w:val="ctools-owns-lock"/>
    <w:basedOn w:val="a"/>
    <w:rsid w:val="00362C75"/>
    <w:pPr>
      <w:pBdr>
        <w:top w:val="single" w:sz="4" w:space="12" w:color="F0C020"/>
        <w:left w:val="single" w:sz="4" w:space="12" w:color="F0C020"/>
        <w:bottom w:val="single" w:sz="4" w:space="12" w:color="F0C020"/>
        <w:right w:val="single" w:sz="4" w:space="12" w:color="F0C020"/>
      </w:pBdr>
      <w:shd w:val="clear" w:color="auto" w:fill="FFFFDD"/>
      <w:spacing w:before="120" w:after="216"/>
    </w:pPr>
  </w:style>
  <w:style w:type="paragraph" w:customStyle="1" w:styleId="filefield-icon">
    <w:name w:val="filefield-icon"/>
    <w:basedOn w:val="a"/>
    <w:rsid w:val="00362C75"/>
    <w:pPr>
      <w:ind w:right="17"/>
    </w:pPr>
  </w:style>
  <w:style w:type="paragraph" w:customStyle="1" w:styleId="filefield-element">
    <w:name w:val="filefield-element"/>
    <w:basedOn w:val="a"/>
    <w:rsid w:val="00362C75"/>
    <w:pPr>
      <w:spacing w:before="240" w:after="240"/>
    </w:pPr>
  </w:style>
  <w:style w:type="paragraph" w:customStyle="1" w:styleId="footnotes">
    <w:name w:val="footnotes"/>
    <w:basedOn w:val="a"/>
    <w:rsid w:val="00362C75"/>
    <w:pPr>
      <w:pBdr>
        <w:top w:val="single" w:sz="4" w:space="0" w:color="000000"/>
      </w:pBdr>
      <w:spacing w:before="960" w:after="480"/>
    </w:pPr>
  </w:style>
  <w:style w:type="paragraph" w:customStyle="1" w:styleId="see-footnote">
    <w:name w:val="see-footnote"/>
    <w:basedOn w:val="a"/>
    <w:rsid w:val="00362C75"/>
    <w:pPr>
      <w:spacing w:before="120" w:after="216"/>
      <w:textAlignment w:val="top"/>
    </w:pPr>
  </w:style>
  <w:style w:type="paragraph" w:customStyle="1" w:styleId="footnote">
    <w:name w:val="footnote"/>
    <w:basedOn w:val="a"/>
    <w:rsid w:val="00362C75"/>
    <w:pPr>
      <w:spacing w:before="120" w:after="216"/>
    </w:pPr>
  </w:style>
  <w:style w:type="paragraph" w:customStyle="1" w:styleId="ng3-hidden">
    <w:name w:val="ng3-hidden"/>
    <w:basedOn w:val="a"/>
    <w:rsid w:val="00362C75"/>
    <w:pPr>
      <w:spacing w:before="120" w:after="216"/>
    </w:pPr>
    <w:rPr>
      <w:vanish/>
    </w:rPr>
  </w:style>
  <w:style w:type="paragraph" w:customStyle="1" w:styleId="quote-msg">
    <w:name w:val="quote-msg"/>
    <w:basedOn w:val="a"/>
    <w:rsid w:val="00362C75"/>
    <w:pPr>
      <w:pBdr>
        <w:top w:val="single" w:sz="4" w:space="12" w:color="DDDDDD"/>
        <w:left w:val="single" w:sz="4" w:space="12" w:color="DDDDDD"/>
        <w:bottom w:val="single" w:sz="4" w:space="12" w:color="DDDDDD"/>
        <w:right w:val="single" w:sz="4" w:space="12" w:color="DDDDDD"/>
      </w:pBdr>
      <w:shd w:val="clear" w:color="auto" w:fill="F6F6F6"/>
      <w:spacing w:before="240" w:after="240"/>
      <w:ind w:left="480" w:right="480"/>
    </w:pPr>
  </w:style>
  <w:style w:type="paragraph" w:customStyle="1" w:styleId="quote-author">
    <w:name w:val="quote-author"/>
    <w:basedOn w:val="a"/>
    <w:rsid w:val="00362C75"/>
    <w:pPr>
      <w:spacing w:after="240"/>
    </w:pPr>
    <w:rPr>
      <w:b/>
      <w:bCs/>
    </w:rPr>
  </w:style>
  <w:style w:type="paragraph" w:customStyle="1" w:styleId="rate-info">
    <w:name w:val="rate-info"/>
    <w:basedOn w:val="a"/>
    <w:rsid w:val="00362C75"/>
    <w:pPr>
      <w:spacing w:before="120" w:after="216"/>
    </w:pPr>
    <w:rPr>
      <w:color w:val="666666"/>
      <w:sz w:val="19"/>
      <w:szCs w:val="19"/>
    </w:rPr>
  </w:style>
  <w:style w:type="paragraph" w:customStyle="1" w:styleId="rate-description">
    <w:name w:val="rate-description"/>
    <w:basedOn w:val="a"/>
    <w:rsid w:val="00362C75"/>
    <w:pPr>
      <w:spacing w:before="120" w:after="216"/>
    </w:pPr>
    <w:rPr>
      <w:color w:val="666666"/>
      <w:sz w:val="19"/>
      <w:szCs w:val="19"/>
    </w:rPr>
  </w:style>
  <w:style w:type="paragraph" w:customStyle="1" w:styleId="forum-topic-navigation">
    <w:name w:val="forum-topic-navigation"/>
    <w:basedOn w:val="a"/>
    <w:rsid w:val="00362C75"/>
    <w:pPr>
      <w:pBdr>
        <w:top w:val="single" w:sz="4" w:space="6" w:color="888888"/>
        <w:bottom w:val="single" w:sz="4" w:space="6" w:color="888888"/>
      </w:pBdr>
      <w:spacing w:before="120" w:after="216"/>
      <w:jc w:val="center"/>
    </w:pPr>
  </w:style>
  <w:style w:type="paragraph" w:customStyle="1" w:styleId="views-exposed-widgets">
    <w:name w:val="views-exposed-widgets"/>
    <w:basedOn w:val="a"/>
    <w:rsid w:val="00362C75"/>
    <w:pPr>
      <w:spacing w:before="120" w:after="120"/>
    </w:pPr>
  </w:style>
  <w:style w:type="paragraph" w:customStyle="1" w:styleId="indented">
    <w:name w:val="indented"/>
    <w:basedOn w:val="a"/>
    <w:rsid w:val="00362C75"/>
    <w:pPr>
      <w:spacing w:before="120" w:after="216"/>
      <w:ind w:left="218"/>
    </w:pPr>
  </w:style>
  <w:style w:type="paragraph" w:customStyle="1" w:styleId="comment-unpublished">
    <w:name w:val="comment-unpublished"/>
    <w:basedOn w:val="a"/>
    <w:rsid w:val="00362C75"/>
    <w:pPr>
      <w:shd w:val="clear" w:color="auto" w:fill="FFDDDD"/>
      <w:spacing w:before="120" w:after="216"/>
    </w:pPr>
  </w:style>
  <w:style w:type="paragraph" w:customStyle="1" w:styleId="sizer0">
    <w:name w:val="sizer0"/>
    <w:basedOn w:val="a"/>
    <w:rsid w:val="00362C75"/>
  </w:style>
  <w:style w:type="paragraph" w:customStyle="1" w:styleId="float-wrap">
    <w:name w:val="float-wrap"/>
    <w:basedOn w:val="a"/>
    <w:rsid w:val="00362C75"/>
    <w:pPr>
      <w:spacing w:before="120" w:after="216"/>
    </w:pPr>
  </w:style>
  <w:style w:type="paragraph" w:customStyle="1" w:styleId="colmain">
    <w:name w:val="colmain"/>
    <w:basedOn w:val="a"/>
    <w:rsid w:val="00362C75"/>
    <w:pPr>
      <w:spacing w:before="120" w:after="216"/>
    </w:pPr>
  </w:style>
  <w:style w:type="paragraph" w:customStyle="1" w:styleId="colleft">
    <w:name w:val="colleft"/>
    <w:basedOn w:val="a"/>
    <w:rsid w:val="00362C75"/>
    <w:pPr>
      <w:spacing w:before="120" w:after="216"/>
      <w:ind w:left="-1780"/>
    </w:pPr>
  </w:style>
  <w:style w:type="paragraph" w:customStyle="1" w:styleId="colright">
    <w:name w:val="colright"/>
    <w:basedOn w:val="a"/>
    <w:rsid w:val="00362C75"/>
    <w:pPr>
      <w:spacing w:before="120" w:after="216"/>
      <w:ind w:right="-2426"/>
    </w:pPr>
  </w:style>
  <w:style w:type="paragraph" w:customStyle="1" w:styleId="clearfix">
    <w:name w:val="clearfix"/>
    <w:basedOn w:val="a"/>
    <w:rsid w:val="00362C75"/>
    <w:pPr>
      <w:spacing w:before="120" w:after="216"/>
    </w:pPr>
  </w:style>
  <w:style w:type="paragraph" w:customStyle="1" w:styleId="brclear">
    <w:name w:val="brclear"/>
    <w:basedOn w:val="a"/>
    <w:rsid w:val="00362C75"/>
    <w:pPr>
      <w:spacing w:line="0" w:lineRule="auto"/>
    </w:pPr>
    <w:rPr>
      <w:sz w:val="2"/>
      <w:szCs w:val="2"/>
    </w:rPr>
  </w:style>
  <w:style w:type="paragraph" w:customStyle="1" w:styleId="links">
    <w:name w:val="links"/>
    <w:basedOn w:val="a"/>
    <w:rsid w:val="00362C75"/>
    <w:rPr>
      <w:color w:val="3F3F3F"/>
    </w:rPr>
  </w:style>
  <w:style w:type="paragraph" w:customStyle="1" w:styleId="1f2">
    <w:name w:val="Название1"/>
    <w:basedOn w:val="a"/>
    <w:rsid w:val="00362C75"/>
    <w:rPr>
      <w:color w:val="777777"/>
    </w:rPr>
  </w:style>
  <w:style w:type="paragraph" w:customStyle="1" w:styleId="box">
    <w:name w:val="box"/>
    <w:basedOn w:val="a"/>
    <w:rsid w:val="00362C75"/>
    <w:pPr>
      <w:spacing w:before="120" w:after="216"/>
    </w:pPr>
  </w:style>
  <w:style w:type="paragraph" w:customStyle="1" w:styleId="block">
    <w:name w:val="block"/>
    <w:basedOn w:val="a"/>
    <w:rsid w:val="00362C75"/>
    <w:pPr>
      <w:spacing w:before="120" w:after="120"/>
    </w:pPr>
  </w:style>
  <w:style w:type="paragraph" w:customStyle="1" w:styleId="themed-block">
    <w:name w:val="themed-block"/>
    <w:basedOn w:val="a"/>
    <w:rsid w:val="00362C75"/>
    <w:pPr>
      <w:spacing w:before="120" w:after="131"/>
    </w:pPr>
  </w:style>
  <w:style w:type="paragraph" w:customStyle="1" w:styleId="node">
    <w:name w:val="node"/>
    <w:basedOn w:val="a"/>
    <w:rsid w:val="00362C75"/>
    <w:pPr>
      <w:spacing w:before="120" w:after="480"/>
    </w:pPr>
  </w:style>
  <w:style w:type="paragraph" w:customStyle="1" w:styleId="submitted">
    <w:name w:val="submitted"/>
    <w:basedOn w:val="a"/>
    <w:rsid w:val="00362C75"/>
    <w:pPr>
      <w:spacing w:before="120" w:after="216"/>
    </w:pPr>
    <w:rPr>
      <w:color w:val="3F3F3F"/>
      <w:sz w:val="19"/>
      <w:szCs w:val="19"/>
    </w:rPr>
  </w:style>
  <w:style w:type="paragraph" w:customStyle="1" w:styleId="comment0">
    <w:name w:val="comment"/>
    <w:basedOn w:val="a"/>
    <w:rsid w:val="00362C75"/>
    <w:pPr>
      <w:pBdr>
        <w:top w:val="single" w:sz="4" w:space="0" w:color="D3D3D3"/>
        <w:left w:val="single" w:sz="4" w:space="0" w:color="D3D3D3"/>
        <w:bottom w:val="single" w:sz="4" w:space="0" w:color="D3D3D3"/>
        <w:right w:val="single" w:sz="4" w:space="0" w:color="D3D3D3"/>
      </w:pBdr>
      <w:spacing w:before="120" w:after="240"/>
    </w:pPr>
  </w:style>
  <w:style w:type="paragraph" w:customStyle="1" w:styleId="messages">
    <w:name w:val="messages"/>
    <w:basedOn w:val="a"/>
    <w:rsid w:val="00362C75"/>
    <w:pPr>
      <w:pBdr>
        <w:top w:val="single" w:sz="4" w:space="0" w:color="CCCCCC"/>
        <w:left w:val="single" w:sz="4" w:space="0" w:color="CCCCCC"/>
        <w:bottom w:val="single" w:sz="4" w:space="0" w:color="CCCCCC"/>
        <w:right w:val="single" w:sz="4" w:space="0" w:color="CCCCCC"/>
      </w:pBdr>
      <w:shd w:val="clear" w:color="auto" w:fill="EEEEEE"/>
      <w:spacing w:before="120" w:after="240"/>
    </w:pPr>
  </w:style>
  <w:style w:type="paragraph" w:customStyle="1" w:styleId="byy">
    <w:name w:val="byy"/>
    <w:basedOn w:val="a"/>
    <w:rsid w:val="00362C75"/>
    <w:pPr>
      <w:spacing w:before="120" w:after="216"/>
    </w:pPr>
    <w:rPr>
      <w:vanish/>
    </w:rPr>
  </w:style>
  <w:style w:type="paragraph" w:customStyle="1" w:styleId="legal">
    <w:name w:val="legal"/>
    <w:basedOn w:val="a"/>
    <w:rsid w:val="00362C75"/>
    <w:pPr>
      <w:spacing w:before="44"/>
    </w:pPr>
  </w:style>
  <w:style w:type="paragraph" w:customStyle="1" w:styleId="by">
    <w:name w:val="by"/>
    <w:basedOn w:val="a"/>
    <w:rsid w:val="00362C75"/>
    <w:pPr>
      <w:spacing w:before="120" w:after="216"/>
    </w:pPr>
    <w:rPr>
      <w:vanish/>
      <w:color w:val="DDDDDD"/>
      <w:sz w:val="18"/>
      <w:szCs w:val="18"/>
    </w:rPr>
  </w:style>
  <w:style w:type="paragraph" w:customStyle="1" w:styleId="block-logintoboggan">
    <w:name w:val="block-logintoboggan"/>
    <w:basedOn w:val="a"/>
    <w:rsid w:val="00362C75"/>
    <w:pPr>
      <w:spacing w:before="120" w:after="216"/>
      <w:jc w:val="center"/>
    </w:pPr>
  </w:style>
  <w:style w:type="paragraph" w:customStyle="1" w:styleId="navcenter">
    <w:name w:val="navcenter"/>
    <w:basedOn w:val="a"/>
    <w:rsid w:val="00362C75"/>
    <w:pPr>
      <w:spacing w:before="120" w:after="216"/>
      <w:jc w:val="center"/>
    </w:pPr>
  </w:style>
  <w:style w:type="paragraph" w:customStyle="1" w:styleId="book-navigation">
    <w:name w:val="book-navigation"/>
    <w:basedOn w:val="a"/>
    <w:rsid w:val="00362C75"/>
    <w:pPr>
      <w:spacing w:before="120" w:after="216"/>
    </w:pPr>
  </w:style>
  <w:style w:type="paragraph" w:customStyle="1" w:styleId="uc-store-admin-panel">
    <w:name w:val="uc-store-admin-panel"/>
    <w:basedOn w:val="a"/>
    <w:rsid w:val="00362C75"/>
  </w:style>
  <w:style w:type="paragraph" w:customStyle="1" w:styleId="product-image">
    <w:name w:val="product-image"/>
    <w:basedOn w:val="a"/>
    <w:rsid w:val="00362C75"/>
    <w:pPr>
      <w:spacing w:before="120" w:after="216"/>
    </w:pPr>
  </w:style>
  <w:style w:type="paragraph" w:customStyle="1" w:styleId="main-product-image">
    <w:name w:val="main-product-image"/>
    <w:basedOn w:val="a"/>
    <w:rsid w:val="00362C75"/>
    <w:pPr>
      <w:spacing w:before="120" w:after="216"/>
    </w:pPr>
  </w:style>
  <w:style w:type="paragraph" w:customStyle="1" w:styleId="menu">
    <w:name w:val="menu"/>
    <w:basedOn w:val="a"/>
    <w:rsid w:val="00362C75"/>
    <w:pPr>
      <w:spacing w:before="120" w:after="216"/>
    </w:pPr>
  </w:style>
  <w:style w:type="paragraph" w:customStyle="1" w:styleId="page-links">
    <w:name w:val="page-links"/>
    <w:basedOn w:val="a"/>
    <w:rsid w:val="00362C75"/>
    <w:pPr>
      <w:spacing w:before="120" w:after="216"/>
    </w:pPr>
  </w:style>
  <w:style w:type="paragraph" w:customStyle="1" w:styleId="page-previous">
    <w:name w:val="page-previous"/>
    <w:basedOn w:val="a"/>
    <w:rsid w:val="00362C75"/>
    <w:pPr>
      <w:spacing w:before="120" w:after="216"/>
    </w:pPr>
  </w:style>
  <w:style w:type="paragraph" w:customStyle="1" w:styleId="page-up">
    <w:name w:val="page-up"/>
    <w:basedOn w:val="a"/>
    <w:rsid w:val="00362C75"/>
    <w:pPr>
      <w:spacing w:before="120" w:after="216"/>
    </w:pPr>
  </w:style>
  <w:style w:type="paragraph" w:customStyle="1" w:styleId="page-next">
    <w:name w:val="page-next"/>
    <w:basedOn w:val="a"/>
    <w:rsid w:val="00362C75"/>
    <w:pPr>
      <w:spacing w:before="120" w:after="216"/>
    </w:pPr>
  </w:style>
  <w:style w:type="paragraph" w:customStyle="1" w:styleId="form-text">
    <w:name w:val="form-text"/>
    <w:basedOn w:val="a"/>
    <w:rsid w:val="00362C75"/>
    <w:pPr>
      <w:spacing w:before="120" w:after="216"/>
    </w:pPr>
  </w:style>
  <w:style w:type="paragraph" w:customStyle="1" w:styleId="standard">
    <w:name w:val="standard"/>
    <w:basedOn w:val="a"/>
    <w:rsid w:val="00362C75"/>
    <w:pPr>
      <w:spacing w:before="120" w:after="216"/>
    </w:pPr>
  </w:style>
  <w:style w:type="paragraph" w:customStyle="1" w:styleId="bar">
    <w:name w:val="bar"/>
    <w:basedOn w:val="a"/>
    <w:rsid w:val="00362C75"/>
    <w:pPr>
      <w:spacing w:before="120" w:after="216"/>
    </w:pPr>
  </w:style>
  <w:style w:type="paragraph" w:customStyle="1" w:styleId="percent">
    <w:name w:val="percent"/>
    <w:basedOn w:val="a"/>
    <w:rsid w:val="00362C75"/>
    <w:pPr>
      <w:spacing w:before="120" w:after="216"/>
    </w:pPr>
  </w:style>
  <w:style w:type="paragraph" w:customStyle="1" w:styleId="total">
    <w:name w:val="total"/>
    <w:basedOn w:val="a"/>
    <w:rsid w:val="00362C75"/>
    <w:pPr>
      <w:spacing w:before="120" w:after="216"/>
    </w:pPr>
  </w:style>
  <w:style w:type="paragraph" w:customStyle="1" w:styleId="vote-form">
    <w:name w:val="vote-form"/>
    <w:basedOn w:val="a"/>
    <w:rsid w:val="00362C75"/>
    <w:pPr>
      <w:spacing w:before="120" w:after="216"/>
    </w:pPr>
  </w:style>
  <w:style w:type="paragraph" w:customStyle="1" w:styleId="icon">
    <w:name w:val="icon"/>
    <w:basedOn w:val="a"/>
    <w:rsid w:val="00362C75"/>
    <w:pPr>
      <w:spacing w:before="120" w:after="216"/>
    </w:pPr>
  </w:style>
  <w:style w:type="paragraph" w:customStyle="1" w:styleId="description">
    <w:name w:val="description"/>
    <w:basedOn w:val="a"/>
    <w:rsid w:val="00362C75"/>
    <w:pPr>
      <w:spacing w:before="120" w:after="216"/>
    </w:pPr>
  </w:style>
  <w:style w:type="paragraph" w:customStyle="1" w:styleId="pager">
    <w:name w:val="pager"/>
    <w:basedOn w:val="a"/>
    <w:rsid w:val="00362C75"/>
    <w:pPr>
      <w:spacing w:before="120" w:after="216"/>
    </w:pPr>
  </w:style>
  <w:style w:type="paragraph" w:customStyle="1" w:styleId="grippie">
    <w:name w:val="grippie"/>
    <w:basedOn w:val="a"/>
    <w:rsid w:val="00362C75"/>
    <w:pPr>
      <w:spacing w:before="120" w:after="216"/>
    </w:pPr>
  </w:style>
  <w:style w:type="paragraph" w:customStyle="1" w:styleId="filled">
    <w:name w:val="filled"/>
    <w:basedOn w:val="a"/>
    <w:rsid w:val="00362C75"/>
    <w:pPr>
      <w:spacing w:before="120" w:after="216"/>
    </w:pPr>
  </w:style>
  <w:style w:type="paragraph" w:customStyle="1" w:styleId="throbber">
    <w:name w:val="throbber"/>
    <w:basedOn w:val="a"/>
    <w:rsid w:val="00362C75"/>
    <w:pPr>
      <w:spacing w:before="120" w:after="216"/>
    </w:pPr>
  </w:style>
  <w:style w:type="paragraph" w:customStyle="1" w:styleId="picture">
    <w:name w:val="picture"/>
    <w:basedOn w:val="a"/>
    <w:rsid w:val="00362C75"/>
    <w:pPr>
      <w:spacing w:before="120" w:after="216"/>
    </w:pPr>
  </w:style>
  <w:style w:type="paragraph" w:customStyle="1" w:styleId="field-label">
    <w:name w:val="field-label"/>
    <w:basedOn w:val="a"/>
    <w:rsid w:val="00362C75"/>
    <w:pPr>
      <w:spacing w:before="120" w:after="216"/>
    </w:pPr>
  </w:style>
  <w:style w:type="paragraph" w:customStyle="1" w:styleId="field-label-inline">
    <w:name w:val="field-label-inline"/>
    <w:basedOn w:val="a"/>
    <w:rsid w:val="00362C75"/>
    <w:pPr>
      <w:spacing w:before="120" w:after="216"/>
    </w:pPr>
  </w:style>
  <w:style w:type="paragraph" w:customStyle="1" w:styleId="field-label-inline-first">
    <w:name w:val="field-label-inline-first"/>
    <w:basedOn w:val="a"/>
    <w:rsid w:val="00362C75"/>
    <w:pPr>
      <w:spacing w:before="120" w:after="216"/>
    </w:pPr>
  </w:style>
  <w:style w:type="paragraph" w:customStyle="1" w:styleId="number">
    <w:name w:val="number"/>
    <w:basedOn w:val="a"/>
    <w:rsid w:val="00362C75"/>
    <w:pPr>
      <w:spacing w:before="120" w:after="216"/>
    </w:pPr>
  </w:style>
  <w:style w:type="paragraph" w:customStyle="1" w:styleId="text0">
    <w:name w:val="text"/>
    <w:basedOn w:val="a"/>
    <w:rsid w:val="00362C75"/>
    <w:pPr>
      <w:spacing w:before="120" w:after="216"/>
    </w:pPr>
  </w:style>
  <w:style w:type="paragraph" w:customStyle="1" w:styleId="content-border">
    <w:name w:val="content-border"/>
    <w:basedOn w:val="a"/>
    <w:rsid w:val="00362C75"/>
    <w:pPr>
      <w:spacing w:before="120" w:after="216"/>
    </w:pPr>
  </w:style>
  <w:style w:type="paragraph" w:customStyle="1" w:styleId="widget-preview">
    <w:name w:val="widget-preview"/>
    <w:basedOn w:val="a"/>
    <w:rsid w:val="00362C75"/>
    <w:pPr>
      <w:spacing w:before="120" w:after="216"/>
    </w:pPr>
  </w:style>
  <w:style w:type="paragraph" w:customStyle="1" w:styleId="filefield-preview">
    <w:name w:val="filefield-preview"/>
    <w:basedOn w:val="a"/>
    <w:rsid w:val="00362C75"/>
    <w:pPr>
      <w:spacing w:before="120" w:after="216"/>
    </w:pPr>
  </w:style>
  <w:style w:type="paragraph" w:customStyle="1" w:styleId="footnote-multi">
    <w:name w:val="footnote-multi"/>
    <w:basedOn w:val="a"/>
    <w:rsid w:val="00362C75"/>
    <w:pPr>
      <w:spacing w:before="120" w:after="216"/>
    </w:pPr>
  </w:style>
  <w:style w:type="paragraph" w:customStyle="1" w:styleId="topic-previous">
    <w:name w:val="topic-previous"/>
    <w:basedOn w:val="a"/>
    <w:rsid w:val="00362C75"/>
    <w:pPr>
      <w:spacing w:before="120" w:after="216"/>
    </w:pPr>
  </w:style>
  <w:style w:type="paragraph" w:customStyle="1" w:styleId="topic-next">
    <w:name w:val="topic-next"/>
    <w:basedOn w:val="a"/>
    <w:rsid w:val="00362C75"/>
    <w:pPr>
      <w:spacing w:before="120" w:after="216"/>
    </w:pPr>
  </w:style>
  <w:style w:type="paragraph" w:customStyle="1" w:styleId="views-exposed-widget">
    <w:name w:val="views-exposed-widget"/>
    <w:basedOn w:val="a"/>
    <w:rsid w:val="00362C75"/>
    <w:pPr>
      <w:spacing w:before="120" w:after="216"/>
    </w:pPr>
  </w:style>
  <w:style w:type="paragraph" w:customStyle="1" w:styleId="form-submit">
    <w:name w:val="form-submit"/>
    <w:basedOn w:val="a"/>
    <w:rsid w:val="00362C75"/>
    <w:pPr>
      <w:spacing w:before="120" w:after="216"/>
    </w:pPr>
  </w:style>
  <w:style w:type="paragraph" w:customStyle="1" w:styleId="content">
    <w:name w:val="content"/>
    <w:basedOn w:val="a"/>
    <w:rsid w:val="00362C75"/>
    <w:pPr>
      <w:spacing w:before="120" w:after="216"/>
    </w:pPr>
  </w:style>
  <w:style w:type="paragraph" w:customStyle="1" w:styleId="terms">
    <w:name w:val="terms"/>
    <w:basedOn w:val="a"/>
    <w:rsid w:val="00362C75"/>
    <w:pPr>
      <w:spacing w:before="120" w:after="216"/>
    </w:pPr>
  </w:style>
  <w:style w:type="paragraph" w:customStyle="1" w:styleId="new">
    <w:name w:val="new"/>
    <w:basedOn w:val="a"/>
    <w:rsid w:val="00362C75"/>
    <w:pPr>
      <w:spacing w:before="120" w:after="216"/>
    </w:pPr>
  </w:style>
  <w:style w:type="paragraph" w:customStyle="1" w:styleId="block-icon">
    <w:name w:val="block-icon"/>
    <w:basedOn w:val="a"/>
    <w:rsid w:val="00362C75"/>
    <w:pPr>
      <w:spacing w:before="120" w:after="216"/>
    </w:pPr>
  </w:style>
  <w:style w:type="paragraph" w:customStyle="1" w:styleId="print-icon">
    <w:name w:val="print-icon"/>
    <w:basedOn w:val="a"/>
    <w:rsid w:val="00362C75"/>
    <w:pPr>
      <w:spacing w:before="120" w:after="216"/>
    </w:pPr>
  </w:style>
  <w:style w:type="paragraph" w:customStyle="1" w:styleId="printhtml">
    <w:name w:val="print_html"/>
    <w:basedOn w:val="a"/>
    <w:rsid w:val="00362C75"/>
    <w:pPr>
      <w:spacing w:before="120" w:after="216"/>
    </w:pPr>
  </w:style>
  <w:style w:type="paragraph" w:customStyle="1" w:styleId="bookprinter">
    <w:name w:val="book_printer"/>
    <w:basedOn w:val="a"/>
    <w:rsid w:val="00362C75"/>
    <w:pPr>
      <w:spacing w:before="120" w:after="216"/>
    </w:pPr>
  </w:style>
  <w:style w:type="paragraph" w:customStyle="1" w:styleId="printmail">
    <w:name w:val="print_mail"/>
    <w:basedOn w:val="a"/>
    <w:rsid w:val="00362C75"/>
    <w:pPr>
      <w:spacing w:before="120" w:after="216"/>
    </w:pPr>
  </w:style>
  <w:style w:type="paragraph" w:customStyle="1" w:styleId="bookmail">
    <w:name w:val="book_mail"/>
    <w:basedOn w:val="a"/>
    <w:rsid w:val="00362C75"/>
    <w:pPr>
      <w:spacing w:before="120" w:after="216"/>
    </w:pPr>
  </w:style>
  <w:style w:type="paragraph" w:customStyle="1" w:styleId="printpdf">
    <w:name w:val="print_pdf"/>
    <w:basedOn w:val="a"/>
    <w:rsid w:val="00362C75"/>
    <w:pPr>
      <w:spacing w:before="120" w:after="216"/>
    </w:pPr>
  </w:style>
  <w:style w:type="paragraph" w:customStyle="1" w:styleId="bookpdf">
    <w:name w:val="book_pdf"/>
    <w:basedOn w:val="a"/>
    <w:rsid w:val="00362C75"/>
    <w:pPr>
      <w:spacing w:before="120" w:after="216"/>
    </w:pPr>
  </w:style>
  <w:style w:type="paragraph" w:customStyle="1" w:styleId="uc-store-icon">
    <w:name w:val="uc-store-icon"/>
    <w:basedOn w:val="a"/>
    <w:rsid w:val="00362C75"/>
    <w:pPr>
      <w:spacing w:before="120" w:after="216"/>
    </w:pPr>
  </w:style>
  <w:style w:type="paragraph" w:customStyle="1" w:styleId="panel-title">
    <w:name w:val="panel-title"/>
    <w:basedOn w:val="a"/>
    <w:rsid w:val="00362C75"/>
    <w:pPr>
      <w:spacing w:before="120" w:after="216"/>
    </w:pPr>
  </w:style>
  <w:style w:type="paragraph" w:customStyle="1" w:styleId="handle">
    <w:name w:val="handle"/>
    <w:basedOn w:val="a"/>
    <w:rsid w:val="00362C75"/>
    <w:pPr>
      <w:spacing w:before="120" w:after="216"/>
    </w:pPr>
  </w:style>
  <w:style w:type="paragraph" w:customStyle="1" w:styleId="no-js">
    <w:name w:val="no-js"/>
    <w:basedOn w:val="a"/>
    <w:rsid w:val="00362C75"/>
    <w:pPr>
      <w:spacing w:before="120" w:after="216"/>
    </w:pPr>
  </w:style>
  <w:style w:type="paragraph" w:customStyle="1" w:styleId="js-hide">
    <w:name w:val="js-hide"/>
    <w:basedOn w:val="a"/>
    <w:rsid w:val="00362C75"/>
    <w:pPr>
      <w:spacing w:before="120" w:after="216"/>
    </w:pPr>
  </w:style>
  <w:style w:type="paragraph" w:customStyle="1" w:styleId="content-multiple-removed-row">
    <w:name w:val="content-multiple-removed-row"/>
    <w:basedOn w:val="a"/>
    <w:rsid w:val="00362C75"/>
    <w:pPr>
      <w:spacing w:before="120" w:after="216"/>
    </w:pPr>
  </w:style>
  <w:style w:type="paragraph" w:customStyle="1" w:styleId="content-multiple-remove-checkbox">
    <w:name w:val="content-multiple-remove-checkbox"/>
    <w:basedOn w:val="a"/>
    <w:rsid w:val="00362C75"/>
    <w:pPr>
      <w:spacing w:before="120" w:after="216"/>
    </w:pPr>
  </w:style>
  <w:style w:type="paragraph" w:customStyle="1" w:styleId="page0">
    <w:name w:val="page0"/>
    <w:basedOn w:val="a"/>
    <w:rsid w:val="00362C75"/>
    <w:pPr>
      <w:spacing w:before="120" w:after="216"/>
    </w:pPr>
  </w:style>
  <w:style w:type="paragraph" w:customStyle="1" w:styleId="expander0">
    <w:name w:val="expander0"/>
    <w:basedOn w:val="a"/>
    <w:rsid w:val="00362C75"/>
    <w:pPr>
      <w:spacing w:before="120" w:after="216"/>
    </w:pPr>
  </w:style>
  <w:style w:type="paragraph" w:customStyle="1" w:styleId="outer">
    <w:name w:val="outer"/>
    <w:basedOn w:val="a"/>
    <w:rsid w:val="00362C75"/>
    <w:pPr>
      <w:spacing w:before="120" w:after="216"/>
    </w:pPr>
  </w:style>
  <w:style w:type="paragraph" w:customStyle="1" w:styleId="left">
    <w:name w:val="left"/>
    <w:basedOn w:val="a"/>
    <w:rsid w:val="00362C75"/>
    <w:pPr>
      <w:spacing w:before="120" w:after="216"/>
    </w:pPr>
  </w:style>
  <w:style w:type="paragraph" w:customStyle="1" w:styleId="right">
    <w:name w:val="right"/>
    <w:basedOn w:val="a"/>
    <w:rsid w:val="00362C75"/>
    <w:pPr>
      <w:spacing w:before="120" w:after="216"/>
    </w:pPr>
  </w:style>
  <w:style w:type="paragraph" w:customStyle="1" w:styleId="body">
    <w:name w:val="body"/>
    <w:basedOn w:val="a"/>
    <w:rsid w:val="00362C75"/>
    <w:pPr>
      <w:spacing w:before="120" w:after="216"/>
    </w:pPr>
  </w:style>
  <w:style w:type="paragraph" w:customStyle="1" w:styleId="foreground">
    <w:name w:val="foreground"/>
    <w:basedOn w:val="a"/>
    <w:rsid w:val="00362C75"/>
    <w:pPr>
      <w:spacing w:before="120" w:after="216"/>
    </w:pPr>
  </w:style>
  <w:style w:type="paragraph" w:customStyle="1" w:styleId="choices">
    <w:name w:val="choices"/>
    <w:basedOn w:val="a"/>
    <w:rsid w:val="00362C75"/>
    <w:pPr>
      <w:spacing w:before="120" w:after="216"/>
    </w:pPr>
  </w:style>
  <w:style w:type="paragraph" w:customStyle="1" w:styleId="views-field-subject">
    <w:name w:val="views-field-subject"/>
    <w:basedOn w:val="a"/>
    <w:rsid w:val="00362C75"/>
    <w:pPr>
      <w:spacing w:before="120" w:after="216"/>
    </w:pPr>
  </w:style>
  <w:style w:type="paragraph" w:customStyle="1" w:styleId="access-type">
    <w:name w:val="access-type"/>
    <w:basedOn w:val="a"/>
    <w:rsid w:val="00362C75"/>
    <w:pPr>
      <w:spacing w:before="120" w:after="216"/>
    </w:pPr>
  </w:style>
  <w:style w:type="paragraph" w:customStyle="1" w:styleId="rule-type">
    <w:name w:val="rule-type"/>
    <w:basedOn w:val="a"/>
    <w:rsid w:val="00362C75"/>
    <w:pPr>
      <w:spacing w:before="120" w:after="216"/>
    </w:pPr>
  </w:style>
  <w:style w:type="paragraph" w:customStyle="1" w:styleId="mask">
    <w:name w:val="mask"/>
    <w:basedOn w:val="a"/>
    <w:rsid w:val="00362C75"/>
    <w:pPr>
      <w:spacing w:before="120" w:after="216"/>
    </w:pPr>
  </w:style>
  <w:style w:type="paragraph" w:customStyle="1" w:styleId="advanced-help-link">
    <w:name w:val="advanced-help-link"/>
    <w:basedOn w:val="a"/>
    <w:rsid w:val="00362C75"/>
    <w:pPr>
      <w:spacing w:before="120" w:after="216"/>
    </w:pPr>
  </w:style>
  <w:style w:type="paragraph" w:customStyle="1" w:styleId="label-group">
    <w:name w:val="label-group"/>
    <w:basedOn w:val="a"/>
    <w:rsid w:val="00362C75"/>
    <w:pPr>
      <w:spacing w:before="120" w:after="216"/>
    </w:pPr>
  </w:style>
  <w:style w:type="paragraph" w:customStyle="1" w:styleId="multicolumncheckboxesradios-column">
    <w:name w:val="multicolumncheckboxesradios-column"/>
    <w:basedOn w:val="a"/>
    <w:rsid w:val="00362C75"/>
    <w:pPr>
      <w:spacing w:before="120" w:after="216"/>
    </w:pPr>
  </w:style>
  <w:style w:type="paragraph" w:customStyle="1" w:styleId="source">
    <w:name w:val="source"/>
    <w:basedOn w:val="a"/>
    <w:rsid w:val="00362C75"/>
    <w:pPr>
      <w:spacing w:before="120" w:after="216"/>
    </w:pPr>
  </w:style>
  <w:style w:type="paragraph" w:customStyle="1" w:styleId="age">
    <w:name w:val="age"/>
    <w:basedOn w:val="a"/>
    <w:rsid w:val="00362C75"/>
    <w:pPr>
      <w:spacing w:before="120" w:after="216"/>
    </w:pPr>
  </w:style>
  <w:style w:type="paragraph" w:customStyle="1" w:styleId="feed-source">
    <w:name w:val="feed-source"/>
    <w:basedOn w:val="a"/>
    <w:rsid w:val="00362C75"/>
    <w:pPr>
      <w:spacing w:before="120" w:after="216"/>
    </w:pPr>
  </w:style>
  <w:style w:type="paragraph" w:customStyle="1" w:styleId="item-list">
    <w:name w:val="item-list"/>
    <w:basedOn w:val="a"/>
    <w:rsid w:val="00362C75"/>
    <w:pPr>
      <w:spacing w:before="120" w:after="216"/>
    </w:pPr>
  </w:style>
  <w:style w:type="paragraph" w:customStyle="1" w:styleId="content-new">
    <w:name w:val="content-new"/>
    <w:basedOn w:val="a"/>
    <w:rsid w:val="00362C75"/>
    <w:pPr>
      <w:spacing w:before="120" w:after="216"/>
    </w:pPr>
  </w:style>
  <w:style w:type="paragraph" w:customStyle="1" w:styleId="name">
    <w:name w:val="name"/>
    <w:basedOn w:val="a"/>
    <w:rsid w:val="00362C75"/>
    <w:pPr>
      <w:spacing w:before="120" w:after="216"/>
    </w:pPr>
  </w:style>
  <w:style w:type="paragraph" w:customStyle="1" w:styleId="reference-autocomplete">
    <w:name w:val="reference-autocomplete"/>
    <w:basedOn w:val="a"/>
    <w:rsid w:val="00362C75"/>
    <w:pPr>
      <w:spacing w:before="120" w:after="216"/>
    </w:pPr>
  </w:style>
  <w:style w:type="paragraph" w:customStyle="1" w:styleId="categories">
    <w:name w:val="categories"/>
    <w:basedOn w:val="a"/>
    <w:rsid w:val="00362C75"/>
    <w:pPr>
      <w:spacing w:before="120" w:after="216"/>
    </w:pPr>
  </w:style>
  <w:style w:type="paragraph" w:customStyle="1" w:styleId="tabledrag-changed">
    <w:name w:val="tabledrag-changed"/>
    <w:basedOn w:val="a"/>
    <w:rsid w:val="00362C75"/>
    <w:pPr>
      <w:spacing w:before="120" w:after="216"/>
    </w:pPr>
  </w:style>
  <w:style w:type="paragraph" w:customStyle="1" w:styleId="arrow-up">
    <w:name w:val="arrow-up"/>
    <w:basedOn w:val="a"/>
    <w:rsid w:val="00362C75"/>
    <w:pPr>
      <w:spacing w:before="120" w:after="216"/>
    </w:pPr>
  </w:style>
  <w:style w:type="paragraph" w:customStyle="1" w:styleId="arrow-down">
    <w:name w:val="arrow-down"/>
    <w:basedOn w:val="a"/>
    <w:rsid w:val="00362C75"/>
    <w:pPr>
      <w:spacing w:before="120" w:after="216"/>
    </w:pPr>
  </w:style>
  <w:style w:type="character" w:customStyle="1" w:styleId="code0">
    <w:name w:val="code"/>
    <w:basedOn w:val="a0"/>
    <w:rsid w:val="00362C75"/>
  </w:style>
  <w:style w:type="character" w:customStyle="1" w:styleId="views-throbbing">
    <w:name w:val="views-throbbing"/>
    <w:basedOn w:val="a0"/>
    <w:rsid w:val="00362C75"/>
  </w:style>
  <w:style w:type="character" w:customStyle="1" w:styleId="sortablelistspan">
    <w:name w:val="sortablelistspan"/>
    <w:basedOn w:val="a0"/>
    <w:rsid w:val="00362C75"/>
  </w:style>
  <w:style w:type="paragraph" w:customStyle="1" w:styleId="menu1">
    <w:name w:val="menu1"/>
    <w:basedOn w:val="a"/>
    <w:rsid w:val="00362C75"/>
    <w:pPr>
      <w:spacing w:before="120" w:after="216"/>
    </w:pPr>
  </w:style>
  <w:style w:type="paragraph" w:customStyle="1" w:styleId="page-links1">
    <w:name w:val="page-links1"/>
    <w:basedOn w:val="a"/>
    <w:rsid w:val="00362C75"/>
    <w:pPr>
      <w:pBdr>
        <w:top w:val="dashed" w:sz="4" w:space="6" w:color="D3D3D3"/>
        <w:bottom w:val="dashed" w:sz="4" w:space="6" w:color="D3D3D3"/>
      </w:pBdr>
      <w:spacing w:before="120" w:after="216"/>
      <w:jc w:val="center"/>
    </w:pPr>
  </w:style>
  <w:style w:type="paragraph" w:customStyle="1" w:styleId="page-previous1">
    <w:name w:val="page-previous1"/>
    <w:basedOn w:val="a"/>
    <w:rsid w:val="00362C75"/>
    <w:pPr>
      <w:spacing w:before="120" w:after="216"/>
    </w:pPr>
  </w:style>
  <w:style w:type="paragraph" w:customStyle="1" w:styleId="page-up1">
    <w:name w:val="page-up1"/>
    <w:basedOn w:val="a"/>
    <w:rsid w:val="00362C75"/>
    <w:pPr>
      <w:ind w:left="612" w:right="612"/>
    </w:pPr>
  </w:style>
  <w:style w:type="paragraph" w:customStyle="1" w:styleId="page-next1">
    <w:name w:val="page-next1"/>
    <w:basedOn w:val="a"/>
    <w:rsid w:val="00362C75"/>
    <w:pPr>
      <w:spacing w:before="120" w:after="216"/>
      <w:jc w:val="right"/>
    </w:pPr>
  </w:style>
  <w:style w:type="paragraph" w:customStyle="1" w:styleId="form-item1">
    <w:name w:val="form-item1"/>
    <w:basedOn w:val="a"/>
    <w:rsid w:val="00362C75"/>
  </w:style>
  <w:style w:type="paragraph" w:customStyle="1" w:styleId="description1">
    <w:name w:val="description1"/>
    <w:basedOn w:val="a"/>
    <w:rsid w:val="00362C75"/>
    <w:pPr>
      <w:spacing w:before="120" w:after="216"/>
    </w:pPr>
  </w:style>
  <w:style w:type="paragraph" w:customStyle="1" w:styleId="node1">
    <w:name w:val="node1"/>
    <w:basedOn w:val="a"/>
    <w:rsid w:val="00362C75"/>
    <w:pPr>
      <w:shd w:val="clear" w:color="auto" w:fill="FFFFEA"/>
      <w:spacing w:before="120" w:after="480"/>
    </w:pPr>
  </w:style>
  <w:style w:type="paragraph" w:customStyle="1" w:styleId="form-text1">
    <w:name w:val="form-text1"/>
    <w:basedOn w:val="a"/>
    <w:rsid w:val="00362C75"/>
    <w:pPr>
      <w:spacing w:before="120" w:after="216"/>
    </w:pPr>
  </w:style>
  <w:style w:type="paragraph" w:customStyle="1" w:styleId="form-text2">
    <w:name w:val="form-text2"/>
    <w:basedOn w:val="a"/>
    <w:rsid w:val="00362C75"/>
    <w:pPr>
      <w:spacing w:before="120" w:after="216"/>
    </w:pPr>
  </w:style>
  <w:style w:type="paragraph" w:customStyle="1" w:styleId="standard1">
    <w:name w:val="standard1"/>
    <w:basedOn w:val="a"/>
    <w:rsid w:val="00362C75"/>
    <w:pPr>
      <w:spacing w:before="120" w:after="216"/>
    </w:pPr>
  </w:style>
  <w:style w:type="paragraph" w:customStyle="1" w:styleId="bar1">
    <w:name w:val="bar1"/>
    <w:basedOn w:val="a"/>
    <w:rsid w:val="00362C75"/>
    <w:pPr>
      <w:shd w:val="clear" w:color="auto" w:fill="DDDDDD"/>
      <w:spacing w:before="9" w:after="9"/>
    </w:pPr>
  </w:style>
  <w:style w:type="paragraph" w:customStyle="1" w:styleId="foreground1">
    <w:name w:val="foreground1"/>
    <w:basedOn w:val="a"/>
    <w:rsid w:val="00362C75"/>
    <w:pPr>
      <w:shd w:val="clear" w:color="auto" w:fill="000000"/>
      <w:spacing w:before="120" w:after="216"/>
    </w:pPr>
  </w:style>
  <w:style w:type="paragraph" w:customStyle="1" w:styleId="links1">
    <w:name w:val="links1"/>
    <w:basedOn w:val="a"/>
    <w:rsid w:val="00362C75"/>
    <w:pPr>
      <w:jc w:val="center"/>
    </w:pPr>
    <w:rPr>
      <w:color w:val="3F3F3F"/>
    </w:rPr>
  </w:style>
  <w:style w:type="paragraph" w:customStyle="1" w:styleId="percent1">
    <w:name w:val="percent1"/>
    <w:basedOn w:val="a"/>
    <w:rsid w:val="00362C75"/>
    <w:pPr>
      <w:spacing w:before="120" w:after="216"/>
      <w:jc w:val="right"/>
    </w:pPr>
  </w:style>
  <w:style w:type="paragraph" w:customStyle="1" w:styleId="total1">
    <w:name w:val="total1"/>
    <w:basedOn w:val="a"/>
    <w:rsid w:val="00362C75"/>
    <w:pPr>
      <w:spacing w:before="120" w:after="216"/>
      <w:jc w:val="center"/>
    </w:pPr>
  </w:style>
  <w:style w:type="paragraph" w:customStyle="1" w:styleId="vote-form1">
    <w:name w:val="vote-form1"/>
    <w:basedOn w:val="a"/>
    <w:rsid w:val="00362C75"/>
    <w:pPr>
      <w:spacing w:before="120" w:after="216"/>
      <w:jc w:val="center"/>
    </w:pPr>
  </w:style>
  <w:style w:type="paragraph" w:customStyle="1" w:styleId="choices1">
    <w:name w:val="choices1"/>
    <w:basedOn w:val="a"/>
    <w:rsid w:val="00362C75"/>
  </w:style>
  <w:style w:type="paragraph" w:customStyle="1" w:styleId="title1">
    <w:name w:val="title1"/>
    <w:basedOn w:val="a"/>
    <w:rsid w:val="00362C75"/>
    <w:rPr>
      <w:b/>
      <w:bCs/>
      <w:color w:val="777777"/>
    </w:rPr>
  </w:style>
  <w:style w:type="paragraph" w:customStyle="1" w:styleId="form-text3">
    <w:name w:val="form-text3"/>
    <w:basedOn w:val="a"/>
    <w:rsid w:val="00362C75"/>
    <w:pPr>
      <w:spacing w:before="120" w:after="216"/>
    </w:pPr>
  </w:style>
  <w:style w:type="paragraph" w:customStyle="1" w:styleId="icon1">
    <w:name w:val="icon1"/>
    <w:basedOn w:val="a"/>
    <w:rsid w:val="00362C75"/>
    <w:pPr>
      <w:spacing w:before="120" w:after="216"/>
    </w:pPr>
    <w:rPr>
      <w:color w:val="555555"/>
    </w:rPr>
  </w:style>
  <w:style w:type="paragraph" w:customStyle="1" w:styleId="title2">
    <w:name w:val="title2"/>
    <w:basedOn w:val="a"/>
    <w:rsid w:val="00362C75"/>
    <w:rPr>
      <w:b/>
      <w:bCs/>
      <w:color w:val="222222"/>
    </w:rPr>
  </w:style>
  <w:style w:type="paragraph" w:customStyle="1" w:styleId="form-item2">
    <w:name w:val="form-item2"/>
    <w:basedOn w:val="a"/>
    <w:rsid w:val="00362C75"/>
  </w:style>
  <w:style w:type="paragraph" w:customStyle="1" w:styleId="form-item3">
    <w:name w:val="form-item3"/>
    <w:basedOn w:val="a"/>
    <w:rsid w:val="00362C75"/>
  </w:style>
  <w:style w:type="paragraph" w:customStyle="1" w:styleId="description2">
    <w:name w:val="description2"/>
    <w:basedOn w:val="a"/>
    <w:rsid w:val="00362C75"/>
    <w:pPr>
      <w:spacing w:before="120" w:after="216"/>
    </w:pPr>
    <w:rPr>
      <w:sz w:val="20"/>
      <w:szCs w:val="20"/>
    </w:rPr>
  </w:style>
  <w:style w:type="paragraph" w:customStyle="1" w:styleId="form-item4">
    <w:name w:val="form-item4"/>
    <w:basedOn w:val="a"/>
    <w:rsid w:val="00362C75"/>
    <w:pPr>
      <w:spacing w:before="96" w:after="96"/>
    </w:pPr>
  </w:style>
  <w:style w:type="paragraph" w:customStyle="1" w:styleId="form-item5">
    <w:name w:val="form-item5"/>
    <w:basedOn w:val="a"/>
    <w:rsid w:val="00362C75"/>
    <w:pPr>
      <w:spacing w:before="96" w:after="96"/>
    </w:pPr>
  </w:style>
  <w:style w:type="paragraph" w:customStyle="1" w:styleId="pager1">
    <w:name w:val="pager1"/>
    <w:basedOn w:val="a"/>
    <w:rsid w:val="00362C75"/>
    <w:pPr>
      <w:spacing w:before="120" w:after="216"/>
      <w:jc w:val="center"/>
    </w:pPr>
  </w:style>
  <w:style w:type="paragraph" w:customStyle="1" w:styleId="form-item6">
    <w:name w:val="form-item6"/>
    <w:basedOn w:val="a"/>
    <w:rsid w:val="00362C75"/>
    <w:rPr>
      <w:rFonts w:ascii="inherit" w:hAnsi="inherit"/>
    </w:rPr>
  </w:style>
  <w:style w:type="paragraph" w:customStyle="1" w:styleId="form-item7">
    <w:name w:val="form-item7"/>
    <w:basedOn w:val="a"/>
    <w:rsid w:val="00362C75"/>
  </w:style>
  <w:style w:type="paragraph" w:customStyle="1" w:styleId="form-item8">
    <w:name w:val="form-item8"/>
    <w:basedOn w:val="a"/>
    <w:rsid w:val="00362C75"/>
  </w:style>
  <w:style w:type="paragraph" w:customStyle="1" w:styleId="grippie1">
    <w:name w:val="grippie1"/>
    <w:basedOn w:val="a"/>
    <w:rsid w:val="00362C75"/>
    <w:pPr>
      <w:pBdr>
        <w:top w:val="single" w:sz="2" w:space="0" w:color="DDDDDD"/>
        <w:left w:val="single" w:sz="4" w:space="0" w:color="DDDDDD"/>
        <w:bottom w:val="single" w:sz="4" w:space="0" w:color="DDDDDD"/>
        <w:right w:val="single" w:sz="4" w:space="0" w:color="DDDDDD"/>
      </w:pBdr>
      <w:spacing w:before="120" w:after="216"/>
    </w:pPr>
  </w:style>
  <w:style w:type="paragraph" w:customStyle="1" w:styleId="handle1">
    <w:name w:val="handle1"/>
    <w:basedOn w:val="a"/>
    <w:rsid w:val="00362C75"/>
    <w:pPr>
      <w:spacing w:before="35" w:after="216"/>
    </w:pPr>
  </w:style>
  <w:style w:type="paragraph" w:customStyle="1" w:styleId="no-js1">
    <w:name w:val="no-js1"/>
    <w:basedOn w:val="a"/>
    <w:rsid w:val="00362C75"/>
    <w:pPr>
      <w:spacing w:before="120" w:after="216"/>
    </w:pPr>
    <w:rPr>
      <w:vanish/>
    </w:rPr>
  </w:style>
  <w:style w:type="paragraph" w:customStyle="1" w:styleId="bar2">
    <w:name w:val="bar2"/>
    <w:basedOn w:val="a"/>
    <w:rsid w:val="00362C75"/>
    <w:pPr>
      <w:pBdr>
        <w:top w:val="single" w:sz="4" w:space="0" w:color="00375A"/>
        <w:left w:val="single" w:sz="4" w:space="0" w:color="00375A"/>
        <w:bottom w:val="single" w:sz="4" w:space="0" w:color="00375A"/>
        <w:right w:val="single" w:sz="4" w:space="0" w:color="00375A"/>
      </w:pBdr>
      <w:shd w:val="clear" w:color="auto" w:fill="FFFFFF"/>
      <w:ind w:left="48" w:right="48"/>
    </w:pPr>
  </w:style>
  <w:style w:type="paragraph" w:customStyle="1" w:styleId="filled1">
    <w:name w:val="filled1"/>
    <w:basedOn w:val="a"/>
    <w:rsid w:val="00362C75"/>
    <w:pPr>
      <w:pBdr>
        <w:bottom w:val="single" w:sz="48" w:space="0" w:color="004A73"/>
      </w:pBdr>
      <w:shd w:val="clear" w:color="auto" w:fill="0072B9"/>
      <w:spacing w:before="120" w:after="216"/>
    </w:pPr>
  </w:style>
  <w:style w:type="paragraph" w:customStyle="1" w:styleId="throbber1">
    <w:name w:val="throbber1"/>
    <w:basedOn w:val="a"/>
    <w:rsid w:val="00362C75"/>
    <w:pPr>
      <w:spacing w:before="17" w:after="17"/>
      <w:ind w:left="17" w:right="17"/>
    </w:pPr>
  </w:style>
  <w:style w:type="paragraph" w:customStyle="1" w:styleId="throbber2">
    <w:name w:val="throbber2"/>
    <w:basedOn w:val="a"/>
    <w:rsid w:val="00362C75"/>
    <w:pPr>
      <w:ind w:left="17" w:right="17"/>
    </w:pPr>
  </w:style>
  <w:style w:type="paragraph" w:customStyle="1" w:styleId="js-hide1">
    <w:name w:val="js-hide1"/>
    <w:basedOn w:val="a"/>
    <w:rsid w:val="00362C75"/>
    <w:pPr>
      <w:spacing w:before="120" w:after="216"/>
    </w:pPr>
    <w:rPr>
      <w:vanish/>
    </w:rPr>
  </w:style>
  <w:style w:type="paragraph" w:customStyle="1" w:styleId="access-type1">
    <w:name w:val="access-type1"/>
    <w:basedOn w:val="a"/>
    <w:rsid w:val="00362C75"/>
    <w:pPr>
      <w:spacing w:before="120" w:after="216"/>
      <w:ind w:right="240"/>
    </w:pPr>
  </w:style>
  <w:style w:type="paragraph" w:customStyle="1" w:styleId="rule-type1">
    <w:name w:val="rule-type1"/>
    <w:basedOn w:val="a"/>
    <w:rsid w:val="00362C75"/>
    <w:pPr>
      <w:spacing w:before="120" w:after="216"/>
      <w:ind w:right="240"/>
    </w:pPr>
  </w:style>
  <w:style w:type="paragraph" w:customStyle="1" w:styleId="form-item9">
    <w:name w:val="form-item9"/>
    <w:basedOn w:val="a"/>
    <w:rsid w:val="00362C75"/>
    <w:pPr>
      <w:spacing w:after="240"/>
    </w:pPr>
  </w:style>
  <w:style w:type="paragraph" w:customStyle="1" w:styleId="form-item10">
    <w:name w:val="form-item10"/>
    <w:basedOn w:val="a"/>
    <w:rsid w:val="00362C75"/>
    <w:pPr>
      <w:spacing w:after="240"/>
    </w:pPr>
  </w:style>
  <w:style w:type="paragraph" w:customStyle="1" w:styleId="mask1">
    <w:name w:val="mask1"/>
    <w:basedOn w:val="a"/>
    <w:rsid w:val="00362C75"/>
    <w:pPr>
      <w:spacing w:before="120" w:after="216"/>
    </w:pPr>
  </w:style>
  <w:style w:type="paragraph" w:customStyle="1" w:styleId="picture1">
    <w:name w:val="picture1"/>
    <w:basedOn w:val="a"/>
    <w:rsid w:val="00362C75"/>
    <w:pPr>
      <w:spacing w:after="240"/>
      <w:ind w:right="240"/>
    </w:pPr>
  </w:style>
  <w:style w:type="paragraph" w:customStyle="1" w:styleId="field-label1">
    <w:name w:val="field-label1"/>
    <w:basedOn w:val="a"/>
    <w:rsid w:val="00362C75"/>
    <w:pPr>
      <w:spacing w:before="120" w:after="216"/>
    </w:pPr>
    <w:rPr>
      <w:b/>
      <w:bCs/>
    </w:rPr>
  </w:style>
  <w:style w:type="paragraph" w:customStyle="1" w:styleId="field-label-inline1">
    <w:name w:val="field-label-inline1"/>
    <w:basedOn w:val="a"/>
    <w:rsid w:val="00362C75"/>
    <w:pPr>
      <w:spacing w:before="120" w:after="216"/>
    </w:pPr>
    <w:rPr>
      <w:b/>
      <w:bCs/>
    </w:rPr>
  </w:style>
  <w:style w:type="paragraph" w:customStyle="1" w:styleId="field-label-inline-first1">
    <w:name w:val="field-label-inline-first1"/>
    <w:basedOn w:val="a"/>
    <w:rsid w:val="00362C75"/>
    <w:pPr>
      <w:spacing w:before="120" w:after="216"/>
    </w:pPr>
    <w:rPr>
      <w:b/>
      <w:bCs/>
    </w:rPr>
  </w:style>
  <w:style w:type="paragraph" w:customStyle="1" w:styleId="form-submit1">
    <w:name w:val="form-submit1"/>
    <w:basedOn w:val="a"/>
    <w:rsid w:val="00362C75"/>
  </w:style>
  <w:style w:type="paragraph" w:customStyle="1" w:styleId="content-multiple-removed-row1">
    <w:name w:val="content-multiple-removed-row1"/>
    <w:basedOn w:val="a"/>
    <w:rsid w:val="00362C75"/>
    <w:pPr>
      <w:shd w:val="clear" w:color="auto" w:fill="FFFFCC"/>
      <w:spacing w:before="120" w:after="216"/>
    </w:pPr>
  </w:style>
  <w:style w:type="paragraph" w:customStyle="1" w:styleId="content-multiple-weight-header1">
    <w:name w:val="content-multiple-weight-header1"/>
    <w:basedOn w:val="a"/>
    <w:rsid w:val="00362C75"/>
    <w:pPr>
      <w:spacing w:before="120" w:after="216"/>
      <w:jc w:val="center"/>
    </w:pPr>
    <w:rPr>
      <w:vanish/>
    </w:rPr>
  </w:style>
  <w:style w:type="paragraph" w:customStyle="1" w:styleId="content-multiple-remove-checkbox1">
    <w:name w:val="content-multiple-remove-checkbox1"/>
    <w:basedOn w:val="a"/>
    <w:rsid w:val="00362C75"/>
    <w:pPr>
      <w:spacing w:before="120" w:after="216"/>
    </w:pPr>
    <w:rPr>
      <w:vanish/>
    </w:rPr>
  </w:style>
  <w:style w:type="paragraph" w:customStyle="1" w:styleId="number1">
    <w:name w:val="number1"/>
    <w:basedOn w:val="a"/>
    <w:rsid w:val="00362C75"/>
    <w:pPr>
      <w:spacing w:before="120" w:after="216"/>
    </w:pPr>
  </w:style>
  <w:style w:type="paragraph" w:customStyle="1" w:styleId="text1">
    <w:name w:val="text1"/>
    <w:basedOn w:val="a"/>
    <w:rsid w:val="00362C75"/>
    <w:pPr>
      <w:spacing w:before="120" w:after="216"/>
    </w:pPr>
  </w:style>
  <w:style w:type="paragraph" w:customStyle="1" w:styleId="reference-autocomplete1">
    <w:name w:val="reference-autocomplete1"/>
    <w:basedOn w:val="a"/>
    <w:rsid w:val="00362C75"/>
    <w:pPr>
      <w:spacing w:before="120" w:after="216"/>
    </w:pPr>
  </w:style>
  <w:style w:type="paragraph" w:customStyle="1" w:styleId="advanced-help-link1">
    <w:name w:val="advanced-help-link1"/>
    <w:basedOn w:val="a"/>
    <w:rsid w:val="00362C75"/>
    <w:pPr>
      <w:spacing w:before="35"/>
      <w:ind w:right="35"/>
    </w:pPr>
  </w:style>
  <w:style w:type="paragraph" w:customStyle="1" w:styleId="advanced-help-link2">
    <w:name w:val="advanced-help-link2"/>
    <w:basedOn w:val="a"/>
    <w:rsid w:val="00362C75"/>
    <w:pPr>
      <w:spacing w:before="35"/>
      <w:ind w:right="35"/>
    </w:pPr>
  </w:style>
  <w:style w:type="paragraph" w:customStyle="1" w:styleId="label-group1">
    <w:name w:val="label-group1"/>
    <w:basedOn w:val="a"/>
    <w:rsid w:val="00362C75"/>
    <w:pPr>
      <w:spacing w:before="120" w:after="216"/>
    </w:pPr>
    <w:rPr>
      <w:b/>
      <w:bCs/>
    </w:rPr>
  </w:style>
  <w:style w:type="paragraph" w:customStyle="1" w:styleId="label-group2">
    <w:name w:val="label-group2"/>
    <w:basedOn w:val="a"/>
    <w:rsid w:val="00362C75"/>
    <w:pPr>
      <w:spacing w:before="120" w:after="216"/>
    </w:pPr>
    <w:rPr>
      <w:b/>
      <w:bCs/>
    </w:rPr>
  </w:style>
  <w:style w:type="paragraph" w:customStyle="1" w:styleId="label-group3">
    <w:name w:val="label-group3"/>
    <w:basedOn w:val="a"/>
    <w:rsid w:val="00362C75"/>
    <w:pPr>
      <w:spacing w:before="120" w:after="216"/>
    </w:pPr>
    <w:rPr>
      <w:b/>
      <w:bCs/>
    </w:rPr>
  </w:style>
  <w:style w:type="paragraph" w:customStyle="1" w:styleId="tabledrag-changed1">
    <w:name w:val="tabledrag-changed1"/>
    <w:basedOn w:val="a"/>
    <w:rsid w:val="00362C75"/>
    <w:pPr>
      <w:spacing w:before="120" w:after="216"/>
    </w:pPr>
    <w:rPr>
      <w:vanish/>
    </w:rPr>
  </w:style>
  <w:style w:type="paragraph" w:customStyle="1" w:styleId="description3">
    <w:name w:val="description3"/>
    <w:basedOn w:val="a"/>
    <w:rsid w:val="00362C75"/>
    <w:pPr>
      <w:spacing w:before="120"/>
    </w:pPr>
  </w:style>
  <w:style w:type="paragraph" w:customStyle="1" w:styleId="content-new1">
    <w:name w:val="content-new1"/>
    <w:basedOn w:val="a"/>
    <w:rsid w:val="00362C75"/>
    <w:pPr>
      <w:spacing w:before="120" w:after="216"/>
    </w:pPr>
    <w:rPr>
      <w:b/>
      <w:bCs/>
    </w:rPr>
  </w:style>
  <w:style w:type="character" w:customStyle="1" w:styleId="code1">
    <w:name w:val="code1"/>
    <w:rsid w:val="00362C75"/>
    <w:rPr>
      <w:rFonts w:ascii="Lucida Console" w:hAnsi="Lucida Console" w:hint="default"/>
      <w:sz w:val="22"/>
      <w:szCs w:val="22"/>
      <w:shd w:val="clear" w:color="auto" w:fill="EDF1F3"/>
    </w:rPr>
  </w:style>
  <w:style w:type="paragraph" w:customStyle="1" w:styleId="content-border1">
    <w:name w:val="content-border1"/>
    <w:basedOn w:val="a"/>
    <w:rsid w:val="00362C75"/>
    <w:pPr>
      <w:pBdr>
        <w:top w:val="single" w:sz="4" w:space="0" w:color="AAAAAA"/>
        <w:left w:val="single" w:sz="4" w:space="0" w:color="AAAAAA"/>
        <w:bottom w:val="single" w:sz="4" w:space="0" w:color="AAAAAA"/>
        <w:right w:val="single" w:sz="4" w:space="0" w:color="AAAAAA"/>
      </w:pBdr>
      <w:spacing w:before="120" w:after="216"/>
    </w:pPr>
  </w:style>
  <w:style w:type="character" w:customStyle="1" w:styleId="sortablelistspan1">
    <w:name w:val="sortablelistspan1"/>
    <w:rsid w:val="00362C75"/>
    <w:rPr>
      <w:vanish w:val="0"/>
      <w:webHidden w:val="0"/>
      <w:shd w:val="clear" w:color="auto" w:fill="F0F0EE"/>
      <w:specVanish w:val="0"/>
    </w:rPr>
  </w:style>
  <w:style w:type="paragraph" w:customStyle="1" w:styleId="widget-preview1">
    <w:name w:val="widget-preview1"/>
    <w:basedOn w:val="a"/>
    <w:rsid w:val="00362C75"/>
    <w:pPr>
      <w:pBdr>
        <w:top w:val="single" w:sz="2" w:space="0" w:color="CCCCCC"/>
        <w:left w:val="single" w:sz="2" w:space="0" w:color="CCCCCC"/>
        <w:bottom w:val="single" w:sz="2" w:space="0" w:color="CCCCCC"/>
        <w:right w:val="single" w:sz="4" w:space="4" w:color="CCCCCC"/>
      </w:pBdr>
      <w:ind w:right="87"/>
    </w:pPr>
  </w:style>
  <w:style w:type="paragraph" w:customStyle="1" w:styleId="filefield-preview1">
    <w:name w:val="filefield-preview1"/>
    <w:basedOn w:val="a"/>
    <w:rsid w:val="00362C75"/>
    <w:pPr>
      <w:spacing w:before="120" w:after="216"/>
    </w:pPr>
  </w:style>
  <w:style w:type="paragraph" w:customStyle="1" w:styleId="form-item11">
    <w:name w:val="form-item11"/>
    <w:basedOn w:val="a"/>
    <w:rsid w:val="00362C75"/>
    <w:pPr>
      <w:spacing w:after="240"/>
    </w:pPr>
  </w:style>
  <w:style w:type="paragraph" w:customStyle="1" w:styleId="footnote-multi1">
    <w:name w:val="footnote-multi1"/>
    <w:basedOn w:val="a"/>
    <w:rsid w:val="00362C75"/>
    <w:pPr>
      <w:spacing w:before="120" w:after="216"/>
      <w:textAlignment w:val="top"/>
    </w:pPr>
    <w:rPr>
      <w:sz w:val="18"/>
      <w:szCs w:val="18"/>
    </w:rPr>
  </w:style>
  <w:style w:type="paragraph" w:customStyle="1" w:styleId="multicolumncheckboxesradios-column1">
    <w:name w:val="multicolumncheckboxesradios-column1"/>
    <w:basedOn w:val="a"/>
    <w:rsid w:val="00362C75"/>
    <w:pPr>
      <w:spacing w:before="120" w:after="216"/>
    </w:pPr>
  </w:style>
  <w:style w:type="paragraph" w:customStyle="1" w:styleId="description4">
    <w:name w:val="description4"/>
    <w:basedOn w:val="a"/>
    <w:rsid w:val="00362C75"/>
    <w:pPr>
      <w:spacing w:before="120" w:after="120"/>
      <w:ind w:left="120" w:right="120"/>
    </w:pPr>
  </w:style>
  <w:style w:type="paragraph" w:customStyle="1" w:styleId="topic-previous1">
    <w:name w:val="topic-previous1"/>
    <w:basedOn w:val="a"/>
    <w:rsid w:val="00362C75"/>
    <w:pPr>
      <w:spacing w:before="120" w:after="216"/>
      <w:jc w:val="right"/>
    </w:pPr>
  </w:style>
  <w:style w:type="paragraph" w:customStyle="1" w:styleId="topic-next1">
    <w:name w:val="topic-next1"/>
    <w:basedOn w:val="a"/>
    <w:rsid w:val="00362C75"/>
    <w:pPr>
      <w:spacing w:before="120" w:after="216"/>
    </w:pPr>
  </w:style>
  <w:style w:type="paragraph" w:customStyle="1" w:styleId="content1">
    <w:name w:val="content1"/>
    <w:basedOn w:val="a"/>
    <w:rsid w:val="00362C75"/>
    <w:pPr>
      <w:spacing w:before="120" w:after="216"/>
    </w:pPr>
  </w:style>
  <w:style w:type="paragraph" w:customStyle="1" w:styleId="views-exposed-widget1">
    <w:name w:val="views-exposed-widget1"/>
    <w:basedOn w:val="a"/>
    <w:rsid w:val="00362C75"/>
    <w:pPr>
      <w:spacing w:before="120" w:after="216"/>
    </w:pPr>
  </w:style>
  <w:style w:type="paragraph" w:customStyle="1" w:styleId="form-submit2">
    <w:name w:val="form-submit2"/>
    <w:basedOn w:val="a"/>
    <w:rsid w:val="00362C75"/>
    <w:pPr>
      <w:spacing w:before="131"/>
    </w:pPr>
  </w:style>
  <w:style w:type="paragraph" w:customStyle="1" w:styleId="form-item12">
    <w:name w:val="form-item12"/>
    <w:basedOn w:val="a"/>
    <w:rsid w:val="00362C75"/>
  </w:style>
  <w:style w:type="paragraph" w:customStyle="1" w:styleId="form-submit3">
    <w:name w:val="form-submit3"/>
    <w:basedOn w:val="a"/>
    <w:rsid w:val="00362C75"/>
  </w:style>
  <w:style w:type="character" w:customStyle="1" w:styleId="views-throbbing1">
    <w:name w:val="views-throbbing1"/>
    <w:basedOn w:val="a0"/>
    <w:rsid w:val="00362C75"/>
  </w:style>
  <w:style w:type="paragraph" w:customStyle="1" w:styleId="comment1">
    <w:name w:val="comment1"/>
    <w:basedOn w:val="a"/>
    <w:rsid w:val="00362C75"/>
    <w:pPr>
      <w:pBdr>
        <w:top w:val="single" w:sz="4" w:space="0" w:color="D3D3D3"/>
        <w:left w:val="single" w:sz="4" w:space="0" w:color="D3D3D3"/>
        <w:bottom w:val="single" w:sz="4" w:space="0" w:color="D3D3D3"/>
        <w:right w:val="single" w:sz="4" w:space="0" w:color="D3D3D3"/>
      </w:pBdr>
      <w:shd w:val="clear" w:color="auto" w:fill="FFFFEA"/>
      <w:spacing w:before="120" w:after="240"/>
    </w:pPr>
  </w:style>
  <w:style w:type="paragraph" w:customStyle="1" w:styleId="page01">
    <w:name w:val="page01"/>
    <w:basedOn w:val="a"/>
    <w:rsid w:val="00362C75"/>
    <w:pPr>
      <w:spacing w:before="120" w:after="216"/>
    </w:pPr>
  </w:style>
  <w:style w:type="paragraph" w:customStyle="1" w:styleId="sizer01">
    <w:name w:val="sizer01"/>
    <w:basedOn w:val="a"/>
    <w:rsid w:val="00362C75"/>
  </w:style>
  <w:style w:type="paragraph" w:customStyle="1" w:styleId="expander01">
    <w:name w:val="expander01"/>
    <w:basedOn w:val="a"/>
    <w:rsid w:val="00362C75"/>
    <w:pPr>
      <w:ind w:left="-4538" w:right="-4538"/>
    </w:pPr>
  </w:style>
  <w:style w:type="paragraph" w:customStyle="1" w:styleId="sizer02">
    <w:name w:val="sizer02"/>
    <w:basedOn w:val="a"/>
    <w:rsid w:val="00362C75"/>
  </w:style>
  <w:style w:type="paragraph" w:customStyle="1" w:styleId="sizer03">
    <w:name w:val="sizer03"/>
    <w:basedOn w:val="a"/>
    <w:rsid w:val="00362C75"/>
  </w:style>
  <w:style w:type="paragraph" w:customStyle="1" w:styleId="sizer04">
    <w:name w:val="sizer04"/>
    <w:basedOn w:val="a"/>
    <w:rsid w:val="00362C75"/>
  </w:style>
  <w:style w:type="paragraph" w:customStyle="1" w:styleId="outer1">
    <w:name w:val="outer1"/>
    <w:basedOn w:val="a"/>
    <w:rsid w:val="00362C75"/>
    <w:pPr>
      <w:spacing w:before="120" w:after="216"/>
      <w:ind w:left="1780" w:right="2426"/>
    </w:pPr>
  </w:style>
  <w:style w:type="paragraph" w:customStyle="1" w:styleId="outer2">
    <w:name w:val="outer2"/>
    <w:basedOn w:val="a"/>
    <w:rsid w:val="00362C75"/>
    <w:pPr>
      <w:spacing w:before="120" w:after="216"/>
      <w:ind w:left="2566"/>
    </w:pPr>
  </w:style>
  <w:style w:type="paragraph" w:customStyle="1" w:styleId="outer3">
    <w:name w:val="outer3"/>
    <w:basedOn w:val="a"/>
    <w:rsid w:val="00362C75"/>
    <w:pPr>
      <w:spacing w:before="120" w:after="216"/>
      <w:ind w:right="3002"/>
    </w:pPr>
  </w:style>
  <w:style w:type="paragraph" w:customStyle="1" w:styleId="colleft1">
    <w:name w:val="colleft1"/>
    <w:basedOn w:val="a"/>
    <w:rsid w:val="00362C75"/>
    <w:pPr>
      <w:spacing w:before="120" w:after="216"/>
      <w:ind w:left="-2566"/>
    </w:pPr>
  </w:style>
  <w:style w:type="paragraph" w:customStyle="1" w:styleId="colright1">
    <w:name w:val="colright1"/>
    <w:basedOn w:val="a"/>
    <w:rsid w:val="00362C75"/>
    <w:pPr>
      <w:spacing w:before="120" w:after="216"/>
      <w:ind w:right="-3002"/>
    </w:pPr>
  </w:style>
  <w:style w:type="paragraph" w:customStyle="1" w:styleId="outer4">
    <w:name w:val="outer4"/>
    <w:basedOn w:val="a"/>
    <w:rsid w:val="00362C75"/>
    <w:pPr>
      <w:spacing w:before="120" w:after="216"/>
      <w:ind w:left="1780" w:right="2426"/>
    </w:pPr>
  </w:style>
  <w:style w:type="paragraph" w:customStyle="1" w:styleId="outer5">
    <w:name w:val="outer5"/>
    <w:basedOn w:val="a"/>
    <w:rsid w:val="00362C75"/>
    <w:pPr>
      <w:spacing w:before="120" w:after="216"/>
      <w:ind w:left="1780"/>
    </w:pPr>
  </w:style>
  <w:style w:type="paragraph" w:customStyle="1" w:styleId="outer6">
    <w:name w:val="outer6"/>
    <w:basedOn w:val="a"/>
    <w:rsid w:val="00362C75"/>
    <w:pPr>
      <w:spacing w:before="120" w:after="216"/>
      <w:ind w:right="2426"/>
    </w:pPr>
  </w:style>
  <w:style w:type="paragraph" w:customStyle="1" w:styleId="colleft2">
    <w:name w:val="colleft2"/>
    <w:basedOn w:val="a"/>
    <w:rsid w:val="00362C75"/>
    <w:pPr>
      <w:spacing w:before="120" w:after="216"/>
      <w:ind w:left="-1780"/>
    </w:pPr>
  </w:style>
  <w:style w:type="paragraph" w:customStyle="1" w:styleId="colright2">
    <w:name w:val="colright2"/>
    <w:basedOn w:val="a"/>
    <w:rsid w:val="00362C75"/>
    <w:pPr>
      <w:spacing w:before="120" w:after="216"/>
      <w:ind w:right="-2426"/>
    </w:pPr>
  </w:style>
  <w:style w:type="paragraph" w:customStyle="1" w:styleId="colleft3">
    <w:name w:val="colleft3"/>
    <w:basedOn w:val="a"/>
    <w:rsid w:val="00362C75"/>
    <w:pPr>
      <w:spacing w:before="120" w:after="216"/>
      <w:ind w:left="-1606"/>
    </w:pPr>
  </w:style>
  <w:style w:type="paragraph" w:customStyle="1" w:styleId="colleft4">
    <w:name w:val="colleft4"/>
    <w:basedOn w:val="a"/>
    <w:rsid w:val="00362C75"/>
    <w:pPr>
      <w:spacing w:before="120" w:after="216"/>
      <w:ind w:left="-1606"/>
    </w:pPr>
  </w:style>
  <w:style w:type="paragraph" w:customStyle="1" w:styleId="colleft5">
    <w:name w:val="colleft5"/>
    <w:basedOn w:val="a"/>
    <w:rsid w:val="00362C75"/>
    <w:pPr>
      <w:spacing w:before="120" w:after="216"/>
      <w:ind w:left="-2391"/>
    </w:pPr>
  </w:style>
  <w:style w:type="paragraph" w:customStyle="1" w:styleId="colleft6">
    <w:name w:val="colleft6"/>
    <w:basedOn w:val="a"/>
    <w:rsid w:val="00362C75"/>
    <w:pPr>
      <w:spacing w:before="120" w:after="216"/>
      <w:ind w:left="-1606"/>
    </w:pPr>
  </w:style>
  <w:style w:type="paragraph" w:customStyle="1" w:styleId="colleft7">
    <w:name w:val="colleft7"/>
    <w:basedOn w:val="a"/>
    <w:rsid w:val="00362C75"/>
    <w:pPr>
      <w:spacing w:before="120" w:after="216"/>
      <w:ind w:left="-1606"/>
    </w:pPr>
  </w:style>
  <w:style w:type="paragraph" w:customStyle="1" w:styleId="colleft8">
    <w:name w:val="colleft8"/>
    <w:basedOn w:val="a"/>
    <w:rsid w:val="00362C75"/>
    <w:pPr>
      <w:spacing w:before="120" w:after="216"/>
      <w:ind w:left="-1606"/>
    </w:pPr>
  </w:style>
  <w:style w:type="paragraph" w:customStyle="1" w:styleId="colright3">
    <w:name w:val="colright3"/>
    <w:basedOn w:val="a"/>
    <w:rsid w:val="00362C75"/>
    <w:pPr>
      <w:spacing w:before="120" w:after="216"/>
      <w:ind w:right="-2252"/>
    </w:pPr>
  </w:style>
  <w:style w:type="paragraph" w:customStyle="1" w:styleId="colright4">
    <w:name w:val="colright4"/>
    <w:basedOn w:val="a"/>
    <w:rsid w:val="00362C75"/>
    <w:pPr>
      <w:spacing w:before="120" w:after="216"/>
      <w:ind w:right="-2828"/>
    </w:pPr>
  </w:style>
  <w:style w:type="paragraph" w:customStyle="1" w:styleId="colright5">
    <w:name w:val="colright5"/>
    <w:basedOn w:val="a"/>
    <w:rsid w:val="00362C75"/>
    <w:pPr>
      <w:spacing w:before="120" w:after="216"/>
      <w:ind w:right="-2252"/>
    </w:pPr>
  </w:style>
  <w:style w:type="paragraph" w:customStyle="1" w:styleId="colright6">
    <w:name w:val="colright6"/>
    <w:basedOn w:val="a"/>
    <w:rsid w:val="00362C75"/>
    <w:pPr>
      <w:spacing w:before="120" w:after="216"/>
      <w:ind w:right="-2252"/>
    </w:pPr>
  </w:style>
  <w:style w:type="paragraph" w:customStyle="1" w:styleId="colright7">
    <w:name w:val="colright7"/>
    <w:basedOn w:val="a"/>
    <w:rsid w:val="00362C75"/>
    <w:pPr>
      <w:spacing w:before="120" w:after="216"/>
      <w:ind w:right="-2252"/>
    </w:pPr>
  </w:style>
  <w:style w:type="paragraph" w:customStyle="1" w:styleId="colright8">
    <w:name w:val="colright8"/>
    <w:basedOn w:val="a"/>
    <w:rsid w:val="00362C75"/>
    <w:pPr>
      <w:spacing w:before="120" w:after="216"/>
      <w:ind w:right="-2252"/>
    </w:pPr>
  </w:style>
  <w:style w:type="paragraph" w:customStyle="1" w:styleId="outer7">
    <w:name w:val="outer7"/>
    <w:basedOn w:val="a"/>
    <w:rsid w:val="00362C75"/>
    <w:pPr>
      <w:spacing w:before="120" w:after="216"/>
      <w:ind w:left="1606" w:right="2252"/>
    </w:pPr>
  </w:style>
  <w:style w:type="paragraph" w:customStyle="1" w:styleId="outer8">
    <w:name w:val="outer8"/>
    <w:basedOn w:val="a"/>
    <w:rsid w:val="00362C75"/>
    <w:pPr>
      <w:spacing w:before="120" w:after="216"/>
      <w:ind w:left="2391"/>
    </w:pPr>
  </w:style>
  <w:style w:type="paragraph" w:customStyle="1" w:styleId="outer9">
    <w:name w:val="outer9"/>
    <w:basedOn w:val="a"/>
    <w:rsid w:val="00362C75"/>
    <w:pPr>
      <w:spacing w:before="120" w:after="216"/>
      <w:ind w:right="2828"/>
    </w:pPr>
  </w:style>
  <w:style w:type="paragraph" w:customStyle="1" w:styleId="outer10">
    <w:name w:val="outer10"/>
    <w:basedOn w:val="a"/>
    <w:rsid w:val="00362C75"/>
    <w:pPr>
      <w:spacing w:before="120" w:after="216"/>
      <w:ind w:left="1606" w:right="2252"/>
    </w:pPr>
  </w:style>
  <w:style w:type="paragraph" w:customStyle="1" w:styleId="outer11">
    <w:name w:val="outer11"/>
    <w:basedOn w:val="a"/>
    <w:rsid w:val="00362C75"/>
    <w:pPr>
      <w:spacing w:before="120" w:after="216"/>
      <w:ind w:left="1606"/>
    </w:pPr>
  </w:style>
  <w:style w:type="paragraph" w:customStyle="1" w:styleId="outer12">
    <w:name w:val="outer12"/>
    <w:basedOn w:val="a"/>
    <w:rsid w:val="00362C75"/>
    <w:pPr>
      <w:spacing w:before="120" w:after="216"/>
      <w:ind w:right="2252"/>
    </w:pPr>
  </w:style>
  <w:style w:type="paragraph" w:customStyle="1" w:styleId="colleft9">
    <w:name w:val="colleft9"/>
    <w:basedOn w:val="a"/>
    <w:rsid w:val="00362C75"/>
    <w:pPr>
      <w:spacing w:before="120" w:after="216"/>
      <w:ind w:left="-1737"/>
    </w:pPr>
  </w:style>
  <w:style w:type="paragraph" w:customStyle="1" w:styleId="colleft10">
    <w:name w:val="colleft10"/>
    <w:basedOn w:val="a"/>
    <w:rsid w:val="00362C75"/>
    <w:pPr>
      <w:spacing w:before="120" w:after="216"/>
      <w:ind w:left="-1737"/>
    </w:pPr>
  </w:style>
  <w:style w:type="paragraph" w:customStyle="1" w:styleId="colleft11">
    <w:name w:val="colleft11"/>
    <w:basedOn w:val="a"/>
    <w:rsid w:val="00362C75"/>
    <w:pPr>
      <w:spacing w:before="120" w:after="216"/>
      <w:ind w:left="-1737"/>
    </w:pPr>
  </w:style>
  <w:style w:type="paragraph" w:customStyle="1" w:styleId="colright9">
    <w:name w:val="colright9"/>
    <w:basedOn w:val="a"/>
    <w:rsid w:val="00362C75"/>
    <w:pPr>
      <w:spacing w:before="120" w:after="216"/>
      <w:ind w:right="-1737"/>
    </w:pPr>
  </w:style>
  <w:style w:type="paragraph" w:customStyle="1" w:styleId="colright10">
    <w:name w:val="colright10"/>
    <w:basedOn w:val="a"/>
    <w:rsid w:val="00362C75"/>
    <w:pPr>
      <w:spacing w:before="120" w:after="216"/>
      <w:ind w:right="-1737"/>
    </w:pPr>
  </w:style>
  <w:style w:type="paragraph" w:customStyle="1" w:styleId="colright11">
    <w:name w:val="colright11"/>
    <w:basedOn w:val="a"/>
    <w:rsid w:val="00362C75"/>
    <w:pPr>
      <w:spacing w:before="120" w:after="216"/>
      <w:ind w:right="-1737"/>
    </w:pPr>
  </w:style>
  <w:style w:type="paragraph" w:customStyle="1" w:styleId="outer13">
    <w:name w:val="outer13"/>
    <w:basedOn w:val="a"/>
    <w:rsid w:val="00362C75"/>
    <w:pPr>
      <w:spacing w:before="120" w:after="216"/>
      <w:ind w:left="1737" w:right="1737"/>
    </w:pPr>
  </w:style>
  <w:style w:type="paragraph" w:customStyle="1" w:styleId="outer14">
    <w:name w:val="outer14"/>
    <w:basedOn w:val="a"/>
    <w:rsid w:val="00362C75"/>
    <w:pPr>
      <w:spacing w:before="120" w:after="216"/>
      <w:ind w:left="1737"/>
    </w:pPr>
  </w:style>
  <w:style w:type="paragraph" w:customStyle="1" w:styleId="outer15">
    <w:name w:val="outer15"/>
    <w:basedOn w:val="a"/>
    <w:rsid w:val="00362C75"/>
    <w:pPr>
      <w:spacing w:before="120" w:after="216"/>
      <w:ind w:right="1737"/>
    </w:pPr>
  </w:style>
  <w:style w:type="paragraph" w:customStyle="1" w:styleId="links2">
    <w:name w:val="links2"/>
    <w:basedOn w:val="a"/>
    <w:rsid w:val="00362C75"/>
    <w:rPr>
      <w:color w:val="3F3F3F"/>
    </w:rPr>
  </w:style>
  <w:style w:type="paragraph" w:customStyle="1" w:styleId="block1">
    <w:name w:val="block1"/>
    <w:basedOn w:val="a"/>
    <w:rsid w:val="00362C75"/>
    <w:pPr>
      <w:spacing w:before="120" w:after="131"/>
    </w:pPr>
  </w:style>
  <w:style w:type="paragraph" w:customStyle="1" w:styleId="box1">
    <w:name w:val="box1"/>
    <w:basedOn w:val="a"/>
    <w:rsid w:val="00362C75"/>
    <w:pPr>
      <w:spacing w:before="120" w:after="131"/>
    </w:pPr>
  </w:style>
  <w:style w:type="paragraph" w:customStyle="1" w:styleId="title3">
    <w:name w:val="title3"/>
    <w:basedOn w:val="a"/>
    <w:rsid w:val="00362C75"/>
    <w:pPr>
      <w:spacing w:after="60"/>
    </w:pPr>
    <w:rPr>
      <w:b/>
      <w:bCs/>
      <w:caps/>
      <w:color w:val="777777"/>
    </w:rPr>
  </w:style>
  <w:style w:type="paragraph" w:customStyle="1" w:styleId="content2">
    <w:name w:val="content2"/>
    <w:basedOn w:val="a"/>
    <w:rsid w:val="00362C75"/>
  </w:style>
  <w:style w:type="paragraph" w:customStyle="1" w:styleId="content3">
    <w:name w:val="content3"/>
    <w:basedOn w:val="a"/>
    <w:rsid w:val="00362C75"/>
    <w:pPr>
      <w:spacing w:before="120" w:after="120"/>
    </w:pPr>
  </w:style>
  <w:style w:type="paragraph" w:customStyle="1" w:styleId="content4">
    <w:name w:val="content4"/>
    <w:basedOn w:val="a"/>
    <w:rsid w:val="00362C75"/>
    <w:pPr>
      <w:spacing w:before="120" w:after="120"/>
    </w:pPr>
  </w:style>
  <w:style w:type="paragraph" w:customStyle="1" w:styleId="terms1">
    <w:name w:val="terms1"/>
    <w:basedOn w:val="a"/>
    <w:rsid w:val="00362C75"/>
    <w:pPr>
      <w:spacing w:before="120" w:after="216"/>
    </w:pPr>
    <w:rPr>
      <w:color w:val="777777"/>
      <w:sz w:val="19"/>
      <w:szCs w:val="19"/>
    </w:rPr>
  </w:style>
  <w:style w:type="paragraph" w:customStyle="1" w:styleId="title4">
    <w:name w:val="title4"/>
    <w:basedOn w:val="a"/>
    <w:rsid w:val="00362C75"/>
    <w:rPr>
      <w:color w:val="777777"/>
    </w:rPr>
  </w:style>
  <w:style w:type="paragraph" w:customStyle="1" w:styleId="new1">
    <w:name w:val="new1"/>
    <w:basedOn w:val="a"/>
    <w:rsid w:val="00362C75"/>
    <w:pPr>
      <w:spacing w:before="120" w:after="216"/>
      <w:jc w:val="right"/>
    </w:pPr>
    <w:rPr>
      <w:b/>
      <w:bCs/>
      <w:color w:val="FF0000"/>
      <w:sz w:val="19"/>
      <w:szCs w:val="19"/>
    </w:rPr>
  </w:style>
  <w:style w:type="paragraph" w:customStyle="1" w:styleId="picture2">
    <w:name w:val="picture2"/>
    <w:basedOn w:val="a"/>
    <w:rsid w:val="00362C75"/>
    <w:pPr>
      <w:spacing w:before="120" w:after="216"/>
    </w:pPr>
  </w:style>
  <w:style w:type="paragraph" w:customStyle="1" w:styleId="picture3">
    <w:name w:val="picture3"/>
    <w:basedOn w:val="a"/>
    <w:rsid w:val="00362C75"/>
    <w:pPr>
      <w:spacing w:before="120" w:after="216"/>
    </w:pPr>
  </w:style>
  <w:style w:type="paragraph" w:customStyle="1" w:styleId="left1">
    <w:name w:val="left1"/>
    <w:basedOn w:val="a"/>
    <w:rsid w:val="00362C75"/>
  </w:style>
  <w:style w:type="paragraph" w:customStyle="1" w:styleId="right1">
    <w:name w:val="right1"/>
    <w:basedOn w:val="a"/>
    <w:rsid w:val="00362C75"/>
  </w:style>
  <w:style w:type="paragraph" w:customStyle="1" w:styleId="title5">
    <w:name w:val="title5"/>
    <w:basedOn w:val="a"/>
    <w:rsid w:val="00362C75"/>
    <w:pPr>
      <w:spacing w:after="60"/>
    </w:pPr>
    <w:rPr>
      <w:b/>
      <w:bCs/>
      <w:caps/>
      <w:vanish/>
      <w:color w:val="777777"/>
    </w:rPr>
  </w:style>
  <w:style w:type="paragraph" w:customStyle="1" w:styleId="title6">
    <w:name w:val="title6"/>
    <w:basedOn w:val="a"/>
    <w:rsid w:val="00362C75"/>
    <w:pPr>
      <w:spacing w:after="60"/>
    </w:pPr>
    <w:rPr>
      <w:b/>
      <w:bCs/>
      <w:caps/>
      <w:vanish/>
      <w:color w:val="777777"/>
    </w:rPr>
  </w:style>
  <w:style w:type="paragraph" w:customStyle="1" w:styleId="title7">
    <w:name w:val="title7"/>
    <w:basedOn w:val="a"/>
    <w:rsid w:val="00362C75"/>
    <w:pPr>
      <w:spacing w:after="60"/>
    </w:pPr>
    <w:rPr>
      <w:b/>
      <w:bCs/>
      <w:caps/>
      <w:vanish/>
      <w:color w:val="777777"/>
    </w:rPr>
  </w:style>
  <w:style w:type="paragraph" w:customStyle="1" w:styleId="block2">
    <w:name w:val="block2"/>
    <w:basedOn w:val="a"/>
    <w:rsid w:val="00362C75"/>
  </w:style>
  <w:style w:type="paragraph" w:customStyle="1" w:styleId="content5">
    <w:name w:val="content5"/>
    <w:basedOn w:val="a"/>
    <w:rsid w:val="00362C75"/>
  </w:style>
  <w:style w:type="paragraph" w:customStyle="1" w:styleId="form-text4">
    <w:name w:val="form-text4"/>
    <w:basedOn w:val="a"/>
    <w:rsid w:val="00362C75"/>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form-submit4">
    <w:name w:val="form-submit4"/>
    <w:basedOn w:val="a"/>
    <w:rsid w:val="00362C75"/>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breadcrumb1">
    <w:name w:val="breadcrumb1"/>
    <w:basedOn w:val="a"/>
    <w:rsid w:val="00362C75"/>
    <w:pPr>
      <w:spacing w:before="120" w:after="216"/>
    </w:pPr>
  </w:style>
  <w:style w:type="paragraph" w:customStyle="1" w:styleId="block3">
    <w:name w:val="block3"/>
    <w:basedOn w:val="a"/>
    <w:rsid w:val="00362C75"/>
    <w:pPr>
      <w:spacing w:before="131"/>
    </w:pPr>
  </w:style>
  <w:style w:type="paragraph" w:customStyle="1" w:styleId="block4">
    <w:name w:val="block4"/>
    <w:basedOn w:val="a"/>
    <w:rsid w:val="00362C75"/>
    <w:pPr>
      <w:spacing w:before="120" w:after="120"/>
    </w:pPr>
  </w:style>
  <w:style w:type="paragraph" w:customStyle="1" w:styleId="block5">
    <w:name w:val="block5"/>
    <w:basedOn w:val="a"/>
    <w:rsid w:val="00362C75"/>
    <w:pPr>
      <w:spacing w:after="87"/>
    </w:pPr>
  </w:style>
  <w:style w:type="paragraph" w:customStyle="1" w:styleId="content6">
    <w:name w:val="content6"/>
    <w:basedOn w:val="a"/>
    <w:rsid w:val="00362C75"/>
    <w:pPr>
      <w:spacing w:after="87"/>
    </w:pPr>
  </w:style>
  <w:style w:type="paragraph" w:customStyle="1" w:styleId="content7">
    <w:name w:val="content7"/>
    <w:basedOn w:val="a"/>
    <w:rsid w:val="00362C75"/>
    <w:pPr>
      <w:spacing w:before="120" w:after="216"/>
    </w:pPr>
  </w:style>
  <w:style w:type="paragraph" w:customStyle="1" w:styleId="content8">
    <w:name w:val="content8"/>
    <w:basedOn w:val="a"/>
    <w:rsid w:val="00362C75"/>
    <w:pPr>
      <w:spacing w:before="120" w:after="216"/>
    </w:pPr>
  </w:style>
  <w:style w:type="paragraph" w:customStyle="1" w:styleId="content9">
    <w:name w:val="content9"/>
    <w:basedOn w:val="a"/>
    <w:rsid w:val="00362C75"/>
    <w:pPr>
      <w:spacing w:before="120" w:after="216"/>
    </w:pPr>
  </w:style>
  <w:style w:type="paragraph" w:customStyle="1" w:styleId="block6">
    <w:name w:val="block6"/>
    <w:basedOn w:val="a"/>
    <w:rsid w:val="00362C75"/>
  </w:style>
  <w:style w:type="paragraph" w:customStyle="1" w:styleId="categories1">
    <w:name w:val="categories1"/>
    <w:basedOn w:val="a"/>
    <w:rsid w:val="00362C75"/>
    <w:pPr>
      <w:spacing w:before="120" w:after="216"/>
    </w:pPr>
    <w:rPr>
      <w:i/>
      <w:iCs/>
      <w:color w:val="777777"/>
    </w:rPr>
  </w:style>
  <w:style w:type="paragraph" w:customStyle="1" w:styleId="source1">
    <w:name w:val="source1"/>
    <w:basedOn w:val="a"/>
    <w:rsid w:val="00362C75"/>
    <w:pPr>
      <w:spacing w:before="120" w:after="216"/>
    </w:pPr>
    <w:rPr>
      <w:i/>
      <w:iCs/>
      <w:color w:val="777777"/>
    </w:rPr>
  </w:style>
  <w:style w:type="paragraph" w:customStyle="1" w:styleId="age1">
    <w:name w:val="age1"/>
    <w:basedOn w:val="a"/>
    <w:rsid w:val="00362C75"/>
    <w:pPr>
      <w:spacing w:before="120" w:after="216"/>
    </w:pPr>
    <w:rPr>
      <w:i/>
      <w:iCs/>
      <w:color w:val="777777"/>
    </w:rPr>
  </w:style>
  <w:style w:type="paragraph" w:customStyle="1" w:styleId="feed-source1">
    <w:name w:val="feed-source1"/>
    <w:basedOn w:val="a"/>
    <w:rsid w:val="00362C75"/>
    <w:pPr>
      <w:pBdr>
        <w:top w:val="single" w:sz="4" w:space="0" w:color="CCCCCC"/>
        <w:left w:val="single" w:sz="4" w:space="0" w:color="CCCCCC"/>
        <w:bottom w:val="single" w:sz="4" w:space="0" w:color="CCCCCC"/>
        <w:right w:val="single" w:sz="4" w:space="0" w:color="CCCCCC"/>
      </w:pBdr>
      <w:shd w:val="clear" w:color="auto" w:fill="EEEEEE"/>
      <w:spacing w:before="240" w:after="240"/>
    </w:pPr>
  </w:style>
  <w:style w:type="paragraph" w:customStyle="1" w:styleId="title8">
    <w:name w:val="title8"/>
    <w:basedOn w:val="a"/>
    <w:rsid w:val="00362C75"/>
    <w:pPr>
      <w:spacing w:after="120"/>
    </w:pPr>
    <w:rPr>
      <w:color w:val="777777"/>
    </w:rPr>
  </w:style>
  <w:style w:type="paragraph" w:customStyle="1" w:styleId="links3">
    <w:name w:val="links3"/>
    <w:basedOn w:val="a"/>
    <w:rsid w:val="00362C75"/>
    <w:rPr>
      <w:color w:val="3F3F3F"/>
    </w:rPr>
  </w:style>
  <w:style w:type="paragraph" w:customStyle="1" w:styleId="profile1">
    <w:name w:val="profile1"/>
    <w:basedOn w:val="a"/>
    <w:rsid w:val="00362C75"/>
    <w:pPr>
      <w:pBdr>
        <w:top w:val="single" w:sz="4" w:space="0" w:color="AABBCC"/>
        <w:left w:val="single" w:sz="4" w:space="0" w:color="AABBCC"/>
        <w:bottom w:val="single" w:sz="4" w:space="0" w:color="AABBCC"/>
        <w:right w:val="single" w:sz="4" w:space="0" w:color="AABBCC"/>
      </w:pBdr>
      <w:spacing w:before="240" w:after="240"/>
    </w:pPr>
  </w:style>
  <w:style w:type="paragraph" w:customStyle="1" w:styleId="name1">
    <w:name w:val="name1"/>
    <w:basedOn w:val="a"/>
    <w:rsid w:val="00362C75"/>
    <w:pPr>
      <w:spacing w:before="120" w:after="216"/>
    </w:pPr>
  </w:style>
  <w:style w:type="paragraph" w:customStyle="1" w:styleId="content10">
    <w:name w:val="content10"/>
    <w:basedOn w:val="a"/>
    <w:rsid w:val="00362C75"/>
    <w:pPr>
      <w:spacing w:before="120" w:after="216"/>
      <w:jc w:val="center"/>
    </w:pPr>
  </w:style>
  <w:style w:type="paragraph" w:customStyle="1" w:styleId="content11">
    <w:name w:val="content11"/>
    <w:basedOn w:val="a"/>
    <w:rsid w:val="00362C75"/>
    <w:pPr>
      <w:spacing w:before="120" w:after="216"/>
      <w:jc w:val="center"/>
    </w:pPr>
  </w:style>
  <w:style w:type="paragraph" w:customStyle="1" w:styleId="item-list1">
    <w:name w:val="item-list1"/>
    <w:basedOn w:val="a"/>
    <w:rsid w:val="00362C75"/>
    <w:pPr>
      <w:spacing w:before="120" w:after="216"/>
    </w:pPr>
  </w:style>
  <w:style w:type="paragraph" w:customStyle="1" w:styleId="title9">
    <w:name w:val="title9"/>
    <w:basedOn w:val="a"/>
    <w:rsid w:val="00362C75"/>
    <w:pPr>
      <w:jc w:val="right"/>
    </w:pPr>
    <w:rPr>
      <w:color w:val="777777"/>
    </w:rPr>
  </w:style>
  <w:style w:type="paragraph" w:customStyle="1" w:styleId="title10">
    <w:name w:val="title10"/>
    <w:basedOn w:val="a"/>
    <w:rsid w:val="00362C75"/>
    <w:pPr>
      <w:jc w:val="right"/>
    </w:pPr>
    <w:rPr>
      <w:color w:val="777777"/>
    </w:rPr>
  </w:style>
  <w:style w:type="paragraph" w:customStyle="1" w:styleId="block-icon1">
    <w:name w:val="block-icon1"/>
    <w:basedOn w:val="a"/>
    <w:rsid w:val="00362C75"/>
    <w:pPr>
      <w:spacing w:before="120" w:after="216"/>
    </w:pPr>
  </w:style>
  <w:style w:type="paragraph" w:customStyle="1" w:styleId="block-icon2">
    <w:name w:val="block-icon2"/>
    <w:basedOn w:val="a"/>
    <w:rsid w:val="00362C75"/>
    <w:pPr>
      <w:spacing w:before="120" w:after="216"/>
    </w:pPr>
  </w:style>
  <w:style w:type="paragraph" w:customStyle="1" w:styleId="block-icon3">
    <w:name w:val="block-icon3"/>
    <w:basedOn w:val="a"/>
    <w:rsid w:val="00362C75"/>
    <w:pPr>
      <w:spacing w:before="120" w:after="216"/>
    </w:pPr>
  </w:style>
  <w:style w:type="paragraph" w:customStyle="1" w:styleId="block-icon4">
    <w:name w:val="block-icon4"/>
    <w:basedOn w:val="a"/>
    <w:rsid w:val="00362C75"/>
    <w:pPr>
      <w:spacing w:before="120" w:after="216"/>
    </w:pPr>
  </w:style>
  <w:style w:type="paragraph" w:customStyle="1" w:styleId="block-icon5">
    <w:name w:val="block-icon5"/>
    <w:basedOn w:val="a"/>
    <w:rsid w:val="00362C75"/>
    <w:pPr>
      <w:spacing w:before="120" w:after="216"/>
    </w:pPr>
  </w:style>
  <w:style w:type="paragraph" w:customStyle="1" w:styleId="block-icon6">
    <w:name w:val="block-icon6"/>
    <w:basedOn w:val="a"/>
    <w:rsid w:val="00362C75"/>
    <w:pPr>
      <w:spacing w:before="120" w:after="216"/>
    </w:pPr>
  </w:style>
  <w:style w:type="paragraph" w:customStyle="1" w:styleId="block-icon7">
    <w:name w:val="block-icon7"/>
    <w:basedOn w:val="a"/>
    <w:rsid w:val="00362C75"/>
    <w:pPr>
      <w:spacing w:before="120" w:after="216"/>
    </w:pPr>
  </w:style>
  <w:style w:type="paragraph" w:customStyle="1" w:styleId="block-icon8">
    <w:name w:val="block-icon8"/>
    <w:basedOn w:val="a"/>
    <w:rsid w:val="00362C75"/>
    <w:pPr>
      <w:spacing w:before="120" w:after="216"/>
    </w:pPr>
  </w:style>
  <w:style w:type="paragraph" w:customStyle="1" w:styleId="block-icon9">
    <w:name w:val="block-icon9"/>
    <w:basedOn w:val="a"/>
    <w:rsid w:val="00362C75"/>
    <w:pPr>
      <w:spacing w:before="120" w:after="216"/>
    </w:pPr>
  </w:style>
  <w:style w:type="paragraph" w:customStyle="1" w:styleId="block-icon10">
    <w:name w:val="block-icon10"/>
    <w:basedOn w:val="a"/>
    <w:rsid w:val="00362C75"/>
    <w:pPr>
      <w:spacing w:before="120" w:after="216"/>
    </w:pPr>
  </w:style>
  <w:style w:type="paragraph" w:customStyle="1" w:styleId="block-icon11">
    <w:name w:val="block-icon11"/>
    <w:basedOn w:val="a"/>
    <w:rsid w:val="00362C75"/>
    <w:pPr>
      <w:spacing w:before="120" w:after="216"/>
    </w:pPr>
  </w:style>
  <w:style w:type="paragraph" w:customStyle="1" w:styleId="block-icon12">
    <w:name w:val="block-icon12"/>
    <w:basedOn w:val="a"/>
    <w:rsid w:val="00362C75"/>
    <w:pPr>
      <w:spacing w:before="120" w:after="216"/>
    </w:pPr>
  </w:style>
  <w:style w:type="paragraph" w:customStyle="1" w:styleId="block-icon13">
    <w:name w:val="block-icon13"/>
    <w:basedOn w:val="a"/>
    <w:rsid w:val="00362C75"/>
    <w:pPr>
      <w:spacing w:before="120" w:after="216"/>
    </w:pPr>
  </w:style>
  <w:style w:type="paragraph" w:customStyle="1" w:styleId="block-icon14">
    <w:name w:val="block-icon14"/>
    <w:basedOn w:val="a"/>
    <w:rsid w:val="00362C75"/>
    <w:pPr>
      <w:spacing w:before="120" w:after="216"/>
    </w:pPr>
  </w:style>
  <w:style w:type="paragraph" w:customStyle="1" w:styleId="block-icon15">
    <w:name w:val="block-icon15"/>
    <w:basedOn w:val="a"/>
    <w:rsid w:val="00362C75"/>
    <w:pPr>
      <w:spacing w:before="120" w:after="216"/>
    </w:pPr>
  </w:style>
  <w:style w:type="paragraph" w:customStyle="1" w:styleId="block-icon16">
    <w:name w:val="block-icon16"/>
    <w:basedOn w:val="a"/>
    <w:rsid w:val="00362C75"/>
    <w:pPr>
      <w:spacing w:before="120" w:after="216"/>
    </w:pPr>
  </w:style>
  <w:style w:type="paragraph" w:customStyle="1" w:styleId="block-icon17">
    <w:name w:val="block-icon17"/>
    <w:basedOn w:val="a"/>
    <w:rsid w:val="00362C75"/>
    <w:pPr>
      <w:spacing w:before="120" w:after="216"/>
    </w:pPr>
  </w:style>
  <w:style w:type="paragraph" w:customStyle="1" w:styleId="block-icon18">
    <w:name w:val="block-icon18"/>
    <w:basedOn w:val="a"/>
    <w:rsid w:val="00362C75"/>
    <w:pPr>
      <w:spacing w:before="120" w:after="216"/>
    </w:pPr>
  </w:style>
  <w:style w:type="paragraph" w:customStyle="1" w:styleId="block-icon19">
    <w:name w:val="block-icon19"/>
    <w:basedOn w:val="a"/>
    <w:rsid w:val="00362C75"/>
    <w:pPr>
      <w:spacing w:before="120" w:after="216"/>
    </w:pPr>
  </w:style>
  <w:style w:type="paragraph" w:customStyle="1" w:styleId="block-icon20">
    <w:name w:val="block-icon20"/>
    <w:basedOn w:val="a"/>
    <w:rsid w:val="00362C75"/>
    <w:pPr>
      <w:spacing w:before="120" w:after="216"/>
    </w:pPr>
  </w:style>
  <w:style w:type="paragraph" w:customStyle="1" w:styleId="block-icon21">
    <w:name w:val="block-icon21"/>
    <w:basedOn w:val="a"/>
    <w:rsid w:val="00362C75"/>
    <w:pPr>
      <w:spacing w:before="120" w:after="216"/>
    </w:pPr>
  </w:style>
  <w:style w:type="paragraph" w:customStyle="1" w:styleId="block-icon22">
    <w:name w:val="block-icon22"/>
    <w:basedOn w:val="a"/>
    <w:rsid w:val="00362C75"/>
    <w:pPr>
      <w:spacing w:before="120" w:after="216"/>
    </w:pPr>
  </w:style>
  <w:style w:type="paragraph" w:customStyle="1" w:styleId="block-icon23">
    <w:name w:val="block-icon23"/>
    <w:basedOn w:val="a"/>
    <w:rsid w:val="00362C75"/>
    <w:pPr>
      <w:spacing w:before="120" w:after="216"/>
    </w:pPr>
  </w:style>
  <w:style w:type="paragraph" w:customStyle="1" w:styleId="block-icon24">
    <w:name w:val="block-icon24"/>
    <w:basedOn w:val="a"/>
    <w:rsid w:val="00362C75"/>
    <w:pPr>
      <w:spacing w:before="120" w:after="216"/>
    </w:pPr>
  </w:style>
  <w:style w:type="paragraph" w:customStyle="1" w:styleId="block-icon25">
    <w:name w:val="block-icon25"/>
    <w:basedOn w:val="a"/>
    <w:rsid w:val="00362C75"/>
    <w:pPr>
      <w:spacing w:before="120" w:after="216"/>
    </w:pPr>
  </w:style>
  <w:style w:type="paragraph" w:customStyle="1" w:styleId="block-icon26">
    <w:name w:val="block-icon26"/>
    <w:basedOn w:val="a"/>
    <w:rsid w:val="00362C75"/>
    <w:pPr>
      <w:spacing w:before="120" w:after="216"/>
    </w:pPr>
  </w:style>
  <w:style w:type="paragraph" w:customStyle="1" w:styleId="block-icon27">
    <w:name w:val="block-icon27"/>
    <w:basedOn w:val="a"/>
    <w:rsid w:val="00362C75"/>
    <w:pPr>
      <w:spacing w:before="120" w:after="216"/>
    </w:pPr>
  </w:style>
  <w:style w:type="paragraph" w:customStyle="1" w:styleId="block-icon28">
    <w:name w:val="block-icon28"/>
    <w:basedOn w:val="a"/>
    <w:rsid w:val="00362C75"/>
    <w:pPr>
      <w:spacing w:before="120" w:after="216"/>
    </w:pPr>
  </w:style>
  <w:style w:type="paragraph" w:customStyle="1" w:styleId="block-icon29">
    <w:name w:val="block-icon29"/>
    <w:basedOn w:val="a"/>
    <w:rsid w:val="00362C75"/>
    <w:pPr>
      <w:spacing w:before="120" w:after="216"/>
    </w:pPr>
  </w:style>
  <w:style w:type="paragraph" w:customStyle="1" w:styleId="block-icon30">
    <w:name w:val="block-icon30"/>
    <w:basedOn w:val="a"/>
    <w:rsid w:val="00362C75"/>
    <w:pPr>
      <w:spacing w:before="120" w:after="216"/>
    </w:pPr>
  </w:style>
  <w:style w:type="paragraph" w:customStyle="1" w:styleId="block-icon31">
    <w:name w:val="block-icon31"/>
    <w:basedOn w:val="a"/>
    <w:rsid w:val="00362C75"/>
    <w:pPr>
      <w:spacing w:before="120" w:after="216"/>
    </w:pPr>
  </w:style>
  <w:style w:type="paragraph" w:customStyle="1" w:styleId="block-icon32">
    <w:name w:val="block-icon32"/>
    <w:basedOn w:val="a"/>
    <w:rsid w:val="00362C75"/>
    <w:pPr>
      <w:spacing w:before="120" w:after="216"/>
    </w:pPr>
  </w:style>
  <w:style w:type="paragraph" w:customStyle="1" w:styleId="block-icon33">
    <w:name w:val="block-icon33"/>
    <w:basedOn w:val="a"/>
    <w:rsid w:val="00362C75"/>
    <w:pPr>
      <w:spacing w:before="120" w:after="216"/>
    </w:pPr>
  </w:style>
  <w:style w:type="paragraph" w:customStyle="1" w:styleId="block-icon34">
    <w:name w:val="block-icon34"/>
    <w:basedOn w:val="a"/>
    <w:rsid w:val="00362C75"/>
    <w:pPr>
      <w:spacing w:before="120" w:after="216"/>
    </w:pPr>
  </w:style>
  <w:style w:type="paragraph" w:customStyle="1" w:styleId="block-icon35">
    <w:name w:val="block-icon35"/>
    <w:basedOn w:val="a"/>
    <w:rsid w:val="00362C75"/>
    <w:pPr>
      <w:spacing w:before="120" w:after="216"/>
    </w:pPr>
  </w:style>
  <w:style w:type="paragraph" w:customStyle="1" w:styleId="block-icon36">
    <w:name w:val="block-icon36"/>
    <w:basedOn w:val="a"/>
    <w:rsid w:val="00362C75"/>
    <w:pPr>
      <w:spacing w:before="120" w:after="216"/>
    </w:pPr>
  </w:style>
  <w:style w:type="paragraph" w:customStyle="1" w:styleId="block-icon37">
    <w:name w:val="block-icon37"/>
    <w:basedOn w:val="a"/>
    <w:rsid w:val="00362C75"/>
    <w:pPr>
      <w:spacing w:before="120" w:after="216"/>
    </w:pPr>
  </w:style>
  <w:style w:type="paragraph" w:customStyle="1" w:styleId="block-icon38">
    <w:name w:val="block-icon38"/>
    <w:basedOn w:val="a"/>
    <w:rsid w:val="00362C75"/>
    <w:pPr>
      <w:spacing w:before="120" w:after="216"/>
    </w:pPr>
  </w:style>
  <w:style w:type="paragraph" w:customStyle="1" w:styleId="block-icon39">
    <w:name w:val="block-icon39"/>
    <w:basedOn w:val="a"/>
    <w:rsid w:val="00362C75"/>
    <w:pPr>
      <w:spacing w:before="120" w:after="216"/>
    </w:pPr>
  </w:style>
  <w:style w:type="paragraph" w:customStyle="1" w:styleId="block-icon40">
    <w:name w:val="block-icon40"/>
    <w:basedOn w:val="a"/>
    <w:rsid w:val="00362C75"/>
    <w:pPr>
      <w:spacing w:before="120" w:after="216"/>
    </w:pPr>
  </w:style>
  <w:style w:type="paragraph" w:customStyle="1" w:styleId="block-icon41">
    <w:name w:val="block-icon41"/>
    <w:basedOn w:val="a"/>
    <w:rsid w:val="00362C75"/>
    <w:pPr>
      <w:spacing w:before="120" w:after="216"/>
    </w:pPr>
  </w:style>
  <w:style w:type="paragraph" w:customStyle="1" w:styleId="block-icon42">
    <w:name w:val="block-icon42"/>
    <w:basedOn w:val="a"/>
    <w:rsid w:val="00362C75"/>
    <w:pPr>
      <w:spacing w:before="120" w:after="216"/>
    </w:pPr>
  </w:style>
  <w:style w:type="paragraph" w:customStyle="1" w:styleId="block-icon43">
    <w:name w:val="block-icon43"/>
    <w:basedOn w:val="a"/>
    <w:rsid w:val="00362C75"/>
    <w:pPr>
      <w:spacing w:before="120" w:after="216"/>
    </w:pPr>
  </w:style>
  <w:style w:type="paragraph" w:customStyle="1" w:styleId="block-icon44">
    <w:name w:val="block-icon44"/>
    <w:basedOn w:val="a"/>
    <w:rsid w:val="00362C75"/>
    <w:pPr>
      <w:spacing w:before="120" w:after="216"/>
    </w:pPr>
  </w:style>
  <w:style w:type="paragraph" w:customStyle="1" w:styleId="block-icon45">
    <w:name w:val="block-icon45"/>
    <w:basedOn w:val="a"/>
    <w:rsid w:val="00362C75"/>
    <w:pPr>
      <w:spacing w:before="120" w:after="216"/>
    </w:pPr>
  </w:style>
  <w:style w:type="paragraph" w:customStyle="1" w:styleId="block-icon46">
    <w:name w:val="block-icon46"/>
    <w:basedOn w:val="a"/>
    <w:rsid w:val="00362C75"/>
    <w:pPr>
      <w:spacing w:before="120" w:after="216"/>
    </w:pPr>
  </w:style>
  <w:style w:type="paragraph" w:customStyle="1" w:styleId="block-icon47">
    <w:name w:val="block-icon47"/>
    <w:basedOn w:val="a"/>
    <w:rsid w:val="00362C75"/>
    <w:pPr>
      <w:spacing w:before="120" w:after="216"/>
    </w:pPr>
  </w:style>
  <w:style w:type="paragraph" w:customStyle="1" w:styleId="block-icon48">
    <w:name w:val="block-icon48"/>
    <w:basedOn w:val="a"/>
    <w:rsid w:val="00362C75"/>
    <w:pPr>
      <w:spacing w:before="120" w:after="216"/>
    </w:pPr>
  </w:style>
  <w:style w:type="paragraph" w:customStyle="1" w:styleId="block-icon49">
    <w:name w:val="block-icon49"/>
    <w:basedOn w:val="a"/>
    <w:rsid w:val="00362C75"/>
    <w:pPr>
      <w:spacing w:before="120" w:after="216"/>
    </w:pPr>
  </w:style>
  <w:style w:type="paragraph" w:customStyle="1" w:styleId="block-icon50">
    <w:name w:val="block-icon50"/>
    <w:basedOn w:val="a"/>
    <w:rsid w:val="00362C75"/>
    <w:pPr>
      <w:spacing w:before="120" w:after="216"/>
    </w:pPr>
  </w:style>
  <w:style w:type="paragraph" w:customStyle="1" w:styleId="block-icon51">
    <w:name w:val="block-icon51"/>
    <w:basedOn w:val="a"/>
    <w:rsid w:val="00362C75"/>
    <w:pPr>
      <w:spacing w:before="120" w:after="216"/>
    </w:pPr>
  </w:style>
  <w:style w:type="paragraph" w:customStyle="1" w:styleId="block-icon52">
    <w:name w:val="block-icon52"/>
    <w:basedOn w:val="a"/>
    <w:rsid w:val="00362C75"/>
    <w:pPr>
      <w:spacing w:before="120" w:after="216"/>
    </w:pPr>
  </w:style>
  <w:style w:type="paragraph" w:customStyle="1" w:styleId="block-icon53">
    <w:name w:val="block-icon53"/>
    <w:basedOn w:val="a"/>
    <w:rsid w:val="00362C75"/>
    <w:pPr>
      <w:spacing w:before="120" w:after="216"/>
    </w:pPr>
  </w:style>
  <w:style w:type="paragraph" w:customStyle="1" w:styleId="block-icon54">
    <w:name w:val="block-icon54"/>
    <w:basedOn w:val="a"/>
    <w:rsid w:val="00362C75"/>
    <w:pPr>
      <w:spacing w:before="120" w:after="216"/>
    </w:pPr>
  </w:style>
  <w:style w:type="paragraph" w:customStyle="1" w:styleId="block-icon55">
    <w:name w:val="block-icon55"/>
    <w:basedOn w:val="a"/>
    <w:rsid w:val="00362C75"/>
    <w:pPr>
      <w:spacing w:before="120" w:after="216"/>
    </w:pPr>
  </w:style>
  <w:style w:type="paragraph" w:customStyle="1" w:styleId="block-icon56">
    <w:name w:val="block-icon56"/>
    <w:basedOn w:val="a"/>
    <w:rsid w:val="00362C75"/>
    <w:pPr>
      <w:spacing w:before="120" w:after="216"/>
    </w:pPr>
  </w:style>
  <w:style w:type="paragraph" w:customStyle="1" w:styleId="block-icon57">
    <w:name w:val="block-icon57"/>
    <w:basedOn w:val="a"/>
    <w:rsid w:val="00362C75"/>
    <w:pPr>
      <w:spacing w:before="120" w:after="216"/>
    </w:pPr>
  </w:style>
  <w:style w:type="paragraph" w:customStyle="1" w:styleId="block-icon58">
    <w:name w:val="block-icon58"/>
    <w:basedOn w:val="a"/>
    <w:rsid w:val="00362C75"/>
    <w:pPr>
      <w:spacing w:before="120" w:after="216"/>
    </w:pPr>
  </w:style>
  <w:style w:type="paragraph" w:customStyle="1" w:styleId="block-icon59">
    <w:name w:val="block-icon59"/>
    <w:basedOn w:val="a"/>
    <w:rsid w:val="00362C75"/>
    <w:pPr>
      <w:spacing w:before="120" w:after="216"/>
    </w:pPr>
  </w:style>
  <w:style w:type="paragraph" w:customStyle="1" w:styleId="block-icon60">
    <w:name w:val="block-icon60"/>
    <w:basedOn w:val="a"/>
    <w:rsid w:val="00362C75"/>
    <w:pPr>
      <w:spacing w:before="120" w:after="216"/>
    </w:pPr>
  </w:style>
  <w:style w:type="paragraph" w:customStyle="1" w:styleId="block-icon61">
    <w:name w:val="block-icon61"/>
    <w:basedOn w:val="a"/>
    <w:rsid w:val="00362C75"/>
    <w:pPr>
      <w:spacing w:before="120" w:after="216"/>
    </w:pPr>
  </w:style>
  <w:style w:type="paragraph" w:customStyle="1" w:styleId="block-icon62">
    <w:name w:val="block-icon62"/>
    <w:basedOn w:val="a"/>
    <w:rsid w:val="00362C75"/>
    <w:pPr>
      <w:spacing w:before="120" w:after="216"/>
    </w:pPr>
  </w:style>
  <w:style w:type="paragraph" w:customStyle="1" w:styleId="block-icon63">
    <w:name w:val="block-icon63"/>
    <w:basedOn w:val="a"/>
    <w:rsid w:val="00362C75"/>
    <w:pPr>
      <w:spacing w:before="120" w:after="216"/>
    </w:pPr>
  </w:style>
  <w:style w:type="paragraph" w:customStyle="1" w:styleId="print-icon1">
    <w:name w:val="print-icon1"/>
    <w:basedOn w:val="a"/>
    <w:rsid w:val="00362C75"/>
    <w:pPr>
      <w:spacing w:before="120" w:after="216"/>
    </w:pPr>
    <w:rPr>
      <w:vanish/>
    </w:rPr>
  </w:style>
  <w:style w:type="paragraph" w:customStyle="1" w:styleId="printhtml1">
    <w:name w:val="print_html1"/>
    <w:basedOn w:val="a"/>
    <w:rsid w:val="00362C75"/>
    <w:pPr>
      <w:spacing w:before="100" w:beforeAutospacing="1" w:after="100" w:afterAutospacing="1"/>
    </w:pPr>
  </w:style>
  <w:style w:type="paragraph" w:customStyle="1" w:styleId="bookprinter1">
    <w:name w:val="book_printer1"/>
    <w:basedOn w:val="a"/>
    <w:rsid w:val="00362C75"/>
    <w:pPr>
      <w:spacing w:before="100" w:beforeAutospacing="1" w:after="100" w:afterAutospacing="1"/>
    </w:pPr>
  </w:style>
  <w:style w:type="paragraph" w:customStyle="1" w:styleId="printmail1">
    <w:name w:val="print_mail1"/>
    <w:basedOn w:val="a"/>
    <w:rsid w:val="00362C75"/>
    <w:pPr>
      <w:spacing w:before="100" w:beforeAutospacing="1" w:after="100" w:afterAutospacing="1"/>
    </w:pPr>
  </w:style>
  <w:style w:type="paragraph" w:customStyle="1" w:styleId="bookmail1">
    <w:name w:val="book_mail1"/>
    <w:basedOn w:val="a"/>
    <w:rsid w:val="00362C75"/>
    <w:pPr>
      <w:spacing w:before="100" w:beforeAutospacing="1" w:after="100" w:afterAutospacing="1"/>
    </w:pPr>
  </w:style>
  <w:style w:type="paragraph" w:customStyle="1" w:styleId="printpdf1">
    <w:name w:val="print_pdf1"/>
    <w:basedOn w:val="a"/>
    <w:rsid w:val="00362C75"/>
    <w:pPr>
      <w:spacing w:before="100" w:beforeAutospacing="1" w:after="100" w:afterAutospacing="1"/>
    </w:pPr>
  </w:style>
  <w:style w:type="paragraph" w:customStyle="1" w:styleId="bookpdf1">
    <w:name w:val="book_pdf1"/>
    <w:basedOn w:val="a"/>
    <w:rsid w:val="00362C75"/>
    <w:pPr>
      <w:spacing w:before="100" w:beforeAutospacing="1" w:after="100" w:afterAutospacing="1"/>
    </w:pPr>
  </w:style>
  <w:style w:type="paragraph" w:customStyle="1" w:styleId="content12">
    <w:name w:val="content12"/>
    <w:basedOn w:val="a"/>
    <w:rsid w:val="00362C75"/>
    <w:pPr>
      <w:spacing w:before="120" w:after="120"/>
    </w:pPr>
  </w:style>
  <w:style w:type="paragraph" w:customStyle="1" w:styleId="content13">
    <w:name w:val="content13"/>
    <w:basedOn w:val="a"/>
    <w:rsid w:val="00362C75"/>
    <w:pPr>
      <w:spacing w:before="120" w:after="216"/>
      <w:jc w:val="center"/>
    </w:pPr>
  </w:style>
  <w:style w:type="paragraph" w:customStyle="1" w:styleId="views-field-subject1">
    <w:name w:val="views-field-subject1"/>
    <w:basedOn w:val="a"/>
    <w:rsid w:val="00362C75"/>
    <w:pPr>
      <w:spacing w:before="120" w:after="216"/>
    </w:pPr>
    <w:rPr>
      <w:b/>
      <w:bCs/>
    </w:rPr>
  </w:style>
  <w:style w:type="paragraph" w:customStyle="1" w:styleId="content14">
    <w:name w:val="content14"/>
    <w:basedOn w:val="a"/>
    <w:rsid w:val="00362C75"/>
    <w:pPr>
      <w:spacing w:before="120" w:after="216"/>
      <w:jc w:val="center"/>
    </w:pPr>
  </w:style>
  <w:style w:type="paragraph" w:customStyle="1" w:styleId="uc-store-icon1">
    <w:name w:val="uc-store-icon1"/>
    <w:basedOn w:val="a"/>
    <w:rsid w:val="00362C75"/>
  </w:style>
  <w:style w:type="paragraph" w:customStyle="1" w:styleId="panel-title1">
    <w:name w:val="panel-title1"/>
    <w:basedOn w:val="a"/>
    <w:rsid w:val="00362C75"/>
    <w:pPr>
      <w:spacing w:before="120" w:after="216" w:line="480" w:lineRule="auto"/>
    </w:pPr>
    <w:rPr>
      <w:b/>
      <w:bCs/>
    </w:rPr>
  </w:style>
  <w:style w:type="paragraph" w:customStyle="1" w:styleId="form-submit5">
    <w:name w:val="form-submit5"/>
    <w:basedOn w:val="a"/>
    <w:rsid w:val="00362C75"/>
    <w:pPr>
      <w:spacing w:before="131" w:after="216"/>
    </w:pPr>
  </w:style>
  <w:style w:type="paragraph" w:customStyle="1" w:styleId="body1">
    <w:name w:val="body1"/>
    <w:basedOn w:val="a"/>
    <w:rsid w:val="00362C75"/>
    <w:pPr>
      <w:shd w:val="clear" w:color="auto" w:fill="F4F4F4"/>
      <w:spacing w:before="120" w:after="216"/>
    </w:pPr>
  </w:style>
  <w:style w:type="paragraph" w:customStyle="1" w:styleId="arrow-up1">
    <w:name w:val="arrow-up1"/>
    <w:basedOn w:val="a"/>
    <w:rsid w:val="00362C75"/>
    <w:pPr>
      <w:spacing w:before="120" w:after="216"/>
    </w:pPr>
  </w:style>
  <w:style w:type="paragraph" w:customStyle="1" w:styleId="arrow-down1">
    <w:name w:val="arrow-down1"/>
    <w:basedOn w:val="a"/>
    <w:rsid w:val="00362C75"/>
    <w:pPr>
      <w:spacing w:before="120" w:after="216"/>
    </w:pPr>
  </w:style>
  <w:style w:type="paragraph" w:customStyle="1" w:styleId="name2">
    <w:name w:val="name2"/>
    <w:basedOn w:val="a"/>
    <w:rsid w:val="00362C75"/>
    <w:pPr>
      <w:spacing w:before="120" w:after="216"/>
    </w:pPr>
    <w:rPr>
      <w:color w:val="777777"/>
    </w:rPr>
  </w:style>
  <w:style w:type="paragraph" w:customStyle="1" w:styleId="description5">
    <w:name w:val="description5"/>
    <w:basedOn w:val="a"/>
    <w:rsid w:val="00362C75"/>
    <w:pPr>
      <w:spacing w:before="120" w:after="216"/>
    </w:pPr>
    <w:rPr>
      <w:color w:val="777777"/>
    </w:rPr>
  </w:style>
  <w:style w:type="character" w:customStyle="1" w:styleId="data1">
    <w:name w:val="data1"/>
    <w:rsid w:val="00362C75"/>
    <w:rPr>
      <w:i/>
      <w:iCs/>
      <w:vanish w:val="0"/>
      <w:webHidden w:val="0"/>
      <w:specVanish w:val="0"/>
    </w:rPr>
  </w:style>
  <w:style w:type="character" w:customStyle="1" w:styleId="mfonta10">
    <w:name w:val="mfont_a_10"/>
    <w:basedOn w:val="a0"/>
    <w:rsid w:val="00362C75"/>
  </w:style>
  <w:style w:type="character" w:customStyle="1" w:styleId="fieldset-legend-prefix">
    <w:name w:val="fieldset-legend-prefix"/>
    <w:basedOn w:val="a0"/>
    <w:rsid w:val="00362C75"/>
  </w:style>
  <w:style w:type="character" w:customStyle="1" w:styleId="8MicrosoftSansSerif8pt">
    <w:name w:val="Основной текст (8) + Microsoft Sans Serif;8 pt;Не курсив"/>
    <w:rsid w:val="00362C75"/>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351">
    <w:name w:val="Основной текст (35)_"/>
    <w:link w:val="350"/>
    <w:rsid w:val="00362C75"/>
    <w:rPr>
      <w:rFonts w:ascii="MS Reference Sans Serif" w:hAnsi="MS Reference Sans Serif" w:cs="MS Reference Sans Serif"/>
      <w:spacing w:val="-10"/>
      <w:sz w:val="14"/>
      <w:szCs w:val="14"/>
      <w:shd w:val="clear" w:color="auto" w:fill="FFFFFF"/>
    </w:rPr>
  </w:style>
  <w:style w:type="character" w:customStyle="1" w:styleId="341">
    <w:name w:val="Основной текст (34)_"/>
    <w:link w:val="340"/>
    <w:rsid w:val="00362C75"/>
    <w:rPr>
      <w:rFonts w:ascii="Arial Narrow" w:hAnsi="Arial Narrow" w:cs="Arial Narrow"/>
      <w:b/>
      <w:bCs/>
      <w:sz w:val="17"/>
      <w:szCs w:val="17"/>
      <w:shd w:val="clear" w:color="auto" w:fill="FFFFFF"/>
    </w:rPr>
  </w:style>
  <w:style w:type="character" w:customStyle="1" w:styleId="331">
    <w:name w:val="Основной текст (33)_"/>
    <w:link w:val="330"/>
    <w:rsid w:val="00362C75"/>
    <w:rPr>
      <w:rFonts w:ascii="MS Reference Sans Serif" w:hAnsi="MS Reference Sans Serif" w:cs="MS Reference Sans Serif"/>
      <w:i/>
      <w:iCs/>
      <w:spacing w:val="-20"/>
      <w:sz w:val="17"/>
      <w:szCs w:val="17"/>
      <w:shd w:val="clear" w:color="auto" w:fill="FFFFFF"/>
    </w:rPr>
  </w:style>
  <w:style w:type="character" w:customStyle="1" w:styleId="361">
    <w:name w:val="Основной текст (36)_"/>
    <w:link w:val="360"/>
    <w:rsid w:val="00362C75"/>
    <w:rPr>
      <w:rFonts w:ascii="Arial Narrow" w:hAnsi="Arial Narrow" w:cs="Arial Narrow"/>
      <w:noProof/>
      <w:sz w:val="8"/>
      <w:szCs w:val="8"/>
      <w:shd w:val="clear" w:color="auto" w:fill="FFFFFF"/>
      <w:lang w:val="en-US"/>
    </w:rPr>
  </w:style>
  <w:style w:type="character" w:customStyle="1" w:styleId="117">
    <w:name w:val="Основной текст + Курсив11"/>
    <w:uiPriority w:val="99"/>
    <w:rsid w:val="00362C75"/>
    <w:rPr>
      <w:rFonts w:ascii="Arial Narrow" w:hAnsi="Arial Narrow" w:cs="Arial Narrow"/>
      <w:i/>
      <w:iCs/>
      <w:spacing w:val="0"/>
      <w:sz w:val="17"/>
      <w:szCs w:val="17"/>
    </w:rPr>
  </w:style>
  <w:style w:type="character" w:customStyle="1" w:styleId="46">
    <w:name w:val="Основной текст (4)_"/>
    <w:link w:val="45"/>
    <w:rsid w:val="00362C75"/>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362C75"/>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362C75"/>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362C75"/>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362C75"/>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6">
    <w:name w:val="Подпись к картинке (9)_"/>
    <w:link w:val="97"/>
    <w:uiPriority w:val="99"/>
    <w:rsid w:val="00362C75"/>
    <w:rPr>
      <w:rFonts w:ascii="Arial Narrow" w:eastAsia="Arial Narrow" w:hAnsi="Arial Narrow" w:cs="Arial Narrow"/>
      <w:sz w:val="17"/>
      <w:szCs w:val="17"/>
      <w:shd w:val="clear" w:color="auto" w:fill="FFFFFF"/>
    </w:rPr>
  </w:style>
  <w:style w:type="paragraph" w:customStyle="1" w:styleId="97">
    <w:name w:val="Подпись к картинке (9)"/>
    <w:basedOn w:val="a"/>
    <w:link w:val="96"/>
    <w:uiPriority w:val="99"/>
    <w:rsid w:val="00362C75"/>
    <w:pPr>
      <w:shd w:val="clear" w:color="auto" w:fill="FFFFFF"/>
      <w:spacing w:line="221" w:lineRule="exact"/>
      <w:jc w:val="both"/>
    </w:pPr>
    <w:rPr>
      <w:rFonts w:ascii="Arial Narrow" w:eastAsia="Arial Narrow" w:hAnsi="Arial Narrow" w:cs="Arial Narrow"/>
      <w:sz w:val="17"/>
      <w:szCs w:val="17"/>
    </w:rPr>
  </w:style>
  <w:style w:type="character" w:customStyle="1" w:styleId="98">
    <w:name w:val="Основной текст + Курсив9"/>
    <w:uiPriority w:val="99"/>
    <w:rsid w:val="00362C75"/>
    <w:rPr>
      <w:rFonts w:ascii="Arial Narrow" w:hAnsi="Arial Narrow" w:cs="Arial Narrow"/>
      <w:i/>
      <w:iCs/>
      <w:spacing w:val="0"/>
      <w:sz w:val="17"/>
      <w:szCs w:val="17"/>
    </w:rPr>
  </w:style>
  <w:style w:type="character" w:customStyle="1" w:styleId="61pt">
    <w:name w:val="Основной текст (6) + Интервал 1 pt"/>
    <w:uiPriority w:val="99"/>
    <w:rsid w:val="00362C75"/>
    <w:rPr>
      <w:rFonts w:ascii="Arial Narrow" w:eastAsia="Microsoft Sans Serif" w:hAnsi="Arial Narrow" w:cs="Arial Narrow"/>
      <w:i/>
      <w:iCs/>
      <w:spacing w:val="30"/>
      <w:sz w:val="17"/>
      <w:szCs w:val="17"/>
      <w:shd w:val="clear" w:color="auto" w:fill="FFFFFF"/>
      <w:lang w:eastAsia="ru-RU"/>
    </w:rPr>
  </w:style>
  <w:style w:type="character" w:customStyle="1" w:styleId="151">
    <w:name w:val="Основной текст (15)_"/>
    <w:link w:val="152"/>
    <w:uiPriority w:val="99"/>
    <w:rsid w:val="00362C75"/>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362C75"/>
    <w:pPr>
      <w:shd w:val="clear" w:color="auto" w:fill="FFFFFF"/>
      <w:spacing w:line="432" w:lineRule="exact"/>
      <w:jc w:val="both"/>
    </w:pPr>
    <w:rPr>
      <w:rFonts w:ascii="Franklin Gothic Heavy" w:eastAsia="Franklin Gothic Heavy" w:hAnsi="Franklin Gothic Heavy" w:cs="Franklin Gothic Heavy"/>
      <w:sz w:val="33"/>
      <w:szCs w:val="33"/>
    </w:rPr>
  </w:style>
  <w:style w:type="character" w:customStyle="1" w:styleId="710">
    <w:name w:val="Основной текст + 71"/>
    <w:aliases w:val="5 pt1,Малые прописные"/>
    <w:uiPriority w:val="99"/>
    <w:rsid w:val="00362C75"/>
    <w:rPr>
      <w:rFonts w:ascii="Arial Narrow" w:hAnsi="Arial Narrow" w:cs="Arial Narrow"/>
      <w:smallCaps/>
      <w:spacing w:val="0"/>
      <w:sz w:val="15"/>
      <w:szCs w:val="15"/>
    </w:rPr>
  </w:style>
  <w:style w:type="character" w:customStyle="1" w:styleId="4d">
    <w:name w:val="Основной текст + Курсив4"/>
    <w:uiPriority w:val="99"/>
    <w:rsid w:val="00362C75"/>
    <w:rPr>
      <w:rFonts w:ascii="Arial Narrow" w:hAnsi="Arial Narrow" w:cs="Arial Narrow"/>
      <w:i/>
      <w:iCs/>
      <w:spacing w:val="0"/>
      <w:sz w:val="17"/>
      <w:szCs w:val="17"/>
    </w:rPr>
  </w:style>
  <w:style w:type="character" w:customStyle="1" w:styleId="611">
    <w:name w:val="Основной текст (6) + Не курсив1"/>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fieldset-legend2">
    <w:name w:val="fieldset-legend2"/>
    <w:basedOn w:val="a0"/>
    <w:rsid w:val="00362C75"/>
  </w:style>
  <w:style w:type="paragraph" w:customStyle="1" w:styleId="b-content-content-text-p2">
    <w:name w:val="b-content-content-text-p2"/>
    <w:basedOn w:val="a"/>
    <w:rsid w:val="00362C75"/>
    <w:pPr>
      <w:spacing w:after="150" w:line="360" w:lineRule="atLeast"/>
    </w:pPr>
    <w:rPr>
      <w:color w:val="4D4D4D"/>
      <w:sz w:val="18"/>
      <w:szCs w:val="18"/>
    </w:rPr>
  </w:style>
  <w:style w:type="paragraph" w:customStyle="1" w:styleId="b">
    <w:name w:val="b"/>
    <w:basedOn w:val="a"/>
    <w:rsid w:val="00362C75"/>
    <w:pPr>
      <w:spacing w:before="100" w:beforeAutospacing="1" w:after="100" w:afterAutospacing="1"/>
    </w:pPr>
  </w:style>
  <w:style w:type="paragraph" w:customStyle="1" w:styleId="ri">
    <w:name w:val="ri"/>
    <w:basedOn w:val="a"/>
    <w:rsid w:val="00362C75"/>
    <w:pPr>
      <w:spacing w:before="100" w:beforeAutospacing="1" w:after="100" w:afterAutospacing="1"/>
    </w:pPr>
  </w:style>
  <w:style w:type="paragraph" w:customStyle="1" w:styleId="postmetadata">
    <w:name w:val="postmetadata"/>
    <w:basedOn w:val="a"/>
    <w:rsid w:val="00362C75"/>
    <w:rPr>
      <w:color w:val="999999"/>
      <w:sz w:val="17"/>
      <w:szCs w:val="17"/>
    </w:rPr>
  </w:style>
  <w:style w:type="character" w:customStyle="1" w:styleId="35">
    <w:name w:val="Основной текст (3)_"/>
    <w:link w:val="34"/>
    <w:rsid w:val="00362C75"/>
    <w:rPr>
      <w:rFonts w:ascii="Gungsuh" w:eastAsia="Gungsuh" w:hAnsi="Times New Roman" w:cs="Gungsuh"/>
      <w:spacing w:val="20"/>
      <w:sz w:val="35"/>
      <w:szCs w:val="35"/>
      <w:shd w:val="clear" w:color="auto" w:fill="FFFFFF"/>
    </w:rPr>
  </w:style>
  <w:style w:type="character" w:customStyle="1" w:styleId="70">
    <w:name w:val="Основной текст (7)_"/>
    <w:link w:val="7"/>
    <w:rsid w:val="00362C75"/>
    <w:rPr>
      <w:rFonts w:ascii="Arial Unicode MS" w:eastAsia="Arial Unicode MS" w:hAnsi="Times New Roman" w:cs="Arial Unicode MS"/>
      <w:spacing w:val="20"/>
      <w:sz w:val="25"/>
      <w:szCs w:val="25"/>
      <w:shd w:val="clear" w:color="auto" w:fill="FFFFFF"/>
    </w:rPr>
  </w:style>
  <w:style w:type="character" w:customStyle="1" w:styleId="FranklinGothicMedium85pt">
    <w:name w:val="Оглавление + Franklin Gothic Medium;8;5 pt;Полужирный"/>
    <w:rsid w:val="00362C75"/>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362C75"/>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14">
    <w:name w:val="Основной текст (21)_"/>
    <w:link w:val="213"/>
    <w:uiPriority w:val="99"/>
    <w:rsid w:val="00362C75"/>
    <w:rPr>
      <w:rFonts w:ascii="Calibri" w:eastAsia="Times New Roman" w:hAnsi="Calibri" w:cs="Times New Roman"/>
      <w:sz w:val="16"/>
      <w:szCs w:val="20"/>
      <w:shd w:val="clear" w:color="auto" w:fill="FFFFFF"/>
      <w:lang w:eastAsia="ru-RU"/>
    </w:rPr>
  </w:style>
  <w:style w:type="character" w:customStyle="1" w:styleId="20pt">
    <w:name w:val="Основной текст (2) + Интервал 0 pt"/>
    <w:rsid w:val="00362C75"/>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362C75"/>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362C75"/>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362C75"/>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a">
    <w:name w:val="Заголовок №4_"/>
    <w:link w:val="49"/>
    <w:rsid w:val="00362C75"/>
    <w:rPr>
      <w:rFonts w:ascii="Arial" w:eastAsia="Times New Roman" w:hAnsi="Arial" w:cs="Times New Roman"/>
      <w:spacing w:val="-20"/>
      <w:sz w:val="85"/>
      <w:szCs w:val="20"/>
      <w:shd w:val="clear" w:color="auto" w:fill="FFFFFF"/>
      <w:lang w:eastAsia="ru-RU"/>
    </w:rPr>
  </w:style>
  <w:style w:type="character" w:customStyle="1" w:styleId="40pt">
    <w:name w:val="Заголовок №4 + Интервал 0 pt"/>
    <w:rsid w:val="00362C75"/>
    <w:rPr>
      <w:rFonts w:ascii="Arial" w:eastAsia="Times New Roman" w:hAnsi="Arial" w:cs="Times New Roman"/>
      <w:spacing w:val="0"/>
      <w:sz w:val="85"/>
      <w:szCs w:val="20"/>
      <w:shd w:val="clear" w:color="auto" w:fill="FFFFFF"/>
      <w:lang w:eastAsia="ru-RU"/>
    </w:rPr>
  </w:style>
  <w:style w:type="character" w:customStyle="1" w:styleId="2f2">
    <w:name w:val="Заголовок №2_"/>
    <w:uiPriority w:val="99"/>
    <w:rsid w:val="00362C75"/>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362C75"/>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ff4">
    <w:name w:val="Сноска_"/>
    <w:link w:val="aff3"/>
    <w:uiPriority w:val="99"/>
    <w:rsid w:val="00362C75"/>
    <w:rPr>
      <w:rFonts w:ascii="Lucida Sans Unicode" w:hAnsi="Lucida Sans Unicode" w:cs="Lucida Sans Unicode"/>
      <w:i/>
      <w:iCs/>
      <w:noProof/>
      <w:sz w:val="13"/>
      <w:szCs w:val="13"/>
      <w:shd w:val="clear" w:color="auto" w:fill="FFFFFF"/>
      <w:lang w:val="en-US"/>
    </w:rPr>
  </w:style>
  <w:style w:type="character" w:customStyle="1" w:styleId="3b">
    <w:name w:val="Заголовок №3_"/>
    <w:link w:val="3a"/>
    <w:rsid w:val="00362C75"/>
    <w:rPr>
      <w:rFonts w:ascii="Times New Roman" w:hAnsi="Times New Roman" w:cs="Times New Roman"/>
      <w:spacing w:val="40"/>
      <w:sz w:val="52"/>
      <w:szCs w:val="52"/>
      <w:shd w:val="clear" w:color="auto" w:fill="FFFFFF"/>
    </w:rPr>
  </w:style>
  <w:style w:type="character" w:customStyle="1" w:styleId="ArialNarrow3">
    <w:name w:val="Колонтитул + Arial Narrow3"/>
    <w:aliases w:val="8 pt2,Полужирный8"/>
    <w:uiPriority w:val="99"/>
    <w:rsid w:val="00362C75"/>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362C75"/>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362C75"/>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362C75"/>
    <w:rPr>
      <w:rFonts w:ascii="Arial Narrow" w:hAnsi="Arial Narrow" w:cs="Arial Narrow"/>
      <w:i/>
      <w:iCs/>
      <w:spacing w:val="0"/>
      <w:sz w:val="17"/>
      <w:szCs w:val="17"/>
    </w:rPr>
  </w:style>
  <w:style w:type="character" w:customStyle="1" w:styleId="12-2pt">
    <w:name w:val="Основной текст (12) + Интервал -2 pt"/>
    <w:uiPriority w:val="99"/>
    <w:rsid w:val="00362C75"/>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362C75"/>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362C75"/>
    <w:rPr>
      <w:rFonts w:ascii="Garamond" w:hAnsi="Garamond" w:cs="Garamond"/>
      <w:b/>
      <w:bCs/>
      <w:i/>
      <w:iCs/>
      <w:spacing w:val="-80"/>
      <w:sz w:val="81"/>
      <w:szCs w:val="81"/>
      <w:shd w:val="clear" w:color="auto" w:fill="FFFFFF"/>
    </w:rPr>
  </w:style>
  <w:style w:type="character" w:customStyle="1" w:styleId="65">
    <w:name w:val="Подпись к картинке (6)_"/>
    <w:link w:val="64"/>
    <w:uiPriority w:val="99"/>
    <w:rsid w:val="00362C75"/>
    <w:rPr>
      <w:rFonts w:ascii="Bookman Old Style" w:hAnsi="Bookman Old Style" w:cs="Bookman Old Style"/>
      <w:i/>
      <w:iCs/>
      <w:sz w:val="9"/>
      <w:szCs w:val="9"/>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362C75"/>
    <w:rPr>
      <w:rFonts w:ascii="Garamond" w:hAnsi="Garamond" w:cs="Garamond"/>
      <w:b/>
      <w:bCs/>
      <w:spacing w:val="-10"/>
      <w:sz w:val="22"/>
      <w:szCs w:val="22"/>
    </w:rPr>
  </w:style>
  <w:style w:type="character" w:customStyle="1" w:styleId="721">
    <w:name w:val="Основной текст + 72"/>
    <w:aliases w:val="5 pt2,Полужирный2,Основной текст + Times New Roman1,81,Полужирный5,Основной текст + Arial Unicode MS1,Основной текст + 82,Основной текст + MS Reference Sans Serif1"/>
    <w:uiPriority w:val="99"/>
    <w:rsid w:val="00362C75"/>
    <w:rPr>
      <w:rFonts w:ascii="Arial Narrow" w:hAnsi="Arial Narrow" w:cs="Arial Narrow"/>
      <w:b/>
      <w:bCs/>
      <w:spacing w:val="0"/>
      <w:sz w:val="15"/>
      <w:szCs w:val="15"/>
    </w:rPr>
  </w:style>
  <w:style w:type="character" w:customStyle="1" w:styleId="74">
    <w:name w:val="Подпись к картинке (7)_"/>
    <w:link w:val="73"/>
    <w:uiPriority w:val="99"/>
    <w:rsid w:val="00362C75"/>
    <w:rPr>
      <w:rFonts w:ascii="Arial Narrow" w:hAnsi="Arial Narrow" w:cs="Arial Narrow"/>
      <w:i/>
      <w:iCs/>
      <w:sz w:val="14"/>
      <w:szCs w:val="14"/>
      <w:shd w:val="clear" w:color="auto" w:fill="FFFFFF"/>
    </w:rPr>
  </w:style>
  <w:style w:type="character" w:customStyle="1" w:styleId="621">
    <w:name w:val="Основной текст (6) + Не курсив2"/>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173">
    <w:name w:val="Основной текст (17)_"/>
    <w:link w:val="172"/>
    <w:uiPriority w:val="99"/>
    <w:rsid w:val="00362C75"/>
    <w:rPr>
      <w:rFonts w:ascii="Arial Narrow" w:eastAsia="Times New Roman" w:hAnsi="Arial Narrow" w:cs="Times New Roman"/>
      <w:sz w:val="35"/>
      <w:szCs w:val="20"/>
      <w:shd w:val="clear" w:color="auto" w:fill="FFFFFF"/>
      <w:lang w:eastAsia="ru-RU"/>
    </w:rPr>
  </w:style>
  <w:style w:type="character" w:customStyle="1" w:styleId="19">
    <w:name w:val="Заголовок №1_"/>
    <w:link w:val="18"/>
    <w:uiPriority w:val="99"/>
    <w:rsid w:val="00362C75"/>
    <w:rPr>
      <w:rFonts w:ascii="Segoe UI" w:hAnsi="Segoe UI" w:cs="Segoe UI"/>
      <w:sz w:val="20"/>
      <w:szCs w:val="20"/>
      <w:shd w:val="clear" w:color="auto" w:fill="FFFFFF"/>
    </w:rPr>
  </w:style>
  <w:style w:type="character" w:customStyle="1" w:styleId="5f">
    <w:name w:val="Основной текст + Курсив5"/>
    <w:uiPriority w:val="99"/>
    <w:rsid w:val="00362C75"/>
    <w:rPr>
      <w:rFonts w:ascii="Arial Narrow" w:hAnsi="Arial Narrow" w:cs="Arial Narrow"/>
      <w:i/>
      <w:iCs/>
      <w:spacing w:val="0"/>
      <w:sz w:val="17"/>
      <w:szCs w:val="17"/>
    </w:rPr>
  </w:style>
  <w:style w:type="character" w:customStyle="1" w:styleId="highlight">
    <w:name w:val="highlight"/>
    <w:basedOn w:val="a0"/>
    <w:rsid w:val="00362C75"/>
  </w:style>
  <w:style w:type="character" w:customStyle="1" w:styleId="A30">
    <w:name w:val="A3"/>
    <w:uiPriority w:val="99"/>
    <w:rsid w:val="00362C75"/>
    <w:rPr>
      <w:rFonts w:cs="Palatino Linotype"/>
      <w:i/>
      <w:iCs/>
      <w:color w:val="000000"/>
      <w:sz w:val="19"/>
      <w:szCs w:val="19"/>
    </w:rPr>
  </w:style>
  <w:style w:type="paragraph" w:customStyle="1" w:styleId="Pa1">
    <w:name w:val="Pa1"/>
    <w:basedOn w:val="Default"/>
    <w:next w:val="Default"/>
    <w:uiPriority w:val="99"/>
    <w:rsid w:val="00362C75"/>
    <w:pPr>
      <w:spacing w:line="181" w:lineRule="atLeast"/>
    </w:pPr>
    <w:rPr>
      <w:rFonts w:ascii="Palatino Linotype" w:hAnsi="Palatino Linotype"/>
      <w:color w:val="auto"/>
    </w:rPr>
  </w:style>
  <w:style w:type="paragraph" w:customStyle="1" w:styleId="Pa3">
    <w:name w:val="Pa3"/>
    <w:basedOn w:val="Default"/>
    <w:next w:val="Default"/>
    <w:uiPriority w:val="99"/>
    <w:rsid w:val="00362C75"/>
    <w:pPr>
      <w:spacing w:line="181" w:lineRule="atLeast"/>
    </w:pPr>
    <w:rPr>
      <w:rFonts w:ascii="Palatino Linotype" w:hAnsi="Palatino Linotype"/>
      <w:color w:val="auto"/>
    </w:rPr>
  </w:style>
  <w:style w:type="character" w:customStyle="1" w:styleId="A40">
    <w:name w:val="A4"/>
    <w:uiPriority w:val="99"/>
    <w:rsid w:val="00362C75"/>
    <w:rPr>
      <w:rFonts w:cs="Palatino Linotype"/>
      <w:color w:val="000000"/>
      <w:sz w:val="19"/>
      <w:szCs w:val="19"/>
    </w:rPr>
  </w:style>
  <w:style w:type="paragraph" w:styleId="3e">
    <w:name w:val="Body Text Indent 3"/>
    <w:basedOn w:val="a"/>
    <w:link w:val="3f"/>
    <w:uiPriority w:val="99"/>
    <w:rsid w:val="00362C75"/>
    <w:pPr>
      <w:autoSpaceDE w:val="0"/>
      <w:autoSpaceDN w:val="0"/>
      <w:adjustRightInd w:val="0"/>
      <w:ind w:firstLine="709"/>
      <w:jc w:val="center"/>
    </w:pPr>
  </w:style>
  <w:style w:type="character" w:customStyle="1" w:styleId="3f">
    <w:name w:val="Основной текст с отступом 3 Знак"/>
    <w:link w:val="3e"/>
    <w:uiPriority w:val="99"/>
    <w:rsid w:val="00362C75"/>
    <w:rPr>
      <w:rFonts w:ascii="Times New Roman" w:hAnsi="Times New Roman" w:cs="Times New Roman"/>
      <w:sz w:val="24"/>
      <w:szCs w:val="24"/>
    </w:rPr>
  </w:style>
  <w:style w:type="paragraph" w:customStyle="1" w:styleId="411">
    <w:name w:val="Основной текст (4)1"/>
    <w:basedOn w:val="a"/>
    <w:uiPriority w:val="99"/>
    <w:rsid w:val="00362C75"/>
    <w:pPr>
      <w:shd w:val="clear" w:color="auto" w:fill="FFFFFF"/>
      <w:autoSpaceDE w:val="0"/>
      <w:autoSpaceDN w:val="0"/>
      <w:adjustRightInd w:val="0"/>
      <w:spacing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362C75"/>
    <w:rPr>
      <w:rFonts w:ascii="Microsoft Sans Serif" w:hAnsi="Microsoft Sans Serif" w:cs="Microsoft Sans Serif"/>
      <w:i/>
      <w:iCs/>
      <w:sz w:val="15"/>
      <w:szCs w:val="15"/>
      <w:u w:val="single"/>
    </w:rPr>
  </w:style>
  <w:style w:type="character" w:customStyle="1" w:styleId="481">
    <w:name w:val="Основной текст (4)8"/>
    <w:uiPriority w:val="99"/>
    <w:rsid w:val="00362C75"/>
    <w:rPr>
      <w:rFonts w:ascii="Microsoft Sans Serif" w:hAnsi="Microsoft Sans Serif" w:cs="Microsoft Sans Serif"/>
      <w:i/>
      <w:iCs/>
      <w:sz w:val="15"/>
      <w:szCs w:val="15"/>
      <w:u w:val="single"/>
    </w:rPr>
  </w:style>
  <w:style w:type="character" w:customStyle="1" w:styleId="471">
    <w:name w:val="Основной текст (4)7"/>
    <w:uiPriority w:val="99"/>
    <w:rsid w:val="00362C75"/>
    <w:rPr>
      <w:rFonts w:ascii="Microsoft Sans Serif" w:hAnsi="Microsoft Sans Serif" w:cs="Microsoft Sans Serif"/>
      <w:i/>
      <w:iCs/>
      <w:sz w:val="15"/>
      <w:szCs w:val="15"/>
      <w:u w:val="single"/>
    </w:rPr>
  </w:style>
  <w:style w:type="character" w:customStyle="1" w:styleId="460">
    <w:name w:val="Основной текст (4)6"/>
    <w:uiPriority w:val="99"/>
    <w:rsid w:val="00362C75"/>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362C75"/>
    <w:rPr>
      <w:rFonts w:ascii="Microsoft Sans Serif" w:hAnsi="Microsoft Sans Serif" w:cs="Microsoft Sans Serif"/>
      <w:i/>
      <w:iCs/>
      <w:sz w:val="15"/>
      <w:szCs w:val="15"/>
    </w:rPr>
  </w:style>
  <w:style w:type="character" w:customStyle="1" w:styleId="450">
    <w:name w:val="Основной текст (4)5"/>
    <w:uiPriority w:val="99"/>
    <w:rsid w:val="00362C75"/>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362C75"/>
    <w:rPr>
      <w:rFonts w:ascii="Microsoft Sans Serif" w:hAnsi="Microsoft Sans Serif" w:cs="Microsoft Sans Serif"/>
      <w:b/>
      <w:bCs/>
      <w:i/>
      <w:iCs/>
      <w:sz w:val="13"/>
      <w:szCs w:val="13"/>
    </w:rPr>
  </w:style>
  <w:style w:type="character" w:customStyle="1" w:styleId="441">
    <w:name w:val="Основной текст (4)4"/>
    <w:uiPriority w:val="99"/>
    <w:rsid w:val="00362C75"/>
    <w:rPr>
      <w:rFonts w:ascii="Microsoft Sans Serif" w:hAnsi="Microsoft Sans Serif" w:cs="Microsoft Sans Serif"/>
      <w:i/>
      <w:iCs/>
      <w:sz w:val="15"/>
      <w:szCs w:val="15"/>
      <w:u w:val="single"/>
    </w:rPr>
  </w:style>
  <w:style w:type="character" w:customStyle="1" w:styleId="430">
    <w:name w:val="Основной текст (4)3"/>
    <w:uiPriority w:val="99"/>
    <w:rsid w:val="00362C75"/>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362C75"/>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362C75"/>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362C75"/>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362C75"/>
    <w:pPr>
      <w:shd w:val="clear" w:color="auto" w:fill="FFFFFF"/>
      <w:autoSpaceDE w:val="0"/>
      <w:autoSpaceDN w:val="0"/>
      <w:adjustRightInd w:val="0"/>
      <w:spacing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362C75"/>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362C75"/>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362C75"/>
    <w:rPr>
      <w:rFonts w:ascii="Microsoft Sans Serif" w:hAnsi="Microsoft Sans Serif" w:cs="Microsoft Sans Serif"/>
      <w:i/>
      <w:iCs/>
      <w:spacing w:val="-10"/>
      <w:sz w:val="29"/>
      <w:szCs w:val="29"/>
    </w:rPr>
  </w:style>
  <w:style w:type="character" w:customStyle="1" w:styleId="1111">
    <w:name w:val="Основной текст (11)11"/>
    <w:uiPriority w:val="99"/>
    <w:rsid w:val="00362C75"/>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362C75"/>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362C75"/>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362C75"/>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362C75"/>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362C75"/>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362C75"/>
    <w:rPr>
      <w:rFonts w:ascii="Microsoft Sans Serif" w:hAnsi="Microsoft Sans Serif" w:cs="Microsoft Sans Serif"/>
      <w:i/>
      <w:iCs/>
      <w:spacing w:val="80"/>
      <w:sz w:val="28"/>
      <w:szCs w:val="28"/>
    </w:rPr>
  </w:style>
  <w:style w:type="character" w:customStyle="1" w:styleId="118">
    <w:name w:val="Основной текст (11)8"/>
    <w:uiPriority w:val="99"/>
    <w:rsid w:val="00362C75"/>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362C75"/>
    <w:rPr>
      <w:rFonts w:ascii="Microsoft Sans Serif" w:hAnsi="Microsoft Sans Serif" w:cs="Microsoft Sans Serif"/>
      <w:i/>
      <w:iCs/>
      <w:spacing w:val="80"/>
      <w:sz w:val="28"/>
      <w:szCs w:val="28"/>
    </w:rPr>
  </w:style>
  <w:style w:type="character" w:customStyle="1" w:styleId="1160">
    <w:name w:val="Основной текст (11)6"/>
    <w:uiPriority w:val="99"/>
    <w:rsid w:val="00362C75"/>
    <w:rPr>
      <w:rFonts w:ascii="Microsoft Sans Serif" w:hAnsi="Microsoft Sans Serif" w:cs="Microsoft Sans Serif"/>
      <w:i/>
      <w:iCs/>
      <w:sz w:val="28"/>
      <w:szCs w:val="28"/>
      <w:u w:val="single"/>
    </w:rPr>
  </w:style>
  <w:style w:type="character" w:customStyle="1" w:styleId="1150">
    <w:name w:val="Основной текст (11)5"/>
    <w:uiPriority w:val="99"/>
    <w:rsid w:val="00362C75"/>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362C75"/>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362C75"/>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362C75"/>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362C75"/>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362C75"/>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362C75"/>
    <w:rPr>
      <w:rFonts w:ascii="Microsoft Sans Serif" w:hAnsi="Microsoft Sans Serif" w:cs="Microsoft Sans Serif"/>
      <w:i/>
      <w:iCs/>
      <w:spacing w:val="30"/>
      <w:sz w:val="28"/>
      <w:szCs w:val="28"/>
    </w:rPr>
  </w:style>
  <w:style w:type="character" w:customStyle="1" w:styleId="1140">
    <w:name w:val="Основной текст (11)4"/>
    <w:uiPriority w:val="99"/>
    <w:rsid w:val="00362C75"/>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362C75"/>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362C75"/>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362C75"/>
    <w:rPr>
      <w:rFonts w:ascii="Microsoft Sans Serif" w:hAnsi="Microsoft Sans Serif" w:cs="Microsoft Sans Serif"/>
      <w:i/>
      <w:iCs/>
      <w:spacing w:val="-10"/>
      <w:sz w:val="29"/>
      <w:szCs w:val="29"/>
    </w:rPr>
  </w:style>
  <w:style w:type="character" w:customStyle="1" w:styleId="1130">
    <w:name w:val="Основной текст (11)3"/>
    <w:uiPriority w:val="99"/>
    <w:rsid w:val="00362C75"/>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362C75"/>
    <w:rPr>
      <w:rFonts w:ascii="Microsoft Sans Serif" w:hAnsi="Microsoft Sans Serif" w:cs="Microsoft Sans Serif"/>
      <w:i/>
      <w:iCs/>
      <w:spacing w:val="30"/>
      <w:sz w:val="28"/>
      <w:szCs w:val="28"/>
    </w:rPr>
  </w:style>
  <w:style w:type="character" w:customStyle="1" w:styleId="1120">
    <w:name w:val="Основной текст (11)2"/>
    <w:uiPriority w:val="99"/>
    <w:rsid w:val="00362C75"/>
    <w:rPr>
      <w:rFonts w:ascii="Microsoft Sans Serif" w:hAnsi="Microsoft Sans Serif" w:cs="Microsoft Sans Serif"/>
      <w:i/>
      <w:iCs/>
      <w:spacing w:val="0"/>
      <w:sz w:val="28"/>
      <w:szCs w:val="28"/>
    </w:rPr>
  </w:style>
  <w:style w:type="character" w:customStyle="1" w:styleId="1170">
    <w:name w:val="Основной текст (11)7"/>
    <w:uiPriority w:val="99"/>
    <w:rsid w:val="00362C75"/>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362C75"/>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362C75"/>
    <w:rPr>
      <w:rFonts w:ascii="Arial" w:hAnsi="Arial" w:cs="Arial"/>
      <w:i/>
      <w:iCs/>
      <w:spacing w:val="-10"/>
      <w:sz w:val="16"/>
      <w:szCs w:val="16"/>
    </w:rPr>
  </w:style>
  <w:style w:type="character" w:customStyle="1" w:styleId="7100">
    <w:name w:val="Основной текст (7)10"/>
    <w:uiPriority w:val="99"/>
    <w:rsid w:val="00362C75"/>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362C75"/>
    <w:rPr>
      <w:rFonts w:ascii="Arial Narrow" w:hAnsi="Arial Narrow" w:cs="Arial Narrow"/>
      <w:i/>
      <w:iCs/>
      <w:spacing w:val="0"/>
      <w:sz w:val="15"/>
      <w:szCs w:val="15"/>
    </w:rPr>
  </w:style>
  <w:style w:type="character" w:customStyle="1" w:styleId="29Arial">
    <w:name w:val="Основной текст (29) + Arial.Не курсив"/>
    <w:uiPriority w:val="99"/>
    <w:rsid w:val="00362C75"/>
    <w:rPr>
      <w:rFonts w:ascii="Arial" w:hAnsi="Arial" w:cs="Arial"/>
      <w:i/>
      <w:iCs/>
      <w:sz w:val="15"/>
      <w:szCs w:val="15"/>
    </w:rPr>
  </w:style>
  <w:style w:type="character" w:customStyle="1" w:styleId="79">
    <w:name w:val="Основной текст (7)9"/>
    <w:uiPriority w:val="99"/>
    <w:rsid w:val="00362C75"/>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362C75"/>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362C75"/>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362C75"/>
    <w:rPr>
      <w:rFonts w:ascii="SimHei" w:eastAsia="SimHei" w:cs="SimHei"/>
      <w:i/>
      <w:iCs/>
      <w:spacing w:val="-40"/>
      <w:sz w:val="35"/>
      <w:szCs w:val="35"/>
    </w:rPr>
  </w:style>
  <w:style w:type="paragraph" w:customStyle="1" w:styleId="1510">
    <w:name w:val="Основной текст (15)1"/>
    <w:basedOn w:val="a"/>
    <w:uiPriority w:val="99"/>
    <w:rsid w:val="00362C75"/>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character" w:customStyle="1" w:styleId="78">
    <w:name w:val="Основной текст (7)8"/>
    <w:uiPriority w:val="99"/>
    <w:rsid w:val="00362C75"/>
    <w:rPr>
      <w:rFonts w:ascii="Arial" w:hAnsi="Arial" w:cs="Arial"/>
      <w:i/>
      <w:iCs/>
      <w:spacing w:val="-10"/>
      <w:sz w:val="16"/>
      <w:szCs w:val="16"/>
      <w:u w:val="single"/>
    </w:rPr>
  </w:style>
  <w:style w:type="character" w:customStyle="1" w:styleId="315">
    <w:name w:val="Основной текст (31) + Курсив"/>
    <w:uiPriority w:val="99"/>
    <w:rsid w:val="00362C75"/>
    <w:rPr>
      <w:rFonts w:ascii="Arial" w:hAnsi="Arial" w:cs="Arial"/>
      <w:i/>
      <w:iCs/>
      <w:spacing w:val="0"/>
      <w:sz w:val="11"/>
      <w:szCs w:val="11"/>
    </w:rPr>
  </w:style>
  <w:style w:type="character" w:customStyle="1" w:styleId="303">
    <w:name w:val="Основной текст (30) + Не курсив"/>
    <w:uiPriority w:val="99"/>
    <w:rsid w:val="00362C75"/>
    <w:rPr>
      <w:rFonts w:ascii="Arial" w:hAnsi="Arial" w:cs="Arial"/>
      <w:i/>
      <w:iCs/>
      <w:sz w:val="11"/>
      <w:szCs w:val="11"/>
    </w:rPr>
  </w:style>
  <w:style w:type="character" w:customStyle="1" w:styleId="85pt2415">
    <w:name w:val="Основной текст + 8.5 pt24.Полужирный15"/>
    <w:uiPriority w:val="99"/>
    <w:rsid w:val="00362C75"/>
    <w:rPr>
      <w:rFonts w:ascii="Arial" w:hAnsi="Arial" w:cs="Arial"/>
      <w:b/>
      <w:bCs/>
      <w:spacing w:val="0"/>
      <w:sz w:val="17"/>
      <w:szCs w:val="17"/>
    </w:rPr>
  </w:style>
  <w:style w:type="character" w:customStyle="1" w:styleId="20pt15">
    <w:name w:val="Основной текст + Курсив2.Интервал 0 pt15"/>
    <w:uiPriority w:val="99"/>
    <w:rsid w:val="00362C75"/>
    <w:rPr>
      <w:rFonts w:ascii="Arial" w:hAnsi="Arial" w:cs="Arial"/>
      <w:i/>
      <w:iCs/>
      <w:spacing w:val="-10"/>
      <w:sz w:val="16"/>
      <w:szCs w:val="16"/>
    </w:rPr>
  </w:style>
  <w:style w:type="character" w:customStyle="1" w:styleId="3010">
    <w:name w:val="Основной текст (30) + Не курсив1"/>
    <w:uiPriority w:val="99"/>
    <w:rsid w:val="00362C75"/>
    <w:rPr>
      <w:rFonts w:ascii="Arial" w:hAnsi="Arial" w:cs="Arial"/>
      <w:i/>
      <w:iCs/>
      <w:sz w:val="11"/>
      <w:szCs w:val="11"/>
    </w:rPr>
  </w:style>
  <w:style w:type="character" w:customStyle="1" w:styleId="3110">
    <w:name w:val="Основной текст (31) + Курсив1"/>
    <w:uiPriority w:val="99"/>
    <w:rsid w:val="00362C75"/>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362C75"/>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362C75"/>
    <w:rPr>
      <w:rFonts w:ascii="Arial" w:hAnsi="Arial" w:cs="Arial"/>
      <w:i/>
      <w:iCs/>
      <w:spacing w:val="0"/>
      <w:sz w:val="16"/>
      <w:szCs w:val="16"/>
    </w:rPr>
  </w:style>
  <w:style w:type="character" w:customStyle="1" w:styleId="77">
    <w:name w:val="Основной текст (7)7"/>
    <w:uiPriority w:val="99"/>
    <w:rsid w:val="00362C75"/>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362C75"/>
    <w:rPr>
      <w:rFonts w:ascii="Arial Narrow" w:hAnsi="Arial Narrow" w:cs="Arial Narrow"/>
      <w:b/>
      <w:bCs/>
      <w:spacing w:val="0"/>
      <w:sz w:val="85"/>
      <w:szCs w:val="85"/>
    </w:rPr>
  </w:style>
  <w:style w:type="paragraph" w:customStyle="1" w:styleId="2210">
    <w:name w:val="Основной текст (22)1"/>
    <w:basedOn w:val="a"/>
    <w:uiPriority w:val="99"/>
    <w:rsid w:val="00362C75"/>
    <w:pPr>
      <w:shd w:val="clear" w:color="auto" w:fill="FFFFFF"/>
      <w:autoSpaceDE w:val="0"/>
      <w:autoSpaceDN w:val="0"/>
      <w:adjustRightInd w:val="0"/>
      <w:spacing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362C75"/>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362C75"/>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362C75"/>
    <w:pPr>
      <w:shd w:val="clear" w:color="auto" w:fill="FFFFFF"/>
      <w:autoSpaceDE w:val="0"/>
      <w:autoSpaceDN w:val="0"/>
      <w:adjustRightInd w:val="0"/>
      <w:spacing w:line="240" w:lineRule="atLeast"/>
    </w:pPr>
    <w:rPr>
      <w:rFonts w:ascii="Arial" w:hAnsi="Arial" w:cs="Arial"/>
      <w:i/>
      <w:iCs/>
      <w:spacing w:val="-10"/>
      <w:sz w:val="17"/>
      <w:szCs w:val="17"/>
    </w:rPr>
  </w:style>
  <w:style w:type="character" w:customStyle="1" w:styleId="225">
    <w:name w:val="Основной текст (22)5"/>
    <w:uiPriority w:val="99"/>
    <w:rsid w:val="00362C75"/>
    <w:rPr>
      <w:rFonts w:ascii="Arial" w:hAnsi="Arial" w:cs="Arial"/>
      <w:i/>
      <w:iCs/>
      <w:spacing w:val="-10"/>
      <w:sz w:val="17"/>
      <w:szCs w:val="17"/>
      <w:u w:val="single"/>
    </w:rPr>
  </w:style>
  <w:style w:type="character" w:customStyle="1" w:styleId="80pt22">
    <w:name w:val="Основной текст + Курсив8.Интервал 0 pt22"/>
    <w:uiPriority w:val="99"/>
    <w:rsid w:val="00362C75"/>
    <w:rPr>
      <w:rFonts w:ascii="Arial" w:hAnsi="Arial" w:cs="Arial"/>
      <w:i/>
      <w:iCs/>
      <w:spacing w:val="-10"/>
      <w:sz w:val="17"/>
      <w:szCs w:val="17"/>
    </w:rPr>
  </w:style>
  <w:style w:type="character" w:customStyle="1" w:styleId="2250pt21">
    <w:name w:val="Основной текст (22) + Не курсив5.Интервал 0 pt21"/>
    <w:uiPriority w:val="99"/>
    <w:rsid w:val="00362C75"/>
    <w:rPr>
      <w:rFonts w:ascii="Arial" w:hAnsi="Arial" w:cs="Arial"/>
      <w:i/>
      <w:iCs/>
      <w:spacing w:val="0"/>
      <w:sz w:val="17"/>
      <w:szCs w:val="17"/>
    </w:rPr>
  </w:style>
  <w:style w:type="character" w:customStyle="1" w:styleId="750">
    <w:name w:val="Основной текст (7)5"/>
    <w:uiPriority w:val="99"/>
    <w:rsid w:val="00362C75"/>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362C75"/>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362C75"/>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362C75"/>
    <w:rPr>
      <w:rFonts w:ascii="Franklin Gothic Demi" w:hAnsi="Franklin Gothic Demi" w:cs="Franklin Gothic Demi"/>
      <w:i/>
      <w:iCs/>
      <w:spacing w:val="0"/>
      <w:sz w:val="26"/>
      <w:szCs w:val="26"/>
    </w:rPr>
  </w:style>
  <w:style w:type="character" w:customStyle="1" w:styleId="760">
    <w:name w:val="Основной текст (7)6"/>
    <w:uiPriority w:val="99"/>
    <w:rsid w:val="00362C75"/>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362C75"/>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362C75"/>
    <w:rPr>
      <w:rFonts w:ascii="Arial" w:hAnsi="Arial" w:cs="Arial"/>
      <w:i/>
      <w:iCs/>
      <w:spacing w:val="-10"/>
      <w:sz w:val="16"/>
      <w:szCs w:val="16"/>
    </w:rPr>
  </w:style>
  <w:style w:type="character" w:customStyle="1" w:styleId="SimHei735pt19">
    <w:name w:val="Основной текст + SimHei.73.5 pt19"/>
    <w:uiPriority w:val="99"/>
    <w:rsid w:val="00362C75"/>
    <w:rPr>
      <w:rFonts w:ascii="SimHei" w:eastAsia="SimHei" w:hAnsi="Microsoft Sans Serif" w:cs="SimHei"/>
      <w:spacing w:val="0"/>
      <w:sz w:val="15"/>
      <w:szCs w:val="15"/>
    </w:rPr>
  </w:style>
  <w:style w:type="character" w:customStyle="1" w:styleId="2220">
    <w:name w:val="Основной текст (22)2"/>
    <w:uiPriority w:val="99"/>
    <w:rsid w:val="00362C75"/>
    <w:rPr>
      <w:rFonts w:ascii="Arial" w:hAnsi="Arial" w:cs="Arial"/>
      <w:i/>
      <w:iCs/>
      <w:spacing w:val="-10"/>
      <w:sz w:val="17"/>
      <w:szCs w:val="17"/>
      <w:u w:val="single"/>
    </w:rPr>
  </w:style>
  <w:style w:type="character" w:customStyle="1" w:styleId="223">
    <w:name w:val="Основной текст (22)_"/>
    <w:uiPriority w:val="99"/>
    <w:rsid w:val="00362C75"/>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362C75"/>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362C75"/>
    <w:rPr>
      <w:rFonts w:ascii="Arial" w:hAnsi="Arial" w:cs="Arial"/>
      <w:i/>
      <w:iCs/>
      <w:spacing w:val="0"/>
      <w:sz w:val="16"/>
      <w:szCs w:val="16"/>
    </w:rPr>
  </w:style>
  <w:style w:type="character" w:customStyle="1" w:styleId="224">
    <w:name w:val="Основной текст (22)4"/>
    <w:uiPriority w:val="99"/>
    <w:rsid w:val="00362C75"/>
    <w:rPr>
      <w:rFonts w:ascii="Arial" w:hAnsi="Arial" w:cs="Arial"/>
      <w:i/>
      <w:iCs/>
      <w:spacing w:val="-10"/>
      <w:sz w:val="17"/>
      <w:szCs w:val="17"/>
      <w:u w:val="single"/>
    </w:rPr>
  </w:style>
  <w:style w:type="character" w:customStyle="1" w:styleId="2230">
    <w:name w:val="Основной текст (22)3"/>
    <w:uiPriority w:val="99"/>
    <w:rsid w:val="00362C75"/>
    <w:rPr>
      <w:rFonts w:ascii="Arial" w:hAnsi="Arial" w:cs="Arial"/>
      <w:i/>
      <w:iCs/>
      <w:spacing w:val="-10"/>
      <w:sz w:val="17"/>
      <w:szCs w:val="17"/>
      <w:u w:val="single"/>
    </w:rPr>
  </w:style>
  <w:style w:type="character" w:customStyle="1" w:styleId="70pt20">
    <w:name w:val="Основной текст + Курсив7.Интервал 0 pt20"/>
    <w:uiPriority w:val="99"/>
    <w:rsid w:val="00362C75"/>
    <w:rPr>
      <w:rFonts w:ascii="Arial" w:hAnsi="Arial" w:cs="Arial"/>
      <w:i/>
      <w:iCs/>
      <w:spacing w:val="-10"/>
      <w:sz w:val="17"/>
      <w:szCs w:val="17"/>
    </w:rPr>
  </w:style>
  <w:style w:type="character" w:customStyle="1" w:styleId="2240pt19">
    <w:name w:val="Основной текст (22) + Не курсив4.Интервал 0 pt19"/>
    <w:uiPriority w:val="99"/>
    <w:rsid w:val="00362C75"/>
    <w:rPr>
      <w:rFonts w:ascii="Arial" w:hAnsi="Arial" w:cs="Arial"/>
      <w:i/>
      <w:iCs/>
      <w:spacing w:val="0"/>
      <w:sz w:val="17"/>
      <w:szCs w:val="17"/>
    </w:rPr>
  </w:style>
  <w:style w:type="character" w:customStyle="1" w:styleId="20pt29">
    <w:name w:val="Основной текст (2) + Не курсив.Интервал 0 pt29"/>
    <w:uiPriority w:val="99"/>
    <w:rsid w:val="00362C75"/>
    <w:rPr>
      <w:rFonts w:ascii="Arial" w:hAnsi="Arial" w:cs="Arial"/>
      <w:i/>
      <w:iCs/>
      <w:spacing w:val="0"/>
      <w:sz w:val="16"/>
      <w:szCs w:val="16"/>
    </w:rPr>
  </w:style>
  <w:style w:type="character" w:customStyle="1" w:styleId="283">
    <w:name w:val="Основной текст (2)8"/>
    <w:uiPriority w:val="99"/>
    <w:rsid w:val="00362C75"/>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362C75"/>
    <w:rPr>
      <w:rFonts w:ascii="SimHei" w:eastAsia="SimHei" w:cs="SimHei"/>
      <w:i/>
      <w:iCs/>
      <w:spacing w:val="0"/>
      <w:sz w:val="15"/>
      <w:szCs w:val="15"/>
    </w:rPr>
  </w:style>
  <w:style w:type="character" w:customStyle="1" w:styleId="273">
    <w:name w:val="Основной текст (2)7"/>
    <w:uiPriority w:val="99"/>
    <w:rsid w:val="00362C75"/>
    <w:rPr>
      <w:rFonts w:ascii="Arial" w:hAnsi="Arial" w:cs="Arial"/>
      <w:i/>
      <w:iCs/>
      <w:spacing w:val="-10"/>
      <w:sz w:val="16"/>
      <w:szCs w:val="16"/>
      <w:u w:val="single"/>
    </w:rPr>
  </w:style>
  <w:style w:type="character" w:customStyle="1" w:styleId="262">
    <w:name w:val="Основной текст (2)6"/>
    <w:uiPriority w:val="99"/>
    <w:rsid w:val="00362C75"/>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362C75"/>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362C75"/>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362C75"/>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362C75"/>
    <w:rPr>
      <w:rFonts w:ascii="SimHei" w:eastAsia="SimHei" w:cs="SimHei"/>
      <w:i/>
      <w:iCs/>
      <w:spacing w:val="0"/>
      <w:sz w:val="15"/>
      <w:szCs w:val="15"/>
    </w:rPr>
  </w:style>
  <w:style w:type="character" w:customStyle="1" w:styleId="253">
    <w:name w:val="Основной текст (2)5"/>
    <w:uiPriority w:val="99"/>
    <w:rsid w:val="00362C75"/>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362C75"/>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362C75"/>
    <w:rPr>
      <w:rFonts w:ascii="SimHei" w:eastAsia="SimHei" w:cs="SimHei"/>
      <w:i/>
      <w:iCs/>
      <w:spacing w:val="0"/>
      <w:sz w:val="14"/>
      <w:szCs w:val="14"/>
    </w:rPr>
  </w:style>
  <w:style w:type="character" w:customStyle="1" w:styleId="244">
    <w:name w:val="Основной текст (2)4"/>
    <w:uiPriority w:val="99"/>
    <w:rsid w:val="00362C75"/>
    <w:rPr>
      <w:rFonts w:ascii="Arial" w:hAnsi="Arial" w:cs="Arial"/>
      <w:i/>
      <w:iCs/>
      <w:spacing w:val="-10"/>
      <w:sz w:val="16"/>
      <w:szCs w:val="16"/>
      <w:u w:val="single"/>
    </w:rPr>
  </w:style>
  <w:style w:type="character" w:customStyle="1" w:styleId="232">
    <w:name w:val="Основной текст (2)3"/>
    <w:uiPriority w:val="99"/>
    <w:rsid w:val="00362C75"/>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362C75"/>
    <w:rPr>
      <w:rFonts w:ascii="Arial" w:hAnsi="Arial" w:cs="Arial"/>
      <w:i/>
      <w:iCs/>
      <w:spacing w:val="0"/>
      <w:sz w:val="16"/>
      <w:szCs w:val="16"/>
    </w:rPr>
  </w:style>
  <w:style w:type="character" w:customStyle="1" w:styleId="226">
    <w:name w:val="Основной текст (2)2"/>
    <w:uiPriority w:val="99"/>
    <w:rsid w:val="00362C75"/>
    <w:rPr>
      <w:rFonts w:ascii="Arial" w:hAnsi="Arial" w:cs="Arial"/>
      <w:i/>
      <w:iCs/>
      <w:spacing w:val="-10"/>
      <w:sz w:val="16"/>
      <w:szCs w:val="16"/>
      <w:u w:val="single"/>
    </w:rPr>
  </w:style>
  <w:style w:type="character" w:customStyle="1" w:styleId="5136">
    <w:name w:val="Основной текст (5)136"/>
    <w:uiPriority w:val="99"/>
    <w:rsid w:val="00362C75"/>
    <w:rPr>
      <w:i/>
      <w:iCs/>
      <w:sz w:val="16"/>
      <w:szCs w:val="16"/>
    </w:rPr>
  </w:style>
  <w:style w:type="character" w:customStyle="1" w:styleId="58545pt75630pt128">
    <w:name w:val="Основной текст (5) + 854.5 pt75.Не курсив63.Интервал 0 pt128"/>
    <w:uiPriority w:val="99"/>
    <w:rsid w:val="00362C75"/>
    <w:rPr>
      <w:i/>
      <w:iCs/>
      <w:spacing w:val="-10"/>
      <w:sz w:val="17"/>
      <w:szCs w:val="17"/>
    </w:rPr>
  </w:style>
  <w:style w:type="character" w:customStyle="1" w:styleId="5133">
    <w:name w:val="Основной текст (5)133"/>
    <w:uiPriority w:val="99"/>
    <w:rsid w:val="00362C75"/>
    <w:rPr>
      <w:rFonts w:ascii="Arial Unicode MS" w:eastAsia="Arial Unicode MS" w:cs="Arial Unicode MS"/>
      <w:i/>
      <w:iCs/>
      <w:noProof/>
      <w:sz w:val="16"/>
      <w:szCs w:val="16"/>
    </w:rPr>
  </w:style>
  <w:style w:type="character" w:customStyle="1" w:styleId="5132">
    <w:name w:val="Основной текст (5)132"/>
    <w:uiPriority w:val="99"/>
    <w:rsid w:val="00362C75"/>
    <w:rPr>
      <w:rFonts w:ascii="Arial Unicode MS" w:eastAsia="Arial Unicode MS" w:cs="Arial Unicode MS"/>
      <w:i/>
      <w:iCs/>
      <w:noProof/>
      <w:sz w:val="16"/>
      <w:szCs w:val="16"/>
    </w:rPr>
  </w:style>
  <w:style w:type="character" w:customStyle="1" w:styleId="5131">
    <w:name w:val="Основной текст (5)131"/>
    <w:uiPriority w:val="99"/>
    <w:rsid w:val="00362C75"/>
    <w:rPr>
      <w:i/>
      <w:iCs/>
      <w:sz w:val="16"/>
      <w:szCs w:val="16"/>
    </w:rPr>
  </w:style>
  <w:style w:type="character" w:customStyle="1" w:styleId="5130">
    <w:name w:val="Основной текст (5)130"/>
    <w:uiPriority w:val="99"/>
    <w:rsid w:val="00362C75"/>
    <w:rPr>
      <w:rFonts w:ascii="Arial Unicode MS" w:eastAsia="Arial Unicode MS" w:cs="Arial Unicode MS"/>
      <w:i/>
      <w:iCs/>
      <w:noProof/>
      <w:sz w:val="16"/>
      <w:szCs w:val="16"/>
    </w:rPr>
  </w:style>
  <w:style w:type="character" w:customStyle="1" w:styleId="5116">
    <w:name w:val="Основной текст (5)116"/>
    <w:uiPriority w:val="99"/>
    <w:rsid w:val="00362C75"/>
    <w:rPr>
      <w:rFonts w:ascii="Arial" w:hAnsi="Arial"/>
      <w:i/>
      <w:iCs/>
      <w:spacing w:val="0"/>
      <w:sz w:val="16"/>
      <w:szCs w:val="16"/>
    </w:rPr>
  </w:style>
  <w:style w:type="character" w:customStyle="1" w:styleId="5113">
    <w:name w:val="Основной текст (5)113"/>
    <w:uiPriority w:val="99"/>
    <w:rsid w:val="00362C75"/>
    <w:rPr>
      <w:rFonts w:ascii="Arial" w:hAnsi="Arial"/>
      <w:i/>
      <w:iCs/>
      <w:spacing w:val="0"/>
      <w:sz w:val="16"/>
      <w:szCs w:val="16"/>
      <w:u w:val="single"/>
    </w:rPr>
  </w:style>
  <w:style w:type="character" w:customStyle="1" w:styleId="5117">
    <w:name w:val="Основной текст (5)117"/>
    <w:uiPriority w:val="99"/>
    <w:rsid w:val="00362C75"/>
    <w:rPr>
      <w:rFonts w:ascii="Arial" w:hAnsi="Arial"/>
      <w:i/>
      <w:iCs/>
      <w:spacing w:val="0"/>
      <w:sz w:val="16"/>
      <w:szCs w:val="16"/>
    </w:rPr>
  </w:style>
  <w:style w:type="character" w:customStyle="1" w:styleId="5106">
    <w:name w:val="Основной текст (5)106"/>
    <w:uiPriority w:val="99"/>
    <w:rsid w:val="00362C75"/>
    <w:rPr>
      <w:rFonts w:ascii="Arial" w:hAnsi="Arial"/>
      <w:i/>
      <w:iCs/>
      <w:spacing w:val="0"/>
      <w:sz w:val="16"/>
      <w:szCs w:val="16"/>
    </w:rPr>
  </w:style>
  <w:style w:type="character" w:customStyle="1" w:styleId="5105">
    <w:name w:val="Основной текст (5)105"/>
    <w:uiPriority w:val="99"/>
    <w:rsid w:val="00362C75"/>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362C75"/>
    <w:rPr>
      <w:rFonts w:ascii="Arial" w:hAnsi="Arial"/>
      <w:i/>
      <w:iCs/>
      <w:spacing w:val="0"/>
      <w:sz w:val="16"/>
      <w:szCs w:val="16"/>
      <w:u w:val="single"/>
    </w:rPr>
  </w:style>
  <w:style w:type="character" w:customStyle="1" w:styleId="5103">
    <w:name w:val="Основной текст (5)103"/>
    <w:uiPriority w:val="99"/>
    <w:rsid w:val="00362C75"/>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362C75"/>
    <w:rPr>
      <w:rFonts w:ascii="Arial Unicode MS" w:eastAsia="Arial Unicode MS" w:hAnsi="Arial" w:cs="Arial Unicode MS"/>
      <w:i/>
      <w:iCs/>
      <w:noProof/>
      <w:spacing w:val="0"/>
      <w:sz w:val="16"/>
      <w:szCs w:val="16"/>
    </w:rPr>
  </w:style>
  <w:style w:type="character" w:customStyle="1" w:styleId="531">
    <w:name w:val="Заголовок №53"/>
    <w:uiPriority w:val="99"/>
    <w:rsid w:val="00362C75"/>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362C75"/>
    <w:rPr>
      <w:rFonts w:ascii="Arial" w:hAnsi="Arial"/>
      <w:i/>
      <w:iCs/>
      <w:spacing w:val="-10"/>
      <w:sz w:val="17"/>
      <w:szCs w:val="17"/>
    </w:rPr>
  </w:style>
  <w:style w:type="character" w:customStyle="1" w:styleId="521">
    <w:name w:val="Заголовок №52"/>
    <w:uiPriority w:val="99"/>
    <w:rsid w:val="00362C75"/>
    <w:rPr>
      <w:rFonts w:ascii="Tahoma" w:hAnsi="Tahoma" w:cs="Tahoma"/>
      <w:b/>
      <w:bCs/>
      <w:i/>
      <w:iCs/>
      <w:sz w:val="16"/>
      <w:szCs w:val="16"/>
      <w:u w:val="single"/>
      <w:shd w:val="clear" w:color="auto" w:fill="FFFFFF"/>
    </w:rPr>
  </w:style>
  <w:style w:type="character" w:customStyle="1" w:styleId="5101">
    <w:name w:val="Основной текст (5)101"/>
    <w:uiPriority w:val="99"/>
    <w:rsid w:val="00362C75"/>
    <w:rPr>
      <w:rFonts w:ascii="Arial" w:hAnsi="Arial"/>
      <w:i/>
      <w:iCs/>
      <w:spacing w:val="0"/>
      <w:sz w:val="16"/>
      <w:szCs w:val="16"/>
    </w:rPr>
  </w:style>
  <w:style w:type="character" w:customStyle="1" w:styleId="5100">
    <w:name w:val="Основной текст (5)100"/>
    <w:uiPriority w:val="99"/>
    <w:rsid w:val="00362C75"/>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362C75"/>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362C75"/>
    <w:rPr>
      <w:rFonts w:ascii="Arial" w:hAnsi="Arial"/>
      <w:i/>
      <w:iCs/>
      <w:spacing w:val="-10"/>
      <w:sz w:val="17"/>
      <w:szCs w:val="17"/>
    </w:rPr>
  </w:style>
  <w:style w:type="character" w:customStyle="1" w:styleId="598">
    <w:name w:val="Основной текст (5)98"/>
    <w:uiPriority w:val="99"/>
    <w:rsid w:val="00362C75"/>
    <w:rPr>
      <w:rFonts w:ascii="Arial" w:hAnsi="Arial"/>
      <w:i/>
      <w:iCs/>
      <w:spacing w:val="0"/>
      <w:sz w:val="16"/>
      <w:szCs w:val="16"/>
      <w:u w:val="single"/>
    </w:rPr>
  </w:style>
  <w:style w:type="character" w:customStyle="1" w:styleId="597">
    <w:name w:val="Основной текст (5)97"/>
    <w:uiPriority w:val="99"/>
    <w:rsid w:val="00362C75"/>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362C75"/>
    <w:pPr>
      <w:shd w:val="clear" w:color="auto" w:fill="FFFFFF"/>
      <w:autoSpaceDE w:val="0"/>
      <w:autoSpaceDN w:val="0"/>
      <w:adjustRightInd w:val="0"/>
      <w:spacing w:line="211" w:lineRule="exact"/>
      <w:jc w:val="both"/>
    </w:pPr>
    <w:rPr>
      <w:i/>
      <w:iCs/>
      <w:noProof/>
      <w:sz w:val="16"/>
      <w:szCs w:val="16"/>
      <w:lang w:val="en-US"/>
    </w:rPr>
  </w:style>
  <w:style w:type="character" w:customStyle="1" w:styleId="100pt30">
    <w:name w:val="Основной текст + Курсив10.Интервал 0 pt30"/>
    <w:uiPriority w:val="99"/>
    <w:rsid w:val="00362C75"/>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362C75"/>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362C75"/>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362C75"/>
    <w:rPr>
      <w:rFonts w:ascii="Microsoft Sans Serif" w:hAnsi="Microsoft Sans Serif" w:cs="Microsoft Sans Serif"/>
      <w:i/>
      <w:iCs/>
      <w:spacing w:val="0"/>
      <w:sz w:val="16"/>
      <w:szCs w:val="16"/>
    </w:rPr>
  </w:style>
  <w:style w:type="character" w:customStyle="1" w:styleId="126">
    <w:name w:val="Основной текст (12)6"/>
    <w:uiPriority w:val="99"/>
    <w:rsid w:val="00362C75"/>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362C75"/>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362C75"/>
    <w:rPr>
      <w:rFonts w:ascii="Microsoft Sans Serif" w:hAnsi="Microsoft Sans Serif" w:cs="Microsoft Sans Serif"/>
      <w:i/>
      <w:iCs/>
      <w:spacing w:val="-10"/>
      <w:sz w:val="16"/>
      <w:szCs w:val="16"/>
    </w:rPr>
  </w:style>
  <w:style w:type="character" w:customStyle="1" w:styleId="125">
    <w:name w:val="Основной текст (12)5"/>
    <w:uiPriority w:val="99"/>
    <w:rsid w:val="00362C75"/>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362C75"/>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362C75"/>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362C75"/>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362C75"/>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362C75"/>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362C75"/>
    <w:rPr>
      <w:rFonts w:ascii="Microsoft Sans Serif" w:hAnsi="Microsoft Sans Serif" w:cs="Microsoft Sans Serif"/>
      <w:i/>
      <w:iCs/>
      <w:spacing w:val="0"/>
      <w:sz w:val="16"/>
      <w:szCs w:val="16"/>
    </w:rPr>
  </w:style>
  <w:style w:type="character" w:customStyle="1" w:styleId="1230">
    <w:name w:val="Основной текст (12)3"/>
    <w:uiPriority w:val="99"/>
    <w:rsid w:val="00362C75"/>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362C75"/>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362C75"/>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362C75"/>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362C75"/>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362C75"/>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362C75"/>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362C75"/>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362C75"/>
    <w:rPr>
      <w:rFonts w:ascii="Lucida Sans Unicode" w:hAnsi="Lucida Sans Unicode" w:cs="Lucida Sans Unicode"/>
      <w:i/>
      <w:iCs/>
      <w:spacing w:val="-10"/>
      <w:sz w:val="16"/>
      <w:szCs w:val="16"/>
    </w:rPr>
  </w:style>
  <w:style w:type="character" w:customStyle="1" w:styleId="206">
    <w:name w:val="Основной текст (20)6"/>
    <w:uiPriority w:val="99"/>
    <w:rsid w:val="00362C75"/>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362C75"/>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362C75"/>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362C75"/>
    <w:rPr>
      <w:rFonts w:ascii="MS Mincho" w:eastAsia="MS Mincho" w:hAnsi="Microsoft Sans Serif" w:cs="MS Mincho"/>
      <w:spacing w:val="-10"/>
      <w:sz w:val="16"/>
      <w:szCs w:val="16"/>
    </w:rPr>
  </w:style>
  <w:style w:type="character" w:customStyle="1" w:styleId="2030">
    <w:name w:val="Основной текст (20)3"/>
    <w:uiPriority w:val="99"/>
    <w:rsid w:val="00362C75"/>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362C75"/>
    <w:rPr>
      <w:rFonts w:ascii="Lucida Sans Unicode" w:hAnsi="Lucida Sans Unicode" w:cs="Lucida Sans Unicode"/>
      <w:b/>
      <w:bCs/>
      <w:i/>
      <w:iCs/>
      <w:spacing w:val="-10"/>
      <w:sz w:val="16"/>
      <w:szCs w:val="16"/>
    </w:rPr>
  </w:style>
  <w:style w:type="character" w:customStyle="1" w:styleId="205">
    <w:name w:val="Основной текст (20)5"/>
    <w:uiPriority w:val="99"/>
    <w:rsid w:val="00362C75"/>
    <w:rPr>
      <w:rFonts w:ascii="Lucida Sans Unicode" w:hAnsi="Lucida Sans Unicode" w:cs="Lucida Sans Unicode"/>
      <w:b/>
      <w:bCs/>
      <w:i/>
      <w:iCs/>
      <w:sz w:val="16"/>
      <w:szCs w:val="16"/>
      <w:u w:val="single"/>
    </w:rPr>
  </w:style>
  <w:style w:type="character" w:customStyle="1" w:styleId="204">
    <w:name w:val="Основной текст (20)4"/>
    <w:uiPriority w:val="99"/>
    <w:rsid w:val="00362C75"/>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362C75"/>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362C75"/>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362C75"/>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362C75"/>
    <w:pPr>
      <w:shd w:val="clear" w:color="auto" w:fill="FFFFFF"/>
      <w:autoSpaceDE w:val="0"/>
      <w:autoSpaceDN w:val="0"/>
      <w:adjustRightInd w:val="0"/>
      <w:spacing w:before="120" w:line="168" w:lineRule="exact"/>
    </w:pPr>
    <w:rPr>
      <w:b/>
      <w:bCs/>
      <w:noProof/>
      <w:sz w:val="13"/>
      <w:szCs w:val="13"/>
      <w:lang w:val="en-US"/>
    </w:rPr>
  </w:style>
  <w:style w:type="character" w:customStyle="1" w:styleId="20MSMincho30pt55">
    <w:name w:val="Основной текст (20) + MS Mincho.Не курсив3.Интервал 0 pt55"/>
    <w:uiPriority w:val="99"/>
    <w:rsid w:val="00362C75"/>
    <w:rPr>
      <w:rFonts w:ascii="MS Mincho" w:eastAsia="MS Mincho" w:cs="MS Mincho"/>
      <w:b/>
      <w:bCs/>
      <w:i/>
      <w:iCs/>
      <w:spacing w:val="-10"/>
      <w:sz w:val="16"/>
      <w:szCs w:val="16"/>
    </w:rPr>
  </w:style>
  <w:style w:type="character" w:customStyle="1" w:styleId="2020">
    <w:name w:val="Основной текст (20)2"/>
    <w:uiPriority w:val="99"/>
    <w:rsid w:val="00362C75"/>
    <w:rPr>
      <w:b/>
      <w:bCs/>
      <w:i/>
      <w:iCs/>
      <w:sz w:val="15"/>
      <w:szCs w:val="15"/>
    </w:rPr>
  </w:style>
  <w:style w:type="character" w:customStyle="1" w:styleId="142">
    <w:name w:val="Основной текст (14)2"/>
    <w:uiPriority w:val="99"/>
    <w:rsid w:val="00362C75"/>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362C75"/>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362C75"/>
    <w:rPr>
      <w:rFonts w:ascii="Arial" w:hAnsi="Arial" w:cs="Arial"/>
      <w:i/>
      <w:iCs/>
      <w:spacing w:val="-10"/>
      <w:sz w:val="17"/>
      <w:szCs w:val="17"/>
    </w:rPr>
  </w:style>
  <w:style w:type="character" w:customStyle="1" w:styleId="1180">
    <w:name w:val="Основной текст (11) + Не курсив8"/>
    <w:uiPriority w:val="99"/>
    <w:rsid w:val="00362C75"/>
    <w:rPr>
      <w:rFonts w:ascii="Arial" w:hAnsi="Arial" w:cs="Arial"/>
      <w:i/>
      <w:iCs/>
      <w:spacing w:val="-10"/>
      <w:sz w:val="17"/>
      <w:szCs w:val="17"/>
    </w:rPr>
  </w:style>
  <w:style w:type="character" w:customStyle="1" w:styleId="133">
    <w:name w:val="Основной текст + Курсив13"/>
    <w:uiPriority w:val="99"/>
    <w:rsid w:val="00362C75"/>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362C75"/>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362C75"/>
    <w:rPr>
      <w:rFonts w:ascii="SimHei" w:eastAsia="SimHei" w:hAnsi="Microsoft Sans Serif" w:cs="SimHei"/>
      <w:i/>
      <w:iCs/>
      <w:spacing w:val="0"/>
      <w:sz w:val="15"/>
      <w:szCs w:val="15"/>
    </w:rPr>
  </w:style>
  <w:style w:type="character" w:customStyle="1" w:styleId="127">
    <w:name w:val="Основной текст + Курсив12"/>
    <w:uiPriority w:val="99"/>
    <w:rsid w:val="00362C75"/>
    <w:rPr>
      <w:rFonts w:ascii="Arial" w:hAnsi="Arial" w:cs="Arial"/>
      <w:i/>
      <w:iCs/>
      <w:spacing w:val="-10"/>
      <w:sz w:val="17"/>
      <w:szCs w:val="17"/>
    </w:rPr>
  </w:style>
  <w:style w:type="character" w:customStyle="1" w:styleId="1171">
    <w:name w:val="Основной текст (11) + Не курсив7"/>
    <w:uiPriority w:val="99"/>
    <w:rsid w:val="00362C75"/>
    <w:rPr>
      <w:rFonts w:ascii="Arial" w:hAnsi="Arial" w:cs="Arial"/>
      <w:i/>
      <w:iCs/>
      <w:spacing w:val="-10"/>
      <w:sz w:val="17"/>
      <w:szCs w:val="17"/>
    </w:rPr>
  </w:style>
  <w:style w:type="character" w:customStyle="1" w:styleId="153">
    <w:name w:val="Основной текст + Курсив15"/>
    <w:uiPriority w:val="99"/>
    <w:rsid w:val="00362C75"/>
    <w:rPr>
      <w:rFonts w:ascii="Arial" w:hAnsi="Arial" w:cs="Arial"/>
      <w:i/>
      <w:iCs/>
      <w:spacing w:val="-10"/>
      <w:sz w:val="17"/>
      <w:szCs w:val="17"/>
      <w:u w:val="single"/>
    </w:rPr>
  </w:style>
  <w:style w:type="character" w:customStyle="1" w:styleId="119">
    <w:name w:val="Основной текст (11) + Не курсив9"/>
    <w:uiPriority w:val="99"/>
    <w:rsid w:val="00362C75"/>
    <w:rPr>
      <w:rFonts w:ascii="Arial" w:hAnsi="Arial" w:cs="Arial"/>
      <w:i/>
      <w:iCs/>
      <w:spacing w:val="-10"/>
      <w:sz w:val="17"/>
      <w:szCs w:val="17"/>
    </w:rPr>
  </w:style>
  <w:style w:type="character" w:customStyle="1" w:styleId="11100">
    <w:name w:val="Основной текст (11) + Не курсив10"/>
    <w:uiPriority w:val="99"/>
    <w:rsid w:val="00362C75"/>
    <w:rPr>
      <w:rFonts w:ascii="Arial" w:hAnsi="Arial" w:cs="Arial"/>
      <w:i/>
      <w:iCs/>
      <w:spacing w:val="-10"/>
      <w:sz w:val="17"/>
      <w:szCs w:val="17"/>
    </w:rPr>
  </w:style>
  <w:style w:type="character" w:customStyle="1" w:styleId="11110">
    <w:name w:val="Основной текст (11) + Не курсив11"/>
    <w:uiPriority w:val="99"/>
    <w:rsid w:val="00362C75"/>
    <w:rPr>
      <w:rFonts w:ascii="Arial" w:hAnsi="Arial" w:cs="Arial"/>
      <w:i/>
      <w:iCs/>
      <w:spacing w:val="-10"/>
      <w:sz w:val="17"/>
      <w:szCs w:val="17"/>
    </w:rPr>
  </w:style>
  <w:style w:type="character" w:customStyle="1" w:styleId="4835pt2911">
    <w:name w:val="Основной текст (4) + 83.5 pt29.Не полужирный11"/>
    <w:uiPriority w:val="99"/>
    <w:rsid w:val="00362C75"/>
    <w:rPr>
      <w:rFonts w:ascii="Arial" w:hAnsi="Arial" w:cs="Arial"/>
      <w:b/>
      <w:bCs/>
      <w:i/>
      <w:iCs/>
      <w:spacing w:val="-10"/>
      <w:sz w:val="17"/>
      <w:szCs w:val="17"/>
    </w:rPr>
  </w:style>
  <w:style w:type="character" w:customStyle="1" w:styleId="105pt0pt">
    <w:name w:val="Основной текст + 10.5 pt.Курсив.Интервал 0 pt"/>
    <w:uiPriority w:val="99"/>
    <w:rsid w:val="00362C75"/>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362C75"/>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362C75"/>
    <w:rPr>
      <w:rFonts w:ascii="Tahoma" w:hAnsi="Tahoma" w:cs="Tahoma"/>
      <w:noProof/>
      <w:spacing w:val="30"/>
      <w:sz w:val="24"/>
      <w:szCs w:val="24"/>
    </w:rPr>
  </w:style>
  <w:style w:type="character" w:customStyle="1" w:styleId="2pt1">
    <w:name w:val="Основной текст + Интервал 2 pt1"/>
    <w:uiPriority w:val="99"/>
    <w:rsid w:val="00362C75"/>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362C75"/>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362C75"/>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362C75"/>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362C75"/>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362C75"/>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362C75"/>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362C75"/>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362C75"/>
    <w:rPr>
      <w:rFonts w:ascii="Trebuchet MS" w:hAnsi="Trebuchet MS" w:cs="Trebuchet MS"/>
      <w:noProof/>
      <w:sz w:val="31"/>
      <w:szCs w:val="31"/>
    </w:rPr>
  </w:style>
  <w:style w:type="character" w:customStyle="1" w:styleId="22pt">
    <w:name w:val="Основной текст (2) + Интервал 2 pt"/>
    <w:uiPriority w:val="99"/>
    <w:rsid w:val="00362C75"/>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362C75"/>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362C75"/>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362C75"/>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362C75"/>
    <w:rPr>
      <w:rFonts w:ascii="Arial" w:hAnsi="Arial" w:cs="Arial"/>
      <w:spacing w:val="0"/>
      <w:sz w:val="8"/>
      <w:szCs w:val="8"/>
    </w:rPr>
  </w:style>
  <w:style w:type="table" w:customStyle="1" w:styleId="215">
    <w:name w:val="Таблица простая 21"/>
    <w:basedOn w:val="a1"/>
    <w:uiPriority w:val="42"/>
    <w:rsid w:val="00362C75"/>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362C75"/>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font3">
    <w:name w:val="mfont3"/>
    <w:basedOn w:val="a0"/>
    <w:rsid w:val="00362C75"/>
  </w:style>
  <w:style w:type="paragraph" w:customStyle="1" w:styleId="book">
    <w:name w:val="book"/>
    <w:basedOn w:val="a"/>
    <w:rsid w:val="003E545E"/>
    <w:pPr>
      <w:ind w:firstLine="300"/>
    </w:pPr>
  </w:style>
  <w:style w:type="character" w:customStyle="1" w:styleId="144">
    <w:name w:val="Основной текст (14)_"/>
    <w:link w:val="145"/>
    <w:uiPriority w:val="99"/>
    <w:rsid w:val="006F0F05"/>
    <w:rPr>
      <w:rFonts w:ascii="Arial Narrow" w:hAnsi="Arial Narrow" w:cs="Arial Narrow"/>
      <w:b/>
      <w:bCs/>
      <w:sz w:val="16"/>
      <w:szCs w:val="16"/>
      <w:shd w:val="clear" w:color="auto" w:fill="FFFFFF"/>
    </w:rPr>
  </w:style>
  <w:style w:type="character" w:customStyle="1" w:styleId="131">
    <w:name w:val="Основной текст (13)_"/>
    <w:link w:val="130"/>
    <w:uiPriority w:val="99"/>
    <w:rsid w:val="006F0F05"/>
    <w:rPr>
      <w:rFonts w:ascii="Arial" w:eastAsia="Times New Roman" w:hAnsi="Arial"/>
      <w:sz w:val="36"/>
      <w:shd w:val="clear" w:color="auto" w:fill="FFFFFF"/>
    </w:rPr>
  </w:style>
  <w:style w:type="paragraph" w:customStyle="1" w:styleId="145">
    <w:name w:val="Основной текст (14)"/>
    <w:basedOn w:val="a"/>
    <w:link w:val="144"/>
    <w:uiPriority w:val="99"/>
    <w:rsid w:val="006F0F05"/>
    <w:pPr>
      <w:shd w:val="clear" w:color="auto" w:fill="FFFFFF"/>
      <w:spacing w:line="240" w:lineRule="atLeast"/>
    </w:pPr>
    <w:rPr>
      <w:rFonts w:ascii="Arial Narrow" w:hAnsi="Arial Narrow" w:cs="Arial Narrow"/>
      <w:b/>
      <w:bCs/>
      <w:sz w:val="16"/>
      <w:szCs w:val="16"/>
    </w:rPr>
  </w:style>
  <w:style w:type="character" w:customStyle="1" w:styleId="4e">
    <w:name w:val="Основной текст (4) + Не курсив"/>
    <w:rsid w:val="006F0F0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46">
    <w:name w:val="Основной текст (14) + Полужирный"/>
    <w:rsid w:val="006F0F05"/>
    <w:rPr>
      <w:rFonts w:ascii="Arial Narrow" w:eastAsia="Arial Narrow" w:hAnsi="Arial Narrow" w:cs="Arial Narrow"/>
      <w:b/>
      <w:bCs/>
      <w:i w:val="0"/>
      <w:iCs w:val="0"/>
      <w:smallCaps w:val="0"/>
      <w:strike w:val="0"/>
      <w:spacing w:val="0"/>
      <w:sz w:val="16"/>
      <w:szCs w:val="16"/>
      <w:shd w:val="clear" w:color="auto" w:fill="FFFFFF"/>
    </w:rPr>
  </w:style>
  <w:style w:type="character" w:customStyle="1" w:styleId="134">
    <w:name w:val="Основной текст (13) + Не полужирный"/>
    <w:rsid w:val="006F0F05"/>
    <w:rPr>
      <w:rFonts w:ascii="Arial Narrow" w:eastAsia="Arial Narrow" w:hAnsi="Arial Narrow" w:cs="Arial Narrow"/>
      <w:b/>
      <w:bCs/>
      <w:i w:val="0"/>
      <w:iCs w:val="0"/>
      <w:smallCaps w:val="0"/>
      <w:strike w:val="0"/>
      <w:spacing w:val="0"/>
      <w:sz w:val="16"/>
      <w:szCs w:val="16"/>
      <w:shd w:val="clear" w:color="auto" w:fill="FFFFFF"/>
    </w:rPr>
  </w:style>
  <w:style w:type="character" w:customStyle="1" w:styleId="ucoz-forum-post">
    <w:name w:val="ucoz-forum-post"/>
    <w:rsid w:val="00590D1F"/>
  </w:style>
  <w:style w:type="character" w:customStyle="1" w:styleId="MSReferenceSansSerif85pt">
    <w:name w:val="Основной текст + MS Reference Sans Serif;8;5 pt;Полужирный;Курсив"/>
    <w:rsid w:val="003D013D"/>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84">
    <w:name w:val="Основной текст + Курсив28"/>
    <w:aliases w:val="Интервал 0 pt54"/>
    <w:uiPriority w:val="99"/>
    <w:rsid w:val="003D5AF4"/>
    <w:rPr>
      <w:rFonts w:ascii="Arial Narrow" w:hAnsi="Arial Narrow" w:cs="Arial Narrow"/>
      <w:i/>
      <w:iCs/>
      <w:spacing w:val="0"/>
      <w:sz w:val="18"/>
      <w:szCs w:val="18"/>
      <w:shd w:val="clear" w:color="auto" w:fill="FFFFFF"/>
    </w:rPr>
  </w:style>
  <w:style w:type="character" w:customStyle="1" w:styleId="277">
    <w:name w:val="Основной текст + Курсив27"/>
    <w:aliases w:val="Интервал 0 pt52"/>
    <w:uiPriority w:val="99"/>
    <w:rsid w:val="003D5AF4"/>
    <w:rPr>
      <w:rFonts w:ascii="Arial Narrow" w:hAnsi="Arial Narrow" w:cs="Arial Narrow"/>
      <w:i/>
      <w:iCs/>
      <w:spacing w:val="0"/>
      <w:sz w:val="18"/>
      <w:szCs w:val="18"/>
      <w:shd w:val="clear" w:color="auto" w:fill="FFFFFF"/>
    </w:rPr>
  </w:style>
  <w:style w:type="character" w:customStyle="1" w:styleId="263">
    <w:name w:val="Основной текст + Курсив26"/>
    <w:uiPriority w:val="99"/>
    <w:rsid w:val="003D5AF4"/>
    <w:rPr>
      <w:rFonts w:ascii="Arial Narrow" w:hAnsi="Arial Narrow" w:cs="Arial Narrow"/>
      <w:i/>
      <w:iCs/>
      <w:spacing w:val="0"/>
      <w:sz w:val="18"/>
      <w:szCs w:val="18"/>
      <w:shd w:val="clear" w:color="auto" w:fill="FFFFFF"/>
    </w:rPr>
  </w:style>
  <w:style w:type="character" w:customStyle="1" w:styleId="254">
    <w:name w:val="Основной текст + Курсив25"/>
    <w:uiPriority w:val="99"/>
    <w:rsid w:val="003D5AF4"/>
    <w:rPr>
      <w:rFonts w:ascii="Arial Narrow" w:hAnsi="Arial Narrow" w:cs="Arial Narrow"/>
      <w:i/>
      <w:iCs/>
      <w:spacing w:val="0"/>
      <w:sz w:val="18"/>
      <w:szCs w:val="18"/>
      <w:shd w:val="clear" w:color="auto" w:fill="FFFFFF"/>
    </w:rPr>
  </w:style>
  <w:style w:type="character" w:customStyle="1" w:styleId="2221">
    <w:name w:val="Основной текст (2) + Не курсив22"/>
    <w:uiPriority w:val="99"/>
    <w:rsid w:val="003D5AF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211">
    <w:name w:val="Основной текст (2) + Не курсив21"/>
    <w:uiPriority w:val="99"/>
    <w:rsid w:val="003D5AF4"/>
    <w:rPr>
      <w:rFonts w:ascii="Century Gothic" w:eastAsia="Times New Roman" w:hAnsi="Century Gothic" w:cs="Century Gothic"/>
      <w:b w:val="0"/>
      <w:bCs w:val="0"/>
      <w:i w:val="0"/>
      <w:iCs w:val="0"/>
      <w:smallCaps w:val="0"/>
      <w:strike w:val="0"/>
      <w:spacing w:val="0"/>
      <w:sz w:val="16"/>
      <w:szCs w:val="16"/>
      <w:shd w:val="clear" w:color="auto" w:fill="FFFFFF"/>
    </w:rPr>
  </w:style>
  <w:style w:type="paragraph" w:customStyle="1" w:styleId="heading3">
    <w:name w:val="heading3"/>
    <w:basedOn w:val="a"/>
    <w:rsid w:val="00FC3E2B"/>
    <w:pPr>
      <w:spacing w:before="180" w:after="180"/>
      <w:jc w:val="center"/>
    </w:pPr>
    <w:rPr>
      <w:rFonts w:ascii="Arial" w:hAnsi="Arial" w:cs="Arial"/>
      <w:b/>
      <w:bCs/>
      <w:color w:val="000000"/>
    </w:rPr>
  </w:style>
  <w:style w:type="character" w:customStyle="1" w:styleId="90pt">
    <w:name w:val="Основной текст (9) + Интервал 0 pt"/>
    <w:rsid w:val="005903DB"/>
    <w:rPr>
      <w:rFonts w:ascii="Arial Narrow" w:eastAsia="Arial Narrow" w:hAnsi="Arial Narrow" w:cs="Arial Narrow"/>
      <w:spacing w:val="0"/>
      <w:sz w:val="18"/>
      <w:szCs w:val="18"/>
      <w:shd w:val="clear" w:color="auto" w:fill="FFFFFF"/>
    </w:rPr>
  </w:style>
  <w:style w:type="character" w:customStyle="1" w:styleId="2240">
    <w:name w:val="Основной текст (2) + Не курсив24"/>
    <w:uiPriority w:val="99"/>
    <w:rsid w:val="00462C7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5">
    <w:name w:val="Основной текст + Курсив24"/>
    <w:uiPriority w:val="99"/>
    <w:rsid w:val="00893AF7"/>
    <w:rPr>
      <w:rFonts w:ascii="Arial Narrow" w:hAnsi="Arial Narrow" w:cs="Arial Narrow"/>
      <w:i/>
      <w:iCs/>
      <w:spacing w:val="0"/>
      <w:sz w:val="18"/>
      <w:szCs w:val="18"/>
      <w:shd w:val="clear" w:color="auto" w:fill="FFFFFF"/>
    </w:rPr>
  </w:style>
  <w:style w:type="character" w:customStyle="1" w:styleId="233">
    <w:name w:val="Основной текст + Курсив23"/>
    <w:uiPriority w:val="99"/>
    <w:rsid w:val="00893AF7"/>
    <w:rPr>
      <w:rFonts w:ascii="Arial Narrow" w:hAnsi="Arial Narrow" w:cs="Arial Narrow"/>
      <w:i/>
      <w:iCs/>
      <w:spacing w:val="0"/>
      <w:sz w:val="18"/>
      <w:szCs w:val="18"/>
      <w:shd w:val="clear" w:color="auto" w:fill="FFFFFF"/>
    </w:rPr>
  </w:style>
  <w:style w:type="character" w:customStyle="1" w:styleId="body21">
    <w:name w:val="body21"/>
    <w:rsid w:val="00816E1B"/>
    <w:rPr>
      <w:rFonts w:ascii="Arial" w:hAnsi="Arial" w:cs="Arial" w:hint="default"/>
      <w:i w:val="0"/>
      <w:iCs w:val="0"/>
      <w:sz w:val="24"/>
      <w:szCs w:val="24"/>
    </w:rPr>
  </w:style>
  <w:style w:type="character" w:customStyle="1" w:styleId="164">
    <w:name w:val="Основной текст + Курсив16"/>
    <w:uiPriority w:val="99"/>
    <w:rsid w:val="007E3239"/>
    <w:rPr>
      <w:rFonts w:ascii="Arial Narrow" w:hAnsi="Arial Narrow" w:cs="Arial Narrow"/>
      <w:i/>
      <w:iCs/>
      <w:spacing w:val="0"/>
      <w:sz w:val="18"/>
      <w:szCs w:val="18"/>
      <w:shd w:val="clear" w:color="auto" w:fill="FFFFFF"/>
    </w:rPr>
  </w:style>
  <w:style w:type="character" w:customStyle="1" w:styleId="2140">
    <w:name w:val="Основной текст (2) + Не курсив14"/>
    <w:uiPriority w:val="99"/>
    <w:rsid w:val="007E3239"/>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42">
    <w:name w:val="Заголовок №3 (4)_"/>
    <w:link w:val="343"/>
    <w:locked/>
    <w:rsid w:val="00F37105"/>
    <w:rPr>
      <w:rFonts w:ascii="Times New Roman" w:hAnsi="Times New Roman"/>
      <w:shd w:val="clear" w:color="auto" w:fill="FFFFFF"/>
    </w:rPr>
  </w:style>
  <w:style w:type="character" w:customStyle="1" w:styleId="341pt">
    <w:name w:val="Заголовок №3 (4) + Интервал 1 pt"/>
    <w:rsid w:val="00F37105"/>
    <w:rPr>
      <w:rFonts w:ascii="Times New Roman" w:hAnsi="Times New Roman" w:cs="Times New Roman"/>
      <w:spacing w:val="30"/>
      <w:sz w:val="20"/>
      <w:szCs w:val="20"/>
      <w:shd w:val="clear" w:color="auto" w:fill="FFFFFF"/>
    </w:rPr>
  </w:style>
  <w:style w:type="paragraph" w:customStyle="1" w:styleId="343">
    <w:name w:val="Заголовок №3 (4)"/>
    <w:basedOn w:val="a"/>
    <w:link w:val="342"/>
    <w:rsid w:val="00F37105"/>
    <w:pPr>
      <w:shd w:val="clear" w:color="auto" w:fill="FFFFFF"/>
      <w:spacing w:line="235" w:lineRule="exact"/>
      <w:jc w:val="center"/>
      <w:outlineLvl w:val="2"/>
    </w:pPr>
    <w:rPr>
      <w:sz w:val="20"/>
      <w:szCs w:val="20"/>
    </w:rPr>
  </w:style>
  <w:style w:type="character" w:customStyle="1" w:styleId="612">
    <w:name w:val="Основной текст (61)_"/>
    <w:link w:val="613"/>
    <w:rsid w:val="00F37105"/>
    <w:rPr>
      <w:rFonts w:ascii="MS Reference Sans Serif" w:hAnsi="MS Reference Sans Serif" w:cs="MS Reference Sans Serif"/>
      <w:spacing w:val="-10"/>
      <w:sz w:val="12"/>
      <w:szCs w:val="12"/>
      <w:shd w:val="clear" w:color="auto" w:fill="FFFFFF"/>
    </w:rPr>
  </w:style>
  <w:style w:type="paragraph" w:customStyle="1" w:styleId="613">
    <w:name w:val="Основной текст (61)"/>
    <w:basedOn w:val="a"/>
    <w:link w:val="612"/>
    <w:rsid w:val="00F37105"/>
    <w:pPr>
      <w:shd w:val="clear" w:color="auto" w:fill="FFFFFF"/>
      <w:spacing w:before="360" w:after="360" w:line="240" w:lineRule="atLeast"/>
    </w:pPr>
    <w:rPr>
      <w:rFonts w:ascii="MS Reference Sans Serif" w:hAnsi="MS Reference Sans Serif" w:cs="MS Reference Sans Serif"/>
      <w:spacing w:val="-10"/>
      <w:sz w:val="12"/>
      <w:szCs w:val="12"/>
    </w:rPr>
  </w:style>
  <w:style w:type="paragraph" w:customStyle="1" w:styleId="165">
    <w:name w:val="Основной текст16"/>
    <w:basedOn w:val="a"/>
    <w:rsid w:val="001E4635"/>
    <w:pPr>
      <w:shd w:val="clear" w:color="auto" w:fill="FFFFFF"/>
      <w:spacing w:before="120" w:line="216" w:lineRule="exact"/>
      <w:ind w:hanging="200"/>
      <w:jc w:val="both"/>
    </w:pPr>
    <w:rPr>
      <w:rFonts w:ascii="Arial" w:eastAsia="Arial" w:hAnsi="Arial" w:cs="Arial"/>
      <w:color w:val="000000"/>
      <w:sz w:val="18"/>
      <w:szCs w:val="18"/>
    </w:rPr>
  </w:style>
  <w:style w:type="character" w:customStyle="1" w:styleId="219">
    <w:name w:val="Основной текст (2) + Не курсив19"/>
    <w:uiPriority w:val="99"/>
    <w:rsid w:val="00144515"/>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5pt-1pt">
    <w:name w:val="Основной текст + 9;5 pt;Полужирный;Интервал -1 pt"/>
    <w:rsid w:val="00C84475"/>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BookAntiqua10pt0pt">
    <w:name w:val="Основной текст + Book Antiqua;10 pt;Полужирный;Интервал 0 pt"/>
    <w:rsid w:val="00C84475"/>
    <w:rPr>
      <w:rFonts w:ascii="Book Antiqua" w:eastAsia="Book Antiqua" w:hAnsi="Book Antiqua" w:cs="Book Antiqua"/>
      <w:b/>
      <w:bCs/>
      <w:i w:val="0"/>
      <w:iCs w:val="0"/>
      <w:smallCaps w:val="0"/>
      <w:strike w:val="0"/>
      <w:spacing w:val="-10"/>
      <w:sz w:val="20"/>
      <w:szCs w:val="20"/>
      <w:shd w:val="clear" w:color="auto" w:fill="FFFFFF"/>
    </w:rPr>
  </w:style>
  <w:style w:type="character" w:customStyle="1" w:styleId="TimesNewRoman10pt">
    <w:name w:val="Основной текст + Times New Roman;10 pt;Полужирный"/>
    <w:rsid w:val="00C84475"/>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Candara10pt">
    <w:name w:val="Основной текст + Candara;10 pt;Полужирный"/>
    <w:rsid w:val="00C84475"/>
    <w:rPr>
      <w:rFonts w:ascii="Candara" w:eastAsia="Candara" w:hAnsi="Candara" w:cs="Candara"/>
      <w:b/>
      <w:bCs/>
      <w:i w:val="0"/>
      <w:iCs w:val="0"/>
      <w:smallCaps w:val="0"/>
      <w:strike w:val="0"/>
      <w:spacing w:val="0"/>
      <w:sz w:val="20"/>
      <w:szCs w:val="20"/>
      <w:shd w:val="clear" w:color="auto" w:fill="FFFFFF"/>
    </w:rPr>
  </w:style>
  <w:style w:type="paragraph" w:customStyle="1" w:styleId="rteindent11">
    <w:name w:val="rteindent11"/>
    <w:basedOn w:val="a"/>
    <w:rsid w:val="00D713B1"/>
    <w:pPr>
      <w:spacing w:before="100" w:beforeAutospacing="1" w:after="150"/>
      <w:ind w:left="600" w:firstLine="300"/>
      <w:jc w:val="both"/>
    </w:pPr>
  </w:style>
  <w:style w:type="character" w:customStyle="1" w:styleId="0pt1">
    <w:name w:val="Основной текст + Полужирный;Интервал 0 pt"/>
    <w:rsid w:val="0032140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f4">
    <w:name w:val="Основной текст (2) + Не полужирный"/>
    <w:rsid w:val="0032140A"/>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7a">
    <w:name w:val="Основной текст (7) + Не курсив"/>
    <w:rsid w:val="005F32F4"/>
    <w:rPr>
      <w:rFonts w:ascii="Arial Narrow" w:eastAsia="Arial Narrow" w:hAnsi="Arial Narrow" w:cs="Arial Narrow"/>
      <w:b w:val="0"/>
      <w:bCs w:val="0"/>
      <w:i/>
      <w:iCs/>
      <w:smallCaps w:val="0"/>
      <w:strike w:val="0"/>
      <w:spacing w:val="0"/>
      <w:sz w:val="19"/>
      <w:szCs w:val="19"/>
      <w:shd w:val="clear" w:color="auto" w:fill="FFFFFF"/>
    </w:rPr>
  </w:style>
  <w:style w:type="character" w:customStyle="1" w:styleId="8pt0pt">
    <w:name w:val="Основной текст + 8 pt;Интервал 0 pt"/>
    <w:rsid w:val="005F32F4"/>
    <w:rPr>
      <w:rFonts w:ascii="Arial" w:eastAsia="Arial" w:hAnsi="Arial" w:cs="Arial"/>
      <w:b w:val="0"/>
      <w:bCs w:val="0"/>
      <w:i w:val="0"/>
      <w:iCs w:val="0"/>
      <w:smallCaps w:val="0"/>
      <w:strike w:val="0"/>
      <w:spacing w:val="-10"/>
      <w:sz w:val="16"/>
      <w:szCs w:val="16"/>
    </w:rPr>
  </w:style>
  <w:style w:type="character" w:customStyle="1" w:styleId="8pt0pt0">
    <w:name w:val="Основной текст + 8 pt;Курсив;Интервал 0 pt"/>
    <w:rsid w:val="005F32F4"/>
    <w:rPr>
      <w:rFonts w:ascii="Arial" w:eastAsia="Arial" w:hAnsi="Arial" w:cs="Arial"/>
      <w:b w:val="0"/>
      <w:bCs w:val="0"/>
      <w:i/>
      <w:iCs/>
      <w:smallCaps w:val="0"/>
      <w:strike w:val="0"/>
      <w:spacing w:val="-10"/>
      <w:sz w:val="16"/>
      <w:szCs w:val="16"/>
    </w:rPr>
  </w:style>
  <w:style w:type="character" w:customStyle="1" w:styleId="107">
    <w:name w:val="Основной текст10"/>
    <w:basedOn w:val="a0"/>
    <w:uiPriority w:val="99"/>
    <w:rsid w:val="00CD7B36"/>
    <w:rPr>
      <w:rFonts w:ascii="Times New Roman" w:eastAsia="Times New Roman" w:hAnsi="Times New Roman" w:cs="Times New Roman"/>
      <w:b w:val="0"/>
      <w:bCs w:val="0"/>
      <w:i w:val="0"/>
      <w:iCs w:val="0"/>
      <w:smallCaps w:val="0"/>
      <w:strike w:val="0"/>
      <w:spacing w:val="0"/>
      <w:sz w:val="23"/>
      <w:szCs w:val="23"/>
    </w:rPr>
  </w:style>
  <w:style w:type="character" w:customStyle="1" w:styleId="BodytextItalic">
    <w:name w:val="Body text + Italic"/>
    <w:basedOn w:val="a0"/>
    <w:uiPriority w:val="99"/>
    <w:rsid w:val="006B4C87"/>
    <w:rPr>
      <w:rFonts w:ascii="Times New Roman" w:eastAsia="Times New Roman" w:hAnsi="Times New Roman" w:cs="Times New Roman"/>
      <w:b w:val="0"/>
      <w:bCs w:val="0"/>
      <w:i/>
      <w:iCs/>
      <w:smallCaps w:val="0"/>
      <w:strike w:val="0"/>
      <w:spacing w:val="0"/>
      <w:sz w:val="23"/>
      <w:szCs w:val="23"/>
    </w:rPr>
  </w:style>
  <w:style w:type="paragraph" w:customStyle="1" w:styleId="Bodytext1">
    <w:name w:val="Body text1"/>
    <w:basedOn w:val="a"/>
    <w:uiPriority w:val="99"/>
    <w:rsid w:val="006825F8"/>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Bodytext">
    <w:name w:val="Body text_"/>
    <w:basedOn w:val="a0"/>
    <w:link w:val="123"/>
    <w:rsid w:val="006A1A77"/>
    <w:rPr>
      <w:rFonts w:ascii="Lucida Sans Unicode" w:eastAsia="Times New Roman" w:hAnsi="Lucida Sans Unicode"/>
      <w:color w:val="000000"/>
      <w:spacing w:val="-10"/>
      <w:sz w:val="25"/>
      <w:shd w:val="clear" w:color="auto" w:fill="FFFFFF"/>
    </w:rPr>
  </w:style>
  <w:style w:type="character" w:customStyle="1" w:styleId="PalatinoLinotype11pt70">
    <w:name w:val="Основной текст + Palatino Linotype;11 pt;Курсив;Масштаб 70%"/>
    <w:basedOn w:val="aff0"/>
    <w:rsid w:val="00D60908"/>
    <w:rPr>
      <w:rFonts w:ascii="Palatino Linotype" w:eastAsia="Palatino Linotype" w:hAnsi="Palatino Linotype" w:cs="Palatino Linotype"/>
      <w:b w:val="0"/>
      <w:bCs w:val="0"/>
      <w:i/>
      <w:iCs/>
      <w:smallCaps w:val="0"/>
      <w:strike w:val="0"/>
      <w:spacing w:val="0"/>
      <w:w w:val="70"/>
      <w:sz w:val="22"/>
      <w:szCs w:val="22"/>
      <w:shd w:val="clear" w:color="auto" w:fill="FFFFFF"/>
    </w:rPr>
  </w:style>
  <w:style w:type="character" w:customStyle="1" w:styleId="ArialNarrow0">
    <w:name w:val="Основной текст + Arial Narrow;Курсив"/>
    <w:basedOn w:val="aff0"/>
    <w:rsid w:val="00D60908"/>
    <w:rPr>
      <w:rFonts w:ascii="Arial Narrow" w:eastAsia="Arial Narrow" w:hAnsi="Arial Narrow" w:cs="Arial Narrow"/>
      <w:b w:val="0"/>
      <w:bCs w:val="0"/>
      <w:i/>
      <w:iCs/>
      <w:smallCaps w:val="0"/>
      <w:strike w:val="0"/>
      <w:spacing w:val="0"/>
      <w:sz w:val="20"/>
      <w:szCs w:val="20"/>
      <w:shd w:val="clear" w:color="auto" w:fill="FFFFFF"/>
    </w:rPr>
  </w:style>
  <w:style w:type="character" w:customStyle="1" w:styleId="Garamond7pt">
    <w:name w:val="Основной текст + Garamond;7 pt"/>
    <w:basedOn w:val="aff0"/>
    <w:rsid w:val="001D045B"/>
    <w:rPr>
      <w:rFonts w:ascii="Garamond" w:eastAsia="Garamond" w:hAnsi="Garamond" w:cs="Garamond"/>
      <w:spacing w:val="-10"/>
      <w:sz w:val="14"/>
      <w:szCs w:val="14"/>
      <w:shd w:val="clear" w:color="auto" w:fill="FFFFFF"/>
    </w:rPr>
  </w:style>
  <w:style w:type="character" w:customStyle="1" w:styleId="2Batang85pt0pt">
    <w:name w:val="Основной текст (2) + Batang;8;5 pt;Не курсив;Интервал 0 pt"/>
    <w:basedOn w:val="2f1"/>
    <w:rsid w:val="001D045B"/>
    <w:rPr>
      <w:rFonts w:ascii="Batang" w:eastAsia="Batang" w:hAnsi="Batang" w:cs="Batang"/>
      <w:b w:val="0"/>
      <w:bCs w:val="0"/>
      <w:i/>
      <w:iCs/>
      <w:smallCaps w:val="0"/>
      <w:strike w:val="0"/>
      <w:spacing w:val="0"/>
      <w:sz w:val="17"/>
      <w:szCs w:val="17"/>
      <w:shd w:val="clear" w:color="auto" w:fill="FFFFFF"/>
    </w:rPr>
  </w:style>
  <w:style w:type="character" w:customStyle="1" w:styleId="FranklinGothicBook85pt0pt">
    <w:name w:val="Основной текст + Franklin Gothic Book;8;5 pt;Не полужирный;Интервал 0 pt"/>
    <w:basedOn w:val="aff0"/>
    <w:rsid w:val="000D0537"/>
    <w:rPr>
      <w:rFonts w:ascii="Franklin Gothic Book" w:eastAsia="Franklin Gothic Book" w:hAnsi="Franklin Gothic Book" w:cs="Franklin Gothic Book"/>
      <w:b/>
      <w:bCs/>
      <w:i w:val="0"/>
      <w:iCs w:val="0"/>
      <w:smallCaps w:val="0"/>
      <w:strike w:val="0"/>
      <w:spacing w:val="-10"/>
      <w:sz w:val="17"/>
      <w:szCs w:val="17"/>
      <w:shd w:val="clear" w:color="auto" w:fill="FFFFFF"/>
    </w:rPr>
  </w:style>
  <w:style w:type="character" w:customStyle="1" w:styleId="FranklinGothicBook85pt">
    <w:name w:val="Основной текст + Franklin Gothic Book;8;5 pt;Не полужирный"/>
    <w:basedOn w:val="aff0"/>
    <w:rsid w:val="000D0537"/>
    <w:rPr>
      <w:rFonts w:ascii="Franklin Gothic Book" w:eastAsia="Franklin Gothic Book" w:hAnsi="Franklin Gothic Book" w:cs="Franklin Gothic Book"/>
      <w:b/>
      <w:bCs/>
      <w:i w:val="0"/>
      <w:iCs w:val="0"/>
      <w:smallCaps w:val="0"/>
      <w:strike w:val="0"/>
      <w:spacing w:val="0"/>
      <w:sz w:val="17"/>
      <w:szCs w:val="17"/>
      <w:shd w:val="clear" w:color="auto" w:fill="FFFFFF"/>
    </w:rPr>
  </w:style>
  <w:style w:type="character" w:customStyle="1" w:styleId="9pt80">
    <w:name w:val="Основной текст + 9 pt;Курсив;Масштаб 80%"/>
    <w:basedOn w:val="aff0"/>
    <w:rsid w:val="00712FB3"/>
    <w:rPr>
      <w:rFonts w:ascii="Segoe UI" w:eastAsia="Segoe UI" w:hAnsi="Segoe UI" w:cs="Segoe UI"/>
      <w:b w:val="0"/>
      <w:bCs w:val="0"/>
      <w:i/>
      <w:iCs/>
      <w:smallCaps w:val="0"/>
      <w:strike w:val="0"/>
      <w:spacing w:val="0"/>
      <w:w w:val="80"/>
      <w:sz w:val="18"/>
      <w:szCs w:val="18"/>
      <w:shd w:val="clear" w:color="auto" w:fill="FFFFFF"/>
    </w:rPr>
  </w:style>
  <w:style w:type="paragraph" w:customStyle="1" w:styleId="184">
    <w:name w:val="Основной текст18"/>
    <w:basedOn w:val="a"/>
    <w:rsid w:val="00712FB3"/>
    <w:pPr>
      <w:shd w:val="clear" w:color="auto" w:fill="FFFFFF"/>
      <w:spacing w:before="600" w:after="2880" w:line="240" w:lineRule="exact"/>
      <w:jc w:val="both"/>
    </w:pPr>
    <w:rPr>
      <w:rFonts w:ascii="Arial Narrow" w:eastAsia="Arial Narrow" w:hAnsi="Arial Narrow" w:cs="Arial Narrow"/>
      <w:color w:val="000000"/>
      <w:sz w:val="18"/>
      <w:szCs w:val="18"/>
    </w:rPr>
  </w:style>
  <w:style w:type="character" w:customStyle="1" w:styleId="135">
    <w:name w:val="Основной текст13"/>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character" w:customStyle="1" w:styleId="147">
    <w:name w:val="Основной текст14"/>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character" w:customStyle="1" w:styleId="154">
    <w:name w:val="Основной текст15"/>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paragraph" w:customStyle="1" w:styleId="431">
    <w:name w:val="Основной текст43"/>
    <w:basedOn w:val="a"/>
    <w:rsid w:val="003C19E1"/>
    <w:pPr>
      <w:shd w:val="clear" w:color="auto" w:fill="FFFFFF"/>
      <w:spacing w:line="0" w:lineRule="atLeast"/>
      <w:ind w:hanging="480"/>
    </w:pPr>
    <w:rPr>
      <w:rFonts w:ascii="Gungsuh" w:eastAsia="Gungsuh" w:hAnsi="Gungsuh" w:cs="Gungsuh"/>
      <w:color w:val="000000"/>
      <w:sz w:val="15"/>
      <w:szCs w:val="15"/>
    </w:rPr>
  </w:style>
  <w:style w:type="character" w:customStyle="1" w:styleId="Consolas65pt">
    <w:name w:val="Основной текст + Consolas;6;5 pt;Полужирный"/>
    <w:basedOn w:val="aff0"/>
    <w:rsid w:val="003C19E1"/>
    <w:rPr>
      <w:rFonts w:ascii="Consolas" w:eastAsia="Consolas" w:hAnsi="Consolas" w:cs="Consolas"/>
      <w:b/>
      <w:bCs/>
      <w:i w:val="0"/>
      <w:iCs w:val="0"/>
      <w:smallCaps w:val="0"/>
      <w:strike w:val="0"/>
      <w:spacing w:val="0"/>
      <w:sz w:val="13"/>
      <w:szCs w:val="13"/>
      <w:shd w:val="clear" w:color="auto" w:fill="FFFFFF"/>
    </w:rPr>
  </w:style>
  <w:style w:type="character" w:customStyle="1" w:styleId="8Gungsuh75pt">
    <w:name w:val="Основной текст (8) + Gungsuh;7;5 pt;Не полужирный"/>
    <w:basedOn w:val="81"/>
    <w:rsid w:val="003C19E1"/>
    <w:rPr>
      <w:rFonts w:ascii="Gungsuh" w:eastAsia="Gungsuh" w:hAnsi="Gungsuh" w:cs="Gungsuh"/>
      <w:b/>
      <w:bCs/>
      <w:i w:val="0"/>
      <w:iCs w:val="0"/>
      <w:smallCaps w:val="0"/>
      <w:strike w:val="0"/>
      <w:spacing w:val="0"/>
      <w:sz w:val="15"/>
      <w:szCs w:val="15"/>
      <w:shd w:val="clear" w:color="auto" w:fill="FFFFFF"/>
    </w:rPr>
  </w:style>
  <w:style w:type="character" w:customStyle="1" w:styleId="510pt">
    <w:name w:val="Основной текст (5) + 10 pt;Полужирный;Не курсив"/>
    <w:basedOn w:val="5e"/>
    <w:rsid w:val="008C396C"/>
    <w:rPr>
      <w:rFonts w:ascii="Arial Narrow" w:eastAsia="Arial Narrow" w:hAnsi="Arial Narrow" w:cs="Arial Narrow"/>
      <w:b/>
      <w:bCs/>
      <w:i/>
      <w:iCs/>
      <w:spacing w:val="-10"/>
      <w:sz w:val="20"/>
      <w:szCs w:val="20"/>
      <w:shd w:val="clear" w:color="auto" w:fill="FFFFFF"/>
    </w:rPr>
  </w:style>
  <w:style w:type="paragraph" w:customStyle="1" w:styleId="11b">
    <w:name w:val="Основной текст11"/>
    <w:basedOn w:val="a"/>
    <w:rsid w:val="008C396C"/>
    <w:pPr>
      <w:shd w:val="clear" w:color="auto" w:fill="FFFFFF"/>
      <w:spacing w:after="900" w:line="0" w:lineRule="atLeast"/>
    </w:pPr>
    <w:rPr>
      <w:rFonts w:ascii="Arial Narrow" w:eastAsia="Arial Narrow" w:hAnsi="Arial Narrow" w:cs="Arial Narrow"/>
      <w:color w:val="000000"/>
      <w:sz w:val="17"/>
      <w:szCs w:val="17"/>
    </w:rPr>
  </w:style>
  <w:style w:type="paragraph" w:customStyle="1" w:styleId="4f">
    <w:name w:val="4"/>
    <w:basedOn w:val="a"/>
    <w:rsid w:val="00BA025E"/>
    <w:pPr>
      <w:spacing w:before="100" w:beforeAutospacing="1" w:after="100" w:afterAutospacing="1"/>
    </w:pPr>
  </w:style>
  <w:style w:type="paragraph" w:customStyle="1" w:styleId="p1">
    <w:name w:val="p1"/>
    <w:basedOn w:val="a"/>
    <w:rsid w:val="00BA025E"/>
    <w:pPr>
      <w:spacing w:before="100" w:beforeAutospacing="1" w:after="100" w:afterAutospacing="1"/>
    </w:pPr>
  </w:style>
  <w:style w:type="paragraph" w:customStyle="1" w:styleId="216">
    <w:name w:val="Основной текст21"/>
    <w:basedOn w:val="a"/>
    <w:rsid w:val="00BD3ED4"/>
    <w:pPr>
      <w:shd w:val="clear" w:color="auto" w:fill="FFFFFF"/>
      <w:spacing w:before="120" w:after="120" w:line="227" w:lineRule="exact"/>
      <w:ind w:hanging="280"/>
      <w:jc w:val="right"/>
    </w:pPr>
    <w:rPr>
      <w:color w:val="000000"/>
      <w:sz w:val="21"/>
      <w:szCs w:val="21"/>
    </w:rPr>
  </w:style>
  <w:style w:type="character" w:customStyle="1" w:styleId="885pt100">
    <w:name w:val="Основной текст (8) + 8;5 pt;Не курсив;Масштаб 100%"/>
    <w:basedOn w:val="81"/>
    <w:rsid w:val="0038610C"/>
    <w:rPr>
      <w:rFonts w:ascii="Segoe UI" w:eastAsia="Segoe UI" w:hAnsi="Segoe UI" w:cs="Segoe UI"/>
      <w:i/>
      <w:iCs/>
      <w:w w:val="100"/>
      <w:sz w:val="17"/>
      <w:szCs w:val="17"/>
      <w:shd w:val="clear" w:color="auto" w:fill="FFFFFF"/>
    </w:rPr>
  </w:style>
  <w:style w:type="character" w:customStyle="1" w:styleId="Impact7pt">
    <w:name w:val="Основной текст + Impact;7 pt"/>
    <w:basedOn w:val="aff0"/>
    <w:rsid w:val="0038610C"/>
    <w:rPr>
      <w:rFonts w:ascii="Impact" w:eastAsia="Impact" w:hAnsi="Impact" w:cs="Impact"/>
      <w:b w:val="0"/>
      <w:bCs w:val="0"/>
      <w:i w:val="0"/>
      <w:iCs w:val="0"/>
      <w:smallCaps w:val="0"/>
      <w:strike w:val="0"/>
      <w:spacing w:val="0"/>
      <w:w w:val="100"/>
      <w:sz w:val="14"/>
      <w:szCs w:val="14"/>
      <w:shd w:val="clear" w:color="auto" w:fill="FFFFFF"/>
    </w:rPr>
  </w:style>
  <w:style w:type="character" w:customStyle="1" w:styleId="3115pt">
    <w:name w:val="Основной текст (3) + 11;5 pt;Полужирный;Не курсив"/>
    <w:basedOn w:val="35"/>
    <w:rsid w:val="004709B0"/>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690">
    <w:name w:val="Основной текст69"/>
    <w:basedOn w:val="aff0"/>
    <w:rsid w:val="00F1364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F1364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70">
    <w:name w:val="Основной текст (57)_"/>
    <w:basedOn w:val="a0"/>
    <w:link w:val="57"/>
    <w:rsid w:val="002A4526"/>
    <w:rPr>
      <w:rFonts w:ascii="Sylfaen" w:eastAsia="Times New Roman" w:hAnsi="Sylfaen" w:cs="Sylfaen"/>
      <w:noProof/>
      <w:sz w:val="8"/>
      <w:szCs w:val="8"/>
      <w:shd w:val="clear" w:color="auto" w:fill="FFFFFF"/>
      <w:lang w:val="en-US"/>
    </w:rPr>
  </w:style>
  <w:style w:type="character" w:customStyle="1" w:styleId="600">
    <w:name w:val="Основной текст (60)_"/>
    <w:basedOn w:val="a0"/>
    <w:link w:val="601"/>
    <w:rsid w:val="002A4526"/>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2A4526"/>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2A4526"/>
    <w:rPr>
      <w:rFonts w:ascii="Segoe UI" w:eastAsia="Segoe UI" w:hAnsi="Segoe UI" w:cs="Segoe UI"/>
      <w:sz w:val="8"/>
      <w:szCs w:val="8"/>
      <w:shd w:val="clear" w:color="auto" w:fill="FFFFFF"/>
    </w:rPr>
  </w:style>
  <w:style w:type="paragraph" w:customStyle="1" w:styleId="591">
    <w:name w:val="Основной текст (59)"/>
    <w:basedOn w:val="a"/>
    <w:link w:val="590"/>
    <w:rsid w:val="002A4526"/>
    <w:pPr>
      <w:shd w:val="clear" w:color="auto" w:fill="FFFFFF"/>
      <w:spacing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2A4526"/>
    <w:rPr>
      <w:rFonts w:ascii="MS Reference Sans Serif" w:eastAsia="Times New Roman" w:hAnsi="MS Reference Sans Serif" w:cs="MS Reference Sans Serif"/>
      <w:i/>
      <w:iCs/>
      <w:shd w:val="clear" w:color="auto" w:fill="FFFFFF"/>
    </w:rPr>
  </w:style>
  <w:style w:type="character" w:customStyle="1" w:styleId="622">
    <w:name w:val="Основной текст (62)_"/>
    <w:basedOn w:val="a0"/>
    <w:link w:val="623"/>
    <w:rsid w:val="002A4526"/>
    <w:rPr>
      <w:rFonts w:ascii="Segoe UI" w:eastAsia="Segoe UI" w:hAnsi="Segoe UI" w:cs="Segoe UI"/>
      <w:sz w:val="8"/>
      <w:szCs w:val="8"/>
      <w:shd w:val="clear" w:color="auto" w:fill="FFFFFF"/>
    </w:rPr>
  </w:style>
  <w:style w:type="paragraph" w:customStyle="1" w:styleId="623">
    <w:name w:val="Основной текст (62)"/>
    <w:basedOn w:val="a"/>
    <w:link w:val="622"/>
    <w:rsid w:val="002A4526"/>
    <w:pPr>
      <w:shd w:val="clear" w:color="auto" w:fill="FFFFFF"/>
      <w:spacing w:line="0" w:lineRule="atLeast"/>
      <w:jc w:val="center"/>
    </w:pPr>
    <w:rPr>
      <w:rFonts w:ascii="Segoe UI" w:eastAsia="Segoe UI" w:hAnsi="Segoe UI" w:cs="Segoe UI"/>
      <w:sz w:val="8"/>
      <w:szCs w:val="8"/>
    </w:rPr>
  </w:style>
  <w:style w:type="paragraph" w:customStyle="1" w:styleId="1131">
    <w:name w:val="Основной текст113"/>
    <w:basedOn w:val="a"/>
    <w:rsid w:val="00EF1DB3"/>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afff7">
    <w:name w:val="Другое_"/>
    <w:basedOn w:val="a0"/>
    <w:link w:val="afff8"/>
    <w:rsid w:val="00CE1517"/>
    <w:rPr>
      <w:rFonts w:ascii="Arial" w:eastAsia="Arial" w:hAnsi="Arial" w:cs="Arial"/>
      <w:sz w:val="17"/>
      <w:szCs w:val="17"/>
    </w:rPr>
  </w:style>
  <w:style w:type="paragraph" w:customStyle="1" w:styleId="afff8">
    <w:name w:val="Другое"/>
    <w:basedOn w:val="a"/>
    <w:link w:val="afff7"/>
    <w:rsid w:val="00CE1517"/>
    <w:pPr>
      <w:widowControl w:val="0"/>
      <w:ind w:firstLine="180"/>
    </w:pPr>
    <w:rPr>
      <w:rFonts w:ascii="Arial" w:eastAsia="Arial" w:hAnsi="Arial" w:cs="Arial"/>
      <w:sz w:val="17"/>
      <w:szCs w:val="17"/>
    </w:rPr>
  </w:style>
  <w:style w:type="character" w:customStyle="1" w:styleId="731">
    <w:name w:val="Основной текст73"/>
    <w:basedOn w:val="aff0"/>
    <w:rsid w:val="007B38E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A8589E"/>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A8589E"/>
    <w:pPr>
      <w:shd w:val="clear" w:color="auto" w:fill="FFFFFF"/>
      <w:spacing w:line="197" w:lineRule="exact"/>
      <w:ind w:firstLine="220"/>
      <w:jc w:val="both"/>
    </w:pPr>
    <w:rPr>
      <w:rFonts w:ascii="Franklin Gothic Book" w:eastAsia="Franklin Gothic Book" w:hAnsi="Franklin Gothic Book" w:cs="Franklin Gothic Book"/>
      <w:sz w:val="15"/>
      <w:szCs w:val="15"/>
    </w:rPr>
  </w:style>
  <w:style w:type="paragraph" w:customStyle="1" w:styleId="17">
    <w:name w:val="Основной текст17"/>
    <w:basedOn w:val="a"/>
    <w:link w:val="aff0"/>
    <w:rsid w:val="00BD44E6"/>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1pt1">
    <w:name w:val="Основной текст + Курсив;Интервал 1 pt"/>
    <w:basedOn w:val="aff0"/>
    <w:rsid w:val="007048F1"/>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paragraph" w:customStyle="1" w:styleId="article-renderblock">
    <w:name w:val="article-render__block"/>
    <w:basedOn w:val="a"/>
    <w:rsid w:val="00C4688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049748">
      <w:bodyDiv w:val="1"/>
      <w:marLeft w:val="0"/>
      <w:marRight w:val="0"/>
      <w:marTop w:val="0"/>
      <w:marBottom w:val="0"/>
      <w:divBdr>
        <w:top w:val="none" w:sz="0" w:space="0" w:color="auto"/>
        <w:left w:val="none" w:sz="0" w:space="0" w:color="auto"/>
        <w:bottom w:val="none" w:sz="0" w:space="0" w:color="auto"/>
        <w:right w:val="none" w:sz="0" w:space="0" w:color="auto"/>
      </w:divBdr>
      <w:divsChild>
        <w:div w:id="1181896957">
          <w:marLeft w:val="0"/>
          <w:marRight w:val="0"/>
          <w:marTop w:val="0"/>
          <w:marBottom w:val="0"/>
          <w:divBdr>
            <w:top w:val="none" w:sz="0" w:space="0" w:color="auto"/>
            <w:left w:val="none" w:sz="0" w:space="0" w:color="auto"/>
            <w:bottom w:val="none" w:sz="0" w:space="0" w:color="auto"/>
            <w:right w:val="none" w:sz="0" w:space="0" w:color="auto"/>
          </w:divBdr>
          <w:divsChild>
            <w:div w:id="1804229914">
              <w:marLeft w:val="0"/>
              <w:marRight w:val="0"/>
              <w:marTop w:val="0"/>
              <w:marBottom w:val="0"/>
              <w:divBdr>
                <w:top w:val="none" w:sz="0" w:space="0" w:color="auto"/>
                <w:left w:val="none" w:sz="0" w:space="0" w:color="auto"/>
                <w:bottom w:val="none" w:sz="0" w:space="0" w:color="auto"/>
                <w:right w:val="none" w:sz="0" w:space="0" w:color="auto"/>
              </w:divBdr>
              <w:divsChild>
                <w:div w:id="1988506637">
                  <w:marLeft w:val="0"/>
                  <w:marRight w:val="0"/>
                  <w:marTop w:val="0"/>
                  <w:marBottom w:val="0"/>
                  <w:divBdr>
                    <w:top w:val="none" w:sz="0" w:space="0" w:color="auto"/>
                    <w:left w:val="none" w:sz="0" w:space="0" w:color="auto"/>
                    <w:bottom w:val="none" w:sz="0" w:space="0" w:color="auto"/>
                    <w:right w:val="none" w:sz="0" w:space="0" w:color="auto"/>
                  </w:divBdr>
                  <w:divsChild>
                    <w:div w:id="1679850935">
                      <w:marLeft w:val="0"/>
                      <w:marRight w:val="0"/>
                      <w:marTop w:val="0"/>
                      <w:marBottom w:val="0"/>
                      <w:divBdr>
                        <w:top w:val="none" w:sz="0" w:space="0" w:color="auto"/>
                        <w:left w:val="none" w:sz="0" w:space="0" w:color="auto"/>
                        <w:bottom w:val="none" w:sz="0" w:space="0" w:color="auto"/>
                        <w:right w:val="none" w:sz="0" w:space="0" w:color="auto"/>
                      </w:divBdr>
                      <w:divsChild>
                        <w:div w:id="2333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1443984">
      <w:bodyDiv w:val="1"/>
      <w:marLeft w:val="0"/>
      <w:marRight w:val="0"/>
      <w:marTop w:val="0"/>
      <w:marBottom w:val="0"/>
      <w:divBdr>
        <w:top w:val="none" w:sz="0" w:space="0" w:color="auto"/>
        <w:left w:val="none" w:sz="0" w:space="0" w:color="auto"/>
        <w:bottom w:val="none" w:sz="0" w:space="0" w:color="auto"/>
        <w:right w:val="none" w:sz="0" w:space="0" w:color="auto"/>
      </w:divBdr>
    </w:div>
    <w:div w:id="418142496">
      <w:bodyDiv w:val="1"/>
      <w:marLeft w:val="0"/>
      <w:marRight w:val="0"/>
      <w:marTop w:val="0"/>
      <w:marBottom w:val="0"/>
      <w:divBdr>
        <w:top w:val="none" w:sz="0" w:space="0" w:color="auto"/>
        <w:left w:val="none" w:sz="0" w:space="0" w:color="auto"/>
        <w:bottom w:val="none" w:sz="0" w:space="0" w:color="auto"/>
        <w:right w:val="none" w:sz="0" w:space="0" w:color="auto"/>
      </w:divBdr>
      <w:divsChild>
        <w:div w:id="1747848477">
          <w:marLeft w:val="0"/>
          <w:marRight w:val="0"/>
          <w:marTop w:val="0"/>
          <w:marBottom w:val="0"/>
          <w:divBdr>
            <w:top w:val="none" w:sz="0" w:space="0" w:color="auto"/>
            <w:left w:val="none" w:sz="0" w:space="0" w:color="auto"/>
            <w:bottom w:val="none" w:sz="0" w:space="0" w:color="auto"/>
            <w:right w:val="none" w:sz="0" w:space="0" w:color="auto"/>
          </w:divBdr>
          <w:divsChild>
            <w:div w:id="1842892561">
              <w:marLeft w:val="0"/>
              <w:marRight w:val="0"/>
              <w:marTop w:val="0"/>
              <w:marBottom w:val="0"/>
              <w:divBdr>
                <w:top w:val="none" w:sz="0" w:space="0" w:color="auto"/>
                <w:left w:val="none" w:sz="0" w:space="0" w:color="auto"/>
                <w:bottom w:val="none" w:sz="0" w:space="0" w:color="auto"/>
                <w:right w:val="none" w:sz="0" w:space="0" w:color="auto"/>
              </w:divBdr>
              <w:divsChild>
                <w:div w:id="470901916">
                  <w:marLeft w:val="0"/>
                  <w:marRight w:val="0"/>
                  <w:marTop w:val="0"/>
                  <w:marBottom w:val="0"/>
                  <w:divBdr>
                    <w:top w:val="none" w:sz="0" w:space="0" w:color="auto"/>
                    <w:left w:val="none" w:sz="0" w:space="0" w:color="auto"/>
                    <w:bottom w:val="none" w:sz="0" w:space="0" w:color="auto"/>
                    <w:right w:val="none" w:sz="0" w:space="0" w:color="auto"/>
                  </w:divBdr>
                  <w:divsChild>
                    <w:div w:id="1409497266">
                      <w:marLeft w:val="0"/>
                      <w:marRight w:val="0"/>
                      <w:marTop w:val="0"/>
                      <w:marBottom w:val="0"/>
                      <w:divBdr>
                        <w:top w:val="none" w:sz="0" w:space="0" w:color="auto"/>
                        <w:left w:val="none" w:sz="0" w:space="0" w:color="auto"/>
                        <w:bottom w:val="none" w:sz="0" w:space="0" w:color="auto"/>
                        <w:right w:val="none" w:sz="0" w:space="0" w:color="auto"/>
                      </w:divBdr>
                      <w:divsChild>
                        <w:div w:id="52240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3743242">
      <w:bodyDiv w:val="1"/>
      <w:marLeft w:val="0"/>
      <w:marRight w:val="0"/>
      <w:marTop w:val="0"/>
      <w:marBottom w:val="0"/>
      <w:divBdr>
        <w:top w:val="none" w:sz="0" w:space="0" w:color="auto"/>
        <w:left w:val="none" w:sz="0" w:space="0" w:color="auto"/>
        <w:bottom w:val="none" w:sz="0" w:space="0" w:color="auto"/>
        <w:right w:val="none" w:sz="0" w:space="0" w:color="auto"/>
      </w:divBdr>
      <w:divsChild>
        <w:div w:id="69162224">
          <w:marLeft w:val="0"/>
          <w:marRight w:val="0"/>
          <w:marTop w:val="0"/>
          <w:marBottom w:val="0"/>
          <w:divBdr>
            <w:top w:val="none" w:sz="0" w:space="0" w:color="auto"/>
            <w:left w:val="none" w:sz="0" w:space="0" w:color="auto"/>
            <w:bottom w:val="none" w:sz="0" w:space="0" w:color="auto"/>
            <w:right w:val="none" w:sz="0" w:space="0" w:color="auto"/>
          </w:divBdr>
          <w:divsChild>
            <w:div w:id="1044452440">
              <w:marLeft w:val="0"/>
              <w:marRight w:val="0"/>
              <w:marTop w:val="0"/>
              <w:marBottom w:val="0"/>
              <w:divBdr>
                <w:top w:val="none" w:sz="0" w:space="0" w:color="auto"/>
                <w:left w:val="none" w:sz="0" w:space="0" w:color="auto"/>
                <w:bottom w:val="none" w:sz="0" w:space="0" w:color="auto"/>
                <w:right w:val="none" w:sz="0" w:space="0" w:color="auto"/>
              </w:divBdr>
              <w:divsChild>
                <w:div w:id="1872841475">
                  <w:marLeft w:val="0"/>
                  <w:marRight w:val="0"/>
                  <w:marTop w:val="0"/>
                  <w:marBottom w:val="0"/>
                  <w:divBdr>
                    <w:top w:val="none" w:sz="0" w:space="0" w:color="auto"/>
                    <w:left w:val="none" w:sz="0" w:space="0" w:color="auto"/>
                    <w:bottom w:val="none" w:sz="0" w:space="0" w:color="auto"/>
                    <w:right w:val="none" w:sz="0" w:space="0" w:color="auto"/>
                  </w:divBdr>
                  <w:divsChild>
                    <w:div w:id="78673851">
                      <w:marLeft w:val="0"/>
                      <w:marRight w:val="0"/>
                      <w:marTop w:val="0"/>
                      <w:marBottom w:val="0"/>
                      <w:divBdr>
                        <w:top w:val="none" w:sz="0" w:space="0" w:color="auto"/>
                        <w:left w:val="none" w:sz="0" w:space="0" w:color="auto"/>
                        <w:bottom w:val="none" w:sz="0" w:space="0" w:color="auto"/>
                        <w:right w:val="none" w:sz="0" w:space="0" w:color="auto"/>
                      </w:divBdr>
                      <w:divsChild>
                        <w:div w:id="184786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530342">
      <w:bodyDiv w:val="1"/>
      <w:marLeft w:val="0"/>
      <w:marRight w:val="0"/>
      <w:marTop w:val="0"/>
      <w:marBottom w:val="0"/>
      <w:divBdr>
        <w:top w:val="none" w:sz="0" w:space="0" w:color="auto"/>
        <w:left w:val="none" w:sz="0" w:space="0" w:color="auto"/>
        <w:bottom w:val="none" w:sz="0" w:space="0" w:color="auto"/>
        <w:right w:val="none" w:sz="0" w:space="0" w:color="auto"/>
      </w:divBdr>
      <w:divsChild>
        <w:div w:id="53309929">
          <w:marLeft w:val="0"/>
          <w:marRight w:val="0"/>
          <w:marTop w:val="0"/>
          <w:marBottom w:val="0"/>
          <w:divBdr>
            <w:top w:val="none" w:sz="0" w:space="0" w:color="auto"/>
            <w:left w:val="none" w:sz="0" w:space="0" w:color="auto"/>
            <w:bottom w:val="none" w:sz="0" w:space="0" w:color="auto"/>
            <w:right w:val="none" w:sz="0" w:space="0" w:color="auto"/>
          </w:divBdr>
          <w:divsChild>
            <w:div w:id="320502192">
              <w:marLeft w:val="0"/>
              <w:marRight w:val="0"/>
              <w:marTop w:val="0"/>
              <w:marBottom w:val="0"/>
              <w:divBdr>
                <w:top w:val="none" w:sz="0" w:space="0" w:color="auto"/>
                <w:left w:val="none" w:sz="0" w:space="0" w:color="auto"/>
                <w:bottom w:val="none" w:sz="0" w:space="0" w:color="auto"/>
                <w:right w:val="none" w:sz="0" w:space="0" w:color="auto"/>
              </w:divBdr>
              <w:divsChild>
                <w:div w:id="1283729421">
                  <w:marLeft w:val="0"/>
                  <w:marRight w:val="0"/>
                  <w:marTop w:val="0"/>
                  <w:marBottom w:val="0"/>
                  <w:divBdr>
                    <w:top w:val="none" w:sz="0" w:space="0" w:color="auto"/>
                    <w:left w:val="none" w:sz="0" w:space="0" w:color="auto"/>
                    <w:bottom w:val="none" w:sz="0" w:space="0" w:color="auto"/>
                    <w:right w:val="none" w:sz="0" w:space="0" w:color="auto"/>
                  </w:divBdr>
                  <w:divsChild>
                    <w:div w:id="1764109294">
                      <w:marLeft w:val="0"/>
                      <w:marRight w:val="0"/>
                      <w:marTop w:val="0"/>
                      <w:marBottom w:val="0"/>
                      <w:divBdr>
                        <w:top w:val="none" w:sz="0" w:space="0" w:color="auto"/>
                        <w:left w:val="none" w:sz="0" w:space="0" w:color="auto"/>
                        <w:bottom w:val="none" w:sz="0" w:space="0" w:color="auto"/>
                        <w:right w:val="none" w:sz="0" w:space="0" w:color="auto"/>
                      </w:divBdr>
                      <w:divsChild>
                        <w:div w:id="62928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615446">
      <w:bodyDiv w:val="1"/>
      <w:marLeft w:val="0"/>
      <w:marRight w:val="0"/>
      <w:marTop w:val="0"/>
      <w:marBottom w:val="0"/>
      <w:divBdr>
        <w:top w:val="none" w:sz="0" w:space="0" w:color="auto"/>
        <w:left w:val="none" w:sz="0" w:space="0" w:color="auto"/>
        <w:bottom w:val="none" w:sz="0" w:space="0" w:color="auto"/>
        <w:right w:val="none" w:sz="0" w:space="0" w:color="auto"/>
      </w:divBdr>
    </w:div>
    <w:div w:id="596015139">
      <w:bodyDiv w:val="1"/>
      <w:marLeft w:val="0"/>
      <w:marRight w:val="0"/>
      <w:marTop w:val="0"/>
      <w:marBottom w:val="0"/>
      <w:divBdr>
        <w:top w:val="none" w:sz="0" w:space="0" w:color="auto"/>
        <w:left w:val="none" w:sz="0" w:space="0" w:color="auto"/>
        <w:bottom w:val="none" w:sz="0" w:space="0" w:color="auto"/>
        <w:right w:val="none" w:sz="0" w:space="0" w:color="auto"/>
      </w:divBdr>
    </w:div>
    <w:div w:id="968898351">
      <w:bodyDiv w:val="1"/>
      <w:marLeft w:val="0"/>
      <w:marRight w:val="0"/>
      <w:marTop w:val="0"/>
      <w:marBottom w:val="0"/>
      <w:divBdr>
        <w:top w:val="none" w:sz="0" w:space="0" w:color="auto"/>
        <w:left w:val="none" w:sz="0" w:space="0" w:color="auto"/>
        <w:bottom w:val="none" w:sz="0" w:space="0" w:color="auto"/>
        <w:right w:val="none" w:sz="0" w:space="0" w:color="auto"/>
      </w:divBdr>
      <w:divsChild>
        <w:div w:id="637684569">
          <w:marLeft w:val="0"/>
          <w:marRight w:val="0"/>
          <w:marTop w:val="0"/>
          <w:marBottom w:val="0"/>
          <w:divBdr>
            <w:top w:val="none" w:sz="0" w:space="0" w:color="auto"/>
            <w:left w:val="none" w:sz="0" w:space="0" w:color="auto"/>
            <w:bottom w:val="none" w:sz="0" w:space="0" w:color="auto"/>
            <w:right w:val="none" w:sz="0" w:space="0" w:color="auto"/>
          </w:divBdr>
          <w:divsChild>
            <w:div w:id="407457805">
              <w:marLeft w:val="0"/>
              <w:marRight w:val="0"/>
              <w:marTop w:val="0"/>
              <w:marBottom w:val="0"/>
              <w:divBdr>
                <w:top w:val="none" w:sz="0" w:space="0" w:color="auto"/>
                <w:left w:val="none" w:sz="0" w:space="0" w:color="auto"/>
                <w:bottom w:val="none" w:sz="0" w:space="0" w:color="auto"/>
                <w:right w:val="none" w:sz="0" w:space="0" w:color="auto"/>
              </w:divBdr>
              <w:divsChild>
                <w:div w:id="2015647480">
                  <w:marLeft w:val="0"/>
                  <w:marRight w:val="0"/>
                  <w:marTop w:val="0"/>
                  <w:marBottom w:val="0"/>
                  <w:divBdr>
                    <w:top w:val="none" w:sz="0" w:space="0" w:color="auto"/>
                    <w:left w:val="none" w:sz="0" w:space="0" w:color="auto"/>
                    <w:bottom w:val="none" w:sz="0" w:space="0" w:color="auto"/>
                    <w:right w:val="none" w:sz="0" w:space="0" w:color="auto"/>
                  </w:divBdr>
                  <w:divsChild>
                    <w:div w:id="504707506">
                      <w:marLeft w:val="0"/>
                      <w:marRight w:val="0"/>
                      <w:marTop w:val="0"/>
                      <w:marBottom w:val="0"/>
                      <w:divBdr>
                        <w:top w:val="none" w:sz="0" w:space="0" w:color="auto"/>
                        <w:left w:val="none" w:sz="0" w:space="0" w:color="auto"/>
                        <w:bottom w:val="none" w:sz="0" w:space="0" w:color="auto"/>
                        <w:right w:val="none" w:sz="0" w:space="0" w:color="auto"/>
                      </w:divBdr>
                      <w:divsChild>
                        <w:div w:id="15256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375872">
      <w:bodyDiv w:val="1"/>
      <w:marLeft w:val="0"/>
      <w:marRight w:val="0"/>
      <w:marTop w:val="0"/>
      <w:marBottom w:val="0"/>
      <w:divBdr>
        <w:top w:val="none" w:sz="0" w:space="0" w:color="auto"/>
        <w:left w:val="none" w:sz="0" w:space="0" w:color="auto"/>
        <w:bottom w:val="none" w:sz="0" w:space="0" w:color="auto"/>
        <w:right w:val="none" w:sz="0" w:space="0" w:color="auto"/>
      </w:divBdr>
      <w:divsChild>
        <w:div w:id="1529106116">
          <w:marLeft w:val="0"/>
          <w:marRight w:val="0"/>
          <w:marTop w:val="100"/>
          <w:marBottom w:val="100"/>
          <w:divBdr>
            <w:top w:val="none" w:sz="0" w:space="0" w:color="auto"/>
            <w:left w:val="none" w:sz="0" w:space="0" w:color="auto"/>
            <w:bottom w:val="none" w:sz="0" w:space="0" w:color="auto"/>
            <w:right w:val="none" w:sz="0" w:space="0" w:color="auto"/>
          </w:divBdr>
          <w:divsChild>
            <w:div w:id="757404305">
              <w:marLeft w:val="0"/>
              <w:marRight w:val="0"/>
              <w:marTop w:val="0"/>
              <w:marBottom w:val="0"/>
              <w:divBdr>
                <w:top w:val="none" w:sz="0" w:space="0" w:color="auto"/>
                <w:left w:val="none" w:sz="0" w:space="0" w:color="auto"/>
                <w:bottom w:val="none" w:sz="0" w:space="0" w:color="auto"/>
                <w:right w:val="none" w:sz="0" w:space="0" w:color="auto"/>
              </w:divBdr>
              <w:divsChild>
                <w:div w:id="1087773035">
                  <w:marLeft w:val="0"/>
                  <w:marRight w:val="0"/>
                  <w:marTop w:val="0"/>
                  <w:marBottom w:val="0"/>
                  <w:divBdr>
                    <w:top w:val="none" w:sz="0" w:space="0" w:color="auto"/>
                    <w:left w:val="none" w:sz="0" w:space="0" w:color="auto"/>
                    <w:bottom w:val="none" w:sz="0" w:space="0" w:color="auto"/>
                    <w:right w:val="none" w:sz="0" w:space="0" w:color="auto"/>
                  </w:divBdr>
                  <w:divsChild>
                    <w:div w:id="1362628617">
                      <w:marLeft w:val="-3000"/>
                      <w:marRight w:val="0"/>
                      <w:marTop w:val="0"/>
                      <w:marBottom w:val="0"/>
                      <w:divBdr>
                        <w:top w:val="none" w:sz="0" w:space="0" w:color="auto"/>
                        <w:left w:val="none" w:sz="0" w:space="0" w:color="auto"/>
                        <w:bottom w:val="none" w:sz="0" w:space="0" w:color="auto"/>
                        <w:right w:val="none" w:sz="0" w:space="0" w:color="auto"/>
                      </w:divBdr>
                      <w:divsChild>
                        <w:div w:id="1523591333">
                          <w:marLeft w:val="0"/>
                          <w:marRight w:val="0"/>
                          <w:marTop w:val="0"/>
                          <w:marBottom w:val="0"/>
                          <w:divBdr>
                            <w:top w:val="none" w:sz="0" w:space="0" w:color="auto"/>
                            <w:left w:val="none" w:sz="0" w:space="0" w:color="auto"/>
                            <w:bottom w:val="none" w:sz="0" w:space="0" w:color="auto"/>
                            <w:right w:val="none" w:sz="0" w:space="0" w:color="auto"/>
                          </w:divBdr>
                          <w:divsChild>
                            <w:div w:id="1562790102">
                              <w:marLeft w:val="3000"/>
                              <w:marRight w:val="0"/>
                              <w:marTop w:val="0"/>
                              <w:marBottom w:val="0"/>
                              <w:divBdr>
                                <w:top w:val="none" w:sz="0" w:space="0" w:color="auto"/>
                                <w:left w:val="none" w:sz="0" w:space="0" w:color="auto"/>
                                <w:bottom w:val="none" w:sz="0" w:space="0" w:color="auto"/>
                                <w:right w:val="none" w:sz="0" w:space="0" w:color="auto"/>
                              </w:divBdr>
                              <w:divsChild>
                                <w:div w:id="1777751148">
                                  <w:marLeft w:val="0"/>
                                  <w:marRight w:val="0"/>
                                  <w:marTop w:val="0"/>
                                  <w:marBottom w:val="0"/>
                                  <w:divBdr>
                                    <w:top w:val="none" w:sz="0" w:space="0" w:color="auto"/>
                                    <w:left w:val="none" w:sz="0" w:space="0" w:color="auto"/>
                                    <w:bottom w:val="none" w:sz="0" w:space="0" w:color="auto"/>
                                    <w:right w:val="none" w:sz="0" w:space="0" w:color="auto"/>
                                  </w:divBdr>
                                  <w:divsChild>
                                    <w:div w:id="181182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1195572">
      <w:bodyDiv w:val="1"/>
      <w:marLeft w:val="0"/>
      <w:marRight w:val="0"/>
      <w:marTop w:val="0"/>
      <w:marBottom w:val="0"/>
      <w:divBdr>
        <w:top w:val="none" w:sz="0" w:space="0" w:color="auto"/>
        <w:left w:val="none" w:sz="0" w:space="0" w:color="auto"/>
        <w:bottom w:val="none" w:sz="0" w:space="0" w:color="auto"/>
        <w:right w:val="none" w:sz="0" w:space="0" w:color="auto"/>
      </w:divBdr>
      <w:divsChild>
        <w:div w:id="862329280">
          <w:marLeft w:val="0"/>
          <w:marRight w:val="0"/>
          <w:marTop w:val="0"/>
          <w:marBottom w:val="0"/>
          <w:divBdr>
            <w:top w:val="none" w:sz="0" w:space="0" w:color="auto"/>
            <w:left w:val="none" w:sz="0" w:space="0" w:color="auto"/>
            <w:bottom w:val="none" w:sz="0" w:space="0" w:color="auto"/>
            <w:right w:val="none" w:sz="0" w:space="0" w:color="auto"/>
          </w:divBdr>
          <w:divsChild>
            <w:div w:id="1393891614">
              <w:marLeft w:val="0"/>
              <w:marRight w:val="0"/>
              <w:marTop w:val="0"/>
              <w:marBottom w:val="0"/>
              <w:divBdr>
                <w:top w:val="none" w:sz="0" w:space="0" w:color="auto"/>
                <w:left w:val="none" w:sz="0" w:space="0" w:color="auto"/>
                <w:bottom w:val="none" w:sz="0" w:space="0" w:color="auto"/>
                <w:right w:val="none" w:sz="0" w:space="0" w:color="auto"/>
              </w:divBdr>
              <w:divsChild>
                <w:div w:id="560750024">
                  <w:marLeft w:val="0"/>
                  <w:marRight w:val="0"/>
                  <w:marTop w:val="0"/>
                  <w:marBottom w:val="0"/>
                  <w:divBdr>
                    <w:top w:val="none" w:sz="0" w:space="0" w:color="auto"/>
                    <w:left w:val="none" w:sz="0" w:space="0" w:color="auto"/>
                    <w:bottom w:val="none" w:sz="0" w:space="0" w:color="auto"/>
                    <w:right w:val="none" w:sz="0" w:space="0" w:color="auto"/>
                  </w:divBdr>
                  <w:divsChild>
                    <w:div w:id="586428233">
                      <w:marLeft w:val="0"/>
                      <w:marRight w:val="0"/>
                      <w:marTop w:val="0"/>
                      <w:marBottom w:val="0"/>
                      <w:divBdr>
                        <w:top w:val="none" w:sz="0" w:space="0" w:color="auto"/>
                        <w:left w:val="none" w:sz="0" w:space="0" w:color="auto"/>
                        <w:bottom w:val="none" w:sz="0" w:space="0" w:color="auto"/>
                        <w:right w:val="none" w:sz="0" w:space="0" w:color="auto"/>
                      </w:divBdr>
                      <w:divsChild>
                        <w:div w:id="1147043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7862899">
      <w:bodyDiv w:val="1"/>
      <w:marLeft w:val="0"/>
      <w:marRight w:val="0"/>
      <w:marTop w:val="0"/>
      <w:marBottom w:val="0"/>
      <w:divBdr>
        <w:top w:val="none" w:sz="0" w:space="0" w:color="auto"/>
        <w:left w:val="none" w:sz="0" w:space="0" w:color="auto"/>
        <w:bottom w:val="none" w:sz="0" w:space="0" w:color="auto"/>
        <w:right w:val="none" w:sz="0" w:space="0" w:color="auto"/>
      </w:divBdr>
      <w:divsChild>
        <w:div w:id="545338217">
          <w:marLeft w:val="0"/>
          <w:marRight w:val="0"/>
          <w:marTop w:val="0"/>
          <w:marBottom w:val="0"/>
          <w:divBdr>
            <w:top w:val="none" w:sz="0" w:space="0" w:color="auto"/>
            <w:left w:val="none" w:sz="0" w:space="0" w:color="auto"/>
            <w:bottom w:val="none" w:sz="0" w:space="0" w:color="auto"/>
            <w:right w:val="none" w:sz="0" w:space="0" w:color="auto"/>
          </w:divBdr>
          <w:divsChild>
            <w:div w:id="13190493">
              <w:marLeft w:val="0"/>
              <w:marRight w:val="0"/>
              <w:marTop w:val="0"/>
              <w:marBottom w:val="0"/>
              <w:divBdr>
                <w:top w:val="none" w:sz="0" w:space="0" w:color="auto"/>
                <w:left w:val="none" w:sz="0" w:space="0" w:color="auto"/>
                <w:bottom w:val="none" w:sz="0" w:space="0" w:color="auto"/>
                <w:right w:val="none" w:sz="0" w:space="0" w:color="auto"/>
              </w:divBdr>
              <w:divsChild>
                <w:div w:id="1649284428">
                  <w:marLeft w:val="0"/>
                  <w:marRight w:val="0"/>
                  <w:marTop w:val="0"/>
                  <w:marBottom w:val="0"/>
                  <w:divBdr>
                    <w:top w:val="none" w:sz="0" w:space="0" w:color="auto"/>
                    <w:left w:val="none" w:sz="0" w:space="0" w:color="auto"/>
                    <w:bottom w:val="none" w:sz="0" w:space="0" w:color="auto"/>
                    <w:right w:val="none" w:sz="0" w:space="0" w:color="auto"/>
                  </w:divBdr>
                  <w:divsChild>
                    <w:div w:id="373963626">
                      <w:marLeft w:val="0"/>
                      <w:marRight w:val="0"/>
                      <w:marTop w:val="0"/>
                      <w:marBottom w:val="0"/>
                      <w:divBdr>
                        <w:top w:val="none" w:sz="0" w:space="0" w:color="auto"/>
                        <w:left w:val="none" w:sz="0" w:space="0" w:color="auto"/>
                        <w:bottom w:val="none" w:sz="0" w:space="0" w:color="auto"/>
                        <w:right w:val="none" w:sz="0" w:space="0" w:color="auto"/>
                      </w:divBdr>
                      <w:divsChild>
                        <w:div w:id="84170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1706677">
      <w:bodyDiv w:val="1"/>
      <w:marLeft w:val="0"/>
      <w:marRight w:val="0"/>
      <w:marTop w:val="0"/>
      <w:marBottom w:val="0"/>
      <w:divBdr>
        <w:top w:val="none" w:sz="0" w:space="0" w:color="auto"/>
        <w:left w:val="none" w:sz="0" w:space="0" w:color="auto"/>
        <w:bottom w:val="none" w:sz="0" w:space="0" w:color="auto"/>
        <w:right w:val="none" w:sz="0" w:space="0" w:color="auto"/>
      </w:divBdr>
      <w:divsChild>
        <w:div w:id="1829248391">
          <w:marLeft w:val="0"/>
          <w:marRight w:val="0"/>
          <w:marTop w:val="0"/>
          <w:marBottom w:val="0"/>
          <w:divBdr>
            <w:top w:val="none" w:sz="0" w:space="0" w:color="auto"/>
            <w:left w:val="none" w:sz="0" w:space="0" w:color="auto"/>
            <w:bottom w:val="none" w:sz="0" w:space="0" w:color="auto"/>
            <w:right w:val="none" w:sz="0" w:space="0" w:color="auto"/>
          </w:divBdr>
          <w:divsChild>
            <w:div w:id="1003238353">
              <w:marLeft w:val="0"/>
              <w:marRight w:val="0"/>
              <w:marTop w:val="0"/>
              <w:marBottom w:val="0"/>
              <w:divBdr>
                <w:top w:val="none" w:sz="0" w:space="0" w:color="auto"/>
                <w:left w:val="none" w:sz="0" w:space="0" w:color="auto"/>
                <w:bottom w:val="none" w:sz="0" w:space="0" w:color="auto"/>
                <w:right w:val="none" w:sz="0" w:space="0" w:color="auto"/>
              </w:divBdr>
              <w:divsChild>
                <w:div w:id="1986274605">
                  <w:marLeft w:val="0"/>
                  <w:marRight w:val="0"/>
                  <w:marTop w:val="0"/>
                  <w:marBottom w:val="0"/>
                  <w:divBdr>
                    <w:top w:val="none" w:sz="0" w:space="0" w:color="auto"/>
                    <w:left w:val="none" w:sz="0" w:space="0" w:color="auto"/>
                    <w:bottom w:val="none" w:sz="0" w:space="0" w:color="auto"/>
                    <w:right w:val="none" w:sz="0" w:space="0" w:color="auto"/>
                  </w:divBdr>
                  <w:divsChild>
                    <w:div w:id="231888682">
                      <w:marLeft w:val="0"/>
                      <w:marRight w:val="0"/>
                      <w:marTop w:val="0"/>
                      <w:marBottom w:val="0"/>
                      <w:divBdr>
                        <w:top w:val="none" w:sz="0" w:space="0" w:color="auto"/>
                        <w:left w:val="none" w:sz="0" w:space="0" w:color="auto"/>
                        <w:bottom w:val="none" w:sz="0" w:space="0" w:color="auto"/>
                        <w:right w:val="none" w:sz="0" w:space="0" w:color="auto"/>
                      </w:divBdr>
                      <w:divsChild>
                        <w:div w:id="1812869747">
                          <w:marLeft w:val="0"/>
                          <w:marRight w:val="0"/>
                          <w:marTop w:val="0"/>
                          <w:marBottom w:val="0"/>
                          <w:divBdr>
                            <w:top w:val="none" w:sz="0" w:space="0" w:color="auto"/>
                            <w:left w:val="none" w:sz="0" w:space="0" w:color="auto"/>
                            <w:bottom w:val="none" w:sz="0" w:space="0" w:color="auto"/>
                            <w:right w:val="none" w:sz="0" w:space="0" w:color="auto"/>
                          </w:divBdr>
                          <w:divsChild>
                            <w:div w:id="1479609848">
                              <w:marLeft w:val="0"/>
                              <w:marRight w:val="0"/>
                              <w:marTop w:val="0"/>
                              <w:marBottom w:val="0"/>
                              <w:divBdr>
                                <w:top w:val="none" w:sz="0" w:space="0" w:color="auto"/>
                                <w:left w:val="none" w:sz="0" w:space="0" w:color="auto"/>
                                <w:bottom w:val="none" w:sz="0" w:space="0" w:color="auto"/>
                                <w:right w:val="none" w:sz="0" w:space="0" w:color="auto"/>
                              </w:divBdr>
                              <w:divsChild>
                                <w:div w:id="1261991756">
                                  <w:marLeft w:val="0"/>
                                  <w:marRight w:val="0"/>
                                  <w:marTop w:val="0"/>
                                  <w:marBottom w:val="0"/>
                                  <w:divBdr>
                                    <w:top w:val="none" w:sz="0" w:space="0" w:color="auto"/>
                                    <w:left w:val="none" w:sz="0" w:space="0" w:color="auto"/>
                                    <w:bottom w:val="none" w:sz="0" w:space="0" w:color="auto"/>
                                    <w:right w:val="none" w:sz="0" w:space="0" w:color="auto"/>
                                  </w:divBdr>
                                  <w:divsChild>
                                    <w:div w:id="1083407594">
                                      <w:marLeft w:val="0"/>
                                      <w:marRight w:val="0"/>
                                      <w:marTop w:val="0"/>
                                      <w:marBottom w:val="0"/>
                                      <w:divBdr>
                                        <w:top w:val="none" w:sz="0" w:space="0" w:color="auto"/>
                                        <w:left w:val="none" w:sz="0" w:space="0" w:color="auto"/>
                                        <w:bottom w:val="none" w:sz="0" w:space="0" w:color="auto"/>
                                        <w:right w:val="none" w:sz="0" w:space="0" w:color="auto"/>
                                      </w:divBdr>
                                      <w:divsChild>
                                        <w:div w:id="212816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3544894">
      <w:bodyDiv w:val="1"/>
      <w:marLeft w:val="0"/>
      <w:marRight w:val="0"/>
      <w:marTop w:val="0"/>
      <w:marBottom w:val="0"/>
      <w:divBdr>
        <w:top w:val="none" w:sz="0" w:space="0" w:color="auto"/>
        <w:left w:val="none" w:sz="0" w:space="0" w:color="auto"/>
        <w:bottom w:val="none" w:sz="0" w:space="0" w:color="auto"/>
        <w:right w:val="none" w:sz="0" w:space="0" w:color="auto"/>
      </w:divBdr>
      <w:divsChild>
        <w:div w:id="286666958">
          <w:marLeft w:val="0"/>
          <w:marRight w:val="0"/>
          <w:marTop w:val="0"/>
          <w:marBottom w:val="0"/>
          <w:divBdr>
            <w:top w:val="none" w:sz="0" w:space="0" w:color="auto"/>
            <w:left w:val="none" w:sz="0" w:space="0" w:color="auto"/>
            <w:bottom w:val="none" w:sz="0" w:space="0" w:color="auto"/>
            <w:right w:val="none" w:sz="0" w:space="0" w:color="auto"/>
          </w:divBdr>
          <w:divsChild>
            <w:div w:id="546919987">
              <w:marLeft w:val="0"/>
              <w:marRight w:val="0"/>
              <w:marTop w:val="0"/>
              <w:marBottom w:val="0"/>
              <w:divBdr>
                <w:top w:val="none" w:sz="0" w:space="0" w:color="auto"/>
                <w:left w:val="none" w:sz="0" w:space="0" w:color="auto"/>
                <w:bottom w:val="none" w:sz="0" w:space="0" w:color="auto"/>
                <w:right w:val="none" w:sz="0" w:space="0" w:color="auto"/>
              </w:divBdr>
              <w:divsChild>
                <w:div w:id="980617734">
                  <w:marLeft w:val="0"/>
                  <w:marRight w:val="0"/>
                  <w:marTop w:val="0"/>
                  <w:marBottom w:val="0"/>
                  <w:divBdr>
                    <w:top w:val="none" w:sz="0" w:space="0" w:color="auto"/>
                    <w:left w:val="none" w:sz="0" w:space="0" w:color="auto"/>
                    <w:bottom w:val="none" w:sz="0" w:space="0" w:color="auto"/>
                    <w:right w:val="none" w:sz="0" w:space="0" w:color="auto"/>
                  </w:divBdr>
                  <w:divsChild>
                    <w:div w:id="161481139">
                      <w:marLeft w:val="0"/>
                      <w:marRight w:val="0"/>
                      <w:marTop w:val="0"/>
                      <w:marBottom w:val="0"/>
                      <w:divBdr>
                        <w:top w:val="none" w:sz="0" w:space="0" w:color="auto"/>
                        <w:left w:val="none" w:sz="0" w:space="0" w:color="auto"/>
                        <w:bottom w:val="none" w:sz="0" w:space="0" w:color="auto"/>
                        <w:right w:val="none" w:sz="0" w:space="0" w:color="auto"/>
                      </w:divBdr>
                      <w:divsChild>
                        <w:div w:id="65661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563997">
      <w:bodyDiv w:val="1"/>
      <w:marLeft w:val="0"/>
      <w:marRight w:val="0"/>
      <w:marTop w:val="0"/>
      <w:marBottom w:val="0"/>
      <w:divBdr>
        <w:top w:val="none" w:sz="0" w:space="0" w:color="auto"/>
        <w:left w:val="none" w:sz="0" w:space="0" w:color="auto"/>
        <w:bottom w:val="none" w:sz="0" w:space="0" w:color="auto"/>
        <w:right w:val="none" w:sz="0" w:space="0" w:color="auto"/>
      </w:divBdr>
      <w:divsChild>
        <w:div w:id="1067341459">
          <w:marLeft w:val="0"/>
          <w:marRight w:val="0"/>
          <w:marTop w:val="0"/>
          <w:marBottom w:val="0"/>
          <w:divBdr>
            <w:top w:val="none" w:sz="0" w:space="0" w:color="auto"/>
            <w:left w:val="none" w:sz="0" w:space="0" w:color="auto"/>
            <w:bottom w:val="none" w:sz="0" w:space="0" w:color="auto"/>
            <w:right w:val="none" w:sz="0" w:space="0" w:color="auto"/>
          </w:divBdr>
          <w:divsChild>
            <w:div w:id="133111668">
              <w:marLeft w:val="0"/>
              <w:marRight w:val="0"/>
              <w:marTop w:val="0"/>
              <w:marBottom w:val="0"/>
              <w:divBdr>
                <w:top w:val="none" w:sz="0" w:space="0" w:color="auto"/>
                <w:left w:val="none" w:sz="0" w:space="0" w:color="auto"/>
                <w:bottom w:val="none" w:sz="0" w:space="0" w:color="auto"/>
                <w:right w:val="none" w:sz="0" w:space="0" w:color="auto"/>
              </w:divBdr>
              <w:divsChild>
                <w:div w:id="1725832681">
                  <w:marLeft w:val="0"/>
                  <w:marRight w:val="0"/>
                  <w:marTop w:val="0"/>
                  <w:marBottom w:val="0"/>
                  <w:divBdr>
                    <w:top w:val="none" w:sz="0" w:space="0" w:color="auto"/>
                    <w:left w:val="none" w:sz="0" w:space="0" w:color="auto"/>
                    <w:bottom w:val="none" w:sz="0" w:space="0" w:color="auto"/>
                    <w:right w:val="none" w:sz="0" w:space="0" w:color="auto"/>
                  </w:divBdr>
                  <w:divsChild>
                    <w:div w:id="1387725797">
                      <w:marLeft w:val="0"/>
                      <w:marRight w:val="0"/>
                      <w:marTop w:val="0"/>
                      <w:marBottom w:val="0"/>
                      <w:divBdr>
                        <w:top w:val="none" w:sz="0" w:space="0" w:color="auto"/>
                        <w:left w:val="none" w:sz="0" w:space="0" w:color="auto"/>
                        <w:bottom w:val="none" w:sz="0" w:space="0" w:color="auto"/>
                        <w:right w:val="none" w:sz="0" w:space="0" w:color="auto"/>
                      </w:divBdr>
                      <w:divsChild>
                        <w:div w:id="180292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044290">
      <w:bodyDiv w:val="1"/>
      <w:marLeft w:val="0"/>
      <w:marRight w:val="0"/>
      <w:marTop w:val="0"/>
      <w:marBottom w:val="0"/>
      <w:divBdr>
        <w:top w:val="none" w:sz="0" w:space="0" w:color="auto"/>
        <w:left w:val="none" w:sz="0" w:space="0" w:color="auto"/>
        <w:bottom w:val="none" w:sz="0" w:space="0" w:color="auto"/>
        <w:right w:val="none" w:sz="0" w:space="0" w:color="auto"/>
      </w:divBdr>
      <w:divsChild>
        <w:div w:id="681667324">
          <w:marLeft w:val="0"/>
          <w:marRight w:val="0"/>
          <w:marTop w:val="0"/>
          <w:marBottom w:val="0"/>
          <w:divBdr>
            <w:top w:val="none" w:sz="0" w:space="0" w:color="auto"/>
            <w:left w:val="none" w:sz="0" w:space="0" w:color="auto"/>
            <w:bottom w:val="none" w:sz="0" w:space="0" w:color="auto"/>
            <w:right w:val="none" w:sz="0" w:space="0" w:color="auto"/>
          </w:divBdr>
          <w:divsChild>
            <w:div w:id="1870217555">
              <w:marLeft w:val="0"/>
              <w:marRight w:val="0"/>
              <w:marTop w:val="0"/>
              <w:marBottom w:val="0"/>
              <w:divBdr>
                <w:top w:val="none" w:sz="0" w:space="0" w:color="auto"/>
                <w:left w:val="none" w:sz="0" w:space="0" w:color="auto"/>
                <w:bottom w:val="none" w:sz="0" w:space="0" w:color="auto"/>
                <w:right w:val="none" w:sz="0" w:space="0" w:color="auto"/>
              </w:divBdr>
              <w:divsChild>
                <w:div w:id="898127744">
                  <w:marLeft w:val="0"/>
                  <w:marRight w:val="0"/>
                  <w:marTop w:val="0"/>
                  <w:marBottom w:val="0"/>
                  <w:divBdr>
                    <w:top w:val="none" w:sz="0" w:space="0" w:color="auto"/>
                    <w:left w:val="none" w:sz="0" w:space="0" w:color="auto"/>
                    <w:bottom w:val="none" w:sz="0" w:space="0" w:color="auto"/>
                    <w:right w:val="none" w:sz="0" w:space="0" w:color="auto"/>
                  </w:divBdr>
                  <w:divsChild>
                    <w:div w:id="1733769308">
                      <w:marLeft w:val="0"/>
                      <w:marRight w:val="0"/>
                      <w:marTop w:val="0"/>
                      <w:marBottom w:val="0"/>
                      <w:divBdr>
                        <w:top w:val="none" w:sz="0" w:space="0" w:color="auto"/>
                        <w:left w:val="none" w:sz="0" w:space="0" w:color="auto"/>
                        <w:bottom w:val="none" w:sz="0" w:space="0" w:color="auto"/>
                        <w:right w:val="none" w:sz="0" w:space="0" w:color="auto"/>
                      </w:divBdr>
                      <w:divsChild>
                        <w:div w:id="92067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fww2/yak3pd.html" TargetMode="External"/><Relationship Id="rId21" Type="http://schemas.openxmlformats.org/officeDocument/2006/relationships/hyperlink" Target="http://www.rpg-club.com/x1000" TargetMode="External"/><Relationship Id="rId42" Type="http://schemas.openxmlformats.org/officeDocument/2006/relationships/hyperlink" Target="http://pro-samolet.ru/samolet-japan/samoleti-im...-yokosuka-d4y-suisei" TargetMode="External"/><Relationship Id="rId63" Type="http://schemas.openxmlformats.org/officeDocument/2006/relationships/hyperlink" Target="http://istmat.info/node/62476" TargetMode="External"/><Relationship Id="rId84" Type="http://schemas.openxmlformats.org/officeDocument/2006/relationships/hyperlink" Target="https://warspot.ru/7406-t-70-podrosshiy-malysh" TargetMode="External"/><Relationship Id="rId138" Type="http://schemas.openxmlformats.org/officeDocument/2006/relationships/hyperlink" Target="http://warspot.ru/5228-myshinaya-voznya" TargetMode="External"/><Relationship Id="rId159" Type="http://schemas.openxmlformats.org/officeDocument/2006/relationships/hyperlink" Target="http://airspot.ru/catalogue/item/tupolev-tu-10" TargetMode="External"/><Relationship Id="rId107" Type="http://schemas.openxmlformats.org/officeDocument/2006/relationships/hyperlink" Target="https://warspot.ru/7406-t-70-podrosshiy-malysh" TargetMode="External"/><Relationship Id="rId11" Type="http://schemas.openxmlformats.org/officeDocument/2006/relationships/hyperlink" Target="https://warspot.ru/11969-sad-pryanostey-v-zimney-vengrii" TargetMode="External"/><Relationship Id="rId32" Type="http://schemas.openxmlformats.org/officeDocument/2006/relationships/hyperlink" Target="http://www.airwar.ru/enc/spyww2/ju635.html" TargetMode="External"/><Relationship Id="rId53" Type="http://schemas.openxmlformats.org/officeDocument/2006/relationships/hyperlink" Target="http://www.airwar.ru/enc/craft/br500.html" TargetMode="External"/><Relationship Id="rId74" Type="http://schemas.openxmlformats.org/officeDocument/2006/relationships/hyperlink" Target="http://www.airwar.ru/weapon/ab/10x.html" TargetMode="External"/><Relationship Id="rId128" Type="http://schemas.openxmlformats.org/officeDocument/2006/relationships/hyperlink" Target="http://www.airwar.ru/enc/heli/se700.html" TargetMode="External"/><Relationship Id="rId149" Type="http://schemas.openxmlformats.org/officeDocument/2006/relationships/hyperlink" Target="http://warspot.ru/4995-tankostroenie-na-grani-zdravogo-smysla" TargetMode="External"/><Relationship Id="rId5" Type="http://schemas.openxmlformats.org/officeDocument/2006/relationships/webSettings" Target="webSettings.xml"/><Relationship Id="rId95" Type="http://schemas.openxmlformats.org/officeDocument/2006/relationships/hyperlink" Target="http://pro-samolet.ru/samolety-sssr-ww2/bomberd...mbardir-tu-2?start=5" TargetMode="External"/><Relationship Id="rId160" Type="http://schemas.openxmlformats.org/officeDocument/2006/relationships/hyperlink" Target="https://warspot.ru/5175-budapesht-1956-tanki-protiv-tankov" TargetMode="External"/><Relationship Id="rId22" Type="http://schemas.openxmlformats.org/officeDocument/2006/relationships/hyperlink" Target="http://www.rpg-club.com/x1000" TargetMode="External"/><Relationship Id="rId43" Type="http://schemas.openxmlformats.org/officeDocument/2006/relationships/hyperlink" Target="http://wunderwaffe.narod.ru/Magazine/AirWar/100/14.htm" TargetMode="External"/><Relationship Id="rId64" Type="http://schemas.openxmlformats.org/officeDocument/2006/relationships/hyperlink" Target="http://airspot.ru/catalogue/item/piasecki-hrp-1-rescuer" TargetMode="External"/><Relationship Id="rId118" Type="http://schemas.openxmlformats.org/officeDocument/2006/relationships/hyperlink" Target="http://www.airpages.ru/lw/me410su.shtml" TargetMode="External"/><Relationship Id="rId139" Type="http://schemas.openxmlformats.org/officeDocument/2006/relationships/hyperlink" Target="http://warspot.ru/5228-myshinaya-voznya" TargetMode="External"/><Relationship Id="rId85" Type="http://schemas.openxmlformats.org/officeDocument/2006/relationships/hyperlink" Target="https://warspot.ru/11438-sherman-dobralsya-do-sankt-peterburga" TargetMode="External"/><Relationship Id="rId150" Type="http://schemas.openxmlformats.org/officeDocument/2006/relationships/hyperlink" Target="http://warspot.ru/6864-poslednie-sovetskie-tyazhyolye-istrebiteli-tankov" TargetMode="External"/><Relationship Id="rId12" Type="http://schemas.openxmlformats.org/officeDocument/2006/relationships/hyperlink" Target="https://warspot.ru/2822-vesennee-probuzhdenie-poslednee-nastuplenie-reyha" TargetMode="External"/><Relationship Id="rId17" Type="http://schemas.openxmlformats.org/officeDocument/2006/relationships/hyperlink" Target="http://warspot.ru/5004-protivovozdushnyy-schit-suhoputnyh-voysk" TargetMode="External"/><Relationship Id="rId33" Type="http://schemas.openxmlformats.org/officeDocument/2006/relationships/hyperlink" Target="http://warspot.ru/3889-rozhdyonnyy-voynoy-kak-sozdavalsya-narkomat-tankovoy-promyshlennosti" TargetMode="External"/><Relationship Id="rId38" Type="http://schemas.openxmlformats.org/officeDocument/2006/relationships/hyperlink" Target="http://www.airwar.ru/enc/fww2/f8f.html" TargetMode="External"/><Relationship Id="rId59" Type="http://schemas.openxmlformats.org/officeDocument/2006/relationships/hyperlink" Target="http://istmat.info/node/62476" TargetMode="External"/><Relationship Id="rId103" Type="http://schemas.openxmlformats.org/officeDocument/2006/relationships/hyperlink" Target="https://warspot.ru/8843-vershina-evolyutsii" TargetMode="External"/><Relationship Id="rId108" Type="http://schemas.openxmlformats.org/officeDocument/2006/relationships/hyperlink" Target="http://arsenal-info.ru/b/book/842018072/7" TargetMode="External"/><Relationship Id="rId124" Type="http://schemas.openxmlformats.org/officeDocument/2006/relationships/hyperlink" Target="http://www.cofe.ru/avia/T/T-39.htm" TargetMode="External"/><Relationship Id="rId129" Type="http://schemas.openxmlformats.org/officeDocument/2006/relationships/hyperlink" Target="http://airspot.ru/catalogue/item/fairey-firefly" TargetMode="External"/><Relationship Id="rId54" Type="http://schemas.openxmlformats.org/officeDocument/2006/relationships/hyperlink" Target="http://airspot.ru/catalogue/item/curtiss-f15c" TargetMode="External"/><Relationship Id="rId70" Type="http://schemas.openxmlformats.org/officeDocument/2006/relationships/hyperlink" Target="http://www.airwar.ru/enc/sww2/tb2d.html" TargetMode="External"/><Relationship Id="rId75" Type="http://schemas.openxmlformats.org/officeDocument/2006/relationships/hyperlink" Target="http://www.archive.gov.tatarstan.ru/res/FCKeditor/fckeditor.php?FieldName=data_html" TargetMode="External"/><Relationship Id="rId91" Type="http://schemas.openxmlformats.org/officeDocument/2006/relationships/hyperlink" Target="http://www.airwar.ru/enc/fww2/spitful.html" TargetMode="External"/><Relationship Id="rId96" Type="http://schemas.openxmlformats.org/officeDocument/2006/relationships/hyperlink" Target="http://www.airwar.ru/enc/fww2/fr.html" TargetMode="External"/><Relationship Id="rId140" Type="http://schemas.openxmlformats.org/officeDocument/2006/relationships/hyperlink" Target="http://warspot.ru/6247-samyy-pervyy-is-7" TargetMode="External"/><Relationship Id="rId145" Type="http://schemas.openxmlformats.org/officeDocument/2006/relationships/hyperlink" Target="https://spasecraftrocket.org/rocket_v2.html" TargetMode="External"/><Relationship Id="rId161" Type="http://schemas.openxmlformats.org/officeDocument/2006/relationships/hyperlink" Target="http://warspot.ru/6240-tyaglovaya-sila" TargetMode="External"/><Relationship Id="rId1" Type="http://schemas.openxmlformats.org/officeDocument/2006/relationships/customXml" Target="../customXml/item1.xml"/><Relationship Id="rId6" Type="http://schemas.openxmlformats.org/officeDocument/2006/relationships/hyperlink" Target="https://warspot.ru/11969-sad-pryanostey-v-zimney-vengrii" TargetMode="External"/><Relationship Id="rId23" Type="http://schemas.openxmlformats.org/officeDocument/2006/relationships/hyperlink" Target="http://www.rpg-club.com/x1000" TargetMode="External"/><Relationship Id="rId28" Type="http://schemas.openxmlformats.org/officeDocument/2006/relationships/hyperlink" Target="http://www.airwar.ru/enc/fww2/p51h.html" TargetMode="External"/><Relationship Id="rId49" Type="http://schemas.openxmlformats.org/officeDocument/2006/relationships/hyperlink" Target="http://www.airpages.ru/lw/ar234bp.shtml" TargetMode="External"/><Relationship Id="rId114" Type="http://schemas.openxmlformats.org/officeDocument/2006/relationships/hyperlink" Target="http://www.airwar.ru/enc/spyww2/r2y.html" TargetMode="External"/><Relationship Id="rId119" Type="http://schemas.openxmlformats.org/officeDocument/2006/relationships/hyperlink" Target="http://www.airwar.ru/enc/sea/p2.html" TargetMode="External"/><Relationship Id="rId44" Type="http://schemas.openxmlformats.org/officeDocument/2006/relationships/hyperlink" Target="http://airspot.ru/catalogue/item/mikoyan-gurevich-i-225" TargetMode="External"/><Relationship Id="rId60" Type="http://schemas.openxmlformats.org/officeDocument/2006/relationships/hyperlink" Target="http://istmat.info/node/62476" TargetMode="External"/><Relationship Id="rId65" Type="http://schemas.openxmlformats.org/officeDocument/2006/relationships/hyperlink" Target="http://airspot.ru/catalogue/item/grumman-f7f-2-tigercat" TargetMode="External"/><Relationship Id="rId81" Type="http://schemas.openxmlformats.org/officeDocument/2006/relationships/hyperlink" Target="https://warspot.ru/2540-svoboda-skreplyonnaya-svarkoy" TargetMode="External"/><Relationship Id="rId86" Type="http://schemas.openxmlformats.org/officeDocument/2006/relationships/hyperlink" Target="https://warspot.ru/2540-svoboda-skreplyonnaya-svarkoy" TargetMode="External"/><Relationship Id="rId130" Type="http://schemas.openxmlformats.org/officeDocument/2006/relationships/hyperlink" Target="http://www.airwar.ru/enc/fighter/mig13.html" TargetMode="External"/><Relationship Id="rId135" Type="http://schemas.openxmlformats.org/officeDocument/2006/relationships/hyperlink" Target="https://warspot.ru/11163-su-100-po-chehoslovatski" TargetMode="External"/><Relationship Id="rId151" Type="http://schemas.openxmlformats.org/officeDocument/2006/relationships/hyperlink" Target="https://warspot.ru/10055-iz-shturmovyh-sau-v-istrebiteli-tankov" TargetMode="External"/><Relationship Id="rId156" Type="http://schemas.openxmlformats.org/officeDocument/2006/relationships/hyperlink" Target="http://www.airwar.ru/enc/fighter/f5u.html" TargetMode="External"/><Relationship Id="rId13" Type="http://schemas.openxmlformats.org/officeDocument/2006/relationships/hyperlink" Target="http://www.archive.gov.tatarstan.ru/res/FCKeditor/fckeditor.php?FieldName=data_html" TargetMode="External"/><Relationship Id="rId18" Type="http://schemas.openxmlformats.org/officeDocument/2006/relationships/hyperlink" Target="https://warspot.ru/11969-sad-pryanostey-v-zimney-vengrii" TargetMode="External"/><Relationship Id="rId39" Type="http://schemas.openxmlformats.org/officeDocument/2006/relationships/hyperlink" Target="http://www.airwar.ru/enc/fww2/yak3pd.html" TargetMode="External"/><Relationship Id="rId109" Type="http://schemas.openxmlformats.org/officeDocument/2006/relationships/hyperlink" Target="http://airspot.ru/catalogue/item/curtiss-f15c" TargetMode="External"/><Relationship Id="rId34" Type="http://schemas.openxmlformats.org/officeDocument/2006/relationships/hyperlink" Target="http://www.airwar.ru/enc/fww2/bv155.html" TargetMode="External"/><Relationship Id="rId50" Type="http://schemas.openxmlformats.org/officeDocument/2006/relationships/hyperlink" Target="http://www.airpages.ru/ru/pe8on.shtml" TargetMode="External"/><Relationship Id="rId55" Type="http://schemas.openxmlformats.org/officeDocument/2006/relationships/hyperlink" Target="http://gorod.tomsk.ru/index-1247442444.php" TargetMode="External"/><Relationship Id="rId76" Type="http://schemas.openxmlformats.org/officeDocument/2006/relationships/hyperlink" Target="http://www.airwar.ru/enc/fww2/yak3p.html" TargetMode="External"/><Relationship Id="rId97" Type="http://schemas.openxmlformats.org/officeDocument/2006/relationships/hyperlink" Target="http://sukhoi.org/planes/museum/su5/" TargetMode="External"/><Relationship Id="rId104" Type="http://schemas.openxmlformats.org/officeDocument/2006/relationships/hyperlink" Target="http://warspot.ru/4367-kak-sozdavalsya-lttb" TargetMode="External"/><Relationship Id="rId120" Type="http://schemas.openxmlformats.org/officeDocument/2006/relationships/hyperlink" Target="http://www.archive.gov.tatarstan.ru/res/FCKeditor/fckeditor.php?FieldName=data_html" TargetMode="External"/><Relationship Id="rId125" Type="http://schemas.openxmlformats.org/officeDocument/2006/relationships/hyperlink" Target="http://www.airwar.ru/enc/other2/il10u.html" TargetMode="External"/><Relationship Id="rId141" Type="http://schemas.openxmlformats.org/officeDocument/2006/relationships/hyperlink" Target="http://otvaga2004.narod.ru/publ_w7_2010/0071_yak.htm" TargetMode="External"/><Relationship Id="rId146" Type="http://schemas.openxmlformats.org/officeDocument/2006/relationships/hyperlink" Target="http://wunderwaffe.narod.ru/Magazine/AirWar/33/06.htm" TargetMode="External"/><Relationship Id="rId7" Type="http://schemas.openxmlformats.org/officeDocument/2006/relationships/hyperlink" Target="https://warspot.ru/2822-vesennee-probuzhdenie-poslednee-nastuplenie-reyha" TargetMode="External"/><Relationship Id="rId71" Type="http://schemas.openxmlformats.org/officeDocument/2006/relationships/hyperlink" Target="http://www.airwar.ru/enc/bww2/lankast.html" TargetMode="External"/><Relationship Id="rId92" Type="http://schemas.openxmlformats.org/officeDocument/2006/relationships/hyperlink" Target="http://www.airwar.ru/enc/fww2/re2000.html" TargetMode="External"/><Relationship Id="rId162" Type="http://schemas.openxmlformats.org/officeDocument/2006/relationships/hyperlink" Target="http://warspot.ru/4562-sotyy-lishniy" TargetMode="External"/><Relationship Id="rId2" Type="http://schemas.openxmlformats.org/officeDocument/2006/relationships/numbering" Target="numbering.xml"/><Relationship Id="rId29" Type="http://schemas.openxmlformats.org/officeDocument/2006/relationships/hyperlink" Target="http://www.airwar.ru/enc/fww2/yak3pd.html" TargetMode="External"/><Relationship Id="rId24" Type="http://schemas.openxmlformats.org/officeDocument/2006/relationships/hyperlink" Target="http://www.rpg-club.com/x1000" TargetMode="External"/><Relationship Id="rId40" Type="http://schemas.openxmlformats.org/officeDocument/2006/relationships/hyperlink" Target="http://www.airwar.ru/enc/other/ju52ms.html" TargetMode="External"/><Relationship Id="rId45" Type="http://schemas.openxmlformats.org/officeDocument/2006/relationships/hyperlink" Target="http://airspot.ru/catalogue/item/hawker-sea-fury" TargetMode="External"/><Relationship Id="rId66" Type="http://schemas.openxmlformats.org/officeDocument/2006/relationships/hyperlink" Target="http://airspot.ru/catalogue/item/yakovlev-yak-9dd" TargetMode="External"/><Relationship Id="rId87" Type="http://schemas.openxmlformats.org/officeDocument/2006/relationships/hyperlink" Target="https://warspot.ru/12034-ruchka-druzhby-dlya-korolevskogo-tigra" TargetMode="External"/><Relationship Id="rId110" Type="http://schemas.openxmlformats.org/officeDocument/2006/relationships/hyperlink" Target="http://www.kriegsmarine.ru/orion.php" TargetMode="External"/><Relationship Id="rId115" Type="http://schemas.openxmlformats.org/officeDocument/2006/relationships/hyperlink" Target="http://il2-sturmovik.ru/yak3r.html" TargetMode="External"/><Relationship Id="rId131" Type="http://schemas.openxmlformats.org/officeDocument/2006/relationships/hyperlink" Target="http://sergib.agava.ru/russia/mikoyan/i/250/i250.htm" TargetMode="External"/><Relationship Id="rId136" Type="http://schemas.openxmlformats.org/officeDocument/2006/relationships/hyperlink" Target="http://www.airwar.ru/enc/bomber/b49.html" TargetMode="External"/><Relationship Id="rId157" Type="http://schemas.openxmlformats.org/officeDocument/2006/relationships/hyperlink" Target="http://www.airwar.ru/enc/aww2/tago.html" TargetMode="External"/><Relationship Id="rId61" Type="http://schemas.openxmlformats.org/officeDocument/2006/relationships/hyperlink" Target="http://istmat.info/node/62476" TargetMode="External"/><Relationship Id="rId82" Type="http://schemas.openxmlformats.org/officeDocument/2006/relationships/hyperlink" Target="http://www.archive.gov.tatarstan.ru/res/FCKeditor/fckeditor.php?FieldName=data_html" TargetMode="External"/><Relationship Id="rId152" Type="http://schemas.openxmlformats.org/officeDocument/2006/relationships/hyperlink" Target="http://www.archive.gov.tatarstan.ru/res/FCKeditor/fckeditor.php?FieldName=data_html" TargetMode="External"/><Relationship Id="rId19" Type="http://schemas.openxmlformats.org/officeDocument/2006/relationships/hyperlink" Target="https://warspot.ru/2822-vesennee-probuzhdenie-poslednee-nastuplenie-reyha" TargetMode="External"/><Relationship Id="rId14" Type="http://schemas.openxmlformats.org/officeDocument/2006/relationships/hyperlink" Target="https://warspot.ru/12830-yagdpantera-ne-raskryvshaya-svoih-talantov" TargetMode="External"/><Relationship Id="rId30" Type="http://schemas.openxmlformats.org/officeDocument/2006/relationships/hyperlink" Target="http://warplanefuns.ru/history-of-war-main/item...pobeda.html?start=15" TargetMode="External"/><Relationship Id="rId35" Type="http://schemas.openxmlformats.org/officeDocument/2006/relationships/hyperlink" Target="http://www.airwar.ru/enc/fww2/d4ys.html" TargetMode="External"/><Relationship Id="rId56" Type="http://schemas.openxmlformats.org/officeDocument/2006/relationships/hyperlink" Target="http://airspot.ru/catalogue/item/bell-f-83" TargetMode="External"/><Relationship Id="rId77" Type="http://schemas.openxmlformats.org/officeDocument/2006/relationships/hyperlink" Target="http://www.airwar.ru/enc/glider/dfs230.html" TargetMode="External"/><Relationship Id="rId100" Type="http://schemas.openxmlformats.org/officeDocument/2006/relationships/hyperlink" Target="http://airspot.ru/catalogue/item/north-american-p-51d-mustang" TargetMode="External"/><Relationship Id="rId105" Type="http://schemas.openxmlformats.org/officeDocument/2006/relationships/hyperlink" Target="http://coollib.com/b/259723/read" TargetMode="External"/><Relationship Id="rId126" Type="http://schemas.openxmlformats.org/officeDocument/2006/relationships/hyperlink" Target="http://www.airwar.ru/enc/bww2/db108.html" TargetMode="External"/><Relationship Id="rId147" Type="http://schemas.openxmlformats.org/officeDocument/2006/relationships/hyperlink" Target="http://www.sovboat.ru/ship/mxii.php3" TargetMode="External"/><Relationship Id="rId8" Type="http://schemas.openxmlformats.org/officeDocument/2006/relationships/hyperlink" Target="https://warspot.ru/15432-predshestvennik-revolyutsii" TargetMode="External"/><Relationship Id="rId51" Type="http://schemas.openxmlformats.org/officeDocument/2006/relationships/hyperlink" Target="http://www.airwar.ru/enc/fww2/ba349.html" TargetMode="External"/><Relationship Id="rId72" Type="http://schemas.openxmlformats.org/officeDocument/2006/relationships/hyperlink" Target="http://www.airwar.ru/enc/fww2/i225.html" TargetMode="External"/><Relationship Id="rId93" Type="http://schemas.openxmlformats.org/officeDocument/2006/relationships/hyperlink" Target="http://www.airwar.ru/enc/fighter/mig13.html" TargetMode="External"/><Relationship Id="rId98" Type="http://schemas.openxmlformats.org/officeDocument/2006/relationships/hyperlink" Target="http://www.airwar.ru/enc/fww2/su5.html" TargetMode="External"/><Relationship Id="rId121" Type="http://schemas.openxmlformats.org/officeDocument/2006/relationships/hyperlink" Target="http://www.airwar.ru/enc/fighter/f7f3n.html" TargetMode="External"/><Relationship Id="rId142" Type="http://schemas.openxmlformats.org/officeDocument/2006/relationships/hyperlink" Target="http://www.aviarmor.net/aww2/aircraft_exp/ussr/tu-1.htm" TargetMode="External"/><Relationship Id="rId163" Type="http://schemas.openxmlformats.org/officeDocument/2006/relationships/hyperlink" Target="http://warspot.ru/8784-gigantskaya-mysh" TargetMode="External"/><Relationship Id="rId3" Type="http://schemas.openxmlformats.org/officeDocument/2006/relationships/styles" Target="styles.xml"/><Relationship Id="rId25" Type="http://schemas.openxmlformats.org/officeDocument/2006/relationships/hyperlink" Target="http://warspot.ru/6247-samyy-pervyy-is-7" TargetMode="External"/><Relationship Id="rId46" Type="http://schemas.openxmlformats.org/officeDocument/2006/relationships/hyperlink" Target="http://www.airwar.ru/history/av2ww/axis/uab/uab.html" TargetMode="External"/><Relationship Id="rId67" Type="http://schemas.openxmlformats.org/officeDocument/2006/relationships/hyperlink" Target="http://www.airwar.ru/enc/fighter/f7f3.html" TargetMode="External"/><Relationship Id="rId116" Type="http://schemas.openxmlformats.org/officeDocument/2006/relationships/hyperlink" Target="http://www.airwar.ru/enc/fww2/yak3vk107.html" TargetMode="External"/><Relationship Id="rId137" Type="http://schemas.openxmlformats.org/officeDocument/2006/relationships/hyperlink" Target="http://www.airwar.ru/enc/other2/il10u.html" TargetMode="External"/><Relationship Id="rId158" Type="http://schemas.openxmlformats.org/officeDocument/2006/relationships/hyperlink" Target="http://www.airwar.ru/enc/fww2/yak3pd.html" TargetMode="External"/><Relationship Id="rId20" Type="http://schemas.openxmlformats.org/officeDocument/2006/relationships/hyperlink" Target="http://warspot.ru/3889-rozhdyonnyy-voynoy-kak-sozdavalsya-narkomat-tankovoy-promyshlennosti" TargetMode="External"/><Relationship Id="rId41" Type="http://schemas.openxmlformats.org/officeDocument/2006/relationships/hyperlink" Target="http://www.airwar.ru/enc/bww2/d4y.html" TargetMode="External"/><Relationship Id="rId62" Type="http://schemas.openxmlformats.org/officeDocument/2006/relationships/hyperlink" Target="http://istmat.info/node/62476" TargetMode="External"/><Relationship Id="rId83" Type="http://schemas.openxmlformats.org/officeDocument/2006/relationships/hyperlink" Target="https://warspot.ru/6954-dva-ppsh-2000-vystrelov-v-minutu" TargetMode="External"/><Relationship Id="rId88" Type="http://schemas.openxmlformats.org/officeDocument/2006/relationships/hyperlink" Target="https://warspot.ru/11163-su-100-po-chehoslovatski" TargetMode="External"/><Relationship Id="rId111" Type="http://schemas.openxmlformats.org/officeDocument/2006/relationships/hyperlink" Target="http://www.airwar.ru/enc/fww2/fm2.html" TargetMode="External"/><Relationship Id="rId132" Type="http://schemas.openxmlformats.org/officeDocument/2006/relationships/hyperlink" Target="http://www.airwar.ru/enc/aww2/il8.html" TargetMode="External"/><Relationship Id="rId153" Type="http://schemas.openxmlformats.org/officeDocument/2006/relationships/hyperlink" Target="http://teatrskazka.com/Raznoe/PostanovGKO/194506/gko_9174.html" TargetMode="External"/><Relationship Id="rId15" Type="http://schemas.openxmlformats.org/officeDocument/2006/relationships/hyperlink" Target="http://www.airwar.ru/enc/bww2/ki115.html" TargetMode="External"/><Relationship Id="rId36" Type="http://schemas.openxmlformats.org/officeDocument/2006/relationships/hyperlink" Target="http://adler47.at.ua/publ/22-1-0-46%20waralbum.ru/category/war/west/allies_bomb_west/dresden_bomb/" TargetMode="External"/><Relationship Id="rId57" Type="http://schemas.openxmlformats.org/officeDocument/2006/relationships/hyperlink" Target="https://warspot.ru/6247-samyy-pervyy-is-7" TargetMode="External"/><Relationship Id="rId106" Type="http://schemas.openxmlformats.org/officeDocument/2006/relationships/hyperlink" Target="https://warspot.ru/6954-dva-ppsh-2000-vystrelov-v-minutu" TargetMode="External"/><Relationship Id="rId127" Type="http://schemas.openxmlformats.org/officeDocument/2006/relationships/hyperlink" Target="http://www.airwar.ru/enc/fww2/yak3vk107.html" TargetMode="External"/><Relationship Id="rId10" Type="http://schemas.openxmlformats.org/officeDocument/2006/relationships/hyperlink" Target="http://www.liveinternet.ru/www.odin.tc/books/japsub/" TargetMode="External"/><Relationship Id="rId31" Type="http://schemas.openxmlformats.org/officeDocument/2006/relationships/hyperlink" Target="http://www.airwar.ru/enc/bww2/db108.html" TargetMode="External"/><Relationship Id="rId52" Type="http://schemas.openxmlformats.org/officeDocument/2006/relationships/hyperlink" Target="http://www.airwar.ru/enc/fww2/me262c.html" TargetMode="External"/><Relationship Id="rId73" Type="http://schemas.openxmlformats.org/officeDocument/2006/relationships/hyperlink" Target="http://airspot.ru/catalogue/item/yakovlev-yak-9ut" TargetMode="External"/><Relationship Id="rId78" Type="http://schemas.openxmlformats.org/officeDocument/2006/relationships/hyperlink" Target="http://www.airwar.ru/enc/fighter/f87.html" TargetMode="External"/><Relationship Id="rId94" Type="http://schemas.openxmlformats.org/officeDocument/2006/relationships/hyperlink" Target="http://airspot.ru/catalogue/item/tupolev-sdb" TargetMode="External"/><Relationship Id="rId99" Type="http://schemas.openxmlformats.org/officeDocument/2006/relationships/hyperlink" Target="http://www.airwar.ru/enc/bomber/tu64.html" TargetMode="External"/><Relationship Id="rId101" Type="http://schemas.openxmlformats.org/officeDocument/2006/relationships/hyperlink" Target="http://topwar.ru/4832-gibel-linkora-yamato.html" TargetMode="External"/><Relationship Id="rId122" Type="http://schemas.openxmlformats.org/officeDocument/2006/relationships/hyperlink" Target="http://www.airwar.ru/enc/other2/il10u.html" TargetMode="External"/><Relationship Id="rId143" Type="http://schemas.openxmlformats.org/officeDocument/2006/relationships/hyperlink" Target="http://www.airwar.ru/enc/bww2/tu10.html" TargetMode="External"/><Relationship Id="rId148" Type="http://schemas.openxmlformats.org/officeDocument/2006/relationships/hyperlink" Target="http://warspot.ru/4960-kv-3-nabor-tankovoy-massy" TargetMode="External"/><Relationship Id="rId16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26" Type="http://schemas.openxmlformats.org/officeDocument/2006/relationships/hyperlink" Target="http://base13.glasnet.ru/text/ki100/ki100as.htm" TargetMode="External"/><Relationship Id="rId47" Type="http://schemas.openxmlformats.org/officeDocument/2006/relationships/hyperlink" Target="http://www.airwar.ru/enc/fww2/la7r.html" TargetMode="External"/><Relationship Id="rId68" Type="http://schemas.openxmlformats.org/officeDocument/2006/relationships/hyperlink" Target="https://warspot.ru/6240-tyaglovaya-sila" TargetMode="External"/><Relationship Id="rId89" Type="http://schemas.openxmlformats.org/officeDocument/2006/relationships/hyperlink" Target="http://coollib.com/b/259723/read" TargetMode="External"/><Relationship Id="rId112" Type="http://schemas.openxmlformats.org/officeDocument/2006/relationships/hyperlink" Target="http://airspot.ru/catalogue/item/yakovlev-yak-3pd" TargetMode="External"/><Relationship Id="rId133" Type="http://schemas.openxmlformats.org/officeDocument/2006/relationships/hyperlink" Target="http://www.airwar.ru/enc/fww2/yak9s.html" TargetMode="External"/><Relationship Id="rId154" Type="http://schemas.openxmlformats.org/officeDocument/2006/relationships/hyperlink" Target="http://www.airwar.ru/enc/craft/viking.html" TargetMode="External"/><Relationship Id="rId16" Type="http://schemas.openxmlformats.org/officeDocument/2006/relationships/hyperlink" Target="http://http/tamanoi.livejournal.com/24146.html" TargetMode="External"/><Relationship Id="rId37" Type="http://schemas.openxmlformats.org/officeDocument/2006/relationships/hyperlink" Target="http://german-ufo.com/index.php?option=com_cont...gory&amp;id=17&amp;Itemid=73" TargetMode="External"/><Relationship Id="rId58" Type="http://schemas.openxmlformats.org/officeDocument/2006/relationships/hyperlink" Target="http://www.libussr.ru/doc_ussr/ussr_1977.htm" TargetMode="External"/><Relationship Id="rId79" Type="http://schemas.openxmlformats.org/officeDocument/2006/relationships/hyperlink" Target="http://www.airwar.ru/enc/fww2/p59.html" TargetMode="External"/><Relationship Id="rId102" Type="http://schemas.openxmlformats.org/officeDocument/2006/relationships/hyperlink" Target="https://warspot.ru/13151-samaya-massovaya-tyazhyolaya-samohodka-v-istorii" TargetMode="External"/><Relationship Id="rId123" Type="http://schemas.openxmlformats.org/officeDocument/2006/relationships/hyperlink" Target="http://www.airwar.ru/enc/bww2/sdb.html" TargetMode="External"/><Relationship Id="rId144" Type="http://schemas.openxmlformats.org/officeDocument/2006/relationships/hyperlink" Target="http://pro-samolet.ru/samolety-sssr-ww2/tranpor...samolet-li-2?start=1" TargetMode="External"/><Relationship Id="rId90" Type="http://schemas.openxmlformats.org/officeDocument/2006/relationships/hyperlink" Target="http://airspot.ru/catalogue/item/weiss-xni-2-kameleon" TargetMode="External"/><Relationship Id="rId165" Type="http://schemas.openxmlformats.org/officeDocument/2006/relationships/theme" Target="theme/theme1.xml"/><Relationship Id="rId27" Type="http://schemas.openxmlformats.org/officeDocument/2006/relationships/hyperlink" Target="http://www.airwar.ru/enc/bww2/tu10.html" TargetMode="External"/><Relationship Id="rId48" Type="http://schemas.openxmlformats.org/officeDocument/2006/relationships/hyperlink" Target="http://www.allaces.ru/cgi-bin/s2.cgi/sssr/publ/05.dat" TargetMode="External"/><Relationship Id="rId69" Type="http://schemas.openxmlformats.org/officeDocument/2006/relationships/hyperlink" Target="http://airspot.ru/catalogue/item/de-havilland-mosquito-b" TargetMode="External"/><Relationship Id="rId113" Type="http://schemas.openxmlformats.org/officeDocument/2006/relationships/hyperlink" Target="http://www.airwar.ru/enc/aww2/ad1.html" TargetMode="External"/><Relationship Id="rId134" Type="http://schemas.openxmlformats.org/officeDocument/2006/relationships/hyperlink" Target="https://warspot.ru/5000-t-34-85-zvuki-snaruzhi-i-iznutri" TargetMode="External"/><Relationship Id="rId80" Type="http://schemas.openxmlformats.org/officeDocument/2006/relationships/hyperlink" Target="http://glory-id.narod.ru/libra/libra993-1.htm" TargetMode="External"/><Relationship Id="rId155" Type="http://schemas.openxmlformats.org/officeDocument/2006/relationships/hyperlink" Target="http://www.airwar.ru/enc/fww2/spitful.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E02283-827F-4658-89EB-56CBF8B5B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1016</TotalTime>
  <Pages>857</Pages>
  <Words>1016881</Words>
  <Characters>5796226</Characters>
  <Application>Microsoft Office Word</Application>
  <DocSecurity>0</DocSecurity>
  <Lines>48301</Lines>
  <Paragraphs>13599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6799508</CharactersWithSpaces>
  <SharedDoc>false</SharedDoc>
  <HLinks>
    <vt:vector size="6" baseType="variant">
      <vt:variant>
        <vt:i4>3604607</vt:i4>
      </vt:variant>
      <vt:variant>
        <vt:i4>3</vt:i4>
      </vt:variant>
      <vt:variant>
        <vt:i4>0</vt:i4>
      </vt:variant>
      <vt:variant>
        <vt:i4>5</vt:i4>
      </vt:variant>
      <vt:variant>
        <vt:lpwstr>http://teatrskazka.com/Raznoe/PostanovGKO/194506/gko_9174.html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213</cp:revision>
  <dcterms:created xsi:type="dcterms:W3CDTF">2022-05-04T16:39:00Z</dcterms:created>
  <dcterms:modified xsi:type="dcterms:W3CDTF">2026-07-13T15:51:00Z</dcterms:modified>
</cp:coreProperties>
</file>